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8740"/>
        <w:rPr>
          <w:rFonts w:ascii="Times New Roman"/>
          <w:sz w:val="20"/>
        </w:rPr>
      </w:pPr>
      <w:r>
        <w:rPr/>
        <w:pict>
          <v:rect style="position:absolute;margin-left:0pt;margin-top:0pt;width:594.811035pt;height:841.158527pt;mso-position-horizontal-relative:page;mso-position-vertical-relative:page;z-index:-458056" filled="true" fillcolor="#ffffff" stroked="false">
            <v:fill type="solid"/>
            <w10:wrap type="none"/>
          </v:rect>
        </w:pict>
      </w:r>
      <w:r>
        <w:rPr/>
        <w:drawing>
          <wp:anchor distT="0" distB="0" distL="0" distR="0" allowOverlap="1" layoutInCell="1" locked="0" behindDoc="1" simplePos="0" relativeHeight="267977423">
            <wp:simplePos x="0" y="0"/>
            <wp:positionH relativeFrom="page">
              <wp:posOffset>3695</wp:posOffset>
            </wp:positionH>
            <wp:positionV relativeFrom="page">
              <wp:posOffset>2073688</wp:posOffset>
            </wp:positionV>
            <wp:extent cx="6240626" cy="7772393"/>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6240626" cy="7772393"/>
                    </a:xfrm>
                    <a:prstGeom prst="rect">
                      <a:avLst/>
                    </a:prstGeom>
                  </pic:spPr>
                </pic:pic>
              </a:graphicData>
            </a:graphic>
          </wp:anchor>
        </w:drawing>
      </w:r>
      <w:r>
        <w:rPr>
          <w:rFonts w:ascii="Times New Roman"/>
          <w:sz w:val="20"/>
        </w:rPr>
        <w:pict>
          <v:group style="width:46pt;height:38.5pt;mso-position-horizontal-relative:char;mso-position-vertical-relative:line" coordorigin="0,0" coordsize="920,770">
            <v:shape style="position:absolute;left:199;top:126;width:48;height:48" coordorigin="200,127" coordsize="48,48" path="m237,127l211,127,200,137,200,164,211,174,237,174,248,164,248,137,237,127xe" filled="true" fillcolor="#005b85" stroked="false">
              <v:path arrowok="t"/>
              <v:fill type="solid"/>
            </v:shape>
            <v:shape style="position:absolute;left:0;top:0;width:448;height:770" coordorigin="0,0" coordsize="448,770" path="m0,578l0,769,448,769,448,704,108,704,138,674,448,674,448,659,164,659,164,629,209,629,209,586,70,586,51,586,32,584,15,581,0,578xm448,674l310,674,340,704,448,704,448,674xm448,96l224,96,242,99,257,108,269,120,276,136,407,136,407,166,276,166,270,178,262,189,252,197,239,203,239,629,284,629,284,659,448,659,448,586,377,586,335,583,300,576,277,569,268,565,268,532,448,532,448,96xm209,532l179,532,179,565,150,577,129,584,106,586,70,586,209,586,209,532xm448,578l432,581,415,584,397,586,377,586,448,586,448,578xm448,0l0,0,0,546,15,550,31,553,50,555,70,556,115,552,149,544,172,536,179,532,209,532,209,203,196,198,186,189,177,178,172,166,41,166,41,136,171,136,179,120,191,108,206,99,224,96,448,96,448,0xm448,532l268,532,295,546,315,553,339,555,377,556,398,555,416,553,433,550,448,546,448,532xe" filled="true" fillcolor="#005b85" stroked="false">
              <v:path arrowok="t"/>
              <v:fill type="solid"/>
            </v:shape>
            <v:shape style="position:absolute;left:771;top:358;width:48;height:48" coordorigin="772,359" coordsize="48,48" path="m809,359l782,359,772,370,772,396,782,407,809,407,819,396,819,370,809,359xe" filled="true" fillcolor="#d91921" stroked="false">
              <v:path arrowok="t"/>
              <v:fill type="solid"/>
            </v:shape>
            <v:shape style="position:absolute;left:471;top:0;width:448;height:770" coordorigin="471,0" coordsize="448,770" path="m577,0l471,0,471,769,650,769,650,674,919,674,919,659,650,659,650,584,621,579,598,573,583,567,577,565,577,0xm919,674l749,674,779,704,680,704,680,769,919,769,919,674xm680,586l680,629,779,629,749,659,919,659,919,586,682,586,680,586xm919,532l795,532,795,565,766,577,745,584,722,586,686,586,919,586,919,532xm919,0l607,0,607,136,797,136,797,166,607,166,607,544,623,548,641,552,663,555,686,556,731,552,765,544,787,536,795,532,919,532,919,437,795,437,774,433,757,421,745,404,741,383,744,365,652,365,652,335,691,314,719,303,749,299,796,299,919,299,919,0xm805,329l822,336,837,348,846,364,850,383,845,404,834,421,817,433,795,437,919,437,919,356,898,348,871,339,840,333,805,329xm786,329l734,336,691,348,663,360,652,365,744,365,745,364,754,348,768,336,786,329xm919,299l796,299,834,301,868,308,897,317,919,325,919,299xe" filled="true" fillcolor="#d91921" stroked="false">
              <v:path arrowok="t"/>
              <v:fill type="solid"/>
            </v:shape>
          </v:group>
        </w:pict>
      </w:r>
      <w:r>
        <w:rPr>
          <w:rFonts w:ascii="Times New Roman"/>
          <w:sz w:val="20"/>
        </w:rPr>
      </w:r>
    </w:p>
    <w:p>
      <w:pPr>
        <w:spacing w:line="196" w:lineRule="auto" w:before="75"/>
        <w:ind w:left="234" w:right="3274" w:firstLine="0"/>
        <w:jc w:val="left"/>
        <w:rPr>
          <w:rFonts w:ascii="Lucida Sans"/>
          <w:sz w:val="89"/>
        </w:rPr>
      </w:pPr>
      <w:r>
        <w:rPr/>
        <w:drawing>
          <wp:anchor distT="0" distB="0" distL="0" distR="0" allowOverlap="1" layoutInCell="1" locked="0" behindDoc="1" simplePos="0" relativeHeight="267977447">
            <wp:simplePos x="0" y="0"/>
            <wp:positionH relativeFrom="page">
              <wp:posOffset>6504806</wp:posOffset>
            </wp:positionH>
            <wp:positionV relativeFrom="paragraph">
              <wp:posOffset>26144</wp:posOffset>
            </wp:positionV>
            <wp:extent cx="775873" cy="427549"/>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775873" cy="427549"/>
                    </a:xfrm>
                    <a:prstGeom prst="rect">
                      <a:avLst/>
                    </a:prstGeom>
                  </pic:spPr>
                </pic:pic>
              </a:graphicData>
            </a:graphic>
          </wp:anchor>
        </w:drawing>
      </w:r>
      <w:r>
        <w:rPr>
          <w:rFonts w:ascii="Lucida Sans"/>
          <w:color w:val="231F20"/>
          <w:spacing w:val="-54"/>
          <w:w w:val="85"/>
          <w:sz w:val="89"/>
        </w:rPr>
        <w:t>Neighbourhood </w:t>
      </w:r>
      <w:r>
        <w:rPr>
          <w:rFonts w:ascii="Lucida Sans"/>
          <w:color w:val="231F20"/>
          <w:spacing w:val="-66"/>
          <w:w w:val="95"/>
          <w:sz w:val="89"/>
        </w:rPr>
        <w:t>Tree</w:t>
      </w:r>
      <w:r>
        <w:rPr>
          <w:rFonts w:ascii="Lucida Sans"/>
          <w:color w:val="231F20"/>
          <w:spacing w:val="-191"/>
          <w:w w:val="95"/>
          <w:sz w:val="89"/>
        </w:rPr>
        <w:t> </w:t>
      </w:r>
      <w:r>
        <w:rPr>
          <w:rFonts w:ascii="Lucida Sans"/>
          <w:color w:val="231F20"/>
          <w:spacing w:val="-54"/>
          <w:w w:val="95"/>
          <w:sz w:val="89"/>
        </w:rPr>
        <w:t>Disputes</w:t>
      </w:r>
    </w:p>
    <w:p>
      <w:pPr>
        <w:spacing w:before="181"/>
        <w:ind w:left="234" w:right="0" w:firstLine="0"/>
        <w:jc w:val="left"/>
        <w:rPr>
          <w:rFonts w:ascii="Lucida Sans"/>
          <w:sz w:val="22"/>
        </w:rPr>
      </w:pPr>
      <w:r>
        <w:rPr>
          <w:rFonts w:ascii="Trebuchet MS"/>
          <w:b/>
          <w:color w:val="231F20"/>
          <w:sz w:val="22"/>
        </w:rPr>
        <w:t>REPORT </w:t>
      </w:r>
      <w:r>
        <w:rPr>
          <w:rFonts w:ascii="Lucida Sans"/>
          <w:color w:val="231F20"/>
          <w:sz w:val="22"/>
        </w:rPr>
        <w:t>JULY 2019</w:t>
      </w: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Heading6"/>
        <w:spacing w:before="144"/>
      </w:pPr>
      <w:r>
        <w:rPr>
          <w:color w:val="231F20"/>
          <w:w w:val="105"/>
        </w:rPr>
        <w:t>A COMMUNITY LAW REFORM PROJECT</w:t>
      </w:r>
    </w:p>
    <w:p>
      <w:pPr>
        <w:spacing w:after="0"/>
        <w:sectPr>
          <w:headerReference w:type="default" r:id="rId5"/>
          <w:type w:val="continuous"/>
          <w:pgSz w:w="11900" w:h="16830"/>
          <w:pgMar w:header="0" w:top="300" w:bottom="280" w:left="1500" w:right="320"/>
        </w:sectPr>
      </w:pPr>
    </w:p>
    <w:p>
      <w:pPr>
        <w:pStyle w:val="BodyText"/>
        <w:ind w:left="4960"/>
        <w:rPr>
          <w:rFonts w:ascii="Trebuchet MS"/>
          <w:sz w:val="20"/>
        </w:rPr>
      </w:pPr>
      <w:r>
        <w:rPr>
          <w:rFonts w:ascii="Trebuchet MS"/>
          <w:sz w:val="20"/>
        </w:rPr>
        <w:drawing>
          <wp:inline distT="0" distB="0" distL="0" distR="0">
            <wp:extent cx="484459" cy="604837"/>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484459" cy="604837"/>
                    </a:xfrm>
                    <a:prstGeom prst="rect">
                      <a:avLst/>
                    </a:prstGeom>
                  </pic:spPr>
                </pic:pic>
              </a:graphicData>
            </a:graphic>
          </wp:inline>
        </w:drawing>
      </w:r>
      <w:r>
        <w:rPr>
          <w:rFonts w:ascii="Trebuchet MS"/>
          <w:sz w:val="20"/>
        </w:rPr>
      </w:r>
    </w:p>
    <w:p>
      <w:pPr>
        <w:pStyle w:val="BodyText"/>
        <w:spacing w:before="9" w:after="1"/>
        <w:rPr>
          <w:rFonts w:ascii="Trebuchet MS"/>
          <w:b/>
          <w:sz w:val="22"/>
        </w:rPr>
      </w:pPr>
    </w:p>
    <w:p>
      <w:pPr>
        <w:pStyle w:val="BodyText"/>
        <w:spacing w:line="20" w:lineRule="exact"/>
        <w:ind w:left="148"/>
        <w:rPr>
          <w:rFonts w:ascii="Trebuchet MS"/>
          <w:sz w:val="2"/>
        </w:rPr>
      </w:pPr>
      <w:r>
        <w:rPr>
          <w:rFonts w:ascii="Trebuchet MS"/>
          <w:sz w:val="2"/>
        </w:rPr>
        <w:pict>
          <v:group style="width:226.25pt;height:.5pt;mso-position-horizontal-relative:char;mso-position-vertical-relative:line" coordorigin="0,0" coordsize="4525,10">
            <v:line style="position:absolute" from="0,5" to="4524,5" stroked="true" strokeweight=".5pt" strokecolor="#231f20">
              <v:stroke dashstyle="solid"/>
            </v:line>
          </v:group>
        </w:pict>
      </w:r>
      <w:r>
        <w:rPr>
          <w:rFonts w:ascii="Trebuchet MS"/>
          <w:sz w:val="2"/>
        </w:rPr>
      </w:r>
    </w:p>
    <w:p>
      <w:pPr>
        <w:spacing w:after="0" w:line="20" w:lineRule="exact"/>
        <w:rPr>
          <w:rFonts w:ascii="Trebuchet MS"/>
          <w:sz w:val="2"/>
        </w:rPr>
        <w:sectPr>
          <w:headerReference w:type="even" r:id="rId8"/>
          <w:pgSz w:w="11890" w:h="16830"/>
          <w:pgMar w:header="0" w:footer="0" w:top="1600" w:bottom="280" w:left="1680" w:right="1380"/>
        </w:sectPr>
      </w:pPr>
    </w:p>
    <w:p>
      <w:pPr>
        <w:spacing w:before="81"/>
        <w:ind w:left="141" w:right="0" w:firstLine="0"/>
        <w:jc w:val="left"/>
        <w:rPr>
          <w:rFonts w:ascii="Trebuchet MS"/>
          <w:b/>
          <w:sz w:val="18"/>
        </w:rPr>
      </w:pPr>
      <w:r>
        <w:rPr/>
        <w:pict>
          <v:line style="position:absolute;mso-position-horizontal-relative:page;mso-position-vertical-relative:page;z-index:1144" from="332.027893pt,141.648285pt" to="551.996893pt,141.648285pt" stroked="true" strokeweight=".5pt" strokecolor="#231f20">
            <v:stroke dashstyle="solid"/>
            <w10:wrap type="none"/>
          </v:line>
        </w:pict>
      </w:r>
      <w:r>
        <w:rPr>
          <w:rFonts w:ascii="Trebuchet MS"/>
          <w:b/>
          <w:color w:val="231F20"/>
          <w:sz w:val="18"/>
        </w:rPr>
        <w:t>Published by the Victorian Law Reform Commission</w:t>
      </w:r>
    </w:p>
    <w:p>
      <w:pPr>
        <w:spacing w:line="244" w:lineRule="auto" w:before="115"/>
        <w:ind w:left="141" w:right="37" w:firstLine="0"/>
        <w:jc w:val="left"/>
        <w:rPr>
          <w:rFonts w:ascii="Lucida Sans"/>
          <w:sz w:val="18"/>
        </w:rPr>
      </w:pPr>
      <w:r>
        <w:rPr>
          <w:rFonts w:ascii="Lucida Sans"/>
          <w:color w:val="231F20"/>
          <w:spacing w:val="-3"/>
          <w:w w:val="90"/>
          <w:sz w:val="18"/>
        </w:rPr>
        <w:t>The</w:t>
      </w:r>
      <w:r>
        <w:rPr>
          <w:rFonts w:ascii="Lucida Sans"/>
          <w:color w:val="231F20"/>
          <w:spacing w:val="-22"/>
          <w:w w:val="90"/>
          <w:sz w:val="18"/>
        </w:rPr>
        <w:t> </w:t>
      </w:r>
      <w:r>
        <w:rPr>
          <w:rFonts w:ascii="Lucida Sans"/>
          <w:color w:val="231F20"/>
          <w:spacing w:val="-4"/>
          <w:w w:val="90"/>
          <w:sz w:val="18"/>
        </w:rPr>
        <w:t>Victorian</w:t>
      </w:r>
      <w:r>
        <w:rPr>
          <w:rFonts w:ascii="Lucida Sans"/>
          <w:color w:val="231F20"/>
          <w:spacing w:val="-22"/>
          <w:w w:val="90"/>
          <w:sz w:val="18"/>
        </w:rPr>
        <w:t> </w:t>
      </w:r>
      <w:r>
        <w:rPr>
          <w:rFonts w:ascii="Lucida Sans"/>
          <w:color w:val="231F20"/>
          <w:spacing w:val="-3"/>
          <w:w w:val="90"/>
          <w:sz w:val="18"/>
        </w:rPr>
        <w:t>Law</w:t>
      </w:r>
      <w:r>
        <w:rPr>
          <w:rFonts w:ascii="Lucida Sans"/>
          <w:color w:val="231F20"/>
          <w:spacing w:val="-22"/>
          <w:w w:val="90"/>
          <w:sz w:val="18"/>
        </w:rPr>
        <w:t> </w:t>
      </w:r>
      <w:r>
        <w:rPr>
          <w:rFonts w:ascii="Lucida Sans"/>
          <w:color w:val="231F20"/>
          <w:spacing w:val="-4"/>
          <w:w w:val="90"/>
          <w:sz w:val="18"/>
        </w:rPr>
        <w:t>Reform</w:t>
      </w:r>
      <w:r>
        <w:rPr>
          <w:rFonts w:ascii="Lucida Sans"/>
          <w:color w:val="231F20"/>
          <w:spacing w:val="-21"/>
          <w:w w:val="90"/>
          <w:sz w:val="18"/>
        </w:rPr>
        <w:t> </w:t>
      </w:r>
      <w:r>
        <w:rPr>
          <w:rFonts w:ascii="Lucida Sans"/>
          <w:color w:val="231F20"/>
          <w:spacing w:val="-4"/>
          <w:w w:val="90"/>
          <w:sz w:val="18"/>
        </w:rPr>
        <w:t>Commission</w:t>
      </w:r>
      <w:r>
        <w:rPr>
          <w:rFonts w:ascii="Lucida Sans"/>
          <w:color w:val="231F20"/>
          <w:spacing w:val="-22"/>
          <w:w w:val="90"/>
          <w:sz w:val="18"/>
        </w:rPr>
        <w:t> </w:t>
      </w:r>
      <w:r>
        <w:rPr>
          <w:rFonts w:ascii="Lucida Sans"/>
          <w:color w:val="231F20"/>
          <w:spacing w:val="-3"/>
          <w:w w:val="90"/>
          <w:sz w:val="18"/>
        </w:rPr>
        <w:t>was</w:t>
      </w:r>
      <w:r>
        <w:rPr>
          <w:rFonts w:ascii="Lucida Sans"/>
          <w:color w:val="231F20"/>
          <w:spacing w:val="-22"/>
          <w:w w:val="90"/>
          <w:sz w:val="18"/>
        </w:rPr>
        <w:t> </w:t>
      </w:r>
      <w:r>
        <w:rPr>
          <w:rFonts w:ascii="Lucida Sans"/>
          <w:color w:val="231F20"/>
          <w:spacing w:val="-4"/>
          <w:w w:val="90"/>
          <w:sz w:val="18"/>
        </w:rPr>
        <w:t>established</w:t>
      </w:r>
      <w:r>
        <w:rPr>
          <w:rFonts w:ascii="Lucida Sans"/>
          <w:color w:val="231F20"/>
          <w:spacing w:val="-22"/>
          <w:w w:val="90"/>
          <w:sz w:val="18"/>
        </w:rPr>
        <w:t> </w:t>
      </w:r>
      <w:r>
        <w:rPr>
          <w:rFonts w:ascii="Lucida Sans"/>
          <w:color w:val="231F20"/>
          <w:spacing w:val="-4"/>
          <w:w w:val="90"/>
          <w:sz w:val="18"/>
        </w:rPr>
        <w:t>under </w:t>
      </w:r>
      <w:r>
        <w:rPr>
          <w:rFonts w:ascii="Lucida Sans"/>
          <w:color w:val="231F20"/>
          <w:spacing w:val="-3"/>
          <w:w w:val="95"/>
          <w:sz w:val="18"/>
        </w:rPr>
        <w:t>the</w:t>
      </w:r>
      <w:r>
        <w:rPr>
          <w:rFonts w:ascii="Lucida Sans"/>
          <w:color w:val="231F20"/>
          <w:spacing w:val="-32"/>
          <w:w w:val="95"/>
          <w:sz w:val="18"/>
        </w:rPr>
        <w:t> </w:t>
      </w:r>
      <w:r>
        <w:rPr>
          <w:rFonts w:ascii="Lucida Sans"/>
          <w:i/>
          <w:color w:val="231F20"/>
          <w:spacing w:val="-4"/>
          <w:w w:val="95"/>
          <w:sz w:val="18"/>
        </w:rPr>
        <w:t>Victorian</w:t>
      </w:r>
      <w:r>
        <w:rPr>
          <w:rFonts w:ascii="Lucida Sans"/>
          <w:i/>
          <w:color w:val="231F20"/>
          <w:spacing w:val="-31"/>
          <w:w w:val="95"/>
          <w:sz w:val="18"/>
        </w:rPr>
        <w:t> </w:t>
      </w:r>
      <w:r>
        <w:rPr>
          <w:rFonts w:ascii="Lucida Sans"/>
          <w:i/>
          <w:color w:val="231F20"/>
          <w:spacing w:val="-3"/>
          <w:w w:val="95"/>
          <w:sz w:val="18"/>
        </w:rPr>
        <w:t>Law</w:t>
      </w:r>
      <w:r>
        <w:rPr>
          <w:rFonts w:ascii="Lucida Sans"/>
          <w:i/>
          <w:color w:val="231F20"/>
          <w:spacing w:val="-31"/>
          <w:w w:val="95"/>
          <w:sz w:val="18"/>
        </w:rPr>
        <w:t> </w:t>
      </w:r>
      <w:r>
        <w:rPr>
          <w:rFonts w:ascii="Lucida Sans"/>
          <w:i/>
          <w:color w:val="231F20"/>
          <w:spacing w:val="-4"/>
          <w:w w:val="95"/>
          <w:sz w:val="18"/>
        </w:rPr>
        <w:t>Reform</w:t>
      </w:r>
      <w:r>
        <w:rPr>
          <w:rFonts w:ascii="Lucida Sans"/>
          <w:i/>
          <w:color w:val="231F20"/>
          <w:spacing w:val="-31"/>
          <w:w w:val="95"/>
          <w:sz w:val="18"/>
        </w:rPr>
        <w:t> </w:t>
      </w:r>
      <w:r>
        <w:rPr>
          <w:rFonts w:ascii="Lucida Sans"/>
          <w:i/>
          <w:color w:val="231F20"/>
          <w:spacing w:val="-4"/>
          <w:w w:val="95"/>
          <w:sz w:val="18"/>
        </w:rPr>
        <w:t>Commission</w:t>
      </w:r>
      <w:r>
        <w:rPr>
          <w:rFonts w:ascii="Lucida Sans"/>
          <w:i/>
          <w:color w:val="231F20"/>
          <w:spacing w:val="-31"/>
          <w:w w:val="95"/>
          <w:sz w:val="18"/>
        </w:rPr>
        <w:t> </w:t>
      </w:r>
      <w:r>
        <w:rPr>
          <w:rFonts w:ascii="Lucida Sans"/>
          <w:i/>
          <w:color w:val="231F20"/>
          <w:spacing w:val="-3"/>
          <w:w w:val="95"/>
          <w:sz w:val="18"/>
        </w:rPr>
        <w:t>Act</w:t>
      </w:r>
      <w:r>
        <w:rPr>
          <w:rFonts w:ascii="Lucida Sans"/>
          <w:i/>
          <w:color w:val="231F20"/>
          <w:spacing w:val="-32"/>
          <w:w w:val="95"/>
          <w:sz w:val="18"/>
        </w:rPr>
        <w:t> </w:t>
      </w:r>
      <w:r>
        <w:rPr>
          <w:rFonts w:ascii="Lucida Sans"/>
          <w:i/>
          <w:color w:val="231F20"/>
          <w:spacing w:val="-3"/>
          <w:w w:val="95"/>
          <w:sz w:val="18"/>
        </w:rPr>
        <w:t>2000</w:t>
      </w:r>
      <w:r>
        <w:rPr>
          <w:rFonts w:ascii="Lucida Sans"/>
          <w:i/>
          <w:color w:val="231F20"/>
          <w:spacing w:val="-31"/>
          <w:w w:val="95"/>
          <w:sz w:val="18"/>
        </w:rPr>
        <w:t> </w:t>
      </w:r>
      <w:r>
        <w:rPr>
          <w:rFonts w:ascii="Lucida Sans"/>
          <w:color w:val="231F20"/>
          <w:spacing w:val="-3"/>
          <w:w w:val="95"/>
          <w:sz w:val="18"/>
        </w:rPr>
        <w:t>(Vic)</w:t>
      </w:r>
      <w:r>
        <w:rPr>
          <w:rFonts w:ascii="Lucida Sans"/>
          <w:color w:val="231F20"/>
          <w:spacing w:val="-31"/>
          <w:w w:val="95"/>
          <w:sz w:val="18"/>
        </w:rPr>
        <w:t> </w:t>
      </w:r>
      <w:r>
        <w:rPr>
          <w:rFonts w:ascii="Lucida Sans"/>
          <w:color w:val="231F20"/>
          <w:w w:val="95"/>
          <w:sz w:val="18"/>
        </w:rPr>
        <w:t>as</w:t>
      </w:r>
      <w:r>
        <w:rPr>
          <w:rFonts w:ascii="Lucida Sans"/>
          <w:color w:val="231F20"/>
          <w:spacing w:val="-31"/>
          <w:w w:val="95"/>
          <w:sz w:val="18"/>
        </w:rPr>
        <w:t> </w:t>
      </w:r>
      <w:r>
        <w:rPr>
          <w:rFonts w:ascii="Lucida Sans"/>
          <w:color w:val="231F20"/>
          <w:w w:val="95"/>
          <w:sz w:val="18"/>
        </w:rPr>
        <w:t>a </w:t>
      </w:r>
      <w:r>
        <w:rPr>
          <w:rFonts w:ascii="Lucida Sans"/>
          <w:color w:val="231F20"/>
          <w:spacing w:val="-4"/>
          <w:sz w:val="18"/>
        </w:rPr>
        <w:t>central</w:t>
      </w:r>
      <w:r>
        <w:rPr>
          <w:rFonts w:ascii="Lucida Sans"/>
          <w:color w:val="231F20"/>
          <w:spacing w:val="-36"/>
          <w:sz w:val="18"/>
        </w:rPr>
        <w:t> </w:t>
      </w:r>
      <w:r>
        <w:rPr>
          <w:rFonts w:ascii="Lucida Sans"/>
          <w:color w:val="231F20"/>
          <w:spacing w:val="-4"/>
          <w:sz w:val="18"/>
        </w:rPr>
        <w:t>agency</w:t>
      </w:r>
      <w:r>
        <w:rPr>
          <w:rFonts w:ascii="Lucida Sans"/>
          <w:color w:val="231F20"/>
          <w:spacing w:val="-36"/>
          <w:sz w:val="18"/>
        </w:rPr>
        <w:t> </w:t>
      </w:r>
      <w:r>
        <w:rPr>
          <w:rFonts w:ascii="Lucida Sans"/>
          <w:color w:val="231F20"/>
          <w:spacing w:val="-3"/>
          <w:sz w:val="18"/>
        </w:rPr>
        <w:t>for</w:t>
      </w:r>
      <w:r>
        <w:rPr>
          <w:rFonts w:ascii="Lucida Sans"/>
          <w:color w:val="231F20"/>
          <w:spacing w:val="-36"/>
          <w:sz w:val="18"/>
        </w:rPr>
        <w:t> </w:t>
      </w:r>
      <w:r>
        <w:rPr>
          <w:rFonts w:ascii="Lucida Sans"/>
          <w:color w:val="231F20"/>
          <w:spacing w:val="-4"/>
          <w:sz w:val="18"/>
        </w:rPr>
        <w:t>developing</w:t>
      </w:r>
      <w:r>
        <w:rPr>
          <w:rFonts w:ascii="Lucida Sans"/>
          <w:color w:val="231F20"/>
          <w:spacing w:val="-35"/>
          <w:sz w:val="18"/>
        </w:rPr>
        <w:t> </w:t>
      </w:r>
      <w:r>
        <w:rPr>
          <w:rFonts w:ascii="Lucida Sans"/>
          <w:color w:val="231F20"/>
          <w:spacing w:val="-3"/>
          <w:sz w:val="18"/>
        </w:rPr>
        <w:t>law</w:t>
      </w:r>
      <w:r>
        <w:rPr>
          <w:rFonts w:ascii="Lucida Sans"/>
          <w:color w:val="231F20"/>
          <w:spacing w:val="-36"/>
          <w:sz w:val="18"/>
        </w:rPr>
        <w:t> </w:t>
      </w:r>
      <w:r>
        <w:rPr>
          <w:rFonts w:ascii="Lucida Sans"/>
          <w:color w:val="231F20"/>
          <w:spacing w:val="-4"/>
          <w:sz w:val="18"/>
        </w:rPr>
        <w:t>reform</w:t>
      </w:r>
      <w:r>
        <w:rPr>
          <w:rFonts w:ascii="Lucida Sans"/>
          <w:color w:val="231F20"/>
          <w:spacing w:val="-36"/>
          <w:sz w:val="18"/>
        </w:rPr>
        <w:t> </w:t>
      </w:r>
      <w:r>
        <w:rPr>
          <w:rFonts w:ascii="Lucida Sans"/>
          <w:color w:val="231F20"/>
          <w:sz w:val="18"/>
        </w:rPr>
        <w:t>in</w:t>
      </w:r>
      <w:r>
        <w:rPr>
          <w:rFonts w:ascii="Lucida Sans"/>
          <w:color w:val="231F20"/>
          <w:spacing w:val="-35"/>
          <w:sz w:val="18"/>
        </w:rPr>
        <w:t> </w:t>
      </w:r>
      <w:r>
        <w:rPr>
          <w:rFonts w:ascii="Lucida Sans"/>
          <w:color w:val="231F20"/>
          <w:spacing w:val="-4"/>
          <w:sz w:val="18"/>
        </w:rPr>
        <w:t>Victoria.</w:t>
      </w:r>
    </w:p>
    <w:p>
      <w:pPr>
        <w:spacing w:before="113"/>
        <w:ind w:left="141" w:right="0" w:firstLine="0"/>
        <w:jc w:val="left"/>
        <w:rPr>
          <w:rFonts w:ascii="Lucida Sans" w:hAnsi="Lucida Sans"/>
          <w:sz w:val="18"/>
        </w:rPr>
      </w:pPr>
      <w:r>
        <w:rPr>
          <w:rFonts w:ascii="Lucida Sans" w:hAnsi="Lucida Sans"/>
          <w:color w:val="231F20"/>
          <w:sz w:val="18"/>
        </w:rPr>
        <w:t>© Victorian Law Reform Commission 2019.</w:t>
      </w:r>
    </w:p>
    <w:p>
      <w:pPr>
        <w:spacing w:line="244" w:lineRule="auto" w:before="118"/>
        <w:ind w:left="141" w:right="348" w:firstLine="0"/>
        <w:jc w:val="both"/>
        <w:rPr>
          <w:rFonts w:ascii="Lucida Sans"/>
          <w:sz w:val="18"/>
        </w:rPr>
      </w:pPr>
      <w:r>
        <w:rPr>
          <w:rFonts w:ascii="Lucida Sans"/>
          <w:color w:val="231F20"/>
          <w:spacing w:val="-3"/>
          <w:w w:val="90"/>
          <w:sz w:val="18"/>
        </w:rPr>
        <w:t>This</w:t>
      </w:r>
      <w:r>
        <w:rPr>
          <w:rFonts w:ascii="Lucida Sans"/>
          <w:color w:val="231F20"/>
          <w:spacing w:val="-23"/>
          <w:w w:val="90"/>
          <w:sz w:val="18"/>
        </w:rPr>
        <w:t> </w:t>
      </w:r>
      <w:r>
        <w:rPr>
          <w:rFonts w:ascii="Lucida Sans"/>
          <w:color w:val="231F20"/>
          <w:spacing w:val="-4"/>
          <w:w w:val="90"/>
          <w:sz w:val="18"/>
        </w:rPr>
        <w:t>publication</w:t>
      </w:r>
      <w:r>
        <w:rPr>
          <w:rFonts w:ascii="Lucida Sans"/>
          <w:color w:val="231F20"/>
          <w:spacing w:val="-22"/>
          <w:w w:val="90"/>
          <w:sz w:val="18"/>
        </w:rPr>
        <w:t> </w:t>
      </w:r>
      <w:r>
        <w:rPr>
          <w:rFonts w:ascii="Lucida Sans"/>
          <w:color w:val="231F20"/>
          <w:w w:val="90"/>
          <w:sz w:val="18"/>
        </w:rPr>
        <w:t>of</w:t>
      </w:r>
      <w:r>
        <w:rPr>
          <w:rFonts w:ascii="Lucida Sans"/>
          <w:color w:val="231F20"/>
          <w:spacing w:val="-23"/>
          <w:w w:val="90"/>
          <w:sz w:val="18"/>
        </w:rPr>
        <w:t> </w:t>
      </w:r>
      <w:r>
        <w:rPr>
          <w:rFonts w:ascii="Lucida Sans"/>
          <w:color w:val="231F20"/>
          <w:spacing w:val="-3"/>
          <w:w w:val="90"/>
          <w:sz w:val="18"/>
        </w:rPr>
        <w:t>the</w:t>
      </w:r>
      <w:r>
        <w:rPr>
          <w:rFonts w:ascii="Lucida Sans"/>
          <w:color w:val="231F20"/>
          <w:spacing w:val="-22"/>
          <w:w w:val="90"/>
          <w:sz w:val="18"/>
        </w:rPr>
        <w:t> </w:t>
      </w:r>
      <w:r>
        <w:rPr>
          <w:rFonts w:ascii="Lucida Sans"/>
          <w:color w:val="231F20"/>
          <w:spacing w:val="-4"/>
          <w:w w:val="90"/>
          <w:sz w:val="18"/>
        </w:rPr>
        <w:t>Victorian</w:t>
      </w:r>
      <w:r>
        <w:rPr>
          <w:rFonts w:ascii="Lucida Sans"/>
          <w:color w:val="231F20"/>
          <w:spacing w:val="-23"/>
          <w:w w:val="90"/>
          <w:sz w:val="18"/>
        </w:rPr>
        <w:t> </w:t>
      </w:r>
      <w:r>
        <w:rPr>
          <w:rFonts w:ascii="Lucida Sans"/>
          <w:color w:val="231F20"/>
          <w:spacing w:val="-3"/>
          <w:w w:val="90"/>
          <w:sz w:val="18"/>
        </w:rPr>
        <w:t>Law</w:t>
      </w:r>
      <w:r>
        <w:rPr>
          <w:rFonts w:ascii="Lucida Sans"/>
          <w:color w:val="231F20"/>
          <w:spacing w:val="-22"/>
          <w:w w:val="90"/>
          <w:sz w:val="18"/>
        </w:rPr>
        <w:t> </w:t>
      </w:r>
      <w:r>
        <w:rPr>
          <w:rFonts w:ascii="Lucida Sans"/>
          <w:color w:val="231F20"/>
          <w:spacing w:val="-4"/>
          <w:w w:val="90"/>
          <w:sz w:val="18"/>
        </w:rPr>
        <w:t>Reform</w:t>
      </w:r>
      <w:r>
        <w:rPr>
          <w:rFonts w:ascii="Lucida Sans"/>
          <w:color w:val="231F20"/>
          <w:spacing w:val="-23"/>
          <w:w w:val="90"/>
          <w:sz w:val="18"/>
        </w:rPr>
        <w:t> </w:t>
      </w:r>
      <w:r>
        <w:rPr>
          <w:rFonts w:ascii="Lucida Sans"/>
          <w:color w:val="231F20"/>
          <w:spacing w:val="-4"/>
          <w:w w:val="90"/>
          <w:sz w:val="18"/>
        </w:rPr>
        <w:t>Commission follows</w:t>
      </w:r>
      <w:r>
        <w:rPr>
          <w:rFonts w:ascii="Lucida Sans"/>
          <w:color w:val="231F20"/>
          <w:spacing w:val="-16"/>
          <w:w w:val="90"/>
          <w:sz w:val="18"/>
        </w:rPr>
        <w:t> </w:t>
      </w:r>
      <w:r>
        <w:rPr>
          <w:rFonts w:ascii="Lucida Sans"/>
          <w:color w:val="231F20"/>
          <w:spacing w:val="-3"/>
          <w:w w:val="90"/>
          <w:sz w:val="18"/>
        </w:rPr>
        <w:t>the</w:t>
      </w:r>
      <w:r>
        <w:rPr>
          <w:rFonts w:ascii="Lucida Sans"/>
          <w:color w:val="231F20"/>
          <w:spacing w:val="-16"/>
          <w:w w:val="90"/>
          <w:sz w:val="18"/>
        </w:rPr>
        <w:t> </w:t>
      </w:r>
      <w:r>
        <w:rPr>
          <w:rFonts w:ascii="Lucida Sans"/>
          <w:color w:val="231F20"/>
          <w:spacing w:val="-4"/>
          <w:w w:val="90"/>
          <w:sz w:val="18"/>
        </w:rPr>
        <w:t>Melbourne</w:t>
      </w:r>
      <w:r>
        <w:rPr>
          <w:rFonts w:ascii="Lucida Sans"/>
          <w:color w:val="231F20"/>
          <w:spacing w:val="-16"/>
          <w:w w:val="90"/>
          <w:sz w:val="18"/>
        </w:rPr>
        <w:t> </w:t>
      </w:r>
      <w:r>
        <w:rPr>
          <w:rFonts w:ascii="Lucida Sans"/>
          <w:color w:val="231F20"/>
          <w:spacing w:val="-4"/>
          <w:w w:val="90"/>
          <w:sz w:val="18"/>
        </w:rPr>
        <w:t>University</w:t>
      </w:r>
      <w:r>
        <w:rPr>
          <w:rFonts w:ascii="Lucida Sans"/>
          <w:color w:val="231F20"/>
          <w:spacing w:val="-15"/>
          <w:w w:val="90"/>
          <w:sz w:val="18"/>
        </w:rPr>
        <w:t> </w:t>
      </w:r>
      <w:r>
        <w:rPr>
          <w:rFonts w:ascii="Lucida Sans"/>
          <w:color w:val="231F20"/>
          <w:spacing w:val="-3"/>
          <w:w w:val="90"/>
          <w:sz w:val="18"/>
        </w:rPr>
        <w:t>Law</w:t>
      </w:r>
      <w:r>
        <w:rPr>
          <w:rFonts w:ascii="Lucida Sans"/>
          <w:color w:val="231F20"/>
          <w:spacing w:val="-16"/>
          <w:w w:val="90"/>
          <w:sz w:val="18"/>
        </w:rPr>
        <w:t> </w:t>
      </w:r>
      <w:r>
        <w:rPr>
          <w:rFonts w:ascii="Lucida Sans"/>
          <w:color w:val="231F20"/>
          <w:spacing w:val="-4"/>
          <w:w w:val="90"/>
          <w:sz w:val="18"/>
        </w:rPr>
        <w:t>Review</w:t>
      </w:r>
      <w:r>
        <w:rPr>
          <w:rFonts w:ascii="Lucida Sans"/>
          <w:color w:val="231F20"/>
          <w:spacing w:val="-16"/>
          <w:w w:val="90"/>
          <w:sz w:val="18"/>
        </w:rPr>
        <w:t> </w:t>
      </w:r>
      <w:r>
        <w:rPr>
          <w:rFonts w:ascii="Lucida Sans"/>
          <w:color w:val="231F20"/>
          <w:spacing w:val="-4"/>
          <w:w w:val="90"/>
          <w:sz w:val="18"/>
        </w:rPr>
        <w:t>Association </w:t>
      </w:r>
      <w:r>
        <w:rPr>
          <w:rFonts w:ascii="Lucida Sans"/>
          <w:color w:val="231F20"/>
          <w:spacing w:val="-4"/>
          <w:sz w:val="18"/>
        </w:rPr>
        <w:t>Australian</w:t>
      </w:r>
      <w:r>
        <w:rPr>
          <w:rFonts w:ascii="Lucida Sans"/>
          <w:color w:val="231F20"/>
          <w:spacing w:val="-36"/>
          <w:sz w:val="18"/>
        </w:rPr>
        <w:t> </w:t>
      </w:r>
      <w:r>
        <w:rPr>
          <w:rFonts w:ascii="Lucida Sans"/>
          <w:color w:val="231F20"/>
          <w:spacing w:val="-4"/>
          <w:sz w:val="18"/>
        </w:rPr>
        <w:t>Guide</w:t>
      </w:r>
      <w:r>
        <w:rPr>
          <w:rFonts w:ascii="Lucida Sans"/>
          <w:color w:val="231F20"/>
          <w:spacing w:val="-36"/>
          <w:sz w:val="18"/>
        </w:rPr>
        <w:t> </w:t>
      </w:r>
      <w:r>
        <w:rPr>
          <w:rFonts w:ascii="Lucida Sans"/>
          <w:color w:val="231F20"/>
          <w:sz w:val="18"/>
        </w:rPr>
        <w:t>to</w:t>
      </w:r>
      <w:r>
        <w:rPr>
          <w:rFonts w:ascii="Lucida Sans"/>
          <w:color w:val="231F20"/>
          <w:spacing w:val="-36"/>
          <w:sz w:val="18"/>
        </w:rPr>
        <w:t> </w:t>
      </w:r>
      <w:r>
        <w:rPr>
          <w:rFonts w:ascii="Lucida Sans"/>
          <w:color w:val="231F20"/>
          <w:spacing w:val="-4"/>
          <w:sz w:val="18"/>
        </w:rPr>
        <w:t>Legal</w:t>
      </w:r>
      <w:r>
        <w:rPr>
          <w:rFonts w:ascii="Lucida Sans"/>
          <w:color w:val="231F20"/>
          <w:spacing w:val="-36"/>
          <w:sz w:val="18"/>
        </w:rPr>
        <w:t> </w:t>
      </w:r>
      <w:r>
        <w:rPr>
          <w:rFonts w:ascii="Lucida Sans"/>
          <w:color w:val="231F20"/>
          <w:spacing w:val="-4"/>
          <w:sz w:val="18"/>
        </w:rPr>
        <w:t>Citation</w:t>
      </w:r>
      <w:r>
        <w:rPr>
          <w:rFonts w:ascii="Lucida Sans"/>
          <w:color w:val="231F20"/>
          <w:spacing w:val="-35"/>
          <w:sz w:val="18"/>
        </w:rPr>
        <w:t> </w:t>
      </w:r>
      <w:r>
        <w:rPr>
          <w:rFonts w:ascii="Lucida Sans"/>
          <w:color w:val="231F20"/>
          <w:spacing w:val="-4"/>
          <w:sz w:val="18"/>
        </w:rPr>
        <w:t>(3rd</w:t>
      </w:r>
      <w:r>
        <w:rPr>
          <w:rFonts w:ascii="Lucida Sans"/>
          <w:color w:val="231F20"/>
          <w:spacing w:val="-36"/>
          <w:sz w:val="18"/>
        </w:rPr>
        <w:t> </w:t>
      </w:r>
      <w:r>
        <w:rPr>
          <w:rFonts w:ascii="Lucida Sans"/>
          <w:color w:val="231F20"/>
          <w:spacing w:val="-3"/>
          <w:sz w:val="18"/>
        </w:rPr>
        <w:t>ed,</w:t>
      </w:r>
      <w:r>
        <w:rPr>
          <w:rFonts w:ascii="Lucida Sans"/>
          <w:color w:val="231F20"/>
          <w:spacing w:val="-36"/>
          <w:sz w:val="18"/>
        </w:rPr>
        <w:t> </w:t>
      </w:r>
      <w:r>
        <w:rPr>
          <w:rFonts w:ascii="Lucida Sans"/>
          <w:color w:val="231F20"/>
          <w:spacing w:val="-4"/>
          <w:sz w:val="18"/>
        </w:rPr>
        <w:t>2010).</w:t>
      </w:r>
    </w:p>
    <w:p>
      <w:pPr>
        <w:spacing w:line="330" w:lineRule="exact" w:before="22"/>
        <w:ind w:left="141" w:right="1413" w:firstLine="0"/>
        <w:jc w:val="left"/>
        <w:rPr>
          <w:rFonts w:ascii="Lucida Sans"/>
          <w:sz w:val="18"/>
        </w:rPr>
      </w:pPr>
      <w:r>
        <w:rPr>
          <w:rFonts w:ascii="Lucida Sans"/>
          <w:color w:val="231F20"/>
          <w:spacing w:val="-3"/>
          <w:w w:val="95"/>
          <w:sz w:val="18"/>
        </w:rPr>
        <w:t>This</w:t>
      </w:r>
      <w:r>
        <w:rPr>
          <w:rFonts w:ascii="Lucida Sans"/>
          <w:color w:val="231F20"/>
          <w:spacing w:val="-40"/>
          <w:w w:val="95"/>
          <w:sz w:val="18"/>
        </w:rPr>
        <w:t> </w:t>
      </w:r>
      <w:r>
        <w:rPr>
          <w:rFonts w:ascii="Lucida Sans"/>
          <w:color w:val="231F20"/>
          <w:spacing w:val="-4"/>
          <w:w w:val="95"/>
          <w:sz w:val="18"/>
        </w:rPr>
        <w:t>report</w:t>
      </w:r>
      <w:r>
        <w:rPr>
          <w:rFonts w:ascii="Lucida Sans"/>
          <w:color w:val="231F20"/>
          <w:spacing w:val="-40"/>
          <w:w w:val="95"/>
          <w:sz w:val="18"/>
        </w:rPr>
        <w:t> </w:t>
      </w:r>
      <w:r>
        <w:rPr>
          <w:rFonts w:ascii="Lucida Sans"/>
          <w:color w:val="231F20"/>
          <w:spacing w:val="-4"/>
          <w:w w:val="95"/>
          <w:sz w:val="18"/>
        </w:rPr>
        <w:t>reflects</w:t>
      </w:r>
      <w:r>
        <w:rPr>
          <w:rFonts w:ascii="Lucida Sans"/>
          <w:color w:val="231F20"/>
          <w:spacing w:val="-40"/>
          <w:w w:val="95"/>
          <w:sz w:val="18"/>
        </w:rPr>
        <w:t> </w:t>
      </w:r>
      <w:r>
        <w:rPr>
          <w:rFonts w:ascii="Lucida Sans"/>
          <w:color w:val="231F20"/>
          <w:spacing w:val="-3"/>
          <w:w w:val="95"/>
          <w:sz w:val="18"/>
        </w:rPr>
        <w:t>the</w:t>
      </w:r>
      <w:r>
        <w:rPr>
          <w:rFonts w:ascii="Lucida Sans"/>
          <w:color w:val="231F20"/>
          <w:spacing w:val="-40"/>
          <w:w w:val="95"/>
          <w:sz w:val="18"/>
        </w:rPr>
        <w:t> </w:t>
      </w:r>
      <w:r>
        <w:rPr>
          <w:rFonts w:ascii="Lucida Sans"/>
          <w:color w:val="231F20"/>
          <w:spacing w:val="-3"/>
          <w:w w:val="95"/>
          <w:sz w:val="18"/>
        </w:rPr>
        <w:t>law</w:t>
      </w:r>
      <w:r>
        <w:rPr>
          <w:rFonts w:ascii="Lucida Sans"/>
          <w:color w:val="231F20"/>
          <w:spacing w:val="-40"/>
          <w:w w:val="95"/>
          <w:sz w:val="18"/>
        </w:rPr>
        <w:t> </w:t>
      </w:r>
      <w:r>
        <w:rPr>
          <w:rFonts w:ascii="Lucida Sans"/>
          <w:color w:val="231F20"/>
          <w:w w:val="95"/>
          <w:sz w:val="18"/>
        </w:rPr>
        <w:t>at</w:t>
      </w:r>
      <w:r>
        <w:rPr>
          <w:rFonts w:ascii="Lucida Sans"/>
          <w:color w:val="231F20"/>
          <w:spacing w:val="-39"/>
          <w:w w:val="95"/>
          <w:sz w:val="18"/>
        </w:rPr>
        <w:t> </w:t>
      </w:r>
      <w:r>
        <w:rPr>
          <w:rFonts w:ascii="Lucida Sans"/>
          <w:color w:val="231F20"/>
          <w:w w:val="95"/>
          <w:sz w:val="18"/>
        </w:rPr>
        <w:t>6</w:t>
      </w:r>
      <w:r>
        <w:rPr>
          <w:rFonts w:ascii="Lucida Sans"/>
          <w:color w:val="231F20"/>
          <w:spacing w:val="-40"/>
          <w:w w:val="95"/>
          <w:sz w:val="18"/>
        </w:rPr>
        <w:t> </w:t>
      </w:r>
      <w:r>
        <w:rPr>
          <w:rFonts w:ascii="Lucida Sans"/>
          <w:color w:val="231F20"/>
          <w:spacing w:val="-3"/>
          <w:w w:val="95"/>
          <w:sz w:val="18"/>
        </w:rPr>
        <w:t>June</w:t>
      </w:r>
      <w:r>
        <w:rPr>
          <w:rFonts w:ascii="Lucida Sans"/>
          <w:color w:val="231F20"/>
          <w:spacing w:val="-40"/>
          <w:w w:val="95"/>
          <w:sz w:val="18"/>
        </w:rPr>
        <w:t> </w:t>
      </w:r>
      <w:r>
        <w:rPr>
          <w:rFonts w:ascii="Lucida Sans"/>
          <w:color w:val="231F20"/>
          <w:spacing w:val="-4"/>
          <w:w w:val="95"/>
          <w:sz w:val="18"/>
        </w:rPr>
        <w:t>2019. </w:t>
      </w:r>
      <w:r>
        <w:rPr>
          <w:rFonts w:ascii="Lucida Sans"/>
          <w:color w:val="231F20"/>
          <w:spacing w:val="-3"/>
          <w:sz w:val="18"/>
        </w:rPr>
        <w:t>Title:</w:t>
      </w:r>
      <w:r>
        <w:rPr>
          <w:rFonts w:ascii="Lucida Sans"/>
          <w:color w:val="231F20"/>
          <w:spacing w:val="-41"/>
          <w:sz w:val="18"/>
        </w:rPr>
        <w:t> </w:t>
      </w:r>
      <w:r>
        <w:rPr>
          <w:rFonts w:ascii="Lucida Sans"/>
          <w:color w:val="231F20"/>
          <w:spacing w:val="-4"/>
          <w:sz w:val="18"/>
        </w:rPr>
        <w:t>Neighbourhood</w:t>
      </w:r>
      <w:r>
        <w:rPr>
          <w:rFonts w:ascii="Lucida Sans"/>
          <w:color w:val="231F20"/>
          <w:spacing w:val="-41"/>
          <w:sz w:val="18"/>
        </w:rPr>
        <w:t> </w:t>
      </w:r>
      <w:r>
        <w:rPr>
          <w:rFonts w:ascii="Lucida Sans"/>
          <w:color w:val="231F20"/>
          <w:spacing w:val="-8"/>
          <w:sz w:val="18"/>
        </w:rPr>
        <w:t>Tree</w:t>
      </w:r>
      <w:r>
        <w:rPr>
          <w:rFonts w:ascii="Lucida Sans"/>
          <w:color w:val="231F20"/>
          <w:spacing w:val="-40"/>
          <w:sz w:val="18"/>
        </w:rPr>
        <w:t> </w:t>
      </w:r>
      <w:r>
        <w:rPr>
          <w:rFonts w:ascii="Lucida Sans"/>
          <w:color w:val="231F20"/>
          <w:spacing w:val="-4"/>
          <w:sz w:val="18"/>
        </w:rPr>
        <w:t>Disputes:</w:t>
      </w:r>
    </w:p>
    <w:p>
      <w:pPr>
        <w:spacing w:line="187" w:lineRule="exact" w:before="0"/>
        <w:ind w:left="141" w:right="0" w:firstLine="0"/>
        <w:jc w:val="left"/>
        <w:rPr>
          <w:rFonts w:ascii="Lucida Sans"/>
          <w:sz w:val="18"/>
        </w:rPr>
      </w:pPr>
      <w:r>
        <w:rPr>
          <w:rFonts w:ascii="Lucida Sans"/>
          <w:color w:val="231F20"/>
          <w:w w:val="90"/>
          <w:sz w:val="18"/>
        </w:rPr>
        <w:t>Report / Victorian Law Reform Commission</w:t>
      </w:r>
    </w:p>
    <w:p>
      <w:pPr>
        <w:spacing w:before="118"/>
        <w:ind w:left="141" w:right="0" w:firstLine="0"/>
        <w:jc w:val="left"/>
        <w:rPr>
          <w:rFonts w:ascii="Lucida Sans"/>
          <w:sz w:val="18"/>
        </w:rPr>
      </w:pPr>
      <w:r>
        <w:rPr>
          <w:rFonts w:ascii="Lucida Sans"/>
          <w:color w:val="231F20"/>
          <w:sz w:val="18"/>
        </w:rPr>
        <w:t>ISBN: 978-0-9943725-1-2</w:t>
      </w:r>
    </w:p>
    <w:p>
      <w:pPr>
        <w:spacing w:before="117"/>
        <w:ind w:left="141" w:right="0" w:firstLine="0"/>
        <w:jc w:val="left"/>
        <w:rPr>
          <w:rFonts w:ascii="Lucida Sans"/>
          <w:sz w:val="18"/>
        </w:rPr>
      </w:pPr>
      <w:r>
        <w:rPr>
          <w:rFonts w:ascii="Gill Sans MT"/>
          <w:color w:val="231F20"/>
          <w:sz w:val="18"/>
        </w:rPr>
        <w:t>Series: </w:t>
      </w:r>
      <w:r>
        <w:rPr>
          <w:rFonts w:ascii="Lucida Sans"/>
          <w:color w:val="231F20"/>
          <w:sz w:val="18"/>
        </w:rPr>
        <w:t>Report (Victorian Law Reform Commission) 39</w:t>
      </w:r>
    </w:p>
    <w:p>
      <w:pPr>
        <w:pStyle w:val="BodyText"/>
        <w:spacing w:before="6" w:after="40"/>
        <w:rPr>
          <w:rFonts w:ascii="Lucida Sans"/>
          <w:sz w:val="16"/>
        </w:rPr>
      </w:pPr>
    </w:p>
    <w:p>
      <w:pPr>
        <w:pStyle w:val="BodyText"/>
        <w:ind w:left="135"/>
        <w:rPr>
          <w:rFonts w:ascii="Lucida Sans"/>
          <w:sz w:val="20"/>
        </w:rPr>
      </w:pPr>
      <w:r>
        <w:rPr>
          <w:rFonts w:ascii="Lucida Sans"/>
          <w:sz w:val="20"/>
        </w:rPr>
        <w:drawing>
          <wp:inline distT="0" distB="0" distL="0" distR="0">
            <wp:extent cx="954164" cy="433387"/>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954164" cy="433387"/>
                    </a:xfrm>
                    <a:prstGeom prst="rect">
                      <a:avLst/>
                    </a:prstGeom>
                  </pic:spPr>
                </pic:pic>
              </a:graphicData>
            </a:graphic>
          </wp:inline>
        </w:drawing>
      </w:r>
      <w:r>
        <w:rPr>
          <w:rFonts w:ascii="Lucida Sans"/>
          <w:sz w:val="20"/>
        </w:rPr>
      </w:r>
    </w:p>
    <w:p>
      <w:pPr>
        <w:pStyle w:val="BodyText"/>
        <w:spacing w:before="9"/>
        <w:rPr>
          <w:rFonts w:ascii="Lucida Sans"/>
          <w:sz w:val="11"/>
        </w:rPr>
      </w:pPr>
      <w:r>
        <w:rPr/>
        <w:br w:type="column"/>
      </w:r>
      <w:r>
        <w:rPr>
          <w:rFonts w:ascii="Lucida Sans"/>
          <w:sz w:val="11"/>
        </w:rPr>
      </w:r>
    </w:p>
    <w:p>
      <w:pPr>
        <w:spacing w:before="0"/>
        <w:ind w:left="135" w:right="0" w:firstLine="0"/>
        <w:jc w:val="left"/>
        <w:rPr>
          <w:rFonts w:ascii="Trebuchet MS"/>
          <w:b/>
          <w:sz w:val="12"/>
        </w:rPr>
      </w:pPr>
      <w:r>
        <w:rPr>
          <w:rFonts w:ascii="Trebuchet MS"/>
          <w:b/>
          <w:color w:val="231F20"/>
          <w:w w:val="140"/>
          <w:sz w:val="12"/>
        </w:rPr>
        <w:t>acting chair</w:t>
      </w:r>
    </w:p>
    <w:p>
      <w:pPr>
        <w:spacing w:before="15"/>
        <w:ind w:left="135" w:right="0" w:firstLine="0"/>
        <w:jc w:val="left"/>
        <w:rPr>
          <w:rFonts w:ascii="Lucida Sans"/>
          <w:sz w:val="18"/>
        </w:rPr>
      </w:pPr>
      <w:r>
        <w:rPr>
          <w:rFonts w:ascii="Lucida Sans"/>
          <w:color w:val="231F20"/>
          <w:spacing w:val="-4"/>
          <w:w w:val="95"/>
          <w:sz w:val="18"/>
        </w:rPr>
        <w:t>Bruce Gardner </w:t>
      </w:r>
      <w:r>
        <w:rPr>
          <w:rFonts w:ascii="Lucida Sans"/>
          <w:color w:val="231F20"/>
          <w:spacing w:val="-3"/>
          <w:w w:val="95"/>
          <w:sz w:val="18"/>
        </w:rPr>
        <w:t>PSM </w:t>
      </w:r>
      <w:r>
        <w:rPr>
          <w:rFonts w:ascii="Lucida Sans"/>
          <w:color w:val="231F20"/>
          <w:spacing w:val="-4"/>
          <w:w w:val="95"/>
          <w:sz w:val="18"/>
        </w:rPr>
        <w:t>(commenced February 2019)</w:t>
      </w:r>
    </w:p>
    <w:p>
      <w:pPr>
        <w:spacing w:before="179"/>
        <w:ind w:left="135" w:right="0" w:firstLine="0"/>
        <w:jc w:val="left"/>
        <w:rPr>
          <w:rFonts w:ascii="Trebuchet MS"/>
          <w:b/>
          <w:sz w:val="12"/>
        </w:rPr>
      </w:pPr>
      <w:r>
        <w:rPr>
          <w:rFonts w:ascii="Trebuchet MS"/>
          <w:b/>
          <w:color w:val="231F20"/>
          <w:w w:val="140"/>
          <w:sz w:val="12"/>
        </w:rPr>
        <w:t>chair</w:t>
      </w:r>
    </w:p>
    <w:p>
      <w:pPr>
        <w:spacing w:before="15"/>
        <w:ind w:left="135" w:right="0" w:firstLine="0"/>
        <w:jc w:val="left"/>
        <w:rPr>
          <w:rFonts w:ascii="Lucida Sans"/>
          <w:sz w:val="18"/>
        </w:rPr>
      </w:pPr>
      <w:r>
        <w:rPr>
          <w:rFonts w:ascii="Lucida Sans"/>
          <w:color w:val="231F20"/>
          <w:spacing w:val="-3"/>
          <w:w w:val="95"/>
          <w:sz w:val="18"/>
        </w:rPr>
        <w:t>The</w:t>
      </w:r>
      <w:r>
        <w:rPr>
          <w:rFonts w:ascii="Lucida Sans"/>
          <w:color w:val="231F20"/>
          <w:spacing w:val="-38"/>
          <w:w w:val="95"/>
          <w:sz w:val="18"/>
        </w:rPr>
        <w:t> </w:t>
      </w:r>
      <w:r>
        <w:rPr>
          <w:rFonts w:ascii="Lucida Sans"/>
          <w:color w:val="231F20"/>
          <w:spacing w:val="-3"/>
          <w:w w:val="95"/>
          <w:sz w:val="18"/>
        </w:rPr>
        <w:t>Hon.</w:t>
      </w:r>
      <w:r>
        <w:rPr>
          <w:rFonts w:ascii="Lucida Sans"/>
          <w:color w:val="231F20"/>
          <w:spacing w:val="-38"/>
          <w:w w:val="95"/>
          <w:sz w:val="18"/>
        </w:rPr>
        <w:t> </w:t>
      </w:r>
      <w:r>
        <w:rPr>
          <w:rFonts w:ascii="Lucida Sans"/>
          <w:color w:val="231F20"/>
          <w:spacing w:val="-4"/>
          <w:w w:val="95"/>
          <w:sz w:val="18"/>
        </w:rPr>
        <w:t>Philip</w:t>
      </w:r>
      <w:r>
        <w:rPr>
          <w:rFonts w:ascii="Lucida Sans"/>
          <w:color w:val="231F20"/>
          <w:spacing w:val="-38"/>
          <w:w w:val="95"/>
          <w:sz w:val="18"/>
        </w:rPr>
        <w:t> </w:t>
      </w:r>
      <w:r>
        <w:rPr>
          <w:rFonts w:ascii="Lucida Sans"/>
          <w:color w:val="231F20"/>
          <w:spacing w:val="-4"/>
          <w:w w:val="95"/>
          <w:sz w:val="18"/>
        </w:rPr>
        <w:t>Cummins</w:t>
      </w:r>
      <w:r>
        <w:rPr>
          <w:rFonts w:ascii="Lucida Sans"/>
          <w:color w:val="231F20"/>
          <w:spacing w:val="-38"/>
          <w:w w:val="95"/>
          <w:sz w:val="18"/>
        </w:rPr>
        <w:t> </w:t>
      </w:r>
      <w:r>
        <w:rPr>
          <w:rFonts w:ascii="Lucida Sans"/>
          <w:color w:val="231F20"/>
          <w:w w:val="95"/>
          <w:sz w:val="18"/>
        </w:rPr>
        <w:t>AM</w:t>
      </w:r>
      <w:r>
        <w:rPr>
          <w:rFonts w:ascii="Lucida Sans"/>
          <w:color w:val="231F20"/>
          <w:spacing w:val="-38"/>
          <w:w w:val="95"/>
          <w:sz w:val="18"/>
        </w:rPr>
        <w:t> </w:t>
      </w:r>
      <w:r>
        <w:rPr>
          <w:rFonts w:ascii="Lucida Sans"/>
          <w:color w:val="231F20"/>
          <w:spacing w:val="-4"/>
          <w:w w:val="95"/>
          <w:sz w:val="18"/>
        </w:rPr>
        <w:t>(until</w:t>
      </w:r>
      <w:r>
        <w:rPr>
          <w:rFonts w:ascii="Lucida Sans"/>
          <w:color w:val="231F20"/>
          <w:spacing w:val="-38"/>
          <w:w w:val="95"/>
          <w:sz w:val="18"/>
        </w:rPr>
        <w:t> </w:t>
      </w:r>
      <w:r>
        <w:rPr>
          <w:rFonts w:ascii="Lucida Sans"/>
          <w:color w:val="231F20"/>
          <w:spacing w:val="-4"/>
          <w:w w:val="95"/>
          <w:sz w:val="18"/>
        </w:rPr>
        <w:t>February</w:t>
      </w:r>
      <w:r>
        <w:rPr>
          <w:rFonts w:ascii="Lucida Sans"/>
          <w:color w:val="231F20"/>
          <w:spacing w:val="-38"/>
          <w:w w:val="95"/>
          <w:sz w:val="18"/>
        </w:rPr>
        <w:t> </w:t>
      </w:r>
      <w:r>
        <w:rPr>
          <w:rFonts w:ascii="Lucida Sans"/>
          <w:color w:val="231F20"/>
          <w:spacing w:val="-4"/>
          <w:w w:val="95"/>
          <w:sz w:val="18"/>
        </w:rPr>
        <w:t>2019)</w:t>
      </w:r>
    </w:p>
    <w:p>
      <w:pPr>
        <w:spacing w:before="179"/>
        <w:ind w:left="135" w:right="0" w:firstLine="0"/>
        <w:jc w:val="left"/>
        <w:rPr>
          <w:rFonts w:ascii="Trebuchet MS"/>
          <w:b/>
          <w:sz w:val="12"/>
        </w:rPr>
      </w:pPr>
      <w:r>
        <w:rPr>
          <w:rFonts w:ascii="Trebuchet MS"/>
          <w:b/>
          <w:color w:val="231F20"/>
          <w:spacing w:val="9"/>
          <w:w w:val="135"/>
          <w:sz w:val="12"/>
        </w:rPr>
        <w:t>commissioners</w:t>
      </w:r>
    </w:p>
    <w:p>
      <w:pPr>
        <w:spacing w:before="15"/>
        <w:ind w:left="135" w:right="0" w:firstLine="0"/>
        <w:jc w:val="left"/>
        <w:rPr>
          <w:rFonts w:ascii="Lucida Sans"/>
          <w:sz w:val="18"/>
        </w:rPr>
      </w:pPr>
      <w:r>
        <w:rPr>
          <w:rFonts w:ascii="Lucida Sans"/>
          <w:color w:val="231F20"/>
          <w:spacing w:val="-4"/>
          <w:w w:val="90"/>
          <w:sz w:val="18"/>
        </w:rPr>
        <w:t>Liana</w:t>
      </w:r>
      <w:r>
        <w:rPr>
          <w:rFonts w:ascii="Lucida Sans"/>
          <w:color w:val="231F20"/>
          <w:spacing w:val="7"/>
          <w:w w:val="90"/>
          <w:sz w:val="18"/>
        </w:rPr>
        <w:t> </w:t>
      </w:r>
      <w:r>
        <w:rPr>
          <w:rFonts w:ascii="Lucida Sans"/>
          <w:color w:val="231F20"/>
          <w:spacing w:val="-4"/>
          <w:w w:val="90"/>
          <w:sz w:val="18"/>
        </w:rPr>
        <w:t>Buchanan*</w:t>
      </w:r>
    </w:p>
    <w:p>
      <w:pPr>
        <w:spacing w:line="244" w:lineRule="auto" w:before="4"/>
        <w:ind w:left="135" w:right="1492" w:firstLine="0"/>
        <w:jc w:val="left"/>
        <w:rPr>
          <w:rFonts w:ascii="Lucida Sans"/>
          <w:sz w:val="18"/>
        </w:rPr>
      </w:pPr>
      <w:r>
        <w:rPr>
          <w:rFonts w:ascii="Lucida Sans"/>
          <w:color w:val="231F20"/>
          <w:sz w:val="18"/>
        </w:rPr>
        <w:t>Dr </w:t>
      </w:r>
      <w:r>
        <w:rPr>
          <w:rFonts w:ascii="Lucida Sans"/>
          <w:color w:val="231F20"/>
          <w:spacing w:val="-3"/>
          <w:sz w:val="18"/>
        </w:rPr>
        <w:t>Ian </w:t>
      </w:r>
      <w:r>
        <w:rPr>
          <w:rFonts w:ascii="Lucida Sans"/>
          <w:color w:val="231F20"/>
          <w:spacing w:val="-4"/>
          <w:sz w:val="18"/>
        </w:rPr>
        <w:t>Hardingham QC* </w:t>
      </w:r>
      <w:r>
        <w:rPr>
          <w:rFonts w:ascii="Lucida Sans"/>
          <w:color w:val="231F20"/>
          <w:spacing w:val="-4"/>
          <w:w w:val="90"/>
          <w:sz w:val="18"/>
        </w:rPr>
        <w:t>Professor Bernadette McSherry* </w:t>
      </w:r>
      <w:r>
        <w:rPr>
          <w:rFonts w:ascii="Lucida Sans"/>
          <w:color w:val="231F20"/>
          <w:spacing w:val="-3"/>
          <w:sz w:val="18"/>
        </w:rPr>
        <w:t>Dan </w:t>
      </w:r>
      <w:r>
        <w:rPr>
          <w:rFonts w:ascii="Lucida Sans"/>
          <w:color w:val="231F20"/>
          <w:spacing w:val="-4"/>
          <w:sz w:val="18"/>
        </w:rPr>
        <w:t>Nicholson</w:t>
      </w:r>
    </w:p>
    <w:p>
      <w:pPr>
        <w:spacing w:line="244" w:lineRule="auto" w:before="0"/>
        <w:ind w:left="135" w:right="1707" w:firstLine="0"/>
        <w:jc w:val="left"/>
        <w:rPr>
          <w:rFonts w:ascii="Lucida Sans" w:hAnsi="Lucida Sans"/>
          <w:sz w:val="18"/>
        </w:rPr>
      </w:pPr>
      <w:r>
        <w:rPr>
          <w:rFonts w:ascii="Lucida Sans" w:hAnsi="Lucida Sans"/>
          <w:color w:val="231F20"/>
          <w:spacing w:val="-4"/>
          <w:w w:val="95"/>
          <w:sz w:val="18"/>
        </w:rPr>
        <w:t>Alison O’Brien PSM* Gemma </w:t>
      </w:r>
      <w:r>
        <w:rPr>
          <w:rFonts w:ascii="Lucida Sans" w:hAnsi="Lucida Sans"/>
          <w:color w:val="231F20"/>
          <w:spacing w:val="-5"/>
          <w:w w:val="95"/>
          <w:sz w:val="18"/>
        </w:rPr>
        <w:t>Varley </w:t>
      </w:r>
      <w:r>
        <w:rPr>
          <w:rFonts w:ascii="Lucida Sans" w:hAnsi="Lucida Sans"/>
          <w:color w:val="231F20"/>
          <w:spacing w:val="-4"/>
          <w:w w:val="95"/>
          <w:sz w:val="18"/>
        </w:rPr>
        <w:t>PSM*</w:t>
      </w:r>
    </w:p>
    <w:p>
      <w:pPr>
        <w:spacing w:line="212" w:lineRule="exact" w:before="0"/>
        <w:ind w:left="135" w:right="0" w:firstLine="0"/>
        <w:jc w:val="left"/>
        <w:rPr>
          <w:rFonts w:ascii="Lucida Sans"/>
          <w:sz w:val="18"/>
        </w:rPr>
      </w:pPr>
      <w:r>
        <w:rPr>
          <w:rFonts w:ascii="Lucida Sans"/>
          <w:color w:val="231F20"/>
          <w:sz w:val="18"/>
        </w:rPr>
        <w:t>The Hon. Frank Vincent AO QC</w:t>
      </w:r>
    </w:p>
    <w:p>
      <w:pPr>
        <w:spacing w:before="117"/>
        <w:ind w:left="135" w:right="0" w:firstLine="0"/>
        <w:jc w:val="left"/>
        <w:rPr>
          <w:rFonts w:ascii="Lucida Sans"/>
          <w:i/>
          <w:sz w:val="18"/>
        </w:rPr>
      </w:pPr>
      <w:r>
        <w:rPr>
          <w:rFonts w:ascii="Lucida Sans"/>
          <w:color w:val="231F20"/>
          <w:sz w:val="18"/>
        </w:rPr>
        <w:t>*</w:t>
      </w:r>
      <w:r>
        <w:rPr>
          <w:rFonts w:ascii="Lucida Sans"/>
          <w:i/>
          <w:color w:val="231F20"/>
          <w:sz w:val="18"/>
        </w:rPr>
        <w:t>Commissioners working on this project</w:t>
      </w:r>
    </w:p>
    <w:p>
      <w:pPr>
        <w:spacing w:before="179"/>
        <w:ind w:left="135" w:right="0" w:firstLine="0"/>
        <w:jc w:val="left"/>
        <w:rPr>
          <w:rFonts w:ascii="Trebuchet MS"/>
          <w:b/>
          <w:sz w:val="12"/>
        </w:rPr>
      </w:pPr>
      <w:r>
        <w:rPr>
          <w:rFonts w:ascii="Trebuchet MS"/>
          <w:b/>
          <w:color w:val="231F20"/>
          <w:w w:val="130"/>
          <w:sz w:val="12"/>
        </w:rPr>
        <w:t>chief executive officer</w:t>
      </w:r>
    </w:p>
    <w:p>
      <w:pPr>
        <w:spacing w:before="15"/>
        <w:ind w:left="135" w:right="0" w:firstLine="0"/>
        <w:jc w:val="left"/>
        <w:rPr>
          <w:rFonts w:ascii="Lucida Sans"/>
          <w:sz w:val="18"/>
        </w:rPr>
      </w:pPr>
      <w:r>
        <w:rPr>
          <w:rFonts w:ascii="Lucida Sans"/>
          <w:color w:val="231F20"/>
          <w:sz w:val="18"/>
        </w:rPr>
        <w:t>Merrin Mason</w:t>
      </w:r>
    </w:p>
    <w:p>
      <w:pPr>
        <w:spacing w:before="4"/>
        <w:ind w:left="135" w:right="0" w:firstLine="0"/>
        <w:jc w:val="left"/>
        <w:rPr>
          <w:rFonts w:ascii="Lucida Sans"/>
          <w:sz w:val="18"/>
        </w:rPr>
      </w:pPr>
      <w:r>
        <w:rPr>
          <w:rFonts w:ascii="Lucida Sans"/>
          <w:color w:val="231F20"/>
          <w:sz w:val="18"/>
        </w:rPr>
        <w:t>Lindy Smith (Acting CEO)</w:t>
      </w:r>
    </w:p>
    <w:p>
      <w:pPr>
        <w:spacing w:before="179"/>
        <w:ind w:left="135" w:right="0" w:firstLine="0"/>
        <w:jc w:val="left"/>
        <w:rPr>
          <w:rFonts w:ascii="Trebuchet MS"/>
          <w:b/>
          <w:sz w:val="12"/>
        </w:rPr>
      </w:pPr>
      <w:r>
        <w:rPr>
          <w:rFonts w:ascii="Trebuchet MS"/>
          <w:b/>
          <w:color w:val="231F20"/>
          <w:w w:val="135"/>
          <w:sz w:val="12"/>
        </w:rPr>
        <w:t>reference team</w:t>
      </w:r>
    </w:p>
    <w:p>
      <w:pPr>
        <w:spacing w:before="15"/>
        <w:ind w:left="135" w:right="0" w:firstLine="0"/>
        <w:jc w:val="left"/>
        <w:rPr>
          <w:rFonts w:ascii="Lucida Sans"/>
          <w:sz w:val="18"/>
        </w:rPr>
      </w:pPr>
      <w:r>
        <w:rPr>
          <w:rFonts w:ascii="Lucida Sans"/>
          <w:color w:val="231F20"/>
          <w:sz w:val="18"/>
        </w:rPr>
        <w:t>Emma Cashen (team leader)</w:t>
      </w:r>
    </w:p>
    <w:p>
      <w:pPr>
        <w:spacing w:line="244" w:lineRule="auto" w:before="4"/>
        <w:ind w:left="135" w:right="257" w:firstLine="0"/>
        <w:jc w:val="left"/>
        <w:rPr>
          <w:rFonts w:ascii="Lucida Sans"/>
          <w:sz w:val="18"/>
        </w:rPr>
      </w:pPr>
      <w:r>
        <w:rPr>
          <w:rFonts w:ascii="Lucida Sans"/>
          <w:color w:val="231F20"/>
          <w:spacing w:val="-4"/>
          <w:w w:val="90"/>
          <w:sz w:val="18"/>
        </w:rPr>
        <w:t>Natalie Lilford (community </w:t>
      </w:r>
      <w:r>
        <w:rPr>
          <w:rFonts w:ascii="Lucida Sans"/>
          <w:color w:val="231F20"/>
          <w:spacing w:val="-3"/>
          <w:w w:val="90"/>
          <w:sz w:val="18"/>
        </w:rPr>
        <w:t>law </w:t>
      </w:r>
      <w:r>
        <w:rPr>
          <w:rFonts w:ascii="Lucida Sans"/>
          <w:color w:val="231F20"/>
          <w:spacing w:val="-4"/>
          <w:w w:val="90"/>
          <w:sz w:val="18"/>
        </w:rPr>
        <w:t>reform manager) </w:t>
      </w:r>
      <w:r>
        <w:rPr>
          <w:rFonts w:ascii="Lucida Sans"/>
          <w:color w:val="231F20"/>
          <w:spacing w:val="-3"/>
          <w:sz w:val="18"/>
        </w:rPr>
        <w:t>Hana </w:t>
      </w:r>
      <w:r>
        <w:rPr>
          <w:rFonts w:ascii="Lucida Sans"/>
          <w:color w:val="231F20"/>
          <w:spacing w:val="-4"/>
          <w:sz w:val="18"/>
        </w:rPr>
        <w:t>Shahkhan</w:t>
      </w:r>
    </w:p>
    <w:p>
      <w:pPr>
        <w:spacing w:line="212" w:lineRule="exact" w:before="0"/>
        <w:ind w:left="135" w:right="0" w:firstLine="0"/>
        <w:jc w:val="left"/>
        <w:rPr>
          <w:rFonts w:ascii="Lucida Sans"/>
          <w:sz w:val="18"/>
        </w:rPr>
      </w:pPr>
      <w:r>
        <w:rPr>
          <w:rFonts w:ascii="Lucida Sans"/>
          <w:color w:val="231F20"/>
          <w:sz w:val="18"/>
        </w:rPr>
        <w:t>Anna Woods</w:t>
      </w:r>
    </w:p>
    <w:p>
      <w:pPr>
        <w:spacing w:before="179"/>
        <w:ind w:left="135" w:right="0" w:firstLine="0"/>
        <w:jc w:val="left"/>
        <w:rPr>
          <w:rFonts w:ascii="Trebuchet MS"/>
          <w:b/>
          <w:sz w:val="12"/>
        </w:rPr>
      </w:pPr>
      <w:r>
        <w:rPr>
          <w:rFonts w:ascii="Trebuchet MS"/>
          <w:b/>
          <w:color w:val="231F20"/>
          <w:w w:val="130"/>
          <w:sz w:val="12"/>
        </w:rPr>
        <w:t>cover design</w:t>
      </w:r>
    </w:p>
    <w:p>
      <w:pPr>
        <w:spacing w:before="15"/>
        <w:ind w:left="135" w:right="0" w:firstLine="0"/>
        <w:jc w:val="left"/>
        <w:rPr>
          <w:rFonts w:ascii="Lucida Sans"/>
          <w:sz w:val="18"/>
        </w:rPr>
      </w:pPr>
      <w:r>
        <w:rPr>
          <w:rFonts w:ascii="Lucida Sans"/>
          <w:color w:val="231F20"/>
          <w:w w:val="95"/>
          <w:sz w:val="18"/>
        </w:rPr>
        <w:t>Letterbox</w:t>
      </w:r>
    </w:p>
    <w:p>
      <w:pPr>
        <w:spacing w:before="179"/>
        <w:ind w:left="135" w:right="0" w:firstLine="0"/>
        <w:jc w:val="left"/>
        <w:rPr>
          <w:rFonts w:ascii="Trebuchet MS"/>
          <w:b/>
          <w:sz w:val="12"/>
        </w:rPr>
      </w:pPr>
      <w:r>
        <w:rPr>
          <w:rFonts w:ascii="Trebuchet MS"/>
          <w:b/>
          <w:color w:val="231F20"/>
          <w:w w:val="140"/>
          <w:sz w:val="12"/>
        </w:rPr>
        <w:t>text layout</w:t>
      </w:r>
    </w:p>
    <w:p>
      <w:pPr>
        <w:spacing w:before="15"/>
        <w:ind w:left="135" w:right="0" w:firstLine="0"/>
        <w:jc w:val="left"/>
        <w:rPr>
          <w:rFonts w:ascii="Lucida Sans"/>
          <w:sz w:val="18"/>
        </w:rPr>
      </w:pPr>
      <w:r>
        <w:rPr>
          <w:rFonts w:ascii="Lucida Sans"/>
          <w:color w:val="231F20"/>
          <w:sz w:val="18"/>
        </w:rPr>
        <w:t>GH2 design</w:t>
      </w:r>
    </w:p>
    <w:p>
      <w:pPr>
        <w:spacing w:after="0"/>
        <w:jc w:val="left"/>
        <w:rPr>
          <w:rFonts w:ascii="Lucida Sans"/>
          <w:sz w:val="18"/>
        </w:rPr>
        <w:sectPr>
          <w:type w:val="continuous"/>
          <w:pgSz w:w="11890" w:h="16830"/>
          <w:pgMar w:top="300" w:bottom="280" w:left="1680" w:right="1380"/>
          <w:cols w:num="2" w:equalWidth="0">
            <w:col w:w="4699" w:space="126"/>
            <w:col w:w="4005"/>
          </w:cols>
        </w:sectPr>
      </w:pPr>
    </w:p>
    <w:p>
      <w:pPr>
        <w:spacing w:line="196" w:lineRule="auto" w:before="187"/>
        <w:ind w:left="2055" w:right="3670" w:firstLine="0"/>
        <w:jc w:val="left"/>
        <w:rPr>
          <w:rFonts w:ascii="Lucida Sans"/>
          <w:sz w:val="89"/>
        </w:rPr>
      </w:pPr>
      <w:r>
        <w:rPr>
          <w:rFonts w:ascii="Lucida Sans"/>
          <w:color w:val="678565"/>
          <w:spacing w:val="-54"/>
          <w:w w:val="85"/>
          <w:sz w:val="89"/>
        </w:rPr>
        <w:t>Neighbourhood </w:t>
      </w:r>
      <w:r>
        <w:rPr>
          <w:rFonts w:ascii="Lucida Sans"/>
          <w:color w:val="678565"/>
          <w:spacing w:val="-66"/>
          <w:w w:val="95"/>
          <w:sz w:val="89"/>
        </w:rPr>
        <w:t>Tree</w:t>
      </w:r>
      <w:r>
        <w:rPr>
          <w:rFonts w:ascii="Lucida Sans"/>
          <w:color w:val="678565"/>
          <w:spacing w:val="-191"/>
          <w:w w:val="95"/>
          <w:sz w:val="89"/>
        </w:rPr>
        <w:t> </w:t>
      </w:r>
      <w:r>
        <w:rPr>
          <w:rFonts w:ascii="Lucida Sans"/>
          <w:color w:val="678565"/>
          <w:spacing w:val="-54"/>
          <w:w w:val="95"/>
          <w:sz w:val="89"/>
        </w:rPr>
        <w:t>Disputes</w:t>
      </w:r>
    </w:p>
    <w:p>
      <w:pPr>
        <w:spacing w:before="181"/>
        <w:ind w:left="2097" w:right="0" w:firstLine="0"/>
        <w:jc w:val="left"/>
        <w:rPr>
          <w:rFonts w:ascii="Lucida Sans"/>
          <w:sz w:val="22"/>
        </w:rPr>
      </w:pPr>
      <w:r>
        <w:rPr>
          <w:rFonts w:ascii="Trebuchet MS"/>
          <w:b/>
          <w:color w:val="678565"/>
          <w:sz w:val="22"/>
        </w:rPr>
        <w:t>REPORT </w:t>
      </w:r>
      <w:r>
        <w:rPr>
          <w:rFonts w:ascii="Lucida Sans"/>
          <w:color w:val="678565"/>
          <w:sz w:val="22"/>
        </w:rPr>
        <w:t>JULY 2019</w:t>
      </w: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spacing w:before="4"/>
        <w:rPr>
          <w:rFonts w:ascii="Lucida Sans"/>
          <w:sz w:val="35"/>
        </w:rPr>
      </w:pPr>
    </w:p>
    <w:p>
      <w:pPr>
        <w:pStyle w:val="Heading6"/>
        <w:ind w:left="2069"/>
      </w:pPr>
      <w:r>
        <w:rPr>
          <w:color w:val="678565"/>
          <w:w w:val="105"/>
        </w:rPr>
        <w:t>A COMMUNITY LAW REFORM PROJECT</w:t>
      </w:r>
    </w:p>
    <w:p>
      <w:pPr>
        <w:pStyle w:val="BodyText"/>
        <w:spacing w:before="6"/>
        <w:rPr>
          <w:rFonts w:ascii="Trebuchet MS"/>
          <w:b/>
          <w:sz w:val="27"/>
        </w:rPr>
      </w:pPr>
      <w:r>
        <w:rPr/>
        <w:pict>
          <v:line style="position:absolute;mso-position-horizontal-relative:page;mso-position-vertical-relative:paragraph;z-index:-880;mso-wrap-distance-left:0;mso-wrap-distance-right:0" from="81.354103pt,18.213182pt" to="555.023103pt,18.213182pt" stroked="true" strokeweight=".5pt" strokecolor="#000000">
            <v:stroke dashstyle="solid"/>
            <w10:wrap type="topAndBottom"/>
          </v:line>
        </w:pict>
      </w:r>
    </w:p>
    <w:p>
      <w:pPr>
        <w:spacing w:after="0"/>
        <w:rPr>
          <w:rFonts w:ascii="Trebuchet MS"/>
          <w:sz w:val="27"/>
        </w:rPr>
        <w:sectPr>
          <w:headerReference w:type="default" r:id="rId11"/>
          <w:pgSz w:w="11910" w:h="16840"/>
          <w:pgMar w:header="0" w:footer="0" w:top="980" w:bottom="280" w:left="0" w:right="0"/>
        </w:sectPr>
      </w:pPr>
    </w:p>
    <w:p>
      <w:pPr>
        <w:spacing w:line="237" w:lineRule="auto" w:before="75"/>
        <w:ind w:left="2919" w:right="0" w:firstLine="0"/>
        <w:jc w:val="left"/>
        <w:rPr>
          <w:rFonts w:ascii="Lucida Sans"/>
          <w:sz w:val="18"/>
        </w:rPr>
      </w:pPr>
      <w:r>
        <w:rPr>
          <w:rFonts w:ascii="Trebuchet MS"/>
          <w:sz w:val="18"/>
        </w:rPr>
        <w:t>Victorian Law Reform Commission </w:t>
      </w:r>
      <w:r>
        <w:rPr>
          <w:rFonts w:ascii="Lucida Sans"/>
          <w:sz w:val="18"/>
        </w:rPr>
        <w:t>GPO Box 4637</w:t>
      </w:r>
    </w:p>
    <w:p>
      <w:pPr>
        <w:spacing w:before="0"/>
        <w:ind w:left="2919" w:right="530" w:firstLine="0"/>
        <w:jc w:val="left"/>
        <w:rPr>
          <w:rFonts w:ascii="Lucida Sans"/>
          <w:sz w:val="18"/>
        </w:rPr>
      </w:pPr>
      <w:r>
        <w:rPr/>
        <w:drawing>
          <wp:anchor distT="0" distB="0" distL="0" distR="0" allowOverlap="1" layoutInCell="1" locked="0" behindDoc="0" simplePos="0" relativeHeight="1216">
            <wp:simplePos x="0" y="0"/>
            <wp:positionH relativeFrom="page">
              <wp:posOffset>1022391</wp:posOffset>
            </wp:positionH>
            <wp:positionV relativeFrom="paragraph">
              <wp:posOffset>-360588</wp:posOffset>
            </wp:positionV>
            <wp:extent cx="594706" cy="725803"/>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594706" cy="725803"/>
                    </a:xfrm>
                    <a:prstGeom prst="rect">
                      <a:avLst/>
                    </a:prstGeom>
                  </pic:spPr>
                </pic:pic>
              </a:graphicData>
            </a:graphic>
          </wp:anchor>
        </w:drawing>
      </w:r>
      <w:r>
        <w:rPr>
          <w:rFonts w:ascii="Lucida Sans"/>
          <w:sz w:val="18"/>
        </w:rPr>
        <w:t>Melbourne </w:t>
      </w:r>
      <w:r>
        <w:rPr>
          <w:rFonts w:ascii="Lucida Sans"/>
          <w:w w:val="90"/>
          <w:sz w:val="18"/>
        </w:rPr>
        <w:t>Victoria 3001 </w:t>
      </w:r>
      <w:r>
        <w:rPr>
          <w:rFonts w:ascii="Lucida Sans"/>
          <w:sz w:val="18"/>
        </w:rPr>
        <w:t>Australia</w:t>
      </w:r>
    </w:p>
    <w:p>
      <w:pPr>
        <w:spacing w:before="51"/>
        <w:ind w:left="2919" w:right="0" w:firstLine="0"/>
        <w:jc w:val="left"/>
        <w:rPr>
          <w:rFonts w:ascii="Lucida Sans"/>
          <w:sz w:val="18"/>
        </w:rPr>
      </w:pPr>
      <w:r>
        <w:rPr>
          <w:rFonts w:ascii="Lucida Sans"/>
          <w:sz w:val="18"/>
        </w:rPr>
        <w:t>DX</w:t>
      </w:r>
      <w:r>
        <w:rPr>
          <w:rFonts w:ascii="Lucida Sans"/>
          <w:spacing w:val="-43"/>
          <w:sz w:val="18"/>
        </w:rPr>
        <w:t> </w:t>
      </w:r>
      <w:r>
        <w:rPr>
          <w:rFonts w:ascii="Lucida Sans"/>
          <w:spacing w:val="-3"/>
          <w:sz w:val="18"/>
        </w:rPr>
        <w:t>144,</w:t>
      </w:r>
      <w:r>
        <w:rPr>
          <w:rFonts w:ascii="Lucida Sans"/>
          <w:spacing w:val="-42"/>
          <w:sz w:val="18"/>
        </w:rPr>
        <w:t> </w:t>
      </w:r>
      <w:r>
        <w:rPr>
          <w:rFonts w:ascii="Lucida Sans"/>
          <w:spacing w:val="-4"/>
          <w:sz w:val="18"/>
        </w:rPr>
        <w:t>Melbourne</w:t>
      </w:r>
    </w:p>
    <w:p>
      <w:pPr>
        <w:spacing w:line="211" w:lineRule="exact" w:before="70"/>
        <w:ind w:left="471" w:right="0" w:firstLine="0"/>
        <w:jc w:val="left"/>
        <w:rPr>
          <w:rFonts w:ascii="Lucida Sans"/>
          <w:sz w:val="18"/>
        </w:rPr>
      </w:pPr>
      <w:r>
        <w:rPr/>
        <w:br w:type="column"/>
      </w:r>
      <w:r>
        <w:rPr>
          <w:rFonts w:ascii="Lucida Sans"/>
          <w:w w:val="95"/>
          <w:sz w:val="18"/>
        </w:rPr>
        <w:t>Level 3</w:t>
      </w:r>
    </w:p>
    <w:p>
      <w:pPr>
        <w:spacing w:before="0"/>
        <w:ind w:left="471" w:right="-13" w:firstLine="0"/>
        <w:jc w:val="left"/>
        <w:rPr>
          <w:rFonts w:ascii="Lucida Sans"/>
          <w:sz w:val="18"/>
        </w:rPr>
      </w:pPr>
      <w:r>
        <w:rPr>
          <w:rFonts w:ascii="Lucida Sans"/>
          <w:spacing w:val="-3"/>
          <w:w w:val="95"/>
          <w:sz w:val="18"/>
        </w:rPr>
        <w:t>333</w:t>
      </w:r>
      <w:r>
        <w:rPr>
          <w:rFonts w:ascii="Lucida Sans"/>
          <w:spacing w:val="-40"/>
          <w:w w:val="95"/>
          <w:sz w:val="18"/>
        </w:rPr>
        <w:t> </w:t>
      </w:r>
      <w:r>
        <w:rPr>
          <w:rFonts w:ascii="Lucida Sans"/>
          <w:spacing w:val="-4"/>
          <w:w w:val="95"/>
          <w:sz w:val="18"/>
        </w:rPr>
        <w:t>Queen</w:t>
      </w:r>
      <w:r>
        <w:rPr>
          <w:rFonts w:ascii="Lucida Sans"/>
          <w:spacing w:val="-39"/>
          <w:w w:val="95"/>
          <w:sz w:val="18"/>
        </w:rPr>
        <w:t> </w:t>
      </w:r>
      <w:r>
        <w:rPr>
          <w:rFonts w:ascii="Lucida Sans"/>
          <w:spacing w:val="-8"/>
          <w:w w:val="95"/>
          <w:sz w:val="18"/>
        </w:rPr>
        <w:t>Street </w:t>
      </w:r>
      <w:r>
        <w:rPr>
          <w:rFonts w:ascii="Lucida Sans"/>
          <w:spacing w:val="-4"/>
          <w:sz w:val="18"/>
        </w:rPr>
        <w:t>Melbourne Victoria 3000 Australia</w:t>
      </w:r>
    </w:p>
    <w:p>
      <w:pPr>
        <w:spacing w:line="207" w:lineRule="exact" w:before="75"/>
        <w:ind w:left="350" w:right="0" w:firstLine="0"/>
        <w:jc w:val="left"/>
        <w:rPr>
          <w:rFonts w:ascii="Trebuchet MS"/>
          <w:sz w:val="18"/>
        </w:rPr>
      </w:pPr>
      <w:r>
        <w:rPr/>
        <w:br w:type="column"/>
      </w:r>
      <w:r>
        <w:rPr>
          <w:rFonts w:ascii="Trebuchet MS"/>
          <w:w w:val="105"/>
          <w:sz w:val="18"/>
        </w:rPr>
        <w:t>Telephone</w:t>
      </w:r>
    </w:p>
    <w:p>
      <w:pPr>
        <w:spacing w:line="210" w:lineRule="exact" w:before="0"/>
        <w:ind w:left="350" w:right="0" w:firstLine="0"/>
        <w:jc w:val="left"/>
        <w:rPr>
          <w:rFonts w:ascii="Lucida Sans"/>
          <w:sz w:val="18"/>
        </w:rPr>
      </w:pPr>
      <w:r>
        <w:rPr>
          <w:rFonts w:ascii="Lucida Sans"/>
          <w:spacing w:val="-3"/>
          <w:w w:val="95"/>
          <w:sz w:val="18"/>
        </w:rPr>
        <w:t>+61</w:t>
      </w:r>
      <w:r>
        <w:rPr>
          <w:rFonts w:ascii="Lucida Sans"/>
          <w:spacing w:val="-37"/>
          <w:w w:val="95"/>
          <w:sz w:val="18"/>
        </w:rPr>
        <w:t> </w:t>
      </w:r>
      <w:r>
        <w:rPr>
          <w:rFonts w:ascii="Lucida Sans"/>
          <w:w w:val="95"/>
          <w:sz w:val="18"/>
        </w:rPr>
        <w:t>3</w:t>
      </w:r>
      <w:r>
        <w:rPr>
          <w:rFonts w:ascii="Lucida Sans"/>
          <w:spacing w:val="-37"/>
          <w:w w:val="95"/>
          <w:sz w:val="18"/>
        </w:rPr>
        <w:t> </w:t>
      </w:r>
      <w:r>
        <w:rPr>
          <w:rFonts w:ascii="Lucida Sans"/>
          <w:spacing w:val="-3"/>
          <w:w w:val="95"/>
          <w:sz w:val="18"/>
        </w:rPr>
        <w:t>8608</w:t>
      </w:r>
      <w:r>
        <w:rPr>
          <w:rFonts w:ascii="Lucida Sans"/>
          <w:spacing w:val="-36"/>
          <w:w w:val="95"/>
          <w:sz w:val="18"/>
        </w:rPr>
        <w:t> </w:t>
      </w:r>
      <w:r>
        <w:rPr>
          <w:rFonts w:ascii="Lucida Sans"/>
          <w:spacing w:val="-8"/>
          <w:w w:val="95"/>
          <w:sz w:val="18"/>
        </w:rPr>
        <w:t>7800</w:t>
      </w:r>
    </w:p>
    <w:p>
      <w:pPr>
        <w:spacing w:line="207" w:lineRule="exact" w:before="60"/>
        <w:ind w:left="350" w:right="0" w:firstLine="0"/>
        <w:jc w:val="left"/>
        <w:rPr>
          <w:rFonts w:ascii="Trebuchet MS"/>
          <w:sz w:val="18"/>
        </w:rPr>
      </w:pPr>
      <w:r>
        <w:rPr>
          <w:rFonts w:ascii="Trebuchet MS"/>
          <w:sz w:val="18"/>
        </w:rPr>
        <w:t>Freecall</w:t>
      </w:r>
    </w:p>
    <w:p>
      <w:pPr>
        <w:spacing w:line="209" w:lineRule="exact" w:before="0"/>
        <w:ind w:left="350" w:right="0" w:firstLine="0"/>
        <w:jc w:val="left"/>
        <w:rPr>
          <w:rFonts w:ascii="Lucida Sans"/>
          <w:sz w:val="18"/>
        </w:rPr>
      </w:pPr>
      <w:r>
        <w:rPr>
          <w:rFonts w:ascii="Lucida Sans"/>
          <w:sz w:val="18"/>
        </w:rPr>
        <w:t>1300 666 555</w:t>
      </w:r>
    </w:p>
    <w:p>
      <w:pPr>
        <w:spacing w:line="211" w:lineRule="exact" w:before="0"/>
        <w:ind w:left="350" w:right="0" w:firstLine="0"/>
        <w:jc w:val="left"/>
        <w:rPr>
          <w:rFonts w:ascii="Lucida Sans"/>
          <w:i/>
          <w:sz w:val="18"/>
        </w:rPr>
      </w:pPr>
      <w:r>
        <w:rPr>
          <w:rFonts w:ascii="Lucida Sans"/>
          <w:i/>
          <w:spacing w:val="-4"/>
          <w:w w:val="95"/>
          <w:sz w:val="18"/>
        </w:rPr>
        <w:t>(within </w:t>
      </w:r>
      <w:r>
        <w:rPr>
          <w:rFonts w:ascii="Lucida Sans"/>
          <w:i/>
          <w:spacing w:val="-5"/>
          <w:w w:val="95"/>
          <w:sz w:val="18"/>
        </w:rPr>
        <w:t>Victoria)</w:t>
      </w:r>
    </w:p>
    <w:p>
      <w:pPr>
        <w:spacing w:line="207" w:lineRule="exact" w:before="60"/>
        <w:ind w:left="350" w:right="0" w:firstLine="0"/>
        <w:jc w:val="left"/>
        <w:rPr>
          <w:rFonts w:ascii="Trebuchet MS"/>
          <w:sz w:val="18"/>
        </w:rPr>
      </w:pPr>
      <w:r>
        <w:rPr>
          <w:rFonts w:ascii="Trebuchet MS"/>
          <w:sz w:val="18"/>
        </w:rPr>
        <w:t>Fax</w:t>
      </w:r>
    </w:p>
    <w:p>
      <w:pPr>
        <w:spacing w:line="210" w:lineRule="exact" w:before="0"/>
        <w:ind w:left="350" w:right="0" w:firstLine="0"/>
        <w:jc w:val="left"/>
        <w:rPr>
          <w:rFonts w:ascii="Lucida Sans"/>
          <w:sz w:val="18"/>
        </w:rPr>
      </w:pPr>
      <w:r>
        <w:rPr>
          <w:rFonts w:ascii="Lucida Sans"/>
          <w:spacing w:val="-3"/>
          <w:w w:val="95"/>
          <w:sz w:val="18"/>
        </w:rPr>
        <w:t>+61</w:t>
      </w:r>
      <w:r>
        <w:rPr>
          <w:rFonts w:ascii="Lucida Sans"/>
          <w:spacing w:val="-37"/>
          <w:w w:val="95"/>
          <w:sz w:val="18"/>
        </w:rPr>
        <w:t> </w:t>
      </w:r>
      <w:r>
        <w:rPr>
          <w:rFonts w:ascii="Lucida Sans"/>
          <w:w w:val="95"/>
          <w:sz w:val="18"/>
        </w:rPr>
        <w:t>3</w:t>
      </w:r>
      <w:r>
        <w:rPr>
          <w:rFonts w:ascii="Lucida Sans"/>
          <w:spacing w:val="-37"/>
          <w:w w:val="95"/>
          <w:sz w:val="18"/>
        </w:rPr>
        <w:t> </w:t>
      </w:r>
      <w:r>
        <w:rPr>
          <w:rFonts w:ascii="Lucida Sans"/>
          <w:spacing w:val="-3"/>
          <w:w w:val="95"/>
          <w:sz w:val="18"/>
        </w:rPr>
        <w:t>8608</w:t>
      </w:r>
      <w:r>
        <w:rPr>
          <w:rFonts w:ascii="Lucida Sans"/>
          <w:spacing w:val="-36"/>
          <w:w w:val="95"/>
          <w:sz w:val="18"/>
        </w:rPr>
        <w:t> </w:t>
      </w:r>
      <w:r>
        <w:rPr>
          <w:rFonts w:ascii="Lucida Sans"/>
          <w:spacing w:val="-8"/>
          <w:w w:val="95"/>
          <w:sz w:val="18"/>
        </w:rPr>
        <w:t>7888</w:t>
      </w:r>
    </w:p>
    <w:p>
      <w:pPr>
        <w:spacing w:before="75"/>
        <w:ind w:left="423" w:right="0" w:firstLine="0"/>
        <w:jc w:val="left"/>
        <w:rPr>
          <w:rFonts w:ascii="Trebuchet MS"/>
          <w:sz w:val="18"/>
        </w:rPr>
      </w:pPr>
      <w:r>
        <w:rPr/>
        <w:br w:type="column"/>
      </w:r>
      <w:r>
        <w:rPr>
          <w:rFonts w:ascii="Trebuchet MS"/>
          <w:w w:val="105"/>
          <w:sz w:val="18"/>
        </w:rPr>
        <w:t>Email</w:t>
      </w:r>
    </w:p>
    <w:p>
      <w:pPr>
        <w:spacing w:before="6"/>
        <w:ind w:left="423" w:right="0" w:firstLine="0"/>
        <w:jc w:val="left"/>
        <w:rPr>
          <w:rFonts w:ascii="Lucida Sans"/>
          <w:sz w:val="18"/>
        </w:rPr>
      </w:pPr>
      <w:hyperlink r:id="rId13">
        <w:r>
          <w:rPr>
            <w:rFonts w:ascii="Lucida Sans"/>
            <w:sz w:val="18"/>
          </w:rPr>
          <w:t>law.reform@lawreform.vic.gov.au</w:t>
        </w:r>
      </w:hyperlink>
    </w:p>
    <w:p>
      <w:pPr>
        <w:spacing w:before="70"/>
        <w:ind w:left="423" w:right="0" w:firstLine="0"/>
        <w:jc w:val="left"/>
        <w:rPr>
          <w:rFonts w:ascii="Trebuchet MS"/>
          <w:b/>
          <w:sz w:val="18"/>
        </w:rPr>
      </w:pPr>
      <w:hyperlink r:id="rId14">
        <w:r>
          <w:rPr>
            <w:rFonts w:ascii="Trebuchet MS"/>
            <w:b/>
            <w:sz w:val="18"/>
          </w:rPr>
          <w:t>www.lawreform.vic.gov.au</w:t>
        </w:r>
      </w:hyperlink>
    </w:p>
    <w:p>
      <w:pPr>
        <w:spacing w:after="0"/>
        <w:jc w:val="left"/>
        <w:rPr>
          <w:rFonts w:ascii="Trebuchet MS"/>
          <w:sz w:val="18"/>
        </w:rPr>
        <w:sectPr>
          <w:type w:val="continuous"/>
          <w:pgSz w:w="11910" w:h="16840"/>
          <w:pgMar w:top="300" w:bottom="280" w:left="0" w:right="0"/>
          <w:cols w:num="4" w:equalWidth="0">
            <w:col w:w="4529" w:space="40"/>
            <w:col w:w="1771" w:space="39"/>
            <w:col w:w="1656" w:space="40"/>
            <w:col w:w="3835"/>
          </w:cols>
        </w:sectPr>
      </w:pPr>
    </w:p>
    <w:p>
      <w:pPr>
        <w:pStyle w:val="BodyText"/>
        <w:spacing w:before="3"/>
        <w:rPr>
          <w:rFonts w:ascii="Trebuchet MS"/>
          <w:b/>
          <w:sz w:val="12"/>
        </w:rPr>
      </w:pPr>
    </w:p>
    <w:p>
      <w:pPr>
        <w:pStyle w:val="BodyText"/>
        <w:spacing w:line="20" w:lineRule="exact"/>
        <w:ind w:left="1622"/>
        <w:rPr>
          <w:rFonts w:ascii="Trebuchet MS"/>
          <w:sz w:val="2"/>
        </w:rPr>
      </w:pPr>
      <w:r>
        <w:rPr>
          <w:rFonts w:ascii="Trebuchet MS"/>
          <w:sz w:val="2"/>
        </w:rPr>
        <w:pict>
          <v:group style="width:473.7pt;height:.5pt;mso-position-horizontal-relative:char;mso-position-vertical-relative:line" coordorigin="0,0" coordsize="9474,10">
            <v:line style="position:absolute" from="0,5" to="9473,5" stroked="true" strokeweight=".5pt" strokecolor="#000000">
              <v:stroke dashstyle="solid"/>
            </v:line>
          </v:group>
        </w:pict>
      </w:r>
      <w:r>
        <w:rPr>
          <w:rFonts w:ascii="Trebuchet MS"/>
          <w:sz w:val="2"/>
        </w:rPr>
      </w:r>
    </w:p>
    <w:p>
      <w:pPr>
        <w:spacing w:after="0" w:line="20" w:lineRule="exact"/>
        <w:rPr>
          <w:rFonts w:ascii="Trebuchet MS"/>
          <w:sz w:val="2"/>
        </w:rPr>
        <w:sectPr>
          <w:type w:val="continuous"/>
          <w:pgSz w:w="11910" w:h="16840"/>
          <w:pgMar w:top="300" w:bottom="280" w:left="0" w:right="0"/>
        </w:sectPr>
      </w:pPr>
    </w:p>
    <w:p>
      <w:pPr>
        <w:pStyle w:val="BodyText"/>
        <w:spacing w:before="9"/>
        <w:rPr>
          <w:rFonts w:ascii="Trebuchet MS"/>
          <w:b/>
          <w:sz w:val="19"/>
        </w:rPr>
      </w:pPr>
    </w:p>
    <w:p>
      <w:pPr>
        <w:pStyle w:val="Heading2"/>
        <w:spacing w:before="93"/>
        <w:ind w:left="566" w:firstLine="0"/>
      </w:pPr>
      <w:bookmarkStart w:name="Contents" w:id="1"/>
      <w:bookmarkEnd w:id="1"/>
      <w:r>
        <w:rPr>
          <w:b w:val="0"/>
        </w:rPr>
      </w:r>
      <w:r>
        <w:rPr>
          <w:color w:val="658464"/>
          <w:w w:val="115"/>
        </w:rPr>
        <w:t>Contents</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49"/>
        </w:rPr>
      </w:pPr>
    </w:p>
    <w:p>
      <w:pPr>
        <w:spacing w:after="0"/>
        <w:rPr>
          <w:sz w:val="49"/>
        </w:rPr>
        <w:sectPr>
          <w:headerReference w:type="even" r:id="rId15"/>
          <w:headerReference w:type="default" r:id="rId16"/>
          <w:pgSz w:w="11910" w:h="16840"/>
          <w:pgMar w:header="546" w:footer="0" w:top="1560" w:bottom="467" w:left="0" w:right="0"/>
        </w:sectPr>
      </w:pPr>
    </w:p>
    <w:sdt>
      <w:sdtPr>
        <w:docPartObj>
          <w:docPartGallery w:val="Table of Contents"/>
          <w:docPartUnique/>
        </w:docPartObj>
      </w:sdtPr>
      <w:sdtEndPr/>
      <w:sdtContent>
        <w:p>
          <w:pPr>
            <w:pStyle w:val="TOC2"/>
            <w:tabs>
              <w:tab w:pos="10267" w:val="right" w:leader="dot"/>
            </w:tabs>
            <w:spacing w:before="1"/>
          </w:pPr>
          <w:hyperlink w:history="true" w:anchor="_bookmark0">
            <w:r>
              <w:rPr>
                <w:w w:val="115"/>
              </w:rPr>
              <w:t>Preface</w:t>
              <w:tab/>
              <w:t>x</w:t>
            </w:r>
          </w:hyperlink>
        </w:p>
        <w:p>
          <w:pPr>
            <w:pStyle w:val="TOC2"/>
            <w:tabs>
              <w:tab w:pos="10265" w:val="right" w:leader="dot"/>
            </w:tabs>
          </w:pPr>
          <w:hyperlink w:history="true" w:anchor="_bookmark1">
            <w:r>
              <w:rPr>
                <w:spacing w:val="-4"/>
                <w:w w:val="115"/>
              </w:rPr>
              <w:t>Terms</w:t>
            </w:r>
            <w:r>
              <w:rPr>
                <w:w w:val="115"/>
              </w:rPr>
              <w:t> of reference</w:t>
              <w:tab/>
              <w:t>xii</w:t>
            </w:r>
          </w:hyperlink>
        </w:p>
        <w:p>
          <w:pPr>
            <w:pStyle w:val="TOC2"/>
            <w:tabs>
              <w:tab w:pos="10265" w:val="right" w:leader="dot"/>
            </w:tabs>
            <w:spacing w:before="69"/>
          </w:pPr>
          <w:hyperlink w:history="true" w:anchor="_bookmark2">
            <w:r>
              <w:rPr>
                <w:w w:val="115"/>
              </w:rPr>
              <w:t>Glossary</w:t>
              <w:tab/>
              <w:t>xiii</w:t>
            </w:r>
          </w:hyperlink>
        </w:p>
        <w:p>
          <w:pPr>
            <w:pStyle w:val="TOC2"/>
            <w:tabs>
              <w:tab w:pos="10270" w:val="right" w:leader="dot"/>
            </w:tabs>
            <w:spacing w:before="69"/>
          </w:pPr>
          <w:hyperlink w:history="true" w:anchor="_bookmark3">
            <w:r>
              <w:rPr>
                <w:w w:val="115"/>
              </w:rPr>
              <w:t>Executive summary: neighbourhood</w:t>
            </w:r>
            <w:r>
              <w:rPr>
                <w:spacing w:val="-3"/>
                <w:w w:val="115"/>
              </w:rPr>
              <w:t> </w:t>
            </w:r>
            <w:r>
              <w:rPr>
                <w:w w:val="115"/>
              </w:rPr>
              <w:t>tree</w:t>
            </w:r>
            <w:r>
              <w:rPr>
                <w:spacing w:val="-1"/>
                <w:w w:val="115"/>
              </w:rPr>
              <w:t> </w:t>
            </w:r>
            <w:r>
              <w:rPr>
                <w:w w:val="115"/>
              </w:rPr>
              <w:t>disputes</w:t>
              <w:tab/>
            </w:r>
            <w:r>
              <w:rPr>
                <w:spacing w:val="3"/>
                <w:w w:val="115"/>
              </w:rPr>
              <w:t>xv</w:t>
            </w:r>
          </w:hyperlink>
        </w:p>
        <w:p>
          <w:pPr>
            <w:pStyle w:val="TOC2"/>
            <w:tabs>
              <w:tab w:pos="10265" w:val="right" w:leader="dot"/>
            </w:tabs>
            <w:spacing w:before="69"/>
          </w:pPr>
          <w:hyperlink w:history="true" w:anchor="_bookmark4">
            <w:r>
              <w:rPr>
                <w:w w:val="115"/>
              </w:rPr>
              <w:t>Recommendations</w:t>
              <w:tab/>
              <w:t>xxii</w:t>
            </w:r>
          </w:hyperlink>
        </w:p>
        <w:p>
          <w:pPr>
            <w:pStyle w:val="TOC2"/>
            <w:numPr>
              <w:ilvl w:val="0"/>
              <w:numId w:val="1"/>
            </w:numPr>
            <w:tabs>
              <w:tab w:pos="1928" w:val="left" w:leader="none"/>
              <w:tab w:pos="10267" w:val="right" w:leader="dot"/>
            </w:tabs>
            <w:spacing w:line="240" w:lineRule="auto" w:before="68" w:after="0"/>
            <w:ind w:left="1927" w:right="0" w:hanging="340"/>
            <w:jc w:val="left"/>
          </w:pPr>
          <w:hyperlink w:history="true" w:anchor="_bookmark5">
            <w:r>
              <w:rPr>
                <w:color w:val="658464"/>
                <w:w w:val="110"/>
              </w:rPr>
              <w:t>Introduction to neighbourhood</w:t>
            </w:r>
            <w:r>
              <w:rPr>
                <w:color w:val="658464"/>
                <w:spacing w:val="13"/>
                <w:w w:val="110"/>
              </w:rPr>
              <w:t> </w:t>
            </w:r>
            <w:r>
              <w:rPr>
                <w:color w:val="658464"/>
                <w:w w:val="110"/>
              </w:rPr>
              <w:t>tree</w:t>
            </w:r>
            <w:r>
              <w:rPr>
                <w:color w:val="658464"/>
                <w:spacing w:val="4"/>
                <w:w w:val="110"/>
              </w:rPr>
              <w:t> </w:t>
            </w:r>
            <w:r>
              <w:rPr>
                <w:color w:val="658464"/>
                <w:w w:val="110"/>
              </w:rPr>
              <w:t>disputes</w:t>
              <w:tab/>
              <w:t>2</w:t>
            </w:r>
          </w:hyperlink>
        </w:p>
        <w:p>
          <w:pPr>
            <w:pStyle w:val="TOC3"/>
            <w:tabs>
              <w:tab w:pos="10267" w:val="right" w:leader="dot"/>
            </w:tabs>
          </w:pPr>
          <w:hyperlink w:history="true" w:anchor="_bookmark5">
            <w:r>
              <w:rPr>
                <w:w w:val="110"/>
              </w:rPr>
              <w:t>Introduction</w:t>
              <w:tab/>
              <w:t>2</w:t>
            </w:r>
          </w:hyperlink>
        </w:p>
        <w:p>
          <w:pPr>
            <w:pStyle w:val="TOC4"/>
            <w:tabs>
              <w:tab w:pos="10267" w:val="right" w:leader="dot"/>
            </w:tabs>
          </w:pPr>
          <w:hyperlink w:history="true" w:anchor="_bookmark5">
            <w:r>
              <w:rPr>
                <w:spacing w:val="-3"/>
                <w:w w:val="105"/>
              </w:rPr>
              <w:t>Key</w:t>
            </w:r>
            <w:r>
              <w:rPr>
                <w:spacing w:val="5"/>
                <w:w w:val="105"/>
              </w:rPr>
              <w:t> </w:t>
            </w:r>
            <w:r>
              <w:rPr>
                <w:spacing w:val="-3"/>
                <w:w w:val="105"/>
              </w:rPr>
              <w:t>reforms</w:t>
              <w:tab/>
            </w:r>
            <w:r>
              <w:rPr>
                <w:w w:val="105"/>
              </w:rPr>
              <w:t>2</w:t>
            </w:r>
          </w:hyperlink>
        </w:p>
        <w:p>
          <w:pPr>
            <w:pStyle w:val="TOC3"/>
            <w:tabs>
              <w:tab w:pos="10267" w:val="right" w:leader="dot"/>
            </w:tabs>
            <w:spacing w:before="68"/>
          </w:pPr>
          <w:hyperlink w:history="true" w:anchor="_bookmark5">
            <w:r>
              <w:rPr>
                <w:w w:val="115"/>
              </w:rPr>
              <w:t>Origins of</w:t>
            </w:r>
            <w:r>
              <w:rPr>
                <w:spacing w:val="1"/>
                <w:w w:val="115"/>
              </w:rPr>
              <w:t> </w:t>
            </w:r>
            <w:r>
              <w:rPr>
                <w:w w:val="115"/>
              </w:rPr>
              <w:t>the</w:t>
            </w:r>
            <w:r>
              <w:rPr>
                <w:spacing w:val="1"/>
                <w:w w:val="115"/>
              </w:rPr>
              <w:t> </w:t>
            </w:r>
            <w:r>
              <w:rPr>
                <w:w w:val="115"/>
              </w:rPr>
              <w:t>project</w:t>
              <w:tab/>
              <w:t>2</w:t>
            </w:r>
          </w:hyperlink>
        </w:p>
        <w:p>
          <w:pPr>
            <w:pStyle w:val="TOC3"/>
            <w:tabs>
              <w:tab w:pos="10267" w:val="right" w:leader="dot"/>
            </w:tabs>
          </w:pPr>
          <w:hyperlink w:history="true" w:anchor="_bookmark6">
            <w:r>
              <w:rPr>
                <w:w w:val="110"/>
              </w:rPr>
              <w:t>The</w:t>
            </w:r>
            <w:r>
              <w:rPr>
                <w:spacing w:val="3"/>
                <w:w w:val="110"/>
              </w:rPr>
              <w:t> </w:t>
            </w:r>
            <w:r>
              <w:rPr>
                <w:w w:val="110"/>
              </w:rPr>
              <w:t>Commission’s</w:t>
            </w:r>
            <w:r>
              <w:rPr>
                <w:spacing w:val="3"/>
                <w:w w:val="110"/>
              </w:rPr>
              <w:t> </w:t>
            </w:r>
            <w:r>
              <w:rPr>
                <w:w w:val="110"/>
              </w:rPr>
              <w:t>process</w:t>
              <w:tab/>
              <w:t>3</w:t>
            </w:r>
          </w:hyperlink>
        </w:p>
        <w:p>
          <w:pPr>
            <w:pStyle w:val="TOC4"/>
            <w:tabs>
              <w:tab w:pos="10267" w:val="right" w:leader="dot"/>
            </w:tabs>
          </w:pPr>
          <w:hyperlink w:history="true" w:anchor="_bookmark6">
            <w:r>
              <w:rPr>
                <w:spacing w:val="-3"/>
                <w:w w:val="105"/>
              </w:rPr>
              <w:t>Submissions</w:t>
              <w:tab/>
            </w:r>
            <w:r>
              <w:rPr>
                <w:w w:val="105"/>
              </w:rPr>
              <w:t>3</w:t>
            </w:r>
          </w:hyperlink>
        </w:p>
        <w:p>
          <w:pPr>
            <w:pStyle w:val="TOC4"/>
            <w:tabs>
              <w:tab w:pos="10267" w:val="right" w:leader="dot"/>
            </w:tabs>
          </w:pPr>
          <w:hyperlink w:history="true" w:anchor="_bookmark6">
            <w:r>
              <w:rPr>
                <w:spacing w:val="-3"/>
                <w:w w:val="105"/>
              </w:rPr>
              <w:t>Consultations</w:t>
              <w:tab/>
            </w:r>
            <w:r>
              <w:rPr>
                <w:w w:val="105"/>
              </w:rPr>
              <w:t>3</w:t>
            </w:r>
          </w:hyperlink>
        </w:p>
        <w:p>
          <w:pPr>
            <w:pStyle w:val="TOC4"/>
            <w:tabs>
              <w:tab w:pos="10267" w:val="right" w:leader="dot"/>
            </w:tabs>
            <w:spacing w:before="68"/>
          </w:pPr>
          <w:hyperlink w:history="true" w:anchor="_bookmark7">
            <w:r>
              <w:rPr>
                <w:w w:val="105"/>
              </w:rPr>
              <w:t>Survey</w:t>
              <w:tab/>
              <w:t>4</w:t>
            </w:r>
          </w:hyperlink>
        </w:p>
        <w:p>
          <w:pPr>
            <w:pStyle w:val="TOC4"/>
            <w:tabs>
              <w:tab w:pos="10267" w:val="right" w:leader="dot"/>
            </w:tabs>
          </w:pPr>
          <w:hyperlink w:history="true" w:anchor="_bookmark7">
            <w:r>
              <w:rPr/>
              <w:t>Interstate reviews and tree</w:t>
            </w:r>
            <w:r>
              <w:rPr>
                <w:spacing w:val="33"/>
              </w:rPr>
              <w:t> </w:t>
            </w:r>
            <w:r>
              <w:rPr>
                <w:spacing w:val="-3"/>
              </w:rPr>
              <w:t>dispute</w:t>
            </w:r>
            <w:r>
              <w:rPr>
                <w:spacing w:val="9"/>
              </w:rPr>
              <w:t> </w:t>
            </w:r>
            <w:r>
              <w:rPr/>
              <w:t>Acts</w:t>
              <w:tab/>
              <w:t>4</w:t>
            </w:r>
          </w:hyperlink>
        </w:p>
        <w:p>
          <w:pPr>
            <w:pStyle w:val="TOC3"/>
            <w:tabs>
              <w:tab w:pos="10267" w:val="right" w:leader="dot"/>
            </w:tabs>
          </w:pPr>
          <w:hyperlink w:history="true" w:anchor="_bookmark7">
            <w:r>
              <w:rPr>
                <w:w w:val="115"/>
              </w:rPr>
              <w:t>Structure of</w:t>
            </w:r>
            <w:r>
              <w:rPr>
                <w:spacing w:val="1"/>
                <w:w w:val="115"/>
              </w:rPr>
              <w:t> </w:t>
            </w:r>
            <w:r>
              <w:rPr>
                <w:w w:val="115"/>
              </w:rPr>
              <w:t>the report</w:t>
              <w:tab/>
              <w:t>4</w:t>
            </w:r>
          </w:hyperlink>
        </w:p>
        <w:p>
          <w:pPr>
            <w:pStyle w:val="TOC2"/>
            <w:numPr>
              <w:ilvl w:val="0"/>
              <w:numId w:val="1"/>
            </w:numPr>
            <w:tabs>
              <w:tab w:pos="1928" w:val="left" w:leader="none"/>
              <w:tab w:pos="10267" w:val="right" w:leader="dot"/>
            </w:tabs>
            <w:spacing w:line="240" w:lineRule="auto" w:before="69" w:after="0"/>
            <w:ind w:left="1927" w:right="0" w:hanging="340"/>
            <w:jc w:val="left"/>
          </w:pPr>
          <w:hyperlink w:history="true" w:anchor="_bookmark8">
            <w:r>
              <w:rPr>
                <w:color w:val="658464"/>
                <w:w w:val="115"/>
              </w:rPr>
              <w:t>The scope of the neighbourhood tree</w:t>
            </w:r>
            <w:r>
              <w:rPr>
                <w:color w:val="658464"/>
                <w:spacing w:val="-8"/>
                <w:w w:val="115"/>
              </w:rPr>
              <w:t> </w:t>
            </w:r>
            <w:r>
              <w:rPr>
                <w:color w:val="658464"/>
                <w:w w:val="115"/>
              </w:rPr>
              <w:t>dispute</w:t>
            </w:r>
            <w:r>
              <w:rPr>
                <w:color w:val="658464"/>
                <w:spacing w:val="-1"/>
                <w:w w:val="115"/>
              </w:rPr>
              <w:t> </w:t>
            </w:r>
            <w:r>
              <w:rPr>
                <w:color w:val="658464"/>
                <w:w w:val="115"/>
              </w:rPr>
              <w:t>problem</w:t>
              <w:tab/>
              <w:t>8</w:t>
            </w:r>
          </w:hyperlink>
        </w:p>
        <w:p>
          <w:pPr>
            <w:pStyle w:val="TOC3"/>
            <w:tabs>
              <w:tab w:pos="10267" w:val="right" w:leader="dot"/>
            </w:tabs>
            <w:spacing w:before="68"/>
          </w:pPr>
          <w:hyperlink w:history="true" w:anchor="_bookmark8">
            <w:r>
              <w:rPr>
                <w:w w:val="110"/>
              </w:rPr>
              <w:t>Introduction</w:t>
              <w:tab/>
              <w:t>8</w:t>
            </w:r>
          </w:hyperlink>
        </w:p>
        <w:p>
          <w:pPr>
            <w:pStyle w:val="TOC3"/>
            <w:tabs>
              <w:tab w:pos="10267" w:val="right" w:leader="dot"/>
            </w:tabs>
            <w:ind w:left="2153"/>
          </w:pPr>
          <w:hyperlink w:history="true" w:anchor="_bookmark8">
            <w:r>
              <w:rPr>
                <w:w w:val="115"/>
              </w:rPr>
              <w:t>Prevalence of tree disputes</w:t>
              <w:tab/>
              <w:t>8</w:t>
            </w:r>
          </w:hyperlink>
        </w:p>
        <w:p>
          <w:pPr>
            <w:pStyle w:val="TOC4"/>
            <w:tabs>
              <w:tab w:pos="10267" w:val="right" w:leader="dot"/>
            </w:tabs>
          </w:pPr>
          <w:hyperlink w:history="true" w:anchor="_bookmark8">
            <w:r>
              <w:rPr>
                <w:spacing w:val="-5"/>
              </w:rPr>
              <w:t>Tree  </w:t>
            </w:r>
            <w:r>
              <w:rPr>
                <w:spacing w:val="-3"/>
              </w:rPr>
              <w:t>disputes </w:t>
            </w:r>
            <w:r>
              <w:rPr/>
              <w:t>in</w:t>
            </w:r>
            <w:r>
              <w:rPr>
                <w:spacing w:val="-10"/>
              </w:rPr>
              <w:t> </w:t>
            </w:r>
            <w:r>
              <w:rPr/>
              <w:t>the</w:t>
            </w:r>
            <w:r>
              <w:rPr>
                <w:spacing w:val="9"/>
              </w:rPr>
              <w:t> </w:t>
            </w:r>
            <w:r>
              <w:rPr/>
              <w:t>courts</w:t>
              <w:tab/>
              <w:t>8</w:t>
            </w:r>
          </w:hyperlink>
        </w:p>
        <w:p>
          <w:pPr>
            <w:pStyle w:val="TOC4"/>
            <w:tabs>
              <w:tab w:pos="10267" w:val="right" w:leader="dot"/>
            </w:tabs>
          </w:pPr>
          <w:hyperlink w:history="true" w:anchor="_bookmark9">
            <w:r>
              <w:rPr>
                <w:spacing w:val="-3"/>
              </w:rPr>
              <w:t>Volume </w:t>
            </w:r>
            <w:r>
              <w:rPr/>
              <w:t>of tree </w:t>
            </w:r>
            <w:r>
              <w:rPr>
                <w:spacing w:val="-3"/>
              </w:rPr>
              <w:t>enquiries </w:t>
            </w:r>
            <w:r>
              <w:rPr/>
              <w:t>received </w:t>
            </w:r>
            <w:r>
              <w:rPr>
                <w:spacing w:val="4"/>
              </w:rPr>
              <w:t> </w:t>
            </w:r>
            <w:r>
              <w:rPr/>
              <w:t>by</w:t>
            </w:r>
            <w:r>
              <w:rPr>
                <w:spacing w:val="10"/>
              </w:rPr>
              <w:t> </w:t>
            </w:r>
            <w:r>
              <w:rPr/>
              <w:t>DSCV</w:t>
              <w:tab/>
              <w:t>9</w:t>
            </w:r>
          </w:hyperlink>
        </w:p>
        <w:p>
          <w:pPr>
            <w:pStyle w:val="TOC4"/>
            <w:tabs>
              <w:tab w:pos="10243" w:val="right" w:leader="dot"/>
            </w:tabs>
            <w:spacing w:before="68"/>
          </w:pPr>
          <w:hyperlink w:history="true" w:anchor="_bookmark10">
            <w:r>
              <w:rPr>
                <w:spacing w:val="-3"/>
                <w:w w:val="105"/>
              </w:rPr>
              <w:t>Community </w:t>
            </w:r>
            <w:r>
              <w:rPr>
                <w:w w:val="105"/>
              </w:rPr>
              <w:t>responses about the frequency of</w:t>
            </w:r>
            <w:r>
              <w:rPr>
                <w:spacing w:val="23"/>
                <w:w w:val="105"/>
              </w:rPr>
              <w:t> </w:t>
            </w:r>
            <w:r>
              <w:rPr>
                <w:w w:val="105"/>
              </w:rPr>
              <w:t>tree</w:t>
            </w:r>
            <w:r>
              <w:rPr>
                <w:spacing w:val="3"/>
                <w:w w:val="105"/>
              </w:rPr>
              <w:t> </w:t>
            </w:r>
            <w:r>
              <w:rPr>
                <w:spacing w:val="-3"/>
                <w:w w:val="105"/>
              </w:rPr>
              <w:t>disputes</w:t>
              <w:tab/>
            </w:r>
            <w:r>
              <w:rPr>
                <w:spacing w:val="-24"/>
                <w:w w:val="105"/>
              </w:rPr>
              <w:t>11</w:t>
            </w:r>
          </w:hyperlink>
        </w:p>
        <w:p>
          <w:pPr>
            <w:pStyle w:val="TOC3"/>
            <w:tabs>
              <w:tab w:pos="10254" w:val="right" w:leader="dot"/>
            </w:tabs>
            <w:ind w:left="2153"/>
          </w:pPr>
          <w:hyperlink w:history="true" w:anchor="_bookmark11">
            <w:r>
              <w:rPr>
                <w:spacing w:val="-3"/>
                <w:w w:val="115"/>
              </w:rPr>
              <w:t>Types </w:t>
            </w:r>
            <w:r>
              <w:rPr>
                <w:w w:val="115"/>
              </w:rPr>
              <w:t>of</w:t>
            </w:r>
            <w:r>
              <w:rPr>
                <w:spacing w:val="3"/>
                <w:w w:val="115"/>
              </w:rPr>
              <w:t> </w:t>
            </w:r>
            <w:r>
              <w:rPr>
                <w:w w:val="115"/>
              </w:rPr>
              <w:t>tree disputes</w:t>
              <w:tab/>
            </w:r>
            <w:r>
              <w:rPr>
                <w:spacing w:val="-13"/>
                <w:w w:val="115"/>
              </w:rPr>
              <w:t>12</w:t>
            </w:r>
          </w:hyperlink>
        </w:p>
        <w:p>
          <w:pPr>
            <w:pStyle w:val="TOC4"/>
            <w:tabs>
              <w:tab w:pos="10250" w:val="right" w:leader="dot"/>
            </w:tabs>
          </w:pPr>
          <w:hyperlink w:history="true" w:anchor="_bookmark12">
            <w:r>
              <w:rPr>
                <w:spacing w:val="-3"/>
                <w:w w:val="105"/>
              </w:rPr>
              <w:t>Damage to </w:t>
            </w:r>
            <w:r>
              <w:rPr>
                <w:w w:val="105"/>
              </w:rPr>
              <w:t>property and </w:t>
            </w:r>
            <w:r>
              <w:rPr>
                <w:spacing w:val="-3"/>
                <w:w w:val="105"/>
              </w:rPr>
              <w:t>dropping </w:t>
            </w:r>
            <w:r>
              <w:rPr>
                <w:w w:val="105"/>
              </w:rPr>
              <w:t>of</w:t>
            </w:r>
            <w:r>
              <w:rPr>
                <w:spacing w:val="38"/>
                <w:w w:val="105"/>
              </w:rPr>
              <w:t> </w:t>
            </w:r>
            <w:r>
              <w:rPr>
                <w:w w:val="105"/>
              </w:rPr>
              <w:t>leaf</w:t>
            </w:r>
            <w:r>
              <w:rPr>
                <w:spacing w:val="4"/>
                <w:w w:val="105"/>
              </w:rPr>
              <w:t> </w:t>
            </w:r>
            <w:r>
              <w:rPr>
                <w:w w:val="105"/>
              </w:rPr>
              <w:t>litter</w:t>
              <w:tab/>
            </w:r>
            <w:r>
              <w:rPr>
                <w:spacing w:val="-17"/>
                <w:w w:val="105"/>
              </w:rPr>
              <w:t>13</w:t>
            </w:r>
          </w:hyperlink>
        </w:p>
        <w:p>
          <w:pPr>
            <w:pStyle w:val="TOC4"/>
            <w:tabs>
              <w:tab w:pos="10250" w:val="right" w:leader="dot"/>
            </w:tabs>
            <w:spacing w:before="68"/>
          </w:pPr>
          <w:hyperlink w:history="true" w:anchor="_bookmark12">
            <w:r>
              <w:rPr>
                <w:w w:val="105"/>
              </w:rPr>
              <w:t>Harm</w:t>
            </w:r>
            <w:r>
              <w:rPr>
                <w:spacing w:val="5"/>
                <w:w w:val="105"/>
              </w:rPr>
              <w:t> </w:t>
            </w:r>
            <w:r>
              <w:rPr>
                <w:spacing w:val="-3"/>
                <w:w w:val="105"/>
              </w:rPr>
              <w:t>to</w:t>
            </w:r>
            <w:r>
              <w:rPr>
                <w:spacing w:val="5"/>
                <w:w w:val="105"/>
              </w:rPr>
              <w:t> </w:t>
            </w:r>
            <w:r>
              <w:rPr>
                <w:w w:val="105"/>
              </w:rPr>
              <w:t>people</w:t>
              <w:tab/>
            </w:r>
            <w:r>
              <w:rPr>
                <w:spacing w:val="-17"/>
                <w:w w:val="105"/>
              </w:rPr>
              <w:t>13</w:t>
            </w:r>
          </w:hyperlink>
        </w:p>
        <w:p>
          <w:pPr>
            <w:pStyle w:val="TOC4"/>
            <w:tabs>
              <w:tab w:pos="10253" w:val="right" w:leader="dot"/>
            </w:tabs>
          </w:pPr>
          <w:hyperlink w:history="true" w:anchor="_bookmark13">
            <w:r>
              <w:rPr>
                <w:spacing w:val="-3"/>
                <w:w w:val="105"/>
              </w:rPr>
              <w:t>Bushfire</w:t>
            </w:r>
            <w:r>
              <w:rPr>
                <w:spacing w:val="5"/>
                <w:w w:val="105"/>
              </w:rPr>
              <w:t> </w:t>
            </w:r>
            <w:r>
              <w:rPr>
                <w:w w:val="105"/>
              </w:rPr>
              <w:t>risk</w:t>
              <w:tab/>
            </w:r>
            <w:r>
              <w:rPr>
                <w:spacing w:val="-14"/>
                <w:w w:val="105"/>
              </w:rPr>
              <w:t>14</w:t>
            </w:r>
          </w:hyperlink>
        </w:p>
        <w:p>
          <w:pPr>
            <w:pStyle w:val="TOC4"/>
            <w:tabs>
              <w:tab w:pos="10253" w:val="right" w:leader="dot"/>
            </w:tabs>
          </w:pPr>
          <w:hyperlink w:history="true" w:anchor="_bookmark13">
            <w:r>
              <w:rPr>
                <w:spacing w:val="-3"/>
                <w:w w:val="105"/>
              </w:rPr>
              <w:t>Economic</w:t>
            </w:r>
            <w:r>
              <w:rPr>
                <w:spacing w:val="5"/>
                <w:w w:val="105"/>
              </w:rPr>
              <w:t> </w:t>
            </w:r>
            <w:r>
              <w:rPr>
                <w:w w:val="105"/>
              </w:rPr>
              <w:t>loss</w:t>
              <w:tab/>
            </w:r>
            <w:r>
              <w:rPr>
                <w:spacing w:val="-14"/>
                <w:w w:val="105"/>
              </w:rPr>
              <w:t>14</w:t>
            </w:r>
          </w:hyperlink>
        </w:p>
        <w:p>
          <w:pPr>
            <w:pStyle w:val="TOC4"/>
            <w:tabs>
              <w:tab w:pos="10253" w:val="right" w:leader="dot"/>
            </w:tabs>
          </w:pPr>
          <w:hyperlink w:history="true" w:anchor="_bookmark13">
            <w:r>
              <w:rPr>
                <w:w w:val="105"/>
              </w:rPr>
              <w:t>Objecting </w:t>
            </w:r>
            <w:r>
              <w:rPr>
                <w:spacing w:val="-3"/>
                <w:w w:val="105"/>
              </w:rPr>
              <w:t>to </w:t>
            </w:r>
            <w:r>
              <w:rPr>
                <w:w w:val="105"/>
              </w:rPr>
              <w:t>tree works conducted by the</w:t>
            </w:r>
            <w:r>
              <w:rPr>
                <w:spacing w:val="29"/>
                <w:w w:val="105"/>
              </w:rPr>
              <w:t> </w:t>
            </w:r>
            <w:r>
              <w:rPr>
                <w:w w:val="105"/>
              </w:rPr>
              <w:t>tree</w:t>
            </w:r>
            <w:r>
              <w:rPr>
                <w:spacing w:val="4"/>
                <w:w w:val="105"/>
              </w:rPr>
              <w:t> </w:t>
            </w:r>
            <w:r>
              <w:rPr>
                <w:w w:val="105"/>
              </w:rPr>
              <w:t>owner</w:t>
              <w:tab/>
            </w:r>
            <w:r>
              <w:rPr>
                <w:spacing w:val="-14"/>
                <w:w w:val="105"/>
              </w:rPr>
              <w:t>14</w:t>
            </w:r>
          </w:hyperlink>
        </w:p>
        <w:p>
          <w:pPr>
            <w:pStyle w:val="TOC4"/>
            <w:tabs>
              <w:tab w:pos="10251" w:val="right" w:leader="dot"/>
            </w:tabs>
            <w:spacing w:before="68"/>
          </w:pPr>
          <w:hyperlink w:history="true" w:anchor="_bookmark14">
            <w:r>
              <w:rPr>
                <w:spacing w:val="-5"/>
                <w:w w:val="105"/>
              </w:rPr>
              <w:t>Tree </w:t>
            </w:r>
            <w:r>
              <w:rPr>
                <w:w w:val="105"/>
              </w:rPr>
              <w:t>works undertaken without </w:t>
            </w:r>
            <w:r>
              <w:rPr>
                <w:spacing w:val="-3"/>
                <w:w w:val="105"/>
              </w:rPr>
              <w:t>consent </w:t>
            </w:r>
            <w:r>
              <w:rPr>
                <w:w w:val="105"/>
              </w:rPr>
              <w:t>or </w:t>
            </w:r>
            <w:r>
              <w:rPr>
                <w:spacing w:val="-3"/>
                <w:w w:val="105"/>
              </w:rPr>
              <w:t>that harm</w:t>
            </w:r>
            <w:r>
              <w:rPr>
                <w:spacing w:val="35"/>
                <w:w w:val="105"/>
              </w:rPr>
              <w:t> </w:t>
            </w:r>
            <w:r>
              <w:rPr>
                <w:w w:val="105"/>
              </w:rPr>
              <w:t>the</w:t>
            </w:r>
            <w:r>
              <w:rPr>
                <w:spacing w:val="4"/>
                <w:w w:val="105"/>
              </w:rPr>
              <w:t> </w:t>
            </w:r>
            <w:r>
              <w:rPr>
                <w:w w:val="105"/>
              </w:rPr>
              <w:t>tree</w:t>
              <w:tab/>
            </w:r>
            <w:r>
              <w:rPr>
                <w:spacing w:val="-15"/>
                <w:w w:val="105"/>
              </w:rPr>
              <w:t>15</w:t>
            </w:r>
          </w:hyperlink>
        </w:p>
        <w:p>
          <w:pPr>
            <w:pStyle w:val="TOC4"/>
            <w:tabs>
              <w:tab w:pos="10254" w:val="right" w:leader="dot"/>
            </w:tabs>
          </w:pPr>
          <w:hyperlink w:history="true" w:anchor="_bookmark15">
            <w:r>
              <w:rPr>
                <w:spacing w:val="-5"/>
              </w:rPr>
              <w:t>Tree  </w:t>
            </w:r>
            <w:r>
              <w:rPr>
                <w:spacing w:val="-3"/>
              </w:rPr>
              <w:t>disputes </w:t>
            </w:r>
            <w:r>
              <w:rPr/>
              <w:t>in</w:t>
            </w:r>
            <w:r>
              <w:rPr>
                <w:spacing w:val="-9"/>
              </w:rPr>
              <w:t> </w:t>
            </w:r>
            <w:r>
              <w:rPr>
                <w:spacing w:val="-3"/>
              </w:rPr>
              <w:t>rural</w:t>
            </w:r>
            <w:r>
              <w:rPr>
                <w:spacing w:val="9"/>
              </w:rPr>
              <w:t> </w:t>
            </w:r>
            <w:r>
              <w:rPr/>
              <w:t>settings</w:t>
              <w:tab/>
            </w:r>
            <w:r>
              <w:rPr>
                <w:spacing w:val="-12"/>
              </w:rPr>
              <w:t>16</w:t>
            </w:r>
          </w:hyperlink>
        </w:p>
        <w:p>
          <w:pPr>
            <w:pStyle w:val="TOC4"/>
            <w:tabs>
              <w:tab w:pos="10254" w:val="right" w:leader="dot"/>
            </w:tabs>
          </w:pPr>
          <w:hyperlink w:history="true" w:anchor="_bookmark15">
            <w:r>
              <w:rPr>
                <w:w w:val="105"/>
              </w:rPr>
              <w:t>Other types of</w:t>
            </w:r>
            <w:r>
              <w:rPr>
                <w:spacing w:val="15"/>
                <w:w w:val="105"/>
              </w:rPr>
              <w:t> </w:t>
            </w:r>
            <w:r>
              <w:rPr>
                <w:w w:val="105"/>
              </w:rPr>
              <w:t>tree</w:t>
            </w:r>
            <w:r>
              <w:rPr>
                <w:spacing w:val="4"/>
                <w:w w:val="105"/>
              </w:rPr>
              <w:t> </w:t>
            </w:r>
            <w:r>
              <w:rPr>
                <w:spacing w:val="-3"/>
                <w:w w:val="105"/>
              </w:rPr>
              <w:t>disputes</w:t>
              <w:tab/>
            </w:r>
            <w:r>
              <w:rPr>
                <w:spacing w:val="-12"/>
                <w:w w:val="105"/>
              </w:rPr>
              <w:t>16</w:t>
            </w:r>
          </w:hyperlink>
        </w:p>
        <w:p>
          <w:pPr>
            <w:pStyle w:val="TOC1"/>
          </w:pPr>
          <w:r>
            <w:rPr>
              <w:color w:val="658464"/>
              <w:w w:val="115"/>
            </w:rPr>
            <w:t>ii</w:t>
          </w:r>
        </w:p>
        <w:p>
          <w:pPr>
            <w:pStyle w:val="TOC3"/>
            <w:tabs>
              <w:tab w:pos="10254" w:val="right" w:leader="dot"/>
            </w:tabs>
            <w:spacing w:before="369"/>
          </w:pPr>
          <w:hyperlink w:history="true" w:anchor="_bookmark16">
            <w:r>
              <w:rPr>
                <w:w w:val="115"/>
              </w:rPr>
              <w:t>Impact of tree disputes on neighbours</w:t>
              <w:tab/>
            </w:r>
            <w:r>
              <w:rPr>
                <w:spacing w:val="-14"/>
                <w:w w:val="115"/>
              </w:rPr>
              <w:t>17</w:t>
            </w:r>
          </w:hyperlink>
        </w:p>
        <w:p>
          <w:pPr>
            <w:pStyle w:val="TOC4"/>
            <w:tabs>
              <w:tab w:pos="10250" w:val="right" w:leader="dot"/>
            </w:tabs>
          </w:pPr>
          <w:hyperlink w:history="true" w:anchor="_bookmark16">
            <w:r>
              <w:rPr>
                <w:spacing w:val="-3"/>
                <w:w w:val="105"/>
              </w:rPr>
              <w:t>Breakdown </w:t>
            </w:r>
            <w:r>
              <w:rPr>
                <w:w w:val="105"/>
              </w:rPr>
              <w:t>of</w:t>
            </w:r>
            <w:r>
              <w:rPr>
                <w:spacing w:val="14"/>
                <w:w w:val="105"/>
              </w:rPr>
              <w:t> </w:t>
            </w:r>
            <w:r>
              <w:rPr>
                <w:spacing w:val="-3"/>
                <w:w w:val="105"/>
              </w:rPr>
              <w:t>neighbour</w:t>
            </w:r>
            <w:r>
              <w:rPr>
                <w:spacing w:val="5"/>
                <w:w w:val="105"/>
              </w:rPr>
              <w:t> </w:t>
            </w:r>
            <w:r>
              <w:rPr>
                <w:spacing w:val="-3"/>
                <w:w w:val="105"/>
              </w:rPr>
              <w:t>relations</w:t>
              <w:tab/>
            </w:r>
            <w:r>
              <w:rPr>
                <w:spacing w:val="-17"/>
                <w:w w:val="105"/>
              </w:rPr>
              <w:t>17</w:t>
            </w:r>
          </w:hyperlink>
        </w:p>
        <w:p>
          <w:pPr>
            <w:pStyle w:val="TOC4"/>
            <w:tabs>
              <w:tab w:pos="10255" w:val="right" w:leader="dot"/>
            </w:tabs>
          </w:pPr>
          <w:hyperlink w:history="true" w:anchor="_bookmark17">
            <w:r>
              <w:rPr>
                <w:spacing w:val="-3"/>
                <w:w w:val="105"/>
              </w:rPr>
              <w:t>Significant</w:t>
            </w:r>
            <w:r>
              <w:rPr>
                <w:spacing w:val="5"/>
                <w:w w:val="105"/>
              </w:rPr>
              <w:t> </w:t>
            </w:r>
            <w:r>
              <w:rPr>
                <w:w w:val="105"/>
              </w:rPr>
              <w:t>costs</w:t>
              <w:tab/>
            </w:r>
            <w:r>
              <w:rPr>
                <w:spacing w:val="-12"/>
                <w:w w:val="105"/>
              </w:rPr>
              <w:t>18</w:t>
            </w:r>
          </w:hyperlink>
        </w:p>
        <w:p>
          <w:pPr>
            <w:pStyle w:val="TOC4"/>
            <w:tabs>
              <w:tab w:pos="10255" w:val="right" w:leader="dot"/>
            </w:tabs>
            <w:spacing w:before="68"/>
          </w:pPr>
          <w:hyperlink w:history="true" w:anchor="_bookmark17">
            <w:r>
              <w:rPr>
                <w:spacing w:val="-3"/>
                <w:w w:val="105"/>
              </w:rPr>
              <w:t>Emotional toll </w:t>
            </w:r>
            <w:r>
              <w:rPr>
                <w:w w:val="105"/>
              </w:rPr>
              <w:t>of</w:t>
            </w:r>
            <w:r>
              <w:rPr>
                <w:spacing w:val="21"/>
                <w:w w:val="105"/>
              </w:rPr>
              <w:t> </w:t>
            </w:r>
            <w:r>
              <w:rPr>
                <w:w w:val="105"/>
              </w:rPr>
              <w:t>tree</w:t>
            </w:r>
            <w:r>
              <w:rPr>
                <w:spacing w:val="5"/>
                <w:w w:val="105"/>
              </w:rPr>
              <w:t> </w:t>
            </w:r>
            <w:r>
              <w:rPr>
                <w:spacing w:val="-3"/>
                <w:w w:val="105"/>
              </w:rPr>
              <w:t>disputes</w:t>
              <w:tab/>
            </w:r>
            <w:r>
              <w:rPr>
                <w:spacing w:val="-12"/>
                <w:w w:val="105"/>
              </w:rPr>
              <w:t>18</w:t>
            </w:r>
          </w:hyperlink>
        </w:p>
        <w:p>
          <w:pPr>
            <w:pStyle w:val="TOC4"/>
            <w:tabs>
              <w:tab w:pos="10255" w:val="right" w:leader="dot"/>
            </w:tabs>
          </w:pPr>
          <w:hyperlink w:history="true" w:anchor="_bookmark17">
            <w:r>
              <w:rPr>
                <w:spacing w:val="-3"/>
                <w:w w:val="105"/>
              </w:rPr>
              <w:t>Greater </w:t>
            </w:r>
            <w:r>
              <w:rPr>
                <w:w w:val="105"/>
              </w:rPr>
              <w:t>impact on</w:t>
            </w:r>
            <w:r>
              <w:rPr>
                <w:spacing w:val="18"/>
                <w:w w:val="105"/>
              </w:rPr>
              <w:t> </w:t>
            </w:r>
            <w:r>
              <w:rPr>
                <w:w w:val="105"/>
              </w:rPr>
              <w:t>some</w:t>
            </w:r>
            <w:r>
              <w:rPr>
                <w:spacing w:val="5"/>
                <w:w w:val="105"/>
              </w:rPr>
              <w:t> </w:t>
            </w:r>
            <w:r>
              <w:rPr>
                <w:w w:val="105"/>
              </w:rPr>
              <w:t>people</w:t>
              <w:tab/>
            </w:r>
            <w:r>
              <w:rPr>
                <w:spacing w:val="-12"/>
                <w:w w:val="105"/>
              </w:rPr>
              <w:t>18</w:t>
            </w:r>
          </w:hyperlink>
        </w:p>
        <w:p>
          <w:pPr>
            <w:pStyle w:val="TOC3"/>
            <w:tabs>
              <w:tab w:pos="10257" w:val="right" w:leader="dot"/>
            </w:tabs>
          </w:pPr>
          <w:hyperlink w:history="true" w:anchor="_bookmark18">
            <w:r>
              <w:rPr>
                <w:w w:val="115"/>
              </w:rPr>
              <w:t>Factors contributing to</w:t>
            </w:r>
            <w:r>
              <w:rPr>
                <w:spacing w:val="-1"/>
                <w:w w:val="115"/>
              </w:rPr>
              <w:t> </w:t>
            </w:r>
            <w:r>
              <w:rPr>
                <w:w w:val="115"/>
              </w:rPr>
              <w:t>tree disputes</w:t>
              <w:tab/>
            </w:r>
            <w:r>
              <w:rPr>
                <w:spacing w:val="-10"/>
                <w:w w:val="115"/>
              </w:rPr>
              <w:t>19</w:t>
            </w:r>
          </w:hyperlink>
        </w:p>
        <w:p>
          <w:pPr>
            <w:pStyle w:val="TOC3"/>
            <w:tabs>
              <w:tab w:pos="10263" w:val="right" w:leader="dot"/>
            </w:tabs>
          </w:pPr>
          <w:hyperlink w:history="true" w:anchor="_bookmark19">
            <w:r>
              <w:rPr>
                <w:w w:val="110"/>
              </w:rPr>
              <w:t>The</w:t>
            </w:r>
            <w:r>
              <w:rPr>
                <w:spacing w:val="3"/>
                <w:w w:val="110"/>
              </w:rPr>
              <w:t> </w:t>
            </w:r>
            <w:r>
              <w:rPr>
                <w:w w:val="110"/>
              </w:rPr>
              <w:t>Commission’s</w:t>
            </w:r>
            <w:r>
              <w:rPr>
                <w:spacing w:val="3"/>
                <w:w w:val="110"/>
              </w:rPr>
              <w:t> </w:t>
            </w:r>
            <w:r>
              <w:rPr>
                <w:w w:val="110"/>
              </w:rPr>
              <w:t>conclusion</w:t>
              <w:tab/>
            </w:r>
            <w:r>
              <w:rPr>
                <w:spacing w:val="-4"/>
                <w:w w:val="110"/>
              </w:rPr>
              <w:t>24</w:t>
            </w:r>
          </w:hyperlink>
        </w:p>
        <w:p>
          <w:pPr>
            <w:pStyle w:val="TOC2"/>
            <w:numPr>
              <w:ilvl w:val="0"/>
              <w:numId w:val="1"/>
            </w:numPr>
            <w:tabs>
              <w:tab w:pos="1928" w:val="left" w:leader="none"/>
              <w:tab w:pos="10266" w:val="right" w:leader="dot"/>
            </w:tabs>
            <w:spacing w:line="240" w:lineRule="auto" w:before="68" w:after="0"/>
            <w:ind w:left="1927" w:right="0" w:hanging="340"/>
            <w:jc w:val="left"/>
          </w:pPr>
          <w:hyperlink w:history="true" w:anchor="_bookmark20">
            <w:r>
              <w:rPr>
                <w:color w:val="658464"/>
                <w:w w:val="110"/>
              </w:rPr>
              <w:t>Current tree dispute </w:t>
            </w:r>
            <w:r>
              <w:rPr>
                <w:color w:val="658464"/>
                <w:spacing w:val="-2"/>
                <w:w w:val="110"/>
              </w:rPr>
              <w:t>law</w:t>
            </w:r>
            <w:r>
              <w:rPr>
                <w:color w:val="658464"/>
                <w:spacing w:val="14"/>
                <w:w w:val="110"/>
              </w:rPr>
              <w:t> </w:t>
            </w:r>
            <w:r>
              <w:rPr>
                <w:color w:val="658464"/>
                <w:w w:val="110"/>
              </w:rPr>
              <w:t>in</w:t>
            </w:r>
            <w:r>
              <w:rPr>
                <w:color w:val="658464"/>
                <w:spacing w:val="4"/>
                <w:w w:val="110"/>
              </w:rPr>
              <w:t> </w:t>
            </w:r>
            <w:r>
              <w:rPr>
                <w:color w:val="658464"/>
                <w:w w:val="110"/>
              </w:rPr>
              <w:t>Victoria</w:t>
              <w:tab/>
              <w:t>26</w:t>
            </w:r>
          </w:hyperlink>
        </w:p>
        <w:p>
          <w:pPr>
            <w:pStyle w:val="TOC3"/>
            <w:tabs>
              <w:tab w:pos="10267" w:val="right" w:leader="dot"/>
            </w:tabs>
          </w:pPr>
          <w:hyperlink w:history="true" w:anchor="_bookmark20">
            <w:r>
              <w:rPr>
                <w:w w:val="110"/>
              </w:rPr>
              <w:t>Introduction</w:t>
              <w:tab/>
              <w:t>26</w:t>
            </w:r>
          </w:hyperlink>
        </w:p>
        <w:p>
          <w:pPr>
            <w:pStyle w:val="TOC3"/>
            <w:tabs>
              <w:tab w:pos="10267" w:val="right" w:leader="dot"/>
            </w:tabs>
          </w:pPr>
          <w:hyperlink w:history="true" w:anchor="_bookmark20">
            <w:r>
              <w:rPr>
                <w:w w:val="110"/>
              </w:rPr>
              <w:t>Insurance</w:t>
            </w:r>
            <w:r>
              <w:rPr>
                <w:spacing w:val="3"/>
                <w:w w:val="110"/>
              </w:rPr>
              <w:t> </w:t>
            </w:r>
            <w:r>
              <w:rPr>
                <w:w w:val="110"/>
              </w:rPr>
              <w:t>claims</w:t>
              <w:tab/>
              <w:t>26</w:t>
            </w:r>
          </w:hyperlink>
        </w:p>
        <w:p>
          <w:pPr>
            <w:pStyle w:val="TOC3"/>
            <w:tabs>
              <w:tab w:pos="10263" w:val="right" w:leader="dot"/>
            </w:tabs>
          </w:pPr>
          <w:hyperlink w:history="true" w:anchor="_bookmark21">
            <w:r>
              <w:rPr>
                <w:w w:val="110"/>
              </w:rPr>
              <w:t>Abatement/’self-help’</w:t>
              <w:tab/>
            </w:r>
            <w:r>
              <w:rPr>
                <w:spacing w:val="-4"/>
                <w:w w:val="110"/>
              </w:rPr>
              <w:t>27</w:t>
            </w:r>
          </w:hyperlink>
        </w:p>
        <w:p>
          <w:pPr>
            <w:pStyle w:val="TOC3"/>
            <w:tabs>
              <w:tab w:pos="10265" w:val="right" w:leader="dot"/>
            </w:tabs>
            <w:spacing w:before="68"/>
          </w:pPr>
          <w:hyperlink w:history="true" w:anchor="_bookmark22">
            <w:r>
              <w:rPr>
                <w:w w:val="115"/>
              </w:rPr>
              <w:t>Neighbour-led resolution</w:t>
              <w:tab/>
              <w:t>28</w:t>
            </w:r>
          </w:hyperlink>
        </w:p>
        <w:p>
          <w:pPr>
            <w:pStyle w:val="TOC3"/>
            <w:tabs>
              <w:tab w:pos="10265" w:val="right" w:leader="dot"/>
            </w:tabs>
          </w:pPr>
          <w:hyperlink w:history="true" w:anchor="_bookmark23">
            <w:r>
              <w:rPr>
                <w:w w:val="115"/>
              </w:rPr>
              <w:t>Alternative dispute resolution</w:t>
              <w:tab/>
              <w:t>29</w:t>
            </w:r>
          </w:hyperlink>
        </w:p>
        <w:p>
          <w:pPr>
            <w:pStyle w:val="TOC4"/>
            <w:tabs>
              <w:tab w:pos="10262" w:val="right" w:leader="dot"/>
            </w:tabs>
          </w:pPr>
          <w:hyperlink w:history="true" w:anchor="_bookmark23">
            <w:r>
              <w:rPr>
                <w:w w:val="105"/>
              </w:rPr>
              <w:t>The role of the </w:t>
            </w:r>
            <w:r>
              <w:rPr>
                <w:spacing w:val="-3"/>
                <w:w w:val="105"/>
              </w:rPr>
              <w:t>Dispute </w:t>
            </w:r>
            <w:r>
              <w:rPr>
                <w:w w:val="105"/>
              </w:rPr>
              <w:t>Settlement </w:t>
            </w:r>
            <w:r>
              <w:rPr>
                <w:spacing w:val="-4"/>
                <w:w w:val="105"/>
              </w:rPr>
              <w:t>Centre</w:t>
            </w:r>
            <w:r>
              <w:rPr>
                <w:spacing w:val="30"/>
                <w:w w:val="105"/>
              </w:rPr>
              <w:t> </w:t>
            </w:r>
            <w:r>
              <w:rPr>
                <w:w w:val="105"/>
              </w:rPr>
              <w:t>of</w:t>
            </w:r>
            <w:r>
              <w:rPr>
                <w:spacing w:val="4"/>
                <w:w w:val="105"/>
              </w:rPr>
              <w:t> </w:t>
            </w:r>
            <w:r>
              <w:rPr>
                <w:w w:val="105"/>
              </w:rPr>
              <w:t>Victoria</w:t>
              <w:tab/>
            </w:r>
            <w:r>
              <w:rPr>
                <w:spacing w:val="-5"/>
                <w:w w:val="105"/>
              </w:rPr>
              <w:t>29</w:t>
            </w:r>
          </w:hyperlink>
        </w:p>
        <w:p>
          <w:pPr>
            <w:pStyle w:val="TOC4"/>
            <w:tabs>
              <w:tab w:pos="10266" w:val="right" w:leader="dot"/>
            </w:tabs>
            <w:spacing w:before="68"/>
          </w:pPr>
          <w:hyperlink w:history="true" w:anchor="_bookmark24">
            <w:r>
              <w:rPr>
                <w:spacing w:val="-3"/>
                <w:w w:val="105"/>
              </w:rPr>
              <w:t>Court-referred alternative</w:t>
            </w:r>
            <w:r>
              <w:rPr>
                <w:spacing w:val="11"/>
                <w:w w:val="105"/>
              </w:rPr>
              <w:t> </w:t>
            </w:r>
            <w:r>
              <w:rPr>
                <w:spacing w:val="-3"/>
                <w:w w:val="105"/>
              </w:rPr>
              <w:t>dispute</w:t>
            </w:r>
            <w:r>
              <w:rPr>
                <w:spacing w:val="5"/>
                <w:w w:val="105"/>
              </w:rPr>
              <w:t> </w:t>
            </w:r>
            <w:r>
              <w:rPr>
                <w:w w:val="105"/>
              </w:rPr>
              <w:t>resolution</w:t>
              <w:tab/>
              <w:t>30</w:t>
            </w:r>
          </w:hyperlink>
        </w:p>
        <w:p>
          <w:pPr>
            <w:pStyle w:val="TOC3"/>
            <w:tabs>
              <w:tab w:pos="10258" w:val="right" w:leader="dot"/>
            </w:tabs>
          </w:pPr>
          <w:hyperlink w:history="true" w:anchor="_bookmark25">
            <w:r>
              <w:rPr>
                <w:w w:val="115"/>
              </w:rPr>
              <w:t>Court proceedings</w:t>
              <w:tab/>
            </w:r>
            <w:r>
              <w:rPr>
                <w:spacing w:val="-9"/>
                <w:w w:val="115"/>
              </w:rPr>
              <w:t>31</w:t>
            </w:r>
          </w:hyperlink>
        </w:p>
        <w:p>
          <w:pPr>
            <w:pStyle w:val="TOC4"/>
            <w:tabs>
              <w:tab w:pos="10266" w:val="right" w:leader="dot"/>
            </w:tabs>
          </w:pPr>
          <w:hyperlink w:history="true" w:anchor="_bookmark26">
            <w:r>
              <w:rPr>
                <w:w w:val="105"/>
              </w:rPr>
              <w:t>Nuisance</w:t>
              <w:tab/>
            </w:r>
            <w:r>
              <w:rPr>
                <w:spacing w:val="-4"/>
                <w:w w:val="105"/>
              </w:rPr>
              <w:t>32</w:t>
            </w:r>
          </w:hyperlink>
        </w:p>
        <w:p>
          <w:pPr>
            <w:pStyle w:val="TOC4"/>
            <w:tabs>
              <w:tab w:pos="10261" w:val="right" w:leader="dot"/>
            </w:tabs>
          </w:pPr>
          <w:hyperlink w:history="true" w:anchor="_bookmark27">
            <w:r>
              <w:rPr>
                <w:w w:val="105"/>
              </w:rPr>
              <w:t>Negligence</w:t>
              <w:tab/>
            </w:r>
            <w:r>
              <w:rPr>
                <w:spacing w:val="-6"/>
                <w:w w:val="105"/>
              </w:rPr>
              <w:t>35</w:t>
            </w:r>
          </w:hyperlink>
        </w:p>
        <w:p>
          <w:pPr>
            <w:pStyle w:val="TOC4"/>
            <w:tabs>
              <w:tab w:pos="10266" w:val="right" w:leader="dot"/>
            </w:tabs>
            <w:spacing w:before="68"/>
          </w:pPr>
          <w:hyperlink w:history="true" w:anchor="_bookmark28">
            <w:r>
              <w:rPr>
                <w:spacing w:val="-4"/>
                <w:w w:val="105"/>
              </w:rPr>
              <w:t>Trespass</w:t>
              <w:tab/>
            </w:r>
            <w:r>
              <w:rPr>
                <w:w w:val="105"/>
              </w:rPr>
              <w:t>38</w:t>
            </w:r>
          </w:hyperlink>
        </w:p>
        <w:p>
          <w:pPr>
            <w:pStyle w:val="TOC3"/>
            <w:tabs>
              <w:tab w:pos="10265" w:val="right" w:leader="dot"/>
            </w:tabs>
            <w:ind w:left="2153"/>
          </w:pPr>
          <w:hyperlink w:history="true" w:anchor="_bookmark29">
            <w:r>
              <w:rPr>
                <w:w w:val="115"/>
              </w:rPr>
              <w:t>Other laws affecting</w:t>
            </w:r>
            <w:r>
              <w:rPr>
                <w:spacing w:val="1"/>
                <w:w w:val="115"/>
              </w:rPr>
              <w:t> </w:t>
            </w:r>
            <w:r>
              <w:rPr>
                <w:w w:val="115"/>
              </w:rPr>
              <w:t>tree</w:t>
            </w:r>
            <w:r>
              <w:rPr>
                <w:spacing w:val="1"/>
                <w:w w:val="115"/>
              </w:rPr>
              <w:t> </w:t>
            </w:r>
            <w:r>
              <w:rPr>
                <w:w w:val="115"/>
              </w:rPr>
              <w:t>management</w:t>
              <w:tab/>
              <w:t>39</w:t>
            </w:r>
          </w:hyperlink>
        </w:p>
        <w:p>
          <w:pPr>
            <w:pStyle w:val="TOC3"/>
            <w:tabs>
              <w:tab w:pos="10270" w:val="right" w:leader="dot"/>
            </w:tabs>
            <w:ind w:left="2153"/>
          </w:pPr>
          <w:hyperlink w:history="true" w:anchor="_bookmark30">
            <w:r>
              <w:rPr>
                <w:w w:val="110"/>
              </w:rPr>
              <w:t>Community responses—the</w:t>
            </w:r>
            <w:r>
              <w:rPr>
                <w:spacing w:val="8"/>
                <w:w w:val="110"/>
              </w:rPr>
              <w:t> </w:t>
            </w:r>
            <w:r>
              <w:rPr>
                <w:w w:val="110"/>
              </w:rPr>
              <w:t>current</w:t>
            </w:r>
            <w:r>
              <w:rPr>
                <w:spacing w:val="4"/>
                <w:w w:val="110"/>
              </w:rPr>
              <w:t> </w:t>
            </w:r>
            <w:r>
              <w:rPr>
                <w:w w:val="110"/>
              </w:rPr>
              <w:t>law</w:t>
              <w:tab/>
            </w:r>
            <w:r>
              <w:rPr>
                <w:spacing w:val="3"/>
                <w:w w:val="110"/>
              </w:rPr>
              <w:t>40</w:t>
            </w:r>
          </w:hyperlink>
        </w:p>
        <w:p>
          <w:pPr>
            <w:pStyle w:val="TOC4"/>
            <w:tabs>
              <w:tab w:pos="10269" w:val="right" w:leader="dot"/>
            </w:tabs>
          </w:pPr>
          <w:hyperlink w:history="true" w:anchor="_bookmark30">
            <w:r>
              <w:rPr>
                <w:w w:val="105"/>
              </w:rPr>
              <w:t>Lack</w:t>
            </w:r>
            <w:r>
              <w:rPr>
                <w:spacing w:val="5"/>
                <w:w w:val="105"/>
              </w:rPr>
              <w:t> </w:t>
            </w:r>
            <w:r>
              <w:rPr>
                <w:w w:val="105"/>
              </w:rPr>
              <w:t>of</w:t>
            </w:r>
            <w:r>
              <w:rPr>
                <w:spacing w:val="5"/>
                <w:w w:val="105"/>
              </w:rPr>
              <w:t> </w:t>
            </w:r>
            <w:r>
              <w:rPr>
                <w:w w:val="105"/>
              </w:rPr>
              <w:t>clarity</w:t>
              <w:tab/>
              <w:t>40</w:t>
            </w:r>
          </w:hyperlink>
        </w:p>
        <w:p>
          <w:pPr>
            <w:pStyle w:val="TOC4"/>
            <w:tabs>
              <w:tab w:pos="10251" w:val="right" w:leader="dot"/>
            </w:tabs>
            <w:spacing w:before="68"/>
          </w:pPr>
          <w:hyperlink w:history="true" w:anchor="_bookmark31">
            <w:r>
              <w:rPr>
                <w:w w:val="105"/>
              </w:rPr>
              <w:t>Other laws</w:t>
            </w:r>
            <w:r>
              <w:rPr>
                <w:spacing w:val="10"/>
                <w:w w:val="105"/>
              </w:rPr>
              <w:t> </w:t>
            </w:r>
            <w:r>
              <w:rPr>
                <w:w w:val="105"/>
              </w:rPr>
              <w:t>add</w:t>
            </w:r>
            <w:r>
              <w:rPr>
                <w:spacing w:val="5"/>
                <w:w w:val="105"/>
              </w:rPr>
              <w:t> </w:t>
            </w:r>
            <w:r>
              <w:rPr>
                <w:w w:val="105"/>
              </w:rPr>
              <w:t>complexity</w:t>
              <w:tab/>
            </w:r>
            <w:r>
              <w:rPr>
                <w:spacing w:val="-16"/>
                <w:w w:val="105"/>
              </w:rPr>
              <w:t>41</w:t>
            </w:r>
          </w:hyperlink>
        </w:p>
        <w:p>
          <w:pPr>
            <w:pStyle w:val="TOC4"/>
            <w:tabs>
              <w:tab w:pos="10251" w:val="right" w:leader="dot"/>
            </w:tabs>
          </w:pPr>
          <w:hyperlink w:history="true" w:anchor="_bookmark31">
            <w:r>
              <w:rPr/>
              <w:t>Existing remedies </w:t>
            </w:r>
            <w:r>
              <w:rPr>
                <w:spacing w:val="-3"/>
              </w:rPr>
              <w:t>are limited</w:t>
            </w:r>
            <w:r>
              <w:rPr>
                <w:spacing w:val="37"/>
              </w:rPr>
              <w:t> </w:t>
            </w:r>
            <w:r>
              <w:rPr/>
              <w:t>in</w:t>
            </w:r>
            <w:r>
              <w:rPr>
                <w:spacing w:val="9"/>
              </w:rPr>
              <w:t> </w:t>
            </w:r>
            <w:r>
              <w:rPr>
                <w:spacing w:val="-3"/>
              </w:rPr>
              <w:t>value</w:t>
              <w:tab/>
            </w:r>
            <w:r>
              <w:rPr>
                <w:spacing w:val="-16"/>
              </w:rPr>
              <w:t>41</w:t>
            </w:r>
          </w:hyperlink>
        </w:p>
        <w:p>
          <w:pPr>
            <w:pStyle w:val="TOC4"/>
            <w:tabs>
              <w:tab w:pos="10261" w:val="right" w:leader="dot"/>
            </w:tabs>
          </w:pPr>
          <w:hyperlink w:history="true" w:anchor="_bookmark32">
            <w:r>
              <w:rPr>
                <w:w w:val="105"/>
              </w:rPr>
              <w:t>Litigation is difficult</w:t>
            </w:r>
            <w:r>
              <w:rPr>
                <w:spacing w:val="14"/>
                <w:w w:val="105"/>
              </w:rPr>
              <w:t> </w:t>
            </w:r>
            <w:r>
              <w:rPr>
                <w:w w:val="105"/>
              </w:rPr>
              <w:t>and</w:t>
            </w:r>
            <w:r>
              <w:rPr>
                <w:spacing w:val="5"/>
                <w:w w:val="105"/>
              </w:rPr>
              <w:t> </w:t>
            </w:r>
            <w:r>
              <w:rPr>
                <w:w w:val="105"/>
              </w:rPr>
              <w:t>costly</w:t>
              <w:tab/>
            </w:r>
            <w:r>
              <w:rPr>
                <w:spacing w:val="-6"/>
                <w:w w:val="105"/>
              </w:rPr>
              <w:t>45</w:t>
            </w:r>
          </w:hyperlink>
        </w:p>
        <w:p>
          <w:pPr>
            <w:pStyle w:val="TOC4"/>
            <w:tabs>
              <w:tab w:pos="10268" w:val="right" w:leader="dot"/>
            </w:tabs>
          </w:pPr>
          <w:hyperlink w:history="true" w:anchor="_bookmark33">
            <w:r>
              <w:rPr>
                <w:spacing w:val="-3"/>
                <w:w w:val="105"/>
              </w:rPr>
              <w:t>Access </w:t>
            </w:r>
            <w:r>
              <w:rPr>
                <w:w w:val="105"/>
              </w:rPr>
              <w:t>and awareness</w:t>
            </w:r>
            <w:r>
              <w:rPr>
                <w:spacing w:val="18"/>
                <w:w w:val="105"/>
              </w:rPr>
              <w:t> </w:t>
            </w:r>
            <w:r>
              <w:rPr>
                <w:w w:val="105"/>
              </w:rPr>
              <w:t>of</w:t>
            </w:r>
            <w:r>
              <w:rPr>
                <w:spacing w:val="5"/>
                <w:w w:val="105"/>
              </w:rPr>
              <w:t> </w:t>
            </w:r>
            <w:r>
              <w:rPr>
                <w:spacing w:val="-3"/>
                <w:w w:val="105"/>
              </w:rPr>
              <w:t>information</w:t>
              <w:tab/>
            </w:r>
            <w:r>
              <w:rPr>
                <w:w w:val="105"/>
              </w:rPr>
              <w:t>46</w:t>
            </w:r>
          </w:hyperlink>
        </w:p>
        <w:p>
          <w:pPr>
            <w:pStyle w:val="TOC4"/>
            <w:tabs>
              <w:tab w:pos="10258" w:val="right" w:leader="dot"/>
            </w:tabs>
            <w:spacing w:before="68"/>
          </w:pPr>
          <w:hyperlink w:history="true" w:anchor="_bookmark34">
            <w:r>
              <w:rPr>
                <w:w w:val="105"/>
              </w:rPr>
              <w:t>The </w:t>
            </w:r>
            <w:r>
              <w:rPr>
                <w:spacing w:val="-3"/>
                <w:w w:val="105"/>
              </w:rPr>
              <w:t>balance </w:t>
            </w:r>
            <w:r>
              <w:rPr>
                <w:w w:val="105"/>
              </w:rPr>
              <w:t>of</w:t>
            </w:r>
            <w:r>
              <w:rPr>
                <w:spacing w:val="19"/>
                <w:w w:val="105"/>
              </w:rPr>
              <w:t> </w:t>
            </w:r>
            <w:r>
              <w:rPr>
                <w:spacing w:val="-3"/>
                <w:w w:val="105"/>
              </w:rPr>
              <w:t>competing</w:t>
            </w:r>
            <w:r>
              <w:rPr>
                <w:spacing w:val="6"/>
                <w:w w:val="105"/>
              </w:rPr>
              <w:t> </w:t>
            </w:r>
            <w:r>
              <w:rPr>
                <w:w w:val="105"/>
              </w:rPr>
              <w:t>rights</w:t>
              <w:tab/>
            </w:r>
            <w:r>
              <w:rPr>
                <w:spacing w:val="-9"/>
                <w:w w:val="105"/>
              </w:rPr>
              <w:t>47</w:t>
            </w:r>
          </w:hyperlink>
        </w:p>
        <w:p>
          <w:pPr>
            <w:pStyle w:val="TOC3"/>
            <w:tabs>
              <w:tab w:pos="10265" w:val="right" w:leader="dot"/>
            </w:tabs>
            <w:ind w:left="2153"/>
          </w:pPr>
          <w:hyperlink w:history="true" w:anchor="_bookmark35">
            <w:r>
              <w:rPr>
                <w:w w:val="110"/>
              </w:rPr>
              <w:t>The</w:t>
            </w:r>
            <w:r>
              <w:rPr>
                <w:spacing w:val="3"/>
                <w:w w:val="110"/>
              </w:rPr>
              <w:t> </w:t>
            </w:r>
            <w:r>
              <w:rPr>
                <w:w w:val="110"/>
              </w:rPr>
              <w:t>Commission’s</w:t>
            </w:r>
            <w:r>
              <w:rPr>
                <w:spacing w:val="3"/>
                <w:w w:val="110"/>
              </w:rPr>
              <w:t> </w:t>
            </w:r>
            <w:r>
              <w:rPr>
                <w:w w:val="110"/>
              </w:rPr>
              <w:t>conclusion</w:t>
              <w:tab/>
              <w:t>49</w:t>
            </w:r>
          </w:hyperlink>
        </w:p>
        <w:p>
          <w:pPr>
            <w:pStyle w:val="TOC2"/>
            <w:numPr>
              <w:ilvl w:val="0"/>
              <w:numId w:val="1"/>
            </w:numPr>
            <w:tabs>
              <w:tab w:pos="1927" w:val="left" w:leader="none"/>
              <w:tab w:pos="10265" w:val="right" w:leader="dot"/>
            </w:tabs>
            <w:spacing w:line="240" w:lineRule="auto" w:before="69" w:after="0"/>
            <w:ind w:left="1926" w:right="0" w:hanging="340"/>
            <w:jc w:val="left"/>
          </w:pPr>
          <w:hyperlink w:history="true" w:anchor="_bookmark36">
            <w:r>
              <w:rPr>
                <w:color w:val="658464"/>
                <w:w w:val="115"/>
              </w:rPr>
              <w:t>The need for a new Act to resolve neighbourhood</w:t>
            </w:r>
            <w:r>
              <w:rPr>
                <w:color w:val="658464"/>
                <w:spacing w:val="-21"/>
                <w:w w:val="115"/>
              </w:rPr>
              <w:t> </w:t>
            </w:r>
            <w:r>
              <w:rPr>
                <w:color w:val="658464"/>
                <w:w w:val="115"/>
              </w:rPr>
              <w:t>tree</w:t>
            </w:r>
            <w:r>
              <w:rPr>
                <w:color w:val="658464"/>
                <w:spacing w:val="-2"/>
                <w:w w:val="115"/>
              </w:rPr>
              <w:t> </w:t>
            </w:r>
            <w:r>
              <w:rPr>
                <w:color w:val="658464"/>
                <w:w w:val="115"/>
              </w:rPr>
              <w:t>disputes</w:t>
              <w:tab/>
              <w:t>52</w:t>
            </w:r>
          </w:hyperlink>
        </w:p>
        <w:p>
          <w:pPr>
            <w:pStyle w:val="TOC3"/>
            <w:tabs>
              <w:tab w:pos="10264" w:val="right" w:leader="dot"/>
            </w:tabs>
            <w:spacing w:before="68"/>
            <w:ind w:left="2153"/>
          </w:pPr>
          <w:hyperlink w:history="true" w:anchor="_bookmark36">
            <w:r>
              <w:rPr>
                <w:w w:val="115"/>
              </w:rPr>
              <w:t>Approaches to tree disputes in</w:t>
            </w:r>
            <w:r>
              <w:rPr>
                <w:spacing w:val="-5"/>
                <w:w w:val="115"/>
              </w:rPr>
              <w:t> </w:t>
            </w:r>
            <w:r>
              <w:rPr>
                <w:w w:val="115"/>
              </w:rPr>
              <w:t>other</w:t>
            </w:r>
            <w:r>
              <w:rPr>
                <w:spacing w:val="-1"/>
                <w:w w:val="115"/>
              </w:rPr>
              <w:t> </w:t>
            </w:r>
            <w:r>
              <w:rPr>
                <w:w w:val="115"/>
              </w:rPr>
              <w:t>jurisdictions</w:t>
              <w:tab/>
            </w:r>
            <w:r>
              <w:rPr>
                <w:spacing w:val="-3"/>
                <w:w w:val="115"/>
              </w:rPr>
              <w:t>52</w:t>
            </w:r>
          </w:hyperlink>
        </w:p>
        <w:p>
          <w:pPr>
            <w:pStyle w:val="TOC3"/>
            <w:tabs>
              <w:tab w:pos="10269" w:val="right" w:leader="dot"/>
            </w:tabs>
            <w:ind w:left="2153"/>
          </w:pPr>
          <w:hyperlink w:history="true" w:anchor="_bookmark37">
            <w:r>
              <w:rPr>
                <w:w w:val="115"/>
              </w:rPr>
              <w:t>Community responses on options</w:t>
            </w:r>
            <w:r>
              <w:rPr>
                <w:spacing w:val="-2"/>
                <w:w w:val="115"/>
              </w:rPr>
              <w:t> </w:t>
            </w:r>
            <w:r>
              <w:rPr>
                <w:w w:val="115"/>
              </w:rPr>
              <w:t>for</w:t>
            </w:r>
            <w:r>
              <w:rPr>
                <w:spacing w:val="-1"/>
                <w:w w:val="115"/>
              </w:rPr>
              <w:t> </w:t>
            </w:r>
            <w:r>
              <w:rPr>
                <w:w w:val="115"/>
              </w:rPr>
              <w:t>reform</w:t>
              <w:tab/>
            </w:r>
            <w:r>
              <w:rPr>
                <w:spacing w:val="3"/>
                <w:w w:val="115"/>
              </w:rPr>
              <w:t>54</w:t>
            </w:r>
          </w:hyperlink>
        </w:p>
        <w:p>
          <w:pPr>
            <w:pStyle w:val="TOC4"/>
            <w:tabs>
              <w:tab w:pos="10268" w:val="right" w:leader="dot"/>
            </w:tabs>
            <w:ind w:left="2436"/>
          </w:pPr>
          <w:hyperlink w:history="true" w:anchor="_bookmark37">
            <w:r>
              <w:rPr>
                <w:w w:val="105"/>
              </w:rPr>
              <w:t>Option </w:t>
            </w:r>
            <w:r>
              <w:rPr>
                <w:spacing w:val="-4"/>
                <w:w w:val="105"/>
              </w:rPr>
              <w:t>1: </w:t>
            </w:r>
            <w:r>
              <w:rPr>
                <w:spacing w:val="-2"/>
                <w:w w:val="105"/>
              </w:rPr>
              <w:t>Retain </w:t>
            </w:r>
            <w:r>
              <w:rPr>
                <w:w w:val="105"/>
              </w:rPr>
              <w:t>the</w:t>
            </w:r>
            <w:r>
              <w:rPr>
                <w:spacing w:val="25"/>
                <w:w w:val="105"/>
              </w:rPr>
              <w:t> </w:t>
            </w:r>
            <w:r>
              <w:rPr>
                <w:w w:val="105"/>
              </w:rPr>
              <w:t>existing</w:t>
            </w:r>
            <w:r>
              <w:rPr>
                <w:spacing w:val="4"/>
                <w:w w:val="105"/>
              </w:rPr>
              <w:t> </w:t>
            </w:r>
            <w:r>
              <w:rPr>
                <w:w w:val="105"/>
              </w:rPr>
              <w:t>system</w:t>
              <w:tab/>
              <w:t>54</w:t>
            </w:r>
          </w:hyperlink>
        </w:p>
        <w:p>
          <w:pPr>
            <w:pStyle w:val="TOC4"/>
            <w:tabs>
              <w:tab w:pos="10258" w:val="right" w:leader="dot"/>
            </w:tabs>
            <w:ind w:left="2436"/>
          </w:pPr>
          <w:hyperlink w:history="true" w:anchor="_bookmark38">
            <w:r>
              <w:rPr>
                <w:w w:val="105"/>
              </w:rPr>
              <w:t>Option 2: </w:t>
            </w:r>
            <w:r>
              <w:rPr>
                <w:spacing w:val="-3"/>
                <w:w w:val="105"/>
              </w:rPr>
              <w:t>Introduce </w:t>
            </w:r>
            <w:r>
              <w:rPr>
                <w:w w:val="105"/>
              </w:rPr>
              <w:t>a new tree</w:t>
            </w:r>
            <w:r>
              <w:rPr>
                <w:spacing w:val="33"/>
                <w:w w:val="105"/>
              </w:rPr>
              <w:t> </w:t>
            </w:r>
            <w:r>
              <w:rPr>
                <w:spacing w:val="-3"/>
                <w:w w:val="105"/>
              </w:rPr>
              <w:t>disputes</w:t>
            </w:r>
            <w:r>
              <w:rPr>
                <w:spacing w:val="5"/>
                <w:w w:val="105"/>
              </w:rPr>
              <w:t> </w:t>
            </w:r>
            <w:r>
              <w:rPr>
                <w:w w:val="105"/>
              </w:rPr>
              <w:t>Act</w:t>
              <w:tab/>
            </w:r>
            <w:r>
              <w:rPr>
                <w:spacing w:val="-8"/>
                <w:w w:val="105"/>
              </w:rPr>
              <w:t>55</w:t>
            </w:r>
          </w:hyperlink>
        </w:p>
        <w:p>
          <w:pPr>
            <w:pStyle w:val="TOC4"/>
            <w:tabs>
              <w:tab w:pos="10264" w:val="right" w:leader="dot"/>
            </w:tabs>
            <w:spacing w:before="68"/>
            <w:ind w:left="2436"/>
          </w:pPr>
          <w:hyperlink w:history="true" w:anchor="_bookmark39">
            <w:r>
              <w:rPr>
                <w:w w:val="105"/>
              </w:rPr>
              <w:t>Option 3:</w:t>
            </w:r>
            <w:r>
              <w:rPr>
                <w:spacing w:val="10"/>
                <w:w w:val="105"/>
              </w:rPr>
              <w:t> </w:t>
            </w:r>
            <w:r>
              <w:rPr>
                <w:spacing w:val="-3"/>
                <w:w w:val="105"/>
              </w:rPr>
              <w:t>Alternative</w:t>
            </w:r>
            <w:r>
              <w:rPr>
                <w:spacing w:val="5"/>
                <w:w w:val="105"/>
              </w:rPr>
              <w:t> </w:t>
            </w:r>
            <w:r>
              <w:rPr>
                <w:w w:val="105"/>
              </w:rPr>
              <w:t>options</w:t>
              <w:tab/>
              <w:t>56</w:t>
            </w:r>
          </w:hyperlink>
        </w:p>
        <w:p>
          <w:pPr>
            <w:pStyle w:val="TOC3"/>
            <w:tabs>
              <w:tab w:pos="10265" w:val="right" w:leader="dot"/>
            </w:tabs>
            <w:ind w:left="2153"/>
          </w:pPr>
          <w:hyperlink w:history="true" w:anchor="_bookmark39">
            <w:r>
              <w:rPr>
                <w:w w:val="110"/>
              </w:rPr>
              <w:t>The</w:t>
            </w:r>
            <w:r>
              <w:rPr>
                <w:spacing w:val="3"/>
                <w:w w:val="110"/>
              </w:rPr>
              <w:t> </w:t>
            </w:r>
            <w:r>
              <w:rPr>
                <w:w w:val="110"/>
              </w:rPr>
              <w:t>Commission’s</w:t>
            </w:r>
            <w:r>
              <w:rPr>
                <w:spacing w:val="3"/>
                <w:w w:val="110"/>
              </w:rPr>
              <w:t> </w:t>
            </w:r>
            <w:r>
              <w:rPr>
                <w:w w:val="110"/>
              </w:rPr>
              <w:t>conclusions</w:t>
              <w:tab/>
              <w:t>56</w:t>
            </w:r>
          </w:hyperlink>
        </w:p>
        <w:p>
          <w:pPr>
            <w:pStyle w:val="TOC4"/>
            <w:tabs>
              <w:tab w:pos="10264" w:val="right" w:leader="dot"/>
            </w:tabs>
          </w:pPr>
          <w:hyperlink w:history="true" w:anchor="_bookmark39">
            <w:r>
              <w:rPr>
                <w:w w:val="105"/>
              </w:rPr>
              <w:t>The </w:t>
            </w:r>
            <w:r>
              <w:rPr>
                <w:spacing w:val="-3"/>
                <w:w w:val="105"/>
              </w:rPr>
              <w:t>limitations </w:t>
            </w:r>
            <w:r>
              <w:rPr>
                <w:w w:val="105"/>
              </w:rPr>
              <w:t>of only </w:t>
            </w:r>
            <w:r>
              <w:rPr>
                <w:spacing w:val="-3"/>
                <w:w w:val="105"/>
              </w:rPr>
              <w:t>focusing </w:t>
            </w:r>
            <w:r>
              <w:rPr>
                <w:w w:val="105"/>
              </w:rPr>
              <w:t>on</w:t>
            </w:r>
            <w:r>
              <w:rPr>
                <w:spacing w:val="31"/>
                <w:w w:val="105"/>
              </w:rPr>
              <w:t> </w:t>
            </w:r>
            <w:r>
              <w:rPr>
                <w:spacing w:val="-3"/>
                <w:w w:val="105"/>
              </w:rPr>
              <w:t>informal</w:t>
            </w:r>
            <w:r>
              <w:rPr>
                <w:spacing w:val="4"/>
                <w:w w:val="105"/>
              </w:rPr>
              <w:t> </w:t>
            </w:r>
            <w:r>
              <w:rPr>
                <w:w w:val="105"/>
              </w:rPr>
              <w:t>resolution</w:t>
              <w:tab/>
              <w:t>56</w:t>
            </w:r>
          </w:hyperlink>
        </w:p>
        <w:p>
          <w:pPr>
            <w:pStyle w:val="TOC4"/>
            <w:tabs>
              <w:tab w:pos="10266" w:val="right" w:leader="dot"/>
            </w:tabs>
          </w:pPr>
          <w:hyperlink w:history="true" w:anchor="_bookmark40">
            <w:r>
              <w:rPr>
                <w:w w:val="105"/>
              </w:rPr>
              <w:t>The </w:t>
            </w:r>
            <w:r>
              <w:rPr>
                <w:spacing w:val="-3"/>
                <w:w w:val="105"/>
              </w:rPr>
              <w:t>limitations </w:t>
            </w:r>
            <w:r>
              <w:rPr>
                <w:w w:val="105"/>
              </w:rPr>
              <w:t>of going</w:t>
            </w:r>
            <w:r>
              <w:rPr>
                <w:spacing w:val="24"/>
                <w:w w:val="105"/>
              </w:rPr>
              <w:t> </w:t>
            </w:r>
            <w:r>
              <w:rPr>
                <w:spacing w:val="-3"/>
                <w:w w:val="105"/>
              </w:rPr>
              <w:t>to</w:t>
            </w:r>
            <w:r>
              <w:rPr>
                <w:spacing w:val="5"/>
                <w:w w:val="105"/>
              </w:rPr>
              <w:t> </w:t>
            </w:r>
            <w:r>
              <w:rPr>
                <w:w w:val="105"/>
              </w:rPr>
              <w:t>court</w:t>
              <w:tab/>
              <w:t>58</w:t>
            </w:r>
          </w:hyperlink>
        </w:p>
        <w:p>
          <w:pPr>
            <w:pStyle w:val="TOC4"/>
            <w:tabs>
              <w:tab w:pos="10266" w:val="right" w:leader="dot"/>
            </w:tabs>
            <w:spacing w:before="68"/>
          </w:pPr>
          <w:hyperlink w:history="true" w:anchor="_bookmark40">
            <w:r>
              <w:rPr>
                <w:w w:val="105"/>
              </w:rPr>
              <w:t>A new Act</w:t>
            </w:r>
            <w:r>
              <w:rPr>
                <w:spacing w:val="16"/>
                <w:w w:val="105"/>
              </w:rPr>
              <w:t> </w:t>
            </w:r>
            <w:r>
              <w:rPr>
                <w:w w:val="105"/>
              </w:rPr>
              <w:t>is</w:t>
            </w:r>
            <w:r>
              <w:rPr>
                <w:spacing w:val="6"/>
                <w:w w:val="105"/>
              </w:rPr>
              <w:t> </w:t>
            </w:r>
            <w:r>
              <w:rPr>
                <w:w w:val="105"/>
              </w:rPr>
              <w:t>needed</w:t>
              <w:tab/>
              <w:t>58</w:t>
            </w:r>
          </w:hyperlink>
        </w:p>
        <w:p>
          <w:pPr>
            <w:pStyle w:val="TOC4"/>
            <w:tabs>
              <w:tab w:pos="10266" w:val="right" w:leader="dot"/>
            </w:tabs>
          </w:pPr>
          <w:hyperlink w:history="true" w:anchor="_bookmark41">
            <w:r>
              <w:rPr>
                <w:w w:val="105"/>
              </w:rPr>
              <w:t>Other</w:t>
            </w:r>
            <w:r>
              <w:rPr>
                <w:spacing w:val="5"/>
                <w:w w:val="105"/>
              </w:rPr>
              <w:t> </w:t>
            </w:r>
            <w:r>
              <w:rPr>
                <w:spacing w:val="-3"/>
                <w:w w:val="105"/>
              </w:rPr>
              <w:t>reform</w:t>
            </w:r>
            <w:r>
              <w:rPr>
                <w:spacing w:val="5"/>
                <w:w w:val="105"/>
              </w:rPr>
              <w:t> </w:t>
            </w:r>
            <w:r>
              <w:rPr>
                <w:w w:val="105"/>
              </w:rPr>
              <w:t>ideas</w:t>
              <w:tab/>
            </w:r>
            <w:r>
              <w:rPr>
                <w:spacing w:val="-4"/>
                <w:w w:val="105"/>
              </w:rPr>
              <w:t>59</w:t>
            </w:r>
          </w:hyperlink>
        </w:p>
        <w:p>
          <w:pPr>
            <w:pStyle w:val="TOC3"/>
            <w:tabs>
              <w:tab w:pos="10268" w:val="right" w:leader="dot"/>
            </w:tabs>
            <w:ind w:left="2153"/>
          </w:pPr>
          <w:hyperlink w:history="true" w:anchor="_bookmark42">
            <w:r>
              <w:rPr>
                <w:w w:val="115"/>
              </w:rPr>
              <w:t>Policy themes that should underpin the</w:t>
            </w:r>
            <w:r>
              <w:rPr>
                <w:spacing w:val="-2"/>
                <w:w w:val="115"/>
              </w:rPr>
              <w:t> </w:t>
            </w:r>
            <w:r>
              <w:rPr>
                <w:w w:val="115"/>
              </w:rPr>
              <w:t>new Act</w:t>
              <w:tab/>
              <w:t>60</w:t>
            </w:r>
          </w:hyperlink>
        </w:p>
      </w:sdtContent>
    </w:sdt>
    <w:p>
      <w:pPr>
        <w:spacing w:after="0"/>
        <w:sectPr>
          <w:type w:val="continuous"/>
          <w:pgSz w:w="11910" w:h="16840"/>
          <w:pgMar w:top="1575" w:bottom="467" w:left="0" w:right="0"/>
        </w:sectPr>
      </w:pPr>
    </w:p>
    <w:p>
      <w:pPr>
        <w:pStyle w:val="BodyText"/>
        <w:rPr>
          <w:sz w:val="28"/>
        </w:rPr>
      </w:pPr>
    </w:p>
    <w:p>
      <w:pPr>
        <w:pStyle w:val="BodyText"/>
        <w:rPr>
          <w:sz w:val="28"/>
        </w:rPr>
      </w:pPr>
    </w:p>
    <w:p>
      <w:pPr>
        <w:pStyle w:val="BodyText"/>
        <w:spacing w:before="6"/>
        <w:rPr>
          <w:sz w:val="39"/>
        </w:rPr>
      </w:pPr>
    </w:p>
    <w:p>
      <w:pPr>
        <w:spacing w:before="0"/>
        <w:ind w:left="0" w:right="697" w:firstLine="0"/>
        <w:jc w:val="right"/>
        <w:rPr>
          <w:b/>
          <w:sz w:val="24"/>
        </w:rPr>
      </w:pPr>
      <w:r>
        <w:rPr>
          <w:b/>
          <w:color w:val="658464"/>
          <w:w w:val="110"/>
          <w:sz w:val="24"/>
        </w:rPr>
        <w:t>iii</w:t>
      </w:r>
    </w:p>
    <w:p>
      <w:pPr>
        <w:spacing w:after="0"/>
        <w:jc w:val="right"/>
        <w:rPr>
          <w:sz w:val="24"/>
        </w:rPr>
        <w:sectPr>
          <w:type w:val="continuous"/>
          <w:pgSz w:w="11910" w:h="16840"/>
          <w:pgMar w:top="1560" w:bottom="280" w:left="0" w:right="0"/>
        </w:sectPr>
      </w:pPr>
    </w:p>
    <w:p>
      <w:pPr>
        <w:pStyle w:val="BodyText"/>
        <w:spacing w:before="4"/>
        <w:rPr>
          <w:b/>
          <w:sz w:val="22"/>
        </w:rPr>
      </w:pPr>
    </w:p>
    <w:p>
      <w:pPr>
        <w:pStyle w:val="Heading9"/>
        <w:numPr>
          <w:ilvl w:val="0"/>
          <w:numId w:val="1"/>
        </w:numPr>
        <w:tabs>
          <w:tab w:pos="1928" w:val="left" w:leader="none"/>
          <w:tab w:pos="10268" w:val="right" w:leader="dot"/>
        </w:tabs>
        <w:spacing w:line="240" w:lineRule="auto" w:before="97" w:after="0"/>
        <w:ind w:left="1927" w:right="0" w:hanging="340"/>
        <w:jc w:val="left"/>
      </w:pPr>
      <w:hyperlink w:history="true" w:anchor="_bookmark43">
        <w:r>
          <w:rPr>
            <w:color w:val="658464"/>
            <w:w w:val="115"/>
          </w:rPr>
          <w:t>Applying the new Act to neighbourhood</w:t>
        </w:r>
        <w:r>
          <w:rPr>
            <w:color w:val="658464"/>
            <w:spacing w:val="-4"/>
            <w:w w:val="115"/>
          </w:rPr>
          <w:t> </w:t>
        </w:r>
        <w:r>
          <w:rPr>
            <w:color w:val="658464"/>
            <w:w w:val="115"/>
          </w:rPr>
          <w:t>tree disputes</w:t>
          <w:tab/>
          <w:t>66</w:t>
        </w:r>
      </w:hyperlink>
    </w:p>
    <w:p>
      <w:pPr>
        <w:pStyle w:val="BodyText"/>
        <w:tabs>
          <w:tab w:pos="10268" w:val="right" w:leader="dot"/>
        </w:tabs>
        <w:spacing w:before="68"/>
        <w:ind w:left="2154"/>
      </w:pPr>
      <w:hyperlink w:history="true" w:anchor="_bookmark43">
        <w:r>
          <w:rPr>
            <w:w w:val="110"/>
          </w:rPr>
          <w:t>Introduction</w:t>
          <w:tab/>
          <w:t>66</w:t>
        </w:r>
      </w:hyperlink>
    </w:p>
    <w:p>
      <w:pPr>
        <w:pStyle w:val="BodyText"/>
        <w:tabs>
          <w:tab w:pos="10268" w:val="right" w:leader="dot"/>
        </w:tabs>
        <w:spacing w:before="69"/>
        <w:ind w:left="2154"/>
      </w:pPr>
      <w:hyperlink w:history="true" w:anchor="_bookmark43">
        <w:r>
          <w:rPr>
            <w:spacing w:val="-3"/>
            <w:w w:val="115"/>
          </w:rPr>
          <w:t>Trees, </w:t>
        </w:r>
        <w:r>
          <w:rPr>
            <w:w w:val="115"/>
          </w:rPr>
          <w:t>land</w:t>
        </w:r>
        <w:r>
          <w:rPr>
            <w:spacing w:val="3"/>
            <w:w w:val="115"/>
          </w:rPr>
          <w:t> </w:t>
        </w:r>
        <w:r>
          <w:rPr>
            <w:w w:val="115"/>
          </w:rPr>
          <w:t>and</w:t>
        </w:r>
        <w:r>
          <w:rPr>
            <w:spacing w:val="1"/>
            <w:w w:val="115"/>
          </w:rPr>
          <w:t> </w:t>
        </w:r>
        <w:r>
          <w:rPr>
            <w:w w:val="115"/>
          </w:rPr>
          <w:t>proximity</w:t>
          <w:tab/>
          <w:t>66</w:t>
        </w:r>
      </w:hyperlink>
    </w:p>
    <w:p>
      <w:pPr>
        <w:pStyle w:val="BodyText"/>
        <w:tabs>
          <w:tab w:pos="10267" w:val="right" w:leader="dot"/>
        </w:tabs>
        <w:spacing w:before="69"/>
        <w:ind w:left="2437"/>
      </w:pPr>
      <w:hyperlink w:history="true" w:anchor="_bookmark43">
        <w:r>
          <w:rPr>
            <w:w w:val="105"/>
          </w:rPr>
          <w:t>Definition</w:t>
        </w:r>
        <w:r>
          <w:rPr>
            <w:spacing w:val="5"/>
            <w:w w:val="105"/>
          </w:rPr>
          <w:t> </w:t>
        </w:r>
        <w:r>
          <w:rPr>
            <w:w w:val="105"/>
          </w:rPr>
          <w:t>of</w:t>
        </w:r>
        <w:r>
          <w:rPr>
            <w:spacing w:val="5"/>
            <w:w w:val="105"/>
          </w:rPr>
          <w:t> </w:t>
        </w:r>
        <w:r>
          <w:rPr>
            <w:w w:val="105"/>
          </w:rPr>
          <w:t>‘tree’</w:t>
          <w:tab/>
          <w:t>66</w:t>
        </w:r>
      </w:hyperlink>
    </w:p>
    <w:p>
      <w:pPr>
        <w:pStyle w:val="BodyText"/>
        <w:tabs>
          <w:tab w:pos="10259" w:val="right" w:leader="dot"/>
        </w:tabs>
        <w:spacing w:before="69"/>
        <w:ind w:left="2437"/>
      </w:pPr>
      <w:hyperlink w:history="true" w:anchor="_bookmark44">
        <w:r>
          <w:rPr>
            <w:w w:val="105"/>
          </w:rPr>
          <w:t>The </w:t>
        </w:r>
        <w:r>
          <w:rPr>
            <w:spacing w:val="-4"/>
            <w:w w:val="105"/>
          </w:rPr>
          <w:t>Commission’s </w:t>
        </w:r>
        <w:r>
          <w:rPr>
            <w:w w:val="105"/>
          </w:rPr>
          <w:t>conclusions—definition</w:t>
        </w:r>
        <w:r>
          <w:rPr>
            <w:spacing w:val="17"/>
            <w:w w:val="105"/>
          </w:rPr>
          <w:t> </w:t>
        </w:r>
        <w:r>
          <w:rPr>
            <w:w w:val="105"/>
          </w:rPr>
          <w:t>of</w:t>
        </w:r>
        <w:r>
          <w:rPr>
            <w:spacing w:val="4"/>
            <w:w w:val="105"/>
          </w:rPr>
          <w:t> </w:t>
        </w:r>
        <w:r>
          <w:rPr>
            <w:w w:val="105"/>
          </w:rPr>
          <w:t>‘tree’</w:t>
          <w:tab/>
        </w:r>
        <w:r>
          <w:rPr>
            <w:spacing w:val="-8"/>
            <w:w w:val="105"/>
          </w:rPr>
          <w:t>70</w:t>
        </w:r>
      </w:hyperlink>
    </w:p>
    <w:p>
      <w:pPr>
        <w:pStyle w:val="BodyText"/>
        <w:tabs>
          <w:tab w:pos="10255" w:val="right" w:leader="dot"/>
        </w:tabs>
        <w:spacing w:before="68"/>
        <w:ind w:left="2437"/>
      </w:pPr>
      <w:hyperlink w:history="true" w:anchor="_bookmark45">
        <w:r>
          <w:rPr>
            <w:spacing w:val="-7"/>
            <w:w w:val="105"/>
          </w:rPr>
          <w:t>To </w:t>
        </w:r>
        <w:r>
          <w:rPr>
            <w:w w:val="105"/>
          </w:rPr>
          <w:t>which </w:t>
        </w:r>
        <w:r>
          <w:rPr>
            <w:spacing w:val="-3"/>
            <w:w w:val="105"/>
          </w:rPr>
          <w:t>land </w:t>
        </w:r>
        <w:r>
          <w:rPr>
            <w:w w:val="105"/>
          </w:rPr>
          <w:t>should the</w:t>
        </w:r>
        <w:r>
          <w:rPr>
            <w:spacing w:val="36"/>
            <w:w w:val="105"/>
          </w:rPr>
          <w:t> </w:t>
        </w:r>
        <w:r>
          <w:rPr>
            <w:w w:val="105"/>
          </w:rPr>
          <w:t>Act</w:t>
        </w:r>
        <w:r>
          <w:rPr>
            <w:spacing w:val="6"/>
            <w:w w:val="105"/>
          </w:rPr>
          <w:t> </w:t>
        </w:r>
        <w:r>
          <w:rPr>
            <w:spacing w:val="-3"/>
            <w:w w:val="105"/>
          </w:rPr>
          <w:t>apply?</w:t>
          <w:tab/>
        </w:r>
        <w:r>
          <w:rPr>
            <w:spacing w:val="-12"/>
            <w:w w:val="105"/>
          </w:rPr>
          <w:t>71</w:t>
        </w:r>
      </w:hyperlink>
    </w:p>
    <w:p>
      <w:pPr>
        <w:pStyle w:val="BodyText"/>
        <w:tabs>
          <w:tab w:pos="10257" w:val="right" w:leader="dot"/>
        </w:tabs>
        <w:spacing w:before="69"/>
        <w:ind w:left="2437"/>
      </w:pPr>
      <w:hyperlink w:history="true" w:anchor="_bookmark46">
        <w:r>
          <w:rPr>
            <w:w w:val="105"/>
          </w:rPr>
          <w:t>The </w:t>
        </w:r>
        <w:r>
          <w:rPr>
            <w:spacing w:val="-4"/>
            <w:w w:val="105"/>
          </w:rPr>
          <w:t>Commission’s </w:t>
        </w:r>
        <w:r>
          <w:rPr>
            <w:spacing w:val="-3"/>
            <w:w w:val="105"/>
          </w:rPr>
          <w:t>conclusions—to </w:t>
        </w:r>
        <w:r>
          <w:rPr>
            <w:w w:val="105"/>
          </w:rPr>
          <w:t>which </w:t>
        </w:r>
        <w:r>
          <w:rPr>
            <w:spacing w:val="-3"/>
            <w:w w:val="105"/>
          </w:rPr>
          <w:t>land </w:t>
        </w:r>
        <w:r>
          <w:rPr>
            <w:w w:val="105"/>
          </w:rPr>
          <w:t>should the</w:t>
        </w:r>
        <w:r>
          <w:rPr>
            <w:spacing w:val="46"/>
            <w:w w:val="105"/>
          </w:rPr>
          <w:t> </w:t>
        </w:r>
        <w:r>
          <w:rPr>
            <w:w w:val="105"/>
          </w:rPr>
          <w:t>Act</w:t>
        </w:r>
        <w:r>
          <w:rPr>
            <w:spacing w:val="5"/>
            <w:w w:val="105"/>
          </w:rPr>
          <w:t> </w:t>
        </w:r>
        <w:r>
          <w:rPr>
            <w:spacing w:val="-3"/>
            <w:w w:val="105"/>
          </w:rPr>
          <w:t>apply?</w:t>
          <w:tab/>
        </w:r>
        <w:r>
          <w:rPr>
            <w:spacing w:val="-10"/>
            <w:w w:val="105"/>
          </w:rPr>
          <w:t>76</w:t>
        </w:r>
      </w:hyperlink>
    </w:p>
    <w:p>
      <w:pPr>
        <w:pStyle w:val="BodyText"/>
        <w:tabs>
          <w:tab w:pos="10269" w:val="right" w:leader="dot"/>
        </w:tabs>
        <w:spacing w:before="69"/>
        <w:ind w:left="2437"/>
      </w:pPr>
      <w:hyperlink w:history="true" w:anchor="_bookmark47">
        <w:r>
          <w:rPr>
            <w:w w:val="105"/>
          </w:rPr>
          <w:t>Proximity </w:t>
        </w:r>
        <w:r>
          <w:rPr>
            <w:spacing w:val="-3"/>
            <w:w w:val="105"/>
          </w:rPr>
          <w:t>to </w:t>
        </w:r>
        <w:r>
          <w:rPr>
            <w:w w:val="105"/>
          </w:rPr>
          <w:t>affected</w:t>
        </w:r>
        <w:r>
          <w:rPr>
            <w:spacing w:val="17"/>
            <w:w w:val="105"/>
          </w:rPr>
          <w:t> </w:t>
        </w:r>
        <w:r>
          <w:rPr>
            <w:spacing w:val="-3"/>
            <w:w w:val="105"/>
          </w:rPr>
          <w:t>neighbour’s</w:t>
        </w:r>
        <w:r>
          <w:rPr>
            <w:spacing w:val="5"/>
            <w:w w:val="105"/>
          </w:rPr>
          <w:t> </w:t>
        </w:r>
        <w:r>
          <w:rPr>
            <w:spacing w:val="-3"/>
            <w:w w:val="105"/>
          </w:rPr>
          <w:t>land</w:t>
          <w:tab/>
        </w:r>
        <w:r>
          <w:rPr>
            <w:w w:val="105"/>
          </w:rPr>
          <w:t>80</w:t>
        </w:r>
      </w:hyperlink>
    </w:p>
    <w:p>
      <w:pPr>
        <w:pStyle w:val="BodyText"/>
        <w:tabs>
          <w:tab w:pos="10265" w:val="right" w:leader="dot"/>
        </w:tabs>
        <w:spacing w:before="69"/>
        <w:ind w:left="2437"/>
      </w:pPr>
      <w:hyperlink w:history="true" w:anchor="_bookmark48">
        <w:r>
          <w:rPr>
            <w:w w:val="105"/>
          </w:rPr>
          <w:t>The </w:t>
        </w:r>
        <w:r>
          <w:rPr>
            <w:spacing w:val="-4"/>
            <w:w w:val="105"/>
          </w:rPr>
          <w:t>Commission’s </w:t>
        </w:r>
        <w:r>
          <w:rPr>
            <w:w w:val="105"/>
          </w:rPr>
          <w:t>conclusions—proximity </w:t>
        </w:r>
        <w:r>
          <w:rPr>
            <w:spacing w:val="-3"/>
            <w:w w:val="105"/>
          </w:rPr>
          <w:t>to </w:t>
        </w:r>
        <w:r>
          <w:rPr>
            <w:w w:val="105"/>
          </w:rPr>
          <w:t>affected</w:t>
        </w:r>
        <w:r>
          <w:rPr>
            <w:spacing w:val="22"/>
            <w:w w:val="105"/>
          </w:rPr>
          <w:t> </w:t>
        </w:r>
        <w:r>
          <w:rPr>
            <w:spacing w:val="-3"/>
            <w:w w:val="105"/>
          </w:rPr>
          <w:t>neighbour’s</w:t>
        </w:r>
        <w:r>
          <w:rPr>
            <w:spacing w:val="3"/>
            <w:w w:val="105"/>
          </w:rPr>
          <w:t> </w:t>
        </w:r>
        <w:r>
          <w:rPr>
            <w:spacing w:val="-3"/>
            <w:w w:val="105"/>
          </w:rPr>
          <w:t>land</w:t>
          <w:tab/>
        </w:r>
        <w:r>
          <w:rPr>
            <w:w w:val="105"/>
          </w:rPr>
          <w:t>83</w:t>
        </w:r>
      </w:hyperlink>
    </w:p>
    <w:p>
      <w:pPr>
        <w:pStyle w:val="BodyText"/>
        <w:tabs>
          <w:tab w:pos="10264" w:val="right" w:leader="dot"/>
        </w:tabs>
        <w:spacing w:before="68"/>
        <w:ind w:left="2437"/>
      </w:pPr>
      <w:hyperlink w:history="true" w:anchor="_bookmark49">
        <w:r>
          <w:rPr>
            <w:spacing w:val="-4"/>
            <w:w w:val="105"/>
          </w:rPr>
          <w:t>Trees</w:t>
        </w:r>
        <w:r>
          <w:rPr>
            <w:spacing w:val="5"/>
            <w:w w:val="105"/>
          </w:rPr>
          <w:t> </w:t>
        </w:r>
        <w:r>
          <w:rPr>
            <w:w w:val="105"/>
          </w:rPr>
          <w:t>on</w:t>
        </w:r>
        <w:r>
          <w:rPr>
            <w:spacing w:val="5"/>
            <w:w w:val="105"/>
          </w:rPr>
          <w:t> </w:t>
        </w:r>
        <w:r>
          <w:rPr>
            <w:w w:val="105"/>
          </w:rPr>
          <w:t>boundaries</w:t>
          <w:tab/>
        </w:r>
        <w:r>
          <w:rPr>
            <w:spacing w:val="-4"/>
            <w:w w:val="105"/>
          </w:rPr>
          <w:t>85</w:t>
        </w:r>
      </w:hyperlink>
    </w:p>
    <w:p>
      <w:pPr>
        <w:pStyle w:val="BodyText"/>
        <w:tabs>
          <w:tab w:pos="10269" w:val="right" w:leader="dot"/>
        </w:tabs>
        <w:spacing w:before="69"/>
        <w:ind w:left="2437"/>
      </w:pPr>
      <w:hyperlink w:history="true" w:anchor="_bookmark50">
        <w:r>
          <w:rPr>
            <w:w w:val="105"/>
          </w:rPr>
          <w:t>The </w:t>
        </w:r>
        <w:r>
          <w:rPr>
            <w:spacing w:val="-4"/>
            <w:w w:val="105"/>
          </w:rPr>
          <w:t>Commission’s </w:t>
        </w:r>
        <w:r>
          <w:rPr>
            <w:w w:val="105"/>
          </w:rPr>
          <w:t>conclusions—trees</w:t>
        </w:r>
        <w:r>
          <w:rPr>
            <w:spacing w:val="16"/>
            <w:w w:val="105"/>
          </w:rPr>
          <w:t> </w:t>
        </w:r>
        <w:r>
          <w:rPr>
            <w:w w:val="105"/>
          </w:rPr>
          <w:t>on</w:t>
        </w:r>
        <w:r>
          <w:rPr>
            <w:spacing w:val="4"/>
            <w:w w:val="105"/>
          </w:rPr>
          <w:t> </w:t>
        </w:r>
        <w:r>
          <w:rPr>
            <w:w w:val="105"/>
          </w:rPr>
          <w:t>boundaries</w:t>
          <w:tab/>
          <w:t>88</w:t>
        </w:r>
      </w:hyperlink>
    </w:p>
    <w:p>
      <w:pPr>
        <w:pStyle w:val="BodyText"/>
        <w:tabs>
          <w:tab w:pos="10271" w:val="right" w:leader="dot"/>
        </w:tabs>
        <w:spacing w:before="69"/>
        <w:ind w:left="2154"/>
      </w:pPr>
      <w:hyperlink w:history="true" w:anchor="_bookmark51">
        <w:r>
          <w:rPr>
            <w:w w:val="115"/>
          </w:rPr>
          <w:t>Parties to a tree</w:t>
        </w:r>
        <w:r>
          <w:rPr>
            <w:spacing w:val="1"/>
            <w:w w:val="115"/>
          </w:rPr>
          <w:t> </w:t>
        </w:r>
        <w:r>
          <w:rPr>
            <w:w w:val="115"/>
          </w:rPr>
          <w:t>dispute</w:t>
          <w:tab/>
        </w:r>
        <w:r>
          <w:rPr>
            <w:spacing w:val="3"/>
            <w:w w:val="115"/>
          </w:rPr>
          <w:t>90</w:t>
        </w:r>
      </w:hyperlink>
    </w:p>
    <w:p>
      <w:pPr>
        <w:pStyle w:val="BodyText"/>
        <w:tabs>
          <w:tab w:pos="10269" w:val="right" w:leader="dot"/>
        </w:tabs>
        <w:spacing w:before="68"/>
        <w:ind w:left="2437"/>
      </w:pPr>
      <w:hyperlink w:history="true" w:anchor="_bookmark51">
        <w:r>
          <w:rPr>
            <w:w w:val="105"/>
          </w:rPr>
          <w:t>Who can </w:t>
        </w:r>
        <w:r>
          <w:rPr>
            <w:spacing w:val="-3"/>
            <w:w w:val="105"/>
          </w:rPr>
          <w:t>commence</w:t>
        </w:r>
        <w:r>
          <w:rPr>
            <w:spacing w:val="16"/>
            <w:w w:val="105"/>
          </w:rPr>
          <w:t> </w:t>
        </w:r>
        <w:r>
          <w:rPr>
            <w:w w:val="105"/>
          </w:rPr>
          <w:t>an</w:t>
        </w:r>
        <w:r>
          <w:rPr>
            <w:spacing w:val="5"/>
            <w:w w:val="105"/>
          </w:rPr>
          <w:t> </w:t>
        </w:r>
        <w:r>
          <w:rPr>
            <w:w w:val="105"/>
          </w:rPr>
          <w:t>action?</w:t>
          <w:tab/>
          <w:t>90</w:t>
        </w:r>
      </w:hyperlink>
    </w:p>
    <w:p>
      <w:pPr>
        <w:pStyle w:val="BodyText"/>
        <w:tabs>
          <w:tab w:pos="10257" w:val="right" w:leader="dot"/>
        </w:tabs>
        <w:spacing w:before="69"/>
        <w:ind w:left="2437"/>
      </w:pPr>
      <w:hyperlink w:history="true" w:anchor="_bookmark52">
        <w:r>
          <w:rPr>
            <w:w w:val="105"/>
          </w:rPr>
          <w:t>The </w:t>
        </w:r>
        <w:r>
          <w:rPr>
            <w:spacing w:val="-4"/>
            <w:w w:val="105"/>
          </w:rPr>
          <w:t>Commission’s </w:t>
        </w:r>
        <w:r>
          <w:rPr>
            <w:w w:val="105"/>
          </w:rPr>
          <w:t>conclusions—who can </w:t>
        </w:r>
        <w:r>
          <w:rPr>
            <w:spacing w:val="-3"/>
            <w:w w:val="105"/>
          </w:rPr>
          <w:t>commence</w:t>
        </w:r>
        <w:r>
          <w:rPr>
            <w:spacing w:val="28"/>
            <w:w w:val="105"/>
          </w:rPr>
          <w:t> </w:t>
        </w:r>
        <w:r>
          <w:rPr>
            <w:w w:val="105"/>
          </w:rPr>
          <w:t>an</w:t>
        </w:r>
        <w:r>
          <w:rPr>
            <w:spacing w:val="4"/>
            <w:w w:val="105"/>
          </w:rPr>
          <w:t> </w:t>
        </w:r>
        <w:r>
          <w:rPr>
            <w:w w:val="105"/>
          </w:rPr>
          <w:t>action</w:t>
          <w:tab/>
        </w:r>
        <w:r>
          <w:rPr>
            <w:spacing w:val="-10"/>
            <w:w w:val="105"/>
          </w:rPr>
          <w:t>91</w:t>
        </w:r>
      </w:hyperlink>
    </w:p>
    <w:p>
      <w:pPr>
        <w:pStyle w:val="BodyText"/>
        <w:tabs>
          <w:tab w:pos="10257" w:val="right" w:leader="dot"/>
        </w:tabs>
        <w:spacing w:before="69"/>
        <w:ind w:left="2437"/>
      </w:pPr>
      <w:hyperlink w:history="true" w:anchor="_bookmark52">
        <w:r>
          <w:rPr>
            <w:w w:val="105"/>
          </w:rPr>
          <w:t>Who can be</w:t>
        </w:r>
        <w:r>
          <w:rPr>
            <w:spacing w:val="16"/>
            <w:w w:val="105"/>
          </w:rPr>
          <w:t> </w:t>
        </w:r>
        <w:r>
          <w:rPr>
            <w:spacing w:val="-3"/>
            <w:w w:val="105"/>
          </w:rPr>
          <w:t>found</w:t>
        </w:r>
        <w:r>
          <w:rPr>
            <w:spacing w:val="6"/>
            <w:w w:val="105"/>
          </w:rPr>
          <w:t> </w:t>
        </w:r>
        <w:r>
          <w:rPr>
            <w:spacing w:val="-3"/>
            <w:w w:val="105"/>
          </w:rPr>
          <w:t>liable?</w:t>
          <w:tab/>
        </w:r>
        <w:r>
          <w:rPr>
            <w:spacing w:val="-10"/>
            <w:w w:val="105"/>
          </w:rPr>
          <w:t>91</w:t>
        </w:r>
      </w:hyperlink>
    </w:p>
    <w:p>
      <w:pPr>
        <w:pStyle w:val="BodyText"/>
        <w:tabs>
          <w:tab w:pos="10267" w:val="right" w:leader="dot"/>
        </w:tabs>
        <w:spacing w:before="69"/>
        <w:ind w:left="2437"/>
      </w:pPr>
      <w:hyperlink w:history="true" w:anchor="_bookmark53">
        <w:r>
          <w:rPr>
            <w:w w:val="105"/>
          </w:rPr>
          <w:t>The </w:t>
        </w:r>
        <w:r>
          <w:rPr>
            <w:spacing w:val="-4"/>
            <w:w w:val="105"/>
          </w:rPr>
          <w:t>Commission’s </w:t>
        </w:r>
        <w:r>
          <w:rPr>
            <w:w w:val="105"/>
          </w:rPr>
          <w:t>conclusions—who can be</w:t>
        </w:r>
        <w:r>
          <w:rPr>
            <w:spacing w:val="29"/>
            <w:w w:val="105"/>
          </w:rPr>
          <w:t> </w:t>
        </w:r>
        <w:r>
          <w:rPr>
            <w:spacing w:val="-3"/>
            <w:w w:val="105"/>
          </w:rPr>
          <w:t>found</w:t>
        </w:r>
        <w:r>
          <w:rPr>
            <w:spacing w:val="6"/>
            <w:w w:val="105"/>
          </w:rPr>
          <w:t> </w:t>
        </w:r>
        <w:r>
          <w:rPr>
            <w:spacing w:val="-3"/>
            <w:w w:val="105"/>
          </w:rPr>
          <w:t>liable</w:t>
          <w:tab/>
        </w:r>
        <w:r>
          <w:rPr>
            <w:w w:val="105"/>
          </w:rPr>
          <w:t>94</w:t>
        </w:r>
      </w:hyperlink>
    </w:p>
    <w:p>
      <w:pPr>
        <w:pStyle w:val="BodyText"/>
        <w:tabs>
          <w:tab w:pos="10266" w:val="right" w:leader="dot"/>
        </w:tabs>
        <w:spacing w:before="68"/>
        <w:ind w:left="2154"/>
      </w:pPr>
      <w:hyperlink w:history="true" w:anchor="_bookmark54">
        <w:r>
          <w:rPr>
            <w:w w:val="115"/>
          </w:rPr>
          <w:t>What problems are within the scope of the</w:t>
        </w:r>
        <w:r>
          <w:rPr>
            <w:spacing w:val="-5"/>
            <w:w w:val="115"/>
          </w:rPr>
          <w:t> </w:t>
        </w:r>
        <w:r>
          <w:rPr>
            <w:w w:val="115"/>
          </w:rPr>
          <w:t>new</w:t>
        </w:r>
        <w:r>
          <w:rPr>
            <w:spacing w:val="-1"/>
            <w:w w:val="115"/>
          </w:rPr>
          <w:t> </w:t>
        </w:r>
        <w:r>
          <w:rPr>
            <w:w w:val="115"/>
          </w:rPr>
          <w:t>Act?</w:t>
          <w:tab/>
          <w:t>95</w:t>
        </w:r>
      </w:hyperlink>
    </w:p>
    <w:p>
      <w:pPr>
        <w:pStyle w:val="BodyText"/>
        <w:tabs>
          <w:tab w:pos="10264" w:val="right" w:leader="dot"/>
        </w:tabs>
        <w:spacing w:before="69"/>
        <w:ind w:left="2437"/>
      </w:pPr>
      <w:hyperlink w:history="true" w:anchor="_bookmark54">
        <w:r>
          <w:rPr>
            <w:w w:val="105"/>
          </w:rPr>
          <w:t>Other jurisdictions—problems</w:t>
        </w:r>
        <w:r>
          <w:rPr>
            <w:spacing w:val="8"/>
            <w:w w:val="105"/>
          </w:rPr>
          <w:t> </w:t>
        </w:r>
        <w:r>
          <w:rPr>
            <w:spacing w:val="-3"/>
            <w:w w:val="105"/>
          </w:rPr>
          <w:t>within</w:t>
        </w:r>
        <w:r>
          <w:rPr>
            <w:spacing w:val="4"/>
            <w:w w:val="105"/>
          </w:rPr>
          <w:t> </w:t>
        </w:r>
        <w:r>
          <w:rPr>
            <w:w w:val="105"/>
          </w:rPr>
          <w:t>scope</w:t>
          <w:tab/>
        </w:r>
        <w:r>
          <w:rPr>
            <w:spacing w:val="-3"/>
            <w:w w:val="105"/>
          </w:rPr>
          <w:t>95</w:t>
        </w:r>
      </w:hyperlink>
    </w:p>
    <w:p>
      <w:pPr>
        <w:pStyle w:val="BodyText"/>
        <w:tabs>
          <w:tab w:pos="10267" w:val="right" w:leader="dot"/>
        </w:tabs>
        <w:spacing w:before="69"/>
        <w:ind w:left="2437"/>
      </w:pPr>
      <w:hyperlink w:history="true" w:anchor="_bookmark55">
        <w:r>
          <w:rPr>
            <w:spacing w:val="-3"/>
            <w:w w:val="105"/>
          </w:rPr>
          <w:t>Community </w:t>
        </w:r>
        <w:r>
          <w:rPr>
            <w:w w:val="105"/>
          </w:rPr>
          <w:t>responses—problems</w:t>
        </w:r>
        <w:r>
          <w:rPr>
            <w:spacing w:val="12"/>
            <w:w w:val="105"/>
          </w:rPr>
          <w:t> </w:t>
        </w:r>
        <w:r>
          <w:rPr>
            <w:spacing w:val="-3"/>
            <w:w w:val="105"/>
          </w:rPr>
          <w:t>within</w:t>
        </w:r>
        <w:r>
          <w:rPr>
            <w:spacing w:val="5"/>
            <w:w w:val="105"/>
          </w:rPr>
          <w:t> </w:t>
        </w:r>
        <w:r>
          <w:rPr>
            <w:w w:val="105"/>
          </w:rPr>
          <w:t>scope</w:t>
          <w:tab/>
        </w:r>
        <w:r>
          <w:rPr>
            <w:spacing w:val="-4"/>
            <w:w w:val="105"/>
          </w:rPr>
          <w:t>97</w:t>
        </w:r>
      </w:hyperlink>
    </w:p>
    <w:p>
      <w:pPr>
        <w:pStyle w:val="BodyText"/>
        <w:tabs>
          <w:tab w:pos="10267" w:val="right" w:leader="dot"/>
        </w:tabs>
        <w:spacing w:before="69"/>
        <w:ind w:left="2437"/>
      </w:pPr>
      <w:hyperlink w:history="true" w:anchor="_bookmark56">
        <w:r>
          <w:rPr>
            <w:w w:val="105"/>
          </w:rPr>
          <w:t>The </w:t>
        </w:r>
        <w:r>
          <w:rPr>
            <w:spacing w:val="-4"/>
            <w:w w:val="105"/>
          </w:rPr>
          <w:t>Commission’s </w:t>
        </w:r>
        <w:r>
          <w:rPr>
            <w:w w:val="105"/>
          </w:rPr>
          <w:t>conclusions—problems </w:t>
        </w:r>
        <w:r>
          <w:rPr>
            <w:spacing w:val="-3"/>
            <w:w w:val="105"/>
          </w:rPr>
          <w:t>within </w:t>
        </w:r>
        <w:r>
          <w:rPr>
            <w:w w:val="105"/>
          </w:rPr>
          <w:t>scope – damage</w:t>
        </w:r>
        <w:r>
          <w:rPr>
            <w:spacing w:val="23"/>
            <w:w w:val="105"/>
          </w:rPr>
          <w:t> </w:t>
        </w:r>
        <w:r>
          <w:rPr>
            <w:w w:val="105"/>
          </w:rPr>
          <w:t>and</w:t>
        </w:r>
        <w:r>
          <w:rPr>
            <w:spacing w:val="2"/>
            <w:w w:val="105"/>
          </w:rPr>
          <w:t> </w:t>
        </w:r>
        <w:r>
          <w:rPr>
            <w:spacing w:val="-3"/>
            <w:w w:val="105"/>
          </w:rPr>
          <w:t>harm</w:t>
          <w:tab/>
          <w:t>100</w:t>
        </w:r>
      </w:hyperlink>
    </w:p>
    <w:p>
      <w:pPr>
        <w:pStyle w:val="BodyText"/>
        <w:tabs>
          <w:tab w:pos="10267" w:val="right" w:leader="dot"/>
        </w:tabs>
        <w:spacing w:before="68"/>
        <w:ind w:left="2154"/>
      </w:pPr>
      <w:hyperlink w:history="true" w:anchor="_bookmark57">
        <w:r>
          <w:rPr>
            <w:w w:val="115"/>
          </w:rPr>
          <w:t>Who should be notified of</w:t>
        </w:r>
        <w:r>
          <w:rPr>
            <w:spacing w:val="2"/>
            <w:w w:val="115"/>
          </w:rPr>
          <w:t> </w:t>
        </w:r>
        <w:r>
          <w:rPr>
            <w:w w:val="115"/>
          </w:rPr>
          <w:t>an action?</w:t>
          <w:tab/>
        </w:r>
        <w:r>
          <w:rPr>
            <w:spacing w:val="-4"/>
            <w:w w:val="115"/>
          </w:rPr>
          <w:t>103</w:t>
        </w:r>
      </w:hyperlink>
    </w:p>
    <w:p>
      <w:pPr>
        <w:pStyle w:val="BodyText"/>
        <w:tabs>
          <w:tab w:pos="10267" w:val="right" w:leader="dot"/>
        </w:tabs>
        <w:spacing w:before="69"/>
        <w:ind w:left="2437"/>
      </w:pPr>
      <w:hyperlink w:history="true" w:anchor="_bookmark57">
        <w:r>
          <w:rPr>
            <w:w w:val="105"/>
          </w:rPr>
          <w:t>Other jurisdictions—who should</w:t>
        </w:r>
        <w:r>
          <w:rPr>
            <w:spacing w:val="13"/>
            <w:w w:val="105"/>
          </w:rPr>
          <w:t> </w:t>
        </w:r>
        <w:r>
          <w:rPr>
            <w:w w:val="105"/>
          </w:rPr>
          <w:t>be</w:t>
        </w:r>
        <w:r>
          <w:rPr>
            <w:spacing w:val="4"/>
            <w:w w:val="105"/>
          </w:rPr>
          <w:t> </w:t>
        </w:r>
        <w:r>
          <w:rPr>
            <w:w w:val="105"/>
          </w:rPr>
          <w:t>notified?</w:t>
          <w:tab/>
        </w:r>
        <w:r>
          <w:rPr>
            <w:spacing w:val="-6"/>
            <w:w w:val="105"/>
          </w:rPr>
          <w:t>103</w:t>
        </w:r>
      </w:hyperlink>
    </w:p>
    <w:p>
      <w:pPr>
        <w:pStyle w:val="BodyText"/>
        <w:tabs>
          <w:tab w:pos="10267" w:val="right" w:leader="dot"/>
        </w:tabs>
        <w:spacing w:before="69"/>
        <w:ind w:left="2437"/>
      </w:pPr>
      <w:hyperlink w:history="true" w:anchor="_bookmark58">
        <w:r>
          <w:rPr>
            <w:spacing w:val="-3"/>
            <w:w w:val="105"/>
          </w:rPr>
          <w:t>Community </w:t>
        </w:r>
        <w:r>
          <w:rPr>
            <w:w w:val="105"/>
          </w:rPr>
          <w:t>responses—who should</w:t>
        </w:r>
        <w:r>
          <w:rPr>
            <w:spacing w:val="17"/>
            <w:w w:val="105"/>
          </w:rPr>
          <w:t> </w:t>
        </w:r>
        <w:r>
          <w:rPr>
            <w:w w:val="105"/>
          </w:rPr>
          <w:t>be</w:t>
        </w:r>
        <w:r>
          <w:rPr>
            <w:spacing w:val="5"/>
            <w:w w:val="105"/>
          </w:rPr>
          <w:t> </w:t>
        </w:r>
        <w:r>
          <w:rPr>
            <w:w w:val="105"/>
          </w:rPr>
          <w:t>notified?</w:t>
          <w:tab/>
        </w:r>
        <w:r>
          <w:rPr>
            <w:spacing w:val="-3"/>
            <w:w w:val="105"/>
          </w:rPr>
          <w:t>104</w:t>
        </w:r>
      </w:hyperlink>
    </w:p>
    <w:p>
      <w:pPr>
        <w:pStyle w:val="BodyText"/>
        <w:tabs>
          <w:tab w:pos="10267" w:val="right" w:leader="dot"/>
        </w:tabs>
        <w:spacing w:before="69"/>
        <w:ind w:left="2437"/>
      </w:pPr>
      <w:hyperlink w:history="true" w:anchor="_bookmark58">
        <w:r>
          <w:rPr>
            <w:w w:val="105"/>
          </w:rPr>
          <w:t>The </w:t>
        </w:r>
        <w:r>
          <w:rPr>
            <w:spacing w:val="-4"/>
            <w:w w:val="105"/>
          </w:rPr>
          <w:t>Commission’s </w:t>
        </w:r>
        <w:r>
          <w:rPr>
            <w:w w:val="105"/>
          </w:rPr>
          <w:t>conclusions—who should</w:t>
        </w:r>
        <w:r>
          <w:rPr>
            <w:spacing w:val="22"/>
            <w:w w:val="105"/>
          </w:rPr>
          <w:t> </w:t>
        </w:r>
        <w:r>
          <w:rPr>
            <w:w w:val="105"/>
          </w:rPr>
          <w:t>be</w:t>
        </w:r>
        <w:r>
          <w:rPr>
            <w:spacing w:val="4"/>
            <w:w w:val="105"/>
          </w:rPr>
          <w:t> </w:t>
        </w:r>
        <w:r>
          <w:rPr>
            <w:w w:val="105"/>
          </w:rPr>
          <w:t>notified?</w:t>
          <w:tab/>
        </w:r>
        <w:r>
          <w:rPr>
            <w:spacing w:val="-3"/>
            <w:w w:val="105"/>
          </w:rPr>
          <w:t>104</w:t>
        </w:r>
      </w:hyperlink>
    </w:p>
    <w:p>
      <w:pPr>
        <w:pStyle w:val="BodyText"/>
        <w:tabs>
          <w:tab w:pos="10267" w:val="right" w:leader="dot"/>
        </w:tabs>
        <w:spacing w:before="68"/>
        <w:ind w:left="2154"/>
      </w:pPr>
      <w:hyperlink w:history="true" w:anchor="_bookmark59">
        <w:r>
          <w:rPr>
            <w:w w:val="115"/>
          </w:rPr>
          <w:t>Application requirements</w:t>
          <w:tab/>
        </w:r>
        <w:r>
          <w:rPr>
            <w:spacing w:val="-3"/>
            <w:w w:val="115"/>
          </w:rPr>
          <w:t>105</w:t>
        </w:r>
      </w:hyperlink>
    </w:p>
    <w:p>
      <w:pPr>
        <w:pStyle w:val="BodyText"/>
        <w:tabs>
          <w:tab w:pos="10267" w:val="right" w:leader="dot"/>
        </w:tabs>
        <w:spacing w:before="69"/>
        <w:ind w:left="2437"/>
      </w:pPr>
      <w:hyperlink w:history="true" w:anchor="_bookmark59">
        <w:r>
          <w:rPr>
            <w:w w:val="105"/>
          </w:rPr>
          <w:t>Other</w:t>
        </w:r>
        <w:r>
          <w:rPr>
            <w:spacing w:val="4"/>
            <w:w w:val="105"/>
          </w:rPr>
          <w:t> </w:t>
        </w:r>
        <w:r>
          <w:rPr>
            <w:w w:val="105"/>
          </w:rPr>
          <w:t>jurisdictions—application</w:t>
        </w:r>
        <w:r>
          <w:rPr>
            <w:spacing w:val="4"/>
            <w:w w:val="105"/>
          </w:rPr>
          <w:t> </w:t>
        </w:r>
        <w:r>
          <w:rPr>
            <w:spacing w:val="-3"/>
            <w:w w:val="105"/>
          </w:rPr>
          <w:t>requirements</w:t>
          <w:tab/>
        </w:r>
        <w:r>
          <w:rPr>
            <w:spacing w:val="-5"/>
            <w:w w:val="105"/>
          </w:rPr>
          <w:t>105</w:t>
        </w:r>
      </w:hyperlink>
    </w:p>
    <w:p>
      <w:pPr>
        <w:pStyle w:val="BodyText"/>
        <w:tabs>
          <w:tab w:pos="10267" w:val="right" w:leader="dot"/>
        </w:tabs>
        <w:spacing w:before="69"/>
        <w:ind w:left="2437"/>
      </w:pPr>
      <w:hyperlink w:history="true" w:anchor="_bookmark60">
        <w:r>
          <w:rPr>
            <w:w w:val="105"/>
          </w:rPr>
          <w:t>The </w:t>
        </w:r>
        <w:r>
          <w:rPr>
            <w:spacing w:val="-4"/>
            <w:w w:val="105"/>
          </w:rPr>
          <w:t>Commission’s</w:t>
        </w:r>
        <w:r>
          <w:rPr>
            <w:spacing w:val="8"/>
            <w:w w:val="105"/>
          </w:rPr>
          <w:t> </w:t>
        </w:r>
        <w:r>
          <w:rPr>
            <w:w w:val="105"/>
          </w:rPr>
          <w:t>conclusions—application</w:t>
        </w:r>
        <w:r>
          <w:rPr>
            <w:spacing w:val="4"/>
            <w:w w:val="105"/>
          </w:rPr>
          <w:t> </w:t>
        </w:r>
        <w:r>
          <w:rPr>
            <w:spacing w:val="-3"/>
            <w:w w:val="105"/>
          </w:rPr>
          <w:t>requirements</w:t>
          <w:tab/>
          <w:t>108</w:t>
        </w:r>
      </w:hyperlink>
    </w:p>
    <w:p>
      <w:pPr>
        <w:pStyle w:val="Heading9"/>
        <w:numPr>
          <w:ilvl w:val="0"/>
          <w:numId w:val="1"/>
        </w:numPr>
        <w:tabs>
          <w:tab w:pos="1928" w:val="left" w:leader="none"/>
          <w:tab w:pos="10267" w:val="right" w:leader="dot"/>
        </w:tabs>
        <w:spacing w:line="240" w:lineRule="auto" w:before="68" w:after="0"/>
        <w:ind w:left="1927" w:right="0" w:hanging="340"/>
        <w:jc w:val="left"/>
      </w:pPr>
      <w:hyperlink w:history="true" w:anchor="_bookmark61">
        <w:r>
          <w:rPr>
            <w:color w:val="658464"/>
            <w:w w:val="115"/>
          </w:rPr>
          <w:t>Informal resolution of neighbourhood</w:t>
        </w:r>
        <w:r>
          <w:rPr>
            <w:color w:val="658464"/>
            <w:spacing w:val="-6"/>
            <w:w w:val="115"/>
          </w:rPr>
          <w:t> </w:t>
        </w:r>
        <w:r>
          <w:rPr>
            <w:color w:val="658464"/>
            <w:w w:val="115"/>
          </w:rPr>
          <w:t>tree</w:t>
        </w:r>
        <w:r>
          <w:rPr>
            <w:color w:val="658464"/>
            <w:spacing w:val="-2"/>
            <w:w w:val="115"/>
          </w:rPr>
          <w:t> </w:t>
        </w:r>
        <w:r>
          <w:rPr>
            <w:color w:val="658464"/>
            <w:w w:val="115"/>
          </w:rPr>
          <w:t>disputes</w:t>
          <w:tab/>
        </w:r>
        <w:r>
          <w:rPr>
            <w:color w:val="658464"/>
            <w:spacing w:val="-8"/>
            <w:w w:val="115"/>
          </w:rPr>
          <w:t>112</w:t>
        </w:r>
      </w:hyperlink>
    </w:p>
    <w:p>
      <w:pPr>
        <w:pStyle w:val="BodyText"/>
        <w:tabs>
          <w:tab w:pos="10267" w:val="right" w:leader="dot"/>
        </w:tabs>
        <w:spacing w:before="69"/>
        <w:ind w:left="2154"/>
      </w:pPr>
      <w:hyperlink w:history="true" w:anchor="_bookmark61">
        <w:r>
          <w:rPr>
            <w:w w:val="110"/>
          </w:rPr>
          <w:t>Introduction</w:t>
          <w:tab/>
        </w:r>
        <w:r>
          <w:rPr>
            <w:spacing w:val="-11"/>
            <w:w w:val="110"/>
          </w:rPr>
          <w:t>112</w:t>
        </w:r>
      </w:hyperlink>
    </w:p>
    <w:p>
      <w:pPr>
        <w:pStyle w:val="BodyText"/>
        <w:tabs>
          <w:tab w:pos="10267" w:val="right" w:leader="dot"/>
        </w:tabs>
        <w:spacing w:before="69"/>
        <w:ind w:left="2154"/>
      </w:pPr>
      <w:r>
        <w:rPr>
          <w:w w:val="115"/>
        </w:rPr>
        <w:t>O</w:t>
      </w:r>
      <w:hyperlink w:history="true" w:anchor="_bookmark61">
        <w:r>
          <w:rPr>
            <w:w w:val="115"/>
          </w:rPr>
          <w:t>ther jurisdictions—resolving</w:t>
        </w:r>
        <w:r>
          <w:rPr>
            <w:spacing w:val="-1"/>
            <w:w w:val="115"/>
          </w:rPr>
          <w:t> </w:t>
        </w:r>
        <w:r>
          <w:rPr>
            <w:w w:val="115"/>
          </w:rPr>
          <w:t>disputes</w:t>
        </w:r>
        <w:r>
          <w:rPr>
            <w:spacing w:val="-1"/>
            <w:w w:val="115"/>
          </w:rPr>
          <w:t> </w:t>
        </w:r>
        <w:r>
          <w:rPr>
            <w:spacing w:val="-3"/>
            <w:w w:val="115"/>
          </w:rPr>
          <w:t>informally</w:t>
          <w:tab/>
        </w:r>
        <w:r>
          <w:rPr>
            <w:spacing w:val="-11"/>
            <w:w w:val="115"/>
          </w:rPr>
          <w:t>112</w:t>
        </w:r>
      </w:hyperlink>
    </w:p>
    <w:p>
      <w:pPr>
        <w:pStyle w:val="BodyText"/>
        <w:tabs>
          <w:tab w:pos="10267" w:val="right" w:leader="dot"/>
        </w:tabs>
        <w:spacing w:before="69"/>
        <w:ind w:left="2437"/>
      </w:pPr>
      <w:hyperlink w:history="true" w:anchor="_bookmark61">
        <w:r>
          <w:rPr>
            <w:spacing w:val="-3"/>
            <w:w w:val="105"/>
          </w:rPr>
          <w:t>Neighbour-led </w:t>
        </w:r>
        <w:r>
          <w:rPr>
            <w:w w:val="105"/>
          </w:rPr>
          <w:t>negotiation and</w:t>
        </w:r>
        <w:r>
          <w:rPr>
            <w:spacing w:val="13"/>
            <w:w w:val="105"/>
          </w:rPr>
          <w:t> </w:t>
        </w:r>
        <w:r>
          <w:rPr>
            <w:w w:val="105"/>
          </w:rPr>
          <w:t>community-based</w:t>
        </w:r>
        <w:r>
          <w:rPr>
            <w:spacing w:val="4"/>
            <w:w w:val="105"/>
          </w:rPr>
          <w:t> </w:t>
        </w:r>
        <w:r>
          <w:rPr>
            <w:w w:val="105"/>
          </w:rPr>
          <w:t>mediation</w:t>
          <w:tab/>
        </w:r>
        <w:r>
          <w:rPr>
            <w:spacing w:val="-14"/>
            <w:w w:val="105"/>
          </w:rPr>
          <w:t>112</w:t>
        </w:r>
      </w:hyperlink>
    </w:p>
    <w:p>
      <w:pPr>
        <w:pStyle w:val="BodyText"/>
        <w:tabs>
          <w:tab w:pos="10267" w:val="right" w:leader="dot"/>
        </w:tabs>
        <w:spacing w:before="68"/>
        <w:ind w:left="2437"/>
      </w:pPr>
      <w:hyperlink w:history="true" w:anchor="_bookmark62">
        <w:r>
          <w:rPr>
            <w:spacing w:val="-2"/>
            <w:w w:val="105"/>
          </w:rPr>
          <w:t>Abatement</w:t>
          <w:tab/>
        </w:r>
        <w:r>
          <w:rPr>
            <w:spacing w:val="-14"/>
            <w:w w:val="105"/>
          </w:rPr>
          <w:t>113</w:t>
        </w:r>
      </w:hyperlink>
    </w:p>
    <w:p>
      <w:pPr>
        <w:pStyle w:val="BodyText"/>
        <w:tabs>
          <w:tab w:pos="10267" w:val="right" w:leader="dot"/>
        </w:tabs>
        <w:spacing w:before="69"/>
        <w:ind w:left="2437"/>
      </w:pPr>
      <w:hyperlink w:history="true" w:anchor="_bookmark63">
        <w:r>
          <w:rPr>
            <w:spacing w:val="-3"/>
          </w:rPr>
          <w:t>Informal </w:t>
        </w:r>
        <w:r>
          <w:rPr/>
          <w:t>resolution in the</w:t>
        </w:r>
        <w:r>
          <w:rPr>
            <w:spacing w:val="38"/>
          </w:rPr>
          <w:t> </w:t>
        </w:r>
        <w:r>
          <w:rPr/>
          <w:t>interstate</w:t>
        </w:r>
        <w:r>
          <w:rPr>
            <w:spacing w:val="9"/>
          </w:rPr>
          <w:t> </w:t>
        </w:r>
        <w:r>
          <w:rPr/>
          <w:t>Acts</w:t>
          <w:tab/>
        </w:r>
        <w:r>
          <w:rPr>
            <w:spacing w:val="-13"/>
          </w:rPr>
          <w:t>114</w:t>
        </w:r>
      </w:hyperlink>
    </w:p>
    <w:p>
      <w:pPr>
        <w:pStyle w:val="BodyText"/>
        <w:spacing w:line="248" w:lineRule="exact" w:before="69"/>
        <w:ind w:left="2437"/>
      </w:pPr>
      <w:hyperlink w:history="true" w:anchor="_bookmark64">
        <w:r>
          <w:rPr>
            <w:w w:val="105"/>
          </w:rPr>
          <w:t>A formal requirement in the interstate Acts for ‘reasonable attempts</w:t>
        </w:r>
      </w:hyperlink>
    </w:p>
    <w:p>
      <w:pPr>
        <w:pStyle w:val="BodyText"/>
        <w:tabs>
          <w:tab w:pos="10267" w:val="right" w:leader="dot"/>
        </w:tabs>
        <w:spacing w:line="248" w:lineRule="exact"/>
        <w:ind w:left="2437"/>
      </w:pPr>
      <w:hyperlink w:history="true" w:anchor="_bookmark64">
        <w:r>
          <w:rPr>
            <w:w w:val="105"/>
          </w:rPr>
          <w:t>to</w:t>
        </w:r>
        <w:r>
          <w:rPr>
            <w:spacing w:val="5"/>
            <w:w w:val="105"/>
          </w:rPr>
          <w:t> </w:t>
        </w:r>
        <w:r>
          <w:rPr>
            <w:spacing w:val="-3"/>
            <w:w w:val="105"/>
          </w:rPr>
          <w:t>reach</w:t>
        </w:r>
        <w:r>
          <w:rPr>
            <w:spacing w:val="5"/>
            <w:w w:val="105"/>
          </w:rPr>
          <w:t> </w:t>
        </w:r>
        <w:r>
          <w:rPr>
            <w:w w:val="105"/>
          </w:rPr>
          <w:t>agreement’</w:t>
          <w:tab/>
        </w:r>
        <w:r>
          <w:rPr>
            <w:spacing w:val="-13"/>
            <w:w w:val="105"/>
          </w:rPr>
          <w:t>115</w:t>
        </w:r>
      </w:hyperlink>
    </w:p>
    <w:p>
      <w:pPr>
        <w:pStyle w:val="BodyText"/>
        <w:tabs>
          <w:tab w:pos="10267" w:val="right" w:leader="dot"/>
        </w:tabs>
        <w:spacing w:before="69"/>
        <w:ind w:left="2437"/>
      </w:pPr>
      <w:hyperlink w:history="true" w:anchor="_bookmark65">
        <w:r>
          <w:rPr>
            <w:spacing w:val="-5"/>
          </w:rPr>
          <w:t>Tree  </w:t>
        </w:r>
        <w:r>
          <w:rPr/>
          <w:t>owner </w:t>
        </w:r>
        <w:r>
          <w:rPr>
            <w:spacing w:val="-3"/>
          </w:rPr>
          <w:t>responsibilities </w:t>
        </w:r>
        <w:r>
          <w:rPr/>
          <w:t>in the</w:t>
        </w:r>
        <w:r>
          <w:rPr>
            <w:spacing w:val="11"/>
          </w:rPr>
          <w:t> </w:t>
        </w:r>
        <w:r>
          <w:rPr/>
          <w:t>interstate</w:t>
        </w:r>
        <w:r>
          <w:rPr>
            <w:spacing w:val="10"/>
          </w:rPr>
          <w:t> </w:t>
        </w:r>
        <w:r>
          <w:rPr/>
          <w:t>Acts</w:t>
          <w:tab/>
        </w:r>
        <w:r>
          <w:rPr>
            <w:spacing w:val="-12"/>
          </w:rPr>
          <w:t>116</w:t>
        </w:r>
      </w:hyperlink>
    </w:p>
    <w:p>
      <w:pPr>
        <w:pStyle w:val="BodyText"/>
        <w:tabs>
          <w:tab w:pos="10267" w:val="right" w:leader="dot"/>
        </w:tabs>
        <w:spacing w:before="68"/>
        <w:ind w:left="2437"/>
      </w:pPr>
      <w:hyperlink w:history="true" w:anchor="_bookmark65">
        <w:r>
          <w:rPr>
            <w:spacing w:val="-3"/>
          </w:rPr>
          <w:t>Branch removal notices </w:t>
        </w:r>
        <w:r>
          <w:rPr/>
          <w:t>in the </w:t>
        </w:r>
        <w:r>
          <w:rPr>
            <w:spacing w:val="8"/>
          </w:rPr>
          <w:t> </w:t>
        </w:r>
        <w:r>
          <w:rPr/>
          <w:t>interstate</w:t>
        </w:r>
        <w:r>
          <w:rPr>
            <w:spacing w:val="10"/>
          </w:rPr>
          <w:t> </w:t>
        </w:r>
        <w:r>
          <w:rPr/>
          <w:t>Acts</w:t>
          <w:tab/>
        </w:r>
        <w:r>
          <w:rPr>
            <w:spacing w:val="-12"/>
          </w:rPr>
          <w:t>116</w:t>
        </w:r>
      </w:hyperlink>
    </w:p>
    <w:p>
      <w:pPr>
        <w:pStyle w:val="BodyText"/>
        <w:tabs>
          <w:tab w:pos="10267" w:val="right" w:leader="dot"/>
        </w:tabs>
        <w:spacing w:before="69"/>
        <w:ind w:left="2437"/>
      </w:pPr>
      <w:hyperlink w:history="true" w:anchor="_bookmark66">
        <w:r>
          <w:rPr>
            <w:w w:val="105"/>
          </w:rPr>
          <w:t>General </w:t>
        </w:r>
        <w:r>
          <w:rPr>
            <w:spacing w:val="-3"/>
            <w:w w:val="105"/>
          </w:rPr>
          <w:t>notice </w:t>
        </w:r>
        <w:r>
          <w:rPr>
            <w:w w:val="105"/>
          </w:rPr>
          <w:t>process in the</w:t>
        </w:r>
        <w:r>
          <w:rPr>
            <w:spacing w:val="26"/>
            <w:w w:val="105"/>
          </w:rPr>
          <w:t> </w:t>
        </w:r>
        <w:r>
          <w:rPr>
            <w:spacing w:val="-4"/>
            <w:w w:val="105"/>
          </w:rPr>
          <w:t>Tasmanian</w:t>
        </w:r>
        <w:r>
          <w:rPr>
            <w:spacing w:val="5"/>
            <w:w w:val="105"/>
          </w:rPr>
          <w:t> </w:t>
        </w:r>
        <w:r>
          <w:rPr>
            <w:w w:val="105"/>
          </w:rPr>
          <w:t>Act</w:t>
          <w:tab/>
        </w:r>
        <w:r>
          <w:rPr>
            <w:spacing w:val="-13"/>
            <w:w w:val="105"/>
          </w:rPr>
          <w:t>119</w:t>
        </w:r>
      </w:hyperlink>
    </w:p>
    <w:p>
      <w:pPr>
        <w:pStyle w:val="BodyText"/>
        <w:tabs>
          <w:tab w:pos="10267" w:val="right" w:leader="dot"/>
        </w:tabs>
        <w:spacing w:before="69"/>
        <w:ind w:left="2154"/>
      </w:pPr>
      <w:hyperlink w:history="true" w:anchor="_bookmark66">
        <w:r>
          <w:rPr>
            <w:w w:val="115"/>
          </w:rPr>
          <w:t>Community responses—resolving</w:t>
        </w:r>
        <w:r>
          <w:rPr>
            <w:spacing w:val="-2"/>
            <w:w w:val="115"/>
          </w:rPr>
          <w:t> </w:t>
        </w:r>
        <w:r>
          <w:rPr>
            <w:w w:val="115"/>
          </w:rPr>
          <w:t>disputes</w:t>
        </w:r>
        <w:r>
          <w:rPr>
            <w:spacing w:val="-1"/>
            <w:w w:val="115"/>
          </w:rPr>
          <w:t> </w:t>
        </w:r>
        <w:r>
          <w:rPr>
            <w:spacing w:val="-3"/>
            <w:w w:val="115"/>
          </w:rPr>
          <w:t>informally</w:t>
          <w:tab/>
        </w:r>
        <w:r>
          <w:rPr>
            <w:spacing w:val="-10"/>
            <w:w w:val="115"/>
          </w:rPr>
          <w:t>119</w:t>
        </w:r>
      </w:hyperlink>
    </w:p>
    <w:p>
      <w:pPr>
        <w:pStyle w:val="BodyText"/>
        <w:rPr>
          <w:sz w:val="28"/>
        </w:rPr>
      </w:pPr>
    </w:p>
    <w:p>
      <w:pPr>
        <w:pStyle w:val="BodyText"/>
        <w:rPr>
          <w:sz w:val="28"/>
        </w:rPr>
      </w:pPr>
    </w:p>
    <w:p>
      <w:pPr>
        <w:pStyle w:val="BodyText"/>
        <w:rPr>
          <w:sz w:val="28"/>
        </w:rPr>
      </w:pPr>
    </w:p>
    <w:p>
      <w:pPr>
        <w:pStyle w:val="BodyText"/>
        <w:rPr>
          <w:sz w:val="28"/>
        </w:rPr>
      </w:pPr>
    </w:p>
    <w:p>
      <w:pPr>
        <w:spacing w:before="223"/>
        <w:ind w:left="720" w:right="0" w:firstLine="0"/>
        <w:jc w:val="left"/>
        <w:rPr>
          <w:b/>
          <w:sz w:val="24"/>
        </w:rPr>
      </w:pPr>
      <w:r>
        <w:rPr>
          <w:b/>
          <w:color w:val="658464"/>
          <w:w w:val="115"/>
          <w:sz w:val="24"/>
        </w:rPr>
        <w:t>iv</w:t>
      </w:r>
    </w:p>
    <w:p>
      <w:pPr>
        <w:spacing w:after="0"/>
        <w:jc w:val="left"/>
        <w:rPr>
          <w:sz w:val="24"/>
        </w:rPr>
        <w:sectPr>
          <w:pgSz w:w="11910" w:h="16840"/>
          <w:pgMar w:header="1372" w:footer="0" w:top="1560" w:bottom="280" w:left="0" w:right="0"/>
        </w:sectPr>
      </w:pPr>
    </w:p>
    <w:p>
      <w:pPr>
        <w:pStyle w:val="BodyText"/>
        <w:spacing w:before="4"/>
        <w:rPr>
          <w:b/>
          <w:sz w:val="22"/>
        </w:rPr>
      </w:pPr>
    </w:p>
    <w:p>
      <w:pPr>
        <w:pStyle w:val="BodyText"/>
        <w:tabs>
          <w:tab w:pos="10267" w:val="right" w:leader="dot"/>
        </w:tabs>
        <w:spacing w:before="97"/>
        <w:ind w:left="2154"/>
      </w:pPr>
      <w:hyperlink w:history="true" w:anchor="_bookmark67">
        <w:r>
          <w:rPr>
            <w:w w:val="115"/>
          </w:rPr>
          <w:t>The Commission’s conclusions—resolving</w:t>
        </w:r>
        <w:r>
          <w:rPr>
            <w:spacing w:val="-9"/>
            <w:w w:val="115"/>
          </w:rPr>
          <w:t> </w:t>
        </w:r>
        <w:r>
          <w:rPr>
            <w:w w:val="115"/>
          </w:rPr>
          <w:t>disputes</w:t>
        </w:r>
        <w:r>
          <w:rPr>
            <w:spacing w:val="-3"/>
            <w:w w:val="115"/>
          </w:rPr>
          <w:t> informally</w:t>
          <w:tab/>
        </w:r>
        <w:r>
          <w:rPr>
            <w:spacing w:val="-6"/>
            <w:w w:val="115"/>
          </w:rPr>
          <w:t>125</w:t>
        </w:r>
      </w:hyperlink>
    </w:p>
    <w:p>
      <w:pPr>
        <w:pStyle w:val="BodyText"/>
        <w:tabs>
          <w:tab w:pos="10267" w:val="right" w:leader="dot"/>
        </w:tabs>
        <w:spacing w:before="68"/>
        <w:ind w:left="2437"/>
      </w:pPr>
      <w:hyperlink w:history="true" w:anchor="_bookmark67">
        <w:r>
          <w:rPr>
            <w:spacing w:val="-3"/>
            <w:w w:val="105"/>
          </w:rPr>
          <w:t>Encouraging informal </w:t>
        </w:r>
        <w:r>
          <w:rPr>
            <w:w w:val="105"/>
          </w:rPr>
          <w:t>resolution in the</w:t>
        </w:r>
        <w:r>
          <w:rPr>
            <w:spacing w:val="31"/>
            <w:w w:val="105"/>
          </w:rPr>
          <w:t> </w:t>
        </w:r>
        <w:r>
          <w:rPr>
            <w:w w:val="105"/>
          </w:rPr>
          <w:t>new</w:t>
        </w:r>
        <w:r>
          <w:rPr>
            <w:spacing w:val="5"/>
            <w:w w:val="105"/>
          </w:rPr>
          <w:t> </w:t>
        </w:r>
        <w:r>
          <w:rPr>
            <w:w w:val="105"/>
          </w:rPr>
          <w:t>Act</w:t>
          <w:tab/>
        </w:r>
        <w:r>
          <w:rPr>
            <w:spacing w:val="-8"/>
            <w:w w:val="105"/>
          </w:rPr>
          <w:t>125</w:t>
        </w:r>
      </w:hyperlink>
    </w:p>
    <w:p>
      <w:pPr>
        <w:pStyle w:val="BodyText"/>
        <w:tabs>
          <w:tab w:pos="10267" w:val="right" w:leader="dot"/>
        </w:tabs>
        <w:spacing w:before="69"/>
        <w:ind w:left="2437"/>
      </w:pPr>
      <w:hyperlink w:history="true" w:anchor="_bookmark67">
        <w:r>
          <w:rPr>
            <w:spacing w:val="-3"/>
            <w:w w:val="105"/>
          </w:rPr>
          <w:t>Community</w:t>
        </w:r>
        <w:r>
          <w:rPr>
            <w:spacing w:val="5"/>
            <w:w w:val="105"/>
          </w:rPr>
          <w:t> </w:t>
        </w:r>
        <w:r>
          <w:rPr>
            <w:spacing w:val="-3"/>
            <w:w w:val="105"/>
          </w:rPr>
          <w:t>resources</w:t>
          <w:tab/>
        </w:r>
        <w:r>
          <w:rPr>
            <w:spacing w:val="-8"/>
            <w:w w:val="105"/>
          </w:rPr>
          <w:t>125</w:t>
        </w:r>
      </w:hyperlink>
    </w:p>
    <w:p>
      <w:pPr>
        <w:pStyle w:val="BodyText"/>
        <w:tabs>
          <w:tab w:pos="10267" w:val="right" w:leader="dot"/>
        </w:tabs>
        <w:spacing w:before="69"/>
        <w:ind w:left="2437"/>
      </w:pPr>
      <w:hyperlink w:history="true" w:anchor="_bookmark67">
        <w:r>
          <w:rPr>
            <w:spacing w:val="-2"/>
            <w:w w:val="105"/>
          </w:rPr>
          <w:t>Community-based </w:t>
        </w:r>
        <w:r>
          <w:rPr>
            <w:spacing w:val="-3"/>
            <w:w w:val="105"/>
          </w:rPr>
          <w:t>alternative</w:t>
        </w:r>
        <w:r>
          <w:rPr>
            <w:spacing w:val="11"/>
            <w:w w:val="105"/>
          </w:rPr>
          <w:t> </w:t>
        </w:r>
        <w:r>
          <w:rPr>
            <w:spacing w:val="-3"/>
            <w:w w:val="105"/>
          </w:rPr>
          <w:t>dispute</w:t>
        </w:r>
        <w:r>
          <w:rPr>
            <w:spacing w:val="4"/>
            <w:w w:val="105"/>
          </w:rPr>
          <w:t> </w:t>
        </w:r>
        <w:r>
          <w:rPr>
            <w:w w:val="105"/>
          </w:rPr>
          <w:t>resolution</w:t>
          <w:tab/>
        </w:r>
        <w:r>
          <w:rPr>
            <w:spacing w:val="-8"/>
            <w:w w:val="105"/>
          </w:rPr>
          <w:t>125</w:t>
        </w:r>
      </w:hyperlink>
    </w:p>
    <w:p>
      <w:pPr>
        <w:pStyle w:val="BodyText"/>
        <w:tabs>
          <w:tab w:pos="10267" w:val="right" w:leader="dot"/>
        </w:tabs>
        <w:spacing w:before="69"/>
        <w:ind w:left="2437"/>
      </w:pPr>
      <w:hyperlink w:history="true" w:anchor="_bookmark68">
        <w:r>
          <w:rPr>
            <w:w w:val="105"/>
          </w:rPr>
          <w:t>Modification</w:t>
        </w:r>
        <w:r>
          <w:rPr>
            <w:spacing w:val="5"/>
            <w:w w:val="105"/>
          </w:rPr>
          <w:t> </w:t>
        </w:r>
        <w:r>
          <w:rPr>
            <w:w w:val="105"/>
          </w:rPr>
          <w:t>of</w:t>
        </w:r>
        <w:r>
          <w:rPr>
            <w:spacing w:val="5"/>
            <w:w w:val="105"/>
          </w:rPr>
          <w:t> </w:t>
        </w:r>
        <w:r>
          <w:rPr>
            <w:spacing w:val="-3"/>
            <w:w w:val="105"/>
          </w:rPr>
          <w:t>abatement</w:t>
          <w:tab/>
        </w:r>
        <w:r>
          <w:rPr>
            <w:spacing w:val="-9"/>
            <w:w w:val="105"/>
          </w:rPr>
          <w:t>127</w:t>
        </w:r>
      </w:hyperlink>
    </w:p>
    <w:p>
      <w:pPr>
        <w:pStyle w:val="BodyText"/>
        <w:spacing w:line="248" w:lineRule="exact" w:before="68"/>
        <w:ind w:left="2437"/>
      </w:pPr>
      <w:hyperlink w:history="true" w:anchor="_bookmark69">
        <w:r>
          <w:rPr>
            <w:w w:val="105"/>
          </w:rPr>
          <w:t>Not recommended: a formal requirement in the Act for ‘reasonable attempts</w:t>
        </w:r>
      </w:hyperlink>
    </w:p>
    <w:p>
      <w:pPr>
        <w:pStyle w:val="BodyText"/>
        <w:tabs>
          <w:tab w:pos="10267" w:val="right" w:leader="dot"/>
        </w:tabs>
        <w:spacing w:line="248" w:lineRule="exact"/>
        <w:ind w:left="2437"/>
      </w:pPr>
      <w:hyperlink w:history="true" w:anchor="_bookmark69">
        <w:r>
          <w:rPr>
            <w:w w:val="105"/>
          </w:rPr>
          <w:t>to</w:t>
        </w:r>
        <w:r>
          <w:rPr>
            <w:spacing w:val="5"/>
            <w:w w:val="105"/>
          </w:rPr>
          <w:t> </w:t>
        </w:r>
        <w:r>
          <w:rPr>
            <w:spacing w:val="-3"/>
            <w:w w:val="105"/>
          </w:rPr>
          <w:t>reach</w:t>
        </w:r>
        <w:r>
          <w:rPr>
            <w:spacing w:val="5"/>
            <w:w w:val="105"/>
          </w:rPr>
          <w:t> </w:t>
        </w:r>
        <w:r>
          <w:rPr>
            <w:w w:val="105"/>
          </w:rPr>
          <w:t>agreement’</w:t>
          <w:tab/>
        </w:r>
        <w:r>
          <w:rPr>
            <w:spacing w:val="-8"/>
            <w:w w:val="105"/>
          </w:rPr>
          <w:t>129</w:t>
        </w:r>
      </w:hyperlink>
    </w:p>
    <w:p>
      <w:pPr>
        <w:pStyle w:val="BodyText"/>
        <w:tabs>
          <w:tab w:pos="10267" w:val="right" w:leader="dot"/>
        </w:tabs>
        <w:spacing w:before="69"/>
        <w:ind w:left="2437"/>
      </w:pPr>
      <w:hyperlink w:history="true" w:anchor="_bookmark69">
        <w:r>
          <w:rPr>
            <w:w w:val="105"/>
          </w:rPr>
          <w:t>Not recommended: tree owner </w:t>
        </w:r>
        <w:r>
          <w:rPr>
            <w:spacing w:val="-3"/>
            <w:w w:val="105"/>
          </w:rPr>
          <w:t>responsibilities </w:t>
        </w:r>
        <w:r>
          <w:rPr>
            <w:w w:val="105"/>
          </w:rPr>
          <w:t>in</w:t>
        </w:r>
        <w:r>
          <w:rPr>
            <w:spacing w:val="23"/>
            <w:w w:val="105"/>
          </w:rPr>
          <w:t> </w:t>
        </w:r>
        <w:r>
          <w:rPr>
            <w:w w:val="105"/>
          </w:rPr>
          <w:t>the</w:t>
        </w:r>
        <w:r>
          <w:rPr>
            <w:spacing w:val="3"/>
            <w:w w:val="105"/>
          </w:rPr>
          <w:t> </w:t>
        </w:r>
        <w:r>
          <w:rPr>
            <w:w w:val="105"/>
          </w:rPr>
          <w:t>Act</w:t>
          <w:tab/>
        </w:r>
        <w:r>
          <w:rPr>
            <w:spacing w:val="-8"/>
            <w:w w:val="105"/>
          </w:rPr>
          <w:t>129</w:t>
        </w:r>
      </w:hyperlink>
    </w:p>
    <w:p>
      <w:pPr>
        <w:pStyle w:val="BodyText"/>
        <w:tabs>
          <w:tab w:pos="10267" w:val="right" w:leader="dot"/>
        </w:tabs>
        <w:spacing w:before="69"/>
        <w:ind w:left="2437"/>
      </w:pPr>
      <w:hyperlink w:history="true" w:anchor="_bookmark70">
        <w:r>
          <w:rPr>
            <w:w w:val="105"/>
          </w:rPr>
          <w:t>For </w:t>
        </w:r>
        <w:r>
          <w:rPr>
            <w:spacing w:val="-3"/>
            <w:w w:val="105"/>
          </w:rPr>
          <w:t>future consideration: branch</w:t>
        </w:r>
        <w:r>
          <w:rPr>
            <w:spacing w:val="25"/>
            <w:w w:val="105"/>
          </w:rPr>
          <w:t> </w:t>
        </w:r>
        <w:r>
          <w:rPr>
            <w:spacing w:val="-3"/>
            <w:w w:val="105"/>
          </w:rPr>
          <w:t>removal</w:t>
        </w:r>
        <w:r>
          <w:rPr>
            <w:spacing w:val="4"/>
            <w:w w:val="105"/>
          </w:rPr>
          <w:t> </w:t>
        </w:r>
        <w:r>
          <w:rPr>
            <w:spacing w:val="-3"/>
            <w:w w:val="105"/>
          </w:rPr>
          <w:t>notices</w:t>
          <w:tab/>
        </w:r>
        <w:r>
          <w:rPr>
            <w:spacing w:val="-6"/>
            <w:w w:val="105"/>
          </w:rPr>
          <w:t>130</w:t>
        </w:r>
      </w:hyperlink>
    </w:p>
    <w:p>
      <w:pPr>
        <w:pStyle w:val="BodyText"/>
        <w:tabs>
          <w:tab w:pos="10267" w:val="right" w:leader="dot"/>
        </w:tabs>
        <w:spacing w:before="69"/>
        <w:ind w:left="2437"/>
      </w:pPr>
      <w:hyperlink w:history="true" w:anchor="_bookmark71">
        <w:r>
          <w:rPr>
            <w:w w:val="105"/>
          </w:rPr>
          <w:t>Not recommended: a general</w:t>
        </w:r>
        <w:r>
          <w:rPr>
            <w:spacing w:val="17"/>
            <w:w w:val="105"/>
          </w:rPr>
          <w:t> </w:t>
        </w:r>
        <w:r>
          <w:rPr>
            <w:spacing w:val="-3"/>
            <w:w w:val="105"/>
          </w:rPr>
          <w:t>notice</w:t>
        </w:r>
        <w:r>
          <w:rPr>
            <w:spacing w:val="4"/>
            <w:w w:val="105"/>
          </w:rPr>
          <w:t> </w:t>
        </w:r>
        <w:r>
          <w:rPr>
            <w:w w:val="105"/>
          </w:rPr>
          <w:t>process</w:t>
          <w:tab/>
        </w:r>
        <w:r>
          <w:rPr>
            <w:spacing w:val="-8"/>
            <w:w w:val="105"/>
          </w:rPr>
          <w:t>132</w:t>
        </w:r>
      </w:hyperlink>
    </w:p>
    <w:p>
      <w:pPr>
        <w:pStyle w:val="Heading9"/>
        <w:numPr>
          <w:ilvl w:val="0"/>
          <w:numId w:val="1"/>
        </w:numPr>
        <w:tabs>
          <w:tab w:pos="1928" w:val="left" w:leader="none"/>
          <w:tab w:pos="10267" w:val="right" w:leader="dot"/>
        </w:tabs>
        <w:spacing w:line="240" w:lineRule="auto" w:before="68" w:after="0"/>
        <w:ind w:left="1927" w:right="0" w:hanging="340"/>
        <w:jc w:val="left"/>
      </w:pPr>
      <w:hyperlink w:history="true" w:anchor="_bookmark72">
        <w:r>
          <w:rPr>
            <w:color w:val="658464"/>
            <w:w w:val="115"/>
          </w:rPr>
          <w:t>Resolving neighbourhood tree disputes</w:t>
        </w:r>
        <w:r>
          <w:rPr>
            <w:color w:val="658464"/>
            <w:spacing w:val="-3"/>
            <w:w w:val="115"/>
          </w:rPr>
          <w:t> </w:t>
        </w:r>
        <w:r>
          <w:rPr>
            <w:color w:val="658464"/>
            <w:w w:val="115"/>
          </w:rPr>
          <w:t>in </w:t>
        </w:r>
        <w:r>
          <w:rPr>
            <w:color w:val="658464"/>
            <w:spacing w:val="-4"/>
            <w:w w:val="115"/>
          </w:rPr>
          <w:t>VCAT</w:t>
          <w:tab/>
        </w:r>
        <w:r>
          <w:rPr>
            <w:color w:val="658464"/>
            <w:spacing w:val="-3"/>
            <w:w w:val="115"/>
          </w:rPr>
          <w:t>134</w:t>
        </w:r>
      </w:hyperlink>
    </w:p>
    <w:p>
      <w:pPr>
        <w:pStyle w:val="BodyText"/>
        <w:tabs>
          <w:tab w:pos="10267" w:val="right" w:leader="dot"/>
        </w:tabs>
        <w:spacing w:before="69"/>
        <w:ind w:left="2154"/>
      </w:pPr>
      <w:hyperlink w:history="true" w:anchor="_bookmark72">
        <w:r>
          <w:rPr>
            <w:w w:val="110"/>
          </w:rPr>
          <w:t>Introduction</w:t>
          <w:tab/>
        </w:r>
        <w:r>
          <w:rPr>
            <w:spacing w:val="-5"/>
            <w:w w:val="110"/>
          </w:rPr>
          <w:t>134</w:t>
        </w:r>
      </w:hyperlink>
    </w:p>
    <w:p>
      <w:pPr>
        <w:pStyle w:val="BodyText"/>
        <w:tabs>
          <w:tab w:pos="10267" w:val="right" w:leader="dot"/>
        </w:tabs>
        <w:spacing w:before="69"/>
        <w:ind w:left="2154"/>
      </w:pPr>
      <w:hyperlink w:history="true" w:anchor="_bookmark72">
        <w:r>
          <w:rPr>
            <w:w w:val="115"/>
          </w:rPr>
          <w:t>In which forum should disputes</w:t>
        </w:r>
        <w:r>
          <w:rPr>
            <w:spacing w:val="-4"/>
            <w:w w:val="115"/>
          </w:rPr>
          <w:t> </w:t>
        </w:r>
        <w:r>
          <w:rPr>
            <w:w w:val="115"/>
          </w:rPr>
          <w:t>be</w:t>
        </w:r>
        <w:r>
          <w:rPr>
            <w:spacing w:val="-1"/>
            <w:w w:val="115"/>
          </w:rPr>
          <w:t> </w:t>
        </w:r>
        <w:r>
          <w:rPr>
            <w:w w:val="115"/>
          </w:rPr>
          <w:t>resolved?</w:t>
          <w:tab/>
        </w:r>
        <w:r>
          <w:rPr>
            <w:spacing w:val="-5"/>
            <w:w w:val="115"/>
          </w:rPr>
          <w:t>134</w:t>
        </w:r>
      </w:hyperlink>
    </w:p>
    <w:p>
      <w:pPr>
        <w:pStyle w:val="BodyText"/>
        <w:tabs>
          <w:tab w:pos="10267" w:val="right" w:leader="dot"/>
        </w:tabs>
        <w:spacing w:before="68"/>
        <w:ind w:left="2437"/>
      </w:pPr>
      <w:hyperlink w:history="true" w:anchor="_bookmark73">
        <w:r>
          <w:rPr>
            <w:spacing w:val="-3"/>
            <w:w w:val="105"/>
          </w:rPr>
          <w:t>Magistrates’ Court</w:t>
        </w:r>
        <w:r>
          <w:rPr>
            <w:spacing w:val="14"/>
            <w:w w:val="105"/>
          </w:rPr>
          <w:t> </w:t>
        </w:r>
        <w:r>
          <w:rPr>
            <w:w w:val="105"/>
          </w:rPr>
          <w:t>of</w:t>
        </w:r>
        <w:r>
          <w:rPr>
            <w:spacing w:val="5"/>
            <w:w w:val="105"/>
          </w:rPr>
          <w:t> </w:t>
        </w:r>
        <w:r>
          <w:rPr>
            <w:w w:val="105"/>
          </w:rPr>
          <w:t>Victoria</w:t>
          <w:tab/>
        </w:r>
        <w:r>
          <w:rPr>
            <w:spacing w:val="-8"/>
            <w:w w:val="105"/>
          </w:rPr>
          <w:t>135</w:t>
        </w:r>
      </w:hyperlink>
    </w:p>
    <w:p>
      <w:pPr>
        <w:pStyle w:val="BodyText"/>
        <w:tabs>
          <w:tab w:pos="10267" w:val="right" w:leader="dot"/>
        </w:tabs>
        <w:spacing w:before="69"/>
        <w:ind w:left="2437"/>
      </w:pPr>
      <w:hyperlink w:history="true" w:anchor="_bookmark74">
        <w:r>
          <w:rPr>
            <w:w w:val="105"/>
          </w:rPr>
          <w:t>Victorian </w:t>
        </w:r>
        <w:r>
          <w:rPr>
            <w:spacing w:val="-3"/>
            <w:w w:val="105"/>
          </w:rPr>
          <w:t>Civil </w:t>
        </w:r>
        <w:r>
          <w:rPr>
            <w:w w:val="105"/>
          </w:rPr>
          <w:t>and </w:t>
        </w:r>
        <w:r>
          <w:rPr>
            <w:spacing w:val="-3"/>
            <w:w w:val="105"/>
          </w:rPr>
          <w:t>Administrative</w:t>
        </w:r>
        <w:r>
          <w:rPr>
            <w:spacing w:val="23"/>
            <w:w w:val="105"/>
          </w:rPr>
          <w:t> </w:t>
        </w:r>
        <w:r>
          <w:rPr>
            <w:spacing w:val="-5"/>
            <w:w w:val="105"/>
          </w:rPr>
          <w:t>Tribunal</w:t>
        </w:r>
        <w:r>
          <w:rPr>
            <w:spacing w:val="5"/>
            <w:w w:val="105"/>
          </w:rPr>
          <w:t> </w:t>
        </w:r>
        <w:r>
          <w:rPr>
            <w:w w:val="105"/>
          </w:rPr>
          <w:t>(VCAT)</w:t>
          <w:tab/>
        </w:r>
        <w:r>
          <w:rPr>
            <w:spacing w:val="-8"/>
            <w:w w:val="105"/>
          </w:rPr>
          <w:t>137</w:t>
        </w:r>
      </w:hyperlink>
    </w:p>
    <w:p>
      <w:pPr>
        <w:pStyle w:val="BodyText"/>
        <w:tabs>
          <w:tab w:pos="10255" w:val="right" w:leader="dot"/>
        </w:tabs>
        <w:spacing w:before="69"/>
        <w:ind w:left="2154"/>
      </w:pPr>
      <w:hyperlink w:history="true" w:anchor="_bookmark75">
        <w:r>
          <w:rPr>
            <w:w w:val="115"/>
          </w:rPr>
          <w:t>The approach in other jurisdictions</w:t>
          <w:tab/>
        </w:r>
        <w:r>
          <w:rPr>
            <w:spacing w:val="-12"/>
            <w:w w:val="115"/>
          </w:rPr>
          <w:t>141</w:t>
        </w:r>
      </w:hyperlink>
    </w:p>
    <w:p>
      <w:pPr>
        <w:pStyle w:val="BodyText"/>
        <w:tabs>
          <w:tab w:pos="10267" w:val="right" w:leader="dot"/>
        </w:tabs>
        <w:spacing w:before="69"/>
        <w:ind w:left="2154"/>
      </w:pPr>
      <w:hyperlink w:history="true" w:anchor="_bookmark76">
        <w:r>
          <w:rPr>
            <w:w w:val="115"/>
          </w:rPr>
          <w:t>International jurisdictions</w:t>
          <w:tab/>
        </w:r>
        <w:r>
          <w:rPr>
            <w:spacing w:val="-6"/>
            <w:w w:val="115"/>
          </w:rPr>
          <w:t>147</w:t>
        </w:r>
      </w:hyperlink>
    </w:p>
    <w:p>
      <w:pPr>
        <w:pStyle w:val="BodyText"/>
        <w:tabs>
          <w:tab w:pos="10267" w:val="right" w:leader="dot"/>
        </w:tabs>
        <w:spacing w:before="68"/>
        <w:ind w:left="2154"/>
      </w:pPr>
      <w:hyperlink w:history="true" w:anchor="_bookmark77">
        <w:r>
          <w:rPr>
            <w:w w:val="110"/>
          </w:rPr>
          <w:t>Community responses—where should tree disputes</w:t>
        </w:r>
        <w:r>
          <w:rPr>
            <w:spacing w:val="31"/>
            <w:w w:val="110"/>
          </w:rPr>
          <w:t> </w:t>
        </w:r>
        <w:r>
          <w:rPr>
            <w:w w:val="110"/>
          </w:rPr>
          <w:t>be</w:t>
        </w:r>
        <w:r>
          <w:rPr>
            <w:spacing w:val="7"/>
            <w:w w:val="110"/>
          </w:rPr>
          <w:t> </w:t>
        </w:r>
        <w:r>
          <w:rPr>
            <w:w w:val="110"/>
          </w:rPr>
          <w:t>resolved?</w:t>
          <w:tab/>
        </w:r>
        <w:r>
          <w:rPr>
            <w:spacing w:val="-3"/>
            <w:w w:val="110"/>
          </w:rPr>
          <w:t>148</w:t>
        </w:r>
      </w:hyperlink>
    </w:p>
    <w:p>
      <w:pPr>
        <w:pStyle w:val="BodyText"/>
        <w:tabs>
          <w:tab w:pos="10254" w:val="right" w:leader="dot"/>
        </w:tabs>
        <w:spacing w:before="69"/>
        <w:ind w:left="2154"/>
      </w:pPr>
      <w:hyperlink w:history="true" w:anchor="_bookmark78">
        <w:r>
          <w:rPr>
            <w:w w:val="115"/>
          </w:rPr>
          <w:t>Community</w:t>
        </w:r>
        <w:r>
          <w:rPr>
            <w:spacing w:val="-8"/>
            <w:w w:val="115"/>
          </w:rPr>
          <w:t> </w:t>
        </w:r>
        <w:r>
          <w:rPr>
            <w:w w:val="115"/>
          </w:rPr>
          <w:t>responses—important</w:t>
        </w:r>
        <w:r>
          <w:rPr>
            <w:spacing w:val="-7"/>
            <w:w w:val="115"/>
          </w:rPr>
          <w:t> </w:t>
        </w:r>
        <w:r>
          <w:rPr>
            <w:w w:val="115"/>
          </w:rPr>
          <w:t>characteristics</w:t>
        </w:r>
        <w:r>
          <w:rPr>
            <w:spacing w:val="-8"/>
            <w:w w:val="115"/>
          </w:rPr>
          <w:t> </w:t>
        </w:r>
        <w:r>
          <w:rPr>
            <w:w w:val="115"/>
          </w:rPr>
          <w:t>of</w:t>
        </w:r>
        <w:r>
          <w:rPr>
            <w:spacing w:val="-7"/>
            <w:w w:val="115"/>
          </w:rPr>
          <w:t> </w:t>
        </w:r>
        <w:r>
          <w:rPr>
            <w:w w:val="115"/>
          </w:rPr>
          <w:t>a</w:t>
        </w:r>
        <w:r>
          <w:rPr>
            <w:spacing w:val="-7"/>
            <w:w w:val="115"/>
          </w:rPr>
          <w:t> </w:t>
        </w:r>
        <w:r>
          <w:rPr>
            <w:w w:val="115"/>
          </w:rPr>
          <w:t>tree</w:t>
        </w:r>
        <w:r>
          <w:rPr>
            <w:spacing w:val="-8"/>
            <w:w w:val="115"/>
          </w:rPr>
          <w:t> </w:t>
        </w:r>
        <w:r>
          <w:rPr>
            <w:w w:val="115"/>
          </w:rPr>
          <w:t>dispute</w:t>
        </w:r>
        <w:r>
          <w:rPr>
            <w:spacing w:val="-7"/>
            <w:w w:val="115"/>
          </w:rPr>
          <w:t> </w:t>
        </w:r>
        <w:r>
          <w:rPr>
            <w:w w:val="115"/>
          </w:rPr>
          <w:t>forum</w:t>
          <w:tab/>
        </w:r>
        <w:r>
          <w:rPr>
            <w:spacing w:val="-13"/>
            <w:w w:val="115"/>
          </w:rPr>
          <w:t>151</w:t>
        </w:r>
      </w:hyperlink>
    </w:p>
    <w:p>
      <w:pPr>
        <w:pStyle w:val="BodyText"/>
        <w:tabs>
          <w:tab w:pos="10267" w:val="right" w:leader="dot"/>
        </w:tabs>
        <w:spacing w:before="69"/>
        <w:ind w:left="2154"/>
      </w:pPr>
      <w:hyperlink w:history="true" w:anchor="_bookmark79">
        <w:r>
          <w:rPr>
            <w:w w:val="110"/>
          </w:rPr>
          <w:t>The</w:t>
        </w:r>
        <w:r>
          <w:rPr>
            <w:spacing w:val="3"/>
            <w:w w:val="110"/>
          </w:rPr>
          <w:t> </w:t>
        </w:r>
        <w:r>
          <w:rPr>
            <w:w w:val="110"/>
          </w:rPr>
          <w:t>Commission’s</w:t>
        </w:r>
        <w:r>
          <w:rPr>
            <w:spacing w:val="3"/>
            <w:w w:val="110"/>
          </w:rPr>
          <w:t> </w:t>
        </w:r>
        <w:r>
          <w:rPr>
            <w:w w:val="110"/>
          </w:rPr>
          <w:t>conclusions</w:t>
          <w:tab/>
        </w:r>
        <w:r>
          <w:rPr>
            <w:spacing w:val="-5"/>
            <w:w w:val="110"/>
          </w:rPr>
          <w:t>152</w:t>
        </w:r>
      </w:hyperlink>
    </w:p>
    <w:p>
      <w:pPr>
        <w:pStyle w:val="BodyText"/>
        <w:tabs>
          <w:tab w:pos="10267" w:val="right" w:leader="dot"/>
        </w:tabs>
        <w:spacing w:before="69"/>
        <w:ind w:left="2437"/>
      </w:pPr>
      <w:hyperlink w:history="true" w:anchor="_bookmark79">
        <w:r>
          <w:rPr>
            <w:spacing w:val="-5"/>
          </w:rPr>
          <w:t>VCAT  </w:t>
        </w:r>
        <w:r>
          <w:rPr>
            <w:spacing w:val="-3"/>
          </w:rPr>
          <w:t>to determine </w:t>
        </w:r>
        <w:r>
          <w:rPr/>
          <w:t>tree </w:t>
        </w:r>
        <w:r>
          <w:rPr>
            <w:spacing w:val="-3"/>
          </w:rPr>
          <w:t>disputes </w:t>
        </w:r>
        <w:r>
          <w:rPr/>
          <w:t>under the  new</w:t>
        </w:r>
        <w:r>
          <w:rPr>
            <w:spacing w:val="11"/>
          </w:rPr>
          <w:t> </w:t>
        </w:r>
        <w:r>
          <w:rPr/>
          <w:t>Act</w:t>
          <w:tab/>
        </w:r>
        <w:r>
          <w:rPr>
            <w:spacing w:val="-7"/>
          </w:rPr>
          <w:t>152</w:t>
        </w:r>
      </w:hyperlink>
    </w:p>
    <w:p>
      <w:pPr>
        <w:pStyle w:val="BodyText"/>
        <w:tabs>
          <w:tab w:pos="10267" w:val="right" w:leader="dot"/>
        </w:tabs>
        <w:spacing w:before="68"/>
        <w:ind w:left="2437"/>
      </w:pPr>
      <w:hyperlink w:history="true" w:anchor="_bookmark80">
        <w:r>
          <w:rPr>
            <w:spacing w:val="-3"/>
            <w:w w:val="105"/>
          </w:rPr>
          <w:t>Alternative</w:t>
        </w:r>
        <w:r>
          <w:rPr>
            <w:spacing w:val="5"/>
            <w:w w:val="105"/>
          </w:rPr>
          <w:t> </w:t>
        </w:r>
        <w:r>
          <w:rPr>
            <w:w w:val="105"/>
          </w:rPr>
          <w:t>options</w:t>
          <w:tab/>
        </w:r>
        <w:r>
          <w:rPr>
            <w:spacing w:val="-8"/>
            <w:w w:val="105"/>
          </w:rPr>
          <w:t>155</w:t>
        </w:r>
      </w:hyperlink>
    </w:p>
    <w:p>
      <w:pPr>
        <w:pStyle w:val="BodyText"/>
        <w:tabs>
          <w:tab w:pos="10266" w:val="right" w:leader="dot"/>
        </w:tabs>
        <w:spacing w:before="69"/>
        <w:ind w:left="2437"/>
      </w:pPr>
      <w:hyperlink w:history="true" w:anchor="_bookmark81">
        <w:r>
          <w:rPr>
            <w:w w:val="105"/>
          </w:rPr>
          <w:t>The </w:t>
        </w:r>
        <w:r>
          <w:rPr>
            <w:spacing w:val="-3"/>
            <w:w w:val="105"/>
          </w:rPr>
          <w:t>nature </w:t>
        </w:r>
        <w:r>
          <w:rPr>
            <w:w w:val="105"/>
          </w:rPr>
          <w:t>of jurisdiction given</w:t>
        </w:r>
        <w:r>
          <w:rPr>
            <w:spacing w:val="28"/>
            <w:w w:val="105"/>
          </w:rPr>
          <w:t> </w:t>
        </w:r>
        <w:r>
          <w:rPr>
            <w:spacing w:val="-3"/>
            <w:w w:val="105"/>
          </w:rPr>
          <w:t>to</w:t>
        </w:r>
        <w:r>
          <w:rPr>
            <w:spacing w:val="5"/>
            <w:w w:val="105"/>
          </w:rPr>
          <w:t> </w:t>
        </w:r>
        <w:r>
          <w:rPr>
            <w:spacing w:val="-5"/>
            <w:w w:val="105"/>
          </w:rPr>
          <w:t>VCAT</w:t>
          <w:tab/>
        </w:r>
        <w:r>
          <w:rPr>
            <w:spacing w:val="-6"/>
            <w:w w:val="105"/>
          </w:rPr>
          <w:t>156</w:t>
        </w:r>
      </w:hyperlink>
    </w:p>
    <w:p>
      <w:pPr>
        <w:pStyle w:val="BodyText"/>
        <w:tabs>
          <w:tab w:pos="10266" w:val="right" w:leader="dot"/>
        </w:tabs>
        <w:spacing w:before="69"/>
        <w:ind w:left="2437"/>
      </w:pPr>
      <w:hyperlink w:history="true" w:anchor="_bookmark82">
        <w:r>
          <w:rPr/>
          <w:t>Diversity</w:t>
        </w:r>
        <w:r>
          <w:rPr>
            <w:spacing w:val="8"/>
          </w:rPr>
          <w:t> </w:t>
        </w:r>
        <w:r>
          <w:rPr/>
          <w:t>jurisdiction</w:t>
          <w:tab/>
        </w:r>
        <w:r>
          <w:rPr>
            <w:spacing w:val="-7"/>
          </w:rPr>
          <w:t>157</w:t>
        </w:r>
      </w:hyperlink>
    </w:p>
    <w:p>
      <w:pPr>
        <w:pStyle w:val="BodyText"/>
        <w:tabs>
          <w:tab w:pos="10266" w:val="right" w:leader="dot"/>
        </w:tabs>
        <w:spacing w:before="69"/>
        <w:ind w:left="2437"/>
      </w:pPr>
      <w:hyperlink w:history="true" w:anchor="_bookmark83">
        <w:r>
          <w:rPr>
            <w:spacing w:val="-5"/>
            <w:w w:val="105"/>
          </w:rPr>
          <w:t>VCAT </w:t>
        </w:r>
        <w:r>
          <w:rPr>
            <w:w w:val="105"/>
          </w:rPr>
          <w:t>process </w:t>
        </w:r>
        <w:r>
          <w:rPr>
            <w:spacing w:val="-3"/>
            <w:w w:val="105"/>
          </w:rPr>
          <w:t>for</w:t>
        </w:r>
        <w:r>
          <w:rPr>
            <w:spacing w:val="21"/>
            <w:w w:val="105"/>
          </w:rPr>
          <w:t> </w:t>
        </w:r>
        <w:r>
          <w:rPr>
            <w:w w:val="105"/>
          </w:rPr>
          <w:t>tree</w:t>
        </w:r>
        <w:r>
          <w:rPr>
            <w:spacing w:val="5"/>
            <w:w w:val="105"/>
          </w:rPr>
          <w:t> </w:t>
        </w:r>
        <w:r>
          <w:rPr>
            <w:spacing w:val="-3"/>
            <w:w w:val="105"/>
          </w:rPr>
          <w:t>disputes</w:t>
          <w:tab/>
        </w:r>
        <w:r>
          <w:rPr>
            <w:spacing w:val="-6"/>
            <w:w w:val="105"/>
          </w:rPr>
          <w:t>158</w:t>
        </w:r>
      </w:hyperlink>
    </w:p>
    <w:p>
      <w:pPr>
        <w:pStyle w:val="BodyText"/>
        <w:tabs>
          <w:tab w:pos="10266" w:val="right" w:leader="dot"/>
        </w:tabs>
        <w:spacing w:before="68"/>
        <w:ind w:left="2437"/>
      </w:pPr>
      <w:hyperlink w:history="true" w:anchor="_bookmark84">
        <w:r>
          <w:rPr/>
          <w:t>The expertise of</w:t>
        </w:r>
        <w:r>
          <w:rPr>
            <w:spacing w:val="26"/>
          </w:rPr>
          <w:t> </w:t>
        </w:r>
        <w:r>
          <w:rPr/>
          <w:t>decision</w:t>
        </w:r>
        <w:r>
          <w:rPr>
            <w:spacing w:val="9"/>
          </w:rPr>
          <w:t> </w:t>
        </w:r>
        <w:r>
          <w:rPr>
            <w:spacing w:val="-3"/>
          </w:rPr>
          <w:t>makers</w:t>
          <w:tab/>
        </w:r>
        <w:r>
          <w:rPr>
            <w:spacing w:val="-8"/>
          </w:rPr>
          <w:t>159</w:t>
        </w:r>
      </w:hyperlink>
    </w:p>
    <w:p>
      <w:pPr>
        <w:pStyle w:val="BodyText"/>
        <w:tabs>
          <w:tab w:pos="10266" w:val="right" w:leader="dot"/>
        </w:tabs>
        <w:spacing w:before="69"/>
        <w:ind w:left="2437"/>
      </w:pPr>
      <w:hyperlink w:history="true" w:anchor="_bookmark85">
        <w:r>
          <w:rPr>
            <w:w w:val="105"/>
          </w:rPr>
          <w:t>On-site </w:t>
        </w:r>
        <w:r>
          <w:rPr>
            <w:spacing w:val="-3"/>
            <w:w w:val="105"/>
          </w:rPr>
          <w:t>hearings</w:t>
        </w:r>
        <w:r>
          <w:rPr>
            <w:spacing w:val="10"/>
            <w:w w:val="105"/>
          </w:rPr>
          <w:t> </w:t>
        </w:r>
        <w:r>
          <w:rPr>
            <w:w w:val="105"/>
          </w:rPr>
          <w:t>or</w:t>
        </w:r>
        <w:r>
          <w:rPr>
            <w:spacing w:val="5"/>
            <w:w w:val="105"/>
          </w:rPr>
          <w:t> </w:t>
        </w:r>
        <w:r>
          <w:rPr>
            <w:w w:val="105"/>
          </w:rPr>
          <w:t>inspections</w:t>
          <w:tab/>
        </w:r>
        <w:r>
          <w:rPr>
            <w:spacing w:val="-4"/>
            <w:w w:val="105"/>
          </w:rPr>
          <w:t>160</w:t>
        </w:r>
      </w:hyperlink>
    </w:p>
    <w:p>
      <w:pPr>
        <w:pStyle w:val="Heading9"/>
        <w:numPr>
          <w:ilvl w:val="0"/>
          <w:numId w:val="1"/>
        </w:numPr>
        <w:tabs>
          <w:tab w:pos="1928" w:val="left" w:leader="none"/>
        </w:tabs>
        <w:spacing w:line="248" w:lineRule="exact" w:before="69" w:after="0"/>
        <w:ind w:left="1927" w:right="0" w:hanging="341"/>
        <w:jc w:val="left"/>
      </w:pPr>
      <w:hyperlink w:history="true" w:anchor="_bookmark86">
        <w:r>
          <w:rPr>
            <w:color w:val="658464"/>
            <w:spacing w:val="-4"/>
            <w:w w:val="115"/>
          </w:rPr>
          <w:t>VCAT </w:t>
        </w:r>
        <w:r>
          <w:rPr>
            <w:color w:val="658464"/>
            <w:w w:val="115"/>
          </w:rPr>
          <w:t>decision-making principles and expert evidence in</w:t>
        </w:r>
        <w:r>
          <w:rPr>
            <w:color w:val="658464"/>
            <w:spacing w:val="-6"/>
            <w:w w:val="115"/>
          </w:rPr>
          <w:t> </w:t>
        </w:r>
        <w:r>
          <w:rPr>
            <w:color w:val="658464"/>
            <w:w w:val="115"/>
          </w:rPr>
          <w:t>neighbourhood</w:t>
        </w:r>
      </w:hyperlink>
    </w:p>
    <w:p>
      <w:pPr>
        <w:pStyle w:val="Heading9"/>
        <w:tabs>
          <w:tab w:pos="10266" w:val="right" w:leader="dot"/>
        </w:tabs>
        <w:spacing w:line="248" w:lineRule="exact" w:before="0"/>
        <w:ind w:left="1927" w:firstLine="0"/>
      </w:pPr>
      <w:hyperlink w:history="true" w:anchor="_bookmark86">
        <w:r>
          <w:rPr>
            <w:color w:val="658464"/>
            <w:w w:val="110"/>
          </w:rPr>
          <w:t>tree</w:t>
        </w:r>
        <w:r>
          <w:rPr>
            <w:color w:val="658464"/>
            <w:spacing w:val="3"/>
            <w:w w:val="110"/>
          </w:rPr>
          <w:t> </w:t>
        </w:r>
        <w:r>
          <w:rPr>
            <w:color w:val="658464"/>
            <w:w w:val="110"/>
          </w:rPr>
          <w:t>disputes</w:t>
          <w:tab/>
        </w:r>
        <w:r>
          <w:rPr>
            <w:color w:val="658464"/>
            <w:spacing w:val="-3"/>
            <w:w w:val="110"/>
          </w:rPr>
          <w:t>162</w:t>
        </w:r>
      </w:hyperlink>
    </w:p>
    <w:p>
      <w:pPr>
        <w:pStyle w:val="BodyText"/>
        <w:tabs>
          <w:tab w:pos="10266" w:val="right" w:leader="dot"/>
        </w:tabs>
        <w:spacing w:before="68"/>
        <w:ind w:left="2153"/>
      </w:pPr>
      <w:hyperlink w:history="true" w:anchor="_bookmark86">
        <w:r>
          <w:rPr>
            <w:w w:val="110"/>
          </w:rPr>
          <w:t>Introduction</w:t>
          <w:tab/>
        </w:r>
        <w:r>
          <w:rPr>
            <w:spacing w:val="-4"/>
            <w:w w:val="110"/>
          </w:rPr>
          <w:t>162</w:t>
        </w:r>
      </w:hyperlink>
    </w:p>
    <w:p>
      <w:pPr>
        <w:pStyle w:val="BodyText"/>
        <w:tabs>
          <w:tab w:pos="10266" w:val="right" w:leader="dot"/>
        </w:tabs>
        <w:spacing w:before="69"/>
        <w:ind w:left="2153"/>
      </w:pPr>
      <w:hyperlink w:history="true" w:anchor="_bookmark86">
        <w:r>
          <w:rPr>
            <w:w w:val="115"/>
          </w:rPr>
          <w:t>Decision-making principles</w:t>
          <w:tab/>
        </w:r>
        <w:r>
          <w:rPr>
            <w:spacing w:val="-4"/>
            <w:w w:val="115"/>
          </w:rPr>
          <w:t>162</w:t>
        </w:r>
      </w:hyperlink>
    </w:p>
    <w:p>
      <w:pPr>
        <w:pStyle w:val="BodyText"/>
        <w:tabs>
          <w:tab w:pos="10266" w:val="right" w:leader="dot"/>
        </w:tabs>
        <w:spacing w:before="89"/>
        <w:ind w:left="2437"/>
      </w:pPr>
      <w:hyperlink w:history="true" w:anchor="_bookmark86">
        <w:r>
          <w:rPr>
            <w:w w:val="105"/>
          </w:rPr>
          <w:t>Decision-making </w:t>
        </w:r>
        <w:r>
          <w:rPr>
            <w:spacing w:val="-3"/>
            <w:w w:val="105"/>
          </w:rPr>
          <w:t>guidelines </w:t>
        </w:r>
        <w:r>
          <w:rPr>
            <w:w w:val="105"/>
          </w:rPr>
          <w:t>in</w:t>
        </w:r>
        <w:r>
          <w:rPr>
            <w:spacing w:val="18"/>
            <w:w w:val="105"/>
          </w:rPr>
          <w:t> </w:t>
        </w:r>
        <w:r>
          <w:rPr>
            <w:spacing w:val="-3"/>
            <w:w w:val="105"/>
          </w:rPr>
          <w:t>planning</w:t>
        </w:r>
        <w:r>
          <w:rPr>
            <w:spacing w:val="5"/>
            <w:w w:val="105"/>
          </w:rPr>
          <w:t> </w:t>
        </w:r>
        <w:r>
          <w:rPr>
            <w:w w:val="105"/>
          </w:rPr>
          <w:t>schemes</w:t>
          <w:tab/>
        </w:r>
        <w:r>
          <w:rPr>
            <w:spacing w:val="-6"/>
            <w:w w:val="105"/>
          </w:rPr>
          <w:t>162</w:t>
        </w:r>
      </w:hyperlink>
    </w:p>
    <w:p>
      <w:pPr>
        <w:pStyle w:val="BodyText"/>
        <w:tabs>
          <w:tab w:pos="10266" w:val="right" w:leader="dot"/>
        </w:tabs>
        <w:spacing w:before="69"/>
        <w:ind w:left="2437"/>
      </w:pPr>
      <w:hyperlink w:history="true" w:anchor="_bookmark87">
        <w:r>
          <w:rPr>
            <w:w w:val="105"/>
          </w:rPr>
          <w:t>Local</w:t>
        </w:r>
        <w:r>
          <w:rPr>
            <w:spacing w:val="5"/>
            <w:w w:val="105"/>
          </w:rPr>
          <w:t> </w:t>
        </w:r>
        <w:r>
          <w:rPr>
            <w:w w:val="105"/>
          </w:rPr>
          <w:t>laws</w:t>
          <w:tab/>
        </w:r>
        <w:r>
          <w:rPr>
            <w:spacing w:val="-3"/>
            <w:w w:val="105"/>
          </w:rPr>
          <w:t>164</w:t>
        </w:r>
      </w:hyperlink>
    </w:p>
    <w:p>
      <w:pPr>
        <w:pStyle w:val="BodyText"/>
        <w:tabs>
          <w:tab w:pos="10266" w:val="right" w:leader="dot"/>
        </w:tabs>
        <w:spacing w:before="68"/>
        <w:ind w:left="2153"/>
      </w:pPr>
      <w:hyperlink w:history="true" w:anchor="_bookmark88">
        <w:r>
          <w:rPr>
            <w:w w:val="115"/>
          </w:rPr>
          <w:t>Decision-making principles in</w:t>
        </w:r>
        <w:r>
          <w:rPr>
            <w:spacing w:val="-2"/>
            <w:w w:val="115"/>
          </w:rPr>
          <w:t> </w:t>
        </w:r>
        <w:r>
          <w:rPr>
            <w:w w:val="115"/>
          </w:rPr>
          <w:t>other</w:t>
        </w:r>
        <w:r>
          <w:rPr>
            <w:spacing w:val="-1"/>
            <w:w w:val="115"/>
          </w:rPr>
          <w:t> </w:t>
        </w:r>
        <w:r>
          <w:rPr>
            <w:w w:val="115"/>
          </w:rPr>
          <w:t>jurisdictions</w:t>
          <w:tab/>
        </w:r>
        <w:r>
          <w:rPr>
            <w:spacing w:val="-5"/>
            <w:w w:val="115"/>
          </w:rPr>
          <w:t>165</w:t>
        </w:r>
      </w:hyperlink>
    </w:p>
    <w:p>
      <w:pPr>
        <w:pStyle w:val="BodyText"/>
        <w:tabs>
          <w:tab w:pos="10266" w:val="right" w:leader="dot"/>
        </w:tabs>
        <w:spacing w:before="69"/>
        <w:ind w:left="2153"/>
      </w:pPr>
      <w:hyperlink w:history="true" w:anchor="_bookmark89">
        <w:r>
          <w:rPr>
            <w:w w:val="115"/>
          </w:rPr>
          <w:t>Community</w:t>
        </w:r>
        <w:r>
          <w:rPr>
            <w:spacing w:val="-2"/>
            <w:w w:val="115"/>
          </w:rPr>
          <w:t> </w:t>
        </w:r>
        <w:r>
          <w:rPr>
            <w:w w:val="115"/>
          </w:rPr>
          <w:t>responses—decision-making</w:t>
        </w:r>
        <w:r>
          <w:rPr>
            <w:spacing w:val="-1"/>
            <w:w w:val="115"/>
          </w:rPr>
          <w:t> </w:t>
        </w:r>
        <w:r>
          <w:rPr>
            <w:w w:val="115"/>
          </w:rPr>
          <w:t>principles</w:t>
          <w:tab/>
        </w:r>
        <w:r>
          <w:rPr>
            <w:spacing w:val="-4"/>
            <w:w w:val="115"/>
          </w:rPr>
          <w:t>169</w:t>
        </w:r>
      </w:hyperlink>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07"/>
        <w:ind w:left="0" w:right="726" w:firstLine="0"/>
        <w:jc w:val="right"/>
        <w:rPr>
          <w:b/>
          <w:sz w:val="24"/>
        </w:rPr>
      </w:pPr>
      <w:r>
        <w:rPr>
          <w:b/>
          <w:color w:val="658464"/>
          <w:w w:val="117"/>
          <w:sz w:val="24"/>
        </w:rPr>
        <w:t>v</w:t>
      </w:r>
    </w:p>
    <w:p>
      <w:pPr>
        <w:spacing w:after="0"/>
        <w:jc w:val="right"/>
        <w:rPr>
          <w:sz w:val="24"/>
        </w:rPr>
        <w:sectPr>
          <w:pgSz w:w="11910" w:h="16840"/>
          <w:pgMar w:header="546" w:footer="0" w:top="1560" w:bottom="280" w:left="0" w:right="0"/>
        </w:sectPr>
      </w:pPr>
    </w:p>
    <w:p>
      <w:pPr>
        <w:pStyle w:val="BodyText"/>
        <w:spacing w:before="4"/>
        <w:rPr>
          <w:b/>
          <w:sz w:val="22"/>
        </w:rPr>
      </w:pPr>
    </w:p>
    <w:p>
      <w:pPr>
        <w:pStyle w:val="BodyText"/>
        <w:tabs>
          <w:tab w:pos="10267" w:val="right" w:leader="dot"/>
        </w:tabs>
        <w:spacing w:before="97"/>
        <w:ind w:left="2154"/>
      </w:pPr>
      <w:hyperlink w:history="true" w:anchor="_bookmark90">
        <w:r>
          <w:rPr>
            <w:w w:val="115"/>
          </w:rPr>
          <w:t>The Commission’s</w:t>
        </w:r>
        <w:r>
          <w:rPr>
            <w:spacing w:val="-7"/>
            <w:w w:val="115"/>
          </w:rPr>
          <w:t> </w:t>
        </w:r>
        <w:r>
          <w:rPr>
            <w:w w:val="115"/>
          </w:rPr>
          <w:t>conclusions—decision-making</w:t>
        </w:r>
        <w:r>
          <w:rPr>
            <w:spacing w:val="-3"/>
            <w:w w:val="115"/>
          </w:rPr>
          <w:t> </w:t>
        </w:r>
        <w:r>
          <w:rPr>
            <w:w w:val="115"/>
          </w:rPr>
          <w:t>principles</w:t>
          <w:tab/>
        </w:r>
        <w:r>
          <w:rPr>
            <w:spacing w:val="-6"/>
            <w:w w:val="115"/>
          </w:rPr>
          <w:t>172</w:t>
        </w:r>
      </w:hyperlink>
    </w:p>
    <w:p>
      <w:pPr>
        <w:pStyle w:val="BodyText"/>
        <w:tabs>
          <w:tab w:pos="10267" w:val="right" w:leader="dot"/>
        </w:tabs>
        <w:spacing w:before="68"/>
        <w:ind w:left="2437"/>
      </w:pPr>
      <w:hyperlink w:history="true" w:anchor="_bookmark90">
        <w:r>
          <w:rPr>
            <w:w w:val="105"/>
          </w:rPr>
          <w:t>One list of</w:t>
        </w:r>
        <w:r>
          <w:rPr>
            <w:spacing w:val="15"/>
            <w:w w:val="105"/>
          </w:rPr>
          <w:t> </w:t>
        </w:r>
        <w:r>
          <w:rPr>
            <w:w w:val="105"/>
          </w:rPr>
          <w:t>decision-making</w:t>
        </w:r>
        <w:r>
          <w:rPr>
            <w:spacing w:val="4"/>
            <w:w w:val="105"/>
          </w:rPr>
          <w:t> </w:t>
        </w:r>
        <w:r>
          <w:rPr>
            <w:spacing w:val="-3"/>
            <w:w w:val="105"/>
          </w:rPr>
          <w:t>principles</w:t>
          <w:tab/>
        </w:r>
        <w:r>
          <w:rPr>
            <w:spacing w:val="-8"/>
            <w:w w:val="105"/>
          </w:rPr>
          <w:t>172</w:t>
        </w:r>
      </w:hyperlink>
    </w:p>
    <w:p>
      <w:pPr>
        <w:pStyle w:val="BodyText"/>
        <w:tabs>
          <w:tab w:pos="10267" w:val="right" w:leader="dot"/>
        </w:tabs>
        <w:spacing w:before="69"/>
        <w:ind w:left="2437"/>
      </w:pPr>
      <w:hyperlink w:history="true" w:anchor="_bookmark90">
        <w:r>
          <w:rPr>
            <w:w w:val="105"/>
          </w:rPr>
          <w:t>Principles should</w:t>
        </w:r>
        <w:r>
          <w:rPr>
            <w:spacing w:val="9"/>
            <w:w w:val="105"/>
          </w:rPr>
          <w:t> </w:t>
        </w:r>
        <w:r>
          <w:rPr>
            <w:w w:val="105"/>
          </w:rPr>
          <w:t>be</w:t>
        </w:r>
        <w:r>
          <w:rPr>
            <w:spacing w:val="4"/>
            <w:w w:val="105"/>
          </w:rPr>
          <w:t> </w:t>
        </w:r>
        <w:r>
          <w:rPr>
            <w:w w:val="105"/>
          </w:rPr>
          <w:t>mandatory</w:t>
          <w:tab/>
        </w:r>
        <w:r>
          <w:rPr>
            <w:spacing w:val="-8"/>
            <w:w w:val="105"/>
          </w:rPr>
          <w:t>172</w:t>
        </w:r>
      </w:hyperlink>
    </w:p>
    <w:p>
      <w:pPr>
        <w:pStyle w:val="BodyText"/>
        <w:tabs>
          <w:tab w:pos="10267" w:val="right" w:leader="dot"/>
        </w:tabs>
        <w:spacing w:before="69"/>
        <w:ind w:left="2438"/>
      </w:pPr>
      <w:hyperlink w:history="true" w:anchor="_bookmark91">
        <w:r>
          <w:rPr>
            <w:w w:val="105"/>
          </w:rPr>
          <w:t>Principles should</w:t>
        </w:r>
        <w:r>
          <w:rPr>
            <w:spacing w:val="8"/>
            <w:w w:val="105"/>
          </w:rPr>
          <w:t> </w:t>
        </w:r>
        <w:r>
          <w:rPr>
            <w:w w:val="105"/>
          </w:rPr>
          <w:t>be</w:t>
        </w:r>
        <w:r>
          <w:rPr>
            <w:spacing w:val="5"/>
            <w:w w:val="105"/>
          </w:rPr>
          <w:t> </w:t>
        </w:r>
        <w:r>
          <w:rPr>
            <w:w w:val="105"/>
          </w:rPr>
          <w:t>non-exhaustive</w:t>
          <w:tab/>
        </w:r>
        <w:r>
          <w:rPr>
            <w:spacing w:val="-8"/>
            <w:w w:val="105"/>
          </w:rPr>
          <w:t>173</w:t>
        </w:r>
      </w:hyperlink>
    </w:p>
    <w:p>
      <w:pPr>
        <w:pStyle w:val="BodyText"/>
        <w:tabs>
          <w:tab w:pos="10267" w:val="right" w:leader="dot"/>
        </w:tabs>
        <w:spacing w:before="69"/>
        <w:ind w:left="2438"/>
      </w:pPr>
      <w:hyperlink w:history="true" w:anchor="_bookmark91">
        <w:r>
          <w:rPr>
            <w:w w:val="105"/>
          </w:rPr>
          <w:t>Other Acts</w:t>
        </w:r>
        <w:r>
          <w:rPr>
            <w:spacing w:val="11"/>
            <w:w w:val="105"/>
          </w:rPr>
          <w:t> </w:t>
        </w:r>
        <w:r>
          <w:rPr>
            <w:w w:val="105"/>
          </w:rPr>
          <w:t>and</w:t>
        </w:r>
        <w:r>
          <w:rPr>
            <w:spacing w:val="5"/>
            <w:w w:val="105"/>
          </w:rPr>
          <w:t> </w:t>
        </w:r>
        <w:r>
          <w:rPr>
            <w:w w:val="105"/>
          </w:rPr>
          <w:t>laws</w:t>
          <w:tab/>
        </w:r>
        <w:r>
          <w:rPr>
            <w:spacing w:val="-8"/>
            <w:w w:val="105"/>
          </w:rPr>
          <w:t>173</w:t>
        </w:r>
      </w:hyperlink>
    </w:p>
    <w:p>
      <w:pPr>
        <w:pStyle w:val="BodyText"/>
        <w:tabs>
          <w:tab w:pos="10267" w:val="right" w:leader="dot"/>
        </w:tabs>
        <w:spacing w:before="68"/>
        <w:ind w:left="2438"/>
      </w:pPr>
      <w:hyperlink w:history="true" w:anchor="_bookmark91">
        <w:r>
          <w:rPr>
            <w:w w:val="105"/>
          </w:rPr>
          <w:t>The benefits</w:t>
        </w:r>
        <w:r>
          <w:rPr>
            <w:spacing w:val="10"/>
            <w:w w:val="105"/>
          </w:rPr>
          <w:t> </w:t>
        </w:r>
        <w:r>
          <w:rPr>
            <w:w w:val="105"/>
          </w:rPr>
          <w:t>of</w:t>
        </w:r>
        <w:r>
          <w:rPr>
            <w:spacing w:val="5"/>
            <w:w w:val="105"/>
          </w:rPr>
          <w:t> </w:t>
        </w:r>
        <w:r>
          <w:rPr>
            <w:w w:val="105"/>
          </w:rPr>
          <w:t>trees</w:t>
          <w:tab/>
        </w:r>
        <w:r>
          <w:rPr>
            <w:spacing w:val="-8"/>
            <w:w w:val="105"/>
          </w:rPr>
          <w:t>173</w:t>
        </w:r>
      </w:hyperlink>
    </w:p>
    <w:p>
      <w:pPr>
        <w:pStyle w:val="BodyText"/>
        <w:tabs>
          <w:tab w:pos="10267" w:val="right" w:leader="dot"/>
        </w:tabs>
        <w:spacing w:before="69"/>
        <w:ind w:left="2438"/>
      </w:pPr>
      <w:hyperlink w:history="true" w:anchor="_bookmark92">
        <w:r>
          <w:rPr>
            <w:w w:val="105"/>
          </w:rPr>
          <w:t>Location and </w:t>
        </w:r>
        <w:r>
          <w:rPr>
            <w:spacing w:val="-3"/>
            <w:w w:val="105"/>
          </w:rPr>
          <w:t>health </w:t>
        </w:r>
        <w:r>
          <w:rPr>
            <w:w w:val="105"/>
          </w:rPr>
          <w:t>of the tree and impact</w:t>
        </w:r>
        <w:r>
          <w:rPr>
            <w:spacing w:val="37"/>
            <w:w w:val="105"/>
          </w:rPr>
          <w:t> </w:t>
        </w:r>
        <w:r>
          <w:rPr>
            <w:w w:val="105"/>
          </w:rPr>
          <w:t>of</w:t>
        </w:r>
        <w:r>
          <w:rPr>
            <w:spacing w:val="5"/>
            <w:w w:val="105"/>
          </w:rPr>
          <w:t> </w:t>
        </w:r>
        <w:r>
          <w:rPr>
            <w:w w:val="105"/>
          </w:rPr>
          <w:t>works</w:t>
          <w:tab/>
        </w:r>
        <w:r>
          <w:rPr>
            <w:spacing w:val="-11"/>
            <w:w w:val="105"/>
          </w:rPr>
          <w:t>174</w:t>
        </w:r>
      </w:hyperlink>
    </w:p>
    <w:p>
      <w:pPr>
        <w:pStyle w:val="BodyText"/>
        <w:tabs>
          <w:tab w:pos="10267" w:val="right" w:leader="dot"/>
        </w:tabs>
        <w:spacing w:before="69"/>
        <w:ind w:left="2437"/>
      </w:pPr>
      <w:hyperlink w:history="true" w:anchor="_bookmark92">
        <w:r>
          <w:rPr>
            <w:w w:val="105"/>
          </w:rPr>
          <w:t>Past actions</w:t>
        </w:r>
        <w:r>
          <w:rPr>
            <w:spacing w:val="10"/>
            <w:w w:val="105"/>
          </w:rPr>
          <w:t> </w:t>
        </w:r>
        <w:r>
          <w:rPr>
            <w:w w:val="105"/>
          </w:rPr>
          <w:t>of</w:t>
        </w:r>
        <w:r>
          <w:rPr>
            <w:spacing w:val="5"/>
            <w:w w:val="105"/>
          </w:rPr>
          <w:t> </w:t>
        </w:r>
        <w:r>
          <w:rPr>
            <w:w w:val="105"/>
          </w:rPr>
          <w:t>parties</w:t>
          <w:tab/>
        </w:r>
        <w:r>
          <w:rPr>
            <w:spacing w:val="-11"/>
            <w:w w:val="105"/>
          </w:rPr>
          <w:t>174</w:t>
        </w:r>
      </w:hyperlink>
    </w:p>
    <w:p>
      <w:pPr>
        <w:pStyle w:val="BodyText"/>
        <w:tabs>
          <w:tab w:pos="10267" w:val="right" w:leader="dot"/>
        </w:tabs>
        <w:spacing w:before="69"/>
        <w:ind w:left="2437"/>
      </w:pPr>
      <w:hyperlink w:history="true" w:anchor="_bookmark93">
        <w:r>
          <w:rPr/>
          <w:t>‘First in</w:t>
        </w:r>
        <w:r>
          <w:rPr>
            <w:spacing w:val="17"/>
          </w:rPr>
          <w:t> </w:t>
        </w:r>
        <w:r>
          <w:rPr>
            <w:spacing w:val="-3"/>
          </w:rPr>
          <w:t>time’</w:t>
        </w:r>
        <w:r>
          <w:rPr>
            <w:spacing w:val="8"/>
          </w:rPr>
          <w:t> </w:t>
        </w:r>
        <w:r>
          <w:rPr>
            <w:spacing w:val="-3"/>
          </w:rPr>
          <w:t>principle</w:t>
          <w:tab/>
        </w:r>
        <w:r>
          <w:rPr>
            <w:spacing w:val="-8"/>
          </w:rPr>
          <w:t>175</w:t>
        </w:r>
      </w:hyperlink>
    </w:p>
    <w:p>
      <w:pPr>
        <w:pStyle w:val="BodyText"/>
        <w:tabs>
          <w:tab w:pos="10267" w:val="right" w:leader="dot"/>
        </w:tabs>
        <w:spacing w:before="68"/>
        <w:ind w:left="2438"/>
      </w:pPr>
      <w:hyperlink w:history="true" w:anchor="_bookmark93">
        <w:r>
          <w:rPr>
            <w:w w:val="105"/>
          </w:rPr>
          <w:t>Recognised</w:t>
        </w:r>
        <w:r>
          <w:rPr>
            <w:spacing w:val="5"/>
            <w:w w:val="105"/>
          </w:rPr>
          <w:t> </w:t>
        </w:r>
        <w:r>
          <w:rPr>
            <w:w w:val="105"/>
          </w:rPr>
          <w:t>weed</w:t>
          <w:tab/>
        </w:r>
        <w:r>
          <w:rPr>
            <w:spacing w:val="-8"/>
            <w:w w:val="105"/>
          </w:rPr>
          <w:t>175</w:t>
        </w:r>
      </w:hyperlink>
    </w:p>
    <w:p>
      <w:pPr>
        <w:pStyle w:val="BodyText"/>
        <w:tabs>
          <w:tab w:pos="10267" w:val="right" w:leader="dot"/>
        </w:tabs>
        <w:spacing w:before="69"/>
        <w:ind w:left="2438"/>
      </w:pPr>
      <w:hyperlink w:history="true" w:anchor="_bookmark93">
        <w:r>
          <w:rPr>
            <w:w w:val="105"/>
          </w:rPr>
          <w:t>Not recommended: </w:t>
        </w:r>
        <w:r>
          <w:rPr>
            <w:spacing w:val="-5"/>
            <w:w w:val="105"/>
          </w:rPr>
          <w:t>Tree </w:t>
        </w:r>
        <w:r>
          <w:rPr>
            <w:spacing w:val="-3"/>
            <w:w w:val="105"/>
          </w:rPr>
          <w:t>removal </w:t>
        </w:r>
        <w:r>
          <w:rPr>
            <w:w w:val="105"/>
          </w:rPr>
          <w:t>as a</w:t>
        </w:r>
        <w:r>
          <w:rPr>
            <w:spacing w:val="30"/>
            <w:w w:val="105"/>
          </w:rPr>
          <w:t> </w:t>
        </w:r>
        <w:r>
          <w:rPr>
            <w:w w:val="105"/>
          </w:rPr>
          <w:t>last</w:t>
        </w:r>
        <w:r>
          <w:rPr>
            <w:spacing w:val="4"/>
            <w:w w:val="105"/>
          </w:rPr>
          <w:t> </w:t>
        </w:r>
        <w:r>
          <w:rPr>
            <w:w w:val="105"/>
          </w:rPr>
          <w:t>resort</w:t>
          <w:tab/>
        </w:r>
        <w:r>
          <w:rPr>
            <w:spacing w:val="-8"/>
            <w:w w:val="105"/>
          </w:rPr>
          <w:t>175</w:t>
        </w:r>
      </w:hyperlink>
    </w:p>
    <w:p>
      <w:pPr>
        <w:pStyle w:val="BodyText"/>
        <w:tabs>
          <w:tab w:pos="10267" w:val="right" w:leader="dot"/>
        </w:tabs>
        <w:spacing w:before="69"/>
        <w:ind w:left="2154"/>
      </w:pPr>
      <w:hyperlink w:history="true" w:anchor="_bookmark94">
        <w:r>
          <w:rPr>
            <w:w w:val="110"/>
          </w:rPr>
          <w:t>Expert</w:t>
        </w:r>
        <w:r>
          <w:rPr>
            <w:spacing w:val="3"/>
            <w:w w:val="110"/>
          </w:rPr>
          <w:t> </w:t>
        </w:r>
        <w:r>
          <w:rPr>
            <w:w w:val="110"/>
          </w:rPr>
          <w:t>evidence</w:t>
          <w:tab/>
        </w:r>
        <w:r>
          <w:rPr>
            <w:spacing w:val="-5"/>
            <w:w w:val="110"/>
          </w:rPr>
          <w:t>177</w:t>
        </w:r>
      </w:hyperlink>
    </w:p>
    <w:p>
      <w:pPr>
        <w:pStyle w:val="BodyText"/>
        <w:tabs>
          <w:tab w:pos="10267" w:val="right" w:leader="dot"/>
        </w:tabs>
        <w:spacing w:before="68"/>
        <w:ind w:left="2437"/>
      </w:pPr>
      <w:r>
        <w:rPr>
          <w:spacing w:val="-3"/>
          <w:w w:val="105"/>
        </w:rPr>
        <w:t>P</w:t>
      </w:r>
      <w:hyperlink w:history="true" w:anchor="_bookmark94">
        <w:r>
          <w:rPr>
            <w:spacing w:val="-3"/>
            <w:w w:val="105"/>
          </w:rPr>
          <w:t>lanning</w:t>
        </w:r>
        <w:r>
          <w:rPr>
            <w:spacing w:val="5"/>
            <w:w w:val="105"/>
          </w:rPr>
          <w:t> </w:t>
        </w:r>
        <w:r>
          <w:rPr>
            <w:w w:val="105"/>
          </w:rPr>
          <w:t>schemes</w:t>
          <w:tab/>
        </w:r>
        <w:r>
          <w:rPr>
            <w:spacing w:val="-7"/>
            <w:w w:val="105"/>
          </w:rPr>
          <w:t>177</w:t>
        </w:r>
      </w:hyperlink>
    </w:p>
    <w:p>
      <w:pPr>
        <w:pStyle w:val="BodyText"/>
        <w:tabs>
          <w:tab w:pos="10267" w:val="right" w:leader="dot"/>
        </w:tabs>
        <w:spacing w:before="69"/>
        <w:ind w:left="2437"/>
      </w:pPr>
      <w:r>
        <w:rPr>
          <w:w w:val="105"/>
        </w:rPr>
        <w:t>Lo</w:t>
      </w:r>
      <w:hyperlink w:history="true" w:anchor="_bookmark95">
        <w:r>
          <w:rPr>
            <w:w w:val="105"/>
          </w:rPr>
          <w:t>cal</w:t>
        </w:r>
        <w:r>
          <w:rPr>
            <w:spacing w:val="5"/>
            <w:w w:val="105"/>
          </w:rPr>
          <w:t> </w:t>
        </w:r>
        <w:r>
          <w:rPr>
            <w:w w:val="105"/>
          </w:rPr>
          <w:t>laws</w:t>
          <w:tab/>
        </w:r>
        <w:r>
          <w:rPr>
            <w:spacing w:val="-8"/>
            <w:w w:val="105"/>
          </w:rPr>
          <w:t>179</w:t>
        </w:r>
      </w:hyperlink>
    </w:p>
    <w:p>
      <w:pPr>
        <w:pStyle w:val="BodyText"/>
        <w:tabs>
          <w:tab w:pos="10267" w:val="right" w:leader="dot"/>
        </w:tabs>
        <w:spacing w:before="69"/>
        <w:ind w:left="2437"/>
      </w:pPr>
      <w:hyperlink w:history="true" w:anchor="_bookmark96">
        <w:r>
          <w:rPr>
            <w:spacing w:val="-9"/>
            <w:w w:val="110"/>
          </w:rPr>
          <w:t>VCAT</w:t>
          <w:tab/>
        </w:r>
        <w:r>
          <w:rPr>
            <w:spacing w:val="-4"/>
            <w:w w:val="110"/>
          </w:rPr>
          <w:t>180</w:t>
        </w:r>
      </w:hyperlink>
    </w:p>
    <w:p>
      <w:pPr>
        <w:pStyle w:val="BodyText"/>
        <w:tabs>
          <w:tab w:pos="10267" w:val="right" w:leader="dot"/>
        </w:tabs>
        <w:spacing w:before="69"/>
        <w:ind w:left="2438"/>
      </w:pPr>
      <w:r>
        <w:rPr>
          <w:w w:val="105"/>
        </w:rPr>
        <w:t>O</w:t>
      </w:r>
      <w:hyperlink w:history="true" w:anchor="_bookmark97">
        <w:r>
          <w:rPr>
            <w:w w:val="105"/>
          </w:rPr>
          <w:t>ther</w:t>
        </w:r>
        <w:r>
          <w:rPr>
            <w:spacing w:val="5"/>
            <w:w w:val="105"/>
          </w:rPr>
          <w:t> </w:t>
        </w:r>
        <w:r>
          <w:rPr>
            <w:w w:val="105"/>
          </w:rPr>
          <w:t>jurisdictions</w:t>
          <w:tab/>
        </w:r>
        <w:r>
          <w:rPr>
            <w:spacing w:val="-5"/>
            <w:w w:val="105"/>
          </w:rPr>
          <w:t>182</w:t>
        </w:r>
      </w:hyperlink>
    </w:p>
    <w:p>
      <w:pPr>
        <w:pStyle w:val="BodyText"/>
        <w:tabs>
          <w:tab w:pos="10267" w:val="right" w:leader="dot"/>
        </w:tabs>
        <w:spacing w:before="68"/>
        <w:ind w:left="2154"/>
      </w:pPr>
      <w:hyperlink w:history="true" w:anchor="_bookmark98">
        <w:r>
          <w:rPr>
            <w:w w:val="110"/>
          </w:rPr>
          <w:t>Community</w:t>
        </w:r>
        <w:r>
          <w:rPr>
            <w:spacing w:val="4"/>
            <w:w w:val="110"/>
          </w:rPr>
          <w:t> </w:t>
        </w:r>
        <w:r>
          <w:rPr>
            <w:w w:val="110"/>
          </w:rPr>
          <w:t>responses—expert</w:t>
        </w:r>
        <w:r>
          <w:rPr>
            <w:spacing w:val="4"/>
            <w:w w:val="110"/>
          </w:rPr>
          <w:t> </w:t>
        </w:r>
        <w:r>
          <w:rPr>
            <w:w w:val="110"/>
          </w:rPr>
          <w:t>evidence</w:t>
          <w:tab/>
          <w:t>184</w:t>
        </w:r>
      </w:hyperlink>
    </w:p>
    <w:p>
      <w:pPr>
        <w:pStyle w:val="BodyText"/>
        <w:tabs>
          <w:tab w:pos="10267" w:val="right" w:leader="dot"/>
        </w:tabs>
        <w:spacing w:before="69"/>
        <w:ind w:left="2154"/>
      </w:pPr>
      <w:hyperlink w:history="true" w:anchor="_bookmark99">
        <w:r>
          <w:rPr>
            <w:w w:val="110"/>
          </w:rPr>
          <w:t>The Commission’s</w:t>
        </w:r>
        <w:r>
          <w:rPr>
            <w:spacing w:val="8"/>
            <w:w w:val="110"/>
          </w:rPr>
          <w:t> </w:t>
        </w:r>
        <w:r>
          <w:rPr>
            <w:w w:val="110"/>
          </w:rPr>
          <w:t>conclusions—expert</w:t>
        </w:r>
        <w:r>
          <w:rPr>
            <w:spacing w:val="4"/>
            <w:w w:val="110"/>
          </w:rPr>
          <w:t> </w:t>
        </w:r>
        <w:r>
          <w:rPr>
            <w:w w:val="110"/>
          </w:rPr>
          <w:t>evidence</w:t>
          <w:tab/>
        </w:r>
        <w:r>
          <w:rPr>
            <w:spacing w:val="-4"/>
            <w:w w:val="110"/>
          </w:rPr>
          <w:t>187</w:t>
        </w:r>
      </w:hyperlink>
    </w:p>
    <w:p>
      <w:pPr>
        <w:pStyle w:val="BodyText"/>
        <w:tabs>
          <w:tab w:pos="10267" w:val="right" w:leader="dot"/>
        </w:tabs>
        <w:spacing w:before="69"/>
        <w:ind w:left="2438"/>
      </w:pPr>
      <w:hyperlink w:history="true" w:anchor="_bookmark99">
        <w:r>
          <w:rPr>
            <w:w w:val="105"/>
          </w:rPr>
          <w:t>Evidence-based</w:t>
        </w:r>
        <w:r>
          <w:rPr>
            <w:spacing w:val="5"/>
            <w:w w:val="105"/>
          </w:rPr>
          <w:t> </w:t>
        </w:r>
        <w:r>
          <w:rPr>
            <w:w w:val="105"/>
          </w:rPr>
          <w:t>decision</w:t>
        </w:r>
        <w:r>
          <w:rPr>
            <w:spacing w:val="5"/>
            <w:w w:val="105"/>
          </w:rPr>
          <w:t> </w:t>
        </w:r>
        <w:r>
          <w:rPr>
            <w:spacing w:val="-3"/>
            <w:w w:val="105"/>
          </w:rPr>
          <w:t>making</w:t>
          <w:tab/>
        </w:r>
        <w:r>
          <w:rPr>
            <w:spacing w:val="-6"/>
            <w:w w:val="105"/>
          </w:rPr>
          <w:t>187</w:t>
        </w:r>
      </w:hyperlink>
    </w:p>
    <w:p>
      <w:pPr>
        <w:pStyle w:val="BodyText"/>
        <w:tabs>
          <w:tab w:pos="10267" w:val="right" w:leader="dot"/>
        </w:tabs>
        <w:spacing w:before="69"/>
        <w:ind w:left="2438"/>
      </w:pPr>
      <w:hyperlink w:history="true" w:anchor="_bookmark100">
        <w:r>
          <w:rPr>
            <w:spacing w:val="-3"/>
            <w:w w:val="105"/>
          </w:rPr>
          <w:t>Minimum</w:t>
        </w:r>
        <w:r>
          <w:rPr>
            <w:spacing w:val="5"/>
            <w:w w:val="105"/>
          </w:rPr>
          <w:t> </w:t>
        </w:r>
        <w:r>
          <w:rPr>
            <w:spacing w:val="-2"/>
            <w:w w:val="105"/>
          </w:rPr>
          <w:t>qualification</w:t>
        </w:r>
        <w:r>
          <w:rPr>
            <w:spacing w:val="5"/>
            <w:w w:val="105"/>
          </w:rPr>
          <w:t> </w:t>
        </w:r>
        <w:r>
          <w:rPr>
            <w:spacing w:val="-3"/>
            <w:w w:val="105"/>
          </w:rPr>
          <w:t>requirements</w:t>
          <w:tab/>
        </w:r>
        <w:r>
          <w:rPr>
            <w:spacing w:val="-4"/>
            <w:w w:val="105"/>
          </w:rPr>
          <w:t>188</w:t>
        </w:r>
      </w:hyperlink>
    </w:p>
    <w:p>
      <w:pPr>
        <w:pStyle w:val="BodyText"/>
        <w:tabs>
          <w:tab w:pos="10267" w:val="right" w:leader="dot"/>
        </w:tabs>
        <w:spacing w:before="68"/>
        <w:ind w:left="2438"/>
      </w:pPr>
      <w:hyperlink w:history="true" w:anchor="_bookmark101">
        <w:r>
          <w:rPr>
            <w:w w:val="105"/>
          </w:rPr>
          <w:t>Expert’s duty</w:t>
        </w:r>
        <w:r>
          <w:rPr>
            <w:spacing w:val="11"/>
            <w:w w:val="105"/>
          </w:rPr>
          <w:t> </w:t>
        </w:r>
        <w:r>
          <w:rPr>
            <w:spacing w:val="-3"/>
            <w:w w:val="105"/>
          </w:rPr>
          <w:t>to</w:t>
        </w:r>
        <w:r>
          <w:rPr>
            <w:spacing w:val="6"/>
            <w:w w:val="105"/>
          </w:rPr>
          <w:t> </w:t>
        </w:r>
        <w:r>
          <w:rPr>
            <w:spacing w:val="-5"/>
            <w:w w:val="105"/>
          </w:rPr>
          <w:t>VCAT</w:t>
          <w:tab/>
          <w:t>189</w:t>
        </w:r>
      </w:hyperlink>
    </w:p>
    <w:p>
      <w:pPr>
        <w:pStyle w:val="BodyText"/>
        <w:tabs>
          <w:tab w:pos="10267" w:val="right" w:leader="dot"/>
        </w:tabs>
        <w:spacing w:before="69"/>
        <w:ind w:left="2438"/>
      </w:pPr>
      <w:hyperlink w:history="true" w:anchor="_bookmark101">
        <w:r>
          <w:rPr>
            <w:spacing w:val="-4"/>
            <w:w w:val="105"/>
          </w:rPr>
          <w:t>Concurrent</w:t>
        </w:r>
        <w:r>
          <w:rPr>
            <w:spacing w:val="5"/>
            <w:w w:val="105"/>
          </w:rPr>
          <w:t> </w:t>
        </w:r>
        <w:r>
          <w:rPr>
            <w:w w:val="105"/>
          </w:rPr>
          <w:t>evidence</w:t>
          <w:tab/>
        </w:r>
        <w:r>
          <w:rPr>
            <w:spacing w:val="-5"/>
            <w:w w:val="105"/>
          </w:rPr>
          <w:t>189</w:t>
        </w:r>
      </w:hyperlink>
    </w:p>
    <w:p>
      <w:pPr>
        <w:pStyle w:val="BodyText"/>
        <w:tabs>
          <w:tab w:pos="10267" w:val="right" w:leader="dot"/>
        </w:tabs>
        <w:spacing w:before="69"/>
        <w:ind w:left="2437"/>
      </w:pPr>
      <w:hyperlink w:history="true" w:anchor="_bookmark102">
        <w:r>
          <w:rPr>
            <w:spacing w:val="-3"/>
            <w:w w:val="105"/>
          </w:rPr>
          <w:t>Guidelines for</w:t>
        </w:r>
        <w:r>
          <w:rPr>
            <w:spacing w:val="13"/>
            <w:w w:val="105"/>
          </w:rPr>
          <w:t> </w:t>
        </w:r>
        <w:r>
          <w:rPr>
            <w:w w:val="105"/>
          </w:rPr>
          <w:t>written</w:t>
        </w:r>
        <w:r>
          <w:rPr>
            <w:spacing w:val="5"/>
            <w:w w:val="105"/>
          </w:rPr>
          <w:t> </w:t>
        </w:r>
        <w:r>
          <w:rPr>
            <w:w w:val="105"/>
          </w:rPr>
          <w:t>reports</w:t>
          <w:tab/>
        </w:r>
        <w:r>
          <w:rPr>
            <w:spacing w:val="-4"/>
            <w:w w:val="105"/>
          </w:rPr>
          <w:t>190</w:t>
        </w:r>
      </w:hyperlink>
    </w:p>
    <w:p>
      <w:pPr>
        <w:pStyle w:val="Heading9"/>
        <w:numPr>
          <w:ilvl w:val="0"/>
          <w:numId w:val="1"/>
        </w:numPr>
        <w:tabs>
          <w:tab w:pos="1928" w:val="left" w:leader="none"/>
          <w:tab w:pos="10267" w:val="right" w:leader="dot"/>
        </w:tabs>
        <w:spacing w:line="240" w:lineRule="auto" w:before="69" w:after="0"/>
        <w:ind w:left="1927" w:right="0" w:hanging="340"/>
        <w:jc w:val="left"/>
      </w:pPr>
      <w:hyperlink w:history="true" w:anchor="_bookmark103">
        <w:r>
          <w:rPr>
            <w:color w:val="658464"/>
            <w:w w:val="110"/>
          </w:rPr>
          <w:t>Orders, appeals and enforcement in neighbourhood</w:t>
        </w:r>
        <w:r>
          <w:rPr>
            <w:color w:val="658464"/>
            <w:spacing w:val="37"/>
            <w:w w:val="110"/>
          </w:rPr>
          <w:t> </w:t>
        </w:r>
        <w:r>
          <w:rPr>
            <w:color w:val="658464"/>
            <w:w w:val="110"/>
          </w:rPr>
          <w:t>tree</w:t>
        </w:r>
        <w:r>
          <w:rPr>
            <w:color w:val="658464"/>
            <w:spacing w:val="6"/>
            <w:w w:val="110"/>
          </w:rPr>
          <w:t> </w:t>
        </w:r>
        <w:r>
          <w:rPr>
            <w:color w:val="658464"/>
            <w:w w:val="110"/>
          </w:rPr>
          <w:t>disputes</w:t>
          <w:tab/>
          <w:t>194</w:t>
        </w:r>
      </w:hyperlink>
    </w:p>
    <w:p>
      <w:pPr>
        <w:pStyle w:val="BodyText"/>
        <w:tabs>
          <w:tab w:pos="10267" w:val="right" w:leader="dot"/>
        </w:tabs>
        <w:spacing w:before="68"/>
        <w:ind w:left="2154"/>
      </w:pPr>
      <w:hyperlink w:history="true" w:anchor="_bookmark103">
        <w:r>
          <w:rPr>
            <w:w w:val="110"/>
          </w:rPr>
          <w:t>Introduction</w:t>
          <w:tab/>
        </w:r>
        <w:r>
          <w:rPr>
            <w:spacing w:val="-3"/>
            <w:w w:val="110"/>
          </w:rPr>
          <w:t>194</w:t>
        </w:r>
      </w:hyperlink>
    </w:p>
    <w:p>
      <w:pPr>
        <w:pStyle w:val="BodyText"/>
        <w:tabs>
          <w:tab w:pos="10267" w:val="right" w:leader="dot"/>
        </w:tabs>
        <w:spacing w:before="69"/>
        <w:ind w:left="2154"/>
      </w:pPr>
      <w:hyperlink w:history="true" w:anchor="_bookmark103">
        <w:r>
          <w:rPr>
            <w:w w:val="115"/>
          </w:rPr>
          <w:t>Other jurisdictions—orders </w:t>
        </w:r>
        <w:r>
          <w:rPr>
            <w:spacing w:val="-3"/>
            <w:w w:val="115"/>
          </w:rPr>
          <w:t>available</w:t>
          <w:tab/>
          <w:t>194</w:t>
        </w:r>
      </w:hyperlink>
    </w:p>
    <w:p>
      <w:pPr>
        <w:pStyle w:val="BodyText"/>
        <w:tabs>
          <w:tab w:pos="10267" w:val="right" w:leader="dot"/>
        </w:tabs>
        <w:spacing w:before="69"/>
        <w:ind w:left="2154"/>
      </w:pPr>
      <w:hyperlink w:history="true" w:anchor="_bookmark104">
        <w:r>
          <w:rPr>
            <w:w w:val="110"/>
          </w:rPr>
          <w:t>Community</w:t>
        </w:r>
        <w:r>
          <w:rPr>
            <w:spacing w:val="4"/>
            <w:w w:val="110"/>
          </w:rPr>
          <w:t> </w:t>
        </w:r>
        <w:r>
          <w:rPr>
            <w:w w:val="110"/>
          </w:rPr>
          <w:t>responses—orders</w:t>
        </w:r>
        <w:r>
          <w:rPr>
            <w:spacing w:val="5"/>
            <w:w w:val="110"/>
          </w:rPr>
          <w:t> </w:t>
        </w:r>
        <w:r>
          <w:rPr>
            <w:spacing w:val="-3"/>
            <w:w w:val="110"/>
          </w:rPr>
          <w:t>available</w:t>
          <w:tab/>
          <w:t>196</w:t>
        </w:r>
      </w:hyperlink>
    </w:p>
    <w:p>
      <w:pPr>
        <w:pStyle w:val="BodyText"/>
        <w:tabs>
          <w:tab w:pos="10267" w:val="right" w:leader="dot"/>
        </w:tabs>
        <w:spacing w:before="68"/>
        <w:ind w:left="2154"/>
      </w:pPr>
      <w:hyperlink w:history="true" w:anchor="_bookmark105">
        <w:r>
          <w:rPr>
            <w:w w:val="115"/>
          </w:rPr>
          <w:t>The Commission’s</w:t>
        </w:r>
        <w:r>
          <w:rPr>
            <w:spacing w:val="-3"/>
            <w:w w:val="115"/>
          </w:rPr>
          <w:t> </w:t>
        </w:r>
        <w:r>
          <w:rPr>
            <w:w w:val="115"/>
          </w:rPr>
          <w:t>conclusions—orders</w:t>
        </w:r>
        <w:r>
          <w:rPr>
            <w:spacing w:val="-2"/>
            <w:w w:val="115"/>
          </w:rPr>
          <w:t> </w:t>
        </w:r>
        <w:r>
          <w:rPr>
            <w:spacing w:val="-3"/>
            <w:w w:val="115"/>
          </w:rPr>
          <w:t>available</w:t>
          <w:tab/>
        </w:r>
        <w:r>
          <w:rPr>
            <w:spacing w:val="-5"/>
            <w:w w:val="115"/>
          </w:rPr>
          <w:t>197</w:t>
        </w:r>
      </w:hyperlink>
    </w:p>
    <w:p>
      <w:pPr>
        <w:pStyle w:val="BodyText"/>
        <w:tabs>
          <w:tab w:pos="10267" w:val="right" w:leader="dot"/>
        </w:tabs>
        <w:spacing w:before="69"/>
        <w:ind w:left="2437"/>
      </w:pPr>
      <w:hyperlink w:history="true" w:anchor="_bookmark105">
        <w:r>
          <w:rPr>
            <w:spacing w:val="-3"/>
            <w:w w:val="105"/>
          </w:rPr>
          <w:t>Access to </w:t>
        </w:r>
        <w:r>
          <w:rPr>
            <w:w w:val="105"/>
          </w:rPr>
          <w:t>a</w:t>
        </w:r>
        <w:r>
          <w:rPr>
            <w:spacing w:val="23"/>
            <w:w w:val="105"/>
          </w:rPr>
          <w:t> </w:t>
        </w:r>
        <w:r>
          <w:rPr>
            <w:spacing w:val="-3"/>
            <w:w w:val="105"/>
          </w:rPr>
          <w:t>neighbour’s</w:t>
        </w:r>
        <w:r>
          <w:rPr>
            <w:spacing w:val="6"/>
            <w:w w:val="105"/>
          </w:rPr>
          <w:t> </w:t>
        </w:r>
        <w:r>
          <w:rPr>
            <w:spacing w:val="-3"/>
            <w:w w:val="105"/>
          </w:rPr>
          <w:t>land</w:t>
          <w:tab/>
        </w:r>
        <w:r>
          <w:rPr>
            <w:spacing w:val="-7"/>
            <w:w w:val="105"/>
          </w:rPr>
          <w:t>197</w:t>
        </w:r>
      </w:hyperlink>
    </w:p>
    <w:p>
      <w:pPr>
        <w:pStyle w:val="BodyText"/>
        <w:tabs>
          <w:tab w:pos="10267" w:val="right" w:leader="dot"/>
        </w:tabs>
        <w:spacing w:before="69"/>
        <w:ind w:left="2437"/>
      </w:pPr>
      <w:hyperlink w:history="true" w:anchor="_bookmark106">
        <w:r>
          <w:rPr>
            <w:spacing w:val="-3"/>
            <w:w w:val="105"/>
          </w:rPr>
          <w:t>Planting </w:t>
        </w:r>
        <w:r>
          <w:rPr>
            <w:w w:val="105"/>
          </w:rPr>
          <w:t>a</w:t>
        </w:r>
        <w:r>
          <w:rPr>
            <w:spacing w:val="13"/>
            <w:w w:val="105"/>
          </w:rPr>
          <w:t> </w:t>
        </w:r>
        <w:r>
          <w:rPr>
            <w:spacing w:val="-3"/>
            <w:w w:val="105"/>
          </w:rPr>
          <w:t>replacement</w:t>
        </w:r>
        <w:r>
          <w:rPr>
            <w:spacing w:val="5"/>
            <w:w w:val="105"/>
          </w:rPr>
          <w:t> </w:t>
        </w:r>
        <w:r>
          <w:rPr>
            <w:w w:val="105"/>
          </w:rPr>
          <w:t>tree</w:t>
          <w:tab/>
        </w:r>
        <w:r>
          <w:rPr>
            <w:spacing w:val="-5"/>
            <w:w w:val="105"/>
          </w:rPr>
          <w:t>198</w:t>
        </w:r>
      </w:hyperlink>
    </w:p>
    <w:p>
      <w:pPr>
        <w:pStyle w:val="BodyText"/>
        <w:tabs>
          <w:tab w:pos="10267" w:val="right" w:leader="dot"/>
        </w:tabs>
        <w:spacing w:before="69"/>
        <w:ind w:left="2437"/>
      </w:pPr>
      <w:hyperlink w:history="true" w:anchor="_bookmark106">
        <w:r>
          <w:rPr>
            <w:w w:val="105"/>
          </w:rPr>
          <w:t>Ongoing</w:t>
        </w:r>
        <w:r>
          <w:rPr>
            <w:spacing w:val="5"/>
            <w:w w:val="105"/>
          </w:rPr>
          <w:t> </w:t>
        </w:r>
        <w:r>
          <w:rPr>
            <w:spacing w:val="-3"/>
            <w:w w:val="105"/>
          </w:rPr>
          <w:t>maintenance</w:t>
        </w:r>
        <w:r>
          <w:rPr>
            <w:spacing w:val="6"/>
            <w:w w:val="105"/>
          </w:rPr>
          <w:t> </w:t>
        </w:r>
        <w:r>
          <w:rPr>
            <w:w w:val="105"/>
          </w:rPr>
          <w:t>orders</w:t>
          <w:tab/>
        </w:r>
        <w:r>
          <w:rPr>
            <w:spacing w:val="-5"/>
            <w:w w:val="105"/>
          </w:rPr>
          <w:t>198</w:t>
        </w:r>
      </w:hyperlink>
    </w:p>
    <w:p>
      <w:pPr>
        <w:pStyle w:val="BodyText"/>
        <w:tabs>
          <w:tab w:pos="10267" w:val="right" w:leader="dot"/>
        </w:tabs>
        <w:spacing w:before="68"/>
        <w:ind w:left="2437"/>
      </w:pPr>
      <w:hyperlink w:history="true" w:anchor="_bookmark107">
        <w:r>
          <w:rPr>
            <w:spacing w:val="-3"/>
            <w:w w:val="105"/>
          </w:rPr>
          <w:t>Australian Standards </w:t>
        </w:r>
        <w:r>
          <w:rPr>
            <w:w w:val="105"/>
          </w:rPr>
          <w:t>and</w:t>
        </w:r>
        <w:r>
          <w:rPr>
            <w:spacing w:val="20"/>
            <w:w w:val="105"/>
          </w:rPr>
          <w:t> </w:t>
        </w:r>
        <w:r>
          <w:rPr>
            <w:w w:val="105"/>
          </w:rPr>
          <w:t>arborist</w:t>
        </w:r>
        <w:r>
          <w:rPr>
            <w:spacing w:val="5"/>
            <w:w w:val="105"/>
          </w:rPr>
          <w:t> </w:t>
        </w:r>
        <w:r>
          <w:rPr>
            <w:spacing w:val="-3"/>
            <w:w w:val="105"/>
          </w:rPr>
          <w:t>qualifications</w:t>
          <w:tab/>
        </w:r>
        <w:r>
          <w:rPr>
            <w:spacing w:val="-5"/>
            <w:w w:val="105"/>
          </w:rPr>
          <w:t>199</w:t>
        </w:r>
      </w:hyperlink>
    </w:p>
    <w:p>
      <w:pPr>
        <w:pStyle w:val="BodyText"/>
        <w:tabs>
          <w:tab w:pos="10267" w:val="right" w:leader="dot"/>
        </w:tabs>
        <w:spacing w:before="69"/>
        <w:ind w:left="2437"/>
      </w:pPr>
      <w:hyperlink w:history="true" w:anchor="_bookmark108">
        <w:r>
          <w:rPr>
            <w:w w:val="105"/>
          </w:rPr>
          <w:t>Not recommended: </w:t>
        </w:r>
        <w:r>
          <w:rPr>
            <w:spacing w:val="-5"/>
            <w:w w:val="105"/>
          </w:rPr>
          <w:t>Tree </w:t>
        </w:r>
        <w:r>
          <w:rPr>
            <w:spacing w:val="-3"/>
            <w:w w:val="105"/>
          </w:rPr>
          <w:t>removal </w:t>
        </w:r>
        <w:r>
          <w:rPr>
            <w:w w:val="105"/>
          </w:rPr>
          <w:t>as a</w:t>
        </w:r>
        <w:r>
          <w:rPr>
            <w:spacing w:val="30"/>
            <w:w w:val="105"/>
          </w:rPr>
          <w:t> </w:t>
        </w:r>
        <w:r>
          <w:rPr>
            <w:w w:val="105"/>
          </w:rPr>
          <w:t>last</w:t>
        </w:r>
        <w:r>
          <w:rPr>
            <w:spacing w:val="3"/>
            <w:w w:val="105"/>
          </w:rPr>
          <w:t> </w:t>
        </w:r>
        <w:r>
          <w:rPr>
            <w:w w:val="105"/>
          </w:rPr>
          <w:t>resort</w:t>
          <w:tab/>
          <w:t>200</w:t>
        </w:r>
      </w:hyperlink>
    </w:p>
    <w:p>
      <w:pPr>
        <w:pStyle w:val="BodyText"/>
        <w:tabs>
          <w:tab w:pos="10266" w:val="right" w:leader="dot"/>
        </w:tabs>
        <w:spacing w:before="69"/>
        <w:ind w:left="2437"/>
      </w:pPr>
      <w:hyperlink w:history="true" w:anchor="_bookmark108">
        <w:r>
          <w:rPr>
            <w:w w:val="105"/>
          </w:rPr>
          <w:t>Legal</w:t>
        </w:r>
        <w:r>
          <w:rPr>
            <w:spacing w:val="5"/>
            <w:w w:val="105"/>
          </w:rPr>
          <w:t> </w:t>
        </w:r>
        <w:r>
          <w:rPr>
            <w:w w:val="105"/>
          </w:rPr>
          <w:t>costs</w:t>
          <w:tab/>
          <w:t>200</w:t>
        </w:r>
      </w:hyperlink>
    </w:p>
    <w:p>
      <w:pPr>
        <w:pStyle w:val="BodyText"/>
        <w:tabs>
          <w:tab w:pos="10257" w:val="right" w:leader="dot"/>
        </w:tabs>
        <w:spacing w:before="69"/>
        <w:ind w:left="2437"/>
      </w:pPr>
      <w:hyperlink w:history="true" w:anchor="_bookmark109">
        <w:r>
          <w:rPr>
            <w:w w:val="105"/>
          </w:rPr>
          <w:t>Notification</w:t>
        </w:r>
        <w:r>
          <w:rPr>
            <w:spacing w:val="5"/>
            <w:w w:val="105"/>
          </w:rPr>
          <w:t> </w:t>
        </w:r>
        <w:r>
          <w:rPr>
            <w:w w:val="105"/>
          </w:rPr>
          <w:t>of</w:t>
        </w:r>
        <w:r>
          <w:rPr>
            <w:spacing w:val="5"/>
            <w:w w:val="105"/>
          </w:rPr>
          <w:t> </w:t>
        </w:r>
        <w:r>
          <w:rPr>
            <w:w w:val="105"/>
          </w:rPr>
          <w:t>orders</w:t>
          <w:tab/>
        </w:r>
        <w:r>
          <w:rPr>
            <w:spacing w:val="-9"/>
            <w:w w:val="105"/>
          </w:rPr>
          <w:t>201</w:t>
        </w:r>
      </w:hyperlink>
    </w:p>
    <w:p>
      <w:pPr>
        <w:pStyle w:val="BodyText"/>
        <w:tabs>
          <w:tab w:pos="10260" w:val="right" w:leader="dot"/>
        </w:tabs>
        <w:spacing w:before="68"/>
        <w:ind w:left="2154"/>
      </w:pPr>
      <w:hyperlink w:history="true" w:anchor="_bookmark109">
        <w:r>
          <w:rPr>
            <w:w w:val="110"/>
          </w:rPr>
          <w:t>Appeals</w:t>
          <w:tab/>
        </w:r>
        <w:r>
          <w:rPr>
            <w:spacing w:val="-6"/>
            <w:w w:val="110"/>
          </w:rPr>
          <w:t>201</w:t>
        </w:r>
      </w:hyperlink>
    </w:p>
    <w:p>
      <w:pPr>
        <w:pStyle w:val="BodyText"/>
        <w:tabs>
          <w:tab w:pos="10257" w:val="right" w:leader="dot"/>
        </w:tabs>
        <w:spacing w:before="69"/>
        <w:ind w:left="2437"/>
      </w:pPr>
      <w:hyperlink w:history="true" w:anchor="_bookmark109">
        <w:r>
          <w:rPr>
            <w:spacing w:val="-3"/>
            <w:w w:val="105"/>
          </w:rPr>
          <w:t>Appealing</w:t>
        </w:r>
        <w:r>
          <w:rPr>
            <w:spacing w:val="6"/>
            <w:w w:val="105"/>
          </w:rPr>
          <w:t> </w:t>
        </w:r>
        <w:r>
          <w:rPr>
            <w:spacing w:val="-5"/>
            <w:w w:val="105"/>
          </w:rPr>
          <w:t>VCAT</w:t>
        </w:r>
        <w:r>
          <w:rPr>
            <w:spacing w:val="6"/>
            <w:w w:val="105"/>
          </w:rPr>
          <w:t> </w:t>
        </w:r>
        <w:r>
          <w:rPr>
            <w:w w:val="105"/>
          </w:rPr>
          <w:t>orders</w:t>
          <w:tab/>
        </w:r>
        <w:r>
          <w:rPr>
            <w:spacing w:val="-9"/>
            <w:w w:val="105"/>
          </w:rPr>
          <w:t>201</w:t>
        </w:r>
      </w:hyperlink>
    </w:p>
    <w:p>
      <w:pPr>
        <w:pStyle w:val="BodyText"/>
        <w:tabs>
          <w:tab w:pos="10264" w:val="right" w:leader="dot"/>
        </w:tabs>
        <w:spacing w:before="69"/>
        <w:ind w:left="2154"/>
      </w:pPr>
      <w:hyperlink w:history="true" w:anchor="_bookmark110">
        <w:r>
          <w:rPr>
            <w:w w:val="115"/>
          </w:rPr>
          <w:t>Other jurisdictions—appeals</w:t>
          <w:tab/>
        </w:r>
        <w:r>
          <w:rPr>
            <w:spacing w:val="-3"/>
            <w:w w:val="115"/>
          </w:rPr>
          <w:t>203</w:t>
        </w:r>
      </w:hyperlink>
    </w:p>
    <w:p>
      <w:pPr>
        <w:pStyle w:val="BodyText"/>
        <w:tabs>
          <w:tab w:pos="10267" w:val="right" w:leader="dot"/>
        </w:tabs>
        <w:spacing w:before="68"/>
        <w:ind w:left="2154"/>
      </w:pPr>
      <w:hyperlink w:history="true" w:anchor="_bookmark111">
        <w:r>
          <w:rPr>
            <w:w w:val="110"/>
          </w:rPr>
          <w:t>Community</w:t>
        </w:r>
        <w:r>
          <w:rPr>
            <w:spacing w:val="3"/>
            <w:w w:val="110"/>
          </w:rPr>
          <w:t> </w:t>
        </w:r>
        <w:r>
          <w:rPr>
            <w:w w:val="110"/>
          </w:rPr>
          <w:t>responses—appeals</w:t>
          <w:tab/>
          <w:t>204</w:t>
        </w:r>
      </w:hyperlink>
    </w:p>
    <w:p>
      <w:pPr>
        <w:pStyle w:val="BodyText"/>
        <w:rPr>
          <w:sz w:val="28"/>
        </w:rPr>
      </w:pPr>
    </w:p>
    <w:p>
      <w:pPr>
        <w:pStyle w:val="BodyText"/>
        <w:rPr>
          <w:sz w:val="28"/>
        </w:rPr>
      </w:pPr>
    </w:p>
    <w:p>
      <w:pPr>
        <w:pStyle w:val="BodyText"/>
        <w:rPr>
          <w:sz w:val="28"/>
        </w:rPr>
      </w:pPr>
    </w:p>
    <w:p>
      <w:pPr>
        <w:pStyle w:val="BodyText"/>
        <w:spacing w:before="5"/>
        <w:rPr>
          <w:sz w:val="39"/>
        </w:rPr>
      </w:pPr>
    </w:p>
    <w:p>
      <w:pPr>
        <w:spacing w:before="0"/>
        <w:ind w:left="720" w:right="0" w:firstLine="0"/>
        <w:jc w:val="left"/>
        <w:rPr>
          <w:b/>
          <w:sz w:val="24"/>
        </w:rPr>
      </w:pPr>
      <w:r>
        <w:rPr>
          <w:b/>
          <w:color w:val="658464"/>
          <w:w w:val="115"/>
          <w:sz w:val="24"/>
        </w:rPr>
        <w:t>vi</w:t>
      </w:r>
    </w:p>
    <w:p>
      <w:pPr>
        <w:spacing w:after="0"/>
        <w:jc w:val="left"/>
        <w:rPr>
          <w:sz w:val="24"/>
        </w:rPr>
        <w:sectPr>
          <w:pgSz w:w="11910" w:h="16840"/>
          <w:pgMar w:header="1372" w:footer="0" w:top="1560" w:bottom="280" w:left="0" w:right="0"/>
        </w:sectPr>
      </w:pPr>
    </w:p>
    <w:p>
      <w:pPr>
        <w:pStyle w:val="BodyText"/>
        <w:spacing w:before="4"/>
        <w:rPr>
          <w:b/>
          <w:sz w:val="22"/>
        </w:rPr>
      </w:pPr>
    </w:p>
    <w:p>
      <w:pPr>
        <w:pStyle w:val="BodyText"/>
        <w:tabs>
          <w:tab w:pos="10267" w:val="right" w:leader="dot"/>
        </w:tabs>
        <w:spacing w:before="97"/>
        <w:ind w:left="2154"/>
      </w:pPr>
      <w:hyperlink w:history="true" w:anchor="_bookmark112">
        <w:r>
          <w:rPr>
            <w:w w:val="110"/>
          </w:rPr>
          <w:t>The</w:t>
        </w:r>
        <w:r>
          <w:rPr>
            <w:spacing w:val="3"/>
            <w:w w:val="110"/>
          </w:rPr>
          <w:t> </w:t>
        </w:r>
        <w:r>
          <w:rPr>
            <w:w w:val="110"/>
          </w:rPr>
          <w:t>Commission’s</w:t>
        </w:r>
        <w:r>
          <w:rPr>
            <w:spacing w:val="4"/>
            <w:w w:val="110"/>
          </w:rPr>
          <w:t> </w:t>
        </w:r>
        <w:r>
          <w:rPr>
            <w:w w:val="110"/>
          </w:rPr>
          <w:t>conclusions—appeals</w:t>
          <w:tab/>
          <w:t>205</w:t>
        </w:r>
      </w:hyperlink>
    </w:p>
    <w:p>
      <w:pPr>
        <w:pStyle w:val="BodyText"/>
        <w:tabs>
          <w:tab w:pos="10267" w:val="right" w:leader="dot"/>
        </w:tabs>
        <w:spacing w:before="68"/>
        <w:ind w:left="2437"/>
      </w:pPr>
      <w:hyperlink w:history="true" w:anchor="_bookmark112">
        <w:r>
          <w:rPr>
            <w:spacing w:val="-3"/>
            <w:w w:val="105"/>
          </w:rPr>
          <w:t>Varying </w:t>
        </w:r>
        <w:r>
          <w:rPr>
            <w:w w:val="105"/>
          </w:rPr>
          <w:t>or </w:t>
        </w:r>
        <w:r>
          <w:rPr>
            <w:spacing w:val="-3"/>
            <w:w w:val="105"/>
          </w:rPr>
          <w:t>revoking</w:t>
        </w:r>
        <w:r>
          <w:rPr>
            <w:spacing w:val="19"/>
            <w:w w:val="105"/>
          </w:rPr>
          <w:t> </w:t>
        </w:r>
        <w:r>
          <w:rPr>
            <w:w w:val="105"/>
          </w:rPr>
          <w:t>an</w:t>
        </w:r>
        <w:r>
          <w:rPr>
            <w:spacing w:val="5"/>
            <w:w w:val="105"/>
          </w:rPr>
          <w:t> </w:t>
        </w:r>
        <w:r>
          <w:rPr>
            <w:w w:val="105"/>
          </w:rPr>
          <w:t>order</w:t>
          <w:tab/>
        </w:r>
        <w:r>
          <w:rPr>
            <w:spacing w:val="-3"/>
            <w:w w:val="105"/>
          </w:rPr>
          <w:t>205</w:t>
        </w:r>
      </w:hyperlink>
    </w:p>
    <w:p>
      <w:pPr>
        <w:pStyle w:val="BodyText"/>
        <w:tabs>
          <w:tab w:pos="10263" w:val="right" w:leader="dot"/>
        </w:tabs>
        <w:spacing w:before="69"/>
        <w:ind w:left="2154"/>
      </w:pPr>
      <w:hyperlink w:history="true" w:anchor="_bookmark113">
        <w:r>
          <w:rPr>
            <w:w w:val="115"/>
          </w:rPr>
          <w:t>Enforcement of orders</w:t>
          <w:tab/>
        </w:r>
        <w:r>
          <w:rPr>
            <w:spacing w:val="-4"/>
            <w:w w:val="115"/>
          </w:rPr>
          <w:t>207</w:t>
        </w:r>
      </w:hyperlink>
    </w:p>
    <w:p>
      <w:pPr>
        <w:pStyle w:val="BodyText"/>
        <w:tabs>
          <w:tab w:pos="10267" w:val="right" w:leader="dot"/>
        </w:tabs>
        <w:spacing w:before="69"/>
        <w:ind w:left="2437"/>
      </w:pPr>
      <w:hyperlink w:history="true" w:anchor="_bookmark113">
        <w:r>
          <w:rPr>
            <w:spacing w:val="-3"/>
            <w:w w:val="105"/>
          </w:rPr>
          <w:t>Enforcement</w:t>
        </w:r>
        <w:r>
          <w:rPr>
            <w:spacing w:val="5"/>
            <w:w w:val="105"/>
          </w:rPr>
          <w:t> </w:t>
        </w:r>
        <w:r>
          <w:rPr>
            <w:w w:val="105"/>
          </w:rPr>
          <w:t>in</w:t>
        </w:r>
        <w:r>
          <w:rPr>
            <w:spacing w:val="6"/>
            <w:w w:val="105"/>
          </w:rPr>
          <w:t> </w:t>
        </w:r>
        <w:r>
          <w:rPr>
            <w:spacing w:val="-5"/>
            <w:w w:val="105"/>
          </w:rPr>
          <w:t>VCAT</w:t>
          <w:tab/>
          <w:t>207</w:t>
        </w:r>
      </w:hyperlink>
    </w:p>
    <w:p>
      <w:pPr>
        <w:pStyle w:val="BodyText"/>
        <w:tabs>
          <w:tab w:pos="10267" w:val="right" w:leader="dot"/>
        </w:tabs>
        <w:spacing w:before="69"/>
        <w:ind w:left="2154"/>
      </w:pPr>
      <w:hyperlink w:history="true" w:anchor="_bookmark114">
        <w:r>
          <w:rPr>
            <w:w w:val="115"/>
          </w:rPr>
          <w:t>Other jurisdictions—enforcement</w:t>
        </w:r>
        <w:r>
          <w:rPr>
            <w:spacing w:val="-1"/>
            <w:w w:val="115"/>
          </w:rPr>
          <w:t> </w:t>
        </w:r>
        <w:r>
          <w:rPr>
            <w:w w:val="115"/>
          </w:rPr>
          <w:t>of</w:t>
        </w:r>
        <w:r>
          <w:rPr>
            <w:spacing w:val="-1"/>
            <w:w w:val="115"/>
          </w:rPr>
          <w:t> </w:t>
        </w:r>
        <w:r>
          <w:rPr>
            <w:w w:val="115"/>
          </w:rPr>
          <w:t>orders</w:t>
          <w:tab/>
        </w:r>
        <w:r>
          <w:rPr>
            <w:spacing w:val="-6"/>
            <w:w w:val="115"/>
          </w:rPr>
          <w:t>210</w:t>
        </w:r>
      </w:hyperlink>
    </w:p>
    <w:p>
      <w:pPr>
        <w:pStyle w:val="BodyText"/>
        <w:tabs>
          <w:tab w:pos="10254" w:val="right" w:leader="dot"/>
        </w:tabs>
        <w:spacing w:before="68"/>
        <w:ind w:left="2154"/>
      </w:pPr>
      <w:hyperlink w:history="true" w:anchor="_bookmark115">
        <w:r>
          <w:rPr>
            <w:w w:val="115"/>
          </w:rPr>
          <w:t>Community responses—enforcement</w:t>
        </w:r>
        <w:r>
          <w:rPr>
            <w:spacing w:val="-2"/>
            <w:w w:val="115"/>
          </w:rPr>
          <w:t> </w:t>
        </w:r>
        <w:r>
          <w:rPr>
            <w:w w:val="115"/>
          </w:rPr>
          <w:t>of</w:t>
        </w:r>
        <w:r>
          <w:rPr>
            <w:spacing w:val="-1"/>
            <w:w w:val="115"/>
          </w:rPr>
          <w:t> </w:t>
        </w:r>
        <w:r>
          <w:rPr>
            <w:w w:val="115"/>
          </w:rPr>
          <w:t>orders</w:t>
          <w:tab/>
        </w:r>
        <w:r>
          <w:rPr>
            <w:spacing w:val="-12"/>
            <w:w w:val="115"/>
          </w:rPr>
          <w:t>212</w:t>
        </w:r>
      </w:hyperlink>
    </w:p>
    <w:p>
      <w:pPr>
        <w:pStyle w:val="BodyText"/>
        <w:tabs>
          <w:tab w:pos="10254" w:val="right" w:leader="dot"/>
        </w:tabs>
        <w:spacing w:before="69"/>
        <w:ind w:left="2154"/>
      </w:pPr>
      <w:hyperlink w:history="true" w:anchor="_bookmark116">
        <w:r>
          <w:rPr>
            <w:w w:val="115"/>
          </w:rPr>
          <w:t>The Commission’s conclusions—enforcement</w:t>
        </w:r>
        <w:r>
          <w:rPr>
            <w:spacing w:val="-8"/>
            <w:w w:val="115"/>
          </w:rPr>
          <w:t> </w:t>
        </w:r>
        <w:r>
          <w:rPr>
            <w:w w:val="115"/>
          </w:rPr>
          <w:t>of</w:t>
        </w:r>
        <w:r>
          <w:rPr>
            <w:spacing w:val="-2"/>
            <w:w w:val="115"/>
          </w:rPr>
          <w:t> </w:t>
        </w:r>
        <w:r>
          <w:rPr>
            <w:w w:val="115"/>
          </w:rPr>
          <w:t>orders</w:t>
          <w:tab/>
        </w:r>
        <w:r>
          <w:rPr>
            <w:spacing w:val="-13"/>
            <w:w w:val="115"/>
          </w:rPr>
          <w:t>213</w:t>
        </w:r>
      </w:hyperlink>
    </w:p>
    <w:p>
      <w:pPr>
        <w:pStyle w:val="BodyText"/>
        <w:tabs>
          <w:tab w:pos="10253" w:val="right" w:leader="dot"/>
        </w:tabs>
        <w:spacing w:before="69"/>
        <w:ind w:left="2438"/>
      </w:pPr>
      <w:hyperlink w:history="true" w:anchor="_bookmark117">
        <w:r>
          <w:rPr>
            <w:spacing w:val="-3"/>
          </w:rPr>
          <w:t>Penalties for </w:t>
        </w:r>
        <w:r>
          <w:rPr>
            <w:spacing w:val="-4"/>
          </w:rPr>
          <w:t>failure</w:t>
        </w:r>
        <w:r>
          <w:rPr>
            <w:spacing w:val="32"/>
          </w:rPr>
          <w:t> </w:t>
        </w:r>
        <w:r>
          <w:rPr>
            <w:spacing w:val="-3"/>
          </w:rPr>
          <w:t>to</w:t>
        </w:r>
        <w:r>
          <w:rPr>
            <w:spacing w:val="9"/>
          </w:rPr>
          <w:t> </w:t>
        </w:r>
        <w:r>
          <w:rPr/>
          <w:t>comply</w:t>
          <w:tab/>
        </w:r>
        <w:r>
          <w:rPr>
            <w:spacing w:val="-14"/>
          </w:rPr>
          <w:t>214</w:t>
        </w:r>
      </w:hyperlink>
    </w:p>
    <w:p>
      <w:pPr>
        <w:pStyle w:val="BodyText"/>
        <w:tabs>
          <w:tab w:pos="10253" w:val="right" w:leader="dot"/>
        </w:tabs>
        <w:spacing w:before="69"/>
        <w:ind w:left="2438"/>
      </w:pPr>
      <w:hyperlink w:history="true" w:anchor="_bookmark117">
        <w:r>
          <w:rPr>
            <w:spacing w:val="-4"/>
            <w:w w:val="105"/>
          </w:rPr>
          <w:t>Councils </w:t>
        </w:r>
        <w:r>
          <w:rPr>
            <w:w w:val="105"/>
          </w:rPr>
          <w:t>should </w:t>
        </w:r>
        <w:r>
          <w:rPr>
            <w:spacing w:val="-2"/>
            <w:w w:val="105"/>
          </w:rPr>
          <w:t>not </w:t>
        </w:r>
        <w:r>
          <w:rPr>
            <w:spacing w:val="-3"/>
            <w:w w:val="105"/>
          </w:rPr>
          <w:t>enforce</w:t>
        </w:r>
        <w:r>
          <w:rPr>
            <w:spacing w:val="28"/>
            <w:w w:val="105"/>
          </w:rPr>
          <w:t> </w:t>
        </w:r>
        <w:r>
          <w:rPr>
            <w:spacing w:val="-5"/>
            <w:w w:val="105"/>
          </w:rPr>
          <w:t>VCAT</w:t>
        </w:r>
        <w:r>
          <w:rPr>
            <w:spacing w:val="6"/>
            <w:w w:val="105"/>
          </w:rPr>
          <w:t> </w:t>
        </w:r>
        <w:r>
          <w:rPr>
            <w:w w:val="105"/>
          </w:rPr>
          <w:t>orders</w:t>
          <w:tab/>
        </w:r>
        <w:r>
          <w:rPr>
            <w:spacing w:val="-14"/>
            <w:w w:val="105"/>
          </w:rPr>
          <w:t>214</w:t>
        </w:r>
      </w:hyperlink>
    </w:p>
    <w:p>
      <w:pPr>
        <w:pStyle w:val="BodyText"/>
        <w:tabs>
          <w:tab w:pos="10252" w:val="right" w:leader="dot"/>
        </w:tabs>
        <w:spacing w:before="68"/>
        <w:ind w:left="2438"/>
      </w:pPr>
      <w:hyperlink w:history="true" w:anchor="_bookmark118">
        <w:r>
          <w:rPr>
            <w:spacing w:val="-3"/>
            <w:w w:val="105"/>
          </w:rPr>
          <w:t>Empowering </w:t>
        </w:r>
        <w:r>
          <w:rPr>
            <w:w w:val="105"/>
          </w:rPr>
          <w:t>the </w:t>
        </w:r>
        <w:r>
          <w:rPr>
            <w:spacing w:val="-3"/>
            <w:w w:val="105"/>
          </w:rPr>
          <w:t>applicant to </w:t>
        </w:r>
        <w:r>
          <w:rPr>
            <w:w w:val="105"/>
          </w:rPr>
          <w:t>give effect </w:t>
        </w:r>
        <w:r>
          <w:rPr>
            <w:spacing w:val="-3"/>
            <w:w w:val="105"/>
          </w:rPr>
          <w:t>to </w:t>
        </w:r>
        <w:r>
          <w:rPr>
            <w:w w:val="105"/>
          </w:rPr>
          <w:t>a </w:t>
        </w:r>
        <w:r>
          <w:rPr>
            <w:spacing w:val="6"/>
            <w:w w:val="105"/>
          </w:rPr>
          <w:t> </w:t>
        </w:r>
        <w:r>
          <w:rPr>
            <w:spacing w:val="-5"/>
            <w:w w:val="105"/>
          </w:rPr>
          <w:t>VCAT</w:t>
        </w:r>
        <w:r>
          <w:rPr>
            <w:spacing w:val="5"/>
            <w:w w:val="105"/>
          </w:rPr>
          <w:t> </w:t>
        </w:r>
        <w:r>
          <w:rPr>
            <w:w w:val="105"/>
          </w:rPr>
          <w:t>order</w:t>
          <w:tab/>
        </w:r>
        <w:r>
          <w:rPr>
            <w:spacing w:val="-15"/>
            <w:w w:val="105"/>
          </w:rPr>
          <w:t>215</w:t>
        </w:r>
      </w:hyperlink>
    </w:p>
    <w:p>
      <w:pPr>
        <w:pStyle w:val="Heading9"/>
        <w:numPr>
          <w:ilvl w:val="0"/>
          <w:numId w:val="1"/>
        </w:numPr>
        <w:tabs>
          <w:tab w:pos="1928" w:val="left" w:leader="none"/>
          <w:tab w:pos="10267" w:val="right" w:leader="dot"/>
        </w:tabs>
        <w:spacing w:line="240" w:lineRule="auto" w:before="69" w:after="0"/>
        <w:ind w:left="1927" w:right="0" w:hanging="340"/>
        <w:jc w:val="left"/>
      </w:pPr>
      <w:hyperlink w:history="true" w:anchor="_bookmark119">
        <w:r>
          <w:rPr>
            <w:color w:val="658464"/>
            <w:w w:val="115"/>
          </w:rPr>
          <w:t>Interaction</w:t>
        </w:r>
        <w:r>
          <w:rPr>
            <w:color w:val="658464"/>
            <w:spacing w:val="-6"/>
            <w:w w:val="115"/>
          </w:rPr>
          <w:t> </w:t>
        </w:r>
        <w:r>
          <w:rPr>
            <w:color w:val="658464"/>
            <w:w w:val="115"/>
          </w:rPr>
          <w:t>of</w:t>
        </w:r>
        <w:r>
          <w:rPr>
            <w:color w:val="658464"/>
            <w:spacing w:val="-5"/>
            <w:w w:val="115"/>
          </w:rPr>
          <w:t> </w:t>
        </w:r>
        <w:r>
          <w:rPr>
            <w:color w:val="658464"/>
            <w:w w:val="115"/>
          </w:rPr>
          <w:t>the</w:t>
        </w:r>
        <w:r>
          <w:rPr>
            <w:color w:val="658464"/>
            <w:spacing w:val="-6"/>
            <w:w w:val="115"/>
          </w:rPr>
          <w:t> </w:t>
        </w:r>
        <w:r>
          <w:rPr>
            <w:color w:val="658464"/>
            <w:w w:val="115"/>
          </w:rPr>
          <w:t>new</w:t>
        </w:r>
        <w:r>
          <w:rPr>
            <w:color w:val="658464"/>
            <w:spacing w:val="-5"/>
            <w:w w:val="115"/>
          </w:rPr>
          <w:t> </w:t>
        </w:r>
        <w:r>
          <w:rPr>
            <w:color w:val="658464"/>
            <w:w w:val="115"/>
          </w:rPr>
          <w:t>Neighbourhood</w:t>
        </w:r>
        <w:r>
          <w:rPr>
            <w:color w:val="658464"/>
            <w:spacing w:val="-6"/>
            <w:w w:val="115"/>
          </w:rPr>
          <w:t> </w:t>
        </w:r>
        <w:r>
          <w:rPr>
            <w:color w:val="658464"/>
            <w:spacing w:val="-4"/>
            <w:w w:val="115"/>
          </w:rPr>
          <w:t>Tree</w:t>
        </w:r>
        <w:r>
          <w:rPr>
            <w:color w:val="658464"/>
            <w:spacing w:val="-5"/>
            <w:w w:val="115"/>
          </w:rPr>
          <w:t> </w:t>
        </w:r>
        <w:r>
          <w:rPr>
            <w:color w:val="658464"/>
            <w:w w:val="115"/>
          </w:rPr>
          <w:t>Disputes</w:t>
        </w:r>
        <w:r>
          <w:rPr>
            <w:color w:val="658464"/>
            <w:spacing w:val="-6"/>
            <w:w w:val="115"/>
          </w:rPr>
          <w:t> </w:t>
        </w:r>
        <w:r>
          <w:rPr>
            <w:color w:val="658464"/>
            <w:w w:val="115"/>
          </w:rPr>
          <w:t>Act</w:t>
        </w:r>
        <w:r>
          <w:rPr>
            <w:color w:val="658464"/>
            <w:spacing w:val="-5"/>
            <w:w w:val="115"/>
          </w:rPr>
          <w:t> </w:t>
        </w:r>
        <w:r>
          <w:rPr>
            <w:color w:val="658464"/>
            <w:w w:val="115"/>
          </w:rPr>
          <w:t>with</w:t>
        </w:r>
        <w:r>
          <w:rPr>
            <w:color w:val="658464"/>
            <w:spacing w:val="-6"/>
            <w:w w:val="115"/>
          </w:rPr>
          <w:t> </w:t>
        </w:r>
        <w:r>
          <w:rPr>
            <w:color w:val="658464"/>
            <w:w w:val="115"/>
          </w:rPr>
          <w:t>other</w:t>
        </w:r>
        <w:r>
          <w:rPr>
            <w:color w:val="658464"/>
            <w:spacing w:val="-5"/>
            <w:w w:val="115"/>
          </w:rPr>
          <w:t> </w:t>
        </w:r>
        <w:r>
          <w:rPr>
            <w:color w:val="658464"/>
            <w:w w:val="115"/>
          </w:rPr>
          <w:t>laws</w:t>
          <w:tab/>
        </w:r>
        <w:r>
          <w:rPr>
            <w:color w:val="658464"/>
            <w:spacing w:val="-4"/>
            <w:w w:val="115"/>
          </w:rPr>
          <w:t>218</w:t>
        </w:r>
      </w:hyperlink>
    </w:p>
    <w:p>
      <w:pPr>
        <w:pStyle w:val="BodyText"/>
        <w:tabs>
          <w:tab w:pos="10267" w:val="right" w:leader="dot"/>
        </w:tabs>
        <w:spacing w:before="69"/>
        <w:ind w:left="2154"/>
      </w:pPr>
      <w:hyperlink w:history="true" w:anchor="_bookmark119">
        <w:r>
          <w:rPr>
            <w:w w:val="110"/>
          </w:rPr>
          <w:t>Introduction</w:t>
          <w:tab/>
        </w:r>
        <w:r>
          <w:rPr>
            <w:spacing w:val="-6"/>
            <w:w w:val="110"/>
          </w:rPr>
          <w:t>218</w:t>
        </w:r>
      </w:hyperlink>
    </w:p>
    <w:p>
      <w:pPr>
        <w:pStyle w:val="BodyText"/>
        <w:tabs>
          <w:tab w:pos="10257" w:val="right" w:leader="dot"/>
        </w:tabs>
        <w:spacing w:before="68"/>
        <w:ind w:left="2154"/>
      </w:pPr>
      <w:hyperlink w:history="true" w:anchor="_bookmark120">
        <w:r>
          <w:rPr>
            <w:w w:val="115"/>
          </w:rPr>
          <w:t>The Planning and</w:t>
        </w:r>
        <w:r>
          <w:rPr>
            <w:spacing w:val="1"/>
            <w:w w:val="115"/>
          </w:rPr>
          <w:t> </w:t>
        </w:r>
        <w:r>
          <w:rPr>
            <w:w w:val="115"/>
          </w:rPr>
          <w:t>Environment Act</w:t>
          <w:tab/>
        </w:r>
        <w:r>
          <w:rPr>
            <w:spacing w:val="-10"/>
            <w:w w:val="115"/>
          </w:rPr>
          <w:t>219</w:t>
        </w:r>
      </w:hyperlink>
    </w:p>
    <w:p>
      <w:pPr>
        <w:pStyle w:val="BodyText"/>
        <w:tabs>
          <w:tab w:pos="10266" w:val="right" w:leader="dot"/>
        </w:tabs>
        <w:spacing w:before="69"/>
        <w:ind w:left="2154"/>
      </w:pPr>
      <w:hyperlink w:history="true" w:anchor="_bookmark121">
        <w:r>
          <w:rPr>
            <w:w w:val="115"/>
          </w:rPr>
          <w:t>Local tree protection laws made under the Local</w:t>
        </w:r>
        <w:r>
          <w:rPr>
            <w:spacing w:val="-19"/>
            <w:w w:val="115"/>
          </w:rPr>
          <w:t> </w:t>
        </w:r>
        <w:r>
          <w:rPr>
            <w:w w:val="115"/>
          </w:rPr>
          <w:t>Government</w:t>
        </w:r>
        <w:r>
          <w:rPr>
            <w:spacing w:val="-2"/>
            <w:w w:val="115"/>
          </w:rPr>
          <w:t> </w:t>
        </w:r>
        <w:r>
          <w:rPr>
            <w:w w:val="115"/>
          </w:rPr>
          <w:t>Act</w:t>
          <w:tab/>
          <w:t>228</w:t>
        </w:r>
      </w:hyperlink>
    </w:p>
    <w:p>
      <w:pPr>
        <w:pStyle w:val="BodyText"/>
        <w:tabs>
          <w:tab w:pos="10266" w:val="right" w:leader="dot"/>
        </w:tabs>
        <w:spacing w:before="69"/>
        <w:ind w:left="2154"/>
      </w:pPr>
      <w:hyperlink w:history="true" w:anchor="_bookmark122">
        <w:r>
          <w:rPr>
            <w:w w:val="115"/>
          </w:rPr>
          <w:t>The Heritage</w:t>
        </w:r>
        <w:r>
          <w:rPr>
            <w:spacing w:val="1"/>
            <w:w w:val="115"/>
          </w:rPr>
          <w:t> </w:t>
        </w:r>
        <w:r>
          <w:rPr>
            <w:w w:val="115"/>
          </w:rPr>
          <w:t>Act</w:t>
          <w:tab/>
          <w:t>229</w:t>
        </w:r>
      </w:hyperlink>
    </w:p>
    <w:p>
      <w:pPr>
        <w:pStyle w:val="BodyText"/>
        <w:tabs>
          <w:tab w:pos="10267" w:val="right" w:leader="dot"/>
        </w:tabs>
        <w:spacing w:before="69"/>
        <w:ind w:left="2154"/>
      </w:pPr>
      <w:hyperlink w:history="true" w:anchor="_bookmark123">
        <w:r>
          <w:rPr>
            <w:w w:val="115"/>
          </w:rPr>
          <w:t>The Aboriginal</w:t>
        </w:r>
        <w:r>
          <w:rPr>
            <w:spacing w:val="2"/>
            <w:w w:val="115"/>
          </w:rPr>
          <w:t> </w:t>
        </w:r>
        <w:r>
          <w:rPr>
            <w:w w:val="115"/>
          </w:rPr>
          <w:t>Heritage</w:t>
        </w:r>
        <w:r>
          <w:rPr>
            <w:spacing w:val="1"/>
            <w:w w:val="115"/>
          </w:rPr>
          <w:t> </w:t>
        </w:r>
        <w:r>
          <w:rPr>
            <w:w w:val="115"/>
          </w:rPr>
          <w:t>Act</w:t>
          <w:tab/>
          <w:t>230</w:t>
        </w:r>
      </w:hyperlink>
    </w:p>
    <w:p>
      <w:pPr>
        <w:pStyle w:val="BodyText"/>
        <w:tabs>
          <w:tab w:pos="10259" w:val="right" w:leader="dot"/>
        </w:tabs>
        <w:spacing w:before="68"/>
        <w:ind w:left="2154"/>
      </w:pPr>
      <w:hyperlink w:history="true" w:anchor="_bookmark124">
        <w:r>
          <w:rPr>
            <w:w w:val="110"/>
          </w:rPr>
          <w:t>The</w:t>
        </w:r>
        <w:r>
          <w:rPr>
            <w:spacing w:val="3"/>
            <w:w w:val="110"/>
          </w:rPr>
          <w:t> </w:t>
        </w:r>
        <w:r>
          <w:rPr>
            <w:w w:val="110"/>
          </w:rPr>
          <w:t>Fences</w:t>
        </w:r>
        <w:r>
          <w:rPr>
            <w:spacing w:val="3"/>
            <w:w w:val="110"/>
          </w:rPr>
          <w:t> </w:t>
        </w:r>
        <w:r>
          <w:rPr>
            <w:w w:val="110"/>
          </w:rPr>
          <w:t>Act</w:t>
          <w:tab/>
        </w:r>
        <w:r>
          <w:rPr>
            <w:spacing w:val="-7"/>
            <w:w w:val="110"/>
          </w:rPr>
          <w:t>231</w:t>
        </w:r>
      </w:hyperlink>
    </w:p>
    <w:p>
      <w:pPr>
        <w:pStyle w:val="BodyText"/>
        <w:tabs>
          <w:tab w:pos="10265" w:val="right" w:leader="dot"/>
        </w:tabs>
        <w:spacing w:before="69"/>
        <w:ind w:left="2154"/>
      </w:pPr>
      <w:hyperlink w:history="true" w:anchor="_bookmark125">
        <w:r>
          <w:rPr>
            <w:w w:val="115"/>
          </w:rPr>
          <w:t>The Catchment and Land Protection Act</w:t>
          <w:tab/>
        </w:r>
        <w:r>
          <w:rPr>
            <w:spacing w:val="-3"/>
            <w:w w:val="115"/>
          </w:rPr>
          <w:t>232</w:t>
        </w:r>
      </w:hyperlink>
    </w:p>
    <w:p>
      <w:pPr>
        <w:pStyle w:val="BodyText"/>
        <w:tabs>
          <w:tab w:pos="10265" w:val="right" w:leader="dot"/>
        </w:tabs>
        <w:spacing w:before="69"/>
        <w:ind w:left="2154"/>
      </w:pPr>
      <w:hyperlink w:history="true" w:anchor="_bookmark125">
        <w:r>
          <w:rPr>
            <w:w w:val="115"/>
          </w:rPr>
          <w:t>Other Victorian</w:t>
        </w:r>
        <w:r>
          <w:rPr>
            <w:spacing w:val="1"/>
            <w:w w:val="115"/>
          </w:rPr>
          <w:t> </w:t>
        </w:r>
        <w:r>
          <w:rPr>
            <w:w w:val="115"/>
          </w:rPr>
          <w:t>Acts</w:t>
          <w:tab/>
        </w:r>
        <w:r>
          <w:rPr>
            <w:spacing w:val="-3"/>
            <w:w w:val="115"/>
          </w:rPr>
          <w:t>232</w:t>
        </w:r>
      </w:hyperlink>
    </w:p>
    <w:p>
      <w:pPr>
        <w:pStyle w:val="BodyText"/>
        <w:tabs>
          <w:tab w:pos="10267" w:val="right" w:leader="dot"/>
        </w:tabs>
        <w:spacing w:before="69"/>
        <w:ind w:left="2438"/>
      </w:pPr>
      <w:hyperlink w:history="true" w:anchor="_bookmark125">
        <w:r>
          <w:rPr>
            <w:spacing w:val="-3"/>
            <w:w w:val="105"/>
          </w:rPr>
          <w:t>Country Fire</w:t>
        </w:r>
        <w:r>
          <w:rPr>
            <w:spacing w:val="14"/>
            <w:w w:val="105"/>
          </w:rPr>
          <w:t> </w:t>
        </w:r>
        <w:r>
          <w:rPr>
            <w:w w:val="105"/>
          </w:rPr>
          <w:t>Authority</w:t>
        </w:r>
        <w:r>
          <w:rPr>
            <w:spacing w:val="5"/>
            <w:w w:val="105"/>
          </w:rPr>
          <w:t> </w:t>
        </w:r>
        <w:r>
          <w:rPr>
            <w:w w:val="105"/>
          </w:rPr>
          <w:t>Act</w:t>
          <w:tab/>
        </w:r>
        <w:r>
          <w:rPr>
            <w:spacing w:val="-4"/>
            <w:w w:val="105"/>
          </w:rPr>
          <w:t>232</w:t>
        </w:r>
      </w:hyperlink>
    </w:p>
    <w:p>
      <w:pPr>
        <w:pStyle w:val="BodyText"/>
        <w:tabs>
          <w:tab w:pos="10262" w:val="right" w:leader="dot"/>
        </w:tabs>
        <w:spacing w:before="68"/>
        <w:ind w:left="2438"/>
      </w:pPr>
      <w:hyperlink w:history="true" w:anchor="_bookmark126">
        <w:r>
          <w:rPr>
            <w:w w:val="105"/>
          </w:rPr>
          <w:t>Metropolitan </w:t>
        </w:r>
        <w:r>
          <w:rPr>
            <w:spacing w:val="-3"/>
            <w:w w:val="105"/>
          </w:rPr>
          <w:t>Fire</w:t>
        </w:r>
        <w:r>
          <w:rPr>
            <w:spacing w:val="9"/>
            <w:w w:val="105"/>
          </w:rPr>
          <w:t> </w:t>
        </w:r>
        <w:r>
          <w:rPr>
            <w:w w:val="105"/>
          </w:rPr>
          <w:t>Brigades</w:t>
        </w:r>
        <w:r>
          <w:rPr>
            <w:spacing w:val="5"/>
            <w:w w:val="105"/>
          </w:rPr>
          <w:t> </w:t>
        </w:r>
        <w:r>
          <w:rPr>
            <w:w w:val="105"/>
          </w:rPr>
          <w:t>Act</w:t>
          <w:tab/>
        </w:r>
        <w:r>
          <w:rPr>
            <w:spacing w:val="-6"/>
            <w:w w:val="105"/>
          </w:rPr>
          <w:t>233</w:t>
        </w:r>
      </w:hyperlink>
    </w:p>
    <w:p>
      <w:pPr>
        <w:pStyle w:val="BodyText"/>
        <w:tabs>
          <w:tab w:pos="10261" w:val="right" w:leader="dot"/>
        </w:tabs>
        <w:spacing w:before="69"/>
        <w:ind w:left="2438"/>
      </w:pPr>
      <w:hyperlink w:history="true" w:anchor="_bookmark126">
        <w:r>
          <w:rPr>
            <w:w w:val="105"/>
          </w:rPr>
          <w:t>Electrical</w:t>
        </w:r>
        <w:r>
          <w:rPr>
            <w:spacing w:val="5"/>
            <w:w w:val="105"/>
          </w:rPr>
          <w:t> </w:t>
        </w:r>
        <w:r>
          <w:rPr>
            <w:w w:val="105"/>
          </w:rPr>
          <w:t>Safety</w:t>
        </w:r>
        <w:r>
          <w:rPr>
            <w:spacing w:val="5"/>
            <w:w w:val="105"/>
          </w:rPr>
          <w:t> </w:t>
        </w:r>
        <w:r>
          <w:rPr>
            <w:w w:val="105"/>
          </w:rPr>
          <w:t>Act</w:t>
          <w:tab/>
        </w:r>
        <w:r>
          <w:rPr>
            <w:spacing w:val="-6"/>
            <w:w w:val="105"/>
          </w:rPr>
          <w:t>233</w:t>
        </w:r>
      </w:hyperlink>
    </w:p>
    <w:p>
      <w:pPr>
        <w:pStyle w:val="BodyText"/>
        <w:tabs>
          <w:tab w:pos="10261" w:val="right" w:leader="dot"/>
        </w:tabs>
        <w:spacing w:before="69"/>
        <w:ind w:left="2438"/>
      </w:pPr>
      <w:hyperlink w:history="true" w:anchor="_bookmark126">
        <w:r>
          <w:rPr>
            <w:spacing w:val="-3"/>
            <w:w w:val="105"/>
          </w:rPr>
          <w:t>Transport legislation </w:t>
        </w:r>
        <w:r>
          <w:rPr>
            <w:w w:val="105"/>
          </w:rPr>
          <w:t>and</w:t>
        </w:r>
        <w:r>
          <w:rPr>
            <w:spacing w:val="19"/>
            <w:w w:val="105"/>
          </w:rPr>
          <w:t> </w:t>
        </w:r>
        <w:r>
          <w:rPr>
            <w:w w:val="105"/>
          </w:rPr>
          <w:t>road</w:t>
        </w:r>
        <w:r>
          <w:rPr>
            <w:spacing w:val="5"/>
            <w:w w:val="105"/>
          </w:rPr>
          <w:t> </w:t>
        </w:r>
        <w:r>
          <w:rPr>
            <w:w w:val="105"/>
          </w:rPr>
          <w:t>reserves</w:t>
          <w:tab/>
        </w:r>
        <w:r>
          <w:rPr>
            <w:spacing w:val="-6"/>
            <w:w w:val="105"/>
          </w:rPr>
          <w:t>233</w:t>
        </w:r>
      </w:hyperlink>
    </w:p>
    <w:p>
      <w:pPr>
        <w:pStyle w:val="BodyText"/>
        <w:tabs>
          <w:tab w:pos="10261" w:val="right" w:leader="dot"/>
        </w:tabs>
        <w:spacing w:before="69"/>
        <w:ind w:left="2438"/>
      </w:pPr>
      <w:hyperlink w:history="true" w:anchor="_bookmark126">
        <w:r>
          <w:rPr>
            <w:spacing w:val="-3"/>
            <w:w w:val="105"/>
          </w:rPr>
          <w:t>Public </w:t>
        </w:r>
        <w:r>
          <w:rPr>
            <w:w w:val="105"/>
          </w:rPr>
          <w:t>Health and</w:t>
        </w:r>
        <w:r>
          <w:rPr>
            <w:spacing w:val="19"/>
            <w:w w:val="105"/>
          </w:rPr>
          <w:t> </w:t>
        </w:r>
        <w:r>
          <w:rPr>
            <w:spacing w:val="-3"/>
            <w:w w:val="105"/>
          </w:rPr>
          <w:t>Wellbeing</w:t>
        </w:r>
        <w:r>
          <w:rPr>
            <w:spacing w:val="6"/>
            <w:w w:val="105"/>
          </w:rPr>
          <w:t> </w:t>
        </w:r>
        <w:r>
          <w:rPr>
            <w:w w:val="105"/>
          </w:rPr>
          <w:t>Act</w:t>
          <w:tab/>
        </w:r>
        <w:r>
          <w:rPr>
            <w:spacing w:val="-6"/>
            <w:w w:val="105"/>
          </w:rPr>
          <w:t>233</w:t>
        </w:r>
      </w:hyperlink>
    </w:p>
    <w:p>
      <w:pPr>
        <w:pStyle w:val="BodyText"/>
        <w:tabs>
          <w:tab w:pos="10267" w:val="right" w:leader="dot"/>
        </w:tabs>
        <w:spacing w:before="68"/>
        <w:ind w:left="2438"/>
      </w:pPr>
      <w:hyperlink w:history="true" w:anchor="_bookmark127">
        <w:r>
          <w:rPr>
            <w:spacing w:val="-3"/>
            <w:w w:val="105"/>
          </w:rPr>
          <w:t>Flora </w:t>
        </w:r>
        <w:r>
          <w:rPr>
            <w:w w:val="105"/>
          </w:rPr>
          <w:t>and </w:t>
        </w:r>
        <w:r>
          <w:rPr>
            <w:spacing w:val="-4"/>
            <w:w w:val="105"/>
          </w:rPr>
          <w:t>Fauna</w:t>
        </w:r>
        <w:r>
          <w:rPr>
            <w:spacing w:val="19"/>
            <w:w w:val="105"/>
          </w:rPr>
          <w:t> </w:t>
        </w:r>
        <w:r>
          <w:rPr>
            <w:spacing w:val="-3"/>
            <w:w w:val="105"/>
          </w:rPr>
          <w:t>Guarantee</w:t>
        </w:r>
        <w:r>
          <w:rPr>
            <w:spacing w:val="6"/>
            <w:w w:val="105"/>
          </w:rPr>
          <w:t> </w:t>
        </w:r>
        <w:r>
          <w:rPr>
            <w:w w:val="105"/>
          </w:rPr>
          <w:t>Act</w:t>
          <w:tab/>
          <w:t>234</w:t>
        </w:r>
      </w:hyperlink>
    </w:p>
    <w:p>
      <w:pPr>
        <w:pStyle w:val="BodyText"/>
        <w:tabs>
          <w:tab w:pos="10267" w:val="right" w:leader="dot"/>
        </w:tabs>
        <w:spacing w:before="69"/>
        <w:ind w:left="2438"/>
      </w:pPr>
      <w:hyperlink w:history="true" w:anchor="_bookmark127">
        <w:r>
          <w:rPr>
            <w:w w:val="105"/>
          </w:rPr>
          <w:t>Victorian </w:t>
        </w:r>
        <w:r>
          <w:rPr>
            <w:spacing w:val="-3"/>
            <w:w w:val="105"/>
          </w:rPr>
          <w:t>Conservation</w:t>
        </w:r>
        <w:r>
          <w:rPr>
            <w:spacing w:val="10"/>
            <w:w w:val="105"/>
          </w:rPr>
          <w:t> </w:t>
        </w:r>
        <w:r>
          <w:rPr>
            <w:spacing w:val="-4"/>
            <w:w w:val="105"/>
          </w:rPr>
          <w:t>Trust</w:t>
        </w:r>
        <w:r>
          <w:rPr>
            <w:spacing w:val="6"/>
            <w:w w:val="105"/>
          </w:rPr>
          <w:t> </w:t>
        </w:r>
        <w:r>
          <w:rPr>
            <w:w w:val="105"/>
          </w:rPr>
          <w:t>Act</w:t>
          <w:tab/>
          <w:t>234</w:t>
        </w:r>
      </w:hyperlink>
    </w:p>
    <w:p>
      <w:pPr>
        <w:pStyle w:val="BodyText"/>
        <w:tabs>
          <w:tab w:pos="10262" w:val="right" w:leader="dot"/>
        </w:tabs>
        <w:spacing w:before="69"/>
        <w:ind w:left="2438"/>
      </w:pPr>
      <w:hyperlink w:history="true" w:anchor="_bookmark128">
        <w:r>
          <w:rPr>
            <w:spacing w:val="-3"/>
            <w:w w:val="105"/>
          </w:rPr>
          <w:t>Conservation, </w:t>
        </w:r>
        <w:r>
          <w:rPr>
            <w:w w:val="105"/>
          </w:rPr>
          <w:t>Forests and</w:t>
        </w:r>
        <w:r>
          <w:rPr>
            <w:spacing w:val="19"/>
            <w:w w:val="105"/>
          </w:rPr>
          <w:t> </w:t>
        </w:r>
        <w:r>
          <w:rPr>
            <w:w w:val="105"/>
          </w:rPr>
          <w:t>Lands</w:t>
        </w:r>
        <w:r>
          <w:rPr>
            <w:spacing w:val="5"/>
            <w:w w:val="105"/>
          </w:rPr>
          <w:t> </w:t>
        </w:r>
        <w:r>
          <w:rPr>
            <w:w w:val="105"/>
          </w:rPr>
          <w:t>Act</w:t>
          <w:tab/>
        </w:r>
        <w:r>
          <w:rPr>
            <w:spacing w:val="-6"/>
            <w:w w:val="105"/>
          </w:rPr>
          <w:t>235</w:t>
        </w:r>
      </w:hyperlink>
    </w:p>
    <w:p>
      <w:pPr>
        <w:pStyle w:val="BodyText"/>
        <w:spacing w:line="248" w:lineRule="exact" w:before="68"/>
        <w:ind w:left="2438"/>
      </w:pPr>
      <w:hyperlink w:history="true" w:anchor="_bookmark129">
        <w:r>
          <w:rPr>
            <w:w w:val="105"/>
          </w:rPr>
          <w:t>Commonwealth law: the Environment Protection and Biodiversity</w:t>
        </w:r>
      </w:hyperlink>
    </w:p>
    <w:p>
      <w:pPr>
        <w:pStyle w:val="BodyText"/>
        <w:tabs>
          <w:tab w:pos="10267" w:val="right" w:leader="dot"/>
        </w:tabs>
        <w:spacing w:line="248" w:lineRule="exact"/>
        <w:ind w:left="2438"/>
      </w:pPr>
      <w:hyperlink w:history="true" w:anchor="_bookmark129">
        <w:r>
          <w:rPr>
            <w:spacing w:val="-3"/>
            <w:w w:val="105"/>
          </w:rPr>
          <w:t>Conservation</w:t>
        </w:r>
        <w:r>
          <w:rPr>
            <w:spacing w:val="5"/>
            <w:w w:val="105"/>
          </w:rPr>
          <w:t> </w:t>
        </w:r>
        <w:r>
          <w:rPr>
            <w:w w:val="105"/>
          </w:rPr>
          <w:t>Act</w:t>
          <w:tab/>
        </w:r>
        <w:r>
          <w:rPr>
            <w:spacing w:val="-2"/>
            <w:w w:val="105"/>
          </w:rPr>
          <w:t>236</w:t>
        </w:r>
      </w:hyperlink>
    </w:p>
    <w:p>
      <w:pPr>
        <w:pStyle w:val="BodyText"/>
        <w:tabs>
          <w:tab w:pos="10263" w:val="right" w:leader="dot"/>
        </w:tabs>
        <w:spacing w:before="69"/>
        <w:ind w:left="2154"/>
      </w:pPr>
      <w:hyperlink w:history="true" w:anchor="_bookmark130">
        <w:r>
          <w:rPr>
            <w:w w:val="115"/>
          </w:rPr>
          <w:t>Community responses—interaction</w:t>
        </w:r>
        <w:r>
          <w:rPr>
            <w:spacing w:val="-2"/>
            <w:w w:val="115"/>
          </w:rPr>
          <w:t> </w:t>
        </w:r>
        <w:r>
          <w:rPr>
            <w:w w:val="115"/>
          </w:rPr>
          <w:t>of laws</w:t>
          <w:tab/>
        </w:r>
        <w:r>
          <w:rPr>
            <w:spacing w:val="-3"/>
            <w:w w:val="115"/>
          </w:rPr>
          <w:t>237</w:t>
        </w:r>
      </w:hyperlink>
    </w:p>
    <w:p>
      <w:pPr>
        <w:pStyle w:val="BodyText"/>
        <w:tabs>
          <w:tab w:pos="10266" w:val="right" w:leader="dot"/>
        </w:tabs>
        <w:spacing w:before="69"/>
        <w:ind w:left="2154"/>
      </w:pPr>
      <w:r>
        <w:rPr>
          <w:w w:val="115"/>
        </w:rPr>
        <w:t>O</w:t>
      </w:r>
      <w:hyperlink w:history="true" w:anchor="_bookmark131">
        <w:r>
          <w:rPr>
            <w:w w:val="115"/>
          </w:rPr>
          <w:t>ther jurisdictions—interaction</w:t>
        </w:r>
        <w:r>
          <w:rPr>
            <w:spacing w:val="-1"/>
            <w:w w:val="115"/>
          </w:rPr>
          <w:t> </w:t>
        </w:r>
        <w:r>
          <w:rPr>
            <w:w w:val="115"/>
          </w:rPr>
          <w:t>of laws</w:t>
          <w:tab/>
          <w:t>239</w:t>
        </w:r>
      </w:hyperlink>
    </w:p>
    <w:p>
      <w:pPr>
        <w:pStyle w:val="BodyText"/>
        <w:tabs>
          <w:tab w:pos="10267" w:val="right" w:leader="dot"/>
        </w:tabs>
        <w:spacing w:before="69"/>
        <w:ind w:left="2154"/>
      </w:pPr>
      <w:hyperlink w:history="true" w:anchor="_bookmark132">
        <w:r>
          <w:rPr>
            <w:w w:val="115"/>
          </w:rPr>
          <w:t>The Commission’s conclusions—interaction</w:t>
        </w:r>
        <w:r>
          <w:rPr>
            <w:spacing w:val="-6"/>
            <w:w w:val="115"/>
          </w:rPr>
          <w:t> </w:t>
        </w:r>
        <w:r>
          <w:rPr>
            <w:w w:val="115"/>
          </w:rPr>
          <w:t>of</w:t>
        </w:r>
        <w:r>
          <w:rPr>
            <w:spacing w:val="-2"/>
            <w:w w:val="115"/>
          </w:rPr>
          <w:t> </w:t>
        </w:r>
        <w:r>
          <w:rPr>
            <w:w w:val="115"/>
          </w:rPr>
          <w:t>laws</w:t>
          <w:tab/>
          <w:t>244</w:t>
        </w:r>
      </w:hyperlink>
    </w:p>
    <w:p>
      <w:pPr>
        <w:pStyle w:val="BodyText"/>
        <w:tabs>
          <w:tab w:pos="10267" w:val="right" w:leader="dot"/>
        </w:tabs>
        <w:spacing w:before="68"/>
        <w:ind w:left="2438"/>
      </w:pPr>
      <w:hyperlink w:history="true" w:anchor="_bookmark132">
        <w:r>
          <w:rPr>
            <w:w w:val="105"/>
          </w:rPr>
          <w:t>The </w:t>
        </w:r>
        <w:r>
          <w:rPr>
            <w:spacing w:val="-3"/>
            <w:w w:val="105"/>
          </w:rPr>
          <w:t>Planning </w:t>
        </w:r>
        <w:r>
          <w:rPr>
            <w:w w:val="105"/>
          </w:rPr>
          <w:t>and</w:t>
        </w:r>
        <w:r>
          <w:rPr>
            <w:spacing w:val="19"/>
            <w:w w:val="105"/>
          </w:rPr>
          <w:t> </w:t>
        </w:r>
        <w:r>
          <w:rPr>
            <w:spacing w:val="-3"/>
            <w:w w:val="105"/>
          </w:rPr>
          <w:t>Environment</w:t>
        </w:r>
        <w:r>
          <w:rPr>
            <w:spacing w:val="5"/>
            <w:w w:val="105"/>
          </w:rPr>
          <w:t> </w:t>
        </w:r>
        <w:r>
          <w:rPr>
            <w:w w:val="105"/>
          </w:rPr>
          <w:t>Act</w:t>
          <w:tab/>
          <w:t>244</w:t>
        </w:r>
      </w:hyperlink>
    </w:p>
    <w:p>
      <w:pPr>
        <w:pStyle w:val="BodyText"/>
        <w:spacing w:line="248" w:lineRule="exact" w:before="69"/>
        <w:ind w:left="2438"/>
      </w:pPr>
      <w:hyperlink w:history="true" w:anchor="_bookmark133">
        <w:r>
          <w:rPr>
            <w:w w:val="105"/>
          </w:rPr>
          <w:t>The Commission’s conclusions—a new exemption to the VPPs to cover</w:t>
        </w:r>
      </w:hyperlink>
    </w:p>
    <w:p>
      <w:pPr>
        <w:pStyle w:val="BodyText"/>
        <w:tabs>
          <w:tab w:pos="10267" w:val="right" w:leader="dot"/>
        </w:tabs>
        <w:spacing w:line="248" w:lineRule="exact"/>
        <w:ind w:left="2438"/>
      </w:pPr>
      <w:hyperlink w:history="true" w:anchor="_bookmark133">
        <w:r>
          <w:rPr>
            <w:w w:val="105"/>
          </w:rPr>
          <w:t>tree</w:t>
        </w:r>
        <w:r>
          <w:rPr>
            <w:spacing w:val="5"/>
            <w:w w:val="105"/>
          </w:rPr>
          <w:t> </w:t>
        </w:r>
        <w:r>
          <w:rPr>
            <w:spacing w:val="-3"/>
            <w:w w:val="105"/>
          </w:rPr>
          <w:t>disputes</w:t>
          <w:tab/>
        </w:r>
        <w:r>
          <w:rPr>
            <w:spacing w:val="-5"/>
            <w:w w:val="105"/>
          </w:rPr>
          <w:t>245</w:t>
        </w:r>
      </w:hyperlink>
    </w:p>
    <w:p>
      <w:pPr>
        <w:pStyle w:val="BodyText"/>
        <w:spacing w:line="248" w:lineRule="exact" w:before="69"/>
        <w:ind w:left="2438"/>
      </w:pPr>
      <w:hyperlink w:history="true" w:anchor="_bookmark134">
        <w:r>
          <w:rPr>
            <w:w w:val="105"/>
          </w:rPr>
          <w:t>The Commission’s conclusions—further consideration of trees planted or</w:t>
        </w:r>
      </w:hyperlink>
    </w:p>
    <w:p>
      <w:pPr>
        <w:pStyle w:val="BodyText"/>
        <w:tabs>
          <w:tab w:pos="10267" w:val="right" w:leader="dot"/>
        </w:tabs>
        <w:spacing w:line="248" w:lineRule="exact"/>
        <w:ind w:left="2438"/>
      </w:pPr>
      <w:hyperlink w:history="true" w:anchor="_bookmark134">
        <w:r>
          <w:rPr>
            <w:spacing w:val="-3"/>
            <w:w w:val="105"/>
          </w:rPr>
          <w:t>maintained </w:t>
        </w:r>
        <w:r>
          <w:rPr>
            <w:w w:val="105"/>
          </w:rPr>
          <w:t>as a </w:t>
        </w:r>
        <w:r>
          <w:rPr>
            <w:spacing w:val="-3"/>
            <w:w w:val="105"/>
          </w:rPr>
          <w:t>condition </w:t>
        </w:r>
        <w:r>
          <w:rPr>
            <w:w w:val="105"/>
          </w:rPr>
          <w:t>of existing</w:t>
        </w:r>
        <w:r>
          <w:rPr>
            <w:spacing w:val="34"/>
            <w:w w:val="105"/>
          </w:rPr>
          <w:t> </w:t>
        </w:r>
        <w:r>
          <w:rPr>
            <w:spacing w:val="-3"/>
            <w:w w:val="105"/>
          </w:rPr>
          <w:t>planning</w:t>
        </w:r>
        <w:r>
          <w:rPr>
            <w:spacing w:val="5"/>
            <w:w w:val="105"/>
          </w:rPr>
          <w:t> </w:t>
        </w:r>
        <w:r>
          <w:rPr>
            <w:w w:val="105"/>
          </w:rPr>
          <w:t>permits</w:t>
          <w:tab/>
        </w:r>
        <w:r>
          <w:rPr>
            <w:spacing w:val="-5"/>
            <w:w w:val="105"/>
          </w:rPr>
          <w:t>249</w:t>
        </w:r>
      </w:hyperlink>
    </w:p>
    <w:p>
      <w:pPr>
        <w:pStyle w:val="BodyText"/>
        <w:tabs>
          <w:tab w:pos="10250" w:val="right" w:leader="dot"/>
        </w:tabs>
        <w:spacing w:before="69"/>
        <w:ind w:left="2438"/>
      </w:pPr>
      <w:hyperlink w:history="true" w:anchor="_bookmark135">
        <w:r>
          <w:rPr>
            <w:w w:val="105"/>
          </w:rPr>
          <w:t>The </w:t>
        </w:r>
        <w:r>
          <w:rPr>
            <w:spacing w:val="-4"/>
            <w:w w:val="105"/>
          </w:rPr>
          <w:t>Commission’s </w:t>
        </w:r>
        <w:r>
          <w:rPr>
            <w:w w:val="105"/>
          </w:rPr>
          <w:t>conclusions—further </w:t>
        </w:r>
        <w:r>
          <w:rPr>
            <w:spacing w:val="-3"/>
            <w:w w:val="105"/>
          </w:rPr>
          <w:t>consideration </w:t>
        </w:r>
        <w:r>
          <w:rPr>
            <w:w w:val="105"/>
          </w:rPr>
          <w:t>of Section</w:t>
        </w:r>
        <w:r>
          <w:rPr>
            <w:spacing w:val="5"/>
            <w:w w:val="105"/>
          </w:rPr>
          <w:t> </w:t>
        </w:r>
        <w:r>
          <w:rPr>
            <w:spacing w:val="-8"/>
            <w:w w:val="105"/>
          </w:rPr>
          <w:t>173</w:t>
        </w:r>
        <w:r>
          <w:rPr>
            <w:spacing w:val="-1"/>
            <w:w w:val="105"/>
          </w:rPr>
          <w:t> </w:t>
        </w:r>
        <w:r>
          <w:rPr>
            <w:w w:val="105"/>
          </w:rPr>
          <w:t>agreements</w:t>
          <w:tab/>
        </w:r>
        <w:r>
          <w:rPr>
            <w:spacing w:val="-15"/>
            <w:w w:val="105"/>
          </w:rPr>
          <w:t>251</w:t>
        </w:r>
      </w:hyperlink>
    </w:p>
    <w:p>
      <w:pPr>
        <w:pStyle w:val="BodyText"/>
        <w:tabs>
          <w:tab w:pos="10268" w:val="right" w:leader="dot"/>
        </w:tabs>
        <w:spacing w:before="68"/>
        <w:ind w:left="2438"/>
      </w:pPr>
      <w:hyperlink w:history="true" w:anchor="_bookmark136">
        <w:r>
          <w:rPr>
            <w:w w:val="105"/>
          </w:rPr>
          <w:t>The </w:t>
        </w:r>
        <w:r>
          <w:rPr>
            <w:spacing w:val="-4"/>
            <w:w w:val="105"/>
          </w:rPr>
          <w:t>Commission’s </w:t>
        </w:r>
        <w:r>
          <w:rPr>
            <w:w w:val="105"/>
          </w:rPr>
          <w:t>conclusions—local tree</w:t>
        </w:r>
        <w:r>
          <w:rPr>
            <w:spacing w:val="18"/>
            <w:w w:val="105"/>
          </w:rPr>
          <w:t> </w:t>
        </w:r>
        <w:r>
          <w:rPr>
            <w:w w:val="105"/>
          </w:rPr>
          <w:t>protection</w:t>
        </w:r>
        <w:r>
          <w:rPr>
            <w:spacing w:val="4"/>
            <w:w w:val="105"/>
          </w:rPr>
          <w:t> </w:t>
        </w:r>
        <w:r>
          <w:rPr>
            <w:w w:val="105"/>
          </w:rPr>
          <w:t>laws</w:t>
          <w:tab/>
        </w:r>
        <w:r>
          <w:rPr>
            <w:spacing w:val="-5"/>
            <w:w w:val="105"/>
          </w:rPr>
          <w:t>252</w:t>
        </w:r>
      </w:hyperlink>
    </w:p>
    <w:p>
      <w:pPr>
        <w:pStyle w:val="BodyText"/>
        <w:tabs>
          <w:tab w:pos="10268" w:val="right" w:leader="dot"/>
        </w:tabs>
        <w:spacing w:before="69"/>
        <w:ind w:left="2438"/>
      </w:pPr>
      <w:hyperlink w:history="true" w:anchor="_bookmark137">
        <w:r>
          <w:rPr>
            <w:w w:val="105"/>
          </w:rPr>
          <w:t>The </w:t>
        </w:r>
        <w:r>
          <w:rPr>
            <w:spacing w:val="-4"/>
            <w:w w:val="105"/>
          </w:rPr>
          <w:t>Commission’s </w:t>
        </w:r>
        <w:r>
          <w:rPr>
            <w:w w:val="105"/>
          </w:rPr>
          <w:t>conclusions—the</w:t>
        </w:r>
        <w:r>
          <w:rPr>
            <w:spacing w:val="19"/>
            <w:w w:val="105"/>
          </w:rPr>
          <w:t> </w:t>
        </w:r>
        <w:r>
          <w:rPr>
            <w:w w:val="105"/>
          </w:rPr>
          <w:t>Heritage</w:t>
        </w:r>
        <w:r>
          <w:rPr>
            <w:spacing w:val="5"/>
            <w:w w:val="105"/>
          </w:rPr>
          <w:t> </w:t>
        </w:r>
        <w:r>
          <w:rPr>
            <w:w w:val="105"/>
          </w:rPr>
          <w:t>Act</w:t>
          <w:tab/>
        </w:r>
        <w:r>
          <w:rPr>
            <w:spacing w:val="-4"/>
            <w:w w:val="105"/>
          </w:rPr>
          <w:t>253</w:t>
        </w:r>
      </w:hyperlink>
    </w:p>
    <w:p>
      <w:pPr>
        <w:pStyle w:val="BodyText"/>
        <w:tabs>
          <w:tab w:pos="10260" w:val="right" w:leader="dot"/>
        </w:tabs>
        <w:spacing w:before="69"/>
        <w:ind w:left="2438"/>
      </w:pPr>
      <w:hyperlink w:history="true" w:anchor="_bookmark138">
        <w:r>
          <w:rPr>
            <w:w w:val="105"/>
          </w:rPr>
          <w:t>The </w:t>
        </w:r>
        <w:r>
          <w:rPr>
            <w:spacing w:val="-4"/>
            <w:w w:val="105"/>
          </w:rPr>
          <w:t>Commission’s </w:t>
        </w:r>
        <w:r>
          <w:rPr>
            <w:w w:val="105"/>
          </w:rPr>
          <w:t>conclusions—the </w:t>
        </w:r>
        <w:r>
          <w:rPr>
            <w:spacing w:val="-3"/>
            <w:w w:val="105"/>
          </w:rPr>
          <w:t>Aboriginal</w:t>
        </w:r>
        <w:r>
          <w:rPr>
            <w:spacing w:val="24"/>
            <w:w w:val="105"/>
          </w:rPr>
          <w:t> </w:t>
        </w:r>
        <w:r>
          <w:rPr>
            <w:w w:val="105"/>
          </w:rPr>
          <w:t>Heritage</w:t>
        </w:r>
        <w:r>
          <w:rPr>
            <w:spacing w:val="5"/>
            <w:w w:val="105"/>
          </w:rPr>
          <w:t> </w:t>
        </w:r>
        <w:r>
          <w:rPr>
            <w:w w:val="105"/>
          </w:rPr>
          <w:t>Act</w:t>
          <w:tab/>
        </w:r>
        <w:r>
          <w:rPr>
            <w:spacing w:val="-8"/>
            <w:w w:val="105"/>
          </w:rPr>
          <w:t>255</w:t>
        </w:r>
      </w:hyperlink>
    </w:p>
    <w:p>
      <w:pPr>
        <w:pStyle w:val="BodyText"/>
        <w:rPr>
          <w:sz w:val="28"/>
        </w:rPr>
      </w:pPr>
    </w:p>
    <w:p>
      <w:pPr>
        <w:pStyle w:val="BodyText"/>
        <w:rPr>
          <w:sz w:val="28"/>
        </w:rPr>
      </w:pPr>
    </w:p>
    <w:p>
      <w:pPr>
        <w:pStyle w:val="BodyText"/>
        <w:spacing w:before="9"/>
        <w:rPr>
          <w:sz w:val="33"/>
        </w:rPr>
      </w:pPr>
    </w:p>
    <w:p>
      <w:pPr>
        <w:spacing w:before="0"/>
        <w:ind w:left="0" w:right="662" w:firstLine="0"/>
        <w:jc w:val="right"/>
        <w:rPr>
          <w:b/>
          <w:sz w:val="24"/>
        </w:rPr>
      </w:pPr>
      <w:r>
        <w:rPr>
          <w:b/>
          <w:color w:val="658464"/>
          <w:w w:val="115"/>
          <w:sz w:val="24"/>
        </w:rPr>
        <w:t>vii</w:t>
      </w:r>
    </w:p>
    <w:p>
      <w:pPr>
        <w:spacing w:after="0"/>
        <w:jc w:val="right"/>
        <w:rPr>
          <w:sz w:val="24"/>
        </w:rPr>
        <w:sectPr>
          <w:pgSz w:w="11910" w:h="16840"/>
          <w:pgMar w:header="546" w:footer="0" w:top="1560" w:bottom="280" w:left="0" w:right="0"/>
        </w:sectPr>
      </w:pPr>
    </w:p>
    <w:p>
      <w:pPr>
        <w:pStyle w:val="BodyText"/>
        <w:spacing w:before="9"/>
        <w:rPr>
          <w:b/>
          <w:sz w:val="22"/>
        </w:rPr>
      </w:pPr>
    </w:p>
    <w:p>
      <w:pPr>
        <w:pStyle w:val="BodyText"/>
        <w:tabs>
          <w:tab w:pos="9931" w:val="left" w:leader="dot"/>
        </w:tabs>
        <w:spacing w:before="92"/>
        <w:ind w:left="2437"/>
      </w:pPr>
      <w:hyperlink w:history="true" w:anchor="_bookmark138">
        <w:r>
          <w:rPr>
            <w:w w:val="105"/>
          </w:rPr>
          <w:t>The </w:t>
        </w:r>
        <w:r>
          <w:rPr>
            <w:spacing w:val="-4"/>
            <w:w w:val="105"/>
          </w:rPr>
          <w:t>Commission’s </w:t>
        </w:r>
        <w:r>
          <w:rPr>
            <w:w w:val="105"/>
          </w:rPr>
          <w:t>conclusions—the</w:t>
        </w:r>
        <w:r>
          <w:rPr>
            <w:spacing w:val="-9"/>
            <w:w w:val="105"/>
          </w:rPr>
          <w:t> </w:t>
        </w:r>
        <w:r>
          <w:rPr>
            <w:w w:val="105"/>
          </w:rPr>
          <w:t>Fences</w:t>
        </w:r>
        <w:r>
          <w:rPr>
            <w:spacing w:val="-5"/>
            <w:w w:val="105"/>
          </w:rPr>
          <w:t> </w:t>
        </w:r>
        <w:r>
          <w:rPr>
            <w:w w:val="105"/>
          </w:rPr>
          <w:t>Act</w:t>
          <w:tab/>
        </w:r>
        <w:r>
          <w:rPr>
            <w:spacing w:val="-8"/>
            <w:w w:val="105"/>
          </w:rPr>
          <w:t>255</w:t>
        </w:r>
      </w:hyperlink>
    </w:p>
    <w:p>
      <w:pPr>
        <w:pStyle w:val="BodyText"/>
        <w:tabs>
          <w:tab w:pos="9925" w:val="left" w:leader="dot"/>
        </w:tabs>
        <w:spacing w:before="68"/>
        <w:ind w:left="2437"/>
      </w:pPr>
      <w:r>
        <w:rPr>
          <w:w w:val="105"/>
        </w:rPr>
        <w:t>The </w:t>
      </w:r>
      <w:r>
        <w:rPr>
          <w:spacing w:val="-4"/>
          <w:w w:val="105"/>
        </w:rPr>
        <w:t>Commission’s</w:t>
      </w:r>
      <w:r>
        <w:rPr>
          <w:spacing w:val="-13"/>
          <w:w w:val="105"/>
        </w:rPr>
        <w:t> </w:t>
      </w:r>
      <w:r>
        <w:rPr>
          <w:w w:val="105"/>
        </w:rPr>
        <w:t>conclusions—noxious</w:t>
      </w:r>
      <w:r>
        <w:rPr>
          <w:spacing w:val="-6"/>
          <w:w w:val="105"/>
        </w:rPr>
        <w:t> </w:t>
      </w:r>
      <w:r>
        <w:rPr>
          <w:w w:val="105"/>
        </w:rPr>
        <w:t>weeds</w:t>
      </w:r>
      <w:hyperlink w:history="true" w:anchor="_bookmark139">
        <w:r>
          <w:rPr>
            <w:w w:val="105"/>
          </w:rPr>
          <w:tab/>
        </w:r>
        <w:r>
          <w:rPr>
            <w:spacing w:val="-3"/>
            <w:w w:val="105"/>
          </w:rPr>
          <w:t>256</w:t>
        </w:r>
      </w:hyperlink>
    </w:p>
    <w:p>
      <w:pPr>
        <w:pStyle w:val="BodyText"/>
        <w:tabs>
          <w:tab w:pos="9929" w:val="left" w:leader="dot"/>
        </w:tabs>
        <w:spacing w:line="225" w:lineRule="auto" w:before="81"/>
        <w:ind w:left="2437" w:right="1636"/>
      </w:pPr>
      <w:hyperlink w:history="true" w:anchor="_bookmark140">
        <w:r>
          <w:rPr>
            <w:w w:val="105"/>
          </w:rPr>
          <w:t>The </w:t>
        </w:r>
        <w:r>
          <w:rPr>
            <w:spacing w:val="-4"/>
            <w:w w:val="105"/>
          </w:rPr>
          <w:t>Commission’s </w:t>
        </w:r>
        <w:r>
          <w:rPr>
            <w:w w:val="105"/>
          </w:rPr>
          <w:t>conclusions—the </w:t>
        </w:r>
        <w:r>
          <w:rPr>
            <w:spacing w:val="-3"/>
            <w:w w:val="105"/>
          </w:rPr>
          <w:t>Environment </w:t>
        </w:r>
        <w:r>
          <w:rPr>
            <w:w w:val="105"/>
          </w:rPr>
          <w:t>Protection and Biodiversity</w:t>
        </w:r>
      </w:hyperlink>
      <w:r>
        <w:rPr>
          <w:w w:val="105"/>
        </w:rPr>
        <w:t> </w:t>
      </w:r>
      <w:hyperlink w:history="true" w:anchor="_bookmark140">
        <w:r>
          <w:rPr>
            <w:spacing w:val="-3"/>
            <w:w w:val="105"/>
          </w:rPr>
          <w:t>Conservation</w:t>
        </w:r>
        <w:r>
          <w:rPr>
            <w:spacing w:val="9"/>
            <w:w w:val="105"/>
          </w:rPr>
          <w:t> </w:t>
        </w:r>
        <w:r>
          <w:rPr>
            <w:w w:val="105"/>
          </w:rPr>
          <w:t>Act</w:t>
          <w:tab/>
        </w:r>
        <w:r>
          <w:rPr>
            <w:spacing w:val="-13"/>
            <w:w w:val="105"/>
          </w:rPr>
          <w:t>257</w:t>
        </w:r>
      </w:hyperlink>
    </w:p>
    <w:p>
      <w:pPr>
        <w:pStyle w:val="BodyText"/>
        <w:spacing w:line="248" w:lineRule="exact" w:before="71"/>
        <w:ind w:left="2437"/>
      </w:pPr>
      <w:hyperlink w:history="true" w:anchor="_bookmark140">
        <w:r>
          <w:rPr>
            <w:w w:val="105"/>
          </w:rPr>
          <w:t>The Commission’s conclusions—further consultation required on some</w:t>
        </w:r>
      </w:hyperlink>
    </w:p>
    <w:p>
      <w:pPr>
        <w:pStyle w:val="BodyText"/>
        <w:tabs>
          <w:tab w:pos="9929" w:val="left" w:leader="dot"/>
        </w:tabs>
        <w:spacing w:line="248" w:lineRule="exact"/>
        <w:ind w:left="2437"/>
      </w:pPr>
      <w:hyperlink w:history="true" w:anchor="_bookmark140">
        <w:r>
          <w:rPr>
            <w:w w:val="105"/>
          </w:rPr>
          <w:t>other Acts</w:t>
          <w:tab/>
        </w:r>
        <w:r>
          <w:rPr>
            <w:spacing w:val="-5"/>
            <w:w w:val="105"/>
          </w:rPr>
          <w:t>257</w:t>
        </w:r>
      </w:hyperlink>
    </w:p>
    <w:p>
      <w:pPr>
        <w:pStyle w:val="Heading9"/>
        <w:numPr>
          <w:ilvl w:val="0"/>
          <w:numId w:val="1"/>
        </w:numPr>
        <w:tabs>
          <w:tab w:pos="1928" w:val="left" w:leader="none"/>
          <w:tab w:pos="9916" w:val="left" w:leader="dot"/>
        </w:tabs>
        <w:spacing w:line="240" w:lineRule="auto" w:before="69" w:after="0"/>
        <w:ind w:left="1927" w:right="0" w:hanging="340"/>
        <w:jc w:val="left"/>
      </w:pPr>
      <w:hyperlink w:history="true" w:anchor="_bookmark141">
        <w:r>
          <w:rPr>
            <w:color w:val="658464"/>
            <w:w w:val="115"/>
          </w:rPr>
          <w:t>New</w:t>
        </w:r>
        <w:r>
          <w:rPr>
            <w:color w:val="658464"/>
            <w:spacing w:val="-10"/>
            <w:w w:val="115"/>
          </w:rPr>
          <w:t> </w:t>
        </w:r>
        <w:r>
          <w:rPr>
            <w:color w:val="658464"/>
            <w:w w:val="115"/>
          </w:rPr>
          <w:t>owners</w:t>
        </w:r>
        <w:r>
          <w:rPr>
            <w:color w:val="658464"/>
            <w:spacing w:val="-9"/>
            <w:w w:val="115"/>
          </w:rPr>
          <w:t> </w:t>
        </w:r>
        <w:r>
          <w:rPr>
            <w:color w:val="658464"/>
            <w:w w:val="115"/>
          </w:rPr>
          <w:t>of</w:t>
        </w:r>
        <w:r>
          <w:rPr>
            <w:color w:val="658464"/>
            <w:spacing w:val="-9"/>
            <w:w w:val="115"/>
          </w:rPr>
          <w:t> </w:t>
        </w:r>
        <w:r>
          <w:rPr>
            <w:color w:val="658464"/>
            <w:w w:val="115"/>
          </w:rPr>
          <w:t>land</w:t>
        </w:r>
        <w:r>
          <w:rPr>
            <w:color w:val="658464"/>
            <w:spacing w:val="-10"/>
            <w:w w:val="115"/>
          </w:rPr>
          <w:t> </w:t>
        </w:r>
        <w:r>
          <w:rPr>
            <w:color w:val="658464"/>
            <w:w w:val="115"/>
          </w:rPr>
          <w:t>and</w:t>
        </w:r>
        <w:r>
          <w:rPr>
            <w:color w:val="658464"/>
            <w:spacing w:val="-9"/>
            <w:w w:val="115"/>
          </w:rPr>
          <w:t> </w:t>
        </w:r>
        <w:r>
          <w:rPr>
            <w:color w:val="658464"/>
            <w:w w:val="115"/>
          </w:rPr>
          <w:t>neighbourhood</w:t>
        </w:r>
        <w:r>
          <w:rPr>
            <w:color w:val="658464"/>
            <w:spacing w:val="-9"/>
            <w:w w:val="115"/>
          </w:rPr>
          <w:t> </w:t>
        </w:r>
        <w:r>
          <w:rPr>
            <w:color w:val="658464"/>
            <w:w w:val="115"/>
          </w:rPr>
          <w:t>tree</w:t>
        </w:r>
        <w:r>
          <w:rPr>
            <w:color w:val="658464"/>
            <w:spacing w:val="-10"/>
            <w:w w:val="115"/>
          </w:rPr>
          <w:t> </w:t>
        </w:r>
        <w:r>
          <w:rPr>
            <w:color w:val="658464"/>
            <w:w w:val="115"/>
          </w:rPr>
          <w:t>disputes</w:t>
          <w:tab/>
          <w:t>260</w:t>
        </w:r>
      </w:hyperlink>
    </w:p>
    <w:p>
      <w:pPr>
        <w:pStyle w:val="BodyText"/>
        <w:tabs>
          <w:tab w:pos="9918" w:val="left" w:leader="dot"/>
        </w:tabs>
        <w:spacing w:before="69"/>
        <w:ind w:left="2154"/>
      </w:pPr>
      <w:hyperlink w:history="true" w:anchor="_bookmark141">
        <w:r>
          <w:rPr>
            <w:w w:val="110"/>
          </w:rPr>
          <w:t>Introduction</w:t>
          <w:tab/>
          <w:t>260</w:t>
        </w:r>
      </w:hyperlink>
    </w:p>
    <w:p>
      <w:pPr>
        <w:pStyle w:val="BodyText"/>
        <w:tabs>
          <w:tab w:pos="9918" w:val="left" w:leader="dot"/>
        </w:tabs>
        <w:spacing w:before="69"/>
        <w:ind w:left="2154"/>
      </w:pPr>
      <w:hyperlink w:history="true" w:anchor="_bookmark141">
        <w:r>
          <w:rPr>
            <w:w w:val="110"/>
          </w:rPr>
          <w:t>New</w:t>
        </w:r>
        <w:r>
          <w:rPr>
            <w:spacing w:val="13"/>
            <w:w w:val="110"/>
          </w:rPr>
          <w:t> </w:t>
        </w:r>
        <w:r>
          <w:rPr>
            <w:w w:val="110"/>
          </w:rPr>
          <w:t>South</w:t>
        </w:r>
        <w:r>
          <w:rPr>
            <w:spacing w:val="14"/>
            <w:w w:val="110"/>
          </w:rPr>
          <w:t> </w:t>
        </w:r>
        <w:r>
          <w:rPr>
            <w:spacing w:val="-3"/>
            <w:w w:val="110"/>
          </w:rPr>
          <w:t>Wales</w:t>
          <w:tab/>
        </w:r>
        <w:r>
          <w:rPr>
            <w:w w:val="110"/>
          </w:rPr>
          <w:t>260</w:t>
        </w:r>
      </w:hyperlink>
    </w:p>
    <w:p>
      <w:pPr>
        <w:pStyle w:val="BodyText"/>
        <w:tabs>
          <w:tab w:pos="9932" w:val="left" w:leader="dot"/>
        </w:tabs>
        <w:spacing w:before="68"/>
        <w:ind w:left="2154"/>
      </w:pPr>
      <w:r>
        <w:rPr>
          <w:w w:val="110"/>
        </w:rPr>
        <w:t>Queensland</w:t>
        <w:tab/>
      </w:r>
      <w:r>
        <w:rPr>
          <w:spacing w:val="-10"/>
          <w:w w:val="110"/>
        </w:rPr>
        <w:t>261</w:t>
      </w:r>
    </w:p>
    <w:p>
      <w:pPr>
        <w:pStyle w:val="BodyText"/>
        <w:tabs>
          <w:tab w:pos="9921" w:val="left" w:leader="dot"/>
        </w:tabs>
        <w:spacing w:before="69"/>
        <w:ind w:left="2154"/>
      </w:pPr>
      <w:hyperlink w:history="true" w:anchor="_bookmark142">
        <w:r>
          <w:rPr>
            <w:spacing w:val="-4"/>
            <w:w w:val="110"/>
          </w:rPr>
          <w:t>Tasmania</w:t>
          <w:tab/>
        </w:r>
        <w:r>
          <w:rPr>
            <w:w w:val="110"/>
          </w:rPr>
          <w:t>262</w:t>
        </w:r>
      </w:hyperlink>
    </w:p>
    <w:p>
      <w:pPr>
        <w:pStyle w:val="BodyText"/>
        <w:tabs>
          <w:tab w:pos="9916" w:val="left" w:leader="dot"/>
        </w:tabs>
        <w:spacing w:before="69"/>
        <w:ind w:left="2154"/>
      </w:pPr>
      <w:hyperlink w:history="true" w:anchor="_bookmark143">
        <w:r>
          <w:rPr>
            <w:w w:val="110"/>
          </w:rPr>
          <w:t>Community responses—new owners </w:t>
        </w:r>
        <w:r>
          <w:rPr>
            <w:spacing w:val="9"/>
            <w:w w:val="110"/>
          </w:rPr>
          <w:t> </w:t>
        </w:r>
        <w:r>
          <w:rPr>
            <w:w w:val="110"/>
          </w:rPr>
          <w:t>of</w:t>
        </w:r>
        <w:r>
          <w:rPr>
            <w:spacing w:val="20"/>
            <w:w w:val="110"/>
          </w:rPr>
          <w:t> </w:t>
        </w:r>
        <w:r>
          <w:rPr>
            <w:w w:val="110"/>
          </w:rPr>
          <w:t>land</w:t>
          <w:tab/>
          <w:t>264</w:t>
        </w:r>
      </w:hyperlink>
    </w:p>
    <w:p>
      <w:pPr>
        <w:pStyle w:val="BodyText"/>
        <w:tabs>
          <w:tab w:pos="9918" w:val="left" w:leader="dot"/>
        </w:tabs>
        <w:spacing w:before="68"/>
        <w:ind w:left="2154"/>
      </w:pPr>
      <w:hyperlink w:history="true" w:anchor="_bookmark144">
        <w:r>
          <w:rPr>
            <w:w w:val="115"/>
          </w:rPr>
          <w:t>The</w:t>
        </w:r>
        <w:r>
          <w:rPr>
            <w:spacing w:val="-16"/>
            <w:w w:val="115"/>
          </w:rPr>
          <w:t> </w:t>
        </w:r>
        <w:r>
          <w:rPr>
            <w:w w:val="115"/>
          </w:rPr>
          <w:t>Commission’s</w:t>
        </w:r>
        <w:r>
          <w:rPr>
            <w:spacing w:val="-16"/>
            <w:w w:val="115"/>
          </w:rPr>
          <w:t> </w:t>
        </w:r>
        <w:r>
          <w:rPr>
            <w:w w:val="115"/>
          </w:rPr>
          <w:t>conclusions—new</w:t>
        </w:r>
        <w:r>
          <w:rPr>
            <w:spacing w:val="-16"/>
            <w:w w:val="115"/>
          </w:rPr>
          <w:t> </w:t>
        </w:r>
        <w:r>
          <w:rPr>
            <w:w w:val="115"/>
          </w:rPr>
          <w:t>owners</w:t>
        </w:r>
        <w:r>
          <w:rPr>
            <w:spacing w:val="-16"/>
            <w:w w:val="115"/>
          </w:rPr>
          <w:t> </w:t>
        </w:r>
        <w:r>
          <w:rPr>
            <w:w w:val="115"/>
          </w:rPr>
          <w:t>of</w:t>
        </w:r>
        <w:r>
          <w:rPr>
            <w:spacing w:val="-16"/>
            <w:w w:val="115"/>
          </w:rPr>
          <w:t> </w:t>
        </w:r>
        <w:r>
          <w:rPr>
            <w:w w:val="115"/>
          </w:rPr>
          <w:t>land</w:t>
          <w:tab/>
          <w:t>268</w:t>
        </w:r>
      </w:hyperlink>
    </w:p>
    <w:p>
      <w:pPr>
        <w:pStyle w:val="BodyText"/>
        <w:tabs>
          <w:tab w:pos="9923" w:val="left" w:leader="dot"/>
        </w:tabs>
        <w:spacing w:before="69"/>
        <w:ind w:left="2438"/>
      </w:pPr>
      <w:hyperlink w:history="true" w:anchor="_bookmark144">
        <w:r>
          <w:rPr>
            <w:spacing w:val="-3"/>
            <w:w w:val="105"/>
          </w:rPr>
          <w:t>Providing</w:t>
        </w:r>
        <w:r>
          <w:rPr>
            <w:spacing w:val="-10"/>
            <w:w w:val="105"/>
          </w:rPr>
          <w:t> </w:t>
        </w:r>
        <w:r>
          <w:rPr>
            <w:w w:val="105"/>
          </w:rPr>
          <w:t>certainty</w:t>
          <w:tab/>
        </w:r>
        <w:r>
          <w:rPr>
            <w:spacing w:val="-3"/>
            <w:w w:val="105"/>
          </w:rPr>
          <w:t>268</w:t>
        </w:r>
      </w:hyperlink>
    </w:p>
    <w:p>
      <w:pPr>
        <w:pStyle w:val="BodyText"/>
        <w:tabs>
          <w:tab w:pos="9928" w:val="left" w:leader="dot"/>
        </w:tabs>
        <w:spacing w:before="69"/>
        <w:ind w:left="2438"/>
      </w:pPr>
      <w:hyperlink w:history="true" w:anchor="_bookmark145">
        <w:r>
          <w:rPr>
            <w:w w:val="105"/>
          </w:rPr>
          <w:t>When should new owners</w:t>
        </w:r>
        <w:r>
          <w:rPr>
            <w:spacing w:val="4"/>
            <w:w w:val="105"/>
          </w:rPr>
          <w:t> </w:t>
        </w:r>
        <w:r>
          <w:rPr>
            <w:w w:val="105"/>
          </w:rPr>
          <w:t>be</w:t>
        </w:r>
        <w:r>
          <w:rPr>
            <w:spacing w:val="2"/>
            <w:w w:val="105"/>
          </w:rPr>
          <w:t> </w:t>
        </w:r>
        <w:r>
          <w:rPr>
            <w:spacing w:val="-3"/>
            <w:w w:val="105"/>
          </w:rPr>
          <w:t>bound?</w:t>
          <w:tab/>
        </w:r>
        <w:r>
          <w:rPr>
            <w:spacing w:val="-5"/>
            <w:w w:val="105"/>
          </w:rPr>
          <w:t>269</w:t>
        </w:r>
      </w:hyperlink>
    </w:p>
    <w:p>
      <w:pPr>
        <w:pStyle w:val="BodyText"/>
        <w:tabs>
          <w:tab w:pos="9933" w:val="left" w:leader="dot"/>
        </w:tabs>
        <w:spacing w:before="69"/>
        <w:ind w:left="2438"/>
      </w:pPr>
      <w:hyperlink w:history="true" w:anchor="_bookmark146">
        <w:r>
          <w:rPr>
            <w:w w:val="105"/>
          </w:rPr>
          <w:t>Who should</w:t>
        </w:r>
        <w:r>
          <w:rPr>
            <w:spacing w:val="-5"/>
            <w:w w:val="105"/>
          </w:rPr>
          <w:t> </w:t>
        </w:r>
        <w:r>
          <w:rPr>
            <w:spacing w:val="-3"/>
            <w:w w:val="105"/>
          </w:rPr>
          <w:t>inform</w:t>
        </w:r>
        <w:r>
          <w:rPr>
            <w:spacing w:val="-2"/>
            <w:w w:val="105"/>
          </w:rPr>
          <w:t> </w:t>
        </w:r>
        <w:r>
          <w:rPr>
            <w:spacing w:val="-3"/>
            <w:w w:val="105"/>
          </w:rPr>
          <w:t>purchasers?</w:t>
          <w:tab/>
        </w:r>
        <w:r>
          <w:rPr>
            <w:spacing w:val="-6"/>
            <w:w w:val="105"/>
          </w:rPr>
          <w:t>270</w:t>
        </w:r>
      </w:hyperlink>
    </w:p>
    <w:p>
      <w:pPr>
        <w:pStyle w:val="BodyText"/>
        <w:tabs>
          <w:tab w:pos="9933" w:val="left" w:leader="dot"/>
        </w:tabs>
        <w:spacing w:before="68"/>
        <w:ind w:left="2438"/>
      </w:pPr>
      <w:hyperlink w:history="true" w:anchor="_bookmark146">
        <w:r>
          <w:rPr>
            <w:w w:val="105"/>
          </w:rPr>
          <w:t>What should</w:t>
        </w:r>
        <w:r>
          <w:rPr>
            <w:spacing w:val="-14"/>
            <w:w w:val="105"/>
          </w:rPr>
          <w:t> </w:t>
        </w:r>
        <w:r>
          <w:rPr>
            <w:w w:val="105"/>
          </w:rPr>
          <w:t>be</w:t>
        </w:r>
        <w:r>
          <w:rPr>
            <w:spacing w:val="-7"/>
            <w:w w:val="105"/>
          </w:rPr>
          <w:t> </w:t>
        </w:r>
        <w:r>
          <w:rPr>
            <w:w w:val="105"/>
          </w:rPr>
          <w:t>disclosed?</w:t>
          <w:tab/>
        </w:r>
        <w:r>
          <w:rPr>
            <w:spacing w:val="-6"/>
            <w:w w:val="105"/>
          </w:rPr>
          <w:t>270</w:t>
        </w:r>
      </w:hyperlink>
    </w:p>
    <w:p>
      <w:pPr>
        <w:pStyle w:val="BodyText"/>
        <w:tabs>
          <w:tab w:pos="9933" w:val="left" w:leader="dot"/>
        </w:tabs>
        <w:spacing w:before="69"/>
        <w:ind w:left="2438"/>
      </w:pPr>
      <w:hyperlink w:history="true" w:anchor="_bookmark146">
        <w:r>
          <w:rPr>
            <w:w w:val="105"/>
          </w:rPr>
          <w:t>How should </w:t>
        </w:r>
        <w:r>
          <w:rPr>
            <w:spacing w:val="-3"/>
            <w:w w:val="105"/>
          </w:rPr>
          <w:t>notice</w:t>
        </w:r>
        <w:r>
          <w:rPr>
            <w:spacing w:val="2"/>
            <w:w w:val="105"/>
          </w:rPr>
          <w:t> </w:t>
        </w:r>
        <w:r>
          <w:rPr>
            <w:w w:val="105"/>
          </w:rPr>
          <w:t>be</w:t>
        </w:r>
        <w:r>
          <w:rPr>
            <w:spacing w:val="1"/>
            <w:w w:val="105"/>
          </w:rPr>
          <w:t> </w:t>
        </w:r>
        <w:r>
          <w:rPr>
            <w:spacing w:val="-3"/>
            <w:w w:val="105"/>
          </w:rPr>
          <w:t>provided?</w:t>
          <w:tab/>
        </w:r>
        <w:r>
          <w:rPr>
            <w:spacing w:val="-6"/>
            <w:w w:val="105"/>
          </w:rPr>
          <w:t>270</w:t>
        </w:r>
      </w:hyperlink>
    </w:p>
    <w:p>
      <w:pPr>
        <w:pStyle w:val="BodyText"/>
        <w:tabs>
          <w:tab w:pos="9937" w:val="left" w:leader="dot"/>
        </w:tabs>
        <w:spacing w:before="69"/>
        <w:ind w:left="2438"/>
      </w:pPr>
      <w:hyperlink w:history="true" w:anchor="_bookmark147">
        <w:r>
          <w:rPr/>
          <w:t>If </w:t>
        </w:r>
        <w:r>
          <w:rPr>
            <w:spacing w:val="-3"/>
          </w:rPr>
          <w:t>purchasers  are</w:t>
        </w:r>
        <w:r>
          <w:rPr>
            <w:spacing w:val="19"/>
          </w:rPr>
          <w:t> </w:t>
        </w:r>
        <w:r>
          <w:rPr>
            <w:spacing w:val="-2"/>
          </w:rPr>
          <w:t>not</w:t>
        </w:r>
        <w:r>
          <w:rPr>
            <w:spacing w:val="20"/>
          </w:rPr>
          <w:t> </w:t>
        </w:r>
        <w:r>
          <w:rPr>
            <w:spacing w:val="-3"/>
          </w:rPr>
          <w:t>informed</w:t>
          <w:tab/>
        </w:r>
        <w:r>
          <w:rPr>
            <w:spacing w:val="-11"/>
          </w:rPr>
          <w:t>271</w:t>
        </w:r>
      </w:hyperlink>
    </w:p>
    <w:p>
      <w:pPr>
        <w:pStyle w:val="BodyText"/>
        <w:tabs>
          <w:tab w:pos="9930" w:val="left" w:leader="dot"/>
        </w:tabs>
        <w:spacing w:before="69"/>
        <w:ind w:left="2438"/>
      </w:pPr>
      <w:hyperlink w:history="true" w:anchor="_bookmark148">
        <w:r>
          <w:rPr>
            <w:spacing w:val="-3"/>
            <w:w w:val="105"/>
          </w:rPr>
          <w:t>Joining </w:t>
        </w:r>
        <w:r>
          <w:rPr>
            <w:w w:val="105"/>
          </w:rPr>
          <w:t>new parties</w:t>
        </w:r>
        <w:r>
          <w:rPr>
            <w:spacing w:val="9"/>
            <w:w w:val="105"/>
          </w:rPr>
          <w:t> </w:t>
        </w:r>
        <w:r>
          <w:rPr>
            <w:spacing w:val="-3"/>
            <w:w w:val="105"/>
          </w:rPr>
          <w:t>to</w:t>
        </w:r>
        <w:r>
          <w:rPr>
            <w:spacing w:val="3"/>
            <w:w w:val="105"/>
          </w:rPr>
          <w:t> </w:t>
        </w:r>
        <w:r>
          <w:rPr>
            <w:spacing w:val="-3"/>
            <w:w w:val="105"/>
          </w:rPr>
          <w:t>proceedings</w:t>
          <w:tab/>
        </w:r>
        <w:r>
          <w:rPr>
            <w:spacing w:val="-5"/>
            <w:w w:val="105"/>
          </w:rPr>
          <w:t>272</w:t>
        </w:r>
      </w:hyperlink>
    </w:p>
    <w:p>
      <w:pPr>
        <w:pStyle w:val="BodyText"/>
        <w:tabs>
          <w:tab w:pos="9930" w:val="left" w:leader="dot"/>
        </w:tabs>
        <w:spacing w:before="68"/>
        <w:ind w:left="2438"/>
      </w:pPr>
      <w:hyperlink w:history="true" w:anchor="_bookmark149">
        <w:r>
          <w:rPr>
            <w:w w:val="105"/>
          </w:rPr>
          <w:t>Not</w:t>
        </w:r>
        <w:r>
          <w:rPr>
            <w:spacing w:val="-9"/>
            <w:w w:val="105"/>
          </w:rPr>
          <w:t> </w:t>
        </w:r>
        <w:r>
          <w:rPr>
            <w:w w:val="105"/>
          </w:rPr>
          <w:t>recommended:</w:t>
        </w:r>
        <w:r>
          <w:rPr>
            <w:spacing w:val="-9"/>
            <w:w w:val="105"/>
          </w:rPr>
          <w:t> </w:t>
        </w:r>
        <w:r>
          <w:rPr>
            <w:w w:val="105"/>
          </w:rPr>
          <w:t>a</w:t>
        </w:r>
        <w:r>
          <w:rPr>
            <w:spacing w:val="-9"/>
            <w:w w:val="105"/>
          </w:rPr>
          <w:t> </w:t>
        </w:r>
        <w:r>
          <w:rPr>
            <w:spacing w:val="-3"/>
            <w:w w:val="105"/>
          </w:rPr>
          <w:t>searchable</w:t>
        </w:r>
        <w:r>
          <w:rPr>
            <w:spacing w:val="-9"/>
            <w:w w:val="105"/>
          </w:rPr>
          <w:t> </w:t>
        </w:r>
        <w:r>
          <w:rPr>
            <w:w w:val="105"/>
          </w:rPr>
          <w:t>database</w:t>
        </w:r>
        <w:r>
          <w:rPr>
            <w:spacing w:val="-9"/>
            <w:w w:val="105"/>
          </w:rPr>
          <w:t> </w:t>
        </w:r>
        <w:r>
          <w:rPr>
            <w:w w:val="105"/>
          </w:rPr>
          <w:t>of</w:t>
        </w:r>
        <w:r>
          <w:rPr>
            <w:spacing w:val="-9"/>
            <w:w w:val="105"/>
          </w:rPr>
          <w:t> </w:t>
        </w:r>
        <w:r>
          <w:rPr>
            <w:w w:val="105"/>
          </w:rPr>
          <w:t>orders</w:t>
          <w:tab/>
        </w:r>
        <w:r>
          <w:rPr>
            <w:spacing w:val="-5"/>
            <w:w w:val="105"/>
          </w:rPr>
          <w:t>273</w:t>
        </w:r>
      </w:hyperlink>
    </w:p>
    <w:p>
      <w:pPr>
        <w:pStyle w:val="Heading9"/>
        <w:numPr>
          <w:ilvl w:val="0"/>
          <w:numId w:val="1"/>
        </w:numPr>
        <w:tabs>
          <w:tab w:pos="1929" w:val="left" w:leader="none"/>
          <w:tab w:pos="9926" w:val="left" w:leader="dot"/>
        </w:tabs>
        <w:spacing w:line="240" w:lineRule="auto" w:before="69" w:after="0"/>
        <w:ind w:left="1928" w:right="0" w:hanging="341"/>
        <w:jc w:val="left"/>
      </w:pPr>
      <w:hyperlink w:history="true" w:anchor="_bookmark150">
        <w:r>
          <w:rPr>
            <w:color w:val="658464"/>
            <w:w w:val="110"/>
          </w:rPr>
          <w:t>Community resources for neighbourhood </w:t>
        </w:r>
        <w:r>
          <w:rPr>
            <w:color w:val="658464"/>
            <w:spacing w:val="35"/>
            <w:w w:val="110"/>
          </w:rPr>
          <w:t> </w:t>
        </w:r>
        <w:r>
          <w:rPr>
            <w:color w:val="658464"/>
            <w:w w:val="110"/>
          </w:rPr>
          <w:t>tree</w:t>
        </w:r>
        <w:r>
          <w:rPr>
            <w:color w:val="658464"/>
            <w:spacing w:val="22"/>
            <w:w w:val="110"/>
          </w:rPr>
          <w:t> </w:t>
        </w:r>
        <w:r>
          <w:rPr>
            <w:color w:val="658464"/>
            <w:w w:val="110"/>
          </w:rPr>
          <w:t>disputes</w:t>
          <w:tab/>
        </w:r>
        <w:r>
          <w:rPr>
            <w:color w:val="658464"/>
            <w:spacing w:val="-6"/>
            <w:w w:val="110"/>
          </w:rPr>
          <w:t>276</w:t>
        </w:r>
      </w:hyperlink>
    </w:p>
    <w:p>
      <w:pPr>
        <w:pStyle w:val="BodyText"/>
        <w:tabs>
          <w:tab w:pos="9928" w:val="left" w:leader="dot"/>
        </w:tabs>
        <w:spacing w:before="69"/>
        <w:ind w:left="2154"/>
      </w:pPr>
      <w:hyperlink w:history="true" w:anchor="_bookmark150">
        <w:r>
          <w:rPr>
            <w:w w:val="110"/>
          </w:rPr>
          <w:t>Introduction</w:t>
          <w:tab/>
        </w:r>
        <w:r>
          <w:rPr>
            <w:spacing w:val="-6"/>
            <w:w w:val="110"/>
          </w:rPr>
          <w:t>276</w:t>
        </w:r>
      </w:hyperlink>
    </w:p>
    <w:p>
      <w:pPr>
        <w:pStyle w:val="BodyText"/>
        <w:tabs>
          <w:tab w:pos="9928" w:val="left" w:leader="dot"/>
        </w:tabs>
        <w:spacing w:before="68"/>
        <w:ind w:left="2154"/>
      </w:pPr>
      <w:hyperlink w:history="true" w:anchor="_bookmark150">
        <w:r>
          <w:rPr>
            <w:w w:val="110"/>
          </w:rPr>
          <w:t>Current</w:t>
        </w:r>
        <w:r>
          <w:rPr>
            <w:spacing w:val="5"/>
            <w:w w:val="110"/>
          </w:rPr>
          <w:t> </w:t>
        </w:r>
        <w:r>
          <w:rPr>
            <w:w w:val="110"/>
          </w:rPr>
          <w:t>resources</w:t>
          <w:tab/>
        </w:r>
        <w:r>
          <w:rPr>
            <w:spacing w:val="-6"/>
            <w:w w:val="110"/>
          </w:rPr>
          <w:t>276</w:t>
        </w:r>
      </w:hyperlink>
    </w:p>
    <w:p>
      <w:pPr>
        <w:pStyle w:val="BodyText"/>
        <w:tabs>
          <w:tab w:pos="9935" w:val="left" w:leader="dot"/>
        </w:tabs>
        <w:spacing w:before="69"/>
        <w:ind w:left="2438"/>
      </w:pPr>
      <w:hyperlink w:history="true" w:anchor="_bookmark150">
        <w:r>
          <w:rPr>
            <w:spacing w:val="-2"/>
            <w:w w:val="105"/>
          </w:rPr>
          <w:t>Responsible</w:t>
        </w:r>
        <w:r>
          <w:rPr>
            <w:spacing w:val="-6"/>
            <w:w w:val="105"/>
          </w:rPr>
          <w:t> </w:t>
        </w:r>
        <w:r>
          <w:rPr>
            <w:w w:val="105"/>
          </w:rPr>
          <w:t>tree</w:t>
        </w:r>
        <w:r>
          <w:rPr>
            <w:spacing w:val="-5"/>
            <w:w w:val="105"/>
          </w:rPr>
          <w:t> </w:t>
        </w:r>
        <w:r>
          <w:rPr>
            <w:spacing w:val="-3"/>
            <w:w w:val="105"/>
          </w:rPr>
          <w:t>planting</w:t>
          <w:tab/>
        </w:r>
        <w:r>
          <w:rPr>
            <w:spacing w:val="-10"/>
            <w:w w:val="105"/>
          </w:rPr>
          <w:t>276</w:t>
        </w:r>
      </w:hyperlink>
    </w:p>
    <w:p>
      <w:pPr>
        <w:pStyle w:val="BodyText"/>
        <w:tabs>
          <w:tab w:pos="9928" w:val="left" w:leader="dot"/>
        </w:tabs>
        <w:spacing w:before="69"/>
        <w:ind w:left="2438"/>
      </w:pPr>
      <w:hyperlink w:history="true" w:anchor="_bookmark151">
        <w:r>
          <w:rPr>
            <w:spacing w:val="-5"/>
            <w:w w:val="105"/>
          </w:rPr>
          <w:t>Talking </w:t>
        </w:r>
        <w:r>
          <w:rPr>
            <w:w w:val="105"/>
          </w:rPr>
          <w:t>with</w:t>
        </w:r>
        <w:r>
          <w:rPr>
            <w:spacing w:val="13"/>
            <w:w w:val="105"/>
          </w:rPr>
          <w:t> </w:t>
        </w:r>
        <w:r>
          <w:rPr>
            <w:w w:val="105"/>
          </w:rPr>
          <w:t>your</w:t>
        </w:r>
        <w:r>
          <w:rPr>
            <w:spacing w:val="4"/>
            <w:w w:val="105"/>
          </w:rPr>
          <w:t> </w:t>
        </w:r>
        <w:r>
          <w:rPr>
            <w:spacing w:val="-3"/>
            <w:w w:val="105"/>
          </w:rPr>
          <w:t>neighbour</w:t>
          <w:tab/>
        </w:r>
        <w:r>
          <w:rPr>
            <w:spacing w:val="-4"/>
            <w:w w:val="105"/>
          </w:rPr>
          <w:t>277</w:t>
        </w:r>
      </w:hyperlink>
    </w:p>
    <w:p>
      <w:pPr>
        <w:pStyle w:val="BodyText"/>
        <w:tabs>
          <w:tab w:pos="9931" w:val="left" w:leader="dot"/>
        </w:tabs>
        <w:spacing w:before="69"/>
        <w:ind w:left="2438"/>
      </w:pPr>
      <w:hyperlink w:history="true" w:anchor="_bookmark152">
        <w:r>
          <w:rPr>
            <w:spacing w:val="-3"/>
            <w:w w:val="110"/>
          </w:rPr>
          <w:t>Engaging</w:t>
        </w:r>
        <w:r>
          <w:rPr>
            <w:spacing w:val="-18"/>
            <w:w w:val="110"/>
          </w:rPr>
          <w:t> </w:t>
        </w:r>
        <w:r>
          <w:rPr>
            <w:w w:val="110"/>
          </w:rPr>
          <w:t>an</w:t>
        </w:r>
        <w:r>
          <w:rPr>
            <w:spacing w:val="-17"/>
            <w:w w:val="110"/>
          </w:rPr>
          <w:t> </w:t>
        </w:r>
        <w:r>
          <w:rPr>
            <w:w w:val="110"/>
          </w:rPr>
          <w:t>arborist</w:t>
          <w:tab/>
        </w:r>
        <w:r>
          <w:rPr>
            <w:spacing w:val="-5"/>
            <w:w w:val="110"/>
          </w:rPr>
          <w:t>278</w:t>
        </w:r>
      </w:hyperlink>
    </w:p>
    <w:p>
      <w:pPr>
        <w:pStyle w:val="BodyText"/>
        <w:tabs>
          <w:tab w:pos="9931" w:val="left" w:leader="dot"/>
        </w:tabs>
        <w:spacing w:before="68"/>
        <w:ind w:left="2438"/>
      </w:pPr>
      <w:hyperlink w:history="true" w:anchor="_bookmark153">
        <w:r>
          <w:rPr>
            <w:spacing w:val="-3"/>
          </w:rPr>
          <w:t>Alternative</w:t>
        </w:r>
        <w:r>
          <w:rPr>
            <w:spacing w:val="19"/>
          </w:rPr>
          <w:t> </w:t>
        </w:r>
        <w:r>
          <w:rPr>
            <w:spacing w:val="-3"/>
          </w:rPr>
          <w:t>dispute</w:t>
        </w:r>
        <w:r>
          <w:rPr>
            <w:spacing w:val="20"/>
          </w:rPr>
          <w:t> </w:t>
        </w:r>
        <w:r>
          <w:rPr/>
          <w:t>resolution</w:t>
          <w:tab/>
        </w:r>
        <w:r>
          <w:rPr>
            <w:spacing w:val="-5"/>
          </w:rPr>
          <w:t>279</w:t>
        </w:r>
      </w:hyperlink>
    </w:p>
    <w:p>
      <w:pPr>
        <w:pStyle w:val="BodyText"/>
        <w:tabs>
          <w:tab w:pos="9931" w:val="left" w:leader="dot"/>
        </w:tabs>
        <w:spacing w:before="69"/>
        <w:ind w:left="2438"/>
      </w:pPr>
      <w:hyperlink w:history="true" w:anchor="_bookmark153">
        <w:r>
          <w:rPr>
            <w:w w:val="105"/>
          </w:rPr>
          <w:t>Court/Tribunal</w:t>
        </w:r>
        <w:r>
          <w:rPr>
            <w:spacing w:val="-18"/>
            <w:w w:val="105"/>
          </w:rPr>
          <w:t> </w:t>
        </w:r>
        <w:r>
          <w:rPr>
            <w:spacing w:val="-3"/>
            <w:w w:val="105"/>
          </w:rPr>
          <w:t>resources</w:t>
          <w:tab/>
        </w:r>
        <w:r>
          <w:rPr>
            <w:spacing w:val="-5"/>
            <w:w w:val="105"/>
          </w:rPr>
          <w:t>279</w:t>
        </w:r>
      </w:hyperlink>
    </w:p>
    <w:p>
      <w:pPr>
        <w:pStyle w:val="BodyText"/>
        <w:tabs>
          <w:tab w:pos="9914" w:val="left" w:leader="dot"/>
        </w:tabs>
        <w:spacing w:before="69"/>
        <w:ind w:left="2154"/>
      </w:pPr>
      <w:hyperlink w:history="true" w:anchor="_bookmark154">
        <w:r>
          <w:rPr>
            <w:w w:val="110"/>
          </w:rPr>
          <w:t>Other</w:t>
        </w:r>
        <w:r>
          <w:rPr>
            <w:spacing w:val="19"/>
            <w:w w:val="110"/>
          </w:rPr>
          <w:t> </w:t>
        </w:r>
        <w:r>
          <w:rPr>
            <w:w w:val="110"/>
          </w:rPr>
          <w:t>jurisdictions—community</w:t>
        </w:r>
        <w:r>
          <w:rPr>
            <w:spacing w:val="19"/>
            <w:w w:val="110"/>
          </w:rPr>
          <w:t> </w:t>
        </w:r>
        <w:r>
          <w:rPr>
            <w:w w:val="110"/>
          </w:rPr>
          <w:t>resources</w:t>
          <w:tab/>
          <w:t>280</w:t>
        </w:r>
      </w:hyperlink>
    </w:p>
    <w:p>
      <w:pPr>
        <w:pStyle w:val="BodyText"/>
        <w:tabs>
          <w:tab w:pos="9917" w:val="left" w:leader="dot"/>
        </w:tabs>
        <w:spacing w:before="69"/>
        <w:ind w:left="2154"/>
      </w:pPr>
      <w:hyperlink w:history="true" w:anchor="_bookmark155">
        <w:r>
          <w:rPr>
            <w:w w:val="110"/>
          </w:rPr>
          <w:t>Community</w:t>
        </w:r>
        <w:r>
          <w:rPr>
            <w:spacing w:val="16"/>
            <w:w w:val="110"/>
          </w:rPr>
          <w:t> </w:t>
        </w:r>
        <w:r>
          <w:rPr>
            <w:w w:val="110"/>
          </w:rPr>
          <w:t>responses—community</w:t>
        </w:r>
        <w:r>
          <w:rPr>
            <w:spacing w:val="17"/>
            <w:w w:val="110"/>
          </w:rPr>
          <w:t> </w:t>
        </w:r>
        <w:r>
          <w:rPr>
            <w:w w:val="110"/>
          </w:rPr>
          <w:t>resources</w:t>
          <w:tab/>
          <w:t>282</w:t>
        </w:r>
      </w:hyperlink>
    </w:p>
    <w:p>
      <w:pPr>
        <w:pStyle w:val="BodyText"/>
        <w:tabs>
          <w:tab w:pos="9918" w:val="left" w:leader="dot"/>
        </w:tabs>
        <w:spacing w:before="68"/>
        <w:ind w:left="2154"/>
      </w:pPr>
      <w:hyperlink w:history="true" w:anchor="_bookmark156">
        <w:r>
          <w:rPr>
            <w:w w:val="110"/>
          </w:rPr>
          <w:t>The Commission’s</w:t>
        </w:r>
        <w:r>
          <w:rPr>
            <w:spacing w:val="20"/>
            <w:w w:val="110"/>
          </w:rPr>
          <w:t> </w:t>
        </w:r>
        <w:r>
          <w:rPr>
            <w:w w:val="110"/>
          </w:rPr>
          <w:t>conclusions—community</w:t>
        </w:r>
        <w:r>
          <w:rPr>
            <w:spacing w:val="11"/>
            <w:w w:val="110"/>
          </w:rPr>
          <w:t> </w:t>
        </w:r>
        <w:r>
          <w:rPr>
            <w:w w:val="110"/>
          </w:rPr>
          <w:t>resources</w:t>
          <w:tab/>
          <w:t>283</w:t>
        </w:r>
      </w:hyperlink>
    </w:p>
    <w:p>
      <w:pPr>
        <w:pStyle w:val="BodyText"/>
        <w:tabs>
          <w:tab w:pos="9924" w:val="left" w:leader="dot"/>
        </w:tabs>
        <w:spacing w:before="69"/>
        <w:ind w:left="2438"/>
      </w:pPr>
      <w:hyperlink w:history="true" w:anchor="_bookmark156">
        <w:r>
          <w:rPr>
            <w:w w:val="105"/>
          </w:rPr>
          <w:t>A new tree</w:t>
        </w:r>
        <w:r>
          <w:rPr>
            <w:spacing w:val="-2"/>
            <w:w w:val="105"/>
          </w:rPr>
          <w:t> </w:t>
        </w:r>
        <w:r>
          <w:rPr>
            <w:spacing w:val="-3"/>
            <w:w w:val="105"/>
          </w:rPr>
          <w:t>disputes</w:t>
        </w:r>
        <w:r>
          <w:rPr>
            <w:spacing w:val="-1"/>
            <w:w w:val="105"/>
          </w:rPr>
          <w:t> </w:t>
        </w:r>
        <w:r>
          <w:rPr>
            <w:spacing w:val="-3"/>
            <w:w w:val="105"/>
          </w:rPr>
          <w:t>website</w:t>
          <w:tab/>
          <w:t>283</w:t>
        </w:r>
      </w:hyperlink>
    </w:p>
    <w:p>
      <w:pPr>
        <w:pStyle w:val="BodyText"/>
        <w:tabs>
          <w:tab w:pos="9926" w:val="left" w:leader="dot"/>
        </w:tabs>
        <w:spacing w:before="69"/>
        <w:ind w:left="2438"/>
      </w:pPr>
      <w:hyperlink w:history="true" w:anchor="_bookmark157">
        <w:r>
          <w:rPr>
            <w:spacing w:val="-3"/>
            <w:w w:val="105"/>
          </w:rPr>
          <w:t>Information </w:t>
        </w:r>
        <w:r>
          <w:rPr>
            <w:w w:val="105"/>
          </w:rPr>
          <w:t>provided</w:t>
        </w:r>
        <w:r>
          <w:rPr>
            <w:spacing w:val="6"/>
            <w:w w:val="105"/>
          </w:rPr>
          <w:t> </w:t>
        </w:r>
        <w:r>
          <w:rPr>
            <w:w w:val="105"/>
          </w:rPr>
          <w:t>by</w:t>
        </w:r>
        <w:r>
          <w:rPr>
            <w:spacing w:val="2"/>
            <w:w w:val="105"/>
          </w:rPr>
          <w:t> </w:t>
        </w:r>
        <w:r>
          <w:rPr>
            <w:spacing w:val="-5"/>
            <w:w w:val="105"/>
          </w:rPr>
          <w:t>VCAT</w:t>
          <w:tab/>
        </w:r>
        <w:r>
          <w:rPr>
            <w:spacing w:val="-4"/>
            <w:w w:val="105"/>
          </w:rPr>
          <w:t>285</w:t>
        </w:r>
      </w:hyperlink>
    </w:p>
    <w:p>
      <w:pPr>
        <w:pStyle w:val="BodyText"/>
        <w:tabs>
          <w:tab w:pos="9922" w:val="left" w:leader="dot"/>
        </w:tabs>
        <w:spacing w:before="69"/>
        <w:ind w:left="2438"/>
      </w:pPr>
      <w:hyperlink w:history="true" w:anchor="_bookmark158">
        <w:r>
          <w:rPr>
            <w:spacing w:val="-3"/>
            <w:w w:val="105"/>
          </w:rPr>
          <w:t>Improving </w:t>
        </w:r>
        <w:r>
          <w:rPr>
            <w:w w:val="105"/>
          </w:rPr>
          <w:t>awareness</w:t>
        </w:r>
        <w:r>
          <w:rPr>
            <w:spacing w:val="7"/>
            <w:w w:val="105"/>
          </w:rPr>
          <w:t> </w:t>
        </w:r>
        <w:r>
          <w:rPr>
            <w:w w:val="105"/>
          </w:rPr>
          <w:t>of</w:t>
        </w:r>
        <w:r>
          <w:rPr>
            <w:spacing w:val="3"/>
            <w:w w:val="105"/>
          </w:rPr>
          <w:t> </w:t>
        </w:r>
        <w:r>
          <w:rPr>
            <w:w w:val="105"/>
          </w:rPr>
          <w:t>DSCV</w:t>
          <w:tab/>
          <w:t>286</w:t>
        </w:r>
      </w:hyperlink>
    </w:p>
    <w:p>
      <w:pPr>
        <w:pStyle w:val="BodyText"/>
        <w:tabs>
          <w:tab w:pos="9922" w:val="left" w:leader="dot"/>
        </w:tabs>
        <w:spacing w:before="68"/>
        <w:ind w:left="2438"/>
      </w:pPr>
      <w:hyperlink w:history="true" w:anchor="_bookmark158">
        <w:r>
          <w:rPr>
            <w:w w:val="105"/>
          </w:rPr>
          <w:t>Local</w:t>
        </w:r>
        <w:r>
          <w:rPr>
            <w:spacing w:val="-3"/>
            <w:w w:val="105"/>
          </w:rPr>
          <w:t> council resources</w:t>
          <w:tab/>
        </w:r>
        <w:r>
          <w:rPr>
            <w:w w:val="105"/>
          </w:rPr>
          <w:t>286</w:t>
        </w:r>
      </w:hyperlink>
    </w:p>
    <w:p>
      <w:pPr>
        <w:pStyle w:val="BodyText"/>
        <w:tabs>
          <w:tab w:pos="9927" w:val="left" w:leader="dot"/>
        </w:tabs>
        <w:spacing w:before="69"/>
        <w:ind w:left="2438"/>
      </w:pPr>
      <w:hyperlink w:history="true" w:anchor="_bookmark159">
        <w:r>
          <w:rPr>
            <w:w w:val="105"/>
          </w:rPr>
          <w:t>Further</w:t>
        </w:r>
        <w:r>
          <w:rPr>
            <w:spacing w:val="-17"/>
            <w:w w:val="105"/>
          </w:rPr>
          <w:t> </w:t>
        </w:r>
        <w:r>
          <w:rPr>
            <w:w w:val="105"/>
          </w:rPr>
          <w:t>community</w:t>
        </w:r>
        <w:r>
          <w:rPr>
            <w:spacing w:val="-17"/>
            <w:w w:val="105"/>
          </w:rPr>
          <w:t> </w:t>
        </w:r>
        <w:r>
          <w:rPr>
            <w:w w:val="105"/>
          </w:rPr>
          <w:t>education</w:t>
          <w:tab/>
        </w:r>
        <w:r>
          <w:rPr>
            <w:spacing w:val="-4"/>
            <w:w w:val="105"/>
          </w:rPr>
          <w:t>287</w:t>
        </w:r>
      </w:hyperlink>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7"/>
        <w:rPr>
          <w:sz w:val="22"/>
        </w:rPr>
      </w:pPr>
    </w:p>
    <w:p>
      <w:pPr>
        <w:spacing w:before="0"/>
        <w:ind w:left="720" w:right="0" w:firstLine="0"/>
        <w:jc w:val="left"/>
        <w:rPr>
          <w:b/>
          <w:sz w:val="24"/>
        </w:rPr>
      </w:pPr>
      <w:r>
        <w:rPr>
          <w:b/>
          <w:color w:val="658464"/>
          <w:w w:val="115"/>
          <w:sz w:val="24"/>
        </w:rPr>
        <w:t>viii</w:t>
      </w:r>
    </w:p>
    <w:p>
      <w:pPr>
        <w:spacing w:after="0"/>
        <w:jc w:val="left"/>
        <w:rPr>
          <w:sz w:val="24"/>
        </w:rPr>
        <w:sectPr>
          <w:pgSz w:w="11910" w:h="16840"/>
          <w:pgMar w:header="1372" w:footer="0" w:top="1560" w:bottom="280" w:left="0" w:right="0"/>
        </w:sectPr>
      </w:pPr>
    </w:p>
    <w:p>
      <w:pPr>
        <w:pStyle w:val="BodyText"/>
        <w:spacing w:before="4"/>
        <w:rPr>
          <w:b/>
          <w:sz w:val="22"/>
        </w:rPr>
      </w:pPr>
    </w:p>
    <w:p>
      <w:pPr>
        <w:pStyle w:val="Heading9"/>
        <w:numPr>
          <w:ilvl w:val="0"/>
          <w:numId w:val="1"/>
        </w:numPr>
        <w:tabs>
          <w:tab w:pos="1928" w:val="left" w:leader="none"/>
          <w:tab w:pos="10267" w:val="right" w:leader="dot"/>
        </w:tabs>
        <w:spacing w:line="240" w:lineRule="auto" w:before="97" w:after="0"/>
        <w:ind w:left="1927" w:right="0" w:hanging="340"/>
        <w:jc w:val="left"/>
      </w:pPr>
      <w:hyperlink w:history="true" w:anchor="_bookmark160">
        <w:r>
          <w:rPr>
            <w:color w:val="658464"/>
            <w:w w:val="110"/>
          </w:rPr>
          <w:t>Other matters</w:t>
        </w:r>
        <w:r>
          <w:rPr>
            <w:color w:val="658464"/>
            <w:spacing w:val="7"/>
            <w:w w:val="110"/>
          </w:rPr>
          <w:t> </w:t>
        </w:r>
        <w:r>
          <w:rPr>
            <w:color w:val="658464"/>
            <w:w w:val="110"/>
          </w:rPr>
          <w:t>and</w:t>
        </w:r>
        <w:r>
          <w:rPr>
            <w:color w:val="658464"/>
            <w:spacing w:val="4"/>
            <w:w w:val="110"/>
          </w:rPr>
          <w:t> </w:t>
        </w:r>
        <w:r>
          <w:rPr>
            <w:color w:val="658464"/>
            <w:w w:val="110"/>
          </w:rPr>
          <w:t>conclusions</w:t>
          <w:tab/>
          <w:t>290</w:t>
        </w:r>
      </w:hyperlink>
    </w:p>
    <w:p>
      <w:pPr>
        <w:pStyle w:val="BodyText"/>
        <w:tabs>
          <w:tab w:pos="10267" w:val="right" w:leader="dot"/>
        </w:tabs>
        <w:spacing w:before="68"/>
        <w:ind w:left="2154"/>
      </w:pPr>
      <w:hyperlink w:history="true" w:anchor="_bookmark160">
        <w:r>
          <w:rPr>
            <w:w w:val="110"/>
          </w:rPr>
          <w:t>Introduction</w:t>
          <w:tab/>
          <w:t>290</w:t>
        </w:r>
      </w:hyperlink>
    </w:p>
    <w:p>
      <w:pPr>
        <w:pStyle w:val="BodyText"/>
        <w:tabs>
          <w:tab w:pos="10267" w:val="right" w:leader="dot"/>
        </w:tabs>
        <w:spacing w:before="69"/>
        <w:ind w:left="2154"/>
      </w:pPr>
      <w:hyperlink w:history="true" w:anchor="_bookmark160">
        <w:r>
          <w:rPr>
            <w:w w:val="115"/>
          </w:rPr>
          <w:t>Online dispute resolution</w:t>
          <w:tab/>
          <w:t>290</w:t>
        </w:r>
      </w:hyperlink>
    </w:p>
    <w:p>
      <w:pPr>
        <w:pStyle w:val="BodyText"/>
        <w:tabs>
          <w:tab w:pos="10267" w:val="right" w:leader="dot"/>
        </w:tabs>
        <w:spacing w:before="69"/>
        <w:ind w:left="2437"/>
      </w:pPr>
      <w:hyperlink w:history="true" w:anchor="_bookmark161">
        <w:r>
          <w:rPr>
            <w:spacing w:val="-3"/>
            <w:w w:val="105"/>
          </w:rPr>
          <w:t>Community </w:t>
        </w:r>
        <w:r>
          <w:rPr>
            <w:w w:val="105"/>
          </w:rPr>
          <w:t>responses—online</w:t>
        </w:r>
        <w:r>
          <w:rPr>
            <w:spacing w:val="11"/>
            <w:w w:val="105"/>
          </w:rPr>
          <w:t> </w:t>
        </w:r>
        <w:r>
          <w:rPr>
            <w:spacing w:val="-3"/>
            <w:w w:val="105"/>
          </w:rPr>
          <w:t>dispute</w:t>
        </w:r>
        <w:r>
          <w:rPr>
            <w:spacing w:val="5"/>
            <w:w w:val="105"/>
          </w:rPr>
          <w:t> </w:t>
        </w:r>
        <w:r>
          <w:rPr>
            <w:w w:val="105"/>
          </w:rPr>
          <w:t>resolution</w:t>
          <w:tab/>
        </w:r>
        <w:r>
          <w:rPr>
            <w:spacing w:val="-4"/>
            <w:w w:val="105"/>
          </w:rPr>
          <w:t>292</w:t>
        </w:r>
      </w:hyperlink>
    </w:p>
    <w:p>
      <w:pPr>
        <w:pStyle w:val="BodyText"/>
        <w:tabs>
          <w:tab w:pos="10267" w:val="right" w:leader="dot"/>
        </w:tabs>
        <w:spacing w:before="69"/>
        <w:ind w:left="2437"/>
      </w:pPr>
      <w:hyperlink w:history="true" w:anchor="_bookmark161">
        <w:r>
          <w:rPr>
            <w:w w:val="105"/>
          </w:rPr>
          <w:t>The </w:t>
        </w:r>
        <w:r>
          <w:rPr>
            <w:spacing w:val="-4"/>
            <w:w w:val="105"/>
          </w:rPr>
          <w:t>Commission’s </w:t>
        </w:r>
        <w:r>
          <w:rPr>
            <w:w w:val="105"/>
          </w:rPr>
          <w:t>conclusions—online</w:t>
        </w:r>
        <w:r>
          <w:rPr>
            <w:spacing w:val="15"/>
            <w:w w:val="105"/>
          </w:rPr>
          <w:t> </w:t>
        </w:r>
        <w:r>
          <w:rPr>
            <w:spacing w:val="-3"/>
            <w:w w:val="105"/>
          </w:rPr>
          <w:t>dispute</w:t>
        </w:r>
        <w:r>
          <w:rPr>
            <w:spacing w:val="4"/>
            <w:w w:val="105"/>
          </w:rPr>
          <w:t> </w:t>
        </w:r>
        <w:r>
          <w:rPr>
            <w:w w:val="105"/>
          </w:rPr>
          <w:t>resolution</w:t>
          <w:tab/>
        </w:r>
        <w:r>
          <w:rPr>
            <w:spacing w:val="-4"/>
            <w:w w:val="105"/>
          </w:rPr>
          <w:t>292</w:t>
        </w:r>
      </w:hyperlink>
    </w:p>
    <w:p>
      <w:pPr>
        <w:pStyle w:val="BodyText"/>
        <w:tabs>
          <w:tab w:pos="10262" w:val="right" w:leader="dot"/>
        </w:tabs>
        <w:spacing w:before="68"/>
        <w:ind w:left="2154"/>
      </w:pPr>
      <w:hyperlink w:history="true" w:anchor="_bookmark162">
        <w:r>
          <w:rPr>
            <w:w w:val="115"/>
          </w:rPr>
          <w:t>Other options for</w:t>
        </w:r>
        <w:r>
          <w:rPr>
            <w:spacing w:val="1"/>
            <w:w w:val="115"/>
          </w:rPr>
          <w:t> </w:t>
        </w:r>
        <w:r>
          <w:rPr>
            <w:w w:val="115"/>
          </w:rPr>
          <w:t>law reform</w:t>
          <w:tab/>
        </w:r>
        <w:r>
          <w:rPr>
            <w:spacing w:val="-4"/>
            <w:w w:val="115"/>
          </w:rPr>
          <w:t>293</w:t>
        </w:r>
      </w:hyperlink>
    </w:p>
    <w:p>
      <w:pPr>
        <w:pStyle w:val="BodyText"/>
        <w:tabs>
          <w:tab w:pos="10259" w:val="right" w:leader="dot"/>
        </w:tabs>
        <w:spacing w:before="69"/>
        <w:ind w:left="2437"/>
      </w:pPr>
      <w:hyperlink w:history="true" w:anchor="_bookmark162">
        <w:r>
          <w:rPr>
            <w:spacing w:val="-3"/>
            <w:w w:val="105"/>
          </w:rPr>
          <w:t>Improving </w:t>
        </w:r>
        <w:r>
          <w:rPr>
            <w:w w:val="105"/>
          </w:rPr>
          <w:t>local laws and a </w:t>
        </w:r>
        <w:r>
          <w:rPr>
            <w:spacing w:val="-3"/>
            <w:w w:val="105"/>
          </w:rPr>
          <w:t>greater </w:t>
        </w:r>
        <w:r>
          <w:rPr>
            <w:w w:val="105"/>
          </w:rPr>
          <w:t>role</w:t>
        </w:r>
        <w:r>
          <w:rPr>
            <w:spacing w:val="38"/>
            <w:w w:val="105"/>
          </w:rPr>
          <w:t> </w:t>
        </w:r>
        <w:r>
          <w:rPr>
            <w:spacing w:val="-3"/>
            <w:w w:val="105"/>
          </w:rPr>
          <w:t>for</w:t>
        </w:r>
        <w:r>
          <w:rPr>
            <w:spacing w:val="4"/>
            <w:w w:val="105"/>
          </w:rPr>
          <w:t> </w:t>
        </w:r>
        <w:r>
          <w:rPr>
            <w:spacing w:val="-3"/>
            <w:w w:val="105"/>
          </w:rPr>
          <w:t>councils</w:t>
          <w:tab/>
        </w:r>
        <w:r>
          <w:rPr>
            <w:spacing w:val="-7"/>
            <w:w w:val="105"/>
          </w:rPr>
          <w:t>293</w:t>
        </w:r>
      </w:hyperlink>
    </w:p>
    <w:p>
      <w:pPr>
        <w:pStyle w:val="BodyText"/>
        <w:tabs>
          <w:tab w:pos="10267" w:val="right" w:leader="dot"/>
        </w:tabs>
        <w:spacing w:before="69"/>
        <w:ind w:left="2437"/>
      </w:pPr>
      <w:hyperlink w:history="true" w:anchor="_bookmark163">
        <w:r>
          <w:rPr>
            <w:spacing w:val="-3"/>
            <w:w w:val="105"/>
          </w:rPr>
          <w:t>Greater recognition </w:t>
        </w:r>
        <w:r>
          <w:rPr>
            <w:w w:val="105"/>
          </w:rPr>
          <w:t>of the benefits</w:t>
        </w:r>
        <w:r>
          <w:rPr>
            <w:spacing w:val="29"/>
            <w:w w:val="105"/>
          </w:rPr>
          <w:t> </w:t>
        </w:r>
        <w:r>
          <w:rPr>
            <w:w w:val="105"/>
          </w:rPr>
          <w:t>of</w:t>
        </w:r>
        <w:r>
          <w:rPr>
            <w:spacing w:val="5"/>
            <w:w w:val="105"/>
          </w:rPr>
          <w:t> </w:t>
        </w:r>
        <w:r>
          <w:rPr>
            <w:w w:val="105"/>
          </w:rPr>
          <w:t>trees</w:t>
          <w:tab/>
          <w:t>294</w:t>
        </w:r>
      </w:hyperlink>
    </w:p>
    <w:p>
      <w:pPr>
        <w:pStyle w:val="BodyText"/>
        <w:tabs>
          <w:tab w:pos="10263" w:val="right" w:leader="dot"/>
        </w:tabs>
        <w:spacing w:before="69"/>
        <w:ind w:left="2154"/>
      </w:pPr>
      <w:hyperlink w:history="true" w:anchor="_bookmark164">
        <w:r>
          <w:rPr>
            <w:w w:val="115"/>
          </w:rPr>
          <w:t>Issues beyond the scope of</w:t>
        </w:r>
        <w:r>
          <w:rPr>
            <w:spacing w:val="-3"/>
            <w:w w:val="115"/>
          </w:rPr>
          <w:t> </w:t>
        </w:r>
        <w:r>
          <w:rPr>
            <w:w w:val="115"/>
          </w:rPr>
          <w:t>this inquiry</w:t>
          <w:tab/>
        </w:r>
        <w:r>
          <w:rPr>
            <w:spacing w:val="-4"/>
            <w:w w:val="115"/>
          </w:rPr>
          <w:t>297</w:t>
        </w:r>
      </w:hyperlink>
    </w:p>
    <w:p>
      <w:pPr>
        <w:pStyle w:val="BodyText"/>
        <w:tabs>
          <w:tab w:pos="10267" w:val="right" w:leader="dot"/>
        </w:tabs>
        <w:spacing w:before="68"/>
        <w:ind w:left="2437"/>
      </w:pPr>
      <w:hyperlink w:history="true" w:anchor="_bookmark164">
        <w:r>
          <w:rPr>
            <w:spacing w:val="-4"/>
            <w:w w:val="105"/>
          </w:rPr>
          <w:t>Trees </w:t>
        </w:r>
        <w:r>
          <w:rPr>
            <w:w w:val="105"/>
          </w:rPr>
          <w:t>on</w:t>
        </w:r>
        <w:r>
          <w:rPr>
            <w:spacing w:val="15"/>
            <w:w w:val="105"/>
          </w:rPr>
          <w:t> </w:t>
        </w:r>
        <w:r>
          <w:rPr>
            <w:spacing w:val="-3"/>
            <w:w w:val="105"/>
          </w:rPr>
          <w:t>public</w:t>
        </w:r>
        <w:r>
          <w:rPr>
            <w:spacing w:val="5"/>
            <w:w w:val="105"/>
          </w:rPr>
          <w:t> </w:t>
        </w:r>
        <w:r>
          <w:rPr>
            <w:spacing w:val="-3"/>
            <w:w w:val="105"/>
          </w:rPr>
          <w:t>land</w:t>
          <w:tab/>
        </w:r>
        <w:r>
          <w:rPr>
            <w:spacing w:val="-4"/>
            <w:w w:val="105"/>
          </w:rPr>
          <w:t>297</w:t>
        </w:r>
      </w:hyperlink>
    </w:p>
    <w:p>
      <w:pPr>
        <w:pStyle w:val="BodyText"/>
        <w:tabs>
          <w:tab w:pos="10267" w:val="right" w:leader="dot"/>
        </w:tabs>
        <w:spacing w:before="69"/>
        <w:ind w:left="2437"/>
      </w:pPr>
      <w:hyperlink w:history="true" w:anchor="_bookmark165">
        <w:r>
          <w:rPr>
            <w:spacing w:val="-3"/>
            <w:w w:val="105"/>
          </w:rPr>
          <w:t>Access to </w:t>
        </w:r>
        <w:r>
          <w:rPr>
            <w:spacing w:val="-4"/>
            <w:w w:val="105"/>
          </w:rPr>
          <w:t>sunlight</w:t>
        </w:r>
        <w:r>
          <w:rPr>
            <w:spacing w:val="22"/>
            <w:w w:val="105"/>
          </w:rPr>
          <w:t> </w:t>
        </w:r>
        <w:r>
          <w:rPr>
            <w:w w:val="105"/>
          </w:rPr>
          <w:t>and</w:t>
        </w:r>
        <w:r>
          <w:rPr>
            <w:spacing w:val="6"/>
            <w:w w:val="105"/>
          </w:rPr>
          <w:t> </w:t>
        </w:r>
        <w:r>
          <w:rPr>
            <w:w w:val="105"/>
          </w:rPr>
          <w:t>views</w:t>
          <w:tab/>
          <w:t>298</w:t>
        </w:r>
      </w:hyperlink>
    </w:p>
    <w:p>
      <w:pPr>
        <w:pStyle w:val="BodyText"/>
        <w:tabs>
          <w:tab w:pos="10267" w:val="right" w:leader="dot"/>
        </w:tabs>
        <w:spacing w:before="69"/>
        <w:ind w:left="2437"/>
      </w:pPr>
      <w:hyperlink w:history="true" w:anchor="_bookmark166">
        <w:r>
          <w:rPr>
            <w:w w:val="105"/>
          </w:rPr>
          <w:t>Illegal </w:t>
        </w:r>
        <w:r>
          <w:rPr>
            <w:spacing w:val="-3"/>
            <w:w w:val="105"/>
          </w:rPr>
          <w:t>removal</w:t>
        </w:r>
        <w:r>
          <w:rPr>
            <w:spacing w:val="9"/>
            <w:w w:val="105"/>
          </w:rPr>
          <w:t> </w:t>
        </w:r>
        <w:r>
          <w:rPr>
            <w:w w:val="105"/>
          </w:rPr>
          <w:t>of</w:t>
        </w:r>
        <w:r>
          <w:rPr>
            <w:spacing w:val="5"/>
            <w:w w:val="105"/>
          </w:rPr>
          <w:t> </w:t>
        </w:r>
        <w:r>
          <w:rPr>
            <w:w w:val="105"/>
          </w:rPr>
          <w:t>vegetation</w:t>
          <w:tab/>
          <w:t>300</w:t>
        </w:r>
      </w:hyperlink>
    </w:p>
    <w:p>
      <w:pPr>
        <w:pStyle w:val="BodyText"/>
        <w:tabs>
          <w:tab w:pos="10260" w:val="right" w:leader="dot"/>
        </w:tabs>
        <w:spacing w:before="68"/>
        <w:ind w:left="2154"/>
      </w:pPr>
      <w:hyperlink w:history="true" w:anchor="_bookmark167">
        <w:r>
          <w:rPr>
            <w:w w:val="115"/>
          </w:rPr>
          <w:t>Review of the</w:t>
        </w:r>
        <w:r>
          <w:rPr>
            <w:spacing w:val="1"/>
            <w:w w:val="115"/>
          </w:rPr>
          <w:t> </w:t>
        </w:r>
        <w:r>
          <w:rPr>
            <w:w w:val="115"/>
          </w:rPr>
          <w:t>new</w:t>
        </w:r>
        <w:r>
          <w:rPr>
            <w:spacing w:val="1"/>
            <w:w w:val="115"/>
          </w:rPr>
          <w:t> </w:t>
        </w:r>
        <w:r>
          <w:rPr>
            <w:w w:val="115"/>
          </w:rPr>
          <w:t>Act</w:t>
          <w:tab/>
        </w:r>
        <w:r>
          <w:rPr>
            <w:spacing w:val="-5"/>
            <w:w w:val="115"/>
          </w:rPr>
          <w:t>301</w:t>
        </w:r>
      </w:hyperlink>
    </w:p>
    <w:p>
      <w:pPr>
        <w:pStyle w:val="Heading9"/>
        <w:tabs>
          <w:tab w:pos="10267" w:val="right" w:leader="dot"/>
        </w:tabs>
        <w:spacing w:before="69"/>
        <w:ind w:left="1587" w:firstLine="0"/>
      </w:pPr>
      <w:hyperlink w:history="true" w:anchor="_bookmark168">
        <w:r>
          <w:rPr>
            <w:w w:val="110"/>
          </w:rPr>
          <w:t>Appendix</w:t>
        </w:r>
        <w:r>
          <w:rPr>
            <w:spacing w:val="3"/>
            <w:w w:val="110"/>
          </w:rPr>
          <w:t> </w:t>
        </w:r>
        <w:r>
          <w:rPr>
            <w:spacing w:val="4"/>
            <w:w w:val="110"/>
          </w:rPr>
          <w:t>A: </w:t>
        </w:r>
        <w:r>
          <w:rPr>
            <w:w w:val="110"/>
          </w:rPr>
          <w:t>Submissions</w:t>
          <w:tab/>
          <w:t>304</w:t>
        </w:r>
      </w:hyperlink>
    </w:p>
    <w:p>
      <w:pPr>
        <w:pStyle w:val="Heading9"/>
        <w:tabs>
          <w:tab w:pos="10267" w:val="right" w:leader="dot"/>
        </w:tabs>
        <w:spacing w:before="69"/>
        <w:ind w:left="1587" w:firstLine="0"/>
      </w:pPr>
      <w:hyperlink w:history="true" w:anchor="_bookmark169">
        <w:r>
          <w:rPr>
            <w:w w:val="110"/>
          </w:rPr>
          <w:t>Appendix</w:t>
        </w:r>
        <w:r>
          <w:rPr>
            <w:spacing w:val="3"/>
            <w:w w:val="110"/>
          </w:rPr>
          <w:t> </w:t>
        </w:r>
        <w:r>
          <w:rPr>
            <w:spacing w:val="5"/>
            <w:w w:val="110"/>
          </w:rPr>
          <w:t>B:</w:t>
        </w:r>
        <w:r>
          <w:rPr>
            <w:spacing w:val="4"/>
            <w:w w:val="110"/>
          </w:rPr>
          <w:t> </w:t>
        </w:r>
        <w:r>
          <w:rPr>
            <w:w w:val="110"/>
          </w:rPr>
          <w:t>Consultations</w:t>
          <w:tab/>
          <w:t>306</w:t>
        </w:r>
      </w:hyperlink>
    </w:p>
    <w:p>
      <w:pPr>
        <w:pStyle w:val="Heading9"/>
        <w:tabs>
          <w:tab w:pos="10264" w:val="right" w:leader="dot"/>
        </w:tabs>
        <w:spacing w:before="69"/>
        <w:ind w:left="1587" w:firstLine="0"/>
      </w:pPr>
      <w:hyperlink w:history="true" w:anchor="_bookmark170">
        <w:r>
          <w:rPr>
            <w:w w:val="110"/>
          </w:rPr>
          <w:t>Appendix </w:t>
        </w:r>
        <w:r>
          <w:rPr>
            <w:spacing w:val="4"/>
            <w:w w:val="110"/>
          </w:rPr>
          <w:t>C: </w:t>
        </w:r>
        <w:r>
          <w:rPr>
            <w:w w:val="110"/>
          </w:rPr>
          <w:t>Online</w:t>
        </w:r>
        <w:r>
          <w:rPr>
            <w:spacing w:val="8"/>
            <w:w w:val="110"/>
          </w:rPr>
          <w:t> </w:t>
        </w:r>
        <w:r>
          <w:rPr>
            <w:w w:val="110"/>
          </w:rPr>
          <w:t>survey</w:t>
        </w:r>
        <w:r>
          <w:rPr>
            <w:spacing w:val="4"/>
            <w:w w:val="110"/>
          </w:rPr>
          <w:t> </w:t>
        </w:r>
        <w:r>
          <w:rPr>
            <w:w w:val="110"/>
          </w:rPr>
          <w:t>questions</w:t>
          <w:tab/>
          <w:t>307</w:t>
        </w:r>
      </w:hyperlink>
    </w:p>
    <w:p>
      <w:pPr>
        <w:pStyle w:val="Heading9"/>
        <w:tabs>
          <w:tab w:pos="10259" w:val="right" w:leader="dot"/>
        </w:tabs>
        <w:spacing w:before="68"/>
        <w:ind w:left="1587" w:firstLine="0"/>
      </w:pPr>
      <w:r>
        <w:rPr>
          <w:w w:val="110"/>
        </w:rPr>
        <w:t>Bibliography</w:t>
        <w:tab/>
      </w:r>
      <w:r>
        <w:rPr>
          <w:spacing w:val="-7"/>
          <w:w w:val="110"/>
        </w:rPr>
        <w:t>312</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
        <w:rPr>
          <w:b/>
          <w:sz w:val="36"/>
        </w:rPr>
      </w:pPr>
    </w:p>
    <w:p>
      <w:pPr>
        <w:spacing w:before="0"/>
        <w:ind w:left="0" w:right="693" w:firstLine="0"/>
        <w:jc w:val="right"/>
        <w:rPr>
          <w:b/>
          <w:sz w:val="24"/>
        </w:rPr>
      </w:pPr>
      <w:r>
        <w:rPr>
          <w:b/>
          <w:color w:val="658464"/>
          <w:w w:val="115"/>
          <w:sz w:val="24"/>
        </w:rPr>
        <w:t>ix</w:t>
      </w:r>
    </w:p>
    <w:p>
      <w:pPr>
        <w:spacing w:after="0"/>
        <w:jc w:val="right"/>
        <w:rPr>
          <w:sz w:val="24"/>
        </w:rPr>
        <w:sectPr>
          <w:pgSz w:w="11910" w:h="16840"/>
          <w:pgMar w:header="546" w:footer="0" w:top="1560" w:bottom="280" w:left="0" w:right="0"/>
        </w:sectPr>
      </w:pPr>
    </w:p>
    <w:p>
      <w:pPr>
        <w:pStyle w:val="BodyText"/>
        <w:spacing w:before="10"/>
        <w:rPr>
          <w:b/>
          <w:sz w:val="18"/>
        </w:rPr>
      </w:pPr>
    </w:p>
    <w:p>
      <w:pPr>
        <w:pStyle w:val="Heading2"/>
        <w:spacing w:before="93"/>
        <w:ind w:left="566" w:firstLine="0"/>
      </w:pPr>
      <w:bookmarkStart w:name="Preface " w:id="2"/>
      <w:bookmarkEnd w:id="2"/>
      <w:r>
        <w:rPr>
          <w:b w:val="0"/>
        </w:rPr>
      </w:r>
      <w:bookmarkStart w:name="Preface" w:id="3"/>
      <w:bookmarkEnd w:id="3"/>
      <w:r>
        <w:rPr>
          <w:b w:val="0"/>
        </w:rPr>
      </w:r>
      <w:bookmarkStart w:name="_bookmark0" w:id="4"/>
      <w:bookmarkEnd w:id="4"/>
      <w:r>
        <w:rPr>
          <w:b w:val="0"/>
        </w:rPr>
      </w:r>
      <w:r>
        <w:rPr>
          <w:color w:val="658464"/>
          <w:w w:val="110"/>
        </w:rPr>
        <w:t>Preface</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49"/>
        </w:rPr>
      </w:pPr>
    </w:p>
    <w:p>
      <w:pPr>
        <w:spacing w:line="242" w:lineRule="auto" w:before="1"/>
        <w:ind w:left="2381" w:right="1636" w:firstLine="0"/>
        <w:jc w:val="left"/>
        <w:rPr>
          <w:sz w:val="21"/>
        </w:rPr>
      </w:pPr>
      <w:r>
        <w:rPr>
          <w:i/>
          <w:sz w:val="21"/>
        </w:rPr>
        <w:t>The tree </w:t>
      </w:r>
      <w:r>
        <w:rPr>
          <w:i/>
          <w:spacing w:val="-3"/>
          <w:sz w:val="21"/>
        </w:rPr>
        <w:t>which </w:t>
      </w:r>
      <w:r>
        <w:rPr>
          <w:i/>
          <w:sz w:val="21"/>
        </w:rPr>
        <w:t>moves some to tears </w:t>
      </w:r>
      <w:r>
        <w:rPr>
          <w:i/>
          <w:spacing w:val="-3"/>
          <w:sz w:val="21"/>
        </w:rPr>
        <w:t>of joy </w:t>
      </w:r>
      <w:r>
        <w:rPr>
          <w:i/>
          <w:sz w:val="21"/>
        </w:rPr>
        <w:t>is in the eyes </w:t>
      </w:r>
      <w:r>
        <w:rPr>
          <w:i/>
          <w:spacing w:val="-3"/>
          <w:sz w:val="21"/>
        </w:rPr>
        <w:t>of </w:t>
      </w:r>
      <w:r>
        <w:rPr>
          <w:i/>
          <w:sz w:val="21"/>
        </w:rPr>
        <w:t>others only a green </w:t>
      </w:r>
      <w:r>
        <w:rPr>
          <w:i/>
          <w:spacing w:val="-3"/>
          <w:sz w:val="21"/>
        </w:rPr>
        <w:t>thing that </w:t>
      </w:r>
      <w:r>
        <w:rPr>
          <w:i/>
          <w:spacing w:val="-2"/>
          <w:sz w:val="21"/>
        </w:rPr>
        <w:t>stands </w:t>
      </w:r>
      <w:r>
        <w:rPr>
          <w:i/>
          <w:sz w:val="21"/>
        </w:rPr>
        <w:t>in the </w:t>
      </w:r>
      <w:r>
        <w:rPr>
          <w:i/>
          <w:spacing w:val="-5"/>
          <w:sz w:val="21"/>
        </w:rPr>
        <w:t>way. </w:t>
      </w:r>
      <w:r>
        <w:rPr>
          <w:sz w:val="21"/>
        </w:rPr>
        <w:t>—William </w:t>
      </w:r>
      <w:r>
        <w:rPr>
          <w:spacing w:val="-4"/>
          <w:sz w:val="21"/>
        </w:rPr>
        <w:t>Blake, </w:t>
      </w:r>
      <w:r>
        <w:rPr>
          <w:i/>
          <w:sz w:val="21"/>
        </w:rPr>
        <w:t>The Letters</w:t>
      </w:r>
      <w:r>
        <w:rPr>
          <w:i/>
          <w:spacing w:val="6"/>
          <w:sz w:val="21"/>
        </w:rPr>
        <w:t> </w:t>
      </w:r>
      <w:r>
        <w:rPr>
          <w:spacing w:val="-5"/>
          <w:sz w:val="21"/>
        </w:rPr>
        <w:t>(1799)</w:t>
      </w:r>
    </w:p>
    <w:p>
      <w:pPr>
        <w:pStyle w:val="BodyText"/>
        <w:spacing w:line="242" w:lineRule="auto" w:before="122"/>
        <w:ind w:left="1587" w:right="1636"/>
      </w:pPr>
      <w:r>
        <w:rPr>
          <w:w w:val="105"/>
        </w:rPr>
        <w:t>This report responds </w:t>
      </w:r>
      <w:r>
        <w:rPr>
          <w:spacing w:val="-3"/>
          <w:w w:val="105"/>
        </w:rPr>
        <w:t>to </w:t>
      </w:r>
      <w:r>
        <w:rPr>
          <w:w w:val="105"/>
        </w:rPr>
        <w:t>a number of suggestions </w:t>
      </w:r>
      <w:r>
        <w:rPr>
          <w:spacing w:val="-3"/>
          <w:w w:val="105"/>
        </w:rPr>
        <w:t>from </w:t>
      </w:r>
      <w:r>
        <w:rPr>
          <w:w w:val="105"/>
        </w:rPr>
        <w:t>the community about an </w:t>
      </w:r>
      <w:r>
        <w:rPr>
          <w:spacing w:val="-3"/>
          <w:w w:val="105"/>
        </w:rPr>
        <w:t>urgent </w:t>
      </w:r>
      <w:r>
        <w:rPr>
          <w:w w:val="105"/>
        </w:rPr>
        <w:t>need </w:t>
      </w:r>
      <w:r>
        <w:rPr>
          <w:spacing w:val="-3"/>
          <w:w w:val="105"/>
        </w:rPr>
        <w:t>to improve</w:t>
      </w:r>
      <w:r>
        <w:rPr>
          <w:spacing w:val="-12"/>
          <w:w w:val="105"/>
        </w:rPr>
        <w:t> </w:t>
      </w:r>
      <w:r>
        <w:rPr>
          <w:w w:val="105"/>
        </w:rPr>
        <w:t>the</w:t>
      </w:r>
      <w:r>
        <w:rPr>
          <w:spacing w:val="-11"/>
          <w:w w:val="105"/>
        </w:rPr>
        <w:t> </w:t>
      </w:r>
      <w:r>
        <w:rPr>
          <w:w w:val="105"/>
        </w:rPr>
        <w:t>law</w:t>
      </w:r>
      <w:r>
        <w:rPr>
          <w:spacing w:val="-11"/>
          <w:w w:val="105"/>
        </w:rPr>
        <w:t> </w:t>
      </w:r>
      <w:r>
        <w:rPr>
          <w:spacing w:val="-3"/>
          <w:w w:val="105"/>
        </w:rPr>
        <w:t>to</w:t>
      </w:r>
      <w:r>
        <w:rPr>
          <w:spacing w:val="-11"/>
          <w:w w:val="105"/>
        </w:rPr>
        <w:t> </w:t>
      </w:r>
      <w:r>
        <w:rPr>
          <w:w w:val="105"/>
        </w:rPr>
        <w:t>help</w:t>
      </w:r>
      <w:r>
        <w:rPr>
          <w:spacing w:val="-12"/>
          <w:w w:val="105"/>
        </w:rPr>
        <w:t> </w:t>
      </w:r>
      <w:r>
        <w:rPr>
          <w:w w:val="105"/>
        </w:rPr>
        <w:t>neighbours</w:t>
      </w:r>
      <w:r>
        <w:rPr>
          <w:spacing w:val="-11"/>
          <w:w w:val="105"/>
        </w:rPr>
        <w:t> </w:t>
      </w:r>
      <w:r>
        <w:rPr>
          <w:w w:val="105"/>
        </w:rPr>
        <w:t>resolve</w:t>
      </w:r>
      <w:r>
        <w:rPr>
          <w:spacing w:val="-11"/>
          <w:w w:val="105"/>
        </w:rPr>
        <w:t> </w:t>
      </w:r>
      <w:r>
        <w:rPr>
          <w:w w:val="105"/>
        </w:rPr>
        <w:t>their</w:t>
      </w:r>
      <w:r>
        <w:rPr>
          <w:spacing w:val="-11"/>
          <w:w w:val="105"/>
        </w:rPr>
        <w:t> </w:t>
      </w:r>
      <w:r>
        <w:rPr>
          <w:spacing w:val="-3"/>
          <w:w w:val="105"/>
        </w:rPr>
        <w:t>disputes</w:t>
      </w:r>
      <w:r>
        <w:rPr>
          <w:spacing w:val="-12"/>
          <w:w w:val="105"/>
        </w:rPr>
        <w:t> </w:t>
      </w:r>
      <w:r>
        <w:rPr>
          <w:w w:val="105"/>
        </w:rPr>
        <w:t>about</w:t>
      </w:r>
      <w:r>
        <w:rPr>
          <w:spacing w:val="-11"/>
          <w:w w:val="105"/>
        </w:rPr>
        <w:t> </w:t>
      </w:r>
      <w:r>
        <w:rPr>
          <w:w w:val="105"/>
        </w:rPr>
        <w:t>trees.</w:t>
      </w:r>
      <w:r>
        <w:rPr>
          <w:spacing w:val="-11"/>
          <w:w w:val="105"/>
        </w:rPr>
        <w:t> </w:t>
      </w:r>
      <w:r>
        <w:rPr>
          <w:w w:val="105"/>
        </w:rPr>
        <w:t>The</w:t>
      </w:r>
      <w:r>
        <w:rPr>
          <w:spacing w:val="-11"/>
          <w:w w:val="105"/>
        </w:rPr>
        <w:t> </w:t>
      </w:r>
      <w:r>
        <w:rPr>
          <w:w w:val="105"/>
        </w:rPr>
        <w:t>inquiry</w:t>
      </w:r>
      <w:r>
        <w:rPr>
          <w:spacing w:val="-12"/>
          <w:w w:val="105"/>
        </w:rPr>
        <w:t> </w:t>
      </w:r>
      <w:r>
        <w:rPr>
          <w:w w:val="105"/>
        </w:rPr>
        <w:t>was</w:t>
      </w:r>
      <w:r>
        <w:rPr>
          <w:spacing w:val="-11"/>
          <w:w w:val="105"/>
        </w:rPr>
        <w:t> </w:t>
      </w:r>
      <w:r>
        <w:rPr>
          <w:spacing w:val="-3"/>
          <w:w w:val="105"/>
        </w:rPr>
        <w:t>initiated</w:t>
      </w:r>
      <w:r>
        <w:rPr>
          <w:spacing w:val="-11"/>
          <w:w w:val="105"/>
        </w:rPr>
        <w:t> </w:t>
      </w:r>
      <w:r>
        <w:rPr>
          <w:w w:val="105"/>
        </w:rPr>
        <w:t>by the </w:t>
      </w:r>
      <w:r>
        <w:rPr>
          <w:spacing w:val="-3"/>
          <w:w w:val="105"/>
        </w:rPr>
        <w:t>Commission </w:t>
      </w:r>
      <w:r>
        <w:rPr>
          <w:w w:val="105"/>
        </w:rPr>
        <w:t>as part of its community law </w:t>
      </w:r>
      <w:r>
        <w:rPr>
          <w:spacing w:val="-3"/>
          <w:w w:val="105"/>
        </w:rPr>
        <w:t>reform</w:t>
      </w:r>
      <w:r>
        <w:rPr>
          <w:spacing w:val="42"/>
          <w:w w:val="105"/>
        </w:rPr>
        <w:t> </w:t>
      </w:r>
      <w:r>
        <w:rPr>
          <w:spacing w:val="-3"/>
          <w:w w:val="105"/>
        </w:rPr>
        <w:t>program.</w:t>
      </w:r>
    </w:p>
    <w:p>
      <w:pPr>
        <w:pStyle w:val="BodyText"/>
        <w:spacing w:line="242" w:lineRule="auto" w:before="123"/>
        <w:ind w:left="1587" w:right="1558"/>
      </w:pPr>
      <w:r>
        <w:rPr>
          <w:w w:val="105"/>
        </w:rPr>
        <w:t>Neighbourhood tree </w:t>
      </w:r>
      <w:r>
        <w:rPr>
          <w:spacing w:val="-3"/>
          <w:w w:val="105"/>
        </w:rPr>
        <w:t>disputes </w:t>
      </w:r>
      <w:r>
        <w:rPr>
          <w:w w:val="105"/>
        </w:rPr>
        <w:t>affect </w:t>
      </w:r>
      <w:r>
        <w:rPr>
          <w:spacing w:val="-3"/>
          <w:w w:val="105"/>
        </w:rPr>
        <w:t>many </w:t>
      </w:r>
      <w:r>
        <w:rPr>
          <w:w w:val="105"/>
        </w:rPr>
        <w:t>people in the Victorian community and </w:t>
      </w:r>
      <w:r>
        <w:rPr>
          <w:spacing w:val="-3"/>
          <w:w w:val="105"/>
        </w:rPr>
        <w:t>may </w:t>
      </w:r>
      <w:r>
        <w:rPr>
          <w:w w:val="105"/>
        </w:rPr>
        <w:t>become more </w:t>
      </w:r>
      <w:r>
        <w:rPr>
          <w:spacing w:val="-2"/>
          <w:w w:val="105"/>
        </w:rPr>
        <w:t>common </w:t>
      </w:r>
      <w:r>
        <w:rPr>
          <w:w w:val="105"/>
        </w:rPr>
        <w:t>as our population expands and our </w:t>
      </w:r>
      <w:r>
        <w:rPr>
          <w:spacing w:val="-3"/>
          <w:w w:val="105"/>
        </w:rPr>
        <w:t>gardens </w:t>
      </w:r>
      <w:r>
        <w:rPr>
          <w:w w:val="105"/>
        </w:rPr>
        <w:t>get </w:t>
      </w:r>
      <w:r>
        <w:rPr>
          <w:spacing w:val="-5"/>
          <w:w w:val="105"/>
        </w:rPr>
        <w:t>smaller. </w:t>
      </w:r>
      <w:r>
        <w:rPr>
          <w:spacing w:val="-4"/>
          <w:w w:val="105"/>
        </w:rPr>
        <w:t>Similarly, </w:t>
      </w:r>
      <w:r>
        <w:rPr>
          <w:w w:val="105"/>
        </w:rPr>
        <w:t>as our </w:t>
      </w:r>
      <w:r>
        <w:rPr>
          <w:spacing w:val="-3"/>
          <w:w w:val="105"/>
        </w:rPr>
        <w:t>communities place increasing </w:t>
      </w:r>
      <w:r>
        <w:rPr>
          <w:w w:val="105"/>
        </w:rPr>
        <w:t>importance on the urban forest, and become more </w:t>
      </w:r>
      <w:r>
        <w:rPr>
          <w:spacing w:val="-3"/>
          <w:w w:val="105"/>
        </w:rPr>
        <w:t>aware </w:t>
      </w:r>
      <w:r>
        <w:rPr>
          <w:w w:val="105"/>
        </w:rPr>
        <w:t>of </w:t>
      </w:r>
      <w:r>
        <w:rPr>
          <w:spacing w:val="-3"/>
          <w:w w:val="105"/>
        </w:rPr>
        <w:t>climate change, </w:t>
      </w:r>
      <w:r>
        <w:rPr>
          <w:w w:val="105"/>
        </w:rPr>
        <w:t>there </w:t>
      </w:r>
      <w:r>
        <w:rPr>
          <w:spacing w:val="-3"/>
          <w:w w:val="105"/>
        </w:rPr>
        <w:t>may </w:t>
      </w:r>
      <w:r>
        <w:rPr>
          <w:w w:val="105"/>
        </w:rPr>
        <w:t>be more objections about the </w:t>
      </w:r>
      <w:r>
        <w:rPr>
          <w:spacing w:val="-3"/>
          <w:w w:val="105"/>
        </w:rPr>
        <w:t>removal </w:t>
      </w:r>
      <w:r>
        <w:rPr>
          <w:w w:val="105"/>
        </w:rPr>
        <w:t>of vegetation in our </w:t>
      </w:r>
      <w:r>
        <w:rPr>
          <w:spacing w:val="-3"/>
          <w:w w:val="105"/>
        </w:rPr>
        <w:t>neighbourhoods.</w:t>
      </w:r>
    </w:p>
    <w:p>
      <w:pPr>
        <w:pStyle w:val="BodyText"/>
        <w:spacing w:line="242" w:lineRule="auto" w:before="125"/>
        <w:ind w:left="1587" w:right="1810"/>
      </w:pPr>
      <w:r>
        <w:rPr>
          <w:spacing w:val="-5"/>
          <w:w w:val="105"/>
        </w:rPr>
        <w:t>Tree </w:t>
      </w:r>
      <w:r>
        <w:rPr>
          <w:spacing w:val="-3"/>
          <w:w w:val="105"/>
        </w:rPr>
        <w:t>disputes are </w:t>
      </w:r>
      <w:r>
        <w:rPr>
          <w:w w:val="105"/>
        </w:rPr>
        <w:t>often about </w:t>
      </w:r>
      <w:r>
        <w:rPr>
          <w:spacing w:val="-3"/>
          <w:w w:val="105"/>
        </w:rPr>
        <w:t>overhanging branches, encroaching </w:t>
      </w:r>
      <w:r>
        <w:rPr>
          <w:w w:val="105"/>
        </w:rPr>
        <w:t>roots, leaf </w:t>
      </w:r>
      <w:r>
        <w:rPr>
          <w:spacing w:val="-4"/>
          <w:w w:val="105"/>
        </w:rPr>
        <w:t>litter, </w:t>
      </w:r>
      <w:r>
        <w:rPr>
          <w:w w:val="105"/>
        </w:rPr>
        <w:t>the presence of large trees close </w:t>
      </w:r>
      <w:r>
        <w:rPr>
          <w:spacing w:val="-3"/>
          <w:w w:val="105"/>
        </w:rPr>
        <w:t>to </w:t>
      </w:r>
      <w:r>
        <w:rPr>
          <w:w w:val="105"/>
        </w:rPr>
        <w:t>boundary </w:t>
      </w:r>
      <w:r>
        <w:rPr>
          <w:spacing w:val="-3"/>
          <w:w w:val="105"/>
        </w:rPr>
        <w:t>lines, </w:t>
      </w:r>
      <w:r>
        <w:rPr>
          <w:w w:val="105"/>
        </w:rPr>
        <w:t>and the loss of vegetation. Because of the </w:t>
      </w:r>
      <w:r>
        <w:rPr>
          <w:spacing w:val="-3"/>
          <w:w w:val="105"/>
        </w:rPr>
        <w:t>proximity </w:t>
      </w:r>
      <w:r>
        <w:rPr>
          <w:w w:val="105"/>
        </w:rPr>
        <w:t>of neighbours and the tendency of these </w:t>
      </w:r>
      <w:r>
        <w:rPr>
          <w:spacing w:val="-3"/>
          <w:w w:val="105"/>
        </w:rPr>
        <w:t>disputes to harm neighbour relations, </w:t>
      </w:r>
      <w:r>
        <w:rPr>
          <w:w w:val="105"/>
        </w:rPr>
        <w:t>it is important </w:t>
      </w:r>
      <w:r>
        <w:rPr>
          <w:spacing w:val="-3"/>
          <w:w w:val="105"/>
        </w:rPr>
        <w:t>to </w:t>
      </w:r>
      <w:r>
        <w:rPr>
          <w:w w:val="105"/>
        </w:rPr>
        <w:t>resolve them </w:t>
      </w:r>
      <w:r>
        <w:rPr>
          <w:spacing w:val="-4"/>
          <w:w w:val="105"/>
        </w:rPr>
        <w:t>quickly. </w:t>
      </w:r>
      <w:r>
        <w:rPr>
          <w:w w:val="105"/>
        </w:rPr>
        <w:t>Often this does </w:t>
      </w:r>
      <w:r>
        <w:rPr>
          <w:spacing w:val="-2"/>
          <w:w w:val="105"/>
        </w:rPr>
        <w:t>not </w:t>
      </w:r>
      <w:r>
        <w:rPr>
          <w:spacing w:val="-3"/>
          <w:w w:val="105"/>
        </w:rPr>
        <w:t>occur </w:t>
      </w:r>
      <w:r>
        <w:rPr>
          <w:w w:val="105"/>
        </w:rPr>
        <w:t>because the </w:t>
      </w:r>
      <w:r>
        <w:rPr>
          <w:spacing w:val="-3"/>
          <w:w w:val="105"/>
        </w:rPr>
        <w:t>current </w:t>
      </w:r>
      <w:r>
        <w:rPr>
          <w:w w:val="105"/>
        </w:rPr>
        <w:t>methods </w:t>
      </w:r>
      <w:r>
        <w:rPr>
          <w:spacing w:val="-3"/>
          <w:w w:val="105"/>
        </w:rPr>
        <w:t>for </w:t>
      </w:r>
      <w:r>
        <w:rPr>
          <w:w w:val="105"/>
        </w:rPr>
        <w:t>resolving tree </w:t>
      </w:r>
      <w:r>
        <w:rPr>
          <w:spacing w:val="-3"/>
          <w:w w:val="105"/>
        </w:rPr>
        <w:t>disputes are unclear </w:t>
      </w:r>
      <w:r>
        <w:rPr>
          <w:w w:val="105"/>
        </w:rPr>
        <w:t>and </w:t>
      </w:r>
      <w:r>
        <w:rPr>
          <w:spacing w:val="-4"/>
          <w:w w:val="105"/>
        </w:rPr>
        <w:t>confusing. </w:t>
      </w:r>
      <w:r>
        <w:rPr>
          <w:w w:val="105"/>
        </w:rPr>
        <w:t>As a </w:t>
      </w:r>
      <w:r>
        <w:rPr>
          <w:spacing w:val="-3"/>
          <w:w w:val="105"/>
        </w:rPr>
        <w:t>result, disputes may remain </w:t>
      </w:r>
      <w:r>
        <w:rPr>
          <w:w w:val="105"/>
        </w:rPr>
        <w:t>unresolved and neighbourly </w:t>
      </w:r>
      <w:r>
        <w:rPr>
          <w:spacing w:val="-3"/>
          <w:w w:val="105"/>
        </w:rPr>
        <w:t>relations may </w:t>
      </w:r>
      <w:r>
        <w:rPr>
          <w:w w:val="105"/>
        </w:rPr>
        <w:t>be </w:t>
      </w:r>
      <w:r>
        <w:rPr>
          <w:spacing w:val="-3"/>
          <w:w w:val="105"/>
        </w:rPr>
        <w:t>strained. </w:t>
      </w:r>
      <w:r>
        <w:rPr>
          <w:w w:val="105"/>
        </w:rPr>
        <w:t>In </w:t>
      </w:r>
      <w:r>
        <w:rPr>
          <w:spacing w:val="-3"/>
          <w:w w:val="105"/>
        </w:rPr>
        <w:t>exceptional </w:t>
      </w:r>
      <w:r>
        <w:rPr>
          <w:w w:val="105"/>
        </w:rPr>
        <w:t>cases, </w:t>
      </w:r>
      <w:r>
        <w:rPr>
          <w:spacing w:val="-3"/>
          <w:w w:val="105"/>
        </w:rPr>
        <w:t>criminal </w:t>
      </w:r>
      <w:r>
        <w:rPr>
          <w:w w:val="105"/>
        </w:rPr>
        <w:t>actions </w:t>
      </w:r>
      <w:r>
        <w:rPr>
          <w:spacing w:val="-3"/>
          <w:w w:val="105"/>
        </w:rPr>
        <w:t>may </w:t>
      </w:r>
      <w:r>
        <w:rPr>
          <w:spacing w:val="-5"/>
          <w:w w:val="105"/>
        </w:rPr>
        <w:t>occur.</w:t>
      </w:r>
    </w:p>
    <w:p>
      <w:pPr>
        <w:pStyle w:val="BodyText"/>
        <w:spacing w:line="242" w:lineRule="auto" w:before="126"/>
        <w:ind w:left="1587" w:right="1636"/>
      </w:pPr>
      <w:r>
        <w:rPr/>
        <w:t>It is hoped that the recommendations made in this report will bring greater clarity to the law governing the resolution of neighbourhood tree disputes in Victoria.</w:t>
      </w:r>
    </w:p>
    <w:p>
      <w:pPr>
        <w:pStyle w:val="BodyText"/>
        <w:spacing w:line="242" w:lineRule="auto" w:before="122"/>
        <w:ind w:left="1587" w:right="1636"/>
      </w:pPr>
      <w:r>
        <w:rPr>
          <w:w w:val="105"/>
        </w:rPr>
        <w:t>The </w:t>
      </w:r>
      <w:r>
        <w:rPr>
          <w:spacing w:val="-4"/>
          <w:w w:val="105"/>
        </w:rPr>
        <w:t>key </w:t>
      </w:r>
      <w:r>
        <w:rPr>
          <w:spacing w:val="-3"/>
          <w:w w:val="105"/>
        </w:rPr>
        <w:t>recommendation </w:t>
      </w:r>
      <w:r>
        <w:rPr>
          <w:w w:val="105"/>
        </w:rPr>
        <w:t>is </w:t>
      </w:r>
      <w:r>
        <w:rPr>
          <w:spacing w:val="-3"/>
          <w:w w:val="105"/>
        </w:rPr>
        <w:t>for </w:t>
      </w:r>
      <w:r>
        <w:rPr>
          <w:w w:val="105"/>
        </w:rPr>
        <w:t>the introduction of a Neighbourhood </w:t>
      </w:r>
      <w:r>
        <w:rPr>
          <w:spacing w:val="-5"/>
          <w:w w:val="105"/>
        </w:rPr>
        <w:t>Tree </w:t>
      </w:r>
      <w:r>
        <w:rPr>
          <w:spacing w:val="-3"/>
          <w:w w:val="105"/>
        </w:rPr>
        <w:t>Disputes </w:t>
      </w:r>
      <w:r>
        <w:rPr>
          <w:w w:val="105"/>
        </w:rPr>
        <w:t>Act </w:t>
      </w:r>
      <w:r>
        <w:rPr>
          <w:spacing w:val="-3"/>
          <w:w w:val="105"/>
        </w:rPr>
        <w:t>that will </w:t>
      </w:r>
      <w:r>
        <w:rPr>
          <w:w w:val="105"/>
        </w:rPr>
        <w:t>assist people </w:t>
      </w:r>
      <w:r>
        <w:rPr>
          <w:spacing w:val="-3"/>
          <w:w w:val="105"/>
        </w:rPr>
        <w:t>to </w:t>
      </w:r>
      <w:r>
        <w:rPr>
          <w:w w:val="105"/>
        </w:rPr>
        <w:t>resolve their </w:t>
      </w:r>
      <w:r>
        <w:rPr>
          <w:spacing w:val="-3"/>
          <w:w w:val="105"/>
        </w:rPr>
        <w:t>disputes </w:t>
      </w:r>
      <w:r>
        <w:rPr>
          <w:spacing w:val="-4"/>
          <w:w w:val="105"/>
        </w:rPr>
        <w:t>quickly, </w:t>
      </w:r>
      <w:r>
        <w:rPr>
          <w:w w:val="105"/>
        </w:rPr>
        <w:t>affordably and </w:t>
      </w:r>
      <w:r>
        <w:rPr>
          <w:spacing w:val="-2"/>
          <w:w w:val="105"/>
        </w:rPr>
        <w:t>effectively. </w:t>
      </w:r>
      <w:r>
        <w:rPr>
          <w:spacing w:val="-3"/>
          <w:w w:val="105"/>
        </w:rPr>
        <w:t>Management </w:t>
      </w:r>
      <w:r>
        <w:rPr>
          <w:w w:val="105"/>
        </w:rPr>
        <w:t>of the new Act should be given </w:t>
      </w:r>
      <w:r>
        <w:rPr>
          <w:spacing w:val="-3"/>
          <w:w w:val="105"/>
        </w:rPr>
        <w:t>to </w:t>
      </w:r>
      <w:r>
        <w:rPr>
          <w:w w:val="105"/>
        </w:rPr>
        <w:t>the Victorian </w:t>
      </w:r>
      <w:r>
        <w:rPr>
          <w:spacing w:val="-3"/>
          <w:w w:val="105"/>
        </w:rPr>
        <w:t>Civil </w:t>
      </w:r>
      <w:r>
        <w:rPr>
          <w:w w:val="105"/>
        </w:rPr>
        <w:t>and </w:t>
      </w:r>
      <w:r>
        <w:rPr>
          <w:spacing w:val="-3"/>
          <w:w w:val="105"/>
        </w:rPr>
        <w:t>Administrative </w:t>
      </w:r>
      <w:r>
        <w:rPr>
          <w:spacing w:val="-5"/>
          <w:w w:val="105"/>
        </w:rPr>
        <w:t>Tribunal </w:t>
      </w:r>
      <w:r>
        <w:rPr>
          <w:w w:val="105"/>
        </w:rPr>
        <w:t>(VCAT). </w:t>
      </w:r>
      <w:r>
        <w:rPr>
          <w:spacing w:val="-6"/>
          <w:w w:val="105"/>
        </w:rPr>
        <w:t>VCAT’s </w:t>
      </w:r>
      <w:r>
        <w:rPr>
          <w:w w:val="105"/>
        </w:rPr>
        <w:t>processes </w:t>
      </w:r>
      <w:r>
        <w:rPr>
          <w:spacing w:val="-3"/>
          <w:w w:val="105"/>
        </w:rPr>
        <w:t>are </w:t>
      </w:r>
      <w:r>
        <w:rPr>
          <w:spacing w:val="-4"/>
          <w:w w:val="105"/>
        </w:rPr>
        <w:t>informal, </w:t>
      </w:r>
      <w:r>
        <w:rPr>
          <w:w w:val="105"/>
        </w:rPr>
        <w:t>flexible and widely </w:t>
      </w:r>
      <w:r>
        <w:rPr>
          <w:spacing w:val="-3"/>
          <w:w w:val="105"/>
        </w:rPr>
        <w:t>accessible, </w:t>
      </w:r>
      <w:r>
        <w:rPr>
          <w:w w:val="105"/>
        </w:rPr>
        <w:t>and its matters </w:t>
      </w:r>
      <w:r>
        <w:rPr>
          <w:spacing w:val="-3"/>
          <w:w w:val="105"/>
        </w:rPr>
        <w:t>are concluded </w:t>
      </w:r>
      <w:r>
        <w:rPr>
          <w:spacing w:val="-4"/>
          <w:w w:val="105"/>
        </w:rPr>
        <w:t>quickly.</w:t>
      </w:r>
    </w:p>
    <w:p>
      <w:pPr>
        <w:pStyle w:val="BodyText"/>
        <w:spacing w:line="242" w:lineRule="auto" w:before="125"/>
        <w:ind w:left="1587" w:right="1810"/>
      </w:pPr>
      <w:r>
        <w:rPr/>
        <w:t>I wish </w:t>
      </w:r>
      <w:r>
        <w:rPr>
          <w:spacing w:val="-3"/>
        </w:rPr>
        <w:t>to thank </w:t>
      </w:r>
      <w:r>
        <w:rPr/>
        <w:t>the </w:t>
      </w:r>
      <w:r>
        <w:rPr>
          <w:spacing w:val="-3"/>
        </w:rPr>
        <w:t>many  </w:t>
      </w:r>
      <w:r>
        <w:rPr/>
        <w:t>people who provided </w:t>
      </w:r>
      <w:r>
        <w:rPr>
          <w:spacing w:val="-3"/>
        </w:rPr>
        <w:t>submissions,</w:t>
      </w:r>
      <w:r>
        <w:rPr>
          <w:spacing w:val="41"/>
        </w:rPr>
        <w:t> </w:t>
      </w:r>
      <w:r>
        <w:rPr/>
        <w:t>met with the </w:t>
      </w:r>
      <w:r>
        <w:rPr>
          <w:spacing w:val="-3"/>
        </w:rPr>
        <w:t>Commission,  completed  </w:t>
      </w:r>
      <w:r>
        <w:rPr/>
        <w:t>the </w:t>
      </w:r>
      <w:r>
        <w:rPr>
          <w:spacing w:val="-3"/>
        </w:rPr>
        <w:t>online </w:t>
      </w:r>
      <w:r>
        <w:rPr/>
        <w:t>survey and otherwise assisted in  this  </w:t>
      </w:r>
      <w:r>
        <w:rPr>
          <w:spacing w:val="-4"/>
        </w:rPr>
        <w:t>inquiry.  </w:t>
      </w:r>
      <w:r>
        <w:rPr>
          <w:spacing w:val="-6"/>
        </w:rPr>
        <w:t>Your  </w:t>
      </w:r>
      <w:r>
        <w:rPr>
          <w:spacing w:val="-3"/>
        </w:rPr>
        <w:t>valuable  contributions  have  </w:t>
      </w:r>
      <w:r>
        <w:rPr/>
        <w:t>helped the </w:t>
      </w:r>
      <w:r>
        <w:rPr>
          <w:spacing w:val="-3"/>
        </w:rPr>
        <w:t>Commission formulate </w:t>
      </w:r>
      <w:r>
        <w:rPr/>
        <w:t>its </w:t>
      </w:r>
      <w:r>
        <w:rPr>
          <w:spacing w:val="-3"/>
        </w:rPr>
        <w:t>recommendations </w:t>
      </w:r>
      <w:r>
        <w:rPr/>
        <w:t>and we </w:t>
      </w:r>
      <w:r>
        <w:rPr>
          <w:spacing w:val="-3"/>
        </w:rPr>
        <w:t>are grateful for  </w:t>
      </w:r>
      <w:r>
        <w:rPr/>
        <w:t>your time and attention </w:t>
      </w:r>
      <w:r>
        <w:rPr>
          <w:spacing w:val="-3"/>
        </w:rPr>
        <w:t>to</w:t>
      </w:r>
      <w:r>
        <w:rPr>
          <w:spacing w:val="41"/>
        </w:rPr>
        <w:t> </w:t>
      </w:r>
      <w:r>
        <w:rPr/>
        <w:t>the</w:t>
      </w:r>
      <w:r>
        <w:rPr>
          <w:spacing w:val="7"/>
        </w:rPr>
        <w:t> </w:t>
      </w:r>
      <w:r>
        <w:rPr/>
        <w:t>issues.</w:t>
      </w:r>
    </w:p>
    <w:p>
      <w:pPr>
        <w:pStyle w:val="BodyText"/>
        <w:spacing w:line="242" w:lineRule="auto" w:before="124"/>
        <w:ind w:left="1587" w:right="1750"/>
      </w:pPr>
      <w:r>
        <w:rPr>
          <w:w w:val="105"/>
        </w:rPr>
        <w:t>This inquiry was led by the Hon. </w:t>
      </w:r>
      <w:r>
        <w:rPr>
          <w:spacing w:val="-3"/>
          <w:w w:val="105"/>
        </w:rPr>
        <w:t>Philip </w:t>
      </w:r>
      <w:r>
        <w:rPr>
          <w:spacing w:val="-4"/>
          <w:w w:val="105"/>
        </w:rPr>
        <w:t>Cummins </w:t>
      </w:r>
      <w:r>
        <w:rPr>
          <w:w w:val="105"/>
        </w:rPr>
        <w:t>AM, </w:t>
      </w:r>
      <w:r>
        <w:rPr>
          <w:spacing w:val="-4"/>
          <w:w w:val="105"/>
        </w:rPr>
        <w:t>Chair </w:t>
      </w:r>
      <w:r>
        <w:rPr>
          <w:w w:val="105"/>
        </w:rPr>
        <w:t>of the </w:t>
      </w:r>
      <w:r>
        <w:rPr>
          <w:spacing w:val="-3"/>
          <w:w w:val="105"/>
        </w:rPr>
        <w:t>Commission, until </w:t>
      </w:r>
      <w:r>
        <w:rPr>
          <w:w w:val="105"/>
        </w:rPr>
        <w:t>his passing  in February </w:t>
      </w:r>
      <w:r>
        <w:rPr>
          <w:spacing w:val="-8"/>
          <w:w w:val="105"/>
        </w:rPr>
        <w:t>2019. </w:t>
      </w:r>
      <w:r>
        <w:rPr>
          <w:w w:val="105"/>
        </w:rPr>
        <w:t>The report’s delivery </w:t>
      </w:r>
      <w:r>
        <w:rPr>
          <w:spacing w:val="-2"/>
          <w:w w:val="105"/>
        </w:rPr>
        <w:t>has </w:t>
      </w:r>
      <w:r>
        <w:rPr>
          <w:w w:val="105"/>
        </w:rPr>
        <w:t>been </w:t>
      </w:r>
      <w:r>
        <w:rPr>
          <w:spacing w:val="-3"/>
          <w:w w:val="105"/>
        </w:rPr>
        <w:t>consequently delayed. Philip </w:t>
      </w:r>
      <w:r>
        <w:rPr>
          <w:w w:val="105"/>
        </w:rPr>
        <w:t>was </w:t>
      </w:r>
      <w:r>
        <w:rPr>
          <w:spacing w:val="-3"/>
          <w:w w:val="105"/>
        </w:rPr>
        <w:t>passionate </w:t>
      </w:r>
      <w:r>
        <w:rPr>
          <w:w w:val="105"/>
        </w:rPr>
        <w:t>about</w:t>
      </w:r>
      <w:r>
        <w:rPr>
          <w:spacing w:val="-8"/>
          <w:w w:val="105"/>
        </w:rPr>
        <w:t> </w:t>
      </w:r>
      <w:r>
        <w:rPr>
          <w:spacing w:val="-3"/>
          <w:w w:val="105"/>
        </w:rPr>
        <w:t>involving</w:t>
      </w:r>
      <w:r>
        <w:rPr>
          <w:spacing w:val="-7"/>
          <w:w w:val="105"/>
        </w:rPr>
        <w:t> </w:t>
      </w:r>
      <w:r>
        <w:rPr>
          <w:w w:val="105"/>
        </w:rPr>
        <w:t>the</w:t>
      </w:r>
      <w:r>
        <w:rPr>
          <w:spacing w:val="-7"/>
          <w:w w:val="105"/>
        </w:rPr>
        <w:t> </w:t>
      </w:r>
      <w:r>
        <w:rPr>
          <w:w w:val="105"/>
        </w:rPr>
        <w:t>community</w:t>
      </w:r>
      <w:r>
        <w:rPr>
          <w:spacing w:val="-7"/>
          <w:w w:val="105"/>
        </w:rPr>
        <w:t> </w:t>
      </w:r>
      <w:r>
        <w:rPr>
          <w:w w:val="105"/>
        </w:rPr>
        <w:t>in</w:t>
      </w:r>
      <w:r>
        <w:rPr>
          <w:spacing w:val="-7"/>
          <w:w w:val="105"/>
        </w:rPr>
        <w:t> </w:t>
      </w:r>
      <w:r>
        <w:rPr>
          <w:w w:val="105"/>
        </w:rPr>
        <w:t>law</w:t>
      </w:r>
      <w:r>
        <w:rPr>
          <w:spacing w:val="-7"/>
          <w:w w:val="105"/>
        </w:rPr>
        <w:t> </w:t>
      </w:r>
      <w:r>
        <w:rPr>
          <w:spacing w:val="-3"/>
          <w:w w:val="105"/>
        </w:rPr>
        <w:t>reform</w:t>
      </w:r>
      <w:r>
        <w:rPr>
          <w:spacing w:val="-7"/>
          <w:w w:val="105"/>
        </w:rPr>
        <w:t> </w:t>
      </w:r>
      <w:r>
        <w:rPr>
          <w:w w:val="105"/>
        </w:rPr>
        <w:t>and</w:t>
      </w:r>
      <w:r>
        <w:rPr>
          <w:spacing w:val="-7"/>
          <w:w w:val="105"/>
        </w:rPr>
        <w:t> </w:t>
      </w:r>
      <w:r>
        <w:rPr>
          <w:w w:val="105"/>
        </w:rPr>
        <w:t>believed</w:t>
      </w:r>
      <w:r>
        <w:rPr>
          <w:spacing w:val="-7"/>
          <w:w w:val="105"/>
        </w:rPr>
        <w:t> </w:t>
      </w:r>
      <w:r>
        <w:rPr>
          <w:spacing w:val="-3"/>
          <w:w w:val="105"/>
        </w:rPr>
        <w:t>that</w:t>
      </w:r>
      <w:r>
        <w:rPr>
          <w:spacing w:val="-7"/>
          <w:w w:val="105"/>
        </w:rPr>
        <w:t> </w:t>
      </w:r>
      <w:r>
        <w:rPr>
          <w:w w:val="105"/>
        </w:rPr>
        <w:t>the</w:t>
      </w:r>
      <w:r>
        <w:rPr>
          <w:spacing w:val="-7"/>
          <w:w w:val="105"/>
        </w:rPr>
        <w:t> </w:t>
      </w:r>
      <w:r>
        <w:rPr>
          <w:spacing w:val="-4"/>
          <w:w w:val="105"/>
        </w:rPr>
        <w:t>Commission’s</w:t>
      </w:r>
      <w:r>
        <w:rPr>
          <w:spacing w:val="-7"/>
          <w:w w:val="105"/>
        </w:rPr>
        <w:t> </w:t>
      </w:r>
      <w:r>
        <w:rPr>
          <w:w w:val="105"/>
        </w:rPr>
        <w:t>community</w:t>
      </w:r>
      <w:r>
        <w:rPr>
          <w:spacing w:val="-7"/>
          <w:w w:val="105"/>
        </w:rPr>
        <w:t> </w:t>
      </w:r>
      <w:r>
        <w:rPr>
          <w:w w:val="105"/>
        </w:rPr>
        <w:t>law </w:t>
      </w:r>
      <w:r>
        <w:rPr>
          <w:spacing w:val="-3"/>
          <w:w w:val="105"/>
        </w:rPr>
        <w:t>reform </w:t>
      </w:r>
      <w:r>
        <w:rPr>
          <w:w w:val="105"/>
        </w:rPr>
        <w:t>function was </w:t>
      </w:r>
      <w:r>
        <w:rPr>
          <w:spacing w:val="-3"/>
          <w:w w:val="105"/>
        </w:rPr>
        <w:t>fundamental to </w:t>
      </w:r>
      <w:r>
        <w:rPr>
          <w:w w:val="105"/>
        </w:rPr>
        <w:t>its </w:t>
      </w:r>
      <w:r>
        <w:rPr>
          <w:spacing w:val="-3"/>
          <w:w w:val="105"/>
        </w:rPr>
        <w:t>role. </w:t>
      </w:r>
      <w:r>
        <w:rPr>
          <w:w w:val="105"/>
        </w:rPr>
        <w:t>He enjoyed </w:t>
      </w:r>
      <w:r>
        <w:rPr>
          <w:spacing w:val="-3"/>
          <w:w w:val="105"/>
        </w:rPr>
        <w:t>engaging </w:t>
      </w:r>
      <w:r>
        <w:rPr>
          <w:w w:val="105"/>
        </w:rPr>
        <w:t>with people about how</w:t>
      </w:r>
      <w:r>
        <w:rPr>
          <w:spacing w:val="19"/>
          <w:w w:val="105"/>
        </w:rPr>
        <w:t> </w:t>
      </w:r>
      <w:r>
        <w:rPr>
          <w:w w:val="105"/>
        </w:rPr>
        <w:t>the</w:t>
      </w:r>
    </w:p>
    <w:p>
      <w:pPr>
        <w:pStyle w:val="BodyText"/>
        <w:spacing w:line="242" w:lineRule="auto" w:before="4"/>
        <w:ind w:left="1587" w:right="1558"/>
      </w:pPr>
      <w:r>
        <w:rPr>
          <w:w w:val="105"/>
        </w:rPr>
        <w:t>law </w:t>
      </w:r>
      <w:r>
        <w:rPr>
          <w:spacing w:val="-3"/>
          <w:w w:val="105"/>
        </w:rPr>
        <w:t>could </w:t>
      </w:r>
      <w:r>
        <w:rPr>
          <w:w w:val="105"/>
        </w:rPr>
        <w:t>be </w:t>
      </w:r>
      <w:r>
        <w:rPr>
          <w:spacing w:val="-3"/>
          <w:w w:val="105"/>
        </w:rPr>
        <w:t>improved </w:t>
      </w:r>
      <w:r>
        <w:rPr>
          <w:w w:val="105"/>
        </w:rPr>
        <w:t>and how it </w:t>
      </w:r>
      <w:r>
        <w:rPr>
          <w:spacing w:val="-3"/>
          <w:w w:val="105"/>
        </w:rPr>
        <w:t>could keep </w:t>
      </w:r>
      <w:r>
        <w:rPr>
          <w:w w:val="105"/>
        </w:rPr>
        <w:t>pace with community ideas and expectations. </w:t>
      </w:r>
      <w:r>
        <w:rPr>
          <w:spacing w:val="-3"/>
          <w:w w:val="105"/>
        </w:rPr>
        <w:t>Philip </w:t>
      </w:r>
      <w:r>
        <w:rPr>
          <w:w w:val="105"/>
        </w:rPr>
        <w:t>approached this inquiry with </w:t>
      </w:r>
      <w:r>
        <w:rPr>
          <w:spacing w:val="-3"/>
          <w:w w:val="105"/>
        </w:rPr>
        <w:t>great enthusiasm </w:t>
      </w:r>
      <w:r>
        <w:rPr>
          <w:w w:val="105"/>
        </w:rPr>
        <w:t>and guided the direction of the final report.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spacing w:before="96"/>
        <w:ind w:left="720" w:right="0" w:firstLine="0"/>
        <w:jc w:val="left"/>
        <w:rPr>
          <w:b/>
          <w:sz w:val="24"/>
        </w:rPr>
      </w:pPr>
      <w:r>
        <w:rPr>
          <w:b/>
          <w:color w:val="658464"/>
          <w:w w:val="121"/>
          <w:sz w:val="24"/>
        </w:rPr>
        <w:t>x</w:t>
      </w:r>
    </w:p>
    <w:p>
      <w:pPr>
        <w:spacing w:after="0"/>
        <w:jc w:val="left"/>
        <w:rPr>
          <w:sz w:val="24"/>
        </w:rPr>
        <w:sectPr>
          <w:pgSz w:w="11910" w:h="16840"/>
          <w:pgMar w:header="1372" w:footer="0" w:top="1560" w:bottom="280" w:left="0" w:right="0"/>
        </w:sectPr>
      </w:pPr>
    </w:p>
    <w:p>
      <w:pPr>
        <w:pStyle w:val="BodyText"/>
        <w:spacing w:before="9"/>
        <w:rPr>
          <w:b/>
          <w:sz w:val="22"/>
        </w:rPr>
      </w:pPr>
    </w:p>
    <w:p>
      <w:pPr>
        <w:pStyle w:val="BodyText"/>
        <w:spacing w:line="242" w:lineRule="auto" w:before="92"/>
        <w:ind w:left="1587" w:right="1558"/>
      </w:pPr>
      <w:bookmarkStart w:name="Terms of reference" w:id="5"/>
      <w:bookmarkEnd w:id="5"/>
      <w:r>
        <w:rPr/>
      </w:r>
      <w:r>
        <w:rPr>
          <w:w w:val="105"/>
        </w:rPr>
        <w:t>I </w:t>
      </w:r>
      <w:r>
        <w:rPr>
          <w:spacing w:val="-3"/>
          <w:w w:val="105"/>
        </w:rPr>
        <w:t>thank </w:t>
      </w:r>
      <w:r>
        <w:rPr>
          <w:w w:val="105"/>
        </w:rPr>
        <w:t>the </w:t>
      </w:r>
      <w:r>
        <w:rPr>
          <w:spacing w:val="-3"/>
          <w:w w:val="105"/>
        </w:rPr>
        <w:t>Commissioners </w:t>
      </w:r>
      <w:r>
        <w:rPr>
          <w:w w:val="105"/>
        </w:rPr>
        <w:t>who comprised the Division </w:t>
      </w:r>
      <w:r>
        <w:rPr>
          <w:spacing w:val="-3"/>
          <w:w w:val="105"/>
        </w:rPr>
        <w:t>that worked </w:t>
      </w:r>
      <w:r>
        <w:rPr>
          <w:w w:val="105"/>
        </w:rPr>
        <w:t>on this Inquiry: Liana </w:t>
      </w:r>
      <w:r>
        <w:rPr>
          <w:spacing w:val="-3"/>
          <w:w w:val="105"/>
        </w:rPr>
        <w:t>Buchanan, </w:t>
      </w:r>
      <w:r>
        <w:rPr>
          <w:w w:val="105"/>
        </w:rPr>
        <w:t>Dr Ian </w:t>
      </w:r>
      <w:r>
        <w:rPr>
          <w:spacing w:val="-3"/>
          <w:w w:val="105"/>
        </w:rPr>
        <w:t>Hardingham </w:t>
      </w:r>
      <w:r>
        <w:rPr>
          <w:spacing w:val="-4"/>
          <w:w w:val="105"/>
        </w:rPr>
        <w:t>QC, </w:t>
      </w:r>
      <w:r>
        <w:rPr>
          <w:w w:val="105"/>
        </w:rPr>
        <w:t>Alison O’Brien PSM, Professor Bernadette McSherry and Gemma </w:t>
      </w:r>
      <w:r>
        <w:rPr>
          <w:spacing w:val="-4"/>
          <w:w w:val="105"/>
        </w:rPr>
        <w:t>Varley </w:t>
      </w:r>
      <w:r>
        <w:rPr>
          <w:w w:val="105"/>
        </w:rPr>
        <w:t>PSM. They </w:t>
      </w:r>
      <w:r>
        <w:rPr>
          <w:spacing w:val="-3"/>
          <w:w w:val="105"/>
        </w:rPr>
        <w:t>have contributed </w:t>
      </w:r>
      <w:r>
        <w:rPr>
          <w:w w:val="105"/>
        </w:rPr>
        <w:t>as a </w:t>
      </w:r>
      <w:r>
        <w:rPr>
          <w:spacing w:val="-3"/>
          <w:w w:val="105"/>
        </w:rPr>
        <w:t>group to </w:t>
      </w:r>
      <w:r>
        <w:rPr>
          <w:w w:val="105"/>
        </w:rPr>
        <w:t>the </w:t>
      </w:r>
      <w:r>
        <w:rPr>
          <w:spacing w:val="-4"/>
          <w:w w:val="105"/>
        </w:rPr>
        <w:t>Commission’s </w:t>
      </w:r>
      <w:r>
        <w:rPr>
          <w:spacing w:val="-3"/>
          <w:w w:val="105"/>
        </w:rPr>
        <w:t>thinking </w:t>
      </w:r>
      <w:r>
        <w:rPr>
          <w:w w:val="105"/>
        </w:rPr>
        <w:t>about the practical </w:t>
      </w:r>
      <w:r>
        <w:rPr>
          <w:spacing w:val="-2"/>
          <w:w w:val="105"/>
        </w:rPr>
        <w:t>problems </w:t>
      </w:r>
      <w:r>
        <w:rPr>
          <w:spacing w:val="-3"/>
          <w:w w:val="105"/>
        </w:rPr>
        <w:t>facing </w:t>
      </w:r>
      <w:r>
        <w:rPr>
          <w:w w:val="105"/>
        </w:rPr>
        <w:t>the community and the </w:t>
      </w:r>
      <w:r>
        <w:rPr>
          <w:spacing w:val="-3"/>
          <w:w w:val="105"/>
        </w:rPr>
        <w:t>recommendations for change. </w:t>
      </w:r>
      <w:r>
        <w:rPr>
          <w:w w:val="105"/>
        </w:rPr>
        <w:t>I particularly </w:t>
      </w:r>
      <w:r>
        <w:rPr>
          <w:spacing w:val="-3"/>
          <w:w w:val="105"/>
        </w:rPr>
        <w:t>thank </w:t>
      </w:r>
      <w:r>
        <w:rPr>
          <w:w w:val="105"/>
        </w:rPr>
        <w:t>Gemma </w:t>
      </w:r>
      <w:r>
        <w:rPr>
          <w:spacing w:val="-4"/>
          <w:w w:val="105"/>
        </w:rPr>
        <w:t>Varley </w:t>
      </w:r>
      <w:r>
        <w:rPr>
          <w:w w:val="105"/>
        </w:rPr>
        <w:t>who </w:t>
      </w:r>
      <w:r>
        <w:rPr>
          <w:spacing w:val="-3"/>
          <w:w w:val="105"/>
        </w:rPr>
        <w:t>gave </w:t>
      </w:r>
      <w:r>
        <w:rPr>
          <w:w w:val="105"/>
        </w:rPr>
        <w:t>her time generously and provided </w:t>
      </w:r>
      <w:r>
        <w:rPr>
          <w:spacing w:val="-3"/>
          <w:w w:val="105"/>
        </w:rPr>
        <w:t>additional </w:t>
      </w:r>
      <w:r>
        <w:rPr>
          <w:w w:val="105"/>
        </w:rPr>
        <w:t>expert </w:t>
      </w:r>
      <w:r>
        <w:rPr>
          <w:spacing w:val="-3"/>
          <w:w w:val="105"/>
        </w:rPr>
        <w:t>guidance </w:t>
      </w:r>
      <w:r>
        <w:rPr>
          <w:w w:val="105"/>
        </w:rPr>
        <w:t>and </w:t>
      </w:r>
      <w:r>
        <w:rPr>
          <w:spacing w:val="-3"/>
          <w:w w:val="105"/>
        </w:rPr>
        <w:t>input.</w:t>
      </w:r>
    </w:p>
    <w:p>
      <w:pPr>
        <w:pStyle w:val="BodyText"/>
        <w:spacing w:line="242" w:lineRule="auto" w:before="125"/>
        <w:ind w:left="1587" w:right="1810"/>
      </w:pPr>
      <w:r>
        <w:rPr/>
        <w:t>The production of this report </w:t>
      </w:r>
      <w:r>
        <w:rPr>
          <w:spacing w:val="-2"/>
        </w:rPr>
        <w:t>has  </w:t>
      </w:r>
      <w:r>
        <w:rPr/>
        <w:t>been a </w:t>
      </w:r>
      <w:r>
        <w:rPr>
          <w:spacing w:val="-3"/>
        </w:rPr>
        <w:t>lengthy  </w:t>
      </w:r>
      <w:r>
        <w:rPr/>
        <w:t>and complex undertaking, </w:t>
      </w:r>
      <w:r>
        <w:rPr>
          <w:spacing w:val="-3"/>
        </w:rPr>
        <w:t>involving  consideration  </w:t>
      </w:r>
      <w:r>
        <w:rPr/>
        <w:t>of</w:t>
      </w:r>
      <w:r>
        <w:rPr>
          <w:spacing w:val="15"/>
        </w:rPr>
        <w:t> </w:t>
      </w:r>
      <w:r>
        <w:rPr>
          <w:spacing w:val="-3"/>
        </w:rPr>
        <w:t>many</w:t>
      </w:r>
      <w:r>
        <w:rPr>
          <w:spacing w:val="16"/>
        </w:rPr>
        <w:t> </w:t>
      </w:r>
      <w:r>
        <w:rPr>
          <w:spacing w:val="-3"/>
        </w:rPr>
        <w:t>areas</w:t>
      </w:r>
      <w:r>
        <w:rPr>
          <w:spacing w:val="16"/>
        </w:rPr>
        <w:t> </w:t>
      </w:r>
      <w:r>
        <w:rPr/>
        <w:t>of</w:t>
      </w:r>
      <w:r>
        <w:rPr>
          <w:spacing w:val="15"/>
        </w:rPr>
        <w:t> </w:t>
      </w:r>
      <w:r>
        <w:rPr>
          <w:spacing w:val="-5"/>
        </w:rPr>
        <w:t>law.</w:t>
      </w:r>
      <w:r>
        <w:rPr>
          <w:spacing w:val="16"/>
        </w:rPr>
        <w:t> </w:t>
      </w:r>
      <w:r>
        <w:rPr/>
        <w:t>I</w:t>
      </w:r>
      <w:r>
        <w:rPr>
          <w:spacing w:val="16"/>
        </w:rPr>
        <w:t> </w:t>
      </w:r>
      <w:r>
        <w:rPr/>
        <w:t>am</w:t>
      </w:r>
      <w:r>
        <w:rPr>
          <w:spacing w:val="16"/>
        </w:rPr>
        <w:t> </w:t>
      </w:r>
      <w:r>
        <w:rPr>
          <w:spacing w:val="-3"/>
        </w:rPr>
        <w:t>grateful</w:t>
      </w:r>
      <w:r>
        <w:rPr>
          <w:spacing w:val="15"/>
        </w:rPr>
        <w:t> </w:t>
      </w:r>
      <w:r>
        <w:rPr>
          <w:spacing w:val="-3"/>
        </w:rPr>
        <w:t>to</w:t>
      </w:r>
      <w:r>
        <w:rPr>
          <w:spacing w:val="16"/>
        </w:rPr>
        <w:t> </w:t>
      </w:r>
      <w:r>
        <w:rPr/>
        <w:t>the</w:t>
      </w:r>
      <w:r>
        <w:rPr>
          <w:spacing w:val="16"/>
        </w:rPr>
        <w:t> </w:t>
      </w:r>
      <w:r>
        <w:rPr>
          <w:spacing w:val="-3"/>
        </w:rPr>
        <w:t>research</w:t>
      </w:r>
      <w:r>
        <w:rPr>
          <w:spacing w:val="16"/>
        </w:rPr>
        <w:t> </w:t>
      </w:r>
      <w:r>
        <w:rPr/>
        <w:t>and</w:t>
      </w:r>
      <w:r>
        <w:rPr>
          <w:spacing w:val="15"/>
        </w:rPr>
        <w:t> </w:t>
      </w:r>
      <w:r>
        <w:rPr/>
        <w:t>policy</w:t>
      </w:r>
      <w:r>
        <w:rPr>
          <w:spacing w:val="16"/>
        </w:rPr>
        <w:t> </w:t>
      </w:r>
      <w:r>
        <w:rPr>
          <w:spacing w:val="-3"/>
        </w:rPr>
        <w:t>team</w:t>
      </w:r>
      <w:r>
        <w:rPr>
          <w:spacing w:val="16"/>
        </w:rPr>
        <w:t> </w:t>
      </w:r>
      <w:r>
        <w:rPr/>
        <w:t>who</w:t>
      </w:r>
      <w:r>
        <w:rPr>
          <w:spacing w:val="16"/>
        </w:rPr>
        <w:t> </w:t>
      </w:r>
      <w:r>
        <w:rPr>
          <w:spacing w:val="-3"/>
        </w:rPr>
        <w:t>have</w:t>
      </w:r>
      <w:r>
        <w:rPr>
          <w:spacing w:val="15"/>
        </w:rPr>
        <w:t> </w:t>
      </w:r>
      <w:r>
        <w:rPr>
          <w:spacing w:val="-3"/>
        </w:rPr>
        <w:t>worked</w:t>
      </w:r>
      <w:r>
        <w:rPr>
          <w:spacing w:val="16"/>
        </w:rPr>
        <w:t> </w:t>
      </w:r>
      <w:r>
        <w:rPr/>
        <w:t>tirelessly</w:t>
      </w:r>
    </w:p>
    <w:p>
      <w:pPr>
        <w:pStyle w:val="BodyText"/>
        <w:spacing w:line="242" w:lineRule="auto" w:before="2"/>
        <w:ind w:left="1587" w:right="2059"/>
      </w:pPr>
      <w:r>
        <w:rPr>
          <w:spacing w:val="-3"/>
          <w:w w:val="105"/>
        </w:rPr>
        <w:t>to produce high </w:t>
      </w:r>
      <w:r>
        <w:rPr>
          <w:w w:val="105"/>
        </w:rPr>
        <w:t>quality work. </w:t>
      </w:r>
      <w:r>
        <w:rPr>
          <w:spacing w:val="-3"/>
          <w:w w:val="105"/>
        </w:rPr>
        <w:t>Emma Cashen completed </w:t>
      </w:r>
      <w:r>
        <w:rPr>
          <w:w w:val="105"/>
        </w:rPr>
        <w:t>the </w:t>
      </w:r>
      <w:r>
        <w:rPr>
          <w:spacing w:val="-4"/>
          <w:w w:val="105"/>
        </w:rPr>
        <w:t>Commission’s </w:t>
      </w:r>
      <w:r>
        <w:rPr>
          <w:spacing w:val="-3"/>
          <w:w w:val="105"/>
        </w:rPr>
        <w:t>consultations </w:t>
      </w:r>
      <w:r>
        <w:rPr>
          <w:w w:val="105"/>
        </w:rPr>
        <w:t>and led the production of the report with expertise and</w:t>
      </w:r>
      <w:r>
        <w:rPr>
          <w:spacing w:val="-3"/>
          <w:w w:val="105"/>
        </w:rPr>
        <w:t> commitment. </w:t>
      </w:r>
      <w:r>
        <w:rPr>
          <w:w w:val="105"/>
        </w:rPr>
        <w:t>I </w:t>
      </w:r>
      <w:r>
        <w:rPr>
          <w:spacing w:val="-3"/>
          <w:w w:val="105"/>
        </w:rPr>
        <w:t>thank Hana Shahkhan </w:t>
      </w:r>
      <w:r>
        <w:rPr>
          <w:w w:val="105"/>
        </w:rPr>
        <w:t>and</w:t>
      </w:r>
    </w:p>
    <w:p>
      <w:pPr>
        <w:pStyle w:val="BodyText"/>
        <w:spacing w:line="242" w:lineRule="auto" w:before="2"/>
        <w:ind w:left="1587" w:right="1636"/>
      </w:pPr>
      <w:r>
        <w:rPr/>
        <w:t>Anna Woods for their dedication to this project. Their research, writing and analytical skills were invaluable.</w:t>
      </w:r>
    </w:p>
    <w:p>
      <w:pPr>
        <w:pStyle w:val="BodyText"/>
        <w:spacing w:line="242" w:lineRule="auto" w:before="123"/>
        <w:ind w:left="1587" w:right="1644"/>
      </w:pPr>
      <w:r>
        <w:rPr>
          <w:w w:val="105"/>
        </w:rPr>
        <w:t>My thanks </w:t>
      </w:r>
      <w:r>
        <w:rPr>
          <w:spacing w:val="-3"/>
          <w:w w:val="105"/>
        </w:rPr>
        <w:t>to </w:t>
      </w:r>
      <w:r>
        <w:rPr>
          <w:w w:val="105"/>
        </w:rPr>
        <w:t>Natalie </w:t>
      </w:r>
      <w:r>
        <w:rPr>
          <w:spacing w:val="-3"/>
          <w:w w:val="105"/>
        </w:rPr>
        <w:t>Lilford, Community </w:t>
      </w:r>
      <w:r>
        <w:rPr>
          <w:w w:val="105"/>
        </w:rPr>
        <w:t>Law </w:t>
      </w:r>
      <w:r>
        <w:rPr>
          <w:spacing w:val="-3"/>
          <w:w w:val="105"/>
        </w:rPr>
        <w:t>Reform </w:t>
      </w:r>
      <w:r>
        <w:rPr>
          <w:spacing w:val="-4"/>
          <w:w w:val="105"/>
        </w:rPr>
        <w:t>Manager, </w:t>
      </w:r>
      <w:r>
        <w:rPr>
          <w:w w:val="105"/>
        </w:rPr>
        <w:t>who led the development of the </w:t>
      </w:r>
      <w:r>
        <w:rPr>
          <w:spacing w:val="-3"/>
          <w:w w:val="105"/>
        </w:rPr>
        <w:t>consultation </w:t>
      </w:r>
      <w:r>
        <w:rPr>
          <w:w w:val="105"/>
        </w:rPr>
        <w:t>paper and conducted early </w:t>
      </w:r>
      <w:r>
        <w:rPr>
          <w:spacing w:val="-3"/>
          <w:w w:val="105"/>
        </w:rPr>
        <w:t>consultations that </w:t>
      </w:r>
      <w:r>
        <w:rPr>
          <w:w w:val="105"/>
        </w:rPr>
        <w:t>shaped the direction of this report </w:t>
      </w:r>
      <w:r>
        <w:rPr>
          <w:spacing w:val="-3"/>
          <w:w w:val="105"/>
        </w:rPr>
        <w:t>before </w:t>
      </w:r>
      <w:r>
        <w:rPr>
          <w:w w:val="105"/>
        </w:rPr>
        <w:t>she </w:t>
      </w:r>
      <w:r>
        <w:rPr>
          <w:spacing w:val="-3"/>
          <w:w w:val="105"/>
        </w:rPr>
        <w:t>commenced parental </w:t>
      </w:r>
      <w:r>
        <w:rPr>
          <w:spacing w:val="-4"/>
          <w:w w:val="105"/>
        </w:rPr>
        <w:t>leave. </w:t>
      </w:r>
      <w:r>
        <w:rPr>
          <w:spacing w:val="-3"/>
          <w:w w:val="105"/>
        </w:rPr>
        <w:t>Andrea </w:t>
      </w:r>
      <w:r>
        <w:rPr>
          <w:w w:val="105"/>
        </w:rPr>
        <w:t>Lane provided </w:t>
      </w:r>
      <w:r>
        <w:rPr>
          <w:spacing w:val="-3"/>
          <w:w w:val="105"/>
        </w:rPr>
        <w:t>invaluable research </w:t>
      </w:r>
      <w:r>
        <w:rPr>
          <w:w w:val="105"/>
        </w:rPr>
        <w:t>assistance in the final stages. Nick Gadd expertly guided the </w:t>
      </w:r>
      <w:r>
        <w:rPr>
          <w:spacing w:val="-3"/>
          <w:w w:val="105"/>
        </w:rPr>
        <w:t>editing </w:t>
      </w:r>
      <w:r>
        <w:rPr>
          <w:w w:val="105"/>
        </w:rPr>
        <w:t>and production process. Gemma </w:t>
      </w:r>
      <w:r>
        <w:rPr>
          <w:spacing w:val="-4"/>
          <w:w w:val="105"/>
        </w:rPr>
        <w:t>Walsh </w:t>
      </w:r>
      <w:r>
        <w:rPr>
          <w:spacing w:val="-2"/>
          <w:w w:val="105"/>
        </w:rPr>
        <w:t>has </w:t>
      </w:r>
      <w:r>
        <w:rPr>
          <w:w w:val="105"/>
        </w:rPr>
        <w:t>provided </w:t>
      </w:r>
      <w:r>
        <w:rPr>
          <w:spacing w:val="-3"/>
          <w:w w:val="105"/>
        </w:rPr>
        <w:t>invaluable research </w:t>
      </w:r>
      <w:r>
        <w:rPr>
          <w:w w:val="105"/>
        </w:rPr>
        <w:t>and library </w:t>
      </w:r>
      <w:r>
        <w:rPr>
          <w:spacing w:val="-3"/>
          <w:w w:val="105"/>
        </w:rPr>
        <w:t>resource </w:t>
      </w:r>
      <w:r>
        <w:rPr>
          <w:w w:val="105"/>
        </w:rPr>
        <w:t>support. </w:t>
      </w:r>
      <w:r>
        <w:rPr>
          <w:spacing w:val="-4"/>
          <w:w w:val="105"/>
        </w:rPr>
        <w:t>Finally, </w:t>
      </w:r>
      <w:r>
        <w:rPr>
          <w:w w:val="105"/>
        </w:rPr>
        <w:t>my thanks </w:t>
      </w:r>
      <w:r>
        <w:rPr>
          <w:spacing w:val="-3"/>
          <w:w w:val="105"/>
        </w:rPr>
        <w:t>to </w:t>
      </w:r>
      <w:r>
        <w:rPr>
          <w:w w:val="105"/>
        </w:rPr>
        <w:t>the </w:t>
      </w:r>
      <w:r>
        <w:rPr>
          <w:spacing w:val="-5"/>
          <w:w w:val="105"/>
        </w:rPr>
        <w:t>CEO, </w:t>
      </w:r>
      <w:r>
        <w:rPr>
          <w:w w:val="105"/>
        </w:rPr>
        <w:t>Merrin Mason, </w:t>
      </w:r>
      <w:r>
        <w:rPr>
          <w:spacing w:val="-3"/>
          <w:w w:val="105"/>
        </w:rPr>
        <w:t>for </w:t>
      </w:r>
      <w:r>
        <w:rPr>
          <w:w w:val="105"/>
        </w:rPr>
        <w:t>her assistance and </w:t>
      </w:r>
      <w:r>
        <w:rPr>
          <w:spacing w:val="-3"/>
          <w:w w:val="105"/>
        </w:rPr>
        <w:t>guidance </w:t>
      </w:r>
      <w:r>
        <w:rPr>
          <w:w w:val="105"/>
        </w:rPr>
        <w:t>over the course of this inquiry and Lindy </w:t>
      </w:r>
      <w:r>
        <w:rPr>
          <w:spacing w:val="-3"/>
          <w:w w:val="105"/>
        </w:rPr>
        <w:t>Smith, </w:t>
      </w:r>
      <w:r>
        <w:rPr>
          <w:w w:val="105"/>
        </w:rPr>
        <w:t>Acting </w:t>
      </w:r>
      <w:r>
        <w:rPr>
          <w:spacing w:val="-5"/>
          <w:w w:val="105"/>
        </w:rPr>
        <w:t>CEO, </w:t>
      </w:r>
      <w:r>
        <w:rPr>
          <w:w w:val="105"/>
        </w:rPr>
        <w:t>in the final stages.</w:t>
      </w:r>
    </w:p>
    <w:p>
      <w:pPr>
        <w:pStyle w:val="BodyText"/>
        <w:spacing w:before="127"/>
        <w:ind w:left="1587"/>
      </w:pPr>
      <w:r>
        <w:rPr>
          <w:w w:val="105"/>
        </w:rPr>
        <w:t>I commend this report to you.</w:t>
      </w:r>
    </w:p>
    <w:p>
      <w:pPr>
        <w:pStyle w:val="BodyText"/>
        <w:spacing w:before="8"/>
        <w:rPr>
          <w:sz w:val="18"/>
        </w:rPr>
      </w:pPr>
      <w:r>
        <w:rPr/>
        <w:drawing>
          <wp:anchor distT="0" distB="0" distL="0" distR="0" allowOverlap="1" layoutInCell="1" locked="0" behindDoc="0" simplePos="0" relativeHeight="9">
            <wp:simplePos x="0" y="0"/>
            <wp:positionH relativeFrom="page">
              <wp:posOffset>834929</wp:posOffset>
            </wp:positionH>
            <wp:positionV relativeFrom="paragraph">
              <wp:posOffset>169924</wp:posOffset>
            </wp:positionV>
            <wp:extent cx="3070786" cy="883919"/>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7" cstate="print"/>
                    <a:stretch>
                      <a:fillRect/>
                    </a:stretch>
                  </pic:blipFill>
                  <pic:spPr>
                    <a:xfrm>
                      <a:off x="0" y="0"/>
                      <a:ext cx="3070786" cy="883919"/>
                    </a:xfrm>
                    <a:prstGeom prst="rect">
                      <a:avLst/>
                    </a:prstGeom>
                  </pic:spPr>
                </pic:pic>
              </a:graphicData>
            </a:graphic>
          </wp:anchor>
        </w:drawing>
      </w:r>
    </w:p>
    <w:p>
      <w:pPr>
        <w:pStyle w:val="BodyText"/>
        <w:spacing w:before="6"/>
        <w:rPr>
          <w:sz w:val="27"/>
        </w:rPr>
      </w:pPr>
    </w:p>
    <w:p>
      <w:pPr>
        <w:pStyle w:val="Heading9"/>
        <w:spacing w:before="0"/>
        <w:ind w:left="1587" w:firstLine="0"/>
      </w:pPr>
      <w:r>
        <w:rPr>
          <w:w w:val="110"/>
        </w:rPr>
        <w:t>Bruce Gardner PSM</w:t>
      </w:r>
    </w:p>
    <w:p>
      <w:pPr>
        <w:pStyle w:val="BodyText"/>
        <w:spacing w:before="123"/>
        <w:ind w:left="1587"/>
      </w:pPr>
      <w:r>
        <w:rPr>
          <w:w w:val="105"/>
        </w:rPr>
        <w:t>Acting Chair</w:t>
      </w:r>
    </w:p>
    <w:p>
      <w:pPr>
        <w:pStyle w:val="BodyText"/>
        <w:spacing w:line="355" w:lineRule="auto" w:before="4"/>
        <w:ind w:left="1587" w:right="6859"/>
      </w:pPr>
      <w:r>
        <w:rPr>
          <w:w w:val="105"/>
        </w:rPr>
        <w:t>Victorian Law Reform Commission June 2019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spacing w:before="0"/>
        <w:ind w:left="0" w:right="693" w:firstLine="0"/>
        <w:jc w:val="right"/>
        <w:rPr>
          <w:b/>
          <w:sz w:val="24"/>
        </w:rPr>
      </w:pPr>
      <w:r>
        <w:rPr>
          <w:b/>
          <w:color w:val="658464"/>
          <w:w w:val="115"/>
          <w:sz w:val="24"/>
        </w:rPr>
        <w:t>xi</w:t>
      </w:r>
    </w:p>
    <w:p>
      <w:pPr>
        <w:spacing w:after="0"/>
        <w:jc w:val="right"/>
        <w:rPr>
          <w:sz w:val="24"/>
        </w:rPr>
        <w:sectPr>
          <w:pgSz w:w="11910" w:h="16840"/>
          <w:pgMar w:header="546" w:footer="0" w:top="1560" w:bottom="280" w:left="0" w:right="0"/>
        </w:sectPr>
      </w:pPr>
    </w:p>
    <w:p>
      <w:pPr>
        <w:pStyle w:val="BodyText"/>
        <w:spacing w:before="1"/>
        <w:rPr>
          <w:b/>
          <w:sz w:val="20"/>
        </w:rPr>
      </w:pPr>
    </w:p>
    <w:p>
      <w:pPr>
        <w:pStyle w:val="Heading2"/>
        <w:spacing w:before="92"/>
        <w:ind w:left="566" w:firstLine="0"/>
      </w:pPr>
      <w:bookmarkStart w:name="Terms of reference" w:id="6"/>
      <w:bookmarkEnd w:id="6"/>
      <w:r>
        <w:rPr>
          <w:b w:val="0"/>
        </w:rPr>
      </w:r>
      <w:bookmarkStart w:name="Glossary" w:id="7"/>
      <w:bookmarkEnd w:id="7"/>
      <w:r>
        <w:rPr>
          <w:b w:val="0"/>
        </w:rPr>
      </w:r>
      <w:bookmarkStart w:name="_bookmark1" w:id="8"/>
      <w:bookmarkEnd w:id="8"/>
      <w:r>
        <w:rPr>
          <w:b w:val="0"/>
        </w:rPr>
      </w:r>
      <w:r>
        <w:rPr>
          <w:color w:val="658464"/>
          <w:w w:val="115"/>
        </w:rPr>
        <w:t>Terms of reference</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spacing w:before="1"/>
        <w:rPr>
          <w:b/>
          <w:sz w:val="49"/>
        </w:rPr>
      </w:pPr>
    </w:p>
    <w:p>
      <w:pPr>
        <w:spacing w:line="242" w:lineRule="auto" w:before="0"/>
        <w:ind w:left="1561" w:right="1636" w:firstLine="0"/>
        <w:jc w:val="left"/>
        <w:rPr>
          <w:sz w:val="21"/>
        </w:rPr>
      </w:pPr>
      <w:r>
        <w:rPr>
          <w:w w:val="105"/>
          <w:sz w:val="21"/>
        </w:rPr>
        <w:t>Matter </w:t>
      </w:r>
      <w:r>
        <w:rPr>
          <w:spacing w:val="-3"/>
          <w:w w:val="105"/>
          <w:sz w:val="21"/>
        </w:rPr>
        <w:t>initiated </w:t>
      </w:r>
      <w:r>
        <w:rPr>
          <w:w w:val="105"/>
          <w:sz w:val="21"/>
        </w:rPr>
        <w:t>by the </w:t>
      </w:r>
      <w:r>
        <w:rPr>
          <w:spacing w:val="-3"/>
          <w:w w:val="105"/>
          <w:sz w:val="21"/>
        </w:rPr>
        <w:t>Commission pursuant to </w:t>
      </w:r>
      <w:r>
        <w:rPr>
          <w:w w:val="105"/>
          <w:sz w:val="21"/>
        </w:rPr>
        <w:t>section 5(1)(b) of the </w:t>
      </w:r>
      <w:r>
        <w:rPr>
          <w:i/>
          <w:w w:val="105"/>
          <w:sz w:val="21"/>
        </w:rPr>
        <w:t>Victorian Law </w:t>
      </w:r>
      <w:r>
        <w:rPr>
          <w:i/>
          <w:spacing w:val="-2"/>
          <w:w w:val="105"/>
          <w:sz w:val="21"/>
        </w:rPr>
        <w:t>Reform </w:t>
      </w:r>
      <w:r>
        <w:rPr>
          <w:i/>
          <w:spacing w:val="-3"/>
          <w:w w:val="105"/>
          <w:sz w:val="21"/>
        </w:rPr>
        <w:t>Commission </w:t>
      </w:r>
      <w:r>
        <w:rPr>
          <w:i/>
          <w:w w:val="105"/>
          <w:sz w:val="21"/>
        </w:rPr>
        <w:t>Act 2000 </w:t>
      </w:r>
      <w:r>
        <w:rPr>
          <w:w w:val="105"/>
          <w:sz w:val="21"/>
        </w:rPr>
        <w:t>(Vic) on 8 June </w:t>
      </w:r>
      <w:r>
        <w:rPr>
          <w:spacing w:val="-12"/>
          <w:w w:val="105"/>
          <w:sz w:val="21"/>
        </w:rPr>
        <w:t>2017.</w:t>
      </w:r>
    </w:p>
    <w:p>
      <w:pPr>
        <w:pStyle w:val="BodyText"/>
        <w:spacing w:line="242" w:lineRule="auto" w:before="122"/>
        <w:ind w:left="1561" w:right="1810"/>
      </w:pPr>
      <w:r>
        <w:rPr>
          <w:w w:val="105"/>
        </w:rPr>
        <w:t>The Victorian Law </w:t>
      </w:r>
      <w:r>
        <w:rPr>
          <w:spacing w:val="-3"/>
          <w:w w:val="105"/>
        </w:rPr>
        <w:t>Reform Commission will examine </w:t>
      </w:r>
      <w:r>
        <w:rPr>
          <w:w w:val="105"/>
        </w:rPr>
        <w:t>the </w:t>
      </w:r>
      <w:r>
        <w:rPr>
          <w:spacing w:val="-3"/>
          <w:w w:val="105"/>
        </w:rPr>
        <w:t>current </w:t>
      </w:r>
      <w:r>
        <w:rPr>
          <w:w w:val="105"/>
        </w:rPr>
        <w:t>legal </w:t>
      </w:r>
      <w:r>
        <w:rPr>
          <w:spacing w:val="-3"/>
          <w:w w:val="105"/>
        </w:rPr>
        <w:t>framework for </w:t>
      </w:r>
      <w:r>
        <w:rPr>
          <w:w w:val="105"/>
        </w:rPr>
        <w:t>resolving </w:t>
      </w:r>
      <w:r>
        <w:rPr>
          <w:spacing w:val="-3"/>
          <w:w w:val="105"/>
        </w:rPr>
        <w:t>disputes </w:t>
      </w:r>
      <w:r>
        <w:rPr>
          <w:w w:val="105"/>
        </w:rPr>
        <w:t>between neighbours about trees on </w:t>
      </w:r>
      <w:r>
        <w:rPr>
          <w:spacing w:val="-3"/>
          <w:w w:val="105"/>
        </w:rPr>
        <w:t>private neighbouring land that </w:t>
      </w:r>
      <w:r>
        <w:rPr>
          <w:w w:val="105"/>
        </w:rPr>
        <w:t>cause damage and/ or </w:t>
      </w:r>
      <w:r>
        <w:rPr>
          <w:spacing w:val="-3"/>
          <w:w w:val="105"/>
        </w:rPr>
        <w:t>harm </w:t>
      </w:r>
      <w:r>
        <w:rPr>
          <w:spacing w:val="-2"/>
          <w:w w:val="105"/>
        </w:rPr>
        <w:t>(‘neighbourhood </w:t>
      </w:r>
      <w:r>
        <w:rPr>
          <w:w w:val="105"/>
        </w:rPr>
        <w:t>tree disputes’), and </w:t>
      </w:r>
      <w:r>
        <w:rPr>
          <w:spacing w:val="-3"/>
          <w:w w:val="105"/>
        </w:rPr>
        <w:t>consider </w:t>
      </w:r>
      <w:r>
        <w:rPr>
          <w:w w:val="105"/>
        </w:rPr>
        <w:t>whether the law should be amended </w:t>
      </w:r>
      <w:r>
        <w:rPr>
          <w:spacing w:val="-3"/>
          <w:w w:val="105"/>
        </w:rPr>
        <w:t>to </w:t>
      </w:r>
      <w:r>
        <w:rPr>
          <w:w w:val="105"/>
        </w:rPr>
        <w:t>provide just, effective and timely methods </w:t>
      </w:r>
      <w:r>
        <w:rPr>
          <w:spacing w:val="-3"/>
          <w:w w:val="105"/>
        </w:rPr>
        <w:t>for </w:t>
      </w:r>
      <w:r>
        <w:rPr>
          <w:w w:val="105"/>
        </w:rPr>
        <w:t>resolution of neighbourhood tree </w:t>
      </w:r>
      <w:r>
        <w:rPr>
          <w:spacing w:val="-3"/>
          <w:w w:val="105"/>
        </w:rPr>
        <w:t>disputes.</w:t>
      </w:r>
    </w:p>
    <w:p>
      <w:pPr>
        <w:pStyle w:val="BodyText"/>
        <w:spacing w:before="124"/>
        <w:ind w:left="1561"/>
      </w:pPr>
      <w:r>
        <w:rPr/>
        <w:t>In conducting this review, the Commission will have particular regard to:</w:t>
      </w:r>
    </w:p>
    <w:p>
      <w:pPr>
        <w:pStyle w:val="ListParagraph"/>
        <w:numPr>
          <w:ilvl w:val="0"/>
          <w:numId w:val="2"/>
        </w:numPr>
        <w:tabs>
          <w:tab w:pos="1901" w:val="left" w:leader="none"/>
          <w:tab w:pos="1902" w:val="left" w:leader="none"/>
        </w:tabs>
        <w:spacing w:line="242" w:lineRule="auto" w:before="124" w:after="0"/>
        <w:ind w:left="1901" w:right="1903" w:hanging="340"/>
        <w:jc w:val="left"/>
        <w:rPr>
          <w:sz w:val="21"/>
        </w:rPr>
      </w:pPr>
      <w:r>
        <w:rPr>
          <w:spacing w:val="-3"/>
          <w:w w:val="105"/>
          <w:sz w:val="21"/>
        </w:rPr>
        <w:t>recent</w:t>
      </w:r>
      <w:r>
        <w:rPr>
          <w:spacing w:val="-14"/>
          <w:w w:val="105"/>
          <w:sz w:val="21"/>
        </w:rPr>
        <w:t> </w:t>
      </w:r>
      <w:r>
        <w:rPr>
          <w:w w:val="105"/>
          <w:sz w:val="21"/>
        </w:rPr>
        <w:t>legal</w:t>
      </w:r>
      <w:r>
        <w:rPr>
          <w:spacing w:val="-14"/>
          <w:w w:val="105"/>
          <w:sz w:val="21"/>
        </w:rPr>
        <w:t> </w:t>
      </w:r>
      <w:r>
        <w:rPr>
          <w:w w:val="105"/>
          <w:sz w:val="21"/>
        </w:rPr>
        <w:t>developments</w:t>
      </w:r>
      <w:r>
        <w:rPr>
          <w:spacing w:val="-13"/>
          <w:w w:val="105"/>
          <w:sz w:val="21"/>
        </w:rPr>
        <w:t> </w:t>
      </w:r>
      <w:r>
        <w:rPr>
          <w:w w:val="105"/>
          <w:sz w:val="21"/>
        </w:rPr>
        <w:t>in</w:t>
      </w:r>
      <w:r>
        <w:rPr>
          <w:spacing w:val="-14"/>
          <w:w w:val="105"/>
          <w:sz w:val="21"/>
        </w:rPr>
        <w:t> </w:t>
      </w:r>
      <w:r>
        <w:rPr>
          <w:spacing w:val="-3"/>
          <w:w w:val="105"/>
          <w:sz w:val="21"/>
        </w:rPr>
        <w:t>Australian</w:t>
      </w:r>
      <w:r>
        <w:rPr>
          <w:spacing w:val="-14"/>
          <w:w w:val="105"/>
          <w:sz w:val="21"/>
        </w:rPr>
        <w:t> </w:t>
      </w:r>
      <w:r>
        <w:rPr>
          <w:w w:val="105"/>
          <w:sz w:val="21"/>
        </w:rPr>
        <w:t>and</w:t>
      </w:r>
      <w:r>
        <w:rPr>
          <w:spacing w:val="-13"/>
          <w:w w:val="105"/>
          <w:sz w:val="21"/>
        </w:rPr>
        <w:t> </w:t>
      </w:r>
      <w:r>
        <w:rPr>
          <w:spacing w:val="-3"/>
          <w:w w:val="105"/>
          <w:sz w:val="21"/>
        </w:rPr>
        <w:t>international</w:t>
      </w:r>
      <w:r>
        <w:rPr>
          <w:spacing w:val="-14"/>
          <w:w w:val="105"/>
          <w:sz w:val="21"/>
        </w:rPr>
        <w:t> </w:t>
      </w:r>
      <w:r>
        <w:rPr>
          <w:w w:val="105"/>
          <w:sz w:val="21"/>
        </w:rPr>
        <w:t>jurisdictions,</w:t>
      </w:r>
      <w:r>
        <w:rPr>
          <w:spacing w:val="-13"/>
          <w:w w:val="105"/>
          <w:sz w:val="21"/>
        </w:rPr>
        <w:t> </w:t>
      </w:r>
      <w:r>
        <w:rPr>
          <w:spacing w:val="-3"/>
          <w:w w:val="105"/>
          <w:sz w:val="21"/>
        </w:rPr>
        <w:t>including</w:t>
      </w:r>
      <w:r>
        <w:rPr>
          <w:spacing w:val="-14"/>
          <w:w w:val="105"/>
          <w:sz w:val="21"/>
        </w:rPr>
        <w:t> </w:t>
      </w:r>
      <w:r>
        <w:rPr>
          <w:w w:val="105"/>
          <w:sz w:val="21"/>
        </w:rPr>
        <w:t>the</w:t>
      </w:r>
      <w:r>
        <w:rPr>
          <w:spacing w:val="-14"/>
          <w:w w:val="105"/>
          <w:sz w:val="21"/>
        </w:rPr>
        <w:t> </w:t>
      </w:r>
      <w:r>
        <w:rPr>
          <w:spacing w:val="-3"/>
          <w:w w:val="105"/>
          <w:sz w:val="21"/>
        </w:rPr>
        <w:t>relevant </w:t>
      </w:r>
      <w:r>
        <w:rPr>
          <w:w w:val="105"/>
          <w:sz w:val="21"/>
        </w:rPr>
        <w:t>statutory schemes in New South </w:t>
      </w:r>
      <w:r>
        <w:rPr>
          <w:spacing w:val="-3"/>
          <w:w w:val="105"/>
          <w:sz w:val="21"/>
        </w:rPr>
        <w:t>Wales </w:t>
      </w:r>
      <w:r>
        <w:rPr>
          <w:w w:val="105"/>
          <w:sz w:val="21"/>
        </w:rPr>
        <w:t>and </w:t>
      </w:r>
      <w:r>
        <w:rPr>
          <w:spacing w:val="-3"/>
          <w:w w:val="105"/>
          <w:sz w:val="21"/>
        </w:rPr>
        <w:t>Queensland,</w:t>
      </w:r>
      <w:r>
        <w:rPr>
          <w:spacing w:val="33"/>
          <w:w w:val="105"/>
          <w:sz w:val="21"/>
        </w:rPr>
        <w:t> </w:t>
      </w:r>
      <w:r>
        <w:rPr>
          <w:w w:val="105"/>
          <w:sz w:val="21"/>
        </w:rPr>
        <w:t>and</w:t>
      </w:r>
    </w:p>
    <w:p>
      <w:pPr>
        <w:pStyle w:val="ListParagraph"/>
        <w:numPr>
          <w:ilvl w:val="0"/>
          <w:numId w:val="2"/>
        </w:numPr>
        <w:tabs>
          <w:tab w:pos="1901" w:val="left" w:leader="none"/>
          <w:tab w:pos="1902" w:val="left" w:leader="none"/>
        </w:tabs>
        <w:spacing w:line="324" w:lineRule="auto" w:before="87" w:after="0"/>
        <w:ind w:left="1561" w:right="4112" w:firstLine="0"/>
        <w:jc w:val="left"/>
        <w:rPr>
          <w:sz w:val="21"/>
        </w:rPr>
      </w:pPr>
      <w:r>
        <w:rPr>
          <w:spacing w:val="-3"/>
          <w:sz w:val="21"/>
        </w:rPr>
        <w:t>any alternative </w:t>
      </w:r>
      <w:r>
        <w:rPr>
          <w:sz w:val="21"/>
        </w:rPr>
        <w:t>schemes </w:t>
      </w:r>
      <w:r>
        <w:rPr>
          <w:spacing w:val="-3"/>
          <w:sz w:val="21"/>
        </w:rPr>
        <w:t>for </w:t>
      </w:r>
      <w:r>
        <w:rPr>
          <w:sz w:val="21"/>
        </w:rPr>
        <w:t>resolving neighbourhood tree </w:t>
      </w:r>
      <w:r>
        <w:rPr>
          <w:spacing w:val="-3"/>
          <w:sz w:val="21"/>
        </w:rPr>
        <w:t>disputes. </w:t>
      </w:r>
      <w:r>
        <w:rPr>
          <w:sz w:val="21"/>
        </w:rPr>
        <w:t>The </w:t>
      </w:r>
      <w:r>
        <w:rPr>
          <w:spacing w:val="-3"/>
          <w:sz w:val="21"/>
        </w:rPr>
        <w:t>Commission will </w:t>
      </w:r>
      <w:r>
        <w:rPr>
          <w:spacing w:val="-2"/>
          <w:sz w:val="21"/>
        </w:rPr>
        <w:t>not</w:t>
      </w:r>
      <w:r>
        <w:rPr>
          <w:sz w:val="21"/>
        </w:rPr>
        <w:t> </w:t>
      </w:r>
      <w:r>
        <w:rPr>
          <w:spacing w:val="-3"/>
          <w:sz w:val="21"/>
        </w:rPr>
        <w:t>consider:</w:t>
      </w:r>
    </w:p>
    <w:p>
      <w:pPr>
        <w:pStyle w:val="ListParagraph"/>
        <w:numPr>
          <w:ilvl w:val="0"/>
          <w:numId w:val="2"/>
        </w:numPr>
        <w:tabs>
          <w:tab w:pos="1901" w:val="left" w:leader="none"/>
          <w:tab w:pos="1902" w:val="left" w:leader="none"/>
        </w:tabs>
        <w:spacing w:line="240" w:lineRule="auto" w:before="33" w:after="0"/>
        <w:ind w:left="1901" w:right="0" w:hanging="340"/>
        <w:jc w:val="left"/>
        <w:rPr>
          <w:sz w:val="21"/>
        </w:rPr>
      </w:pPr>
      <w:r>
        <w:rPr>
          <w:spacing w:val="-3"/>
          <w:w w:val="105"/>
          <w:sz w:val="21"/>
        </w:rPr>
        <w:t>disputes concerning </w:t>
      </w:r>
      <w:r>
        <w:rPr>
          <w:w w:val="105"/>
          <w:sz w:val="21"/>
        </w:rPr>
        <w:t>trees </w:t>
      </w:r>
      <w:r>
        <w:rPr>
          <w:spacing w:val="-3"/>
          <w:w w:val="105"/>
          <w:sz w:val="21"/>
        </w:rPr>
        <w:t>situated </w:t>
      </w:r>
      <w:r>
        <w:rPr>
          <w:w w:val="105"/>
          <w:sz w:val="21"/>
        </w:rPr>
        <w:t>on </w:t>
      </w:r>
      <w:r>
        <w:rPr>
          <w:spacing w:val="-3"/>
          <w:w w:val="105"/>
          <w:sz w:val="21"/>
        </w:rPr>
        <w:t>public</w:t>
      </w:r>
      <w:r>
        <w:rPr>
          <w:spacing w:val="39"/>
          <w:w w:val="105"/>
          <w:sz w:val="21"/>
        </w:rPr>
        <w:t> </w:t>
      </w:r>
      <w:r>
        <w:rPr>
          <w:spacing w:val="-3"/>
          <w:w w:val="105"/>
          <w:sz w:val="21"/>
        </w:rPr>
        <w:t>land</w:t>
      </w:r>
    </w:p>
    <w:p>
      <w:pPr>
        <w:pStyle w:val="ListParagraph"/>
        <w:numPr>
          <w:ilvl w:val="0"/>
          <w:numId w:val="2"/>
        </w:numPr>
        <w:tabs>
          <w:tab w:pos="1901" w:val="left" w:leader="none"/>
          <w:tab w:pos="1902" w:val="left" w:leader="none"/>
        </w:tabs>
        <w:spacing w:line="324" w:lineRule="auto" w:before="89" w:after="0"/>
        <w:ind w:left="1561" w:right="2886" w:firstLine="0"/>
        <w:jc w:val="left"/>
        <w:rPr>
          <w:sz w:val="21"/>
        </w:rPr>
      </w:pPr>
      <w:r>
        <w:rPr>
          <w:spacing w:val="-3"/>
          <w:w w:val="105"/>
          <w:sz w:val="21"/>
        </w:rPr>
        <w:t>disputes concerning </w:t>
      </w:r>
      <w:r>
        <w:rPr>
          <w:w w:val="105"/>
          <w:sz w:val="21"/>
        </w:rPr>
        <w:t>the obstruction of </w:t>
      </w:r>
      <w:r>
        <w:rPr>
          <w:spacing w:val="-4"/>
          <w:w w:val="105"/>
          <w:sz w:val="21"/>
        </w:rPr>
        <w:t>sunlight </w:t>
      </w:r>
      <w:r>
        <w:rPr>
          <w:w w:val="105"/>
          <w:sz w:val="21"/>
        </w:rPr>
        <w:t>and views by </w:t>
      </w:r>
      <w:r>
        <w:rPr>
          <w:spacing w:val="-3"/>
          <w:w w:val="105"/>
          <w:sz w:val="21"/>
        </w:rPr>
        <w:t>neighbouring </w:t>
      </w:r>
      <w:r>
        <w:rPr>
          <w:w w:val="105"/>
          <w:sz w:val="21"/>
        </w:rPr>
        <w:t>trees. The </w:t>
      </w:r>
      <w:r>
        <w:rPr>
          <w:spacing w:val="-3"/>
          <w:w w:val="105"/>
          <w:sz w:val="21"/>
        </w:rPr>
        <w:t>Commission will </w:t>
      </w:r>
      <w:r>
        <w:rPr>
          <w:w w:val="105"/>
          <w:sz w:val="21"/>
        </w:rPr>
        <w:t>report </w:t>
      </w:r>
      <w:r>
        <w:rPr>
          <w:spacing w:val="-3"/>
          <w:w w:val="105"/>
          <w:sz w:val="21"/>
        </w:rPr>
        <w:t>to </w:t>
      </w:r>
      <w:r>
        <w:rPr>
          <w:w w:val="105"/>
          <w:sz w:val="21"/>
        </w:rPr>
        <w:t>the Attorney-General by 9 </w:t>
      </w:r>
      <w:r>
        <w:rPr>
          <w:spacing w:val="-2"/>
          <w:w w:val="105"/>
          <w:sz w:val="21"/>
        </w:rPr>
        <w:t>May</w:t>
      </w:r>
      <w:r>
        <w:rPr>
          <w:spacing w:val="44"/>
          <w:w w:val="105"/>
          <w:sz w:val="21"/>
        </w:rPr>
        <w:t> </w:t>
      </w:r>
      <w:r>
        <w:rPr>
          <w:spacing w:val="-8"/>
          <w:w w:val="105"/>
          <w:sz w:val="21"/>
        </w:rPr>
        <w:t>2019.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spacing w:before="96"/>
        <w:ind w:left="720" w:right="0" w:firstLine="0"/>
        <w:jc w:val="left"/>
        <w:rPr>
          <w:b/>
          <w:sz w:val="24"/>
        </w:rPr>
      </w:pPr>
      <w:r>
        <w:rPr>
          <w:b/>
          <w:color w:val="658464"/>
          <w:w w:val="115"/>
          <w:sz w:val="24"/>
        </w:rPr>
        <w:t>xii</w:t>
      </w:r>
    </w:p>
    <w:p>
      <w:pPr>
        <w:spacing w:after="0"/>
        <w:jc w:val="left"/>
        <w:rPr>
          <w:sz w:val="24"/>
        </w:rPr>
        <w:sectPr>
          <w:pgSz w:w="11910" w:h="16840"/>
          <w:pgMar w:header="1372" w:footer="0" w:top="1560" w:bottom="280" w:left="0" w:right="0"/>
        </w:sectPr>
      </w:pPr>
    </w:p>
    <w:p>
      <w:pPr>
        <w:pStyle w:val="BodyText"/>
        <w:spacing w:before="5"/>
        <w:rPr>
          <w:b/>
          <w:sz w:val="19"/>
        </w:rPr>
      </w:pPr>
    </w:p>
    <w:p>
      <w:pPr>
        <w:pStyle w:val="Heading2"/>
        <w:spacing w:before="93"/>
        <w:ind w:left="850" w:firstLine="0"/>
      </w:pPr>
      <w:bookmarkStart w:name="Glossary" w:id="9"/>
      <w:bookmarkEnd w:id="9"/>
      <w:r>
        <w:rPr>
          <w:b w:val="0"/>
        </w:rPr>
      </w:r>
      <w:bookmarkStart w:name="_bookmark2" w:id="10"/>
      <w:bookmarkEnd w:id="10"/>
      <w:r>
        <w:rPr>
          <w:b w:val="0"/>
        </w:rPr>
      </w:r>
      <w:r>
        <w:rPr>
          <w:color w:val="658464"/>
          <w:w w:val="115"/>
        </w:rPr>
        <w:t>Glossary</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spacing w:before="4"/>
        <w:rPr>
          <w:b/>
          <w:sz w:val="58"/>
        </w:rPr>
      </w:pPr>
    </w:p>
    <w:p>
      <w:pPr>
        <w:tabs>
          <w:tab w:pos="4421" w:val="left" w:leader="none"/>
        </w:tabs>
        <w:spacing w:line="242" w:lineRule="auto" w:before="0"/>
        <w:ind w:left="4421" w:right="1731" w:hanging="2835"/>
        <w:jc w:val="left"/>
        <w:rPr>
          <w:sz w:val="21"/>
        </w:rPr>
      </w:pPr>
      <w:r>
        <w:rPr>
          <w:b/>
          <w:w w:val="105"/>
          <w:sz w:val="21"/>
        </w:rPr>
        <w:t>Abatement</w:t>
        <w:tab/>
      </w:r>
      <w:r>
        <w:rPr>
          <w:w w:val="105"/>
          <w:sz w:val="21"/>
        </w:rPr>
        <w:t>A</w:t>
      </w:r>
      <w:r>
        <w:rPr>
          <w:spacing w:val="-8"/>
          <w:w w:val="105"/>
          <w:sz w:val="21"/>
        </w:rPr>
        <w:t> </w:t>
      </w:r>
      <w:r>
        <w:rPr>
          <w:spacing w:val="-2"/>
          <w:w w:val="105"/>
          <w:sz w:val="21"/>
        </w:rPr>
        <w:t>common</w:t>
      </w:r>
      <w:r>
        <w:rPr>
          <w:spacing w:val="-7"/>
          <w:w w:val="105"/>
          <w:sz w:val="21"/>
        </w:rPr>
        <w:t> </w:t>
      </w:r>
      <w:r>
        <w:rPr>
          <w:w w:val="105"/>
          <w:sz w:val="21"/>
        </w:rPr>
        <w:t>law</w:t>
      </w:r>
      <w:r>
        <w:rPr>
          <w:spacing w:val="-8"/>
          <w:w w:val="105"/>
          <w:sz w:val="21"/>
        </w:rPr>
        <w:t> </w:t>
      </w:r>
      <w:r>
        <w:rPr>
          <w:w w:val="105"/>
          <w:sz w:val="21"/>
        </w:rPr>
        <w:t>self-help</w:t>
      </w:r>
      <w:r>
        <w:rPr>
          <w:spacing w:val="-7"/>
          <w:w w:val="105"/>
          <w:sz w:val="21"/>
        </w:rPr>
        <w:t> </w:t>
      </w:r>
      <w:r>
        <w:rPr>
          <w:w w:val="105"/>
          <w:sz w:val="21"/>
        </w:rPr>
        <w:t>remedy</w:t>
      </w:r>
      <w:r>
        <w:rPr>
          <w:spacing w:val="-8"/>
          <w:w w:val="105"/>
          <w:sz w:val="21"/>
        </w:rPr>
        <w:t> </w:t>
      </w:r>
      <w:r>
        <w:rPr>
          <w:spacing w:val="-3"/>
          <w:w w:val="105"/>
          <w:sz w:val="21"/>
        </w:rPr>
        <w:t>that</w:t>
      </w:r>
      <w:r>
        <w:rPr>
          <w:spacing w:val="-7"/>
          <w:w w:val="105"/>
          <w:sz w:val="21"/>
        </w:rPr>
        <w:t> </w:t>
      </w:r>
      <w:r>
        <w:rPr>
          <w:w w:val="105"/>
          <w:sz w:val="21"/>
        </w:rPr>
        <w:t>in</w:t>
      </w:r>
      <w:r>
        <w:rPr>
          <w:spacing w:val="-8"/>
          <w:w w:val="105"/>
          <w:sz w:val="21"/>
        </w:rPr>
        <w:t> </w:t>
      </w:r>
      <w:r>
        <w:rPr>
          <w:w w:val="105"/>
          <w:sz w:val="21"/>
        </w:rPr>
        <w:t>the</w:t>
      </w:r>
      <w:r>
        <w:rPr>
          <w:spacing w:val="-7"/>
          <w:w w:val="105"/>
          <w:sz w:val="21"/>
        </w:rPr>
        <w:t> </w:t>
      </w:r>
      <w:r>
        <w:rPr>
          <w:w w:val="105"/>
          <w:sz w:val="21"/>
        </w:rPr>
        <w:t>context</w:t>
      </w:r>
      <w:r>
        <w:rPr>
          <w:spacing w:val="-7"/>
          <w:w w:val="105"/>
          <w:sz w:val="21"/>
        </w:rPr>
        <w:t> </w:t>
      </w:r>
      <w:r>
        <w:rPr>
          <w:w w:val="105"/>
          <w:sz w:val="21"/>
        </w:rPr>
        <w:t>of</w:t>
      </w:r>
      <w:r>
        <w:rPr>
          <w:spacing w:val="-8"/>
          <w:w w:val="105"/>
          <w:sz w:val="21"/>
        </w:rPr>
        <w:t> </w:t>
      </w:r>
      <w:r>
        <w:rPr>
          <w:w w:val="105"/>
          <w:sz w:val="21"/>
        </w:rPr>
        <w:t>this</w:t>
      </w:r>
      <w:r>
        <w:rPr>
          <w:spacing w:val="-7"/>
          <w:w w:val="105"/>
          <w:sz w:val="21"/>
        </w:rPr>
        <w:t> </w:t>
      </w:r>
      <w:r>
        <w:rPr>
          <w:w w:val="105"/>
          <w:sz w:val="21"/>
        </w:rPr>
        <w:t>report allows </w:t>
      </w:r>
      <w:r>
        <w:rPr>
          <w:b/>
          <w:w w:val="105"/>
          <w:sz w:val="21"/>
        </w:rPr>
        <w:t>affected neighbours </w:t>
      </w:r>
      <w:r>
        <w:rPr>
          <w:spacing w:val="-3"/>
          <w:w w:val="105"/>
          <w:sz w:val="21"/>
        </w:rPr>
        <w:t>to remove </w:t>
      </w:r>
      <w:r>
        <w:rPr>
          <w:w w:val="105"/>
          <w:sz w:val="21"/>
        </w:rPr>
        <w:t>parts of a tree </w:t>
      </w:r>
      <w:r>
        <w:rPr>
          <w:spacing w:val="-3"/>
          <w:w w:val="105"/>
          <w:sz w:val="21"/>
        </w:rPr>
        <w:t>that </w:t>
      </w:r>
      <w:r>
        <w:rPr>
          <w:b/>
          <w:w w:val="105"/>
          <w:sz w:val="21"/>
        </w:rPr>
        <w:t>encroach </w:t>
      </w:r>
      <w:r>
        <w:rPr>
          <w:spacing w:val="-3"/>
          <w:w w:val="105"/>
          <w:sz w:val="21"/>
        </w:rPr>
        <w:t>onto </w:t>
      </w:r>
      <w:r>
        <w:rPr>
          <w:w w:val="105"/>
          <w:sz w:val="21"/>
        </w:rPr>
        <w:t>their </w:t>
      </w:r>
      <w:r>
        <w:rPr>
          <w:spacing w:val="-3"/>
          <w:w w:val="105"/>
          <w:sz w:val="21"/>
        </w:rPr>
        <w:t>land </w:t>
      </w:r>
      <w:r>
        <w:rPr>
          <w:w w:val="105"/>
          <w:sz w:val="21"/>
        </w:rPr>
        <w:t>up </w:t>
      </w:r>
      <w:r>
        <w:rPr>
          <w:spacing w:val="-3"/>
          <w:w w:val="105"/>
          <w:sz w:val="21"/>
        </w:rPr>
        <w:t>to </w:t>
      </w:r>
      <w:r>
        <w:rPr>
          <w:w w:val="105"/>
          <w:sz w:val="21"/>
        </w:rPr>
        <w:t>their boundary</w:t>
      </w:r>
      <w:r>
        <w:rPr>
          <w:spacing w:val="42"/>
          <w:w w:val="105"/>
          <w:sz w:val="21"/>
        </w:rPr>
        <w:t> </w:t>
      </w:r>
      <w:r>
        <w:rPr>
          <w:spacing w:val="-4"/>
          <w:w w:val="105"/>
          <w:sz w:val="21"/>
        </w:rPr>
        <w:t>line.</w:t>
      </w:r>
    </w:p>
    <w:p>
      <w:pPr>
        <w:tabs>
          <w:tab w:pos="4421" w:val="left" w:leader="none"/>
        </w:tabs>
        <w:spacing w:before="128"/>
        <w:ind w:left="1587" w:right="0" w:firstLine="0"/>
        <w:jc w:val="left"/>
        <w:rPr>
          <w:sz w:val="21"/>
        </w:rPr>
      </w:pPr>
      <w:r>
        <w:rPr>
          <w:b/>
          <w:w w:val="105"/>
          <w:sz w:val="21"/>
        </w:rPr>
        <w:t>Affected</w:t>
      </w:r>
      <w:r>
        <w:rPr>
          <w:b/>
          <w:spacing w:val="48"/>
          <w:w w:val="105"/>
          <w:sz w:val="21"/>
        </w:rPr>
        <w:t> </w:t>
      </w:r>
      <w:r>
        <w:rPr>
          <w:b/>
          <w:w w:val="105"/>
          <w:sz w:val="21"/>
        </w:rPr>
        <w:t>neighbour</w:t>
        <w:tab/>
      </w:r>
      <w:r>
        <w:rPr>
          <w:w w:val="105"/>
          <w:sz w:val="21"/>
        </w:rPr>
        <w:t>The person whose </w:t>
      </w:r>
      <w:r>
        <w:rPr>
          <w:spacing w:val="-3"/>
          <w:w w:val="105"/>
          <w:sz w:val="21"/>
        </w:rPr>
        <w:t>land </w:t>
      </w:r>
      <w:r>
        <w:rPr>
          <w:w w:val="105"/>
          <w:sz w:val="21"/>
        </w:rPr>
        <w:t>(or use of the land) is affected by</w:t>
      </w:r>
      <w:r>
        <w:rPr>
          <w:spacing w:val="37"/>
          <w:w w:val="105"/>
          <w:sz w:val="21"/>
        </w:rPr>
        <w:t> </w:t>
      </w:r>
      <w:r>
        <w:rPr>
          <w:w w:val="105"/>
          <w:sz w:val="21"/>
        </w:rPr>
        <w:t>the</w:t>
      </w:r>
    </w:p>
    <w:p>
      <w:pPr>
        <w:pStyle w:val="BodyText"/>
        <w:spacing w:line="242" w:lineRule="auto" w:before="3"/>
        <w:ind w:left="4421" w:right="1636"/>
      </w:pPr>
      <w:r>
        <w:rPr/>
        <w:t>neighbour’s tree; usually the plaintiff (aggrieved party) in court proceedings.</w:t>
      </w:r>
    </w:p>
    <w:p>
      <w:pPr>
        <w:spacing w:after="0" w:line="242" w:lineRule="auto"/>
        <w:sectPr>
          <w:headerReference w:type="default" r:id="rId18"/>
          <w:headerReference w:type="even" r:id="rId19"/>
          <w:pgSz w:w="11910" w:h="16840"/>
          <w:pgMar w:header="1372" w:footer="0" w:top="1560" w:bottom="280" w:left="0" w:right="0"/>
        </w:sectPr>
      </w:pPr>
    </w:p>
    <w:p>
      <w:pPr>
        <w:pStyle w:val="Heading9"/>
        <w:spacing w:line="242" w:lineRule="auto" w:before="127"/>
        <w:ind w:left="1587" w:firstLine="0"/>
      </w:pPr>
      <w:r>
        <w:rPr>
          <w:w w:val="110"/>
        </w:rPr>
        <w:t>Alternative dispute resolution (ADR)</w:t>
      </w:r>
    </w:p>
    <w:p>
      <w:pPr>
        <w:pStyle w:val="BodyText"/>
        <w:spacing w:line="242" w:lineRule="auto" w:before="127"/>
        <w:ind w:left="909" w:right="1359"/>
      </w:pPr>
      <w:r>
        <w:rPr/>
        <w:br w:type="column"/>
      </w:r>
      <w:r>
        <w:rPr>
          <w:w w:val="105"/>
        </w:rPr>
        <w:t>Any </w:t>
      </w:r>
      <w:r>
        <w:rPr>
          <w:spacing w:val="-3"/>
          <w:w w:val="105"/>
        </w:rPr>
        <w:t>formal </w:t>
      </w:r>
      <w:r>
        <w:rPr>
          <w:w w:val="105"/>
        </w:rPr>
        <w:t>process, other </w:t>
      </w:r>
      <w:r>
        <w:rPr>
          <w:spacing w:val="-3"/>
          <w:w w:val="105"/>
        </w:rPr>
        <w:t>than </w:t>
      </w:r>
      <w:r>
        <w:rPr>
          <w:w w:val="105"/>
        </w:rPr>
        <w:t>court or </w:t>
      </w:r>
      <w:r>
        <w:rPr>
          <w:spacing w:val="-3"/>
          <w:w w:val="105"/>
        </w:rPr>
        <w:t>tribunal proceedings, </w:t>
      </w:r>
      <w:r>
        <w:rPr>
          <w:w w:val="105"/>
        </w:rPr>
        <w:t>in which</w:t>
      </w:r>
      <w:r>
        <w:rPr>
          <w:spacing w:val="-17"/>
          <w:w w:val="105"/>
        </w:rPr>
        <w:t> </w:t>
      </w:r>
      <w:r>
        <w:rPr>
          <w:w w:val="105"/>
        </w:rPr>
        <w:t>an</w:t>
      </w:r>
      <w:r>
        <w:rPr>
          <w:spacing w:val="-16"/>
          <w:w w:val="105"/>
        </w:rPr>
        <w:t> </w:t>
      </w:r>
      <w:r>
        <w:rPr>
          <w:w w:val="105"/>
        </w:rPr>
        <w:t>impartial</w:t>
      </w:r>
      <w:r>
        <w:rPr>
          <w:spacing w:val="-16"/>
          <w:w w:val="105"/>
        </w:rPr>
        <w:t> </w:t>
      </w:r>
      <w:r>
        <w:rPr>
          <w:w w:val="105"/>
        </w:rPr>
        <w:t>person</w:t>
      </w:r>
      <w:r>
        <w:rPr>
          <w:spacing w:val="-17"/>
          <w:w w:val="105"/>
        </w:rPr>
        <w:t> </w:t>
      </w:r>
      <w:r>
        <w:rPr>
          <w:w w:val="105"/>
        </w:rPr>
        <w:t>assists</w:t>
      </w:r>
      <w:r>
        <w:rPr>
          <w:spacing w:val="-16"/>
          <w:w w:val="105"/>
        </w:rPr>
        <w:t> </w:t>
      </w:r>
      <w:r>
        <w:rPr>
          <w:w w:val="105"/>
        </w:rPr>
        <w:t>parties</w:t>
      </w:r>
      <w:r>
        <w:rPr>
          <w:spacing w:val="-16"/>
          <w:w w:val="105"/>
        </w:rPr>
        <w:t> </w:t>
      </w:r>
      <w:r>
        <w:rPr>
          <w:spacing w:val="-3"/>
          <w:w w:val="105"/>
        </w:rPr>
        <w:t>to</w:t>
      </w:r>
      <w:r>
        <w:rPr>
          <w:spacing w:val="-16"/>
          <w:w w:val="105"/>
        </w:rPr>
        <w:t> </w:t>
      </w:r>
      <w:r>
        <w:rPr>
          <w:w w:val="105"/>
        </w:rPr>
        <w:t>resolve</w:t>
      </w:r>
      <w:r>
        <w:rPr>
          <w:spacing w:val="-17"/>
          <w:w w:val="105"/>
        </w:rPr>
        <w:t> </w:t>
      </w:r>
      <w:r>
        <w:rPr>
          <w:w w:val="105"/>
        </w:rPr>
        <w:t>their</w:t>
      </w:r>
      <w:r>
        <w:rPr>
          <w:spacing w:val="-16"/>
          <w:w w:val="105"/>
        </w:rPr>
        <w:t> </w:t>
      </w:r>
      <w:r>
        <w:rPr>
          <w:spacing w:val="-3"/>
          <w:w w:val="105"/>
        </w:rPr>
        <w:t>disputes.</w:t>
      </w:r>
    </w:p>
    <w:p>
      <w:pPr>
        <w:spacing w:after="0" w:line="242" w:lineRule="auto"/>
        <w:sectPr>
          <w:type w:val="continuous"/>
          <w:pgSz w:w="11910" w:h="16840"/>
          <w:pgMar w:top="300" w:bottom="280" w:left="0" w:right="0"/>
          <w:cols w:num="2" w:equalWidth="0">
            <w:col w:w="3473" w:space="40"/>
            <w:col w:w="8397"/>
          </w:cols>
        </w:sectPr>
      </w:pPr>
    </w:p>
    <w:p>
      <w:pPr>
        <w:pStyle w:val="BodyText"/>
        <w:tabs>
          <w:tab w:pos="4421" w:val="left" w:leader="none"/>
        </w:tabs>
        <w:spacing w:line="242" w:lineRule="auto" w:before="126"/>
        <w:ind w:left="4421" w:right="2186" w:hanging="2835"/>
      </w:pPr>
      <w:r>
        <w:rPr>
          <w:b/>
          <w:w w:val="105"/>
        </w:rPr>
        <w:t>Arborist</w:t>
        <w:tab/>
      </w:r>
      <w:r>
        <w:rPr>
          <w:w w:val="105"/>
        </w:rPr>
        <w:t>A qualified </w:t>
      </w:r>
      <w:r>
        <w:rPr>
          <w:spacing w:val="-3"/>
          <w:w w:val="105"/>
        </w:rPr>
        <w:t>professional trained </w:t>
      </w:r>
      <w:r>
        <w:rPr>
          <w:w w:val="105"/>
        </w:rPr>
        <w:t>in </w:t>
      </w:r>
      <w:r>
        <w:rPr>
          <w:spacing w:val="-3"/>
          <w:w w:val="105"/>
        </w:rPr>
        <w:t>cultivating, caring </w:t>
      </w:r>
      <w:r>
        <w:rPr>
          <w:spacing w:val="-6"/>
          <w:w w:val="105"/>
        </w:rPr>
        <w:t>for, </w:t>
      </w:r>
      <w:r>
        <w:rPr>
          <w:w w:val="105"/>
        </w:rPr>
        <w:t>and </w:t>
      </w:r>
      <w:r>
        <w:rPr>
          <w:spacing w:val="-3"/>
          <w:w w:val="105"/>
        </w:rPr>
        <w:t>maintaining</w:t>
      </w:r>
      <w:r>
        <w:rPr>
          <w:spacing w:val="5"/>
          <w:w w:val="105"/>
        </w:rPr>
        <w:t> </w:t>
      </w:r>
      <w:r>
        <w:rPr>
          <w:w w:val="105"/>
        </w:rPr>
        <w:t>trees.</w:t>
      </w:r>
    </w:p>
    <w:p>
      <w:pPr>
        <w:spacing w:after="0" w:line="242" w:lineRule="auto"/>
        <w:sectPr>
          <w:type w:val="continuous"/>
          <w:pgSz w:w="11910" w:h="16840"/>
          <w:pgMar w:top="300" w:bottom="280" w:left="0" w:right="0"/>
        </w:sectPr>
      </w:pPr>
    </w:p>
    <w:p>
      <w:pPr>
        <w:pStyle w:val="Heading9"/>
        <w:spacing w:line="242" w:lineRule="auto" w:before="127"/>
        <w:ind w:left="1587" w:firstLine="0"/>
      </w:pPr>
      <w:r>
        <w:rPr>
          <w:w w:val="110"/>
        </w:rPr>
        <w:t>Australian Qualification Framework (AQF)</w:t>
      </w:r>
    </w:p>
    <w:p>
      <w:pPr>
        <w:pStyle w:val="BodyText"/>
        <w:spacing w:line="242" w:lineRule="auto" w:before="127"/>
        <w:ind w:left="464" w:right="1375"/>
      </w:pPr>
      <w:r>
        <w:rPr/>
        <w:br w:type="column"/>
      </w:r>
      <w:r>
        <w:rPr>
          <w:w w:val="105"/>
        </w:rPr>
        <w:t>The </w:t>
      </w:r>
      <w:r>
        <w:rPr>
          <w:spacing w:val="-3"/>
          <w:w w:val="105"/>
        </w:rPr>
        <w:t>national </w:t>
      </w:r>
      <w:r>
        <w:rPr>
          <w:w w:val="105"/>
        </w:rPr>
        <w:t>policy </w:t>
      </w:r>
      <w:r>
        <w:rPr>
          <w:spacing w:val="-3"/>
          <w:w w:val="105"/>
        </w:rPr>
        <w:t>for regulating qualifications </w:t>
      </w:r>
      <w:r>
        <w:rPr>
          <w:w w:val="105"/>
        </w:rPr>
        <w:t>in </w:t>
      </w:r>
      <w:r>
        <w:rPr>
          <w:spacing w:val="-3"/>
          <w:w w:val="105"/>
        </w:rPr>
        <w:t>Australian </w:t>
      </w:r>
      <w:r>
        <w:rPr>
          <w:w w:val="105"/>
        </w:rPr>
        <w:t>education and </w:t>
      </w:r>
      <w:r>
        <w:rPr>
          <w:spacing w:val="-3"/>
          <w:w w:val="105"/>
        </w:rPr>
        <w:t>training, incorporating </w:t>
      </w:r>
      <w:r>
        <w:rPr>
          <w:w w:val="105"/>
        </w:rPr>
        <w:t>the </w:t>
      </w:r>
      <w:r>
        <w:rPr>
          <w:spacing w:val="-3"/>
          <w:w w:val="105"/>
        </w:rPr>
        <w:t>qualifications from </w:t>
      </w:r>
      <w:r>
        <w:rPr>
          <w:w w:val="105"/>
        </w:rPr>
        <w:t>each education and </w:t>
      </w:r>
      <w:r>
        <w:rPr>
          <w:spacing w:val="-3"/>
          <w:w w:val="105"/>
        </w:rPr>
        <w:t>training </w:t>
      </w:r>
      <w:r>
        <w:rPr>
          <w:w w:val="105"/>
        </w:rPr>
        <w:t>sector </w:t>
      </w:r>
      <w:r>
        <w:rPr>
          <w:spacing w:val="-4"/>
          <w:w w:val="105"/>
        </w:rPr>
        <w:t>into </w:t>
      </w:r>
      <w:r>
        <w:rPr>
          <w:w w:val="105"/>
        </w:rPr>
        <w:t>a </w:t>
      </w:r>
      <w:r>
        <w:rPr>
          <w:spacing w:val="-3"/>
          <w:w w:val="105"/>
        </w:rPr>
        <w:t>single comprehensive national framework. </w:t>
      </w:r>
      <w:r>
        <w:rPr>
          <w:w w:val="105"/>
        </w:rPr>
        <w:t>The AQF sets out specific </w:t>
      </w:r>
      <w:r>
        <w:rPr>
          <w:spacing w:val="-3"/>
          <w:w w:val="105"/>
        </w:rPr>
        <w:t>formal training </w:t>
      </w:r>
      <w:r>
        <w:rPr>
          <w:w w:val="105"/>
        </w:rPr>
        <w:t>standards </w:t>
      </w:r>
      <w:r>
        <w:rPr>
          <w:spacing w:val="-3"/>
          <w:w w:val="105"/>
        </w:rPr>
        <w:t>for </w:t>
      </w:r>
      <w:r>
        <w:rPr>
          <w:b/>
          <w:w w:val="105"/>
        </w:rPr>
        <w:t>arborists </w:t>
      </w:r>
      <w:r>
        <w:rPr>
          <w:w w:val="105"/>
        </w:rPr>
        <w:t>and people </w:t>
      </w:r>
      <w:r>
        <w:rPr>
          <w:spacing w:val="-3"/>
          <w:w w:val="105"/>
        </w:rPr>
        <w:t>working </w:t>
      </w:r>
      <w:r>
        <w:rPr>
          <w:w w:val="105"/>
        </w:rPr>
        <w:t>in the tree-care </w:t>
      </w:r>
      <w:r>
        <w:rPr>
          <w:spacing w:val="-3"/>
          <w:w w:val="105"/>
        </w:rPr>
        <w:t>industry.</w:t>
      </w:r>
    </w:p>
    <w:p>
      <w:pPr>
        <w:spacing w:after="0" w:line="242" w:lineRule="auto"/>
        <w:sectPr>
          <w:type w:val="continuous"/>
          <w:pgSz w:w="11910" w:h="16840"/>
          <w:pgMar w:top="300" w:bottom="280" w:left="0" w:right="0"/>
          <w:cols w:num="2" w:equalWidth="0">
            <w:col w:w="3918" w:space="40"/>
            <w:col w:w="7952"/>
          </w:cols>
        </w:sectPr>
      </w:pPr>
    </w:p>
    <w:p>
      <w:pPr>
        <w:pStyle w:val="BodyText"/>
        <w:tabs>
          <w:tab w:pos="4421" w:val="left" w:leader="none"/>
        </w:tabs>
        <w:spacing w:line="242" w:lineRule="auto" w:before="129"/>
        <w:ind w:left="4421" w:right="1636" w:hanging="2835"/>
      </w:pPr>
      <w:r>
        <w:rPr>
          <w:b/>
        </w:rPr>
        <w:t>Cause</w:t>
      </w:r>
      <w:r>
        <w:rPr>
          <w:b/>
          <w:spacing w:val="44"/>
        </w:rPr>
        <w:t> </w:t>
      </w:r>
      <w:r>
        <w:rPr>
          <w:b/>
        </w:rPr>
        <w:t>of</w:t>
      </w:r>
      <w:r>
        <w:rPr>
          <w:b/>
          <w:spacing w:val="44"/>
        </w:rPr>
        <w:t> </w:t>
      </w:r>
      <w:r>
        <w:rPr>
          <w:b/>
        </w:rPr>
        <w:t>action</w:t>
        <w:tab/>
      </w:r>
      <w:r>
        <w:rPr/>
        <w:t>The facts </w:t>
      </w:r>
      <w:r>
        <w:rPr>
          <w:spacing w:val="-3"/>
        </w:rPr>
        <w:t>that </w:t>
      </w:r>
      <w:r>
        <w:rPr/>
        <w:t>give rise </w:t>
      </w:r>
      <w:r>
        <w:rPr>
          <w:spacing w:val="-3"/>
        </w:rPr>
        <w:t>to  </w:t>
      </w:r>
      <w:r>
        <w:rPr/>
        <w:t>a legal </w:t>
      </w:r>
      <w:r>
        <w:rPr>
          <w:spacing w:val="-3"/>
        </w:rPr>
        <w:t>claim  </w:t>
      </w:r>
      <w:r>
        <w:rPr/>
        <w:t>and </w:t>
      </w:r>
      <w:r>
        <w:rPr>
          <w:spacing w:val="-3"/>
        </w:rPr>
        <w:t>entitle  </w:t>
      </w:r>
      <w:r>
        <w:rPr/>
        <w:t>a person </w:t>
      </w:r>
      <w:r>
        <w:rPr>
          <w:spacing w:val="-3"/>
        </w:rPr>
        <w:t>to  have </w:t>
      </w:r>
      <w:r>
        <w:rPr/>
        <w:t>a</w:t>
      </w:r>
      <w:r>
        <w:rPr>
          <w:spacing w:val="9"/>
        </w:rPr>
        <w:t> </w:t>
      </w:r>
      <w:r>
        <w:rPr/>
        <w:t>matter</w:t>
      </w:r>
      <w:r>
        <w:rPr>
          <w:spacing w:val="9"/>
        </w:rPr>
        <w:t> </w:t>
      </w:r>
      <w:r>
        <w:rPr>
          <w:spacing w:val="-3"/>
        </w:rPr>
        <w:t>heard</w:t>
      </w:r>
      <w:r>
        <w:rPr>
          <w:spacing w:val="9"/>
        </w:rPr>
        <w:t> </w:t>
      </w:r>
      <w:r>
        <w:rPr/>
        <w:t>in</w:t>
      </w:r>
      <w:r>
        <w:rPr>
          <w:spacing w:val="9"/>
        </w:rPr>
        <w:t> </w:t>
      </w:r>
      <w:r>
        <w:rPr/>
        <w:t>a</w:t>
      </w:r>
      <w:r>
        <w:rPr>
          <w:spacing w:val="9"/>
        </w:rPr>
        <w:t> </w:t>
      </w:r>
      <w:r>
        <w:rPr>
          <w:spacing w:val="-3"/>
        </w:rPr>
        <w:t>tribunal</w:t>
      </w:r>
      <w:r>
        <w:rPr>
          <w:spacing w:val="9"/>
        </w:rPr>
        <w:t> </w:t>
      </w:r>
      <w:r>
        <w:rPr/>
        <w:t>or</w:t>
      </w:r>
      <w:r>
        <w:rPr>
          <w:spacing w:val="9"/>
        </w:rPr>
        <w:t> </w:t>
      </w:r>
      <w:r>
        <w:rPr/>
        <w:t>court.</w:t>
      </w:r>
    </w:p>
    <w:p>
      <w:pPr>
        <w:pStyle w:val="BodyText"/>
        <w:tabs>
          <w:tab w:pos="4421" w:val="left" w:leader="none"/>
        </w:tabs>
        <w:spacing w:line="242" w:lineRule="auto" w:before="127"/>
        <w:ind w:left="4421" w:right="2301" w:hanging="2835"/>
      </w:pPr>
      <w:r>
        <w:rPr>
          <w:b/>
          <w:w w:val="105"/>
        </w:rPr>
        <w:t>Damage</w:t>
        <w:tab/>
      </w:r>
      <w:r>
        <w:rPr>
          <w:w w:val="105"/>
        </w:rPr>
        <w:t>A</w:t>
      </w:r>
      <w:r>
        <w:rPr>
          <w:spacing w:val="-8"/>
          <w:w w:val="105"/>
        </w:rPr>
        <w:t> </w:t>
      </w:r>
      <w:r>
        <w:rPr>
          <w:w w:val="105"/>
        </w:rPr>
        <w:t>term</w:t>
      </w:r>
      <w:r>
        <w:rPr>
          <w:spacing w:val="-7"/>
          <w:w w:val="105"/>
        </w:rPr>
        <w:t> </w:t>
      </w:r>
      <w:r>
        <w:rPr>
          <w:w w:val="105"/>
        </w:rPr>
        <w:t>used</w:t>
      </w:r>
      <w:r>
        <w:rPr>
          <w:spacing w:val="-7"/>
          <w:w w:val="105"/>
        </w:rPr>
        <w:t> </w:t>
      </w:r>
      <w:r>
        <w:rPr>
          <w:w w:val="105"/>
        </w:rPr>
        <w:t>in</w:t>
      </w:r>
      <w:r>
        <w:rPr>
          <w:spacing w:val="-7"/>
          <w:w w:val="105"/>
        </w:rPr>
        <w:t> </w:t>
      </w:r>
      <w:r>
        <w:rPr>
          <w:w w:val="105"/>
        </w:rPr>
        <w:t>the</w:t>
      </w:r>
      <w:r>
        <w:rPr>
          <w:spacing w:val="-7"/>
          <w:w w:val="105"/>
        </w:rPr>
        <w:t> </w:t>
      </w:r>
      <w:r>
        <w:rPr>
          <w:w w:val="105"/>
        </w:rPr>
        <w:t>report</w:t>
      </w:r>
      <w:r>
        <w:rPr>
          <w:spacing w:val="-7"/>
          <w:w w:val="105"/>
        </w:rPr>
        <w:t> </w:t>
      </w:r>
      <w:r>
        <w:rPr>
          <w:spacing w:val="-3"/>
          <w:w w:val="105"/>
        </w:rPr>
        <w:t>to</w:t>
      </w:r>
      <w:r>
        <w:rPr>
          <w:spacing w:val="-7"/>
          <w:w w:val="105"/>
        </w:rPr>
        <w:t> </w:t>
      </w:r>
      <w:r>
        <w:rPr>
          <w:w w:val="105"/>
        </w:rPr>
        <w:t>describe</w:t>
      </w:r>
      <w:r>
        <w:rPr>
          <w:spacing w:val="-7"/>
          <w:w w:val="105"/>
        </w:rPr>
        <w:t> </w:t>
      </w:r>
      <w:r>
        <w:rPr>
          <w:w w:val="105"/>
        </w:rPr>
        <w:t>a</w:t>
      </w:r>
      <w:r>
        <w:rPr>
          <w:spacing w:val="-7"/>
          <w:w w:val="105"/>
        </w:rPr>
        <w:t> </w:t>
      </w:r>
      <w:r>
        <w:rPr>
          <w:w w:val="105"/>
        </w:rPr>
        <w:t>negative</w:t>
      </w:r>
      <w:r>
        <w:rPr>
          <w:spacing w:val="-7"/>
          <w:w w:val="105"/>
        </w:rPr>
        <w:t> </w:t>
      </w:r>
      <w:r>
        <w:rPr>
          <w:w w:val="105"/>
        </w:rPr>
        <w:t>impact</w:t>
      </w:r>
      <w:r>
        <w:rPr>
          <w:spacing w:val="-7"/>
          <w:w w:val="105"/>
        </w:rPr>
        <w:t> </w:t>
      </w:r>
      <w:r>
        <w:rPr>
          <w:w w:val="105"/>
        </w:rPr>
        <w:t>on property or </w:t>
      </w:r>
      <w:r>
        <w:rPr>
          <w:spacing w:val="-3"/>
          <w:w w:val="105"/>
        </w:rPr>
        <w:t>land, including </w:t>
      </w:r>
      <w:r>
        <w:rPr>
          <w:w w:val="105"/>
        </w:rPr>
        <w:t>property being</w:t>
      </w:r>
      <w:r>
        <w:rPr>
          <w:spacing w:val="-1"/>
          <w:w w:val="105"/>
        </w:rPr>
        <w:t> </w:t>
      </w:r>
      <w:r>
        <w:rPr>
          <w:w w:val="105"/>
        </w:rPr>
        <w:t>destroyed.</w:t>
      </w:r>
    </w:p>
    <w:p>
      <w:pPr>
        <w:spacing w:after="0" w:line="242" w:lineRule="auto"/>
        <w:sectPr>
          <w:type w:val="continuous"/>
          <w:pgSz w:w="11910" w:h="16840"/>
          <w:pgMar w:top="300" w:bottom="280" w:left="0" w:right="0"/>
        </w:sectPr>
      </w:pPr>
    </w:p>
    <w:p>
      <w:pPr>
        <w:pStyle w:val="Heading9"/>
        <w:spacing w:line="242" w:lineRule="auto" w:before="126"/>
        <w:ind w:left="1587" w:right="-9" w:firstLine="0"/>
      </w:pPr>
      <w:r>
        <w:rPr>
          <w:w w:val="115"/>
        </w:rPr>
        <w:t>Dispute</w:t>
      </w:r>
      <w:r>
        <w:rPr>
          <w:spacing w:val="-26"/>
          <w:w w:val="115"/>
        </w:rPr>
        <w:t> </w:t>
      </w:r>
      <w:r>
        <w:rPr>
          <w:w w:val="115"/>
        </w:rPr>
        <w:t>Settlement</w:t>
      </w:r>
      <w:r>
        <w:rPr>
          <w:spacing w:val="-26"/>
          <w:w w:val="115"/>
        </w:rPr>
        <w:t> </w:t>
      </w:r>
      <w:r>
        <w:rPr>
          <w:spacing w:val="-3"/>
          <w:w w:val="115"/>
        </w:rPr>
        <w:t>Centre </w:t>
      </w:r>
      <w:r>
        <w:rPr>
          <w:w w:val="115"/>
        </w:rPr>
        <w:t>of Victoria</w:t>
      </w:r>
      <w:r>
        <w:rPr>
          <w:spacing w:val="-3"/>
          <w:w w:val="115"/>
        </w:rPr>
        <w:t> </w:t>
      </w:r>
      <w:r>
        <w:rPr>
          <w:spacing w:val="2"/>
          <w:w w:val="115"/>
        </w:rPr>
        <w:t>(DSCV)</w:t>
      </w:r>
    </w:p>
    <w:p>
      <w:pPr>
        <w:pStyle w:val="BodyText"/>
        <w:spacing w:line="242" w:lineRule="auto" w:before="126"/>
        <w:ind w:left="186" w:right="1355"/>
      </w:pPr>
      <w:r>
        <w:rPr/>
        <w:br w:type="column"/>
      </w:r>
      <w:r>
        <w:rPr>
          <w:spacing w:val="-3"/>
          <w:w w:val="105"/>
        </w:rPr>
        <w:t>Government-funded</w:t>
      </w:r>
      <w:r>
        <w:rPr>
          <w:spacing w:val="-17"/>
          <w:w w:val="105"/>
        </w:rPr>
        <w:t> </w:t>
      </w:r>
      <w:r>
        <w:rPr>
          <w:w w:val="105"/>
        </w:rPr>
        <w:t>provider</w:t>
      </w:r>
      <w:r>
        <w:rPr>
          <w:spacing w:val="-17"/>
          <w:w w:val="105"/>
        </w:rPr>
        <w:t> </w:t>
      </w:r>
      <w:r>
        <w:rPr>
          <w:w w:val="105"/>
        </w:rPr>
        <w:t>of</w:t>
      </w:r>
      <w:r>
        <w:rPr>
          <w:spacing w:val="-17"/>
          <w:w w:val="105"/>
        </w:rPr>
        <w:t> </w:t>
      </w:r>
      <w:r>
        <w:rPr>
          <w:w w:val="105"/>
        </w:rPr>
        <w:t>free</w:t>
      </w:r>
      <w:r>
        <w:rPr>
          <w:spacing w:val="-16"/>
          <w:w w:val="105"/>
        </w:rPr>
        <w:t> </w:t>
      </w:r>
      <w:r>
        <w:rPr>
          <w:spacing w:val="-3"/>
          <w:w w:val="105"/>
        </w:rPr>
        <w:t>dispute</w:t>
      </w:r>
      <w:r>
        <w:rPr>
          <w:spacing w:val="-17"/>
          <w:w w:val="105"/>
        </w:rPr>
        <w:t> </w:t>
      </w:r>
      <w:r>
        <w:rPr>
          <w:w w:val="105"/>
        </w:rPr>
        <w:t>settlement</w:t>
      </w:r>
      <w:r>
        <w:rPr>
          <w:spacing w:val="-17"/>
          <w:w w:val="105"/>
        </w:rPr>
        <w:t> </w:t>
      </w:r>
      <w:r>
        <w:rPr>
          <w:w w:val="105"/>
        </w:rPr>
        <w:t>services</w:t>
      </w:r>
      <w:r>
        <w:rPr>
          <w:spacing w:val="-16"/>
          <w:w w:val="105"/>
        </w:rPr>
        <w:t> </w:t>
      </w:r>
      <w:r>
        <w:rPr>
          <w:spacing w:val="-3"/>
          <w:w w:val="105"/>
        </w:rPr>
        <w:t>to </w:t>
      </w:r>
      <w:r>
        <w:rPr>
          <w:w w:val="105"/>
        </w:rPr>
        <w:t>the Victorian</w:t>
      </w:r>
      <w:r>
        <w:rPr>
          <w:spacing w:val="10"/>
          <w:w w:val="105"/>
        </w:rPr>
        <w:t> </w:t>
      </w:r>
      <w:r>
        <w:rPr>
          <w:spacing w:val="-4"/>
          <w:w w:val="105"/>
        </w:rPr>
        <w:t>community.</w:t>
      </w:r>
    </w:p>
    <w:p>
      <w:pPr>
        <w:spacing w:after="0" w:line="242" w:lineRule="auto"/>
        <w:sectPr>
          <w:type w:val="continuous"/>
          <w:pgSz w:w="11910" w:h="16840"/>
          <w:pgMar w:top="300" w:bottom="280" w:left="0" w:right="0"/>
          <w:cols w:num="2" w:equalWidth="0">
            <w:col w:w="4196" w:space="40"/>
            <w:col w:w="7674"/>
          </w:cols>
        </w:sectPr>
      </w:pPr>
    </w:p>
    <w:p>
      <w:pPr>
        <w:tabs>
          <w:tab w:pos="4421" w:val="left" w:leader="none"/>
        </w:tabs>
        <w:spacing w:before="127"/>
        <w:ind w:left="1587" w:right="0" w:firstLine="0"/>
        <w:jc w:val="left"/>
        <w:rPr>
          <w:sz w:val="21"/>
        </w:rPr>
      </w:pPr>
      <w:r>
        <w:rPr>
          <w:b/>
          <w:w w:val="105"/>
          <w:sz w:val="21"/>
        </w:rPr>
        <w:t>Diversity</w:t>
      </w:r>
      <w:r>
        <w:rPr>
          <w:b/>
          <w:spacing w:val="41"/>
          <w:w w:val="105"/>
          <w:sz w:val="21"/>
        </w:rPr>
        <w:t> </w:t>
      </w:r>
      <w:r>
        <w:rPr>
          <w:b/>
          <w:w w:val="105"/>
          <w:sz w:val="21"/>
        </w:rPr>
        <w:t>jurisdiction</w:t>
        <w:tab/>
      </w:r>
      <w:r>
        <w:rPr>
          <w:w w:val="105"/>
          <w:sz w:val="21"/>
        </w:rPr>
        <w:t>The authority </w:t>
      </w:r>
      <w:r>
        <w:rPr>
          <w:spacing w:val="-3"/>
          <w:w w:val="105"/>
          <w:sz w:val="21"/>
        </w:rPr>
        <w:t>to exercise judicial </w:t>
      </w:r>
      <w:r>
        <w:rPr>
          <w:w w:val="105"/>
          <w:sz w:val="21"/>
        </w:rPr>
        <w:t>power </w:t>
      </w:r>
      <w:r>
        <w:rPr>
          <w:spacing w:val="-3"/>
          <w:w w:val="105"/>
          <w:sz w:val="21"/>
        </w:rPr>
        <w:t>to </w:t>
      </w:r>
      <w:r>
        <w:rPr>
          <w:w w:val="105"/>
          <w:sz w:val="21"/>
        </w:rPr>
        <w:t>resolve</w:t>
      </w:r>
      <w:r>
        <w:rPr>
          <w:spacing w:val="32"/>
          <w:w w:val="105"/>
          <w:sz w:val="21"/>
        </w:rPr>
        <w:t> </w:t>
      </w:r>
      <w:r>
        <w:rPr>
          <w:spacing w:val="-3"/>
          <w:w w:val="105"/>
          <w:sz w:val="21"/>
        </w:rPr>
        <w:t>disputes</w:t>
      </w:r>
    </w:p>
    <w:p>
      <w:pPr>
        <w:pStyle w:val="BodyText"/>
        <w:spacing w:before="3"/>
        <w:ind w:left="4358" w:right="4132"/>
        <w:jc w:val="center"/>
      </w:pPr>
      <w:r>
        <w:rPr>
          <w:w w:val="105"/>
        </w:rPr>
        <w:t>between residents of different states.</w:t>
      </w:r>
    </w:p>
    <w:p>
      <w:pPr>
        <w:pStyle w:val="BodyText"/>
        <w:tabs>
          <w:tab w:pos="4421" w:val="left" w:leader="none"/>
        </w:tabs>
        <w:spacing w:before="128"/>
        <w:ind w:left="1587"/>
      </w:pPr>
      <w:r>
        <w:rPr>
          <w:b/>
          <w:w w:val="105"/>
        </w:rPr>
        <w:t>Encroachment</w:t>
        <w:tab/>
      </w:r>
      <w:r>
        <w:rPr>
          <w:w w:val="105"/>
        </w:rPr>
        <w:t>When a tree (or parts of a tree) crosses over boundary </w:t>
      </w:r>
      <w:r>
        <w:rPr>
          <w:spacing w:val="-3"/>
          <w:w w:val="105"/>
        </w:rPr>
        <w:t>lines</w:t>
      </w:r>
      <w:r>
        <w:rPr>
          <w:spacing w:val="16"/>
          <w:w w:val="105"/>
        </w:rPr>
        <w:t> </w:t>
      </w:r>
      <w:r>
        <w:rPr>
          <w:w w:val="105"/>
        </w:rPr>
        <w:t>and</w:t>
      </w:r>
    </w:p>
    <w:p>
      <w:pPr>
        <w:pStyle w:val="BodyText"/>
        <w:spacing w:before="4"/>
        <w:ind w:left="2969" w:right="4132"/>
        <w:jc w:val="center"/>
      </w:pPr>
      <w:r>
        <w:rPr>
          <w:w w:val="105"/>
        </w:rPr>
        <w:t>enters adjoining land.</w:t>
      </w:r>
    </w:p>
    <w:p>
      <w:pPr>
        <w:pStyle w:val="BodyText"/>
        <w:tabs>
          <w:tab w:pos="4421" w:val="left" w:leader="none"/>
        </w:tabs>
        <w:spacing w:line="242" w:lineRule="auto" w:before="128"/>
        <w:ind w:left="4421" w:right="1796" w:hanging="2835"/>
      </w:pPr>
      <w:r>
        <w:rPr>
          <w:b/>
          <w:w w:val="105"/>
        </w:rPr>
        <w:t>Harm</w:t>
        <w:tab/>
      </w:r>
      <w:r>
        <w:rPr>
          <w:w w:val="105"/>
        </w:rPr>
        <w:t>A</w:t>
      </w:r>
      <w:r>
        <w:rPr>
          <w:spacing w:val="-6"/>
          <w:w w:val="105"/>
        </w:rPr>
        <w:t> </w:t>
      </w:r>
      <w:r>
        <w:rPr>
          <w:w w:val="105"/>
        </w:rPr>
        <w:t>term</w:t>
      </w:r>
      <w:r>
        <w:rPr>
          <w:spacing w:val="-5"/>
          <w:w w:val="105"/>
        </w:rPr>
        <w:t> </w:t>
      </w:r>
      <w:r>
        <w:rPr>
          <w:w w:val="105"/>
        </w:rPr>
        <w:t>used</w:t>
      </w:r>
      <w:r>
        <w:rPr>
          <w:spacing w:val="-6"/>
          <w:w w:val="105"/>
        </w:rPr>
        <w:t> </w:t>
      </w:r>
      <w:r>
        <w:rPr>
          <w:w w:val="105"/>
        </w:rPr>
        <w:t>in</w:t>
      </w:r>
      <w:r>
        <w:rPr>
          <w:spacing w:val="-5"/>
          <w:w w:val="105"/>
        </w:rPr>
        <w:t> </w:t>
      </w:r>
      <w:r>
        <w:rPr>
          <w:w w:val="105"/>
        </w:rPr>
        <w:t>the</w:t>
      </w:r>
      <w:r>
        <w:rPr>
          <w:spacing w:val="-5"/>
          <w:w w:val="105"/>
        </w:rPr>
        <w:t> </w:t>
      </w:r>
      <w:r>
        <w:rPr>
          <w:w w:val="105"/>
        </w:rPr>
        <w:t>report</w:t>
      </w:r>
      <w:r>
        <w:rPr>
          <w:spacing w:val="-6"/>
          <w:w w:val="105"/>
        </w:rPr>
        <w:t> </w:t>
      </w:r>
      <w:r>
        <w:rPr>
          <w:spacing w:val="-3"/>
          <w:w w:val="105"/>
        </w:rPr>
        <w:t>to</w:t>
      </w:r>
      <w:r>
        <w:rPr>
          <w:spacing w:val="-5"/>
          <w:w w:val="105"/>
        </w:rPr>
        <w:t> </w:t>
      </w:r>
      <w:r>
        <w:rPr>
          <w:w w:val="105"/>
        </w:rPr>
        <w:t>describe</w:t>
      </w:r>
      <w:r>
        <w:rPr>
          <w:spacing w:val="-6"/>
          <w:w w:val="105"/>
        </w:rPr>
        <w:t> </w:t>
      </w:r>
      <w:r>
        <w:rPr>
          <w:w w:val="105"/>
        </w:rPr>
        <w:t>an</w:t>
      </w:r>
      <w:r>
        <w:rPr>
          <w:spacing w:val="-5"/>
          <w:w w:val="105"/>
        </w:rPr>
        <w:t> </w:t>
      </w:r>
      <w:r>
        <w:rPr>
          <w:w w:val="105"/>
        </w:rPr>
        <w:t>impact</w:t>
      </w:r>
      <w:r>
        <w:rPr>
          <w:spacing w:val="-5"/>
          <w:w w:val="105"/>
        </w:rPr>
        <w:t> </w:t>
      </w:r>
      <w:r>
        <w:rPr>
          <w:w w:val="105"/>
        </w:rPr>
        <w:t>on</w:t>
      </w:r>
      <w:r>
        <w:rPr>
          <w:spacing w:val="-6"/>
          <w:w w:val="105"/>
        </w:rPr>
        <w:t> </w:t>
      </w:r>
      <w:r>
        <w:rPr>
          <w:w w:val="105"/>
        </w:rPr>
        <w:t>the</w:t>
      </w:r>
      <w:r>
        <w:rPr>
          <w:spacing w:val="-5"/>
          <w:w w:val="105"/>
        </w:rPr>
        <w:t> </w:t>
      </w:r>
      <w:r>
        <w:rPr>
          <w:spacing w:val="-3"/>
          <w:w w:val="105"/>
        </w:rPr>
        <w:t>health</w:t>
      </w:r>
      <w:r>
        <w:rPr>
          <w:spacing w:val="-6"/>
          <w:w w:val="105"/>
        </w:rPr>
        <w:t> </w:t>
      </w:r>
      <w:r>
        <w:rPr>
          <w:w w:val="105"/>
        </w:rPr>
        <w:t>or safety of a person, </w:t>
      </w:r>
      <w:r>
        <w:rPr>
          <w:spacing w:val="-3"/>
          <w:w w:val="105"/>
        </w:rPr>
        <w:t>including </w:t>
      </w:r>
      <w:r>
        <w:rPr>
          <w:w w:val="105"/>
        </w:rPr>
        <w:t>injury or</w:t>
      </w:r>
      <w:r>
        <w:rPr>
          <w:spacing w:val="28"/>
          <w:w w:val="105"/>
        </w:rPr>
        <w:t> </w:t>
      </w:r>
      <w:r>
        <w:rPr>
          <w:spacing w:val="-3"/>
          <w:w w:val="105"/>
        </w:rPr>
        <w:t>death.</w:t>
      </w:r>
    </w:p>
    <w:p>
      <w:pPr>
        <w:spacing w:before="126"/>
        <w:ind w:left="1587" w:right="0" w:firstLine="0"/>
        <w:jc w:val="left"/>
        <w:rPr>
          <w:sz w:val="21"/>
        </w:rPr>
      </w:pPr>
      <w:r>
        <w:rPr>
          <w:b/>
          <w:w w:val="105"/>
          <w:sz w:val="21"/>
        </w:rPr>
        <w:t>Informal dispute resolution </w:t>
      </w:r>
      <w:r>
        <w:rPr>
          <w:w w:val="105"/>
          <w:sz w:val="21"/>
        </w:rPr>
        <w:t>Negotiating an outcome outside court or tribunal proceedings. It</w:t>
      </w:r>
    </w:p>
    <w:p>
      <w:pPr>
        <w:pStyle w:val="BodyText"/>
        <w:spacing w:line="242" w:lineRule="auto" w:before="4"/>
        <w:ind w:left="4421" w:right="1636"/>
      </w:pPr>
      <w:r>
        <w:rPr/>
        <w:t>encompasses legal methods such as </w:t>
      </w:r>
      <w:r>
        <w:rPr>
          <w:b/>
        </w:rPr>
        <w:t>mediation</w:t>
      </w:r>
      <w:r>
        <w:rPr/>
        <w:t>, and interpersonal methods such as neighbours talking to each other to resolve a dispute.</w:t>
      </w:r>
    </w:p>
    <w:p>
      <w:pPr>
        <w:pStyle w:val="BodyText"/>
        <w:tabs>
          <w:tab w:pos="4421" w:val="left" w:leader="none"/>
        </w:tabs>
        <w:spacing w:before="128"/>
        <w:ind w:left="1587"/>
      </w:pPr>
      <w:r>
        <w:rPr>
          <w:b/>
          <w:w w:val="105"/>
        </w:rPr>
        <w:t>Jurisdiction</w:t>
        <w:tab/>
      </w:r>
      <w:r>
        <w:rPr>
          <w:w w:val="105"/>
        </w:rPr>
        <w:t>The authority of a court or </w:t>
      </w:r>
      <w:r>
        <w:rPr>
          <w:spacing w:val="-3"/>
          <w:w w:val="105"/>
        </w:rPr>
        <w:t>tribunal to </w:t>
      </w:r>
      <w:r>
        <w:rPr>
          <w:w w:val="105"/>
        </w:rPr>
        <w:t>hear cases </w:t>
      </w:r>
      <w:r>
        <w:rPr>
          <w:spacing w:val="-3"/>
          <w:w w:val="105"/>
        </w:rPr>
        <w:t>brought to </w:t>
      </w:r>
      <w:r>
        <w:rPr>
          <w:w w:val="105"/>
        </w:rPr>
        <w:t>it.</w:t>
      </w:r>
    </w:p>
    <w:p>
      <w:pPr>
        <w:pStyle w:val="BodyText"/>
        <w:rPr>
          <w:sz w:val="20"/>
        </w:rPr>
      </w:pPr>
    </w:p>
    <w:p>
      <w:pPr>
        <w:pStyle w:val="BodyText"/>
        <w:spacing w:before="8"/>
        <w:rPr>
          <w:sz w:val="16"/>
        </w:rPr>
      </w:pPr>
    </w:p>
    <w:p>
      <w:pPr>
        <w:spacing w:before="96"/>
        <w:ind w:left="0" w:right="629" w:firstLine="0"/>
        <w:jc w:val="right"/>
        <w:rPr>
          <w:b/>
          <w:sz w:val="24"/>
        </w:rPr>
      </w:pPr>
      <w:r>
        <w:rPr>
          <w:b/>
          <w:color w:val="658464"/>
          <w:w w:val="115"/>
          <w:sz w:val="24"/>
        </w:rPr>
        <w:t>xiii</w:t>
      </w:r>
    </w:p>
    <w:p>
      <w:pPr>
        <w:spacing w:after="0"/>
        <w:jc w:val="right"/>
        <w:rPr>
          <w:sz w:val="24"/>
        </w:rPr>
        <w:sectPr>
          <w:type w:val="continuous"/>
          <w:pgSz w:w="11910" w:h="16840"/>
          <w:pgMar w:top="300" w:bottom="280" w:left="0" w:right="0"/>
        </w:sectPr>
      </w:pPr>
    </w:p>
    <w:p>
      <w:pPr>
        <w:pStyle w:val="BodyText"/>
        <w:rPr>
          <w:b/>
          <w:sz w:val="20"/>
        </w:rPr>
      </w:pPr>
    </w:p>
    <w:p>
      <w:pPr>
        <w:pStyle w:val="BodyText"/>
        <w:spacing w:before="9"/>
        <w:rPr>
          <w:b/>
          <w:sz w:val="20"/>
        </w:rPr>
      </w:pPr>
    </w:p>
    <w:p>
      <w:pPr>
        <w:pStyle w:val="BodyText"/>
        <w:tabs>
          <w:tab w:pos="4421" w:val="left" w:leader="none"/>
        </w:tabs>
        <w:spacing w:line="242" w:lineRule="auto"/>
        <w:ind w:left="4421" w:right="1810" w:hanging="2835"/>
      </w:pPr>
      <w:r>
        <w:rPr>
          <w:b/>
        </w:rPr>
        <w:t>Local</w:t>
      </w:r>
      <w:r>
        <w:rPr>
          <w:b/>
          <w:spacing w:val="40"/>
        </w:rPr>
        <w:t> </w:t>
      </w:r>
      <w:r>
        <w:rPr>
          <w:b/>
        </w:rPr>
        <w:t>laws</w:t>
        <w:tab/>
      </w:r>
      <w:r>
        <w:rPr/>
        <w:t>Laws passed by local </w:t>
      </w:r>
      <w:r>
        <w:rPr>
          <w:spacing w:val="-3"/>
        </w:rPr>
        <w:t>councils to </w:t>
      </w:r>
      <w:r>
        <w:rPr/>
        <w:t>protect </w:t>
      </w:r>
      <w:r>
        <w:rPr>
          <w:spacing w:val="-3"/>
        </w:rPr>
        <w:t>public health, </w:t>
      </w:r>
      <w:r>
        <w:rPr/>
        <w:t>safety and </w:t>
      </w:r>
      <w:r>
        <w:rPr>
          <w:spacing w:val="-3"/>
        </w:rPr>
        <w:t>amenity. </w:t>
      </w:r>
      <w:r>
        <w:rPr>
          <w:spacing w:val="-5"/>
        </w:rPr>
        <w:t>Tree </w:t>
      </w:r>
      <w:r>
        <w:rPr/>
        <w:t>protection laws </w:t>
      </w:r>
      <w:r>
        <w:rPr>
          <w:spacing w:val="-3"/>
        </w:rPr>
        <w:t>are </w:t>
      </w:r>
      <w:r>
        <w:rPr/>
        <w:t>an example of local</w:t>
      </w:r>
      <w:r>
        <w:rPr>
          <w:spacing w:val="-9"/>
        </w:rPr>
        <w:t> </w:t>
      </w:r>
      <w:r>
        <w:rPr/>
        <w:t>laws.</w:t>
      </w:r>
    </w:p>
    <w:p>
      <w:pPr>
        <w:pStyle w:val="BodyText"/>
        <w:tabs>
          <w:tab w:pos="4421" w:val="left" w:leader="none"/>
        </w:tabs>
        <w:spacing w:line="242" w:lineRule="auto" w:before="126"/>
        <w:ind w:left="4421" w:right="2141" w:hanging="2835"/>
      </w:pPr>
      <w:r>
        <w:rPr>
          <w:b/>
          <w:w w:val="105"/>
        </w:rPr>
        <w:t>Mediation</w:t>
        <w:tab/>
      </w:r>
      <w:r>
        <w:rPr>
          <w:w w:val="105"/>
        </w:rPr>
        <w:t>A method of </w:t>
      </w:r>
      <w:r>
        <w:rPr>
          <w:spacing w:val="-3"/>
          <w:w w:val="105"/>
        </w:rPr>
        <w:t>dispute </w:t>
      </w:r>
      <w:r>
        <w:rPr>
          <w:w w:val="105"/>
        </w:rPr>
        <w:t>resolution</w:t>
      </w:r>
      <w:r>
        <w:rPr>
          <w:spacing w:val="-36"/>
          <w:w w:val="105"/>
        </w:rPr>
        <w:t> </w:t>
      </w:r>
      <w:r>
        <w:rPr>
          <w:spacing w:val="-3"/>
          <w:w w:val="105"/>
        </w:rPr>
        <w:t>that involves bringing </w:t>
      </w:r>
      <w:r>
        <w:rPr>
          <w:w w:val="105"/>
        </w:rPr>
        <w:t>parties together </w:t>
      </w:r>
      <w:r>
        <w:rPr>
          <w:spacing w:val="-3"/>
          <w:w w:val="105"/>
        </w:rPr>
        <w:t>to </w:t>
      </w:r>
      <w:r>
        <w:rPr>
          <w:w w:val="105"/>
        </w:rPr>
        <w:t>discuss a </w:t>
      </w:r>
      <w:r>
        <w:rPr>
          <w:spacing w:val="-3"/>
          <w:w w:val="105"/>
        </w:rPr>
        <w:t>dispute </w:t>
      </w:r>
      <w:r>
        <w:rPr>
          <w:w w:val="105"/>
        </w:rPr>
        <w:t>and </w:t>
      </w:r>
      <w:r>
        <w:rPr>
          <w:spacing w:val="-3"/>
          <w:w w:val="105"/>
        </w:rPr>
        <w:t>reach </w:t>
      </w:r>
      <w:r>
        <w:rPr>
          <w:w w:val="105"/>
        </w:rPr>
        <w:t>an</w:t>
      </w:r>
      <w:r>
        <w:rPr>
          <w:spacing w:val="17"/>
          <w:w w:val="105"/>
        </w:rPr>
        <w:t> </w:t>
      </w:r>
      <w:r>
        <w:rPr>
          <w:spacing w:val="-3"/>
          <w:w w:val="105"/>
        </w:rPr>
        <w:t>agreement.</w:t>
      </w:r>
    </w:p>
    <w:p>
      <w:pPr>
        <w:spacing w:after="0" w:line="242" w:lineRule="auto"/>
        <w:sectPr>
          <w:pgSz w:w="11910" w:h="16840"/>
          <w:pgMar w:header="546" w:footer="0" w:top="1560" w:bottom="280" w:left="0" w:right="0"/>
        </w:sectPr>
      </w:pPr>
    </w:p>
    <w:p>
      <w:pPr>
        <w:pStyle w:val="Heading9"/>
        <w:spacing w:line="242" w:lineRule="auto" w:before="127"/>
        <w:ind w:left="1587" w:right="-11" w:firstLine="0"/>
      </w:pPr>
      <w:r>
        <w:rPr>
          <w:w w:val="115"/>
        </w:rPr>
        <w:t>Land and Environment Court</w:t>
      </w:r>
      <w:r>
        <w:rPr>
          <w:spacing w:val="-11"/>
          <w:w w:val="115"/>
        </w:rPr>
        <w:t> </w:t>
      </w:r>
      <w:r>
        <w:rPr>
          <w:w w:val="115"/>
        </w:rPr>
        <w:t>of</w:t>
      </w:r>
      <w:r>
        <w:rPr>
          <w:spacing w:val="-11"/>
          <w:w w:val="115"/>
        </w:rPr>
        <w:t> </w:t>
      </w:r>
      <w:r>
        <w:rPr>
          <w:w w:val="115"/>
        </w:rPr>
        <w:t>New</w:t>
      </w:r>
      <w:r>
        <w:rPr>
          <w:spacing w:val="-10"/>
          <w:w w:val="115"/>
        </w:rPr>
        <w:t> </w:t>
      </w:r>
      <w:r>
        <w:rPr>
          <w:w w:val="115"/>
        </w:rPr>
        <w:t>South</w:t>
      </w:r>
      <w:r>
        <w:rPr>
          <w:spacing w:val="-11"/>
          <w:w w:val="115"/>
        </w:rPr>
        <w:t> </w:t>
      </w:r>
      <w:r>
        <w:rPr>
          <w:w w:val="115"/>
        </w:rPr>
        <w:t>Wales (NSWLEC)</w:t>
      </w:r>
    </w:p>
    <w:p>
      <w:pPr>
        <w:spacing w:line="242" w:lineRule="auto" w:before="127"/>
        <w:ind w:left="1587" w:right="-11" w:firstLine="0"/>
        <w:jc w:val="left"/>
        <w:rPr>
          <w:b/>
          <w:sz w:val="21"/>
        </w:rPr>
      </w:pPr>
      <w:r>
        <w:rPr>
          <w:b/>
          <w:w w:val="110"/>
          <w:sz w:val="21"/>
        </w:rPr>
        <w:t>Online dispute resolution (ODR)</w:t>
      </w:r>
    </w:p>
    <w:p>
      <w:pPr>
        <w:pStyle w:val="BodyText"/>
        <w:spacing w:line="242" w:lineRule="auto" w:before="127"/>
        <w:ind w:left="184" w:right="1917"/>
      </w:pPr>
      <w:r>
        <w:rPr/>
        <w:br w:type="column"/>
      </w:r>
      <w:r>
        <w:rPr>
          <w:w w:val="105"/>
        </w:rPr>
        <w:t>In New South Wales, the court that hears neighbourhood tree disputes.</w:t>
      </w:r>
    </w:p>
    <w:p>
      <w:pPr>
        <w:pStyle w:val="BodyText"/>
        <w:spacing w:before="8"/>
        <w:rPr>
          <w:sz w:val="31"/>
        </w:rPr>
      </w:pPr>
    </w:p>
    <w:p>
      <w:pPr>
        <w:pStyle w:val="BodyText"/>
        <w:ind w:left="184"/>
      </w:pPr>
      <w:r>
        <w:rPr>
          <w:w w:val="105"/>
        </w:rPr>
        <w:t>A range of technology-assisted methods for resolving disputes.</w:t>
      </w:r>
    </w:p>
    <w:p>
      <w:pPr>
        <w:spacing w:after="0"/>
        <w:sectPr>
          <w:type w:val="continuous"/>
          <w:pgSz w:w="11910" w:h="16840"/>
          <w:pgMar w:top="300" w:bottom="280" w:left="0" w:right="0"/>
          <w:cols w:num="2" w:equalWidth="0">
            <w:col w:w="4198" w:space="40"/>
            <w:col w:w="7672"/>
          </w:cols>
        </w:sectPr>
      </w:pPr>
    </w:p>
    <w:p>
      <w:pPr>
        <w:tabs>
          <w:tab w:pos="4421" w:val="left" w:leader="none"/>
        </w:tabs>
        <w:spacing w:before="127"/>
        <w:ind w:left="1587" w:right="0" w:firstLine="0"/>
        <w:jc w:val="left"/>
        <w:rPr>
          <w:sz w:val="21"/>
        </w:rPr>
      </w:pPr>
      <w:r>
        <w:rPr>
          <w:b/>
          <w:w w:val="105"/>
          <w:sz w:val="21"/>
        </w:rPr>
        <w:t>Planning</w:t>
      </w:r>
      <w:r>
        <w:rPr>
          <w:b/>
          <w:spacing w:val="33"/>
          <w:w w:val="105"/>
          <w:sz w:val="21"/>
        </w:rPr>
        <w:t> </w:t>
      </w:r>
      <w:r>
        <w:rPr>
          <w:b/>
          <w:w w:val="105"/>
          <w:sz w:val="21"/>
        </w:rPr>
        <w:t>scheme</w:t>
        <w:tab/>
      </w:r>
      <w:r>
        <w:rPr>
          <w:w w:val="105"/>
          <w:sz w:val="21"/>
        </w:rPr>
        <w:t>A </w:t>
      </w:r>
      <w:r>
        <w:rPr>
          <w:spacing w:val="-3"/>
          <w:w w:val="105"/>
          <w:sz w:val="21"/>
        </w:rPr>
        <w:t>planning </w:t>
      </w:r>
      <w:r>
        <w:rPr>
          <w:w w:val="105"/>
          <w:sz w:val="21"/>
        </w:rPr>
        <w:t>scheme is a statutory document which sets</w:t>
      </w:r>
      <w:r>
        <w:rPr>
          <w:spacing w:val="35"/>
          <w:w w:val="105"/>
          <w:sz w:val="21"/>
        </w:rPr>
        <w:t> </w:t>
      </w:r>
      <w:r>
        <w:rPr>
          <w:w w:val="105"/>
          <w:sz w:val="21"/>
        </w:rPr>
        <w:t>out</w:t>
      </w:r>
    </w:p>
    <w:p>
      <w:pPr>
        <w:pStyle w:val="BodyText"/>
        <w:spacing w:line="242" w:lineRule="auto" w:before="4"/>
        <w:ind w:left="4421" w:right="1810"/>
      </w:pPr>
      <w:r>
        <w:rPr>
          <w:w w:val="105"/>
        </w:rPr>
        <w:t>objectives,</w:t>
      </w:r>
      <w:r>
        <w:rPr>
          <w:spacing w:val="-16"/>
          <w:w w:val="105"/>
        </w:rPr>
        <w:t> </w:t>
      </w:r>
      <w:r>
        <w:rPr>
          <w:w w:val="105"/>
        </w:rPr>
        <w:t>policies</w:t>
      </w:r>
      <w:r>
        <w:rPr>
          <w:spacing w:val="-15"/>
          <w:w w:val="105"/>
        </w:rPr>
        <w:t> </w:t>
      </w:r>
      <w:r>
        <w:rPr>
          <w:w w:val="105"/>
        </w:rPr>
        <w:t>and</w:t>
      </w:r>
      <w:r>
        <w:rPr>
          <w:spacing w:val="-15"/>
          <w:w w:val="105"/>
        </w:rPr>
        <w:t> </w:t>
      </w:r>
      <w:r>
        <w:rPr>
          <w:spacing w:val="-3"/>
          <w:w w:val="105"/>
        </w:rPr>
        <w:t>provisions</w:t>
      </w:r>
      <w:r>
        <w:rPr>
          <w:spacing w:val="-15"/>
          <w:w w:val="105"/>
        </w:rPr>
        <w:t> </w:t>
      </w:r>
      <w:r>
        <w:rPr>
          <w:spacing w:val="-3"/>
          <w:w w:val="105"/>
        </w:rPr>
        <w:t>for</w:t>
      </w:r>
      <w:r>
        <w:rPr>
          <w:spacing w:val="-15"/>
          <w:w w:val="105"/>
        </w:rPr>
        <w:t> </w:t>
      </w:r>
      <w:r>
        <w:rPr>
          <w:w w:val="105"/>
        </w:rPr>
        <w:t>the</w:t>
      </w:r>
      <w:r>
        <w:rPr>
          <w:spacing w:val="-15"/>
          <w:w w:val="105"/>
        </w:rPr>
        <w:t> </w:t>
      </w:r>
      <w:r>
        <w:rPr>
          <w:w w:val="105"/>
        </w:rPr>
        <w:t>use</w:t>
      </w:r>
      <w:r>
        <w:rPr>
          <w:spacing w:val="-15"/>
          <w:w w:val="105"/>
        </w:rPr>
        <w:t> </w:t>
      </w:r>
      <w:r>
        <w:rPr>
          <w:w w:val="105"/>
        </w:rPr>
        <w:t>and</w:t>
      </w:r>
      <w:r>
        <w:rPr>
          <w:spacing w:val="-15"/>
          <w:w w:val="105"/>
        </w:rPr>
        <w:t> </w:t>
      </w:r>
      <w:r>
        <w:rPr>
          <w:w w:val="105"/>
        </w:rPr>
        <w:t>development of</w:t>
      </w:r>
      <w:r>
        <w:rPr>
          <w:spacing w:val="5"/>
          <w:w w:val="105"/>
        </w:rPr>
        <w:t> </w:t>
      </w:r>
      <w:r>
        <w:rPr>
          <w:spacing w:val="-4"/>
          <w:w w:val="105"/>
        </w:rPr>
        <w:t>land.</w:t>
      </w:r>
    </w:p>
    <w:p>
      <w:pPr>
        <w:spacing w:after="0" w:line="242" w:lineRule="auto"/>
        <w:sectPr>
          <w:type w:val="continuous"/>
          <w:pgSz w:w="11910" w:h="16840"/>
          <w:pgMar w:top="300" w:bottom="280" w:left="0" w:right="0"/>
        </w:sectPr>
      </w:pPr>
    </w:p>
    <w:p>
      <w:pPr>
        <w:pStyle w:val="Heading9"/>
        <w:spacing w:line="242" w:lineRule="auto" w:before="126"/>
        <w:ind w:left="1587" w:firstLine="0"/>
      </w:pPr>
      <w:r>
        <w:rPr>
          <w:w w:val="115"/>
        </w:rPr>
        <w:t>Queensland Civil and </w:t>
      </w:r>
      <w:r>
        <w:rPr>
          <w:w w:val="110"/>
        </w:rPr>
        <w:t>Administrative Tribunal </w:t>
      </w:r>
      <w:r>
        <w:rPr>
          <w:w w:val="115"/>
        </w:rPr>
        <w:t>(QCAT)</w:t>
      </w:r>
    </w:p>
    <w:p>
      <w:pPr>
        <w:spacing w:line="242" w:lineRule="auto" w:before="128"/>
        <w:ind w:left="1587" w:right="0" w:firstLine="0"/>
        <w:jc w:val="left"/>
        <w:rPr>
          <w:b/>
          <w:sz w:val="21"/>
        </w:rPr>
      </w:pPr>
      <w:r>
        <w:rPr>
          <w:b/>
          <w:w w:val="110"/>
          <w:sz w:val="21"/>
        </w:rPr>
        <w:t>Resource Management and </w:t>
      </w:r>
      <w:r>
        <w:rPr>
          <w:b/>
          <w:w w:val="115"/>
          <w:sz w:val="21"/>
        </w:rPr>
        <w:t>Planning Appeal Tribunal (RMPAT)</w:t>
      </w:r>
    </w:p>
    <w:p>
      <w:pPr>
        <w:pStyle w:val="BodyText"/>
        <w:spacing w:line="242" w:lineRule="auto" w:before="126"/>
        <w:ind w:left="110" w:right="1715"/>
      </w:pPr>
      <w:r>
        <w:rPr/>
        <w:br w:type="column"/>
      </w:r>
      <w:r>
        <w:rPr/>
        <w:t>In Queensland, the tribunal that hears neighbourhood tree disputes.</w:t>
      </w:r>
    </w:p>
    <w:p>
      <w:pPr>
        <w:pStyle w:val="BodyText"/>
        <w:spacing w:before="8"/>
        <w:rPr>
          <w:sz w:val="31"/>
        </w:rPr>
      </w:pPr>
    </w:p>
    <w:p>
      <w:pPr>
        <w:pStyle w:val="BodyText"/>
        <w:ind w:left="110"/>
      </w:pPr>
      <w:r>
        <w:rPr/>
        <w:t>In Tasmania, the tribunal that hears neighbourhood tree disputes.</w:t>
      </w:r>
    </w:p>
    <w:p>
      <w:pPr>
        <w:spacing w:after="0"/>
        <w:sectPr>
          <w:type w:val="continuous"/>
          <w:pgSz w:w="11910" w:h="16840"/>
          <w:pgMar w:top="300" w:bottom="280" w:left="0" w:right="0"/>
          <w:cols w:num="2" w:equalWidth="0">
            <w:col w:w="4272" w:space="40"/>
            <w:col w:w="7598"/>
          </w:cols>
        </w:sectPr>
      </w:pPr>
    </w:p>
    <w:p>
      <w:pPr>
        <w:tabs>
          <w:tab w:pos="4421" w:val="left" w:leader="none"/>
        </w:tabs>
        <w:spacing w:before="127"/>
        <w:ind w:left="1587" w:right="0" w:firstLine="0"/>
        <w:jc w:val="left"/>
        <w:rPr>
          <w:sz w:val="21"/>
        </w:rPr>
      </w:pPr>
      <w:r>
        <w:rPr>
          <w:b/>
          <w:w w:val="105"/>
          <w:sz w:val="21"/>
        </w:rPr>
        <w:t>Responsible</w:t>
      </w:r>
      <w:r>
        <w:rPr>
          <w:b/>
          <w:spacing w:val="43"/>
          <w:w w:val="105"/>
          <w:sz w:val="21"/>
        </w:rPr>
        <w:t> </w:t>
      </w:r>
      <w:r>
        <w:rPr>
          <w:b/>
          <w:w w:val="105"/>
          <w:sz w:val="21"/>
        </w:rPr>
        <w:t>authority</w:t>
        <w:tab/>
      </w:r>
      <w:r>
        <w:rPr>
          <w:w w:val="105"/>
          <w:sz w:val="21"/>
        </w:rPr>
        <w:t>Under the </w:t>
      </w:r>
      <w:r>
        <w:rPr>
          <w:i/>
          <w:spacing w:val="-3"/>
          <w:w w:val="105"/>
          <w:sz w:val="21"/>
        </w:rPr>
        <w:t>Planning </w:t>
      </w:r>
      <w:r>
        <w:rPr>
          <w:i/>
          <w:w w:val="105"/>
          <w:sz w:val="21"/>
        </w:rPr>
        <w:t>and </w:t>
      </w:r>
      <w:r>
        <w:rPr>
          <w:i/>
          <w:spacing w:val="-3"/>
          <w:w w:val="105"/>
          <w:sz w:val="21"/>
        </w:rPr>
        <w:t>Environment </w:t>
      </w:r>
      <w:r>
        <w:rPr>
          <w:i/>
          <w:w w:val="105"/>
          <w:sz w:val="21"/>
        </w:rPr>
        <w:t>Act </w:t>
      </w:r>
      <w:r>
        <w:rPr>
          <w:i/>
          <w:spacing w:val="-6"/>
          <w:w w:val="105"/>
          <w:sz w:val="21"/>
        </w:rPr>
        <w:t>1987 </w:t>
      </w:r>
      <w:r>
        <w:rPr>
          <w:w w:val="105"/>
          <w:sz w:val="21"/>
        </w:rPr>
        <w:t>(Vic), a</w:t>
      </w:r>
      <w:r>
        <w:rPr>
          <w:spacing w:val="5"/>
          <w:w w:val="105"/>
          <w:sz w:val="21"/>
        </w:rPr>
        <w:t> </w:t>
      </w:r>
      <w:r>
        <w:rPr>
          <w:spacing w:val="-3"/>
          <w:w w:val="105"/>
          <w:sz w:val="21"/>
        </w:rPr>
        <w:t>responsible</w:t>
      </w:r>
    </w:p>
    <w:p>
      <w:pPr>
        <w:pStyle w:val="BodyText"/>
        <w:spacing w:line="242" w:lineRule="auto" w:before="4"/>
        <w:ind w:left="4421" w:right="1636"/>
      </w:pPr>
      <w:r>
        <w:rPr/>
        <w:t>authority, usually the local council, is the party responsible for the administration and enforcement of a </w:t>
      </w:r>
      <w:r>
        <w:rPr>
          <w:b/>
        </w:rPr>
        <w:t>planning scheme</w:t>
      </w:r>
      <w:r>
        <w:rPr/>
        <w:t>.</w:t>
      </w:r>
    </w:p>
    <w:p>
      <w:pPr>
        <w:pStyle w:val="BodyText"/>
        <w:tabs>
          <w:tab w:pos="4421" w:val="left" w:leader="none"/>
        </w:tabs>
        <w:spacing w:line="242" w:lineRule="auto" w:before="126"/>
        <w:ind w:left="4421" w:right="1750" w:hanging="2835"/>
      </w:pPr>
      <w:r>
        <w:rPr>
          <w:b/>
          <w:w w:val="105"/>
        </w:rPr>
        <w:t>Standing</w:t>
        <w:tab/>
      </w:r>
      <w:r>
        <w:rPr>
          <w:w w:val="105"/>
        </w:rPr>
        <w:t>The </w:t>
      </w:r>
      <w:r>
        <w:rPr>
          <w:spacing w:val="-3"/>
          <w:w w:val="105"/>
        </w:rPr>
        <w:t>right to bring proceedings before </w:t>
      </w:r>
      <w:r>
        <w:rPr>
          <w:w w:val="105"/>
        </w:rPr>
        <w:t>a court or </w:t>
      </w:r>
      <w:r>
        <w:rPr>
          <w:spacing w:val="-3"/>
          <w:w w:val="105"/>
        </w:rPr>
        <w:t>tribunal. </w:t>
      </w:r>
      <w:r>
        <w:rPr>
          <w:spacing w:val="-7"/>
          <w:w w:val="105"/>
        </w:rPr>
        <w:t>To </w:t>
      </w:r>
      <w:r>
        <w:rPr>
          <w:spacing w:val="-3"/>
          <w:w w:val="105"/>
        </w:rPr>
        <w:t>have </w:t>
      </w:r>
      <w:r>
        <w:rPr>
          <w:w w:val="105"/>
        </w:rPr>
        <w:t>standing in a case a person must be able </w:t>
      </w:r>
      <w:r>
        <w:rPr>
          <w:spacing w:val="-3"/>
          <w:w w:val="105"/>
        </w:rPr>
        <w:t>to </w:t>
      </w:r>
      <w:r>
        <w:rPr>
          <w:w w:val="105"/>
        </w:rPr>
        <w:t>show </w:t>
      </w:r>
      <w:r>
        <w:rPr>
          <w:spacing w:val="-3"/>
          <w:w w:val="105"/>
        </w:rPr>
        <w:t>that </w:t>
      </w:r>
      <w:r>
        <w:rPr>
          <w:w w:val="105"/>
        </w:rPr>
        <w:t>they </w:t>
      </w:r>
      <w:r>
        <w:rPr>
          <w:spacing w:val="-3"/>
          <w:w w:val="105"/>
        </w:rPr>
        <w:t>have </w:t>
      </w:r>
      <w:r>
        <w:rPr>
          <w:w w:val="105"/>
        </w:rPr>
        <w:t>sufficient </w:t>
      </w:r>
      <w:r>
        <w:rPr>
          <w:spacing w:val="-3"/>
          <w:w w:val="105"/>
        </w:rPr>
        <w:t>interest </w:t>
      </w:r>
      <w:r>
        <w:rPr>
          <w:w w:val="105"/>
        </w:rPr>
        <w:t>in the </w:t>
      </w:r>
      <w:r>
        <w:rPr>
          <w:spacing w:val="-3"/>
          <w:w w:val="105"/>
        </w:rPr>
        <w:t>case, for example, </w:t>
      </w:r>
      <w:r>
        <w:rPr>
          <w:w w:val="105"/>
        </w:rPr>
        <w:t>because of possible effects on themselves, their property or</w:t>
      </w:r>
      <w:r>
        <w:rPr>
          <w:spacing w:val="-1"/>
          <w:w w:val="105"/>
        </w:rPr>
        <w:t> </w:t>
      </w:r>
      <w:r>
        <w:rPr>
          <w:w w:val="105"/>
        </w:rPr>
        <w:t>activities.</w:t>
      </w:r>
    </w:p>
    <w:p>
      <w:pPr>
        <w:tabs>
          <w:tab w:pos="4421" w:val="left" w:leader="none"/>
        </w:tabs>
        <w:spacing w:before="129"/>
        <w:ind w:left="1587" w:right="0" w:firstLine="0"/>
        <w:jc w:val="left"/>
        <w:rPr>
          <w:sz w:val="21"/>
        </w:rPr>
      </w:pPr>
      <w:r>
        <w:rPr>
          <w:b/>
          <w:w w:val="105"/>
          <w:sz w:val="21"/>
        </w:rPr>
        <w:t>Statutory</w:t>
      </w:r>
      <w:r>
        <w:rPr>
          <w:b/>
          <w:spacing w:val="33"/>
          <w:w w:val="105"/>
          <w:sz w:val="21"/>
        </w:rPr>
        <w:t> </w:t>
      </w:r>
      <w:r>
        <w:rPr>
          <w:b/>
          <w:w w:val="105"/>
          <w:sz w:val="21"/>
        </w:rPr>
        <w:t>scheme</w:t>
        <w:tab/>
      </w:r>
      <w:r>
        <w:rPr>
          <w:w w:val="105"/>
          <w:sz w:val="21"/>
        </w:rPr>
        <w:t>A scheme based on specific </w:t>
      </w:r>
      <w:r>
        <w:rPr>
          <w:spacing w:val="-3"/>
          <w:w w:val="105"/>
          <w:sz w:val="21"/>
        </w:rPr>
        <w:t>legislation </w:t>
      </w:r>
      <w:r>
        <w:rPr>
          <w:w w:val="105"/>
          <w:sz w:val="21"/>
        </w:rPr>
        <w:t>passed by</w:t>
      </w:r>
      <w:r>
        <w:rPr>
          <w:spacing w:val="30"/>
          <w:w w:val="105"/>
          <w:sz w:val="21"/>
        </w:rPr>
        <w:t> </w:t>
      </w:r>
      <w:r>
        <w:rPr>
          <w:spacing w:val="-3"/>
          <w:w w:val="105"/>
          <w:sz w:val="21"/>
        </w:rPr>
        <w:t>Parliament,</w:t>
      </w:r>
    </w:p>
    <w:p>
      <w:pPr>
        <w:pStyle w:val="BodyText"/>
        <w:spacing w:before="3"/>
        <w:ind w:left="4421"/>
      </w:pPr>
      <w:r>
        <w:rPr>
          <w:w w:val="105"/>
        </w:rPr>
        <w:t>rather than on the common law (judge-made law).</w:t>
      </w:r>
    </w:p>
    <w:p>
      <w:pPr>
        <w:pStyle w:val="BodyText"/>
        <w:tabs>
          <w:tab w:pos="4421" w:val="left" w:leader="none"/>
        </w:tabs>
        <w:spacing w:line="242" w:lineRule="auto" w:before="128"/>
        <w:ind w:left="4421" w:right="1810" w:hanging="2835"/>
      </w:pPr>
      <w:r>
        <w:rPr>
          <w:b/>
          <w:spacing w:val="-3"/>
          <w:w w:val="105"/>
        </w:rPr>
        <w:t>Tort</w:t>
        <w:tab/>
      </w:r>
      <w:r>
        <w:rPr>
          <w:w w:val="105"/>
        </w:rPr>
        <w:t>A civil </w:t>
      </w:r>
      <w:r>
        <w:rPr>
          <w:spacing w:val="-2"/>
          <w:w w:val="105"/>
        </w:rPr>
        <w:t>wrong, </w:t>
      </w:r>
      <w:r>
        <w:rPr>
          <w:w w:val="105"/>
        </w:rPr>
        <w:t>and type of </w:t>
      </w:r>
      <w:r>
        <w:rPr>
          <w:b/>
          <w:w w:val="105"/>
        </w:rPr>
        <w:t>cause of action</w:t>
      </w:r>
      <w:r>
        <w:rPr>
          <w:w w:val="105"/>
        </w:rPr>
        <w:t>. </w:t>
      </w:r>
      <w:r>
        <w:rPr>
          <w:spacing w:val="-3"/>
          <w:w w:val="105"/>
        </w:rPr>
        <w:t>Nuisance, negligence </w:t>
      </w:r>
      <w:r>
        <w:rPr>
          <w:w w:val="105"/>
        </w:rPr>
        <w:t>and trespass </w:t>
      </w:r>
      <w:r>
        <w:rPr>
          <w:spacing w:val="-3"/>
          <w:w w:val="105"/>
        </w:rPr>
        <w:t>to land are </w:t>
      </w:r>
      <w:r>
        <w:rPr>
          <w:w w:val="105"/>
        </w:rPr>
        <w:t>types of</w:t>
      </w:r>
      <w:r>
        <w:rPr>
          <w:spacing w:val="34"/>
          <w:w w:val="105"/>
        </w:rPr>
        <w:t> </w:t>
      </w:r>
      <w:r>
        <w:rPr>
          <w:w w:val="105"/>
        </w:rPr>
        <w:t>torts.</w:t>
      </w:r>
    </w:p>
    <w:p>
      <w:pPr>
        <w:pStyle w:val="BodyText"/>
        <w:tabs>
          <w:tab w:pos="4421" w:val="left" w:leader="none"/>
        </w:tabs>
        <w:spacing w:line="242" w:lineRule="auto" w:before="127"/>
        <w:ind w:left="4421" w:right="2182" w:hanging="2835"/>
      </w:pPr>
      <w:r>
        <w:rPr>
          <w:b/>
          <w:spacing w:val="-4"/>
          <w:w w:val="105"/>
        </w:rPr>
        <w:t>Tree</w:t>
      </w:r>
      <w:r>
        <w:rPr>
          <w:b/>
          <w:spacing w:val="26"/>
          <w:w w:val="105"/>
        </w:rPr>
        <w:t> </w:t>
      </w:r>
      <w:r>
        <w:rPr>
          <w:b/>
          <w:w w:val="105"/>
        </w:rPr>
        <w:t>owner</w:t>
        <w:tab/>
      </w:r>
      <w:r>
        <w:rPr>
          <w:w w:val="105"/>
        </w:rPr>
        <w:t>The</w:t>
      </w:r>
      <w:r>
        <w:rPr>
          <w:spacing w:val="-5"/>
          <w:w w:val="105"/>
        </w:rPr>
        <w:t> </w:t>
      </w:r>
      <w:r>
        <w:rPr>
          <w:w w:val="105"/>
        </w:rPr>
        <w:t>person</w:t>
      </w:r>
      <w:r>
        <w:rPr>
          <w:spacing w:val="-5"/>
          <w:w w:val="105"/>
        </w:rPr>
        <w:t> </w:t>
      </w:r>
      <w:r>
        <w:rPr>
          <w:w w:val="105"/>
        </w:rPr>
        <w:t>who</w:t>
      </w:r>
      <w:r>
        <w:rPr>
          <w:spacing w:val="-4"/>
          <w:w w:val="105"/>
        </w:rPr>
        <w:t> </w:t>
      </w:r>
      <w:r>
        <w:rPr>
          <w:w w:val="105"/>
        </w:rPr>
        <w:t>owns</w:t>
      </w:r>
      <w:r>
        <w:rPr>
          <w:spacing w:val="-5"/>
          <w:w w:val="105"/>
        </w:rPr>
        <w:t> </w:t>
      </w:r>
      <w:r>
        <w:rPr>
          <w:w w:val="105"/>
        </w:rPr>
        <w:t>the</w:t>
      </w:r>
      <w:r>
        <w:rPr>
          <w:spacing w:val="-5"/>
          <w:w w:val="105"/>
        </w:rPr>
        <w:t> </w:t>
      </w:r>
      <w:r>
        <w:rPr>
          <w:spacing w:val="-3"/>
          <w:w w:val="105"/>
        </w:rPr>
        <w:t>land</w:t>
      </w:r>
      <w:r>
        <w:rPr>
          <w:spacing w:val="-5"/>
          <w:w w:val="105"/>
        </w:rPr>
        <w:t> </w:t>
      </w:r>
      <w:r>
        <w:rPr>
          <w:w w:val="105"/>
        </w:rPr>
        <w:t>on</w:t>
      </w:r>
      <w:r>
        <w:rPr>
          <w:spacing w:val="-5"/>
          <w:w w:val="105"/>
        </w:rPr>
        <w:t> </w:t>
      </w:r>
      <w:r>
        <w:rPr>
          <w:w w:val="105"/>
        </w:rPr>
        <w:t>which</w:t>
      </w:r>
      <w:r>
        <w:rPr>
          <w:spacing w:val="-4"/>
          <w:w w:val="105"/>
        </w:rPr>
        <w:t> </w:t>
      </w:r>
      <w:r>
        <w:rPr>
          <w:w w:val="105"/>
        </w:rPr>
        <w:t>the</w:t>
      </w:r>
      <w:r>
        <w:rPr>
          <w:spacing w:val="-5"/>
          <w:w w:val="105"/>
        </w:rPr>
        <w:t> </w:t>
      </w:r>
      <w:r>
        <w:rPr>
          <w:spacing w:val="-3"/>
          <w:w w:val="105"/>
        </w:rPr>
        <w:t>relevant</w:t>
      </w:r>
      <w:r>
        <w:rPr>
          <w:spacing w:val="-5"/>
          <w:w w:val="105"/>
        </w:rPr>
        <w:t> </w:t>
      </w:r>
      <w:r>
        <w:rPr>
          <w:w w:val="105"/>
        </w:rPr>
        <w:t>tree</w:t>
      </w:r>
      <w:r>
        <w:rPr>
          <w:spacing w:val="-5"/>
          <w:w w:val="105"/>
        </w:rPr>
        <w:t> </w:t>
      </w:r>
      <w:r>
        <w:rPr>
          <w:w w:val="105"/>
        </w:rPr>
        <w:t>is located.</w:t>
      </w:r>
    </w:p>
    <w:p>
      <w:pPr>
        <w:pStyle w:val="BodyText"/>
        <w:spacing w:before="2"/>
        <w:rPr>
          <w:sz w:val="20"/>
        </w:rPr>
      </w:pPr>
    </w:p>
    <w:p>
      <w:pPr>
        <w:pStyle w:val="BodyText"/>
        <w:tabs>
          <w:tab w:pos="4421" w:val="left" w:leader="none"/>
        </w:tabs>
        <w:ind w:left="1587"/>
      </w:pPr>
      <w:r>
        <w:rPr>
          <w:b/>
          <w:w w:val="105"/>
        </w:rPr>
        <w:t>Urban</w:t>
      </w:r>
      <w:r>
        <w:rPr>
          <w:b/>
          <w:spacing w:val="26"/>
          <w:w w:val="105"/>
        </w:rPr>
        <w:t> </w:t>
      </w:r>
      <w:r>
        <w:rPr>
          <w:b/>
          <w:w w:val="105"/>
        </w:rPr>
        <w:t>forest</w:t>
        <w:tab/>
      </w:r>
      <w:r>
        <w:rPr>
          <w:w w:val="105"/>
        </w:rPr>
        <w:t>The urban </w:t>
      </w:r>
      <w:r>
        <w:rPr>
          <w:spacing w:val="-2"/>
          <w:w w:val="105"/>
        </w:rPr>
        <w:t>forest </w:t>
      </w:r>
      <w:r>
        <w:rPr>
          <w:w w:val="105"/>
        </w:rPr>
        <w:t>refers </w:t>
      </w:r>
      <w:r>
        <w:rPr>
          <w:spacing w:val="-3"/>
          <w:w w:val="105"/>
        </w:rPr>
        <w:t>to </w:t>
      </w:r>
      <w:r>
        <w:rPr>
          <w:w w:val="105"/>
        </w:rPr>
        <w:t>trees and other vegetation </w:t>
      </w:r>
      <w:r>
        <w:rPr>
          <w:spacing w:val="-3"/>
          <w:w w:val="105"/>
        </w:rPr>
        <w:t>growing</w:t>
      </w:r>
      <w:r>
        <w:rPr>
          <w:spacing w:val="27"/>
          <w:w w:val="105"/>
        </w:rPr>
        <w:t> </w:t>
      </w:r>
      <w:r>
        <w:rPr>
          <w:w w:val="105"/>
        </w:rPr>
        <w:t>in</w:t>
      </w:r>
    </w:p>
    <w:p>
      <w:pPr>
        <w:pStyle w:val="BodyText"/>
        <w:spacing w:line="242" w:lineRule="auto" w:before="4"/>
        <w:ind w:left="4421" w:right="1636"/>
      </w:pPr>
      <w:r>
        <w:rPr/>
        <w:t>urban space. Many Victorian councils have policies relating to the protection and preservation of the urban forest.</w:t>
      </w:r>
    </w:p>
    <w:p>
      <w:pPr>
        <w:spacing w:after="0" w:line="242" w:lineRule="auto"/>
        <w:sectPr>
          <w:type w:val="continuous"/>
          <w:pgSz w:w="11910" w:h="16840"/>
          <w:pgMar w:top="300" w:bottom="280" w:left="0" w:right="0"/>
        </w:sectPr>
      </w:pPr>
    </w:p>
    <w:p>
      <w:pPr>
        <w:pStyle w:val="Heading9"/>
        <w:spacing w:line="242" w:lineRule="auto" w:before="126"/>
        <w:ind w:left="1587" w:firstLine="0"/>
      </w:pPr>
      <w:r>
        <w:rPr>
          <w:w w:val="115"/>
        </w:rPr>
        <w:t>Victorian Civil and </w:t>
      </w:r>
      <w:r>
        <w:rPr>
          <w:w w:val="110"/>
        </w:rPr>
        <w:t>Administrative Tribunal </w:t>
      </w:r>
      <w:r>
        <w:rPr>
          <w:w w:val="115"/>
        </w:rPr>
        <w:t>(VCAT)</w:t>
      </w:r>
    </w:p>
    <w:p>
      <w:pPr>
        <w:spacing w:line="242" w:lineRule="auto" w:before="128"/>
        <w:ind w:left="1587" w:right="0" w:firstLine="0"/>
        <w:jc w:val="left"/>
        <w:rPr>
          <w:b/>
          <w:sz w:val="21"/>
        </w:rPr>
      </w:pPr>
      <w:r>
        <w:rPr>
          <w:b/>
          <w:w w:val="110"/>
          <w:sz w:val="21"/>
        </w:rPr>
        <w:t>Victorian Planning Provisions (VPPs)</w:t>
      </w:r>
    </w:p>
    <w:p>
      <w:pPr>
        <w:pStyle w:val="BodyText"/>
        <w:spacing w:before="126"/>
        <w:ind w:left="497"/>
      </w:pPr>
      <w:r>
        <w:rPr/>
        <w:br w:type="column"/>
      </w:r>
      <w:r>
        <w:rPr/>
        <w:t>In Victoria, the tribunal that hears civil and administrative claims.</w:t>
      </w:r>
    </w:p>
    <w:p>
      <w:pPr>
        <w:pStyle w:val="BodyText"/>
        <w:rPr>
          <w:sz w:val="24"/>
        </w:rPr>
      </w:pPr>
    </w:p>
    <w:p>
      <w:pPr>
        <w:pStyle w:val="BodyText"/>
        <w:spacing w:before="1"/>
        <w:rPr>
          <w:sz w:val="29"/>
        </w:rPr>
      </w:pPr>
    </w:p>
    <w:p>
      <w:pPr>
        <w:pStyle w:val="BodyText"/>
        <w:spacing w:line="242" w:lineRule="auto"/>
        <w:ind w:left="497" w:right="1951"/>
      </w:pPr>
      <w:r>
        <w:rPr>
          <w:w w:val="105"/>
        </w:rPr>
        <w:t>A set of stardard </w:t>
      </w:r>
      <w:r>
        <w:rPr>
          <w:spacing w:val="-3"/>
          <w:w w:val="105"/>
        </w:rPr>
        <w:t>planning provisions that are incorporated </w:t>
      </w:r>
      <w:r>
        <w:rPr>
          <w:spacing w:val="-4"/>
          <w:w w:val="105"/>
        </w:rPr>
        <w:t>into </w:t>
      </w:r>
      <w:r>
        <w:rPr>
          <w:w w:val="105"/>
        </w:rPr>
        <w:t>local </w:t>
      </w:r>
      <w:r>
        <w:rPr>
          <w:b/>
          <w:w w:val="105"/>
        </w:rPr>
        <w:t>planning schemes</w:t>
      </w:r>
      <w:r>
        <w:rPr>
          <w:w w:val="105"/>
        </w:rPr>
        <w:t>.</w:t>
      </w:r>
    </w:p>
    <w:p>
      <w:pPr>
        <w:spacing w:after="0" w:line="242" w:lineRule="auto"/>
        <w:sectPr>
          <w:type w:val="continuous"/>
          <w:pgSz w:w="11910" w:h="16840"/>
          <w:pgMar w:top="300" w:bottom="280" w:left="0" w:right="0"/>
          <w:cols w:num="2" w:equalWidth="0">
            <w:col w:w="3884" w:space="40"/>
            <w:col w:w="798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spacing w:before="96"/>
        <w:ind w:left="720" w:right="0" w:firstLine="0"/>
        <w:jc w:val="left"/>
        <w:rPr>
          <w:b/>
          <w:sz w:val="24"/>
        </w:rPr>
      </w:pPr>
      <w:r>
        <w:rPr>
          <w:b/>
          <w:color w:val="658464"/>
          <w:w w:val="120"/>
          <w:sz w:val="24"/>
        </w:rPr>
        <w:t>xiv</w:t>
      </w:r>
    </w:p>
    <w:p>
      <w:pPr>
        <w:spacing w:after="0"/>
        <w:jc w:val="left"/>
        <w:rPr>
          <w:sz w:val="24"/>
        </w:rPr>
        <w:sectPr>
          <w:type w:val="continuous"/>
          <w:pgSz w:w="11910" w:h="16840"/>
          <w:pgMar w:top="300" w:bottom="280" w:left="0" w:right="0"/>
        </w:sectPr>
      </w:pPr>
    </w:p>
    <w:p>
      <w:pPr>
        <w:pStyle w:val="BodyText"/>
        <w:spacing w:before="10"/>
        <w:rPr>
          <w:b/>
          <w:sz w:val="18"/>
        </w:rPr>
      </w:pPr>
    </w:p>
    <w:p>
      <w:pPr>
        <w:pStyle w:val="Heading2"/>
        <w:spacing w:line="232" w:lineRule="auto"/>
        <w:ind w:left="850" w:right="3670" w:firstLine="0"/>
      </w:pPr>
      <w:bookmarkStart w:name="Executive summary: neighbourhood tree di" w:id="11"/>
      <w:bookmarkEnd w:id="11"/>
      <w:r>
        <w:rPr>
          <w:b w:val="0"/>
        </w:rPr>
      </w:r>
      <w:bookmarkStart w:name="Executive summary: neighbourhood tree di" w:id="12"/>
      <w:bookmarkEnd w:id="12"/>
      <w:r>
        <w:rPr>
          <w:b w:val="0"/>
        </w:rPr>
      </w:r>
      <w:bookmarkStart w:name="_bookmark3" w:id="13"/>
      <w:bookmarkEnd w:id="13"/>
      <w:r>
        <w:rPr>
          <w:b w:val="0"/>
        </w:rPr>
      </w:r>
      <w:r>
        <w:rPr>
          <w:color w:val="658464"/>
          <w:w w:val="110"/>
        </w:rPr>
        <w:t>Executive summary: neighbourhood tree disputes</w:t>
      </w:r>
    </w:p>
    <w:p>
      <w:pPr>
        <w:pStyle w:val="BodyText"/>
        <w:rPr>
          <w:b/>
          <w:sz w:val="52"/>
        </w:rPr>
      </w:pPr>
    </w:p>
    <w:p>
      <w:pPr>
        <w:pStyle w:val="BodyText"/>
        <w:rPr>
          <w:b/>
          <w:sz w:val="52"/>
        </w:rPr>
      </w:pPr>
    </w:p>
    <w:p>
      <w:pPr>
        <w:pStyle w:val="BodyText"/>
        <w:rPr>
          <w:b/>
          <w:sz w:val="52"/>
        </w:rPr>
      </w:pPr>
    </w:p>
    <w:p>
      <w:pPr>
        <w:pStyle w:val="BodyText"/>
        <w:spacing w:before="7"/>
        <w:rPr>
          <w:b/>
          <w:sz w:val="58"/>
        </w:rPr>
      </w:pPr>
    </w:p>
    <w:p>
      <w:pPr>
        <w:pStyle w:val="ListParagraph"/>
        <w:numPr>
          <w:ilvl w:val="0"/>
          <w:numId w:val="3"/>
        </w:numPr>
        <w:tabs>
          <w:tab w:pos="2381" w:val="left" w:leader="none"/>
          <w:tab w:pos="2382" w:val="left" w:leader="none"/>
        </w:tabs>
        <w:spacing w:line="242" w:lineRule="auto" w:before="1" w:after="0"/>
        <w:ind w:left="2381" w:right="1610" w:hanging="794"/>
        <w:jc w:val="left"/>
        <w:rPr>
          <w:sz w:val="21"/>
        </w:rPr>
      </w:pPr>
      <w:r>
        <w:rPr>
          <w:w w:val="105"/>
          <w:sz w:val="21"/>
        </w:rPr>
        <w:t>On 8 June </w:t>
      </w:r>
      <w:r>
        <w:rPr>
          <w:spacing w:val="-9"/>
          <w:w w:val="105"/>
          <w:sz w:val="21"/>
        </w:rPr>
        <w:t>2017 </w:t>
      </w:r>
      <w:r>
        <w:rPr>
          <w:w w:val="105"/>
          <w:sz w:val="21"/>
        </w:rPr>
        <w:t>the </w:t>
      </w:r>
      <w:r>
        <w:rPr>
          <w:spacing w:val="-3"/>
          <w:w w:val="105"/>
          <w:sz w:val="21"/>
        </w:rPr>
        <w:t>Commission initiated </w:t>
      </w:r>
      <w:r>
        <w:rPr>
          <w:w w:val="105"/>
          <w:sz w:val="21"/>
        </w:rPr>
        <w:t>an inquiry on ways </w:t>
      </w:r>
      <w:r>
        <w:rPr>
          <w:spacing w:val="-3"/>
          <w:w w:val="105"/>
          <w:sz w:val="21"/>
        </w:rPr>
        <w:t>to </w:t>
      </w:r>
      <w:r>
        <w:rPr>
          <w:w w:val="105"/>
          <w:sz w:val="21"/>
        </w:rPr>
        <w:t>provide just, effective and timely</w:t>
      </w:r>
      <w:r>
        <w:rPr>
          <w:spacing w:val="-5"/>
          <w:w w:val="105"/>
          <w:sz w:val="21"/>
        </w:rPr>
        <w:t> </w:t>
      </w:r>
      <w:r>
        <w:rPr>
          <w:w w:val="105"/>
          <w:sz w:val="21"/>
        </w:rPr>
        <w:t>methods</w:t>
      </w:r>
      <w:r>
        <w:rPr>
          <w:spacing w:val="-5"/>
          <w:w w:val="105"/>
          <w:sz w:val="21"/>
        </w:rPr>
        <w:t> </w:t>
      </w:r>
      <w:r>
        <w:rPr>
          <w:spacing w:val="-3"/>
          <w:w w:val="105"/>
          <w:sz w:val="21"/>
        </w:rPr>
        <w:t>for</w:t>
      </w:r>
      <w:r>
        <w:rPr>
          <w:spacing w:val="-5"/>
          <w:w w:val="105"/>
          <w:sz w:val="21"/>
        </w:rPr>
        <w:t> </w:t>
      </w:r>
      <w:r>
        <w:rPr>
          <w:w w:val="105"/>
          <w:sz w:val="21"/>
        </w:rPr>
        <w:t>resolving</w:t>
      </w:r>
      <w:r>
        <w:rPr>
          <w:spacing w:val="-5"/>
          <w:w w:val="105"/>
          <w:sz w:val="21"/>
        </w:rPr>
        <w:t> </w:t>
      </w:r>
      <w:r>
        <w:rPr>
          <w:w w:val="105"/>
          <w:sz w:val="21"/>
        </w:rPr>
        <w:t>neighbourhood</w:t>
      </w:r>
      <w:r>
        <w:rPr>
          <w:spacing w:val="-4"/>
          <w:w w:val="105"/>
          <w:sz w:val="21"/>
        </w:rPr>
        <w:t> </w:t>
      </w:r>
      <w:r>
        <w:rPr>
          <w:w w:val="105"/>
          <w:sz w:val="21"/>
        </w:rPr>
        <w:t>tree</w:t>
      </w:r>
      <w:r>
        <w:rPr>
          <w:spacing w:val="-5"/>
          <w:w w:val="105"/>
          <w:sz w:val="21"/>
        </w:rPr>
        <w:t> </w:t>
      </w:r>
      <w:r>
        <w:rPr>
          <w:spacing w:val="-3"/>
          <w:w w:val="105"/>
          <w:sz w:val="21"/>
        </w:rPr>
        <w:t>disputes</w:t>
      </w:r>
      <w:r>
        <w:rPr>
          <w:spacing w:val="-5"/>
          <w:w w:val="105"/>
          <w:sz w:val="21"/>
        </w:rPr>
        <w:t> </w:t>
      </w:r>
      <w:r>
        <w:rPr>
          <w:w w:val="105"/>
          <w:sz w:val="21"/>
        </w:rPr>
        <w:t>on</w:t>
      </w:r>
      <w:r>
        <w:rPr>
          <w:spacing w:val="-5"/>
          <w:w w:val="105"/>
          <w:sz w:val="21"/>
        </w:rPr>
        <w:t> </w:t>
      </w:r>
      <w:r>
        <w:rPr>
          <w:spacing w:val="-3"/>
          <w:w w:val="105"/>
          <w:sz w:val="21"/>
        </w:rPr>
        <w:t>private</w:t>
      </w:r>
      <w:r>
        <w:rPr>
          <w:spacing w:val="-5"/>
          <w:w w:val="105"/>
          <w:sz w:val="21"/>
        </w:rPr>
        <w:t> </w:t>
      </w:r>
      <w:r>
        <w:rPr>
          <w:spacing w:val="-3"/>
          <w:w w:val="105"/>
          <w:sz w:val="21"/>
        </w:rPr>
        <w:t>land</w:t>
      </w:r>
      <w:r>
        <w:rPr>
          <w:spacing w:val="-4"/>
          <w:w w:val="105"/>
          <w:sz w:val="21"/>
        </w:rPr>
        <w:t> </w:t>
      </w:r>
      <w:r>
        <w:rPr>
          <w:w w:val="105"/>
          <w:sz w:val="21"/>
        </w:rPr>
        <w:t>in</w:t>
      </w:r>
      <w:r>
        <w:rPr>
          <w:spacing w:val="-5"/>
          <w:w w:val="105"/>
          <w:sz w:val="21"/>
        </w:rPr>
        <w:t> </w:t>
      </w:r>
      <w:r>
        <w:rPr>
          <w:w w:val="105"/>
          <w:sz w:val="21"/>
        </w:rPr>
        <w:t>Victoria.</w:t>
      </w:r>
    </w:p>
    <w:p>
      <w:pPr>
        <w:pStyle w:val="ListParagraph"/>
        <w:numPr>
          <w:ilvl w:val="0"/>
          <w:numId w:val="3"/>
        </w:numPr>
        <w:tabs>
          <w:tab w:pos="2381" w:val="left" w:leader="none"/>
          <w:tab w:pos="2382" w:val="left" w:leader="none"/>
        </w:tabs>
        <w:spacing w:line="242" w:lineRule="auto" w:before="122" w:after="0"/>
        <w:ind w:left="2381" w:right="1702" w:hanging="794"/>
        <w:jc w:val="left"/>
        <w:rPr>
          <w:sz w:val="21"/>
        </w:rPr>
      </w:pPr>
      <w:r>
        <w:rPr>
          <w:w w:val="105"/>
          <w:sz w:val="21"/>
        </w:rPr>
        <w:t>The </w:t>
      </w:r>
      <w:r>
        <w:rPr>
          <w:spacing w:val="-4"/>
          <w:w w:val="105"/>
          <w:sz w:val="21"/>
        </w:rPr>
        <w:t>Commission’s key </w:t>
      </w:r>
      <w:r>
        <w:rPr>
          <w:spacing w:val="-3"/>
          <w:w w:val="105"/>
          <w:sz w:val="21"/>
        </w:rPr>
        <w:t>recommendation </w:t>
      </w:r>
      <w:r>
        <w:rPr>
          <w:w w:val="105"/>
          <w:sz w:val="21"/>
        </w:rPr>
        <w:t>is </w:t>
      </w:r>
      <w:r>
        <w:rPr>
          <w:spacing w:val="-3"/>
          <w:w w:val="105"/>
          <w:sz w:val="21"/>
        </w:rPr>
        <w:t>to introduce </w:t>
      </w:r>
      <w:r>
        <w:rPr>
          <w:w w:val="105"/>
          <w:sz w:val="21"/>
        </w:rPr>
        <w:t>a Neighbourhood </w:t>
      </w:r>
      <w:r>
        <w:rPr>
          <w:spacing w:val="-5"/>
          <w:w w:val="105"/>
          <w:sz w:val="21"/>
        </w:rPr>
        <w:t>Tree </w:t>
      </w:r>
      <w:r>
        <w:rPr>
          <w:spacing w:val="-3"/>
          <w:w w:val="105"/>
          <w:sz w:val="21"/>
        </w:rPr>
        <w:t>Disputes </w:t>
      </w:r>
      <w:r>
        <w:rPr>
          <w:w w:val="105"/>
          <w:sz w:val="21"/>
        </w:rPr>
        <w:t>Act.</w:t>
      </w:r>
      <w:r>
        <w:rPr>
          <w:spacing w:val="-6"/>
          <w:w w:val="105"/>
          <w:sz w:val="21"/>
        </w:rPr>
        <w:t> </w:t>
      </w:r>
      <w:r>
        <w:rPr>
          <w:w w:val="105"/>
          <w:sz w:val="21"/>
        </w:rPr>
        <w:t>This</w:t>
      </w:r>
      <w:r>
        <w:rPr>
          <w:spacing w:val="-5"/>
          <w:w w:val="105"/>
          <w:sz w:val="21"/>
        </w:rPr>
        <w:t> </w:t>
      </w:r>
      <w:r>
        <w:rPr>
          <w:spacing w:val="-3"/>
          <w:w w:val="105"/>
          <w:sz w:val="21"/>
        </w:rPr>
        <w:t>recommendation</w:t>
      </w:r>
      <w:r>
        <w:rPr>
          <w:spacing w:val="-5"/>
          <w:w w:val="105"/>
          <w:sz w:val="21"/>
        </w:rPr>
        <w:t> </w:t>
      </w:r>
      <w:r>
        <w:rPr>
          <w:w w:val="105"/>
          <w:sz w:val="21"/>
        </w:rPr>
        <w:t>responds</w:t>
      </w:r>
      <w:r>
        <w:rPr>
          <w:spacing w:val="-5"/>
          <w:w w:val="105"/>
          <w:sz w:val="21"/>
        </w:rPr>
        <w:t> </w:t>
      </w:r>
      <w:r>
        <w:rPr>
          <w:spacing w:val="-3"/>
          <w:w w:val="105"/>
          <w:sz w:val="21"/>
        </w:rPr>
        <w:t>to</w:t>
      </w:r>
      <w:r>
        <w:rPr>
          <w:spacing w:val="-5"/>
          <w:w w:val="105"/>
          <w:sz w:val="21"/>
        </w:rPr>
        <w:t> </w:t>
      </w:r>
      <w:r>
        <w:rPr>
          <w:w w:val="105"/>
          <w:sz w:val="21"/>
        </w:rPr>
        <w:t>community</w:t>
      </w:r>
      <w:r>
        <w:rPr>
          <w:spacing w:val="-5"/>
          <w:w w:val="105"/>
          <w:sz w:val="21"/>
        </w:rPr>
        <w:t> </w:t>
      </w:r>
      <w:r>
        <w:rPr>
          <w:spacing w:val="-3"/>
          <w:w w:val="105"/>
          <w:sz w:val="21"/>
        </w:rPr>
        <w:t>calls</w:t>
      </w:r>
      <w:r>
        <w:rPr>
          <w:spacing w:val="-6"/>
          <w:w w:val="105"/>
          <w:sz w:val="21"/>
        </w:rPr>
        <w:t> </w:t>
      </w:r>
      <w:r>
        <w:rPr>
          <w:spacing w:val="-3"/>
          <w:w w:val="105"/>
          <w:sz w:val="21"/>
        </w:rPr>
        <w:t>for</w:t>
      </w:r>
      <w:r>
        <w:rPr>
          <w:spacing w:val="-5"/>
          <w:w w:val="105"/>
          <w:sz w:val="21"/>
        </w:rPr>
        <w:t> </w:t>
      </w:r>
      <w:r>
        <w:rPr>
          <w:w w:val="105"/>
          <w:sz w:val="21"/>
        </w:rPr>
        <w:t>better</w:t>
      </w:r>
      <w:r>
        <w:rPr>
          <w:spacing w:val="-5"/>
          <w:w w:val="105"/>
          <w:sz w:val="21"/>
        </w:rPr>
        <w:t> </w:t>
      </w:r>
      <w:r>
        <w:rPr>
          <w:spacing w:val="-3"/>
          <w:w w:val="105"/>
          <w:sz w:val="21"/>
        </w:rPr>
        <w:t>guidance</w:t>
      </w:r>
      <w:r>
        <w:rPr>
          <w:spacing w:val="-5"/>
          <w:w w:val="105"/>
          <w:sz w:val="21"/>
        </w:rPr>
        <w:t> </w:t>
      </w:r>
      <w:r>
        <w:rPr>
          <w:spacing w:val="-3"/>
          <w:w w:val="105"/>
          <w:sz w:val="21"/>
        </w:rPr>
        <w:t>from</w:t>
      </w:r>
      <w:r>
        <w:rPr>
          <w:spacing w:val="-5"/>
          <w:w w:val="105"/>
          <w:sz w:val="21"/>
        </w:rPr>
        <w:t> </w:t>
      </w:r>
      <w:r>
        <w:rPr>
          <w:w w:val="105"/>
          <w:sz w:val="21"/>
        </w:rPr>
        <w:t>the</w:t>
      </w:r>
      <w:r>
        <w:rPr>
          <w:spacing w:val="-5"/>
          <w:w w:val="105"/>
          <w:sz w:val="21"/>
        </w:rPr>
        <w:t> </w:t>
      </w:r>
      <w:r>
        <w:rPr>
          <w:w w:val="105"/>
          <w:sz w:val="21"/>
        </w:rPr>
        <w:t>law about how </w:t>
      </w:r>
      <w:r>
        <w:rPr>
          <w:spacing w:val="-3"/>
          <w:w w:val="105"/>
          <w:sz w:val="21"/>
        </w:rPr>
        <w:t>to </w:t>
      </w:r>
      <w:r>
        <w:rPr>
          <w:w w:val="105"/>
          <w:sz w:val="21"/>
        </w:rPr>
        <w:t>resolve these</w:t>
      </w:r>
      <w:r>
        <w:rPr>
          <w:spacing w:val="26"/>
          <w:w w:val="105"/>
          <w:sz w:val="21"/>
        </w:rPr>
        <w:t> </w:t>
      </w:r>
      <w:r>
        <w:rPr>
          <w:spacing w:val="-3"/>
          <w:w w:val="105"/>
          <w:sz w:val="21"/>
        </w:rPr>
        <w:t>disputes.</w:t>
      </w:r>
    </w:p>
    <w:p>
      <w:pPr>
        <w:pStyle w:val="BodyText"/>
        <w:spacing w:before="10"/>
      </w:pPr>
    </w:p>
    <w:p>
      <w:pPr>
        <w:spacing w:before="0"/>
        <w:ind w:left="1587" w:right="0" w:firstLine="0"/>
        <w:jc w:val="left"/>
        <w:rPr>
          <w:b/>
          <w:sz w:val="28"/>
        </w:rPr>
      </w:pPr>
      <w:r>
        <w:rPr>
          <w:b/>
          <w:color w:val="658464"/>
          <w:w w:val="115"/>
          <w:sz w:val="28"/>
        </w:rPr>
        <w:t>The scope of the problem</w:t>
      </w:r>
    </w:p>
    <w:p>
      <w:pPr>
        <w:pStyle w:val="ListParagraph"/>
        <w:numPr>
          <w:ilvl w:val="0"/>
          <w:numId w:val="3"/>
        </w:numPr>
        <w:tabs>
          <w:tab w:pos="2381" w:val="left" w:leader="none"/>
          <w:tab w:pos="2382" w:val="left" w:leader="none"/>
        </w:tabs>
        <w:spacing w:line="242" w:lineRule="auto" w:before="155" w:after="0"/>
        <w:ind w:left="2381" w:right="1695" w:hanging="794"/>
        <w:jc w:val="left"/>
        <w:rPr>
          <w:sz w:val="21"/>
        </w:rPr>
      </w:pPr>
      <w:r>
        <w:rPr>
          <w:w w:val="105"/>
          <w:sz w:val="21"/>
        </w:rPr>
        <w:t>In an </w:t>
      </w:r>
      <w:r>
        <w:rPr>
          <w:spacing w:val="-3"/>
          <w:w w:val="105"/>
          <w:sz w:val="21"/>
        </w:rPr>
        <w:t>increasingly </w:t>
      </w:r>
      <w:r>
        <w:rPr>
          <w:spacing w:val="-2"/>
          <w:w w:val="105"/>
          <w:sz w:val="21"/>
        </w:rPr>
        <w:t>urbanised </w:t>
      </w:r>
      <w:r>
        <w:rPr>
          <w:spacing w:val="-3"/>
          <w:w w:val="105"/>
          <w:sz w:val="21"/>
        </w:rPr>
        <w:t>environment, people’s </w:t>
      </w:r>
      <w:r>
        <w:rPr>
          <w:w w:val="105"/>
          <w:sz w:val="21"/>
        </w:rPr>
        <w:t>decisions about their </w:t>
      </w:r>
      <w:r>
        <w:rPr>
          <w:spacing w:val="-3"/>
          <w:w w:val="105"/>
          <w:sz w:val="21"/>
        </w:rPr>
        <w:t>land </w:t>
      </w:r>
      <w:r>
        <w:rPr>
          <w:w w:val="105"/>
          <w:sz w:val="21"/>
        </w:rPr>
        <w:t>and trees can </w:t>
      </w:r>
      <w:r>
        <w:rPr>
          <w:spacing w:val="-3"/>
          <w:w w:val="105"/>
          <w:sz w:val="21"/>
        </w:rPr>
        <w:t>have </w:t>
      </w:r>
      <w:r>
        <w:rPr>
          <w:w w:val="105"/>
          <w:sz w:val="21"/>
        </w:rPr>
        <w:t>a </w:t>
      </w:r>
      <w:r>
        <w:rPr>
          <w:spacing w:val="-3"/>
          <w:w w:val="105"/>
          <w:sz w:val="21"/>
        </w:rPr>
        <w:t>significant </w:t>
      </w:r>
      <w:r>
        <w:rPr>
          <w:w w:val="105"/>
          <w:sz w:val="21"/>
        </w:rPr>
        <w:t>effect on their neighbours’ homes and lives. The </w:t>
      </w:r>
      <w:r>
        <w:rPr>
          <w:spacing w:val="-3"/>
          <w:w w:val="105"/>
          <w:sz w:val="21"/>
        </w:rPr>
        <w:t>Commission </w:t>
      </w:r>
      <w:r>
        <w:rPr>
          <w:spacing w:val="-2"/>
          <w:w w:val="105"/>
          <w:sz w:val="21"/>
        </w:rPr>
        <w:t>has </w:t>
      </w:r>
      <w:r>
        <w:rPr>
          <w:spacing w:val="-3"/>
          <w:w w:val="105"/>
          <w:sz w:val="21"/>
        </w:rPr>
        <w:t>heard that </w:t>
      </w:r>
      <w:r>
        <w:rPr>
          <w:w w:val="105"/>
          <w:sz w:val="21"/>
        </w:rPr>
        <w:t>these </w:t>
      </w:r>
      <w:r>
        <w:rPr>
          <w:spacing w:val="-3"/>
          <w:w w:val="105"/>
          <w:sz w:val="21"/>
        </w:rPr>
        <w:t>disputes are common. </w:t>
      </w:r>
      <w:r>
        <w:rPr>
          <w:spacing w:val="-4"/>
          <w:w w:val="105"/>
          <w:sz w:val="21"/>
        </w:rPr>
        <w:t>Concerns </w:t>
      </w:r>
      <w:r>
        <w:rPr>
          <w:w w:val="105"/>
          <w:sz w:val="21"/>
        </w:rPr>
        <w:t>about neighbourhood trees </w:t>
      </w:r>
      <w:r>
        <w:rPr>
          <w:spacing w:val="-3"/>
          <w:w w:val="105"/>
          <w:sz w:val="21"/>
        </w:rPr>
        <w:t>were </w:t>
      </w:r>
      <w:r>
        <w:rPr>
          <w:w w:val="105"/>
          <w:sz w:val="21"/>
        </w:rPr>
        <w:t>the </w:t>
      </w:r>
      <w:r>
        <w:rPr>
          <w:spacing w:val="-3"/>
          <w:w w:val="105"/>
          <w:sz w:val="21"/>
        </w:rPr>
        <w:t>third</w:t>
      </w:r>
      <w:r>
        <w:rPr>
          <w:spacing w:val="-8"/>
          <w:w w:val="105"/>
          <w:sz w:val="21"/>
        </w:rPr>
        <w:t> </w:t>
      </w:r>
      <w:r>
        <w:rPr>
          <w:w w:val="105"/>
          <w:sz w:val="21"/>
        </w:rPr>
        <w:t>most</w:t>
      </w:r>
      <w:r>
        <w:rPr>
          <w:spacing w:val="-7"/>
          <w:w w:val="105"/>
          <w:sz w:val="21"/>
        </w:rPr>
        <w:t> </w:t>
      </w:r>
      <w:r>
        <w:rPr>
          <w:spacing w:val="-2"/>
          <w:w w:val="105"/>
          <w:sz w:val="21"/>
        </w:rPr>
        <w:t>common</w:t>
      </w:r>
      <w:r>
        <w:rPr>
          <w:spacing w:val="-7"/>
          <w:w w:val="105"/>
          <w:sz w:val="21"/>
        </w:rPr>
        <w:t> </w:t>
      </w:r>
      <w:r>
        <w:rPr>
          <w:w w:val="105"/>
          <w:sz w:val="21"/>
        </w:rPr>
        <w:t>enquiry</w:t>
      </w:r>
      <w:r>
        <w:rPr>
          <w:spacing w:val="-7"/>
          <w:w w:val="105"/>
          <w:sz w:val="21"/>
        </w:rPr>
        <w:t> </w:t>
      </w:r>
      <w:r>
        <w:rPr>
          <w:spacing w:val="-3"/>
          <w:w w:val="105"/>
          <w:sz w:val="21"/>
        </w:rPr>
        <w:t>to</w:t>
      </w:r>
      <w:r>
        <w:rPr>
          <w:spacing w:val="-8"/>
          <w:w w:val="105"/>
          <w:sz w:val="21"/>
        </w:rPr>
        <w:t> </w:t>
      </w:r>
      <w:r>
        <w:rPr>
          <w:w w:val="105"/>
          <w:sz w:val="21"/>
        </w:rPr>
        <w:t>the</w:t>
      </w:r>
      <w:r>
        <w:rPr>
          <w:spacing w:val="-7"/>
          <w:w w:val="105"/>
          <w:sz w:val="21"/>
        </w:rPr>
        <w:t> </w:t>
      </w:r>
      <w:r>
        <w:rPr>
          <w:spacing w:val="-3"/>
          <w:w w:val="105"/>
          <w:sz w:val="21"/>
        </w:rPr>
        <w:t>Dispute</w:t>
      </w:r>
      <w:r>
        <w:rPr>
          <w:spacing w:val="-7"/>
          <w:w w:val="105"/>
          <w:sz w:val="21"/>
        </w:rPr>
        <w:t> </w:t>
      </w:r>
      <w:r>
        <w:rPr>
          <w:w w:val="105"/>
          <w:sz w:val="21"/>
        </w:rPr>
        <w:t>Settlement</w:t>
      </w:r>
      <w:r>
        <w:rPr>
          <w:spacing w:val="-7"/>
          <w:w w:val="105"/>
          <w:sz w:val="21"/>
        </w:rPr>
        <w:t> </w:t>
      </w:r>
      <w:r>
        <w:rPr>
          <w:spacing w:val="-4"/>
          <w:w w:val="105"/>
          <w:sz w:val="21"/>
        </w:rPr>
        <w:t>Centre</w:t>
      </w:r>
      <w:r>
        <w:rPr>
          <w:spacing w:val="-8"/>
          <w:w w:val="105"/>
          <w:sz w:val="21"/>
        </w:rPr>
        <w:t> </w:t>
      </w:r>
      <w:r>
        <w:rPr>
          <w:w w:val="105"/>
          <w:sz w:val="21"/>
        </w:rPr>
        <w:t>of</w:t>
      </w:r>
      <w:r>
        <w:rPr>
          <w:spacing w:val="-7"/>
          <w:w w:val="105"/>
          <w:sz w:val="21"/>
        </w:rPr>
        <w:t> </w:t>
      </w:r>
      <w:r>
        <w:rPr>
          <w:w w:val="105"/>
          <w:sz w:val="21"/>
        </w:rPr>
        <w:t>Victoria</w:t>
      </w:r>
      <w:r>
        <w:rPr>
          <w:spacing w:val="-7"/>
          <w:w w:val="105"/>
          <w:sz w:val="21"/>
        </w:rPr>
        <w:t> </w:t>
      </w:r>
      <w:r>
        <w:rPr>
          <w:spacing w:val="-3"/>
          <w:w w:val="105"/>
          <w:sz w:val="21"/>
        </w:rPr>
        <w:t>from</w:t>
      </w:r>
      <w:r>
        <w:rPr>
          <w:spacing w:val="-7"/>
          <w:w w:val="105"/>
          <w:sz w:val="21"/>
        </w:rPr>
        <w:t> </w:t>
      </w:r>
      <w:r>
        <w:rPr>
          <w:w w:val="105"/>
          <w:sz w:val="21"/>
        </w:rPr>
        <w:t>December </w:t>
      </w:r>
      <w:r>
        <w:rPr>
          <w:spacing w:val="-10"/>
          <w:w w:val="105"/>
          <w:sz w:val="21"/>
        </w:rPr>
        <w:t>2011 </w:t>
      </w:r>
      <w:r>
        <w:rPr>
          <w:spacing w:val="-3"/>
          <w:w w:val="105"/>
          <w:sz w:val="21"/>
        </w:rPr>
        <w:t>to </w:t>
      </w:r>
      <w:r>
        <w:rPr>
          <w:spacing w:val="-2"/>
          <w:w w:val="105"/>
          <w:sz w:val="21"/>
        </w:rPr>
        <w:t>May</w:t>
      </w:r>
      <w:r>
        <w:rPr>
          <w:spacing w:val="-10"/>
          <w:w w:val="105"/>
          <w:sz w:val="21"/>
        </w:rPr>
        <w:t> </w:t>
      </w:r>
      <w:r>
        <w:rPr>
          <w:spacing w:val="-12"/>
          <w:w w:val="105"/>
          <w:sz w:val="21"/>
        </w:rPr>
        <w:t>2017.</w:t>
      </w:r>
    </w:p>
    <w:p>
      <w:pPr>
        <w:pStyle w:val="ListParagraph"/>
        <w:numPr>
          <w:ilvl w:val="0"/>
          <w:numId w:val="3"/>
        </w:numPr>
        <w:tabs>
          <w:tab w:pos="2381" w:val="left" w:leader="none"/>
          <w:tab w:pos="2382" w:val="left" w:leader="none"/>
        </w:tabs>
        <w:spacing w:line="242" w:lineRule="auto" w:before="125" w:after="0"/>
        <w:ind w:left="2381" w:right="2001" w:hanging="794"/>
        <w:jc w:val="left"/>
        <w:rPr>
          <w:sz w:val="21"/>
        </w:rPr>
      </w:pPr>
      <w:r>
        <w:rPr>
          <w:w w:val="105"/>
          <w:sz w:val="21"/>
        </w:rPr>
        <w:t>Most </w:t>
      </w:r>
      <w:r>
        <w:rPr>
          <w:spacing w:val="-3"/>
          <w:w w:val="105"/>
          <w:sz w:val="21"/>
        </w:rPr>
        <w:t>disputes relate to overhanging branches, encroaching </w:t>
      </w:r>
      <w:r>
        <w:rPr>
          <w:w w:val="105"/>
          <w:sz w:val="21"/>
        </w:rPr>
        <w:t>roots and the presence of large trees, but other issues also</w:t>
      </w:r>
      <w:r>
        <w:rPr>
          <w:spacing w:val="23"/>
          <w:w w:val="105"/>
          <w:sz w:val="21"/>
        </w:rPr>
        <w:t> </w:t>
      </w:r>
      <w:r>
        <w:rPr>
          <w:w w:val="105"/>
          <w:sz w:val="21"/>
        </w:rPr>
        <w:t>exist.</w:t>
      </w:r>
    </w:p>
    <w:p>
      <w:pPr>
        <w:pStyle w:val="ListParagraph"/>
        <w:numPr>
          <w:ilvl w:val="0"/>
          <w:numId w:val="3"/>
        </w:numPr>
        <w:tabs>
          <w:tab w:pos="2381" w:val="left" w:leader="none"/>
          <w:tab w:pos="2382" w:val="left" w:leader="none"/>
        </w:tabs>
        <w:spacing w:line="242" w:lineRule="auto" w:before="123" w:after="0"/>
        <w:ind w:left="2381" w:right="1670" w:hanging="794"/>
        <w:jc w:val="left"/>
        <w:rPr>
          <w:sz w:val="21"/>
        </w:rPr>
      </w:pPr>
      <w:r>
        <w:rPr>
          <w:w w:val="105"/>
          <w:sz w:val="21"/>
        </w:rPr>
        <w:t>Although tree </w:t>
      </w:r>
      <w:r>
        <w:rPr>
          <w:spacing w:val="-3"/>
          <w:w w:val="105"/>
          <w:sz w:val="21"/>
        </w:rPr>
        <w:t>disputes are common, few </w:t>
      </w:r>
      <w:r>
        <w:rPr>
          <w:w w:val="105"/>
          <w:sz w:val="21"/>
        </w:rPr>
        <w:t>of them go </w:t>
      </w:r>
      <w:r>
        <w:rPr>
          <w:spacing w:val="-3"/>
          <w:w w:val="105"/>
          <w:sz w:val="21"/>
        </w:rPr>
        <w:t>to </w:t>
      </w:r>
      <w:r>
        <w:rPr>
          <w:w w:val="105"/>
          <w:sz w:val="21"/>
        </w:rPr>
        <w:t>court or </w:t>
      </w:r>
      <w:r>
        <w:rPr>
          <w:spacing w:val="-3"/>
          <w:w w:val="105"/>
          <w:sz w:val="21"/>
        </w:rPr>
        <w:t>are </w:t>
      </w:r>
      <w:r>
        <w:rPr>
          <w:w w:val="105"/>
          <w:sz w:val="21"/>
        </w:rPr>
        <w:t>resolved with legal assistance because legal action is expensive and </w:t>
      </w:r>
      <w:r>
        <w:rPr>
          <w:spacing w:val="-3"/>
          <w:w w:val="105"/>
          <w:sz w:val="21"/>
        </w:rPr>
        <w:t>outcomes are </w:t>
      </w:r>
      <w:r>
        <w:rPr>
          <w:w w:val="105"/>
          <w:sz w:val="21"/>
        </w:rPr>
        <w:t>uncertain. People often contact</w:t>
      </w:r>
      <w:r>
        <w:rPr>
          <w:spacing w:val="-9"/>
          <w:w w:val="105"/>
          <w:sz w:val="21"/>
        </w:rPr>
        <w:t> </w:t>
      </w:r>
      <w:r>
        <w:rPr>
          <w:spacing w:val="-3"/>
          <w:w w:val="105"/>
          <w:sz w:val="21"/>
        </w:rPr>
        <w:t>multiple</w:t>
      </w:r>
      <w:r>
        <w:rPr>
          <w:spacing w:val="-8"/>
          <w:w w:val="105"/>
          <w:sz w:val="21"/>
        </w:rPr>
        <w:t> </w:t>
      </w:r>
      <w:r>
        <w:rPr>
          <w:w w:val="105"/>
          <w:sz w:val="21"/>
        </w:rPr>
        <w:t>agencies</w:t>
      </w:r>
      <w:r>
        <w:rPr>
          <w:spacing w:val="-8"/>
          <w:w w:val="105"/>
          <w:sz w:val="21"/>
        </w:rPr>
        <w:t> </w:t>
      </w:r>
      <w:r>
        <w:rPr>
          <w:spacing w:val="-3"/>
          <w:w w:val="105"/>
          <w:sz w:val="21"/>
        </w:rPr>
        <w:t>for</w:t>
      </w:r>
      <w:r>
        <w:rPr>
          <w:spacing w:val="-8"/>
          <w:w w:val="105"/>
          <w:sz w:val="21"/>
        </w:rPr>
        <w:t> </w:t>
      </w:r>
      <w:r>
        <w:rPr>
          <w:w w:val="105"/>
          <w:sz w:val="21"/>
        </w:rPr>
        <w:t>assistance</w:t>
      </w:r>
      <w:r>
        <w:rPr>
          <w:spacing w:val="-9"/>
          <w:w w:val="105"/>
          <w:sz w:val="21"/>
        </w:rPr>
        <w:t> </w:t>
      </w:r>
      <w:r>
        <w:rPr>
          <w:w w:val="105"/>
          <w:sz w:val="21"/>
        </w:rPr>
        <w:t>and</w:t>
      </w:r>
      <w:r>
        <w:rPr>
          <w:spacing w:val="-8"/>
          <w:w w:val="105"/>
          <w:sz w:val="21"/>
        </w:rPr>
        <w:t> </w:t>
      </w:r>
      <w:r>
        <w:rPr>
          <w:spacing w:val="-3"/>
          <w:w w:val="105"/>
          <w:sz w:val="21"/>
        </w:rPr>
        <w:t>are</w:t>
      </w:r>
      <w:r>
        <w:rPr>
          <w:spacing w:val="-8"/>
          <w:w w:val="105"/>
          <w:sz w:val="21"/>
        </w:rPr>
        <w:t> </w:t>
      </w:r>
      <w:r>
        <w:rPr>
          <w:spacing w:val="-3"/>
          <w:w w:val="105"/>
          <w:sz w:val="21"/>
        </w:rPr>
        <w:t>frustrated</w:t>
      </w:r>
      <w:r>
        <w:rPr>
          <w:spacing w:val="-8"/>
          <w:w w:val="105"/>
          <w:sz w:val="21"/>
        </w:rPr>
        <w:t> </w:t>
      </w:r>
      <w:r>
        <w:rPr>
          <w:w w:val="105"/>
          <w:sz w:val="21"/>
        </w:rPr>
        <w:t>when</w:t>
      </w:r>
      <w:r>
        <w:rPr>
          <w:spacing w:val="-9"/>
          <w:w w:val="105"/>
          <w:sz w:val="21"/>
        </w:rPr>
        <w:t> </w:t>
      </w:r>
      <w:r>
        <w:rPr>
          <w:w w:val="105"/>
          <w:sz w:val="21"/>
        </w:rPr>
        <w:t>they</w:t>
      </w:r>
      <w:r>
        <w:rPr>
          <w:spacing w:val="-8"/>
          <w:w w:val="105"/>
          <w:sz w:val="21"/>
        </w:rPr>
        <w:t> </w:t>
      </w:r>
      <w:r>
        <w:rPr>
          <w:spacing w:val="-3"/>
          <w:w w:val="105"/>
          <w:sz w:val="21"/>
        </w:rPr>
        <w:t>cannot</w:t>
      </w:r>
      <w:r>
        <w:rPr>
          <w:spacing w:val="-8"/>
          <w:w w:val="105"/>
          <w:sz w:val="21"/>
        </w:rPr>
        <w:t> </w:t>
      </w:r>
      <w:r>
        <w:rPr>
          <w:w w:val="105"/>
          <w:sz w:val="21"/>
        </w:rPr>
        <w:t>obtain</w:t>
      </w:r>
      <w:r>
        <w:rPr>
          <w:spacing w:val="-8"/>
          <w:w w:val="105"/>
          <w:sz w:val="21"/>
        </w:rPr>
        <w:t> </w:t>
      </w:r>
      <w:r>
        <w:rPr>
          <w:spacing w:val="-3"/>
          <w:w w:val="105"/>
          <w:sz w:val="21"/>
        </w:rPr>
        <w:t>clear </w:t>
      </w:r>
      <w:r>
        <w:rPr>
          <w:w w:val="105"/>
          <w:sz w:val="21"/>
        </w:rPr>
        <w:t>advice</w:t>
      </w:r>
      <w:r>
        <w:rPr>
          <w:spacing w:val="-6"/>
          <w:w w:val="105"/>
          <w:sz w:val="21"/>
        </w:rPr>
        <w:t> </w:t>
      </w:r>
      <w:r>
        <w:rPr>
          <w:w w:val="105"/>
          <w:sz w:val="21"/>
        </w:rPr>
        <w:t>about</w:t>
      </w:r>
      <w:r>
        <w:rPr>
          <w:spacing w:val="-5"/>
          <w:w w:val="105"/>
          <w:sz w:val="21"/>
        </w:rPr>
        <w:t> </w:t>
      </w:r>
      <w:r>
        <w:rPr>
          <w:w w:val="105"/>
          <w:sz w:val="21"/>
        </w:rPr>
        <w:t>what</w:t>
      </w:r>
      <w:r>
        <w:rPr>
          <w:spacing w:val="-6"/>
          <w:w w:val="105"/>
          <w:sz w:val="21"/>
        </w:rPr>
        <w:t> </w:t>
      </w:r>
      <w:r>
        <w:rPr>
          <w:w w:val="105"/>
          <w:sz w:val="21"/>
        </w:rPr>
        <w:t>they</w:t>
      </w:r>
      <w:r>
        <w:rPr>
          <w:spacing w:val="-5"/>
          <w:w w:val="105"/>
          <w:sz w:val="21"/>
        </w:rPr>
        <w:t> </w:t>
      </w:r>
      <w:r>
        <w:rPr>
          <w:w w:val="105"/>
          <w:sz w:val="21"/>
        </w:rPr>
        <w:t>can</w:t>
      </w:r>
      <w:r>
        <w:rPr>
          <w:spacing w:val="-6"/>
          <w:w w:val="105"/>
          <w:sz w:val="21"/>
        </w:rPr>
        <w:t> </w:t>
      </w:r>
      <w:r>
        <w:rPr>
          <w:w w:val="105"/>
          <w:sz w:val="21"/>
        </w:rPr>
        <w:t>or</w:t>
      </w:r>
      <w:r>
        <w:rPr>
          <w:spacing w:val="-5"/>
          <w:w w:val="105"/>
          <w:sz w:val="21"/>
        </w:rPr>
        <w:t> </w:t>
      </w:r>
      <w:r>
        <w:rPr>
          <w:spacing w:val="-3"/>
          <w:w w:val="105"/>
          <w:sz w:val="21"/>
        </w:rPr>
        <w:t>cannot</w:t>
      </w:r>
      <w:r>
        <w:rPr>
          <w:spacing w:val="-5"/>
          <w:w w:val="105"/>
          <w:sz w:val="21"/>
        </w:rPr>
        <w:t> </w:t>
      </w:r>
      <w:r>
        <w:rPr>
          <w:w w:val="105"/>
          <w:sz w:val="21"/>
        </w:rPr>
        <w:t>do</w:t>
      </w:r>
      <w:r>
        <w:rPr>
          <w:spacing w:val="-6"/>
          <w:w w:val="105"/>
          <w:sz w:val="21"/>
        </w:rPr>
        <w:t> </w:t>
      </w:r>
      <w:r>
        <w:rPr>
          <w:spacing w:val="-3"/>
          <w:w w:val="105"/>
          <w:sz w:val="21"/>
        </w:rPr>
        <w:t>to</w:t>
      </w:r>
      <w:r>
        <w:rPr>
          <w:spacing w:val="-5"/>
          <w:w w:val="105"/>
          <w:sz w:val="21"/>
        </w:rPr>
        <w:t> </w:t>
      </w:r>
      <w:r>
        <w:rPr>
          <w:w w:val="105"/>
          <w:sz w:val="21"/>
        </w:rPr>
        <w:t>resolve</w:t>
      </w:r>
      <w:r>
        <w:rPr>
          <w:spacing w:val="-6"/>
          <w:w w:val="105"/>
          <w:sz w:val="21"/>
        </w:rPr>
        <w:t> </w:t>
      </w:r>
      <w:r>
        <w:rPr>
          <w:w w:val="105"/>
          <w:sz w:val="21"/>
        </w:rPr>
        <w:t>their</w:t>
      </w:r>
      <w:r>
        <w:rPr>
          <w:spacing w:val="-5"/>
          <w:w w:val="105"/>
          <w:sz w:val="21"/>
        </w:rPr>
        <w:t> </w:t>
      </w:r>
      <w:r>
        <w:rPr>
          <w:spacing w:val="-3"/>
          <w:w w:val="105"/>
          <w:sz w:val="21"/>
        </w:rPr>
        <w:t>dispute.</w:t>
      </w:r>
      <w:r>
        <w:rPr>
          <w:spacing w:val="-5"/>
          <w:w w:val="105"/>
          <w:sz w:val="21"/>
        </w:rPr>
        <w:t> </w:t>
      </w:r>
      <w:r>
        <w:rPr>
          <w:w w:val="105"/>
          <w:sz w:val="21"/>
        </w:rPr>
        <w:t>As</w:t>
      </w:r>
      <w:r>
        <w:rPr>
          <w:spacing w:val="-6"/>
          <w:w w:val="105"/>
          <w:sz w:val="21"/>
        </w:rPr>
        <w:t> </w:t>
      </w:r>
      <w:r>
        <w:rPr>
          <w:w w:val="105"/>
          <w:sz w:val="21"/>
        </w:rPr>
        <w:t>a</w:t>
      </w:r>
      <w:r>
        <w:rPr>
          <w:spacing w:val="-5"/>
          <w:w w:val="105"/>
          <w:sz w:val="21"/>
        </w:rPr>
        <w:t> </w:t>
      </w:r>
      <w:r>
        <w:rPr>
          <w:spacing w:val="-3"/>
          <w:w w:val="105"/>
          <w:sz w:val="21"/>
        </w:rPr>
        <w:t>consequence,</w:t>
      </w:r>
      <w:r>
        <w:rPr>
          <w:spacing w:val="-6"/>
          <w:w w:val="105"/>
          <w:sz w:val="21"/>
        </w:rPr>
        <w:t> </w:t>
      </w:r>
      <w:r>
        <w:rPr>
          <w:w w:val="105"/>
          <w:sz w:val="21"/>
        </w:rPr>
        <w:t>tree </w:t>
      </w:r>
      <w:r>
        <w:rPr>
          <w:spacing w:val="-3"/>
          <w:w w:val="105"/>
          <w:sz w:val="21"/>
        </w:rPr>
        <w:t>disputes</w:t>
      </w:r>
      <w:r>
        <w:rPr>
          <w:spacing w:val="-10"/>
          <w:w w:val="105"/>
          <w:sz w:val="21"/>
        </w:rPr>
        <w:t> </w:t>
      </w:r>
      <w:r>
        <w:rPr>
          <w:spacing w:val="-3"/>
          <w:w w:val="105"/>
          <w:sz w:val="21"/>
        </w:rPr>
        <w:t>may</w:t>
      </w:r>
      <w:r>
        <w:rPr>
          <w:spacing w:val="-10"/>
          <w:w w:val="105"/>
          <w:sz w:val="21"/>
        </w:rPr>
        <w:t> </w:t>
      </w:r>
      <w:r>
        <w:rPr>
          <w:spacing w:val="-3"/>
          <w:w w:val="105"/>
          <w:sz w:val="21"/>
        </w:rPr>
        <w:t>remain</w:t>
      </w:r>
      <w:r>
        <w:rPr>
          <w:spacing w:val="-9"/>
          <w:w w:val="105"/>
          <w:sz w:val="21"/>
        </w:rPr>
        <w:t> </w:t>
      </w:r>
      <w:r>
        <w:rPr>
          <w:spacing w:val="-3"/>
          <w:w w:val="105"/>
          <w:sz w:val="21"/>
        </w:rPr>
        <w:t>unresolved.</w:t>
      </w:r>
      <w:r>
        <w:rPr>
          <w:spacing w:val="-10"/>
          <w:w w:val="105"/>
          <w:sz w:val="21"/>
        </w:rPr>
        <w:t> </w:t>
      </w:r>
      <w:r>
        <w:rPr>
          <w:w w:val="105"/>
          <w:sz w:val="21"/>
        </w:rPr>
        <w:t>This</w:t>
      </w:r>
      <w:r>
        <w:rPr>
          <w:spacing w:val="-9"/>
          <w:w w:val="105"/>
          <w:sz w:val="21"/>
        </w:rPr>
        <w:t> </w:t>
      </w:r>
      <w:r>
        <w:rPr>
          <w:w w:val="105"/>
          <w:sz w:val="21"/>
        </w:rPr>
        <w:t>is</w:t>
      </w:r>
      <w:r>
        <w:rPr>
          <w:spacing w:val="-10"/>
          <w:w w:val="105"/>
          <w:sz w:val="21"/>
        </w:rPr>
        <w:t> </w:t>
      </w:r>
      <w:r>
        <w:rPr>
          <w:spacing w:val="-3"/>
          <w:w w:val="105"/>
          <w:sz w:val="21"/>
        </w:rPr>
        <w:t>problematic</w:t>
      </w:r>
      <w:r>
        <w:rPr>
          <w:spacing w:val="-10"/>
          <w:w w:val="105"/>
          <w:sz w:val="21"/>
        </w:rPr>
        <w:t> </w:t>
      </w:r>
      <w:r>
        <w:rPr>
          <w:w w:val="105"/>
          <w:sz w:val="21"/>
        </w:rPr>
        <w:t>because</w:t>
      </w:r>
      <w:r>
        <w:rPr>
          <w:spacing w:val="-9"/>
          <w:w w:val="105"/>
          <w:sz w:val="21"/>
        </w:rPr>
        <w:t> </w:t>
      </w:r>
      <w:r>
        <w:rPr>
          <w:spacing w:val="-3"/>
          <w:w w:val="105"/>
          <w:sz w:val="21"/>
        </w:rPr>
        <w:t>quick</w:t>
      </w:r>
      <w:r>
        <w:rPr>
          <w:spacing w:val="-10"/>
          <w:w w:val="105"/>
          <w:sz w:val="21"/>
        </w:rPr>
        <w:t> </w:t>
      </w:r>
      <w:r>
        <w:rPr>
          <w:w w:val="105"/>
          <w:sz w:val="21"/>
        </w:rPr>
        <w:t>resolution</w:t>
      </w:r>
      <w:r>
        <w:rPr>
          <w:spacing w:val="-9"/>
          <w:w w:val="105"/>
          <w:sz w:val="21"/>
        </w:rPr>
        <w:t> </w:t>
      </w:r>
      <w:r>
        <w:rPr>
          <w:w w:val="105"/>
          <w:sz w:val="21"/>
        </w:rPr>
        <w:t>is</w:t>
      </w:r>
      <w:r>
        <w:rPr>
          <w:spacing w:val="-10"/>
          <w:w w:val="105"/>
          <w:sz w:val="21"/>
        </w:rPr>
        <w:t> </w:t>
      </w:r>
      <w:r>
        <w:rPr>
          <w:spacing w:val="-3"/>
          <w:w w:val="105"/>
          <w:sz w:val="21"/>
        </w:rPr>
        <w:t>desirable.</w:t>
      </w:r>
    </w:p>
    <w:p>
      <w:pPr>
        <w:pStyle w:val="BodyText"/>
        <w:spacing w:line="242" w:lineRule="auto" w:before="5"/>
        <w:ind w:left="2381" w:right="1933"/>
      </w:pPr>
      <w:r>
        <w:rPr>
          <w:spacing w:val="-5"/>
        </w:rPr>
        <w:t>Tree </w:t>
      </w:r>
      <w:r>
        <w:rPr>
          <w:spacing w:val="-3"/>
        </w:rPr>
        <w:t>disputes  </w:t>
      </w:r>
      <w:r>
        <w:rPr/>
        <w:t>give rise </w:t>
      </w:r>
      <w:r>
        <w:rPr>
          <w:spacing w:val="-3"/>
        </w:rPr>
        <w:t>to</w:t>
      </w:r>
      <w:r>
        <w:rPr>
          <w:spacing w:val="41"/>
        </w:rPr>
        <w:t> </w:t>
      </w:r>
      <w:r>
        <w:rPr/>
        <w:t>impassioned responses because they can be seen </w:t>
      </w:r>
      <w:r>
        <w:rPr>
          <w:spacing w:val="-3"/>
        </w:rPr>
        <w:t>to  challenge  </w:t>
      </w:r>
      <w:r>
        <w:rPr/>
        <w:t>a </w:t>
      </w:r>
      <w:r>
        <w:rPr>
          <w:spacing w:val="-3"/>
        </w:rPr>
        <w:t>person’s  </w:t>
      </w:r>
      <w:r>
        <w:rPr/>
        <w:t>ownership and </w:t>
      </w:r>
      <w:r>
        <w:rPr>
          <w:spacing w:val="-2"/>
        </w:rPr>
        <w:t>enjoyment </w:t>
      </w:r>
      <w:r>
        <w:rPr/>
        <w:t>of their </w:t>
      </w:r>
      <w:r>
        <w:rPr>
          <w:spacing w:val="-3"/>
        </w:rPr>
        <w:t>land.</w:t>
      </w:r>
      <w:r>
        <w:rPr>
          <w:spacing w:val="41"/>
        </w:rPr>
        <w:t> </w:t>
      </w:r>
      <w:r>
        <w:rPr/>
        <w:t>They can cause </w:t>
      </w:r>
      <w:r>
        <w:rPr>
          <w:spacing w:val="-3"/>
        </w:rPr>
        <w:t>significant  </w:t>
      </w:r>
      <w:r>
        <w:rPr/>
        <w:t>distress  and lead </w:t>
      </w:r>
      <w:r>
        <w:rPr>
          <w:spacing w:val="-3"/>
        </w:rPr>
        <w:t>to </w:t>
      </w:r>
      <w:r>
        <w:rPr/>
        <w:t>or amplify poor </w:t>
      </w:r>
      <w:r>
        <w:rPr>
          <w:spacing w:val="-3"/>
        </w:rPr>
        <w:t>relations </w:t>
      </w:r>
      <w:r>
        <w:rPr/>
        <w:t>between neighbours. Sometimes they escalate </w:t>
      </w:r>
      <w:r>
        <w:rPr>
          <w:spacing w:val="-3"/>
        </w:rPr>
        <w:t>to </w:t>
      </w:r>
      <w:r>
        <w:rPr/>
        <w:t>trespass, </w:t>
      </w:r>
      <w:r>
        <w:rPr>
          <w:spacing w:val="-3"/>
        </w:rPr>
        <w:t>criminal </w:t>
      </w:r>
      <w:r>
        <w:rPr/>
        <w:t>damage or other </w:t>
      </w:r>
      <w:r>
        <w:rPr>
          <w:spacing w:val="-3"/>
        </w:rPr>
        <w:t>criminal</w:t>
      </w:r>
      <w:r>
        <w:rPr>
          <w:spacing w:val="15"/>
        </w:rPr>
        <w:t> </w:t>
      </w:r>
      <w:r>
        <w:rPr>
          <w:spacing w:val="-4"/>
        </w:rPr>
        <w:t>behaviour.</w:t>
      </w:r>
    </w:p>
    <w:p>
      <w:pPr>
        <w:pStyle w:val="ListParagraph"/>
        <w:numPr>
          <w:ilvl w:val="0"/>
          <w:numId w:val="3"/>
        </w:numPr>
        <w:tabs>
          <w:tab w:pos="2381" w:val="left" w:leader="none"/>
          <w:tab w:pos="2382" w:val="left" w:leader="none"/>
        </w:tabs>
        <w:spacing w:line="242" w:lineRule="auto" w:before="124" w:after="0"/>
        <w:ind w:left="2381" w:right="1651" w:hanging="794"/>
        <w:jc w:val="left"/>
        <w:rPr>
          <w:sz w:val="21"/>
        </w:rPr>
      </w:pPr>
      <w:r>
        <w:rPr>
          <w:w w:val="105"/>
          <w:sz w:val="21"/>
        </w:rPr>
        <w:t>While these </w:t>
      </w:r>
      <w:r>
        <w:rPr>
          <w:spacing w:val="-3"/>
          <w:w w:val="105"/>
          <w:sz w:val="21"/>
        </w:rPr>
        <w:t>disputes may </w:t>
      </w:r>
      <w:r>
        <w:rPr>
          <w:w w:val="105"/>
          <w:sz w:val="21"/>
        </w:rPr>
        <w:t>appear </w:t>
      </w:r>
      <w:r>
        <w:rPr>
          <w:spacing w:val="-3"/>
          <w:w w:val="105"/>
          <w:sz w:val="21"/>
        </w:rPr>
        <w:t>straightforward, </w:t>
      </w:r>
      <w:r>
        <w:rPr>
          <w:w w:val="105"/>
          <w:sz w:val="21"/>
        </w:rPr>
        <w:t>they </w:t>
      </w:r>
      <w:r>
        <w:rPr>
          <w:spacing w:val="-3"/>
          <w:w w:val="105"/>
          <w:sz w:val="21"/>
        </w:rPr>
        <w:t>are </w:t>
      </w:r>
      <w:r>
        <w:rPr>
          <w:w w:val="105"/>
          <w:sz w:val="21"/>
        </w:rPr>
        <w:t>often complex. They </w:t>
      </w:r>
      <w:r>
        <w:rPr>
          <w:spacing w:val="-3"/>
          <w:w w:val="105"/>
          <w:sz w:val="21"/>
        </w:rPr>
        <w:t>have </w:t>
      </w:r>
      <w:r>
        <w:rPr>
          <w:w w:val="105"/>
          <w:sz w:val="21"/>
        </w:rPr>
        <w:t>an </w:t>
      </w:r>
      <w:r>
        <w:rPr>
          <w:spacing w:val="-3"/>
          <w:w w:val="105"/>
          <w:sz w:val="21"/>
        </w:rPr>
        <w:t>emotional dimension </w:t>
      </w:r>
      <w:r>
        <w:rPr>
          <w:w w:val="105"/>
          <w:sz w:val="21"/>
        </w:rPr>
        <w:t>and a </w:t>
      </w:r>
      <w:r>
        <w:rPr>
          <w:spacing w:val="-3"/>
          <w:w w:val="105"/>
          <w:sz w:val="21"/>
        </w:rPr>
        <w:t>range </w:t>
      </w:r>
      <w:r>
        <w:rPr>
          <w:w w:val="105"/>
          <w:sz w:val="21"/>
        </w:rPr>
        <w:t>of factors </w:t>
      </w:r>
      <w:r>
        <w:rPr>
          <w:spacing w:val="-3"/>
          <w:w w:val="105"/>
          <w:sz w:val="21"/>
        </w:rPr>
        <w:t>prevent </w:t>
      </w:r>
      <w:r>
        <w:rPr>
          <w:w w:val="105"/>
          <w:sz w:val="21"/>
        </w:rPr>
        <w:t>them </w:t>
      </w:r>
      <w:r>
        <w:rPr>
          <w:spacing w:val="-3"/>
          <w:w w:val="105"/>
          <w:sz w:val="21"/>
        </w:rPr>
        <w:t>from </w:t>
      </w:r>
      <w:r>
        <w:rPr>
          <w:w w:val="105"/>
          <w:sz w:val="21"/>
        </w:rPr>
        <w:t>being resolved,</w:t>
      </w:r>
      <w:r>
        <w:rPr>
          <w:spacing w:val="-25"/>
          <w:w w:val="105"/>
          <w:sz w:val="21"/>
        </w:rPr>
        <w:t> </w:t>
      </w:r>
      <w:r>
        <w:rPr>
          <w:spacing w:val="-3"/>
          <w:w w:val="105"/>
          <w:sz w:val="21"/>
        </w:rPr>
        <w:t>including:</w:t>
      </w:r>
    </w:p>
    <w:p>
      <w:pPr>
        <w:pStyle w:val="ListParagraph"/>
        <w:numPr>
          <w:ilvl w:val="1"/>
          <w:numId w:val="3"/>
        </w:numPr>
        <w:tabs>
          <w:tab w:pos="2721" w:val="left" w:leader="none"/>
          <w:tab w:pos="2722" w:val="left" w:leader="none"/>
        </w:tabs>
        <w:spacing w:line="240" w:lineRule="auto" w:before="123" w:after="0"/>
        <w:ind w:left="2721" w:right="0" w:hanging="340"/>
        <w:jc w:val="left"/>
        <w:rPr>
          <w:sz w:val="21"/>
        </w:rPr>
      </w:pPr>
      <w:r>
        <w:rPr>
          <w:spacing w:val="-3"/>
          <w:sz w:val="21"/>
        </w:rPr>
        <w:t>different </w:t>
      </w:r>
      <w:r>
        <w:rPr>
          <w:sz w:val="21"/>
        </w:rPr>
        <w:t>expectations about </w:t>
      </w:r>
      <w:r>
        <w:rPr>
          <w:spacing w:val="-3"/>
          <w:sz w:val="21"/>
        </w:rPr>
        <w:t>living </w:t>
      </w:r>
      <w:r>
        <w:rPr>
          <w:sz w:val="21"/>
        </w:rPr>
        <w:t>near</w:t>
      </w:r>
      <w:r>
        <w:rPr>
          <w:spacing w:val="2"/>
          <w:sz w:val="21"/>
        </w:rPr>
        <w:t> </w:t>
      </w:r>
      <w:r>
        <w:rPr>
          <w:sz w:val="21"/>
        </w:rPr>
        <w:t>trees</w:t>
      </w:r>
    </w:p>
    <w:p>
      <w:pPr>
        <w:pStyle w:val="ListParagraph"/>
        <w:numPr>
          <w:ilvl w:val="1"/>
          <w:numId w:val="3"/>
        </w:numPr>
        <w:tabs>
          <w:tab w:pos="2721" w:val="left" w:leader="none"/>
          <w:tab w:pos="2722" w:val="left" w:leader="none"/>
        </w:tabs>
        <w:spacing w:line="240" w:lineRule="auto" w:before="88" w:after="0"/>
        <w:ind w:left="2721" w:right="0" w:hanging="340"/>
        <w:jc w:val="left"/>
        <w:rPr>
          <w:sz w:val="21"/>
        </w:rPr>
      </w:pPr>
      <w:r>
        <w:rPr>
          <w:w w:val="105"/>
          <w:sz w:val="21"/>
        </w:rPr>
        <w:t>the </w:t>
      </w:r>
      <w:r>
        <w:rPr>
          <w:spacing w:val="-3"/>
          <w:w w:val="105"/>
          <w:sz w:val="21"/>
        </w:rPr>
        <w:t>breakdown </w:t>
      </w:r>
      <w:r>
        <w:rPr>
          <w:w w:val="105"/>
          <w:sz w:val="21"/>
        </w:rPr>
        <w:t>in </w:t>
      </w:r>
      <w:r>
        <w:rPr>
          <w:spacing w:val="-3"/>
          <w:w w:val="105"/>
          <w:sz w:val="21"/>
        </w:rPr>
        <w:t>communication </w:t>
      </w:r>
      <w:r>
        <w:rPr>
          <w:w w:val="105"/>
          <w:sz w:val="21"/>
        </w:rPr>
        <w:t>between</w:t>
      </w:r>
      <w:r>
        <w:rPr>
          <w:spacing w:val="31"/>
          <w:w w:val="105"/>
          <w:sz w:val="21"/>
        </w:rPr>
        <w:t> </w:t>
      </w:r>
      <w:r>
        <w:rPr>
          <w:w w:val="105"/>
          <w:sz w:val="21"/>
        </w:rPr>
        <w:t>neighbours</w:t>
      </w:r>
    </w:p>
    <w:p>
      <w:pPr>
        <w:pStyle w:val="ListParagraph"/>
        <w:numPr>
          <w:ilvl w:val="1"/>
          <w:numId w:val="3"/>
        </w:numPr>
        <w:tabs>
          <w:tab w:pos="2721" w:val="left" w:leader="none"/>
          <w:tab w:pos="2722" w:val="left" w:leader="none"/>
        </w:tabs>
        <w:spacing w:line="240" w:lineRule="auto" w:before="89" w:after="0"/>
        <w:ind w:left="2721" w:right="0" w:hanging="340"/>
        <w:jc w:val="left"/>
        <w:rPr>
          <w:sz w:val="21"/>
        </w:rPr>
      </w:pPr>
      <w:r>
        <w:rPr>
          <w:w w:val="105"/>
          <w:sz w:val="21"/>
        </w:rPr>
        <w:t>incorrect </w:t>
      </w:r>
      <w:r>
        <w:rPr>
          <w:spacing w:val="-3"/>
          <w:w w:val="105"/>
          <w:sz w:val="21"/>
        </w:rPr>
        <w:t>assumptions </w:t>
      </w:r>
      <w:r>
        <w:rPr>
          <w:w w:val="105"/>
          <w:sz w:val="21"/>
        </w:rPr>
        <w:t>about the causes of</w:t>
      </w:r>
      <w:r>
        <w:rPr>
          <w:spacing w:val="29"/>
          <w:w w:val="105"/>
          <w:sz w:val="21"/>
        </w:rPr>
        <w:t> </w:t>
      </w:r>
      <w:r>
        <w:rPr>
          <w:spacing w:val="-2"/>
          <w:w w:val="105"/>
          <w:sz w:val="21"/>
        </w:rPr>
        <w:t>problems</w:t>
      </w:r>
    </w:p>
    <w:p>
      <w:pPr>
        <w:pStyle w:val="ListParagraph"/>
        <w:numPr>
          <w:ilvl w:val="1"/>
          <w:numId w:val="3"/>
        </w:numPr>
        <w:tabs>
          <w:tab w:pos="2721" w:val="left" w:leader="none"/>
          <w:tab w:pos="2722" w:val="left" w:leader="none"/>
        </w:tabs>
        <w:spacing w:line="240" w:lineRule="auto" w:before="89" w:after="0"/>
        <w:ind w:left="2721" w:right="0" w:hanging="340"/>
        <w:jc w:val="left"/>
        <w:rPr>
          <w:sz w:val="21"/>
        </w:rPr>
      </w:pPr>
      <w:r>
        <w:rPr>
          <w:sz w:val="21"/>
        </w:rPr>
        <w:t>difficulties </w:t>
      </w:r>
      <w:r>
        <w:rPr>
          <w:spacing w:val="-3"/>
          <w:sz w:val="21"/>
        </w:rPr>
        <w:t>obtaining </w:t>
      </w:r>
      <w:r>
        <w:rPr>
          <w:sz w:val="21"/>
        </w:rPr>
        <w:t>timely </w:t>
      </w:r>
      <w:r>
        <w:rPr>
          <w:spacing w:val="-3"/>
          <w:sz w:val="21"/>
        </w:rPr>
        <w:t>arboricultural</w:t>
      </w:r>
      <w:r>
        <w:rPr>
          <w:spacing w:val="38"/>
          <w:sz w:val="21"/>
        </w:rPr>
        <w:t> </w:t>
      </w:r>
      <w:r>
        <w:rPr>
          <w:sz w:val="21"/>
        </w:rPr>
        <w:t>advice</w:t>
      </w:r>
    </w:p>
    <w:p>
      <w:pPr>
        <w:pStyle w:val="ListParagraph"/>
        <w:numPr>
          <w:ilvl w:val="1"/>
          <w:numId w:val="3"/>
        </w:numPr>
        <w:tabs>
          <w:tab w:pos="2721" w:val="left" w:leader="none"/>
          <w:tab w:pos="2722" w:val="left" w:leader="none"/>
        </w:tabs>
        <w:spacing w:line="240" w:lineRule="auto" w:before="88" w:after="0"/>
        <w:ind w:left="2721" w:right="0" w:hanging="340"/>
        <w:jc w:val="left"/>
        <w:rPr>
          <w:sz w:val="21"/>
        </w:rPr>
      </w:pPr>
      <w:r>
        <w:rPr>
          <w:w w:val="105"/>
          <w:sz w:val="21"/>
        </w:rPr>
        <w:t>a lack of knowledge about how trees </w:t>
      </w:r>
      <w:r>
        <w:rPr>
          <w:spacing w:val="-3"/>
          <w:w w:val="105"/>
          <w:sz w:val="21"/>
        </w:rPr>
        <w:t>grow </w:t>
      </w:r>
      <w:r>
        <w:rPr>
          <w:w w:val="105"/>
          <w:sz w:val="21"/>
        </w:rPr>
        <w:t>and </w:t>
      </w:r>
      <w:r>
        <w:rPr>
          <w:spacing w:val="-3"/>
          <w:w w:val="105"/>
          <w:sz w:val="21"/>
        </w:rPr>
        <w:t>interact </w:t>
      </w:r>
      <w:r>
        <w:rPr>
          <w:w w:val="105"/>
          <w:sz w:val="21"/>
        </w:rPr>
        <w:t>with </w:t>
      </w:r>
      <w:r>
        <w:rPr>
          <w:spacing w:val="-3"/>
          <w:w w:val="105"/>
          <w:sz w:val="21"/>
        </w:rPr>
        <w:t>built</w:t>
      </w:r>
      <w:r>
        <w:rPr>
          <w:w w:val="105"/>
          <w:sz w:val="21"/>
        </w:rPr>
        <w:t> structures.</w:t>
      </w:r>
    </w:p>
    <w:p>
      <w:pPr>
        <w:pStyle w:val="ListParagraph"/>
        <w:numPr>
          <w:ilvl w:val="0"/>
          <w:numId w:val="3"/>
        </w:numPr>
        <w:tabs>
          <w:tab w:pos="2381" w:val="left" w:leader="none"/>
          <w:tab w:pos="2382" w:val="left" w:leader="none"/>
        </w:tabs>
        <w:spacing w:line="242" w:lineRule="auto" w:before="89" w:after="0"/>
        <w:ind w:left="2381" w:right="2394" w:hanging="794"/>
        <w:jc w:val="left"/>
        <w:rPr>
          <w:sz w:val="21"/>
        </w:rPr>
      </w:pPr>
      <w:r>
        <w:rPr>
          <w:spacing w:val="-5"/>
          <w:w w:val="105"/>
          <w:sz w:val="21"/>
        </w:rPr>
        <w:t>Tree </w:t>
      </w:r>
      <w:r>
        <w:rPr>
          <w:spacing w:val="-3"/>
          <w:w w:val="105"/>
          <w:sz w:val="21"/>
        </w:rPr>
        <w:t>disputes may have </w:t>
      </w:r>
      <w:r>
        <w:rPr>
          <w:w w:val="105"/>
          <w:sz w:val="21"/>
        </w:rPr>
        <w:t>a </w:t>
      </w:r>
      <w:r>
        <w:rPr>
          <w:spacing w:val="-3"/>
          <w:w w:val="105"/>
          <w:sz w:val="21"/>
        </w:rPr>
        <w:t>greater </w:t>
      </w:r>
      <w:r>
        <w:rPr>
          <w:w w:val="105"/>
          <w:sz w:val="21"/>
        </w:rPr>
        <w:t>impact on people who </w:t>
      </w:r>
      <w:r>
        <w:rPr>
          <w:spacing w:val="-3"/>
          <w:w w:val="105"/>
          <w:sz w:val="21"/>
        </w:rPr>
        <w:t>face </w:t>
      </w:r>
      <w:r>
        <w:rPr>
          <w:w w:val="105"/>
          <w:sz w:val="21"/>
        </w:rPr>
        <w:t>physical or </w:t>
      </w:r>
      <w:r>
        <w:rPr>
          <w:spacing w:val="-3"/>
          <w:w w:val="105"/>
          <w:sz w:val="21"/>
        </w:rPr>
        <w:t>financial </w:t>
      </w:r>
      <w:r>
        <w:rPr>
          <w:w w:val="105"/>
          <w:sz w:val="21"/>
        </w:rPr>
        <w:t>difficulties carrying out tree works, </w:t>
      </w:r>
      <w:r>
        <w:rPr>
          <w:spacing w:val="-3"/>
          <w:w w:val="105"/>
          <w:sz w:val="21"/>
        </w:rPr>
        <w:t>maintaining </w:t>
      </w:r>
      <w:r>
        <w:rPr>
          <w:w w:val="105"/>
          <w:sz w:val="21"/>
        </w:rPr>
        <w:t>vegetation or </w:t>
      </w:r>
      <w:r>
        <w:rPr>
          <w:spacing w:val="-3"/>
          <w:w w:val="105"/>
          <w:sz w:val="21"/>
        </w:rPr>
        <w:t>negotiating </w:t>
      </w:r>
      <w:r>
        <w:rPr>
          <w:w w:val="105"/>
          <w:sz w:val="21"/>
        </w:rPr>
        <w:t>with a </w:t>
      </w:r>
      <w:r>
        <w:rPr>
          <w:spacing w:val="-4"/>
          <w:w w:val="105"/>
          <w:sz w:val="21"/>
        </w:rPr>
        <w:t>neighbour.</w:t>
      </w:r>
    </w:p>
    <w:p>
      <w:pPr>
        <w:pStyle w:val="BodyText"/>
        <w:rPr>
          <w:sz w:val="20"/>
        </w:rPr>
      </w:pPr>
    </w:p>
    <w:p>
      <w:pPr>
        <w:pStyle w:val="BodyText"/>
        <w:spacing w:before="9"/>
        <w:rPr>
          <w:sz w:val="23"/>
        </w:rPr>
      </w:pPr>
    </w:p>
    <w:p>
      <w:pPr>
        <w:spacing w:before="96"/>
        <w:ind w:left="0" w:right="652" w:firstLine="0"/>
        <w:jc w:val="right"/>
        <w:rPr>
          <w:b/>
          <w:sz w:val="24"/>
        </w:rPr>
      </w:pPr>
      <w:r>
        <w:rPr>
          <w:b/>
          <w:color w:val="658464"/>
          <w:w w:val="115"/>
          <w:sz w:val="24"/>
        </w:rPr>
        <w:t>xv</w:t>
      </w:r>
    </w:p>
    <w:p>
      <w:pPr>
        <w:spacing w:after="0"/>
        <w:jc w:val="right"/>
        <w:rPr>
          <w:sz w:val="24"/>
        </w:rPr>
        <w:sectPr>
          <w:pgSz w:w="11910" w:h="16840"/>
          <w:pgMar w:header="1372" w:footer="0" w:top="1560" w:bottom="280" w:left="0" w:right="0"/>
        </w:sectPr>
      </w:pPr>
    </w:p>
    <w:p>
      <w:pPr>
        <w:pStyle w:val="BodyText"/>
        <w:spacing w:before="11"/>
        <w:rPr>
          <w:b/>
        </w:rPr>
      </w:pPr>
    </w:p>
    <w:p>
      <w:pPr>
        <w:spacing w:before="96"/>
        <w:ind w:left="1587" w:right="0" w:firstLine="0"/>
        <w:jc w:val="left"/>
        <w:rPr>
          <w:b/>
          <w:sz w:val="24"/>
        </w:rPr>
      </w:pPr>
      <w:r>
        <w:rPr>
          <w:b/>
          <w:w w:val="115"/>
          <w:sz w:val="24"/>
        </w:rPr>
        <w:t>The law is complex</w:t>
      </w:r>
    </w:p>
    <w:p>
      <w:pPr>
        <w:pStyle w:val="ListParagraph"/>
        <w:numPr>
          <w:ilvl w:val="0"/>
          <w:numId w:val="3"/>
        </w:numPr>
        <w:tabs>
          <w:tab w:pos="2381" w:val="left" w:leader="none"/>
          <w:tab w:pos="2382" w:val="left" w:leader="none"/>
        </w:tabs>
        <w:spacing w:line="242" w:lineRule="auto" w:before="137" w:after="0"/>
        <w:ind w:left="2381" w:right="1682" w:hanging="794"/>
        <w:jc w:val="left"/>
        <w:rPr>
          <w:sz w:val="21"/>
        </w:rPr>
      </w:pPr>
      <w:r>
        <w:rPr>
          <w:w w:val="105"/>
          <w:sz w:val="21"/>
        </w:rPr>
        <w:t>The </w:t>
      </w:r>
      <w:r>
        <w:rPr>
          <w:spacing w:val="-3"/>
          <w:w w:val="105"/>
          <w:sz w:val="21"/>
        </w:rPr>
        <w:t>current </w:t>
      </w:r>
      <w:r>
        <w:rPr>
          <w:w w:val="105"/>
          <w:sz w:val="21"/>
        </w:rPr>
        <w:t>methods </w:t>
      </w:r>
      <w:r>
        <w:rPr>
          <w:spacing w:val="-3"/>
          <w:w w:val="105"/>
          <w:sz w:val="21"/>
        </w:rPr>
        <w:t>for </w:t>
      </w:r>
      <w:r>
        <w:rPr>
          <w:w w:val="105"/>
          <w:sz w:val="21"/>
        </w:rPr>
        <w:t>resolving these disputes—from </w:t>
      </w:r>
      <w:r>
        <w:rPr>
          <w:spacing w:val="-3"/>
          <w:w w:val="105"/>
          <w:sz w:val="21"/>
        </w:rPr>
        <w:t>informal </w:t>
      </w:r>
      <w:r>
        <w:rPr>
          <w:w w:val="105"/>
          <w:sz w:val="21"/>
        </w:rPr>
        <w:t>negotiation </w:t>
      </w:r>
      <w:r>
        <w:rPr>
          <w:spacing w:val="-3"/>
          <w:w w:val="105"/>
          <w:sz w:val="21"/>
        </w:rPr>
        <w:t>to </w:t>
      </w:r>
      <w:r>
        <w:rPr>
          <w:w w:val="105"/>
          <w:sz w:val="21"/>
        </w:rPr>
        <w:t>litigation—are </w:t>
      </w:r>
      <w:r>
        <w:rPr>
          <w:spacing w:val="-3"/>
          <w:w w:val="105"/>
          <w:sz w:val="21"/>
        </w:rPr>
        <w:t>unclear </w:t>
      </w:r>
      <w:r>
        <w:rPr>
          <w:w w:val="105"/>
          <w:sz w:val="21"/>
        </w:rPr>
        <w:t>and </w:t>
      </w:r>
      <w:r>
        <w:rPr>
          <w:spacing w:val="-4"/>
          <w:w w:val="105"/>
          <w:sz w:val="21"/>
        </w:rPr>
        <w:t>confusing. </w:t>
      </w:r>
      <w:r>
        <w:rPr>
          <w:w w:val="105"/>
          <w:sz w:val="21"/>
        </w:rPr>
        <w:t>The law is </w:t>
      </w:r>
      <w:r>
        <w:rPr>
          <w:spacing w:val="-2"/>
          <w:w w:val="105"/>
          <w:sz w:val="21"/>
        </w:rPr>
        <w:t>not </w:t>
      </w:r>
      <w:r>
        <w:rPr>
          <w:w w:val="105"/>
          <w:sz w:val="21"/>
        </w:rPr>
        <w:t>stated in a </w:t>
      </w:r>
      <w:r>
        <w:rPr>
          <w:spacing w:val="-3"/>
          <w:w w:val="105"/>
          <w:sz w:val="21"/>
        </w:rPr>
        <w:t>single </w:t>
      </w:r>
      <w:r>
        <w:rPr>
          <w:w w:val="105"/>
          <w:sz w:val="21"/>
        </w:rPr>
        <w:t>document, so it is </w:t>
      </w:r>
      <w:r>
        <w:rPr>
          <w:spacing w:val="-3"/>
          <w:w w:val="105"/>
          <w:sz w:val="21"/>
        </w:rPr>
        <w:t>hard to </w:t>
      </w:r>
      <w:r>
        <w:rPr>
          <w:w w:val="105"/>
          <w:sz w:val="21"/>
        </w:rPr>
        <w:t>know what can and </w:t>
      </w:r>
      <w:r>
        <w:rPr>
          <w:spacing w:val="-3"/>
          <w:w w:val="105"/>
          <w:sz w:val="21"/>
        </w:rPr>
        <w:t>cannot </w:t>
      </w:r>
      <w:r>
        <w:rPr>
          <w:w w:val="105"/>
          <w:sz w:val="21"/>
        </w:rPr>
        <w:t>be done </w:t>
      </w:r>
      <w:r>
        <w:rPr>
          <w:spacing w:val="-3"/>
          <w:w w:val="105"/>
          <w:sz w:val="21"/>
        </w:rPr>
        <w:t>to </w:t>
      </w:r>
      <w:r>
        <w:rPr>
          <w:w w:val="105"/>
          <w:sz w:val="21"/>
        </w:rPr>
        <w:t>resolve </w:t>
      </w:r>
      <w:r>
        <w:rPr>
          <w:spacing w:val="-3"/>
          <w:w w:val="105"/>
          <w:sz w:val="21"/>
        </w:rPr>
        <w:t>concerns, </w:t>
      </w:r>
      <w:r>
        <w:rPr>
          <w:w w:val="105"/>
          <w:sz w:val="21"/>
        </w:rPr>
        <w:t>and </w:t>
      </w:r>
      <w:r>
        <w:rPr>
          <w:spacing w:val="-3"/>
          <w:w w:val="105"/>
          <w:sz w:val="21"/>
        </w:rPr>
        <w:t>hard to negotiate </w:t>
      </w:r>
      <w:r>
        <w:rPr>
          <w:w w:val="105"/>
          <w:sz w:val="21"/>
        </w:rPr>
        <w:t>a </w:t>
      </w:r>
      <w:r>
        <w:rPr>
          <w:spacing w:val="-3"/>
          <w:w w:val="105"/>
          <w:sz w:val="21"/>
        </w:rPr>
        <w:t>resolution.</w:t>
      </w:r>
    </w:p>
    <w:p>
      <w:pPr>
        <w:pStyle w:val="ListParagraph"/>
        <w:numPr>
          <w:ilvl w:val="0"/>
          <w:numId w:val="3"/>
        </w:numPr>
        <w:tabs>
          <w:tab w:pos="2381" w:val="left" w:leader="none"/>
          <w:tab w:pos="2382" w:val="left" w:leader="none"/>
        </w:tabs>
        <w:spacing w:line="242" w:lineRule="auto" w:before="125" w:after="0"/>
        <w:ind w:left="2381" w:right="1958" w:hanging="794"/>
        <w:jc w:val="left"/>
        <w:rPr>
          <w:sz w:val="21"/>
        </w:rPr>
      </w:pPr>
      <w:r>
        <w:rPr>
          <w:spacing w:val="-3"/>
          <w:sz w:val="21"/>
        </w:rPr>
        <w:t>Information to </w:t>
      </w:r>
      <w:r>
        <w:rPr>
          <w:sz w:val="21"/>
        </w:rPr>
        <w:t>help people resolve their </w:t>
      </w:r>
      <w:r>
        <w:rPr>
          <w:spacing w:val="-3"/>
          <w:sz w:val="21"/>
        </w:rPr>
        <w:t>disputes </w:t>
      </w:r>
      <w:r>
        <w:rPr>
          <w:sz w:val="21"/>
        </w:rPr>
        <w:t>is </w:t>
      </w:r>
      <w:r>
        <w:rPr>
          <w:spacing w:val="-3"/>
          <w:sz w:val="21"/>
        </w:rPr>
        <w:t>hard to </w:t>
      </w:r>
      <w:r>
        <w:rPr>
          <w:sz w:val="21"/>
        </w:rPr>
        <w:t>find. </w:t>
      </w:r>
      <w:r>
        <w:rPr>
          <w:spacing w:val="-3"/>
          <w:sz w:val="21"/>
        </w:rPr>
        <w:t>Community </w:t>
      </w:r>
      <w:r>
        <w:rPr>
          <w:sz w:val="21"/>
        </w:rPr>
        <w:t>members must piece together </w:t>
      </w:r>
      <w:r>
        <w:rPr>
          <w:spacing w:val="-3"/>
          <w:sz w:val="21"/>
        </w:rPr>
        <w:t>information published </w:t>
      </w:r>
      <w:r>
        <w:rPr>
          <w:sz w:val="21"/>
        </w:rPr>
        <w:t>by </w:t>
      </w:r>
      <w:r>
        <w:rPr>
          <w:spacing w:val="-3"/>
          <w:sz w:val="21"/>
        </w:rPr>
        <w:t>different government </w:t>
      </w:r>
      <w:r>
        <w:rPr>
          <w:sz w:val="21"/>
        </w:rPr>
        <w:t>and community agencies </w:t>
      </w:r>
      <w:r>
        <w:rPr>
          <w:spacing w:val="-3"/>
          <w:sz w:val="21"/>
        </w:rPr>
        <w:t>to</w:t>
      </w:r>
      <w:r>
        <w:rPr>
          <w:spacing w:val="18"/>
          <w:sz w:val="21"/>
        </w:rPr>
        <w:t> </w:t>
      </w:r>
      <w:r>
        <w:rPr>
          <w:sz w:val="21"/>
        </w:rPr>
        <w:t>work out a possible resolution process.</w:t>
      </w:r>
    </w:p>
    <w:p>
      <w:pPr>
        <w:pStyle w:val="ListParagraph"/>
        <w:numPr>
          <w:ilvl w:val="0"/>
          <w:numId w:val="3"/>
        </w:numPr>
        <w:tabs>
          <w:tab w:pos="2380" w:val="left" w:leader="none"/>
          <w:tab w:pos="2381" w:val="left" w:leader="none"/>
        </w:tabs>
        <w:spacing w:line="242" w:lineRule="auto" w:before="123" w:after="0"/>
        <w:ind w:left="2381" w:right="1628" w:hanging="794"/>
        <w:jc w:val="left"/>
        <w:rPr>
          <w:sz w:val="21"/>
        </w:rPr>
      </w:pPr>
      <w:r>
        <w:rPr>
          <w:w w:val="105"/>
          <w:sz w:val="21"/>
        </w:rPr>
        <w:t>The</w:t>
      </w:r>
      <w:r>
        <w:rPr>
          <w:spacing w:val="-6"/>
          <w:w w:val="105"/>
          <w:sz w:val="21"/>
        </w:rPr>
        <w:t> </w:t>
      </w:r>
      <w:r>
        <w:rPr>
          <w:w w:val="105"/>
          <w:sz w:val="21"/>
        </w:rPr>
        <w:t>community</w:t>
      </w:r>
      <w:r>
        <w:rPr>
          <w:spacing w:val="-6"/>
          <w:w w:val="105"/>
          <w:sz w:val="21"/>
        </w:rPr>
        <w:t> </w:t>
      </w:r>
      <w:r>
        <w:rPr>
          <w:w w:val="105"/>
          <w:sz w:val="21"/>
        </w:rPr>
        <w:t>does</w:t>
      </w:r>
      <w:r>
        <w:rPr>
          <w:spacing w:val="-6"/>
          <w:w w:val="105"/>
          <w:sz w:val="21"/>
        </w:rPr>
        <w:t> </w:t>
      </w:r>
      <w:r>
        <w:rPr>
          <w:spacing w:val="-2"/>
          <w:w w:val="105"/>
          <w:sz w:val="21"/>
        </w:rPr>
        <w:t>not</w:t>
      </w:r>
      <w:r>
        <w:rPr>
          <w:spacing w:val="-6"/>
          <w:w w:val="105"/>
          <w:sz w:val="21"/>
        </w:rPr>
        <w:t> </w:t>
      </w:r>
      <w:r>
        <w:rPr>
          <w:spacing w:val="-3"/>
          <w:w w:val="105"/>
          <w:sz w:val="21"/>
        </w:rPr>
        <w:t>have</w:t>
      </w:r>
      <w:r>
        <w:rPr>
          <w:spacing w:val="-6"/>
          <w:w w:val="105"/>
          <w:sz w:val="21"/>
        </w:rPr>
        <w:t> </w:t>
      </w:r>
      <w:r>
        <w:rPr>
          <w:w w:val="105"/>
          <w:sz w:val="21"/>
        </w:rPr>
        <w:t>a</w:t>
      </w:r>
      <w:r>
        <w:rPr>
          <w:spacing w:val="-5"/>
          <w:w w:val="105"/>
          <w:sz w:val="21"/>
        </w:rPr>
        <w:t> </w:t>
      </w:r>
      <w:r>
        <w:rPr>
          <w:w w:val="105"/>
          <w:sz w:val="21"/>
        </w:rPr>
        <w:t>good</w:t>
      </w:r>
      <w:r>
        <w:rPr>
          <w:spacing w:val="-6"/>
          <w:w w:val="105"/>
          <w:sz w:val="21"/>
        </w:rPr>
        <w:t> </w:t>
      </w:r>
      <w:r>
        <w:rPr>
          <w:w w:val="105"/>
          <w:sz w:val="21"/>
        </w:rPr>
        <w:t>understanding</w:t>
      </w:r>
      <w:r>
        <w:rPr>
          <w:spacing w:val="-6"/>
          <w:w w:val="105"/>
          <w:sz w:val="21"/>
        </w:rPr>
        <w:t> </w:t>
      </w:r>
      <w:r>
        <w:rPr>
          <w:w w:val="105"/>
          <w:sz w:val="21"/>
        </w:rPr>
        <w:t>of</w:t>
      </w:r>
      <w:r>
        <w:rPr>
          <w:spacing w:val="-6"/>
          <w:w w:val="105"/>
          <w:sz w:val="21"/>
        </w:rPr>
        <w:t> </w:t>
      </w:r>
      <w:r>
        <w:rPr>
          <w:w w:val="105"/>
          <w:sz w:val="21"/>
        </w:rPr>
        <w:t>which</w:t>
      </w:r>
      <w:r>
        <w:rPr>
          <w:spacing w:val="-6"/>
          <w:w w:val="105"/>
          <w:sz w:val="21"/>
        </w:rPr>
        <w:t> </w:t>
      </w:r>
      <w:r>
        <w:rPr>
          <w:w w:val="105"/>
          <w:sz w:val="21"/>
        </w:rPr>
        <w:t>experts</w:t>
      </w:r>
      <w:r>
        <w:rPr>
          <w:spacing w:val="-5"/>
          <w:w w:val="105"/>
          <w:sz w:val="21"/>
        </w:rPr>
        <w:t> </w:t>
      </w:r>
      <w:r>
        <w:rPr>
          <w:w w:val="105"/>
          <w:sz w:val="21"/>
        </w:rPr>
        <w:t>can</w:t>
      </w:r>
      <w:r>
        <w:rPr>
          <w:spacing w:val="-6"/>
          <w:w w:val="105"/>
          <w:sz w:val="21"/>
        </w:rPr>
        <w:t> </w:t>
      </w:r>
      <w:r>
        <w:rPr>
          <w:w w:val="105"/>
          <w:sz w:val="21"/>
        </w:rPr>
        <w:t>assist</w:t>
      </w:r>
      <w:r>
        <w:rPr>
          <w:spacing w:val="-6"/>
          <w:w w:val="105"/>
          <w:sz w:val="21"/>
        </w:rPr>
        <w:t> </w:t>
      </w:r>
      <w:r>
        <w:rPr>
          <w:w w:val="105"/>
          <w:sz w:val="21"/>
        </w:rPr>
        <w:t>them.</w:t>
      </w:r>
      <w:r>
        <w:rPr>
          <w:spacing w:val="-6"/>
          <w:w w:val="105"/>
          <w:sz w:val="21"/>
        </w:rPr>
        <w:t> </w:t>
      </w:r>
      <w:r>
        <w:rPr>
          <w:w w:val="105"/>
          <w:sz w:val="21"/>
        </w:rPr>
        <w:t>In </w:t>
      </w:r>
      <w:r>
        <w:rPr>
          <w:spacing w:val="-3"/>
          <w:w w:val="105"/>
          <w:sz w:val="21"/>
        </w:rPr>
        <w:t>particular,</w:t>
      </w:r>
      <w:r>
        <w:rPr>
          <w:spacing w:val="-7"/>
          <w:w w:val="105"/>
          <w:sz w:val="21"/>
        </w:rPr>
        <w:t> </w:t>
      </w:r>
      <w:r>
        <w:rPr>
          <w:w w:val="105"/>
          <w:sz w:val="21"/>
        </w:rPr>
        <w:t>there</w:t>
      </w:r>
      <w:r>
        <w:rPr>
          <w:spacing w:val="-6"/>
          <w:w w:val="105"/>
          <w:sz w:val="21"/>
        </w:rPr>
        <w:t> </w:t>
      </w:r>
      <w:r>
        <w:rPr>
          <w:w w:val="105"/>
          <w:sz w:val="21"/>
        </w:rPr>
        <w:t>is</w:t>
      </w:r>
      <w:r>
        <w:rPr>
          <w:spacing w:val="-6"/>
          <w:w w:val="105"/>
          <w:sz w:val="21"/>
        </w:rPr>
        <w:t> </w:t>
      </w:r>
      <w:r>
        <w:rPr>
          <w:w w:val="105"/>
          <w:sz w:val="21"/>
        </w:rPr>
        <w:t>a</w:t>
      </w:r>
      <w:r>
        <w:rPr>
          <w:spacing w:val="-6"/>
          <w:w w:val="105"/>
          <w:sz w:val="21"/>
        </w:rPr>
        <w:t> </w:t>
      </w:r>
      <w:r>
        <w:rPr>
          <w:w w:val="105"/>
          <w:sz w:val="21"/>
        </w:rPr>
        <w:t>lack</w:t>
      </w:r>
      <w:r>
        <w:rPr>
          <w:spacing w:val="-6"/>
          <w:w w:val="105"/>
          <w:sz w:val="21"/>
        </w:rPr>
        <w:t> </w:t>
      </w:r>
      <w:r>
        <w:rPr>
          <w:w w:val="105"/>
          <w:sz w:val="21"/>
        </w:rPr>
        <w:t>of</w:t>
      </w:r>
      <w:r>
        <w:rPr>
          <w:spacing w:val="-6"/>
          <w:w w:val="105"/>
          <w:sz w:val="21"/>
        </w:rPr>
        <w:t> </w:t>
      </w:r>
      <w:r>
        <w:rPr>
          <w:w w:val="105"/>
          <w:sz w:val="21"/>
        </w:rPr>
        <w:t>understanding</w:t>
      </w:r>
      <w:r>
        <w:rPr>
          <w:spacing w:val="-6"/>
          <w:w w:val="105"/>
          <w:sz w:val="21"/>
        </w:rPr>
        <w:t> </w:t>
      </w:r>
      <w:r>
        <w:rPr>
          <w:w w:val="105"/>
          <w:sz w:val="21"/>
        </w:rPr>
        <w:t>about</w:t>
      </w:r>
      <w:r>
        <w:rPr>
          <w:spacing w:val="-6"/>
          <w:w w:val="105"/>
          <w:sz w:val="21"/>
        </w:rPr>
        <w:t> </w:t>
      </w:r>
      <w:r>
        <w:rPr>
          <w:w w:val="105"/>
          <w:sz w:val="21"/>
        </w:rPr>
        <w:t>the</w:t>
      </w:r>
      <w:r>
        <w:rPr>
          <w:spacing w:val="-7"/>
          <w:w w:val="105"/>
          <w:sz w:val="21"/>
        </w:rPr>
        <w:t> </w:t>
      </w:r>
      <w:r>
        <w:rPr>
          <w:w w:val="105"/>
          <w:sz w:val="21"/>
        </w:rPr>
        <w:t>role</w:t>
      </w:r>
      <w:r>
        <w:rPr>
          <w:spacing w:val="-6"/>
          <w:w w:val="105"/>
          <w:sz w:val="21"/>
        </w:rPr>
        <w:t> </w:t>
      </w:r>
      <w:r>
        <w:rPr>
          <w:w w:val="105"/>
          <w:sz w:val="21"/>
        </w:rPr>
        <w:t>and</w:t>
      </w:r>
      <w:r>
        <w:rPr>
          <w:spacing w:val="-6"/>
          <w:w w:val="105"/>
          <w:sz w:val="21"/>
        </w:rPr>
        <w:t> </w:t>
      </w:r>
      <w:r>
        <w:rPr>
          <w:spacing w:val="-3"/>
          <w:w w:val="105"/>
          <w:sz w:val="21"/>
        </w:rPr>
        <w:t>qualifications</w:t>
      </w:r>
      <w:r>
        <w:rPr>
          <w:spacing w:val="-6"/>
          <w:w w:val="105"/>
          <w:sz w:val="21"/>
        </w:rPr>
        <w:t> </w:t>
      </w:r>
      <w:r>
        <w:rPr>
          <w:w w:val="105"/>
          <w:sz w:val="21"/>
        </w:rPr>
        <w:t>of</w:t>
      </w:r>
      <w:r>
        <w:rPr>
          <w:spacing w:val="-6"/>
          <w:w w:val="105"/>
          <w:sz w:val="21"/>
        </w:rPr>
        <w:t> </w:t>
      </w:r>
      <w:r>
        <w:rPr>
          <w:w w:val="105"/>
          <w:sz w:val="21"/>
        </w:rPr>
        <w:t>arborists.</w:t>
      </w:r>
    </w:p>
    <w:p>
      <w:pPr>
        <w:pStyle w:val="BodyText"/>
        <w:spacing w:before="2"/>
        <w:rPr>
          <w:sz w:val="20"/>
        </w:rPr>
      </w:pPr>
    </w:p>
    <w:p>
      <w:pPr>
        <w:pStyle w:val="Heading5"/>
        <w:spacing w:before="1"/>
      </w:pPr>
      <w:r>
        <w:rPr>
          <w:w w:val="115"/>
        </w:rPr>
        <w:t>The law provides limited remedies</w:t>
      </w:r>
    </w:p>
    <w:p>
      <w:pPr>
        <w:pStyle w:val="ListParagraph"/>
        <w:numPr>
          <w:ilvl w:val="0"/>
          <w:numId w:val="3"/>
        </w:numPr>
        <w:tabs>
          <w:tab w:pos="2381" w:val="left" w:leader="none"/>
          <w:tab w:pos="2382" w:val="left" w:leader="none"/>
        </w:tabs>
        <w:spacing w:line="242" w:lineRule="auto" w:before="137" w:after="0"/>
        <w:ind w:left="2381" w:right="1606" w:hanging="794"/>
        <w:jc w:val="left"/>
        <w:rPr>
          <w:sz w:val="21"/>
        </w:rPr>
      </w:pPr>
      <w:r>
        <w:rPr>
          <w:w w:val="105"/>
          <w:sz w:val="21"/>
        </w:rPr>
        <w:t>Legal action in </w:t>
      </w:r>
      <w:r>
        <w:rPr>
          <w:spacing w:val="-3"/>
          <w:w w:val="105"/>
          <w:sz w:val="21"/>
        </w:rPr>
        <w:t>relation to </w:t>
      </w:r>
      <w:r>
        <w:rPr>
          <w:w w:val="105"/>
          <w:sz w:val="21"/>
        </w:rPr>
        <w:t>tree </w:t>
      </w:r>
      <w:r>
        <w:rPr>
          <w:spacing w:val="-3"/>
          <w:w w:val="105"/>
          <w:sz w:val="21"/>
        </w:rPr>
        <w:t>disputes </w:t>
      </w:r>
      <w:r>
        <w:rPr>
          <w:w w:val="105"/>
          <w:sz w:val="21"/>
        </w:rPr>
        <w:t>in Victoria is </w:t>
      </w:r>
      <w:r>
        <w:rPr>
          <w:spacing w:val="-3"/>
          <w:w w:val="105"/>
          <w:sz w:val="21"/>
        </w:rPr>
        <w:t>currently </w:t>
      </w:r>
      <w:r>
        <w:rPr>
          <w:w w:val="105"/>
          <w:sz w:val="21"/>
        </w:rPr>
        <w:t>based on the </w:t>
      </w:r>
      <w:r>
        <w:rPr>
          <w:spacing w:val="-2"/>
          <w:w w:val="105"/>
          <w:sz w:val="21"/>
        </w:rPr>
        <w:t>common </w:t>
      </w:r>
      <w:r>
        <w:rPr>
          <w:w w:val="105"/>
          <w:sz w:val="21"/>
        </w:rPr>
        <w:t>law torts of </w:t>
      </w:r>
      <w:r>
        <w:rPr>
          <w:spacing w:val="-3"/>
          <w:w w:val="105"/>
          <w:sz w:val="21"/>
        </w:rPr>
        <w:t>negligence, nuisance </w:t>
      </w:r>
      <w:r>
        <w:rPr>
          <w:w w:val="105"/>
          <w:sz w:val="21"/>
        </w:rPr>
        <w:t>and trespass. These torts do </w:t>
      </w:r>
      <w:r>
        <w:rPr>
          <w:spacing w:val="-2"/>
          <w:w w:val="105"/>
          <w:sz w:val="21"/>
        </w:rPr>
        <w:t>not </w:t>
      </w:r>
      <w:r>
        <w:rPr>
          <w:spacing w:val="-3"/>
          <w:w w:val="105"/>
          <w:sz w:val="21"/>
        </w:rPr>
        <w:t>allow </w:t>
      </w:r>
      <w:r>
        <w:rPr>
          <w:w w:val="105"/>
          <w:sz w:val="21"/>
        </w:rPr>
        <w:t>much scope </w:t>
      </w:r>
      <w:r>
        <w:rPr>
          <w:spacing w:val="-3"/>
          <w:w w:val="105"/>
          <w:sz w:val="21"/>
        </w:rPr>
        <w:t>to </w:t>
      </w:r>
      <w:r>
        <w:rPr>
          <w:w w:val="105"/>
          <w:sz w:val="21"/>
        </w:rPr>
        <w:t>obtain a remedy </w:t>
      </w:r>
      <w:r>
        <w:rPr>
          <w:spacing w:val="-3"/>
          <w:w w:val="105"/>
          <w:sz w:val="21"/>
        </w:rPr>
        <w:t>that will prevent </w:t>
      </w:r>
      <w:r>
        <w:rPr>
          <w:w w:val="105"/>
          <w:sz w:val="21"/>
        </w:rPr>
        <w:t>damage or </w:t>
      </w:r>
      <w:r>
        <w:rPr>
          <w:spacing w:val="-3"/>
          <w:w w:val="105"/>
          <w:sz w:val="21"/>
        </w:rPr>
        <w:t>harm from occurring. </w:t>
      </w:r>
      <w:r>
        <w:rPr>
          <w:w w:val="105"/>
          <w:sz w:val="21"/>
        </w:rPr>
        <w:t>Affected neighbours </w:t>
      </w:r>
      <w:r>
        <w:rPr>
          <w:spacing w:val="-3"/>
          <w:w w:val="105"/>
          <w:sz w:val="21"/>
        </w:rPr>
        <w:t>may have to wait for </w:t>
      </w:r>
      <w:r>
        <w:rPr>
          <w:w w:val="105"/>
          <w:sz w:val="21"/>
        </w:rPr>
        <w:t>the damage or </w:t>
      </w:r>
      <w:r>
        <w:rPr>
          <w:spacing w:val="-3"/>
          <w:w w:val="105"/>
          <w:sz w:val="21"/>
        </w:rPr>
        <w:t>harm to occur before </w:t>
      </w:r>
      <w:r>
        <w:rPr>
          <w:w w:val="105"/>
          <w:sz w:val="21"/>
        </w:rPr>
        <w:t>they can </w:t>
      </w:r>
      <w:r>
        <w:rPr>
          <w:spacing w:val="-3"/>
          <w:w w:val="105"/>
          <w:sz w:val="21"/>
        </w:rPr>
        <w:t>take </w:t>
      </w:r>
      <w:r>
        <w:rPr>
          <w:w w:val="105"/>
          <w:sz w:val="21"/>
        </w:rPr>
        <w:t>legal action. This is reactive and</w:t>
      </w:r>
      <w:r>
        <w:rPr>
          <w:spacing w:val="9"/>
          <w:w w:val="105"/>
          <w:sz w:val="21"/>
        </w:rPr>
        <w:t> </w:t>
      </w:r>
      <w:r>
        <w:rPr>
          <w:spacing w:val="-3"/>
          <w:w w:val="105"/>
          <w:sz w:val="21"/>
        </w:rPr>
        <w:t>counter-productive.</w:t>
      </w:r>
    </w:p>
    <w:p>
      <w:pPr>
        <w:pStyle w:val="ListParagraph"/>
        <w:numPr>
          <w:ilvl w:val="0"/>
          <w:numId w:val="3"/>
        </w:numPr>
        <w:tabs>
          <w:tab w:pos="2380" w:val="left" w:leader="none"/>
          <w:tab w:pos="2381" w:val="left" w:leader="none"/>
        </w:tabs>
        <w:spacing w:line="242" w:lineRule="auto" w:before="125" w:after="0"/>
        <w:ind w:left="2381" w:right="1621" w:hanging="794"/>
        <w:jc w:val="left"/>
        <w:rPr>
          <w:sz w:val="21"/>
        </w:rPr>
      </w:pPr>
      <w:r>
        <w:rPr>
          <w:w w:val="105"/>
          <w:sz w:val="21"/>
        </w:rPr>
        <w:t>An affected </w:t>
      </w:r>
      <w:r>
        <w:rPr>
          <w:spacing w:val="-3"/>
          <w:w w:val="105"/>
          <w:sz w:val="21"/>
        </w:rPr>
        <w:t>neighbour </w:t>
      </w:r>
      <w:r>
        <w:rPr>
          <w:w w:val="105"/>
          <w:sz w:val="21"/>
        </w:rPr>
        <w:t>who </w:t>
      </w:r>
      <w:r>
        <w:rPr>
          <w:spacing w:val="-3"/>
          <w:w w:val="105"/>
          <w:sz w:val="21"/>
        </w:rPr>
        <w:t>exercises </w:t>
      </w:r>
      <w:r>
        <w:rPr>
          <w:w w:val="105"/>
          <w:sz w:val="21"/>
        </w:rPr>
        <w:t>their </w:t>
      </w:r>
      <w:r>
        <w:rPr>
          <w:spacing w:val="-2"/>
          <w:w w:val="105"/>
          <w:sz w:val="21"/>
        </w:rPr>
        <w:t>common </w:t>
      </w:r>
      <w:r>
        <w:rPr>
          <w:w w:val="105"/>
          <w:sz w:val="21"/>
        </w:rPr>
        <w:t>law </w:t>
      </w:r>
      <w:r>
        <w:rPr>
          <w:spacing w:val="-3"/>
          <w:w w:val="105"/>
          <w:sz w:val="21"/>
        </w:rPr>
        <w:t>right to abate </w:t>
      </w:r>
      <w:r>
        <w:rPr>
          <w:w w:val="105"/>
          <w:sz w:val="21"/>
        </w:rPr>
        <w:t>by </w:t>
      </w:r>
      <w:r>
        <w:rPr>
          <w:spacing w:val="-3"/>
          <w:w w:val="105"/>
          <w:sz w:val="21"/>
        </w:rPr>
        <w:t>pruning to </w:t>
      </w:r>
      <w:r>
        <w:rPr>
          <w:w w:val="105"/>
          <w:sz w:val="21"/>
        </w:rPr>
        <w:t>a boundary </w:t>
      </w:r>
      <w:r>
        <w:rPr>
          <w:spacing w:val="-3"/>
          <w:w w:val="105"/>
          <w:sz w:val="21"/>
        </w:rPr>
        <w:t>line cannot recoup any </w:t>
      </w:r>
      <w:r>
        <w:rPr>
          <w:w w:val="105"/>
          <w:sz w:val="21"/>
        </w:rPr>
        <w:t>costs </w:t>
      </w:r>
      <w:r>
        <w:rPr>
          <w:spacing w:val="-3"/>
          <w:w w:val="105"/>
          <w:sz w:val="21"/>
        </w:rPr>
        <w:t>from </w:t>
      </w:r>
      <w:r>
        <w:rPr>
          <w:w w:val="105"/>
          <w:sz w:val="21"/>
        </w:rPr>
        <w:t>the tree </w:t>
      </w:r>
      <w:r>
        <w:rPr>
          <w:spacing w:val="-4"/>
          <w:w w:val="105"/>
          <w:sz w:val="21"/>
        </w:rPr>
        <w:t>owner. </w:t>
      </w:r>
      <w:r>
        <w:rPr>
          <w:w w:val="105"/>
          <w:sz w:val="21"/>
        </w:rPr>
        <w:t>They </w:t>
      </w:r>
      <w:r>
        <w:rPr>
          <w:spacing w:val="-3"/>
          <w:w w:val="105"/>
          <w:sz w:val="21"/>
        </w:rPr>
        <w:t>may </w:t>
      </w:r>
      <w:r>
        <w:rPr>
          <w:w w:val="105"/>
          <w:sz w:val="21"/>
        </w:rPr>
        <w:t>be left </w:t>
      </w:r>
      <w:r>
        <w:rPr>
          <w:spacing w:val="-2"/>
          <w:w w:val="105"/>
          <w:sz w:val="21"/>
        </w:rPr>
        <w:t>significantly </w:t>
      </w:r>
      <w:r>
        <w:rPr>
          <w:w w:val="105"/>
          <w:sz w:val="21"/>
        </w:rPr>
        <w:t>out of </w:t>
      </w:r>
      <w:r>
        <w:rPr>
          <w:spacing w:val="-3"/>
          <w:w w:val="105"/>
          <w:sz w:val="21"/>
        </w:rPr>
        <w:t>pocket </w:t>
      </w:r>
      <w:r>
        <w:rPr>
          <w:w w:val="105"/>
          <w:sz w:val="21"/>
        </w:rPr>
        <w:t>or </w:t>
      </w:r>
      <w:r>
        <w:rPr>
          <w:spacing w:val="-3"/>
          <w:w w:val="105"/>
          <w:sz w:val="21"/>
        </w:rPr>
        <w:t>unable to arrange any </w:t>
      </w:r>
      <w:r>
        <w:rPr>
          <w:w w:val="105"/>
          <w:sz w:val="21"/>
        </w:rPr>
        <w:t>tree works because of the costs </w:t>
      </w:r>
      <w:r>
        <w:rPr>
          <w:spacing w:val="-3"/>
          <w:w w:val="105"/>
          <w:sz w:val="21"/>
        </w:rPr>
        <w:t>involved. </w:t>
      </w:r>
      <w:r>
        <w:rPr>
          <w:w w:val="105"/>
          <w:sz w:val="21"/>
        </w:rPr>
        <w:t>The legal </w:t>
      </w:r>
      <w:r>
        <w:rPr>
          <w:spacing w:val="-3"/>
          <w:w w:val="105"/>
          <w:sz w:val="21"/>
        </w:rPr>
        <w:t>requirement to return </w:t>
      </w:r>
      <w:r>
        <w:rPr>
          <w:spacing w:val="-2"/>
          <w:w w:val="105"/>
          <w:sz w:val="21"/>
        </w:rPr>
        <w:t>abated </w:t>
      </w:r>
      <w:r>
        <w:rPr>
          <w:w w:val="105"/>
          <w:sz w:val="21"/>
        </w:rPr>
        <w:t>vegetation can itself </w:t>
      </w:r>
      <w:r>
        <w:rPr>
          <w:spacing w:val="-3"/>
          <w:w w:val="105"/>
          <w:sz w:val="21"/>
        </w:rPr>
        <w:t>create disputes </w:t>
      </w:r>
      <w:r>
        <w:rPr>
          <w:w w:val="105"/>
          <w:sz w:val="21"/>
        </w:rPr>
        <w:t>or </w:t>
      </w:r>
      <w:r>
        <w:rPr>
          <w:spacing w:val="-4"/>
          <w:w w:val="105"/>
          <w:sz w:val="21"/>
        </w:rPr>
        <w:t>make </w:t>
      </w:r>
      <w:r>
        <w:rPr>
          <w:w w:val="105"/>
          <w:sz w:val="21"/>
        </w:rPr>
        <w:t>existing </w:t>
      </w:r>
      <w:r>
        <w:rPr>
          <w:spacing w:val="-2"/>
          <w:w w:val="105"/>
          <w:sz w:val="21"/>
        </w:rPr>
        <w:t>problems</w:t>
      </w:r>
      <w:r>
        <w:rPr>
          <w:spacing w:val="-5"/>
          <w:w w:val="105"/>
          <w:sz w:val="21"/>
        </w:rPr>
        <w:t> </w:t>
      </w:r>
      <w:r>
        <w:rPr>
          <w:w w:val="105"/>
          <w:sz w:val="21"/>
        </w:rPr>
        <w:t>worse,</w:t>
      </w:r>
      <w:r>
        <w:rPr>
          <w:spacing w:val="-5"/>
          <w:w w:val="105"/>
          <w:sz w:val="21"/>
        </w:rPr>
        <w:t> </w:t>
      </w:r>
      <w:r>
        <w:rPr>
          <w:w w:val="105"/>
          <w:sz w:val="21"/>
        </w:rPr>
        <w:t>particularly</w:t>
      </w:r>
      <w:r>
        <w:rPr>
          <w:spacing w:val="-4"/>
          <w:w w:val="105"/>
          <w:sz w:val="21"/>
        </w:rPr>
        <w:t> </w:t>
      </w:r>
      <w:r>
        <w:rPr>
          <w:w w:val="105"/>
          <w:sz w:val="21"/>
        </w:rPr>
        <w:t>when</w:t>
      </w:r>
      <w:r>
        <w:rPr>
          <w:spacing w:val="-5"/>
          <w:w w:val="105"/>
          <w:sz w:val="21"/>
        </w:rPr>
        <w:t> </w:t>
      </w:r>
      <w:r>
        <w:rPr>
          <w:w w:val="105"/>
          <w:sz w:val="21"/>
        </w:rPr>
        <w:t>neighbours</w:t>
      </w:r>
      <w:r>
        <w:rPr>
          <w:spacing w:val="-5"/>
          <w:w w:val="105"/>
          <w:sz w:val="21"/>
        </w:rPr>
        <w:t> </w:t>
      </w:r>
      <w:r>
        <w:rPr>
          <w:spacing w:val="-3"/>
          <w:w w:val="105"/>
          <w:sz w:val="21"/>
        </w:rPr>
        <w:t>throw</w:t>
      </w:r>
      <w:r>
        <w:rPr>
          <w:spacing w:val="-4"/>
          <w:w w:val="105"/>
          <w:sz w:val="21"/>
        </w:rPr>
        <w:t> </w:t>
      </w:r>
      <w:r>
        <w:rPr>
          <w:w w:val="105"/>
          <w:sz w:val="21"/>
        </w:rPr>
        <w:t>vegetation</w:t>
      </w:r>
      <w:r>
        <w:rPr>
          <w:spacing w:val="-5"/>
          <w:w w:val="105"/>
          <w:sz w:val="21"/>
        </w:rPr>
        <w:t> </w:t>
      </w:r>
      <w:r>
        <w:rPr>
          <w:w w:val="105"/>
          <w:sz w:val="21"/>
        </w:rPr>
        <w:t>back</w:t>
      </w:r>
      <w:r>
        <w:rPr>
          <w:spacing w:val="-5"/>
          <w:w w:val="105"/>
          <w:sz w:val="21"/>
        </w:rPr>
        <w:t> </w:t>
      </w:r>
      <w:r>
        <w:rPr>
          <w:w w:val="105"/>
          <w:sz w:val="21"/>
        </w:rPr>
        <w:t>over</w:t>
      </w:r>
      <w:r>
        <w:rPr>
          <w:spacing w:val="-4"/>
          <w:w w:val="105"/>
          <w:sz w:val="21"/>
        </w:rPr>
        <w:t> </w:t>
      </w:r>
      <w:r>
        <w:rPr>
          <w:w w:val="105"/>
          <w:sz w:val="21"/>
        </w:rPr>
        <w:t>the</w:t>
      </w:r>
      <w:r>
        <w:rPr>
          <w:spacing w:val="-5"/>
          <w:w w:val="105"/>
          <w:sz w:val="21"/>
        </w:rPr>
        <w:t> </w:t>
      </w:r>
      <w:r>
        <w:rPr>
          <w:spacing w:val="-4"/>
          <w:w w:val="105"/>
          <w:sz w:val="21"/>
        </w:rPr>
        <w:t>fence.</w:t>
      </w:r>
    </w:p>
    <w:p>
      <w:pPr>
        <w:pStyle w:val="ListParagraph"/>
        <w:numPr>
          <w:ilvl w:val="0"/>
          <w:numId w:val="3"/>
        </w:numPr>
        <w:tabs>
          <w:tab w:pos="2380" w:val="left" w:leader="none"/>
          <w:tab w:pos="2381" w:val="left" w:leader="none"/>
        </w:tabs>
        <w:spacing w:line="242" w:lineRule="auto" w:before="126" w:after="0"/>
        <w:ind w:left="2380" w:right="1614" w:hanging="793"/>
        <w:jc w:val="left"/>
        <w:rPr>
          <w:sz w:val="21"/>
        </w:rPr>
      </w:pPr>
      <w:r>
        <w:rPr>
          <w:sz w:val="21"/>
        </w:rPr>
        <w:t>These </w:t>
      </w:r>
      <w:r>
        <w:rPr>
          <w:spacing w:val="-3"/>
          <w:sz w:val="21"/>
        </w:rPr>
        <w:t>disputes  </w:t>
      </w:r>
      <w:r>
        <w:rPr>
          <w:sz w:val="21"/>
        </w:rPr>
        <w:t>can be characterised as a competition of rights: the tree </w:t>
      </w:r>
      <w:r>
        <w:rPr>
          <w:spacing w:val="-3"/>
          <w:sz w:val="21"/>
        </w:rPr>
        <w:t>owner’s</w:t>
      </w:r>
      <w:r>
        <w:rPr>
          <w:spacing w:val="41"/>
          <w:sz w:val="21"/>
        </w:rPr>
        <w:t> </w:t>
      </w:r>
      <w:r>
        <w:rPr>
          <w:spacing w:val="-3"/>
          <w:sz w:val="21"/>
        </w:rPr>
        <w:t>right  to  </w:t>
      </w:r>
      <w:r>
        <w:rPr>
          <w:sz w:val="21"/>
        </w:rPr>
        <w:t>use and enjoy the </w:t>
      </w:r>
      <w:r>
        <w:rPr>
          <w:spacing w:val="-3"/>
          <w:sz w:val="21"/>
        </w:rPr>
        <w:t>land </w:t>
      </w:r>
      <w:r>
        <w:rPr>
          <w:sz w:val="21"/>
        </w:rPr>
        <w:t>in </w:t>
      </w:r>
      <w:r>
        <w:rPr>
          <w:spacing w:val="-3"/>
          <w:sz w:val="21"/>
        </w:rPr>
        <w:t>any </w:t>
      </w:r>
      <w:r>
        <w:rPr>
          <w:sz w:val="21"/>
        </w:rPr>
        <w:t>lawful </w:t>
      </w:r>
      <w:r>
        <w:rPr>
          <w:spacing w:val="-5"/>
          <w:sz w:val="21"/>
        </w:rPr>
        <w:t>manner, </w:t>
      </w:r>
      <w:r>
        <w:rPr>
          <w:sz w:val="21"/>
        </w:rPr>
        <w:t>and the affected </w:t>
      </w:r>
      <w:r>
        <w:rPr>
          <w:spacing w:val="-3"/>
          <w:sz w:val="21"/>
        </w:rPr>
        <w:t>neighbour’s right to  </w:t>
      </w:r>
      <w:r>
        <w:rPr>
          <w:sz w:val="21"/>
        </w:rPr>
        <w:t>enjoy  their </w:t>
      </w:r>
      <w:r>
        <w:rPr>
          <w:spacing w:val="-3"/>
          <w:sz w:val="21"/>
        </w:rPr>
        <w:t>land </w:t>
      </w:r>
      <w:r>
        <w:rPr>
          <w:sz w:val="21"/>
        </w:rPr>
        <w:t>without </w:t>
      </w:r>
      <w:r>
        <w:rPr>
          <w:spacing w:val="-3"/>
          <w:sz w:val="21"/>
        </w:rPr>
        <w:t>unreasonable interference. </w:t>
      </w:r>
      <w:r>
        <w:rPr>
          <w:spacing w:val="-4"/>
          <w:sz w:val="21"/>
        </w:rPr>
        <w:t>However, </w:t>
      </w:r>
      <w:r>
        <w:rPr>
          <w:sz w:val="21"/>
        </w:rPr>
        <w:t>they </w:t>
      </w:r>
      <w:r>
        <w:rPr>
          <w:spacing w:val="-3"/>
          <w:sz w:val="21"/>
        </w:rPr>
        <w:t>have another dimension. </w:t>
      </w:r>
      <w:r>
        <w:rPr>
          <w:sz w:val="21"/>
        </w:rPr>
        <w:t>The need </w:t>
      </w:r>
      <w:r>
        <w:rPr>
          <w:spacing w:val="-3"/>
          <w:sz w:val="21"/>
        </w:rPr>
        <w:t>to retain </w:t>
      </w:r>
      <w:r>
        <w:rPr>
          <w:sz w:val="21"/>
        </w:rPr>
        <w:t>and protect vegetation is </w:t>
      </w:r>
      <w:r>
        <w:rPr>
          <w:spacing w:val="-3"/>
          <w:sz w:val="21"/>
        </w:rPr>
        <w:t>increasingly  </w:t>
      </w:r>
      <w:r>
        <w:rPr>
          <w:sz w:val="21"/>
        </w:rPr>
        <w:t>important </w:t>
      </w:r>
      <w:r>
        <w:rPr>
          <w:spacing w:val="-3"/>
          <w:sz w:val="21"/>
        </w:rPr>
        <w:t>to</w:t>
      </w:r>
      <w:r>
        <w:rPr>
          <w:spacing w:val="41"/>
          <w:sz w:val="21"/>
        </w:rPr>
        <w:t> </w:t>
      </w:r>
      <w:r>
        <w:rPr>
          <w:sz w:val="21"/>
        </w:rPr>
        <w:t>our community because  it</w:t>
      </w:r>
      <w:r>
        <w:rPr>
          <w:spacing w:val="9"/>
          <w:sz w:val="21"/>
        </w:rPr>
        <w:t> </w:t>
      </w:r>
      <w:r>
        <w:rPr>
          <w:spacing w:val="-3"/>
          <w:sz w:val="21"/>
        </w:rPr>
        <w:t>improves</w:t>
      </w:r>
      <w:r>
        <w:rPr>
          <w:spacing w:val="9"/>
          <w:sz w:val="21"/>
        </w:rPr>
        <w:t> </w:t>
      </w:r>
      <w:r>
        <w:rPr>
          <w:sz w:val="21"/>
        </w:rPr>
        <w:t>the</w:t>
      </w:r>
      <w:r>
        <w:rPr>
          <w:spacing w:val="9"/>
          <w:sz w:val="21"/>
        </w:rPr>
        <w:t> </w:t>
      </w:r>
      <w:r>
        <w:rPr>
          <w:spacing w:val="-3"/>
          <w:sz w:val="21"/>
        </w:rPr>
        <w:t>liveability</w:t>
      </w:r>
      <w:r>
        <w:rPr>
          <w:spacing w:val="10"/>
          <w:sz w:val="21"/>
        </w:rPr>
        <w:t> </w:t>
      </w:r>
      <w:r>
        <w:rPr>
          <w:sz w:val="21"/>
        </w:rPr>
        <w:t>of</w:t>
      </w:r>
      <w:r>
        <w:rPr>
          <w:spacing w:val="9"/>
          <w:sz w:val="21"/>
        </w:rPr>
        <w:t> </w:t>
      </w:r>
      <w:r>
        <w:rPr>
          <w:sz w:val="21"/>
        </w:rPr>
        <w:t>our</w:t>
      </w:r>
      <w:r>
        <w:rPr>
          <w:spacing w:val="9"/>
          <w:sz w:val="21"/>
        </w:rPr>
        <w:t> </w:t>
      </w:r>
      <w:r>
        <w:rPr>
          <w:sz w:val="21"/>
        </w:rPr>
        <w:t>urban</w:t>
      </w:r>
      <w:r>
        <w:rPr>
          <w:spacing w:val="10"/>
          <w:sz w:val="21"/>
        </w:rPr>
        <w:t> </w:t>
      </w:r>
      <w:r>
        <w:rPr>
          <w:spacing w:val="-3"/>
          <w:sz w:val="21"/>
        </w:rPr>
        <w:t>environments.</w:t>
      </w:r>
    </w:p>
    <w:p>
      <w:pPr>
        <w:pStyle w:val="ListParagraph"/>
        <w:numPr>
          <w:ilvl w:val="0"/>
          <w:numId w:val="3"/>
        </w:numPr>
        <w:tabs>
          <w:tab w:pos="2380" w:val="left" w:leader="none"/>
          <w:tab w:pos="2381" w:val="left" w:leader="none"/>
        </w:tabs>
        <w:spacing w:line="242" w:lineRule="auto" w:before="125" w:after="0"/>
        <w:ind w:left="2380" w:right="1661" w:hanging="794"/>
        <w:jc w:val="left"/>
        <w:rPr>
          <w:sz w:val="12"/>
        </w:rPr>
      </w:pPr>
      <w:r>
        <w:rPr>
          <w:sz w:val="21"/>
        </w:rPr>
        <w:t>Some </w:t>
      </w:r>
      <w:r>
        <w:rPr>
          <w:spacing w:val="-3"/>
          <w:sz w:val="21"/>
        </w:rPr>
        <w:t>councils </w:t>
      </w:r>
      <w:r>
        <w:rPr>
          <w:sz w:val="21"/>
        </w:rPr>
        <w:t>receive as </w:t>
      </w:r>
      <w:r>
        <w:rPr>
          <w:spacing w:val="-3"/>
          <w:sz w:val="21"/>
        </w:rPr>
        <w:t>many enquiries </w:t>
      </w:r>
      <w:r>
        <w:rPr>
          <w:sz w:val="21"/>
        </w:rPr>
        <w:t>about the loss of vegetation </w:t>
      </w:r>
      <w:r>
        <w:rPr>
          <w:spacing w:val="-3"/>
          <w:sz w:val="21"/>
        </w:rPr>
        <w:t>from </w:t>
      </w:r>
      <w:r>
        <w:rPr>
          <w:sz w:val="21"/>
        </w:rPr>
        <w:t>a </w:t>
      </w:r>
      <w:r>
        <w:rPr>
          <w:spacing w:val="-3"/>
          <w:sz w:val="21"/>
        </w:rPr>
        <w:t>neighbour’s </w:t>
      </w:r>
      <w:r>
        <w:rPr>
          <w:sz w:val="21"/>
        </w:rPr>
        <w:t>property as they do about a </w:t>
      </w:r>
      <w:r>
        <w:rPr>
          <w:spacing w:val="-3"/>
          <w:sz w:val="21"/>
        </w:rPr>
        <w:t>neighbour’s </w:t>
      </w:r>
      <w:r>
        <w:rPr>
          <w:sz w:val="21"/>
        </w:rPr>
        <w:t>tree </w:t>
      </w:r>
      <w:r>
        <w:rPr>
          <w:spacing w:val="-3"/>
          <w:sz w:val="21"/>
        </w:rPr>
        <w:t>causing </w:t>
      </w:r>
      <w:r>
        <w:rPr>
          <w:sz w:val="21"/>
        </w:rPr>
        <w:t>damage or </w:t>
      </w:r>
      <w:r>
        <w:rPr>
          <w:spacing w:val="-3"/>
          <w:sz w:val="21"/>
        </w:rPr>
        <w:t>harm to </w:t>
      </w:r>
      <w:r>
        <w:rPr>
          <w:sz w:val="21"/>
        </w:rPr>
        <w:t>the affected </w:t>
      </w:r>
      <w:r>
        <w:rPr>
          <w:spacing w:val="-3"/>
          <w:sz w:val="21"/>
        </w:rPr>
        <w:t>neighbour’s </w:t>
      </w:r>
      <w:r>
        <w:rPr>
          <w:sz w:val="21"/>
        </w:rPr>
        <w:t>property. The </w:t>
      </w:r>
      <w:r>
        <w:rPr>
          <w:spacing w:val="-3"/>
          <w:sz w:val="21"/>
        </w:rPr>
        <w:t>main </w:t>
      </w:r>
      <w:r>
        <w:rPr>
          <w:sz w:val="21"/>
        </w:rPr>
        <w:t>remedies </w:t>
      </w:r>
      <w:r>
        <w:rPr>
          <w:spacing w:val="-3"/>
          <w:sz w:val="21"/>
        </w:rPr>
        <w:t>are </w:t>
      </w:r>
      <w:r>
        <w:rPr>
          <w:sz w:val="21"/>
        </w:rPr>
        <w:t>court orders </w:t>
      </w:r>
      <w:r>
        <w:rPr>
          <w:spacing w:val="-3"/>
          <w:sz w:val="21"/>
        </w:rPr>
        <w:t>for </w:t>
      </w:r>
      <w:r>
        <w:rPr>
          <w:sz w:val="21"/>
        </w:rPr>
        <w:t>an injunction or </w:t>
      </w:r>
      <w:r>
        <w:rPr>
          <w:spacing w:val="-3"/>
          <w:sz w:val="21"/>
        </w:rPr>
        <w:t>damages. </w:t>
      </w:r>
      <w:r>
        <w:rPr>
          <w:sz w:val="21"/>
        </w:rPr>
        <w:t>These remedies </w:t>
      </w:r>
      <w:r>
        <w:rPr>
          <w:spacing w:val="-6"/>
          <w:sz w:val="21"/>
        </w:rPr>
        <w:t>‘aim </w:t>
      </w:r>
      <w:r>
        <w:rPr>
          <w:spacing w:val="-3"/>
          <w:sz w:val="21"/>
        </w:rPr>
        <w:t>to </w:t>
      </w:r>
      <w:r>
        <w:rPr>
          <w:sz w:val="21"/>
        </w:rPr>
        <w:t>rectify specific personal losses, but do </w:t>
      </w:r>
      <w:r>
        <w:rPr>
          <w:spacing w:val="-2"/>
          <w:sz w:val="21"/>
        </w:rPr>
        <w:t>not </w:t>
      </w:r>
      <w:r>
        <w:rPr>
          <w:sz w:val="21"/>
        </w:rPr>
        <w:t>address the interests of the </w:t>
      </w:r>
      <w:r>
        <w:rPr>
          <w:spacing w:val="-3"/>
          <w:sz w:val="21"/>
        </w:rPr>
        <w:t>public </w:t>
      </w:r>
      <w:r>
        <w:rPr>
          <w:sz w:val="21"/>
        </w:rPr>
        <w:t>at large in the aesthetic, </w:t>
      </w:r>
      <w:r>
        <w:rPr>
          <w:spacing w:val="-3"/>
          <w:sz w:val="21"/>
        </w:rPr>
        <w:t>historical, cultural </w:t>
      </w:r>
      <w:r>
        <w:rPr>
          <w:sz w:val="21"/>
        </w:rPr>
        <w:t>or </w:t>
      </w:r>
      <w:r>
        <w:rPr>
          <w:spacing w:val="-3"/>
          <w:sz w:val="21"/>
        </w:rPr>
        <w:t>environmental values </w:t>
      </w:r>
      <w:r>
        <w:rPr>
          <w:sz w:val="21"/>
        </w:rPr>
        <w:t>associated with</w:t>
      </w:r>
      <w:r>
        <w:rPr>
          <w:spacing w:val="8"/>
          <w:sz w:val="21"/>
        </w:rPr>
        <w:t> </w:t>
      </w:r>
      <w:r>
        <w:rPr>
          <w:spacing w:val="-7"/>
          <w:sz w:val="21"/>
        </w:rPr>
        <w:t>trees’.</w:t>
      </w:r>
      <w:r>
        <w:rPr>
          <w:spacing w:val="-7"/>
          <w:position w:val="7"/>
          <w:sz w:val="12"/>
        </w:rPr>
        <w:t>1</w:t>
      </w:r>
    </w:p>
    <w:p>
      <w:pPr>
        <w:pStyle w:val="BodyText"/>
        <w:spacing w:before="1"/>
        <w:rPr>
          <w:sz w:val="22"/>
        </w:rPr>
      </w:pPr>
    </w:p>
    <w:p>
      <w:pPr>
        <w:pStyle w:val="Heading4"/>
        <w:spacing w:before="1"/>
      </w:pPr>
      <w:r>
        <w:rPr>
          <w:color w:val="658464"/>
          <w:w w:val="115"/>
        </w:rPr>
        <w:t>A new Neighbourhood Tree Disputes Act</w:t>
      </w:r>
    </w:p>
    <w:p>
      <w:pPr>
        <w:pStyle w:val="ListParagraph"/>
        <w:numPr>
          <w:ilvl w:val="0"/>
          <w:numId w:val="3"/>
        </w:numPr>
        <w:tabs>
          <w:tab w:pos="2381" w:val="left" w:leader="none"/>
          <w:tab w:pos="2382" w:val="left" w:leader="none"/>
        </w:tabs>
        <w:spacing w:line="242" w:lineRule="auto" w:before="155" w:after="0"/>
        <w:ind w:left="2381" w:right="1733" w:hanging="794"/>
        <w:jc w:val="left"/>
        <w:rPr>
          <w:sz w:val="21"/>
        </w:rPr>
      </w:pPr>
      <w:r>
        <w:rPr>
          <w:w w:val="105"/>
          <w:sz w:val="21"/>
        </w:rPr>
        <w:t>The </w:t>
      </w:r>
      <w:r>
        <w:rPr>
          <w:spacing w:val="-3"/>
          <w:w w:val="105"/>
          <w:sz w:val="21"/>
        </w:rPr>
        <w:t>Commission recommends </w:t>
      </w:r>
      <w:r>
        <w:rPr>
          <w:w w:val="105"/>
          <w:sz w:val="21"/>
        </w:rPr>
        <w:t>the introduction of a Neighbourhood </w:t>
      </w:r>
      <w:r>
        <w:rPr>
          <w:spacing w:val="-5"/>
          <w:w w:val="105"/>
          <w:sz w:val="21"/>
        </w:rPr>
        <w:t>Tree </w:t>
      </w:r>
      <w:r>
        <w:rPr>
          <w:spacing w:val="-3"/>
          <w:w w:val="105"/>
          <w:sz w:val="21"/>
        </w:rPr>
        <w:t>Disputes </w:t>
      </w:r>
      <w:r>
        <w:rPr>
          <w:w w:val="105"/>
          <w:sz w:val="21"/>
        </w:rPr>
        <w:t>Act in Victoria, managed by the Victorian </w:t>
      </w:r>
      <w:r>
        <w:rPr>
          <w:spacing w:val="-3"/>
          <w:w w:val="105"/>
          <w:sz w:val="21"/>
        </w:rPr>
        <w:t>Civil </w:t>
      </w:r>
      <w:r>
        <w:rPr>
          <w:w w:val="105"/>
          <w:sz w:val="21"/>
        </w:rPr>
        <w:t>and </w:t>
      </w:r>
      <w:r>
        <w:rPr>
          <w:spacing w:val="-3"/>
          <w:w w:val="105"/>
          <w:sz w:val="21"/>
        </w:rPr>
        <w:t>Administrative </w:t>
      </w:r>
      <w:r>
        <w:rPr>
          <w:spacing w:val="-5"/>
          <w:w w:val="105"/>
          <w:sz w:val="21"/>
        </w:rPr>
        <w:t>Tribunal</w:t>
      </w:r>
      <w:r>
        <w:rPr>
          <w:spacing w:val="26"/>
          <w:w w:val="105"/>
          <w:sz w:val="21"/>
        </w:rPr>
        <w:t> </w:t>
      </w:r>
      <w:r>
        <w:rPr>
          <w:w w:val="105"/>
          <w:sz w:val="21"/>
        </w:rPr>
        <w:t>(VCAT).</w:t>
      </w:r>
    </w:p>
    <w:p>
      <w:pPr>
        <w:pStyle w:val="ListParagraph"/>
        <w:numPr>
          <w:ilvl w:val="0"/>
          <w:numId w:val="3"/>
        </w:numPr>
        <w:tabs>
          <w:tab w:pos="2381" w:val="left" w:leader="none"/>
          <w:tab w:pos="2382" w:val="left" w:leader="none"/>
        </w:tabs>
        <w:spacing w:line="242" w:lineRule="auto" w:before="122" w:after="0"/>
        <w:ind w:left="2381" w:right="1613" w:hanging="794"/>
        <w:jc w:val="left"/>
        <w:rPr>
          <w:sz w:val="21"/>
        </w:rPr>
      </w:pPr>
      <w:r>
        <w:rPr>
          <w:sz w:val="21"/>
        </w:rPr>
        <w:t>New South </w:t>
      </w:r>
      <w:r>
        <w:rPr>
          <w:spacing w:val="-3"/>
          <w:sz w:val="21"/>
        </w:rPr>
        <w:t>Wales, Queensland </w:t>
      </w:r>
      <w:r>
        <w:rPr>
          <w:sz w:val="21"/>
        </w:rPr>
        <w:t>and </w:t>
      </w:r>
      <w:r>
        <w:rPr>
          <w:spacing w:val="-5"/>
          <w:sz w:val="21"/>
        </w:rPr>
        <w:t>Tasmania </w:t>
      </w:r>
      <w:r>
        <w:rPr>
          <w:spacing w:val="-3"/>
          <w:sz w:val="21"/>
        </w:rPr>
        <w:t>have </w:t>
      </w:r>
      <w:r>
        <w:rPr>
          <w:sz w:val="21"/>
        </w:rPr>
        <w:t>enacted </w:t>
      </w:r>
      <w:r>
        <w:rPr>
          <w:spacing w:val="-3"/>
          <w:sz w:val="21"/>
        </w:rPr>
        <w:t>legislation to </w:t>
      </w:r>
      <w:r>
        <w:rPr>
          <w:sz w:val="21"/>
        </w:rPr>
        <w:t>govern the resolution of tree </w:t>
      </w:r>
      <w:r>
        <w:rPr>
          <w:spacing w:val="-3"/>
          <w:sz w:val="21"/>
        </w:rPr>
        <w:t>disputes. </w:t>
      </w:r>
      <w:r>
        <w:rPr>
          <w:sz w:val="21"/>
        </w:rPr>
        <w:t>The </w:t>
      </w:r>
      <w:r>
        <w:rPr>
          <w:spacing w:val="-3"/>
          <w:sz w:val="21"/>
        </w:rPr>
        <w:t>legislative </w:t>
      </w:r>
      <w:r>
        <w:rPr>
          <w:sz w:val="21"/>
        </w:rPr>
        <w:t>schemes in New South </w:t>
      </w:r>
      <w:r>
        <w:rPr>
          <w:spacing w:val="-3"/>
          <w:sz w:val="21"/>
        </w:rPr>
        <w:t>Wales </w:t>
      </w:r>
      <w:r>
        <w:rPr>
          <w:sz w:val="21"/>
        </w:rPr>
        <w:t>and </w:t>
      </w:r>
      <w:r>
        <w:rPr>
          <w:spacing w:val="-3"/>
          <w:sz w:val="21"/>
        </w:rPr>
        <w:t>Queensland </w:t>
      </w:r>
      <w:r>
        <w:rPr>
          <w:sz w:val="21"/>
        </w:rPr>
        <w:t>appear </w:t>
      </w:r>
      <w:r>
        <w:rPr>
          <w:spacing w:val="-3"/>
          <w:sz w:val="21"/>
        </w:rPr>
        <w:t>to have </w:t>
      </w:r>
      <w:r>
        <w:rPr>
          <w:spacing w:val="-2"/>
          <w:sz w:val="21"/>
        </w:rPr>
        <w:t>had </w:t>
      </w:r>
      <w:r>
        <w:rPr>
          <w:sz w:val="21"/>
        </w:rPr>
        <w:t>positive </w:t>
      </w:r>
      <w:r>
        <w:rPr>
          <w:spacing w:val="-3"/>
          <w:sz w:val="21"/>
        </w:rPr>
        <w:t>outcomes. </w:t>
      </w:r>
      <w:r>
        <w:rPr>
          <w:sz w:val="21"/>
        </w:rPr>
        <w:t>The </w:t>
      </w:r>
      <w:r>
        <w:rPr>
          <w:spacing w:val="-4"/>
          <w:sz w:val="21"/>
        </w:rPr>
        <w:t>Tasmanian </w:t>
      </w:r>
      <w:r>
        <w:rPr>
          <w:sz w:val="21"/>
        </w:rPr>
        <w:t>scheme only </w:t>
      </w:r>
      <w:r>
        <w:rPr>
          <w:spacing w:val="-3"/>
          <w:sz w:val="21"/>
        </w:rPr>
        <w:t>commenced  </w:t>
      </w:r>
      <w:r>
        <w:rPr>
          <w:sz w:val="21"/>
        </w:rPr>
        <w:t>in December </w:t>
      </w:r>
      <w:r>
        <w:rPr>
          <w:spacing w:val="-12"/>
          <w:sz w:val="21"/>
        </w:rPr>
        <w:t>2017.  </w:t>
      </w:r>
      <w:r>
        <w:rPr>
          <w:sz w:val="21"/>
        </w:rPr>
        <w:t>The number of </w:t>
      </w:r>
      <w:r>
        <w:rPr>
          <w:spacing w:val="-3"/>
          <w:sz w:val="21"/>
        </w:rPr>
        <w:t>applications  handled  </w:t>
      </w:r>
      <w:r>
        <w:rPr>
          <w:sz w:val="21"/>
        </w:rPr>
        <w:t>by the Land and </w:t>
      </w:r>
      <w:r>
        <w:rPr>
          <w:spacing w:val="-3"/>
          <w:sz w:val="21"/>
        </w:rPr>
        <w:t>Environment</w:t>
      </w:r>
      <w:r>
        <w:rPr>
          <w:spacing w:val="41"/>
          <w:sz w:val="21"/>
        </w:rPr>
        <w:t> </w:t>
      </w:r>
      <w:r>
        <w:rPr>
          <w:spacing w:val="-3"/>
          <w:sz w:val="21"/>
        </w:rPr>
        <w:t>Court    </w:t>
      </w:r>
      <w:r>
        <w:rPr>
          <w:sz w:val="21"/>
        </w:rPr>
        <w:t>of New South </w:t>
      </w:r>
      <w:r>
        <w:rPr>
          <w:spacing w:val="-3"/>
          <w:sz w:val="21"/>
        </w:rPr>
        <w:t>Wales </w:t>
      </w:r>
      <w:r>
        <w:rPr>
          <w:sz w:val="21"/>
        </w:rPr>
        <w:t>(NSWLEC) and the  </w:t>
      </w:r>
      <w:r>
        <w:rPr>
          <w:spacing w:val="-3"/>
          <w:sz w:val="21"/>
        </w:rPr>
        <w:t>Queensland  Civil  </w:t>
      </w:r>
      <w:r>
        <w:rPr>
          <w:sz w:val="21"/>
        </w:rPr>
        <w:t>and  </w:t>
      </w:r>
      <w:r>
        <w:rPr>
          <w:spacing w:val="-3"/>
          <w:sz w:val="21"/>
        </w:rPr>
        <w:t>Administrative  </w:t>
      </w:r>
      <w:r>
        <w:rPr>
          <w:spacing w:val="-5"/>
          <w:sz w:val="21"/>
        </w:rPr>
        <w:t>Tribunal </w:t>
      </w:r>
      <w:r>
        <w:rPr>
          <w:sz w:val="21"/>
        </w:rPr>
        <w:t>(QCAT) each </w:t>
      </w:r>
      <w:r>
        <w:rPr>
          <w:spacing w:val="-3"/>
          <w:sz w:val="21"/>
        </w:rPr>
        <w:t>year </w:t>
      </w:r>
      <w:r>
        <w:rPr>
          <w:sz w:val="21"/>
        </w:rPr>
        <w:t>is </w:t>
      </w:r>
      <w:r>
        <w:rPr>
          <w:spacing w:val="-3"/>
          <w:sz w:val="21"/>
        </w:rPr>
        <w:t>relatively </w:t>
      </w:r>
      <w:r>
        <w:rPr>
          <w:spacing w:val="-5"/>
          <w:sz w:val="21"/>
        </w:rPr>
        <w:t>low, </w:t>
      </w:r>
      <w:r>
        <w:rPr>
          <w:sz w:val="21"/>
        </w:rPr>
        <w:t>and the </w:t>
      </w:r>
      <w:r>
        <w:rPr>
          <w:spacing w:val="-3"/>
          <w:sz w:val="21"/>
        </w:rPr>
        <w:t>Commission </w:t>
      </w:r>
      <w:r>
        <w:rPr>
          <w:spacing w:val="-2"/>
          <w:sz w:val="21"/>
        </w:rPr>
        <w:t>has  </w:t>
      </w:r>
      <w:r>
        <w:rPr>
          <w:sz w:val="21"/>
        </w:rPr>
        <w:t>been advised </w:t>
      </w:r>
      <w:r>
        <w:rPr>
          <w:spacing w:val="-3"/>
          <w:sz w:val="21"/>
        </w:rPr>
        <w:t>that  </w:t>
      </w:r>
      <w:r>
        <w:rPr>
          <w:sz w:val="21"/>
        </w:rPr>
        <w:t>matters can  be</w:t>
      </w:r>
      <w:r>
        <w:rPr>
          <w:spacing w:val="15"/>
          <w:sz w:val="21"/>
        </w:rPr>
        <w:t> </w:t>
      </w:r>
      <w:r>
        <w:rPr>
          <w:sz w:val="21"/>
        </w:rPr>
        <w:t>resolved</w:t>
      </w:r>
      <w:r>
        <w:rPr>
          <w:spacing w:val="15"/>
          <w:sz w:val="21"/>
        </w:rPr>
        <w:t> </w:t>
      </w:r>
      <w:r>
        <w:rPr>
          <w:sz w:val="21"/>
        </w:rPr>
        <w:t>quickly</w:t>
      </w:r>
      <w:r>
        <w:rPr>
          <w:spacing w:val="16"/>
          <w:sz w:val="21"/>
        </w:rPr>
        <w:t> </w:t>
      </w:r>
      <w:r>
        <w:rPr>
          <w:sz w:val="21"/>
        </w:rPr>
        <w:t>and</w:t>
      </w:r>
      <w:r>
        <w:rPr>
          <w:spacing w:val="15"/>
          <w:sz w:val="21"/>
        </w:rPr>
        <w:t> </w:t>
      </w:r>
      <w:r>
        <w:rPr>
          <w:spacing w:val="-3"/>
          <w:sz w:val="21"/>
        </w:rPr>
        <w:t>affordably.</w:t>
      </w:r>
      <w:r>
        <w:rPr>
          <w:spacing w:val="15"/>
          <w:sz w:val="21"/>
        </w:rPr>
        <w:t> </w:t>
      </w:r>
      <w:r>
        <w:rPr>
          <w:sz w:val="21"/>
        </w:rPr>
        <w:t>These</w:t>
      </w:r>
      <w:r>
        <w:rPr>
          <w:spacing w:val="16"/>
          <w:sz w:val="21"/>
        </w:rPr>
        <w:t> </w:t>
      </w:r>
      <w:r>
        <w:rPr>
          <w:sz w:val="21"/>
        </w:rPr>
        <w:t>schemes</w:t>
      </w:r>
      <w:r>
        <w:rPr>
          <w:spacing w:val="15"/>
          <w:sz w:val="21"/>
        </w:rPr>
        <w:t> </w:t>
      </w:r>
      <w:r>
        <w:rPr>
          <w:sz w:val="21"/>
        </w:rPr>
        <w:t>provide</w:t>
      </w:r>
      <w:r>
        <w:rPr>
          <w:spacing w:val="15"/>
          <w:sz w:val="21"/>
        </w:rPr>
        <w:t> </w:t>
      </w:r>
      <w:r>
        <w:rPr>
          <w:sz w:val="21"/>
        </w:rPr>
        <w:t>a</w:t>
      </w:r>
      <w:r>
        <w:rPr>
          <w:spacing w:val="16"/>
          <w:sz w:val="21"/>
        </w:rPr>
        <w:t> </w:t>
      </w:r>
      <w:r>
        <w:rPr>
          <w:sz w:val="21"/>
        </w:rPr>
        <w:t>good</w:t>
      </w:r>
      <w:r>
        <w:rPr>
          <w:spacing w:val="15"/>
          <w:sz w:val="21"/>
        </w:rPr>
        <w:t> </w:t>
      </w:r>
      <w:r>
        <w:rPr>
          <w:sz w:val="21"/>
        </w:rPr>
        <w:t>guide</w:t>
      </w:r>
      <w:r>
        <w:rPr>
          <w:spacing w:val="15"/>
          <w:sz w:val="21"/>
        </w:rPr>
        <w:t> </w:t>
      </w:r>
      <w:r>
        <w:rPr>
          <w:spacing w:val="-3"/>
          <w:sz w:val="21"/>
        </w:rPr>
        <w:t>for</w:t>
      </w:r>
      <w:r>
        <w:rPr>
          <w:spacing w:val="16"/>
          <w:sz w:val="21"/>
        </w:rPr>
        <w:t> </w:t>
      </w:r>
      <w:r>
        <w:rPr>
          <w:sz w:val="21"/>
        </w:rPr>
        <w:t>Victoria.</w:t>
      </w:r>
    </w:p>
    <w:p>
      <w:pPr>
        <w:pStyle w:val="ListParagraph"/>
        <w:numPr>
          <w:ilvl w:val="0"/>
          <w:numId w:val="3"/>
        </w:numPr>
        <w:tabs>
          <w:tab w:pos="2380" w:val="left" w:leader="none"/>
          <w:tab w:pos="2381" w:val="left" w:leader="none"/>
        </w:tabs>
        <w:spacing w:line="242" w:lineRule="auto" w:before="127" w:after="0"/>
        <w:ind w:left="2381" w:right="2078" w:hanging="794"/>
        <w:jc w:val="left"/>
        <w:rPr>
          <w:sz w:val="21"/>
        </w:rPr>
      </w:pPr>
      <w:r>
        <w:rPr>
          <w:w w:val="105"/>
          <w:sz w:val="21"/>
        </w:rPr>
        <w:t>A</w:t>
      </w:r>
      <w:r>
        <w:rPr>
          <w:spacing w:val="-6"/>
          <w:w w:val="105"/>
          <w:sz w:val="21"/>
        </w:rPr>
        <w:t> </w:t>
      </w:r>
      <w:r>
        <w:rPr>
          <w:w w:val="105"/>
          <w:sz w:val="21"/>
        </w:rPr>
        <w:t>new</w:t>
      </w:r>
      <w:r>
        <w:rPr>
          <w:spacing w:val="-5"/>
          <w:w w:val="105"/>
          <w:sz w:val="21"/>
        </w:rPr>
        <w:t> </w:t>
      </w:r>
      <w:r>
        <w:rPr>
          <w:w w:val="105"/>
          <w:sz w:val="21"/>
        </w:rPr>
        <w:t>Act</w:t>
      </w:r>
      <w:r>
        <w:rPr>
          <w:spacing w:val="-5"/>
          <w:w w:val="105"/>
          <w:sz w:val="21"/>
        </w:rPr>
        <w:t> </w:t>
      </w:r>
      <w:r>
        <w:rPr>
          <w:w w:val="105"/>
          <w:sz w:val="21"/>
        </w:rPr>
        <w:t>is</w:t>
      </w:r>
      <w:r>
        <w:rPr>
          <w:spacing w:val="-5"/>
          <w:w w:val="105"/>
          <w:sz w:val="21"/>
        </w:rPr>
        <w:t> </w:t>
      </w:r>
      <w:r>
        <w:rPr>
          <w:w w:val="105"/>
          <w:sz w:val="21"/>
        </w:rPr>
        <w:t>the</w:t>
      </w:r>
      <w:r>
        <w:rPr>
          <w:spacing w:val="-5"/>
          <w:w w:val="105"/>
          <w:sz w:val="21"/>
        </w:rPr>
        <w:t> </w:t>
      </w:r>
      <w:r>
        <w:rPr>
          <w:w w:val="105"/>
          <w:sz w:val="21"/>
        </w:rPr>
        <w:t>best</w:t>
      </w:r>
      <w:r>
        <w:rPr>
          <w:spacing w:val="-5"/>
          <w:w w:val="105"/>
          <w:sz w:val="21"/>
        </w:rPr>
        <w:t> </w:t>
      </w:r>
      <w:r>
        <w:rPr>
          <w:spacing w:val="-3"/>
          <w:w w:val="105"/>
          <w:sz w:val="21"/>
        </w:rPr>
        <w:t>way</w:t>
      </w:r>
      <w:r>
        <w:rPr>
          <w:spacing w:val="-5"/>
          <w:w w:val="105"/>
          <w:sz w:val="21"/>
        </w:rPr>
        <w:t> </w:t>
      </w:r>
      <w:r>
        <w:rPr>
          <w:spacing w:val="-3"/>
          <w:w w:val="105"/>
          <w:sz w:val="21"/>
        </w:rPr>
        <w:t>to</w:t>
      </w:r>
      <w:r>
        <w:rPr>
          <w:spacing w:val="-5"/>
          <w:w w:val="105"/>
          <w:sz w:val="21"/>
        </w:rPr>
        <w:t> </w:t>
      </w:r>
      <w:r>
        <w:rPr>
          <w:spacing w:val="-3"/>
          <w:w w:val="105"/>
          <w:sz w:val="21"/>
        </w:rPr>
        <w:t>ensure</w:t>
      </w:r>
      <w:r>
        <w:rPr>
          <w:spacing w:val="-5"/>
          <w:w w:val="105"/>
          <w:sz w:val="21"/>
        </w:rPr>
        <w:t> </w:t>
      </w:r>
      <w:r>
        <w:rPr>
          <w:w w:val="105"/>
          <w:sz w:val="21"/>
        </w:rPr>
        <w:t>the</w:t>
      </w:r>
      <w:r>
        <w:rPr>
          <w:spacing w:val="-5"/>
          <w:w w:val="105"/>
          <w:sz w:val="21"/>
        </w:rPr>
        <w:t> </w:t>
      </w:r>
      <w:r>
        <w:rPr>
          <w:w w:val="105"/>
          <w:sz w:val="21"/>
        </w:rPr>
        <w:t>fast,</w:t>
      </w:r>
      <w:r>
        <w:rPr>
          <w:spacing w:val="-5"/>
          <w:w w:val="105"/>
          <w:sz w:val="21"/>
        </w:rPr>
        <w:t> </w:t>
      </w:r>
      <w:r>
        <w:rPr>
          <w:w w:val="105"/>
          <w:sz w:val="21"/>
        </w:rPr>
        <w:t>cheap</w:t>
      </w:r>
      <w:r>
        <w:rPr>
          <w:spacing w:val="-6"/>
          <w:w w:val="105"/>
          <w:sz w:val="21"/>
        </w:rPr>
        <w:t> </w:t>
      </w:r>
      <w:r>
        <w:rPr>
          <w:w w:val="105"/>
          <w:sz w:val="21"/>
        </w:rPr>
        <w:t>and</w:t>
      </w:r>
      <w:r>
        <w:rPr>
          <w:spacing w:val="-5"/>
          <w:w w:val="105"/>
          <w:sz w:val="21"/>
        </w:rPr>
        <w:t> </w:t>
      </w:r>
      <w:r>
        <w:rPr>
          <w:w w:val="105"/>
          <w:sz w:val="21"/>
        </w:rPr>
        <w:t>effective</w:t>
      </w:r>
      <w:r>
        <w:rPr>
          <w:spacing w:val="-5"/>
          <w:w w:val="105"/>
          <w:sz w:val="21"/>
        </w:rPr>
        <w:t> </w:t>
      </w:r>
      <w:r>
        <w:rPr>
          <w:w w:val="105"/>
          <w:sz w:val="21"/>
        </w:rPr>
        <w:t>resolution</w:t>
      </w:r>
      <w:r>
        <w:rPr>
          <w:spacing w:val="-5"/>
          <w:w w:val="105"/>
          <w:sz w:val="21"/>
        </w:rPr>
        <w:t> </w:t>
      </w:r>
      <w:r>
        <w:rPr>
          <w:w w:val="105"/>
          <w:sz w:val="21"/>
        </w:rPr>
        <w:t>of</w:t>
      </w:r>
      <w:r>
        <w:rPr>
          <w:spacing w:val="-5"/>
          <w:w w:val="105"/>
          <w:sz w:val="21"/>
        </w:rPr>
        <w:t> </w:t>
      </w:r>
      <w:r>
        <w:rPr>
          <w:w w:val="105"/>
          <w:sz w:val="21"/>
        </w:rPr>
        <w:t>these </w:t>
      </w:r>
      <w:r>
        <w:rPr>
          <w:spacing w:val="-3"/>
          <w:w w:val="105"/>
          <w:sz w:val="21"/>
        </w:rPr>
        <w:t>disputes. Community </w:t>
      </w:r>
      <w:r>
        <w:rPr>
          <w:w w:val="105"/>
          <w:sz w:val="21"/>
        </w:rPr>
        <w:t>responses overwhelmingly support this</w:t>
      </w:r>
      <w:r>
        <w:rPr>
          <w:spacing w:val="12"/>
          <w:w w:val="105"/>
          <w:sz w:val="21"/>
        </w:rPr>
        <w:t> </w:t>
      </w:r>
      <w:r>
        <w:rPr>
          <w:w w:val="105"/>
          <w:sz w:val="21"/>
        </w:rPr>
        <w:t>option.</w:t>
      </w: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784;mso-wrap-distance-left:0;mso-wrap-distance-right:0" from="79.370102pt,10.207748pt" to="515.905102pt,10.207748pt" stroked="true" strokeweight="1pt" strokecolor="#c9d2cb">
            <v:stroke dashstyle="solid"/>
            <w10:wrap type="topAndBottom"/>
          </v:line>
        </w:pict>
      </w:r>
    </w:p>
    <w:p>
      <w:pPr>
        <w:tabs>
          <w:tab w:pos="1587" w:val="left" w:leader="none"/>
          <w:tab w:pos="2380" w:val="left" w:leader="none"/>
        </w:tabs>
        <w:spacing w:before="27"/>
        <w:ind w:left="720" w:right="0" w:firstLine="0"/>
        <w:jc w:val="left"/>
        <w:rPr>
          <w:sz w:val="13"/>
        </w:rPr>
      </w:pPr>
      <w:r>
        <w:rPr>
          <w:b/>
          <w:color w:val="658464"/>
          <w:w w:val="105"/>
          <w:sz w:val="24"/>
        </w:rPr>
        <w:t>xvi</w:t>
        <w:tab/>
      </w:r>
      <w:r>
        <w:rPr>
          <w:w w:val="105"/>
          <w:position w:val="1"/>
          <w:sz w:val="13"/>
        </w:rPr>
        <w:t>1</w:t>
        <w:tab/>
        <w:t>Margaret</w:t>
      </w:r>
      <w:r>
        <w:rPr>
          <w:spacing w:val="4"/>
          <w:w w:val="105"/>
          <w:position w:val="1"/>
          <w:sz w:val="13"/>
        </w:rPr>
        <w:t> </w:t>
      </w:r>
      <w:r>
        <w:rPr>
          <w:w w:val="105"/>
          <w:position w:val="1"/>
          <w:sz w:val="13"/>
        </w:rPr>
        <w:t>Davies</w:t>
      </w:r>
      <w:r>
        <w:rPr>
          <w:spacing w:val="5"/>
          <w:w w:val="105"/>
          <w:position w:val="1"/>
          <w:sz w:val="13"/>
        </w:rPr>
        <w:t> </w:t>
      </w:r>
      <w:r>
        <w:rPr>
          <w:w w:val="105"/>
          <w:position w:val="1"/>
          <w:sz w:val="13"/>
        </w:rPr>
        <w:t>and</w:t>
      </w:r>
      <w:r>
        <w:rPr>
          <w:spacing w:val="4"/>
          <w:w w:val="105"/>
          <w:position w:val="1"/>
          <w:sz w:val="13"/>
        </w:rPr>
        <w:t> </w:t>
      </w:r>
      <w:r>
        <w:rPr>
          <w:w w:val="105"/>
          <w:position w:val="1"/>
          <w:sz w:val="13"/>
        </w:rPr>
        <w:t>Kynan</w:t>
      </w:r>
      <w:r>
        <w:rPr>
          <w:spacing w:val="5"/>
          <w:w w:val="105"/>
          <w:position w:val="1"/>
          <w:sz w:val="13"/>
        </w:rPr>
        <w:t> </w:t>
      </w:r>
      <w:r>
        <w:rPr>
          <w:w w:val="105"/>
          <w:position w:val="1"/>
          <w:sz w:val="13"/>
        </w:rPr>
        <w:t>Rogers,</w:t>
      </w:r>
      <w:r>
        <w:rPr>
          <w:spacing w:val="5"/>
          <w:w w:val="105"/>
          <w:position w:val="1"/>
          <w:sz w:val="13"/>
        </w:rPr>
        <w:t> </w:t>
      </w:r>
      <w:r>
        <w:rPr>
          <w:w w:val="105"/>
          <w:position w:val="1"/>
          <w:sz w:val="13"/>
        </w:rPr>
        <w:t>‘Tale</w:t>
      </w:r>
      <w:r>
        <w:rPr>
          <w:spacing w:val="4"/>
          <w:w w:val="105"/>
          <w:position w:val="1"/>
          <w:sz w:val="13"/>
        </w:rPr>
        <w:t> </w:t>
      </w:r>
      <w:r>
        <w:rPr>
          <w:w w:val="105"/>
          <w:position w:val="1"/>
          <w:sz w:val="13"/>
        </w:rPr>
        <w:t>of</w:t>
      </w:r>
      <w:r>
        <w:rPr>
          <w:spacing w:val="5"/>
          <w:w w:val="105"/>
          <w:position w:val="1"/>
          <w:sz w:val="13"/>
        </w:rPr>
        <w:t> </w:t>
      </w:r>
      <w:r>
        <w:rPr>
          <w:w w:val="105"/>
          <w:position w:val="1"/>
          <w:sz w:val="13"/>
        </w:rPr>
        <w:t>a</w:t>
      </w:r>
      <w:r>
        <w:rPr>
          <w:spacing w:val="5"/>
          <w:w w:val="105"/>
          <w:position w:val="1"/>
          <w:sz w:val="13"/>
        </w:rPr>
        <w:t> </w:t>
      </w:r>
      <w:r>
        <w:rPr>
          <w:w w:val="105"/>
          <w:position w:val="1"/>
          <w:sz w:val="13"/>
        </w:rPr>
        <w:t>Tree’</w:t>
      </w:r>
      <w:r>
        <w:rPr>
          <w:spacing w:val="4"/>
          <w:w w:val="105"/>
          <w:position w:val="1"/>
          <w:sz w:val="13"/>
        </w:rPr>
        <w:t> </w:t>
      </w:r>
      <w:r>
        <w:rPr>
          <w:w w:val="105"/>
          <w:position w:val="1"/>
          <w:sz w:val="13"/>
        </w:rPr>
        <w:t>(2014)</w:t>
      </w:r>
      <w:r>
        <w:rPr>
          <w:spacing w:val="5"/>
          <w:w w:val="105"/>
          <w:position w:val="1"/>
          <w:sz w:val="13"/>
        </w:rPr>
        <w:t> </w:t>
      </w:r>
      <w:r>
        <w:rPr>
          <w:w w:val="105"/>
          <w:position w:val="1"/>
          <w:sz w:val="13"/>
        </w:rPr>
        <w:t>16</w:t>
      </w:r>
      <w:r>
        <w:rPr>
          <w:spacing w:val="5"/>
          <w:w w:val="105"/>
          <w:position w:val="1"/>
          <w:sz w:val="13"/>
        </w:rPr>
        <w:t> </w:t>
      </w:r>
      <w:r>
        <w:rPr>
          <w:i/>
          <w:w w:val="105"/>
          <w:position w:val="1"/>
          <w:sz w:val="13"/>
        </w:rPr>
        <w:t>Flinders</w:t>
      </w:r>
      <w:r>
        <w:rPr>
          <w:i/>
          <w:spacing w:val="4"/>
          <w:w w:val="105"/>
          <w:position w:val="1"/>
          <w:sz w:val="13"/>
        </w:rPr>
        <w:t> </w:t>
      </w:r>
      <w:r>
        <w:rPr>
          <w:i/>
          <w:w w:val="105"/>
          <w:position w:val="1"/>
          <w:sz w:val="13"/>
        </w:rPr>
        <w:t>Law</w:t>
      </w:r>
      <w:r>
        <w:rPr>
          <w:i/>
          <w:spacing w:val="5"/>
          <w:w w:val="105"/>
          <w:position w:val="1"/>
          <w:sz w:val="13"/>
        </w:rPr>
        <w:t> </w:t>
      </w:r>
      <w:r>
        <w:rPr>
          <w:i/>
          <w:w w:val="105"/>
          <w:position w:val="1"/>
          <w:sz w:val="13"/>
        </w:rPr>
        <w:t>Journal</w:t>
      </w:r>
      <w:r>
        <w:rPr>
          <w:i/>
          <w:spacing w:val="5"/>
          <w:w w:val="105"/>
          <w:position w:val="1"/>
          <w:sz w:val="13"/>
        </w:rPr>
        <w:t> </w:t>
      </w:r>
      <w:r>
        <w:rPr>
          <w:w w:val="105"/>
          <w:position w:val="1"/>
          <w:sz w:val="13"/>
        </w:rPr>
        <w:t>43,</w:t>
      </w:r>
      <w:r>
        <w:rPr>
          <w:spacing w:val="4"/>
          <w:w w:val="105"/>
          <w:position w:val="1"/>
          <w:sz w:val="13"/>
        </w:rPr>
        <w:t> </w:t>
      </w:r>
      <w:r>
        <w:rPr>
          <w:w w:val="105"/>
          <w:position w:val="1"/>
          <w:sz w:val="13"/>
        </w:rPr>
        <w:t>52.</w:t>
      </w:r>
    </w:p>
    <w:p>
      <w:pPr>
        <w:spacing w:after="0"/>
        <w:jc w:val="left"/>
        <w:rPr>
          <w:sz w:val="13"/>
        </w:rPr>
        <w:sectPr>
          <w:pgSz w:w="11910" w:h="16840"/>
          <w:pgMar w:header="546" w:footer="0" w:top="1560" w:bottom="280" w:left="0" w:right="0"/>
        </w:sectPr>
      </w:pPr>
    </w:p>
    <w:p>
      <w:pPr>
        <w:pStyle w:val="BodyText"/>
        <w:spacing w:before="12"/>
        <w:rPr>
          <w:sz w:val="23"/>
        </w:rPr>
      </w:pPr>
    </w:p>
    <w:p>
      <w:pPr>
        <w:spacing w:after="0"/>
        <w:rPr>
          <w:sz w:val="23"/>
        </w:rPr>
        <w:sectPr>
          <w:headerReference w:type="default" r:id="rId20"/>
          <w:headerReference w:type="even" r:id="rId21"/>
          <w:pgSz w:w="11910" w:h="16840"/>
          <w:pgMar w:header="1372" w:footer="0" w:top="1560" w:bottom="280" w:left="0" w:right="0"/>
        </w:sectPr>
      </w:pPr>
    </w:p>
    <w:p>
      <w:pPr>
        <w:pStyle w:val="ListParagraph"/>
        <w:numPr>
          <w:ilvl w:val="0"/>
          <w:numId w:val="3"/>
        </w:numPr>
        <w:tabs>
          <w:tab w:pos="2381" w:val="left" w:leader="none"/>
          <w:tab w:pos="2382" w:val="left" w:leader="none"/>
        </w:tabs>
        <w:spacing w:line="240" w:lineRule="auto" w:before="91" w:after="0"/>
        <w:ind w:left="2381" w:right="0" w:hanging="794"/>
        <w:jc w:val="left"/>
        <w:rPr>
          <w:sz w:val="21"/>
        </w:rPr>
      </w:pPr>
      <w:r>
        <w:rPr>
          <w:w w:val="105"/>
          <w:sz w:val="21"/>
        </w:rPr>
        <w:t>The </w:t>
      </w:r>
      <w:r>
        <w:rPr>
          <w:spacing w:val="-3"/>
          <w:w w:val="105"/>
          <w:sz w:val="21"/>
        </w:rPr>
        <w:t>aims </w:t>
      </w:r>
      <w:r>
        <w:rPr>
          <w:w w:val="105"/>
          <w:sz w:val="21"/>
        </w:rPr>
        <w:t>of the new Act </w:t>
      </w:r>
      <w:r>
        <w:rPr>
          <w:spacing w:val="-3"/>
          <w:w w:val="105"/>
          <w:sz w:val="21"/>
        </w:rPr>
        <w:t>are</w:t>
      </w:r>
      <w:r>
        <w:rPr>
          <w:spacing w:val="39"/>
          <w:w w:val="105"/>
          <w:sz w:val="21"/>
        </w:rPr>
        <w:t> </w:t>
      </w:r>
      <w:r>
        <w:rPr>
          <w:w w:val="105"/>
          <w:sz w:val="21"/>
        </w:rPr>
        <w:t>to:</w:t>
      </w:r>
    </w:p>
    <w:p>
      <w:pPr>
        <w:pStyle w:val="ListParagraph"/>
        <w:numPr>
          <w:ilvl w:val="1"/>
          <w:numId w:val="3"/>
        </w:numPr>
        <w:tabs>
          <w:tab w:pos="2721" w:val="left" w:leader="none"/>
          <w:tab w:pos="2722" w:val="left" w:leader="none"/>
        </w:tabs>
        <w:spacing w:line="242" w:lineRule="auto" w:before="124" w:after="0"/>
        <w:ind w:left="2721" w:right="17" w:hanging="340"/>
        <w:jc w:val="left"/>
        <w:rPr>
          <w:sz w:val="21"/>
        </w:rPr>
      </w:pPr>
      <w:r>
        <w:rPr>
          <w:sz w:val="21"/>
        </w:rPr>
        <w:t>provide a </w:t>
      </w:r>
      <w:r>
        <w:rPr>
          <w:spacing w:val="-3"/>
          <w:sz w:val="21"/>
        </w:rPr>
        <w:t>clear dispute </w:t>
      </w:r>
      <w:r>
        <w:rPr>
          <w:sz w:val="21"/>
        </w:rPr>
        <w:t>resolution </w:t>
      </w:r>
      <w:r>
        <w:rPr>
          <w:spacing w:val="-3"/>
          <w:sz w:val="21"/>
        </w:rPr>
        <w:t>pathway that encourages </w:t>
      </w:r>
      <w:r>
        <w:rPr>
          <w:sz w:val="21"/>
        </w:rPr>
        <w:t>people </w:t>
      </w:r>
      <w:r>
        <w:rPr>
          <w:spacing w:val="-3"/>
          <w:sz w:val="21"/>
        </w:rPr>
        <w:t>to </w:t>
      </w:r>
      <w:r>
        <w:rPr>
          <w:sz w:val="21"/>
        </w:rPr>
        <w:t>resolve </w:t>
      </w:r>
      <w:r>
        <w:rPr>
          <w:spacing w:val="-3"/>
          <w:sz w:val="21"/>
        </w:rPr>
        <w:t>disputes informally </w:t>
      </w:r>
      <w:r>
        <w:rPr>
          <w:sz w:val="21"/>
        </w:rPr>
        <w:t>between</w:t>
      </w:r>
      <w:r>
        <w:rPr>
          <w:spacing w:val="19"/>
          <w:sz w:val="21"/>
        </w:rPr>
        <w:t> </w:t>
      </w:r>
      <w:r>
        <w:rPr>
          <w:sz w:val="21"/>
        </w:rPr>
        <w:t>themselves</w:t>
      </w:r>
    </w:p>
    <w:p>
      <w:pPr>
        <w:pStyle w:val="ListParagraph"/>
        <w:numPr>
          <w:ilvl w:val="1"/>
          <w:numId w:val="3"/>
        </w:numPr>
        <w:tabs>
          <w:tab w:pos="2721" w:val="left" w:leader="none"/>
          <w:tab w:pos="2722" w:val="left" w:leader="none"/>
        </w:tabs>
        <w:spacing w:line="240" w:lineRule="auto" w:before="87" w:after="0"/>
        <w:ind w:left="2721" w:right="0" w:hanging="340"/>
        <w:jc w:val="left"/>
        <w:rPr>
          <w:sz w:val="21"/>
        </w:rPr>
      </w:pPr>
      <w:r>
        <w:rPr>
          <w:sz w:val="21"/>
        </w:rPr>
        <w:t>enable </w:t>
      </w:r>
      <w:r>
        <w:rPr>
          <w:spacing w:val="-3"/>
          <w:sz w:val="21"/>
        </w:rPr>
        <w:t>disputes to</w:t>
      </w:r>
      <w:r>
        <w:rPr>
          <w:spacing w:val="20"/>
          <w:sz w:val="21"/>
        </w:rPr>
        <w:t> </w:t>
      </w:r>
      <w:r>
        <w:rPr>
          <w:sz w:val="21"/>
        </w:rPr>
        <w:t>be resolved efficiently and inexpensively</w:t>
      </w:r>
    </w:p>
    <w:p>
      <w:pPr>
        <w:pStyle w:val="ListParagraph"/>
        <w:numPr>
          <w:ilvl w:val="1"/>
          <w:numId w:val="3"/>
        </w:numPr>
        <w:tabs>
          <w:tab w:pos="2721" w:val="left" w:leader="none"/>
          <w:tab w:pos="2722" w:val="left" w:leader="none"/>
        </w:tabs>
        <w:spacing w:line="242" w:lineRule="auto" w:before="89" w:after="0"/>
        <w:ind w:left="2721" w:right="36" w:hanging="340"/>
        <w:jc w:val="left"/>
        <w:rPr>
          <w:sz w:val="21"/>
        </w:rPr>
      </w:pPr>
      <w:r>
        <w:rPr>
          <w:w w:val="105"/>
          <w:sz w:val="21"/>
        </w:rPr>
        <w:t>establish</w:t>
      </w:r>
      <w:r>
        <w:rPr>
          <w:spacing w:val="-9"/>
          <w:w w:val="105"/>
          <w:sz w:val="21"/>
        </w:rPr>
        <w:t> </w:t>
      </w:r>
      <w:r>
        <w:rPr>
          <w:spacing w:val="-3"/>
          <w:w w:val="105"/>
          <w:sz w:val="21"/>
        </w:rPr>
        <w:t>clear</w:t>
      </w:r>
      <w:r>
        <w:rPr>
          <w:spacing w:val="-9"/>
          <w:w w:val="105"/>
          <w:sz w:val="21"/>
        </w:rPr>
        <w:t> </w:t>
      </w:r>
      <w:r>
        <w:rPr>
          <w:w w:val="105"/>
          <w:sz w:val="21"/>
        </w:rPr>
        <w:t>decision-making</w:t>
      </w:r>
      <w:r>
        <w:rPr>
          <w:spacing w:val="-9"/>
          <w:w w:val="105"/>
          <w:sz w:val="21"/>
        </w:rPr>
        <w:t> </w:t>
      </w:r>
      <w:r>
        <w:rPr>
          <w:spacing w:val="-3"/>
          <w:w w:val="105"/>
          <w:sz w:val="21"/>
        </w:rPr>
        <w:t>principles</w:t>
      </w:r>
      <w:r>
        <w:rPr>
          <w:spacing w:val="-8"/>
          <w:w w:val="105"/>
          <w:sz w:val="21"/>
        </w:rPr>
        <w:t> </w:t>
      </w:r>
      <w:r>
        <w:rPr>
          <w:spacing w:val="-3"/>
          <w:w w:val="105"/>
          <w:sz w:val="21"/>
        </w:rPr>
        <w:t>to</w:t>
      </w:r>
      <w:r>
        <w:rPr>
          <w:spacing w:val="-9"/>
          <w:w w:val="105"/>
          <w:sz w:val="21"/>
        </w:rPr>
        <w:t> </w:t>
      </w:r>
      <w:r>
        <w:rPr>
          <w:w w:val="105"/>
          <w:sz w:val="21"/>
        </w:rPr>
        <w:t>guide</w:t>
      </w:r>
      <w:r>
        <w:rPr>
          <w:spacing w:val="-9"/>
          <w:w w:val="105"/>
          <w:sz w:val="21"/>
        </w:rPr>
        <w:t> </w:t>
      </w:r>
      <w:r>
        <w:rPr>
          <w:w w:val="105"/>
          <w:sz w:val="21"/>
        </w:rPr>
        <w:t>the</w:t>
      </w:r>
      <w:r>
        <w:rPr>
          <w:spacing w:val="-9"/>
          <w:w w:val="105"/>
          <w:sz w:val="21"/>
        </w:rPr>
        <w:t> </w:t>
      </w:r>
      <w:r>
        <w:rPr>
          <w:w w:val="105"/>
          <w:sz w:val="21"/>
        </w:rPr>
        <w:t>community</w:t>
      </w:r>
      <w:r>
        <w:rPr>
          <w:spacing w:val="-8"/>
          <w:w w:val="105"/>
          <w:sz w:val="21"/>
        </w:rPr>
        <w:t> </w:t>
      </w:r>
      <w:r>
        <w:rPr>
          <w:w w:val="105"/>
          <w:sz w:val="21"/>
        </w:rPr>
        <w:t>about</w:t>
      </w:r>
      <w:r>
        <w:rPr>
          <w:spacing w:val="-9"/>
          <w:w w:val="105"/>
          <w:sz w:val="21"/>
        </w:rPr>
        <w:t> </w:t>
      </w:r>
      <w:r>
        <w:rPr>
          <w:w w:val="105"/>
          <w:sz w:val="21"/>
        </w:rPr>
        <w:t>how</w:t>
      </w:r>
      <w:r>
        <w:rPr>
          <w:spacing w:val="-9"/>
          <w:w w:val="105"/>
          <w:sz w:val="21"/>
        </w:rPr>
        <w:t> </w:t>
      </w:r>
      <w:r>
        <w:rPr>
          <w:w w:val="105"/>
          <w:sz w:val="21"/>
        </w:rPr>
        <w:t>the</w:t>
      </w:r>
      <w:r>
        <w:rPr>
          <w:spacing w:val="-8"/>
          <w:w w:val="105"/>
          <w:sz w:val="21"/>
        </w:rPr>
        <w:t> </w:t>
      </w:r>
      <w:r>
        <w:rPr>
          <w:w w:val="105"/>
          <w:sz w:val="21"/>
        </w:rPr>
        <w:t>law applies, and help the community resolve their own</w:t>
      </w:r>
      <w:r>
        <w:rPr>
          <w:spacing w:val="17"/>
          <w:w w:val="105"/>
          <w:sz w:val="21"/>
        </w:rPr>
        <w:t> </w:t>
      </w:r>
      <w:r>
        <w:rPr>
          <w:spacing w:val="-3"/>
          <w:w w:val="105"/>
          <w:sz w:val="21"/>
        </w:rPr>
        <w:t>disputes</w:t>
      </w:r>
    </w:p>
    <w:p>
      <w:pPr>
        <w:pStyle w:val="ListParagraph"/>
        <w:numPr>
          <w:ilvl w:val="1"/>
          <w:numId w:val="3"/>
        </w:numPr>
        <w:tabs>
          <w:tab w:pos="2721" w:val="left" w:leader="none"/>
          <w:tab w:pos="2722" w:val="left" w:leader="none"/>
        </w:tabs>
        <w:spacing w:line="240" w:lineRule="auto" w:before="87" w:after="0"/>
        <w:ind w:left="2721" w:right="0" w:hanging="340"/>
        <w:jc w:val="left"/>
        <w:rPr>
          <w:sz w:val="21"/>
        </w:rPr>
      </w:pPr>
      <w:r>
        <w:rPr>
          <w:sz w:val="21"/>
        </w:rPr>
        <w:t>provide practical and effective</w:t>
      </w:r>
      <w:r>
        <w:rPr>
          <w:spacing w:val="32"/>
          <w:sz w:val="21"/>
        </w:rPr>
        <w:t> </w:t>
      </w:r>
      <w:r>
        <w:rPr>
          <w:sz w:val="21"/>
        </w:rPr>
        <w:t>remedies</w:t>
      </w:r>
    </w:p>
    <w:p>
      <w:pPr>
        <w:pStyle w:val="ListParagraph"/>
        <w:numPr>
          <w:ilvl w:val="1"/>
          <w:numId w:val="3"/>
        </w:numPr>
        <w:tabs>
          <w:tab w:pos="2721" w:val="left" w:leader="none"/>
          <w:tab w:pos="2722" w:val="left" w:leader="none"/>
        </w:tabs>
        <w:spacing w:line="242" w:lineRule="auto" w:before="89" w:after="0"/>
        <w:ind w:left="2721" w:right="443" w:hanging="340"/>
        <w:jc w:val="left"/>
        <w:rPr>
          <w:sz w:val="21"/>
        </w:rPr>
      </w:pPr>
      <w:r>
        <w:rPr>
          <w:spacing w:val="-3"/>
          <w:w w:val="105"/>
          <w:sz w:val="21"/>
        </w:rPr>
        <w:t>balance</w:t>
      </w:r>
      <w:r>
        <w:rPr>
          <w:spacing w:val="-11"/>
          <w:w w:val="105"/>
          <w:sz w:val="21"/>
        </w:rPr>
        <w:t> </w:t>
      </w:r>
      <w:r>
        <w:rPr>
          <w:spacing w:val="-3"/>
          <w:w w:val="105"/>
          <w:sz w:val="21"/>
        </w:rPr>
        <w:t>competing</w:t>
      </w:r>
      <w:r>
        <w:rPr>
          <w:spacing w:val="-11"/>
          <w:w w:val="105"/>
          <w:sz w:val="21"/>
        </w:rPr>
        <w:t> </w:t>
      </w:r>
      <w:r>
        <w:rPr>
          <w:w w:val="105"/>
          <w:sz w:val="21"/>
        </w:rPr>
        <w:t>rights</w:t>
      </w:r>
      <w:r>
        <w:rPr>
          <w:spacing w:val="-10"/>
          <w:w w:val="105"/>
          <w:sz w:val="21"/>
        </w:rPr>
        <w:t> </w:t>
      </w:r>
      <w:r>
        <w:rPr>
          <w:w w:val="105"/>
          <w:sz w:val="21"/>
        </w:rPr>
        <w:t>and</w:t>
      </w:r>
      <w:r>
        <w:rPr>
          <w:spacing w:val="-11"/>
          <w:w w:val="105"/>
          <w:sz w:val="21"/>
        </w:rPr>
        <w:t> </w:t>
      </w:r>
      <w:r>
        <w:rPr>
          <w:w w:val="105"/>
          <w:sz w:val="21"/>
        </w:rPr>
        <w:t>interests</w:t>
      </w:r>
      <w:r>
        <w:rPr>
          <w:spacing w:val="-11"/>
          <w:w w:val="105"/>
          <w:sz w:val="21"/>
        </w:rPr>
        <w:t> </w:t>
      </w:r>
      <w:r>
        <w:rPr>
          <w:spacing w:val="-3"/>
          <w:w w:val="105"/>
          <w:sz w:val="21"/>
        </w:rPr>
        <w:t>fairly</w:t>
      </w:r>
      <w:r>
        <w:rPr>
          <w:spacing w:val="-10"/>
          <w:w w:val="105"/>
          <w:sz w:val="21"/>
        </w:rPr>
        <w:t> </w:t>
      </w:r>
      <w:r>
        <w:rPr>
          <w:w w:val="105"/>
          <w:sz w:val="21"/>
        </w:rPr>
        <w:t>and</w:t>
      </w:r>
      <w:r>
        <w:rPr>
          <w:spacing w:val="-11"/>
          <w:w w:val="105"/>
          <w:sz w:val="21"/>
        </w:rPr>
        <w:t> </w:t>
      </w:r>
      <w:r>
        <w:rPr>
          <w:spacing w:val="-3"/>
          <w:w w:val="105"/>
          <w:sz w:val="21"/>
        </w:rPr>
        <w:t>transparently</w:t>
      </w:r>
      <w:r>
        <w:rPr>
          <w:spacing w:val="-11"/>
          <w:w w:val="105"/>
          <w:sz w:val="21"/>
        </w:rPr>
        <w:t> </w:t>
      </w:r>
      <w:r>
        <w:rPr>
          <w:w w:val="105"/>
          <w:sz w:val="21"/>
        </w:rPr>
        <w:t>and</w:t>
      </w:r>
      <w:r>
        <w:rPr>
          <w:spacing w:val="-10"/>
          <w:w w:val="105"/>
          <w:sz w:val="21"/>
        </w:rPr>
        <w:t> </w:t>
      </w:r>
      <w:r>
        <w:rPr>
          <w:w w:val="105"/>
          <w:sz w:val="21"/>
        </w:rPr>
        <w:t>use</w:t>
      </w:r>
      <w:r>
        <w:rPr>
          <w:spacing w:val="-11"/>
          <w:w w:val="105"/>
          <w:sz w:val="21"/>
        </w:rPr>
        <w:t> </w:t>
      </w:r>
      <w:r>
        <w:rPr>
          <w:w w:val="105"/>
          <w:sz w:val="21"/>
        </w:rPr>
        <w:t>evidence- based decision</w:t>
      </w:r>
      <w:r>
        <w:rPr>
          <w:spacing w:val="10"/>
          <w:w w:val="105"/>
          <w:sz w:val="21"/>
        </w:rPr>
        <w:t> </w:t>
      </w:r>
      <w:r>
        <w:rPr>
          <w:spacing w:val="-3"/>
          <w:w w:val="105"/>
          <w:sz w:val="21"/>
        </w:rPr>
        <w:t>making</w:t>
      </w:r>
    </w:p>
    <w:p>
      <w:pPr>
        <w:pStyle w:val="ListParagraph"/>
        <w:numPr>
          <w:ilvl w:val="1"/>
          <w:numId w:val="3"/>
        </w:numPr>
        <w:tabs>
          <w:tab w:pos="2721" w:val="left" w:leader="none"/>
          <w:tab w:pos="2722" w:val="left" w:leader="none"/>
        </w:tabs>
        <w:spacing w:line="240" w:lineRule="auto" w:before="87" w:after="0"/>
        <w:ind w:left="2721" w:right="0" w:hanging="340"/>
        <w:jc w:val="left"/>
        <w:rPr>
          <w:sz w:val="21"/>
        </w:rPr>
      </w:pPr>
      <w:r>
        <w:rPr>
          <w:spacing w:val="-4"/>
          <w:sz w:val="21"/>
        </w:rPr>
        <w:t>interact</w:t>
      </w:r>
      <w:r>
        <w:rPr>
          <w:spacing w:val="21"/>
          <w:sz w:val="21"/>
        </w:rPr>
        <w:t> </w:t>
      </w:r>
      <w:r>
        <w:rPr>
          <w:spacing w:val="-4"/>
          <w:sz w:val="21"/>
        </w:rPr>
        <w:t>simply</w:t>
      </w:r>
      <w:r>
        <w:rPr>
          <w:spacing w:val="22"/>
          <w:sz w:val="21"/>
        </w:rPr>
        <w:t> </w:t>
      </w:r>
      <w:r>
        <w:rPr>
          <w:spacing w:val="-3"/>
          <w:sz w:val="21"/>
        </w:rPr>
        <w:t>with</w:t>
      </w:r>
      <w:r>
        <w:rPr>
          <w:spacing w:val="22"/>
          <w:sz w:val="21"/>
        </w:rPr>
        <w:t> </w:t>
      </w:r>
      <w:r>
        <w:rPr>
          <w:spacing w:val="-4"/>
          <w:sz w:val="21"/>
        </w:rPr>
        <w:t>other</w:t>
      </w:r>
      <w:r>
        <w:rPr>
          <w:spacing w:val="22"/>
          <w:sz w:val="21"/>
        </w:rPr>
        <w:t> </w:t>
      </w:r>
      <w:r>
        <w:rPr>
          <w:spacing w:val="-4"/>
          <w:sz w:val="21"/>
        </w:rPr>
        <w:t>laws</w:t>
      </w:r>
      <w:r>
        <w:rPr>
          <w:spacing w:val="22"/>
          <w:sz w:val="21"/>
        </w:rPr>
        <w:t> </w:t>
      </w:r>
      <w:r>
        <w:rPr>
          <w:spacing w:val="-4"/>
          <w:sz w:val="21"/>
        </w:rPr>
        <w:t>without</w:t>
      </w:r>
      <w:r>
        <w:rPr>
          <w:spacing w:val="22"/>
          <w:sz w:val="21"/>
        </w:rPr>
        <w:t> </w:t>
      </w:r>
      <w:r>
        <w:rPr>
          <w:spacing w:val="-5"/>
          <w:sz w:val="21"/>
        </w:rPr>
        <w:t>disrupting</w:t>
      </w:r>
      <w:r>
        <w:rPr>
          <w:spacing w:val="22"/>
          <w:sz w:val="21"/>
        </w:rPr>
        <w:t> </w:t>
      </w:r>
      <w:r>
        <w:rPr>
          <w:spacing w:val="-4"/>
          <w:sz w:val="21"/>
        </w:rPr>
        <w:t>established</w:t>
      </w:r>
      <w:r>
        <w:rPr>
          <w:spacing w:val="22"/>
          <w:sz w:val="21"/>
        </w:rPr>
        <w:t> </w:t>
      </w:r>
      <w:r>
        <w:rPr>
          <w:spacing w:val="-3"/>
          <w:sz w:val="21"/>
        </w:rPr>
        <w:t>policy</w:t>
      </w:r>
      <w:r>
        <w:rPr>
          <w:spacing w:val="21"/>
          <w:sz w:val="21"/>
        </w:rPr>
        <w:t> </w:t>
      </w:r>
      <w:r>
        <w:rPr>
          <w:spacing w:val="-4"/>
          <w:sz w:val="21"/>
        </w:rPr>
        <w:t>wherever</w:t>
      </w:r>
      <w:r>
        <w:rPr>
          <w:spacing w:val="22"/>
          <w:sz w:val="21"/>
        </w:rPr>
        <w:t> </w:t>
      </w:r>
      <w:r>
        <w:rPr>
          <w:spacing w:val="-4"/>
          <w:sz w:val="21"/>
        </w:rPr>
        <w:t>possible.</w:t>
      </w:r>
    </w:p>
    <w:p>
      <w:pPr>
        <w:pStyle w:val="ListParagraph"/>
        <w:numPr>
          <w:ilvl w:val="0"/>
          <w:numId w:val="3"/>
        </w:numPr>
        <w:tabs>
          <w:tab w:pos="2381" w:val="left" w:leader="none"/>
          <w:tab w:pos="2382" w:val="left" w:leader="none"/>
        </w:tabs>
        <w:spacing w:line="240" w:lineRule="auto" w:before="88" w:after="0"/>
        <w:ind w:left="2381" w:right="0" w:hanging="794"/>
        <w:jc w:val="left"/>
        <w:rPr>
          <w:sz w:val="21"/>
        </w:rPr>
      </w:pPr>
      <w:r>
        <w:rPr>
          <w:w w:val="105"/>
          <w:sz w:val="21"/>
        </w:rPr>
        <w:t>Supporting </w:t>
      </w:r>
      <w:r>
        <w:rPr>
          <w:spacing w:val="-3"/>
          <w:w w:val="105"/>
          <w:sz w:val="21"/>
        </w:rPr>
        <w:t>material </w:t>
      </w:r>
      <w:r>
        <w:rPr>
          <w:w w:val="105"/>
          <w:sz w:val="21"/>
        </w:rPr>
        <w:t>should be </w:t>
      </w:r>
      <w:r>
        <w:rPr>
          <w:spacing w:val="-3"/>
          <w:w w:val="105"/>
          <w:sz w:val="21"/>
        </w:rPr>
        <w:t>created to </w:t>
      </w:r>
      <w:r>
        <w:rPr>
          <w:w w:val="105"/>
          <w:sz w:val="21"/>
        </w:rPr>
        <w:t>help the community</w:t>
      </w:r>
      <w:r>
        <w:rPr>
          <w:spacing w:val="17"/>
          <w:w w:val="105"/>
          <w:sz w:val="21"/>
        </w:rPr>
        <w:t> </w:t>
      </w:r>
      <w:r>
        <w:rPr>
          <w:w w:val="105"/>
          <w:sz w:val="21"/>
        </w:rPr>
        <w:t>understand:</w:t>
      </w:r>
    </w:p>
    <w:p>
      <w:pPr>
        <w:pStyle w:val="ListParagraph"/>
        <w:numPr>
          <w:ilvl w:val="1"/>
          <w:numId w:val="3"/>
        </w:numPr>
        <w:tabs>
          <w:tab w:pos="2721" w:val="left" w:leader="none"/>
          <w:tab w:pos="2722" w:val="left" w:leader="none"/>
        </w:tabs>
        <w:spacing w:line="240" w:lineRule="auto" w:before="124" w:after="0"/>
        <w:ind w:left="2721" w:right="0" w:hanging="340"/>
        <w:jc w:val="left"/>
        <w:rPr>
          <w:sz w:val="21"/>
        </w:rPr>
      </w:pPr>
      <w:r>
        <w:rPr>
          <w:w w:val="105"/>
          <w:sz w:val="21"/>
        </w:rPr>
        <w:t>how the new Act works in</w:t>
      </w:r>
      <w:r>
        <w:rPr>
          <w:spacing w:val="30"/>
          <w:w w:val="105"/>
          <w:sz w:val="21"/>
        </w:rPr>
        <w:t> </w:t>
      </w:r>
      <w:r>
        <w:rPr>
          <w:w w:val="105"/>
          <w:sz w:val="21"/>
        </w:rPr>
        <w:t>practice</w:t>
      </w:r>
    </w:p>
    <w:p>
      <w:pPr>
        <w:pStyle w:val="ListParagraph"/>
        <w:numPr>
          <w:ilvl w:val="1"/>
          <w:numId w:val="3"/>
        </w:numPr>
        <w:tabs>
          <w:tab w:pos="2721" w:val="left" w:leader="none"/>
          <w:tab w:pos="2722" w:val="left" w:leader="none"/>
        </w:tabs>
        <w:spacing w:line="240" w:lineRule="auto" w:before="89" w:after="0"/>
        <w:ind w:left="2721" w:right="0" w:hanging="340"/>
        <w:jc w:val="left"/>
        <w:rPr>
          <w:sz w:val="21"/>
        </w:rPr>
      </w:pPr>
      <w:r>
        <w:rPr>
          <w:w w:val="105"/>
          <w:sz w:val="21"/>
        </w:rPr>
        <w:t>how </w:t>
      </w:r>
      <w:r>
        <w:rPr>
          <w:spacing w:val="-3"/>
          <w:w w:val="105"/>
          <w:sz w:val="21"/>
        </w:rPr>
        <w:t>to </w:t>
      </w:r>
      <w:r>
        <w:rPr>
          <w:w w:val="105"/>
          <w:sz w:val="21"/>
        </w:rPr>
        <w:t>progress a matter </w:t>
      </w:r>
      <w:r>
        <w:rPr>
          <w:spacing w:val="-3"/>
          <w:w w:val="105"/>
          <w:sz w:val="21"/>
        </w:rPr>
        <w:t>through</w:t>
      </w:r>
      <w:r>
        <w:rPr>
          <w:spacing w:val="35"/>
          <w:w w:val="105"/>
          <w:sz w:val="21"/>
        </w:rPr>
        <w:t> </w:t>
      </w:r>
      <w:r>
        <w:rPr>
          <w:spacing w:val="-5"/>
          <w:w w:val="105"/>
          <w:sz w:val="21"/>
        </w:rPr>
        <w:t>VCAT</w:t>
      </w:r>
    </w:p>
    <w:p>
      <w:pPr>
        <w:pStyle w:val="ListParagraph"/>
        <w:numPr>
          <w:ilvl w:val="1"/>
          <w:numId w:val="3"/>
        </w:numPr>
        <w:tabs>
          <w:tab w:pos="2721" w:val="left" w:leader="none"/>
          <w:tab w:pos="2722" w:val="left" w:leader="none"/>
        </w:tabs>
        <w:spacing w:line="240" w:lineRule="auto" w:before="89" w:after="0"/>
        <w:ind w:left="2721" w:right="0" w:hanging="340"/>
        <w:jc w:val="left"/>
        <w:rPr>
          <w:sz w:val="21"/>
        </w:rPr>
      </w:pPr>
      <w:r>
        <w:rPr>
          <w:sz w:val="21"/>
        </w:rPr>
        <w:t>what </w:t>
      </w:r>
      <w:r>
        <w:rPr>
          <w:spacing w:val="-3"/>
          <w:sz w:val="21"/>
        </w:rPr>
        <w:t>professional </w:t>
      </w:r>
      <w:r>
        <w:rPr>
          <w:sz w:val="21"/>
        </w:rPr>
        <w:t>assistance is</w:t>
      </w:r>
      <w:r>
        <w:rPr>
          <w:spacing w:val="38"/>
          <w:sz w:val="21"/>
        </w:rPr>
        <w:t> </w:t>
      </w:r>
      <w:r>
        <w:rPr>
          <w:spacing w:val="-3"/>
          <w:sz w:val="21"/>
        </w:rPr>
        <w:t>available</w:t>
      </w:r>
    </w:p>
    <w:p>
      <w:pPr>
        <w:pStyle w:val="ListParagraph"/>
        <w:numPr>
          <w:ilvl w:val="1"/>
          <w:numId w:val="3"/>
        </w:numPr>
        <w:tabs>
          <w:tab w:pos="2721" w:val="left" w:leader="none"/>
          <w:tab w:pos="2722" w:val="left" w:leader="none"/>
        </w:tabs>
        <w:spacing w:line="240" w:lineRule="auto" w:before="88" w:after="0"/>
        <w:ind w:left="2721" w:right="0" w:hanging="340"/>
        <w:jc w:val="left"/>
        <w:rPr>
          <w:sz w:val="21"/>
        </w:rPr>
      </w:pPr>
      <w:r>
        <w:rPr>
          <w:w w:val="105"/>
          <w:sz w:val="21"/>
        </w:rPr>
        <w:t>how </w:t>
      </w:r>
      <w:r>
        <w:rPr>
          <w:spacing w:val="-3"/>
          <w:w w:val="105"/>
          <w:sz w:val="21"/>
        </w:rPr>
        <w:t>to manage </w:t>
      </w:r>
      <w:r>
        <w:rPr>
          <w:w w:val="105"/>
          <w:sz w:val="21"/>
        </w:rPr>
        <w:t>vegetation </w:t>
      </w:r>
      <w:r>
        <w:rPr>
          <w:spacing w:val="-3"/>
          <w:w w:val="105"/>
          <w:sz w:val="21"/>
        </w:rPr>
        <w:t>to prevent disputes arising.</w:t>
      </w:r>
    </w:p>
    <w:p>
      <w:pPr>
        <w:pStyle w:val="Heading5"/>
        <w:spacing w:before="214"/>
      </w:pPr>
      <w:r>
        <w:rPr>
          <w:w w:val="115"/>
        </w:rPr>
        <w:t>Key features of the new Act</w:t>
      </w:r>
    </w:p>
    <w:p>
      <w:pPr>
        <w:pStyle w:val="Heading7"/>
        <w:spacing w:before="168"/>
      </w:pPr>
      <w:r>
        <w:rPr>
          <w:w w:val="115"/>
        </w:rPr>
        <w:t>Cause of action</w:t>
      </w:r>
    </w:p>
    <w:p>
      <w:pPr>
        <w:pStyle w:val="ListParagraph"/>
        <w:numPr>
          <w:ilvl w:val="0"/>
          <w:numId w:val="3"/>
        </w:numPr>
        <w:tabs>
          <w:tab w:pos="2381" w:val="left" w:leader="none"/>
          <w:tab w:pos="2382" w:val="left" w:leader="none"/>
        </w:tabs>
        <w:spacing w:line="240" w:lineRule="auto" w:before="142" w:after="0"/>
        <w:ind w:left="2381" w:right="0" w:hanging="794"/>
        <w:jc w:val="left"/>
        <w:rPr>
          <w:sz w:val="21"/>
        </w:rPr>
      </w:pPr>
      <w:r>
        <w:rPr>
          <w:w w:val="105"/>
          <w:sz w:val="21"/>
        </w:rPr>
        <w:t>It is recommended </w:t>
      </w:r>
      <w:r>
        <w:rPr>
          <w:spacing w:val="-3"/>
          <w:w w:val="105"/>
          <w:sz w:val="21"/>
        </w:rPr>
        <w:t>that </w:t>
      </w:r>
      <w:r>
        <w:rPr>
          <w:w w:val="105"/>
          <w:sz w:val="21"/>
        </w:rPr>
        <w:t>the new Act enable </w:t>
      </w:r>
      <w:r>
        <w:rPr>
          <w:spacing w:val="-5"/>
          <w:w w:val="105"/>
          <w:sz w:val="21"/>
        </w:rPr>
        <w:t>VCAT </w:t>
      </w:r>
      <w:r>
        <w:rPr>
          <w:spacing w:val="-3"/>
          <w:w w:val="105"/>
          <w:sz w:val="21"/>
        </w:rPr>
        <w:t>to </w:t>
      </w:r>
      <w:r>
        <w:rPr>
          <w:spacing w:val="-4"/>
          <w:w w:val="105"/>
          <w:sz w:val="21"/>
        </w:rPr>
        <w:t>make</w:t>
      </w:r>
      <w:r>
        <w:rPr>
          <w:spacing w:val="5"/>
          <w:w w:val="105"/>
          <w:sz w:val="21"/>
        </w:rPr>
        <w:t> </w:t>
      </w:r>
      <w:r>
        <w:rPr>
          <w:w w:val="105"/>
          <w:sz w:val="21"/>
        </w:rPr>
        <w:t>orders:</w:t>
      </w:r>
    </w:p>
    <w:p>
      <w:pPr>
        <w:pStyle w:val="ListParagraph"/>
        <w:numPr>
          <w:ilvl w:val="1"/>
          <w:numId w:val="3"/>
        </w:numPr>
        <w:tabs>
          <w:tab w:pos="2721" w:val="left" w:leader="none"/>
          <w:tab w:pos="2722" w:val="left" w:leader="none"/>
        </w:tabs>
        <w:spacing w:line="242" w:lineRule="auto" w:before="124" w:after="0"/>
        <w:ind w:left="2721" w:right="93" w:hanging="340"/>
        <w:jc w:val="left"/>
        <w:rPr>
          <w:sz w:val="21"/>
        </w:rPr>
      </w:pPr>
      <w:r>
        <w:rPr>
          <w:spacing w:val="-3"/>
          <w:w w:val="105"/>
          <w:sz w:val="21"/>
        </w:rPr>
        <w:t>to restrain </w:t>
      </w:r>
      <w:r>
        <w:rPr>
          <w:w w:val="105"/>
          <w:sz w:val="21"/>
        </w:rPr>
        <w:t>or remedy damage </w:t>
      </w:r>
      <w:r>
        <w:rPr>
          <w:spacing w:val="-3"/>
          <w:w w:val="105"/>
          <w:sz w:val="21"/>
        </w:rPr>
        <w:t>to </w:t>
      </w:r>
      <w:r>
        <w:rPr>
          <w:w w:val="105"/>
          <w:sz w:val="21"/>
        </w:rPr>
        <w:t>the affected </w:t>
      </w:r>
      <w:r>
        <w:rPr>
          <w:spacing w:val="-3"/>
          <w:w w:val="105"/>
          <w:sz w:val="21"/>
        </w:rPr>
        <w:t>neighbour’s land </w:t>
      </w:r>
      <w:r>
        <w:rPr>
          <w:w w:val="105"/>
          <w:sz w:val="21"/>
        </w:rPr>
        <w:t>or property </w:t>
      </w:r>
      <w:r>
        <w:rPr>
          <w:spacing w:val="-3"/>
          <w:w w:val="105"/>
          <w:sz w:val="21"/>
        </w:rPr>
        <w:t>that </w:t>
      </w:r>
      <w:r>
        <w:rPr>
          <w:w w:val="105"/>
          <w:sz w:val="21"/>
        </w:rPr>
        <w:t>is caused by a </w:t>
      </w:r>
      <w:r>
        <w:rPr>
          <w:spacing w:val="-3"/>
          <w:w w:val="105"/>
          <w:sz w:val="21"/>
        </w:rPr>
        <w:t>tree, </w:t>
      </w:r>
      <w:r>
        <w:rPr>
          <w:w w:val="105"/>
          <w:sz w:val="21"/>
        </w:rPr>
        <w:t>or </w:t>
      </w:r>
      <w:r>
        <w:rPr>
          <w:spacing w:val="-3"/>
          <w:w w:val="105"/>
          <w:sz w:val="21"/>
        </w:rPr>
        <w:t>prevent </w:t>
      </w:r>
      <w:r>
        <w:rPr>
          <w:w w:val="105"/>
          <w:sz w:val="21"/>
        </w:rPr>
        <w:t>damage </w:t>
      </w:r>
      <w:r>
        <w:rPr>
          <w:spacing w:val="-3"/>
          <w:w w:val="105"/>
          <w:sz w:val="21"/>
        </w:rPr>
        <w:t>that </w:t>
      </w:r>
      <w:r>
        <w:rPr>
          <w:w w:val="105"/>
          <w:sz w:val="21"/>
        </w:rPr>
        <w:t>is </w:t>
      </w:r>
      <w:r>
        <w:rPr>
          <w:spacing w:val="-4"/>
          <w:w w:val="105"/>
          <w:sz w:val="21"/>
        </w:rPr>
        <w:t>likely </w:t>
      </w:r>
      <w:r>
        <w:rPr>
          <w:spacing w:val="-3"/>
          <w:w w:val="105"/>
          <w:sz w:val="21"/>
        </w:rPr>
        <w:t>to occur within </w:t>
      </w:r>
      <w:r>
        <w:rPr>
          <w:w w:val="105"/>
          <w:sz w:val="21"/>
        </w:rPr>
        <w:t>the next </w:t>
      </w:r>
      <w:r>
        <w:rPr>
          <w:spacing w:val="-9"/>
          <w:w w:val="105"/>
          <w:sz w:val="21"/>
        </w:rPr>
        <w:t>12</w:t>
      </w:r>
      <w:r>
        <w:rPr>
          <w:spacing w:val="-7"/>
          <w:w w:val="105"/>
          <w:sz w:val="21"/>
        </w:rPr>
        <w:t> </w:t>
      </w:r>
      <w:r>
        <w:rPr>
          <w:spacing w:val="-3"/>
          <w:w w:val="105"/>
          <w:sz w:val="21"/>
        </w:rPr>
        <w:t>months</w:t>
      </w:r>
    </w:p>
    <w:p>
      <w:pPr>
        <w:pStyle w:val="ListParagraph"/>
        <w:numPr>
          <w:ilvl w:val="1"/>
          <w:numId w:val="3"/>
        </w:numPr>
        <w:tabs>
          <w:tab w:pos="2721" w:val="left" w:leader="none"/>
          <w:tab w:pos="2722" w:val="left" w:leader="none"/>
        </w:tabs>
        <w:spacing w:line="242" w:lineRule="auto" w:before="87" w:after="0"/>
        <w:ind w:left="2721" w:right="0" w:hanging="340"/>
        <w:jc w:val="left"/>
        <w:rPr>
          <w:sz w:val="21"/>
        </w:rPr>
      </w:pPr>
      <w:r>
        <w:rPr>
          <w:spacing w:val="-3"/>
          <w:w w:val="105"/>
          <w:sz w:val="21"/>
        </w:rPr>
        <w:t>to </w:t>
      </w:r>
      <w:r>
        <w:rPr>
          <w:w w:val="105"/>
          <w:sz w:val="21"/>
        </w:rPr>
        <w:t>address existing </w:t>
      </w:r>
      <w:r>
        <w:rPr>
          <w:spacing w:val="-3"/>
          <w:w w:val="105"/>
          <w:sz w:val="21"/>
        </w:rPr>
        <w:t>harm to anyone </w:t>
      </w:r>
      <w:r>
        <w:rPr>
          <w:w w:val="105"/>
          <w:sz w:val="21"/>
        </w:rPr>
        <w:t>on the affected </w:t>
      </w:r>
      <w:r>
        <w:rPr>
          <w:spacing w:val="-3"/>
          <w:w w:val="105"/>
          <w:sz w:val="21"/>
        </w:rPr>
        <w:t>neighbour’s land that </w:t>
      </w:r>
      <w:r>
        <w:rPr>
          <w:w w:val="105"/>
          <w:sz w:val="21"/>
        </w:rPr>
        <w:t>is caused by a</w:t>
      </w:r>
      <w:r>
        <w:rPr>
          <w:spacing w:val="3"/>
          <w:w w:val="105"/>
          <w:sz w:val="21"/>
        </w:rPr>
        <w:t> </w:t>
      </w:r>
      <w:r>
        <w:rPr>
          <w:spacing w:val="-3"/>
          <w:w w:val="105"/>
          <w:sz w:val="21"/>
        </w:rPr>
        <w:t>tree,</w:t>
      </w:r>
      <w:r>
        <w:rPr>
          <w:spacing w:val="3"/>
          <w:w w:val="105"/>
          <w:sz w:val="21"/>
        </w:rPr>
        <w:t> </w:t>
      </w:r>
      <w:r>
        <w:rPr>
          <w:w w:val="105"/>
          <w:sz w:val="21"/>
        </w:rPr>
        <w:t>or</w:t>
      </w:r>
      <w:r>
        <w:rPr>
          <w:spacing w:val="3"/>
          <w:w w:val="105"/>
          <w:sz w:val="21"/>
        </w:rPr>
        <w:t> </w:t>
      </w:r>
      <w:r>
        <w:rPr>
          <w:spacing w:val="-3"/>
          <w:w w:val="105"/>
          <w:sz w:val="21"/>
        </w:rPr>
        <w:t>prevent</w:t>
      </w:r>
      <w:r>
        <w:rPr>
          <w:spacing w:val="3"/>
          <w:w w:val="105"/>
          <w:sz w:val="21"/>
        </w:rPr>
        <w:t> </w:t>
      </w:r>
      <w:r>
        <w:rPr>
          <w:spacing w:val="-3"/>
          <w:w w:val="105"/>
          <w:sz w:val="21"/>
        </w:rPr>
        <w:t>harm</w:t>
      </w:r>
      <w:r>
        <w:rPr>
          <w:spacing w:val="3"/>
          <w:w w:val="105"/>
          <w:sz w:val="21"/>
        </w:rPr>
        <w:t> </w:t>
      </w:r>
      <w:r>
        <w:rPr>
          <w:spacing w:val="-3"/>
          <w:w w:val="105"/>
          <w:sz w:val="21"/>
        </w:rPr>
        <w:t>that</w:t>
      </w:r>
      <w:r>
        <w:rPr>
          <w:spacing w:val="3"/>
          <w:w w:val="105"/>
          <w:sz w:val="21"/>
        </w:rPr>
        <w:t> </w:t>
      </w:r>
      <w:r>
        <w:rPr>
          <w:w w:val="105"/>
          <w:sz w:val="21"/>
        </w:rPr>
        <w:t>is</w:t>
      </w:r>
      <w:r>
        <w:rPr>
          <w:spacing w:val="3"/>
          <w:w w:val="105"/>
          <w:sz w:val="21"/>
        </w:rPr>
        <w:t> </w:t>
      </w:r>
      <w:r>
        <w:rPr>
          <w:spacing w:val="-4"/>
          <w:w w:val="105"/>
          <w:sz w:val="21"/>
        </w:rPr>
        <w:t>likely</w:t>
      </w:r>
      <w:r>
        <w:rPr>
          <w:spacing w:val="3"/>
          <w:w w:val="105"/>
          <w:sz w:val="21"/>
        </w:rPr>
        <w:t> </w:t>
      </w:r>
      <w:r>
        <w:rPr>
          <w:spacing w:val="-3"/>
          <w:w w:val="105"/>
          <w:sz w:val="21"/>
        </w:rPr>
        <w:t>to</w:t>
      </w:r>
      <w:r>
        <w:rPr>
          <w:spacing w:val="3"/>
          <w:w w:val="105"/>
          <w:sz w:val="21"/>
        </w:rPr>
        <w:t> </w:t>
      </w:r>
      <w:r>
        <w:rPr>
          <w:spacing w:val="-3"/>
          <w:w w:val="105"/>
          <w:sz w:val="21"/>
        </w:rPr>
        <w:t>occur</w:t>
      </w:r>
      <w:r>
        <w:rPr>
          <w:spacing w:val="3"/>
          <w:w w:val="105"/>
          <w:sz w:val="21"/>
        </w:rPr>
        <w:t> </w:t>
      </w:r>
      <w:r>
        <w:rPr>
          <w:spacing w:val="-3"/>
          <w:w w:val="105"/>
          <w:sz w:val="21"/>
        </w:rPr>
        <w:t>within</w:t>
      </w:r>
      <w:r>
        <w:rPr>
          <w:spacing w:val="3"/>
          <w:w w:val="105"/>
          <w:sz w:val="21"/>
        </w:rPr>
        <w:t> </w:t>
      </w:r>
      <w:r>
        <w:rPr>
          <w:w w:val="105"/>
          <w:sz w:val="21"/>
        </w:rPr>
        <w:t>the</w:t>
      </w:r>
      <w:r>
        <w:rPr>
          <w:spacing w:val="3"/>
          <w:w w:val="105"/>
          <w:sz w:val="21"/>
        </w:rPr>
        <w:t> </w:t>
      </w:r>
      <w:r>
        <w:rPr>
          <w:w w:val="105"/>
          <w:sz w:val="21"/>
        </w:rPr>
        <w:t>next</w:t>
      </w:r>
      <w:r>
        <w:rPr>
          <w:spacing w:val="3"/>
          <w:w w:val="105"/>
          <w:sz w:val="21"/>
        </w:rPr>
        <w:t> </w:t>
      </w:r>
      <w:r>
        <w:rPr>
          <w:spacing w:val="-9"/>
          <w:w w:val="105"/>
          <w:sz w:val="21"/>
        </w:rPr>
        <w:t>12</w:t>
      </w:r>
      <w:r>
        <w:rPr>
          <w:spacing w:val="3"/>
          <w:w w:val="105"/>
          <w:sz w:val="21"/>
        </w:rPr>
        <w:t> </w:t>
      </w:r>
      <w:r>
        <w:rPr>
          <w:spacing w:val="-3"/>
          <w:w w:val="105"/>
          <w:sz w:val="21"/>
        </w:rPr>
        <w:t>months.</w:t>
      </w:r>
    </w:p>
    <w:p>
      <w:pPr>
        <w:pStyle w:val="ListParagraph"/>
        <w:numPr>
          <w:ilvl w:val="0"/>
          <w:numId w:val="3"/>
        </w:numPr>
        <w:tabs>
          <w:tab w:pos="2381" w:val="left" w:leader="none"/>
          <w:tab w:pos="2382" w:val="left" w:leader="none"/>
        </w:tabs>
        <w:spacing w:line="242" w:lineRule="auto" w:before="87" w:after="0"/>
        <w:ind w:left="2381" w:right="189" w:hanging="794"/>
        <w:jc w:val="left"/>
        <w:rPr>
          <w:sz w:val="21"/>
        </w:rPr>
      </w:pPr>
      <w:r>
        <w:rPr>
          <w:w w:val="105"/>
          <w:sz w:val="21"/>
        </w:rPr>
        <w:t>The</w:t>
      </w:r>
      <w:r>
        <w:rPr>
          <w:spacing w:val="-6"/>
          <w:w w:val="105"/>
          <w:sz w:val="21"/>
        </w:rPr>
        <w:t> </w:t>
      </w:r>
      <w:r>
        <w:rPr>
          <w:spacing w:val="-3"/>
          <w:w w:val="105"/>
          <w:sz w:val="21"/>
        </w:rPr>
        <w:t>Commission</w:t>
      </w:r>
      <w:r>
        <w:rPr>
          <w:spacing w:val="-5"/>
          <w:w w:val="105"/>
          <w:sz w:val="21"/>
        </w:rPr>
        <w:t> </w:t>
      </w:r>
      <w:r>
        <w:rPr>
          <w:spacing w:val="-2"/>
          <w:w w:val="105"/>
          <w:sz w:val="21"/>
        </w:rPr>
        <w:t>has</w:t>
      </w:r>
      <w:r>
        <w:rPr>
          <w:spacing w:val="-6"/>
          <w:w w:val="105"/>
          <w:sz w:val="21"/>
        </w:rPr>
        <w:t> </w:t>
      </w:r>
      <w:r>
        <w:rPr>
          <w:spacing w:val="-2"/>
          <w:w w:val="105"/>
          <w:sz w:val="21"/>
        </w:rPr>
        <w:t>not</w:t>
      </w:r>
      <w:r>
        <w:rPr>
          <w:spacing w:val="-5"/>
          <w:w w:val="105"/>
          <w:sz w:val="21"/>
        </w:rPr>
        <w:t> </w:t>
      </w:r>
      <w:r>
        <w:rPr>
          <w:spacing w:val="-3"/>
          <w:w w:val="105"/>
          <w:sz w:val="21"/>
        </w:rPr>
        <w:t>considered</w:t>
      </w:r>
      <w:r>
        <w:rPr>
          <w:spacing w:val="-6"/>
          <w:w w:val="105"/>
          <w:sz w:val="21"/>
        </w:rPr>
        <w:t> </w:t>
      </w:r>
      <w:r>
        <w:rPr>
          <w:w w:val="105"/>
          <w:sz w:val="21"/>
        </w:rPr>
        <w:t>a</w:t>
      </w:r>
      <w:r>
        <w:rPr>
          <w:spacing w:val="-5"/>
          <w:w w:val="105"/>
          <w:sz w:val="21"/>
        </w:rPr>
        <w:t> </w:t>
      </w:r>
      <w:r>
        <w:rPr>
          <w:w w:val="105"/>
          <w:sz w:val="21"/>
        </w:rPr>
        <w:t>compensation</w:t>
      </w:r>
      <w:r>
        <w:rPr>
          <w:spacing w:val="-6"/>
          <w:w w:val="105"/>
          <w:sz w:val="21"/>
        </w:rPr>
        <w:t> </w:t>
      </w:r>
      <w:r>
        <w:rPr>
          <w:w w:val="105"/>
          <w:sz w:val="21"/>
        </w:rPr>
        <w:t>scheme</w:t>
      </w:r>
      <w:r>
        <w:rPr>
          <w:spacing w:val="-5"/>
          <w:w w:val="105"/>
          <w:sz w:val="21"/>
        </w:rPr>
        <w:t> </w:t>
      </w:r>
      <w:r>
        <w:rPr>
          <w:spacing w:val="-3"/>
          <w:w w:val="105"/>
          <w:sz w:val="21"/>
        </w:rPr>
        <w:t>for</w:t>
      </w:r>
      <w:r>
        <w:rPr>
          <w:spacing w:val="-6"/>
          <w:w w:val="105"/>
          <w:sz w:val="21"/>
        </w:rPr>
        <w:t> </w:t>
      </w:r>
      <w:r>
        <w:rPr>
          <w:spacing w:val="-3"/>
          <w:w w:val="105"/>
          <w:sz w:val="21"/>
        </w:rPr>
        <w:t>harm</w:t>
      </w:r>
      <w:r>
        <w:rPr>
          <w:spacing w:val="-5"/>
          <w:w w:val="105"/>
          <w:sz w:val="21"/>
        </w:rPr>
        <w:t> </w:t>
      </w:r>
      <w:r>
        <w:rPr>
          <w:spacing w:val="-3"/>
          <w:w w:val="105"/>
          <w:sz w:val="21"/>
        </w:rPr>
        <w:t>suffered.</w:t>
      </w:r>
      <w:r>
        <w:rPr>
          <w:spacing w:val="-6"/>
          <w:w w:val="105"/>
          <w:sz w:val="21"/>
        </w:rPr>
        <w:t> </w:t>
      </w:r>
      <w:r>
        <w:rPr>
          <w:w w:val="105"/>
          <w:sz w:val="21"/>
        </w:rPr>
        <w:t>Instead the </w:t>
      </w:r>
      <w:r>
        <w:rPr>
          <w:spacing w:val="-3"/>
          <w:w w:val="105"/>
          <w:sz w:val="21"/>
        </w:rPr>
        <w:t>focus </w:t>
      </w:r>
      <w:r>
        <w:rPr>
          <w:w w:val="105"/>
          <w:sz w:val="21"/>
        </w:rPr>
        <w:t>in the new Act is on practical remedies </w:t>
      </w:r>
      <w:r>
        <w:rPr>
          <w:spacing w:val="-3"/>
          <w:w w:val="105"/>
          <w:sz w:val="21"/>
        </w:rPr>
        <w:t>related to </w:t>
      </w:r>
      <w:r>
        <w:rPr>
          <w:w w:val="105"/>
          <w:sz w:val="21"/>
        </w:rPr>
        <w:t>tree</w:t>
      </w:r>
      <w:r>
        <w:rPr>
          <w:spacing w:val="14"/>
          <w:w w:val="105"/>
          <w:sz w:val="21"/>
        </w:rPr>
        <w:t> </w:t>
      </w:r>
      <w:r>
        <w:rPr>
          <w:spacing w:val="-3"/>
          <w:w w:val="105"/>
          <w:sz w:val="21"/>
        </w:rPr>
        <w:t>management.</w:t>
      </w:r>
    </w:p>
    <w:p>
      <w:pPr>
        <w:pStyle w:val="ListParagraph"/>
        <w:numPr>
          <w:ilvl w:val="0"/>
          <w:numId w:val="3"/>
        </w:numPr>
        <w:tabs>
          <w:tab w:pos="2380" w:val="left" w:leader="none"/>
          <w:tab w:pos="2381" w:val="left" w:leader="none"/>
        </w:tabs>
        <w:spacing w:line="242" w:lineRule="auto" w:before="123" w:after="0"/>
        <w:ind w:left="2381" w:right="431" w:hanging="794"/>
        <w:jc w:val="left"/>
        <w:rPr>
          <w:sz w:val="21"/>
        </w:rPr>
      </w:pPr>
      <w:r>
        <w:rPr>
          <w:w w:val="105"/>
          <w:sz w:val="21"/>
        </w:rPr>
        <w:t>The </w:t>
      </w:r>
      <w:r>
        <w:rPr>
          <w:spacing w:val="-3"/>
          <w:w w:val="105"/>
          <w:sz w:val="21"/>
        </w:rPr>
        <w:t>Commission </w:t>
      </w:r>
      <w:r>
        <w:rPr>
          <w:w w:val="105"/>
          <w:sz w:val="21"/>
        </w:rPr>
        <w:t>considers </w:t>
      </w:r>
      <w:r>
        <w:rPr>
          <w:spacing w:val="-3"/>
          <w:w w:val="105"/>
          <w:sz w:val="21"/>
        </w:rPr>
        <w:t>that </w:t>
      </w:r>
      <w:r>
        <w:rPr>
          <w:w w:val="105"/>
          <w:sz w:val="21"/>
        </w:rPr>
        <w:t>the torts of trespass, </w:t>
      </w:r>
      <w:r>
        <w:rPr>
          <w:spacing w:val="-3"/>
          <w:w w:val="105"/>
          <w:sz w:val="21"/>
        </w:rPr>
        <w:t>negligence </w:t>
      </w:r>
      <w:r>
        <w:rPr>
          <w:w w:val="105"/>
          <w:sz w:val="21"/>
        </w:rPr>
        <w:t>and</w:t>
      </w:r>
      <w:r>
        <w:rPr>
          <w:spacing w:val="-36"/>
          <w:w w:val="105"/>
          <w:sz w:val="21"/>
        </w:rPr>
        <w:t> </w:t>
      </w:r>
      <w:r>
        <w:rPr>
          <w:spacing w:val="-3"/>
          <w:w w:val="105"/>
          <w:sz w:val="21"/>
        </w:rPr>
        <w:t>nuisance should continue to </w:t>
      </w:r>
      <w:r>
        <w:rPr>
          <w:w w:val="105"/>
          <w:sz w:val="21"/>
        </w:rPr>
        <w:t>be </w:t>
      </w:r>
      <w:r>
        <w:rPr>
          <w:spacing w:val="-3"/>
          <w:w w:val="105"/>
          <w:sz w:val="21"/>
        </w:rPr>
        <w:t>available </w:t>
      </w:r>
      <w:r>
        <w:rPr>
          <w:w w:val="105"/>
          <w:sz w:val="21"/>
        </w:rPr>
        <w:t>in the courts because they can provide </w:t>
      </w:r>
      <w:r>
        <w:rPr>
          <w:spacing w:val="-3"/>
          <w:w w:val="105"/>
          <w:sz w:val="21"/>
        </w:rPr>
        <w:t>unique </w:t>
      </w:r>
      <w:r>
        <w:rPr>
          <w:w w:val="105"/>
          <w:sz w:val="21"/>
        </w:rPr>
        <w:t>remedies in broader contexts </w:t>
      </w:r>
      <w:r>
        <w:rPr>
          <w:spacing w:val="-3"/>
          <w:w w:val="105"/>
          <w:sz w:val="21"/>
        </w:rPr>
        <w:t>that may </w:t>
      </w:r>
      <w:r>
        <w:rPr>
          <w:w w:val="105"/>
          <w:sz w:val="21"/>
        </w:rPr>
        <w:t>be</w:t>
      </w:r>
      <w:r>
        <w:rPr>
          <w:spacing w:val="29"/>
          <w:w w:val="105"/>
          <w:sz w:val="21"/>
        </w:rPr>
        <w:t> </w:t>
      </w:r>
      <w:r>
        <w:rPr>
          <w:spacing w:val="-3"/>
          <w:w w:val="105"/>
          <w:sz w:val="21"/>
        </w:rPr>
        <w:t>useful.</w:t>
      </w:r>
    </w:p>
    <w:p>
      <w:pPr>
        <w:pStyle w:val="ListParagraph"/>
        <w:numPr>
          <w:ilvl w:val="0"/>
          <w:numId w:val="3"/>
        </w:numPr>
        <w:tabs>
          <w:tab w:pos="2380" w:val="left" w:leader="none"/>
          <w:tab w:pos="2381" w:val="left" w:leader="none"/>
        </w:tabs>
        <w:spacing w:line="242" w:lineRule="auto" w:before="123" w:after="0"/>
        <w:ind w:left="2380" w:right="4" w:hanging="793"/>
        <w:jc w:val="left"/>
        <w:rPr>
          <w:sz w:val="21"/>
        </w:rPr>
      </w:pPr>
      <w:r>
        <w:rPr>
          <w:spacing w:val="-6"/>
          <w:w w:val="105"/>
          <w:sz w:val="21"/>
        </w:rPr>
        <w:t>Interference</w:t>
      </w:r>
      <w:r>
        <w:rPr>
          <w:spacing w:val="-9"/>
          <w:w w:val="105"/>
          <w:sz w:val="21"/>
        </w:rPr>
        <w:t> </w:t>
      </w:r>
      <w:r>
        <w:rPr>
          <w:spacing w:val="-5"/>
          <w:w w:val="105"/>
          <w:sz w:val="21"/>
        </w:rPr>
        <w:t>caused</w:t>
      </w:r>
      <w:r>
        <w:rPr>
          <w:spacing w:val="-8"/>
          <w:w w:val="105"/>
          <w:sz w:val="21"/>
        </w:rPr>
        <w:t> </w:t>
      </w:r>
      <w:r>
        <w:rPr>
          <w:spacing w:val="-4"/>
          <w:w w:val="105"/>
          <w:sz w:val="21"/>
        </w:rPr>
        <w:t>by</w:t>
      </w:r>
      <w:r>
        <w:rPr>
          <w:spacing w:val="-8"/>
          <w:w w:val="105"/>
          <w:sz w:val="21"/>
        </w:rPr>
        <w:t> </w:t>
      </w:r>
      <w:r>
        <w:rPr>
          <w:w w:val="105"/>
          <w:sz w:val="21"/>
        </w:rPr>
        <w:t>a</w:t>
      </w:r>
      <w:r>
        <w:rPr>
          <w:spacing w:val="-8"/>
          <w:w w:val="105"/>
          <w:sz w:val="21"/>
        </w:rPr>
        <w:t> </w:t>
      </w:r>
      <w:r>
        <w:rPr>
          <w:spacing w:val="-4"/>
          <w:w w:val="105"/>
          <w:sz w:val="21"/>
        </w:rPr>
        <w:t>tree</w:t>
      </w:r>
      <w:r>
        <w:rPr>
          <w:spacing w:val="-8"/>
          <w:w w:val="105"/>
          <w:sz w:val="21"/>
        </w:rPr>
        <w:t> </w:t>
      </w:r>
      <w:r>
        <w:rPr>
          <w:spacing w:val="-5"/>
          <w:w w:val="105"/>
          <w:sz w:val="21"/>
        </w:rPr>
        <w:t>that</w:t>
      </w:r>
      <w:r>
        <w:rPr>
          <w:spacing w:val="-8"/>
          <w:w w:val="105"/>
          <w:sz w:val="21"/>
        </w:rPr>
        <w:t> </w:t>
      </w:r>
      <w:r>
        <w:rPr>
          <w:spacing w:val="-5"/>
          <w:w w:val="105"/>
          <w:sz w:val="21"/>
        </w:rPr>
        <w:t>amounts</w:t>
      </w:r>
      <w:r>
        <w:rPr>
          <w:spacing w:val="-8"/>
          <w:w w:val="105"/>
          <w:sz w:val="21"/>
        </w:rPr>
        <w:t> </w:t>
      </w:r>
      <w:r>
        <w:rPr>
          <w:spacing w:val="-4"/>
          <w:w w:val="105"/>
          <w:sz w:val="21"/>
        </w:rPr>
        <w:t>to</w:t>
      </w:r>
      <w:r>
        <w:rPr>
          <w:spacing w:val="-8"/>
          <w:w w:val="105"/>
          <w:sz w:val="21"/>
        </w:rPr>
        <w:t> </w:t>
      </w:r>
      <w:r>
        <w:rPr>
          <w:spacing w:val="-6"/>
          <w:w w:val="105"/>
          <w:sz w:val="21"/>
        </w:rPr>
        <w:t>annoyance</w:t>
      </w:r>
      <w:r>
        <w:rPr>
          <w:spacing w:val="-8"/>
          <w:w w:val="105"/>
          <w:sz w:val="21"/>
        </w:rPr>
        <w:t> </w:t>
      </w:r>
      <w:r>
        <w:rPr>
          <w:spacing w:val="-4"/>
          <w:w w:val="105"/>
          <w:sz w:val="21"/>
        </w:rPr>
        <w:t>but</w:t>
      </w:r>
      <w:r>
        <w:rPr>
          <w:spacing w:val="-9"/>
          <w:w w:val="105"/>
          <w:sz w:val="21"/>
        </w:rPr>
        <w:t> </w:t>
      </w:r>
      <w:r>
        <w:rPr>
          <w:spacing w:val="-3"/>
          <w:w w:val="105"/>
          <w:sz w:val="21"/>
        </w:rPr>
        <w:t>does</w:t>
      </w:r>
      <w:r>
        <w:rPr>
          <w:spacing w:val="-8"/>
          <w:w w:val="105"/>
          <w:sz w:val="21"/>
        </w:rPr>
        <w:t> </w:t>
      </w:r>
      <w:r>
        <w:rPr>
          <w:spacing w:val="-4"/>
          <w:w w:val="105"/>
          <w:sz w:val="21"/>
        </w:rPr>
        <w:t>not</w:t>
      </w:r>
      <w:r>
        <w:rPr>
          <w:spacing w:val="-8"/>
          <w:w w:val="105"/>
          <w:sz w:val="21"/>
        </w:rPr>
        <w:t> </w:t>
      </w:r>
      <w:r>
        <w:rPr>
          <w:spacing w:val="-5"/>
          <w:w w:val="105"/>
          <w:sz w:val="21"/>
        </w:rPr>
        <w:t>cause</w:t>
      </w:r>
      <w:r>
        <w:rPr>
          <w:spacing w:val="-8"/>
          <w:w w:val="105"/>
          <w:sz w:val="21"/>
        </w:rPr>
        <w:t> </w:t>
      </w:r>
      <w:r>
        <w:rPr>
          <w:spacing w:val="-5"/>
          <w:w w:val="105"/>
          <w:sz w:val="21"/>
        </w:rPr>
        <w:t>actual</w:t>
      </w:r>
      <w:r>
        <w:rPr>
          <w:spacing w:val="-8"/>
          <w:w w:val="105"/>
          <w:sz w:val="21"/>
        </w:rPr>
        <w:t> </w:t>
      </w:r>
      <w:r>
        <w:rPr>
          <w:spacing w:val="-4"/>
          <w:w w:val="105"/>
          <w:sz w:val="21"/>
        </w:rPr>
        <w:t>property </w:t>
      </w:r>
      <w:r>
        <w:rPr>
          <w:spacing w:val="-5"/>
          <w:w w:val="105"/>
          <w:sz w:val="21"/>
        </w:rPr>
        <w:t>damage </w:t>
      </w:r>
      <w:r>
        <w:rPr>
          <w:spacing w:val="-3"/>
          <w:w w:val="105"/>
          <w:sz w:val="21"/>
        </w:rPr>
        <w:t>or </w:t>
      </w:r>
      <w:r>
        <w:rPr>
          <w:spacing w:val="-5"/>
          <w:w w:val="105"/>
          <w:sz w:val="21"/>
        </w:rPr>
        <w:t>harm should </w:t>
      </w:r>
      <w:r>
        <w:rPr>
          <w:spacing w:val="-4"/>
          <w:w w:val="105"/>
          <w:sz w:val="21"/>
        </w:rPr>
        <w:t>not </w:t>
      </w:r>
      <w:r>
        <w:rPr>
          <w:w w:val="105"/>
          <w:sz w:val="21"/>
        </w:rPr>
        <w:t>be </w:t>
      </w:r>
      <w:r>
        <w:rPr>
          <w:spacing w:val="-5"/>
          <w:w w:val="105"/>
          <w:sz w:val="21"/>
        </w:rPr>
        <w:t>actionable under </w:t>
      </w:r>
      <w:r>
        <w:rPr>
          <w:spacing w:val="-4"/>
          <w:w w:val="105"/>
          <w:sz w:val="21"/>
        </w:rPr>
        <w:t>the new </w:t>
      </w:r>
      <w:r>
        <w:rPr>
          <w:spacing w:val="-3"/>
          <w:w w:val="105"/>
          <w:sz w:val="21"/>
        </w:rPr>
        <w:t>Act. </w:t>
      </w:r>
      <w:r>
        <w:rPr>
          <w:spacing w:val="-4"/>
          <w:w w:val="105"/>
          <w:sz w:val="21"/>
        </w:rPr>
        <w:t>Matters </w:t>
      </w:r>
      <w:r>
        <w:rPr>
          <w:spacing w:val="-5"/>
          <w:w w:val="105"/>
          <w:sz w:val="21"/>
        </w:rPr>
        <w:t>such </w:t>
      </w:r>
      <w:r>
        <w:rPr>
          <w:spacing w:val="-3"/>
          <w:w w:val="105"/>
          <w:sz w:val="21"/>
        </w:rPr>
        <w:t>as </w:t>
      </w:r>
      <w:r>
        <w:rPr>
          <w:spacing w:val="-4"/>
          <w:w w:val="105"/>
          <w:sz w:val="21"/>
        </w:rPr>
        <w:t>the </w:t>
      </w:r>
      <w:r>
        <w:rPr>
          <w:spacing w:val="-5"/>
          <w:w w:val="105"/>
          <w:sz w:val="21"/>
        </w:rPr>
        <w:t>dropping </w:t>
      </w:r>
      <w:r>
        <w:rPr>
          <w:spacing w:val="-4"/>
          <w:w w:val="105"/>
          <w:sz w:val="21"/>
        </w:rPr>
        <w:t>of</w:t>
      </w:r>
      <w:r>
        <w:rPr>
          <w:spacing w:val="-8"/>
          <w:w w:val="105"/>
          <w:sz w:val="21"/>
        </w:rPr>
        <w:t> </w:t>
      </w:r>
      <w:r>
        <w:rPr>
          <w:spacing w:val="-5"/>
          <w:w w:val="105"/>
          <w:sz w:val="21"/>
        </w:rPr>
        <w:t>leaf</w:t>
      </w:r>
      <w:r>
        <w:rPr>
          <w:spacing w:val="-8"/>
          <w:w w:val="105"/>
          <w:sz w:val="21"/>
        </w:rPr>
        <w:t> </w:t>
      </w:r>
      <w:r>
        <w:rPr>
          <w:spacing w:val="-5"/>
          <w:w w:val="105"/>
          <w:sz w:val="21"/>
        </w:rPr>
        <w:t>litter</w:t>
      </w:r>
      <w:r>
        <w:rPr>
          <w:spacing w:val="-8"/>
          <w:w w:val="105"/>
          <w:sz w:val="21"/>
        </w:rPr>
        <w:t> </w:t>
      </w:r>
      <w:r>
        <w:rPr>
          <w:spacing w:val="-5"/>
          <w:w w:val="105"/>
          <w:sz w:val="21"/>
        </w:rPr>
        <w:t>that</w:t>
      </w:r>
      <w:r>
        <w:rPr>
          <w:spacing w:val="-7"/>
          <w:w w:val="105"/>
          <w:sz w:val="21"/>
        </w:rPr>
        <w:t> </w:t>
      </w:r>
      <w:r>
        <w:rPr>
          <w:spacing w:val="-6"/>
          <w:w w:val="105"/>
          <w:sz w:val="21"/>
        </w:rPr>
        <w:t>creates</w:t>
      </w:r>
      <w:r>
        <w:rPr>
          <w:spacing w:val="-8"/>
          <w:w w:val="105"/>
          <w:sz w:val="21"/>
        </w:rPr>
        <w:t> </w:t>
      </w:r>
      <w:r>
        <w:rPr>
          <w:w w:val="105"/>
          <w:sz w:val="21"/>
        </w:rPr>
        <w:t>a</w:t>
      </w:r>
      <w:r>
        <w:rPr>
          <w:spacing w:val="-8"/>
          <w:w w:val="105"/>
          <w:sz w:val="21"/>
        </w:rPr>
        <w:t> </w:t>
      </w:r>
      <w:r>
        <w:rPr>
          <w:spacing w:val="-3"/>
          <w:w w:val="105"/>
          <w:sz w:val="21"/>
        </w:rPr>
        <w:t>mess</w:t>
      </w:r>
      <w:r>
        <w:rPr>
          <w:spacing w:val="-7"/>
          <w:w w:val="105"/>
          <w:sz w:val="21"/>
        </w:rPr>
        <w:t> </w:t>
      </w:r>
      <w:r>
        <w:rPr>
          <w:spacing w:val="-4"/>
          <w:w w:val="105"/>
          <w:sz w:val="21"/>
        </w:rPr>
        <w:t>in</w:t>
      </w:r>
      <w:r>
        <w:rPr>
          <w:spacing w:val="-8"/>
          <w:w w:val="105"/>
          <w:sz w:val="21"/>
        </w:rPr>
        <w:t> </w:t>
      </w:r>
      <w:r>
        <w:rPr>
          <w:w w:val="105"/>
          <w:sz w:val="21"/>
        </w:rPr>
        <w:t>a</w:t>
      </w:r>
      <w:r>
        <w:rPr>
          <w:spacing w:val="-8"/>
          <w:w w:val="105"/>
          <w:sz w:val="21"/>
        </w:rPr>
        <w:t> </w:t>
      </w:r>
      <w:r>
        <w:rPr>
          <w:spacing w:val="-6"/>
          <w:w w:val="105"/>
          <w:sz w:val="21"/>
        </w:rPr>
        <w:t>neighbour’s</w:t>
      </w:r>
      <w:r>
        <w:rPr>
          <w:spacing w:val="-7"/>
          <w:w w:val="105"/>
          <w:sz w:val="21"/>
        </w:rPr>
        <w:t> </w:t>
      </w:r>
      <w:r>
        <w:rPr>
          <w:spacing w:val="-5"/>
          <w:w w:val="105"/>
          <w:sz w:val="21"/>
        </w:rPr>
        <w:t>driveway</w:t>
      </w:r>
      <w:r>
        <w:rPr>
          <w:spacing w:val="-8"/>
          <w:w w:val="105"/>
          <w:sz w:val="21"/>
        </w:rPr>
        <w:t> </w:t>
      </w:r>
      <w:r>
        <w:rPr>
          <w:spacing w:val="-5"/>
          <w:w w:val="105"/>
          <w:sz w:val="21"/>
        </w:rPr>
        <w:t>are</w:t>
      </w:r>
      <w:r>
        <w:rPr>
          <w:spacing w:val="-8"/>
          <w:w w:val="105"/>
          <w:sz w:val="21"/>
        </w:rPr>
        <w:t> </w:t>
      </w:r>
      <w:r>
        <w:rPr>
          <w:spacing w:val="-3"/>
          <w:w w:val="105"/>
          <w:sz w:val="21"/>
        </w:rPr>
        <w:t>an</w:t>
      </w:r>
      <w:r>
        <w:rPr>
          <w:spacing w:val="-7"/>
          <w:w w:val="105"/>
          <w:sz w:val="21"/>
        </w:rPr>
        <w:t> </w:t>
      </w:r>
      <w:r>
        <w:rPr>
          <w:spacing w:val="-5"/>
          <w:w w:val="105"/>
          <w:sz w:val="21"/>
        </w:rPr>
        <w:t>ordinary</w:t>
      </w:r>
      <w:r>
        <w:rPr>
          <w:spacing w:val="-8"/>
          <w:w w:val="105"/>
          <w:sz w:val="21"/>
        </w:rPr>
        <w:t> </w:t>
      </w:r>
      <w:r>
        <w:rPr>
          <w:spacing w:val="-3"/>
          <w:w w:val="105"/>
          <w:sz w:val="21"/>
        </w:rPr>
        <w:t>part</w:t>
      </w:r>
      <w:r>
        <w:rPr>
          <w:spacing w:val="-8"/>
          <w:w w:val="105"/>
          <w:sz w:val="21"/>
        </w:rPr>
        <w:t> </w:t>
      </w:r>
      <w:r>
        <w:rPr>
          <w:spacing w:val="-4"/>
          <w:w w:val="105"/>
          <w:sz w:val="21"/>
        </w:rPr>
        <w:t>of</w:t>
      </w:r>
      <w:r>
        <w:rPr>
          <w:spacing w:val="-8"/>
          <w:w w:val="105"/>
          <w:sz w:val="21"/>
        </w:rPr>
        <w:t> </w:t>
      </w:r>
      <w:r>
        <w:rPr>
          <w:spacing w:val="-5"/>
          <w:w w:val="105"/>
          <w:sz w:val="21"/>
        </w:rPr>
        <w:t>community </w:t>
      </w:r>
      <w:r>
        <w:rPr>
          <w:spacing w:val="-6"/>
          <w:w w:val="105"/>
          <w:sz w:val="21"/>
        </w:rPr>
        <w:t>life </w:t>
      </w:r>
      <w:r>
        <w:rPr>
          <w:spacing w:val="-4"/>
          <w:w w:val="105"/>
          <w:sz w:val="21"/>
        </w:rPr>
        <w:t>in </w:t>
      </w:r>
      <w:r>
        <w:rPr>
          <w:spacing w:val="-5"/>
          <w:w w:val="105"/>
          <w:sz w:val="21"/>
        </w:rPr>
        <w:t>urban </w:t>
      </w:r>
      <w:r>
        <w:rPr>
          <w:spacing w:val="-6"/>
          <w:w w:val="105"/>
          <w:sz w:val="21"/>
        </w:rPr>
        <w:t>environments. </w:t>
      </w:r>
      <w:r>
        <w:rPr>
          <w:spacing w:val="-7"/>
          <w:w w:val="105"/>
          <w:sz w:val="21"/>
        </w:rPr>
        <w:t>Similarly, </w:t>
      </w:r>
      <w:r>
        <w:rPr>
          <w:spacing w:val="-5"/>
          <w:w w:val="105"/>
          <w:sz w:val="21"/>
        </w:rPr>
        <w:t>unless </w:t>
      </w:r>
      <w:r>
        <w:rPr>
          <w:spacing w:val="-3"/>
          <w:w w:val="105"/>
          <w:sz w:val="21"/>
        </w:rPr>
        <w:t>an </w:t>
      </w:r>
      <w:r>
        <w:rPr>
          <w:spacing w:val="-4"/>
          <w:w w:val="105"/>
          <w:sz w:val="21"/>
        </w:rPr>
        <w:t>affected </w:t>
      </w:r>
      <w:r>
        <w:rPr>
          <w:spacing w:val="-5"/>
          <w:w w:val="105"/>
          <w:sz w:val="21"/>
        </w:rPr>
        <w:t>neighbour could establish that </w:t>
      </w:r>
      <w:r>
        <w:rPr>
          <w:spacing w:val="-3"/>
          <w:w w:val="105"/>
          <w:sz w:val="21"/>
        </w:rPr>
        <w:t>an </w:t>
      </w:r>
      <w:r>
        <w:rPr>
          <w:spacing w:val="-6"/>
          <w:w w:val="105"/>
          <w:sz w:val="21"/>
        </w:rPr>
        <w:t>overhanging branch </w:t>
      </w:r>
      <w:r>
        <w:rPr>
          <w:spacing w:val="-4"/>
          <w:w w:val="105"/>
          <w:sz w:val="21"/>
        </w:rPr>
        <w:t>was </w:t>
      </w:r>
      <w:r>
        <w:rPr>
          <w:spacing w:val="-6"/>
          <w:w w:val="105"/>
          <w:sz w:val="21"/>
        </w:rPr>
        <w:t>causing </w:t>
      </w:r>
      <w:r>
        <w:rPr>
          <w:spacing w:val="-5"/>
          <w:w w:val="105"/>
          <w:sz w:val="21"/>
        </w:rPr>
        <w:t>damage </w:t>
      </w:r>
      <w:r>
        <w:rPr>
          <w:spacing w:val="-3"/>
          <w:w w:val="105"/>
          <w:sz w:val="21"/>
        </w:rPr>
        <w:t>or </w:t>
      </w:r>
      <w:r>
        <w:rPr>
          <w:spacing w:val="-5"/>
          <w:w w:val="105"/>
          <w:sz w:val="21"/>
        </w:rPr>
        <w:t>harm, </w:t>
      </w:r>
      <w:r>
        <w:rPr>
          <w:spacing w:val="-4"/>
          <w:w w:val="105"/>
          <w:sz w:val="21"/>
        </w:rPr>
        <w:t>the </w:t>
      </w:r>
      <w:r>
        <w:rPr>
          <w:w w:val="105"/>
          <w:sz w:val="21"/>
        </w:rPr>
        <w:t>Act </w:t>
      </w:r>
      <w:r>
        <w:rPr>
          <w:spacing w:val="-5"/>
          <w:w w:val="105"/>
          <w:sz w:val="21"/>
        </w:rPr>
        <w:t>would </w:t>
      </w:r>
      <w:r>
        <w:rPr>
          <w:spacing w:val="-4"/>
          <w:w w:val="105"/>
          <w:sz w:val="21"/>
        </w:rPr>
        <w:t>not </w:t>
      </w:r>
      <w:r>
        <w:rPr>
          <w:spacing w:val="-5"/>
          <w:w w:val="105"/>
          <w:sz w:val="21"/>
        </w:rPr>
        <w:t>provide </w:t>
      </w:r>
      <w:r>
        <w:rPr>
          <w:w w:val="105"/>
          <w:sz w:val="21"/>
        </w:rPr>
        <w:t>a</w:t>
      </w:r>
      <w:r>
        <w:rPr>
          <w:spacing w:val="41"/>
          <w:w w:val="105"/>
          <w:sz w:val="21"/>
        </w:rPr>
        <w:t> </w:t>
      </w:r>
      <w:r>
        <w:rPr>
          <w:spacing w:val="-6"/>
          <w:w w:val="105"/>
          <w:sz w:val="21"/>
        </w:rPr>
        <w:t>remedy.</w:t>
      </w:r>
    </w:p>
    <w:p>
      <w:pPr>
        <w:pStyle w:val="BodyText"/>
        <w:spacing w:before="6"/>
        <w:rPr>
          <w:sz w:val="20"/>
        </w:rPr>
      </w:pPr>
    </w:p>
    <w:p>
      <w:pPr>
        <w:pStyle w:val="Heading5"/>
      </w:pPr>
      <w:r>
        <w:rPr>
          <w:w w:val="115"/>
        </w:rPr>
        <w:t>The scope of the</w:t>
      </w:r>
      <w:r>
        <w:rPr>
          <w:spacing w:val="-36"/>
          <w:w w:val="115"/>
        </w:rPr>
        <w:t> </w:t>
      </w:r>
      <w:r>
        <w:rPr>
          <w:w w:val="115"/>
        </w:rPr>
        <w:t>Act</w:t>
      </w:r>
    </w:p>
    <w:p>
      <w:pPr>
        <w:pStyle w:val="ListParagraph"/>
        <w:numPr>
          <w:ilvl w:val="0"/>
          <w:numId w:val="3"/>
        </w:numPr>
        <w:tabs>
          <w:tab w:pos="2381" w:val="left" w:leader="none"/>
          <w:tab w:pos="2382" w:val="left" w:leader="none"/>
        </w:tabs>
        <w:spacing w:line="240" w:lineRule="auto" w:before="137" w:after="0"/>
        <w:ind w:left="2381" w:right="0" w:hanging="794"/>
        <w:jc w:val="left"/>
        <w:rPr>
          <w:sz w:val="21"/>
        </w:rPr>
      </w:pPr>
      <w:r>
        <w:rPr>
          <w:w w:val="105"/>
          <w:sz w:val="21"/>
        </w:rPr>
        <w:t>The </w:t>
      </w:r>
      <w:r>
        <w:rPr>
          <w:spacing w:val="-4"/>
          <w:w w:val="105"/>
          <w:sz w:val="21"/>
        </w:rPr>
        <w:t>Commission’s </w:t>
      </w:r>
      <w:r>
        <w:rPr>
          <w:spacing w:val="-3"/>
          <w:w w:val="105"/>
          <w:sz w:val="21"/>
        </w:rPr>
        <w:t>recommendations </w:t>
      </w:r>
      <w:r>
        <w:rPr>
          <w:w w:val="105"/>
          <w:sz w:val="21"/>
        </w:rPr>
        <w:t>about the scope of the new Act</w:t>
      </w:r>
      <w:r>
        <w:rPr>
          <w:spacing w:val="-21"/>
          <w:w w:val="105"/>
          <w:sz w:val="21"/>
        </w:rPr>
        <w:t> </w:t>
      </w:r>
      <w:r>
        <w:rPr>
          <w:w w:val="105"/>
          <w:sz w:val="21"/>
        </w:rPr>
        <w:t>include:</w:t>
      </w:r>
    </w:p>
    <w:p>
      <w:pPr>
        <w:pStyle w:val="ListParagraph"/>
        <w:numPr>
          <w:ilvl w:val="1"/>
          <w:numId w:val="3"/>
        </w:numPr>
        <w:tabs>
          <w:tab w:pos="2721" w:val="left" w:leader="none"/>
          <w:tab w:pos="2722" w:val="left" w:leader="none"/>
        </w:tabs>
        <w:spacing w:line="242" w:lineRule="auto" w:before="124" w:after="0"/>
        <w:ind w:left="2721" w:right="5" w:hanging="340"/>
        <w:jc w:val="left"/>
        <w:rPr>
          <w:sz w:val="21"/>
        </w:rPr>
      </w:pPr>
      <w:r>
        <w:rPr>
          <w:spacing w:val="-4"/>
          <w:w w:val="105"/>
          <w:sz w:val="21"/>
        </w:rPr>
        <w:t>‘Tree’ </w:t>
      </w:r>
      <w:r>
        <w:rPr>
          <w:w w:val="105"/>
          <w:sz w:val="21"/>
        </w:rPr>
        <w:t>should be defined broadly </w:t>
      </w:r>
      <w:r>
        <w:rPr>
          <w:spacing w:val="-3"/>
          <w:w w:val="105"/>
          <w:sz w:val="21"/>
        </w:rPr>
        <w:t>to include Australian </w:t>
      </w:r>
      <w:r>
        <w:rPr>
          <w:w w:val="105"/>
          <w:sz w:val="21"/>
        </w:rPr>
        <w:t>flora and </w:t>
      </w:r>
      <w:r>
        <w:rPr>
          <w:spacing w:val="-3"/>
          <w:w w:val="105"/>
          <w:sz w:val="21"/>
        </w:rPr>
        <w:t>introduced </w:t>
      </w:r>
      <w:r>
        <w:rPr>
          <w:w w:val="105"/>
          <w:sz w:val="21"/>
        </w:rPr>
        <w:t>trees, and </w:t>
      </w:r>
      <w:r>
        <w:rPr>
          <w:spacing w:val="-3"/>
          <w:w w:val="105"/>
          <w:sz w:val="21"/>
        </w:rPr>
        <w:t>all</w:t>
      </w:r>
      <w:r>
        <w:rPr>
          <w:spacing w:val="-7"/>
          <w:w w:val="105"/>
          <w:sz w:val="21"/>
        </w:rPr>
        <w:t> </w:t>
      </w:r>
      <w:r>
        <w:rPr>
          <w:w w:val="105"/>
          <w:sz w:val="21"/>
        </w:rPr>
        <w:t>parts</w:t>
      </w:r>
      <w:r>
        <w:rPr>
          <w:spacing w:val="-7"/>
          <w:w w:val="105"/>
          <w:sz w:val="21"/>
        </w:rPr>
        <w:t> </w:t>
      </w:r>
      <w:r>
        <w:rPr>
          <w:w w:val="105"/>
          <w:sz w:val="21"/>
        </w:rPr>
        <w:t>of</w:t>
      </w:r>
      <w:r>
        <w:rPr>
          <w:spacing w:val="-7"/>
          <w:w w:val="105"/>
          <w:sz w:val="21"/>
        </w:rPr>
        <w:t> </w:t>
      </w:r>
      <w:r>
        <w:rPr>
          <w:w w:val="105"/>
          <w:sz w:val="21"/>
        </w:rPr>
        <w:t>a</w:t>
      </w:r>
      <w:r>
        <w:rPr>
          <w:spacing w:val="-6"/>
          <w:w w:val="105"/>
          <w:sz w:val="21"/>
        </w:rPr>
        <w:t> </w:t>
      </w:r>
      <w:r>
        <w:rPr>
          <w:spacing w:val="-3"/>
          <w:w w:val="105"/>
          <w:sz w:val="21"/>
        </w:rPr>
        <w:t>tree,</w:t>
      </w:r>
      <w:r>
        <w:rPr>
          <w:spacing w:val="-7"/>
          <w:w w:val="105"/>
          <w:sz w:val="21"/>
        </w:rPr>
        <w:t> </w:t>
      </w:r>
      <w:r>
        <w:rPr>
          <w:w w:val="105"/>
          <w:sz w:val="21"/>
        </w:rPr>
        <w:t>as</w:t>
      </w:r>
      <w:r>
        <w:rPr>
          <w:spacing w:val="-7"/>
          <w:w w:val="105"/>
          <w:sz w:val="21"/>
        </w:rPr>
        <w:t> </w:t>
      </w:r>
      <w:r>
        <w:rPr>
          <w:spacing w:val="-3"/>
          <w:w w:val="105"/>
          <w:sz w:val="21"/>
        </w:rPr>
        <w:t>well</w:t>
      </w:r>
      <w:r>
        <w:rPr>
          <w:spacing w:val="-6"/>
          <w:w w:val="105"/>
          <w:sz w:val="21"/>
        </w:rPr>
        <w:t> </w:t>
      </w:r>
      <w:r>
        <w:rPr>
          <w:w w:val="105"/>
          <w:sz w:val="21"/>
        </w:rPr>
        <w:t>as</w:t>
      </w:r>
      <w:r>
        <w:rPr>
          <w:spacing w:val="-7"/>
          <w:w w:val="105"/>
          <w:sz w:val="21"/>
        </w:rPr>
        <w:t> </w:t>
      </w:r>
      <w:r>
        <w:rPr>
          <w:w w:val="105"/>
          <w:sz w:val="21"/>
        </w:rPr>
        <w:t>dead</w:t>
      </w:r>
      <w:r>
        <w:rPr>
          <w:spacing w:val="-7"/>
          <w:w w:val="105"/>
          <w:sz w:val="21"/>
        </w:rPr>
        <w:t> </w:t>
      </w:r>
      <w:r>
        <w:rPr>
          <w:w w:val="105"/>
          <w:sz w:val="21"/>
        </w:rPr>
        <w:t>trees,</w:t>
      </w:r>
      <w:r>
        <w:rPr>
          <w:spacing w:val="-6"/>
          <w:w w:val="105"/>
          <w:sz w:val="21"/>
        </w:rPr>
        <w:t> </w:t>
      </w:r>
      <w:r>
        <w:rPr>
          <w:w w:val="105"/>
          <w:sz w:val="21"/>
        </w:rPr>
        <w:t>trees</w:t>
      </w:r>
      <w:r>
        <w:rPr>
          <w:spacing w:val="-7"/>
          <w:w w:val="105"/>
          <w:sz w:val="21"/>
        </w:rPr>
        <w:t> </w:t>
      </w:r>
      <w:r>
        <w:rPr>
          <w:spacing w:val="-3"/>
          <w:w w:val="105"/>
          <w:sz w:val="21"/>
        </w:rPr>
        <w:t>that</w:t>
      </w:r>
      <w:r>
        <w:rPr>
          <w:spacing w:val="-7"/>
          <w:w w:val="105"/>
          <w:sz w:val="21"/>
        </w:rPr>
        <w:t> </w:t>
      </w:r>
      <w:r>
        <w:rPr>
          <w:spacing w:val="-3"/>
          <w:w w:val="105"/>
          <w:sz w:val="21"/>
        </w:rPr>
        <w:t>have</w:t>
      </w:r>
      <w:r>
        <w:rPr>
          <w:spacing w:val="-6"/>
          <w:w w:val="105"/>
          <w:sz w:val="21"/>
        </w:rPr>
        <w:t> </w:t>
      </w:r>
      <w:r>
        <w:rPr>
          <w:w w:val="105"/>
          <w:sz w:val="21"/>
        </w:rPr>
        <w:t>been</w:t>
      </w:r>
      <w:r>
        <w:rPr>
          <w:spacing w:val="-7"/>
          <w:w w:val="105"/>
          <w:sz w:val="21"/>
        </w:rPr>
        <w:t> </w:t>
      </w:r>
      <w:r>
        <w:rPr>
          <w:w w:val="105"/>
          <w:sz w:val="21"/>
        </w:rPr>
        <w:t>removed</w:t>
      </w:r>
      <w:r>
        <w:rPr>
          <w:spacing w:val="-7"/>
          <w:w w:val="105"/>
          <w:sz w:val="21"/>
        </w:rPr>
        <w:t> </w:t>
      </w:r>
      <w:r>
        <w:rPr>
          <w:w w:val="105"/>
          <w:sz w:val="21"/>
        </w:rPr>
        <w:t>and</w:t>
      </w:r>
      <w:r>
        <w:rPr>
          <w:spacing w:val="-6"/>
          <w:w w:val="105"/>
          <w:sz w:val="21"/>
        </w:rPr>
        <w:t> </w:t>
      </w:r>
      <w:r>
        <w:rPr>
          <w:w w:val="105"/>
          <w:sz w:val="21"/>
        </w:rPr>
        <w:t>plants</w:t>
      </w:r>
      <w:r>
        <w:rPr>
          <w:spacing w:val="-7"/>
          <w:w w:val="105"/>
          <w:sz w:val="21"/>
        </w:rPr>
        <w:t> </w:t>
      </w:r>
      <w:r>
        <w:rPr>
          <w:spacing w:val="-3"/>
          <w:w w:val="105"/>
          <w:sz w:val="21"/>
        </w:rPr>
        <w:t>that </w:t>
      </w:r>
      <w:r>
        <w:rPr>
          <w:w w:val="105"/>
          <w:sz w:val="21"/>
        </w:rPr>
        <w:t>resemble a tree in </w:t>
      </w:r>
      <w:r>
        <w:rPr>
          <w:spacing w:val="-3"/>
          <w:w w:val="105"/>
          <w:sz w:val="21"/>
        </w:rPr>
        <w:t>form </w:t>
      </w:r>
      <w:r>
        <w:rPr>
          <w:w w:val="105"/>
          <w:sz w:val="21"/>
        </w:rPr>
        <w:t>and</w:t>
      </w:r>
      <w:r>
        <w:rPr>
          <w:spacing w:val="30"/>
          <w:w w:val="105"/>
          <w:sz w:val="21"/>
        </w:rPr>
        <w:t> </w:t>
      </w:r>
      <w:r>
        <w:rPr>
          <w:spacing w:val="-4"/>
          <w:w w:val="105"/>
          <w:sz w:val="21"/>
        </w:rPr>
        <w:t>size.</w:t>
      </w:r>
    </w:p>
    <w:p>
      <w:pPr>
        <w:pStyle w:val="ListParagraph"/>
        <w:numPr>
          <w:ilvl w:val="1"/>
          <w:numId w:val="3"/>
        </w:numPr>
        <w:tabs>
          <w:tab w:pos="2721" w:val="left" w:leader="none"/>
          <w:tab w:pos="2722" w:val="left" w:leader="none"/>
        </w:tabs>
        <w:spacing w:line="242" w:lineRule="auto" w:before="88" w:after="0"/>
        <w:ind w:left="2721" w:right="80" w:hanging="340"/>
        <w:jc w:val="left"/>
        <w:rPr>
          <w:sz w:val="21"/>
        </w:rPr>
      </w:pPr>
      <w:r>
        <w:rPr>
          <w:w w:val="105"/>
          <w:sz w:val="21"/>
        </w:rPr>
        <w:t>The Act should apply </w:t>
      </w:r>
      <w:r>
        <w:rPr>
          <w:spacing w:val="-3"/>
          <w:w w:val="105"/>
          <w:sz w:val="21"/>
        </w:rPr>
        <w:t>to </w:t>
      </w:r>
      <w:r>
        <w:rPr>
          <w:w w:val="105"/>
          <w:sz w:val="21"/>
        </w:rPr>
        <w:t>trees on </w:t>
      </w:r>
      <w:r>
        <w:rPr>
          <w:spacing w:val="-3"/>
          <w:w w:val="105"/>
          <w:sz w:val="21"/>
        </w:rPr>
        <w:t>residential land </w:t>
      </w:r>
      <w:r>
        <w:rPr>
          <w:w w:val="105"/>
          <w:sz w:val="21"/>
        </w:rPr>
        <w:t>and </w:t>
      </w:r>
      <w:r>
        <w:rPr>
          <w:spacing w:val="-3"/>
          <w:w w:val="105"/>
          <w:sz w:val="21"/>
        </w:rPr>
        <w:t>to </w:t>
      </w:r>
      <w:r>
        <w:rPr>
          <w:w w:val="105"/>
          <w:sz w:val="21"/>
        </w:rPr>
        <w:t>other </w:t>
      </w:r>
      <w:r>
        <w:rPr>
          <w:spacing w:val="-3"/>
          <w:w w:val="105"/>
          <w:sz w:val="21"/>
        </w:rPr>
        <w:t>designated land zones. </w:t>
      </w:r>
      <w:r>
        <w:rPr>
          <w:w w:val="105"/>
          <w:sz w:val="21"/>
        </w:rPr>
        <w:t>The Act should also apply </w:t>
      </w:r>
      <w:r>
        <w:rPr>
          <w:spacing w:val="-3"/>
          <w:w w:val="105"/>
          <w:sz w:val="21"/>
        </w:rPr>
        <w:t>to land that </w:t>
      </w:r>
      <w:r>
        <w:rPr>
          <w:spacing w:val="-2"/>
          <w:w w:val="105"/>
          <w:sz w:val="21"/>
        </w:rPr>
        <w:t>has </w:t>
      </w:r>
      <w:r>
        <w:rPr>
          <w:w w:val="105"/>
          <w:sz w:val="21"/>
        </w:rPr>
        <w:t>the </w:t>
      </w:r>
      <w:r>
        <w:rPr>
          <w:spacing w:val="-3"/>
          <w:w w:val="105"/>
          <w:sz w:val="21"/>
        </w:rPr>
        <w:t>substantial character </w:t>
      </w:r>
      <w:r>
        <w:rPr>
          <w:w w:val="105"/>
          <w:sz w:val="21"/>
        </w:rPr>
        <w:t>of the zones </w:t>
      </w:r>
      <w:r>
        <w:rPr>
          <w:spacing w:val="-3"/>
          <w:w w:val="105"/>
          <w:sz w:val="21"/>
        </w:rPr>
        <w:t>designated </w:t>
      </w:r>
      <w:r>
        <w:rPr>
          <w:w w:val="105"/>
          <w:sz w:val="21"/>
        </w:rPr>
        <w:t>in the Act. The </w:t>
      </w:r>
      <w:r>
        <w:rPr>
          <w:spacing w:val="-3"/>
          <w:w w:val="105"/>
          <w:sz w:val="21"/>
        </w:rPr>
        <w:t>exclusion </w:t>
      </w:r>
      <w:r>
        <w:rPr>
          <w:w w:val="105"/>
          <w:sz w:val="21"/>
        </w:rPr>
        <w:t>of some </w:t>
      </w:r>
      <w:r>
        <w:rPr>
          <w:spacing w:val="-3"/>
          <w:w w:val="105"/>
          <w:sz w:val="21"/>
        </w:rPr>
        <w:t>farming </w:t>
      </w:r>
      <w:r>
        <w:rPr>
          <w:w w:val="105"/>
          <w:sz w:val="21"/>
        </w:rPr>
        <w:t>and </w:t>
      </w:r>
      <w:r>
        <w:rPr>
          <w:spacing w:val="-3"/>
          <w:w w:val="105"/>
          <w:sz w:val="21"/>
        </w:rPr>
        <w:t>rural land </w:t>
      </w:r>
      <w:r>
        <w:rPr>
          <w:w w:val="105"/>
          <w:sz w:val="21"/>
        </w:rPr>
        <w:t>and </w:t>
      </w:r>
      <w:r>
        <w:rPr>
          <w:spacing w:val="-3"/>
          <w:w w:val="105"/>
          <w:sz w:val="21"/>
        </w:rPr>
        <w:t>land</w:t>
      </w:r>
      <w:r>
        <w:rPr>
          <w:spacing w:val="43"/>
          <w:w w:val="105"/>
          <w:sz w:val="21"/>
        </w:rPr>
        <w:t> </w:t>
      </w:r>
      <w:r>
        <w:rPr>
          <w:spacing w:val="-3"/>
          <w:w w:val="105"/>
          <w:sz w:val="21"/>
        </w:rPr>
        <w:t>that</w:t>
      </w:r>
    </w:p>
    <w:p>
      <w:pPr>
        <w:pStyle w:val="BodyText"/>
        <w:spacing w:line="242" w:lineRule="auto" w:before="3"/>
        <w:ind w:left="2721" w:right="137"/>
      </w:pPr>
      <w:r>
        <w:rPr/>
        <w:t>is used </w:t>
      </w:r>
      <w:r>
        <w:rPr>
          <w:spacing w:val="-3"/>
        </w:rPr>
        <w:t>for commercial </w:t>
      </w:r>
      <w:r>
        <w:rPr/>
        <w:t>timber </w:t>
      </w:r>
      <w:r>
        <w:rPr>
          <w:spacing w:val="-3"/>
        </w:rPr>
        <w:t>plantations </w:t>
      </w:r>
      <w:r>
        <w:rPr/>
        <w:t>is </w:t>
      </w:r>
      <w:r>
        <w:rPr>
          <w:spacing w:val="-3"/>
        </w:rPr>
        <w:t>consistent </w:t>
      </w:r>
      <w:r>
        <w:rPr/>
        <w:t>with interstate Acts. The </w:t>
      </w:r>
      <w:r>
        <w:rPr>
          <w:spacing w:val="-3"/>
        </w:rPr>
        <w:t>Commission recommends that </w:t>
      </w:r>
      <w:r>
        <w:rPr/>
        <w:t>the </w:t>
      </w:r>
      <w:r>
        <w:rPr>
          <w:spacing w:val="-3"/>
        </w:rPr>
        <w:t>breadth </w:t>
      </w:r>
      <w:r>
        <w:rPr/>
        <w:t>of the </w:t>
      </w:r>
      <w:r>
        <w:rPr>
          <w:spacing w:val="-3"/>
        </w:rPr>
        <w:t>zoning provisions  </w:t>
      </w:r>
      <w:r>
        <w:rPr/>
        <w:t>is </w:t>
      </w:r>
      <w:r>
        <w:rPr>
          <w:spacing w:val="-3"/>
        </w:rPr>
        <w:t>revisited</w:t>
      </w:r>
      <w:r>
        <w:rPr>
          <w:spacing w:val="41"/>
        </w:rPr>
        <w:t> </w:t>
      </w:r>
      <w:r>
        <w:rPr/>
        <w:t>when the Act is reviewed and </w:t>
      </w:r>
      <w:r>
        <w:rPr>
          <w:spacing w:val="-3"/>
        </w:rPr>
        <w:t>that </w:t>
      </w:r>
      <w:r>
        <w:rPr/>
        <w:t>further </w:t>
      </w:r>
      <w:r>
        <w:rPr>
          <w:spacing w:val="-3"/>
        </w:rPr>
        <w:t>consultation occur </w:t>
      </w:r>
      <w:r>
        <w:rPr/>
        <w:t>with farmers and users of </w:t>
      </w:r>
      <w:r>
        <w:rPr>
          <w:spacing w:val="-3"/>
        </w:rPr>
        <w:t>agricultural land </w:t>
      </w:r>
      <w:r>
        <w:rPr/>
        <w:t>at </w:t>
      </w:r>
      <w:r>
        <w:rPr>
          <w:spacing w:val="-3"/>
        </w:rPr>
        <w:t>that time.</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41"/>
        </w:rPr>
      </w:pPr>
    </w:p>
    <w:p>
      <w:pPr>
        <w:spacing w:before="1"/>
        <w:ind w:left="575" w:right="575" w:firstLine="0"/>
        <w:jc w:val="center"/>
        <w:rPr>
          <w:b/>
          <w:sz w:val="24"/>
        </w:rPr>
      </w:pPr>
      <w:r>
        <w:rPr>
          <w:b/>
          <w:color w:val="658464"/>
          <w:w w:val="115"/>
          <w:sz w:val="24"/>
        </w:rPr>
        <w:t>xvii</w:t>
      </w:r>
    </w:p>
    <w:p>
      <w:pPr>
        <w:spacing w:after="0"/>
        <w:jc w:val="center"/>
        <w:rPr>
          <w:sz w:val="24"/>
        </w:rPr>
        <w:sectPr>
          <w:type w:val="continuous"/>
          <w:pgSz w:w="11910" w:h="16840"/>
          <w:pgMar w:top="300" w:bottom="280" w:left="0" w:right="0"/>
          <w:cols w:num="2" w:equalWidth="0">
            <w:col w:w="10276" w:space="40"/>
            <w:col w:w="1594"/>
          </w:cols>
        </w:sectPr>
      </w:pPr>
    </w:p>
    <w:p>
      <w:pPr>
        <w:pStyle w:val="BodyText"/>
        <w:spacing w:before="9"/>
        <w:rPr>
          <w:b/>
          <w:sz w:val="22"/>
        </w:rPr>
      </w:pPr>
    </w:p>
    <w:p>
      <w:pPr>
        <w:pStyle w:val="ListParagraph"/>
        <w:numPr>
          <w:ilvl w:val="0"/>
          <w:numId w:val="4"/>
        </w:numPr>
        <w:tabs>
          <w:tab w:pos="2721" w:val="left" w:leader="none"/>
          <w:tab w:pos="2722" w:val="left" w:leader="none"/>
        </w:tabs>
        <w:spacing w:line="242" w:lineRule="auto" w:before="92" w:after="0"/>
        <w:ind w:left="2721" w:right="2200" w:hanging="340"/>
        <w:jc w:val="left"/>
        <w:rPr>
          <w:sz w:val="21"/>
        </w:rPr>
      </w:pPr>
      <w:r>
        <w:rPr>
          <w:w w:val="105"/>
          <w:sz w:val="21"/>
        </w:rPr>
        <w:t>An affected </w:t>
      </w:r>
      <w:r>
        <w:rPr>
          <w:spacing w:val="-3"/>
          <w:w w:val="105"/>
          <w:sz w:val="21"/>
        </w:rPr>
        <w:t>neighbour’s land </w:t>
      </w:r>
      <w:r>
        <w:rPr>
          <w:w w:val="105"/>
          <w:sz w:val="21"/>
        </w:rPr>
        <w:t>must adjoin a tree </w:t>
      </w:r>
      <w:r>
        <w:rPr>
          <w:spacing w:val="-3"/>
          <w:w w:val="105"/>
          <w:sz w:val="21"/>
        </w:rPr>
        <w:t>owner’s land </w:t>
      </w:r>
      <w:r>
        <w:rPr>
          <w:w w:val="105"/>
          <w:sz w:val="21"/>
        </w:rPr>
        <w:t>with a </w:t>
      </w:r>
      <w:r>
        <w:rPr>
          <w:spacing w:val="-2"/>
          <w:w w:val="105"/>
          <w:sz w:val="21"/>
        </w:rPr>
        <w:t>common </w:t>
      </w:r>
      <w:r>
        <w:rPr>
          <w:spacing w:val="-3"/>
          <w:w w:val="105"/>
          <w:sz w:val="21"/>
        </w:rPr>
        <w:t>boundary, </w:t>
      </w:r>
      <w:r>
        <w:rPr>
          <w:w w:val="105"/>
          <w:sz w:val="21"/>
        </w:rPr>
        <w:t>or be </w:t>
      </w:r>
      <w:r>
        <w:rPr>
          <w:spacing w:val="-3"/>
          <w:w w:val="105"/>
          <w:sz w:val="21"/>
        </w:rPr>
        <w:t>separated </w:t>
      </w:r>
      <w:r>
        <w:rPr>
          <w:w w:val="105"/>
          <w:sz w:val="21"/>
        </w:rPr>
        <w:t>by a </w:t>
      </w:r>
      <w:r>
        <w:rPr>
          <w:spacing w:val="-3"/>
          <w:w w:val="105"/>
          <w:sz w:val="21"/>
        </w:rPr>
        <w:t>thoroughfare </w:t>
      </w:r>
      <w:r>
        <w:rPr>
          <w:w w:val="105"/>
          <w:sz w:val="21"/>
        </w:rPr>
        <w:t>or other </w:t>
      </w:r>
      <w:r>
        <w:rPr>
          <w:spacing w:val="-3"/>
          <w:w w:val="105"/>
          <w:sz w:val="21"/>
        </w:rPr>
        <w:t>area </w:t>
      </w:r>
      <w:r>
        <w:rPr>
          <w:w w:val="105"/>
          <w:sz w:val="21"/>
        </w:rPr>
        <w:t>specified in the</w:t>
      </w:r>
      <w:r>
        <w:rPr>
          <w:spacing w:val="-31"/>
          <w:w w:val="105"/>
          <w:sz w:val="21"/>
        </w:rPr>
        <w:t> </w:t>
      </w:r>
      <w:r>
        <w:rPr>
          <w:w w:val="105"/>
          <w:sz w:val="21"/>
        </w:rPr>
        <w:t>Act.</w:t>
      </w:r>
    </w:p>
    <w:p>
      <w:pPr>
        <w:pStyle w:val="ListParagraph"/>
        <w:numPr>
          <w:ilvl w:val="0"/>
          <w:numId w:val="4"/>
        </w:numPr>
        <w:tabs>
          <w:tab w:pos="2721" w:val="left" w:leader="none"/>
          <w:tab w:pos="2722" w:val="left" w:leader="none"/>
        </w:tabs>
        <w:spacing w:line="242" w:lineRule="auto" w:before="87" w:after="0"/>
        <w:ind w:left="2721" w:right="1900" w:hanging="340"/>
        <w:jc w:val="left"/>
        <w:rPr>
          <w:sz w:val="21"/>
        </w:rPr>
      </w:pPr>
      <w:r>
        <w:rPr>
          <w:w w:val="105"/>
          <w:sz w:val="21"/>
        </w:rPr>
        <w:t>If</w:t>
      </w:r>
      <w:r>
        <w:rPr>
          <w:spacing w:val="-4"/>
          <w:w w:val="105"/>
          <w:sz w:val="21"/>
        </w:rPr>
        <w:t> </w:t>
      </w:r>
      <w:r>
        <w:rPr>
          <w:w w:val="105"/>
          <w:sz w:val="21"/>
        </w:rPr>
        <w:t>a</w:t>
      </w:r>
      <w:r>
        <w:rPr>
          <w:spacing w:val="-3"/>
          <w:w w:val="105"/>
          <w:sz w:val="21"/>
        </w:rPr>
        <w:t> </w:t>
      </w:r>
      <w:r>
        <w:rPr>
          <w:w w:val="105"/>
          <w:sz w:val="21"/>
        </w:rPr>
        <w:t>tree</w:t>
      </w:r>
      <w:r>
        <w:rPr>
          <w:spacing w:val="-4"/>
          <w:w w:val="105"/>
          <w:sz w:val="21"/>
        </w:rPr>
        <w:t> </w:t>
      </w:r>
      <w:r>
        <w:rPr>
          <w:w w:val="105"/>
          <w:sz w:val="21"/>
        </w:rPr>
        <w:t>straddles</w:t>
      </w:r>
      <w:r>
        <w:rPr>
          <w:spacing w:val="-3"/>
          <w:w w:val="105"/>
          <w:sz w:val="21"/>
        </w:rPr>
        <w:t> </w:t>
      </w:r>
      <w:r>
        <w:rPr>
          <w:w w:val="105"/>
          <w:sz w:val="21"/>
        </w:rPr>
        <w:t>a</w:t>
      </w:r>
      <w:r>
        <w:rPr>
          <w:spacing w:val="-4"/>
          <w:w w:val="105"/>
          <w:sz w:val="21"/>
        </w:rPr>
        <w:t> </w:t>
      </w:r>
      <w:r>
        <w:rPr>
          <w:w w:val="105"/>
          <w:sz w:val="21"/>
        </w:rPr>
        <w:t>boundary</w:t>
      </w:r>
      <w:r>
        <w:rPr>
          <w:spacing w:val="-3"/>
          <w:w w:val="105"/>
          <w:sz w:val="21"/>
        </w:rPr>
        <w:t> </w:t>
      </w:r>
      <w:r>
        <w:rPr>
          <w:spacing w:val="-4"/>
          <w:w w:val="105"/>
          <w:sz w:val="21"/>
        </w:rPr>
        <w:t>line,</w:t>
      </w:r>
      <w:r>
        <w:rPr>
          <w:spacing w:val="-3"/>
          <w:w w:val="105"/>
          <w:sz w:val="21"/>
        </w:rPr>
        <w:t> </w:t>
      </w:r>
      <w:r>
        <w:rPr>
          <w:w w:val="105"/>
          <w:sz w:val="21"/>
        </w:rPr>
        <w:t>an</w:t>
      </w:r>
      <w:r>
        <w:rPr>
          <w:spacing w:val="-4"/>
          <w:w w:val="105"/>
          <w:sz w:val="21"/>
        </w:rPr>
        <w:t> </w:t>
      </w:r>
      <w:r>
        <w:rPr>
          <w:w w:val="105"/>
          <w:sz w:val="21"/>
        </w:rPr>
        <w:t>affected</w:t>
      </w:r>
      <w:r>
        <w:rPr>
          <w:spacing w:val="-3"/>
          <w:w w:val="105"/>
          <w:sz w:val="21"/>
        </w:rPr>
        <w:t> neighbour</w:t>
      </w:r>
      <w:r>
        <w:rPr>
          <w:spacing w:val="-4"/>
          <w:w w:val="105"/>
          <w:sz w:val="21"/>
        </w:rPr>
        <w:t> </w:t>
      </w:r>
      <w:r>
        <w:rPr>
          <w:w w:val="105"/>
          <w:sz w:val="21"/>
        </w:rPr>
        <w:t>should</w:t>
      </w:r>
      <w:r>
        <w:rPr>
          <w:spacing w:val="-3"/>
          <w:w w:val="105"/>
          <w:sz w:val="21"/>
        </w:rPr>
        <w:t> </w:t>
      </w:r>
      <w:r>
        <w:rPr>
          <w:w w:val="105"/>
          <w:sz w:val="21"/>
        </w:rPr>
        <w:t>be</w:t>
      </w:r>
      <w:r>
        <w:rPr>
          <w:spacing w:val="-3"/>
          <w:w w:val="105"/>
          <w:sz w:val="21"/>
        </w:rPr>
        <w:t> </w:t>
      </w:r>
      <w:r>
        <w:rPr>
          <w:w w:val="105"/>
          <w:sz w:val="21"/>
        </w:rPr>
        <w:t>able</w:t>
      </w:r>
      <w:r>
        <w:rPr>
          <w:spacing w:val="-4"/>
          <w:w w:val="105"/>
          <w:sz w:val="21"/>
        </w:rPr>
        <w:t> </w:t>
      </w:r>
      <w:r>
        <w:rPr>
          <w:spacing w:val="-3"/>
          <w:w w:val="105"/>
          <w:sz w:val="21"/>
        </w:rPr>
        <w:t>to bring</w:t>
      </w:r>
      <w:r>
        <w:rPr>
          <w:spacing w:val="-4"/>
          <w:w w:val="105"/>
          <w:sz w:val="21"/>
        </w:rPr>
        <w:t> </w:t>
      </w:r>
      <w:r>
        <w:rPr>
          <w:w w:val="105"/>
          <w:sz w:val="21"/>
        </w:rPr>
        <w:t>a </w:t>
      </w:r>
      <w:r>
        <w:rPr>
          <w:spacing w:val="-3"/>
          <w:w w:val="105"/>
          <w:sz w:val="21"/>
        </w:rPr>
        <w:t>claim </w:t>
      </w:r>
      <w:r>
        <w:rPr>
          <w:w w:val="105"/>
          <w:sz w:val="21"/>
        </w:rPr>
        <w:t>regardless of how much of the tree is on the affected </w:t>
      </w:r>
      <w:r>
        <w:rPr>
          <w:spacing w:val="-3"/>
          <w:w w:val="105"/>
          <w:sz w:val="21"/>
        </w:rPr>
        <w:t>neighbour’s</w:t>
      </w:r>
      <w:r>
        <w:rPr>
          <w:spacing w:val="1"/>
          <w:w w:val="105"/>
          <w:sz w:val="21"/>
        </w:rPr>
        <w:t> </w:t>
      </w:r>
      <w:r>
        <w:rPr>
          <w:spacing w:val="-3"/>
          <w:w w:val="105"/>
          <w:sz w:val="21"/>
        </w:rPr>
        <w:t>land.</w:t>
      </w:r>
    </w:p>
    <w:p>
      <w:pPr>
        <w:pStyle w:val="ListParagraph"/>
        <w:numPr>
          <w:ilvl w:val="0"/>
          <w:numId w:val="4"/>
        </w:numPr>
        <w:tabs>
          <w:tab w:pos="2721" w:val="left" w:leader="none"/>
          <w:tab w:pos="2722" w:val="left" w:leader="none"/>
        </w:tabs>
        <w:spacing w:line="242" w:lineRule="auto" w:before="87" w:after="0"/>
        <w:ind w:left="2721" w:right="1670" w:hanging="340"/>
        <w:jc w:val="left"/>
        <w:rPr>
          <w:sz w:val="21"/>
        </w:rPr>
      </w:pPr>
      <w:r>
        <w:rPr>
          <w:w w:val="105"/>
          <w:sz w:val="21"/>
        </w:rPr>
        <w:t>Legal action </w:t>
      </w:r>
      <w:r>
        <w:rPr>
          <w:spacing w:val="-3"/>
          <w:w w:val="105"/>
          <w:sz w:val="21"/>
        </w:rPr>
        <w:t>may </w:t>
      </w:r>
      <w:r>
        <w:rPr>
          <w:w w:val="105"/>
          <w:sz w:val="21"/>
        </w:rPr>
        <w:t>be </w:t>
      </w:r>
      <w:r>
        <w:rPr>
          <w:spacing w:val="-3"/>
          <w:w w:val="105"/>
          <w:sz w:val="21"/>
        </w:rPr>
        <w:t>commenced </w:t>
      </w:r>
      <w:r>
        <w:rPr>
          <w:w w:val="105"/>
          <w:sz w:val="21"/>
        </w:rPr>
        <w:t>by an affected </w:t>
      </w:r>
      <w:r>
        <w:rPr>
          <w:spacing w:val="-3"/>
          <w:w w:val="105"/>
          <w:sz w:val="21"/>
        </w:rPr>
        <w:t>neighbour </w:t>
      </w:r>
      <w:r>
        <w:rPr>
          <w:w w:val="105"/>
          <w:sz w:val="21"/>
        </w:rPr>
        <w:t>who is the owner of the affected </w:t>
      </w:r>
      <w:r>
        <w:rPr>
          <w:spacing w:val="-3"/>
          <w:w w:val="105"/>
          <w:sz w:val="21"/>
        </w:rPr>
        <w:t>land, </w:t>
      </w:r>
      <w:r>
        <w:rPr>
          <w:w w:val="105"/>
          <w:sz w:val="21"/>
        </w:rPr>
        <w:t>or an </w:t>
      </w:r>
      <w:r>
        <w:rPr>
          <w:spacing w:val="-3"/>
          <w:w w:val="105"/>
          <w:sz w:val="21"/>
        </w:rPr>
        <w:t>occupier </w:t>
      </w:r>
      <w:r>
        <w:rPr>
          <w:w w:val="105"/>
          <w:sz w:val="21"/>
        </w:rPr>
        <w:t>where the owner </w:t>
      </w:r>
      <w:r>
        <w:rPr>
          <w:spacing w:val="-2"/>
          <w:w w:val="105"/>
          <w:sz w:val="21"/>
        </w:rPr>
        <w:t>has </w:t>
      </w:r>
      <w:r>
        <w:rPr>
          <w:spacing w:val="-3"/>
          <w:w w:val="105"/>
          <w:sz w:val="21"/>
        </w:rPr>
        <w:t>refused to take </w:t>
      </w:r>
      <w:r>
        <w:rPr>
          <w:w w:val="105"/>
          <w:sz w:val="21"/>
        </w:rPr>
        <w:t>action. Action can only be </w:t>
      </w:r>
      <w:r>
        <w:rPr>
          <w:spacing w:val="-3"/>
          <w:w w:val="105"/>
          <w:sz w:val="21"/>
        </w:rPr>
        <w:t>brought against </w:t>
      </w:r>
      <w:r>
        <w:rPr>
          <w:w w:val="105"/>
          <w:sz w:val="21"/>
        </w:rPr>
        <w:t>the owner of the </w:t>
      </w:r>
      <w:r>
        <w:rPr>
          <w:spacing w:val="-3"/>
          <w:w w:val="105"/>
          <w:sz w:val="21"/>
        </w:rPr>
        <w:t>land </w:t>
      </w:r>
      <w:r>
        <w:rPr>
          <w:w w:val="105"/>
          <w:sz w:val="21"/>
        </w:rPr>
        <w:t>with the</w:t>
      </w:r>
      <w:r>
        <w:rPr>
          <w:spacing w:val="4"/>
          <w:w w:val="105"/>
          <w:sz w:val="21"/>
        </w:rPr>
        <w:t> </w:t>
      </w:r>
      <w:r>
        <w:rPr>
          <w:spacing w:val="-3"/>
          <w:w w:val="105"/>
          <w:sz w:val="21"/>
        </w:rPr>
        <w:t>tree.</w:t>
      </w:r>
    </w:p>
    <w:p>
      <w:pPr>
        <w:pStyle w:val="ListParagraph"/>
        <w:numPr>
          <w:ilvl w:val="0"/>
          <w:numId w:val="3"/>
        </w:numPr>
        <w:tabs>
          <w:tab w:pos="2381" w:val="left" w:leader="none"/>
          <w:tab w:pos="2382" w:val="left" w:leader="none"/>
        </w:tabs>
        <w:spacing w:line="242" w:lineRule="auto" w:before="88" w:after="0"/>
        <w:ind w:left="2381" w:right="1549" w:hanging="794"/>
        <w:jc w:val="left"/>
        <w:rPr>
          <w:sz w:val="21"/>
        </w:rPr>
      </w:pPr>
      <w:r>
        <w:rPr>
          <w:w w:val="105"/>
          <w:sz w:val="21"/>
        </w:rPr>
        <w:t>The </w:t>
      </w:r>
      <w:r>
        <w:rPr>
          <w:spacing w:val="-3"/>
          <w:w w:val="105"/>
          <w:sz w:val="21"/>
        </w:rPr>
        <w:t>Commission recommends that </w:t>
      </w:r>
      <w:r>
        <w:rPr>
          <w:spacing w:val="-5"/>
          <w:w w:val="105"/>
          <w:sz w:val="21"/>
        </w:rPr>
        <w:t>VCAT </w:t>
      </w:r>
      <w:r>
        <w:rPr>
          <w:spacing w:val="-3"/>
          <w:w w:val="105"/>
          <w:sz w:val="21"/>
        </w:rPr>
        <w:t>consider developing </w:t>
      </w:r>
      <w:r>
        <w:rPr>
          <w:w w:val="105"/>
          <w:sz w:val="21"/>
        </w:rPr>
        <w:t>an application </w:t>
      </w:r>
      <w:r>
        <w:rPr>
          <w:spacing w:val="-3"/>
          <w:w w:val="105"/>
          <w:sz w:val="21"/>
        </w:rPr>
        <w:t>form </w:t>
      </w:r>
      <w:r>
        <w:rPr>
          <w:w w:val="105"/>
          <w:sz w:val="21"/>
        </w:rPr>
        <w:t>based on those used in the NSWLEC and </w:t>
      </w:r>
      <w:r>
        <w:rPr>
          <w:spacing w:val="-7"/>
          <w:w w:val="105"/>
          <w:sz w:val="21"/>
        </w:rPr>
        <w:t>QCAT. </w:t>
      </w:r>
      <w:r>
        <w:rPr>
          <w:w w:val="105"/>
          <w:sz w:val="21"/>
        </w:rPr>
        <w:t>The </w:t>
      </w:r>
      <w:r>
        <w:rPr>
          <w:spacing w:val="-3"/>
          <w:w w:val="105"/>
          <w:sz w:val="21"/>
        </w:rPr>
        <w:t>form </w:t>
      </w:r>
      <w:r>
        <w:rPr>
          <w:w w:val="105"/>
          <w:sz w:val="21"/>
        </w:rPr>
        <w:t>should ask </w:t>
      </w:r>
      <w:r>
        <w:rPr>
          <w:spacing w:val="-3"/>
          <w:w w:val="105"/>
          <w:sz w:val="21"/>
        </w:rPr>
        <w:t>for </w:t>
      </w:r>
      <w:r>
        <w:rPr>
          <w:w w:val="105"/>
          <w:sz w:val="21"/>
        </w:rPr>
        <w:t>extensive </w:t>
      </w:r>
      <w:r>
        <w:rPr>
          <w:spacing w:val="-3"/>
          <w:w w:val="105"/>
          <w:sz w:val="21"/>
        </w:rPr>
        <w:t>information from</w:t>
      </w:r>
      <w:r>
        <w:rPr>
          <w:spacing w:val="-11"/>
          <w:w w:val="105"/>
          <w:sz w:val="21"/>
        </w:rPr>
        <w:t> </w:t>
      </w:r>
      <w:r>
        <w:rPr>
          <w:w w:val="105"/>
          <w:sz w:val="21"/>
        </w:rPr>
        <w:t>the</w:t>
      </w:r>
      <w:r>
        <w:rPr>
          <w:spacing w:val="-10"/>
          <w:w w:val="105"/>
          <w:sz w:val="21"/>
        </w:rPr>
        <w:t> </w:t>
      </w:r>
      <w:r>
        <w:rPr>
          <w:w w:val="105"/>
          <w:sz w:val="21"/>
        </w:rPr>
        <w:t>parties</w:t>
      </w:r>
      <w:r>
        <w:rPr>
          <w:spacing w:val="-10"/>
          <w:w w:val="105"/>
          <w:sz w:val="21"/>
        </w:rPr>
        <w:t> </w:t>
      </w:r>
      <w:r>
        <w:rPr>
          <w:spacing w:val="-3"/>
          <w:w w:val="105"/>
          <w:sz w:val="21"/>
        </w:rPr>
        <w:t>upfront</w:t>
      </w:r>
      <w:r>
        <w:rPr>
          <w:spacing w:val="-10"/>
          <w:w w:val="105"/>
          <w:sz w:val="21"/>
        </w:rPr>
        <w:t> </w:t>
      </w:r>
      <w:r>
        <w:rPr>
          <w:spacing w:val="-3"/>
          <w:w w:val="105"/>
          <w:sz w:val="21"/>
        </w:rPr>
        <w:t>to</w:t>
      </w:r>
      <w:r>
        <w:rPr>
          <w:spacing w:val="-10"/>
          <w:w w:val="105"/>
          <w:sz w:val="21"/>
        </w:rPr>
        <w:t> </w:t>
      </w:r>
      <w:r>
        <w:rPr>
          <w:w w:val="105"/>
          <w:sz w:val="21"/>
        </w:rPr>
        <w:t>help</w:t>
      </w:r>
      <w:r>
        <w:rPr>
          <w:spacing w:val="-10"/>
          <w:w w:val="105"/>
          <w:sz w:val="21"/>
        </w:rPr>
        <w:t> </w:t>
      </w:r>
      <w:r>
        <w:rPr>
          <w:w w:val="105"/>
          <w:sz w:val="21"/>
        </w:rPr>
        <w:t>the</w:t>
      </w:r>
      <w:r>
        <w:rPr>
          <w:spacing w:val="-11"/>
          <w:w w:val="105"/>
          <w:sz w:val="21"/>
        </w:rPr>
        <w:t> </w:t>
      </w:r>
      <w:r>
        <w:rPr>
          <w:w w:val="105"/>
          <w:sz w:val="21"/>
        </w:rPr>
        <w:t>decision</w:t>
      </w:r>
      <w:r>
        <w:rPr>
          <w:spacing w:val="-10"/>
          <w:w w:val="105"/>
          <w:sz w:val="21"/>
        </w:rPr>
        <w:t> </w:t>
      </w:r>
      <w:r>
        <w:rPr>
          <w:spacing w:val="-4"/>
          <w:w w:val="105"/>
          <w:sz w:val="21"/>
        </w:rPr>
        <w:t>maker</w:t>
      </w:r>
      <w:r>
        <w:rPr>
          <w:spacing w:val="-10"/>
          <w:w w:val="105"/>
          <w:sz w:val="21"/>
        </w:rPr>
        <w:t> </w:t>
      </w:r>
      <w:r>
        <w:rPr>
          <w:spacing w:val="-3"/>
          <w:w w:val="105"/>
          <w:sz w:val="21"/>
        </w:rPr>
        <w:t>determine</w:t>
      </w:r>
      <w:r>
        <w:rPr>
          <w:spacing w:val="-10"/>
          <w:w w:val="105"/>
          <w:sz w:val="21"/>
        </w:rPr>
        <w:t> </w:t>
      </w:r>
      <w:r>
        <w:rPr>
          <w:w w:val="105"/>
          <w:sz w:val="21"/>
        </w:rPr>
        <w:t>the</w:t>
      </w:r>
      <w:r>
        <w:rPr>
          <w:spacing w:val="-10"/>
          <w:w w:val="105"/>
          <w:sz w:val="21"/>
        </w:rPr>
        <w:t> </w:t>
      </w:r>
      <w:r>
        <w:rPr>
          <w:w w:val="105"/>
          <w:sz w:val="21"/>
        </w:rPr>
        <w:t>suitability</w:t>
      </w:r>
      <w:r>
        <w:rPr>
          <w:spacing w:val="-10"/>
          <w:w w:val="105"/>
          <w:sz w:val="21"/>
        </w:rPr>
        <w:t> </w:t>
      </w:r>
      <w:r>
        <w:rPr>
          <w:w w:val="105"/>
          <w:sz w:val="21"/>
        </w:rPr>
        <w:t>of</w:t>
      </w:r>
      <w:r>
        <w:rPr>
          <w:spacing w:val="-11"/>
          <w:w w:val="105"/>
          <w:sz w:val="21"/>
        </w:rPr>
        <w:t> </w:t>
      </w:r>
      <w:r>
        <w:rPr>
          <w:w w:val="105"/>
          <w:sz w:val="21"/>
        </w:rPr>
        <w:t>matters</w:t>
      </w:r>
      <w:r>
        <w:rPr>
          <w:spacing w:val="-10"/>
          <w:w w:val="105"/>
          <w:sz w:val="21"/>
        </w:rPr>
        <w:t> </w:t>
      </w:r>
      <w:r>
        <w:rPr>
          <w:spacing w:val="-3"/>
          <w:w w:val="105"/>
          <w:sz w:val="21"/>
        </w:rPr>
        <w:t>for alternative</w:t>
      </w:r>
      <w:r>
        <w:rPr>
          <w:spacing w:val="-10"/>
          <w:w w:val="105"/>
          <w:sz w:val="21"/>
        </w:rPr>
        <w:t> </w:t>
      </w:r>
      <w:r>
        <w:rPr>
          <w:spacing w:val="-3"/>
          <w:w w:val="105"/>
          <w:sz w:val="21"/>
        </w:rPr>
        <w:t>dispute</w:t>
      </w:r>
      <w:r>
        <w:rPr>
          <w:spacing w:val="-10"/>
          <w:w w:val="105"/>
          <w:sz w:val="21"/>
        </w:rPr>
        <w:t> </w:t>
      </w:r>
      <w:r>
        <w:rPr>
          <w:w w:val="105"/>
          <w:sz w:val="21"/>
        </w:rPr>
        <w:t>resolution</w:t>
      </w:r>
      <w:r>
        <w:rPr>
          <w:spacing w:val="-9"/>
          <w:w w:val="105"/>
          <w:sz w:val="21"/>
        </w:rPr>
        <w:t> </w:t>
      </w:r>
      <w:r>
        <w:rPr>
          <w:w w:val="105"/>
          <w:sz w:val="21"/>
        </w:rPr>
        <w:t>and</w:t>
      </w:r>
      <w:r>
        <w:rPr>
          <w:spacing w:val="-10"/>
          <w:w w:val="105"/>
          <w:sz w:val="21"/>
        </w:rPr>
        <w:t> </w:t>
      </w:r>
      <w:r>
        <w:rPr>
          <w:spacing w:val="-3"/>
          <w:w w:val="105"/>
          <w:sz w:val="21"/>
        </w:rPr>
        <w:t>to</w:t>
      </w:r>
      <w:r>
        <w:rPr>
          <w:spacing w:val="-10"/>
          <w:w w:val="105"/>
          <w:sz w:val="21"/>
        </w:rPr>
        <w:t> </w:t>
      </w:r>
      <w:r>
        <w:rPr>
          <w:spacing w:val="-3"/>
          <w:w w:val="105"/>
          <w:sz w:val="21"/>
        </w:rPr>
        <w:t>narrow</w:t>
      </w:r>
      <w:r>
        <w:rPr>
          <w:spacing w:val="-9"/>
          <w:w w:val="105"/>
          <w:sz w:val="21"/>
        </w:rPr>
        <w:t> </w:t>
      </w:r>
      <w:r>
        <w:rPr>
          <w:w w:val="105"/>
          <w:sz w:val="21"/>
        </w:rPr>
        <w:t>the</w:t>
      </w:r>
      <w:r>
        <w:rPr>
          <w:spacing w:val="-10"/>
          <w:w w:val="105"/>
          <w:sz w:val="21"/>
        </w:rPr>
        <w:t> </w:t>
      </w:r>
      <w:r>
        <w:rPr>
          <w:w w:val="105"/>
          <w:sz w:val="21"/>
        </w:rPr>
        <w:t>issues</w:t>
      </w:r>
      <w:r>
        <w:rPr>
          <w:spacing w:val="-9"/>
          <w:w w:val="105"/>
          <w:sz w:val="21"/>
        </w:rPr>
        <w:t> </w:t>
      </w:r>
      <w:r>
        <w:rPr>
          <w:w w:val="105"/>
          <w:sz w:val="21"/>
        </w:rPr>
        <w:t>in</w:t>
      </w:r>
      <w:r>
        <w:rPr>
          <w:spacing w:val="-10"/>
          <w:w w:val="105"/>
          <w:sz w:val="21"/>
        </w:rPr>
        <w:t> </w:t>
      </w:r>
      <w:r>
        <w:rPr>
          <w:spacing w:val="-3"/>
          <w:w w:val="105"/>
          <w:sz w:val="21"/>
        </w:rPr>
        <w:t>dispute</w:t>
      </w:r>
      <w:r>
        <w:rPr>
          <w:spacing w:val="-10"/>
          <w:w w:val="105"/>
          <w:sz w:val="21"/>
        </w:rPr>
        <w:t> </w:t>
      </w:r>
      <w:r>
        <w:rPr>
          <w:w w:val="105"/>
          <w:sz w:val="21"/>
        </w:rPr>
        <w:t>if</w:t>
      </w:r>
      <w:r>
        <w:rPr>
          <w:spacing w:val="-9"/>
          <w:w w:val="105"/>
          <w:sz w:val="21"/>
        </w:rPr>
        <w:t> </w:t>
      </w:r>
      <w:r>
        <w:rPr>
          <w:w w:val="105"/>
          <w:sz w:val="21"/>
        </w:rPr>
        <w:t>the</w:t>
      </w:r>
      <w:r>
        <w:rPr>
          <w:spacing w:val="-10"/>
          <w:w w:val="105"/>
          <w:sz w:val="21"/>
        </w:rPr>
        <w:t> </w:t>
      </w:r>
      <w:r>
        <w:rPr>
          <w:w w:val="105"/>
          <w:sz w:val="21"/>
        </w:rPr>
        <w:t>matter</w:t>
      </w:r>
      <w:r>
        <w:rPr>
          <w:spacing w:val="-9"/>
          <w:w w:val="105"/>
          <w:sz w:val="21"/>
        </w:rPr>
        <w:t> </w:t>
      </w:r>
      <w:r>
        <w:rPr>
          <w:w w:val="105"/>
          <w:sz w:val="21"/>
        </w:rPr>
        <w:t>proceeds</w:t>
      </w:r>
      <w:r>
        <w:rPr>
          <w:spacing w:val="-10"/>
          <w:w w:val="105"/>
          <w:sz w:val="21"/>
        </w:rPr>
        <w:t> </w:t>
      </w:r>
      <w:r>
        <w:rPr>
          <w:spacing w:val="-3"/>
          <w:w w:val="105"/>
          <w:sz w:val="21"/>
        </w:rPr>
        <w:t>to </w:t>
      </w:r>
      <w:r>
        <w:rPr>
          <w:w w:val="105"/>
          <w:sz w:val="21"/>
        </w:rPr>
        <w:t>a</w:t>
      </w:r>
      <w:r>
        <w:rPr>
          <w:spacing w:val="5"/>
          <w:w w:val="105"/>
          <w:sz w:val="21"/>
        </w:rPr>
        <w:t> </w:t>
      </w:r>
      <w:r>
        <w:rPr>
          <w:spacing w:val="-3"/>
          <w:w w:val="105"/>
          <w:sz w:val="21"/>
        </w:rPr>
        <w:t>hearing.</w:t>
      </w:r>
    </w:p>
    <w:p>
      <w:pPr>
        <w:pStyle w:val="Heading7"/>
        <w:spacing w:before="156"/>
      </w:pPr>
      <w:r>
        <w:rPr>
          <w:w w:val="115"/>
        </w:rPr>
        <w:t>Informal resolution</w:t>
      </w:r>
    </w:p>
    <w:p>
      <w:pPr>
        <w:pStyle w:val="ListParagraph"/>
        <w:numPr>
          <w:ilvl w:val="0"/>
          <w:numId w:val="3"/>
        </w:numPr>
        <w:tabs>
          <w:tab w:pos="2380" w:val="left" w:leader="none"/>
          <w:tab w:pos="2381" w:val="left" w:leader="none"/>
        </w:tabs>
        <w:spacing w:line="242" w:lineRule="auto" w:before="143" w:after="0"/>
        <w:ind w:left="2381" w:right="1548" w:hanging="794"/>
        <w:jc w:val="left"/>
        <w:rPr>
          <w:sz w:val="21"/>
        </w:rPr>
      </w:pPr>
      <w:r>
        <w:rPr>
          <w:spacing w:val="-3"/>
          <w:w w:val="105"/>
          <w:sz w:val="21"/>
        </w:rPr>
        <w:t>Introducing </w:t>
      </w:r>
      <w:r>
        <w:rPr>
          <w:w w:val="105"/>
          <w:sz w:val="21"/>
        </w:rPr>
        <w:t>a new Act and </w:t>
      </w:r>
      <w:r>
        <w:rPr>
          <w:spacing w:val="-3"/>
          <w:w w:val="105"/>
          <w:sz w:val="21"/>
        </w:rPr>
        <w:t>providing </w:t>
      </w:r>
      <w:r>
        <w:rPr>
          <w:w w:val="105"/>
          <w:sz w:val="21"/>
        </w:rPr>
        <w:t>clarity in the law </w:t>
      </w:r>
      <w:r>
        <w:rPr>
          <w:spacing w:val="-3"/>
          <w:w w:val="105"/>
          <w:sz w:val="21"/>
        </w:rPr>
        <w:t>will </w:t>
      </w:r>
      <w:r>
        <w:rPr>
          <w:w w:val="105"/>
          <w:sz w:val="21"/>
        </w:rPr>
        <w:t>assist the community </w:t>
      </w:r>
      <w:r>
        <w:rPr>
          <w:spacing w:val="-3"/>
          <w:w w:val="105"/>
          <w:sz w:val="21"/>
        </w:rPr>
        <w:t>to </w:t>
      </w:r>
      <w:r>
        <w:rPr>
          <w:w w:val="105"/>
          <w:sz w:val="21"/>
        </w:rPr>
        <w:t>resolve their </w:t>
      </w:r>
      <w:r>
        <w:rPr>
          <w:spacing w:val="-3"/>
          <w:w w:val="105"/>
          <w:sz w:val="21"/>
        </w:rPr>
        <w:t>disputes informally </w:t>
      </w:r>
      <w:r>
        <w:rPr>
          <w:w w:val="105"/>
          <w:sz w:val="21"/>
        </w:rPr>
        <w:t>outside </w:t>
      </w:r>
      <w:r>
        <w:rPr>
          <w:spacing w:val="-8"/>
          <w:w w:val="105"/>
          <w:sz w:val="21"/>
        </w:rPr>
        <w:t>VCAT. </w:t>
      </w:r>
      <w:r>
        <w:rPr>
          <w:w w:val="105"/>
          <w:sz w:val="21"/>
        </w:rPr>
        <w:t>A new Act </w:t>
      </w:r>
      <w:r>
        <w:rPr>
          <w:spacing w:val="-3"/>
          <w:w w:val="105"/>
          <w:sz w:val="21"/>
        </w:rPr>
        <w:t>will </w:t>
      </w:r>
      <w:r>
        <w:rPr>
          <w:w w:val="105"/>
          <w:sz w:val="21"/>
        </w:rPr>
        <w:t>also </w:t>
      </w:r>
      <w:r>
        <w:rPr>
          <w:spacing w:val="-3"/>
          <w:w w:val="105"/>
          <w:sz w:val="21"/>
        </w:rPr>
        <w:t>reduce </w:t>
      </w:r>
      <w:r>
        <w:rPr>
          <w:w w:val="105"/>
          <w:sz w:val="21"/>
        </w:rPr>
        <w:t>the number of </w:t>
      </w:r>
      <w:r>
        <w:rPr>
          <w:spacing w:val="-3"/>
          <w:w w:val="105"/>
          <w:sz w:val="21"/>
        </w:rPr>
        <w:t>enquiries to </w:t>
      </w:r>
      <w:r>
        <w:rPr>
          <w:w w:val="105"/>
          <w:sz w:val="21"/>
        </w:rPr>
        <w:t>the </w:t>
      </w:r>
      <w:r>
        <w:rPr>
          <w:spacing w:val="-3"/>
          <w:w w:val="105"/>
          <w:sz w:val="21"/>
        </w:rPr>
        <w:t>Dispute </w:t>
      </w:r>
      <w:r>
        <w:rPr>
          <w:w w:val="105"/>
          <w:sz w:val="21"/>
        </w:rPr>
        <w:t>Settlement </w:t>
      </w:r>
      <w:r>
        <w:rPr>
          <w:spacing w:val="-4"/>
          <w:w w:val="105"/>
          <w:sz w:val="21"/>
        </w:rPr>
        <w:t>Centre </w:t>
      </w:r>
      <w:r>
        <w:rPr>
          <w:w w:val="105"/>
          <w:sz w:val="21"/>
        </w:rPr>
        <w:t>of Victoria and help it </w:t>
      </w:r>
      <w:r>
        <w:rPr>
          <w:spacing w:val="-3"/>
          <w:w w:val="105"/>
          <w:sz w:val="21"/>
        </w:rPr>
        <w:t>to </w:t>
      </w:r>
      <w:r>
        <w:rPr>
          <w:w w:val="105"/>
          <w:sz w:val="21"/>
        </w:rPr>
        <w:t>resolve those </w:t>
      </w:r>
      <w:r>
        <w:rPr>
          <w:spacing w:val="-3"/>
          <w:w w:val="105"/>
          <w:sz w:val="21"/>
        </w:rPr>
        <w:t>enquiries </w:t>
      </w:r>
      <w:r>
        <w:rPr>
          <w:w w:val="105"/>
          <w:sz w:val="21"/>
        </w:rPr>
        <w:t>and </w:t>
      </w:r>
      <w:r>
        <w:rPr>
          <w:spacing w:val="-3"/>
          <w:w w:val="105"/>
          <w:sz w:val="21"/>
        </w:rPr>
        <w:t>mediate</w:t>
      </w:r>
      <w:r>
        <w:rPr>
          <w:spacing w:val="5"/>
          <w:w w:val="105"/>
          <w:sz w:val="21"/>
        </w:rPr>
        <w:t> </w:t>
      </w:r>
      <w:r>
        <w:rPr>
          <w:spacing w:val="-3"/>
          <w:w w:val="105"/>
          <w:sz w:val="21"/>
        </w:rPr>
        <w:t>disputes.</w:t>
      </w:r>
    </w:p>
    <w:p>
      <w:pPr>
        <w:pStyle w:val="ListParagraph"/>
        <w:numPr>
          <w:ilvl w:val="0"/>
          <w:numId w:val="3"/>
        </w:numPr>
        <w:tabs>
          <w:tab w:pos="2380" w:val="left" w:leader="none"/>
          <w:tab w:pos="2381" w:val="left" w:leader="none"/>
        </w:tabs>
        <w:spacing w:line="242" w:lineRule="auto" w:before="124" w:after="0"/>
        <w:ind w:left="2381" w:right="1588" w:hanging="794"/>
        <w:jc w:val="left"/>
        <w:rPr>
          <w:sz w:val="21"/>
        </w:rPr>
      </w:pPr>
      <w:r>
        <w:rPr>
          <w:w w:val="105"/>
          <w:sz w:val="21"/>
        </w:rPr>
        <w:t>Resolving </w:t>
      </w:r>
      <w:r>
        <w:rPr>
          <w:spacing w:val="-3"/>
          <w:w w:val="105"/>
          <w:sz w:val="21"/>
        </w:rPr>
        <w:t>disputes informally </w:t>
      </w:r>
      <w:r>
        <w:rPr>
          <w:w w:val="105"/>
          <w:sz w:val="21"/>
        </w:rPr>
        <w:t>allows neighbours </w:t>
      </w:r>
      <w:r>
        <w:rPr>
          <w:spacing w:val="-3"/>
          <w:w w:val="105"/>
          <w:sz w:val="21"/>
        </w:rPr>
        <w:t>to </w:t>
      </w:r>
      <w:r>
        <w:rPr>
          <w:w w:val="105"/>
          <w:sz w:val="21"/>
        </w:rPr>
        <w:t>come up with </w:t>
      </w:r>
      <w:r>
        <w:rPr>
          <w:spacing w:val="-3"/>
          <w:w w:val="105"/>
          <w:sz w:val="21"/>
        </w:rPr>
        <w:t>creative </w:t>
      </w:r>
      <w:r>
        <w:rPr>
          <w:w w:val="105"/>
          <w:sz w:val="21"/>
        </w:rPr>
        <w:t>solutions and maximises</w:t>
      </w:r>
      <w:r>
        <w:rPr>
          <w:spacing w:val="-9"/>
          <w:w w:val="105"/>
          <w:sz w:val="21"/>
        </w:rPr>
        <w:t> </w:t>
      </w:r>
      <w:r>
        <w:rPr>
          <w:w w:val="105"/>
          <w:sz w:val="21"/>
        </w:rPr>
        <w:t>the</w:t>
      </w:r>
      <w:r>
        <w:rPr>
          <w:spacing w:val="-9"/>
          <w:w w:val="105"/>
          <w:sz w:val="21"/>
        </w:rPr>
        <w:t> </w:t>
      </w:r>
      <w:r>
        <w:rPr>
          <w:spacing w:val="-3"/>
          <w:w w:val="105"/>
          <w:sz w:val="21"/>
        </w:rPr>
        <w:t>chances</w:t>
      </w:r>
      <w:r>
        <w:rPr>
          <w:spacing w:val="-9"/>
          <w:w w:val="105"/>
          <w:sz w:val="21"/>
        </w:rPr>
        <w:t> </w:t>
      </w:r>
      <w:r>
        <w:rPr>
          <w:w w:val="105"/>
          <w:sz w:val="21"/>
        </w:rPr>
        <w:t>of</w:t>
      </w:r>
      <w:r>
        <w:rPr>
          <w:spacing w:val="-9"/>
          <w:w w:val="105"/>
          <w:sz w:val="21"/>
        </w:rPr>
        <w:t> </w:t>
      </w:r>
      <w:r>
        <w:rPr>
          <w:w w:val="105"/>
          <w:sz w:val="21"/>
        </w:rPr>
        <w:t>preserving</w:t>
      </w:r>
      <w:r>
        <w:rPr>
          <w:spacing w:val="-9"/>
          <w:w w:val="105"/>
          <w:sz w:val="21"/>
        </w:rPr>
        <w:t> </w:t>
      </w:r>
      <w:r>
        <w:rPr>
          <w:w w:val="105"/>
          <w:sz w:val="21"/>
        </w:rPr>
        <w:t>neighbourly</w:t>
      </w:r>
      <w:r>
        <w:rPr>
          <w:spacing w:val="-9"/>
          <w:w w:val="105"/>
          <w:sz w:val="21"/>
        </w:rPr>
        <w:t> </w:t>
      </w:r>
      <w:r>
        <w:rPr>
          <w:spacing w:val="-3"/>
          <w:w w:val="105"/>
          <w:sz w:val="21"/>
        </w:rPr>
        <w:t>relations.</w:t>
      </w:r>
      <w:r>
        <w:rPr>
          <w:spacing w:val="-9"/>
          <w:w w:val="105"/>
          <w:sz w:val="21"/>
        </w:rPr>
        <w:t> </w:t>
      </w:r>
      <w:r>
        <w:rPr>
          <w:w w:val="105"/>
          <w:sz w:val="21"/>
        </w:rPr>
        <w:t>It</w:t>
      </w:r>
      <w:r>
        <w:rPr>
          <w:spacing w:val="-9"/>
          <w:w w:val="105"/>
          <w:sz w:val="21"/>
        </w:rPr>
        <w:t> </w:t>
      </w:r>
      <w:r>
        <w:rPr>
          <w:w w:val="105"/>
          <w:sz w:val="21"/>
        </w:rPr>
        <w:t>is</w:t>
      </w:r>
      <w:r>
        <w:rPr>
          <w:spacing w:val="-9"/>
          <w:w w:val="105"/>
          <w:sz w:val="21"/>
        </w:rPr>
        <w:t> </w:t>
      </w:r>
      <w:r>
        <w:rPr>
          <w:w w:val="105"/>
          <w:sz w:val="21"/>
        </w:rPr>
        <w:t>also</w:t>
      </w:r>
      <w:r>
        <w:rPr>
          <w:spacing w:val="-8"/>
          <w:w w:val="105"/>
          <w:sz w:val="21"/>
        </w:rPr>
        <w:t> </w:t>
      </w:r>
      <w:r>
        <w:rPr>
          <w:w w:val="105"/>
          <w:sz w:val="21"/>
        </w:rPr>
        <w:t>cheaper</w:t>
      </w:r>
      <w:r>
        <w:rPr>
          <w:spacing w:val="-9"/>
          <w:w w:val="105"/>
          <w:sz w:val="21"/>
        </w:rPr>
        <w:t> </w:t>
      </w:r>
      <w:r>
        <w:rPr>
          <w:spacing w:val="-3"/>
          <w:w w:val="105"/>
          <w:sz w:val="21"/>
        </w:rPr>
        <w:t>than</w:t>
      </w:r>
      <w:r>
        <w:rPr>
          <w:spacing w:val="-9"/>
          <w:w w:val="105"/>
          <w:sz w:val="21"/>
        </w:rPr>
        <w:t> </w:t>
      </w:r>
      <w:r>
        <w:rPr>
          <w:w w:val="105"/>
          <w:sz w:val="21"/>
        </w:rPr>
        <w:t>going</w:t>
      </w:r>
      <w:r>
        <w:rPr>
          <w:spacing w:val="-9"/>
          <w:w w:val="105"/>
          <w:sz w:val="21"/>
        </w:rPr>
        <w:t> </w:t>
      </w:r>
      <w:r>
        <w:rPr>
          <w:spacing w:val="-3"/>
          <w:w w:val="105"/>
          <w:sz w:val="21"/>
        </w:rPr>
        <w:t>to </w:t>
      </w:r>
      <w:r>
        <w:rPr>
          <w:w w:val="105"/>
          <w:sz w:val="21"/>
        </w:rPr>
        <w:t>court.</w:t>
      </w:r>
    </w:p>
    <w:p>
      <w:pPr>
        <w:pStyle w:val="ListParagraph"/>
        <w:numPr>
          <w:ilvl w:val="0"/>
          <w:numId w:val="3"/>
        </w:numPr>
        <w:tabs>
          <w:tab w:pos="2380" w:val="left" w:leader="none"/>
          <w:tab w:pos="2381" w:val="left" w:leader="none"/>
        </w:tabs>
        <w:spacing w:line="242" w:lineRule="auto" w:before="124" w:after="0"/>
        <w:ind w:left="2381" w:right="1752" w:hanging="794"/>
        <w:jc w:val="left"/>
        <w:rPr>
          <w:sz w:val="21"/>
        </w:rPr>
      </w:pPr>
      <w:r>
        <w:rPr>
          <w:w w:val="105"/>
          <w:sz w:val="21"/>
        </w:rPr>
        <w:t>The</w:t>
      </w:r>
      <w:r>
        <w:rPr>
          <w:spacing w:val="-8"/>
          <w:w w:val="105"/>
          <w:sz w:val="21"/>
        </w:rPr>
        <w:t> </w:t>
      </w:r>
      <w:r>
        <w:rPr>
          <w:spacing w:val="-3"/>
          <w:w w:val="105"/>
          <w:sz w:val="21"/>
        </w:rPr>
        <w:t>Commission</w:t>
      </w:r>
      <w:r>
        <w:rPr>
          <w:spacing w:val="-8"/>
          <w:w w:val="105"/>
          <w:sz w:val="21"/>
        </w:rPr>
        <w:t> </w:t>
      </w:r>
      <w:r>
        <w:rPr>
          <w:spacing w:val="-3"/>
          <w:w w:val="105"/>
          <w:sz w:val="21"/>
        </w:rPr>
        <w:t>makes</w:t>
      </w:r>
      <w:r>
        <w:rPr>
          <w:spacing w:val="-7"/>
          <w:w w:val="105"/>
          <w:sz w:val="21"/>
        </w:rPr>
        <w:t> </w:t>
      </w:r>
      <w:r>
        <w:rPr>
          <w:spacing w:val="-3"/>
          <w:w w:val="105"/>
          <w:sz w:val="21"/>
        </w:rPr>
        <w:t>recommendations</w:t>
      </w:r>
      <w:r>
        <w:rPr>
          <w:spacing w:val="-8"/>
          <w:w w:val="105"/>
          <w:sz w:val="21"/>
        </w:rPr>
        <w:t> </w:t>
      </w:r>
      <w:r>
        <w:rPr>
          <w:spacing w:val="-3"/>
          <w:w w:val="105"/>
          <w:sz w:val="21"/>
        </w:rPr>
        <w:t>to</w:t>
      </w:r>
      <w:r>
        <w:rPr>
          <w:spacing w:val="-7"/>
          <w:w w:val="105"/>
          <w:sz w:val="21"/>
        </w:rPr>
        <w:t> </w:t>
      </w:r>
      <w:r>
        <w:rPr>
          <w:spacing w:val="-3"/>
          <w:w w:val="105"/>
          <w:sz w:val="21"/>
        </w:rPr>
        <w:t>improve</w:t>
      </w:r>
      <w:r>
        <w:rPr>
          <w:spacing w:val="-8"/>
          <w:w w:val="105"/>
          <w:sz w:val="21"/>
        </w:rPr>
        <w:t> </w:t>
      </w:r>
      <w:r>
        <w:rPr>
          <w:w w:val="105"/>
          <w:sz w:val="21"/>
        </w:rPr>
        <w:t>awareness</w:t>
      </w:r>
      <w:r>
        <w:rPr>
          <w:spacing w:val="-8"/>
          <w:w w:val="105"/>
          <w:sz w:val="21"/>
        </w:rPr>
        <w:t> </w:t>
      </w:r>
      <w:r>
        <w:rPr>
          <w:w w:val="105"/>
          <w:sz w:val="21"/>
        </w:rPr>
        <w:t>about</w:t>
      </w:r>
      <w:r>
        <w:rPr>
          <w:spacing w:val="-7"/>
          <w:w w:val="105"/>
          <w:sz w:val="21"/>
        </w:rPr>
        <w:t> </w:t>
      </w:r>
      <w:r>
        <w:rPr>
          <w:w w:val="105"/>
          <w:sz w:val="21"/>
        </w:rPr>
        <w:t>existing</w:t>
      </w:r>
      <w:r>
        <w:rPr>
          <w:spacing w:val="-8"/>
          <w:w w:val="105"/>
          <w:sz w:val="21"/>
        </w:rPr>
        <w:t> </w:t>
      </w:r>
      <w:r>
        <w:rPr>
          <w:spacing w:val="-3"/>
          <w:w w:val="105"/>
          <w:sz w:val="21"/>
        </w:rPr>
        <w:t>informal </w:t>
      </w:r>
      <w:r>
        <w:rPr>
          <w:w w:val="105"/>
          <w:sz w:val="21"/>
        </w:rPr>
        <w:t>resolution options </w:t>
      </w:r>
      <w:r>
        <w:rPr>
          <w:spacing w:val="-3"/>
          <w:w w:val="105"/>
          <w:sz w:val="21"/>
        </w:rPr>
        <w:t>such</w:t>
      </w:r>
      <w:r>
        <w:rPr>
          <w:spacing w:val="14"/>
          <w:w w:val="105"/>
          <w:sz w:val="21"/>
        </w:rPr>
        <w:t> </w:t>
      </w:r>
      <w:r>
        <w:rPr>
          <w:w w:val="105"/>
          <w:sz w:val="21"/>
        </w:rPr>
        <w:t>as:</w:t>
      </w:r>
    </w:p>
    <w:p>
      <w:pPr>
        <w:pStyle w:val="ListParagraph"/>
        <w:numPr>
          <w:ilvl w:val="1"/>
          <w:numId w:val="3"/>
        </w:numPr>
        <w:tabs>
          <w:tab w:pos="2721" w:val="left" w:leader="none"/>
          <w:tab w:pos="2722" w:val="left" w:leader="none"/>
        </w:tabs>
        <w:spacing w:line="240" w:lineRule="auto" w:before="122" w:after="0"/>
        <w:ind w:left="2721" w:right="0" w:hanging="340"/>
        <w:jc w:val="left"/>
        <w:rPr>
          <w:sz w:val="21"/>
        </w:rPr>
      </w:pPr>
      <w:r>
        <w:rPr>
          <w:spacing w:val="-3"/>
          <w:w w:val="105"/>
          <w:sz w:val="21"/>
        </w:rPr>
        <w:t>abatement</w:t>
      </w:r>
    </w:p>
    <w:p>
      <w:pPr>
        <w:pStyle w:val="ListParagraph"/>
        <w:numPr>
          <w:ilvl w:val="1"/>
          <w:numId w:val="3"/>
        </w:numPr>
        <w:tabs>
          <w:tab w:pos="2721" w:val="left" w:leader="none"/>
          <w:tab w:pos="2722" w:val="left" w:leader="none"/>
        </w:tabs>
        <w:spacing w:line="240" w:lineRule="auto" w:before="89" w:after="0"/>
        <w:ind w:left="2721" w:right="0" w:hanging="340"/>
        <w:jc w:val="left"/>
        <w:rPr>
          <w:sz w:val="21"/>
        </w:rPr>
      </w:pPr>
      <w:r>
        <w:rPr>
          <w:spacing w:val="-3"/>
          <w:w w:val="105"/>
          <w:sz w:val="21"/>
        </w:rPr>
        <w:t>neighbour-led</w:t>
      </w:r>
      <w:r>
        <w:rPr>
          <w:spacing w:val="5"/>
          <w:w w:val="105"/>
          <w:sz w:val="21"/>
        </w:rPr>
        <w:t> </w:t>
      </w:r>
      <w:r>
        <w:rPr>
          <w:w w:val="105"/>
          <w:sz w:val="21"/>
        </w:rPr>
        <w:t>negotiation</w:t>
      </w:r>
    </w:p>
    <w:p>
      <w:pPr>
        <w:pStyle w:val="ListParagraph"/>
        <w:numPr>
          <w:ilvl w:val="1"/>
          <w:numId w:val="3"/>
        </w:numPr>
        <w:tabs>
          <w:tab w:pos="2721" w:val="left" w:leader="none"/>
          <w:tab w:pos="2722" w:val="left" w:leader="none"/>
        </w:tabs>
        <w:spacing w:line="240" w:lineRule="auto" w:before="88" w:after="0"/>
        <w:ind w:left="2721" w:right="0" w:hanging="340"/>
        <w:jc w:val="left"/>
        <w:rPr>
          <w:sz w:val="21"/>
        </w:rPr>
      </w:pPr>
      <w:r>
        <w:rPr>
          <w:sz w:val="21"/>
        </w:rPr>
        <w:t>free mediation via the </w:t>
      </w:r>
      <w:r>
        <w:rPr>
          <w:spacing w:val="-3"/>
          <w:sz w:val="21"/>
        </w:rPr>
        <w:t>Dispute </w:t>
      </w:r>
      <w:r>
        <w:rPr>
          <w:sz w:val="21"/>
        </w:rPr>
        <w:t>Settlement </w:t>
      </w:r>
      <w:r>
        <w:rPr>
          <w:spacing w:val="-4"/>
          <w:sz w:val="21"/>
        </w:rPr>
        <w:t>Centre </w:t>
      </w:r>
      <w:r>
        <w:rPr>
          <w:sz w:val="21"/>
        </w:rPr>
        <w:t>of</w:t>
      </w:r>
      <w:r>
        <w:rPr>
          <w:spacing w:val="36"/>
          <w:sz w:val="21"/>
        </w:rPr>
        <w:t> </w:t>
      </w:r>
      <w:r>
        <w:rPr>
          <w:sz w:val="21"/>
        </w:rPr>
        <w:t>Victoria.</w:t>
      </w:r>
    </w:p>
    <w:p>
      <w:pPr>
        <w:pStyle w:val="ListParagraph"/>
        <w:numPr>
          <w:ilvl w:val="0"/>
          <w:numId w:val="3"/>
        </w:numPr>
        <w:tabs>
          <w:tab w:pos="2380" w:val="left" w:leader="none"/>
          <w:tab w:pos="2381" w:val="left" w:leader="none"/>
        </w:tabs>
        <w:spacing w:line="242" w:lineRule="auto" w:before="89" w:after="0"/>
        <w:ind w:left="2381" w:right="1504" w:hanging="794"/>
        <w:jc w:val="left"/>
        <w:rPr>
          <w:sz w:val="21"/>
        </w:rPr>
      </w:pPr>
      <w:r>
        <w:rPr>
          <w:sz w:val="21"/>
        </w:rPr>
        <w:t>The </w:t>
      </w:r>
      <w:r>
        <w:rPr>
          <w:spacing w:val="-2"/>
          <w:sz w:val="21"/>
        </w:rPr>
        <w:t>common </w:t>
      </w:r>
      <w:r>
        <w:rPr>
          <w:sz w:val="21"/>
        </w:rPr>
        <w:t>law remedy of </w:t>
      </w:r>
      <w:r>
        <w:rPr>
          <w:spacing w:val="-3"/>
          <w:sz w:val="21"/>
        </w:rPr>
        <w:t>abatement </w:t>
      </w:r>
      <w:r>
        <w:rPr>
          <w:sz w:val="21"/>
        </w:rPr>
        <w:t>should be modified by the new Act so </w:t>
      </w:r>
      <w:r>
        <w:rPr>
          <w:spacing w:val="-3"/>
          <w:sz w:val="21"/>
        </w:rPr>
        <w:t>that </w:t>
      </w:r>
      <w:r>
        <w:rPr>
          <w:sz w:val="21"/>
        </w:rPr>
        <w:t>pruned tree </w:t>
      </w:r>
      <w:r>
        <w:rPr>
          <w:spacing w:val="-3"/>
          <w:sz w:val="21"/>
        </w:rPr>
        <w:t>branches </w:t>
      </w:r>
      <w:r>
        <w:rPr>
          <w:sz w:val="21"/>
        </w:rPr>
        <w:t>and other </w:t>
      </w:r>
      <w:r>
        <w:rPr>
          <w:spacing w:val="-3"/>
          <w:sz w:val="21"/>
        </w:rPr>
        <w:t>material are </w:t>
      </w:r>
      <w:r>
        <w:rPr>
          <w:spacing w:val="-2"/>
          <w:sz w:val="21"/>
        </w:rPr>
        <w:t>not </w:t>
      </w:r>
      <w:r>
        <w:rPr>
          <w:spacing w:val="-3"/>
          <w:sz w:val="21"/>
        </w:rPr>
        <w:t>required to </w:t>
      </w:r>
      <w:r>
        <w:rPr>
          <w:sz w:val="21"/>
        </w:rPr>
        <w:t>be </w:t>
      </w:r>
      <w:r>
        <w:rPr>
          <w:spacing w:val="-3"/>
          <w:sz w:val="21"/>
        </w:rPr>
        <w:t>returned to </w:t>
      </w:r>
      <w:r>
        <w:rPr>
          <w:sz w:val="21"/>
        </w:rPr>
        <w:t>the tree </w:t>
      </w:r>
      <w:r>
        <w:rPr>
          <w:spacing w:val="-4"/>
          <w:sz w:val="21"/>
        </w:rPr>
        <w:t>owner. </w:t>
      </w:r>
      <w:r>
        <w:rPr>
          <w:sz w:val="21"/>
        </w:rPr>
        <w:t>The </w:t>
      </w:r>
      <w:r>
        <w:rPr>
          <w:spacing w:val="-3"/>
          <w:sz w:val="21"/>
        </w:rPr>
        <w:t>Commission </w:t>
      </w:r>
      <w:r>
        <w:rPr>
          <w:sz w:val="21"/>
        </w:rPr>
        <w:t>identified </w:t>
      </w:r>
      <w:r>
        <w:rPr>
          <w:spacing w:val="-3"/>
          <w:sz w:val="21"/>
        </w:rPr>
        <w:t>that </w:t>
      </w:r>
      <w:r>
        <w:rPr>
          <w:sz w:val="21"/>
        </w:rPr>
        <w:t>this </w:t>
      </w:r>
      <w:r>
        <w:rPr>
          <w:spacing w:val="-2"/>
          <w:sz w:val="21"/>
        </w:rPr>
        <w:t>common </w:t>
      </w:r>
      <w:r>
        <w:rPr>
          <w:sz w:val="21"/>
        </w:rPr>
        <w:t>law </w:t>
      </w:r>
      <w:r>
        <w:rPr>
          <w:spacing w:val="-3"/>
          <w:sz w:val="21"/>
        </w:rPr>
        <w:t>requirement </w:t>
      </w:r>
      <w:r>
        <w:rPr>
          <w:sz w:val="21"/>
        </w:rPr>
        <w:t>can </w:t>
      </w:r>
      <w:r>
        <w:rPr>
          <w:spacing w:val="-4"/>
          <w:sz w:val="21"/>
        </w:rPr>
        <w:t>make </w:t>
      </w:r>
      <w:r>
        <w:rPr>
          <w:spacing w:val="-3"/>
          <w:sz w:val="21"/>
        </w:rPr>
        <w:t>disputes</w:t>
      </w:r>
      <w:r>
        <w:rPr>
          <w:spacing w:val="15"/>
          <w:sz w:val="21"/>
        </w:rPr>
        <w:t> </w:t>
      </w:r>
      <w:r>
        <w:rPr>
          <w:sz w:val="21"/>
        </w:rPr>
        <w:t>worse.</w:t>
      </w:r>
    </w:p>
    <w:p>
      <w:pPr>
        <w:pStyle w:val="ListParagraph"/>
        <w:numPr>
          <w:ilvl w:val="0"/>
          <w:numId w:val="3"/>
        </w:numPr>
        <w:tabs>
          <w:tab w:pos="2380" w:val="left" w:leader="none"/>
          <w:tab w:pos="2381" w:val="left" w:leader="none"/>
        </w:tabs>
        <w:spacing w:line="242" w:lineRule="auto" w:before="123" w:after="0"/>
        <w:ind w:left="2381" w:right="2428" w:hanging="794"/>
        <w:jc w:val="left"/>
        <w:rPr>
          <w:sz w:val="21"/>
        </w:rPr>
      </w:pPr>
      <w:r>
        <w:rPr>
          <w:sz w:val="21"/>
        </w:rPr>
        <w:t>Some community responses  </w:t>
      </w:r>
      <w:r>
        <w:rPr>
          <w:spacing w:val="-3"/>
          <w:sz w:val="21"/>
        </w:rPr>
        <w:t>favoured  including  responsibilities  for  </w:t>
      </w:r>
      <w:r>
        <w:rPr>
          <w:sz w:val="21"/>
        </w:rPr>
        <w:t>tree  owners in</w:t>
      </w:r>
      <w:r>
        <w:rPr>
          <w:spacing w:val="27"/>
          <w:sz w:val="21"/>
        </w:rPr>
        <w:t> </w:t>
      </w:r>
      <w:r>
        <w:rPr>
          <w:spacing w:val="-3"/>
          <w:sz w:val="21"/>
        </w:rPr>
        <w:t>legislation.</w:t>
      </w:r>
      <w:r>
        <w:rPr>
          <w:spacing w:val="27"/>
          <w:sz w:val="21"/>
        </w:rPr>
        <w:t> </w:t>
      </w:r>
      <w:r>
        <w:rPr>
          <w:sz w:val="21"/>
        </w:rPr>
        <w:t>The</w:t>
      </w:r>
      <w:r>
        <w:rPr>
          <w:spacing w:val="28"/>
          <w:sz w:val="21"/>
        </w:rPr>
        <w:t> </w:t>
      </w:r>
      <w:r>
        <w:rPr>
          <w:spacing w:val="-3"/>
          <w:sz w:val="21"/>
        </w:rPr>
        <w:t>Commission</w:t>
      </w:r>
      <w:r>
        <w:rPr>
          <w:spacing w:val="27"/>
          <w:sz w:val="21"/>
        </w:rPr>
        <w:t> </w:t>
      </w:r>
      <w:r>
        <w:rPr>
          <w:sz w:val="21"/>
        </w:rPr>
        <w:t>does</w:t>
      </w:r>
      <w:r>
        <w:rPr>
          <w:spacing w:val="28"/>
          <w:sz w:val="21"/>
        </w:rPr>
        <w:t> </w:t>
      </w:r>
      <w:r>
        <w:rPr>
          <w:spacing w:val="-2"/>
          <w:sz w:val="21"/>
        </w:rPr>
        <w:t>not</w:t>
      </w:r>
      <w:r>
        <w:rPr>
          <w:spacing w:val="27"/>
          <w:sz w:val="21"/>
        </w:rPr>
        <w:t> </w:t>
      </w:r>
      <w:r>
        <w:rPr>
          <w:sz w:val="21"/>
        </w:rPr>
        <w:t>support</w:t>
      </w:r>
      <w:r>
        <w:rPr>
          <w:spacing w:val="27"/>
          <w:sz w:val="21"/>
        </w:rPr>
        <w:t> </w:t>
      </w:r>
      <w:r>
        <w:rPr>
          <w:sz w:val="21"/>
        </w:rPr>
        <w:t>the</w:t>
      </w:r>
      <w:r>
        <w:rPr>
          <w:spacing w:val="28"/>
          <w:sz w:val="21"/>
        </w:rPr>
        <w:t> </w:t>
      </w:r>
      <w:r>
        <w:rPr>
          <w:sz w:val="21"/>
        </w:rPr>
        <w:t>introduction</w:t>
      </w:r>
      <w:r>
        <w:rPr>
          <w:spacing w:val="27"/>
          <w:sz w:val="21"/>
        </w:rPr>
        <w:t> </w:t>
      </w:r>
      <w:r>
        <w:rPr>
          <w:sz w:val="21"/>
        </w:rPr>
        <w:t>of</w:t>
      </w:r>
      <w:r>
        <w:rPr>
          <w:spacing w:val="28"/>
          <w:sz w:val="21"/>
        </w:rPr>
        <w:t> </w:t>
      </w:r>
      <w:r>
        <w:rPr>
          <w:sz w:val="21"/>
        </w:rPr>
        <w:t>non-binding</w:t>
      </w:r>
    </w:p>
    <w:p>
      <w:pPr>
        <w:pStyle w:val="BodyText"/>
        <w:spacing w:line="242" w:lineRule="auto" w:before="3"/>
        <w:ind w:left="2380" w:right="1503"/>
        <w:jc w:val="both"/>
      </w:pPr>
      <w:r>
        <w:rPr>
          <w:spacing w:val="-3"/>
        </w:rPr>
        <w:t>responsibilities for </w:t>
      </w:r>
      <w:r>
        <w:rPr/>
        <w:t>tree owners, or a </w:t>
      </w:r>
      <w:r>
        <w:rPr>
          <w:spacing w:val="-3"/>
        </w:rPr>
        <w:t>requirement that </w:t>
      </w:r>
      <w:r>
        <w:rPr/>
        <w:t>parties </w:t>
      </w:r>
      <w:r>
        <w:rPr>
          <w:spacing w:val="-3"/>
        </w:rPr>
        <w:t>have </w:t>
      </w:r>
      <w:r>
        <w:rPr/>
        <w:t>attempted </w:t>
      </w:r>
      <w:r>
        <w:rPr>
          <w:spacing w:val="-3"/>
        </w:rPr>
        <w:t>to </w:t>
      </w:r>
      <w:r>
        <w:rPr/>
        <w:t>resolve the </w:t>
      </w:r>
      <w:r>
        <w:rPr>
          <w:spacing w:val="-3"/>
        </w:rPr>
        <w:t>dispute informally before  </w:t>
      </w:r>
      <w:r>
        <w:rPr>
          <w:spacing w:val="-5"/>
        </w:rPr>
        <w:t>VCAT  </w:t>
      </w:r>
      <w:r>
        <w:rPr>
          <w:spacing w:val="-3"/>
        </w:rPr>
        <w:t>will  </w:t>
      </w:r>
      <w:r>
        <w:rPr>
          <w:spacing w:val="-4"/>
        </w:rPr>
        <w:t>make  </w:t>
      </w:r>
      <w:r>
        <w:rPr/>
        <w:t>an order or the matter can proceed </w:t>
      </w:r>
      <w:r>
        <w:rPr>
          <w:spacing w:val="-3"/>
        </w:rPr>
        <w:t>to  </w:t>
      </w:r>
      <w:r>
        <w:rPr/>
        <w:t>a </w:t>
      </w:r>
      <w:r>
        <w:rPr>
          <w:spacing w:val="-3"/>
        </w:rPr>
        <w:t>hearing,</w:t>
      </w:r>
      <w:r>
        <w:rPr>
          <w:spacing w:val="41"/>
        </w:rPr>
        <w:t> </w:t>
      </w:r>
      <w:r>
        <w:rPr/>
        <w:t>as occurs in some</w:t>
      </w:r>
      <w:r>
        <w:rPr>
          <w:spacing w:val="32"/>
        </w:rPr>
        <w:t> </w:t>
      </w:r>
      <w:r>
        <w:rPr/>
        <w:t>states.</w:t>
      </w:r>
    </w:p>
    <w:p>
      <w:pPr>
        <w:pStyle w:val="ListParagraph"/>
        <w:numPr>
          <w:ilvl w:val="0"/>
          <w:numId w:val="3"/>
        </w:numPr>
        <w:tabs>
          <w:tab w:pos="2380" w:val="left" w:leader="none"/>
          <w:tab w:pos="2381" w:val="left" w:leader="none"/>
        </w:tabs>
        <w:spacing w:line="242" w:lineRule="auto" w:before="123" w:after="0"/>
        <w:ind w:left="2380" w:right="1453" w:hanging="793"/>
        <w:jc w:val="left"/>
        <w:rPr>
          <w:sz w:val="21"/>
        </w:rPr>
      </w:pPr>
      <w:r>
        <w:rPr>
          <w:w w:val="105"/>
          <w:sz w:val="21"/>
        </w:rPr>
        <w:t>The </w:t>
      </w:r>
      <w:r>
        <w:rPr>
          <w:spacing w:val="-3"/>
          <w:w w:val="105"/>
          <w:sz w:val="21"/>
        </w:rPr>
        <w:t>Commission </w:t>
      </w:r>
      <w:r>
        <w:rPr>
          <w:w w:val="105"/>
          <w:sz w:val="21"/>
        </w:rPr>
        <w:t>provides its </w:t>
      </w:r>
      <w:r>
        <w:rPr>
          <w:spacing w:val="-3"/>
          <w:w w:val="105"/>
          <w:sz w:val="21"/>
        </w:rPr>
        <w:t>preliminary </w:t>
      </w:r>
      <w:r>
        <w:rPr>
          <w:w w:val="105"/>
          <w:sz w:val="21"/>
        </w:rPr>
        <w:t>views about </w:t>
      </w:r>
      <w:r>
        <w:rPr>
          <w:spacing w:val="-3"/>
          <w:w w:val="105"/>
          <w:sz w:val="21"/>
        </w:rPr>
        <w:t>including </w:t>
      </w:r>
      <w:r>
        <w:rPr>
          <w:w w:val="105"/>
          <w:sz w:val="21"/>
        </w:rPr>
        <w:t>a </w:t>
      </w:r>
      <w:r>
        <w:rPr>
          <w:spacing w:val="-3"/>
          <w:w w:val="105"/>
          <w:sz w:val="21"/>
        </w:rPr>
        <w:t>formal branch removal </w:t>
      </w:r>
      <w:r>
        <w:rPr>
          <w:w w:val="105"/>
          <w:sz w:val="21"/>
        </w:rPr>
        <w:t>process in the new Act </w:t>
      </w:r>
      <w:r>
        <w:rPr>
          <w:spacing w:val="-3"/>
          <w:w w:val="105"/>
          <w:sz w:val="21"/>
        </w:rPr>
        <w:t>to </w:t>
      </w:r>
      <w:r>
        <w:rPr>
          <w:w w:val="105"/>
          <w:sz w:val="21"/>
        </w:rPr>
        <w:t>address </w:t>
      </w:r>
      <w:r>
        <w:rPr>
          <w:spacing w:val="-3"/>
          <w:w w:val="105"/>
          <w:sz w:val="21"/>
        </w:rPr>
        <w:t>concerns </w:t>
      </w:r>
      <w:r>
        <w:rPr>
          <w:w w:val="105"/>
          <w:sz w:val="21"/>
        </w:rPr>
        <w:t>about </w:t>
      </w:r>
      <w:r>
        <w:rPr>
          <w:spacing w:val="-3"/>
          <w:w w:val="105"/>
          <w:sz w:val="21"/>
        </w:rPr>
        <w:t>overhanging branches that </w:t>
      </w:r>
      <w:r>
        <w:rPr>
          <w:w w:val="105"/>
          <w:sz w:val="21"/>
        </w:rPr>
        <w:t>do </w:t>
      </w:r>
      <w:r>
        <w:rPr>
          <w:spacing w:val="-2"/>
          <w:w w:val="105"/>
          <w:sz w:val="21"/>
        </w:rPr>
        <w:t>not </w:t>
      </w:r>
      <w:r>
        <w:rPr>
          <w:spacing w:val="-3"/>
          <w:w w:val="105"/>
          <w:sz w:val="21"/>
        </w:rPr>
        <w:t>result </w:t>
      </w:r>
      <w:r>
        <w:rPr>
          <w:w w:val="105"/>
          <w:sz w:val="21"/>
        </w:rPr>
        <w:t>in damage or </w:t>
      </w:r>
      <w:r>
        <w:rPr>
          <w:spacing w:val="-3"/>
          <w:w w:val="105"/>
          <w:sz w:val="21"/>
        </w:rPr>
        <w:t>harm to </w:t>
      </w:r>
      <w:r>
        <w:rPr>
          <w:w w:val="105"/>
          <w:sz w:val="21"/>
        </w:rPr>
        <w:t>people. This </w:t>
      </w:r>
      <w:r>
        <w:rPr>
          <w:spacing w:val="-3"/>
          <w:w w:val="105"/>
          <w:sz w:val="21"/>
        </w:rPr>
        <w:t>mechanism </w:t>
      </w:r>
      <w:r>
        <w:rPr>
          <w:w w:val="105"/>
          <w:sz w:val="21"/>
        </w:rPr>
        <w:t>is </w:t>
      </w:r>
      <w:r>
        <w:rPr>
          <w:spacing w:val="-3"/>
          <w:w w:val="105"/>
          <w:sz w:val="21"/>
        </w:rPr>
        <w:t>included </w:t>
      </w:r>
      <w:r>
        <w:rPr>
          <w:w w:val="105"/>
          <w:sz w:val="21"/>
        </w:rPr>
        <w:t>in </w:t>
      </w:r>
      <w:r>
        <w:rPr>
          <w:spacing w:val="-3"/>
          <w:w w:val="105"/>
          <w:sz w:val="21"/>
        </w:rPr>
        <w:t>legislation </w:t>
      </w:r>
      <w:r>
        <w:rPr>
          <w:w w:val="105"/>
          <w:sz w:val="21"/>
        </w:rPr>
        <w:t>in </w:t>
      </w:r>
      <w:r>
        <w:rPr>
          <w:spacing w:val="-3"/>
          <w:w w:val="105"/>
          <w:sz w:val="21"/>
        </w:rPr>
        <w:t>Queensland </w:t>
      </w:r>
      <w:r>
        <w:rPr>
          <w:w w:val="105"/>
          <w:sz w:val="21"/>
        </w:rPr>
        <w:t>and </w:t>
      </w:r>
      <w:r>
        <w:rPr>
          <w:spacing w:val="-4"/>
          <w:w w:val="105"/>
          <w:sz w:val="21"/>
        </w:rPr>
        <w:t>Tasmania.</w:t>
      </w:r>
      <w:r>
        <w:rPr>
          <w:spacing w:val="-6"/>
          <w:w w:val="105"/>
          <w:sz w:val="21"/>
        </w:rPr>
        <w:t> </w:t>
      </w:r>
      <w:r>
        <w:rPr>
          <w:w w:val="105"/>
          <w:sz w:val="21"/>
        </w:rPr>
        <w:t>The</w:t>
      </w:r>
      <w:r>
        <w:rPr>
          <w:spacing w:val="-6"/>
          <w:w w:val="105"/>
          <w:sz w:val="21"/>
        </w:rPr>
        <w:t> </w:t>
      </w:r>
      <w:r>
        <w:rPr>
          <w:spacing w:val="-3"/>
          <w:w w:val="105"/>
          <w:sz w:val="21"/>
        </w:rPr>
        <w:t>Commission</w:t>
      </w:r>
      <w:r>
        <w:rPr>
          <w:spacing w:val="-6"/>
          <w:w w:val="105"/>
          <w:sz w:val="21"/>
        </w:rPr>
        <w:t> </w:t>
      </w:r>
      <w:r>
        <w:rPr>
          <w:w w:val="105"/>
          <w:sz w:val="21"/>
        </w:rPr>
        <w:t>suggests</w:t>
      </w:r>
      <w:r>
        <w:rPr>
          <w:spacing w:val="-5"/>
          <w:w w:val="105"/>
          <w:sz w:val="21"/>
        </w:rPr>
        <w:t> </w:t>
      </w:r>
      <w:r>
        <w:rPr>
          <w:spacing w:val="-3"/>
          <w:w w:val="105"/>
          <w:sz w:val="21"/>
        </w:rPr>
        <w:t>that</w:t>
      </w:r>
      <w:r>
        <w:rPr>
          <w:spacing w:val="-6"/>
          <w:w w:val="105"/>
          <w:sz w:val="21"/>
        </w:rPr>
        <w:t> </w:t>
      </w:r>
      <w:r>
        <w:rPr>
          <w:w w:val="105"/>
          <w:sz w:val="21"/>
        </w:rPr>
        <w:t>the</w:t>
      </w:r>
      <w:r>
        <w:rPr>
          <w:spacing w:val="-6"/>
          <w:w w:val="105"/>
          <w:sz w:val="21"/>
        </w:rPr>
        <w:t> </w:t>
      </w:r>
      <w:r>
        <w:rPr>
          <w:w w:val="105"/>
          <w:sz w:val="21"/>
        </w:rPr>
        <w:t>usefulness</w:t>
      </w:r>
      <w:r>
        <w:rPr>
          <w:spacing w:val="-5"/>
          <w:w w:val="105"/>
          <w:sz w:val="21"/>
        </w:rPr>
        <w:t> </w:t>
      </w:r>
      <w:r>
        <w:rPr>
          <w:w w:val="105"/>
          <w:sz w:val="21"/>
        </w:rPr>
        <w:t>of</w:t>
      </w:r>
      <w:r>
        <w:rPr>
          <w:spacing w:val="-6"/>
          <w:w w:val="105"/>
          <w:sz w:val="21"/>
        </w:rPr>
        <w:t> </w:t>
      </w:r>
      <w:r>
        <w:rPr>
          <w:w w:val="105"/>
          <w:sz w:val="21"/>
        </w:rPr>
        <w:t>this</w:t>
      </w:r>
      <w:r>
        <w:rPr>
          <w:spacing w:val="-6"/>
          <w:w w:val="105"/>
          <w:sz w:val="21"/>
        </w:rPr>
        <w:t> </w:t>
      </w:r>
      <w:r>
        <w:rPr>
          <w:w w:val="105"/>
          <w:sz w:val="21"/>
        </w:rPr>
        <w:t>process</w:t>
      </w:r>
      <w:r>
        <w:rPr>
          <w:spacing w:val="-5"/>
          <w:w w:val="105"/>
          <w:sz w:val="21"/>
        </w:rPr>
        <w:t> </w:t>
      </w:r>
      <w:r>
        <w:rPr>
          <w:w w:val="105"/>
          <w:sz w:val="21"/>
        </w:rPr>
        <w:t>be</w:t>
      </w:r>
      <w:r>
        <w:rPr>
          <w:spacing w:val="-6"/>
          <w:w w:val="105"/>
          <w:sz w:val="21"/>
        </w:rPr>
        <w:t> </w:t>
      </w:r>
      <w:r>
        <w:rPr>
          <w:spacing w:val="-3"/>
          <w:w w:val="105"/>
          <w:sz w:val="21"/>
        </w:rPr>
        <w:t>considered</w:t>
      </w:r>
      <w:r>
        <w:rPr>
          <w:spacing w:val="-6"/>
          <w:w w:val="105"/>
          <w:sz w:val="21"/>
        </w:rPr>
        <w:t> </w:t>
      </w:r>
      <w:r>
        <w:rPr>
          <w:w w:val="105"/>
          <w:sz w:val="21"/>
        </w:rPr>
        <w:t>when the Act is </w:t>
      </w:r>
      <w:r>
        <w:rPr>
          <w:spacing w:val="-3"/>
          <w:w w:val="105"/>
          <w:sz w:val="21"/>
        </w:rPr>
        <w:t>reviewed. </w:t>
      </w:r>
      <w:r>
        <w:rPr>
          <w:spacing w:val="-4"/>
          <w:w w:val="105"/>
          <w:sz w:val="21"/>
        </w:rPr>
        <w:t>At </w:t>
      </w:r>
      <w:r>
        <w:rPr>
          <w:spacing w:val="-3"/>
          <w:w w:val="105"/>
          <w:sz w:val="21"/>
        </w:rPr>
        <w:t>that </w:t>
      </w:r>
      <w:r>
        <w:rPr>
          <w:w w:val="105"/>
          <w:sz w:val="21"/>
        </w:rPr>
        <w:t>time </w:t>
      </w:r>
      <w:r>
        <w:rPr>
          <w:spacing w:val="-3"/>
          <w:w w:val="105"/>
          <w:sz w:val="21"/>
        </w:rPr>
        <w:t>Government </w:t>
      </w:r>
      <w:r>
        <w:rPr>
          <w:w w:val="105"/>
          <w:sz w:val="21"/>
        </w:rPr>
        <w:t>should </w:t>
      </w:r>
      <w:r>
        <w:rPr>
          <w:spacing w:val="-3"/>
          <w:w w:val="105"/>
          <w:sz w:val="21"/>
        </w:rPr>
        <w:t>consult </w:t>
      </w:r>
      <w:r>
        <w:rPr>
          <w:w w:val="105"/>
          <w:sz w:val="21"/>
        </w:rPr>
        <w:t>with the </w:t>
      </w:r>
      <w:r>
        <w:rPr>
          <w:spacing w:val="-3"/>
          <w:w w:val="105"/>
          <w:sz w:val="21"/>
        </w:rPr>
        <w:t>Queensland </w:t>
      </w:r>
      <w:r>
        <w:rPr>
          <w:w w:val="105"/>
          <w:sz w:val="21"/>
        </w:rPr>
        <w:t>and </w:t>
      </w:r>
      <w:r>
        <w:rPr>
          <w:spacing w:val="-4"/>
          <w:w w:val="105"/>
          <w:sz w:val="21"/>
        </w:rPr>
        <w:t>Tasmanian</w:t>
      </w:r>
      <w:r>
        <w:rPr>
          <w:spacing w:val="-12"/>
          <w:w w:val="105"/>
          <w:sz w:val="21"/>
        </w:rPr>
        <w:t> </w:t>
      </w:r>
      <w:r>
        <w:rPr>
          <w:w w:val="105"/>
          <w:sz w:val="21"/>
        </w:rPr>
        <w:t>governments,</w:t>
      </w:r>
      <w:r>
        <w:rPr>
          <w:spacing w:val="-12"/>
          <w:w w:val="105"/>
          <w:sz w:val="21"/>
        </w:rPr>
        <w:t> </w:t>
      </w:r>
      <w:r>
        <w:rPr>
          <w:spacing w:val="-3"/>
          <w:w w:val="105"/>
          <w:sz w:val="21"/>
        </w:rPr>
        <w:t>dispute</w:t>
      </w:r>
      <w:r>
        <w:rPr>
          <w:spacing w:val="-12"/>
          <w:w w:val="105"/>
          <w:sz w:val="21"/>
        </w:rPr>
        <w:t> </w:t>
      </w:r>
      <w:r>
        <w:rPr>
          <w:w w:val="105"/>
          <w:sz w:val="21"/>
        </w:rPr>
        <w:t>resolution</w:t>
      </w:r>
      <w:r>
        <w:rPr>
          <w:spacing w:val="-12"/>
          <w:w w:val="105"/>
          <w:sz w:val="21"/>
        </w:rPr>
        <w:t> </w:t>
      </w:r>
      <w:r>
        <w:rPr>
          <w:spacing w:val="-3"/>
          <w:w w:val="105"/>
          <w:sz w:val="21"/>
        </w:rPr>
        <w:t>centres</w:t>
      </w:r>
      <w:r>
        <w:rPr>
          <w:spacing w:val="-12"/>
          <w:w w:val="105"/>
          <w:sz w:val="21"/>
        </w:rPr>
        <w:t> </w:t>
      </w:r>
      <w:r>
        <w:rPr>
          <w:w w:val="105"/>
          <w:sz w:val="21"/>
        </w:rPr>
        <w:t>and</w:t>
      </w:r>
      <w:r>
        <w:rPr>
          <w:spacing w:val="-12"/>
          <w:w w:val="105"/>
          <w:sz w:val="21"/>
        </w:rPr>
        <w:t> </w:t>
      </w:r>
      <w:r>
        <w:rPr>
          <w:w w:val="105"/>
          <w:sz w:val="21"/>
        </w:rPr>
        <w:t>community</w:t>
      </w:r>
      <w:r>
        <w:rPr>
          <w:spacing w:val="-12"/>
          <w:w w:val="105"/>
          <w:sz w:val="21"/>
        </w:rPr>
        <w:t> </w:t>
      </w:r>
      <w:r>
        <w:rPr>
          <w:w w:val="105"/>
          <w:sz w:val="21"/>
        </w:rPr>
        <w:t>legal</w:t>
      </w:r>
      <w:r>
        <w:rPr>
          <w:spacing w:val="-12"/>
          <w:w w:val="105"/>
          <w:sz w:val="21"/>
        </w:rPr>
        <w:t> </w:t>
      </w:r>
      <w:r>
        <w:rPr>
          <w:spacing w:val="-3"/>
          <w:w w:val="105"/>
          <w:sz w:val="21"/>
        </w:rPr>
        <w:t>centres</w:t>
      </w:r>
      <w:r>
        <w:rPr>
          <w:spacing w:val="-12"/>
          <w:w w:val="105"/>
          <w:sz w:val="21"/>
        </w:rPr>
        <w:t> </w:t>
      </w:r>
      <w:r>
        <w:rPr>
          <w:w w:val="105"/>
          <w:sz w:val="21"/>
        </w:rPr>
        <w:t>about</w:t>
      </w:r>
      <w:r>
        <w:rPr>
          <w:spacing w:val="-12"/>
          <w:w w:val="105"/>
          <w:sz w:val="21"/>
        </w:rPr>
        <w:t> </w:t>
      </w:r>
      <w:r>
        <w:rPr>
          <w:w w:val="105"/>
          <w:sz w:val="21"/>
        </w:rPr>
        <w:t>the effectiveness of this </w:t>
      </w:r>
      <w:r>
        <w:rPr>
          <w:spacing w:val="-3"/>
          <w:w w:val="105"/>
          <w:sz w:val="21"/>
        </w:rPr>
        <w:t>mechanism </w:t>
      </w:r>
      <w:r>
        <w:rPr>
          <w:w w:val="105"/>
          <w:sz w:val="21"/>
        </w:rPr>
        <w:t>interstate and how it </w:t>
      </w:r>
      <w:r>
        <w:rPr>
          <w:spacing w:val="-3"/>
          <w:w w:val="105"/>
          <w:sz w:val="21"/>
        </w:rPr>
        <w:t>might </w:t>
      </w:r>
      <w:r>
        <w:rPr>
          <w:w w:val="105"/>
          <w:sz w:val="21"/>
        </w:rPr>
        <w:t>work in</w:t>
      </w:r>
      <w:r>
        <w:rPr>
          <w:spacing w:val="12"/>
          <w:w w:val="105"/>
          <w:sz w:val="21"/>
        </w:rPr>
        <w:t> </w:t>
      </w:r>
      <w:r>
        <w:rPr>
          <w:w w:val="105"/>
          <w:sz w:val="21"/>
        </w:rPr>
        <w:t>Victoria.</w:t>
      </w:r>
    </w:p>
    <w:p>
      <w:pPr>
        <w:pStyle w:val="Heading7"/>
        <w:spacing w:before="158"/>
      </w:pPr>
      <w:r>
        <w:rPr>
          <w:w w:val="115"/>
        </w:rPr>
        <w:t>VCAT to determine tree disputes</w:t>
      </w:r>
    </w:p>
    <w:p>
      <w:pPr>
        <w:pStyle w:val="ListParagraph"/>
        <w:numPr>
          <w:ilvl w:val="0"/>
          <w:numId w:val="3"/>
        </w:numPr>
        <w:tabs>
          <w:tab w:pos="2380" w:val="left" w:leader="none"/>
          <w:tab w:pos="2381" w:val="left" w:leader="none"/>
        </w:tabs>
        <w:spacing w:line="242" w:lineRule="auto" w:before="142" w:after="0"/>
        <w:ind w:left="2381" w:right="1539" w:hanging="794"/>
        <w:jc w:val="left"/>
        <w:rPr>
          <w:sz w:val="21"/>
        </w:rPr>
      </w:pPr>
      <w:r>
        <w:rPr>
          <w:spacing w:val="-5"/>
          <w:w w:val="105"/>
          <w:sz w:val="21"/>
        </w:rPr>
        <w:t>Tree </w:t>
      </w:r>
      <w:r>
        <w:rPr>
          <w:spacing w:val="-3"/>
          <w:w w:val="105"/>
          <w:sz w:val="21"/>
        </w:rPr>
        <w:t>disputes </w:t>
      </w:r>
      <w:r>
        <w:rPr>
          <w:w w:val="105"/>
          <w:sz w:val="21"/>
        </w:rPr>
        <w:t>should be </w:t>
      </w:r>
      <w:r>
        <w:rPr>
          <w:spacing w:val="-3"/>
          <w:w w:val="105"/>
          <w:sz w:val="21"/>
        </w:rPr>
        <w:t>adjudicated </w:t>
      </w:r>
      <w:r>
        <w:rPr>
          <w:w w:val="105"/>
          <w:sz w:val="21"/>
        </w:rPr>
        <w:t>in </w:t>
      </w:r>
      <w:r>
        <w:rPr>
          <w:spacing w:val="-5"/>
          <w:w w:val="105"/>
          <w:sz w:val="21"/>
        </w:rPr>
        <w:t>VCAT </w:t>
      </w:r>
      <w:r>
        <w:rPr>
          <w:w w:val="105"/>
          <w:sz w:val="21"/>
        </w:rPr>
        <w:t>because its processes </w:t>
      </w:r>
      <w:r>
        <w:rPr>
          <w:spacing w:val="-3"/>
          <w:w w:val="105"/>
          <w:sz w:val="21"/>
        </w:rPr>
        <w:t>are </w:t>
      </w:r>
      <w:r>
        <w:rPr>
          <w:w w:val="105"/>
          <w:sz w:val="21"/>
        </w:rPr>
        <w:t>most </w:t>
      </w:r>
      <w:r>
        <w:rPr>
          <w:spacing w:val="-3"/>
          <w:w w:val="105"/>
          <w:sz w:val="21"/>
        </w:rPr>
        <w:t>suited to </w:t>
      </w:r>
      <w:r>
        <w:rPr>
          <w:w w:val="105"/>
          <w:sz w:val="21"/>
        </w:rPr>
        <w:t>the needs</w:t>
      </w:r>
      <w:r>
        <w:rPr>
          <w:spacing w:val="2"/>
          <w:w w:val="105"/>
          <w:sz w:val="21"/>
        </w:rPr>
        <w:t> </w:t>
      </w:r>
      <w:r>
        <w:rPr>
          <w:w w:val="105"/>
          <w:sz w:val="21"/>
        </w:rPr>
        <w:t>of</w:t>
      </w:r>
      <w:r>
        <w:rPr>
          <w:spacing w:val="2"/>
          <w:w w:val="105"/>
          <w:sz w:val="21"/>
        </w:rPr>
        <w:t> </w:t>
      </w:r>
      <w:r>
        <w:rPr>
          <w:w w:val="105"/>
          <w:sz w:val="21"/>
        </w:rPr>
        <w:t>the</w:t>
      </w:r>
      <w:r>
        <w:rPr>
          <w:spacing w:val="3"/>
          <w:w w:val="105"/>
          <w:sz w:val="21"/>
        </w:rPr>
        <w:t> </w:t>
      </w:r>
      <w:r>
        <w:rPr>
          <w:spacing w:val="-4"/>
          <w:w w:val="105"/>
          <w:sz w:val="21"/>
        </w:rPr>
        <w:t>community.</w:t>
      </w:r>
      <w:r>
        <w:rPr>
          <w:spacing w:val="2"/>
          <w:w w:val="105"/>
          <w:sz w:val="21"/>
        </w:rPr>
        <w:t> </w:t>
      </w:r>
      <w:r>
        <w:rPr>
          <w:w w:val="105"/>
          <w:sz w:val="21"/>
        </w:rPr>
        <w:t>A</w:t>
      </w:r>
      <w:r>
        <w:rPr>
          <w:spacing w:val="3"/>
          <w:w w:val="105"/>
          <w:sz w:val="21"/>
        </w:rPr>
        <w:t> </w:t>
      </w:r>
      <w:r>
        <w:rPr>
          <w:spacing w:val="-5"/>
          <w:w w:val="105"/>
          <w:sz w:val="21"/>
        </w:rPr>
        <w:t>VCAT</w:t>
      </w:r>
      <w:r>
        <w:rPr>
          <w:spacing w:val="2"/>
          <w:w w:val="105"/>
          <w:sz w:val="21"/>
        </w:rPr>
        <w:t> </w:t>
      </w:r>
      <w:r>
        <w:rPr>
          <w:spacing w:val="-3"/>
          <w:w w:val="105"/>
          <w:sz w:val="21"/>
        </w:rPr>
        <w:t>framework</w:t>
      </w:r>
      <w:r>
        <w:rPr>
          <w:spacing w:val="2"/>
          <w:w w:val="105"/>
          <w:sz w:val="21"/>
        </w:rPr>
        <w:t> </w:t>
      </w:r>
      <w:r>
        <w:rPr>
          <w:spacing w:val="-3"/>
          <w:w w:val="105"/>
          <w:sz w:val="21"/>
        </w:rPr>
        <w:t>will</w:t>
      </w:r>
      <w:r>
        <w:rPr>
          <w:spacing w:val="3"/>
          <w:w w:val="105"/>
          <w:sz w:val="21"/>
        </w:rPr>
        <w:t> </w:t>
      </w:r>
      <w:r>
        <w:rPr>
          <w:spacing w:val="-3"/>
          <w:w w:val="105"/>
          <w:sz w:val="21"/>
        </w:rPr>
        <w:t>ensure</w:t>
      </w:r>
      <w:r>
        <w:rPr>
          <w:spacing w:val="2"/>
          <w:w w:val="105"/>
          <w:sz w:val="21"/>
        </w:rPr>
        <w:t> </w:t>
      </w:r>
      <w:r>
        <w:rPr>
          <w:spacing w:val="-3"/>
          <w:w w:val="105"/>
          <w:sz w:val="21"/>
        </w:rPr>
        <w:t>that</w:t>
      </w:r>
      <w:r>
        <w:rPr>
          <w:spacing w:val="3"/>
          <w:w w:val="105"/>
          <w:sz w:val="21"/>
        </w:rPr>
        <w:t> </w:t>
      </w:r>
      <w:r>
        <w:rPr>
          <w:w w:val="105"/>
          <w:sz w:val="21"/>
        </w:rPr>
        <w:t>costs</w:t>
      </w:r>
      <w:r>
        <w:rPr>
          <w:spacing w:val="2"/>
          <w:w w:val="105"/>
          <w:sz w:val="21"/>
        </w:rPr>
        <w:t> </w:t>
      </w:r>
      <w:r>
        <w:rPr>
          <w:spacing w:val="-3"/>
          <w:w w:val="105"/>
          <w:sz w:val="21"/>
        </w:rPr>
        <w:t>are</w:t>
      </w:r>
      <w:r>
        <w:rPr>
          <w:spacing w:val="3"/>
          <w:w w:val="105"/>
          <w:sz w:val="21"/>
        </w:rPr>
        <w:t> </w:t>
      </w:r>
      <w:r>
        <w:rPr>
          <w:spacing w:val="-3"/>
          <w:w w:val="105"/>
          <w:sz w:val="21"/>
        </w:rPr>
        <w:t>kept</w:t>
      </w:r>
      <w:r>
        <w:rPr>
          <w:spacing w:val="2"/>
          <w:w w:val="105"/>
          <w:sz w:val="21"/>
        </w:rPr>
        <w:t> </w:t>
      </w:r>
      <w:r>
        <w:rPr>
          <w:spacing w:val="-3"/>
          <w:w w:val="105"/>
          <w:sz w:val="21"/>
        </w:rPr>
        <w:t>to</w:t>
      </w:r>
      <w:r>
        <w:rPr>
          <w:spacing w:val="2"/>
          <w:w w:val="105"/>
          <w:sz w:val="21"/>
        </w:rPr>
        <w:t> </w:t>
      </w:r>
      <w:r>
        <w:rPr>
          <w:w w:val="105"/>
          <w:sz w:val="21"/>
        </w:rPr>
        <w:t>a</w:t>
      </w:r>
      <w:r>
        <w:rPr>
          <w:spacing w:val="3"/>
          <w:w w:val="105"/>
          <w:sz w:val="21"/>
        </w:rPr>
        <w:t> </w:t>
      </w:r>
      <w:r>
        <w:rPr>
          <w:spacing w:val="-3"/>
          <w:w w:val="105"/>
          <w:sz w:val="21"/>
        </w:rPr>
        <w:t>minimum.</w:t>
      </w:r>
    </w:p>
    <w:p>
      <w:pPr>
        <w:pStyle w:val="BodyText"/>
        <w:spacing w:line="242" w:lineRule="auto" w:before="3"/>
        <w:ind w:left="2380" w:right="1782"/>
        <w:jc w:val="both"/>
      </w:pPr>
      <w:r>
        <w:rPr/>
        <w:t>It </w:t>
      </w:r>
      <w:r>
        <w:rPr>
          <w:spacing w:val="-3"/>
        </w:rPr>
        <w:t>will </w:t>
      </w:r>
      <w:r>
        <w:rPr/>
        <w:t>be possible </w:t>
      </w:r>
      <w:r>
        <w:rPr>
          <w:spacing w:val="-3"/>
        </w:rPr>
        <w:t>to  </w:t>
      </w:r>
      <w:r>
        <w:rPr/>
        <w:t>use </w:t>
      </w:r>
      <w:r>
        <w:rPr>
          <w:spacing w:val="-6"/>
        </w:rPr>
        <w:t>VCAT’s  </w:t>
      </w:r>
      <w:r>
        <w:rPr/>
        <w:t>existing </w:t>
      </w:r>
      <w:r>
        <w:rPr>
          <w:spacing w:val="-3"/>
        </w:rPr>
        <w:t>alternative  dispute  </w:t>
      </w:r>
      <w:r>
        <w:rPr/>
        <w:t>resolution </w:t>
      </w:r>
      <w:r>
        <w:rPr>
          <w:spacing w:val="-3"/>
        </w:rPr>
        <w:t>programs,</w:t>
      </w:r>
      <w:r>
        <w:rPr>
          <w:spacing w:val="41"/>
        </w:rPr>
        <w:t> </w:t>
      </w:r>
      <w:r>
        <w:rPr/>
        <w:t>as </w:t>
      </w:r>
      <w:r>
        <w:rPr>
          <w:spacing w:val="-3"/>
        </w:rPr>
        <w:t>well </w:t>
      </w:r>
      <w:r>
        <w:rPr/>
        <w:t>as its expertise in </w:t>
      </w:r>
      <w:r>
        <w:rPr>
          <w:spacing w:val="-3"/>
        </w:rPr>
        <w:t>planning </w:t>
      </w:r>
      <w:r>
        <w:rPr/>
        <w:t>and </w:t>
      </w:r>
      <w:r>
        <w:rPr>
          <w:spacing w:val="-3"/>
        </w:rPr>
        <w:t>environment </w:t>
      </w:r>
      <w:r>
        <w:rPr/>
        <w:t>matters and civil </w:t>
      </w:r>
      <w:r>
        <w:rPr>
          <w:spacing w:val="-3"/>
        </w:rPr>
        <w:t>claims. </w:t>
      </w:r>
      <w:r>
        <w:rPr>
          <w:spacing w:val="-5"/>
        </w:rPr>
        <w:t>VCAT </w:t>
      </w:r>
      <w:r>
        <w:rPr/>
        <w:t>is specifically designed </w:t>
      </w:r>
      <w:r>
        <w:rPr>
          <w:spacing w:val="-3"/>
        </w:rPr>
        <w:t>for </w:t>
      </w:r>
      <w:r>
        <w:rPr/>
        <w:t>parties without legal </w:t>
      </w:r>
      <w:r>
        <w:rPr>
          <w:spacing w:val="-2"/>
        </w:rPr>
        <w:t>representation </w:t>
      </w:r>
      <w:r>
        <w:rPr/>
        <w:t>and is less </w:t>
      </w:r>
      <w:r>
        <w:rPr>
          <w:spacing w:val="-3"/>
        </w:rPr>
        <w:t>formal than </w:t>
      </w:r>
      <w:r>
        <w:rPr/>
        <w:t>a</w:t>
      </w:r>
      <w:r>
        <w:rPr>
          <w:spacing w:val="-5"/>
        </w:rPr>
        <w:t> </w:t>
      </w:r>
      <w:r>
        <w:rPr/>
        <w:t>court.</w:t>
      </w:r>
    </w:p>
    <w:p>
      <w:pPr>
        <w:pStyle w:val="BodyText"/>
        <w:spacing w:before="7"/>
        <w:rPr>
          <w:sz w:val="28"/>
        </w:rPr>
      </w:pPr>
    </w:p>
    <w:p>
      <w:pPr>
        <w:spacing w:before="96"/>
        <w:ind w:left="720" w:right="0" w:firstLine="0"/>
        <w:jc w:val="left"/>
        <w:rPr>
          <w:b/>
          <w:sz w:val="24"/>
        </w:rPr>
      </w:pPr>
      <w:r>
        <w:rPr>
          <w:b/>
          <w:color w:val="658464"/>
          <w:w w:val="115"/>
          <w:sz w:val="24"/>
        </w:rPr>
        <w:t>xviii</w:t>
      </w:r>
    </w:p>
    <w:p>
      <w:pPr>
        <w:spacing w:after="0"/>
        <w:jc w:val="left"/>
        <w:rPr>
          <w:sz w:val="24"/>
        </w:rPr>
        <w:sectPr>
          <w:pgSz w:w="11910" w:h="16840"/>
          <w:pgMar w:header="546" w:footer="0" w:top="1560" w:bottom="280" w:left="0" w:right="0"/>
        </w:sectPr>
      </w:pPr>
    </w:p>
    <w:p>
      <w:pPr>
        <w:pStyle w:val="BodyText"/>
        <w:spacing w:before="2"/>
        <w:rPr>
          <w:b/>
          <w:sz w:val="22"/>
        </w:rPr>
      </w:pPr>
    </w:p>
    <w:p>
      <w:pPr>
        <w:pStyle w:val="Heading7"/>
        <w:spacing w:before="97"/>
        <w:ind w:left="1562"/>
      </w:pPr>
      <w:r>
        <w:rPr>
          <w:w w:val="115"/>
        </w:rPr>
        <w:t>The expertise of decision makers</w:t>
      </w:r>
    </w:p>
    <w:p>
      <w:pPr>
        <w:pStyle w:val="ListParagraph"/>
        <w:numPr>
          <w:ilvl w:val="0"/>
          <w:numId w:val="5"/>
        </w:numPr>
        <w:tabs>
          <w:tab w:pos="2356" w:val="left" w:leader="none"/>
          <w:tab w:pos="2357" w:val="left" w:leader="none"/>
        </w:tabs>
        <w:spacing w:line="242" w:lineRule="auto" w:before="142" w:after="0"/>
        <w:ind w:left="2356" w:right="1443" w:hanging="794"/>
        <w:jc w:val="left"/>
        <w:rPr>
          <w:sz w:val="21"/>
        </w:rPr>
      </w:pPr>
      <w:r>
        <w:rPr>
          <w:w w:val="105"/>
          <w:sz w:val="21"/>
        </w:rPr>
        <w:t>The </w:t>
      </w:r>
      <w:r>
        <w:rPr>
          <w:spacing w:val="-3"/>
          <w:w w:val="105"/>
          <w:sz w:val="21"/>
        </w:rPr>
        <w:t>Commission recommends that Government consider appointing to </w:t>
      </w:r>
      <w:r>
        <w:rPr>
          <w:spacing w:val="-5"/>
          <w:w w:val="105"/>
          <w:sz w:val="21"/>
        </w:rPr>
        <w:t>VCAT </w:t>
      </w:r>
      <w:r>
        <w:rPr>
          <w:w w:val="105"/>
          <w:sz w:val="21"/>
        </w:rPr>
        <w:t>expert members with extensive </w:t>
      </w:r>
      <w:r>
        <w:rPr>
          <w:spacing w:val="-3"/>
          <w:w w:val="105"/>
          <w:sz w:val="21"/>
        </w:rPr>
        <w:t>arboricultural </w:t>
      </w:r>
      <w:r>
        <w:rPr>
          <w:w w:val="105"/>
          <w:sz w:val="21"/>
        </w:rPr>
        <w:t>experience </w:t>
      </w:r>
      <w:r>
        <w:rPr>
          <w:spacing w:val="-3"/>
          <w:w w:val="105"/>
          <w:sz w:val="21"/>
        </w:rPr>
        <w:t>to </w:t>
      </w:r>
      <w:r>
        <w:rPr>
          <w:w w:val="105"/>
          <w:sz w:val="21"/>
        </w:rPr>
        <w:t>hear these </w:t>
      </w:r>
      <w:r>
        <w:rPr>
          <w:spacing w:val="-3"/>
          <w:w w:val="105"/>
          <w:sz w:val="21"/>
        </w:rPr>
        <w:t>disputes </w:t>
      </w:r>
      <w:r>
        <w:rPr>
          <w:w w:val="105"/>
          <w:sz w:val="21"/>
        </w:rPr>
        <w:t>on </w:t>
      </w:r>
      <w:r>
        <w:rPr>
          <w:spacing w:val="-4"/>
          <w:w w:val="105"/>
          <w:sz w:val="21"/>
        </w:rPr>
        <w:t>site, </w:t>
      </w:r>
      <w:r>
        <w:rPr>
          <w:w w:val="105"/>
          <w:sz w:val="21"/>
        </w:rPr>
        <w:t>as occurs in New South </w:t>
      </w:r>
      <w:r>
        <w:rPr>
          <w:spacing w:val="-3"/>
          <w:w w:val="105"/>
          <w:sz w:val="21"/>
        </w:rPr>
        <w:t>Wales. Alternatively, </w:t>
      </w:r>
      <w:r>
        <w:rPr>
          <w:spacing w:val="-5"/>
          <w:w w:val="105"/>
          <w:sz w:val="21"/>
        </w:rPr>
        <w:t>VCAT </w:t>
      </w:r>
      <w:r>
        <w:rPr>
          <w:w w:val="105"/>
          <w:sz w:val="21"/>
        </w:rPr>
        <w:t>should </w:t>
      </w:r>
      <w:r>
        <w:rPr>
          <w:spacing w:val="-3"/>
          <w:w w:val="105"/>
          <w:sz w:val="21"/>
        </w:rPr>
        <w:t>consider </w:t>
      </w:r>
      <w:r>
        <w:rPr>
          <w:w w:val="105"/>
          <w:sz w:val="21"/>
        </w:rPr>
        <w:t>the </w:t>
      </w:r>
      <w:r>
        <w:rPr>
          <w:spacing w:val="-3"/>
          <w:w w:val="105"/>
          <w:sz w:val="21"/>
        </w:rPr>
        <w:t>Queensland </w:t>
      </w:r>
      <w:r>
        <w:rPr>
          <w:w w:val="105"/>
          <w:sz w:val="21"/>
        </w:rPr>
        <w:t>approach of </w:t>
      </w:r>
      <w:r>
        <w:rPr>
          <w:spacing w:val="-3"/>
          <w:w w:val="105"/>
          <w:sz w:val="21"/>
        </w:rPr>
        <w:t>using Tribunal-appointed </w:t>
      </w:r>
      <w:r>
        <w:rPr>
          <w:w w:val="105"/>
          <w:sz w:val="21"/>
        </w:rPr>
        <w:t>independent tree assessors </w:t>
      </w:r>
      <w:r>
        <w:rPr>
          <w:spacing w:val="-3"/>
          <w:w w:val="105"/>
          <w:sz w:val="21"/>
        </w:rPr>
        <w:t>to </w:t>
      </w:r>
      <w:r>
        <w:rPr>
          <w:w w:val="105"/>
          <w:sz w:val="21"/>
        </w:rPr>
        <w:t>conduct on-site inspections and provide reports </w:t>
      </w:r>
      <w:r>
        <w:rPr>
          <w:spacing w:val="-3"/>
          <w:w w:val="105"/>
          <w:sz w:val="21"/>
        </w:rPr>
        <w:t>to </w:t>
      </w:r>
      <w:r>
        <w:rPr>
          <w:spacing w:val="-8"/>
          <w:w w:val="105"/>
          <w:sz w:val="21"/>
        </w:rPr>
        <w:t>VCAT, </w:t>
      </w:r>
      <w:r>
        <w:rPr>
          <w:w w:val="105"/>
          <w:sz w:val="21"/>
        </w:rPr>
        <w:t>with the cost </w:t>
      </w:r>
      <w:r>
        <w:rPr>
          <w:spacing w:val="-3"/>
          <w:w w:val="105"/>
          <w:sz w:val="21"/>
        </w:rPr>
        <w:t>shared </w:t>
      </w:r>
      <w:r>
        <w:rPr>
          <w:w w:val="105"/>
          <w:sz w:val="21"/>
        </w:rPr>
        <w:t>by the</w:t>
      </w:r>
      <w:r>
        <w:rPr>
          <w:spacing w:val="4"/>
          <w:w w:val="105"/>
          <w:sz w:val="21"/>
        </w:rPr>
        <w:t> </w:t>
      </w:r>
      <w:r>
        <w:rPr>
          <w:w w:val="105"/>
          <w:sz w:val="21"/>
        </w:rPr>
        <w:t>parties.</w:t>
      </w:r>
    </w:p>
    <w:p>
      <w:pPr>
        <w:pStyle w:val="Heading7"/>
        <w:spacing w:before="156"/>
        <w:ind w:left="1562"/>
      </w:pPr>
      <w:r>
        <w:rPr>
          <w:w w:val="115"/>
        </w:rPr>
        <w:t>Decision-making principles</w:t>
      </w:r>
    </w:p>
    <w:p>
      <w:pPr>
        <w:pStyle w:val="ListParagraph"/>
        <w:numPr>
          <w:ilvl w:val="0"/>
          <w:numId w:val="5"/>
        </w:numPr>
        <w:tabs>
          <w:tab w:pos="2356" w:val="left" w:leader="none"/>
          <w:tab w:pos="2357" w:val="left" w:leader="none"/>
        </w:tabs>
        <w:spacing w:line="242" w:lineRule="auto" w:before="143" w:after="0"/>
        <w:ind w:left="2356" w:right="1452" w:hanging="794"/>
        <w:jc w:val="left"/>
        <w:rPr>
          <w:sz w:val="21"/>
        </w:rPr>
      </w:pPr>
      <w:r>
        <w:rPr>
          <w:w w:val="105"/>
          <w:sz w:val="21"/>
        </w:rPr>
        <w:t>The new Act should </w:t>
      </w:r>
      <w:r>
        <w:rPr>
          <w:spacing w:val="-3"/>
          <w:w w:val="105"/>
          <w:sz w:val="21"/>
        </w:rPr>
        <w:t>facilitate </w:t>
      </w:r>
      <w:r>
        <w:rPr>
          <w:w w:val="105"/>
          <w:sz w:val="21"/>
        </w:rPr>
        <w:t>evidence-based, </w:t>
      </w:r>
      <w:r>
        <w:rPr>
          <w:spacing w:val="-3"/>
          <w:w w:val="105"/>
          <w:sz w:val="21"/>
        </w:rPr>
        <w:t>transparent </w:t>
      </w:r>
      <w:r>
        <w:rPr>
          <w:w w:val="105"/>
          <w:sz w:val="21"/>
        </w:rPr>
        <w:t>and </w:t>
      </w:r>
      <w:r>
        <w:rPr>
          <w:spacing w:val="-3"/>
          <w:w w:val="105"/>
          <w:sz w:val="21"/>
        </w:rPr>
        <w:t>consistent </w:t>
      </w:r>
      <w:r>
        <w:rPr>
          <w:w w:val="105"/>
          <w:sz w:val="21"/>
        </w:rPr>
        <w:t>decision </w:t>
      </w:r>
      <w:r>
        <w:rPr>
          <w:spacing w:val="-3"/>
          <w:w w:val="105"/>
          <w:sz w:val="21"/>
        </w:rPr>
        <w:t>making. </w:t>
      </w:r>
      <w:r>
        <w:rPr>
          <w:w w:val="105"/>
          <w:sz w:val="21"/>
        </w:rPr>
        <w:t>This </w:t>
      </w:r>
      <w:r>
        <w:rPr>
          <w:spacing w:val="-3"/>
          <w:w w:val="105"/>
          <w:sz w:val="21"/>
        </w:rPr>
        <w:t>will require </w:t>
      </w:r>
      <w:r>
        <w:rPr>
          <w:w w:val="105"/>
          <w:sz w:val="21"/>
        </w:rPr>
        <w:t>mandatory and </w:t>
      </w:r>
      <w:r>
        <w:rPr>
          <w:spacing w:val="-3"/>
          <w:w w:val="105"/>
          <w:sz w:val="21"/>
        </w:rPr>
        <w:t>comprehensive </w:t>
      </w:r>
      <w:r>
        <w:rPr>
          <w:w w:val="105"/>
          <w:sz w:val="21"/>
        </w:rPr>
        <w:t>decision-making </w:t>
      </w:r>
      <w:r>
        <w:rPr>
          <w:spacing w:val="-3"/>
          <w:w w:val="105"/>
          <w:sz w:val="21"/>
        </w:rPr>
        <w:t>principles to </w:t>
      </w:r>
      <w:r>
        <w:rPr>
          <w:w w:val="105"/>
          <w:sz w:val="21"/>
        </w:rPr>
        <w:t>help decision </w:t>
      </w:r>
      <w:r>
        <w:rPr>
          <w:spacing w:val="-3"/>
          <w:w w:val="105"/>
          <w:sz w:val="21"/>
        </w:rPr>
        <w:t>makers</w:t>
      </w:r>
      <w:r>
        <w:rPr>
          <w:spacing w:val="-8"/>
          <w:w w:val="105"/>
          <w:sz w:val="21"/>
        </w:rPr>
        <w:t> </w:t>
      </w:r>
      <w:r>
        <w:rPr>
          <w:spacing w:val="-3"/>
          <w:w w:val="105"/>
          <w:sz w:val="21"/>
        </w:rPr>
        <w:t>to</w:t>
      </w:r>
      <w:r>
        <w:rPr>
          <w:spacing w:val="-7"/>
          <w:w w:val="105"/>
          <w:sz w:val="21"/>
        </w:rPr>
        <w:t> </w:t>
      </w:r>
      <w:r>
        <w:rPr>
          <w:spacing w:val="-3"/>
          <w:w w:val="105"/>
          <w:sz w:val="21"/>
        </w:rPr>
        <w:t>balance</w:t>
      </w:r>
      <w:r>
        <w:rPr>
          <w:spacing w:val="-8"/>
          <w:w w:val="105"/>
          <w:sz w:val="21"/>
        </w:rPr>
        <w:t> </w:t>
      </w:r>
      <w:r>
        <w:rPr>
          <w:spacing w:val="-3"/>
          <w:w w:val="105"/>
          <w:sz w:val="21"/>
        </w:rPr>
        <w:t>competing</w:t>
      </w:r>
      <w:r>
        <w:rPr>
          <w:spacing w:val="-7"/>
          <w:w w:val="105"/>
          <w:sz w:val="21"/>
        </w:rPr>
        <w:t> </w:t>
      </w:r>
      <w:r>
        <w:rPr>
          <w:w w:val="105"/>
          <w:sz w:val="21"/>
        </w:rPr>
        <w:t>rights</w:t>
      </w:r>
      <w:r>
        <w:rPr>
          <w:spacing w:val="-8"/>
          <w:w w:val="105"/>
          <w:sz w:val="21"/>
        </w:rPr>
        <w:t> </w:t>
      </w:r>
      <w:r>
        <w:rPr>
          <w:w w:val="105"/>
          <w:sz w:val="21"/>
        </w:rPr>
        <w:t>and</w:t>
      </w:r>
      <w:r>
        <w:rPr>
          <w:spacing w:val="-7"/>
          <w:w w:val="105"/>
          <w:sz w:val="21"/>
        </w:rPr>
        <w:t> </w:t>
      </w:r>
      <w:r>
        <w:rPr>
          <w:w w:val="105"/>
          <w:sz w:val="21"/>
        </w:rPr>
        <w:t>interests</w:t>
      </w:r>
      <w:r>
        <w:rPr>
          <w:spacing w:val="-8"/>
          <w:w w:val="105"/>
          <w:sz w:val="21"/>
        </w:rPr>
        <w:t> </w:t>
      </w:r>
      <w:r>
        <w:rPr>
          <w:spacing w:val="-3"/>
          <w:w w:val="105"/>
          <w:sz w:val="21"/>
        </w:rPr>
        <w:t>fairly</w:t>
      </w:r>
      <w:r>
        <w:rPr>
          <w:spacing w:val="-7"/>
          <w:w w:val="105"/>
          <w:sz w:val="21"/>
        </w:rPr>
        <w:t> </w:t>
      </w:r>
      <w:r>
        <w:rPr>
          <w:w w:val="105"/>
          <w:sz w:val="21"/>
        </w:rPr>
        <w:t>and</w:t>
      </w:r>
      <w:r>
        <w:rPr>
          <w:spacing w:val="-8"/>
          <w:w w:val="105"/>
          <w:sz w:val="21"/>
        </w:rPr>
        <w:t> </w:t>
      </w:r>
      <w:r>
        <w:rPr>
          <w:spacing w:val="-4"/>
          <w:w w:val="105"/>
          <w:sz w:val="21"/>
        </w:rPr>
        <w:t>transparently.</w:t>
      </w:r>
      <w:r>
        <w:rPr>
          <w:spacing w:val="-7"/>
          <w:w w:val="105"/>
          <w:sz w:val="21"/>
        </w:rPr>
        <w:t> </w:t>
      </w:r>
      <w:r>
        <w:rPr>
          <w:w w:val="105"/>
          <w:sz w:val="21"/>
        </w:rPr>
        <w:t>They</w:t>
      </w:r>
      <w:r>
        <w:rPr>
          <w:spacing w:val="-8"/>
          <w:w w:val="105"/>
          <w:sz w:val="21"/>
        </w:rPr>
        <w:t> </w:t>
      </w:r>
      <w:r>
        <w:rPr>
          <w:spacing w:val="-3"/>
          <w:w w:val="105"/>
          <w:sz w:val="21"/>
        </w:rPr>
        <w:t>will</w:t>
      </w:r>
      <w:r>
        <w:rPr>
          <w:spacing w:val="-7"/>
          <w:w w:val="105"/>
          <w:sz w:val="21"/>
        </w:rPr>
        <w:t> </w:t>
      </w:r>
      <w:r>
        <w:rPr>
          <w:w w:val="105"/>
          <w:sz w:val="21"/>
        </w:rPr>
        <w:t>also</w:t>
      </w:r>
      <w:r>
        <w:rPr>
          <w:spacing w:val="-8"/>
          <w:w w:val="105"/>
          <w:sz w:val="21"/>
        </w:rPr>
        <w:t> </w:t>
      </w:r>
      <w:r>
        <w:rPr>
          <w:w w:val="105"/>
          <w:sz w:val="21"/>
        </w:rPr>
        <w:t>help people </w:t>
      </w:r>
      <w:r>
        <w:rPr>
          <w:spacing w:val="-3"/>
          <w:w w:val="105"/>
          <w:sz w:val="21"/>
        </w:rPr>
        <w:t>to </w:t>
      </w:r>
      <w:r>
        <w:rPr>
          <w:w w:val="105"/>
          <w:sz w:val="21"/>
        </w:rPr>
        <w:t>resolve their own </w:t>
      </w:r>
      <w:r>
        <w:rPr>
          <w:spacing w:val="-3"/>
          <w:w w:val="105"/>
          <w:sz w:val="21"/>
        </w:rPr>
        <w:t>disputes </w:t>
      </w:r>
      <w:r>
        <w:rPr>
          <w:w w:val="105"/>
          <w:sz w:val="21"/>
        </w:rPr>
        <w:t>outside a </w:t>
      </w:r>
      <w:r>
        <w:rPr>
          <w:spacing w:val="-3"/>
          <w:w w:val="105"/>
          <w:sz w:val="21"/>
        </w:rPr>
        <w:t>formal </w:t>
      </w:r>
      <w:r>
        <w:rPr>
          <w:spacing w:val="-5"/>
          <w:w w:val="105"/>
          <w:sz w:val="21"/>
        </w:rPr>
        <w:t>VCAT </w:t>
      </w:r>
      <w:r>
        <w:rPr>
          <w:spacing w:val="-3"/>
          <w:w w:val="105"/>
          <w:sz w:val="21"/>
        </w:rPr>
        <w:t>hearing </w:t>
      </w:r>
      <w:r>
        <w:rPr>
          <w:w w:val="105"/>
          <w:sz w:val="21"/>
        </w:rPr>
        <w:t>or in</w:t>
      </w:r>
      <w:r>
        <w:rPr>
          <w:spacing w:val="35"/>
          <w:w w:val="105"/>
          <w:sz w:val="21"/>
        </w:rPr>
        <w:t> </w:t>
      </w:r>
      <w:r>
        <w:rPr>
          <w:spacing w:val="-3"/>
          <w:w w:val="105"/>
          <w:sz w:val="21"/>
        </w:rPr>
        <w:t>mediation.</w:t>
      </w:r>
    </w:p>
    <w:p>
      <w:pPr>
        <w:pStyle w:val="ListParagraph"/>
        <w:numPr>
          <w:ilvl w:val="0"/>
          <w:numId w:val="5"/>
        </w:numPr>
        <w:tabs>
          <w:tab w:pos="2355" w:val="left" w:leader="none"/>
          <w:tab w:pos="2356" w:val="left" w:leader="none"/>
        </w:tabs>
        <w:spacing w:line="242" w:lineRule="auto" w:before="124" w:after="0"/>
        <w:ind w:left="2355" w:right="1969" w:hanging="793"/>
        <w:jc w:val="left"/>
        <w:rPr>
          <w:sz w:val="21"/>
        </w:rPr>
      </w:pPr>
      <w:r>
        <w:rPr>
          <w:w w:val="105"/>
          <w:sz w:val="21"/>
        </w:rPr>
        <w:t>Decision-making</w:t>
      </w:r>
      <w:r>
        <w:rPr>
          <w:spacing w:val="-9"/>
          <w:w w:val="105"/>
          <w:sz w:val="21"/>
        </w:rPr>
        <w:t> </w:t>
      </w:r>
      <w:r>
        <w:rPr>
          <w:spacing w:val="-3"/>
          <w:w w:val="105"/>
          <w:sz w:val="21"/>
        </w:rPr>
        <w:t>principles</w:t>
      </w:r>
      <w:r>
        <w:rPr>
          <w:spacing w:val="-8"/>
          <w:w w:val="105"/>
          <w:sz w:val="21"/>
        </w:rPr>
        <w:t> </w:t>
      </w:r>
      <w:r>
        <w:rPr>
          <w:spacing w:val="-3"/>
          <w:w w:val="105"/>
          <w:sz w:val="21"/>
        </w:rPr>
        <w:t>are</w:t>
      </w:r>
      <w:r>
        <w:rPr>
          <w:spacing w:val="-9"/>
          <w:w w:val="105"/>
          <w:sz w:val="21"/>
        </w:rPr>
        <w:t> </w:t>
      </w:r>
      <w:r>
        <w:rPr>
          <w:w w:val="105"/>
          <w:sz w:val="21"/>
        </w:rPr>
        <w:t>a</w:t>
      </w:r>
      <w:r>
        <w:rPr>
          <w:spacing w:val="-8"/>
          <w:w w:val="105"/>
          <w:sz w:val="21"/>
        </w:rPr>
        <w:t> </w:t>
      </w:r>
      <w:r>
        <w:rPr>
          <w:spacing w:val="-4"/>
          <w:w w:val="105"/>
          <w:sz w:val="21"/>
        </w:rPr>
        <w:t>feature</w:t>
      </w:r>
      <w:r>
        <w:rPr>
          <w:spacing w:val="-9"/>
          <w:w w:val="105"/>
          <w:sz w:val="21"/>
        </w:rPr>
        <w:t> </w:t>
      </w:r>
      <w:r>
        <w:rPr>
          <w:w w:val="105"/>
          <w:sz w:val="21"/>
        </w:rPr>
        <w:t>of</w:t>
      </w:r>
      <w:r>
        <w:rPr>
          <w:spacing w:val="-8"/>
          <w:w w:val="105"/>
          <w:sz w:val="21"/>
        </w:rPr>
        <w:t> </w:t>
      </w:r>
      <w:r>
        <w:rPr>
          <w:spacing w:val="-3"/>
          <w:w w:val="105"/>
          <w:sz w:val="21"/>
        </w:rPr>
        <w:t>comparable</w:t>
      </w:r>
      <w:r>
        <w:rPr>
          <w:spacing w:val="-9"/>
          <w:w w:val="105"/>
          <w:sz w:val="21"/>
        </w:rPr>
        <w:t> </w:t>
      </w:r>
      <w:r>
        <w:rPr>
          <w:w w:val="105"/>
          <w:sz w:val="21"/>
        </w:rPr>
        <w:t>interstate</w:t>
      </w:r>
      <w:r>
        <w:rPr>
          <w:spacing w:val="-8"/>
          <w:w w:val="105"/>
          <w:sz w:val="21"/>
        </w:rPr>
        <w:t> </w:t>
      </w:r>
      <w:r>
        <w:rPr>
          <w:spacing w:val="-3"/>
          <w:w w:val="105"/>
          <w:sz w:val="21"/>
        </w:rPr>
        <w:t>legislation</w:t>
      </w:r>
      <w:r>
        <w:rPr>
          <w:spacing w:val="-8"/>
          <w:w w:val="105"/>
          <w:sz w:val="21"/>
        </w:rPr>
        <w:t> </w:t>
      </w:r>
      <w:r>
        <w:rPr>
          <w:w w:val="105"/>
          <w:sz w:val="21"/>
        </w:rPr>
        <w:t>and</w:t>
      </w:r>
      <w:r>
        <w:rPr>
          <w:spacing w:val="-9"/>
          <w:w w:val="105"/>
          <w:sz w:val="21"/>
        </w:rPr>
        <w:t> </w:t>
      </w:r>
      <w:r>
        <w:rPr>
          <w:w w:val="105"/>
          <w:sz w:val="21"/>
        </w:rPr>
        <w:t>some local</w:t>
      </w:r>
      <w:r>
        <w:rPr>
          <w:spacing w:val="-7"/>
          <w:w w:val="105"/>
          <w:sz w:val="21"/>
        </w:rPr>
        <w:t> </w:t>
      </w:r>
      <w:r>
        <w:rPr>
          <w:spacing w:val="-3"/>
          <w:w w:val="105"/>
          <w:sz w:val="21"/>
        </w:rPr>
        <w:t>council</w:t>
      </w:r>
      <w:r>
        <w:rPr>
          <w:spacing w:val="-7"/>
          <w:w w:val="105"/>
          <w:sz w:val="21"/>
        </w:rPr>
        <w:t> </w:t>
      </w:r>
      <w:r>
        <w:rPr>
          <w:w w:val="105"/>
          <w:sz w:val="21"/>
        </w:rPr>
        <w:t>and</w:t>
      </w:r>
      <w:r>
        <w:rPr>
          <w:spacing w:val="-6"/>
          <w:w w:val="105"/>
          <w:sz w:val="21"/>
        </w:rPr>
        <w:t> </w:t>
      </w:r>
      <w:r>
        <w:rPr>
          <w:spacing w:val="-3"/>
          <w:w w:val="105"/>
          <w:sz w:val="21"/>
        </w:rPr>
        <w:t>planning</w:t>
      </w:r>
      <w:r>
        <w:rPr>
          <w:spacing w:val="-7"/>
          <w:w w:val="105"/>
          <w:sz w:val="21"/>
        </w:rPr>
        <w:t> </w:t>
      </w:r>
      <w:r>
        <w:rPr>
          <w:w w:val="105"/>
          <w:sz w:val="21"/>
        </w:rPr>
        <w:t>laws</w:t>
      </w:r>
      <w:r>
        <w:rPr>
          <w:spacing w:val="-6"/>
          <w:w w:val="105"/>
          <w:sz w:val="21"/>
        </w:rPr>
        <w:t> </w:t>
      </w:r>
      <w:r>
        <w:rPr>
          <w:w w:val="105"/>
          <w:sz w:val="21"/>
        </w:rPr>
        <w:t>in</w:t>
      </w:r>
      <w:r>
        <w:rPr>
          <w:spacing w:val="-7"/>
          <w:w w:val="105"/>
          <w:sz w:val="21"/>
        </w:rPr>
        <w:t> </w:t>
      </w:r>
      <w:r>
        <w:rPr>
          <w:w w:val="105"/>
          <w:sz w:val="21"/>
        </w:rPr>
        <w:t>Victoria.</w:t>
      </w:r>
      <w:r>
        <w:rPr>
          <w:spacing w:val="-6"/>
          <w:w w:val="105"/>
          <w:sz w:val="21"/>
        </w:rPr>
        <w:t> </w:t>
      </w:r>
      <w:r>
        <w:rPr>
          <w:w w:val="105"/>
          <w:sz w:val="21"/>
        </w:rPr>
        <w:t>It</w:t>
      </w:r>
      <w:r>
        <w:rPr>
          <w:spacing w:val="-7"/>
          <w:w w:val="105"/>
          <w:sz w:val="21"/>
        </w:rPr>
        <w:t> </w:t>
      </w:r>
      <w:r>
        <w:rPr>
          <w:w w:val="105"/>
          <w:sz w:val="21"/>
        </w:rPr>
        <w:t>is</w:t>
      </w:r>
      <w:r>
        <w:rPr>
          <w:spacing w:val="-6"/>
          <w:w w:val="105"/>
          <w:sz w:val="21"/>
        </w:rPr>
        <w:t> </w:t>
      </w:r>
      <w:r>
        <w:rPr>
          <w:w w:val="105"/>
          <w:sz w:val="21"/>
        </w:rPr>
        <w:t>recommended</w:t>
      </w:r>
      <w:r>
        <w:rPr>
          <w:spacing w:val="-7"/>
          <w:w w:val="105"/>
          <w:sz w:val="21"/>
        </w:rPr>
        <w:t> </w:t>
      </w:r>
      <w:r>
        <w:rPr>
          <w:spacing w:val="-3"/>
          <w:w w:val="105"/>
          <w:sz w:val="21"/>
        </w:rPr>
        <w:t>that</w:t>
      </w:r>
      <w:r>
        <w:rPr>
          <w:spacing w:val="-7"/>
          <w:w w:val="105"/>
          <w:sz w:val="21"/>
        </w:rPr>
        <w:t> </w:t>
      </w:r>
      <w:r>
        <w:rPr>
          <w:w w:val="105"/>
          <w:sz w:val="21"/>
        </w:rPr>
        <w:t>the</w:t>
      </w:r>
      <w:r>
        <w:rPr>
          <w:spacing w:val="-6"/>
          <w:w w:val="105"/>
          <w:sz w:val="21"/>
        </w:rPr>
        <w:t> </w:t>
      </w:r>
      <w:r>
        <w:rPr>
          <w:w w:val="105"/>
          <w:sz w:val="21"/>
        </w:rPr>
        <w:t>list</w:t>
      </w:r>
      <w:r>
        <w:rPr>
          <w:spacing w:val="-7"/>
          <w:w w:val="105"/>
          <w:sz w:val="21"/>
        </w:rPr>
        <w:t> </w:t>
      </w:r>
      <w:r>
        <w:rPr>
          <w:w w:val="105"/>
          <w:sz w:val="21"/>
        </w:rPr>
        <w:t>of</w:t>
      </w:r>
      <w:r>
        <w:rPr>
          <w:spacing w:val="-6"/>
          <w:w w:val="105"/>
          <w:sz w:val="21"/>
        </w:rPr>
        <w:t> </w:t>
      </w:r>
      <w:r>
        <w:rPr>
          <w:w w:val="105"/>
          <w:sz w:val="21"/>
        </w:rPr>
        <w:t>decision-</w:t>
      </w:r>
    </w:p>
    <w:p>
      <w:pPr>
        <w:pStyle w:val="BodyText"/>
        <w:spacing w:line="242" w:lineRule="auto" w:before="3"/>
        <w:ind w:left="2355" w:right="1636"/>
      </w:pPr>
      <w:r>
        <w:rPr/>
        <w:t>making principles in the Act be comprehensive but also provide VCAT with the discretion to consider additional relevant matters. Principles should include:</w:t>
      </w:r>
    </w:p>
    <w:p>
      <w:pPr>
        <w:pStyle w:val="ListParagraph"/>
        <w:numPr>
          <w:ilvl w:val="1"/>
          <w:numId w:val="5"/>
        </w:numPr>
        <w:tabs>
          <w:tab w:pos="2696" w:val="left" w:leader="none"/>
          <w:tab w:pos="2697" w:val="left" w:leader="none"/>
        </w:tabs>
        <w:spacing w:line="240" w:lineRule="auto" w:before="122" w:after="0"/>
        <w:ind w:left="2696" w:right="0" w:hanging="341"/>
        <w:jc w:val="left"/>
        <w:rPr>
          <w:sz w:val="21"/>
        </w:rPr>
      </w:pPr>
      <w:r>
        <w:rPr>
          <w:w w:val="105"/>
          <w:sz w:val="21"/>
        </w:rPr>
        <w:t>the broader benefits of the tree </w:t>
      </w:r>
      <w:r>
        <w:rPr>
          <w:spacing w:val="-3"/>
          <w:w w:val="105"/>
          <w:sz w:val="21"/>
        </w:rPr>
        <w:t>to </w:t>
      </w:r>
      <w:r>
        <w:rPr>
          <w:w w:val="105"/>
          <w:sz w:val="21"/>
        </w:rPr>
        <w:t>the</w:t>
      </w:r>
      <w:r>
        <w:rPr>
          <w:spacing w:val="35"/>
          <w:w w:val="105"/>
          <w:sz w:val="21"/>
        </w:rPr>
        <w:t> </w:t>
      </w:r>
      <w:r>
        <w:rPr>
          <w:w w:val="105"/>
          <w:sz w:val="21"/>
        </w:rPr>
        <w:t>community</w:t>
      </w:r>
    </w:p>
    <w:p>
      <w:pPr>
        <w:pStyle w:val="ListParagraph"/>
        <w:numPr>
          <w:ilvl w:val="1"/>
          <w:numId w:val="5"/>
        </w:numPr>
        <w:tabs>
          <w:tab w:pos="2696" w:val="left" w:leader="none"/>
          <w:tab w:pos="2697" w:val="left" w:leader="none"/>
        </w:tabs>
        <w:spacing w:line="240" w:lineRule="auto" w:before="88" w:after="0"/>
        <w:ind w:left="2696" w:right="0" w:hanging="341"/>
        <w:jc w:val="left"/>
        <w:rPr>
          <w:sz w:val="21"/>
        </w:rPr>
      </w:pPr>
      <w:r>
        <w:rPr>
          <w:sz w:val="21"/>
        </w:rPr>
        <w:t>the </w:t>
      </w:r>
      <w:r>
        <w:rPr>
          <w:spacing w:val="-3"/>
          <w:sz w:val="21"/>
        </w:rPr>
        <w:t>requirements </w:t>
      </w:r>
      <w:r>
        <w:rPr>
          <w:sz w:val="21"/>
        </w:rPr>
        <w:t>of other</w:t>
      </w:r>
      <w:r>
        <w:rPr>
          <w:spacing w:val="36"/>
          <w:sz w:val="21"/>
        </w:rPr>
        <w:t> </w:t>
      </w:r>
      <w:r>
        <w:rPr>
          <w:sz w:val="21"/>
        </w:rPr>
        <w:t>laws</w:t>
      </w:r>
    </w:p>
    <w:p>
      <w:pPr>
        <w:pStyle w:val="ListParagraph"/>
        <w:numPr>
          <w:ilvl w:val="1"/>
          <w:numId w:val="5"/>
        </w:numPr>
        <w:tabs>
          <w:tab w:pos="2696" w:val="left" w:leader="none"/>
          <w:tab w:pos="2697" w:val="left" w:leader="none"/>
        </w:tabs>
        <w:spacing w:line="240" w:lineRule="auto" w:before="89" w:after="0"/>
        <w:ind w:left="2696" w:right="0" w:hanging="341"/>
        <w:jc w:val="left"/>
        <w:rPr>
          <w:sz w:val="21"/>
        </w:rPr>
      </w:pPr>
      <w:r>
        <w:rPr>
          <w:sz w:val="21"/>
        </w:rPr>
        <w:t>whether anything other </w:t>
      </w:r>
      <w:r>
        <w:rPr>
          <w:spacing w:val="-3"/>
          <w:sz w:val="21"/>
        </w:rPr>
        <w:t>than </w:t>
      </w:r>
      <w:r>
        <w:rPr>
          <w:sz w:val="21"/>
        </w:rPr>
        <w:t>the tree </w:t>
      </w:r>
      <w:r>
        <w:rPr>
          <w:spacing w:val="-3"/>
          <w:sz w:val="21"/>
        </w:rPr>
        <w:t>may have contributed to</w:t>
      </w:r>
      <w:r>
        <w:rPr>
          <w:spacing w:val="-17"/>
          <w:sz w:val="21"/>
        </w:rPr>
        <w:t> </w:t>
      </w:r>
      <w:r>
        <w:rPr>
          <w:sz w:val="21"/>
        </w:rPr>
        <w:t>the damage or </w:t>
      </w:r>
      <w:r>
        <w:rPr>
          <w:spacing w:val="-3"/>
          <w:sz w:val="21"/>
        </w:rPr>
        <w:t>harm</w:t>
      </w:r>
    </w:p>
    <w:p>
      <w:pPr>
        <w:pStyle w:val="ListParagraph"/>
        <w:numPr>
          <w:ilvl w:val="1"/>
          <w:numId w:val="5"/>
        </w:numPr>
        <w:tabs>
          <w:tab w:pos="2696" w:val="left" w:leader="none"/>
          <w:tab w:pos="2697" w:val="left" w:leader="none"/>
        </w:tabs>
        <w:spacing w:line="240" w:lineRule="auto" w:before="89" w:after="0"/>
        <w:ind w:left="2696" w:right="0" w:hanging="341"/>
        <w:jc w:val="left"/>
        <w:rPr>
          <w:sz w:val="21"/>
        </w:rPr>
      </w:pPr>
      <w:r>
        <w:rPr>
          <w:sz w:val="21"/>
        </w:rPr>
        <w:t>whether the tree existed first in time</w:t>
      </w:r>
    </w:p>
    <w:p>
      <w:pPr>
        <w:pStyle w:val="ListParagraph"/>
        <w:numPr>
          <w:ilvl w:val="1"/>
          <w:numId w:val="5"/>
        </w:numPr>
        <w:tabs>
          <w:tab w:pos="2696" w:val="left" w:leader="none"/>
          <w:tab w:pos="2697" w:val="left" w:leader="none"/>
        </w:tabs>
        <w:spacing w:line="240" w:lineRule="auto" w:before="88" w:after="0"/>
        <w:ind w:left="2696" w:right="0" w:hanging="341"/>
        <w:jc w:val="left"/>
        <w:rPr>
          <w:sz w:val="21"/>
        </w:rPr>
      </w:pPr>
      <w:r>
        <w:rPr>
          <w:w w:val="105"/>
          <w:sz w:val="21"/>
        </w:rPr>
        <w:t>the location and </w:t>
      </w:r>
      <w:r>
        <w:rPr>
          <w:spacing w:val="-3"/>
          <w:w w:val="105"/>
          <w:sz w:val="21"/>
        </w:rPr>
        <w:t>health </w:t>
      </w:r>
      <w:r>
        <w:rPr>
          <w:w w:val="105"/>
          <w:sz w:val="21"/>
        </w:rPr>
        <w:t>of the</w:t>
      </w:r>
      <w:r>
        <w:rPr>
          <w:spacing w:val="32"/>
          <w:w w:val="105"/>
          <w:sz w:val="21"/>
        </w:rPr>
        <w:t> </w:t>
      </w:r>
      <w:r>
        <w:rPr>
          <w:w w:val="105"/>
          <w:sz w:val="21"/>
        </w:rPr>
        <w:t>tree</w:t>
      </w:r>
    </w:p>
    <w:p>
      <w:pPr>
        <w:pStyle w:val="ListParagraph"/>
        <w:numPr>
          <w:ilvl w:val="1"/>
          <w:numId w:val="5"/>
        </w:numPr>
        <w:tabs>
          <w:tab w:pos="2696" w:val="left" w:leader="none"/>
          <w:tab w:pos="2697" w:val="left" w:leader="none"/>
        </w:tabs>
        <w:spacing w:line="240" w:lineRule="auto" w:before="89" w:after="0"/>
        <w:ind w:left="2696" w:right="0" w:hanging="341"/>
        <w:jc w:val="left"/>
        <w:rPr>
          <w:sz w:val="21"/>
        </w:rPr>
      </w:pPr>
      <w:r>
        <w:rPr>
          <w:spacing w:val="-3"/>
          <w:sz w:val="21"/>
        </w:rPr>
        <w:t>any </w:t>
      </w:r>
      <w:r>
        <w:rPr>
          <w:sz w:val="21"/>
        </w:rPr>
        <w:t>steps </w:t>
      </w:r>
      <w:r>
        <w:rPr>
          <w:spacing w:val="-3"/>
          <w:sz w:val="21"/>
        </w:rPr>
        <w:t>taken </w:t>
      </w:r>
      <w:r>
        <w:rPr>
          <w:sz w:val="21"/>
        </w:rPr>
        <w:t>by the affected </w:t>
      </w:r>
      <w:r>
        <w:rPr>
          <w:spacing w:val="-3"/>
          <w:sz w:val="21"/>
        </w:rPr>
        <w:t>neighbour </w:t>
      </w:r>
      <w:r>
        <w:rPr>
          <w:sz w:val="21"/>
        </w:rPr>
        <w:t>or owner </w:t>
      </w:r>
      <w:r>
        <w:rPr>
          <w:spacing w:val="-3"/>
          <w:sz w:val="21"/>
        </w:rPr>
        <w:t>to</w:t>
      </w:r>
      <w:r>
        <w:rPr>
          <w:sz w:val="21"/>
        </w:rPr>
        <w:t> resolve the </w:t>
      </w:r>
      <w:r>
        <w:rPr>
          <w:spacing w:val="-3"/>
          <w:sz w:val="21"/>
        </w:rPr>
        <w:t>dispute.</w:t>
      </w:r>
    </w:p>
    <w:p>
      <w:pPr>
        <w:pStyle w:val="Heading7"/>
        <w:spacing w:before="119"/>
        <w:ind w:left="1562"/>
      </w:pPr>
      <w:r>
        <w:rPr>
          <w:w w:val="115"/>
        </w:rPr>
        <w:t>Expert evidence in VCAT</w:t>
      </w:r>
    </w:p>
    <w:p>
      <w:pPr>
        <w:pStyle w:val="ListParagraph"/>
        <w:numPr>
          <w:ilvl w:val="0"/>
          <w:numId w:val="5"/>
        </w:numPr>
        <w:tabs>
          <w:tab w:pos="2356" w:val="left" w:leader="none"/>
          <w:tab w:pos="2357" w:val="left" w:leader="none"/>
        </w:tabs>
        <w:spacing w:line="240" w:lineRule="auto" w:before="143" w:after="0"/>
        <w:ind w:left="2356" w:right="0" w:hanging="794"/>
        <w:jc w:val="left"/>
        <w:rPr>
          <w:sz w:val="21"/>
        </w:rPr>
      </w:pPr>
      <w:r>
        <w:rPr>
          <w:spacing w:val="-5"/>
          <w:sz w:val="21"/>
        </w:rPr>
        <w:t>VCAT</w:t>
      </w:r>
      <w:r>
        <w:rPr>
          <w:spacing w:val="10"/>
          <w:sz w:val="21"/>
        </w:rPr>
        <w:t> </w:t>
      </w:r>
      <w:r>
        <w:rPr>
          <w:spacing w:val="-3"/>
          <w:sz w:val="21"/>
        </w:rPr>
        <w:t>hearings</w:t>
      </w:r>
      <w:r>
        <w:rPr>
          <w:spacing w:val="10"/>
          <w:sz w:val="21"/>
        </w:rPr>
        <w:t> </w:t>
      </w:r>
      <w:r>
        <w:rPr>
          <w:sz w:val="21"/>
        </w:rPr>
        <w:t>should</w:t>
      </w:r>
      <w:r>
        <w:rPr>
          <w:spacing w:val="11"/>
          <w:sz w:val="21"/>
        </w:rPr>
        <w:t> </w:t>
      </w:r>
      <w:r>
        <w:rPr>
          <w:sz w:val="21"/>
        </w:rPr>
        <w:t>be</w:t>
      </w:r>
      <w:r>
        <w:rPr>
          <w:spacing w:val="10"/>
          <w:sz w:val="21"/>
        </w:rPr>
        <w:t> </w:t>
      </w:r>
      <w:r>
        <w:rPr>
          <w:spacing w:val="-3"/>
          <w:sz w:val="21"/>
        </w:rPr>
        <w:t>informed</w:t>
      </w:r>
      <w:r>
        <w:rPr>
          <w:spacing w:val="11"/>
          <w:sz w:val="21"/>
        </w:rPr>
        <w:t> </w:t>
      </w:r>
      <w:r>
        <w:rPr>
          <w:sz w:val="21"/>
        </w:rPr>
        <w:t>by</w:t>
      </w:r>
      <w:r>
        <w:rPr>
          <w:spacing w:val="10"/>
          <w:sz w:val="21"/>
        </w:rPr>
        <w:t> </w:t>
      </w:r>
      <w:r>
        <w:rPr>
          <w:spacing w:val="-3"/>
          <w:sz w:val="21"/>
        </w:rPr>
        <w:t>arboricultural</w:t>
      </w:r>
      <w:r>
        <w:rPr>
          <w:spacing w:val="11"/>
          <w:sz w:val="21"/>
        </w:rPr>
        <w:t> </w:t>
      </w:r>
      <w:r>
        <w:rPr>
          <w:spacing w:val="-3"/>
          <w:sz w:val="21"/>
        </w:rPr>
        <w:t>evidence.</w:t>
      </w:r>
    </w:p>
    <w:p>
      <w:pPr>
        <w:pStyle w:val="ListParagraph"/>
        <w:numPr>
          <w:ilvl w:val="0"/>
          <w:numId w:val="5"/>
        </w:numPr>
        <w:tabs>
          <w:tab w:pos="2356" w:val="left" w:leader="none"/>
          <w:tab w:pos="2357" w:val="left" w:leader="none"/>
        </w:tabs>
        <w:spacing w:line="242" w:lineRule="auto" w:before="124" w:after="0"/>
        <w:ind w:left="2356" w:right="1788" w:hanging="794"/>
        <w:jc w:val="left"/>
        <w:rPr>
          <w:sz w:val="21"/>
        </w:rPr>
      </w:pPr>
      <w:r>
        <w:rPr>
          <w:sz w:val="21"/>
        </w:rPr>
        <w:t>The </w:t>
      </w:r>
      <w:r>
        <w:rPr>
          <w:spacing w:val="-3"/>
          <w:sz w:val="21"/>
        </w:rPr>
        <w:t>Commission recommends minimum </w:t>
      </w:r>
      <w:r>
        <w:rPr>
          <w:spacing w:val="-2"/>
          <w:sz w:val="21"/>
        </w:rPr>
        <w:t>qualification </w:t>
      </w:r>
      <w:r>
        <w:rPr>
          <w:sz w:val="21"/>
        </w:rPr>
        <w:t>standards </w:t>
      </w:r>
      <w:r>
        <w:rPr>
          <w:spacing w:val="-3"/>
          <w:sz w:val="21"/>
        </w:rPr>
        <w:t>for </w:t>
      </w:r>
      <w:r>
        <w:rPr>
          <w:sz w:val="21"/>
        </w:rPr>
        <w:t>arborists and independent tree assessors who provide evidence </w:t>
      </w:r>
      <w:r>
        <w:rPr>
          <w:spacing w:val="-3"/>
          <w:sz w:val="21"/>
        </w:rPr>
        <w:t>to </w:t>
      </w:r>
      <w:r>
        <w:rPr>
          <w:spacing w:val="-8"/>
          <w:sz w:val="21"/>
        </w:rPr>
        <w:t>VCAT. </w:t>
      </w:r>
      <w:r>
        <w:rPr>
          <w:spacing w:val="-3"/>
          <w:sz w:val="21"/>
        </w:rPr>
        <w:t>Minimum </w:t>
      </w:r>
      <w:r>
        <w:rPr>
          <w:spacing w:val="-2"/>
          <w:sz w:val="21"/>
        </w:rPr>
        <w:t>qualification </w:t>
      </w:r>
      <w:r>
        <w:rPr>
          <w:spacing w:val="-3"/>
          <w:sz w:val="21"/>
        </w:rPr>
        <w:t>levels will </w:t>
      </w:r>
      <w:r>
        <w:rPr>
          <w:sz w:val="21"/>
        </w:rPr>
        <w:t>help </w:t>
      </w:r>
      <w:r>
        <w:rPr>
          <w:spacing w:val="-3"/>
          <w:sz w:val="21"/>
        </w:rPr>
        <w:t>ensure </w:t>
      </w:r>
      <w:r>
        <w:rPr>
          <w:sz w:val="21"/>
        </w:rPr>
        <w:t>trees </w:t>
      </w:r>
      <w:r>
        <w:rPr>
          <w:spacing w:val="-3"/>
          <w:sz w:val="21"/>
        </w:rPr>
        <w:t>are </w:t>
      </w:r>
      <w:r>
        <w:rPr>
          <w:sz w:val="21"/>
        </w:rPr>
        <w:t>properly assessed in </w:t>
      </w:r>
      <w:r>
        <w:rPr>
          <w:spacing w:val="-3"/>
          <w:sz w:val="21"/>
        </w:rPr>
        <w:t>accordance </w:t>
      </w:r>
      <w:r>
        <w:rPr>
          <w:sz w:val="21"/>
        </w:rPr>
        <w:t>with industry-approved risk assessment methods and </w:t>
      </w:r>
      <w:r>
        <w:rPr>
          <w:spacing w:val="-3"/>
          <w:sz w:val="21"/>
        </w:rPr>
        <w:t>will </w:t>
      </w:r>
      <w:r>
        <w:rPr>
          <w:sz w:val="21"/>
        </w:rPr>
        <w:t>guide the community when </w:t>
      </w:r>
      <w:r>
        <w:rPr>
          <w:spacing w:val="-3"/>
          <w:sz w:val="21"/>
        </w:rPr>
        <w:t>hiring</w:t>
      </w:r>
      <w:r>
        <w:rPr>
          <w:spacing w:val="20"/>
          <w:sz w:val="21"/>
        </w:rPr>
        <w:t> </w:t>
      </w:r>
      <w:r>
        <w:rPr>
          <w:sz w:val="21"/>
        </w:rPr>
        <w:t>arborists.</w:t>
      </w:r>
    </w:p>
    <w:p>
      <w:pPr>
        <w:pStyle w:val="ListParagraph"/>
        <w:numPr>
          <w:ilvl w:val="0"/>
          <w:numId w:val="5"/>
        </w:numPr>
        <w:tabs>
          <w:tab w:pos="2356" w:val="left" w:leader="none"/>
          <w:tab w:pos="2357" w:val="left" w:leader="none"/>
        </w:tabs>
        <w:spacing w:line="242" w:lineRule="auto" w:before="124" w:after="0"/>
        <w:ind w:left="2356" w:right="1575" w:hanging="794"/>
        <w:jc w:val="left"/>
        <w:rPr>
          <w:sz w:val="21"/>
        </w:rPr>
      </w:pPr>
      <w:r>
        <w:rPr>
          <w:spacing w:val="-5"/>
          <w:w w:val="105"/>
          <w:sz w:val="21"/>
        </w:rPr>
        <w:t>VCAT</w:t>
      </w:r>
      <w:r>
        <w:rPr>
          <w:spacing w:val="-6"/>
          <w:w w:val="105"/>
          <w:sz w:val="21"/>
        </w:rPr>
        <w:t> </w:t>
      </w:r>
      <w:r>
        <w:rPr>
          <w:w w:val="105"/>
          <w:sz w:val="21"/>
        </w:rPr>
        <w:t>should</w:t>
      </w:r>
      <w:r>
        <w:rPr>
          <w:spacing w:val="-5"/>
          <w:w w:val="105"/>
          <w:sz w:val="21"/>
        </w:rPr>
        <w:t> </w:t>
      </w:r>
      <w:r>
        <w:rPr>
          <w:w w:val="105"/>
          <w:sz w:val="21"/>
        </w:rPr>
        <w:t>develop</w:t>
      </w:r>
      <w:r>
        <w:rPr>
          <w:spacing w:val="-5"/>
          <w:w w:val="105"/>
          <w:sz w:val="21"/>
        </w:rPr>
        <w:t> </w:t>
      </w:r>
      <w:r>
        <w:rPr>
          <w:w w:val="105"/>
          <w:sz w:val="21"/>
        </w:rPr>
        <w:t>a</w:t>
      </w:r>
      <w:r>
        <w:rPr>
          <w:spacing w:val="-5"/>
          <w:w w:val="105"/>
          <w:sz w:val="21"/>
        </w:rPr>
        <w:t> </w:t>
      </w:r>
      <w:r>
        <w:rPr>
          <w:w w:val="105"/>
          <w:sz w:val="21"/>
        </w:rPr>
        <w:t>specific</w:t>
      </w:r>
      <w:r>
        <w:rPr>
          <w:spacing w:val="-5"/>
          <w:w w:val="105"/>
          <w:sz w:val="21"/>
        </w:rPr>
        <w:t> </w:t>
      </w:r>
      <w:r>
        <w:rPr>
          <w:w w:val="105"/>
          <w:sz w:val="21"/>
        </w:rPr>
        <w:t>Practice</w:t>
      </w:r>
      <w:r>
        <w:rPr>
          <w:spacing w:val="-6"/>
          <w:w w:val="105"/>
          <w:sz w:val="21"/>
        </w:rPr>
        <w:t> </w:t>
      </w:r>
      <w:r>
        <w:rPr>
          <w:w w:val="105"/>
          <w:sz w:val="21"/>
        </w:rPr>
        <w:t>Note</w:t>
      </w:r>
      <w:r>
        <w:rPr>
          <w:spacing w:val="-5"/>
          <w:w w:val="105"/>
          <w:sz w:val="21"/>
        </w:rPr>
        <w:t> </w:t>
      </w:r>
      <w:r>
        <w:rPr>
          <w:w w:val="105"/>
          <w:sz w:val="21"/>
        </w:rPr>
        <w:t>about</w:t>
      </w:r>
      <w:r>
        <w:rPr>
          <w:spacing w:val="-5"/>
          <w:w w:val="105"/>
          <w:sz w:val="21"/>
        </w:rPr>
        <w:t> </w:t>
      </w:r>
      <w:r>
        <w:rPr>
          <w:w w:val="105"/>
          <w:sz w:val="21"/>
        </w:rPr>
        <w:t>the</w:t>
      </w:r>
      <w:r>
        <w:rPr>
          <w:spacing w:val="-5"/>
          <w:w w:val="105"/>
          <w:sz w:val="21"/>
        </w:rPr>
        <w:t> </w:t>
      </w:r>
      <w:r>
        <w:rPr>
          <w:w w:val="105"/>
          <w:sz w:val="21"/>
        </w:rPr>
        <w:t>need</w:t>
      </w:r>
      <w:r>
        <w:rPr>
          <w:spacing w:val="-5"/>
          <w:w w:val="105"/>
          <w:sz w:val="21"/>
        </w:rPr>
        <w:t> </w:t>
      </w:r>
      <w:r>
        <w:rPr>
          <w:spacing w:val="-3"/>
          <w:w w:val="105"/>
          <w:sz w:val="21"/>
        </w:rPr>
        <w:t>to</w:t>
      </w:r>
      <w:r>
        <w:rPr>
          <w:spacing w:val="-6"/>
          <w:w w:val="105"/>
          <w:sz w:val="21"/>
        </w:rPr>
        <w:t> </w:t>
      </w:r>
      <w:r>
        <w:rPr>
          <w:spacing w:val="-3"/>
          <w:w w:val="105"/>
          <w:sz w:val="21"/>
        </w:rPr>
        <w:t>demonstrate</w:t>
      </w:r>
      <w:r>
        <w:rPr>
          <w:spacing w:val="-5"/>
          <w:w w:val="105"/>
          <w:sz w:val="21"/>
        </w:rPr>
        <w:t> </w:t>
      </w:r>
      <w:r>
        <w:rPr>
          <w:w w:val="105"/>
          <w:sz w:val="21"/>
        </w:rPr>
        <w:t>a</w:t>
      </w:r>
      <w:r>
        <w:rPr>
          <w:spacing w:val="-5"/>
          <w:w w:val="105"/>
          <w:sz w:val="21"/>
        </w:rPr>
        <w:t> </w:t>
      </w:r>
      <w:r>
        <w:rPr>
          <w:w w:val="105"/>
          <w:sz w:val="21"/>
        </w:rPr>
        <w:t>causal</w:t>
      </w:r>
      <w:r>
        <w:rPr>
          <w:spacing w:val="-5"/>
          <w:w w:val="105"/>
          <w:sz w:val="21"/>
        </w:rPr>
        <w:t> </w:t>
      </w:r>
      <w:r>
        <w:rPr>
          <w:spacing w:val="-3"/>
          <w:w w:val="105"/>
          <w:sz w:val="21"/>
        </w:rPr>
        <w:t>link, </w:t>
      </w:r>
      <w:r>
        <w:rPr>
          <w:w w:val="105"/>
          <w:sz w:val="21"/>
        </w:rPr>
        <w:t>supported by expert </w:t>
      </w:r>
      <w:r>
        <w:rPr>
          <w:spacing w:val="-3"/>
          <w:w w:val="105"/>
          <w:sz w:val="21"/>
        </w:rPr>
        <w:t>evidence, </w:t>
      </w:r>
      <w:r>
        <w:rPr>
          <w:w w:val="105"/>
          <w:sz w:val="21"/>
        </w:rPr>
        <w:t>between the tree and the </w:t>
      </w:r>
      <w:r>
        <w:rPr>
          <w:spacing w:val="-3"/>
          <w:w w:val="105"/>
          <w:sz w:val="21"/>
        </w:rPr>
        <w:t>harm (for example, </w:t>
      </w:r>
      <w:r>
        <w:rPr>
          <w:w w:val="105"/>
          <w:sz w:val="21"/>
        </w:rPr>
        <w:t>a medical condition) </w:t>
      </w:r>
      <w:r>
        <w:rPr>
          <w:spacing w:val="-3"/>
          <w:w w:val="105"/>
          <w:sz w:val="21"/>
        </w:rPr>
        <w:t>that </w:t>
      </w:r>
      <w:r>
        <w:rPr>
          <w:w w:val="105"/>
          <w:sz w:val="21"/>
        </w:rPr>
        <w:t>is the subject of the</w:t>
      </w:r>
      <w:r>
        <w:rPr>
          <w:spacing w:val="32"/>
          <w:w w:val="105"/>
          <w:sz w:val="21"/>
        </w:rPr>
        <w:t> </w:t>
      </w:r>
      <w:r>
        <w:rPr>
          <w:spacing w:val="-3"/>
          <w:w w:val="105"/>
          <w:sz w:val="21"/>
        </w:rPr>
        <w:t>application.</w:t>
      </w:r>
    </w:p>
    <w:p>
      <w:pPr>
        <w:pStyle w:val="ListParagraph"/>
        <w:numPr>
          <w:ilvl w:val="0"/>
          <w:numId w:val="5"/>
        </w:numPr>
        <w:tabs>
          <w:tab w:pos="2355" w:val="left" w:leader="none"/>
          <w:tab w:pos="2356" w:val="left" w:leader="none"/>
        </w:tabs>
        <w:spacing w:line="240" w:lineRule="auto" w:before="123" w:after="0"/>
        <w:ind w:left="2355" w:right="0" w:hanging="793"/>
        <w:jc w:val="left"/>
        <w:rPr>
          <w:sz w:val="21"/>
        </w:rPr>
      </w:pPr>
      <w:r>
        <w:rPr>
          <w:spacing w:val="-3"/>
          <w:sz w:val="21"/>
        </w:rPr>
        <w:t>Additional</w:t>
      </w:r>
      <w:r>
        <w:rPr>
          <w:spacing w:val="11"/>
          <w:sz w:val="21"/>
        </w:rPr>
        <w:t> </w:t>
      </w:r>
      <w:r>
        <w:rPr>
          <w:spacing w:val="-3"/>
          <w:sz w:val="21"/>
        </w:rPr>
        <w:t>recommendations</w:t>
      </w:r>
      <w:r>
        <w:rPr>
          <w:spacing w:val="12"/>
          <w:sz w:val="21"/>
        </w:rPr>
        <w:t> </w:t>
      </w:r>
      <w:r>
        <w:rPr>
          <w:spacing w:val="-3"/>
          <w:sz w:val="21"/>
        </w:rPr>
        <w:t>outline</w:t>
      </w:r>
      <w:r>
        <w:rPr>
          <w:spacing w:val="12"/>
          <w:sz w:val="21"/>
        </w:rPr>
        <w:t> </w:t>
      </w:r>
      <w:r>
        <w:rPr>
          <w:spacing w:val="-3"/>
          <w:sz w:val="21"/>
        </w:rPr>
        <w:t>requirements</w:t>
      </w:r>
      <w:r>
        <w:rPr>
          <w:spacing w:val="11"/>
          <w:sz w:val="21"/>
        </w:rPr>
        <w:t> </w:t>
      </w:r>
      <w:r>
        <w:rPr>
          <w:spacing w:val="-3"/>
          <w:sz w:val="21"/>
        </w:rPr>
        <w:t>for</w:t>
      </w:r>
      <w:r>
        <w:rPr>
          <w:spacing w:val="12"/>
          <w:sz w:val="21"/>
        </w:rPr>
        <w:t> </w:t>
      </w:r>
      <w:r>
        <w:rPr>
          <w:sz w:val="21"/>
        </w:rPr>
        <w:t>expert</w:t>
      </w:r>
      <w:r>
        <w:rPr>
          <w:spacing w:val="12"/>
          <w:sz w:val="21"/>
        </w:rPr>
        <w:t> </w:t>
      </w:r>
      <w:r>
        <w:rPr>
          <w:sz w:val="21"/>
        </w:rPr>
        <w:t>report</w:t>
      </w:r>
      <w:r>
        <w:rPr>
          <w:spacing w:val="11"/>
          <w:sz w:val="21"/>
        </w:rPr>
        <w:t> </w:t>
      </w:r>
      <w:r>
        <w:rPr>
          <w:spacing w:val="-3"/>
          <w:sz w:val="21"/>
        </w:rPr>
        <w:t>writing.</w:t>
      </w:r>
    </w:p>
    <w:p>
      <w:pPr>
        <w:pStyle w:val="Heading7"/>
        <w:ind w:left="1562"/>
      </w:pPr>
      <w:r>
        <w:rPr>
          <w:w w:val="115"/>
        </w:rPr>
        <w:t>Remedies and appeals</w:t>
      </w:r>
    </w:p>
    <w:p>
      <w:pPr>
        <w:pStyle w:val="ListParagraph"/>
        <w:numPr>
          <w:ilvl w:val="0"/>
          <w:numId w:val="5"/>
        </w:numPr>
        <w:tabs>
          <w:tab w:pos="2356" w:val="left" w:leader="none"/>
          <w:tab w:pos="2357" w:val="left" w:leader="none"/>
        </w:tabs>
        <w:spacing w:line="242" w:lineRule="auto" w:before="143" w:after="0"/>
        <w:ind w:left="2356" w:right="1500" w:hanging="794"/>
        <w:jc w:val="left"/>
        <w:rPr>
          <w:sz w:val="21"/>
        </w:rPr>
      </w:pPr>
      <w:r>
        <w:rPr>
          <w:w w:val="105"/>
          <w:sz w:val="21"/>
        </w:rPr>
        <w:t>The</w:t>
      </w:r>
      <w:r>
        <w:rPr>
          <w:spacing w:val="-7"/>
          <w:w w:val="105"/>
          <w:sz w:val="21"/>
        </w:rPr>
        <w:t> </w:t>
      </w:r>
      <w:r>
        <w:rPr>
          <w:spacing w:val="-3"/>
          <w:w w:val="105"/>
          <w:sz w:val="21"/>
        </w:rPr>
        <w:t>Commission</w:t>
      </w:r>
      <w:r>
        <w:rPr>
          <w:spacing w:val="-7"/>
          <w:w w:val="105"/>
          <w:sz w:val="21"/>
        </w:rPr>
        <w:t> </w:t>
      </w:r>
      <w:r>
        <w:rPr>
          <w:spacing w:val="-3"/>
          <w:w w:val="105"/>
          <w:sz w:val="21"/>
        </w:rPr>
        <w:t>recommends</w:t>
      </w:r>
      <w:r>
        <w:rPr>
          <w:spacing w:val="-7"/>
          <w:w w:val="105"/>
          <w:sz w:val="21"/>
        </w:rPr>
        <w:t> </w:t>
      </w:r>
      <w:r>
        <w:rPr>
          <w:spacing w:val="-3"/>
          <w:w w:val="105"/>
          <w:sz w:val="21"/>
        </w:rPr>
        <w:t>that</w:t>
      </w:r>
      <w:r>
        <w:rPr>
          <w:spacing w:val="-6"/>
          <w:w w:val="105"/>
          <w:sz w:val="21"/>
        </w:rPr>
        <w:t> </w:t>
      </w:r>
      <w:r>
        <w:rPr>
          <w:w w:val="105"/>
          <w:sz w:val="21"/>
        </w:rPr>
        <w:t>the</w:t>
      </w:r>
      <w:r>
        <w:rPr>
          <w:spacing w:val="-7"/>
          <w:w w:val="105"/>
          <w:sz w:val="21"/>
        </w:rPr>
        <w:t> </w:t>
      </w:r>
      <w:r>
        <w:rPr>
          <w:w w:val="105"/>
          <w:sz w:val="21"/>
        </w:rPr>
        <w:t>Act</w:t>
      </w:r>
      <w:r>
        <w:rPr>
          <w:spacing w:val="-7"/>
          <w:w w:val="105"/>
          <w:sz w:val="21"/>
        </w:rPr>
        <w:t> </w:t>
      </w:r>
      <w:r>
        <w:rPr>
          <w:w w:val="105"/>
          <w:sz w:val="21"/>
        </w:rPr>
        <w:t>should</w:t>
      </w:r>
      <w:r>
        <w:rPr>
          <w:spacing w:val="-6"/>
          <w:w w:val="105"/>
          <w:sz w:val="21"/>
        </w:rPr>
        <w:t> </w:t>
      </w:r>
      <w:r>
        <w:rPr>
          <w:w w:val="105"/>
          <w:sz w:val="21"/>
        </w:rPr>
        <w:t>provide</w:t>
      </w:r>
      <w:r>
        <w:rPr>
          <w:spacing w:val="-7"/>
          <w:w w:val="105"/>
          <w:sz w:val="21"/>
        </w:rPr>
        <w:t> </w:t>
      </w:r>
      <w:r>
        <w:rPr>
          <w:spacing w:val="-3"/>
          <w:w w:val="105"/>
          <w:sz w:val="21"/>
        </w:rPr>
        <w:t>for</w:t>
      </w:r>
      <w:r>
        <w:rPr>
          <w:spacing w:val="-7"/>
          <w:w w:val="105"/>
          <w:sz w:val="21"/>
        </w:rPr>
        <w:t> </w:t>
      </w:r>
      <w:r>
        <w:rPr>
          <w:spacing w:val="-4"/>
          <w:w w:val="105"/>
          <w:sz w:val="21"/>
        </w:rPr>
        <w:t>timely,</w:t>
      </w:r>
      <w:r>
        <w:rPr>
          <w:spacing w:val="-7"/>
          <w:w w:val="105"/>
          <w:sz w:val="21"/>
        </w:rPr>
        <w:t> </w:t>
      </w:r>
      <w:r>
        <w:rPr>
          <w:w w:val="105"/>
          <w:sz w:val="21"/>
        </w:rPr>
        <w:t>practical</w:t>
      </w:r>
      <w:r>
        <w:rPr>
          <w:spacing w:val="-6"/>
          <w:w w:val="105"/>
          <w:sz w:val="21"/>
        </w:rPr>
        <w:t> </w:t>
      </w:r>
      <w:r>
        <w:rPr>
          <w:w w:val="105"/>
          <w:sz w:val="21"/>
        </w:rPr>
        <w:t>and</w:t>
      </w:r>
      <w:r>
        <w:rPr>
          <w:spacing w:val="-7"/>
          <w:w w:val="105"/>
          <w:sz w:val="21"/>
        </w:rPr>
        <w:t> </w:t>
      </w:r>
      <w:r>
        <w:rPr>
          <w:w w:val="105"/>
          <w:sz w:val="21"/>
        </w:rPr>
        <w:t>effective remedies </w:t>
      </w:r>
      <w:r>
        <w:rPr>
          <w:spacing w:val="-3"/>
          <w:w w:val="105"/>
          <w:sz w:val="21"/>
        </w:rPr>
        <w:t>for </w:t>
      </w:r>
      <w:r>
        <w:rPr>
          <w:w w:val="105"/>
          <w:sz w:val="21"/>
        </w:rPr>
        <w:t>tree </w:t>
      </w:r>
      <w:r>
        <w:rPr>
          <w:spacing w:val="-3"/>
          <w:w w:val="105"/>
          <w:sz w:val="21"/>
        </w:rPr>
        <w:t>disputes. </w:t>
      </w:r>
      <w:r>
        <w:rPr>
          <w:w w:val="105"/>
          <w:sz w:val="21"/>
        </w:rPr>
        <w:t>These </w:t>
      </w:r>
      <w:r>
        <w:rPr>
          <w:spacing w:val="-3"/>
          <w:w w:val="105"/>
          <w:sz w:val="21"/>
        </w:rPr>
        <w:t>will </w:t>
      </w:r>
      <w:r>
        <w:rPr>
          <w:w w:val="105"/>
          <w:sz w:val="21"/>
        </w:rPr>
        <w:t>provide </w:t>
      </w:r>
      <w:r>
        <w:rPr>
          <w:spacing w:val="-3"/>
          <w:w w:val="105"/>
          <w:sz w:val="21"/>
        </w:rPr>
        <w:t>guidance to </w:t>
      </w:r>
      <w:r>
        <w:rPr>
          <w:w w:val="105"/>
          <w:sz w:val="21"/>
        </w:rPr>
        <w:t>the community about the </w:t>
      </w:r>
      <w:r>
        <w:rPr>
          <w:spacing w:val="-4"/>
          <w:w w:val="105"/>
          <w:sz w:val="21"/>
        </w:rPr>
        <w:t>likely </w:t>
      </w:r>
      <w:r>
        <w:rPr>
          <w:spacing w:val="-3"/>
          <w:w w:val="105"/>
          <w:sz w:val="21"/>
        </w:rPr>
        <w:t>outcomes </w:t>
      </w:r>
      <w:r>
        <w:rPr>
          <w:w w:val="105"/>
          <w:sz w:val="21"/>
        </w:rPr>
        <w:t>if a matter proceeds </w:t>
      </w:r>
      <w:r>
        <w:rPr>
          <w:spacing w:val="-3"/>
          <w:w w:val="105"/>
          <w:sz w:val="21"/>
        </w:rPr>
        <w:t>to</w:t>
      </w:r>
      <w:r>
        <w:rPr>
          <w:spacing w:val="31"/>
          <w:w w:val="105"/>
          <w:sz w:val="21"/>
        </w:rPr>
        <w:t> </w:t>
      </w:r>
      <w:r>
        <w:rPr>
          <w:spacing w:val="-3"/>
          <w:w w:val="105"/>
          <w:sz w:val="21"/>
        </w:rPr>
        <w:t>hearing.</w:t>
      </w:r>
    </w:p>
    <w:p>
      <w:pPr>
        <w:pStyle w:val="ListParagraph"/>
        <w:numPr>
          <w:ilvl w:val="0"/>
          <w:numId w:val="5"/>
        </w:numPr>
        <w:tabs>
          <w:tab w:pos="2355" w:val="left" w:leader="none"/>
          <w:tab w:pos="2356" w:val="left" w:leader="none"/>
        </w:tabs>
        <w:spacing w:line="242" w:lineRule="auto" w:before="123" w:after="0"/>
        <w:ind w:left="2355" w:right="1554" w:hanging="793"/>
        <w:jc w:val="left"/>
        <w:rPr>
          <w:sz w:val="21"/>
        </w:rPr>
      </w:pPr>
      <w:r>
        <w:rPr>
          <w:spacing w:val="-5"/>
          <w:sz w:val="21"/>
        </w:rPr>
        <w:t>Tree </w:t>
      </w:r>
      <w:r>
        <w:rPr>
          <w:sz w:val="21"/>
        </w:rPr>
        <w:t>works conducted </w:t>
      </w:r>
      <w:r>
        <w:rPr>
          <w:spacing w:val="-3"/>
          <w:sz w:val="21"/>
        </w:rPr>
        <w:t>pursuant to </w:t>
      </w:r>
      <w:r>
        <w:rPr>
          <w:sz w:val="21"/>
        </w:rPr>
        <w:t>orders should comply with </w:t>
      </w:r>
      <w:r>
        <w:rPr>
          <w:spacing w:val="-3"/>
          <w:sz w:val="21"/>
        </w:rPr>
        <w:t>Australian pruning </w:t>
      </w:r>
      <w:r>
        <w:rPr>
          <w:sz w:val="21"/>
        </w:rPr>
        <w:t>standards and</w:t>
      </w:r>
      <w:r>
        <w:rPr>
          <w:spacing w:val="11"/>
          <w:sz w:val="21"/>
        </w:rPr>
        <w:t> </w:t>
      </w:r>
      <w:r>
        <w:rPr>
          <w:sz w:val="21"/>
        </w:rPr>
        <w:t>be</w:t>
      </w:r>
      <w:r>
        <w:rPr>
          <w:spacing w:val="11"/>
          <w:sz w:val="21"/>
        </w:rPr>
        <w:t> </w:t>
      </w:r>
      <w:r>
        <w:rPr>
          <w:sz w:val="21"/>
        </w:rPr>
        <w:t>carried</w:t>
      </w:r>
      <w:r>
        <w:rPr>
          <w:spacing w:val="11"/>
          <w:sz w:val="21"/>
        </w:rPr>
        <w:t> </w:t>
      </w:r>
      <w:r>
        <w:rPr>
          <w:sz w:val="21"/>
        </w:rPr>
        <w:t>out</w:t>
      </w:r>
      <w:r>
        <w:rPr>
          <w:spacing w:val="11"/>
          <w:sz w:val="21"/>
        </w:rPr>
        <w:t> </w:t>
      </w:r>
      <w:r>
        <w:rPr>
          <w:sz w:val="21"/>
        </w:rPr>
        <w:t>by</w:t>
      </w:r>
      <w:r>
        <w:rPr>
          <w:spacing w:val="12"/>
          <w:sz w:val="21"/>
        </w:rPr>
        <w:t> </w:t>
      </w:r>
      <w:r>
        <w:rPr>
          <w:sz w:val="21"/>
        </w:rPr>
        <w:t>a</w:t>
      </w:r>
      <w:r>
        <w:rPr>
          <w:spacing w:val="11"/>
          <w:sz w:val="21"/>
        </w:rPr>
        <w:t> </w:t>
      </w:r>
      <w:r>
        <w:rPr>
          <w:sz w:val="21"/>
        </w:rPr>
        <w:t>suitably</w:t>
      </w:r>
      <w:r>
        <w:rPr>
          <w:spacing w:val="11"/>
          <w:sz w:val="21"/>
        </w:rPr>
        <w:t> </w:t>
      </w:r>
      <w:r>
        <w:rPr>
          <w:sz w:val="21"/>
        </w:rPr>
        <w:t>qualified</w:t>
      </w:r>
      <w:r>
        <w:rPr>
          <w:spacing w:val="11"/>
          <w:sz w:val="21"/>
        </w:rPr>
        <w:t> </w:t>
      </w:r>
      <w:r>
        <w:rPr>
          <w:sz w:val="21"/>
        </w:rPr>
        <w:t>arborist</w:t>
      </w:r>
      <w:r>
        <w:rPr>
          <w:spacing w:val="12"/>
          <w:sz w:val="21"/>
        </w:rPr>
        <w:t> </w:t>
      </w:r>
      <w:r>
        <w:rPr>
          <w:sz w:val="21"/>
        </w:rPr>
        <w:t>as</w:t>
      </w:r>
      <w:r>
        <w:rPr>
          <w:spacing w:val="11"/>
          <w:sz w:val="21"/>
        </w:rPr>
        <w:t> </w:t>
      </w:r>
      <w:r>
        <w:rPr>
          <w:spacing w:val="-3"/>
          <w:sz w:val="21"/>
        </w:rPr>
        <w:t>determined</w:t>
      </w:r>
      <w:r>
        <w:rPr>
          <w:spacing w:val="11"/>
          <w:sz w:val="21"/>
        </w:rPr>
        <w:t> </w:t>
      </w:r>
      <w:r>
        <w:rPr>
          <w:sz w:val="21"/>
        </w:rPr>
        <w:t>by</w:t>
      </w:r>
      <w:r>
        <w:rPr>
          <w:spacing w:val="11"/>
          <w:sz w:val="21"/>
        </w:rPr>
        <w:t> </w:t>
      </w:r>
      <w:r>
        <w:rPr>
          <w:spacing w:val="-8"/>
          <w:sz w:val="21"/>
        </w:rPr>
        <w:t>VCAT.</w:t>
      </w:r>
    </w:p>
    <w:p>
      <w:pPr>
        <w:pStyle w:val="ListParagraph"/>
        <w:numPr>
          <w:ilvl w:val="0"/>
          <w:numId w:val="5"/>
        </w:numPr>
        <w:tabs>
          <w:tab w:pos="2355" w:val="left" w:leader="none"/>
          <w:tab w:pos="2356" w:val="left" w:leader="none"/>
        </w:tabs>
        <w:spacing w:line="242" w:lineRule="auto" w:before="123" w:after="0"/>
        <w:ind w:left="2355" w:right="1626" w:hanging="793"/>
        <w:jc w:val="both"/>
        <w:rPr>
          <w:sz w:val="21"/>
        </w:rPr>
      </w:pPr>
      <w:r>
        <w:rPr>
          <w:w w:val="105"/>
          <w:sz w:val="21"/>
        </w:rPr>
        <w:t>While existing appeal </w:t>
      </w:r>
      <w:r>
        <w:rPr>
          <w:spacing w:val="-3"/>
          <w:w w:val="105"/>
          <w:sz w:val="21"/>
        </w:rPr>
        <w:t>mechanisms </w:t>
      </w:r>
      <w:r>
        <w:rPr>
          <w:w w:val="105"/>
          <w:sz w:val="21"/>
        </w:rPr>
        <w:t>in </w:t>
      </w:r>
      <w:r>
        <w:rPr>
          <w:spacing w:val="-5"/>
          <w:w w:val="105"/>
          <w:sz w:val="21"/>
        </w:rPr>
        <w:t>VCAT </w:t>
      </w:r>
      <w:r>
        <w:rPr>
          <w:spacing w:val="-3"/>
          <w:w w:val="105"/>
          <w:sz w:val="21"/>
        </w:rPr>
        <w:t>are appropriate, </w:t>
      </w:r>
      <w:r>
        <w:rPr>
          <w:w w:val="105"/>
          <w:sz w:val="21"/>
        </w:rPr>
        <w:t>the new Act should </w:t>
      </w:r>
      <w:r>
        <w:rPr>
          <w:spacing w:val="-3"/>
          <w:w w:val="105"/>
          <w:sz w:val="21"/>
        </w:rPr>
        <w:t>allow </w:t>
      </w:r>
      <w:r>
        <w:rPr>
          <w:w w:val="105"/>
          <w:sz w:val="21"/>
        </w:rPr>
        <w:t>the parties </w:t>
      </w:r>
      <w:r>
        <w:rPr>
          <w:spacing w:val="-3"/>
          <w:w w:val="105"/>
          <w:sz w:val="21"/>
        </w:rPr>
        <w:t>to </w:t>
      </w:r>
      <w:r>
        <w:rPr>
          <w:w w:val="105"/>
          <w:sz w:val="21"/>
        </w:rPr>
        <w:t>apply </w:t>
      </w:r>
      <w:r>
        <w:rPr>
          <w:spacing w:val="-3"/>
          <w:w w:val="105"/>
          <w:sz w:val="21"/>
        </w:rPr>
        <w:t>to </w:t>
      </w:r>
      <w:r>
        <w:rPr>
          <w:spacing w:val="-5"/>
          <w:w w:val="105"/>
          <w:sz w:val="21"/>
        </w:rPr>
        <w:t>VCAT </w:t>
      </w:r>
      <w:r>
        <w:rPr>
          <w:spacing w:val="-3"/>
          <w:w w:val="105"/>
          <w:sz w:val="21"/>
        </w:rPr>
        <w:t>to </w:t>
      </w:r>
      <w:r>
        <w:rPr>
          <w:w w:val="105"/>
          <w:sz w:val="21"/>
        </w:rPr>
        <w:t>vary or </w:t>
      </w:r>
      <w:r>
        <w:rPr>
          <w:spacing w:val="-4"/>
          <w:w w:val="105"/>
          <w:sz w:val="21"/>
        </w:rPr>
        <w:t>revoke </w:t>
      </w:r>
      <w:r>
        <w:rPr>
          <w:w w:val="105"/>
          <w:sz w:val="21"/>
        </w:rPr>
        <w:t>the </w:t>
      </w:r>
      <w:r>
        <w:rPr>
          <w:spacing w:val="-3"/>
          <w:w w:val="105"/>
          <w:sz w:val="21"/>
        </w:rPr>
        <w:t>original </w:t>
      </w:r>
      <w:r>
        <w:rPr>
          <w:w w:val="105"/>
          <w:sz w:val="21"/>
        </w:rPr>
        <w:t>order where new </w:t>
      </w:r>
      <w:r>
        <w:rPr>
          <w:spacing w:val="-3"/>
          <w:w w:val="105"/>
          <w:sz w:val="21"/>
        </w:rPr>
        <w:t>circumstances are </w:t>
      </w:r>
      <w:r>
        <w:rPr>
          <w:spacing w:val="-2"/>
          <w:w w:val="105"/>
          <w:sz w:val="21"/>
        </w:rPr>
        <w:t>not </w:t>
      </w:r>
      <w:r>
        <w:rPr>
          <w:spacing w:val="-3"/>
          <w:w w:val="105"/>
          <w:sz w:val="21"/>
        </w:rPr>
        <w:t>accommodated </w:t>
      </w:r>
      <w:r>
        <w:rPr>
          <w:w w:val="105"/>
          <w:sz w:val="21"/>
        </w:rPr>
        <w:t>in the </w:t>
      </w:r>
      <w:r>
        <w:rPr>
          <w:spacing w:val="-3"/>
          <w:w w:val="105"/>
          <w:sz w:val="21"/>
        </w:rPr>
        <w:t>original </w:t>
      </w:r>
      <w:r>
        <w:rPr>
          <w:spacing w:val="-4"/>
          <w:w w:val="105"/>
          <w:sz w:val="21"/>
        </w:rPr>
        <w:t>order. Trees </w:t>
      </w:r>
      <w:r>
        <w:rPr>
          <w:spacing w:val="-3"/>
          <w:w w:val="105"/>
          <w:sz w:val="21"/>
        </w:rPr>
        <w:t>are </w:t>
      </w:r>
      <w:r>
        <w:rPr>
          <w:w w:val="105"/>
          <w:sz w:val="21"/>
        </w:rPr>
        <w:t>dynamic, </w:t>
      </w:r>
      <w:r>
        <w:rPr>
          <w:spacing w:val="-3"/>
          <w:w w:val="105"/>
          <w:sz w:val="21"/>
        </w:rPr>
        <w:t>living organisms </w:t>
      </w:r>
      <w:r>
        <w:rPr>
          <w:w w:val="105"/>
          <w:sz w:val="21"/>
        </w:rPr>
        <w:t>and the facts </w:t>
      </w:r>
      <w:r>
        <w:rPr>
          <w:spacing w:val="-3"/>
          <w:w w:val="105"/>
          <w:sz w:val="21"/>
        </w:rPr>
        <w:t>relating to disputes </w:t>
      </w:r>
      <w:r>
        <w:rPr>
          <w:w w:val="105"/>
          <w:sz w:val="21"/>
        </w:rPr>
        <w:t>can </w:t>
      </w:r>
      <w:r>
        <w:rPr>
          <w:spacing w:val="-3"/>
          <w:w w:val="105"/>
          <w:sz w:val="21"/>
        </w:rPr>
        <w:t>change </w:t>
      </w:r>
      <w:r>
        <w:rPr>
          <w:w w:val="105"/>
          <w:sz w:val="21"/>
        </w:rPr>
        <w:t>over </w:t>
      </w:r>
      <w:r>
        <w:rPr>
          <w:spacing w:val="-3"/>
          <w:w w:val="105"/>
          <w:sz w:val="21"/>
        </w:rPr>
        <w:t>time. </w:t>
      </w:r>
      <w:r>
        <w:rPr>
          <w:spacing w:val="-4"/>
          <w:w w:val="105"/>
          <w:sz w:val="21"/>
        </w:rPr>
        <w:t>However, </w:t>
      </w:r>
      <w:r>
        <w:rPr>
          <w:spacing w:val="-3"/>
          <w:w w:val="105"/>
          <w:sz w:val="21"/>
        </w:rPr>
        <w:t>such applications </w:t>
      </w:r>
      <w:r>
        <w:rPr>
          <w:w w:val="105"/>
          <w:sz w:val="21"/>
        </w:rPr>
        <w:t>should be </w:t>
      </w:r>
      <w:r>
        <w:rPr>
          <w:spacing w:val="-3"/>
          <w:w w:val="105"/>
          <w:sz w:val="21"/>
        </w:rPr>
        <w:t>limited to </w:t>
      </w:r>
      <w:r>
        <w:rPr>
          <w:w w:val="105"/>
          <w:sz w:val="21"/>
        </w:rPr>
        <w:t>one per </w:t>
      </w:r>
      <w:r>
        <w:rPr>
          <w:spacing w:val="-3"/>
          <w:w w:val="105"/>
          <w:sz w:val="21"/>
        </w:rPr>
        <w:t>year to prevent </w:t>
      </w:r>
      <w:r>
        <w:rPr>
          <w:w w:val="105"/>
          <w:sz w:val="21"/>
        </w:rPr>
        <w:t>vexatious </w:t>
      </w:r>
      <w:r>
        <w:rPr>
          <w:spacing w:val="-3"/>
          <w:w w:val="105"/>
          <w:sz w:val="21"/>
        </w:rPr>
        <w:t>applications </w:t>
      </w:r>
      <w:r>
        <w:rPr>
          <w:w w:val="105"/>
          <w:sz w:val="21"/>
        </w:rPr>
        <w:t>and provide certainty </w:t>
      </w:r>
      <w:r>
        <w:rPr>
          <w:spacing w:val="-3"/>
          <w:w w:val="105"/>
          <w:sz w:val="21"/>
        </w:rPr>
        <w:t>to </w:t>
      </w:r>
      <w:r>
        <w:rPr>
          <w:w w:val="105"/>
          <w:sz w:val="21"/>
        </w:rPr>
        <w:t>the</w:t>
      </w:r>
      <w:r>
        <w:rPr>
          <w:spacing w:val="-30"/>
          <w:w w:val="105"/>
          <w:sz w:val="21"/>
        </w:rPr>
        <w:t> </w:t>
      </w:r>
      <w:r>
        <w:rPr>
          <w:w w:val="105"/>
          <w:sz w:val="21"/>
        </w:rPr>
        <w:t>parties.</w:t>
      </w:r>
    </w:p>
    <w:p>
      <w:pPr>
        <w:pStyle w:val="ListParagraph"/>
        <w:numPr>
          <w:ilvl w:val="0"/>
          <w:numId w:val="5"/>
        </w:numPr>
        <w:tabs>
          <w:tab w:pos="2355" w:val="left" w:leader="none"/>
          <w:tab w:pos="2356" w:val="left" w:leader="none"/>
        </w:tabs>
        <w:spacing w:line="240" w:lineRule="auto" w:before="125" w:after="0"/>
        <w:ind w:left="2355" w:right="0" w:hanging="794"/>
        <w:jc w:val="left"/>
        <w:rPr>
          <w:sz w:val="21"/>
        </w:rPr>
      </w:pPr>
      <w:r>
        <w:rPr>
          <w:w w:val="105"/>
          <w:sz w:val="21"/>
        </w:rPr>
        <w:t>The</w:t>
      </w:r>
      <w:r>
        <w:rPr>
          <w:spacing w:val="2"/>
          <w:w w:val="105"/>
          <w:sz w:val="21"/>
        </w:rPr>
        <w:t> </w:t>
      </w:r>
      <w:r>
        <w:rPr>
          <w:w w:val="105"/>
          <w:sz w:val="21"/>
        </w:rPr>
        <w:t>new</w:t>
      </w:r>
      <w:r>
        <w:rPr>
          <w:spacing w:val="2"/>
          <w:w w:val="105"/>
          <w:sz w:val="21"/>
        </w:rPr>
        <w:t> </w:t>
      </w:r>
      <w:r>
        <w:rPr>
          <w:w w:val="105"/>
          <w:sz w:val="21"/>
        </w:rPr>
        <w:t>Act</w:t>
      </w:r>
      <w:r>
        <w:rPr>
          <w:spacing w:val="3"/>
          <w:w w:val="105"/>
          <w:sz w:val="21"/>
        </w:rPr>
        <w:t> </w:t>
      </w:r>
      <w:r>
        <w:rPr>
          <w:w w:val="105"/>
          <w:sz w:val="21"/>
        </w:rPr>
        <w:t>should</w:t>
      </w:r>
      <w:r>
        <w:rPr>
          <w:spacing w:val="2"/>
          <w:w w:val="105"/>
          <w:sz w:val="21"/>
        </w:rPr>
        <w:t> </w:t>
      </w:r>
      <w:r>
        <w:rPr>
          <w:spacing w:val="-3"/>
          <w:w w:val="105"/>
          <w:sz w:val="21"/>
        </w:rPr>
        <w:t>include</w:t>
      </w:r>
      <w:r>
        <w:rPr>
          <w:spacing w:val="3"/>
          <w:w w:val="105"/>
          <w:sz w:val="21"/>
        </w:rPr>
        <w:t> </w:t>
      </w:r>
      <w:r>
        <w:rPr>
          <w:w w:val="105"/>
          <w:sz w:val="21"/>
        </w:rPr>
        <w:t>a</w:t>
      </w:r>
      <w:r>
        <w:rPr>
          <w:spacing w:val="2"/>
          <w:w w:val="105"/>
          <w:sz w:val="21"/>
        </w:rPr>
        <w:t> </w:t>
      </w:r>
      <w:r>
        <w:rPr>
          <w:w w:val="105"/>
          <w:sz w:val="21"/>
        </w:rPr>
        <w:t>penalty</w:t>
      </w:r>
      <w:r>
        <w:rPr>
          <w:spacing w:val="3"/>
          <w:w w:val="105"/>
          <w:sz w:val="21"/>
        </w:rPr>
        <w:t> </w:t>
      </w:r>
      <w:r>
        <w:rPr>
          <w:spacing w:val="-3"/>
          <w:w w:val="105"/>
          <w:sz w:val="21"/>
        </w:rPr>
        <w:t>for</w:t>
      </w:r>
      <w:r>
        <w:rPr>
          <w:spacing w:val="2"/>
          <w:w w:val="105"/>
          <w:sz w:val="21"/>
        </w:rPr>
        <w:t> </w:t>
      </w:r>
      <w:r>
        <w:rPr>
          <w:spacing w:val="-4"/>
          <w:w w:val="105"/>
          <w:sz w:val="21"/>
        </w:rPr>
        <w:t>failure</w:t>
      </w:r>
      <w:r>
        <w:rPr>
          <w:spacing w:val="3"/>
          <w:w w:val="105"/>
          <w:sz w:val="21"/>
        </w:rPr>
        <w:t> </w:t>
      </w:r>
      <w:r>
        <w:rPr>
          <w:spacing w:val="-3"/>
          <w:w w:val="105"/>
          <w:sz w:val="21"/>
        </w:rPr>
        <w:t>to</w:t>
      </w:r>
      <w:r>
        <w:rPr>
          <w:spacing w:val="2"/>
          <w:w w:val="105"/>
          <w:sz w:val="21"/>
        </w:rPr>
        <w:t> </w:t>
      </w:r>
      <w:r>
        <w:rPr>
          <w:w w:val="105"/>
          <w:sz w:val="21"/>
        </w:rPr>
        <w:t>comply</w:t>
      </w:r>
      <w:r>
        <w:rPr>
          <w:spacing w:val="3"/>
          <w:w w:val="105"/>
          <w:sz w:val="21"/>
        </w:rPr>
        <w:t> </w:t>
      </w:r>
      <w:r>
        <w:rPr>
          <w:w w:val="105"/>
          <w:sz w:val="21"/>
        </w:rPr>
        <w:t>with</w:t>
      </w:r>
      <w:r>
        <w:rPr>
          <w:spacing w:val="2"/>
          <w:w w:val="105"/>
          <w:sz w:val="21"/>
        </w:rPr>
        <w:t> </w:t>
      </w:r>
      <w:r>
        <w:rPr>
          <w:w w:val="105"/>
          <w:sz w:val="21"/>
        </w:rPr>
        <w:t>an</w:t>
      </w:r>
      <w:r>
        <w:rPr>
          <w:spacing w:val="3"/>
          <w:w w:val="105"/>
          <w:sz w:val="21"/>
        </w:rPr>
        <w:t> </w:t>
      </w:r>
      <w:r>
        <w:rPr>
          <w:spacing w:val="-4"/>
          <w:w w:val="105"/>
          <w:sz w:val="21"/>
        </w:rPr>
        <w:t>order.</w:t>
      </w:r>
      <w:r>
        <w:rPr>
          <w:spacing w:val="2"/>
          <w:w w:val="105"/>
          <w:sz w:val="21"/>
        </w:rPr>
        <w:t> </w:t>
      </w:r>
      <w:r>
        <w:rPr>
          <w:spacing w:val="-7"/>
          <w:w w:val="105"/>
          <w:sz w:val="21"/>
        </w:rPr>
        <w:t>To</w:t>
      </w:r>
      <w:r>
        <w:rPr>
          <w:spacing w:val="3"/>
          <w:w w:val="105"/>
          <w:sz w:val="21"/>
        </w:rPr>
        <w:t> </w:t>
      </w:r>
      <w:r>
        <w:rPr>
          <w:spacing w:val="-3"/>
          <w:w w:val="105"/>
          <w:sz w:val="21"/>
        </w:rPr>
        <w:t>facilitate</w:t>
      </w:r>
      <w:r>
        <w:rPr>
          <w:spacing w:val="2"/>
          <w:w w:val="105"/>
          <w:sz w:val="21"/>
        </w:rPr>
        <w:t> </w:t>
      </w:r>
      <w:r>
        <w:rPr>
          <w:w w:val="105"/>
          <w:sz w:val="21"/>
        </w:rPr>
        <w:t>the</w:t>
      </w:r>
    </w:p>
    <w:p>
      <w:pPr>
        <w:pStyle w:val="BodyText"/>
        <w:rPr>
          <w:sz w:val="20"/>
        </w:rPr>
      </w:pPr>
    </w:p>
    <w:p>
      <w:pPr>
        <w:pStyle w:val="BodyText"/>
        <w:spacing w:before="7"/>
        <w:rPr>
          <w:sz w:val="22"/>
        </w:rPr>
      </w:pPr>
    </w:p>
    <w:p>
      <w:pPr>
        <w:spacing w:before="0"/>
        <w:ind w:left="0" w:right="627" w:firstLine="0"/>
        <w:jc w:val="right"/>
        <w:rPr>
          <w:b/>
          <w:sz w:val="24"/>
        </w:rPr>
      </w:pPr>
      <w:r>
        <w:rPr>
          <w:b/>
          <w:color w:val="658464"/>
          <w:w w:val="115"/>
          <w:sz w:val="24"/>
        </w:rPr>
        <w:t>xix</w:t>
      </w:r>
    </w:p>
    <w:p>
      <w:pPr>
        <w:spacing w:after="0"/>
        <w:jc w:val="right"/>
        <w:rPr>
          <w:sz w:val="24"/>
        </w:rPr>
        <w:sectPr>
          <w:pgSz w:w="11910" w:h="16840"/>
          <w:pgMar w:header="1372" w:footer="0" w:top="1560" w:bottom="280" w:left="0" w:right="0"/>
        </w:sectPr>
      </w:pPr>
    </w:p>
    <w:p>
      <w:pPr>
        <w:pStyle w:val="BodyText"/>
        <w:spacing w:before="9"/>
        <w:rPr>
          <w:b/>
          <w:sz w:val="22"/>
        </w:rPr>
      </w:pPr>
    </w:p>
    <w:p>
      <w:pPr>
        <w:pStyle w:val="BodyText"/>
        <w:spacing w:line="242" w:lineRule="auto" w:before="92"/>
        <w:ind w:left="2381" w:right="1777"/>
      </w:pPr>
      <w:r>
        <w:rPr>
          <w:w w:val="105"/>
        </w:rPr>
        <w:t>practical resolution of a </w:t>
      </w:r>
      <w:r>
        <w:rPr>
          <w:spacing w:val="-3"/>
          <w:w w:val="105"/>
        </w:rPr>
        <w:t>dispute, </w:t>
      </w:r>
      <w:r>
        <w:rPr>
          <w:w w:val="105"/>
        </w:rPr>
        <w:t>where an order is </w:t>
      </w:r>
      <w:r>
        <w:rPr>
          <w:spacing w:val="-2"/>
          <w:w w:val="105"/>
        </w:rPr>
        <w:t>not </w:t>
      </w:r>
      <w:r>
        <w:rPr>
          <w:spacing w:val="-3"/>
          <w:w w:val="105"/>
        </w:rPr>
        <w:t>complied with, </w:t>
      </w:r>
      <w:r>
        <w:rPr>
          <w:w w:val="105"/>
        </w:rPr>
        <w:t>the </w:t>
      </w:r>
      <w:r>
        <w:rPr>
          <w:spacing w:val="-3"/>
          <w:w w:val="105"/>
        </w:rPr>
        <w:t>Commission recommends that </w:t>
      </w:r>
      <w:r>
        <w:rPr>
          <w:w w:val="105"/>
        </w:rPr>
        <w:t>a party be able </w:t>
      </w:r>
      <w:r>
        <w:rPr>
          <w:spacing w:val="-3"/>
          <w:w w:val="105"/>
        </w:rPr>
        <w:t>to </w:t>
      </w:r>
      <w:r>
        <w:rPr>
          <w:w w:val="105"/>
        </w:rPr>
        <w:t>apply </w:t>
      </w:r>
      <w:r>
        <w:rPr>
          <w:spacing w:val="-3"/>
          <w:w w:val="105"/>
        </w:rPr>
        <w:t>to </w:t>
      </w:r>
      <w:r>
        <w:rPr>
          <w:spacing w:val="-5"/>
          <w:w w:val="105"/>
        </w:rPr>
        <w:t>VCAT </w:t>
      </w:r>
      <w:r>
        <w:rPr>
          <w:spacing w:val="-3"/>
          <w:w w:val="105"/>
        </w:rPr>
        <w:t>for </w:t>
      </w:r>
      <w:r>
        <w:rPr>
          <w:w w:val="105"/>
        </w:rPr>
        <w:t>permission </w:t>
      </w:r>
      <w:r>
        <w:rPr>
          <w:spacing w:val="-3"/>
          <w:w w:val="105"/>
        </w:rPr>
        <w:t>to enter </w:t>
      </w:r>
      <w:r>
        <w:rPr>
          <w:w w:val="105"/>
        </w:rPr>
        <w:t>the tree </w:t>
      </w:r>
      <w:r>
        <w:rPr>
          <w:spacing w:val="-3"/>
          <w:w w:val="105"/>
        </w:rPr>
        <w:t>owner’s land </w:t>
      </w:r>
      <w:r>
        <w:rPr>
          <w:w w:val="105"/>
        </w:rPr>
        <w:t>and carry out the works themselves. Reasonable costs </w:t>
      </w:r>
      <w:r>
        <w:rPr>
          <w:spacing w:val="-3"/>
          <w:w w:val="105"/>
        </w:rPr>
        <w:t>incurred </w:t>
      </w:r>
      <w:r>
        <w:rPr>
          <w:w w:val="105"/>
        </w:rPr>
        <w:t>as a </w:t>
      </w:r>
      <w:r>
        <w:rPr>
          <w:spacing w:val="-3"/>
          <w:w w:val="105"/>
        </w:rPr>
        <w:t>result </w:t>
      </w:r>
      <w:r>
        <w:rPr>
          <w:w w:val="105"/>
        </w:rPr>
        <w:t>should be able </w:t>
      </w:r>
      <w:r>
        <w:rPr>
          <w:spacing w:val="-3"/>
          <w:w w:val="105"/>
        </w:rPr>
        <w:t>to </w:t>
      </w:r>
      <w:r>
        <w:rPr>
          <w:w w:val="105"/>
        </w:rPr>
        <w:t>be recouped </w:t>
      </w:r>
      <w:r>
        <w:rPr>
          <w:spacing w:val="-3"/>
          <w:w w:val="105"/>
        </w:rPr>
        <w:t>from </w:t>
      </w:r>
      <w:r>
        <w:rPr>
          <w:w w:val="105"/>
        </w:rPr>
        <w:t>the non-complying party as a debt in the </w:t>
      </w:r>
      <w:r>
        <w:rPr>
          <w:spacing w:val="-3"/>
          <w:w w:val="105"/>
        </w:rPr>
        <w:t>relevant </w:t>
      </w:r>
      <w:r>
        <w:rPr>
          <w:w w:val="105"/>
        </w:rPr>
        <w:t>court and </w:t>
      </w:r>
      <w:r>
        <w:rPr>
          <w:spacing w:val="-3"/>
          <w:w w:val="105"/>
        </w:rPr>
        <w:t>safeguards </w:t>
      </w:r>
      <w:r>
        <w:rPr>
          <w:w w:val="105"/>
        </w:rPr>
        <w:t>should apply </w:t>
      </w:r>
      <w:r>
        <w:rPr>
          <w:spacing w:val="-3"/>
          <w:w w:val="105"/>
        </w:rPr>
        <w:t>for </w:t>
      </w:r>
      <w:r>
        <w:rPr>
          <w:w w:val="105"/>
        </w:rPr>
        <w:t>entry </w:t>
      </w:r>
      <w:r>
        <w:rPr>
          <w:spacing w:val="-3"/>
          <w:w w:val="105"/>
        </w:rPr>
        <w:t>to </w:t>
      </w:r>
      <w:r>
        <w:rPr>
          <w:w w:val="105"/>
        </w:rPr>
        <w:t>the </w:t>
      </w:r>
      <w:r>
        <w:rPr>
          <w:spacing w:val="-3"/>
          <w:w w:val="105"/>
        </w:rPr>
        <w:t>neighbour’s land.</w:t>
      </w:r>
    </w:p>
    <w:p>
      <w:pPr>
        <w:pStyle w:val="Heading7"/>
        <w:spacing w:before="156"/>
      </w:pPr>
      <w:r>
        <w:rPr>
          <w:w w:val="115"/>
        </w:rPr>
        <w:t>Interaction with other laws</w:t>
      </w:r>
    </w:p>
    <w:p>
      <w:pPr>
        <w:pStyle w:val="ListParagraph"/>
        <w:numPr>
          <w:ilvl w:val="0"/>
          <w:numId w:val="6"/>
        </w:numPr>
        <w:tabs>
          <w:tab w:pos="2381" w:val="left" w:leader="none"/>
          <w:tab w:pos="2382" w:val="left" w:leader="none"/>
        </w:tabs>
        <w:spacing w:line="242" w:lineRule="auto" w:before="142" w:after="0"/>
        <w:ind w:left="2381" w:right="1641" w:hanging="794"/>
        <w:jc w:val="left"/>
        <w:rPr>
          <w:sz w:val="21"/>
        </w:rPr>
      </w:pPr>
      <w:r>
        <w:rPr>
          <w:w w:val="105"/>
          <w:sz w:val="21"/>
        </w:rPr>
        <w:t>In</w:t>
      </w:r>
      <w:r>
        <w:rPr>
          <w:spacing w:val="-10"/>
          <w:w w:val="105"/>
          <w:sz w:val="21"/>
        </w:rPr>
        <w:t> </w:t>
      </w:r>
      <w:r>
        <w:rPr>
          <w:w w:val="105"/>
          <w:sz w:val="21"/>
        </w:rPr>
        <w:t>the</w:t>
      </w:r>
      <w:r>
        <w:rPr>
          <w:spacing w:val="-9"/>
          <w:w w:val="105"/>
          <w:sz w:val="21"/>
        </w:rPr>
        <w:t> </w:t>
      </w:r>
      <w:r>
        <w:rPr>
          <w:w w:val="105"/>
          <w:sz w:val="21"/>
        </w:rPr>
        <w:t>interests</w:t>
      </w:r>
      <w:r>
        <w:rPr>
          <w:spacing w:val="-10"/>
          <w:w w:val="105"/>
          <w:sz w:val="21"/>
        </w:rPr>
        <w:t> </w:t>
      </w:r>
      <w:r>
        <w:rPr>
          <w:w w:val="105"/>
          <w:sz w:val="21"/>
        </w:rPr>
        <w:t>of</w:t>
      </w:r>
      <w:r>
        <w:rPr>
          <w:spacing w:val="-9"/>
          <w:w w:val="105"/>
          <w:sz w:val="21"/>
        </w:rPr>
        <w:t> </w:t>
      </w:r>
      <w:r>
        <w:rPr>
          <w:w w:val="105"/>
          <w:sz w:val="21"/>
        </w:rPr>
        <w:t>adopting</w:t>
      </w:r>
      <w:r>
        <w:rPr>
          <w:spacing w:val="-10"/>
          <w:w w:val="105"/>
          <w:sz w:val="21"/>
        </w:rPr>
        <w:t> </w:t>
      </w:r>
      <w:r>
        <w:rPr>
          <w:w w:val="105"/>
          <w:sz w:val="21"/>
        </w:rPr>
        <w:t>a</w:t>
      </w:r>
      <w:r>
        <w:rPr>
          <w:spacing w:val="-9"/>
          <w:w w:val="105"/>
          <w:sz w:val="21"/>
        </w:rPr>
        <w:t> </w:t>
      </w:r>
      <w:r>
        <w:rPr>
          <w:spacing w:val="-3"/>
          <w:w w:val="105"/>
          <w:sz w:val="21"/>
        </w:rPr>
        <w:t>straightforward,</w:t>
      </w:r>
      <w:r>
        <w:rPr>
          <w:spacing w:val="-10"/>
          <w:w w:val="105"/>
          <w:sz w:val="21"/>
        </w:rPr>
        <w:t> </w:t>
      </w:r>
      <w:r>
        <w:rPr>
          <w:spacing w:val="-3"/>
          <w:w w:val="105"/>
          <w:sz w:val="21"/>
        </w:rPr>
        <w:t>accessible</w:t>
      </w:r>
      <w:r>
        <w:rPr>
          <w:spacing w:val="-9"/>
          <w:w w:val="105"/>
          <w:sz w:val="21"/>
        </w:rPr>
        <w:t> </w:t>
      </w:r>
      <w:r>
        <w:rPr>
          <w:w w:val="105"/>
          <w:sz w:val="21"/>
        </w:rPr>
        <w:t>and</w:t>
      </w:r>
      <w:r>
        <w:rPr>
          <w:spacing w:val="-10"/>
          <w:w w:val="105"/>
          <w:sz w:val="21"/>
        </w:rPr>
        <w:t> </w:t>
      </w:r>
      <w:r>
        <w:rPr>
          <w:w w:val="105"/>
          <w:sz w:val="21"/>
        </w:rPr>
        <w:t>timely</w:t>
      </w:r>
      <w:r>
        <w:rPr>
          <w:spacing w:val="-9"/>
          <w:w w:val="105"/>
          <w:sz w:val="21"/>
        </w:rPr>
        <w:t> </w:t>
      </w:r>
      <w:r>
        <w:rPr>
          <w:w w:val="105"/>
          <w:sz w:val="21"/>
        </w:rPr>
        <w:t>statutory</w:t>
      </w:r>
      <w:r>
        <w:rPr>
          <w:spacing w:val="-10"/>
          <w:w w:val="105"/>
          <w:sz w:val="21"/>
        </w:rPr>
        <w:t> </w:t>
      </w:r>
      <w:r>
        <w:rPr>
          <w:spacing w:val="-3"/>
          <w:w w:val="105"/>
          <w:sz w:val="21"/>
        </w:rPr>
        <w:t>scheme,</w:t>
      </w:r>
      <w:r>
        <w:rPr>
          <w:spacing w:val="-9"/>
          <w:w w:val="105"/>
          <w:sz w:val="21"/>
        </w:rPr>
        <w:t> </w:t>
      </w:r>
      <w:r>
        <w:rPr>
          <w:w w:val="105"/>
          <w:sz w:val="21"/>
        </w:rPr>
        <w:t>the </w:t>
      </w:r>
      <w:r>
        <w:rPr>
          <w:spacing w:val="-3"/>
          <w:w w:val="105"/>
          <w:sz w:val="21"/>
        </w:rPr>
        <w:t>Commission </w:t>
      </w:r>
      <w:r>
        <w:rPr>
          <w:w w:val="105"/>
          <w:sz w:val="21"/>
        </w:rPr>
        <w:t>wishes </w:t>
      </w:r>
      <w:r>
        <w:rPr>
          <w:spacing w:val="-3"/>
          <w:w w:val="105"/>
          <w:sz w:val="21"/>
        </w:rPr>
        <w:t>to </w:t>
      </w:r>
      <w:r>
        <w:rPr>
          <w:w w:val="105"/>
          <w:sz w:val="21"/>
        </w:rPr>
        <w:t>avoid the </w:t>
      </w:r>
      <w:r>
        <w:rPr>
          <w:spacing w:val="-3"/>
          <w:w w:val="105"/>
          <w:sz w:val="21"/>
        </w:rPr>
        <w:t>involvement </w:t>
      </w:r>
      <w:r>
        <w:rPr>
          <w:w w:val="105"/>
          <w:sz w:val="21"/>
        </w:rPr>
        <w:t>of </w:t>
      </w:r>
      <w:r>
        <w:rPr>
          <w:spacing w:val="-3"/>
          <w:w w:val="105"/>
          <w:sz w:val="21"/>
        </w:rPr>
        <w:t>multiple </w:t>
      </w:r>
      <w:r>
        <w:rPr>
          <w:w w:val="105"/>
          <w:sz w:val="21"/>
        </w:rPr>
        <w:t>decision </w:t>
      </w:r>
      <w:r>
        <w:rPr>
          <w:spacing w:val="-3"/>
          <w:w w:val="105"/>
          <w:sz w:val="21"/>
        </w:rPr>
        <w:t>makers </w:t>
      </w:r>
      <w:r>
        <w:rPr>
          <w:w w:val="105"/>
          <w:sz w:val="21"/>
        </w:rPr>
        <w:t>and </w:t>
      </w:r>
      <w:r>
        <w:rPr>
          <w:spacing w:val="-3"/>
          <w:w w:val="105"/>
          <w:sz w:val="21"/>
        </w:rPr>
        <w:t>multiple </w:t>
      </w:r>
      <w:r>
        <w:rPr>
          <w:w w:val="105"/>
          <w:sz w:val="21"/>
        </w:rPr>
        <w:t>decision-making frameworks. </w:t>
      </w:r>
      <w:r>
        <w:rPr>
          <w:spacing w:val="-7"/>
          <w:w w:val="105"/>
          <w:sz w:val="21"/>
        </w:rPr>
        <w:t>To </w:t>
      </w:r>
      <w:r>
        <w:rPr>
          <w:spacing w:val="-3"/>
          <w:w w:val="105"/>
          <w:sz w:val="21"/>
        </w:rPr>
        <w:t>achieve </w:t>
      </w:r>
      <w:r>
        <w:rPr>
          <w:w w:val="105"/>
          <w:sz w:val="21"/>
        </w:rPr>
        <w:t>this, orders made under the new Act should supersede some </w:t>
      </w:r>
      <w:r>
        <w:rPr>
          <w:spacing w:val="-3"/>
          <w:w w:val="105"/>
          <w:sz w:val="21"/>
        </w:rPr>
        <w:t>requirements </w:t>
      </w:r>
      <w:r>
        <w:rPr>
          <w:w w:val="105"/>
          <w:sz w:val="21"/>
        </w:rPr>
        <w:t>under other laws, subject </w:t>
      </w:r>
      <w:r>
        <w:rPr>
          <w:spacing w:val="-3"/>
          <w:w w:val="105"/>
          <w:sz w:val="21"/>
        </w:rPr>
        <w:t>to</w:t>
      </w:r>
      <w:r>
        <w:rPr>
          <w:spacing w:val="15"/>
          <w:w w:val="105"/>
          <w:sz w:val="21"/>
        </w:rPr>
        <w:t> </w:t>
      </w:r>
      <w:r>
        <w:rPr>
          <w:spacing w:val="-3"/>
          <w:w w:val="105"/>
          <w:sz w:val="21"/>
        </w:rPr>
        <w:t>safeguards.</w:t>
      </w:r>
    </w:p>
    <w:p>
      <w:pPr>
        <w:pStyle w:val="ListParagraph"/>
        <w:numPr>
          <w:ilvl w:val="0"/>
          <w:numId w:val="6"/>
        </w:numPr>
        <w:tabs>
          <w:tab w:pos="2380" w:val="left" w:leader="none"/>
          <w:tab w:pos="2381" w:val="left" w:leader="none"/>
        </w:tabs>
        <w:spacing w:line="242" w:lineRule="auto" w:before="125" w:after="0"/>
        <w:ind w:left="2381" w:right="1629" w:hanging="794"/>
        <w:jc w:val="left"/>
        <w:rPr>
          <w:sz w:val="21"/>
        </w:rPr>
      </w:pPr>
      <w:r>
        <w:rPr>
          <w:w w:val="105"/>
          <w:sz w:val="21"/>
        </w:rPr>
        <w:t>These </w:t>
      </w:r>
      <w:r>
        <w:rPr>
          <w:spacing w:val="-3"/>
          <w:w w:val="105"/>
          <w:sz w:val="21"/>
        </w:rPr>
        <w:t>safeguards will ensure that </w:t>
      </w:r>
      <w:r>
        <w:rPr>
          <w:spacing w:val="-5"/>
          <w:w w:val="105"/>
          <w:sz w:val="21"/>
        </w:rPr>
        <w:t>VCAT </w:t>
      </w:r>
      <w:r>
        <w:rPr>
          <w:w w:val="105"/>
          <w:sz w:val="21"/>
        </w:rPr>
        <w:t>can </w:t>
      </w:r>
      <w:r>
        <w:rPr>
          <w:spacing w:val="-3"/>
          <w:w w:val="105"/>
          <w:sz w:val="21"/>
        </w:rPr>
        <w:t>consider information that </w:t>
      </w:r>
      <w:r>
        <w:rPr>
          <w:w w:val="105"/>
          <w:sz w:val="21"/>
        </w:rPr>
        <w:t>would </w:t>
      </w:r>
      <w:r>
        <w:rPr>
          <w:spacing w:val="-3"/>
          <w:w w:val="105"/>
          <w:sz w:val="21"/>
        </w:rPr>
        <w:t>have </w:t>
      </w:r>
      <w:r>
        <w:rPr>
          <w:w w:val="105"/>
          <w:sz w:val="21"/>
        </w:rPr>
        <w:t>been </w:t>
      </w:r>
      <w:r>
        <w:rPr>
          <w:spacing w:val="-3"/>
          <w:w w:val="105"/>
          <w:sz w:val="21"/>
        </w:rPr>
        <w:t>considered</w:t>
      </w:r>
      <w:r>
        <w:rPr>
          <w:spacing w:val="-12"/>
          <w:w w:val="105"/>
          <w:sz w:val="21"/>
        </w:rPr>
        <w:t> </w:t>
      </w:r>
      <w:r>
        <w:rPr>
          <w:w w:val="105"/>
          <w:sz w:val="21"/>
        </w:rPr>
        <w:t>under</w:t>
      </w:r>
      <w:r>
        <w:rPr>
          <w:spacing w:val="-12"/>
          <w:w w:val="105"/>
          <w:sz w:val="21"/>
        </w:rPr>
        <w:t> </w:t>
      </w:r>
      <w:r>
        <w:rPr>
          <w:w w:val="105"/>
          <w:sz w:val="21"/>
        </w:rPr>
        <w:t>the</w:t>
      </w:r>
      <w:r>
        <w:rPr>
          <w:spacing w:val="-11"/>
          <w:w w:val="105"/>
          <w:sz w:val="21"/>
        </w:rPr>
        <w:t> </w:t>
      </w:r>
      <w:r>
        <w:rPr>
          <w:w w:val="105"/>
          <w:sz w:val="21"/>
        </w:rPr>
        <w:t>other</w:t>
      </w:r>
      <w:r>
        <w:rPr>
          <w:spacing w:val="-12"/>
          <w:w w:val="105"/>
          <w:sz w:val="21"/>
        </w:rPr>
        <w:t> </w:t>
      </w:r>
      <w:r>
        <w:rPr>
          <w:spacing w:val="-5"/>
          <w:w w:val="105"/>
          <w:sz w:val="21"/>
        </w:rPr>
        <w:t>law.</w:t>
      </w:r>
      <w:r>
        <w:rPr>
          <w:spacing w:val="-12"/>
          <w:w w:val="105"/>
          <w:sz w:val="21"/>
        </w:rPr>
        <w:t> </w:t>
      </w:r>
      <w:r>
        <w:rPr>
          <w:w w:val="105"/>
          <w:sz w:val="21"/>
        </w:rPr>
        <w:t>Other</w:t>
      </w:r>
      <w:r>
        <w:rPr>
          <w:spacing w:val="-11"/>
          <w:w w:val="105"/>
          <w:sz w:val="21"/>
        </w:rPr>
        <w:t> </w:t>
      </w:r>
      <w:r>
        <w:rPr>
          <w:spacing w:val="-3"/>
          <w:w w:val="105"/>
          <w:sz w:val="21"/>
        </w:rPr>
        <w:t>responsible</w:t>
      </w:r>
      <w:r>
        <w:rPr>
          <w:spacing w:val="-12"/>
          <w:w w:val="105"/>
          <w:sz w:val="21"/>
        </w:rPr>
        <w:t> </w:t>
      </w:r>
      <w:r>
        <w:rPr>
          <w:w w:val="105"/>
          <w:sz w:val="21"/>
        </w:rPr>
        <w:t>authorities</w:t>
      </w:r>
      <w:r>
        <w:rPr>
          <w:spacing w:val="-12"/>
          <w:w w:val="105"/>
          <w:sz w:val="21"/>
        </w:rPr>
        <w:t> </w:t>
      </w:r>
      <w:r>
        <w:rPr>
          <w:spacing w:val="-3"/>
          <w:w w:val="105"/>
          <w:sz w:val="21"/>
        </w:rPr>
        <w:t>will</w:t>
      </w:r>
      <w:r>
        <w:rPr>
          <w:spacing w:val="-11"/>
          <w:w w:val="105"/>
          <w:sz w:val="21"/>
        </w:rPr>
        <w:t> </w:t>
      </w:r>
      <w:r>
        <w:rPr>
          <w:w w:val="105"/>
          <w:sz w:val="21"/>
        </w:rPr>
        <w:t>be</w:t>
      </w:r>
      <w:r>
        <w:rPr>
          <w:spacing w:val="-12"/>
          <w:w w:val="105"/>
          <w:sz w:val="21"/>
        </w:rPr>
        <w:t> </w:t>
      </w:r>
      <w:r>
        <w:rPr>
          <w:spacing w:val="-3"/>
          <w:w w:val="105"/>
          <w:sz w:val="21"/>
        </w:rPr>
        <w:t>invited</w:t>
      </w:r>
      <w:r>
        <w:rPr>
          <w:spacing w:val="-12"/>
          <w:w w:val="105"/>
          <w:sz w:val="21"/>
        </w:rPr>
        <w:t> </w:t>
      </w:r>
      <w:r>
        <w:rPr>
          <w:spacing w:val="-3"/>
          <w:w w:val="105"/>
          <w:sz w:val="21"/>
        </w:rPr>
        <w:t>to</w:t>
      </w:r>
      <w:r>
        <w:rPr>
          <w:spacing w:val="-11"/>
          <w:w w:val="105"/>
          <w:sz w:val="21"/>
        </w:rPr>
        <w:t> </w:t>
      </w:r>
      <w:r>
        <w:rPr>
          <w:w w:val="105"/>
          <w:sz w:val="21"/>
        </w:rPr>
        <w:t>participate in the </w:t>
      </w:r>
      <w:r>
        <w:rPr>
          <w:spacing w:val="-3"/>
          <w:w w:val="105"/>
          <w:sz w:val="21"/>
        </w:rPr>
        <w:t>hearing </w:t>
      </w:r>
      <w:r>
        <w:rPr>
          <w:w w:val="105"/>
          <w:sz w:val="21"/>
        </w:rPr>
        <w:t>process. </w:t>
      </w:r>
      <w:r>
        <w:rPr>
          <w:spacing w:val="-3"/>
          <w:w w:val="105"/>
          <w:sz w:val="21"/>
        </w:rPr>
        <w:t>Additional safeguards are </w:t>
      </w:r>
      <w:r>
        <w:rPr>
          <w:w w:val="105"/>
          <w:sz w:val="21"/>
        </w:rPr>
        <w:t>recommended </w:t>
      </w:r>
      <w:r>
        <w:rPr>
          <w:spacing w:val="-3"/>
          <w:w w:val="105"/>
          <w:sz w:val="21"/>
        </w:rPr>
        <w:t>for </w:t>
      </w:r>
      <w:r>
        <w:rPr>
          <w:w w:val="105"/>
          <w:sz w:val="21"/>
        </w:rPr>
        <w:t>particular</w:t>
      </w:r>
      <w:r>
        <w:rPr>
          <w:spacing w:val="2"/>
          <w:w w:val="105"/>
          <w:sz w:val="21"/>
        </w:rPr>
        <w:t> </w:t>
      </w:r>
      <w:r>
        <w:rPr>
          <w:w w:val="105"/>
          <w:sz w:val="21"/>
        </w:rPr>
        <w:t>laws.</w:t>
      </w:r>
    </w:p>
    <w:p>
      <w:pPr>
        <w:pStyle w:val="Heading7"/>
        <w:spacing w:before="153"/>
      </w:pPr>
      <w:r>
        <w:rPr>
          <w:color w:val="58595B"/>
          <w:w w:val="115"/>
        </w:rPr>
        <w:t>The need to obtain a planning permit to carry out works on a tree</w:t>
      </w:r>
    </w:p>
    <w:p>
      <w:pPr>
        <w:pStyle w:val="ListParagraph"/>
        <w:numPr>
          <w:ilvl w:val="0"/>
          <w:numId w:val="6"/>
        </w:numPr>
        <w:tabs>
          <w:tab w:pos="2381" w:val="left" w:leader="none"/>
          <w:tab w:pos="2382" w:val="left" w:leader="none"/>
        </w:tabs>
        <w:spacing w:line="242" w:lineRule="auto" w:before="143" w:after="0"/>
        <w:ind w:left="2381" w:right="1602" w:hanging="794"/>
        <w:jc w:val="left"/>
        <w:rPr>
          <w:sz w:val="21"/>
        </w:rPr>
      </w:pPr>
      <w:r>
        <w:rPr>
          <w:w w:val="105"/>
          <w:sz w:val="21"/>
        </w:rPr>
        <w:t>The</w:t>
      </w:r>
      <w:r>
        <w:rPr>
          <w:spacing w:val="-7"/>
          <w:w w:val="105"/>
          <w:sz w:val="21"/>
        </w:rPr>
        <w:t> </w:t>
      </w:r>
      <w:r>
        <w:rPr>
          <w:spacing w:val="-3"/>
          <w:w w:val="105"/>
          <w:sz w:val="21"/>
        </w:rPr>
        <w:t>Commission</w:t>
      </w:r>
      <w:r>
        <w:rPr>
          <w:spacing w:val="-6"/>
          <w:w w:val="105"/>
          <w:sz w:val="21"/>
        </w:rPr>
        <w:t> </w:t>
      </w:r>
      <w:r>
        <w:rPr>
          <w:spacing w:val="-3"/>
          <w:w w:val="105"/>
          <w:sz w:val="21"/>
        </w:rPr>
        <w:t>recommends</w:t>
      </w:r>
      <w:r>
        <w:rPr>
          <w:spacing w:val="-7"/>
          <w:w w:val="105"/>
          <w:sz w:val="21"/>
        </w:rPr>
        <w:t> </w:t>
      </w:r>
      <w:r>
        <w:rPr>
          <w:spacing w:val="-3"/>
          <w:w w:val="105"/>
          <w:sz w:val="21"/>
        </w:rPr>
        <w:t>that</w:t>
      </w:r>
      <w:r>
        <w:rPr>
          <w:spacing w:val="-6"/>
          <w:w w:val="105"/>
          <w:sz w:val="21"/>
        </w:rPr>
        <w:t> </w:t>
      </w:r>
      <w:r>
        <w:rPr>
          <w:w w:val="105"/>
          <w:sz w:val="21"/>
        </w:rPr>
        <w:t>the</w:t>
      </w:r>
      <w:r>
        <w:rPr>
          <w:spacing w:val="-7"/>
          <w:w w:val="105"/>
          <w:sz w:val="21"/>
        </w:rPr>
        <w:t> </w:t>
      </w:r>
      <w:r>
        <w:rPr>
          <w:w w:val="105"/>
          <w:sz w:val="21"/>
        </w:rPr>
        <w:t>existing</w:t>
      </w:r>
      <w:r>
        <w:rPr>
          <w:spacing w:val="-6"/>
          <w:w w:val="105"/>
          <w:sz w:val="21"/>
        </w:rPr>
        <w:t> </w:t>
      </w:r>
      <w:r>
        <w:rPr>
          <w:w w:val="105"/>
          <w:sz w:val="21"/>
        </w:rPr>
        <w:t>permit</w:t>
      </w:r>
      <w:r>
        <w:rPr>
          <w:spacing w:val="-7"/>
          <w:w w:val="105"/>
          <w:sz w:val="21"/>
        </w:rPr>
        <w:t> </w:t>
      </w:r>
      <w:r>
        <w:rPr>
          <w:spacing w:val="-3"/>
          <w:w w:val="105"/>
          <w:sz w:val="21"/>
        </w:rPr>
        <w:t>exemptions</w:t>
      </w:r>
      <w:r>
        <w:rPr>
          <w:spacing w:val="-6"/>
          <w:w w:val="105"/>
          <w:sz w:val="21"/>
        </w:rPr>
        <w:t> </w:t>
      </w:r>
      <w:r>
        <w:rPr>
          <w:w w:val="105"/>
          <w:sz w:val="21"/>
        </w:rPr>
        <w:t>in</w:t>
      </w:r>
      <w:r>
        <w:rPr>
          <w:spacing w:val="-7"/>
          <w:w w:val="105"/>
          <w:sz w:val="21"/>
        </w:rPr>
        <w:t> </w:t>
      </w:r>
      <w:r>
        <w:rPr>
          <w:w w:val="105"/>
          <w:sz w:val="21"/>
        </w:rPr>
        <w:t>the</w:t>
      </w:r>
      <w:r>
        <w:rPr>
          <w:spacing w:val="-6"/>
          <w:w w:val="105"/>
          <w:sz w:val="21"/>
        </w:rPr>
        <w:t> </w:t>
      </w:r>
      <w:r>
        <w:rPr>
          <w:w w:val="105"/>
          <w:sz w:val="21"/>
        </w:rPr>
        <w:t>Victoria</w:t>
      </w:r>
      <w:r>
        <w:rPr>
          <w:spacing w:val="-7"/>
          <w:w w:val="105"/>
          <w:sz w:val="21"/>
        </w:rPr>
        <w:t> </w:t>
      </w:r>
      <w:r>
        <w:rPr>
          <w:spacing w:val="-3"/>
          <w:w w:val="105"/>
          <w:sz w:val="21"/>
        </w:rPr>
        <w:t>Planning Provisions </w:t>
      </w:r>
      <w:r>
        <w:rPr>
          <w:w w:val="105"/>
          <w:sz w:val="21"/>
        </w:rPr>
        <w:t>under the </w:t>
      </w:r>
      <w:r>
        <w:rPr>
          <w:i/>
          <w:spacing w:val="-3"/>
          <w:w w:val="105"/>
          <w:sz w:val="21"/>
        </w:rPr>
        <w:t>Planning </w:t>
      </w:r>
      <w:r>
        <w:rPr>
          <w:i/>
          <w:w w:val="105"/>
          <w:sz w:val="21"/>
        </w:rPr>
        <w:t>and </w:t>
      </w:r>
      <w:r>
        <w:rPr>
          <w:i/>
          <w:spacing w:val="-3"/>
          <w:w w:val="105"/>
          <w:sz w:val="21"/>
        </w:rPr>
        <w:t>Environment </w:t>
      </w:r>
      <w:r>
        <w:rPr>
          <w:i/>
          <w:w w:val="105"/>
          <w:sz w:val="21"/>
        </w:rPr>
        <w:t>Act </w:t>
      </w:r>
      <w:r>
        <w:rPr>
          <w:i/>
          <w:spacing w:val="-6"/>
          <w:w w:val="105"/>
          <w:sz w:val="21"/>
        </w:rPr>
        <w:t>1987 </w:t>
      </w:r>
      <w:r>
        <w:rPr>
          <w:w w:val="105"/>
          <w:sz w:val="21"/>
        </w:rPr>
        <w:t>(Vic) be expanded </w:t>
      </w:r>
      <w:r>
        <w:rPr>
          <w:spacing w:val="-3"/>
          <w:w w:val="105"/>
          <w:sz w:val="21"/>
        </w:rPr>
        <w:t>to include </w:t>
      </w:r>
      <w:r>
        <w:rPr>
          <w:w w:val="105"/>
          <w:sz w:val="21"/>
        </w:rPr>
        <w:t>orders under the new Act. This would mean an Order under the new Act would </w:t>
      </w:r>
      <w:r>
        <w:rPr>
          <w:spacing w:val="-3"/>
          <w:w w:val="105"/>
          <w:sz w:val="21"/>
        </w:rPr>
        <w:t>have </w:t>
      </w:r>
      <w:r>
        <w:rPr>
          <w:w w:val="105"/>
          <w:sz w:val="21"/>
        </w:rPr>
        <w:t>effect</w:t>
      </w:r>
      <w:r>
        <w:rPr>
          <w:spacing w:val="-11"/>
          <w:w w:val="105"/>
          <w:sz w:val="21"/>
        </w:rPr>
        <w:t> </w:t>
      </w:r>
      <w:r>
        <w:rPr>
          <w:w w:val="105"/>
          <w:sz w:val="21"/>
        </w:rPr>
        <w:t>despite</w:t>
      </w:r>
      <w:r>
        <w:rPr>
          <w:spacing w:val="-11"/>
          <w:w w:val="105"/>
          <w:sz w:val="21"/>
        </w:rPr>
        <w:t> </w:t>
      </w:r>
      <w:r>
        <w:rPr>
          <w:spacing w:val="-3"/>
          <w:w w:val="105"/>
          <w:sz w:val="21"/>
        </w:rPr>
        <w:t>any</w:t>
      </w:r>
      <w:r>
        <w:rPr>
          <w:spacing w:val="-10"/>
          <w:w w:val="105"/>
          <w:sz w:val="21"/>
        </w:rPr>
        <w:t> </w:t>
      </w:r>
      <w:r>
        <w:rPr>
          <w:spacing w:val="-3"/>
          <w:w w:val="105"/>
          <w:sz w:val="21"/>
        </w:rPr>
        <w:t>requirement</w:t>
      </w:r>
      <w:r>
        <w:rPr>
          <w:spacing w:val="-11"/>
          <w:w w:val="105"/>
          <w:sz w:val="21"/>
        </w:rPr>
        <w:t> </w:t>
      </w:r>
      <w:r>
        <w:rPr>
          <w:spacing w:val="-3"/>
          <w:w w:val="105"/>
          <w:sz w:val="21"/>
        </w:rPr>
        <w:t>to</w:t>
      </w:r>
      <w:r>
        <w:rPr>
          <w:spacing w:val="-10"/>
          <w:w w:val="105"/>
          <w:sz w:val="21"/>
        </w:rPr>
        <w:t> </w:t>
      </w:r>
      <w:r>
        <w:rPr>
          <w:w w:val="105"/>
          <w:sz w:val="21"/>
        </w:rPr>
        <w:t>obtain</w:t>
      </w:r>
      <w:r>
        <w:rPr>
          <w:spacing w:val="-11"/>
          <w:w w:val="105"/>
          <w:sz w:val="21"/>
        </w:rPr>
        <w:t> </w:t>
      </w:r>
      <w:r>
        <w:rPr>
          <w:w w:val="105"/>
          <w:sz w:val="21"/>
        </w:rPr>
        <w:t>a</w:t>
      </w:r>
      <w:r>
        <w:rPr>
          <w:spacing w:val="-10"/>
          <w:w w:val="105"/>
          <w:sz w:val="21"/>
        </w:rPr>
        <w:t> </w:t>
      </w:r>
      <w:r>
        <w:rPr>
          <w:w w:val="105"/>
          <w:sz w:val="21"/>
        </w:rPr>
        <w:t>permit</w:t>
      </w:r>
      <w:r>
        <w:rPr>
          <w:spacing w:val="-11"/>
          <w:w w:val="105"/>
          <w:sz w:val="21"/>
        </w:rPr>
        <w:t> </w:t>
      </w:r>
      <w:r>
        <w:rPr>
          <w:spacing w:val="-3"/>
          <w:w w:val="105"/>
          <w:sz w:val="21"/>
        </w:rPr>
        <w:t>to</w:t>
      </w:r>
      <w:r>
        <w:rPr>
          <w:spacing w:val="-10"/>
          <w:w w:val="105"/>
          <w:sz w:val="21"/>
        </w:rPr>
        <w:t> </w:t>
      </w:r>
      <w:r>
        <w:rPr>
          <w:spacing w:val="-3"/>
          <w:w w:val="105"/>
          <w:sz w:val="21"/>
        </w:rPr>
        <w:t>remove,</w:t>
      </w:r>
      <w:r>
        <w:rPr>
          <w:spacing w:val="-11"/>
          <w:w w:val="105"/>
          <w:sz w:val="21"/>
        </w:rPr>
        <w:t> </w:t>
      </w:r>
      <w:r>
        <w:rPr>
          <w:w w:val="105"/>
          <w:sz w:val="21"/>
        </w:rPr>
        <w:t>prune</w:t>
      </w:r>
      <w:r>
        <w:rPr>
          <w:spacing w:val="-10"/>
          <w:w w:val="105"/>
          <w:sz w:val="21"/>
        </w:rPr>
        <w:t> </w:t>
      </w:r>
      <w:r>
        <w:rPr>
          <w:w w:val="105"/>
          <w:sz w:val="21"/>
        </w:rPr>
        <w:t>or</w:t>
      </w:r>
      <w:r>
        <w:rPr>
          <w:spacing w:val="-11"/>
          <w:w w:val="105"/>
          <w:sz w:val="21"/>
        </w:rPr>
        <w:t> </w:t>
      </w:r>
      <w:r>
        <w:rPr>
          <w:w w:val="105"/>
          <w:sz w:val="21"/>
        </w:rPr>
        <w:t>destroy</w:t>
      </w:r>
      <w:r>
        <w:rPr>
          <w:spacing w:val="-10"/>
          <w:w w:val="105"/>
          <w:sz w:val="21"/>
        </w:rPr>
        <w:t> </w:t>
      </w:r>
      <w:r>
        <w:rPr>
          <w:w w:val="105"/>
          <w:sz w:val="21"/>
        </w:rPr>
        <w:t>vegetation under </w:t>
      </w:r>
      <w:r>
        <w:rPr>
          <w:spacing w:val="-3"/>
          <w:w w:val="105"/>
          <w:sz w:val="21"/>
        </w:rPr>
        <w:t>overlay requirements </w:t>
      </w:r>
      <w:r>
        <w:rPr>
          <w:w w:val="105"/>
          <w:sz w:val="21"/>
        </w:rPr>
        <w:t>or </w:t>
      </w:r>
      <w:r>
        <w:rPr>
          <w:spacing w:val="-3"/>
          <w:w w:val="105"/>
          <w:sz w:val="21"/>
        </w:rPr>
        <w:t>native </w:t>
      </w:r>
      <w:r>
        <w:rPr>
          <w:w w:val="105"/>
          <w:sz w:val="21"/>
        </w:rPr>
        <w:t>vegetation </w:t>
      </w:r>
      <w:r>
        <w:rPr>
          <w:spacing w:val="-3"/>
          <w:w w:val="105"/>
          <w:sz w:val="21"/>
        </w:rPr>
        <w:t>provisions. </w:t>
      </w:r>
      <w:r>
        <w:rPr>
          <w:w w:val="105"/>
          <w:sz w:val="21"/>
        </w:rPr>
        <w:t>If the </w:t>
      </w:r>
      <w:r>
        <w:rPr>
          <w:spacing w:val="-3"/>
          <w:w w:val="105"/>
          <w:sz w:val="21"/>
        </w:rPr>
        <w:t>requirements </w:t>
      </w:r>
      <w:r>
        <w:rPr>
          <w:w w:val="105"/>
          <w:sz w:val="21"/>
        </w:rPr>
        <w:t>of the new Act </w:t>
      </w:r>
      <w:r>
        <w:rPr>
          <w:spacing w:val="-3"/>
          <w:w w:val="105"/>
          <w:sz w:val="21"/>
        </w:rPr>
        <w:t>were </w:t>
      </w:r>
      <w:r>
        <w:rPr>
          <w:w w:val="105"/>
          <w:sz w:val="21"/>
        </w:rPr>
        <w:t>satisfied a party would </w:t>
      </w:r>
      <w:r>
        <w:rPr>
          <w:spacing w:val="-2"/>
          <w:w w:val="105"/>
          <w:sz w:val="21"/>
        </w:rPr>
        <w:t>not </w:t>
      </w:r>
      <w:r>
        <w:rPr>
          <w:w w:val="105"/>
          <w:sz w:val="21"/>
        </w:rPr>
        <w:t>need </w:t>
      </w:r>
      <w:r>
        <w:rPr>
          <w:spacing w:val="-3"/>
          <w:w w:val="105"/>
          <w:sz w:val="21"/>
        </w:rPr>
        <w:t>to </w:t>
      </w:r>
      <w:r>
        <w:rPr>
          <w:w w:val="105"/>
          <w:sz w:val="21"/>
        </w:rPr>
        <w:t>obtain a permit under these </w:t>
      </w:r>
      <w:r>
        <w:rPr>
          <w:spacing w:val="-3"/>
          <w:w w:val="105"/>
          <w:sz w:val="21"/>
        </w:rPr>
        <w:t>planning provisions before </w:t>
      </w:r>
      <w:r>
        <w:rPr>
          <w:w w:val="105"/>
          <w:sz w:val="21"/>
        </w:rPr>
        <w:t>applying </w:t>
      </w:r>
      <w:r>
        <w:rPr>
          <w:spacing w:val="-3"/>
          <w:w w:val="105"/>
          <w:sz w:val="21"/>
        </w:rPr>
        <w:t>to </w:t>
      </w:r>
      <w:r>
        <w:rPr>
          <w:spacing w:val="-5"/>
          <w:w w:val="105"/>
          <w:sz w:val="21"/>
        </w:rPr>
        <w:t>VCAT </w:t>
      </w:r>
      <w:r>
        <w:rPr>
          <w:spacing w:val="-3"/>
          <w:w w:val="105"/>
          <w:sz w:val="21"/>
        </w:rPr>
        <w:t>for </w:t>
      </w:r>
      <w:r>
        <w:rPr>
          <w:w w:val="105"/>
          <w:sz w:val="21"/>
        </w:rPr>
        <w:t>a </w:t>
      </w:r>
      <w:r>
        <w:rPr>
          <w:spacing w:val="-3"/>
          <w:w w:val="105"/>
          <w:sz w:val="21"/>
        </w:rPr>
        <w:t>remedy. </w:t>
      </w:r>
      <w:r>
        <w:rPr>
          <w:w w:val="105"/>
          <w:sz w:val="21"/>
        </w:rPr>
        <w:t>Recommended </w:t>
      </w:r>
      <w:r>
        <w:rPr>
          <w:spacing w:val="-3"/>
          <w:w w:val="105"/>
          <w:sz w:val="21"/>
        </w:rPr>
        <w:t>safeguards aim to  ensure minimal interruption to </w:t>
      </w:r>
      <w:r>
        <w:rPr>
          <w:w w:val="105"/>
          <w:sz w:val="21"/>
        </w:rPr>
        <w:t>established</w:t>
      </w:r>
      <w:r>
        <w:rPr>
          <w:spacing w:val="31"/>
          <w:w w:val="105"/>
          <w:sz w:val="21"/>
        </w:rPr>
        <w:t> </w:t>
      </w:r>
      <w:r>
        <w:rPr>
          <w:spacing w:val="-2"/>
          <w:w w:val="105"/>
          <w:sz w:val="21"/>
        </w:rPr>
        <w:t>policies.</w:t>
      </w:r>
    </w:p>
    <w:p>
      <w:pPr>
        <w:pStyle w:val="Heading7"/>
        <w:spacing w:before="159"/>
      </w:pPr>
      <w:r>
        <w:rPr>
          <w:color w:val="58595B"/>
          <w:w w:val="115"/>
        </w:rPr>
        <w:t>Local laws</w:t>
      </w:r>
    </w:p>
    <w:p>
      <w:pPr>
        <w:pStyle w:val="ListParagraph"/>
        <w:numPr>
          <w:ilvl w:val="0"/>
          <w:numId w:val="6"/>
        </w:numPr>
        <w:tabs>
          <w:tab w:pos="2381" w:val="left" w:leader="none"/>
          <w:tab w:pos="2382" w:val="left" w:leader="none"/>
        </w:tabs>
        <w:spacing w:line="242" w:lineRule="auto" w:before="143" w:after="0"/>
        <w:ind w:left="2381" w:right="1879" w:hanging="794"/>
        <w:jc w:val="both"/>
        <w:rPr>
          <w:sz w:val="21"/>
        </w:rPr>
      </w:pPr>
      <w:r>
        <w:rPr>
          <w:w w:val="105"/>
          <w:sz w:val="21"/>
        </w:rPr>
        <w:t>Local laws made under the </w:t>
      </w:r>
      <w:r>
        <w:rPr>
          <w:i/>
          <w:w w:val="105"/>
          <w:sz w:val="21"/>
        </w:rPr>
        <w:t>Local </w:t>
      </w:r>
      <w:r>
        <w:rPr>
          <w:i/>
          <w:spacing w:val="-3"/>
          <w:w w:val="105"/>
          <w:sz w:val="21"/>
        </w:rPr>
        <w:t>Government </w:t>
      </w:r>
      <w:r>
        <w:rPr>
          <w:i/>
          <w:w w:val="105"/>
          <w:sz w:val="21"/>
        </w:rPr>
        <w:t>Act </w:t>
      </w:r>
      <w:r>
        <w:rPr>
          <w:i/>
          <w:spacing w:val="-5"/>
          <w:w w:val="105"/>
          <w:sz w:val="21"/>
        </w:rPr>
        <w:t>1989 </w:t>
      </w:r>
      <w:r>
        <w:rPr>
          <w:w w:val="105"/>
          <w:sz w:val="21"/>
        </w:rPr>
        <w:t>(Vic) often protect </w:t>
      </w:r>
      <w:r>
        <w:rPr>
          <w:spacing w:val="-3"/>
          <w:w w:val="105"/>
          <w:sz w:val="21"/>
        </w:rPr>
        <w:t>‘significant’ </w:t>
      </w:r>
      <w:r>
        <w:rPr>
          <w:w w:val="105"/>
          <w:sz w:val="21"/>
        </w:rPr>
        <w:t>trees</w:t>
      </w:r>
      <w:r>
        <w:rPr>
          <w:spacing w:val="-7"/>
          <w:w w:val="105"/>
          <w:sz w:val="21"/>
        </w:rPr>
        <w:t> </w:t>
      </w:r>
      <w:r>
        <w:rPr>
          <w:w w:val="105"/>
          <w:sz w:val="21"/>
        </w:rPr>
        <w:t>and</w:t>
      </w:r>
      <w:r>
        <w:rPr>
          <w:spacing w:val="-7"/>
          <w:w w:val="105"/>
          <w:sz w:val="21"/>
        </w:rPr>
        <w:t> </w:t>
      </w:r>
      <w:r>
        <w:rPr>
          <w:spacing w:val="-3"/>
          <w:w w:val="105"/>
          <w:sz w:val="21"/>
        </w:rPr>
        <w:t>require</w:t>
      </w:r>
      <w:r>
        <w:rPr>
          <w:spacing w:val="-7"/>
          <w:w w:val="105"/>
          <w:sz w:val="21"/>
        </w:rPr>
        <w:t> </w:t>
      </w:r>
      <w:r>
        <w:rPr>
          <w:w w:val="105"/>
          <w:sz w:val="21"/>
        </w:rPr>
        <w:t>the</w:t>
      </w:r>
      <w:r>
        <w:rPr>
          <w:spacing w:val="-6"/>
          <w:w w:val="105"/>
          <w:sz w:val="21"/>
        </w:rPr>
        <w:t> </w:t>
      </w:r>
      <w:r>
        <w:rPr>
          <w:w w:val="105"/>
          <w:sz w:val="21"/>
        </w:rPr>
        <w:t>owner</w:t>
      </w:r>
      <w:r>
        <w:rPr>
          <w:spacing w:val="-7"/>
          <w:w w:val="105"/>
          <w:sz w:val="21"/>
        </w:rPr>
        <w:t> </w:t>
      </w:r>
      <w:r>
        <w:rPr>
          <w:spacing w:val="-3"/>
          <w:w w:val="105"/>
          <w:sz w:val="21"/>
        </w:rPr>
        <w:t>to</w:t>
      </w:r>
      <w:r>
        <w:rPr>
          <w:spacing w:val="-7"/>
          <w:w w:val="105"/>
          <w:sz w:val="21"/>
        </w:rPr>
        <w:t> </w:t>
      </w:r>
      <w:r>
        <w:rPr>
          <w:w w:val="105"/>
          <w:sz w:val="21"/>
        </w:rPr>
        <w:t>obtain</w:t>
      </w:r>
      <w:r>
        <w:rPr>
          <w:spacing w:val="-6"/>
          <w:w w:val="105"/>
          <w:sz w:val="21"/>
        </w:rPr>
        <w:t> </w:t>
      </w:r>
      <w:r>
        <w:rPr>
          <w:w w:val="105"/>
          <w:sz w:val="21"/>
        </w:rPr>
        <w:t>a</w:t>
      </w:r>
      <w:r>
        <w:rPr>
          <w:spacing w:val="-7"/>
          <w:w w:val="105"/>
          <w:sz w:val="21"/>
        </w:rPr>
        <w:t> </w:t>
      </w:r>
      <w:r>
        <w:rPr>
          <w:w w:val="105"/>
          <w:sz w:val="21"/>
        </w:rPr>
        <w:t>permit</w:t>
      </w:r>
      <w:r>
        <w:rPr>
          <w:spacing w:val="-7"/>
          <w:w w:val="105"/>
          <w:sz w:val="21"/>
        </w:rPr>
        <w:t> </w:t>
      </w:r>
      <w:r>
        <w:rPr>
          <w:spacing w:val="-3"/>
          <w:w w:val="105"/>
          <w:sz w:val="21"/>
        </w:rPr>
        <w:t>to</w:t>
      </w:r>
      <w:r>
        <w:rPr>
          <w:spacing w:val="-6"/>
          <w:w w:val="105"/>
          <w:sz w:val="21"/>
        </w:rPr>
        <w:t> </w:t>
      </w:r>
      <w:r>
        <w:rPr>
          <w:w w:val="105"/>
          <w:sz w:val="21"/>
        </w:rPr>
        <w:t>carry</w:t>
      </w:r>
      <w:r>
        <w:rPr>
          <w:spacing w:val="-7"/>
          <w:w w:val="105"/>
          <w:sz w:val="21"/>
        </w:rPr>
        <w:t> </w:t>
      </w:r>
      <w:r>
        <w:rPr>
          <w:w w:val="105"/>
          <w:sz w:val="21"/>
        </w:rPr>
        <w:t>out</w:t>
      </w:r>
      <w:r>
        <w:rPr>
          <w:spacing w:val="-7"/>
          <w:w w:val="105"/>
          <w:sz w:val="21"/>
        </w:rPr>
        <w:t> </w:t>
      </w:r>
      <w:r>
        <w:rPr>
          <w:w w:val="105"/>
          <w:sz w:val="21"/>
        </w:rPr>
        <w:t>works</w:t>
      </w:r>
      <w:r>
        <w:rPr>
          <w:spacing w:val="-6"/>
          <w:w w:val="105"/>
          <w:sz w:val="21"/>
        </w:rPr>
        <w:t> </w:t>
      </w:r>
      <w:r>
        <w:rPr>
          <w:spacing w:val="-3"/>
          <w:w w:val="105"/>
          <w:sz w:val="21"/>
        </w:rPr>
        <w:t>to</w:t>
      </w:r>
      <w:r>
        <w:rPr>
          <w:spacing w:val="-7"/>
          <w:w w:val="105"/>
          <w:sz w:val="21"/>
        </w:rPr>
        <w:t> </w:t>
      </w:r>
      <w:r>
        <w:rPr>
          <w:w w:val="105"/>
          <w:sz w:val="21"/>
        </w:rPr>
        <w:t>the</w:t>
      </w:r>
      <w:r>
        <w:rPr>
          <w:spacing w:val="-7"/>
          <w:w w:val="105"/>
          <w:sz w:val="21"/>
        </w:rPr>
        <w:t> </w:t>
      </w:r>
      <w:r>
        <w:rPr>
          <w:w w:val="105"/>
          <w:sz w:val="21"/>
        </w:rPr>
        <w:t>canopy</w:t>
      </w:r>
      <w:r>
        <w:rPr>
          <w:spacing w:val="-6"/>
          <w:w w:val="105"/>
          <w:sz w:val="21"/>
        </w:rPr>
        <w:t> </w:t>
      </w:r>
      <w:r>
        <w:rPr>
          <w:w w:val="105"/>
          <w:sz w:val="21"/>
        </w:rPr>
        <w:t>or</w:t>
      </w:r>
      <w:r>
        <w:rPr>
          <w:spacing w:val="-7"/>
          <w:w w:val="105"/>
          <w:sz w:val="21"/>
        </w:rPr>
        <w:t> </w:t>
      </w:r>
      <w:r>
        <w:rPr>
          <w:w w:val="105"/>
          <w:sz w:val="21"/>
        </w:rPr>
        <w:t>the root protection</w:t>
      </w:r>
      <w:r>
        <w:rPr>
          <w:spacing w:val="10"/>
          <w:w w:val="105"/>
          <w:sz w:val="21"/>
        </w:rPr>
        <w:t> </w:t>
      </w:r>
      <w:r>
        <w:rPr>
          <w:spacing w:val="-4"/>
          <w:w w:val="105"/>
          <w:sz w:val="21"/>
        </w:rPr>
        <w:t>zone.</w:t>
      </w:r>
    </w:p>
    <w:p>
      <w:pPr>
        <w:pStyle w:val="ListParagraph"/>
        <w:numPr>
          <w:ilvl w:val="0"/>
          <w:numId w:val="6"/>
        </w:numPr>
        <w:tabs>
          <w:tab w:pos="2381" w:val="left" w:leader="none"/>
          <w:tab w:pos="2382" w:val="left" w:leader="none"/>
        </w:tabs>
        <w:spacing w:line="242" w:lineRule="auto" w:before="123" w:after="0"/>
        <w:ind w:left="2381" w:right="1835" w:hanging="794"/>
        <w:jc w:val="left"/>
        <w:rPr>
          <w:sz w:val="21"/>
        </w:rPr>
      </w:pPr>
      <w:r>
        <w:rPr>
          <w:w w:val="105"/>
          <w:sz w:val="21"/>
        </w:rPr>
        <w:t>An affected </w:t>
      </w:r>
      <w:r>
        <w:rPr>
          <w:spacing w:val="-3"/>
          <w:w w:val="105"/>
          <w:sz w:val="21"/>
        </w:rPr>
        <w:t>neighbour </w:t>
      </w:r>
      <w:r>
        <w:rPr>
          <w:w w:val="105"/>
          <w:sz w:val="21"/>
        </w:rPr>
        <w:t>is often </w:t>
      </w:r>
      <w:r>
        <w:rPr>
          <w:spacing w:val="-3"/>
          <w:w w:val="105"/>
          <w:sz w:val="21"/>
        </w:rPr>
        <w:t>unable to </w:t>
      </w:r>
      <w:r>
        <w:rPr>
          <w:w w:val="105"/>
          <w:sz w:val="21"/>
        </w:rPr>
        <w:t>apply </w:t>
      </w:r>
      <w:r>
        <w:rPr>
          <w:spacing w:val="-3"/>
          <w:w w:val="105"/>
          <w:sz w:val="21"/>
        </w:rPr>
        <w:t>for </w:t>
      </w:r>
      <w:r>
        <w:rPr>
          <w:w w:val="105"/>
          <w:sz w:val="21"/>
        </w:rPr>
        <w:t>a permit </w:t>
      </w:r>
      <w:r>
        <w:rPr>
          <w:spacing w:val="-3"/>
          <w:w w:val="105"/>
          <w:sz w:val="21"/>
        </w:rPr>
        <w:t>to </w:t>
      </w:r>
      <w:r>
        <w:rPr>
          <w:w w:val="105"/>
          <w:sz w:val="21"/>
        </w:rPr>
        <w:t>conduct works on a protected tree because local laws </w:t>
      </w:r>
      <w:r>
        <w:rPr>
          <w:spacing w:val="-3"/>
          <w:w w:val="105"/>
          <w:sz w:val="21"/>
        </w:rPr>
        <w:t>generally </w:t>
      </w:r>
      <w:r>
        <w:rPr>
          <w:w w:val="105"/>
          <w:sz w:val="21"/>
        </w:rPr>
        <w:t>only </w:t>
      </w:r>
      <w:r>
        <w:rPr>
          <w:spacing w:val="-3"/>
          <w:w w:val="105"/>
          <w:sz w:val="21"/>
        </w:rPr>
        <w:t>allow </w:t>
      </w:r>
      <w:r>
        <w:rPr>
          <w:w w:val="105"/>
          <w:sz w:val="21"/>
        </w:rPr>
        <w:t>the tree owner (or someone with</w:t>
      </w:r>
      <w:r>
        <w:rPr>
          <w:spacing w:val="-11"/>
          <w:w w:val="105"/>
          <w:sz w:val="21"/>
        </w:rPr>
        <w:t> </w:t>
      </w:r>
      <w:r>
        <w:rPr>
          <w:w w:val="105"/>
          <w:sz w:val="21"/>
        </w:rPr>
        <w:t>their</w:t>
      </w:r>
      <w:r>
        <w:rPr>
          <w:spacing w:val="-11"/>
          <w:w w:val="105"/>
          <w:sz w:val="21"/>
        </w:rPr>
        <w:t> </w:t>
      </w:r>
      <w:r>
        <w:rPr>
          <w:w w:val="105"/>
          <w:sz w:val="21"/>
        </w:rPr>
        <w:t>written</w:t>
      </w:r>
      <w:r>
        <w:rPr>
          <w:spacing w:val="-11"/>
          <w:w w:val="105"/>
          <w:sz w:val="21"/>
        </w:rPr>
        <w:t> </w:t>
      </w:r>
      <w:r>
        <w:rPr>
          <w:w w:val="105"/>
          <w:sz w:val="21"/>
        </w:rPr>
        <w:t>permission)</w:t>
      </w:r>
      <w:r>
        <w:rPr>
          <w:spacing w:val="-11"/>
          <w:w w:val="105"/>
          <w:sz w:val="21"/>
        </w:rPr>
        <w:t> </w:t>
      </w:r>
      <w:r>
        <w:rPr>
          <w:spacing w:val="-3"/>
          <w:w w:val="105"/>
          <w:sz w:val="21"/>
        </w:rPr>
        <w:t>to</w:t>
      </w:r>
      <w:r>
        <w:rPr>
          <w:spacing w:val="-11"/>
          <w:w w:val="105"/>
          <w:sz w:val="21"/>
        </w:rPr>
        <w:t> </w:t>
      </w:r>
      <w:r>
        <w:rPr>
          <w:w w:val="105"/>
          <w:sz w:val="21"/>
        </w:rPr>
        <w:t>apply</w:t>
      </w:r>
      <w:r>
        <w:rPr>
          <w:spacing w:val="-11"/>
          <w:w w:val="105"/>
          <w:sz w:val="21"/>
        </w:rPr>
        <w:t> </w:t>
      </w:r>
      <w:r>
        <w:rPr>
          <w:spacing w:val="-3"/>
          <w:w w:val="105"/>
          <w:sz w:val="21"/>
        </w:rPr>
        <w:t>for</w:t>
      </w:r>
      <w:r>
        <w:rPr>
          <w:spacing w:val="-11"/>
          <w:w w:val="105"/>
          <w:sz w:val="21"/>
        </w:rPr>
        <w:t> </w:t>
      </w:r>
      <w:r>
        <w:rPr>
          <w:w w:val="105"/>
          <w:sz w:val="21"/>
        </w:rPr>
        <w:t>a</w:t>
      </w:r>
      <w:r>
        <w:rPr>
          <w:spacing w:val="-11"/>
          <w:w w:val="105"/>
          <w:sz w:val="21"/>
        </w:rPr>
        <w:t> </w:t>
      </w:r>
      <w:r>
        <w:rPr>
          <w:w w:val="105"/>
          <w:sz w:val="21"/>
        </w:rPr>
        <w:t>permit.</w:t>
      </w:r>
      <w:r>
        <w:rPr>
          <w:spacing w:val="-11"/>
          <w:w w:val="105"/>
          <w:sz w:val="21"/>
        </w:rPr>
        <w:t> </w:t>
      </w:r>
      <w:r>
        <w:rPr>
          <w:spacing w:val="-3"/>
          <w:w w:val="105"/>
          <w:sz w:val="21"/>
        </w:rPr>
        <w:t>Fulfilling</w:t>
      </w:r>
      <w:r>
        <w:rPr>
          <w:spacing w:val="-11"/>
          <w:w w:val="105"/>
          <w:sz w:val="21"/>
        </w:rPr>
        <w:t> </w:t>
      </w:r>
      <w:r>
        <w:rPr>
          <w:w w:val="105"/>
          <w:sz w:val="21"/>
        </w:rPr>
        <w:t>this</w:t>
      </w:r>
      <w:r>
        <w:rPr>
          <w:spacing w:val="-11"/>
          <w:w w:val="105"/>
          <w:sz w:val="21"/>
        </w:rPr>
        <w:t> </w:t>
      </w:r>
      <w:r>
        <w:rPr>
          <w:spacing w:val="-3"/>
          <w:w w:val="105"/>
          <w:sz w:val="21"/>
        </w:rPr>
        <w:t>requirement</w:t>
      </w:r>
      <w:r>
        <w:rPr>
          <w:spacing w:val="-11"/>
          <w:w w:val="105"/>
          <w:sz w:val="21"/>
        </w:rPr>
        <w:t> </w:t>
      </w:r>
      <w:r>
        <w:rPr>
          <w:w w:val="105"/>
          <w:sz w:val="21"/>
        </w:rPr>
        <w:t>would</w:t>
      </w:r>
      <w:r>
        <w:rPr>
          <w:spacing w:val="-11"/>
          <w:w w:val="105"/>
          <w:sz w:val="21"/>
        </w:rPr>
        <w:t> </w:t>
      </w:r>
      <w:r>
        <w:rPr>
          <w:w w:val="105"/>
          <w:sz w:val="21"/>
        </w:rPr>
        <w:t>be impractical and </w:t>
      </w:r>
      <w:r>
        <w:rPr>
          <w:spacing w:val="-3"/>
          <w:w w:val="105"/>
          <w:sz w:val="21"/>
        </w:rPr>
        <w:t>place </w:t>
      </w:r>
      <w:r>
        <w:rPr>
          <w:w w:val="105"/>
          <w:sz w:val="21"/>
        </w:rPr>
        <w:t>an </w:t>
      </w:r>
      <w:r>
        <w:rPr>
          <w:spacing w:val="-3"/>
          <w:w w:val="105"/>
          <w:sz w:val="21"/>
        </w:rPr>
        <w:t>unreasonable </w:t>
      </w:r>
      <w:r>
        <w:rPr>
          <w:w w:val="105"/>
          <w:sz w:val="21"/>
        </w:rPr>
        <w:t>burden on</w:t>
      </w:r>
      <w:r>
        <w:rPr>
          <w:spacing w:val="27"/>
          <w:w w:val="105"/>
          <w:sz w:val="21"/>
        </w:rPr>
        <w:t> </w:t>
      </w:r>
      <w:r>
        <w:rPr>
          <w:w w:val="105"/>
          <w:sz w:val="21"/>
        </w:rPr>
        <w:t>applicants.</w:t>
      </w:r>
    </w:p>
    <w:p>
      <w:pPr>
        <w:pStyle w:val="ListParagraph"/>
        <w:numPr>
          <w:ilvl w:val="0"/>
          <w:numId w:val="6"/>
        </w:numPr>
        <w:tabs>
          <w:tab w:pos="2380" w:val="left" w:leader="none"/>
          <w:tab w:pos="2381" w:val="left" w:leader="none"/>
        </w:tabs>
        <w:spacing w:line="242" w:lineRule="auto" w:before="125" w:after="0"/>
        <w:ind w:left="2381" w:right="1692" w:hanging="794"/>
        <w:jc w:val="left"/>
        <w:rPr>
          <w:sz w:val="21"/>
        </w:rPr>
      </w:pPr>
      <w:r>
        <w:rPr>
          <w:w w:val="105"/>
          <w:sz w:val="21"/>
        </w:rPr>
        <w:t>An order under the new Act should override local laws. </w:t>
      </w:r>
      <w:r>
        <w:rPr>
          <w:spacing w:val="-3"/>
          <w:w w:val="105"/>
          <w:sz w:val="21"/>
        </w:rPr>
        <w:t>Safeguards </w:t>
      </w:r>
      <w:r>
        <w:rPr>
          <w:w w:val="105"/>
          <w:sz w:val="21"/>
        </w:rPr>
        <w:t>should extend </w:t>
      </w:r>
      <w:r>
        <w:rPr>
          <w:spacing w:val="-3"/>
          <w:w w:val="105"/>
          <w:sz w:val="21"/>
        </w:rPr>
        <w:t>to </w:t>
      </w:r>
      <w:r>
        <w:rPr>
          <w:w w:val="105"/>
          <w:sz w:val="21"/>
        </w:rPr>
        <w:t>giving</w:t>
      </w:r>
      <w:r>
        <w:rPr>
          <w:spacing w:val="-6"/>
          <w:w w:val="105"/>
          <w:sz w:val="21"/>
        </w:rPr>
        <w:t> </w:t>
      </w:r>
      <w:r>
        <w:rPr>
          <w:spacing w:val="-3"/>
          <w:w w:val="105"/>
          <w:sz w:val="21"/>
        </w:rPr>
        <w:t>significant</w:t>
      </w:r>
      <w:r>
        <w:rPr>
          <w:spacing w:val="-5"/>
          <w:w w:val="105"/>
          <w:sz w:val="21"/>
        </w:rPr>
        <w:t> </w:t>
      </w:r>
      <w:r>
        <w:rPr>
          <w:spacing w:val="-3"/>
          <w:w w:val="105"/>
          <w:sz w:val="21"/>
        </w:rPr>
        <w:t>weight</w:t>
      </w:r>
      <w:r>
        <w:rPr>
          <w:spacing w:val="-5"/>
          <w:w w:val="105"/>
          <w:sz w:val="21"/>
        </w:rPr>
        <w:t> </w:t>
      </w:r>
      <w:r>
        <w:rPr>
          <w:w w:val="105"/>
          <w:sz w:val="21"/>
        </w:rPr>
        <w:t>in</w:t>
      </w:r>
      <w:r>
        <w:rPr>
          <w:spacing w:val="-6"/>
          <w:w w:val="105"/>
          <w:sz w:val="21"/>
        </w:rPr>
        <w:t> </w:t>
      </w:r>
      <w:r>
        <w:rPr>
          <w:w w:val="105"/>
          <w:sz w:val="21"/>
        </w:rPr>
        <w:t>the</w:t>
      </w:r>
      <w:r>
        <w:rPr>
          <w:spacing w:val="-5"/>
          <w:w w:val="105"/>
          <w:sz w:val="21"/>
        </w:rPr>
        <w:t> </w:t>
      </w:r>
      <w:r>
        <w:rPr>
          <w:w w:val="105"/>
          <w:sz w:val="21"/>
        </w:rPr>
        <w:t>decision-making</w:t>
      </w:r>
      <w:r>
        <w:rPr>
          <w:spacing w:val="-5"/>
          <w:w w:val="105"/>
          <w:sz w:val="21"/>
        </w:rPr>
        <w:t> </w:t>
      </w:r>
      <w:r>
        <w:rPr>
          <w:w w:val="105"/>
          <w:sz w:val="21"/>
        </w:rPr>
        <w:t>process</w:t>
      </w:r>
      <w:r>
        <w:rPr>
          <w:spacing w:val="-6"/>
          <w:w w:val="105"/>
          <w:sz w:val="21"/>
        </w:rPr>
        <w:t> </w:t>
      </w:r>
      <w:r>
        <w:rPr>
          <w:spacing w:val="-3"/>
          <w:w w:val="105"/>
          <w:sz w:val="21"/>
        </w:rPr>
        <w:t>to</w:t>
      </w:r>
      <w:r>
        <w:rPr>
          <w:spacing w:val="-5"/>
          <w:w w:val="105"/>
          <w:sz w:val="21"/>
        </w:rPr>
        <w:t> </w:t>
      </w:r>
      <w:r>
        <w:rPr>
          <w:w w:val="105"/>
          <w:sz w:val="21"/>
        </w:rPr>
        <w:t>local</w:t>
      </w:r>
      <w:r>
        <w:rPr>
          <w:spacing w:val="-5"/>
          <w:w w:val="105"/>
          <w:sz w:val="21"/>
        </w:rPr>
        <w:t> </w:t>
      </w:r>
      <w:r>
        <w:rPr>
          <w:w w:val="105"/>
          <w:sz w:val="21"/>
        </w:rPr>
        <w:t>laws</w:t>
      </w:r>
      <w:r>
        <w:rPr>
          <w:spacing w:val="-6"/>
          <w:w w:val="105"/>
          <w:sz w:val="21"/>
        </w:rPr>
        <w:t> </w:t>
      </w:r>
      <w:r>
        <w:rPr>
          <w:w w:val="105"/>
          <w:sz w:val="21"/>
        </w:rPr>
        <w:t>and</w:t>
      </w:r>
      <w:r>
        <w:rPr>
          <w:spacing w:val="-5"/>
          <w:w w:val="105"/>
          <w:sz w:val="21"/>
        </w:rPr>
        <w:t> </w:t>
      </w:r>
      <w:r>
        <w:rPr>
          <w:w w:val="105"/>
          <w:sz w:val="21"/>
        </w:rPr>
        <w:t>policies</w:t>
      </w:r>
      <w:r>
        <w:rPr>
          <w:spacing w:val="-5"/>
          <w:w w:val="105"/>
          <w:sz w:val="21"/>
        </w:rPr>
        <w:t> </w:t>
      </w:r>
      <w:r>
        <w:rPr>
          <w:spacing w:val="-3"/>
          <w:w w:val="105"/>
          <w:sz w:val="21"/>
        </w:rPr>
        <w:t>already </w:t>
      </w:r>
      <w:r>
        <w:rPr>
          <w:w w:val="105"/>
          <w:sz w:val="21"/>
        </w:rPr>
        <w:t>in</w:t>
      </w:r>
      <w:r>
        <w:rPr>
          <w:spacing w:val="5"/>
          <w:w w:val="105"/>
          <w:sz w:val="21"/>
        </w:rPr>
        <w:t> </w:t>
      </w:r>
      <w:r>
        <w:rPr>
          <w:spacing w:val="-3"/>
          <w:w w:val="105"/>
          <w:sz w:val="21"/>
        </w:rPr>
        <w:t>place.</w:t>
      </w:r>
    </w:p>
    <w:p>
      <w:pPr>
        <w:pStyle w:val="Heading7"/>
        <w:spacing w:before="153"/>
      </w:pPr>
      <w:r>
        <w:rPr>
          <w:color w:val="58595B"/>
          <w:w w:val="115"/>
        </w:rPr>
        <w:t>The Heritage Act</w:t>
      </w:r>
    </w:p>
    <w:p>
      <w:pPr>
        <w:pStyle w:val="ListParagraph"/>
        <w:numPr>
          <w:ilvl w:val="0"/>
          <w:numId w:val="6"/>
        </w:numPr>
        <w:tabs>
          <w:tab w:pos="2380" w:val="left" w:leader="none"/>
          <w:tab w:pos="2381" w:val="left" w:leader="none"/>
        </w:tabs>
        <w:spacing w:line="242" w:lineRule="auto" w:before="143" w:after="0"/>
        <w:ind w:left="2381" w:right="1599" w:hanging="794"/>
        <w:jc w:val="left"/>
        <w:rPr>
          <w:sz w:val="21"/>
        </w:rPr>
      </w:pPr>
      <w:r>
        <w:rPr>
          <w:spacing w:val="-4"/>
          <w:sz w:val="21"/>
        </w:rPr>
        <w:t>Generally, </w:t>
      </w:r>
      <w:r>
        <w:rPr>
          <w:sz w:val="21"/>
        </w:rPr>
        <w:t>a permit or permit exemption is </w:t>
      </w:r>
      <w:r>
        <w:rPr>
          <w:spacing w:val="-3"/>
          <w:sz w:val="21"/>
        </w:rPr>
        <w:t>required to </w:t>
      </w:r>
      <w:r>
        <w:rPr>
          <w:sz w:val="21"/>
        </w:rPr>
        <w:t>carry out works </w:t>
      </w:r>
      <w:r>
        <w:rPr>
          <w:spacing w:val="-3"/>
          <w:sz w:val="21"/>
        </w:rPr>
        <w:t>to  </w:t>
      </w:r>
      <w:r>
        <w:rPr>
          <w:sz w:val="21"/>
        </w:rPr>
        <w:t>heritage-listed trees or heritage-listed </w:t>
      </w:r>
      <w:r>
        <w:rPr>
          <w:spacing w:val="-2"/>
          <w:sz w:val="21"/>
        </w:rPr>
        <w:t>places </w:t>
      </w:r>
      <w:r>
        <w:rPr>
          <w:spacing w:val="-3"/>
          <w:sz w:val="21"/>
        </w:rPr>
        <w:t>containing </w:t>
      </w:r>
      <w:r>
        <w:rPr>
          <w:sz w:val="21"/>
        </w:rPr>
        <w:t>trees under the </w:t>
      </w:r>
      <w:r>
        <w:rPr>
          <w:i/>
          <w:sz w:val="21"/>
        </w:rPr>
        <w:t>Heritage Act </w:t>
      </w:r>
      <w:r>
        <w:rPr>
          <w:i/>
          <w:spacing w:val="-10"/>
          <w:sz w:val="21"/>
        </w:rPr>
        <w:t>2017 </w:t>
      </w:r>
      <w:r>
        <w:rPr>
          <w:sz w:val="21"/>
        </w:rPr>
        <w:t>(Vic). Heritage laws </w:t>
      </w:r>
      <w:r>
        <w:rPr>
          <w:spacing w:val="-3"/>
          <w:sz w:val="21"/>
        </w:rPr>
        <w:t>will  </w:t>
      </w:r>
      <w:r>
        <w:rPr>
          <w:sz w:val="21"/>
        </w:rPr>
        <w:t>only </w:t>
      </w:r>
      <w:r>
        <w:rPr>
          <w:spacing w:val="-3"/>
          <w:sz w:val="21"/>
        </w:rPr>
        <w:t>allow</w:t>
      </w:r>
      <w:r>
        <w:rPr>
          <w:spacing w:val="41"/>
          <w:sz w:val="21"/>
        </w:rPr>
        <w:t> </w:t>
      </w:r>
      <w:r>
        <w:rPr>
          <w:sz w:val="21"/>
        </w:rPr>
        <w:t>the owner of a tree (or someone with their written permission) </w:t>
      </w:r>
      <w:r>
        <w:rPr>
          <w:spacing w:val="-3"/>
          <w:sz w:val="21"/>
        </w:rPr>
        <w:t>to   </w:t>
      </w:r>
      <w:r>
        <w:rPr>
          <w:sz w:val="21"/>
        </w:rPr>
        <w:t>apply </w:t>
      </w:r>
      <w:r>
        <w:rPr>
          <w:spacing w:val="-3"/>
          <w:sz w:val="21"/>
        </w:rPr>
        <w:t>for </w:t>
      </w:r>
      <w:r>
        <w:rPr>
          <w:sz w:val="21"/>
        </w:rPr>
        <w:t>a permit or </w:t>
      </w:r>
      <w:r>
        <w:rPr>
          <w:spacing w:val="-3"/>
          <w:sz w:val="21"/>
        </w:rPr>
        <w:t>exemption. </w:t>
      </w:r>
      <w:r>
        <w:rPr>
          <w:sz w:val="21"/>
        </w:rPr>
        <w:t>An affected </w:t>
      </w:r>
      <w:r>
        <w:rPr>
          <w:spacing w:val="-3"/>
          <w:sz w:val="21"/>
        </w:rPr>
        <w:t>neighbour may </w:t>
      </w:r>
      <w:r>
        <w:rPr>
          <w:sz w:val="21"/>
        </w:rPr>
        <w:t>be </w:t>
      </w:r>
      <w:r>
        <w:rPr>
          <w:spacing w:val="-3"/>
          <w:sz w:val="21"/>
        </w:rPr>
        <w:t>unable to </w:t>
      </w:r>
      <w:r>
        <w:rPr>
          <w:sz w:val="21"/>
        </w:rPr>
        <w:t>resolve their </w:t>
      </w:r>
      <w:r>
        <w:rPr>
          <w:spacing w:val="-3"/>
          <w:sz w:val="21"/>
        </w:rPr>
        <w:t>dispute </w:t>
      </w:r>
      <w:r>
        <w:rPr>
          <w:sz w:val="21"/>
        </w:rPr>
        <w:t>if the tree is</w:t>
      </w:r>
      <w:r>
        <w:rPr>
          <w:spacing w:val="44"/>
          <w:sz w:val="21"/>
        </w:rPr>
        <w:t> </w:t>
      </w:r>
      <w:r>
        <w:rPr>
          <w:sz w:val="21"/>
        </w:rPr>
        <w:t>heritage-listed.</w:t>
      </w:r>
    </w:p>
    <w:p>
      <w:pPr>
        <w:pStyle w:val="ListParagraph"/>
        <w:numPr>
          <w:ilvl w:val="0"/>
          <w:numId w:val="6"/>
        </w:numPr>
        <w:tabs>
          <w:tab w:pos="2380" w:val="left" w:leader="none"/>
          <w:tab w:pos="2381" w:val="left" w:leader="none"/>
        </w:tabs>
        <w:spacing w:line="242" w:lineRule="auto" w:before="126" w:after="0"/>
        <w:ind w:left="2381" w:right="1785" w:hanging="794"/>
        <w:jc w:val="left"/>
        <w:rPr>
          <w:sz w:val="21"/>
        </w:rPr>
      </w:pPr>
      <w:r>
        <w:rPr>
          <w:sz w:val="21"/>
        </w:rPr>
        <w:t>The </w:t>
      </w:r>
      <w:r>
        <w:rPr>
          <w:spacing w:val="-3"/>
          <w:sz w:val="21"/>
        </w:rPr>
        <w:t>Commission recommends amending </w:t>
      </w:r>
      <w:r>
        <w:rPr>
          <w:sz w:val="21"/>
        </w:rPr>
        <w:t>the Heritage Act </w:t>
      </w:r>
      <w:r>
        <w:rPr>
          <w:spacing w:val="-3"/>
          <w:sz w:val="21"/>
        </w:rPr>
        <w:t>to </w:t>
      </w:r>
      <w:r>
        <w:rPr>
          <w:sz w:val="21"/>
        </w:rPr>
        <w:t>provide </w:t>
      </w:r>
      <w:r>
        <w:rPr>
          <w:spacing w:val="-3"/>
          <w:sz w:val="21"/>
        </w:rPr>
        <w:t>that  </w:t>
      </w:r>
      <w:r>
        <w:rPr>
          <w:sz w:val="21"/>
        </w:rPr>
        <w:t>it is subject </w:t>
      </w:r>
      <w:r>
        <w:rPr>
          <w:spacing w:val="-3"/>
          <w:sz w:val="21"/>
        </w:rPr>
        <w:t>to  any  </w:t>
      </w:r>
      <w:r>
        <w:rPr>
          <w:sz w:val="21"/>
        </w:rPr>
        <w:t>order made </w:t>
      </w:r>
      <w:r>
        <w:rPr>
          <w:spacing w:val="-3"/>
          <w:sz w:val="21"/>
        </w:rPr>
        <w:t>pursuant</w:t>
      </w:r>
      <w:r>
        <w:rPr>
          <w:spacing w:val="41"/>
          <w:sz w:val="21"/>
        </w:rPr>
        <w:t> </w:t>
      </w:r>
      <w:r>
        <w:rPr>
          <w:spacing w:val="-3"/>
          <w:sz w:val="21"/>
        </w:rPr>
        <w:t>to  </w:t>
      </w:r>
      <w:r>
        <w:rPr>
          <w:sz w:val="21"/>
        </w:rPr>
        <w:t>the new Act where the tree </w:t>
      </w:r>
      <w:r>
        <w:rPr>
          <w:spacing w:val="-2"/>
          <w:sz w:val="21"/>
        </w:rPr>
        <w:t>has  </w:t>
      </w:r>
      <w:r>
        <w:rPr>
          <w:sz w:val="21"/>
        </w:rPr>
        <w:t>been assessed as </w:t>
      </w:r>
      <w:r>
        <w:rPr>
          <w:spacing w:val="-3"/>
          <w:sz w:val="21"/>
        </w:rPr>
        <w:t>posing     </w:t>
      </w:r>
      <w:r>
        <w:rPr>
          <w:sz w:val="21"/>
        </w:rPr>
        <w:t>an </w:t>
      </w:r>
      <w:r>
        <w:rPr>
          <w:spacing w:val="-3"/>
          <w:sz w:val="21"/>
        </w:rPr>
        <w:t>imminent </w:t>
      </w:r>
      <w:r>
        <w:rPr>
          <w:sz w:val="21"/>
        </w:rPr>
        <w:t>danger </w:t>
      </w:r>
      <w:r>
        <w:rPr>
          <w:spacing w:val="-3"/>
          <w:sz w:val="21"/>
        </w:rPr>
        <w:t>to life </w:t>
      </w:r>
      <w:r>
        <w:rPr>
          <w:sz w:val="21"/>
        </w:rPr>
        <w:t>or property. Because heritage-listed trees </w:t>
      </w:r>
      <w:r>
        <w:rPr>
          <w:spacing w:val="-3"/>
          <w:sz w:val="21"/>
        </w:rPr>
        <w:t>are </w:t>
      </w:r>
      <w:r>
        <w:rPr>
          <w:sz w:val="21"/>
        </w:rPr>
        <w:t>important</w:t>
      </w:r>
      <w:r>
        <w:rPr>
          <w:spacing w:val="3"/>
          <w:sz w:val="21"/>
        </w:rPr>
        <w:t> </w:t>
      </w:r>
      <w:r>
        <w:rPr>
          <w:spacing w:val="-3"/>
          <w:sz w:val="21"/>
        </w:rPr>
        <w:t>to</w:t>
      </w:r>
    </w:p>
    <w:p>
      <w:pPr>
        <w:pStyle w:val="BodyText"/>
        <w:spacing w:line="242" w:lineRule="auto" w:before="3"/>
        <w:ind w:left="2380" w:right="1617"/>
      </w:pPr>
      <w:r>
        <w:rPr>
          <w:w w:val="105"/>
        </w:rPr>
        <w:t>Victoria, the </w:t>
      </w:r>
      <w:r>
        <w:rPr>
          <w:spacing w:val="-3"/>
          <w:w w:val="105"/>
        </w:rPr>
        <w:t>Commission recommends interfering </w:t>
      </w:r>
      <w:r>
        <w:rPr>
          <w:w w:val="105"/>
        </w:rPr>
        <w:t>with existing laws only in emergencies. </w:t>
      </w:r>
      <w:r>
        <w:rPr>
          <w:spacing w:val="-5"/>
          <w:w w:val="105"/>
        </w:rPr>
        <w:t>VCAT </w:t>
      </w:r>
      <w:r>
        <w:rPr>
          <w:w w:val="105"/>
        </w:rPr>
        <w:t>would need </w:t>
      </w:r>
      <w:r>
        <w:rPr>
          <w:spacing w:val="-3"/>
          <w:w w:val="105"/>
        </w:rPr>
        <w:t>to consider </w:t>
      </w:r>
      <w:r>
        <w:rPr>
          <w:w w:val="105"/>
        </w:rPr>
        <w:t>the factors Heritage Victoria would </w:t>
      </w:r>
      <w:r>
        <w:rPr>
          <w:spacing w:val="-3"/>
          <w:w w:val="105"/>
        </w:rPr>
        <w:t>have </w:t>
      </w:r>
      <w:r>
        <w:rPr>
          <w:w w:val="105"/>
        </w:rPr>
        <w:t>addressed in a permit </w:t>
      </w:r>
      <w:r>
        <w:rPr>
          <w:spacing w:val="-3"/>
          <w:w w:val="105"/>
        </w:rPr>
        <w:t>decision, </w:t>
      </w:r>
      <w:r>
        <w:rPr>
          <w:w w:val="105"/>
        </w:rPr>
        <w:t>and </w:t>
      </w:r>
      <w:r>
        <w:rPr>
          <w:spacing w:val="-3"/>
          <w:w w:val="105"/>
        </w:rPr>
        <w:t>any replanting requirements to maintain </w:t>
      </w:r>
      <w:r>
        <w:rPr>
          <w:w w:val="105"/>
        </w:rPr>
        <w:t>the heritage </w:t>
      </w:r>
      <w:r>
        <w:rPr>
          <w:spacing w:val="-3"/>
          <w:w w:val="105"/>
        </w:rPr>
        <w:t>value </w:t>
      </w:r>
      <w:r>
        <w:rPr>
          <w:w w:val="105"/>
        </w:rPr>
        <w:t>of the </w:t>
      </w:r>
      <w:r>
        <w:rPr>
          <w:spacing w:val="-3"/>
          <w:w w:val="105"/>
        </w:rPr>
        <w:t>landscape.</w:t>
      </w:r>
    </w:p>
    <w:p>
      <w:pPr>
        <w:pStyle w:val="BodyText"/>
        <w:rPr>
          <w:sz w:val="20"/>
        </w:rPr>
      </w:pPr>
    </w:p>
    <w:p>
      <w:pPr>
        <w:spacing w:before="228"/>
        <w:ind w:left="720" w:right="0" w:firstLine="0"/>
        <w:jc w:val="left"/>
        <w:rPr>
          <w:b/>
          <w:sz w:val="24"/>
        </w:rPr>
      </w:pPr>
      <w:r>
        <w:rPr>
          <w:b/>
          <w:color w:val="658464"/>
          <w:w w:val="120"/>
          <w:sz w:val="24"/>
        </w:rPr>
        <w:t>xx</w:t>
      </w:r>
    </w:p>
    <w:p>
      <w:pPr>
        <w:spacing w:after="0"/>
        <w:jc w:val="left"/>
        <w:rPr>
          <w:sz w:val="24"/>
        </w:rPr>
        <w:sectPr>
          <w:pgSz w:w="11910" w:h="16840"/>
          <w:pgMar w:header="546" w:footer="0" w:top="1560" w:bottom="280" w:left="0" w:right="0"/>
        </w:sectPr>
      </w:pPr>
    </w:p>
    <w:p>
      <w:pPr>
        <w:pStyle w:val="BodyText"/>
        <w:spacing w:before="2"/>
        <w:rPr>
          <w:b/>
          <w:sz w:val="22"/>
        </w:rPr>
      </w:pPr>
    </w:p>
    <w:p>
      <w:pPr>
        <w:pStyle w:val="Heading7"/>
        <w:spacing w:before="97"/>
      </w:pPr>
      <w:bookmarkStart w:name="Recommendations" w:id="14"/>
      <w:bookmarkEnd w:id="14"/>
      <w:r>
        <w:rPr/>
      </w:r>
      <w:r>
        <w:rPr>
          <w:color w:val="58595B"/>
          <w:w w:val="115"/>
        </w:rPr>
        <w:t>The Aboriginal Heritage Act</w:t>
      </w:r>
    </w:p>
    <w:p>
      <w:pPr>
        <w:pStyle w:val="ListParagraph"/>
        <w:numPr>
          <w:ilvl w:val="0"/>
          <w:numId w:val="6"/>
        </w:numPr>
        <w:tabs>
          <w:tab w:pos="2381" w:val="left" w:leader="none"/>
          <w:tab w:pos="2382" w:val="left" w:leader="none"/>
        </w:tabs>
        <w:spacing w:line="242" w:lineRule="auto" w:before="142" w:after="0"/>
        <w:ind w:left="2381" w:right="1654" w:hanging="794"/>
        <w:jc w:val="left"/>
        <w:rPr>
          <w:sz w:val="21"/>
        </w:rPr>
      </w:pPr>
      <w:r>
        <w:rPr>
          <w:w w:val="105"/>
          <w:sz w:val="21"/>
        </w:rPr>
        <w:t>The </w:t>
      </w:r>
      <w:r>
        <w:rPr>
          <w:i/>
          <w:w w:val="105"/>
          <w:sz w:val="21"/>
        </w:rPr>
        <w:t>Aboriginal Heritage Act 2006 </w:t>
      </w:r>
      <w:r>
        <w:rPr>
          <w:w w:val="105"/>
          <w:sz w:val="21"/>
        </w:rPr>
        <w:t>(Vic) </w:t>
      </w:r>
      <w:r>
        <w:rPr>
          <w:spacing w:val="-3"/>
          <w:w w:val="105"/>
          <w:sz w:val="21"/>
        </w:rPr>
        <w:t>aims to </w:t>
      </w:r>
      <w:r>
        <w:rPr>
          <w:w w:val="105"/>
          <w:sz w:val="21"/>
        </w:rPr>
        <w:t>protect </w:t>
      </w:r>
      <w:r>
        <w:rPr>
          <w:spacing w:val="-3"/>
          <w:w w:val="105"/>
          <w:sz w:val="21"/>
        </w:rPr>
        <w:t>Aboriginal cultural heritage. </w:t>
      </w:r>
      <w:r>
        <w:rPr>
          <w:w w:val="105"/>
          <w:sz w:val="21"/>
        </w:rPr>
        <w:t>The Act </w:t>
      </w:r>
      <w:r>
        <w:rPr>
          <w:spacing w:val="-3"/>
          <w:w w:val="105"/>
          <w:sz w:val="21"/>
        </w:rPr>
        <w:t>requires </w:t>
      </w:r>
      <w:r>
        <w:rPr>
          <w:w w:val="105"/>
          <w:sz w:val="21"/>
        </w:rPr>
        <w:t>a permit or a permit exemption </w:t>
      </w:r>
      <w:r>
        <w:rPr>
          <w:spacing w:val="-3"/>
          <w:w w:val="105"/>
          <w:sz w:val="21"/>
        </w:rPr>
        <w:t>to </w:t>
      </w:r>
      <w:r>
        <w:rPr>
          <w:w w:val="105"/>
          <w:sz w:val="21"/>
        </w:rPr>
        <w:t>carry out works </w:t>
      </w:r>
      <w:r>
        <w:rPr>
          <w:spacing w:val="-3"/>
          <w:w w:val="105"/>
          <w:sz w:val="21"/>
        </w:rPr>
        <w:t>to </w:t>
      </w:r>
      <w:r>
        <w:rPr>
          <w:w w:val="105"/>
          <w:sz w:val="21"/>
        </w:rPr>
        <w:t>protected vegetation, </w:t>
      </w:r>
      <w:r>
        <w:rPr>
          <w:spacing w:val="-3"/>
          <w:w w:val="105"/>
          <w:sz w:val="21"/>
        </w:rPr>
        <w:t>for</w:t>
      </w:r>
      <w:r>
        <w:rPr>
          <w:spacing w:val="-7"/>
          <w:w w:val="105"/>
          <w:sz w:val="21"/>
        </w:rPr>
        <w:t> </w:t>
      </w:r>
      <w:r>
        <w:rPr>
          <w:w w:val="105"/>
          <w:sz w:val="21"/>
        </w:rPr>
        <w:t>example</w:t>
      </w:r>
      <w:r>
        <w:rPr>
          <w:spacing w:val="-6"/>
          <w:w w:val="105"/>
          <w:sz w:val="21"/>
        </w:rPr>
        <w:t> </w:t>
      </w:r>
      <w:r>
        <w:rPr>
          <w:w w:val="105"/>
          <w:sz w:val="21"/>
        </w:rPr>
        <w:t>an</w:t>
      </w:r>
      <w:r>
        <w:rPr>
          <w:spacing w:val="-6"/>
          <w:w w:val="105"/>
          <w:sz w:val="21"/>
        </w:rPr>
        <w:t> </w:t>
      </w:r>
      <w:r>
        <w:rPr>
          <w:spacing w:val="-3"/>
          <w:w w:val="105"/>
          <w:sz w:val="21"/>
        </w:rPr>
        <w:t>Aboriginal</w:t>
      </w:r>
      <w:r>
        <w:rPr>
          <w:spacing w:val="-7"/>
          <w:w w:val="105"/>
          <w:sz w:val="21"/>
        </w:rPr>
        <w:t> </w:t>
      </w:r>
      <w:r>
        <w:rPr>
          <w:w w:val="105"/>
          <w:sz w:val="21"/>
        </w:rPr>
        <w:t>scarred</w:t>
      </w:r>
      <w:r>
        <w:rPr>
          <w:spacing w:val="-6"/>
          <w:w w:val="105"/>
          <w:sz w:val="21"/>
        </w:rPr>
        <w:t> </w:t>
      </w:r>
      <w:r>
        <w:rPr>
          <w:spacing w:val="-3"/>
          <w:w w:val="105"/>
          <w:sz w:val="21"/>
        </w:rPr>
        <w:t>tree.</w:t>
      </w:r>
      <w:r>
        <w:rPr>
          <w:spacing w:val="-6"/>
          <w:w w:val="105"/>
          <w:sz w:val="21"/>
        </w:rPr>
        <w:t> </w:t>
      </w:r>
      <w:r>
        <w:rPr>
          <w:w w:val="105"/>
          <w:sz w:val="21"/>
        </w:rPr>
        <w:t>Because</w:t>
      </w:r>
      <w:r>
        <w:rPr>
          <w:spacing w:val="-7"/>
          <w:w w:val="105"/>
          <w:sz w:val="21"/>
        </w:rPr>
        <w:t> </w:t>
      </w:r>
      <w:r>
        <w:rPr>
          <w:w w:val="105"/>
          <w:sz w:val="21"/>
        </w:rPr>
        <w:t>ownership</w:t>
      </w:r>
      <w:r>
        <w:rPr>
          <w:spacing w:val="-6"/>
          <w:w w:val="105"/>
          <w:sz w:val="21"/>
        </w:rPr>
        <w:t> </w:t>
      </w:r>
      <w:r>
        <w:rPr>
          <w:w w:val="105"/>
          <w:sz w:val="21"/>
        </w:rPr>
        <w:t>of</w:t>
      </w:r>
      <w:r>
        <w:rPr>
          <w:spacing w:val="-6"/>
          <w:w w:val="105"/>
          <w:sz w:val="21"/>
        </w:rPr>
        <w:t> </w:t>
      </w:r>
      <w:r>
        <w:rPr>
          <w:spacing w:val="-3"/>
          <w:w w:val="105"/>
          <w:sz w:val="21"/>
        </w:rPr>
        <w:t>Aboriginal</w:t>
      </w:r>
      <w:r>
        <w:rPr>
          <w:spacing w:val="-7"/>
          <w:w w:val="105"/>
          <w:sz w:val="21"/>
        </w:rPr>
        <w:t> </w:t>
      </w:r>
      <w:r>
        <w:rPr>
          <w:spacing w:val="-3"/>
          <w:w w:val="105"/>
          <w:sz w:val="21"/>
        </w:rPr>
        <w:t>cultural</w:t>
      </w:r>
      <w:r>
        <w:rPr>
          <w:spacing w:val="-6"/>
          <w:w w:val="105"/>
          <w:sz w:val="21"/>
        </w:rPr>
        <w:t> </w:t>
      </w:r>
      <w:r>
        <w:rPr>
          <w:w w:val="105"/>
          <w:sz w:val="21"/>
        </w:rPr>
        <w:t>heritage is </w:t>
      </w:r>
      <w:r>
        <w:rPr>
          <w:spacing w:val="-3"/>
          <w:w w:val="105"/>
          <w:sz w:val="21"/>
        </w:rPr>
        <w:t>determined </w:t>
      </w:r>
      <w:r>
        <w:rPr>
          <w:w w:val="105"/>
          <w:sz w:val="21"/>
        </w:rPr>
        <w:t>by </w:t>
      </w:r>
      <w:r>
        <w:rPr>
          <w:spacing w:val="-3"/>
          <w:w w:val="105"/>
          <w:sz w:val="21"/>
        </w:rPr>
        <w:t>traditional </w:t>
      </w:r>
      <w:r>
        <w:rPr>
          <w:w w:val="105"/>
          <w:sz w:val="21"/>
        </w:rPr>
        <w:t>owners, the Act does </w:t>
      </w:r>
      <w:r>
        <w:rPr>
          <w:spacing w:val="-2"/>
          <w:w w:val="105"/>
          <w:sz w:val="21"/>
        </w:rPr>
        <w:t>not </w:t>
      </w:r>
      <w:r>
        <w:rPr>
          <w:spacing w:val="-3"/>
          <w:w w:val="105"/>
          <w:sz w:val="21"/>
        </w:rPr>
        <w:t>limit </w:t>
      </w:r>
      <w:r>
        <w:rPr>
          <w:w w:val="105"/>
          <w:sz w:val="21"/>
        </w:rPr>
        <w:t>those who </w:t>
      </w:r>
      <w:r>
        <w:rPr>
          <w:spacing w:val="-3"/>
          <w:w w:val="105"/>
          <w:sz w:val="21"/>
        </w:rPr>
        <w:t>may </w:t>
      </w:r>
      <w:r>
        <w:rPr>
          <w:w w:val="105"/>
          <w:sz w:val="21"/>
        </w:rPr>
        <w:t>apply </w:t>
      </w:r>
      <w:r>
        <w:rPr>
          <w:spacing w:val="-3"/>
          <w:w w:val="105"/>
          <w:sz w:val="21"/>
        </w:rPr>
        <w:t>for </w:t>
      </w:r>
      <w:r>
        <w:rPr>
          <w:w w:val="105"/>
          <w:sz w:val="21"/>
        </w:rPr>
        <w:t>a permit</w:t>
      </w:r>
      <w:r>
        <w:rPr>
          <w:spacing w:val="-7"/>
          <w:w w:val="105"/>
          <w:sz w:val="21"/>
        </w:rPr>
        <w:t> </w:t>
      </w:r>
      <w:r>
        <w:rPr>
          <w:w w:val="105"/>
          <w:sz w:val="21"/>
        </w:rPr>
        <w:t>or</w:t>
      </w:r>
      <w:r>
        <w:rPr>
          <w:spacing w:val="-7"/>
          <w:w w:val="105"/>
          <w:sz w:val="21"/>
        </w:rPr>
        <w:t> </w:t>
      </w:r>
      <w:r>
        <w:rPr>
          <w:spacing w:val="-3"/>
          <w:w w:val="105"/>
          <w:sz w:val="21"/>
        </w:rPr>
        <w:t>exemption.</w:t>
      </w:r>
      <w:r>
        <w:rPr>
          <w:spacing w:val="-7"/>
          <w:w w:val="105"/>
          <w:sz w:val="21"/>
        </w:rPr>
        <w:t> </w:t>
      </w:r>
      <w:r>
        <w:rPr>
          <w:w w:val="105"/>
          <w:sz w:val="21"/>
        </w:rPr>
        <w:t>The</w:t>
      </w:r>
      <w:r>
        <w:rPr>
          <w:spacing w:val="-7"/>
          <w:w w:val="105"/>
          <w:sz w:val="21"/>
        </w:rPr>
        <w:t> </w:t>
      </w:r>
      <w:r>
        <w:rPr>
          <w:spacing w:val="-3"/>
          <w:w w:val="105"/>
          <w:sz w:val="21"/>
        </w:rPr>
        <w:t>Commission</w:t>
      </w:r>
      <w:r>
        <w:rPr>
          <w:spacing w:val="-6"/>
          <w:w w:val="105"/>
          <w:sz w:val="21"/>
        </w:rPr>
        <w:t> </w:t>
      </w:r>
      <w:r>
        <w:rPr>
          <w:spacing w:val="-3"/>
          <w:w w:val="105"/>
          <w:sz w:val="21"/>
        </w:rPr>
        <w:t>concludes</w:t>
      </w:r>
      <w:r>
        <w:rPr>
          <w:spacing w:val="-7"/>
          <w:w w:val="105"/>
          <w:sz w:val="21"/>
        </w:rPr>
        <w:t> </w:t>
      </w:r>
      <w:r>
        <w:rPr>
          <w:spacing w:val="-3"/>
          <w:w w:val="105"/>
          <w:sz w:val="21"/>
        </w:rPr>
        <w:t>that</w:t>
      </w:r>
      <w:r>
        <w:rPr>
          <w:spacing w:val="-7"/>
          <w:w w:val="105"/>
          <w:sz w:val="21"/>
        </w:rPr>
        <w:t> </w:t>
      </w:r>
      <w:r>
        <w:rPr>
          <w:w w:val="105"/>
          <w:sz w:val="21"/>
        </w:rPr>
        <w:t>decisions</w:t>
      </w:r>
      <w:r>
        <w:rPr>
          <w:spacing w:val="-7"/>
          <w:w w:val="105"/>
          <w:sz w:val="21"/>
        </w:rPr>
        <w:t> </w:t>
      </w:r>
      <w:r>
        <w:rPr>
          <w:w w:val="105"/>
          <w:sz w:val="21"/>
        </w:rPr>
        <w:t>about</w:t>
      </w:r>
      <w:r>
        <w:rPr>
          <w:spacing w:val="-7"/>
          <w:w w:val="105"/>
          <w:sz w:val="21"/>
        </w:rPr>
        <w:t> </w:t>
      </w:r>
      <w:r>
        <w:rPr>
          <w:w w:val="105"/>
          <w:sz w:val="21"/>
        </w:rPr>
        <w:t>works</w:t>
      </w:r>
      <w:r>
        <w:rPr>
          <w:spacing w:val="-6"/>
          <w:w w:val="105"/>
          <w:sz w:val="21"/>
        </w:rPr>
        <w:t> </w:t>
      </w:r>
      <w:r>
        <w:rPr>
          <w:spacing w:val="-3"/>
          <w:w w:val="105"/>
          <w:sz w:val="21"/>
        </w:rPr>
        <w:t>to</w:t>
      </w:r>
      <w:r>
        <w:rPr>
          <w:spacing w:val="-7"/>
          <w:w w:val="105"/>
          <w:sz w:val="21"/>
        </w:rPr>
        <w:t> </w:t>
      </w:r>
      <w:r>
        <w:rPr>
          <w:w w:val="105"/>
          <w:sz w:val="21"/>
        </w:rPr>
        <w:t>protected trees under this Act </w:t>
      </w:r>
      <w:r>
        <w:rPr>
          <w:spacing w:val="-3"/>
          <w:w w:val="105"/>
          <w:sz w:val="21"/>
        </w:rPr>
        <w:t>are </w:t>
      </w:r>
      <w:r>
        <w:rPr>
          <w:w w:val="105"/>
          <w:sz w:val="21"/>
        </w:rPr>
        <w:t>best left </w:t>
      </w:r>
      <w:r>
        <w:rPr>
          <w:spacing w:val="-3"/>
          <w:w w:val="105"/>
          <w:sz w:val="21"/>
        </w:rPr>
        <w:t>to </w:t>
      </w:r>
      <w:r>
        <w:rPr>
          <w:spacing w:val="-2"/>
          <w:w w:val="105"/>
          <w:sz w:val="21"/>
        </w:rPr>
        <w:t>Registered </w:t>
      </w:r>
      <w:r>
        <w:rPr>
          <w:spacing w:val="-3"/>
          <w:w w:val="105"/>
          <w:sz w:val="21"/>
        </w:rPr>
        <w:t>Aboriginal </w:t>
      </w:r>
      <w:r>
        <w:rPr>
          <w:w w:val="105"/>
          <w:sz w:val="21"/>
        </w:rPr>
        <w:t>Parties or </w:t>
      </w:r>
      <w:r>
        <w:rPr>
          <w:spacing w:val="-3"/>
          <w:w w:val="105"/>
          <w:sz w:val="21"/>
        </w:rPr>
        <w:t>Aboriginal</w:t>
      </w:r>
      <w:r>
        <w:rPr>
          <w:spacing w:val="-34"/>
          <w:w w:val="105"/>
          <w:sz w:val="21"/>
        </w:rPr>
        <w:t> </w:t>
      </w:r>
      <w:r>
        <w:rPr>
          <w:w w:val="105"/>
          <w:sz w:val="21"/>
        </w:rPr>
        <w:t>Victoria.</w:t>
      </w:r>
    </w:p>
    <w:p>
      <w:pPr>
        <w:pStyle w:val="Heading7"/>
        <w:spacing w:before="157"/>
      </w:pPr>
      <w:r>
        <w:rPr>
          <w:color w:val="58595B"/>
          <w:w w:val="110"/>
        </w:rPr>
        <w:t>The Fences Act</w:t>
      </w:r>
    </w:p>
    <w:p>
      <w:pPr>
        <w:pStyle w:val="ListParagraph"/>
        <w:numPr>
          <w:ilvl w:val="0"/>
          <w:numId w:val="6"/>
        </w:numPr>
        <w:tabs>
          <w:tab w:pos="2380" w:val="left" w:leader="none"/>
          <w:tab w:pos="2381" w:val="left" w:leader="none"/>
        </w:tabs>
        <w:spacing w:line="240" w:lineRule="auto" w:before="143" w:after="0"/>
        <w:ind w:left="2381" w:right="0" w:hanging="794"/>
        <w:jc w:val="left"/>
        <w:rPr>
          <w:sz w:val="21"/>
        </w:rPr>
      </w:pPr>
      <w:r>
        <w:rPr>
          <w:w w:val="105"/>
          <w:sz w:val="21"/>
        </w:rPr>
        <w:t>The </w:t>
      </w:r>
      <w:r>
        <w:rPr>
          <w:spacing w:val="-3"/>
          <w:w w:val="105"/>
          <w:sz w:val="21"/>
        </w:rPr>
        <w:t>Magistrates’ Court </w:t>
      </w:r>
      <w:r>
        <w:rPr>
          <w:spacing w:val="-2"/>
          <w:w w:val="105"/>
          <w:sz w:val="21"/>
        </w:rPr>
        <w:t>has </w:t>
      </w:r>
      <w:r>
        <w:rPr>
          <w:w w:val="105"/>
          <w:sz w:val="21"/>
        </w:rPr>
        <w:t>jurisdiction </w:t>
      </w:r>
      <w:r>
        <w:rPr>
          <w:spacing w:val="-3"/>
          <w:w w:val="105"/>
          <w:sz w:val="21"/>
        </w:rPr>
        <w:t>to </w:t>
      </w:r>
      <w:r>
        <w:rPr>
          <w:w w:val="105"/>
          <w:sz w:val="21"/>
        </w:rPr>
        <w:t>decide matters under the </w:t>
      </w:r>
      <w:r>
        <w:rPr>
          <w:i/>
          <w:w w:val="105"/>
          <w:sz w:val="21"/>
        </w:rPr>
        <w:t>Fences Act </w:t>
      </w:r>
      <w:r>
        <w:rPr>
          <w:i/>
          <w:spacing w:val="-4"/>
          <w:w w:val="105"/>
          <w:sz w:val="21"/>
        </w:rPr>
        <w:t>1968</w:t>
      </w:r>
      <w:r>
        <w:rPr>
          <w:i/>
          <w:spacing w:val="40"/>
          <w:w w:val="105"/>
          <w:sz w:val="21"/>
        </w:rPr>
        <w:t> </w:t>
      </w:r>
      <w:r>
        <w:rPr>
          <w:w w:val="105"/>
          <w:sz w:val="21"/>
        </w:rPr>
        <w:t>(Vic).</w:t>
      </w:r>
    </w:p>
    <w:p>
      <w:pPr>
        <w:pStyle w:val="BodyText"/>
        <w:spacing w:line="242" w:lineRule="auto" w:before="4"/>
        <w:ind w:left="2380" w:right="1802"/>
      </w:pPr>
      <w:r>
        <w:rPr/>
        <w:t>The </w:t>
      </w:r>
      <w:r>
        <w:rPr>
          <w:spacing w:val="-3"/>
        </w:rPr>
        <w:t>Commission  recommends  that  </w:t>
      </w:r>
      <w:r>
        <w:rPr/>
        <w:t>if a tree is </w:t>
      </w:r>
      <w:r>
        <w:rPr>
          <w:spacing w:val="-3"/>
        </w:rPr>
        <w:t>causing</w:t>
      </w:r>
      <w:r>
        <w:rPr>
          <w:spacing w:val="41"/>
        </w:rPr>
        <w:t> </w:t>
      </w:r>
      <w:r>
        <w:rPr/>
        <w:t>damage </w:t>
      </w:r>
      <w:r>
        <w:rPr>
          <w:spacing w:val="-3"/>
        </w:rPr>
        <w:t>to  </w:t>
      </w:r>
      <w:r>
        <w:rPr/>
        <w:t>a </w:t>
      </w:r>
      <w:r>
        <w:rPr>
          <w:spacing w:val="-4"/>
        </w:rPr>
        <w:t>fence,  </w:t>
      </w:r>
      <w:r>
        <w:rPr/>
        <w:t>or </w:t>
      </w:r>
      <w:r>
        <w:rPr>
          <w:spacing w:val="-3"/>
        </w:rPr>
        <w:t>forms  </w:t>
      </w:r>
      <w:r>
        <w:rPr/>
        <w:t>part    of a </w:t>
      </w:r>
      <w:r>
        <w:rPr>
          <w:spacing w:val="-3"/>
        </w:rPr>
        <w:t>fence that </w:t>
      </w:r>
      <w:r>
        <w:rPr/>
        <w:t>is </w:t>
      </w:r>
      <w:r>
        <w:rPr>
          <w:spacing w:val="-3"/>
        </w:rPr>
        <w:t>causing </w:t>
      </w:r>
      <w:r>
        <w:rPr/>
        <w:t>or is </w:t>
      </w:r>
      <w:r>
        <w:rPr>
          <w:spacing w:val="-4"/>
        </w:rPr>
        <w:t>likely </w:t>
      </w:r>
      <w:r>
        <w:rPr>
          <w:spacing w:val="-3"/>
        </w:rPr>
        <w:t>to </w:t>
      </w:r>
      <w:r>
        <w:rPr/>
        <w:t>cause damage or </w:t>
      </w:r>
      <w:r>
        <w:rPr>
          <w:spacing w:val="-3"/>
        </w:rPr>
        <w:t>harm, </w:t>
      </w:r>
      <w:r>
        <w:rPr>
          <w:spacing w:val="-5"/>
        </w:rPr>
        <w:t>VCAT </w:t>
      </w:r>
      <w:r>
        <w:rPr/>
        <w:t>should </w:t>
      </w:r>
      <w:r>
        <w:rPr>
          <w:spacing w:val="-3"/>
        </w:rPr>
        <w:t>have </w:t>
      </w:r>
      <w:r>
        <w:rPr/>
        <w:t>the jurisdiction </w:t>
      </w:r>
      <w:r>
        <w:rPr>
          <w:spacing w:val="-3"/>
        </w:rPr>
        <w:t>to </w:t>
      </w:r>
      <w:r>
        <w:rPr>
          <w:spacing w:val="-4"/>
        </w:rPr>
        <w:t>make </w:t>
      </w:r>
      <w:r>
        <w:rPr/>
        <w:t>orders in </w:t>
      </w:r>
      <w:r>
        <w:rPr>
          <w:spacing w:val="-3"/>
        </w:rPr>
        <w:t>relation  to  </w:t>
      </w:r>
      <w:r>
        <w:rPr/>
        <w:t>both the tree and the </w:t>
      </w:r>
      <w:r>
        <w:rPr>
          <w:spacing w:val="-4"/>
        </w:rPr>
        <w:t>fence.  </w:t>
      </w:r>
      <w:r>
        <w:rPr/>
        <w:t>It would be prudent in this </w:t>
      </w:r>
      <w:r>
        <w:rPr>
          <w:spacing w:val="-3"/>
        </w:rPr>
        <w:t>situation for </w:t>
      </w:r>
      <w:r>
        <w:rPr/>
        <w:t>orders </w:t>
      </w:r>
      <w:r>
        <w:rPr>
          <w:spacing w:val="-3"/>
        </w:rPr>
        <w:t>to  </w:t>
      </w:r>
      <w:r>
        <w:rPr/>
        <w:t>be made about the tree and the </w:t>
      </w:r>
      <w:r>
        <w:rPr>
          <w:spacing w:val="-3"/>
        </w:rPr>
        <w:t>fence</w:t>
      </w:r>
      <w:r>
        <w:rPr>
          <w:spacing w:val="41"/>
        </w:rPr>
        <w:t> </w:t>
      </w:r>
      <w:r>
        <w:rPr/>
        <w:t>at the same time by  the same decision </w:t>
      </w:r>
      <w:r>
        <w:rPr>
          <w:spacing w:val="-6"/>
        </w:rPr>
        <w:t>maker. </w:t>
      </w:r>
      <w:r>
        <w:rPr/>
        <w:t>The </w:t>
      </w:r>
      <w:r>
        <w:rPr>
          <w:spacing w:val="-3"/>
        </w:rPr>
        <w:t>Commission recommends amending </w:t>
      </w:r>
      <w:r>
        <w:rPr/>
        <w:t>the Fences  Act  </w:t>
      </w:r>
      <w:r>
        <w:rPr>
          <w:spacing w:val="-3"/>
        </w:rPr>
        <w:t>to </w:t>
      </w:r>
      <w:r>
        <w:rPr/>
        <w:t>provide </w:t>
      </w:r>
      <w:r>
        <w:rPr>
          <w:spacing w:val="-5"/>
        </w:rPr>
        <w:t>VCAT </w:t>
      </w:r>
      <w:r>
        <w:rPr/>
        <w:t>with this</w:t>
      </w:r>
      <w:r>
        <w:rPr>
          <w:spacing w:val="-3"/>
        </w:rPr>
        <w:t> </w:t>
      </w:r>
      <w:r>
        <w:rPr/>
        <w:t>jurisdiction.</w:t>
      </w:r>
    </w:p>
    <w:p>
      <w:pPr>
        <w:pStyle w:val="Heading7"/>
        <w:spacing w:before="157"/>
      </w:pPr>
      <w:r>
        <w:rPr>
          <w:color w:val="58595B"/>
          <w:w w:val="115"/>
        </w:rPr>
        <w:t>The Catchment and Land Protection Act</w:t>
      </w:r>
    </w:p>
    <w:p>
      <w:pPr>
        <w:pStyle w:val="ListParagraph"/>
        <w:numPr>
          <w:ilvl w:val="0"/>
          <w:numId w:val="6"/>
        </w:numPr>
        <w:tabs>
          <w:tab w:pos="2381" w:val="left" w:leader="none"/>
          <w:tab w:pos="2382" w:val="left" w:leader="none"/>
        </w:tabs>
        <w:spacing w:line="242" w:lineRule="auto" w:before="142" w:after="0"/>
        <w:ind w:left="2381" w:right="1851" w:hanging="794"/>
        <w:jc w:val="left"/>
        <w:rPr>
          <w:sz w:val="21"/>
        </w:rPr>
      </w:pPr>
      <w:r>
        <w:rPr>
          <w:w w:val="105"/>
          <w:sz w:val="21"/>
        </w:rPr>
        <w:t>The </w:t>
      </w:r>
      <w:r>
        <w:rPr>
          <w:i/>
          <w:spacing w:val="-3"/>
          <w:w w:val="105"/>
          <w:sz w:val="21"/>
        </w:rPr>
        <w:t>Catchment </w:t>
      </w:r>
      <w:r>
        <w:rPr>
          <w:i/>
          <w:w w:val="105"/>
          <w:sz w:val="21"/>
        </w:rPr>
        <w:t>and Land Protection Act </w:t>
      </w:r>
      <w:r>
        <w:rPr>
          <w:i/>
          <w:spacing w:val="-4"/>
          <w:w w:val="105"/>
          <w:sz w:val="21"/>
        </w:rPr>
        <w:t>1994 </w:t>
      </w:r>
      <w:r>
        <w:rPr>
          <w:w w:val="105"/>
          <w:sz w:val="21"/>
        </w:rPr>
        <w:t>(Vic) </w:t>
      </w:r>
      <w:r>
        <w:rPr>
          <w:spacing w:val="-2"/>
          <w:w w:val="105"/>
          <w:sz w:val="21"/>
        </w:rPr>
        <w:t>places </w:t>
      </w:r>
      <w:r>
        <w:rPr>
          <w:spacing w:val="-3"/>
          <w:w w:val="105"/>
          <w:sz w:val="21"/>
        </w:rPr>
        <w:t>obligations </w:t>
      </w:r>
      <w:r>
        <w:rPr>
          <w:w w:val="105"/>
          <w:sz w:val="21"/>
        </w:rPr>
        <w:t>on </w:t>
      </w:r>
      <w:r>
        <w:rPr>
          <w:spacing w:val="-3"/>
          <w:w w:val="105"/>
          <w:sz w:val="21"/>
        </w:rPr>
        <w:t>land </w:t>
      </w:r>
      <w:r>
        <w:rPr>
          <w:w w:val="105"/>
          <w:sz w:val="21"/>
        </w:rPr>
        <w:t>owners </w:t>
      </w:r>
      <w:r>
        <w:rPr>
          <w:spacing w:val="-3"/>
          <w:w w:val="105"/>
          <w:sz w:val="21"/>
        </w:rPr>
        <w:t>to</w:t>
      </w:r>
      <w:r>
        <w:rPr>
          <w:spacing w:val="-4"/>
          <w:w w:val="105"/>
          <w:sz w:val="21"/>
        </w:rPr>
        <w:t> </w:t>
      </w:r>
      <w:r>
        <w:rPr>
          <w:spacing w:val="-3"/>
          <w:w w:val="105"/>
          <w:sz w:val="21"/>
        </w:rPr>
        <w:t>manage</w:t>
      </w:r>
      <w:r>
        <w:rPr>
          <w:spacing w:val="-4"/>
          <w:w w:val="105"/>
          <w:sz w:val="21"/>
        </w:rPr>
        <w:t> </w:t>
      </w:r>
      <w:r>
        <w:rPr>
          <w:spacing w:val="-2"/>
          <w:w w:val="105"/>
          <w:sz w:val="21"/>
        </w:rPr>
        <w:t>listed</w:t>
      </w:r>
      <w:r>
        <w:rPr>
          <w:spacing w:val="-4"/>
          <w:w w:val="105"/>
          <w:sz w:val="21"/>
        </w:rPr>
        <w:t> </w:t>
      </w:r>
      <w:r>
        <w:rPr>
          <w:w w:val="105"/>
          <w:sz w:val="21"/>
        </w:rPr>
        <w:t>weeds.</w:t>
      </w:r>
      <w:r>
        <w:rPr>
          <w:spacing w:val="-4"/>
          <w:w w:val="105"/>
          <w:sz w:val="21"/>
        </w:rPr>
        <w:t> </w:t>
      </w:r>
      <w:r>
        <w:rPr>
          <w:w w:val="105"/>
          <w:sz w:val="21"/>
        </w:rPr>
        <w:t>Directions</w:t>
      </w:r>
      <w:r>
        <w:rPr>
          <w:spacing w:val="-3"/>
          <w:w w:val="105"/>
          <w:sz w:val="21"/>
        </w:rPr>
        <w:t> </w:t>
      </w:r>
      <w:r>
        <w:rPr>
          <w:w w:val="105"/>
          <w:sz w:val="21"/>
        </w:rPr>
        <w:t>can</w:t>
      </w:r>
      <w:r>
        <w:rPr>
          <w:spacing w:val="-4"/>
          <w:w w:val="105"/>
          <w:sz w:val="21"/>
        </w:rPr>
        <w:t> </w:t>
      </w:r>
      <w:r>
        <w:rPr>
          <w:w w:val="105"/>
          <w:sz w:val="21"/>
        </w:rPr>
        <w:t>be</w:t>
      </w:r>
      <w:r>
        <w:rPr>
          <w:spacing w:val="-4"/>
          <w:w w:val="105"/>
          <w:sz w:val="21"/>
        </w:rPr>
        <w:t> </w:t>
      </w:r>
      <w:r>
        <w:rPr>
          <w:w w:val="105"/>
          <w:sz w:val="21"/>
        </w:rPr>
        <w:t>issued</w:t>
      </w:r>
      <w:r>
        <w:rPr>
          <w:spacing w:val="-4"/>
          <w:w w:val="105"/>
          <w:sz w:val="21"/>
        </w:rPr>
        <w:t> </w:t>
      </w:r>
      <w:r>
        <w:rPr>
          <w:w w:val="105"/>
          <w:sz w:val="21"/>
        </w:rPr>
        <w:t>under</w:t>
      </w:r>
      <w:r>
        <w:rPr>
          <w:spacing w:val="-4"/>
          <w:w w:val="105"/>
          <w:sz w:val="21"/>
        </w:rPr>
        <w:t> </w:t>
      </w:r>
      <w:r>
        <w:rPr>
          <w:w w:val="105"/>
          <w:sz w:val="21"/>
        </w:rPr>
        <w:t>this</w:t>
      </w:r>
      <w:r>
        <w:rPr>
          <w:spacing w:val="-3"/>
          <w:w w:val="105"/>
          <w:sz w:val="21"/>
        </w:rPr>
        <w:t> </w:t>
      </w:r>
      <w:r>
        <w:rPr>
          <w:w w:val="105"/>
          <w:sz w:val="21"/>
        </w:rPr>
        <w:t>Act</w:t>
      </w:r>
      <w:r>
        <w:rPr>
          <w:spacing w:val="-4"/>
          <w:w w:val="105"/>
          <w:sz w:val="21"/>
        </w:rPr>
        <w:t> </w:t>
      </w:r>
      <w:r>
        <w:rPr>
          <w:spacing w:val="-3"/>
          <w:w w:val="105"/>
          <w:sz w:val="21"/>
        </w:rPr>
        <w:t>to</w:t>
      </w:r>
      <w:r>
        <w:rPr>
          <w:spacing w:val="-4"/>
          <w:w w:val="105"/>
          <w:sz w:val="21"/>
        </w:rPr>
        <w:t> </w:t>
      </w:r>
      <w:r>
        <w:rPr>
          <w:spacing w:val="-3"/>
          <w:w w:val="105"/>
          <w:sz w:val="21"/>
        </w:rPr>
        <w:t>land</w:t>
      </w:r>
      <w:r>
        <w:rPr>
          <w:spacing w:val="-4"/>
          <w:w w:val="105"/>
          <w:sz w:val="21"/>
        </w:rPr>
        <w:t> </w:t>
      </w:r>
      <w:r>
        <w:rPr>
          <w:w w:val="105"/>
          <w:sz w:val="21"/>
        </w:rPr>
        <w:t>owners</w:t>
      </w:r>
      <w:r>
        <w:rPr>
          <w:spacing w:val="-3"/>
          <w:w w:val="105"/>
          <w:sz w:val="21"/>
        </w:rPr>
        <w:t> to</w:t>
      </w:r>
      <w:r>
        <w:rPr>
          <w:spacing w:val="-4"/>
          <w:w w:val="105"/>
          <w:sz w:val="21"/>
        </w:rPr>
        <w:t> </w:t>
      </w:r>
      <w:r>
        <w:rPr>
          <w:spacing w:val="-3"/>
          <w:w w:val="105"/>
          <w:sz w:val="21"/>
        </w:rPr>
        <w:t>take measures to control </w:t>
      </w:r>
      <w:r>
        <w:rPr>
          <w:w w:val="105"/>
          <w:sz w:val="21"/>
        </w:rPr>
        <w:t>or </w:t>
      </w:r>
      <w:r>
        <w:rPr>
          <w:spacing w:val="-3"/>
          <w:w w:val="105"/>
          <w:sz w:val="21"/>
        </w:rPr>
        <w:t>eradicate</w:t>
      </w:r>
      <w:r>
        <w:rPr>
          <w:spacing w:val="32"/>
          <w:w w:val="105"/>
          <w:sz w:val="21"/>
        </w:rPr>
        <w:t> </w:t>
      </w:r>
      <w:r>
        <w:rPr>
          <w:w w:val="105"/>
          <w:sz w:val="21"/>
        </w:rPr>
        <w:t>weeds.</w:t>
      </w:r>
    </w:p>
    <w:p>
      <w:pPr>
        <w:pStyle w:val="ListParagraph"/>
        <w:numPr>
          <w:ilvl w:val="0"/>
          <w:numId w:val="6"/>
        </w:numPr>
        <w:tabs>
          <w:tab w:pos="2380" w:val="left" w:leader="none"/>
          <w:tab w:pos="2381" w:val="left" w:leader="none"/>
        </w:tabs>
        <w:spacing w:line="242" w:lineRule="auto" w:before="124" w:after="0"/>
        <w:ind w:left="2381" w:right="1882" w:hanging="794"/>
        <w:jc w:val="left"/>
        <w:rPr>
          <w:sz w:val="21"/>
        </w:rPr>
      </w:pPr>
      <w:r>
        <w:rPr>
          <w:w w:val="105"/>
          <w:sz w:val="21"/>
        </w:rPr>
        <w:t>The</w:t>
      </w:r>
      <w:r>
        <w:rPr>
          <w:spacing w:val="-7"/>
          <w:w w:val="105"/>
          <w:sz w:val="21"/>
        </w:rPr>
        <w:t> </w:t>
      </w:r>
      <w:r>
        <w:rPr>
          <w:w w:val="105"/>
          <w:sz w:val="21"/>
        </w:rPr>
        <w:t>new</w:t>
      </w:r>
      <w:r>
        <w:rPr>
          <w:spacing w:val="-7"/>
          <w:w w:val="105"/>
          <w:sz w:val="21"/>
        </w:rPr>
        <w:t> </w:t>
      </w:r>
      <w:r>
        <w:rPr>
          <w:w w:val="105"/>
          <w:sz w:val="21"/>
        </w:rPr>
        <w:t>Act</w:t>
      </w:r>
      <w:r>
        <w:rPr>
          <w:spacing w:val="-6"/>
          <w:w w:val="105"/>
          <w:sz w:val="21"/>
        </w:rPr>
        <w:t> </w:t>
      </w:r>
      <w:r>
        <w:rPr>
          <w:w w:val="105"/>
          <w:sz w:val="21"/>
        </w:rPr>
        <w:t>should</w:t>
      </w:r>
      <w:r>
        <w:rPr>
          <w:spacing w:val="-7"/>
          <w:w w:val="105"/>
          <w:sz w:val="21"/>
        </w:rPr>
        <w:t> </w:t>
      </w:r>
      <w:r>
        <w:rPr>
          <w:w w:val="105"/>
          <w:sz w:val="21"/>
        </w:rPr>
        <w:t>apply</w:t>
      </w:r>
      <w:r>
        <w:rPr>
          <w:spacing w:val="-6"/>
          <w:w w:val="105"/>
          <w:sz w:val="21"/>
        </w:rPr>
        <w:t> </w:t>
      </w:r>
      <w:r>
        <w:rPr>
          <w:spacing w:val="-3"/>
          <w:w w:val="105"/>
          <w:sz w:val="21"/>
        </w:rPr>
        <w:t>to</w:t>
      </w:r>
      <w:r>
        <w:rPr>
          <w:spacing w:val="-7"/>
          <w:w w:val="105"/>
          <w:sz w:val="21"/>
        </w:rPr>
        <w:t> </w:t>
      </w:r>
      <w:r>
        <w:rPr>
          <w:w w:val="105"/>
          <w:sz w:val="21"/>
        </w:rPr>
        <w:t>recognised</w:t>
      </w:r>
      <w:r>
        <w:rPr>
          <w:spacing w:val="-6"/>
          <w:w w:val="105"/>
          <w:sz w:val="21"/>
        </w:rPr>
        <w:t> </w:t>
      </w:r>
      <w:r>
        <w:rPr>
          <w:w w:val="105"/>
          <w:sz w:val="21"/>
        </w:rPr>
        <w:t>weeds</w:t>
      </w:r>
      <w:r>
        <w:rPr>
          <w:spacing w:val="-7"/>
          <w:w w:val="105"/>
          <w:sz w:val="21"/>
        </w:rPr>
        <w:t> </w:t>
      </w:r>
      <w:r>
        <w:rPr>
          <w:spacing w:val="-3"/>
          <w:w w:val="105"/>
          <w:sz w:val="21"/>
        </w:rPr>
        <w:t>that</w:t>
      </w:r>
      <w:r>
        <w:rPr>
          <w:spacing w:val="-6"/>
          <w:w w:val="105"/>
          <w:sz w:val="21"/>
        </w:rPr>
        <w:t> </w:t>
      </w:r>
      <w:r>
        <w:rPr>
          <w:w w:val="105"/>
          <w:sz w:val="21"/>
        </w:rPr>
        <w:t>meet</w:t>
      </w:r>
      <w:r>
        <w:rPr>
          <w:spacing w:val="-7"/>
          <w:w w:val="105"/>
          <w:sz w:val="21"/>
        </w:rPr>
        <w:t> </w:t>
      </w:r>
      <w:r>
        <w:rPr>
          <w:w w:val="105"/>
          <w:sz w:val="21"/>
        </w:rPr>
        <w:t>the</w:t>
      </w:r>
      <w:r>
        <w:rPr>
          <w:spacing w:val="-7"/>
          <w:w w:val="105"/>
          <w:sz w:val="21"/>
        </w:rPr>
        <w:t> </w:t>
      </w:r>
      <w:r>
        <w:rPr>
          <w:w w:val="105"/>
          <w:sz w:val="21"/>
        </w:rPr>
        <w:t>definition</w:t>
      </w:r>
      <w:r>
        <w:rPr>
          <w:spacing w:val="-6"/>
          <w:w w:val="105"/>
          <w:sz w:val="21"/>
        </w:rPr>
        <w:t> </w:t>
      </w:r>
      <w:r>
        <w:rPr>
          <w:w w:val="105"/>
          <w:sz w:val="21"/>
        </w:rPr>
        <w:t>of</w:t>
      </w:r>
      <w:r>
        <w:rPr>
          <w:spacing w:val="-7"/>
          <w:w w:val="105"/>
          <w:sz w:val="21"/>
        </w:rPr>
        <w:t> </w:t>
      </w:r>
      <w:r>
        <w:rPr>
          <w:w w:val="105"/>
          <w:sz w:val="21"/>
        </w:rPr>
        <w:t>‘tree’</w:t>
      </w:r>
      <w:r>
        <w:rPr>
          <w:spacing w:val="-6"/>
          <w:w w:val="105"/>
          <w:sz w:val="21"/>
        </w:rPr>
        <w:t> </w:t>
      </w:r>
      <w:r>
        <w:rPr>
          <w:w w:val="105"/>
          <w:sz w:val="21"/>
        </w:rPr>
        <w:t>in</w:t>
      </w:r>
      <w:r>
        <w:rPr>
          <w:spacing w:val="-7"/>
          <w:w w:val="105"/>
          <w:sz w:val="21"/>
        </w:rPr>
        <w:t> </w:t>
      </w:r>
      <w:r>
        <w:rPr>
          <w:w w:val="105"/>
          <w:sz w:val="21"/>
        </w:rPr>
        <w:t>the Act and where the problem caused by the weed fits </w:t>
      </w:r>
      <w:r>
        <w:rPr>
          <w:spacing w:val="-3"/>
          <w:w w:val="105"/>
          <w:sz w:val="21"/>
        </w:rPr>
        <w:t>within </w:t>
      </w:r>
      <w:r>
        <w:rPr>
          <w:w w:val="105"/>
          <w:sz w:val="21"/>
        </w:rPr>
        <w:t>the ambit of the proposed Act. </w:t>
      </w:r>
      <w:r>
        <w:rPr>
          <w:spacing w:val="-7"/>
          <w:w w:val="105"/>
          <w:sz w:val="21"/>
        </w:rPr>
        <w:t>To </w:t>
      </w:r>
      <w:r>
        <w:rPr>
          <w:w w:val="105"/>
          <w:sz w:val="21"/>
        </w:rPr>
        <w:t>do otherwise would </w:t>
      </w:r>
      <w:r>
        <w:rPr>
          <w:spacing w:val="-3"/>
          <w:w w:val="105"/>
          <w:sz w:val="21"/>
        </w:rPr>
        <w:t>prevent </w:t>
      </w:r>
      <w:r>
        <w:rPr>
          <w:w w:val="105"/>
          <w:sz w:val="21"/>
        </w:rPr>
        <w:t>a number of tree </w:t>
      </w:r>
      <w:r>
        <w:rPr>
          <w:spacing w:val="-3"/>
          <w:w w:val="105"/>
          <w:sz w:val="21"/>
        </w:rPr>
        <w:t>disputes from </w:t>
      </w:r>
      <w:r>
        <w:rPr>
          <w:w w:val="105"/>
          <w:sz w:val="21"/>
        </w:rPr>
        <w:t>being resolved. </w:t>
      </w:r>
      <w:r>
        <w:rPr>
          <w:spacing w:val="-5"/>
          <w:w w:val="105"/>
          <w:sz w:val="21"/>
        </w:rPr>
        <w:t>VCAT </w:t>
      </w:r>
      <w:r>
        <w:rPr>
          <w:w w:val="105"/>
          <w:sz w:val="21"/>
        </w:rPr>
        <w:t>should </w:t>
      </w:r>
      <w:r>
        <w:rPr>
          <w:spacing w:val="-3"/>
          <w:w w:val="105"/>
          <w:sz w:val="21"/>
        </w:rPr>
        <w:t>consider any </w:t>
      </w:r>
      <w:r>
        <w:rPr>
          <w:w w:val="105"/>
          <w:sz w:val="21"/>
        </w:rPr>
        <w:t>past actions </w:t>
      </w:r>
      <w:r>
        <w:rPr>
          <w:spacing w:val="-3"/>
          <w:w w:val="105"/>
          <w:sz w:val="21"/>
        </w:rPr>
        <w:t>taken </w:t>
      </w:r>
      <w:r>
        <w:rPr>
          <w:w w:val="105"/>
          <w:sz w:val="21"/>
        </w:rPr>
        <w:t>by the landowner under this Act when </w:t>
      </w:r>
      <w:r>
        <w:rPr>
          <w:spacing w:val="-3"/>
          <w:w w:val="105"/>
          <w:sz w:val="21"/>
        </w:rPr>
        <w:t>determining </w:t>
      </w:r>
      <w:r>
        <w:rPr>
          <w:w w:val="105"/>
          <w:sz w:val="21"/>
        </w:rPr>
        <w:t>the scope of</w:t>
      </w:r>
      <w:r>
        <w:rPr>
          <w:spacing w:val="22"/>
          <w:w w:val="105"/>
          <w:sz w:val="21"/>
        </w:rPr>
        <w:t> </w:t>
      </w:r>
      <w:r>
        <w:rPr>
          <w:w w:val="105"/>
          <w:sz w:val="21"/>
        </w:rPr>
        <w:t>orders.</w:t>
      </w:r>
    </w:p>
    <w:p>
      <w:pPr>
        <w:pStyle w:val="Heading7"/>
        <w:spacing w:before="156"/>
      </w:pPr>
      <w:r>
        <w:rPr>
          <w:color w:val="58595B"/>
          <w:w w:val="115"/>
        </w:rPr>
        <w:t>Other Acts and laws</w:t>
      </w:r>
    </w:p>
    <w:p>
      <w:pPr>
        <w:pStyle w:val="ListParagraph"/>
        <w:numPr>
          <w:ilvl w:val="0"/>
          <w:numId w:val="6"/>
        </w:numPr>
        <w:tabs>
          <w:tab w:pos="2380" w:val="left" w:leader="none"/>
          <w:tab w:pos="2381" w:val="left" w:leader="none"/>
        </w:tabs>
        <w:spacing w:line="242" w:lineRule="auto" w:before="142" w:after="0"/>
        <w:ind w:left="2381" w:right="2003" w:hanging="794"/>
        <w:jc w:val="left"/>
        <w:rPr>
          <w:sz w:val="21"/>
        </w:rPr>
      </w:pPr>
      <w:r>
        <w:rPr>
          <w:w w:val="105"/>
          <w:sz w:val="21"/>
        </w:rPr>
        <w:t>This report provides the </w:t>
      </w:r>
      <w:r>
        <w:rPr>
          <w:spacing w:val="-4"/>
          <w:w w:val="105"/>
          <w:sz w:val="21"/>
        </w:rPr>
        <w:t>Commission’s </w:t>
      </w:r>
      <w:r>
        <w:rPr>
          <w:w w:val="105"/>
          <w:sz w:val="21"/>
        </w:rPr>
        <w:t>views about the </w:t>
      </w:r>
      <w:r>
        <w:rPr>
          <w:spacing w:val="-3"/>
          <w:w w:val="105"/>
          <w:sz w:val="21"/>
        </w:rPr>
        <w:t>interaction </w:t>
      </w:r>
      <w:r>
        <w:rPr>
          <w:w w:val="105"/>
          <w:sz w:val="21"/>
        </w:rPr>
        <w:t>of the new Act with</w:t>
      </w:r>
      <w:r>
        <w:rPr>
          <w:spacing w:val="-8"/>
          <w:w w:val="105"/>
          <w:sz w:val="21"/>
        </w:rPr>
        <w:t> </w:t>
      </w:r>
      <w:r>
        <w:rPr>
          <w:w w:val="105"/>
          <w:sz w:val="21"/>
        </w:rPr>
        <w:t>other</w:t>
      </w:r>
      <w:r>
        <w:rPr>
          <w:spacing w:val="-7"/>
          <w:w w:val="105"/>
          <w:sz w:val="21"/>
        </w:rPr>
        <w:t> </w:t>
      </w:r>
      <w:r>
        <w:rPr>
          <w:w w:val="105"/>
          <w:sz w:val="21"/>
        </w:rPr>
        <w:t>existing</w:t>
      </w:r>
      <w:r>
        <w:rPr>
          <w:spacing w:val="-7"/>
          <w:w w:val="105"/>
          <w:sz w:val="21"/>
        </w:rPr>
        <w:t> </w:t>
      </w:r>
      <w:r>
        <w:rPr>
          <w:spacing w:val="-3"/>
          <w:w w:val="105"/>
          <w:sz w:val="21"/>
        </w:rPr>
        <w:t>planning</w:t>
      </w:r>
      <w:r>
        <w:rPr>
          <w:spacing w:val="-8"/>
          <w:w w:val="105"/>
          <w:sz w:val="21"/>
        </w:rPr>
        <w:t> </w:t>
      </w:r>
      <w:r>
        <w:rPr>
          <w:spacing w:val="-3"/>
          <w:w w:val="105"/>
          <w:sz w:val="21"/>
        </w:rPr>
        <w:t>mechanisms</w:t>
      </w:r>
      <w:r>
        <w:rPr>
          <w:spacing w:val="-7"/>
          <w:w w:val="105"/>
          <w:sz w:val="21"/>
        </w:rPr>
        <w:t> </w:t>
      </w:r>
      <w:r>
        <w:rPr>
          <w:w w:val="105"/>
          <w:sz w:val="21"/>
        </w:rPr>
        <w:t>and</w:t>
      </w:r>
      <w:r>
        <w:rPr>
          <w:spacing w:val="-7"/>
          <w:w w:val="105"/>
          <w:sz w:val="21"/>
        </w:rPr>
        <w:t> </w:t>
      </w:r>
      <w:r>
        <w:rPr>
          <w:w w:val="105"/>
          <w:sz w:val="21"/>
        </w:rPr>
        <w:t>laws.</w:t>
      </w:r>
      <w:r>
        <w:rPr>
          <w:spacing w:val="-8"/>
          <w:w w:val="105"/>
          <w:sz w:val="21"/>
        </w:rPr>
        <w:t> </w:t>
      </w:r>
      <w:r>
        <w:rPr>
          <w:w w:val="105"/>
          <w:sz w:val="21"/>
        </w:rPr>
        <w:t>Further</w:t>
      </w:r>
      <w:r>
        <w:rPr>
          <w:spacing w:val="-7"/>
          <w:w w:val="105"/>
          <w:sz w:val="21"/>
        </w:rPr>
        <w:t> </w:t>
      </w:r>
      <w:r>
        <w:rPr>
          <w:spacing w:val="-3"/>
          <w:w w:val="105"/>
          <w:sz w:val="21"/>
        </w:rPr>
        <w:t>consultation</w:t>
      </w:r>
      <w:r>
        <w:rPr>
          <w:spacing w:val="-7"/>
          <w:w w:val="105"/>
          <w:sz w:val="21"/>
        </w:rPr>
        <w:t> </w:t>
      </w:r>
      <w:r>
        <w:rPr>
          <w:w w:val="105"/>
          <w:sz w:val="21"/>
        </w:rPr>
        <w:t>is</w:t>
      </w:r>
      <w:r>
        <w:rPr>
          <w:spacing w:val="-7"/>
          <w:w w:val="105"/>
          <w:sz w:val="21"/>
        </w:rPr>
        <w:t> </w:t>
      </w:r>
      <w:r>
        <w:rPr>
          <w:spacing w:val="-3"/>
          <w:w w:val="105"/>
          <w:sz w:val="21"/>
        </w:rPr>
        <w:t>required</w:t>
      </w:r>
      <w:r>
        <w:rPr>
          <w:spacing w:val="-8"/>
          <w:w w:val="105"/>
          <w:sz w:val="21"/>
        </w:rPr>
        <w:t> </w:t>
      </w:r>
      <w:r>
        <w:rPr>
          <w:spacing w:val="-3"/>
          <w:w w:val="105"/>
          <w:sz w:val="21"/>
        </w:rPr>
        <w:t>to determine </w:t>
      </w:r>
      <w:r>
        <w:rPr>
          <w:w w:val="105"/>
          <w:sz w:val="21"/>
        </w:rPr>
        <w:t>the extent </w:t>
      </w:r>
      <w:r>
        <w:rPr>
          <w:spacing w:val="-3"/>
          <w:w w:val="105"/>
          <w:sz w:val="21"/>
        </w:rPr>
        <w:t>to </w:t>
      </w:r>
      <w:r>
        <w:rPr>
          <w:w w:val="105"/>
          <w:sz w:val="21"/>
        </w:rPr>
        <w:t>which some of these laws </w:t>
      </w:r>
      <w:r>
        <w:rPr>
          <w:spacing w:val="-3"/>
          <w:w w:val="105"/>
          <w:sz w:val="21"/>
        </w:rPr>
        <w:t>might interact </w:t>
      </w:r>
      <w:r>
        <w:rPr>
          <w:w w:val="105"/>
          <w:sz w:val="21"/>
        </w:rPr>
        <w:t>with the new</w:t>
      </w:r>
      <w:r>
        <w:rPr>
          <w:spacing w:val="-20"/>
          <w:w w:val="105"/>
          <w:sz w:val="21"/>
        </w:rPr>
        <w:t> </w:t>
      </w:r>
      <w:r>
        <w:rPr>
          <w:w w:val="105"/>
          <w:sz w:val="21"/>
        </w:rPr>
        <w:t>Act.</w:t>
      </w:r>
    </w:p>
    <w:p>
      <w:pPr>
        <w:pStyle w:val="Heading7"/>
      </w:pPr>
      <w:r>
        <w:rPr>
          <w:w w:val="115"/>
        </w:rPr>
        <w:t>New owners of land</w:t>
      </w:r>
    </w:p>
    <w:p>
      <w:pPr>
        <w:pStyle w:val="ListParagraph"/>
        <w:numPr>
          <w:ilvl w:val="0"/>
          <w:numId w:val="6"/>
        </w:numPr>
        <w:tabs>
          <w:tab w:pos="2381" w:val="left" w:leader="none"/>
          <w:tab w:pos="2382" w:val="left" w:leader="none"/>
        </w:tabs>
        <w:spacing w:line="242" w:lineRule="auto" w:before="143" w:after="0"/>
        <w:ind w:left="2381" w:right="1661" w:hanging="794"/>
        <w:jc w:val="left"/>
        <w:rPr>
          <w:sz w:val="21"/>
        </w:rPr>
      </w:pPr>
      <w:r>
        <w:rPr>
          <w:w w:val="105"/>
          <w:sz w:val="21"/>
        </w:rPr>
        <w:t>The new Act should clearly </w:t>
      </w:r>
      <w:r>
        <w:rPr>
          <w:spacing w:val="-3"/>
          <w:w w:val="105"/>
          <w:sz w:val="21"/>
        </w:rPr>
        <w:t>outline </w:t>
      </w:r>
      <w:r>
        <w:rPr>
          <w:w w:val="105"/>
          <w:sz w:val="21"/>
        </w:rPr>
        <w:t>the rights and </w:t>
      </w:r>
      <w:r>
        <w:rPr>
          <w:spacing w:val="-3"/>
          <w:w w:val="105"/>
          <w:sz w:val="21"/>
        </w:rPr>
        <w:t>obligations </w:t>
      </w:r>
      <w:r>
        <w:rPr>
          <w:w w:val="105"/>
          <w:sz w:val="21"/>
        </w:rPr>
        <w:t>of new </w:t>
      </w:r>
      <w:r>
        <w:rPr>
          <w:spacing w:val="-3"/>
          <w:w w:val="105"/>
          <w:sz w:val="21"/>
        </w:rPr>
        <w:t>land </w:t>
      </w:r>
      <w:r>
        <w:rPr>
          <w:w w:val="105"/>
          <w:sz w:val="21"/>
        </w:rPr>
        <w:t>owners about trees </w:t>
      </w:r>
      <w:r>
        <w:rPr>
          <w:spacing w:val="-3"/>
          <w:w w:val="105"/>
          <w:sz w:val="21"/>
        </w:rPr>
        <w:t>that have </w:t>
      </w:r>
      <w:r>
        <w:rPr>
          <w:w w:val="105"/>
          <w:sz w:val="21"/>
        </w:rPr>
        <w:t>been or </w:t>
      </w:r>
      <w:r>
        <w:rPr>
          <w:spacing w:val="-3"/>
          <w:w w:val="105"/>
          <w:sz w:val="21"/>
        </w:rPr>
        <w:t>are </w:t>
      </w:r>
      <w:r>
        <w:rPr>
          <w:w w:val="105"/>
          <w:sz w:val="21"/>
        </w:rPr>
        <w:t>the subject of a </w:t>
      </w:r>
      <w:r>
        <w:rPr>
          <w:spacing w:val="-3"/>
          <w:w w:val="105"/>
          <w:sz w:val="21"/>
        </w:rPr>
        <w:t>formal </w:t>
      </w:r>
      <w:r>
        <w:rPr>
          <w:w w:val="105"/>
          <w:sz w:val="21"/>
        </w:rPr>
        <w:t>tree </w:t>
      </w:r>
      <w:r>
        <w:rPr>
          <w:spacing w:val="-3"/>
          <w:w w:val="105"/>
          <w:sz w:val="21"/>
        </w:rPr>
        <w:t>dispute. </w:t>
      </w:r>
      <w:r>
        <w:rPr>
          <w:w w:val="105"/>
          <w:sz w:val="21"/>
        </w:rPr>
        <w:t>This </w:t>
      </w:r>
      <w:r>
        <w:rPr>
          <w:spacing w:val="-3"/>
          <w:w w:val="105"/>
          <w:sz w:val="21"/>
        </w:rPr>
        <w:t>will </w:t>
      </w:r>
      <w:r>
        <w:rPr>
          <w:w w:val="105"/>
          <w:sz w:val="21"/>
        </w:rPr>
        <w:t>give the tree </w:t>
      </w:r>
      <w:r>
        <w:rPr>
          <w:spacing w:val="-3"/>
          <w:w w:val="105"/>
          <w:sz w:val="21"/>
        </w:rPr>
        <w:t>dispute</w:t>
      </w:r>
      <w:r>
        <w:rPr>
          <w:spacing w:val="-5"/>
          <w:w w:val="105"/>
          <w:sz w:val="21"/>
        </w:rPr>
        <w:t> </w:t>
      </w:r>
      <w:r>
        <w:rPr>
          <w:spacing w:val="-3"/>
          <w:w w:val="105"/>
          <w:sz w:val="21"/>
        </w:rPr>
        <w:t>finality,</w:t>
      </w:r>
      <w:r>
        <w:rPr>
          <w:spacing w:val="-6"/>
          <w:w w:val="105"/>
          <w:sz w:val="21"/>
        </w:rPr>
        <w:t> </w:t>
      </w:r>
      <w:r>
        <w:rPr>
          <w:w w:val="105"/>
          <w:sz w:val="21"/>
        </w:rPr>
        <w:t>and</w:t>
      </w:r>
      <w:r>
        <w:rPr>
          <w:spacing w:val="-5"/>
          <w:w w:val="105"/>
          <w:sz w:val="21"/>
        </w:rPr>
        <w:t> </w:t>
      </w:r>
      <w:r>
        <w:rPr>
          <w:w w:val="105"/>
          <w:sz w:val="21"/>
        </w:rPr>
        <w:t>the</w:t>
      </w:r>
      <w:r>
        <w:rPr>
          <w:spacing w:val="-5"/>
          <w:w w:val="105"/>
          <w:sz w:val="21"/>
        </w:rPr>
        <w:t> </w:t>
      </w:r>
      <w:r>
        <w:rPr>
          <w:w w:val="105"/>
          <w:sz w:val="21"/>
        </w:rPr>
        <w:t>parties</w:t>
      </w:r>
      <w:r>
        <w:rPr>
          <w:spacing w:val="-5"/>
          <w:w w:val="105"/>
          <w:sz w:val="21"/>
        </w:rPr>
        <w:t> </w:t>
      </w:r>
      <w:r>
        <w:rPr>
          <w:spacing w:val="-3"/>
          <w:w w:val="105"/>
          <w:sz w:val="21"/>
        </w:rPr>
        <w:t>certainty,</w:t>
      </w:r>
      <w:r>
        <w:rPr>
          <w:spacing w:val="-5"/>
          <w:w w:val="105"/>
          <w:sz w:val="21"/>
        </w:rPr>
        <w:t> </w:t>
      </w:r>
      <w:r>
        <w:rPr>
          <w:w w:val="105"/>
          <w:sz w:val="21"/>
        </w:rPr>
        <w:t>about</w:t>
      </w:r>
      <w:r>
        <w:rPr>
          <w:spacing w:val="-5"/>
          <w:w w:val="105"/>
          <w:sz w:val="21"/>
        </w:rPr>
        <w:t> </w:t>
      </w:r>
      <w:r>
        <w:rPr>
          <w:w w:val="105"/>
          <w:sz w:val="21"/>
        </w:rPr>
        <w:t>how</w:t>
      </w:r>
      <w:r>
        <w:rPr>
          <w:spacing w:val="-5"/>
          <w:w w:val="105"/>
          <w:sz w:val="21"/>
        </w:rPr>
        <w:t> </w:t>
      </w:r>
      <w:r>
        <w:rPr>
          <w:spacing w:val="-3"/>
          <w:w w:val="105"/>
          <w:sz w:val="21"/>
        </w:rPr>
        <w:t>to</w:t>
      </w:r>
      <w:r>
        <w:rPr>
          <w:spacing w:val="-5"/>
          <w:w w:val="105"/>
          <w:sz w:val="21"/>
        </w:rPr>
        <w:t> </w:t>
      </w:r>
      <w:r>
        <w:rPr>
          <w:spacing w:val="-3"/>
          <w:w w:val="105"/>
          <w:sz w:val="21"/>
        </w:rPr>
        <w:t>manage</w:t>
      </w:r>
      <w:r>
        <w:rPr>
          <w:spacing w:val="-5"/>
          <w:w w:val="105"/>
          <w:sz w:val="21"/>
        </w:rPr>
        <w:t> </w:t>
      </w:r>
      <w:r>
        <w:rPr>
          <w:w w:val="105"/>
          <w:sz w:val="21"/>
        </w:rPr>
        <w:t>the</w:t>
      </w:r>
      <w:r>
        <w:rPr>
          <w:spacing w:val="-5"/>
          <w:w w:val="105"/>
          <w:sz w:val="21"/>
        </w:rPr>
        <w:t> </w:t>
      </w:r>
      <w:r>
        <w:rPr>
          <w:spacing w:val="-3"/>
          <w:w w:val="105"/>
          <w:sz w:val="21"/>
        </w:rPr>
        <w:t>tree.</w:t>
      </w:r>
      <w:r>
        <w:rPr>
          <w:spacing w:val="-5"/>
          <w:w w:val="105"/>
          <w:sz w:val="21"/>
        </w:rPr>
        <w:t> </w:t>
      </w:r>
      <w:r>
        <w:rPr>
          <w:w w:val="105"/>
          <w:sz w:val="21"/>
        </w:rPr>
        <w:t>It</w:t>
      </w:r>
      <w:r>
        <w:rPr>
          <w:spacing w:val="-5"/>
          <w:w w:val="105"/>
          <w:sz w:val="21"/>
        </w:rPr>
        <w:t> </w:t>
      </w:r>
      <w:r>
        <w:rPr>
          <w:spacing w:val="-3"/>
          <w:w w:val="105"/>
          <w:sz w:val="21"/>
        </w:rPr>
        <w:t>will</w:t>
      </w:r>
      <w:r>
        <w:rPr>
          <w:spacing w:val="-5"/>
          <w:w w:val="105"/>
          <w:sz w:val="21"/>
        </w:rPr>
        <w:t> </w:t>
      </w:r>
      <w:r>
        <w:rPr>
          <w:w w:val="105"/>
          <w:sz w:val="21"/>
        </w:rPr>
        <w:t>also</w:t>
      </w:r>
      <w:r>
        <w:rPr>
          <w:spacing w:val="-5"/>
          <w:w w:val="105"/>
          <w:sz w:val="21"/>
        </w:rPr>
        <w:t> </w:t>
      </w:r>
      <w:r>
        <w:rPr>
          <w:w w:val="105"/>
          <w:sz w:val="21"/>
        </w:rPr>
        <w:t>avoid </w:t>
      </w:r>
      <w:r>
        <w:rPr>
          <w:spacing w:val="-3"/>
          <w:w w:val="105"/>
          <w:sz w:val="21"/>
        </w:rPr>
        <w:t>duplication </w:t>
      </w:r>
      <w:r>
        <w:rPr>
          <w:w w:val="105"/>
          <w:sz w:val="21"/>
        </w:rPr>
        <w:t>of legal </w:t>
      </w:r>
      <w:r>
        <w:rPr>
          <w:spacing w:val="-3"/>
          <w:w w:val="105"/>
          <w:sz w:val="21"/>
        </w:rPr>
        <w:t>proceedings. </w:t>
      </w:r>
      <w:r>
        <w:rPr>
          <w:w w:val="105"/>
          <w:sz w:val="21"/>
        </w:rPr>
        <w:t>The new Act</w:t>
      </w:r>
      <w:r>
        <w:rPr>
          <w:spacing w:val="42"/>
          <w:w w:val="105"/>
          <w:sz w:val="21"/>
        </w:rPr>
        <w:t> </w:t>
      </w:r>
      <w:r>
        <w:rPr>
          <w:w w:val="105"/>
          <w:sz w:val="21"/>
        </w:rPr>
        <w:t>should:</w:t>
      </w:r>
    </w:p>
    <w:p>
      <w:pPr>
        <w:pStyle w:val="ListParagraph"/>
        <w:numPr>
          <w:ilvl w:val="1"/>
          <w:numId w:val="6"/>
        </w:numPr>
        <w:tabs>
          <w:tab w:pos="2721" w:val="left" w:leader="none"/>
          <w:tab w:pos="2722" w:val="left" w:leader="none"/>
        </w:tabs>
        <w:spacing w:line="240" w:lineRule="auto" w:before="124" w:after="0"/>
        <w:ind w:left="2721" w:right="0" w:hanging="340"/>
        <w:jc w:val="left"/>
        <w:rPr>
          <w:sz w:val="21"/>
        </w:rPr>
      </w:pPr>
      <w:r>
        <w:rPr>
          <w:spacing w:val="-3"/>
          <w:sz w:val="21"/>
        </w:rPr>
        <w:t>require</w:t>
      </w:r>
      <w:r>
        <w:rPr>
          <w:spacing w:val="9"/>
          <w:sz w:val="21"/>
        </w:rPr>
        <w:t> </w:t>
      </w:r>
      <w:r>
        <w:rPr>
          <w:spacing w:val="-3"/>
          <w:sz w:val="21"/>
        </w:rPr>
        <w:t>relevant</w:t>
      </w:r>
      <w:r>
        <w:rPr>
          <w:spacing w:val="10"/>
          <w:sz w:val="21"/>
        </w:rPr>
        <w:t> </w:t>
      </w:r>
      <w:r>
        <w:rPr>
          <w:sz w:val="21"/>
        </w:rPr>
        <w:t>matters</w:t>
      </w:r>
      <w:r>
        <w:rPr>
          <w:spacing w:val="10"/>
          <w:sz w:val="21"/>
        </w:rPr>
        <w:t> </w:t>
      </w:r>
      <w:r>
        <w:rPr>
          <w:spacing w:val="-3"/>
          <w:sz w:val="21"/>
        </w:rPr>
        <w:t>to</w:t>
      </w:r>
      <w:r>
        <w:rPr>
          <w:spacing w:val="10"/>
          <w:sz w:val="21"/>
        </w:rPr>
        <w:t> </w:t>
      </w:r>
      <w:r>
        <w:rPr>
          <w:sz w:val="21"/>
        </w:rPr>
        <w:t>be</w:t>
      </w:r>
      <w:r>
        <w:rPr>
          <w:spacing w:val="10"/>
          <w:sz w:val="21"/>
        </w:rPr>
        <w:t> </w:t>
      </w:r>
      <w:r>
        <w:rPr>
          <w:sz w:val="21"/>
        </w:rPr>
        <w:t>disclosed</w:t>
      </w:r>
      <w:r>
        <w:rPr>
          <w:spacing w:val="10"/>
          <w:sz w:val="21"/>
        </w:rPr>
        <w:t> </w:t>
      </w:r>
      <w:r>
        <w:rPr>
          <w:spacing w:val="-3"/>
          <w:sz w:val="21"/>
        </w:rPr>
        <w:t>to</w:t>
      </w:r>
      <w:r>
        <w:rPr>
          <w:spacing w:val="10"/>
          <w:sz w:val="21"/>
        </w:rPr>
        <w:t> </w:t>
      </w:r>
      <w:r>
        <w:rPr>
          <w:spacing w:val="-3"/>
          <w:sz w:val="21"/>
        </w:rPr>
        <w:t>potential</w:t>
      </w:r>
      <w:r>
        <w:rPr>
          <w:spacing w:val="9"/>
          <w:sz w:val="21"/>
        </w:rPr>
        <w:t> </w:t>
      </w:r>
      <w:r>
        <w:rPr>
          <w:spacing w:val="-3"/>
          <w:sz w:val="21"/>
        </w:rPr>
        <w:t>purchasers</w:t>
      </w:r>
      <w:r>
        <w:rPr>
          <w:spacing w:val="10"/>
          <w:sz w:val="21"/>
        </w:rPr>
        <w:t> </w:t>
      </w:r>
      <w:r>
        <w:rPr>
          <w:spacing w:val="-3"/>
          <w:sz w:val="21"/>
        </w:rPr>
        <w:t>before</w:t>
      </w:r>
      <w:r>
        <w:rPr>
          <w:spacing w:val="10"/>
          <w:sz w:val="21"/>
        </w:rPr>
        <w:t> </w:t>
      </w:r>
      <w:r>
        <w:rPr>
          <w:sz w:val="21"/>
        </w:rPr>
        <w:t>sale</w:t>
      </w:r>
    </w:p>
    <w:p>
      <w:pPr>
        <w:pStyle w:val="ListParagraph"/>
        <w:numPr>
          <w:ilvl w:val="1"/>
          <w:numId w:val="6"/>
        </w:numPr>
        <w:tabs>
          <w:tab w:pos="2721" w:val="left" w:leader="none"/>
          <w:tab w:pos="2722" w:val="left" w:leader="none"/>
        </w:tabs>
        <w:spacing w:line="240" w:lineRule="auto" w:before="89" w:after="0"/>
        <w:ind w:left="2721" w:right="0" w:hanging="340"/>
        <w:jc w:val="left"/>
        <w:rPr>
          <w:sz w:val="21"/>
        </w:rPr>
      </w:pPr>
      <w:r>
        <w:rPr>
          <w:w w:val="105"/>
          <w:sz w:val="21"/>
        </w:rPr>
        <w:t>hold new owners </w:t>
      </w:r>
      <w:r>
        <w:rPr>
          <w:spacing w:val="-3"/>
          <w:w w:val="105"/>
          <w:sz w:val="21"/>
        </w:rPr>
        <w:t>responsible for complying </w:t>
      </w:r>
      <w:r>
        <w:rPr>
          <w:w w:val="105"/>
          <w:sz w:val="21"/>
        </w:rPr>
        <w:t>with orders </w:t>
      </w:r>
      <w:r>
        <w:rPr>
          <w:spacing w:val="-3"/>
          <w:w w:val="105"/>
          <w:sz w:val="21"/>
        </w:rPr>
        <w:t>from </w:t>
      </w:r>
      <w:r>
        <w:rPr>
          <w:w w:val="105"/>
          <w:sz w:val="21"/>
        </w:rPr>
        <w:t>the </w:t>
      </w:r>
      <w:r>
        <w:rPr>
          <w:spacing w:val="-3"/>
          <w:w w:val="105"/>
          <w:sz w:val="21"/>
        </w:rPr>
        <w:t>date </w:t>
      </w:r>
      <w:r>
        <w:rPr>
          <w:w w:val="105"/>
          <w:sz w:val="21"/>
        </w:rPr>
        <w:t>of</w:t>
      </w:r>
      <w:r>
        <w:rPr>
          <w:spacing w:val="43"/>
          <w:w w:val="105"/>
          <w:sz w:val="21"/>
        </w:rPr>
        <w:t> </w:t>
      </w:r>
      <w:r>
        <w:rPr>
          <w:w w:val="105"/>
          <w:sz w:val="21"/>
        </w:rPr>
        <w:t>settlement</w:t>
      </w:r>
    </w:p>
    <w:p>
      <w:pPr>
        <w:pStyle w:val="ListParagraph"/>
        <w:numPr>
          <w:ilvl w:val="1"/>
          <w:numId w:val="6"/>
        </w:numPr>
        <w:tabs>
          <w:tab w:pos="2721" w:val="left" w:leader="none"/>
          <w:tab w:pos="2722" w:val="left" w:leader="none"/>
        </w:tabs>
        <w:spacing w:line="240" w:lineRule="auto" w:before="89" w:after="0"/>
        <w:ind w:left="2721" w:right="0" w:hanging="340"/>
        <w:jc w:val="left"/>
        <w:rPr>
          <w:sz w:val="21"/>
        </w:rPr>
      </w:pPr>
      <w:r>
        <w:rPr>
          <w:sz w:val="21"/>
        </w:rPr>
        <w:t>state</w:t>
      </w:r>
      <w:r>
        <w:rPr>
          <w:spacing w:val="9"/>
          <w:sz w:val="21"/>
        </w:rPr>
        <w:t> </w:t>
      </w:r>
      <w:r>
        <w:rPr>
          <w:spacing w:val="-3"/>
          <w:sz w:val="21"/>
        </w:rPr>
        <w:t>that</w:t>
      </w:r>
      <w:r>
        <w:rPr>
          <w:spacing w:val="10"/>
          <w:sz w:val="21"/>
        </w:rPr>
        <w:t> </w:t>
      </w:r>
      <w:r>
        <w:rPr>
          <w:sz w:val="21"/>
        </w:rPr>
        <w:t>only</w:t>
      </w:r>
      <w:r>
        <w:rPr>
          <w:spacing w:val="9"/>
          <w:sz w:val="21"/>
        </w:rPr>
        <w:t> </w:t>
      </w:r>
      <w:r>
        <w:rPr>
          <w:spacing w:val="-3"/>
          <w:sz w:val="21"/>
        </w:rPr>
        <w:t>immediate</w:t>
      </w:r>
      <w:r>
        <w:rPr>
          <w:spacing w:val="10"/>
          <w:sz w:val="21"/>
        </w:rPr>
        <w:t> </w:t>
      </w:r>
      <w:r>
        <w:rPr>
          <w:sz w:val="21"/>
        </w:rPr>
        <w:t>new</w:t>
      </w:r>
      <w:r>
        <w:rPr>
          <w:spacing w:val="9"/>
          <w:sz w:val="21"/>
        </w:rPr>
        <w:t> </w:t>
      </w:r>
      <w:r>
        <w:rPr>
          <w:sz w:val="21"/>
        </w:rPr>
        <w:t>owners</w:t>
      </w:r>
      <w:r>
        <w:rPr>
          <w:spacing w:val="10"/>
          <w:sz w:val="21"/>
        </w:rPr>
        <w:t> </w:t>
      </w:r>
      <w:r>
        <w:rPr>
          <w:spacing w:val="-3"/>
          <w:sz w:val="21"/>
        </w:rPr>
        <w:t>may</w:t>
      </w:r>
      <w:r>
        <w:rPr>
          <w:spacing w:val="9"/>
          <w:sz w:val="21"/>
        </w:rPr>
        <w:t> </w:t>
      </w:r>
      <w:r>
        <w:rPr>
          <w:sz w:val="21"/>
        </w:rPr>
        <w:t>benefit</w:t>
      </w:r>
      <w:r>
        <w:rPr>
          <w:spacing w:val="10"/>
          <w:sz w:val="21"/>
        </w:rPr>
        <w:t> </w:t>
      </w:r>
      <w:r>
        <w:rPr>
          <w:spacing w:val="-3"/>
          <w:sz w:val="21"/>
        </w:rPr>
        <w:t>from</w:t>
      </w:r>
      <w:r>
        <w:rPr>
          <w:spacing w:val="9"/>
          <w:sz w:val="21"/>
        </w:rPr>
        <w:t> </w:t>
      </w:r>
      <w:r>
        <w:rPr>
          <w:sz w:val="21"/>
        </w:rPr>
        <w:t>orders</w:t>
      </w:r>
    </w:p>
    <w:p>
      <w:pPr>
        <w:pStyle w:val="ListParagraph"/>
        <w:numPr>
          <w:ilvl w:val="1"/>
          <w:numId w:val="6"/>
        </w:numPr>
        <w:tabs>
          <w:tab w:pos="2721" w:val="left" w:leader="none"/>
          <w:tab w:pos="2722" w:val="left" w:leader="none"/>
        </w:tabs>
        <w:spacing w:line="240" w:lineRule="auto" w:before="88" w:after="0"/>
        <w:ind w:left="2721" w:right="0" w:hanging="340"/>
        <w:jc w:val="left"/>
        <w:rPr>
          <w:sz w:val="21"/>
        </w:rPr>
      </w:pPr>
      <w:r>
        <w:rPr>
          <w:sz w:val="21"/>
        </w:rPr>
        <w:t>avoid</w:t>
      </w:r>
      <w:r>
        <w:rPr>
          <w:spacing w:val="9"/>
          <w:sz w:val="21"/>
        </w:rPr>
        <w:t> </w:t>
      </w:r>
      <w:r>
        <w:rPr>
          <w:spacing w:val="-3"/>
          <w:sz w:val="21"/>
        </w:rPr>
        <w:t>adding</w:t>
      </w:r>
      <w:r>
        <w:rPr>
          <w:spacing w:val="9"/>
          <w:sz w:val="21"/>
        </w:rPr>
        <w:t> </w:t>
      </w:r>
      <w:r>
        <w:rPr>
          <w:sz w:val="21"/>
        </w:rPr>
        <w:t>extra</w:t>
      </w:r>
      <w:r>
        <w:rPr>
          <w:spacing w:val="9"/>
          <w:sz w:val="21"/>
        </w:rPr>
        <w:t> </w:t>
      </w:r>
      <w:r>
        <w:rPr>
          <w:sz w:val="21"/>
        </w:rPr>
        <w:t>steps</w:t>
      </w:r>
      <w:r>
        <w:rPr>
          <w:spacing w:val="10"/>
          <w:sz w:val="21"/>
        </w:rPr>
        <w:t> </w:t>
      </w:r>
      <w:r>
        <w:rPr>
          <w:sz w:val="21"/>
        </w:rPr>
        <w:t>or</w:t>
      </w:r>
      <w:r>
        <w:rPr>
          <w:spacing w:val="9"/>
          <w:sz w:val="21"/>
        </w:rPr>
        <w:t> </w:t>
      </w:r>
      <w:r>
        <w:rPr>
          <w:sz w:val="21"/>
        </w:rPr>
        <w:t>complexity</w:t>
      </w:r>
      <w:r>
        <w:rPr>
          <w:spacing w:val="9"/>
          <w:sz w:val="21"/>
        </w:rPr>
        <w:t> </w:t>
      </w:r>
      <w:r>
        <w:rPr>
          <w:spacing w:val="-3"/>
          <w:sz w:val="21"/>
        </w:rPr>
        <w:t>to</w:t>
      </w:r>
      <w:r>
        <w:rPr>
          <w:spacing w:val="9"/>
          <w:sz w:val="21"/>
        </w:rPr>
        <w:t> </w:t>
      </w:r>
      <w:r>
        <w:rPr>
          <w:sz w:val="21"/>
        </w:rPr>
        <w:t>the</w:t>
      </w:r>
      <w:r>
        <w:rPr>
          <w:spacing w:val="10"/>
          <w:sz w:val="21"/>
        </w:rPr>
        <w:t> </w:t>
      </w:r>
      <w:r>
        <w:rPr>
          <w:sz w:val="21"/>
        </w:rPr>
        <w:t>sale</w:t>
      </w:r>
      <w:r>
        <w:rPr>
          <w:spacing w:val="9"/>
          <w:sz w:val="21"/>
        </w:rPr>
        <w:t> </w:t>
      </w:r>
      <w:r>
        <w:rPr>
          <w:sz w:val="21"/>
        </w:rPr>
        <w:t>of</w:t>
      </w:r>
      <w:r>
        <w:rPr>
          <w:spacing w:val="9"/>
          <w:sz w:val="21"/>
        </w:rPr>
        <w:t> </w:t>
      </w:r>
      <w:r>
        <w:rPr>
          <w:spacing w:val="-3"/>
          <w:sz w:val="21"/>
        </w:rPr>
        <w:t>land</w:t>
      </w:r>
      <w:r>
        <w:rPr>
          <w:spacing w:val="9"/>
          <w:sz w:val="21"/>
        </w:rPr>
        <w:t> </w:t>
      </w:r>
      <w:r>
        <w:rPr>
          <w:sz w:val="21"/>
        </w:rPr>
        <w:t>process.</w:t>
      </w:r>
    </w:p>
    <w:p>
      <w:pPr>
        <w:pStyle w:val="BodyText"/>
        <w:rPr>
          <w:sz w:val="19"/>
        </w:rPr>
      </w:pPr>
    </w:p>
    <w:p>
      <w:pPr>
        <w:pStyle w:val="Heading4"/>
      </w:pPr>
      <w:r>
        <w:rPr>
          <w:color w:val="658464"/>
          <w:w w:val="115"/>
        </w:rPr>
        <w:t>Future review</w:t>
      </w:r>
    </w:p>
    <w:p>
      <w:pPr>
        <w:pStyle w:val="ListParagraph"/>
        <w:numPr>
          <w:ilvl w:val="0"/>
          <w:numId w:val="6"/>
        </w:numPr>
        <w:tabs>
          <w:tab w:pos="2381" w:val="left" w:leader="none"/>
          <w:tab w:pos="2382" w:val="left" w:leader="none"/>
        </w:tabs>
        <w:spacing w:line="242" w:lineRule="auto" w:before="155" w:after="0"/>
        <w:ind w:left="2381" w:right="2469" w:hanging="794"/>
        <w:jc w:val="left"/>
        <w:rPr>
          <w:sz w:val="21"/>
        </w:rPr>
      </w:pPr>
      <w:r>
        <w:rPr>
          <w:sz w:val="21"/>
        </w:rPr>
        <w:t>The new Act should be reviewed after five years of operation </w:t>
      </w:r>
      <w:r>
        <w:rPr>
          <w:spacing w:val="-3"/>
          <w:sz w:val="21"/>
        </w:rPr>
        <w:t>to  determine  </w:t>
      </w:r>
      <w:r>
        <w:rPr>
          <w:sz w:val="21"/>
        </w:rPr>
        <w:t>if it    is </w:t>
      </w:r>
      <w:r>
        <w:rPr>
          <w:spacing w:val="-3"/>
          <w:sz w:val="21"/>
        </w:rPr>
        <w:t>achieving </w:t>
      </w:r>
      <w:r>
        <w:rPr>
          <w:sz w:val="21"/>
        </w:rPr>
        <w:t>its objectives. The </w:t>
      </w:r>
      <w:r>
        <w:rPr>
          <w:spacing w:val="-3"/>
          <w:sz w:val="21"/>
        </w:rPr>
        <w:t>Commission </w:t>
      </w:r>
      <w:r>
        <w:rPr>
          <w:sz w:val="21"/>
        </w:rPr>
        <w:t>identifies some particular matters </w:t>
      </w:r>
      <w:r>
        <w:rPr>
          <w:spacing w:val="-3"/>
          <w:sz w:val="21"/>
        </w:rPr>
        <w:t>for consideration </w:t>
      </w:r>
      <w:r>
        <w:rPr>
          <w:sz w:val="21"/>
        </w:rPr>
        <w:t>by </w:t>
      </w:r>
      <w:r>
        <w:rPr>
          <w:spacing w:val="-3"/>
          <w:sz w:val="21"/>
        </w:rPr>
        <w:t>Government </w:t>
      </w:r>
      <w:r>
        <w:rPr>
          <w:sz w:val="21"/>
        </w:rPr>
        <w:t>when the Act is</w:t>
      </w:r>
      <w:r>
        <w:rPr>
          <w:spacing w:val="-3"/>
          <w:sz w:val="21"/>
        </w:rPr>
        <w:t> reviewed.</w:t>
      </w:r>
    </w:p>
    <w:p>
      <w:pPr>
        <w:pStyle w:val="ListParagraph"/>
        <w:numPr>
          <w:ilvl w:val="0"/>
          <w:numId w:val="6"/>
        </w:numPr>
        <w:tabs>
          <w:tab w:pos="2380" w:val="left" w:leader="none"/>
          <w:tab w:pos="2381" w:val="left" w:leader="none"/>
        </w:tabs>
        <w:spacing w:line="242" w:lineRule="auto" w:before="124" w:after="0"/>
        <w:ind w:left="2381" w:right="1608" w:hanging="794"/>
        <w:jc w:val="both"/>
        <w:rPr>
          <w:sz w:val="21"/>
        </w:rPr>
      </w:pPr>
      <w:r>
        <w:rPr>
          <w:w w:val="105"/>
          <w:sz w:val="21"/>
        </w:rPr>
        <w:t>The</w:t>
      </w:r>
      <w:r>
        <w:rPr>
          <w:spacing w:val="-10"/>
          <w:w w:val="105"/>
          <w:sz w:val="21"/>
        </w:rPr>
        <w:t> </w:t>
      </w:r>
      <w:r>
        <w:rPr>
          <w:spacing w:val="-4"/>
          <w:w w:val="105"/>
          <w:sz w:val="21"/>
        </w:rPr>
        <w:t>Commission’s</w:t>
      </w:r>
      <w:r>
        <w:rPr>
          <w:spacing w:val="-9"/>
          <w:w w:val="105"/>
          <w:sz w:val="21"/>
        </w:rPr>
        <w:t> </w:t>
      </w:r>
      <w:r>
        <w:rPr>
          <w:spacing w:val="-3"/>
          <w:w w:val="105"/>
          <w:sz w:val="21"/>
        </w:rPr>
        <w:t>preliminary</w:t>
      </w:r>
      <w:r>
        <w:rPr>
          <w:spacing w:val="-9"/>
          <w:w w:val="105"/>
          <w:sz w:val="21"/>
        </w:rPr>
        <w:t> </w:t>
      </w:r>
      <w:r>
        <w:rPr>
          <w:w w:val="105"/>
          <w:sz w:val="21"/>
        </w:rPr>
        <w:t>views</w:t>
      </w:r>
      <w:r>
        <w:rPr>
          <w:spacing w:val="-9"/>
          <w:w w:val="105"/>
          <w:sz w:val="21"/>
        </w:rPr>
        <w:t> </w:t>
      </w:r>
      <w:r>
        <w:rPr>
          <w:w w:val="105"/>
          <w:sz w:val="21"/>
        </w:rPr>
        <w:t>on</w:t>
      </w:r>
      <w:r>
        <w:rPr>
          <w:spacing w:val="-9"/>
          <w:w w:val="105"/>
          <w:sz w:val="21"/>
        </w:rPr>
        <w:t> </w:t>
      </w:r>
      <w:r>
        <w:rPr>
          <w:w w:val="105"/>
          <w:sz w:val="21"/>
        </w:rPr>
        <w:t>some</w:t>
      </w:r>
      <w:r>
        <w:rPr>
          <w:spacing w:val="-9"/>
          <w:w w:val="105"/>
          <w:sz w:val="21"/>
        </w:rPr>
        <w:t> </w:t>
      </w:r>
      <w:r>
        <w:rPr>
          <w:w w:val="105"/>
          <w:sz w:val="21"/>
        </w:rPr>
        <w:t>matters</w:t>
      </w:r>
      <w:r>
        <w:rPr>
          <w:spacing w:val="-9"/>
          <w:w w:val="105"/>
          <w:sz w:val="21"/>
        </w:rPr>
        <w:t> </w:t>
      </w:r>
      <w:r>
        <w:rPr>
          <w:w w:val="105"/>
          <w:sz w:val="21"/>
        </w:rPr>
        <w:t>beyond</w:t>
      </w:r>
      <w:r>
        <w:rPr>
          <w:spacing w:val="-9"/>
          <w:w w:val="105"/>
          <w:sz w:val="21"/>
        </w:rPr>
        <w:t> </w:t>
      </w:r>
      <w:r>
        <w:rPr>
          <w:w w:val="105"/>
          <w:sz w:val="21"/>
        </w:rPr>
        <w:t>the</w:t>
      </w:r>
      <w:r>
        <w:rPr>
          <w:spacing w:val="-9"/>
          <w:w w:val="105"/>
          <w:sz w:val="21"/>
        </w:rPr>
        <w:t> </w:t>
      </w:r>
      <w:r>
        <w:rPr>
          <w:w w:val="105"/>
          <w:sz w:val="21"/>
        </w:rPr>
        <w:t>scope</w:t>
      </w:r>
      <w:r>
        <w:rPr>
          <w:spacing w:val="-9"/>
          <w:w w:val="105"/>
          <w:sz w:val="21"/>
        </w:rPr>
        <w:t> </w:t>
      </w:r>
      <w:r>
        <w:rPr>
          <w:w w:val="105"/>
          <w:sz w:val="21"/>
        </w:rPr>
        <w:t>of</w:t>
      </w:r>
      <w:r>
        <w:rPr>
          <w:spacing w:val="-9"/>
          <w:w w:val="105"/>
          <w:sz w:val="21"/>
        </w:rPr>
        <w:t> </w:t>
      </w:r>
      <w:r>
        <w:rPr>
          <w:w w:val="105"/>
          <w:sz w:val="21"/>
        </w:rPr>
        <w:t>this</w:t>
      </w:r>
      <w:r>
        <w:rPr>
          <w:spacing w:val="-9"/>
          <w:w w:val="105"/>
          <w:sz w:val="21"/>
        </w:rPr>
        <w:t> </w:t>
      </w:r>
      <w:r>
        <w:rPr>
          <w:w w:val="105"/>
          <w:sz w:val="21"/>
        </w:rPr>
        <w:t>inquiry</w:t>
      </w:r>
      <w:r>
        <w:rPr>
          <w:spacing w:val="-9"/>
          <w:w w:val="105"/>
          <w:sz w:val="21"/>
        </w:rPr>
        <w:t> </w:t>
      </w:r>
      <w:r>
        <w:rPr>
          <w:spacing w:val="-3"/>
          <w:w w:val="105"/>
          <w:sz w:val="21"/>
        </w:rPr>
        <w:t>are </w:t>
      </w:r>
      <w:r>
        <w:rPr>
          <w:w w:val="105"/>
          <w:sz w:val="21"/>
        </w:rPr>
        <w:t>provided</w:t>
      </w:r>
      <w:r>
        <w:rPr>
          <w:spacing w:val="-8"/>
          <w:w w:val="105"/>
          <w:sz w:val="21"/>
        </w:rPr>
        <w:t> </w:t>
      </w:r>
      <w:r>
        <w:rPr>
          <w:w w:val="105"/>
          <w:sz w:val="21"/>
        </w:rPr>
        <w:t>at</w:t>
      </w:r>
      <w:r>
        <w:rPr>
          <w:spacing w:val="-8"/>
          <w:w w:val="105"/>
          <w:sz w:val="21"/>
        </w:rPr>
        <w:t> </w:t>
      </w:r>
      <w:r>
        <w:rPr>
          <w:w w:val="105"/>
          <w:sz w:val="21"/>
        </w:rPr>
        <w:t>the</w:t>
      </w:r>
      <w:r>
        <w:rPr>
          <w:spacing w:val="-8"/>
          <w:w w:val="105"/>
          <w:sz w:val="21"/>
        </w:rPr>
        <w:t> </w:t>
      </w:r>
      <w:r>
        <w:rPr>
          <w:spacing w:val="-3"/>
          <w:w w:val="105"/>
          <w:sz w:val="21"/>
        </w:rPr>
        <w:t>conclusion</w:t>
      </w:r>
      <w:r>
        <w:rPr>
          <w:spacing w:val="-8"/>
          <w:w w:val="105"/>
          <w:sz w:val="21"/>
        </w:rPr>
        <w:t> </w:t>
      </w:r>
      <w:r>
        <w:rPr>
          <w:w w:val="105"/>
          <w:sz w:val="21"/>
        </w:rPr>
        <w:t>of</w:t>
      </w:r>
      <w:r>
        <w:rPr>
          <w:spacing w:val="-7"/>
          <w:w w:val="105"/>
          <w:sz w:val="21"/>
        </w:rPr>
        <w:t> </w:t>
      </w:r>
      <w:r>
        <w:rPr>
          <w:w w:val="105"/>
          <w:sz w:val="21"/>
        </w:rPr>
        <w:t>this</w:t>
      </w:r>
      <w:r>
        <w:rPr>
          <w:spacing w:val="-8"/>
          <w:w w:val="105"/>
          <w:sz w:val="21"/>
        </w:rPr>
        <w:t> </w:t>
      </w:r>
      <w:r>
        <w:rPr>
          <w:w w:val="105"/>
          <w:sz w:val="21"/>
        </w:rPr>
        <w:t>report,</w:t>
      </w:r>
      <w:r>
        <w:rPr>
          <w:spacing w:val="-8"/>
          <w:w w:val="105"/>
          <w:sz w:val="21"/>
        </w:rPr>
        <w:t> </w:t>
      </w:r>
      <w:r>
        <w:rPr>
          <w:w w:val="105"/>
          <w:sz w:val="21"/>
        </w:rPr>
        <w:t>as</w:t>
      </w:r>
      <w:r>
        <w:rPr>
          <w:spacing w:val="-8"/>
          <w:w w:val="105"/>
          <w:sz w:val="21"/>
        </w:rPr>
        <w:t> </w:t>
      </w:r>
      <w:r>
        <w:rPr>
          <w:spacing w:val="-3"/>
          <w:w w:val="105"/>
          <w:sz w:val="21"/>
        </w:rPr>
        <w:t>well</w:t>
      </w:r>
      <w:r>
        <w:rPr>
          <w:spacing w:val="-8"/>
          <w:w w:val="105"/>
          <w:sz w:val="21"/>
        </w:rPr>
        <w:t> </w:t>
      </w:r>
      <w:r>
        <w:rPr>
          <w:w w:val="105"/>
          <w:sz w:val="21"/>
        </w:rPr>
        <w:t>as</w:t>
      </w:r>
      <w:r>
        <w:rPr>
          <w:spacing w:val="-7"/>
          <w:w w:val="105"/>
          <w:sz w:val="21"/>
        </w:rPr>
        <w:t> </w:t>
      </w:r>
      <w:r>
        <w:rPr>
          <w:w w:val="105"/>
          <w:sz w:val="21"/>
        </w:rPr>
        <w:t>other</w:t>
      </w:r>
      <w:r>
        <w:rPr>
          <w:spacing w:val="-8"/>
          <w:w w:val="105"/>
          <w:sz w:val="21"/>
        </w:rPr>
        <w:t> </w:t>
      </w:r>
      <w:r>
        <w:rPr>
          <w:w w:val="105"/>
          <w:sz w:val="21"/>
        </w:rPr>
        <w:t>issues</w:t>
      </w:r>
      <w:r>
        <w:rPr>
          <w:spacing w:val="-8"/>
          <w:w w:val="105"/>
          <w:sz w:val="21"/>
        </w:rPr>
        <w:t> </w:t>
      </w:r>
      <w:r>
        <w:rPr>
          <w:spacing w:val="-3"/>
          <w:w w:val="105"/>
          <w:sz w:val="21"/>
        </w:rPr>
        <w:t>that</w:t>
      </w:r>
      <w:r>
        <w:rPr>
          <w:spacing w:val="-8"/>
          <w:w w:val="105"/>
          <w:sz w:val="21"/>
        </w:rPr>
        <w:t> </w:t>
      </w:r>
      <w:r>
        <w:rPr>
          <w:w w:val="105"/>
          <w:sz w:val="21"/>
        </w:rPr>
        <w:t>should</w:t>
      </w:r>
      <w:r>
        <w:rPr>
          <w:spacing w:val="-8"/>
          <w:w w:val="105"/>
          <w:sz w:val="21"/>
        </w:rPr>
        <w:t> </w:t>
      </w:r>
      <w:r>
        <w:rPr>
          <w:w w:val="105"/>
          <w:sz w:val="21"/>
        </w:rPr>
        <w:t>be</w:t>
      </w:r>
      <w:r>
        <w:rPr>
          <w:spacing w:val="-7"/>
          <w:w w:val="105"/>
          <w:sz w:val="21"/>
        </w:rPr>
        <w:t> </w:t>
      </w:r>
      <w:r>
        <w:rPr>
          <w:spacing w:val="-3"/>
          <w:w w:val="105"/>
          <w:sz w:val="21"/>
        </w:rPr>
        <w:t>considered </w:t>
      </w:r>
      <w:r>
        <w:rPr>
          <w:w w:val="105"/>
          <w:sz w:val="21"/>
        </w:rPr>
        <w:t>by the </w:t>
      </w:r>
      <w:r>
        <w:rPr>
          <w:spacing w:val="-3"/>
          <w:w w:val="105"/>
          <w:sz w:val="21"/>
        </w:rPr>
        <w:t>Government </w:t>
      </w:r>
      <w:r>
        <w:rPr>
          <w:w w:val="105"/>
          <w:sz w:val="21"/>
        </w:rPr>
        <w:t>in </w:t>
      </w:r>
      <w:r>
        <w:rPr>
          <w:spacing w:val="-3"/>
          <w:w w:val="105"/>
          <w:sz w:val="21"/>
        </w:rPr>
        <w:t>designing </w:t>
      </w:r>
      <w:r>
        <w:rPr>
          <w:w w:val="105"/>
          <w:sz w:val="21"/>
        </w:rPr>
        <w:t>the new Act, </w:t>
      </w:r>
      <w:r>
        <w:rPr>
          <w:spacing w:val="-3"/>
          <w:w w:val="105"/>
          <w:sz w:val="21"/>
        </w:rPr>
        <w:t>for </w:t>
      </w:r>
      <w:r>
        <w:rPr>
          <w:w w:val="105"/>
          <w:sz w:val="21"/>
        </w:rPr>
        <w:t>example </w:t>
      </w:r>
      <w:r>
        <w:rPr>
          <w:spacing w:val="-3"/>
          <w:w w:val="105"/>
          <w:sz w:val="21"/>
        </w:rPr>
        <w:t>online dispute</w:t>
      </w:r>
      <w:r>
        <w:rPr>
          <w:spacing w:val="35"/>
          <w:w w:val="105"/>
          <w:sz w:val="21"/>
        </w:rPr>
        <w:t> </w:t>
      </w:r>
      <w:r>
        <w:rPr>
          <w:spacing w:val="-3"/>
          <w:w w:val="105"/>
          <w:sz w:val="21"/>
        </w:rPr>
        <w:t>resolution.</w:t>
      </w:r>
    </w:p>
    <w:p>
      <w:pPr>
        <w:pStyle w:val="BodyText"/>
        <w:spacing w:before="7"/>
        <w:rPr>
          <w:sz w:val="18"/>
        </w:rPr>
      </w:pPr>
    </w:p>
    <w:p>
      <w:pPr>
        <w:spacing w:before="0"/>
        <w:ind w:left="0" w:right="623" w:firstLine="0"/>
        <w:jc w:val="right"/>
        <w:rPr>
          <w:b/>
          <w:sz w:val="24"/>
        </w:rPr>
      </w:pPr>
      <w:r>
        <w:rPr>
          <w:b/>
          <w:color w:val="658464"/>
          <w:w w:val="120"/>
          <w:sz w:val="24"/>
        </w:rPr>
        <w:t>xxi</w:t>
      </w:r>
    </w:p>
    <w:p>
      <w:pPr>
        <w:spacing w:after="0"/>
        <w:jc w:val="right"/>
        <w:rPr>
          <w:sz w:val="24"/>
        </w:rPr>
        <w:sectPr>
          <w:pgSz w:w="11910" w:h="16840"/>
          <w:pgMar w:header="1372" w:footer="0" w:top="1560" w:bottom="280" w:left="0" w:right="0"/>
        </w:sectPr>
      </w:pPr>
    </w:p>
    <w:p>
      <w:pPr>
        <w:pStyle w:val="BodyText"/>
        <w:spacing w:before="10"/>
        <w:rPr>
          <w:b/>
          <w:sz w:val="18"/>
        </w:rPr>
      </w:pPr>
    </w:p>
    <w:p>
      <w:pPr>
        <w:pStyle w:val="Heading2"/>
        <w:spacing w:before="93"/>
        <w:ind w:left="566" w:firstLine="0"/>
      </w:pPr>
      <w:bookmarkStart w:name="Recommendations" w:id="15"/>
      <w:bookmarkEnd w:id="15"/>
      <w:r>
        <w:rPr>
          <w:b w:val="0"/>
        </w:rPr>
      </w:r>
      <w:bookmarkStart w:name="_bookmark4" w:id="16"/>
      <w:bookmarkEnd w:id="16"/>
      <w:r>
        <w:rPr>
          <w:b w:val="0"/>
        </w:rPr>
      </w:r>
      <w:r>
        <w:rPr>
          <w:color w:val="658464"/>
          <w:w w:val="110"/>
        </w:rPr>
        <w:t>Recommendations</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spacing w:before="11"/>
        <w:rPr>
          <w:b/>
          <w:sz w:val="47"/>
        </w:rPr>
      </w:pPr>
    </w:p>
    <w:p>
      <w:pPr>
        <w:spacing w:before="0"/>
        <w:ind w:left="1587" w:right="0" w:firstLine="0"/>
        <w:jc w:val="left"/>
        <w:rPr>
          <w:b/>
          <w:sz w:val="28"/>
        </w:rPr>
      </w:pPr>
      <w:r>
        <w:rPr>
          <w:b/>
          <w:color w:val="658464"/>
          <w:w w:val="110"/>
          <w:sz w:val="28"/>
        </w:rPr>
        <w:t>Chapter 4</w:t>
      </w:r>
    </w:p>
    <w:p>
      <w:pPr>
        <w:pStyle w:val="ListParagraph"/>
        <w:numPr>
          <w:ilvl w:val="0"/>
          <w:numId w:val="7"/>
        </w:numPr>
        <w:tabs>
          <w:tab w:pos="2154" w:val="left" w:leader="none"/>
          <w:tab w:pos="2155" w:val="left" w:leader="none"/>
        </w:tabs>
        <w:spacing w:line="242" w:lineRule="auto" w:before="155" w:after="0"/>
        <w:ind w:left="2154" w:right="2167" w:hanging="567"/>
        <w:jc w:val="left"/>
        <w:rPr>
          <w:sz w:val="21"/>
        </w:rPr>
      </w:pPr>
      <w:r>
        <w:rPr>
          <w:w w:val="105"/>
          <w:sz w:val="21"/>
        </w:rPr>
        <w:t>A</w:t>
      </w:r>
      <w:r>
        <w:rPr>
          <w:spacing w:val="-5"/>
          <w:w w:val="105"/>
          <w:sz w:val="21"/>
        </w:rPr>
        <w:t> </w:t>
      </w:r>
      <w:r>
        <w:rPr>
          <w:w w:val="105"/>
          <w:sz w:val="21"/>
        </w:rPr>
        <w:t>new</w:t>
      </w:r>
      <w:r>
        <w:rPr>
          <w:spacing w:val="-4"/>
          <w:w w:val="105"/>
          <w:sz w:val="21"/>
        </w:rPr>
        <w:t> </w:t>
      </w:r>
      <w:r>
        <w:rPr>
          <w:w w:val="105"/>
          <w:sz w:val="21"/>
        </w:rPr>
        <w:t>Act</w:t>
      </w:r>
      <w:r>
        <w:rPr>
          <w:spacing w:val="-4"/>
          <w:w w:val="105"/>
          <w:sz w:val="21"/>
        </w:rPr>
        <w:t> </w:t>
      </w:r>
      <w:r>
        <w:rPr>
          <w:w w:val="105"/>
          <w:sz w:val="21"/>
        </w:rPr>
        <w:t>should</w:t>
      </w:r>
      <w:r>
        <w:rPr>
          <w:spacing w:val="-4"/>
          <w:w w:val="105"/>
          <w:sz w:val="21"/>
        </w:rPr>
        <w:t> </w:t>
      </w:r>
      <w:r>
        <w:rPr>
          <w:w w:val="105"/>
          <w:sz w:val="21"/>
        </w:rPr>
        <w:t>be</w:t>
      </w:r>
      <w:r>
        <w:rPr>
          <w:spacing w:val="-4"/>
          <w:w w:val="105"/>
          <w:sz w:val="21"/>
        </w:rPr>
        <w:t> </w:t>
      </w:r>
      <w:r>
        <w:rPr>
          <w:spacing w:val="-3"/>
          <w:w w:val="105"/>
          <w:sz w:val="21"/>
        </w:rPr>
        <w:t>introduced</w:t>
      </w:r>
      <w:r>
        <w:rPr>
          <w:spacing w:val="-4"/>
          <w:w w:val="105"/>
          <w:sz w:val="21"/>
        </w:rPr>
        <w:t> </w:t>
      </w:r>
      <w:r>
        <w:rPr>
          <w:spacing w:val="-3"/>
          <w:w w:val="105"/>
          <w:sz w:val="21"/>
        </w:rPr>
        <w:t>to</w:t>
      </w:r>
      <w:r>
        <w:rPr>
          <w:spacing w:val="-4"/>
          <w:w w:val="105"/>
          <w:sz w:val="21"/>
        </w:rPr>
        <w:t> </w:t>
      </w:r>
      <w:r>
        <w:rPr>
          <w:w w:val="105"/>
          <w:sz w:val="21"/>
        </w:rPr>
        <w:t>govern</w:t>
      </w:r>
      <w:r>
        <w:rPr>
          <w:spacing w:val="-4"/>
          <w:w w:val="105"/>
          <w:sz w:val="21"/>
        </w:rPr>
        <w:t> </w:t>
      </w:r>
      <w:r>
        <w:rPr>
          <w:w w:val="105"/>
          <w:sz w:val="21"/>
        </w:rPr>
        <w:t>the</w:t>
      </w:r>
      <w:r>
        <w:rPr>
          <w:spacing w:val="-4"/>
          <w:w w:val="105"/>
          <w:sz w:val="21"/>
        </w:rPr>
        <w:t> </w:t>
      </w:r>
      <w:r>
        <w:rPr>
          <w:w w:val="105"/>
          <w:sz w:val="21"/>
        </w:rPr>
        <w:t>process</w:t>
      </w:r>
      <w:r>
        <w:rPr>
          <w:spacing w:val="-4"/>
          <w:w w:val="105"/>
          <w:sz w:val="21"/>
        </w:rPr>
        <w:t> </w:t>
      </w:r>
      <w:r>
        <w:rPr>
          <w:spacing w:val="-3"/>
          <w:w w:val="105"/>
          <w:sz w:val="21"/>
        </w:rPr>
        <w:t>for</w:t>
      </w:r>
      <w:r>
        <w:rPr>
          <w:spacing w:val="-4"/>
          <w:w w:val="105"/>
          <w:sz w:val="21"/>
        </w:rPr>
        <w:t> </w:t>
      </w:r>
      <w:r>
        <w:rPr>
          <w:w w:val="105"/>
          <w:sz w:val="21"/>
        </w:rPr>
        <w:t>resolving</w:t>
      </w:r>
      <w:r>
        <w:rPr>
          <w:spacing w:val="-4"/>
          <w:w w:val="105"/>
          <w:sz w:val="21"/>
        </w:rPr>
        <w:t> </w:t>
      </w:r>
      <w:r>
        <w:rPr>
          <w:spacing w:val="-3"/>
          <w:w w:val="105"/>
          <w:sz w:val="21"/>
        </w:rPr>
        <w:t>disputes</w:t>
      </w:r>
      <w:r>
        <w:rPr>
          <w:spacing w:val="-4"/>
          <w:w w:val="105"/>
          <w:sz w:val="21"/>
        </w:rPr>
        <w:t> </w:t>
      </w:r>
      <w:r>
        <w:rPr>
          <w:w w:val="105"/>
          <w:sz w:val="21"/>
        </w:rPr>
        <w:t>between neighbours about trees on </w:t>
      </w:r>
      <w:r>
        <w:rPr>
          <w:spacing w:val="-3"/>
          <w:w w:val="105"/>
          <w:sz w:val="21"/>
        </w:rPr>
        <w:t>private land </w:t>
      </w:r>
      <w:r>
        <w:rPr>
          <w:w w:val="105"/>
          <w:sz w:val="21"/>
        </w:rPr>
        <w:t>in Victoria. The new Act </w:t>
      </w:r>
      <w:r>
        <w:rPr>
          <w:spacing w:val="-3"/>
          <w:w w:val="105"/>
          <w:sz w:val="21"/>
        </w:rPr>
        <w:t>could </w:t>
      </w:r>
      <w:r>
        <w:rPr>
          <w:w w:val="105"/>
          <w:sz w:val="21"/>
        </w:rPr>
        <w:t>be titled the Neighbourhood </w:t>
      </w:r>
      <w:r>
        <w:rPr>
          <w:spacing w:val="-5"/>
          <w:w w:val="105"/>
          <w:sz w:val="21"/>
        </w:rPr>
        <w:t>Tree </w:t>
      </w:r>
      <w:r>
        <w:rPr>
          <w:spacing w:val="-3"/>
          <w:w w:val="105"/>
          <w:sz w:val="21"/>
        </w:rPr>
        <w:t>Disputes</w:t>
      </w:r>
      <w:r>
        <w:rPr>
          <w:spacing w:val="20"/>
          <w:w w:val="105"/>
          <w:sz w:val="21"/>
        </w:rPr>
        <w:t> </w:t>
      </w:r>
      <w:r>
        <w:rPr>
          <w:w w:val="105"/>
          <w:sz w:val="21"/>
        </w:rPr>
        <w:t>Act.</w:t>
      </w:r>
    </w:p>
    <w:p>
      <w:pPr>
        <w:pStyle w:val="BodyText"/>
        <w:spacing w:before="10"/>
      </w:pPr>
    </w:p>
    <w:p>
      <w:pPr>
        <w:pStyle w:val="Heading4"/>
      </w:pPr>
      <w:r>
        <w:rPr>
          <w:color w:val="658464"/>
          <w:w w:val="110"/>
        </w:rPr>
        <w:t>Chapter 5</w:t>
      </w:r>
    </w:p>
    <w:p>
      <w:pPr>
        <w:pStyle w:val="ListParagraph"/>
        <w:numPr>
          <w:ilvl w:val="0"/>
          <w:numId w:val="7"/>
        </w:numPr>
        <w:tabs>
          <w:tab w:pos="2154" w:val="left" w:leader="none"/>
          <w:tab w:pos="2155" w:val="left" w:leader="none"/>
        </w:tabs>
        <w:spacing w:line="240" w:lineRule="auto" w:before="155" w:after="0"/>
        <w:ind w:left="2154" w:right="0" w:hanging="567"/>
        <w:jc w:val="left"/>
        <w:rPr>
          <w:sz w:val="21"/>
        </w:rPr>
      </w:pPr>
      <w:r>
        <w:rPr>
          <w:w w:val="105"/>
          <w:sz w:val="21"/>
        </w:rPr>
        <w:t>The Act should define ‘tree’ </w:t>
      </w:r>
      <w:r>
        <w:rPr>
          <w:spacing w:val="-3"/>
          <w:w w:val="105"/>
          <w:sz w:val="21"/>
        </w:rPr>
        <w:t>to</w:t>
      </w:r>
      <w:r>
        <w:rPr>
          <w:spacing w:val="30"/>
          <w:w w:val="105"/>
          <w:sz w:val="21"/>
        </w:rPr>
        <w:t> </w:t>
      </w:r>
      <w:r>
        <w:rPr>
          <w:w w:val="105"/>
          <w:sz w:val="21"/>
        </w:rPr>
        <w:t>mean:</w:t>
      </w:r>
    </w:p>
    <w:p>
      <w:pPr>
        <w:pStyle w:val="ListParagraph"/>
        <w:numPr>
          <w:ilvl w:val="1"/>
          <w:numId w:val="7"/>
        </w:numPr>
        <w:tabs>
          <w:tab w:pos="2721" w:val="left" w:leader="none"/>
          <w:tab w:pos="2722" w:val="left" w:leader="none"/>
        </w:tabs>
        <w:spacing w:line="240" w:lineRule="auto" w:before="124" w:after="0"/>
        <w:ind w:left="2721" w:right="0" w:hanging="567"/>
        <w:jc w:val="left"/>
        <w:rPr>
          <w:sz w:val="21"/>
        </w:rPr>
      </w:pPr>
      <w:r>
        <w:rPr>
          <w:spacing w:val="-3"/>
          <w:w w:val="105"/>
          <w:sz w:val="21"/>
        </w:rPr>
        <w:t>any </w:t>
      </w:r>
      <w:r>
        <w:rPr>
          <w:w w:val="105"/>
          <w:sz w:val="21"/>
        </w:rPr>
        <w:t>woody </w:t>
      </w:r>
      <w:r>
        <w:rPr>
          <w:spacing w:val="-3"/>
          <w:w w:val="105"/>
          <w:sz w:val="21"/>
        </w:rPr>
        <w:t>perennial</w:t>
      </w:r>
      <w:r>
        <w:rPr>
          <w:spacing w:val="19"/>
          <w:w w:val="105"/>
          <w:sz w:val="21"/>
        </w:rPr>
        <w:t> </w:t>
      </w:r>
      <w:r>
        <w:rPr>
          <w:spacing w:val="-3"/>
          <w:w w:val="105"/>
          <w:sz w:val="21"/>
        </w:rPr>
        <w:t>plant</w:t>
      </w:r>
    </w:p>
    <w:p>
      <w:pPr>
        <w:pStyle w:val="ListParagraph"/>
        <w:numPr>
          <w:ilvl w:val="1"/>
          <w:numId w:val="7"/>
        </w:numPr>
        <w:tabs>
          <w:tab w:pos="2721" w:val="left" w:leader="none"/>
          <w:tab w:pos="2722" w:val="left" w:leader="none"/>
        </w:tabs>
        <w:spacing w:line="240" w:lineRule="auto" w:before="124" w:after="0"/>
        <w:ind w:left="2721" w:right="0" w:hanging="567"/>
        <w:jc w:val="left"/>
        <w:rPr>
          <w:sz w:val="21"/>
        </w:rPr>
      </w:pPr>
      <w:r>
        <w:rPr>
          <w:spacing w:val="-3"/>
          <w:w w:val="105"/>
          <w:sz w:val="21"/>
        </w:rPr>
        <w:t>any plant resembling </w:t>
      </w:r>
      <w:r>
        <w:rPr>
          <w:w w:val="105"/>
          <w:sz w:val="21"/>
        </w:rPr>
        <w:t>a tree in </w:t>
      </w:r>
      <w:r>
        <w:rPr>
          <w:spacing w:val="-3"/>
          <w:w w:val="105"/>
          <w:sz w:val="21"/>
        </w:rPr>
        <w:t>form </w:t>
      </w:r>
      <w:r>
        <w:rPr>
          <w:w w:val="105"/>
          <w:sz w:val="21"/>
        </w:rPr>
        <w:t>and</w:t>
      </w:r>
      <w:r>
        <w:rPr>
          <w:spacing w:val="2"/>
          <w:w w:val="105"/>
          <w:sz w:val="21"/>
        </w:rPr>
        <w:t> </w:t>
      </w:r>
      <w:r>
        <w:rPr>
          <w:spacing w:val="-3"/>
          <w:w w:val="105"/>
          <w:sz w:val="21"/>
        </w:rPr>
        <w:t>size</w:t>
      </w:r>
    </w:p>
    <w:p>
      <w:pPr>
        <w:pStyle w:val="ListParagraph"/>
        <w:numPr>
          <w:ilvl w:val="1"/>
          <w:numId w:val="7"/>
        </w:numPr>
        <w:tabs>
          <w:tab w:pos="2721" w:val="left" w:leader="none"/>
          <w:tab w:pos="2722" w:val="left" w:leader="none"/>
        </w:tabs>
        <w:spacing w:line="240" w:lineRule="auto" w:before="123" w:after="0"/>
        <w:ind w:left="2721" w:right="0" w:hanging="567"/>
        <w:jc w:val="left"/>
        <w:rPr>
          <w:sz w:val="21"/>
        </w:rPr>
      </w:pPr>
      <w:r>
        <w:rPr>
          <w:w w:val="105"/>
          <w:sz w:val="21"/>
        </w:rPr>
        <w:t>vines, cacti, </w:t>
      </w:r>
      <w:r>
        <w:rPr>
          <w:spacing w:val="-3"/>
          <w:w w:val="105"/>
          <w:sz w:val="21"/>
        </w:rPr>
        <w:t>palms,</w:t>
      </w:r>
      <w:r>
        <w:rPr>
          <w:spacing w:val="15"/>
          <w:w w:val="105"/>
          <w:sz w:val="21"/>
        </w:rPr>
        <w:t> </w:t>
      </w:r>
      <w:r>
        <w:rPr>
          <w:w w:val="105"/>
          <w:sz w:val="21"/>
        </w:rPr>
        <w:t>bamboo</w:t>
      </w:r>
    </w:p>
    <w:p>
      <w:pPr>
        <w:pStyle w:val="ListParagraph"/>
        <w:numPr>
          <w:ilvl w:val="1"/>
          <w:numId w:val="7"/>
        </w:numPr>
        <w:tabs>
          <w:tab w:pos="2721" w:val="left" w:leader="none"/>
          <w:tab w:pos="2722" w:val="left" w:leader="none"/>
        </w:tabs>
        <w:spacing w:line="240" w:lineRule="auto" w:before="124" w:after="0"/>
        <w:ind w:left="2721" w:right="0" w:hanging="567"/>
        <w:jc w:val="left"/>
        <w:rPr>
          <w:sz w:val="21"/>
        </w:rPr>
      </w:pPr>
      <w:r>
        <w:rPr>
          <w:spacing w:val="-3"/>
          <w:sz w:val="21"/>
        </w:rPr>
        <w:t>any </w:t>
      </w:r>
      <w:r>
        <w:rPr>
          <w:sz w:val="21"/>
        </w:rPr>
        <w:t>other </w:t>
      </w:r>
      <w:r>
        <w:rPr>
          <w:spacing w:val="-3"/>
          <w:sz w:val="21"/>
        </w:rPr>
        <w:t>plant </w:t>
      </w:r>
      <w:r>
        <w:rPr>
          <w:sz w:val="21"/>
        </w:rPr>
        <w:t>prescribed by</w:t>
      </w:r>
      <w:r>
        <w:rPr>
          <w:spacing w:val="2"/>
          <w:sz w:val="21"/>
        </w:rPr>
        <w:t> </w:t>
      </w:r>
      <w:r>
        <w:rPr>
          <w:spacing w:val="-3"/>
          <w:sz w:val="21"/>
        </w:rPr>
        <w:t>Regulations.</w:t>
      </w:r>
    </w:p>
    <w:p>
      <w:pPr>
        <w:pStyle w:val="ListParagraph"/>
        <w:numPr>
          <w:ilvl w:val="0"/>
          <w:numId w:val="7"/>
        </w:numPr>
        <w:tabs>
          <w:tab w:pos="2154" w:val="left" w:leader="none"/>
          <w:tab w:pos="2155" w:val="left" w:leader="none"/>
        </w:tabs>
        <w:spacing w:line="240" w:lineRule="auto" w:before="124" w:after="0"/>
        <w:ind w:left="2154" w:right="0" w:hanging="567"/>
        <w:jc w:val="left"/>
        <w:rPr>
          <w:sz w:val="21"/>
        </w:rPr>
      </w:pPr>
      <w:r>
        <w:rPr>
          <w:spacing w:val="-4"/>
          <w:w w:val="105"/>
          <w:sz w:val="21"/>
        </w:rPr>
        <w:t>‘Tree’ </w:t>
      </w:r>
      <w:r>
        <w:rPr>
          <w:w w:val="105"/>
          <w:sz w:val="21"/>
        </w:rPr>
        <w:t>should also</w:t>
      </w:r>
      <w:r>
        <w:rPr>
          <w:spacing w:val="19"/>
          <w:w w:val="105"/>
          <w:sz w:val="21"/>
        </w:rPr>
        <w:t> </w:t>
      </w:r>
      <w:r>
        <w:rPr>
          <w:w w:val="105"/>
          <w:sz w:val="21"/>
        </w:rPr>
        <w:t>include:</w:t>
      </w:r>
    </w:p>
    <w:p>
      <w:pPr>
        <w:pStyle w:val="ListParagraph"/>
        <w:numPr>
          <w:ilvl w:val="1"/>
          <w:numId w:val="7"/>
        </w:numPr>
        <w:tabs>
          <w:tab w:pos="2721" w:val="left" w:leader="none"/>
          <w:tab w:pos="2722" w:val="left" w:leader="none"/>
        </w:tabs>
        <w:spacing w:line="240" w:lineRule="auto" w:before="124" w:after="0"/>
        <w:ind w:left="2721" w:right="0" w:hanging="567"/>
        <w:jc w:val="left"/>
        <w:rPr>
          <w:sz w:val="21"/>
        </w:rPr>
      </w:pPr>
      <w:r>
        <w:rPr>
          <w:spacing w:val="-3"/>
          <w:sz w:val="21"/>
        </w:rPr>
        <w:t>all</w:t>
      </w:r>
      <w:r>
        <w:rPr>
          <w:spacing w:val="9"/>
          <w:sz w:val="21"/>
        </w:rPr>
        <w:t> </w:t>
      </w:r>
      <w:r>
        <w:rPr>
          <w:sz w:val="21"/>
        </w:rPr>
        <w:t>parts</w:t>
      </w:r>
      <w:r>
        <w:rPr>
          <w:spacing w:val="9"/>
          <w:sz w:val="21"/>
        </w:rPr>
        <w:t> </w:t>
      </w:r>
      <w:r>
        <w:rPr>
          <w:sz w:val="21"/>
        </w:rPr>
        <w:t>of</w:t>
      </w:r>
      <w:r>
        <w:rPr>
          <w:spacing w:val="9"/>
          <w:sz w:val="21"/>
        </w:rPr>
        <w:t> </w:t>
      </w:r>
      <w:r>
        <w:rPr>
          <w:sz w:val="21"/>
        </w:rPr>
        <w:t>the</w:t>
      </w:r>
      <w:r>
        <w:rPr>
          <w:spacing w:val="9"/>
          <w:sz w:val="21"/>
        </w:rPr>
        <w:t> </w:t>
      </w:r>
      <w:r>
        <w:rPr>
          <w:spacing w:val="-3"/>
          <w:sz w:val="21"/>
        </w:rPr>
        <w:t>tree,</w:t>
      </w:r>
      <w:r>
        <w:rPr>
          <w:spacing w:val="10"/>
          <w:sz w:val="21"/>
        </w:rPr>
        <w:t> </w:t>
      </w:r>
      <w:r>
        <w:rPr>
          <w:sz w:val="21"/>
        </w:rPr>
        <w:t>whether</w:t>
      </w:r>
      <w:r>
        <w:rPr>
          <w:spacing w:val="9"/>
          <w:sz w:val="21"/>
        </w:rPr>
        <w:t> </w:t>
      </w:r>
      <w:r>
        <w:rPr>
          <w:sz w:val="21"/>
        </w:rPr>
        <w:t>joined</w:t>
      </w:r>
      <w:r>
        <w:rPr>
          <w:spacing w:val="9"/>
          <w:sz w:val="21"/>
        </w:rPr>
        <w:t> </w:t>
      </w:r>
      <w:r>
        <w:rPr>
          <w:spacing w:val="-3"/>
          <w:sz w:val="21"/>
        </w:rPr>
        <w:t>to</w:t>
      </w:r>
      <w:r>
        <w:rPr>
          <w:spacing w:val="9"/>
          <w:sz w:val="21"/>
        </w:rPr>
        <w:t> </w:t>
      </w:r>
      <w:r>
        <w:rPr>
          <w:sz w:val="21"/>
        </w:rPr>
        <w:t>the</w:t>
      </w:r>
      <w:r>
        <w:rPr>
          <w:spacing w:val="10"/>
          <w:sz w:val="21"/>
        </w:rPr>
        <w:t> </w:t>
      </w:r>
      <w:r>
        <w:rPr>
          <w:spacing w:val="-3"/>
          <w:sz w:val="21"/>
        </w:rPr>
        <w:t>main</w:t>
      </w:r>
      <w:r>
        <w:rPr>
          <w:spacing w:val="9"/>
          <w:sz w:val="21"/>
        </w:rPr>
        <w:t> </w:t>
      </w:r>
      <w:r>
        <w:rPr>
          <w:sz w:val="21"/>
        </w:rPr>
        <w:t>structure</w:t>
      </w:r>
      <w:r>
        <w:rPr>
          <w:spacing w:val="9"/>
          <w:sz w:val="21"/>
        </w:rPr>
        <w:t> </w:t>
      </w:r>
      <w:r>
        <w:rPr>
          <w:sz w:val="21"/>
        </w:rPr>
        <w:t>or</w:t>
      </w:r>
      <w:r>
        <w:rPr>
          <w:spacing w:val="9"/>
          <w:sz w:val="21"/>
        </w:rPr>
        <w:t> </w:t>
      </w:r>
      <w:r>
        <w:rPr>
          <w:spacing w:val="-3"/>
          <w:sz w:val="21"/>
        </w:rPr>
        <w:t>separate</w:t>
      </w:r>
    </w:p>
    <w:p>
      <w:pPr>
        <w:pStyle w:val="ListParagraph"/>
        <w:numPr>
          <w:ilvl w:val="1"/>
          <w:numId w:val="7"/>
        </w:numPr>
        <w:tabs>
          <w:tab w:pos="2721" w:val="left" w:leader="none"/>
          <w:tab w:pos="2722" w:val="left" w:leader="none"/>
        </w:tabs>
        <w:spacing w:line="240" w:lineRule="auto" w:before="123" w:after="0"/>
        <w:ind w:left="2721" w:right="0" w:hanging="567"/>
        <w:jc w:val="left"/>
        <w:rPr>
          <w:sz w:val="21"/>
        </w:rPr>
      </w:pPr>
      <w:r>
        <w:rPr>
          <w:sz w:val="21"/>
        </w:rPr>
        <w:t>a</w:t>
      </w:r>
      <w:r>
        <w:rPr>
          <w:spacing w:val="8"/>
          <w:sz w:val="21"/>
        </w:rPr>
        <w:t> </w:t>
      </w:r>
      <w:r>
        <w:rPr>
          <w:sz w:val="21"/>
        </w:rPr>
        <w:t>tree</w:t>
      </w:r>
      <w:r>
        <w:rPr>
          <w:spacing w:val="8"/>
          <w:sz w:val="21"/>
        </w:rPr>
        <w:t> </w:t>
      </w:r>
      <w:r>
        <w:rPr>
          <w:spacing w:val="-3"/>
          <w:sz w:val="21"/>
        </w:rPr>
        <w:t>that</w:t>
      </w:r>
      <w:r>
        <w:rPr>
          <w:spacing w:val="9"/>
          <w:sz w:val="21"/>
        </w:rPr>
        <w:t> </w:t>
      </w:r>
      <w:r>
        <w:rPr>
          <w:spacing w:val="-2"/>
          <w:sz w:val="21"/>
        </w:rPr>
        <w:t>has</w:t>
      </w:r>
      <w:r>
        <w:rPr>
          <w:spacing w:val="8"/>
          <w:sz w:val="21"/>
        </w:rPr>
        <w:t> </w:t>
      </w:r>
      <w:r>
        <w:rPr>
          <w:sz w:val="21"/>
        </w:rPr>
        <w:t>been</w:t>
      </w:r>
      <w:r>
        <w:rPr>
          <w:spacing w:val="8"/>
          <w:sz w:val="21"/>
        </w:rPr>
        <w:t> </w:t>
      </w:r>
      <w:r>
        <w:rPr>
          <w:sz w:val="21"/>
        </w:rPr>
        <w:t>partially</w:t>
      </w:r>
      <w:r>
        <w:rPr>
          <w:spacing w:val="9"/>
          <w:sz w:val="21"/>
        </w:rPr>
        <w:t> </w:t>
      </w:r>
      <w:r>
        <w:rPr>
          <w:sz w:val="21"/>
        </w:rPr>
        <w:t>or</w:t>
      </w:r>
      <w:r>
        <w:rPr>
          <w:spacing w:val="8"/>
          <w:sz w:val="21"/>
        </w:rPr>
        <w:t> </w:t>
      </w:r>
      <w:r>
        <w:rPr>
          <w:sz w:val="21"/>
        </w:rPr>
        <w:t>wholly</w:t>
      </w:r>
      <w:r>
        <w:rPr>
          <w:spacing w:val="8"/>
          <w:sz w:val="21"/>
        </w:rPr>
        <w:t> </w:t>
      </w:r>
      <w:r>
        <w:rPr>
          <w:sz w:val="21"/>
        </w:rPr>
        <w:t>removed</w:t>
      </w:r>
    </w:p>
    <w:p>
      <w:pPr>
        <w:pStyle w:val="ListParagraph"/>
        <w:numPr>
          <w:ilvl w:val="1"/>
          <w:numId w:val="7"/>
        </w:numPr>
        <w:tabs>
          <w:tab w:pos="2721" w:val="left" w:leader="none"/>
          <w:tab w:pos="2722" w:val="left" w:leader="none"/>
        </w:tabs>
        <w:spacing w:line="240" w:lineRule="auto" w:before="124" w:after="0"/>
        <w:ind w:left="2721" w:right="0" w:hanging="567"/>
        <w:jc w:val="left"/>
        <w:rPr>
          <w:sz w:val="21"/>
        </w:rPr>
      </w:pPr>
      <w:r>
        <w:rPr>
          <w:w w:val="105"/>
          <w:sz w:val="21"/>
        </w:rPr>
        <w:t>a dead</w:t>
      </w:r>
      <w:r>
        <w:rPr>
          <w:spacing w:val="10"/>
          <w:w w:val="105"/>
          <w:sz w:val="21"/>
        </w:rPr>
        <w:t> </w:t>
      </w:r>
      <w:r>
        <w:rPr>
          <w:spacing w:val="-3"/>
          <w:w w:val="105"/>
          <w:sz w:val="21"/>
        </w:rPr>
        <w:t>tree.</w:t>
      </w:r>
    </w:p>
    <w:p>
      <w:pPr>
        <w:pStyle w:val="ListParagraph"/>
        <w:numPr>
          <w:ilvl w:val="0"/>
          <w:numId w:val="7"/>
        </w:numPr>
        <w:tabs>
          <w:tab w:pos="2154" w:val="left" w:leader="none"/>
          <w:tab w:pos="2155" w:val="left" w:leader="none"/>
        </w:tabs>
        <w:spacing w:line="240" w:lineRule="auto" w:before="124" w:after="0"/>
        <w:ind w:left="2154" w:right="0" w:hanging="567"/>
        <w:jc w:val="left"/>
        <w:rPr>
          <w:sz w:val="21"/>
        </w:rPr>
      </w:pPr>
      <w:r>
        <w:rPr>
          <w:sz w:val="21"/>
        </w:rPr>
        <w:t>The</w:t>
      </w:r>
      <w:r>
        <w:rPr>
          <w:spacing w:val="9"/>
          <w:sz w:val="21"/>
        </w:rPr>
        <w:t> </w:t>
      </w:r>
      <w:r>
        <w:rPr>
          <w:sz w:val="21"/>
        </w:rPr>
        <w:t>Act</w:t>
      </w:r>
      <w:r>
        <w:rPr>
          <w:spacing w:val="9"/>
          <w:sz w:val="21"/>
        </w:rPr>
        <w:t> </w:t>
      </w:r>
      <w:r>
        <w:rPr>
          <w:sz w:val="21"/>
        </w:rPr>
        <w:t>should</w:t>
      </w:r>
      <w:r>
        <w:rPr>
          <w:spacing w:val="9"/>
          <w:sz w:val="21"/>
        </w:rPr>
        <w:t> </w:t>
      </w:r>
      <w:r>
        <w:rPr>
          <w:sz w:val="21"/>
        </w:rPr>
        <w:t>apply</w:t>
      </w:r>
      <w:r>
        <w:rPr>
          <w:spacing w:val="9"/>
          <w:sz w:val="21"/>
        </w:rPr>
        <w:t> </w:t>
      </w:r>
      <w:r>
        <w:rPr>
          <w:spacing w:val="-3"/>
          <w:sz w:val="21"/>
        </w:rPr>
        <w:t>to</w:t>
      </w:r>
      <w:r>
        <w:rPr>
          <w:spacing w:val="9"/>
          <w:sz w:val="21"/>
        </w:rPr>
        <w:t> </w:t>
      </w:r>
      <w:r>
        <w:rPr>
          <w:sz w:val="21"/>
        </w:rPr>
        <w:t>trees</w:t>
      </w:r>
      <w:r>
        <w:rPr>
          <w:spacing w:val="9"/>
          <w:sz w:val="21"/>
        </w:rPr>
        <w:t> </w:t>
      </w:r>
      <w:r>
        <w:rPr>
          <w:sz w:val="21"/>
        </w:rPr>
        <w:t>on</w:t>
      </w:r>
      <w:r>
        <w:rPr>
          <w:spacing w:val="9"/>
          <w:sz w:val="21"/>
        </w:rPr>
        <w:t> </w:t>
      </w:r>
      <w:r>
        <w:rPr>
          <w:sz w:val="21"/>
        </w:rPr>
        <w:t>privately</w:t>
      </w:r>
      <w:r>
        <w:rPr>
          <w:spacing w:val="9"/>
          <w:sz w:val="21"/>
        </w:rPr>
        <w:t> </w:t>
      </w:r>
      <w:r>
        <w:rPr>
          <w:sz w:val="21"/>
        </w:rPr>
        <w:t>owned</w:t>
      </w:r>
      <w:r>
        <w:rPr>
          <w:spacing w:val="9"/>
          <w:sz w:val="21"/>
        </w:rPr>
        <w:t> </w:t>
      </w:r>
      <w:r>
        <w:rPr>
          <w:spacing w:val="-3"/>
          <w:sz w:val="21"/>
        </w:rPr>
        <w:t>land</w:t>
      </w:r>
      <w:r>
        <w:rPr>
          <w:spacing w:val="9"/>
          <w:sz w:val="21"/>
        </w:rPr>
        <w:t> </w:t>
      </w:r>
      <w:r>
        <w:rPr>
          <w:spacing w:val="-3"/>
          <w:sz w:val="21"/>
        </w:rPr>
        <w:t>that</w:t>
      </w:r>
      <w:r>
        <w:rPr>
          <w:spacing w:val="9"/>
          <w:sz w:val="21"/>
        </w:rPr>
        <w:t> </w:t>
      </w:r>
      <w:r>
        <w:rPr>
          <w:sz w:val="21"/>
        </w:rPr>
        <w:t>is:</w:t>
      </w:r>
    </w:p>
    <w:p>
      <w:pPr>
        <w:pStyle w:val="ListParagraph"/>
        <w:numPr>
          <w:ilvl w:val="1"/>
          <w:numId w:val="7"/>
        </w:numPr>
        <w:tabs>
          <w:tab w:pos="2721" w:val="left" w:leader="none"/>
          <w:tab w:pos="2722" w:val="left" w:leader="none"/>
        </w:tabs>
        <w:spacing w:line="242" w:lineRule="auto" w:before="124" w:after="0"/>
        <w:ind w:left="2721" w:right="1709" w:hanging="567"/>
        <w:jc w:val="left"/>
        <w:rPr>
          <w:sz w:val="21"/>
        </w:rPr>
      </w:pPr>
      <w:r>
        <w:rPr>
          <w:spacing w:val="-3"/>
          <w:w w:val="105"/>
          <w:sz w:val="21"/>
        </w:rPr>
        <w:t>within </w:t>
      </w:r>
      <w:r>
        <w:rPr>
          <w:w w:val="105"/>
          <w:sz w:val="21"/>
        </w:rPr>
        <w:t>a </w:t>
      </w:r>
      <w:r>
        <w:rPr>
          <w:spacing w:val="-3"/>
          <w:w w:val="105"/>
          <w:sz w:val="21"/>
        </w:rPr>
        <w:t>zone designated residential, commercial, industrial, </w:t>
      </w:r>
      <w:r>
        <w:rPr>
          <w:w w:val="105"/>
          <w:sz w:val="21"/>
        </w:rPr>
        <w:t>green </w:t>
      </w:r>
      <w:r>
        <w:rPr>
          <w:spacing w:val="-3"/>
          <w:w w:val="105"/>
          <w:sz w:val="21"/>
        </w:rPr>
        <w:t>wedge, rural living </w:t>
      </w:r>
      <w:r>
        <w:rPr>
          <w:w w:val="105"/>
          <w:sz w:val="21"/>
        </w:rPr>
        <w:t>and </w:t>
      </w:r>
      <w:r>
        <w:rPr>
          <w:spacing w:val="-3"/>
          <w:w w:val="105"/>
          <w:sz w:val="21"/>
        </w:rPr>
        <w:t>rural </w:t>
      </w:r>
      <w:r>
        <w:rPr>
          <w:w w:val="105"/>
          <w:sz w:val="21"/>
        </w:rPr>
        <w:t>conservation under a Victorian </w:t>
      </w:r>
      <w:r>
        <w:rPr>
          <w:spacing w:val="-3"/>
          <w:w w:val="105"/>
          <w:sz w:val="21"/>
        </w:rPr>
        <w:t>planning </w:t>
      </w:r>
      <w:r>
        <w:rPr>
          <w:w w:val="105"/>
          <w:sz w:val="21"/>
        </w:rPr>
        <w:t>scheme or a </w:t>
      </w:r>
      <w:r>
        <w:rPr>
          <w:spacing w:val="-3"/>
          <w:w w:val="105"/>
          <w:sz w:val="21"/>
        </w:rPr>
        <w:t>zone that </w:t>
      </w:r>
      <w:r>
        <w:rPr>
          <w:spacing w:val="-2"/>
          <w:w w:val="105"/>
          <w:sz w:val="21"/>
        </w:rPr>
        <w:t>has </w:t>
      </w:r>
      <w:r>
        <w:rPr>
          <w:w w:val="105"/>
          <w:sz w:val="21"/>
        </w:rPr>
        <w:t>the </w:t>
      </w:r>
      <w:r>
        <w:rPr>
          <w:spacing w:val="-3"/>
          <w:w w:val="105"/>
          <w:sz w:val="21"/>
        </w:rPr>
        <w:t>substantial character </w:t>
      </w:r>
      <w:r>
        <w:rPr>
          <w:w w:val="105"/>
          <w:sz w:val="21"/>
        </w:rPr>
        <w:t>of one of these zones,</w:t>
      </w:r>
      <w:r>
        <w:rPr>
          <w:spacing w:val="37"/>
          <w:w w:val="105"/>
          <w:sz w:val="21"/>
        </w:rPr>
        <w:t> </w:t>
      </w:r>
      <w:r>
        <w:rPr>
          <w:w w:val="105"/>
          <w:sz w:val="21"/>
        </w:rPr>
        <w:t>or</w:t>
      </w:r>
    </w:p>
    <w:p>
      <w:pPr>
        <w:pStyle w:val="ListParagraph"/>
        <w:numPr>
          <w:ilvl w:val="1"/>
          <w:numId w:val="7"/>
        </w:numPr>
        <w:tabs>
          <w:tab w:pos="2721" w:val="left" w:leader="none"/>
          <w:tab w:pos="2722" w:val="left" w:leader="none"/>
        </w:tabs>
        <w:spacing w:line="242" w:lineRule="auto" w:before="123" w:after="0"/>
        <w:ind w:left="2721" w:right="1953" w:hanging="567"/>
        <w:jc w:val="left"/>
        <w:rPr>
          <w:sz w:val="21"/>
        </w:rPr>
      </w:pPr>
      <w:r>
        <w:rPr>
          <w:spacing w:val="-3"/>
          <w:w w:val="105"/>
          <w:sz w:val="21"/>
        </w:rPr>
        <w:t>within</w:t>
      </w:r>
      <w:r>
        <w:rPr>
          <w:spacing w:val="-5"/>
          <w:w w:val="105"/>
          <w:sz w:val="21"/>
        </w:rPr>
        <w:t> </w:t>
      </w:r>
      <w:r>
        <w:rPr>
          <w:w w:val="105"/>
          <w:sz w:val="21"/>
        </w:rPr>
        <w:t>a</w:t>
      </w:r>
      <w:r>
        <w:rPr>
          <w:spacing w:val="-5"/>
          <w:w w:val="105"/>
          <w:sz w:val="21"/>
        </w:rPr>
        <w:t> </w:t>
      </w:r>
      <w:r>
        <w:rPr>
          <w:w w:val="105"/>
          <w:sz w:val="21"/>
        </w:rPr>
        <w:t>special</w:t>
      </w:r>
      <w:r>
        <w:rPr>
          <w:spacing w:val="-5"/>
          <w:w w:val="105"/>
          <w:sz w:val="21"/>
        </w:rPr>
        <w:t> </w:t>
      </w:r>
      <w:r>
        <w:rPr>
          <w:w w:val="105"/>
          <w:sz w:val="21"/>
        </w:rPr>
        <w:t>purpose</w:t>
      </w:r>
      <w:r>
        <w:rPr>
          <w:spacing w:val="-5"/>
          <w:w w:val="105"/>
          <w:sz w:val="21"/>
        </w:rPr>
        <w:t> </w:t>
      </w:r>
      <w:r>
        <w:rPr>
          <w:spacing w:val="-3"/>
          <w:w w:val="105"/>
          <w:sz w:val="21"/>
        </w:rPr>
        <w:t>zone</w:t>
      </w:r>
      <w:r>
        <w:rPr>
          <w:spacing w:val="-5"/>
          <w:w w:val="105"/>
          <w:sz w:val="21"/>
        </w:rPr>
        <w:t> </w:t>
      </w:r>
      <w:r>
        <w:rPr>
          <w:spacing w:val="-3"/>
          <w:w w:val="105"/>
          <w:sz w:val="21"/>
        </w:rPr>
        <w:t>designated</w:t>
      </w:r>
      <w:r>
        <w:rPr>
          <w:spacing w:val="-5"/>
          <w:w w:val="105"/>
          <w:sz w:val="21"/>
        </w:rPr>
        <w:t> </w:t>
      </w:r>
      <w:r>
        <w:rPr>
          <w:w w:val="105"/>
          <w:sz w:val="21"/>
        </w:rPr>
        <w:t>as</w:t>
      </w:r>
      <w:r>
        <w:rPr>
          <w:spacing w:val="-5"/>
          <w:w w:val="105"/>
          <w:sz w:val="21"/>
        </w:rPr>
        <w:t> </w:t>
      </w:r>
      <w:r>
        <w:rPr>
          <w:w w:val="105"/>
          <w:sz w:val="21"/>
        </w:rPr>
        <w:t>capital</w:t>
      </w:r>
      <w:r>
        <w:rPr>
          <w:spacing w:val="-5"/>
          <w:w w:val="105"/>
          <w:sz w:val="21"/>
        </w:rPr>
        <w:t> </w:t>
      </w:r>
      <w:r>
        <w:rPr>
          <w:spacing w:val="-4"/>
          <w:w w:val="105"/>
          <w:sz w:val="21"/>
        </w:rPr>
        <w:t>city,</w:t>
      </w:r>
      <w:r>
        <w:rPr>
          <w:spacing w:val="-5"/>
          <w:w w:val="105"/>
          <w:sz w:val="21"/>
        </w:rPr>
        <w:t> </w:t>
      </w:r>
      <w:r>
        <w:rPr>
          <w:spacing w:val="-2"/>
          <w:w w:val="105"/>
          <w:sz w:val="21"/>
        </w:rPr>
        <w:t>docklands,</w:t>
      </w:r>
      <w:r>
        <w:rPr>
          <w:spacing w:val="-5"/>
          <w:w w:val="105"/>
          <w:sz w:val="21"/>
        </w:rPr>
        <w:t> </w:t>
      </w:r>
      <w:r>
        <w:rPr>
          <w:w w:val="105"/>
          <w:sz w:val="21"/>
        </w:rPr>
        <w:t>activity</w:t>
      </w:r>
      <w:r>
        <w:rPr>
          <w:spacing w:val="-5"/>
          <w:w w:val="105"/>
          <w:sz w:val="21"/>
        </w:rPr>
        <w:t> </w:t>
      </w:r>
      <w:r>
        <w:rPr>
          <w:spacing w:val="-4"/>
          <w:w w:val="105"/>
          <w:sz w:val="21"/>
        </w:rPr>
        <w:t>centre, </w:t>
      </w:r>
      <w:r>
        <w:rPr>
          <w:w w:val="105"/>
          <w:sz w:val="21"/>
        </w:rPr>
        <w:t>priority development, </w:t>
      </w:r>
      <w:r>
        <w:rPr>
          <w:spacing w:val="-3"/>
          <w:w w:val="105"/>
          <w:sz w:val="21"/>
        </w:rPr>
        <w:t>comprehensive </w:t>
      </w:r>
      <w:r>
        <w:rPr>
          <w:w w:val="105"/>
          <w:sz w:val="21"/>
        </w:rPr>
        <w:t>development and urban growth,</w:t>
      </w:r>
      <w:r>
        <w:rPr>
          <w:spacing w:val="-17"/>
          <w:w w:val="105"/>
          <w:sz w:val="21"/>
        </w:rPr>
        <w:t> </w:t>
      </w:r>
      <w:r>
        <w:rPr>
          <w:w w:val="105"/>
          <w:sz w:val="21"/>
        </w:rPr>
        <w:t>or</w:t>
      </w:r>
    </w:p>
    <w:p>
      <w:pPr>
        <w:pStyle w:val="ListParagraph"/>
        <w:numPr>
          <w:ilvl w:val="1"/>
          <w:numId w:val="7"/>
        </w:numPr>
        <w:tabs>
          <w:tab w:pos="2721" w:val="left" w:leader="none"/>
          <w:tab w:pos="2722" w:val="left" w:leader="none"/>
        </w:tabs>
        <w:spacing w:line="240" w:lineRule="auto" w:before="122" w:after="0"/>
        <w:ind w:left="2721" w:right="0" w:hanging="567"/>
        <w:jc w:val="left"/>
        <w:rPr>
          <w:sz w:val="21"/>
        </w:rPr>
      </w:pPr>
      <w:r>
        <w:rPr>
          <w:w w:val="105"/>
          <w:sz w:val="21"/>
        </w:rPr>
        <w:t>prescribed in</w:t>
      </w:r>
      <w:r>
        <w:rPr>
          <w:spacing w:val="10"/>
          <w:w w:val="105"/>
          <w:sz w:val="21"/>
        </w:rPr>
        <w:t> </w:t>
      </w:r>
      <w:r>
        <w:rPr>
          <w:spacing w:val="-3"/>
          <w:w w:val="105"/>
          <w:sz w:val="21"/>
        </w:rPr>
        <w:t>regulations.</w:t>
      </w:r>
    </w:p>
    <w:p>
      <w:pPr>
        <w:pStyle w:val="ListParagraph"/>
        <w:numPr>
          <w:ilvl w:val="0"/>
          <w:numId w:val="7"/>
        </w:numPr>
        <w:tabs>
          <w:tab w:pos="2154" w:val="left" w:leader="none"/>
          <w:tab w:pos="2155" w:val="left" w:leader="none"/>
        </w:tabs>
        <w:spacing w:line="242" w:lineRule="auto" w:before="124" w:after="0"/>
        <w:ind w:left="2154" w:right="2080" w:hanging="567"/>
        <w:jc w:val="left"/>
        <w:rPr>
          <w:sz w:val="21"/>
        </w:rPr>
      </w:pPr>
      <w:r>
        <w:rPr>
          <w:sz w:val="21"/>
        </w:rPr>
        <w:t>The Act should </w:t>
      </w:r>
      <w:r>
        <w:rPr>
          <w:spacing w:val="-2"/>
          <w:sz w:val="21"/>
        </w:rPr>
        <w:t>not </w:t>
      </w:r>
      <w:r>
        <w:rPr>
          <w:sz w:val="21"/>
        </w:rPr>
        <w:t>apply </w:t>
      </w:r>
      <w:r>
        <w:rPr>
          <w:spacing w:val="-3"/>
          <w:sz w:val="21"/>
        </w:rPr>
        <w:t>to land that </w:t>
      </w:r>
      <w:r>
        <w:rPr>
          <w:sz w:val="21"/>
        </w:rPr>
        <w:t>is zoned </w:t>
      </w:r>
      <w:r>
        <w:rPr>
          <w:spacing w:val="-3"/>
          <w:sz w:val="21"/>
        </w:rPr>
        <w:t>farming, rural </w:t>
      </w:r>
      <w:r>
        <w:rPr>
          <w:sz w:val="21"/>
        </w:rPr>
        <w:t>activity, special </w:t>
      </w:r>
      <w:r>
        <w:rPr>
          <w:spacing w:val="-3"/>
          <w:sz w:val="21"/>
        </w:rPr>
        <w:t>use, </w:t>
      </w:r>
      <w:r>
        <w:rPr>
          <w:sz w:val="21"/>
        </w:rPr>
        <w:t>urban floodway or port or </w:t>
      </w:r>
      <w:r>
        <w:rPr>
          <w:spacing w:val="-3"/>
          <w:sz w:val="21"/>
        </w:rPr>
        <w:t>to land that </w:t>
      </w:r>
      <w:r>
        <w:rPr>
          <w:sz w:val="21"/>
        </w:rPr>
        <w:t>is used </w:t>
      </w:r>
      <w:r>
        <w:rPr>
          <w:spacing w:val="-3"/>
          <w:sz w:val="21"/>
        </w:rPr>
        <w:t>for commercial</w:t>
      </w:r>
      <w:r>
        <w:rPr>
          <w:spacing w:val="-13"/>
          <w:sz w:val="21"/>
        </w:rPr>
        <w:t> </w:t>
      </w:r>
      <w:r>
        <w:rPr>
          <w:sz w:val="21"/>
        </w:rPr>
        <w:t>timber </w:t>
      </w:r>
      <w:r>
        <w:rPr>
          <w:spacing w:val="-3"/>
          <w:sz w:val="21"/>
        </w:rPr>
        <w:t>plantation.</w:t>
      </w:r>
    </w:p>
    <w:p>
      <w:pPr>
        <w:pStyle w:val="ListParagraph"/>
        <w:numPr>
          <w:ilvl w:val="0"/>
          <w:numId w:val="7"/>
        </w:numPr>
        <w:tabs>
          <w:tab w:pos="2154" w:val="left" w:leader="none"/>
          <w:tab w:pos="2155" w:val="left" w:leader="none"/>
        </w:tabs>
        <w:spacing w:line="240" w:lineRule="auto" w:before="122" w:after="0"/>
        <w:ind w:left="2154" w:right="0" w:hanging="567"/>
        <w:jc w:val="left"/>
        <w:rPr>
          <w:sz w:val="21"/>
        </w:rPr>
      </w:pPr>
      <w:r>
        <w:rPr>
          <w:w w:val="105"/>
          <w:sz w:val="21"/>
        </w:rPr>
        <w:t>The Act should apply only where an affected </w:t>
      </w:r>
      <w:r>
        <w:rPr>
          <w:spacing w:val="-3"/>
          <w:w w:val="105"/>
          <w:sz w:val="21"/>
        </w:rPr>
        <w:t>neighbour’s land adjoins </w:t>
      </w:r>
      <w:r>
        <w:rPr>
          <w:w w:val="105"/>
          <w:sz w:val="21"/>
        </w:rPr>
        <w:t>the tree </w:t>
      </w:r>
      <w:r>
        <w:rPr>
          <w:spacing w:val="-3"/>
          <w:w w:val="105"/>
          <w:sz w:val="21"/>
        </w:rPr>
        <w:t>owner’s</w:t>
      </w:r>
      <w:r>
        <w:rPr>
          <w:spacing w:val="1"/>
          <w:w w:val="105"/>
          <w:sz w:val="21"/>
        </w:rPr>
        <w:t> </w:t>
      </w:r>
      <w:r>
        <w:rPr>
          <w:spacing w:val="-3"/>
          <w:w w:val="105"/>
          <w:sz w:val="21"/>
        </w:rPr>
        <w:t>land.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96"/>
        <w:ind w:left="720" w:right="0" w:firstLine="0"/>
        <w:jc w:val="left"/>
        <w:rPr>
          <w:b/>
          <w:sz w:val="24"/>
        </w:rPr>
      </w:pPr>
      <w:r>
        <w:rPr>
          <w:b/>
          <w:color w:val="658464"/>
          <w:w w:val="115"/>
          <w:sz w:val="24"/>
        </w:rPr>
        <w:t>xxii</w:t>
      </w:r>
    </w:p>
    <w:p>
      <w:pPr>
        <w:spacing w:after="0"/>
        <w:jc w:val="left"/>
        <w:rPr>
          <w:sz w:val="24"/>
        </w:rPr>
        <w:sectPr>
          <w:pgSz w:w="11910" w:h="16840"/>
          <w:pgMar w:header="546" w:footer="0" w:top="1560" w:bottom="280" w:left="0" w:right="0"/>
        </w:sectPr>
      </w:pPr>
    </w:p>
    <w:p>
      <w:pPr>
        <w:pStyle w:val="BodyText"/>
        <w:spacing w:before="9"/>
        <w:rPr>
          <w:b/>
          <w:sz w:val="22"/>
        </w:rPr>
      </w:pPr>
    </w:p>
    <w:p>
      <w:pPr>
        <w:spacing w:after="0"/>
        <w:rPr>
          <w:sz w:val="22"/>
        </w:rPr>
        <w:sectPr>
          <w:pgSz w:w="11910" w:h="16840"/>
          <w:pgMar w:header="1372" w:footer="0" w:top="1560" w:bottom="280" w:left="0" w:right="0"/>
        </w:sectPr>
      </w:pPr>
    </w:p>
    <w:p>
      <w:pPr>
        <w:pStyle w:val="ListParagraph"/>
        <w:numPr>
          <w:ilvl w:val="0"/>
          <w:numId w:val="8"/>
        </w:numPr>
        <w:tabs>
          <w:tab w:pos="2154" w:val="left" w:leader="none"/>
          <w:tab w:pos="2155" w:val="left" w:leader="none"/>
        </w:tabs>
        <w:spacing w:line="242" w:lineRule="auto" w:before="92" w:after="0"/>
        <w:ind w:left="2154" w:right="486" w:hanging="567"/>
        <w:jc w:val="left"/>
        <w:rPr>
          <w:sz w:val="21"/>
        </w:rPr>
      </w:pPr>
      <w:r>
        <w:rPr>
          <w:w w:val="105"/>
          <w:sz w:val="21"/>
        </w:rPr>
        <w:t>The Act should define </w:t>
      </w:r>
      <w:r>
        <w:rPr>
          <w:spacing w:val="-4"/>
          <w:w w:val="105"/>
          <w:sz w:val="21"/>
        </w:rPr>
        <w:t>‘adjoin’ </w:t>
      </w:r>
      <w:r>
        <w:rPr>
          <w:spacing w:val="-3"/>
          <w:w w:val="105"/>
          <w:sz w:val="21"/>
        </w:rPr>
        <w:t>to </w:t>
      </w:r>
      <w:r>
        <w:rPr>
          <w:w w:val="105"/>
          <w:sz w:val="21"/>
        </w:rPr>
        <w:t>mean </w:t>
      </w:r>
      <w:r>
        <w:rPr>
          <w:spacing w:val="-3"/>
          <w:w w:val="105"/>
          <w:sz w:val="21"/>
        </w:rPr>
        <w:t>land that shares </w:t>
      </w:r>
      <w:r>
        <w:rPr>
          <w:w w:val="105"/>
          <w:sz w:val="21"/>
        </w:rPr>
        <w:t>a </w:t>
      </w:r>
      <w:r>
        <w:rPr>
          <w:spacing w:val="-2"/>
          <w:w w:val="105"/>
          <w:sz w:val="21"/>
        </w:rPr>
        <w:t>common </w:t>
      </w:r>
      <w:r>
        <w:rPr>
          <w:spacing w:val="-3"/>
          <w:w w:val="105"/>
          <w:sz w:val="21"/>
        </w:rPr>
        <w:t>boundary, </w:t>
      </w:r>
      <w:r>
        <w:rPr>
          <w:w w:val="105"/>
          <w:sz w:val="21"/>
        </w:rPr>
        <w:t>or would </w:t>
      </w:r>
      <w:r>
        <w:rPr>
          <w:spacing w:val="-3"/>
          <w:w w:val="105"/>
          <w:sz w:val="21"/>
        </w:rPr>
        <w:t>share </w:t>
      </w:r>
      <w:r>
        <w:rPr>
          <w:w w:val="105"/>
          <w:sz w:val="21"/>
        </w:rPr>
        <w:t>a </w:t>
      </w:r>
      <w:r>
        <w:rPr>
          <w:spacing w:val="-2"/>
          <w:w w:val="105"/>
          <w:sz w:val="21"/>
        </w:rPr>
        <w:t>common </w:t>
      </w:r>
      <w:r>
        <w:rPr>
          <w:w w:val="105"/>
          <w:sz w:val="21"/>
        </w:rPr>
        <w:t>boundary </w:t>
      </w:r>
      <w:r>
        <w:rPr>
          <w:spacing w:val="-3"/>
          <w:w w:val="105"/>
          <w:sz w:val="21"/>
        </w:rPr>
        <w:t>were </w:t>
      </w:r>
      <w:r>
        <w:rPr>
          <w:w w:val="105"/>
          <w:sz w:val="21"/>
        </w:rPr>
        <w:t>it </w:t>
      </w:r>
      <w:r>
        <w:rPr>
          <w:spacing w:val="-2"/>
          <w:w w:val="105"/>
          <w:sz w:val="21"/>
        </w:rPr>
        <w:t>not </w:t>
      </w:r>
      <w:r>
        <w:rPr>
          <w:spacing w:val="-3"/>
          <w:w w:val="105"/>
          <w:sz w:val="21"/>
        </w:rPr>
        <w:t>separated </w:t>
      </w:r>
      <w:r>
        <w:rPr>
          <w:w w:val="105"/>
          <w:sz w:val="21"/>
        </w:rPr>
        <w:t>by:</w:t>
      </w:r>
    </w:p>
    <w:p>
      <w:pPr>
        <w:pStyle w:val="ListParagraph"/>
        <w:numPr>
          <w:ilvl w:val="1"/>
          <w:numId w:val="8"/>
        </w:numPr>
        <w:tabs>
          <w:tab w:pos="2721" w:val="left" w:leader="none"/>
          <w:tab w:pos="2722" w:val="left" w:leader="none"/>
        </w:tabs>
        <w:spacing w:line="240" w:lineRule="auto" w:before="122" w:after="0"/>
        <w:ind w:left="2721" w:right="0" w:hanging="567"/>
        <w:jc w:val="left"/>
        <w:rPr>
          <w:sz w:val="21"/>
        </w:rPr>
      </w:pPr>
      <w:r>
        <w:rPr>
          <w:w w:val="105"/>
          <w:sz w:val="21"/>
        </w:rPr>
        <w:t>a </w:t>
      </w:r>
      <w:r>
        <w:rPr>
          <w:spacing w:val="-3"/>
          <w:w w:val="105"/>
          <w:sz w:val="21"/>
        </w:rPr>
        <w:t>public</w:t>
      </w:r>
      <w:r>
        <w:rPr>
          <w:spacing w:val="11"/>
          <w:w w:val="105"/>
          <w:sz w:val="21"/>
        </w:rPr>
        <w:t> </w:t>
      </w:r>
      <w:r>
        <w:rPr>
          <w:w w:val="105"/>
          <w:sz w:val="21"/>
        </w:rPr>
        <w:t>road</w:t>
      </w:r>
    </w:p>
    <w:p>
      <w:pPr>
        <w:pStyle w:val="ListParagraph"/>
        <w:numPr>
          <w:ilvl w:val="1"/>
          <w:numId w:val="8"/>
        </w:numPr>
        <w:tabs>
          <w:tab w:pos="2721" w:val="left" w:leader="none"/>
          <w:tab w:pos="2722" w:val="left" w:leader="none"/>
        </w:tabs>
        <w:spacing w:line="240" w:lineRule="auto" w:before="124" w:after="0"/>
        <w:ind w:left="2721" w:right="0" w:hanging="567"/>
        <w:jc w:val="left"/>
        <w:rPr>
          <w:sz w:val="21"/>
        </w:rPr>
      </w:pPr>
      <w:r>
        <w:rPr>
          <w:w w:val="105"/>
          <w:sz w:val="21"/>
        </w:rPr>
        <w:t>a pedestrian</w:t>
      </w:r>
      <w:r>
        <w:rPr>
          <w:spacing w:val="10"/>
          <w:w w:val="105"/>
          <w:sz w:val="21"/>
        </w:rPr>
        <w:t> </w:t>
      </w:r>
      <w:r>
        <w:rPr>
          <w:spacing w:val="-3"/>
          <w:w w:val="105"/>
          <w:sz w:val="21"/>
        </w:rPr>
        <w:t>path</w:t>
      </w:r>
    </w:p>
    <w:p>
      <w:pPr>
        <w:pStyle w:val="ListParagraph"/>
        <w:numPr>
          <w:ilvl w:val="1"/>
          <w:numId w:val="8"/>
        </w:numPr>
        <w:tabs>
          <w:tab w:pos="2721" w:val="left" w:leader="none"/>
          <w:tab w:pos="2722" w:val="left" w:leader="none"/>
        </w:tabs>
        <w:spacing w:line="240" w:lineRule="auto" w:before="123" w:after="0"/>
        <w:ind w:left="2721" w:right="0" w:hanging="567"/>
        <w:jc w:val="left"/>
        <w:rPr>
          <w:sz w:val="21"/>
        </w:rPr>
      </w:pPr>
      <w:r>
        <w:rPr>
          <w:w w:val="105"/>
          <w:sz w:val="21"/>
        </w:rPr>
        <w:t>a</w:t>
      </w:r>
      <w:r>
        <w:rPr>
          <w:spacing w:val="5"/>
          <w:w w:val="105"/>
          <w:sz w:val="21"/>
        </w:rPr>
        <w:t> </w:t>
      </w:r>
      <w:r>
        <w:rPr>
          <w:spacing w:val="-3"/>
          <w:w w:val="105"/>
          <w:sz w:val="21"/>
        </w:rPr>
        <w:t>laneway</w:t>
      </w:r>
    </w:p>
    <w:p>
      <w:pPr>
        <w:pStyle w:val="ListParagraph"/>
        <w:numPr>
          <w:ilvl w:val="1"/>
          <w:numId w:val="8"/>
        </w:numPr>
        <w:tabs>
          <w:tab w:pos="2721" w:val="left" w:leader="none"/>
          <w:tab w:pos="2722" w:val="left" w:leader="none"/>
        </w:tabs>
        <w:spacing w:line="240" w:lineRule="auto" w:before="124" w:after="0"/>
        <w:ind w:left="2721" w:right="0" w:hanging="567"/>
        <w:jc w:val="left"/>
        <w:rPr>
          <w:sz w:val="21"/>
        </w:rPr>
      </w:pPr>
      <w:r>
        <w:rPr>
          <w:w w:val="105"/>
          <w:sz w:val="21"/>
        </w:rPr>
        <w:t>a</w:t>
      </w:r>
      <w:r>
        <w:rPr>
          <w:spacing w:val="5"/>
          <w:w w:val="105"/>
          <w:sz w:val="21"/>
        </w:rPr>
        <w:t> </w:t>
      </w:r>
      <w:r>
        <w:rPr>
          <w:w w:val="105"/>
          <w:sz w:val="21"/>
        </w:rPr>
        <w:t>bridge</w:t>
      </w:r>
    </w:p>
    <w:p>
      <w:pPr>
        <w:pStyle w:val="ListParagraph"/>
        <w:numPr>
          <w:ilvl w:val="1"/>
          <w:numId w:val="8"/>
        </w:numPr>
        <w:tabs>
          <w:tab w:pos="2721" w:val="left" w:leader="none"/>
          <w:tab w:pos="2722" w:val="left" w:leader="none"/>
        </w:tabs>
        <w:spacing w:line="240" w:lineRule="auto" w:before="124" w:after="0"/>
        <w:ind w:left="2721" w:right="0" w:hanging="567"/>
        <w:jc w:val="left"/>
        <w:rPr>
          <w:sz w:val="21"/>
        </w:rPr>
      </w:pPr>
      <w:r>
        <w:rPr>
          <w:sz w:val="21"/>
        </w:rPr>
        <w:t>a culvert</w:t>
      </w:r>
      <w:r>
        <w:rPr>
          <w:spacing w:val="16"/>
          <w:sz w:val="21"/>
        </w:rPr>
        <w:t> </w:t>
      </w:r>
      <w:r>
        <w:rPr>
          <w:sz w:val="21"/>
        </w:rPr>
        <w:t>or</w:t>
      </w:r>
    </w:p>
    <w:p>
      <w:pPr>
        <w:pStyle w:val="ListParagraph"/>
        <w:numPr>
          <w:ilvl w:val="1"/>
          <w:numId w:val="8"/>
        </w:numPr>
        <w:tabs>
          <w:tab w:pos="2721" w:val="left" w:leader="none"/>
          <w:tab w:pos="2722" w:val="left" w:leader="none"/>
        </w:tabs>
        <w:spacing w:line="240" w:lineRule="auto" w:before="124" w:after="0"/>
        <w:ind w:left="2721" w:right="0" w:hanging="567"/>
        <w:jc w:val="left"/>
        <w:rPr>
          <w:sz w:val="21"/>
        </w:rPr>
      </w:pPr>
      <w:r>
        <w:rPr>
          <w:sz w:val="21"/>
        </w:rPr>
        <w:t>other </w:t>
      </w:r>
      <w:r>
        <w:rPr>
          <w:spacing w:val="-3"/>
          <w:sz w:val="21"/>
        </w:rPr>
        <w:t>similar thoroughfare </w:t>
      </w:r>
      <w:r>
        <w:rPr>
          <w:sz w:val="21"/>
        </w:rPr>
        <w:t>prescribed in</w:t>
      </w:r>
      <w:r>
        <w:rPr>
          <w:spacing w:val="8"/>
          <w:sz w:val="21"/>
        </w:rPr>
        <w:t> </w:t>
      </w:r>
      <w:r>
        <w:rPr>
          <w:spacing w:val="-3"/>
          <w:sz w:val="21"/>
        </w:rPr>
        <w:t>Regulations.</w:t>
      </w:r>
    </w:p>
    <w:p>
      <w:pPr>
        <w:pStyle w:val="ListParagraph"/>
        <w:numPr>
          <w:ilvl w:val="0"/>
          <w:numId w:val="8"/>
        </w:numPr>
        <w:tabs>
          <w:tab w:pos="2154" w:val="left" w:leader="none"/>
          <w:tab w:pos="2155" w:val="left" w:leader="none"/>
        </w:tabs>
        <w:spacing w:line="240" w:lineRule="auto" w:before="123" w:after="0"/>
        <w:ind w:left="2154" w:right="0" w:hanging="567"/>
        <w:jc w:val="left"/>
        <w:rPr>
          <w:sz w:val="21"/>
        </w:rPr>
      </w:pPr>
      <w:r>
        <w:rPr>
          <w:sz w:val="21"/>
        </w:rPr>
        <w:t>If</w:t>
      </w:r>
      <w:r>
        <w:rPr>
          <w:spacing w:val="10"/>
          <w:sz w:val="21"/>
        </w:rPr>
        <w:t> </w:t>
      </w:r>
      <w:r>
        <w:rPr>
          <w:sz w:val="21"/>
        </w:rPr>
        <w:t>a</w:t>
      </w:r>
      <w:r>
        <w:rPr>
          <w:spacing w:val="10"/>
          <w:sz w:val="21"/>
        </w:rPr>
        <w:t> </w:t>
      </w:r>
      <w:r>
        <w:rPr>
          <w:sz w:val="21"/>
        </w:rPr>
        <w:t>tree</w:t>
      </w:r>
      <w:r>
        <w:rPr>
          <w:spacing w:val="10"/>
          <w:sz w:val="21"/>
        </w:rPr>
        <w:t> </w:t>
      </w:r>
      <w:r>
        <w:rPr>
          <w:sz w:val="21"/>
        </w:rPr>
        <w:t>subject</w:t>
      </w:r>
      <w:r>
        <w:rPr>
          <w:spacing w:val="10"/>
          <w:sz w:val="21"/>
        </w:rPr>
        <w:t> </w:t>
      </w:r>
      <w:r>
        <w:rPr>
          <w:spacing w:val="-3"/>
          <w:sz w:val="21"/>
        </w:rPr>
        <w:t>to</w:t>
      </w:r>
      <w:r>
        <w:rPr>
          <w:spacing w:val="10"/>
          <w:sz w:val="21"/>
        </w:rPr>
        <w:t> </w:t>
      </w:r>
      <w:r>
        <w:rPr>
          <w:sz w:val="21"/>
        </w:rPr>
        <w:t>the</w:t>
      </w:r>
      <w:r>
        <w:rPr>
          <w:spacing w:val="10"/>
          <w:sz w:val="21"/>
        </w:rPr>
        <w:t> </w:t>
      </w:r>
      <w:r>
        <w:rPr>
          <w:spacing w:val="-3"/>
          <w:sz w:val="21"/>
        </w:rPr>
        <w:t>dispute</w:t>
      </w:r>
      <w:r>
        <w:rPr>
          <w:spacing w:val="10"/>
          <w:sz w:val="21"/>
        </w:rPr>
        <w:t> </w:t>
      </w:r>
      <w:r>
        <w:rPr>
          <w:sz w:val="21"/>
        </w:rPr>
        <w:t>straddles</w:t>
      </w:r>
      <w:r>
        <w:rPr>
          <w:spacing w:val="10"/>
          <w:sz w:val="21"/>
        </w:rPr>
        <w:t> </w:t>
      </w:r>
      <w:r>
        <w:rPr>
          <w:sz w:val="21"/>
        </w:rPr>
        <w:t>boundary</w:t>
      </w:r>
      <w:r>
        <w:rPr>
          <w:spacing w:val="10"/>
          <w:sz w:val="21"/>
        </w:rPr>
        <w:t> </w:t>
      </w:r>
      <w:r>
        <w:rPr>
          <w:spacing w:val="-3"/>
          <w:sz w:val="21"/>
        </w:rPr>
        <w:t>lines</w:t>
      </w:r>
      <w:r>
        <w:rPr>
          <w:spacing w:val="10"/>
          <w:sz w:val="21"/>
        </w:rPr>
        <w:t> </w:t>
      </w:r>
      <w:r>
        <w:rPr>
          <w:sz w:val="21"/>
        </w:rPr>
        <w:t>the</w:t>
      </w:r>
      <w:r>
        <w:rPr>
          <w:spacing w:val="10"/>
          <w:sz w:val="21"/>
        </w:rPr>
        <w:t> </w:t>
      </w:r>
      <w:r>
        <w:rPr>
          <w:sz w:val="21"/>
        </w:rPr>
        <w:t>Act</w:t>
      </w:r>
      <w:r>
        <w:rPr>
          <w:spacing w:val="10"/>
          <w:sz w:val="21"/>
        </w:rPr>
        <w:t> </w:t>
      </w:r>
      <w:r>
        <w:rPr>
          <w:sz w:val="21"/>
        </w:rPr>
        <w:t>should:</w:t>
      </w:r>
    </w:p>
    <w:p>
      <w:pPr>
        <w:pStyle w:val="ListParagraph"/>
        <w:numPr>
          <w:ilvl w:val="1"/>
          <w:numId w:val="8"/>
        </w:numPr>
        <w:tabs>
          <w:tab w:pos="2721" w:val="left" w:leader="none"/>
          <w:tab w:pos="2722" w:val="left" w:leader="none"/>
        </w:tabs>
        <w:spacing w:line="242" w:lineRule="auto" w:before="124" w:after="0"/>
        <w:ind w:left="2721" w:right="22" w:hanging="567"/>
        <w:jc w:val="left"/>
        <w:rPr>
          <w:sz w:val="21"/>
        </w:rPr>
      </w:pPr>
      <w:r>
        <w:rPr>
          <w:spacing w:val="-3"/>
          <w:w w:val="105"/>
          <w:sz w:val="21"/>
        </w:rPr>
        <w:t>allow</w:t>
      </w:r>
      <w:r>
        <w:rPr>
          <w:spacing w:val="-8"/>
          <w:w w:val="105"/>
          <w:sz w:val="21"/>
        </w:rPr>
        <w:t> </w:t>
      </w:r>
      <w:r>
        <w:rPr>
          <w:w w:val="105"/>
          <w:sz w:val="21"/>
        </w:rPr>
        <w:t>the</w:t>
      </w:r>
      <w:r>
        <w:rPr>
          <w:spacing w:val="-7"/>
          <w:w w:val="105"/>
          <w:sz w:val="21"/>
        </w:rPr>
        <w:t> </w:t>
      </w:r>
      <w:r>
        <w:rPr>
          <w:w w:val="105"/>
          <w:sz w:val="21"/>
        </w:rPr>
        <w:t>affected</w:t>
      </w:r>
      <w:r>
        <w:rPr>
          <w:spacing w:val="-8"/>
          <w:w w:val="105"/>
          <w:sz w:val="21"/>
        </w:rPr>
        <w:t> </w:t>
      </w:r>
      <w:r>
        <w:rPr>
          <w:spacing w:val="-3"/>
          <w:w w:val="105"/>
          <w:sz w:val="21"/>
        </w:rPr>
        <w:t>neighbour</w:t>
      </w:r>
      <w:r>
        <w:rPr>
          <w:spacing w:val="-7"/>
          <w:w w:val="105"/>
          <w:sz w:val="21"/>
        </w:rPr>
        <w:t> </w:t>
      </w:r>
      <w:r>
        <w:rPr>
          <w:spacing w:val="-3"/>
          <w:w w:val="105"/>
          <w:sz w:val="21"/>
        </w:rPr>
        <w:t>to</w:t>
      </w:r>
      <w:r>
        <w:rPr>
          <w:spacing w:val="-8"/>
          <w:w w:val="105"/>
          <w:sz w:val="21"/>
        </w:rPr>
        <w:t> </w:t>
      </w:r>
      <w:r>
        <w:rPr>
          <w:spacing w:val="-3"/>
          <w:w w:val="105"/>
          <w:sz w:val="21"/>
        </w:rPr>
        <w:t>bring</w:t>
      </w:r>
      <w:r>
        <w:rPr>
          <w:spacing w:val="-7"/>
          <w:w w:val="105"/>
          <w:sz w:val="21"/>
        </w:rPr>
        <w:t> </w:t>
      </w:r>
      <w:r>
        <w:rPr>
          <w:w w:val="105"/>
          <w:sz w:val="21"/>
        </w:rPr>
        <w:t>an</w:t>
      </w:r>
      <w:r>
        <w:rPr>
          <w:spacing w:val="-8"/>
          <w:w w:val="105"/>
          <w:sz w:val="21"/>
        </w:rPr>
        <w:t> </w:t>
      </w:r>
      <w:r>
        <w:rPr>
          <w:w w:val="105"/>
          <w:sz w:val="21"/>
        </w:rPr>
        <w:t>application</w:t>
      </w:r>
      <w:r>
        <w:rPr>
          <w:spacing w:val="-7"/>
          <w:w w:val="105"/>
          <w:sz w:val="21"/>
        </w:rPr>
        <w:t> </w:t>
      </w:r>
      <w:r>
        <w:rPr>
          <w:w w:val="105"/>
          <w:sz w:val="21"/>
        </w:rPr>
        <w:t>irrespective</w:t>
      </w:r>
      <w:r>
        <w:rPr>
          <w:spacing w:val="-8"/>
          <w:w w:val="105"/>
          <w:sz w:val="21"/>
        </w:rPr>
        <w:t> </w:t>
      </w:r>
      <w:r>
        <w:rPr>
          <w:w w:val="105"/>
          <w:sz w:val="21"/>
        </w:rPr>
        <w:t>of</w:t>
      </w:r>
      <w:r>
        <w:rPr>
          <w:spacing w:val="-7"/>
          <w:w w:val="105"/>
          <w:sz w:val="21"/>
        </w:rPr>
        <w:t> </w:t>
      </w:r>
      <w:r>
        <w:rPr>
          <w:w w:val="105"/>
          <w:sz w:val="21"/>
        </w:rPr>
        <w:t>the</w:t>
      </w:r>
      <w:r>
        <w:rPr>
          <w:spacing w:val="-8"/>
          <w:w w:val="105"/>
          <w:sz w:val="21"/>
        </w:rPr>
        <w:t> </w:t>
      </w:r>
      <w:r>
        <w:rPr>
          <w:w w:val="105"/>
          <w:sz w:val="21"/>
        </w:rPr>
        <w:t>proportions</w:t>
      </w:r>
      <w:r>
        <w:rPr>
          <w:spacing w:val="-7"/>
          <w:w w:val="105"/>
          <w:sz w:val="21"/>
        </w:rPr>
        <w:t> </w:t>
      </w:r>
      <w:r>
        <w:rPr>
          <w:w w:val="105"/>
          <w:sz w:val="21"/>
        </w:rPr>
        <w:t>of the tree on each </w:t>
      </w:r>
      <w:r>
        <w:rPr>
          <w:spacing w:val="-3"/>
          <w:w w:val="105"/>
          <w:sz w:val="21"/>
        </w:rPr>
        <w:t>parcel </w:t>
      </w:r>
      <w:r>
        <w:rPr>
          <w:w w:val="105"/>
          <w:sz w:val="21"/>
        </w:rPr>
        <w:t>of </w:t>
      </w:r>
      <w:r>
        <w:rPr>
          <w:spacing w:val="-3"/>
          <w:w w:val="105"/>
          <w:sz w:val="21"/>
        </w:rPr>
        <w:t>land,</w:t>
      </w:r>
      <w:r>
        <w:rPr>
          <w:spacing w:val="37"/>
          <w:w w:val="105"/>
          <w:sz w:val="21"/>
        </w:rPr>
        <w:t> </w:t>
      </w:r>
      <w:r>
        <w:rPr>
          <w:w w:val="105"/>
          <w:sz w:val="21"/>
        </w:rPr>
        <w:t>and</w:t>
      </w:r>
    </w:p>
    <w:p>
      <w:pPr>
        <w:pStyle w:val="ListParagraph"/>
        <w:numPr>
          <w:ilvl w:val="1"/>
          <w:numId w:val="8"/>
        </w:numPr>
        <w:tabs>
          <w:tab w:pos="2721" w:val="left" w:leader="none"/>
          <w:tab w:pos="2722" w:val="left" w:leader="none"/>
        </w:tabs>
        <w:spacing w:line="242" w:lineRule="auto" w:before="122" w:after="0"/>
        <w:ind w:left="2721" w:right="0" w:hanging="567"/>
        <w:jc w:val="left"/>
        <w:rPr>
          <w:sz w:val="21"/>
        </w:rPr>
      </w:pPr>
      <w:r>
        <w:rPr>
          <w:sz w:val="21"/>
        </w:rPr>
        <w:t>provide the Victorian </w:t>
      </w:r>
      <w:r>
        <w:rPr>
          <w:spacing w:val="-3"/>
          <w:sz w:val="21"/>
        </w:rPr>
        <w:t>Civil </w:t>
      </w:r>
      <w:r>
        <w:rPr>
          <w:sz w:val="21"/>
        </w:rPr>
        <w:t>and </w:t>
      </w:r>
      <w:r>
        <w:rPr>
          <w:spacing w:val="-3"/>
          <w:sz w:val="21"/>
        </w:rPr>
        <w:t>Administrative </w:t>
      </w:r>
      <w:r>
        <w:rPr>
          <w:spacing w:val="-5"/>
          <w:sz w:val="21"/>
        </w:rPr>
        <w:t>Tribunal </w:t>
      </w:r>
      <w:r>
        <w:rPr>
          <w:sz w:val="21"/>
        </w:rPr>
        <w:t>with a </w:t>
      </w:r>
      <w:r>
        <w:rPr>
          <w:spacing w:val="-3"/>
          <w:sz w:val="21"/>
        </w:rPr>
        <w:t>discretion to consider </w:t>
      </w:r>
      <w:r>
        <w:rPr>
          <w:sz w:val="21"/>
        </w:rPr>
        <w:t>the proportions</w:t>
      </w:r>
      <w:r>
        <w:rPr>
          <w:spacing w:val="10"/>
          <w:sz w:val="21"/>
        </w:rPr>
        <w:t> </w:t>
      </w:r>
      <w:r>
        <w:rPr>
          <w:sz w:val="21"/>
        </w:rPr>
        <w:t>of</w:t>
      </w:r>
      <w:r>
        <w:rPr>
          <w:spacing w:val="10"/>
          <w:sz w:val="21"/>
        </w:rPr>
        <w:t> </w:t>
      </w:r>
      <w:r>
        <w:rPr>
          <w:sz w:val="21"/>
        </w:rPr>
        <w:t>the</w:t>
      </w:r>
      <w:r>
        <w:rPr>
          <w:spacing w:val="10"/>
          <w:sz w:val="21"/>
        </w:rPr>
        <w:t> </w:t>
      </w:r>
      <w:r>
        <w:rPr>
          <w:sz w:val="21"/>
        </w:rPr>
        <w:t>tree</w:t>
      </w:r>
      <w:r>
        <w:rPr>
          <w:spacing w:val="10"/>
          <w:sz w:val="21"/>
        </w:rPr>
        <w:t> </w:t>
      </w:r>
      <w:r>
        <w:rPr>
          <w:sz w:val="21"/>
        </w:rPr>
        <w:t>on</w:t>
      </w:r>
      <w:r>
        <w:rPr>
          <w:spacing w:val="10"/>
          <w:sz w:val="21"/>
        </w:rPr>
        <w:t> </w:t>
      </w:r>
      <w:r>
        <w:rPr>
          <w:sz w:val="21"/>
        </w:rPr>
        <w:t>each</w:t>
      </w:r>
      <w:r>
        <w:rPr>
          <w:spacing w:val="10"/>
          <w:sz w:val="21"/>
        </w:rPr>
        <w:t> </w:t>
      </w:r>
      <w:r>
        <w:rPr>
          <w:sz w:val="21"/>
        </w:rPr>
        <w:t>party’s</w:t>
      </w:r>
      <w:r>
        <w:rPr>
          <w:spacing w:val="10"/>
          <w:sz w:val="21"/>
        </w:rPr>
        <w:t> </w:t>
      </w:r>
      <w:r>
        <w:rPr>
          <w:spacing w:val="-3"/>
          <w:sz w:val="21"/>
        </w:rPr>
        <w:t>land</w:t>
      </w:r>
      <w:r>
        <w:rPr>
          <w:spacing w:val="10"/>
          <w:sz w:val="21"/>
        </w:rPr>
        <w:t> </w:t>
      </w:r>
      <w:r>
        <w:rPr>
          <w:sz w:val="21"/>
        </w:rPr>
        <w:t>in</w:t>
      </w:r>
      <w:r>
        <w:rPr>
          <w:spacing w:val="10"/>
          <w:sz w:val="21"/>
        </w:rPr>
        <w:t> </w:t>
      </w:r>
      <w:r>
        <w:rPr>
          <w:spacing w:val="-3"/>
          <w:sz w:val="21"/>
        </w:rPr>
        <w:t>making</w:t>
      </w:r>
      <w:r>
        <w:rPr>
          <w:spacing w:val="10"/>
          <w:sz w:val="21"/>
        </w:rPr>
        <w:t> </w:t>
      </w:r>
      <w:r>
        <w:rPr>
          <w:sz w:val="21"/>
        </w:rPr>
        <w:t>orders.</w:t>
      </w:r>
    </w:p>
    <w:p>
      <w:pPr>
        <w:pStyle w:val="ListParagraph"/>
        <w:numPr>
          <w:ilvl w:val="0"/>
          <w:numId w:val="8"/>
        </w:numPr>
        <w:tabs>
          <w:tab w:pos="2155" w:val="left" w:leader="none"/>
        </w:tabs>
        <w:spacing w:line="242" w:lineRule="auto" w:before="123" w:after="0"/>
        <w:ind w:left="2154" w:right="177" w:hanging="567"/>
        <w:jc w:val="both"/>
        <w:rPr>
          <w:sz w:val="21"/>
        </w:rPr>
      </w:pPr>
      <w:r>
        <w:rPr>
          <w:sz w:val="21"/>
        </w:rPr>
        <w:t>A </w:t>
      </w:r>
      <w:r>
        <w:rPr>
          <w:spacing w:val="-3"/>
          <w:sz w:val="21"/>
        </w:rPr>
        <w:t>determination  </w:t>
      </w:r>
      <w:r>
        <w:rPr>
          <w:sz w:val="21"/>
        </w:rPr>
        <w:t>about the proportions of the tree owned by the respective parties should  be made by </w:t>
      </w:r>
      <w:r>
        <w:rPr>
          <w:spacing w:val="-3"/>
          <w:sz w:val="21"/>
        </w:rPr>
        <w:t>measuring  </w:t>
      </w:r>
      <w:r>
        <w:rPr>
          <w:sz w:val="21"/>
        </w:rPr>
        <w:t>the location of the base of the trunk at </w:t>
      </w:r>
      <w:r>
        <w:rPr>
          <w:spacing w:val="-3"/>
          <w:sz w:val="21"/>
        </w:rPr>
        <w:t>ground</w:t>
      </w:r>
      <w:r>
        <w:rPr>
          <w:spacing w:val="41"/>
          <w:sz w:val="21"/>
        </w:rPr>
        <w:t> </w:t>
      </w:r>
      <w:r>
        <w:rPr>
          <w:sz w:val="21"/>
        </w:rPr>
        <w:t>level on each </w:t>
      </w:r>
      <w:r>
        <w:rPr>
          <w:spacing w:val="-3"/>
          <w:sz w:val="21"/>
        </w:rPr>
        <w:t>parcel   </w:t>
      </w:r>
      <w:r>
        <w:rPr>
          <w:sz w:val="21"/>
        </w:rPr>
        <w:t>of</w:t>
      </w:r>
      <w:r>
        <w:rPr>
          <w:spacing w:val="8"/>
          <w:sz w:val="21"/>
        </w:rPr>
        <w:t> </w:t>
      </w:r>
      <w:r>
        <w:rPr>
          <w:spacing w:val="-4"/>
          <w:sz w:val="21"/>
        </w:rPr>
        <w:t>land.</w:t>
      </w:r>
    </w:p>
    <w:p>
      <w:pPr>
        <w:pStyle w:val="ListParagraph"/>
        <w:numPr>
          <w:ilvl w:val="0"/>
          <w:numId w:val="8"/>
        </w:numPr>
        <w:tabs>
          <w:tab w:pos="2154" w:val="left" w:leader="none"/>
          <w:tab w:pos="2155" w:val="left" w:leader="none"/>
        </w:tabs>
        <w:spacing w:line="242" w:lineRule="auto" w:before="123" w:after="0"/>
        <w:ind w:left="2154" w:right="82" w:hanging="567"/>
        <w:jc w:val="left"/>
        <w:rPr>
          <w:sz w:val="21"/>
        </w:rPr>
      </w:pPr>
      <w:r>
        <w:rPr>
          <w:sz w:val="21"/>
        </w:rPr>
        <w:t>A person </w:t>
      </w:r>
      <w:r>
        <w:rPr>
          <w:spacing w:val="-3"/>
          <w:sz w:val="21"/>
        </w:rPr>
        <w:t>may </w:t>
      </w:r>
      <w:r>
        <w:rPr>
          <w:sz w:val="21"/>
        </w:rPr>
        <w:t>apply </w:t>
      </w:r>
      <w:r>
        <w:rPr>
          <w:spacing w:val="-3"/>
          <w:sz w:val="21"/>
        </w:rPr>
        <w:t>to </w:t>
      </w:r>
      <w:r>
        <w:rPr>
          <w:sz w:val="21"/>
        </w:rPr>
        <w:t>the Victorian </w:t>
      </w:r>
      <w:r>
        <w:rPr>
          <w:spacing w:val="-3"/>
          <w:sz w:val="21"/>
        </w:rPr>
        <w:t>Civil </w:t>
      </w:r>
      <w:r>
        <w:rPr>
          <w:sz w:val="21"/>
        </w:rPr>
        <w:t>and </w:t>
      </w:r>
      <w:r>
        <w:rPr>
          <w:spacing w:val="-3"/>
          <w:sz w:val="21"/>
        </w:rPr>
        <w:t>Administrative </w:t>
      </w:r>
      <w:r>
        <w:rPr>
          <w:spacing w:val="-5"/>
          <w:sz w:val="21"/>
        </w:rPr>
        <w:t>Tribunal </w:t>
      </w:r>
      <w:r>
        <w:rPr>
          <w:spacing w:val="-3"/>
          <w:sz w:val="21"/>
        </w:rPr>
        <w:t>for  </w:t>
      </w:r>
      <w:r>
        <w:rPr>
          <w:sz w:val="21"/>
        </w:rPr>
        <w:t>an order under the  Act if they</w:t>
      </w:r>
      <w:r>
        <w:rPr>
          <w:spacing w:val="24"/>
          <w:sz w:val="21"/>
        </w:rPr>
        <w:t> </w:t>
      </w:r>
      <w:r>
        <w:rPr>
          <w:sz w:val="21"/>
        </w:rPr>
        <w:t>are:</w:t>
      </w:r>
    </w:p>
    <w:p>
      <w:pPr>
        <w:pStyle w:val="ListParagraph"/>
        <w:numPr>
          <w:ilvl w:val="1"/>
          <w:numId w:val="8"/>
        </w:numPr>
        <w:tabs>
          <w:tab w:pos="2721" w:val="left" w:leader="none"/>
          <w:tab w:pos="2722" w:val="left" w:leader="none"/>
        </w:tabs>
        <w:spacing w:line="240" w:lineRule="auto" w:before="122" w:after="0"/>
        <w:ind w:left="2721" w:right="0" w:hanging="567"/>
        <w:jc w:val="left"/>
        <w:rPr>
          <w:sz w:val="21"/>
        </w:rPr>
      </w:pPr>
      <w:r>
        <w:rPr>
          <w:w w:val="105"/>
          <w:sz w:val="21"/>
        </w:rPr>
        <w:t>the owner of the </w:t>
      </w:r>
      <w:r>
        <w:rPr>
          <w:spacing w:val="-3"/>
          <w:w w:val="105"/>
          <w:sz w:val="21"/>
        </w:rPr>
        <w:t>land </w:t>
      </w:r>
      <w:r>
        <w:rPr>
          <w:w w:val="105"/>
          <w:sz w:val="21"/>
        </w:rPr>
        <w:t>affected by a tree (affected </w:t>
      </w:r>
      <w:r>
        <w:rPr>
          <w:spacing w:val="-3"/>
          <w:w w:val="105"/>
          <w:sz w:val="21"/>
        </w:rPr>
        <w:t>neighbour),</w:t>
      </w:r>
      <w:r>
        <w:rPr>
          <w:spacing w:val="37"/>
          <w:w w:val="105"/>
          <w:sz w:val="21"/>
        </w:rPr>
        <w:t> </w:t>
      </w:r>
      <w:r>
        <w:rPr>
          <w:w w:val="105"/>
          <w:sz w:val="21"/>
        </w:rPr>
        <w:t>or</w:t>
      </w:r>
    </w:p>
    <w:p>
      <w:pPr>
        <w:pStyle w:val="ListParagraph"/>
        <w:numPr>
          <w:ilvl w:val="1"/>
          <w:numId w:val="8"/>
        </w:numPr>
        <w:tabs>
          <w:tab w:pos="2721" w:val="left" w:leader="none"/>
          <w:tab w:pos="2722" w:val="left" w:leader="none"/>
        </w:tabs>
        <w:spacing w:line="242" w:lineRule="auto" w:before="124" w:after="0"/>
        <w:ind w:left="2721" w:right="149" w:hanging="567"/>
        <w:jc w:val="left"/>
        <w:rPr>
          <w:sz w:val="21"/>
        </w:rPr>
      </w:pPr>
      <w:r>
        <w:rPr>
          <w:w w:val="105"/>
          <w:sz w:val="21"/>
        </w:rPr>
        <w:t>an </w:t>
      </w:r>
      <w:r>
        <w:rPr>
          <w:spacing w:val="-3"/>
          <w:w w:val="105"/>
          <w:sz w:val="21"/>
        </w:rPr>
        <w:t>occupier </w:t>
      </w:r>
      <w:r>
        <w:rPr>
          <w:w w:val="105"/>
          <w:sz w:val="21"/>
        </w:rPr>
        <w:t>of </w:t>
      </w:r>
      <w:r>
        <w:rPr>
          <w:spacing w:val="-3"/>
          <w:w w:val="105"/>
          <w:sz w:val="21"/>
        </w:rPr>
        <w:t>land </w:t>
      </w:r>
      <w:r>
        <w:rPr>
          <w:w w:val="105"/>
          <w:sz w:val="21"/>
        </w:rPr>
        <w:t>affected by a tree if the owner of </w:t>
      </w:r>
      <w:r>
        <w:rPr>
          <w:spacing w:val="-3"/>
          <w:w w:val="105"/>
          <w:sz w:val="21"/>
        </w:rPr>
        <w:t>land </w:t>
      </w:r>
      <w:r>
        <w:rPr>
          <w:spacing w:val="-2"/>
          <w:w w:val="105"/>
          <w:sz w:val="21"/>
        </w:rPr>
        <w:t>has </w:t>
      </w:r>
      <w:r>
        <w:rPr>
          <w:spacing w:val="-3"/>
          <w:w w:val="105"/>
          <w:sz w:val="21"/>
        </w:rPr>
        <w:t>refused to commence proceedings.</w:t>
      </w:r>
    </w:p>
    <w:p>
      <w:pPr>
        <w:pStyle w:val="ListParagraph"/>
        <w:numPr>
          <w:ilvl w:val="0"/>
          <w:numId w:val="8"/>
        </w:numPr>
        <w:tabs>
          <w:tab w:pos="2154" w:val="left" w:leader="none"/>
          <w:tab w:pos="2155" w:val="left" w:leader="none"/>
        </w:tabs>
        <w:spacing w:line="242" w:lineRule="auto" w:before="122" w:after="0"/>
        <w:ind w:left="2154" w:right="180" w:hanging="567"/>
        <w:jc w:val="left"/>
        <w:rPr>
          <w:sz w:val="21"/>
        </w:rPr>
      </w:pPr>
      <w:r>
        <w:rPr>
          <w:w w:val="105"/>
          <w:sz w:val="21"/>
        </w:rPr>
        <w:t>The Act should </w:t>
      </w:r>
      <w:r>
        <w:rPr>
          <w:spacing w:val="-3"/>
          <w:w w:val="105"/>
          <w:sz w:val="21"/>
        </w:rPr>
        <w:t>allow </w:t>
      </w:r>
      <w:r>
        <w:rPr>
          <w:w w:val="105"/>
          <w:sz w:val="21"/>
        </w:rPr>
        <w:t>an application </w:t>
      </w:r>
      <w:r>
        <w:rPr>
          <w:spacing w:val="-3"/>
          <w:w w:val="105"/>
          <w:sz w:val="21"/>
        </w:rPr>
        <w:t>to </w:t>
      </w:r>
      <w:r>
        <w:rPr>
          <w:w w:val="105"/>
          <w:sz w:val="21"/>
        </w:rPr>
        <w:t>be </w:t>
      </w:r>
      <w:r>
        <w:rPr>
          <w:spacing w:val="-3"/>
          <w:w w:val="105"/>
          <w:sz w:val="21"/>
        </w:rPr>
        <w:t>brought against </w:t>
      </w:r>
      <w:r>
        <w:rPr>
          <w:w w:val="105"/>
          <w:sz w:val="21"/>
        </w:rPr>
        <w:t>the owner of the </w:t>
      </w:r>
      <w:r>
        <w:rPr>
          <w:spacing w:val="-3"/>
          <w:w w:val="105"/>
          <w:sz w:val="21"/>
        </w:rPr>
        <w:t>land </w:t>
      </w:r>
      <w:r>
        <w:rPr>
          <w:w w:val="105"/>
          <w:sz w:val="21"/>
        </w:rPr>
        <w:t>on which the tree is </w:t>
      </w:r>
      <w:r>
        <w:rPr>
          <w:spacing w:val="-3"/>
          <w:w w:val="105"/>
          <w:sz w:val="21"/>
        </w:rPr>
        <w:t>situated </w:t>
      </w:r>
      <w:r>
        <w:rPr>
          <w:w w:val="105"/>
          <w:sz w:val="21"/>
        </w:rPr>
        <w:t>(the tree</w:t>
      </w:r>
      <w:r>
        <w:rPr>
          <w:spacing w:val="27"/>
          <w:w w:val="105"/>
          <w:sz w:val="21"/>
        </w:rPr>
        <w:t> </w:t>
      </w:r>
      <w:r>
        <w:rPr>
          <w:w w:val="105"/>
          <w:sz w:val="21"/>
        </w:rPr>
        <w:t>owner).</w:t>
      </w:r>
    </w:p>
    <w:p>
      <w:pPr>
        <w:pStyle w:val="ListParagraph"/>
        <w:numPr>
          <w:ilvl w:val="0"/>
          <w:numId w:val="8"/>
        </w:numPr>
        <w:tabs>
          <w:tab w:pos="2154" w:val="left" w:leader="none"/>
          <w:tab w:pos="2155" w:val="left" w:leader="none"/>
        </w:tabs>
        <w:spacing w:line="242" w:lineRule="auto" w:before="123" w:after="0"/>
        <w:ind w:left="2154" w:right="113" w:hanging="567"/>
        <w:jc w:val="left"/>
        <w:rPr>
          <w:sz w:val="21"/>
        </w:rPr>
      </w:pPr>
      <w:r>
        <w:rPr>
          <w:sz w:val="21"/>
        </w:rPr>
        <w:t>An </w:t>
      </w:r>
      <w:r>
        <w:rPr>
          <w:spacing w:val="-3"/>
          <w:sz w:val="21"/>
        </w:rPr>
        <w:t>applicant may </w:t>
      </w:r>
      <w:r>
        <w:rPr>
          <w:sz w:val="21"/>
        </w:rPr>
        <w:t>apply </w:t>
      </w:r>
      <w:r>
        <w:rPr>
          <w:spacing w:val="-3"/>
          <w:sz w:val="21"/>
        </w:rPr>
        <w:t>to </w:t>
      </w:r>
      <w:r>
        <w:rPr>
          <w:sz w:val="21"/>
        </w:rPr>
        <w:t>the Victorian </w:t>
      </w:r>
      <w:r>
        <w:rPr>
          <w:spacing w:val="-3"/>
          <w:sz w:val="21"/>
        </w:rPr>
        <w:t>Civil </w:t>
      </w:r>
      <w:r>
        <w:rPr>
          <w:sz w:val="21"/>
        </w:rPr>
        <w:t>and </w:t>
      </w:r>
      <w:r>
        <w:rPr>
          <w:spacing w:val="-3"/>
          <w:sz w:val="21"/>
        </w:rPr>
        <w:t>Administrative </w:t>
      </w:r>
      <w:r>
        <w:rPr>
          <w:spacing w:val="-5"/>
          <w:sz w:val="21"/>
        </w:rPr>
        <w:t>Tribunal  </w:t>
      </w:r>
      <w:r>
        <w:rPr>
          <w:spacing w:val="-3"/>
          <w:sz w:val="21"/>
        </w:rPr>
        <w:t>for  </w:t>
      </w:r>
      <w:r>
        <w:rPr>
          <w:sz w:val="21"/>
        </w:rPr>
        <w:t>an order under the Act</w:t>
      </w:r>
      <w:r>
        <w:rPr>
          <w:spacing w:val="16"/>
          <w:sz w:val="21"/>
        </w:rPr>
        <w:t> </w:t>
      </w:r>
      <w:r>
        <w:rPr>
          <w:sz w:val="21"/>
        </w:rPr>
        <w:t>to:</w:t>
      </w:r>
    </w:p>
    <w:p>
      <w:pPr>
        <w:pStyle w:val="ListParagraph"/>
        <w:numPr>
          <w:ilvl w:val="1"/>
          <w:numId w:val="8"/>
        </w:numPr>
        <w:tabs>
          <w:tab w:pos="2721" w:val="left" w:leader="none"/>
          <w:tab w:pos="2722" w:val="left" w:leader="none"/>
        </w:tabs>
        <w:spacing w:line="242" w:lineRule="auto" w:before="122" w:after="0"/>
        <w:ind w:left="2721" w:right="0" w:hanging="567"/>
        <w:jc w:val="left"/>
        <w:rPr>
          <w:sz w:val="21"/>
        </w:rPr>
      </w:pPr>
      <w:r>
        <w:rPr>
          <w:spacing w:val="-3"/>
          <w:w w:val="105"/>
          <w:sz w:val="21"/>
        </w:rPr>
        <w:t>restrain</w:t>
      </w:r>
      <w:r>
        <w:rPr>
          <w:spacing w:val="-7"/>
          <w:w w:val="105"/>
          <w:sz w:val="21"/>
        </w:rPr>
        <w:t> </w:t>
      </w:r>
      <w:r>
        <w:rPr>
          <w:w w:val="105"/>
          <w:sz w:val="21"/>
        </w:rPr>
        <w:t>or</w:t>
      </w:r>
      <w:r>
        <w:rPr>
          <w:spacing w:val="-6"/>
          <w:w w:val="105"/>
          <w:sz w:val="21"/>
        </w:rPr>
        <w:t> </w:t>
      </w:r>
      <w:r>
        <w:rPr>
          <w:w w:val="105"/>
          <w:sz w:val="21"/>
        </w:rPr>
        <w:t>remedy</w:t>
      </w:r>
      <w:r>
        <w:rPr>
          <w:spacing w:val="-7"/>
          <w:w w:val="105"/>
          <w:sz w:val="21"/>
        </w:rPr>
        <w:t> </w:t>
      </w:r>
      <w:r>
        <w:rPr>
          <w:w w:val="105"/>
          <w:sz w:val="21"/>
        </w:rPr>
        <w:t>damage</w:t>
      </w:r>
      <w:r>
        <w:rPr>
          <w:spacing w:val="-6"/>
          <w:w w:val="105"/>
          <w:sz w:val="21"/>
        </w:rPr>
        <w:t> </w:t>
      </w:r>
      <w:r>
        <w:rPr>
          <w:spacing w:val="-3"/>
          <w:w w:val="105"/>
          <w:sz w:val="21"/>
        </w:rPr>
        <w:t>to</w:t>
      </w:r>
      <w:r>
        <w:rPr>
          <w:spacing w:val="-6"/>
          <w:w w:val="105"/>
          <w:sz w:val="21"/>
        </w:rPr>
        <w:t> </w:t>
      </w:r>
      <w:r>
        <w:rPr>
          <w:w w:val="105"/>
          <w:sz w:val="21"/>
        </w:rPr>
        <w:t>the</w:t>
      </w:r>
      <w:r>
        <w:rPr>
          <w:spacing w:val="-7"/>
          <w:w w:val="105"/>
          <w:sz w:val="21"/>
        </w:rPr>
        <w:t> </w:t>
      </w:r>
      <w:r>
        <w:rPr>
          <w:w w:val="105"/>
          <w:sz w:val="21"/>
        </w:rPr>
        <w:t>affected</w:t>
      </w:r>
      <w:r>
        <w:rPr>
          <w:spacing w:val="-6"/>
          <w:w w:val="105"/>
          <w:sz w:val="21"/>
        </w:rPr>
        <w:t> </w:t>
      </w:r>
      <w:r>
        <w:rPr>
          <w:spacing w:val="-3"/>
          <w:w w:val="105"/>
          <w:sz w:val="21"/>
        </w:rPr>
        <w:t>neighbour’s</w:t>
      </w:r>
      <w:r>
        <w:rPr>
          <w:spacing w:val="-7"/>
          <w:w w:val="105"/>
          <w:sz w:val="21"/>
        </w:rPr>
        <w:t> </w:t>
      </w:r>
      <w:r>
        <w:rPr>
          <w:spacing w:val="-3"/>
          <w:w w:val="105"/>
          <w:sz w:val="21"/>
        </w:rPr>
        <w:t>land</w:t>
      </w:r>
      <w:r>
        <w:rPr>
          <w:spacing w:val="-6"/>
          <w:w w:val="105"/>
          <w:sz w:val="21"/>
        </w:rPr>
        <w:t> </w:t>
      </w:r>
      <w:r>
        <w:rPr>
          <w:w w:val="105"/>
          <w:sz w:val="21"/>
        </w:rPr>
        <w:t>or</w:t>
      </w:r>
      <w:r>
        <w:rPr>
          <w:spacing w:val="-6"/>
          <w:w w:val="105"/>
          <w:sz w:val="21"/>
        </w:rPr>
        <w:t> </w:t>
      </w:r>
      <w:r>
        <w:rPr>
          <w:w w:val="105"/>
          <w:sz w:val="21"/>
        </w:rPr>
        <w:t>property</w:t>
      </w:r>
      <w:r>
        <w:rPr>
          <w:spacing w:val="-7"/>
          <w:w w:val="105"/>
          <w:sz w:val="21"/>
        </w:rPr>
        <w:t> </w:t>
      </w:r>
      <w:r>
        <w:rPr>
          <w:spacing w:val="-3"/>
          <w:w w:val="105"/>
          <w:sz w:val="21"/>
        </w:rPr>
        <w:t>that</w:t>
      </w:r>
      <w:r>
        <w:rPr>
          <w:spacing w:val="-6"/>
          <w:w w:val="105"/>
          <w:sz w:val="21"/>
        </w:rPr>
        <w:t> </w:t>
      </w:r>
      <w:r>
        <w:rPr>
          <w:w w:val="105"/>
          <w:sz w:val="21"/>
        </w:rPr>
        <w:t>is</w:t>
      </w:r>
      <w:r>
        <w:rPr>
          <w:spacing w:val="-7"/>
          <w:w w:val="105"/>
          <w:sz w:val="21"/>
        </w:rPr>
        <w:t> </w:t>
      </w:r>
      <w:r>
        <w:rPr>
          <w:w w:val="105"/>
          <w:sz w:val="21"/>
        </w:rPr>
        <w:t>caused by a</w:t>
      </w:r>
      <w:r>
        <w:rPr>
          <w:spacing w:val="10"/>
          <w:w w:val="105"/>
          <w:sz w:val="21"/>
        </w:rPr>
        <w:t> </w:t>
      </w:r>
      <w:r>
        <w:rPr>
          <w:w w:val="105"/>
          <w:sz w:val="21"/>
        </w:rPr>
        <w:t>tree</w:t>
      </w:r>
    </w:p>
    <w:p>
      <w:pPr>
        <w:pStyle w:val="ListParagraph"/>
        <w:numPr>
          <w:ilvl w:val="1"/>
          <w:numId w:val="8"/>
        </w:numPr>
        <w:tabs>
          <w:tab w:pos="2721" w:val="left" w:leader="none"/>
          <w:tab w:pos="2722" w:val="left" w:leader="none"/>
        </w:tabs>
        <w:spacing w:line="242" w:lineRule="auto" w:before="122" w:after="0"/>
        <w:ind w:left="2721" w:right="118" w:hanging="567"/>
        <w:jc w:val="left"/>
        <w:rPr>
          <w:sz w:val="21"/>
        </w:rPr>
      </w:pPr>
      <w:r>
        <w:rPr>
          <w:spacing w:val="-3"/>
          <w:w w:val="105"/>
          <w:sz w:val="21"/>
        </w:rPr>
        <w:t>prevent</w:t>
      </w:r>
      <w:r>
        <w:rPr>
          <w:spacing w:val="-6"/>
          <w:w w:val="105"/>
          <w:sz w:val="21"/>
        </w:rPr>
        <w:t> </w:t>
      </w:r>
      <w:r>
        <w:rPr>
          <w:w w:val="105"/>
          <w:sz w:val="21"/>
        </w:rPr>
        <w:t>damage</w:t>
      </w:r>
      <w:r>
        <w:rPr>
          <w:spacing w:val="-5"/>
          <w:w w:val="105"/>
          <w:sz w:val="21"/>
        </w:rPr>
        <w:t> </w:t>
      </w:r>
      <w:r>
        <w:rPr>
          <w:spacing w:val="-3"/>
          <w:w w:val="105"/>
          <w:sz w:val="21"/>
        </w:rPr>
        <w:t>to</w:t>
      </w:r>
      <w:r>
        <w:rPr>
          <w:spacing w:val="-5"/>
          <w:w w:val="105"/>
          <w:sz w:val="21"/>
        </w:rPr>
        <w:t> </w:t>
      </w:r>
      <w:r>
        <w:rPr>
          <w:w w:val="105"/>
          <w:sz w:val="21"/>
        </w:rPr>
        <w:t>the</w:t>
      </w:r>
      <w:r>
        <w:rPr>
          <w:spacing w:val="-5"/>
          <w:w w:val="105"/>
          <w:sz w:val="21"/>
        </w:rPr>
        <w:t> </w:t>
      </w:r>
      <w:r>
        <w:rPr>
          <w:w w:val="105"/>
          <w:sz w:val="21"/>
        </w:rPr>
        <w:t>affected</w:t>
      </w:r>
      <w:r>
        <w:rPr>
          <w:spacing w:val="-5"/>
          <w:w w:val="105"/>
          <w:sz w:val="21"/>
        </w:rPr>
        <w:t> </w:t>
      </w:r>
      <w:r>
        <w:rPr>
          <w:spacing w:val="-3"/>
          <w:w w:val="105"/>
          <w:sz w:val="21"/>
        </w:rPr>
        <w:t>neighbour’s</w:t>
      </w:r>
      <w:r>
        <w:rPr>
          <w:spacing w:val="-5"/>
          <w:w w:val="105"/>
          <w:sz w:val="21"/>
        </w:rPr>
        <w:t> </w:t>
      </w:r>
      <w:r>
        <w:rPr>
          <w:spacing w:val="-3"/>
          <w:w w:val="105"/>
          <w:sz w:val="21"/>
        </w:rPr>
        <w:t>land</w:t>
      </w:r>
      <w:r>
        <w:rPr>
          <w:spacing w:val="-5"/>
          <w:w w:val="105"/>
          <w:sz w:val="21"/>
        </w:rPr>
        <w:t> </w:t>
      </w:r>
      <w:r>
        <w:rPr>
          <w:w w:val="105"/>
          <w:sz w:val="21"/>
        </w:rPr>
        <w:t>or</w:t>
      </w:r>
      <w:r>
        <w:rPr>
          <w:spacing w:val="-6"/>
          <w:w w:val="105"/>
          <w:sz w:val="21"/>
        </w:rPr>
        <w:t> </w:t>
      </w:r>
      <w:r>
        <w:rPr>
          <w:w w:val="105"/>
          <w:sz w:val="21"/>
        </w:rPr>
        <w:t>property</w:t>
      </w:r>
      <w:r>
        <w:rPr>
          <w:spacing w:val="-5"/>
          <w:w w:val="105"/>
          <w:sz w:val="21"/>
        </w:rPr>
        <w:t> </w:t>
      </w:r>
      <w:r>
        <w:rPr>
          <w:spacing w:val="-3"/>
          <w:w w:val="105"/>
          <w:sz w:val="21"/>
        </w:rPr>
        <w:t>that</w:t>
      </w:r>
      <w:r>
        <w:rPr>
          <w:spacing w:val="-5"/>
          <w:w w:val="105"/>
          <w:sz w:val="21"/>
        </w:rPr>
        <w:t> </w:t>
      </w:r>
      <w:r>
        <w:rPr>
          <w:w w:val="105"/>
          <w:sz w:val="21"/>
        </w:rPr>
        <w:t>is</w:t>
      </w:r>
      <w:r>
        <w:rPr>
          <w:spacing w:val="-5"/>
          <w:w w:val="105"/>
          <w:sz w:val="21"/>
        </w:rPr>
        <w:t> </w:t>
      </w:r>
      <w:r>
        <w:rPr>
          <w:w w:val="105"/>
          <w:sz w:val="21"/>
        </w:rPr>
        <w:t>caused</w:t>
      </w:r>
      <w:r>
        <w:rPr>
          <w:spacing w:val="-5"/>
          <w:w w:val="105"/>
          <w:sz w:val="21"/>
        </w:rPr>
        <w:t> </w:t>
      </w:r>
      <w:r>
        <w:rPr>
          <w:w w:val="105"/>
          <w:sz w:val="21"/>
        </w:rPr>
        <w:t>by</w:t>
      </w:r>
      <w:r>
        <w:rPr>
          <w:spacing w:val="-5"/>
          <w:w w:val="105"/>
          <w:sz w:val="21"/>
        </w:rPr>
        <w:t> </w:t>
      </w:r>
      <w:r>
        <w:rPr>
          <w:w w:val="105"/>
          <w:sz w:val="21"/>
        </w:rPr>
        <w:t>a</w:t>
      </w:r>
      <w:r>
        <w:rPr>
          <w:spacing w:val="-5"/>
          <w:w w:val="105"/>
          <w:sz w:val="21"/>
        </w:rPr>
        <w:t> </w:t>
      </w:r>
      <w:r>
        <w:rPr>
          <w:w w:val="105"/>
          <w:sz w:val="21"/>
        </w:rPr>
        <w:t>tree </w:t>
      </w:r>
      <w:r>
        <w:rPr>
          <w:spacing w:val="-3"/>
          <w:w w:val="105"/>
          <w:sz w:val="21"/>
        </w:rPr>
        <w:t>that </w:t>
      </w:r>
      <w:r>
        <w:rPr>
          <w:w w:val="105"/>
          <w:sz w:val="21"/>
        </w:rPr>
        <w:t>is </w:t>
      </w:r>
      <w:r>
        <w:rPr>
          <w:spacing w:val="-4"/>
          <w:w w:val="105"/>
          <w:sz w:val="21"/>
        </w:rPr>
        <w:t>likely </w:t>
      </w:r>
      <w:r>
        <w:rPr>
          <w:spacing w:val="-3"/>
          <w:w w:val="105"/>
          <w:sz w:val="21"/>
        </w:rPr>
        <w:t>to occur within </w:t>
      </w:r>
      <w:r>
        <w:rPr>
          <w:w w:val="105"/>
          <w:sz w:val="21"/>
        </w:rPr>
        <w:t>the next</w:t>
      </w:r>
      <w:r>
        <w:rPr>
          <w:spacing w:val="28"/>
          <w:w w:val="105"/>
          <w:sz w:val="21"/>
        </w:rPr>
        <w:t> </w:t>
      </w:r>
      <w:r>
        <w:rPr>
          <w:spacing w:val="-9"/>
          <w:w w:val="105"/>
          <w:sz w:val="21"/>
        </w:rPr>
        <w:t>12 </w:t>
      </w:r>
      <w:r>
        <w:rPr>
          <w:spacing w:val="-3"/>
          <w:w w:val="105"/>
          <w:sz w:val="21"/>
        </w:rPr>
        <w:t>months</w:t>
      </w:r>
    </w:p>
    <w:p>
      <w:pPr>
        <w:pStyle w:val="ListParagraph"/>
        <w:numPr>
          <w:ilvl w:val="1"/>
          <w:numId w:val="8"/>
        </w:numPr>
        <w:tabs>
          <w:tab w:pos="2721" w:val="left" w:leader="none"/>
          <w:tab w:pos="2722" w:val="left" w:leader="none"/>
        </w:tabs>
        <w:spacing w:line="242" w:lineRule="auto" w:before="122" w:after="0"/>
        <w:ind w:left="2721" w:right="115" w:hanging="567"/>
        <w:jc w:val="left"/>
        <w:rPr>
          <w:sz w:val="21"/>
        </w:rPr>
      </w:pPr>
      <w:r>
        <w:rPr>
          <w:w w:val="105"/>
          <w:sz w:val="21"/>
        </w:rPr>
        <w:t>address existing </w:t>
      </w:r>
      <w:r>
        <w:rPr>
          <w:spacing w:val="-3"/>
          <w:w w:val="105"/>
          <w:sz w:val="21"/>
        </w:rPr>
        <w:t>harm to anyone </w:t>
      </w:r>
      <w:r>
        <w:rPr>
          <w:w w:val="105"/>
          <w:sz w:val="21"/>
        </w:rPr>
        <w:t>on the affected </w:t>
      </w:r>
      <w:r>
        <w:rPr>
          <w:spacing w:val="-3"/>
          <w:w w:val="105"/>
          <w:sz w:val="21"/>
        </w:rPr>
        <w:t>neighbour’s land that </w:t>
      </w:r>
      <w:r>
        <w:rPr>
          <w:w w:val="105"/>
          <w:sz w:val="21"/>
        </w:rPr>
        <w:t>is caused by a tree</w:t>
      </w:r>
    </w:p>
    <w:p>
      <w:pPr>
        <w:pStyle w:val="ListParagraph"/>
        <w:numPr>
          <w:ilvl w:val="1"/>
          <w:numId w:val="8"/>
        </w:numPr>
        <w:tabs>
          <w:tab w:pos="2721" w:val="left" w:leader="none"/>
          <w:tab w:pos="2722" w:val="left" w:leader="none"/>
        </w:tabs>
        <w:spacing w:line="242" w:lineRule="auto" w:before="123" w:after="0"/>
        <w:ind w:left="2721" w:right="116" w:hanging="567"/>
        <w:jc w:val="left"/>
        <w:rPr>
          <w:sz w:val="21"/>
        </w:rPr>
      </w:pPr>
      <w:r>
        <w:rPr>
          <w:spacing w:val="-3"/>
          <w:w w:val="105"/>
          <w:sz w:val="21"/>
        </w:rPr>
        <w:t>prevent harm to any </w:t>
      </w:r>
      <w:r>
        <w:rPr>
          <w:w w:val="105"/>
          <w:sz w:val="21"/>
        </w:rPr>
        <w:t>person on the affected </w:t>
      </w:r>
      <w:r>
        <w:rPr>
          <w:spacing w:val="-3"/>
          <w:w w:val="105"/>
          <w:sz w:val="21"/>
        </w:rPr>
        <w:t>neighbour’s land that </w:t>
      </w:r>
      <w:r>
        <w:rPr>
          <w:w w:val="105"/>
          <w:sz w:val="21"/>
        </w:rPr>
        <w:t>is caused by a</w:t>
      </w:r>
      <w:r>
        <w:rPr>
          <w:spacing w:val="-33"/>
          <w:w w:val="105"/>
          <w:sz w:val="21"/>
        </w:rPr>
        <w:t> </w:t>
      </w:r>
      <w:r>
        <w:rPr>
          <w:w w:val="105"/>
          <w:sz w:val="21"/>
        </w:rPr>
        <w:t>tree </w:t>
      </w:r>
      <w:r>
        <w:rPr>
          <w:spacing w:val="-3"/>
          <w:w w:val="105"/>
          <w:sz w:val="21"/>
        </w:rPr>
        <w:t>that </w:t>
      </w:r>
      <w:r>
        <w:rPr>
          <w:w w:val="105"/>
          <w:sz w:val="21"/>
        </w:rPr>
        <w:t>is </w:t>
      </w:r>
      <w:r>
        <w:rPr>
          <w:spacing w:val="-4"/>
          <w:w w:val="105"/>
          <w:sz w:val="21"/>
        </w:rPr>
        <w:t>likely </w:t>
      </w:r>
      <w:r>
        <w:rPr>
          <w:spacing w:val="-3"/>
          <w:w w:val="105"/>
          <w:sz w:val="21"/>
        </w:rPr>
        <w:t>to occur within </w:t>
      </w:r>
      <w:r>
        <w:rPr>
          <w:w w:val="105"/>
          <w:sz w:val="21"/>
        </w:rPr>
        <w:t>the next</w:t>
      </w:r>
      <w:r>
        <w:rPr>
          <w:spacing w:val="28"/>
          <w:w w:val="105"/>
          <w:sz w:val="21"/>
        </w:rPr>
        <w:t> </w:t>
      </w:r>
      <w:r>
        <w:rPr>
          <w:spacing w:val="-9"/>
          <w:w w:val="105"/>
          <w:sz w:val="21"/>
        </w:rPr>
        <w:t>12 </w:t>
      </w:r>
      <w:r>
        <w:rPr>
          <w:spacing w:val="-3"/>
          <w:w w:val="105"/>
          <w:sz w:val="21"/>
        </w:rPr>
        <w:t>months.</w:t>
      </w:r>
    </w:p>
    <w:p>
      <w:pPr>
        <w:pStyle w:val="ListParagraph"/>
        <w:numPr>
          <w:ilvl w:val="0"/>
          <w:numId w:val="8"/>
        </w:numPr>
        <w:tabs>
          <w:tab w:pos="2154" w:val="left" w:leader="none"/>
          <w:tab w:pos="2155" w:val="left" w:leader="none"/>
        </w:tabs>
        <w:spacing w:line="242" w:lineRule="auto" w:before="122" w:after="0"/>
        <w:ind w:left="2154" w:right="211" w:hanging="567"/>
        <w:jc w:val="left"/>
        <w:rPr>
          <w:sz w:val="21"/>
        </w:rPr>
      </w:pPr>
      <w:r>
        <w:rPr>
          <w:w w:val="105"/>
          <w:sz w:val="21"/>
        </w:rPr>
        <w:t>The</w:t>
      </w:r>
      <w:r>
        <w:rPr>
          <w:spacing w:val="-7"/>
          <w:w w:val="105"/>
          <w:sz w:val="21"/>
        </w:rPr>
        <w:t> </w:t>
      </w:r>
      <w:r>
        <w:rPr>
          <w:w w:val="105"/>
          <w:sz w:val="21"/>
        </w:rPr>
        <w:t>affected</w:t>
      </w:r>
      <w:r>
        <w:rPr>
          <w:spacing w:val="-6"/>
          <w:w w:val="105"/>
          <w:sz w:val="21"/>
        </w:rPr>
        <w:t> </w:t>
      </w:r>
      <w:r>
        <w:rPr>
          <w:spacing w:val="-3"/>
          <w:w w:val="105"/>
          <w:sz w:val="21"/>
        </w:rPr>
        <w:t>neighbour</w:t>
      </w:r>
      <w:r>
        <w:rPr>
          <w:spacing w:val="-6"/>
          <w:w w:val="105"/>
          <w:sz w:val="21"/>
        </w:rPr>
        <w:t> </w:t>
      </w:r>
      <w:r>
        <w:rPr>
          <w:w w:val="105"/>
          <w:sz w:val="21"/>
        </w:rPr>
        <w:t>should</w:t>
      </w:r>
      <w:r>
        <w:rPr>
          <w:spacing w:val="-7"/>
          <w:w w:val="105"/>
          <w:sz w:val="21"/>
        </w:rPr>
        <w:t> </w:t>
      </w:r>
      <w:r>
        <w:rPr>
          <w:w w:val="105"/>
          <w:sz w:val="21"/>
        </w:rPr>
        <w:t>be</w:t>
      </w:r>
      <w:r>
        <w:rPr>
          <w:spacing w:val="-6"/>
          <w:w w:val="105"/>
          <w:sz w:val="21"/>
        </w:rPr>
        <w:t> </w:t>
      </w:r>
      <w:r>
        <w:rPr>
          <w:spacing w:val="-3"/>
          <w:w w:val="105"/>
          <w:sz w:val="21"/>
        </w:rPr>
        <w:t>required</w:t>
      </w:r>
      <w:r>
        <w:rPr>
          <w:spacing w:val="-6"/>
          <w:w w:val="105"/>
          <w:sz w:val="21"/>
        </w:rPr>
        <w:t> </w:t>
      </w:r>
      <w:r>
        <w:rPr>
          <w:spacing w:val="-3"/>
          <w:w w:val="105"/>
          <w:sz w:val="21"/>
        </w:rPr>
        <w:t>to</w:t>
      </w:r>
      <w:r>
        <w:rPr>
          <w:spacing w:val="-7"/>
          <w:w w:val="105"/>
          <w:sz w:val="21"/>
        </w:rPr>
        <w:t> </w:t>
      </w:r>
      <w:r>
        <w:rPr>
          <w:w w:val="105"/>
          <w:sz w:val="21"/>
        </w:rPr>
        <w:t>notify</w:t>
      </w:r>
      <w:r>
        <w:rPr>
          <w:spacing w:val="-6"/>
          <w:w w:val="105"/>
          <w:sz w:val="21"/>
        </w:rPr>
        <w:t> </w:t>
      </w:r>
      <w:r>
        <w:rPr>
          <w:w w:val="105"/>
          <w:sz w:val="21"/>
        </w:rPr>
        <w:t>affected</w:t>
      </w:r>
      <w:r>
        <w:rPr>
          <w:spacing w:val="-6"/>
          <w:w w:val="105"/>
          <w:sz w:val="21"/>
        </w:rPr>
        <w:t> </w:t>
      </w:r>
      <w:r>
        <w:rPr>
          <w:w w:val="105"/>
          <w:sz w:val="21"/>
        </w:rPr>
        <w:t>parties</w:t>
      </w:r>
      <w:r>
        <w:rPr>
          <w:spacing w:val="-6"/>
          <w:w w:val="105"/>
          <w:sz w:val="21"/>
        </w:rPr>
        <w:t> </w:t>
      </w:r>
      <w:r>
        <w:rPr>
          <w:w w:val="105"/>
          <w:sz w:val="21"/>
        </w:rPr>
        <w:t>of</w:t>
      </w:r>
      <w:r>
        <w:rPr>
          <w:spacing w:val="-7"/>
          <w:w w:val="105"/>
          <w:sz w:val="21"/>
        </w:rPr>
        <w:t> </w:t>
      </w:r>
      <w:r>
        <w:rPr>
          <w:w w:val="105"/>
          <w:sz w:val="21"/>
        </w:rPr>
        <w:t>an</w:t>
      </w:r>
      <w:r>
        <w:rPr>
          <w:spacing w:val="-6"/>
          <w:w w:val="105"/>
          <w:sz w:val="21"/>
        </w:rPr>
        <w:t> </w:t>
      </w:r>
      <w:r>
        <w:rPr>
          <w:w w:val="105"/>
          <w:sz w:val="21"/>
        </w:rPr>
        <w:t>application</w:t>
      </w:r>
      <w:r>
        <w:rPr>
          <w:spacing w:val="-6"/>
          <w:w w:val="105"/>
          <w:sz w:val="21"/>
        </w:rPr>
        <w:t> </w:t>
      </w:r>
      <w:r>
        <w:rPr>
          <w:w w:val="105"/>
          <w:sz w:val="21"/>
        </w:rPr>
        <w:t>and the remedies </w:t>
      </w:r>
      <w:r>
        <w:rPr>
          <w:spacing w:val="-3"/>
          <w:w w:val="105"/>
          <w:sz w:val="21"/>
        </w:rPr>
        <w:t>sought within </w:t>
      </w:r>
      <w:r>
        <w:rPr>
          <w:spacing w:val="-7"/>
          <w:w w:val="105"/>
          <w:sz w:val="21"/>
        </w:rPr>
        <w:t>21 </w:t>
      </w:r>
      <w:r>
        <w:rPr>
          <w:w w:val="105"/>
          <w:sz w:val="21"/>
        </w:rPr>
        <w:t>days of </w:t>
      </w:r>
      <w:r>
        <w:rPr>
          <w:spacing w:val="-3"/>
          <w:w w:val="105"/>
          <w:sz w:val="21"/>
        </w:rPr>
        <w:t>lodging</w:t>
      </w:r>
      <w:r>
        <w:rPr>
          <w:spacing w:val="10"/>
          <w:w w:val="105"/>
          <w:sz w:val="21"/>
        </w:rPr>
        <w:t> </w:t>
      </w:r>
      <w:r>
        <w:rPr>
          <w:w w:val="105"/>
          <w:sz w:val="21"/>
        </w:rPr>
        <w:t>the </w:t>
      </w:r>
      <w:r>
        <w:rPr>
          <w:spacing w:val="-3"/>
          <w:w w:val="105"/>
          <w:sz w:val="21"/>
        </w:rPr>
        <w:t>application.</w:t>
      </w:r>
    </w:p>
    <w:p>
      <w:pPr>
        <w:pStyle w:val="ListParagraph"/>
        <w:numPr>
          <w:ilvl w:val="0"/>
          <w:numId w:val="8"/>
        </w:numPr>
        <w:tabs>
          <w:tab w:pos="2153" w:val="left" w:leader="none"/>
          <w:tab w:pos="2154" w:val="left" w:leader="none"/>
        </w:tabs>
        <w:spacing w:line="240" w:lineRule="auto" w:before="122" w:after="0"/>
        <w:ind w:left="2153" w:right="0" w:hanging="566"/>
        <w:jc w:val="left"/>
        <w:rPr>
          <w:sz w:val="21"/>
        </w:rPr>
      </w:pPr>
      <w:r>
        <w:rPr>
          <w:spacing w:val="-4"/>
          <w:w w:val="105"/>
          <w:sz w:val="21"/>
        </w:rPr>
        <w:t>‘Affected </w:t>
      </w:r>
      <w:r>
        <w:rPr>
          <w:w w:val="105"/>
          <w:sz w:val="21"/>
        </w:rPr>
        <w:t>parties’ should be defined in the Act </w:t>
      </w:r>
      <w:r>
        <w:rPr>
          <w:spacing w:val="-3"/>
          <w:w w:val="105"/>
          <w:sz w:val="21"/>
        </w:rPr>
        <w:t>to </w:t>
      </w:r>
      <w:r>
        <w:rPr>
          <w:w w:val="105"/>
          <w:sz w:val="21"/>
        </w:rPr>
        <w:t>mean:</w:t>
      </w:r>
    </w:p>
    <w:p>
      <w:pPr>
        <w:pStyle w:val="ListParagraph"/>
        <w:numPr>
          <w:ilvl w:val="1"/>
          <w:numId w:val="8"/>
        </w:numPr>
        <w:tabs>
          <w:tab w:pos="2720" w:val="left" w:leader="none"/>
          <w:tab w:pos="2721" w:val="left" w:leader="none"/>
        </w:tabs>
        <w:spacing w:line="240" w:lineRule="auto" w:before="124" w:after="0"/>
        <w:ind w:left="2720" w:right="0" w:hanging="567"/>
        <w:jc w:val="left"/>
        <w:rPr>
          <w:sz w:val="21"/>
        </w:rPr>
      </w:pPr>
      <w:r>
        <w:rPr>
          <w:sz w:val="21"/>
        </w:rPr>
        <w:t>the tree</w:t>
      </w:r>
      <w:r>
        <w:rPr>
          <w:spacing w:val="15"/>
          <w:sz w:val="21"/>
        </w:rPr>
        <w:t> </w:t>
      </w:r>
      <w:r>
        <w:rPr>
          <w:sz w:val="21"/>
        </w:rPr>
        <w:t>owner/s</w:t>
      </w:r>
    </w:p>
    <w:p>
      <w:pPr>
        <w:pStyle w:val="ListParagraph"/>
        <w:numPr>
          <w:ilvl w:val="1"/>
          <w:numId w:val="8"/>
        </w:numPr>
        <w:tabs>
          <w:tab w:pos="2720" w:val="left" w:leader="none"/>
          <w:tab w:pos="2721" w:val="left" w:leader="none"/>
        </w:tabs>
        <w:spacing w:line="242" w:lineRule="auto" w:before="124" w:after="0"/>
        <w:ind w:left="2720" w:right="36" w:hanging="567"/>
        <w:jc w:val="left"/>
        <w:rPr>
          <w:sz w:val="21"/>
        </w:rPr>
      </w:pPr>
      <w:r>
        <w:rPr>
          <w:spacing w:val="-3"/>
          <w:sz w:val="21"/>
        </w:rPr>
        <w:t>any relevant </w:t>
      </w:r>
      <w:r>
        <w:rPr>
          <w:sz w:val="21"/>
        </w:rPr>
        <w:t>authority </w:t>
      </w:r>
      <w:r>
        <w:rPr>
          <w:spacing w:val="-3"/>
          <w:sz w:val="21"/>
        </w:rPr>
        <w:t>that </w:t>
      </w:r>
      <w:r>
        <w:rPr>
          <w:sz w:val="21"/>
        </w:rPr>
        <w:t>would otherwise be </w:t>
      </w:r>
      <w:r>
        <w:rPr>
          <w:spacing w:val="-3"/>
          <w:sz w:val="21"/>
        </w:rPr>
        <w:t>required to </w:t>
      </w:r>
      <w:r>
        <w:rPr>
          <w:sz w:val="21"/>
        </w:rPr>
        <w:t>issue </w:t>
      </w:r>
      <w:r>
        <w:rPr>
          <w:spacing w:val="-3"/>
          <w:sz w:val="21"/>
        </w:rPr>
        <w:t>consent </w:t>
      </w:r>
      <w:r>
        <w:rPr>
          <w:sz w:val="21"/>
        </w:rPr>
        <w:t>in </w:t>
      </w:r>
      <w:r>
        <w:rPr>
          <w:spacing w:val="-3"/>
          <w:sz w:val="21"/>
        </w:rPr>
        <w:t>relation to any </w:t>
      </w:r>
      <w:r>
        <w:rPr>
          <w:sz w:val="21"/>
        </w:rPr>
        <w:t>works </w:t>
      </w:r>
      <w:r>
        <w:rPr>
          <w:spacing w:val="-3"/>
          <w:sz w:val="21"/>
        </w:rPr>
        <w:t>to </w:t>
      </w:r>
      <w:r>
        <w:rPr>
          <w:sz w:val="21"/>
        </w:rPr>
        <w:t>the</w:t>
      </w:r>
      <w:r>
        <w:rPr>
          <w:spacing w:val="39"/>
          <w:sz w:val="21"/>
        </w:rPr>
        <w:t> </w:t>
      </w:r>
      <w:r>
        <w:rPr>
          <w:sz w:val="21"/>
        </w:rPr>
        <w:t>tree</w:t>
      </w:r>
    </w:p>
    <w:p>
      <w:pPr>
        <w:pStyle w:val="ListParagraph"/>
        <w:numPr>
          <w:ilvl w:val="1"/>
          <w:numId w:val="8"/>
        </w:numPr>
        <w:tabs>
          <w:tab w:pos="2720" w:val="left" w:leader="none"/>
          <w:tab w:pos="2721" w:val="left" w:leader="none"/>
        </w:tabs>
        <w:spacing w:line="240" w:lineRule="auto" w:before="122" w:after="0"/>
        <w:ind w:left="2720" w:right="0" w:hanging="567"/>
        <w:jc w:val="left"/>
        <w:rPr>
          <w:sz w:val="21"/>
        </w:rPr>
      </w:pPr>
      <w:r>
        <w:rPr>
          <w:spacing w:val="-3"/>
          <w:sz w:val="21"/>
        </w:rPr>
        <w:t>any </w:t>
      </w:r>
      <w:r>
        <w:rPr>
          <w:sz w:val="21"/>
        </w:rPr>
        <w:t>other person </w:t>
      </w:r>
      <w:r>
        <w:rPr>
          <w:spacing w:val="-3"/>
          <w:sz w:val="21"/>
        </w:rPr>
        <w:t>that </w:t>
      </w:r>
      <w:r>
        <w:rPr>
          <w:sz w:val="21"/>
        </w:rPr>
        <w:t>the </w:t>
      </w:r>
      <w:r>
        <w:rPr>
          <w:spacing w:val="-3"/>
          <w:sz w:val="21"/>
        </w:rPr>
        <w:t>applicant </w:t>
      </w:r>
      <w:r>
        <w:rPr>
          <w:sz w:val="21"/>
        </w:rPr>
        <w:t>thinks </w:t>
      </w:r>
      <w:r>
        <w:rPr>
          <w:spacing w:val="-3"/>
          <w:sz w:val="21"/>
        </w:rPr>
        <w:t>will </w:t>
      </w:r>
      <w:r>
        <w:rPr>
          <w:sz w:val="21"/>
        </w:rPr>
        <w:t>be affected by the</w:t>
      </w:r>
      <w:r>
        <w:rPr>
          <w:spacing w:val="-25"/>
          <w:sz w:val="21"/>
        </w:rPr>
        <w:t> </w:t>
      </w:r>
      <w:r>
        <w:rPr>
          <w:spacing w:val="-4"/>
          <w:sz w:val="21"/>
        </w:rPr>
        <w:t>order.</w:t>
      </w:r>
    </w:p>
    <w:p>
      <w:pPr>
        <w:pStyle w:val="ListParagraph"/>
        <w:numPr>
          <w:ilvl w:val="0"/>
          <w:numId w:val="8"/>
        </w:numPr>
        <w:tabs>
          <w:tab w:pos="2153" w:val="left" w:leader="none"/>
          <w:tab w:pos="2154" w:val="left" w:leader="none"/>
        </w:tabs>
        <w:spacing w:line="242" w:lineRule="auto" w:before="124" w:after="0"/>
        <w:ind w:left="2153" w:right="249" w:hanging="567"/>
        <w:jc w:val="left"/>
        <w:rPr>
          <w:sz w:val="21"/>
        </w:rPr>
      </w:pPr>
      <w:r>
        <w:rPr>
          <w:sz w:val="21"/>
        </w:rPr>
        <w:t>The Act should state </w:t>
      </w:r>
      <w:r>
        <w:rPr>
          <w:spacing w:val="-3"/>
          <w:sz w:val="21"/>
        </w:rPr>
        <w:t>that </w:t>
      </w:r>
      <w:r>
        <w:rPr>
          <w:sz w:val="21"/>
        </w:rPr>
        <w:t>the Victorian </w:t>
      </w:r>
      <w:r>
        <w:rPr>
          <w:spacing w:val="-3"/>
          <w:sz w:val="21"/>
        </w:rPr>
        <w:t>Civil </w:t>
      </w:r>
      <w:r>
        <w:rPr>
          <w:sz w:val="21"/>
        </w:rPr>
        <w:t>and </w:t>
      </w:r>
      <w:r>
        <w:rPr>
          <w:spacing w:val="-3"/>
          <w:sz w:val="21"/>
        </w:rPr>
        <w:t>Administrative </w:t>
      </w:r>
      <w:r>
        <w:rPr>
          <w:spacing w:val="-5"/>
          <w:sz w:val="21"/>
        </w:rPr>
        <w:t>Tribunal </w:t>
      </w:r>
      <w:r>
        <w:rPr>
          <w:spacing w:val="-3"/>
          <w:sz w:val="21"/>
        </w:rPr>
        <w:t>may </w:t>
      </w:r>
      <w:r>
        <w:rPr>
          <w:sz w:val="21"/>
        </w:rPr>
        <w:t>waive these </w:t>
      </w:r>
      <w:r>
        <w:rPr>
          <w:spacing w:val="-3"/>
          <w:sz w:val="21"/>
        </w:rPr>
        <w:t>notice requirements </w:t>
      </w:r>
      <w:r>
        <w:rPr>
          <w:sz w:val="21"/>
        </w:rPr>
        <w:t>where the tree poses an </w:t>
      </w:r>
      <w:r>
        <w:rPr>
          <w:spacing w:val="-3"/>
          <w:sz w:val="21"/>
        </w:rPr>
        <w:t>imminent </w:t>
      </w:r>
      <w:r>
        <w:rPr>
          <w:sz w:val="21"/>
        </w:rPr>
        <w:t>risk of </w:t>
      </w:r>
      <w:r>
        <w:rPr>
          <w:spacing w:val="-3"/>
          <w:sz w:val="21"/>
        </w:rPr>
        <w:t>causing </w:t>
      </w:r>
      <w:r>
        <w:rPr>
          <w:sz w:val="21"/>
        </w:rPr>
        <w:t>damage or </w:t>
      </w:r>
      <w:r>
        <w:rPr>
          <w:spacing w:val="-3"/>
          <w:sz w:val="21"/>
        </w:rPr>
        <w:t>harm </w:t>
      </w:r>
      <w:r>
        <w:rPr>
          <w:sz w:val="21"/>
        </w:rPr>
        <w:t>or where</w:t>
      </w:r>
      <w:r>
        <w:rPr>
          <w:spacing w:val="9"/>
          <w:sz w:val="21"/>
        </w:rPr>
        <w:t> </w:t>
      </w:r>
      <w:r>
        <w:rPr>
          <w:sz w:val="21"/>
        </w:rPr>
        <w:t>it</w:t>
      </w:r>
      <w:r>
        <w:rPr>
          <w:spacing w:val="9"/>
          <w:sz w:val="21"/>
        </w:rPr>
        <w:t> </w:t>
      </w:r>
      <w:r>
        <w:rPr>
          <w:sz w:val="21"/>
        </w:rPr>
        <w:t>is</w:t>
      </w:r>
      <w:r>
        <w:rPr>
          <w:spacing w:val="10"/>
          <w:sz w:val="21"/>
        </w:rPr>
        <w:t> </w:t>
      </w:r>
      <w:r>
        <w:rPr>
          <w:spacing w:val="-3"/>
          <w:sz w:val="21"/>
        </w:rPr>
        <w:t>appropriate</w:t>
      </w:r>
      <w:r>
        <w:rPr>
          <w:spacing w:val="9"/>
          <w:sz w:val="21"/>
        </w:rPr>
        <w:t> </w:t>
      </w:r>
      <w:r>
        <w:rPr>
          <w:sz w:val="21"/>
        </w:rPr>
        <w:t>in</w:t>
      </w:r>
      <w:r>
        <w:rPr>
          <w:spacing w:val="10"/>
          <w:sz w:val="21"/>
        </w:rPr>
        <w:t> </w:t>
      </w:r>
      <w:r>
        <w:rPr>
          <w:sz w:val="21"/>
        </w:rPr>
        <w:t>the</w:t>
      </w:r>
      <w:r>
        <w:rPr>
          <w:spacing w:val="9"/>
          <w:sz w:val="21"/>
        </w:rPr>
        <w:t> </w:t>
      </w:r>
      <w:r>
        <w:rPr>
          <w:spacing w:val="-3"/>
          <w:sz w:val="21"/>
        </w:rPr>
        <w:t>circumstances</w:t>
      </w:r>
      <w:r>
        <w:rPr>
          <w:spacing w:val="10"/>
          <w:sz w:val="21"/>
        </w:rPr>
        <w:t> </w:t>
      </w:r>
      <w:r>
        <w:rPr>
          <w:spacing w:val="-3"/>
          <w:sz w:val="21"/>
        </w:rPr>
        <w:t>to</w:t>
      </w:r>
      <w:r>
        <w:rPr>
          <w:spacing w:val="9"/>
          <w:sz w:val="21"/>
        </w:rPr>
        <w:t> </w:t>
      </w:r>
      <w:r>
        <w:rPr>
          <w:sz w:val="21"/>
        </w:rPr>
        <w:t>do</w:t>
      </w:r>
      <w:r>
        <w:rPr>
          <w:spacing w:val="10"/>
          <w:sz w:val="21"/>
        </w:rPr>
        <w:t> </w:t>
      </w:r>
      <w:r>
        <w:rPr>
          <w:sz w:val="21"/>
        </w:rPr>
        <w:t>so.</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179"/>
        <w:ind w:left="510" w:right="547" w:firstLine="0"/>
        <w:jc w:val="center"/>
        <w:rPr>
          <w:b/>
          <w:sz w:val="24"/>
        </w:rPr>
      </w:pPr>
      <w:r>
        <w:rPr>
          <w:b/>
          <w:color w:val="658464"/>
          <w:w w:val="115"/>
          <w:sz w:val="24"/>
        </w:rPr>
        <w:t>xxiii</w:t>
      </w:r>
    </w:p>
    <w:p>
      <w:pPr>
        <w:spacing w:after="0"/>
        <w:jc w:val="center"/>
        <w:rPr>
          <w:sz w:val="24"/>
        </w:rPr>
        <w:sectPr>
          <w:type w:val="continuous"/>
          <w:pgSz w:w="11910" w:h="16840"/>
          <w:pgMar w:top="300" w:bottom="280" w:left="0" w:right="0"/>
          <w:cols w:num="2" w:equalWidth="0">
            <w:col w:w="10316" w:space="40"/>
            <w:col w:w="1554"/>
          </w:cols>
        </w:sectPr>
      </w:pPr>
    </w:p>
    <w:p>
      <w:pPr>
        <w:pStyle w:val="BodyText"/>
        <w:spacing w:before="9"/>
        <w:rPr>
          <w:b/>
          <w:sz w:val="22"/>
        </w:rPr>
      </w:pPr>
    </w:p>
    <w:p>
      <w:pPr>
        <w:pStyle w:val="ListParagraph"/>
        <w:numPr>
          <w:ilvl w:val="0"/>
          <w:numId w:val="9"/>
        </w:numPr>
        <w:tabs>
          <w:tab w:pos="2154" w:val="left" w:leader="none"/>
          <w:tab w:pos="2155" w:val="left" w:leader="none"/>
        </w:tabs>
        <w:spacing w:line="242" w:lineRule="auto" w:before="92" w:after="0"/>
        <w:ind w:left="2154" w:right="2138" w:hanging="567"/>
        <w:jc w:val="left"/>
        <w:rPr>
          <w:sz w:val="21"/>
        </w:rPr>
      </w:pPr>
      <w:r>
        <w:rPr>
          <w:sz w:val="21"/>
        </w:rPr>
        <w:t>The Victorian </w:t>
      </w:r>
      <w:r>
        <w:rPr>
          <w:spacing w:val="-3"/>
          <w:sz w:val="21"/>
        </w:rPr>
        <w:t>Civil </w:t>
      </w:r>
      <w:r>
        <w:rPr>
          <w:sz w:val="21"/>
        </w:rPr>
        <w:t>and </w:t>
      </w:r>
      <w:r>
        <w:rPr>
          <w:spacing w:val="-3"/>
          <w:sz w:val="21"/>
        </w:rPr>
        <w:t>Administrative </w:t>
      </w:r>
      <w:r>
        <w:rPr>
          <w:spacing w:val="-5"/>
          <w:sz w:val="21"/>
        </w:rPr>
        <w:t>Tribunal </w:t>
      </w:r>
      <w:r>
        <w:rPr>
          <w:sz w:val="21"/>
        </w:rPr>
        <w:t>should </w:t>
      </w:r>
      <w:r>
        <w:rPr>
          <w:spacing w:val="-3"/>
          <w:sz w:val="21"/>
        </w:rPr>
        <w:t>consider developing </w:t>
      </w:r>
      <w:r>
        <w:rPr>
          <w:sz w:val="21"/>
        </w:rPr>
        <w:t>a detailed application </w:t>
      </w:r>
      <w:r>
        <w:rPr>
          <w:spacing w:val="-3"/>
          <w:sz w:val="21"/>
        </w:rPr>
        <w:t>form that  </w:t>
      </w:r>
      <w:r>
        <w:rPr>
          <w:sz w:val="21"/>
        </w:rPr>
        <w:t>is modelled on the application </w:t>
      </w:r>
      <w:r>
        <w:rPr>
          <w:spacing w:val="-3"/>
          <w:sz w:val="21"/>
        </w:rPr>
        <w:t>forms</w:t>
      </w:r>
      <w:r>
        <w:rPr>
          <w:spacing w:val="41"/>
          <w:sz w:val="21"/>
        </w:rPr>
        <w:t> </w:t>
      </w:r>
      <w:r>
        <w:rPr>
          <w:spacing w:val="-3"/>
          <w:sz w:val="21"/>
        </w:rPr>
        <w:t>for  initiating  </w:t>
      </w:r>
      <w:r>
        <w:rPr>
          <w:sz w:val="21"/>
        </w:rPr>
        <w:t>a tree </w:t>
      </w:r>
      <w:r>
        <w:rPr>
          <w:spacing w:val="-3"/>
          <w:sz w:val="21"/>
        </w:rPr>
        <w:t>dispute  </w:t>
      </w:r>
      <w:r>
        <w:rPr>
          <w:sz w:val="21"/>
        </w:rPr>
        <w:t>in</w:t>
      </w:r>
      <w:r>
        <w:rPr>
          <w:spacing w:val="25"/>
          <w:sz w:val="21"/>
        </w:rPr>
        <w:t> </w:t>
      </w:r>
      <w:r>
        <w:rPr>
          <w:sz w:val="21"/>
        </w:rPr>
        <w:t>the</w:t>
      </w:r>
      <w:r>
        <w:rPr>
          <w:spacing w:val="26"/>
          <w:sz w:val="21"/>
        </w:rPr>
        <w:t> </w:t>
      </w:r>
      <w:r>
        <w:rPr>
          <w:sz w:val="21"/>
        </w:rPr>
        <w:t>Land</w:t>
      </w:r>
      <w:r>
        <w:rPr>
          <w:spacing w:val="25"/>
          <w:sz w:val="21"/>
        </w:rPr>
        <w:t> </w:t>
      </w:r>
      <w:r>
        <w:rPr>
          <w:sz w:val="21"/>
        </w:rPr>
        <w:t>and</w:t>
      </w:r>
      <w:r>
        <w:rPr>
          <w:spacing w:val="26"/>
          <w:sz w:val="21"/>
        </w:rPr>
        <w:t> </w:t>
      </w:r>
      <w:r>
        <w:rPr>
          <w:spacing w:val="-3"/>
          <w:sz w:val="21"/>
        </w:rPr>
        <w:t>Environment</w:t>
      </w:r>
      <w:r>
        <w:rPr>
          <w:spacing w:val="25"/>
          <w:sz w:val="21"/>
        </w:rPr>
        <w:t> </w:t>
      </w:r>
      <w:r>
        <w:rPr>
          <w:spacing w:val="-3"/>
          <w:sz w:val="21"/>
        </w:rPr>
        <w:t>Court</w:t>
      </w:r>
      <w:r>
        <w:rPr>
          <w:spacing w:val="26"/>
          <w:sz w:val="21"/>
        </w:rPr>
        <w:t> </w:t>
      </w:r>
      <w:r>
        <w:rPr>
          <w:sz w:val="21"/>
        </w:rPr>
        <w:t>of</w:t>
      </w:r>
      <w:r>
        <w:rPr>
          <w:spacing w:val="26"/>
          <w:sz w:val="21"/>
        </w:rPr>
        <w:t> </w:t>
      </w:r>
      <w:r>
        <w:rPr>
          <w:sz w:val="21"/>
        </w:rPr>
        <w:t>New</w:t>
      </w:r>
      <w:r>
        <w:rPr>
          <w:spacing w:val="25"/>
          <w:sz w:val="21"/>
        </w:rPr>
        <w:t> </w:t>
      </w:r>
      <w:r>
        <w:rPr>
          <w:sz w:val="21"/>
        </w:rPr>
        <w:t>South</w:t>
      </w:r>
      <w:r>
        <w:rPr>
          <w:spacing w:val="26"/>
          <w:sz w:val="21"/>
        </w:rPr>
        <w:t> </w:t>
      </w:r>
      <w:r>
        <w:rPr>
          <w:spacing w:val="-3"/>
          <w:sz w:val="21"/>
        </w:rPr>
        <w:t>Wales</w:t>
      </w:r>
      <w:r>
        <w:rPr>
          <w:spacing w:val="25"/>
          <w:sz w:val="21"/>
        </w:rPr>
        <w:t> </w:t>
      </w:r>
      <w:r>
        <w:rPr>
          <w:sz w:val="21"/>
        </w:rPr>
        <w:t>and</w:t>
      </w:r>
      <w:r>
        <w:rPr>
          <w:spacing w:val="26"/>
          <w:sz w:val="21"/>
        </w:rPr>
        <w:t> </w:t>
      </w:r>
      <w:r>
        <w:rPr>
          <w:sz w:val="21"/>
        </w:rPr>
        <w:t>the</w:t>
      </w:r>
      <w:r>
        <w:rPr>
          <w:spacing w:val="25"/>
          <w:sz w:val="21"/>
        </w:rPr>
        <w:t> </w:t>
      </w:r>
      <w:r>
        <w:rPr>
          <w:spacing w:val="-3"/>
          <w:sz w:val="21"/>
        </w:rPr>
        <w:t>Queensland</w:t>
      </w:r>
      <w:r>
        <w:rPr>
          <w:spacing w:val="26"/>
          <w:sz w:val="21"/>
        </w:rPr>
        <w:t> </w:t>
      </w:r>
      <w:r>
        <w:rPr>
          <w:spacing w:val="-3"/>
          <w:sz w:val="21"/>
        </w:rPr>
        <w:t>Civil</w:t>
      </w:r>
      <w:r>
        <w:rPr>
          <w:spacing w:val="26"/>
          <w:sz w:val="21"/>
        </w:rPr>
        <w:t> </w:t>
      </w:r>
      <w:r>
        <w:rPr>
          <w:sz w:val="21"/>
        </w:rPr>
        <w:t>and</w:t>
      </w:r>
    </w:p>
    <w:p>
      <w:pPr>
        <w:pStyle w:val="BodyText"/>
        <w:spacing w:line="242" w:lineRule="auto" w:before="3"/>
        <w:ind w:left="2154" w:right="1636"/>
      </w:pPr>
      <w:r>
        <w:rPr>
          <w:spacing w:val="-3"/>
          <w:w w:val="105"/>
        </w:rPr>
        <w:t>Administrative </w:t>
      </w:r>
      <w:r>
        <w:rPr>
          <w:spacing w:val="-5"/>
          <w:w w:val="105"/>
        </w:rPr>
        <w:t>Tribunal. </w:t>
      </w:r>
      <w:r>
        <w:rPr>
          <w:spacing w:val="-3"/>
          <w:w w:val="105"/>
        </w:rPr>
        <w:t>Additional information </w:t>
      </w:r>
      <w:r>
        <w:rPr>
          <w:w w:val="105"/>
        </w:rPr>
        <w:t>should be </w:t>
      </w:r>
      <w:r>
        <w:rPr>
          <w:spacing w:val="-3"/>
          <w:w w:val="105"/>
        </w:rPr>
        <w:t>sought </w:t>
      </w:r>
      <w:r>
        <w:rPr>
          <w:w w:val="105"/>
        </w:rPr>
        <w:t>in the application </w:t>
      </w:r>
      <w:r>
        <w:rPr>
          <w:spacing w:val="-3"/>
          <w:w w:val="105"/>
        </w:rPr>
        <w:t>form </w:t>
      </w:r>
      <w:r>
        <w:rPr>
          <w:w w:val="105"/>
        </w:rPr>
        <w:t>about:</w:t>
      </w:r>
    </w:p>
    <w:p>
      <w:pPr>
        <w:pStyle w:val="ListParagraph"/>
        <w:numPr>
          <w:ilvl w:val="1"/>
          <w:numId w:val="9"/>
        </w:numPr>
        <w:tabs>
          <w:tab w:pos="2721" w:val="left" w:leader="none"/>
          <w:tab w:pos="2722" w:val="left" w:leader="none"/>
        </w:tabs>
        <w:spacing w:line="240" w:lineRule="auto" w:before="122" w:after="0"/>
        <w:ind w:left="2721" w:right="0" w:hanging="567"/>
        <w:jc w:val="left"/>
        <w:rPr>
          <w:sz w:val="21"/>
        </w:rPr>
      </w:pPr>
      <w:r>
        <w:rPr>
          <w:w w:val="105"/>
          <w:sz w:val="21"/>
        </w:rPr>
        <w:t>the species of the tree and whether it is a recognised</w:t>
      </w:r>
      <w:r>
        <w:rPr>
          <w:spacing w:val="39"/>
          <w:w w:val="105"/>
          <w:sz w:val="21"/>
        </w:rPr>
        <w:t> </w:t>
      </w:r>
      <w:r>
        <w:rPr>
          <w:w w:val="105"/>
          <w:sz w:val="21"/>
        </w:rPr>
        <w:t>weed</w:t>
      </w:r>
    </w:p>
    <w:p>
      <w:pPr>
        <w:pStyle w:val="ListParagraph"/>
        <w:numPr>
          <w:ilvl w:val="1"/>
          <w:numId w:val="9"/>
        </w:numPr>
        <w:tabs>
          <w:tab w:pos="2721" w:val="left" w:leader="none"/>
          <w:tab w:pos="2722" w:val="left" w:leader="none"/>
        </w:tabs>
        <w:spacing w:line="240" w:lineRule="auto" w:before="124" w:after="0"/>
        <w:ind w:left="2721" w:right="0" w:hanging="567"/>
        <w:jc w:val="left"/>
        <w:rPr>
          <w:sz w:val="21"/>
        </w:rPr>
      </w:pPr>
      <w:r>
        <w:rPr>
          <w:sz w:val="21"/>
        </w:rPr>
        <w:t>the</w:t>
      </w:r>
      <w:r>
        <w:rPr>
          <w:spacing w:val="9"/>
          <w:sz w:val="21"/>
        </w:rPr>
        <w:t> </w:t>
      </w:r>
      <w:r>
        <w:rPr>
          <w:sz w:val="21"/>
        </w:rPr>
        <w:t>steps</w:t>
      </w:r>
      <w:r>
        <w:rPr>
          <w:spacing w:val="9"/>
          <w:sz w:val="21"/>
        </w:rPr>
        <w:t> </w:t>
      </w:r>
      <w:r>
        <w:rPr>
          <w:sz w:val="21"/>
        </w:rPr>
        <w:t>the</w:t>
      </w:r>
      <w:r>
        <w:rPr>
          <w:spacing w:val="9"/>
          <w:sz w:val="21"/>
        </w:rPr>
        <w:t> </w:t>
      </w:r>
      <w:r>
        <w:rPr>
          <w:sz w:val="21"/>
        </w:rPr>
        <w:t>parties</w:t>
      </w:r>
      <w:r>
        <w:rPr>
          <w:spacing w:val="9"/>
          <w:sz w:val="21"/>
        </w:rPr>
        <w:t> </w:t>
      </w:r>
      <w:r>
        <w:rPr>
          <w:spacing w:val="-3"/>
          <w:sz w:val="21"/>
        </w:rPr>
        <w:t>may</w:t>
      </w:r>
      <w:r>
        <w:rPr>
          <w:spacing w:val="9"/>
          <w:sz w:val="21"/>
        </w:rPr>
        <w:t> </w:t>
      </w:r>
      <w:r>
        <w:rPr>
          <w:spacing w:val="-3"/>
          <w:sz w:val="21"/>
        </w:rPr>
        <w:t>have</w:t>
      </w:r>
      <w:r>
        <w:rPr>
          <w:spacing w:val="9"/>
          <w:sz w:val="21"/>
        </w:rPr>
        <w:t> </w:t>
      </w:r>
      <w:r>
        <w:rPr>
          <w:spacing w:val="-3"/>
          <w:sz w:val="21"/>
        </w:rPr>
        <w:t>already</w:t>
      </w:r>
      <w:r>
        <w:rPr>
          <w:spacing w:val="9"/>
          <w:sz w:val="21"/>
        </w:rPr>
        <w:t> </w:t>
      </w:r>
      <w:r>
        <w:rPr>
          <w:spacing w:val="-3"/>
          <w:sz w:val="21"/>
        </w:rPr>
        <w:t>taken</w:t>
      </w:r>
      <w:r>
        <w:rPr>
          <w:spacing w:val="9"/>
          <w:sz w:val="21"/>
        </w:rPr>
        <w:t> </w:t>
      </w:r>
      <w:r>
        <w:rPr>
          <w:spacing w:val="-3"/>
          <w:sz w:val="21"/>
        </w:rPr>
        <w:t>to</w:t>
      </w:r>
      <w:r>
        <w:rPr>
          <w:spacing w:val="9"/>
          <w:sz w:val="21"/>
        </w:rPr>
        <w:t> </w:t>
      </w:r>
      <w:r>
        <w:rPr>
          <w:sz w:val="21"/>
        </w:rPr>
        <w:t>resolve</w:t>
      </w:r>
      <w:r>
        <w:rPr>
          <w:spacing w:val="9"/>
          <w:sz w:val="21"/>
        </w:rPr>
        <w:t> </w:t>
      </w:r>
      <w:r>
        <w:rPr>
          <w:sz w:val="21"/>
        </w:rPr>
        <w:t>their</w:t>
      </w:r>
      <w:r>
        <w:rPr>
          <w:spacing w:val="9"/>
          <w:sz w:val="21"/>
        </w:rPr>
        <w:t> </w:t>
      </w:r>
      <w:r>
        <w:rPr>
          <w:spacing w:val="-3"/>
          <w:sz w:val="21"/>
        </w:rPr>
        <w:t>dispute</w:t>
      </w:r>
    </w:p>
    <w:p>
      <w:pPr>
        <w:pStyle w:val="ListParagraph"/>
        <w:numPr>
          <w:ilvl w:val="1"/>
          <w:numId w:val="9"/>
        </w:numPr>
        <w:tabs>
          <w:tab w:pos="2721" w:val="left" w:leader="none"/>
          <w:tab w:pos="2722" w:val="left" w:leader="none"/>
        </w:tabs>
        <w:spacing w:line="240" w:lineRule="auto" w:before="124" w:after="0"/>
        <w:ind w:left="2721" w:right="0" w:hanging="567"/>
        <w:jc w:val="left"/>
        <w:rPr>
          <w:sz w:val="21"/>
        </w:rPr>
      </w:pPr>
      <w:r>
        <w:rPr>
          <w:w w:val="105"/>
          <w:sz w:val="21"/>
        </w:rPr>
        <w:t>how the decision-making </w:t>
      </w:r>
      <w:r>
        <w:rPr>
          <w:spacing w:val="-3"/>
          <w:w w:val="105"/>
          <w:sz w:val="21"/>
        </w:rPr>
        <w:t>principles </w:t>
      </w:r>
      <w:r>
        <w:rPr>
          <w:w w:val="105"/>
          <w:sz w:val="21"/>
        </w:rPr>
        <w:t>in the Act </w:t>
      </w:r>
      <w:r>
        <w:rPr>
          <w:spacing w:val="-3"/>
          <w:w w:val="105"/>
          <w:sz w:val="21"/>
        </w:rPr>
        <w:t>are</w:t>
      </w:r>
      <w:r>
        <w:rPr>
          <w:spacing w:val="36"/>
          <w:w w:val="105"/>
          <w:sz w:val="21"/>
        </w:rPr>
        <w:t> </w:t>
      </w:r>
      <w:r>
        <w:rPr>
          <w:w w:val="105"/>
          <w:sz w:val="21"/>
        </w:rPr>
        <w:t>addressed</w:t>
      </w:r>
    </w:p>
    <w:p>
      <w:pPr>
        <w:pStyle w:val="ListParagraph"/>
        <w:numPr>
          <w:ilvl w:val="1"/>
          <w:numId w:val="9"/>
        </w:numPr>
        <w:tabs>
          <w:tab w:pos="2721" w:val="left" w:leader="none"/>
          <w:tab w:pos="2722" w:val="left" w:leader="none"/>
        </w:tabs>
        <w:spacing w:line="242" w:lineRule="auto" w:before="123" w:after="0"/>
        <w:ind w:left="2721" w:right="1659" w:hanging="567"/>
        <w:jc w:val="left"/>
        <w:rPr>
          <w:sz w:val="21"/>
        </w:rPr>
      </w:pPr>
      <w:r>
        <w:rPr>
          <w:w w:val="105"/>
          <w:sz w:val="21"/>
        </w:rPr>
        <w:t>the </w:t>
      </w:r>
      <w:r>
        <w:rPr>
          <w:spacing w:val="-3"/>
          <w:w w:val="105"/>
          <w:sz w:val="21"/>
        </w:rPr>
        <w:t>zone </w:t>
      </w:r>
      <w:r>
        <w:rPr>
          <w:w w:val="105"/>
          <w:sz w:val="21"/>
        </w:rPr>
        <w:t>of the </w:t>
      </w:r>
      <w:r>
        <w:rPr>
          <w:spacing w:val="-3"/>
          <w:w w:val="105"/>
          <w:sz w:val="21"/>
        </w:rPr>
        <w:t>land </w:t>
      </w:r>
      <w:r>
        <w:rPr>
          <w:w w:val="105"/>
          <w:sz w:val="21"/>
        </w:rPr>
        <w:t>the tree is </w:t>
      </w:r>
      <w:r>
        <w:rPr>
          <w:spacing w:val="-3"/>
          <w:w w:val="105"/>
          <w:sz w:val="21"/>
        </w:rPr>
        <w:t>situated </w:t>
      </w:r>
      <w:r>
        <w:rPr>
          <w:w w:val="105"/>
          <w:sz w:val="21"/>
        </w:rPr>
        <w:t>on and </w:t>
      </w:r>
      <w:r>
        <w:rPr>
          <w:spacing w:val="-3"/>
          <w:w w:val="105"/>
          <w:sz w:val="21"/>
        </w:rPr>
        <w:t>any </w:t>
      </w:r>
      <w:r>
        <w:rPr>
          <w:w w:val="105"/>
          <w:sz w:val="21"/>
        </w:rPr>
        <w:t>applicable </w:t>
      </w:r>
      <w:r>
        <w:rPr>
          <w:spacing w:val="-3"/>
          <w:w w:val="105"/>
          <w:sz w:val="21"/>
        </w:rPr>
        <w:t>planning scheme, overlay</w:t>
      </w:r>
      <w:r>
        <w:rPr>
          <w:spacing w:val="-7"/>
          <w:w w:val="105"/>
          <w:sz w:val="21"/>
        </w:rPr>
        <w:t> </w:t>
      </w:r>
      <w:r>
        <w:rPr>
          <w:w w:val="105"/>
          <w:sz w:val="21"/>
        </w:rPr>
        <w:t>or</w:t>
      </w:r>
      <w:r>
        <w:rPr>
          <w:spacing w:val="-7"/>
          <w:w w:val="105"/>
          <w:sz w:val="21"/>
        </w:rPr>
        <w:t> </w:t>
      </w:r>
      <w:r>
        <w:rPr>
          <w:w w:val="105"/>
          <w:sz w:val="21"/>
        </w:rPr>
        <w:t>other</w:t>
      </w:r>
      <w:r>
        <w:rPr>
          <w:spacing w:val="-7"/>
          <w:w w:val="105"/>
          <w:sz w:val="21"/>
        </w:rPr>
        <w:t> </w:t>
      </w:r>
      <w:r>
        <w:rPr>
          <w:spacing w:val="-3"/>
          <w:w w:val="105"/>
          <w:sz w:val="21"/>
        </w:rPr>
        <w:t>requirement</w:t>
      </w:r>
      <w:r>
        <w:rPr>
          <w:spacing w:val="-6"/>
          <w:w w:val="105"/>
          <w:sz w:val="21"/>
        </w:rPr>
        <w:t> </w:t>
      </w:r>
      <w:r>
        <w:rPr>
          <w:w w:val="105"/>
          <w:sz w:val="21"/>
        </w:rPr>
        <w:t>affecting</w:t>
      </w:r>
      <w:r>
        <w:rPr>
          <w:spacing w:val="-7"/>
          <w:w w:val="105"/>
          <w:sz w:val="21"/>
        </w:rPr>
        <w:t> </w:t>
      </w:r>
      <w:r>
        <w:rPr>
          <w:w w:val="105"/>
          <w:sz w:val="21"/>
        </w:rPr>
        <w:t>the</w:t>
      </w:r>
      <w:r>
        <w:rPr>
          <w:spacing w:val="-7"/>
          <w:w w:val="105"/>
          <w:sz w:val="21"/>
        </w:rPr>
        <w:t> </w:t>
      </w:r>
      <w:r>
        <w:rPr>
          <w:spacing w:val="-3"/>
          <w:w w:val="105"/>
          <w:sz w:val="21"/>
        </w:rPr>
        <w:t>management</w:t>
      </w:r>
      <w:r>
        <w:rPr>
          <w:spacing w:val="-7"/>
          <w:w w:val="105"/>
          <w:sz w:val="21"/>
        </w:rPr>
        <w:t> </w:t>
      </w:r>
      <w:r>
        <w:rPr>
          <w:w w:val="105"/>
          <w:sz w:val="21"/>
        </w:rPr>
        <w:t>of</w:t>
      </w:r>
      <w:r>
        <w:rPr>
          <w:spacing w:val="-6"/>
          <w:w w:val="105"/>
          <w:sz w:val="21"/>
        </w:rPr>
        <w:t> </w:t>
      </w:r>
      <w:r>
        <w:rPr>
          <w:w w:val="105"/>
          <w:sz w:val="21"/>
        </w:rPr>
        <w:t>the</w:t>
      </w:r>
      <w:r>
        <w:rPr>
          <w:spacing w:val="-7"/>
          <w:w w:val="105"/>
          <w:sz w:val="21"/>
        </w:rPr>
        <w:t> </w:t>
      </w:r>
      <w:r>
        <w:rPr>
          <w:w w:val="105"/>
          <w:sz w:val="21"/>
        </w:rPr>
        <w:t>tree</w:t>
      </w:r>
      <w:r>
        <w:rPr>
          <w:spacing w:val="-7"/>
          <w:w w:val="105"/>
          <w:sz w:val="21"/>
        </w:rPr>
        <w:t> </w:t>
      </w:r>
      <w:r>
        <w:rPr>
          <w:spacing w:val="-3"/>
          <w:w w:val="105"/>
          <w:sz w:val="21"/>
        </w:rPr>
        <w:t>that</w:t>
      </w:r>
      <w:r>
        <w:rPr>
          <w:spacing w:val="-6"/>
          <w:w w:val="105"/>
          <w:sz w:val="21"/>
        </w:rPr>
        <w:t> </w:t>
      </w:r>
      <w:r>
        <w:rPr>
          <w:w w:val="105"/>
          <w:sz w:val="21"/>
        </w:rPr>
        <w:t>the</w:t>
      </w:r>
      <w:r>
        <w:rPr>
          <w:spacing w:val="-7"/>
          <w:w w:val="105"/>
          <w:sz w:val="21"/>
        </w:rPr>
        <w:t> </w:t>
      </w:r>
      <w:r>
        <w:rPr>
          <w:spacing w:val="-3"/>
          <w:w w:val="105"/>
          <w:sz w:val="21"/>
        </w:rPr>
        <w:t>applicant </w:t>
      </w:r>
      <w:r>
        <w:rPr>
          <w:w w:val="105"/>
          <w:sz w:val="21"/>
        </w:rPr>
        <w:t>is </w:t>
      </w:r>
      <w:r>
        <w:rPr>
          <w:spacing w:val="-3"/>
          <w:w w:val="105"/>
          <w:sz w:val="21"/>
        </w:rPr>
        <w:t>aware </w:t>
      </w:r>
      <w:r>
        <w:rPr>
          <w:w w:val="105"/>
          <w:sz w:val="21"/>
        </w:rPr>
        <w:t>of under the </w:t>
      </w:r>
      <w:r>
        <w:rPr>
          <w:i/>
          <w:spacing w:val="-3"/>
          <w:w w:val="105"/>
          <w:sz w:val="21"/>
        </w:rPr>
        <w:t>Planning </w:t>
      </w:r>
      <w:r>
        <w:rPr>
          <w:i/>
          <w:w w:val="105"/>
          <w:sz w:val="21"/>
        </w:rPr>
        <w:t>and </w:t>
      </w:r>
      <w:r>
        <w:rPr>
          <w:i/>
          <w:spacing w:val="-3"/>
          <w:w w:val="105"/>
          <w:sz w:val="21"/>
        </w:rPr>
        <w:t>Environment </w:t>
      </w:r>
      <w:r>
        <w:rPr>
          <w:i/>
          <w:w w:val="105"/>
          <w:sz w:val="21"/>
        </w:rPr>
        <w:t>Act </w:t>
      </w:r>
      <w:r>
        <w:rPr>
          <w:i/>
          <w:spacing w:val="-6"/>
          <w:w w:val="105"/>
          <w:sz w:val="21"/>
        </w:rPr>
        <w:t>1987 </w:t>
      </w:r>
      <w:r>
        <w:rPr>
          <w:w w:val="105"/>
          <w:sz w:val="21"/>
        </w:rPr>
        <w:t>(Vic) or </w:t>
      </w:r>
      <w:r>
        <w:rPr>
          <w:spacing w:val="-3"/>
          <w:w w:val="105"/>
          <w:sz w:val="21"/>
        </w:rPr>
        <w:t>any </w:t>
      </w:r>
      <w:r>
        <w:rPr>
          <w:w w:val="105"/>
          <w:sz w:val="21"/>
        </w:rPr>
        <w:t>other Act or law</w:t>
      </w:r>
    </w:p>
    <w:p>
      <w:pPr>
        <w:pStyle w:val="ListParagraph"/>
        <w:numPr>
          <w:ilvl w:val="1"/>
          <w:numId w:val="9"/>
        </w:numPr>
        <w:tabs>
          <w:tab w:pos="2721" w:val="left" w:leader="none"/>
          <w:tab w:pos="2722" w:val="left" w:leader="none"/>
        </w:tabs>
        <w:spacing w:line="242" w:lineRule="auto" w:before="125" w:after="0"/>
        <w:ind w:left="2721" w:right="1653" w:hanging="567"/>
        <w:jc w:val="left"/>
        <w:rPr>
          <w:sz w:val="21"/>
        </w:rPr>
      </w:pPr>
      <w:r>
        <w:rPr>
          <w:sz w:val="21"/>
        </w:rPr>
        <w:t>whether </w:t>
      </w:r>
      <w:r>
        <w:rPr>
          <w:spacing w:val="-3"/>
          <w:sz w:val="21"/>
        </w:rPr>
        <w:t>any </w:t>
      </w:r>
      <w:r>
        <w:rPr>
          <w:sz w:val="21"/>
        </w:rPr>
        <w:t>remedies </w:t>
      </w:r>
      <w:r>
        <w:rPr>
          <w:spacing w:val="-3"/>
          <w:sz w:val="21"/>
        </w:rPr>
        <w:t>are  sought  </w:t>
      </w:r>
      <w:r>
        <w:rPr>
          <w:sz w:val="21"/>
        </w:rPr>
        <w:t>under the </w:t>
      </w:r>
      <w:r>
        <w:rPr>
          <w:i/>
          <w:sz w:val="21"/>
        </w:rPr>
        <w:t>Fences Act </w:t>
      </w:r>
      <w:r>
        <w:rPr>
          <w:i/>
          <w:spacing w:val="-4"/>
          <w:sz w:val="21"/>
        </w:rPr>
        <w:t>1968  </w:t>
      </w:r>
      <w:r>
        <w:rPr>
          <w:sz w:val="21"/>
        </w:rPr>
        <w:t>(Vic) </w:t>
      </w:r>
      <w:r>
        <w:rPr>
          <w:spacing w:val="-3"/>
          <w:sz w:val="21"/>
        </w:rPr>
        <w:t>to  </w:t>
      </w:r>
      <w:r>
        <w:rPr>
          <w:sz w:val="21"/>
        </w:rPr>
        <w:t>rectify damage  </w:t>
      </w:r>
      <w:r>
        <w:rPr>
          <w:spacing w:val="-3"/>
          <w:sz w:val="21"/>
        </w:rPr>
        <w:t>to </w:t>
      </w:r>
      <w:r>
        <w:rPr>
          <w:sz w:val="21"/>
        </w:rPr>
        <w:t>a </w:t>
      </w:r>
      <w:r>
        <w:rPr>
          <w:spacing w:val="-3"/>
          <w:sz w:val="21"/>
        </w:rPr>
        <w:t>fence </w:t>
      </w:r>
      <w:r>
        <w:rPr>
          <w:sz w:val="21"/>
        </w:rPr>
        <w:t>caused by a tree or </w:t>
      </w:r>
      <w:r>
        <w:rPr>
          <w:spacing w:val="-3"/>
          <w:sz w:val="21"/>
        </w:rPr>
        <w:t>to prevent </w:t>
      </w:r>
      <w:r>
        <w:rPr>
          <w:sz w:val="21"/>
        </w:rPr>
        <w:t>damage or </w:t>
      </w:r>
      <w:r>
        <w:rPr>
          <w:spacing w:val="-3"/>
          <w:sz w:val="21"/>
        </w:rPr>
        <w:t>harm  from  </w:t>
      </w:r>
      <w:r>
        <w:rPr>
          <w:sz w:val="21"/>
        </w:rPr>
        <w:t>a tree </w:t>
      </w:r>
      <w:r>
        <w:rPr>
          <w:spacing w:val="-3"/>
          <w:sz w:val="21"/>
        </w:rPr>
        <w:t>that</w:t>
      </w:r>
      <w:r>
        <w:rPr>
          <w:spacing w:val="41"/>
          <w:sz w:val="21"/>
        </w:rPr>
        <w:t> </w:t>
      </w:r>
      <w:r>
        <w:rPr>
          <w:spacing w:val="-3"/>
          <w:sz w:val="21"/>
        </w:rPr>
        <w:t>forms  </w:t>
      </w:r>
      <w:r>
        <w:rPr>
          <w:sz w:val="21"/>
        </w:rPr>
        <w:t>part of a</w:t>
      </w:r>
      <w:r>
        <w:rPr>
          <w:spacing w:val="16"/>
          <w:sz w:val="21"/>
        </w:rPr>
        <w:t> </w:t>
      </w:r>
      <w:r>
        <w:rPr>
          <w:spacing w:val="-3"/>
          <w:sz w:val="21"/>
        </w:rPr>
        <w:t>fence</w:t>
      </w:r>
    </w:p>
    <w:p>
      <w:pPr>
        <w:pStyle w:val="ListParagraph"/>
        <w:numPr>
          <w:ilvl w:val="1"/>
          <w:numId w:val="9"/>
        </w:numPr>
        <w:tabs>
          <w:tab w:pos="2721" w:val="left" w:leader="none"/>
          <w:tab w:pos="2722" w:val="left" w:leader="none"/>
        </w:tabs>
        <w:spacing w:line="240" w:lineRule="auto" w:before="123" w:after="0"/>
        <w:ind w:left="2721" w:right="0" w:hanging="567"/>
        <w:jc w:val="left"/>
        <w:rPr>
          <w:sz w:val="21"/>
        </w:rPr>
      </w:pPr>
      <w:r>
        <w:rPr>
          <w:spacing w:val="-3"/>
          <w:sz w:val="21"/>
        </w:rPr>
        <w:t>any</w:t>
      </w:r>
      <w:r>
        <w:rPr>
          <w:spacing w:val="10"/>
          <w:sz w:val="21"/>
        </w:rPr>
        <w:t> </w:t>
      </w:r>
      <w:r>
        <w:rPr>
          <w:sz w:val="21"/>
        </w:rPr>
        <w:t>assessments</w:t>
      </w:r>
      <w:r>
        <w:rPr>
          <w:spacing w:val="11"/>
          <w:sz w:val="21"/>
        </w:rPr>
        <w:t> </w:t>
      </w:r>
      <w:r>
        <w:rPr>
          <w:sz w:val="21"/>
        </w:rPr>
        <w:t>or</w:t>
      </w:r>
      <w:r>
        <w:rPr>
          <w:spacing w:val="10"/>
          <w:sz w:val="21"/>
        </w:rPr>
        <w:t> </w:t>
      </w:r>
      <w:r>
        <w:rPr>
          <w:spacing w:val="-3"/>
          <w:sz w:val="21"/>
        </w:rPr>
        <w:t>quotes</w:t>
      </w:r>
      <w:r>
        <w:rPr>
          <w:spacing w:val="11"/>
          <w:sz w:val="21"/>
        </w:rPr>
        <w:t> </w:t>
      </w:r>
      <w:r>
        <w:rPr>
          <w:spacing w:val="-3"/>
          <w:sz w:val="21"/>
        </w:rPr>
        <w:t>that</w:t>
      </w:r>
      <w:r>
        <w:rPr>
          <w:spacing w:val="11"/>
          <w:sz w:val="21"/>
        </w:rPr>
        <w:t> </w:t>
      </w:r>
      <w:r>
        <w:rPr>
          <w:spacing w:val="-3"/>
          <w:sz w:val="21"/>
        </w:rPr>
        <w:t>may</w:t>
      </w:r>
      <w:r>
        <w:rPr>
          <w:spacing w:val="10"/>
          <w:sz w:val="21"/>
        </w:rPr>
        <w:t> </w:t>
      </w:r>
      <w:r>
        <w:rPr>
          <w:spacing w:val="-3"/>
          <w:sz w:val="21"/>
        </w:rPr>
        <w:t>have</w:t>
      </w:r>
      <w:r>
        <w:rPr>
          <w:spacing w:val="11"/>
          <w:sz w:val="21"/>
        </w:rPr>
        <w:t> </w:t>
      </w:r>
      <w:r>
        <w:rPr>
          <w:spacing w:val="-3"/>
          <w:sz w:val="21"/>
        </w:rPr>
        <w:t>already</w:t>
      </w:r>
      <w:r>
        <w:rPr>
          <w:spacing w:val="10"/>
          <w:sz w:val="21"/>
        </w:rPr>
        <w:t> </w:t>
      </w:r>
      <w:r>
        <w:rPr>
          <w:sz w:val="21"/>
        </w:rPr>
        <w:t>been</w:t>
      </w:r>
      <w:r>
        <w:rPr>
          <w:spacing w:val="11"/>
          <w:sz w:val="21"/>
        </w:rPr>
        <w:t> </w:t>
      </w:r>
      <w:r>
        <w:rPr>
          <w:sz w:val="21"/>
        </w:rPr>
        <w:t>obtained</w:t>
      </w:r>
      <w:r>
        <w:rPr>
          <w:spacing w:val="11"/>
          <w:sz w:val="21"/>
        </w:rPr>
        <w:t> </w:t>
      </w:r>
      <w:r>
        <w:rPr>
          <w:spacing w:val="-3"/>
          <w:sz w:val="21"/>
        </w:rPr>
        <w:t>from</w:t>
      </w:r>
      <w:r>
        <w:rPr>
          <w:spacing w:val="10"/>
          <w:sz w:val="21"/>
        </w:rPr>
        <w:t> </w:t>
      </w:r>
      <w:r>
        <w:rPr>
          <w:sz w:val="21"/>
        </w:rPr>
        <w:t>experts</w:t>
      </w:r>
    </w:p>
    <w:p>
      <w:pPr>
        <w:pStyle w:val="ListParagraph"/>
        <w:numPr>
          <w:ilvl w:val="1"/>
          <w:numId w:val="9"/>
        </w:numPr>
        <w:tabs>
          <w:tab w:pos="2721" w:val="left" w:leader="none"/>
          <w:tab w:pos="2722" w:val="left" w:leader="none"/>
        </w:tabs>
        <w:spacing w:line="242" w:lineRule="auto" w:before="124" w:after="0"/>
        <w:ind w:left="2721" w:right="2144" w:hanging="567"/>
        <w:jc w:val="left"/>
        <w:rPr>
          <w:sz w:val="21"/>
        </w:rPr>
      </w:pPr>
      <w:r>
        <w:rPr>
          <w:w w:val="105"/>
          <w:sz w:val="21"/>
        </w:rPr>
        <w:t>whether the </w:t>
      </w:r>
      <w:r>
        <w:rPr>
          <w:spacing w:val="-3"/>
          <w:w w:val="105"/>
          <w:sz w:val="21"/>
        </w:rPr>
        <w:t>applicant </w:t>
      </w:r>
      <w:r>
        <w:rPr>
          <w:w w:val="105"/>
          <w:sz w:val="21"/>
        </w:rPr>
        <w:t>is the owner or </w:t>
      </w:r>
      <w:r>
        <w:rPr>
          <w:spacing w:val="-3"/>
          <w:w w:val="105"/>
          <w:sz w:val="21"/>
        </w:rPr>
        <w:t>occupier </w:t>
      </w:r>
      <w:r>
        <w:rPr>
          <w:w w:val="105"/>
          <w:sz w:val="21"/>
        </w:rPr>
        <w:t>of the </w:t>
      </w:r>
      <w:r>
        <w:rPr>
          <w:spacing w:val="-3"/>
          <w:w w:val="105"/>
          <w:sz w:val="21"/>
        </w:rPr>
        <w:t>land. </w:t>
      </w:r>
      <w:r>
        <w:rPr>
          <w:w w:val="105"/>
          <w:sz w:val="21"/>
        </w:rPr>
        <w:t>If the </w:t>
      </w:r>
      <w:r>
        <w:rPr>
          <w:spacing w:val="-3"/>
          <w:w w:val="105"/>
          <w:sz w:val="21"/>
        </w:rPr>
        <w:t>applicant </w:t>
      </w:r>
      <w:r>
        <w:rPr>
          <w:w w:val="105"/>
          <w:sz w:val="21"/>
        </w:rPr>
        <w:t>is an </w:t>
      </w:r>
      <w:r>
        <w:rPr>
          <w:spacing w:val="-3"/>
          <w:w w:val="105"/>
          <w:sz w:val="21"/>
        </w:rPr>
        <w:t>occupier </w:t>
      </w:r>
      <w:r>
        <w:rPr>
          <w:w w:val="105"/>
          <w:sz w:val="21"/>
        </w:rPr>
        <w:t>of </w:t>
      </w:r>
      <w:r>
        <w:rPr>
          <w:spacing w:val="-3"/>
          <w:w w:val="105"/>
          <w:sz w:val="21"/>
        </w:rPr>
        <w:t>land, </w:t>
      </w:r>
      <w:r>
        <w:rPr>
          <w:w w:val="105"/>
          <w:sz w:val="21"/>
        </w:rPr>
        <w:t>evidence </w:t>
      </w:r>
      <w:r>
        <w:rPr>
          <w:spacing w:val="-3"/>
          <w:w w:val="105"/>
          <w:sz w:val="21"/>
        </w:rPr>
        <w:t>that </w:t>
      </w:r>
      <w:r>
        <w:rPr>
          <w:w w:val="105"/>
          <w:sz w:val="21"/>
        </w:rPr>
        <w:t>the owner </w:t>
      </w:r>
      <w:r>
        <w:rPr>
          <w:spacing w:val="-2"/>
          <w:w w:val="105"/>
          <w:sz w:val="21"/>
        </w:rPr>
        <w:t>has </w:t>
      </w:r>
      <w:r>
        <w:rPr>
          <w:spacing w:val="-3"/>
          <w:w w:val="105"/>
          <w:sz w:val="21"/>
        </w:rPr>
        <w:t>refused to </w:t>
      </w:r>
      <w:r>
        <w:rPr>
          <w:spacing w:val="-4"/>
          <w:w w:val="105"/>
          <w:sz w:val="21"/>
        </w:rPr>
        <w:t>make </w:t>
      </w:r>
      <w:r>
        <w:rPr>
          <w:w w:val="105"/>
          <w:sz w:val="21"/>
        </w:rPr>
        <w:t>an</w:t>
      </w:r>
      <w:r>
        <w:rPr>
          <w:spacing w:val="-1"/>
          <w:w w:val="105"/>
          <w:sz w:val="21"/>
        </w:rPr>
        <w:t> </w:t>
      </w:r>
      <w:r>
        <w:rPr>
          <w:w w:val="105"/>
          <w:sz w:val="21"/>
        </w:rPr>
        <w:t>application</w:t>
      </w:r>
    </w:p>
    <w:p>
      <w:pPr>
        <w:pStyle w:val="ListParagraph"/>
        <w:numPr>
          <w:ilvl w:val="1"/>
          <w:numId w:val="9"/>
        </w:numPr>
        <w:tabs>
          <w:tab w:pos="2721" w:val="left" w:leader="none"/>
          <w:tab w:pos="2722" w:val="left" w:leader="none"/>
        </w:tabs>
        <w:spacing w:line="242" w:lineRule="auto" w:before="122" w:after="0"/>
        <w:ind w:left="2721" w:right="1938" w:hanging="567"/>
        <w:jc w:val="left"/>
        <w:rPr>
          <w:sz w:val="21"/>
        </w:rPr>
      </w:pPr>
      <w:r>
        <w:rPr>
          <w:sz w:val="21"/>
        </w:rPr>
        <w:t>whether </w:t>
      </w:r>
      <w:r>
        <w:rPr>
          <w:spacing w:val="-3"/>
          <w:sz w:val="21"/>
        </w:rPr>
        <w:t>any </w:t>
      </w:r>
      <w:r>
        <w:rPr>
          <w:sz w:val="21"/>
        </w:rPr>
        <w:t>party </w:t>
      </w:r>
      <w:r>
        <w:rPr>
          <w:spacing w:val="-2"/>
          <w:sz w:val="21"/>
        </w:rPr>
        <w:t>has </w:t>
      </w:r>
      <w:r>
        <w:rPr>
          <w:spacing w:val="-3"/>
          <w:sz w:val="21"/>
        </w:rPr>
        <w:t>entered </w:t>
      </w:r>
      <w:r>
        <w:rPr>
          <w:spacing w:val="-4"/>
          <w:sz w:val="21"/>
        </w:rPr>
        <w:t>into  </w:t>
      </w:r>
      <w:r>
        <w:rPr>
          <w:sz w:val="21"/>
        </w:rPr>
        <w:t>a contract </w:t>
      </w:r>
      <w:r>
        <w:rPr>
          <w:spacing w:val="-3"/>
          <w:sz w:val="21"/>
        </w:rPr>
        <w:t>for  </w:t>
      </w:r>
      <w:r>
        <w:rPr>
          <w:sz w:val="21"/>
        </w:rPr>
        <w:t>the sale of </w:t>
      </w:r>
      <w:r>
        <w:rPr>
          <w:spacing w:val="-3"/>
          <w:sz w:val="21"/>
        </w:rPr>
        <w:t>land</w:t>
      </w:r>
      <w:r>
        <w:rPr>
          <w:spacing w:val="41"/>
          <w:sz w:val="21"/>
        </w:rPr>
        <w:t> </w:t>
      </w:r>
      <w:r>
        <w:rPr>
          <w:spacing w:val="-3"/>
          <w:sz w:val="21"/>
        </w:rPr>
        <w:t>to  ensure  that </w:t>
      </w:r>
      <w:r>
        <w:rPr>
          <w:sz w:val="21"/>
        </w:rPr>
        <w:t>the Victorian </w:t>
      </w:r>
      <w:r>
        <w:rPr>
          <w:spacing w:val="-3"/>
          <w:sz w:val="21"/>
        </w:rPr>
        <w:t>Civil </w:t>
      </w:r>
      <w:r>
        <w:rPr>
          <w:sz w:val="21"/>
        </w:rPr>
        <w:t>and </w:t>
      </w:r>
      <w:r>
        <w:rPr>
          <w:spacing w:val="-3"/>
          <w:sz w:val="21"/>
        </w:rPr>
        <w:t>Administrative </w:t>
      </w:r>
      <w:r>
        <w:rPr>
          <w:spacing w:val="-5"/>
          <w:sz w:val="21"/>
        </w:rPr>
        <w:t>Tribunal </w:t>
      </w:r>
      <w:r>
        <w:rPr>
          <w:sz w:val="21"/>
        </w:rPr>
        <w:t>is </w:t>
      </w:r>
      <w:r>
        <w:rPr>
          <w:spacing w:val="-3"/>
          <w:sz w:val="21"/>
        </w:rPr>
        <w:t>aware </w:t>
      </w:r>
      <w:r>
        <w:rPr>
          <w:sz w:val="21"/>
        </w:rPr>
        <w:t>of </w:t>
      </w:r>
      <w:r>
        <w:rPr>
          <w:spacing w:val="-3"/>
          <w:sz w:val="21"/>
        </w:rPr>
        <w:t>all relevant </w:t>
      </w:r>
      <w:r>
        <w:rPr>
          <w:sz w:val="21"/>
        </w:rPr>
        <w:t>parties </w:t>
      </w:r>
      <w:r>
        <w:rPr>
          <w:spacing w:val="-3"/>
          <w:sz w:val="21"/>
        </w:rPr>
        <w:t>to </w:t>
      </w:r>
      <w:r>
        <w:rPr>
          <w:sz w:val="21"/>
        </w:rPr>
        <w:t>the </w:t>
      </w:r>
      <w:r>
        <w:rPr>
          <w:spacing w:val="-3"/>
          <w:sz w:val="21"/>
        </w:rPr>
        <w:t>dispute.</w:t>
      </w:r>
    </w:p>
    <w:p>
      <w:pPr>
        <w:pStyle w:val="ListParagraph"/>
        <w:numPr>
          <w:ilvl w:val="1"/>
          <w:numId w:val="9"/>
        </w:numPr>
        <w:tabs>
          <w:tab w:pos="2720" w:val="left" w:leader="none"/>
          <w:tab w:pos="2721" w:val="left" w:leader="none"/>
        </w:tabs>
        <w:spacing w:line="242" w:lineRule="auto" w:before="123" w:after="0"/>
        <w:ind w:left="2720" w:right="1934" w:hanging="566"/>
        <w:jc w:val="left"/>
        <w:rPr>
          <w:sz w:val="21"/>
        </w:rPr>
      </w:pPr>
      <w:r>
        <w:rPr>
          <w:w w:val="105"/>
          <w:sz w:val="21"/>
        </w:rPr>
        <w:t>the</w:t>
      </w:r>
      <w:r>
        <w:rPr>
          <w:spacing w:val="-11"/>
          <w:w w:val="105"/>
          <w:sz w:val="21"/>
        </w:rPr>
        <w:t> </w:t>
      </w:r>
      <w:r>
        <w:rPr>
          <w:w w:val="105"/>
          <w:sz w:val="21"/>
        </w:rPr>
        <w:t>names</w:t>
      </w:r>
      <w:r>
        <w:rPr>
          <w:spacing w:val="-11"/>
          <w:w w:val="105"/>
          <w:sz w:val="21"/>
        </w:rPr>
        <w:t> </w:t>
      </w:r>
      <w:r>
        <w:rPr>
          <w:w w:val="105"/>
          <w:sz w:val="21"/>
        </w:rPr>
        <w:t>of</w:t>
      </w:r>
      <w:r>
        <w:rPr>
          <w:spacing w:val="-11"/>
          <w:w w:val="105"/>
          <w:sz w:val="21"/>
        </w:rPr>
        <w:t> </w:t>
      </w:r>
      <w:r>
        <w:rPr>
          <w:w w:val="105"/>
          <w:sz w:val="21"/>
        </w:rPr>
        <w:t>other</w:t>
      </w:r>
      <w:r>
        <w:rPr>
          <w:spacing w:val="-10"/>
          <w:w w:val="105"/>
          <w:sz w:val="21"/>
        </w:rPr>
        <w:t> </w:t>
      </w:r>
      <w:r>
        <w:rPr>
          <w:w w:val="105"/>
          <w:sz w:val="21"/>
        </w:rPr>
        <w:t>parties</w:t>
      </w:r>
      <w:r>
        <w:rPr>
          <w:spacing w:val="-11"/>
          <w:w w:val="105"/>
          <w:sz w:val="21"/>
        </w:rPr>
        <w:t> </w:t>
      </w:r>
      <w:r>
        <w:rPr>
          <w:w w:val="105"/>
          <w:sz w:val="21"/>
        </w:rPr>
        <w:t>and</w:t>
      </w:r>
      <w:r>
        <w:rPr>
          <w:spacing w:val="-11"/>
          <w:w w:val="105"/>
          <w:sz w:val="21"/>
        </w:rPr>
        <w:t> </w:t>
      </w:r>
      <w:r>
        <w:rPr>
          <w:spacing w:val="-3"/>
          <w:w w:val="105"/>
          <w:sz w:val="21"/>
        </w:rPr>
        <w:t>information</w:t>
      </w:r>
      <w:r>
        <w:rPr>
          <w:spacing w:val="-10"/>
          <w:w w:val="105"/>
          <w:sz w:val="21"/>
        </w:rPr>
        <w:t> </w:t>
      </w:r>
      <w:r>
        <w:rPr>
          <w:w w:val="105"/>
          <w:sz w:val="21"/>
        </w:rPr>
        <w:t>about</w:t>
      </w:r>
      <w:r>
        <w:rPr>
          <w:spacing w:val="-11"/>
          <w:w w:val="105"/>
          <w:sz w:val="21"/>
        </w:rPr>
        <w:t> </w:t>
      </w:r>
      <w:r>
        <w:rPr>
          <w:w w:val="105"/>
          <w:sz w:val="21"/>
        </w:rPr>
        <w:t>proportional</w:t>
      </w:r>
      <w:r>
        <w:rPr>
          <w:spacing w:val="-11"/>
          <w:w w:val="105"/>
          <w:sz w:val="21"/>
        </w:rPr>
        <w:t> </w:t>
      </w:r>
      <w:r>
        <w:rPr>
          <w:w w:val="105"/>
          <w:sz w:val="21"/>
        </w:rPr>
        <w:t>ownership</w:t>
      </w:r>
      <w:r>
        <w:rPr>
          <w:spacing w:val="-10"/>
          <w:w w:val="105"/>
          <w:sz w:val="21"/>
        </w:rPr>
        <w:t> </w:t>
      </w:r>
      <w:r>
        <w:rPr>
          <w:w w:val="105"/>
          <w:sz w:val="21"/>
        </w:rPr>
        <w:t>if</w:t>
      </w:r>
      <w:r>
        <w:rPr>
          <w:spacing w:val="-11"/>
          <w:w w:val="105"/>
          <w:sz w:val="21"/>
        </w:rPr>
        <w:t> </w:t>
      </w:r>
      <w:r>
        <w:rPr>
          <w:w w:val="105"/>
          <w:sz w:val="21"/>
        </w:rPr>
        <w:t>a</w:t>
      </w:r>
      <w:r>
        <w:rPr>
          <w:spacing w:val="-11"/>
          <w:w w:val="105"/>
          <w:sz w:val="21"/>
        </w:rPr>
        <w:t> </w:t>
      </w:r>
      <w:r>
        <w:rPr>
          <w:w w:val="105"/>
          <w:sz w:val="21"/>
        </w:rPr>
        <w:t>tree trunk straddles a</w:t>
      </w:r>
      <w:r>
        <w:rPr>
          <w:spacing w:val="14"/>
          <w:w w:val="105"/>
          <w:sz w:val="21"/>
        </w:rPr>
        <w:t> </w:t>
      </w:r>
      <w:r>
        <w:rPr>
          <w:spacing w:val="-3"/>
          <w:w w:val="105"/>
          <w:sz w:val="21"/>
        </w:rPr>
        <w:t>boundary.</w:t>
      </w:r>
    </w:p>
    <w:p>
      <w:pPr>
        <w:pStyle w:val="BodyText"/>
        <w:spacing w:before="9"/>
      </w:pPr>
    </w:p>
    <w:p>
      <w:pPr>
        <w:pStyle w:val="Heading4"/>
      </w:pPr>
      <w:r>
        <w:rPr>
          <w:color w:val="658464"/>
          <w:w w:val="110"/>
        </w:rPr>
        <w:t>Chapter 6</w:t>
      </w:r>
    </w:p>
    <w:p>
      <w:pPr>
        <w:pStyle w:val="ListParagraph"/>
        <w:numPr>
          <w:ilvl w:val="0"/>
          <w:numId w:val="9"/>
        </w:numPr>
        <w:tabs>
          <w:tab w:pos="2155" w:val="left" w:leader="none"/>
        </w:tabs>
        <w:spacing w:line="242" w:lineRule="auto" w:before="155" w:after="0"/>
        <w:ind w:left="2154" w:right="1683" w:hanging="567"/>
        <w:jc w:val="both"/>
        <w:rPr>
          <w:sz w:val="21"/>
        </w:rPr>
      </w:pPr>
      <w:r>
        <w:rPr>
          <w:sz w:val="21"/>
        </w:rPr>
        <w:t>The Act should state </w:t>
      </w:r>
      <w:r>
        <w:rPr>
          <w:spacing w:val="-3"/>
          <w:sz w:val="21"/>
        </w:rPr>
        <w:t>that </w:t>
      </w:r>
      <w:r>
        <w:rPr>
          <w:sz w:val="21"/>
        </w:rPr>
        <w:t>the affected </w:t>
      </w:r>
      <w:r>
        <w:rPr>
          <w:spacing w:val="-3"/>
          <w:sz w:val="21"/>
        </w:rPr>
        <w:t>neighbour </w:t>
      </w:r>
      <w:r>
        <w:rPr>
          <w:sz w:val="21"/>
        </w:rPr>
        <w:t>and tree owner </w:t>
      </w:r>
      <w:r>
        <w:rPr>
          <w:spacing w:val="-3"/>
          <w:sz w:val="21"/>
        </w:rPr>
        <w:t>are encouraged to </w:t>
      </w:r>
      <w:r>
        <w:rPr>
          <w:sz w:val="21"/>
        </w:rPr>
        <w:t>resolve their </w:t>
      </w:r>
      <w:r>
        <w:rPr>
          <w:spacing w:val="-3"/>
          <w:sz w:val="21"/>
        </w:rPr>
        <w:t>dispute informally </w:t>
      </w:r>
      <w:r>
        <w:rPr>
          <w:sz w:val="21"/>
        </w:rPr>
        <w:t>but </w:t>
      </w:r>
      <w:r>
        <w:rPr>
          <w:spacing w:val="-3"/>
          <w:sz w:val="21"/>
        </w:rPr>
        <w:t>that </w:t>
      </w:r>
      <w:r>
        <w:rPr>
          <w:sz w:val="21"/>
        </w:rPr>
        <w:t>the affected </w:t>
      </w:r>
      <w:r>
        <w:rPr>
          <w:spacing w:val="-3"/>
          <w:sz w:val="21"/>
        </w:rPr>
        <w:t>neighbour may </w:t>
      </w:r>
      <w:r>
        <w:rPr>
          <w:sz w:val="21"/>
        </w:rPr>
        <w:t>apply </w:t>
      </w:r>
      <w:r>
        <w:rPr>
          <w:spacing w:val="-3"/>
          <w:sz w:val="21"/>
        </w:rPr>
        <w:t>to </w:t>
      </w:r>
      <w:r>
        <w:rPr>
          <w:sz w:val="21"/>
        </w:rPr>
        <w:t>the Victorian </w:t>
      </w:r>
      <w:r>
        <w:rPr>
          <w:spacing w:val="-3"/>
          <w:sz w:val="21"/>
        </w:rPr>
        <w:t>Civil </w:t>
      </w:r>
      <w:r>
        <w:rPr>
          <w:sz w:val="21"/>
        </w:rPr>
        <w:t>and </w:t>
      </w:r>
      <w:r>
        <w:rPr>
          <w:spacing w:val="-3"/>
          <w:sz w:val="21"/>
        </w:rPr>
        <w:t>Administrative </w:t>
      </w:r>
      <w:r>
        <w:rPr>
          <w:spacing w:val="-5"/>
          <w:sz w:val="21"/>
        </w:rPr>
        <w:t>Tribunal </w:t>
      </w:r>
      <w:r>
        <w:rPr>
          <w:spacing w:val="-3"/>
          <w:sz w:val="21"/>
        </w:rPr>
        <w:t>to </w:t>
      </w:r>
      <w:r>
        <w:rPr>
          <w:sz w:val="21"/>
        </w:rPr>
        <w:t>resolve the</w:t>
      </w:r>
      <w:r>
        <w:rPr>
          <w:spacing w:val="14"/>
          <w:sz w:val="21"/>
        </w:rPr>
        <w:t> </w:t>
      </w:r>
      <w:r>
        <w:rPr>
          <w:spacing w:val="-3"/>
          <w:sz w:val="21"/>
        </w:rPr>
        <w:t>dispute.</w:t>
      </w:r>
    </w:p>
    <w:p>
      <w:pPr>
        <w:pStyle w:val="ListParagraph"/>
        <w:numPr>
          <w:ilvl w:val="0"/>
          <w:numId w:val="9"/>
        </w:numPr>
        <w:tabs>
          <w:tab w:pos="2154" w:val="left" w:leader="none"/>
          <w:tab w:pos="2155" w:val="left" w:leader="none"/>
        </w:tabs>
        <w:spacing w:line="242" w:lineRule="auto" w:before="123" w:after="0"/>
        <w:ind w:left="2154" w:right="1745" w:hanging="567"/>
        <w:jc w:val="left"/>
        <w:rPr>
          <w:sz w:val="21"/>
        </w:rPr>
      </w:pPr>
      <w:r>
        <w:rPr>
          <w:w w:val="105"/>
          <w:sz w:val="21"/>
        </w:rPr>
        <w:t>The</w:t>
      </w:r>
      <w:r>
        <w:rPr>
          <w:spacing w:val="-11"/>
          <w:w w:val="105"/>
          <w:sz w:val="21"/>
        </w:rPr>
        <w:t> </w:t>
      </w:r>
      <w:r>
        <w:rPr>
          <w:w w:val="105"/>
          <w:sz w:val="21"/>
        </w:rPr>
        <w:t>Act</w:t>
      </w:r>
      <w:r>
        <w:rPr>
          <w:spacing w:val="-11"/>
          <w:w w:val="105"/>
          <w:sz w:val="21"/>
        </w:rPr>
        <w:t> </w:t>
      </w:r>
      <w:r>
        <w:rPr>
          <w:w w:val="105"/>
          <w:sz w:val="21"/>
        </w:rPr>
        <w:t>should</w:t>
      </w:r>
      <w:r>
        <w:rPr>
          <w:spacing w:val="-11"/>
          <w:w w:val="105"/>
          <w:sz w:val="21"/>
        </w:rPr>
        <w:t> </w:t>
      </w:r>
      <w:r>
        <w:rPr>
          <w:spacing w:val="-3"/>
          <w:w w:val="105"/>
          <w:sz w:val="21"/>
        </w:rPr>
        <w:t>include</w:t>
      </w:r>
      <w:r>
        <w:rPr>
          <w:spacing w:val="-11"/>
          <w:w w:val="105"/>
          <w:sz w:val="21"/>
        </w:rPr>
        <w:t> </w:t>
      </w:r>
      <w:r>
        <w:rPr>
          <w:w w:val="105"/>
          <w:sz w:val="21"/>
        </w:rPr>
        <w:t>a</w:t>
      </w:r>
      <w:r>
        <w:rPr>
          <w:spacing w:val="-11"/>
          <w:w w:val="105"/>
          <w:sz w:val="21"/>
        </w:rPr>
        <w:t> </w:t>
      </w:r>
      <w:r>
        <w:rPr>
          <w:w w:val="105"/>
          <w:sz w:val="21"/>
        </w:rPr>
        <w:t>non-exhaustive</w:t>
      </w:r>
      <w:r>
        <w:rPr>
          <w:spacing w:val="-11"/>
          <w:w w:val="105"/>
          <w:sz w:val="21"/>
        </w:rPr>
        <w:t> </w:t>
      </w:r>
      <w:r>
        <w:rPr>
          <w:w w:val="105"/>
          <w:sz w:val="21"/>
        </w:rPr>
        <w:t>list</w:t>
      </w:r>
      <w:r>
        <w:rPr>
          <w:spacing w:val="-11"/>
          <w:w w:val="105"/>
          <w:sz w:val="21"/>
        </w:rPr>
        <w:t> </w:t>
      </w:r>
      <w:r>
        <w:rPr>
          <w:w w:val="105"/>
          <w:sz w:val="21"/>
        </w:rPr>
        <w:t>of</w:t>
      </w:r>
      <w:r>
        <w:rPr>
          <w:spacing w:val="-11"/>
          <w:w w:val="105"/>
          <w:sz w:val="21"/>
        </w:rPr>
        <w:t> </w:t>
      </w:r>
      <w:r>
        <w:rPr>
          <w:w w:val="105"/>
          <w:sz w:val="21"/>
        </w:rPr>
        <w:t>examples</w:t>
      </w:r>
      <w:r>
        <w:rPr>
          <w:spacing w:val="-10"/>
          <w:w w:val="105"/>
          <w:sz w:val="21"/>
        </w:rPr>
        <w:t> </w:t>
      </w:r>
      <w:r>
        <w:rPr>
          <w:w w:val="105"/>
          <w:sz w:val="21"/>
        </w:rPr>
        <w:t>of</w:t>
      </w:r>
      <w:r>
        <w:rPr>
          <w:spacing w:val="-11"/>
          <w:w w:val="105"/>
          <w:sz w:val="21"/>
        </w:rPr>
        <w:t> </w:t>
      </w:r>
      <w:r>
        <w:rPr>
          <w:spacing w:val="-3"/>
          <w:w w:val="105"/>
          <w:sz w:val="21"/>
        </w:rPr>
        <w:t>informal</w:t>
      </w:r>
      <w:r>
        <w:rPr>
          <w:spacing w:val="-11"/>
          <w:w w:val="105"/>
          <w:sz w:val="21"/>
        </w:rPr>
        <w:t> </w:t>
      </w:r>
      <w:r>
        <w:rPr>
          <w:w w:val="105"/>
          <w:sz w:val="21"/>
        </w:rPr>
        <w:t>resolution</w:t>
      </w:r>
      <w:r>
        <w:rPr>
          <w:spacing w:val="-11"/>
          <w:w w:val="105"/>
          <w:sz w:val="21"/>
        </w:rPr>
        <w:t> </w:t>
      </w:r>
      <w:r>
        <w:rPr>
          <w:w w:val="105"/>
          <w:sz w:val="21"/>
        </w:rPr>
        <w:t>approaches </w:t>
      </w:r>
      <w:r>
        <w:rPr>
          <w:spacing w:val="-3"/>
          <w:w w:val="105"/>
          <w:sz w:val="21"/>
        </w:rPr>
        <w:t>including:</w:t>
      </w:r>
    </w:p>
    <w:p>
      <w:pPr>
        <w:pStyle w:val="ListParagraph"/>
        <w:numPr>
          <w:ilvl w:val="1"/>
          <w:numId w:val="9"/>
        </w:numPr>
        <w:tabs>
          <w:tab w:pos="2721" w:val="left" w:leader="none"/>
          <w:tab w:pos="2722" w:val="left" w:leader="none"/>
        </w:tabs>
        <w:spacing w:line="242" w:lineRule="auto" w:before="123" w:after="0"/>
        <w:ind w:left="2721" w:right="1727" w:hanging="567"/>
        <w:jc w:val="left"/>
        <w:rPr>
          <w:sz w:val="21"/>
        </w:rPr>
      </w:pPr>
      <w:r>
        <w:rPr>
          <w:spacing w:val="-3"/>
          <w:w w:val="105"/>
          <w:sz w:val="21"/>
        </w:rPr>
        <w:t>communicating</w:t>
      </w:r>
      <w:r>
        <w:rPr>
          <w:spacing w:val="-5"/>
          <w:w w:val="105"/>
          <w:sz w:val="21"/>
        </w:rPr>
        <w:t> </w:t>
      </w:r>
      <w:r>
        <w:rPr>
          <w:w w:val="105"/>
          <w:sz w:val="21"/>
        </w:rPr>
        <w:t>with</w:t>
      </w:r>
      <w:r>
        <w:rPr>
          <w:spacing w:val="-4"/>
          <w:w w:val="105"/>
          <w:sz w:val="21"/>
        </w:rPr>
        <w:t> </w:t>
      </w:r>
      <w:r>
        <w:rPr>
          <w:w w:val="105"/>
          <w:sz w:val="21"/>
        </w:rPr>
        <w:t>the</w:t>
      </w:r>
      <w:r>
        <w:rPr>
          <w:spacing w:val="-4"/>
          <w:w w:val="105"/>
          <w:sz w:val="21"/>
        </w:rPr>
        <w:t> </w:t>
      </w:r>
      <w:r>
        <w:rPr>
          <w:w w:val="105"/>
          <w:sz w:val="21"/>
        </w:rPr>
        <w:t>other</w:t>
      </w:r>
      <w:r>
        <w:rPr>
          <w:spacing w:val="-5"/>
          <w:w w:val="105"/>
          <w:sz w:val="21"/>
        </w:rPr>
        <w:t> </w:t>
      </w:r>
      <w:r>
        <w:rPr>
          <w:w w:val="105"/>
          <w:sz w:val="21"/>
        </w:rPr>
        <w:t>party</w:t>
      </w:r>
      <w:r>
        <w:rPr>
          <w:spacing w:val="-4"/>
          <w:w w:val="105"/>
          <w:sz w:val="21"/>
        </w:rPr>
        <w:t> </w:t>
      </w:r>
      <w:r>
        <w:rPr>
          <w:spacing w:val="-3"/>
          <w:w w:val="105"/>
          <w:sz w:val="21"/>
        </w:rPr>
        <w:t>to</w:t>
      </w:r>
      <w:r>
        <w:rPr>
          <w:spacing w:val="-4"/>
          <w:w w:val="105"/>
          <w:sz w:val="21"/>
        </w:rPr>
        <w:t> </w:t>
      </w:r>
      <w:r>
        <w:rPr>
          <w:w w:val="105"/>
          <w:sz w:val="21"/>
        </w:rPr>
        <w:t>notify</w:t>
      </w:r>
      <w:r>
        <w:rPr>
          <w:spacing w:val="-4"/>
          <w:w w:val="105"/>
          <w:sz w:val="21"/>
        </w:rPr>
        <w:t> </w:t>
      </w:r>
      <w:r>
        <w:rPr>
          <w:w w:val="105"/>
          <w:sz w:val="21"/>
        </w:rPr>
        <w:t>them</w:t>
      </w:r>
      <w:r>
        <w:rPr>
          <w:spacing w:val="-5"/>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issues</w:t>
      </w:r>
      <w:r>
        <w:rPr>
          <w:spacing w:val="-5"/>
          <w:w w:val="105"/>
          <w:sz w:val="21"/>
        </w:rPr>
        <w:t> </w:t>
      </w:r>
      <w:r>
        <w:rPr>
          <w:spacing w:val="-3"/>
          <w:w w:val="105"/>
          <w:sz w:val="21"/>
        </w:rPr>
        <w:t>(including</w:t>
      </w:r>
      <w:r>
        <w:rPr>
          <w:spacing w:val="-4"/>
          <w:w w:val="105"/>
          <w:sz w:val="21"/>
        </w:rPr>
        <w:t> </w:t>
      </w:r>
      <w:r>
        <w:rPr>
          <w:spacing w:val="-3"/>
          <w:w w:val="105"/>
          <w:sz w:val="21"/>
        </w:rPr>
        <w:t>providing </w:t>
      </w:r>
      <w:r>
        <w:rPr>
          <w:w w:val="105"/>
          <w:sz w:val="21"/>
        </w:rPr>
        <w:t>a quotation or arborist’s assessment) and </w:t>
      </w:r>
      <w:r>
        <w:rPr>
          <w:spacing w:val="-3"/>
          <w:w w:val="105"/>
          <w:sz w:val="21"/>
        </w:rPr>
        <w:t>negotiate </w:t>
      </w:r>
      <w:r>
        <w:rPr>
          <w:w w:val="105"/>
          <w:sz w:val="21"/>
        </w:rPr>
        <w:t>with</w:t>
      </w:r>
      <w:r>
        <w:rPr>
          <w:spacing w:val="18"/>
          <w:w w:val="105"/>
          <w:sz w:val="21"/>
        </w:rPr>
        <w:t> </w:t>
      </w:r>
      <w:r>
        <w:rPr>
          <w:w w:val="105"/>
          <w:sz w:val="21"/>
        </w:rPr>
        <w:t>them</w:t>
      </w:r>
    </w:p>
    <w:p>
      <w:pPr>
        <w:pStyle w:val="ListParagraph"/>
        <w:numPr>
          <w:ilvl w:val="1"/>
          <w:numId w:val="9"/>
        </w:numPr>
        <w:tabs>
          <w:tab w:pos="2721" w:val="left" w:leader="none"/>
          <w:tab w:pos="2722" w:val="left" w:leader="none"/>
        </w:tabs>
        <w:spacing w:line="240" w:lineRule="auto" w:before="122" w:after="0"/>
        <w:ind w:left="2721" w:right="0" w:hanging="567"/>
        <w:jc w:val="left"/>
        <w:rPr>
          <w:sz w:val="21"/>
        </w:rPr>
      </w:pPr>
      <w:r>
        <w:rPr>
          <w:spacing w:val="-3"/>
          <w:sz w:val="21"/>
        </w:rPr>
        <w:t>exercising </w:t>
      </w:r>
      <w:r>
        <w:rPr>
          <w:sz w:val="21"/>
        </w:rPr>
        <w:t>the </w:t>
      </w:r>
      <w:r>
        <w:rPr>
          <w:spacing w:val="-3"/>
          <w:sz w:val="21"/>
        </w:rPr>
        <w:t>right to</w:t>
      </w:r>
      <w:r>
        <w:rPr>
          <w:spacing w:val="40"/>
          <w:sz w:val="21"/>
        </w:rPr>
        <w:t> </w:t>
      </w:r>
      <w:r>
        <w:rPr>
          <w:spacing w:val="-3"/>
          <w:sz w:val="21"/>
        </w:rPr>
        <w:t>abate</w:t>
      </w:r>
    </w:p>
    <w:p>
      <w:pPr>
        <w:pStyle w:val="ListParagraph"/>
        <w:numPr>
          <w:ilvl w:val="1"/>
          <w:numId w:val="9"/>
        </w:numPr>
        <w:tabs>
          <w:tab w:pos="2720" w:val="left" w:leader="none"/>
          <w:tab w:pos="2721" w:val="left" w:leader="none"/>
        </w:tabs>
        <w:spacing w:line="242" w:lineRule="auto" w:before="124" w:after="0"/>
        <w:ind w:left="2720" w:right="2026" w:hanging="566"/>
        <w:jc w:val="left"/>
        <w:rPr>
          <w:sz w:val="21"/>
        </w:rPr>
      </w:pPr>
      <w:r>
        <w:rPr>
          <w:spacing w:val="-3"/>
          <w:sz w:val="21"/>
        </w:rPr>
        <w:t>engaging </w:t>
      </w:r>
      <w:r>
        <w:rPr>
          <w:sz w:val="21"/>
        </w:rPr>
        <w:t>in </w:t>
      </w:r>
      <w:r>
        <w:rPr>
          <w:spacing w:val="-3"/>
          <w:sz w:val="21"/>
        </w:rPr>
        <w:t>alternative dispute resolution, such </w:t>
      </w:r>
      <w:r>
        <w:rPr>
          <w:sz w:val="21"/>
        </w:rPr>
        <w:t>as mediation </w:t>
      </w:r>
      <w:r>
        <w:rPr>
          <w:spacing w:val="-3"/>
          <w:sz w:val="21"/>
        </w:rPr>
        <w:t>through </w:t>
      </w:r>
      <w:r>
        <w:rPr>
          <w:sz w:val="21"/>
        </w:rPr>
        <w:t>the </w:t>
      </w:r>
      <w:r>
        <w:rPr>
          <w:spacing w:val="-3"/>
          <w:sz w:val="21"/>
        </w:rPr>
        <w:t>Dispute </w:t>
      </w:r>
      <w:r>
        <w:rPr>
          <w:sz w:val="21"/>
        </w:rPr>
        <w:t>Settlement </w:t>
      </w:r>
      <w:r>
        <w:rPr>
          <w:spacing w:val="-4"/>
          <w:sz w:val="21"/>
        </w:rPr>
        <w:t>Centre </w:t>
      </w:r>
      <w:r>
        <w:rPr>
          <w:sz w:val="21"/>
        </w:rPr>
        <w:t>of</w:t>
      </w:r>
      <w:r>
        <w:rPr>
          <w:spacing w:val="30"/>
          <w:sz w:val="21"/>
        </w:rPr>
        <w:t> </w:t>
      </w:r>
      <w:r>
        <w:rPr>
          <w:sz w:val="21"/>
        </w:rPr>
        <w:t>Victoria.</w:t>
      </w:r>
    </w:p>
    <w:p>
      <w:pPr>
        <w:pStyle w:val="ListParagraph"/>
        <w:numPr>
          <w:ilvl w:val="0"/>
          <w:numId w:val="9"/>
        </w:numPr>
        <w:tabs>
          <w:tab w:pos="2155" w:val="left" w:leader="none"/>
        </w:tabs>
        <w:spacing w:line="242" w:lineRule="auto" w:before="122" w:after="0"/>
        <w:ind w:left="2154" w:right="1754" w:hanging="567"/>
        <w:jc w:val="both"/>
        <w:rPr>
          <w:sz w:val="21"/>
        </w:rPr>
      </w:pPr>
      <w:r>
        <w:rPr>
          <w:sz w:val="21"/>
        </w:rPr>
        <w:t>The Act should modify the </w:t>
      </w:r>
      <w:r>
        <w:rPr>
          <w:spacing w:val="-2"/>
          <w:sz w:val="21"/>
        </w:rPr>
        <w:t>common </w:t>
      </w:r>
      <w:r>
        <w:rPr>
          <w:sz w:val="21"/>
        </w:rPr>
        <w:t>law </w:t>
      </w:r>
      <w:r>
        <w:rPr>
          <w:spacing w:val="-3"/>
          <w:sz w:val="21"/>
        </w:rPr>
        <w:t>right to abate to </w:t>
      </w:r>
      <w:r>
        <w:rPr>
          <w:sz w:val="21"/>
        </w:rPr>
        <w:t>the extent </w:t>
      </w:r>
      <w:r>
        <w:rPr>
          <w:spacing w:val="-3"/>
          <w:sz w:val="21"/>
        </w:rPr>
        <w:t>that </w:t>
      </w:r>
      <w:r>
        <w:rPr>
          <w:spacing w:val="-2"/>
          <w:sz w:val="21"/>
        </w:rPr>
        <w:t>abated </w:t>
      </w:r>
      <w:r>
        <w:rPr>
          <w:sz w:val="21"/>
        </w:rPr>
        <w:t>tree parts </w:t>
      </w:r>
      <w:r>
        <w:rPr>
          <w:spacing w:val="-3"/>
          <w:sz w:val="21"/>
        </w:rPr>
        <w:t>such </w:t>
      </w:r>
      <w:r>
        <w:rPr>
          <w:sz w:val="21"/>
        </w:rPr>
        <w:t>as </w:t>
      </w:r>
      <w:r>
        <w:rPr>
          <w:spacing w:val="-3"/>
          <w:sz w:val="21"/>
        </w:rPr>
        <w:t>branches, </w:t>
      </w:r>
      <w:r>
        <w:rPr>
          <w:sz w:val="21"/>
        </w:rPr>
        <w:t>roots, </w:t>
      </w:r>
      <w:r>
        <w:rPr>
          <w:spacing w:val="-3"/>
          <w:sz w:val="21"/>
        </w:rPr>
        <w:t>fruit </w:t>
      </w:r>
      <w:r>
        <w:rPr>
          <w:sz w:val="21"/>
        </w:rPr>
        <w:t>and other </w:t>
      </w:r>
      <w:r>
        <w:rPr>
          <w:spacing w:val="-3"/>
          <w:sz w:val="21"/>
        </w:rPr>
        <w:t>material are </w:t>
      </w:r>
      <w:r>
        <w:rPr>
          <w:spacing w:val="-2"/>
          <w:sz w:val="21"/>
        </w:rPr>
        <w:t>not </w:t>
      </w:r>
      <w:r>
        <w:rPr>
          <w:spacing w:val="-3"/>
          <w:sz w:val="21"/>
        </w:rPr>
        <w:t>required to </w:t>
      </w:r>
      <w:r>
        <w:rPr>
          <w:sz w:val="21"/>
        </w:rPr>
        <w:t>be </w:t>
      </w:r>
      <w:r>
        <w:rPr>
          <w:spacing w:val="-3"/>
          <w:sz w:val="21"/>
        </w:rPr>
        <w:t>returned to </w:t>
      </w:r>
      <w:r>
        <w:rPr>
          <w:sz w:val="21"/>
        </w:rPr>
        <w:t>the tree owner unless the neighbours </w:t>
      </w:r>
      <w:r>
        <w:rPr>
          <w:spacing w:val="-3"/>
          <w:sz w:val="21"/>
        </w:rPr>
        <w:t>have </w:t>
      </w:r>
      <w:r>
        <w:rPr>
          <w:sz w:val="21"/>
        </w:rPr>
        <w:t>agreed</w:t>
      </w:r>
      <w:r>
        <w:rPr>
          <w:spacing w:val="11"/>
          <w:sz w:val="21"/>
        </w:rPr>
        <w:t> </w:t>
      </w:r>
      <w:r>
        <w:rPr>
          <w:sz w:val="21"/>
        </w:rPr>
        <w:t>otherwise.</w:t>
      </w:r>
    </w:p>
    <w:p>
      <w:pPr>
        <w:pStyle w:val="BodyText"/>
        <w:spacing w:before="10"/>
      </w:pPr>
    </w:p>
    <w:p>
      <w:pPr>
        <w:pStyle w:val="Heading4"/>
      </w:pPr>
      <w:r>
        <w:rPr>
          <w:color w:val="658464"/>
          <w:w w:val="110"/>
        </w:rPr>
        <w:t>Chapter 7</w:t>
      </w:r>
    </w:p>
    <w:p>
      <w:pPr>
        <w:pStyle w:val="ListParagraph"/>
        <w:numPr>
          <w:ilvl w:val="0"/>
          <w:numId w:val="9"/>
        </w:numPr>
        <w:tabs>
          <w:tab w:pos="2154" w:val="left" w:leader="none"/>
          <w:tab w:pos="2155" w:val="left" w:leader="none"/>
        </w:tabs>
        <w:spacing w:line="242" w:lineRule="auto" w:before="155" w:after="0"/>
        <w:ind w:left="2154" w:right="2372" w:hanging="567"/>
        <w:jc w:val="left"/>
        <w:rPr>
          <w:sz w:val="21"/>
        </w:rPr>
      </w:pPr>
      <w:r>
        <w:rPr>
          <w:sz w:val="21"/>
        </w:rPr>
        <w:t>The Victorian </w:t>
      </w:r>
      <w:r>
        <w:rPr>
          <w:spacing w:val="-3"/>
          <w:sz w:val="21"/>
        </w:rPr>
        <w:t>Civil </w:t>
      </w:r>
      <w:r>
        <w:rPr>
          <w:sz w:val="21"/>
        </w:rPr>
        <w:t>and </w:t>
      </w:r>
      <w:r>
        <w:rPr>
          <w:spacing w:val="-3"/>
          <w:sz w:val="21"/>
        </w:rPr>
        <w:t>Administrative </w:t>
      </w:r>
      <w:r>
        <w:rPr>
          <w:spacing w:val="-5"/>
          <w:sz w:val="21"/>
        </w:rPr>
        <w:t>Tribunal </w:t>
      </w:r>
      <w:r>
        <w:rPr>
          <w:sz w:val="21"/>
        </w:rPr>
        <w:t>should </w:t>
      </w:r>
      <w:r>
        <w:rPr>
          <w:spacing w:val="-3"/>
          <w:sz w:val="21"/>
        </w:rPr>
        <w:t>have original </w:t>
      </w:r>
      <w:r>
        <w:rPr>
          <w:sz w:val="21"/>
        </w:rPr>
        <w:t>but </w:t>
      </w:r>
      <w:r>
        <w:rPr>
          <w:spacing w:val="-2"/>
          <w:sz w:val="21"/>
        </w:rPr>
        <w:t>not </w:t>
      </w:r>
      <w:r>
        <w:rPr>
          <w:spacing w:val="-3"/>
          <w:sz w:val="21"/>
        </w:rPr>
        <w:t>exclusive </w:t>
      </w:r>
      <w:r>
        <w:rPr>
          <w:sz w:val="21"/>
        </w:rPr>
        <w:t>jurisdiction</w:t>
      </w:r>
      <w:r>
        <w:rPr>
          <w:spacing w:val="9"/>
          <w:sz w:val="21"/>
        </w:rPr>
        <w:t> </w:t>
      </w:r>
      <w:r>
        <w:rPr>
          <w:spacing w:val="-3"/>
          <w:sz w:val="21"/>
        </w:rPr>
        <w:t>to</w:t>
      </w:r>
      <w:r>
        <w:rPr>
          <w:spacing w:val="10"/>
          <w:sz w:val="21"/>
        </w:rPr>
        <w:t> </w:t>
      </w:r>
      <w:r>
        <w:rPr>
          <w:spacing w:val="-3"/>
          <w:sz w:val="21"/>
        </w:rPr>
        <w:t>determine</w:t>
      </w:r>
      <w:r>
        <w:rPr>
          <w:spacing w:val="10"/>
          <w:sz w:val="21"/>
        </w:rPr>
        <w:t> </w:t>
      </w:r>
      <w:r>
        <w:rPr>
          <w:sz w:val="21"/>
        </w:rPr>
        <w:t>tree</w:t>
      </w:r>
      <w:r>
        <w:rPr>
          <w:spacing w:val="10"/>
          <w:sz w:val="21"/>
        </w:rPr>
        <w:t> </w:t>
      </w:r>
      <w:r>
        <w:rPr>
          <w:spacing w:val="-3"/>
          <w:sz w:val="21"/>
        </w:rPr>
        <w:t>disputes</w:t>
      </w:r>
      <w:r>
        <w:rPr>
          <w:spacing w:val="10"/>
          <w:sz w:val="21"/>
        </w:rPr>
        <w:t> </w:t>
      </w:r>
      <w:r>
        <w:rPr>
          <w:sz w:val="21"/>
        </w:rPr>
        <w:t>under</w:t>
      </w:r>
      <w:r>
        <w:rPr>
          <w:spacing w:val="9"/>
          <w:sz w:val="21"/>
        </w:rPr>
        <w:t> </w:t>
      </w:r>
      <w:r>
        <w:rPr>
          <w:sz w:val="21"/>
        </w:rPr>
        <w:t>the</w:t>
      </w:r>
      <w:r>
        <w:rPr>
          <w:spacing w:val="10"/>
          <w:sz w:val="21"/>
        </w:rPr>
        <w:t> </w:t>
      </w:r>
      <w:r>
        <w:rPr>
          <w:sz w:val="21"/>
        </w:rPr>
        <w:t>new</w:t>
      </w:r>
      <w:r>
        <w:rPr>
          <w:spacing w:val="10"/>
          <w:sz w:val="21"/>
        </w:rPr>
        <w:t> </w:t>
      </w:r>
      <w:r>
        <w:rPr>
          <w:sz w:val="21"/>
        </w:rPr>
        <w:t>Act.</w:t>
      </w:r>
    </w:p>
    <w:p>
      <w:pPr>
        <w:pStyle w:val="ListParagraph"/>
        <w:numPr>
          <w:ilvl w:val="0"/>
          <w:numId w:val="9"/>
        </w:numPr>
        <w:tabs>
          <w:tab w:pos="2154" w:val="left" w:leader="none"/>
          <w:tab w:pos="2155" w:val="left" w:leader="none"/>
        </w:tabs>
        <w:spacing w:line="242" w:lineRule="auto" w:before="122" w:after="0"/>
        <w:ind w:left="2154" w:right="1651" w:hanging="567"/>
        <w:jc w:val="left"/>
        <w:rPr>
          <w:sz w:val="21"/>
        </w:rPr>
      </w:pPr>
      <w:r>
        <w:rPr>
          <w:w w:val="105"/>
          <w:sz w:val="21"/>
        </w:rPr>
        <w:t>Any</w:t>
      </w:r>
      <w:r>
        <w:rPr>
          <w:spacing w:val="-12"/>
          <w:w w:val="105"/>
          <w:sz w:val="21"/>
        </w:rPr>
        <w:t> </w:t>
      </w:r>
      <w:r>
        <w:rPr>
          <w:spacing w:val="-3"/>
          <w:w w:val="105"/>
          <w:sz w:val="21"/>
        </w:rPr>
        <w:t>Government</w:t>
      </w:r>
      <w:r>
        <w:rPr>
          <w:spacing w:val="-11"/>
          <w:w w:val="105"/>
          <w:sz w:val="21"/>
        </w:rPr>
        <w:t> </w:t>
      </w:r>
      <w:r>
        <w:rPr>
          <w:spacing w:val="-3"/>
          <w:w w:val="105"/>
          <w:sz w:val="21"/>
        </w:rPr>
        <w:t>consideration</w:t>
      </w:r>
      <w:r>
        <w:rPr>
          <w:spacing w:val="-11"/>
          <w:w w:val="105"/>
          <w:sz w:val="21"/>
        </w:rPr>
        <w:t> </w:t>
      </w:r>
      <w:r>
        <w:rPr>
          <w:w w:val="105"/>
          <w:sz w:val="21"/>
        </w:rPr>
        <w:t>of</w:t>
      </w:r>
      <w:r>
        <w:rPr>
          <w:spacing w:val="-11"/>
          <w:w w:val="105"/>
          <w:sz w:val="21"/>
        </w:rPr>
        <w:t> </w:t>
      </w:r>
      <w:r>
        <w:rPr>
          <w:w w:val="105"/>
          <w:sz w:val="21"/>
        </w:rPr>
        <w:t>diversity</w:t>
      </w:r>
      <w:r>
        <w:rPr>
          <w:spacing w:val="-11"/>
          <w:w w:val="105"/>
          <w:sz w:val="21"/>
        </w:rPr>
        <w:t> </w:t>
      </w:r>
      <w:r>
        <w:rPr>
          <w:w w:val="105"/>
          <w:sz w:val="21"/>
        </w:rPr>
        <w:t>jurisdiction</w:t>
      </w:r>
      <w:r>
        <w:rPr>
          <w:spacing w:val="-11"/>
          <w:w w:val="105"/>
          <w:sz w:val="21"/>
        </w:rPr>
        <w:t> </w:t>
      </w:r>
      <w:r>
        <w:rPr>
          <w:w w:val="105"/>
          <w:sz w:val="21"/>
        </w:rPr>
        <w:t>issues</w:t>
      </w:r>
      <w:r>
        <w:rPr>
          <w:spacing w:val="-11"/>
          <w:w w:val="105"/>
          <w:sz w:val="21"/>
        </w:rPr>
        <w:t> </w:t>
      </w:r>
      <w:r>
        <w:rPr>
          <w:spacing w:val="-3"/>
          <w:w w:val="105"/>
          <w:sz w:val="21"/>
        </w:rPr>
        <w:t>that</w:t>
      </w:r>
      <w:r>
        <w:rPr>
          <w:spacing w:val="-11"/>
          <w:w w:val="105"/>
          <w:sz w:val="21"/>
        </w:rPr>
        <w:t> </w:t>
      </w:r>
      <w:r>
        <w:rPr>
          <w:w w:val="105"/>
          <w:sz w:val="21"/>
        </w:rPr>
        <w:t>apply</w:t>
      </w:r>
      <w:r>
        <w:rPr>
          <w:spacing w:val="-11"/>
          <w:w w:val="105"/>
          <w:sz w:val="21"/>
        </w:rPr>
        <w:t> </w:t>
      </w:r>
      <w:r>
        <w:rPr>
          <w:spacing w:val="-3"/>
          <w:w w:val="105"/>
          <w:sz w:val="21"/>
        </w:rPr>
        <w:t>to</w:t>
      </w:r>
      <w:r>
        <w:rPr>
          <w:spacing w:val="-11"/>
          <w:w w:val="105"/>
          <w:sz w:val="21"/>
        </w:rPr>
        <w:t> </w:t>
      </w:r>
      <w:r>
        <w:rPr>
          <w:w w:val="105"/>
          <w:sz w:val="21"/>
        </w:rPr>
        <w:t>the</w:t>
      </w:r>
      <w:r>
        <w:rPr>
          <w:spacing w:val="-11"/>
          <w:w w:val="105"/>
          <w:sz w:val="21"/>
        </w:rPr>
        <w:t> </w:t>
      </w:r>
      <w:r>
        <w:rPr>
          <w:w w:val="105"/>
          <w:sz w:val="21"/>
        </w:rPr>
        <w:t>Victorian</w:t>
      </w:r>
      <w:r>
        <w:rPr>
          <w:spacing w:val="-11"/>
          <w:w w:val="105"/>
          <w:sz w:val="21"/>
        </w:rPr>
        <w:t> </w:t>
      </w:r>
      <w:r>
        <w:rPr>
          <w:spacing w:val="-3"/>
          <w:w w:val="105"/>
          <w:sz w:val="21"/>
        </w:rPr>
        <w:t>Civil </w:t>
      </w:r>
      <w:r>
        <w:rPr>
          <w:w w:val="105"/>
          <w:sz w:val="21"/>
        </w:rPr>
        <w:t>and </w:t>
      </w:r>
      <w:r>
        <w:rPr>
          <w:spacing w:val="-3"/>
          <w:w w:val="105"/>
          <w:sz w:val="21"/>
        </w:rPr>
        <w:t>Administrative </w:t>
      </w:r>
      <w:r>
        <w:rPr>
          <w:spacing w:val="-5"/>
          <w:w w:val="105"/>
          <w:sz w:val="21"/>
        </w:rPr>
        <w:t>Tribunal </w:t>
      </w:r>
      <w:r>
        <w:rPr>
          <w:w w:val="105"/>
          <w:sz w:val="21"/>
        </w:rPr>
        <w:t>should also </w:t>
      </w:r>
      <w:r>
        <w:rPr>
          <w:spacing w:val="-3"/>
          <w:w w:val="105"/>
          <w:sz w:val="21"/>
        </w:rPr>
        <w:t>include consideration </w:t>
      </w:r>
      <w:r>
        <w:rPr>
          <w:w w:val="105"/>
          <w:sz w:val="21"/>
        </w:rPr>
        <w:t>of the new</w:t>
      </w:r>
      <w:r>
        <w:rPr>
          <w:spacing w:val="42"/>
          <w:w w:val="105"/>
          <w:sz w:val="21"/>
        </w:rPr>
        <w:t> </w:t>
      </w:r>
      <w:r>
        <w:rPr>
          <w:w w:val="105"/>
          <w:sz w:val="21"/>
        </w:rPr>
        <w:t>Act.</w:t>
      </w:r>
    </w:p>
    <w:p>
      <w:pPr>
        <w:pStyle w:val="BodyText"/>
        <w:spacing w:before="8"/>
        <w:rPr>
          <w:sz w:val="24"/>
        </w:rPr>
      </w:pPr>
    </w:p>
    <w:p>
      <w:pPr>
        <w:spacing w:before="96"/>
        <w:ind w:left="720" w:right="0" w:firstLine="0"/>
        <w:jc w:val="left"/>
        <w:rPr>
          <w:b/>
          <w:sz w:val="24"/>
        </w:rPr>
      </w:pPr>
      <w:r>
        <w:rPr>
          <w:b/>
          <w:color w:val="658464"/>
          <w:w w:val="120"/>
          <w:sz w:val="24"/>
        </w:rPr>
        <w:t>xxiv</w:t>
      </w:r>
    </w:p>
    <w:p>
      <w:pPr>
        <w:spacing w:after="0"/>
        <w:jc w:val="left"/>
        <w:rPr>
          <w:sz w:val="24"/>
        </w:rPr>
        <w:sectPr>
          <w:pgSz w:w="11910" w:h="16840"/>
          <w:pgMar w:header="546" w:footer="0" w:top="1560" w:bottom="280" w:left="0" w:right="0"/>
        </w:sectPr>
      </w:pPr>
    </w:p>
    <w:p>
      <w:pPr>
        <w:pStyle w:val="BodyText"/>
        <w:spacing w:before="9"/>
        <w:rPr>
          <w:b/>
          <w:sz w:val="22"/>
        </w:rPr>
      </w:pPr>
    </w:p>
    <w:p>
      <w:pPr>
        <w:pStyle w:val="ListParagraph"/>
        <w:numPr>
          <w:ilvl w:val="0"/>
          <w:numId w:val="10"/>
        </w:numPr>
        <w:tabs>
          <w:tab w:pos="2154" w:val="left" w:leader="none"/>
          <w:tab w:pos="2155" w:val="left" w:leader="none"/>
        </w:tabs>
        <w:spacing w:line="242" w:lineRule="auto" w:before="92" w:after="0"/>
        <w:ind w:left="2154" w:right="1773" w:hanging="567"/>
        <w:jc w:val="left"/>
        <w:rPr>
          <w:sz w:val="21"/>
        </w:rPr>
      </w:pPr>
      <w:r>
        <w:rPr>
          <w:sz w:val="21"/>
        </w:rPr>
        <w:t>The Victorian </w:t>
      </w:r>
      <w:r>
        <w:rPr>
          <w:spacing w:val="-3"/>
          <w:sz w:val="21"/>
        </w:rPr>
        <w:t>Civil </w:t>
      </w:r>
      <w:r>
        <w:rPr>
          <w:sz w:val="21"/>
        </w:rPr>
        <w:t>and </w:t>
      </w:r>
      <w:r>
        <w:rPr>
          <w:spacing w:val="-3"/>
          <w:sz w:val="21"/>
        </w:rPr>
        <w:t>Administrative </w:t>
      </w:r>
      <w:r>
        <w:rPr>
          <w:spacing w:val="-5"/>
          <w:sz w:val="21"/>
        </w:rPr>
        <w:t>Tribunal </w:t>
      </w:r>
      <w:r>
        <w:rPr>
          <w:sz w:val="21"/>
        </w:rPr>
        <w:t>should </w:t>
      </w:r>
      <w:r>
        <w:rPr>
          <w:spacing w:val="-3"/>
          <w:sz w:val="21"/>
        </w:rPr>
        <w:t>consider </w:t>
      </w:r>
      <w:r>
        <w:rPr>
          <w:sz w:val="21"/>
        </w:rPr>
        <w:t>extending the </w:t>
      </w:r>
      <w:r>
        <w:rPr>
          <w:spacing w:val="-3"/>
          <w:sz w:val="21"/>
        </w:rPr>
        <w:t>Fast </w:t>
      </w:r>
      <w:r>
        <w:rPr>
          <w:spacing w:val="-5"/>
          <w:sz w:val="21"/>
        </w:rPr>
        <w:t>Track </w:t>
      </w:r>
      <w:r>
        <w:rPr>
          <w:sz w:val="21"/>
        </w:rPr>
        <w:t>Mediation and </w:t>
      </w:r>
      <w:r>
        <w:rPr>
          <w:spacing w:val="-3"/>
          <w:sz w:val="21"/>
        </w:rPr>
        <w:t>Hearing Program administered  </w:t>
      </w:r>
      <w:r>
        <w:rPr>
          <w:sz w:val="21"/>
        </w:rPr>
        <w:t>by the </w:t>
      </w:r>
      <w:r>
        <w:rPr>
          <w:spacing w:val="-3"/>
          <w:sz w:val="21"/>
        </w:rPr>
        <w:t>Dispute</w:t>
      </w:r>
      <w:r>
        <w:rPr>
          <w:spacing w:val="41"/>
          <w:sz w:val="21"/>
        </w:rPr>
        <w:t> </w:t>
      </w:r>
      <w:r>
        <w:rPr>
          <w:sz w:val="21"/>
        </w:rPr>
        <w:t>Settlement </w:t>
      </w:r>
      <w:r>
        <w:rPr>
          <w:spacing w:val="-4"/>
          <w:sz w:val="21"/>
        </w:rPr>
        <w:t>Centre  </w:t>
      </w:r>
      <w:r>
        <w:rPr>
          <w:sz w:val="21"/>
        </w:rPr>
        <w:t>of Victoria  in </w:t>
      </w:r>
      <w:r>
        <w:rPr>
          <w:spacing w:val="-5"/>
          <w:sz w:val="21"/>
        </w:rPr>
        <w:t>VCAT </w:t>
      </w:r>
      <w:r>
        <w:rPr>
          <w:spacing w:val="-3"/>
          <w:sz w:val="21"/>
        </w:rPr>
        <w:t>to </w:t>
      </w:r>
      <w:r>
        <w:rPr>
          <w:sz w:val="21"/>
        </w:rPr>
        <w:t>suitable tree</w:t>
      </w:r>
      <w:r>
        <w:rPr>
          <w:spacing w:val="9"/>
          <w:sz w:val="21"/>
        </w:rPr>
        <w:t> </w:t>
      </w:r>
      <w:r>
        <w:rPr>
          <w:spacing w:val="-3"/>
          <w:sz w:val="21"/>
        </w:rPr>
        <w:t>disputes.</w:t>
      </w:r>
    </w:p>
    <w:p>
      <w:pPr>
        <w:pStyle w:val="ListParagraph"/>
        <w:numPr>
          <w:ilvl w:val="0"/>
          <w:numId w:val="10"/>
        </w:numPr>
        <w:tabs>
          <w:tab w:pos="2154" w:val="left" w:leader="none"/>
          <w:tab w:pos="2155" w:val="left" w:leader="none"/>
        </w:tabs>
        <w:spacing w:line="242" w:lineRule="auto" w:before="123" w:after="0"/>
        <w:ind w:left="2154" w:right="1597" w:hanging="567"/>
        <w:jc w:val="left"/>
        <w:rPr>
          <w:sz w:val="21"/>
        </w:rPr>
      </w:pPr>
      <w:r>
        <w:rPr>
          <w:spacing w:val="-3"/>
          <w:sz w:val="21"/>
        </w:rPr>
        <w:t>Government </w:t>
      </w:r>
      <w:r>
        <w:rPr>
          <w:sz w:val="21"/>
        </w:rPr>
        <w:t>should </w:t>
      </w:r>
      <w:r>
        <w:rPr>
          <w:spacing w:val="-3"/>
          <w:sz w:val="21"/>
        </w:rPr>
        <w:t>consider appointing </w:t>
      </w:r>
      <w:r>
        <w:rPr>
          <w:sz w:val="21"/>
        </w:rPr>
        <w:t>members with  </w:t>
      </w:r>
      <w:r>
        <w:rPr>
          <w:spacing w:val="-3"/>
          <w:sz w:val="21"/>
        </w:rPr>
        <w:t>arboricultural  </w:t>
      </w:r>
      <w:r>
        <w:rPr>
          <w:sz w:val="21"/>
        </w:rPr>
        <w:t>expertise  </w:t>
      </w:r>
      <w:r>
        <w:rPr>
          <w:spacing w:val="-3"/>
          <w:sz w:val="21"/>
        </w:rPr>
        <w:t>to  </w:t>
      </w:r>
      <w:r>
        <w:rPr>
          <w:sz w:val="21"/>
        </w:rPr>
        <w:t>the Victorian </w:t>
      </w:r>
      <w:r>
        <w:rPr>
          <w:spacing w:val="-3"/>
          <w:sz w:val="21"/>
        </w:rPr>
        <w:t>Civil </w:t>
      </w:r>
      <w:r>
        <w:rPr>
          <w:sz w:val="21"/>
        </w:rPr>
        <w:t>and </w:t>
      </w:r>
      <w:r>
        <w:rPr>
          <w:spacing w:val="-3"/>
          <w:sz w:val="21"/>
        </w:rPr>
        <w:t>Administrative </w:t>
      </w:r>
      <w:r>
        <w:rPr>
          <w:spacing w:val="-5"/>
          <w:sz w:val="21"/>
        </w:rPr>
        <w:t>Tribunal </w:t>
      </w:r>
      <w:r>
        <w:rPr>
          <w:spacing w:val="-3"/>
          <w:sz w:val="21"/>
        </w:rPr>
        <w:t>to  </w:t>
      </w:r>
      <w:r>
        <w:rPr>
          <w:sz w:val="21"/>
        </w:rPr>
        <w:t>hear tree </w:t>
      </w:r>
      <w:r>
        <w:rPr>
          <w:spacing w:val="-3"/>
          <w:sz w:val="21"/>
        </w:rPr>
        <w:t>dispute</w:t>
      </w:r>
      <w:r>
        <w:rPr>
          <w:spacing w:val="41"/>
          <w:sz w:val="21"/>
        </w:rPr>
        <w:t> </w:t>
      </w:r>
      <w:r>
        <w:rPr>
          <w:sz w:val="21"/>
        </w:rPr>
        <w:t>matters. </w:t>
      </w:r>
      <w:r>
        <w:rPr>
          <w:spacing w:val="-3"/>
          <w:sz w:val="21"/>
        </w:rPr>
        <w:t>Alternatively,  </w:t>
      </w:r>
      <w:r>
        <w:rPr>
          <w:sz w:val="21"/>
        </w:rPr>
        <w:t>in order </w:t>
      </w:r>
      <w:r>
        <w:rPr>
          <w:spacing w:val="-3"/>
          <w:sz w:val="21"/>
        </w:rPr>
        <w:t>to </w:t>
      </w:r>
      <w:r>
        <w:rPr>
          <w:sz w:val="21"/>
        </w:rPr>
        <w:t>obtain expert </w:t>
      </w:r>
      <w:r>
        <w:rPr>
          <w:spacing w:val="-3"/>
          <w:sz w:val="21"/>
        </w:rPr>
        <w:t>opinions </w:t>
      </w:r>
      <w:r>
        <w:rPr>
          <w:sz w:val="21"/>
        </w:rPr>
        <w:t>on </w:t>
      </w:r>
      <w:r>
        <w:rPr>
          <w:spacing w:val="-3"/>
          <w:sz w:val="21"/>
        </w:rPr>
        <w:t>arboriculture  </w:t>
      </w:r>
      <w:r>
        <w:rPr>
          <w:sz w:val="21"/>
        </w:rPr>
        <w:t>matters  and  </w:t>
      </w:r>
      <w:r>
        <w:rPr>
          <w:spacing w:val="-3"/>
          <w:sz w:val="21"/>
        </w:rPr>
        <w:t>to  </w:t>
      </w:r>
      <w:r>
        <w:rPr>
          <w:sz w:val="21"/>
        </w:rPr>
        <w:t>obtain  the  </w:t>
      </w:r>
      <w:r>
        <w:rPr>
          <w:spacing w:val="-3"/>
          <w:sz w:val="21"/>
        </w:rPr>
        <w:t>complete  </w:t>
      </w:r>
      <w:r>
        <w:rPr>
          <w:sz w:val="21"/>
        </w:rPr>
        <w:t>context  of the </w:t>
      </w:r>
      <w:r>
        <w:rPr>
          <w:spacing w:val="-3"/>
          <w:sz w:val="21"/>
        </w:rPr>
        <w:t>dispute, </w:t>
      </w:r>
      <w:r>
        <w:rPr>
          <w:sz w:val="21"/>
        </w:rPr>
        <w:t>the Victorian </w:t>
      </w:r>
      <w:r>
        <w:rPr>
          <w:spacing w:val="-3"/>
          <w:sz w:val="21"/>
        </w:rPr>
        <w:t>Civil </w:t>
      </w:r>
      <w:r>
        <w:rPr>
          <w:sz w:val="21"/>
        </w:rPr>
        <w:t>and </w:t>
      </w:r>
      <w:r>
        <w:rPr>
          <w:spacing w:val="-3"/>
          <w:sz w:val="21"/>
        </w:rPr>
        <w:t>Administrative </w:t>
      </w:r>
      <w:r>
        <w:rPr>
          <w:spacing w:val="-5"/>
          <w:sz w:val="21"/>
        </w:rPr>
        <w:t>Tribunal </w:t>
      </w:r>
      <w:r>
        <w:rPr>
          <w:sz w:val="21"/>
        </w:rPr>
        <w:t>should </w:t>
      </w:r>
      <w:r>
        <w:rPr>
          <w:spacing w:val="-3"/>
          <w:sz w:val="21"/>
        </w:rPr>
        <w:t>consider </w:t>
      </w:r>
      <w:r>
        <w:rPr>
          <w:sz w:val="21"/>
        </w:rPr>
        <w:t>adopting the </w:t>
      </w:r>
      <w:r>
        <w:rPr>
          <w:spacing w:val="-3"/>
          <w:sz w:val="21"/>
        </w:rPr>
        <w:t>Queensland Civil </w:t>
      </w:r>
      <w:r>
        <w:rPr>
          <w:sz w:val="21"/>
        </w:rPr>
        <w:t>and </w:t>
      </w:r>
      <w:r>
        <w:rPr>
          <w:spacing w:val="-3"/>
          <w:sz w:val="21"/>
        </w:rPr>
        <w:t>Administrative </w:t>
      </w:r>
      <w:r>
        <w:rPr>
          <w:spacing w:val="-5"/>
          <w:sz w:val="21"/>
        </w:rPr>
        <w:t>Tribunal </w:t>
      </w:r>
      <w:r>
        <w:rPr>
          <w:sz w:val="21"/>
        </w:rPr>
        <w:t>approach of </w:t>
      </w:r>
      <w:r>
        <w:rPr>
          <w:spacing w:val="-3"/>
          <w:sz w:val="21"/>
        </w:rPr>
        <w:t>using </w:t>
      </w:r>
      <w:r>
        <w:rPr>
          <w:sz w:val="21"/>
        </w:rPr>
        <w:t>independent tree assessors </w:t>
      </w:r>
      <w:r>
        <w:rPr>
          <w:spacing w:val="-3"/>
          <w:sz w:val="21"/>
        </w:rPr>
        <w:t>throughout</w:t>
      </w:r>
      <w:r>
        <w:rPr>
          <w:spacing w:val="8"/>
          <w:sz w:val="21"/>
        </w:rPr>
        <w:t> </w:t>
      </w:r>
      <w:r>
        <w:rPr>
          <w:sz w:val="21"/>
        </w:rPr>
        <w:t>Victoria.</w:t>
      </w:r>
    </w:p>
    <w:p>
      <w:pPr>
        <w:pStyle w:val="ListParagraph"/>
        <w:numPr>
          <w:ilvl w:val="0"/>
          <w:numId w:val="10"/>
        </w:numPr>
        <w:tabs>
          <w:tab w:pos="2154" w:val="left" w:leader="none"/>
          <w:tab w:pos="2155" w:val="left" w:leader="none"/>
        </w:tabs>
        <w:spacing w:line="242" w:lineRule="auto" w:before="127" w:after="0"/>
        <w:ind w:left="2154" w:right="1812" w:hanging="567"/>
        <w:jc w:val="left"/>
        <w:rPr>
          <w:sz w:val="21"/>
        </w:rPr>
      </w:pPr>
      <w:r>
        <w:rPr>
          <w:sz w:val="21"/>
        </w:rPr>
        <w:t>The Victorian </w:t>
      </w:r>
      <w:r>
        <w:rPr>
          <w:spacing w:val="-3"/>
          <w:sz w:val="21"/>
        </w:rPr>
        <w:t>Civil </w:t>
      </w:r>
      <w:r>
        <w:rPr>
          <w:sz w:val="21"/>
        </w:rPr>
        <w:t>and </w:t>
      </w:r>
      <w:r>
        <w:rPr>
          <w:spacing w:val="-3"/>
          <w:sz w:val="21"/>
        </w:rPr>
        <w:t>Administrative </w:t>
      </w:r>
      <w:r>
        <w:rPr>
          <w:spacing w:val="-5"/>
          <w:sz w:val="21"/>
        </w:rPr>
        <w:t>Tribunal </w:t>
      </w:r>
      <w:r>
        <w:rPr>
          <w:sz w:val="21"/>
        </w:rPr>
        <w:t>should conduct on-site final </w:t>
      </w:r>
      <w:r>
        <w:rPr>
          <w:spacing w:val="-3"/>
          <w:sz w:val="21"/>
        </w:rPr>
        <w:t>hearings </w:t>
      </w:r>
      <w:r>
        <w:rPr>
          <w:sz w:val="21"/>
        </w:rPr>
        <w:t>or on-  </w:t>
      </w:r>
      <w:r>
        <w:rPr>
          <w:spacing w:val="-3"/>
          <w:sz w:val="21"/>
        </w:rPr>
        <w:t>site </w:t>
      </w:r>
      <w:r>
        <w:rPr>
          <w:sz w:val="21"/>
        </w:rPr>
        <w:t>inspections </w:t>
      </w:r>
      <w:r>
        <w:rPr>
          <w:spacing w:val="-3"/>
          <w:sz w:val="21"/>
        </w:rPr>
        <w:t>for all </w:t>
      </w:r>
      <w:r>
        <w:rPr>
          <w:sz w:val="21"/>
        </w:rPr>
        <w:t>tree</w:t>
      </w:r>
      <w:r>
        <w:rPr>
          <w:spacing w:val="3"/>
          <w:sz w:val="21"/>
        </w:rPr>
        <w:t> </w:t>
      </w:r>
      <w:r>
        <w:rPr>
          <w:spacing w:val="-3"/>
          <w:sz w:val="21"/>
        </w:rPr>
        <w:t>disputes.</w:t>
      </w:r>
    </w:p>
    <w:p>
      <w:pPr>
        <w:pStyle w:val="BodyText"/>
        <w:spacing w:before="9"/>
      </w:pPr>
    </w:p>
    <w:p>
      <w:pPr>
        <w:pStyle w:val="Heading4"/>
      </w:pPr>
      <w:r>
        <w:rPr>
          <w:color w:val="658464"/>
          <w:w w:val="110"/>
        </w:rPr>
        <w:t>Chapter 8</w:t>
      </w:r>
    </w:p>
    <w:p>
      <w:pPr>
        <w:pStyle w:val="ListParagraph"/>
        <w:numPr>
          <w:ilvl w:val="0"/>
          <w:numId w:val="10"/>
        </w:numPr>
        <w:tabs>
          <w:tab w:pos="2154" w:val="left" w:leader="none"/>
          <w:tab w:pos="2155" w:val="left" w:leader="none"/>
        </w:tabs>
        <w:spacing w:line="242" w:lineRule="auto" w:before="155" w:after="0"/>
        <w:ind w:left="2154" w:right="2141" w:hanging="567"/>
        <w:jc w:val="left"/>
        <w:rPr>
          <w:sz w:val="21"/>
        </w:rPr>
      </w:pPr>
      <w:r>
        <w:rPr>
          <w:sz w:val="21"/>
        </w:rPr>
        <w:t>The Act should state </w:t>
      </w:r>
      <w:r>
        <w:rPr>
          <w:spacing w:val="-3"/>
          <w:sz w:val="21"/>
        </w:rPr>
        <w:t>that before determining </w:t>
      </w:r>
      <w:r>
        <w:rPr>
          <w:sz w:val="21"/>
        </w:rPr>
        <w:t>an application the Victorian </w:t>
      </w:r>
      <w:r>
        <w:rPr>
          <w:spacing w:val="-3"/>
          <w:sz w:val="21"/>
        </w:rPr>
        <w:t>Civil </w:t>
      </w:r>
      <w:r>
        <w:rPr>
          <w:sz w:val="21"/>
        </w:rPr>
        <w:t>and </w:t>
      </w:r>
      <w:r>
        <w:rPr>
          <w:spacing w:val="-3"/>
          <w:sz w:val="21"/>
        </w:rPr>
        <w:t>Administrative </w:t>
      </w:r>
      <w:r>
        <w:rPr>
          <w:spacing w:val="-5"/>
          <w:sz w:val="21"/>
        </w:rPr>
        <w:t>Tribunal </w:t>
      </w:r>
      <w:r>
        <w:rPr>
          <w:sz w:val="21"/>
        </w:rPr>
        <w:t>must </w:t>
      </w:r>
      <w:r>
        <w:rPr>
          <w:spacing w:val="-3"/>
          <w:sz w:val="21"/>
        </w:rPr>
        <w:t>consider </w:t>
      </w:r>
      <w:r>
        <w:rPr>
          <w:sz w:val="21"/>
        </w:rPr>
        <w:t>the </w:t>
      </w:r>
      <w:r>
        <w:rPr>
          <w:spacing w:val="-3"/>
          <w:sz w:val="21"/>
        </w:rPr>
        <w:t>following </w:t>
      </w:r>
      <w:r>
        <w:rPr>
          <w:sz w:val="21"/>
        </w:rPr>
        <w:t>matters </w:t>
      </w:r>
      <w:r>
        <w:rPr>
          <w:spacing w:val="-3"/>
          <w:sz w:val="21"/>
        </w:rPr>
        <w:t>to </w:t>
      </w:r>
      <w:r>
        <w:rPr>
          <w:sz w:val="21"/>
        </w:rPr>
        <w:t>the extent </w:t>
      </w:r>
      <w:r>
        <w:rPr>
          <w:spacing w:val="-3"/>
          <w:sz w:val="21"/>
        </w:rPr>
        <w:t>that </w:t>
      </w:r>
      <w:r>
        <w:rPr>
          <w:sz w:val="21"/>
        </w:rPr>
        <w:t>they </w:t>
      </w:r>
      <w:r>
        <w:rPr>
          <w:spacing w:val="-3"/>
          <w:sz w:val="21"/>
        </w:rPr>
        <w:t>are relevant to </w:t>
      </w:r>
      <w:r>
        <w:rPr>
          <w:sz w:val="21"/>
        </w:rPr>
        <w:t>an</w:t>
      </w:r>
      <w:r>
        <w:rPr>
          <w:spacing w:val="31"/>
          <w:sz w:val="21"/>
        </w:rPr>
        <w:t> </w:t>
      </w:r>
      <w:r>
        <w:rPr>
          <w:sz w:val="21"/>
        </w:rPr>
        <w:t>application:</w:t>
      </w:r>
    </w:p>
    <w:p>
      <w:pPr>
        <w:pStyle w:val="ListParagraph"/>
        <w:numPr>
          <w:ilvl w:val="1"/>
          <w:numId w:val="10"/>
        </w:numPr>
        <w:tabs>
          <w:tab w:pos="2721" w:val="left" w:leader="none"/>
          <w:tab w:pos="2722" w:val="left" w:leader="none"/>
        </w:tabs>
        <w:spacing w:line="242" w:lineRule="auto" w:before="123" w:after="0"/>
        <w:ind w:left="2721" w:right="1792" w:hanging="567"/>
        <w:jc w:val="left"/>
        <w:rPr>
          <w:sz w:val="21"/>
        </w:rPr>
      </w:pPr>
      <w:r>
        <w:rPr>
          <w:sz w:val="21"/>
        </w:rPr>
        <w:t>the location of the tree in </w:t>
      </w:r>
      <w:r>
        <w:rPr>
          <w:spacing w:val="-3"/>
          <w:sz w:val="21"/>
        </w:rPr>
        <w:t>relation to </w:t>
      </w:r>
      <w:r>
        <w:rPr>
          <w:sz w:val="21"/>
        </w:rPr>
        <w:t>the boundary of the </w:t>
      </w:r>
      <w:r>
        <w:rPr>
          <w:spacing w:val="-3"/>
          <w:sz w:val="21"/>
        </w:rPr>
        <w:t>land </w:t>
      </w:r>
      <w:r>
        <w:rPr>
          <w:sz w:val="21"/>
        </w:rPr>
        <w:t>and </w:t>
      </w:r>
      <w:r>
        <w:rPr>
          <w:spacing w:val="-3"/>
          <w:sz w:val="21"/>
        </w:rPr>
        <w:t>any </w:t>
      </w:r>
      <w:r>
        <w:rPr>
          <w:sz w:val="21"/>
        </w:rPr>
        <w:t>structures or </w:t>
      </w:r>
      <w:r>
        <w:rPr>
          <w:spacing w:val="-2"/>
          <w:sz w:val="21"/>
        </w:rPr>
        <w:t>premises</w:t>
      </w:r>
    </w:p>
    <w:p>
      <w:pPr>
        <w:pStyle w:val="ListParagraph"/>
        <w:numPr>
          <w:ilvl w:val="1"/>
          <w:numId w:val="10"/>
        </w:numPr>
        <w:tabs>
          <w:tab w:pos="2721" w:val="left" w:leader="none"/>
          <w:tab w:pos="2722" w:val="left" w:leader="none"/>
        </w:tabs>
        <w:spacing w:line="240" w:lineRule="auto" w:before="122" w:after="0"/>
        <w:ind w:left="2721" w:right="0" w:hanging="567"/>
        <w:jc w:val="left"/>
        <w:rPr>
          <w:sz w:val="21"/>
        </w:rPr>
      </w:pPr>
      <w:r>
        <w:rPr>
          <w:sz w:val="21"/>
        </w:rPr>
        <w:t>the</w:t>
      </w:r>
      <w:r>
        <w:rPr>
          <w:spacing w:val="9"/>
          <w:sz w:val="21"/>
        </w:rPr>
        <w:t> </w:t>
      </w:r>
      <w:r>
        <w:rPr>
          <w:spacing w:val="-3"/>
          <w:sz w:val="21"/>
        </w:rPr>
        <w:t>condition</w:t>
      </w:r>
      <w:r>
        <w:rPr>
          <w:spacing w:val="9"/>
          <w:sz w:val="21"/>
        </w:rPr>
        <w:t> </w:t>
      </w:r>
      <w:r>
        <w:rPr>
          <w:sz w:val="21"/>
        </w:rPr>
        <w:t>of</w:t>
      </w:r>
      <w:r>
        <w:rPr>
          <w:spacing w:val="9"/>
          <w:sz w:val="21"/>
        </w:rPr>
        <w:t> </w:t>
      </w:r>
      <w:r>
        <w:rPr>
          <w:sz w:val="21"/>
        </w:rPr>
        <w:t>the</w:t>
      </w:r>
      <w:r>
        <w:rPr>
          <w:spacing w:val="9"/>
          <w:sz w:val="21"/>
        </w:rPr>
        <w:t> </w:t>
      </w:r>
      <w:r>
        <w:rPr>
          <w:sz w:val="21"/>
        </w:rPr>
        <w:t>tree</w:t>
      </w:r>
      <w:r>
        <w:rPr>
          <w:spacing w:val="9"/>
          <w:sz w:val="21"/>
        </w:rPr>
        <w:t> </w:t>
      </w:r>
      <w:r>
        <w:rPr>
          <w:sz w:val="21"/>
        </w:rPr>
        <w:t>in</w:t>
      </w:r>
      <w:r>
        <w:rPr>
          <w:spacing w:val="9"/>
          <w:sz w:val="21"/>
        </w:rPr>
        <w:t> </w:t>
      </w:r>
      <w:r>
        <w:rPr>
          <w:sz w:val="21"/>
        </w:rPr>
        <w:t>respect</w:t>
      </w:r>
      <w:r>
        <w:rPr>
          <w:spacing w:val="10"/>
          <w:sz w:val="21"/>
        </w:rPr>
        <w:t> </w:t>
      </w:r>
      <w:r>
        <w:rPr>
          <w:sz w:val="21"/>
        </w:rPr>
        <w:t>of</w:t>
      </w:r>
      <w:r>
        <w:rPr>
          <w:spacing w:val="9"/>
          <w:sz w:val="21"/>
        </w:rPr>
        <w:t> </w:t>
      </w:r>
      <w:r>
        <w:rPr>
          <w:sz w:val="21"/>
        </w:rPr>
        <w:t>its</w:t>
      </w:r>
      <w:r>
        <w:rPr>
          <w:spacing w:val="9"/>
          <w:sz w:val="21"/>
        </w:rPr>
        <w:t> </w:t>
      </w:r>
      <w:r>
        <w:rPr>
          <w:spacing w:val="-3"/>
          <w:sz w:val="21"/>
        </w:rPr>
        <w:t>health</w:t>
      </w:r>
      <w:r>
        <w:rPr>
          <w:spacing w:val="9"/>
          <w:sz w:val="21"/>
        </w:rPr>
        <w:t> </w:t>
      </w:r>
      <w:r>
        <w:rPr>
          <w:sz w:val="21"/>
        </w:rPr>
        <w:t>and</w:t>
      </w:r>
      <w:r>
        <w:rPr>
          <w:spacing w:val="9"/>
          <w:sz w:val="21"/>
        </w:rPr>
        <w:t> </w:t>
      </w:r>
      <w:r>
        <w:rPr>
          <w:sz w:val="21"/>
        </w:rPr>
        <w:t>structural</w:t>
      </w:r>
      <w:r>
        <w:rPr>
          <w:spacing w:val="9"/>
          <w:sz w:val="21"/>
        </w:rPr>
        <w:t> </w:t>
      </w:r>
      <w:r>
        <w:rPr>
          <w:sz w:val="21"/>
        </w:rPr>
        <w:t>integrity</w:t>
      </w:r>
    </w:p>
    <w:p>
      <w:pPr>
        <w:pStyle w:val="ListParagraph"/>
        <w:numPr>
          <w:ilvl w:val="1"/>
          <w:numId w:val="10"/>
        </w:numPr>
        <w:tabs>
          <w:tab w:pos="2720" w:val="left" w:leader="none"/>
          <w:tab w:pos="2721" w:val="left" w:leader="none"/>
        </w:tabs>
        <w:spacing w:line="242" w:lineRule="auto" w:before="124" w:after="0"/>
        <w:ind w:left="2720" w:right="1926" w:hanging="566"/>
        <w:jc w:val="left"/>
        <w:rPr>
          <w:sz w:val="21"/>
        </w:rPr>
      </w:pPr>
      <w:r>
        <w:rPr>
          <w:sz w:val="21"/>
        </w:rPr>
        <w:t>whether works </w:t>
      </w:r>
      <w:r>
        <w:rPr>
          <w:spacing w:val="-3"/>
          <w:sz w:val="21"/>
        </w:rPr>
        <w:t>to </w:t>
      </w:r>
      <w:r>
        <w:rPr>
          <w:sz w:val="21"/>
        </w:rPr>
        <w:t>the tree would </w:t>
      </w:r>
      <w:r>
        <w:rPr>
          <w:spacing w:val="-3"/>
          <w:sz w:val="21"/>
        </w:rPr>
        <w:t>require any consent </w:t>
      </w:r>
      <w:r>
        <w:rPr>
          <w:sz w:val="21"/>
        </w:rPr>
        <w:t>or authorisation under other Acts or laws </w:t>
      </w:r>
      <w:r>
        <w:rPr>
          <w:spacing w:val="-3"/>
          <w:sz w:val="21"/>
        </w:rPr>
        <w:t>and, </w:t>
      </w:r>
      <w:r>
        <w:rPr>
          <w:sz w:val="21"/>
        </w:rPr>
        <w:t>if </w:t>
      </w:r>
      <w:r>
        <w:rPr>
          <w:spacing w:val="-3"/>
          <w:sz w:val="21"/>
        </w:rPr>
        <w:t>so, </w:t>
      </w:r>
      <w:r>
        <w:rPr>
          <w:sz w:val="21"/>
        </w:rPr>
        <w:t>whether the </w:t>
      </w:r>
      <w:r>
        <w:rPr>
          <w:spacing w:val="-3"/>
          <w:sz w:val="21"/>
        </w:rPr>
        <w:t>consent </w:t>
      </w:r>
      <w:r>
        <w:rPr>
          <w:sz w:val="21"/>
        </w:rPr>
        <w:t>or authorisation </w:t>
      </w:r>
      <w:r>
        <w:rPr>
          <w:spacing w:val="-2"/>
          <w:sz w:val="21"/>
        </w:rPr>
        <w:t>has </w:t>
      </w:r>
      <w:r>
        <w:rPr>
          <w:sz w:val="21"/>
        </w:rPr>
        <w:t>been</w:t>
      </w:r>
      <w:r>
        <w:rPr>
          <w:spacing w:val="5"/>
          <w:sz w:val="21"/>
        </w:rPr>
        <w:t> </w:t>
      </w:r>
      <w:r>
        <w:rPr>
          <w:sz w:val="21"/>
        </w:rPr>
        <w:t>obtained</w:t>
      </w:r>
    </w:p>
    <w:p>
      <w:pPr>
        <w:pStyle w:val="ListParagraph"/>
        <w:numPr>
          <w:ilvl w:val="1"/>
          <w:numId w:val="10"/>
        </w:numPr>
        <w:tabs>
          <w:tab w:pos="2720" w:val="left" w:leader="none"/>
          <w:tab w:pos="2721" w:val="left" w:leader="none"/>
        </w:tabs>
        <w:spacing w:line="242" w:lineRule="auto" w:before="122" w:after="0"/>
        <w:ind w:left="2720" w:right="1587" w:hanging="567"/>
        <w:jc w:val="left"/>
        <w:rPr>
          <w:sz w:val="21"/>
        </w:rPr>
      </w:pPr>
      <w:r>
        <w:rPr>
          <w:w w:val="105"/>
          <w:sz w:val="21"/>
        </w:rPr>
        <w:t>the</w:t>
      </w:r>
      <w:r>
        <w:rPr>
          <w:spacing w:val="-4"/>
          <w:w w:val="105"/>
          <w:sz w:val="21"/>
        </w:rPr>
        <w:t> </w:t>
      </w:r>
      <w:r>
        <w:rPr>
          <w:spacing w:val="-3"/>
          <w:w w:val="105"/>
          <w:sz w:val="21"/>
        </w:rPr>
        <w:t>provisions</w:t>
      </w:r>
      <w:r>
        <w:rPr>
          <w:spacing w:val="-4"/>
          <w:w w:val="105"/>
          <w:sz w:val="21"/>
        </w:rPr>
        <w:t> </w:t>
      </w:r>
      <w:r>
        <w:rPr>
          <w:w w:val="105"/>
          <w:sz w:val="21"/>
        </w:rPr>
        <w:t>of</w:t>
      </w:r>
      <w:r>
        <w:rPr>
          <w:spacing w:val="-4"/>
          <w:w w:val="105"/>
          <w:sz w:val="21"/>
        </w:rPr>
        <w:t> </w:t>
      </w:r>
      <w:r>
        <w:rPr>
          <w:w w:val="105"/>
          <w:sz w:val="21"/>
        </w:rPr>
        <w:t>the</w:t>
      </w:r>
      <w:r>
        <w:rPr>
          <w:spacing w:val="-3"/>
          <w:w w:val="105"/>
          <w:sz w:val="21"/>
        </w:rPr>
        <w:t> planning</w:t>
      </w:r>
      <w:r>
        <w:rPr>
          <w:spacing w:val="-4"/>
          <w:w w:val="105"/>
          <w:sz w:val="21"/>
        </w:rPr>
        <w:t> </w:t>
      </w:r>
      <w:r>
        <w:rPr>
          <w:w w:val="105"/>
          <w:sz w:val="21"/>
        </w:rPr>
        <w:t>scheme</w:t>
      </w:r>
      <w:r>
        <w:rPr>
          <w:spacing w:val="-4"/>
          <w:w w:val="105"/>
          <w:sz w:val="21"/>
        </w:rPr>
        <w:t> </w:t>
      </w:r>
      <w:r>
        <w:rPr>
          <w:w w:val="105"/>
          <w:sz w:val="21"/>
        </w:rPr>
        <w:t>which</w:t>
      </w:r>
      <w:r>
        <w:rPr>
          <w:spacing w:val="-4"/>
          <w:w w:val="105"/>
          <w:sz w:val="21"/>
        </w:rPr>
        <w:t> </w:t>
      </w:r>
      <w:r>
        <w:rPr>
          <w:w w:val="105"/>
          <w:sz w:val="21"/>
        </w:rPr>
        <w:t>apply</w:t>
      </w:r>
      <w:r>
        <w:rPr>
          <w:spacing w:val="-3"/>
          <w:w w:val="105"/>
          <w:sz w:val="21"/>
        </w:rPr>
        <w:t> to</w:t>
      </w:r>
      <w:r>
        <w:rPr>
          <w:spacing w:val="-4"/>
          <w:w w:val="105"/>
          <w:sz w:val="21"/>
        </w:rPr>
        <w:t> </w:t>
      </w:r>
      <w:r>
        <w:rPr>
          <w:w w:val="105"/>
          <w:sz w:val="21"/>
        </w:rPr>
        <w:t>the</w:t>
      </w:r>
      <w:r>
        <w:rPr>
          <w:spacing w:val="-4"/>
          <w:w w:val="105"/>
          <w:sz w:val="21"/>
        </w:rPr>
        <w:t> </w:t>
      </w:r>
      <w:r>
        <w:rPr>
          <w:spacing w:val="-3"/>
          <w:w w:val="105"/>
          <w:sz w:val="21"/>
        </w:rPr>
        <w:t>land</w:t>
      </w:r>
      <w:r>
        <w:rPr>
          <w:spacing w:val="-4"/>
          <w:w w:val="105"/>
          <w:sz w:val="21"/>
        </w:rPr>
        <w:t> </w:t>
      </w:r>
      <w:r>
        <w:rPr>
          <w:w w:val="105"/>
          <w:sz w:val="21"/>
        </w:rPr>
        <w:t>under</w:t>
      </w:r>
      <w:r>
        <w:rPr>
          <w:spacing w:val="-3"/>
          <w:w w:val="105"/>
          <w:sz w:val="21"/>
        </w:rPr>
        <w:t> </w:t>
      </w:r>
      <w:r>
        <w:rPr>
          <w:w w:val="105"/>
          <w:sz w:val="21"/>
        </w:rPr>
        <w:t>the</w:t>
      </w:r>
      <w:r>
        <w:rPr>
          <w:spacing w:val="-4"/>
          <w:w w:val="105"/>
          <w:sz w:val="21"/>
        </w:rPr>
        <w:t> </w:t>
      </w:r>
      <w:r>
        <w:rPr>
          <w:i/>
          <w:spacing w:val="-3"/>
          <w:w w:val="105"/>
          <w:sz w:val="21"/>
        </w:rPr>
        <w:t>Planning</w:t>
      </w:r>
      <w:r>
        <w:rPr>
          <w:i/>
          <w:spacing w:val="-4"/>
          <w:w w:val="105"/>
          <w:sz w:val="21"/>
        </w:rPr>
        <w:t> </w:t>
      </w:r>
      <w:r>
        <w:rPr>
          <w:i/>
          <w:w w:val="105"/>
          <w:sz w:val="21"/>
        </w:rPr>
        <w:t>and </w:t>
      </w:r>
      <w:r>
        <w:rPr>
          <w:i/>
          <w:spacing w:val="-3"/>
          <w:w w:val="105"/>
          <w:sz w:val="21"/>
        </w:rPr>
        <w:t>Environment </w:t>
      </w:r>
      <w:r>
        <w:rPr>
          <w:i/>
          <w:w w:val="105"/>
          <w:sz w:val="21"/>
        </w:rPr>
        <w:t>Act </w:t>
      </w:r>
      <w:r>
        <w:rPr>
          <w:i/>
          <w:spacing w:val="-6"/>
          <w:w w:val="105"/>
          <w:sz w:val="21"/>
        </w:rPr>
        <w:t>1987 </w:t>
      </w:r>
      <w:r>
        <w:rPr>
          <w:w w:val="105"/>
          <w:sz w:val="21"/>
        </w:rPr>
        <w:t>(Vic) </w:t>
      </w:r>
      <w:r>
        <w:rPr>
          <w:spacing w:val="-3"/>
          <w:w w:val="105"/>
          <w:sz w:val="21"/>
        </w:rPr>
        <w:t>including relevant </w:t>
      </w:r>
      <w:r>
        <w:rPr>
          <w:w w:val="105"/>
          <w:sz w:val="21"/>
        </w:rPr>
        <w:t>zones and </w:t>
      </w:r>
      <w:r>
        <w:rPr>
          <w:spacing w:val="-3"/>
          <w:w w:val="105"/>
          <w:sz w:val="21"/>
        </w:rPr>
        <w:t>overlays </w:t>
      </w:r>
      <w:r>
        <w:rPr>
          <w:w w:val="105"/>
          <w:sz w:val="21"/>
        </w:rPr>
        <w:t>and the </w:t>
      </w:r>
      <w:r>
        <w:rPr>
          <w:spacing w:val="-3"/>
          <w:w w:val="105"/>
          <w:sz w:val="21"/>
        </w:rPr>
        <w:t>provisions  </w:t>
      </w:r>
      <w:r>
        <w:rPr>
          <w:w w:val="105"/>
          <w:sz w:val="21"/>
        </w:rPr>
        <w:t>of other </w:t>
      </w:r>
      <w:r>
        <w:rPr>
          <w:spacing w:val="-3"/>
          <w:w w:val="105"/>
          <w:sz w:val="21"/>
        </w:rPr>
        <w:t>relevant </w:t>
      </w:r>
      <w:r>
        <w:rPr>
          <w:w w:val="105"/>
          <w:sz w:val="21"/>
        </w:rPr>
        <w:t>Acts or laws </w:t>
      </w:r>
      <w:r>
        <w:rPr>
          <w:spacing w:val="-3"/>
          <w:w w:val="105"/>
          <w:sz w:val="21"/>
        </w:rPr>
        <w:t>that </w:t>
      </w:r>
      <w:r>
        <w:rPr>
          <w:w w:val="105"/>
          <w:sz w:val="21"/>
        </w:rPr>
        <w:t>apply </w:t>
      </w:r>
      <w:r>
        <w:rPr>
          <w:spacing w:val="-3"/>
          <w:w w:val="105"/>
          <w:sz w:val="21"/>
        </w:rPr>
        <w:t>to </w:t>
      </w:r>
      <w:r>
        <w:rPr>
          <w:w w:val="105"/>
          <w:sz w:val="21"/>
        </w:rPr>
        <w:t>the </w:t>
      </w:r>
      <w:r>
        <w:rPr>
          <w:spacing w:val="-3"/>
          <w:w w:val="105"/>
          <w:sz w:val="21"/>
        </w:rPr>
        <w:t>land </w:t>
      </w:r>
      <w:r>
        <w:rPr>
          <w:w w:val="105"/>
          <w:sz w:val="21"/>
        </w:rPr>
        <w:t>or tree</w:t>
      </w:r>
    </w:p>
    <w:p>
      <w:pPr>
        <w:pStyle w:val="ListParagraph"/>
        <w:numPr>
          <w:ilvl w:val="1"/>
          <w:numId w:val="10"/>
        </w:numPr>
        <w:tabs>
          <w:tab w:pos="2720" w:val="left" w:leader="none"/>
          <w:tab w:pos="2721" w:val="left" w:leader="none"/>
        </w:tabs>
        <w:spacing w:line="242" w:lineRule="auto" w:before="124" w:after="0"/>
        <w:ind w:left="2720" w:right="1866" w:hanging="567"/>
        <w:jc w:val="left"/>
        <w:rPr>
          <w:sz w:val="21"/>
        </w:rPr>
      </w:pPr>
      <w:r>
        <w:rPr>
          <w:w w:val="105"/>
          <w:sz w:val="21"/>
        </w:rPr>
        <w:t>the</w:t>
      </w:r>
      <w:r>
        <w:rPr>
          <w:spacing w:val="-4"/>
          <w:w w:val="105"/>
          <w:sz w:val="21"/>
        </w:rPr>
        <w:t> </w:t>
      </w:r>
      <w:r>
        <w:rPr>
          <w:w w:val="105"/>
          <w:sz w:val="21"/>
        </w:rPr>
        <w:t>impact</w:t>
      </w:r>
      <w:r>
        <w:rPr>
          <w:spacing w:val="-4"/>
          <w:w w:val="105"/>
          <w:sz w:val="21"/>
        </w:rPr>
        <w:t> </w:t>
      </w:r>
      <w:r>
        <w:rPr>
          <w:spacing w:val="-3"/>
          <w:w w:val="105"/>
          <w:sz w:val="21"/>
        </w:rPr>
        <w:t>any</w:t>
      </w:r>
      <w:r>
        <w:rPr>
          <w:spacing w:val="-4"/>
          <w:w w:val="105"/>
          <w:sz w:val="21"/>
        </w:rPr>
        <w:t> </w:t>
      </w:r>
      <w:r>
        <w:rPr>
          <w:spacing w:val="-3"/>
          <w:w w:val="105"/>
          <w:sz w:val="21"/>
        </w:rPr>
        <w:t>pruning,</w:t>
      </w:r>
      <w:r>
        <w:rPr>
          <w:spacing w:val="-4"/>
          <w:w w:val="105"/>
          <w:sz w:val="21"/>
        </w:rPr>
        <w:t> </w:t>
      </w:r>
      <w:r>
        <w:rPr>
          <w:spacing w:val="-3"/>
          <w:w w:val="105"/>
          <w:sz w:val="21"/>
        </w:rPr>
        <w:t>including</w:t>
      </w:r>
      <w:r>
        <w:rPr>
          <w:spacing w:val="-4"/>
          <w:w w:val="105"/>
          <w:sz w:val="21"/>
        </w:rPr>
        <w:t> </w:t>
      </w:r>
      <w:r>
        <w:rPr>
          <w:w w:val="105"/>
          <w:sz w:val="21"/>
        </w:rPr>
        <w:t>the</w:t>
      </w:r>
      <w:r>
        <w:rPr>
          <w:spacing w:val="-3"/>
          <w:w w:val="105"/>
          <w:sz w:val="21"/>
        </w:rPr>
        <w:t> </w:t>
      </w:r>
      <w:r>
        <w:rPr>
          <w:w w:val="105"/>
          <w:sz w:val="21"/>
        </w:rPr>
        <w:t>impact</w:t>
      </w:r>
      <w:r>
        <w:rPr>
          <w:spacing w:val="-4"/>
          <w:w w:val="105"/>
          <w:sz w:val="21"/>
        </w:rPr>
        <w:t> </w:t>
      </w:r>
      <w:r>
        <w:rPr>
          <w:w w:val="105"/>
          <w:sz w:val="21"/>
        </w:rPr>
        <w:t>of</w:t>
      </w:r>
      <w:r>
        <w:rPr>
          <w:spacing w:val="-4"/>
          <w:w w:val="105"/>
          <w:sz w:val="21"/>
        </w:rPr>
        <w:t> </w:t>
      </w:r>
      <w:r>
        <w:rPr>
          <w:spacing w:val="-3"/>
          <w:w w:val="105"/>
          <w:sz w:val="21"/>
        </w:rPr>
        <w:t>maintaining</w:t>
      </w:r>
      <w:r>
        <w:rPr>
          <w:spacing w:val="-4"/>
          <w:w w:val="105"/>
          <w:sz w:val="21"/>
        </w:rPr>
        <w:t> </w:t>
      </w:r>
      <w:r>
        <w:rPr>
          <w:w w:val="105"/>
          <w:sz w:val="21"/>
        </w:rPr>
        <w:t>the</w:t>
      </w:r>
      <w:r>
        <w:rPr>
          <w:spacing w:val="-4"/>
          <w:w w:val="105"/>
          <w:sz w:val="21"/>
        </w:rPr>
        <w:t> </w:t>
      </w:r>
      <w:r>
        <w:rPr>
          <w:w w:val="105"/>
          <w:sz w:val="21"/>
        </w:rPr>
        <w:t>tree</w:t>
      </w:r>
      <w:r>
        <w:rPr>
          <w:spacing w:val="-3"/>
          <w:w w:val="105"/>
          <w:sz w:val="21"/>
        </w:rPr>
        <w:t> </w:t>
      </w:r>
      <w:r>
        <w:rPr>
          <w:w w:val="105"/>
          <w:sz w:val="21"/>
        </w:rPr>
        <w:t>at</w:t>
      </w:r>
      <w:r>
        <w:rPr>
          <w:spacing w:val="-4"/>
          <w:w w:val="105"/>
          <w:sz w:val="21"/>
        </w:rPr>
        <w:t> </w:t>
      </w:r>
      <w:r>
        <w:rPr>
          <w:w w:val="105"/>
          <w:sz w:val="21"/>
        </w:rPr>
        <w:t>a</w:t>
      </w:r>
      <w:r>
        <w:rPr>
          <w:spacing w:val="-4"/>
          <w:w w:val="105"/>
          <w:sz w:val="21"/>
        </w:rPr>
        <w:t> </w:t>
      </w:r>
      <w:r>
        <w:rPr>
          <w:w w:val="105"/>
          <w:sz w:val="21"/>
        </w:rPr>
        <w:t>particular </w:t>
      </w:r>
      <w:r>
        <w:rPr>
          <w:spacing w:val="-3"/>
          <w:w w:val="105"/>
          <w:sz w:val="21"/>
        </w:rPr>
        <w:t>height, </w:t>
      </w:r>
      <w:r>
        <w:rPr>
          <w:w w:val="105"/>
          <w:sz w:val="21"/>
        </w:rPr>
        <w:t>width or </w:t>
      </w:r>
      <w:r>
        <w:rPr>
          <w:spacing w:val="-3"/>
          <w:w w:val="105"/>
          <w:sz w:val="21"/>
        </w:rPr>
        <w:t>shape, </w:t>
      </w:r>
      <w:r>
        <w:rPr>
          <w:w w:val="105"/>
          <w:sz w:val="21"/>
        </w:rPr>
        <w:t>would </w:t>
      </w:r>
      <w:r>
        <w:rPr>
          <w:spacing w:val="-3"/>
          <w:w w:val="105"/>
          <w:sz w:val="21"/>
        </w:rPr>
        <w:t>have </w:t>
      </w:r>
      <w:r>
        <w:rPr>
          <w:w w:val="105"/>
          <w:sz w:val="21"/>
        </w:rPr>
        <w:t>on the</w:t>
      </w:r>
      <w:r>
        <w:rPr>
          <w:spacing w:val="46"/>
          <w:w w:val="105"/>
          <w:sz w:val="21"/>
        </w:rPr>
        <w:t> </w:t>
      </w:r>
      <w:r>
        <w:rPr>
          <w:w w:val="105"/>
          <w:sz w:val="21"/>
        </w:rPr>
        <w:t>tree</w:t>
      </w:r>
    </w:p>
    <w:p>
      <w:pPr>
        <w:pStyle w:val="ListParagraph"/>
        <w:numPr>
          <w:ilvl w:val="1"/>
          <w:numId w:val="10"/>
        </w:numPr>
        <w:tabs>
          <w:tab w:pos="2720" w:val="left" w:leader="none"/>
          <w:tab w:pos="2721" w:val="left" w:leader="none"/>
        </w:tabs>
        <w:spacing w:line="240" w:lineRule="auto" w:before="122" w:after="0"/>
        <w:ind w:left="2720" w:right="0" w:hanging="567"/>
        <w:jc w:val="left"/>
        <w:rPr>
          <w:sz w:val="21"/>
        </w:rPr>
      </w:pPr>
      <w:r>
        <w:rPr>
          <w:spacing w:val="-3"/>
          <w:sz w:val="21"/>
        </w:rPr>
        <w:t>any contribution </w:t>
      </w:r>
      <w:r>
        <w:rPr>
          <w:sz w:val="21"/>
        </w:rPr>
        <w:t>the tree </w:t>
      </w:r>
      <w:r>
        <w:rPr>
          <w:spacing w:val="-3"/>
          <w:sz w:val="21"/>
        </w:rPr>
        <w:t>makes</w:t>
      </w:r>
      <w:r>
        <w:rPr>
          <w:spacing w:val="4"/>
          <w:sz w:val="21"/>
        </w:rPr>
        <w:t> </w:t>
      </w:r>
      <w:r>
        <w:rPr>
          <w:sz w:val="21"/>
        </w:rPr>
        <w:t>to:</w:t>
      </w:r>
    </w:p>
    <w:p>
      <w:pPr>
        <w:pStyle w:val="ListParagraph"/>
        <w:numPr>
          <w:ilvl w:val="2"/>
          <w:numId w:val="10"/>
        </w:numPr>
        <w:tabs>
          <w:tab w:pos="3287" w:val="left" w:leader="none"/>
          <w:tab w:pos="3288" w:val="left" w:leader="none"/>
        </w:tabs>
        <w:spacing w:line="242" w:lineRule="auto" w:before="124" w:after="0"/>
        <w:ind w:left="3287" w:right="1666" w:hanging="567"/>
        <w:jc w:val="left"/>
        <w:rPr>
          <w:sz w:val="21"/>
        </w:rPr>
      </w:pPr>
      <w:r>
        <w:rPr>
          <w:w w:val="105"/>
          <w:sz w:val="21"/>
        </w:rPr>
        <w:t>the amenity of </w:t>
      </w:r>
      <w:r>
        <w:rPr>
          <w:spacing w:val="-3"/>
          <w:w w:val="105"/>
          <w:sz w:val="21"/>
        </w:rPr>
        <w:t>land </w:t>
      </w:r>
      <w:r>
        <w:rPr>
          <w:w w:val="105"/>
          <w:sz w:val="21"/>
        </w:rPr>
        <w:t>on which it is </w:t>
      </w:r>
      <w:r>
        <w:rPr>
          <w:spacing w:val="-3"/>
          <w:w w:val="105"/>
          <w:sz w:val="21"/>
        </w:rPr>
        <w:t>situated, including </w:t>
      </w:r>
      <w:r>
        <w:rPr>
          <w:w w:val="105"/>
          <w:sz w:val="21"/>
        </w:rPr>
        <w:t>its </w:t>
      </w:r>
      <w:r>
        <w:rPr>
          <w:spacing w:val="-3"/>
          <w:w w:val="105"/>
          <w:sz w:val="21"/>
        </w:rPr>
        <w:t>contribution to privacy, landscaping, </w:t>
      </w:r>
      <w:r>
        <w:rPr>
          <w:w w:val="105"/>
          <w:sz w:val="21"/>
        </w:rPr>
        <w:t>garden design or protection </w:t>
      </w:r>
      <w:r>
        <w:rPr>
          <w:spacing w:val="-3"/>
          <w:w w:val="105"/>
          <w:sz w:val="21"/>
        </w:rPr>
        <w:t>from sun, wind, noise, </w:t>
      </w:r>
      <w:r>
        <w:rPr>
          <w:w w:val="105"/>
          <w:sz w:val="21"/>
        </w:rPr>
        <w:t>odour or </w:t>
      </w:r>
      <w:r>
        <w:rPr>
          <w:spacing w:val="-5"/>
          <w:w w:val="105"/>
          <w:sz w:val="21"/>
        </w:rPr>
        <w:t>smoke</w:t>
      </w:r>
    </w:p>
    <w:p>
      <w:pPr>
        <w:pStyle w:val="ListParagraph"/>
        <w:numPr>
          <w:ilvl w:val="2"/>
          <w:numId w:val="10"/>
        </w:numPr>
        <w:tabs>
          <w:tab w:pos="3287" w:val="left" w:leader="none"/>
          <w:tab w:pos="3288" w:val="left" w:leader="none"/>
        </w:tabs>
        <w:spacing w:line="240" w:lineRule="auto" w:before="123" w:after="0"/>
        <w:ind w:left="3287" w:right="0" w:hanging="567"/>
        <w:jc w:val="left"/>
        <w:rPr>
          <w:sz w:val="21"/>
        </w:rPr>
      </w:pPr>
      <w:r>
        <w:rPr>
          <w:sz w:val="21"/>
        </w:rPr>
        <w:t>the local ecosystem and</w:t>
      </w:r>
      <w:r>
        <w:rPr>
          <w:spacing w:val="32"/>
          <w:sz w:val="21"/>
        </w:rPr>
        <w:t> </w:t>
      </w:r>
      <w:r>
        <w:rPr>
          <w:sz w:val="21"/>
        </w:rPr>
        <w:t>biodiversity</w:t>
      </w:r>
    </w:p>
    <w:p>
      <w:pPr>
        <w:pStyle w:val="ListParagraph"/>
        <w:numPr>
          <w:ilvl w:val="2"/>
          <w:numId w:val="10"/>
        </w:numPr>
        <w:tabs>
          <w:tab w:pos="3287" w:val="left" w:leader="none"/>
          <w:tab w:pos="3288" w:val="left" w:leader="none"/>
        </w:tabs>
        <w:spacing w:line="240" w:lineRule="auto" w:before="124" w:after="0"/>
        <w:ind w:left="3287" w:right="0" w:hanging="567"/>
        <w:jc w:val="left"/>
        <w:rPr>
          <w:sz w:val="21"/>
        </w:rPr>
      </w:pPr>
      <w:r>
        <w:rPr>
          <w:w w:val="105"/>
          <w:sz w:val="21"/>
        </w:rPr>
        <w:t>the </w:t>
      </w:r>
      <w:r>
        <w:rPr>
          <w:spacing w:val="-3"/>
          <w:w w:val="105"/>
          <w:sz w:val="21"/>
        </w:rPr>
        <w:t>natural </w:t>
      </w:r>
      <w:r>
        <w:rPr>
          <w:w w:val="105"/>
          <w:sz w:val="21"/>
        </w:rPr>
        <w:t>landscape and scenic </w:t>
      </w:r>
      <w:r>
        <w:rPr>
          <w:spacing w:val="-3"/>
          <w:w w:val="105"/>
          <w:sz w:val="21"/>
        </w:rPr>
        <w:t>value </w:t>
      </w:r>
      <w:r>
        <w:rPr>
          <w:w w:val="105"/>
          <w:sz w:val="21"/>
        </w:rPr>
        <w:t>of the</w:t>
      </w:r>
      <w:r>
        <w:rPr>
          <w:spacing w:val="40"/>
          <w:w w:val="105"/>
          <w:sz w:val="21"/>
        </w:rPr>
        <w:t> </w:t>
      </w:r>
      <w:r>
        <w:rPr>
          <w:spacing w:val="-3"/>
          <w:w w:val="105"/>
          <w:sz w:val="21"/>
        </w:rPr>
        <w:t>land</w:t>
      </w:r>
    </w:p>
    <w:p>
      <w:pPr>
        <w:pStyle w:val="ListParagraph"/>
        <w:numPr>
          <w:ilvl w:val="1"/>
          <w:numId w:val="10"/>
        </w:numPr>
        <w:tabs>
          <w:tab w:pos="2721" w:val="left" w:leader="none"/>
          <w:tab w:pos="2722" w:val="left" w:leader="none"/>
        </w:tabs>
        <w:spacing w:line="242" w:lineRule="auto" w:before="123" w:after="0"/>
        <w:ind w:left="2721" w:right="1927" w:hanging="567"/>
        <w:jc w:val="left"/>
        <w:rPr>
          <w:i/>
          <w:sz w:val="21"/>
        </w:rPr>
      </w:pPr>
      <w:r>
        <w:rPr>
          <w:sz w:val="21"/>
        </w:rPr>
        <w:t>whether the tree </w:t>
      </w:r>
      <w:r>
        <w:rPr>
          <w:spacing w:val="-2"/>
          <w:sz w:val="21"/>
        </w:rPr>
        <w:t>has  </w:t>
      </w:r>
      <w:r>
        <w:rPr>
          <w:spacing w:val="-3"/>
          <w:sz w:val="21"/>
        </w:rPr>
        <w:t>any  historical,  </w:t>
      </w:r>
      <w:r>
        <w:rPr>
          <w:spacing w:val="-4"/>
          <w:sz w:val="21"/>
        </w:rPr>
        <w:t>cultural,  </w:t>
      </w:r>
      <w:r>
        <w:rPr>
          <w:sz w:val="21"/>
        </w:rPr>
        <w:t>social or scientific </w:t>
      </w:r>
      <w:r>
        <w:rPr>
          <w:spacing w:val="-4"/>
          <w:sz w:val="21"/>
        </w:rPr>
        <w:t>value.  </w:t>
      </w:r>
      <w:r>
        <w:rPr>
          <w:sz w:val="21"/>
        </w:rPr>
        <w:t>This </w:t>
      </w:r>
      <w:r>
        <w:rPr>
          <w:spacing w:val="-3"/>
          <w:sz w:val="21"/>
        </w:rPr>
        <w:t>includes  </w:t>
      </w:r>
      <w:r>
        <w:rPr>
          <w:sz w:val="21"/>
        </w:rPr>
        <w:t>a</w:t>
      </w:r>
      <w:r>
        <w:rPr>
          <w:spacing w:val="20"/>
          <w:sz w:val="21"/>
        </w:rPr>
        <w:t> </w:t>
      </w:r>
      <w:r>
        <w:rPr>
          <w:sz w:val="21"/>
        </w:rPr>
        <w:t>tree</w:t>
      </w:r>
      <w:r>
        <w:rPr>
          <w:spacing w:val="21"/>
          <w:sz w:val="21"/>
        </w:rPr>
        <w:t> </w:t>
      </w:r>
      <w:r>
        <w:rPr>
          <w:spacing w:val="-3"/>
          <w:sz w:val="21"/>
        </w:rPr>
        <w:t>that</w:t>
      </w:r>
      <w:r>
        <w:rPr>
          <w:spacing w:val="20"/>
          <w:sz w:val="21"/>
        </w:rPr>
        <w:t> </w:t>
      </w:r>
      <w:r>
        <w:rPr>
          <w:sz w:val="21"/>
        </w:rPr>
        <w:t>is</w:t>
      </w:r>
      <w:r>
        <w:rPr>
          <w:spacing w:val="21"/>
          <w:sz w:val="21"/>
        </w:rPr>
        <w:t> </w:t>
      </w:r>
      <w:r>
        <w:rPr>
          <w:sz w:val="21"/>
        </w:rPr>
        <w:t>part</w:t>
      </w:r>
      <w:r>
        <w:rPr>
          <w:spacing w:val="20"/>
          <w:sz w:val="21"/>
        </w:rPr>
        <w:t> </w:t>
      </w:r>
      <w:r>
        <w:rPr>
          <w:sz w:val="21"/>
        </w:rPr>
        <w:t>of</w:t>
      </w:r>
      <w:r>
        <w:rPr>
          <w:spacing w:val="21"/>
          <w:sz w:val="21"/>
        </w:rPr>
        <w:t> </w:t>
      </w:r>
      <w:r>
        <w:rPr>
          <w:spacing w:val="-3"/>
          <w:sz w:val="21"/>
        </w:rPr>
        <w:t>Aboriginal</w:t>
      </w:r>
      <w:r>
        <w:rPr>
          <w:spacing w:val="21"/>
          <w:sz w:val="21"/>
        </w:rPr>
        <w:t> </w:t>
      </w:r>
      <w:r>
        <w:rPr>
          <w:spacing w:val="-3"/>
          <w:sz w:val="21"/>
        </w:rPr>
        <w:t>cultural</w:t>
      </w:r>
      <w:r>
        <w:rPr>
          <w:spacing w:val="20"/>
          <w:sz w:val="21"/>
        </w:rPr>
        <w:t> </w:t>
      </w:r>
      <w:r>
        <w:rPr>
          <w:sz w:val="21"/>
        </w:rPr>
        <w:t>heritage</w:t>
      </w:r>
      <w:r>
        <w:rPr>
          <w:spacing w:val="21"/>
          <w:sz w:val="21"/>
        </w:rPr>
        <w:t> </w:t>
      </w:r>
      <w:r>
        <w:rPr>
          <w:sz w:val="21"/>
        </w:rPr>
        <w:t>under</w:t>
      </w:r>
      <w:r>
        <w:rPr>
          <w:spacing w:val="20"/>
          <w:sz w:val="21"/>
        </w:rPr>
        <w:t> </w:t>
      </w:r>
      <w:r>
        <w:rPr>
          <w:sz w:val="21"/>
        </w:rPr>
        <w:t>the</w:t>
      </w:r>
      <w:r>
        <w:rPr>
          <w:spacing w:val="21"/>
          <w:sz w:val="21"/>
        </w:rPr>
        <w:t> </w:t>
      </w:r>
      <w:r>
        <w:rPr>
          <w:i/>
          <w:sz w:val="21"/>
        </w:rPr>
        <w:t>Aboriginal</w:t>
      </w:r>
      <w:r>
        <w:rPr>
          <w:i/>
          <w:spacing w:val="20"/>
          <w:sz w:val="21"/>
        </w:rPr>
        <w:t> </w:t>
      </w:r>
      <w:r>
        <w:rPr>
          <w:i/>
          <w:sz w:val="21"/>
        </w:rPr>
        <w:t>Heritage</w:t>
      </w:r>
      <w:r>
        <w:rPr>
          <w:i/>
          <w:spacing w:val="21"/>
          <w:sz w:val="21"/>
        </w:rPr>
        <w:t> </w:t>
      </w:r>
      <w:r>
        <w:rPr>
          <w:i/>
          <w:sz w:val="21"/>
        </w:rPr>
        <w:t>Act</w:t>
      </w:r>
    </w:p>
    <w:p>
      <w:pPr>
        <w:pStyle w:val="BodyText"/>
        <w:spacing w:before="3"/>
        <w:ind w:left="2721"/>
      </w:pPr>
      <w:r>
        <w:rPr>
          <w:i/>
        </w:rPr>
        <w:t>2006 </w:t>
      </w:r>
      <w:r>
        <w:rPr/>
        <w:t>(Vic) or is a registered tree or is situated in a Victorian heritage place under the</w:t>
      </w:r>
    </w:p>
    <w:p>
      <w:pPr>
        <w:spacing w:before="3"/>
        <w:ind w:left="2721" w:right="0" w:firstLine="0"/>
        <w:jc w:val="left"/>
        <w:rPr>
          <w:sz w:val="21"/>
        </w:rPr>
      </w:pPr>
      <w:r>
        <w:rPr>
          <w:i/>
          <w:w w:val="105"/>
          <w:sz w:val="21"/>
        </w:rPr>
        <w:t>Heritage Act 2017 </w:t>
      </w:r>
      <w:r>
        <w:rPr>
          <w:w w:val="105"/>
          <w:sz w:val="21"/>
        </w:rPr>
        <w:t>(Vic).</w:t>
      </w:r>
    </w:p>
    <w:p>
      <w:pPr>
        <w:pStyle w:val="ListParagraph"/>
        <w:numPr>
          <w:ilvl w:val="1"/>
          <w:numId w:val="10"/>
        </w:numPr>
        <w:tabs>
          <w:tab w:pos="2721" w:val="left" w:leader="none"/>
          <w:tab w:pos="2722" w:val="left" w:leader="none"/>
        </w:tabs>
        <w:spacing w:line="242" w:lineRule="auto" w:before="124" w:after="0"/>
        <w:ind w:left="2721" w:right="1875" w:hanging="567"/>
        <w:jc w:val="left"/>
        <w:rPr>
          <w:sz w:val="21"/>
        </w:rPr>
      </w:pPr>
      <w:r>
        <w:rPr>
          <w:spacing w:val="-3"/>
          <w:sz w:val="21"/>
        </w:rPr>
        <w:t>any </w:t>
      </w:r>
      <w:r>
        <w:rPr>
          <w:sz w:val="21"/>
        </w:rPr>
        <w:t>impact the tree </w:t>
      </w:r>
      <w:r>
        <w:rPr>
          <w:spacing w:val="-2"/>
          <w:sz w:val="21"/>
        </w:rPr>
        <w:t>has </w:t>
      </w:r>
      <w:r>
        <w:rPr>
          <w:sz w:val="21"/>
        </w:rPr>
        <w:t>on soil </w:t>
      </w:r>
      <w:r>
        <w:rPr>
          <w:spacing w:val="-3"/>
          <w:sz w:val="21"/>
        </w:rPr>
        <w:t>stability, </w:t>
      </w:r>
      <w:r>
        <w:rPr>
          <w:sz w:val="21"/>
        </w:rPr>
        <w:t>the </w:t>
      </w:r>
      <w:r>
        <w:rPr>
          <w:spacing w:val="-3"/>
          <w:sz w:val="21"/>
        </w:rPr>
        <w:t>water </w:t>
      </w:r>
      <w:r>
        <w:rPr>
          <w:sz w:val="21"/>
        </w:rPr>
        <w:t>table or other </w:t>
      </w:r>
      <w:r>
        <w:rPr>
          <w:spacing w:val="-3"/>
          <w:sz w:val="21"/>
        </w:rPr>
        <w:t>natural features </w:t>
      </w:r>
      <w:r>
        <w:rPr>
          <w:sz w:val="21"/>
        </w:rPr>
        <w:t>of the </w:t>
      </w:r>
      <w:r>
        <w:rPr>
          <w:spacing w:val="-3"/>
          <w:sz w:val="21"/>
        </w:rPr>
        <w:t>land </w:t>
      </w:r>
      <w:r>
        <w:rPr>
          <w:sz w:val="21"/>
        </w:rPr>
        <w:t>or</w:t>
      </w:r>
      <w:r>
        <w:rPr>
          <w:spacing w:val="27"/>
          <w:sz w:val="21"/>
        </w:rPr>
        <w:t> </w:t>
      </w:r>
      <w:r>
        <w:rPr>
          <w:sz w:val="21"/>
        </w:rPr>
        <w:t>locality</w:t>
      </w:r>
    </w:p>
    <w:p>
      <w:pPr>
        <w:pStyle w:val="ListParagraph"/>
        <w:numPr>
          <w:ilvl w:val="1"/>
          <w:numId w:val="10"/>
        </w:numPr>
        <w:tabs>
          <w:tab w:pos="2720" w:val="left" w:leader="none"/>
          <w:tab w:pos="2721" w:val="left" w:leader="none"/>
        </w:tabs>
        <w:spacing w:line="242" w:lineRule="auto" w:before="122" w:after="0"/>
        <w:ind w:left="2720" w:right="1717" w:hanging="566"/>
        <w:jc w:val="left"/>
        <w:rPr>
          <w:sz w:val="21"/>
        </w:rPr>
      </w:pPr>
      <w:r>
        <w:rPr>
          <w:spacing w:val="-2"/>
          <w:w w:val="105"/>
          <w:sz w:val="21"/>
        </w:rPr>
        <w:t>anything, </w:t>
      </w:r>
      <w:r>
        <w:rPr>
          <w:w w:val="105"/>
          <w:sz w:val="21"/>
        </w:rPr>
        <w:t>other </w:t>
      </w:r>
      <w:r>
        <w:rPr>
          <w:spacing w:val="-3"/>
          <w:w w:val="105"/>
          <w:sz w:val="21"/>
        </w:rPr>
        <w:t>than </w:t>
      </w:r>
      <w:r>
        <w:rPr>
          <w:w w:val="105"/>
          <w:sz w:val="21"/>
        </w:rPr>
        <w:t>the </w:t>
      </w:r>
      <w:r>
        <w:rPr>
          <w:spacing w:val="-3"/>
          <w:w w:val="105"/>
          <w:sz w:val="21"/>
        </w:rPr>
        <w:t>tree, that </w:t>
      </w:r>
      <w:r>
        <w:rPr>
          <w:spacing w:val="-2"/>
          <w:w w:val="105"/>
          <w:sz w:val="21"/>
        </w:rPr>
        <w:t>has </w:t>
      </w:r>
      <w:r>
        <w:rPr>
          <w:spacing w:val="-3"/>
          <w:w w:val="105"/>
          <w:sz w:val="21"/>
        </w:rPr>
        <w:t>contributed, </w:t>
      </w:r>
      <w:r>
        <w:rPr>
          <w:w w:val="105"/>
          <w:sz w:val="21"/>
        </w:rPr>
        <w:t>or is </w:t>
      </w:r>
      <w:r>
        <w:rPr>
          <w:spacing w:val="-3"/>
          <w:w w:val="105"/>
          <w:sz w:val="21"/>
        </w:rPr>
        <w:t>contributing, to any harm </w:t>
      </w:r>
      <w:r>
        <w:rPr>
          <w:w w:val="105"/>
          <w:sz w:val="21"/>
        </w:rPr>
        <w:t>or damage or </w:t>
      </w:r>
      <w:r>
        <w:rPr>
          <w:spacing w:val="-3"/>
          <w:w w:val="105"/>
          <w:sz w:val="21"/>
        </w:rPr>
        <w:t>likelihood </w:t>
      </w:r>
      <w:r>
        <w:rPr>
          <w:w w:val="105"/>
          <w:sz w:val="21"/>
        </w:rPr>
        <w:t>of </w:t>
      </w:r>
      <w:r>
        <w:rPr>
          <w:spacing w:val="-3"/>
          <w:w w:val="105"/>
          <w:sz w:val="21"/>
        </w:rPr>
        <w:t>harm </w:t>
      </w:r>
      <w:r>
        <w:rPr>
          <w:w w:val="105"/>
          <w:sz w:val="21"/>
        </w:rPr>
        <w:t>or </w:t>
      </w:r>
      <w:r>
        <w:rPr>
          <w:spacing w:val="-3"/>
          <w:w w:val="105"/>
          <w:sz w:val="21"/>
        </w:rPr>
        <w:t>damage,</w:t>
      </w:r>
      <w:r>
        <w:rPr>
          <w:spacing w:val="43"/>
          <w:w w:val="105"/>
          <w:sz w:val="21"/>
        </w:rPr>
        <w:t> </w:t>
      </w:r>
      <w:r>
        <w:rPr>
          <w:spacing w:val="-3"/>
          <w:w w:val="105"/>
          <w:sz w:val="21"/>
        </w:rPr>
        <w:t>including:</w:t>
      </w:r>
    </w:p>
    <w:p>
      <w:pPr>
        <w:pStyle w:val="ListParagraph"/>
        <w:numPr>
          <w:ilvl w:val="2"/>
          <w:numId w:val="10"/>
        </w:numPr>
        <w:tabs>
          <w:tab w:pos="3287" w:val="left" w:leader="none"/>
          <w:tab w:pos="3288" w:val="left" w:leader="none"/>
        </w:tabs>
        <w:spacing w:line="242" w:lineRule="auto" w:before="122" w:after="0"/>
        <w:ind w:left="3287" w:right="1769" w:hanging="567"/>
        <w:jc w:val="left"/>
        <w:rPr>
          <w:sz w:val="21"/>
        </w:rPr>
      </w:pPr>
      <w:r>
        <w:rPr>
          <w:spacing w:val="-3"/>
          <w:w w:val="105"/>
          <w:sz w:val="21"/>
        </w:rPr>
        <w:t>any</w:t>
      </w:r>
      <w:r>
        <w:rPr>
          <w:spacing w:val="-6"/>
          <w:w w:val="105"/>
          <w:sz w:val="21"/>
        </w:rPr>
        <w:t> </w:t>
      </w:r>
      <w:r>
        <w:rPr>
          <w:w w:val="105"/>
          <w:sz w:val="21"/>
        </w:rPr>
        <w:t>act</w:t>
      </w:r>
      <w:r>
        <w:rPr>
          <w:spacing w:val="-6"/>
          <w:w w:val="105"/>
          <w:sz w:val="21"/>
        </w:rPr>
        <w:t> </w:t>
      </w:r>
      <w:r>
        <w:rPr>
          <w:w w:val="105"/>
          <w:sz w:val="21"/>
        </w:rPr>
        <w:t>or</w:t>
      </w:r>
      <w:r>
        <w:rPr>
          <w:spacing w:val="-6"/>
          <w:w w:val="105"/>
          <w:sz w:val="21"/>
        </w:rPr>
        <w:t> </w:t>
      </w:r>
      <w:r>
        <w:rPr>
          <w:w w:val="105"/>
          <w:sz w:val="21"/>
        </w:rPr>
        <w:t>omission</w:t>
      </w:r>
      <w:r>
        <w:rPr>
          <w:spacing w:val="-6"/>
          <w:w w:val="105"/>
          <w:sz w:val="21"/>
        </w:rPr>
        <w:t> </w:t>
      </w:r>
      <w:r>
        <w:rPr>
          <w:w w:val="105"/>
          <w:sz w:val="21"/>
        </w:rPr>
        <w:t>by</w:t>
      </w:r>
      <w:r>
        <w:rPr>
          <w:spacing w:val="-6"/>
          <w:w w:val="105"/>
          <w:sz w:val="21"/>
        </w:rPr>
        <w:t> </w:t>
      </w:r>
      <w:r>
        <w:rPr>
          <w:w w:val="105"/>
          <w:sz w:val="21"/>
        </w:rPr>
        <w:t>the</w:t>
      </w:r>
      <w:r>
        <w:rPr>
          <w:spacing w:val="-6"/>
          <w:w w:val="105"/>
          <w:sz w:val="21"/>
        </w:rPr>
        <w:t> </w:t>
      </w:r>
      <w:r>
        <w:rPr>
          <w:spacing w:val="-3"/>
          <w:w w:val="105"/>
          <w:sz w:val="21"/>
        </w:rPr>
        <w:t>applicant</w:t>
      </w:r>
      <w:r>
        <w:rPr>
          <w:spacing w:val="-6"/>
          <w:w w:val="105"/>
          <w:sz w:val="21"/>
        </w:rPr>
        <w:t> </w:t>
      </w:r>
      <w:r>
        <w:rPr>
          <w:w w:val="105"/>
          <w:sz w:val="21"/>
        </w:rPr>
        <w:t>and</w:t>
      </w:r>
      <w:r>
        <w:rPr>
          <w:spacing w:val="-6"/>
          <w:w w:val="105"/>
          <w:sz w:val="21"/>
        </w:rPr>
        <w:t> </w:t>
      </w:r>
      <w:r>
        <w:rPr>
          <w:w w:val="105"/>
          <w:sz w:val="21"/>
        </w:rPr>
        <w:t>the</w:t>
      </w:r>
      <w:r>
        <w:rPr>
          <w:spacing w:val="-6"/>
          <w:w w:val="105"/>
          <w:sz w:val="21"/>
        </w:rPr>
        <w:t> </w:t>
      </w:r>
      <w:r>
        <w:rPr>
          <w:w w:val="105"/>
          <w:sz w:val="21"/>
        </w:rPr>
        <w:t>impact</w:t>
      </w:r>
      <w:r>
        <w:rPr>
          <w:spacing w:val="-6"/>
          <w:w w:val="105"/>
          <w:sz w:val="21"/>
        </w:rPr>
        <w:t> </w:t>
      </w:r>
      <w:r>
        <w:rPr>
          <w:w w:val="105"/>
          <w:sz w:val="21"/>
        </w:rPr>
        <w:t>of</w:t>
      </w:r>
      <w:r>
        <w:rPr>
          <w:spacing w:val="-5"/>
          <w:w w:val="105"/>
          <w:sz w:val="21"/>
        </w:rPr>
        <w:t> </w:t>
      </w:r>
      <w:r>
        <w:rPr>
          <w:spacing w:val="-3"/>
          <w:w w:val="105"/>
          <w:sz w:val="21"/>
        </w:rPr>
        <w:t>any</w:t>
      </w:r>
      <w:r>
        <w:rPr>
          <w:spacing w:val="-6"/>
          <w:w w:val="105"/>
          <w:sz w:val="21"/>
        </w:rPr>
        <w:t> </w:t>
      </w:r>
      <w:r>
        <w:rPr>
          <w:w w:val="105"/>
          <w:sz w:val="21"/>
        </w:rPr>
        <w:t>other</w:t>
      </w:r>
      <w:r>
        <w:rPr>
          <w:spacing w:val="-6"/>
          <w:w w:val="105"/>
          <w:sz w:val="21"/>
        </w:rPr>
        <w:t> </w:t>
      </w:r>
      <w:r>
        <w:rPr>
          <w:w w:val="105"/>
          <w:sz w:val="21"/>
        </w:rPr>
        <w:t>trees</w:t>
      </w:r>
      <w:r>
        <w:rPr>
          <w:spacing w:val="-6"/>
          <w:w w:val="105"/>
          <w:sz w:val="21"/>
        </w:rPr>
        <w:t> </w:t>
      </w:r>
      <w:r>
        <w:rPr>
          <w:w w:val="105"/>
          <w:sz w:val="21"/>
        </w:rPr>
        <w:t>owned by the</w:t>
      </w:r>
      <w:r>
        <w:rPr>
          <w:spacing w:val="10"/>
          <w:w w:val="105"/>
          <w:sz w:val="21"/>
        </w:rPr>
        <w:t> </w:t>
      </w:r>
      <w:r>
        <w:rPr>
          <w:spacing w:val="-3"/>
          <w:w w:val="105"/>
          <w:sz w:val="21"/>
        </w:rPr>
        <w:t>applicant</w:t>
      </w:r>
    </w:p>
    <w:p>
      <w:pPr>
        <w:pStyle w:val="ListParagraph"/>
        <w:numPr>
          <w:ilvl w:val="2"/>
          <w:numId w:val="10"/>
        </w:numPr>
        <w:tabs>
          <w:tab w:pos="3287" w:val="left" w:leader="none"/>
          <w:tab w:pos="3288" w:val="left" w:leader="none"/>
        </w:tabs>
        <w:spacing w:line="242" w:lineRule="auto" w:before="123" w:after="0"/>
        <w:ind w:left="3287" w:right="1759" w:hanging="567"/>
        <w:jc w:val="left"/>
        <w:rPr>
          <w:sz w:val="21"/>
        </w:rPr>
      </w:pPr>
      <w:r>
        <w:rPr>
          <w:spacing w:val="-3"/>
          <w:sz w:val="21"/>
        </w:rPr>
        <w:t>any </w:t>
      </w:r>
      <w:r>
        <w:rPr>
          <w:sz w:val="21"/>
        </w:rPr>
        <w:t>steps </w:t>
      </w:r>
      <w:r>
        <w:rPr>
          <w:spacing w:val="-3"/>
          <w:sz w:val="21"/>
        </w:rPr>
        <w:t>taken </w:t>
      </w:r>
      <w:r>
        <w:rPr>
          <w:sz w:val="21"/>
        </w:rPr>
        <w:t>by the </w:t>
      </w:r>
      <w:r>
        <w:rPr>
          <w:spacing w:val="-3"/>
          <w:sz w:val="21"/>
        </w:rPr>
        <w:t>applicant </w:t>
      </w:r>
      <w:r>
        <w:rPr>
          <w:sz w:val="21"/>
        </w:rPr>
        <w:t>or the owner of the </w:t>
      </w:r>
      <w:r>
        <w:rPr>
          <w:spacing w:val="-3"/>
          <w:sz w:val="21"/>
        </w:rPr>
        <w:t>land </w:t>
      </w:r>
      <w:r>
        <w:rPr>
          <w:sz w:val="21"/>
        </w:rPr>
        <w:t>on which the tree is </w:t>
      </w:r>
      <w:r>
        <w:rPr>
          <w:spacing w:val="-3"/>
          <w:sz w:val="21"/>
        </w:rPr>
        <w:t>situated to prevent </w:t>
      </w:r>
      <w:r>
        <w:rPr>
          <w:sz w:val="21"/>
        </w:rPr>
        <w:t>or rectify</w:t>
      </w:r>
      <w:r>
        <w:rPr>
          <w:spacing w:val="6"/>
          <w:sz w:val="21"/>
        </w:rPr>
        <w:t> </w:t>
      </w:r>
      <w:r>
        <w:rPr>
          <w:sz w:val="21"/>
        </w:rPr>
        <w:t>damage</w:t>
      </w:r>
    </w:p>
    <w:p>
      <w:pPr>
        <w:pStyle w:val="BodyText"/>
        <w:rPr>
          <w:sz w:val="20"/>
        </w:rPr>
      </w:pPr>
    </w:p>
    <w:p>
      <w:pPr>
        <w:pStyle w:val="BodyText"/>
        <w:spacing w:before="1"/>
      </w:pPr>
    </w:p>
    <w:p>
      <w:pPr>
        <w:spacing w:before="0"/>
        <w:ind w:left="0" w:right="582" w:firstLine="0"/>
        <w:jc w:val="right"/>
        <w:rPr>
          <w:b/>
          <w:sz w:val="24"/>
        </w:rPr>
      </w:pPr>
      <w:r>
        <w:rPr>
          <w:b/>
          <w:color w:val="658464"/>
          <w:w w:val="115"/>
          <w:sz w:val="24"/>
        </w:rPr>
        <w:t>xxv</w:t>
      </w:r>
    </w:p>
    <w:p>
      <w:pPr>
        <w:spacing w:after="0"/>
        <w:jc w:val="right"/>
        <w:rPr>
          <w:sz w:val="24"/>
        </w:rPr>
        <w:sectPr>
          <w:pgSz w:w="11910" w:h="16840"/>
          <w:pgMar w:header="1372" w:footer="0" w:top="1560" w:bottom="280" w:left="0" w:right="0"/>
        </w:sectPr>
      </w:pPr>
    </w:p>
    <w:p>
      <w:pPr>
        <w:pStyle w:val="BodyText"/>
        <w:spacing w:before="9"/>
        <w:rPr>
          <w:b/>
          <w:sz w:val="22"/>
        </w:rPr>
      </w:pPr>
    </w:p>
    <w:p>
      <w:pPr>
        <w:pStyle w:val="ListParagraph"/>
        <w:numPr>
          <w:ilvl w:val="1"/>
          <w:numId w:val="10"/>
        </w:numPr>
        <w:tabs>
          <w:tab w:pos="2721" w:val="left" w:leader="none"/>
          <w:tab w:pos="2722" w:val="left" w:leader="none"/>
        </w:tabs>
        <w:spacing w:line="242" w:lineRule="auto" w:before="92" w:after="0"/>
        <w:ind w:left="2721" w:right="1749" w:hanging="567"/>
        <w:jc w:val="left"/>
        <w:rPr>
          <w:sz w:val="21"/>
        </w:rPr>
      </w:pPr>
      <w:r>
        <w:rPr>
          <w:sz w:val="21"/>
        </w:rPr>
        <w:t>whether the tree and </w:t>
      </w:r>
      <w:r>
        <w:rPr>
          <w:spacing w:val="-3"/>
          <w:sz w:val="21"/>
        </w:rPr>
        <w:t>any </w:t>
      </w:r>
      <w:r>
        <w:rPr>
          <w:sz w:val="21"/>
        </w:rPr>
        <w:t>risk, obstruction or </w:t>
      </w:r>
      <w:r>
        <w:rPr>
          <w:spacing w:val="-3"/>
          <w:sz w:val="21"/>
        </w:rPr>
        <w:t>interference </w:t>
      </w:r>
      <w:r>
        <w:rPr>
          <w:sz w:val="21"/>
        </w:rPr>
        <w:t>associated with the tree existed </w:t>
      </w:r>
      <w:r>
        <w:rPr>
          <w:spacing w:val="-3"/>
          <w:sz w:val="21"/>
        </w:rPr>
        <w:t>before </w:t>
      </w:r>
      <w:r>
        <w:rPr>
          <w:sz w:val="21"/>
        </w:rPr>
        <w:t>the affected </w:t>
      </w:r>
      <w:r>
        <w:rPr>
          <w:spacing w:val="-3"/>
          <w:sz w:val="21"/>
        </w:rPr>
        <w:t>neighbour </w:t>
      </w:r>
      <w:r>
        <w:rPr>
          <w:sz w:val="21"/>
        </w:rPr>
        <w:t>began </w:t>
      </w:r>
      <w:r>
        <w:rPr>
          <w:spacing w:val="-3"/>
          <w:sz w:val="21"/>
        </w:rPr>
        <w:t>to occupy </w:t>
      </w:r>
      <w:r>
        <w:rPr>
          <w:sz w:val="21"/>
        </w:rPr>
        <w:t>the </w:t>
      </w:r>
      <w:r>
        <w:rPr>
          <w:spacing w:val="-3"/>
          <w:sz w:val="21"/>
        </w:rPr>
        <w:t>land </w:t>
      </w:r>
      <w:r>
        <w:rPr>
          <w:sz w:val="21"/>
        </w:rPr>
        <w:t>affected by the</w:t>
      </w:r>
      <w:r>
        <w:rPr>
          <w:spacing w:val="31"/>
          <w:sz w:val="21"/>
        </w:rPr>
        <w:t> </w:t>
      </w:r>
      <w:r>
        <w:rPr>
          <w:sz w:val="21"/>
        </w:rPr>
        <w:t>tree</w:t>
      </w:r>
    </w:p>
    <w:p>
      <w:pPr>
        <w:pStyle w:val="ListParagraph"/>
        <w:numPr>
          <w:ilvl w:val="1"/>
          <w:numId w:val="10"/>
        </w:numPr>
        <w:tabs>
          <w:tab w:pos="2721" w:val="left" w:leader="none"/>
          <w:tab w:pos="2722" w:val="left" w:leader="none"/>
        </w:tabs>
        <w:spacing w:line="240" w:lineRule="auto" w:before="122" w:after="0"/>
        <w:ind w:left="2721" w:right="0" w:hanging="567"/>
        <w:jc w:val="left"/>
        <w:rPr>
          <w:sz w:val="21"/>
        </w:rPr>
      </w:pPr>
      <w:r>
        <w:rPr>
          <w:sz w:val="21"/>
        </w:rPr>
        <w:t>whether the tree is a recognised</w:t>
      </w:r>
      <w:r>
        <w:rPr>
          <w:spacing w:val="2"/>
          <w:sz w:val="21"/>
        </w:rPr>
        <w:t> </w:t>
      </w:r>
      <w:r>
        <w:rPr>
          <w:sz w:val="21"/>
        </w:rPr>
        <w:t>weed</w:t>
      </w:r>
    </w:p>
    <w:p>
      <w:pPr>
        <w:pStyle w:val="ListParagraph"/>
        <w:numPr>
          <w:ilvl w:val="1"/>
          <w:numId w:val="10"/>
        </w:numPr>
        <w:tabs>
          <w:tab w:pos="2720" w:val="left" w:leader="none"/>
          <w:tab w:pos="2721" w:val="left" w:leader="none"/>
        </w:tabs>
        <w:spacing w:line="242" w:lineRule="auto" w:before="124" w:after="0"/>
        <w:ind w:left="2720" w:right="2766" w:hanging="566"/>
        <w:jc w:val="left"/>
        <w:rPr>
          <w:sz w:val="21"/>
        </w:rPr>
      </w:pPr>
      <w:r>
        <w:rPr>
          <w:spacing w:val="-3"/>
          <w:w w:val="105"/>
          <w:sz w:val="21"/>
        </w:rPr>
        <w:t>such</w:t>
      </w:r>
      <w:r>
        <w:rPr>
          <w:spacing w:val="-13"/>
          <w:w w:val="105"/>
          <w:sz w:val="21"/>
        </w:rPr>
        <w:t> </w:t>
      </w:r>
      <w:r>
        <w:rPr>
          <w:w w:val="105"/>
          <w:sz w:val="21"/>
        </w:rPr>
        <w:t>other</w:t>
      </w:r>
      <w:r>
        <w:rPr>
          <w:spacing w:val="-13"/>
          <w:w w:val="105"/>
          <w:sz w:val="21"/>
        </w:rPr>
        <w:t> </w:t>
      </w:r>
      <w:r>
        <w:rPr>
          <w:w w:val="105"/>
          <w:sz w:val="21"/>
        </w:rPr>
        <w:t>matters</w:t>
      </w:r>
      <w:r>
        <w:rPr>
          <w:spacing w:val="-13"/>
          <w:w w:val="105"/>
          <w:sz w:val="21"/>
        </w:rPr>
        <w:t> </w:t>
      </w:r>
      <w:r>
        <w:rPr>
          <w:w w:val="105"/>
          <w:sz w:val="21"/>
        </w:rPr>
        <w:t>as</w:t>
      </w:r>
      <w:r>
        <w:rPr>
          <w:spacing w:val="-12"/>
          <w:w w:val="105"/>
          <w:sz w:val="21"/>
        </w:rPr>
        <w:t> </w:t>
      </w:r>
      <w:r>
        <w:rPr>
          <w:w w:val="105"/>
          <w:sz w:val="21"/>
        </w:rPr>
        <w:t>the</w:t>
      </w:r>
      <w:r>
        <w:rPr>
          <w:spacing w:val="-13"/>
          <w:w w:val="105"/>
          <w:sz w:val="21"/>
        </w:rPr>
        <w:t> </w:t>
      </w:r>
      <w:r>
        <w:rPr>
          <w:w w:val="105"/>
          <w:sz w:val="21"/>
        </w:rPr>
        <w:t>decision-making</w:t>
      </w:r>
      <w:r>
        <w:rPr>
          <w:spacing w:val="-13"/>
          <w:w w:val="105"/>
          <w:sz w:val="21"/>
        </w:rPr>
        <w:t> </w:t>
      </w:r>
      <w:r>
        <w:rPr>
          <w:w w:val="105"/>
          <w:sz w:val="21"/>
        </w:rPr>
        <w:t>body</w:t>
      </w:r>
      <w:r>
        <w:rPr>
          <w:spacing w:val="-12"/>
          <w:w w:val="105"/>
          <w:sz w:val="21"/>
        </w:rPr>
        <w:t> </w:t>
      </w:r>
      <w:r>
        <w:rPr>
          <w:w w:val="105"/>
          <w:sz w:val="21"/>
        </w:rPr>
        <w:t>considers</w:t>
      </w:r>
      <w:r>
        <w:rPr>
          <w:spacing w:val="-13"/>
          <w:w w:val="105"/>
          <w:sz w:val="21"/>
        </w:rPr>
        <w:t> </w:t>
      </w:r>
      <w:r>
        <w:rPr>
          <w:spacing w:val="-3"/>
          <w:w w:val="105"/>
          <w:sz w:val="21"/>
        </w:rPr>
        <w:t>relevant</w:t>
      </w:r>
      <w:r>
        <w:rPr>
          <w:spacing w:val="-13"/>
          <w:w w:val="105"/>
          <w:sz w:val="21"/>
        </w:rPr>
        <w:t> </w:t>
      </w:r>
      <w:r>
        <w:rPr>
          <w:w w:val="105"/>
          <w:sz w:val="21"/>
        </w:rPr>
        <w:t>in</w:t>
      </w:r>
      <w:r>
        <w:rPr>
          <w:spacing w:val="-12"/>
          <w:w w:val="105"/>
          <w:sz w:val="21"/>
        </w:rPr>
        <w:t> </w:t>
      </w:r>
      <w:r>
        <w:rPr>
          <w:w w:val="105"/>
          <w:sz w:val="21"/>
        </w:rPr>
        <w:t>the </w:t>
      </w:r>
      <w:r>
        <w:rPr>
          <w:spacing w:val="-3"/>
          <w:w w:val="105"/>
          <w:sz w:val="21"/>
        </w:rPr>
        <w:t>circumstances </w:t>
      </w:r>
      <w:r>
        <w:rPr>
          <w:w w:val="105"/>
          <w:sz w:val="21"/>
        </w:rPr>
        <w:t>of the</w:t>
      </w:r>
      <w:r>
        <w:rPr>
          <w:spacing w:val="18"/>
          <w:w w:val="105"/>
          <w:sz w:val="21"/>
        </w:rPr>
        <w:t> </w:t>
      </w:r>
      <w:r>
        <w:rPr>
          <w:spacing w:val="-3"/>
          <w:w w:val="105"/>
          <w:sz w:val="21"/>
        </w:rPr>
        <w:t>case.</w:t>
      </w:r>
    </w:p>
    <w:p>
      <w:pPr>
        <w:pStyle w:val="ListParagraph"/>
        <w:numPr>
          <w:ilvl w:val="0"/>
          <w:numId w:val="10"/>
        </w:numPr>
        <w:tabs>
          <w:tab w:pos="2154" w:val="left" w:leader="none"/>
          <w:tab w:pos="2155" w:val="left" w:leader="none"/>
        </w:tabs>
        <w:spacing w:line="242" w:lineRule="auto" w:before="122" w:after="0"/>
        <w:ind w:left="2154" w:right="1838" w:hanging="567"/>
        <w:jc w:val="left"/>
        <w:rPr>
          <w:sz w:val="21"/>
        </w:rPr>
      </w:pPr>
      <w:r>
        <w:rPr>
          <w:w w:val="105"/>
          <w:sz w:val="21"/>
        </w:rPr>
        <w:t>The Act should </w:t>
      </w:r>
      <w:r>
        <w:rPr>
          <w:spacing w:val="-3"/>
          <w:w w:val="105"/>
          <w:sz w:val="21"/>
        </w:rPr>
        <w:t>require that </w:t>
      </w:r>
      <w:r>
        <w:rPr>
          <w:w w:val="105"/>
          <w:sz w:val="21"/>
        </w:rPr>
        <w:t>arborists who provide evidence </w:t>
      </w:r>
      <w:r>
        <w:rPr>
          <w:spacing w:val="-3"/>
          <w:w w:val="105"/>
          <w:sz w:val="21"/>
        </w:rPr>
        <w:t>to </w:t>
      </w:r>
      <w:r>
        <w:rPr>
          <w:w w:val="105"/>
          <w:sz w:val="21"/>
        </w:rPr>
        <w:t>the Victorian </w:t>
      </w:r>
      <w:r>
        <w:rPr>
          <w:spacing w:val="-3"/>
          <w:w w:val="105"/>
          <w:sz w:val="21"/>
        </w:rPr>
        <w:t>Civil </w:t>
      </w:r>
      <w:r>
        <w:rPr>
          <w:w w:val="105"/>
          <w:sz w:val="21"/>
        </w:rPr>
        <w:t>and </w:t>
      </w:r>
      <w:r>
        <w:rPr>
          <w:spacing w:val="-3"/>
          <w:w w:val="105"/>
          <w:sz w:val="21"/>
        </w:rPr>
        <w:t>Administrative </w:t>
      </w:r>
      <w:r>
        <w:rPr>
          <w:spacing w:val="-5"/>
          <w:w w:val="105"/>
          <w:sz w:val="21"/>
        </w:rPr>
        <w:t>Tribunal </w:t>
      </w:r>
      <w:r>
        <w:rPr>
          <w:w w:val="105"/>
          <w:sz w:val="21"/>
        </w:rPr>
        <w:t>hold a </w:t>
      </w:r>
      <w:r>
        <w:rPr>
          <w:spacing w:val="-3"/>
          <w:w w:val="105"/>
          <w:sz w:val="21"/>
        </w:rPr>
        <w:t>relevant arboricultural </w:t>
      </w:r>
      <w:r>
        <w:rPr>
          <w:spacing w:val="-2"/>
          <w:w w:val="105"/>
          <w:sz w:val="21"/>
        </w:rPr>
        <w:t>qualification </w:t>
      </w:r>
      <w:r>
        <w:rPr>
          <w:w w:val="105"/>
          <w:sz w:val="21"/>
        </w:rPr>
        <w:t>of </w:t>
      </w:r>
      <w:r>
        <w:rPr>
          <w:spacing w:val="-3"/>
          <w:w w:val="105"/>
          <w:sz w:val="21"/>
        </w:rPr>
        <w:t>minimum Australian </w:t>
      </w:r>
      <w:r>
        <w:rPr>
          <w:spacing w:val="-2"/>
          <w:w w:val="105"/>
          <w:sz w:val="21"/>
        </w:rPr>
        <w:t>Qualifications</w:t>
      </w:r>
      <w:r>
        <w:rPr>
          <w:spacing w:val="-9"/>
          <w:w w:val="105"/>
          <w:sz w:val="21"/>
        </w:rPr>
        <w:t> </w:t>
      </w:r>
      <w:r>
        <w:rPr>
          <w:spacing w:val="-3"/>
          <w:w w:val="105"/>
          <w:sz w:val="21"/>
        </w:rPr>
        <w:t>Framework</w:t>
      </w:r>
      <w:r>
        <w:rPr>
          <w:spacing w:val="-9"/>
          <w:w w:val="105"/>
          <w:sz w:val="21"/>
        </w:rPr>
        <w:t> </w:t>
      </w:r>
      <w:r>
        <w:rPr>
          <w:w w:val="105"/>
          <w:sz w:val="21"/>
        </w:rPr>
        <w:t>(AQF)</w:t>
      </w:r>
      <w:r>
        <w:rPr>
          <w:spacing w:val="-8"/>
          <w:w w:val="105"/>
          <w:sz w:val="21"/>
        </w:rPr>
        <w:t> </w:t>
      </w:r>
      <w:r>
        <w:rPr>
          <w:w w:val="105"/>
          <w:sz w:val="21"/>
        </w:rPr>
        <w:t>Level</w:t>
      </w:r>
      <w:r>
        <w:rPr>
          <w:spacing w:val="-9"/>
          <w:w w:val="105"/>
          <w:sz w:val="21"/>
        </w:rPr>
        <w:t> </w:t>
      </w:r>
      <w:r>
        <w:rPr>
          <w:w w:val="105"/>
          <w:sz w:val="21"/>
        </w:rPr>
        <w:t>5</w:t>
      </w:r>
      <w:r>
        <w:rPr>
          <w:spacing w:val="-8"/>
          <w:w w:val="105"/>
          <w:sz w:val="21"/>
        </w:rPr>
        <w:t> </w:t>
      </w:r>
      <w:r>
        <w:rPr>
          <w:w w:val="105"/>
          <w:sz w:val="21"/>
        </w:rPr>
        <w:t>or</w:t>
      </w:r>
      <w:r>
        <w:rPr>
          <w:spacing w:val="-9"/>
          <w:w w:val="105"/>
          <w:sz w:val="21"/>
        </w:rPr>
        <w:t> </w:t>
      </w:r>
      <w:r>
        <w:rPr>
          <w:spacing w:val="-3"/>
          <w:w w:val="105"/>
          <w:sz w:val="21"/>
        </w:rPr>
        <w:t>equivalent</w:t>
      </w:r>
      <w:r>
        <w:rPr>
          <w:spacing w:val="-9"/>
          <w:w w:val="105"/>
          <w:sz w:val="21"/>
        </w:rPr>
        <w:t> </w:t>
      </w:r>
      <w:r>
        <w:rPr>
          <w:w w:val="105"/>
          <w:sz w:val="21"/>
        </w:rPr>
        <w:t>and</w:t>
      </w:r>
      <w:r>
        <w:rPr>
          <w:spacing w:val="-8"/>
          <w:w w:val="105"/>
          <w:sz w:val="21"/>
        </w:rPr>
        <w:t> </w:t>
      </w:r>
      <w:r>
        <w:rPr>
          <w:spacing w:val="-3"/>
          <w:w w:val="105"/>
          <w:sz w:val="21"/>
        </w:rPr>
        <w:t>have</w:t>
      </w:r>
      <w:r>
        <w:rPr>
          <w:spacing w:val="-9"/>
          <w:w w:val="105"/>
          <w:sz w:val="21"/>
        </w:rPr>
        <w:t> </w:t>
      </w:r>
      <w:r>
        <w:rPr>
          <w:w w:val="105"/>
          <w:sz w:val="21"/>
        </w:rPr>
        <w:t>at</w:t>
      </w:r>
      <w:r>
        <w:rPr>
          <w:spacing w:val="-8"/>
          <w:w w:val="105"/>
          <w:sz w:val="21"/>
        </w:rPr>
        <w:t> </w:t>
      </w:r>
      <w:r>
        <w:rPr>
          <w:w w:val="105"/>
          <w:sz w:val="21"/>
        </w:rPr>
        <w:t>least</w:t>
      </w:r>
      <w:r>
        <w:rPr>
          <w:spacing w:val="-9"/>
          <w:w w:val="105"/>
          <w:sz w:val="21"/>
        </w:rPr>
        <w:t> </w:t>
      </w:r>
      <w:r>
        <w:rPr>
          <w:w w:val="105"/>
          <w:sz w:val="21"/>
        </w:rPr>
        <w:t>two</w:t>
      </w:r>
      <w:r>
        <w:rPr>
          <w:spacing w:val="-9"/>
          <w:w w:val="105"/>
          <w:sz w:val="21"/>
        </w:rPr>
        <w:t> </w:t>
      </w:r>
      <w:r>
        <w:rPr>
          <w:w w:val="105"/>
          <w:sz w:val="21"/>
        </w:rPr>
        <w:t>years</w:t>
      </w:r>
      <w:r>
        <w:rPr>
          <w:spacing w:val="-8"/>
          <w:w w:val="105"/>
          <w:sz w:val="21"/>
        </w:rPr>
        <w:t> </w:t>
      </w:r>
      <w:r>
        <w:rPr>
          <w:w w:val="105"/>
          <w:sz w:val="21"/>
        </w:rPr>
        <w:t>practical experience.</w:t>
      </w:r>
    </w:p>
    <w:p>
      <w:pPr>
        <w:pStyle w:val="ListParagraph"/>
        <w:numPr>
          <w:ilvl w:val="0"/>
          <w:numId w:val="10"/>
        </w:numPr>
        <w:tabs>
          <w:tab w:pos="2155" w:val="left" w:leader="none"/>
        </w:tabs>
        <w:spacing w:line="242" w:lineRule="auto" w:before="124" w:after="0"/>
        <w:ind w:left="2154" w:right="1745" w:hanging="567"/>
        <w:jc w:val="both"/>
        <w:rPr>
          <w:sz w:val="21"/>
        </w:rPr>
      </w:pPr>
      <w:r>
        <w:rPr>
          <w:sz w:val="21"/>
        </w:rPr>
        <w:t>The Victorian </w:t>
      </w:r>
      <w:r>
        <w:rPr>
          <w:spacing w:val="-3"/>
          <w:sz w:val="21"/>
        </w:rPr>
        <w:t>Civil </w:t>
      </w:r>
      <w:r>
        <w:rPr>
          <w:sz w:val="21"/>
        </w:rPr>
        <w:t>and </w:t>
      </w:r>
      <w:r>
        <w:rPr>
          <w:spacing w:val="-3"/>
          <w:sz w:val="21"/>
        </w:rPr>
        <w:t>Administrative </w:t>
      </w:r>
      <w:r>
        <w:rPr>
          <w:spacing w:val="-5"/>
          <w:sz w:val="21"/>
        </w:rPr>
        <w:t>Tribunal  </w:t>
      </w:r>
      <w:r>
        <w:rPr>
          <w:sz w:val="21"/>
        </w:rPr>
        <w:t>should direct experts in tree </w:t>
      </w:r>
      <w:r>
        <w:rPr>
          <w:spacing w:val="-3"/>
          <w:sz w:val="21"/>
        </w:rPr>
        <w:t>dispute  </w:t>
      </w:r>
      <w:r>
        <w:rPr>
          <w:sz w:val="21"/>
        </w:rPr>
        <w:t>matters  </w:t>
      </w:r>
      <w:r>
        <w:rPr>
          <w:spacing w:val="-3"/>
          <w:sz w:val="21"/>
        </w:rPr>
        <w:t>to </w:t>
      </w:r>
      <w:r>
        <w:rPr>
          <w:sz w:val="21"/>
        </w:rPr>
        <w:t>comply with </w:t>
      </w:r>
      <w:r>
        <w:rPr>
          <w:spacing w:val="-3"/>
          <w:sz w:val="21"/>
        </w:rPr>
        <w:t>clause </w:t>
      </w:r>
      <w:r>
        <w:rPr>
          <w:spacing w:val="-12"/>
          <w:sz w:val="21"/>
        </w:rPr>
        <w:t>11 </w:t>
      </w:r>
      <w:r>
        <w:rPr>
          <w:sz w:val="21"/>
        </w:rPr>
        <w:t>of Practice Note </w:t>
      </w:r>
      <w:r>
        <w:rPr>
          <w:spacing w:val="-3"/>
          <w:sz w:val="21"/>
        </w:rPr>
        <w:t>PNVCAT2:  </w:t>
      </w:r>
      <w:r>
        <w:rPr>
          <w:sz w:val="21"/>
        </w:rPr>
        <w:t>Expert </w:t>
      </w:r>
      <w:r>
        <w:rPr>
          <w:spacing w:val="-3"/>
          <w:sz w:val="21"/>
        </w:rPr>
        <w:t>Evidence,</w:t>
      </w:r>
      <w:r>
        <w:rPr>
          <w:spacing w:val="41"/>
          <w:sz w:val="21"/>
        </w:rPr>
        <w:t> </w:t>
      </w:r>
      <w:r>
        <w:rPr>
          <w:sz w:val="21"/>
        </w:rPr>
        <w:t>1 October </w:t>
      </w:r>
      <w:r>
        <w:rPr>
          <w:spacing w:val="-8"/>
          <w:sz w:val="21"/>
        </w:rPr>
        <w:t>2014  </w:t>
      </w:r>
      <w:r>
        <w:rPr>
          <w:sz w:val="21"/>
        </w:rPr>
        <w:t>with  the </w:t>
      </w:r>
      <w:r>
        <w:rPr>
          <w:spacing w:val="-3"/>
          <w:sz w:val="21"/>
        </w:rPr>
        <w:t>following additional</w:t>
      </w:r>
      <w:r>
        <w:rPr>
          <w:spacing w:val="30"/>
          <w:sz w:val="21"/>
        </w:rPr>
        <w:t> </w:t>
      </w:r>
      <w:r>
        <w:rPr>
          <w:sz w:val="21"/>
        </w:rPr>
        <w:t>requirements:</w:t>
      </w:r>
    </w:p>
    <w:p>
      <w:pPr>
        <w:pStyle w:val="ListParagraph"/>
        <w:numPr>
          <w:ilvl w:val="1"/>
          <w:numId w:val="10"/>
        </w:numPr>
        <w:tabs>
          <w:tab w:pos="2721" w:val="left" w:leader="none"/>
          <w:tab w:pos="2722" w:val="left" w:leader="none"/>
        </w:tabs>
        <w:spacing w:line="242" w:lineRule="auto" w:before="124" w:after="0"/>
        <w:ind w:left="2721" w:right="2080" w:hanging="567"/>
        <w:jc w:val="left"/>
        <w:rPr>
          <w:sz w:val="21"/>
        </w:rPr>
      </w:pPr>
      <w:r>
        <w:rPr>
          <w:w w:val="105"/>
          <w:sz w:val="21"/>
        </w:rPr>
        <w:t>a</w:t>
      </w:r>
      <w:r>
        <w:rPr>
          <w:spacing w:val="-12"/>
          <w:w w:val="105"/>
          <w:sz w:val="21"/>
        </w:rPr>
        <w:t> </w:t>
      </w:r>
      <w:r>
        <w:rPr>
          <w:spacing w:val="-3"/>
          <w:w w:val="105"/>
          <w:sz w:val="21"/>
        </w:rPr>
        <w:t>requirement</w:t>
      </w:r>
      <w:r>
        <w:rPr>
          <w:spacing w:val="-11"/>
          <w:w w:val="105"/>
          <w:sz w:val="21"/>
        </w:rPr>
        <w:t> </w:t>
      </w:r>
      <w:r>
        <w:rPr>
          <w:spacing w:val="-3"/>
          <w:w w:val="105"/>
          <w:sz w:val="21"/>
        </w:rPr>
        <w:t>that</w:t>
      </w:r>
      <w:r>
        <w:rPr>
          <w:spacing w:val="-11"/>
          <w:w w:val="105"/>
          <w:sz w:val="21"/>
        </w:rPr>
        <w:t> </w:t>
      </w:r>
      <w:r>
        <w:rPr>
          <w:w w:val="105"/>
          <w:sz w:val="21"/>
        </w:rPr>
        <w:t>the</w:t>
      </w:r>
      <w:r>
        <w:rPr>
          <w:spacing w:val="-11"/>
          <w:w w:val="105"/>
          <w:sz w:val="21"/>
        </w:rPr>
        <w:t> </w:t>
      </w:r>
      <w:r>
        <w:rPr>
          <w:w w:val="105"/>
          <w:sz w:val="21"/>
        </w:rPr>
        <w:t>on-site</w:t>
      </w:r>
      <w:r>
        <w:rPr>
          <w:spacing w:val="-11"/>
          <w:w w:val="105"/>
          <w:sz w:val="21"/>
        </w:rPr>
        <w:t> </w:t>
      </w:r>
      <w:r>
        <w:rPr>
          <w:w w:val="105"/>
          <w:sz w:val="21"/>
        </w:rPr>
        <w:t>assessment</w:t>
      </w:r>
      <w:r>
        <w:rPr>
          <w:spacing w:val="-11"/>
          <w:w w:val="105"/>
          <w:sz w:val="21"/>
        </w:rPr>
        <w:t> </w:t>
      </w:r>
      <w:r>
        <w:rPr>
          <w:spacing w:val="-2"/>
          <w:w w:val="105"/>
          <w:sz w:val="21"/>
        </w:rPr>
        <w:t>has</w:t>
      </w:r>
      <w:r>
        <w:rPr>
          <w:spacing w:val="-11"/>
          <w:w w:val="105"/>
          <w:sz w:val="21"/>
        </w:rPr>
        <w:t> </w:t>
      </w:r>
      <w:r>
        <w:rPr>
          <w:w w:val="105"/>
          <w:sz w:val="21"/>
        </w:rPr>
        <w:t>been</w:t>
      </w:r>
      <w:r>
        <w:rPr>
          <w:spacing w:val="-11"/>
          <w:w w:val="105"/>
          <w:sz w:val="21"/>
        </w:rPr>
        <w:t> </w:t>
      </w:r>
      <w:r>
        <w:rPr>
          <w:w w:val="105"/>
          <w:sz w:val="21"/>
        </w:rPr>
        <w:t>undertaken</w:t>
      </w:r>
      <w:r>
        <w:rPr>
          <w:spacing w:val="-11"/>
          <w:w w:val="105"/>
          <w:sz w:val="21"/>
        </w:rPr>
        <w:t> </w:t>
      </w:r>
      <w:r>
        <w:rPr>
          <w:spacing w:val="-3"/>
          <w:w w:val="105"/>
          <w:sz w:val="21"/>
        </w:rPr>
        <w:t>during</w:t>
      </w:r>
      <w:r>
        <w:rPr>
          <w:spacing w:val="-11"/>
          <w:w w:val="105"/>
          <w:sz w:val="21"/>
        </w:rPr>
        <w:t> </w:t>
      </w:r>
      <w:r>
        <w:rPr>
          <w:w w:val="105"/>
          <w:sz w:val="21"/>
        </w:rPr>
        <w:t>the</w:t>
      </w:r>
      <w:r>
        <w:rPr>
          <w:spacing w:val="-11"/>
          <w:w w:val="105"/>
          <w:sz w:val="21"/>
        </w:rPr>
        <w:t> </w:t>
      </w:r>
      <w:r>
        <w:rPr>
          <w:w w:val="105"/>
          <w:sz w:val="21"/>
        </w:rPr>
        <w:t>three </w:t>
      </w:r>
      <w:r>
        <w:rPr>
          <w:spacing w:val="-3"/>
          <w:w w:val="105"/>
          <w:sz w:val="21"/>
        </w:rPr>
        <w:t>months leading </w:t>
      </w:r>
      <w:r>
        <w:rPr>
          <w:w w:val="105"/>
          <w:sz w:val="21"/>
        </w:rPr>
        <w:t>up </w:t>
      </w:r>
      <w:r>
        <w:rPr>
          <w:spacing w:val="-3"/>
          <w:w w:val="105"/>
          <w:sz w:val="21"/>
        </w:rPr>
        <w:t>to </w:t>
      </w:r>
      <w:r>
        <w:rPr>
          <w:w w:val="105"/>
          <w:sz w:val="21"/>
        </w:rPr>
        <w:t>the</w:t>
      </w:r>
      <w:r>
        <w:rPr>
          <w:spacing w:val="36"/>
          <w:w w:val="105"/>
          <w:sz w:val="21"/>
        </w:rPr>
        <w:t> </w:t>
      </w:r>
      <w:r>
        <w:rPr>
          <w:spacing w:val="-3"/>
          <w:w w:val="105"/>
          <w:sz w:val="21"/>
        </w:rPr>
        <w:t>hearing</w:t>
      </w:r>
    </w:p>
    <w:p>
      <w:pPr>
        <w:pStyle w:val="ListParagraph"/>
        <w:numPr>
          <w:ilvl w:val="1"/>
          <w:numId w:val="10"/>
        </w:numPr>
        <w:tabs>
          <w:tab w:pos="2721" w:val="left" w:leader="none"/>
          <w:tab w:pos="2722" w:val="left" w:leader="none"/>
        </w:tabs>
        <w:spacing w:line="242" w:lineRule="auto" w:before="122" w:after="0"/>
        <w:ind w:left="2721" w:right="1675" w:hanging="567"/>
        <w:jc w:val="left"/>
        <w:rPr>
          <w:sz w:val="21"/>
        </w:rPr>
      </w:pPr>
      <w:r>
        <w:rPr>
          <w:w w:val="105"/>
          <w:sz w:val="21"/>
        </w:rPr>
        <w:t>a</w:t>
      </w:r>
      <w:r>
        <w:rPr>
          <w:spacing w:val="-10"/>
          <w:w w:val="105"/>
          <w:sz w:val="21"/>
        </w:rPr>
        <w:t> </w:t>
      </w:r>
      <w:r>
        <w:rPr>
          <w:w w:val="105"/>
          <w:sz w:val="21"/>
        </w:rPr>
        <w:t>detailed</w:t>
      </w:r>
      <w:r>
        <w:rPr>
          <w:spacing w:val="-9"/>
          <w:w w:val="105"/>
          <w:sz w:val="21"/>
        </w:rPr>
        <w:t> </w:t>
      </w:r>
      <w:r>
        <w:rPr>
          <w:w w:val="105"/>
          <w:sz w:val="21"/>
        </w:rPr>
        <w:t>description</w:t>
      </w:r>
      <w:r>
        <w:rPr>
          <w:spacing w:val="-9"/>
          <w:w w:val="105"/>
          <w:sz w:val="21"/>
        </w:rPr>
        <w:t> </w:t>
      </w:r>
      <w:r>
        <w:rPr>
          <w:w w:val="105"/>
          <w:sz w:val="21"/>
        </w:rPr>
        <w:t>of</w:t>
      </w:r>
      <w:r>
        <w:rPr>
          <w:spacing w:val="-9"/>
          <w:w w:val="105"/>
          <w:sz w:val="21"/>
        </w:rPr>
        <w:t> </w:t>
      </w:r>
      <w:r>
        <w:rPr>
          <w:w w:val="105"/>
          <w:sz w:val="21"/>
        </w:rPr>
        <w:t>the</w:t>
      </w:r>
      <w:r>
        <w:rPr>
          <w:spacing w:val="-10"/>
          <w:w w:val="105"/>
          <w:sz w:val="21"/>
        </w:rPr>
        <w:t> </w:t>
      </w:r>
      <w:r>
        <w:rPr>
          <w:w w:val="105"/>
          <w:sz w:val="21"/>
        </w:rPr>
        <w:t>assessment</w:t>
      </w:r>
      <w:r>
        <w:rPr>
          <w:spacing w:val="-9"/>
          <w:w w:val="105"/>
          <w:sz w:val="21"/>
        </w:rPr>
        <w:t> </w:t>
      </w:r>
      <w:r>
        <w:rPr>
          <w:w w:val="105"/>
          <w:sz w:val="21"/>
        </w:rPr>
        <w:t>methodology</w:t>
      </w:r>
      <w:r>
        <w:rPr>
          <w:spacing w:val="-9"/>
          <w:w w:val="105"/>
          <w:sz w:val="21"/>
        </w:rPr>
        <w:t> </w:t>
      </w:r>
      <w:r>
        <w:rPr>
          <w:spacing w:val="-3"/>
          <w:w w:val="105"/>
          <w:sz w:val="21"/>
        </w:rPr>
        <w:t>relied</w:t>
      </w:r>
      <w:r>
        <w:rPr>
          <w:spacing w:val="-9"/>
          <w:w w:val="105"/>
          <w:sz w:val="21"/>
        </w:rPr>
        <w:t> </w:t>
      </w:r>
      <w:r>
        <w:rPr>
          <w:spacing w:val="-3"/>
          <w:w w:val="105"/>
          <w:sz w:val="21"/>
        </w:rPr>
        <w:t>upon,</w:t>
      </w:r>
      <w:r>
        <w:rPr>
          <w:spacing w:val="-10"/>
          <w:w w:val="105"/>
          <w:sz w:val="21"/>
        </w:rPr>
        <w:t> </w:t>
      </w:r>
      <w:r>
        <w:rPr>
          <w:spacing w:val="-3"/>
          <w:w w:val="105"/>
          <w:sz w:val="21"/>
        </w:rPr>
        <w:t>including</w:t>
      </w:r>
      <w:r>
        <w:rPr>
          <w:spacing w:val="-9"/>
          <w:w w:val="105"/>
          <w:sz w:val="21"/>
        </w:rPr>
        <w:t> </w:t>
      </w:r>
      <w:r>
        <w:rPr>
          <w:w w:val="105"/>
          <w:sz w:val="21"/>
        </w:rPr>
        <w:t>the</w:t>
      </w:r>
      <w:r>
        <w:rPr>
          <w:spacing w:val="-9"/>
          <w:w w:val="105"/>
          <w:sz w:val="21"/>
        </w:rPr>
        <w:t> </w:t>
      </w:r>
      <w:r>
        <w:rPr>
          <w:spacing w:val="-3"/>
          <w:w w:val="105"/>
          <w:sz w:val="21"/>
        </w:rPr>
        <w:t>date </w:t>
      </w:r>
      <w:r>
        <w:rPr>
          <w:w w:val="105"/>
          <w:sz w:val="21"/>
        </w:rPr>
        <w:t>of the tree inspection and </w:t>
      </w:r>
      <w:r>
        <w:rPr>
          <w:spacing w:val="-3"/>
          <w:w w:val="105"/>
          <w:sz w:val="21"/>
        </w:rPr>
        <w:t>any limitations </w:t>
      </w:r>
      <w:r>
        <w:rPr>
          <w:w w:val="105"/>
          <w:sz w:val="21"/>
        </w:rPr>
        <w:t>of the</w:t>
      </w:r>
      <w:r>
        <w:rPr>
          <w:spacing w:val="27"/>
          <w:w w:val="105"/>
          <w:sz w:val="21"/>
        </w:rPr>
        <w:t> </w:t>
      </w:r>
      <w:r>
        <w:rPr>
          <w:w w:val="105"/>
          <w:sz w:val="21"/>
        </w:rPr>
        <w:t>assessment</w:t>
      </w:r>
    </w:p>
    <w:p>
      <w:pPr>
        <w:pStyle w:val="ListParagraph"/>
        <w:numPr>
          <w:ilvl w:val="1"/>
          <w:numId w:val="10"/>
        </w:numPr>
        <w:tabs>
          <w:tab w:pos="2720" w:val="left" w:leader="none"/>
          <w:tab w:pos="2721" w:val="left" w:leader="none"/>
        </w:tabs>
        <w:spacing w:line="242" w:lineRule="auto" w:before="122" w:after="0"/>
        <w:ind w:left="2720" w:right="2213" w:hanging="566"/>
        <w:jc w:val="left"/>
        <w:rPr>
          <w:sz w:val="21"/>
        </w:rPr>
      </w:pPr>
      <w:r>
        <w:rPr>
          <w:w w:val="105"/>
          <w:sz w:val="21"/>
        </w:rPr>
        <w:t>a</w:t>
      </w:r>
      <w:r>
        <w:rPr>
          <w:spacing w:val="-8"/>
          <w:w w:val="105"/>
          <w:sz w:val="21"/>
        </w:rPr>
        <w:t> </w:t>
      </w:r>
      <w:r>
        <w:rPr>
          <w:spacing w:val="-3"/>
          <w:w w:val="105"/>
          <w:sz w:val="21"/>
        </w:rPr>
        <w:t>record</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w w:val="105"/>
          <w:sz w:val="21"/>
        </w:rPr>
        <w:t>expert’s</w:t>
      </w:r>
      <w:r>
        <w:rPr>
          <w:spacing w:val="-7"/>
          <w:w w:val="105"/>
          <w:sz w:val="21"/>
        </w:rPr>
        <w:t> </w:t>
      </w:r>
      <w:r>
        <w:rPr>
          <w:w w:val="105"/>
          <w:sz w:val="21"/>
        </w:rPr>
        <w:t>observation</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spacing w:val="-3"/>
          <w:w w:val="105"/>
          <w:sz w:val="21"/>
        </w:rPr>
        <w:t>tree,</w:t>
      </w:r>
      <w:r>
        <w:rPr>
          <w:spacing w:val="-8"/>
          <w:w w:val="105"/>
          <w:sz w:val="21"/>
        </w:rPr>
        <w:t> </w:t>
      </w:r>
      <w:r>
        <w:rPr>
          <w:spacing w:val="-3"/>
          <w:w w:val="105"/>
          <w:sz w:val="21"/>
        </w:rPr>
        <w:t>providing</w:t>
      </w:r>
      <w:r>
        <w:rPr>
          <w:spacing w:val="-7"/>
          <w:w w:val="105"/>
          <w:sz w:val="21"/>
        </w:rPr>
        <w:t> </w:t>
      </w:r>
      <w:r>
        <w:rPr>
          <w:w w:val="105"/>
          <w:sz w:val="21"/>
        </w:rPr>
        <w:t>an</w:t>
      </w:r>
      <w:r>
        <w:rPr>
          <w:spacing w:val="-8"/>
          <w:w w:val="105"/>
          <w:sz w:val="21"/>
        </w:rPr>
        <w:t> </w:t>
      </w:r>
      <w:r>
        <w:rPr>
          <w:w w:val="105"/>
          <w:sz w:val="21"/>
        </w:rPr>
        <w:t>assessment</w:t>
      </w:r>
      <w:r>
        <w:rPr>
          <w:spacing w:val="-8"/>
          <w:w w:val="105"/>
          <w:sz w:val="21"/>
        </w:rPr>
        <w:t> </w:t>
      </w:r>
      <w:r>
        <w:rPr>
          <w:w w:val="105"/>
          <w:sz w:val="21"/>
        </w:rPr>
        <w:t>of</w:t>
      </w:r>
      <w:r>
        <w:rPr>
          <w:spacing w:val="-8"/>
          <w:w w:val="105"/>
          <w:sz w:val="21"/>
        </w:rPr>
        <w:t> </w:t>
      </w:r>
      <w:r>
        <w:rPr>
          <w:w w:val="105"/>
          <w:sz w:val="21"/>
        </w:rPr>
        <w:t>the categories </w:t>
      </w:r>
      <w:r>
        <w:rPr>
          <w:spacing w:val="-3"/>
          <w:w w:val="105"/>
          <w:sz w:val="21"/>
        </w:rPr>
        <w:t>for </w:t>
      </w:r>
      <w:r>
        <w:rPr>
          <w:w w:val="105"/>
          <w:sz w:val="21"/>
        </w:rPr>
        <w:t>the </w:t>
      </w:r>
      <w:r>
        <w:rPr>
          <w:spacing w:val="-4"/>
          <w:w w:val="105"/>
          <w:sz w:val="21"/>
        </w:rPr>
        <w:t>tree’s </w:t>
      </w:r>
      <w:r>
        <w:rPr>
          <w:spacing w:val="-3"/>
          <w:w w:val="105"/>
          <w:sz w:val="21"/>
        </w:rPr>
        <w:t>health, condition, form </w:t>
      </w:r>
      <w:r>
        <w:rPr>
          <w:w w:val="105"/>
          <w:sz w:val="21"/>
        </w:rPr>
        <w:t>and</w:t>
      </w:r>
      <w:r>
        <w:rPr>
          <w:spacing w:val="35"/>
          <w:w w:val="105"/>
          <w:sz w:val="21"/>
        </w:rPr>
        <w:t> </w:t>
      </w:r>
      <w:r>
        <w:rPr>
          <w:w w:val="105"/>
          <w:sz w:val="21"/>
        </w:rPr>
        <w:t>structure</w:t>
      </w:r>
    </w:p>
    <w:p>
      <w:pPr>
        <w:pStyle w:val="ListParagraph"/>
        <w:numPr>
          <w:ilvl w:val="1"/>
          <w:numId w:val="10"/>
        </w:numPr>
        <w:tabs>
          <w:tab w:pos="2720" w:val="left" w:leader="none"/>
          <w:tab w:pos="2721" w:val="left" w:leader="none"/>
        </w:tabs>
        <w:spacing w:line="240" w:lineRule="auto" w:before="122" w:after="0"/>
        <w:ind w:left="2720" w:right="0" w:hanging="567"/>
        <w:jc w:val="left"/>
        <w:rPr>
          <w:sz w:val="21"/>
        </w:rPr>
      </w:pPr>
      <w:r>
        <w:rPr>
          <w:w w:val="105"/>
          <w:sz w:val="21"/>
        </w:rPr>
        <w:t>a </w:t>
      </w:r>
      <w:r>
        <w:rPr>
          <w:spacing w:val="-3"/>
          <w:w w:val="105"/>
          <w:sz w:val="21"/>
        </w:rPr>
        <w:t>photograph </w:t>
      </w:r>
      <w:r>
        <w:rPr>
          <w:w w:val="105"/>
          <w:sz w:val="21"/>
        </w:rPr>
        <w:t>supporting observations and </w:t>
      </w:r>
      <w:r>
        <w:rPr>
          <w:spacing w:val="-3"/>
          <w:w w:val="105"/>
          <w:sz w:val="21"/>
        </w:rPr>
        <w:t>highlighting </w:t>
      </w:r>
      <w:r>
        <w:rPr>
          <w:w w:val="105"/>
          <w:sz w:val="21"/>
        </w:rPr>
        <w:t>points of</w:t>
      </w:r>
      <w:r>
        <w:rPr>
          <w:spacing w:val="39"/>
          <w:w w:val="105"/>
          <w:sz w:val="21"/>
        </w:rPr>
        <w:t> </w:t>
      </w:r>
      <w:r>
        <w:rPr>
          <w:spacing w:val="-3"/>
          <w:w w:val="105"/>
          <w:sz w:val="21"/>
        </w:rPr>
        <w:t>interest</w:t>
      </w:r>
    </w:p>
    <w:p>
      <w:pPr>
        <w:pStyle w:val="ListParagraph"/>
        <w:numPr>
          <w:ilvl w:val="1"/>
          <w:numId w:val="10"/>
        </w:numPr>
        <w:tabs>
          <w:tab w:pos="2720" w:val="left" w:leader="none"/>
          <w:tab w:pos="2721" w:val="left" w:leader="none"/>
        </w:tabs>
        <w:spacing w:line="240" w:lineRule="auto" w:before="124" w:after="0"/>
        <w:ind w:left="2720" w:right="0" w:hanging="567"/>
        <w:jc w:val="left"/>
        <w:rPr>
          <w:sz w:val="21"/>
        </w:rPr>
      </w:pPr>
      <w:r>
        <w:rPr>
          <w:w w:val="105"/>
          <w:sz w:val="21"/>
        </w:rPr>
        <w:t>details of the local </w:t>
      </w:r>
      <w:r>
        <w:rPr>
          <w:spacing w:val="-3"/>
          <w:w w:val="105"/>
          <w:sz w:val="21"/>
        </w:rPr>
        <w:t>planning </w:t>
      </w:r>
      <w:r>
        <w:rPr>
          <w:w w:val="105"/>
          <w:sz w:val="21"/>
        </w:rPr>
        <w:t>scheme </w:t>
      </w:r>
      <w:r>
        <w:rPr>
          <w:spacing w:val="-3"/>
          <w:w w:val="105"/>
          <w:sz w:val="21"/>
        </w:rPr>
        <w:t>overlays </w:t>
      </w:r>
      <w:r>
        <w:rPr>
          <w:w w:val="105"/>
          <w:sz w:val="21"/>
        </w:rPr>
        <w:t>and local laws applying </w:t>
      </w:r>
      <w:r>
        <w:rPr>
          <w:spacing w:val="-3"/>
          <w:w w:val="105"/>
          <w:sz w:val="21"/>
        </w:rPr>
        <w:t>to </w:t>
      </w:r>
      <w:r>
        <w:rPr>
          <w:w w:val="105"/>
          <w:sz w:val="21"/>
        </w:rPr>
        <w:t>the</w:t>
      </w:r>
      <w:r>
        <w:rPr>
          <w:spacing w:val="37"/>
          <w:w w:val="105"/>
          <w:sz w:val="21"/>
        </w:rPr>
        <w:t> </w:t>
      </w:r>
      <w:r>
        <w:rPr>
          <w:w w:val="105"/>
          <w:sz w:val="21"/>
        </w:rPr>
        <w:t>tree</w:t>
      </w:r>
    </w:p>
    <w:p>
      <w:pPr>
        <w:pStyle w:val="ListParagraph"/>
        <w:numPr>
          <w:ilvl w:val="1"/>
          <w:numId w:val="10"/>
        </w:numPr>
        <w:tabs>
          <w:tab w:pos="2720" w:val="left" w:leader="none"/>
          <w:tab w:pos="2721" w:val="left" w:leader="none"/>
        </w:tabs>
        <w:spacing w:line="242" w:lineRule="auto" w:before="124" w:after="0"/>
        <w:ind w:left="2720" w:right="1940" w:hanging="567"/>
        <w:jc w:val="left"/>
        <w:rPr>
          <w:sz w:val="21"/>
        </w:rPr>
      </w:pPr>
      <w:r>
        <w:rPr>
          <w:spacing w:val="-3"/>
          <w:sz w:val="21"/>
        </w:rPr>
        <w:t>information </w:t>
      </w:r>
      <w:r>
        <w:rPr>
          <w:sz w:val="21"/>
        </w:rPr>
        <w:t>about whether the tree is </w:t>
      </w:r>
      <w:r>
        <w:rPr>
          <w:spacing w:val="-3"/>
          <w:sz w:val="21"/>
        </w:rPr>
        <w:t>remnant, indigenous, native, exotic </w:t>
      </w:r>
      <w:r>
        <w:rPr>
          <w:sz w:val="21"/>
        </w:rPr>
        <w:t>or weed species</w:t>
      </w:r>
    </w:p>
    <w:p>
      <w:pPr>
        <w:pStyle w:val="ListParagraph"/>
        <w:numPr>
          <w:ilvl w:val="1"/>
          <w:numId w:val="10"/>
        </w:numPr>
        <w:tabs>
          <w:tab w:pos="2720" w:val="left" w:leader="none"/>
          <w:tab w:pos="2721" w:val="left" w:leader="none"/>
        </w:tabs>
        <w:spacing w:line="242" w:lineRule="auto" w:before="122" w:after="0"/>
        <w:ind w:left="2720" w:right="1702" w:hanging="567"/>
        <w:jc w:val="left"/>
        <w:rPr>
          <w:sz w:val="21"/>
        </w:rPr>
      </w:pPr>
      <w:r>
        <w:rPr>
          <w:spacing w:val="-3"/>
          <w:w w:val="105"/>
          <w:sz w:val="21"/>
        </w:rPr>
        <w:t>information</w:t>
      </w:r>
      <w:r>
        <w:rPr>
          <w:spacing w:val="-8"/>
          <w:w w:val="105"/>
          <w:sz w:val="21"/>
        </w:rPr>
        <w:t> </w:t>
      </w:r>
      <w:r>
        <w:rPr>
          <w:w w:val="105"/>
          <w:sz w:val="21"/>
        </w:rPr>
        <w:t>about</w:t>
      </w:r>
      <w:r>
        <w:rPr>
          <w:spacing w:val="-8"/>
          <w:w w:val="105"/>
          <w:sz w:val="21"/>
        </w:rPr>
        <w:t> </w:t>
      </w:r>
      <w:r>
        <w:rPr>
          <w:w w:val="105"/>
          <w:sz w:val="21"/>
        </w:rPr>
        <w:t>the</w:t>
      </w:r>
      <w:r>
        <w:rPr>
          <w:spacing w:val="-8"/>
          <w:w w:val="105"/>
          <w:sz w:val="21"/>
        </w:rPr>
        <w:t> </w:t>
      </w:r>
      <w:r>
        <w:rPr>
          <w:spacing w:val="-3"/>
          <w:w w:val="105"/>
          <w:sz w:val="21"/>
        </w:rPr>
        <w:t>retention</w:t>
      </w:r>
      <w:r>
        <w:rPr>
          <w:spacing w:val="-8"/>
          <w:w w:val="105"/>
          <w:sz w:val="21"/>
        </w:rPr>
        <w:t> </w:t>
      </w:r>
      <w:r>
        <w:rPr>
          <w:spacing w:val="-3"/>
          <w:w w:val="105"/>
          <w:sz w:val="21"/>
        </w:rPr>
        <w:t>value</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w w:val="105"/>
          <w:sz w:val="21"/>
        </w:rPr>
        <w:t>tree</w:t>
      </w:r>
      <w:r>
        <w:rPr>
          <w:spacing w:val="-7"/>
          <w:w w:val="105"/>
          <w:sz w:val="21"/>
        </w:rPr>
        <w:t> </w:t>
      </w:r>
      <w:r>
        <w:rPr>
          <w:w w:val="105"/>
          <w:sz w:val="21"/>
        </w:rPr>
        <w:t>based</w:t>
      </w:r>
      <w:r>
        <w:rPr>
          <w:spacing w:val="-8"/>
          <w:w w:val="105"/>
          <w:sz w:val="21"/>
        </w:rPr>
        <w:t> </w:t>
      </w:r>
      <w:r>
        <w:rPr>
          <w:w w:val="105"/>
          <w:sz w:val="21"/>
        </w:rPr>
        <w:t>on</w:t>
      </w:r>
      <w:r>
        <w:rPr>
          <w:spacing w:val="-8"/>
          <w:w w:val="105"/>
          <w:sz w:val="21"/>
        </w:rPr>
        <w:t> </w:t>
      </w:r>
      <w:r>
        <w:rPr>
          <w:w w:val="105"/>
          <w:sz w:val="21"/>
        </w:rPr>
        <w:t>the</w:t>
      </w:r>
      <w:r>
        <w:rPr>
          <w:spacing w:val="-8"/>
          <w:w w:val="105"/>
          <w:sz w:val="21"/>
        </w:rPr>
        <w:t> </w:t>
      </w:r>
      <w:r>
        <w:rPr>
          <w:w w:val="105"/>
          <w:sz w:val="21"/>
        </w:rPr>
        <w:t>objectives</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w w:val="105"/>
          <w:sz w:val="21"/>
        </w:rPr>
        <w:t>local </w:t>
      </w:r>
      <w:r>
        <w:rPr>
          <w:spacing w:val="-3"/>
          <w:w w:val="105"/>
          <w:sz w:val="21"/>
        </w:rPr>
        <w:t>planning </w:t>
      </w:r>
      <w:r>
        <w:rPr>
          <w:w w:val="105"/>
          <w:sz w:val="21"/>
        </w:rPr>
        <w:t>scheme or the local</w:t>
      </w:r>
      <w:r>
        <w:rPr>
          <w:spacing w:val="28"/>
          <w:w w:val="105"/>
          <w:sz w:val="21"/>
        </w:rPr>
        <w:t> </w:t>
      </w:r>
      <w:r>
        <w:rPr>
          <w:spacing w:val="-5"/>
          <w:w w:val="105"/>
          <w:sz w:val="21"/>
        </w:rPr>
        <w:t>law.</w:t>
      </w:r>
    </w:p>
    <w:p>
      <w:pPr>
        <w:pStyle w:val="ListParagraph"/>
        <w:numPr>
          <w:ilvl w:val="0"/>
          <w:numId w:val="10"/>
        </w:numPr>
        <w:tabs>
          <w:tab w:pos="2154" w:val="left" w:leader="none"/>
          <w:tab w:pos="2155" w:val="left" w:leader="none"/>
        </w:tabs>
        <w:spacing w:line="242" w:lineRule="auto" w:before="122" w:after="0"/>
        <w:ind w:left="2154" w:right="1810" w:hanging="567"/>
        <w:jc w:val="left"/>
        <w:rPr>
          <w:sz w:val="21"/>
        </w:rPr>
      </w:pPr>
      <w:r>
        <w:rPr>
          <w:sz w:val="21"/>
        </w:rPr>
        <w:t>The Victorian </w:t>
      </w:r>
      <w:r>
        <w:rPr>
          <w:spacing w:val="-3"/>
          <w:sz w:val="21"/>
        </w:rPr>
        <w:t>Civil </w:t>
      </w:r>
      <w:r>
        <w:rPr>
          <w:sz w:val="21"/>
        </w:rPr>
        <w:t>and </w:t>
      </w:r>
      <w:r>
        <w:rPr>
          <w:spacing w:val="-3"/>
          <w:sz w:val="21"/>
        </w:rPr>
        <w:t>Administrative </w:t>
      </w:r>
      <w:r>
        <w:rPr>
          <w:spacing w:val="-5"/>
          <w:sz w:val="21"/>
        </w:rPr>
        <w:t>Tribunal </w:t>
      </w:r>
      <w:r>
        <w:rPr>
          <w:sz w:val="21"/>
        </w:rPr>
        <w:t>should develop a Practice Note about the </w:t>
      </w:r>
      <w:r>
        <w:rPr>
          <w:spacing w:val="-3"/>
          <w:sz w:val="21"/>
        </w:rPr>
        <w:t>requirement for </w:t>
      </w:r>
      <w:r>
        <w:rPr>
          <w:sz w:val="21"/>
        </w:rPr>
        <w:t>a causal </w:t>
      </w:r>
      <w:r>
        <w:rPr>
          <w:spacing w:val="-3"/>
          <w:sz w:val="21"/>
        </w:rPr>
        <w:t>link </w:t>
      </w:r>
      <w:r>
        <w:rPr>
          <w:sz w:val="21"/>
        </w:rPr>
        <w:t>between the tree and </w:t>
      </w:r>
      <w:r>
        <w:rPr>
          <w:spacing w:val="-3"/>
          <w:sz w:val="21"/>
        </w:rPr>
        <w:t>any harm, such </w:t>
      </w:r>
      <w:r>
        <w:rPr>
          <w:sz w:val="21"/>
        </w:rPr>
        <w:t>as a medical </w:t>
      </w:r>
      <w:r>
        <w:rPr>
          <w:spacing w:val="-3"/>
          <w:sz w:val="21"/>
        </w:rPr>
        <w:t>condition,  that </w:t>
      </w:r>
      <w:r>
        <w:rPr>
          <w:sz w:val="21"/>
        </w:rPr>
        <w:t>is the subject of an</w:t>
      </w:r>
      <w:r>
        <w:rPr>
          <w:spacing w:val="8"/>
          <w:sz w:val="21"/>
        </w:rPr>
        <w:t> </w:t>
      </w:r>
      <w:r>
        <w:rPr>
          <w:spacing w:val="-3"/>
          <w:sz w:val="21"/>
        </w:rPr>
        <w:t>application.</w:t>
      </w:r>
    </w:p>
    <w:p>
      <w:pPr>
        <w:pStyle w:val="BodyText"/>
        <w:spacing w:before="10"/>
      </w:pPr>
    </w:p>
    <w:p>
      <w:pPr>
        <w:pStyle w:val="Heading4"/>
      </w:pPr>
      <w:r>
        <w:rPr>
          <w:color w:val="658464"/>
          <w:w w:val="110"/>
        </w:rPr>
        <w:t>Chapter 9</w:t>
      </w:r>
    </w:p>
    <w:p>
      <w:pPr>
        <w:pStyle w:val="ListParagraph"/>
        <w:numPr>
          <w:ilvl w:val="0"/>
          <w:numId w:val="10"/>
        </w:numPr>
        <w:tabs>
          <w:tab w:pos="2154" w:val="left" w:leader="none"/>
          <w:tab w:pos="2155" w:val="left" w:leader="none"/>
        </w:tabs>
        <w:spacing w:line="242" w:lineRule="auto" w:before="155" w:after="0"/>
        <w:ind w:left="2154" w:right="1815" w:hanging="567"/>
        <w:jc w:val="left"/>
        <w:rPr>
          <w:sz w:val="21"/>
        </w:rPr>
      </w:pPr>
      <w:r>
        <w:rPr>
          <w:w w:val="105"/>
          <w:sz w:val="21"/>
        </w:rPr>
        <w:t>The</w:t>
      </w:r>
      <w:r>
        <w:rPr>
          <w:spacing w:val="-6"/>
          <w:w w:val="105"/>
          <w:sz w:val="21"/>
        </w:rPr>
        <w:t> </w:t>
      </w:r>
      <w:r>
        <w:rPr>
          <w:w w:val="105"/>
          <w:sz w:val="21"/>
        </w:rPr>
        <w:t>Act</w:t>
      </w:r>
      <w:r>
        <w:rPr>
          <w:spacing w:val="-6"/>
          <w:w w:val="105"/>
          <w:sz w:val="21"/>
        </w:rPr>
        <w:t> </w:t>
      </w:r>
      <w:r>
        <w:rPr>
          <w:w w:val="105"/>
          <w:sz w:val="21"/>
        </w:rPr>
        <w:t>should</w:t>
      </w:r>
      <w:r>
        <w:rPr>
          <w:spacing w:val="-6"/>
          <w:w w:val="105"/>
          <w:sz w:val="21"/>
        </w:rPr>
        <w:t> </w:t>
      </w:r>
      <w:r>
        <w:rPr>
          <w:w w:val="105"/>
          <w:sz w:val="21"/>
        </w:rPr>
        <w:t>provide</w:t>
      </w:r>
      <w:r>
        <w:rPr>
          <w:spacing w:val="-6"/>
          <w:w w:val="105"/>
          <w:sz w:val="21"/>
        </w:rPr>
        <w:t> </w:t>
      </w:r>
      <w:r>
        <w:rPr>
          <w:w w:val="105"/>
          <w:sz w:val="21"/>
        </w:rPr>
        <w:t>the</w:t>
      </w:r>
      <w:r>
        <w:rPr>
          <w:spacing w:val="-6"/>
          <w:w w:val="105"/>
          <w:sz w:val="21"/>
        </w:rPr>
        <w:t> </w:t>
      </w:r>
      <w:r>
        <w:rPr>
          <w:w w:val="105"/>
          <w:sz w:val="21"/>
        </w:rPr>
        <w:t>decision</w:t>
      </w:r>
      <w:r>
        <w:rPr>
          <w:spacing w:val="-6"/>
          <w:w w:val="105"/>
          <w:sz w:val="21"/>
        </w:rPr>
        <w:t> </w:t>
      </w:r>
      <w:r>
        <w:rPr>
          <w:spacing w:val="-4"/>
          <w:w w:val="105"/>
          <w:sz w:val="21"/>
        </w:rPr>
        <w:t>maker</w:t>
      </w:r>
      <w:r>
        <w:rPr>
          <w:spacing w:val="-6"/>
          <w:w w:val="105"/>
          <w:sz w:val="21"/>
        </w:rPr>
        <w:t> </w:t>
      </w:r>
      <w:r>
        <w:rPr>
          <w:w w:val="105"/>
          <w:sz w:val="21"/>
        </w:rPr>
        <w:t>with</w:t>
      </w:r>
      <w:r>
        <w:rPr>
          <w:spacing w:val="-6"/>
          <w:w w:val="105"/>
          <w:sz w:val="21"/>
        </w:rPr>
        <w:t> </w:t>
      </w:r>
      <w:r>
        <w:rPr>
          <w:w w:val="105"/>
          <w:sz w:val="21"/>
        </w:rPr>
        <w:t>broad</w:t>
      </w:r>
      <w:r>
        <w:rPr>
          <w:spacing w:val="-6"/>
          <w:w w:val="105"/>
          <w:sz w:val="21"/>
        </w:rPr>
        <w:t> </w:t>
      </w:r>
      <w:r>
        <w:rPr>
          <w:spacing w:val="-3"/>
          <w:w w:val="105"/>
          <w:sz w:val="21"/>
        </w:rPr>
        <w:t>discretion</w:t>
      </w:r>
      <w:r>
        <w:rPr>
          <w:spacing w:val="-6"/>
          <w:w w:val="105"/>
          <w:sz w:val="21"/>
        </w:rPr>
        <w:t> </w:t>
      </w:r>
      <w:r>
        <w:rPr>
          <w:spacing w:val="-3"/>
          <w:w w:val="105"/>
          <w:sz w:val="21"/>
        </w:rPr>
        <w:t>to</w:t>
      </w:r>
      <w:r>
        <w:rPr>
          <w:spacing w:val="-6"/>
          <w:w w:val="105"/>
          <w:sz w:val="21"/>
        </w:rPr>
        <w:t> </w:t>
      </w:r>
      <w:r>
        <w:rPr>
          <w:spacing w:val="-4"/>
          <w:w w:val="105"/>
          <w:sz w:val="21"/>
        </w:rPr>
        <w:t>make</w:t>
      </w:r>
      <w:r>
        <w:rPr>
          <w:spacing w:val="-6"/>
          <w:w w:val="105"/>
          <w:sz w:val="21"/>
        </w:rPr>
        <w:t> </w:t>
      </w:r>
      <w:r>
        <w:rPr>
          <w:spacing w:val="-3"/>
          <w:w w:val="105"/>
          <w:sz w:val="21"/>
        </w:rPr>
        <w:t>such</w:t>
      </w:r>
      <w:r>
        <w:rPr>
          <w:spacing w:val="-5"/>
          <w:w w:val="105"/>
          <w:sz w:val="21"/>
        </w:rPr>
        <w:t> </w:t>
      </w:r>
      <w:r>
        <w:rPr>
          <w:w w:val="105"/>
          <w:sz w:val="21"/>
        </w:rPr>
        <w:t>orders</w:t>
      </w:r>
      <w:r>
        <w:rPr>
          <w:spacing w:val="-6"/>
          <w:w w:val="105"/>
          <w:sz w:val="21"/>
        </w:rPr>
        <w:t> </w:t>
      </w:r>
      <w:r>
        <w:rPr>
          <w:w w:val="105"/>
          <w:sz w:val="21"/>
        </w:rPr>
        <w:t>as</w:t>
      </w:r>
      <w:r>
        <w:rPr>
          <w:spacing w:val="-6"/>
          <w:w w:val="105"/>
          <w:sz w:val="21"/>
        </w:rPr>
        <w:t> </w:t>
      </w:r>
      <w:r>
        <w:rPr>
          <w:w w:val="105"/>
          <w:sz w:val="21"/>
        </w:rPr>
        <w:t>it considers </w:t>
      </w:r>
      <w:r>
        <w:rPr>
          <w:spacing w:val="-3"/>
          <w:w w:val="105"/>
          <w:sz w:val="21"/>
        </w:rPr>
        <w:t>appropriate,</w:t>
      </w:r>
      <w:r>
        <w:rPr>
          <w:spacing w:val="10"/>
          <w:w w:val="105"/>
          <w:sz w:val="21"/>
        </w:rPr>
        <w:t> </w:t>
      </w:r>
      <w:r>
        <w:rPr>
          <w:spacing w:val="-3"/>
          <w:w w:val="105"/>
          <w:sz w:val="21"/>
        </w:rPr>
        <w:t>including:</w:t>
      </w:r>
    </w:p>
    <w:p>
      <w:pPr>
        <w:pStyle w:val="ListParagraph"/>
        <w:numPr>
          <w:ilvl w:val="1"/>
          <w:numId w:val="10"/>
        </w:numPr>
        <w:tabs>
          <w:tab w:pos="2721" w:val="left" w:leader="none"/>
          <w:tab w:pos="2722" w:val="left" w:leader="none"/>
        </w:tabs>
        <w:spacing w:line="240" w:lineRule="auto" w:before="122" w:after="0"/>
        <w:ind w:left="2721" w:right="0" w:hanging="567"/>
        <w:jc w:val="left"/>
        <w:rPr>
          <w:sz w:val="21"/>
        </w:rPr>
      </w:pPr>
      <w:r>
        <w:rPr>
          <w:spacing w:val="-3"/>
          <w:w w:val="105"/>
          <w:sz w:val="21"/>
        </w:rPr>
        <w:t>requiring </w:t>
      </w:r>
      <w:r>
        <w:rPr>
          <w:w w:val="105"/>
          <w:sz w:val="21"/>
        </w:rPr>
        <w:t>the taking of specified</w:t>
      </w:r>
      <w:r>
        <w:rPr>
          <w:spacing w:val="28"/>
          <w:w w:val="105"/>
          <w:sz w:val="21"/>
        </w:rPr>
        <w:t> </w:t>
      </w:r>
      <w:r>
        <w:rPr>
          <w:w w:val="105"/>
          <w:sz w:val="21"/>
        </w:rPr>
        <w:t>action</w:t>
      </w:r>
    </w:p>
    <w:p>
      <w:pPr>
        <w:pStyle w:val="ListParagraph"/>
        <w:numPr>
          <w:ilvl w:val="1"/>
          <w:numId w:val="10"/>
        </w:numPr>
        <w:tabs>
          <w:tab w:pos="2721" w:val="left" w:leader="none"/>
          <w:tab w:pos="2722" w:val="left" w:leader="none"/>
        </w:tabs>
        <w:spacing w:line="242" w:lineRule="auto" w:before="124" w:after="0"/>
        <w:ind w:left="2721" w:right="1745" w:hanging="567"/>
        <w:jc w:val="left"/>
        <w:rPr>
          <w:sz w:val="21"/>
        </w:rPr>
      </w:pPr>
      <w:r>
        <w:rPr>
          <w:spacing w:val="-3"/>
          <w:w w:val="105"/>
          <w:sz w:val="21"/>
        </w:rPr>
        <w:t>enabling</w:t>
      </w:r>
      <w:r>
        <w:rPr>
          <w:spacing w:val="-4"/>
          <w:w w:val="105"/>
          <w:sz w:val="21"/>
        </w:rPr>
        <w:t> </w:t>
      </w:r>
      <w:r>
        <w:rPr>
          <w:w w:val="105"/>
          <w:sz w:val="21"/>
        </w:rPr>
        <w:t>entry</w:t>
      </w:r>
      <w:r>
        <w:rPr>
          <w:spacing w:val="-3"/>
          <w:w w:val="105"/>
          <w:sz w:val="21"/>
        </w:rPr>
        <w:t> to</w:t>
      </w:r>
      <w:r>
        <w:rPr>
          <w:spacing w:val="-4"/>
          <w:w w:val="105"/>
          <w:sz w:val="21"/>
        </w:rPr>
        <w:t> </w:t>
      </w:r>
      <w:r>
        <w:rPr>
          <w:spacing w:val="-3"/>
          <w:w w:val="105"/>
          <w:sz w:val="21"/>
        </w:rPr>
        <w:t>land for</w:t>
      </w:r>
      <w:r>
        <w:rPr>
          <w:spacing w:val="-4"/>
          <w:w w:val="105"/>
          <w:sz w:val="21"/>
        </w:rPr>
        <w:t> </w:t>
      </w:r>
      <w:r>
        <w:rPr>
          <w:w w:val="105"/>
          <w:sz w:val="21"/>
        </w:rPr>
        <w:t>the</w:t>
      </w:r>
      <w:r>
        <w:rPr>
          <w:spacing w:val="-3"/>
          <w:w w:val="105"/>
          <w:sz w:val="21"/>
        </w:rPr>
        <w:t> </w:t>
      </w:r>
      <w:r>
        <w:rPr>
          <w:w w:val="105"/>
          <w:sz w:val="21"/>
        </w:rPr>
        <w:t>purposes</w:t>
      </w:r>
      <w:r>
        <w:rPr>
          <w:spacing w:val="-4"/>
          <w:w w:val="105"/>
          <w:sz w:val="21"/>
        </w:rPr>
        <w:t> </w:t>
      </w:r>
      <w:r>
        <w:rPr>
          <w:w w:val="105"/>
          <w:sz w:val="21"/>
        </w:rPr>
        <w:t>of</w:t>
      </w:r>
      <w:r>
        <w:rPr>
          <w:spacing w:val="-3"/>
          <w:w w:val="105"/>
          <w:sz w:val="21"/>
        </w:rPr>
        <w:t> </w:t>
      </w:r>
      <w:r>
        <w:rPr>
          <w:w w:val="105"/>
          <w:sz w:val="21"/>
        </w:rPr>
        <w:t>carrying</w:t>
      </w:r>
      <w:r>
        <w:rPr>
          <w:spacing w:val="-4"/>
          <w:w w:val="105"/>
          <w:sz w:val="21"/>
        </w:rPr>
        <w:t> </w:t>
      </w:r>
      <w:r>
        <w:rPr>
          <w:w w:val="105"/>
          <w:sz w:val="21"/>
        </w:rPr>
        <w:t>out</w:t>
      </w:r>
      <w:r>
        <w:rPr>
          <w:spacing w:val="-3"/>
          <w:w w:val="105"/>
          <w:sz w:val="21"/>
        </w:rPr>
        <w:t> </w:t>
      </w:r>
      <w:r>
        <w:rPr>
          <w:w w:val="105"/>
          <w:sz w:val="21"/>
        </w:rPr>
        <w:t>an</w:t>
      </w:r>
      <w:r>
        <w:rPr>
          <w:spacing w:val="-4"/>
          <w:w w:val="105"/>
          <w:sz w:val="21"/>
        </w:rPr>
        <w:t> </w:t>
      </w:r>
      <w:r>
        <w:rPr>
          <w:w w:val="105"/>
          <w:sz w:val="21"/>
        </w:rPr>
        <w:t>order</w:t>
      </w:r>
      <w:r>
        <w:rPr>
          <w:spacing w:val="-3"/>
          <w:w w:val="105"/>
          <w:sz w:val="21"/>
        </w:rPr>
        <w:t> </w:t>
      </w:r>
      <w:r>
        <w:rPr>
          <w:w w:val="105"/>
          <w:sz w:val="21"/>
        </w:rPr>
        <w:t>or</w:t>
      </w:r>
      <w:r>
        <w:rPr>
          <w:spacing w:val="-4"/>
          <w:w w:val="105"/>
          <w:sz w:val="21"/>
        </w:rPr>
        <w:t> </w:t>
      </w:r>
      <w:r>
        <w:rPr>
          <w:spacing w:val="-3"/>
          <w:w w:val="105"/>
          <w:sz w:val="21"/>
        </w:rPr>
        <w:t>to </w:t>
      </w:r>
      <w:r>
        <w:rPr>
          <w:w w:val="105"/>
          <w:sz w:val="21"/>
        </w:rPr>
        <w:t>obtain</w:t>
      </w:r>
      <w:r>
        <w:rPr>
          <w:spacing w:val="-4"/>
          <w:w w:val="105"/>
          <w:sz w:val="21"/>
        </w:rPr>
        <w:t> </w:t>
      </w:r>
      <w:r>
        <w:rPr>
          <w:w w:val="105"/>
          <w:sz w:val="21"/>
        </w:rPr>
        <w:t>a</w:t>
      </w:r>
      <w:r>
        <w:rPr>
          <w:spacing w:val="-3"/>
          <w:w w:val="105"/>
          <w:sz w:val="21"/>
        </w:rPr>
        <w:t> quote for </w:t>
      </w:r>
      <w:r>
        <w:rPr>
          <w:w w:val="105"/>
          <w:sz w:val="21"/>
        </w:rPr>
        <w:t>carrying out the tree</w:t>
      </w:r>
      <w:r>
        <w:rPr>
          <w:spacing w:val="27"/>
          <w:w w:val="105"/>
          <w:sz w:val="21"/>
        </w:rPr>
        <w:t> </w:t>
      </w:r>
      <w:r>
        <w:rPr>
          <w:w w:val="105"/>
          <w:sz w:val="21"/>
        </w:rPr>
        <w:t>works</w:t>
      </w:r>
    </w:p>
    <w:p>
      <w:pPr>
        <w:pStyle w:val="ListParagraph"/>
        <w:numPr>
          <w:ilvl w:val="1"/>
          <w:numId w:val="10"/>
        </w:numPr>
        <w:tabs>
          <w:tab w:pos="2720" w:val="left" w:leader="none"/>
          <w:tab w:pos="2721" w:val="left" w:leader="none"/>
        </w:tabs>
        <w:spacing w:line="240" w:lineRule="auto" w:before="122" w:after="0"/>
        <w:ind w:left="2720" w:right="0" w:hanging="566"/>
        <w:jc w:val="left"/>
        <w:rPr>
          <w:sz w:val="21"/>
        </w:rPr>
      </w:pPr>
      <w:r>
        <w:rPr>
          <w:spacing w:val="-3"/>
          <w:w w:val="105"/>
          <w:sz w:val="21"/>
        </w:rPr>
        <w:t>requiring </w:t>
      </w:r>
      <w:r>
        <w:rPr>
          <w:w w:val="105"/>
          <w:sz w:val="21"/>
        </w:rPr>
        <w:t>the payment of the costs of tree</w:t>
      </w:r>
      <w:r>
        <w:rPr>
          <w:spacing w:val="38"/>
          <w:w w:val="105"/>
          <w:sz w:val="21"/>
        </w:rPr>
        <w:t> </w:t>
      </w:r>
      <w:r>
        <w:rPr>
          <w:w w:val="105"/>
          <w:sz w:val="21"/>
        </w:rPr>
        <w:t>works</w:t>
      </w:r>
    </w:p>
    <w:p>
      <w:pPr>
        <w:pStyle w:val="ListParagraph"/>
        <w:numPr>
          <w:ilvl w:val="1"/>
          <w:numId w:val="10"/>
        </w:numPr>
        <w:tabs>
          <w:tab w:pos="2720" w:val="left" w:leader="none"/>
          <w:tab w:pos="2721" w:val="left" w:leader="none"/>
        </w:tabs>
        <w:spacing w:line="240" w:lineRule="auto" w:before="124" w:after="0"/>
        <w:ind w:left="2720" w:right="0" w:hanging="567"/>
        <w:jc w:val="left"/>
        <w:rPr>
          <w:sz w:val="21"/>
        </w:rPr>
      </w:pPr>
      <w:r>
        <w:rPr>
          <w:spacing w:val="-3"/>
          <w:w w:val="105"/>
          <w:sz w:val="21"/>
        </w:rPr>
        <w:t>requiring </w:t>
      </w:r>
      <w:r>
        <w:rPr>
          <w:w w:val="105"/>
          <w:sz w:val="21"/>
        </w:rPr>
        <w:t>the payment of compensation </w:t>
      </w:r>
      <w:r>
        <w:rPr>
          <w:spacing w:val="-3"/>
          <w:w w:val="105"/>
          <w:sz w:val="21"/>
        </w:rPr>
        <w:t>for </w:t>
      </w:r>
      <w:r>
        <w:rPr>
          <w:w w:val="105"/>
          <w:sz w:val="21"/>
        </w:rPr>
        <w:t>property</w:t>
      </w:r>
      <w:r>
        <w:rPr>
          <w:spacing w:val="33"/>
          <w:w w:val="105"/>
          <w:sz w:val="21"/>
        </w:rPr>
        <w:t> </w:t>
      </w:r>
      <w:r>
        <w:rPr>
          <w:w w:val="105"/>
          <w:sz w:val="21"/>
        </w:rPr>
        <w:t>damage</w:t>
      </w:r>
    </w:p>
    <w:p>
      <w:pPr>
        <w:pStyle w:val="ListParagraph"/>
        <w:numPr>
          <w:ilvl w:val="1"/>
          <w:numId w:val="10"/>
        </w:numPr>
        <w:tabs>
          <w:tab w:pos="2720" w:val="left" w:leader="none"/>
          <w:tab w:pos="2721" w:val="left" w:leader="none"/>
        </w:tabs>
        <w:spacing w:line="242" w:lineRule="auto" w:before="124" w:after="0"/>
        <w:ind w:left="2720" w:right="2579" w:hanging="567"/>
        <w:jc w:val="left"/>
        <w:rPr>
          <w:sz w:val="21"/>
        </w:rPr>
      </w:pPr>
      <w:r>
        <w:rPr>
          <w:spacing w:val="-3"/>
          <w:sz w:val="21"/>
        </w:rPr>
        <w:t>requiring </w:t>
      </w:r>
      <w:r>
        <w:rPr>
          <w:sz w:val="21"/>
        </w:rPr>
        <w:t>a </w:t>
      </w:r>
      <w:r>
        <w:rPr>
          <w:spacing w:val="-3"/>
          <w:sz w:val="21"/>
        </w:rPr>
        <w:t>replacement </w:t>
      </w:r>
      <w:r>
        <w:rPr>
          <w:sz w:val="21"/>
        </w:rPr>
        <w:t>tree </w:t>
      </w:r>
      <w:r>
        <w:rPr>
          <w:spacing w:val="-3"/>
          <w:sz w:val="21"/>
        </w:rPr>
        <w:t>to </w:t>
      </w:r>
      <w:r>
        <w:rPr>
          <w:sz w:val="21"/>
        </w:rPr>
        <w:t>be </w:t>
      </w:r>
      <w:r>
        <w:rPr>
          <w:spacing w:val="-3"/>
          <w:sz w:val="21"/>
        </w:rPr>
        <w:t>planted </w:t>
      </w:r>
      <w:r>
        <w:rPr>
          <w:sz w:val="21"/>
        </w:rPr>
        <w:t>in a specified location and </w:t>
      </w:r>
      <w:r>
        <w:rPr>
          <w:spacing w:val="-3"/>
          <w:sz w:val="21"/>
        </w:rPr>
        <w:t>to </w:t>
      </w:r>
      <w:r>
        <w:rPr>
          <w:sz w:val="21"/>
        </w:rPr>
        <w:t>be </w:t>
      </w:r>
      <w:r>
        <w:rPr>
          <w:spacing w:val="-3"/>
          <w:sz w:val="21"/>
        </w:rPr>
        <w:t>maintained to mature </w:t>
      </w:r>
      <w:r>
        <w:rPr>
          <w:sz w:val="21"/>
        </w:rPr>
        <w:t>growth if a tree is ordered </w:t>
      </w:r>
      <w:r>
        <w:rPr>
          <w:spacing w:val="-3"/>
          <w:sz w:val="21"/>
        </w:rPr>
        <w:t>to </w:t>
      </w:r>
      <w:r>
        <w:rPr>
          <w:sz w:val="21"/>
        </w:rPr>
        <w:t>be </w:t>
      </w:r>
      <w:r>
        <w:rPr>
          <w:spacing w:val="-3"/>
          <w:sz w:val="21"/>
        </w:rPr>
        <w:t>removed,</w:t>
      </w:r>
      <w:r>
        <w:rPr>
          <w:spacing w:val="-9"/>
          <w:sz w:val="21"/>
        </w:rPr>
        <w:t> </w:t>
      </w:r>
      <w:r>
        <w:rPr>
          <w:sz w:val="21"/>
        </w:rPr>
        <w:t>or</w:t>
      </w:r>
    </w:p>
    <w:p>
      <w:pPr>
        <w:pStyle w:val="ListParagraph"/>
        <w:numPr>
          <w:ilvl w:val="1"/>
          <w:numId w:val="10"/>
        </w:numPr>
        <w:tabs>
          <w:tab w:pos="2720" w:val="left" w:leader="none"/>
          <w:tab w:pos="2721" w:val="left" w:leader="none"/>
        </w:tabs>
        <w:spacing w:line="240" w:lineRule="auto" w:before="122" w:after="0"/>
        <w:ind w:left="2720" w:right="0" w:hanging="567"/>
        <w:jc w:val="left"/>
        <w:rPr>
          <w:sz w:val="21"/>
        </w:rPr>
      </w:pPr>
      <w:r>
        <w:rPr>
          <w:spacing w:val="-3"/>
          <w:w w:val="105"/>
          <w:sz w:val="21"/>
        </w:rPr>
        <w:t>requiring </w:t>
      </w:r>
      <w:r>
        <w:rPr>
          <w:w w:val="105"/>
          <w:sz w:val="21"/>
        </w:rPr>
        <w:t>ongoing </w:t>
      </w:r>
      <w:r>
        <w:rPr>
          <w:spacing w:val="-3"/>
          <w:w w:val="105"/>
          <w:sz w:val="21"/>
        </w:rPr>
        <w:t>maintenance for </w:t>
      </w:r>
      <w:r>
        <w:rPr>
          <w:w w:val="105"/>
          <w:sz w:val="21"/>
        </w:rPr>
        <w:t>a specified time</w:t>
      </w:r>
      <w:r>
        <w:rPr>
          <w:spacing w:val="40"/>
          <w:w w:val="105"/>
          <w:sz w:val="21"/>
        </w:rPr>
        <w:t> </w:t>
      </w:r>
      <w:r>
        <w:rPr>
          <w:w w:val="105"/>
          <w:sz w:val="21"/>
        </w:rPr>
        <w:t>period.</w:t>
      </w:r>
    </w:p>
    <w:p>
      <w:pPr>
        <w:pStyle w:val="ListParagraph"/>
        <w:numPr>
          <w:ilvl w:val="0"/>
          <w:numId w:val="10"/>
        </w:numPr>
        <w:tabs>
          <w:tab w:pos="2154" w:val="left" w:leader="none"/>
          <w:tab w:pos="2155" w:val="left" w:leader="none"/>
        </w:tabs>
        <w:spacing w:line="242" w:lineRule="auto" w:before="124" w:after="0"/>
        <w:ind w:left="2154" w:right="1748" w:hanging="567"/>
        <w:jc w:val="left"/>
        <w:rPr>
          <w:sz w:val="21"/>
        </w:rPr>
      </w:pPr>
      <w:r>
        <w:rPr>
          <w:sz w:val="21"/>
        </w:rPr>
        <w:t>The Act should </w:t>
      </w:r>
      <w:r>
        <w:rPr>
          <w:spacing w:val="-3"/>
          <w:sz w:val="21"/>
        </w:rPr>
        <w:t>require that </w:t>
      </w:r>
      <w:r>
        <w:rPr>
          <w:sz w:val="21"/>
        </w:rPr>
        <w:t>work </w:t>
      </w:r>
      <w:r>
        <w:rPr>
          <w:spacing w:val="-3"/>
          <w:sz w:val="21"/>
        </w:rPr>
        <w:t>that </w:t>
      </w:r>
      <w:r>
        <w:rPr>
          <w:sz w:val="21"/>
        </w:rPr>
        <w:t>is carried out </w:t>
      </w:r>
      <w:r>
        <w:rPr>
          <w:spacing w:val="-3"/>
          <w:sz w:val="21"/>
        </w:rPr>
        <w:t>pursuant to </w:t>
      </w:r>
      <w:r>
        <w:rPr>
          <w:sz w:val="21"/>
        </w:rPr>
        <w:t>orders </w:t>
      </w:r>
      <w:r>
        <w:rPr>
          <w:spacing w:val="-3"/>
          <w:sz w:val="21"/>
        </w:rPr>
        <w:t>complies </w:t>
      </w:r>
      <w:r>
        <w:rPr>
          <w:sz w:val="21"/>
        </w:rPr>
        <w:t>with the </w:t>
      </w:r>
      <w:r>
        <w:rPr>
          <w:spacing w:val="-3"/>
          <w:sz w:val="21"/>
        </w:rPr>
        <w:t>relevant Australian Standards  </w:t>
      </w:r>
      <w:r>
        <w:rPr>
          <w:sz w:val="21"/>
        </w:rPr>
        <w:t>and undertaken by a suitably qualified arborist as </w:t>
      </w:r>
      <w:r>
        <w:rPr>
          <w:spacing w:val="-3"/>
          <w:sz w:val="21"/>
        </w:rPr>
        <w:t>determined  </w:t>
      </w:r>
      <w:r>
        <w:rPr>
          <w:sz w:val="21"/>
        </w:rPr>
        <w:t>by the Victorian </w:t>
      </w:r>
      <w:r>
        <w:rPr>
          <w:spacing w:val="-3"/>
          <w:sz w:val="21"/>
        </w:rPr>
        <w:t>Civil </w:t>
      </w:r>
      <w:r>
        <w:rPr>
          <w:sz w:val="21"/>
        </w:rPr>
        <w:t>and </w:t>
      </w:r>
      <w:r>
        <w:rPr>
          <w:spacing w:val="-3"/>
          <w:sz w:val="21"/>
        </w:rPr>
        <w:t>Administrative</w:t>
      </w:r>
      <w:r>
        <w:rPr>
          <w:spacing w:val="16"/>
          <w:sz w:val="21"/>
        </w:rPr>
        <w:t> </w:t>
      </w:r>
      <w:r>
        <w:rPr>
          <w:spacing w:val="-5"/>
          <w:sz w:val="21"/>
        </w:rPr>
        <w:t>Tribunal.</w:t>
      </w:r>
    </w:p>
    <w:p>
      <w:pPr>
        <w:pStyle w:val="BodyText"/>
        <w:rPr>
          <w:sz w:val="20"/>
        </w:rPr>
      </w:pPr>
    </w:p>
    <w:p>
      <w:pPr>
        <w:pStyle w:val="BodyText"/>
        <w:spacing w:before="7"/>
        <w:rPr>
          <w:sz w:val="27"/>
        </w:rPr>
      </w:pPr>
    </w:p>
    <w:p>
      <w:pPr>
        <w:spacing w:before="97"/>
        <w:ind w:left="720" w:right="0" w:firstLine="0"/>
        <w:jc w:val="left"/>
        <w:rPr>
          <w:b/>
          <w:sz w:val="24"/>
        </w:rPr>
      </w:pPr>
      <w:r>
        <w:rPr>
          <w:b/>
          <w:color w:val="658464"/>
          <w:w w:val="120"/>
          <w:sz w:val="24"/>
        </w:rPr>
        <w:t>xxvi</w:t>
      </w:r>
    </w:p>
    <w:p>
      <w:pPr>
        <w:spacing w:after="0"/>
        <w:jc w:val="left"/>
        <w:rPr>
          <w:sz w:val="24"/>
        </w:rPr>
        <w:sectPr>
          <w:pgSz w:w="11910" w:h="16840"/>
          <w:pgMar w:header="546" w:footer="0" w:top="1560" w:bottom="280" w:left="0" w:right="0"/>
        </w:sectPr>
      </w:pPr>
    </w:p>
    <w:p>
      <w:pPr>
        <w:pStyle w:val="BodyText"/>
        <w:spacing w:before="9"/>
        <w:rPr>
          <w:b/>
          <w:sz w:val="22"/>
        </w:rPr>
      </w:pPr>
    </w:p>
    <w:p>
      <w:pPr>
        <w:pStyle w:val="ListParagraph"/>
        <w:numPr>
          <w:ilvl w:val="0"/>
          <w:numId w:val="11"/>
        </w:numPr>
        <w:tabs>
          <w:tab w:pos="2154" w:val="left" w:leader="none"/>
          <w:tab w:pos="2155" w:val="left" w:leader="none"/>
        </w:tabs>
        <w:spacing w:line="242" w:lineRule="auto" w:before="92" w:after="0"/>
        <w:ind w:left="2154" w:right="1668" w:hanging="567"/>
        <w:jc w:val="left"/>
        <w:rPr>
          <w:sz w:val="21"/>
        </w:rPr>
      </w:pPr>
      <w:r>
        <w:rPr>
          <w:sz w:val="21"/>
        </w:rPr>
        <w:t>The Act should </w:t>
      </w:r>
      <w:r>
        <w:rPr>
          <w:spacing w:val="-3"/>
          <w:sz w:val="21"/>
        </w:rPr>
        <w:t>require  </w:t>
      </w:r>
      <w:r>
        <w:rPr>
          <w:sz w:val="21"/>
        </w:rPr>
        <w:t>the Victorian </w:t>
      </w:r>
      <w:r>
        <w:rPr>
          <w:spacing w:val="-3"/>
          <w:sz w:val="21"/>
        </w:rPr>
        <w:t>Civil</w:t>
      </w:r>
      <w:r>
        <w:rPr>
          <w:spacing w:val="41"/>
          <w:sz w:val="21"/>
        </w:rPr>
        <w:t> </w:t>
      </w:r>
      <w:r>
        <w:rPr>
          <w:sz w:val="21"/>
        </w:rPr>
        <w:t>and </w:t>
      </w:r>
      <w:r>
        <w:rPr>
          <w:spacing w:val="-3"/>
          <w:sz w:val="21"/>
        </w:rPr>
        <w:t>Administrative  </w:t>
      </w:r>
      <w:r>
        <w:rPr>
          <w:spacing w:val="-5"/>
          <w:sz w:val="21"/>
        </w:rPr>
        <w:t>Tribunal  </w:t>
      </w:r>
      <w:r>
        <w:rPr>
          <w:spacing w:val="-3"/>
          <w:sz w:val="21"/>
        </w:rPr>
        <w:t>to  </w:t>
      </w:r>
      <w:r>
        <w:rPr>
          <w:sz w:val="21"/>
        </w:rPr>
        <w:t>provide a </w:t>
      </w:r>
      <w:r>
        <w:rPr>
          <w:spacing w:val="-3"/>
          <w:sz w:val="21"/>
        </w:rPr>
        <w:t>copy  </w:t>
      </w:r>
      <w:r>
        <w:rPr>
          <w:sz w:val="21"/>
        </w:rPr>
        <w:t>of </w:t>
      </w:r>
      <w:r>
        <w:rPr>
          <w:spacing w:val="-3"/>
          <w:sz w:val="21"/>
        </w:rPr>
        <w:t>any </w:t>
      </w:r>
      <w:r>
        <w:rPr>
          <w:sz w:val="21"/>
        </w:rPr>
        <w:t>orders made </w:t>
      </w:r>
      <w:r>
        <w:rPr>
          <w:spacing w:val="-3"/>
          <w:sz w:val="21"/>
        </w:rPr>
        <w:t>to any relevant </w:t>
      </w:r>
      <w:r>
        <w:rPr>
          <w:sz w:val="21"/>
        </w:rPr>
        <w:t>authority who would otherwise be </w:t>
      </w:r>
      <w:r>
        <w:rPr>
          <w:spacing w:val="-3"/>
          <w:sz w:val="21"/>
        </w:rPr>
        <w:t>required to </w:t>
      </w:r>
      <w:r>
        <w:rPr>
          <w:sz w:val="21"/>
        </w:rPr>
        <w:t>authorise or </w:t>
      </w:r>
      <w:r>
        <w:rPr>
          <w:spacing w:val="-3"/>
          <w:sz w:val="21"/>
        </w:rPr>
        <w:t>consent to </w:t>
      </w:r>
      <w:r>
        <w:rPr>
          <w:sz w:val="21"/>
        </w:rPr>
        <w:t>works on the</w:t>
      </w:r>
      <w:r>
        <w:rPr>
          <w:spacing w:val="1"/>
          <w:sz w:val="21"/>
        </w:rPr>
        <w:t> </w:t>
      </w:r>
      <w:r>
        <w:rPr>
          <w:spacing w:val="-3"/>
          <w:sz w:val="21"/>
        </w:rPr>
        <w:t>tree.</w:t>
      </w:r>
    </w:p>
    <w:p>
      <w:pPr>
        <w:pStyle w:val="ListParagraph"/>
        <w:numPr>
          <w:ilvl w:val="0"/>
          <w:numId w:val="11"/>
        </w:numPr>
        <w:tabs>
          <w:tab w:pos="2153" w:val="left" w:leader="none"/>
          <w:tab w:pos="2154" w:val="left" w:leader="none"/>
        </w:tabs>
        <w:spacing w:line="242" w:lineRule="auto" w:before="123" w:after="0"/>
        <w:ind w:left="2153" w:right="1774" w:hanging="566"/>
        <w:jc w:val="left"/>
        <w:rPr>
          <w:sz w:val="21"/>
        </w:rPr>
      </w:pPr>
      <w:r>
        <w:rPr>
          <w:sz w:val="21"/>
        </w:rPr>
        <w:t>Where new </w:t>
      </w:r>
      <w:r>
        <w:rPr>
          <w:spacing w:val="-3"/>
          <w:sz w:val="21"/>
        </w:rPr>
        <w:t>circumstances are </w:t>
      </w:r>
      <w:r>
        <w:rPr>
          <w:spacing w:val="-2"/>
          <w:sz w:val="21"/>
        </w:rPr>
        <w:t>not </w:t>
      </w:r>
      <w:r>
        <w:rPr>
          <w:spacing w:val="-3"/>
          <w:sz w:val="21"/>
        </w:rPr>
        <w:t>accommodated </w:t>
      </w:r>
      <w:r>
        <w:rPr>
          <w:sz w:val="21"/>
        </w:rPr>
        <w:t>in  the  </w:t>
      </w:r>
      <w:r>
        <w:rPr>
          <w:spacing w:val="-3"/>
          <w:sz w:val="21"/>
        </w:rPr>
        <w:t>original  </w:t>
      </w:r>
      <w:r>
        <w:rPr>
          <w:spacing w:val="-4"/>
          <w:sz w:val="21"/>
        </w:rPr>
        <w:t>order,  </w:t>
      </w:r>
      <w:r>
        <w:rPr>
          <w:sz w:val="21"/>
        </w:rPr>
        <w:t>the  Act  should </w:t>
      </w:r>
      <w:r>
        <w:rPr>
          <w:spacing w:val="-3"/>
          <w:sz w:val="21"/>
        </w:rPr>
        <w:t>allow </w:t>
      </w:r>
      <w:r>
        <w:rPr>
          <w:sz w:val="21"/>
        </w:rPr>
        <w:t>the tree owner or affected </w:t>
      </w:r>
      <w:r>
        <w:rPr>
          <w:spacing w:val="-3"/>
          <w:sz w:val="21"/>
        </w:rPr>
        <w:t>neighbour </w:t>
      </w:r>
      <w:r>
        <w:rPr>
          <w:sz w:val="21"/>
        </w:rPr>
        <w:t>or </w:t>
      </w:r>
      <w:r>
        <w:rPr>
          <w:spacing w:val="-3"/>
          <w:sz w:val="21"/>
        </w:rPr>
        <w:t>immediate </w:t>
      </w:r>
      <w:r>
        <w:rPr>
          <w:sz w:val="21"/>
        </w:rPr>
        <w:t>successors in title </w:t>
      </w:r>
      <w:r>
        <w:rPr>
          <w:spacing w:val="-3"/>
          <w:sz w:val="21"/>
        </w:rPr>
        <w:t>to </w:t>
      </w:r>
      <w:r>
        <w:rPr>
          <w:sz w:val="21"/>
        </w:rPr>
        <w:t>apply </w:t>
      </w:r>
      <w:r>
        <w:rPr>
          <w:spacing w:val="-3"/>
          <w:sz w:val="21"/>
        </w:rPr>
        <w:t>to </w:t>
      </w:r>
      <w:r>
        <w:rPr>
          <w:sz w:val="21"/>
        </w:rPr>
        <w:t>the Victorian</w:t>
      </w:r>
      <w:r>
        <w:rPr>
          <w:spacing w:val="13"/>
          <w:sz w:val="21"/>
        </w:rPr>
        <w:t> </w:t>
      </w:r>
      <w:r>
        <w:rPr>
          <w:spacing w:val="-3"/>
          <w:sz w:val="21"/>
        </w:rPr>
        <w:t>Civil</w:t>
      </w:r>
      <w:r>
        <w:rPr>
          <w:spacing w:val="13"/>
          <w:sz w:val="21"/>
        </w:rPr>
        <w:t> </w:t>
      </w:r>
      <w:r>
        <w:rPr>
          <w:sz w:val="21"/>
        </w:rPr>
        <w:t>and</w:t>
      </w:r>
      <w:r>
        <w:rPr>
          <w:spacing w:val="13"/>
          <w:sz w:val="21"/>
        </w:rPr>
        <w:t> </w:t>
      </w:r>
      <w:r>
        <w:rPr>
          <w:spacing w:val="-3"/>
          <w:sz w:val="21"/>
        </w:rPr>
        <w:t>Administrative</w:t>
      </w:r>
      <w:r>
        <w:rPr>
          <w:spacing w:val="14"/>
          <w:sz w:val="21"/>
        </w:rPr>
        <w:t> </w:t>
      </w:r>
      <w:r>
        <w:rPr>
          <w:spacing w:val="-5"/>
          <w:sz w:val="21"/>
        </w:rPr>
        <w:t>Tribunal</w:t>
      </w:r>
      <w:r>
        <w:rPr>
          <w:spacing w:val="13"/>
          <w:sz w:val="21"/>
        </w:rPr>
        <w:t> </w:t>
      </w:r>
      <w:r>
        <w:rPr>
          <w:spacing w:val="-3"/>
          <w:sz w:val="21"/>
        </w:rPr>
        <w:t>to</w:t>
      </w:r>
      <w:r>
        <w:rPr>
          <w:spacing w:val="13"/>
          <w:sz w:val="21"/>
        </w:rPr>
        <w:t> </w:t>
      </w:r>
      <w:r>
        <w:rPr>
          <w:sz w:val="21"/>
        </w:rPr>
        <w:t>vary</w:t>
      </w:r>
      <w:r>
        <w:rPr>
          <w:spacing w:val="14"/>
          <w:sz w:val="21"/>
        </w:rPr>
        <w:t> </w:t>
      </w:r>
      <w:r>
        <w:rPr>
          <w:sz w:val="21"/>
        </w:rPr>
        <w:t>or</w:t>
      </w:r>
      <w:r>
        <w:rPr>
          <w:spacing w:val="13"/>
          <w:sz w:val="21"/>
        </w:rPr>
        <w:t> </w:t>
      </w:r>
      <w:r>
        <w:rPr>
          <w:spacing w:val="-4"/>
          <w:sz w:val="21"/>
        </w:rPr>
        <w:t>revoke</w:t>
      </w:r>
      <w:r>
        <w:rPr>
          <w:spacing w:val="13"/>
          <w:sz w:val="21"/>
        </w:rPr>
        <w:t> </w:t>
      </w:r>
      <w:r>
        <w:rPr>
          <w:sz w:val="21"/>
        </w:rPr>
        <w:t>the</w:t>
      </w:r>
      <w:r>
        <w:rPr>
          <w:spacing w:val="14"/>
          <w:sz w:val="21"/>
        </w:rPr>
        <w:t> </w:t>
      </w:r>
      <w:r>
        <w:rPr>
          <w:spacing w:val="-3"/>
          <w:sz w:val="21"/>
        </w:rPr>
        <w:t>original</w:t>
      </w:r>
      <w:r>
        <w:rPr>
          <w:spacing w:val="13"/>
          <w:sz w:val="21"/>
        </w:rPr>
        <w:t> </w:t>
      </w:r>
      <w:r>
        <w:rPr>
          <w:spacing w:val="-4"/>
          <w:sz w:val="21"/>
        </w:rPr>
        <w:t>order.</w:t>
      </w:r>
    </w:p>
    <w:p>
      <w:pPr>
        <w:pStyle w:val="ListParagraph"/>
        <w:numPr>
          <w:ilvl w:val="0"/>
          <w:numId w:val="11"/>
        </w:numPr>
        <w:tabs>
          <w:tab w:pos="2153" w:val="left" w:leader="none"/>
          <w:tab w:pos="2154" w:val="left" w:leader="none"/>
        </w:tabs>
        <w:spacing w:line="242" w:lineRule="auto" w:before="123" w:after="0"/>
        <w:ind w:left="2153" w:right="1941" w:hanging="567"/>
        <w:jc w:val="left"/>
        <w:rPr>
          <w:sz w:val="21"/>
        </w:rPr>
      </w:pPr>
      <w:r>
        <w:rPr>
          <w:sz w:val="21"/>
        </w:rPr>
        <w:t>The Victorian </w:t>
      </w:r>
      <w:r>
        <w:rPr>
          <w:spacing w:val="-3"/>
          <w:sz w:val="21"/>
        </w:rPr>
        <w:t>Civil </w:t>
      </w:r>
      <w:r>
        <w:rPr>
          <w:sz w:val="21"/>
        </w:rPr>
        <w:t>and </w:t>
      </w:r>
      <w:r>
        <w:rPr>
          <w:spacing w:val="-3"/>
          <w:sz w:val="21"/>
        </w:rPr>
        <w:t>Administrative </w:t>
      </w:r>
      <w:r>
        <w:rPr>
          <w:spacing w:val="-5"/>
          <w:sz w:val="21"/>
        </w:rPr>
        <w:t>Tribunal’s </w:t>
      </w:r>
      <w:r>
        <w:rPr>
          <w:sz w:val="21"/>
        </w:rPr>
        <w:t>powers in </w:t>
      </w:r>
      <w:r>
        <w:rPr>
          <w:spacing w:val="-3"/>
          <w:sz w:val="21"/>
        </w:rPr>
        <w:t>determining </w:t>
      </w:r>
      <w:r>
        <w:rPr>
          <w:sz w:val="21"/>
        </w:rPr>
        <w:t>the application </w:t>
      </w:r>
      <w:r>
        <w:rPr>
          <w:spacing w:val="-3"/>
          <w:sz w:val="21"/>
        </w:rPr>
        <w:t>to </w:t>
      </w:r>
      <w:r>
        <w:rPr>
          <w:sz w:val="21"/>
        </w:rPr>
        <w:t>vary</w:t>
      </w:r>
      <w:r>
        <w:rPr>
          <w:spacing w:val="9"/>
          <w:sz w:val="21"/>
        </w:rPr>
        <w:t> </w:t>
      </w:r>
      <w:r>
        <w:rPr>
          <w:sz w:val="21"/>
        </w:rPr>
        <w:t>or</w:t>
      </w:r>
      <w:r>
        <w:rPr>
          <w:spacing w:val="10"/>
          <w:sz w:val="21"/>
        </w:rPr>
        <w:t> </w:t>
      </w:r>
      <w:r>
        <w:rPr>
          <w:spacing w:val="-4"/>
          <w:sz w:val="21"/>
        </w:rPr>
        <w:t>revoke</w:t>
      </w:r>
      <w:r>
        <w:rPr>
          <w:spacing w:val="10"/>
          <w:sz w:val="21"/>
        </w:rPr>
        <w:t> </w:t>
      </w:r>
      <w:r>
        <w:rPr>
          <w:sz w:val="21"/>
        </w:rPr>
        <w:t>the</w:t>
      </w:r>
      <w:r>
        <w:rPr>
          <w:spacing w:val="10"/>
          <w:sz w:val="21"/>
        </w:rPr>
        <w:t> </w:t>
      </w:r>
      <w:r>
        <w:rPr>
          <w:sz w:val="21"/>
        </w:rPr>
        <w:t>order</w:t>
      </w:r>
      <w:r>
        <w:rPr>
          <w:spacing w:val="10"/>
          <w:sz w:val="21"/>
        </w:rPr>
        <w:t> </w:t>
      </w:r>
      <w:r>
        <w:rPr>
          <w:sz w:val="21"/>
        </w:rPr>
        <w:t>should</w:t>
      </w:r>
      <w:r>
        <w:rPr>
          <w:spacing w:val="9"/>
          <w:sz w:val="21"/>
        </w:rPr>
        <w:t> </w:t>
      </w:r>
      <w:r>
        <w:rPr>
          <w:sz w:val="21"/>
        </w:rPr>
        <w:t>be</w:t>
      </w:r>
      <w:r>
        <w:rPr>
          <w:spacing w:val="10"/>
          <w:sz w:val="21"/>
        </w:rPr>
        <w:t> </w:t>
      </w:r>
      <w:r>
        <w:rPr>
          <w:sz w:val="21"/>
        </w:rPr>
        <w:t>stated</w:t>
      </w:r>
      <w:r>
        <w:rPr>
          <w:spacing w:val="10"/>
          <w:sz w:val="21"/>
        </w:rPr>
        <w:t> </w:t>
      </w:r>
      <w:r>
        <w:rPr>
          <w:sz w:val="21"/>
        </w:rPr>
        <w:t>in</w:t>
      </w:r>
      <w:r>
        <w:rPr>
          <w:spacing w:val="10"/>
          <w:sz w:val="21"/>
        </w:rPr>
        <w:t> </w:t>
      </w:r>
      <w:r>
        <w:rPr>
          <w:sz w:val="21"/>
        </w:rPr>
        <w:t>the</w:t>
      </w:r>
      <w:r>
        <w:rPr>
          <w:spacing w:val="10"/>
          <w:sz w:val="21"/>
        </w:rPr>
        <w:t> </w:t>
      </w:r>
      <w:r>
        <w:rPr>
          <w:sz w:val="21"/>
        </w:rPr>
        <w:t>Act</w:t>
      </w:r>
      <w:r>
        <w:rPr>
          <w:spacing w:val="9"/>
          <w:sz w:val="21"/>
        </w:rPr>
        <w:t> </w:t>
      </w:r>
      <w:r>
        <w:rPr>
          <w:sz w:val="21"/>
        </w:rPr>
        <w:t>as</w:t>
      </w:r>
      <w:r>
        <w:rPr>
          <w:spacing w:val="10"/>
          <w:sz w:val="21"/>
        </w:rPr>
        <w:t> </w:t>
      </w:r>
      <w:r>
        <w:rPr>
          <w:sz w:val="21"/>
        </w:rPr>
        <w:t>the</w:t>
      </w:r>
      <w:r>
        <w:rPr>
          <w:spacing w:val="10"/>
          <w:sz w:val="21"/>
        </w:rPr>
        <w:t> </w:t>
      </w:r>
      <w:r>
        <w:rPr>
          <w:sz w:val="21"/>
        </w:rPr>
        <w:t>power</w:t>
      </w:r>
      <w:r>
        <w:rPr>
          <w:spacing w:val="10"/>
          <w:sz w:val="21"/>
        </w:rPr>
        <w:t> </w:t>
      </w:r>
      <w:r>
        <w:rPr>
          <w:sz w:val="21"/>
        </w:rPr>
        <w:t>to:</w:t>
      </w:r>
    </w:p>
    <w:p>
      <w:pPr>
        <w:pStyle w:val="ListParagraph"/>
        <w:numPr>
          <w:ilvl w:val="1"/>
          <w:numId w:val="11"/>
        </w:numPr>
        <w:tabs>
          <w:tab w:pos="2720" w:val="left" w:leader="none"/>
          <w:tab w:pos="2721" w:val="left" w:leader="none"/>
        </w:tabs>
        <w:spacing w:line="240" w:lineRule="auto" w:before="123" w:after="0"/>
        <w:ind w:left="2720" w:right="0" w:hanging="567"/>
        <w:jc w:val="left"/>
        <w:rPr>
          <w:sz w:val="21"/>
        </w:rPr>
      </w:pPr>
      <w:r>
        <w:rPr>
          <w:sz w:val="21"/>
        </w:rPr>
        <w:t>affirm the </w:t>
      </w:r>
      <w:r>
        <w:rPr>
          <w:spacing w:val="-3"/>
          <w:sz w:val="21"/>
        </w:rPr>
        <w:t>original</w:t>
      </w:r>
      <w:r>
        <w:rPr>
          <w:spacing w:val="25"/>
          <w:sz w:val="21"/>
        </w:rPr>
        <w:t> </w:t>
      </w:r>
      <w:r>
        <w:rPr>
          <w:sz w:val="21"/>
        </w:rPr>
        <w:t>order</w:t>
      </w:r>
    </w:p>
    <w:p>
      <w:pPr>
        <w:pStyle w:val="ListParagraph"/>
        <w:numPr>
          <w:ilvl w:val="1"/>
          <w:numId w:val="11"/>
        </w:numPr>
        <w:tabs>
          <w:tab w:pos="2720" w:val="left" w:leader="none"/>
          <w:tab w:pos="2721" w:val="left" w:leader="none"/>
        </w:tabs>
        <w:spacing w:line="242" w:lineRule="auto" w:before="123" w:after="0"/>
        <w:ind w:left="2720" w:right="1777" w:hanging="567"/>
        <w:jc w:val="left"/>
        <w:rPr>
          <w:sz w:val="21"/>
        </w:rPr>
      </w:pPr>
      <w:r>
        <w:rPr>
          <w:sz w:val="21"/>
        </w:rPr>
        <w:t>vary the </w:t>
      </w:r>
      <w:r>
        <w:rPr>
          <w:spacing w:val="-3"/>
          <w:sz w:val="21"/>
        </w:rPr>
        <w:t>original </w:t>
      </w:r>
      <w:r>
        <w:rPr>
          <w:sz w:val="21"/>
        </w:rPr>
        <w:t>order by </w:t>
      </w:r>
      <w:r>
        <w:rPr>
          <w:spacing w:val="-3"/>
          <w:sz w:val="21"/>
        </w:rPr>
        <w:t>altering </w:t>
      </w:r>
      <w:r>
        <w:rPr>
          <w:sz w:val="21"/>
        </w:rPr>
        <w:t>the </w:t>
      </w:r>
      <w:r>
        <w:rPr>
          <w:spacing w:val="-3"/>
          <w:sz w:val="21"/>
        </w:rPr>
        <w:t>terms </w:t>
      </w:r>
      <w:r>
        <w:rPr>
          <w:sz w:val="21"/>
        </w:rPr>
        <w:t>of the order or by </w:t>
      </w:r>
      <w:r>
        <w:rPr>
          <w:spacing w:val="-3"/>
          <w:sz w:val="21"/>
        </w:rPr>
        <w:t>substituting any </w:t>
      </w:r>
      <w:r>
        <w:rPr>
          <w:sz w:val="21"/>
        </w:rPr>
        <w:t>other order </w:t>
      </w:r>
      <w:r>
        <w:rPr>
          <w:spacing w:val="-3"/>
          <w:sz w:val="21"/>
        </w:rPr>
        <w:t>that </w:t>
      </w:r>
      <w:r>
        <w:rPr>
          <w:sz w:val="21"/>
        </w:rPr>
        <w:t>the Victorian </w:t>
      </w:r>
      <w:r>
        <w:rPr>
          <w:spacing w:val="-3"/>
          <w:sz w:val="21"/>
        </w:rPr>
        <w:t>Civil  </w:t>
      </w:r>
      <w:r>
        <w:rPr>
          <w:sz w:val="21"/>
        </w:rPr>
        <w:t>and </w:t>
      </w:r>
      <w:r>
        <w:rPr>
          <w:spacing w:val="-3"/>
          <w:sz w:val="21"/>
        </w:rPr>
        <w:t>Administrative</w:t>
      </w:r>
      <w:r>
        <w:rPr>
          <w:spacing w:val="41"/>
          <w:sz w:val="21"/>
        </w:rPr>
        <w:t> </w:t>
      </w:r>
      <w:r>
        <w:rPr>
          <w:spacing w:val="-5"/>
          <w:sz w:val="21"/>
        </w:rPr>
        <w:t>Tribunal  </w:t>
      </w:r>
      <w:r>
        <w:rPr>
          <w:spacing w:val="-3"/>
          <w:sz w:val="21"/>
        </w:rPr>
        <w:t>may  </w:t>
      </w:r>
      <w:r>
        <w:rPr>
          <w:spacing w:val="-4"/>
          <w:sz w:val="21"/>
        </w:rPr>
        <w:t>make  </w:t>
      </w:r>
      <w:r>
        <w:rPr>
          <w:sz w:val="21"/>
        </w:rPr>
        <w:t>under the new Act</w:t>
      </w:r>
    </w:p>
    <w:p>
      <w:pPr>
        <w:pStyle w:val="ListParagraph"/>
        <w:numPr>
          <w:ilvl w:val="1"/>
          <w:numId w:val="11"/>
        </w:numPr>
        <w:tabs>
          <w:tab w:pos="2720" w:val="left" w:leader="none"/>
          <w:tab w:pos="2721" w:val="left" w:leader="none"/>
        </w:tabs>
        <w:spacing w:line="240" w:lineRule="auto" w:before="124" w:after="0"/>
        <w:ind w:left="2720" w:right="0" w:hanging="567"/>
        <w:jc w:val="left"/>
        <w:rPr>
          <w:sz w:val="21"/>
        </w:rPr>
      </w:pPr>
      <w:r>
        <w:rPr>
          <w:spacing w:val="-4"/>
          <w:w w:val="105"/>
          <w:sz w:val="21"/>
        </w:rPr>
        <w:t>revoke </w:t>
      </w:r>
      <w:r>
        <w:rPr>
          <w:w w:val="105"/>
          <w:sz w:val="21"/>
        </w:rPr>
        <w:t>an existing</w:t>
      </w:r>
      <w:r>
        <w:rPr>
          <w:spacing w:val="19"/>
          <w:w w:val="105"/>
          <w:sz w:val="21"/>
        </w:rPr>
        <w:t> </w:t>
      </w:r>
      <w:r>
        <w:rPr>
          <w:spacing w:val="-4"/>
          <w:w w:val="105"/>
          <w:sz w:val="21"/>
        </w:rPr>
        <w:t>order.</w:t>
      </w:r>
    </w:p>
    <w:p>
      <w:pPr>
        <w:pStyle w:val="ListParagraph"/>
        <w:numPr>
          <w:ilvl w:val="0"/>
          <w:numId w:val="11"/>
        </w:numPr>
        <w:tabs>
          <w:tab w:pos="2153" w:val="left" w:leader="none"/>
          <w:tab w:pos="2154" w:val="left" w:leader="none"/>
        </w:tabs>
        <w:spacing w:line="242" w:lineRule="auto" w:before="123" w:after="0"/>
        <w:ind w:left="2153" w:right="1727" w:hanging="567"/>
        <w:jc w:val="left"/>
        <w:rPr>
          <w:sz w:val="21"/>
        </w:rPr>
      </w:pPr>
      <w:r>
        <w:rPr>
          <w:sz w:val="21"/>
        </w:rPr>
        <w:t>The </w:t>
      </w:r>
      <w:r>
        <w:rPr>
          <w:spacing w:val="-3"/>
          <w:sz w:val="21"/>
        </w:rPr>
        <w:t>applicant </w:t>
      </w:r>
      <w:r>
        <w:rPr>
          <w:sz w:val="21"/>
        </w:rPr>
        <w:t>should provide </w:t>
      </w:r>
      <w:r>
        <w:rPr>
          <w:spacing w:val="-3"/>
          <w:sz w:val="21"/>
        </w:rPr>
        <w:t>notice </w:t>
      </w:r>
      <w:r>
        <w:rPr>
          <w:sz w:val="21"/>
        </w:rPr>
        <w:t>in writing of the application </w:t>
      </w:r>
      <w:r>
        <w:rPr>
          <w:spacing w:val="-3"/>
          <w:sz w:val="21"/>
        </w:rPr>
        <w:t>to  </w:t>
      </w:r>
      <w:r>
        <w:rPr>
          <w:sz w:val="21"/>
        </w:rPr>
        <w:t>vary  or  </w:t>
      </w:r>
      <w:r>
        <w:rPr>
          <w:spacing w:val="-4"/>
          <w:sz w:val="21"/>
        </w:rPr>
        <w:t>revoke  </w:t>
      </w:r>
      <w:r>
        <w:rPr>
          <w:sz w:val="21"/>
        </w:rPr>
        <w:t>the </w:t>
      </w:r>
      <w:r>
        <w:rPr>
          <w:spacing w:val="-3"/>
          <w:sz w:val="21"/>
        </w:rPr>
        <w:t>original </w:t>
      </w:r>
      <w:r>
        <w:rPr>
          <w:sz w:val="21"/>
        </w:rPr>
        <w:t>order </w:t>
      </w:r>
      <w:r>
        <w:rPr>
          <w:spacing w:val="-3"/>
          <w:sz w:val="21"/>
        </w:rPr>
        <w:t>to </w:t>
      </w:r>
      <w:r>
        <w:rPr>
          <w:sz w:val="21"/>
        </w:rPr>
        <w:t>the </w:t>
      </w:r>
      <w:r>
        <w:rPr>
          <w:spacing w:val="-3"/>
          <w:sz w:val="21"/>
        </w:rPr>
        <w:t>original </w:t>
      </w:r>
      <w:r>
        <w:rPr>
          <w:sz w:val="21"/>
        </w:rPr>
        <w:t>parties </w:t>
      </w:r>
      <w:r>
        <w:rPr>
          <w:spacing w:val="-3"/>
          <w:sz w:val="21"/>
        </w:rPr>
        <w:t>to </w:t>
      </w:r>
      <w:r>
        <w:rPr>
          <w:sz w:val="21"/>
        </w:rPr>
        <w:t>the </w:t>
      </w:r>
      <w:r>
        <w:rPr>
          <w:spacing w:val="-3"/>
          <w:sz w:val="21"/>
        </w:rPr>
        <w:t>dispute </w:t>
      </w:r>
      <w:r>
        <w:rPr>
          <w:sz w:val="21"/>
        </w:rPr>
        <w:t>as </w:t>
      </w:r>
      <w:r>
        <w:rPr>
          <w:spacing w:val="-3"/>
          <w:sz w:val="21"/>
        </w:rPr>
        <w:t>well </w:t>
      </w:r>
      <w:r>
        <w:rPr>
          <w:sz w:val="21"/>
        </w:rPr>
        <w:t>as </w:t>
      </w:r>
      <w:r>
        <w:rPr>
          <w:spacing w:val="-3"/>
          <w:sz w:val="21"/>
        </w:rPr>
        <w:t>any </w:t>
      </w:r>
      <w:r>
        <w:rPr>
          <w:sz w:val="21"/>
        </w:rPr>
        <w:t>other affected parties </w:t>
      </w:r>
      <w:r>
        <w:rPr>
          <w:spacing w:val="-3"/>
          <w:sz w:val="21"/>
        </w:rPr>
        <w:t>that were </w:t>
      </w:r>
      <w:r>
        <w:rPr>
          <w:sz w:val="21"/>
        </w:rPr>
        <w:t>given </w:t>
      </w:r>
      <w:r>
        <w:rPr>
          <w:spacing w:val="-3"/>
          <w:sz w:val="21"/>
        </w:rPr>
        <w:t>notice </w:t>
      </w:r>
      <w:r>
        <w:rPr>
          <w:sz w:val="21"/>
        </w:rPr>
        <w:t>of the </w:t>
      </w:r>
      <w:r>
        <w:rPr>
          <w:spacing w:val="-3"/>
          <w:sz w:val="21"/>
        </w:rPr>
        <w:t>original </w:t>
      </w:r>
      <w:r>
        <w:rPr>
          <w:sz w:val="21"/>
        </w:rPr>
        <w:t>application or </w:t>
      </w:r>
      <w:r>
        <w:rPr>
          <w:spacing w:val="-3"/>
          <w:sz w:val="21"/>
        </w:rPr>
        <w:t>any</w:t>
      </w:r>
      <w:r>
        <w:rPr>
          <w:spacing w:val="-10"/>
          <w:sz w:val="21"/>
        </w:rPr>
        <w:t> </w:t>
      </w:r>
      <w:r>
        <w:rPr>
          <w:sz w:val="21"/>
        </w:rPr>
        <w:t>successors in </w:t>
      </w:r>
      <w:r>
        <w:rPr>
          <w:spacing w:val="-3"/>
          <w:sz w:val="21"/>
        </w:rPr>
        <w:t>title.</w:t>
      </w:r>
    </w:p>
    <w:p>
      <w:pPr>
        <w:pStyle w:val="ListParagraph"/>
        <w:numPr>
          <w:ilvl w:val="0"/>
          <w:numId w:val="11"/>
        </w:numPr>
        <w:tabs>
          <w:tab w:pos="2153" w:val="left" w:leader="none"/>
          <w:tab w:pos="2154" w:val="left" w:leader="none"/>
        </w:tabs>
        <w:spacing w:line="240" w:lineRule="auto" w:before="124" w:after="0"/>
        <w:ind w:left="2153" w:right="0" w:hanging="567"/>
        <w:jc w:val="left"/>
        <w:rPr>
          <w:sz w:val="21"/>
        </w:rPr>
      </w:pPr>
      <w:r>
        <w:rPr>
          <w:sz w:val="21"/>
        </w:rPr>
        <w:t>The</w:t>
      </w:r>
      <w:r>
        <w:rPr>
          <w:spacing w:val="9"/>
          <w:sz w:val="21"/>
        </w:rPr>
        <w:t> </w:t>
      </w:r>
      <w:r>
        <w:rPr>
          <w:sz w:val="21"/>
        </w:rPr>
        <w:t>Act</w:t>
      </w:r>
      <w:r>
        <w:rPr>
          <w:spacing w:val="10"/>
          <w:sz w:val="21"/>
        </w:rPr>
        <w:t> </w:t>
      </w:r>
      <w:r>
        <w:rPr>
          <w:sz w:val="21"/>
        </w:rPr>
        <w:t>should</w:t>
      </w:r>
      <w:r>
        <w:rPr>
          <w:spacing w:val="10"/>
          <w:sz w:val="21"/>
        </w:rPr>
        <w:t> </w:t>
      </w:r>
      <w:r>
        <w:rPr>
          <w:sz w:val="21"/>
        </w:rPr>
        <w:t>only</w:t>
      </w:r>
      <w:r>
        <w:rPr>
          <w:spacing w:val="10"/>
          <w:sz w:val="21"/>
        </w:rPr>
        <w:t> </w:t>
      </w:r>
      <w:r>
        <w:rPr>
          <w:sz w:val="21"/>
        </w:rPr>
        <w:t>provide</w:t>
      </w:r>
      <w:r>
        <w:rPr>
          <w:spacing w:val="9"/>
          <w:sz w:val="21"/>
        </w:rPr>
        <w:t> </w:t>
      </w:r>
      <w:r>
        <w:rPr>
          <w:spacing w:val="-3"/>
          <w:sz w:val="21"/>
        </w:rPr>
        <w:t>for</w:t>
      </w:r>
      <w:r>
        <w:rPr>
          <w:spacing w:val="10"/>
          <w:sz w:val="21"/>
        </w:rPr>
        <w:t> </w:t>
      </w:r>
      <w:r>
        <w:rPr>
          <w:sz w:val="21"/>
        </w:rPr>
        <w:t>one</w:t>
      </w:r>
      <w:r>
        <w:rPr>
          <w:spacing w:val="10"/>
          <w:sz w:val="21"/>
        </w:rPr>
        <w:t> </w:t>
      </w:r>
      <w:r>
        <w:rPr>
          <w:sz w:val="21"/>
        </w:rPr>
        <w:t>application</w:t>
      </w:r>
      <w:r>
        <w:rPr>
          <w:spacing w:val="10"/>
          <w:sz w:val="21"/>
        </w:rPr>
        <w:t> </w:t>
      </w:r>
      <w:r>
        <w:rPr>
          <w:spacing w:val="-3"/>
          <w:sz w:val="21"/>
        </w:rPr>
        <w:t>to</w:t>
      </w:r>
      <w:r>
        <w:rPr>
          <w:spacing w:val="9"/>
          <w:sz w:val="21"/>
        </w:rPr>
        <w:t> </w:t>
      </w:r>
      <w:r>
        <w:rPr>
          <w:sz w:val="21"/>
        </w:rPr>
        <w:t>vary</w:t>
      </w:r>
      <w:r>
        <w:rPr>
          <w:spacing w:val="10"/>
          <w:sz w:val="21"/>
        </w:rPr>
        <w:t> </w:t>
      </w:r>
      <w:r>
        <w:rPr>
          <w:sz w:val="21"/>
        </w:rPr>
        <w:t>or</w:t>
      </w:r>
      <w:r>
        <w:rPr>
          <w:spacing w:val="10"/>
          <w:sz w:val="21"/>
        </w:rPr>
        <w:t> </w:t>
      </w:r>
      <w:r>
        <w:rPr>
          <w:spacing w:val="-4"/>
          <w:sz w:val="21"/>
        </w:rPr>
        <w:t>revoke</w:t>
      </w:r>
      <w:r>
        <w:rPr>
          <w:spacing w:val="10"/>
          <w:sz w:val="21"/>
        </w:rPr>
        <w:t> </w:t>
      </w:r>
      <w:r>
        <w:rPr>
          <w:sz w:val="21"/>
        </w:rPr>
        <w:t>the</w:t>
      </w:r>
      <w:r>
        <w:rPr>
          <w:spacing w:val="10"/>
          <w:sz w:val="21"/>
        </w:rPr>
        <w:t> </w:t>
      </w:r>
      <w:r>
        <w:rPr>
          <w:sz w:val="21"/>
        </w:rPr>
        <w:t>order</w:t>
      </w:r>
      <w:r>
        <w:rPr>
          <w:spacing w:val="9"/>
          <w:sz w:val="21"/>
        </w:rPr>
        <w:t> </w:t>
      </w:r>
      <w:r>
        <w:rPr>
          <w:sz w:val="21"/>
        </w:rPr>
        <w:t>per</w:t>
      </w:r>
      <w:r>
        <w:rPr>
          <w:spacing w:val="10"/>
          <w:sz w:val="21"/>
        </w:rPr>
        <w:t> </w:t>
      </w:r>
      <w:r>
        <w:rPr>
          <w:spacing w:val="-5"/>
          <w:sz w:val="21"/>
        </w:rPr>
        <w:t>year.</w:t>
      </w:r>
    </w:p>
    <w:p>
      <w:pPr>
        <w:pStyle w:val="ListParagraph"/>
        <w:numPr>
          <w:ilvl w:val="0"/>
          <w:numId w:val="11"/>
        </w:numPr>
        <w:tabs>
          <w:tab w:pos="2153" w:val="left" w:leader="none"/>
          <w:tab w:pos="2154" w:val="left" w:leader="none"/>
        </w:tabs>
        <w:spacing w:line="242" w:lineRule="auto" w:before="123" w:after="0"/>
        <w:ind w:left="2153" w:right="1588" w:hanging="567"/>
        <w:jc w:val="left"/>
        <w:rPr>
          <w:sz w:val="21"/>
        </w:rPr>
      </w:pPr>
      <w:r>
        <w:rPr>
          <w:w w:val="105"/>
          <w:sz w:val="21"/>
        </w:rPr>
        <w:t>The Act should </w:t>
      </w:r>
      <w:r>
        <w:rPr>
          <w:spacing w:val="-3"/>
          <w:w w:val="105"/>
          <w:sz w:val="21"/>
        </w:rPr>
        <w:t>include </w:t>
      </w:r>
      <w:r>
        <w:rPr>
          <w:w w:val="105"/>
          <w:sz w:val="21"/>
        </w:rPr>
        <w:t>a </w:t>
      </w:r>
      <w:r>
        <w:rPr>
          <w:spacing w:val="-3"/>
          <w:w w:val="105"/>
          <w:sz w:val="21"/>
        </w:rPr>
        <w:t>penalty, to </w:t>
      </w:r>
      <w:r>
        <w:rPr>
          <w:w w:val="105"/>
          <w:sz w:val="21"/>
        </w:rPr>
        <w:t>be </w:t>
      </w:r>
      <w:r>
        <w:rPr>
          <w:spacing w:val="-3"/>
          <w:w w:val="105"/>
          <w:sz w:val="21"/>
        </w:rPr>
        <w:t>determined </w:t>
      </w:r>
      <w:r>
        <w:rPr>
          <w:w w:val="105"/>
          <w:sz w:val="21"/>
        </w:rPr>
        <w:t>by </w:t>
      </w:r>
      <w:r>
        <w:rPr>
          <w:spacing w:val="-3"/>
          <w:w w:val="105"/>
          <w:sz w:val="21"/>
        </w:rPr>
        <w:t>Government, for </w:t>
      </w:r>
      <w:r>
        <w:rPr>
          <w:w w:val="105"/>
          <w:sz w:val="21"/>
        </w:rPr>
        <w:t>the </w:t>
      </w:r>
      <w:r>
        <w:rPr>
          <w:spacing w:val="-4"/>
          <w:w w:val="105"/>
          <w:sz w:val="21"/>
        </w:rPr>
        <w:t>failure </w:t>
      </w:r>
      <w:r>
        <w:rPr>
          <w:spacing w:val="-3"/>
          <w:w w:val="105"/>
          <w:sz w:val="21"/>
        </w:rPr>
        <w:t>to </w:t>
      </w:r>
      <w:r>
        <w:rPr>
          <w:w w:val="105"/>
          <w:sz w:val="21"/>
        </w:rPr>
        <w:t>comply with an</w:t>
      </w:r>
      <w:r>
        <w:rPr>
          <w:spacing w:val="10"/>
          <w:w w:val="105"/>
          <w:sz w:val="21"/>
        </w:rPr>
        <w:t> </w:t>
      </w:r>
      <w:r>
        <w:rPr>
          <w:spacing w:val="-4"/>
          <w:w w:val="105"/>
          <w:sz w:val="21"/>
        </w:rPr>
        <w:t>order.</w:t>
      </w:r>
    </w:p>
    <w:p>
      <w:pPr>
        <w:pStyle w:val="ListParagraph"/>
        <w:numPr>
          <w:ilvl w:val="0"/>
          <w:numId w:val="11"/>
        </w:numPr>
        <w:tabs>
          <w:tab w:pos="2153" w:val="left" w:leader="none"/>
          <w:tab w:pos="2154" w:val="left" w:leader="none"/>
        </w:tabs>
        <w:spacing w:line="242" w:lineRule="auto" w:before="123" w:after="0"/>
        <w:ind w:left="2153" w:right="1604" w:hanging="567"/>
        <w:jc w:val="left"/>
        <w:rPr>
          <w:sz w:val="21"/>
        </w:rPr>
      </w:pPr>
      <w:r>
        <w:rPr>
          <w:sz w:val="21"/>
        </w:rPr>
        <w:t>If an order </w:t>
      </w:r>
      <w:r>
        <w:rPr>
          <w:spacing w:val="-2"/>
          <w:sz w:val="21"/>
        </w:rPr>
        <w:t>has not </w:t>
      </w:r>
      <w:r>
        <w:rPr>
          <w:sz w:val="21"/>
        </w:rPr>
        <w:t>been </w:t>
      </w:r>
      <w:r>
        <w:rPr>
          <w:spacing w:val="-3"/>
          <w:sz w:val="21"/>
        </w:rPr>
        <w:t>complied </w:t>
      </w:r>
      <w:r>
        <w:rPr>
          <w:sz w:val="21"/>
        </w:rPr>
        <w:t>with by the </w:t>
      </w:r>
      <w:r>
        <w:rPr>
          <w:spacing w:val="-3"/>
          <w:sz w:val="21"/>
        </w:rPr>
        <w:t>required time,  </w:t>
      </w:r>
      <w:r>
        <w:rPr>
          <w:sz w:val="21"/>
        </w:rPr>
        <w:t>the Act should provide </w:t>
      </w:r>
      <w:r>
        <w:rPr>
          <w:spacing w:val="-3"/>
          <w:sz w:val="21"/>
        </w:rPr>
        <w:t>that</w:t>
      </w:r>
      <w:r>
        <w:rPr>
          <w:spacing w:val="41"/>
          <w:sz w:val="21"/>
        </w:rPr>
        <w:t> </w:t>
      </w:r>
      <w:r>
        <w:rPr>
          <w:sz w:val="21"/>
        </w:rPr>
        <w:t>a party </w:t>
      </w:r>
      <w:r>
        <w:rPr>
          <w:spacing w:val="-3"/>
          <w:sz w:val="21"/>
        </w:rPr>
        <w:t>may </w:t>
      </w:r>
      <w:r>
        <w:rPr>
          <w:sz w:val="21"/>
        </w:rPr>
        <w:t>apply </w:t>
      </w:r>
      <w:r>
        <w:rPr>
          <w:spacing w:val="-3"/>
          <w:sz w:val="21"/>
        </w:rPr>
        <w:t>to </w:t>
      </w:r>
      <w:r>
        <w:rPr>
          <w:sz w:val="21"/>
        </w:rPr>
        <w:t>the Victorian </w:t>
      </w:r>
      <w:r>
        <w:rPr>
          <w:spacing w:val="-3"/>
          <w:sz w:val="21"/>
        </w:rPr>
        <w:t>Civil </w:t>
      </w:r>
      <w:r>
        <w:rPr>
          <w:sz w:val="21"/>
        </w:rPr>
        <w:t>and </w:t>
      </w:r>
      <w:r>
        <w:rPr>
          <w:spacing w:val="-3"/>
          <w:sz w:val="21"/>
        </w:rPr>
        <w:t>Administrative </w:t>
      </w:r>
      <w:r>
        <w:rPr>
          <w:spacing w:val="-5"/>
          <w:sz w:val="21"/>
        </w:rPr>
        <w:t>Tribunal </w:t>
      </w:r>
      <w:r>
        <w:rPr>
          <w:spacing w:val="-3"/>
          <w:sz w:val="21"/>
        </w:rPr>
        <w:t>to </w:t>
      </w:r>
      <w:r>
        <w:rPr>
          <w:sz w:val="21"/>
        </w:rPr>
        <w:t>seek permission </w:t>
      </w:r>
      <w:r>
        <w:rPr>
          <w:spacing w:val="-3"/>
          <w:sz w:val="21"/>
        </w:rPr>
        <w:t>to  enter </w:t>
      </w:r>
      <w:r>
        <w:rPr>
          <w:sz w:val="21"/>
        </w:rPr>
        <w:t>the tree </w:t>
      </w:r>
      <w:r>
        <w:rPr>
          <w:spacing w:val="-3"/>
          <w:sz w:val="21"/>
        </w:rPr>
        <w:t>owner’s land </w:t>
      </w:r>
      <w:r>
        <w:rPr>
          <w:sz w:val="21"/>
        </w:rPr>
        <w:t>and carry out the works specified in the order themselves. </w:t>
      </w:r>
      <w:r>
        <w:rPr>
          <w:spacing w:val="-3"/>
          <w:sz w:val="21"/>
        </w:rPr>
        <w:t>Reasonable </w:t>
      </w:r>
      <w:r>
        <w:rPr>
          <w:sz w:val="21"/>
        </w:rPr>
        <w:t>costs </w:t>
      </w:r>
      <w:r>
        <w:rPr>
          <w:spacing w:val="-3"/>
          <w:sz w:val="21"/>
        </w:rPr>
        <w:t>incurred </w:t>
      </w:r>
      <w:r>
        <w:rPr>
          <w:sz w:val="21"/>
        </w:rPr>
        <w:t>as a </w:t>
      </w:r>
      <w:r>
        <w:rPr>
          <w:spacing w:val="-3"/>
          <w:sz w:val="21"/>
        </w:rPr>
        <w:t>result </w:t>
      </w:r>
      <w:r>
        <w:rPr>
          <w:sz w:val="21"/>
        </w:rPr>
        <w:t>of carrying out the order should be able </w:t>
      </w:r>
      <w:r>
        <w:rPr>
          <w:spacing w:val="-3"/>
          <w:sz w:val="21"/>
        </w:rPr>
        <w:t>to </w:t>
      </w:r>
      <w:r>
        <w:rPr>
          <w:sz w:val="21"/>
        </w:rPr>
        <w:t>be recouped </w:t>
      </w:r>
      <w:r>
        <w:rPr>
          <w:spacing w:val="-3"/>
          <w:sz w:val="21"/>
        </w:rPr>
        <w:t>from </w:t>
      </w:r>
      <w:r>
        <w:rPr>
          <w:sz w:val="21"/>
        </w:rPr>
        <w:t>the non-complying</w:t>
      </w:r>
      <w:r>
        <w:rPr>
          <w:spacing w:val="9"/>
          <w:sz w:val="21"/>
        </w:rPr>
        <w:t> </w:t>
      </w:r>
      <w:r>
        <w:rPr>
          <w:sz w:val="21"/>
        </w:rPr>
        <w:t>party</w:t>
      </w:r>
      <w:r>
        <w:rPr>
          <w:spacing w:val="9"/>
          <w:sz w:val="21"/>
        </w:rPr>
        <w:t> </w:t>
      </w:r>
      <w:r>
        <w:rPr>
          <w:sz w:val="21"/>
        </w:rPr>
        <w:t>as</w:t>
      </w:r>
      <w:r>
        <w:rPr>
          <w:spacing w:val="9"/>
          <w:sz w:val="21"/>
        </w:rPr>
        <w:t> </w:t>
      </w:r>
      <w:r>
        <w:rPr>
          <w:sz w:val="21"/>
        </w:rPr>
        <w:t>a</w:t>
      </w:r>
      <w:r>
        <w:rPr>
          <w:spacing w:val="10"/>
          <w:sz w:val="21"/>
        </w:rPr>
        <w:t> </w:t>
      </w:r>
      <w:r>
        <w:rPr>
          <w:sz w:val="21"/>
        </w:rPr>
        <w:t>debt</w:t>
      </w:r>
      <w:r>
        <w:rPr>
          <w:spacing w:val="9"/>
          <w:sz w:val="21"/>
        </w:rPr>
        <w:t> </w:t>
      </w:r>
      <w:r>
        <w:rPr>
          <w:sz w:val="21"/>
        </w:rPr>
        <w:t>in</w:t>
      </w:r>
      <w:r>
        <w:rPr>
          <w:spacing w:val="9"/>
          <w:sz w:val="21"/>
        </w:rPr>
        <w:t> </w:t>
      </w:r>
      <w:r>
        <w:rPr>
          <w:sz w:val="21"/>
        </w:rPr>
        <w:t>the</w:t>
      </w:r>
      <w:r>
        <w:rPr>
          <w:spacing w:val="10"/>
          <w:sz w:val="21"/>
        </w:rPr>
        <w:t> </w:t>
      </w:r>
      <w:r>
        <w:rPr>
          <w:spacing w:val="-3"/>
          <w:sz w:val="21"/>
        </w:rPr>
        <w:t>relevant</w:t>
      </w:r>
      <w:r>
        <w:rPr>
          <w:spacing w:val="9"/>
          <w:sz w:val="21"/>
        </w:rPr>
        <w:t> </w:t>
      </w:r>
      <w:r>
        <w:rPr>
          <w:sz w:val="21"/>
        </w:rPr>
        <w:t>court.</w:t>
      </w:r>
    </w:p>
    <w:p>
      <w:pPr>
        <w:pStyle w:val="ListParagraph"/>
        <w:numPr>
          <w:ilvl w:val="0"/>
          <w:numId w:val="11"/>
        </w:numPr>
        <w:tabs>
          <w:tab w:pos="2153" w:val="left" w:leader="none"/>
          <w:tab w:pos="2154" w:val="left" w:leader="none"/>
        </w:tabs>
        <w:spacing w:line="242" w:lineRule="auto" w:before="125" w:after="0"/>
        <w:ind w:left="2153" w:right="1936" w:hanging="567"/>
        <w:jc w:val="left"/>
        <w:rPr>
          <w:sz w:val="21"/>
        </w:rPr>
      </w:pPr>
      <w:r>
        <w:rPr>
          <w:sz w:val="21"/>
        </w:rPr>
        <w:t>The </w:t>
      </w:r>
      <w:r>
        <w:rPr>
          <w:spacing w:val="-3"/>
          <w:sz w:val="21"/>
        </w:rPr>
        <w:t>right </w:t>
      </w:r>
      <w:r>
        <w:rPr>
          <w:sz w:val="21"/>
        </w:rPr>
        <w:t>of the affected </w:t>
      </w:r>
      <w:r>
        <w:rPr>
          <w:spacing w:val="-3"/>
          <w:sz w:val="21"/>
        </w:rPr>
        <w:t>neighbour to enter </w:t>
      </w:r>
      <w:r>
        <w:rPr>
          <w:sz w:val="21"/>
        </w:rPr>
        <w:t>a tree </w:t>
      </w:r>
      <w:r>
        <w:rPr>
          <w:spacing w:val="-3"/>
          <w:sz w:val="21"/>
        </w:rPr>
        <w:t>owner’s land </w:t>
      </w:r>
      <w:r>
        <w:rPr>
          <w:sz w:val="21"/>
        </w:rPr>
        <w:t>should be subject </w:t>
      </w:r>
      <w:r>
        <w:rPr>
          <w:spacing w:val="-3"/>
          <w:sz w:val="21"/>
        </w:rPr>
        <w:t>to </w:t>
      </w:r>
      <w:r>
        <w:rPr>
          <w:sz w:val="21"/>
        </w:rPr>
        <w:t>the </w:t>
      </w:r>
      <w:r>
        <w:rPr>
          <w:spacing w:val="-3"/>
          <w:sz w:val="21"/>
        </w:rPr>
        <w:t>requirement</w:t>
      </w:r>
      <w:r>
        <w:rPr>
          <w:spacing w:val="8"/>
          <w:sz w:val="21"/>
        </w:rPr>
        <w:t> </w:t>
      </w:r>
      <w:r>
        <w:rPr>
          <w:sz w:val="21"/>
        </w:rPr>
        <w:t>that:</w:t>
      </w:r>
    </w:p>
    <w:p>
      <w:pPr>
        <w:pStyle w:val="ListParagraph"/>
        <w:numPr>
          <w:ilvl w:val="1"/>
          <w:numId w:val="11"/>
        </w:numPr>
        <w:tabs>
          <w:tab w:pos="2720" w:val="left" w:leader="none"/>
          <w:tab w:pos="2721" w:val="left" w:leader="none"/>
        </w:tabs>
        <w:spacing w:line="242" w:lineRule="auto" w:before="122" w:after="0"/>
        <w:ind w:left="2720" w:right="2235" w:hanging="567"/>
        <w:jc w:val="left"/>
        <w:rPr>
          <w:sz w:val="21"/>
        </w:rPr>
      </w:pPr>
      <w:r>
        <w:rPr>
          <w:spacing w:val="-3"/>
          <w:sz w:val="21"/>
        </w:rPr>
        <w:t>reasonable notice </w:t>
      </w:r>
      <w:r>
        <w:rPr>
          <w:sz w:val="21"/>
        </w:rPr>
        <w:t>is given </w:t>
      </w:r>
      <w:r>
        <w:rPr>
          <w:spacing w:val="-3"/>
          <w:sz w:val="21"/>
        </w:rPr>
        <w:t>to </w:t>
      </w:r>
      <w:r>
        <w:rPr>
          <w:sz w:val="21"/>
        </w:rPr>
        <w:t>the owner of </w:t>
      </w:r>
      <w:r>
        <w:rPr>
          <w:spacing w:val="-3"/>
          <w:sz w:val="21"/>
        </w:rPr>
        <w:t>land </w:t>
      </w:r>
      <w:r>
        <w:rPr>
          <w:sz w:val="21"/>
        </w:rPr>
        <w:t>or </w:t>
      </w:r>
      <w:r>
        <w:rPr>
          <w:spacing w:val="-3"/>
          <w:sz w:val="21"/>
        </w:rPr>
        <w:t>occupier </w:t>
      </w:r>
      <w:r>
        <w:rPr>
          <w:sz w:val="21"/>
        </w:rPr>
        <w:t>whose </w:t>
      </w:r>
      <w:r>
        <w:rPr>
          <w:spacing w:val="-3"/>
          <w:sz w:val="21"/>
        </w:rPr>
        <w:t>land </w:t>
      </w:r>
      <w:r>
        <w:rPr>
          <w:sz w:val="21"/>
        </w:rPr>
        <w:t>is </w:t>
      </w:r>
      <w:r>
        <w:rPr>
          <w:spacing w:val="-3"/>
          <w:sz w:val="21"/>
        </w:rPr>
        <w:t>to </w:t>
      </w:r>
      <w:r>
        <w:rPr>
          <w:sz w:val="21"/>
        </w:rPr>
        <w:t>be accessed by the</w:t>
      </w:r>
      <w:r>
        <w:rPr>
          <w:spacing w:val="25"/>
          <w:sz w:val="21"/>
        </w:rPr>
        <w:t> </w:t>
      </w:r>
      <w:r>
        <w:rPr>
          <w:spacing w:val="-3"/>
          <w:sz w:val="21"/>
        </w:rPr>
        <w:t>applicant</w:t>
      </w:r>
    </w:p>
    <w:p>
      <w:pPr>
        <w:pStyle w:val="ListParagraph"/>
        <w:numPr>
          <w:ilvl w:val="1"/>
          <w:numId w:val="11"/>
        </w:numPr>
        <w:tabs>
          <w:tab w:pos="2720" w:val="left" w:leader="none"/>
          <w:tab w:pos="2721" w:val="left" w:leader="none"/>
        </w:tabs>
        <w:spacing w:line="240" w:lineRule="auto" w:before="123" w:after="0"/>
        <w:ind w:left="2720" w:right="0" w:hanging="567"/>
        <w:jc w:val="left"/>
        <w:rPr>
          <w:sz w:val="21"/>
        </w:rPr>
      </w:pPr>
      <w:r>
        <w:rPr>
          <w:spacing w:val="-2"/>
          <w:sz w:val="21"/>
        </w:rPr>
        <w:t>access</w:t>
      </w:r>
      <w:r>
        <w:rPr>
          <w:spacing w:val="9"/>
          <w:sz w:val="21"/>
        </w:rPr>
        <w:t> </w:t>
      </w:r>
      <w:r>
        <w:rPr>
          <w:sz w:val="21"/>
        </w:rPr>
        <w:t>only</w:t>
      </w:r>
      <w:r>
        <w:rPr>
          <w:spacing w:val="9"/>
          <w:sz w:val="21"/>
        </w:rPr>
        <w:t> </w:t>
      </w:r>
      <w:r>
        <w:rPr>
          <w:sz w:val="21"/>
        </w:rPr>
        <w:t>occurs</w:t>
      </w:r>
      <w:r>
        <w:rPr>
          <w:spacing w:val="9"/>
          <w:sz w:val="21"/>
        </w:rPr>
        <w:t> </w:t>
      </w:r>
      <w:r>
        <w:rPr>
          <w:sz w:val="21"/>
        </w:rPr>
        <w:t>at</w:t>
      </w:r>
      <w:r>
        <w:rPr>
          <w:spacing w:val="9"/>
          <w:sz w:val="21"/>
        </w:rPr>
        <w:t> </w:t>
      </w:r>
      <w:r>
        <w:rPr>
          <w:sz w:val="21"/>
        </w:rPr>
        <w:t>a</w:t>
      </w:r>
      <w:r>
        <w:rPr>
          <w:spacing w:val="10"/>
          <w:sz w:val="21"/>
        </w:rPr>
        <w:t> </w:t>
      </w:r>
      <w:r>
        <w:rPr>
          <w:spacing w:val="-3"/>
          <w:sz w:val="21"/>
        </w:rPr>
        <w:t>reasonable</w:t>
      </w:r>
      <w:r>
        <w:rPr>
          <w:spacing w:val="9"/>
          <w:sz w:val="21"/>
        </w:rPr>
        <w:t> </w:t>
      </w:r>
      <w:r>
        <w:rPr>
          <w:sz w:val="21"/>
        </w:rPr>
        <w:t>time</w:t>
      </w:r>
      <w:r>
        <w:rPr>
          <w:spacing w:val="9"/>
          <w:sz w:val="21"/>
        </w:rPr>
        <w:t> </w:t>
      </w:r>
      <w:r>
        <w:rPr>
          <w:spacing w:val="-3"/>
          <w:sz w:val="21"/>
        </w:rPr>
        <w:t>during</w:t>
      </w:r>
      <w:r>
        <w:rPr>
          <w:spacing w:val="9"/>
          <w:sz w:val="21"/>
        </w:rPr>
        <w:t> </w:t>
      </w:r>
      <w:r>
        <w:rPr>
          <w:sz w:val="21"/>
        </w:rPr>
        <w:t>the</w:t>
      </w:r>
      <w:r>
        <w:rPr>
          <w:spacing w:val="9"/>
          <w:sz w:val="21"/>
        </w:rPr>
        <w:t> </w:t>
      </w:r>
      <w:r>
        <w:rPr>
          <w:spacing w:val="-3"/>
          <w:sz w:val="21"/>
        </w:rPr>
        <w:t>day</w:t>
      </w:r>
    </w:p>
    <w:p>
      <w:pPr>
        <w:pStyle w:val="ListParagraph"/>
        <w:numPr>
          <w:ilvl w:val="1"/>
          <w:numId w:val="11"/>
        </w:numPr>
        <w:tabs>
          <w:tab w:pos="2720" w:val="left" w:leader="none"/>
          <w:tab w:pos="2721" w:val="left" w:leader="none"/>
        </w:tabs>
        <w:spacing w:line="242" w:lineRule="auto" w:before="123" w:after="0"/>
        <w:ind w:left="2720" w:right="1800" w:hanging="567"/>
        <w:jc w:val="left"/>
        <w:rPr>
          <w:sz w:val="21"/>
        </w:rPr>
      </w:pPr>
      <w:r>
        <w:rPr>
          <w:spacing w:val="-3"/>
          <w:sz w:val="21"/>
        </w:rPr>
        <w:t>any </w:t>
      </w:r>
      <w:r>
        <w:rPr>
          <w:sz w:val="21"/>
        </w:rPr>
        <w:t>other </w:t>
      </w:r>
      <w:r>
        <w:rPr>
          <w:spacing w:val="-3"/>
          <w:sz w:val="21"/>
        </w:rPr>
        <w:t>requirements that </w:t>
      </w:r>
      <w:r>
        <w:rPr>
          <w:sz w:val="21"/>
        </w:rPr>
        <w:t>the Victorian </w:t>
      </w:r>
      <w:r>
        <w:rPr>
          <w:spacing w:val="-3"/>
          <w:sz w:val="21"/>
        </w:rPr>
        <w:t>Civil </w:t>
      </w:r>
      <w:r>
        <w:rPr>
          <w:sz w:val="21"/>
        </w:rPr>
        <w:t>and </w:t>
      </w:r>
      <w:r>
        <w:rPr>
          <w:spacing w:val="-3"/>
          <w:sz w:val="21"/>
        </w:rPr>
        <w:t>Administrative </w:t>
      </w:r>
      <w:r>
        <w:rPr>
          <w:spacing w:val="-5"/>
          <w:sz w:val="21"/>
        </w:rPr>
        <w:t>Tribunal </w:t>
      </w:r>
      <w:r>
        <w:rPr>
          <w:sz w:val="21"/>
        </w:rPr>
        <w:t>considers </w:t>
      </w:r>
      <w:r>
        <w:rPr>
          <w:spacing w:val="-3"/>
          <w:sz w:val="21"/>
        </w:rPr>
        <w:t>are</w:t>
      </w:r>
      <w:r>
        <w:rPr>
          <w:spacing w:val="19"/>
          <w:sz w:val="21"/>
        </w:rPr>
        <w:t> </w:t>
      </w:r>
      <w:r>
        <w:rPr>
          <w:spacing w:val="-3"/>
          <w:sz w:val="21"/>
        </w:rPr>
        <w:t>appropriate,</w:t>
      </w:r>
      <w:r>
        <w:rPr>
          <w:spacing w:val="20"/>
          <w:sz w:val="21"/>
        </w:rPr>
        <w:t> </w:t>
      </w:r>
      <w:r>
        <w:rPr>
          <w:spacing w:val="-3"/>
          <w:sz w:val="21"/>
        </w:rPr>
        <w:t>for</w:t>
      </w:r>
      <w:r>
        <w:rPr>
          <w:spacing w:val="19"/>
          <w:sz w:val="21"/>
        </w:rPr>
        <w:t> </w:t>
      </w:r>
      <w:r>
        <w:rPr>
          <w:spacing w:val="-3"/>
          <w:sz w:val="21"/>
        </w:rPr>
        <w:t>example,</w:t>
      </w:r>
      <w:r>
        <w:rPr>
          <w:spacing w:val="20"/>
          <w:sz w:val="21"/>
        </w:rPr>
        <w:t> </w:t>
      </w:r>
      <w:r>
        <w:rPr>
          <w:spacing w:val="-3"/>
          <w:sz w:val="21"/>
        </w:rPr>
        <w:t>that</w:t>
      </w:r>
      <w:r>
        <w:rPr>
          <w:spacing w:val="19"/>
          <w:sz w:val="21"/>
        </w:rPr>
        <w:t> </w:t>
      </w:r>
      <w:r>
        <w:rPr>
          <w:spacing w:val="-3"/>
          <w:sz w:val="21"/>
        </w:rPr>
        <w:t>relevant</w:t>
      </w:r>
      <w:r>
        <w:rPr>
          <w:spacing w:val="20"/>
          <w:sz w:val="21"/>
        </w:rPr>
        <w:t> </w:t>
      </w:r>
      <w:r>
        <w:rPr>
          <w:spacing w:val="-4"/>
          <w:sz w:val="21"/>
        </w:rPr>
        <w:t>insurance</w:t>
      </w:r>
      <w:r>
        <w:rPr>
          <w:spacing w:val="19"/>
          <w:sz w:val="21"/>
        </w:rPr>
        <w:t> </w:t>
      </w:r>
      <w:r>
        <w:rPr>
          <w:sz w:val="21"/>
        </w:rPr>
        <w:t>is</w:t>
      </w:r>
      <w:r>
        <w:rPr>
          <w:spacing w:val="20"/>
          <w:sz w:val="21"/>
        </w:rPr>
        <w:t> </w:t>
      </w:r>
      <w:r>
        <w:rPr>
          <w:sz w:val="21"/>
        </w:rPr>
        <w:t>obtained</w:t>
      </w:r>
      <w:r>
        <w:rPr>
          <w:spacing w:val="19"/>
          <w:sz w:val="21"/>
        </w:rPr>
        <w:t> </w:t>
      </w:r>
      <w:r>
        <w:rPr>
          <w:sz w:val="21"/>
        </w:rPr>
        <w:t>by</w:t>
      </w:r>
      <w:r>
        <w:rPr>
          <w:spacing w:val="20"/>
          <w:sz w:val="21"/>
        </w:rPr>
        <w:t> </w:t>
      </w:r>
      <w:r>
        <w:rPr>
          <w:sz w:val="21"/>
        </w:rPr>
        <w:t>the</w:t>
      </w:r>
      <w:r>
        <w:rPr>
          <w:spacing w:val="19"/>
          <w:sz w:val="21"/>
        </w:rPr>
        <w:t> </w:t>
      </w:r>
      <w:r>
        <w:rPr>
          <w:spacing w:val="-3"/>
          <w:sz w:val="21"/>
        </w:rPr>
        <w:t>applicant.</w:t>
      </w:r>
    </w:p>
    <w:p>
      <w:pPr>
        <w:pStyle w:val="BodyText"/>
        <w:spacing w:before="9"/>
      </w:pPr>
    </w:p>
    <w:p>
      <w:pPr>
        <w:pStyle w:val="Heading4"/>
      </w:pPr>
      <w:r>
        <w:rPr>
          <w:color w:val="658464"/>
          <w:w w:val="110"/>
        </w:rPr>
        <w:t>Chapter 10</w:t>
      </w:r>
    </w:p>
    <w:p>
      <w:pPr>
        <w:pStyle w:val="ListParagraph"/>
        <w:numPr>
          <w:ilvl w:val="0"/>
          <w:numId w:val="11"/>
        </w:numPr>
        <w:tabs>
          <w:tab w:pos="2155" w:val="left" w:leader="none"/>
        </w:tabs>
        <w:spacing w:line="242" w:lineRule="auto" w:before="155" w:after="0"/>
        <w:ind w:left="2154" w:right="1810" w:hanging="567"/>
        <w:jc w:val="both"/>
        <w:rPr>
          <w:sz w:val="21"/>
        </w:rPr>
      </w:pPr>
      <w:r>
        <w:rPr>
          <w:w w:val="105"/>
          <w:sz w:val="21"/>
        </w:rPr>
        <w:t>The </w:t>
      </w:r>
      <w:r>
        <w:rPr>
          <w:spacing w:val="-3"/>
          <w:w w:val="105"/>
          <w:sz w:val="21"/>
        </w:rPr>
        <w:t>Commission recommends exemptions </w:t>
      </w:r>
      <w:r>
        <w:rPr>
          <w:w w:val="105"/>
          <w:sz w:val="21"/>
        </w:rPr>
        <w:t>in the Victoria </w:t>
      </w:r>
      <w:r>
        <w:rPr>
          <w:spacing w:val="-3"/>
          <w:w w:val="105"/>
          <w:sz w:val="21"/>
        </w:rPr>
        <w:t>Planning Provisions </w:t>
      </w:r>
      <w:r>
        <w:rPr>
          <w:w w:val="105"/>
          <w:sz w:val="21"/>
        </w:rPr>
        <w:t>be expanded </w:t>
      </w:r>
      <w:r>
        <w:rPr>
          <w:spacing w:val="-3"/>
          <w:w w:val="105"/>
          <w:sz w:val="21"/>
        </w:rPr>
        <w:t>to</w:t>
      </w:r>
      <w:r>
        <w:rPr>
          <w:spacing w:val="-7"/>
          <w:w w:val="105"/>
          <w:sz w:val="21"/>
        </w:rPr>
        <w:t> </w:t>
      </w:r>
      <w:r>
        <w:rPr>
          <w:w w:val="105"/>
          <w:sz w:val="21"/>
        </w:rPr>
        <w:t>enable</w:t>
      </w:r>
      <w:r>
        <w:rPr>
          <w:spacing w:val="-6"/>
          <w:w w:val="105"/>
          <w:sz w:val="21"/>
        </w:rPr>
        <w:t> </w:t>
      </w:r>
      <w:r>
        <w:rPr>
          <w:w w:val="105"/>
          <w:sz w:val="21"/>
        </w:rPr>
        <w:t>an</w:t>
      </w:r>
      <w:r>
        <w:rPr>
          <w:spacing w:val="-6"/>
          <w:w w:val="105"/>
          <w:sz w:val="21"/>
        </w:rPr>
        <w:t> </w:t>
      </w:r>
      <w:r>
        <w:rPr>
          <w:w w:val="105"/>
          <w:sz w:val="21"/>
        </w:rPr>
        <w:t>order</w:t>
      </w:r>
      <w:r>
        <w:rPr>
          <w:spacing w:val="-6"/>
          <w:w w:val="105"/>
          <w:sz w:val="21"/>
        </w:rPr>
        <w:t> </w:t>
      </w:r>
      <w:r>
        <w:rPr>
          <w:w w:val="105"/>
          <w:sz w:val="21"/>
        </w:rPr>
        <w:t>made</w:t>
      </w:r>
      <w:r>
        <w:rPr>
          <w:spacing w:val="-6"/>
          <w:w w:val="105"/>
          <w:sz w:val="21"/>
        </w:rPr>
        <w:t> </w:t>
      </w:r>
      <w:r>
        <w:rPr>
          <w:w w:val="105"/>
          <w:sz w:val="21"/>
        </w:rPr>
        <w:t>under</w:t>
      </w:r>
      <w:r>
        <w:rPr>
          <w:spacing w:val="-6"/>
          <w:w w:val="105"/>
          <w:sz w:val="21"/>
        </w:rPr>
        <w:t> </w:t>
      </w:r>
      <w:r>
        <w:rPr>
          <w:w w:val="105"/>
          <w:sz w:val="21"/>
        </w:rPr>
        <w:t>the</w:t>
      </w:r>
      <w:r>
        <w:rPr>
          <w:spacing w:val="-6"/>
          <w:w w:val="105"/>
          <w:sz w:val="21"/>
        </w:rPr>
        <w:t> </w:t>
      </w:r>
      <w:r>
        <w:rPr>
          <w:w w:val="105"/>
          <w:sz w:val="21"/>
        </w:rPr>
        <w:t>Act</w:t>
      </w:r>
      <w:r>
        <w:rPr>
          <w:spacing w:val="-6"/>
          <w:w w:val="105"/>
          <w:sz w:val="21"/>
        </w:rPr>
        <w:t> </w:t>
      </w:r>
      <w:r>
        <w:rPr>
          <w:spacing w:val="-3"/>
          <w:w w:val="105"/>
          <w:sz w:val="21"/>
        </w:rPr>
        <w:t>to</w:t>
      </w:r>
      <w:r>
        <w:rPr>
          <w:spacing w:val="-6"/>
          <w:w w:val="105"/>
          <w:sz w:val="21"/>
        </w:rPr>
        <w:t> </w:t>
      </w:r>
      <w:r>
        <w:rPr>
          <w:spacing w:val="-3"/>
          <w:w w:val="105"/>
          <w:sz w:val="21"/>
        </w:rPr>
        <w:t>have</w:t>
      </w:r>
      <w:r>
        <w:rPr>
          <w:spacing w:val="-6"/>
          <w:w w:val="105"/>
          <w:sz w:val="21"/>
        </w:rPr>
        <w:t> </w:t>
      </w:r>
      <w:r>
        <w:rPr>
          <w:w w:val="105"/>
          <w:sz w:val="21"/>
        </w:rPr>
        <w:t>effect</w:t>
      </w:r>
      <w:r>
        <w:rPr>
          <w:spacing w:val="-7"/>
          <w:w w:val="105"/>
          <w:sz w:val="21"/>
        </w:rPr>
        <w:t> </w:t>
      </w:r>
      <w:r>
        <w:rPr>
          <w:w w:val="105"/>
          <w:sz w:val="21"/>
        </w:rPr>
        <w:t>despite</w:t>
      </w:r>
      <w:r>
        <w:rPr>
          <w:spacing w:val="-6"/>
          <w:w w:val="105"/>
          <w:sz w:val="21"/>
        </w:rPr>
        <w:t> </w:t>
      </w:r>
      <w:r>
        <w:rPr>
          <w:spacing w:val="-3"/>
          <w:w w:val="105"/>
          <w:sz w:val="21"/>
        </w:rPr>
        <w:t>any</w:t>
      </w:r>
      <w:r>
        <w:rPr>
          <w:spacing w:val="-6"/>
          <w:w w:val="105"/>
          <w:sz w:val="21"/>
        </w:rPr>
        <w:t> </w:t>
      </w:r>
      <w:r>
        <w:rPr>
          <w:spacing w:val="-3"/>
          <w:w w:val="105"/>
          <w:sz w:val="21"/>
        </w:rPr>
        <w:t>requirement</w:t>
      </w:r>
      <w:r>
        <w:rPr>
          <w:spacing w:val="-6"/>
          <w:w w:val="105"/>
          <w:sz w:val="21"/>
        </w:rPr>
        <w:t> </w:t>
      </w:r>
      <w:r>
        <w:rPr>
          <w:spacing w:val="-3"/>
          <w:w w:val="105"/>
          <w:sz w:val="21"/>
        </w:rPr>
        <w:t>to</w:t>
      </w:r>
      <w:r>
        <w:rPr>
          <w:spacing w:val="-6"/>
          <w:w w:val="105"/>
          <w:sz w:val="21"/>
        </w:rPr>
        <w:t> </w:t>
      </w:r>
      <w:r>
        <w:rPr>
          <w:w w:val="105"/>
          <w:sz w:val="21"/>
        </w:rPr>
        <w:t>obtain</w:t>
      </w:r>
      <w:r>
        <w:rPr>
          <w:spacing w:val="-6"/>
          <w:w w:val="105"/>
          <w:sz w:val="21"/>
        </w:rPr>
        <w:t> </w:t>
      </w:r>
      <w:r>
        <w:rPr>
          <w:w w:val="105"/>
          <w:sz w:val="21"/>
        </w:rPr>
        <w:t>a permit in a Victorian </w:t>
      </w:r>
      <w:r>
        <w:rPr>
          <w:spacing w:val="-3"/>
          <w:w w:val="105"/>
          <w:sz w:val="21"/>
        </w:rPr>
        <w:t>Planning </w:t>
      </w:r>
      <w:r>
        <w:rPr>
          <w:w w:val="105"/>
          <w:sz w:val="21"/>
        </w:rPr>
        <w:t>Scheme </w:t>
      </w:r>
      <w:r>
        <w:rPr>
          <w:spacing w:val="-3"/>
          <w:w w:val="105"/>
          <w:sz w:val="21"/>
        </w:rPr>
        <w:t>to remove, </w:t>
      </w:r>
      <w:r>
        <w:rPr>
          <w:w w:val="105"/>
          <w:sz w:val="21"/>
        </w:rPr>
        <w:t>lop or destroy vegetation under</w:t>
      </w:r>
      <w:r>
        <w:rPr>
          <w:spacing w:val="-30"/>
          <w:w w:val="105"/>
          <w:sz w:val="21"/>
        </w:rPr>
        <w:t> </w:t>
      </w:r>
      <w:r>
        <w:rPr>
          <w:w w:val="105"/>
          <w:sz w:val="21"/>
        </w:rPr>
        <w:t>a:</w:t>
      </w:r>
    </w:p>
    <w:p>
      <w:pPr>
        <w:pStyle w:val="ListParagraph"/>
        <w:numPr>
          <w:ilvl w:val="1"/>
          <w:numId w:val="11"/>
        </w:numPr>
        <w:tabs>
          <w:tab w:pos="2721" w:val="left" w:leader="none"/>
          <w:tab w:pos="2722" w:val="left" w:leader="none"/>
        </w:tabs>
        <w:spacing w:line="240" w:lineRule="auto" w:before="123" w:after="0"/>
        <w:ind w:left="2721" w:right="0" w:hanging="567"/>
        <w:jc w:val="left"/>
        <w:rPr>
          <w:sz w:val="21"/>
        </w:rPr>
      </w:pPr>
      <w:r>
        <w:rPr>
          <w:spacing w:val="-3"/>
          <w:w w:val="105"/>
          <w:sz w:val="21"/>
        </w:rPr>
        <w:t>Significant </w:t>
      </w:r>
      <w:r>
        <w:rPr>
          <w:w w:val="105"/>
          <w:sz w:val="21"/>
        </w:rPr>
        <w:t>Landscape</w:t>
      </w:r>
      <w:r>
        <w:rPr>
          <w:spacing w:val="13"/>
          <w:w w:val="105"/>
          <w:sz w:val="21"/>
        </w:rPr>
        <w:t> </w:t>
      </w:r>
      <w:r>
        <w:rPr>
          <w:w w:val="105"/>
          <w:sz w:val="21"/>
        </w:rPr>
        <w:t>Overlay</w:t>
      </w:r>
    </w:p>
    <w:p>
      <w:pPr>
        <w:pStyle w:val="ListParagraph"/>
        <w:numPr>
          <w:ilvl w:val="1"/>
          <w:numId w:val="11"/>
        </w:numPr>
        <w:tabs>
          <w:tab w:pos="2721" w:val="left" w:leader="none"/>
          <w:tab w:pos="2722" w:val="left" w:leader="none"/>
        </w:tabs>
        <w:spacing w:line="240" w:lineRule="auto" w:before="124" w:after="0"/>
        <w:ind w:left="2721" w:right="0" w:hanging="567"/>
        <w:jc w:val="left"/>
        <w:rPr>
          <w:sz w:val="21"/>
        </w:rPr>
      </w:pPr>
      <w:r>
        <w:rPr>
          <w:spacing w:val="-3"/>
          <w:sz w:val="21"/>
        </w:rPr>
        <w:t>Environmental Significance</w:t>
      </w:r>
      <w:r>
        <w:rPr>
          <w:spacing w:val="20"/>
          <w:sz w:val="21"/>
        </w:rPr>
        <w:t> </w:t>
      </w:r>
      <w:r>
        <w:rPr>
          <w:sz w:val="21"/>
        </w:rPr>
        <w:t>Overlay</w:t>
      </w:r>
    </w:p>
    <w:p>
      <w:pPr>
        <w:pStyle w:val="ListParagraph"/>
        <w:numPr>
          <w:ilvl w:val="1"/>
          <w:numId w:val="11"/>
        </w:numPr>
        <w:tabs>
          <w:tab w:pos="2720" w:val="left" w:leader="none"/>
          <w:tab w:pos="2721" w:val="left" w:leader="none"/>
        </w:tabs>
        <w:spacing w:line="240" w:lineRule="auto" w:before="124" w:after="0"/>
        <w:ind w:left="2720" w:right="0" w:hanging="566"/>
        <w:jc w:val="left"/>
        <w:rPr>
          <w:sz w:val="21"/>
        </w:rPr>
      </w:pPr>
      <w:r>
        <w:rPr>
          <w:spacing w:val="-3"/>
          <w:sz w:val="21"/>
        </w:rPr>
        <w:t>Vegetation </w:t>
      </w:r>
      <w:r>
        <w:rPr>
          <w:sz w:val="21"/>
        </w:rPr>
        <w:t>Protection</w:t>
      </w:r>
      <w:r>
        <w:rPr>
          <w:spacing w:val="19"/>
          <w:sz w:val="21"/>
        </w:rPr>
        <w:t> </w:t>
      </w:r>
      <w:r>
        <w:rPr>
          <w:sz w:val="21"/>
        </w:rPr>
        <w:t>Overlay</w:t>
      </w:r>
    </w:p>
    <w:p>
      <w:pPr>
        <w:pStyle w:val="ListParagraph"/>
        <w:numPr>
          <w:ilvl w:val="1"/>
          <w:numId w:val="11"/>
        </w:numPr>
        <w:tabs>
          <w:tab w:pos="2720" w:val="left" w:leader="none"/>
          <w:tab w:pos="2721" w:val="left" w:leader="none"/>
        </w:tabs>
        <w:spacing w:line="240" w:lineRule="auto" w:before="123" w:after="0"/>
        <w:ind w:left="2720" w:right="0" w:hanging="567"/>
        <w:jc w:val="left"/>
        <w:rPr>
          <w:sz w:val="21"/>
        </w:rPr>
      </w:pPr>
      <w:r>
        <w:rPr>
          <w:sz w:val="21"/>
        </w:rPr>
        <w:t>Heritage</w:t>
      </w:r>
      <w:r>
        <w:rPr>
          <w:spacing w:val="8"/>
          <w:sz w:val="21"/>
        </w:rPr>
        <w:t> </w:t>
      </w:r>
      <w:r>
        <w:rPr>
          <w:sz w:val="21"/>
        </w:rPr>
        <w:t>Overlay</w:t>
      </w:r>
    </w:p>
    <w:p>
      <w:pPr>
        <w:pStyle w:val="ListParagraph"/>
        <w:numPr>
          <w:ilvl w:val="1"/>
          <w:numId w:val="11"/>
        </w:numPr>
        <w:tabs>
          <w:tab w:pos="2720" w:val="left" w:leader="none"/>
          <w:tab w:pos="2721" w:val="left" w:leader="none"/>
        </w:tabs>
        <w:spacing w:line="240" w:lineRule="auto" w:before="124" w:after="0"/>
        <w:ind w:left="2720" w:right="0" w:hanging="567"/>
        <w:jc w:val="left"/>
        <w:rPr>
          <w:sz w:val="21"/>
        </w:rPr>
      </w:pPr>
      <w:r>
        <w:rPr>
          <w:sz w:val="21"/>
        </w:rPr>
        <w:t>Native </w:t>
      </w:r>
      <w:r>
        <w:rPr>
          <w:spacing w:val="-3"/>
          <w:sz w:val="21"/>
        </w:rPr>
        <w:t>Vegetation </w:t>
      </w:r>
      <w:r>
        <w:rPr>
          <w:sz w:val="21"/>
        </w:rPr>
        <w:t>Particular</w:t>
      </w:r>
      <w:r>
        <w:rPr>
          <w:spacing w:val="28"/>
          <w:sz w:val="21"/>
        </w:rPr>
        <w:t> </w:t>
      </w:r>
      <w:r>
        <w:rPr>
          <w:spacing w:val="-3"/>
          <w:sz w:val="21"/>
        </w:rPr>
        <w:t>Provision.</w:t>
      </w:r>
    </w:p>
    <w:p>
      <w:pPr>
        <w:pStyle w:val="BodyText"/>
        <w:rPr>
          <w:sz w:val="20"/>
        </w:rPr>
      </w:pPr>
    </w:p>
    <w:p>
      <w:pPr>
        <w:pStyle w:val="BodyText"/>
        <w:rPr>
          <w:sz w:val="20"/>
        </w:rPr>
      </w:pPr>
    </w:p>
    <w:p>
      <w:pPr>
        <w:pStyle w:val="BodyText"/>
        <w:rPr>
          <w:sz w:val="20"/>
        </w:rPr>
      </w:pPr>
    </w:p>
    <w:p>
      <w:pPr>
        <w:pStyle w:val="BodyText"/>
        <w:spacing w:before="8"/>
        <w:rPr>
          <w:sz w:val="17"/>
        </w:rPr>
      </w:pPr>
    </w:p>
    <w:p>
      <w:pPr>
        <w:spacing w:before="96"/>
        <w:ind w:left="0" w:right="523" w:firstLine="0"/>
        <w:jc w:val="right"/>
        <w:rPr>
          <w:b/>
          <w:sz w:val="24"/>
        </w:rPr>
      </w:pPr>
      <w:r>
        <w:rPr>
          <w:b/>
          <w:color w:val="658464"/>
          <w:w w:val="115"/>
          <w:sz w:val="24"/>
        </w:rPr>
        <w:t>xxvii</w:t>
      </w:r>
    </w:p>
    <w:p>
      <w:pPr>
        <w:spacing w:after="0"/>
        <w:jc w:val="right"/>
        <w:rPr>
          <w:sz w:val="24"/>
        </w:rPr>
        <w:sectPr>
          <w:pgSz w:w="11910" w:h="16840"/>
          <w:pgMar w:header="1372" w:footer="0" w:top="1560" w:bottom="280" w:left="0" w:right="0"/>
        </w:sectPr>
      </w:pPr>
    </w:p>
    <w:p>
      <w:pPr>
        <w:pStyle w:val="BodyText"/>
        <w:spacing w:before="9"/>
        <w:rPr>
          <w:b/>
          <w:sz w:val="22"/>
        </w:rPr>
      </w:pPr>
    </w:p>
    <w:p>
      <w:pPr>
        <w:pStyle w:val="ListParagraph"/>
        <w:numPr>
          <w:ilvl w:val="0"/>
          <w:numId w:val="12"/>
        </w:numPr>
        <w:tabs>
          <w:tab w:pos="2154" w:val="left" w:leader="none"/>
          <w:tab w:pos="2155" w:val="left" w:leader="none"/>
        </w:tabs>
        <w:spacing w:line="242" w:lineRule="auto" w:before="92" w:after="0"/>
        <w:ind w:left="2154" w:right="1845" w:hanging="567"/>
        <w:jc w:val="left"/>
        <w:rPr>
          <w:sz w:val="21"/>
        </w:rPr>
      </w:pPr>
      <w:r>
        <w:rPr>
          <w:w w:val="105"/>
          <w:sz w:val="21"/>
        </w:rPr>
        <w:t>Where</w:t>
      </w:r>
      <w:r>
        <w:rPr>
          <w:spacing w:val="-5"/>
          <w:w w:val="105"/>
          <w:sz w:val="21"/>
        </w:rPr>
        <w:t> </w:t>
      </w:r>
      <w:r>
        <w:rPr>
          <w:w w:val="105"/>
          <w:sz w:val="21"/>
        </w:rPr>
        <w:t>an</w:t>
      </w:r>
      <w:r>
        <w:rPr>
          <w:spacing w:val="-4"/>
          <w:w w:val="105"/>
          <w:sz w:val="21"/>
        </w:rPr>
        <w:t> </w:t>
      </w:r>
      <w:r>
        <w:rPr>
          <w:w w:val="105"/>
          <w:sz w:val="21"/>
        </w:rPr>
        <w:t>exemption</w:t>
      </w:r>
      <w:r>
        <w:rPr>
          <w:spacing w:val="-5"/>
          <w:w w:val="105"/>
          <w:sz w:val="21"/>
        </w:rPr>
        <w:t> </w:t>
      </w:r>
      <w:r>
        <w:rPr>
          <w:spacing w:val="-3"/>
          <w:w w:val="105"/>
          <w:sz w:val="21"/>
        </w:rPr>
        <w:t>referred</w:t>
      </w:r>
      <w:r>
        <w:rPr>
          <w:spacing w:val="-4"/>
          <w:w w:val="105"/>
          <w:sz w:val="21"/>
        </w:rPr>
        <w:t> </w:t>
      </w:r>
      <w:r>
        <w:rPr>
          <w:spacing w:val="-3"/>
          <w:w w:val="105"/>
          <w:sz w:val="21"/>
        </w:rPr>
        <w:t>to</w:t>
      </w:r>
      <w:r>
        <w:rPr>
          <w:spacing w:val="-5"/>
          <w:w w:val="105"/>
          <w:sz w:val="21"/>
        </w:rPr>
        <w:t> </w:t>
      </w:r>
      <w:r>
        <w:rPr>
          <w:w w:val="105"/>
          <w:sz w:val="21"/>
        </w:rPr>
        <w:t>in</w:t>
      </w:r>
      <w:r>
        <w:rPr>
          <w:spacing w:val="-4"/>
          <w:w w:val="105"/>
          <w:sz w:val="21"/>
        </w:rPr>
        <w:t> </w:t>
      </w:r>
      <w:r>
        <w:rPr>
          <w:spacing w:val="-3"/>
          <w:w w:val="105"/>
          <w:sz w:val="21"/>
        </w:rPr>
        <w:t>Recommendation</w:t>
      </w:r>
      <w:r>
        <w:rPr>
          <w:spacing w:val="-5"/>
          <w:w w:val="105"/>
          <w:sz w:val="21"/>
        </w:rPr>
        <w:t> </w:t>
      </w:r>
      <w:r>
        <w:rPr>
          <w:w w:val="105"/>
          <w:sz w:val="21"/>
        </w:rPr>
        <w:t>39</w:t>
      </w:r>
      <w:r>
        <w:rPr>
          <w:spacing w:val="-4"/>
          <w:w w:val="105"/>
          <w:sz w:val="21"/>
        </w:rPr>
        <w:t> </w:t>
      </w:r>
      <w:r>
        <w:rPr>
          <w:w w:val="105"/>
          <w:sz w:val="21"/>
        </w:rPr>
        <w:t>applies,</w:t>
      </w:r>
      <w:r>
        <w:rPr>
          <w:spacing w:val="-5"/>
          <w:w w:val="105"/>
          <w:sz w:val="21"/>
        </w:rPr>
        <w:t> </w:t>
      </w:r>
      <w:r>
        <w:rPr>
          <w:w w:val="105"/>
          <w:sz w:val="21"/>
        </w:rPr>
        <w:t>the</w:t>
      </w:r>
      <w:r>
        <w:rPr>
          <w:spacing w:val="-4"/>
          <w:w w:val="105"/>
          <w:sz w:val="21"/>
        </w:rPr>
        <w:t> </w:t>
      </w:r>
      <w:r>
        <w:rPr>
          <w:spacing w:val="-3"/>
          <w:w w:val="105"/>
          <w:sz w:val="21"/>
        </w:rPr>
        <w:t>following</w:t>
      </w:r>
      <w:r>
        <w:rPr>
          <w:spacing w:val="-5"/>
          <w:w w:val="105"/>
          <w:sz w:val="21"/>
        </w:rPr>
        <w:t> </w:t>
      </w:r>
      <w:r>
        <w:rPr>
          <w:spacing w:val="-3"/>
          <w:w w:val="105"/>
          <w:sz w:val="21"/>
        </w:rPr>
        <w:t>safeguards </w:t>
      </w:r>
      <w:r>
        <w:rPr>
          <w:w w:val="105"/>
          <w:sz w:val="21"/>
        </w:rPr>
        <w:t>should</w:t>
      </w:r>
      <w:r>
        <w:rPr>
          <w:spacing w:val="5"/>
          <w:w w:val="105"/>
          <w:sz w:val="21"/>
        </w:rPr>
        <w:t> </w:t>
      </w:r>
      <w:r>
        <w:rPr>
          <w:w w:val="105"/>
          <w:sz w:val="21"/>
        </w:rPr>
        <w:t>apply:</w:t>
      </w:r>
    </w:p>
    <w:p>
      <w:pPr>
        <w:pStyle w:val="ListParagraph"/>
        <w:numPr>
          <w:ilvl w:val="1"/>
          <w:numId w:val="12"/>
        </w:numPr>
        <w:tabs>
          <w:tab w:pos="2721" w:val="left" w:leader="none"/>
          <w:tab w:pos="2722" w:val="left" w:leader="none"/>
        </w:tabs>
        <w:spacing w:line="242" w:lineRule="auto" w:before="122" w:after="0"/>
        <w:ind w:left="2721" w:right="1869" w:hanging="567"/>
        <w:jc w:val="left"/>
        <w:rPr>
          <w:sz w:val="21"/>
        </w:rPr>
      </w:pPr>
      <w:r>
        <w:rPr>
          <w:sz w:val="21"/>
        </w:rPr>
        <w:t>the </w:t>
      </w:r>
      <w:r>
        <w:rPr>
          <w:spacing w:val="-3"/>
          <w:sz w:val="21"/>
        </w:rPr>
        <w:t>relevant responsible </w:t>
      </w:r>
      <w:r>
        <w:rPr>
          <w:sz w:val="21"/>
        </w:rPr>
        <w:t>authority must be notified of the application and </w:t>
      </w:r>
      <w:r>
        <w:rPr>
          <w:spacing w:val="-3"/>
          <w:sz w:val="21"/>
        </w:rPr>
        <w:t>invited to </w:t>
      </w:r>
      <w:r>
        <w:rPr>
          <w:sz w:val="21"/>
        </w:rPr>
        <w:t>participate in</w:t>
      </w:r>
      <w:r>
        <w:rPr>
          <w:spacing w:val="16"/>
          <w:sz w:val="21"/>
        </w:rPr>
        <w:t> </w:t>
      </w:r>
      <w:r>
        <w:rPr>
          <w:spacing w:val="-3"/>
          <w:sz w:val="21"/>
        </w:rPr>
        <w:t>hearings</w:t>
      </w:r>
    </w:p>
    <w:p>
      <w:pPr>
        <w:pStyle w:val="ListParagraph"/>
        <w:numPr>
          <w:ilvl w:val="1"/>
          <w:numId w:val="12"/>
        </w:numPr>
        <w:tabs>
          <w:tab w:pos="2721" w:val="left" w:leader="none"/>
          <w:tab w:pos="2722" w:val="left" w:leader="none"/>
        </w:tabs>
        <w:spacing w:line="242" w:lineRule="auto" w:before="122" w:after="0"/>
        <w:ind w:left="2721" w:right="1817" w:hanging="567"/>
        <w:jc w:val="left"/>
        <w:rPr>
          <w:sz w:val="21"/>
        </w:rPr>
      </w:pPr>
      <w:r>
        <w:rPr>
          <w:sz w:val="21"/>
        </w:rPr>
        <w:t>the Victorian </w:t>
      </w:r>
      <w:r>
        <w:rPr>
          <w:spacing w:val="-3"/>
          <w:sz w:val="21"/>
        </w:rPr>
        <w:t>Civil </w:t>
      </w:r>
      <w:r>
        <w:rPr>
          <w:sz w:val="21"/>
        </w:rPr>
        <w:t>and </w:t>
      </w:r>
      <w:r>
        <w:rPr>
          <w:spacing w:val="-3"/>
          <w:sz w:val="21"/>
        </w:rPr>
        <w:t>Administrative </w:t>
      </w:r>
      <w:r>
        <w:rPr>
          <w:spacing w:val="-5"/>
          <w:sz w:val="21"/>
        </w:rPr>
        <w:t>Tribunal </w:t>
      </w:r>
      <w:r>
        <w:rPr>
          <w:sz w:val="21"/>
        </w:rPr>
        <w:t>must </w:t>
      </w:r>
      <w:r>
        <w:rPr>
          <w:spacing w:val="-3"/>
          <w:sz w:val="21"/>
        </w:rPr>
        <w:t>consider </w:t>
      </w:r>
      <w:r>
        <w:rPr>
          <w:sz w:val="21"/>
        </w:rPr>
        <w:t>the factors </w:t>
      </w:r>
      <w:r>
        <w:rPr>
          <w:spacing w:val="-3"/>
          <w:sz w:val="21"/>
        </w:rPr>
        <w:t>that </w:t>
      </w:r>
      <w:r>
        <w:rPr>
          <w:sz w:val="21"/>
        </w:rPr>
        <w:t>the </w:t>
      </w:r>
      <w:r>
        <w:rPr>
          <w:spacing w:val="-3"/>
          <w:sz w:val="21"/>
        </w:rPr>
        <w:t>responsible </w:t>
      </w:r>
      <w:r>
        <w:rPr>
          <w:sz w:val="21"/>
        </w:rPr>
        <w:t>authority would </w:t>
      </w:r>
      <w:r>
        <w:rPr>
          <w:spacing w:val="-3"/>
          <w:sz w:val="21"/>
        </w:rPr>
        <w:t>have </w:t>
      </w:r>
      <w:r>
        <w:rPr>
          <w:sz w:val="21"/>
        </w:rPr>
        <w:t>been </w:t>
      </w:r>
      <w:r>
        <w:rPr>
          <w:spacing w:val="-3"/>
          <w:sz w:val="21"/>
        </w:rPr>
        <w:t>required to consider </w:t>
      </w:r>
      <w:r>
        <w:rPr>
          <w:sz w:val="21"/>
        </w:rPr>
        <w:t>in </w:t>
      </w:r>
      <w:r>
        <w:rPr>
          <w:spacing w:val="-3"/>
          <w:sz w:val="21"/>
        </w:rPr>
        <w:t>determining </w:t>
      </w:r>
      <w:r>
        <w:rPr>
          <w:sz w:val="21"/>
        </w:rPr>
        <w:t>a matter under the </w:t>
      </w:r>
      <w:r>
        <w:rPr>
          <w:i/>
          <w:spacing w:val="-3"/>
          <w:sz w:val="21"/>
        </w:rPr>
        <w:t>Planning </w:t>
      </w:r>
      <w:r>
        <w:rPr>
          <w:i/>
          <w:sz w:val="21"/>
        </w:rPr>
        <w:t>and </w:t>
      </w:r>
      <w:r>
        <w:rPr>
          <w:i/>
          <w:spacing w:val="-3"/>
          <w:sz w:val="21"/>
        </w:rPr>
        <w:t>Environment </w:t>
      </w:r>
      <w:r>
        <w:rPr>
          <w:i/>
          <w:sz w:val="21"/>
        </w:rPr>
        <w:t>Act </w:t>
      </w:r>
      <w:r>
        <w:rPr>
          <w:i/>
          <w:spacing w:val="-6"/>
          <w:sz w:val="21"/>
        </w:rPr>
        <w:t>1987 </w:t>
      </w:r>
      <w:r>
        <w:rPr>
          <w:sz w:val="21"/>
        </w:rPr>
        <w:t>(Vic) </w:t>
      </w:r>
      <w:r>
        <w:rPr>
          <w:spacing w:val="-3"/>
          <w:sz w:val="21"/>
        </w:rPr>
        <w:t>such</w:t>
      </w:r>
      <w:r>
        <w:rPr>
          <w:spacing w:val="-10"/>
          <w:sz w:val="21"/>
        </w:rPr>
        <w:t> </w:t>
      </w:r>
      <w:r>
        <w:rPr>
          <w:sz w:val="21"/>
        </w:rPr>
        <w:t>as:</w:t>
      </w:r>
    </w:p>
    <w:p>
      <w:pPr>
        <w:pStyle w:val="ListParagraph"/>
        <w:numPr>
          <w:ilvl w:val="2"/>
          <w:numId w:val="12"/>
        </w:numPr>
        <w:tabs>
          <w:tab w:pos="3288" w:val="left" w:leader="none"/>
          <w:tab w:pos="3289" w:val="left" w:leader="none"/>
        </w:tabs>
        <w:spacing w:line="240" w:lineRule="auto" w:before="124" w:after="0"/>
        <w:ind w:left="3288" w:right="0" w:hanging="567"/>
        <w:jc w:val="left"/>
        <w:rPr>
          <w:sz w:val="21"/>
        </w:rPr>
      </w:pPr>
      <w:r>
        <w:rPr>
          <w:sz w:val="21"/>
        </w:rPr>
        <w:t>the objectives of </w:t>
      </w:r>
      <w:r>
        <w:rPr>
          <w:spacing w:val="-3"/>
          <w:sz w:val="21"/>
        </w:rPr>
        <w:t>planning </w:t>
      </w:r>
      <w:r>
        <w:rPr>
          <w:sz w:val="21"/>
        </w:rPr>
        <w:t>in</w:t>
      </w:r>
      <w:r>
        <w:rPr>
          <w:spacing w:val="46"/>
          <w:sz w:val="21"/>
        </w:rPr>
        <w:t> </w:t>
      </w:r>
      <w:r>
        <w:rPr>
          <w:sz w:val="21"/>
        </w:rPr>
        <w:t>Victoria</w:t>
      </w:r>
    </w:p>
    <w:p>
      <w:pPr>
        <w:pStyle w:val="ListParagraph"/>
        <w:numPr>
          <w:ilvl w:val="2"/>
          <w:numId w:val="12"/>
        </w:numPr>
        <w:tabs>
          <w:tab w:pos="3288" w:val="left" w:leader="none"/>
          <w:tab w:pos="3289" w:val="left" w:leader="none"/>
        </w:tabs>
        <w:spacing w:line="242" w:lineRule="auto" w:before="123" w:after="0"/>
        <w:ind w:left="3288" w:right="2010" w:hanging="567"/>
        <w:jc w:val="left"/>
        <w:rPr>
          <w:sz w:val="21"/>
        </w:rPr>
      </w:pPr>
      <w:r>
        <w:rPr>
          <w:w w:val="105"/>
          <w:sz w:val="21"/>
        </w:rPr>
        <w:t>the </w:t>
      </w:r>
      <w:r>
        <w:rPr>
          <w:spacing w:val="-3"/>
          <w:w w:val="105"/>
          <w:sz w:val="21"/>
        </w:rPr>
        <w:t>provisions </w:t>
      </w:r>
      <w:r>
        <w:rPr>
          <w:w w:val="105"/>
          <w:sz w:val="21"/>
        </w:rPr>
        <w:t>of the </w:t>
      </w:r>
      <w:r>
        <w:rPr>
          <w:spacing w:val="-3"/>
          <w:w w:val="105"/>
          <w:sz w:val="21"/>
        </w:rPr>
        <w:t>relevant planning </w:t>
      </w:r>
      <w:r>
        <w:rPr>
          <w:w w:val="105"/>
          <w:sz w:val="21"/>
        </w:rPr>
        <w:t>scheme </w:t>
      </w:r>
      <w:r>
        <w:rPr>
          <w:spacing w:val="-3"/>
          <w:w w:val="105"/>
          <w:sz w:val="21"/>
        </w:rPr>
        <w:t>that </w:t>
      </w:r>
      <w:r>
        <w:rPr>
          <w:w w:val="105"/>
          <w:sz w:val="21"/>
        </w:rPr>
        <w:t>apply </w:t>
      </w:r>
      <w:r>
        <w:rPr>
          <w:spacing w:val="-3"/>
          <w:w w:val="105"/>
          <w:sz w:val="21"/>
        </w:rPr>
        <w:t>to </w:t>
      </w:r>
      <w:r>
        <w:rPr>
          <w:w w:val="105"/>
          <w:sz w:val="21"/>
        </w:rPr>
        <w:t>the </w:t>
      </w:r>
      <w:r>
        <w:rPr>
          <w:spacing w:val="-3"/>
          <w:w w:val="105"/>
          <w:sz w:val="21"/>
        </w:rPr>
        <w:t>land </w:t>
      </w:r>
      <w:r>
        <w:rPr>
          <w:w w:val="105"/>
          <w:sz w:val="21"/>
        </w:rPr>
        <w:t>the subject of the </w:t>
      </w:r>
      <w:r>
        <w:rPr>
          <w:spacing w:val="-3"/>
          <w:w w:val="105"/>
          <w:sz w:val="21"/>
        </w:rPr>
        <w:t>application, including </w:t>
      </w:r>
      <w:r>
        <w:rPr>
          <w:w w:val="105"/>
          <w:sz w:val="21"/>
        </w:rPr>
        <w:t>decision-making </w:t>
      </w:r>
      <w:r>
        <w:rPr>
          <w:spacing w:val="-3"/>
          <w:w w:val="105"/>
          <w:sz w:val="21"/>
        </w:rPr>
        <w:t>guidelines </w:t>
      </w:r>
      <w:r>
        <w:rPr>
          <w:w w:val="105"/>
          <w:sz w:val="21"/>
        </w:rPr>
        <w:t>in </w:t>
      </w:r>
      <w:r>
        <w:rPr>
          <w:spacing w:val="-3"/>
          <w:w w:val="105"/>
          <w:sz w:val="21"/>
        </w:rPr>
        <w:t>planning </w:t>
      </w:r>
      <w:r>
        <w:rPr>
          <w:w w:val="105"/>
          <w:sz w:val="21"/>
        </w:rPr>
        <w:t>schemes</w:t>
      </w:r>
    </w:p>
    <w:p>
      <w:pPr>
        <w:pStyle w:val="ListParagraph"/>
        <w:numPr>
          <w:ilvl w:val="2"/>
          <w:numId w:val="12"/>
        </w:numPr>
        <w:tabs>
          <w:tab w:pos="3288" w:val="left" w:leader="none"/>
          <w:tab w:pos="3289" w:val="left" w:leader="none"/>
        </w:tabs>
        <w:spacing w:line="240" w:lineRule="auto" w:before="124" w:after="0"/>
        <w:ind w:left="3288" w:right="0" w:hanging="567"/>
        <w:jc w:val="left"/>
        <w:rPr>
          <w:sz w:val="21"/>
        </w:rPr>
      </w:pPr>
      <w:r>
        <w:rPr>
          <w:spacing w:val="-3"/>
          <w:sz w:val="21"/>
        </w:rPr>
        <w:t>information </w:t>
      </w:r>
      <w:r>
        <w:rPr>
          <w:sz w:val="21"/>
        </w:rPr>
        <w:t>provided by the </w:t>
      </w:r>
      <w:r>
        <w:rPr>
          <w:spacing w:val="-3"/>
          <w:sz w:val="21"/>
        </w:rPr>
        <w:t>responsible</w:t>
      </w:r>
      <w:r>
        <w:rPr>
          <w:spacing w:val="4"/>
          <w:sz w:val="21"/>
        </w:rPr>
        <w:t> </w:t>
      </w:r>
      <w:r>
        <w:rPr>
          <w:spacing w:val="-3"/>
          <w:sz w:val="21"/>
        </w:rPr>
        <w:t>authority.</w:t>
      </w:r>
    </w:p>
    <w:p>
      <w:pPr>
        <w:pStyle w:val="ListParagraph"/>
        <w:numPr>
          <w:ilvl w:val="0"/>
          <w:numId w:val="12"/>
        </w:numPr>
        <w:tabs>
          <w:tab w:pos="2154" w:val="left" w:leader="none"/>
          <w:tab w:pos="2155" w:val="left" w:leader="none"/>
        </w:tabs>
        <w:spacing w:line="242" w:lineRule="auto" w:before="123" w:after="0"/>
        <w:ind w:left="2154" w:right="1738" w:hanging="567"/>
        <w:jc w:val="left"/>
        <w:rPr>
          <w:sz w:val="21"/>
        </w:rPr>
      </w:pPr>
      <w:r>
        <w:rPr>
          <w:sz w:val="21"/>
        </w:rPr>
        <w:t>Orders under the Act should </w:t>
      </w:r>
      <w:r>
        <w:rPr>
          <w:spacing w:val="-3"/>
          <w:sz w:val="21"/>
        </w:rPr>
        <w:t>have </w:t>
      </w:r>
      <w:r>
        <w:rPr>
          <w:sz w:val="21"/>
        </w:rPr>
        <w:t>effect regardless of </w:t>
      </w:r>
      <w:r>
        <w:rPr>
          <w:spacing w:val="-3"/>
          <w:sz w:val="21"/>
        </w:rPr>
        <w:t>requirements for consent </w:t>
      </w:r>
      <w:r>
        <w:rPr>
          <w:sz w:val="21"/>
        </w:rPr>
        <w:t>or authorisation under local tree protection laws made under the </w:t>
      </w:r>
      <w:r>
        <w:rPr>
          <w:i/>
          <w:sz w:val="21"/>
        </w:rPr>
        <w:t>Local </w:t>
      </w:r>
      <w:r>
        <w:rPr>
          <w:i/>
          <w:spacing w:val="-3"/>
          <w:sz w:val="21"/>
        </w:rPr>
        <w:t>Government </w:t>
      </w:r>
      <w:r>
        <w:rPr>
          <w:i/>
          <w:sz w:val="21"/>
        </w:rPr>
        <w:t>Act </w:t>
      </w:r>
      <w:r>
        <w:rPr>
          <w:i/>
          <w:spacing w:val="-5"/>
          <w:sz w:val="21"/>
        </w:rPr>
        <w:t>1989 </w:t>
      </w:r>
      <w:r>
        <w:rPr>
          <w:sz w:val="21"/>
        </w:rPr>
        <w:t>(Vic).</w:t>
      </w:r>
    </w:p>
    <w:p>
      <w:pPr>
        <w:pStyle w:val="ListParagraph"/>
        <w:numPr>
          <w:ilvl w:val="0"/>
          <w:numId w:val="12"/>
        </w:numPr>
        <w:tabs>
          <w:tab w:pos="2154" w:val="left" w:leader="none"/>
          <w:tab w:pos="2155" w:val="left" w:leader="none"/>
        </w:tabs>
        <w:spacing w:line="240" w:lineRule="auto" w:before="124" w:after="0"/>
        <w:ind w:left="2154" w:right="0" w:hanging="567"/>
        <w:jc w:val="left"/>
        <w:rPr>
          <w:sz w:val="21"/>
        </w:rPr>
      </w:pPr>
      <w:r>
        <w:rPr>
          <w:w w:val="105"/>
          <w:sz w:val="21"/>
        </w:rPr>
        <w:t>Where </w:t>
      </w:r>
      <w:r>
        <w:rPr>
          <w:spacing w:val="-3"/>
          <w:w w:val="105"/>
          <w:sz w:val="21"/>
        </w:rPr>
        <w:t>Recommendation </w:t>
      </w:r>
      <w:r>
        <w:rPr>
          <w:spacing w:val="-8"/>
          <w:w w:val="105"/>
          <w:sz w:val="21"/>
        </w:rPr>
        <w:t>41 </w:t>
      </w:r>
      <w:r>
        <w:rPr>
          <w:w w:val="105"/>
          <w:sz w:val="21"/>
        </w:rPr>
        <w:t>applies, the </w:t>
      </w:r>
      <w:r>
        <w:rPr>
          <w:spacing w:val="-3"/>
          <w:w w:val="105"/>
          <w:sz w:val="21"/>
        </w:rPr>
        <w:t>following safeguards </w:t>
      </w:r>
      <w:r>
        <w:rPr>
          <w:w w:val="105"/>
          <w:sz w:val="21"/>
        </w:rPr>
        <w:t>should</w:t>
      </w:r>
      <w:r>
        <w:rPr>
          <w:spacing w:val="2"/>
          <w:w w:val="105"/>
          <w:sz w:val="21"/>
        </w:rPr>
        <w:t> </w:t>
      </w:r>
      <w:r>
        <w:rPr>
          <w:w w:val="105"/>
          <w:sz w:val="21"/>
        </w:rPr>
        <w:t>apply:</w:t>
      </w:r>
    </w:p>
    <w:p>
      <w:pPr>
        <w:pStyle w:val="ListParagraph"/>
        <w:numPr>
          <w:ilvl w:val="1"/>
          <w:numId w:val="12"/>
        </w:numPr>
        <w:tabs>
          <w:tab w:pos="2721" w:val="left" w:leader="none"/>
          <w:tab w:pos="2722" w:val="left" w:leader="none"/>
        </w:tabs>
        <w:spacing w:line="242" w:lineRule="auto" w:before="123" w:after="0"/>
        <w:ind w:left="2721" w:right="1927" w:hanging="567"/>
        <w:jc w:val="left"/>
        <w:rPr>
          <w:sz w:val="21"/>
        </w:rPr>
      </w:pPr>
      <w:r>
        <w:rPr>
          <w:sz w:val="21"/>
        </w:rPr>
        <w:t>the Victorian </w:t>
      </w:r>
      <w:r>
        <w:rPr>
          <w:spacing w:val="-3"/>
          <w:sz w:val="21"/>
        </w:rPr>
        <w:t>Civil </w:t>
      </w:r>
      <w:r>
        <w:rPr>
          <w:sz w:val="21"/>
        </w:rPr>
        <w:t>and </w:t>
      </w:r>
      <w:r>
        <w:rPr>
          <w:spacing w:val="-3"/>
          <w:sz w:val="21"/>
        </w:rPr>
        <w:t>Administrative </w:t>
      </w:r>
      <w:r>
        <w:rPr>
          <w:spacing w:val="-5"/>
          <w:sz w:val="21"/>
        </w:rPr>
        <w:t>Tribunal </w:t>
      </w:r>
      <w:r>
        <w:rPr>
          <w:sz w:val="21"/>
        </w:rPr>
        <w:t>must afford the </w:t>
      </w:r>
      <w:r>
        <w:rPr>
          <w:spacing w:val="-3"/>
          <w:sz w:val="21"/>
        </w:rPr>
        <w:t>relevant council </w:t>
      </w:r>
      <w:r>
        <w:rPr>
          <w:sz w:val="21"/>
        </w:rPr>
        <w:t>tree protection laws </w:t>
      </w:r>
      <w:r>
        <w:rPr>
          <w:spacing w:val="-3"/>
          <w:sz w:val="21"/>
        </w:rPr>
        <w:t>significant </w:t>
      </w:r>
      <w:r>
        <w:rPr>
          <w:sz w:val="21"/>
        </w:rPr>
        <w:t>but </w:t>
      </w:r>
      <w:r>
        <w:rPr>
          <w:spacing w:val="-2"/>
          <w:sz w:val="21"/>
        </w:rPr>
        <w:t>not </w:t>
      </w:r>
      <w:r>
        <w:rPr>
          <w:spacing w:val="-3"/>
          <w:sz w:val="21"/>
        </w:rPr>
        <w:t>determinative weight </w:t>
      </w:r>
      <w:r>
        <w:rPr>
          <w:sz w:val="21"/>
        </w:rPr>
        <w:t>in the decision-making process</w:t>
      </w:r>
    </w:p>
    <w:p>
      <w:pPr>
        <w:pStyle w:val="ListParagraph"/>
        <w:numPr>
          <w:ilvl w:val="1"/>
          <w:numId w:val="12"/>
        </w:numPr>
        <w:tabs>
          <w:tab w:pos="2721" w:val="left" w:leader="none"/>
          <w:tab w:pos="2722" w:val="left" w:leader="none"/>
        </w:tabs>
        <w:spacing w:line="242" w:lineRule="auto" w:before="124" w:after="0"/>
        <w:ind w:left="2721" w:right="1843" w:hanging="567"/>
        <w:jc w:val="left"/>
        <w:rPr>
          <w:sz w:val="21"/>
        </w:rPr>
      </w:pPr>
      <w:r>
        <w:rPr>
          <w:sz w:val="21"/>
        </w:rPr>
        <w:t>the </w:t>
      </w:r>
      <w:r>
        <w:rPr>
          <w:spacing w:val="-5"/>
          <w:sz w:val="21"/>
        </w:rPr>
        <w:t>Tribunal </w:t>
      </w:r>
      <w:r>
        <w:rPr>
          <w:sz w:val="21"/>
        </w:rPr>
        <w:t>should </w:t>
      </w:r>
      <w:r>
        <w:rPr>
          <w:spacing w:val="-3"/>
          <w:sz w:val="21"/>
        </w:rPr>
        <w:t>invite council to </w:t>
      </w:r>
      <w:r>
        <w:rPr>
          <w:sz w:val="21"/>
        </w:rPr>
        <w:t>appear at a tree </w:t>
      </w:r>
      <w:r>
        <w:rPr>
          <w:spacing w:val="-3"/>
          <w:sz w:val="21"/>
        </w:rPr>
        <w:t>dispute hearing </w:t>
      </w:r>
      <w:r>
        <w:rPr>
          <w:sz w:val="21"/>
        </w:rPr>
        <w:t>or </w:t>
      </w:r>
      <w:r>
        <w:rPr>
          <w:spacing w:val="-3"/>
          <w:sz w:val="21"/>
        </w:rPr>
        <w:t>to </w:t>
      </w:r>
      <w:r>
        <w:rPr>
          <w:sz w:val="21"/>
        </w:rPr>
        <w:t>provide a written</w:t>
      </w:r>
      <w:r>
        <w:rPr>
          <w:spacing w:val="8"/>
          <w:sz w:val="21"/>
        </w:rPr>
        <w:t> </w:t>
      </w:r>
      <w:r>
        <w:rPr>
          <w:spacing w:val="-3"/>
          <w:sz w:val="21"/>
        </w:rPr>
        <w:t>submission.</w:t>
      </w:r>
    </w:p>
    <w:p>
      <w:pPr>
        <w:pStyle w:val="ListParagraph"/>
        <w:numPr>
          <w:ilvl w:val="0"/>
          <w:numId w:val="12"/>
        </w:numPr>
        <w:tabs>
          <w:tab w:pos="2154" w:val="left" w:leader="none"/>
          <w:tab w:pos="2155" w:val="left" w:leader="none"/>
        </w:tabs>
        <w:spacing w:line="242" w:lineRule="auto" w:before="122" w:after="0"/>
        <w:ind w:left="2154" w:right="1584" w:hanging="567"/>
        <w:jc w:val="left"/>
        <w:rPr>
          <w:sz w:val="21"/>
        </w:rPr>
      </w:pPr>
      <w:r>
        <w:rPr>
          <w:sz w:val="21"/>
        </w:rPr>
        <w:t>Section 86 of the </w:t>
      </w:r>
      <w:r>
        <w:rPr>
          <w:i/>
          <w:sz w:val="21"/>
        </w:rPr>
        <w:t>Heritage Act </w:t>
      </w:r>
      <w:r>
        <w:rPr>
          <w:i/>
          <w:spacing w:val="-10"/>
          <w:sz w:val="21"/>
        </w:rPr>
        <w:t>2017  </w:t>
      </w:r>
      <w:r>
        <w:rPr>
          <w:sz w:val="21"/>
        </w:rPr>
        <w:t>(Vic) should be amended </w:t>
      </w:r>
      <w:r>
        <w:rPr>
          <w:spacing w:val="-3"/>
          <w:sz w:val="21"/>
        </w:rPr>
        <w:t>to  </w:t>
      </w:r>
      <w:r>
        <w:rPr>
          <w:sz w:val="21"/>
        </w:rPr>
        <w:t>provide </w:t>
      </w:r>
      <w:r>
        <w:rPr>
          <w:spacing w:val="-3"/>
          <w:sz w:val="21"/>
        </w:rPr>
        <w:t>that</w:t>
      </w:r>
      <w:r>
        <w:rPr>
          <w:spacing w:val="41"/>
          <w:sz w:val="21"/>
        </w:rPr>
        <w:t> </w:t>
      </w:r>
      <w:r>
        <w:rPr>
          <w:sz w:val="21"/>
        </w:rPr>
        <w:t>the operation     of the Heritage Act is subject </w:t>
      </w:r>
      <w:r>
        <w:rPr>
          <w:spacing w:val="-3"/>
          <w:sz w:val="21"/>
        </w:rPr>
        <w:t>to any </w:t>
      </w:r>
      <w:r>
        <w:rPr>
          <w:sz w:val="21"/>
        </w:rPr>
        <w:t>order under the new Act where the Victorian </w:t>
      </w:r>
      <w:r>
        <w:rPr>
          <w:spacing w:val="-3"/>
          <w:sz w:val="21"/>
        </w:rPr>
        <w:t>Civil </w:t>
      </w:r>
      <w:r>
        <w:rPr>
          <w:sz w:val="21"/>
        </w:rPr>
        <w:t>and </w:t>
      </w:r>
      <w:r>
        <w:rPr>
          <w:spacing w:val="-3"/>
          <w:sz w:val="21"/>
        </w:rPr>
        <w:t>Administrative </w:t>
      </w:r>
      <w:r>
        <w:rPr>
          <w:spacing w:val="-5"/>
          <w:sz w:val="21"/>
        </w:rPr>
        <w:t>Tribunal </w:t>
      </w:r>
      <w:r>
        <w:rPr>
          <w:spacing w:val="-3"/>
          <w:sz w:val="21"/>
        </w:rPr>
        <w:t>determines that </w:t>
      </w:r>
      <w:r>
        <w:rPr>
          <w:sz w:val="21"/>
        </w:rPr>
        <w:t>a </w:t>
      </w:r>
      <w:r>
        <w:rPr>
          <w:spacing w:val="-3"/>
          <w:sz w:val="21"/>
        </w:rPr>
        <w:t>registered </w:t>
      </w:r>
      <w:r>
        <w:rPr>
          <w:sz w:val="21"/>
        </w:rPr>
        <w:t>tree or a tree </w:t>
      </w:r>
      <w:r>
        <w:rPr>
          <w:spacing w:val="-3"/>
          <w:sz w:val="21"/>
        </w:rPr>
        <w:t>situated </w:t>
      </w:r>
      <w:r>
        <w:rPr>
          <w:sz w:val="21"/>
        </w:rPr>
        <w:t>in a heritage </w:t>
      </w:r>
      <w:r>
        <w:rPr>
          <w:spacing w:val="-3"/>
          <w:sz w:val="21"/>
        </w:rPr>
        <w:t>place </w:t>
      </w:r>
      <w:r>
        <w:rPr>
          <w:sz w:val="21"/>
        </w:rPr>
        <w:t>poses</w:t>
      </w:r>
      <w:r>
        <w:rPr>
          <w:spacing w:val="8"/>
          <w:sz w:val="21"/>
        </w:rPr>
        <w:t> </w:t>
      </w:r>
      <w:r>
        <w:rPr>
          <w:sz w:val="21"/>
        </w:rPr>
        <w:t>an</w:t>
      </w:r>
      <w:r>
        <w:rPr>
          <w:spacing w:val="9"/>
          <w:sz w:val="21"/>
        </w:rPr>
        <w:t> </w:t>
      </w:r>
      <w:r>
        <w:rPr>
          <w:spacing w:val="-3"/>
          <w:sz w:val="21"/>
        </w:rPr>
        <w:t>imminent</w:t>
      </w:r>
      <w:r>
        <w:rPr>
          <w:spacing w:val="9"/>
          <w:sz w:val="21"/>
        </w:rPr>
        <w:t> </w:t>
      </w:r>
      <w:r>
        <w:rPr>
          <w:sz w:val="21"/>
        </w:rPr>
        <w:t>danger</w:t>
      </w:r>
      <w:r>
        <w:rPr>
          <w:spacing w:val="9"/>
          <w:sz w:val="21"/>
        </w:rPr>
        <w:t> </w:t>
      </w:r>
      <w:r>
        <w:rPr>
          <w:spacing w:val="-3"/>
          <w:sz w:val="21"/>
        </w:rPr>
        <w:t>to</w:t>
      </w:r>
      <w:r>
        <w:rPr>
          <w:spacing w:val="9"/>
          <w:sz w:val="21"/>
        </w:rPr>
        <w:t> </w:t>
      </w:r>
      <w:r>
        <w:rPr>
          <w:spacing w:val="-3"/>
          <w:sz w:val="21"/>
        </w:rPr>
        <w:t>life</w:t>
      </w:r>
      <w:r>
        <w:rPr>
          <w:spacing w:val="9"/>
          <w:sz w:val="21"/>
        </w:rPr>
        <w:t> </w:t>
      </w:r>
      <w:r>
        <w:rPr>
          <w:sz w:val="21"/>
        </w:rPr>
        <w:t>or</w:t>
      </w:r>
      <w:r>
        <w:rPr>
          <w:spacing w:val="9"/>
          <w:sz w:val="21"/>
        </w:rPr>
        <w:t> </w:t>
      </w:r>
      <w:r>
        <w:rPr>
          <w:sz w:val="21"/>
        </w:rPr>
        <w:t>property.</w:t>
      </w:r>
    </w:p>
    <w:p>
      <w:pPr>
        <w:pStyle w:val="ListParagraph"/>
        <w:numPr>
          <w:ilvl w:val="0"/>
          <w:numId w:val="12"/>
        </w:numPr>
        <w:tabs>
          <w:tab w:pos="2154" w:val="left" w:leader="none"/>
          <w:tab w:pos="2155" w:val="left" w:leader="none"/>
        </w:tabs>
        <w:spacing w:line="240" w:lineRule="auto" w:before="124" w:after="0"/>
        <w:ind w:left="2154" w:right="0" w:hanging="567"/>
        <w:jc w:val="left"/>
        <w:rPr>
          <w:sz w:val="21"/>
        </w:rPr>
      </w:pPr>
      <w:r>
        <w:rPr>
          <w:w w:val="105"/>
          <w:sz w:val="21"/>
        </w:rPr>
        <w:t>Where </w:t>
      </w:r>
      <w:r>
        <w:rPr>
          <w:spacing w:val="-3"/>
          <w:w w:val="105"/>
          <w:sz w:val="21"/>
        </w:rPr>
        <w:t>Recommendation 43 </w:t>
      </w:r>
      <w:r>
        <w:rPr>
          <w:w w:val="105"/>
          <w:sz w:val="21"/>
        </w:rPr>
        <w:t>applies, the </w:t>
      </w:r>
      <w:r>
        <w:rPr>
          <w:spacing w:val="-3"/>
          <w:w w:val="105"/>
          <w:sz w:val="21"/>
        </w:rPr>
        <w:t>following safeguards </w:t>
      </w:r>
      <w:r>
        <w:rPr>
          <w:w w:val="105"/>
          <w:sz w:val="21"/>
        </w:rPr>
        <w:t>should</w:t>
      </w:r>
      <w:r>
        <w:rPr>
          <w:spacing w:val="47"/>
          <w:w w:val="105"/>
          <w:sz w:val="21"/>
        </w:rPr>
        <w:t> </w:t>
      </w:r>
      <w:r>
        <w:rPr>
          <w:w w:val="105"/>
          <w:sz w:val="21"/>
        </w:rPr>
        <w:t>apply:</w:t>
      </w:r>
    </w:p>
    <w:p>
      <w:pPr>
        <w:pStyle w:val="ListParagraph"/>
        <w:numPr>
          <w:ilvl w:val="1"/>
          <w:numId w:val="12"/>
        </w:numPr>
        <w:tabs>
          <w:tab w:pos="2721" w:val="left" w:leader="none"/>
          <w:tab w:pos="2722" w:val="left" w:leader="none"/>
        </w:tabs>
        <w:spacing w:line="242" w:lineRule="auto" w:before="124" w:after="0"/>
        <w:ind w:left="2721" w:right="1844" w:hanging="567"/>
        <w:jc w:val="left"/>
        <w:rPr>
          <w:sz w:val="21"/>
        </w:rPr>
      </w:pPr>
      <w:r>
        <w:rPr>
          <w:sz w:val="21"/>
        </w:rPr>
        <w:t>Heritage Victoria must be notified of the application and be </w:t>
      </w:r>
      <w:r>
        <w:rPr>
          <w:spacing w:val="-3"/>
          <w:sz w:val="21"/>
        </w:rPr>
        <w:t>invited to </w:t>
      </w:r>
      <w:r>
        <w:rPr>
          <w:sz w:val="21"/>
        </w:rPr>
        <w:t>participate in the</w:t>
      </w:r>
      <w:r>
        <w:rPr>
          <w:spacing w:val="8"/>
          <w:sz w:val="21"/>
        </w:rPr>
        <w:t> </w:t>
      </w:r>
      <w:r>
        <w:rPr>
          <w:spacing w:val="-3"/>
          <w:sz w:val="21"/>
        </w:rPr>
        <w:t>hearing</w:t>
      </w:r>
    </w:p>
    <w:p>
      <w:pPr>
        <w:pStyle w:val="ListParagraph"/>
        <w:numPr>
          <w:ilvl w:val="1"/>
          <w:numId w:val="12"/>
        </w:numPr>
        <w:tabs>
          <w:tab w:pos="2721" w:val="left" w:leader="none"/>
          <w:tab w:pos="2722" w:val="left" w:leader="none"/>
        </w:tabs>
        <w:spacing w:line="242" w:lineRule="auto" w:before="122" w:after="0"/>
        <w:ind w:left="2721" w:right="2110" w:hanging="567"/>
        <w:jc w:val="left"/>
        <w:rPr>
          <w:sz w:val="21"/>
        </w:rPr>
      </w:pPr>
      <w:r>
        <w:rPr>
          <w:sz w:val="21"/>
        </w:rPr>
        <w:t>the Victorian </w:t>
      </w:r>
      <w:r>
        <w:rPr>
          <w:spacing w:val="-3"/>
          <w:sz w:val="21"/>
        </w:rPr>
        <w:t>Civil </w:t>
      </w:r>
      <w:r>
        <w:rPr>
          <w:sz w:val="21"/>
        </w:rPr>
        <w:t>and </w:t>
      </w:r>
      <w:r>
        <w:rPr>
          <w:spacing w:val="-3"/>
          <w:sz w:val="21"/>
        </w:rPr>
        <w:t>Administrative </w:t>
      </w:r>
      <w:r>
        <w:rPr>
          <w:spacing w:val="-5"/>
          <w:sz w:val="21"/>
        </w:rPr>
        <w:t>Tribunal </w:t>
      </w:r>
      <w:r>
        <w:rPr>
          <w:sz w:val="21"/>
        </w:rPr>
        <w:t>should </w:t>
      </w:r>
      <w:r>
        <w:rPr>
          <w:spacing w:val="-3"/>
          <w:sz w:val="21"/>
        </w:rPr>
        <w:t>consider </w:t>
      </w:r>
      <w:r>
        <w:rPr>
          <w:sz w:val="21"/>
        </w:rPr>
        <w:t>the factors </w:t>
      </w:r>
      <w:r>
        <w:rPr>
          <w:spacing w:val="-3"/>
          <w:sz w:val="21"/>
        </w:rPr>
        <w:t>that </w:t>
      </w:r>
      <w:r>
        <w:rPr>
          <w:sz w:val="21"/>
        </w:rPr>
        <w:t>Heritage Victoria would </w:t>
      </w:r>
      <w:r>
        <w:rPr>
          <w:spacing w:val="-3"/>
          <w:sz w:val="21"/>
        </w:rPr>
        <w:t>have </w:t>
      </w:r>
      <w:r>
        <w:rPr>
          <w:sz w:val="21"/>
        </w:rPr>
        <w:t>been </w:t>
      </w:r>
      <w:r>
        <w:rPr>
          <w:spacing w:val="-3"/>
          <w:sz w:val="21"/>
        </w:rPr>
        <w:t>required to take </w:t>
      </w:r>
      <w:r>
        <w:rPr>
          <w:spacing w:val="-4"/>
          <w:sz w:val="21"/>
        </w:rPr>
        <w:t>into </w:t>
      </w:r>
      <w:r>
        <w:rPr>
          <w:spacing w:val="-3"/>
          <w:sz w:val="21"/>
        </w:rPr>
        <w:t>account pursuant to </w:t>
      </w:r>
      <w:r>
        <w:rPr>
          <w:sz w:val="21"/>
        </w:rPr>
        <w:t>the </w:t>
      </w:r>
      <w:r>
        <w:rPr>
          <w:i/>
          <w:sz w:val="21"/>
        </w:rPr>
        <w:t>Heritage Act </w:t>
      </w:r>
      <w:r>
        <w:rPr>
          <w:i/>
          <w:spacing w:val="-10"/>
          <w:sz w:val="21"/>
        </w:rPr>
        <w:t>2017 </w:t>
      </w:r>
      <w:r>
        <w:rPr>
          <w:sz w:val="21"/>
        </w:rPr>
        <w:t>(Vic) and </w:t>
      </w:r>
      <w:r>
        <w:rPr>
          <w:spacing w:val="-3"/>
          <w:sz w:val="21"/>
        </w:rPr>
        <w:t>any information </w:t>
      </w:r>
      <w:r>
        <w:rPr>
          <w:sz w:val="21"/>
        </w:rPr>
        <w:t>provided by Heritage</w:t>
      </w:r>
      <w:r>
        <w:rPr>
          <w:spacing w:val="8"/>
          <w:sz w:val="21"/>
        </w:rPr>
        <w:t> </w:t>
      </w:r>
      <w:r>
        <w:rPr>
          <w:sz w:val="21"/>
        </w:rPr>
        <w:t>Victoria.</w:t>
      </w:r>
    </w:p>
    <w:p>
      <w:pPr>
        <w:pStyle w:val="ListParagraph"/>
        <w:numPr>
          <w:ilvl w:val="0"/>
          <w:numId w:val="12"/>
        </w:numPr>
        <w:tabs>
          <w:tab w:pos="2154" w:val="left" w:leader="none"/>
          <w:tab w:pos="2155" w:val="left" w:leader="none"/>
        </w:tabs>
        <w:spacing w:line="242" w:lineRule="auto" w:before="124" w:after="0"/>
        <w:ind w:left="2154" w:right="1643" w:hanging="567"/>
        <w:jc w:val="left"/>
        <w:rPr>
          <w:sz w:val="21"/>
        </w:rPr>
      </w:pPr>
      <w:r>
        <w:rPr>
          <w:sz w:val="21"/>
        </w:rPr>
        <w:t>Where a </w:t>
      </w:r>
      <w:r>
        <w:rPr>
          <w:spacing w:val="-3"/>
          <w:sz w:val="21"/>
        </w:rPr>
        <w:t>registered  </w:t>
      </w:r>
      <w:r>
        <w:rPr>
          <w:sz w:val="21"/>
        </w:rPr>
        <w:t>tree under the </w:t>
      </w:r>
      <w:r>
        <w:rPr>
          <w:i/>
          <w:sz w:val="21"/>
        </w:rPr>
        <w:t>Heritage Act </w:t>
      </w:r>
      <w:r>
        <w:rPr>
          <w:i/>
          <w:spacing w:val="-10"/>
          <w:sz w:val="21"/>
        </w:rPr>
        <w:t>2017</w:t>
      </w:r>
      <w:r>
        <w:rPr>
          <w:i/>
          <w:spacing w:val="27"/>
          <w:sz w:val="21"/>
        </w:rPr>
        <w:t> </w:t>
      </w:r>
      <w:r>
        <w:rPr>
          <w:sz w:val="21"/>
        </w:rPr>
        <w:t>(Vic) or a tree in a heritage-listed </w:t>
      </w:r>
      <w:r>
        <w:rPr>
          <w:spacing w:val="-3"/>
          <w:sz w:val="21"/>
        </w:rPr>
        <w:t>place   </w:t>
      </w:r>
      <w:r>
        <w:rPr>
          <w:sz w:val="21"/>
        </w:rPr>
        <w:t>is ordered </w:t>
      </w:r>
      <w:r>
        <w:rPr>
          <w:spacing w:val="-3"/>
          <w:sz w:val="21"/>
        </w:rPr>
        <w:t>to  </w:t>
      </w:r>
      <w:r>
        <w:rPr>
          <w:sz w:val="21"/>
        </w:rPr>
        <w:t>be removed by the Victorian </w:t>
      </w:r>
      <w:r>
        <w:rPr>
          <w:spacing w:val="-3"/>
          <w:sz w:val="21"/>
        </w:rPr>
        <w:t>Civil</w:t>
      </w:r>
      <w:r>
        <w:rPr>
          <w:spacing w:val="41"/>
          <w:sz w:val="21"/>
        </w:rPr>
        <w:t> </w:t>
      </w:r>
      <w:r>
        <w:rPr>
          <w:sz w:val="21"/>
        </w:rPr>
        <w:t>and </w:t>
      </w:r>
      <w:r>
        <w:rPr>
          <w:spacing w:val="-3"/>
          <w:sz w:val="21"/>
        </w:rPr>
        <w:t>Administrative  </w:t>
      </w:r>
      <w:r>
        <w:rPr>
          <w:spacing w:val="-5"/>
          <w:sz w:val="21"/>
        </w:rPr>
        <w:t>Tribunal  </w:t>
      </w:r>
      <w:r>
        <w:rPr>
          <w:sz w:val="21"/>
        </w:rPr>
        <w:t>under the Act,   the </w:t>
      </w:r>
      <w:r>
        <w:rPr>
          <w:spacing w:val="-5"/>
          <w:sz w:val="21"/>
        </w:rPr>
        <w:t>Tribunal </w:t>
      </w:r>
      <w:r>
        <w:rPr>
          <w:sz w:val="21"/>
        </w:rPr>
        <w:t>should </w:t>
      </w:r>
      <w:r>
        <w:rPr>
          <w:spacing w:val="-3"/>
          <w:sz w:val="21"/>
        </w:rPr>
        <w:t>have regard to any replanting requirements that </w:t>
      </w:r>
      <w:r>
        <w:rPr>
          <w:sz w:val="21"/>
        </w:rPr>
        <w:t>Heritage Victoria </w:t>
      </w:r>
      <w:r>
        <w:rPr>
          <w:spacing w:val="-3"/>
          <w:sz w:val="21"/>
        </w:rPr>
        <w:t>may consider </w:t>
      </w:r>
      <w:r>
        <w:rPr>
          <w:sz w:val="21"/>
        </w:rPr>
        <w:t>necessary </w:t>
      </w:r>
      <w:r>
        <w:rPr>
          <w:spacing w:val="-3"/>
          <w:sz w:val="21"/>
        </w:rPr>
        <w:t>to maintain </w:t>
      </w:r>
      <w:r>
        <w:rPr>
          <w:sz w:val="21"/>
        </w:rPr>
        <w:t>the heritage </w:t>
      </w:r>
      <w:r>
        <w:rPr>
          <w:spacing w:val="-3"/>
          <w:sz w:val="21"/>
        </w:rPr>
        <w:t>value</w:t>
      </w:r>
      <w:r>
        <w:rPr>
          <w:spacing w:val="-27"/>
          <w:sz w:val="21"/>
        </w:rPr>
        <w:t> </w:t>
      </w:r>
      <w:r>
        <w:rPr>
          <w:sz w:val="21"/>
        </w:rPr>
        <w:t>of the </w:t>
      </w:r>
      <w:r>
        <w:rPr>
          <w:spacing w:val="-3"/>
          <w:sz w:val="21"/>
        </w:rPr>
        <w:t>landscape.</w:t>
      </w:r>
    </w:p>
    <w:p>
      <w:pPr>
        <w:pStyle w:val="ListParagraph"/>
        <w:numPr>
          <w:ilvl w:val="0"/>
          <w:numId w:val="12"/>
        </w:numPr>
        <w:tabs>
          <w:tab w:pos="2154" w:val="left" w:leader="none"/>
          <w:tab w:pos="2155" w:val="left" w:leader="none"/>
        </w:tabs>
        <w:spacing w:line="242" w:lineRule="auto" w:before="124" w:after="0"/>
        <w:ind w:left="2154" w:right="1664" w:hanging="567"/>
        <w:jc w:val="left"/>
        <w:rPr>
          <w:sz w:val="21"/>
        </w:rPr>
      </w:pPr>
      <w:r>
        <w:rPr>
          <w:spacing w:val="-4"/>
          <w:sz w:val="21"/>
        </w:rPr>
        <w:t>Section </w:t>
      </w:r>
      <w:r>
        <w:rPr>
          <w:spacing w:val="-2"/>
          <w:sz w:val="21"/>
        </w:rPr>
        <w:t>30C </w:t>
      </w:r>
      <w:r>
        <w:rPr>
          <w:spacing w:val="-4"/>
          <w:sz w:val="21"/>
        </w:rPr>
        <w:t>of the </w:t>
      </w:r>
      <w:r>
        <w:rPr>
          <w:i/>
          <w:spacing w:val="-4"/>
          <w:sz w:val="21"/>
        </w:rPr>
        <w:t>Fences </w:t>
      </w:r>
      <w:r>
        <w:rPr>
          <w:i/>
          <w:spacing w:val="-3"/>
          <w:sz w:val="21"/>
        </w:rPr>
        <w:t>Act </w:t>
      </w:r>
      <w:r>
        <w:rPr>
          <w:i/>
          <w:spacing w:val="-6"/>
          <w:sz w:val="21"/>
        </w:rPr>
        <w:t>1968 </w:t>
      </w:r>
      <w:r>
        <w:rPr>
          <w:spacing w:val="-3"/>
          <w:sz w:val="21"/>
        </w:rPr>
        <w:t>(Vic) </w:t>
      </w:r>
      <w:r>
        <w:rPr>
          <w:spacing w:val="-5"/>
          <w:sz w:val="21"/>
        </w:rPr>
        <w:t>should </w:t>
      </w:r>
      <w:r>
        <w:rPr>
          <w:sz w:val="21"/>
        </w:rPr>
        <w:t>be </w:t>
      </w:r>
      <w:r>
        <w:rPr>
          <w:spacing w:val="-5"/>
          <w:sz w:val="21"/>
        </w:rPr>
        <w:t>amended </w:t>
      </w:r>
      <w:r>
        <w:rPr>
          <w:spacing w:val="-4"/>
          <w:sz w:val="21"/>
        </w:rPr>
        <w:t>to </w:t>
      </w:r>
      <w:r>
        <w:rPr>
          <w:spacing w:val="-5"/>
          <w:sz w:val="21"/>
        </w:rPr>
        <w:t>provide </w:t>
      </w:r>
      <w:r>
        <w:rPr>
          <w:spacing w:val="-4"/>
          <w:sz w:val="21"/>
        </w:rPr>
        <w:t>the </w:t>
      </w:r>
      <w:r>
        <w:rPr>
          <w:spacing w:val="-5"/>
          <w:sz w:val="21"/>
        </w:rPr>
        <w:t>Victorian </w:t>
      </w:r>
      <w:r>
        <w:rPr>
          <w:spacing w:val="-6"/>
          <w:sz w:val="21"/>
        </w:rPr>
        <w:t>Civil </w:t>
      </w:r>
      <w:r>
        <w:rPr>
          <w:spacing w:val="-4"/>
          <w:sz w:val="21"/>
        </w:rPr>
        <w:t>and </w:t>
      </w:r>
      <w:r>
        <w:rPr>
          <w:spacing w:val="-6"/>
          <w:sz w:val="21"/>
        </w:rPr>
        <w:t>Administrative</w:t>
      </w:r>
      <w:r>
        <w:rPr>
          <w:spacing w:val="12"/>
          <w:sz w:val="21"/>
        </w:rPr>
        <w:t> </w:t>
      </w:r>
      <w:r>
        <w:rPr>
          <w:spacing w:val="-7"/>
          <w:sz w:val="21"/>
        </w:rPr>
        <w:t>Tribunal</w:t>
      </w:r>
      <w:r>
        <w:rPr>
          <w:spacing w:val="13"/>
          <w:sz w:val="21"/>
        </w:rPr>
        <w:t> </w:t>
      </w:r>
      <w:r>
        <w:rPr>
          <w:spacing w:val="-4"/>
          <w:sz w:val="21"/>
        </w:rPr>
        <w:t>with</w:t>
      </w:r>
      <w:r>
        <w:rPr>
          <w:spacing w:val="12"/>
          <w:sz w:val="21"/>
        </w:rPr>
        <w:t> </w:t>
      </w:r>
      <w:r>
        <w:rPr>
          <w:spacing w:val="-5"/>
          <w:sz w:val="21"/>
        </w:rPr>
        <w:t>jurisdiction</w:t>
      </w:r>
      <w:r>
        <w:rPr>
          <w:spacing w:val="13"/>
          <w:sz w:val="21"/>
        </w:rPr>
        <w:t> </w:t>
      </w:r>
      <w:r>
        <w:rPr>
          <w:spacing w:val="-4"/>
          <w:sz w:val="21"/>
        </w:rPr>
        <w:t>to</w:t>
      </w:r>
      <w:r>
        <w:rPr>
          <w:spacing w:val="13"/>
          <w:sz w:val="21"/>
        </w:rPr>
        <w:t> </w:t>
      </w:r>
      <w:r>
        <w:rPr>
          <w:spacing w:val="-6"/>
          <w:sz w:val="21"/>
        </w:rPr>
        <w:t>make</w:t>
      </w:r>
      <w:r>
        <w:rPr>
          <w:spacing w:val="12"/>
          <w:sz w:val="21"/>
        </w:rPr>
        <w:t> </w:t>
      </w:r>
      <w:r>
        <w:rPr>
          <w:spacing w:val="-4"/>
          <w:sz w:val="21"/>
        </w:rPr>
        <w:t>orders</w:t>
      </w:r>
      <w:r>
        <w:rPr>
          <w:spacing w:val="13"/>
          <w:sz w:val="21"/>
        </w:rPr>
        <w:t> </w:t>
      </w:r>
      <w:r>
        <w:rPr>
          <w:spacing w:val="-5"/>
          <w:sz w:val="21"/>
        </w:rPr>
        <w:t>under</w:t>
      </w:r>
      <w:r>
        <w:rPr>
          <w:spacing w:val="13"/>
          <w:sz w:val="21"/>
        </w:rPr>
        <w:t> </w:t>
      </w:r>
      <w:r>
        <w:rPr>
          <w:spacing w:val="-4"/>
          <w:sz w:val="21"/>
        </w:rPr>
        <w:t>the</w:t>
      </w:r>
      <w:r>
        <w:rPr>
          <w:spacing w:val="12"/>
          <w:sz w:val="21"/>
        </w:rPr>
        <w:t> </w:t>
      </w:r>
      <w:r>
        <w:rPr>
          <w:spacing w:val="-5"/>
          <w:sz w:val="21"/>
        </w:rPr>
        <w:t>Fences</w:t>
      </w:r>
      <w:r>
        <w:rPr>
          <w:spacing w:val="13"/>
          <w:sz w:val="21"/>
        </w:rPr>
        <w:t> </w:t>
      </w:r>
      <w:r>
        <w:rPr>
          <w:sz w:val="21"/>
        </w:rPr>
        <w:t>Act</w:t>
      </w:r>
      <w:r>
        <w:rPr>
          <w:spacing w:val="13"/>
          <w:sz w:val="21"/>
        </w:rPr>
        <w:t> </w:t>
      </w:r>
      <w:r>
        <w:rPr>
          <w:spacing w:val="-5"/>
          <w:sz w:val="21"/>
        </w:rPr>
        <w:t>where</w:t>
      </w:r>
      <w:r>
        <w:rPr>
          <w:spacing w:val="12"/>
          <w:sz w:val="21"/>
        </w:rPr>
        <w:t> </w:t>
      </w:r>
      <w:r>
        <w:rPr>
          <w:sz w:val="21"/>
        </w:rPr>
        <w:t>a</w:t>
      </w:r>
      <w:r>
        <w:rPr>
          <w:spacing w:val="13"/>
          <w:sz w:val="21"/>
        </w:rPr>
        <w:t> </w:t>
      </w:r>
      <w:r>
        <w:rPr>
          <w:spacing w:val="-4"/>
          <w:sz w:val="21"/>
        </w:rPr>
        <w:t>tree:</w:t>
      </w:r>
    </w:p>
    <w:p>
      <w:pPr>
        <w:pStyle w:val="ListParagraph"/>
        <w:numPr>
          <w:ilvl w:val="1"/>
          <w:numId w:val="12"/>
        </w:numPr>
        <w:tabs>
          <w:tab w:pos="2721" w:val="left" w:leader="none"/>
          <w:tab w:pos="2722" w:val="left" w:leader="none"/>
        </w:tabs>
        <w:spacing w:line="242" w:lineRule="auto" w:before="122" w:after="0"/>
        <w:ind w:left="2721" w:right="1592" w:hanging="567"/>
        <w:jc w:val="left"/>
        <w:rPr>
          <w:sz w:val="21"/>
        </w:rPr>
      </w:pPr>
      <w:r>
        <w:rPr>
          <w:spacing w:val="-2"/>
          <w:w w:val="105"/>
          <w:sz w:val="21"/>
        </w:rPr>
        <w:t>has </w:t>
      </w:r>
      <w:r>
        <w:rPr>
          <w:w w:val="105"/>
          <w:sz w:val="21"/>
        </w:rPr>
        <w:t>caused, is </w:t>
      </w:r>
      <w:r>
        <w:rPr>
          <w:spacing w:val="-3"/>
          <w:w w:val="105"/>
          <w:sz w:val="21"/>
        </w:rPr>
        <w:t>causing, </w:t>
      </w:r>
      <w:r>
        <w:rPr>
          <w:w w:val="105"/>
          <w:sz w:val="21"/>
        </w:rPr>
        <w:t>or is </w:t>
      </w:r>
      <w:r>
        <w:rPr>
          <w:spacing w:val="-4"/>
          <w:w w:val="105"/>
          <w:sz w:val="21"/>
        </w:rPr>
        <w:t>likely </w:t>
      </w:r>
      <w:r>
        <w:rPr>
          <w:w w:val="105"/>
          <w:sz w:val="21"/>
        </w:rPr>
        <w:t>in the next </w:t>
      </w:r>
      <w:r>
        <w:rPr>
          <w:spacing w:val="-9"/>
          <w:w w:val="105"/>
          <w:sz w:val="21"/>
        </w:rPr>
        <w:t>12 </w:t>
      </w:r>
      <w:r>
        <w:rPr>
          <w:spacing w:val="-3"/>
          <w:w w:val="105"/>
          <w:sz w:val="21"/>
        </w:rPr>
        <w:t>months to </w:t>
      </w:r>
      <w:r>
        <w:rPr>
          <w:w w:val="105"/>
          <w:sz w:val="21"/>
        </w:rPr>
        <w:t>cause damage </w:t>
      </w:r>
      <w:r>
        <w:rPr>
          <w:spacing w:val="-3"/>
          <w:w w:val="105"/>
          <w:sz w:val="21"/>
        </w:rPr>
        <w:t>to </w:t>
      </w:r>
      <w:r>
        <w:rPr>
          <w:w w:val="105"/>
          <w:sz w:val="21"/>
        </w:rPr>
        <w:t>a </w:t>
      </w:r>
      <w:r>
        <w:rPr>
          <w:spacing w:val="-3"/>
          <w:w w:val="105"/>
          <w:sz w:val="21"/>
        </w:rPr>
        <w:t>dividing </w:t>
      </w:r>
      <w:r>
        <w:rPr>
          <w:spacing w:val="-4"/>
          <w:w w:val="105"/>
          <w:sz w:val="21"/>
        </w:rPr>
        <w:t>fence,</w:t>
      </w:r>
      <w:r>
        <w:rPr>
          <w:spacing w:val="5"/>
          <w:w w:val="105"/>
          <w:sz w:val="21"/>
        </w:rPr>
        <w:t> </w:t>
      </w:r>
      <w:r>
        <w:rPr>
          <w:w w:val="105"/>
          <w:sz w:val="21"/>
        </w:rPr>
        <w:t>or</w:t>
      </w:r>
    </w:p>
    <w:p>
      <w:pPr>
        <w:pStyle w:val="ListParagraph"/>
        <w:numPr>
          <w:ilvl w:val="1"/>
          <w:numId w:val="12"/>
        </w:numPr>
        <w:tabs>
          <w:tab w:pos="2721" w:val="left" w:leader="none"/>
          <w:tab w:pos="2722" w:val="left" w:leader="none"/>
        </w:tabs>
        <w:spacing w:line="242" w:lineRule="auto" w:before="123" w:after="0"/>
        <w:ind w:left="2721" w:right="1790" w:hanging="567"/>
        <w:jc w:val="left"/>
        <w:rPr>
          <w:sz w:val="21"/>
        </w:rPr>
      </w:pPr>
      <w:r>
        <w:rPr>
          <w:spacing w:val="-3"/>
          <w:sz w:val="21"/>
        </w:rPr>
        <w:t>forms </w:t>
      </w:r>
      <w:r>
        <w:rPr>
          <w:sz w:val="21"/>
        </w:rPr>
        <w:t>part of the </w:t>
      </w:r>
      <w:r>
        <w:rPr>
          <w:spacing w:val="-3"/>
          <w:sz w:val="21"/>
        </w:rPr>
        <w:t>fence that </w:t>
      </w:r>
      <w:r>
        <w:rPr>
          <w:spacing w:val="-2"/>
          <w:sz w:val="21"/>
        </w:rPr>
        <w:t>has  </w:t>
      </w:r>
      <w:r>
        <w:rPr>
          <w:sz w:val="21"/>
        </w:rPr>
        <w:t>caused, is </w:t>
      </w:r>
      <w:r>
        <w:rPr>
          <w:spacing w:val="-3"/>
          <w:sz w:val="21"/>
        </w:rPr>
        <w:t>causing,  </w:t>
      </w:r>
      <w:r>
        <w:rPr>
          <w:sz w:val="21"/>
        </w:rPr>
        <w:t>or is </w:t>
      </w:r>
      <w:r>
        <w:rPr>
          <w:spacing w:val="-4"/>
          <w:sz w:val="21"/>
        </w:rPr>
        <w:t>likely  </w:t>
      </w:r>
      <w:r>
        <w:rPr>
          <w:sz w:val="21"/>
        </w:rPr>
        <w:t>in the next </w:t>
      </w:r>
      <w:r>
        <w:rPr>
          <w:spacing w:val="-9"/>
          <w:sz w:val="21"/>
        </w:rPr>
        <w:t>12  </w:t>
      </w:r>
      <w:r>
        <w:rPr>
          <w:spacing w:val="-3"/>
          <w:sz w:val="21"/>
        </w:rPr>
        <w:t>months  to</w:t>
      </w:r>
      <w:r>
        <w:rPr>
          <w:spacing w:val="9"/>
          <w:sz w:val="21"/>
        </w:rPr>
        <w:t> </w:t>
      </w:r>
      <w:r>
        <w:rPr>
          <w:sz w:val="21"/>
        </w:rPr>
        <w:t>cause</w:t>
      </w:r>
      <w:r>
        <w:rPr>
          <w:spacing w:val="10"/>
          <w:sz w:val="21"/>
        </w:rPr>
        <w:t> </w:t>
      </w:r>
      <w:r>
        <w:rPr>
          <w:sz w:val="21"/>
        </w:rPr>
        <w:t>damage</w:t>
      </w:r>
      <w:r>
        <w:rPr>
          <w:spacing w:val="10"/>
          <w:sz w:val="21"/>
        </w:rPr>
        <w:t> </w:t>
      </w:r>
      <w:r>
        <w:rPr>
          <w:spacing w:val="-3"/>
          <w:sz w:val="21"/>
        </w:rPr>
        <w:t>to</w:t>
      </w:r>
      <w:r>
        <w:rPr>
          <w:spacing w:val="10"/>
          <w:sz w:val="21"/>
        </w:rPr>
        <w:t> </w:t>
      </w:r>
      <w:r>
        <w:rPr>
          <w:sz w:val="21"/>
        </w:rPr>
        <w:t>property</w:t>
      </w:r>
      <w:r>
        <w:rPr>
          <w:spacing w:val="9"/>
          <w:sz w:val="21"/>
        </w:rPr>
        <w:t> </w:t>
      </w:r>
      <w:r>
        <w:rPr>
          <w:sz w:val="21"/>
        </w:rPr>
        <w:t>or</w:t>
      </w:r>
      <w:r>
        <w:rPr>
          <w:spacing w:val="10"/>
          <w:sz w:val="21"/>
        </w:rPr>
        <w:t> </w:t>
      </w:r>
      <w:r>
        <w:rPr>
          <w:spacing w:val="-3"/>
          <w:sz w:val="21"/>
        </w:rPr>
        <w:t>harm</w:t>
      </w:r>
      <w:r>
        <w:rPr>
          <w:spacing w:val="10"/>
          <w:sz w:val="21"/>
        </w:rPr>
        <w:t> </w:t>
      </w:r>
      <w:r>
        <w:rPr>
          <w:spacing w:val="-3"/>
          <w:sz w:val="21"/>
        </w:rPr>
        <w:t>to</w:t>
      </w:r>
      <w:r>
        <w:rPr>
          <w:spacing w:val="10"/>
          <w:sz w:val="21"/>
        </w:rPr>
        <w:t> </w:t>
      </w:r>
      <w:r>
        <w:rPr>
          <w:spacing w:val="-3"/>
          <w:sz w:val="21"/>
        </w:rPr>
        <w:t>any</w:t>
      </w:r>
      <w:r>
        <w:rPr>
          <w:spacing w:val="10"/>
          <w:sz w:val="21"/>
        </w:rPr>
        <w:t> </w:t>
      </w:r>
      <w:r>
        <w:rPr>
          <w:sz w:val="21"/>
        </w:rPr>
        <w:t>person.</w:t>
      </w:r>
    </w:p>
    <w:p>
      <w:pPr>
        <w:pStyle w:val="ListParagraph"/>
        <w:numPr>
          <w:ilvl w:val="0"/>
          <w:numId w:val="12"/>
        </w:numPr>
        <w:tabs>
          <w:tab w:pos="2154" w:val="left" w:leader="none"/>
          <w:tab w:pos="2155" w:val="left" w:leader="none"/>
        </w:tabs>
        <w:spacing w:line="242" w:lineRule="auto" w:before="122" w:after="0"/>
        <w:ind w:left="2154" w:right="1764" w:hanging="567"/>
        <w:jc w:val="left"/>
        <w:rPr>
          <w:sz w:val="21"/>
        </w:rPr>
      </w:pPr>
      <w:r>
        <w:rPr>
          <w:w w:val="105"/>
          <w:sz w:val="21"/>
        </w:rPr>
        <w:t>The Act should apply </w:t>
      </w:r>
      <w:r>
        <w:rPr>
          <w:spacing w:val="-3"/>
          <w:w w:val="105"/>
          <w:sz w:val="21"/>
        </w:rPr>
        <w:t>to </w:t>
      </w:r>
      <w:r>
        <w:rPr>
          <w:w w:val="105"/>
          <w:sz w:val="21"/>
        </w:rPr>
        <w:t>recognised weeds provided </w:t>
      </w:r>
      <w:r>
        <w:rPr>
          <w:spacing w:val="-3"/>
          <w:w w:val="105"/>
          <w:sz w:val="21"/>
        </w:rPr>
        <w:t>that </w:t>
      </w:r>
      <w:r>
        <w:rPr>
          <w:w w:val="105"/>
          <w:sz w:val="21"/>
        </w:rPr>
        <w:t>the weed is a ‘tree’ and </w:t>
      </w:r>
      <w:r>
        <w:rPr>
          <w:spacing w:val="-2"/>
          <w:w w:val="105"/>
          <w:sz w:val="21"/>
        </w:rPr>
        <w:t>has </w:t>
      </w:r>
      <w:r>
        <w:rPr>
          <w:w w:val="105"/>
          <w:sz w:val="21"/>
        </w:rPr>
        <w:t>caused, is </w:t>
      </w:r>
      <w:r>
        <w:rPr>
          <w:spacing w:val="-3"/>
          <w:w w:val="105"/>
          <w:sz w:val="21"/>
        </w:rPr>
        <w:t>causing </w:t>
      </w:r>
      <w:r>
        <w:rPr>
          <w:w w:val="105"/>
          <w:sz w:val="21"/>
        </w:rPr>
        <w:t>or is </w:t>
      </w:r>
      <w:r>
        <w:rPr>
          <w:spacing w:val="-4"/>
          <w:w w:val="105"/>
          <w:sz w:val="21"/>
        </w:rPr>
        <w:t>likely </w:t>
      </w:r>
      <w:r>
        <w:rPr>
          <w:spacing w:val="-3"/>
          <w:w w:val="105"/>
          <w:sz w:val="21"/>
        </w:rPr>
        <w:t>to </w:t>
      </w:r>
      <w:r>
        <w:rPr>
          <w:w w:val="105"/>
          <w:sz w:val="21"/>
        </w:rPr>
        <w:t>cause damage </w:t>
      </w:r>
      <w:r>
        <w:rPr>
          <w:spacing w:val="-3"/>
          <w:w w:val="105"/>
          <w:sz w:val="21"/>
        </w:rPr>
        <w:t>to </w:t>
      </w:r>
      <w:r>
        <w:rPr>
          <w:w w:val="105"/>
          <w:sz w:val="21"/>
        </w:rPr>
        <w:t>property or </w:t>
      </w:r>
      <w:r>
        <w:rPr>
          <w:spacing w:val="-3"/>
          <w:w w:val="105"/>
          <w:sz w:val="21"/>
        </w:rPr>
        <w:t>land </w:t>
      </w:r>
      <w:r>
        <w:rPr>
          <w:w w:val="105"/>
          <w:sz w:val="21"/>
        </w:rPr>
        <w:t>or </w:t>
      </w:r>
      <w:r>
        <w:rPr>
          <w:spacing w:val="-3"/>
          <w:w w:val="105"/>
          <w:sz w:val="21"/>
        </w:rPr>
        <w:t>harm to </w:t>
      </w:r>
      <w:r>
        <w:rPr>
          <w:w w:val="105"/>
          <w:sz w:val="21"/>
        </w:rPr>
        <w:t>people in the next </w:t>
      </w:r>
      <w:r>
        <w:rPr>
          <w:spacing w:val="-9"/>
          <w:w w:val="105"/>
          <w:sz w:val="21"/>
        </w:rPr>
        <w:t>12</w:t>
      </w:r>
      <w:r>
        <w:rPr>
          <w:spacing w:val="11"/>
          <w:w w:val="105"/>
          <w:sz w:val="21"/>
        </w:rPr>
        <w:t> </w:t>
      </w:r>
      <w:r>
        <w:rPr>
          <w:spacing w:val="-3"/>
          <w:w w:val="105"/>
          <w:sz w:val="21"/>
        </w:rPr>
        <w:t>months.</w:t>
      </w:r>
    </w:p>
    <w:p>
      <w:pPr>
        <w:pStyle w:val="BodyText"/>
        <w:rPr>
          <w:sz w:val="20"/>
        </w:rPr>
      </w:pPr>
    </w:p>
    <w:p>
      <w:pPr>
        <w:pStyle w:val="BodyText"/>
        <w:spacing w:before="4"/>
        <w:rPr>
          <w:sz w:val="22"/>
        </w:rPr>
      </w:pPr>
    </w:p>
    <w:p>
      <w:pPr>
        <w:spacing w:before="0"/>
        <w:ind w:left="720" w:right="0" w:firstLine="0"/>
        <w:jc w:val="left"/>
        <w:rPr>
          <w:b/>
          <w:sz w:val="24"/>
        </w:rPr>
      </w:pPr>
      <w:r>
        <w:rPr>
          <w:b/>
          <w:color w:val="658464"/>
          <w:w w:val="115"/>
          <w:sz w:val="24"/>
        </w:rPr>
        <w:t>xxviii</w:t>
      </w:r>
    </w:p>
    <w:p>
      <w:pPr>
        <w:spacing w:after="0"/>
        <w:jc w:val="left"/>
        <w:rPr>
          <w:sz w:val="24"/>
        </w:rPr>
        <w:sectPr>
          <w:pgSz w:w="11910" w:h="16840"/>
          <w:pgMar w:header="546" w:footer="0" w:top="1560" w:bottom="280" w:left="0" w:right="0"/>
        </w:sectPr>
      </w:pPr>
    </w:p>
    <w:p>
      <w:pPr>
        <w:pStyle w:val="BodyText"/>
        <w:spacing w:before="3"/>
        <w:rPr>
          <w:b/>
        </w:rPr>
      </w:pPr>
    </w:p>
    <w:p>
      <w:pPr>
        <w:spacing w:before="96"/>
        <w:ind w:left="1587" w:right="0" w:firstLine="0"/>
        <w:jc w:val="left"/>
        <w:rPr>
          <w:b/>
          <w:sz w:val="28"/>
        </w:rPr>
      </w:pPr>
      <w:r>
        <w:rPr>
          <w:b/>
          <w:color w:val="658464"/>
          <w:w w:val="110"/>
          <w:sz w:val="28"/>
        </w:rPr>
        <w:t>Chapter 11</w:t>
      </w:r>
    </w:p>
    <w:p>
      <w:pPr>
        <w:pStyle w:val="ListParagraph"/>
        <w:numPr>
          <w:ilvl w:val="0"/>
          <w:numId w:val="13"/>
        </w:numPr>
        <w:tabs>
          <w:tab w:pos="2154" w:val="left" w:leader="none"/>
          <w:tab w:pos="2155" w:val="left" w:leader="none"/>
        </w:tabs>
        <w:spacing w:line="242" w:lineRule="auto" w:before="155" w:after="0"/>
        <w:ind w:left="2154" w:right="1996" w:hanging="567"/>
        <w:jc w:val="left"/>
        <w:rPr>
          <w:sz w:val="21"/>
        </w:rPr>
      </w:pPr>
      <w:r>
        <w:rPr>
          <w:w w:val="105"/>
          <w:sz w:val="21"/>
        </w:rPr>
        <w:t>The Act should state </w:t>
      </w:r>
      <w:r>
        <w:rPr>
          <w:spacing w:val="-3"/>
          <w:w w:val="105"/>
          <w:sz w:val="21"/>
        </w:rPr>
        <w:t>that </w:t>
      </w:r>
      <w:r>
        <w:rPr>
          <w:w w:val="105"/>
          <w:sz w:val="21"/>
        </w:rPr>
        <w:t>new owners of </w:t>
      </w:r>
      <w:r>
        <w:rPr>
          <w:spacing w:val="-3"/>
          <w:w w:val="105"/>
          <w:sz w:val="21"/>
        </w:rPr>
        <w:t>land </w:t>
      </w:r>
      <w:r>
        <w:rPr>
          <w:w w:val="105"/>
          <w:sz w:val="21"/>
        </w:rPr>
        <w:t>should be bound by and benefit </w:t>
      </w:r>
      <w:r>
        <w:rPr>
          <w:spacing w:val="-3"/>
          <w:w w:val="105"/>
          <w:sz w:val="21"/>
        </w:rPr>
        <w:t>from </w:t>
      </w:r>
      <w:r>
        <w:rPr>
          <w:w w:val="105"/>
          <w:sz w:val="21"/>
        </w:rPr>
        <w:t>the </w:t>
      </w:r>
      <w:r>
        <w:rPr>
          <w:spacing w:val="-3"/>
          <w:w w:val="105"/>
          <w:sz w:val="21"/>
        </w:rPr>
        <w:t>outcome </w:t>
      </w:r>
      <w:r>
        <w:rPr>
          <w:w w:val="105"/>
          <w:sz w:val="21"/>
        </w:rPr>
        <w:t>of legal</w:t>
      </w:r>
      <w:r>
        <w:rPr>
          <w:spacing w:val="19"/>
          <w:w w:val="105"/>
          <w:sz w:val="21"/>
        </w:rPr>
        <w:t> </w:t>
      </w:r>
      <w:r>
        <w:rPr>
          <w:w w:val="105"/>
          <w:sz w:val="21"/>
        </w:rPr>
        <w:t>action.</w:t>
      </w:r>
    </w:p>
    <w:p>
      <w:pPr>
        <w:pStyle w:val="ListParagraph"/>
        <w:numPr>
          <w:ilvl w:val="0"/>
          <w:numId w:val="13"/>
        </w:numPr>
        <w:tabs>
          <w:tab w:pos="2154" w:val="left" w:leader="none"/>
          <w:tab w:pos="2155" w:val="left" w:leader="none"/>
        </w:tabs>
        <w:spacing w:line="242" w:lineRule="auto" w:before="122" w:after="0"/>
        <w:ind w:left="2154" w:right="1843" w:hanging="567"/>
        <w:jc w:val="left"/>
        <w:rPr>
          <w:sz w:val="21"/>
        </w:rPr>
      </w:pPr>
      <w:r>
        <w:rPr>
          <w:w w:val="105"/>
          <w:sz w:val="21"/>
        </w:rPr>
        <w:t>The</w:t>
      </w:r>
      <w:r>
        <w:rPr>
          <w:spacing w:val="-4"/>
          <w:w w:val="105"/>
          <w:sz w:val="21"/>
        </w:rPr>
        <w:t> </w:t>
      </w:r>
      <w:r>
        <w:rPr>
          <w:w w:val="105"/>
          <w:sz w:val="21"/>
        </w:rPr>
        <w:t>Act</w:t>
      </w:r>
      <w:r>
        <w:rPr>
          <w:spacing w:val="-3"/>
          <w:w w:val="105"/>
          <w:sz w:val="21"/>
        </w:rPr>
        <w:t> </w:t>
      </w:r>
      <w:r>
        <w:rPr>
          <w:w w:val="105"/>
          <w:sz w:val="21"/>
        </w:rPr>
        <w:t>should</w:t>
      </w:r>
      <w:r>
        <w:rPr>
          <w:spacing w:val="-4"/>
          <w:w w:val="105"/>
          <w:sz w:val="21"/>
        </w:rPr>
        <w:t> </w:t>
      </w:r>
      <w:r>
        <w:rPr>
          <w:w w:val="105"/>
          <w:sz w:val="21"/>
        </w:rPr>
        <w:t>state</w:t>
      </w:r>
      <w:r>
        <w:rPr>
          <w:spacing w:val="-3"/>
          <w:w w:val="105"/>
          <w:sz w:val="21"/>
        </w:rPr>
        <w:t> that </w:t>
      </w:r>
      <w:r>
        <w:rPr>
          <w:w w:val="105"/>
          <w:sz w:val="21"/>
        </w:rPr>
        <w:t>new</w:t>
      </w:r>
      <w:r>
        <w:rPr>
          <w:spacing w:val="-4"/>
          <w:w w:val="105"/>
          <w:sz w:val="21"/>
        </w:rPr>
        <w:t> </w:t>
      </w:r>
      <w:r>
        <w:rPr>
          <w:w w:val="105"/>
          <w:sz w:val="21"/>
        </w:rPr>
        <w:t>owners</w:t>
      </w:r>
      <w:r>
        <w:rPr>
          <w:spacing w:val="-3"/>
          <w:w w:val="105"/>
          <w:sz w:val="21"/>
        </w:rPr>
        <w:t> are </w:t>
      </w:r>
      <w:r>
        <w:rPr>
          <w:w w:val="105"/>
          <w:sz w:val="21"/>
        </w:rPr>
        <w:t>bound</w:t>
      </w:r>
      <w:r>
        <w:rPr>
          <w:spacing w:val="-4"/>
          <w:w w:val="105"/>
          <w:sz w:val="21"/>
        </w:rPr>
        <w:t> </w:t>
      </w:r>
      <w:r>
        <w:rPr>
          <w:spacing w:val="-3"/>
          <w:w w:val="105"/>
          <w:sz w:val="21"/>
        </w:rPr>
        <w:t>to </w:t>
      </w:r>
      <w:r>
        <w:rPr>
          <w:w w:val="105"/>
          <w:sz w:val="21"/>
        </w:rPr>
        <w:t>the</w:t>
      </w:r>
      <w:r>
        <w:rPr>
          <w:spacing w:val="-3"/>
          <w:w w:val="105"/>
          <w:sz w:val="21"/>
        </w:rPr>
        <w:t> </w:t>
      </w:r>
      <w:r>
        <w:rPr>
          <w:w w:val="105"/>
          <w:sz w:val="21"/>
        </w:rPr>
        <w:t>extent</w:t>
      </w:r>
      <w:r>
        <w:rPr>
          <w:spacing w:val="-4"/>
          <w:w w:val="105"/>
          <w:sz w:val="21"/>
        </w:rPr>
        <w:t> </w:t>
      </w:r>
      <w:r>
        <w:rPr>
          <w:w w:val="105"/>
          <w:sz w:val="21"/>
        </w:rPr>
        <w:t>the</w:t>
      </w:r>
      <w:r>
        <w:rPr>
          <w:spacing w:val="-3"/>
          <w:w w:val="105"/>
          <w:sz w:val="21"/>
        </w:rPr>
        <w:t> original</w:t>
      </w:r>
      <w:r>
        <w:rPr>
          <w:spacing w:val="-4"/>
          <w:w w:val="105"/>
          <w:sz w:val="21"/>
        </w:rPr>
        <w:t> </w:t>
      </w:r>
      <w:r>
        <w:rPr>
          <w:w w:val="105"/>
          <w:sz w:val="21"/>
        </w:rPr>
        <w:t>owner</w:t>
      </w:r>
      <w:r>
        <w:rPr>
          <w:spacing w:val="-3"/>
          <w:w w:val="105"/>
          <w:sz w:val="21"/>
        </w:rPr>
        <w:t> </w:t>
      </w:r>
      <w:r>
        <w:rPr>
          <w:spacing w:val="-2"/>
          <w:w w:val="105"/>
          <w:sz w:val="21"/>
        </w:rPr>
        <w:t>has</w:t>
      </w:r>
      <w:r>
        <w:rPr>
          <w:spacing w:val="-3"/>
          <w:w w:val="105"/>
          <w:sz w:val="21"/>
        </w:rPr>
        <w:t> </w:t>
      </w:r>
      <w:r>
        <w:rPr>
          <w:spacing w:val="-2"/>
          <w:w w:val="105"/>
          <w:sz w:val="21"/>
        </w:rPr>
        <w:t>not </w:t>
      </w:r>
      <w:r>
        <w:rPr>
          <w:spacing w:val="-3"/>
          <w:w w:val="105"/>
          <w:sz w:val="21"/>
        </w:rPr>
        <w:t>completed </w:t>
      </w:r>
      <w:r>
        <w:rPr>
          <w:w w:val="105"/>
          <w:sz w:val="21"/>
        </w:rPr>
        <w:t>the order or </w:t>
      </w:r>
      <w:r>
        <w:rPr>
          <w:spacing w:val="-2"/>
          <w:w w:val="105"/>
          <w:sz w:val="21"/>
        </w:rPr>
        <w:t>has </w:t>
      </w:r>
      <w:r>
        <w:rPr>
          <w:w w:val="105"/>
          <w:sz w:val="21"/>
        </w:rPr>
        <w:t>an ongoing </w:t>
      </w:r>
      <w:r>
        <w:rPr>
          <w:spacing w:val="-3"/>
          <w:w w:val="105"/>
          <w:sz w:val="21"/>
        </w:rPr>
        <w:t>obligation to </w:t>
      </w:r>
      <w:r>
        <w:rPr>
          <w:w w:val="105"/>
          <w:sz w:val="21"/>
        </w:rPr>
        <w:t>carry out the</w:t>
      </w:r>
      <w:r>
        <w:rPr>
          <w:spacing w:val="49"/>
          <w:w w:val="105"/>
          <w:sz w:val="21"/>
        </w:rPr>
        <w:t> </w:t>
      </w:r>
      <w:r>
        <w:rPr>
          <w:spacing w:val="-4"/>
          <w:w w:val="105"/>
          <w:sz w:val="21"/>
        </w:rPr>
        <w:t>Order.</w:t>
      </w:r>
    </w:p>
    <w:p>
      <w:pPr>
        <w:pStyle w:val="ListParagraph"/>
        <w:numPr>
          <w:ilvl w:val="0"/>
          <w:numId w:val="13"/>
        </w:numPr>
        <w:tabs>
          <w:tab w:pos="2154" w:val="left" w:leader="none"/>
          <w:tab w:pos="2155" w:val="left" w:leader="none"/>
        </w:tabs>
        <w:spacing w:line="240" w:lineRule="auto" w:before="122" w:after="0"/>
        <w:ind w:left="2154" w:right="0" w:hanging="567"/>
        <w:jc w:val="left"/>
        <w:rPr>
          <w:sz w:val="21"/>
        </w:rPr>
      </w:pPr>
      <w:r>
        <w:rPr>
          <w:w w:val="105"/>
          <w:sz w:val="21"/>
        </w:rPr>
        <w:t>Only </w:t>
      </w:r>
      <w:r>
        <w:rPr>
          <w:spacing w:val="-3"/>
          <w:w w:val="105"/>
          <w:sz w:val="21"/>
        </w:rPr>
        <w:t>immediate </w:t>
      </w:r>
      <w:r>
        <w:rPr>
          <w:w w:val="105"/>
          <w:sz w:val="21"/>
        </w:rPr>
        <w:t>new owners </w:t>
      </w:r>
      <w:r>
        <w:rPr>
          <w:spacing w:val="-3"/>
          <w:w w:val="105"/>
          <w:sz w:val="21"/>
        </w:rPr>
        <w:t>may </w:t>
      </w:r>
      <w:r>
        <w:rPr>
          <w:w w:val="105"/>
          <w:sz w:val="21"/>
        </w:rPr>
        <w:t>benefit </w:t>
      </w:r>
      <w:r>
        <w:rPr>
          <w:spacing w:val="-3"/>
          <w:w w:val="105"/>
          <w:sz w:val="21"/>
        </w:rPr>
        <w:t>from </w:t>
      </w:r>
      <w:r>
        <w:rPr>
          <w:w w:val="105"/>
          <w:sz w:val="21"/>
        </w:rPr>
        <w:t>orders made in the </w:t>
      </w:r>
      <w:r>
        <w:rPr>
          <w:spacing w:val="-3"/>
          <w:w w:val="105"/>
          <w:sz w:val="21"/>
        </w:rPr>
        <w:t>original owner’s</w:t>
      </w:r>
      <w:r>
        <w:rPr>
          <w:spacing w:val="-2"/>
          <w:w w:val="105"/>
          <w:sz w:val="21"/>
        </w:rPr>
        <w:t> </w:t>
      </w:r>
      <w:r>
        <w:rPr>
          <w:spacing w:val="-5"/>
          <w:w w:val="105"/>
          <w:sz w:val="21"/>
        </w:rPr>
        <w:t>favour.</w:t>
      </w:r>
    </w:p>
    <w:p>
      <w:pPr>
        <w:pStyle w:val="ListParagraph"/>
        <w:numPr>
          <w:ilvl w:val="0"/>
          <w:numId w:val="13"/>
        </w:numPr>
        <w:tabs>
          <w:tab w:pos="2154" w:val="left" w:leader="none"/>
          <w:tab w:pos="2155" w:val="left" w:leader="none"/>
        </w:tabs>
        <w:spacing w:line="242" w:lineRule="auto" w:before="124" w:after="0"/>
        <w:ind w:left="2154" w:right="1839" w:hanging="567"/>
        <w:jc w:val="left"/>
        <w:rPr>
          <w:sz w:val="21"/>
        </w:rPr>
      </w:pPr>
      <w:r>
        <w:rPr>
          <w:w w:val="105"/>
          <w:sz w:val="21"/>
        </w:rPr>
        <w:t>The Act should state </w:t>
      </w:r>
      <w:r>
        <w:rPr>
          <w:spacing w:val="-3"/>
          <w:w w:val="105"/>
          <w:sz w:val="21"/>
        </w:rPr>
        <w:t>that </w:t>
      </w:r>
      <w:r>
        <w:rPr>
          <w:w w:val="105"/>
          <w:sz w:val="21"/>
        </w:rPr>
        <w:t>the </w:t>
      </w:r>
      <w:r>
        <w:rPr>
          <w:spacing w:val="-3"/>
          <w:w w:val="105"/>
          <w:sz w:val="21"/>
        </w:rPr>
        <w:t>date from </w:t>
      </w:r>
      <w:r>
        <w:rPr>
          <w:w w:val="105"/>
          <w:sz w:val="21"/>
        </w:rPr>
        <w:t>which new owners </w:t>
      </w:r>
      <w:r>
        <w:rPr>
          <w:spacing w:val="-3"/>
          <w:w w:val="105"/>
          <w:sz w:val="21"/>
        </w:rPr>
        <w:t>will </w:t>
      </w:r>
      <w:r>
        <w:rPr>
          <w:w w:val="105"/>
          <w:sz w:val="21"/>
        </w:rPr>
        <w:t>be bound and </w:t>
      </w:r>
      <w:r>
        <w:rPr>
          <w:spacing w:val="-3"/>
          <w:w w:val="105"/>
          <w:sz w:val="21"/>
        </w:rPr>
        <w:t>will </w:t>
      </w:r>
      <w:r>
        <w:rPr>
          <w:w w:val="105"/>
          <w:sz w:val="21"/>
        </w:rPr>
        <w:t>benefit </w:t>
      </w:r>
      <w:r>
        <w:rPr>
          <w:spacing w:val="-3"/>
          <w:w w:val="105"/>
          <w:sz w:val="21"/>
        </w:rPr>
        <w:t>from </w:t>
      </w:r>
      <w:r>
        <w:rPr>
          <w:w w:val="105"/>
          <w:sz w:val="21"/>
        </w:rPr>
        <w:t>the </w:t>
      </w:r>
      <w:r>
        <w:rPr>
          <w:spacing w:val="-3"/>
          <w:w w:val="105"/>
          <w:sz w:val="21"/>
        </w:rPr>
        <w:t>outcome </w:t>
      </w:r>
      <w:r>
        <w:rPr>
          <w:w w:val="105"/>
          <w:sz w:val="21"/>
        </w:rPr>
        <w:t>of legal action is the </w:t>
      </w:r>
      <w:r>
        <w:rPr>
          <w:spacing w:val="-3"/>
          <w:w w:val="105"/>
          <w:sz w:val="21"/>
        </w:rPr>
        <w:t>date </w:t>
      </w:r>
      <w:r>
        <w:rPr>
          <w:w w:val="105"/>
          <w:sz w:val="21"/>
        </w:rPr>
        <w:t>of</w:t>
      </w:r>
      <w:r>
        <w:rPr>
          <w:spacing w:val="45"/>
          <w:w w:val="105"/>
          <w:sz w:val="21"/>
        </w:rPr>
        <w:t> </w:t>
      </w:r>
      <w:r>
        <w:rPr>
          <w:w w:val="105"/>
          <w:sz w:val="21"/>
        </w:rPr>
        <w:t>settlement.</w:t>
      </w:r>
    </w:p>
    <w:p>
      <w:pPr>
        <w:pStyle w:val="ListParagraph"/>
        <w:numPr>
          <w:ilvl w:val="0"/>
          <w:numId w:val="13"/>
        </w:numPr>
        <w:tabs>
          <w:tab w:pos="2154" w:val="left" w:leader="none"/>
          <w:tab w:pos="2155" w:val="left" w:leader="none"/>
        </w:tabs>
        <w:spacing w:line="240" w:lineRule="auto" w:before="122" w:after="0"/>
        <w:ind w:left="2154" w:right="0" w:hanging="567"/>
        <w:jc w:val="left"/>
        <w:rPr>
          <w:sz w:val="21"/>
        </w:rPr>
      </w:pPr>
      <w:r>
        <w:rPr>
          <w:w w:val="105"/>
          <w:sz w:val="21"/>
        </w:rPr>
        <w:t>Any </w:t>
      </w:r>
      <w:r>
        <w:rPr>
          <w:spacing w:val="-3"/>
          <w:w w:val="105"/>
          <w:sz w:val="21"/>
        </w:rPr>
        <w:t>timeframes stipulated </w:t>
      </w:r>
      <w:r>
        <w:rPr>
          <w:w w:val="105"/>
          <w:sz w:val="21"/>
        </w:rPr>
        <w:t>in the orders should re-commence on the </w:t>
      </w:r>
      <w:r>
        <w:rPr>
          <w:spacing w:val="-3"/>
          <w:w w:val="105"/>
          <w:sz w:val="21"/>
        </w:rPr>
        <w:t>date </w:t>
      </w:r>
      <w:r>
        <w:rPr>
          <w:w w:val="105"/>
          <w:sz w:val="21"/>
        </w:rPr>
        <w:t>of</w:t>
      </w:r>
      <w:r>
        <w:rPr>
          <w:spacing w:val="26"/>
          <w:w w:val="105"/>
          <w:sz w:val="21"/>
        </w:rPr>
        <w:t> </w:t>
      </w:r>
      <w:r>
        <w:rPr>
          <w:w w:val="105"/>
          <w:sz w:val="21"/>
        </w:rPr>
        <w:t>settlement.</w:t>
      </w:r>
    </w:p>
    <w:p>
      <w:pPr>
        <w:pStyle w:val="ListParagraph"/>
        <w:numPr>
          <w:ilvl w:val="0"/>
          <w:numId w:val="13"/>
        </w:numPr>
        <w:tabs>
          <w:tab w:pos="2153" w:val="left" w:leader="none"/>
          <w:tab w:pos="2154" w:val="left" w:leader="none"/>
        </w:tabs>
        <w:spacing w:line="242" w:lineRule="auto" w:before="124" w:after="0"/>
        <w:ind w:left="2153" w:right="1822" w:hanging="566"/>
        <w:jc w:val="left"/>
        <w:rPr>
          <w:sz w:val="21"/>
        </w:rPr>
      </w:pPr>
      <w:r>
        <w:rPr>
          <w:w w:val="105"/>
          <w:sz w:val="21"/>
        </w:rPr>
        <w:t>The</w:t>
      </w:r>
      <w:r>
        <w:rPr>
          <w:spacing w:val="-5"/>
          <w:w w:val="105"/>
          <w:sz w:val="21"/>
        </w:rPr>
        <w:t> </w:t>
      </w:r>
      <w:r>
        <w:rPr>
          <w:w w:val="105"/>
          <w:sz w:val="21"/>
        </w:rPr>
        <w:t>Act</w:t>
      </w:r>
      <w:r>
        <w:rPr>
          <w:spacing w:val="-4"/>
          <w:w w:val="105"/>
          <w:sz w:val="21"/>
        </w:rPr>
        <w:t> </w:t>
      </w:r>
      <w:r>
        <w:rPr>
          <w:w w:val="105"/>
          <w:sz w:val="21"/>
        </w:rPr>
        <w:t>should</w:t>
      </w:r>
      <w:r>
        <w:rPr>
          <w:spacing w:val="-4"/>
          <w:w w:val="105"/>
          <w:sz w:val="21"/>
        </w:rPr>
        <w:t> </w:t>
      </w:r>
      <w:r>
        <w:rPr>
          <w:w w:val="105"/>
          <w:sz w:val="21"/>
        </w:rPr>
        <w:t>state</w:t>
      </w:r>
      <w:r>
        <w:rPr>
          <w:spacing w:val="-4"/>
          <w:w w:val="105"/>
          <w:sz w:val="21"/>
        </w:rPr>
        <w:t> </w:t>
      </w:r>
      <w:r>
        <w:rPr>
          <w:spacing w:val="-3"/>
          <w:w w:val="105"/>
          <w:sz w:val="21"/>
        </w:rPr>
        <w:t>that</w:t>
      </w:r>
      <w:r>
        <w:rPr>
          <w:spacing w:val="-4"/>
          <w:w w:val="105"/>
          <w:sz w:val="21"/>
        </w:rPr>
        <w:t> </w:t>
      </w:r>
      <w:r>
        <w:rPr>
          <w:spacing w:val="-3"/>
          <w:w w:val="105"/>
          <w:sz w:val="21"/>
        </w:rPr>
        <w:t>purchasers</w:t>
      </w:r>
      <w:r>
        <w:rPr>
          <w:spacing w:val="-4"/>
          <w:w w:val="105"/>
          <w:sz w:val="21"/>
        </w:rPr>
        <w:t> </w:t>
      </w:r>
      <w:r>
        <w:rPr>
          <w:w w:val="105"/>
          <w:sz w:val="21"/>
        </w:rPr>
        <w:t>should</w:t>
      </w:r>
      <w:r>
        <w:rPr>
          <w:spacing w:val="-4"/>
          <w:w w:val="105"/>
          <w:sz w:val="21"/>
        </w:rPr>
        <w:t> </w:t>
      </w:r>
      <w:r>
        <w:rPr>
          <w:w w:val="105"/>
          <w:sz w:val="21"/>
        </w:rPr>
        <w:t>be</w:t>
      </w:r>
      <w:r>
        <w:rPr>
          <w:spacing w:val="-4"/>
          <w:w w:val="105"/>
          <w:sz w:val="21"/>
        </w:rPr>
        <w:t> </w:t>
      </w:r>
      <w:r>
        <w:rPr>
          <w:w w:val="105"/>
          <w:sz w:val="21"/>
        </w:rPr>
        <w:t>notified</w:t>
      </w:r>
      <w:r>
        <w:rPr>
          <w:spacing w:val="-4"/>
          <w:w w:val="105"/>
          <w:sz w:val="21"/>
        </w:rPr>
        <w:t> </w:t>
      </w:r>
      <w:r>
        <w:rPr>
          <w:w w:val="105"/>
          <w:sz w:val="21"/>
        </w:rPr>
        <w:t>of</w:t>
      </w:r>
      <w:r>
        <w:rPr>
          <w:spacing w:val="-5"/>
          <w:w w:val="105"/>
          <w:sz w:val="21"/>
        </w:rPr>
        <w:t> </w:t>
      </w:r>
      <w:r>
        <w:rPr>
          <w:spacing w:val="-3"/>
          <w:w w:val="105"/>
          <w:sz w:val="21"/>
        </w:rPr>
        <w:t>any</w:t>
      </w:r>
      <w:r>
        <w:rPr>
          <w:spacing w:val="-4"/>
          <w:w w:val="105"/>
          <w:sz w:val="21"/>
        </w:rPr>
        <w:t> </w:t>
      </w:r>
      <w:r>
        <w:rPr>
          <w:w w:val="105"/>
          <w:sz w:val="21"/>
        </w:rPr>
        <w:t>legal</w:t>
      </w:r>
      <w:r>
        <w:rPr>
          <w:spacing w:val="-4"/>
          <w:w w:val="105"/>
          <w:sz w:val="21"/>
        </w:rPr>
        <w:t> </w:t>
      </w:r>
      <w:r>
        <w:rPr>
          <w:w w:val="105"/>
          <w:sz w:val="21"/>
        </w:rPr>
        <w:t>action</w:t>
      </w:r>
      <w:r>
        <w:rPr>
          <w:spacing w:val="-4"/>
          <w:w w:val="105"/>
          <w:sz w:val="21"/>
        </w:rPr>
        <w:t> </w:t>
      </w:r>
      <w:r>
        <w:rPr>
          <w:spacing w:val="-3"/>
          <w:w w:val="105"/>
          <w:sz w:val="21"/>
        </w:rPr>
        <w:t>commenced</w:t>
      </w:r>
      <w:r>
        <w:rPr>
          <w:spacing w:val="-4"/>
          <w:w w:val="105"/>
          <w:sz w:val="21"/>
        </w:rPr>
        <w:t> </w:t>
      </w:r>
      <w:r>
        <w:rPr>
          <w:w w:val="105"/>
          <w:sz w:val="21"/>
        </w:rPr>
        <w:t>or underway at the time of the </w:t>
      </w:r>
      <w:r>
        <w:rPr>
          <w:spacing w:val="-3"/>
          <w:w w:val="105"/>
          <w:sz w:val="21"/>
        </w:rPr>
        <w:t>sale, </w:t>
      </w:r>
      <w:r>
        <w:rPr>
          <w:w w:val="105"/>
          <w:sz w:val="21"/>
        </w:rPr>
        <w:t>or orders made under the Act. The Act should further state </w:t>
      </w:r>
      <w:r>
        <w:rPr>
          <w:spacing w:val="-3"/>
          <w:w w:val="105"/>
          <w:sz w:val="21"/>
        </w:rPr>
        <w:t>that </w:t>
      </w:r>
      <w:r>
        <w:rPr>
          <w:w w:val="105"/>
          <w:sz w:val="21"/>
        </w:rPr>
        <w:t>copies of the application or order must be provided with a Section </w:t>
      </w:r>
      <w:r>
        <w:rPr>
          <w:spacing w:val="-4"/>
          <w:w w:val="105"/>
          <w:sz w:val="21"/>
        </w:rPr>
        <w:t>32 </w:t>
      </w:r>
      <w:r>
        <w:rPr>
          <w:spacing w:val="-3"/>
          <w:w w:val="105"/>
          <w:sz w:val="21"/>
        </w:rPr>
        <w:t>Vendor Statement.</w:t>
      </w:r>
    </w:p>
    <w:p>
      <w:pPr>
        <w:pStyle w:val="ListParagraph"/>
        <w:numPr>
          <w:ilvl w:val="0"/>
          <w:numId w:val="13"/>
        </w:numPr>
        <w:tabs>
          <w:tab w:pos="2153" w:val="left" w:leader="none"/>
          <w:tab w:pos="2154" w:val="left" w:leader="none"/>
        </w:tabs>
        <w:spacing w:line="242" w:lineRule="auto" w:before="124" w:after="0"/>
        <w:ind w:left="2153" w:right="1842" w:hanging="567"/>
        <w:jc w:val="left"/>
        <w:rPr>
          <w:sz w:val="21"/>
        </w:rPr>
      </w:pPr>
      <w:r>
        <w:rPr>
          <w:w w:val="105"/>
          <w:sz w:val="21"/>
        </w:rPr>
        <w:t>The Due </w:t>
      </w:r>
      <w:r>
        <w:rPr>
          <w:spacing w:val="-3"/>
          <w:w w:val="105"/>
          <w:sz w:val="21"/>
        </w:rPr>
        <w:t>Diligence Checklist </w:t>
      </w:r>
      <w:r>
        <w:rPr>
          <w:w w:val="105"/>
          <w:sz w:val="21"/>
        </w:rPr>
        <w:t>under Division 2A of the </w:t>
      </w:r>
      <w:r>
        <w:rPr>
          <w:i/>
          <w:w w:val="105"/>
          <w:sz w:val="21"/>
        </w:rPr>
        <w:t>Sale </w:t>
      </w:r>
      <w:r>
        <w:rPr>
          <w:i/>
          <w:spacing w:val="-3"/>
          <w:w w:val="105"/>
          <w:sz w:val="21"/>
        </w:rPr>
        <w:t>of </w:t>
      </w:r>
      <w:r>
        <w:rPr>
          <w:i/>
          <w:w w:val="105"/>
          <w:sz w:val="21"/>
        </w:rPr>
        <w:t>Land Act </w:t>
      </w:r>
      <w:r>
        <w:rPr>
          <w:i/>
          <w:spacing w:val="-5"/>
          <w:w w:val="105"/>
          <w:sz w:val="21"/>
        </w:rPr>
        <w:t>1962 </w:t>
      </w:r>
      <w:r>
        <w:rPr>
          <w:w w:val="105"/>
          <w:sz w:val="21"/>
        </w:rPr>
        <w:t>(Vic) should be amended by </w:t>
      </w:r>
      <w:r>
        <w:rPr>
          <w:spacing w:val="-4"/>
          <w:w w:val="105"/>
          <w:sz w:val="21"/>
        </w:rPr>
        <w:t>Consumer </w:t>
      </w:r>
      <w:r>
        <w:rPr>
          <w:spacing w:val="-3"/>
          <w:w w:val="105"/>
          <w:sz w:val="21"/>
        </w:rPr>
        <w:t>Affairs </w:t>
      </w:r>
      <w:r>
        <w:rPr>
          <w:w w:val="105"/>
          <w:sz w:val="21"/>
        </w:rPr>
        <w:t>Victoria </w:t>
      </w:r>
      <w:r>
        <w:rPr>
          <w:spacing w:val="-3"/>
          <w:w w:val="105"/>
          <w:sz w:val="21"/>
        </w:rPr>
        <w:t>to include information </w:t>
      </w:r>
      <w:r>
        <w:rPr>
          <w:w w:val="105"/>
          <w:sz w:val="21"/>
        </w:rPr>
        <w:t>about the effect on new owners of legal action and orders made under the proposed</w:t>
      </w:r>
      <w:r>
        <w:rPr>
          <w:spacing w:val="30"/>
          <w:w w:val="105"/>
          <w:sz w:val="21"/>
        </w:rPr>
        <w:t> </w:t>
      </w:r>
      <w:r>
        <w:rPr>
          <w:w w:val="105"/>
          <w:sz w:val="21"/>
        </w:rPr>
        <w:t>Act.</w:t>
      </w:r>
    </w:p>
    <w:p>
      <w:pPr>
        <w:pStyle w:val="ListParagraph"/>
        <w:numPr>
          <w:ilvl w:val="0"/>
          <w:numId w:val="13"/>
        </w:numPr>
        <w:tabs>
          <w:tab w:pos="2153" w:val="left" w:leader="none"/>
          <w:tab w:pos="2154" w:val="left" w:leader="none"/>
        </w:tabs>
        <w:spacing w:line="242" w:lineRule="auto" w:before="124" w:after="0"/>
        <w:ind w:left="2153" w:right="1850" w:hanging="567"/>
        <w:jc w:val="left"/>
        <w:rPr>
          <w:sz w:val="21"/>
        </w:rPr>
      </w:pPr>
      <w:r>
        <w:rPr>
          <w:w w:val="105"/>
          <w:sz w:val="21"/>
        </w:rPr>
        <w:t>The </w:t>
      </w:r>
      <w:r>
        <w:rPr>
          <w:i/>
          <w:w w:val="105"/>
          <w:sz w:val="21"/>
        </w:rPr>
        <w:t>Sale </w:t>
      </w:r>
      <w:r>
        <w:rPr>
          <w:i/>
          <w:spacing w:val="-3"/>
          <w:w w:val="105"/>
          <w:sz w:val="21"/>
        </w:rPr>
        <w:t>of </w:t>
      </w:r>
      <w:r>
        <w:rPr>
          <w:i/>
          <w:w w:val="105"/>
          <w:sz w:val="21"/>
        </w:rPr>
        <w:t>Land Act </w:t>
      </w:r>
      <w:r>
        <w:rPr>
          <w:i/>
          <w:spacing w:val="-5"/>
          <w:w w:val="105"/>
          <w:sz w:val="21"/>
        </w:rPr>
        <w:t>1962 </w:t>
      </w:r>
      <w:r>
        <w:rPr>
          <w:w w:val="105"/>
          <w:sz w:val="21"/>
        </w:rPr>
        <w:t>(Vic) should be amended </w:t>
      </w:r>
      <w:r>
        <w:rPr>
          <w:spacing w:val="-3"/>
          <w:w w:val="105"/>
          <w:sz w:val="21"/>
        </w:rPr>
        <w:t>to include </w:t>
      </w:r>
      <w:r>
        <w:rPr>
          <w:w w:val="105"/>
          <w:sz w:val="21"/>
        </w:rPr>
        <w:t>a </w:t>
      </w:r>
      <w:r>
        <w:rPr>
          <w:spacing w:val="-3"/>
          <w:w w:val="105"/>
          <w:sz w:val="21"/>
        </w:rPr>
        <w:t>provision </w:t>
      </w:r>
      <w:r>
        <w:rPr>
          <w:w w:val="105"/>
          <w:sz w:val="21"/>
        </w:rPr>
        <w:t>under Section </w:t>
      </w:r>
      <w:r>
        <w:rPr>
          <w:spacing w:val="-4"/>
          <w:w w:val="105"/>
          <w:sz w:val="21"/>
        </w:rPr>
        <w:t>32 </w:t>
      </w:r>
      <w:r>
        <w:rPr>
          <w:spacing w:val="-3"/>
          <w:w w:val="105"/>
          <w:sz w:val="21"/>
        </w:rPr>
        <w:t>that</w:t>
      </w:r>
      <w:r>
        <w:rPr>
          <w:spacing w:val="-4"/>
          <w:w w:val="105"/>
          <w:sz w:val="21"/>
        </w:rPr>
        <w:t> </w:t>
      </w:r>
      <w:r>
        <w:rPr>
          <w:spacing w:val="-3"/>
          <w:w w:val="105"/>
          <w:sz w:val="21"/>
        </w:rPr>
        <w:t>requires</w:t>
      </w:r>
      <w:r>
        <w:rPr>
          <w:spacing w:val="-4"/>
          <w:w w:val="105"/>
          <w:sz w:val="21"/>
        </w:rPr>
        <w:t> </w:t>
      </w:r>
      <w:r>
        <w:rPr>
          <w:spacing w:val="-3"/>
          <w:w w:val="105"/>
          <w:sz w:val="21"/>
        </w:rPr>
        <w:t>disclosure</w:t>
      </w:r>
      <w:r>
        <w:rPr>
          <w:spacing w:val="-4"/>
          <w:w w:val="105"/>
          <w:sz w:val="21"/>
        </w:rPr>
        <w:t> </w:t>
      </w:r>
      <w:r>
        <w:rPr>
          <w:w w:val="105"/>
          <w:sz w:val="21"/>
        </w:rPr>
        <w:t>of</w:t>
      </w:r>
      <w:r>
        <w:rPr>
          <w:spacing w:val="-3"/>
          <w:w w:val="105"/>
          <w:sz w:val="21"/>
        </w:rPr>
        <w:t> </w:t>
      </w:r>
      <w:r>
        <w:rPr>
          <w:w w:val="105"/>
          <w:sz w:val="21"/>
        </w:rPr>
        <w:t>legal</w:t>
      </w:r>
      <w:r>
        <w:rPr>
          <w:spacing w:val="-4"/>
          <w:w w:val="105"/>
          <w:sz w:val="21"/>
        </w:rPr>
        <w:t> </w:t>
      </w:r>
      <w:r>
        <w:rPr>
          <w:w w:val="105"/>
          <w:sz w:val="21"/>
        </w:rPr>
        <w:t>action</w:t>
      </w:r>
      <w:r>
        <w:rPr>
          <w:spacing w:val="-4"/>
          <w:w w:val="105"/>
          <w:sz w:val="21"/>
        </w:rPr>
        <w:t> </w:t>
      </w:r>
      <w:r>
        <w:rPr>
          <w:w w:val="105"/>
          <w:sz w:val="21"/>
        </w:rPr>
        <w:t>under</w:t>
      </w:r>
      <w:r>
        <w:rPr>
          <w:spacing w:val="-4"/>
          <w:w w:val="105"/>
          <w:sz w:val="21"/>
        </w:rPr>
        <w:t> </w:t>
      </w:r>
      <w:r>
        <w:rPr>
          <w:w w:val="105"/>
          <w:sz w:val="21"/>
        </w:rPr>
        <w:t>the</w:t>
      </w:r>
      <w:r>
        <w:rPr>
          <w:spacing w:val="-4"/>
          <w:w w:val="105"/>
          <w:sz w:val="21"/>
        </w:rPr>
        <w:t> </w:t>
      </w:r>
      <w:r>
        <w:rPr>
          <w:w w:val="105"/>
          <w:sz w:val="21"/>
        </w:rPr>
        <w:t>proposed</w:t>
      </w:r>
      <w:r>
        <w:rPr>
          <w:spacing w:val="-3"/>
          <w:w w:val="105"/>
          <w:sz w:val="21"/>
        </w:rPr>
        <w:t> </w:t>
      </w:r>
      <w:r>
        <w:rPr>
          <w:w w:val="105"/>
          <w:sz w:val="21"/>
        </w:rPr>
        <w:t>Act</w:t>
      </w:r>
      <w:r>
        <w:rPr>
          <w:spacing w:val="-4"/>
          <w:w w:val="105"/>
          <w:sz w:val="21"/>
        </w:rPr>
        <w:t> </w:t>
      </w:r>
      <w:r>
        <w:rPr>
          <w:w w:val="105"/>
          <w:sz w:val="21"/>
        </w:rPr>
        <w:t>at</w:t>
      </w:r>
      <w:r>
        <w:rPr>
          <w:spacing w:val="-4"/>
          <w:w w:val="105"/>
          <w:sz w:val="21"/>
        </w:rPr>
        <w:t> </w:t>
      </w:r>
      <w:r>
        <w:rPr>
          <w:w w:val="105"/>
          <w:sz w:val="21"/>
        </w:rPr>
        <w:t>the</w:t>
      </w:r>
      <w:r>
        <w:rPr>
          <w:spacing w:val="-4"/>
          <w:w w:val="105"/>
          <w:sz w:val="21"/>
        </w:rPr>
        <w:t> </w:t>
      </w:r>
      <w:r>
        <w:rPr>
          <w:w w:val="105"/>
          <w:sz w:val="21"/>
        </w:rPr>
        <w:t>time</w:t>
      </w:r>
      <w:r>
        <w:rPr>
          <w:spacing w:val="-3"/>
          <w:w w:val="105"/>
          <w:sz w:val="21"/>
        </w:rPr>
        <w:t> </w:t>
      </w:r>
      <w:r>
        <w:rPr>
          <w:w w:val="105"/>
          <w:sz w:val="21"/>
        </w:rPr>
        <w:t>of</w:t>
      </w:r>
      <w:r>
        <w:rPr>
          <w:spacing w:val="-4"/>
          <w:w w:val="105"/>
          <w:sz w:val="21"/>
        </w:rPr>
        <w:t> </w:t>
      </w:r>
      <w:r>
        <w:rPr>
          <w:spacing w:val="-3"/>
          <w:w w:val="105"/>
          <w:sz w:val="21"/>
        </w:rPr>
        <w:t>sale,</w:t>
      </w:r>
      <w:r>
        <w:rPr>
          <w:spacing w:val="-4"/>
          <w:w w:val="105"/>
          <w:sz w:val="21"/>
        </w:rPr>
        <w:t> </w:t>
      </w:r>
      <w:r>
        <w:rPr>
          <w:w w:val="105"/>
          <w:sz w:val="21"/>
        </w:rPr>
        <w:t>or</w:t>
      </w:r>
      <w:r>
        <w:rPr>
          <w:spacing w:val="-4"/>
          <w:w w:val="105"/>
          <w:sz w:val="21"/>
        </w:rPr>
        <w:t> </w:t>
      </w:r>
      <w:r>
        <w:rPr>
          <w:w w:val="105"/>
          <w:sz w:val="21"/>
        </w:rPr>
        <w:t>if</w:t>
      </w:r>
    </w:p>
    <w:p>
      <w:pPr>
        <w:pStyle w:val="BodyText"/>
        <w:spacing w:line="242" w:lineRule="auto" w:before="2"/>
        <w:ind w:left="2153" w:right="1515"/>
      </w:pPr>
      <w:r>
        <w:rPr>
          <w:w w:val="105"/>
        </w:rPr>
        <w:t>legal action has concluded, disclosure of incomplete or ongoing orders. The </w:t>
      </w:r>
      <w:r>
        <w:rPr>
          <w:i/>
          <w:w w:val="105"/>
        </w:rPr>
        <w:t>Sale of Land Act </w:t>
      </w:r>
      <w:r>
        <w:rPr>
          <w:i/>
          <w:w w:val="105"/>
        </w:rPr>
        <w:t>1962 </w:t>
      </w:r>
      <w:r>
        <w:rPr>
          <w:w w:val="105"/>
        </w:rPr>
        <w:t>(Vic) should also stipulate that copies of the application and order are to be provided.</w:t>
      </w:r>
    </w:p>
    <w:p>
      <w:pPr>
        <w:pStyle w:val="ListParagraph"/>
        <w:numPr>
          <w:ilvl w:val="0"/>
          <w:numId w:val="13"/>
        </w:numPr>
        <w:tabs>
          <w:tab w:pos="2153" w:val="left" w:leader="none"/>
          <w:tab w:pos="2154" w:val="left" w:leader="none"/>
        </w:tabs>
        <w:spacing w:line="242" w:lineRule="auto" w:before="122" w:after="0"/>
        <w:ind w:left="2153" w:right="2049" w:hanging="567"/>
        <w:jc w:val="left"/>
        <w:rPr>
          <w:sz w:val="21"/>
        </w:rPr>
      </w:pPr>
      <w:r>
        <w:rPr>
          <w:w w:val="105"/>
          <w:sz w:val="21"/>
        </w:rPr>
        <w:t>If</w:t>
      </w:r>
      <w:r>
        <w:rPr>
          <w:spacing w:val="-6"/>
          <w:w w:val="105"/>
          <w:sz w:val="21"/>
        </w:rPr>
        <w:t> </w:t>
      </w:r>
      <w:r>
        <w:rPr>
          <w:w w:val="105"/>
          <w:sz w:val="21"/>
        </w:rPr>
        <w:t>a</w:t>
      </w:r>
      <w:r>
        <w:rPr>
          <w:spacing w:val="-5"/>
          <w:w w:val="105"/>
          <w:sz w:val="21"/>
        </w:rPr>
        <w:t> </w:t>
      </w:r>
      <w:r>
        <w:rPr>
          <w:w w:val="105"/>
          <w:sz w:val="21"/>
        </w:rPr>
        <w:t>party</w:t>
      </w:r>
      <w:r>
        <w:rPr>
          <w:spacing w:val="-5"/>
          <w:w w:val="105"/>
          <w:sz w:val="21"/>
        </w:rPr>
        <w:t> </w:t>
      </w:r>
      <w:r>
        <w:rPr>
          <w:spacing w:val="-3"/>
          <w:w w:val="105"/>
          <w:sz w:val="21"/>
        </w:rPr>
        <w:t>to</w:t>
      </w:r>
      <w:r>
        <w:rPr>
          <w:spacing w:val="-6"/>
          <w:w w:val="105"/>
          <w:sz w:val="21"/>
        </w:rPr>
        <w:t> </w:t>
      </w:r>
      <w:r>
        <w:rPr>
          <w:w w:val="105"/>
          <w:sz w:val="21"/>
        </w:rPr>
        <w:t>a</w:t>
      </w:r>
      <w:r>
        <w:rPr>
          <w:spacing w:val="-5"/>
          <w:w w:val="105"/>
          <w:sz w:val="21"/>
        </w:rPr>
        <w:t> </w:t>
      </w:r>
      <w:r>
        <w:rPr>
          <w:w w:val="105"/>
          <w:sz w:val="21"/>
        </w:rPr>
        <w:t>tree</w:t>
      </w:r>
      <w:r>
        <w:rPr>
          <w:spacing w:val="-5"/>
          <w:w w:val="105"/>
          <w:sz w:val="21"/>
        </w:rPr>
        <w:t> </w:t>
      </w:r>
      <w:r>
        <w:rPr>
          <w:spacing w:val="-3"/>
          <w:w w:val="105"/>
          <w:sz w:val="21"/>
        </w:rPr>
        <w:t>dispute</w:t>
      </w:r>
      <w:r>
        <w:rPr>
          <w:spacing w:val="-6"/>
          <w:w w:val="105"/>
          <w:sz w:val="21"/>
        </w:rPr>
        <w:t> </w:t>
      </w:r>
      <w:r>
        <w:rPr>
          <w:w w:val="105"/>
          <w:sz w:val="21"/>
        </w:rPr>
        <w:t>enters</w:t>
      </w:r>
      <w:r>
        <w:rPr>
          <w:spacing w:val="-5"/>
          <w:w w:val="105"/>
          <w:sz w:val="21"/>
        </w:rPr>
        <w:t> </w:t>
      </w:r>
      <w:r>
        <w:rPr>
          <w:spacing w:val="-4"/>
          <w:w w:val="105"/>
          <w:sz w:val="21"/>
        </w:rPr>
        <w:t>into</w:t>
      </w:r>
      <w:r>
        <w:rPr>
          <w:spacing w:val="-5"/>
          <w:w w:val="105"/>
          <w:sz w:val="21"/>
        </w:rPr>
        <w:t> </w:t>
      </w:r>
      <w:r>
        <w:rPr>
          <w:w w:val="105"/>
          <w:sz w:val="21"/>
        </w:rPr>
        <w:t>a</w:t>
      </w:r>
      <w:r>
        <w:rPr>
          <w:spacing w:val="-5"/>
          <w:w w:val="105"/>
          <w:sz w:val="21"/>
        </w:rPr>
        <w:t> </w:t>
      </w:r>
      <w:r>
        <w:rPr>
          <w:w w:val="105"/>
          <w:sz w:val="21"/>
        </w:rPr>
        <w:t>contract</w:t>
      </w:r>
      <w:r>
        <w:rPr>
          <w:spacing w:val="-6"/>
          <w:w w:val="105"/>
          <w:sz w:val="21"/>
        </w:rPr>
        <w:t> </w:t>
      </w:r>
      <w:r>
        <w:rPr>
          <w:w w:val="105"/>
          <w:sz w:val="21"/>
        </w:rPr>
        <w:t>of</w:t>
      </w:r>
      <w:r>
        <w:rPr>
          <w:spacing w:val="-5"/>
          <w:w w:val="105"/>
          <w:sz w:val="21"/>
        </w:rPr>
        <w:t> </w:t>
      </w:r>
      <w:r>
        <w:rPr>
          <w:w w:val="105"/>
          <w:sz w:val="21"/>
        </w:rPr>
        <w:t>sale</w:t>
      </w:r>
      <w:r>
        <w:rPr>
          <w:spacing w:val="-5"/>
          <w:w w:val="105"/>
          <w:sz w:val="21"/>
        </w:rPr>
        <w:t> </w:t>
      </w:r>
      <w:r>
        <w:rPr>
          <w:w w:val="105"/>
          <w:sz w:val="21"/>
        </w:rPr>
        <w:t>of</w:t>
      </w:r>
      <w:r>
        <w:rPr>
          <w:spacing w:val="-6"/>
          <w:w w:val="105"/>
          <w:sz w:val="21"/>
        </w:rPr>
        <w:t> </w:t>
      </w:r>
      <w:r>
        <w:rPr>
          <w:spacing w:val="-3"/>
          <w:w w:val="105"/>
          <w:sz w:val="21"/>
        </w:rPr>
        <w:t>land</w:t>
      </w:r>
      <w:r>
        <w:rPr>
          <w:spacing w:val="-5"/>
          <w:w w:val="105"/>
          <w:sz w:val="21"/>
        </w:rPr>
        <w:t> </w:t>
      </w:r>
      <w:r>
        <w:rPr>
          <w:w w:val="105"/>
          <w:sz w:val="21"/>
        </w:rPr>
        <w:t>while</w:t>
      </w:r>
      <w:r>
        <w:rPr>
          <w:spacing w:val="-5"/>
          <w:w w:val="105"/>
          <w:sz w:val="21"/>
        </w:rPr>
        <w:t> </w:t>
      </w:r>
      <w:r>
        <w:rPr>
          <w:w w:val="105"/>
          <w:sz w:val="21"/>
        </w:rPr>
        <w:t>legal</w:t>
      </w:r>
      <w:r>
        <w:rPr>
          <w:spacing w:val="-5"/>
          <w:w w:val="105"/>
          <w:sz w:val="21"/>
        </w:rPr>
        <w:t> </w:t>
      </w:r>
      <w:r>
        <w:rPr>
          <w:w w:val="105"/>
          <w:sz w:val="21"/>
        </w:rPr>
        <w:t>action</w:t>
      </w:r>
      <w:r>
        <w:rPr>
          <w:spacing w:val="-6"/>
          <w:w w:val="105"/>
          <w:sz w:val="21"/>
        </w:rPr>
        <w:t> </w:t>
      </w:r>
      <w:r>
        <w:rPr>
          <w:w w:val="105"/>
          <w:sz w:val="21"/>
        </w:rPr>
        <w:t>under the Act is </w:t>
      </w:r>
      <w:r>
        <w:rPr>
          <w:spacing w:val="-3"/>
          <w:w w:val="105"/>
          <w:sz w:val="21"/>
        </w:rPr>
        <w:t>underway, </w:t>
      </w:r>
      <w:r>
        <w:rPr>
          <w:w w:val="105"/>
          <w:sz w:val="21"/>
        </w:rPr>
        <w:t>the Act should </w:t>
      </w:r>
      <w:r>
        <w:rPr>
          <w:spacing w:val="-3"/>
          <w:w w:val="105"/>
          <w:sz w:val="21"/>
        </w:rPr>
        <w:t>require that </w:t>
      </w:r>
      <w:r>
        <w:rPr>
          <w:w w:val="105"/>
          <w:sz w:val="21"/>
        </w:rPr>
        <w:t>party </w:t>
      </w:r>
      <w:r>
        <w:rPr>
          <w:spacing w:val="-3"/>
          <w:w w:val="105"/>
          <w:sz w:val="21"/>
        </w:rPr>
        <w:t>to </w:t>
      </w:r>
      <w:r>
        <w:rPr>
          <w:w w:val="105"/>
          <w:sz w:val="21"/>
        </w:rPr>
        <w:t>notify the Victorian </w:t>
      </w:r>
      <w:r>
        <w:rPr>
          <w:spacing w:val="-3"/>
          <w:w w:val="105"/>
          <w:sz w:val="21"/>
        </w:rPr>
        <w:t>Civil</w:t>
      </w:r>
      <w:r>
        <w:rPr>
          <w:spacing w:val="-19"/>
          <w:w w:val="105"/>
          <w:sz w:val="21"/>
        </w:rPr>
        <w:t> </w:t>
      </w:r>
      <w:r>
        <w:rPr>
          <w:w w:val="105"/>
          <w:sz w:val="21"/>
        </w:rPr>
        <w:t>and</w:t>
      </w:r>
    </w:p>
    <w:p>
      <w:pPr>
        <w:pStyle w:val="BodyText"/>
        <w:spacing w:line="242" w:lineRule="auto" w:before="2"/>
        <w:ind w:left="2153" w:right="1636"/>
      </w:pPr>
      <w:r>
        <w:rPr/>
        <w:t>Administrative Tribunal about the sale as soon as possible after the contract of sale has been fully executed.</w:t>
      </w:r>
    </w:p>
    <w:p>
      <w:pPr>
        <w:pStyle w:val="BodyText"/>
        <w:spacing w:before="9"/>
      </w:pPr>
    </w:p>
    <w:p>
      <w:pPr>
        <w:pStyle w:val="Heading4"/>
      </w:pPr>
      <w:r>
        <w:rPr>
          <w:color w:val="658464"/>
          <w:w w:val="110"/>
        </w:rPr>
        <w:t>Chapter 12</w:t>
      </w:r>
    </w:p>
    <w:p>
      <w:pPr>
        <w:pStyle w:val="ListParagraph"/>
        <w:numPr>
          <w:ilvl w:val="0"/>
          <w:numId w:val="13"/>
        </w:numPr>
        <w:tabs>
          <w:tab w:pos="2154" w:val="left" w:leader="none"/>
          <w:tab w:pos="2155" w:val="left" w:leader="none"/>
        </w:tabs>
        <w:spacing w:line="242" w:lineRule="auto" w:before="155" w:after="0"/>
        <w:ind w:left="2154" w:right="1663" w:hanging="567"/>
        <w:jc w:val="left"/>
        <w:rPr>
          <w:sz w:val="21"/>
        </w:rPr>
      </w:pPr>
      <w:r>
        <w:rPr>
          <w:sz w:val="21"/>
        </w:rPr>
        <w:t>A </w:t>
      </w:r>
      <w:r>
        <w:rPr>
          <w:spacing w:val="-3"/>
          <w:sz w:val="21"/>
        </w:rPr>
        <w:t>website </w:t>
      </w:r>
      <w:r>
        <w:rPr>
          <w:sz w:val="21"/>
        </w:rPr>
        <w:t>should be established by the Department of Justice and </w:t>
      </w:r>
      <w:r>
        <w:rPr>
          <w:spacing w:val="-3"/>
          <w:sz w:val="21"/>
        </w:rPr>
        <w:t>Community </w:t>
      </w:r>
      <w:r>
        <w:rPr>
          <w:sz w:val="21"/>
        </w:rPr>
        <w:t>Safety which would</w:t>
      </w:r>
      <w:r>
        <w:rPr>
          <w:spacing w:val="8"/>
          <w:sz w:val="21"/>
        </w:rPr>
        <w:t> </w:t>
      </w:r>
      <w:r>
        <w:rPr>
          <w:sz w:val="21"/>
        </w:rPr>
        <w:t>provide:</w:t>
      </w:r>
    </w:p>
    <w:p>
      <w:pPr>
        <w:pStyle w:val="ListParagraph"/>
        <w:numPr>
          <w:ilvl w:val="1"/>
          <w:numId w:val="13"/>
        </w:numPr>
        <w:tabs>
          <w:tab w:pos="2721" w:val="left" w:leader="none"/>
          <w:tab w:pos="2722" w:val="left" w:leader="none"/>
        </w:tabs>
        <w:spacing w:line="242" w:lineRule="auto" w:before="122" w:after="0"/>
        <w:ind w:left="2721" w:right="1712" w:hanging="567"/>
        <w:jc w:val="left"/>
        <w:rPr>
          <w:sz w:val="21"/>
        </w:rPr>
      </w:pPr>
      <w:r>
        <w:rPr>
          <w:spacing w:val="-3"/>
          <w:w w:val="105"/>
          <w:sz w:val="21"/>
        </w:rPr>
        <w:t>guidance </w:t>
      </w:r>
      <w:r>
        <w:rPr>
          <w:w w:val="105"/>
          <w:sz w:val="21"/>
        </w:rPr>
        <w:t>on how </w:t>
      </w:r>
      <w:r>
        <w:rPr>
          <w:spacing w:val="-3"/>
          <w:w w:val="105"/>
          <w:sz w:val="21"/>
        </w:rPr>
        <w:t>to negotiate </w:t>
      </w:r>
      <w:r>
        <w:rPr>
          <w:w w:val="105"/>
          <w:sz w:val="21"/>
        </w:rPr>
        <w:t>with your </w:t>
      </w:r>
      <w:r>
        <w:rPr>
          <w:spacing w:val="-4"/>
          <w:w w:val="105"/>
          <w:sz w:val="21"/>
        </w:rPr>
        <w:t>neighbour, </w:t>
      </w:r>
      <w:r>
        <w:rPr>
          <w:spacing w:val="-3"/>
          <w:w w:val="105"/>
          <w:sz w:val="21"/>
        </w:rPr>
        <w:t>including </w:t>
      </w:r>
      <w:r>
        <w:rPr>
          <w:w w:val="105"/>
          <w:sz w:val="21"/>
        </w:rPr>
        <w:t>a sample standard letter</w:t>
      </w:r>
      <w:r>
        <w:rPr>
          <w:spacing w:val="-7"/>
          <w:w w:val="105"/>
          <w:sz w:val="21"/>
        </w:rPr>
        <w:t> </w:t>
      </w:r>
      <w:r>
        <w:rPr>
          <w:spacing w:val="-3"/>
          <w:w w:val="105"/>
          <w:sz w:val="21"/>
        </w:rPr>
        <w:t>that</w:t>
      </w:r>
      <w:r>
        <w:rPr>
          <w:spacing w:val="-7"/>
          <w:w w:val="105"/>
          <w:sz w:val="21"/>
        </w:rPr>
        <w:t> </w:t>
      </w:r>
      <w:r>
        <w:rPr>
          <w:w w:val="105"/>
          <w:sz w:val="21"/>
        </w:rPr>
        <w:t>affected</w:t>
      </w:r>
      <w:r>
        <w:rPr>
          <w:spacing w:val="-7"/>
          <w:w w:val="105"/>
          <w:sz w:val="21"/>
        </w:rPr>
        <w:t> </w:t>
      </w:r>
      <w:r>
        <w:rPr>
          <w:w w:val="105"/>
          <w:sz w:val="21"/>
        </w:rPr>
        <w:t>neighbours</w:t>
      </w:r>
      <w:r>
        <w:rPr>
          <w:spacing w:val="-7"/>
          <w:w w:val="105"/>
          <w:sz w:val="21"/>
        </w:rPr>
        <w:t> </w:t>
      </w:r>
      <w:r>
        <w:rPr>
          <w:w w:val="105"/>
          <w:sz w:val="21"/>
        </w:rPr>
        <w:t>can</w:t>
      </w:r>
      <w:r>
        <w:rPr>
          <w:spacing w:val="-7"/>
          <w:w w:val="105"/>
          <w:sz w:val="21"/>
        </w:rPr>
        <w:t> </w:t>
      </w:r>
      <w:r>
        <w:rPr>
          <w:w w:val="105"/>
          <w:sz w:val="21"/>
        </w:rPr>
        <w:t>use</w:t>
      </w:r>
      <w:r>
        <w:rPr>
          <w:spacing w:val="-6"/>
          <w:w w:val="105"/>
          <w:sz w:val="21"/>
        </w:rPr>
        <w:t> </w:t>
      </w:r>
      <w:r>
        <w:rPr>
          <w:spacing w:val="-3"/>
          <w:w w:val="105"/>
          <w:sz w:val="21"/>
        </w:rPr>
        <w:t>to</w:t>
      </w:r>
      <w:r>
        <w:rPr>
          <w:spacing w:val="-7"/>
          <w:w w:val="105"/>
          <w:sz w:val="21"/>
        </w:rPr>
        <w:t> </w:t>
      </w:r>
      <w:r>
        <w:rPr>
          <w:spacing w:val="-3"/>
          <w:w w:val="105"/>
          <w:sz w:val="21"/>
        </w:rPr>
        <w:t>communicate</w:t>
      </w:r>
      <w:r>
        <w:rPr>
          <w:spacing w:val="-7"/>
          <w:w w:val="105"/>
          <w:sz w:val="21"/>
        </w:rPr>
        <w:t> </w:t>
      </w:r>
      <w:r>
        <w:rPr>
          <w:w w:val="105"/>
          <w:sz w:val="21"/>
        </w:rPr>
        <w:t>with</w:t>
      </w:r>
      <w:r>
        <w:rPr>
          <w:spacing w:val="-7"/>
          <w:w w:val="105"/>
          <w:sz w:val="21"/>
        </w:rPr>
        <w:t> </w:t>
      </w:r>
      <w:r>
        <w:rPr>
          <w:w w:val="105"/>
          <w:sz w:val="21"/>
        </w:rPr>
        <w:t>the</w:t>
      </w:r>
      <w:r>
        <w:rPr>
          <w:spacing w:val="-7"/>
          <w:w w:val="105"/>
          <w:sz w:val="21"/>
        </w:rPr>
        <w:t> </w:t>
      </w:r>
      <w:r>
        <w:rPr>
          <w:w w:val="105"/>
          <w:sz w:val="21"/>
        </w:rPr>
        <w:t>tree</w:t>
      </w:r>
      <w:r>
        <w:rPr>
          <w:spacing w:val="-7"/>
          <w:w w:val="105"/>
          <w:sz w:val="21"/>
        </w:rPr>
        <w:t> </w:t>
      </w:r>
      <w:r>
        <w:rPr>
          <w:w w:val="105"/>
          <w:sz w:val="21"/>
        </w:rPr>
        <w:t>owner</w:t>
      </w:r>
      <w:r>
        <w:rPr>
          <w:spacing w:val="-6"/>
          <w:w w:val="105"/>
          <w:sz w:val="21"/>
        </w:rPr>
        <w:t> </w:t>
      </w:r>
      <w:r>
        <w:rPr>
          <w:w w:val="105"/>
          <w:sz w:val="21"/>
        </w:rPr>
        <w:t>about</w:t>
      </w:r>
      <w:r>
        <w:rPr>
          <w:spacing w:val="-7"/>
          <w:w w:val="105"/>
          <w:sz w:val="21"/>
        </w:rPr>
        <w:t> </w:t>
      </w:r>
      <w:r>
        <w:rPr>
          <w:w w:val="105"/>
          <w:sz w:val="21"/>
        </w:rPr>
        <w:t>a problem</w:t>
      </w:r>
      <w:r>
        <w:rPr>
          <w:spacing w:val="5"/>
          <w:w w:val="105"/>
          <w:sz w:val="21"/>
        </w:rPr>
        <w:t> </w:t>
      </w:r>
      <w:r>
        <w:rPr>
          <w:w w:val="105"/>
          <w:sz w:val="21"/>
        </w:rPr>
        <w:t>tree</w:t>
      </w:r>
    </w:p>
    <w:p>
      <w:pPr>
        <w:pStyle w:val="ListParagraph"/>
        <w:numPr>
          <w:ilvl w:val="1"/>
          <w:numId w:val="13"/>
        </w:numPr>
        <w:tabs>
          <w:tab w:pos="2721" w:val="left" w:leader="none"/>
          <w:tab w:pos="2722" w:val="left" w:leader="none"/>
        </w:tabs>
        <w:spacing w:line="240" w:lineRule="auto" w:before="123" w:after="0"/>
        <w:ind w:left="2721" w:right="0" w:hanging="567"/>
        <w:jc w:val="left"/>
        <w:rPr>
          <w:sz w:val="21"/>
        </w:rPr>
      </w:pPr>
      <w:r>
        <w:rPr>
          <w:spacing w:val="-3"/>
          <w:w w:val="105"/>
          <w:sz w:val="21"/>
        </w:rPr>
        <w:t>information </w:t>
      </w:r>
      <w:r>
        <w:rPr>
          <w:w w:val="105"/>
          <w:sz w:val="21"/>
        </w:rPr>
        <w:t>about </w:t>
      </w:r>
      <w:r>
        <w:rPr>
          <w:spacing w:val="-3"/>
          <w:w w:val="105"/>
          <w:sz w:val="21"/>
        </w:rPr>
        <w:t>informal dispute </w:t>
      </w:r>
      <w:r>
        <w:rPr>
          <w:w w:val="105"/>
          <w:sz w:val="21"/>
        </w:rPr>
        <w:t>resolution</w:t>
      </w:r>
      <w:r>
        <w:rPr>
          <w:spacing w:val="30"/>
          <w:w w:val="105"/>
          <w:sz w:val="21"/>
        </w:rPr>
        <w:t> </w:t>
      </w:r>
      <w:r>
        <w:rPr>
          <w:spacing w:val="-3"/>
          <w:w w:val="105"/>
          <w:sz w:val="21"/>
        </w:rPr>
        <w:t>mechanisms</w:t>
      </w:r>
    </w:p>
    <w:p>
      <w:pPr>
        <w:pStyle w:val="ListParagraph"/>
        <w:numPr>
          <w:ilvl w:val="1"/>
          <w:numId w:val="13"/>
        </w:numPr>
        <w:tabs>
          <w:tab w:pos="2721" w:val="left" w:leader="none"/>
          <w:tab w:pos="2722" w:val="left" w:leader="none"/>
        </w:tabs>
        <w:spacing w:line="242" w:lineRule="auto" w:before="124" w:after="0"/>
        <w:ind w:left="2721" w:right="2299" w:hanging="567"/>
        <w:jc w:val="left"/>
        <w:rPr>
          <w:sz w:val="21"/>
        </w:rPr>
      </w:pPr>
      <w:r>
        <w:rPr>
          <w:w w:val="105"/>
          <w:sz w:val="21"/>
        </w:rPr>
        <w:t>detailed</w:t>
      </w:r>
      <w:r>
        <w:rPr>
          <w:spacing w:val="-8"/>
          <w:w w:val="105"/>
          <w:sz w:val="21"/>
        </w:rPr>
        <w:t> </w:t>
      </w:r>
      <w:r>
        <w:rPr>
          <w:spacing w:val="-3"/>
          <w:w w:val="105"/>
          <w:sz w:val="21"/>
        </w:rPr>
        <w:t>information</w:t>
      </w:r>
      <w:r>
        <w:rPr>
          <w:spacing w:val="-8"/>
          <w:w w:val="105"/>
          <w:sz w:val="21"/>
        </w:rPr>
        <w:t> </w:t>
      </w:r>
      <w:r>
        <w:rPr>
          <w:w w:val="105"/>
          <w:sz w:val="21"/>
        </w:rPr>
        <w:t>on</w:t>
      </w:r>
      <w:r>
        <w:rPr>
          <w:spacing w:val="-8"/>
          <w:w w:val="105"/>
          <w:sz w:val="21"/>
        </w:rPr>
        <w:t> </w:t>
      </w:r>
      <w:r>
        <w:rPr>
          <w:spacing w:val="-3"/>
          <w:w w:val="105"/>
          <w:sz w:val="21"/>
        </w:rPr>
        <w:t>alternative</w:t>
      </w:r>
      <w:r>
        <w:rPr>
          <w:spacing w:val="-8"/>
          <w:w w:val="105"/>
          <w:sz w:val="21"/>
        </w:rPr>
        <w:t> </w:t>
      </w:r>
      <w:r>
        <w:rPr>
          <w:spacing w:val="-3"/>
          <w:w w:val="105"/>
          <w:sz w:val="21"/>
        </w:rPr>
        <w:t>dispute</w:t>
      </w:r>
      <w:r>
        <w:rPr>
          <w:spacing w:val="-8"/>
          <w:w w:val="105"/>
          <w:sz w:val="21"/>
        </w:rPr>
        <w:t> </w:t>
      </w:r>
      <w:r>
        <w:rPr>
          <w:w w:val="105"/>
          <w:sz w:val="21"/>
        </w:rPr>
        <w:t>resolution</w:t>
      </w:r>
      <w:r>
        <w:rPr>
          <w:spacing w:val="-8"/>
          <w:w w:val="105"/>
          <w:sz w:val="21"/>
        </w:rPr>
        <w:t> </w:t>
      </w:r>
      <w:r>
        <w:rPr>
          <w:w w:val="105"/>
          <w:sz w:val="21"/>
        </w:rPr>
        <w:t>and</w:t>
      </w:r>
      <w:r>
        <w:rPr>
          <w:spacing w:val="-8"/>
          <w:w w:val="105"/>
          <w:sz w:val="21"/>
        </w:rPr>
        <w:t> </w:t>
      </w:r>
      <w:r>
        <w:rPr>
          <w:w w:val="105"/>
          <w:sz w:val="21"/>
        </w:rPr>
        <w:t>a</w:t>
      </w:r>
      <w:r>
        <w:rPr>
          <w:spacing w:val="-8"/>
          <w:w w:val="105"/>
          <w:sz w:val="21"/>
        </w:rPr>
        <w:t> </w:t>
      </w:r>
      <w:r>
        <w:rPr>
          <w:spacing w:val="-3"/>
          <w:w w:val="105"/>
          <w:sz w:val="21"/>
        </w:rPr>
        <w:t>link</w:t>
      </w:r>
      <w:r>
        <w:rPr>
          <w:spacing w:val="-8"/>
          <w:w w:val="105"/>
          <w:sz w:val="21"/>
        </w:rPr>
        <w:t> </w:t>
      </w:r>
      <w:r>
        <w:rPr>
          <w:spacing w:val="-3"/>
          <w:w w:val="105"/>
          <w:sz w:val="21"/>
        </w:rPr>
        <w:t>to</w:t>
      </w:r>
      <w:r>
        <w:rPr>
          <w:spacing w:val="-8"/>
          <w:w w:val="105"/>
          <w:sz w:val="21"/>
        </w:rPr>
        <w:t> </w:t>
      </w:r>
      <w:r>
        <w:rPr>
          <w:w w:val="105"/>
          <w:sz w:val="21"/>
        </w:rPr>
        <w:t>the</w:t>
      </w:r>
      <w:r>
        <w:rPr>
          <w:spacing w:val="-7"/>
          <w:w w:val="105"/>
          <w:sz w:val="21"/>
        </w:rPr>
        <w:t> </w:t>
      </w:r>
      <w:r>
        <w:rPr>
          <w:spacing w:val="-3"/>
          <w:w w:val="105"/>
          <w:sz w:val="21"/>
        </w:rPr>
        <w:t>Dispute </w:t>
      </w:r>
      <w:r>
        <w:rPr>
          <w:w w:val="105"/>
          <w:sz w:val="21"/>
        </w:rPr>
        <w:t>Settlement </w:t>
      </w:r>
      <w:r>
        <w:rPr>
          <w:spacing w:val="-4"/>
          <w:w w:val="105"/>
          <w:sz w:val="21"/>
        </w:rPr>
        <w:t>Centre </w:t>
      </w:r>
      <w:r>
        <w:rPr>
          <w:w w:val="105"/>
          <w:sz w:val="21"/>
        </w:rPr>
        <w:t>of Victoria</w:t>
      </w:r>
      <w:r>
        <w:rPr>
          <w:spacing w:val="22"/>
          <w:w w:val="105"/>
          <w:sz w:val="21"/>
        </w:rPr>
        <w:t> </w:t>
      </w:r>
      <w:r>
        <w:rPr>
          <w:spacing w:val="-3"/>
          <w:w w:val="105"/>
          <w:sz w:val="21"/>
        </w:rPr>
        <w:t>website</w:t>
      </w:r>
    </w:p>
    <w:p>
      <w:pPr>
        <w:pStyle w:val="ListParagraph"/>
        <w:numPr>
          <w:ilvl w:val="1"/>
          <w:numId w:val="13"/>
        </w:numPr>
        <w:tabs>
          <w:tab w:pos="2721" w:val="left" w:leader="none"/>
          <w:tab w:pos="2722" w:val="left" w:leader="none"/>
        </w:tabs>
        <w:spacing w:line="240" w:lineRule="auto" w:before="122" w:after="0"/>
        <w:ind w:left="2721" w:right="0" w:hanging="567"/>
        <w:jc w:val="left"/>
        <w:rPr>
          <w:sz w:val="21"/>
        </w:rPr>
      </w:pPr>
      <w:r>
        <w:rPr>
          <w:spacing w:val="-3"/>
          <w:w w:val="105"/>
          <w:sz w:val="21"/>
        </w:rPr>
        <w:t>guidance </w:t>
      </w:r>
      <w:r>
        <w:rPr>
          <w:w w:val="105"/>
          <w:sz w:val="21"/>
        </w:rPr>
        <w:t>on </w:t>
      </w:r>
      <w:r>
        <w:rPr>
          <w:spacing w:val="-3"/>
          <w:w w:val="105"/>
          <w:sz w:val="21"/>
        </w:rPr>
        <w:t>engaging appropriately </w:t>
      </w:r>
      <w:r>
        <w:rPr>
          <w:w w:val="105"/>
          <w:sz w:val="21"/>
        </w:rPr>
        <w:t>qualified</w:t>
      </w:r>
      <w:r>
        <w:rPr>
          <w:spacing w:val="34"/>
          <w:w w:val="105"/>
          <w:sz w:val="21"/>
        </w:rPr>
        <w:t> </w:t>
      </w:r>
      <w:r>
        <w:rPr>
          <w:w w:val="105"/>
          <w:sz w:val="21"/>
        </w:rPr>
        <w:t>arborists</w:t>
      </w:r>
    </w:p>
    <w:p>
      <w:pPr>
        <w:pStyle w:val="ListParagraph"/>
        <w:numPr>
          <w:ilvl w:val="1"/>
          <w:numId w:val="13"/>
        </w:numPr>
        <w:tabs>
          <w:tab w:pos="2721" w:val="left" w:leader="none"/>
          <w:tab w:pos="2722" w:val="left" w:leader="none"/>
        </w:tabs>
        <w:spacing w:line="240" w:lineRule="auto" w:before="124" w:after="0"/>
        <w:ind w:left="2721" w:right="0" w:hanging="567"/>
        <w:jc w:val="left"/>
        <w:rPr>
          <w:sz w:val="21"/>
        </w:rPr>
      </w:pPr>
      <w:r>
        <w:rPr>
          <w:w w:val="105"/>
          <w:sz w:val="21"/>
        </w:rPr>
        <w:t>a step-by-step overview of the</w:t>
      </w:r>
      <w:r>
        <w:rPr>
          <w:spacing w:val="24"/>
          <w:w w:val="105"/>
          <w:sz w:val="21"/>
        </w:rPr>
        <w:t> </w:t>
      </w:r>
      <w:r>
        <w:rPr>
          <w:w w:val="105"/>
          <w:sz w:val="21"/>
        </w:rPr>
        <w:t>Act</w:t>
      </w:r>
    </w:p>
    <w:p>
      <w:pPr>
        <w:pStyle w:val="ListParagraph"/>
        <w:numPr>
          <w:ilvl w:val="1"/>
          <w:numId w:val="13"/>
        </w:numPr>
        <w:tabs>
          <w:tab w:pos="2721" w:val="left" w:leader="none"/>
          <w:tab w:pos="2722" w:val="left" w:leader="none"/>
        </w:tabs>
        <w:spacing w:line="240" w:lineRule="auto" w:before="124" w:after="0"/>
        <w:ind w:left="2721" w:right="0" w:hanging="567"/>
        <w:jc w:val="left"/>
        <w:rPr>
          <w:sz w:val="21"/>
        </w:rPr>
      </w:pPr>
      <w:r>
        <w:rPr>
          <w:spacing w:val="-3"/>
          <w:w w:val="105"/>
          <w:sz w:val="21"/>
        </w:rPr>
        <w:t>information </w:t>
      </w:r>
      <w:r>
        <w:rPr>
          <w:w w:val="105"/>
          <w:sz w:val="21"/>
        </w:rPr>
        <w:t>on how </w:t>
      </w:r>
      <w:r>
        <w:rPr>
          <w:spacing w:val="-3"/>
          <w:w w:val="105"/>
          <w:sz w:val="21"/>
        </w:rPr>
        <w:t>to commence</w:t>
      </w:r>
      <w:r>
        <w:rPr>
          <w:spacing w:val="33"/>
          <w:w w:val="105"/>
          <w:sz w:val="21"/>
        </w:rPr>
        <w:t> </w:t>
      </w:r>
      <w:r>
        <w:rPr>
          <w:spacing w:val="-3"/>
          <w:w w:val="105"/>
          <w:sz w:val="21"/>
        </w:rPr>
        <w:t>proceedings</w:t>
      </w:r>
    </w:p>
    <w:p>
      <w:pPr>
        <w:pStyle w:val="ListParagraph"/>
        <w:numPr>
          <w:ilvl w:val="1"/>
          <w:numId w:val="13"/>
        </w:numPr>
        <w:tabs>
          <w:tab w:pos="2721" w:val="left" w:leader="none"/>
          <w:tab w:pos="2722" w:val="left" w:leader="none"/>
        </w:tabs>
        <w:spacing w:line="242" w:lineRule="auto" w:before="124" w:after="0"/>
        <w:ind w:left="2721" w:right="2190" w:hanging="567"/>
        <w:jc w:val="left"/>
        <w:rPr>
          <w:sz w:val="21"/>
        </w:rPr>
      </w:pPr>
      <w:r>
        <w:rPr>
          <w:spacing w:val="-3"/>
          <w:w w:val="105"/>
          <w:sz w:val="21"/>
        </w:rPr>
        <w:t>guidance </w:t>
      </w:r>
      <w:r>
        <w:rPr>
          <w:w w:val="105"/>
          <w:sz w:val="21"/>
        </w:rPr>
        <w:t>about how </w:t>
      </w:r>
      <w:r>
        <w:rPr>
          <w:spacing w:val="-3"/>
          <w:w w:val="105"/>
          <w:sz w:val="21"/>
        </w:rPr>
        <w:t>to </w:t>
      </w:r>
      <w:r>
        <w:rPr>
          <w:w w:val="105"/>
          <w:sz w:val="21"/>
        </w:rPr>
        <w:t>seek </w:t>
      </w:r>
      <w:r>
        <w:rPr>
          <w:spacing w:val="-3"/>
          <w:w w:val="105"/>
          <w:sz w:val="21"/>
        </w:rPr>
        <w:t>information </w:t>
      </w:r>
      <w:r>
        <w:rPr>
          <w:w w:val="105"/>
          <w:sz w:val="21"/>
        </w:rPr>
        <w:t>about other laws </w:t>
      </w:r>
      <w:r>
        <w:rPr>
          <w:spacing w:val="-3"/>
          <w:w w:val="105"/>
          <w:sz w:val="21"/>
        </w:rPr>
        <w:t>that may </w:t>
      </w:r>
      <w:r>
        <w:rPr>
          <w:w w:val="105"/>
          <w:sz w:val="21"/>
        </w:rPr>
        <w:t>apply </w:t>
      </w:r>
      <w:r>
        <w:rPr>
          <w:spacing w:val="-3"/>
          <w:w w:val="105"/>
          <w:sz w:val="21"/>
        </w:rPr>
        <w:t>from government </w:t>
      </w:r>
      <w:r>
        <w:rPr>
          <w:w w:val="105"/>
          <w:sz w:val="21"/>
        </w:rPr>
        <w:t>authorities and local</w:t>
      </w:r>
      <w:r>
        <w:rPr>
          <w:spacing w:val="20"/>
          <w:w w:val="105"/>
          <w:sz w:val="21"/>
        </w:rPr>
        <w:t> </w:t>
      </w:r>
      <w:r>
        <w:rPr>
          <w:spacing w:val="-3"/>
          <w:w w:val="105"/>
          <w:sz w:val="21"/>
        </w:rPr>
        <w:t>councils.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34"/>
        <w:ind w:left="0" w:right="557" w:firstLine="0"/>
        <w:jc w:val="right"/>
        <w:rPr>
          <w:b/>
          <w:sz w:val="24"/>
        </w:rPr>
      </w:pPr>
      <w:r>
        <w:rPr>
          <w:b/>
          <w:color w:val="658464"/>
          <w:w w:val="115"/>
          <w:sz w:val="24"/>
        </w:rPr>
        <w:t>xxix</w:t>
      </w:r>
    </w:p>
    <w:p>
      <w:pPr>
        <w:spacing w:after="0"/>
        <w:jc w:val="right"/>
        <w:rPr>
          <w:sz w:val="24"/>
        </w:rPr>
        <w:sectPr>
          <w:pgSz w:w="11910" w:h="16840"/>
          <w:pgMar w:header="1372" w:footer="0" w:top="1560" w:bottom="280" w:left="0" w:right="0"/>
        </w:sectPr>
      </w:pPr>
    </w:p>
    <w:p>
      <w:pPr>
        <w:pStyle w:val="BodyText"/>
        <w:spacing w:before="9"/>
        <w:rPr>
          <w:b/>
          <w:sz w:val="22"/>
        </w:rPr>
      </w:pPr>
    </w:p>
    <w:p>
      <w:pPr>
        <w:pStyle w:val="ListParagraph"/>
        <w:numPr>
          <w:ilvl w:val="0"/>
          <w:numId w:val="14"/>
        </w:numPr>
        <w:tabs>
          <w:tab w:pos="2154" w:val="left" w:leader="none"/>
          <w:tab w:pos="2155" w:val="left" w:leader="none"/>
        </w:tabs>
        <w:spacing w:line="242" w:lineRule="auto" w:before="92" w:after="0"/>
        <w:ind w:left="2154" w:right="1959" w:hanging="567"/>
        <w:jc w:val="left"/>
        <w:rPr>
          <w:sz w:val="21"/>
        </w:rPr>
      </w:pPr>
      <w:r>
        <w:rPr>
          <w:w w:val="105"/>
          <w:sz w:val="21"/>
        </w:rPr>
        <w:t>The</w:t>
      </w:r>
      <w:r>
        <w:rPr>
          <w:spacing w:val="-9"/>
          <w:w w:val="105"/>
          <w:sz w:val="21"/>
        </w:rPr>
        <w:t> </w:t>
      </w:r>
      <w:r>
        <w:rPr>
          <w:w w:val="105"/>
          <w:sz w:val="21"/>
        </w:rPr>
        <w:t>Victorian</w:t>
      </w:r>
      <w:r>
        <w:rPr>
          <w:spacing w:val="-8"/>
          <w:w w:val="105"/>
          <w:sz w:val="21"/>
        </w:rPr>
        <w:t> </w:t>
      </w:r>
      <w:r>
        <w:rPr>
          <w:spacing w:val="-3"/>
          <w:w w:val="105"/>
          <w:sz w:val="21"/>
        </w:rPr>
        <w:t>Civil</w:t>
      </w:r>
      <w:r>
        <w:rPr>
          <w:spacing w:val="-8"/>
          <w:w w:val="105"/>
          <w:sz w:val="21"/>
        </w:rPr>
        <w:t> </w:t>
      </w:r>
      <w:r>
        <w:rPr>
          <w:w w:val="105"/>
          <w:sz w:val="21"/>
        </w:rPr>
        <w:t>and</w:t>
      </w:r>
      <w:r>
        <w:rPr>
          <w:spacing w:val="-8"/>
          <w:w w:val="105"/>
          <w:sz w:val="21"/>
        </w:rPr>
        <w:t> </w:t>
      </w:r>
      <w:r>
        <w:rPr>
          <w:spacing w:val="-3"/>
          <w:w w:val="105"/>
          <w:sz w:val="21"/>
        </w:rPr>
        <w:t>Administrative</w:t>
      </w:r>
      <w:r>
        <w:rPr>
          <w:spacing w:val="-8"/>
          <w:w w:val="105"/>
          <w:sz w:val="21"/>
        </w:rPr>
        <w:t> </w:t>
      </w:r>
      <w:r>
        <w:rPr>
          <w:spacing w:val="-5"/>
          <w:w w:val="105"/>
          <w:sz w:val="21"/>
        </w:rPr>
        <w:t>Tribunal</w:t>
      </w:r>
      <w:r>
        <w:rPr>
          <w:spacing w:val="-8"/>
          <w:w w:val="105"/>
          <w:sz w:val="21"/>
        </w:rPr>
        <w:t> </w:t>
      </w:r>
      <w:r>
        <w:rPr>
          <w:w w:val="105"/>
          <w:sz w:val="21"/>
        </w:rPr>
        <w:t>should</w:t>
      </w:r>
      <w:r>
        <w:rPr>
          <w:spacing w:val="-8"/>
          <w:w w:val="105"/>
          <w:sz w:val="21"/>
        </w:rPr>
        <w:t> </w:t>
      </w:r>
      <w:r>
        <w:rPr>
          <w:w w:val="105"/>
          <w:sz w:val="21"/>
        </w:rPr>
        <w:t>provide</w:t>
      </w:r>
      <w:r>
        <w:rPr>
          <w:spacing w:val="-8"/>
          <w:w w:val="105"/>
          <w:sz w:val="21"/>
        </w:rPr>
        <w:t> </w:t>
      </w:r>
      <w:r>
        <w:rPr>
          <w:w w:val="105"/>
          <w:sz w:val="21"/>
        </w:rPr>
        <w:t>supporting</w:t>
      </w:r>
      <w:r>
        <w:rPr>
          <w:spacing w:val="-8"/>
          <w:w w:val="105"/>
          <w:sz w:val="21"/>
        </w:rPr>
        <w:t> </w:t>
      </w:r>
      <w:r>
        <w:rPr>
          <w:spacing w:val="-3"/>
          <w:w w:val="105"/>
          <w:sz w:val="21"/>
        </w:rPr>
        <w:t>information</w:t>
      </w:r>
      <w:r>
        <w:rPr>
          <w:spacing w:val="-8"/>
          <w:w w:val="105"/>
          <w:sz w:val="21"/>
        </w:rPr>
        <w:t> </w:t>
      </w:r>
      <w:r>
        <w:rPr>
          <w:spacing w:val="-3"/>
          <w:w w:val="105"/>
          <w:sz w:val="21"/>
        </w:rPr>
        <w:t>for </w:t>
      </w:r>
      <w:r>
        <w:rPr>
          <w:w w:val="105"/>
          <w:sz w:val="21"/>
        </w:rPr>
        <w:t>parties</w:t>
      </w:r>
      <w:r>
        <w:rPr>
          <w:spacing w:val="-8"/>
          <w:w w:val="105"/>
          <w:sz w:val="21"/>
        </w:rPr>
        <w:t> </w:t>
      </w:r>
      <w:r>
        <w:rPr>
          <w:w w:val="105"/>
          <w:sz w:val="21"/>
        </w:rPr>
        <w:t>about</w:t>
      </w:r>
      <w:r>
        <w:rPr>
          <w:spacing w:val="-7"/>
          <w:w w:val="105"/>
          <w:sz w:val="21"/>
        </w:rPr>
        <w:t> </w:t>
      </w:r>
      <w:r>
        <w:rPr>
          <w:w w:val="105"/>
          <w:sz w:val="21"/>
        </w:rPr>
        <w:t>the</w:t>
      </w:r>
      <w:r>
        <w:rPr>
          <w:spacing w:val="-7"/>
          <w:w w:val="105"/>
          <w:sz w:val="21"/>
        </w:rPr>
        <w:t> </w:t>
      </w:r>
      <w:r>
        <w:rPr>
          <w:w w:val="105"/>
          <w:sz w:val="21"/>
        </w:rPr>
        <w:t>operation</w:t>
      </w:r>
      <w:r>
        <w:rPr>
          <w:spacing w:val="-7"/>
          <w:w w:val="105"/>
          <w:sz w:val="21"/>
        </w:rPr>
        <w:t> </w:t>
      </w:r>
      <w:r>
        <w:rPr>
          <w:w w:val="105"/>
          <w:sz w:val="21"/>
        </w:rPr>
        <w:t>of</w:t>
      </w:r>
      <w:r>
        <w:rPr>
          <w:spacing w:val="-7"/>
          <w:w w:val="105"/>
          <w:sz w:val="21"/>
        </w:rPr>
        <w:t> </w:t>
      </w:r>
      <w:r>
        <w:rPr>
          <w:w w:val="105"/>
          <w:sz w:val="21"/>
        </w:rPr>
        <w:t>the</w:t>
      </w:r>
      <w:r>
        <w:rPr>
          <w:spacing w:val="-8"/>
          <w:w w:val="105"/>
          <w:sz w:val="21"/>
        </w:rPr>
        <w:t> </w:t>
      </w:r>
      <w:r>
        <w:rPr>
          <w:w w:val="105"/>
          <w:sz w:val="21"/>
        </w:rPr>
        <w:t>Act</w:t>
      </w:r>
      <w:r>
        <w:rPr>
          <w:spacing w:val="-7"/>
          <w:w w:val="105"/>
          <w:sz w:val="21"/>
        </w:rPr>
        <w:t> </w:t>
      </w:r>
      <w:r>
        <w:rPr>
          <w:w w:val="105"/>
          <w:sz w:val="21"/>
        </w:rPr>
        <w:t>and</w:t>
      </w:r>
      <w:r>
        <w:rPr>
          <w:spacing w:val="-7"/>
          <w:w w:val="105"/>
          <w:sz w:val="21"/>
        </w:rPr>
        <w:t> </w:t>
      </w:r>
      <w:r>
        <w:rPr>
          <w:spacing w:val="-5"/>
          <w:w w:val="105"/>
          <w:sz w:val="21"/>
        </w:rPr>
        <w:t>Tribunal</w:t>
      </w:r>
      <w:r>
        <w:rPr>
          <w:spacing w:val="-7"/>
          <w:w w:val="105"/>
          <w:sz w:val="21"/>
        </w:rPr>
        <w:t> </w:t>
      </w:r>
      <w:r>
        <w:rPr>
          <w:w w:val="105"/>
          <w:sz w:val="21"/>
        </w:rPr>
        <w:t>processes.</w:t>
      </w:r>
      <w:r>
        <w:rPr>
          <w:spacing w:val="-7"/>
          <w:w w:val="105"/>
          <w:sz w:val="21"/>
        </w:rPr>
        <w:t> </w:t>
      </w:r>
      <w:r>
        <w:rPr>
          <w:spacing w:val="-2"/>
          <w:w w:val="105"/>
          <w:sz w:val="21"/>
        </w:rPr>
        <w:t>Resources</w:t>
      </w:r>
      <w:r>
        <w:rPr>
          <w:spacing w:val="-8"/>
          <w:w w:val="105"/>
          <w:sz w:val="21"/>
        </w:rPr>
        <w:t> </w:t>
      </w:r>
      <w:r>
        <w:rPr>
          <w:spacing w:val="-3"/>
          <w:w w:val="105"/>
          <w:sz w:val="21"/>
        </w:rPr>
        <w:t>could</w:t>
      </w:r>
      <w:r>
        <w:rPr>
          <w:spacing w:val="-7"/>
          <w:w w:val="105"/>
          <w:sz w:val="21"/>
        </w:rPr>
        <w:t> </w:t>
      </w:r>
      <w:r>
        <w:rPr>
          <w:w w:val="105"/>
          <w:sz w:val="21"/>
        </w:rPr>
        <w:t>include:</w:t>
      </w:r>
    </w:p>
    <w:p>
      <w:pPr>
        <w:pStyle w:val="ListParagraph"/>
        <w:numPr>
          <w:ilvl w:val="1"/>
          <w:numId w:val="14"/>
        </w:numPr>
        <w:tabs>
          <w:tab w:pos="2721" w:val="left" w:leader="none"/>
          <w:tab w:pos="2722" w:val="left" w:leader="none"/>
        </w:tabs>
        <w:spacing w:line="242" w:lineRule="auto" w:before="122" w:after="0"/>
        <w:ind w:left="2721" w:right="2443" w:hanging="567"/>
        <w:jc w:val="left"/>
        <w:rPr>
          <w:sz w:val="21"/>
        </w:rPr>
      </w:pPr>
      <w:r>
        <w:rPr>
          <w:w w:val="105"/>
          <w:sz w:val="21"/>
        </w:rPr>
        <w:t>a</w:t>
      </w:r>
      <w:r>
        <w:rPr>
          <w:spacing w:val="-6"/>
          <w:w w:val="105"/>
          <w:sz w:val="21"/>
        </w:rPr>
        <w:t> </w:t>
      </w:r>
      <w:r>
        <w:rPr>
          <w:w w:val="105"/>
          <w:sz w:val="21"/>
        </w:rPr>
        <w:t>detailed</w:t>
      </w:r>
      <w:r>
        <w:rPr>
          <w:spacing w:val="-6"/>
          <w:w w:val="105"/>
          <w:sz w:val="21"/>
        </w:rPr>
        <w:t> </w:t>
      </w:r>
      <w:r>
        <w:rPr>
          <w:spacing w:val="-3"/>
          <w:w w:val="105"/>
          <w:sz w:val="21"/>
        </w:rPr>
        <w:t>information</w:t>
      </w:r>
      <w:r>
        <w:rPr>
          <w:spacing w:val="-6"/>
          <w:w w:val="105"/>
          <w:sz w:val="21"/>
        </w:rPr>
        <w:t> </w:t>
      </w:r>
      <w:r>
        <w:rPr>
          <w:spacing w:val="-3"/>
          <w:w w:val="105"/>
          <w:sz w:val="21"/>
        </w:rPr>
        <w:t>guide,</w:t>
      </w:r>
      <w:r>
        <w:rPr>
          <w:spacing w:val="-5"/>
          <w:w w:val="105"/>
          <w:sz w:val="21"/>
        </w:rPr>
        <w:t> </w:t>
      </w:r>
      <w:r>
        <w:rPr>
          <w:spacing w:val="-3"/>
          <w:w w:val="105"/>
          <w:sz w:val="21"/>
        </w:rPr>
        <w:t>similar</w:t>
      </w:r>
      <w:r>
        <w:rPr>
          <w:spacing w:val="-6"/>
          <w:w w:val="105"/>
          <w:sz w:val="21"/>
        </w:rPr>
        <w:t> </w:t>
      </w:r>
      <w:r>
        <w:rPr>
          <w:w w:val="105"/>
          <w:sz w:val="21"/>
        </w:rPr>
        <w:t>in</w:t>
      </w:r>
      <w:r>
        <w:rPr>
          <w:spacing w:val="-6"/>
          <w:w w:val="105"/>
          <w:sz w:val="21"/>
        </w:rPr>
        <w:t> </w:t>
      </w:r>
      <w:r>
        <w:rPr>
          <w:spacing w:val="-3"/>
          <w:w w:val="105"/>
          <w:sz w:val="21"/>
        </w:rPr>
        <w:t>format</w:t>
      </w:r>
      <w:r>
        <w:rPr>
          <w:spacing w:val="-5"/>
          <w:w w:val="105"/>
          <w:sz w:val="21"/>
        </w:rPr>
        <w:t> </w:t>
      </w:r>
      <w:r>
        <w:rPr>
          <w:spacing w:val="-3"/>
          <w:w w:val="105"/>
          <w:sz w:val="21"/>
        </w:rPr>
        <w:t>to</w:t>
      </w:r>
      <w:r>
        <w:rPr>
          <w:spacing w:val="-6"/>
          <w:w w:val="105"/>
          <w:sz w:val="21"/>
        </w:rPr>
        <w:t> </w:t>
      </w:r>
      <w:r>
        <w:rPr>
          <w:w w:val="105"/>
          <w:sz w:val="21"/>
        </w:rPr>
        <w:t>the</w:t>
      </w:r>
      <w:r>
        <w:rPr>
          <w:spacing w:val="-6"/>
          <w:w w:val="105"/>
          <w:sz w:val="21"/>
        </w:rPr>
        <w:t> </w:t>
      </w:r>
      <w:r>
        <w:rPr>
          <w:w w:val="105"/>
          <w:sz w:val="21"/>
        </w:rPr>
        <w:t>guide</w:t>
      </w:r>
      <w:r>
        <w:rPr>
          <w:spacing w:val="-6"/>
          <w:w w:val="105"/>
          <w:sz w:val="21"/>
        </w:rPr>
        <w:t> </w:t>
      </w:r>
      <w:r>
        <w:rPr>
          <w:w w:val="105"/>
          <w:sz w:val="21"/>
        </w:rPr>
        <w:t>developed</w:t>
      </w:r>
      <w:r>
        <w:rPr>
          <w:spacing w:val="-5"/>
          <w:w w:val="105"/>
          <w:sz w:val="21"/>
        </w:rPr>
        <w:t> </w:t>
      </w:r>
      <w:r>
        <w:rPr>
          <w:w w:val="105"/>
          <w:sz w:val="21"/>
        </w:rPr>
        <w:t>by</w:t>
      </w:r>
      <w:r>
        <w:rPr>
          <w:spacing w:val="-6"/>
          <w:w w:val="105"/>
          <w:sz w:val="21"/>
        </w:rPr>
        <w:t> </w:t>
      </w:r>
      <w:r>
        <w:rPr>
          <w:w w:val="105"/>
          <w:sz w:val="21"/>
        </w:rPr>
        <w:t>the </w:t>
      </w:r>
      <w:r>
        <w:rPr>
          <w:spacing w:val="-3"/>
          <w:w w:val="105"/>
          <w:sz w:val="21"/>
        </w:rPr>
        <w:t>Magistrates’ Court for fencing</w:t>
      </w:r>
      <w:r>
        <w:rPr>
          <w:spacing w:val="31"/>
          <w:w w:val="105"/>
          <w:sz w:val="21"/>
        </w:rPr>
        <w:t> </w:t>
      </w:r>
      <w:r>
        <w:rPr>
          <w:spacing w:val="-3"/>
          <w:w w:val="105"/>
          <w:sz w:val="21"/>
        </w:rPr>
        <w:t>disputes</w:t>
      </w:r>
    </w:p>
    <w:p>
      <w:pPr>
        <w:pStyle w:val="ListParagraph"/>
        <w:numPr>
          <w:ilvl w:val="1"/>
          <w:numId w:val="14"/>
        </w:numPr>
        <w:tabs>
          <w:tab w:pos="2721" w:val="left" w:leader="none"/>
          <w:tab w:pos="2722" w:val="left" w:leader="none"/>
        </w:tabs>
        <w:spacing w:line="240" w:lineRule="auto" w:before="122" w:after="0"/>
        <w:ind w:left="2721" w:right="0" w:hanging="567"/>
        <w:jc w:val="left"/>
        <w:rPr>
          <w:sz w:val="21"/>
        </w:rPr>
      </w:pPr>
      <w:r>
        <w:rPr>
          <w:spacing w:val="-3"/>
          <w:w w:val="105"/>
          <w:sz w:val="21"/>
        </w:rPr>
        <w:t>information </w:t>
      </w:r>
      <w:r>
        <w:rPr>
          <w:w w:val="105"/>
          <w:sz w:val="21"/>
        </w:rPr>
        <w:t>about </w:t>
      </w:r>
      <w:r>
        <w:rPr>
          <w:spacing w:val="-4"/>
          <w:w w:val="105"/>
          <w:sz w:val="21"/>
        </w:rPr>
        <w:t>key </w:t>
      </w:r>
      <w:r>
        <w:rPr>
          <w:w w:val="105"/>
          <w:sz w:val="21"/>
        </w:rPr>
        <w:t>decisions made under the</w:t>
      </w:r>
      <w:r>
        <w:rPr>
          <w:spacing w:val="38"/>
          <w:w w:val="105"/>
          <w:sz w:val="21"/>
        </w:rPr>
        <w:t> </w:t>
      </w:r>
      <w:r>
        <w:rPr>
          <w:w w:val="105"/>
          <w:sz w:val="21"/>
        </w:rPr>
        <w:t>Act</w:t>
      </w:r>
    </w:p>
    <w:p>
      <w:pPr>
        <w:pStyle w:val="ListParagraph"/>
        <w:numPr>
          <w:ilvl w:val="1"/>
          <w:numId w:val="14"/>
        </w:numPr>
        <w:tabs>
          <w:tab w:pos="2721" w:val="left" w:leader="none"/>
          <w:tab w:pos="2722" w:val="left" w:leader="none"/>
        </w:tabs>
        <w:spacing w:line="242" w:lineRule="auto" w:before="124" w:after="0"/>
        <w:ind w:left="2721" w:right="1742" w:hanging="567"/>
        <w:jc w:val="left"/>
        <w:rPr>
          <w:sz w:val="21"/>
        </w:rPr>
      </w:pPr>
      <w:r>
        <w:rPr>
          <w:w w:val="105"/>
          <w:sz w:val="21"/>
        </w:rPr>
        <w:t>an</w:t>
      </w:r>
      <w:r>
        <w:rPr>
          <w:spacing w:val="-6"/>
          <w:w w:val="105"/>
          <w:sz w:val="21"/>
        </w:rPr>
        <w:t> </w:t>
      </w:r>
      <w:r>
        <w:rPr>
          <w:spacing w:val="-3"/>
          <w:w w:val="105"/>
          <w:sz w:val="21"/>
        </w:rPr>
        <w:t>annotated</w:t>
      </w:r>
      <w:r>
        <w:rPr>
          <w:spacing w:val="-5"/>
          <w:w w:val="105"/>
          <w:sz w:val="21"/>
        </w:rPr>
        <w:t> </w:t>
      </w:r>
      <w:r>
        <w:rPr>
          <w:w w:val="105"/>
          <w:sz w:val="21"/>
        </w:rPr>
        <w:t>version</w:t>
      </w:r>
      <w:r>
        <w:rPr>
          <w:spacing w:val="-6"/>
          <w:w w:val="105"/>
          <w:sz w:val="21"/>
        </w:rPr>
        <w:t> </w:t>
      </w:r>
      <w:r>
        <w:rPr>
          <w:w w:val="105"/>
          <w:sz w:val="21"/>
        </w:rPr>
        <w:t>of</w:t>
      </w:r>
      <w:r>
        <w:rPr>
          <w:spacing w:val="-5"/>
          <w:w w:val="105"/>
          <w:sz w:val="21"/>
        </w:rPr>
        <w:t> </w:t>
      </w:r>
      <w:r>
        <w:rPr>
          <w:w w:val="105"/>
          <w:sz w:val="21"/>
        </w:rPr>
        <w:t>the</w:t>
      </w:r>
      <w:r>
        <w:rPr>
          <w:spacing w:val="-6"/>
          <w:w w:val="105"/>
          <w:sz w:val="21"/>
        </w:rPr>
        <w:t> </w:t>
      </w:r>
      <w:r>
        <w:rPr>
          <w:w w:val="105"/>
          <w:sz w:val="21"/>
        </w:rPr>
        <w:t>Act</w:t>
      </w:r>
      <w:r>
        <w:rPr>
          <w:spacing w:val="-5"/>
          <w:w w:val="105"/>
          <w:sz w:val="21"/>
        </w:rPr>
        <w:t> </w:t>
      </w:r>
      <w:r>
        <w:rPr>
          <w:spacing w:val="-3"/>
          <w:w w:val="105"/>
          <w:sz w:val="21"/>
        </w:rPr>
        <w:t>outlining</w:t>
      </w:r>
      <w:r>
        <w:rPr>
          <w:spacing w:val="-6"/>
          <w:w w:val="105"/>
          <w:sz w:val="21"/>
        </w:rPr>
        <w:t> </w:t>
      </w:r>
      <w:r>
        <w:rPr>
          <w:w w:val="105"/>
          <w:sz w:val="21"/>
        </w:rPr>
        <w:t>how</w:t>
      </w:r>
      <w:r>
        <w:rPr>
          <w:spacing w:val="-5"/>
          <w:w w:val="105"/>
          <w:sz w:val="21"/>
        </w:rPr>
        <w:t> </w:t>
      </w:r>
      <w:r>
        <w:rPr>
          <w:w w:val="105"/>
          <w:sz w:val="21"/>
        </w:rPr>
        <w:t>the</w:t>
      </w:r>
      <w:r>
        <w:rPr>
          <w:spacing w:val="-6"/>
          <w:w w:val="105"/>
          <w:sz w:val="21"/>
        </w:rPr>
        <w:t> </w:t>
      </w:r>
      <w:r>
        <w:rPr>
          <w:spacing w:val="-5"/>
          <w:w w:val="105"/>
          <w:sz w:val="21"/>
        </w:rPr>
        <w:t>Tribunal </w:t>
      </w:r>
      <w:r>
        <w:rPr>
          <w:spacing w:val="-2"/>
          <w:w w:val="105"/>
          <w:sz w:val="21"/>
        </w:rPr>
        <w:t>has</w:t>
      </w:r>
      <w:r>
        <w:rPr>
          <w:spacing w:val="-6"/>
          <w:w w:val="105"/>
          <w:sz w:val="21"/>
        </w:rPr>
        <w:t> </w:t>
      </w:r>
      <w:r>
        <w:rPr>
          <w:spacing w:val="-3"/>
          <w:w w:val="105"/>
          <w:sz w:val="21"/>
        </w:rPr>
        <w:t>interpreted</w:t>
      </w:r>
      <w:r>
        <w:rPr>
          <w:spacing w:val="-5"/>
          <w:w w:val="105"/>
          <w:sz w:val="21"/>
        </w:rPr>
        <w:t> </w:t>
      </w:r>
      <w:r>
        <w:rPr>
          <w:w w:val="105"/>
          <w:sz w:val="21"/>
        </w:rPr>
        <w:t>particular </w:t>
      </w:r>
      <w:r>
        <w:rPr>
          <w:spacing w:val="-3"/>
          <w:w w:val="105"/>
          <w:sz w:val="21"/>
        </w:rPr>
        <w:t>provisions </w:t>
      </w:r>
      <w:r>
        <w:rPr>
          <w:w w:val="105"/>
          <w:sz w:val="21"/>
        </w:rPr>
        <w:t>and </w:t>
      </w:r>
      <w:r>
        <w:rPr>
          <w:spacing w:val="-3"/>
          <w:w w:val="105"/>
          <w:sz w:val="21"/>
        </w:rPr>
        <w:t>highlighting </w:t>
      </w:r>
      <w:r>
        <w:rPr>
          <w:spacing w:val="-4"/>
          <w:w w:val="105"/>
          <w:sz w:val="21"/>
        </w:rPr>
        <w:t>key</w:t>
      </w:r>
      <w:r>
        <w:rPr>
          <w:spacing w:val="27"/>
          <w:w w:val="105"/>
          <w:sz w:val="21"/>
        </w:rPr>
        <w:t> </w:t>
      </w:r>
      <w:r>
        <w:rPr>
          <w:w w:val="105"/>
          <w:sz w:val="21"/>
        </w:rPr>
        <w:t>cases</w:t>
      </w:r>
    </w:p>
    <w:p>
      <w:pPr>
        <w:pStyle w:val="ListParagraph"/>
        <w:numPr>
          <w:ilvl w:val="1"/>
          <w:numId w:val="14"/>
        </w:numPr>
        <w:tabs>
          <w:tab w:pos="2721" w:val="left" w:leader="none"/>
          <w:tab w:pos="2722" w:val="left" w:leader="none"/>
        </w:tabs>
        <w:spacing w:line="240" w:lineRule="auto" w:before="122" w:after="0"/>
        <w:ind w:left="2721" w:right="0" w:hanging="567"/>
        <w:jc w:val="left"/>
        <w:rPr>
          <w:sz w:val="21"/>
        </w:rPr>
      </w:pPr>
      <w:r>
        <w:rPr>
          <w:w w:val="105"/>
          <w:sz w:val="21"/>
        </w:rPr>
        <w:t>a </w:t>
      </w:r>
      <w:r>
        <w:rPr>
          <w:spacing w:val="-3"/>
          <w:w w:val="105"/>
          <w:sz w:val="21"/>
        </w:rPr>
        <w:t>link to </w:t>
      </w:r>
      <w:r>
        <w:rPr>
          <w:w w:val="105"/>
          <w:sz w:val="21"/>
        </w:rPr>
        <w:t>the </w:t>
      </w:r>
      <w:r>
        <w:rPr>
          <w:spacing w:val="-3"/>
          <w:w w:val="105"/>
          <w:sz w:val="21"/>
        </w:rPr>
        <w:t>Dispute </w:t>
      </w:r>
      <w:r>
        <w:rPr>
          <w:w w:val="105"/>
          <w:sz w:val="21"/>
        </w:rPr>
        <w:t>Settlement </w:t>
      </w:r>
      <w:r>
        <w:rPr>
          <w:spacing w:val="-4"/>
          <w:w w:val="105"/>
          <w:sz w:val="21"/>
        </w:rPr>
        <w:t>Centre </w:t>
      </w:r>
      <w:r>
        <w:rPr>
          <w:w w:val="105"/>
          <w:sz w:val="21"/>
        </w:rPr>
        <w:t>of Victoria</w:t>
      </w:r>
      <w:r>
        <w:rPr>
          <w:spacing w:val="3"/>
          <w:w w:val="105"/>
          <w:sz w:val="21"/>
        </w:rPr>
        <w:t> </w:t>
      </w:r>
      <w:r>
        <w:rPr>
          <w:spacing w:val="-3"/>
          <w:w w:val="105"/>
          <w:sz w:val="21"/>
        </w:rPr>
        <w:t>website</w:t>
      </w:r>
    </w:p>
    <w:p>
      <w:pPr>
        <w:pStyle w:val="ListParagraph"/>
        <w:numPr>
          <w:ilvl w:val="1"/>
          <w:numId w:val="14"/>
        </w:numPr>
        <w:tabs>
          <w:tab w:pos="2721" w:val="left" w:leader="none"/>
          <w:tab w:pos="2722" w:val="left" w:leader="none"/>
        </w:tabs>
        <w:spacing w:line="242" w:lineRule="auto" w:before="124" w:after="0"/>
        <w:ind w:left="2721" w:right="1587" w:hanging="567"/>
        <w:jc w:val="left"/>
        <w:rPr>
          <w:sz w:val="21"/>
        </w:rPr>
      </w:pPr>
      <w:r>
        <w:rPr>
          <w:spacing w:val="-4"/>
          <w:sz w:val="21"/>
        </w:rPr>
        <w:t>key </w:t>
      </w:r>
      <w:r>
        <w:rPr>
          <w:sz w:val="21"/>
        </w:rPr>
        <w:t>Practice Notes </w:t>
      </w:r>
      <w:r>
        <w:rPr>
          <w:spacing w:val="-3"/>
          <w:sz w:val="21"/>
        </w:rPr>
        <w:t>relevant to </w:t>
      </w:r>
      <w:r>
        <w:rPr>
          <w:sz w:val="21"/>
        </w:rPr>
        <w:t>tree </w:t>
      </w:r>
      <w:r>
        <w:rPr>
          <w:spacing w:val="-3"/>
          <w:sz w:val="21"/>
        </w:rPr>
        <w:t>disputes, for example, </w:t>
      </w:r>
      <w:r>
        <w:rPr>
          <w:sz w:val="21"/>
        </w:rPr>
        <w:t>about the </w:t>
      </w:r>
      <w:r>
        <w:rPr>
          <w:spacing w:val="-3"/>
          <w:sz w:val="21"/>
        </w:rPr>
        <w:t>provision </w:t>
      </w:r>
      <w:r>
        <w:rPr>
          <w:sz w:val="21"/>
        </w:rPr>
        <w:t>of expert evidence and </w:t>
      </w:r>
      <w:r>
        <w:rPr>
          <w:spacing w:val="-3"/>
          <w:sz w:val="21"/>
        </w:rPr>
        <w:t>alternative dispute</w:t>
      </w:r>
      <w:r>
        <w:rPr>
          <w:spacing w:val="39"/>
          <w:sz w:val="21"/>
        </w:rPr>
        <w:t> </w:t>
      </w:r>
      <w:r>
        <w:rPr>
          <w:spacing w:val="-3"/>
          <w:sz w:val="21"/>
        </w:rPr>
        <w:t>resolution.</w:t>
      </w:r>
    </w:p>
    <w:p>
      <w:pPr>
        <w:pStyle w:val="ListParagraph"/>
        <w:numPr>
          <w:ilvl w:val="0"/>
          <w:numId w:val="14"/>
        </w:numPr>
        <w:tabs>
          <w:tab w:pos="2155" w:val="left" w:leader="none"/>
        </w:tabs>
        <w:spacing w:line="242" w:lineRule="auto" w:before="122" w:after="0"/>
        <w:ind w:left="2154" w:right="1643" w:hanging="567"/>
        <w:jc w:val="both"/>
        <w:rPr>
          <w:sz w:val="21"/>
        </w:rPr>
      </w:pPr>
      <w:r>
        <w:rPr>
          <w:w w:val="105"/>
          <w:sz w:val="21"/>
        </w:rPr>
        <w:t>The</w:t>
      </w:r>
      <w:r>
        <w:rPr>
          <w:spacing w:val="-8"/>
          <w:w w:val="105"/>
          <w:sz w:val="21"/>
        </w:rPr>
        <w:t> </w:t>
      </w:r>
      <w:r>
        <w:rPr>
          <w:w w:val="105"/>
          <w:sz w:val="21"/>
        </w:rPr>
        <w:t>services</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spacing w:val="-3"/>
          <w:w w:val="105"/>
          <w:sz w:val="21"/>
        </w:rPr>
        <w:t>Dispute</w:t>
      </w:r>
      <w:r>
        <w:rPr>
          <w:spacing w:val="-8"/>
          <w:w w:val="105"/>
          <w:sz w:val="21"/>
        </w:rPr>
        <w:t> </w:t>
      </w:r>
      <w:r>
        <w:rPr>
          <w:w w:val="105"/>
          <w:sz w:val="21"/>
        </w:rPr>
        <w:t>Settlement</w:t>
      </w:r>
      <w:r>
        <w:rPr>
          <w:spacing w:val="-7"/>
          <w:w w:val="105"/>
          <w:sz w:val="21"/>
        </w:rPr>
        <w:t> </w:t>
      </w:r>
      <w:r>
        <w:rPr>
          <w:spacing w:val="-4"/>
          <w:w w:val="105"/>
          <w:sz w:val="21"/>
        </w:rPr>
        <w:t>Centre</w:t>
      </w:r>
      <w:r>
        <w:rPr>
          <w:spacing w:val="-8"/>
          <w:w w:val="105"/>
          <w:sz w:val="21"/>
        </w:rPr>
        <w:t> </w:t>
      </w:r>
      <w:r>
        <w:rPr>
          <w:w w:val="105"/>
          <w:sz w:val="21"/>
        </w:rPr>
        <w:t>of</w:t>
      </w:r>
      <w:r>
        <w:rPr>
          <w:spacing w:val="-8"/>
          <w:w w:val="105"/>
          <w:sz w:val="21"/>
        </w:rPr>
        <w:t> </w:t>
      </w:r>
      <w:r>
        <w:rPr>
          <w:w w:val="105"/>
          <w:sz w:val="21"/>
        </w:rPr>
        <w:t>Victoria</w:t>
      </w:r>
      <w:r>
        <w:rPr>
          <w:spacing w:val="-8"/>
          <w:w w:val="105"/>
          <w:sz w:val="21"/>
        </w:rPr>
        <w:t> </w:t>
      </w:r>
      <w:r>
        <w:rPr>
          <w:w w:val="105"/>
          <w:sz w:val="21"/>
        </w:rPr>
        <w:t>should</w:t>
      </w:r>
      <w:r>
        <w:rPr>
          <w:spacing w:val="-8"/>
          <w:w w:val="105"/>
          <w:sz w:val="21"/>
        </w:rPr>
        <w:t> </w:t>
      </w:r>
      <w:r>
        <w:rPr>
          <w:w w:val="105"/>
          <w:sz w:val="21"/>
        </w:rPr>
        <w:t>be</w:t>
      </w:r>
      <w:r>
        <w:rPr>
          <w:spacing w:val="-8"/>
          <w:w w:val="105"/>
          <w:sz w:val="21"/>
        </w:rPr>
        <w:t> </w:t>
      </w:r>
      <w:r>
        <w:rPr>
          <w:spacing w:val="-3"/>
          <w:w w:val="105"/>
          <w:sz w:val="21"/>
        </w:rPr>
        <w:t>promoted</w:t>
      </w:r>
      <w:r>
        <w:rPr>
          <w:spacing w:val="-7"/>
          <w:w w:val="105"/>
          <w:sz w:val="21"/>
        </w:rPr>
        <w:t> </w:t>
      </w:r>
      <w:r>
        <w:rPr>
          <w:w w:val="105"/>
          <w:sz w:val="21"/>
        </w:rPr>
        <w:t>more</w:t>
      </w:r>
      <w:r>
        <w:rPr>
          <w:spacing w:val="-8"/>
          <w:w w:val="105"/>
          <w:sz w:val="21"/>
        </w:rPr>
        <w:t> </w:t>
      </w:r>
      <w:r>
        <w:rPr>
          <w:spacing w:val="-4"/>
          <w:w w:val="105"/>
          <w:sz w:val="21"/>
        </w:rPr>
        <w:t>broadly. </w:t>
      </w:r>
      <w:r>
        <w:rPr>
          <w:spacing w:val="-3"/>
          <w:w w:val="105"/>
          <w:sz w:val="21"/>
        </w:rPr>
        <w:t>Community </w:t>
      </w:r>
      <w:r>
        <w:rPr>
          <w:w w:val="105"/>
          <w:sz w:val="21"/>
        </w:rPr>
        <w:t>engagement workshops </w:t>
      </w:r>
      <w:r>
        <w:rPr>
          <w:spacing w:val="-3"/>
          <w:w w:val="105"/>
          <w:sz w:val="21"/>
        </w:rPr>
        <w:t>could </w:t>
      </w:r>
      <w:r>
        <w:rPr>
          <w:w w:val="105"/>
          <w:sz w:val="21"/>
        </w:rPr>
        <w:t>be conducted </w:t>
      </w:r>
      <w:r>
        <w:rPr>
          <w:spacing w:val="-3"/>
          <w:w w:val="105"/>
          <w:sz w:val="21"/>
        </w:rPr>
        <w:t>for </w:t>
      </w:r>
      <w:r>
        <w:rPr>
          <w:w w:val="105"/>
          <w:sz w:val="21"/>
        </w:rPr>
        <w:t>the </w:t>
      </w:r>
      <w:r>
        <w:rPr>
          <w:spacing w:val="-3"/>
          <w:w w:val="105"/>
          <w:sz w:val="21"/>
        </w:rPr>
        <w:t>arboricultural </w:t>
      </w:r>
      <w:r>
        <w:rPr>
          <w:w w:val="105"/>
          <w:sz w:val="21"/>
        </w:rPr>
        <w:t>industry and other </w:t>
      </w:r>
      <w:r>
        <w:rPr>
          <w:spacing w:val="-3"/>
          <w:w w:val="105"/>
          <w:sz w:val="21"/>
        </w:rPr>
        <w:t>interested organisations </w:t>
      </w:r>
      <w:r>
        <w:rPr>
          <w:w w:val="105"/>
          <w:sz w:val="21"/>
        </w:rPr>
        <w:t>and </w:t>
      </w:r>
      <w:r>
        <w:rPr>
          <w:spacing w:val="-3"/>
          <w:w w:val="105"/>
          <w:sz w:val="21"/>
        </w:rPr>
        <w:t>professional</w:t>
      </w:r>
      <w:r>
        <w:rPr>
          <w:spacing w:val="26"/>
          <w:w w:val="105"/>
          <w:sz w:val="21"/>
        </w:rPr>
        <w:t> </w:t>
      </w:r>
      <w:r>
        <w:rPr>
          <w:w w:val="105"/>
          <w:sz w:val="21"/>
        </w:rPr>
        <w:t>bodies.</w:t>
      </w:r>
    </w:p>
    <w:p>
      <w:pPr>
        <w:pStyle w:val="ListParagraph"/>
        <w:numPr>
          <w:ilvl w:val="0"/>
          <w:numId w:val="14"/>
        </w:numPr>
        <w:tabs>
          <w:tab w:pos="2154" w:val="left" w:leader="none"/>
          <w:tab w:pos="2155" w:val="left" w:leader="none"/>
        </w:tabs>
        <w:spacing w:line="242" w:lineRule="auto" w:before="124" w:after="0"/>
        <w:ind w:left="2154" w:right="2238" w:hanging="567"/>
        <w:jc w:val="left"/>
        <w:rPr>
          <w:sz w:val="21"/>
        </w:rPr>
      </w:pPr>
      <w:r>
        <w:rPr>
          <w:sz w:val="21"/>
        </w:rPr>
        <w:t>Local </w:t>
      </w:r>
      <w:r>
        <w:rPr>
          <w:spacing w:val="-3"/>
          <w:sz w:val="21"/>
        </w:rPr>
        <w:t>councils </w:t>
      </w:r>
      <w:r>
        <w:rPr>
          <w:sz w:val="21"/>
        </w:rPr>
        <w:t>should </w:t>
      </w:r>
      <w:r>
        <w:rPr>
          <w:spacing w:val="-3"/>
          <w:sz w:val="21"/>
        </w:rPr>
        <w:t>continue to </w:t>
      </w:r>
      <w:r>
        <w:rPr>
          <w:sz w:val="21"/>
        </w:rPr>
        <w:t>provide </w:t>
      </w:r>
      <w:r>
        <w:rPr>
          <w:spacing w:val="-3"/>
          <w:sz w:val="21"/>
        </w:rPr>
        <w:t>resources to </w:t>
      </w:r>
      <w:r>
        <w:rPr>
          <w:sz w:val="21"/>
        </w:rPr>
        <w:t>the community </w:t>
      </w:r>
      <w:r>
        <w:rPr>
          <w:spacing w:val="-3"/>
          <w:sz w:val="21"/>
        </w:rPr>
        <w:t>relevant to </w:t>
      </w:r>
      <w:r>
        <w:rPr>
          <w:sz w:val="21"/>
        </w:rPr>
        <w:t>tree </w:t>
      </w:r>
      <w:r>
        <w:rPr>
          <w:spacing w:val="-3"/>
          <w:sz w:val="21"/>
        </w:rPr>
        <w:t>disputes. </w:t>
      </w:r>
      <w:r>
        <w:rPr>
          <w:sz w:val="21"/>
        </w:rPr>
        <w:t>These </w:t>
      </w:r>
      <w:r>
        <w:rPr>
          <w:spacing w:val="-3"/>
          <w:sz w:val="21"/>
        </w:rPr>
        <w:t>resources could</w:t>
      </w:r>
      <w:r>
        <w:rPr>
          <w:spacing w:val="-2"/>
          <w:sz w:val="21"/>
        </w:rPr>
        <w:t> </w:t>
      </w:r>
      <w:r>
        <w:rPr>
          <w:sz w:val="21"/>
        </w:rPr>
        <w:t>include:</w:t>
      </w:r>
    </w:p>
    <w:p>
      <w:pPr>
        <w:pStyle w:val="ListParagraph"/>
        <w:numPr>
          <w:ilvl w:val="1"/>
          <w:numId w:val="14"/>
        </w:numPr>
        <w:tabs>
          <w:tab w:pos="2721" w:val="left" w:leader="none"/>
          <w:tab w:pos="2722" w:val="left" w:leader="none"/>
        </w:tabs>
        <w:spacing w:line="240" w:lineRule="auto" w:before="122" w:after="0"/>
        <w:ind w:left="2721" w:right="0" w:hanging="567"/>
        <w:jc w:val="left"/>
        <w:rPr>
          <w:sz w:val="21"/>
        </w:rPr>
      </w:pPr>
      <w:r>
        <w:rPr>
          <w:sz w:val="21"/>
        </w:rPr>
        <w:t>tree </w:t>
      </w:r>
      <w:r>
        <w:rPr>
          <w:spacing w:val="-3"/>
          <w:sz w:val="21"/>
        </w:rPr>
        <w:t>planting guidelines suited to</w:t>
      </w:r>
      <w:r>
        <w:rPr>
          <w:spacing w:val="18"/>
          <w:sz w:val="21"/>
        </w:rPr>
        <w:t> </w:t>
      </w:r>
      <w:r>
        <w:rPr>
          <w:sz w:val="21"/>
        </w:rPr>
        <w:t>local </w:t>
      </w:r>
      <w:r>
        <w:rPr>
          <w:spacing w:val="-3"/>
          <w:sz w:val="21"/>
        </w:rPr>
        <w:t>areas</w:t>
      </w:r>
    </w:p>
    <w:p>
      <w:pPr>
        <w:pStyle w:val="ListParagraph"/>
        <w:numPr>
          <w:ilvl w:val="1"/>
          <w:numId w:val="14"/>
        </w:numPr>
        <w:tabs>
          <w:tab w:pos="2721" w:val="left" w:leader="none"/>
          <w:tab w:pos="2722" w:val="left" w:leader="none"/>
        </w:tabs>
        <w:spacing w:line="240" w:lineRule="auto" w:before="124" w:after="0"/>
        <w:ind w:left="2721" w:right="0" w:hanging="567"/>
        <w:jc w:val="left"/>
        <w:rPr>
          <w:sz w:val="21"/>
        </w:rPr>
      </w:pPr>
      <w:r>
        <w:rPr>
          <w:w w:val="105"/>
          <w:sz w:val="21"/>
        </w:rPr>
        <w:t>fact sheets on the application of local tree protection</w:t>
      </w:r>
      <w:r>
        <w:rPr>
          <w:spacing w:val="32"/>
          <w:w w:val="105"/>
          <w:sz w:val="21"/>
        </w:rPr>
        <w:t> </w:t>
      </w:r>
      <w:r>
        <w:rPr>
          <w:w w:val="105"/>
          <w:sz w:val="21"/>
        </w:rPr>
        <w:t>laws</w:t>
      </w:r>
    </w:p>
    <w:p>
      <w:pPr>
        <w:pStyle w:val="ListParagraph"/>
        <w:numPr>
          <w:ilvl w:val="1"/>
          <w:numId w:val="14"/>
        </w:numPr>
        <w:tabs>
          <w:tab w:pos="2720" w:val="left" w:leader="none"/>
          <w:tab w:pos="2721" w:val="left" w:leader="none"/>
        </w:tabs>
        <w:spacing w:line="240" w:lineRule="auto" w:before="123" w:after="0"/>
        <w:ind w:left="2720" w:right="0" w:hanging="566"/>
        <w:jc w:val="left"/>
        <w:rPr>
          <w:sz w:val="21"/>
        </w:rPr>
      </w:pPr>
      <w:r>
        <w:rPr>
          <w:spacing w:val="-3"/>
          <w:w w:val="105"/>
          <w:sz w:val="21"/>
        </w:rPr>
        <w:t>information </w:t>
      </w:r>
      <w:r>
        <w:rPr>
          <w:w w:val="105"/>
          <w:sz w:val="21"/>
        </w:rPr>
        <w:t>about </w:t>
      </w:r>
      <w:r>
        <w:rPr>
          <w:spacing w:val="-3"/>
          <w:w w:val="105"/>
          <w:sz w:val="21"/>
        </w:rPr>
        <w:t>engaging appropriately </w:t>
      </w:r>
      <w:r>
        <w:rPr>
          <w:w w:val="105"/>
          <w:sz w:val="21"/>
        </w:rPr>
        <w:t>qualified</w:t>
      </w:r>
      <w:r>
        <w:rPr>
          <w:spacing w:val="31"/>
          <w:w w:val="105"/>
          <w:sz w:val="21"/>
        </w:rPr>
        <w:t> </w:t>
      </w:r>
      <w:r>
        <w:rPr>
          <w:w w:val="105"/>
          <w:sz w:val="21"/>
        </w:rPr>
        <w:t>arborists.</w:t>
      </w:r>
    </w:p>
    <w:p>
      <w:pPr>
        <w:pStyle w:val="ListParagraph"/>
        <w:numPr>
          <w:ilvl w:val="0"/>
          <w:numId w:val="14"/>
        </w:numPr>
        <w:tabs>
          <w:tab w:pos="2153" w:val="left" w:leader="none"/>
          <w:tab w:pos="2154" w:val="left" w:leader="none"/>
        </w:tabs>
        <w:spacing w:line="242" w:lineRule="auto" w:before="124" w:after="0"/>
        <w:ind w:left="2153" w:right="1694" w:hanging="566"/>
        <w:jc w:val="left"/>
        <w:rPr>
          <w:sz w:val="21"/>
        </w:rPr>
      </w:pPr>
      <w:r>
        <w:rPr>
          <w:sz w:val="21"/>
        </w:rPr>
        <w:t>The </w:t>
      </w:r>
      <w:r>
        <w:rPr>
          <w:spacing w:val="-3"/>
          <w:sz w:val="21"/>
        </w:rPr>
        <w:t>arboricultural </w:t>
      </w:r>
      <w:r>
        <w:rPr>
          <w:sz w:val="21"/>
        </w:rPr>
        <w:t>industry should provide </w:t>
      </w:r>
      <w:r>
        <w:rPr>
          <w:spacing w:val="-3"/>
          <w:sz w:val="21"/>
        </w:rPr>
        <w:t>information to </w:t>
      </w:r>
      <w:r>
        <w:rPr>
          <w:sz w:val="21"/>
        </w:rPr>
        <w:t>the community about how people can identify and engage </w:t>
      </w:r>
      <w:r>
        <w:rPr>
          <w:spacing w:val="-3"/>
          <w:sz w:val="21"/>
        </w:rPr>
        <w:t>appropriately </w:t>
      </w:r>
      <w:r>
        <w:rPr>
          <w:sz w:val="21"/>
        </w:rPr>
        <w:t>qualified</w:t>
      </w:r>
      <w:r>
        <w:rPr>
          <w:spacing w:val="13"/>
          <w:sz w:val="21"/>
        </w:rPr>
        <w:t> </w:t>
      </w:r>
      <w:r>
        <w:rPr>
          <w:sz w:val="21"/>
        </w:rPr>
        <w:t>arborists.</w:t>
      </w:r>
    </w:p>
    <w:p>
      <w:pPr>
        <w:pStyle w:val="BodyText"/>
        <w:spacing w:before="8"/>
      </w:pPr>
    </w:p>
    <w:p>
      <w:pPr>
        <w:pStyle w:val="Heading4"/>
      </w:pPr>
      <w:r>
        <w:rPr>
          <w:color w:val="658464"/>
          <w:w w:val="110"/>
        </w:rPr>
        <w:t>Chapter 13</w:t>
      </w:r>
    </w:p>
    <w:p>
      <w:pPr>
        <w:pStyle w:val="ListParagraph"/>
        <w:numPr>
          <w:ilvl w:val="0"/>
          <w:numId w:val="14"/>
        </w:numPr>
        <w:tabs>
          <w:tab w:pos="2154" w:val="left" w:leader="none"/>
          <w:tab w:pos="2155" w:val="left" w:leader="none"/>
        </w:tabs>
        <w:spacing w:line="242" w:lineRule="auto" w:before="155" w:after="0"/>
        <w:ind w:left="2154" w:right="1631" w:hanging="567"/>
        <w:jc w:val="left"/>
        <w:rPr>
          <w:sz w:val="21"/>
        </w:rPr>
      </w:pPr>
      <w:r>
        <w:rPr>
          <w:w w:val="105"/>
          <w:sz w:val="21"/>
        </w:rPr>
        <w:t>The </w:t>
      </w:r>
      <w:r>
        <w:rPr>
          <w:spacing w:val="-3"/>
          <w:w w:val="105"/>
          <w:sz w:val="21"/>
        </w:rPr>
        <w:t>Minister </w:t>
      </w:r>
      <w:r>
        <w:rPr>
          <w:w w:val="105"/>
          <w:sz w:val="21"/>
        </w:rPr>
        <w:t>should review the Act after a period of five years </w:t>
      </w:r>
      <w:r>
        <w:rPr>
          <w:spacing w:val="-3"/>
          <w:w w:val="105"/>
          <w:sz w:val="21"/>
        </w:rPr>
        <w:t>from </w:t>
      </w:r>
      <w:r>
        <w:rPr>
          <w:w w:val="105"/>
          <w:sz w:val="21"/>
        </w:rPr>
        <w:t>the </w:t>
      </w:r>
      <w:r>
        <w:rPr>
          <w:spacing w:val="-3"/>
          <w:w w:val="105"/>
          <w:sz w:val="21"/>
        </w:rPr>
        <w:t>date </w:t>
      </w:r>
      <w:r>
        <w:rPr>
          <w:w w:val="105"/>
          <w:sz w:val="21"/>
        </w:rPr>
        <w:t>of </w:t>
      </w:r>
      <w:r>
        <w:rPr>
          <w:spacing w:val="-3"/>
          <w:w w:val="105"/>
          <w:sz w:val="21"/>
        </w:rPr>
        <w:t>commencement to determine </w:t>
      </w:r>
      <w:r>
        <w:rPr>
          <w:w w:val="105"/>
          <w:sz w:val="21"/>
        </w:rPr>
        <w:t>whether the policy objectives of the Act </w:t>
      </w:r>
      <w:r>
        <w:rPr>
          <w:spacing w:val="-3"/>
          <w:w w:val="105"/>
          <w:sz w:val="21"/>
        </w:rPr>
        <w:t>remain valid </w:t>
      </w:r>
      <w:r>
        <w:rPr>
          <w:w w:val="105"/>
          <w:sz w:val="21"/>
        </w:rPr>
        <w:t>and whether the </w:t>
      </w:r>
      <w:r>
        <w:rPr>
          <w:spacing w:val="-3"/>
          <w:w w:val="105"/>
          <w:sz w:val="21"/>
        </w:rPr>
        <w:t>legislation remains appropriate for </w:t>
      </w:r>
      <w:r>
        <w:rPr>
          <w:w w:val="105"/>
          <w:sz w:val="21"/>
        </w:rPr>
        <w:t>securing those objectives. A report on the </w:t>
      </w:r>
      <w:r>
        <w:rPr>
          <w:spacing w:val="-3"/>
          <w:w w:val="105"/>
          <w:sz w:val="21"/>
        </w:rPr>
        <w:t>outcome</w:t>
      </w:r>
      <w:r>
        <w:rPr>
          <w:spacing w:val="-5"/>
          <w:w w:val="105"/>
          <w:sz w:val="21"/>
        </w:rPr>
        <w:t> </w:t>
      </w:r>
      <w:r>
        <w:rPr>
          <w:w w:val="105"/>
          <w:sz w:val="21"/>
        </w:rPr>
        <w:t>of</w:t>
      </w:r>
      <w:r>
        <w:rPr>
          <w:spacing w:val="-5"/>
          <w:w w:val="105"/>
          <w:sz w:val="21"/>
        </w:rPr>
        <w:t> </w:t>
      </w:r>
      <w:r>
        <w:rPr>
          <w:w w:val="105"/>
          <w:sz w:val="21"/>
        </w:rPr>
        <w:t>the</w:t>
      </w:r>
      <w:r>
        <w:rPr>
          <w:spacing w:val="-4"/>
          <w:w w:val="105"/>
          <w:sz w:val="21"/>
        </w:rPr>
        <w:t> </w:t>
      </w:r>
      <w:r>
        <w:rPr>
          <w:w w:val="105"/>
          <w:sz w:val="21"/>
        </w:rPr>
        <w:t>review</w:t>
      </w:r>
      <w:r>
        <w:rPr>
          <w:spacing w:val="-5"/>
          <w:w w:val="105"/>
          <w:sz w:val="21"/>
        </w:rPr>
        <w:t> </w:t>
      </w:r>
      <w:r>
        <w:rPr>
          <w:w w:val="105"/>
          <w:sz w:val="21"/>
        </w:rPr>
        <w:t>should</w:t>
      </w:r>
      <w:r>
        <w:rPr>
          <w:spacing w:val="-4"/>
          <w:w w:val="105"/>
          <w:sz w:val="21"/>
        </w:rPr>
        <w:t> </w:t>
      </w:r>
      <w:r>
        <w:rPr>
          <w:w w:val="105"/>
          <w:sz w:val="21"/>
        </w:rPr>
        <w:t>be</w:t>
      </w:r>
      <w:r>
        <w:rPr>
          <w:spacing w:val="-5"/>
          <w:w w:val="105"/>
          <w:sz w:val="21"/>
        </w:rPr>
        <w:t> </w:t>
      </w:r>
      <w:r>
        <w:rPr>
          <w:w w:val="105"/>
          <w:sz w:val="21"/>
        </w:rPr>
        <w:t>tabled</w:t>
      </w:r>
      <w:r>
        <w:rPr>
          <w:spacing w:val="-4"/>
          <w:w w:val="105"/>
          <w:sz w:val="21"/>
        </w:rPr>
        <w:t> </w:t>
      </w:r>
      <w:r>
        <w:rPr>
          <w:w w:val="105"/>
          <w:sz w:val="21"/>
        </w:rPr>
        <w:t>in</w:t>
      </w:r>
      <w:r>
        <w:rPr>
          <w:spacing w:val="-5"/>
          <w:w w:val="105"/>
          <w:sz w:val="21"/>
        </w:rPr>
        <w:t> </w:t>
      </w:r>
      <w:r>
        <w:rPr>
          <w:w w:val="105"/>
          <w:sz w:val="21"/>
        </w:rPr>
        <w:t>each</w:t>
      </w:r>
      <w:r>
        <w:rPr>
          <w:spacing w:val="-4"/>
          <w:w w:val="105"/>
          <w:sz w:val="21"/>
        </w:rPr>
        <w:t> </w:t>
      </w:r>
      <w:r>
        <w:rPr>
          <w:w w:val="105"/>
          <w:sz w:val="21"/>
        </w:rPr>
        <w:t>House</w:t>
      </w:r>
      <w:r>
        <w:rPr>
          <w:spacing w:val="-5"/>
          <w:w w:val="105"/>
          <w:sz w:val="21"/>
        </w:rPr>
        <w:t> </w:t>
      </w:r>
      <w:r>
        <w:rPr>
          <w:w w:val="105"/>
          <w:sz w:val="21"/>
        </w:rPr>
        <w:t>of</w:t>
      </w:r>
      <w:r>
        <w:rPr>
          <w:spacing w:val="-4"/>
          <w:w w:val="105"/>
          <w:sz w:val="21"/>
        </w:rPr>
        <w:t> </w:t>
      </w:r>
      <w:r>
        <w:rPr>
          <w:spacing w:val="-3"/>
          <w:w w:val="105"/>
          <w:sz w:val="21"/>
        </w:rPr>
        <w:t>Parliament</w:t>
      </w:r>
      <w:r>
        <w:rPr>
          <w:spacing w:val="-5"/>
          <w:w w:val="105"/>
          <w:sz w:val="21"/>
        </w:rPr>
        <w:t> </w:t>
      </w:r>
      <w:r>
        <w:rPr>
          <w:spacing w:val="-3"/>
          <w:w w:val="105"/>
          <w:sz w:val="21"/>
        </w:rPr>
        <w:t>within</w:t>
      </w:r>
      <w:r>
        <w:rPr>
          <w:spacing w:val="-4"/>
          <w:w w:val="105"/>
          <w:sz w:val="21"/>
        </w:rPr>
        <w:t> </w:t>
      </w:r>
      <w:r>
        <w:rPr>
          <w:spacing w:val="-9"/>
          <w:w w:val="105"/>
          <w:sz w:val="21"/>
        </w:rPr>
        <w:t>12</w:t>
      </w:r>
      <w:r>
        <w:rPr>
          <w:spacing w:val="-5"/>
          <w:w w:val="105"/>
          <w:sz w:val="21"/>
        </w:rPr>
        <w:t> </w:t>
      </w:r>
      <w:r>
        <w:rPr>
          <w:spacing w:val="-3"/>
          <w:w w:val="105"/>
          <w:sz w:val="21"/>
        </w:rPr>
        <w:t>months</w:t>
      </w:r>
      <w:r>
        <w:rPr>
          <w:spacing w:val="-4"/>
          <w:w w:val="105"/>
          <w:sz w:val="21"/>
        </w:rPr>
        <w:t> </w:t>
      </w:r>
      <w:r>
        <w:rPr>
          <w:w w:val="105"/>
          <w:sz w:val="21"/>
        </w:rPr>
        <w:t>after the end of the</w:t>
      </w:r>
      <w:r>
        <w:rPr>
          <w:spacing w:val="20"/>
          <w:w w:val="105"/>
          <w:sz w:val="21"/>
        </w:rPr>
        <w:t> </w:t>
      </w:r>
      <w:r>
        <w:rPr>
          <w:spacing w:val="-4"/>
          <w:w w:val="105"/>
          <w:sz w:val="21"/>
        </w:rPr>
        <w:t>review.</w:t>
      </w:r>
    </w:p>
    <w:p>
      <w:pPr>
        <w:pStyle w:val="ListParagraph"/>
        <w:numPr>
          <w:ilvl w:val="0"/>
          <w:numId w:val="14"/>
        </w:numPr>
        <w:tabs>
          <w:tab w:pos="2154" w:val="left" w:leader="none"/>
          <w:tab w:pos="2155" w:val="left" w:leader="none"/>
        </w:tabs>
        <w:spacing w:line="240" w:lineRule="auto" w:before="126" w:after="0"/>
        <w:ind w:left="2154" w:right="0" w:hanging="567"/>
        <w:jc w:val="left"/>
        <w:rPr>
          <w:sz w:val="21"/>
        </w:rPr>
      </w:pPr>
      <w:r>
        <w:rPr>
          <w:sz w:val="21"/>
        </w:rPr>
        <w:t>Matters</w:t>
      </w:r>
      <w:r>
        <w:rPr>
          <w:spacing w:val="8"/>
          <w:sz w:val="21"/>
        </w:rPr>
        <w:t> </w:t>
      </w:r>
      <w:r>
        <w:rPr>
          <w:spacing w:val="-3"/>
          <w:sz w:val="21"/>
        </w:rPr>
        <w:t>that</w:t>
      </w:r>
      <w:r>
        <w:rPr>
          <w:spacing w:val="9"/>
          <w:sz w:val="21"/>
        </w:rPr>
        <w:t> </w:t>
      </w:r>
      <w:r>
        <w:rPr>
          <w:sz w:val="21"/>
        </w:rPr>
        <w:t>should</w:t>
      </w:r>
      <w:r>
        <w:rPr>
          <w:spacing w:val="9"/>
          <w:sz w:val="21"/>
        </w:rPr>
        <w:t> </w:t>
      </w:r>
      <w:r>
        <w:rPr>
          <w:sz w:val="21"/>
        </w:rPr>
        <w:t>be</w:t>
      </w:r>
      <w:r>
        <w:rPr>
          <w:spacing w:val="9"/>
          <w:sz w:val="21"/>
        </w:rPr>
        <w:t> </w:t>
      </w:r>
      <w:r>
        <w:rPr>
          <w:spacing w:val="-2"/>
          <w:sz w:val="21"/>
        </w:rPr>
        <w:t>examined</w:t>
      </w:r>
      <w:r>
        <w:rPr>
          <w:spacing w:val="9"/>
          <w:sz w:val="21"/>
        </w:rPr>
        <w:t> </w:t>
      </w:r>
      <w:r>
        <w:rPr>
          <w:sz w:val="21"/>
        </w:rPr>
        <w:t>as</w:t>
      </w:r>
      <w:r>
        <w:rPr>
          <w:spacing w:val="9"/>
          <w:sz w:val="21"/>
        </w:rPr>
        <w:t> </w:t>
      </w:r>
      <w:r>
        <w:rPr>
          <w:sz w:val="21"/>
        </w:rPr>
        <w:t>part</w:t>
      </w:r>
      <w:r>
        <w:rPr>
          <w:spacing w:val="9"/>
          <w:sz w:val="21"/>
        </w:rPr>
        <w:t> </w:t>
      </w:r>
      <w:r>
        <w:rPr>
          <w:sz w:val="21"/>
        </w:rPr>
        <w:t>of</w:t>
      </w:r>
      <w:r>
        <w:rPr>
          <w:spacing w:val="9"/>
          <w:sz w:val="21"/>
        </w:rPr>
        <w:t> </w:t>
      </w:r>
      <w:r>
        <w:rPr>
          <w:sz w:val="21"/>
        </w:rPr>
        <w:t>the</w:t>
      </w:r>
      <w:r>
        <w:rPr>
          <w:spacing w:val="9"/>
          <w:sz w:val="21"/>
        </w:rPr>
        <w:t> </w:t>
      </w:r>
      <w:r>
        <w:rPr>
          <w:sz w:val="21"/>
        </w:rPr>
        <w:t>review</w:t>
      </w:r>
      <w:r>
        <w:rPr>
          <w:spacing w:val="9"/>
          <w:sz w:val="21"/>
        </w:rPr>
        <w:t> </w:t>
      </w:r>
      <w:r>
        <w:rPr>
          <w:sz w:val="21"/>
        </w:rPr>
        <w:t>include:</w:t>
      </w:r>
    </w:p>
    <w:p>
      <w:pPr>
        <w:pStyle w:val="ListParagraph"/>
        <w:numPr>
          <w:ilvl w:val="1"/>
          <w:numId w:val="14"/>
        </w:numPr>
        <w:tabs>
          <w:tab w:pos="2721" w:val="left" w:leader="none"/>
          <w:tab w:pos="2722" w:val="left" w:leader="none"/>
        </w:tabs>
        <w:spacing w:line="240" w:lineRule="auto" w:before="123" w:after="0"/>
        <w:ind w:left="2721" w:right="0" w:hanging="567"/>
        <w:jc w:val="left"/>
        <w:rPr>
          <w:sz w:val="21"/>
        </w:rPr>
      </w:pPr>
      <w:r>
        <w:rPr>
          <w:w w:val="105"/>
          <w:sz w:val="21"/>
        </w:rPr>
        <w:t>the effectiveness of </w:t>
      </w:r>
      <w:r>
        <w:rPr>
          <w:spacing w:val="-3"/>
          <w:w w:val="105"/>
          <w:sz w:val="21"/>
        </w:rPr>
        <w:t>zoning provisions </w:t>
      </w:r>
      <w:r>
        <w:rPr>
          <w:w w:val="105"/>
          <w:sz w:val="21"/>
        </w:rPr>
        <w:t>in the</w:t>
      </w:r>
      <w:r>
        <w:rPr>
          <w:spacing w:val="39"/>
          <w:w w:val="105"/>
          <w:sz w:val="21"/>
        </w:rPr>
        <w:t> </w:t>
      </w:r>
      <w:r>
        <w:rPr>
          <w:w w:val="105"/>
          <w:sz w:val="21"/>
        </w:rPr>
        <w:t>Act</w:t>
      </w:r>
    </w:p>
    <w:p>
      <w:pPr>
        <w:pStyle w:val="ListParagraph"/>
        <w:numPr>
          <w:ilvl w:val="1"/>
          <w:numId w:val="14"/>
        </w:numPr>
        <w:tabs>
          <w:tab w:pos="2721" w:val="left" w:leader="none"/>
          <w:tab w:pos="2722" w:val="left" w:leader="none"/>
        </w:tabs>
        <w:spacing w:line="240" w:lineRule="auto" w:before="124" w:after="0"/>
        <w:ind w:left="2721" w:right="0" w:hanging="567"/>
        <w:jc w:val="left"/>
        <w:rPr>
          <w:sz w:val="21"/>
        </w:rPr>
      </w:pPr>
      <w:r>
        <w:rPr>
          <w:w w:val="105"/>
          <w:sz w:val="21"/>
        </w:rPr>
        <w:t>the effectiveness of the definition of </w:t>
      </w:r>
      <w:r>
        <w:rPr>
          <w:spacing w:val="-3"/>
          <w:w w:val="105"/>
          <w:sz w:val="21"/>
        </w:rPr>
        <w:t>adjoining land </w:t>
      </w:r>
      <w:r>
        <w:rPr>
          <w:w w:val="105"/>
          <w:sz w:val="21"/>
        </w:rPr>
        <w:t>in the</w:t>
      </w:r>
      <w:r>
        <w:rPr>
          <w:spacing w:val="48"/>
          <w:w w:val="105"/>
          <w:sz w:val="21"/>
        </w:rPr>
        <w:t> </w:t>
      </w:r>
      <w:r>
        <w:rPr>
          <w:w w:val="105"/>
          <w:sz w:val="21"/>
        </w:rPr>
        <w:t>Act</w:t>
      </w:r>
    </w:p>
    <w:p>
      <w:pPr>
        <w:pStyle w:val="ListParagraph"/>
        <w:numPr>
          <w:ilvl w:val="1"/>
          <w:numId w:val="14"/>
        </w:numPr>
        <w:tabs>
          <w:tab w:pos="2721" w:val="left" w:leader="none"/>
          <w:tab w:pos="2722" w:val="left" w:leader="none"/>
        </w:tabs>
        <w:spacing w:line="242" w:lineRule="auto" w:before="124" w:after="0"/>
        <w:ind w:left="2721" w:right="2129" w:hanging="567"/>
        <w:jc w:val="left"/>
        <w:rPr>
          <w:sz w:val="21"/>
        </w:rPr>
      </w:pPr>
      <w:r>
        <w:rPr>
          <w:w w:val="105"/>
          <w:sz w:val="21"/>
        </w:rPr>
        <w:t>if there is a need </w:t>
      </w:r>
      <w:r>
        <w:rPr>
          <w:spacing w:val="-3"/>
          <w:w w:val="105"/>
          <w:sz w:val="21"/>
        </w:rPr>
        <w:t>for </w:t>
      </w:r>
      <w:r>
        <w:rPr>
          <w:w w:val="105"/>
          <w:sz w:val="21"/>
        </w:rPr>
        <w:t>the Act </w:t>
      </w:r>
      <w:r>
        <w:rPr>
          <w:spacing w:val="-3"/>
          <w:w w:val="105"/>
          <w:sz w:val="21"/>
        </w:rPr>
        <w:t>to </w:t>
      </w:r>
      <w:r>
        <w:rPr>
          <w:w w:val="105"/>
          <w:sz w:val="21"/>
        </w:rPr>
        <w:t>be expanded </w:t>
      </w:r>
      <w:r>
        <w:rPr>
          <w:spacing w:val="-3"/>
          <w:w w:val="105"/>
          <w:sz w:val="21"/>
        </w:rPr>
        <w:t>to include </w:t>
      </w:r>
      <w:r>
        <w:rPr>
          <w:w w:val="105"/>
          <w:sz w:val="21"/>
        </w:rPr>
        <w:t>a </w:t>
      </w:r>
      <w:r>
        <w:rPr>
          <w:spacing w:val="-3"/>
          <w:w w:val="105"/>
          <w:sz w:val="21"/>
        </w:rPr>
        <w:t>formal branch removal notice</w:t>
      </w:r>
      <w:r>
        <w:rPr>
          <w:spacing w:val="5"/>
          <w:w w:val="105"/>
          <w:sz w:val="21"/>
        </w:rPr>
        <w:t> </w:t>
      </w:r>
      <w:r>
        <w:rPr>
          <w:w w:val="105"/>
          <w:sz w:val="21"/>
        </w:rPr>
        <w:t>process</w:t>
      </w:r>
    </w:p>
    <w:p>
      <w:pPr>
        <w:pStyle w:val="ListParagraph"/>
        <w:numPr>
          <w:ilvl w:val="1"/>
          <w:numId w:val="14"/>
        </w:numPr>
        <w:tabs>
          <w:tab w:pos="2721" w:val="left" w:leader="none"/>
          <w:tab w:pos="2722" w:val="left" w:leader="none"/>
        </w:tabs>
        <w:spacing w:line="242" w:lineRule="auto" w:before="122" w:after="0"/>
        <w:ind w:left="2721" w:right="1798" w:hanging="567"/>
        <w:jc w:val="left"/>
        <w:rPr>
          <w:sz w:val="21"/>
        </w:rPr>
      </w:pPr>
      <w:r>
        <w:rPr>
          <w:w w:val="105"/>
          <w:sz w:val="21"/>
        </w:rPr>
        <w:t>if there is a need </w:t>
      </w:r>
      <w:r>
        <w:rPr>
          <w:spacing w:val="-3"/>
          <w:w w:val="105"/>
          <w:sz w:val="21"/>
        </w:rPr>
        <w:t>to </w:t>
      </w:r>
      <w:r>
        <w:rPr>
          <w:w w:val="105"/>
          <w:sz w:val="21"/>
        </w:rPr>
        <w:t>expand the scope of the Act </w:t>
      </w:r>
      <w:r>
        <w:rPr>
          <w:spacing w:val="-3"/>
          <w:w w:val="105"/>
          <w:sz w:val="21"/>
        </w:rPr>
        <w:t>to </w:t>
      </w:r>
      <w:r>
        <w:rPr>
          <w:w w:val="105"/>
          <w:sz w:val="21"/>
        </w:rPr>
        <w:t>trees blocking </w:t>
      </w:r>
      <w:r>
        <w:rPr>
          <w:spacing w:val="-2"/>
          <w:w w:val="105"/>
          <w:sz w:val="21"/>
        </w:rPr>
        <w:t>access </w:t>
      </w:r>
      <w:r>
        <w:rPr>
          <w:spacing w:val="-3"/>
          <w:w w:val="105"/>
          <w:sz w:val="21"/>
        </w:rPr>
        <w:t>to </w:t>
      </w:r>
      <w:r>
        <w:rPr>
          <w:spacing w:val="-4"/>
          <w:w w:val="105"/>
          <w:sz w:val="21"/>
        </w:rPr>
        <w:t>sunlight </w:t>
      </w:r>
      <w:r>
        <w:rPr>
          <w:w w:val="105"/>
          <w:sz w:val="21"/>
        </w:rPr>
        <w:t>and views </w:t>
      </w:r>
      <w:r>
        <w:rPr>
          <w:spacing w:val="-3"/>
          <w:w w:val="105"/>
          <w:sz w:val="21"/>
        </w:rPr>
        <w:t>(including high</w:t>
      </w:r>
      <w:r>
        <w:rPr>
          <w:spacing w:val="24"/>
          <w:w w:val="105"/>
          <w:sz w:val="21"/>
        </w:rPr>
        <w:t> </w:t>
      </w:r>
      <w:r>
        <w:rPr>
          <w:w w:val="105"/>
          <w:sz w:val="21"/>
        </w:rPr>
        <w:t>hedges).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spacing w:before="96"/>
        <w:ind w:left="720" w:right="0" w:firstLine="0"/>
        <w:jc w:val="left"/>
        <w:rPr>
          <w:b/>
          <w:sz w:val="24"/>
        </w:rPr>
      </w:pPr>
      <w:r>
        <w:rPr>
          <w:b/>
          <w:color w:val="658464"/>
          <w:w w:val="120"/>
          <w:sz w:val="24"/>
        </w:rPr>
        <w:t>xxx</w:t>
      </w:r>
    </w:p>
    <w:p>
      <w:pPr>
        <w:spacing w:after="0"/>
        <w:jc w:val="left"/>
        <w:rPr>
          <w:sz w:val="24"/>
        </w:rPr>
        <w:sectPr>
          <w:pgSz w:w="11910" w:h="16840"/>
          <w:pgMar w:header="546" w:footer="0" w:top="156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457720" filled="true" fillcolor="#ecefee" stroked="false">
            <v:fill type="solid"/>
            <w10:wrap type="none"/>
          </v:rect>
        </w:pict>
      </w:r>
      <w:r>
        <w:rPr>
          <w:b/>
          <w:color w:val="FFFFFF"/>
          <w:w w:val="122"/>
          <w:sz w:val="48"/>
          <w:shd w:fill="658464" w:color="auto" w:val="clear"/>
        </w:rPr>
        <w:t> </w:t>
      </w:r>
      <w:r>
        <w:rPr>
          <w:b/>
          <w:color w:val="FFFFFF"/>
          <w:spacing w:val="41"/>
          <w:sz w:val="48"/>
          <w:shd w:fill="658464" w:color="auto" w:val="clear"/>
        </w:rPr>
        <w:t> </w:t>
      </w:r>
      <w:r>
        <w:rPr>
          <w:b/>
          <w:color w:val="FFFFFF"/>
          <w:w w:val="105"/>
          <w:sz w:val="48"/>
          <w:shd w:fill="658464" w:color="auto" w:val="clear"/>
        </w:rPr>
        <w:t>1</w:t>
      </w:r>
      <w:r>
        <w:rPr>
          <w:b/>
          <w:color w:val="FFFFFF"/>
          <w:sz w:val="48"/>
          <w:shd w:fill="658464"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spacing w:line="1146" w:lineRule="exact" w:before="84"/>
        <w:ind w:left="1587" w:right="0" w:firstLine="0"/>
        <w:jc w:val="left"/>
        <w:rPr>
          <w:b/>
          <w:sz w:val="96"/>
        </w:rPr>
      </w:pPr>
      <w:r>
        <w:rPr/>
        <w:pict>
          <v:rect style="position:absolute;margin-left:0pt;margin-top:5.966142pt;width:418.748pt;height:52pt;mso-position-horizontal-relative:page;mso-position-vertical-relative:paragraph;z-index:-457696" filled="true" fillcolor="#ffffff" stroked="false">
            <v:fill type="solid"/>
            <w10:wrap type="none"/>
          </v:rect>
        </w:pict>
      </w:r>
      <w:r>
        <w:rPr>
          <w:b/>
          <w:color w:val="658464"/>
          <w:w w:val="110"/>
          <w:sz w:val="96"/>
        </w:rPr>
        <w:t>Introduction to</w:t>
      </w:r>
    </w:p>
    <w:p>
      <w:pPr>
        <w:tabs>
          <w:tab w:pos="1587" w:val="left" w:leader="none"/>
          <w:tab w:pos="10588" w:val="left" w:leader="none"/>
        </w:tabs>
        <w:spacing w:line="230" w:lineRule="auto" w:before="11"/>
        <w:ind w:left="1587" w:right="1315" w:hanging="1588"/>
        <w:jc w:val="left"/>
        <w:rPr>
          <w:b/>
          <w:sz w:val="96"/>
        </w:rPr>
      </w:pPr>
      <w:r>
        <w:rPr/>
        <w:pict>
          <v:rect style="position:absolute;margin-left:0pt;margin-top:56.472027pt;width:274.136pt;height:52pt;mso-position-horizontal-relative:page;mso-position-vertical-relative:paragraph;z-index:-457672" filled="true" fillcolor="#ffffff" stroked="false">
            <v:fill type="solid"/>
            <w10:wrap type="none"/>
          </v:rect>
        </w:pict>
      </w:r>
      <w:r>
        <w:rPr>
          <w:b/>
          <w:color w:val="658464"/>
          <w:w w:val="122"/>
          <w:sz w:val="96"/>
          <w:shd w:fill="FFFFFF" w:color="auto" w:val="clear"/>
        </w:rPr>
        <w:t> </w:t>
      </w:r>
      <w:r>
        <w:rPr>
          <w:b/>
          <w:color w:val="658464"/>
          <w:sz w:val="96"/>
          <w:shd w:fill="FFFFFF" w:color="auto" w:val="clear"/>
        </w:rPr>
        <w:tab/>
      </w:r>
      <w:r>
        <w:rPr>
          <w:b/>
          <w:color w:val="658464"/>
          <w:spacing w:val="-25"/>
          <w:w w:val="115"/>
          <w:sz w:val="96"/>
          <w:shd w:fill="FFFFFF" w:color="auto" w:val="clear"/>
        </w:rPr>
        <w:t>neighbourhood</w:t>
      </w:r>
      <w:r>
        <w:rPr>
          <w:b/>
          <w:color w:val="658464"/>
          <w:spacing w:val="-122"/>
          <w:w w:val="115"/>
          <w:sz w:val="96"/>
          <w:shd w:fill="FFFFFF" w:color="auto" w:val="clear"/>
        </w:rPr>
        <w:t> </w:t>
      </w:r>
      <w:r>
        <w:rPr>
          <w:b/>
          <w:color w:val="658464"/>
          <w:spacing w:val="-18"/>
          <w:w w:val="115"/>
          <w:sz w:val="96"/>
          <w:shd w:fill="FFFFFF" w:color="auto" w:val="clear"/>
        </w:rPr>
        <w:t>tree</w:t>
      </w:r>
      <w:r>
        <w:rPr>
          <w:b/>
          <w:color w:val="658464"/>
          <w:sz w:val="96"/>
          <w:shd w:fill="FFFFFF" w:color="auto" w:val="clear"/>
        </w:rPr>
        <w:tab/>
      </w:r>
      <w:r>
        <w:rPr>
          <w:b/>
          <w:color w:val="658464"/>
          <w:sz w:val="96"/>
        </w:rPr>
        <w:t> </w:t>
      </w:r>
      <w:r>
        <w:rPr>
          <w:b/>
          <w:color w:val="658464"/>
          <w:spacing w:val="-24"/>
          <w:w w:val="115"/>
          <w:sz w:val="96"/>
        </w:rPr>
        <w:t>disputes</w:t>
      </w:r>
    </w:p>
    <w:p>
      <w:pPr>
        <w:pStyle w:val="BodyText"/>
        <w:rPr>
          <w:b/>
          <w:sz w:val="20"/>
        </w:rPr>
      </w:pPr>
    </w:p>
    <w:p>
      <w:pPr>
        <w:pStyle w:val="BodyText"/>
        <w:rPr>
          <w:b/>
          <w:sz w:val="20"/>
        </w:rPr>
      </w:pPr>
    </w:p>
    <w:p>
      <w:pPr>
        <w:pStyle w:val="BodyText"/>
        <w:spacing w:before="6"/>
        <w:rPr>
          <w:b/>
          <w:sz w:val="24"/>
        </w:rPr>
      </w:pPr>
    </w:p>
    <w:p>
      <w:pPr>
        <w:tabs>
          <w:tab w:pos="2154" w:val="left" w:leader="none"/>
        </w:tabs>
        <w:spacing w:before="96"/>
        <w:ind w:left="1587" w:right="0" w:firstLine="0"/>
        <w:jc w:val="left"/>
        <w:rPr>
          <w:b/>
          <w:sz w:val="24"/>
        </w:rPr>
      </w:pPr>
      <w:r>
        <w:rPr/>
        <w:pict>
          <v:line style="position:absolute;mso-position-horizontal-relative:page;mso-position-vertical-relative:paragraph;z-index:-760;mso-wrap-distance-left:0;mso-wrap-distance-right:0" from="79.370102pt,22.89497pt" to="104.882102pt,22.89497pt" stroked="true" strokeweight="2pt" strokecolor="#ffffff">
            <v:stroke dashstyle="solid"/>
            <w10:wrap type="topAndBottom"/>
          </v:line>
        </w:pict>
      </w:r>
      <w:hyperlink w:history="true" w:anchor="_bookmark5">
        <w:r>
          <w:rPr>
            <w:b/>
            <w:w w:val="110"/>
            <w:sz w:val="24"/>
          </w:rPr>
          <w:t>2</w:t>
          <w:tab/>
          <w:t>Introduction</w:t>
        </w:r>
      </w:hyperlink>
    </w:p>
    <w:p>
      <w:pPr>
        <w:pStyle w:val="ListParagraph"/>
        <w:numPr>
          <w:ilvl w:val="0"/>
          <w:numId w:val="15"/>
        </w:numPr>
        <w:tabs>
          <w:tab w:pos="2154" w:val="left" w:leader="none"/>
          <w:tab w:pos="2155" w:val="left" w:leader="none"/>
        </w:tabs>
        <w:spacing w:line="240" w:lineRule="auto" w:before="62" w:after="49"/>
        <w:ind w:left="2154" w:right="0" w:hanging="567"/>
        <w:jc w:val="left"/>
        <w:rPr>
          <w:b/>
          <w:sz w:val="24"/>
        </w:rPr>
      </w:pPr>
      <w:hyperlink w:history="true" w:anchor="_bookmark5">
        <w:r>
          <w:rPr>
            <w:b/>
            <w:w w:val="115"/>
            <w:sz w:val="24"/>
          </w:rPr>
          <w:t>Origins of the</w:t>
        </w:r>
        <w:r>
          <w:rPr>
            <w:b/>
            <w:spacing w:val="10"/>
            <w:w w:val="115"/>
            <w:sz w:val="24"/>
          </w:rPr>
          <w:t> </w:t>
        </w:r>
        <w:r>
          <w:rPr>
            <w:b/>
            <w:w w:val="115"/>
            <w:sz w:val="24"/>
          </w:rPr>
          <w:t>project</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pStyle w:val="ListParagraph"/>
        <w:numPr>
          <w:ilvl w:val="0"/>
          <w:numId w:val="15"/>
        </w:numPr>
        <w:tabs>
          <w:tab w:pos="2154" w:val="left" w:leader="none"/>
          <w:tab w:pos="2155" w:val="left" w:leader="none"/>
        </w:tabs>
        <w:spacing w:line="240" w:lineRule="auto" w:before="91" w:after="0"/>
        <w:ind w:left="2154" w:right="0" w:hanging="567"/>
        <w:jc w:val="left"/>
        <w:rPr>
          <w:b/>
          <w:sz w:val="24"/>
        </w:rPr>
      </w:pPr>
      <w:r>
        <w:rPr/>
        <w:pict>
          <v:line style="position:absolute;mso-position-horizontal-relative:page;mso-position-vertical-relative:paragraph;z-index:-712;mso-wrap-distance-left:0;mso-wrap-distance-right:0" from="79.370102pt,22.655567pt" to="104.882102pt,22.655567pt" stroked="true" strokeweight="2pt" strokecolor="#ffffff">
            <v:stroke dashstyle="solid"/>
            <w10:wrap type="topAndBottom"/>
          </v:line>
        </w:pict>
      </w:r>
      <w:hyperlink w:history="true" w:anchor="_bookmark6">
        <w:r>
          <w:rPr>
            <w:b/>
            <w:w w:val="110"/>
            <w:sz w:val="24"/>
          </w:rPr>
          <w:t>The Commission’s</w:t>
        </w:r>
        <w:r>
          <w:rPr>
            <w:b/>
            <w:spacing w:val="13"/>
            <w:w w:val="110"/>
            <w:sz w:val="24"/>
          </w:rPr>
          <w:t> </w:t>
        </w:r>
        <w:r>
          <w:rPr>
            <w:b/>
            <w:w w:val="110"/>
            <w:sz w:val="24"/>
          </w:rPr>
          <w:t>process</w:t>
        </w:r>
      </w:hyperlink>
    </w:p>
    <w:p>
      <w:pPr>
        <w:pStyle w:val="ListParagraph"/>
        <w:numPr>
          <w:ilvl w:val="0"/>
          <w:numId w:val="15"/>
        </w:numPr>
        <w:tabs>
          <w:tab w:pos="2154" w:val="left" w:leader="none"/>
          <w:tab w:pos="2155" w:val="left" w:leader="none"/>
        </w:tabs>
        <w:spacing w:line="240" w:lineRule="auto" w:before="62" w:after="49"/>
        <w:ind w:left="2154" w:right="0" w:hanging="567"/>
        <w:jc w:val="left"/>
        <w:rPr>
          <w:b/>
          <w:sz w:val="24"/>
        </w:rPr>
      </w:pPr>
      <w:hyperlink w:history="true" w:anchor="_bookmark7">
        <w:r>
          <w:rPr>
            <w:b/>
            <w:w w:val="115"/>
            <w:sz w:val="24"/>
          </w:rPr>
          <w:t>Structure of the</w:t>
        </w:r>
        <w:r>
          <w:rPr>
            <w:b/>
            <w:spacing w:val="9"/>
            <w:w w:val="115"/>
            <w:sz w:val="24"/>
          </w:rPr>
          <w:t> </w:t>
        </w:r>
        <w:r>
          <w:rPr>
            <w:b/>
            <w:w w:val="115"/>
            <w:sz w:val="24"/>
          </w:rPr>
          <w:t>report</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22"/>
          <w:headerReference w:type="even" r:id="rId23"/>
          <w:pgSz w:w="11910" w:h="16840"/>
          <w:pgMar w:header="0" w:footer="0" w:top="720" w:bottom="280" w:left="0" w:right="0"/>
        </w:sectPr>
      </w:pPr>
    </w:p>
    <w:p>
      <w:pPr>
        <w:pStyle w:val="BodyText"/>
        <w:spacing w:before="10"/>
        <w:rPr>
          <w:b/>
          <w:sz w:val="18"/>
        </w:rPr>
      </w:pPr>
    </w:p>
    <w:p>
      <w:pPr>
        <w:pStyle w:val="Heading2"/>
        <w:numPr>
          <w:ilvl w:val="0"/>
          <w:numId w:val="16"/>
        </w:numPr>
        <w:tabs>
          <w:tab w:pos="1247" w:val="left" w:leader="none"/>
          <w:tab w:pos="1248" w:val="left" w:leader="none"/>
        </w:tabs>
        <w:spacing w:line="232" w:lineRule="auto" w:before="106" w:after="0"/>
        <w:ind w:left="1247" w:right="3279" w:hanging="681"/>
        <w:jc w:val="left"/>
      </w:pPr>
      <w:bookmarkStart w:name="1. Introduction to neighbourhood tree di" w:id="17"/>
      <w:bookmarkEnd w:id="17"/>
      <w:r>
        <w:rPr>
          <w:b w:val="0"/>
        </w:rPr>
      </w:r>
      <w:bookmarkStart w:name="Introduction" w:id="18"/>
      <w:bookmarkEnd w:id="18"/>
      <w:r>
        <w:rPr>
          <w:b w:val="0"/>
        </w:rPr>
      </w:r>
      <w:bookmarkStart w:name="Origins of the project" w:id="19"/>
      <w:bookmarkEnd w:id="19"/>
      <w:r>
        <w:rPr>
          <w:b w:val="0"/>
        </w:rPr>
      </w:r>
      <w:bookmarkStart w:name="_bookmark5" w:id="20"/>
      <w:bookmarkEnd w:id="20"/>
      <w:r>
        <w:rPr>
          <w:b w:val="0"/>
        </w:rPr>
      </w:r>
      <w:bookmarkStart w:name="_bookmark5" w:id="21"/>
      <w:bookmarkEnd w:id="21"/>
      <w:r>
        <w:rPr>
          <w:color w:val="658464"/>
          <w:w w:val="110"/>
        </w:rPr>
        <w:t>I</w:t>
      </w:r>
      <w:r>
        <w:rPr>
          <w:color w:val="658464"/>
          <w:w w:val="110"/>
        </w:rPr>
        <w:t>ntroduction </w:t>
      </w:r>
      <w:r>
        <w:rPr>
          <w:color w:val="658464"/>
          <w:spacing w:val="-3"/>
          <w:w w:val="110"/>
        </w:rPr>
        <w:t>to neighbourhood </w:t>
      </w:r>
      <w:r>
        <w:rPr>
          <w:color w:val="658464"/>
          <w:w w:val="110"/>
        </w:rPr>
        <w:t>tree </w:t>
      </w:r>
      <w:r>
        <w:rPr>
          <w:color w:val="658464"/>
          <w:spacing w:val="-3"/>
          <w:w w:val="110"/>
        </w:rPr>
        <w:t>disputes</w:t>
      </w:r>
    </w:p>
    <w:p>
      <w:pPr>
        <w:pStyle w:val="BodyText"/>
        <w:rPr>
          <w:b/>
          <w:sz w:val="52"/>
        </w:rPr>
      </w:pPr>
    </w:p>
    <w:p>
      <w:pPr>
        <w:pStyle w:val="BodyText"/>
        <w:rPr>
          <w:b/>
          <w:sz w:val="52"/>
        </w:rPr>
      </w:pPr>
    </w:p>
    <w:p>
      <w:pPr>
        <w:pStyle w:val="BodyText"/>
        <w:rPr>
          <w:b/>
          <w:sz w:val="52"/>
        </w:rPr>
      </w:pPr>
    </w:p>
    <w:p>
      <w:pPr>
        <w:pStyle w:val="BodyText"/>
        <w:spacing w:before="5"/>
        <w:rPr>
          <w:b/>
          <w:sz w:val="57"/>
        </w:rPr>
      </w:pPr>
    </w:p>
    <w:p>
      <w:pPr>
        <w:pStyle w:val="Heading4"/>
        <w:spacing w:before="1"/>
      </w:pPr>
      <w:r>
        <w:rPr>
          <w:color w:val="658464"/>
          <w:w w:val="110"/>
        </w:rPr>
        <w:t>Introduction</w:t>
      </w:r>
    </w:p>
    <w:p>
      <w:pPr>
        <w:pStyle w:val="ListParagraph"/>
        <w:numPr>
          <w:ilvl w:val="1"/>
          <w:numId w:val="16"/>
        </w:numPr>
        <w:tabs>
          <w:tab w:pos="2381" w:val="left" w:leader="none"/>
          <w:tab w:pos="2382" w:val="left" w:leader="none"/>
        </w:tabs>
        <w:spacing w:line="242" w:lineRule="auto" w:before="155" w:after="0"/>
        <w:ind w:left="2381" w:right="1638" w:hanging="794"/>
        <w:jc w:val="left"/>
        <w:rPr>
          <w:sz w:val="21"/>
        </w:rPr>
      </w:pPr>
      <w:r>
        <w:rPr>
          <w:w w:val="105"/>
          <w:sz w:val="21"/>
        </w:rPr>
        <w:t>This report arises </w:t>
      </w:r>
      <w:r>
        <w:rPr>
          <w:spacing w:val="-3"/>
          <w:w w:val="105"/>
          <w:sz w:val="21"/>
        </w:rPr>
        <w:t>from </w:t>
      </w:r>
      <w:r>
        <w:rPr>
          <w:w w:val="105"/>
          <w:sz w:val="21"/>
        </w:rPr>
        <w:t>the Victorian Law </w:t>
      </w:r>
      <w:r>
        <w:rPr>
          <w:spacing w:val="-3"/>
          <w:w w:val="105"/>
          <w:sz w:val="21"/>
        </w:rPr>
        <w:t>Reform </w:t>
      </w:r>
      <w:r>
        <w:rPr>
          <w:spacing w:val="-4"/>
          <w:w w:val="105"/>
          <w:sz w:val="21"/>
        </w:rPr>
        <w:t>Commission’s </w:t>
      </w:r>
      <w:r>
        <w:rPr>
          <w:w w:val="105"/>
          <w:sz w:val="21"/>
        </w:rPr>
        <w:t>community law </w:t>
      </w:r>
      <w:r>
        <w:rPr>
          <w:spacing w:val="-3"/>
          <w:w w:val="105"/>
          <w:sz w:val="21"/>
        </w:rPr>
        <w:t>reform </w:t>
      </w:r>
      <w:r>
        <w:rPr>
          <w:w w:val="105"/>
          <w:sz w:val="21"/>
        </w:rPr>
        <w:t>project</w:t>
      </w:r>
      <w:r>
        <w:rPr>
          <w:spacing w:val="-6"/>
          <w:w w:val="105"/>
          <w:sz w:val="21"/>
        </w:rPr>
        <w:t> </w:t>
      </w:r>
      <w:r>
        <w:rPr>
          <w:w w:val="105"/>
          <w:sz w:val="21"/>
        </w:rPr>
        <w:t>on</w:t>
      </w:r>
      <w:r>
        <w:rPr>
          <w:spacing w:val="-5"/>
          <w:w w:val="105"/>
          <w:sz w:val="21"/>
        </w:rPr>
        <w:t> </w:t>
      </w:r>
      <w:r>
        <w:rPr>
          <w:w w:val="105"/>
          <w:sz w:val="21"/>
        </w:rPr>
        <w:t>neighbourhood</w:t>
      </w:r>
      <w:r>
        <w:rPr>
          <w:spacing w:val="-6"/>
          <w:w w:val="105"/>
          <w:sz w:val="21"/>
        </w:rPr>
        <w:t> </w:t>
      </w:r>
      <w:r>
        <w:rPr>
          <w:w w:val="105"/>
          <w:sz w:val="21"/>
        </w:rPr>
        <w:t>tree</w:t>
      </w:r>
      <w:r>
        <w:rPr>
          <w:spacing w:val="-6"/>
          <w:w w:val="105"/>
          <w:sz w:val="21"/>
        </w:rPr>
        <w:t> </w:t>
      </w:r>
      <w:r>
        <w:rPr>
          <w:spacing w:val="-3"/>
          <w:w w:val="105"/>
          <w:sz w:val="21"/>
        </w:rPr>
        <w:t>disputes.</w:t>
      </w:r>
      <w:r>
        <w:rPr>
          <w:spacing w:val="-5"/>
          <w:w w:val="105"/>
          <w:sz w:val="21"/>
        </w:rPr>
        <w:t> </w:t>
      </w:r>
      <w:r>
        <w:rPr>
          <w:w w:val="105"/>
          <w:sz w:val="21"/>
        </w:rPr>
        <w:t>It</w:t>
      </w:r>
      <w:r>
        <w:rPr>
          <w:spacing w:val="-6"/>
          <w:w w:val="105"/>
          <w:sz w:val="21"/>
        </w:rPr>
        <w:t> </w:t>
      </w:r>
      <w:r>
        <w:rPr>
          <w:spacing w:val="-3"/>
          <w:w w:val="105"/>
          <w:sz w:val="21"/>
        </w:rPr>
        <w:t>follows</w:t>
      </w:r>
      <w:r>
        <w:rPr>
          <w:spacing w:val="-5"/>
          <w:w w:val="105"/>
          <w:sz w:val="21"/>
        </w:rPr>
        <w:t> </w:t>
      </w:r>
      <w:r>
        <w:rPr>
          <w:spacing w:val="-3"/>
          <w:w w:val="105"/>
          <w:sz w:val="21"/>
        </w:rPr>
        <w:t>public</w:t>
      </w:r>
      <w:r>
        <w:rPr>
          <w:spacing w:val="-6"/>
          <w:w w:val="105"/>
          <w:sz w:val="21"/>
        </w:rPr>
        <w:t> </w:t>
      </w:r>
      <w:r>
        <w:rPr>
          <w:spacing w:val="-3"/>
          <w:w w:val="105"/>
          <w:sz w:val="21"/>
        </w:rPr>
        <w:t>consultation</w:t>
      </w:r>
      <w:r>
        <w:rPr>
          <w:spacing w:val="-5"/>
          <w:w w:val="105"/>
          <w:sz w:val="21"/>
        </w:rPr>
        <w:t> </w:t>
      </w:r>
      <w:r>
        <w:rPr>
          <w:w w:val="105"/>
          <w:sz w:val="21"/>
        </w:rPr>
        <w:t>on</w:t>
      </w:r>
      <w:r>
        <w:rPr>
          <w:spacing w:val="-6"/>
          <w:w w:val="105"/>
          <w:sz w:val="21"/>
        </w:rPr>
        <w:t> </w:t>
      </w:r>
      <w:r>
        <w:rPr>
          <w:w w:val="105"/>
          <w:sz w:val="21"/>
        </w:rPr>
        <w:t>the</w:t>
      </w:r>
      <w:r>
        <w:rPr>
          <w:spacing w:val="-5"/>
          <w:w w:val="105"/>
          <w:sz w:val="21"/>
        </w:rPr>
        <w:t> </w:t>
      </w:r>
      <w:r>
        <w:rPr>
          <w:w w:val="105"/>
          <w:sz w:val="21"/>
        </w:rPr>
        <w:t>issues</w:t>
      </w:r>
      <w:r>
        <w:rPr>
          <w:spacing w:val="-6"/>
          <w:w w:val="105"/>
          <w:sz w:val="21"/>
        </w:rPr>
        <w:t> </w:t>
      </w:r>
      <w:r>
        <w:rPr>
          <w:w w:val="105"/>
          <w:sz w:val="21"/>
        </w:rPr>
        <w:t>and</w:t>
      </w:r>
      <w:r>
        <w:rPr>
          <w:spacing w:val="-5"/>
          <w:w w:val="105"/>
          <w:sz w:val="21"/>
        </w:rPr>
        <w:t> </w:t>
      </w:r>
      <w:r>
        <w:rPr>
          <w:w w:val="105"/>
          <w:sz w:val="21"/>
        </w:rPr>
        <w:t>a </w:t>
      </w:r>
      <w:r>
        <w:rPr>
          <w:spacing w:val="-3"/>
          <w:w w:val="105"/>
          <w:sz w:val="21"/>
        </w:rPr>
        <w:t>consultation </w:t>
      </w:r>
      <w:r>
        <w:rPr>
          <w:w w:val="105"/>
          <w:sz w:val="21"/>
        </w:rPr>
        <w:t>paper </w:t>
      </w:r>
      <w:r>
        <w:rPr>
          <w:spacing w:val="-3"/>
          <w:w w:val="105"/>
          <w:sz w:val="21"/>
        </w:rPr>
        <w:t>published </w:t>
      </w:r>
      <w:r>
        <w:rPr>
          <w:w w:val="105"/>
          <w:sz w:val="21"/>
        </w:rPr>
        <w:t>in December</w:t>
      </w:r>
      <w:r>
        <w:rPr>
          <w:spacing w:val="31"/>
          <w:w w:val="105"/>
          <w:sz w:val="21"/>
        </w:rPr>
        <w:t> </w:t>
      </w:r>
      <w:r>
        <w:rPr>
          <w:spacing w:val="-12"/>
          <w:w w:val="105"/>
          <w:sz w:val="21"/>
        </w:rPr>
        <w:t>2017.</w:t>
      </w:r>
    </w:p>
    <w:p>
      <w:pPr>
        <w:pStyle w:val="ListParagraph"/>
        <w:numPr>
          <w:ilvl w:val="1"/>
          <w:numId w:val="16"/>
        </w:numPr>
        <w:tabs>
          <w:tab w:pos="2380" w:val="left" w:leader="none"/>
          <w:tab w:pos="2381" w:val="left" w:leader="none"/>
        </w:tabs>
        <w:spacing w:line="242" w:lineRule="auto" w:before="123" w:after="0"/>
        <w:ind w:left="2381" w:right="1631" w:hanging="794"/>
        <w:jc w:val="left"/>
        <w:rPr>
          <w:sz w:val="21"/>
        </w:rPr>
      </w:pPr>
      <w:r>
        <w:rPr>
          <w:w w:val="105"/>
          <w:sz w:val="21"/>
        </w:rPr>
        <w:t>Section 5(1)(b) of the </w:t>
      </w:r>
      <w:r>
        <w:rPr>
          <w:i/>
          <w:w w:val="105"/>
          <w:sz w:val="21"/>
        </w:rPr>
        <w:t>Victorian Law Reform </w:t>
      </w:r>
      <w:r>
        <w:rPr>
          <w:i/>
          <w:spacing w:val="-3"/>
          <w:w w:val="105"/>
          <w:sz w:val="21"/>
        </w:rPr>
        <w:t>Commission </w:t>
      </w:r>
      <w:r>
        <w:rPr>
          <w:i/>
          <w:w w:val="105"/>
          <w:sz w:val="21"/>
        </w:rPr>
        <w:t>Act 2000 </w:t>
      </w:r>
      <w:r>
        <w:rPr>
          <w:w w:val="105"/>
          <w:sz w:val="21"/>
        </w:rPr>
        <w:t>(Vic) states </w:t>
      </w:r>
      <w:r>
        <w:rPr>
          <w:spacing w:val="-3"/>
          <w:w w:val="105"/>
          <w:sz w:val="21"/>
        </w:rPr>
        <w:t>that </w:t>
      </w:r>
      <w:r>
        <w:rPr>
          <w:w w:val="105"/>
          <w:sz w:val="21"/>
        </w:rPr>
        <w:t>one of the </w:t>
      </w:r>
      <w:r>
        <w:rPr>
          <w:spacing w:val="-4"/>
          <w:w w:val="105"/>
          <w:sz w:val="21"/>
        </w:rPr>
        <w:t>Commission’s </w:t>
      </w:r>
      <w:r>
        <w:rPr>
          <w:w w:val="105"/>
          <w:sz w:val="21"/>
        </w:rPr>
        <w:t>functions is </w:t>
      </w:r>
      <w:r>
        <w:rPr>
          <w:spacing w:val="-3"/>
          <w:w w:val="105"/>
          <w:sz w:val="21"/>
        </w:rPr>
        <w:t>to </w:t>
      </w:r>
      <w:r>
        <w:rPr>
          <w:w w:val="105"/>
          <w:sz w:val="21"/>
        </w:rPr>
        <w:t>examine and </w:t>
      </w:r>
      <w:r>
        <w:rPr>
          <w:spacing w:val="-4"/>
          <w:w w:val="105"/>
          <w:sz w:val="21"/>
        </w:rPr>
        <w:t>make </w:t>
      </w:r>
      <w:r>
        <w:rPr>
          <w:spacing w:val="-3"/>
          <w:w w:val="105"/>
          <w:sz w:val="21"/>
        </w:rPr>
        <w:t>recommendations to </w:t>
      </w:r>
      <w:r>
        <w:rPr>
          <w:w w:val="105"/>
          <w:sz w:val="21"/>
        </w:rPr>
        <w:t>the </w:t>
      </w:r>
      <w:r>
        <w:rPr>
          <w:spacing w:val="-3"/>
          <w:w w:val="105"/>
          <w:sz w:val="21"/>
        </w:rPr>
        <w:t>Attorney- </w:t>
      </w:r>
      <w:r>
        <w:rPr>
          <w:w w:val="105"/>
          <w:sz w:val="21"/>
        </w:rPr>
        <w:t>General on issues </w:t>
      </w:r>
      <w:r>
        <w:rPr>
          <w:spacing w:val="-3"/>
          <w:w w:val="105"/>
          <w:sz w:val="21"/>
        </w:rPr>
        <w:t>that are </w:t>
      </w:r>
      <w:r>
        <w:rPr>
          <w:w w:val="105"/>
          <w:sz w:val="21"/>
        </w:rPr>
        <w:t>of general community </w:t>
      </w:r>
      <w:r>
        <w:rPr>
          <w:spacing w:val="-3"/>
          <w:w w:val="105"/>
          <w:sz w:val="21"/>
        </w:rPr>
        <w:t>concern </w:t>
      </w:r>
      <w:r>
        <w:rPr>
          <w:w w:val="105"/>
          <w:sz w:val="21"/>
        </w:rPr>
        <w:t>but </w:t>
      </w:r>
      <w:r>
        <w:rPr>
          <w:spacing w:val="-3"/>
          <w:w w:val="105"/>
          <w:sz w:val="21"/>
        </w:rPr>
        <w:t>are relatively </w:t>
      </w:r>
      <w:r>
        <w:rPr>
          <w:spacing w:val="-5"/>
          <w:w w:val="105"/>
          <w:sz w:val="21"/>
        </w:rPr>
        <w:t>minor. </w:t>
      </w:r>
      <w:r>
        <w:rPr>
          <w:w w:val="105"/>
          <w:sz w:val="21"/>
        </w:rPr>
        <w:t>The term </w:t>
      </w:r>
      <w:r>
        <w:rPr>
          <w:spacing w:val="-3"/>
          <w:w w:val="105"/>
          <w:sz w:val="21"/>
        </w:rPr>
        <w:t>‘relatively </w:t>
      </w:r>
      <w:r>
        <w:rPr>
          <w:w w:val="105"/>
          <w:sz w:val="21"/>
        </w:rPr>
        <w:t>minor’ </w:t>
      </w:r>
      <w:r>
        <w:rPr>
          <w:spacing w:val="-3"/>
          <w:w w:val="105"/>
          <w:sz w:val="21"/>
        </w:rPr>
        <w:t>means limited </w:t>
      </w:r>
      <w:r>
        <w:rPr>
          <w:w w:val="105"/>
          <w:sz w:val="21"/>
        </w:rPr>
        <w:t>in </w:t>
      </w:r>
      <w:r>
        <w:rPr>
          <w:spacing w:val="-3"/>
          <w:w w:val="105"/>
          <w:sz w:val="21"/>
        </w:rPr>
        <w:t>size </w:t>
      </w:r>
      <w:r>
        <w:rPr>
          <w:w w:val="105"/>
          <w:sz w:val="21"/>
        </w:rPr>
        <w:t>and scope and </w:t>
      </w:r>
      <w:r>
        <w:rPr>
          <w:spacing w:val="-2"/>
          <w:w w:val="105"/>
          <w:sz w:val="21"/>
        </w:rPr>
        <w:t>not </w:t>
      </w:r>
      <w:r>
        <w:rPr>
          <w:spacing w:val="-3"/>
          <w:w w:val="105"/>
          <w:sz w:val="21"/>
        </w:rPr>
        <w:t>requiring </w:t>
      </w:r>
      <w:r>
        <w:rPr>
          <w:w w:val="105"/>
          <w:sz w:val="21"/>
        </w:rPr>
        <w:t>the </w:t>
      </w:r>
      <w:r>
        <w:rPr>
          <w:spacing w:val="-3"/>
          <w:w w:val="105"/>
          <w:sz w:val="21"/>
        </w:rPr>
        <w:t>significant </w:t>
      </w:r>
      <w:r>
        <w:rPr>
          <w:w w:val="105"/>
          <w:sz w:val="21"/>
        </w:rPr>
        <w:t>deployment of </w:t>
      </w:r>
      <w:r>
        <w:rPr>
          <w:spacing w:val="-3"/>
          <w:w w:val="105"/>
          <w:sz w:val="21"/>
        </w:rPr>
        <w:t>Commission</w:t>
      </w:r>
      <w:r>
        <w:rPr>
          <w:spacing w:val="15"/>
          <w:w w:val="105"/>
          <w:sz w:val="21"/>
        </w:rPr>
        <w:t> </w:t>
      </w:r>
      <w:r>
        <w:rPr>
          <w:spacing w:val="-3"/>
          <w:w w:val="105"/>
          <w:sz w:val="21"/>
        </w:rPr>
        <w:t>resources.</w:t>
      </w:r>
    </w:p>
    <w:p>
      <w:pPr>
        <w:pStyle w:val="ListParagraph"/>
        <w:numPr>
          <w:ilvl w:val="1"/>
          <w:numId w:val="16"/>
        </w:numPr>
        <w:tabs>
          <w:tab w:pos="2380" w:val="left" w:leader="none"/>
          <w:tab w:pos="2381" w:val="left" w:leader="none"/>
        </w:tabs>
        <w:spacing w:line="242" w:lineRule="auto" w:before="125" w:after="0"/>
        <w:ind w:left="2380" w:right="1864" w:hanging="793"/>
        <w:jc w:val="left"/>
        <w:rPr>
          <w:sz w:val="21"/>
        </w:rPr>
      </w:pPr>
      <w:r>
        <w:rPr>
          <w:w w:val="105"/>
          <w:sz w:val="21"/>
        </w:rPr>
        <w:t>The </w:t>
      </w:r>
      <w:r>
        <w:rPr>
          <w:spacing w:val="-3"/>
          <w:w w:val="105"/>
          <w:sz w:val="21"/>
        </w:rPr>
        <w:t>impetus for </w:t>
      </w:r>
      <w:r>
        <w:rPr>
          <w:w w:val="105"/>
          <w:sz w:val="21"/>
        </w:rPr>
        <w:t>this work often comes </w:t>
      </w:r>
      <w:r>
        <w:rPr>
          <w:spacing w:val="-3"/>
          <w:w w:val="105"/>
          <w:sz w:val="21"/>
        </w:rPr>
        <w:t>from </w:t>
      </w:r>
      <w:r>
        <w:rPr>
          <w:w w:val="105"/>
          <w:sz w:val="21"/>
        </w:rPr>
        <w:t>community suggestions about how </w:t>
      </w:r>
      <w:r>
        <w:rPr>
          <w:spacing w:val="-3"/>
          <w:w w:val="105"/>
          <w:sz w:val="21"/>
        </w:rPr>
        <w:t>to improve</w:t>
      </w:r>
      <w:r>
        <w:rPr>
          <w:spacing w:val="-9"/>
          <w:w w:val="105"/>
          <w:sz w:val="21"/>
        </w:rPr>
        <w:t> </w:t>
      </w:r>
      <w:r>
        <w:rPr>
          <w:w w:val="105"/>
          <w:sz w:val="21"/>
        </w:rPr>
        <w:t>Victorian</w:t>
      </w:r>
      <w:r>
        <w:rPr>
          <w:spacing w:val="-8"/>
          <w:w w:val="105"/>
          <w:sz w:val="21"/>
        </w:rPr>
        <w:t> </w:t>
      </w:r>
      <w:r>
        <w:rPr>
          <w:spacing w:val="-5"/>
          <w:w w:val="105"/>
          <w:sz w:val="21"/>
        </w:rPr>
        <w:t>law.</w:t>
      </w:r>
      <w:r>
        <w:rPr>
          <w:spacing w:val="-8"/>
          <w:w w:val="105"/>
          <w:sz w:val="21"/>
        </w:rPr>
        <w:t> </w:t>
      </w:r>
      <w:r>
        <w:rPr>
          <w:w w:val="105"/>
          <w:sz w:val="21"/>
        </w:rPr>
        <w:t>In</w:t>
      </w:r>
      <w:r>
        <w:rPr>
          <w:spacing w:val="-8"/>
          <w:w w:val="105"/>
          <w:sz w:val="21"/>
        </w:rPr>
        <w:t> </w:t>
      </w:r>
      <w:r>
        <w:rPr>
          <w:w w:val="105"/>
          <w:sz w:val="21"/>
        </w:rPr>
        <w:t>undertaking</w:t>
      </w:r>
      <w:r>
        <w:rPr>
          <w:spacing w:val="-8"/>
          <w:w w:val="105"/>
          <w:sz w:val="21"/>
        </w:rPr>
        <w:t> </w:t>
      </w:r>
      <w:r>
        <w:rPr>
          <w:w w:val="105"/>
          <w:sz w:val="21"/>
        </w:rPr>
        <w:t>community</w:t>
      </w:r>
      <w:r>
        <w:rPr>
          <w:spacing w:val="-8"/>
          <w:w w:val="105"/>
          <w:sz w:val="21"/>
        </w:rPr>
        <w:t> </w:t>
      </w:r>
      <w:r>
        <w:rPr>
          <w:w w:val="105"/>
          <w:sz w:val="21"/>
        </w:rPr>
        <w:t>law</w:t>
      </w:r>
      <w:r>
        <w:rPr>
          <w:spacing w:val="-9"/>
          <w:w w:val="105"/>
          <w:sz w:val="21"/>
        </w:rPr>
        <w:t> </w:t>
      </w:r>
      <w:r>
        <w:rPr>
          <w:spacing w:val="-3"/>
          <w:w w:val="105"/>
          <w:sz w:val="21"/>
        </w:rPr>
        <w:t>reform</w:t>
      </w:r>
      <w:r>
        <w:rPr>
          <w:spacing w:val="-8"/>
          <w:w w:val="105"/>
          <w:sz w:val="21"/>
        </w:rPr>
        <w:t> </w:t>
      </w:r>
      <w:r>
        <w:rPr>
          <w:w w:val="105"/>
          <w:sz w:val="21"/>
        </w:rPr>
        <w:t>projects,</w:t>
      </w:r>
      <w:r>
        <w:rPr>
          <w:spacing w:val="-8"/>
          <w:w w:val="105"/>
          <w:sz w:val="21"/>
        </w:rPr>
        <w:t> </w:t>
      </w:r>
      <w:r>
        <w:rPr>
          <w:w w:val="105"/>
          <w:sz w:val="21"/>
        </w:rPr>
        <w:t>the</w:t>
      </w:r>
      <w:r>
        <w:rPr>
          <w:spacing w:val="-8"/>
          <w:w w:val="105"/>
          <w:sz w:val="21"/>
        </w:rPr>
        <w:t> </w:t>
      </w:r>
      <w:r>
        <w:rPr>
          <w:spacing w:val="-3"/>
          <w:w w:val="105"/>
          <w:sz w:val="21"/>
        </w:rPr>
        <w:t>Commission aims to </w:t>
      </w:r>
      <w:r>
        <w:rPr>
          <w:w w:val="105"/>
          <w:sz w:val="21"/>
        </w:rPr>
        <w:t>provide workable solutions </w:t>
      </w:r>
      <w:r>
        <w:rPr>
          <w:spacing w:val="-3"/>
          <w:w w:val="105"/>
          <w:sz w:val="21"/>
        </w:rPr>
        <w:t>to </w:t>
      </w:r>
      <w:r>
        <w:rPr>
          <w:w w:val="105"/>
          <w:sz w:val="21"/>
        </w:rPr>
        <w:t>gaps or </w:t>
      </w:r>
      <w:r>
        <w:rPr>
          <w:spacing w:val="-3"/>
          <w:w w:val="105"/>
          <w:sz w:val="21"/>
        </w:rPr>
        <w:t>inadequacies </w:t>
      </w:r>
      <w:r>
        <w:rPr>
          <w:w w:val="105"/>
          <w:sz w:val="21"/>
        </w:rPr>
        <w:t>in the law so </w:t>
      </w:r>
      <w:r>
        <w:rPr>
          <w:spacing w:val="-3"/>
          <w:w w:val="105"/>
          <w:sz w:val="21"/>
        </w:rPr>
        <w:t>that reform </w:t>
      </w:r>
      <w:r>
        <w:rPr>
          <w:w w:val="105"/>
          <w:sz w:val="21"/>
        </w:rPr>
        <w:t>delivers </w:t>
      </w:r>
      <w:r>
        <w:rPr>
          <w:spacing w:val="-3"/>
          <w:w w:val="105"/>
          <w:sz w:val="21"/>
        </w:rPr>
        <w:t>real </w:t>
      </w:r>
      <w:r>
        <w:rPr>
          <w:w w:val="105"/>
          <w:sz w:val="21"/>
        </w:rPr>
        <w:t>benefits </w:t>
      </w:r>
      <w:r>
        <w:rPr>
          <w:spacing w:val="-3"/>
          <w:w w:val="105"/>
          <w:sz w:val="21"/>
        </w:rPr>
        <w:t>to </w:t>
      </w:r>
      <w:r>
        <w:rPr>
          <w:w w:val="105"/>
          <w:sz w:val="21"/>
        </w:rPr>
        <w:t>the</w:t>
      </w:r>
      <w:r>
        <w:rPr>
          <w:spacing w:val="27"/>
          <w:w w:val="105"/>
          <w:sz w:val="21"/>
        </w:rPr>
        <w:t> </w:t>
      </w:r>
      <w:r>
        <w:rPr>
          <w:spacing w:val="-4"/>
          <w:w w:val="105"/>
          <w:sz w:val="21"/>
        </w:rPr>
        <w:t>community.</w:t>
      </w:r>
    </w:p>
    <w:p>
      <w:pPr>
        <w:pStyle w:val="ListParagraph"/>
        <w:numPr>
          <w:ilvl w:val="1"/>
          <w:numId w:val="16"/>
        </w:numPr>
        <w:tabs>
          <w:tab w:pos="2380" w:val="left" w:leader="none"/>
          <w:tab w:pos="2381" w:val="left" w:leader="none"/>
        </w:tabs>
        <w:spacing w:line="242" w:lineRule="auto" w:before="125" w:after="0"/>
        <w:ind w:left="2380" w:right="1624" w:hanging="794"/>
        <w:jc w:val="left"/>
        <w:rPr>
          <w:sz w:val="21"/>
        </w:rPr>
      </w:pPr>
      <w:r>
        <w:rPr>
          <w:w w:val="105"/>
          <w:sz w:val="21"/>
        </w:rPr>
        <w:t>The</w:t>
      </w:r>
      <w:r>
        <w:rPr>
          <w:spacing w:val="-11"/>
          <w:w w:val="105"/>
          <w:sz w:val="21"/>
        </w:rPr>
        <w:t> </w:t>
      </w:r>
      <w:r>
        <w:rPr>
          <w:spacing w:val="-4"/>
          <w:w w:val="105"/>
          <w:sz w:val="21"/>
        </w:rPr>
        <w:t>Commission’s</w:t>
      </w:r>
      <w:r>
        <w:rPr>
          <w:spacing w:val="-11"/>
          <w:w w:val="105"/>
          <w:sz w:val="21"/>
        </w:rPr>
        <w:t> </w:t>
      </w:r>
      <w:r>
        <w:rPr>
          <w:w w:val="105"/>
          <w:sz w:val="21"/>
        </w:rPr>
        <w:t>priority</w:t>
      </w:r>
      <w:r>
        <w:rPr>
          <w:spacing w:val="-11"/>
          <w:w w:val="105"/>
          <w:sz w:val="21"/>
        </w:rPr>
        <w:t> </w:t>
      </w:r>
      <w:r>
        <w:rPr>
          <w:spacing w:val="-3"/>
          <w:w w:val="105"/>
          <w:sz w:val="21"/>
        </w:rPr>
        <w:t>for</w:t>
      </w:r>
      <w:r>
        <w:rPr>
          <w:spacing w:val="-11"/>
          <w:w w:val="105"/>
          <w:sz w:val="21"/>
        </w:rPr>
        <w:t> </w:t>
      </w:r>
      <w:r>
        <w:rPr>
          <w:w w:val="105"/>
          <w:sz w:val="21"/>
        </w:rPr>
        <w:t>this</w:t>
      </w:r>
      <w:r>
        <w:rPr>
          <w:spacing w:val="-11"/>
          <w:w w:val="105"/>
          <w:sz w:val="21"/>
        </w:rPr>
        <w:t> </w:t>
      </w:r>
      <w:r>
        <w:rPr>
          <w:w w:val="105"/>
          <w:sz w:val="21"/>
        </w:rPr>
        <w:t>review</w:t>
      </w:r>
      <w:r>
        <w:rPr>
          <w:spacing w:val="-11"/>
          <w:w w:val="105"/>
          <w:sz w:val="21"/>
        </w:rPr>
        <w:t> </w:t>
      </w:r>
      <w:r>
        <w:rPr>
          <w:spacing w:val="-2"/>
          <w:w w:val="105"/>
          <w:sz w:val="21"/>
        </w:rPr>
        <w:t>has</w:t>
      </w:r>
      <w:r>
        <w:rPr>
          <w:spacing w:val="-10"/>
          <w:w w:val="105"/>
          <w:sz w:val="21"/>
        </w:rPr>
        <w:t> </w:t>
      </w:r>
      <w:r>
        <w:rPr>
          <w:w w:val="105"/>
          <w:sz w:val="21"/>
        </w:rPr>
        <w:t>been</w:t>
      </w:r>
      <w:r>
        <w:rPr>
          <w:spacing w:val="-11"/>
          <w:w w:val="105"/>
          <w:sz w:val="21"/>
        </w:rPr>
        <w:t> </w:t>
      </w:r>
      <w:r>
        <w:rPr>
          <w:w w:val="105"/>
          <w:sz w:val="21"/>
        </w:rPr>
        <w:t>the</w:t>
      </w:r>
      <w:r>
        <w:rPr>
          <w:spacing w:val="-11"/>
          <w:w w:val="105"/>
          <w:sz w:val="21"/>
        </w:rPr>
        <w:t> </w:t>
      </w:r>
      <w:r>
        <w:rPr>
          <w:w w:val="105"/>
          <w:sz w:val="21"/>
        </w:rPr>
        <w:t>effective</w:t>
      </w:r>
      <w:r>
        <w:rPr>
          <w:spacing w:val="-11"/>
          <w:w w:val="105"/>
          <w:sz w:val="21"/>
        </w:rPr>
        <w:t> </w:t>
      </w:r>
      <w:r>
        <w:rPr>
          <w:w w:val="105"/>
          <w:sz w:val="21"/>
        </w:rPr>
        <w:t>and</w:t>
      </w:r>
      <w:r>
        <w:rPr>
          <w:spacing w:val="-11"/>
          <w:w w:val="105"/>
          <w:sz w:val="21"/>
        </w:rPr>
        <w:t> </w:t>
      </w:r>
      <w:r>
        <w:rPr>
          <w:w w:val="105"/>
          <w:sz w:val="21"/>
        </w:rPr>
        <w:t>efficient</w:t>
      </w:r>
      <w:r>
        <w:rPr>
          <w:spacing w:val="-11"/>
          <w:w w:val="105"/>
          <w:sz w:val="21"/>
        </w:rPr>
        <w:t> </w:t>
      </w:r>
      <w:r>
        <w:rPr>
          <w:w w:val="105"/>
          <w:sz w:val="21"/>
        </w:rPr>
        <w:t>resolution</w:t>
      </w:r>
      <w:r>
        <w:rPr>
          <w:spacing w:val="-11"/>
          <w:w w:val="105"/>
          <w:sz w:val="21"/>
        </w:rPr>
        <w:t> </w:t>
      </w:r>
      <w:r>
        <w:rPr>
          <w:w w:val="105"/>
          <w:sz w:val="21"/>
        </w:rPr>
        <w:t>of </w:t>
      </w:r>
      <w:r>
        <w:rPr>
          <w:spacing w:val="-3"/>
          <w:w w:val="105"/>
          <w:sz w:val="21"/>
        </w:rPr>
        <w:t>disputes </w:t>
      </w:r>
      <w:r>
        <w:rPr>
          <w:w w:val="105"/>
          <w:sz w:val="21"/>
        </w:rPr>
        <w:t>between neighbours about trees on </w:t>
      </w:r>
      <w:r>
        <w:rPr>
          <w:spacing w:val="-3"/>
          <w:w w:val="105"/>
          <w:sz w:val="21"/>
        </w:rPr>
        <w:t>private land </w:t>
      </w:r>
      <w:r>
        <w:rPr>
          <w:w w:val="105"/>
          <w:sz w:val="21"/>
        </w:rPr>
        <w:t>(‘tree</w:t>
      </w:r>
      <w:r>
        <w:rPr>
          <w:spacing w:val="13"/>
          <w:w w:val="105"/>
          <w:sz w:val="21"/>
        </w:rPr>
        <w:t> </w:t>
      </w:r>
      <w:r>
        <w:rPr>
          <w:w w:val="105"/>
          <w:sz w:val="21"/>
        </w:rPr>
        <w:t>disputes’).</w:t>
      </w:r>
    </w:p>
    <w:p>
      <w:pPr>
        <w:pStyle w:val="BodyText"/>
        <w:spacing w:before="2"/>
        <w:rPr>
          <w:sz w:val="20"/>
        </w:rPr>
      </w:pPr>
    </w:p>
    <w:p>
      <w:pPr>
        <w:pStyle w:val="Heading5"/>
      </w:pPr>
      <w:r>
        <w:rPr>
          <w:w w:val="115"/>
        </w:rPr>
        <w:t>Key reform</w:t>
      </w:r>
    </w:p>
    <w:p>
      <w:pPr>
        <w:pStyle w:val="ListParagraph"/>
        <w:numPr>
          <w:ilvl w:val="1"/>
          <w:numId w:val="16"/>
        </w:numPr>
        <w:tabs>
          <w:tab w:pos="2380" w:val="left" w:leader="none"/>
          <w:tab w:pos="2381" w:val="left" w:leader="none"/>
        </w:tabs>
        <w:spacing w:line="242" w:lineRule="auto" w:before="138" w:after="0"/>
        <w:ind w:left="2381" w:right="1690" w:hanging="794"/>
        <w:jc w:val="left"/>
        <w:rPr>
          <w:sz w:val="21"/>
        </w:rPr>
      </w:pPr>
      <w:r>
        <w:rPr>
          <w:w w:val="105"/>
          <w:sz w:val="21"/>
        </w:rPr>
        <w:t>The </w:t>
      </w:r>
      <w:r>
        <w:rPr>
          <w:spacing w:val="-3"/>
          <w:w w:val="105"/>
          <w:sz w:val="21"/>
        </w:rPr>
        <w:t>Commission recommends </w:t>
      </w:r>
      <w:r>
        <w:rPr>
          <w:w w:val="105"/>
          <w:sz w:val="21"/>
        </w:rPr>
        <w:t>the introduction of a dedicated Act </w:t>
      </w:r>
      <w:r>
        <w:rPr>
          <w:spacing w:val="-3"/>
          <w:w w:val="105"/>
          <w:sz w:val="21"/>
        </w:rPr>
        <w:t>to </w:t>
      </w:r>
      <w:r>
        <w:rPr>
          <w:w w:val="105"/>
          <w:sz w:val="21"/>
        </w:rPr>
        <w:t>govern the resolution</w:t>
      </w:r>
      <w:r>
        <w:rPr>
          <w:spacing w:val="-9"/>
          <w:w w:val="105"/>
          <w:sz w:val="21"/>
        </w:rPr>
        <w:t> </w:t>
      </w:r>
      <w:r>
        <w:rPr>
          <w:w w:val="105"/>
          <w:sz w:val="21"/>
        </w:rPr>
        <w:t>of</w:t>
      </w:r>
      <w:r>
        <w:rPr>
          <w:spacing w:val="-9"/>
          <w:w w:val="105"/>
          <w:sz w:val="21"/>
        </w:rPr>
        <w:t> </w:t>
      </w:r>
      <w:r>
        <w:rPr>
          <w:w w:val="105"/>
          <w:sz w:val="21"/>
        </w:rPr>
        <w:t>neighbourhood</w:t>
      </w:r>
      <w:r>
        <w:rPr>
          <w:spacing w:val="-9"/>
          <w:w w:val="105"/>
          <w:sz w:val="21"/>
        </w:rPr>
        <w:t> </w:t>
      </w:r>
      <w:r>
        <w:rPr>
          <w:w w:val="105"/>
          <w:sz w:val="21"/>
        </w:rPr>
        <w:t>tree</w:t>
      </w:r>
      <w:r>
        <w:rPr>
          <w:spacing w:val="-9"/>
          <w:w w:val="105"/>
          <w:sz w:val="21"/>
        </w:rPr>
        <w:t> </w:t>
      </w:r>
      <w:r>
        <w:rPr>
          <w:spacing w:val="-3"/>
          <w:w w:val="105"/>
          <w:sz w:val="21"/>
        </w:rPr>
        <w:t>disputes</w:t>
      </w:r>
      <w:r>
        <w:rPr>
          <w:spacing w:val="-8"/>
          <w:w w:val="105"/>
          <w:sz w:val="21"/>
        </w:rPr>
        <w:t> </w:t>
      </w:r>
      <w:r>
        <w:rPr>
          <w:w w:val="105"/>
          <w:sz w:val="21"/>
        </w:rPr>
        <w:t>in</w:t>
      </w:r>
      <w:r>
        <w:rPr>
          <w:spacing w:val="-9"/>
          <w:w w:val="105"/>
          <w:sz w:val="21"/>
        </w:rPr>
        <w:t> </w:t>
      </w:r>
      <w:r>
        <w:rPr>
          <w:w w:val="105"/>
          <w:sz w:val="21"/>
        </w:rPr>
        <w:t>Victoria.</w:t>
      </w:r>
      <w:r>
        <w:rPr>
          <w:spacing w:val="-9"/>
          <w:w w:val="105"/>
          <w:sz w:val="21"/>
        </w:rPr>
        <w:t> </w:t>
      </w:r>
      <w:r>
        <w:rPr>
          <w:w w:val="105"/>
          <w:sz w:val="21"/>
        </w:rPr>
        <w:t>The</w:t>
      </w:r>
      <w:r>
        <w:rPr>
          <w:spacing w:val="-9"/>
          <w:w w:val="105"/>
          <w:sz w:val="21"/>
        </w:rPr>
        <w:t> </w:t>
      </w:r>
      <w:r>
        <w:rPr>
          <w:spacing w:val="-3"/>
          <w:w w:val="105"/>
          <w:sz w:val="21"/>
        </w:rPr>
        <w:t>Commission</w:t>
      </w:r>
      <w:r>
        <w:rPr>
          <w:spacing w:val="-9"/>
          <w:w w:val="105"/>
          <w:sz w:val="21"/>
        </w:rPr>
        <w:t> </w:t>
      </w:r>
      <w:r>
        <w:rPr>
          <w:spacing w:val="-3"/>
          <w:w w:val="105"/>
          <w:sz w:val="21"/>
        </w:rPr>
        <w:t>recommends</w:t>
      </w:r>
      <w:r>
        <w:rPr>
          <w:spacing w:val="-8"/>
          <w:w w:val="105"/>
          <w:sz w:val="21"/>
        </w:rPr>
        <w:t> </w:t>
      </w:r>
      <w:r>
        <w:rPr>
          <w:spacing w:val="-3"/>
          <w:w w:val="105"/>
          <w:sz w:val="21"/>
        </w:rPr>
        <w:t>that </w:t>
      </w:r>
      <w:r>
        <w:rPr>
          <w:w w:val="105"/>
          <w:sz w:val="21"/>
        </w:rPr>
        <w:t>the new Act be </w:t>
      </w:r>
      <w:r>
        <w:rPr>
          <w:spacing w:val="-3"/>
          <w:w w:val="105"/>
          <w:sz w:val="21"/>
        </w:rPr>
        <w:t>administered </w:t>
      </w:r>
      <w:r>
        <w:rPr>
          <w:w w:val="105"/>
          <w:sz w:val="21"/>
        </w:rPr>
        <w:t>by the Victorian </w:t>
      </w:r>
      <w:r>
        <w:rPr>
          <w:spacing w:val="-3"/>
          <w:w w:val="105"/>
          <w:sz w:val="21"/>
        </w:rPr>
        <w:t>Civil </w:t>
      </w:r>
      <w:r>
        <w:rPr>
          <w:w w:val="105"/>
          <w:sz w:val="21"/>
        </w:rPr>
        <w:t>and </w:t>
      </w:r>
      <w:r>
        <w:rPr>
          <w:spacing w:val="-3"/>
          <w:w w:val="105"/>
          <w:sz w:val="21"/>
        </w:rPr>
        <w:t>Administrative </w:t>
      </w:r>
      <w:r>
        <w:rPr>
          <w:spacing w:val="-5"/>
          <w:w w:val="105"/>
          <w:sz w:val="21"/>
        </w:rPr>
        <w:t>Tribunal</w:t>
      </w:r>
      <w:r>
        <w:rPr>
          <w:spacing w:val="3"/>
          <w:w w:val="105"/>
          <w:sz w:val="21"/>
        </w:rPr>
        <w:t> </w:t>
      </w:r>
      <w:r>
        <w:rPr>
          <w:w w:val="105"/>
          <w:sz w:val="21"/>
        </w:rPr>
        <w:t>(VCAT).</w:t>
      </w:r>
    </w:p>
    <w:p>
      <w:pPr>
        <w:pStyle w:val="BodyText"/>
        <w:spacing w:before="10"/>
      </w:pPr>
    </w:p>
    <w:p>
      <w:pPr>
        <w:pStyle w:val="Heading4"/>
      </w:pPr>
      <w:r>
        <w:rPr>
          <w:color w:val="658464"/>
          <w:w w:val="115"/>
        </w:rPr>
        <w:t>Origins of the project</w:t>
      </w:r>
    </w:p>
    <w:p>
      <w:pPr>
        <w:pStyle w:val="ListParagraph"/>
        <w:numPr>
          <w:ilvl w:val="1"/>
          <w:numId w:val="16"/>
        </w:numPr>
        <w:tabs>
          <w:tab w:pos="2380" w:val="left" w:leader="none"/>
          <w:tab w:pos="2381" w:val="left" w:leader="none"/>
        </w:tabs>
        <w:spacing w:line="242" w:lineRule="auto" w:before="155" w:after="0"/>
        <w:ind w:left="2381" w:right="1612" w:hanging="794"/>
        <w:jc w:val="left"/>
        <w:rPr>
          <w:sz w:val="21"/>
        </w:rPr>
      </w:pPr>
      <w:r>
        <w:rPr>
          <w:w w:val="105"/>
          <w:sz w:val="21"/>
        </w:rPr>
        <w:t>This project responds </w:t>
      </w:r>
      <w:r>
        <w:rPr>
          <w:spacing w:val="-3"/>
          <w:w w:val="105"/>
          <w:sz w:val="21"/>
        </w:rPr>
        <w:t>to enquiries </w:t>
      </w:r>
      <w:r>
        <w:rPr>
          <w:w w:val="105"/>
          <w:sz w:val="21"/>
        </w:rPr>
        <w:t>and suggestions </w:t>
      </w:r>
      <w:r>
        <w:rPr>
          <w:spacing w:val="-3"/>
          <w:w w:val="105"/>
          <w:sz w:val="21"/>
        </w:rPr>
        <w:t>from </w:t>
      </w:r>
      <w:r>
        <w:rPr>
          <w:w w:val="105"/>
          <w:sz w:val="21"/>
        </w:rPr>
        <w:t>the </w:t>
      </w:r>
      <w:r>
        <w:rPr>
          <w:spacing w:val="-5"/>
          <w:w w:val="105"/>
          <w:sz w:val="21"/>
        </w:rPr>
        <w:t>community.</w:t>
      </w:r>
      <w:r>
        <w:rPr>
          <w:spacing w:val="-5"/>
          <w:w w:val="105"/>
          <w:position w:val="7"/>
          <w:sz w:val="12"/>
        </w:rPr>
        <w:t>1 </w:t>
      </w:r>
      <w:r>
        <w:rPr>
          <w:w w:val="105"/>
          <w:sz w:val="21"/>
        </w:rPr>
        <w:t>The </w:t>
      </w:r>
      <w:r>
        <w:rPr>
          <w:spacing w:val="-3"/>
          <w:w w:val="105"/>
          <w:sz w:val="21"/>
        </w:rPr>
        <w:t>Commission </w:t>
      </w:r>
      <w:r>
        <w:rPr>
          <w:w w:val="105"/>
          <w:sz w:val="21"/>
        </w:rPr>
        <w:t>was told </w:t>
      </w:r>
      <w:r>
        <w:rPr>
          <w:spacing w:val="-3"/>
          <w:w w:val="105"/>
          <w:sz w:val="21"/>
        </w:rPr>
        <w:t>that </w:t>
      </w:r>
      <w:r>
        <w:rPr>
          <w:w w:val="105"/>
          <w:sz w:val="21"/>
        </w:rPr>
        <w:t>it is </w:t>
      </w:r>
      <w:r>
        <w:rPr>
          <w:spacing w:val="-2"/>
          <w:w w:val="105"/>
          <w:sz w:val="21"/>
        </w:rPr>
        <w:t>common </w:t>
      </w:r>
      <w:r>
        <w:rPr>
          <w:spacing w:val="-3"/>
          <w:w w:val="105"/>
          <w:sz w:val="21"/>
        </w:rPr>
        <w:t>for </w:t>
      </w:r>
      <w:r>
        <w:rPr>
          <w:w w:val="105"/>
          <w:sz w:val="21"/>
        </w:rPr>
        <w:t>tree </w:t>
      </w:r>
      <w:r>
        <w:rPr>
          <w:spacing w:val="-3"/>
          <w:w w:val="105"/>
          <w:sz w:val="21"/>
        </w:rPr>
        <w:t>disputes to </w:t>
      </w:r>
      <w:r>
        <w:rPr>
          <w:w w:val="105"/>
          <w:sz w:val="21"/>
        </w:rPr>
        <w:t>arise about </w:t>
      </w:r>
      <w:r>
        <w:rPr>
          <w:spacing w:val="-3"/>
          <w:w w:val="105"/>
          <w:sz w:val="21"/>
        </w:rPr>
        <w:t>encroaching </w:t>
      </w:r>
      <w:r>
        <w:rPr>
          <w:w w:val="105"/>
          <w:sz w:val="21"/>
        </w:rPr>
        <w:t>roots, </w:t>
      </w:r>
      <w:r>
        <w:rPr>
          <w:spacing w:val="-3"/>
          <w:w w:val="105"/>
          <w:sz w:val="21"/>
        </w:rPr>
        <w:t>overhanging branches, </w:t>
      </w:r>
      <w:r>
        <w:rPr>
          <w:w w:val="105"/>
          <w:sz w:val="21"/>
        </w:rPr>
        <w:t>leaf litter and </w:t>
      </w:r>
      <w:r>
        <w:rPr>
          <w:spacing w:val="-3"/>
          <w:w w:val="105"/>
          <w:sz w:val="21"/>
        </w:rPr>
        <w:t>concerns </w:t>
      </w:r>
      <w:r>
        <w:rPr>
          <w:w w:val="105"/>
          <w:sz w:val="21"/>
        </w:rPr>
        <w:t>about trees </w:t>
      </w:r>
      <w:r>
        <w:rPr>
          <w:spacing w:val="-3"/>
          <w:w w:val="105"/>
          <w:sz w:val="21"/>
        </w:rPr>
        <w:t>causing </w:t>
      </w:r>
      <w:r>
        <w:rPr>
          <w:w w:val="105"/>
          <w:sz w:val="21"/>
        </w:rPr>
        <w:t>damage </w:t>
      </w:r>
      <w:r>
        <w:rPr>
          <w:spacing w:val="-3"/>
          <w:w w:val="105"/>
          <w:sz w:val="21"/>
        </w:rPr>
        <w:t>to </w:t>
      </w:r>
      <w:r>
        <w:rPr>
          <w:w w:val="105"/>
          <w:sz w:val="21"/>
        </w:rPr>
        <w:t>property or </w:t>
      </w:r>
      <w:r>
        <w:rPr>
          <w:spacing w:val="-3"/>
          <w:w w:val="105"/>
          <w:sz w:val="21"/>
        </w:rPr>
        <w:t>harm to </w:t>
      </w:r>
      <w:r>
        <w:rPr>
          <w:w w:val="105"/>
          <w:sz w:val="21"/>
        </w:rPr>
        <w:t>people. Neighbourhood tree </w:t>
      </w:r>
      <w:r>
        <w:rPr>
          <w:spacing w:val="-3"/>
          <w:w w:val="105"/>
          <w:sz w:val="21"/>
        </w:rPr>
        <w:t>disputes </w:t>
      </w:r>
      <w:r>
        <w:rPr>
          <w:w w:val="105"/>
          <w:sz w:val="21"/>
        </w:rPr>
        <w:t>can </w:t>
      </w:r>
      <w:r>
        <w:rPr>
          <w:spacing w:val="-3"/>
          <w:w w:val="105"/>
          <w:sz w:val="21"/>
        </w:rPr>
        <w:t>create significant disharmony </w:t>
      </w:r>
      <w:r>
        <w:rPr>
          <w:w w:val="105"/>
          <w:sz w:val="21"/>
        </w:rPr>
        <w:t>between neighbours and can be difficult </w:t>
      </w:r>
      <w:r>
        <w:rPr>
          <w:spacing w:val="-3"/>
          <w:w w:val="105"/>
          <w:sz w:val="21"/>
        </w:rPr>
        <w:t>to resolve. Recouping </w:t>
      </w:r>
      <w:r>
        <w:rPr>
          <w:w w:val="105"/>
          <w:sz w:val="21"/>
        </w:rPr>
        <w:t>costs associated with tree works was also </w:t>
      </w:r>
      <w:r>
        <w:rPr>
          <w:spacing w:val="-2"/>
          <w:w w:val="105"/>
          <w:sz w:val="21"/>
        </w:rPr>
        <w:t>raised </w:t>
      </w:r>
      <w:r>
        <w:rPr>
          <w:w w:val="105"/>
          <w:sz w:val="21"/>
        </w:rPr>
        <w:t>as a difficult</w:t>
      </w:r>
      <w:r>
        <w:rPr>
          <w:spacing w:val="30"/>
          <w:w w:val="105"/>
          <w:sz w:val="21"/>
        </w:rPr>
        <w:t> </w:t>
      </w:r>
      <w:r>
        <w:rPr>
          <w:spacing w:val="-3"/>
          <w:w w:val="105"/>
          <w:sz w:val="21"/>
        </w:rPr>
        <w:t>issue.</w:t>
      </w:r>
    </w:p>
    <w:p>
      <w:pPr>
        <w:pStyle w:val="ListParagraph"/>
        <w:numPr>
          <w:ilvl w:val="1"/>
          <w:numId w:val="16"/>
        </w:numPr>
        <w:tabs>
          <w:tab w:pos="2380" w:val="left" w:leader="none"/>
          <w:tab w:pos="2381" w:val="left" w:leader="none"/>
        </w:tabs>
        <w:spacing w:line="242" w:lineRule="auto" w:before="127" w:after="0"/>
        <w:ind w:left="2380" w:right="2059" w:hanging="793"/>
        <w:jc w:val="left"/>
        <w:rPr>
          <w:sz w:val="21"/>
        </w:rPr>
      </w:pPr>
      <w:r>
        <w:rPr>
          <w:w w:val="105"/>
          <w:sz w:val="21"/>
        </w:rPr>
        <w:t>The </w:t>
      </w:r>
      <w:r>
        <w:rPr>
          <w:spacing w:val="-3"/>
          <w:w w:val="105"/>
          <w:sz w:val="21"/>
        </w:rPr>
        <w:t>Dispute </w:t>
      </w:r>
      <w:r>
        <w:rPr>
          <w:w w:val="105"/>
          <w:sz w:val="21"/>
        </w:rPr>
        <w:t>Settlement </w:t>
      </w:r>
      <w:r>
        <w:rPr>
          <w:spacing w:val="-4"/>
          <w:w w:val="105"/>
          <w:sz w:val="21"/>
        </w:rPr>
        <w:t>Centre </w:t>
      </w:r>
      <w:r>
        <w:rPr>
          <w:w w:val="105"/>
          <w:sz w:val="21"/>
        </w:rPr>
        <w:t>of Victoria (DSCV) offers a free statewide </w:t>
      </w:r>
      <w:r>
        <w:rPr>
          <w:spacing w:val="-3"/>
          <w:w w:val="105"/>
          <w:sz w:val="21"/>
        </w:rPr>
        <w:t>dispute </w:t>
      </w:r>
      <w:r>
        <w:rPr>
          <w:w w:val="105"/>
          <w:sz w:val="21"/>
        </w:rPr>
        <w:t>resolution service </w:t>
      </w:r>
      <w:r>
        <w:rPr>
          <w:spacing w:val="-3"/>
          <w:w w:val="105"/>
          <w:sz w:val="21"/>
        </w:rPr>
        <w:t>for </w:t>
      </w:r>
      <w:r>
        <w:rPr>
          <w:w w:val="105"/>
          <w:sz w:val="21"/>
        </w:rPr>
        <w:t>neighbourhood </w:t>
      </w:r>
      <w:r>
        <w:rPr>
          <w:spacing w:val="-3"/>
          <w:w w:val="105"/>
          <w:sz w:val="21"/>
        </w:rPr>
        <w:t>disputes </w:t>
      </w:r>
      <w:r>
        <w:rPr>
          <w:w w:val="105"/>
          <w:sz w:val="21"/>
        </w:rPr>
        <w:t>in Victoria </w:t>
      </w:r>
      <w:r>
        <w:rPr>
          <w:spacing w:val="-3"/>
          <w:w w:val="105"/>
          <w:sz w:val="21"/>
        </w:rPr>
        <w:t>that includes mediation. </w:t>
      </w:r>
      <w:r>
        <w:rPr>
          <w:spacing w:val="-4"/>
          <w:w w:val="105"/>
          <w:sz w:val="21"/>
        </w:rPr>
        <w:t>Concerns </w:t>
      </w:r>
      <w:r>
        <w:rPr>
          <w:w w:val="105"/>
          <w:sz w:val="21"/>
        </w:rPr>
        <w:t>about neighbourhood trees </w:t>
      </w:r>
      <w:r>
        <w:rPr>
          <w:spacing w:val="-3"/>
          <w:w w:val="105"/>
          <w:sz w:val="21"/>
        </w:rPr>
        <w:t>were </w:t>
      </w:r>
      <w:r>
        <w:rPr>
          <w:w w:val="105"/>
          <w:sz w:val="21"/>
        </w:rPr>
        <w:t>the </w:t>
      </w:r>
      <w:r>
        <w:rPr>
          <w:spacing w:val="-3"/>
          <w:w w:val="105"/>
          <w:sz w:val="21"/>
        </w:rPr>
        <w:t>third </w:t>
      </w:r>
      <w:r>
        <w:rPr>
          <w:w w:val="105"/>
          <w:sz w:val="21"/>
        </w:rPr>
        <w:t>most </w:t>
      </w:r>
      <w:r>
        <w:rPr>
          <w:spacing w:val="-2"/>
          <w:w w:val="105"/>
          <w:sz w:val="21"/>
        </w:rPr>
        <w:t>common </w:t>
      </w:r>
      <w:r>
        <w:rPr>
          <w:w w:val="105"/>
          <w:sz w:val="21"/>
        </w:rPr>
        <w:t>enquiry </w:t>
      </w:r>
      <w:r>
        <w:rPr>
          <w:spacing w:val="-3"/>
          <w:w w:val="105"/>
          <w:sz w:val="21"/>
        </w:rPr>
        <w:t>to </w:t>
      </w:r>
      <w:r>
        <w:rPr>
          <w:w w:val="105"/>
          <w:sz w:val="21"/>
        </w:rPr>
        <w:t>DSCV </w:t>
      </w:r>
      <w:r>
        <w:rPr>
          <w:spacing w:val="-3"/>
          <w:w w:val="105"/>
          <w:sz w:val="21"/>
        </w:rPr>
        <w:t>from </w:t>
      </w:r>
      <w:r>
        <w:rPr>
          <w:w w:val="105"/>
          <w:sz w:val="21"/>
        </w:rPr>
        <w:t>December </w:t>
      </w:r>
      <w:r>
        <w:rPr>
          <w:spacing w:val="-10"/>
          <w:w w:val="105"/>
          <w:sz w:val="21"/>
        </w:rPr>
        <w:t>2011 </w:t>
      </w:r>
      <w:r>
        <w:rPr>
          <w:spacing w:val="-3"/>
          <w:w w:val="105"/>
          <w:sz w:val="21"/>
        </w:rPr>
        <w:t>to </w:t>
      </w:r>
      <w:r>
        <w:rPr>
          <w:spacing w:val="-2"/>
          <w:w w:val="105"/>
          <w:sz w:val="21"/>
        </w:rPr>
        <w:t>May </w:t>
      </w:r>
      <w:r>
        <w:rPr>
          <w:spacing w:val="-10"/>
          <w:w w:val="105"/>
          <w:sz w:val="21"/>
        </w:rPr>
        <w:t>2017.</w:t>
      </w:r>
      <w:r>
        <w:rPr>
          <w:spacing w:val="-10"/>
          <w:w w:val="105"/>
          <w:position w:val="7"/>
          <w:sz w:val="12"/>
        </w:rPr>
        <w:t>2 </w:t>
      </w:r>
      <w:r>
        <w:rPr>
          <w:w w:val="105"/>
          <w:sz w:val="21"/>
        </w:rPr>
        <w:t>DSCV suggested </w:t>
      </w:r>
      <w:r>
        <w:rPr>
          <w:spacing w:val="-3"/>
          <w:w w:val="105"/>
          <w:sz w:val="21"/>
        </w:rPr>
        <w:t>that </w:t>
      </w:r>
      <w:r>
        <w:rPr>
          <w:w w:val="105"/>
          <w:sz w:val="21"/>
        </w:rPr>
        <w:t>the community </w:t>
      </w:r>
      <w:r>
        <w:rPr>
          <w:spacing w:val="-3"/>
          <w:w w:val="105"/>
          <w:sz w:val="21"/>
        </w:rPr>
        <w:t>found </w:t>
      </w:r>
      <w:r>
        <w:rPr>
          <w:w w:val="105"/>
          <w:sz w:val="21"/>
        </w:rPr>
        <w:t>the existing </w:t>
      </w:r>
      <w:r>
        <w:rPr>
          <w:spacing w:val="-2"/>
          <w:w w:val="105"/>
          <w:sz w:val="21"/>
        </w:rPr>
        <w:t>common </w:t>
      </w:r>
      <w:r>
        <w:rPr>
          <w:w w:val="105"/>
          <w:sz w:val="21"/>
        </w:rPr>
        <w:t>law remedies </w:t>
      </w:r>
      <w:r>
        <w:rPr>
          <w:spacing w:val="-3"/>
          <w:w w:val="105"/>
          <w:sz w:val="21"/>
        </w:rPr>
        <w:t>hard to </w:t>
      </w:r>
      <w:r>
        <w:rPr>
          <w:spacing w:val="-2"/>
          <w:w w:val="105"/>
          <w:sz w:val="21"/>
        </w:rPr>
        <w:t>access </w:t>
      </w:r>
      <w:r>
        <w:rPr>
          <w:w w:val="105"/>
          <w:sz w:val="21"/>
        </w:rPr>
        <w:t>and</w:t>
      </w:r>
      <w:r>
        <w:rPr>
          <w:spacing w:val="42"/>
          <w:w w:val="105"/>
          <w:sz w:val="21"/>
        </w:rPr>
        <w:t> </w:t>
      </w:r>
      <w:r>
        <w:rPr>
          <w:spacing w:val="-4"/>
          <w:w w:val="105"/>
          <w:sz w:val="21"/>
        </w:rPr>
        <w:t>confusing.</w:t>
      </w:r>
      <w:r>
        <w:rPr>
          <w:spacing w:val="-4"/>
          <w:w w:val="105"/>
          <w:position w:val="7"/>
          <w:sz w:val="12"/>
        </w:rPr>
        <w:t>3</w:t>
      </w:r>
    </w:p>
    <w:p>
      <w:pPr>
        <w:pStyle w:val="BodyText"/>
        <w:spacing w:before="11"/>
        <w:rPr>
          <w:sz w:val="17"/>
        </w:rPr>
      </w:pPr>
      <w:r>
        <w:rPr/>
        <w:pict>
          <v:line style="position:absolute;mso-position-horizontal-relative:page;mso-position-vertical-relative:paragraph;z-index:-592;mso-wrap-distance-left:0;mso-wrap-distance-right:0" from="79.370102pt,13.409454pt" to="515.905102pt,13.409454pt" stroked="true" strokeweight="1pt" strokecolor="#c9d2cb">
            <v:stroke dashstyle="solid"/>
            <w10:wrap type="topAndBottom"/>
          </v:line>
        </w:pict>
      </w:r>
    </w:p>
    <w:p>
      <w:pPr>
        <w:pStyle w:val="ListParagraph"/>
        <w:numPr>
          <w:ilvl w:val="0"/>
          <w:numId w:val="17"/>
        </w:numPr>
        <w:tabs>
          <w:tab w:pos="2380" w:val="left" w:leader="none"/>
          <w:tab w:pos="2382" w:val="left" w:leader="none"/>
        </w:tabs>
        <w:spacing w:line="240" w:lineRule="auto" w:before="117" w:after="0"/>
        <w:ind w:left="2381" w:right="0" w:hanging="794"/>
        <w:jc w:val="left"/>
        <w:rPr>
          <w:sz w:val="13"/>
        </w:rPr>
      </w:pPr>
      <w:r>
        <w:rPr>
          <w:w w:val="105"/>
          <w:sz w:val="13"/>
        </w:rPr>
        <w:t>The</w:t>
      </w:r>
      <w:r>
        <w:rPr>
          <w:spacing w:val="4"/>
          <w:w w:val="105"/>
          <w:sz w:val="13"/>
        </w:rPr>
        <w:t> </w:t>
      </w:r>
      <w:r>
        <w:rPr>
          <w:w w:val="105"/>
          <w:sz w:val="13"/>
        </w:rPr>
        <w:t>Commission</w:t>
      </w:r>
      <w:r>
        <w:rPr>
          <w:spacing w:val="5"/>
          <w:w w:val="105"/>
          <w:sz w:val="13"/>
        </w:rPr>
        <w:t> </w:t>
      </w:r>
      <w:r>
        <w:rPr>
          <w:w w:val="105"/>
          <w:sz w:val="13"/>
        </w:rPr>
        <w:t>received</w:t>
      </w:r>
      <w:r>
        <w:rPr>
          <w:spacing w:val="4"/>
          <w:w w:val="105"/>
          <w:sz w:val="13"/>
        </w:rPr>
        <w:t> </w:t>
      </w:r>
      <w:r>
        <w:rPr>
          <w:w w:val="105"/>
          <w:sz w:val="13"/>
        </w:rPr>
        <w:t>five</w:t>
      </w:r>
      <w:r>
        <w:rPr>
          <w:spacing w:val="5"/>
          <w:w w:val="105"/>
          <w:sz w:val="13"/>
        </w:rPr>
        <w:t> </w:t>
      </w:r>
      <w:r>
        <w:rPr>
          <w:w w:val="105"/>
          <w:sz w:val="13"/>
        </w:rPr>
        <w:t>enquiries</w:t>
      </w:r>
      <w:r>
        <w:rPr>
          <w:spacing w:val="4"/>
          <w:w w:val="105"/>
          <w:sz w:val="13"/>
        </w:rPr>
        <w:t> </w:t>
      </w:r>
      <w:r>
        <w:rPr>
          <w:w w:val="105"/>
          <w:sz w:val="13"/>
        </w:rPr>
        <w:t>on</w:t>
      </w:r>
      <w:r>
        <w:rPr>
          <w:spacing w:val="5"/>
          <w:w w:val="105"/>
          <w:sz w:val="13"/>
        </w:rPr>
        <w:t> </w:t>
      </w:r>
      <w:r>
        <w:rPr>
          <w:w w:val="105"/>
          <w:sz w:val="13"/>
        </w:rPr>
        <w:t>this</w:t>
      </w:r>
      <w:r>
        <w:rPr>
          <w:spacing w:val="5"/>
          <w:w w:val="105"/>
          <w:sz w:val="13"/>
        </w:rPr>
        <w:t> </w:t>
      </w:r>
      <w:r>
        <w:rPr>
          <w:w w:val="105"/>
          <w:sz w:val="13"/>
        </w:rPr>
        <w:t>issue</w:t>
      </w:r>
      <w:r>
        <w:rPr>
          <w:spacing w:val="4"/>
          <w:w w:val="105"/>
          <w:sz w:val="13"/>
        </w:rPr>
        <w:t> </w:t>
      </w:r>
      <w:r>
        <w:rPr>
          <w:w w:val="105"/>
          <w:sz w:val="13"/>
        </w:rPr>
        <w:t>from</w:t>
      </w:r>
      <w:r>
        <w:rPr>
          <w:spacing w:val="5"/>
          <w:w w:val="105"/>
          <w:sz w:val="13"/>
        </w:rPr>
        <w:t> </w:t>
      </w:r>
      <w:r>
        <w:rPr>
          <w:w w:val="105"/>
          <w:sz w:val="13"/>
        </w:rPr>
        <w:t>2010–2016.</w:t>
      </w:r>
    </w:p>
    <w:p>
      <w:pPr>
        <w:pStyle w:val="ListParagraph"/>
        <w:numPr>
          <w:ilvl w:val="0"/>
          <w:numId w:val="17"/>
        </w:numPr>
        <w:tabs>
          <w:tab w:pos="2380" w:val="left" w:leader="none"/>
          <w:tab w:pos="2382" w:val="left" w:leader="none"/>
        </w:tabs>
        <w:spacing w:line="240" w:lineRule="auto" w:before="1" w:after="0"/>
        <w:ind w:left="2381" w:right="1599" w:hanging="794"/>
        <w:jc w:val="left"/>
        <w:rPr>
          <w:sz w:val="13"/>
        </w:rPr>
      </w:pPr>
      <w:r>
        <w:rPr/>
        <w:pict>
          <v:shape style="position:absolute;margin-left:36pt;margin-top:11.017764pt;width:6.7pt;height:14.25pt;mso-position-horizontal-relative:page;mso-position-vertical-relative:paragraph;z-index:1480" type="#_x0000_t202" filled="false" stroked="false">
            <v:textbox inset="0,0,0,0">
              <w:txbxContent>
                <w:p>
                  <w:pPr>
                    <w:spacing w:line="284" w:lineRule="exact" w:before="0"/>
                    <w:ind w:left="0" w:right="0" w:firstLine="0"/>
                    <w:jc w:val="left"/>
                    <w:rPr>
                      <w:b/>
                      <w:sz w:val="24"/>
                    </w:rPr>
                  </w:pPr>
                  <w:r>
                    <w:rPr>
                      <w:b/>
                      <w:color w:val="658464"/>
                      <w:w w:val="109"/>
                      <w:sz w:val="24"/>
                    </w:rPr>
                    <w:t>2</w:t>
                  </w:r>
                </w:p>
              </w:txbxContent>
            </v:textbox>
            <w10:wrap type="none"/>
          </v:shape>
        </w:pict>
      </w:r>
      <w:r>
        <w:rPr>
          <w:w w:val="105"/>
          <w:sz w:val="13"/>
        </w:rPr>
        <w:t>Information provided by the Dispute Settlement Centre of Victoria </w:t>
      </w:r>
      <w:r>
        <w:rPr>
          <w:spacing w:val="3"/>
          <w:w w:val="105"/>
          <w:sz w:val="13"/>
        </w:rPr>
        <w:t>(DSCV) </w:t>
      </w:r>
      <w:r>
        <w:rPr>
          <w:w w:val="105"/>
          <w:sz w:val="13"/>
        </w:rPr>
        <w:t>as part of a data request from the Commission, August </w:t>
      </w:r>
      <w:r>
        <w:rPr>
          <w:spacing w:val="-3"/>
          <w:w w:val="105"/>
          <w:sz w:val="13"/>
        </w:rPr>
        <w:t>2017 </w:t>
      </w:r>
      <w:r>
        <w:rPr>
          <w:w w:val="105"/>
          <w:sz w:val="13"/>
        </w:rPr>
        <w:t>and clarification</w:t>
      </w:r>
      <w:r>
        <w:rPr>
          <w:spacing w:val="4"/>
          <w:w w:val="105"/>
          <w:sz w:val="13"/>
        </w:rPr>
        <w:t> </w:t>
      </w:r>
      <w:r>
        <w:rPr>
          <w:w w:val="105"/>
          <w:sz w:val="13"/>
        </w:rPr>
        <w:t>of</w:t>
      </w:r>
      <w:r>
        <w:rPr>
          <w:spacing w:val="5"/>
          <w:w w:val="105"/>
          <w:sz w:val="13"/>
        </w:rPr>
        <w:t> </w:t>
      </w:r>
      <w:r>
        <w:rPr>
          <w:w w:val="105"/>
          <w:sz w:val="13"/>
        </w:rPr>
        <w:t>data</w:t>
      </w:r>
      <w:r>
        <w:rPr>
          <w:spacing w:val="4"/>
          <w:w w:val="105"/>
          <w:sz w:val="13"/>
        </w:rPr>
        <w:t> </w:t>
      </w:r>
      <w:r>
        <w:rPr>
          <w:w w:val="105"/>
          <w:sz w:val="13"/>
        </w:rPr>
        <w:t>provided</w:t>
      </w:r>
      <w:r>
        <w:rPr>
          <w:spacing w:val="5"/>
          <w:w w:val="105"/>
          <w:sz w:val="13"/>
        </w:rPr>
        <w:t> </w:t>
      </w:r>
      <w:r>
        <w:rPr>
          <w:w w:val="105"/>
          <w:sz w:val="13"/>
        </w:rPr>
        <w:t>in</w:t>
      </w:r>
      <w:r>
        <w:rPr>
          <w:spacing w:val="5"/>
          <w:w w:val="105"/>
          <w:sz w:val="13"/>
        </w:rPr>
        <w:t> </w:t>
      </w:r>
      <w:r>
        <w:rPr>
          <w:w w:val="105"/>
          <w:sz w:val="13"/>
        </w:rPr>
        <w:t>May</w:t>
      </w:r>
      <w:r>
        <w:rPr>
          <w:spacing w:val="4"/>
          <w:w w:val="105"/>
          <w:sz w:val="13"/>
        </w:rPr>
        <w:t> </w:t>
      </w:r>
      <w:r>
        <w:rPr>
          <w:w w:val="105"/>
          <w:sz w:val="13"/>
        </w:rPr>
        <w:t>2019.</w:t>
      </w:r>
      <w:r>
        <w:rPr>
          <w:spacing w:val="5"/>
          <w:w w:val="105"/>
          <w:sz w:val="13"/>
        </w:rPr>
        <w:t> </w:t>
      </w:r>
      <w:r>
        <w:rPr>
          <w:w w:val="105"/>
          <w:sz w:val="13"/>
        </w:rPr>
        <w:t>This</w:t>
      </w:r>
      <w:r>
        <w:rPr>
          <w:spacing w:val="5"/>
          <w:w w:val="105"/>
          <w:sz w:val="13"/>
        </w:rPr>
        <w:t> </w:t>
      </w:r>
      <w:r>
        <w:rPr>
          <w:w w:val="105"/>
          <w:sz w:val="13"/>
        </w:rPr>
        <w:t>is</w:t>
      </w:r>
      <w:r>
        <w:rPr>
          <w:spacing w:val="4"/>
          <w:w w:val="105"/>
          <w:sz w:val="13"/>
        </w:rPr>
        <w:t> </w:t>
      </w:r>
      <w:r>
        <w:rPr>
          <w:w w:val="105"/>
          <w:sz w:val="13"/>
        </w:rPr>
        <w:t>discussed</w:t>
      </w:r>
      <w:r>
        <w:rPr>
          <w:spacing w:val="5"/>
          <w:w w:val="105"/>
          <w:sz w:val="13"/>
        </w:rPr>
        <w:t> </w:t>
      </w:r>
      <w:r>
        <w:rPr>
          <w:w w:val="105"/>
          <w:sz w:val="13"/>
        </w:rPr>
        <w:t>in</w:t>
      </w:r>
      <w:r>
        <w:rPr>
          <w:spacing w:val="5"/>
          <w:w w:val="105"/>
          <w:sz w:val="13"/>
        </w:rPr>
        <w:t> </w:t>
      </w:r>
      <w:r>
        <w:rPr>
          <w:w w:val="105"/>
          <w:sz w:val="13"/>
        </w:rPr>
        <w:t>Ch</w:t>
      </w:r>
      <w:r>
        <w:rPr>
          <w:spacing w:val="4"/>
          <w:w w:val="105"/>
          <w:sz w:val="13"/>
        </w:rPr>
        <w:t> </w:t>
      </w:r>
      <w:r>
        <w:rPr>
          <w:w w:val="105"/>
          <w:sz w:val="13"/>
        </w:rPr>
        <w:t>2.</w:t>
      </w:r>
    </w:p>
    <w:p>
      <w:pPr>
        <w:pStyle w:val="ListParagraph"/>
        <w:numPr>
          <w:ilvl w:val="0"/>
          <w:numId w:val="17"/>
        </w:numPr>
        <w:tabs>
          <w:tab w:pos="2380" w:val="left" w:leader="none"/>
          <w:tab w:pos="2382" w:val="left" w:leader="none"/>
        </w:tabs>
        <w:spacing w:line="240" w:lineRule="auto" w:before="3" w:after="0"/>
        <w:ind w:left="2381" w:right="0" w:hanging="794"/>
        <w:jc w:val="left"/>
        <w:rPr>
          <w:sz w:val="13"/>
        </w:rPr>
      </w:pPr>
      <w:r>
        <w:rPr>
          <w:w w:val="105"/>
          <w:sz w:val="13"/>
        </w:rPr>
        <w:t>Information</w:t>
      </w:r>
      <w:r>
        <w:rPr>
          <w:spacing w:val="5"/>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DSCV</w:t>
      </w:r>
      <w:r>
        <w:rPr>
          <w:spacing w:val="5"/>
          <w:w w:val="105"/>
          <w:sz w:val="13"/>
        </w:rPr>
        <w:t> </w:t>
      </w:r>
      <w:r>
        <w:rPr>
          <w:w w:val="105"/>
          <w:sz w:val="13"/>
        </w:rPr>
        <w:t>as</w:t>
      </w:r>
      <w:r>
        <w:rPr>
          <w:spacing w:val="5"/>
          <w:w w:val="105"/>
          <w:sz w:val="13"/>
        </w:rPr>
        <w:t> </w:t>
      </w:r>
      <w:r>
        <w:rPr>
          <w:w w:val="105"/>
          <w:sz w:val="13"/>
        </w:rPr>
        <w:t>part</w:t>
      </w:r>
      <w:r>
        <w:rPr>
          <w:spacing w:val="5"/>
          <w:w w:val="105"/>
          <w:sz w:val="13"/>
        </w:rPr>
        <w:t> </w:t>
      </w:r>
      <w:r>
        <w:rPr>
          <w:w w:val="105"/>
          <w:sz w:val="13"/>
        </w:rPr>
        <w:t>of</w:t>
      </w:r>
      <w:r>
        <w:rPr>
          <w:spacing w:val="5"/>
          <w:w w:val="105"/>
          <w:sz w:val="13"/>
        </w:rPr>
        <w:t> </w:t>
      </w:r>
      <w:r>
        <w:rPr>
          <w:w w:val="105"/>
          <w:sz w:val="13"/>
        </w:rPr>
        <w:t>a</w:t>
      </w:r>
      <w:r>
        <w:rPr>
          <w:spacing w:val="5"/>
          <w:w w:val="105"/>
          <w:sz w:val="13"/>
        </w:rPr>
        <w:t> </w:t>
      </w:r>
      <w:r>
        <w:rPr>
          <w:w w:val="105"/>
          <w:sz w:val="13"/>
        </w:rPr>
        <w:t>data</w:t>
      </w:r>
      <w:r>
        <w:rPr>
          <w:spacing w:val="5"/>
          <w:w w:val="105"/>
          <w:sz w:val="13"/>
        </w:rPr>
        <w:t> </w:t>
      </w:r>
      <w:r>
        <w:rPr>
          <w:w w:val="105"/>
          <w:sz w:val="13"/>
        </w:rPr>
        <w:t>request</w:t>
      </w:r>
      <w:r>
        <w:rPr>
          <w:spacing w:val="5"/>
          <w:w w:val="105"/>
          <w:sz w:val="13"/>
        </w:rPr>
        <w:t> </w:t>
      </w:r>
      <w:r>
        <w:rPr>
          <w:w w:val="105"/>
          <w:sz w:val="13"/>
        </w:rPr>
        <w:t>from</w:t>
      </w:r>
      <w:r>
        <w:rPr>
          <w:spacing w:val="5"/>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August</w:t>
      </w:r>
      <w:r>
        <w:rPr>
          <w:spacing w:val="6"/>
          <w:w w:val="105"/>
          <w:sz w:val="13"/>
        </w:rPr>
        <w:t> </w:t>
      </w:r>
      <w:r>
        <w:rPr>
          <w:spacing w:val="-5"/>
          <w:w w:val="105"/>
          <w:sz w:val="13"/>
        </w:rPr>
        <w:t>2017.</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919" w:hanging="794"/>
        <w:jc w:val="left"/>
        <w:rPr>
          <w:sz w:val="21"/>
        </w:rPr>
      </w:pPr>
      <w:bookmarkStart w:name="The Commission’s process" w:id="22"/>
      <w:bookmarkEnd w:id="22"/>
      <w:r>
        <w:rPr/>
      </w:r>
      <w:bookmarkStart w:name="_bookmark6" w:id="23"/>
      <w:bookmarkEnd w:id="23"/>
      <w:r>
        <w:rPr/>
      </w:r>
      <w:bookmarkStart w:name="_bookmark6" w:id="24"/>
      <w:bookmarkEnd w:id="24"/>
      <w:r>
        <w:rPr>
          <w:w w:val="105"/>
          <w:sz w:val="21"/>
        </w:rPr>
        <w:t>G</w:t>
      </w:r>
      <w:r>
        <w:rPr>
          <w:w w:val="105"/>
          <w:sz w:val="21"/>
        </w:rPr>
        <w:t>iven the </w:t>
      </w:r>
      <w:r>
        <w:rPr>
          <w:spacing w:val="-2"/>
          <w:w w:val="105"/>
          <w:sz w:val="21"/>
        </w:rPr>
        <w:t>volume </w:t>
      </w:r>
      <w:r>
        <w:rPr>
          <w:w w:val="105"/>
          <w:sz w:val="21"/>
        </w:rPr>
        <w:t>and frequency of neighbourhood tree </w:t>
      </w:r>
      <w:r>
        <w:rPr>
          <w:spacing w:val="-3"/>
          <w:w w:val="105"/>
          <w:sz w:val="21"/>
        </w:rPr>
        <w:t>disputes, </w:t>
      </w:r>
      <w:r>
        <w:rPr>
          <w:w w:val="105"/>
          <w:sz w:val="21"/>
        </w:rPr>
        <w:t>the </w:t>
      </w:r>
      <w:r>
        <w:rPr>
          <w:spacing w:val="-3"/>
          <w:w w:val="105"/>
          <w:sz w:val="21"/>
        </w:rPr>
        <w:t>Commission determined</w:t>
      </w:r>
      <w:r>
        <w:rPr>
          <w:spacing w:val="-7"/>
          <w:w w:val="105"/>
          <w:sz w:val="21"/>
        </w:rPr>
        <w:t> </w:t>
      </w:r>
      <w:r>
        <w:rPr>
          <w:spacing w:val="-3"/>
          <w:w w:val="105"/>
          <w:sz w:val="21"/>
        </w:rPr>
        <w:t>that</w:t>
      </w:r>
      <w:r>
        <w:rPr>
          <w:spacing w:val="-7"/>
          <w:w w:val="105"/>
          <w:sz w:val="21"/>
        </w:rPr>
        <w:t> </w:t>
      </w:r>
      <w:r>
        <w:rPr>
          <w:w w:val="105"/>
          <w:sz w:val="21"/>
        </w:rPr>
        <w:t>a</w:t>
      </w:r>
      <w:r>
        <w:rPr>
          <w:spacing w:val="-7"/>
          <w:w w:val="105"/>
          <w:sz w:val="21"/>
        </w:rPr>
        <w:t> </w:t>
      </w:r>
      <w:r>
        <w:rPr>
          <w:w w:val="105"/>
          <w:sz w:val="21"/>
        </w:rPr>
        <w:t>review</w:t>
      </w:r>
      <w:r>
        <w:rPr>
          <w:spacing w:val="-7"/>
          <w:w w:val="105"/>
          <w:sz w:val="21"/>
        </w:rPr>
        <w:t> </w:t>
      </w:r>
      <w:r>
        <w:rPr>
          <w:w w:val="105"/>
          <w:sz w:val="21"/>
        </w:rPr>
        <w:t>of</w:t>
      </w:r>
      <w:r>
        <w:rPr>
          <w:spacing w:val="-7"/>
          <w:w w:val="105"/>
          <w:sz w:val="21"/>
        </w:rPr>
        <w:t> </w:t>
      </w:r>
      <w:r>
        <w:rPr>
          <w:w w:val="105"/>
          <w:sz w:val="21"/>
        </w:rPr>
        <w:t>the</w:t>
      </w:r>
      <w:r>
        <w:rPr>
          <w:spacing w:val="-7"/>
          <w:w w:val="105"/>
          <w:sz w:val="21"/>
        </w:rPr>
        <w:t> </w:t>
      </w:r>
      <w:r>
        <w:rPr>
          <w:spacing w:val="-3"/>
          <w:w w:val="105"/>
          <w:sz w:val="21"/>
        </w:rPr>
        <w:t>current</w:t>
      </w:r>
      <w:r>
        <w:rPr>
          <w:spacing w:val="-7"/>
          <w:w w:val="105"/>
          <w:sz w:val="21"/>
        </w:rPr>
        <w:t> </w:t>
      </w:r>
      <w:r>
        <w:rPr>
          <w:w w:val="105"/>
          <w:sz w:val="21"/>
        </w:rPr>
        <w:t>law</w:t>
      </w:r>
      <w:r>
        <w:rPr>
          <w:spacing w:val="-7"/>
          <w:w w:val="105"/>
          <w:sz w:val="21"/>
        </w:rPr>
        <w:t> </w:t>
      </w:r>
      <w:r>
        <w:rPr>
          <w:spacing w:val="-3"/>
          <w:w w:val="105"/>
          <w:sz w:val="21"/>
        </w:rPr>
        <w:t>governing</w:t>
      </w:r>
      <w:r>
        <w:rPr>
          <w:spacing w:val="-7"/>
          <w:w w:val="105"/>
          <w:sz w:val="21"/>
        </w:rPr>
        <w:t> </w:t>
      </w:r>
      <w:r>
        <w:rPr>
          <w:w w:val="105"/>
          <w:sz w:val="21"/>
        </w:rPr>
        <w:t>the</w:t>
      </w:r>
      <w:r>
        <w:rPr>
          <w:spacing w:val="-6"/>
          <w:w w:val="105"/>
          <w:sz w:val="21"/>
        </w:rPr>
        <w:t> </w:t>
      </w:r>
      <w:r>
        <w:rPr>
          <w:w w:val="105"/>
          <w:sz w:val="21"/>
        </w:rPr>
        <w:t>resolution</w:t>
      </w:r>
      <w:r>
        <w:rPr>
          <w:spacing w:val="-7"/>
          <w:w w:val="105"/>
          <w:sz w:val="21"/>
        </w:rPr>
        <w:t> </w:t>
      </w:r>
      <w:r>
        <w:rPr>
          <w:w w:val="105"/>
          <w:sz w:val="21"/>
        </w:rPr>
        <w:t>of</w:t>
      </w:r>
      <w:r>
        <w:rPr>
          <w:spacing w:val="-7"/>
          <w:w w:val="105"/>
          <w:sz w:val="21"/>
        </w:rPr>
        <w:t> </w:t>
      </w:r>
      <w:r>
        <w:rPr>
          <w:w w:val="105"/>
          <w:sz w:val="21"/>
        </w:rPr>
        <w:t>these</w:t>
      </w:r>
      <w:r>
        <w:rPr>
          <w:spacing w:val="-7"/>
          <w:w w:val="105"/>
          <w:sz w:val="21"/>
        </w:rPr>
        <w:t> </w:t>
      </w:r>
      <w:r>
        <w:rPr>
          <w:spacing w:val="-3"/>
          <w:w w:val="105"/>
          <w:sz w:val="21"/>
        </w:rPr>
        <w:t>disputes </w:t>
      </w:r>
      <w:r>
        <w:rPr>
          <w:w w:val="105"/>
          <w:sz w:val="21"/>
        </w:rPr>
        <w:t>was</w:t>
      </w:r>
      <w:r>
        <w:rPr>
          <w:spacing w:val="5"/>
          <w:w w:val="105"/>
          <w:sz w:val="21"/>
        </w:rPr>
        <w:t> </w:t>
      </w:r>
      <w:r>
        <w:rPr>
          <w:spacing w:val="-4"/>
          <w:w w:val="105"/>
          <w:sz w:val="21"/>
        </w:rPr>
        <w:t>timely.</w:t>
      </w:r>
    </w:p>
    <w:p>
      <w:pPr>
        <w:pStyle w:val="ListParagraph"/>
        <w:numPr>
          <w:ilvl w:val="1"/>
          <w:numId w:val="16"/>
        </w:numPr>
        <w:tabs>
          <w:tab w:pos="2380" w:val="left" w:leader="none"/>
          <w:tab w:pos="2381" w:val="left" w:leader="none"/>
        </w:tabs>
        <w:spacing w:line="242" w:lineRule="auto" w:before="124" w:after="0"/>
        <w:ind w:left="2381" w:right="1777" w:hanging="794"/>
        <w:jc w:val="left"/>
        <w:rPr>
          <w:sz w:val="21"/>
        </w:rPr>
      </w:pPr>
      <w:r>
        <w:rPr>
          <w:w w:val="105"/>
          <w:sz w:val="21"/>
        </w:rPr>
        <w:t>In June </w:t>
      </w:r>
      <w:r>
        <w:rPr>
          <w:spacing w:val="-9"/>
          <w:w w:val="105"/>
          <w:sz w:val="21"/>
        </w:rPr>
        <w:t>2017 </w:t>
      </w:r>
      <w:r>
        <w:rPr>
          <w:w w:val="105"/>
          <w:sz w:val="21"/>
        </w:rPr>
        <w:t>the </w:t>
      </w:r>
      <w:r>
        <w:rPr>
          <w:spacing w:val="-3"/>
          <w:w w:val="105"/>
          <w:sz w:val="21"/>
        </w:rPr>
        <w:t>Commission initiated </w:t>
      </w:r>
      <w:r>
        <w:rPr>
          <w:w w:val="105"/>
          <w:sz w:val="21"/>
        </w:rPr>
        <w:t>the Neighbourhood </w:t>
      </w:r>
      <w:r>
        <w:rPr>
          <w:spacing w:val="-5"/>
          <w:w w:val="105"/>
          <w:sz w:val="21"/>
        </w:rPr>
        <w:t>Tree </w:t>
      </w:r>
      <w:r>
        <w:rPr>
          <w:spacing w:val="-3"/>
          <w:w w:val="105"/>
          <w:sz w:val="21"/>
        </w:rPr>
        <w:t>Disputes </w:t>
      </w:r>
      <w:r>
        <w:rPr>
          <w:spacing w:val="-4"/>
          <w:w w:val="105"/>
          <w:sz w:val="21"/>
        </w:rPr>
        <w:t>inquiry. </w:t>
      </w:r>
      <w:r>
        <w:rPr>
          <w:spacing w:val="-7"/>
          <w:w w:val="105"/>
          <w:sz w:val="21"/>
        </w:rPr>
        <w:t>To </w:t>
      </w:r>
      <w:r>
        <w:rPr>
          <w:w w:val="105"/>
          <w:sz w:val="21"/>
        </w:rPr>
        <w:t>confine</w:t>
      </w:r>
      <w:r>
        <w:rPr>
          <w:spacing w:val="-9"/>
          <w:w w:val="105"/>
          <w:sz w:val="21"/>
        </w:rPr>
        <w:t> </w:t>
      </w:r>
      <w:r>
        <w:rPr>
          <w:w w:val="105"/>
          <w:sz w:val="21"/>
        </w:rPr>
        <w:t>the</w:t>
      </w:r>
      <w:r>
        <w:rPr>
          <w:spacing w:val="-9"/>
          <w:w w:val="105"/>
          <w:sz w:val="21"/>
        </w:rPr>
        <w:t> </w:t>
      </w:r>
      <w:r>
        <w:rPr>
          <w:w w:val="105"/>
          <w:sz w:val="21"/>
        </w:rPr>
        <w:t>project</w:t>
      </w:r>
      <w:r>
        <w:rPr>
          <w:spacing w:val="-9"/>
          <w:w w:val="105"/>
          <w:sz w:val="21"/>
        </w:rPr>
        <w:t> </w:t>
      </w:r>
      <w:r>
        <w:rPr>
          <w:spacing w:val="-3"/>
          <w:w w:val="105"/>
          <w:sz w:val="21"/>
        </w:rPr>
        <w:t>within</w:t>
      </w:r>
      <w:r>
        <w:rPr>
          <w:spacing w:val="-9"/>
          <w:w w:val="105"/>
          <w:sz w:val="21"/>
        </w:rPr>
        <w:t> </w:t>
      </w:r>
      <w:r>
        <w:rPr>
          <w:w w:val="105"/>
          <w:sz w:val="21"/>
        </w:rPr>
        <w:t>the</w:t>
      </w:r>
      <w:r>
        <w:rPr>
          <w:spacing w:val="-9"/>
          <w:w w:val="105"/>
          <w:sz w:val="21"/>
        </w:rPr>
        <w:t> </w:t>
      </w:r>
      <w:r>
        <w:rPr>
          <w:spacing w:val="-3"/>
          <w:w w:val="105"/>
          <w:sz w:val="21"/>
        </w:rPr>
        <w:t>parameters</w:t>
      </w:r>
      <w:r>
        <w:rPr>
          <w:spacing w:val="-9"/>
          <w:w w:val="105"/>
          <w:sz w:val="21"/>
        </w:rPr>
        <w:t> </w:t>
      </w:r>
      <w:r>
        <w:rPr>
          <w:w w:val="105"/>
          <w:sz w:val="21"/>
        </w:rPr>
        <w:t>of</w:t>
      </w:r>
      <w:r>
        <w:rPr>
          <w:spacing w:val="-8"/>
          <w:w w:val="105"/>
          <w:sz w:val="21"/>
        </w:rPr>
        <w:t> </w:t>
      </w:r>
      <w:r>
        <w:rPr>
          <w:w w:val="105"/>
          <w:sz w:val="21"/>
        </w:rPr>
        <w:t>a</w:t>
      </w:r>
      <w:r>
        <w:rPr>
          <w:spacing w:val="-9"/>
          <w:w w:val="105"/>
          <w:sz w:val="21"/>
        </w:rPr>
        <w:t> </w:t>
      </w:r>
      <w:r>
        <w:rPr>
          <w:w w:val="105"/>
          <w:sz w:val="21"/>
        </w:rPr>
        <w:t>community</w:t>
      </w:r>
      <w:r>
        <w:rPr>
          <w:spacing w:val="-9"/>
          <w:w w:val="105"/>
          <w:sz w:val="21"/>
        </w:rPr>
        <w:t> </w:t>
      </w:r>
      <w:r>
        <w:rPr>
          <w:w w:val="105"/>
          <w:sz w:val="21"/>
        </w:rPr>
        <w:t>law</w:t>
      </w:r>
      <w:r>
        <w:rPr>
          <w:spacing w:val="-9"/>
          <w:w w:val="105"/>
          <w:sz w:val="21"/>
        </w:rPr>
        <w:t> </w:t>
      </w:r>
      <w:r>
        <w:rPr>
          <w:spacing w:val="-3"/>
          <w:w w:val="105"/>
          <w:sz w:val="21"/>
        </w:rPr>
        <w:t>reform</w:t>
      </w:r>
      <w:r>
        <w:rPr>
          <w:spacing w:val="-9"/>
          <w:w w:val="105"/>
          <w:sz w:val="21"/>
        </w:rPr>
        <w:t> </w:t>
      </w:r>
      <w:r>
        <w:rPr>
          <w:w w:val="105"/>
          <w:sz w:val="21"/>
        </w:rPr>
        <w:t>project,</w:t>
      </w:r>
      <w:r>
        <w:rPr>
          <w:spacing w:val="-9"/>
          <w:w w:val="105"/>
          <w:sz w:val="21"/>
        </w:rPr>
        <w:t> </w:t>
      </w:r>
      <w:r>
        <w:rPr>
          <w:w w:val="105"/>
          <w:sz w:val="21"/>
        </w:rPr>
        <w:t>the</w:t>
      </w:r>
      <w:r>
        <w:rPr>
          <w:spacing w:val="-8"/>
          <w:w w:val="105"/>
          <w:sz w:val="21"/>
        </w:rPr>
        <w:t> </w:t>
      </w:r>
      <w:r>
        <w:rPr>
          <w:spacing w:val="-3"/>
          <w:w w:val="105"/>
          <w:sz w:val="21"/>
        </w:rPr>
        <w:t>terms </w:t>
      </w:r>
      <w:r>
        <w:rPr>
          <w:w w:val="105"/>
          <w:sz w:val="21"/>
        </w:rPr>
        <w:t>of </w:t>
      </w:r>
      <w:r>
        <w:rPr>
          <w:spacing w:val="-3"/>
          <w:w w:val="105"/>
          <w:sz w:val="21"/>
        </w:rPr>
        <w:t>reference exclude consideration </w:t>
      </w:r>
      <w:r>
        <w:rPr>
          <w:w w:val="105"/>
          <w:sz w:val="21"/>
        </w:rPr>
        <w:t>of </w:t>
      </w:r>
      <w:r>
        <w:rPr>
          <w:spacing w:val="-3"/>
          <w:w w:val="105"/>
          <w:sz w:val="21"/>
        </w:rPr>
        <w:t>disputes </w:t>
      </w:r>
      <w:r>
        <w:rPr>
          <w:w w:val="105"/>
          <w:sz w:val="21"/>
        </w:rPr>
        <w:t>about trees on </w:t>
      </w:r>
      <w:r>
        <w:rPr>
          <w:spacing w:val="-3"/>
          <w:w w:val="105"/>
          <w:sz w:val="21"/>
        </w:rPr>
        <w:t>public land </w:t>
      </w:r>
      <w:r>
        <w:rPr>
          <w:w w:val="105"/>
          <w:sz w:val="21"/>
        </w:rPr>
        <w:t>or </w:t>
      </w:r>
      <w:r>
        <w:rPr>
          <w:spacing w:val="-3"/>
          <w:w w:val="105"/>
          <w:sz w:val="21"/>
        </w:rPr>
        <w:t>disputes </w:t>
      </w:r>
      <w:r>
        <w:rPr>
          <w:w w:val="105"/>
          <w:sz w:val="21"/>
        </w:rPr>
        <w:t>about trees </w:t>
      </w:r>
      <w:r>
        <w:rPr>
          <w:spacing w:val="-3"/>
          <w:w w:val="105"/>
          <w:sz w:val="21"/>
        </w:rPr>
        <w:t>that </w:t>
      </w:r>
      <w:r>
        <w:rPr>
          <w:w w:val="105"/>
          <w:sz w:val="21"/>
        </w:rPr>
        <w:t>block </w:t>
      </w:r>
      <w:r>
        <w:rPr>
          <w:spacing w:val="-4"/>
          <w:w w:val="105"/>
          <w:sz w:val="21"/>
        </w:rPr>
        <w:t>sunlight </w:t>
      </w:r>
      <w:r>
        <w:rPr>
          <w:w w:val="105"/>
          <w:sz w:val="21"/>
        </w:rPr>
        <w:t>and</w:t>
      </w:r>
      <w:r>
        <w:rPr>
          <w:spacing w:val="35"/>
          <w:w w:val="105"/>
          <w:sz w:val="21"/>
        </w:rPr>
        <w:t> </w:t>
      </w:r>
      <w:r>
        <w:rPr>
          <w:w w:val="105"/>
          <w:sz w:val="21"/>
        </w:rPr>
        <w:t>views.</w:t>
      </w:r>
    </w:p>
    <w:p>
      <w:pPr>
        <w:pStyle w:val="ListParagraph"/>
        <w:numPr>
          <w:ilvl w:val="1"/>
          <w:numId w:val="16"/>
        </w:numPr>
        <w:tabs>
          <w:tab w:pos="2380" w:val="left" w:leader="none"/>
          <w:tab w:pos="2381" w:val="left" w:leader="none"/>
        </w:tabs>
        <w:spacing w:line="242" w:lineRule="auto" w:before="124" w:after="0"/>
        <w:ind w:left="2380" w:right="1925" w:hanging="793"/>
        <w:jc w:val="left"/>
        <w:rPr>
          <w:sz w:val="21"/>
        </w:rPr>
      </w:pPr>
      <w:r>
        <w:rPr>
          <w:w w:val="105"/>
          <w:sz w:val="21"/>
        </w:rPr>
        <w:t>This inquiry </w:t>
      </w:r>
      <w:r>
        <w:rPr>
          <w:spacing w:val="-3"/>
          <w:w w:val="105"/>
          <w:sz w:val="21"/>
        </w:rPr>
        <w:t>remains </w:t>
      </w:r>
      <w:r>
        <w:rPr>
          <w:w w:val="105"/>
          <w:sz w:val="21"/>
        </w:rPr>
        <w:t>larger in scope </w:t>
      </w:r>
      <w:r>
        <w:rPr>
          <w:spacing w:val="-3"/>
          <w:w w:val="105"/>
          <w:sz w:val="21"/>
        </w:rPr>
        <w:t>than </w:t>
      </w:r>
      <w:r>
        <w:rPr>
          <w:w w:val="105"/>
          <w:sz w:val="21"/>
        </w:rPr>
        <w:t>most community law </w:t>
      </w:r>
      <w:r>
        <w:rPr>
          <w:spacing w:val="-3"/>
          <w:w w:val="105"/>
          <w:sz w:val="21"/>
        </w:rPr>
        <w:t>reform </w:t>
      </w:r>
      <w:r>
        <w:rPr>
          <w:w w:val="105"/>
          <w:sz w:val="21"/>
        </w:rPr>
        <w:t>projects. This is because</w:t>
      </w:r>
      <w:r>
        <w:rPr>
          <w:spacing w:val="-8"/>
          <w:w w:val="105"/>
          <w:sz w:val="21"/>
        </w:rPr>
        <w:t> </w:t>
      </w:r>
      <w:r>
        <w:rPr>
          <w:w w:val="105"/>
          <w:sz w:val="21"/>
        </w:rPr>
        <w:t>even</w:t>
      </w:r>
      <w:r>
        <w:rPr>
          <w:spacing w:val="-7"/>
          <w:w w:val="105"/>
          <w:sz w:val="21"/>
        </w:rPr>
        <w:t> </w:t>
      </w:r>
      <w:r>
        <w:rPr>
          <w:w w:val="105"/>
          <w:sz w:val="21"/>
        </w:rPr>
        <w:t>a</w:t>
      </w:r>
      <w:r>
        <w:rPr>
          <w:spacing w:val="-7"/>
          <w:w w:val="105"/>
          <w:sz w:val="21"/>
        </w:rPr>
        <w:t> </w:t>
      </w:r>
      <w:r>
        <w:rPr>
          <w:spacing w:val="-3"/>
          <w:w w:val="105"/>
          <w:sz w:val="21"/>
        </w:rPr>
        <w:t>small</w:t>
      </w:r>
      <w:r>
        <w:rPr>
          <w:spacing w:val="-8"/>
          <w:w w:val="105"/>
          <w:sz w:val="21"/>
        </w:rPr>
        <w:t> </w:t>
      </w:r>
      <w:r>
        <w:rPr>
          <w:w w:val="105"/>
          <w:sz w:val="21"/>
        </w:rPr>
        <w:t>neighbourhood</w:t>
      </w:r>
      <w:r>
        <w:rPr>
          <w:spacing w:val="-7"/>
          <w:w w:val="105"/>
          <w:sz w:val="21"/>
        </w:rPr>
        <w:t> </w:t>
      </w:r>
      <w:r>
        <w:rPr>
          <w:w w:val="105"/>
          <w:sz w:val="21"/>
        </w:rPr>
        <w:t>tree</w:t>
      </w:r>
      <w:r>
        <w:rPr>
          <w:spacing w:val="-7"/>
          <w:w w:val="105"/>
          <w:sz w:val="21"/>
        </w:rPr>
        <w:t> </w:t>
      </w:r>
      <w:r>
        <w:rPr>
          <w:spacing w:val="-3"/>
          <w:w w:val="105"/>
          <w:sz w:val="21"/>
        </w:rPr>
        <w:t>dispute</w:t>
      </w:r>
      <w:r>
        <w:rPr>
          <w:spacing w:val="-7"/>
          <w:w w:val="105"/>
          <w:sz w:val="21"/>
        </w:rPr>
        <w:t> </w:t>
      </w:r>
      <w:r>
        <w:rPr>
          <w:w w:val="105"/>
          <w:sz w:val="21"/>
        </w:rPr>
        <w:t>can</w:t>
      </w:r>
      <w:r>
        <w:rPr>
          <w:spacing w:val="-8"/>
          <w:w w:val="105"/>
          <w:sz w:val="21"/>
        </w:rPr>
        <w:t> </w:t>
      </w:r>
      <w:r>
        <w:rPr>
          <w:w w:val="105"/>
          <w:sz w:val="21"/>
        </w:rPr>
        <w:t>present</w:t>
      </w:r>
      <w:r>
        <w:rPr>
          <w:spacing w:val="-7"/>
          <w:w w:val="105"/>
          <w:sz w:val="21"/>
        </w:rPr>
        <w:t> </w:t>
      </w:r>
      <w:r>
        <w:rPr>
          <w:w w:val="105"/>
          <w:sz w:val="21"/>
        </w:rPr>
        <w:t>a</w:t>
      </w:r>
      <w:r>
        <w:rPr>
          <w:spacing w:val="-7"/>
          <w:w w:val="105"/>
          <w:sz w:val="21"/>
        </w:rPr>
        <w:t> </w:t>
      </w:r>
      <w:r>
        <w:rPr>
          <w:spacing w:val="-3"/>
          <w:w w:val="105"/>
          <w:sz w:val="21"/>
        </w:rPr>
        <w:t>range</w:t>
      </w:r>
      <w:r>
        <w:rPr>
          <w:spacing w:val="-7"/>
          <w:w w:val="105"/>
          <w:sz w:val="21"/>
        </w:rPr>
        <w:t> </w:t>
      </w:r>
      <w:r>
        <w:rPr>
          <w:w w:val="105"/>
          <w:sz w:val="21"/>
        </w:rPr>
        <w:t>of</w:t>
      </w:r>
      <w:r>
        <w:rPr>
          <w:spacing w:val="-8"/>
          <w:w w:val="105"/>
          <w:sz w:val="21"/>
        </w:rPr>
        <w:t> </w:t>
      </w:r>
      <w:r>
        <w:rPr>
          <w:w w:val="105"/>
          <w:sz w:val="21"/>
        </w:rPr>
        <w:t>complex</w:t>
      </w:r>
      <w:r>
        <w:rPr>
          <w:spacing w:val="-7"/>
          <w:w w:val="105"/>
          <w:sz w:val="21"/>
        </w:rPr>
        <w:t> </w:t>
      </w:r>
      <w:r>
        <w:rPr>
          <w:w w:val="105"/>
          <w:sz w:val="21"/>
        </w:rPr>
        <w:t>and </w:t>
      </w:r>
      <w:r>
        <w:rPr>
          <w:spacing w:val="-3"/>
          <w:w w:val="105"/>
          <w:sz w:val="21"/>
        </w:rPr>
        <w:t>multifaceted </w:t>
      </w:r>
      <w:r>
        <w:rPr>
          <w:w w:val="105"/>
          <w:sz w:val="21"/>
        </w:rPr>
        <w:t>law </w:t>
      </w:r>
      <w:r>
        <w:rPr>
          <w:spacing w:val="-3"/>
          <w:w w:val="105"/>
          <w:sz w:val="21"/>
        </w:rPr>
        <w:t>reform</w:t>
      </w:r>
      <w:r>
        <w:rPr>
          <w:spacing w:val="17"/>
          <w:w w:val="105"/>
          <w:sz w:val="21"/>
        </w:rPr>
        <w:t> </w:t>
      </w:r>
      <w:r>
        <w:rPr>
          <w:w w:val="105"/>
          <w:sz w:val="21"/>
        </w:rPr>
        <w:t>issues.</w:t>
      </w:r>
    </w:p>
    <w:p>
      <w:pPr>
        <w:pStyle w:val="ListParagraph"/>
        <w:numPr>
          <w:ilvl w:val="1"/>
          <w:numId w:val="16"/>
        </w:numPr>
        <w:tabs>
          <w:tab w:pos="2380" w:val="left" w:leader="none"/>
          <w:tab w:pos="2381" w:val="left" w:leader="none"/>
        </w:tabs>
        <w:spacing w:line="240" w:lineRule="auto" w:before="124" w:after="0"/>
        <w:ind w:left="2380" w:right="0" w:hanging="794"/>
        <w:jc w:val="left"/>
        <w:rPr>
          <w:sz w:val="21"/>
        </w:rPr>
      </w:pPr>
      <w:r>
        <w:rPr>
          <w:w w:val="105"/>
          <w:sz w:val="21"/>
        </w:rPr>
        <w:t>The </w:t>
      </w:r>
      <w:r>
        <w:rPr>
          <w:spacing w:val="-3"/>
          <w:w w:val="105"/>
          <w:sz w:val="21"/>
        </w:rPr>
        <w:t>terms </w:t>
      </w:r>
      <w:r>
        <w:rPr>
          <w:w w:val="105"/>
          <w:sz w:val="21"/>
        </w:rPr>
        <w:t>of </w:t>
      </w:r>
      <w:r>
        <w:rPr>
          <w:spacing w:val="-3"/>
          <w:w w:val="105"/>
          <w:sz w:val="21"/>
        </w:rPr>
        <w:t>reference for </w:t>
      </w:r>
      <w:r>
        <w:rPr>
          <w:w w:val="105"/>
          <w:sz w:val="21"/>
        </w:rPr>
        <w:t>the inquiry </w:t>
      </w:r>
      <w:r>
        <w:rPr>
          <w:spacing w:val="-3"/>
          <w:w w:val="105"/>
          <w:sz w:val="21"/>
        </w:rPr>
        <w:t>are </w:t>
      </w:r>
      <w:r>
        <w:rPr>
          <w:w w:val="105"/>
          <w:sz w:val="21"/>
        </w:rPr>
        <w:t>on page</w:t>
      </w:r>
      <w:r>
        <w:rPr>
          <w:spacing w:val="7"/>
          <w:w w:val="105"/>
          <w:sz w:val="21"/>
        </w:rPr>
        <w:t> </w:t>
      </w:r>
      <w:r>
        <w:rPr>
          <w:spacing w:val="-3"/>
          <w:w w:val="105"/>
          <w:sz w:val="21"/>
        </w:rPr>
        <w:t>xii.</w:t>
      </w:r>
    </w:p>
    <w:p>
      <w:pPr>
        <w:pStyle w:val="BodyText"/>
        <w:spacing w:before="10"/>
      </w:pPr>
    </w:p>
    <w:p>
      <w:pPr>
        <w:pStyle w:val="Heading4"/>
      </w:pPr>
      <w:r>
        <w:rPr>
          <w:color w:val="658464"/>
          <w:w w:val="110"/>
        </w:rPr>
        <w:t>The Commission’s process</w:t>
      </w:r>
    </w:p>
    <w:p>
      <w:pPr>
        <w:pStyle w:val="ListParagraph"/>
        <w:numPr>
          <w:ilvl w:val="1"/>
          <w:numId w:val="16"/>
        </w:numPr>
        <w:tabs>
          <w:tab w:pos="2380" w:val="left" w:leader="none"/>
          <w:tab w:pos="2381" w:val="left" w:leader="none"/>
        </w:tabs>
        <w:spacing w:line="242" w:lineRule="auto" w:before="155" w:after="0"/>
        <w:ind w:left="2381" w:right="1859" w:hanging="794"/>
        <w:jc w:val="left"/>
        <w:rPr>
          <w:sz w:val="21"/>
        </w:rPr>
      </w:pPr>
      <w:r>
        <w:rPr>
          <w:w w:val="105"/>
          <w:sz w:val="21"/>
        </w:rPr>
        <w:t>The </w:t>
      </w:r>
      <w:r>
        <w:rPr>
          <w:spacing w:val="-3"/>
          <w:w w:val="105"/>
          <w:sz w:val="21"/>
        </w:rPr>
        <w:t>Commission </w:t>
      </w:r>
      <w:r>
        <w:rPr>
          <w:spacing w:val="-6"/>
          <w:w w:val="105"/>
          <w:sz w:val="21"/>
        </w:rPr>
        <w:t>Chair, </w:t>
      </w:r>
      <w:r>
        <w:rPr>
          <w:w w:val="105"/>
          <w:sz w:val="21"/>
        </w:rPr>
        <w:t>the Hon. </w:t>
      </w:r>
      <w:r>
        <w:rPr>
          <w:spacing w:val="-3"/>
          <w:w w:val="105"/>
          <w:sz w:val="21"/>
        </w:rPr>
        <w:t>Philip </w:t>
      </w:r>
      <w:r>
        <w:rPr>
          <w:spacing w:val="-4"/>
          <w:w w:val="105"/>
          <w:sz w:val="21"/>
        </w:rPr>
        <w:t>Cummins </w:t>
      </w:r>
      <w:r>
        <w:rPr>
          <w:w w:val="105"/>
          <w:sz w:val="21"/>
        </w:rPr>
        <w:t>AM established a Division which he </w:t>
      </w:r>
      <w:r>
        <w:rPr>
          <w:spacing w:val="-3"/>
          <w:w w:val="105"/>
          <w:sz w:val="21"/>
        </w:rPr>
        <w:t>chaired.</w:t>
      </w:r>
      <w:r>
        <w:rPr>
          <w:spacing w:val="-6"/>
          <w:w w:val="105"/>
          <w:sz w:val="21"/>
        </w:rPr>
        <w:t> </w:t>
      </w:r>
      <w:r>
        <w:rPr>
          <w:w w:val="105"/>
          <w:sz w:val="21"/>
        </w:rPr>
        <w:t>The</w:t>
      </w:r>
      <w:r>
        <w:rPr>
          <w:spacing w:val="-5"/>
          <w:w w:val="105"/>
          <w:sz w:val="21"/>
        </w:rPr>
        <w:t> </w:t>
      </w:r>
      <w:r>
        <w:rPr>
          <w:w w:val="105"/>
          <w:sz w:val="21"/>
        </w:rPr>
        <w:t>Division</w:t>
      </w:r>
      <w:r>
        <w:rPr>
          <w:spacing w:val="-5"/>
          <w:w w:val="105"/>
          <w:sz w:val="21"/>
        </w:rPr>
        <w:t> </w:t>
      </w:r>
      <w:r>
        <w:rPr>
          <w:w w:val="105"/>
          <w:sz w:val="21"/>
        </w:rPr>
        <w:t>members</w:t>
      </w:r>
      <w:r>
        <w:rPr>
          <w:spacing w:val="-5"/>
          <w:w w:val="105"/>
          <w:sz w:val="21"/>
        </w:rPr>
        <w:t> </w:t>
      </w:r>
      <w:r>
        <w:rPr>
          <w:spacing w:val="-3"/>
          <w:w w:val="105"/>
          <w:sz w:val="21"/>
        </w:rPr>
        <w:t>were</w:t>
      </w:r>
      <w:r>
        <w:rPr>
          <w:spacing w:val="-5"/>
          <w:w w:val="105"/>
          <w:sz w:val="21"/>
        </w:rPr>
        <w:t> </w:t>
      </w:r>
      <w:r>
        <w:rPr>
          <w:w w:val="105"/>
          <w:sz w:val="21"/>
        </w:rPr>
        <w:t>Liana</w:t>
      </w:r>
      <w:r>
        <w:rPr>
          <w:spacing w:val="-5"/>
          <w:w w:val="105"/>
          <w:sz w:val="21"/>
        </w:rPr>
        <w:t> </w:t>
      </w:r>
      <w:r>
        <w:rPr>
          <w:spacing w:val="-3"/>
          <w:w w:val="105"/>
          <w:sz w:val="21"/>
        </w:rPr>
        <w:t>Buchanan,</w:t>
      </w:r>
      <w:r>
        <w:rPr>
          <w:spacing w:val="-5"/>
          <w:w w:val="105"/>
          <w:sz w:val="21"/>
        </w:rPr>
        <w:t> </w:t>
      </w:r>
      <w:r>
        <w:rPr>
          <w:w w:val="105"/>
          <w:sz w:val="21"/>
        </w:rPr>
        <w:t>Dr</w:t>
      </w:r>
      <w:r>
        <w:rPr>
          <w:spacing w:val="-5"/>
          <w:w w:val="105"/>
          <w:sz w:val="21"/>
        </w:rPr>
        <w:t> </w:t>
      </w:r>
      <w:r>
        <w:rPr>
          <w:w w:val="105"/>
          <w:sz w:val="21"/>
        </w:rPr>
        <w:t>Ian</w:t>
      </w:r>
      <w:r>
        <w:rPr>
          <w:spacing w:val="-5"/>
          <w:w w:val="105"/>
          <w:sz w:val="21"/>
        </w:rPr>
        <w:t> </w:t>
      </w:r>
      <w:r>
        <w:rPr>
          <w:spacing w:val="-3"/>
          <w:w w:val="105"/>
          <w:sz w:val="21"/>
        </w:rPr>
        <w:t>Hardingham</w:t>
      </w:r>
      <w:r>
        <w:rPr>
          <w:spacing w:val="-5"/>
          <w:w w:val="105"/>
          <w:sz w:val="21"/>
        </w:rPr>
        <w:t> </w:t>
      </w:r>
      <w:r>
        <w:rPr>
          <w:spacing w:val="-4"/>
          <w:w w:val="105"/>
          <w:sz w:val="21"/>
        </w:rPr>
        <w:t>QC,</w:t>
      </w:r>
      <w:r>
        <w:rPr>
          <w:spacing w:val="-6"/>
          <w:w w:val="105"/>
          <w:sz w:val="21"/>
        </w:rPr>
        <w:t> </w:t>
      </w:r>
      <w:r>
        <w:rPr>
          <w:w w:val="105"/>
          <w:sz w:val="21"/>
        </w:rPr>
        <w:t>Professor Bernadette McSherry, Alison O’Brien PSM, and Gemma </w:t>
      </w:r>
      <w:r>
        <w:rPr>
          <w:spacing w:val="-4"/>
          <w:w w:val="105"/>
          <w:sz w:val="21"/>
        </w:rPr>
        <w:t>Varley</w:t>
      </w:r>
      <w:r>
        <w:rPr>
          <w:spacing w:val="14"/>
          <w:w w:val="105"/>
          <w:sz w:val="21"/>
        </w:rPr>
        <w:t> </w:t>
      </w:r>
      <w:r>
        <w:rPr>
          <w:w w:val="105"/>
          <w:sz w:val="21"/>
        </w:rPr>
        <w:t>PSM.</w:t>
      </w:r>
    </w:p>
    <w:p>
      <w:pPr>
        <w:pStyle w:val="ListParagraph"/>
        <w:numPr>
          <w:ilvl w:val="1"/>
          <w:numId w:val="16"/>
        </w:numPr>
        <w:tabs>
          <w:tab w:pos="2380" w:val="left" w:leader="none"/>
          <w:tab w:pos="2381" w:val="left" w:leader="none"/>
        </w:tabs>
        <w:spacing w:line="242" w:lineRule="auto" w:before="123" w:after="0"/>
        <w:ind w:left="2380" w:right="1830" w:hanging="793"/>
        <w:jc w:val="left"/>
        <w:rPr>
          <w:sz w:val="21"/>
        </w:rPr>
      </w:pPr>
      <w:r>
        <w:rPr>
          <w:w w:val="105"/>
          <w:sz w:val="21"/>
        </w:rPr>
        <w:t>The </w:t>
      </w:r>
      <w:r>
        <w:rPr>
          <w:spacing w:val="-4"/>
          <w:w w:val="105"/>
          <w:sz w:val="21"/>
        </w:rPr>
        <w:t>Chair </w:t>
      </w:r>
      <w:r>
        <w:rPr>
          <w:w w:val="105"/>
          <w:sz w:val="21"/>
        </w:rPr>
        <w:t>died in February </w:t>
      </w:r>
      <w:r>
        <w:rPr>
          <w:spacing w:val="-8"/>
          <w:w w:val="105"/>
          <w:sz w:val="21"/>
        </w:rPr>
        <w:t>2019. </w:t>
      </w:r>
      <w:r>
        <w:rPr>
          <w:spacing w:val="-3"/>
          <w:w w:val="105"/>
          <w:sz w:val="21"/>
        </w:rPr>
        <w:t>Bruce Gardner </w:t>
      </w:r>
      <w:r>
        <w:rPr>
          <w:w w:val="105"/>
          <w:sz w:val="21"/>
        </w:rPr>
        <w:t>PSM </w:t>
      </w:r>
      <w:r>
        <w:rPr>
          <w:spacing w:val="-2"/>
          <w:w w:val="105"/>
          <w:sz w:val="21"/>
        </w:rPr>
        <w:t>has </w:t>
      </w:r>
      <w:r>
        <w:rPr>
          <w:spacing w:val="-3"/>
          <w:w w:val="105"/>
          <w:sz w:val="21"/>
        </w:rPr>
        <w:t>chaired </w:t>
      </w:r>
      <w:r>
        <w:rPr>
          <w:w w:val="105"/>
          <w:sz w:val="21"/>
        </w:rPr>
        <w:t>the final stages of this </w:t>
      </w:r>
      <w:r>
        <w:rPr>
          <w:spacing w:val="-4"/>
          <w:w w:val="105"/>
          <w:sz w:val="21"/>
        </w:rPr>
        <w:t>inquiry.</w:t>
      </w:r>
    </w:p>
    <w:p>
      <w:pPr>
        <w:pStyle w:val="ListParagraph"/>
        <w:numPr>
          <w:ilvl w:val="1"/>
          <w:numId w:val="16"/>
        </w:numPr>
        <w:tabs>
          <w:tab w:pos="2380" w:val="left" w:leader="none"/>
          <w:tab w:pos="2381" w:val="left" w:leader="none"/>
        </w:tabs>
        <w:spacing w:line="242" w:lineRule="auto" w:before="123" w:after="0"/>
        <w:ind w:left="2380" w:right="1888" w:hanging="794"/>
        <w:jc w:val="left"/>
        <w:rPr>
          <w:sz w:val="21"/>
        </w:rPr>
      </w:pPr>
      <w:r>
        <w:rPr>
          <w:w w:val="105"/>
          <w:sz w:val="21"/>
        </w:rPr>
        <w:t>The</w:t>
      </w:r>
      <w:r>
        <w:rPr>
          <w:spacing w:val="-8"/>
          <w:w w:val="105"/>
          <w:sz w:val="21"/>
        </w:rPr>
        <w:t> </w:t>
      </w:r>
      <w:r>
        <w:rPr>
          <w:spacing w:val="-3"/>
          <w:w w:val="105"/>
          <w:sz w:val="21"/>
        </w:rPr>
        <w:t>Commission</w:t>
      </w:r>
      <w:r>
        <w:rPr>
          <w:spacing w:val="-8"/>
          <w:w w:val="105"/>
          <w:sz w:val="21"/>
        </w:rPr>
        <w:t> </w:t>
      </w:r>
      <w:r>
        <w:rPr>
          <w:spacing w:val="-2"/>
          <w:w w:val="105"/>
          <w:sz w:val="21"/>
        </w:rPr>
        <w:t>has</w:t>
      </w:r>
      <w:r>
        <w:rPr>
          <w:spacing w:val="-7"/>
          <w:w w:val="105"/>
          <w:sz w:val="21"/>
        </w:rPr>
        <w:t> </w:t>
      </w:r>
      <w:r>
        <w:rPr>
          <w:w w:val="105"/>
          <w:sz w:val="21"/>
        </w:rPr>
        <w:t>been</w:t>
      </w:r>
      <w:r>
        <w:rPr>
          <w:spacing w:val="-8"/>
          <w:w w:val="105"/>
          <w:sz w:val="21"/>
        </w:rPr>
        <w:t> </w:t>
      </w:r>
      <w:r>
        <w:rPr>
          <w:spacing w:val="-3"/>
          <w:w w:val="105"/>
          <w:sz w:val="21"/>
        </w:rPr>
        <w:t>greatly</w:t>
      </w:r>
      <w:r>
        <w:rPr>
          <w:spacing w:val="-8"/>
          <w:w w:val="105"/>
          <w:sz w:val="21"/>
        </w:rPr>
        <w:t> </w:t>
      </w:r>
      <w:r>
        <w:rPr>
          <w:w w:val="105"/>
          <w:sz w:val="21"/>
        </w:rPr>
        <w:t>assisted</w:t>
      </w:r>
      <w:r>
        <w:rPr>
          <w:spacing w:val="-7"/>
          <w:w w:val="105"/>
          <w:sz w:val="21"/>
        </w:rPr>
        <w:t> </w:t>
      </w:r>
      <w:r>
        <w:rPr>
          <w:w w:val="105"/>
          <w:sz w:val="21"/>
        </w:rPr>
        <w:t>by</w:t>
      </w:r>
      <w:r>
        <w:rPr>
          <w:spacing w:val="-8"/>
          <w:w w:val="105"/>
          <w:sz w:val="21"/>
        </w:rPr>
        <w:t> </w:t>
      </w:r>
      <w:r>
        <w:rPr>
          <w:w w:val="105"/>
          <w:sz w:val="21"/>
        </w:rPr>
        <w:t>community</w:t>
      </w:r>
      <w:r>
        <w:rPr>
          <w:spacing w:val="-8"/>
          <w:w w:val="105"/>
          <w:sz w:val="21"/>
        </w:rPr>
        <w:t> </w:t>
      </w:r>
      <w:r>
        <w:rPr>
          <w:spacing w:val="-3"/>
          <w:w w:val="105"/>
          <w:sz w:val="21"/>
        </w:rPr>
        <w:t>contributions</w:t>
      </w:r>
      <w:r>
        <w:rPr>
          <w:spacing w:val="-7"/>
          <w:w w:val="105"/>
          <w:sz w:val="21"/>
        </w:rPr>
        <w:t> </w:t>
      </w:r>
      <w:r>
        <w:rPr>
          <w:w w:val="105"/>
          <w:sz w:val="21"/>
        </w:rPr>
        <w:t>in</w:t>
      </w:r>
      <w:r>
        <w:rPr>
          <w:spacing w:val="-8"/>
          <w:w w:val="105"/>
          <w:sz w:val="21"/>
        </w:rPr>
        <w:t> </w:t>
      </w:r>
      <w:r>
        <w:rPr>
          <w:spacing w:val="-3"/>
          <w:w w:val="105"/>
          <w:sz w:val="21"/>
        </w:rPr>
        <w:t>consultations </w:t>
      </w:r>
      <w:r>
        <w:rPr>
          <w:w w:val="105"/>
          <w:sz w:val="21"/>
        </w:rPr>
        <w:t>and in</w:t>
      </w:r>
      <w:r>
        <w:rPr>
          <w:spacing w:val="10"/>
          <w:w w:val="105"/>
          <w:sz w:val="21"/>
        </w:rPr>
        <w:t> </w:t>
      </w:r>
      <w:r>
        <w:rPr>
          <w:spacing w:val="-3"/>
          <w:w w:val="105"/>
          <w:sz w:val="21"/>
        </w:rPr>
        <w:t>submissions.</w:t>
      </w:r>
    </w:p>
    <w:p>
      <w:pPr>
        <w:pStyle w:val="BodyText"/>
        <w:spacing w:before="2"/>
        <w:rPr>
          <w:sz w:val="20"/>
        </w:rPr>
      </w:pPr>
    </w:p>
    <w:p>
      <w:pPr>
        <w:pStyle w:val="Heading5"/>
      </w:pPr>
      <w:r>
        <w:rPr>
          <w:w w:val="115"/>
        </w:rPr>
        <w:t>Submissions</w:t>
      </w:r>
    </w:p>
    <w:p>
      <w:pPr>
        <w:pStyle w:val="ListParagraph"/>
        <w:numPr>
          <w:ilvl w:val="1"/>
          <w:numId w:val="16"/>
        </w:numPr>
        <w:tabs>
          <w:tab w:pos="2381" w:val="left" w:leader="none"/>
          <w:tab w:pos="2382" w:val="left" w:leader="none"/>
        </w:tabs>
        <w:spacing w:line="242" w:lineRule="auto" w:before="138" w:after="0"/>
        <w:ind w:left="2381" w:right="1621" w:hanging="794"/>
        <w:jc w:val="left"/>
        <w:rPr>
          <w:sz w:val="21"/>
        </w:rPr>
      </w:pPr>
      <w:r>
        <w:rPr>
          <w:w w:val="105"/>
          <w:sz w:val="21"/>
        </w:rPr>
        <w:t>In December </w:t>
      </w:r>
      <w:r>
        <w:rPr>
          <w:spacing w:val="-9"/>
          <w:w w:val="105"/>
          <w:sz w:val="21"/>
        </w:rPr>
        <w:t>2017 </w:t>
      </w:r>
      <w:r>
        <w:rPr>
          <w:w w:val="105"/>
          <w:sz w:val="21"/>
        </w:rPr>
        <w:t>a </w:t>
      </w:r>
      <w:r>
        <w:rPr>
          <w:spacing w:val="-3"/>
          <w:w w:val="105"/>
          <w:sz w:val="21"/>
        </w:rPr>
        <w:t>consultation </w:t>
      </w:r>
      <w:r>
        <w:rPr>
          <w:w w:val="105"/>
          <w:sz w:val="21"/>
        </w:rPr>
        <w:t>paper was </w:t>
      </w:r>
      <w:r>
        <w:rPr>
          <w:spacing w:val="-3"/>
          <w:w w:val="105"/>
          <w:sz w:val="21"/>
        </w:rPr>
        <w:t>published </w:t>
      </w:r>
      <w:r>
        <w:rPr>
          <w:w w:val="105"/>
          <w:sz w:val="21"/>
        </w:rPr>
        <w:t>identifying the </w:t>
      </w:r>
      <w:r>
        <w:rPr>
          <w:spacing w:val="-3"/>
          <w:w w:val="105"/>
          <w:sz w:val="21"/>
        </w:rPr>
        <w:t>current </w:t>
      </w:r>
      <w:r>
        <w:rPr>
          <w:w w:val="105"/>
          <w:sz w:val="21"/>
        </w:rPr>
        <w:t>law and </w:t>
      </w:r>
      <w:r>
        <w:rPr>
          <w:spacing w:val="-3"/>
          <w:w w:val="105"/>
          <w:sz w:val="21"/>
        </w:rPr>
        <w:t>outlining </w:t>
      </w:r>
      <w:r>
        <w:rPr>
          <w:spacing w:val="-2"/>
          <w:w w:val="105"/>
          <w:sz w:val="21"/>
        </w:rPr>
        <w:t>common </w:t>
      </w:r>
      <w:r>
        <w:rPr>
          <w:w w:val="105"/>
          <w:sz w:val="21"/>
        </w:rPr>
        <w:t>types of tree </w:t>
      </w:r>
      <w:r>
        <w:rPr>
          <w:spacing w:val="-3"/>
          <w:w w:val="105"/>
          <w:sz w:val="21"/>
        </w:rPr>
        <w:t>disputes. </w:t>
      </w:r>
      <w:r>
        <w:rPr>
          <w:w w:val="105"/>
          <w:sz w:val="21"/>
        </w:rPr>
        <w:t>It put forward a </w:t>
      </w:r>
      <w:r>
        <w:rPr>
          <w:spacing w:val="-3"/>
          <w:w w:val="105"/>
          <w:sz w:val="21"/>
        </w:rPr>
        <w:t>range </w:t>
      </w:r>
      <w:r>
        <w:rPr>
          <w:w w:val="105"/>
          <w:sz w:val="21"/>
        </w:rPr>
        <w:t>of options </w:t>
      </w:r>
      <w:r>
        <w:rPr>
          <w:spacing w:val="-3"/>
          <w:w w:val="105"/>
          <w:sz w:val="21"/>
        </w:rPr>
        <w:t>for reform. </w:t>
      </w:r>
      <w:r>
        <w:rPr>
          <w:w w:val="105"/>
          <w:sz w:val="21"/>
        </w:rPr>
        <w:t>The</w:t>
      </w:r>
      <w:r>
        <w:rPr>
          <w:spacing w:val="-7"/>
          <w:w w:val="105"/>
          <w:sz w:val="21"/>
        </w:rPr>
        <w:t> </w:t>
      </w:r>
      <w:r>
        <w:rPr>
          <w:spacing w:val="-3"/>
          <w:w w:val="105"/>
          <w:sz w:val="21"/>
        </w:rPr>
        <w:t>consultation</w:t>
      </w:r>
      <w:r>
        <w:rPr>
          <w:spacing w:val="-7"/>
          <w:w w:val="105"/>
          <w:sz w:val="21"/>
        </w:rPr>
        <w:t> </w:t>
      </w:r>
      <w:r>
        <w:rPr>
          <w:w w:val="105"/>
          <w:sz w:val="21"/>
        </w:rPr>
        <w:t>paper</w:t>
      </w:r>
      <w:r>
        <w:rPr>
          <w:spacing w:val="-6"/>
          <w:w w:val="105"/>
          <w:sz w:val="21"/>
        </w:rPr>
        <w:t> </w:t>
      </w:r>
      <w:r>
        <w:rPr>
          <w:spacing w:val="-3"/>
          <w:w w:val="105"/>
          <w:sz w:val="21"/>
        </w:rPr>
        <w:t>invited</w:t>
      </w:r>
      <w:r>
        <w:rPr>
          <w:spacing w:val="-7"/>
          <w:w w:val="105"/>
          <w:sz w:val="21"/>
        </w:rPr>
        <w:t> </w:t>
      </w:r>
      <w:r>
        <w:rPr>
          <w:w w:val="105"/>
          <w:sz w:val="21"/>
        </w:rPr>
        <w:t>members</w:t>
      </w:r>
      <w:r>
        <w:rPr>
          <w:spacing w:val="-6"/>
          <w:w w:val="105"/>
          <w:sz w:val="21"/>
        </w:rPr>
        <w:t> </w:t>
      </w:r>
      <w:r>
        <w:rPr>
          <w:w w:val="105"/>
          <w:sz w:val="21"/>
        </w:rPr>
        <w:t>of</w:t>
      </w:r>
      <w:r>
        <w:rPr>
          <w:spacing w:val="-7"/>
          <w:w w:val="105"/>
          <w:sz w:val="21"/>
        </w:rPr>
        <w:t> </w:t>
      </w:r>
      <w:r>
        <w:rPr>
          <w:w w:val="105"/>
          <w:sz w:val="21"/>
        </w:rPr>
        <w:t>the</w:t>
      </w:r>
      <w:r>
        <w:rPr>
          <w:spacing w:val="-7"/>
          <w:w w:val="105"/>
          <w:sz w:val="21"/>
        </w:rPr>
        <w:t> </w:t>
      </w:r>
      <w:r>
        <w:rPr>
          <w:w w:val="105"/>
          <w:sz w:val="21"/>
        </w:rPr>
        <w:t>community</w:t>
      </w:r>
      <w:r>
        <w:rPr>
          <w:spacing w:val="-6"/>
          <w:w w:val="105"/>
          <w:sz w:val="21"/>
        </w:rPr>
        <w:t> </w:t>
      </w:r>
      <w:r>
        <w:rPr>
          <w:w w:val="105"/>
          <w:sz w:val="21"/>
        </w:rPr>
        <w:t>who</w:t>
      </w:r>
      <w:r>
        <w:rPr>
          <w:spacing w:val="-7"/>
          <w:w w:val="105"/>
          <w:sz w:val="21"/>
        </w:rPr>
        <w:t> </w:t>
      </w:r>
      <w:r>
        <w:rPr>
          <w:spacing w:val="-2"/>
          <w:w w:val="105"/>
          <w:sz w:val="21"/>
        </w:rPr>
        <w:t>had</w:t>
      </w:r>
      <w:r>
        <w:rPr>
          <w:spacing w:val="-6"/>
          <w:w w:val="105"/>
          <w:sz w:val="21"/>
        </w:rPr>
        <w:t> </w:t>
      </w:r>
      <w:r>
        <w:rPr>
          <w:w w:val="105"/>
          <w:sz w:val="21"/>
        </w:rPr>
        <w:t>been</w:t>
      </w:r>
      <w:r>
        <w:rPr>
          <w:spacing w:val="-7"/>
          <w:w w:val="105"/>
          <w:sz w:val="21"/>
        </w:rPr>
        <w:t> </w:t>
      </w:r>
      <w:r>
        <w:rPr>
          <w:w w:val="105"/>
          <w:sz w:val="21"/>
        </w:rPr>
        <w:t>affected</w:t>
      </w:r>
      <w:r>
        <w:rPr>
          <w:spacing w:val="-6"/>
          <w:w w:val="105"/>
          <w:sz w:val="21"/>
        </w:rPr>
        <w:t> </w:t>
      </w:r>
      <w:r>
        <w:rPr>
          <w:w w:val="105"/>
          <w:sz w:val="21"/>
        </w:rPr>
        <w:t>by</w:t>
      </w:r>
      <w:r>
        <w:rPr>
          <w:spacing w:val="-7"/>
          <w:w w:val="105"/>
          <w:sz w:val="21"/>
        </w:rPr>
        <w:t> </w:t>
      </w:r>
      <w:r>
        <w:rPr>
          <w:w w:val="105"/>
          <w:sz w:val="21"/>
        </w:rPr>
        <w:t>the law or </w:t>
      </w:r>
      <w:r>
        <w:rPr>
          <w:spacing w:val="-2"/>
          <w:w w:val="105"/>
          <w:sz w:val="21"/>
        </w:rPr>
        <w:t>had </w:t>
      </w:r>
      <w:r>
        <w:rPr>
          <w:w w:val="105"/>
          <w:sz w:val="21"/>
        </w:rPr>
        <w:t>a view about what the law should be </w:t>
      </w:r>
      <w:r>
        <w:rPr>
          <w:spacing w:val="-3"/>
          <w:w w:val="105"/>
          <w:sz w:val="21"/>
        </w:rPr>
        <w:t>to </w:t>
      </w:r>
      <w:r>
        <w:rPr>
          <w:spacing w:val="-4"/>
          <w:w w:val="105"/>
          <w:sz w:val="21"/>
        </w:rPr>
        <w:t>make</w:t>
      </w:r>
      <w:r>
        <w:rPr>
          <w:spacing w:val="8"/>
          <w:w w:val="105"/>
          <w:sz w:val="21"/>
        </w:rPr>
        <w:t> </w:t>
      </w:r>
      <w:r>
        <w:rPr>
          <w:w w:val="105"/>
          <w:sz w:val="21"/>
        </w:rPr>
        <w:t>a </w:t>
      </w:r>
      <w:r>
        <w:rPr>
          <w:spacing w:val="-3"/>
          <w:w w:val="105"/>
          <w:sz w:val="21"/>
        </w:rPr>
        <w:t>submission.</w:t>
      </w:r>
    </w:p>
    <w:p>
      <w:pPr>
        <w:pStyle w:val="ListParagraph"/>
        <w:numPr>
          <w:ilvl w:val="1"/>
          <w:numId w:val="16"/>
        </w:numPr>
        <w:tabs>
          <w:tab w:pos="2381" w:val="left" w:leader="none"/>
          <w:tab w:pos="2382" w:val="left" w:leader="none"/>
        </w:tabs>
        <w:spacing w:line="242" w:lineRule="auto" w:before="124" w:after="0"/>
        <w:ind w:left="2381" w:right="1904" w:hanging="794"/>
        <w:jc w:val="left"/>
        <w:rPr>
          <w:sz w:val="21"/>
        </w:rPr>
      </w:pPr>
      <w:r>
        <w:rPr>
          <w:sz w:val="21"/>
        </w:rPr>
        <w:t>Thirty-eight </w:t>
      </w:r>
      <w:r>
        <w:rPr>
          <w:spacing w:val="-3"/>
          <w:sz w:val="21"/>
        </w:rPr>
        <w:t>submissions were received, </w:t>
      </w:r>
      <w:r>
        <w:rPr>
          <w:sz w:val="21"/>
        </w:rPr>
        <w:t>the majority of which </w:t>
      </w:r>
      <w:r>
        <w:rPr>
          <w:spacing w:val="-3"/>
          <w:sz w:val="21"/>
        </w:rPr>
        <w:t>are available </w:t>
      </w:r>
      <w:r>
        <w:rPr>
          <w:sz w:val="21"/>
        </w:rPr>
        <w:t>on the </w:t>
      </w:r>
      <w:r>
        <w:rPr>
          <w:spacing w:val="-6"/>
          <w:sz w:val="21"/>
        </w:rPr>
        <w:t>Commission’s </w:t>
      </w:r>
      <w:r>
        <w:rPr>
          <w:spacing w:val="-5"/>
          <w:sz w:val="21"/>
        </w:rPr>
        <w:t>website. </w:t>
      </w:r>
      <w:r>
        <w:rPr>
          <w:sz w:val="21"/>
        </w:rPr>
        <w:t>A </w:t>
      </w:r>
      <w:r>
        <w:rPr>
          <w:spacing w:val="-4"/>
          <w:sz w:val="21"/>
        </w:rPr>
        <w:t>list </w:t>
      </w:r>
      <w:r>
        <w:rPr>
          <w:spacing w:val="-3"/>
          <w:sz w:val="21"/>
        </w:rPr>
        <w:t>of </w:t>
      </w:r>
      <w:r>
        <w:rPr>
          <w:spacing w:val="-4"/>
          <w:sz w:val="21"/>
        </w:rPr>
        <w:t>all stakeholders </w:t>
      </w:r>
      <w:r>
        <w:rPr>
          <w:spacing w:val="-3"/>
          <w:sz w:val="21"/>
        </w:rPr>
        <w:t>who made </w:t>
      </w:r>
      <w:r>
        <w:rPr>
          <w:spacing w:val="-5"/>
          <w:sz w:val="21"/>
        </w:rPr>
        <w:t>submissions </w:t>
      </w:r>
      <w:r>
        <w:rPr>
          <w:spacing w:val="-3"/>
          <w:sz w:val="21"/>
        </w:rPr>
        <w:t>is at </w:t>
      </w:r>
      <w:r>
        <w:rPr>
          <w:spacing w:val="-4"/>
          <w:sz w:val="21"/>
        </w:rPr>
        <w:t>Appendix </w:t>
      </w:r>
      <w:r>
        <w:rPr>
          <w:sz w:val="21"/>
        </w:rPr>
        <w:t>A. </w:t>
      </w:r>
      <w:r>
        <w:rPr>
          <w:spacing w:val="-3"/>
          <w:sz w:val="21"/>
        </w:rPr>
        <w:t>Submissions were </w:t>
      </w:r>
      <w:r>
        <w:rPr>
          <w:sz w:val="21"/>
        </w:rPr>
        <w:t>received </w:t>
      </w:r>
      <w:r>
        <w:rPr>
          <w:spacing w:val="-3"/>
          <w:sz w:val="21"/>
        </w:rPr>
        <w:t>from </w:t>
      </w:r>
      <w:r>
        <w:rPr>
          <w:sz w:val="21"/>
        </w:rPr>
        <w:t>a broad cross-section of </w:t>
      </w:r>
      <w:r>
        <w:rPr>
          <w:spacing w:val="-3"/>
          <w:sz w:val="21"/>
        </w:rPr>
        <w:t>interested </w:t>
      </w:r>
      <w:r>
        <w:rPr>
          <w:sz w:val="21"/>
        </w:rPr>
        <w:t>parties </w:t>
      </w:r>
      <w:r>
        <w:rPr>
          <w:spacing w:val="-3"/>
          <w:sz w:val="21"/>
        </w:rPr>
        <w:t>including </w:t>
      </w:r>
      <w:r>
        <w:rPr>
          <w:sz w:val="21"/>
        </w:rPr>
        <w:t>arborists, academics, legal practitioners, </w:t>
      </w:r>
      <w:r>
        <w:rPr>
          <w:spacing w:val="-3"/>
          <w:sz w:val="21"/>
        </w:rPr>
        <w:t>private </w:t>
      </w:r>
      <w:r>
        <w:rPr>
          <w:sz w:val="21"/>
        </w:rPr>
        <w:t>home owners, local </w:t>
      </w:r>
      <w:r>
        <w:rPr>
          <w:spacing w:val="-3"/>
          <w:sz w:val="21"/>
        </w:rPr>
        <w:t>councils, </w:t>
      </w:r>
      <w:r>
        <w:rPr>
          <w:sz w:val="21"/>
        </w:rPr>
        <w:t>industry bodies and associations, and the </w:t>
      </w:r>
      <w:r>
        <w:rPr>
          <w:spacing w:val="-3"/>
          <w:sz w:val="21"/>
        </w:rPr>
        <w:t>Magistrates’ Court </w:t>
      </w:r>
      <w:r>
        <w:rPr>
          <w:sz w:val="21"/>
        </w:rPr>
        <w:t>of</w:t>
      </w:r>
      <w:r>
        <w:rPr>
          <w:spacing w:val="7"/>
          <w:sz w:val="21"/>
        </w:rPr>
        <w:t> </w:t>
      </w:r>
      <w:r>
        <w:rPr>
          <w:sz w:val="21"/>
        </w:rPr>
        <w:t>Victoria.</w:t>
      </w:r>
      <w:r>
        <w:rPr>
          <w:position w:val="7"/>
          <w:sz w:val="12"/>
        </w:rPr>
        <w:t>4</w:t>
      </w:r>
    </w:p>
    <w:p>
      <w:pPr>
        <w:pStyle w:val="ListParagraph"/>
        <w:numPr>
          <w:ilvl w:val="1"/>
          <w:numId w:val="16"/>
        </w:numPr>
        <w:tabs>
          <w:tab w:pos="2380" w:val="left" w:leader="none"/>
          <w:tab w:pos="2381" w:val="left" w:leader="none"/>
        </w:tabs>
        <w:spacing w:line="240" w:lineRule="auto" w:before="125" w:after="0"/>
        <w:ind w:left="2381" w:right="0" w:hanging="794"/>
        <w:jc w:val="left"/>
        <w:rPr>
          <w:sz w:val="21"/>
        </w:rPr>
      </w:pPr>
      <w:r>
        <w:rPr>
          <w:spacing w:val="-3"/>
          <w:w w:val="105"/>
          <w:sz w:val="21"/>
        </w:rPr>
        <w:t>Confidential submissions have </w:t>
      </w:r>
      <w:r>
        <w:rPr>
          <w:spacing w:val="-2"/>
          <w:w w:val="105"/>
          <w:sz w:val="21"/>
        </w:rPr>
        <w:t>not </w:t>
      </w:r>
      <w:r>
        <w:rPr>
          <w:w w:val="105"/>
          <w:sz w:val="21"/>
        </w:rPr>
        <w:t>been </w:t>
      </w:r>
      <w:r>
        <w:rPr>
          <w:spacing w:val="-3"/>
          <w:w w:val="105"/>
          <w:sz w:val="21"/>
        </w:rPr>
        <w:t>published </w:t>
      </w:r>
      <w:r>
        <w:rPr>
          <w:w w:val="105"/>
          <w:sz w:val="21"/>
        </w:rPr>
        <w:t>on the </w:t>
      </w:r>
      <w:r>
        <w:rPr>
          <w:spacing w:val="-4"/>
          <w:w w:val="105"/>
          <w:sz w:val="21"/>
        </w:rPr>
        <w:t>Commission’s</w:t>
      </w:r>
      <w:r>
        <w:rPr>
          <w:spacing w:val="10"/>
          <w:w w:val="105"/>
          <w:sz w:val="21"/>
        </w:rPr>
        <w:t> </w:t>
      </w:r>
      <w:r>
        <w:rPr>
          <w:spacing w:val="-3"/>
          <w:w w:val="105"/>
          <w:sz w:val="21"/>
        </w:rPr>
        <w:t>website.</w:t>
      </w:r>
    </w:p>
    <w:p>
      <w:pPr>
        <w:pStyle w:val="BodyText"/>
        <w:spacing w:line="242" w:lineRule="auto" w:before="4"/>
        <w:ind w:left="2380" w:right="1665"/>
      </w:pPr>
      <w:r>
        <w:rPr>
          <w:w w:val="105"/>
        </w:rPr>
        <w:t>These </w:t>
      </w:r>
      <w:r>
        <w:rPr>
          <w:spacing w:val="-3"/>
          <w:w w:val="105"/>
        </w:rPr>
        <w:t>confidential submissions have informed </w:t>
      </w:r>
      <w:r>
        <w:rPr>
          <w:w w:val="105"/>
        </w:rPr>
        <w:t>the </w:t>
      </w:r>
      <w:r>
        <w:rPr>
          <w:spacing w:val="-4"/>
          <w:w w:val="105"/>
        </w:rPr>
        <w:t>Commission’s </w:t>
      </w:r>
      <w:r>
        <w:rPr>
          <w:spacing w:val="-3"/>
          <w:w w:val="105"/>
        </w:rPr>
        <w:t>thinking. </w:t>
      </w:r>
      <w:r>
        <w:rPr>
          <w:spacing w:val="-4"/>
          <w:w w:val="105"/>
        </w:rPr>
        <w:t>However, </w:t>
      </w:r>
      <w:r>
        <w:rPr>
          <w:w w:val="105"/>
        </w:rPr>
        <w:t>in </w:t>
      </w:r>
      <w:r>
        <w:rPr>
          <w:spacing w:val="-3"/>
          <w:w w:val="105"/>
        </w:rPr>
        <w:t>accordance </w:t>
      </w:r>
      <w:r>
        <w:rPr>
          <w:w w:val="105"/>
        </w:rPr>
        <w:t>with the </w:t>
      </w:r>
      <w:r>
        <w:rPr>
          <w:spacing w:val="-4"/>
          <w:w w:val="105"/>
        </w:rPr>
        <w:t>Commission’s </w:t>
      </w:r>
      <w:r>
        <w:rPr>
          <w:spacing w:val="-3"/>
          <w:w w:val="105"/>
        </w:rPr>
        <w:t>submission policy, </w:t>
      </w:r>
      <w:r>
        <w:rPr>
          <w:w w:val="105"/>
        </w:rPr>
        <w:t>they </w:t>
      </w:r>
      <w:r>
        <w:rPr>
          <w:spacing w:val="-3"/>
          <w:w w:val="105"/>
        </w:rPr>
        <w:t>have </w:t>
      </w:r>
      <w:r>
        <w:rPr>
          <w:spacing w:val="-2"/>
          <w:w w:val="105"/>
        </w:rPr>
        <w:t>not </w:t>
      </w:r>
      <w:r>
        <w:rPr>
          <w:w w:val="105"/>
        </w:rPr>
        <w:t>been </w:t>
      </w:r>
      <w:r>
        <w:rPr>
          <w:spacing w:val="-3"/>
          <w:w w:val="105"/>
        </w:rPr>
        <w:t>referred to </w:t>
      </w:r>
      <w:r>
        <w:rPr>
          <w:w w:val="105"/>
        </w:rPr>
        <w:t>in this report unless permission </w:t>
      </w:r>
      <w:r>
        <w:rPr>
          <w:spacing w:val="-2"/>
          <w:w w:val="105"/>
        </w:rPr>
        <w:t>has </w:t>
      </w:r>
      <w:r>
        <w:rPr>
          <w:w w:val="105"/>
        </w:rPr>
        <w:t>been </w:t>
      </w:r>
      <w:r>
        <w:rPr>
          <w:spacing w:val="-3"/>
          <w:w w:val="105"/>
        </w:rPr>
        <w:t>sought from </w:t>
      </w:r>
      <w:r>
        <w:rPr>
          <w:w w:val="105"/>
        </w:rPr>
        <w:t>the </w:t>
      </w:r>
      <w:r>
        <w:rPr>
          <w:spacing w:val="-4"/>
          <w:w w:val="105"/>
        </w:rPr>
        <w:t>author. </w:t>
      </w:r>
      <w:r>
        <w:rPr>
          <w:w w:val="105"/>
        </w:rPr>
        <w:t>Where this </w:t>
      </w:r>
      <w:r>
        <w:rPr>
          <w:spacing w:val="-2"/>
          <w:w w:val="105"/>
        </w:rPr>
        <w:t>has </w:t>
      </w:r>
      <w:r>
        <w:rPr>
          <w:spacing w:val="-3"/>
          <w:w w:val="105"/>
        </w:rPr>
        <w:t>occurred, </w:t>
      </w:r>
      <w:r>
        <w:rPr>
          <w:w w:val="105"/>
        </w:rPr>
        <w:t>no identifying </w:t>
      </w:r>
      <w:r>
        <w:rPr>
          <w:spacing w:val="-3"/>
          <w:w w:val="105"/>
        </w:rPr>
        <w:t>information </w:t>
      </w:r>
      <w:r>
        <w:rPr>
          <w:spacing w:val="-2"/>
          <w:w w:val="105"/>
        </w:rPr>
        <w:t>has </w:t>
      </w:r>
      <w:r>
        <w:rPr>
          <w:w w:val="105"/>
        </w:rPr>
        <w:t>been provided in </w:t>
      </w:r>
      <w:r>
        <w:rPr>
          <w:spacing w:val="-3"/>
          <w:w w:val="105"/>
        </w:rPr>
        <w:t>citations.</w:t>
      </w:r>
    </w:p>
    <w:p>
      <w:pPr>
        <w:pStyle w:val="BodyText"/>
        <w:spacing w:before="5"/>
        <w:rPr>
          <w:sz w:val="20"/>
        </w:rPr>
      </w:pPr>
    </w:p>
    <w:p>
      <w:pPr>
        <w:pStyle w:val="Heading5"/>
      </w:pPr>
      <w:r>
        <w:rPr>
          <w:w w:val="115"/>
        </w:rPr>
        <w:t>Consultations</w:t>
      </w:r>
    </w:p>
    <w:p>
      <w:pPr>
        <w:pStyle w:val="ListParagraph"/>
        <w:numPr>
          <w:ilvl w:val="1"/>
          <w:numId w:val="16"/>
        </w:numPr>
        <w:tabs>
          <w:tab w:pos="2381" w:val="left" w:leader="none"/>
          <w:tab w:pos="2382" w:val="left" w:leader="none"/>
        </w:tabs>
        <w:spacing w:line="242" w:lineRule="auto" w:before="137" w:after="0"/>
        <w:ind w:left="2381" w:right="1998" w:hanging="794"/>
        <w:jc w:val="left"/>
        <w:rPr>
          <w:sz w:val="21"/>
        </w:rPr>
      </w:pPr>
      <w:r>
        <w:rPr>
          <w:w w:val="105"/>
          <w:sz w:val="21"/>
        </w:rPr>
        <w:t>In the course of this </w:t>
      </w:r>
      <w:r>
        <w:rPr>
          <w:spacing w:val="-4"/>
          <w:w w:val="105"/>
          <w:sz w:val="21"/>
        </w:rPr>
        <w:t>inquiry, </w:t>
      </w:r>
      <w:r>
        <w:rPr>
          <w:w w:val="105"/>
          <w:sz w:val="21"/>
        </w:rPr>
        <w:t>the </w:t>
      </w:r>
      <w:r>
        <w:rPr>
          <w:spacing w:val="-3"/>
          <w:w w:val="105"/>
          <w:sz w:val="21"/>
        </w:rPr>
        <w:t>Commission </w:t>
      </w:r>
      <w:r>
        <w:rPr>
          <w:w w:val="105"/>
          <w:sz w:val="21"/>
        </w:rPr>
        <w:t>undertook </w:t>
      </w:r>
      <w:r>
        <w:rPr>
          <w:spacing w:val="-6"/>
          <w:w w:val="105"/>
          <w:sz w:val="21"/>
        </w:rPr>
        <w:t>16 </w:t>
      </w:r>
      <w:r>
        <w:rPr>
          <w:spacing w:val="-3"/>
          <w:w w:val="105"/>
          <w:sz w:val="21"/>
        </w:rPr>
        <w:t>formal consultations </w:t>
      </w:r>
      <w:r>
        <w:rPr>
          <w:w w:val="105"/>
          <w:sz w:val="21"/>
        </w:rPr>
        <w:t>with </w:t>
      </w:r>
      <w:r>
        <w:rPr>
          <w:spacing w:val="-3"/>
          <w:w w:val="105"/>
          <w:sz w:val="21"/>
        </w:rPr>
        <w:t>individuals</w:t>
      </w:r>
      <w:r>
        <w:rPr>
          <w:spacing w:val="-8"/>
          <w:w w:val="105"/>
          <w:sz w:val="21"/>
        </w:rPr>
        <w:t> </w:t>
      </w:r>
      <w:r>
        <w:rPr>
          <w:w w:val="105"/>
          <w:sz w:val="21"/>
        </w:rPr>
        <w:t>and</w:t>
      </w:r>
      <w:r>
        <w:rPr>
          <w:spacing w:val="-7"/>
          <w:w w:val="105"/>
          <w:sz w:val="21"/>
        </w:rPr>
        <w:t> </w:t>
      </w:r>
      <w:r>
        <w:rPr>
          <w:spacing w:val="-3"/>
          <w:w w:val="105"/>
          <w:sz w:val="21"/>
        </w:rPr>
        <w:t>groups</w:t>
      </w:r>
      <w:r>
        <w:rPr>
          <w:spacing w:val="-8"/>
          <w:w w:val="105"/>
          <w:sz w:val="21"/>
        </w:rPr>
        <w:t> </w:t>
      </w:r>
      <w:r>
        <w:rPr>
          <w:w w:val="105"/>
          <w:sz w:val="21"/>
        </w:rPr>
        <w:t>who</w:t>
      </w:r>
      <w:r>
        <w:rPr>
          <w:spacing w:val="-7"/>
          <w:w w:val="105"/>
          <w:sz w:val="21"/>
        </w:rPr>
        <w:t> </w:t>
      </w:r>
      <w:r>
        <w:rPr>
          <w:spacing w:val="-3"/>
          <w:w w:val="105"/>
          <w:sz w:val="21"/>
        </w:rPr>
        <w:t>have</w:t>
      </w:r>
      <w:r>
        <w:rPr>
          <w:spacing w:val="-8"/>
          <w:w w:val="105"/>
          <w:sz w:val="21"/>
        </w:rPr>
        <w:t> </w:t>
      </w:r>
      <w:r>
        <w:rPr>
          <w:w w:val="105"/>
          <w:sz w:val="21"/>
        </w:rPr>
        <w:t>particular</w:t>
      </w:r>
      <w:r>
        <w:rPr>
          <w:spacing w:val="-7"/>
          <w:w w:val="105"/>
          <w:sz w:val="21"/>
        </w:rPr>
        <w:t> </w:t>
      </w:r>
      <w:r>
        <w:rPr>
          <w:w w:val="105"/>
          <w:sz w:val="21"/>
        </w:rPr>
        <w:t>experience</w:t>
      </w:r>
      <w:r>
        <w:rPr>
          <w:spacing w:val="-8"/>
          <w:w w:val="105"/>
          <w:sz w:val="21"/>
        </w:rPr>
        <w:t> </w:t>
      </w:r>
      <w:r>
        <w:rPr>
          <w:w w:val="105"/>
          <w:sz w:val="21"/>
        </w:rPr>
        <w:t>or</w:t>
      </w:r>
      <w:r>
        <w:rPr>
          <w:spacing w:val="-7"/>
          <w:w w:val="105"/>
          <w:sz w:val="21"/>
        </w:rPr>
        <w:t> </w:t>
      </w:r>
      <w:r>
        <w:rPr>
          <w:w w:val="105"/>
          <w:sz w:val="21"/>
        </w:rPr>
        <w:t>knowledge</w:t>
      </w:r>
      <w:r>
        <w:rPr>
          <w:spacing w:val="-8"/>
          <w:w w:val="105"/>
          <w:sz w:val="21"/>
        </w:rPr>
        <w:t> </w:t>
      </w:r>
      <w:r>
        <w:rPr>
          <w:w w:val="105"/>
          <w:sz w:val="21"/>
        </w:rPr>
        <w:t>of</w:t>
      </w:r>
      <w:r>
        <w:rPr>
          <w:spacing w:val="-7"/>
          <w:w w:val="105"/>
          <w:sz w:val="21"/>
        </w:rPr>
        <w:t> </w:t>
      </w:r>
      <w:r>
        <w:rPr>
          <w:w w:val="105"/>
          <w:sz w:val="21"/>
        </w:rPr>
        <w:t>tree</w:t>
      </w:r>
      <w:r>
        <w:rPr>
          <w:spacing w:val="-8"/>
          <w:w w:val="105"/>
          <w:sz w:val="21"/>
        </w:rPr>
        <w:t> </w:t>
      </w:r>
      <w:r>
        <w:rPr>
          <w:spacing w:val="-3"/>
          <w:w w:val="105"/>
          <w:sz w:val="21"/>
        </w:rPr>
        <w:t>disputes.</w:t>
      </w:r>
    </w:p>
    <w:p>
      <w:pPr>
        <w:pStyle w:val="ListParagraph"/>
        <w:numPr>
          <w:ilvl w:val="1"/>
          <w:numId w:val="16"/>
        </w:numPr>
        <w:tabs>
          <w:tab w:pos="2381" w:val="left" w:leader="none"/>
          <w:tab w:pos="2382" w:val="left" w:leader="none"/>
        </w:tabs>
        <w:spacing w:line="242" w:lineRule="auto" w:before="123" w:after="0"/>
        <w:ind w:left="2381" w:right="1801" w:hanging="794"/>
        <w:jc w:val="left"/>
        <w:rPr>
          <w:sz w:val="21"/>
        </w:rPr>
      </w:pPr>
      <w:r>
        <w:rPr/>
        <w:pict>
          <v:line style="position:absolute;mso-position-horizontal-relative:page;mso-position-vertical-relative:paragraph;z-index:-544;mso-wrap-distance-left:0;mso-wrap-distance-right:0" from="79.370102pt,89.078453pt" to="515.905102pt,89.078453pt" stroked="true" strokeweight="1pt" strokecolor="#c9d2cb">
            <v:stroke dashstyle="solid"/>
            <w10:wrap type="topAndBottom"/>
          </v:line>
        </w:pict>
      </w:r>
      <w:r>
        <w:rPr/>
        <w:pict>
          <v:shape style="position:absolute;margin-left:552.254517pt;margin-top:115.859558pt;width:6.7pt;height:14.25pt;mso-position-horizontal-relative:page;mso-position-vertical-relative:paragraph;z-index:1528" type="#_x0000_t202" filled="false" stroked="false">
            <v:textbox inset="0,0,0,0">
              <w:txbxContent>
                <w:p>
                  <w:pPr>
                    <w:spacing w:line="284" w:lineRule="exact" w:before="0"/>
                    <w:ind w:left="0" w:right="0" w:firstLine="0"/>
                    <w:jc w:val="left"/>
                    <w:rPr>
                      <w:b/>
                      <w:sz w:val="24"/>
                    </w:rPr>
                  </w:pPr>
                  <w:r>
                    <w:rPr>
                      <w:b/>
                      <w:color w:val="658464"/>
                      <w:w w:val="109"/>
                      <w:sz w:val="24"/>
                    </w:rPr>
                    <w:t>3</w:t>
                  </w:r>
                </w:p>
              </w:txbxContent>
            </v:textbox>
            <w10:wrap type="none"/>
          </v:shape>
        </w:pict>
      </w:r>
      <w:r>
        <w:rPr>
          <w:spacing w:val="-3"/>
          <w:w w:val="105"/>
          <w:sz w:val="21"/>
        </w:rPr>
        <w:t>Consultations were </w:t>
      </w:r>
      <w:r>
        <w:rPr>
          <w:w w:val="105"/>
          <w:sz w:val="21"/>
        </w:rPr>
        <w:t>undertaken in </w:t>
      </w:r>
      <w:r>
        <w:rPr>
          <w:spacing w:val="-3"/>
          <w:w w:val="105"/>
          <w:sz w:val="21"/>
        </w:rPr>
        <w:t>inner </w:t>
      </w:r>
      <w:r>
        <w:rPr>
          <w:w w:val="105"/>
          <w:sz w:val="21"/>
        </w:rPr>
        <w:t>metropolitan and outer </w:t>
      </w:r>
      <w:r>
        <w:rPr>
          <w:spacing w:val="-3"/>
          <w:w w:val="105"/>
          <w:sz w:val="21"/>
        </w:rPr>
        <w:t>Melbourne. </w:t>
      </w:r>
      <w:r>
        <w:rPr>
          <w:w w:val="105"/>
          <w:sz w:val="21"/>
        </w:rPr>
        <w:t>Responses </w:t>
      </w:r>
      <w:r>
        <w:rPr>
          <w:spacing w:val="-3"/>
          <w:w w:val="105"/>
          <w:sz w:val="21"/>
        </w:rPr>
        <w:t>were</w:t>
      </w:r>
      <w:r>
        <w:rPr>
          <w:spacing w:val="-6"/>
          <w:w w:val="105"/>
          <w:sz w:val="21"/>
        </w:rPr>
        <w:t> </w:t>
      </w:r>
      <w:r>
        <w:rPr>
          <w:w w:val="105"/>
          <w:sz w:val="21"/>
        </w:rPr>
        <w:t>also</w:t>
      </w:r>
      <w:r>
        <w:rPr>
          <w:spacing w:val="-6"/>
          <w:w w:val="105"/>
          <w:sz w:val="21"/>
        </w:rPr>
        <w:t> </w:t>
      </w:r>
      <w:r>
        <w:rPr>
          <w:w w:val="105"/>
          <w:sz w:val="21"/>
        </w:rPr>
        <w:t>received</w:t>
      </w:r>
      <w:r>
        <w:rPr>
          <w:spacing w:val="-5"/>
          <w:w w:val="105"/>
          <w:sz w:val="21"/>
        </w:rPr>
        <w:t> </w:t>
      </w:r>
      <w:r>
        <w:rPr>
          <w:spacing w:val="-3"/>
          <w:w w:val="105"/>
          <w:sz w:val="21"/>
        </w:rPr>
        <w:t>from</w:t>
      </w:r>
      <w:r>
        <w:rPr>
          <w:spacing w:val="-6"/>
          <w:w w:val="105"/>
          <w:sz w:val="21"/>
        </w:rPr>
        <w:t> </w:t>
      </w:r>
      <w:r>
        <w:rPr>
          <w:spacing w:val="-3"/>
          <w:w w:val="105"/>
          <w:sz w:val="21"/>
        </w:rPr>
        <w:t>regional</w:t>
      </w:r>
      <w:r>
        <w:rPr>
          <w:spacing w:val="-5"/>
          <w:w w:val="105"/>
          <w:sz w:val="21"/>
        </w:rPr>
        <w:t> </w:t>
      </w:r>
      <w:r>
        <w:rPr>
          <w:w w:val="105"/>
          <w:sz w:val="21"/>
        </w:rPr>
        <w:t>Victoria.</w:t>
      </w:r>
      <w:r>
        <w:rPr>
          <w:spacing w:val="-6"/>
          <w:w w:val="105"/>
          <w:sz w:val="21"/>
        </w:rPr>
        <w:t> </w:t>
      </w:r>
      <w:r>
        <w:rPr>
          <w:spacing w:val="-3"/>
          <w:w w:val="105"/>
          <w:sz w:val="21"/>
        </w:rPr>
        <w:t>Commission</w:t>
      </w:r>
      <w:r>
        <w:rPr>
          <w:spacing w:val="-5"/>
          <w:w w:val="105"/>
          <w:sz w:val="21"/>
        </w:rPr>
        <w:t> </w:t>
      </w:r>
      <w:r>
        <w:rPr>
          <w:w w:val="105"/>
          <w:sz w:val="21"/>
        </w:rPr>
        <w:t>staff</w:t>
      </w:r>
      <w:r>
        <w:rPr>
          <w:spacing w:val="-6"/>
          <w:w w:val="105"/>
          <w:sz w:val="21"/>
        </w:rPr>
        <w:t> </w:t>
      </w:r>
      <w:r>
        <w:rPr>
          <w:spacing w:val="-3"/>
          <w:w w:val="105"/>
          <w:sz w:val="21"/>
        </w:rPr>
        <w:t>spoke</w:t>
      </w:r>
      <w:r>
        <w:rPr>
          <w:spacing w:val="-5"/>
          <w:w w:val="105"/>
          <w:sz w:val="21"/>
        </w:rPr>
        <w:t> </w:t>
      </w:r>
      <w:r>
        <w:rPr>
          <w:w w:val="105"/>
          <w:sz w:val="21"/>
        </w:rPr>
        <w:t>with</w:t>
      </w:r>
      <w:r>
        <w:rPr>
          <w:spacing w:val="-6"/>
          <w:w w:val="105"/>
          <w:sz w:val="21"/>
        </w:rPr>
        <w:t> </w:t>
      </w:r>
      <w:r>
        <w:rPr>
          <w:w w:val="105"/>
          <w:sz w:val="21"/>
        </w:rPr>
        <w:t>members</w:t>
      </w:r>
      <w:r>
        <w:rPr>
          <w:spacing w:val="-5"/>
          <w:w w:val="105"/>
          <w:sz w:val="21"/>
        </w:rPr>
        <w:t> </w:t>
      </w:r>
      <w:r>
        <w:rPr>
          <w:w w:val="105"/>
          <w:sz w:val="21"/>
        </w:rPr>
        <w:t>of</w:t>
      </w:r>
      <w:r>
        <w:rPr>
          <w:spacing w:val="-6"/>
          <w:w w:val="105"/>
          <w:sz w:val="21"/>
        </w:rPr>
        <w:t> </w:t>
      </w:r>
      <w:r>
        <w:rPr>
          <w:w w:val="105"/>
          <w:sz w:val="21"/>
        </w:rPr>
        <w:t>the </w:t>
      </w:r>
      <w:r>
        <w:rPr>
          <w:spacing w:val="-3"/>
          <w:w w:val="105"/>
          <w:sz w:val="21"/>
        </w:rPr>
        <w:t>public,</w:t>
      </w:r>
      <w:r>
        <w:rPr>
          <w:spacing w:val="-11"/>
          <w:w w:val="105"/>
          <w:sz w:val="21"/>
        </w:rPr>
        <w:t> </w:t>
      </w:r>
      <w:r>
        <w:rPr>
          <w:w w:val="105"/>
          <w:sz w:val="21"/>
        </w:rPr>
        <w:t>arborists,</w:t>
      </w:r>
      <w:r>
        <w:rPr>
          <w:spacing w:val="-11"/>
          <w:w w:val="105"/>
          <w:sz w:val="21"/>
        </w:rPr>
        <w:t> </w:t>
      </w:r>
      <w:r>
        <w:rPr>
          <w:spacing w:val="-3"/>
          <w:w w:val="105"/>
          <w:sz w:val="21"/>
        </w:rPr>
        <w:t>four</w:t>
      </w:r>
      <w:r>
        <w:rPr>
          <w:spacing w:val="-11"/>
          <w:w w:val="105"/>
          <w:sz w:val="21"/>
        </w:rPr>
        <w:t> </w:t>
      </w:r>
      <w:r>
        <w:rPr>
          <w:w w:val="105"/>
          <w:sz w:val="21"/>
        </w:rPr>
        <w:t>local</w:t>
      </w:r>
      <w:r>
        <w:rPr>
          <w:spacing w:val="-11"/>
          <w:w w:val="105"/>
          <w:sz w:val="21"/>
        </w:rPr>
        <w:t> </w:t>
      </w:r>
      <w:r>
        <w:rPr>
          <w:spacing w:val="-3"/>
          <w:w w:val="105"/>
          <w:sz w:val="21"/>
        </w:rPr>
        <w:t>councils,</w:t>
      </w:r>
      <w:r>
        <w:rPr>
          <w:spacing w:val="-11"/>
          <w:w w:val="105"/>
          <w:sz w:val="21"/>
        </w:rPr>
        <w:t> </w:t>
      </w:r>
      <w:r>
        <w:rPr>
          <w:w w:val="105"/>
          <w:sz w:val="21"/>
        </w:rPr>
        <w:t>an</w:t>
      </w:r>
      <w:r>
        <w:rPr>
          <w:spacing w:val="-11"/>
          <w:w w:val="105"/>
          <w:sz w:val="21"/>
        </w:rPr>
        <w:t> </w:t>
      </w:r>
      <w:r>
        <w:rPr>
          <w:w w:val="105"/>
          <w:sz w:val="21"/>
        </w:rPr>
        <w:t>academic,</w:t>
      </w:r>
      <w:r>
        <w:rPr>
          <w:spacing w:val="-11"/>
          <w:w w:val="105"/>
          <w:sz w:val="21"/>
        </w:rPr>
        <w:t> </w:t>
      </w:r>
      <w:r>
        <w:rPr>
          <w:w w:val="105"/>
          <w:sz w:val="21"/>
        </w:rPr>
        <w:t>and</w:t>
      </w:r>
      <w:r>
        <w:rPr>
          <w:spacing w:val="-11"/>
          <w:w w:val="105"/>
          <w:sz w:val="21"/>
        </w:rPr>
        <w:t> </w:t>
      </w:r>
      <w:r>
        <w:rPr>
          <w:w w:val="105"/>
          <w:sz w:val="21"/>
        </w:rPr>
        <w:t>representatives</w:t>
      </w:r>
      <w:r>
        <w:rPr>
          <w:spacing w:val="-11"/>
          <w:w w:val="105"/>
          <w:sz w:val="21"/>
        </w:rPr>
        <w:t> </w:t>
      </w:r>
      <w:r>
        <w:rPr>
          <w:spacing w:val="-3"/>
          <w:w w:val="105"/>
          <w:sz w:val="21"/>
        </w:rPr>
        <w:t>from</w:t>
      </w:r>
      <w:r>
        <w:rPr>
          <w:spacing w:val="-11"/>
          <w:w w:val="105"/>
          <w:sz w:val="21"/>
        </w:rPr>
        <w:t> </w:t>
      </w:r>
      <w:r>
        <w:rPr>
          <w:spacing w:val="-3"/>
          <w:w w:val="105"/>
          <w:sz w:val="21"/>
        </w:rPr>
        <w:t>government </w:t>
      </w:r>
      <w:r>
        <w:rPr>
          <w:w w:val="105"/>
          <w:sz w:val="21"/>
        </w:rPr>
        <w:t>agencies and departments. </w:t>
      </w:r>
      <w:r>
        <w:rPr>
          <w:spacing w:val="-3"/>
          <w:w w:val="105"/>
          <w:sz w:val="21"/>
        </w:rPr>
        <w:t>Consultation </w:t>
      </w:r>
      <w:r>
        <w:rPr>
          <w:w w:val="105"/>
          <w:sz w:val="21"/>
        </w:rPr>
        <w:t>meetings </w:t>
      </w:r>
      <w:r>
        <w:rPr>
          <w:spacing w:val="-3"/>
          <w:w w:val="105"/>
          <w:sz w:val="21"/>
        </w:rPr>
        <w:t>were </w:t>
      </w:r>
      <w:r>
        <w:rPr>
          <w:w w:val="105"/>
          <w:sz w:val="21"/>
        </w:rPr>
        <w:t>also held with </w:t>
      </w:r>
      <w:r>
        <w:rPr>
          <w:spacing w:val="-8"/>
          <w:w w:val="105"/>
          <w:sz w:val="21"/>
        </w:rPr>
        <w:t>VCAT, </w:t>
      </w:r>
      <w:r>
        <w:rPr>
          <w:w w:val="105"/>
          <w:sz w:val="21"/>
        </w:rPr>
        <w:t>the Land and </w:t>
      </w:r>
      <w:r>
        <w:rPr>
          <w:spacing w:val="-3"/>
          <w:w w:val="105"/>
          <w:sz w:val="21"/>
        </w:rPr>
        <w:t>Environment Court </w:t>
      </w:r>
      <w:r>
        <w:rPr>
          <w:w w:val="105"/>
          <w:sz w:val="21"/>
        </w:rPr>
        <w:t>of New South </w:t>
      </w:r>
      <w:r>
        <w:rPr>
          <w:spacing w:val="-3"/>
          <w:w w:val="105"/>
          <w:sz w:val="21"/>
        </w:rPr>
        <w:t>Wales </w:t>
      </w:r>
      <w:r>
        <w:rPr>
          <w:w w:val="105"/>
          <w:sz w:val="21"/>
        </w:rPr>
        <w:t>(NSWLEC) and the </w:t>
      </w:r>
      <w:r>
        <w:rPr>
          <w:spacing w:val="-3"/>
          <w:w w:val="105"/>
          <w:sz w:val="21"/>
        </w:rPr>
        <w:t>Queensland Civil </w:t>
      </w:r>
      <w:r>
        <w:rPr>
          <w:w w:val="105"/>
          <w:sz w:val="21"/>
        </w:rPr>
        <w:t>and </w:t>
      </w:r>
      <w:r>
        <w:rPr>
          <w:spacing w:val="-3"/>
          <w:w w:val="105"/>
          <w:sz w:val="21"/>
        </w:rPr>
        <w:t>Administrative </w:t>
      </w:r>
      <w:r>
        <w:rPr>
          <w:spacing w:val="-5"/>
          <w:w w:val="105"/>
          <w:sz w:val="21"/>
        </w:rPr>
        <w:t>Tribunal</w:t>
      </w:r>
      <w:r>
        <w:rPr>
          <w:spacing w:val="13"/>
          <w:w w:val="105"/>
          <w:sz w:val="21"/>
        </w:rPr>
        <w:t> </w:t>
      </w:r>
      <w:r>
        <w:rPr>
          <w:w w:val="105"/>
          <w:sz w:val="21"/>
        </w:rPr>
        <w:t>(QCAT).</w:t>
      </w:r>
    </w:p>
    <w:p>
      <w:pPr>
        <w:pStyle w:val="ListParagraph"/>
        <w:numPr>
          <w:ilvl w:val="0"/>
          <w:numId w:val="17"/>
        </w:numPr>
        <w:tabs>
          <w:tab w:pos="2380" w:val="left" w:leader="none"/>
          <w:tab w:pos="2382" w:val="left" w:leader="none"/>
        </w:tabs>
        <w:spacing w:line="240" w:lineRule="auto" w:before="117" w:after="0"/>
        <w:ind w:left="2381" w:right="1660" w:hanging="794"/>
        <w:jc w:val="left"/>
        <w:rPr>
          <w:sz w:val="13"/>
        </w:rPr>
      </w:pPr>
      <w:r>
        <w:rPr>
          <w:sz w:val="13"/>
        </w:rPr>
        <w:t>The views expressed in the submissions are those of the individuals or organisations who submit them and their publication does not imply            any acceptance of, or agreement with, these views by the Commission. The Commission’s Submissions’  Policy  is  available  on  its  website: Victorian Law Reform Commission, </w:t>
      </w:r>
      <w:r>
        <w:rPr>
          <w:i/>
          <w:sz w:val="13"/>
        </w:rPr>
        <w:t>Submissions Policy </w:t>
      </w:r>
      <w:r>
        <w:rPr>
          <w:sz w:val="13"/>
        </w:rPr>
        <w:t>(Web Page, 5 March 2019) </w:t>
      </w:r>
      <w:r>
        <w:rPr>
          <w:spacing w:val="2"/>
          <w:sz w:val="13"/>
        </w:rPr>
        <w:t>&lt;</w:t>
      </w:r>
      <w:hyperlink r:id="rId26">
        <w:r>
          <w:rPr>
            <w:spacing w:val="2"/>
            <w:sz w:val="13"/>
          </w:rPr>
          <w:t>https://www.lawreform.vic.gov.au/about-us/policies/</w:t>
        </w:r>
      </w:hyperlink>
      <w:hyperlink r:id="rId26">
        <w:r>
          <w:rPr>
            <w:spacing w:val="2"/>
            <w:sz w:val="13"/>
          </w:rPr>
          <w:t> </w:t>
        </w:r>
        <w:r>
          <w:rPr>
            <w:sz w:val="13"/>
          </w:rPr>
          <w:t>submissions-policy</w:t>
        </w:r>
      </w:hyperlink>
      <w:r>
        <w:rPr>
          <w:sz w:val="13"/>
        </w:rPr>
        <w:t>&gt;.</w:t>
      </w:r>
    </w:p>
    <w:p>
      <w:pPr>
        <w:spacing w:after="0" w:line="240" w:lineRule="auto"/>
        <w:jc w:val="left"/>
        <w:rPr>
          <w:sz w:val="13"/>
        </w:rPr>
        <w:sectPr>
          <w:headerReference w:type="default" r:id="rId24"/>
          <w:headerReference w:type="even" r:id="rId25"/>
          <w:pgSz w:w="11910" w:h="16840"/>
          <w:pgMar w:header="808" w:footer="0" w:top="1360" w:bottom="280" w:left="0" w:right="0"/>
        </w:sectPr>
      </w:pPr>
    </w:p>
    <w:p>
      <w:pPr>
        <w:pStyle w:val="BodyText"/>
        <w:spacing w:before="9"/>
        <w:rPr>
          <w:sz w:val="22"/>
        </w:rPr>
      </w:pPr>
    </w:p>
    <w:p>
      <w:pPr>
        <w:pStyle w:val="ListParagraph"/>
        <w:numPr>
          <w:ilvl w:val="1"/>
          <w:numId w:val="16"/>
        </w:numPr>
        <w:tabs>
          <w:tab w:pos="2380" w:val="left" w:leader="none"/>
          <w:tab w:pos="2381" w:val="left" w:leader="none"/>
        </w:tabs>
        <w:spacing w:line="240" w:lineRule="auto" w:before="92" w:after="0"/>
        <w:ind w:left="2381" w:right="0" w:hanging="794"/>
        <w:jc w:val="left"/>
        <w:rPr>
          <w:sz w:val="21"/>
        </w:rPr>
      </w:pPr>
      <w:bookmarkStart w:name="Structure of the report" w:id="25"/>
      <w:bookmarkEnd w:id="25"/>
      <w:r>
        <w:rPr/>
      </w:r>
      <w:bookmarkStart w:name="_bookmark7" w:id="26"/>
      <w:bookmarkEnd w:id="26"/>
      <w:r>
        <w:rPr/>
      </w:r>
      <w:bookmarkStart w:name="_bookmark7" w:id="27"/>
      <w:bookmarkEnd w:id="27"/>
      <w:r>
        <w:rPr>
          <w:w w:val="105"/>
          <w:sz w:val="21"/>
        </w:rPr>
        <w:t>A</w:t>
      </w:r>
      <w:r>
        <w:rPr>
          <w:spacing w:val="3"/>
          <w:w w:val="105"/>
          <w:sz w:val="21"/>
        </w:rPr>
        <w:t> </w:t>
      </w:r>
      <w:r>
        <w:rPr>
          <w:w w:val="105"/>
          <w:sz w:val="21"/>
        </w:rPr>
        <w:t>list</w:t>
      </w:r>
      <w:r>
        <w:rPr>
          <w:spacing w:val="4"/>
          <w:w w:val="105"/>
          <w:sz w:val="21"/>
        </w:rPr>
        <w:t> </w:t>
      </w:r>
      <w:r>
        <w:rPr>
          <w:w w:val="105"/>
          <w:sz w:val="21"/>
        </w:rPr>
        <w:t>of</w:t>
      </w:r>
      <w:r>
        <w:rPr>
          <w:spacing w:val="4"/>
          <w:w w:val="105"/>
          <w:sz w:val="21"/>
        </w:rPr>
        <w:t> </w:t>
      </w:r>
      <w:r>
        <w:rPr>
          <w:spacing w:val="-3"/>
          <w:w w:val="105"/>
          <w:sz w:val="21"/>
        </w:rPr>
        <w:t>individuals</w:t>
      </w:r>
      <w:r>
        <w:rPr>
          <w:spacing w:val="4"/>
          <w:w w:val="105"/>
          <w:sz w:val="21"/>
        </w:rPr>
        <w:t> </w:t>
      </w:r>
      <w:r>
        <w:rPr>
          <w:w w:val="105"/>
          <w:sz w:val="21"/>
        </w:rPr>
        <w:t>and</w:t>
      </w:r>
      <w:r>
        <w:rPr>
          <w:spacing w:val="3"/>
          <w:w w:val="105"/>
          <w:sz w:val="21"/>
        </w:rPr>
        <w:t> </w:t>
      </w:r>
      <w:r>
        <w:rPr>
          <w:spacing w:val="-3"/>
          <w:w w:val="105"/>
          <w:sz w:val="21"/>
        </w:rPr>
        <w:t>organisations</w:t>
      </w:r>
      <w:r>
        <w:rPr>
          <w:spacing w:val="4"/>
          <w:w w:val="105"/>
          <w:sz w:val="21"/>
        </w:rPr>
        <w:t> </w:t>
      </w:r>
      <w:r>
        <w:rPr>
          <w:w w:val="105"/>
          <w:sz w:val="21"/>
        </w:rPr>
        <w:t>the</w:t>
      </w:r>
      <w:r>
        <w:rPr>
          <w:spacing w:val="4"/>
          <w:w w:val="105"/>
          <w:sz w:val="21"/>
        </w:rPr>
        <w:t> </w:t>
      </w:r>
      <w:r>
        <w:rPr>
          <w:spacing w:val="-3"/>
          <w:w w:val="105"/>
          <w:sz w:val="21"/>
        </w:rPr>
        <w:t>Commission</w:t>
      </w:r>
      <w:r>
        <w:rPr>
          <w:spacing w:val="4"/>
          <w:w w:val="105"/>
          <w:sz w:val="21"/>
        </w:rPr>
        <w:t> </w:t>
      </w:r>
      <w:r>
        <w:rPr>
          <w:spacing w:val="-3"/>
          <w:w w:val="105"/>
          <w:sz w:val="21"/>
        </w:rPr>
        <w:t>consulted</w:t>
      </w:r>
      <w:r>
        <w:rPr>
          <w:spacing w:val="3"/>
          <w:w w:val="105"/>
          <w:sz w:val="21"/>
        </w:rPr>
        <w:t> </w:t>
      </w:r>
      <w:r>
        <w:rPr>
          <w:w w:val="105"/>
          <w:sz w:val="21"/>
        </w:rPr>
        <w:t>with</w:t>
      </w:r>
      <w:r>
        <w:rPr>
          <w:spacing w:val="4"/>
          <w:w w:val="105"/>
          <w:sz w:val="21"/>
        </w:rPr>
        <w:t> </w:t>
      </w:r>
      <w:r>
        <w:rPr>
          <w:w w:val="105"/>
          <w:sz w:val="21"/>
        </w:rPr>
        <w:t>is</w:t>
      </w:r>
      <w:r>
        <w:rPr>
          <w:spacing w:val="4"/>
          <w:w w:val="105"/>
          <w:sz w:val="21"/>
        </w:rPr>
        <w:t> </w:t>
      </w:r>
      <w:r>
        <w:rPr>
          <w:w w:val="105"/>
          <w:sz w:val="21"/>
        </w:rPr>
        <w:t>at</w:t>
      </w:r>
      <w:r>
        <w:rPr>
          <w:spacing w:val="4"/>
          <w:w w:val="105"/>
          <w:sz w:val="21"/>
        </w:rPr>
        <w:t> </w:t>
      </w:r>
      <w:r>
        <w:rPr>
          <w:w w:val="105"/>
          <w:sz w:val="21"/>
        </w:rPr>
        <w:t>Appendix</w:t>
      </w:r>
      <w:r>
        <w:rPr>
          <w:spacing w:val="3"/>
          <w:w w:val="105"/>
          <w:sz w:val="21"/>
        </w:rPr>
        <w:t> </w:t>
      </w:r>
      <w:r>
        <w:rPr>
          <w:w w:val="105"/>
          <w:sz w:val="21"/>
        </w:rPr>
        <w:t>B.</w:t>
      </w:r>
    </w:p>
    <w:p>
      <w:pPr>
        <w:pStyle w:val="BodyText"/>
        <w:spacing w:before="4"/>
        <w:rPr>
          <w:sz w:val="20"/>
        </w:rPr>
      </w:pPr>
    </w:p>
    <w:p>
      <w:pPr>
        <w:pStyle w:val="Heading5"/>
      </w:pPr>
      <w:r>
        <w:rPr>
          <w:w w:val="115"/>
        </w:rPr>
        <w:t>Survey</w:t>
      </w:r>
    </w:p>
    <w:p>
      <w:pPr>
        <w:pStyle w:val="ListParagraph"/>
        <w:numPr>
          <w:ilvl w:val="1"/>
          <w:numId w:val="16"/>
        </w:numPr>
        <w:tabs>
          <w:tab w:pos="2381" w:val="left" w:leader="none"/>
          <w:tab w:pos="2382" w:val="left" w:leader="none"/>
        </w:tabs>
        <w:spacing w:line="242" w:lineRule="auto" w:before="137" w:after="0"/>
        <w:ind w:left="2381" w:right="1727" w:hanging="794"/>
        <w:jc w:val="left"/>
        <w:rPr>
          <w:sz w:val="21"/>
        </w:rPr>
      </w:pPr>
      <w:r>
        <w:rPr>
          <w:w w:val="105"/>
          <w:sz w:val="21"/>
        </w:rPr>
        <w:t>An </w:t>
      </w:r>
      <w:r>
        <w:rPr>
          <w:spacing w:val="-3"/>
          <w:w w:val="105"/>
          <w:sz w:val="21"/>
        </w:rPr>
        <w:t>online </w:t>
      </w:r>
      <w:r>
        <w:rPr>
          <w:w w:val="105"/>
          <w:sz w:val="21"/>
        </w:rPr>
        <w:t>survey was conducted with members of the </w:t>
      </w:r>
      <w:r>
        <w:rPr>
          <w:spacing w:val="-4"/>
          <w:w w:val="105"/>
          <w:sz w:val="21"/>
        </w:rPr>
        <w:t>community, </w:t>
      </w:r>
      <w:r>
        <w:rPr>
          <w:w w:val="105"/>
          <w:sz w:val="21"/>
        </w:rPr>
        <w:t>particularly those who </w:t>
      </w:r>
      <w:r>
        <w:rPr>
          <w:spacing w:val="-3"/>
          <w:w w:val="105"/>
          <w:sz w:val="21"/>
        </w:rPr>
        <w:t>might </w:t>
      </w:r>
      <w:r>
        <w:rPr>
          <w:spacing w:val="-2"/>
          <w:w w:val="105"/>
          <w:sz w:val="21"/>
        </w:rPr>
        <w:t>not </w:t>
      </w:r>
      <w:r>
        <w:rPr>
          <w:spacing w:val="-3"/>
          <w:w w:val="105"/>
          <w:sz w:val="21"/>
        </w:rPr>
        <w:t>have </w:t>
      </w:r>
      <w:r>
        <w:rPr>
          <w:spacing w:val="-2"/>
          <w:w w:val="105"/>
          <w:sz w:val="21"/>
        </w:rPr>
        <w:t>had </w:t>
      </w:r>
      <w:r>
        <w:rPr>
          <w:w w:val="105"/>
          <w:sz w:val="21"/>
        </w:rPr>
        <w:t>the time </w:t>
      </w:r>
      <w:r>
        <w:rPr>
          <w:spacing w:val="-3"/>
          <w:w w:val="105"/>
          <w:sz w:val="21"/>
        </w:rPr>
        <w:t>to </w:t>
      </w:r>
      <w:r>
        <w:rPr>
          <w:spacing w:val="-4"/>
          <w:w w:val="105"/>
          <w:sz w:val="21"/>
        </w:rPr>
        <w:t>make </w:t>
      </w:r>
      <w:r>
        <w:rPr>
          <w:w w:val="105"/>
          <w:sz w:val="21"/>
        </w:rPr>
        <w:t>a </w:t>
      </w:r>
      <w:r>
        <w:rPr>
          <w:spacing w:val="-3"/>
          <w:w w:val="105"/>
          <w:sz w:val="21"/>
        </w:rPr>
        <w:t>formal submission. </w:t>
      </w:r>
      <w:r>
        <w:rPr>
          <w:w w:val="105"/>
          <w:sz w:val="21"/>
        </w:rPr>
        <w:t>The survey </w:t>
      </w:r>
      <w:r>
        <w:rPr>
          <w:spacing w:val="-3"/>
          <w:w w:val="105"/>
          <w:sz w:val="21"/>
        </w:rPr>
        <w:t>contained   </w:t>
      </w:r>
      <w:r>
        <w:rPr>
          <w:spacing w:val="-8"/>
          <w:w w:val="105"/>
          <w:sz w:val="21"/>
        </w:rPr>
        <w:t>15 </w:t>
      </w:r>
      <w:r>
        <w:rPr>
          <w:w w:val="105"/>
          <w:sz w:val="21"/>
        </w:rPr>
        <w:t>questions about </w:t>
      </w:r>
      <w:r>
        <w:rPr>
          <w:spacing w:val="-3"/>
          <w:w w:val="105"/>
          <w:sz w:val="21"/>
        </w:rPr>
        <w:t>people’s </w:t>
      </w:r>
      <w:r>
        <w:rPr>
          <w:w w:val="105"/>
          <w:sz w:val="21"/>
        </w:rPr>
        <w:t>experiences of trying </w:t>
      </w:r>
      <w:r>
        <w:rPr>
          <w:spacing w:val="-3"/>
          <w:w w:val="105"/>
          <w:sz w:val="21"/>
        </w:rPr>
        <w:t>to </w:t>
      </w:r>
      <w:r>
        <w:rPr>
          <w:w w:val="105"/>
          <w:sz w:val="21"/>
        </w:rPr>
        <w:t>resolve tree </w:t>
      </w:r>
      <w:r>
        <w:rPr>
          <w:spacing w:val="-3"/>
          <w:w w:val="105"/>
          <w:sz w:val="21"/>
        </w:rPr>
        <w:t>disputes </w:t>
      </w:r>
      <w:r>
        <w:rPr>
          <w:w w:val="105"/>
          <w:sz w:val="21"/>
        </w:rPr>
        <w:t>with their neighbours and how </w:t>
      </w:r>
      <w:r>
        <w:rPr>
          <w:spacing w:val="-3"/>
          <w:w w:val="105"/>
          <w:sz w:val="21"/>
        </w:rPr>
        <w:t>to improve </w:t>
      </w:r>
      <w:r>
        <w:rPr>
          <w:w w:val="105"/>
          <w:sz w:val="21"/>
        </w:rPr>
        <w:t>the law </w:t>
      </w:r>
      <w:r>
        <w:rPr>
          <w:spacing w:val="-3"/>
          <w:w w:val="105"/>
          <w:sz w:val="21"/>
        </w:rPr>
        <w:t>to </w:t>
      </w:r>
      <w:r>
        <w:rPr>
          <w:w w:val="105"/>
          <w:sz w:val="21"/>
        </w:rPr>
        <w:t>help them </w:t>
      </w:r>
      <w:r>
        <w:rPr>
          <w:spacing w:val="-3"/>
          <w:w w:val="105"/>
          <w:sz w:val="21"/>
        </w:rPr>
        <w:t>to </w:t>
      </w:r>
      <w:r>
        <w:rPr>
          <w:w w:val="105"/>
          <w:sz w:val="21"/>
        </w:rPr>
        <w:t>do this </w:t>
      </w:r>
      <w:r>
        <w:rPr>
          <w:spacing w:val="-4"/>
          <w:w w:val="105"/>
          <w:sz w:val="21"/>
        </w:rPr>
        <w:t>better. </w:t>
      </w:r>
      <w:r>
        <w:rPr>
          <w:w w:val="105"/>
          <w:sz w:val="21"/>
        </w:rPr>
        <w:t>The survey received</w:t>
      </w:r>
      <w:r>
        <w:rPr>
          <w:spacing w:val="-8"/>
          <w:w w:val="105"/>
          <w:sz w:val="21"/>
        </w:rPr>
        <w:t> </w:t>
      </w:r>
      <w:r>
        <w:rPr>
          <w:spacing w:val="-9"/>
          <w:w w:val="105"/>
          <w:sz w:val="21"/>
        </w:rPr>
        <w:t>124</w:t>
      </w:r>
      <w:r>
        <w:rPr>
          <w:spacing w:val="-8"/>
          <w:w w:val="105"/>
          <w:sz w:val="21"/>
        </w:rPr>
        <w:t> </w:t>
      </w:r>
      <w:r>
        <w:rPr>
          <w:w w:val="105"/>
          <w:sz w:val="21"/>
        </w:rPr>
        <w:t>responses.</w:t>
      </w:r>
      <w:r>
        <w:rPr>
          <w:spacing w:val="-8"/>
          <w:w w:val="105"/>
          <w:sz w:val="21"/>
        </w:rPr>
        <w:t> </w:t>
      </w:r>
      <w:r>
        <w:rPr>
          <w:w w:val="105"/>
          <w:sz w:val="21"/>
        </w:rPr>
        <w:t>The</w:t>
      </w:r>
      <w:r>
        <w:rPr>
          <w:spacing w:val="-8"/>
          <w:w w:val="105"/>
          <w:sz w:val="21"/>
        </w:rPr>
        <w:t> </w:t>
      </w:r>
      <w:r>
        <w:rPr>
          <w:spacing w:val="-3"/>
          <w:w w:val="105"/>
          <w:sz w:val="21"/>
        </w:rPr>
        <w:t>Commission</w:t>
      </w:r>
      <w:r>
        <w:rPr>
          <w:spacing w:val="-7"/>
          <w:w w:val="105"/>
          <w:sz w:val="21"/>
        </w:rPr>
        <w:t> </w:t>
      </w:r>
      <w:r>
        <w:rPr>
          <w:spacing w:val="-2"/>
          <w:w w:val="105"/>
          <w:sz w:val="21"/>
        </w:rPr>
        <w:t>has</w:t>
      </w:r>
      <w:r>
        <w:rPr>
          <w:spacing w:val="-8"/>
          <w:w w:val="105"/>
          <w:sz w:val="21"/>
        </w:rPr>
        <w:t> </w:t>
      </w:r>
      <w:r>
        <w:rPr>
          <w:spacing w:val="-3"/>
          <w:w w:val="105"/>
          <w:sz w:val="21"/>
        </w:rPr>
        <w:t>treated</w:t>
      </w:r>
      <w:r>
        <w:rPr>
          <w:spacing w:val="-8"/>
          <w:w w:val="105"/>
          <w:sz w:val="21"/>
        </w:rPr>
        <w:t> </w:t>
      </w:r>
      <w:r>
        <w:rPr>
          <w:w w:val="105"/>
          <w:sz w:val="21"/>
        </w:rPr>
        <w:t>those</w:t>
      </w:r>
      <w:r>
        <w:rPr>
          <w:spacing w:val="-8"/>
          <w:w w:val="105"/>
          <w:sz w:val="21"/>
        </w:rPr>
        <w:t> </w:t>
      </w:r>
      <w:r>
        <w:rPr>
          <w:spacing w:val="-3"/>
          <w:w w:val="105"/>
          <w:sz w:val="21"/>
        </w:rPr>
        <w:t>submissions</w:t>
      </w:r>
      <w:r>
        <w:rPr>
          <w:spacing w:val="-8"/>
          <w:w w:val="105"/>
          <w:sz w:val="21"/>
        </w:rPr>
        <w:t> </w:t>
      </w:r>
      <w:r>
        <w:rPr>
          <w:spacing w:val="-3"/>
          <w:w w:val="105"/>
          <w:sz w:val="21"/>
        </w:rPr>
        <w:t>anonymously</w:t>
      </w:r>
      <w:r>
        <w:rPr>
          <w:spacing w:val="-7"/>
          <w:w w:val="105"/>
          <w:sz w:val="21"/>
        </w:rPr>
        <w:t> </w:t>
      </w:r>
      <w:r>
        <w:rPr>
          <w:spacing w:val="-3"/>
          <w:w w:val="105"/>
          <w:sz w:val="21"/>
        </w:rPr>
        <w:t>for </w:t>
      </w:r>
      <w:r>
        <w:rPr>
          <w:w w:val="105"/>
          <w:sz w:val="21"/>
        </w:rPr>
        <w:t>the purposes of this report. See Appendix C </w:t>
      </w:r>
      <w:r>
        <w:rPr>
          <w:spacing w:val="-3"/>
          <w:w w:val="105"/>
          <w:sz w:val="21"/>
        </w:rPr>
        <w:t>for </w:t>
      </w:r>
      <w:r>
        <w:rPr>
          <w:w w:val="105"/>
          <w:sz w:val="21"/>
        </w:rPr>
        <w:t>the</w:t>
      </w:r>
      <w:r>
        <w:rPr>
          <w:spacing w:val="38"/>
          <w:w w:val="105"/>
          <w:sz w:val="21"/>
        </w:rPr>
        <w:t> </w:t>
      </w:r>
      <w:r>
        <w:rPr>
          <w:spacing w:val="-3"/>
          <w:w w:val="105"/>
          <w:sz w:val="21"/>
        </w:rPr>
        <w:t>survey.</w:t>
      </w:r>
    </w:p>
    <w:p>
      <w:pPr>
        <w:pStyle w:val="BodyText"/>
        <w:spacing w:before="7"/>
        <w:rPr>
          <w:sz w:val="20"/>
        </w:rPr>
      </w:pPr>
    </w:p>
    <w:p>
      <w:pPr>
        <w:pStyle w:val="Heading5"/>
        <w:spacing w:before="1"/>
      </w:pPr>
      <w:r>
        <w:rPr>
          <w:w w:val="110"/>
        </w:rPr>
        <w:t>Interstate reviews and tree dispute Acts</w:t>
      </w:r>
    </w:p>
    <w:p>
      <w:pPr>
        <w:pStyle w:val="ListParagraph"/>
        <w:numPr>
          <w:ilvl w:val="1"/>
          <w:numId w:val="16"/>
        </w:numPr>
        <w:tabs>
          <w:tab w:pos="2381" w:val="left" w:leader="none"/>
          <w:tab w:pos="2382" w:val="left" w:leader="none"/>
        </w:tabs>
        <w:spacing w:line="242" w:lineRule="auto" w:before="137" w:after="0"/>
        <w:ind w:left="2381" w:right="1847" w:hanging="794"/>
        <w:jc w:val="left"/>
        <w:rPr>
          <w:sz w:val="21"/>
        </w:rPr>
      </w:pPr>
      <w:r>
        <w:rPr>
          <w:w w:val="105"/>
          <w:sz w:val="21"/>
        </w:rPr>
        <w:t>Reviews</w:t>
      </w:r>
      <w:r>
        <w:rPr>
          <w:spacing w:val="-9"/>
          <w:w w:val="105"/>
          <w:sz w:val="21"/>
        </w:rPr>
        <w:t> </w:t>
      </w:r>
      <w:r>
        <w:rPr>
          <w:w w:val="105"/>
          <w:sz w:val="21"/>
        </w:rPr>
        <w:t>by</w:t>
      </w:r>
      <w:r>
        <w:rPr>
          <w:spacing w:val="-8"/>
          <w:w w:val="105"/>
          <w:sz w:val="21"/>
        </w:rPr>
        <w:t> </w:t>
      </w:r>
      <w:r>
        <w:rPr>
          <w:w w:val="105"/>
          <w:sz w:val="21"/>
        </w:rPr>
        <w:t>other</w:t>
      </w:r>
      <w:r>
        <w:rPr>
          <w:spacing w:val="-8"/>
          <w:w w:val="105"/>
          <w:sz w:val="21"/>
        </w:rPr>
        <w:t> </w:t>
      </w:r>
      <w:r>
        <w:rPr>
          <w:w w:val="105"/>
          <w:sz w:val="21"/>
        </w:rPr>
        <w:t>law</w:t>
      </w:r>
      <w:r>
        <w:rPr>
          <w:spacing w:val="-8"/>
          <w:w w:val="105"/>
          <w:sz w:val="21"/>
        </w:rPr>
        <w:t> </w:t>
      </w:r>
      <w:r>
        <w:rPr>
          <w:spacing w:val="-3"/>
          <w:w w:val="105"/>
          <w:sz w:val="21"/>
        </w:rPr>
        <w:t>reform</w:t>
      </w:r>
      <w:r>
        <w:rPr>
          <w:spacing w:val="-8"/>
          <w:w w:val="105"/>
          <w:sz w:val="21"/>
        </w:rPr>
        <w:t> </w:t>
      </w:r>
      <w:r>
        <w:rPr>
          <w:w w:val="105"/>
          <w:sz w:val="21"/>
        </w:rPr>
        <w:t>bodies</w:t>
      </w:r>
      <w:r>
        <w:rPr>
          <w:spacing w:val="-9"/>
          <w:w w:val="105"/>
          <w:sz w:val="21"/>
        </w:rPr>
        <w:t> </w:t>
      </w:r>
      <w:r>
        <w:rPr>
          <w:w w:val="105"/>
          <w:sz w:val="21"/>
        </w:rPr>
        <w:t>and</w:t>
      </w:r>
      <w:r>
        <w:rPr>
          <w:spacing w:val="-8"/>
          <w:w w:val="105"/>
          <w:sz w:val="21"/>
        </w:rPr>
        <w:t> </w:t>
      </w:r>
      <w:r>
        <w:rPr>
          <w:w w:val="105"/>
          <w:sz w:val="21"/>
        </w:rPr>
        <w:t>interstate</w:t>
      </w:r>
      <w:r>
        <w:rPr>
          <w:spacing w:val="-8"/>
          <w:w w:val="105"/>
          <w:sz w:val="21"/>
        </w:rPr>
        <w:t> </w:t>
      </w:r>
      <w:r>
        <w:rPr>
          <w:spacing w:val="-3"/>
          <w:w w:val="105"/>
          <w:sz w:val="21"/>
        </w:rPr>
        <w:t>government</w:t>
      </w:r>
      <w:r>
        <w:rPr>
          <w:spacing w:val="-8"/>
          <w:w w:val="105"/>
          <w:sz w:val="21"/>
        </w:rPr>
        <w:t> </w:t>
      </w:r>
      <w:r>
        <w:rPr>
          <w:w w:val="105"/>
          <w:sz w:val="21"/>
        </w:rPr>
        <w:t>agencies</w:t>
      </w:r>
      <w:r>
        <w:rPr>
          <w:spacing w:val="-8"/>
          <w:w w:val="105"/>
          <w:sz w:val="21"/>
        </w:rPr>
        <w:t> </w:t>
      </w:r>
      <w:r>
        <w:rPr>
          <w:spacing w:val="-3"/>
          <w:w w:val="105"/>
          <w:sz w:val="21"/>
        </w:rPr>
        <w:t>were</w:t>
      </w:r>
      <w:r>
        <w:rPr>
          <w:spacing w:val="-9"/>
          <w:w w:val="105"/>
          <w:sz w:val="21"/>
        </w:rPr>
        <w:t> </w:t>
      </w:r>
      <w:r>
        <w:rPr>
          <w:w w:val="105"/>
          <w:sz w:val="21"/>
        </w:rPr>
        <w:t>of</w:t>
      </w:r>
      <w:r>
        <w:rPr>
          <w:spacing w:val="-8"/>
          <w:w w:val="105"/>
          <w:sz w:val="21"/>
        </w:rPr>
        <w:t> </w:t>
      </w:r>
      <w:r>
        <w:rPr>
          <w:spacing w:val="-3"/>
          <w:w w:val="105"/>
          <w:sz w:val="21"/>
        </w:rPr>
        <w:t>great </w:t>
      </w:r>
      <w:r>
        <w:rPr>
          <w:w w:val="105"/>
          <w:sz w:val="21"/>
        </w:rPr>
        <w:t>assistance</w:t>
      </w:r>
      <w:r>
        <w:rPr>
          <w:spacing w:val="-7"/>
          <w:w w:val="105"/>
          <w:sz w:val="21"/>
        </w:rPr>
        <w:t> </w:t>
      </w:r>
      <w:r>
        <w:rPr>
          <w:spacing w:val="-3"/>
          <w:w w:val="105"/>
          <w:sz w:val="21"/>
        </w:rPr>
        <w:t>to</w:t>
      </w:r>
      <w:r>
        <w:rPr>
          <w:spacing w:val="-6"/>
          <w:w w:val="105"/>
          <w:sz w:val="21"/>
        </w:rPr>
        <w:t> </w:t>
      </w:r>
      <w:r>
        <w:rPr>
          <w:w w:val="105"/>
          <w:sz w:val="21"/>
        </w:rPr>
        <w:t>the</w:t>
      </w:r>
      <w:r>
        <w:rPr>
          <w:spacing w:val="-7"/>
          <w:w w:val="105"/>
          <w:sz w:val="21"/>
        </w:rPr>
        <w:t> </w:t>
      </w:r>
      <w:r>
        <w:rPr>
          <w:spacing w:val="-4"/>
          <w:w w:val="105"/>
          <w:sz w:val="21"/>
        </w:rPr>
        <w:t>Commission.</w:t>
      </w:r>
      <w:r>
        <w:rPr>
          <w:spacing w:val="-4"/>
          <w:w w:val="105"/>
          <w:position w:val="7"/>
          <w:sz w:val="12"/>
        </w:rPr>
        <w:t>5</w:t>
      </w:r>
      <w:r>
        <w:rPr>
          <w:spacing w:val="1"/>
          <w:w w:val="105"/>
          <w:position w:val="7"/>
          <w:sz w:val="12"/>
        </w:rPr>
        <w:t> </w:t>
      </w:r>
      <w:r>
        <w:rPr>
          <w:w w:val="105"/>
          <w:sz w:val="21"/>
        </w:rPr>
        <w:t>Following</w:t>
      </w:r>
      <w:r>
        <w:rPr>
          <w:spacing w:val="-7"/>
          <w:w w:val="105"/>
          <w:sz w:val="21"/>
        </w:rPr>
        <w:t> </w:t>
      </w:r>
      <w:r>
        <w:rPr>
          <w:w w:val="105"/>
          <w:sz w:val="21"/>
        </w:rPr>
        <w:t>these</w:t>
      </w:r>
      <w:r>
        <w:rPr>
          <w:spacing w:val="-6"/>
          <w:w w:val="105"/>
          <w:sz w:val="21"/>
        </w:rPr>
        <w:t> </w:t>
      </w:r>
      <w:r>
        <w:rPr>
          <w:w w:val="105"/>
          <w:sz w:val="21"/>
        </w:rPr>
        <w:t>reviews,</w:t>
      </w:r>
      <w:r>
        <w:rPr>
          <w:spacing w:val="-7"/>
          <w:w w:val="105"/>
          <w:sz w:val="21"/>
        </w:rPr>
        <w:t> </w:t>
      </w:r>
      <w:r>
        <w:rPr>
          <w:w w:val="105"/>
          <w:sz w:val="21"/>
        </w:rPr>
        <w:t>New</w:t>
      </w:r>
      <w:r>
        <w:rPr>
          <w:spacing w:val="-6"/>
          <w:w w:val="105"/>
          <w:sz w:val="21"/>
        </w:rPr>
        <w:t> </w:t>
      </w:r>
      <w:r>
        <w:rPr>
          <w:w w:val="105"/>
          <w:sz w:val="21"/>
        </w:rPr>
        <w:t>South</w:t>
      </w:r>
      <w:r>
        <w:rPr>
          <w:spacing w:val="-6"/>
          <w:w w:val="105"/>
          <w:sz w:val="21"/>
        </w:rPr>
        <w:t> </w:t>
      </w:r>
      <w:r>
        <w:rPr>
          <w:spacing w:val="-3"/>
          <w:w w:val="105"/>
          <w:sz w:val="21"/>
        </w:rPr>
        <w:t>Wales,</w:t>
      </w:r>
      <w:r>
        <w:rPr>
          <w:spacing w:val="-7"/>
          <w:w w:val="105"/>
          <w:sz w:val="21"/>
        </w:rPr>
        <w:t> </w:t>
      </w:r>
      <w:r>
        <w:rPr>
          <w:spacing w:val="-3"/>
          <w:w w:val="105"/>
          <w:sz w:val="21"/>
        </w:rPr>
        <w:t>Queensland </w:t>
      </w:r>
      <w:r>
        <w:rPr>
          <w:w w:val="105"/>
          <w:sz w:val="21"/>
        </w:rPr>
        <w:t>and </w:t>
      </w:r>
      <w:r>
        <w:rPr>
          <w:spacing w:val="-5"/>
          <w:w w:val="105"/>
          <w:sz w:val="21"/>
        </w:rPr>
        <w:t>Tasmania </w:t>
      </w:r>
      <w:r>
        <w:rPr>
          <w:spacing w:val="-3"/>
          <w:w w:val="105"/>
          <w:sz w:val="21"/>
        </w:rPr>
        <w:t>introduced legislation to </w:t>
      </w:r>
      <w:r>
        <w:rPr>
          <w:w w:val="105"/>
          <w:sz w:val="21"/>
        </w:rPr>
        <w:t>govern the resolution of tree</w:t>
      </w:r>
      <w:r>
        <w:rPr>
          <w:spacing w:val="8"/>
          <w:w w:val="105"/>
          <w:sz w:val="21"/>
        </w:rPr>
        <w:t> </w:t>
      </w:r>
      <w:r>
        <w:rPr>
          <w:w w:val="105"/>
          <w:sz w:val="21"/>
        </w:rPr>
        <w:t>disputes:</w:t>
      </w:r>
    </w:p>
    <w:p>
      <w:pPr>
        <w:pStyle w:val="ListParagraph"/>
        <w:numPr>
          <w:ilvl w:val="2"/>
          <w:numId w:val="16"/>
        </w:numPr>
        <w:tabs>
          <w:tab w:pos="2721" w:val="left" w:leader="none"/>
          <w:tab w:pos="2722" w:val="left" w:leader="none"/>
        </w:tabs>
        <w:spacing w:line="240" w:lineRule="auto" w:before="123" w:after="0"/>
        <w:ind w:left="2721" w:right="0" w:hanging="340"/>
        <w:jc w:val="left"/>
        <w:rPr>
          <w:sz w:val="21"/>
        </w:rPr>
      </w:pPr>
      <w:r>
        <w:rPr>
          <w:w w:val="105"/>
          <w:sz w:val="21"/>
        </w:rPr>
        <w:t>the </w:t>
      </w:r>
      <w:r>
        <w:rPr>
          <w:i/>
          <w:spacing w:val="-4"/>
          <w:w w:val="105"/>
          <w:sz w:val="21"/>
        </w:rPr>
        <w:t>Trees </w:t>
      </w:r>
      <w:r>
        <w:rPr>
          <w:i/>
          <w:w w:val="105"/>
          <w:sz w:val="21"/>
        </w:rPr>
        <w:t>(Disputes Between Neighbours) Act 2006</w:t>
      </w:r>
      <w:r>
        <w:rPr>
          <w:i/>
          <w:spacing w:val="38"/>
          <w:w w:val="105"/>
          <w:sz w:val="21"/>
        </w:rPr>
        <w:t> </w:t>
      </w:r>
      <w:r>
        <w:rPr>
          <w:spacing w:val="2"/>
          <w:w w:val="105"/>
          <w:sz w:val="21"/>
        </w:rPr>
        <w:t>(NSW)</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the </w:t>
      </w:r>
      <w:r>
        <w:rPr>
          <w:i/>
          <w:w w:val="105"/>
          <w:sz w:val="21"/>
        </w:rPr>
        <w:t>Neighbourhood </w:t>
      </w:r>
      <w:r>
        <w:rPr>
          <w:i/>
          <w:spacing w:val="-3"/>
          <w:w w:val="105"/>
          <w:sz w:val="21"/>
        </w:rPr>
        <w:t>Disputes </w:t>
      </w:r>
      <w:r>
        <w:rPr>
          <w:i/>
          <w:w w:val="105"/>
          <w:sz w:val="21"/>
        </w:rPr>
        <w:t>(Dividing Fences and </w:t>
      </w:r>
      <w:r>
        <w:rPr>
          <w:i/>
          <w:spacing w:val="-3"/>
          <w:w w:val="105"/>
          <w:sz w:val="21"/>
        </w:rPr>
        <w:t>Trees) </w:t>
      </w:r>
      <w:r>
        <w:rPr>
          <w:i/>
          <w:w w:val="105"/>
          <w:sz w:val="21"/>
        </w:rPr>
        <w:t>Act </w:t>
      </w:r>
      <w:r>
        <w:rPr>
          <w:i/>
          <w:spacing w:val="-11"/>
          <w:w w:val="105"/>
          <w:sz w:val="21"/>
        </w:rPr>
        <w:t>2011</w:t>
      </w:r>
      <w:r>
        <w:rPr>
          <w:i/>
          <w:spacing w:val="9"/>
          <w:w w:val="105"/>
          <w:sz w:val="21"/>
        </w:rPr>
        <w:t> </w:t>
      </w:r>
      <w:r>
        <w:rPr>
          <w:w w:val="105"/>
          <w:sz w:val="21"/>
        </w:rPr>
        <w:t>(Qld)</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the </w:t>
      </w:r>
      <w:r>
        <w:rPr>
          <w:i/>
          <w:w w:val="105"/>
          <w:sz w:val="21"/>
        </w:rPr>
        <w:t>Neighbourhood </w:t>
      </w:r>
      <w:r>
        <w:rPr>
          <w:i/>
          <w:spacing w:val="-3"/>
          <w:w w:val="105"/>
          <w:sz w:val="21"/>
        </w:rPr>
        <w:t>Disputes </w:t>
      </w:r>
      <w:r>
        <w:rPr>
          <w:i/>
          <w:w w:val="105"/>
          <w:sz w:val="21"/>
        </w:rPr>
        <w:t>About Plants Act </w:t>
      </w:r>
      <w:r>
        <w:rPr>
          <w:i/>
          <w:spacing w:val="-10"/>
          <w:w w:val="105"/>
          <w:sz w:val="21"/>
        </w:rPr>
        <w:t>2017</w:t>
      </w:r>
      <w:r>
        <w:rPr>
          <w:i/>
          <w:spacing w:val="1"/>
          <w:w w:val="105"/>
          <w:sz w:val="21"/>
        </w:rPr>
        <w:t> </w:t>
      </w:r>
      <w:r>
        <w:rPr>
          <w:spacing w:val="-3"/>
          <w:w w:val="105"/>
          <w:sz w:val="21"/>
        </w:rPr>
        <w:t>(Tas).</w:t>
      </w:r>
    </w:p>
    <w:p>
      <w:pPr>
        <w:pStyle w:val="ListParagraph"/>
        <w:numPr>
          <w:ilvl w:val="1"/>
          <w:numId w:val="16"/>
        </w:numPr>
        <w:tabs>
          <w:tab w:pos="2381" w:val="left" w:leader="none"/>
          <w:tab w:pos="2382" w:val="left" w:leader="none"/>
        </w:tabs>
        <w:spacing w:line="232" w:lineRule="auto" w:before="94" w:after="0"/>
        <w:ind w:left="2381" w:right="1713" w:hanging="794"/>
        <w:jc w:val="left"/>
        <w:rPr>
          <w:sz w:val="21"/>
        </w:rPr>
      </w:pPr>
      <w:r>
        <w:rPr>
          <w:sz w:val="21"/>
        </w:rPr>
        <w:t>The Acts </w:t>
      </w:r>
      <w:r>
        <w:rPr>
          <w:spacing w:val="-3"/>
          <w:sz w:val="21"/>
        </w:rPr>
        <w:t>have </w:t>
      </w:r>
      <w:r>
        <w:rPr>
          <w:sz w:val="21"/>
        </w:rPr>
        <w:t>modernised and simplified the law </w:t>
      </w:r>
      <w:r>
        <w:rPr>
          <w:spacing w:val="-3"/>
          <w:sz w:val="21"/>
        </w:rPr>
        <w:t>to </w:t>
      </w:r>
      <w:r>
        <w:rPr>
          <w:sz w:val="21"/>
        </w:rPr>
        <w:t>better assist the community in these states. </w:t>
      </w:r>
      <w:r>
        <w:rPr>
          <w:spacing w:val="-3"/>
          <w:sz w:val="21"/>
        </w:rPr>
        <w:t>Subsequent </w:t>
      </w:r>
      <w:r>
        <w:rPr>
          <w:sz w:val="21"/>
        </w:rPr>
        <w:t>statutory reviews on the effectiveness of the new Acts in New South </w:t>
      </w:r>
      <w:r>
        <w:rPr>
          <w:spacing w:val="-3"/>
          <w:sz w:val="21"/>
        </w:rPr>
        <w:t>Wales </w:t>
      </w:r>
      <w:r>
        <w:rPr>
          <w:sz w:val="21"/>
        </w:rPr>
        <w:t>and </w:t>
      </w:r>
      <w:r>
        <w:rPr>
          <w:spacing w:val="-3"/>
          <w:sz w:val="21"/>
        </w:rPr>
        <w:t>Queensland have </w:t>
      </w:r>
      <w:r>
        <w:rPr>
          <w:sz w:val="21"/>
        </w:rPr>
        <w:t>also been of </w:t>
      </w:r>
      <w:r>
        <w:rPr>
          <w:spacing w:val="-3"/>
          <w:sz w:val="21"/>
        </w:rPr>
        <w:t>assistance</w:t>
      </w:r>
      <w:r>
        <w:rPr>
          <w:spacing w:val="-3"/>
          <w:sz w:val="24"/>
        </w:rPr>
        <w:t>.</w:t>
      </w:r>
      <w:r>
        <w:rPr>
          <w:spacing w:val="-3"/>
          <w:position w:val="7"/>
          <w:sz w:val="12"/>
        </w:rPr>
        <w:t>6 </w:t>
      </w:r>
      <w:r>
        <w:rPr>
          <w:sz w:val="21"/>
        </w:rPr>
        <w:t>These reviews and </w:t>
      </w:r>
      <w:r>
        <w:rPr>
          <w:spacing w:val="-3"/>
          <w:sz w:val="21"/>
        </w:rPr>
        <w:t>reforms are </w:t>
      </w:r>
      <w:r>
        <w:rPr>
          <w:sz w:val="21"/>
        </w:rPr>
        <w:t>discussed in more detail in </w:t>
      </w:r>
      <w:r>
        <w:rPr>
          <w:spacing w:val="-4"/>
          <w:sz w:val="21"/>
        </w:rPr>
        <w:t>Chapter</w:t>
      </w:r>
      <w:r>
        <w:rPr>
          <w:spacing w:val="9"/>
          <w:sz w:val="21"/>
        </w:rPr>
        <w:t> </w:t>
      </w:r>
      <w:r>
        <w:rPr>
          <w:spacing w:val="-3"/>
          <w:sz w:val="21"/>
        </w:rPr>
        <w:t>3.</w:t>
      </w:r>
    </w:p>
    <w:p>
      <w:pPr>
        <w:pStyle w:val="ListParagraph"/>
        <w:numPr>
          <w:ilvl w:val="1"/>
          <w:numId w:val="16"/>
        </w:numPr>
        <w:tabs>
          <w:tab w:pos="2380" w:val="left" w:leader="none"/>
          <w:tab w:pos="2381" w:val="left" w:leader="none"/>
        </w:tabs>
        <w:spacing w:line="242" w:lineRule="auto" w:before="124" w:after="0"/>
        <w:ind w:left="2380" w:right="1854" w:hanging="793"/>
        <w:jc w:val="left"/>
        <w:rPr>
          <w:sz w:val="21"/>
        </w:rPr>
      </w:pPr>
      <w:r>
        <w:rPr>
          <w:sz w:val="21"/>
        </w:rPr>
        <w:t>While it is </w:t>
      </w:r>
      <w:r>
        <w:rPr>
          <w:spacing w:val="-3"/>
          <w:sz w:val="21"/>
        </w:rPr>
        <w:t>helpful  </w:t>
      </w:r>
      <w:r>
        <w:rPr>
          <w:sz w:val="21"/>
        </w:rPr>
        <w:t>and </w:t>
      </w:r>
      <w:r>
        <w:rPr>
          <w:spacing w:val="-3"/>
          <w:sz w:val="21"/>
        </w:rPr>
        <w:t>appropriate</w:t>
      </w:r>
      <w:r>
        <w:rPr>
          <w:spacing w:val="41"/>
          <w:sz w:val="21"/>
        </w:rPr>
        <w:t> </w:t>
      </w:r>
      <w:r>
        <w:rPr>
          <w:spacing w:val="-3"/>
          <w:sz w:val="21"/>
        </w:rPr>
        <w:t>to  </w:t>
      </w:r>
      <w:r>
        <w:rPr>
          <w:sz w:val="21"/>
        </w:rPr>
        <w:t>review and </w:t>
      </w:r>
      <w:r>
        <w:rPr>
          <w:spacing w:val="-3"/>
          <w:sz w:val="21"/>
        </w:rPr>
        <w:t>consider  </w:t>
      </w:r>
      <w:r>
        <w:rPr>
          <w:sz w:val="21"/>
        </w:rPr>
        <w:t>approaches </w:t>
      </w:r>
      <w:r>
        <w:rPr>
          <w:spacing w:val="-3"/>
          <w:sz w:val="21"/>
        </w:rPr>
        <w:t>to  </w:t>
      </w:r>
      <w:r>
        <w:rPr>
          <w:sz w:val="21"/>
        </w:rPr>
        <w:t>tree </w:t>
      </w:r>
      <w:r>
        <w:rPr>
          <w:spacing w:val="-3"/>
          <w:sz w:val="21"/>
        </w:rPr>
        <w:t>disputes  </w:t>
      </w:r>
      <w:r>
        <w:rPr>
          <w:sz w:val="21"/>
        </w:rPr>
        <w:t>in other jurisdictions, these </w:t>
      </w:r>
      <w:r>
        <w:rPr>
          <w:spacing w:val="-3"/>
          <w:sz w:val="21"/>
        </w:rPr>
        <w:t>reforms </w:t>
      </w:r>
      <w:r>
        <w:rPr>
          <w:sz w:val="21"/>
        </w:rPr>
        <w:t>must be </w:t>
      </w:r>
      <w:r>
        <w:rPr>
          <w:spacing w:val="-3"/>
          <w:sz w:val="21"/>
        </w:rPr>
        <w:t>considered </w:t>
      </w:r>
      <w:r>
        <w:rPr>
          <w:sz w:val="21"/>
        </w:rPr>
        <w:t>in their</w:t>
      </w:r>
      <w:r>
        <w:rPr>
          <w:spacing w:val="41"/>
          <w:sz w:val="21"/>
        </w:rPr>
        <w:t> </w:t>
      </w:r>
      <w:r>
        <w:rPr>
          <w:spacing w:val="-3"/>
          <w:sz w:val="21"/>
        </w:rPr>
        <w:t>legislative, financial </w:t>
      </w:r>
      <w:r>
        <w:rPr>
          <w:sz w:val="21"/>
        </w:rPr>
        <w:t>and</w:t>
      </w:r>
    </w:p>
    <w:p>
      <w:pPr>
        <w:pStyle w:val="BodyText"/>
        <w:spacing w:line="242" w:lineRule="auto" w:before="2"/>
        <w:ind w:left="2380" w:right="1636"/>
      </w:pPr>
      <w:r>
        <w:rPr>
          <w:w w:val="105"/>
        </w:rPr>
        <w:t>social contexts. They </w:t>
      </w:r>
      <w:r>
        <w:rPr>
          <w:spacing w:val="-3"/>
          <w:w w:val="105"/>
        </w:rPr>
        <w:t>have </w:t>
      </w:r>
      <w:r>
        <w:rPr>
          <w:w w:val="105"/>
        </w:rPr>
        <w:t>been a </w:t>
      </w:r>
      <w:r>
        <w:rPr>
          <w:spacing w:val="-3"/>
          <w:w w:val="105"/>
        </w:rPr>
        <w:t>helpful </w:t>
      </w:r>
      <w:r>
        <w:rPr>
          <w:w w:val="105"/>
        </w:rPr>
        <w:t>guide </w:t>
      </w:r>
      <w:r>
        <w:rPr>
          <w:spacing w:val="-3"/>
          <w:w w:val="105"/>
        </w:rPr>
        <w:t>for </w:t>
      </w:r>
      <w:r>
        <w:rPr>
          <w:w w:val="105"/>
        </w:rPr>
        <w:t>the </w:t>
      </w:r>
      <w:r>
        <w:rPr>
          <w:spacing w:val="-3"/>
          <w:w w:val="105"/>
        </w:rPr>
        <w:t>Commission </w:t>
      </w:r>
      <w:r>
        <w:rPr>
          <w:w w:val="105"/>
        </w:rPr>
        <w:t>where </w:t>
      </w:r>
      <w:r>
        <w:rPr>
          <w:spacing w:val="-3"/>
          <w:w w:val="105"/>
        </w:rPr>
        <w:t>suited to </w:t>
      </w:r>
      <w:r>
        <w:rPr>
          <w:w w:val="105"/>
        </w:rPr>
        <w:t>local Victorian </w:t>
      </w:r>
      <w:r>
        <w:rPr>
          <w:spacing w:val="-3"/>
          <w:w w:val="105"/>
        </w:rPr>
        <w:t>circumstances.</w:t>
      </w:r>
    </w:p>
    <w:p>
      <w:pPr>
        <w:pStyle w:val="BodyText"/>
        <w:spacing w:before="9"/>
      </w:pPr>
    </w:p>
    <w:p>
      <w:pPr>
        <w:pStyle w:val="Heading4"/>
        <w:spacing w:before="1"/>
      </w:pPr>
      <w:r>
        <w:rPr>
          <w:color w:val="658464"/>
          <w:w w:val="115"/>
        </w:rPr>
        <w:t>Structure of the report</w:t>
      </w:r>
    </w:p>
    <w:p>
      <w:pPr>
        <w:pStyle w:val="ListParagraph"/>
        <w:numPr>
          <w:ilvl w:val="1"/>
          <w:numId w:val="16"/>
        </w:numPr>
        <w:tabs>
          <w:tab w:pos="2381" w:val="left" w:leader="none"/>
          <w:tab w:pos="2382" w:val="left" w:leader="none"/>
        </w:tabs>
        <w:spacing w:line="240" w:lineRule="auto" w:before="154" w:after="0"/>
        <w:ind w:left="2381" w:right="0" w:hanging="794"/>
        <w:jc w:val="left"/>
        <w:rPr>
          <w:sz w:val="21"/>
        </w:rPr>
      </w:pPr>
      <w:r>
        <w:rPr>
          <w:sz w:val="21"/>
        </w:rPr>
        <w:t>This report is divided </w:t>
      </w:r>
      <w:r>
        <w:rPr>
          <w:spacing w:val="-4"/>
          <w:sz w:val="21"/>
        </w:rPr>
        <w:t>into </w:t>
      </w:r>
      <w:r>
        <w:rPr>
          <w:spacing w:val="-9"/>
          <w:sz w:val="21"/>
        </w:rPr>
        <w:t>13</w:t>
      </w:r>
      <w:r>
        <w:rPr>
          <w:spacing w:val="17"/>
          <w:sz w:val="21"/>
        </w:rPr>
        <w:t> </w:t>
      </w:r>
      <w:r>
        <w:rPr>
          <w:spacing w:val="-3"/>
          <w:sz w:val="21"/>
        </w:rPr>
        <w:t>chapters.</w:t>
      </w:r>
    </w:p>
    <w:p>
      <w:pPr>
        <w:pStyle w:val="ListParagraph"/>
        <w:numPr>
          <w:ilvl w:val="1"/>
          <w:numId w:val="16"/>
        </w:numPr>
        <w:tabs>
          <w:tab w:pos="2381" w:val="left" w:leader="none"/>
          <w:tab w:pos="2382" w:val="left" w:leader="none"/>
        </w:tabs>
        <w:spacing w:line="242" w:lineRule="auto" w:before="124" w:after="0"/>
        <w:ind w:left="2381" w:right="1670" w:hanging="794"/>
        <w:jc w:val="left"/>
        <w:rPr>
          <w:sz w:val="21"/>
        </w:rPr>
      </w:pPr>
      <w:r>
        <w:rPr>
          <w:b/>
          <w:w w:val="105"/>
          <w:sz w:val="21"/>
        </w:rPr>
        <w:t>Chapter 2 </w:t>
      </w:r>
      <w:r>
        <w:rPr>
          <w:w w:val="105"/>
          <w:sz w:val="21"/>
        </w:rPr>
        <w:t>considers the </w:t>
      </w:r>
      <w:r>
        <w:rPr>
          <w:spacing w:val="-3"/>
          <w:w w:val="105"/>
          <w:sz w:val="21"/>
        </w:rPr>
        <w:t>prevalence </w:t>
      </w:r>
      <w:r>
        <w:rPr>
          <w:w w:val="105"/>
          <w:sz w:val="21"/>
        </w:rPr>
        <w:t>of neighbourhood tree </w:t>
      </w:r>
      <w:r>
        <w:rPr>
          <w:spacing w:val="-3"/>
          <w:w w:val="105"/>
          <w:sz w:val="21"/>
        </w:rPr>
        <w:t>disputes </w:t>
      </w:r>
      <w:r>
        <w:rPr>
          <w:w w:val="105"/>
          <w:sz w:val="21"/>
        </w:rPr>
        <w:t>in Victoria. It </w:t>
      </w:r>
      <w:r>
        <w:rPr>
          <w:spacing w:val="-2"/>
          <w:w w:val="105"/>
          <w:sz w:val="21"/>
        </w:rPr>
        <w:t>examines </w:t>
      </w:r>
      <w:r>
        <w:rPr>
          <w:w w:val="105"/>
          <w:sz w:val="21"/>
        </w:rPr>
        <w:t>the </w:t>
      </w:r>
      <w:r>
        <w:rPr>
          <w:spacing w:val="-2"/>
          <w:w w:val="105"/>
          <w:sz w:val="21"/>
        </w:rPr>
        <w:t>common </w:t>
      </w:r>
      <w:r>
        <w:rPr>
          <w:spacing w:val="-3"/>
          <w:w w:val="105"/>
          <w:sz w:val="21"/>
        </w:rPr>
        <w:t>features </w:t>
      </w:r>
      <w:r>
        <w:rPr>
          <w:w w:val="105"/>
          <w:sz w:val="21"/>
        </w:rPr>
        <w:t>of neighbourhood tree </w:t>
      </w:r>
      <w:r>
        <w:rPr>
          <w:spacing w:val="-3"/>
          <w:w w:val="105"/>
          <w:sz w:val="21"/>
        </w:rPr>
        <w:t>disputes </w:t>
      </w:r>
      <w:r>
        <w:rPr>
          <w:w w:val="105"/>
          <w:sz w:val="21"/>
        </w:rPr>
        <w:t>as </w:t>
      </w:r>
      <w:r>
        <w:rPr>
          <w:spacing w:val="-3"/>
          <w:w w:val="105"/>
          <w:sz w:val="21"/>
        </w:rPr>
        <w:t>well </w:t>
      </w:r>
      <w:r>
        <w:rPr>
          <w:w w:val="105"/>
          <w:sz w:val="21"/>
        </w:rPr>
        <w:t>as the impact they</w:t>
      </w:r>
      <w:r>
        <w:rPr>
          <w:spacing w:val="-7"/>
          <w:w w:val="105"/>
          <w:sz w:val="21"/>
        </w:rPr>
        <w:t> </w:t>
      </w:r>
      <w:r>
        <w:rPr>
          <w:spacing w:val="-3"/>
          <w:w w:val="105"/>
          <w:sz w:val="21"/>
        </w:rPr>
        <w:t>have</w:t>
      </w:r>
      <w:r>
        <w:rPr>
          <w:spacing w:val="-6"/>
          <w:w w:val="105"/>
          <w:sz w:val="21"/>
        </w:rPr>
        <w:t> </w:t>
      </w:r>
      <w:r>
        <w:rPr>
          <w:w w:val="105"/>
          <w:sz w:val="21"/>
        </w:rPr>
        <w:t>on</w:t>
      </w:r>
      <w:r>
        <w:rPr>
          <w:spacing w:val="-6"/>
          <w:w w:val="105"/>
          <w:sz w:val="21"/>
        </w:rPr>
        <w:t> </w:t>
      </w:r>
      <w:r>
        <w:rPr>
          <w:w w:val="105"/>
          <w:sz w:val="21"/>
        </w:rPr>
        <w:t>neighbours.</w:t>
      </w:r>
      <w:r>
        <w:rPr>
          <w:spacing w:val="-6"/>
          <w:w w:val="105"/>
          <w:sz w:val="21"/>
        </w:rPr>
        <w:t> </w:t>
      </w:r>
      <w:r>
        <w:rPr>
          <w:w w:val="105"/>
          <w:sz w:val="21"/>
        </w:rPr>
        <w:t>It</w:t>
      </w:r>
      <w:r>
        <w:rPr>
          <w:spacing w:val="-6"/>
          <w:w w:val="105"/>
          <w:sz w:val="21"/>
        </w:rPr>
        <w:t> </w:t>
      </w:r>
      <w:r>
        <w:rPr>
          <w:spacing w:val="-3"/>
          <w:w w:val="105"/>
          <w:sz w:val="21"/>
        </w:rPr>
        <w:t>concludes</w:t>
      </w:r>
      <w:r>
        <w:rPr>
          <w:spacing w:val="-6"/>
          <w:w w:val="105"/>
          <w:sz w:val="21"/>
        </w:rPr>
        <w:t> </w:t>
      </w:r>
      <w:r>
        <w:rPr>
          <w:w w:val="105"/>
          <w:sz w:val="21"/>
        </w:rPr>
        <w:t>by</w:t>
      </w:r>
      <w:r>
        <w:rPr>
          <w:spacing w:val="-6"/>
          <w:w w:val="105"/>
          <w:sz w:val="21"/>
        </w:rPr>
        <w:t> </w:t>
      </w:r>
      <w:r>
        <w:rPr>
          <w:w w:val="105"/>
          <w:sz w:val="21"/>
        </w:rPr>
        <w:t>exploring</w:t>
      </w:r>
      <w:r>
        <w:rPr>
          <w:spacing w:val="-6"/>
          <w:w w:val="105"/>
          <w:sz w:val="21"/>
        </w:rPr>
        <w:t> </w:t>
      </w:r>
      <w:r>
        <w:rPr>
          <w:w w:val="105"/>
          <w:sz w:val="21"/>
        </w:rPr>
        <w:t>some</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w w:val="105"/>
          <w:sz w:val="21"/>
        </w:rPr>
        <w:t>factors</w:t>
      </w:r>
      <w:r>
        <w:rPr>
          <w:spacing w:val="-6"/>
          <w:w w:val="105"/>
          <w:sz w:val="21"/>
        </w:rPr>
        <w:t> </w:t>
      </w:r>
      <w:r>
        <w:rPr>
          <w:spacing w:val="-3"/>
          <w:w w:val="105"/>
          <w:sz w:val="21"/>
        </w:rPr>
        <w:t>that</w:t>
      </w:r>
      <w:r>
        <w:rPr>
          <w:spacing w:val="-6"/>
          <w:w w:val="105"/>
          <w:sz w:val="21"/>
        </w:rPr>
        <w:t> </w:t>
      </w:r>
      <w:r>
        <w:rPr>
          <w:spacing w:val="-3"/>
          <w:w w:val="105"/>
          <w:sz w:val="21"/>
        </w:rPr>
        <w:t>contribute</w:t>
      </w:r>
      <w:r>
        <w:rPr>
          <w:spacing w:val="-6"/>
          <w:w w:val="105"/>
          <w:sz w:val="21"/>
        </w:rPr>
        <w:t> </w:t>
      </w:r>
      <w:r>
        <w:rPr>
          <w:spacing w:val="-3"/>
          <w:w w:val="105"/>
          <w:sz w:val="21"/>
        </w:rPr>
        <w:t>to </w:t>
      </w:r>
      <w:r>
        <w:rPr>
          <w:w w:val="105"/>
          <w:sz w:val="21"/>
        </w:rPr>
        <w:t>these</w:t>
      </w:r>
      <w:r>
        <w:rPr>
          <w:spacing w:val="5"/>
          <w:w w:val="105"/>
          <w:sz w:val="21"/>
        </w:rPr>
        <w:t> </w:t>
      </w:r>
      <w:r>
        <w:rPr>
          <w:spacing w:val="-3"/>
          <w:w w:val="105"/>
          <w:sz w:val="21"/>
        </w:rPr>
        <w:t>disputes.</w:t>
      </w:r>
    </w:p>
    <w:p>
      <w:pPr>
        <w:pStyle w:val="ListParagraph"/>
        <w:numPr>
          <w:ilvl w:val="1"/>
          <w:numId w:val="16"/>
        </w:numPr>
        <w:tabs>
          <w:tab w:pos="2381" w:val="left" w:leader="none"/>
          <w:tab w:pos="2382" w:val="left" w:leader="none"/>
        </w:tabs>
        <w:spacing w:line="242" w:lineRule="auto" w:before="125" w:after="0"/>
        <w:ind w:left="2381" w:right="1788" w:hanging="794"/>
        <w:jc w:val="left"/>
        <w:rPr>
          <w:sz w:val="21"/>
        </w:rPr>
      </w:pPr>
      <w:r>
        <w:rPr>
          <w:b/>
          <w:sz w:val="21"/>
        </w:rPr>
        <w:t>Chapter 3 </w:t>
      </w:r>
      <w:r>
        <w:rPr>
          <w:sz w:val="21"/>
        </w:rPr>
        <w:t>describes the </w:t>
      </w:r>
      <w:r>
        <w:rPr>
          <w:spacing w:val="-3"/>
          <w:sz w:val="21"/>
        </w:rPr>
        <w:t>current </w:t>
      </w:r>
      <w:r>
        <w:rPr>
          <w:sz w:val="21"/>
        </w:rPr>
        <w:t>law </w:t>
      </w:r>
      <w:r>
        <w:rPr>
          <w:spacing w:val="-3"/>
          <w:sz w:val="21"/>
        </w:rPr>
        <w:t>that </w:t>
      </w:r>
      <w:r>
        <w:rPr>
          <w:sz w:val="21"/>
        </w:rPr>
        <w:t>applies </w:t>
      </w:r>
      <w:r>
        <w:rPr>
          <w:spacing w:val="-3"/>
          <w:sz w:val="21"/>
        </w:rPr>
        <w:t>to </w:t>
      </w:r>
      <w:r>
        <w:rPr>
          <w:sz w:val="21"/>
        </w:rPr>
        <w:t>the resolution of these </w:t>
      </w:r>
      <w:r>
        <w:rPr>
          <w:spacing w:val="-3"/>
          <w:sz w:val="21"/>
        </w:rPr>
        <w:t>disputes </w:t>
      </w:r>
      <w:r>
        <w:rPr>
          <w:sz w:val="21"/>
        </w:rPr>
        <w:t>and identifies some of its</w:t>
      </w:r>
      <w:r>
        <w:rPr>
          <w:spacing w:val="33"/>
          <w:sz w:val="21"/>
        </w:rPr>
        <w:t> </w:t>
      </w:r>
      <w:r>
        <w:rPr>
          <w:spacing w:val="-3"/>
          <w:sz w:val="21"/>
        </w:rPr>
        <w:t>limitations.</w:t>
      </w:r>
    </w:p>
    <w:p>
      <w:pPr>
        <w:pStyle w:val="ListParagraph"/>
        <w:numPr>
          <w:ilvl w:val="1"/>
          <w:numId w:val="16"/>
        </w:numPr>
        <w:tabs>
          <w:tab w:pos="2380" w:val="left" w:leader="none"/>
          <w:tab w:pos="2381" w:val="left" w:leader="none"/>
        </w:tabs>
        <w:spacing w:line="242" w:lineRule="auto" w:before="122" w:after="0"/>
        <w:ind w:left="2381" w:right="1974" w:hanging="794"/>
        <w:jc w:val="left"/>
        <w:rPr>
          <w:sz w:val="21"/>
        </w:rPr>
      </w:pPr>
      <w:r>
        <w:rPr>
          <w:b/>
          <w:w w:val="105"/>
          <w:sz w:val="21"/>
        </w:rPr>
        <w:t>Chapter 4 </w:t>
      </w:r>
      <w:r>
        <w:rPr>
          <w:w w:val="105"/>
          <w:sz w:val="21"/>
        </w:rPr>
        <w:t>considers the need </w:t>
      </w:r>
      <w:r>
        <w:rPr>
          <w:spacing w:val="-3"/>
          <w:w w:val="105"/>
          <w:sz w:val="21"/>
        </w:rPr>
        <w:t>for change </w:t>
      </w:r>
      <w:r>
        <w:rPr>
          <w:w w:val="105"/>
          <w:sz w:val="21"/>
        </w:rPr>
        <w:t>in more </w:t>
      </w:r>
      <w:r>
        <w:rPr>
          <w:spacing w:val="-3"/>
          <w:w w:val="105"/>
          <w:sz w:val="21"/>
        </w:rPr>
        <w:t>detail. </w:t>
      </w:r>
      <w:r>
        <w:rPr>
          <w:w w:val="105"/>
          <w:sz w:val="21"/>
        </w:rPr>
        <w:t>It briefly </w:t>
      </w:r>
      <w:r>
        <w:rPr>
          <w:spacing w:val="-2"/>
          <w:w w:val="105"/>
          <w:sz w:val="21"/>
        </w:rPr>
        <w:t>examines </w:t>
      </w:r>
      <w:r>
        <w:rPr>
          <w:spacing w:val="-3"/>
          <w:w w:val="105"/>
          <w:sz w:val="21"/>
        </w:rPr>
        <w:t>dispute </w:t>
      </w:r>
      <w:r>
        <w:rPr>
          <w:w w:val="105"/>
          <w:sz w:val="21"/>
        </w:rPr>
        <w:t>resolution </w:t>
      </w:r>
      <w:r>
        <w:rPr>
          <w:spacing w:val="-3"/>
          <w:w w:val="105"/>
          <w:sz w:val="21"/>
        </w:rPr>
        <w:t>pathways that have </w:t>
      </w:r>
      <w:r>
        <w:rPr>
          <w:w w:val="105"/>
          <w:sz w:val="21"/>
        </w:rPr>
        <w:t>been </w:t>
      </w:r>
      <w:r>
        <w:rPr>
          <w:spacing w:val="-3"/>
          <w:w w:val="105"/>
          <w:sz w:val="21"/>
        </w:rPr>
        <w:t>introduced </w:t>
      </w:r>
      <w:r>
        <w:rPr>
          <w:w w:val="105"/>
          <w:sz w:val="21"/>
        </w:rPr>
        <w:t>in other jurisdictions. </w:t>
      </w:r>
      <w:r>
        <w:rPr>
          <w:spacing w:val="-3"/>
          <w:w w:val="105"/>
          <w:sz w:val="21"/>
        </w:rPr>
        <w:t>Community </w:t>
      </w:r>
      <w:r>
        <w:rPr>
          <w:w w:val="105"/>
          <w:sz w:val="21"/>
        </w:rPr>
        <w:t>responses</w:t>
      </w:r>
      <w:r>
        <w:rPr>
          <w:spacing w:val="-11"/>
          <w:w w:val="105"/>
          <w:sz w:val="21"/>
        </w:rPr>
        <w:t> </w:t>
      </w:r>
      <w:r>
        <w:rPr>
          <w:spacing w:val="-3"/>
          <w:w w:val="105"/>
          <w:sz w:val="21"/>
        </w:rPr>
        <w:t>to</w:t>
      </w:r>
      <w:r>
        <w:rPr>
          <w:spacing w:val="-11"/>
          <w:w w:val="105"/>
          <w:sz w:val="21"/>
        </w:rPr>
        <w:t> </w:t>
      </w:r>
      <w:r>
        <w:rPr>
          <w:w w:val="105"/>
          <w:sz w:val="21"/>
        </w:rPr>
        <w:t>the</w:t>
      </w:r>
      <w:r>
        <w:rPr>
          <w:spacing w:val="-11"/>
          <w:w w:val="105"/>
          <w:sz w:val="21"/>
        </w:rPr>
        <w:t> </w:t>
      </w:r>
      <w:r>
        <w:rPr>
          <w:spacing w:val="-3"/>
          <w:w w:val="105"/>
          <w:sz w:val="21"/>
        </w:rPr>
        <w:t>preliminary</w:t>
      </w:r>
      <w:r>
        <w:rPr>
          <w:spacing w:val="-11"/>
          <w:w w:val="105"/>
          <w:sz w:val="21"/>
        </w:rPr>
        <w:t> </w:t>
      </w:r>
      <w:r>
        <w:rPr>
          <w:spacing w:val="-3"/>
          <w:w w:val="105"/>
          <w:sz w:val="21"/>
        </w:rPr>
        <w:t>reform</w:t>
      </w:r>
      <w:r>
        <w:rPr>
          <w:spacing w:val="-11"/>
          <w:w w:val="105"/>
          <w:sz w:val="21"/>
        </w:rPr>
        <w:t> </w:t>
      </w:r>
      <w:r>
        <w:rPr>
          <w:w w:val="105"/>
          <w:sz w:val="21"/>
        </w:rPr>
        <w:t>ideas</w:t>
      </w:r>
      <w:r>
        <w:rPr>
          <w:spacing w:val="-10"/>
          <w:w w:val="105"/>
          <w:sz w:val="21"/>
        </w:rPr>
        <w:t> </w:t>
      </w:r>
      <w:r>
        <w:rPr>
          <w:spacing w:val="-3"/>
          <w:w w:val="105"/>
          <w:sz w:val="21"/>
        </w:rPr>
        <w:t>presented</w:t>
      </w:r>
      <w:r>
        <w:rPr>
          <w:spacing w:val="-11"/>
          <w:w w:val="105"/>
          <w:sz w:val="21"/>
        </w:rPr>
        <w:t> </w:t>
      </w:r>
      <w:r>
        <w:rPr>
          <w:w w:val="105"/>
          <w:sz w:val="21"/>
        </w:rPr>
        <w:t>in</w:t>
      </w:r>
      <w:r>
        <w:rPr>
          <w:spacing w:val="-11"/>
          <w:w w:val="105"/>
          <w:sz w:val="21"/>
        </w:rPr>
        <w:t> </w:t>
      </w:r>
      <w:r>
        <w:rPr>
          <w:w w:val="105"/>
          <w:sz w:val="21"/>
        </w:rPr>
        <w:t>the</w:t>
      </w:r>
      <w:r>
        <w:rPr>
          <w:spacing w:val="-11"/>
          <w:w w:val="105"/>
          <w:sz w:val="21"/>
        </w:rPr>
        <w:t> </w:t>
      </w:r>
      <w:r>
        <w:rPr>
          <w:spacing w:val="-3"/>
          <w:w w:val="105"/>
          <w:sz w:val="21"/>
        </w:rPr>
        <w:t>consultation</w:t>
      </w:r>
      <w:r>
        <w:rPr>
          <w:spacing w:val="-11"/>
          <w:w w:val="105"/>
          <w:sz w:val="21"/>
        </w:rPr>
        <w:t> </w:t>
      </w:r>
      <w:r>
        <w:rPr>
          <w:w w:val="105"/>
          <w:sz w:val="21"/>
        </w:rPr>
        <w:t>paper</w:t>
      </w:r>
      <w:r>
        <w:rPr>
          <w:spacing w:val="-10"/>
          <w:w w:val="105"/>
          <w:sz w:val="21"/>
        </w:rPr>
        <w:t> </w:t>
      </w:r>
      <w:r>
        <w:rPr>
          <w:spacing w:val="-3"/>
          <w:w w:val="105"/>
          <w:sz w:val="21"/>
        </w:rPr>
        <w:t>are</w:t>
      </w:r>
      <w:r>
        <w:rPr>
          <w:spacing w:val="-11"/>
          <w:w w:val="105"/>
          <w:sz w:val="21"/>
        </w:rPr>
        <w:t> </w:t>
      </w:r>
      <w:r>
        <w:rPr>
          <w:w w:val="105"/>
          <w:sz w:val="21"/>
        </w:rPr>
        <w:t>also </w:t>
      </w:r>
      <w:r>
        <w:rPr>
          <w:spacing w:val="-3"/>
          <w:w w:val="105"/>
          <w:sz w:val="21"/>
        </w:rPr>
        <w:t>examined. </w:t>
      </w:r>
      <w:r>
        <w:rPr>
          <w:w w:val="105"/>
          <w:sz w:val="21"/>
        </w:rPr>
        <w:t>It </w:t>
      </w:r>
      <w:r>
        <w:rPr>
          <w:spacing w:val="-3"/>
          <w:w w:val="105"/>
          <w:sz w:val="21"/>
        </w:rPr>
        <w:t>concludes </w:t>
      </w:r>
      <w:r>
        <w:rPr>
          <w:w w:val="105"/>
          <w:sz w:val="21"/>
        </w:rPr>
        <w:t>by </w:t>
      </w:r>
      <w:r>
        <w:rPr>
          <w:spacing w:val="-3"/>
          <w:w w:val="105"/>
          <w:sz w:val="21"/>
        </w:rPr>
        <w:t>recommending </w:t>
      </w:r>
      <w:r>
        <w:rPr>
          <w:w w:val="105"/>
          <w:sz w:val="21"/>
        </w:rPr>
        <w:t>the introduction of a new Act in Victoria </w:t>
      </w:r>
      <w:r>
        <w:rPr>
          <w:spacing w:val="-3"/>
          <w:w w:val="105"/>
          <w:sz w:val="21"/>
        </w:rPr>
        <w:t>to regulate </w:t>
      </w:r>
      <w:r>
        <w:rPr>
          <w:w w:val="105"/>
          <w:sz w:val="21"/>
        </w:rPr>
        <w:t>neighbourhood tree </w:t>
      </w:r>
      <w:r>
        <w:rPr>
          <w:spacing w:val="-3"/>
          <w:w w:val="105"/>
          <w:sz w:val="21"/>
        </w:rPr>
        <w:t>disputes </w:t>
      </w:r>
      <w:r>
        <w:rPr>
          <w:w w:val="105"/>
          <w:sz w:val="21"/>
        </w:rPr>
        <w:t>and identifying the </w:t>
      </w:r>
      <w:r>
        <w:rPr>
          <w:spacing w:val="-3"/>
          <w:w w:val="105"/>
          <w:sz w:val="21"/>
        </w:rPr>
        <w:t>public </w:t>
      </w:r>
      <w:r>
        <w:rPr>
          <w:w w:val="105"/>
          <w:sz w:val="21"/>
        </w:rPr>
        <w:t>policy </w:t>
      </w:r>
      <w:r>
        <w:rPr>
          <w:spacing w:val="-3"/>
          <w:w w:val="105"/>
          <w:sz w:val="21"/>
        </w:rPr>
        <w:t>principles that </w:t>
      </w:r>
      <w:r>
        <w:rPr>
          <w:w w:val="105"/>
          <w:sz w:val="21"/>
        </w:rPr>
        <w:t>should </w:t>
      </w:r>
      <w:r>
        <w:rPr>
          <w:spacing w:val="-3"/>
          <w:w w:val="105"/>
          <w:sz w:val="21"/>
        </w:rPr>
        <w:t>underpin</w:t>
      </w:r>
      <w:r>
        <w:rPr>
          <w:spacing w:val="10"/>
          <w:w w:val="105"/>
          <w:sz w:val="21"/>
        </w:rPr>
        <w:t> </w:t>
      </w:r>
      <w:r>
        <w:rPr>
          <w:w w:val="105"/>
          <w:sz w:val="21"/>
        </w:rPr>
        <w:t>it.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r>
        <w:rPr/>
        <w:pict>
          <v:line style="position:absolute;mso-position-horizontal-relative:page;mso-position-vertical-relative:paragraph;z-index:-496;mso-wrap-distance-left:0;mso-wrap-distance-right:0" from="79.370102pt,11.464046pt" to="515.905102pt,11.464046pt" stroked="true" strokeweight="1pt" strokecolor="#c9d2cb">
            <v:stroke dashstyle="solid"/>
            <w10:wrap type="topAndBottom"/>
          </v:line>
        </w:pict>
      </w:r>
    </w:p>
    <w:p>
      <w:pPr>
        <w:pStyle w:val="ListParagraph"/>
        <w:numPr>
          <w:ilvl w:val="0"/>
          <w:numId w:val="17"/>
        </w:numPr>
        <w:tabs>
          <w:tab w:pos="2380" w:val="left" w:leader="none"/>
          <w:tab w:pos="2382" w:val="left" w:leader="none"/>
        </w:tabs>
        <w:spacing w:line="240" w:lineRule="auto" w:before="117" w:after="0"/>
        <w:ind w:left="2381" w:right="0" w:hanging="794"/>
        <w:jc w:val="left"/>
        <w:rPr>
          <w:sz w:val="13"/>
        </w:rPr>
      </w:pPr>
      <w:r>
        <w:rPr>
          <w:w w:val="105"/>
          <w:sz w:val="13"/>
        </w:rPr>
        <w:t>New</w:t>
      </w:r>
      <w:r>
        <w:rPr>
          <w:spacing w:val="5"/>
          <w:w w:val="105"/>
          <w:sz w:val="13"/>
        </w:rPr>
        <w:t> </w:t>
      </w:r>
      <w:r>
        <w:rPr>
          <w:w w:val="105"/>
          <w:sz w:val="13"/>
        </w:rPr>
        <w:t>South</w:t>
      </w:r>
      <w:r>
        <w:rPr>
          <w:spacing w:val="6"/>
          <w:w w:val="105"/>
          <w:sz w:val="13"/>
        </w:rPr>
        <w:t> </w:t>
      </w:r>
      <w:r>
        <w:rPr>
          <w:w w:val="105"/>
          <w:sz w:val="13"/>
        </w:rPr>
        <w:t>Wales</w:t>
      </w:r>
      <w:r>
        <w:rPr>
          <w:spacing w:val="5"/>
          <w:w w:val="105"/>
          <w:sz w:val="13"/>
        </w:rPr>
        <w:t> </w:t>
      </w:r>
      <w:r>
        <w:rPr>
          <w:w w:val="105"/>
          <w:sz w:val="13"/>
        </w:rPr>
        <w:t>Law</w:t>
      </w:r>
      <w:r>
        <w:rPr>
          <w:spacing w:val="6"/>
          <w:w w:val="105"/>
          <w:sz w:val="13"/>
        </w:rPr>
        <w:t> </w:t>
      </w:r>
      <w:r>
        <w:rPr>
          <w:w w:val="105"/>
          <w:sz w:val="13"/>
        </w:rPr>
        <w:t>Reform</w:t>
      </w:r>
      <w:r>
        <w:rPr>
          <w:spacing w:val="6"/>
          <w:w w:val="105"/>
          <w:sz w:val="13"/>
        </w:rPr>
        <w:t> </w:t>
      </w:r>
      <w:r>
        <w:rPr>
          <w:w w:val="105"/>
          <w:sz w:val="13"/>
        </w:rPr>
        <w:t>Commission,</w:t>
      </w:r>
      <w:r>
        <w:rPr>
          <w:spacing w:val="5"/>
          <w:w w:val="105"/>
          <w:sz w:val="13"/>
        </w:rPr>
        <w:t> </w:t>
      </w:r>
      <w:r>
        <w:rPr>
          <w:i/>
          <w:w w:val="105"/>
          <w:sz w:val="13"/>
        </w:rPr>
        <w:t>Neighbour</w:t>
      </w:r>
      <w:r>
        <w:rPr>
          <w:i/>
          <w:spacing w:val="6"/>
          <w:w w:val="105"/>
          <w:sz w:val="13"/>
        </w:rPr>
        <w:t> </w:t>
      </w:r>
      <w:r>
        <w:rPr>
          <w:i/>
          <w:w w:val="105"/>
          <w:sz w:val="13"/>
        </w:rPr>
        <w:t>and</w:t>
      </w:r>
      <w:r>
        <w:rPr>
          <w:i/>
          <w:spacing w:val="5"/>
          <w:w w:val="105"/>
          <w:sz w:val="13"/>
        </w:rPr>
        <w:t> </w:t>
      </w:r>
      <w:r>
        <w:rPr>
          <w:i/>
          <w:w w:val="105"/>
          <w:sz w:val="13"/>
        </w:rPr>
        <w:t>Neighbour</w:t>
      </w:r>
      <w:r>
        <w:rPr>
          <w:i/>
          <w:spacing w:val="6"/>
          <w:w w:val="105"/>
          <w:sz w:val="13"/>
        </w:rPr>
        <w:t> </w:t>
      </w:r>
      <w:r>
        <w:rPr>
          <w:i/>
          <w:w w:val="105"/>
          <w:sz w:val="13"/>
        </w:rPr>
        <w:t>Relations</w:t>
      </w:r>
      <w:r>
        <w:rPr>
          <w:i/>
          <w:spacing w:val="6"/>
          <w:w w:val="105"/>
          <w:sz w:val="13"/>
        </w:rPr>
        <w:t> </w:t>
      </w:r>
      <w:r>
        <w:rPr>
          <w:spacing w:val="2"/>
          <w:w w:val="105"/>
          <w:sz w:val="13"/>
        </w:rPr>
        <w:t>(Report</w:t>
      </w:r>
      <w:r>
        <w:rPr>
          <w:spacing w:val="5"/>
          <w:w w:val="105"/>
          <w:sz w:val="13"/>
        </w:rPr>
        <w:t> </w:t>
      </w:r>
      <w:r>
        <w:rPr>
          <w:w w:val="105"/>
          <w:sz w:val="13"/>
        </w:rPr>
        <w:t>No</w:t>
      </w:r>
      <w:r>
        <w:rPr>
          <w:spacing w:val="6"/>
          <w:w w:val="105"/>
          <w:sz w:val="13"/>
        </w:rPr>
        <w:t> </w:t>
      </w:r>
      <w:r>
        <w:rPr>
          <w:spacing w:val="2"/>
          <w:w w:val="105"/>
          <w:sz w:val="13"/>
        </w:rPr>
        <w:t>88,</w:t>
      </w:r>
      <w:r>
        <w:rPr>
          <w:spacing w:val="5"/>
          <w:w w:val="105"/>
          <w:sz w:val="13"/>
        </w:rPr>
        <w:t> </w:t>
      </w:r>
      <w:r>
        <w:rPr>
          <w:w w:val="105"/>
          <w:sz w:val="13"/>
        </w:rPr>
        <w:t>1998);</w:t>
      </w:r>
      <w:r>
        <w:rPr>
          <w:spacing w:val="6"/>
          <w:w w:val="105"/>
          <w:sz w:val="13"/>
        </w:rPr>
        <w:t> </w:t>
      </w:r>
      <w:r>
        <w:rPr>
          <w:w w:val="105"/>
          <w:sz w:val="13"/>
        </w:rPr>
        <w:t>Department</w:t>
      </w:r>
      <w:r>
        <w:rPr>
          <w:spacing w:val="6"/>
          <w:w w:val="105"/>
          <w:sz w:val="13"/>
        </w:rPr>
        <w:t> </w:t>
      </w:r>
      <w:r>
        <w:rPr>
          <w:w w:val="105"/>
          <w:sz w:val="13"/>
        </w:rPr>
        <w:t>of</w:t>
      </w:r>
      <w:r>
        <w:rPr>
          <w:spacing w:val="5"/>
          <w:w w:val="105"/>
          <w:sz w:val="13"/>
        </w:rPr>
        <w:t> </w:t>
      </w:r>
      <w:r>
        <w:rPr>
          <w:w w:val="105"/>
          <w:sz w:val="13"/>
        </w:rPr>
        <w:t>Justice</w:t>
      </w:r>
      <w:r>
        <w:rPr>
          <w:spacing w:val="6"/>
          <w:w w:val="105"/>
          <w:sz w:val="13"/>
        </w:rPr>
        <w:t> </w:t>
      </w:r>
      <w:r>
        <w:rPr>
          <w:w w:val="105"/>
          <w:sz w:val="13"/>
        </w:rPr>
        <w:t>and</w:t>
      </w:r>
    </w:p>
    <w:p>
      <w:pPr>
        <w:spacing w:before="1"/>
        <w:ind w:left="2381" w:right="1636" w:firstLine="0"/>
        <w:jc w:val="left"/>
        <w:rPr>
          <w:sz w:val="13"/>
        </w:rPr>
      </w:pPr>
      <w:r>
        <w:rPr>
          <w:w w:val="105"/>
          <w:sz w:val="13"/>
        </w:rPr>
        <w:t>Attorney-General (Qld), </w:t>
      </w:r>
      <w:r>
        <w:rPr>
          <w:i/>
          <w:w w:val="105"/>
          <w:sz w:val="13"/>
        </w:rPr>
        <w:t>Review of Neighbourly Relations: Trees </w:t>
      </w:r>
      <w:r>
        <w:rPr>
          <w:w w:val="105"/>
          <w:sz w:val="13"/>
        </w:rPr>
        <w:t>(Discussion Paper, July 2008); Tasmania Law Reform Institute, </w:t>
      </w:r>
      <w:r>
        <w:rPr>
          <w:i/>
          <w:w w:val="105"/>
          <w:sz w:val="13"/>
        </w:rPr>
        <w:t>Problem Trees </w:t>
      </w:r>
      <w:r>
        <w:rPr>
          <w:i/>
          <w:w w:val="105"/>
          <w:sz w:val="13"/>
        </w:rPr>
        <w:t>and Hedges: Access to Sunlight and Views </w:t>
      </w:r>
      <w:r>
        <w:rPr>
          <w:w w:val="105"/>
          <w:sz w:val="13"/>
        </w:rPr>
        <w:t>(Report No 21, January 2016).</w:t>
      </w:r>
    </w:p>
    <w:p>
      <w:pPr>
        <w:pStyle w:val="ListParagraph"/>
        <w:numPr>
          <w:ilvl w:val="0"/>
          <w:numId w:val="17"/>
        </w:numPr>
        <w:tabs>
          <w:tab w:pos="2380" w:val="left" w:leader="none"/>
          <w:tab w:pos="2382" w:val="left" w:leader="none"/>
        </w:tabs>
        <w:spacing w:line="240" w:lineRule="auto" w:before="3" w:after="0"/>
        <w:ind w:left="2381" w:right="1700" w:hanging="794"/>
        <w:jc w:val="left"/>
        <w:rPr>
          <w:sz w:val="13"/>
        </w:rPr>
      </w:pPr>
      <w:r>
        <w:rPr/>
        <w:pict>
          <v:shape style="position:absolute;margin-left:36pt;margin-top:11.114663pt;width:6.7pt;height:14.25pt;mso-position-horizontal-relative:page;mso-position-vertical-relative:paragraph;z-index:1576" type="#_x0000_t202" filled="false" stroked="false">
            <v:textbox inset="0,0,0,0">
              <w:txbxContent>
                <w:p>
                  <w:pPr>
                    <w:spacing w:line="284" w:lineRule="exact" w:before="0"/>
                    <w:ind w:left="0" w:right="0" w:firstLine="0"/>
                    <w:jc w:val="left"/>
                    <w:rPr>
                      <w:b/>
                      <w:sz w:val="24"/>
                    </w:rPr>
                  </w:pPr>
                  <w:r>
                    <w:rPr>
                      <w:b/>
                      <w:color w:val="658464"/>
                      <w:w w:val="109"/>
                      <w:sz w:val="24"/>
                    </w:rPr>
                    <w:t>4</w:t>
                  </w:r>
                </w:p>
              </w:txbxContent>
            </v:textbox>
            <w10:wrap type="none"/>
          </v:shape>
        </w:pict>
      </w:r>
      <w:r>
        <w:rPr>
          <w:w w:val="105"/>
          <w:sz w:val="13"/>
        </w:rPr>
        <w:t>Department of Justice and Attorney-General </w:t>
      </w:r>
      <w:r>
        <w:rPr>
          <w:spacing w:val="3"/>
          <w:w w:val="105"/>
          <w:sz w:val="13"/>
        </w:rPr>
        <w:t>(NSW), </w:t>
      </w:r>
      <w:r>
        <w:rPr>
          <w:i/>
          <w:w w:val="105"/>
          <w:sz w:val="13"/>
        </w:rPr>
        <w:t>Review of the Trees (Disputes Between Neighbours) Act 2006 </w:t>
      </w:r>
      <w:r>
        <w:rPr>
          <w:spacing w:val="3"/>
          <w:w w:val="105"/>
          <w:sz w:val="13"/>
        </w:rPr>
        <w:t>(NSW) </w:t>
      </w:r>
      <w:r>
        <w:rPr>
          <w:spacing w:val="2"/>
          <w:w w:val="105"/>
          <w:sz w:val="13"/>
        </w:rPr>
        <w:t>(Report, </w:t>
      </w:r>
      <w:r>
        <w:rPr>
          <w:spacing w:val="3"/>
          <w:w w:val="105"/>
          <w:sz w:val="13"/>
        </w:rPr>
        <w:t>2009); </w:t>
      </w: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w:t>
      </w:r>
      <w:r>
        <w:rPr>
          <w:spacing w:val="4"/>
          <w:w w:val="105"/>
          <w:sz w:val="13"/>
        </w:rPr>
        <w:t> </w:t>
      </w:r>
      <w:r>
        <w:rPr>
          <w:w w:val="105"/>
          <w:sz w:val="13"/>
        </w:rPr>
        <w:t>2015).</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4"/>
        <w:rPr>
          <w:sz w:val="18"/>
        </w:rPr>
      </w:pPr>
    </w:p>
    <w:p>
      <w:pPr>
        <w:pStyle w:val="ListParagraph"/>
        <w:numPr>
          <w:ilvl w:val="1"/>
          <w:numId w:val="16"/>
        </w:numPr>
        <w:tabs>
          <w:tab w:pos="2381" w:val="left" w:leader="none"/>
          <w:tab w:pos="2382" w:val="left" w:leader="none"/>
        </w:tabs>
        <w:spacing w:line="242" w:lineRule="auto" w:before="96" w:after="0"/>
        <w:ind w:left="2381" w:right="1745" w:hanging="794"/>
        <w:jc w:val="left"/>
        <w:rPr>
          <w:sz w:val="21"/>
        </w:rPr>
      </w:pPr>
      <w:r>
        <w:rPr>
          <w:b/>
          <w:w w:val="105"/>
          <w:sz w:val="21"/>
        </w:rPr>
        <w:t>Chapter</w:t>
      </w:r>
      <w:r>
        <w:rPr>
          <w:b/>
          <w:spacing w:val="-3"/>
          <w:w w:val="105"/>
          <w:sz w:val="21"/>
        </w:rPr>
        <w:t> </w:t>
      </w:r>
      <w:r>
        <w:rPr>
          <w:b/>
          <w:w w:val="105"/>
          <w:sz w:val="21"/>
        </w:rPr>
        <w:t>5</w:t>
      </w:r>
      <w:r>
        <w:rPr>
          <w:b/>
          <w:spacing w:val="-3"/>
          <w:w w:val="105"/>
          <w:sz w:val="21"/>
        </w:rPr>
        <w:t> </w:t>
      </w:r>
      <w:r>
        <w:rPr>
          <w:w w:val="105"/>
          <w:sz w:val="21"/>
        </w:rPr>
        <w:t>considers</w:t>
      </w:r>
      <w:r>
        <w:rPr>
          <w:spacing w:val="-3"/>
          <w:w w:val="105"/>
          <w:sz w:val="21"/>
        </w:rPr>
        <w:t> </w:t>
      </w:r>
      <w:r>
        <w:rPr>
          <w:w w:val="105"/>
          <w:sz w:val="21"/>
        </w:rPr>
        <w:t>the</w:t>
      </w:r>
      <w:r>
        <w:rPr>
          <w:spacing w:val="-2"/>
          <w:w w:val="105"/>
          <w:sz w:val="21"/>
        </w:rPr>
        <w:t> </w:t>
      </w:r>
      <w:r>
        <w:rPr>
          <w:w w:val="105"/>
          <w:sz w:val="21"/>
        </w:rPr>
        <w:t>scope</w:t>
      </w:r>
      <w:r>
        <w:rPr>
          <w:spacing w:val="-3"/>
          <w:w w:val="105"/>
          <w:sz w:val="21"/>
        </w:rPr>
        <w:t> </w:t>
      </w:r>
      <w:r>
        <w:rPr>
          <w:w w:val="105"/>
          <w:sz w:val="21"/>
        </w:rPr>
        <w:t>of</w:t>
      </w:r>
      <w:r>
        <w:rPr>
          <w:spacing w:val="-3"/>
          <w:w w:val="105"/>
          <w:sz w:val="21"/>
        </w:rPr>
        <w:t> </w:t>
      </w:r>
      <w:r>
        <w:rPr>
          <w:w w:val="105"/>
          <w:sz w:val="21"/>
        </w:rPr>
        <w:t>the</w:t>
      </w:r>
      <w:r>
        <w:rPr>
          <w:spacing w:val="-2"/>
          <w:w w:val="105"/>
          <w:sz w:val="21"/>
        </w:rPr>
        <w:t> </w:t>
      </w:r>
      <w:r>
        <w:rPr>
          <w:w w:val="105"/>
          <w:sz w:val="21"/>
        </w:rPr>
        <w:t>new</w:t>
      </w:r>
      <w:r>
        <w:rPr>
          <w:spacing w:val="-3"/>
          <w:w w:val="105"/>
          <w:sz w:val="21"/>
        </w:rPr>
        <w:t> </w:t>
      </w:r>
      <w:r>
        <w:rPr>
          <w:w w:val="105"/>
          <w:sz w:val="21"/>
        </w:rPr>
        <w:t>Act.</w:t>
      </w:r>
      <w:r>
        <w:rPr>
          <w:spacing w:val="-3"/>
          <w:w w:val="105"/>
          <w:sz w:val="21"/>
        </w:rPr>
        <w:t> </w:t>
      </w:r>
      <w:r>
        <w:rPr>
          <w:w w:val="105"/>
          <w:sz w:val="21"/>
        </w:rPr>
        <w:t>It</w:t>
      </w:r>
      <w:r>
        <w:rPr>
          <w:spacing w:val="-2"/>
          <w:w w:val="105"/>
          <w:sz w:val="21"/>
        </w:rPr>
        <w:t> </w:t>
      </w:r>
      <w:r>
        <w:rPr>
          <w:w w:val="105"/>
          <w:sz w:val="21"/>
        </w:rPr>
        <w:t>explores</w:t>
      </w:r>
      <w:r>
        <w:rPr>
          <w:spacing w:val="-3"/>
          <w:w w:val="105"/>
          <w:sz w:val="21"/>
        </w:rPr>
        <w:t> </w:t>
      </w:r>
      <w:r>
        <w:rPr>
          <w:w w:val="105"/>
          <w:sz w:val="21"/>
        </w:rPr>
        <w:t>what</w:t>
      </w:r>
      <w:r>
        <w:rPr>
          <w:spacing w:val="-3"/>
          <w:w w:val="105"/>
          <w:sz w:val="21"/>
        </w:rPr>
        <w:t> </w:t>
      </w:r>
      <w:r>
        <w:rPr>
          <w:w w:val="105"/>
          <w:sz w:val="21"/>
        </w:rPr>
        <w:t>types</w:t>
      </w:r>
      <w:r>
        <w:rPr>
          <w:spacing w:val="-2"/>
          <w:w w:val="105"/>
          <w:sz w:val="21"/>
        </w:rPr>
        <w:t> </w:t>
      </w:r>
      <w:r>
        <w:rPr>
          <w:w w:val="105"/>
          <w:sz w:val="21"/>
        </w:rPr>
        <w:t>of</w:t>
      </w:r>
      <w:r>
        <w:rPr>
          <w:spacing w:val="-3"/>
          <w:w w:val="105"/>
          <w:sz w:val="21"/>
        </w:rPr>
        <w:t> </w:t>
      </w:r>
      <w:r>
        <w:rPr>
          <w:w w:val="105"/>
          <w:sz w:val="21"/>
        </w:rPr>
        <w:t>vegetation</w:t>
      </w:r>
      <w:r>
        <w:rPr>
          <w:spacing w:val="-3"/>
          <w:w w:val="105"/>
          <w:sz w:val="21"/>
        </w:rPr>
        <w:t> </w:t>
      </w:r>
      <w:r>
        <w:rPr>
          <w:w w:val="105"/>
          <w:sz w:val="21"/>
        </w:rPr>
        <w:t>and </w:t>
      </w:r>
      <w:r>
        <w:rPr>
          <w:spacing w:val="-3"/>
          <w:w w:val="105"/>
          <w:sz w:val="21"/>
        </w:rPr>
        <w:t>land </w:t>
      </w:r>
      <w:r>
        <w:rPr>
          <w:w w:val="105"/>
          <w:sz w:val="21"/>
        </w:rPr>
        <w:t>should come </w:t>
      </w:r>
      <w:r>
        <w:rPr>
          <w:spacing w:val="-3"/>
          <w:w w:val="105"/>
          <w:sz w:val="21"/>
        </w:rPr>
        <w:t>within </w:t>
      </w:r>
      <w:r>
        <w:rPr>
          <w:w w:val="105"/>
          <w:sz w:val="21"/>
        </w:rPr>
        <w:t>its </w:t>
      </w:r>
      <w:r>
        <w:rPr>
          <w:spacing w:val="-3"/>
          <w:w w:val="105"/>
          <w:sz w:val="21"/>
        </w:rPr>
        <w:t>scope. </w:t>
      </w:r>
      <w:r>
        <w:rPr>
          <w:w w:val="105"/>
          <w:sz w:val="21"/>
        </w:rPr>
        <w:t>It also considers the types of conduct </w:t>
      </w:r>
      <w:r>
        <w:rPr>
          <w:spacing w:val="-3"/>
          <w:w w:val="105"/>
          <w:sz w:val="21"/>
        </w:rPr>
        <w:t>that will </w:t>
      </w:r>
      <w:r>
        <w:rPr>
          <w:w w:val="105"/>
          <w:sz w:val="21"/>
        </w:rPr>
        <w:t>be actionable, who can </w:t>
      </w:r>
      <w:r>
        <w:rPr>
          <w:spacing w:val="-3"/>
          <w:w w:val="105"/>
          <w:sz w:val="21"/>
        </w:rPr>
        <w:t>bring </w:t>
      </w:r>
      <w:r>
        <w:rPr>
          <w:w w:val="105"/>
          <w:sz w:val="21"/>
        </w:rPr>
        <w:t>an application and who should be notified of an application </w:t>
      </w:r>
      <w:r>
        <w:rPr>
          <w:spacing w:val="-3"/>
          <w:w w:val="105"/>
          <w:sz w:val="21"/>
        </w:rPr>
        <w:t>that </w:t>
      </w:r>
      <w:r>
        <w:rPr>
          <w:w w:val="105"/>
          <w:sz w:val="21"/>
        </w:rPr>
        <w:t>is</w:t>
      </w:r>
      <w:r>
        <w:rPr>
          <w:spacing w:val="13"/>
          <w:w w:val="105"/>
          <w:sz w:val="21"/>
        </w:rPr>
        <w:t> </w:t>
      </w:r>
      <w:r>
        <w:rPr>
          <w:spacing w:val="-3"/>
          <w:w w:val="105"/>
          <w:sz w:val="21"/>
        </w:rPr>
        <w:t>made.</w:t>
      </w:r>
    </w:p>
    <w:p>
      <w:pPr>
        <w:pStyle w:val="ListParagraph"/>
        <w:numPr>
          <w:ilvl w:val="1"/>
          <w:numId w:val="16"/>
        </w:numPr>
        <w:tabs>
          <w:tab w:pos="2381" w:val="left" w:leader="none"/>
          <w:tab w:pos="2382" w:val="left" w:leader="none"/>
        </w:tabs>
        <w:spacing w:line="242" w:lineRule="auto" w:before="125" w:after="0"/>
        <w:ind w:left="2381" w:right="1842" w:hanging="794"/>
        <w:jc w:val="left"/>
        <w:rPr>
          <w:sz w:val="21"/>
        </w:rPr>
      </w:pPr>
      <w:r>
        <w:rPr>
          <w:b/>
          <w:w w:val="105"/>
          <w:sz w:val="21"/>
        </w:rPr>
        <w:t>Chapter 6 </w:t>
      </w:r>
      <w:r>
        <w:rPr>
          <w:spacing w:val="-2"/>
          <w:w w:val="105"/>
          <w:sz w:val="21"/>
        </w:rPr>
        <w:t>examines </w:t>
      </w:r>
      <w:r>
        <w:rPr>
          <w:w w:val="105"/>
          <w:sz w:val="21"/>
        </w:rPr>
        <w:t>the importance of </w:t>
      </w:r>
      <w:r>
        <w:rPr>
          <w:spacing w:val="-3"/>
          <w:w w:val="105"/>
          <w:sz w:val="21"/>
        </w:rPr>
        <w:t>informal </w:t>
      </w:r>
      <w:r>
        <w:rPr>
          <w:w w:val="105"/>
          <w:sz w:val="21"/>
        </w:rPr>
        <w:t>resolution of tree </w:t>
      </w:r>
      <w:r>
        <w:rPr>
          <w:spacing w:val="-3"/>
          <w:w w:val="105"/>
          <w:sz w:val="21"/>
        </w:rPr>
        <w:t>disputes </w:t>
      </w:r>
      <w:r>
        <w:rPr>
          <w:w w:val="105"/>
          <w:sz w:val="21"/>
        </w:rPr>
        <w:t>and how </w:t>
      </w:r>
      <w:r>
        <w:rPr>
          <w:spacing w:val="-3"/>
          <w:w w:val="105"/>
          <w:sz w:val="21"/>
        </w:rPr>
        <w:t>to improve </w:t>
      </w:r>
      <w:r>
        <w:rPr>
          <w:w w:val="105"/>
          <w:sz w:val="21"/>
        </w:rPr>
        <w:t>and </w:t>
      </w:r>
      <w:r>
        <w:rPr>
          <w:spacing w:val="-3"/>
          <w:w w:val="105"/>
          <w:sz w:val="21"/>
        </w:rPr>
        <w:t>facilitate</w:t>
      </w:r>
      <w:r>
        <w:rPr>
          <w:spacing w:val="17"/>
          <w:w w:val="105"/>
          <w:sz w:val="21"/>
        </w:rPr>
        <w:t> </w:t>
      </w:r>
      <w:r>
        <w:rPr>
          <w:w w:val="105"/>
          <w:sz w:val="21"/>
        </w:rPr>
        <w:t>this.</w:t>
      </w:r>
    </w:p>
    <w:p>
      <w:pPr>
        <w:pStyle w:val="ListParagraph"/>
        <w:numPr>
          <w:ilvl w:val="1"/>
          <w:numId w:val="16"/>
        </w:numPr>
        <w:tabs>
          <w:tab w:pos="2381" w:val="left" w:leader="none"/>
        </w:tabs>
        <w:spacing w:line="242" w:lineRule="auto" w:before="122" w:after="0"/>
        <w:ind w:left="2381" w:right="1606" w:hanging="794"/>
        <w:jc w:val="both"/>
        <w:rPr>
          <w:sz w:val="21"/>
        </w:rPr>
      </w:pPr>
      <w:r>
        <w:rPr>
          <w:b/>
          <w:w w:val="105"/>
          <w:sz w:val="21"/>
        </w:rPr>
        <w:t>Chapter 7 </w:t>
      </w:r>
      <w:r>
        <w:rPr>
          <w:w w:val="105"/>
          <w:sz w:val="21"/>
        </w:rPr>
        <w:t>explores the </w:t>
      </w:r>
      <w:r>
        <w:rPr>
          <w:spacing w:val="-3"/>
          <w:w w:val="105"/>
          <w:sz w:val="21"/>
        </w:rPr>
        <w:t>recommendation that </w:t>
      </w:r>
      <w:r>
        <w:rPr>
          <w:spacing w:val="-5"/>
          <w:w w:val="105"/>
          <w:sz w:val="21"/>
        </w:rPr>
        <w:t>VCAT </w:t>
      </w:r>
      <w:r>
        <w:rPr>
          <w:w w:val="105"/>
          <w:sz w:val="21"/>
        </w:rPr>
        <w:t>should </w:t>
      </w:r>
      <w:r>
        <w:rPr>
          <w:spacing w:val="-3"/>
          <w:w w:val="105"/>
          <w:sz w:val="21"/>
        </w:rPr>
        <w:t>adjudicate disputes </w:t>
      </w:r>
      <w:r>
        <w:rPr>
          <w:w w:val="105"/>
          <w:sz w:val="21"/>
        </w:rPr>
        <w:t>under the new</w:t>
      </w:r>
      <w:r>
        <w:rPr>
          <w:spacing w:val="-12"/>
          <w:w w:val="105"/>
          <w:sz w:val="21"/>
        </w:rPr>
        <w:t> </w:t>
      </w:r>
      <w:r>
        <w:rPr>
          <w:w w:val="105"/>
          <w:sz w:val="21"/>
        </w:rPr>
        <w:t>Act.</w:t>
      </w:r>
      <w:r>
        <w:rPr>
          <w:spacing w:val="-11"/>
          <w:w w:val="105"/>
          <w:sz w:val="21"/>
        </w:rPr>
        <w:t> </w:t>
      </w:r>
      <w:r>
        <w:rPr>
          <w:w w:val="105"/>
          <w:sz w:val="21"/>
        </w:rPr>
        <w:t>It</w:t>
      </w:r>
      <w:r>
        <w:rPr>
          <w:spacing w:val="-12"/>
          <w:w w:val="105"/>
          <w:sz w:val="21"/>
        </w:rPr>
        <w:t> </w:t>
      </w:r>
      <w:r>
        <w:rPr>
          <w:spacing w:val="-2"/>
          <w:w w:val="105"/>
          <w:sz w:val="21"/>
        </w:rPr>
        <w:t>examines</w:t>
      </w:r>
      <w:r>
        <w:rPr>
          <w:spacing w:val="-11"/>
          <w:w w:val="105"/>
          <w:sz w:val="21"/>
        </w:rPr>
        <w:t> </w:t>
      </w:r>
      <w:r>
        <w:rPr>
          <w:w w:val="105"/>
          <w:sz w:val="21"/>
        </w:rPr>
        <w:t>the</w:t>
      </w:r>
      <w:r>
        <w:rPr>
          <w:spacing w:val="-11"/>
          <w:w w:val="105"/>
          <w:sz w:val="21"/>
        </w:rPr>
        <w:t> </w:t>
      </w:r>
      <w:r>
        <w:rPr>
          <w:spacing w:val="-3"/>
          <w:w w:val="105"/>
          <w:sz w:val="21"/>
        </w:rPr>
        <w:t>way</w:t>
      </w:r>
      <w:r>
        <w:rPr>
          <w:spacing w:val="-12"/>
          <w:w w:val="105"/>
          <w:sz w:val="21"/>
        </w:rPr>
        <w:t> </w:t>
      </w:r>
      <w:r>
        <w:rPr>
          <w:w w:val="105"/>
          <w:sz w:val="21"/>
        </w:rPr>
        <w:t>dedicated</w:t>
      </w:r>
      <w:r>
        <w:rPr>
          <w:spacing w:val="-11"/>
          <w:w w:val="105"/>
          <w:sz w:val="21"/>
        </w:rPr>
        <w:t> </w:t>
      </w:r>
      <w:r>
        <w:rPr>
          <w:w w:val="105"/>
          <w:sz w:val="21"/>
        </w:rPr>
        <w:t>tree</w:t>
      </w:r>
      <w:r>
        <w:rPr>
          <w:spacing w:val="-12"/>
          <w:w w:val="105"/>
          <w:sz w:val="21"/>
        </w:rPr>
        <w:t> </w:t>
      </w:r>
      <w:r>
        <w:rPr>
          <w:spacing w:val="-3"/>
          <w:w w:val="105"/>
          <w:sz w:val="21"/>
        </w:rPr>
        <w:t>dispute</w:t>
      </w:r>
      <w:r>
        <w:rPr>
          <w:spacing w:val="-11"/>
          <w:w w:val="105"/>
          <w:sz w:val="21"/>
        </w:rPr>
        <w:t> </w:t>
      </w:r>
      <w:r>
        <w:rPr>
          <w:w w:val="105"/>
          <w:sz w:val="21"/>
        </w:rPr>
        <w:t>Acts</w:t>
      </w:r>
      <w:r>
        <w:rPr>
          <w:spacing w:val="-11"/>
          <w:w w:val="105"/>
          <w:sz w:val="21"/>
        </w:rPr>
        <w:t> </w:t>
      </w:r>
      <w:r>
        <w:rPr>
          <w:w w:val="105"/>
          <w:sz w:val="21"/>
        </w:rPr>
        <w:t>operate</w:t>
      </w:r>
      <w:r>
        <w:rPr>
          <w:spacing w:val="-12"/>
          <w:w w:val="105"/>
          <w:sz w:val="21"/>
        </w:rPr>
        <w:t> </w:t>
      </w:r>
      <w:r>
        <w:rPr>
          <w:w w:val="105"/>
          <w:sz w:val="21"/>
        </w:rPr>
        <w:t>interstate</w:t>
      </w:r>
      <w:r>
        <w:rPr>
          <w:spacing w:val="-11"/>
          <w:w w:val="105"/>
          <w:sz w:val="21"/>
        </w:rPr>
        <w:t> </w:t>
      </w:r>
      <w:r>
        <w:rPr>
          <w:w w:val="105"/>
          <w:sz w:val="21"/>
        </w:rPr>
        <w:t>and</w:t>
      </w:r>
      <w:r>
        <w:rPr>
          <w:spacing w:val="-11"/>
          <w:w w:val="105"/>
          <w:sz w:val="21"/>
        </w:rPr>
        <w:t> </w:t>
      </w:r>
      <w:r>
        <w:rPr>
          <w:w w:val="105"/>
          <w:sz w:val="21"/>
        </w:rPr>
        <w:t>identifies the type of jurisdiction </w:t>
      </w:r>
      <w:r>
        <w:rPr>
          <w:spacing w:val="-3"/>
          <w:w w:val="105"/>
          <w:sz w:val="21"/>
        </w:rPr>
        <w:t>that </w:t>
      </w:r>
      <w:r>
        <w:rPr>
          <w:w w:val="105"/>
          <w:sz w:val="21"/>
        </w:rPr>
        <w:t>should be </w:t>
      </w:r>
      <w:r>
        <w:rPr>
          <w:spacing w:val="-3"/>
          <w:w w:val="105"/>
          <w:sz w:val="21"/>
        </w:rPr>
        <w:t>granted to </w:t>
      </w:r>
      <w:r>
        <w:rPr>
          <w:spacing w:val="-8"/>
          <w:w w:val="105"/>
          <w:sz w:val="21"/>
        </w:rPr>
        <w:t>VCAT. </w:t>
      </w:r>
      <w:r>
        <w:rPr>
          <w:w w:val="105"/>
          <w:sz w:val="21"/>
        </w:rPr>
        <w:t>It also considers </w:t>
      </w:r>
      <w:r>
        <w:rPr>
          <w:spacing w:val="-6"/>
          <w:w w:val="105"/>
          <w:sz w:val="21"/>
        </w:rPr>
        <w:t>VCAT’s </w:t>
      </w:r>
      <w:r>
        <w:rPr>
          <w:w w:val="105"/>
          <w:sz w:val="21"/>
        </w:rPr>
        <w:t>processes </w:t>
      </w:r>
      <w:r>
        <w:rPr>
          <w:spacing w:val="-3"/>
          <w:w w:val="105"/>
          <w:sz w:val="21"/>
        </w:rPr>
        <w:t>for managing </w:t>
      </w:r>
      <w:r>
        <w:rPr>
          <w:w w:val="105"/>
          <w:sz w:val="21"/>
        </w:rPr>
        <w:t>those</w:t>
      </w:r>
      <w:r>
        <w:rPr>
          <w:spacing w:val="22"/>
          <w:w w:val="105"/>
          <w:sz w:val="21"/>
        </w:rPr>
        <w:t> </w:t>
      </w:r>
      <w:r>
        <w:rPr>
          <w:spacing w:val="-3"/>
          <w:w w:val="105"/>
          <w:sz w:val="21"/>
        </w:rPr>
        <w:t>disputes.</w:t>
      </w:r>
    </w:p>
    <w:p>
      <w:pPr>
        <w:pStyle w:val="ListParagraph"/>
        <w:numPr>
          <w:ilvl w:val="1"/>
          <w:numId w:val="16"/>
        </w:numPr>
        <w:tabs>
          <w:tab w:pos="2380" w:val="left" w:leader="none"/>
          <w:tab w:pos="2381" w:val="left" w:leader="none"/>
        </w:tabs>
        <w:spacing w:line="242" w:lineRule="auto" w:before="125" w:after="0"/>
        <w:ind w:left="2381" w:right="1729" w:hanging="794"/>
        <w:jc w:val="left"/>
        <w:rPr>
          <w:sz w:val="21"/>
        </w:rPr>
      </w:pPr>
      <w:r>
        <w:rPr>
          <w:b/>
          <w:w w:val="105"/>
          <w:sz w:val="21"/>
        </w:rPr>
        <w:t>Chapter 8 </w:t>
      </w:r>
      <w:r>
        <w:rPr>
          <w:w w:val="105"/>
          <w:sz w:val="21"/>
        </w:rPr>
        <w:t>considers the decision-making </w:t>
      </w:r>
      <w:r>
        <w:rPr>
          <w:spacing w:val="-3"/>
          <w:w w:val="105"/>
          <w:sz w:val="21"/>
        </w:rPr>
        <w:t>principles to </w:t>
      </w:r>
      <w:r>
        <w:rPr>
          <w:w w:val="105"/>
          <w:sz w:val="21"/>
        </w:rPr>
        <w:t>be </w:t>
      </w:r>
      <w:r>
        <w:rPr>
          <w:spacing w:val="-3"/>
          <w:w w:val="105"/>
          <w:sz w:val="21"/>
        </w:rPr>
        <w:t>included </w:t>
      </w:r>
      <w:r>
        <w:rPr>
          <w:w w:val="105"/>
          <w:sz w:val="21"/>
        </w:rPr>
        <w:t>in the new Act </w:t>
      </w:r>
      <w:r>
        <w:rPr>
          <w:spacing w:val="-3"/>
          <w:w w:val="105"/>
          <w:sz w:val="21"/>
        </w:rPr>
        <w:t>to </w:t>
      </w:r>
      <w:r>
        <w:rPr>
          <w:w w:val="105"/>
          <w:sz w:val="21"/>
        </w:rPr>
        <w:t>guide</w:t>
      </w:r>
      <w:r>
        <w:rPr>
          <w:spacing w:val="-5"/>
          <w:w w:val="105"/>
          <w:sz w:val="21"/>
        </w:rPr>
        <w:t> VCAT</w:t>
      </w:r>
      <w:r>
        <w:rPr>
          <w:spacing w:val="-4"/>
          <w:w w:val="105"/>
          <w:sz w:val="21"/>
        </w:rPr>
        <w:t> </w:t>
      </w:r>
      <w:r>
        <w:rPr>
          <w:w w:val="105"/>
          <w:sz w:val="21"/>
        </w:rPr>
        <w:t>decision</w:t>
      </w:r>
      <w:r>
        <w:rPr>
          <w:spacing w:val="-4"/>
          <w:w w:val="105"/>
          <w:sz w:val="21"/>
        </w:rPr>
        <w:t> </w:t>
      </w:r>
      <w:r>
        <w:rPr>
          <w:spacing w:val="-3"/>
          <w:w w:val="105"/>
          <w:sz w:val="21"/>
        </w:rPr>
        <w:t>makers</w:t>
      </w:r>
      <w:r>
        <w:rPr>
          <w:spacing w:val="-5"/>
          <w:w w:val="105"/>
          <w:sz w:val="21"/>
        </w:rPr>
        <w:t> </w:t>
      </w:r>
      <w:r>
        <w:rPr>
          <w:w w:val="105"/>
          <w:sz w:val="21"/>
        </w:rPr>
        <w:t>and</w:t>
      </w:r>
      <w:r>
        <w:rPr>
          <w:spacing w:val="-4"/>
          <w:w w:val="105"/>
          <w:sz w:val="21"/>
        </w:rPr>
        <w:t> </w:t>
      </w:r>
      <w:r>
        <w:rPr>
          <w:w w:val="105"/>
          <w:sz w:val="21"/>
        </w:rPr>
        <w:t>the</w:t>
      </w:r>
      <w:r>
        <w:rPr>
          <w:spacing w:val="-4"/>
          <w:w w:val="105"/>
          <w:sz w:val="21"/>
        </w:rPr>
        <w:t> </w:t>
      </w:r>
      <w:r>
        <w:rPr>
          <w:w w:val="105"/>
          <w:sz w:val="21"/>
        </w:rPr>
        <w:t>community</w:t>
      </w:r>
      <w:r>
        <w:rPr>
          <w:spacing w:val="-5"/>
          <w:w w:val="105"/>
          <w:sz w:val="21"/>
        </w:rPr>
        <w:t> </w:t>
      </w:r>
      <w:r>
        <w:rPr>
          <w:w w:val="105"/>
          <w:sz w:val="21"/>
        </w:rPr>
        <w:t>about</w:t>
      </w:r>
      <w:r>
        <w:rPr>
          <w:spacing w:val="-4"/>
          <w:w w:val="105"/>
          <w:sz w:val="21"/>
        </w:rPr>
        <w:t> </w:t>
      </w:r>
      <w:r>
        <w:rPr>
          <w:w w:val="105"/>
          <w:sz w:val="21"/>
        </w:rPr>
        <w:t>the</w:t>
      </w:r>
      <w:r>
        <w:rPr>
          <w:spacing w:val="-4"/>
          <w:w w:val="105"/>
          <w:sz w:val="21"/>
        </w:rPr>
        <w:t> </w:t>
      </w:r>
      <w:r>
        <w:rPr>
          <w:w w:val="105"/>
          <w:sz w:val="21"/>
        </w:rPr>
        <w:t>application</w:t>
      </w:r>
      <w:r>
        <w:rPr>
          <w:spacing w:val="-5"/>
          <w:w w:val="105"/>
          <w:sz w:val="21"/>
        </w:rPr>
        <w:t> </w:t>
      </w:r>
      <w:r>
        <w:rPr>
          <w:w w:val="105"/>
          <w:sz w:val="21"/>
        </w:rPr>
        <w:t>of</w:t>
      </w:r>
      <w:r>
        <w:rPr>
          <w:spacing w:val="-4"/>
          <w:w w:val="105"/>
          <w:sz w:val="21"/>
        </w:rPr>
        <w:t> </w:t>
      </w:r>
      <w:r>
        <w:rPr>
          <w:w w:val="105"/>
          <w:sz w:val="21"/>
        </w:rPr>
        <w:t>the</w:t>
      </w:r>
      <w:r>
        <w:rPr>
          <w:spacing w:val="-4"/>
          <w:w w:val="105"/>
          <w:sz w:val="21"/>
        </w:rPr>
        <w:t> </w:t>
      </w:r>
      <w:r>
        <w:rPr>
          <w:spacing w:val="-5"/>
          <w:w w:val="105"/>
          <w:sz w:val="21"/>
        </w:rPr>
        <w:t>law. </w:t>
      </w:r>
      <w:r>
        <w:rPr>
          <w:w w:val="105"/>
          <w:sz w:val="21"/>
        </w:rPr>
        <w:t>It</w:t>
      </w:r>
      <w:r>
        <w:rPr>
          <w:spacing w:val="-4"/>
          <w:w w:val="105"/>
          <w:sz w:val="21"/>
        </w:rPr>
        <w:t> </w:t>
      </w:r>
      <w:r>
        <w:rPr>
          <w:w w:val="105"/>
          <w:sz w:val="21"/>
        </w:rPr>
        <w:t>also </w:t>
      </w:r>
      <w:r>
        <w:rPr>
          <w:spacing w:val="-2"/>
          <w:w w:val="105"/>
          <w:sz w:val="21"/>
        </w:rPr>
        <w:t>examines </w:t>
      </w:r>
      <w:r>
        <w:rPr>
          <w:w w:val="105"/>
          <w:sz w:val="21"/>
        </w:rPr>
        <w:t>the role of experts in the decision-making</w:t>
      </w:r>
      <w:r>
        <w:rPr>
          <w:spacing w:val="23"/>
          <w:w w:val="105"/>
          <w:sz w:val="21"/>
        </w:rPr>
        <w:t> </w:t>
      </w:r>
      <w:r>
        <w:rPr>
          <w:w w:val="105"/>
          <w:sz w:val="21"/>
        </w:rPr>
        <w:t>process.</w:t>
      </w:r>
    </w:p>
    <w:p>
      <w:pPr>
        <w:pStyle w:val="ListParagraph"/>
        <w:numPr>
          <w:ilvl w:val="1"/>
          <w:numId w:val="16"/>
        </w:numPr>
        <w:tabs>
          <w:tab w:pos="2380" w:val="left" w:leader="none"/>
          <w:tab w:pos="2381" w:val="left" w:leader="none"/>
        </w:tabs>
        <w:spacing w:line="242" w:lineRule="auto" w:before="123" w:after="0"/>
        <w:ind w:left="2381" w:right="1820" w:hanging="794"/>
        <w:jc w:val="left"/>
        <w:rPr>
          <w:sz w:val="21"/>
        </w:rPr>
      </w:pPr>
      <w:r>
        <w:rPr>
          <w:b/>
          <w:w w:val="105"/>
          <w:sz w:val="21"/>
        </w:rPr>
        <w:t>Chapter 9 </w:t>
      </w:r>
      <w:r>
        <w:rPr>
          <w:w w:val="105"/>
          <w:sz w:val="21"/>
        </w:rPr>
        <w:t>explores the types of orders </w:t>
      </w:r>
      <w:r>
        <w:rPr>
          <w:spacing w:val="-3"/>
          <w:w w:val="105"/>
          <w:sz w:val="21"/>
        </w:rPr>
        <w:t>that </w:t>
      </w:r>
      <w:r>
        <w:rPr>
          <w:w w:val="105"/>
          <w:sz w:val="21"/>
        </w:rPr>
        <w:t>should be </w:t>
      </w:r>
      <w:r>
        <w:rPr>
          <w:spacing w:val="-3"/>
          <w:w w:val="105"/>
          <w:sz w:val="21"/>
        </w:rPr>
        <w:t>available </w:t>
      </w:r>
      <w:r>
        <w:rPr>
          <w:w w:val="105"/>
          <w:sz w:val="21"/>
        </w:rPr>
        <w:t>under the new Act and how orders should be </w:t>
      </w:r>
      <w:r>
        <w:rPr>
          <w:spacing w:val="-3"/>
          <w:w w:val="105"/>
          <w:sz w:val="21"/>
        </w:rPr>
        <w:t>enforced </w:t>
      </w:r>
      <w:r>
        <w:rPr>
          <w:w w:val="105"/>
          <w:sz w:val="21"/>
        </w:rPr>
        <w:t>and</w:t>
      </w:r>
      <w:r>
        <w:rPr>
          <w:spacing w:val="29"/>
          <w:w w:val="105"/>
          <w:sz w:val="21"/>
        </w:rPr>
        <w:t> </w:t>
      </w:r>
      <w:r>
        <w:rPr>
          <w:w w:val="105"/>
          <w:sz w:val="21"/>
        </w:rPr>
        <w:t>appealed.</w:t>
      </w:r>
    </w:p>
    <w:p>
      <w:pPr>
        <w:pStyle w:val="ListParagraph"/>
        <w:numPr>
          <w:ilvl w:val="1"/>
          <w:numId w:val="16"/>
        </w:numPr>
        <w:tabs>
          <w:tab w:pos="2380" w:val="left" w:leader="none"/>
          <w:tab w:pos="2381" w:val="left" w:leader="none"/>
        </w:tabs>
        <w:spacing w:line="242" w:lineRule="auto" w:before="122" w:after="0"/>
        <w:ind w:left="2381" w:right="1906" w:hanging="794"/>
        <w:jc w:val="left"/>
        <w:rPr>
          <w:sz w:val="21"/>
        </w:rPr>
      </w:pPr>
      <w:r>
        <w:rPr>
          <w:b/>
          <w:w w:val="105"/>
          <w:sz w:val="21"/>
        </w:rPr>
        <w:t>Chapter </w:t>
      </w:r>
      <w:r>
        <w:rPr>
          <w:b/>
          <w:spacing w:val="-3"/>
          <w:w w:val="105"/>
          <w:sz w:val="21"/>
        </w:rPr>
        <w:t>10 </w:t>
      </w:r>
      <w:r>
        <w:rPr>
          <w:w w:val="105"/>
          <w:sz w:val="21"/>
        </w:rPr>
        <w:t>looks at the complex issue of how a new Act should </w:t>
      </w:r>
      <w:r>
        <w:rPr>
          <w:spacing w:val="-3"/>
          <w:w w:val="105"/>
          <w:sz w:val="21"/>
        </w:rPr>
        <w:t>interact </w:t>
      </w:r>
      <w:r>
        <w:rPr>
          <w:w w:val="105"/>
          <w:sz w:val="21"/>
        </w:rPr>
        <w:t>with existing laws and </w:t>
      </w:r>
      <w:r>
        <w:rPr>
          <w:spacing w:val="-3"/>
          <w:w w:val="105"/>
          <w:sz w:val="21"/>
        </w:rPr>
        <w:t>regulations that already </w:t>
      </w:r>
      <w:r>
        <w:rPr>
          <w:w w:val="105"/>
          <w:sz w:val="21"/>
        </w:rPr>
        <w:t>protect trees or </w:t>
      </w:r>
      <w:r>
        <w:rPr>
          <w:spacing w:val="-3"/>
          <w:w w:val="105"/>
          <w:sz w:val="21"/>
        </w:rPr>
        <w:t>limit </w:t>
      </w:r>
      <w:r>
        <w:rPr>
          <w:w w:val="105"/>
          <w:sz w:val="21"/>
        </w:rPr>
        <w:t>action in </w:t>
      </w:r>
      <w:r>
        <w:rPr>
          <w:spacing w:val="-3"/>
          <w:w w:val="105"/>
          <w:sz w:val="21"/>
        </w:rPr>
        <w:t>relation to </w:t>
      </w:r>
      <w:r>
        <w:rPr>
          <w:w w:val="105"/>
          <w:sz w:val="21"/>
        </w:rPr>
        <w:t>trees on </w:t>
      </w:r>
      <w:r>
        <w:rPr>
          <w:spacing w:val="-3"/>
          <w:w w:val="105"/>
          <w:sz w:val="21"/>
        </w:rPr>
        <w:t>private land </w:t>
      </w:r>
      <w:r>
        <w:rPr>
          <w:w w:val="105"/>
          <w:sz w:val="21"/>
        </w:rPr>
        <w:t>in</w:t>
      </w:r>
      <w:r>
        <w:rPr>
          <w:spacing w:val="21"/>
          <w:w w:val="105"/>
          <w:sz w:val="21"/>
        </w:rPr>
        <w:t> </w:t>
      </w:r>
      <w:r>
        <w:rPr>
          <w:w w:val="105"/>
          <w:sz w:val="21"/>
        </w:rPr>
        <w:t>Victoria.</w:t>
      </w:r>
    </w:p>
    <w:p>
      <w:pPr>
        <w:pStyle w:val="ListParagraph"/>
        <w:numPr>
          <w:ilvl w:val="1"/>
          <w:numId w:val="16"/>
        </w:numPr>
        <w:tabs>
          <w:tab w:pos="2380" w:val="left" w:leader="none"/>
          <w:tab w:pos="2381" w:val="left" w:leader="none"/>
        </w:tabs>
        <w:spacing w:line="242" w:lineRule="auto" w:before="123" w:after="0"/>
        <w:ind w:left="2380" w:right="1594" w:hanging="793"/>
        <w:jc w:val="left"/>
        <w:rPr>
          <w:sz w:val="21"/>
        </w:rPr>
      </w:pPr>
      <w:r>
        <w:rPr>
          <w:b/>
          <w:w w:val="105"/>
          <w:sz w:val="21"/>
        </w:rPr>
        <w:t>Chapter </w:t>
      </w:r>
      <w:r>
        <w:rPr>
          <w:b/>
          <w:spacing w:val="-7"/>
          <w:w w:val="105"/>
          <w:sz w:val="21"/>
        </w:rPr>
        <w:t>11 </w:t>
      </w:r>
      <w:r>
        <w:rPr>
          <w:spacing w:val="-3"/>
          <w:w w:val="105"/>
          <w:sz w:val="21"/>
        </w:rPr>
        <w:t>recommends </w:t>
      </w:r>
      <w:r>
        <w:rPr>
          <w:w w:val="105"/>
          <w:sz w:val="21"/>
        </w:rPr>
        <w:t>steps </w:t>
      </w:r>
      <w:r>
        <w:rPr>
          <w:spacing w:val="-3"/>
          <w:w w:val="105"/>
          <w:sz w:val="21"/>
        </w:rPr>
        <w:t>to </w:t>
      </w:r>
      <w:r>
        <w:rPr>
          <w:w w:val="105"/>
          <w:sz w:val="21"/>
        </w:rPr>
        <w:t>better notify </w:t>
      </w:r>
      <w:r>
        <w:rPr>
          <w:spacing w:val="-3"/>
          <w:w w:val="105"/>
          <w:sz w:val="21"/>
        </w:rPr>
        <w:t>purchasers </w:t>
      </w:r>
      <w:r>
        <w:rPr>
          <w:w w:val="105"/>
          <w:sz w:val="21"/>
        </w:rPr>
        <w:t>of </w:t>
      </w:r>
      <w:r>
        <w:rPr>
          <w:spacing w:val="-3"/>
          <w:w w:val="105"/>
          <w:sz w:val="21"/>
        </w:rPr>
        <w:t>land </w:t>
      </w:r>
      <w:r>
        <w:rPr>
          <w:w w:val="105"/>
          <w:sz w:val="21"/>
        </w:rPr>
        <w:t>and new owners about the existence of </w:t>
      </w:r>
      <w:r>
        <w:rPr>
          <w:spacing w:val="-5"/>
          <w:w w:val="105"/>
          <w:sz w:val="21"/>
        </w:rPr>
        <w:t>VCAT </w:t>
      </w:r>
      <w:r>
        <w:rPr>
          <w:spacing w:val="-3"/>
          <w:w w:val="105"/>
          <w:sz w:val="21"/>
        </w:rPr>
        <w:t>applications </w:t>
      </w:r>
      <w:r>
        <w:rPr>
          <w:w w:val="105"/>
          <w:sz w:val="21"/>
        </w:rPr>
        <w:t>or orders made under the new</w:t>
      </w:r>
      <w:r>
        <w:rPr>
          <w:spacing w:val="43"/>
          <w:w w:val="105"/>
          <w:sz w:val="21"/>
        </w:rPr>
        <w:t> </w:t>
      </w:r>
      <w:r>
        <w:rPr>
          <w:w w:val="105"/>
          <w:sz w:val="21"/>
        </w:rPr>
        <w:t>Act.</w:t>
      </w:r>
    </w:p>
    <w:p>
      <w:pPr>
        <w:pStyle w:val="ListParagraph"/>
        <w:numPr>
          <w:ilvl w:val="1"/>
          <w:numId w:val="16"/>
        </w:numPr>
        <w:tabs>
          <w:tab w:pos="2380" w:val="left" w:leader="none"/>
          <w:tab w:pos="2381" w:val="left" w:leader="none"/>
        </w:tabs>
        <w:spacing w:line="242" w:lineRule="auto" w:before="123" w:after="0"/>
        <w:ind w:left="2380" w:right="1821" w:hanging="794"/>
        <w:jc w:val="left"/>
        <w:rPr>
          <w:sz w:val="21"/>
        </w:rPr>
      </w:pPr>
      <w:r>
        <w:rPr>
          <w:b/>
          <w:w w:val="105"/>
          <w:sz w:val="21"/>
        </w:rPr>
        <w:t>Chapter </w:t>
      </w:r>
      <w:r>
        <w:rPr>
          <w:b/>
          <w:spacing w:val="-4"/>
          <w:w w:val="105"/>
          <w:sz w:val="21"/>
        </w:rPr>
        <w:t>12 </w:t>
      </w:r>
      <w:r>
        <w:rPr>
          <w:spacing w:val="-3"/>
          <w:w w:val="105"/>
          <w:sz w:val="21"/>
        </w:rPr>
        <w:t>contains recommendations for providing </w:t>
      </w:r>
      <w:r>
        <w:rPr>
          <w:w w:val="105"/>
          <w:sz w:val="21"/>
        </w:rPr>
        <w:t>the community with </w:t>
      </w:r>
      <w:r>
        <w:rPr>
          <w:spacing w:val="-3"/>
          <w:w w:val="105"/>
          <w:sz w:val="21"/>
        </w:rPr>
        <w:t>clear </w:t>
      </w:r>
      <w:r>
        <w:rPr>
          <w:w w:val="105"/>
          <w:sz w:val="21"/>
        </w:rPr>
        <w:t>and </w:t>
      </w:r>
      <w:r>
        <w:rPr>
          <w:spacing w:val="-3"/>
          <w:w w:val="105"/>
          <w:sz w:val="21"/>
        </w:rPr>
        <w:t>helpful</w:t>
      </w:r>
      <w:r>
        <w:rPr>
          <w:spacing w:val="-10"/>
          <w:w w:val="105"/>
          <w:sz w:val="21"/>
        </w:rPr>
        <w:t> </w:t>
      </w:r>
      <w:r>
        <w:rPr>
          <w:spacing w:val="-3"/>
          <w:w w:val="105"/>
          <w:sz w:val="21"/>
        </w:rPr>
        <w:t>information</w:t>
      </w:r>
      <w:r>
        <w:rPr>
          <w:spacing w:val="-10"/>
          <w:w w:val="105"/>
          <w:sz w:val="21"/>
        </w:rPr>
        <w:t> </w:t>
      </w:r>
      <w:r>
        <w:rPr>
          <w:w w:val="105"/>
          <w:sz w:val="21"/>
        </w:rPr>
        <w:t>about</w:t>
      </w:r>
      <w:r>
        <w:rPr>
          <w:spacing w:val="-10"/>
          <w:w w:val="105"/>
          <w:sz w:val="21"/>
        </w:rPr>
        <w:t> </w:t>
      </w:r>
      <w:r>
        <w:rPr>
          <w:w w:val="105"/>
          <w:sz w:val="21"/>
        </w:rPr>
        <w:t>how</w:t>
      </w:r>
      <w:r>
        <w:rPr>
          <w:spacing w:val="-10"/>
          <w:w w:val="105"/>
          <w:sz w:val="21"/>
        </w:rPr>
        <w:t> </w:t>
      </w:r>
      <w:r>
        <w:rPr>
          <w:spacing w:val="-3"/>
          <w:w w:val="105"/>
          <w:sz w:val="21"/>
        </w:rPr>
        <w:t>to</w:t>
      </w:r>
      <w:r>
        <w:rPr>
          <w:spacing w:val="-10"/>
          <w:w w:val="105"/>
          <w:sz w:val="21"/>
        </w:rPr>
        <w:t> </w:t>
      </w:r>
      <w:r>
        <w:rPr>
          <w:w w:val="105"/>
          <w:sz w:val="21"/>
        </w:rPr>
        <w:t>resolve</w:t>
      </w:r>
      <w:r>
        <w:rPr>
          <w:spacing w:val="-10"/>
          <w:w w:val="105"/>
          <w:sz w:val="21"/>
        </w:rPr>
        <w:t> </w:t>
      </w:r>
      <w:r>
        <w:rPr>
          <w:w w:val="105"/>
          <w:sz w:val="21"/>
        </w:rPr>
        <w:t>tree</w:t>
      </w:r>
      <w:r>
        <w:rPr>
          <w:spacing w:val="-10"/>
          <w:w w:val="105"/>
          <w:sz w:val="21"/>
        </w:rPr>
        <w:t> </w:t>
      </w:r>
      <w:r>
        <w:rPr>
          <w:spacing w:val="-3"/>
          <w:w w:val="105"/>
          <w:sz w:val="21"/>
        </w:rPr>
        <w:t>disputes.</w:t>
      </w:r>
      <w:r>
        <w:rPr>
          <w:spacing w:val="-10"/>
          <w:w w:val="105"/>
          <w:sz w:val="21"/>
        </w:rPr>
        <w:t> </w:t>
      </w:r>
      <w:r>
        <w:rPr>
          <w:w w:val="105"/>
          <w:sz w:val="21"/>
        </w:rPr>
        <w:t>It</w:t>
      </w:r>
      <w:r>
        <w:rPr>
          <w:spacing w:val="-10"/>
          <w:w w:val="105"/>
          <w:sz w:val="21"/>
        </w:rPr>
        <w:t> </w:t>
      </w:r>
      <w:r>
        <w:rPr>
          <w:w w:val="105"/>
          <w:sz w:val="21"/>
        </w:rPr>
        <w:t>also</w:t>
      </w:r>
      <w:r>
        <w:rPr>
          <w:spacing w:val="-10"/>
          <w:w w:val="105"/>
          <w:sz w:val="21"/>
        </w:rPr>
        <w:t> </w:t>
      </w:r>
      <w:r>
        <w:rPr>
          <w:w w:val="105"/>
          <w:sz w:val="21"/>
        </w:rPr>
        <w:t>explores</w:t>
      </w:r>
      <w:r>
        <w:rPr>
          <w:spacing w:val="-10"/>
          <w:w w:val="105"/>
          <w:sz w:val="21"/>
        </w:rPr>
        <w:t> </w:t>
      </w:r>
      <w:r>
        <w:rPr>
          <w:w w:val="105"/>
          <w:sz w:val="21"/>
        </w:rPr>
        <w:t>possible</w:t>
      </w:r>
      <w:r>
        <w:rPr>
          <w:spacing w:val="-10"/>
          <w:w w:val="105"/>
          <w:sz w:val="21"/>
        </w:rPr>
        <w:t> </w:t>
      </w:r>
      <w:r>
        <w:rPr>
          <w:w w:val="105"/>
          <w:sz w:val="21"/>
        </w:rPr>
        <w:t>ways</w:t>
      </w:r>
      <w:r>
        <w:rPr>
          <w:spacing w:val="-10"/>
          <w:w w:val="105"/>
          <w:sz w:val="21"/>
        </w:rPr>
        <w:t> </w:t>
      </w:r>
      <w:r>
        <w:rPr>
          <w:spacing w:val="-3"/>
          <w:w w:val="105"/>
          <w:sz w:val="21"/>
        </w:rPr>
        <w:t>to prevent </w:t>
      </w:r>
      <w:r>
        <w:rPr>
          <w:w w:val="105"/>
          <w:sz w:val="21"/>
        </w:rPr>
        <w:t>these </w:t>
      </w:r>
      <w:r>
        <w:rPr>
          <w:spacing w:val="-3"/>
          <w:w w:val="105"/>
          <w:sz w:val="21"/>
        </w:rPr>
        <w:t>disputes from</w:t>
      </w:r>
      <w:r>
        <w:rPr>
          <w:spacing w:val="25"/>
          <w:w w:val="105"/>
          <w:sz w:val="21"/>
        </w:rPr>
        <w:t> </w:t>
      </w:r>
      <w:r>
        <w:rPr>
          <w:spacing w:val="-3"/>
          <w:w w:val="105"/>
          <w:sz w:val="21"/>
        </w:rPr>
        <w:t>arising.</w:t>
      </w:r>
    </w:p>
    <w:p>
      <w:pPr>
        <w:pStyle w:val="ListParagraph"/>
        <w:numPr>
          <w:ilvl w:val="1"/>
          <w:numId w:val="16"/>
        </w:numPr>
        <w:tabs>
          <w:tab w:pos="2380" w:val="left" w:leader="none"/>
          <w:tab w:pos="2381" w:val="left" w:leader="none"/>
        </w:tabs>
        <w:spacing w:line="242" w:lineRule="auto" w:before="123" w:after="0"/>
        <w:ind w:left="2380" w:right="1675" w:hanging="794"/>
        <w:jc w:val="left"/>
        <w:rPr>
          <w:sz w:val="21"/>
        </w:rPr>
      </w:pPr>
      <w:r>
        <w:rPr>
          <w:b/>
          <w:w w:val="105"/>
          <w:sz w:val="21"/>
        </w:rPr>
        <w:t>Chapter </w:t>
      </w:r>
      <w:r>
        <w:rPr>
          <w:b/>
          <w:spacing w:val="-4"/>
          <w:w w:val="105"/>
          <w:sz w:val="21"/>
        </w:rPr>
        <w:t>13 </w:t>
      </w:r>
      <w:r>
        <w:rPr>
          <w:spacing w:val="-3"/>
          <w:w w:val="105"/>
          <w:sz w:val="21"/>
        </w:rPr>
        <w:t>concludes </w:t>
      </w:r>
      <w:r>
        <w:rPr>
          <w:w w:val="105"/>
          <w:sz w:val="21"/>
        </w:rPr>
        <w:t>this report and suggests other issues </w:t>
      </w:r>
      <w:r>
        <w:rPr>
          <w:spacing w:val="-3"/>
          <w:w w:val="105"/>
          <w:sz w:val="21"/>
        </w:rPr>
        <w:t>that </w:t>
      </w:r>
      <w:r>
        <w:rPr>
          <w:w w:val="105"/>
          <w:sz w:val="21"/>
        </w:rPr>
        <w:t>should be </w:t>
      </w:r>
      <w:r>
        <w:rPr>
          <w:spacing w:val="-3"/>
          <w:w w:val="105"/>
          <w:sz w:val="21"/>
        </w:rPr>
        <w:t>considered  </w:t>
      </w:r>
      <w:r>
        <w:rPr>
          <w:w w:val="105"/>
          <w:sz w:val="21"/>
        </w:rPr>
        <w:t>by</w:t>
      </w:r>
      <w:r>
        <w:rPr>
          <w:spacing w:val="-4"/>
          <w:w w:val="105"/>
          <w:sz w:val="21"/>
        </w:rPr>
        <w:t> </w:t>
      </w:r>
      <w:r>
        <w:rPr>
          <w:w w:val="105"/>
          <w:sz w:val="21"/>
        </w:rPr>
        <w:t>the</w:t>
      </w:r>
      <w:r>
        <w:rPr>
          <w:spacing w:val="-4"/>
          <w:w w:val="105"/>
          <w:sz w:val="21"/>
        </w:rPr>
        <w:t> </w:t>
      </w:r>
      <w:r>
        <w:rPr>
          <w:w w:val="105"/>
          <w:sz w:val="21"/>
        </w:rPr>
        <w:t>Victorian</w:t>
      </w:r>
      <w:r>
        <w:rPr>
          <w:spacing w:val="-4"/>
          <w:w w:val="105"/>
          <w:sz w:val="21"/>
        </w:rPr>
        <w:t> </w:t>
      </w:r>
      <w:r>
        <w:rPr>
          <w:spacing w:val="-3"/>
          <w:w w:val="105"/>
          <w:sz w:val="21"/>
        </w:rPr>
        <w:t>Government</w:t>
      </w:r>
      <w:r>
        <w:rPr>
          <w:spacing w:val="-4"/>
          <w:w w:val="105"/>
          <w:sz w:val="21"/>
        </w:rPr>
        <w:t> </w:t>
      </w:r>
      <w:r>
        <w:rPr>
          <w:w w:val="105"/>
          <w:sz w:val="21"/>
        </w:rPr>
        <w:t>in</w:t>
      </w:r>
      <w:r>
        <w:rPr>
          <w:spacing w:val="-4"/>
          <w:w w:val="105"/>
          <w:sz w:val="21"/>
        </w:rPr>
        <w:t> </w:t>
      </w:r>
      <w:r>
        <w:rPr>
          <w:spacing w:val="-3"/>
          <w:w w:val="105"/>
          <w:sz w:val="21"/>
        </w:rPr>
        <w:t>designing</w:t>
      </w:r>
      <w:r>
        <w:rPr>
          <w:spacing w:val="-4"/>
          <w:w w:val="105"/>
          <w:sz w:val="21"/>
        </w:rPr>
        <w:t> </w:t>
      </w:r>
      <w:r>
        <w:rPr>
          <w:w w:val="105"/>
          <w:sz w:val="21"/>
        </w:rPr>
        <w:t>a</w:t>
      </w:r>
      <w:r>
        <w:rPr>
          <w:spacing w:val="-4"/>
          <w:w w:val="105"/>
          <w:sz w:val="21"/>
        </w:rPr>
        <w:t> </w:t>
      </w:r>
      <w:r>
        <w:rPr>
          <w:w w:val="105"/>
          <w:sz w:val="21"/>
        </w:rPr>
        <w:t>new</w:t>
      </w:r>
      <w:r>
        <w:rPr>
          <w:spacing w:val="-4"/>
          <w:w w:val="105"/>
          <w:sz w:val="21"/>
        </w:rPr>
        <w:t> </w:t>
      </w:r>
      <w:r>
        <w:rPr>
          <w:w w:val="105"/>
          <w:sz w:val="21"/>
        </w:rPr>
        <w:t>Act,</w:t>
      </w:r>
      <w:r>
        <w:rPr>
          <w:spacing w:val="-4"/>
          <w:w w:val="105"/>
          <w:sz w:val="21"/>
        </w:rPr>
        <w:t> </w:t>
      </w:r>
      <w:r>
        <w:rPr>
          <w:spacing w:val="-3"/>
          <w:w w:val="105"/>
          <w:sz w:val="21"/>
        </w:rPr>
        <w:t>for</w:t>
      </w:r>
      <w:r>
        <w:rPr>
          <w:spacing w:val="-4"/>
          <w:w w:val="105"/>
          <w:sz w:val="21"/>
        </w:rPr>
        <w:t> </w:t>
      </w:r>
      <w:r>
        <w:rPr>
          <w:w w:val="105"/>
          <w:sz w:val="21"/>
        </w:rPr>
        <w:t>example</w:t>
      </w:r>
      <w:r>
        <w:rPr>
          <w:spacing w:val="-4"/>
          <w:w w:val="105"/>
          <w:sz w:val="21"/>
        </w:rPr>
        <w:t> </w:t>
      </w:r>
      <w:r>
        <w:rPr>
          <w:w w:val="105"/>
          <w:sz w:val="21"/>
        </w:rPr>
        <w:t>the</w:t>
      </w:r>
      <w:r>
        <w:rPr>
          <w:spacing w:val="-4"/>
          <w:w w:val="105"/>
          <w:sz w:val="21"/>
        </w:rPr>
        <w:t> </w:t>
      </w:r>
      <w:r>
        <w:rPr>
          <w:w w:val="105"/>
          <w:sz w:val="21"/>
        </w:rPr>
        <w:t>suitability</w:t>
      </w:r>
      <w:r>
        <w:rPr>
          <w:spacing w:val="-3"/>
          <w:w w:val="105"/>
          <w:sz w:val="21"/>
        </w:rPr>
        <w:t> </w:t>
      </w:r>
      <w:r>
        <w:rPr>
          <w:w w:val="105"/>
          <w:sz w:val="21"/>
        </w:rPr>
        <w:t>of</w:t>
      </w:r>
      <w:r>
        <w:rPr>
          <w:spacing w:val="-4"/>
          <w:w w:val="105"/>
          <w:sz w:val="21"/>
        </w:rPr>
        <w:t> </w:t>
      </w:r>
      <w:r>
        <w:rPr>
          <w:spacing w:val="-3"/>
          <w:w w:val="105"/>
          <w:sz w:val="21"/>
        </w:rPr>
        <w:t>online dispute</w:t>
      </w:r>
      <w:r>
        <w:rPr>
          <w:spacing w:val="-14"/>
          <w:w w:val="105"/>
          <w:sz w:val="21"/>
        </w:rPr>
        <w:t> </w:t>
      </w:r>
      <w:r>
        <w:rPr>
          <w:w w:val="105"/>
          <w:sz w:val="21"/>
        </w:rPr>
        <w:t>resolution</w:t>
      </w:r>
      <w:r>
        <w:rPr>
          <w:spacing w:val="-13"/>
          <w:w w:val="105"/>
          <w:sz w:val="21"/>
        </w:rPr>
        <w:t> </w:t>
      </w:r>
      <w:r>
        <w:rPr>
          <w:spacing w:val="-3"/>
          <w:w w:val="105"/>
          <w:sz w:val="21"/>
        </w:rPr>
        <w:t>for</w:t>
      </w:r>
      <w:r>
        <w:rPr>
          <w:spacing w:val="-13"/>
          <w:w w:val="105"/>
          <w:sz w:val="21"/>
        </w:rPr>
        <w:t> </w:t>
      </w:r>
      <w:r>
        <w:rPr>
          <w:w w:val="105"/>
          <w:sz w:val="21"/>
        </w:rPr>
        <w:t>tree</w:t>
      </w:r>
      <w:r>
        <w:rPr>
          <w:spacing w:val="-13"/>
          <w:w w:val="105"/>
          <w:sz w:val="21"/>
        </w:rPr>
        <w:t> </w:t>
      </w:r>
      <w:r>
        <w:rPr>
          <w:spacing w:val="-3"/>
          <w:w w:val="105"/>
          <w:sz w:val="21"/>
        </w:rPr>
        <w:t>disputes.</w:t>
      </w:r>
      <w:r>
        <w:rPr>
          <w:spacing w:val="-13"/>
          <w:w w:val="105"/>
          <w:sz w:val="21"/>
        </w:rPr>
        <w:t> </w:t>
      </w:r>
      <w:r>
        <w:rPr>
          <w:spacing w:val="-3"/>
          <w:w w:val="105"/>
          <w:sz w:val="21"/>
        </w:rPr>
        <w:t>Preliminary</w:t>
      </w:r>
      <w:r>
        <w:rPr>
          <w:spacing w:val="-13"/>
          <w:w w:val="105"/>
          <w:sz w:val="21"/>
        </w:rPr>
        <w:t> </w:t>
      </w:r>
      <w:r>
        <w:rPr>
          <w:w w:val="105"/>
          <w:sz w:val="21"/>
        </w:rPr>
        <w:t>views</w:t>
      </w:r>
      <w:r>
        <w:rPr>
          <w:spacing w:val="-13"/>
          <w:w w:val="105"/>
          <w:sz w:val="21"/>
        </w:rPr>
        <w:t> </w:t>
      </w:r>
      <w:r>
        <w:rPr>
          <w:w w:val="105"/>
          <w:sz w:val="21"/>
        </w:rPr>
        <w:t>on</w:t>
      </w:r>
      <w:r>
        <w:rPr>
          <w:spacing w:val="-13"/>
          <w:w w:val="105"/>
          <w:sz w:val="21"/>
        </w:rPr>
        <w:t> </w:t>
      </w:r>
      <w:r>
        <w:rPr>
          <w:w w:val="105"/>
          <w:sz w:val="21"/>
        </w:rPr>
        <w:t>some</w:t>
      </w:r>
      <w:r>
        <w:rPr>
          <w:spacing w:val="-13"/>
          <w:w w:val="105"/>
          <w:sz w:val="21"/>
        </w:rPr>
        <w:t> </w:t>
      </w:r>
      <w:r>
        <w:rPr>
          <w:w w:val="105"/>
          <w:sz w:val="21"/>
        </w:rPr>
        <w:t>matters</w:t>
      </w:r>
      <w:r>
        <w:rPr>
          <w:spacing w:val="-13"/>
          <w:w w:val="105"/>
          <w:sz w:val="21"/>
        </w:rPr>
        <w:t> </w:t>
      </w:r>
      <w:r>
        <w:rPr>
          <w:w w:val="105"/>
          <w:sz w:val="21"/>
        </w:rPr>
        <w:t>beyond</w:t>
      </w:r>
      <w:r>
        <w:rPr>
          <w:spacing w:val="-14"/>
          <w:w w:val="105"/>
          <w:sz w:val="21"/>
        </w:rPr>
        <w:t> </w:t>
      </w:r>
      <w:r>
        <w:rPr>
          <w:w w:val="105"/>
          <w:sz w:val="21"/>
        </w:rPr>
        <w:t>the</w:t>
      </w:r>
      <w:r>
        <w:rPr>
          <w:spacing w:val="-13"/>
          <w:w w:val="105"/>
          <w:sz w:val="21"/>
        </w:rPr>
        <w:t> </w:t>
      </w:r>
      <w:r>
        <w:rPr>
          <w:w w:val="105"/>
          <w:sz w:val="21"/>
        </w:rPr>
        <w:t>scope of</w:t>
      </w:r>
      <w:r>
        <w:rPr>
          <w:spacing w:val="-7"/>
          <w:w w:val="105"/>
          <w:sz w:val="21"/>
        </w:rPr>
        <w:t> </w:t>
      </w:r>
      <w:r>
        <w:rPr>
          <w:w w:val="105"/>
          <w:sz w:val="21"/>
        </w:rPr>
        <w:t>the</w:t>
      </w:r>
      <w:r>
        <w:rPr>
          <w:spacing w:val="-6"/>
          <w:w w:val="105"/>
          <w:sz w:val="21"/>
        </w:rPr>
        <w:t> </w:t>
      </w:r>
      <w:r>
        <w:rPr>
          <w:w w:val="105"/>
          <w:sz w:val="21"/>
        </w:rPr>
        <w:t>inquiry</w:t>
      </w:r>
      <w:r>
        <w:rPr>
          <w:spacing w:val="-6"/>
          <w:w w:val="105"/>
          <w:sz w:val="21"/>
        </w:rPr>
        <w:t> </w:t>
      </w:r>
      <w:r>
        <w:rPr>
          <w:spacing w:val="-3"/>
          <w:w w:val="105"/>
          <w:sz w:val="21"/>
        </w:rPr>
        <w:t>are</w:t>
      </w:r>
      <w:r>
        <w:rPr>
          <w:spacing w:val="-6"/>
          <w:w w:val="105"/>
          <w:sz w:val="21"/>
        </w:rPr>
        <w:t> </w:t>
      </w:r>
      <w:r>
        <w:rPr>
          <w:w w:val="105"/>
          <w:sz w:val="21"/>
        </w:rPr>
        <w:t>also</w:t>
      </w:r>
      <w:r>
        <w:rPr>
          <w:spacing w:val="-6"/>
          <w:w w:val="105"/>
          <w:sz w:val="21"/>
        </w:rPr>
        <w:t> </w:t>
      </w:r>
      <w:r>
        <w:rPr>
          <w:spacing w:val="-2"/>
          <w:w w:val="105"/>
          <w:sz w:val="21"/>
        </w:rPr>
        <w:t>provided.</w:t>
      </w:r>
      <w:r>
        <w:rPr>
          <w:spacing w:val="-6"/>
          <w:w w:val="105"/>
          <w:sz w:val="21"/>
        </w:rPr>
        <w:t> </w:t>
      </w:r>
      <w:r>
        <w:rPr>
          <w:w w:val="105"/>
          <w:sz w:val="21"/>
        </w:rPr>
        <w:t>The</w:t>
      </w:r>
      <w:r>
        <w:rPr>
          <w:spacing w:val="-6"/>
          <w:w w:val="105"/>
          <w:sz w:val="21"/>
        </w:rPr>
        <w:t> </w:t>
      </w:r>
      <w:r>
        <w:rPr>
          <w:w w:val="105"/>
          <w:sz w:val="21"/>
        </w:rPr>
        <w:t>report</w:t>
      </w:r>
      <w:r>
        <w:rPr>
          <w:spacing w:val="-6"/>
          <w:w w:val="105"/>
          <w:sz w:val="21"/>
        </w:rPr>
        <w:t> </w:t>
      </w:r>
      <w:r>
        <w:rPr>
          <w:spacing w:val="-3"/>
          <w:w w:val="105"/>
          <w:sz w:val="21"/>
        </w:rPr>
        <w:t>concludes</w:t>
      </w:r>
      <w:r>
        <w:rPr>
          <w:spacing w:val="-6"/>
          <w:w w:val="105"/>
          <w:sz w:val="21"/>
        </w:rPr>
        <w:t> </w:t>
      </w:r>
      <w:r>
        <w:rPr>
          <w:w w:val="105"/>
          <w:sz w:val="21"/>
        </w:rPr>
        <w:t>with</w:t>
      </w:r>
      <w:r>
        <w:rPr>
          <w:spacing w:val="-6"/>
          <w:w w:val="105"/>
          <w:sz w:val="21"/>
        </w:rPr>
        <w:t> </w:t>
      </w:r>
      <w:r>
        <w:rPr>
          <w:w w:val="105"/>
          <w:sz w:val="21"/>
        </w:rPr>
        <w:t>the</w:t>
      </w:r>
      <w:r>
        <w:rPr>
          <w:spacing w:val="-6"/>
          <w:w w:val="105"/>
          <w:sz w:val="21"/>
        </w:rPr>
        <w:t> </w:t>
      </w:r>
      <w:r>
        <w:rPr>
          <w:spacing w:val="-3"/>
          <w:w w:val="105"/>
          <w:sz w:val="21"/>
        </w:rPr>
        <w:t>recommendation</w:t>
      </w:r>
      <w:r>
        <w:rPr>
          <w:spacing w:val="-7"/>
          <w:w w:val="105"/>
          <w:sz w:val="21"/>
        </w:rPr>
        <w:t> </w:t>
      </w:r>
      <w:r>
        <w:rPr>
          <w:spacing w:val="-3"/>
          <w:w w:val="105"/>
          <w:sz w:val="21"/>
        </w:rPr>
        <w:t>that</w:t>
      </w:r>
      <w:r>
        <w:rPr>
          <w:spacing w:val="-6"/>
          <w:w w:val="105"/>
          <w:sz w:val="21"/>
        </w:rPr>
        <w:t> </w:t>
      </w:r>
      <w:r>
        <w:rPr>
          <w:w w:val="105"/>
          <w:sz w:val="21"/>
        </w:rPr>
        <w:t>the operation of the new Act should be reviewed after five years </w:t>
      </w:r>
      <w:r>
        <w:rPr>
          <w:spacing w:val="-3"/>
          <w:w w:val="105"/>
          <w:sz w:val="21"/>
        </w:rPr>
        <w:t>to determine </w:t>
      </w:r>
      <w:r>
        <w:rPr>
          <w:w w:val="105"/>
          <w:sz w:val="21"/>
        </w:rPr>
        <w:t>whether the Act is </w:t>
      </w:r>
      <w:r>
        <w:rPr>
          <w:spacing w:val="-3"/>
          <w:w w:val="105"/>
          <w:sz w:val="21"/>
        </w:rPr>
        <w:t>achieving </w:t>
      </w:r>
      <w:r>
        <w:rPr>
          <w:w w:val="105"/>
          <w:sz w:val="21"/>
        </w:rPr>
        <w:t>its objectives. The </w:t>
      </w:r>
      <w:r>
        <w:rPr>
          <w:spacing w:val="-3"/>
          <w:w w:val="105"/>
          <w:sz w:val="21"/>
        </w:rPr>
        <w:t>Commission </w:t>
      </w:r>
      <w:r>
        <w:rPr>
          <w:w w:val="105"/>
          <w:sz w:val="21"/>
        </w:rPr>
        <w:t>identifies some matters </w:t>
      </w:r>
      <w:r>
        <w:rPr>
          <w:spacing w:val="-3"/>
          <w:w w:val="105"/>
          <w:sz w:val="21"/>
        </w:rPr>
        <w:t>for Government consideration </w:t>
      </w:r>
      <w:r>
        <w:rPr>
          <w:w w:val="105"/>
          <w:sz w:val="21"/>
        </w:rPr>
        <w:t>when the Act is</w:t>
      </w:r>
      <w:r>
        <w:rPr>
          <w:spacing w:val="28"/>
          <w:w w:val="105"/>
          <w:sz w:val="21"/>
        </w:rPr>
        <w:t> </w:t>
      </w:r>
      <w:r>
        <w:rPr>
          <w:spacing w:val="-3"/>
          <w:w w:val="105"/>
          <w:sz w:val="21"/>
        </w:rPr>
        <w:t>reviewed.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1"/>
        <w:ind w:left="0" w:right="726" w:firstLine="0"/>
        <w:jc w:val="right"/>
        <w:rPr>
          <w:b/>
          <w:sz w:val="24"/>
        </w:rPr>
      </w:pPr>
      <w:r>
        <w:rPr>
          <w:b/>
          <w:color w:val="658464"/>
          <w:w w:val="109"/>
          <w:sz w:val="24"/>
        </w:rPr>
        <w:t>5</w:t>
      </w:r>
    </w:p>
    <w:p>
      <w:pPr>
        <w:spacing w:after="0"/>
        <w:jc w:val="right"/>
        <w:rPr>
          <w:sz w:val="24"/>
        </w:rPr>
        <w:sectPr>
          <w:pgSz w:w="11910" w:h="16840"/>
          <w:pgMar w:header="808" w:footer="0" w:top="1360" w:bottom="280" w:left="0" w:right="0"/>
        </w:sectPr>
      </w:pPr>
    </w:p>
    <w:p>
      <w:pPr>
        <w:pStyle w:val="BodyText"/>
        <w:rPr>
          <w:b/>
          <w:sz w:val="20"/>
        </w:rPr>
      </w:pPr>
      <w:r>
        <w:rPr/>
        <w:pict>
          <v:rect style="position:absolute;margin-left:79.370003pt;margin-top:0pt;width:515.906000pt;height:841.890015pt;mso-position-horizontal-relative:page;mso-position-vertical-relative:page;z-index:1600" filled="true" fillcolor="#ecefee" stroked="false">
            <v:fill type="solid"/>
            <w10:wrap type="none"/>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6"/>
        </w:rPr>
      </w:pPr>
    </w:p>
    <w:p>
      <w:pPr>
        <w:spacing w:before="96"/>
        <w:ind w:left="720" w:right="0" w:firstLine="0"/>
        <w:jc w:val="left"/>
        <w:rPr>
          <w:b/>
          <w:sz w:val="24"/>
        </w:rPr>
      </w:pPr>
      <w:r>
        <w:rPr>
          <w:b/>
          <w:color w:val="658464"/>
          <w:w w:val="109"/>
          <w:sz w:val="24"/>
        </w:rPr>
        <w:t>6</w:t>
      </w:r>
    </w:p>
    <w:p>
      <w:pPr>
        <w:spacing w:after="0"/>
        <w:jc w:val="left"/>
        <w:rPr>
          <w:sz w:val="24"/>
        </w:rPr>
        <w:sectPr>
          <w:headerReference w:type="even" r:id="rId27"/>
          <w:pgSz w:w="11910" w:h="16840"/>
          <w:pgMar w:header="0" w:footer="0" w:top="158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457336" filled="true" fillcolor="#ecefee" stroked="false">
            <v:fill type="solid"/>
            <w10:wrap type="none"/>
          </v:rect>
        </w:pict>
      </w:r>
      <w:r>
        <w:rPr>
          <w:b/>
          <w:color w:val="FFFFFF"/>
          <w:w w:val="122"/>
          <w:sz w:val="48"/>
          <w:shd w:fill="658464" w:color="auto" w:val="clear"/>
        </w:rPr>
        <w:t> </w:t>
      </w:r>
      <w:r>
        <w:rPr>
          <w:b/>
          <w:color w:val="FFFFFF"/>
          <w:spacing w:val="41"/>
          <w:sz w:val="48"/>
          <w:shd w:fill="658464" w:color="auto" w:val="clear"/>
        </w:rPr>
        <w:t> </w:t>
      </w:r>
      <w:r>
        <w:rPr>
          <w:b/>
          <w:color w:val="FFFFFF"/>
          <w:w w:val="105"/>
          <w:sz w:val="48"/>
          <w:shd w:fill="658464" w:color="auto" w:val="clear"/>
        </w:rPr>
        <w:t>2</w:t>
      </w:r>
      <w:r>
        <w:rPr>
          <w:b/>
          <w:color w:val="FFFFFF"/>
          <w:sz w:val="48"/>
          <w:shd w:fill="658464"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spacing w:line="1146" w:lineRule="exact" w:before="84"/>
        <w:ind w:left="1587" w:right="0" w:firstLine="0"/>
        <w:jc w:val="left"/>
        <w:rPr>
          <w:b/>
          <w:sz w:val="96"/>
        </w:rPr>
      </w:pPr>
      <w:r>
        <w:rPr/>
        <w:pict>
          <v:rect style="position:absolute;margin-left:0pt;margin-top:5.966142pt;width:451.408pt;height:52pt;mso-position-horizontal-relative:page;mso-position-vertical-relative:paragraph;z-index:-457312" filled="true" fillcolor="#ffffff" stroked="false">
            <v:fill type="solid"/>
            <w10:wrap type="none"/>
          </v:rect>
        </w:pict>
      </w:r>
      <w:r>
        <w:rPr>
          <w:b/>
          <w:color w:val="658464"/>
          <w:w w:val="115"/>
          <w:sz w:val="96"/>
        </w:rPr>
        <w:t>The scope of the</w:t>
      </w:r>
    </w:p>
    <w:p>
      <w:pPr>
        <w:tabs>
          <w:tab w:pos="1587" w:val="left" w:leader="none"/>
          <w:tab w:pos="10588" w:val="left" w:leader="none"/>
        </w:tabs>
        <w:spacing w:line="230" w:lineRule="auto" w:before="11"/>
        <w:ind w:left="1587" w:right="1315" w:hanging="1588"/>
        <w:jc w:val="left"/>
        <w:rPr>
          <w:b/>
          <w:sz w:val="96"/>
        </w:rPr>
      </w:pPr>
      <w:r>
        <w:rPr/>
        <w:pict>
          <v:rect style="position:absolute;margin-left:0pt;margin-top:56.472027pt;width:447.587pt;height:52pt;mso-position-horizontal-relative:page;mso-position-vertical-relative:paragraph;z-index:-457288" filled="true" fillcolor="#ffffff" stroked="false">
            <v:fill type="solid"/>
            <w10:wrap type="none"/>
          </v:rect>
        </w:pict>
      </w:r>
      <w:r>
        <w:rPr>
          <w:b/>
          <w:color w:val="658464"/>
          <w:w w:val="122"/>
          <w:sz w:val="96"/>
          <w:shd w:fill="FFFFFF" w:color="auto" w:val="clear"/>
        </w:rPr>
        <w:t> </w:t>
      </w:r>
      <w:r>
        <w:rPr>
          <w:b/>
          <w:color w:val="658464"/>
          <w:sz w:val="96"/>
          <w:shd w:fill="FFFFFF" w:color="auto" w:val="clear"/>
        </w:rPr>
        <w:tab/>
      </w:r>
      <w:r>
        <w:rPr>
          <w:b/>
          <w:color w:val="658464"/>
          <w:spacing w:val="-25"/>
          <w:w w:val="110"/>
          <w:sz w:val="96"/>
          <w:shd w:fill="FFFFFF" w:color="auto" w:val="clear"/>
        </w:rPr>
        <w:t>neighbourhood </w:t>
      </w:r>
      <w:r>
        <w:rPr>
          <w:b/>
          <w:color w:val="658464"/>
          <w:spacing w:val="65"/>
          <w:w w:val="110"/>
          <w:sz w:val="96"/>
          <w:shd w:fill="FFFFFF" w:color="auto" w:val="clear"/>
        </w:rPr>
        <w:t> </w:t>
      </w:r>
      <w:r>
        <w:rPr>
          <w:b/>
          <w:color w:val="658464"/>
          <w:spacing w:val="-18"/>
          <w:w w:val="110"/>
          <w:sz w:val="96"/>
          <w:shd w:fill="FFFFFF" w:color="auto" w:val="clear"/>
        </w:rPr>
        <w:t>tree</w:t>
      </w:r>
      <w:r>
        <w:rPr>
          <w:b/>
          <w:color w:val="658464"/>
          <w:sz w:val="96"/>
          <w:shd w:fill="FFFFFF" w:color="auto" w:val="clear"/>
        </w:rPr>
        <w:tab/>
      </w:r>
      <w:r>
        <w:rPr>
          <w:b/>
          <w:color w:val="658464"/>
          <w:sz w:val="96"/>
        </w:rPr>
        <w:t> </w:t>
      </w:r>
      <w:r>
        <w:rPr>
          <w:b/>
          <w:color w:val="658464"/>
          <w:spacing w:val="-24"/>
          <w:w w:val="110"/>
          <w:sz w:val="96"/>
        </w:rPr>
        <w:t>dispute</w:t>
      </w:r>
      <w:r>
        <w:rPr>
          <w:b/>
          <w:color w:val="658464"/>
          <w:spacing w:val="15"/>
          <w:w w:val="110"/>
          <w:sz w:val="96"/>
        </w:rPr>
        <w:t> </w:t>
      </w:r>
      <w:r>
        <w:rPr>
          <w:b/>
          <w:color w:val="658464"/>
          <w:spacing w:val="-23"/>
          <w:w w:val="110"/>
          <w:sz w:val="96"/>
        </w:rPr>
        <w:t>problem</w:t>
      </w:r>
    </w:p>
    <w:p>
      <w:pPr>
        <w:pStyle w:val="BodyText"/>
        <w:rPr>
          <w:b/>
          <w:sz w:val="20"/>
        </w:rPr>
      </w:pPr>
    </w:p>
    <w:p>
      <w:pPr>
        <w:pStyle w:val="BodyText"/>
        <w:rPr>
          <w:b/>
          <w:sz w:val="20"/>
        </w:rPr>
      </w:pPr>
    </w:p>
    <w:p>
      <w:pPr>
        <w:pStyle w:val="BodyText"/>
        <w:spacing w:before="6"/>
        <w:rPr>
          <w:b/>
          <w:sz w:val="24"/>
        </w:rPr>
      </w:pPr>
    </w:p>
    <w:p>
      <w:pPr>
        <w:tabs>
          <w:tab w:pos="2154" w:val="left" w:leader="none"/>
        </w:tabs>
        <w:spacing w:before="96"/>
        <w:ind w:left="1587" w:right="0" w:firstLine="0"/>
        <w:jc w:val="left"/>
        <w:rPr>
          <w:b/>
          <w:sz w:val="24"/>
        </w:rPr>
      </w:pPr>
      <w:r>
        <w:rPr/>
        <w:pict>
          <v:line style="position:absolute;mso-position-horizontal-relative:page;mso-position-vertical-relative:paragraph;z-index:-424;mso-wrap-distance-left:0;mso-wrap-distance-right:0" from="79.370102pt,22.89497pt" to="104.882102pt,22.89497pt" stroked="true" strokeweight="2pt" strokecolor="#ffffff">
            <v:stroke dashstyle="solid"/>
            <w10:wrap type="topAndBottom"/>
          </v:line>
        </w:pict>
      </w:r>
      <w:hyperlink w:history="true" w:anchor="_bookmark8">
        <w:r>
          <w:rPr>
            <w:b/>
            <w:w w:val="110"/>
            <w:sz w:val="24"/>
          </w:rPr>
          <w:t>8</w:t>
          <w:tab/>
          <w:t>Introduction</w:t>
        </w:r>
      </w:hyperlink>
    </w:p>
    <w:p>
      <w:pPr>
        <w:tabs>
          <w:tab w:pos="2154" w:val="left" w:leader="none"/>
        </w:tabs>
        <w:spacing w:before="62" w:after="49"/>
        <w:ind w:left="1587" w:right="0" w:firstLine="0"/>
        <w:jc w:val="left"/>
        <w:rPr>
          <w:b/>
          <w:sz w:val="24"/>
        </w:rPr>
      </w:pPr>
      <w:hyperlink w:history="true" w:anchor="_bookmark8">
        <w:r>
          <w:rPr>
            <w:b/>
            <w:w w:val="110"/>
            <w:sz w:val="24"/>
          </w:rPr>
          <w:t>8</w:t>
          <w:tab/>
        </w:r>
        <w:r>
          <w:rPr>
            <w:b/>
            <w:spacing w:val="-2"/>
            <w:w w:val="110"/>
            <w:sz w:val="24"/>
          </w:rPr>
          <w:t>Prevalence </w:t>
        </w:r>
        <w:r>
          <w:rPr>
            <w:b/>
            <w:w w:val="110"/>
            <w:sz w:val="24"/>
          </w:rPr>
          <w:t>of tree</w:t>
        </w:r>
        <w:r>
          <w:rPr>
            <w:b/>
            <w:spacing w:val="22"/>
            <w:w w:val="110"/>
            <w:sz w:val="24"/>
          </w:rPr>
          <w:t> </w:t>
        </w:r>
        <w:r>
          <w:rPr>
            <w:b/>
            <w:w w:val="110"/>
            <w:sz w:val="24"/>
          </w:rPr>
          <w:t>disputes</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2154" w:val="left" w:leader="none"/>
        </w:tabs>
        <w:spacing w:before="91"/>
        <w:ind w:left="1587" w:right="0" w:firstLine="0"/>
        <w:jc w:val="left"/>
        <w:rPr>
          <w:b/>
          <w:sz w:val="24"/>
        </w:rPr>
      </w:pPr>
      <w:r>
        <w:rPr/>
        <w:pict>
          <v:line style="position:absolute;mso-position-horizontal-relative:page;mso-position-vertical-relative:paragraph;z-index:-376;mso-wrap-distance-left:0;mso-wrap-distance-right:0" from="79.370102pt,22.655567pt" to="104.882102pt,22.655567pt" stroked="true" strokeweight="2pt" strokecolor="#ffffff">
            <v:stroke dashstyle="solid"/>
            <w10:wrap type="topAndBottom"/>
          </v:line>
        </w:pict>
      </w:r>
      <w:hyperlink w:history="true" w:anchor="_bookmark11">
        <w:r>
          <w:rPr>
            <w:b/>
            <w:spacing w:val="-5"/>
            <w:w w:val="115"/>
            <w:sz w:val="24"/>
          </w:rPr>
          <w:t>12</w:t>
          <w:tab/>
        </w:r>
        <w:r>
          <w:rPr>
            <w:b/>
            <w:spacing w:val="-4"/>
            <w:w w:val="115"/>
            <w:sz w:val="24"/>
          </w:rPr>
          <w:t>Types </w:t>
        </w:r>
        <w:r>
          <w:rPr>
            <w:b/>
            <w:w w:val="115"/>
            <w:sz w:val="24"/>
          </w:rPr>
          <w:t>of tree</w:t>
        </w:r>
        <w:r>
          <w:rPr>
            <w:b/>
            <w:spacing w:val="14"/>
            <w:w w:val="115"/>
            <w:sz w:val="24"/>
          </w:rPr>
          <w:t> </w:t>
        </w:r>
        <w:r>
          <w:rPr>
            <w:b/>
            <w:w w:val="115"/>
            <w:sz w:val="24"/>
          </w:rPr>
          <w:t>disputes</w:t>
        </w:r>
      </w:hyperlink>
    </w:p>
    <w:p>
      <w:pPr>
        <w:tabs>
          <w:tab w:pos="2154" w:val="left" w:leader="none"/>
        </w:tabs>
        <w:spacing w:before="62" w:after="49"/>
        <w:ind w:left="1587" w:right="0" w:firstLine="0"/>
        <w:jc w:val="left"/>
        <w:rPr>
          <w:b/>
          <w:sz w:val="24"/>
        </w:rPr>
      </w:pPr>
      <w:hyperlink w:history="true" w:anchor="_bookmark16">
        <w:r>
          <w:rPr>
            <w:b/>
            <w:spacing w:val="-7"/>
            <w:w w:val="115"/>
            <w:sz w:val="24"/>
          </w:rPr>
          <w:t>17</w:t>
          <w:tab/>
        </w:r>
        <w:r>
          <w:rPr>
            <w:b/>
            <w:w w:val="115"/>
            <w:sz w:val="24"/>
          </w:rPr>
          <w:t>Impact of tree disputes on</w:t>
        </w:r>
        <w:r>
          <w:rPr>
            <w:b/>
            <w:spacing w:val="13"/>
            <w:w w:val="115"/>
            <w:sz w:val="24"/>
          </w:rPr>
          <w:t> </w:t>
        </w:r>
        <w:r>
          <w:rPr>
            <w:b/>
            <w:w w:val="115"/>
            <w:sz w:val="24"/>
          </w:rPr>
          <w:t>neighbours</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2154" w:val="left" w:leader="none"/>
        </w:tabs>
        <w:spacing w:before="91"/>
        <w:ind w:left="1587" w:right="0" w:firstLine="0"/>
        <w:jc w:val="left"/>
        <w:rPr>
          <w:b/>
          <w:sz w:val="24"/>
        </w:rPr>
      </w:pPr>
      <w:r>
        <w:rPr/>
        <w:pict>
          <v:line style="position:absolute;mso-position-horizontal-relative:page;mso-position-vertical-relative:paragraph;z-index:-328;mso-wrap-distance-left:0;mso-wrap-distance-right:0" from="79.370102pt,22.666195pt" to="104.882102pt,22.666195pt" stroked="true" strokeweight="2pt" strokecolor="#ffffff">
            <v:stroke dashstyle="solid"/>
            <w10:wrap type="topAndBottom"/>
          </v:line>
        </w:pict>
      </w:r>
      <w:hyperlink w:history="true" w:anchor="_bookmark18">
        <w:r>
          <w:rPr>
            <w:b/>
            <w:spacing w:val="-5"/>
            <w:w w:val="110"/>
            <w:sz w:val="24"/>
          </w:rPr>
          <w:t>19</w:t>
          <w:tab/>
        </w:r>
        <w:r>
          <w:rPr>
            <w:b/>
            <w:w w:val="110"/>
            <w:sz w:val="24"/>
          </w:rPr>
          <w:t>Factors contributing to tree</w:t>
        </w:r>
        <w:r>
          <w:rPr>
            <w:b/>
            <w:spacing w:val="28"/>
            <w:w w:val="110"/>
            <w:sz w:val="24"/>
          </w:rPr>
          <w:t> </w:t>
        </w:r>
        <w:r>
          <w:rPr>
            <w:b/>
            <w:w w:val="110"/>
            <w:sz w:val="24"/>
          </w:rPr>
          <w:t>disputes</w:t>
        </w:r>
      </w:hyperlink>
    </w:p>
    <w:p>
      <w:pPr>
        <w:tabs>
          <w:tab w:pos="2154" w:val="left" w:leader="none"/>
        </w:tabs>
        <w:spacing w:before="62" w:after="49"/>
        <w:ind w:left="1587" w:right="0" w:firstLine="0"/>
        <w:jc w:val="left"/>
        <w:rPr>
          <w:b/>
          <w:sz w:val="24"/>
        </w:rPr>
      </w:pPr>
      <w:hyperlink w:history="true" w:anchor="_bookmark19">
        <w:r>
          <w:rPr>
            <w:b/>
            <w:w w:val="110"/>
            <w:sz w:val="24"/>
          </w:rPr>
          <w:t>24</w:t>
          <w:tab/>
          <w:t>The Commission’s</w:t>
        </w:r>
        <w:r>
          <w:rPr>
            <w:b/>
            <w:spacing w:val="13"/>
            <w:w w:val="110"/>
            <w:sz w:val="24"/>
          </w:rPr>
          <w:t> </w:t>
        </w:r>
        <w:r>
          <w:rPr>
            <w:b/>
            <w:w w:val="110"/>
            <w:sz w:val="24"/>
          </w:rPr>
          <w:t>conclusion</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28"/>
          <w:headerReference w:type="even" r:id="rId29"/>
          <w:pgSz w:w="11910" w:h="16840"/>
          <w:pgMar w:header="0" w:footer="0" w:top="720" w:bottom="280" w:left="0" w:right="0"/>
        </w:sectPr>
      </w:pPr>
    </w:p>
    <w:p>
      <w:pPr>
        <w:pStyle w:val="BodyText"/>
        <w:spacing w:before="10"/>
        <w:rPr>
          <w:b/>
          <w:sz w:val="18"/>
        </w:rPr>
      </w:pPr>
    </w:p>
    <w:p>
      <w:pPr>
        <w:pStyle w:val="Heading2"/>
        <w:numPr>
          <w:ilvl w:val="0"/>
          <w:numId w:val="16"/>
        </w:numPr>
        <w:tabs>
          <w:tab w:pos="1247" w:val="left" w:leader="none"/>
          <w:tab w:pos="1248" w:val="left" w:leader="none"/>
        </w:tabs>
        <w:spacing w:line="232" w:lineRule="auto" w:before="106" w:after="0"/>
        <w:ind w:left="1247" w:right="2982" w:hanging="681"/>
        <w:jc w:val="left"/>
      </w:pPr>
      <w:bookmarkStart w:name="2. The scope of the neighbourhood tree d" w:id="28"/>
      <w:bookmarkEnd w:id="28"/>
      <w:r>
        <w:rPr>
          <w:b w:val="0"/>
        </w:rPr>
      </w:r>
      <w:bookmarkStart w:name="Introduction" w:id="29"/>
      <w:bookmarkEnd w:id="29"/>
      <w:r>
        <w:rPr>
          <w:b w:val="0"/>
        </w:rPr>
      </w:r>
      <w:bookmarkStart w:name="Prevalence of tree disputes" w:id="30"/>
      <w:bookmarkEnd w:id="30"/>
      <w:r>
        <w:rPr>
          <w:b w:val="0"/>
        </w:rPr>
      </w:r>
      <w:bookmarkStart w:name="_bookmark8" w:id="31"/>
      <w:bookmarkEnd w:id="31"/>
      <w:r>
        <w:rPr>
          <w:b w:val="0"/>
        </w:rPr>
      </w:r>
      <w:bookmarkStart w:name="_bookmark8" w:id="32"/>
      <w:bookmarkEnd w:id="32"/>
      <w:r>
        <w:rPr>
          <w:color w:val="658464"/>
          <w:w w:val="115"/>
        </w:rPr>
        <w:t>T</w:t>
      </w:r>
      <w:r>
        <w:rPr>
          <w:color w:val="658464"/>
          <w:w w:val="115"/>
        </w:rPr>
        <w:t>he </w:t>
      </w:r>
      <w:r>
        <w:rPr>
          <w:color w:val="658464"/>
          <w:spacing w:val="-3"/>
          <w:w w:val="115"/>
        </w:rPr>
        <w:t>scope of </w:t>
      </w:r>
      <w:r>
        <w:rPr>
          <w:color w:val="658464"/>
          <w:w w:val="115"/>
        </w:rPr>
        <w:t>the </w:t>
      </w:r>
      <w:r>
        <w:rPr>
          <w:color w:val="658464"/>
          <w:spacing w:val="-3"/>
          <w:w w:val="115"/>
        </w:rPr>
        <w:t>neighbourhood</w:t>
      </w:r>
      <w:r>
        <w:rPr>
          <w:color w:val="658464"/>
          <w:spacing w:val="-77"/>
          <w:w w:val="115"/>
        </w:rPr>
        <w:t> </w:t>
      </w:r>
      <w:r>
        <w:rPr>
          <w:color w:val="658464"/>
          <w:w w:val="115"/>
        </w:rPr>
        <w:t>tree </w:t>
      </w:r>
      <w:r>
        <w:rPr>
          <w:color w:val="658464"/>
          <w:spacing w:val="-3"/>
          <w:w w:val="115"/>
        </w:rPr>
        <w:t>dispute</w:t>
      </w:r>
      <w:r>
        <w:rPr>
          <w:color w:val="658464"/>
          <w:spacing w:val="5"/>
          <w:w w:val="115"/>
        </w:rPr>
        <w:t> </w:t>
      </w:r>
      <w:r>
        <w:rPr>
          <w:color w:val="658464"/>
          <w:spacing w:val="-3"/>
          <w:w w:val="115"/>
        </w:rPr>
        <w:t>problem</w:t>
      </w:r>
    </w:p>
    <w:p>
      <w:pPr>
        <w:pStyle w:val="BodyText"/>
        <w:rPr>
          <w:b/>
          <w:sz w:val="52"/>
        </w:rPr>
      </w:pPr>
    </w:p>
    <w:p>
      <w:pPr>
        <w:pStyle w:val="BodyText"/>
        <w:rPr>
          <w:b/>
          <w:sz w:val="52"/>
        </w:rPr>
      </w:pPr>
    </w:p>
    <w:p>
      <w:pPr>
        <w:pStyle w:val="BodyText"/>
        <w:rPr>
          <w:b/>
          <w:sz w:val="52"/>
        </w:rPr>
      </w:pPr>
    </w:p>
    <w:p>
      <w:pPr>
        <w:pStyle w:val="BodyText"/>
        <w:spacing w:before="5"/>
        <w:rPr>
          <w:b/>
          <w:sz w:val="57"/>
        </w:rPr>
      </w:pPr>
    </w:p>
    <w:p>
      <w:pPr>
        <w:pStyle w:val="Heading4"/>
        <w:spacing w:before="1"/>
      </w:pPr>
      <w:r>
        <w:rPr>
          <w:color w:val="658464"/>
          <w:w w:val="110"/>
        </w:rPr>
        <w:t>Introduction</w:t>
      </w:r>
    </w:p>
    <w:p>
      <w:pPr>
        <w:pStyle w:val="ListParagraph"/>
        <w:numPr>
          <w:ilvl w:val="1"/>
          <w:numId w:val="16"/>
        </w:numPr>
        <w:tabs>
          <w:tab w:pos="2381" w:val="left" w:leader="none"/>
          <w:tab w:pos="2382" w:val="left" w:leader="none"/>
        </w:tabs>
        <w:spacing w:line="242" w:lineRule="auto" w:before="155" w:after="0"/>
        <w:ind w:left="2381" w:right="1670" w:hanging="794"/>
        <w:jc w:val="left"/>
        <w:rPr>
          <w:sz w:val="21"/>
        </w:rPr>
      </w:pPr>
      <w:r>
        <w:rPr>
          <w:w w:val="105"/>
          <w:sz w:val="21"/>
        </w:rPr>
        <w:t>This </w:t>
      </w:r>
      <w:r>
        <w:rPr>
          <w:spacing w:val="-3"/>
          <w:w w:val="105"/>
          <w:sz w:val="21"/>
        </w:rPr>
        <w:t>chapter </w:t>
      </w:r>
      <w:r>
        <w:rPr>
          <w:spacing w:val="-2"/>
          <w:w w:val="105"/>
          <w:sz w:val="21"/>
        </w:rPr>
        <w:t>examines </w:t>
      </w:r>
      <w:r>
        <w:rPr>
          <w:w w:val="105"/>
          <w:sz w:val="21"/>
        </w:rPr>
        <w:t>the scope of the neighbourhood tree </w:t>
      </w:r>
      <w:r>
        <w:rPr>
          <w:spacing w:val="-3"/>
          <w:w w:val="105"/>
          <w:sz w:val="21"/>
        </w:rPr>
        <w:t>dispute </w:t>
      </w:r>
      <w:r>
        <w:rPr>
          <w:w w:val="105"/>
          <w:sz w:val="21"/>
        </w:rPr>
        <w:t>problem and identifies</w:t>
      </w:r>
      <w:r>
        <w:rPr>
          <w:spacing w:val="-12"/>
          <w:w w:val="105"/>
          <w:sz w:val="21"/>
        </w:rPr>
        <w:t> </w:t>
      </w:r>
      <w:r>
        <w:rPr>
          <w:w w:val="105"/>
          <w:sz w:val="21"/>
        </w:rPr>
        <w:t>the</w:t>
      </w:r>
      <w:r>
        <w:rPr>
          <w:spacing w:val="-11"/>
          <w:w w:val="105"/>
          <w:sz w:val="21"/>
        </w:rPr>
        <w:t> </w:t>
      </w:r>
      <w:r>
        <w:rPr>
          <w:w w:val="105"/>
          <w:sz w:val="21"/>
        </w:rPr>
        <w:t>frequency</w:t>
      </w:r>
      <w:r>
        <w:rPr>
          <w:spacing w:val="-11"/>
          <w:w w:val="105"/>
          <w:sz w:val="21"/>
        </w:rPr>
        <w:t> </w:t>
      </w:r>
      <w:r>
        <w:rPr>
          <w:w w:val="105"/>
          <w:sz w:val="21"/>
        </w:rPr>
        <w:t>of</w:t>
      </w:r>
      <w:r>
        <w:rPr>
          <w:spacing w:val="-11"/>
          <w:w w:val="105"/>
          <w:sz w:val="21"/>
        </w:rPr>
        <w:t> </w:t>
      </w:r>
      <w:r>
        <w:rPr>
          <w:w w:val="105"/>
          <w:sz w:val="21"/>
        </w:rPr>
        <w:t>tree</w:t>
      </w:r>
      <w:r>
        <w:rPr>
          <w:spacing w:val="-12"/>
          <w:w w:val="105"/>
          <w:sz w:val="21"/>
        </w:rPr>
        <w:t> </w:t>
      </w:r>
      <w:r>
        <w:rPr>
          <w:spacing w:val="-3"/>
          <w:w w:val="105"/>
          <w:sz w:val="21"/>
        </w:rPr>
        <w:t>disputes</w:t>
      </w:r>
      <w:r>
        <w:rPr>
          <w:spacing w:val="-11"/>
          <w:w w:val="105"/>
          <w:sz w:val="21"/>
        </w:rPr>
        <w:t> </w:t>
      </w:r>
      <w:r>
        <w:rPr>
          <w:w w:val="105"/>
          <w:sz w:val="21"/>
        </w:rPr>
        <w:t>in</w:t>
      </w:r>
      <w:r>
        <w:rPr>
          <w:spacing w:val="-11"/>
          <w:w w:val="105"/>
          <w:sz w:val="21"/>
        </w:rPr>
        <w:t> </w:t>
      </w:r>
      <w:r>
        <w:rPr>
          <w:w w:val="105"/>
          <w:sz w:val="21"/>
        </w:rPr>
        <w:t>Victoria.</w:t>
      </w:r>
      <w:r>
        <w:rPr>
          <w:spacing w:val="-11"/>
          <w:w w:val="105"/>
          <w:sz w:val="21"/>
        </w:rPr>
        <w:t> </w:t>
      </w:r>
      <w:r>
        <w:rPr>
          <w:w w:val="105"/>
          <w:sz w:val="21"/>
        </w:rPr>
        <w:t>It</w:t>
      </w:r>
      <w:r>
        <w:rPr>
          <w:spacing w:val="-12"/>
          <w:w w:val="105"/>
          <w:sz w:val="21"/>
        </w:rPr>
        <w:t> </w:t>
      </w:r>
      <w:r>
        <w:rPr>
          <w:w w:val="105"/>
          <w:sz w:val="21"/>
        </w:rPr>
        <w:t>then</w:t>
      </w:r>
      <w:r>
        <w:rPr>
          <w:spacing w:val="-11"/>
          <w:w w:val="105"/>
          <w:sz w:val="21"/>
        </w:rPr>
        <w:t> </w:t>
      </w:r>
      <w:r>
        <w:rPr>
          <w:w w:val="105"/>
          <w:sz w:val="21"/>
        </w:rPr>
        <w:t>explores</w:t>
      </w:r>
      <w:r>
        <w:rPr>
          <w:spacing w:val="-11"/>
          <w:w w:val="105"/>
          <w:sz w:val="21"/>
        </w:rPr>
        <w:t> </w:t>
      </w:r>
      <w:r>
        <w:rPr>
          <w:w w:val="105"/>
          <w:sz w:val="21"/>
        </w:rPr>
        <w:t>the</w:t>
      </w:r>
      <w:r>
        <w:rPr>
          <w:spacing w:val="-11"/>
          <w:w w:val="105"/>
          <w:sz w:val="21"/>
        </w:rPr>
        <w:t> </w:t>
      </w:r>
      <w:r>
        <w:rPr>
          <w:spacing w:val="-2"/>
          <w:w w:val="105"/>
          <w:sz w:val="21"/>
        </w:rPr>
        <w:t>common</w:t>
      </w:r>
      <w:r>
        <w:rPr>
          <w:spacing w:val="-11"/>
          <w:w w:val="105"/>
          <w:sz w:val="21"/>
        </w:rPr>
        <w:t> </w:t>
      </w:r>
      <w:r>
        <w:rPr>
          <w:w w:val="105"/>
          <w:sz w:val="21"/>
        </w:rPr>
        <w:t>types</w:t>
      </w:r>
      <w:r>
        <w:rPr>
          <w:spacing w:val="-12"/>
          <w:w w:val="105"/>
          <w:sz w:val="21"/>
        </w:rPr>
        <w:t> </w:t>
      </w:r>
      <w:r>
        <w:rPr>
          <w:w w:val="105"/>
          <w:sz w:val="21"/>
        </w:rPr>
        <w:t>of tree </w:t>
      </w:r>
      <w:r>
        <w:rPr>
          <w:spacing w:val="-3"/>
          <w:w w:val="105"/>
          <w:sz w:val="21"/>
        </w:rPr>
        <w:t>disputes that occur </w:t>
      </w:r>
      <w:r>
        <w:rPr>
          <w:w w:val="105"/>
          <w:sz w:val="21"/>
        </w:rPr>
        <w:t>and the impact they </w:t>
      </w:r>
      <w:r>
        <w:rPr>
          <w:spacing w:val="-3"/>
          <w:w w:val="105"/>
          <w:sz w:val="21"/>
        </w:rPr>
        <w:t>have </w:t>
      </w:r>
      <w:r>
        <w:rPr>
          <w:w w:val="105"/>
          <w:sz w:val="21"/>
        </w:rPr>
        <w:t>on</w:t>
      </w:r>
      <w:r>
        <w:rPr>
          <w:spacing w:val="41"/>
          <w:w w:val="105"/>
          <w:sz w:val="21"/>
        </w:rPr>
        <w:t> </w:t>
      </w:r>
      <w:r>
        <w:rPr>
          <w:w w:val="105"/>
          <w:sz w:val="21"/>
        </w:rPr>
        <w:t>neighbours.</w:t>
      </w:r>
    </w:p>
    <w:p>
      <w:pPr>
        <w:pStyle w:val="ListParagraph"/>
        <w:numPr>
          <w:ilvl w:val="1"/>
          <w:numId w:val="16"/>
        </w:numPr>
        <w:tabs>
          <w:tab w:pos="2380" w:val="left" w:leader="none"/>
          <w:tab w:pos="2381" w:val="left" w:leader="none"/>
        </w:tabs>
        <w:spacing w:line="242" w:lineRule="auto" w:before="123" w:after="0"/>
        <w:ind w:left="2381" w:right="2164" w:hanging="794"/>
        <w:jc w:val="left"/>
        <w:rPr>
          <w:sz w:val="21"/>
        </w:rPr>
      </w:pPr>
      <w:r>
        <w:rPr>
          <w:w w:val="105"/>
          <w:sz w:val="21"/>
        </w:rPr>
        <w:t>The </w:t>
      </w:r>
      <w:r>
        <w:rPr>
          <w:spacing w:val="-3"/>
          <w:w w:val="105"/>
          <w:sz w:val="21"/>
        </w:rPr>
        <w:t>potential for </w:t>
      </w:r>
      <w:r>
        <w:rPr>
          <w:w w:val="105"/>
          <w:sz w:val="21"/>
        </w:rPr>
        <w:t>these </w:t>
      </w:r>
      <w:r>
        <w:rPr>
          <w:spacing w:val="-3"/>
          <w:w w:val="105"/>
          <w:sz w:val="21"/>
        </w:rPr>
        <w:t>disputes to </w:t>
      </w:r>
      <w:r>
        <w:rPr>
          <w:w w:val="105"/>
          <w:sz w:val="21"/>
        </w:rPr>
        <w:t>seriously damage </w:t>
      </w:r>
      <w:r>
        <w:rPr>
          <w:spacing w:val="-3"/>
          <w:w w:val="105"/>
          <w:sz w:val="21"/>
        </w:rPr>
        <w:t>neighbour relations makes </w:t>
      </w:r>
      <w:r>
        <w:rPr>
          <w:w w:val="105"/>
          <w:sz w:val="21"/>
        </w:rPr>
        <w:t>it important </w:t>
      </w:r>
      <w:r>
        <w:rPr>
          <w:spacing w:val="-3"/>
          <w:w w:val="105"/>
          <w:sz w:val="21"/>
        </w:rPr>
        <w:t>for </w:t>
      </w:r>
      <w:r>
        <w:rPr>
          <w:w w:val="105"/>
          <w:sz w:val="21"/>
        </w:rPr>
        <w:t>them </w:t>
      </w:r>
      <w:r>
        <w:rPr>
          <w:spacing w:val="-3"/>
          <w:w w:val="105"/>
          <w:sz w:val="21"/>
        </w:rPr>
        <w:t>to </w:t>
      </w:r>
      <w:r>
        <w:rPr>
          <w:w w:val="105"/>
          <w:sz w:val="21"/>
        </w:rPr>
        <w:t>be resolved quickly and </w:t>
      </w:r>
      <w:r>
        <w:rPr>
          <w:spacing w:val="-2"/>
          <w:w w:val="105"/>
          <w:sz w:val="21"/>
        </w:rPr>
        <w:t>effectively. </w:t>
      </w:r>
      <w:r>
        <w:rPr>
          <w:w w:val="105"/>
          <w:sz w:val="21"/>
        </w:rPr>
        <w:t>Identifying some of the underlying causes of </w:t>
      </w:r>
      <w:r>
        <w:rPr>
          <w:spacing w:val="-3"/>
          <w:w w:val="105"/>
          <w:sz w:val="21"/>
        </w:rPr>
        <w:t>disputes </w:t>
      </w:r>
      <w:r>
        <w:rPr>
          <w:spacing w:val="-2"/>
          <w:w w:val="105"/>
          <w:sz w:val="21"/>
        </w:rPr>
        <w:t>has </w:t>
      </w:r>
      <w:r>
        <w:rPr>
          <w:w w:val="105"/>
          <w:sz w:val="21"/>
        </w:rPr>
        <w:t>helped the </w:t>
      </w:r>
      <w:r>
        <w:rPr>
          <w:spacing w:val="-3"/>
          <w:w w:val="105"/>
          <w:sz w:val="21"/>
        </w:rPr>
        <w:t>Commission to </w:t>
      </w:r>
      <w:r>
        <w:rPr>
          <w:w w:val="105"/>
          <w:sz w:val="21"/>
        </w:rPr>
        <w:t>develop its </w:t>
      </w:r>
      <w:r>
        <w:rPr>
          <w:spacing w:val="-3"/>
          <w:w w:val="105"/>
          <w:sz w:val="21"/>
        </w:rPr>
        <w:t>reform recommendations</w:t>
      </w:r>
      <w:r>
        <w:rPr>
          <w:spacing w:val="-8"/>
          <w:w w:val="105"/>
          <w:sz w:val="21"/>
        </w:rPr>
        <w:t> </w:t>
      </w:r>
      <w:r>
        <w:rPr>
          <w:w w:val="105"/>
          <w:sz w:val="21"/>
        </w:rPr>
        <w:t>and</w:t>
      </w:r>
      <w:r>
        <w:rPr>
          <w:spacing w:val="-8"/>
          <w:w w:val="105"/>
          <w:sz w:val="21"/>
        </w:rPr>
        <w:t> </w:t>
      </w:r>
      <w:r>
        <w:rPr>
          <w:w w:val="105"/>
          <w:sz w:val="21"/>
        </w:rPr>
        <w:t>guide</w:t>
      </w:r>
      <w:r>
        <w:rPr>
          <w:spacing w:val="-8"/>
          <w:w w:val="105"/>
          <w:sz w:val="21"/>
        </w:rPr>
        <w:t> </w:t>
      </w:r>
      <w:r>
        <w:rPr>
          <w:w w:val="105"/>
          <w:sz w:val="21"/>
        </w:rPr>
        <w:t>policy</w:t>
      </w:r>
      <w:r>
        <w:rPr>
          <w:spacing w:val="-8"/>
          <w:w w:val="105"/>
          <w:sz w:val="21"/>
        </w:rPr>
        <w:t> </w:t>
      </w:r>
      <w:r>
        <w:rPr>
          <w:w w:val="105"/>
          <w:sz w:val="21"/>
        </w:rPr>
        <w:t>development</w:t>
      </w:r>
      <w:r>
        <w:rPr>
          <w:spacing w:val="-8"/>
          <w:w w:val="105"/>
          <w:sz w:val="21"/>
        </w:rPr>
        <w:t> </w:t>
      </w:r>
      <w:r>
        <w:rPr>
          <w:spacing w:val="-3"/>
          <w:w w:val="105"/>
          <w:sz w:val="21"/>
        </w:rPr>
        <w:t>for</w:t>
      </w:r>
      <w:r>
        <w:rPr>
          <w:spacing w:val="-8"/>
          <w:w w:val="105"/>
          <w:sz w:val="21"/>
        </w:rPr>
        <w:t> </w:t>
      </w:r>
      <w:r>
        <w:rPr>
          <w:w w:val="105"/>
          <w:sz w:val="21"/>
        </w:rPr>
        <w:t>the</w:t>
      </w:r>
      <w:r>
        <w:rPr>
          <w:spacing w:val="-8"/>
          <w:w w:val="105"/>
          <w:sz w:val="21"/>
        </w:rPr>
        <w:t> </w:t>
      </w:r>
      <w:r>
        <w:rPr>
          <w:w w:val="105"/>
          <w:sz w:val="21"/>
        </w:rPr>
        <w:t>new</w:t>
      </w:r>
      <w:r>
        <w:rPr>
          <w:spacing w:val="-8"/>
          <w:w w:val="105"/>
          <w:sz w:val="21"/>
        </w:rPr>
        <w:t> </w:t>
      </w:r>
      <w:r>
        <w:rPr>
          <w:w w:val="105"/>
          <w:sz w:val="21"/>
        </w:rPr>
        <w:t>Act.</w:t>
      </w:r>
      <w:r>
        <w:rPr>
          <w:spacing w:val="-8"/>
          <w:w w:val="105"/>
          <w:sz w:val="21"/>
        </w:rPr>
        <w:t> </w:t>
      </w:r>
      <w:r>
        <w:rPr>
          <w:w w:val="105"/>
          <w:sz w:val="21"/>
        </w:rPr>
        <w:t>These</w:t>
      </w:r>
      <w:r>
        <w:rPr>
          <w:spacing w:val="-8"/>
          <w:w w:val="105"/>
          <w:sz w:val="21"/>
        </w:rPr>
        <w:t> </w:t>
      </w:r>
      <w:r>
        <w:rPr>
          <w:w w:val="105"/>
          <w:sz w:val="21"/>
        </w:rPr>
        <w:t>underlying factors </w:t>
      </w:r>
      <w:r>
        <w:rPr>
          <w:spacing w:val="-3"/>
          <w:w w:val="105"/>
          <w:sz w:val="21"/>
        </w:rPr>
        <w:t>are </w:t>
      </w:r>
      <w:r>
        <w:rPr>
          <w:w w:val="105"/>
          <w:sz w:val="21"/>
        </w:rPr>
        <w:t>discussed at the end of the</w:t>
      </w:r>
      <w:r>
        <w:rPr>
          <w:spacing w:val="34"/>
          <w:w w:val="105"/>
          <w:sz w:val="21"/>
        </w:rPr>
        <w:t> </w:t>
      </w:r>
      <w:r>
        <w:rPr>
          <w:spacing w:val="-5"/>
          <w:w w:val="105"/>
          <w:sz w:val="21"/>
        </w:rPr>
        <w:t>chapter.</w:t>
      </w:r>
    </w:p>
    <w:p>
      <w:pPr>
        <w:pStyle w:val="BodyText"/>
        <w:rPr>
          <w:sz w:val="22"/>
        </w:rPr>
      </w:pPr>
    </w:p>
    <w:p>
      <w:pPr>
        <w:pStyle w:val="Heading4"/>
      </w:pPr>
      <w:r>
        <w:rPr>
          <w:color w:val="658464"/>
          <w:w w:val="110"/>
        </w:rPr>
        <w:t>Prevalence of tree disputes</w:t>
      </w:r>
    </w:p>
    <w:p>
      <w:pPr>
        <w:pStyle w:val="ListParagraph"/>
        <w:numPr>
          <w:ilvl w:val="1"/>
          <w:numId w:val="16"/>
        </w:numPr>
        <w:tabs>
          <w:tab w:pos="2381" w:val="left" w:leader="none"/>
          <w:tab w:pos="2382" w:val="left" w:leader="none"/>
        </w:tabs>
        <w:spacing w:line="242" w:lineRule="auto" w:before="155" w:after="0"/>
        <w:ind w:left="2381" w:right="2034" w:hanging="794"/>
        <w:jc w:val="left"/>
        <w:rPr>
          <w:sz w:val="21"/>
        </w:rPr>
      </w:pPr>
      <w:r>
        <w:rPr>
          <w:spacing w:val="-3"/>
          <w:w w:val="105"/>
          <w:sz w:val="21"/>
        </w:rPr>
        <w:t>Determining</w:t>
      </w:r>
      <w:r>
        <w:rPr>
          <w:spacing w:val="-10"/>
          <w:w w:val="105"/>
          <w:sz w:val="21"/>
        </w:rPr>
        <w:t> </w:t>
      </w:r>
      <w:r>
        <w:rPr>
          <w:w w:val="105"/>
          <w:sz w:val="21"/>
        </w:rPr>
        <w:t>the</w:t>
      </w:r>
      <w:r>
        <w:rPr>
          <w:spacing w:val="-10"/>
          <w:w w:val="105"/>
          <w:sz w:val="21"/>
        </w:rPr>
        <w:t> </w:t>
      </w:r>
      <w:r>
        <w:rPr>
          <w:w w:val="105"/>
          <w:sz w:val="21"/>
        </w:rPr>
        <w:t>frequency</w:t>
      </w:r>
      <w:r>
        <w:rPr>
          <w:spacing w:val="-10"/>
          <w:w w:val="105"/>
          <w:sz w:val="21"/>
        </w:rPr>
        <w:t> </w:t>
      </w:r>
      <w:r>
        <w:rPr>
          <w:w w:val="105"/>
          <w:sz w:val="21"/>
        </w:rPr>
        <w:t>and</w:t>
      </w:r>
      <w:r>
        <w:rPr>
          <w:spacing w:val="-10"/>
          <w:w w:val="105"/>
          <w:sz w:val="21"/>
        </w:rPr>
        <w:t> </w:t>
      </w:r>
      <w:r>
        <w:rPr>
          <w:w w:val="105"/>
          <w:sz w:val="21"/>
        </w:rPr>
        <w:t>number</w:t>
      </w:r>
      <w:r>
        <w:rPr>
          <w:spacing w:val="-10"/>
          <w:w w:val="105"/>
          <w:sz w:val="21"/>
        </w:rPr>
        <w:t> </w:t>
      </w:r>
      <w:r>
        <w:rPr>
          <w:w w:val="105"/>
          <w:sz w:val="21"/>
        </w:rPr>
        <w:t>of</w:t>
      </w:r>
      <w:r>
        <w:rPr>
          <w:spacing w:val="-10"/>
          <w:w w:val="105"/>
          <w:sz w:val="21"/>
        </w:rPr>
        <w:t> </w:t>
      </w:r>
      <w:r>
        <w:rPr>
          <w:w w:val="105"/>
          <w:sz w:val="21"/>
        </w:rPr>
        <w:t>tree</w:t>
      </w:r>
      <w:r>
        <w:rPr>
          <w:spacing w:val="-9"/>
          <w:w w:val="105"/>
          <w:sz w:val="21"/>
        </w:rPr>
        <w:t> </w:t>
      </w:r>
      <w:r>
        <w:rPr>
          <w:spacing w:val="-3"/>
          <w:w w:val="105"/>
          <w:sz w:val="21"/>
        </w:rPr>
        <w:t>disputes</w:t>
      </w:r>
      <w:r>
        <w:rPr>
          <w:spacing w:val="-10"/>
          <w:w w:val="105"/>
          <w:sz w:val="21"/>
        </w:rPr>
        <w:t> </w:t>
      </w:r>
      <w:r>
        <w:rPr>
          <w:w w:val="105"/>
          <w:sz w:val="21"/>
        </w:rPr>
        <w:t>in</w:t>
      </w:r>
      <w:r>
        <w:rPr>
          <w:spacing w:val="-10"/>
          <w:w w:val="105"/>
          <w:sz w:val="21"/>
        </w:rPr>
        <w:t> </w:t>
      </w:r>
      <w:r>
        <w:rPr>
          <w:w w:val="105"/>
          <w:sz w:val="21"/>
        </w:rPr>
        <w:t>the</w:t>
      </w:r>
      <w:r>
        <w:rPr>
          <w:spacing w:val="-10"/>
          <w:w w:val="105"/>
          <w:sz w:val="21"/>
        </w:rPr>
        <w:t> </w:t>
      </w:r>
      <w:r>
        <w:rPr>
          <w:w w:val="105"/>
          <w:sz w:val="21"/>
        </w:rPr>
        <w:t>community</w:t>
      </w:r>
      <w:r>
        <w:rPr>
          <w:spacing w:val="-10"/>
          <w:w w:val="105"/>
          <w:sz w:val="21"/>
        </w:rPr>
        <w:t> </w:t>
      </w:r>
      <w:r>
        <w:rPr>
          <w:w w:val="105"/>
          <w:sz w:val="21"/>
        </w:rPr>
        <w:t>is</w:t>
      </w:r>
      <w:r>
        <w:rPr>
          <w:spacing w:val="-10"/>
          <w:w w:val="105"/>
          <w:sz w:val="21"/>
        </w:rPr>
        <w:t> </w:t>
      </w:r>
      <w:r>
        <w:rPr>
          <w:w w:val="105"/>
          <w:sz w:val="21"/>
        </w:rPr>
        <w:t>difficult. </w:t>
      </w:r>
      <w:r>
        <w:rPr>
          <w:spacing w:val="-3"/>
          <w:w w:val="105"/>
          <w:sz w:val="21"/>
        </w:rPr>
        <w:t>Disputes are </w:t>
      </w:r>
      <w:r>
        <w:rPr>
          <w:spacing w:val="-2"/>
          <w:w w:val="105"/>
          <w:sz w:val="21"/>
        </w:rPr>
        <w:t>not commonly </w:t>
      </w:r>
      <w:r>
        <w:rPr>
          <w:spacing w:val="-3"/>
          <w:w w:val="105"/>
          <w:sz w:val="21"/>
        </w:rPr>
        <w:t>litigated </w:t>
      </w:r>
      <w:r>
        <w:rPr>
          <w:w w:val="105"/>
          <w:sz w:val="21"/>
        </w:rPr>
        <w:t>in court. </w:t>
      </w:r>
      <w:r>
        <w:rPr>
          <w:spacing w:val="-4"/>
          <w:w w:val="105"/>
          <w:sz w:val="21"/>
        </w:rPr>
        <w:t>However, </w:t>
      </w:r>
      <w:r>
        <w:rPr>
          <w:w w:val="105"/>
          <w:sz w:val="21"/>
        </w:rPr>
        <w:t>data provided by the </w:t>
      </w:r>
      <w:r>
        <w:rPr>
          <w:spacing w:val="-3"/>
          <w:w w:val="105"/>
          <w:sz w:val="21"/>
        </w:rPr>
        <w:t>Dispute </w:t>
      </w:r>
      <w:r>
        <w:rPr>
          <w:w w:val="105"/>
          <w:sz w:val="21"/>
        </w:rPr>
        <w:t>Settlement </w:t>
      </w:r>
      <w:r>
        <w:rPr>
          <w:spacing w:val="-4"/>
          <w:w w:val="105"/>
          <w:sz w:val="21"/>
        </w:rPr>
        <w:t>Centre </w:t>
      </w:r>
      <w:r>
        <w:rPr>
          <w:w w:val="105"/>
          <w:sz w:val="21"/>
        </w:rPr>
        <w:t>of Victoria (DSCV) and anecdotal </w:t>
      </w:r>
      <w:r>
        <w:rPr>
          <w:spacing w:val="-3"/>
          <w:w w:val="105"/>
          <w:sz w:val="21"/>
        </w:rPr>
        <w:t>information from </w:t>
      </w:r>
      <w:r>
        <w:rPr>
          <w:w w:val="105"/>
          <w:sz w:val="21"/>
        </w:rPr>
        <w:t>local </w:t>
      </w:r>
      <w:r>
        <w:rPr>
          <w:spacing w:val="-3"/>
          <w:w w:val="105"/>
          <w:sz w:val="21"/>
        </w:rPr>
        <w:t>councils, government </w:t>
      </w:r>
      <w:r>
        <w:rPr>
          <w:w w:val="105"/>
          <w:sz w:val="21"/>
        </w:rPr>
        <w:t>bodies, arborists and lawyers </w:t>
      </w:r>
      <w:r>
        <w:rPr>
          <w:spacing w:val="-3"/>
          <w:w w:val="105"/>
          <w:sz w:val="21"/>
        </w:rPr>
        <w:t>indicate that </w:t>
      </w:r>
      <w:r>
        <w:rPr>
          <w:w w:val="105"/>
          <w:sz w:val="21"/>
        </w:rPr>
        <w:t>a </w:t>
      </w:r>
      <w:r>
        <w:rPr>
          <w:spacing w:val="-3"/>
          <w:w w:val="105"/>
          <w:sz w:val="21"/>
        </w:rPr>
        <w:t>significant </w:t>
      </w:r>
      <w:r>
        <w:rPr>
          <w:w w:val="105"/>
          <w:sz w:val="21"/>
        </w:rPr>
        <w:t>number of tree </w:t>
      </w:r>
      <w:r>
        <w:rPr>
          <w:spacing w:val="-3"/>
          <w:w w:val="105"/>
          <w:sz w:val="21"/>
        </w:rPr>
        <w:t>disputes occur </w:t>
      </w:r>
      <w:r>
        <w:rPr>
          <w:w w:val="105"/>
          <w:sz w:val="21"/>
        </w:rPr>
        <w:t>in</w:t>
      </w:r>
      <w:r>
        <w:rPr>
          <w:spacing w:val="22"/>
          <w:w w:val="105"/>
          <w:sz w:val="21"/>
        </w:rPr>
        <w:t> </w:t>
      </w:r>
      <w:r>
        <w:rPr>
          <w:spacing w:val="-4"/>
          <w:w w:val="105"/>
          <w:sz w:val="21"/>
        </w:rPr>
        <w:t>Victoria.</w:t>
      </w:r>
      <w:r>
        <w:rPr>
          <w:spacing w:val="-4"/>
          <w:w w:val="105"/>
          <w:position w:val="7"/>
          <w:sz w:val="12"/>
        </w:rPr>
        <w:t>1</w:t>
      </w:r>
    </w:p>
    <w:p>
      <w:pPr>
        <w:pStyle w:val="ListParagraph"/>
        <w:numPr>
          <w:ilvl w:val="1"/>
          <w:numId w:val="16"/>
        </w:numPr>
        <w:tabs>
          <w:tab w:pos="2381" w:val="left" w:leader="none"/>
          <w:tab w:pos="2382" w:val="left" w:leader="none"/>
        </w:tabs>
        <w:spacing w:line="242" w:lineRule="auto" w:before="125" w:after="0"/>
        <w:ind w:left="2381" w:right="1692" w:hanging="794"/>
        <w:jc w:val="left"/>
        <w:rPr>
          <w:sz w:val="21"/>
        </w:rPr>
      </w:pPr>
      <w:r>
        <w:rPr>
          <w:spacing w:val="-3"/>
          <w:sz w:val="21"/>
        </w:rPr>
        <w:t>Disputes </w:t>
      </w:r>
      <w:r>
        <w:rPr>
          <w:sz w:val="21"/>
        </w:rPr>
        <w:t>do </w:t>
      </w:r>
      <w:r>
        <w:rPr>
          <w:spacing w:val="-2"/>
          <w:sz w:val="21"/>
        </w:rPr>
        <w:t>not </w:t>
      </w:r>
      <w:r>
        <w:rPr>
          <w:sz w:val="21"/>
        </w:rPr>
        <w:t>appear </w:t>
      </w:r>
      <w:r>
        <w:rPr>
          <w:spacing w:val="-3"/>
          <w:sz w:val="21"/>
        </w:rPr>
        <w:t>to </w:t>
      </w:r>
      <w:r>
        <w:rPr>
          <w:sz w:val="21"/>
        </w:rPr>
        <w:t>be </w:t>
      </w:r>
      <w:r>
        <w:rPr>
          <w:spacing w:val="-3"/>
          <w:sz w:val="21"/>
        </w:rPr>
        <w:t>limited to  </w:t>
      </w:r>
      <w:r>
        <w:rPr>
          <w:sz w:val="21"/>
        </w:rPr>
        <w:t>particular locations or types of property </w:t>
      </w:r>
      <w:r>
        <w:rPr>
          <w:spacing w:val="-3"/>
          <w:sz w:val="21"/>
        </w:rPr>
        <w:t>interest. </w:t>
      </w:r>
      <w:r>
        <w:rPr>
          <w:sz w:val="21"/>
        </w:rPr>
        <w:t>The </w:t>
      </w:r>
      <w:r>
        <w:rPr>
          <w:spacing w:val="-3"/>
          <w:sz w:val="21"/>
        </w:rPr>
        <w:t>Commission </w:t>
      </w:r>
      <w:r>
        <w:rPr>
          <w:sz w:val="21"/>
        </w:rPr>
        <w:t>received responses </w:t>
      </w:r>
      <w:r>
        <w:rPr>
          <w:spacing w:val="-3"/>
          <w:sz w:val="21"/>
        </w:rPr>
        <w:t>from </w:t>
      </w:r>
      <w:r>
        <w:rPr>
          <w:sz w:val="21"/>
        </w:rPr>
        <w:t>landowners, </w:t>
      </w:r>
      <w:r>
        <w:rPr>
          <w:spacing w:val="-3"/>
          <w:sz w:val="21"/>
        </w:rPr>
        <w:t>tenants, </w:t>
      </w:r>
      <w:r>
        <w:rPr>
          <w:sz w:val="21"/>
        </w:rPr>
        <w:t>businesses and other </w:t>
      </w:r>
      <w:r>
        <w:rPr>
          <w:spacing w:val="-3"/>
          <w:sz w:val="21"/>
        </w:rPr>
        <w:t>organisations </w:t>
      </w:r>
      <w:r>
        <w:rPr>
          <w:sz w:val="21"/>
        </w:rPr>
        <w:t>in </w:t>
      </w:r>
      <w:r>
        <w:rPr>
          <w:spacing w:val="-3"/>
          <w:sz w:val="21"/>
        </w:rPr>
        <w:t>metropolitan, regional </w:t>
      </w:r>
      <w:r>
        <w:rPr>
          <w:sz w:val="21"/>
        </w:rPr>
        <w:t>and </w:t>
      </w:r>
      <w:r>
        <w:rPr>
          <w:spacing w:val="-3"/>
          <w:sz w:val="21"/>
        </w:rPr>
        <w:t>rural areas </w:t>
      </w:r>
      <w:r>
        <w:rPr>
          <w:sz w:val="21"/>
        </w:rPr>
        <w:t>about their tree </w:t>
      </w:r>
      <w:r>
        <w:rPr>
          <w:spacing w:val="-3"/>
          <w:sz w:val="21"/>
        </w:rPr>
        <w:t>disputes. </w:t>
      </w:r>
      <w:r>
        <w:rPr>
          <w:spacing w:val="-5"/>
          <w:sz w:val="21"/>
        </w:rPr>
        <w:t>Tree </w:t>
      </w:r>
      <w:r>
        <w:rPr>
          <w:spacing w:val="-3"/>
          <w:sz w:val="21"/>
        </w:rPr>
        <w:t>disputes were </w:t>
      </w:r>
      <w:r>
        <w:rPr>
          <w:sz w:val="21"/>
        </w:rPr>
        <w:t>reported between neighbours who </w:t>
      </w:r>
      <w:r>
        <w:rPr>
          <w:spacing w:val="-3"/>
          <w:sz w:val="21"/>
        </w:rPr>
        <w:t>occupy </w:t>
      </w:r>
      <w:r>
        <w:rPr>
          <w:sz w:val="21"/>
        </w:rPr>
        <w:t>their property only </w:t>
      </w:r>
      <w:r>
        <w:rPr>
          <w:spacing w:val="-3"/>
          <w:sz w:val="21"/>
        </w:rPr>
        <w:t>periodically, such </w:t>
      </w:r>
      <w:r>
        <w:rPr>
          <w:sz w:val="21"/>
        </w:rPr>
        <w:t>as in the case of a </w:t>
      </w:r>
      <w:r>
        <w:rPr>
          <w:spacing w:val="-3"/>
          <w:sz w:val="21"/>
        </w:rPr>
        <w:t>holiday </w:t>
      </w:r>
      <w:r>
        <w:rPr>
          <w:sz w:val="21"/>
        </w:rPr>
        <w:t>home,</w:t>
      </w:r>
      <w:r>
        <w:rPr>
          <w:position w:val="7"/>
          <w:sz w:val="12"/>
        </w:rPr>
        <w:t>2 </w:t>
      </w:r>
      <w:r>
        <w:rPr>
          <w:sz w:val="21"/>
        </w:rPr>
        <w:t>and where a large  tree  sits  on  a  </w:t>
      </w:r>
      <w:r>
        <w:rPr>
          <w:spacing w:val="-2"/>
          <w:sz w:val="21"/>
        </w:rPr>
        <w:t>common </w:t>
      </w:r>
      <w:r>
        <w:rPr>
          <w:sz w:val="21"/>
        </w:rPr>
        <w:t>boundary </w:t>
      </w:r>
      <w:r>
        <w:rPr>
          <w:spacing w:val="-3"/>
          <w:sz w:val="21"/>
        </w:rPr>
        <w:t>that </w:t>
      </w:r>
      <w:r>
        <w:rPr>
          <w:sz w:val="21"/>
        </w:rPr>
        <w:t>is </w:t>
      </w:r>
      <w:r>
        <w:rPr>
          <w:spacing w:val="-3"/>
          <w:sz w:val="21"/>
        </w:rPr>
        <w:t>shared </w:t>
      </w:r>
      <w:r>
        <w:rPr>
          <w:sz w:val="21"/>
        </w:rPr>
        <w:t>by </w:t>
      </w:r>
      <w:r>
        <w:rPr>
          <w:spacing w:val="-3"/>
          <w:sz w:val="21"/>
        </w:rPr>
        <w:t>multiple</w:t>
      </w:r>
      <w:r>
        <w:rPr>
          <w:spacing w:val="15"/>
          <w:sz w:val="21"/>
        </w:rPr>
        <w:t> </w:t>
      </w:r>
      <w:r>
        <w:rPr>
          <w:sz w:val="21"/>
        </w:rPr>
        <w:t>properties.</w:t>
      </w:r>
      <w:r>
        <w:rPr>
          <w:position w:val="7"/>
          <w:sz w:val="12"/>
        </w:rPr>
        <w:t>3</w:t>
      </w:r>
    </w:p>
    <w:p>
      <w:pPr>
        <w:pStyle w:val="BodyText"/>
        <w:spacing w:before="8"/>
        <w:rPr>
          <w:sz w:val="20"/>
        </w:rPr>
      </w:pPr>
    </w:p>
    <w:p>
      <w:pPr>
        <w:pStyle w:val="Heading5"/>
      </w:pPr>
      <w:r>
        <w:rPr>
          <w:w w:val="110"/>
        </w:rPr>
        <w:t>Tree disputes in the courts</w:t>
      </w:r>
    </w:p>
    <w:p>
      <w:pPr>
        <w:pStyle w:val="ListParagraph"/>
        <w:numPr>
          <w:ilvl w:val="1"/>
          <w:numId w:val="16"/>
        </w:numPr>
        <w:tabs>
          <w:tab w:pos="2380" w:val="left" w:leader="none"/>
          <w:tab w:pos="2381" w:val="left" w:leader="none"/>
        </w:tabs>
        <w:spacing w:line="242" w:lineRule="auto" w:before="137" w:after="0"/>
        <w:ind w:left="2381" w:right="1987" w:hanging="794"/>
        <w:jc w:val="left"/>
        <w:rPr>
          <w:sz w:val="21"/>
        </w:rPr>
      </w:pPr>
      <w:r>
        <w:rPr>
          <w:sz w:val="21"/>
        </w:rPr>
        <w:t>Few tree </w:t>
      </w:r>
      <w:r>
        <w:rPr>
          <w:spacing w:val="-3"/>
          <w:sz w:val="21"/>
        </w:rPr>
        <w:t>disputes are litigated </w:t>
      </w:r>
      <w:r>
        <w:rPr>
          <w:sz w:val="21"/>
        </w:rPr>
        <w:t>in the courts. </w:t>
      </w:r>
      <w:r>
        <w:rPr>
          <w:spacing w:val="-3"/>
          <w:sz w:val="21"/>
        </w:rPr>
        <w:t>According to </w:t>
      </w:r>
      <w:r>
        <w:rPr>
          <w:sz w:val="21"/>
        </w:rPr>
        <w:t>DSCV data, </w:t>
      </w:r>
      <w:r>
        <w:rPr>
          <w:spacing w:val="-3"/>
          <w:sz w:val="21"/>
        </w:rPr>
        <w:t>‘matters that </w:t>
      </w:r>
      <w:r>
        <w:rPr>
          <w:sz w:val="21"/>
        </w:rPr>
        <w:t>proceed </w:t>
      </w:r>
      <w:r>
        <w:rPr>
          <w:spacing w:val="-3"/>
          <w:sz w:val="21"/>
        </w:rPr>
        <w:t>to Court are usually </w:t>
      </w:r>
      <w:r>
        <w:rPr>
          <w:sz w:val="21"/>
        </w:rPr>
        <w:t>much more serious, and typically </w:t>
      </w:r>
      <w:r>
        <w:rPr>
          <w:spacing w:val="-3"/>
          <w:sz w:val="21"/>
        </w:rPr>
        <w:t>involve </w:t>
      </w:r>
      <w:r>
        <w:rPr>
          <w:sz w:val="21"/>
        </w:rPr>
        <w:t>some degree of property destruction or</w:t>
      </w:r>
      <w:r>
        <w:rPr>
          <w:spacing w:val="27"/>
          <w:sz w:val="21"/>
        </w:rPr>
        <w:t> </w:t>
      </w:r>
      <w:r>
        <w:rPr>
          <w:spacing w:val="-5"/>
          <w:sz w:val="21"/>
        </w:rPr>
        <w:t>damage’.</w:t>
      </w:r>
      <w:r>
        <w:rPr>
          <w:spacing w:val="-5"/>
          <w:position w:val="7"/>
          <w:sz w:val="12"/>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r>
        <w:rPr/>
        <w:pict>
          <v:line style="position:absolute;mso-position-horizontal-relative:page;mso-position-vertical-relative:paragraph;z-index:-208;mso-wrap-distance-left:0;mso-wrap-distance-right:0" from="79.370102pt,10.287187pt" to="515.905102pt,10.287187pt" stroked="true" strokeweight="1pt" strokecolor="#c9d2cb">
            <v:stroke dashstyle="solid"/>
            <w10:wrap type="topAndBottom"/>
          </v:line>
        </w:pict>
      </w:r>
    </w:p>
    <w:p>
      <w:pPr>
        <w:pStyle w:val="ListParagraph"/>
        <w:numPr>
          <w:ilvl w:val="0"/>
          <w:numId w:val="18"/>
        </w:numPr>
        <w:tabs>
          <w:tab w:pos="2380" w:val="left" w:leader="none"/>
          <w:tab w:pos="2382" w:val="left" w:leader="none"/>
        </w:tabs>
        <w:spacing w:line="240" w:lineRule="auto" w:before="117" w:after="0"/>
        <w:ind w:left="2381" w:right="1610" w:hanging="794"/>
        <w:jc w:val="left"/>
        <w:rPr>
          <w:sz w:val="13"/>
        </w:rPr>
      </w:pPr>
      <w:r>
        <w:rPr>
          <w:w w:val="105"/>
          <w:sz w:val="13"/>
        </w:rPr>
        <w:t>Submissions 7 </w:t>
      </w:r>
      <w:r>
        <w:rPr>
          <w:spacing w:val="2"/>
          <w:w w:val="105"/>
          <w:sz w:val="13"/>
        </w:rPr>
        <w:t>(Ben </w:t>
      </w:r>
      <w:r>
        <w:rPr>
          <w:w w:val="105"/>
          <w:sz w:val="13"/>
        </w:rPr>
        <w:t>Kenyon), 21 (Pointon Partners </w:t>
      </w:r>
      <w:r>
        <w:rPr>
          <w:spacing w:val="2"/>
          <w:w w:val="105"/>
          <w:sz w:val="13"/>
        </w:rPr>
        <w:t>Lawyers), </w:t>
      </w:r>
      <w:r>
        <w:rPr>
          <w:w w:val="105"/>
          <w:sz w:val="13"/>
        </w:rPr>
        <w:t>25 (City of Boorondara), 30 </w:t>
      </w:r>
      <w:r>
        <w:rPr>
          <w:spacing w:val="3"/>
          <w:w w:val="105"/>
          <w:sz w:val="13"/>
        </w:rPr>
        <w:t>(Law </w:t>
      </w:r>
      <w:r>
        <w:rPr>
          <w:w w:val="105"/>
          <w:sz w:val="13"/>
        </w:rPr>
        <w:t>Institute of </w:t>
      </w:r>
      <w:r>
        <w:rPr>
          <w:spacing w:val="2"/>
          <w:w w:val="105"/>
          <w:sz w:val="13"/>
        </w:rPr>
        <w:t>Victoria), </w:t>
      </w:r>
      <w:r>
        <w:rPr>
          <w:w w:val="105"/>
          <w:sz w:val="13"/>
        </w:rPr>
        <w:t>31 </w:t>
      </w:r>
      <w:r>
        <w:rPr>
          <w:spacing w:val="2"/>
          <w:w w:val="105"/>
          <w:sz w:val="13"/>
        </w:rPr>
        <w:t>(Barwon </w:t>
      </w:r>
      <w:r>
        <w:rPr>
          <w:w w:val="105"/>
          <w:sz w:val="13"/>
        </w:rPr>
        <w:t>Community Legal </w:t>
      </w:r>
      <w:r>
        <w:rPr>
          <w:spacing w:val="2"/>
          <w:w w:val="105"/>
          <w:sz w:val="13"/>
        </w:rPr>
        <w:t>Service); </w:t>
      </w:r>
      <w:r>
        <w:rPr>
          <w:w w:val="105"/>
          <w:sz w:val="13"/>
        </w:rPr>
        <w:t>Consultations 3 </w:t>
      </w:r>
      <w:r>
        <w:rPr>
          <w:spacing w:val="3"/>
          <w:w w:val="105"/>
          <w:sz w:val="13"/>
        </w:rPr>
        <w:t>(HVP </w:t>
      </w:r>
      <w:r>
        <w:rPr>
          <w:w w:val="105"/>
          <w:sz w:val="13"/>
        </w:rPr>
        <w:t>Plantations), 4 (Participants in facilitated discussion at </w:t>
      </w:r>
      <w:r>
        <w:rPr>
          <w:spacing w:val="4"/>
          <w:w w:val="105"/>
          <w:sz w:val="13"/>
        </w:rPr>
        <w:t>VTIO </w:t>
      </w:r>
      <w:r>
        <w:rPr>
          <w:w w:val="105"/>
          <w:sz w:val="13"/>
        </w:rPr>
        <w:t>ArborCamp2018), 6 </w:t>
      </w:r>
      <w:r>
        <w:rPr>
          <w:spacing w:val="2"/>
          <w:w w:val="105"/>
          <w:sz w:val="13"/>
        </w:rPr>
        <w:t>(Ben </w:t>
      </w:r>
      <w:r>
        <w:rPr>
          <w:w w:val="105"/>
          <w:sz w:val="13"/>
        </w:rPr>
        <w:t>Kenyon), 8 (City    of Boroondara), 9 (Nillumbik Shire Council), 10 </w:t>
      </w:r>
      <w:r>
        <w:rPr>
          <w:spacing w:val="2"/>
          <w:w w:val="105"/>
          <w:sz w:val="13"/>
        </w:rPr>
        <w:t>(Baw </w:t>
      </w:r>
      <w:r>
        <w:rPr>
          <w:w w:val="105"/>
          <w:sz w:val="13"/>
        </w:rPr>
        <w:t>Baw Shire Council), </w:t>
      </w:r>
      <w:r>
        <w:rPr>
          <w:spacing w:val="-4"/>
          <w:w w:val="105"/>
          <w:sz w:val="13"/>
        </w:rPr>
        <w:t>12 </w:t>
      </w:r>
      <w:r>
        <w:rPr>
          <w:w w:val="105"/>
          <w:sz w:val="13"/>
        </w:rPr>
        <w:t>(City of Port Phillip), </w:t>
      </w:r>
      <w:r>
        <w:rPr>
          <w:spacing w:val="-4"/>
          <w:w w:val="105"/>
          <w:sz w:val="13"/>
        </w:rPr>
        <w:t>13 </w:t>
      </w:r>
      <w:r>
        <w:rPr>
          <w:w w:val="105"/>
          <w:sz w:val="13"/>
        </w:rPr>
        <w:t>(Aboriginal </w:t>
      </w:r>
      <w:r>
        <w:rPr>
          <w:spacing w:val="2"/>
          <w:w w:val="105"/>
          <w:sz w:val="13"/>
        </w:rPr>
        <w:t>Victoria), </w:t>
      </w:r>
      <w:r>
        <w:rPr>
          <w:w w:val="105"/>
          <w:sz w:val="13"/>
        </w:rPr>
        <w:t>16 </w:t>
      </w:r>
      <w:r>
        <w:rPr>
          <w:spacing w:val="2"/>
          <w:w w:val="105"/>
          <w:sz w:val="13"/>
        </w:rPr>
        <w:t>(Heritage  Victoria); </w:t>
      </w:r>
      <w:r>
        <w:rPr>
          <w:w w:val="105"/>
          <w:sz w:val="13"/>
        </w:rPr>
        <w:t>Survey Respondents 43, 79, 103; Information provided by the Dispute Settlement Centre of Victoria </w:t>
      </w:r>
      <w:r>
        <w:rPr>
          <w:spacing w:val="3"/>
          <w:w w:val="105"/>
          <w:sz w:val="13"/>
        </w:rPr>
        <w:t>(DSCV) </w:t>
      </w:r>
      <w:r>
        <w:rPr>
          <w:w w:val="105"/>
          <w:sz w:val="13"/>
        </w:rPr>
        <w:t>as part of a data   request</w:t>
      </w:r>
      <w:r>
        <w:rPr>
          <w:spacing w:val="5"/>
          <w:w w:val="105"/>
          <w:sz w:val="13"/>
        </w:rPr>
        <w:t> </w:t>
      </w:r>
      <w:r>
        <w:rPr>
          <w:w w:val="105"/>
          <w:sz w:val="13"/>
        </w:rPr>
        <w:t>from</w:t>
      </w:r>
      <w:r>
        <w:rPr>
          <w:spacing w:val="5"/>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August</w:t>
      </w:r>
      <w:r>
        <w:rPr>
          <w:spacing w:val="5"/>
          <w:w w:val="105"/>
          <w:sz w:val="13"/>
        </w:rPr>
        <w:t> </w:t>
      </w:r>
      <w:r>
        <w:rPr>
          <w:spacing w:val="-3"/>
          <w:w w:val="105"/>
          <w:sz w:val="13"/>
        </w:rPr>
        <w:t>2017</w:t>
      </w:r>
      <w:r>
        <w:rPr>
          <w:spacing w:val="5"/>
          <w:w w:val="105"/>
          <w:sz w:val="13"/>
        </w:rPr>
        <w:t> </w:t>
      </w:r>
      <w:r>
        <w:rPr>
          <w:w w:val="105"/>
          <w:sz w:val="13"/>
        </w:rPr>
        <w:t>and</w:t>
      </w:r>
      <w:r>
        <w:rPr>
          <w:spacing w:val="5"/>
          <w:w w:val="105"/>
          <w:sz w:val="13"/>
        </w:rPr>
        <w:t> </w:t>
      </w:r>
      <w:r>
        <w:rPr>
          <w:w w:val="105"/>
          <w:sz w:val="13"/>
        </w:rPr>
        <w:t>clarification</w:t>
      </w:r>
      <w:r>
        <w:rPr>
          <w:spacing w:val="5"/>
          <w:w w:val="105"/>
          <w:sz w:val="13"/>
        </w:rPr>
        <w:t> </w:t>
      </w:r>
      <w:r>
        <w:rPr>
          <w:w w:val="105"/>
          <w:sz w:val="13"/>
        </w:rPr>
        <w:t>of</w:t>
      </w:r>
      <w:r>
        <w:rPr>
          <w:spacing w:val="5"/>
          <w:w w:val="105"/>
          <w:sz w:val="13"/>
        </w:rPr>
        <w:t> </w:t>
      </w:r>
      <w:r>
        <w:rPr>
          <w:w w:val="105"/>
          <w:sz w:val="13"/>
        </w:rPr>
        <w:t>data</w:t>
      </w:r>
      <w:r>
        <w:rPr>
          <w:spacing w:val="5"/>
          <w:w w:val="105"/>
          <w:sz w:val="13"/>
        </w:rPr>
        <w:t> </w:t>
      </w:r>
      <w:r>
        <w:rPr>
          <w:w w:val="105"/>
          <w:sz w:val="13"/>
        </w:rPr>
        <w:t>provided</w:t>
      </w:r>
      <w:r>
        <w:rPr>
          <w:spacing w:val="5"/>
          <w:w w:val="105"/>
          <w:sz w:val="13"/>
        </w:rPr>
        <w:t> </w:t>
      </w:r>
      <w:r>
        <w:rPr>
          <w:w w:val="105"/>
          <w:sz w:val="13"/>
        </w:rPr>
        <w:t>in</w:t>
      </w:r>
      <w:r>
        <w:rPr>
          <w:spacing w:val="6"/>
          <w:w w:val="105"/>
          <w:sz w:val="13"/>
        </w:rPr>
        <w:t> </w:t>
      </w:r>
      <w:r>
        <w:rPr>
          <w:w w:val="105"/>
          <w:sz w:val="13"/>
        </w:rPr>
        <w:t>May</w:t>
      </w:r>
      <w:r>
        <w:rPr>
          <w:spacing w:val="5"/>
          <w:w w:val="105"/>
          <w:sz w:val="13"/>
        </w:rPr>
        <w:t> </w:t>
      </w:r>
      <w:r>
        <w:rPr>
          <w:w w:val="105"/>
          <w:sz w:val="13"/>
        </w:rPr>
        <w:t>2019.</w:t>
      </w:r>
    </w:p>
    <w:p>
      <w:pPr>
        <w:pStyle w:val="ListParagraph"/>
        <w:numPr>
          <w:ilvl w:val="0"/>
          <w:numId w:val="18"/>
        </w:numPr>
        <w:tabs>
          <w:tab w:pos="2380" w:val="left" w:leader="none"/>
          <w:tab w:pos="2382" w:val="left" w:leader="none"/>
        </w:tabs>
        <w:spacing w:line="240" w:lineRule="auto" w:before="7" w:after="0"/>
        <w:ind w:left="2381" w:right="0" w:hanging="794"/>
        <w:jc w:val="left"/>
        <w:rPr>
          <w:sz w:val="13"/>
        </w:rPr>
      </w:pPr>
      <w:r>
        <w:rPr>
          <w:w w:val="105"/>
          <w:sz w:val="13"/>
        </w:rPr>
        <w:t>Submission</w:t>
      </w:r>
      <w:r>
        <w:rPr>
          <w:spacing w:val="4"/>
          <w:w w:val="105"/>
          <w:sz w:val="13"/>
        </w:rPr>
        <w:t> </w:t>
      </w:r>
      <w:r>
        <w:rPr>
          <w:w w:val="105"/>
          <w:sz w:val="13"/>
        </w:rPr>
        <w:t>8</w:t>
      </w:r>
      <w:r>
        <w:rPr>
          <w:spacing w:val="5"/>
          <w:w w:val="105"/>
          <w:sz w:val="13"/>
        </w:rPr>
        <w:t> </w:t>
      </w:r>
      <w:r>
        <w:rPr>
          <w:w w:val="105"/>
          <w:sz w:val="13"/>
        </w:rPr>
        <w:t>(Victoria</w:t>
      </w:r>
      <w:r>
        <w:rPr>
          <w:spacing w:val="5"/>
          <w:w w:val="105"/>
          <w:sz w:val="13"/>
        </w:rPr>
        <w:t> </w:t>
      </w:r>
      <w:r>
        <w:rPr>
          <w:w w:val="105"/>
          <w:sz w:val="13"/>
        </w:rPr>
        <w:t>Thieberger);</w:t>
      </w:r>
      <w:r>
        <w:rPr>
          <w:spacing w:val="5"/>
          <w:w w:val="105"/>
          <w:sz w:val="13"/>
        </w:rPr>
        <w:t> </w:t>
      </w:r>
      <w:r>
        <w:rPr>
          <w:w w:val="105"/>
          <w:sz w:val="13"/>
        </w:rPr>
        <w:t>Consultation</w:t>
      </w:r>
      <w:r>
        <w:rPr>
          <w:spacing w:val="5"/>
          <w:w w:val="105"/>
          <w:sz w:val="13"/>
        </w:rPr>
        <w:t> </w:t>
      </w:r>
      <w:r>
        <w:rPr>
          <w:w w:val="105"/>
          <w:sz w:val="13"/>
        </w:rPr>
        <w:t>7</w:t>
      </w:r>
      <w:r>
        <w:rPr>
          <w:spacing w:val="5"/>
          <w:w w:val="105"/>
          <w:sz w:val="13"/>
        </w:rPr>
        <w:t> </w:t>
      </w:r>
      <w:r>
        <w:rPr>
          <w:w w:val="105"/>
          <w:sz w:val="13"/>
        </w:rPr>
        <w:t>(Dispute</w:t>
      </w:r>
      <w:r>
        <w:rPr>
          <w:spacing w:val="4"/>
          <w:w w:val="105"/>
          <w:sz w:val="13"/>
        </w:rPr>
        <w:t> </w:t>
      </w:r>
      <w:r>
        <w:rPr>
          <w:w w:val="105"/>
          <w:sz w:val="13"/>
        </w:rPr>
        <w:t>Settlement</w:t>
      </w:r>
      <w:r>
        <w:rPr>
          <w:spacing w:val="5"/>
          <w:w w:val="105"/>
          <w:sz w:val="13"/>
        </w:rPr>
        <w:t> </w:t>
      </w:r>
      <w:r>
        <w:rPr>
          <w:w w:val="105"/>
          <w:sz w:val="13"/>
        </w:rPr>
        <w:t>Centre</w:t>
      </w:r>
      <w:r>
        <w:rPr>
          <w:spacing w:val="5"/>
          <w:w w:val="105"/>
          <w:sz w:val="13"/>
        </w:rPr>
        <w:t> </w:t>
      </w:r>
      <w:r>
        <w:rPr>
          <w:w w:val="105"/>
          <w:sz w:val="13"/>
        </w:rPr>
        <w:t>of</w:t>
      </w:r>
      <w:r>
        <w:rPr>
          <w:spacing w:val="5"/>
          <w:w w:val="105"/>
          <w:sz w:val="13"/>
        </w:rPr>
        <w:t> </w:t>
      </w:r>
      <w:r>
        <w:rPr>
          <w:w w:val="105"/>
          <w:sz w:val="13"/>
        </w:rPr>
        <w:t>Victoria).</w:t>
      </w:r>
    </w:p>
    <w:p>
      <w:pPr>
        <w:pStyle w:val="ListParagraph"/>
        <w:numPr>
          <w:ilvl w:val="0"/>
          <w:numId w:val="18"/>
        </w:numPr>
        <w:tabs>
          <w:tab w:pos="2380" w:val="left" w:leader="none"/>
          <w:tab w:pos="2382" w:val="left" w:leader="none"/>
        </w:tabs>
        <w:spacing w:line="240" w:lineRule="auto" w:before="1" w:after="0"/>
        <w:ind w:left="2381" w:right="0" w:hanging="794"/>
        <w:jc w:val="left"/>
        <w:rPr>
          <w:sz w:val="13"/>
        </w:rPr>
      </w:pPr>
      <w:r>
        <w:rPr/>
        <w:pict>
          <v:shape style="position:absolute;margin-left:36pt;margin-top:3.010364pt;width:6.7pt;height:14.25pt;mso-position-horizontal-relative:page;mso-position-vertical-relative:paragraph;z-index:1864" type="#_x0000_t202" filled="false" stroked="false">
            <v:textbox inset="0,0,0,0">
              <w:txbxContent>
                <w:p>
                  <w:pPr>
                    <w:spacing w:line="284" w:lineRule="exact" w:before="0"/>
                    <w:ind w:left="0" w:right="0" w:firstLine="0"/>
                    <w:jc w:val="left"/>
                    <w:rPr>
                      <w:b/>
                      <w:sz w:val="24"/>
                    </w:rPr>
                  </w:pPr>
                  <w:r>
                    <w:rPr>
                      <w:b/>
                      <w:color w:val="658464"/>
                      <w:w w:val="109"/>
                      <w:sz w:val="24"/>
                    </w:rPr>
                    <w:t>8</w:t>
                  </w:r>
                </w:p>
              </w:txbxContent>
            </v:textbox>
            <w10:wrap type="none"/>
          </v:shape>
        </w:pict>
      </w:r>
      <w:r>
        <w:rPr>
          <w:w w:val="105"/>
          <w:sz w:val="13"/>
        </w:rPr>
        <w:t>Submissions 8 </w:t>
      </w:r>
      <w:r>
        <w:rPr>
          <w:spacing w:val="2"/>
          <w:w w:val="105"/>
          <w:sz w:val="13"/>
        </w:rPr>
        <w:t>(Victoria </w:t>
      </w:r>
      <w:r>
        <w:rPr>
          <w:w w:val="105"/>
          <w:sz w:val="13"/>
        </w:rPr>
        <w:t>Thieberger), 38 </w:t>
      </w:r>
      <w:r>
        <w:rPr>
          <w:spacing w:val="3"/>
          <w:w w:val="105"/>
          <w:sz w:val="13"/>
        </w:rPr>
        <w:t>(L. </w:t>
      </w:r>
      <w:r>
        <w:rPr>
          <w:spacing w:val="2"/>
          <w:w w:val="105"/>
          <w:sz w:val="13"/>
        </w:rPr>
        <w:t>Barry</w:t>
      </w:r>
      <w:r>
        <w:rPr>
          <w:spacing w:val="26"/>
          <w:w w:val="105"/>
          <w:sz w:val="13"/>
        </w:rPr>
        <w:t> </w:t>
      </w:r>
      <w:r>
        <w:rPr>
          <w:w w:val="105"/>
          <w:sz w:val="13"/>
        </w:rPr>
        <w:t>Wollmer).</w:t>
      </w:r>
    </w:p>
    <w:p>
      <w:pPr>
        <w:pStyle w:val="ListParagraph"/>
        <w:numPr>
          <w:ilvl w:val="0"/>
          <w:numId w:val="18"/>
        </w:numPr>
        <w:tabs>
          <w:tab w:pos="2380" w:val="left" w:leader="none"/>
          <w:tab w:pos="2382" w:val="left" w:leader="none"/>
        </w:tabs>
        <w:spacing w:line="240" w:lineRule="auto" w:before="1" w:after="0"/>
        <w:ind w:left="2381" w:right="0" w:hanging="794"/>
        <w:jc w:val="left"/>
        <w:rPr>
          <w:sz w:val="13"/>
        </w:rPr>
      </w:pPr>
      <w:r>
        <w:rPr>
          <w:w w:val="105"/>
          <w:sz w:val="13"/>
        </w:rPr>
        <w:t>Information</w:t>
      </w:r>
      <w:r>
        <w:rPr>
          <w:spacing w:val="5"/>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DSCV</w:t>
      </w:r>
      <w:r>
        <w:rPr>
          <w:spacing w:val="5"/>
          <w:w w:val="105"/>
          <w:sz w:val="13"/>
        </w:rPr>
        <w:t> </w:t>
      </w:r>
      <w:r>
        <w:rPr>
          <w:w w:val="105"/>
          <w:sz w:val="13"/>
        </w:rPr>
        <w:t>as</w:t>
      </w:r>
      <w:r>
        <w:rPr>
          <w:spacing w:val="5"/>
          <w:w w:val="105"/>
          <w:sz w:val="13"/>
        </w:rPr>
        <w:t> </w:t>
      </w:r>
      <w:r>
        <w:rPr>
          <w:w w:val="105"/>
          <w:sz w:val="13"/>
        </w:rPr>
        <w:t>part</w:t>
      </w:r>
      <w:r>
        <w:rPr>
          <w:spacing w:val="5"/>
          <w:w w:val="105"/>
          <w:sz w:val="13"/>
        </w:rPr>
        <w:t> </w:t>
      </w:r>
      <w:r>
        <w:rPr>
          <w:w w:val="105"/>
          <w:sz w:val="13"/>
        </w:rPr>
        <w:t>of</w:t>
      </w:r>
      <w:r>
        <w:rPr>
          <w:spacing w:val="5"/>
          <w:w w:val="105"/>
          <w:sz w:val="13"/>
        </w:rPr>
        <w:t> </w:t>
      </w:r>
      <w:r>
        <w:rPr>
          <w:w w:val="105"/>
          <w:sz w:val="13"/>
        </w:rPr>
        <w:t>a</w:t>
      </w:r>
      <w:r>
        <w:rPr>
          <w:spacing w:val="5"/>
          <w:w w:val="105"/>
          <w:sz w:val="13"/>
        </w:rPr>
        <w:t> </w:t>
      </w:r>
      <w:r>
        <w:rPr>
          <w:w w:val="105"/>
          <w:sz w:val="13"/>
        </w:rPr>
        <w:t>data</w:t>
      </w:r>
      <w:r>
        <w:rPr>
          <w:spacing w:val="5"/>
          <w:w w:val="105"/>
          <w:sz w:val="13"/>
        </w:rPr>
        <w:t> </w:t>
      </w:r>
      <w:r>
        <w:rPr>
          <w:w w:val="105"/>
          <w:sz w:val="13"/>
        </w:rPr>
        <w:t>request</w:t>
      </w:r>
      <w:r>
        <w:rPr>
          <w:spacing w:val="5"/>
          <w:w w:val="105"/>
          <w:sz w:val="13"/>
        </w:rPr>
        <w:t> </w:t>
      </w:r>
      <w:r>
        <w:rPr>
          <w:w w:val="105"/>
          <w:sz w:val="13"/>
        </w:rPr>
        <w:t>from</w:t>
      </w:r>
      <w:r>
        <w:rPr>
          <w:spacing w:val="5"/>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August</w:t>
      </w:r>
      <w:r>
        <w:rPr>
          <w:spacing w:val="6"/>
          <w:w w:val="105"/>
          <w:sz w:val="13"/>
        </w:rPr>
        <w:t> </w:t>
      </w:r>
      <w:r>
        <w:rPr>
          <w:spacing w:val="-5"/>
          <w:w w:val="105"/>
          <w:sz w:val="13"/>
        </w:rPr>
        <w:t>2017.</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16"/>
        </w:numPr>
        <w:tabs>
          <w:tab w:pos="2380" w:val="left" w:leader="none"/>
          <w:tab w:pos="2381" w:val="left" w:leader="none"/>
        </w:tabs>
        <w:spacing w:line="242" w:lineRule="auto" w:before="91" w:after="0"/>
        <w:ind w:left="2381" w:right="1769" w:hanging="794"/>
        <w:jc w:val="left"/>
        <w:rPr>
          <w:sz w:val="21"/>
        </w:rPr>
      </w:pPr>
      <w:bookmarkStart w:name="_bookmark9" w:id="33"/>
      <w:bookmarkEnd w:id="33"/>
      <w:r>
        <w:rPr/>
      </w:r>
      <w:bookmarkStart w:name="_bookmark9" w:id="34"/>
      <w:bookmarkEnd w:id="34"/>
      <w:r>
        <w:rPr>
          <w:w w:val="105"/>
          <w:sz w:val="21"/>
        </w:rPr>
        <w:t>T</w:t>
      </w:r>
      <w:r>
        <w:rPr>
          <w:w w:val="105"/>
          <w:sz w:val="21"/>
        </w:rPr>
        <w:t>he </w:t>
      </w:r>
      <w:r>
        <w:rPr>
          <w:spacing w:val="-3"/>
          <w:w w:val="105"/>
          <w:sz w:val="21"/>
        </w:rPr>
        <w:t>infrequent litigation </w:t>
      </w:r>
      <w:r>
        <w:rPr>
          <w:w w:val="105"/>
          <w:sz w:val="21"/>
        </w:rPr>
        <w:t>of less serious matters appears </w:t>
      </w:r>
      <w:r>
        <w:rPr>
          <w:spacing w:val="-3"/>
          <w:w w:val="105"/>
          <w:sz w:val="21"/>
        </w:rPr>
        <w:t>to </w:t>
      </w:r>
      <w:r>
        <w:rPr>
          <w:w w:val="105"/>
          <w:sz w:val="21"/>
        </w:rPr>
        <w:t>be largely because taking legal</w:t>
      </w:r>
      <w:r>
        <w:rPr>
          <w:spacing w:val="-8"/>
          <w:w w:val="105"/>
          <w:sz w:val="21"/>
        </w:rPr>
        <w:t> </w:t>
      </w:r>
      <w:r>
        <w:rPr>
          <w:w w:val="105"/>
          <w:sz w:val="21"/>
        </w:rPr>
        <w:t>action</w:t>
      </w:r>
      <w:r>
        <w:rPr>
          <w:spacing w:val="-8"/>
          <w:w w:val="105"/>
          <w:sz w:val="21"/>
        </w:rPr>
        <w:t> </w:t>
      </w:r>
      <w:r>
        <w:rPr>
          <w:w w:val="105"/>
          <w:sz w:val="21"/>
        </w:rPr>
        <w:t>is</w:t>
      </w:r>
      <w:r>
        <w:rPr>
          <w:spacing w:val="-8"/>
          <w:w w:val="105"/>
          <w:sz w:val="21"/>
        </w:rPr>
        <w:t> </w:t>
      </w:r>
      <w:r>
        <w:rPr>
          <w:w w:val="105"/>
          <w:sz w:val="21"/>
        </w:rPr>
        <w:t>too</w:t>
      </w:r>
      <w:r>
        <w:rPr>
          <w:spacing w:val="-8"/>
          <w:w w:val="105"/>
          <w:sz w:val="21"/>
        </w:rPr>
        <w:t> </w:t>
      </w:r>
      <w:r>
        <w:rPr>
          <w:w w:val="105"/>
          <w:sz w:val="21"/>
        </w:rPr>
        <w:t>expensive</w:t>
      </w:r>
      <w:r>
        <w:rPr>
          <w:spacing w:val="-8"/>
          <w:w w:val="105"/>
          <w:sz w:val="21"/>
        </w:rPr>
        <w:t> </w:t>
      </w:r>
      <w:r>
        <w:rPr>
          <w:w w:val="105"/>
          <w:sz w:val="21"/>
        </w:rPr>
        <w:t>and</w:t>
      </w:r>
      <w:r>
        <w:rPr>
          <w:spacing w:val="-8"/>
          <w:w w:val="105"/>
          <w:sz w:val="21"/>
        </w:rPr>
        <w:t> </w:t>
      </w:r>
      <w:r>
        <w:rPr>
          <w:spacing w:val="-3"/>
          <w:w w:val="105"/>
          <w:sz w:val="21"/>
        </w:rPr>
        <w:t>outcomes</w:t>
      </w:r>
      <w:r>
        <w:rPr>
          <w:spacing w:val="-8"/>
          <w:w w:val="105"/>
          <w:sz w:val="21"/>
        </w:rPr>
        <w:t> </w:t>
      </w:r>
      <w:r>
        <w:rPr>
          <w:spacing w:val="-3"/>
          <w:w w:val="105"/>
          <w:sz w:val="21"/>
        </w:rPr>
        <w:t>are</w:t>
      </w:r>
      <w:r>
        <w:rPr>
          <w:spacing w:val="-8"/>
          <w:w w:val="105"/>
          <w:sz w:val="21"/>
        </w:rPr>
        <w:t> </w:t>
      </w:r>
      <w:r>
        <w:rPr>
          <w:spacing w:val="-3"/>
          <w:w w:val="105"/>
          <w:sz w:val="21"/>
        </w:rPr>
        <w:t>uncertain.</w:t>
      </w:r>
      <w:r>
        <w:rPr>
          <w:spacing w:val="-3"/>
          <w:w w:val="105"/>
          <w:position w:val="7"/>
          <w:sz w:val="12"/>
        </w:rPr>
        <w:t>5</w:t>
      </w:r>
      <w:r>
        <w:rPr>
          <w:spacing w:val="15"/>
          <w:w w:val="105"/>
          <w:position w:val="7"/>
          <w:sz w:val="12"/>
        </w:rPr>
        <w:t> </w:t>
      </w:r>
      <w:r>
        <w:rPr>
          <w:spacing w:val="-5"/>
          <w:w w:val="105"/>
          <w:sz w:val="21"/>
        </w:rPr>
        <w:t>Tree</w:t>
      </w:r>
      <w:r>
        <w:rPr>
          <w:spacing w:val="-8"/>
          <w:w w:val="105"/>
          <w:sz w:val="21"/>
        </w:rPr>
        <w:t> </w:t>
      </w:r>
      <w:r>
        <w:rPr>
          <w:spacing w:val="-3"/>
          <w:w w:val="105"/>
          <w:sz w:val="21"/>
        </w:rPr>
        <w:t>disputes</w:t>
      </w:r>
      <w:r>
        <w:rPr>
          <w:spacing w:val="-8"/>
          <w:w w:val="105"/>
          <w:sz w:val="21"/>
        </w:rPr>
        <w:t> </w:t>
      </w:r>
      <w:r>
        <w:rPr>
          <w:spacing w:val="-3"/>
          <w:w w:val="105"/>
          <w:sz w:val="21"/>
        </w:rPr>
        <w:t>are</w:t>
      </w:r>
      <w:r>
        <w:rPr>
          <w:spacing w:val="-8"/>
          <w:w w:val="105"/>
          <w:sz w:val="21"/>
        </w:rPr>
        <w:t> </w:t>
      </w:r>
      <w:r>
        <w:rPr>
          <w:spacing w:val="-2"/>
          <w:w w:val="105"/>
          <w:sz w:val="21"/>
        </w:rPr>
        <w:t>not</w:t>
      </w:r>
      <w:r>
        <w:rPr>
          <w:spacing w:val="-7"/>
          <w:w w:val="105"/>
          <w:sz w:val="21"/>
        </w:rPr>
        <w:t> </w:t>
      </w:r>
      <w:r>
        <w:rPr>
          <w:w w:val="105"/>
          <w:sz w:val="21"/>
        </w:rPr>
        <w:t>typically </w:t>
      </w:r>
      <w:r>
        <w:rPr>
          <w:spacing w:val="-3"/>
          <w:w w:val="105"/>
          <w:sz w:val="21"/>
        </w:rPr>
        <w:t>handled </w:t>
      </w:r>
      <w:r>
        <w:rPr>
          <w:w w:val="105"/>
          <w:sz w:val="21"/>
        </w:rPr>
        <w:t>by community legal </w:t>
      </w:r>
      <w:r>
        <w:rPr>
          <w:spacing w:val="-3"/>
          <w:w w:val="105"/>
          <w:sz w:val="21"/>
        </w:rPr>
        <w:t>centres </w:t>
      </w:r>
      <w:r>
        <w:rPr>
          <w:w w:val="105"/>
          <w:sz w:val="21"/>
        </w:rPr>
        <w:t>or </w:t>
      </w:r>
      <w:r>
        <w:rPr>
          <w:spacing w:val="-3"/>
          <w:w w:val="105"/>
          <w:sz w:val="21"/>
        </w:rPr>
        <w:t>covered </w:t>
      </w:r>
      <w:r>
        <w:rPr>
          <w:w w:val="105"/>
          <w:sz w:val="21"/>
        </w:rPr>
        <w:t>by Victoria Legal Aid grants </w:t>
      </w:r>
      <w:r>
        <w:rPr>
          <w:spacing w:val="-3"/>
          <w:w w:val="105"/>
          <w:sz w:val="21"/>
        </w:rPr>
        <w:t>for </w:t>
      </w:r>
      <w:r>
        <w:rPr>
          <w:w w:val="105"/>
          <w:sz w:val="21"/>
        </w:rPr>
        <w:t>legal </w:t>
      </w:r>
      <w:r>
        <w:rPr>
          <w:spacing w:val="-3"/>
          <w:w w:val="105"/>
          <w:sz w:val="21"/>
        </w:rPr>
        <w:t>assistance.</w:t>
      </w:r>
      <w:r>
        <w:rPr>
          <w:spacing w:val="-3"/>
          <w:w w:val="105"/>
          <w:position w:val="7"/>
          <w:sz w:val="12"/>
        </w:rPr>
        <w:t>6 </w:t>
      </w:r>
      <w:r>
        <w:rPr>
          <w:w w:val="105"/>
          <w:sz w:val="21"/>
        </w:rPr>
        <w:t>The low </w:t>
      </w:r>
      <w:r>
        <w:rPr>
          <w:spacing w:val="-3"/>
          <w:w w:val="105"/>
          <w:sz w:val="21"/>
        </w:rPr>
        <w:t>rates </w:t>
      </w:r>
      <w:r>
        <w:rPr>
          <w:w w:val="105"/>
          <w:sz w:val="21"/>
        </w:rPr>
        <w:t>of </w:t>
      </w:r>
      <w:r>
        <w:rPr>
          <w:spacing w:val="-3"/>
          <w:w w:val="105"/>
          <w:sz w:val="21"/>
        </w:rPr>
        <w:t>litigation are </w:t>
      </w:r>
      <w:r>
        <w:rPr>
          <w:w w:val="105"/>
          <w:sz w:val="21"/>
        </w:rPr>
        <w:t>discussed further in </w:t>
      </w:r>
      <w:r>
        <w:rPr>
          <w:spacing w:val="-4"/>
          <w:w w:val="105"/>
          <w:sz w:val="21"/>
        </w:rPr>
        <w:t>Chapter</w:t>
      </w:r>
      <w:r>
        <w:rPr>
          <w:spacing w:val="40"/>
          <w:w w:val="105"/>
          <w:sz w:val="21"/>
        </w:rPr>
        <w:t> </w:t>
      </w:r>
      <w:r>
        <w:rPr>
          <w:spacing w:val="-3"/>
          <w:w w:val="105"/>
          <w:sz w:val="21"/>
        </w:rPr>
        <w:t>3.</w:t>
      </w:r>
    </w:p>
    <w:p>
      <w:pPr>
        <w:pStyle w:val="ListParagraph"/>
        <w:numPr>
          <w:ilvl w:val="1"/>
          <w:numId w:val="16"/>
        </w:numPr>
        <w:tabs>
          <w:tab w:pos="2380" w:val="left" w:leader="none"/>
          <w:tab w:pos="2381" w:val="left" w:leader="none"/>
        </w:tabs>
        <w:spacing w:line="242" w:lineRule="auto" w:before="125" w:after="0"/>
        <w:ind w:left="2380" w:right="1735" w:hanging="793"/>
        <w:jc w:val="left"/>
        <w:rPr>
          <w:sz w:val="21"/>
        </w:rPr>
      </w:pPr>
      <w:r>
        <w:rPr>
          <w:w w:val="105"/>
          <w:sz w:val="21"/>
        </w:rPr>
        <w:t>If legal action is </w:t>
      </w:r>
      <w:r>
        <w:rPr>
          <w:spacing w:val="-3"/>
          <w:w w:val="105"/>
          <w:sz w:val="21"/>
        </w:rPr>
        <w:t>commenced, </w:t>
      </w:r>
      <w:r>
        <w:rPr>
          <w:w w:val="105"/>
          <w:sz w:val="21"/>
        </w:rPr>
        <w:t>it </w:t>
      </w:r>
      <w:r>
        <w:rPr>
          <w:spacing w:val="-3"/>
          <w:w w:val="105"/>
          <w:sz w:val="21"/>
        </w:rPr>
        <w:t>generally </w:t>
      </w:r>
      <w:r>
        <w:rPr>
          <w:w w:val="105"/>
          <w:sz w:val="21"/>
        </w:rPr>
        <w:t>occurs in the </w:t>
      </w:r>
      <w:r>
        <w:rPr>
          <w:spacing w:val="-3"/>
          <w:w w:val="105"/>
          <w:sz w:val="21"/>
        </w:rPr>
        <w:t>Magistrates’ Court </w:t>
      </w:r>
      <w:r>
        <w:rPr>
          <w:w w:val="105"/>
          <w:sz w:val="21"/>
        </w:rPr>
        <w:t>of Victoria, which </w:t>
      </w:r>
      <w:r>
        <w:rPr>
          <w:spacing w:val="-2"/>
          <w:w w:val="105"/>
          <w:sz w:val="21"/>
        </w:rPr>
        <w:t>has </w:t>
      </w:r>
      <w:r>
        <w:rPr>
          <w:w w:val="105"/>
          <w:sz w:val="21"/>
        </w:rPr>
        <w:t>jurisdiction over </w:t>
      </w:r>
      <w:r>
        <w:rPr>
          <w:spacing w:val="-3"/>
          <w:w w:val="105"/>
          <w:sz w:val="21"/>
        </w:rPr>
        <w:t>small </w:t>
      </w:r>
      <w:r>
        <w:rPr>
          <w:w w:val="105"/>
          <w:sz w:val="21"/>
        </w:rPr>
        <w:t>civil </w:t>
      </w:r>
      <w:r>
        <w:rPr>
          <w:spacing w:val="-3"/>
          <w:w w:val="105"/>
          <w:sz w:val="21"/>
        </w:rPr>
        <w:t>claims </w:t>
      </w:r>
      <w:r>
        <w:rPr>
          <w:w w:val="105"/>
          <w:sz w:val="21"/>
        </w:rPr>
        <w:t>up </w:t>
      </w:r>
      <w:r>
        <w:rPr>
          <w:spacing w:val="-3"/>
          <w:w w:val="105"/>
          <w:sz w:val="21"/>
        </w:rPr>
        <w:t>to </w:t>
      </w:r>
      <w:r>
        <w:rPr>
          <w:w w:val="105"/>
          <w:sz w:val="21"/>
        </w:rPr>
        <w:t>the </w:t>
      </w:r>
      <w:r>
        <w:rPr>
          <w:spacing w:val="-3"/>
          <w:w w:val="105"/>
          <w:sz w:val="21"/>
        </w:rPr>
        <w:t>value </w:t>
      </w:r>
      <w:r>
        <w:rPr>
          <w:w w:val="105"/>
          <w:sz w:val="21"/>
        </w:rPr>
        <w:t>of </w:t>
      </w:r>
      <w:r>
        <w:rPr>
          <w:spacing w:val="-4"/>
          <w:w w:val="105"/>
          <w:sz w:val="21"/>
        </w:rPr>
        <w:t>$100,000.</w:t>
      </w:r>
      <w:r>
        <w:rPr>
          <w:spacing w:val="-4"/>
          <w:w w:val="105"/>
          <w:position w:val="7"/>
          <w:sz w:val="12"/>
        </w:rPr>
        <w:t>7 </w:t>
      </w:r>
      <w:r>
        <w:rPr>
          <w:spacing w:val="-4"/>
          <w:w w:val="105"/>
          <w:sz w:val="21"/>
        </w:rPr>
        <w:t>However, </w:t>
      </w:r>
      <w:r>
        <w:rPr>
          <w:w w:val="105"/>
          <w:sz w:val="21"/>
        </w:rPr>
        <w:t>the number of tree </w:t>
      </w:r>
      <w:r>
        <w:rPr>
          <w:spacing w:val="-3"/>
          <w:w w:val="105"/>
          <w:sz w:val="21"/>
        </w:rPr>
        <w:t>disputes </w:t>
      </w:r>
      <w:r>
        <w:rPr>
          <w:w w:val="105"/>
          <w:sz w:val="21"/>
        </w:rPr>
        <w:t>filed and </w:t>
      </w:r>
      <w:r>
        <w:rPr>
          <w:spacing w:val="-3"/>
          <w:w w:val="105"/>
          <w:sz w:val="21"/>
        </w:rPr>
        <w:t>determined </w:t>
      </w:r>
      <w:r>
        <w:rPr>
          <w:w w:val="105"/>
          <w:sz w:val="21"/>
        </w:rPr>
        <w:t>by the </w:t>
      </w:r>
      <w:r>
        <w:rPr>
          <w:spacing w:val="-3"/>
          <w:w w:val="105"/>
          <w:sz w:val="21"/>
        </w:rPr>
        <w:t>Magistrates’ Court </w:t>
      </w:r>
      <w:r>
        <w:rPr>
          <w:w w:val="105"/>
          <w:sz w:val="21"/>
        </w:rPr>
        <w:t>is unknown because</w:t>
      </w:r>
      <w:r>
        <w:rPr>
          <w:spacing w:val="-9"/>
          <w:w w:val="105"/>
          <w:sz w:val="21"/>
        </w:rPr>
        <w:t> </w:t>
      </w:r>
      <w:r>
        <w:rPr>
          <w:w w:val="105"/>
          <w:sz w:val="21"/>
        </w:rPr>
        <w:t>the</w:t>
      </w:r>
      <w:r>
        <w:rPr>
          <w:spacing w:val="-8"/>
          <w:w w:val="105"/>
          <w:sz w:val="21"/>
        </w:rPr>
        <w:t> </w:t>
      </w:r>
      <w:r>
        <w:rPr>
          <w:w w:val="105"/>
          <w:sz w:val="21"/>
        </w:rPr>
        <w:t>court</w:t>
      </w:r>
      <w:r>
        <w:rPr>
          <w:spacing w:val="-8"/>
          <w:w w:val="105"/>
          <w:sz w:val="21"/>
        </w:rPr>
        <w:t> </w:t>
      </w:r>
      <w:r>
        <w:rPr>
          <w:w w:val="105"/>
          <w:sz w:val="21"/>
        </w:rPr>
        <w:t>does</w:t>
      </w:r>
      <w:r>
        <w:rPr>
          <w:spacing w:val="-8"/>
          <w:w w:val="105"/>
          <w:sz w:val="21"/>
        </w:rPr>
        <w:t> </w:t>
      </w:r>
      <w:r>
        <w:rPr>
          <w:spacing w:val="-2"/>
          <w:w w:val="105"/>
          <w:sz w:val="21"/>
        </w:rPr>
        <w:t>not</w:t>
      </w:r>
      <w:r>
        <w:rPr>
          <w:spacing w:val="-8"/>
          <w:w w:val="105"/>
          <w:sz w:val="21"/>
        </w:rPr>
        <w:t> </w:t>
      </w:r>
      <w:r>
        <w:rPr>
          <w:w w:val="105"/>
          <w:sz w:val="21"/>
        </w:rPr>
        <w:t>report</w:t>
      </w:r>
      <w:r>
        <w:rPr>
          <w:spacing w:val="-9"/>
          <w:w w:val="105"/>
          <w:sz w:val="21"/>
        </w:rPr>
        <w:t> </w:t>
      </w:r>
      <w:r>
        <w:rPr>
          <w:w w:val="105"/>
          <w:sz w:val="21"/>
        </w:rPr>
        <w:t>these</w:t>
      </w:r>
      <w:r>
        <w:rPr>
          <w:spacing w:val="-8"/>
          <w:w w:val="105"/>
          <w:sz w:val="21"/>
        </w:rPr>
        <w:t> </w:t>
      </w:r>
      <w:r>
        <w:rPr>
          <w:w w:val="105"/>
          <w:sz w:val="21"/>
        </w:rPr>
        <w:t>decisions</w:t>
      </w:r>
      <w:r>
        <w:rPr>
          <w:spacing w:val="-8"/>
          <w:w w:val="105"/>
          <w:sz w:val="21"/>
        </w:rPr>
        <w:t> </w:t>
      </w:r>
      <w:r>
        <w:rPr>
          <w:w w:val="105"/>
          <w:sz w:val="21"/>
        </w:rPr>
        <w:t>and</w:t>
      </w:r>
      <w:r>
        <w:rPr>
          <w:spacing w:val="-8"/>
          <w:w w:val="105"/>
          <w:sz w:val="21"/>
        </w:rPr>
        <w:t> </w:t>
      </w:r>
      <w:r>
        <w:rPr>
          <w:w w:val="105"/>
          <w:sz w:val="21"/>
        </w:rPr>
        <w:t>does</w:t>
      </w:r>
      <w:r>
        <w:rPr>
          <w:spacing w:val="-8"/>
          <w:w w:val="105"/>
          <w:sz w:val="21"/>
        </w:rPr>
        <w:t> </w:t>
      </w:r>
      <w:r>
        <w:rPr>
          <w:spacing w:val="-2"/>
          <w:w w:val="105"/>
          <w:sz w:val="21"/>
        </w:rPr>
        <w:t>not</w:t>
      </w:r>
      <w:r>
        <w:rPr>
          <w:spacing w:val="-8"/>
          <w:w w:val="105"/>
          <w:sz w:val="21"/>
        </w:rPr>
        <w:t> </w:t>
      </w:r>
      <w:r>
        <w:rPr>
          <w:spacing w:val="-3"/>
          <w:w w:val="105"/>
          <w:sz w:val="21"/>
        </w:rPr>
        <w:t>distinguish</w:t>
      </w:r>
      <w:r>
        <w:rPr>
          <w:spacing w:val="-9"/>
          <w:w w:val="105"/>
          <w:sz w:val="21"/>
        </w:rPr>
        <w:t> </w:t>
      </w:r>
      <w:r>
        <w:rPr>
          <w:w w:val="105"/>
          <w:sz w:val="21"/>
        </w:rPr>
        <w:t>between</w:t>
      </w:r>
      <w:r>
        <w:rPr>
          <w:spacing w:val="-8"/>
          <w:w w:val="105"/>
          <w:sz w:val="21"/>
        </w:rPr>
        <w:t> </w:t>
      </w:r>
      <w:r>
        <w:rPr>
          <w:w w:val="105"/>
          <w:sz w:val="21"/>
        </w:rPr>
        <w:t>the causes of action, </w:t>
      </w:r>
      <w:r>
        <w:rPr>
          <w:spacing w:val="-3"/>
          <w:w w:val="105"/>
          <w:sz w:val="21"/>
        </w:rPr>
        <w:t>for </w:t>
      </w:r>
      <w:r>
        <w:rPr>
          <w:w w:val="105"/>
          <w:sz w:val="21"/>
        </w:rPr>
        <w:t>example</w:t>
      </w:r>
      <w:r>
        <w:rPr>
          <w:spacing w:val="26"/>
          <w:w w:val="105"/>
          <w:sz w:val="21"/>
        </w:rPr>
        <w:t> </w:t>
      </w:r>
      <w:r>
        <w:rPr>
          <w:spacing w:val="-3"/>
          <w:w w:val="105"/>
          <w:sz w:val="21"/>
        </w:rPr>
        <w:t>nuisance.</w:t>
      </w:r>
    </w:p>
    <w:p>
      <w:pPr>
        <w:pStyle w:val="ListParagraph"/>
        <w:numPr>
          <w:ilvl w:val="1"/>
          <w:numId w:val="16"/>
        </w:numPr>
        <w:tabs>
          <w:tab w:pos="2381" w:val="left" w:leader="none"/>
          <w:tab w:pos="2382" w:val="left" w:leader="none"/>
        </w:tabs>
        <w:spacing w:line="242" w:lineRule="auto" w:before="125" w:after="0"/>
        <w:ind w:left="2381" w:right="1585" w:hanging="794"/>
        <w:jc w:val="left"/>
        <w:rPr>
          <w:sz w:val="21"/>
        </w:rPr>
      </w:pPr>
      <w:r>
        <w:rPr>
          <w:sz w:val="21"/>
        </w:rPr>
        <w:t>The Victorian </w:t>
      </w:r>
      <w:r>
        <w:rPr>
          <w:spacing w:val="-3"/>
          <w:sz w:val="21"/>
        </w:rPr>
        <w:t>Civil </w:t>
      </w:r>
      <w:r>
        <w:rPr>
          <w:sz w:val="21"/>
        </w:rPr>
        <w:t>and </w:t>
      </w:r>
      <w:r>
        <w:rPr>
          <w:spacing w:val="-3"/>
          <w:sz w:val="21"/>
        </w:rPr>
        <w:t>Administrative </w:t>
      </w:r>
      <w:r>
        <w:rPr>
          <w:spacing w:val="-5"/>
          <w:sz w:val="21"/>
        </w:rPr>
        <w:t>Tribunal </w:t>
      </w:r>
      <w:r>
        <w:rPr>
          <w:sz w:val="21"/>
        </w:rPr>
        <w:t>also hears cases about </w:t>
      </w:r>
      <w:r>
        <w:rPr>
          <w:spacing w:val="-2"/>
          <w:sz w:val="21"/>
        </w:rPr>
        <w:t>problems </w:t>
      </w:r>
      <w:r>
        <w:rPr>
          <w:sz w:val="21"/>
        </w:rPr>
        <w:t>caused by trees</w:t>
      </w:r>
      <w:r>
        <w:rPr>
          <w:spacing w:val="18"/>
          <w:sz w:val="21"/>
        </w:rPr>
        <w:t> </w:t>
      </w:r>
      <w:r>
        <w:rPr>
          <w:sz w:val="21"/>
        </w:rPr>
        <w:t>as</w:t>
      </w:r>
      <w:r>
        <w:rPr>
          <w:spacing w:val="19"/>
          <w:sz w:val="21"/>
        </w:rPr>
        <w:t> </w:t>
      </w:r>
      <w:r>
        <w:rPr>
          <w:sz w:val="21"/>
        </w:rPr>
        <w:t>part</w:t>
      </w:r>
      <w:r>
        <w:rPr>
          <w:spacing w:val="19"/>
          <w:sz w:val="21"/>
        </w:rPr>
        <w:t> </w:t>
      </w:r>
      <w:r>
        <w:rPr>
          <w:sz w:val="21"/>
        </w:rPr>
        <w:t>of</w:t>
      </w:r>
      <w:r>
        <w:rPr>
          <w:spacing w:val="19"/>
          <w:sz w:val="21"/>
        </w:rPr>
        <w:t> </w:t>
      </w:r>
      <w:r>
        <w:rPr>
          <w:sz w:val="21"/>
        </w:rPr>
        <w:t>its</w:t>
      </w:r>
      <w:r>
        <w:rPr>
          <w:spacing w:val="19"/>
          <w:sz w:val="21"/>
        </w:rPr>
        <w:t> </w:t>
      </w:r>
      <w:r>
        <w:rPr>
          <w:sz w:val="21"/>
        </w:rPr>
        <w:t>review</w:t>
      </w:r>
      <w:r>
        <w:rPr>
          <w:spacing w:val="19"/>
          <w:sz w:val="21"/>
        </w:rPr>
        <w:t> </w:t>
      </w:r>
      <w:r>
        <w:rPr>
          <w:sz w:val="21"/>
        </w:rPr>
        <w:t>jurisdiction</w:t>
      </w:r>
      <w:r>
        <w:rPr>
          <w:spacing w:val="19"/>
          <w:sz w:val="21"/>
        </w:rPr>
        <w:t> </w:t>
      </w:r>
      <w:r>
        <w:rPr>
          <w:sz w:val="21"/>
        </w:rPr>
        <w:t>under</w:t>
      </w:r>
      <w:r>
        <w:rPr>
          <w:spacing w:val="19"/>
          <w:sz w:val="21"/>
        </w:rPr>
        <w:t> </w:t>
      </w:r>
      <w:r>
        <w:rPr>
          <w:sz w:val="21"/>
        </w:rPr>
        <w:t>the</w:t>
      </w:r>
      <w:r>
        <w:rPr>
          <w:spacing w:val="18"/>
          <w:sz w:val="21"/>
        </w:rPr>
        <w:t> </w:t>
      </w:r>
      <w:r>
        <w:rPr>
          <w:spacing w:val="-3"/>
          <w:sz w:val="21"/>
        </w:rPr>
        <w:t>Planning</w:t>
      </w:r>
      <w:r>
        <w:rPr>
          <w:spacing w:val="19"/>
          <w:sz w:val="21"/>
        </w:rPr>
        <w:t> </w:t>
      </w:r>
      <w:r>
        <w:rPr>
          <w:sz w:val="21"/>
        </w:rPr>
        <w:t>and</w:t>
      </w:r>
      <w:r>
        <w:rPr>
          <w:spacing w:val="19"/>
          <w:sz w:val="21"/>
        </w:rPr>
        <w:t> </w:t>
      </w:r>
      <w:r>
        <w:rPr>
          <w:spacing w:val="-3"/>
          <w:sz w:val="21"/>
        </w:rPr>
        <w:t>Environment</w:t>
      </w:r>
      <w:r>
        <w:rPr>
          <w:spacing w:val="19"/>
          <w:sz w:val="21"/>
        </w:rPr>
        <w:t> </w:t>
      </w:r>
      <w:r>
        <w:rPr>
          <w:sz w:val="21"/>
        </w:rPr>
        <w:t>Act</w:t>
      </w:r>
      <w:r>
        <w:rPr>
          <w:spacing w:val="19"/>
          <w:sz w:val="21"/>
        </w:rPr>
        <w:t> </w:t>
      </w:r>
      <w:r>
        <w:rPr>
          <w:spacing w:val="-5"/>
          <w:sz w:val="21"/>
        </w:rPr>
        <w:t>1987</w:t>
      </w:r>
      <w:r>
        <w:rPr>
          <w:spacing w:val="19"/>
          <w:sz w:val="21"/>
        </w:rPr>
        <w:t> </w:t>
      </w:r>
      <w:r>
        <w:rPr>
          <w:sz w:val="21"/>
        </w:rPr>
        <w:t>(Vic).</w:t>
      </w:r>
      <w:r>
        <w:rPr>
          <w:position w:val="7"/>
          <w:sz w:val="12"/>
        </w:rPr>
        <w:t>8</w:t>
      </w:r>
    </w:p>
    <w:p>
      <w:pPr>
        <w:pStyle w:val="ListParagraph"/>
        <w:numPr>
          <w:ilvl w:val="1"/>
          <w:numId w:val="16"/>
        </w:numPr>
        <w:tabs>
          <w:tab w:pos="2380" w:val="left" w:leader="none"/>
          <w:tab w:pos="2381" w:val="left" w:leader="none"/>
        </w:tabs>
        <w:spacing w:line="242" w:lineRule="auto" w:before="122" w:after="0"/>
        <w:ind w:left="2381" w:right="1743" w:hanging="794"/>
        <w:jc w:val="left"/>
        <w:rPr>
          <w:sz w:val="21"/>
        </w:rPr>
      </w:pPr>
      <w:r>
        <w:rPr>
          <w:w w:val="105"/>
          <w:sz w:val="21"/>
        </w:rPr>
        <w:t>The </w:t>
      </w:r>
      <w:r>
        <w:rPr>
          <w:spacing w:val="-3"/>
          <w:w w:val="105"/>
          <w:sz w:val="21"/>
        </w:rPr>
        <w:t>Commission </w:t>
      </w:r>
      <w:r>
        <w:rPr>
          <w:w w:val="105"/>
          <w:sz w:val="21"/>
        </w:rPr>
        <w:t>is </w:t>
      </w:r>
      <w:r>
        <w:rPr>
          <w:spacing w:val="-3"/>
          <w:w w:val="105"/>
          <w:sz w:val="21"/>
        </w:rPr>
        <w:t>aware </w:t>
      </w:r>
      <w:r>
        <w:rPr>
          <w:w w:val="105"/>
          <w:sz w:val="21"/>
        </w:rPr>
        <w:t>of only six reported cases </w:t>
      </w:r>
      <w:r>
        <w:rPr>
          <w:spacing w:val="-3"/>
          <w:w w:val="105"/>
          <w:sz w:val="21"/>
        </w:rPr>
        <w:t>from higher </w:t>
      </w:r>
      <w:r>
        <w:rPr>
          <w:w w:val="105"/>
          <w:sz w:val="21"/>
        </w:rPr>
        <w:t>courts</w:t>
      </w:r>
      <w:r>
        <w:rPr>
          <w:w w:val="105"/>
          <w:position w:val="7"/>
          <w:sz w:val="12"/>
        </w:rPr>
        <w:t>9 </w:t>
      </w:r>
      <w:r>
        <w:rPr>
          <w:spacing w:val="-3"/>
          <w:w w:val="105"/>
          <w:sz w:val="21"/>
        </w:rPr>
        <w:t>within </w:t>
      </w:r>
      <w:r>
        <w:rPr>
          <w:spacing w:val="-4"/>
          <w:w w:val="105"/>
          <w:sz w:val="21"/>
        </w:rPr>
        <w:t>Victoria.</w:t>
      </w:r>
      <w:r>
        <w:rPr>
          <w:spacing w:val="-4"/>
          <w:w w:val="105"/>
          <w:position w:val="7"/>
          <w:sz w:val="12"/>
        </w:rPr>
        <w:t>10</w:t>
      </w:r>
      <w:r>
        <w:rPr>
          <w:spacing w:val="-4"/>
          <w:w w:val="105"/>
          <w:sz w:val="12"/>
        </w:rPr>
        <w:t> </w:t>
      </w:r>
      <w:r>
        <w:rPr>
          <w:w w:val="105"/>
          <w:sz w:val="21"/>
        </w:rPr>
        <w:t>The older case of </w:t>
      </w:r>
      <w:r>
        <w:rPr>
          <w:i/>
          <w:w w:val="105"/>
          <w:sz w:val="21"/>
        </w:rPr>
        <w:t>Barton v </w:t>
      </w:r>
      <w:r>
        <w:rPr>
          <w:i/>
          <w:spacing w:val="-5"/>
          <w:w w:val="105"/>
          <w:sz w:val="21"/>
        </w:rPr>
        <w:t>Chhibber</w:t>
      </w:r>
      <w:r>
        <w:rPr>
          <w:spacing w:val="-5"/>
          <w:w w:val="105"/>
          <w:position w:val="7"/>
          <w:sz w:val="12"/>
        </w:rPr>
        <w:t>11 </w:t>
      </w:r>
      <w:r>
        <w:rPr>
          <w:w w:val="105"/>
          <w:sz w:val="21"/>
        </w:rPr>
        <w:t>is the only reported case </w:t>
      </w:r>
      <w:r>
        <w:rPr>
          <w:spacing w:val="-3"/>
          <w:w w:val="105"/>
          <w:sz w:val="21"/>
        </w:rPr>
        <w:t>heard </w:t>
      </w:r>
      <w:r>
        <w:rPr>
          <w:w w:val="105"/>
          <w:sz w:val="21"/>
        </w:rPr>
        <w:t>by the </w:t>
      </w:r>
      <w:r>
        <w:rPr>
          <w:spacing w:val="-3"/>
          <w:w w:val="105"/>
          <w:sz w:val="21"/>
        </w:rPr>
        <w:t>Supreme Court </w:t>
      </w:r>
      <w:r>
        <w:rPr>
          <w:w w:val="105"/>
          <w:sz w:val="21"/>
        </w:rPr>
        <w:t>of Victoria. A neighbourhood </w:t>
      </w:r>
      <w:r>
        <w:rPr>
          <w:spacing w:val="-3"/>
          <w:w w:val="105"/>
          <w:sz w:val="21"/>
        </w:rPr>
        <w:t>dispute </w:t>
      </w:r>
      <w:r>
        <w:rPr>
          <w:w w:val="105"/>
          <w:sz w:val="21"/>
        </w:rPr>
        <w:t>about vegetation </w:t>
      </w:r>
      <w:r>
        <w:rPr>
          <w:spacing w:val="-2"/>
          <w:w w:val="105"/>
          <w:sz w:val="21"/>
        </w:rPr>
        <w:t>has </w:t>
      </w:r>
      <w:r>
        <w:rPr>
          <w:w w:val="105"/>
          <w:sz w:val="21"/>
        </w:rPr>
        <w:t>been held </w:t>
      </w:r>
      <w:r>
        <w:rPr>
          <w:spacing w:val="-3"/>
          <w:w w:val="105"/>
          <w:sz w:val="21"/>
        </w:rPr>
        <w:t>to </w:t>
      </w:r>
      <w:r>
        <w:rPr>
          <w:w w:val="105"/>
          <w:sz w:val="21"/>
        </w:rPr>
        <w:t>be ‘the heart of the matter’ in </w:t>
      </w:r>
      <w:r>
        <w:rPr>
          <w:spacing w:val="-3"/>
          <w:w w:val="105"/>
          <w:sz w:val="21"/>
        </w:rPr>
        <w:t>another </w:t>
      </w:r>
      <w:r>
        <w:rPr>
          <w:w w:val="105"/>
          <w:sz w:val="21"/>
        </w:rPr>
        <w:t>Victorian </w:t>
      </w:r>
      <w:r>
        <w:rPr>
          <w:spacing w:val="-3"/>
          <w:w w:val="105"/>
          <w:sz w:val="21"/>
        </w:rPr>
        <w:t>Supreme Court </w:t>
      </w:r>
      <w:r>
        <w:rPr>
          <w:w w:val="105"/>
          <w:sz w:val="21"/>
        </w:rPr>
        <w:t>case pertaining </w:t>
      </w:r>
      <w:r>
        <w:rPr>
          <w:spacing w:val="-3"/>
          <w:w w:val="105"/>
          <w:sz w:val="21"/>
        </w:rPr>
        <w:t>to conditions </w:t>
      </w:r>
      <w:r>
        <w:rPr>
          <w:w w:val="105"/>
          <w:sz w:val="21"/>
        </w:rPr>
        <w:t>of </w:t>
      </w:r>
      <w:r>
        <w:rPr>
          <w:spacing w:val="-3"/>
          <w:w w:val="105"/>
          <w:sz w:val="21"/>
        </w:rPr>
        <w:t>planning </w:t>
      </w:r>
      <w:r>
        <w:rPr>
          <w:spacing w:val="-4"/>
          <w:w w:val="105"/>
          <w:sz w:val="21"/>
        </w:rPr>
        <w:t>permits.</w:t>
      </w:r>
      <w:r>
        <w:rPr>
          <w:spacing w:val="-4"/>
          <w:w w:val="105"/>
          <w:position w:val="7"/>
          <w:sz w:val="12"/>
        </w:rPr>
        <w:t>12 </w:t>
      </w:r>
      <w:r>
        <w:rPr>
          <w:w w:val="105"/>
          <w:sz w:val="21"/>
        </w:rPr>
        <w:t>The majority of reported cases </w:t>
      </w:r>
      <w:r>
        <w:rPr>
          <w:spacing w:val="-3"/>
          <w:w w:val="105"/>
          <w:sz w:val="21"/>
        </w:rPr>
        <w:t>from higher </w:t>
      </w:r>
      <w:r>
        <w:rPr>
          <w:w w:val="105"/>
          <w:sz w:val="21"/>
        </w:rPr>
        <w:t>courts </w:t>
      </w:r>
      <w:r>
        <w:rPr>
          <w:spacing w:val="-3"/>
          <w:w w:val="105"/>
          <w:sz w:val="21"/>
        </w:rPr>
        <w:t>involving </w:t>
      </w:r>
      <w:r>
        <w:rPr>
          <w:w w:val="105"/>
          <w:sz w:val="21"/>
        </w:rPr>
        <w:t>tree </w:t>
      </w:r>
      <w:r>
        <w:rPr>
          <w:spacing w:val="-3"/>
          <w:w w:val="105"/>
          <w:sz w:val="21"/>
        </w:rPr>
        <w:t>disputes were initiated </w:t>
      </w:r>
      <w:r>
        <w:rPr>
          <w:w w:val="105"/>
          <w:sz w:val="21"/>
        </w:rPr>
        <w:t>in the </w:t>
      </w:r>
      <w:r>
        <w:rPr>
          <w:spacing w:val="-3"/>
          <w:w w:val="105"/>
          <w:sz w:val="21"/>
        </w:rPr>
        <w:t>Magistrates’ Court, </w:t>
      </w:r>
      <w:r>
        <w:rPr>
          <w:w w:val="105"/>
          <w:sz w:val="21"/>
        </w:rPr>
        <w:t>and </w:t>
      </w:r>
      <w:r>
        <w:rPr>
          <w:spacing w:val="-3"/>
          <w:w w:val="105"/>
          <w:sz w:val="21"/>
        </w:rPr>
        <w:t>later transferred to </w:t>
      </w:r>
      <w:r>
        <w:rPr>
          <w:w w:val="105"/>
          <w:sz w:val="21"/>
        </w:rPr>
        <w:t>the </w:t>
      </w:r>
      <w:r>
        <w:rPr>
          <w:spacing w:val="-3"/>
          <w:w w:val="105"/>
          <w:sz w:val="21"/>
        </w:rPr>
        <w:t>County </w:t>
      </w:r>
      <w:r>
        <w:rPr>
          <w:spacing w:val="-6"/>
          <w:w w:val="105"/>
          <w:sz w:val="21"/>
        </w:rPr>
        <w:t>Court.</w:t>
      </w:r>
      <w:r>
        <w:rPr>
          <w:spacing w:val="-6"/>
          <w:w w:val="105"/>
          <w:position w:val="7"/>
          <w:sz w:val="12"/>
        </w:rPr>
        <w:t>13</w:t>
      </w:r>
    </w:p>
    <w:p>
      <w:pPr>
        <w:pStyle w:val="BodyText"/>
        <w:spacing w:before="9"/>
        <w:rPr>
          <w:sz w:val="20"/>
        </w:rPr>
      </w:pPr>
    </w:p>
    <w:p>
      <w:pPr>
        <w:pStyle w:val="Heading5"/>
      </w:pPr>
      <w:r>
        <w:rPr>
          <w:w w:val="115"/>
        </w:rPr>
        <w:t>Volume of tree enquiries received by the Dispute Settlement Centre of Victoria</w:t>
      </w:r>
    </w:p>
    <w:p>
      <w:pPr>
        <w:pStyle w:val="ListParagraph"/>
        <w:numPr>
          <w:ilvl w:val="1"/>
          <w:numId w:val="16"/>
        </w:numPr>
        <w:tabs>
          <w:tab w:pos="2380" w:val="left" w:leader="none"/>
          <w:tab w:pos="2381" w:val="left" w:leader="none"/>
        </w:tabs>
        <w:spacing w:line="242" w:lineRule="auto" w:before="137" w:after="0"/>
        <w:ind w:left="2381" w:right="1818" w:hanging="794"/>
        <w:jc w:val="left"/>
        <w:rPr>
          <w:sz w:val="21"/>
        </w:rPr>
      </w:pPr>
      <w:r>
        <w:rPr>
          <w:spacing w:val="-5"/>
          <w:sz w:val="21"/>
        </w:rPr>
        <w:t>Tree </w:t>
      </w:r>
      <w:r>
        <w:rPr>
          <w:spacing w:val="-3"/>
          <w:sz w:val="21"/>
        </w:rPr>
        <w:t>disputes that are </w:t>
      </w:r>
      <w:r>
        <w:rPr>
          <w:spacing w:val="-2"/>
          <w:sz w:val="21"/>
        </w:rPr>
        <w:t>not </w:t>
      </w:r>
      <w:r>
        <w:rPr>
          <w:spacing w:val="-3"/>
          <w:sz w:val="21"/>
        </w:rPr>
        <w:t>litigated are </w:t>
      </w:r>
      <w:r>
        <w:rPr>
          <w:spacing w:val="-4"/>
          <w:sz w:val="21"/>
        </w:rPr>
        <w:t>likely </w:t>
      </w:r>
      <w:r>
        <w:rPr>
          <w:spacing w:val="-3"/>
          <w:sz w:val="21"/>
        </w:rPr>
        <w:t>to </w:t>
      </w:r>
      <w:r>
        <w:rPr>
          <w:sz w:val="21"/>
        </w:rPr>
        <w:t>go </w:t>
      </w:r>
      <w:r>
        <w:rPr>
          <w:spacing w:val="-3"/>
          <w:sz w:val="21"/>
        </w:rPr>
        <w:t>unrecorded </w:t>
      </w:r>
      <w:r>
        <w:rPr>
          <w:sz w:val="21"/>
        </w:rPr>
        <w:t>unless the parties </w:t>
      </w:r>
      <w:r>
        <w:rPr>
          <w:spacing w:val="-3"/>
          <w:sz w:val="21"/>
        </w:rPr>
        <w:t>have </w:t>
      </w:r>
      <w:r>
        <w:rPr>
          <w:sz w:val="21"/>
        </w:rPr>
        <w:t>contacted </w:t>
      </w:r>
      <w:r>
        <w:rPr>
          <w:spacing w:val="-5"/>
          <w:sz w:val="21"/>
        </w:rPr>
        <w:t>DSCV. </w:t>
      </w:r>
      <w:r>
        <w:rPr>
          <w:sz w:val="21"/>
        </w:rPr>
        <w:t>DSCV is part of the Victorian Department of Justice and </w:t>
      </w:r>
      <w:r>
        <w:rPr>
          <w:spacing w:val="-3"/>
          <w:sz w:val="21"/>
        </w:rPr>
        <w:t>Community </w:t>
      </w:r>
      <w:r>
        <w:rPr>
          <w:sz w:val="21"/>
        </w:rPr>
        <w:t>Safety and provides free </w:t>
      </w:r>
      <w:r>
        <w:rPr>
          <w:spacing w:val="-3"/>
          <w:sz w:val="21"/>
        </w:rPr>
        <w:t>dispute </w:t>
      </w:r>
      <w:r>
        <w:rPr>
          <w:sz w:val="21"/>
        </w:rPr>
        <w:t>resolution services across </w:t>
      </w:r>
      <w:r>
        <w:rPr>
          <w:spacing w:val="-7"/>
          <w:sz w:val="21"/>
        </w:rPr>
        <w:t>14 </w:t>
      </w:r>
      <w:r>
        <w:rPr>
          <w:sz w:val="21"/>
        </w:rPr>
        <w:t>metropolitan and </w:t>
      </w:r>
      <w:r>
        <w:rPr>
          <w:spacing w:val="-3"/>
          <w:sz w:val="21"/>
        </w:rPr>
        <w:t>regional </w:t>
      </w:r>
      <w:r>
        <w:rPr>
          <w:sz w:val="21"/>
        </w:rPr>
        <w:t>locations in</w:t>
      </w:r>
      <w:r>
        <w:rPr>
          <w:spacing w:val="16"/>
          <w:sz w:val="21"/>
        </w:rPr>
        <w:t> </w:t>
      </w:r>
      <w:r>
        <w:rPr>
          <w:spacing w:val="-4"/>
          <w:sz w:val="21"/>
        </w:rPr>
        <w:t>Victoria.</w:t>
      </w:r>
      <w:r>
        <w:rPr>
          <w:spacing w:val="-4"/>
          <w:position w:val="7"/>
          <w:sz w:val="12"/>
        </w:rPr>
        <w:t>14</w:t>
      </w:r>
    </w:p>
    <w:p>
      <w:pPr>
        <w:pStyle w:val="ListParagraph"/>
        <w:numPr>
          <w:ilvl w:val="1"/>
          <w:numId w:val="16"/>
        </w:numPr>
        <w:tabs>
          <w:tab w:pos="2380" w:val="left" w:leader="none"/>
          <w:tab w:pos="2381" w:val="left" w:leader="none"/>
        </w:tabs>
        <w:spacing w:line="242" w:lineRule="auto" w:before="125" w:after="0"/>
        <w:ind w:left="2381" w:right="1789" w:hanging="794"/>
        <w:jc w:val="left"/>
        <w:rPr>
          <w:sz w:val="21"/>
        </w:rPr>
      </w:pPr>
      <w:r>
        <w:rPr>
          <w:sz w:val="21"/>
        </w:rPr>
        <w:t>Data </w:t>
      </w:r>
      <w:r>
        <w:rPr>
          <w:spacing w:val="-3"/>
          <w:sz w:val="21"/>
        </w:rPr>
        <w:t>from </w:t>
      </w:r>
      <w:r>
        <w:rPr>
          <w:sz w:val="21"/>
        </w:rPr>
        <w:t>DSCV </w:t>
      </w:r>
      <w:r>
        <w:rPr>
          <w:spacing w:val="-3"/>
          <w:sz w:val="21"/>
        </w:rPr>
        <w:t>indicates that enquiries relating to </w:t>
      </w:r>
      <w:r>
        <w:rPr>
          <w:spacing w:val="-4"/>
          <w:sz w:val="21"/>
        </w:rPr>
        <w:t>trees</w:t>
      </w:r>
      <w:r>
        <w:rPr>
          <w:spacing w:val="-4"/>
          <w:position w:val="7"/>
          <w:sz w:val="12"/>
        </w:rPr>
        <w:t>15 </w:t>
      </w:r>
      <w:r>
        <w:rPr>
          <w:spacing w:val="-3"/>
          <w:sz w:val="21"/>
        </w:rPr>
        <w:t>were </w:t>
      </w:r>
      <w:r>
        <w:rPr>
          <w:sz w:val="21"/>
        </w:rPr>
        <w:t>the </w:t>
      </w:r>
      <w:r>
        <w:rPr>
          <w:spacing w:val="-3"/>
          <w:sz w:val="21"/>
        </w:rPr>
        <w:t>third </w:t>
      </w:r>
      <w:r>
        <w:rPr>
          <w:sz w:val="21"/>
        </w:rPr>
        <w:t>most </w:t>
      </w:r>
      <w:r>
        <w:rPr>
          <w:spacing w:val="-2"/>
          <w:sz w:val="21"/>
        </w:rPr>
        <w:t>common </w:t>
      </w:r>
      <w:r>
        <w:rPr>
          <w:sz w:val="21"/>
        </w:rPr>
        <w:t>enquiry </w:t>
      </w:r>
      <w:r>
        <w:rPr>
          <w:spacing w:val="-3"/>
          <w:sz w:val="21"/>
        </w:rPr>
        <w:t>to </w:t>
      </w:r>
      <w:r>
        <w:rPr>
          <w:sz w:val="21"/>
        </w:rPr>
        <w:t>DSCV over the 5.5-year period  </w:t>
      </w:r>
      <w:r>
        <w:rPr>
          <w:spacing w:val="-3"/>
          <w:sz w:val="21"/>
        </w:rPr>
        <w:t>from  </w:t>
      </w:r>
      <w:r>
        <w:rPr>
          <w:sz w:val="21"/>
        </w:rPr>
        <w:t>December  </w:t>
      </w:r>
      <w:r>
        <w:rPr>
          <w:spacing w:val="-10"/>
          <w:sz w:val="21"/>
        </w:rPr>
        <w:t>2011  </w:t>
      </w:r>
      <w:r>
        <w:rPr>
          <w:spacing w:val="-3"/>
          <w:sz w:val="21"/>
        </w:rPr>
        <w:t>to  </w:t>
      </w:r>
      <w:r>
        <w:rPr>
          <w:spacing w:val="-2"/>
          <w:sz w:val="21"/>
        </w:rPr>
        <w:t>May  </w:t>
      </w:r>
      <w:r>
        <w:rPr>
          <w:spacing w:val="-12"/>
          <w:sz w:val="21"/>
        </w:rPr>
        <w:t>2017.  </w:t>
      </w:r>
      <w:r>
        <w:rPr>
          <w:sz w:val="21"/>
        </w:rPr>
        <w:t>In  </w:t>
      </w:r>
      <w:r>
        <w:rPr>
          <w:spacing w:val="-3"/>
          <w:sz w:val="21"/>
        </w:rPr>
        <w:t>that </w:t>
      </w:r>
      <w:r>
        <w:rPr>
          <w:sz w:val="21"/>
        </w:rPr>
        <w:t>time  </w:t>
      </w:r>
      <w:r>
        <w:rPr>
          <w:spacing w:val="-6"/>
          <w:sz w:val="21"/>
        </w:rPr>
        <w:t>18,727  </w:t>
      </w:r>
      <w:r>
        <w:rPr>
          <w:sz w:val="21"/>
        </w:rPr>
        <w:t>of  </w:t>
      </w:r>
      <w:r>
        <w:rPr>
          <w:spacing w:val="-5"/>
          <w:sz w:val="21"/>
        </w:rPr>
        <w:t>109,039  </w:t>
      </w:r>
      <w:r>
        <w:rPr>
          <w:sz w:val="21"/>
        </w:rPr>
        <w:t>DSCV  community  </w:t>
      </w:r>
      <w:r>
        <w:rPr>
          <w:spacing w:val="-3"/>
          <w:sz w:val="21"/>
        </w:rPr>
        <w:t>enquiries  related  to  </w:t>
      </w:r>
      <w:r>
        <w:rPr>
          <w:spacing w:val="-5"/>
          <w:sz w:val="21"/>
        </w:rPr>
        <w:t>trees.</w:t>
      </w:r>
      <w:r>
        <w:rPr>
          <w:spacing w:val="-5"/>
          <w:position w:val="7"/>
          <w:sz w:val="12"/>
        </w:rPr>
        <w:t>16</w:t>
      </w:r>
      <w:r>
        <w:rPr>
          <w:spacing w:val="17"/>
          <w:position w:val="7"/>
          <w:sz w:val="12"/>
        </w:rPr>
        <w:t> </w:t>
      </w:r>
      <w:r>
        <w:rPr>
          <w:sz w:val="21"/>
        </w:rPr>
        <w:t>This  represents an</w:t>
      </w:r>
      <w:r>
        <w:rPr>
          <w:spacing w:val="24"/>
          <w:sz w:val="21"/>
        </w:rPr>
        <w:t> </w:t>
      </w:r>
      <w:r>
        <w:rPr>
          <w:spacing w:val="-3"/>
          <w:sz w:val="21"/>
        </w:rPr>
        <w:t>average</w:t>
      </w:r>
      <w:r>
        <w:rPr>
          <w:spacing w:val="25"/>
          <w:sz w:val="21"/>
        </w:rPr>
        <w:t> </w:t>
      </w:r>
      <w:r>
        <w:rPr>
          <w:sz w:val="21"/>
        </w:rPr>
        <w:t>of</w:t>
      </w:r>
      <w:r>
        <w:rPr>
          <w:spacing w:val="24"/>
          <w:sz w:val="21"/>
        </w:rPr>
        <w:t> </w:t>
      </w:r>
      <w:r>
        <w:rPr>
          <w:spacing w:val="-10"/>
          <w:sz w:val="21"/>
        </w:rPr>
        <w:t>17.2</w:t>
      </w:r>
      <w:r>
        <w:rPr>
          <w:spacing w:val="24"/>
          <w:sz w:val="21"/>
        </w:rPr>
        <w:t> </w:t>
      </w:r>
      <w:r>
        <w:rPr>
          <w:sz w:val="21"/>
        </w:rPr>
        <w:t>per</w:t>
      </w:r>
      <w:r>
        <w:rPr>
          <w:spacing w:val="25"/>
          <w:sz w:val="21"/>
        </w:rPr>
        <w:t> </w:t>
      </w:r>
      <w:r>
        <w:rPr>
          <w:spacing w:val="-3"/>
          <w:sz w:val="21"/>
        </w:rPr>
        <w:t>cent</w:t>
      </w:r>
      <w:r>
        <w:rPr>
          <w:spacing w:val="24"/>
          <w:sz w:val="21"/>
        </w:rPr>
        <w:t> </w:t>
      </w:r>
      <w:r>
        <w:rPr>
          <w:sz w:val="21"/>
        </w:rPr>
        <w:t>of</w:t>
      </w:r>
      <w:r>
        <w:rPr>
          <w:spacing w:val="25"/>
          <w:sz w:val="21"/>
        </w:rPr>
        <w:t> </w:t>
      </w:r>
      <w:r>
        <w:rPr>
          <w:spacing w:val="-3"/>
          <w:sz w:val="21"/>
        </w:rPr>
        <w:t>DSCV’s</w:t>
      </w:r>
      <w:r>
        <w:rPr>
          <w:spacing w:val="24"/>
          <w:sz w:val="21"/>
        </w:rPr>
        <w:t> </w:t>
      </w:r>
      <w:r>
        <w:rPr>
          <w:spacing w:val="-3"/>
          <w:sz w:val="21"/>
        </w:rPr>
        <w:t>total</w:t>
      </w:r>
      <w:r>
        <w:rPr>
          <w:spacing w:val="25"/>
          <w:sz w:val="21"/>
        </w:rPr>
        <w:t> </w:t>
      </w:r>
      <w:r>
        <w:rPr>
          <w:sz w:val="21"/>
        </w:rPr>
        <w:t>workload</w:t>
      </w:r>
      <w:r>
        <w:rPr>
          <w:spacing w:val="24"/>
          <w:sz w:val="21"/>
        </w:rPr>
        <w:t> </w:t>
      </w:r>
      <w:r>
        <w:rPr>
          <w:sz w:val="21"/>
        </w:rPr>
        <w:t>over</w:t>
      </w:r>
      <w:r>
        <w:rPr>
          <w:spacing w:val="25"/>
          <w:sz w:val="21"/>
        </w:rPr>
        <w:t> </w:t>
      </w:r>
      <w:r>
        <w:rPr>
          <w:spacing w:val="-3"/>
          <w:sz w:val="21"/>
        </w:rPr>
        <w:t>that</w:t>
      </w:r>
      <w:r>
        <w:rPr>
          <w:spacing w:val="24"/>
          <w:sz w:val="21"/>
        </w:rPr>
        <w:t> </w:t>
      </w:r>
      <w:r>
        <w:rPr>
          <w:sz w:val="21"/>
        </w:rPr>
        <w:t>period</w:t>
      </w:r>
      <w:r>
        <w:rPr>
          <w:spacing w:val="25"/>
          <w:sz w:val="21"/>
        </w:rPr>
        <w:t> </w:t>
      </w:r>
      <w:r>
        <w:rPr>
          <w:sz w:val="21"/>
        </w:rPr>
        <w:t>or</w:t>
      </w:r>
      <w:r>
        <w:rPr>
          <w:spacing w:val="24"/>
          <w:sz w:val="21"/>
        </w:rPr>
        <w:t> </w:t>
      </w:r>
      <w:r>
        <w:rPr>
          <w:spacing w:val="-3"/>
          <w:sz w:val="21"/>
        </w:rPr>
        <w:t>approximately</w:t>
      </w:r>
    </w:p>
    <w:p>
      <w:pPr>
        <w:pStyle w:val="BodyText"/>
        <w:spacing w:line="242" w:lineRule="auto" w:before="4"/>
        <w:ind w:left="2381" w:right="1642" w:hanging="1"/>
        <w:rPr>
          <w:sz w:val="12"/>
        </w:rPr>
      </w:pPr>
      <w:r>
        <w:rPr>
          <w:w w:val="105"/>
        </w:rPr>
        <w:t>3,400 </w:t>
      </w:r>
      <w:r>
        <w:rPr>
          <w:spacing w:val="-3"/>
          <w:w w:val="105"/>
        </w:rPr>
        <w:t>enquiries </w:t>
      </w:r>
      <w:r>
        <w:rPr>
          <w:w w:val="105"/>
        </w:rPr>
        <w:t>per </w:t>
      </w:r>
      <w:r>
        <w:rPr>
          <w:spacing w:val="-5"/>
          <w:w w:val="105"/>
        </w:rPr>
        <w:t>year. </w:t>
      </w:r>
      <w:r>
        <w:rPr>
          <w:w w:val="105"/>
        </w:rPr>
        <w:t>The </w:t>
      </w:r>
      <w:r>
        <w:rPr>
          <w:spacing w:val="-3"/>
          <w:w w:val="105"/>
        </w:rPr>
        <w:t>rate remains relatively constant </w:t>
      </w:r>
      <w:r>
        <w:rPr>
          <w:w w:val="105"/>
        </w:rPr>
        <w:t>over </w:t>
      </w:r>
      <w:r>
        <w:rPr>
          <w:spacing w:val="-3"/>
          <w:w w:val="105"/>
        </w:rPr>
        <w:t>that</w:t>
      </w:r>
      <w:r>
        <w:rPr>
          <w:spacing w:val="-6"/>
          <w:w w:val="105"/>
        </w:rPr>
        <w:t> time.</w:t>
      </w:r>
      <w:r>
        <w:rPr>
          <w:spacing w:val="-6"/>
          <w:w w:val="105"/>
          <w:position w:val="7"/>
          <w:sz w:val="12"/>
        </w:rPr>
        <w:t>17 </w:t>
      </w:r>
      <w:r>
        <w:rPr>
          <w:w w:val="105"/>
        </w:rPr>
        <w:t>The highest percentage of tree-related </w:t>
      </w:r>
      <w:r>
        <w:rPr>
          <w:spacing w:val="-3"/>
          <w:w w:val="105"/>
        </w:rPr>
        <w:t>enquiries </w:t>
      </w:r>
      <w:r>
        <w:rPr>
          <w:spacing w:val="-6"/>
          <w:w w:val="105"/>
        </w:rPr>
        <w:t>(19.2 </w:t>
      </w:r>
      <w:r>
        <w:rPr>
          <w:w w:val="105"/>
        </w:rPr>
        <w:t>per </w:t>
      </w:r>
      <w:r>
        <w:rPr>
          <w:spacing w:val="-3"/>
          <w:w w:val="105"/>
        </w:rPr>
        <w:t>cent) occurred </w:t>
      </w:r>
      <w:r>
        <w:rPr>
          <w:w w:val="105"/>
        </w:rPr>
        <w:t>in </w:t>
      </w:r>
      <w:r>
        <w:rPr>
          <w:spacing w:val="-8"/>
          <w:w w:val="105"/>
        </w:rPr>
        <w:t>2012, </w:t>
      </w:r>
      <w:r>
        <w:rPr>
          <w:w w:val="105"/>
        </w:rPr>
        <w:t>with the lowest </w:t>
      </w:r>
      <w:r>
        <w:rPr>
          <w:spacing w:val="-8"/>
          <w:w w:val="105"/>
        </w:rPr>
        <w:t>(15.7 </w:t>
      </w:r>
      <w:r>
        <w:rPr>
          <w:w w:val="105"/>
        </w:rPr>
        <w:t>per </w:t>
      </w:r>
      <w:r>
        <w:rPr>
          <w:spacing w:val="-3"/>
          <w:w w:val="105"/>
        </w:rPr>
        <w:t>cent) </w:t>
      </w:r>
      <w:r>
        <w:rPr>
          <w:w w:val="105"/>
        </w:rPr>
        <w:t>recorded in </w:t>
      </w:r>
      <w:r>
        <w:rPr>
          <w:spacing w:val="-9"/>
          <w:w w:val="105"/>
        </w:rPr>
        <w:t>2014.</w:t>
      </w:r>
      <w:r>
        <w:rPr>
          <w:spacing w:val="-9"/>
          <w:w w:val="105"/>
          <w:position w:val="7"/>
          <w:sz w:val="12"/>
        </w:rPr>
        <w:t>18</w:t>
      </w:r>
    </w:p>
    <w:p>
      <w:pPr>
        <w:pStyle w:val="ListParagraph"/>
        <w:numPr>
          <w:ilvl w:val="1"/>
          <w:numId w:val="16"/>
        </w:numPr>
        <w:tabs>
          <w:tab w:pos="2381" w:val="left" w:leader="none"/>
          <w:tab w:pos="2382" w:val="left" w:leader="none"/>
        </w:tabs>
        <w:spacing w:line="242" w:lineRule="auto" w:before="123" w:after="0"/>
        <w:ind w:left="2381" w:right="1605" w:hanging="794"/>
        <w:jc w:val="left"/>
        <w:rPr>
          <w:sz w:val="21"/>
        </w:rPr>
      </w:pPr>
      <w:r>
        <w:rPr>
          <w:w w:val="105"/>
          <w:sz w:val="21"/>
        </w:rPr>
        <w:t>DSCV provided a </w:t>
      </w:r>
      <w:r>
        <w:rPr>
          <w:spacing w:val="-3"/>
          <w:w w:val="105"/>
          <w:sz w:val="21"/>
        </w:rPr>
        <w:t>breakdown </w:t>
      </w:r>
      <w:r>
        <w:rPr>
          <w:w w:val="105"/>
          <w:sz w:val="21"/>
        </w:rPr>
        <w:t>of cases received by season, </w:t>
      </w:r>
      <w:r>
        <w:rPr>
          <w:spacing w:val="-3"/>
          <w:w w:val="105"/>
          <w:sz w:val="21"/>
        </w:rPr>
        <w:t>highlighting </w:t>
      </w:r>
      <w:r>
        <w:rPr>
          <w:w w:val="105"/>
          <w:sz w:val="21"/>
        </w:rPr>
        <w:t>an </w:t>
      </w:r>
      <w:r>
        <w:rPr>
          <w:spacing w:val="-3"/>
          <w:w w:val="105"/>
          <w:sz w:val="21"/>
        </w:rPr>
        <w:t>increase </w:t>
      </w:r>
      <w:r>
        <w:rPr>
          <w:w w:val="105"/>
          <w:sz w:val="21"/>
        </w:rPr>
        <w:t>in </w:t>
      </w:r>
      <w:r>
        <w:rPr>
          <w:spacing w:val="-3"/>
          <w:w w:val="105"/>
          <w:sz w:val="21"/>
        </w:rPr>
        <w:t>enquiries </w:t>
      </w:r>
      <w:r>
        <w:rPr>
          <w:w w:val="105"/>
          <w:sz w:val="21"/>
        </w:rPr>
        <w:t>in the </w:t>
      </w:r>
      <w:r>
        <w:rPr>
          <w:spacing w:val="-3"/>
          <w:w w:val="105"/>
          <w:sz w:val="21"/>
        </w:rPr>
        <w:t>spring </w:t>
      </w:r>
      <w:r>
        <w:rPr>
          <w:w w:val="105"/>
          <w:sz w:val="21"/>
        </w:rPr>
        <w:t>and </w:t>
      </w:r>
      <w:r>
        <w:rPr>
          <w:spacing w:val="-3"/>
          <w:w w:val="105"/>
          <w:sz w:val="21"/>
        </w:rPr>
        <w:t>summer months. </w:t>
      </w:r>
      <w:r>
        <w:rPr>
          <w:w w:val="105"/>
          <w:sz w:val="21"/>
        </w:rPr>
        <w:t>DSCV attributes this </w:t>
      </w:r>
      <w:r>
        <w:rPr>
          <w:spacing w:val="-3"/>
          <w:w w:val="105"/>
          <w:sz w:val="21"/>
        </w:rPr>
        <w:t>to springtime </w:t>
      </w:r>
      <w:r>
        <w:rPr>
          <w:w w:val="105"/>
          <w:sz w:val="21"/>
        </w:rPr>
        <w:t>vegetation growth and people </w:t>
      </w:r>
      <w:r>
        <w:rPr>
          <w:spacing w:val="-3"/>
          <w:w w:val="105"/>
          <w:sz w:val="21"/>
        </w:rPr>
        <w:t>spending </w:t>
      </w:r>
      <w:r>
        <w:rPr>
          <w:w w:val="105"/>
          <w:sz w:val="21"/>
        </w:rPr>
        <w:t>more time</w:t>
      </w:r>
      <w:r>
        <w:rPr>
          <w:spacing w:val="32"/>
          <w:w w:val="105"/>
          <w:sz w:val="21"/>
        </w:rPr>
        <w:t> </w:t>
      </w:r>
      <w:r>
        <w:rPr>
          <w:spacing w:val="-4"/>
          <w:w w:val="105"/>
          <w:sz w:val="21"/>
        </w:rPr>
        <w:t>outdoors.</w:t>
      </w:r>
      <w:r>
        <w:rPr>
          <w:spacing w:val="-4"/>
          <w:w w:val="105"/>
          <w:position w:val="7"/>
          <w:sz w:val="12"/>
        </w:rPr>
        <w:t>19</w:t>
      </w:r>
    </w:p>
    <w:p>
      <w:pPr>
        <w:pStyle w:val="BodyText"/>
        <w:spacing w:before="4"/>
        <w:rPr>
          <w:sz w:val="20"/>
        </w:rPr>
      </w:pPr>
      <w:r>
        <w:rPr/>
        <w:pict>
          <v:line style="position:absolute;mso-position-horizontal-relative:page;mso-position-vertical-relative:paragraph;z-index:-160;mso-wrap-distance-left:0;mso-wrap-distance-right:0" from="79.370102pt,14.87606pt" to="515.905102pt,14.87606pt" stroked="true" strokeweight="1pt" strokecolor="#c9d2cb">
            <v:stroke dashstyle="solid"/>
            <w10:wrap type="topAndBottom"/>
          </v:line>
        </w:pict>
      </w:r>
    </w:p>
    <w:p>
      <w:pPr>
        <w:pStyle w:val="ListParagraph"/>
        <w:numPr>
          <w:ilvl w:val="0"/>
          <w:numId w:val="18"/>
        </w:numPr>
        <w:tabs>
          <w:tab w:pos="2380" w:val="left" w:leader="none"/>
          <w:tab w:pos="2382" w:val="left" w:leader="none"/>
        </w:tabs>
        <w:spacing w:line="240" w:lineRule="auto" w:before="117" w:after="0"/>
        <w:ind w:left="2381" w:right="0" w:hanging="794"/>
        <w:jc w:val="left"/>
        <w:rPr>
          <w:sz w:val="13"/>
        </w:rPr>
      </w:pPr>
      <w:r>
        <w:rPr>
          <w:w w:val="105"/>
          <w:sz w:val="13"/>
        </w:rPr>
        <w:t>Submissions</w:t>
      </w:r>
      <w:r>
        <w:rPr>
          <w:spacing w:val="4"/>
          <w:w w:val="105"/>
          <w:sz w:val="13"/>
        </w:rPr>
        <w:t> </w:t>
      </w:r>
      <w:r>
        <w:rPr>
          <w:w w:val="105"/>
          <w:sz w:val="13"/>
        </w:rPr>
        <w:t>21</w:t>
      </w:r>
      <w:r>
        <w:rPr>
          <w:spacing w:val="5"/>
          <w:w w:val="105"/>
          <w:sz w:val="13"/>
        </w:rPr>
        <w:t> </w:t>
      </w:r>
      <w:r>
        <w:rPr>
          <w:w w:val="105"/>
          <w:sz w:val="13"/>
        </w:rPr>
        <w:t>(Pointon</w:t>
      </w:r>
      <w:r>
        <w:rPr>
          <w:spacing w:val="5"/>
          <w:w w:val="105"/>
          <w:sz w:val="13"/>
        </w:rPr>
        <w:t> </w:t>
      </w:r>
      <w:r>
        <w:rPr>
          <w:w w:val="105"/>
          <w:sz w:val="13"/>
        </w:rPr>
        <w:t>Partners</w:t>
      </w:r>
      <w:r>
        <w:rPr>
          <w:spacing w:val="4"/>
          <w:w w:val="105"/>
          <w:sz w:val="13"/>
        </w:rPr>
        <w:t> </w:t>
      </w:r>
      <w:r>
        <w:rPr>
          <w:spacing w:val="2"/>
          <w:w w:val="105"/>
          <w:sz w:val="13"/>
        </w:rPr>
        <w:t>Lawyers),</w:t>
      </w:r>
      <w:r>
        <w:rPr>
          <w:spacing w:val="5"/>
          <w:w w:val="105"/>
          <w:sz w:val="13"/>
        </w:rPr>
        <w:t> </w:t>
      </w:r>
      <w:r>
        <w:rPr>
          <w:w w:val="105"/>
          <w:sz w:val="13"/>
        </w:rPr>
        <w:t>31</w:t>
      </w:r>
      <w:r>
        <w:rPr>
          <w:spacing w:val="5"/>
          <w:w w:val="105"/>
          <w:sz w:val="13"/>
        </w:rPr>
        <w:t> </w:t>
      </w:r>
      <w:r>
        <w:rPr>
          <w:spacing w:val="2"/>
          <w:w w:val="105"/>
          <w:sz w:val="13"/>
        </w:rPr>
        <w:t>(Barwon</w:t>
      </w:r>
      <w:r>
        <w:rPr>
          <w:spacing w:val="5"/>
          <w:w w:val="105"/>
          <w:sz w:val="13"/>
        </w:rPr>
        <w:t> </w:t>
      </w:r>
      <w:r>
        <w:rPr>
          <w:w w:val="105"/>
          <w:sz w:val="13"/>
        </w:rPr>
        <w:t>Community</w:t>
      </w:r>
      <w:r>
        <w:rPr>
          <w:spacing w:val="4"/>
          <w:w w:val="105"/>
          <w:sz w:val="13"/>
        </w:rPr>
        <w:t> </w:t>
      </w:r>
      <w:r>
        <w:rPr>
          <w:w w:val="105"/>
          <w:sz w:val="13"/>
        </w:rPr>
        <w:t>Legal</w:t>
      </w:r>
      <w:r>
        <w:rPr>
          <w:spacing w:val="5"/>
          <w:w w:val="105"/>
          <w:sz w:val="13"/>
        </w:rPr>
        <w:t> </w:t>
      </w:r>
      <w:r>
        <w:rPr>
          <w:spacing w:val="2"/>
          <w:w w:val="105"/>
          <w:sz w:val="13"/>
        </w:rPr>
        <w:t>Service);</w:t>
      </w:r>
      <w:r>
        <w:rPr>
          <w:spacing w:val="5"/>
          <w:w w:val="105"/>
          <w:sz w:val="13"/>
        </w:rPr>
        <w:t> </w:t>
      </w:r>
      <w:r>
        <w:rPr>
          <w:w w:val="105"/>
          <w:sz w:val="13"/>
        </w:rPr>
        <w:t>Survey</w:t>
      </w:r>
      <w:r>
        <w:rPr>
          <w:spacing w:val="5"/>
          <w:w w:val="105"/>
          <w:sz w:val="13"/>
        </w:rPr>
        <w:t> </w:t>
      </w:r>
      <w:r>
        <w:rPr>
          <w:w w:val="105"/>
          <w:sz w:val="13"/>
        </w:rPr>
        <w:t>Respondents</w:t>
      </w:r>
      <w:r>
        <w:rPr>
          <w:spacing w:val="4"/>
          <w:w w:val="105"/>
          <w:sz w:val="13"/>
        </w:rPr>
        <w:t> </w:t>
      </w:r>
      <w:r>
        <w:rPr>
          <w:w w:val="105"/>
          <w:sz w:val="13"/>
        </w:rPr>
        <w:t>6,</w:t>
      </w:r>
      <w:r>
        <w:rPr>
          <w:spacing w:val="5"/>
          <w:w w:val="105"/>
          <w:sz w:val="13"/>
        </w:rPr>
        <w:t> </w:t>
      </w:r>
      <w:r>
        <w:rPr>
          <w:w w:val="105"/>
          <w:sz w:val="13"/>
        </w:rPr>
        <w:t>53,</w:t>
      </w:r>
      <w:r>
        <w:rPr>
          <w:spacing w:val="5"/>
          <w:w w:val="105"/>
          <w:sz w:val="13"/>
        </w:rPr>
        <w:t> </w:t>
      </w:r>
      <w:r>
        <w:rPr>
          <w:spacing w:val="-3"/>
          <w:w w:val="105"/>
          <w:sz w:val="13"/>
        </w:rPr>
        <w:t>118.</w:t>
      </w:r>
    </w:p>
    <w:p>
      <w:pPr>
        <w:pStyle w:val="ListParagraph"/>
        <w:numPr>
          <w:ilvl w:val="0"/>
          <w:numId w:val="18"/>
        </w:numPr>
        <w:tabs>
          <w:tab w:pos="2380" w:val="left" w:leader="none"/>
          <w:tab w:pos="2382" w:val="left" w:leader="none"/>
        </w:tabs>
        <w:spacing w:line="240" w:lineRule="auto" w:before="1" w:after="0"/>
        <w:ind w:left="2381" w:right="1606" w:hanging="794"/>
        <w:jc w:val="left"/>
        <w:rPr>
          <w:sz w:val="13"/>
        </w:rPr>
      </w:pPr>
      <w:r>
        <w:rPr>
          <w:w w:val="105"/>
          <w:sz w:val="13"/>
        </w:rPr>
        <w:t>Barwon Community Legal Service noted that community legal centres may not have the resources to take matters to court and that Victoria Legal</w:t>
      </w:r>
      <w:r>
        <w:rPr>
          <w:spacing w:val="7"/>
          <w:w w:val="105"/>
          <w:sz w:val="13"/>
        </w:rPr>
        <w:t> </w:t>
      </w:r>
      <w:r>
        <w:rPr>
          <w:w w:val="105"/>
          <w:sz w:val="13"/>
        </w:rPr>
        <w:t>Aid</w:t>
      </w:r>
      <w:r>
        <w:rPr>
          <w:spacing w:val="7"/>
          <w:w w:val="105"/>
          <w:sz w:val="13"/>
        </w:rPr>
        <w:t> </w:t>
      </w:r>
      <w:r>
        <w:rPr>
          <w:w w:val="105"/>
          <w:sz w:val="13"/>
        </w:rPr>
        <w:t>does</w:t>
      </w:r>
      <w:r>
        <w:rPr>
          <w:spacing w:val="7"/>
          <w:w w:val="105"/>
          <w:sz w:val="13"/>
        </w:rPr>
        <w:t> </w:t>
      </w:r>
      <w:r>
        <w:rPr>
          <w:w w:val="105"/>
          <w:sz w:val="13"/>
        </w:rPr>
        <w:t>not</w:t>
      </w:r>
      <w:r>
        <w:rPr>
          <w:spacing w:val="7"/>
          <w:w w:val="105"/>
          <w:sz w:val="13"/>
        </w:rPr>
        <w:t> </w:t>
      </w:r>
      <w:r>
        <w:rPr>
          <w:w w:val="105"/>
          <w:sz w:val="13"/>
        </w:rPr>
        <w:t>assist</w:t>
      </w:r>
      <w:r>
        <w:rPr>
          <w:spacing w:val="7"/>
          <w:w w:val="105"/>
          <w:sz w:val="13"/>
        </w:rPr>
        <w:t> </w:t>
      </w:r>
      <w:r>
        <w:rPr>
          <w:w w:val="105"/>
          <w:sz w:val="13"/>
        </w:rPr>
        <w:t>with</w:t>
      </w:r>
      <w:r>
        <w:rPr>
          <w:spacing w:val="8"/>
          <w:w w:val="105"/>
          <w:sz w:val="13"/>
        </w:rPr>
        <w:t> </w:t>
      </w:r>
      <w:r>
        <w:rPr>
          <w:w w:val="105"/>
          <w:sz w:val="13"/>
        </w:rPr>
        <w:t>tree</w:t>
      </w:r>
      <w:r>
        <w:rPr>
          <w:spacing w:val="7"/>
          <w:w w:val="105"/>
          <w:sz w:val="13"/>
        </w:rPr>
        <w:t> </w:t>
      </w:r>
      <w:r>
        <w:rPr>
          <w:w w:val="105"/>
          <w:sz w:val="13"/>
        </w:rPr>
        <w:t>disputes:</w:t>
      </w:r>
      <w:r>
        <w:rPr>
          <w:spacing w:val="7"/>
          <w:w w:val="105"/>
          <w:sz w:val="13"/>
        </w:rPr>
        <w:t> </w:t>
      </w:r>
      <w:r>
        <w:rPr>
          <w:w w:val="105"/>
          <w:sz w:val="13"/>
        </w:rPr>
        <w:t>Submission</w:t>
      </w:r>
      <w:r>
        <w:rPr>
          <w:spacing w:val="7"/>
          <w:w w:val="105"/>
          <w:sz w:val="13"/>
        </w:rPr>
        <w:t> </w:t>
      </w:r>
      <w:r>
        <w:rPr>
          <w:spacing w:val="-3"/>
          <w:w w:val="105"/>
          <w:sz w:val="13"/>
        </w:rPr>
        <w:t>31.</w:t>
      </w:r>
      <w:r>
        <w:rPr>
          <w:spacing w:val="7"/>
          <w:w w:val="105"/>
          <w:sz w:val="13"/>
        </w:rPr>
        <w:t> </w:t>
      </w:r>
      <w:r>
        <w:rPr>
          <w:w w:val="105"/>
          <w:sz w:val="13"/>
        </w:rPr>
        <w:t>Applicable</w:t>
      </w:r>
      <w:r>
        <w:rPr>
          <w:spacing w:val="8"/>
          <w:w w:val="105"/>
          <w:sz w:val="13"/>
        </w:rPr>
        <w:t> </w:t>
      </w:r>
      <w:r>
        <w:rPr>
          <w:w w:val="105"/>
          <w:sz w:val="13"/>
        </w:rPr>
        <w:t>means</w:t>
      </w:r>
      <w:r>
        <w:rPr>
          <w:spacing w:val="7"/>
          <w:w w:val="105"/>
          <w:sz w:val="13"/>
        </w:rPr>
        <w:t> </w:t>
      </w:r>
      <w:r>
        <w:rPr>
          <w:w w:val="105"/>
          <w:sz w:val="13"/>
        </w:rPr>
        <w:t>testing</w:t>
      </w:r>
      <w:r>
        <w:rPr>
          <w:spacing w:val="7"/>
          <w:w w:val="105"/>
          <w:sz w:val="13"/>
        </w:rPr>
        <w:t> </w:t>
      </w:r>
      <w:r>
        <w:rPr>
          <w:w w:val="105"/>
          <w:sz w:val="13"/>
        </w:rPr>
        <w:t>may</w:t>
      </w:r>
      <w:r>
        <w:rPr>
          <w:spacing w:val="7"/>
          <w:w w:val="105"/>
          <w:sz w:val="13"/>
        </w:rPr>
        <w:t> </w:t>
      </w:r>
      <w:r>
        <w:rPr>
          <w:w w:val="105"/>
          <w:sz w:val="13"/>
        </w:rPr>
        <w:t>disqualify</w:t>
      </w:r>
      <w:r>
        <w:rPr>
          <w:spacing w:val="7"/>
          <w:w w:val="105"/>
          <w:sz w:val="13"/>
        </w:rPr>
        <w:t> </w:t>
      </w:r>
      <w:r>
        <w:rPr>
          <w:w w:val="105"/>
          <w:sz w:val="13"/>
        </w:rPr>
        <w:t>an</w:t>
      </w:r>
      <w:r>
        <w:rPr>
          <w:spacing w:val="8"/>
          <w:w w:val="105"/>
          <w:sz w:val="13"/>
        </w:rPr>
        <w:t> </w:t>
      </w:r>
      <w:r>
        <w:rPr>
          <w:w w:val="105"/>
          <w:sz w:val="13"/>
        </w:rPr>
        <w:t>affected</w:t>
      </w:r>
      <w:r>
        <w:rPr>
          <w:spacing w:val="7"/>
          <w:w w:val="105"/>
          <w:sz w:val="13"/>
        </w:rPr>
        <w:t> </w:t>
      </w:r>
      <w:r>
        <w:rPr>
          <w:w w:val="105"/>
          <w:sz w:val="13"/>
        </w:rPr>
        <w:t>neighbour,</w:t>
      </w:r>
      <w:r>
        <w:rPr>
          <w:spacing w:val="7"/>
          <w:w w:val="105"/>
          <w:sz w:val="13"/>
        </w:rPr>
        <w:t> </w:t>
      </w:r>
      <w:r>
        <w:rPr>
          <w:w w:val="105"/>
          <w:sz w:val="13"/>
        </w:rPr>
        <w:t>depending</w:t>
      </w:r>
    </w:p>
    <w:p>
      <w:pPr>
        <w:spacing w:before="3"/>
        <w:ind w:left="2381" w:right="0" w:firstLine="0"/>
        <w:jc w:val="left"/>
        <w:rPr>
          <w:sz w:val="13"/>
        </w:rPr>
      </w:pPr>
      <w:r>
        <w:rPr>
          <w:w w:val="105"/>
          <w:sz w:val="13"/>
        </w:rPr>
        <w:t>on their income and assets: Victoria Legal Aid, ‘12—Means Test’, </w:t>
      </w:r>
      <w:r>
        <w:rPr>
          <w:i/>
          <w:w w:val="105"/>
          <w:sz w:val="13"/>
        </w:rPr>
        <w:t>VLA Handbook for Lawyers </w:t>
      </w:r>
      <w:r>
        <w:rPr>
          <w:w w:val="105"/>
          <w:sz w:val="13"/>
        </w:rPr>
        <w:t>(Web Page, 28 September 2018)</w:t>
      </w:r>
    </w:p>
    <w:p>
      <w:pPr>
        <w:spacing w:before="1"/>
        <w:ind w:left="2381" w:right="0" w:firstLine="0"/>
        <w:jc w:val="left"/>
        <w:rPr>
          <w:sz w:val="13"/>
        </w:rPr>
      </w:pPr>
      <w:r>
        <w:rPr>
          <w:w w:val="105"/>
          <w:sz w:val="13"/>
        </w:rPr>
        <w:t>&lt;https://handbook.vla.vic.gov.au/handbook/12-means-test&gt;.</w:t>
      </w:r>
    </w:p>
    <w:p>
      <w:pPr>
        <w:pStyle w:val="ListParagraph"/>
        <w:numPr>
          <w:ilvl w:val="0"/>
          <w:numId w:val="18"/>
        </w:numPr>
        <w:tabs>
          <w:tab w:pos="2380" w:val="left" w:leader="none"/>
          <w:tab w:pos="2382" w:val="left" w:leader="none"/>
        </w:tabs>
        <w:spacing w:line="240" w:lineRule="auto" w:before="2" w:after="0"/>
        <w:ind w:left="2381" w:right="2006" w:hanging="794"/>
        <w:jc w:val="left"/>
        <w:rPr>
          <w:sz w:val="13"/>
        </w:rPr>
      </w:pPr>
      <w:r>
        <w:rPr>
          <w:i/>
          <w:sz w:val="13"/>
        </w:rPr>
        <w:t>Magistrates’ Court Act 1989 </w:t>
      </w:r>
      <w:r>
        <w:rPr>
          <w:spacing w:val="2"/>
          <w:sz w:val="13"/>
        </w:rPr>
        <w:t>(Vic) </w:t>
      </w:r>
      <w:r>
        <w:rPr>
          <w:sz w:val="13"/>
        </w:rPr>
        <w:t>ss 3 (definition of ‘jurisdictional </w:t>
      </w:r>
      <w:r>
        <w:rPr>
          <w:spacing w:val="2"/>
          <w:sz w:val="13"/>
        </w:rPr>
        <w:t>limit’), </w:t>
      </w:r>
      <w:r>
        <w:rPr>
          <w:sz w:val="13"/>
        </w:rPr>
        <w:t>100. The jurisdiction of the Magistrates’ Court of  Victoria  is explored in more detail in Ch</w:t>
      </w:r>
      <w:r>
        <w:rPr>
          <w:spacing w:val="9"/>
          <w:sz w:val="13"/>
        </w:rPr>
        <w:t> </w:t>
      </w:r>
      <w:r>
        <w:rPr>
          <w:spacing w:val="-5"/>
          <w:sz w:val="13"/>
        </w:rPr>
        <w:t>7.</w:t>
      </w:r>
    </w:p>
    <w:p>
      <w:pPr>
        <w:pStyle w:val="ListParagraph"/>
        <w:numPr>
          <w:ilvl w:val="0"/>
          <w:numId w:val="18"/>
        </w:numPr>
        <w:tabs>
          <w:tab w:pos="2380" w:val="left" w:leader="none"/>
          <w:tab w:pos="2382" w:val="left" w:leader="none"/>
        </w:tabs>
        <w:spacing w:line="240" w:lineRule="auto" w:before="2" w:after="0"/>
        <w:ind w:left="2381" w:right="1595" w:hanging="794"/>
        <w:jc w:val="left"/>
        <w:rPr>
          <w:sz w:val="13"/>
        </w:rPr>
      </w:pPr>
      <w:r>
        <w:rPr>
          <w:w w:val="105"/>
          <w:sz w:val="13"/>
        </w:rPr>
        <w:t>See, eg, </w:t>
      </w:r>
      <w:r>
        <w:rPr>
          <w:i/>
          <w:w w:val="105"/>
          <w:sz w:val="13"/>
        </w:rPr>
        <w:t>Anzic v Bayside CC </w:t>
      </w:r>
      <w:r>
        <w:rPr>
          <w:w w:val="105"/>
          <w:sz w:val="13"/>
        </w:rPr>
        <w:t>[2016] VCAT 815, where the tree owner and neighbours wanted a tree protected under a Vegetation Protection Order removed due to fears of </w:t>
      </w:r>
      <w:r>
        <w:rPr>
          <w:spacing w:val="2"/>
          <w:w w:val="105"/>
          <w:sz w:val="13"/>
        </w:rPr>
        <w:t>damage/harm. </w:t>
      </w:r>
      <w:r>
        <w:rPr>
          <w:w w:val="105"/>
          <w:sz w:val="13"/>
        </w:rPr>
        <w:t>See also Clay Lucas, ‘Appalling Display of Incompetence: Council Lashed in Stinging VCAT Ruling’, </w:t>
      </w:r>
      <w:r>
        <w:rPr>
          <w:i/>
          <w:w w:val="105"/>
          <w:sz w:val="13"/>
        </w:rPr>
        <w:t>The Age </w:t>
      </w:r>
      <w:r>
        <w:rPr>
          <w:w w:val="105"/>
          <w:sz w:val="13"/>
        </w:rPr>
        <w:t>(online, 23 May 2016) </w:t>
      </w:r>
      <w:r>
        <w:rPr>
          <w:spacing w:val="2"/>
          <w:w w:val="105"/>
          <w:sz w:val="13"/>
        </w:rPr>
        <w:t>&lt;https://</w:t>
      </w:r>
      <w:hyperlink r:id="rId32">
        <w:r>
          <w:rPr>
            <w:spacing w:val="2"/>
            <w:w w:val="105"/>
            <w:sz w:val="13"/>
          </w:rPr>
          <w:t>www.theage.com.au/national/victoria/appalling-display-of-incompetence-council-lashed-</w:t>
        </w:r>
      </w:hyperlink>
      <w:r>
        <w:rPr>
          <w:spacing w:val="2"/>
          <w:w w:val="105"/>
          <w:sz w:val="13"/>
        </w:rPr>
        <w:t> </w:t>
      </w:r>
      <w:r>
        <w:rPr>
          <w:w w:val="105"/>
          <w:sz w:val="13"/>
        </w:rPr>
        <w:t>in-stinging-vcat-ruling-20160522-gp10o5.html&gt;.</w:t>
      </w:r>
    </w:p>
    <w:p>
      <w:pPr>
        <w:pStyle w:val="ListParagraph"/>
        <w:numPr>
          <w:ilvl w:val="0"/>
          <w:numId w:val="18"/>
        </w:numPr>
        <w:tabs>
          <w:tab w:pos="2380" w:val="left" w:leader="none"/>
          <w:tab w:pos="2382" w:val="left" w:leader="none"/>
        </w:tabs>
        <w:spacing w:line="240" w:lineRule="auto" w:before="6" w:after="0"/>
        <w:ind w:left="2381" w:right="1772" w:hanging="794"/>
        <w:jc w:val="left"/>
        <w:rPr>
          <w:sz w:val="13"/>
        </w:rPr>
      </w:pPr>
      <w:r>
        <w:rPr>
          <w:w w:val="105"/>
          <w:sz w:val="13"/>
        </w:rPr>
        <w:t>This includes the County and Supreme Courts of Victoria. For more information on Victorian courts and tribunals, see Court Services Victoria, </w:t>
      </w:r>
      <w:r>
        <w:rPr>
          <w:i/>
          <w:w w:val="105"/>
          <w:sz w:val="13"/>
        </w:rPr>
        <w:t>Victorian Courts and Tribunals </w:t>
      </w:r>
      <w:r>
        <w:rPr>
          <w:w w:val="105"/>
          <w:sz w:val="13"/>
        </w:rPr>
        <w:t>(Web Page, 2019)</w:t>
      </w:r>
      <w:r>
        <w:rPr>
          <w:spacing w:val="-18"/>
          <w:w w:val="105"/>
          <w:sz w:val="13"/>
        </w:rPr>
        <w:t> </w:t>
      </w:r>
      <w:r>
        <w:rPr>
          <w:spacing w:val="2"/>
          <w:w w:val="105"/>
          <w:sz w:val="13"/>
        </w:rPr>
        <w:t>&lt;https://</w:t>
      </w:r>
      <w:hyperlink r:id="rId33">
        <w:r>
          <w:rPr>
            <w:spacing w:val="2"/>
            <w:w w:val="105"/>
            <w:sz w:val="13"/>
          </w:rPr>
          <w:t>www.courts.vic.gov.au/court-system/victorian-courts-and-tribunals</w:t>
        </w:r>
      </w:hyperlink>
      <w:r>
        <w:rPr>
          <w:spacing w:val="2"/>
          <w:w w:val="105"/>
          <w:sz w:val="13"/>
        </w:rPr>
        <w:t>&gt;.</w:t>
      </w:r>
    </w:p>
    <w:p>
      <w:pPr>
        <w:pStyle w:val="ListParagraph"/>
        <w:numPr>
          <w:ilvl w:val="0"/>
          <w:numId w:val="18"/>
        </w:numPr>
        <w:tabs>
          <w:tab w:pos="2380" w:val="left" w:leader="none"/>
          <w:tab w:pos="2382" w:val="left" w:leader="none"/>
        </w:tabs>
        <w:spacing w:line="240" w:lineRule="auto" w:before="2" w:after="0"/>
        <w:ind w:left="2381" w:right="1968" w:hanging="794"/>
        <w:jc w:val="left"/>
        <w:rPr>
          <w:sz w:val="13"/>
        </w:rPr>
      </w:pPr>
      <w:r>
        <w:rPr>
          <w:i/>
          <w:w w:val="105"/>
          <w:sz w:val="13"/>
        </w:rPr>
        <w:t>City of Richmond v Scantelbury </w:t>
      </w:r>
      <w:r>
        <w:rPr>
          <w:w w:val="105"/>
          <w:sz w:val="13"/>
        </w:rPr>
        <w:t>[1991] 2 VR </w:t>
      </w:r>
      <w:r>
        <w:rPr>
          <w:spacing w:val="2"/>
          <w:w w:val="105"/>
          <w:sz w:val="13"/>
        </w:rPr>
        <w:t>38; </w:t>
      </w:r>
      <w:r>
        <w:rPr>
          <w:i/>
          <w:w w:val="105"/>
          <w:sz w:val="13"/>
        </w:rPr>
        <w:t>Hiss v Galea </w:t>
      </w:r>
      <w:r>
        <w:rPr>
          <w:w w:val="105"/>
          <w:sz w:val="13"/>
        </w:rPr>
        <w:t>[2012] VCC 710; </w:t>
      </w:r>
      <w:r>
        <w:rPr>
          <w:i/>
          <w:w w:val="105"/>
          <w:sz w:val="13"/>
        </w:rPr>
        <w:t>Marshall v Berndt </w:t>
      </w:r>
      <w:r>
        <w:rPr>
          <w:spacing w:val="-3"/>
          <w:w w:val="105"/>
          <w:sz w:val="13"/>
        </w:rPr>
        <w:t>[2011] </w:t>
      </w:r>
      <w:r>
        <w:rPr>
          <w:w w:val="105"/>
          <w:sz w:val="13"/>
        </w:rPr>
        <w:t>VCC </w:t>
      </w:r>
      <w:r>
        <w:rPr>
          <w:spacing w:val="3"/>
          <w:w w:val="105"/>
          <w:sz w:val="13"/>
        </w:rPr>
        <w:t>384; </w:t>
      </w:r>
      <w:r>
        <w:rPr>
          <w:i/>
          <w:spacing w:val="2"/>
          <w:w w:val="105"/>
          <w:sz w:val="13"/>
        </w:rPr>
        <w:t>Owners </w:t>
      </w:r>
      <w:r>
        <w:rPr>
          <w:i/>
          <w:w w:val="105"/>
          <w:sz w:val="13"/>
        </w:rPr>
        <w:t>Corporation </w:t>
      </w:r>
      <w:r>
        <w:rPr>
          <w:i/>
          <w:w w:val="105"/>
          <w:sz w:val="13"/>
        </w:rPr>
        <w:t>SP020030</w:t>
      </w:r>
      <w:r>
        <w:rPr>
          <w:i/>
          <w:spacing w:val="6"/>
          <w:w w:val="105"/>
          <w:sz w:val="13"/>
        </w:rPr>
        <w:t> </w:t>
      </w:r>
      <w:r>
        <w:rPr>
          <w:i/>
          <w:w w:val="105"/>
          <w:sz w:val="13"/>
        </w:rPr>
        <w:t>v</w:t>
      </w:r>
      <w:r>
        <w:rPr>
          <w:i/>
          <w:spacing w:val="7"/>
          <w:w w:val="105"/>
          <w:sz w:val="13"/>
        </w:rPr>
        <w:t> </w:t>
      </w:r>
      <w:r>
        <w:rPr>
          <w:i/>
          <w:w w:val="105"/>
          <w:sz w:val="13"/>
        </w:rPr>
        <w:t>Keyt</w:t>
      </w:r>
      <w:r>
        <w:rPr>
          <w:i/>
          <w:spacing w:val="7"/>
          <w:w w:val="105"/>
          <w:sz w:val="13"/>
        </w:rPr>
        <w:t> </w:t>
      </w:r>
      <w:r>
        <w:rPr>
          <w:w w:val="105"/>
          <w:sz w:val="13"/>
        </w:rPr>
        <w:t>[2016]</w:t>
      </w:r>
      <w:r>
        <w:rPr>
          <w:spacing w:val="7"/>
          <w:w w:val="105"/>
          <w:sz w:val="13"/>
        </w:rPr>
        <w:t> </w:t>
      </w:r>
      <w:r>
        <w:rPr>
          <w:w w:val="105"/>
          <w:sz w:val="13"/>
        </w:rPr>
        <w:t>VCC</w:t>
      </w:r>
      <w:r>
        <w:rPr>
          <w:spacing w:val="6"/>
          <w:w w:val="105"/>
          <w:sz w:val="13"/>
        </w:rPr>
        <w:t> </w:t>
      </w:r>
      <w:r>
        <w:rPr>
          <w:w w:val="105"/>
          <w:sz w:val="13"/>
        </w:rPr>
        <w:t>1656;</w:t>
      </w:r>
      <w:r>
        <w:rPr>
          <w:spacing w:val="7"/>
          <w:w w:val="105"/>
          <w:sz w:val="13"/>
        </w:rPr>
        <w:t> </w:t>
      </w:r>
      <w:r>
        <w:rPr>
          <w:i/>
          <w:w w:val="105"/>
          <w:sz w:val="13"/>
        </w:rPr>
        <w:t>Pearson</w:t>
      </w:r>
      <w:r>
        <w:rPr>
          <w:i/>
          <w:spacing w:val="7"/>
          <w:w w:val="105"/>
          <w:sz w:val="13"/>
        </w:rPr>
        <w:t> </w:t>
      </w:r>
      <w:r>
        <w:rPr>
          <w:i/>
          <w:w w:val="105"/>
          <w:sz w:val="13"/>
        </w:rPr>
        <w:t>v</w:t>
      </w:r>
      <w:r>
        <w:rPr>
          <w:i/>
          <w:spacing w:val="7"/>
          <w:w w:val="105"/>
          <w:sz w:val="13"/>
        </w:rPr>
        <w:t> </w:t>
      </w:r>
      <w:r>
        <w:rPr>
          <w:i/>
          <w:w w:val="105"/>
          <w:sz w:val="13"/>
        </w:rPr>
        <w:t>Greater</w:t>
      </w:r>
      <w:r>
        <w:rPr>
          <w:i/>
          <w:spacing w:val="6"/>
          <w:w w:val="105"/>
          <w:sz w:val="13"/>
        </w:rPr>
        <w:t> </w:t>
      </w:r>
      <w:r>
        <w:rPr>
          <w:i/>
          <w:w w:val="105"/>
          <w:sz w:val="13"/>
        </w:rPr>
        <w:t>Shepparton</w:t>
      </w:r>
      <w:r>
        <w:rPr>
          <w:i/>
          <w:spacing w:val="7"/>
          <w:w w:val="105"/>
          <w:sz w:val="13"/>
        </w:rPr>
        <w:t> </w:t>
      </w:r>
      <w:r>
        <w:rPr>
          <w:i/>
          <w:w w:val="105"/>
          <w:sz w:val="13"/>
        </w:rPr>
        <w:t>CC</w:t>
      </w:r>
      <w:r>
        <w:rPr>
          <w:i/>
          <w:spacing w:val="7"/>
          <w:w w:val="105"/>
          <w:sz w:val="13"/>
        </w:rPr>
        <w:t> </w:t>
      </w:r>
      <w:r>
        <w:rPr>
          <w:w w:val="105"/>
          <w:sz w:val="13"/>
        </w:rPr>
        <w:t>[2017]</w:t>
      </w:r>
      <w:r>
        <w:rPr>
          <w:spacing w:val="7"/>
          <w:w w:val="105"/>
          <w:sz w:val="13"/>
        </w:rPr>
        <w:t> </w:t>
      </w:r>
      <w:r>
        <w:rPr>
          <w:w w:val="105"/>
          <w:sz w:val="13"/>
        </w:rPr>
        <w:t>VCC</w:t>
      </w:r>
      <w:r>
        <w:rPr>
          <w:spacing w:val="6"/>
          <w:w w:val="105"/>
          <w:sz w:val="13"/>
        </w:rPr>
        <w:t> </w:t>
      </w:r>
      <w:r>
        <w:rPr>
          <w:spacing w:val="3"/>
          <w:w w:val="105"/>
          <w:sz w:val="13"/>
        </w:rPr>
        <w:t>468;</w:t>
      </w:r>
      <w:r>
        <w:rPr>
          <w:spacing w:val="7"/>
          <w:w w:val="105"/>
          <w:sz w:val="13"/>
        </w:rPr>
        <w:t> </w:t>
      </w:r>
      <w:r>
        <w:rPr>
          <w:i/>
          <w:w w:val="105"/>
          <w:sz w:val="13"/>
        </w:rPr>
        <w:t>Traian</w:t>
      </w:r>
      <w:r>
        <w:rPr>
          <w:i/>
          <w:spacing w:val="7"/>
          <w:w w:val="105"/>
          <w:sz w:val="13"/>
        </w:rPr>
        <w:t> </w:t>
      </w:r>
      <w:r>
        <w:rPr>
          <w:i/>
          <w:w w:val="105"/>
          <w:sz w:val="13"/>
        </w:rPr>
        <w:t>v</w:t>
      </w:r>
      <w:r>
        <w:rPr>
          <w:i/>
          <w:spacing w:val="7"/>
          <w:w w:val="105"/>
          <w:sz w:val="13"/>
        </w:rPr>
        <w:t> </w:t>
      </w:r>
      <w:r>
        <w:rPr>
          <w:i/>
          <w:w w:val="105"/>
          <w:sz w:val="13"/>
        </w:rPr>
        <w:t>Ware</w:t>
      </w:r>
      <w:r>
        <w:rPr>
          <w:i/>
          <w:spacing w:val="6"/>
          <w:w w:val="105"/>
          <w:sz w:val="13"/>
        </w:rPr>
        <w:t> </w:t>
      </w:r>
      <w:r>
        <w:rPr>
          <w:w w:val="105"/>
          <w:sz w:val="13"/>
        </w:rPr>
        <w:t>[1957]</w:t>
      </w:r>
      <w:r>
        <w:rPr>
          <w:spacing w:val="7"/>
          <w:w w:val="105"/>
          <w:sz w:val="13"/>
        </w:rPr>
        <w:t> </w:t>
      </w:r>
      <w:r>
        <w:rPr>
          <w:w w:val="105"/>
          <w:sz w:val="13"/>
        </w:rPr>
        <w:t>VR</w:t>
      </w:r>
      <w:r>
        <w:rPr>
          <w:spacing w:val="7"/>
          <w:w w:val="105"/>
          <w:sz w:val="13"/>
        </w:rPr>
        <w:t> </w:t>
      </w:r>
      <w:r>
        <w:rPr>
          <w:w w:val="105"/>
          <w:sz w:val="13"/>
        </w:rPr>
        <w:t>200.</w:t>
      </w:r>
    </w:p>
    <w:p>
      <w:pPr>
        <w:pStyle w:val="ListParagraph"/>
        <w:numPr>
          <w:ilvl w:val="0"/>
          <w:numId w:val="18"/>
        </w:numPr>
        <w:tabs>
          <w:tab w:pos="2381" w:val="left" w:leader="none"/>
          <w:tab w:pos="2382" w:val="left" w:leader="none"/>
        </w:tabs>
        <w:spacing w:line="240" w:lineRule="auto" w:before="3" w:after="0"/>
        <w:ind w:left="2381" w:right="0" w:hanging="794"/>
        <w:jc w:val="left"/>
        <w:rPr>
          <w:sz w:val="13"/>
        </w:rPr>
      </w:pPr>
      <w:r>
        <w:rPr>
          <w:w w:val="105"/>
          <w:sz w:val="13"/>
        </w:rPr>
        <w:t>(1988) Aust Torts </w:t>
      </w:r>
      <w:r>
        <w:rPr>
          <w:spacing w:val="2"/>
          <w:w w:val="105"/>
          <w:sz w:val="13"/>
        </w:rPr>
        <w:t>Reports</w:t>
      </w:r>
      <w:r>
        <w:rPr>
          <w:spacing w:val="18"/>
          <w:w w:val="105"/>
          <w:sz w:val="13"/>
        </w:rPr>
        <w:t> </w:t>
      </w:r>
      <w:r>
        <w:rPr>
          <w:w w:val="105"/>
          <w:sz w:val="13"/>
        </w:rPr>
        <w:t>80-185</w:t>
      </w:r>
    </w:p>
    <w:p>
      <w:pPr>
        <w:pStyle w:val="ListParagraph"/>
        <w:numPr>
          <w:ilvl w:val="0"/>
          <w:numId w:val="18"/>
        </w:numPr>
        <w:tabs>
          <w:tab w:pos="2381" w:val="left" w:leader="none"/>
          <w:tab w:pos="2382" w:val="left" w:leader="none"/>
        </w:tabs>
        <w:spacing w:line="240" w:lineRule="auto" w:before="1" w:after="0"/>
        <w:ind w:left="2381" w:right="2093" w:hanging="794"/>
        <w:jc w:val="left"/>
        <w:rPr>
          <w:sz w:val="13"/>
        </w:rPr>
      </w:pPr>
      <w:r>
        <w:rPr>
          <w:w w:val="105"/>
          <w:sz w:val="13"/>
        </w:rPr>
        <w:t>See, eg, </w:t>
      </w:r>
      <w:r>
        <w:rPr>
          <w:i/>
          <w:w w:val="105"/>
          <w:sz w:val="13"/>
        </w:rPr>
        <w:t>Manderson v Wright </w:t>
      </w:r>
      <w:r>
        <w:rPr>
          <w:w w:val="105"/>
          <w:sz w:val="13"/>
        </w:rPr>
        <w:t>[2016] VSC 677 [42] which concerned a neighbourhood dispute about whether the removal of native vegetation</w:t>
      </w:r>
      <w:r>
        <w:rPr>
          <w:spacing w:val="4"/>
          <w:w w:val="105"/>
          <w:sz w:val="13"/>
        </w:rPr>
        <w:t> </w:t>
      </w:r>
      <w:r>
        <w:rPr>
          <w:w w:val="105"/>
          <w:sz w:val="13"/>
        </w:rPr>
        <w:t>was</w:t>
      </w:r>
      <w:r>
        <w:rPr>
          <w:spacing w:val="5"/>
          <w:w w:val="105"/>
          <w:sz w:val="13"/>
        </w:rPr>
        <w:t> </w:t>
      </w:r>
      <w:r>
        <w:rPr>
          <w:w w:val="105"/>
          <w:sz w:val="13"/>
        </w:rPr>
        <w:t>permitted</w:t>
      </w:r>
      <w:r>
        <w:rPr>
          <w:spacing w:val="5"/>
          <w:w w:val="105"/>
          <w:sz w:val="13"/>
        </w:rPr>
        <w:t> </w:t>
      </w:r>
      <w:r>
        <w:rPr>
          <w:w w:val="105"/>
          <w:sz w:val="13"/>
        </w:rPr>
        <w:t>pursuant</w:t>
      </w:r>
      <w:r>
        <w:rPr>
          <w:spacing w:val="5"/>
          <w:w w:val="105"/>
          <w:sz w:val="13"/>
        </w:rPr>
        <w:t> </w:t>
      </w:r>
      <w:r>
        <w:rPr>
          <w:w w:val="105"/>
          <w:sz w:val="13"/>
        </w:rPr>
        <w:t>to</w:t>
      </w:r>
      <w:r>
        <w:rPr>
          <w:spacing w:val="5"/>
          <w:w w:val="105"/>
          <w:sz w:val="13"/>
        </w:rPr>
        <w:t> </w:t>
      </w:r>
      <w:r>
        <w:rPr>
          <w:w w:val="105"/>
          <w:sz w:val="13"/>
        </w:rPr>
        <w:t>a</w:t>
      </w:r>
      <w:r>
        <w:rPr>
          <w:spacing w:val="5"/>
          <w:w w:val="105"/>
          <w:sz w:val="13"/>
        </w:rPr>
        <w:t> </w:t>
      </w:r>
      <w:r>
        <w:rPr>
          <w:w w:val="105"/>
          <w:sz w:val="13"/>
        </w:rPr>
        <w:t>restrictive</w:t>
      </w:r>
      <w:r>
        <w:rPr>
          <w:spacing w:val="4"/>
          <w:w w:val="105"/>
          <w:sz w:val="13"/>
        </w:rPr>
        <w:t> </w:t>
      </w:r>
      <w:r>
        <w:rPr>
          <w:w w:val="105"/>
          <w:sz w:val="13"/>
        </w:rPr>
        <w:t>covenant</w:t>
      </w:r>
      <w:r>
        <w:rPr>
          <w:spacing w:val="5"/>
          <w:w w:val="105"/>
          <w:sz w:val="13"/>
        </w:rPr>
        <w:t> </w:t>
      </w:r>
      <w:r>
        <w:rPr>
          <w:w w:val="105"/>
          <w:sz w:val="13"/>
        </w:rPr>
        <w:t>and</w:t>
      </w:r>
      <w:r>
        <w:rPr>
          <w:spacing w:val="5"/>
          <w:w w:val="105"/>
          <w:sz w:val="13"/>
        </w:rPr>
        <w:t> </w:t>
      </w:r>
      <w:r>
        <w:rPr>
          <w:w w:val="105"/>
          <w:sz w:val="13"/>
        </w:rPr>
        <w:t>neighbourhood</w:t>
      </w:r>
      <w:r>
        <w:rPr>
          <w:spacing w:val="5"/>
          <w:w w:val="105"/>
          <w:sz w:val="13"/>
        </w:rPr>
        <w:t> </w:t>
      </w:r>
      <w:r>
        <w:rPr>
          <w:w w:val="105"/>
          <w:sz w:val="13"/>
        </w:rPr>
        <w:t>design</w:t>
      </w:r>
      <w:r>
        <w:rPr>
          <w:spacing w:val="5"/>
          <w:w w:val="105"/>
          <w:sz w:val="13"/>
        </w:rPr>
        <w:t> </w:t>
      </w:r>
      <w:r>
        <w:rPr>
          <w:w w:val="105"/>
          <w:sz w:val="13"/>
        </w:rPr>
        <w:t>plan.</w:t>
      </w:r>
    </w:p>
    <w:p>
      <w:pPr>
        <w:pStyle w:val="ListParagraph"/>
        <w:numPr>
          <w:ilvl w:val="0"/>
          <w:numId w:val="18"/>
        </w:numPr>
        <w:tabs>
          <w:tab w:pos="2381" w:val="left" w:leader="none"/>
          <w:tab w:pos="2382" w:val="left" w:leader="none"/>
        </w:tabs>
        <w:spacing w:line="240" w:lineRule="auto" w:before="3" w:after="0"/>
        <w:ind w:left="2381" w:right="0" w:hanging="794"/>
        <w:jc w:val="left"/>
        <w:rPr>
          <w:sz w:val="13"/>
        </w:rPr>
      </w:pPr>
      <w:r>
        <w:rPr>
          <w:w w:val="105"/>
          <w:sz w:val="13"/>
        </w:rPr>
        <w:t>See,</w:t>
      </w:r>
      <w:r>
        <w:rPr>
          <w:spacing w:val="4"/>
          <w:w w:val="105"/>
          <w:sz w:val="13"/>
        </w:rPr>
        <w:t> </w:t>
      </w:r>
      <w:r>
        <w:rPr>
          <w:w w:val="105"/>
          <w:sz w:val="13"/>
        </w:rPr>
        <w:t>eg,</w:t>
      </w:r>
      <w:r>
        <w:rPr>
          <w:spacing w:val="5"/>
          <w:w w:val="105"/>
          <w:sz w:val="13"/>
        </w:rPr>
        <w:t> </w:t>
      </w:r>
      <w:r>
        <w:rPr>
          <w:i/>
          <w:w w:val="105"/>
          <w:sz w:val="13"/>
        </w:rPr>
        <w:t>Hiss</w:t>
      </w:r>
      <w:r>
        <w:rPr>
          <w:i/>
          <w:spacing w:val="5"/>
          <w:w w:val="105"/>
          <w:sz w:val="13"/>
        </w:rPr>
        <w:t> </w:t>
      </w:r>
      <w:r>
        <w:rPr>
          <w:i/>
          <w:w w:val="105"/>
          <w:sz w:val="13"/>
        </w:rPr>
        <w:t>v</w:t>
      </w:r>
      <w:r>
        <w:rPr>
          <w:i/>
          <w:spacing w:val="5"/>
          <w:w w:val="105"/>
          <w:sz w:val="13"/>
        </w:rPr>
        <w:t> </w:t>
      </w:r>
      <w:r>
        <w:rPr>
          <w:i/>
          <w:w w:val="105"/>
          <w:sz w:val="13"/>
        </w:rPr>
        <w:t>Galea</w:t>
      </w:r>
      <w:r>
        <w:rPr>
          <w:i/>
          <w:spacing w:val="5"/>
          <w:w w:val="105"/>
          <w:sz w:val="13"/>
        </w:rPr>
        <w:t> </w:t>
      </w:r>
      <w:r>
        <w:rPr>
          <w:w w:val="105"/>
          <w:sz w:val="13"/>
        </w:rPr>
        <w:t>[2012]</w:t>
      </w:r>
      <w:r>
        <w:rPr>
          <w:spacing w:val="4"/>
          <w:w w:val="105"/>
          <w:sz w:val="13"/>
        </w:rPr>
        <w:t> </w:t>
      </w:r>
      <w:r>
        <w:rPr>
          <w:w w:val="105"/>
          <w:sz w:val="13"/>
        </w:rPr>
        <w:t>VCC</w:t>
      </w:r>
      <w:r>
        <w:rPr>
          <w:spacing w:val="5"/>
          <w:w w:val="105"/>
          <w:sz w:val="13"/>
        </w:rPr>
        <w:t> </w:t>
      </w:r>
      <w:r>
        <w:rPr>
          <w:spacing w:val="-3"/>
          <w:w w:val="105"/>
          <w:sz w:val="13"/>
        </w:rPr>
        <w:t>710</w:t>
      </w:r>
      <w:r>
        <w:rPr>
          <w:spacing w:val="5"/>
          <w:w w:val="105"/>
          <w:sz w:val="13"/>
        </w:rPr>
        <w:t> </w:t>
      </w:r>
      <w:r>
        <w:rPr>
          <w:w w:val="105"/>
          <w:sz w:val="13"/>
        </w:rPr>
        <w:t>[1];</w:t>
      </w:r>
      <w:r>
        <w:rPr>
          <w:spacing w:val="5"/>
          <w:w w:val="105"/>
          <w:sz w:val="13"/>
        </w:rPr>
        <w:t> </w:t>
      </w:r>
      <w:r>
        <w:rPr>
          <w:i/>
          <w:w w:val="105"/>
          <w:sz w:val="13"/>
        </w:rPr>
        <w:t>Marshall</w:t>
      </w:r>
      <w:r>
        <w:rPr>
          <w:i/>
          <w:spacing w:val="5"/>
          <w:w w:val="105"/>
          <w:sz w:val="13"/>
        </w:rPr>
        <w:t> </w:t>
      </w:r>
      <w:r>
        <w:rPr>
          <w:i/>
          <w:w w:val="105"/>
          <w:sz w:val="13"/>
        </w:rPr>
        <w:t>v</w:t>
      </w:r>
      <w:r>
        <w:rPr>
          <w:i/>
          <w:spacing w:val="4"/>
          <w:w w:val="105"/>
          <w:sz w:val="13"/>
        </w:rPr>
        <w:t> </w:t>
      </w:r>
      <w:r>
        <w:rPr>
          <w:i/>
          <w:w w:val="105"/>
          <w:sz w:val="13"/>
        </w:rPr>
        <w:t>Berndt</w:t>
      </w:r>
      <w:r>
        <w:rPr>
          <w:i/>
          <w:spacing w:val="5"/>
          <w:w w:val="105"/>
          <w:sz w:val="13"/>
        </w:rPr>
        <w:t> </w:t>
      </w:r>
      <w:r>
        <w:rPr>
          <w:spacing w:val="-3"/>
          <w:w w:val="105"/>
          <w:sz w:val="13"/>
        </w:rPr>
        <w:t>[2011]</w:t>
      </w:r>
      <w:r>
        <w:rPr>
          <w:spacing w:val="5"/>
          <w:w w:val="105"/>
          <w:sz w:val="13"/>
        </w:rPr>
        <w:t> </w:t>
      </w:r>
      <w:r>
        <w:rPr>
          <w:w w:val="105"/>
          <w:sz w:val="13"/>
        </w:rPr>
        <w:t>VCC</w:t>
      </w:r>
      <w:r>
        <w:rPr>
          <w:spacing w:val="5"/>
          <w:w w:val="105"/>
          <w:sz w:val="13"/>
        </w:rPr>
        <w:t> </w:t>
      </w:r>
      <w:r>
        <w:rPr>
          <w:spacing w:val="2"/>
          <w:w w:val="105"/>
          <w:sz w:val="13"/>
        </w:rPr>
        <w:t>384</w:t>
      </w:r>
      <w:r>
        <w:rPr>
          <w:spacing w:val="5"/>
          <w:w w:val="105"/>
          <w:sz w:val="13"/>
        </w:rPr>
        <w:t> </w:t>
      </w:r>
      <w:r>
        <w:rPr>
          <w:spacing w:val="2"/>
          <w:w w:val="105"/>
          <w:sz w:val="13"/>
        </w:rPr>
        <w:t>[14(c)].</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5"/>
          <w:w w:val="105"/>
          <w:sz w:val="13"/>
        </w:rPr>
        <w:t> </w:t>
      </w:r>
      <w:r>
        <w:rPr>
          <w:w w:val="105"/>
          <w:sz w:val="13"/>
        </w:rPr>
        <w:t>generally</w:t>
      </w:r>
      <w:r>
        <w:rPr>
          <w:spacing w:val="6"/>
          <w:w w:val="105"/>
          <w:sz w:val="13"/>
        </w:rPr>
        <w:t> </w:t>
      </w:r>
      <w:r>
        <w:rPr>
          <w:w w:val="105"/>
          <w:sz w:val="13"/>
        </w:rPr>
        <w:t>Dispute</w:t>
      </w:r>
      <w:r>
        <w:rPr>
          <w:spacing w:val="6"/>
          <w:w w:val="105"/>
          <w:sz w:val="13"/>
        </w:rPr>
        <w:t> </w:t>
      </w:r>
      <w:r>
        <w:rPr>
          <w:w w:val="105"/>
          <w:sz w:val="13"/>
        </w:rPr>
        <w:t>Settlement</w:t>
      </w:r>
      <w:r>
        <w:rPr>
          <w:spacing w:val="6"/>
          <w:w w:val="105"/>
          <w:sz w:val="13"/>
        </w:rPr>
        <w:t> </w:t>
      </w:r>
      <w:r>
        <w:rPr>
          <w:w w:val="105"/>
          <w:sz w:val="13"/>
        </w:rPr>
        <w:t>Centre</w:t>
      </w:r>
      <w:r>
        <w:rPr>
          <w:spacing w:val="5"/>
          <w:w w:val="105"/>
          <w:sz w:val="13"/>
        </w:rPr>
        <w:t> </w:t>
      </w:r>
      <w:r>
        <w:rPr>
          <w:w w:val="105"/>
          <w:sz w:val="13"/>
        </w:rPr>
        <w:t>of</w:t>
      </w:r>
      <w:r>
        <w:rPr>
          <w:spacing w:val="6"/>
          <w:w w:val="105"/>
          <w:sz w:val="13"/>
        </w:rPr>
        <w:t> </w:t>
      </w:r>
      <w:r>
        <w:rPr>
          <w:w w:val="105"/>
          <w:sz w:val="13"/>
        </w:rPr>
        <w:t>Victoria,</w:t>
      </w:r>
      <w:r>
        <w:rPr>
          <w:spacing w:val="6"/>
          <w:w w:val="105"/>
          <w:sz w:val="13"/>
        </w:rPr>
        <w:t> </w:t>
      </w:r>
      <w:r>
        <w:rPr>
          <w:i/>
          <w:w w:val="105"/>
          <w:sz w:val="13"/>
        </w:rPr>
        <w:t>About</w:t>
      </w:r>
      <w:r>
        <w:rPr>
          <w:i/>
          <w:spacing w:val="6"/>
          <w:w w:val="105"/>
          <w:sz w:val="13"/>
        </w:rPr>
        <w:t> </w:t>
      </w:r>
      <w:r>
        <w:rPr>
          <w:i/>
          <w:w w:val="105"/>
          <w:sz w:val="13"/>
        </w:rPr>
        <w:t>Us</w:t>
      </w:r>
      <w:r>
        <w:rPr>
          <w:i/>
          <w:spacing w:val="5"/>
          <w:w w:val="105"/>
          <w:sz w:val="13"/>
        </w:rPr>
        <w:t> </w:t>
      </w:r>
      <w:r>
        <w:rPr>
          <w:w w:val="105"/>
          <w:sz w:val="13"/>
        </w:rPr>
        <w:t>(Web</w:t>
      </w:r>
      <w:r>
        <w:rPr>
          <w:spacing w:val="6"/>
          <w:w w:val="105"/>
          <w:sz w:val="13"/>
        </w:rPr>
        <w:t> </w:t>
      </w:r>
      <w:r>
        <w:rPr>
          <w:w w:val="105"/>
          <w:sz w:val="13"/>
        </w:rPr>
        <w:t>Page,</w:t>
      </w:r>
      <w:r>
        <w:rPr>
          <w:spacing w:val="6"/>
          <w:w w:val="105"/>
          <w:sz w:val="13"/>
        </w:rPr>
        <w:t> </w:t>
      </w:r>
      <w:r>
        <w:rPr>
          <w:w w:val="105"/>
          <w:sz w:val="13"/>
        </w:rPr>
        <w:t>4</w:t>
      </w:r>
      <w:r>
        <w:rPr>
          <w:spacing w:val="6"/>
          <w:w w:val="105"/>
          <w:sz w:val="13"/>
        </w:rPr>
        <w:t> </w:t>
      </w:r>
      <w:r>
        <w:rPr>
          <w:w w:val="105"/>
          <w:sz w:val="13"/>
        </w:rPr>
        <w:t>January</w:t>
      </w:r>
      <w:r>
        <w:rPr>
          <w:spacing w:val="5"/>
          <w:w w:val="105"/>
          <w:sz w:val="13"/>
        </w:rPr>
        <w:t> </w:t>
      </w:r>
      <w:r>
        <w:rPr>
          <w:w w:val="105"/>
          <w:sz w:val="13"/>
        </w:rPr>
        <w:t>2019)</w:t>
      </w:r>
      <w:r>
        <w:rPr>
          <w:spacing w:val="6"/>
          <w:w w:val="105"/>
          <w:sz w:val="13"/>
        </w:rPr>
        <w:t> </w:t>
      </w:r>
      <w:r>
        <w:rPr>
          <w:w w:val="105"/>
          <w:sz w:val="13"/>
        </w:rPr>
        <w:t>&lt;https://</w:t>
      </w:r>
      <w:hyperlink r:id="rId34">
        <w:r>
          <w:rPr>
            <w:w w:val="105"/>
            <w:sz w:val="13"/>
          </w:rPr>
          <w:t>www.disputes.vic.gov.au/about-us</w:t>
        </w:r>
      </w:hyperlink>
      <w:r>
        <w:rPr>
          <w:w w:val="105"/>
          <w:sz w:val="13"/>
        </w:rPr>
        <w:t>&gt;.</w:t>
      </w:r>
    </w:p>
    <w:p>
      <w:pPr>
        <w:pStyle w:val="ListParagraph"/>
        <w:numPr>
          <w:ilvl w:val="0"/>
          <w:numId w:val="18"/>
        </w:numPr>
        <w:tabs>
          <w:tab w:pos="2381" w:val="left" w:leader="none"/>
          <w:tab w:pos="2382" w:val="left" w:leader="none"/>
        </w:tabs>
        <w:spacing w:line="240" w:lineRule="auto" w:before="2" w:after="0"/>
        <w:ind w:left="2381" w:right="1603" w:hanging="794"/>
        <w:jc w:val="left"/>
        <w:rPr>
          <w:sz w:val="13"/>
        </w:rPr>
      </w:pPr>
      <w:r>
        <w:rPr>
          <w:w w:val="105"/>
          <w:sz w:val="13"/>
        </w:rPr>
        <w:t>Cases are assigned one main issue </w:t>
      </w:r>
      <w:r>
        <w:rPr>
          <w:spacing w:val="2"/>
          <w:w w:val="105"/>
          <w:sz w:val="13"/>
        </w:rPr>
        <w:t>type </w:t>
      </w:r>
      <w:r>
        <w:rPr>
          <w:w w:val="105"/>
          <w:sz w:val="13"/>
        </w:rPr>
        <w:t>upon intake with DSCV. Many enquiries involve multiple issues: these statistics reflect enquiries that were</w:t>
      </w:r>
      <w:r>
        <w:rPr>
          <w:spacing w:val="4"/>
          <w:w w:val="105"/>
          <w:sz w:val="13"/>
        </w:rPr>
        <w:t> </w:t>
      </w:r>
      <w:r>
        <w:rPr>
          <w:w w:val="105"/>
          <w:sz w:val="13"/>
        </w:rPr>
        <w:t>categorised</w:t>
      </w:r>
      <w:r>
        <w:rPr>
          <w:spacing w:val="4"/>
          <w:w w:val="105"/>
          <w:sz w:val="13"/>
        </w:rPr>
        <w:t> </w:t>
      </w:r>
      <w:r>
        <w:rPr>
          <w:w w:val="105"/>
          <w:sz w:val="13"/>
        </w:rPr>
        <w:t>on</w:t>
      </w:r>
      <w:r>
        <w:rPr>
          <w:spacing w:val="5"/>
          <w:w w:val="105"/>
          <w:sz w:val="13"/>
        </w:rPr>
        <w:t> </w:t>
      </w:r>
      <w:r>
        <w:rPr>
          <w:w w:val="105"/>
          <w:sz w:val="13"/>
        </w:rPr>
        <w:t>intake</w:t>
      </w:r>
      <w:r>
        <w:rPr>
          <w:spacing w:val="4"/>
          <w:w w:val="105"/>
          <w:sz w:val="13"/>
        </w:rPr>
        <w:t> </w:t>
      </w:r>
      <w:r>
        <w:rPr>
          <w:w w:val="105"/>
          <w:sz w:val="13"/>
        </w:rPr>
        <w:t>as</w:t>
      </w:r>
      <w:r>
        <w:rPr>
          <w:spacing w:val="4"/>
          <w:w w:val="105"/>
          <w:sz w:val="13"/>
        </w:rPr>
        <w:t> </w:t>
      </w:r>
      <w:r>
        <w:rPr>
          <w:w w:val="105"/>
          <w:sz w:val="13"/>
        </w:rPr>
        <w:t>relating</w:t>
      </w:r>
      <w:r>
        <w:rPr>
          <w:spacing w:val="5"/>
          <w:w w:val="105"/>
          <w:sz w:val="13"/>
        </w:rPr>
        <w:t> </w:t>
      </w:r>
      <w:r>
        <w:rPr>
          <w:w w:val="105"/>
          <w:sz w:val="13"/>
        </w:rPr>
        <w:t>to</w:t>
      </w:r>
      <w:r>
        <w:rPr>
          <w:spacing w:val="4"/>
          <w:w w:val="105"/>
          <w:sz w:val="13"/>
        </w:rPr>
        <w:t> </w:t>
      </w:r>
      <w:r>
        <w:rPr>
          <w:w w:val="105"/>
          <w:sz w:val="13"/>
        </w:rPr>
        <w:t>‘trees’,</w:t>
      </w:r>
      <w:r>
        <w:rPr>
          <w:spacing w:val="4"/>
          <w:w w:val="105"/>
          <w:sz w:val="13"/>
        </w:rPr>
        <w:t> </w:t>
      </w:r>
      <w:r>
        <w:rPr>
          <w:w w:val="105"/>
          <w:sz w:val="13"/>
        </w:rPr>
        <w:t>‘shrubs’</w:t>
      </w:r>
      <w:r>
        <w:rPr>
          <w:spacing w:val="4"/>
          <w:w w:val="105"/>
          <w:sz w:val="13"/>
        </w:rPr>
        <w:t> </w:t>
      </w:r>
      <w:r>
        <w:rPr>
          <w:w w:val="105"/>
          <w:sz w:val="13"/>
        </w:rPr>
        <w:t>or</w:t>
      </w:r>
      <w:r>
        <w:rPr>
          <w:spacing w:val="5"/>
          <w:w w:val="105"/>
          <w:sz w:val="13"/>
        </w:rPr>
        <w:t> </w:t>
      </w:r>
      <w:r>
        <w:rPr>
          <w:w w:val="105"/>
          <w:sz w:val="13"/>
        </w:rPr>
        <w:t>‘creepers’.</w:t>
      </w:r>
    </w:p>
    <w:p>
      <w:pPr>
        <w:pStyle w:val="ListParagraph"/>
        <w:numPr>
          <w:ilvl w:val="0"/>
          <w:numId w:val="18"/>
        </w:numPr>
        <w:tabs>
          <w:tab w:pos="2381" w:val="left" w:leader="none"/>
          <w:tab w:pos="2382" w:val="left" w:leader="none"/>
        </w:tabs>
        <w:spacing w:line="240" w:lineRule="auto" w:before="2" w:after="0"/>
        <w:ind w:left="2381" w:right="0" w:hanging="794"/>
        <w:jc w:val="left"/>
        <w:rPr>
          <w:sz w:val="13"/>
        </w:rPr>
      </w:pPr>
      <w:r>
        <w:rPr>
          <w:w w:val="105"/>
          <w:sz w:val="13"/>
        </w:rPr>
        <w:t>Information</w:t>
      </w:r>
      <w:r>
        <w:rPr>
          <w:spacing w:val="5"/>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DSCV</w:t>
      </w:r>
      <w:r>
        <w:rPr>
          <w:spacing w:val="5"/>
          <w:w w:val="105"/>
          <w:sz w:val="13"/>
        </w:rPr>
        <w:t> </w:t>
      </w:r>
      <w:r>
        <w:rPr>
          <w:w w:val="105"/>
          <w:sz w:val="13"/>
        </w:rPr>
        <w:t>as</w:t>
      </w:r>
      <w:r>
        <w:rPr>
          <w:spacing w:val="5"/>
          <w:w w:val="105"/>
          <w:sz w:val="13"/>
        </w:rPr>
        <w:t> </w:t>
      </w:r>
      <w:r>
        <w:rPr>
          <w:w w:val="105"/>
          <w:sz w:val="13"/>
        </w:rPr>
        <w:t>part</w:t>
      </w:r>
      <w:r>
        <w:rPr>
          <w:spacing w:val="5"/>
          <w:w w:val="105"/>
          <w:sz w:val="13"/>
        </w:rPr>
        <w:t> </w:t>
      </w:r>
      <w:r>
        <w:rPr>
          <w:w w:val="105"/>
          <w:sz w:val="13"/>
        </w:rPr>
        <w:t>of</w:t>
      </w:r>
      <w:r>
        <w:rPr>
          <w:spacing w:val="5"/>
          <w:w w:val="105"/>
          <w:sz w:val="13"/>
        </w:rPr>
        <w:t> </w:t>
      </w:r>
      <w:r>
        <w:rPr>
          <w:w w:val="105"/>
          <w:sz w:val="13"/>
        </w:rPr>
        <w:t>a</w:t>
      </w:r>
      <w:r>
        <w:rPr>
          <w:spacing w:val="5"/>
          <w:w w:val="105"/>
          <w:sz w:val="13"/>
        </w:rPr>
        <w:t> </w:t>
      </w:r>
      <w:r>
        <w:rPr>
          <w:w w:val="105"/>
          <w:sz w:val="13"/>
        </w:rPr>
        <w:t>data</w:t>
      </w:r>
      <w:r>
        <w:rPr>
          <w:spacing w:val="5"/>
          <w:w w:val="105"/>
          <w:sz w:val="13"/>
        </w:rPr>
        <w:t> </w:t>
      </w:r>
      <w:r>
        <w:rPr>
          <w:w w:val="105"/>
          <w:sz w:val="13"/>
        </w:rPr>
        <w:t>request</w:t>
      </w:r>
      <w:r>
        <w:rPr>
          <w:spacing w:val="5"/>
          <w:w w:val="105"/>
          <w:sz w:val="13"/>
        </w:rPr>
        <w:t> </w:t>
      </w:r>
      <w:r>
        <w:rPr>
          <w:w w:val="105"/>
          <w:sz w:val="13"/>
        </w:rPr>
        <w:t>from</w:t>
      </w:r>
      <w:r>
        <w:rPr>
          <w:spacing w:val="5"/>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August</w:t>
      </w:r>
      <w:r>
        <w:rPr>
          <w:spacing w:val="6"/>
          <w:w w:val="105"/>
          <w:sz w:val="13"/>
        </w:rPr>
        <w:t> </w:t>
      </w:r>
      <w:r>
        <w:rPr>
          <w:spacing w:val="-5"/>
          <w:w w:val="105"/>
          <w:sz w:val="13"/>
        </w:rPr>
        <w:t>2017.</w:t>
      </w:r>
    </w:p>
    <w:p>
      <w:pPr>
        <w:pStyle w:val="ListParagraph"/>
        <w:numPr>
          <w:ilvl w:val="0"/>
          <w:numId w:val="18"/>
        </w:numPr>
        <w:tabs>
          <w:tab w:pos="2381" w:val="left" w:leader="none"/>
          <w:tab w:pos="2382" w:val="left" w:leader="none"/>
        </w:tabs>
        <w:spacing w:line="240" w:lineRule="auto" w:before="2" w:after="0"/>
        <w:ind w:left="2381" w:right="0" w:hanging="793"/>
        <w:jc w:val="left"/>
        <w:rPr>
          <w:sz w:val="13"/>
        </w:rPr>
      </w:pPr>
      <w:r>
        <w:rPr>
          <w:sz w:val="13"/>
        </w:rPr>
        <w:t>Ibid.</w:t>
      </w:r>
    </w:p>
    <w:p>
      <w:pPr>
        <w:pStyle w:val="ListParagraph"/>
        <w:numPr>
          <w:ilvl w:val="0"/>
          <w:numId w:val="18"/>
        </w:numPr>
        <w:tabs>
          <w:tab w:pos="2381" w:val="left" w:leader="none"/>
          <w:tab w:pos="2382" w:val="left" w:leader="none"/>
        </w:tabs>
        <w:spacing w:line="240" w:lineRule="auto" w:before="1" w:after="0"/>
        <w:ind w:left="2381" w:right="0" w:hanging="793"/>
        <w:jc w:val="left"/>
        <w:rPr>
          <w:sz w:val="13"/>
        </w:rPr>
      </w:pPr>
      <w:r>
        <w:rPr>
          <w:sz w:val="13"/>
        </w:rPr>
        <w:t>Ibid.</w:t>
      </w:r>
    </w:p>
    <w:p>
      <w:pPr>
        <w:pStyle w:val="ListParagraph"/>
        <w:numPr>
          <w:ilvl w:val="0"/>
          <w:numId w:val="18"/>
        </w:numPr>
        <w:tabs>
          <w:tab w:pos="2381" w:val="left" w:leader="none"/>
          <w:tab w:pos="2382" w:val="left" w:leader="none"/>
        </w:tabs>
        <w:spacing w:line="240" w:lineRule="auto" w:before="1" w:after="0"/>
        <w:ind w:left="2381" w:right="1741" w:hanging="793"/>
        <w:jc w:val="left"/>
        <w:rPr>
          <w:sz w:val="13"/>
        </w:rPr>
      </w:pPr>
      <w:r>
        <w:rPr/>
        <w:pict>
          <v:shape style="position:absolute;margin-left:552.254517pt;margin-top:2.982963pt;width:6.7pt;height:14.25pt;mso-position-horizontal-relative:page;mso-position-vertical-relative:paragraph;z-index:1912" type="#_x0000_t202" filled="false" stroked="false">
            <v:textbox inset="0,0,0,0">
              <w:txbxContent>
                <w:p>
                  <w:pPr>
                    <w:spacing w:line="284" w:lineRule="exact" w:before="0"/>
                    <w:ind w:left="0" w:right="0" w:firstLine="0"/>
                    <w:jc w:val="left"/>
                    <w:rPr>
                      <w:b/>
                      <w:sz w:val="24"/>
                    </w:rPr>
                  </w:pPr>
                  <w:r>
                    <w:rPr>
                      <w:b/>
                      <w:color w:val="658464"/>
                      <w:w w:val="109"/>
                      <w:sz w:val="24"/>
                    </w:rPr>
                    <w:t>9</w:t>
                  </w:r>
                </w:p>
              </w:txbxContent>
            </v:textbox>
            <w10:wrap type="none"/>
          </v:shape>
        </w:pict>
      </w:r>
      <w:r>
        <w:rPr>
          <w:w w:val="105"/>
          <w:sz w:val="13"/>
        </w:rPr>
        <w:t>Information provided by DSCV as part of a data request from the Commission, August </w:t>
      </w:r>
      <w:r>
        <w:rPr>
          <w:spacing w:val="-3"/>
          <w:w w:val="105"/>
          <w:sz w:val="13"/>
        </w:rPr>
        <w:t>2017 </w:t>
      </w:r>
      <w:r>
        <w:rPr>
          <w:w w:val="105"/>
          <w:sz w:val="13"/>
        </w:rPr>
        <w:t>and November 2018 and clarification of data provided in May</w:t>
      </w:r>
      <w:r>
        <w:rPr>
          <w:spacing w:val="13"/>
          <w:w w:val="105"/>
          <w:sz w:val="13"/>
        </w:rPr>
        <w:t> </w:t>
      </w:r>
      <w:r>
        <w:rPr>
          <w:w w:val="105"/>
          <w:sz w:val="13"/>
        </w:rPr>
        <w:t>2019.</w:t>
      </w:r>
    </w:p>
    <w:p>
      <w:pPr>
        <w:spacing w:after="0" w:line="240" w:lineRule="auto"/>
        <w:jc w:val="left"/>
        <w:rPr>
          <w:sz w:val="13"/>
        </w:rPr>
        <w:sectPr>
          <w:headerReference w:type="default" r:id="rId30"/>
          <w:headerReference w:type="even" r:id="rId31"/>
          <w:pgSz w:w="11910" w:h="16840"/>
          <w:pgMar w:header="808" w:footer="0" w:top="1360" w:bottom="280" w:left="0" w:right="0"/>
        </w:sectPr>
      </w:pPr>
    </w:p>
    <w:p>
      <w:pPr>
        <w:pStyle w:val="BodyText"/>
        <w:spacing w:before="9"/>
        <w:rPr>
          <w:sz w:val="22"/>
        </w:rPr>
      </w:pPr>
    </w:p>
    <w:p>
      <w:pPr>
        <w:pStyle w:val="ListParagraph"/>
        <w:numPr>
          <w:ilvl w:val="1"/>
          <w:numId w:val="16"/>
        </w:numPr>
        <w:tabs>
          <w:tab w:pos="2381" w:val="left" w:leader="none"/>
          <w:tab w:pos="2382" w:val="left" w:leader="none"/>
        </w:tabs>
        <w:spacing w:line="242" w:lineRule="auto" w:before="92" w:after="0"/>
        <w:ind w:left="2381" w:right="1710" w:hanging="794"/>
        <w:jc w:val="left"/>
        <w:rPr>
          <w:sz w:val="21"/>
        </w:rPr>
      </w:pPr>
      <w:r>
        <w:rPr>
          <w:sz w:val="21"/>
        </w:rPr>
        <w:t>DSCV reported anecdotally </w:t>
      </w:r>
      <w:r>
        <w:rPr>
          <w:spacing w:val="-3"/>
          <w:sz w:val="21"/>
        </w:rPr>
        <w:t>that </w:t>
      </w:r>
      <w:r>
        <w:rPr>
          <w:sz w:val="21"/>
        </w:rPr>
        <w:t>tree-related </w:t>
      </w:r>
      <w:r>
        <w:rPr>
          <w:spacing w:val="-3"/>
          <w:sz w:val="21"/>
        </w:rPr>
        <w:t>enquiries  </w:t>
      </w:r>
      <w:r>
        <w:rPr>
          <w:sz w:val="21"/>
        </w:rPr>
        <w:t>most  </w:t>
      </w:r>
      <w:r>
        <w:rPr>
          <w:spacing w:val="-2"/>
          <w:sz w:val="21"/>
        </w:rPr>
        <w:t>commonly  </w:t>
      </w:r>
      <w:r>
        <w:rPr>
          <w:spacing w:val="-3"/>
          <w:sz w:val="21"/>
        </w:rPr>
        <w:t>involve overhanging branches </w:t>
      </w:r>
      <w:r>
        <w:rPr>
          <w:sz w:val="21"/>
        </w:rPr>
        <w:t>and </w:t>
      </w:r>
      <w:r>
        <w:rPr>
          <w:spacing w:val="-3"/>
          <w:sz w:val="21"/>
        </w:rPr>
        <w:t>encroaching  </w:t>
      </w:r>
      <w:r>
        <w:rPr>
          <w:sz w:val="21"/>
        </w:rPr>
        <w:t>tree roots </w:t>
      </w:r>
      <w:r>
        <w:rPr>
          <w:spacing w:val="-3"/>
          <w:sz w:val="21"/>
        </w:rPr>
        <w:t>that</w:t>
      </w:r>
      <w:r>
        <w:rPr>
          <w:spacing w:val="41"/>
          <w:sz w:val="21"/>
        </w:rPr>
        <w:t> </w:t>
      </w:r>
      <w:r>
        <w:rPr>
          <w:sz w:val="21"/>
        </w:rPr>
        <w:t>cause damage </w:t>
      </w:r>
      <w:r>
        <w:rPr>
          <w:spacing w:val="-3"/>
          <w:sz w:val="21"/>
        </w:rPr>
        <w:t>to  </w:t>
      </w:r>
      <w:r>
        <w:rPr>
          <w:sz w:val="21"/>
        </w:rPr>
        <w:t>property as </w:t>
      </w:r>
      <w:r>
        <w:rPr>
          <w:spacing w:val="-3"/>
          <w:sz w:val="21"/>
        </w:rPr>
        <w:t>well  </w:t>
      </w:r>
      <w:r>
        <w:rPr>
          <w:sz w:val="21"/>
        </w:rPr>
        <w:t>as </w:t>
      </w:r>
      <w:r>
        <w:rPr>
          <w:spacing w:val="-3"/>
          <w:sz w:val="21"/>
        </w:rPr>
        <w:t>hedging that might </w:t>
      </w:r>
      <w:r>
        <w:rPr>
          <w:sz w:val="21"/>
        </w:rPr>
        <w:t>obstruct the owners’ </w:t>
      </w:r>
      <w:r>
        <w:rPr>
          <w:spacing w:val="-4"/>
          <w:sz w:val="21"/>
        </w:rPr>
        <w:t>view. </w:t>
      </w:r>
      <w:r>
        <w:rPr>
          <w:sz w:val="21"/>
        </w:rPr>
        <w:t>A further </w:t>
      </w:r>
      <w:r>
        <w:rPr>
          <w:spacing w:val="-3"/>
          <w:sz w:val="21"/>
        </w:rPr>
        <w:t>quantitative breakdown </w:t>
      </w:r>
      <w:r>
        <w:rPr>
          <w:sz w:val="21"/>
        </w:rPr>
        <w:t>of specific tree-related issues affecting neighbours who  contact  DSCV  is  </w:t>
      </w:r>
      <w:r>
        <w:rPr>
          <w:spacing w:val="-2"/>
          <w:sz w:val="21"/>
        </w:rPr>
        <w:t>not  </w:t>
      </w:r>
      <w:r>
        <w:rPr>
          <w:spacing w:val="-3"/>
          <w:sz w:val="21"/>
        </w:rPr>
        <w:t>available.</w:t>
      </w:r>
      <w:r>
        <w:rPr>
          <w:spacing w:val="-3"/>
          <w:position w:val="7"/>
          <w:sz w:val="12"/>
        </w:rPr>
        <w:t>20</w:t>
      </w:r>
      <w:r>
        <w:rPr>
          <w:spacing w:val="-3"/>
          <w:sz w:val="12"/>
        </w:rPr>
        <w:t> </w:t>
      </w:r>
      <w:r>
        <w:rPr>
          <w:sz w:val="21"/>
        </w:rPr>
        <w:t>DSCV data also suggests </w:t>
      </w:r>
      <w:r>
        <w:rPr>
          <w:spacing w:val="-3"/>
          <w:sz w:val="21"/>
        </w:rPr>
        <w:t>that </w:t>
      </w:r>
      <w:r>
        <w:rPr>
          <w:sz w:val="21"/>
        </w:rPr>
        <w:t>it received more </w:t>
      </w:r>
      <w:r>
        <w:rPr>
          <w:spacing w:val="-3"/>
          <w:sz w:val="21"/>
        </w:rPr>
        <w:t>enquiries </w:t>
      </w:r>
      <w:r>
        <w:rPr>
          <w:sz w:val="21"/>
        </w:rPr>
        <w:t>in the </w:t>
      </w:r>
      <w:r>
        <w:rPr>
          <w:spacing w:val="-3"/>
          <w:sz w:val="21"/>
        </w:rPr>
        <w:t>relevant </w:t>
      </w:r>
      <w:r>
        <w:rPr>
          <w:sz w:val="21"/>
        </w:rPr>
        <w:t>period </w:t>
      </w:r>
      <w:r>
        <w:rPr>
          <w:spacing w:val="-3"/>
          <w:sz w:val="21"/>
        </w:rPr>
        <w:t>from </w:t>
      </w:r>
      <w:r>
        <w:rPr>
          <w:sz w:val="21"/>
        </w:rPr>
        <w:t>metropolitan </w:t>
      </w:r>
      <w:r>
        <w:rPr>
          <w:spacing w:val="-3"/>
          <w:sz w:val="21"/>
        </w:rPr>
        <w:t>areas than regional</w:t>
      </w:r>
      <w:r>
        <w:rPr>
          <w:spacing w:val="-2"/>
          <w:sz w:val="21"/>
        </w:rPr>
        <w:t> </w:t>
      </w:r>
      <w:r>
        <w:rPr>
          <w:spacing w:val="-3"/>
          <w:sz w:val="21"/>
        </w:rPr>
        <w:t>areas.</w:t>
      </w:r>
      <w:r>
        <w:rPr>
          <w:spacing w:val="-3"/>
          <w:position w:val="7"/>
          <w:sz w:val="12"/>
        </w:rPr>
        <w:t>21</w:t>
      </w:r>
    </w:p>
    <w:p>
      <w:pPr>
        <w:pStyle w:val="ListParagraph"/>
        <w:numPr>
          <w:ilvl w:val="1"/>
          <w:numId w:val="16"/>
        </w:numPr>
        <w:tabs>
          <w:tab w:pos="2380" w:val="left" w:leader="none"/>
          <w:tab w:pos="2381" w:val="left" w:leader="none"/>
        </w:tabs>
        <w:spacing w:line="242" w:lineRule="auto" w:before="126" w:after="0"/>
        <w:ind w:left="2381" w:right="1755" w:hanging="794"/>
        <w:jc w:val="left"/>
        <w:rPr>
          <w:sz w:val="21"/>
        </w:rPr>
      </w:pPr>
      <w:r>
        <w:rPr>
          <w:spacing w:val="-4"/>
          <w:sz w:val="21"/>
        </w:rPr>
        <w:t>ENSPEC, </w:t>
      </w:r>
      <w:r>
        <w:rPr>
          <w:sz w:val="21"/>
        </w:rPr>
        <w:t>an </w:t>
      </w:r>
      <w:r>
        <w:rPr>
          <w:spacing w:val="-3"/>
          <w:sz w:val="21"/>
        </w:rPr>
        <w:t>arboricultural consulting </w:t>
      </w:r>
      <w:r>
        <w:rPr>
          <w:sz w:val="21"/>
        </w:rPr>
        <w:t>firm, </w:t>
      </w:r>
      <w:r>
        <w:rPr>
          <w:spacing w:val="-3"/>
          <w:sz w:val="21"/>
        </w:rPr>
        <w:t>noted </w:t>
      </w:r>
      <w:r>
        <w:rPr>
          <w:sz w:val="21"/>
        </w:rPr>
        <w:t>some </w:t>
      </w:r>
      <w:r>
        <w:rPr>
          <w:spacing w:val="-3"/>
          <w:sz w:val="21"/>
        </w:rPr>
        <w:t>limitations </w:t>
      </w:r>
      <w:r>
        <w:rPr>
          <w:sz w:val="21"/>
        </w:rPr>
        <w:t>in the data reported in  the </w:t>
      </w:r>
      <w:r>
        <w:rPr>
          <w:spacing w:val="-3"/>
          <w:sz w:val="21"/>
        </w:rPr>
        <w:t>consultation </w:t>
      </w:r>
      <w:r>
        <w:rPr>
          <w:sz w:val="21"/>
        </w:rPr>
        <w:t>paper on the </w:t>
      </w:r>
      <w:r>
        <w:rPr>
          <w:spacing w:val="-3"/>
          <w:sz w:val="21"/>
        </w:rPr>
        <w:t>prevalence </w:t>
      </w:r>
      <w:r>
        <w:rPr>
          <w:sz w:val="21"/>
        </w:rPr>
        <w:t>of tree </w:t>
      </w:r>
      <w:r>
        <w:rPr>
          <w:spacing w:val="-3"/>
          <w:sz w:val="21"/>
        </w:rPr>
        <w:t>disputes </w:t>
      </w:r>
      <w:r>
        <w:rPr>
          <w:sz w:val="21"/>
        </w:rPr>
        <w:t>in the</w:t>
      </w:r>
      <w:r>
        <w:rPr>
          <w:spacing w:val="10"/>
          <w:sz w:val="21"/>
        </w:rPr>
        <w:t> </w:t>
      </w:r>
      <w:r>
        <w:rPr>
          <w:sz w:val="21"/>
        </w:rPr>
        <w:t>community:</w:t>
      </w:r>
    </w:p>
    <w:p>
      <w:pPr>
        <w:spacing w:line="254" w:lineRule="auto" w:before="132"/>
        <w:ind w:left="2834" w:right="1858" w:firstLine="0"/>
        <w:jc w:val="left"/>
        <w:rPr>
          <w:sz w:val="20"/>
        </w:rPr>
      </w:pPr>
      <w:r>
        <w:rPr>
          <w:sz w:val="20"/>
        </w:rPr>
        <w:t>What is not provided in [the DSCV] data is the number of [tree disputes] that were trivial matters, such as </w:t>
      </w:r>
      <w:r>
        <w:rPr>
          <w:spacing w:val="-3"/>
          <w:sz w:val="20"/>
        </w:rPr>
        <w:t>falling  </w:t>
      </w:r>
      <w:r>
        <w:rPr>
          <w:sz w:val="20"/>
        </w:rPr>
        <w:t>leaves. It is reasonable to expect that most trivial complaints  would not go beyond an </w:t>
      </w:r>
      <w:r>
        <w:rPr>
          <w:spacing w:val="-3"/>
          <w:sz w:val="20"/>
        </w:rPr>
        <w:t>initial  enquiry.  </w:t>
      </w:r>
      <w:r>
        <w:rPr>
          <w:sz w:val="20"/>
        </w:rPr>
        <w:t>The DSCV statistics provided suggest that </w:t>
      </w:r>
      <w:r>
        <w:rPr>
          <w:spacing w:val="-2"/>
          <w:sz w:val="20"/>
        </w:rPr>
        <w:t>few        </w:t>
      </w:r>
      <w:r>
        <w:rPr>
          <w:sz w:val="20"/>
        </w:rPr>
        <w:t>of</w:t>
      </w:r>
      <w:r>
        <w:rPr>
          <w:spacing w:val="15"/>
          <w:sz w:val="20"/>
        </w:rPr>
        <w:t> </w:t>
      </w:r>
      <w:r>
        <w:rPr>
          <w:sz w:val="20"/>
        </w:rPr>
        <w:t>these</w:t>
      </w:r>
      <w:r>
        <w:rPr>
          <w:spacing w:val="15"/>
          <w:sz w:val="20"/>
        </w:rPr>
        <w:t> </w:t>
      </w:r>
      <w:r>
        <w:rPr>
          <w:sz w:val="20"/>
        </w:rPr>
        <w:t>may</w:t>
      </w:r>
      <w:r>
        <w:rPr>
          <w:spacing w:val="16"/>
          <w:sz w:val="20"/>
        </w:rPr>
        <w:t> </w:t>
      </w:r>
      <w:r>
        <w:rPr>
          <w:sz w:val="20"/>
        </w:rPr>
        <w:t>actually</w:t>
      </w:r>
      <w:r>
        <w:rPr>
          <w:spacing w:val="15"/>
          <w:sz w:val="20"/>
        </w:rPr>
        <w:t> </w:t>
      </w:r>
      <w:r>
        <w:rPr>
          <w:sz w:val="20"/>
        </w:rPr>
        <w:t>be</w:t>
      </w:r>
      <w:r>
        <w:rPr>
          <w:spacing w:val="15"/>
          <w:sz w:val="20"/>
        </w:rPr>
        <w:t> </w:t>
      </w:r>
      <w:r>
        <w:rPr>
          <w:sz w:val="20"/>
        </w:rPr>
        <w:t>cases</w:t>
      </w:r>
      <w:r>
        <w:rPr>
          <w:spacing w:val="16"/>
          <w:sz w:val="20"/>
        </w:rPr>
        <w:t> </w:t>
      </w:r>
      <w:r>
        <w:rPr>
          <w:sz w:val="20"/>
        </w:rPr>
        <w:t>of</w:t>
      </w:r>
      <w:r>
        <w:rPr>
          <w:spacing w:val="15"/>
          <w:sz w:val="20"/>
        </w:rPr>
        <w:t> </w:t>
      </w:r>
      <w:r>
        <w:rPr>
          <w:sz w:val="20"/>
        </w:rPr>
        <w:t>genuine</w:t>
      </w:r>
      <w:r>
        <w:rPr>
          <w:spacing w:val="16"/>
          <w:sz w:val="20"/>
        </w:rPr>
        <w:t> </w:t>
      </w:r>
      <w:r>
        <w:rPr>
          <w:sz w:val="20"/>
        </w:rPr>
        <w:t>or</w:t>
      </w:r>
      <w:r>
        <w:rPr>
          <w:spacing w:val="15"/>
          <w:sz w:val="20"/>
        </w:rPr>
        <w:t> </w:t>
      </w:r>
      <w:r>
        <w:rPr>
          <w:sz w:val="20"/>
        </w:rPr>
        <w:t>substantial</w:t>
      </w:r>
      <w:r>
        <w:rPr>
          <w:spacing w:val="15"/>
          <w:sz w:val="20"/>
        </w:rPr>
        <w:t> </w:t>
      </w:r>
      <w:r>
        <w:rPr>
          <w:sz w:val="20"/>
        </w:rPr>
        <w:t>harm</w:t>
      </w:r>
      <w:r>
        <w:rPr>
          <w:spacing w:val="16"/>
          <w:sz w:val="20"/>
        </w:rPr>
        <w:t> </w:t>
      </w:r>
      <w:r>
        <w:rPr>
          <w:sz w:val="20"/>
        </w:rPr>
        <w:t>as</w:t>
      </w:r>
      <w:r>
        <w:rPr>
          <w:spacing w:val="15"/>
          <w:sz w:val="20"/>
        </w:rPr>
        <w:t> </w:t>
      </w:r>
      <w:r>
        <w:rPr>
          <w:sz w:val="20"/>
        </w:rPr>
        <w:t>only</w:t>
      </w:r>
      <w:r>
        <w:rPr>
          <w:spacing w:val="16"/>
          <w:sz w:val="20"/>
        </w:rPr>
        <w:t> </w:t>
      </w:r>
      <w:r>
        <w:rPr>
          <w:sz w:val="20"/>
        </w:rPr>
        <w:t>5.3%</w:t>
      </w:r>
      <w:r>
        <w:rPr>
          <w:spacing w:val="15"/>
          <w:sz w:val="20"/>
        </w:rPr>
        <w:t> </w:t>
      </w:r>
      <w:r>
        <w:rPr>
          <w:sz w:val="20"/>
        </w:rPr>
        <w:t>of</w:t>
      </w:r>
      <w:r>
        <w:rPr>
          <w:spacing w:val="15"/>
          <w:sz w:val="20"/>
        </w:rPr>
        <w:t> </w:t>
      </w:r>
      <w:r>
        <w:rPr>
          <w:sz w:val="20"/>
        </w:rPr>
        <w:t>cases</w:t>
      </w:r>
    </w:p>
    <w:p>
      <w:pPr>
        <w:spacing w:line="254" w:lineRule="auto" w:before="5"/>
        <w:ind w:left="2834" w:right="1744" w:firstLine="0"/>
        <w:jc w:val="left"/>
        <w:rPr>
          <w:sz w:val="11"/>
        </w:rPr>
      </w:pPr>
      <w:r>
        <w:rPr>
          <w:w w:val="105"/>
          <w:sz w:val="20"/>
        </w:rPr>
        <w:t>are successfully resolved with DSCV assistance. A better analysis of the available data, or better data, may provide a more </w:t>
      </w:r>
      <w:r>
        <w:rPr>
          <w:spacing w:val="-3"/>
          <w:w w:val="105"/>
          <w:sz w:val="20"/>
        </w:rPr>
        <w:t>accurate </w:t>
      </w:r>
      <w:r>
        <w:rPr>
          <w:w w:val="105"/>
          <w:sz w:val="20"/>
        </w:rPr>
        <w:t>picture of the scope of the problem that actually </w:t>
      </w:r>
      <w:r>
        <w:rPr>
          <w:spacing w:val="-2"/>
          <w:w w:val="105"/>
          <w:sz w:val="20"/>
        </w:rPr>
        <w:t>requires </w:t>
      </w:r>
      <w:r>
        <w:rPr>
          <w:w w:val="105"/>
          <w:sz w:val="20"/>
        </w:rPr>
        <w:t>an </w:t>
      </w:r>
      <w:r>
        <w:rPr>
          <w:spacing w:val="-2"/>
          <w:w w:val="105"/>
          <w:sz w:val="20"/>
        </w:rPr>
        <w:t>avenue </w:t>
      </w:r>
      <w:r>
        <w:rPr>
          <w:w w:val="105"/>
          <w:sz w:val="20"/>
        </w:rPr>
        <w:t>of resolution provided through reform of the </w:t>
      </w:r>
      <w:r>
        <w:rPr>
          <w:spacing w:val="-6"/>
          <w:w w:val="105"/>
          <w:sz w:val="20"/>
        </w:rPr>
        <w:t>law…. </w:t>
      </w:r>
      <w:r>
        <w:rPr>
          <w:w w:val="105"/>
          <w:sz w:val="20"/>
        </w:rPr>
        <w:t>This begs the question of whether there is actually a significant </w:t>
      </w:r>
      <w:r>
        <w:rPr>
          <w:spacing w:val="-3"/>
          <w:w w:val="105"/>
          <w:sz w:val="20"/>
        </w:rPr>
        <w:t>issue, </w:t>
      </w:r>
      <w:r>
        <w:rPr>
          <w:w w:val="105"/>
          <w:sz w:val="20"/>
        </w:rPr>
        <w:t>or just a high level of unreasonable expectation or </w:t>
      </w:r>
      <w:r>
        <w:rPr>
          <w:spacing w:val="-3"/>
          <w:w w:val="105"/>
          <w:sz w:val="20"/>
        </w:rPr>
        <w:t>confusion </w:t>
      </w:r>
      <w:r>
        <w:rPr>
          <w:w w:val="105"/>
          <w:sz w:val="20"/>
        </w:rPr>
        <w:t>in the </w:t>
      </w:r>
      <w:r>
        <w:rPr>
          <w:spacing w:val="-3"/>
          <w:w w:val="105"/>
          <w:sz w:val="20"/>
        </w:rPr>
        <w:t>community?</w:t>
      </w:r>
      <w:r>
        <w:rPr>
          <w:spacing w:val="-3"/>
          <w:w w:val="105"/>
          <w:position w:val="7"/>
          <w:sz w:val="11"/>
        </w:rPr>
        <w:t>22</w:t>
      </w:r>
    </w:p>
    <w:p>
      <w:pPr>
        <w:pStyle w:val="ListParagraph"/>
        <w:numPr>
          <w:ilvl w:val="1"/>
          <w:numId w:val="16"/>
        </w:numPr>
        <w:tabs>
          <w:tab w:pos="2381" w:val="left" w:leader="none"/>
          <w:tab w:pos="2382" w:val="left" w:leader="none"/>
        </w:tabs>
        <w:spacing w:line="242" w:lineRule="auto" w:before="116" w:after="0"/>
        <w:ind w:left="2381" w:right="1781" w:hanging="794"/>
        <w:jc w:val="left"/>
        <w:rPr>
          <w:sz w:val="21"/>
        </w:rPr>
      </w:pPr>
      <w:r>
        <w:rPr>
          <w:sz w:val="21"/>
        </w:rPr>
        <w:t>Further </w:t>
      </w:r>
      <w:r>
        <w:rPr>
          <w:spacing w:val="-3"/>
          <w:sz w:val="21"/>
        </w:rPr>
        <w:t>consideration </w:t>
      </w:r>
      <w:r>
        <w:rPr>
          <w:sz w:val="21"/>
        </w:rPr>
        <w:t>of the data </w:t>
      </w:r>
      <w:r>
        <w:rPr>
          <w:spacing w:val="-3"/>
          <w:sz w:val="21"/>
        </w:rPr>
        <w:t>from </w:t>
      </w:r>
      <w:r>
        <w:rPr>
          <w:sz w:val="21"/>
        </w:rPr>
        <w:t>DSCV suggests </w:t>
      </w:r>
      <w:r>
        <w:rPr>
          <w:spacing w:val="-3"/>
          <w:sz w:val="21"/>
        </w:rPr>
        <w:t>that </w:t>
      </w:r>
      <w:r>
        <w:rPr>
          <w:sz w:val="21"/>
        </w:rPr>
        <w:t>the number of matters </w:t>
      </w:r>
      <w:r>
        <w:rPr>
          <w:spacing w:val="-3"/>
          <w:sz w:val="21"/>
        </w:rPr>
        <w:t>that </w:t>
      </w:r>
      <w:r>
        <w:rPr>
          <w:sz w:val="21"/>
        </w:rPr>
        <w:t>progressed </w:t>
      </w:r>
      <w:r>
        <w:rPr>
          <w:spacing w:val="-3"/>
          <w:sz w:val="21"/>
        </w:rPr>
        <w:t>to </w:t>
      </w:r>
      <w:r>
        <w:rPr>
          <w:sz w:val="21"/>
        </w:rPr>
        <w:t>mediation or </w:t>
      </w:r>
      <w:r>
        <w:rPr>
          <w:spacing w:val="-3"/>
          <w:sz w:val="21"/>
        </w:rPr>
        <w:t>reached </w:t>
      </w:r>
      <w:r>
        <w:rPr>
          <w:sz w:val="21"/>
        </w:rPr>
        <w:t>assisted settlement </w:t>
      </w:r>
      <w:r>
        <w:rPr>
          <w:spacing w:val="-3"/>
          <w:sz w:val="21"/>
        </w:rPr>
        <w:t>from  </w:t>
      </w:r>
      <w:r>
        <w:rPr>
          <w:sz w:val="21"/>
        </w:rPr>
        <w:t>December  </w:t>
      </w:r>
      <w:r>
        <w:rPr>
          <w:spacing w:val="-10"/>
          <w:sz w:val="21"/>
        </w:rPr>
        <w:t>2011  </w:t>
      </w:r>
      <w:r>
        <w:rPr>
          <w:spacing w:val="-3"/>
          <w:sz w:val="21"/>
        </w:rPr>
        <w:t>to  </w:t>
      </w:r>
      <w:r>
        <w:rPr>
          <w:spacing w:val="-2"/>
          <w:sz w:val="21"/>
        </w:rPr>
        <w:t>May </w:t>
      </w:r>
      <w:r>
        <w:rPr>
          <w:spacing w:val="-9"/>
          <w:sz w:val="21"/>
        </w:rPr>
        <w:t>2017 </w:t>
      </w:r>
      <w:r>
        <w:rPr>
          <w:sz w:val="21"/>
        </w:rPr>
        <w:t>is much </w:t>
      </w:r>
      <w:r>
        <w:rPr>
          <w:spacing w:val="-3"/>
          <w:sz w:val="21"/>
        </w:rPr>
        <w:t>smaller than </w:t>
      </w:r>
      <w:r>
        <w:rPr>
          <w:sz w:val="21"/>
        </w:rPr>
        <w:t>the number of tree </w:t>
      </w:r>
      <w:r>
        <w:rPr>
          <w:spacing w:val="-3"/>
          <w:sz w:val="21"/>
        </w:rPr>
        <w:t>enquiries  </w:t>
      </w:r>
      <w:r>
        <w:rPr>
          <w:sz w:val="21"/>
        </w:rPr>
        <w:t>DSCV </w:t>
      </w:r>
      <w:r>
        <w:rPr>
          <w:spacing w:val="-3"/>
          <w:sz w:val="21"/>
        </w:rPr>
        <w:t>originally</w:t>
      </w:r>
      <w:r>
        <w:rPr>
          <w:spacing w:val="41"/>
          <w:sz w:val="21"/>
        </w:rPr>
        <w:t> </w:t>
      </w:r>
      <w:r>
        <w:rPr>
          <w:spacing w:val="-3"/>
          <w:sz w:val="21"/>
        </w:rPr>
        <w:t>received.  </w:t>
      </w:r>
      <w:r>
        <w:rPr>
          <w:sz w:val="21"/>
        </w:rPr>
        <w:t>Only </w:t>
      </w:r>
      <w:r>
        <w:rPr>
          <w:spacing w:val="-3"/>
          <w:sz w:val="21"/>
        </w:rPr>
        <w:t>5.3% </w:t>
      </w:r>
      <w:r>
        <w:rPr>
          <w:sz w:val="21"/>
        </w:rPr>
        <w:t>of the </w:t>
      </w:r>
      <w:r>
        <w:rPr>
          <w:spacing w:val="-3"/>
          <w:sz w:val="21"/>
        </w:rPr>
        <w:t>enquiries resulted </w:t>
      </w:r>
      <w:r>
        <w:rPr>
          <w:sz w:val="21"/>
        </w:rPr>
        <w:t>in a </w:t>
      </w:r>
      <w:r>
        <w:rPr>
          <w:spacing w:val="-3"/>
          <w:sz w:val="21"/>
        </w:rPr>
        <w:t>dispute </w:t>
      </w:r>
      <w:r>
        <w:rPr>
          <w:sz w:val="21"/>
        </w:rPr>
        <w:t>resolution </w:t>
      </w:r>
      <w:r>
        <w:rPr>
          <w:spacing w:val="-3"/>
          <w:sz w:val="21"/>
        </w:rPr>
        <w:t>outcome  </w:t>
      </w:r>
      <w:r>
        <w:rPr>
          <w:sz w:val="21"/>
        </w:rPr>
        <w:t>-whether  </w:t>
      </w:r>
      <w:r>
        <w:rPr>
          <w:spacing w:val="-3"/>
          <w:sz w:val="21"/>
        </w:rPr>
        <w:t>through mediation, </w:t>
      </w:r>
      <w:r>
        <w:rPr>
          <w:sz w:val="21"/>
        </w:rPr>
        <w:t>or where DSCV </w:t>
      </w:r>
      <w:r>
        <w:rPr>
          <w:spacing w:val="-3"/>
          <w:sz w:val="21"/>
        </w:rPr>
        <w:t>facilitated </w:t>
      </w:r>
      <w:r>
        <w:rPr>
          <w:sz w:val="21"/>
        </w:rPr>
        <w:t>an </w:t>
      </w:r>
      <w:r>
        <w:rPr>
          <w:spacing w:val="-3"/>
          <w:sz w:val="21"/>
        </w:rPr>
        <w:t>outcome for  </w:t>
      </w:r>
      <w:r>
        <w:rPr>
          <w:sz w:val="21"/>
        </w:rPr>
        <w:t>parties </w:t>
      </w:r>
      <w:r>
        <w:rPr>
          <w:spacing w:val="-3"/>
          <w:sz w:val="21"/>
        </w:rPr>
        <w:t>directly,</w:t>
      </w:r>
      <w:r>
        <w:rPr>
          <w:spacing w:val="41"/>
          <w:sz w:val="21"/>
        </w:rPr>
        <w:t> </w:t>
      </w:r>
      <w:r>
        <w:rPr>
          <w:sz w:val="21"/>
        </w:rPr>
        <w:t>or provided advice  </w:t>
      </w:r>
      <w:r>
        <w:rPr>
          <w:spacing w:val="-3"/>
          <w:sz w:val="21"/>
        </w:rPr>
        <w:t>to </w:t>
      </w:r>
      <w:r>
        <w:rPr>
          <w:sz w:val="21"/>
        </w:rPr>
        <w:t>enable parties </w:t>
      </w:r>
      <w:r>
        <w:rPr>
          <w:spacing w:val="-3"/>
          <w:sz w:val="21"/>
        </w:rPr>
        <w:t>to </w:t>
      </w:r>
      <w:r>
        <w:rPr>
          <w:sz w:val="21"/>
        </w:rPr>
        <w:t>resolve their </w:t>
      </w:r>
      <w:r>
        <w:rPr>
          <w:spacing w:val="-4"/>
          <w:sz w:val="21"/>
        </w:rPr>
        <w:t>matter. </w:t>
      </w:r>
      <w:r>
        <w:rPr>
          <w:sz w:val="21"/>
        </w:rPr>
        <w:t>This differs </w:t>
      </w:r>
      <w:r>
        <w:rPr>
          <w:spacing w:val="-3"/>
          <w:sz w:val="21"/>
        </w:rPr>
        <w:t>from </w:t>
      </w:r>
      <w:r>
        <w:rPr>
          <w:sz w:val="21"/>
        </w:rPr>
        <w:t>the </w:t>
      </w:r>
      <w:r>
        <w:rPr>
          <w:spacing w:val="-3"/>
          <w:sz w:val="21"/>
        </w:rPr>
        <w:t>average dispute </w:t>
      </w:r>
      <w:r>
        <w:rPr>
          <w:sz w:val="21"/>
        </w:rPr>
        <w:t>resolution </w:t>
      </w:r>
      <w:r>
        <w:rPr>
          <w:spacing w:val="-3"/>
          <w:sz w:val="21"/>
        </w:rPr>
        <w:t>outcome rate for </w:t>
      </w:r>
      <w:r>
        <w:rPr>
          <w:sz w:val="21"/>
        </w:rPr>
        <w:t>other matters which is much </w:t>
      </w:r>
      <w:r>
        <w:rPr>
          <w:spacing w:val="-3"/>
          <w:sz w:val="21"/>
        </w:rPr>
        <w:t>higher  </w:t>
      </w:r>
      <w:r>
        <w:rPr>
          <w:sz w:val="21"/>
        </w:rPr>
        <w:t>at  </w:t>
      </w:r>
      <w:r>
        <w:rPr>
          <w:spacing w:val="-6"/>
          <w:sz w:val="21"/>
        </w:rPr>
        <w:t>15-16%.  </w:t>
      </w:r>
      <w:r>
        <w:rPr>
          <w:sz w:val="21"/>
        </w:rPr>
        <w:t>This  </w:t>
      </w:r>
      <w:r>
        <w:rPr>
          <w:spacing w:val="-3"/>
          <w:sz w:val="21"/>
        </w:rPr>
        <w:t>information indicates that </w:t>
      </w:r>
      <w:r>
        <w:rPr>
          <w:sz w:val="21"/>
        </w:rPr>
        <w:t>tree </w:t>
      </w:r>
      <w:r>
        <w:rPr>
          <w:spacing w:val="-3"/>
          <w:sz w:val="21"/>
        </w:rPr>
        <w:t>enquiries are </w:t>
      </w:r>
      <w:r>
        <w:rPr>
          <w:sz w:val="21"/>
        </w:rPr>
        <w:t>less </w:t>
      </w:r>
      <w:r>
        <w:rPr>
          <w:spacing w:val="-4"/>
          <w:sz w:val="21"/>
        </w:rPr>
        <w:t>likely </w:t>
      </w:r>
      <w:r>
        <w:rPr>
          <w:spacing w:val="-3"/>
          <w:sz w:val="21"/>
        </w:rPr>
        <w:t>than </w:t>
      </w:r>
      <w:r>
        <w:rPr>
          <w:sz w:val="21"/>
        </w:rPr>
        <w:t>other matters </w:t>
      </w:r>
      <w:r>
        <w:rPr>
          <w:spacing w:val="-3"/>
          <w:sz w:val="21"/>
        </w:rPr>
        <w:t>to </w:t>
      </w:r>
      <w:r>
        <w:rPr>
          <w:sz w:val="21"/>
        </w:rPr>
        <w:t>progress </w:t>
      </w:r>
      <w:r>
        <w:rPr>
          <w:spacing w:val="-3"/>
          <w:sz w:val="21"/>
        </w:rPr>
        <w:t>to </w:t>
      </w:r>
      <w:r>
        <w:rPr>
          <w:sz w:val="21"/>
        </w:rPr>
        <w:t>a </w:t>
      </w:r>
      <w:r>
        <w:rPr>
          <w:spacing w:val="-3"/>
          <w:sz w:val="21"/>
        </w:rPr>
        <w:t>dispute </w:t>
      </w:r>
      <w:r>
        <w:rPr>
          <w:sz w:val="21"/>
        </w:rPr>
        <w:t>resolution</w:t>
      </w:r>
      <w:r>
        <w:rPr>
          <w:spacing w:val="8"/>
          <w:sz w:val="21"/>
        </w:rPr>
        <w:t> </w:t>
      </w:r>
      <w:r>
        <w:rPr>
          <w:spacing w:val="-3"/>
          <w:sz w:val="21"/>
        </w:rPr>
        <w:t>outcome.</w:t>
      </w:r>
      <w:r>
        <w:rPr>
          <w:spacing w:val="-3"/>
          <w:position w:val="7"/>
          <w:sz w:val="12"/>
        </w:rPr>
        <w:t>23</w:t>
      </w:r>
    </w:p>
    <w:p>
      <w:pPr>
        <w:pStyle w:val="ListParagraph"/>
        <w:numPr>
          <w:ilvl w:val="1"/>
          <w:numId w:val="16"/>
        </w:numPr>
        <w:tabs>
          <w:tab w:pos="2381" w:val="left" w:leader="none"/>
          <w:tab w:pos="2382" w:val="left" w:leader="none"/>
        </w:tabs>
        <w:spacing w:line="242" w:lineRule="auto" w:before="130" w:after="0"/>
        <w:ind w:left="2381" w:right="1867" w:hanging="794"/>
        <w:jc w:val="left"/>
        <w:rPr>
          <w:sz w:val="21"/>
        </w:rPr>
      </w:pPr>
      <w:r>
        <w:rPr>
          <w:w w:val="105"/>
          <w:sz w:val="21"/>
        </w:rPr>
        <w:t>As </w:t>
      </w:r>
      <w:r>
        <w:rPr>
          <w:spacing w:val="-3"/>
          <w:w w:val="105"/>
          <w:sz w:val="21"/>
        </w:rPr>
        <w:t>ENSPEC </w:t>
      </w:r>
      <w:r>
        <w:rPr>
          <w:w w:val="105"/>
          <w:sz w:val="21"/>
        </w:rPr>
        <w:t>suggests this </w:t>
      </w:r>
      <w:r>
        <w:rPr>
          <w:spacing w:val="-3"/>
          <w:w w:val="105"/>
          <w:sz w:val="21"/>
        </w:rPr>
        <w:t>may </w:t>
      </w:r>
      <w:r>
        <w:rPr>
          <w:w w:val="105"/>
          <w:sz w:val="21"/>
        </w:rPr>
        <w:t>be because </w:t>
      </w:r>
      <w:r>
        <w:rPr>
          <w:spacing w:val="-2"/>
          <w:w w:val="105"/>
          <w:sz w:val="21"/>
        </w:rPr>
        <w:t>not </w:t>
      </w:r>
      <w:r>
        <w:rPr>
          <w:spacing w:val="-3"/>
          <w:w w:val="105"/>
          <w:sz w:val="21"/>
        </w:rPr>
        <w:t>all </w:t>
      </w:r>
      <w:r>
        <w:rPr>
          <w:w w:val="105"/>
          <w:sz w:val="21"/>
        </w:rPr>
        <w:t>of these </w:t>
      </w:r>
      <w:r>
        <w:rPr>
          <w:spacing w:val="-3"/>
          <w:w w:val="105"/>
          <w:sz w:val="21"/>
        </w:rPr>
        <w:t>original enquiries amounted to disputes </w:t>
      </w:r>
      <w:r>
        <w:rPr>
          <w:w w:val="105"/>
          <w:sz w:val="21"/>
        </w:rPr>
        <w:t>about </w:t>
      </w:r>
      <w:r>
        <w:rPr>
          <w:spacing w:val="-4"/>
          <w:w w:val="105"/>
          <w:sz w:val="21"/>
        </w:rPr>
        <w:t>‘genuine </w:t>
      </w:r>
      <w:r>
        <w:rPr>
          <w:w w:val="105"/>
          <w:sz w:val="21"/>
        </w:rPr>
        <w:t>or </w:t>
      </w:r>
      <w:r>
        <w:rPr>
          <w:spacing w:val="-3"/>
          <w:w w:val="105"/>
          <w:sz w:val="21"/>
        </w:rPr>
        <w:t>substantial harm’ </w:t>
      </w:r>
      <w:r>
        <w:rPr>
          <w:w w:val="105"/>
          <w:sz w:val="21"/>
        </w:rPr>
        <w:t>and perhaps some </w:t>
      </w:r>
      <w:r>
        <w:rPr>
          <w:spacing w:val="-3"/>
          <w:w w:val="105"/>
          <w:sz w:val="21"/>
        </w:rPr>
        <w:t>enquiries were from </w:t>
      </w:r>
      <w:r>
        <w:rPr>
          <w:w w:val="105"/>
          <w:sz w:val="21"/>
        </w:rPr>
        <w:t>people who </w:t>
      </w:r>
      <w:r>
        <w:rPr>
          <w:spacing w:val="-3"/>
          <w:w w:val="105"/>
          <w:sz w:val="21"/>
        </w:rPr>
        <w:t>were </w:t>
      </w:r>
      <w:r>
        <w:rPr>
          <w:w w:val="105"/>
          <w:sz w:val="21"/>
        </w:rPr>
        <w:t>merely seeking </w:t>
      </w:r>
      <w:r>
        <w:rPr>
          <w:spacing w:val="-3"/>
          <w:w w:val="105"/>
          <w:sz w:val="21"/>
        </w:rPr>
        <w:t>information. </w:t>
      </w:r>
      <w:r>
        <w:rPr>
          <w:w w:val="105"/>
          <w:sz w:val="21"/>
        </w:rPr>
        <w:t>DSCV points </w:t>
      </w:r>
      <w:r>
        <w:rPr>
          <w:spacing w:val="-3"/>
          <w:w w:val="105"/>
          <w:sz w:val="21"/>
        </w:rPr>
        <w:t>to </w:t>
      </w:r>
      <w:r>
        <w:rPr>
          <w:w w:val="105"/>
          <w:sz w:val="21"/>
        </w:rPr>
        <w:t>a wide </w:t>
      </w:r>
      <w:r>
        <w:rPr>
          <w:spacing w:val="-3"/>
          <w:w w:val="105"/>
          <w:sz w:val="21"/>
        </w:rPr>
        <w:t>range </w:t>
      </w:r>
      <w:r>
        <w:rPr>
          <w:w w:val="105"/>
          <w:sz w:val="21"/>
        </w:rPr>
        <w:t>of factors </w:t>
      </w:r>
      <w:r>
        <w:rPr>
          <w:spacing w:val="-3"/>
          <w:w w:val="105"/>
          <w:sz w:val="21"/>
        </w:rPr>
        <w:t>to</w:t>
      </w:r>
      <w:r>
        <w:rPr>
          <w:spacing w:val="-7"/>
          <w:w w:val="105"/>
          <w:sz w:val="21"/>
        </w:rPr>
        <w:t> </w:t>
      </w:r>
      <w:r>
        <w:rPr>
          <w:w w:val="105"/>
          <w:sz w:val="21"/>
        </w:rPr>
        <w:t>explain</w:t>
      </w:r>
      <w:r>
        <w:rPr>
          <w:spacing w:val="-6"/>
          <w:w w:val="105"/>
          <w:sz w:val="21"/>
        </w:rPr>
        <w:t> </w:t>
      </w:r>
      <w:r>
        <w:rPr>
          <w:w w:val="105"/>
          <w:sz w:val="21"/>
        </w:rPr>
        <w:t>the</w:t>
      </w:r>
      <w:r>
        <w:rPr>
          <w:spacing w:val="-6"/>
          <w:w w:val="105"/>
          <w:sz w:val="21"/>
        </w:rPr>
        <w:t> </w:t>
      </w:r>
      <w:r>
        <w:rPr>
          <w:w w:val="105"/>
          <w:sz w:val="21"/>
        </w:rPr>
        <w:t>lower</w:t>
      </w:r>
      <w:r>
        <w:rPr>
          <w:spacing w:val="-6"/>
          <w:w w:val="105"/>
          <w:sz w:val="21"/>
        </w:rPr>
        <w:t> </w:t>
      </w:r>
      <w:r>
        <w:rPr>
          <w:w w:val="105"/>
          <w:sz w:val="21"/>
        </w:rPr>
        <w:t>resolution</w:t>
      </w:r>
      <w:r>
        <w:rPr>
          <w:spacing w:val="-7"/>
          <w:w w:val="105"/>
          <w:sz w:val="21"/>
        </w:rPr>
        <w:t> </w:t>
      </w:r>
      <w:r>
        <w:rPr>
          <w:spacing w:val="-3"/>
          <w:w w:val="105"/>
          <w:sz w:val="21"/>
        </w:rPr>
        <w:t>rates</w:t>
      </w:r>
      <w:r>
        <w:rPr>
          <w:spacing w:val="-6"/>
          <w:w w:val="105"/>
          <w:sz w:val="21"/>
        </w:rPr>
        <w:t> </w:t>
      </w:r>
      <w:r>
        <w:rPr>
          <w:spacing w:val="-3"/>
          <w:w w:val="105"/>
          <w:sz w:val="21"/>
        </w:rPr>
        <w:t>for</w:t>
      </w:r>
      <w:r>
        <w:rPr>
          <w:spacing w:val="-6"/>
          <w:w w:val="105"/>
          <w:sz w:val="21"/>
        </w:rPr>
        <w:t> </w:t>
      </w:r>
      <w:r>
        <w:rPr>
          <w:w w:val="105"/>
          <w:sz w:val="21"/>
        </w:rPr>
        <w:t>tree</w:t>
      </w:r>
      <w:r>
        <w:rPr>
          <w:spacing w:val="-6"/>
          <w:w w:val="105"/>
          <w:sz w:val="21"/>
        </w:rPr>
        <w:t> </w:t>
      </w:r>
      <w:r>
        <w:rPr>
          <w:spacing w:val="-3"/>
          <w:w w:val="105"/>
          <w:sz w:val="21"/>
        </w:rPr>
        <w:t>disputes</w:t>
      </w:r>
      <w:r>
        <w:rPr>
          <w:spacing w:val="-6"/>
          <w:w w:val="105"/>
          <w:sz w:val="21"/>
        </w:rPr>
        <w:t> </w:t>
      </w:r>
      <w:r>
        <w:rPr>
          <w:spacing w:val="-3"/>
          <w:w w:val="105"/>
          <w:sz w:val="21"/>
        </w:rPr>
        <w:t>that</w:t>
      </w:r>
      <w:r>
        <w:rPr>
          <w:spacing w:val="-7"/>
          <w:w w:val="105"/>
          <w:sz w:val="21"/>
        </w:rPr>
        <w:t> </w:t>
      </w:r>
      <w:r>
        <w:rPr>
          <w:spacing w:val="-3"/>
          <w:w w:val="105"/>
          <w:sz w:val="21"/>
        </w:rPr>
        <w:t>includes</w:t>
      </w:r>
      <w:r>
        <w:rPr>
          <w:spacing w:val="-6"/>
          <w:w w:val="105"/>
          <w:sz w:val="21"/>
        </w:rPr>
        <w:t> </w:t>
      </w:r>
      <w:r>
        <w:rPr>
          <w:spacing w:val="-3"/>
          <w:w w:val="105"/>
          <w:sz w:val="21"/>
        </w:rPr>
        <w:t>unclear</w:t>
      </w:r>
      <w:r>
        <w:rPr>
          <w:spacing w:val="-6"/>
          <w:w w:val="105"/>
          <w:sz w:val="21"/>
        </w:rPr>
        <w:t> </w:t>
      </w:r>
      <w:r>
        <w:rPr>
          <w:w w:val="105"/>
          <w:sz w:val="21"/>
        </w:rPr>
        <w:t>rights</w:t>
      </w:r>
      <w:r>
        <w:rPr>
          <w:spacing w:val="-6"/>
          <w:w w:val="105"/>
          <w:sz w:val="21"/>
        </w:rPr>
        <w:t> </w:t>
      </w:r>
      <w:r>
        <w:rPr>
          <w:w w:val="105"/>
          <w:sz w:val="21"/>
        </w:rPr>
        <w:t>and</w:t>
      </w:r>
    </w:p>
    <w:p>
      <w:pPr>
        <w:pStyle w:val="BodyText"/>
        <w:spacing w:line="242" w:lineRule="auto" w:before="4"/>
        <w:ind w:left="2381" w:right="1679"/>
      </w:pPr>
      <w:r>
        <w:rPr>
          <w:spacing w:val="-3"/>
          <w:w w:val="105"/>
        </w:rPr>
        <w:t>obligations, minimal </w:t>
      </w:r>
      <w:r>
        <w:rPr>
          <w:w w:val="105"/>
        </w:rPr>
        <w:t>scope </w:t>
      </w:r>
      <w:r>
        <w:rPr>
          <w:spacing w:val="-3"/>
          <w:w w:val="105"/>
        </w:rPr>
        <w:t>for </w:t>
      </w:r>
      <w:r>
        <w:rPr>
          <w:w w:val="105"/>
        </w:rPr>
        <w:t>negotiation and </w:t>
      </w:r>
      <w:r>
        <w:rPr>
          <w:spacing w:val="-3"/>
          <w:w w:val="105"/>
        </w:rPr>
        <w:t>considerable </w:t>
      </w:r>
      <w:r>
        <w:rPr>
          <w:w w:val="105"/>
        </w:rPr>
        <w:t>barriers </w:t>
      </w:r>
      <w:r>
        <w:rPr>
          <w:spacing w:val="-3"/>
          <w:w w:val="105"/>
        </w:rPr>
        <w:t>to </w:t>
      </w:r>
      <w:r>
        <w:rPr>
          <w:w w:val="105"/>
        </w:rPr>
        <w:t>resolving </w:t>
      </w:r>
      <w:r>
        <w:rPr>
          <w:spacing w:val="-3"/>
          <w:w w:val="105"/>
        </w:rPr>
        <w:t>through Court. </w:t>
      </w:r>
      <w:r>
        <w:rPr>
          <w:w w:val="105"/>
        </w:rPr>
        <w:t>Another factor identified is low awareness in the community about rights and </w:t>
      </w:r>
      <w:r>
        <w:rPr>
          <w:spacing w:val="-3"/>
          <w:w w:val="105"/>
        </w:rPr>
        <w:t>obligations. </w:t>
      </w:r>
      <w:r>
        <w:rPr>
          <w:w w:val="105"/>
        </w:rPr>
        <w:t>It suggests </w:t>
      </w:r>
      <w:r>
        <w:rPr>
          <w:spacing w:val="-3"/>
          <w:w w:val="105"/>
        </w:rPr>
        <w:t>that </w:t>
      </w:r>
      <w:r>
        <w:rPr>
          <w:spacing w:val="-5"/>
          <w:w w:val="105"/>
        </w:rPr>
        <w:t>‘many </w:t>
      </w:r>
      <w:r>
        <w:rPr>
          <w:w w:val="105"/>
        </w:rPr>
        <w:t>DSCV customers contact the </w:t>
      </w:r>
      <w:r>
        <w:rPr>
          <w:spacing w:val="-3"/>
          <w:w w:val="105"/>
        </w:rPr>
        <w:t>centre to purely enquire </w:t>
      </w:r>
      <w:r>
        <w:rPr>
          <w:w w:val="105"/>
        </w:rPr>
        <w:t>about their rights and </w:t>
      </w:r>
      <w:r>
        <w:rPr>
          <w:spacing w:val="-3"/>
          <w:w w:val="105"/>
        </w:rPr>
        <w:t>obligations </w:t>
      </w:r>
      <w:r>
        <w:rPr>
          <w:w w:val="105"/>
        </w:rPr>
        <w:t>with </w:t>
      </w:r>
      <w:r>
        <w:rPr>
          <w:spacing w:val="-3"/>
          <w:w w:val="105"/>
        </w:rPr>
        <w:t>regard to </w:t>
      </w:r>
      <w:r>
        <w:rPr>
          <w:w w:val="105"/>
        </w:rPr>
        <w:t>tree issues. </w:t>
      </w:r>
      <w:r>
        <w:rPr>
          <w:spacing w:val="-4"/>
          <w:w w:val="105"/>
        </w:rPr>
        <w:t>At </w:t>
      </w:r>
      <w:r>
        <w:rPr>
          <w:w w:val="105"/>
        </w:rPr>
        <w:t>the time of contact, there </w:t>
      </w:r>
      <w:r>
        <w:rPr>
          <w:spacing w:val="-3"/>
          <w:w w:val="105"/>
        </w:rPr>
        <w:t>may </w:t>
      </w:r>
      <w:r>
        <w:rPr>
          <w:spacing w:val="-2"/>
          <w:w w:val="105"/>
        </w:rPr>
        <w:t>not </w:t>
      </w:r>
      <w:r>
        <w:rPr>
          <w:w w:val="105"/>
        </w:rPr>
        <w:t>be a </w:t>
      </w:r>
      <w:r>
        <w:rPr>
          <w:spacing w:val="-3"/>
          <w:w w:val="105"/>
        </w:rPr>
        <w:t>dispute </w:t>
      </w:r>
      <w:r>
        <w:rPr>
          <w:w w:val="105"/>
        </w:rPr>
        <w:t>or it </w:t>
      </w:r>
      <w:r>
        <w:rPr>
          <w:spacing w:val="-3"/>
          <w:w w:val="105"/>
        </w:rPr>
        <w:t>may </w:t>
      </w:r>
      <w:r>
        <w:rPr>
          <w:w w:val="105"/>
        </w:rPr>
        <w:t>be too early in the process </w:t>
      </w:r>
      <w:r>
        <w:rPr>
          <w:spacing w:val="-3"/>
          <w:w w:val="105"/>
        </w:rPr>
        <w:t>for </w:t>
      </w:r>
      <w:r>
        <w:rPr>
          <w:w w:val="105"/>
        </w:rPr>
        <w:t>DSCV </w:t>
      </w:r>
      <w:r>
        <w:rPr>
          <w:spacing w:val="-3"/>
          <w:w w:val="105"/>
        </w:rPr>
        <w:t>to facilitate </w:t>
      </w:r>
      <w:r>
        <w:rPr>
          <w:w w:val="105"/>
        </w:rPr>
        <w:t>a </w:t>
      </w:r>
      <w:r>
        <w:rPr>
          <w:spacing w:val="-4"/>
          <w:w w:val="105"/>
        </w:rPr>
        <w:t>resolution’.</w:t>
      </w:r>
      <w:r>
        <w:rPr>
          <w:spacing w:val="-4"/>
          <w:w w:val="105"/>
          <w:position w:val="7"/>
          <w:sz w:val="12"/>
        </w:rPr>
        <w:t>24 </w:t>
      </w:r>
      <w:r>
        <w:rPr>
          <w:spacing w:val="-3"/>
          <w:w w:val="105"/>
        </w:rPr>
        <w:t>DSCV’s dispute </w:t>
      </w:r>
      <w:r>
        <w:rPr>
          <w:w w:val="105"/>
        </w:rPr>
        <w:t>resolution process is discussed in </w:t>
      </w:r>
      <w:r>
        <w:rPr>
          <w:spacing w:val="-4"/>
          <w:w w:val="105"/>
        </w:rPr>
        <w:t>Chapter </w:t>
      </w:r>
      <w:r>
        <w:rPr>
          <w:spacing w:val="-3"/>
          <w:w w:val="105"/>
        </w:rPr>
        <w:t>3. Several </w:t>
      </w:r>
      <w:r>
        <w:rPr>
          <w:w w:val="105"/>
        </w:rPr>
        <w:t>stages </w:t>
      </w:r>
      <w:r>
        <w:rPr>
          <w:spacing w:val="-3"/>
          <w:w w:val="105"/>
        </w:rPr>
        <w:t>are </w:t>
      </w:r>
      <w:r>
        <w:rPr>
          <w:w w:val="105"/>
        </w:rPr>
        <w:t>identified </w:t>
      </w:r>
      <w:r>
        <w:rPr>
          <w:spacing w:val="-3"/>
          <w:w w:val="105"/>
        </w:rPr>
        <w:t>before </w:t>
      </w:r>
      <w:r>
        <w:rPr>
          <w:w w:val="105"/>
        </w:rPr>
        <w:t>a matter is assessed as suitable </w:t>
      </w:r>
      <w:r>
        <w:rPr>
          <w:spacing w:val="-3"/>
          <w:w w:val="105"/>
        </w:rPr>
        <w:t>for </w:t>
      </w:r>
      <w:r>
        <w:rPr>
          <w:w w:val="105"/>
        </w:rPr>
        <w:t>mediation—clarifying issues in </w:t>
      </w:r>
      <w:r>
        <w:rPr>
          <w:spacing w:val="-3"/>
          <w:w w:val="105"/>
        </w:rPr>
        <w:t>dispute, answering </w:t>
      </w:r>
      <w:r>
        <w:rPr>
          <w:w w:val="105"/>
        </w:rPr>
        <w:t>questions and </w:t>
      </w:r>
      <w:r>
        <w:rPr>
          <w:spacing w:val="-3"/>
          <w:w w:val="105"/>
        </w:rPr>
        <w:t>discussing </w:t>
      </w:r>
      <w:r>
        <w:rPr>
          <w:w w:val="105"/>
        </w:rPr>
        <w:t>options.</w:t>
      </w:r>
    </w:p>
    <w:p>
      <w:pPr>
        <w:pStyle w:val="ListParagraph"/>
        <w:numPr>
          <w:ilvl w:val="1"/>
          <w:numId w:val="16"/>
        </w:numPr>
        <w:tabs>
          <w:tab w:pos="2380" w:val="left" w:leader="none"/>
          <w:tab w:pos="2381" w:val="left" w:leader="none"/>
        </w:tabs>
        <w:spacing w:line="242" w:lineRule="auto" w:before="129" w:after="0"/>
        <w:ind w:left="2380" w:right="1748" w:hanging="793"/>
        <w:jc w:val="left"/>
        <w:rPr>
          <w:sz w:val="21"/>
        </w:rPr>
      </w:pPr>
      <w:r>
        <w:rPr>
          <w:sz w:val="21"/>
        </w:rPr>
        <w:t>While </w:t>
      </w:r>
      <w:r>
        <w:rPr>
          <w:spacing w:val="-3"/>
          <w:sz w:val="21"/>
        </w:rPr>
        <w:t>acknowledging  that  </w:t>
      </w:r>
      <w:r>
        <w:rPr>
          <w:sz w:val="21"/>
        </w:rPr>
        <w:t>DSCV refers a </w:t>
      </w:r>
      <w:r>
        <w:rPr>
          <w:spacing w:val="-3"/>
          <w:sz w:val="21"/>
        </w:rPr>
        <w:t>smaller</w:t>
      </w:r>
      <w:r>
        <w:rPr>
          <w:spacing w:val="41"/>
          <w:sz w:val="21"/>
        </w:rPr>
        <w:t> </w:t>
      </w:r>
      <w:r>
        <w:rPr>
          <w:sz w:val="21"/>
        </w:rPr>
        <w:t>number of matters </w:t>
      </w:r>
      <w:r>
        <w:rPr>
          <w:spacing w:val="-3"/>
          <w:sz w:val="21"/>
        </w:rPr>
        <w:t>to  </w:t>
      </w:r>
      <w:r>
        <w:rPr>
          <w:sz w:val="21"/>
        </w:rPr>
        <w:t>mediation </w:t>
      </w:r>
      <w:r>
        <w:rPr>
          <w:spacing w:val="-3"/>
          <w:sz w:val="21"/>
        </w:rPr>
        <w:t>than      </w:t>
      </w:r>
      <w:r>
        <w:rPr>
          <w:sz w:val="21"/>
        </w:rPr>
        <w:t>it receives as </w:t>
      </w:r>
      <w:r>
        <w:rPr>
          <w:spacing w:val="-3"/>
          <w:sz w:val="21"/>
        </w:rPr>
        <w:t>enquiries,  </w:t>
      </w:r>
      <w:r>
        <w:rPr>
          <w:sz w:val="21"/>
        </w:rPr>
        <w:t>the </w:t>
      </w:r>
      <w:r>
        <w:rPr>
          <w:spacing w:val="-3"/>
          <w:sz w:val="21"/>
        </w:rPr>
        <w:t>Commission</w:t>
      </w:r>
      <w:r>
        <w:rPr>
          <w:spacing w:val="41"/>
          <w:sz w:val="21"/>
        </w:rPr>
        <w:t> </w:t>
      </w:r>
      <w:r>
        <w:rPr>
          <w:spacing w:val="-3"/>
          <w:sz w:val="21"/>
        </w:rPr>
        <w:t>remains  </w:t>
      </w:r>
      <w:r>
        <w:rPr>
          <w:sz w:val="21"/>
        </w:rPr>
        <w:t>of the view </w:t>
      </w:r>
      <w:r>
        <w:rPr>
          <w:spacing w:val="-3"/>
          <w:sz w:val="21"/>
        </w:rPr>
        <w:t>that  </w:t>
      </w:r>
      <w:r>
        <w:rPr>
          <w:sz w:val="21"/>
        </w:rPr>
        <w:t>the level of </w:t>
      </w:r>
      <w:r>
        <w:rPr>
          <w:spacing w:val="-3"/>
          <w:sz w:val="21"/>
        </w:rPr>
        <w:t>enquiries    to </w:t>
      </w:r>
      <w:r>
        <w:rPr>
          <w:sz w:val="21"/>
        </w:rPr>
        <w:t>DSCV (an </w:t>
      </w:r>
      <w:r>
        <w:rPr>
          <w:spacing w:val="-3"/>
          <w:sz w:val="21"/>
        </w:rPr>
        <w:t>average </w:t>
      </w:r>
      <w:r>
        <w:rPr>
          <w:sz w:val="21"/>
        </w:rPr>
        <w:t>of </w:t>
      </w:r>
      <w:r>
        <w:rPr>
          <w:spacing w:val="-3"/>
          <w:sz w:val="21"/>
        </w:rPr>
        <w:t>approximately </w:t>
      </w:r>
      <w:r>
        <w:rPr>
          <w:sz w:val="21"/>
        </w:rPr>
        <w:t>3400 per </w:t>
      </w:r>
      <w:r>
        <w:rPr>
          <w:spacing w:val="-3"/>
          <w:sz w:val="21"/>
        </w:rPr>
        <w:t>year </w:t>
      </w:r>
      <w:r>
        <w:rPr>
          <w:sz w:val="21"/>
        </w:rPr>
        <w:t>over the </w:t>
      </w:r>
      <w:r>
        <w:rPr>
          <w:spacing w:val="-3"/>
          <w:sz w:val="21"/>
        </w:rPr>
        <w:t>relevant </w:t>
      </w:r>
      <w:r>
        <w:rPr>
          <w:sz w:val="21"/>
        </w:rPr>
        <w:t>period) and the proportion of </w:t>
      </w:r>
      <w:r>
        <w:rPr>
          <w:spacing w:val="-3"/>
          <w:sz w:val="21"/>
        </w:rPr>
        <w:t>DSCV’s </w:t>
      </w:r>
      <w:r>
        <w:rPr>
          <w:sz w:val="21"/>
        </w:rPr>
        <w:t>workload </w:t>
      </w:r>
      <w:r>
        <w:rPr>
          <w:spacing w:val="-3"/>
          <w:sz w:val="21"/>
        </w:rPr>
        <w:t>that </w:t>
      </w:r>
      <w:r>
        <w:rPr>
          <w:sz w:val="21"/>
        </w:rPr>
        <w:t>this  represents,  being  </w:t>
      </w:r>
      <w:r>
        <w:rPr>
          <w:spacing w:val="-7"/>
          <w:sz w:val="21"/>
        </w:rPr>
        <w:t>17.2%,  </w:t>
      </w:r>
      <w:r>
        <w:rPr>
          <w:spacing w:val="-3"/>
          <w:sz w:val="21"/>
        </w:rPr>
        <w:t>are  </w:t>
      </w:r>
      <w:r>
        <w:rPr>
          <w:sz w:val="21"/>
        </w:rPr>
        <w:t>significant.</w:t>
      </w:r>
      <w:r>
        <w:rPr>
          <w:position w:val="7"/>
          <w:sz w:val="12"/>
        </w:rPr>
        <w:t>25</w:t>
      </w:r>
      <w:r>
        <w:rPr>
          <w:sz w:val="12"/>
        </w:rPr>
        <w:t> </w:t>
      </w:r>
      <w:r>
        <w:rPr>
          <w:spacing w:val="-4"/>
          <w:sz w:val="21"/>
        </w:rPr>
        <w:t>Further,  </w:t>
      </w:r>
      <w:r>
        <w:rPr>
          <w:sz w:val="21"/>
        </w:rPr>
        <w:t>In the </w:t>
      </w:r>
      <w:r>
        <w:rPr>
          <w:spacing w:val="-10"/>
          <w:sz w:val="21"/>
        </w:rPr>
        <w:t>2017–18  </w:t>
      </w:r>
      <w:r>
        <w:rPr>
          <w:spacing w:val="-3"/>
          <w:sz w:val="21"/>
        </w:rPr>
        <w:t>financial  year  </w:t>
      </w:r>
      <w:r>
        <w:rPr>
          <w:sz w:val="21"/>
        </w:rPr>
        <w:t>DSCV reported over 26,000 </w:t>
      </w:r>
      <w:r>
        <w:rPr>
          <w:spacing w:val="-3"/>
          <w:sz w:val="21"/>
        </w:rPr>
        <w:t>unique</w:t>
      </w:r>
      <w:r>
        <w:rPr>
          <w:spacing w:val="41"/>
          <w:sz w:val="21"/>
        </w:rPr>
        <w:t> </w:t>
      </w:r>
      <w:r>
        <w:rPr>
          <w:sz w:val="21"/>
        </w:rPr>
        <w:t>page views </w:t>
      </w:r>
      <w:r>
        <w:rPr>
          <w:spacing w:val="-3"/>
          <w:sz w:val="21"/>
        </w:rPr>
        <w:t>for  </w:t>
      </w:r>
      <w:r>
        <w:rPr>
          <w:sz w:val="21"/>
        </w:rPr>
        <w:t>its </w:t>
      </w:r>
      <w:r>
        <w:rPr>
          <w:spacing w:val="-3"/>
          <w:sz w:val="21"/>
        </w:rPr>
        <w:t>online content relating </w:t>
      </w:r>
      <w:r>
        <w:rPr>
          <w:sz w:val="21"/>
        </w:rPr>
        <w:t>specifically </w:t>
      </w:r>
      <w:r>
        <w:rPr>
          <w:spacing w:val="-3"/>
          <w:sz w:val="21"/>
        </w:rPr>
        <w:t>to</w:t>
      </w:r>
      <w:r>
        <w:rPr>
          <w:spacing w:val="19"/>
          <w:sz w:val="21"/>
        </w:rPr>
        <w:t> </w:t>
      </w:r>
      <w:r>
        <w:rPr>
          <w:sz w:val="21"/>
        </w:rPr>
        <w:t>trees.</w:t>
      </w:r>
      <w:r>
        <w:rPr>
          <w:position w:val="7"/>
          <w:sz w:val="12"/>
        </w:rPr>
        <w:t>26</w:t>
      </w:r>
    </w:p>
    <w:p>
      <w:pPr>
        <w:pStyle w:val="BodyText"/>
        <w:rPr>
          <w:sz w:val="20"/>
        </w:rPr>
      </w:pPr>
    </w:p>
    <w:p>
      <w:pPr>
        <w:pStyle w:val="BodyText"/>
        <w:rPr>
          <w:sz w:val="10"/>
        </w:rPr>
      </w:pPr>
      <w:r>
        <w:rPr/>
        <w:pict>
          <v:line style="position:absolute;mso-position-horizontal-relative:page;mso-position-vertical-relative:paragraph;z-index:-112;mso-wrap-distance-left:0;mso-wrap-distance-right:0" from="79.370102pt,8.593574pt" to="515.905102pt,8.593574pt" stroked="true" strokeweight="1pt" strokecolor="#c9d2cb">
            <v:stroke dashstyle="solid"/>
            <w10:wrap type="topAndBottom"/>
          </v:line>
        </w:pict>
      </w:r>
    </w:p>
    <w:p>
      <w:pPr>
        <w:pStyle w:val="ListParagraph"/>
        <w:numPr>
          <w:ilvl w:val="0"/>
          <w:numId w:val="18"/>
        </w:numPr>
        <w:tabs>
          <w:tab w:pos="2380" w:val="left" w:leader="none"/>
          <w:tab w:pos="2382" w:val="left" w:leader="none"/>
        </w:tabs>
        <w:spacing w:line="240" w:lineRule="auto" w:before="117" w:after="0"/>
        <w:ind w:left="2381" w:right="1744" w:hanging="794"/>
        <w:jc w:val="both"/>
        <w:rPr>
          <w:sz w:val="13"/>
        </w:rPr>
      </w:pPr>
      <w:r>
        <w:rPr>
          <w:w w:val="105"/>
          <w:sz w:val="13"/>
        </w:rPr>
        <w:t>Information provided by DSCV as part of a data request from the Commission, August </w:t>
      </w:r>
      <w:r>
        <w:rPr>
          <w:spacing w:val="-3"/>
          <w:w w:val="105"/>
          <w:sz w:val="13"/>
        </w:rPr>
        <w:t>2017 </w:t>
      </w:r>
      <w:r>
        <w:rPr>
          <w:w w:val="105"/>
          <w:sz w:val="13"/>
        </w:rPr>
        <w:t>and November 2018. DSCV also </w:t>
      </w:r>
      <w:r>
        <w:rPr>
          <w:spacing w:val="2"/>
          <w:w w:val="105"/>
          <w:sz w:val="13"/>
        </w:rPr>
        <w:t>reports </w:t>
      </w:r>
      <w:r>
        <w:rPr>
          <w:w w:val="105"/>
          <w:sz w:val="13"/>
        </w:rPr>
        <w:t>that enquiries also commonly relate to the obstruction of a view by a hedge. The obstruction of sunlight and views is beyond the scope of this inquiry.</w:t>
      </w:r>
    </w:p>
    <w:p>
      <w:pPr>
        <w:pStyle w:val="ListParagraph"/>
        <w:numPr>
          <w:ilvl w:val="0"/>
          <w:numId w:val="18"/>
        </w:numPr>
        <w:tabs>
          <w:tab w:pos="2380" w:val="left" w:leader="none"/>
          <w:tab w:pos="2382" w:val="left" w:leader="none"/>
        </w:tabs>
        <w:spacing w:line="240" w:lineRule="auto" w:before="4" w:after="0"/>
        <w:ind w:left="2381" w:right="0" w:hanging="794"/>
        <w:jc w:val="left"/>
        <w:rPr>
          <w:sz w:val="13"/>
        </w:rPr>
      </w:pPr>
      <w:r>
        <w:rPr>
          <w:w w:val="105"/>
          <w:sz w:val="13"/>
        </w:rPr>
        <w:t>Information</w:t>
      </w:r>
      <w:r>
        <w:rPr>
          <w:spacing w:val="5"/>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DSCV</w:t>
      </w:r>
      <w:r>
        <w:rPr>
          <w:spacing w:val="6"/>
          <w:w w:val="105"/>
          <w:sz w:val="13"/>
        </w:rPr>
        <w:t> </w:t>
      </w:r>
      <w:r>
        <w:rPr>
          <w:w w:val="105"/>
          <w:sz w:val="13"/>
        </w:rPr>
        <w:t>as</w:t>
      </w:r>
      <w:r>
        <w:rPr>
          <w:spacing w:val="5"/>
          <w:w w:val="105"/>
          <w:sz w:val="13"/>
        </w:rPr>
        <w:t> </w:t>
      </w:r>
      <w:r>
        <w:rPr>
          <w:w w:val="105"/>
          <w:sz w:val="13"/>
        </w:rPr>
        <w:t>part</w:t>
      </w:r>
      <w:r>
        <w:rPr>
          <w:spacing w:val="5"/>
          <w:w w:val="105"/>
          <w:sz w:val="13"/>
        </w:rPr>
        <w:t> </w:t>
      </w:r>
      <w:r>
        <w:rPr>
          <w:w w:val="105"/>
          <w:sz w:val="13"/>
        </w:rPr>
        <w:t>of</w:t>
      </w:r>
      <w:r>
        <w:rPr>
          <w:spacing w:val="5"/>
          <w:w w:val="105"/>
          <w:sz w:val="13"/>
        </w:rPr>
        <w:t> </w:t>
      </w:r>
      <w:r>
        <w:rPr>
          <w:w w:val="105"/>
          <w:sz w:val="13"/>
        </w:rPr>
        <w:t>a</w:t>
      </w:r>
      <w:r>
        <w:rPr>
          <w:spacing w:val="6"/>
          <w:w w:val="105"/>
          <w:sz w:val="13"/>
        </w:rPr>
        <w:t> </w:t>
      </w:r>
      <w:r>
        <w:rPr>
          <w:w w:val="105"/>
          <w:sz w:val="13"/>
        </w:rPr>
        <w:t>data</w:t>
      </w:r>
      <w:r>
        <w:rPr>
          <w:spacing w:val="5"/>
          <w:w w:val="105"/>
          <w:sz w:val="13"/>
        </w:rPr>
        <w:t> </w:t>
      </w:r>
      <w:r>
        <w:rPr>
          <w:w w:val="105"/>
          <w:sz w:val="13"/>
        </w:rPr>
        <w:t>request</w:t>
      </w:r>
      <w:r>
        <w:rPr>
          <w:spacing w:val="5"/>
          <w:w w:val="105"/>
          <w:sz w:val="13"/>
        </w:rPr>
        <w:t> </w:t>
      </w:r>
      <w:r>
        <w:rPr>
          <w:w w:val="105"/>
          <w:sz w:val="13"/>
        </w:rPr>
        <w:t>from</w:t>
      </w:r>
      <w:r>
        <w:rPr>
          <w:spacing w:val="5"/>
          <w:w w:val="105"/>
          <w:sz w:val="13"/>
        </w:rPr>
        <w:t> </w:t>
      </w:r>
      <w:r>
        <w:rPr>
          <w:w w:val="105"/>
          <w:sz w:val="13"/>
        </w:rPr>
        <w:t>the</w:t>
      </w:r>
      <w:r>
        <w:rPr>
          <w:spacing w:val="6"/>
          <w:w w:val="105"/>
          <w:sz w:val="13"/>
        </w:rPr>
        <w:t> </w:t>
      </w:r>
      <w:r>
        <w:rPr>
          <w:w w:val="105"/>
          <w:sz w:val="13"/>
        </w:rPr>
        <w:t>Commission,</w:t>
      </w:r>
      <w:r>
        <w:rPr>
          <w:spacing w:val="5"/>
          <w:w w:val="105"/>
          <w:sz w:val="13"/>
        </w:rPr>
        <w:t> </w:t>
      </w:r>
      <w:r>
        <w:rPr>
          <w:w w:val="105"/>
          <w:sz w:val="13"/>
        </w:rPr>
        <w:t>August</w:t>
      </w:r>
      <w:r>
        <w:rPr>
          <w:spacing w:val="5"/>
          <w:w w:val="105"/>
          <w:sz w:val="13"/>
        </w:rPr>
        <w:t> </w:t>
      </w:r>
      <w:r>
        <w:rPr>
          <w:spacing w:val="-3"/>
          <w:w w:val="105"/>
          <w:sz w:val="13"/>
        </w:rPr>
        <w:t>2017</w:t>
      </w:r>
      <w:r>
        <w:rPr>
          <w:spacing w:val="5"/>
          <w:w w:val="105"/>
          <w:sz w:val="13"/>
        </w:rPr>
        <w:t> </w:t>
      </w:r>
      <w:r>
        <w:rPr>
          <w:w w:val="105"/>
          <w:sz w:val="13"/>
        </w:rPr>
        <w:t>and</w:t>
      </w:r>
      <w:r>
        <w:rPr>
          <w:spacing w:val="6"/>
          <w:w w:val="105"/>
          <w:sz w:val="13"/>
        </w:rPr>
        <w:t> </w:t>
      </w:r>
      <w:r>
        <w:rPr>
          <w:w w:val="105"/>
          <w:sz w:val="13"/>
        </w:rPr>
        <w:t>November</w:t>
      </w:r>
      <w:r>
        <w:rPr>
          <w:spacing w:val="5"/>
          <w:w w:val="105"/>
          <w:sz w:val="13"/>
        </w:rPr>
        <w:t> </w:t>
      </w:r>
      <w:r>
        <w:rPr>
          <w:w w:val="105"/>
          <w:sz w:val="13"/>
        </w:rPr>
        <w:t>2018.</w:t>
      </w:r>
    </w:p>
    <w:p>
      <w:pPr>
        <w:pStyle w:val="ListParagraph"/>
        <w:numPr>
          <w:ilvl w:val="0"/>
          <w:numId w:val="18"/>
        </w:numPr>
        <w:tabs>
          <w:tab w:pos="2380" w:val="left" w:leader="none"/>
          <w:tab w:pos="2382" w:val="left" w:leader="none"/>
        </w:tabs>
        <w:spacing w:line="240" w:lineRule="auto" w:before="1" w:after="0"/>
        <w:ind w:left="2381" w:right="0" w:hanging="794"/>
        <w:jc w:val="left"/>
        <w:rPr>
          <w:sz w:val="13"/>
        </w:rPr>
      </w:pPr>
      <w:r>
        <w:rPr>
          <w:w w:val="105"/>
          <w:sz w:val="13"/>
        </w:rPr>
        <w:t>Submission 18</w:t>
      </w:r>
      <w:r>
        <w:rPr>
          <w:spacing w:val="9"/>
          <w:w w:val="105"/>
          <w:sz w:val="13"/>
        </w:rPr>
        <w:t> </w:t>
      </w:r>
      <w:r>
        <w:rPr>
          <w:w w:val="105"/>
          <w:sz w:val="13"/>
        </w:rPr>
        <w:t>(ENSPEC).</w:t>
      </w:r>
    </w:p>
    <w:p>
      <w:pPr>
        <w:pStyle w:val="ListParagraph"/>
        <w:numPr>
          <w:ilvl w:val="0"/>
          <w:numId w:val="18"/>
        </w:numPr>
        <w:tabs>
          <w:tab w:pos="2380" w:val="left" w:leader="none"/>
          <w:tab w:pos="2382" w:val="left" w:leader="none"/>
        </w:tabs>
        <w:spacing w:line="240" w:lineRule="auto" w:before="2" w:after="0"/>
        <w:ind w:left="2381" w:right="0" w:hanging="794"/>
        <w:jc w:val="left"/>
        <w:rPr>
          <w:sz w:val="13"/>
        </w:rPr>
      </w:pPr>
      <w:r>
        <w:rPr>
          <w:w w:val="105"/>
          <w:sz w:val="13"/>
        </w:rPr>
        <w:t>Information</w:t>
      </w:r>
      <w:r>
        <w:rPr>
          <w:spacing w:val="5"/>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DSCV</w:t>
      </w:r>
      <w:r>
        <w:rPr>
          <w:spacing w:val="5"/>
          <w:w w:val="105"/>
          <w:sz w:val="13"/>
        </w:rPr>
        <w:t> </w:t>
      </w:r>
      <w:r>
        <w:rPr>
          <w:w w:val="105"/>
          <w:sz w:val="13"/>
        </w:rPr>
        <w:t>as</w:t>
      </w:r>
      <w:r>
        <w:rPr>
          <w:spacing w:val="5"/>
          <w:w w:val="105"/>
          <w:sz w:val="13"/>
        </w:rPr>
        <w:t> </w:t>
      </w:r>
      <w:r>
        <w:rPr>
          <w:w w:val="105"/>
          <w:sz w:val="13"/>
        </w:rPr>
        <w:t>part</w:t>
      </w:r>
      <w:r>
        <w:rPr>
          <w:spacing w:val="5"/>
          <w:w w:val="105"/>
          <w:sz w:val="13"/>
        </w:rPr>
        <w:t> </w:t>
      </w:r>
      <w:r>
        <w:rPr>
          <w:w w:val="105"/>
          <w:sz w:val="13"/>
        </w:rPr>
        <w:t>of</w:t>
      </w:r>
      <w:r>
        <w:rPr>
          <w:spacing w:val="5"/>
          <w:w w:val="105"/>
          <w:sz w:val="13"/>
        </w:rPr>
        <w:t> </w:t>
      </w:r>
      <w:r>
        <w:rPr>
          <w:w w:val="105"/>
          <w:sz w:val="13"/>
        </w:rPr>
        <w:t>a</w:t>
      </w:r>
      <w:r>
        <w:rPr>
          <w:spacing w:val="5"/>
          <w:w w:val="105"/>
          <w:sz w:val="13"/>
        </w:rPr>
        <w:t> </w:t>
      </w:r>
      <w:r>
        <w:rPr>
          <w:w w:val="105"/>
          <w:sz w:val="13"/>
        </w:rPr>
        <w:t>data</w:t>
      </w:r>
      <w:r>
        <w:rPr>
          <w:spacing w:val="5"/>
          <w:w w:val="105"/>
          <w:sz w:val="13"/>
        </w:rPr>
        <w:t> </w:t>
      </w:r>
      <w:r>
        <w:rPr>
          <w:w w:val="105"/>
          <w:sz w:val="13"/>
        </w:rPr>
        <w:t>request</w:t>
      </w:r>
      <w:r>
        <w:rPr>
          <w:spacing w:val="5"/>
          <w:w w:val="105"/>
          <w:sz w:val="13"/>
        </w:rPr>
        <w:t> </w:t>
      </w:r>
      <w:r>
        <w:rPr>
          <w:w w:val="105"/>
          <w:sz w:val="13"/>
        </w:rPr>
        <w:t>from</w:t>
      </w:r>
      <w:r>
        <w:rPr>
          <w:spacing w:val="5"/>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August</w:t>
      </w:r>
      <w:r>
        <w:rPr>
          <w:spacing w:val="6"/>
          <w:w w:val="105"/>
          <w:sz w:val="13"/>
        </w:rPr>
        <w:t> </w:t>
      </w:r>
      <w:r>
        <w:rPr>
          <w:spacing w:val="-5"/>
          <w:w w:val="105"/>
          <w:sz w:val="13"/>
        </w:rPr>
        <w:t>2017.</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8"/>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8"/>
        </w:numPr>
        <w:tabs>
          <w:tab w:pos="2381" w:val="left" w:leader="none"/>
          <w:tab w:pos="2382" w:val="left" w:leader="none"/>
        </w:tabs>
        <w:spacing w:line="240" w:lineRule="auto" w:before="2" w:after="0"/>
        <w:ind w:left="2381" w:right="1594" w:hanging="794"/>
        <w:jc w:val="left"/>
        <w:rPr>
          <w:sz w:val="13"/>
        </w:rPr>
      </w:pPr>
      <w:r>
        <w:rPr/>
        <w:pict>
          <v:shape style="position:absolute;margin-left:36pt;margin-top:11.057663pt;width:12.8pt;height:14.25pt;mso-position-horizontal-relative:page;mso-position-vertical-relative:paragraph;z-index:1960" type="#_x0000_t202" filled="false" stroked="false">
            <v:textbox inset="0,0,0,0">
              <w:txbxContent>
                <w:p>
                  <w:pPr>
                    <w:spacing w:line="284" w:lineRule="exact" w:before="0"/>
                    <w:ind w:left="0" w:right="0" w:firstLine="0"/>
                    <w:jc w:val="left"/>
                    <w:rPr>
                      <w:b/>
                      <w:sz w:val="24"/>
                    </w:rPr>
                  </w:pPr>
                  <w:r>
                    <w:rPr>
                      <w:b/>
                      <w:color w:val="658464"/>
                      <w:spacing w:val="-6"/>
                      <w:w w:val="110"/>
                      <w:sz w:val="24"/>
                    </w:rPr>
                    <w:t>10</w:t>
                  </w:r>
                </w:p>
              </w:txbxContent>
            </v:textbox>
            <w10:wrap type="none"/>
          </v:shape>
        </w:pict>
      </w:r>
      <w:r>
        <w:rPr>
          <w:w w:val="105"/>
          <w:sz w:val="13"/>
        </w:rPr>
        <w:t>Information provided by DSCV as part of a data request from the Commission, April 2019. DSCV </w:t>
      </w:r>
      <w:r>
        <w:rPr>
          <w:spacing w:val="2"/>
          <w:w w:val="105"/>
          <w:sz w:val="13"/>
        </w:rPr>
        <w:t>expects </w:t>
      </w:r>
      <w:r>
        <w:rPr>
          <w:w w:val="105"/>
          <w:sz w:val="13"/>
        </w:rPr>
        <w:t>this number to rise in the future as these webpages continue to be externally linked and are more easily found in internet searches. Information provided by DSCV via email as part</w:t>
      </w:r>
      <w:r>
        <w:rPr>
          <w:spacing w:val="4"/>
          <w:w w:val="105"/>
          <w:sz w:val="13"/>
        </w:rPr>
        <w:t> </w:t>
      </w:r>
      <w:r>
        <w:rPr>
          <w:w w:val="105"/>
          <w:sz w:val="13"/>
        </w:rPr>
        <w:t>of</w:t>
      </w:r>
      <w:r>
        <w:rPr>
          <w:spacing w:val="5"/>
          <w:w w:val="105"/>
          <w:sz w:val="13"/>
        </w:rPr>
        <w:t> </w:t>
      </w:r>
      <w:r>
        <w:rPr>
          <w:w w:val="105"/>
          <w:sz w:val="13"/>
        </w:rPr>
        <w:t>a</w:t>
      </w:r>
      <w:r>
        <w:rPr>
          <w:spacing w:val="5"/>
          <w:w w:val="105"/>
          <w:sz w:val="13"/>
        </w:rPr>
        <w:t> </w:t>
      </w:r>
      <w:r>
        <w:rPr>
          <w:w w:val="105"/>
          <w:sz w:val="13"/>
        </w:rPr>
        <w:t>data</w:t>
      </w:r>
      <w:r>
        <w:rPr>
          <w:spacing w:val="4"/>
          <w:w w:val="105"/>
          <w:sz w:val="13"/>
        </w:rPr>
        <w:t> </w:t>
      </w:r>
      <w:r>
        <w:rPr>
          <w:w w:val="105"/>
          <w:sz w:val="13"/>
        </w:rPr>
        <w:t>request</w:t>
      </w:r>
      <w:r>
        <w:rPr>
          <w:spacing w:val="5"/>
          <w:w w:val="105"/>
          <w:sz w:val="13"/>
        </w:rPr>
        <w:t> </w:t>
      </w:r>
      <w:r>
        <w:rPr>
          <w:w w:val="105"/>
          <w:sz w:val="13"/>
        </w:rPr>
        <w:t>from</w:t>
      </w:r>
      <w:r>
        <w:rPr>
          <w:spacing w:val="5"/>
          <w:w w:val="105"/>
          <w:sz w:val="13"/>
        </w:rPr>
        <w:t> </w:t>
      </w:r>
      <w:r>
        <w:rPr>
          <w:w w:val="105"/>
          <w:sz w:val="13"/>
        </w:rPr>
        <w:t>the</w:t>
      </w:r>
      <w:r>
        <w:rPr>
          <w:spacing w:val="4"/>
          <w:w w:val="105"/>
          <w:sz w:val="13"/>
        </w:rPr>
        <w:t> </w:t>
      </w:r>
      <w:r>
        <w:rPr>
          <w:w w:val="105"/>
          <w:sz w:val="13"/>
        </w:rPr>
        <w:t>Commission,</w:t>
      </w:r>
      <w:r>
        <w:rPr>
          <w:spacing w:val="5"/>
          <w:w w:val="105"/>
          <w:sz w:val="13"/>
        </w:rPr>
        <w:t> </w:t>
      </w:r>
      <w:r>
        <w:rPr>
          <w:w w:val="105"/>
          <w:sz w:val="13"/>
        </w:rPr>
        <w:t>November</w:t>
      </w:r>
      <w:r>
        <w:rPr>
          <w:spacing w:val="5"/>
          <w:w w:val="105"/>
          <w:sz w:val="13"/>
        </w:rPr>
        <w:t> </w:t>
      </w:r>
      <w:r>
        <w:rPr>
          <w:w w:val="105"/>
          <w:sz w:val="13"/>
        </w:rPr>
        <w:t>2018.</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11"/>
        <w:rPr>
          <w:sz w:val="17"/>
        </w:rPr>
      </w:pPr>
    </w:p>
    <w:p>
      <w:pPr>
        <w:pStyle w:val="Heading5"/>
        <w:spacing w:before="96"/>
      </w:pPr>
      <w:bookmarkStart w:name="_bookmark10" w:id="35"/>
      <w:bookmarkEnd w:id="35"/>
      <w:r>
        <w:rPr>
          <w:b w:val="0"/>
        </w:rPr>
      </w:r>
      <w:r>
        <w:rPr>
          <w:w w:val="115"/>
        </w:rPr>
        <w:t>Community responses about the frequency of tree disputes</w:t>
      </w:r>
    </w:p>
    <w:p>
      <w:pPr>
        <w:pStyle w:val="ListParagraph"/>
        <w:numPr>
          <w:ilvl w:val="1"/>
          <w:numId w:val="16"/>
        </w:numPr>
        <w:tabs>
          <w:tab w:pos="2381" w:val="left" w:leader="none"/>
          <w:tab w:pos="2382" w:val="left" w:leader="none"/>
        </w:tabs>
        <w:spacing w:line="242" w:lineRule="auto" w:before="137" w:after="0"/>
        <w:ind w:left="2381" w:right="1982" w:hanging="794"/>
        <w:jc w:val="left"/>
        <w:rPr>
          <w:sz w:val="21"/>
        </w:rPr>
      </w:pPr>
      <w:r>
        <w:rPr>
          <w:spacing w:val="-3"/>
          <w:w w:val="105"/>
          <w:sz w:val="21"/>
        </w:rPr>
        <w:t>Submissions </w:t>
      </w:r>
      <w:r>
        <w:rPr>
          <w:w w:val="105"/>
          <w:sz w:val="21"/>
        </w:rPr>
        <w:t>and </w:t>
      </w:r>
      <w:r>
        <w:rPr>
          <w:spacing w:val="-3"/>
          <w:w w:val="105"/>
          <w:sz w:val="21"/>
        </w:rPr>
        <w:t>consultations </w:t>
      </w:r>
      <w:r>
        <w:rPr>
          <w:w w:val="105"/>
          <w:sz w:val="21"/>
        </w:rPr>
        <w:t>also suggested a </w:t>
      </w:r>
      <w:r>
        <w:rPr>
          <w:spacing w:val="-3"/>
          <w:w w:val="105"/>
          <w:sz w:val="21"/>
        </w:rPr>
        <w:t>high incidence </w:t>
      </w:r>
      <w:r>
        <w:rPr>
          <w:w w:val="105"/>
          <w:sz w:val="21"/>
        </w:rPr>
        <w:t>of tree </w:t>
      </w:r>
      <w:r>
        <w:rPr>
          <w:spacing w:val="-3"/>
          <w:w w:val="105"/>
          <w:sz w:val="21"/>
        </w:rPr>
        <w:t>disputes </w:t>
      </w:r>
      <w:r>
        <w:rPr>
          <w:w w:val="105"/>
          <w:sz w:val="21"/>
        </w:rPr>
        <w:t>in the </w:t>
      </w:r>
      <w:r>
        <w:rPr>
          <w:spacing w:val="-4"/>
          <w:w w:val="105"/>
          <w:sz w:val="21"/>
        </w:rPr>
        <w:t>community. </w:t>
      </w:r>
      <w:r>
        <w:rPr>
          <w:w w:val="105"/>
          <w:sz w:val="21"/>
        </w:rPr>
        <w:t>The Law </w:t>
      </w:r>
      <w:r>
        <w:rPr>
          <w:spacing w:val="-3"/>
          <w:w w:val="105"/>
          <w:sz w:val="21"/>
        </w:rPr>
        <w:t>Institute </w:t>
      </w:r>
      <w:r>
        <w:rPr>
          <w:w w:val="105"/>
          <w:sz w:val="21"/>
        </w:rPr>
        <w:t>of Victoria stated </w:t>
      </w:r>
      <w:r>
        <w:rPr>
          <w:spacing w:val="-3"/>
          <w:w w:val="105"/>
          <w:sz w:val="21"/>
        </w:rPr>
        <w:t>that </w:t>
      </w:r>
      <w:r>
        <w:rPr>
          <w:w w:val="105"/>
          <w:sz w:val="21"/>
        </w:rPr>
        <w:t>tree </w:t>
      </w:r>
      <w:r>
        <w:rPr>
          <w:spacing w:val="-3"/>
          <w:w w:val="105"/>
          <w:sz w:val="21"/>
        </w:rPr>
        <w:t>disputes </w:t>
      </w:r>
      <w:r>
        <w:rPr>
          <w:spacing w:val="-4"/>
          <w:w w:val="105"/>
          <w:sz w:val="21"/>
        </w:rPr>
        <w:t>‘occur </w:t>
      </w:r>
      <w:r>
        <w:rPr>
          <w:w w:val="105"/>
          <w:sz w:val="21"/>
        </w:rPr>
        <w:t>with </w:t>
      </w:r>
      <w:r>
        <w:rPr>
          <w:spacing w:val="-3"/>
          <w:w w:val="105"/>
          <w:sz w:val="21"/>
        </w:rPr>
        <w:t>relative </w:t>
      </w:r>
      <w:r>
        <w:rPr>
          <w:w w:val="105"/>
          <w:sz w:val="21"/>
        </w:rPr>
        <w:t>frequency’</w:t>
      </w:r>
      <w:r>
        <w:rPr>
          <w:w w:val="105"/>
          <w:position w:val="7"/>
          <w:sz w:val="12"/>
        </w:rPr>
        <w:t>27 </w:t>
      </w:r>
      <w:r>
        <w:rPr>
          <w:w w:val="105"/>
          <w:sz w:val="21"/>
        </w:rPr>
        <w:t>and Barwon </w:t>
      </w:r>
      <w:r>
        <w:rPr>
          <w:spacing w:val="-3"/>
          <w:w w:val="105"/>
          <w:sz w:val="21"/>
        </w:rPr>
        <w:t>Community </w:t>
      </w:r>
      <w:r>
        <w:rPr>
          <w:w w:val="105"/>
          <w:sz w:val="21"/>
        </w:rPr>
        <w:t>Legal Service reported </w:t>
      </w:r>
      <w:r>
        <w:rPr>
          <w:spacing w:val="-3"/>
          <w:w w:val="105"/>
          <w:sz w:val="21"/>
        </w:rPr>
        <w:t>that </w:t>
      </w:r>
      <w:r>
        <w:rPr>
          <w:w w:val="105"/>
          <w:sz w:val="21"/>
        </w:rPr>
        <w:t>between April </w:t>
      </w:r>
      <w:r>
        <w:rPr>
          <w:spacing w:val="-9"/>
          <w:w w:val="105"/>
          <w:sz w:val="21"/>
        </w:rPr>
        <w:t>2017 </w:t>
      </w:r>
      <w:r>
        <w:rPr>
          <w:w w:val="105"/>
          <w:sz w:val="21"/>
        </w:rPr>
        <w:t>and</w:t>
      </w:r>
      <w:r>
        <w:rPr>
          <w:spacing w:val="-8"/>
          <w:w w:val="105"/>
          <w:sz w:val="21"/>
        </w:rPr>
        <w:t> </w:t>
      </w:r>
      <w:r>
        <w:rPr>
          <w:spacing w:val="-3"/>
          <w:w w:val="105"/>
          <w:sz w:val="21"/>
        </w:rPr>
        <w:t>March</w:t>
      </w:r>
      <w:r>
        <w:rPr>
          <w:spacing w:val="-8"/>
          <w:w w:val="105"/>
          <w:sz w:val="21"/>
        </w:rPr>
        <w:t> </w:t>
      </w:r>
      <w:r>
        <w:rPr>
          <w:spacing w:val="-7"/>
          <w:w w:val="105"/>
          <w:sz w:val="21"/>
        </w:rPr>
        <w:t>2018 </w:t>
      </w:r>
      <w:r>
        <w:rPr>
          <w:w w:val="105"/>
          <w:sz w:val="21"/>
        </w:rPr>
        <w:t>it</w:t>
      </w:r>
      <w:r>
        <w:rPr>
          <w:spacing w:val="-8"/>
          <w:w w:val="105"/>
          <w:sz w:val="21"/>
        </w:rPr>
        <w:t> </w:t>
      </w:r>
      <w:r>
        <w:rPr>
          <w:w w:val="105"/>
          <w:sz w:val="21"/>
        </w:rPr>
        <w:t>provided</w:t>
      </w:r>
      <w:r>
        <w:rPr>
          <w:spacing w:val="-8"/>
          <w:w w:val="105"/>
          <w:sz w:val="21"/>
        </w:rPr>
        <w:t> </w:t>
      </w:r>
      <w:r>
        <w:rPr>
          <w:w w:val="105"/>
          <w:sz w:val="21"/>
        </w:rPr>
        <w:t>legal</w:t>
      </w:r>
      <w:r>
        <w:rPr>
          <w:spacing w:val="-7"/>
          <w:w w:val="105"/>
          <w:sz w:val="21"/>
        </w:rPr>
        <w:t> </w:t>
      </w:r>
      <w:r>
        <w:rPr>
          <w:w w:val="105"/>
          <w:sz w:val="21"/>
        </w:rPr>
        <w:t>advice</w:t>
      </w:r>
      <w:r>
        <w:rPr>
          <w:spacing w:val="-8"/>
          <w:w w:val="105"/>
          <w:sz w:val="21"/>
        </w:rPr>
        <w:t> </w:t>
      </w:r>
      <w:r>
        <w:rPr>
          <w:spacing w:val="-3"/>
          <w:w w:val="105"/>
          <w:sz w:val="21"/>
        </w:rPr>
        <w:t>to</w:t>
      </w:r>
      <w:r>
        <w:rPr>
          <w:spacing w:val="-7"/>
          <w:w w:val="105"/>
          <w:sz w:val="21"/>
        </w:rPr>
        <w:t> </w:t>
      </w:r>
      <w:r>
        <w:rPr>
          <w:spacing w:val="-3"/>
          <w:w w:val="105"/>
          <w:sz w:val="21"/>
        </w:rPr>
        <w:t>eight</w:t>
      </w:r>
      <w:r>
        <w:rPr>
          <w:spacing w:val="-8"/>
          <w:w w:val="105"/>
          <w:sz w:val="21"/>
        </w:rPr>
        <w:t> </w:t>
      </w:r>
      <w:r>
        <w:rPr>
          <w:w w:val="105"/>
          <w:sz w:val="21"/>
        </w:rPr>
        <w:t>clients</w:t>
      </w:r>
      <w:r>
        <w:rPr>
          <w:spacing w:val="-8"/>
          <w:w w:val="105"/>
          <w:sz w:val="21"/>
        </w:rPr>
        <w:t> </w:t>
      </w:r>
      <w:r>
        <w:rPr>
          <w:w w:val="105"/>
          <w:sz w:val="21"/>
        </w:rPr>
        <w:t>with</w:t>
      </w:r>
      <w:r>
        <w:rPr>
          <w:spacing w:val="-7"/>
          <w:w w:val="105"/>
          <w:sz w:val="21"/>
        </w:rPr>
        <w:t> </w:t>
      </w:r>
      <w:r>
        <w:rPr>
          <w:w w:val="105"/>
          <w:sz w:val="21"/>
        </w:rPr>
        <w:t>tree</w:t>
      </w:r>
      <w:r>
        <w:rPr>
          <w:spacing w:val="-8"/>
          <w:w w:val="105"/>
          <w:sz w:val="21"/>
        </w:rPr>
        <w:t> </w:t>
      </w:r>
      <w:r>
        <w:rPr>
          <w:w w:val="105"/>
          <w:sz w:val="21"/>
        </w:rPr>
        <w:t>disputes.</w:t>
      </w:r>
      <w:r>
        <w:rPr>
          <w:w w:val="105"/>
          <w:position w:val="7"/>
          <w:sz w:val="12"/>
        </w:rPr>
        <w:t>28</w:t>
      </w:r>
      <w:r>
        <w:rPr>
          <w:spacing w:val="15"/>
          <w:w w:val="105"/>
          <w:position w:val="7"/>
          <w:sz w:val="12"/>
        </w:rPr>
        <w:t> </w:t>
      </w:r>
      <w:r>
        <w:rPr>
          <w:w w:val="105"/>
          <w:sz w:val="21"/>
        </w:rPr>
        <w:t>Arborists suggested </w:t>
      </w:r>
      <w:r>
        <w:rPr>
          <w:spacing w:val="-3"/>
          <w:w w:val="105"/>
          <w:sz w:val="21"/>
        </w:rPr>
        <w:t>that </w:t>
      </w:r>
      <w:r>
        <w:rPr>
          <w:w w:val="105"/>
          <w:sz w:val="21"/>
        </w:rPr>
        <w:t>they come across tree </w:t>
      </w:r>
      <w:r>
        <w:rPr>
          <w:spacing w:val="-3"/>
          <w:w w:val="105"/>
          <w:sz w:val="21"/>
        </w:rPr>
        <w:t>disputes frequently during </w:t>
      </w:r>
      <w:r>
        <w:rPr>
          <w:w w:val="105"/>
          <w:sz w:val="21"/>
        </w:rPr>
        <w:t>the course of their work.</w:t>
      </w:r>
      <w:r>
        <w:rPr>
          <w:w w:val="105"/>
          <w:position w:val="7"/>
          <w:sz w:val="12"/>
        </w:rPr>
        <w:t>29</w:t>
      </w:r>
    </w:p>
    <w:p>
      <w:pPr>
        <w:pStyle w:val="ListParagraph"/>
        <w:numPr>
          <w:ilvl w:val="1"/>
          <w:numId w:val="16"/>
        </w:numPr>
        <w:tabs>
          <w:tab w:pos="2380" w:val="left" w:leader="none"/>
          <w:tab w:pos="2381" w:val="left" w:leader="none"/>
        </w:tabs>
        <w:spacing w:line="242" w:lineRule="auto" w:before="126" w:after="0"/>
        <w:ind w:left="2381" w:right="1704" w:hanging="794"/>
        <w:jc w:val="left"/>
        <w:rPr>
          <w:sz w:val="21"/>
        </w:rPr>
      </w:pPr>
      <w:r>
        <w:rPr>
          <w:w w:val="105"/>
          <w:sz w:val="21"/>
        </w:rPr>
        <w:t>This </w:t>
      </w:r>
      <w:r>
        <w:rPr>
          <w:spacing w:val="-3"/>
          <w:w w:val="105"/>
          <w:sz w:val="21"/>
        </w:rPr>
        <w:t>accords </w:t>
      </w:r>
      <w:r>
        <w:rPr>
          <w:w w:val="105"/>
          <w:sz w:val="21"/>
        </w:rPr>
        <w:t>with </w:t>
      </w:r>
      <w:r>
        <w:rPr>
          <w:spacing w:val="-3"/>
          <w:w w:val="105"/>
          <w:sz w:val="21"/>
        </w:rPr>
        <w:t>information </w:t>
      </w:r>
      <w:r>
        <w:rPr>
          <w:w w:val="105"/>
          <w:sz w:val="21"/>
        </w:rPr>
        <w:t>provided by the Land and </w:t>
      </w:r>
      <w:r>
        <w:rPr>
          <w:spacing w:val="-3"/>
          <w:w w:val="105"/>
          <w:sz w:val="21"/>
        </w:rPr>
        <w:t>Environment Court </w:t>
      </w:r>
      <w:r>
        <w:rPr>
          <w:w w:val="105"/>
          <w:sz w:val="21"/>
        </w:rPr>
        <w:t>of New South </w:t>
      </w:r>
      <w:r>
        <w:rPr>
          <w:spacing w:val="-3"/>
          <w:w w:val="105"/>
          <w:sz w:val="21"/>
        </w:rPr>
        <w:t>Wales </w:t>
      </w:r>
      <w:r>
        <w:rPr>
          <w:w w:val="105"/>
          <w:sz w:val="21"/>
        </w:rPr>
        <w:t>(NSWLEC) which </w:t>
      </w:r>
      <w:r>
        <w:rPr>
          <w:spacing w:val="-2"/>
          <w:w w:val="105"/>
          <w:sz w:val="21"/>
        </w:rPr>
        <w:t>estimated </w:t>
      </w:r>
      <w:r>
        <w:rPr>
          <w:spacing w:val="-3"/>
          <w:w w:val="105"/>
          <w:sz w:val="21"/>
        </w:rPr>
        <w:t>that </w:t>
      </w:r>
      <w:r>
        <w:rPr>
          <w:w w:val="105"/>
          <w:sz w:val="21"/>
        </w:rPr>
        <w:t>in New South </w:t>
      </w:r>
      <w:r>
        <w:rPr>
          <w:spacing w:val="-3"/>
          <w:w w:val="105"/>
          <w:sz w:val="21"/>
        </w:rPr>
        <w:t>Wales </w:t>
      </w:r>
      <w:r>
        <w:rPr>
          <w:w w:val="105"/>
          <w:sz w:val="21"/>
        </w:rPr>
        <w:t>the tree </w:t>
      </w:r>
      <w:r>
        <w:rPr>
          <w:spacing w:val="-3"/>
          <w:w w:val="105"/>
          <w:sz w:val="21"/>
        </w:rPr>
        <w:t>disputes that </w:t>
      </w:r>
      <w:r>
        <w:rPr>
          <w:w w:val="105"/>
          <w:sz w:val="21"/>
        </w:rPr>
        <w:t>proceed </w:t>
      </w:r>
      <w:r>
        <w:rPr>
          <w:spacing w:val="-3"/>
          <w:w w:val="105"/>
          <w:sz w:val="21"/>
        </w:rPr>
        <w:t>through to </w:t>
      </w:r>
      <w:r>
        <w:rPr>
          <w:w w:val="105"/>
          <w:sz w:val="21"/>
        </w:rPr>
        <w:t>the </w:t>
      </w:r>
      <w:r>
        <w:rPr>
          <w:spacing w:val="-3"/>
          <w:w w:val="105"/>
          <w:sz w:val="21"/>
        </w:rPr>
        <w:t>Court represent </w:t>
      </w:r>
      <w:r>
        <w:rPr>
          <w:w w:val="105"/>
          <w:sz w:val="21"/>
        </w:rPr>
        <w:t>only a </w:t>
      </w:r>
      <w:r>
        <w:rPr>
          <w:spacing w:val="-3"/>
          <w:w w:val="105"/>
          <w:sz w:val="21"/>
        </w:rPr>
        <w:t>small </w:t>
      </w:r>
      <w:r>
        <w:rPr>
          <w:w w:val="105"/>
          <w:sz w:val="21"/>
        </w:rPr>
        <w:t>proportion of those </w:t>
      </w:r>
      <w:r>
        <w:rPr>
          <w:spacing w:val="-3"/>
          <w:w w:val="105"/>
          <w:sz w:val="21"/>
        </w:rPr>
        <w:t>occurring </w:t>
      </w:r>
      <w:r>
        <w:rPr>
          <w:w w:val="105"/>
          <w:sz w:val="21"/>
        </w:rPr>
        <w:t>in the </w:t>
      </w:r>
      <w:r>
        <w:rPr>
          <w:spacing w:val="-3"/>
          <w:w w:val="105"/>
          <w:sz w:val="21"/>
        </w:rPr>
        <w:t>community.</w:t>
      </w:r>
      <w:r>
        <w:rPr>
          <w:spacing w:val="-3"/>
          <w:w w:val="105"/>
          <w:position w:val="7"/>
          <w:sz w:val="12"/>
        </w:rPr>
        <w:t>30</w:t>
      </w:r>
    </w:p>
    <w:p>
      <w:pPr>
        <w:pStyle w:val="ListParagraph"/>
        <w:numPr>
          <w:ilvl w:val="1"/>
          <w:numId w:val="16"/>
        </w:numPr>
        <w:tabs>
          <w:tab w:pos="2380" w:val="left" w:leader="none"/>
          <w:tab w:pos="2381" w:val="left" w:leader="none"/>
        </w:tabs>
        <w:spacing w:line="242" w:lineRule="auto" w:before="125" w:after="0"/>
        <w:ind w:left="2381" w:right="1650" w:hanging="794"/>
        <w:jc w:val="left"/>
        <w:rPr>
          <w:sz w:val="21"/>
        </w:rPr>
      </w:pPr>
      <w:r>
        <w:rPr>
          <w:spacing w:val="-3"/>
          <w:w w:val="105"/>
          <w:sz w:val="21"/>
        </w:rPr>
        <w:t>Many</w:t>
      </w:r>
      <w:r>
        <w:rPr>
          <w:spacing w:val="-10"/>
          <w:w w:val="105"/>
          <w:sz w:val="21"/>
        </w:rPr>
        <w:t> </w:t>
      </w:r>
      <w:r>
        <w:rPr>
          <w:w w:val="105"/>
          <w:sz w:val="21"/>
        </w:rPr>
        <w:t>people</w:t>
      </w:r>
      <w:r>
        <w:rPr>
          <w:spacing w:val="-9"/>
          <w:w w:val="105"/>
          <w:sz w:val="21"/>
        </w:rPr>
        <w:t> </w:t>
      </w:r>
      <w:r>
        <w:rPr>
          <w:w w:val="105"/>
          <w:sz w:val="21"/>
        </w:rPr>
        <w:t>in</w:t>
      </w:r>
      <w:r>
        <w:rPr>
          <w:spacing w:val="-10"/>
          <w:w w:val="105"/>
          <w:sz w:val="21"/>
        </w:rPr>
        <w:t> </w:t>
      </w:r>
      <w:r>
        <w:rPr>
          <w:w w:val="105"/>
          <w:sz w:val="21"/>
        </w:rPr>
        <w:t>Victoria</w:t>
      </w:r>
      <w:r>
        <w:rPr>
          <w:spacing w:val="-9"/>
          <w:w w:val="105"/>
          <w:sz w:val="21"/>
        </w:rPr>
        <w:t> </w:t>
      </w:r>
      <w:r>
        <w:rPr>
          <w:w w:val="105"/>
          <w:sz w:val="21"/>
        </w:rPr>
        <w:t>contact</w:t>
      </w:r>
      <w:r>
        <w:rPr>
          <w:spacing w:val="-9"/>
          <w:w w:val="105"/>
          <w:sz w:val="21"/>
        </w:rPr>
        <w:t> </w:t>
      </w:r>
      <w:r>
        <w:rPr>
          <w:w w:val="105"/>
          <w:sz w:val="21"/>
        </w:rPr>
        <w:t>their</w:t>
      </w:r>
      <w:r>
        <w:rPr>
          <w:spacing w:val="-10"/>
          <w:w w:val="105"/>
          <w:sz w:val="21"/>
        </w:rPr>
        <w:t> </w:t>
      </w:r>
      <w:r>
        <w:rPr>
          <w:w w:val="105"/>
          <w:sz w:val="21"/>
        </w:rPr>
        <w:t>local</w:t>
      </w:r>
      <w:r>
        <w:rPr>
          <w:spacing w:val="-9"/>
          <w:w w:val="105"/>
          <w:sz w:val="21"/>
        </w:rPr>
        <w:t> </w:t>
      </w:r>
      <w:r>
        <w:rPr>
          <w:spacing w:val="-3"/>
          <w:w w:val="105"/>
          <w:sz w:val="21"/>
        </w:rPr>
        <w:t>council,</w:t>
      </w:r>
      <w:r>
        <w:rPr>
          <w:spacing w:val="-9"/>
          <w:w w:val="105"/>
          <w:sz w:val="21"/>
        </w:rPr>
        <w:t> </w:t>
      </w:r>
      <w:r>
        <w:rPr>
          <w:w w:val="105"/>
          <w:sz w:val="21"/>
        </w:rPr>
        <w:t>community</w:t>
      </w:r>
      <w:r>
        <w:rPr>
          <w:spacing w:val="-10"/>
          <w:w w:val="105"/>
          <w:sz w:val="21"/>
        </w:rPr>
        <w:t> </w:t>
      </w:r>
      <w:r>
        <w:rPr>
          <w:w w:val="105"/>
          <w:sz w:val="21"/>
        </w:rPr>
        <w:t>legal</w:t>
      </w:r>
      <w:r>
        <w:rPr>
          <w:spacing w:val="-9"/>
          <w:w w:val="105"/>
          <w:sz w:val="21"/>
        </w:rPr>
        <w:t> </w:t>
      </w:r>
      <w:r>
        <w:rPr>
          <w:spacing w:val="-3"/>
          <w:w w:val="105"/>
          <w:sz w:val="21"/>
        </w:rPr>
        <w:t>centre</w:t>
      </w:r>
      <w:r>
        <w:rPr>
          <w:spacing w:val="-9"/>
          <w:w w:val="105"/>
          <w:sz w:val="21"/>
        </w:rPr>
        <w:t> </w:t>
      </w:r>
      <w:r>
        <w:rPr>
          <w:w w:val="105"/>
          <w:sz w:val="21"/>
        </w:rPr>
        <w:t>or</w:t>
      </w:r>
      <w:r>
        <w:rPr>
          <w:spacing w:val="-10"/>
          <w:w w:val="105"/>
          <w:sz w:val="21"/>
        </w:rPr>
        <w:t> </w:t>
      </w:r>
      <w:r>
        <w:rPr>
          <w:w w:val="105"/>
          <w:sz w:val="21"/>
        </w:rPr>
        <w:t>an</w:t>
      </w:r>
      <w:r>
        <w:rPr>
          <w:spacing w:val="-9"/>
          <w:w w:val="105"/>
          <w:sz w:val="21"/>
        </w:rPr>
        <w:t> </w:t>
      </w:r>
      <w:r>
        <w:rPr>
          <w:w w:val="105"/>
          <w:sz w:val="21"/>
        </w:rPr>
        <w:t>arborist </w:t>
      </w:r>
      <w:r>
        <w:rPr>
          <w:spacing w:val="-3"/>
          <w:w w:val="105"/>
          <w:sz w:val="21"/>
        </w:rPr>
        <w:t>for</w:t>
      </w:r>
      <w:r>
        <w:rPr>
          <w:spacing w:val="-8"/>
          <w:w w:val="105"/>
          <w:sz w:val="21"/>
        </w:rPr>
        <w:t> </w:t>
      </w:r>
      <w:r>
        <w:rPr>
          <w:w w:val="105"/>
          <w:sz w:val="21"/>
        </w:rPr>
        <w:t>assistance</w:t>
      </w:r>
      <w:r>
        <w:rPr>
          <w:spacing w:val="-8"/>
          <w:w w:val="105"/>
          <w:sz w:val="21"/>
        </w:rPr>
        <w:t> </w:t>
      </w:r>
      <w:r>
        <w:rPr>
          <w:w w:val="105"/>
          <w:sz w:val="21"/>
        </w:rPr>
        <w:t>with</w:t>
      </w:r>
      <w:r>
        <w:rPr>
          <w:spacing w:val="-7"/>
          <w:w w:val="105"/>
          <w:sz w:val="21"/>
        </w:rPr>
        <w:t> </w:t>
      </w:r>
      <w:r>
        <w:rPr>
          <w:w w:val="105"/>
          <w:sz w:val="21"/>
        </w:rPr>
        <w:t>a</w:t>
      </w:r>
      <w:r>
        <w:rPr>
          <w:spacing w:val="-8"/>
          <w:w w:val="105"/>
          <w:sz w:val="21"/>
        </w:rPr>
        <w:t> </w:t>
      </w:r>
      <w:r>
        <w:rPr>
          <w:w w:val="105"/>
          <w:sz w:val="21"/>
        </w:rPr>
        <w:t>tree</w:t>
      </w:r>
      <w:r>
        <w:rPr>
          <w:spacing w:val="-7"/>
          <w:w w:val="105"/>
          <w:sz w:val="21"/>
        </w:rPr>
        <w:t> </w:t>
      </w:r>
      <w:r>
        <w:rPr>
          <w:spacing w:val="-3"/>
          <w:w w:val="105"/>
          <w:sz w:val="21"/>
        </w:rPr>
        <w:t>dispute.</w:t>
      </w:r>
      <w:r>
        <w:rPr>
          <w:spacing w:val="-3"/>
          <w:w w:val="105"/>
          <w:position w:val="7"/>
          <w:sz w:val="12"/>
        </w:rPr>
        <w:t>31</w:t>
      </w:r>
      <w:r>
        <w:rPr>
          <w:spacing w:val="15"/>
          <w:w w:val="105"/>
          <w:position w:val="7"/>
          <w:sz w:val="12"/>
        </w:rPr>
        <w:t> </w:t>
      </w:r>
      <w:r>
        <w:rPr>
          <w:w w:val="105"/>
          <w:sz w:val="21"/>
        </w:rPr>
        <w:t>Victorian</w:t>
      </w:r>
      <w:r>
        <w:rPr>
          <w:spacing w:val="-8"/>
          <w:w w:val="105"/>
          <w:sz w:val="21"/>
        </w:rPr>
        <w:t> </w:t>
      </w:r>
      <w:r>
        <w:rPr>
          <w:spacing w:val="-3"/>
          <w:w w:val="105"/>
          <w:sz w:val="21"/>
        </w:rPr>
        <w:t>councils</w:t>
      </w:r>
      <w:r>
        <w:rPr>
          <w:spacing w:val="-7"/>
          <w:w w:val="105"/>
          <w:sz w:val="21"/>
        </w:rPr>
        <w:t> </w:t>
      </w:r>
      <w:r>
        <w:rPr>
          <w:w w:val="105"/>
          <w:sz w:val="21"/>
        </w:rPr>
        <w:t>do</w:t>
      </w:r>
      <w:r>
        <w:rPr>
          <w:spacing w:val="-8"/>
          <w:w w:val="105"/>
          <w:sz w:val="21"/>
        </w:rPr>
        <w:t> </w:t>
      </w:r>
      <w:r>
        <w:rPr>
          <w:spacing w:val="-2"/>
          <w:w w:val="105"/>
          <w:sz w:val="21"/>
        </w:rPr>
        <w:t>not</w:t>
      </w:r>
      <w:r>
        <w:rPr>
          <w:spacing w:val="-7"/>
          <w:w w:val="105"/>
          <w:sz w:val="21"/>
        </w:rPr>
        <w:t> </w:t>
      </w:r>
      <w:r>
        <w:rPr>
          <w:w w:val="105"/>
          <w:sz w:val="21"/>
        </w:rPr>
        <w:t>typically</w:t>
      </w:r>
      <w:r>
        <w:rPr>
          <w:spacing w:val="-8"/>
          <w:w w:val="105"/>
          <w:sz w:val="21"/>
        </w:rPr>
        <w:t> </w:t>
      </w:r>
      <w:r>
        <w:rPr>
          <w:spacing w:val="-3"/>
          <w:w w:val="105"/>
          <w:sz w:val="21"/>
        </w:rPr>
        <w:t>keep</w:t>
      </w:r>
      <w:r>
        <w:rPr>
          <w:spacing w:val="-7"/>
          <w:w w:val="105"/>
          <w:sz w:val="21"/>
        </w:rPr>
        <w:t> </w:t>
      </w:r>
      <w:r>
        <w:rPr>
          <w:spacing w:val="-3"/>
          <w:w w:val="105"/>
          <w:sz w:val="21"/>
        </w:rPr>
        <w:t>formal</w:t>
      </w:r>
      <w:r>
        <w:rPr>
          <w:spacing w:val="-8"/>
          <w:w w:val="105"/>
          <w:sz w:val="21"/>
        </w:rPr>
        <w:t> </w:t>
      </w:r>
      <w:r>
        <w:rPr>
          <w:spacing w:val="-3"/>
          <w:w w:val="105"/>
          <w:sz w:val="21"/>
        </w:rPr>
        <w:t>records </w:t>
      </w:r>
      <w:r>
        <w:rPr>
          <w:w w:val="105"/>
          <w:sz w:val="21"/>
        </w:rPr>
        <w:t>of the number of </w:t>
      </w:r>
      <w:r>
        <w:rPr>
          <w:spacing w:val="-3"/>
          <w:w w:val="105"/>
          <w:sz w:val="21"/>
        </w:rPr>
        <w:t>enquiries relating to </w:t>
      </w:r>
      <w:r>
        <w:rPr>
          <w:w w:val="105"/>
          <w:sz w:val="21"/>
        </w:rPr>
        <w:t>tree </w:t>
      </w:r>
      <w:r>
        <w:rPr>
          <w:spacing w:val="-3"/>
          <w:w w:val="105"/>
          <w:sz w:val="21"/>
        </w:rPr>
        <w:t>disputes, </w:t>
      </w:r>
      <w:r>
        <w:rPr>
          <w:w w:val="105"/>
          <w:sz w:val="21"/>
        </w:rPr>
        <w:t>which they view as </w:t>
      </w:r>
      <w:r>
        <w:rPr>
          <w:spacing w:val="-3"/>
          <w:w w:val="105"/>
          <w:sz w:val="21"/>
        </w:rPr>
        <w:t>private, </w:t>
      </w:r>
      <w:r>
        <w:rPr>
          <w:w w:val="105"/>
          <w:sz w:val="21"/>
        </w:rPr>
        <w:t>civil matters outside the role of local </w:t>
      </w:r>
      <w:r>
        <w:rPr>
          <w:spacing w:val="-3"/>
          <w:w w:val="105"/>
          <w:sz w:val="21"/>
        </w:rPr>
        <w:t>councils. </w:t>
      </w:r>
      <w:r>
        <w:rPr>
          <w:w w:val="105"/>
          <w:sz w:val="21"/>
        </w:rPr>
        <w:t>Local </w:t>
      </w:r>
      <w:r>
        <w:rPr>
          <w:spacing w:val="-3"/>
          <w:w w:val="105"/>
          <w:sz w:val="21"/>
        </w:rPr>
        <w:t>councils </w:t>
      </w:r>
      <w:r>
        <w:rPr>
          <w:w w:val="105"/>
          <w:sz w:val="21"/>
        </w:rPr>
        <w:t>typically </w:t>
      </w:r>
      <w:r>
        <w:rPr>
          <w:spacing w:val="-3"/>
          <w:w w:val="105"/>
          <w:sz w:val="21"/>
        </w:rPr>
        <w:t>refer such enquiries to </w:t>
      </w:r>
      <w:r>
        <w:rPr>
          <w:spacing w:val="-4"/>
          <w:w w:val="105"/>
          <w:sz w:val="21"/>
        </w:rPr>
        <w:t>DSCV.</w:t>
      </w:r>
      <w:r>
        <w:rPr>
          <w:spacing w:val="-4"/>
          <w:w w:val="105"/>
          <w:position w:val="7"/>
          <w:sz w:val="12"/>
        </w:rPr>
        <w:t>32</w:t>
      </w:r>
    </w:p>
    <w:p>
      <w:pPr>
        <w:pStyle w:val="ListParagraph"/>
        <w:numPr>
          <w:ilvl w:val="1"/>
          <w:numId w:val="16"/>
        </w:numPr>
        <w:tabs>
          <w:tab w:pos="2381" w:val="left" w:leader="none"/>
          <w:tab w:pos="2382" w:val="left" w:leader="none"/>
        </w:tabs>
        <w:spacing w:line="242" w:lineRule="auto" w:before="125" w:after="0"/>
        <w:ind w:left="2381" w:right="1735" w:hanging="794"/>
        <w:jc w:val="left"/>
        <w:rPr>
          <w:sz w:val="21"/>
        </w:rPr>
      </w:pPr>
      <w:r>
        <w:rPr>
          <w:spacing w:val="-4"/>
          <w:w w:val="105"/>
          <w:sz w:val="21"/>
        </w:rPr>
        <w:t>However,</w:t>
      </w:r>
      <w:r>
        <w:rPr>
          <w:spacing w:val="-8"/>
          <w:w w:val="105"/>
          <w:sz w:val="21"/>
        </w:rPr>
        <w:t> </w:t>
      </w:r>
      <w:r>
        <w:rPr>
          <w:w w:val="105"/>
          <w:sz w:val="21"/>
        </w:rPr>
        <w:t>some</w:t>
      </w:r>
      <w:r>
        <w:rPr>
          <w:spacing w:val="-8"/>
          <w:w w:val="105"/>
          <w:sz w:val="21"/>
        </w:rPr>
        <w:t> </w:t>
      </w:r>
      <w:r>
        <w:rPr>
          <w:w w:val="105"/>
          <w:sz w:val="21"/>
        </w:rPr>
        <w:t>local</w:t>
      </w:r>
      <w:r>
        <w:rPr>
          <w:spacing w:val="-8"/>
          <w:w w:val="105"/>
          <w:sz w:val="21"/>
        </w:rPr>
        <w:t> </w:t>
      </w:r>
      <w:r>
        <w:rPr>
          <w:spacing w:val="-3"/>
          <w:w w:val="105"/>
          <w:sz w:val="21"/>
        </w:rPr>
        <w:t>councils</w:t>
      </w:r>
      <w:r>
        <w:rPr>
          <w:spacing w:val="-8"/>
          <w:w w:val="105"/>
          <w:sz w:val="21"/>
        </w:rPr>
        <w:t> </w:t>
      </w:r>
      <w:r>
        <w:rPr>
          <w:spacing w:val="-3"/>
          <w:w w:val="105"/>
          <w:sz w:val="21"/>
        </w:rPr>
        <w:t>were</w:t>
      </w:r>
      <w:r>
        <w:rPr>
          <w:spacing w:val="-7"/>
          <w:w w:val="105"/>
          <w:sz w:val="21"/>
        </w:rPr>
        <w:t> </w:t>
      </w:r>
      <w:r>
        <w:rPr>
          <w:w w:val="105"/>
          <w:sz w:val="21"/>
        </w:rPr>
        <w:t>able</w:t>
      </w:r>
      <w:r>
        <w:rPr>
          <w:spacing w:val="-8"/>
          <w:w w:val="105"/>
          <w:sz w:val="21"/>
        </w:rPr>
        <w:t> </w:t>
      </w:r>
      <w:r>
        <w:rPr>
          <w:spacing w:val="-3"/>
          <w:w w:val="105"/>
          <w:sz w:val="21"/>
        </w:rPr>
        <w:t>to</w:t>
      </w:r>
      <w:r>
        <w:rPr>
          <w:spacing w:val="-8"/>
          <w:w w:val="105"/>
          <w:sz w:val="21"/>
        </w:rPr>
        <w:t> </w:t>
      </w:r>
      <w:r>
        <w:rPr>
          <w:w w:val="105"/>
          <w:sz w:val="21"/>
        </w:rPr>
        <w:t>provide</w:t>
      </w:r>
      <w:r>
        <w:rPr>
          <w:spacing w:val="-8"/>
          <w:w w:val="105"/>
          <w:sz w:val="21"/>
        </w:rPr>
        <w:t> </w:t>
      </w:r>
      <w:r>
        <w:rPr>
          <w:spacing w:val="-2"/>
          <w:w w:val="105"/>
          <w:sz w:val="21"/>
        </w:rPr>
        <w:t>estimates</w:t>
      </w:r>
      <w:r>
        <w:rPr>
          <w:spacing w:val="-8"/>
          <w:w w:val="105"/>
          <w:sz w:val="21"/>
        </w:rPr>
        <w:t> </w:t>
      </w:r>
      <w:r>
        <w:rPr>
          <w:w w:val="105"/>
          <w:sz w:val="21"/>
        </w:rPr>
        <w:t>on</w:t>
      </w:r>
      <w:r>
        <w:rPr>
          <w:spacing w:val="-7"/>
          <w:w w:val="105"/>
          <w:sz w:val="21"/>
        </w:rPr>
        <w:t> </w:t>
      </w:r>
      <w:r>
        <w:rPr>
          <w:w w:val="105"/>
          <w:sz w:val="21"/>
        </w:rPr>
        <w:t>the</w:t>
      </w:r>
      <w:r>
        <w:rPr>
          <w:spacing w:val="-8"/>
          <w:w w:val="105"/>
          <w:sz w:val="21"/>
        </w:rPr>
        <w:t> </w:t>
      </w:r>
      <w:r>
        <w:rPr>
          <w:w w:val="105"/>
          <w:sz w:val="21"/>
        </w:rPr>
        <w:t>number</w:t>
      </w:r>
      <w:r>
        <w:rPr>
          <w:spacing w:val="-8"/>
          <w:w w:val="105"/>
          <w:sz w:val="21"/>
        </w:rPr>
        <w:t> </w:t>
      </w:r>
      <w:r>
        <w:rPr>
          <w:w w:val="105"/>
          <w:sz w:val="21"/>
        </w:rPr>
        <w:t>of</w:t>
      </w:r>
      <w:r>
        <w:rPr>
          <w:spacing w:val="-8"/>
          <w:w w:val="105"/>
          <w:sz w:val="21"/>
        </w:rPr>
        <w:t> </w:t>
      </w:r>
      <w:r>
        <w:rPr>
          <w:spacing w:val="-3"/>
          <w:w w:val="105"/>
          <w:sz w:val="21"/>
        </w:rPr>
        <w:t>enquiries </w:t>
      </w:r>
      <w:r>
        <w:rPr>
          <w:w w:val="105"/>
          <w:sz w:val="21"/>
        </w:rPr>
        <w:t>they </w:t>
      </w:r>
      <w:r>
        <w:rPr>
          <w:spacing w:val="-3"/>
          <w:w w:val="105"/>
          <w:sz w:val="21"/>
        </w:rPr>
        <w:t>receive. </w:t>
      </w:r>
      <w:r>
        <w:rPr>
          <w:w w:val="105"/>
          <w:sz w:val="21"/>
        </w:rPr>
        <w:t>The number varies depending on the degree of vegetation in local </w:t>
      </w:r>
      <w:r>
        <w:rPr>
          <w:spacing w:val="-3"/>
          <w:w w:val="105"/>
          <w:sz w:val="21"/>
        </w:rPr>
        <w:t>council areas, </w:t>
      </w:r>
      <w:r>
        <w:rPr>
          <w:w w:val="105"/>
          <w:sz w:val="21"/>
        </w:rPr>
        <w:t>the location of the </w:t>
      </w:r>
      <w:r>
        <w:rPr>
          <w:spacing w:val="-3"/>
          <w:w w:val="105"/>
          <w:sz w:val="21"/>
        </w:rPr>
        <w:t>council </w:t>
      </w:r>
      <w:r>
        <w:rPr>
          <w:w w:val="105"/>
          <w:sz w:val="21"/>
        </w:rPr>
        <w:t>and record-keeping practices. The </w:t>
      </w:r>
      <w:r>
        <w:rPr>
          <w:spacing w:val="-3"/>
          <w:w w:val="105"/>
          <w:sz w:val="21"/>
        </w:rPr>
        <w:t>City </w:t>
      </w:r>
      <w:r>
        <w:rPr>
          <w:w w:val="105"/>
          <w:sz w:val="21"/>
        </w:rPr>
        <w:t>of </w:t>
      </w:r>
      <w:r>
        <w:rPr>
          <w:spacing w:val="-3"/>
          <w:w w:val="105"/>
          <w:sz w:val="21"/>
        </w:rPr>
        <w:t>Boroondara </w:t>
      </w:r>
      <w:r>
        <w:rPr>
          <w:w w:val="105"/>
          <w:sz w:val="21"/>
        </w:rPr>
        <w:t>reported</w:t>
      </w:r>
      <w:r>
        <w:rPr>
          <w:spacing w:val="-11"/>
          <w:w w:val="105"/>
          <w:sz w:val="21"/>
        </w:rPr>
        <w:t> </w:t>
      </w:r>
      <w:r>
        <w:rPr>
          <w:spacing w:val="-3"/>
          <w:w w:val="105"/>
          <w:sz w:val="21"/>
        </w:rPr>
        <w:t>that</w:t>
      </w:r>
      <w:r>
        <w:rPr>
          <w:spacing w:val="-10"/>
          <w:w w:val="105"/>
          <w:sz w:val="21"/>
        </w:rPr>
        <w:t> </w:t>
      </w:r>
      <w:r>
        <w:rPr>
          <w:w w:val="105"/>
          <w:sz w:val="21"/>
        </w:rPr>
        <w:t>it</w:t>
      </w:r>
      <w:r>
        <w:rPr>
          <w:spacing w:val="-10"/>
          <w:w w:val="105"/>
          <w:sz w:val="21"/>
        </w:rPr>
        <w:t> </w:t>
      </w:r>
      <w:r>
        <w:rPr>
          <w:w w:val="105"/>
          <w:sz w:val="21"/>
        </w:rPr>
        <w:t>receives</w:t>
      </w:r>
      <w:r>
        <w:rPr>
          <w:spacing w:val="-10"/>
          <w:w w:val="105"/>
          <w:sz w:val="21"/>
        </w:rPr>
        <w:t> </w:t>
      </w:r>
      <w:r>
        <w:rPr>
          <w:spacing w:val="-4"/>
          <w:w w:val="105"/>
          <w:sz w:val="21"/>
        </w:rPr>
        <w:t>‘multiple</w:t>
      </w:r>
      <w:r>
        <w:rPr>
          <w:spacing w:val="-11"/>
          <w:w w:val="105"/>
          <w:sz w:val="21"/>
        </w:rPr>
        <w:t> </w:t>
      </w:r>
      <w:r>
        <w:rPr>
          <w:spacing w:val="-3"/>
          <w:w w:val="105"/>
          <w:sz w:val="21"/>
        </w:rPr>
        <w:t>daily</w:t>
      </w:r>
      <w:r>
        <w:rPr>
          <w:spacing w:val="-10"/>
          <w:w w:val="105"/>
          <w:sz w:val="21"/>
        </w:rPr>
        <w:t> </w:t>
      </w:r>
      <w:r>
        <w:rPr>
          <w:spacing w:val="-3"/>
          <w:w w:val="105"/>
          <w:sz w:val="21"/>
        </w:rPr>
        <w:t>enquiries’</w:t>
      </w:r>
      <w:r>
        <w:rPr>
          <w:spacing w:val="-10"/>
          <w:w w:val="105"/>
          <w:sz w:val="21"/>
        </w:rPr>
        <w:t> </w:t>
      </w:r>
      <w:r>
        <w:rPr>
          <w:spacing w:val="-3"/>
          <w:w w:val="105"/>
          <w:sz w:val="21"/>
        </w:rPr>
        <w:t>from</w:t>
      </w:r>
      <w:r>
        <w:rPr>
          <w:spacing w:val="-10"/>
          <w:w w:val="105"/>
          <w:sz w:val="21"/>
        </w:rPr>
        <w:t> </w:t>
      </w:r>
      <w:r>
        <w:rPr>
          <w:w w:val="105"/>
          <w:sz w:val="21"/>
        </w:rPr>
        <w:t>residents</w:t>
      </w:r>
      <w:r>
        <w:rPr>
          <w:spacing w:val="-11"/>
          <w:w w:val="105"/>
          <w:sz w:val="21"/>
        </w:rPr>
        <w:t> </w:t>
      </w:r>
      <w:r>
        <w:rPr>
          <w:spacing w:val="-3"/>
          <w:w w:val="105"/>
          <w:sz w:val="21"/>
        </w:rPr>
        <w:t>asking</w:t>
      </w:r>
      <w:r>
        <w:rPr>
          <w:spacing w:val="-10"/>
          <w:w w:val="105"/>
          <w:sz w:val="21"/>
        </w:rPr>
        <w:t> </w:t>
      </w:r>
      <w:r>
        <w:rPr>
          <w:spacing w:val="-3"/>
          <w:w w:val="105"/>
          <w:sz w:val="21"/>
        </w:rPr>
        <w:t>for</w:t>
      </w:r>
      <w:r>
        <w:rPr>
          <w:spacing w:val="-10"/>
          <w:w w:val="105"/>
          <w:sz w:val="21"/>
        </w:rPr>
        <w:t> </w:t>
      </w:r>
      <w:r>
        <w:rPr>
          <w:w w:val="105"/>
          <w:sz w:val="21"/>
        </w:rPr>
        <w:t>help</w:t>
      </w:r>
      <w:r>
        <w:rPr>
          <w:spacing w:val="-10"/>
          <w:w w:val="105"/>
          <w:sz w:val="21"/>
        </w:rPr>
        <w:t> </w:t>
      </w:r>
      <w:r>
        <w:rPr>
          <w:w w:val="105"/>
          <w:sz w:val="21"/>
        </w:rPr>
        <w:t>with</w:t>
      </w:r>
      <w:r>
        <w:rPr>
          <w:spacing w:val="-11"/>
          <w:w w:val="105"/>
          <w:sz w:val="21"/>
        </w:rPr>
        <w:t> </w:t>
      </w:r>
      <w:r>
        <w:rPr>
          <w:w w:val="105"/>
          <w:sz w:val="21"/>
        </w:rPr>
        <w:t>tree </w:t>
      </w:r>
      <w:r>
        <w:rPr>
          <w:spacing w:val="-3"/>
          <w:w w:val="105"/>
          <w:sz w:val="21"/>
        </w:rPr>
        <w:t>disputes.</w:t>
      </w:r>
      <w:r>
        <w:rPr>
          <w:spacing w:val="-3"/>
          <w:w w:val="105"/>
          <w:position w:val="7"/>
          <w:sz w:val="12"/>
        </w:rPr>
        <w:t>33 </w:t>
      </w:r>
      <w:r>
        <w:rPr>
          <w:spacing w:val="-3"/>
          <w:w w:val="105"/>
          <w:sz w:val="21"/>
        </w:rPr>
        <w:t>Nillumbik Shire </w:t>
      </w:r>
      <w:r>
        <w:rPr>
          <w:spacing w:val="-4"/>
          <w:w w:val="105"/>
          <w:sz w:val="21"/>
        </w:rPr>
        <w:t>Council </w:t>
      </w:r>
      <w:r>
        <w:rPr>
          <w:w w:val="105"/>
          <w:sz w:val="21"/>
        </w:rPr>
        <w:t>reported </w:t>
      </w:r>
      <w:r>
        <w:rPr>
          <w:spacing w:val="-3"/>
          <w:w w:val="105"/>
          <w:sz w:val="21"/>
        </w:rPr>
        <w:t>that </w:t>
      </w:r>
      <w:r>
        <w:rPr>
          <w:w w:val="105"/>
          <w:sz w:val="21"/>
        </w:rPr>
        <w:t>it receives </w:t>
      </w:r>
      <w:r>
        <w:rPr>
          <w:spacing w:val="-3"/>
          <w:w w:val="105"/>
          <w:sz w:val="21"/>
        </w:rPr>
        <w:t>approximately </w:t>
      </w:r>
      <w:r>
        <w:rPr>
          <w:w w:val="105"/>
          <w:sz w:val="21"/>
        </w:rPr>
        <w:t>two </w:t>
      </w:r>
      <w:r>
        <w:rPr>
          <w:spacing w:val="-3"/>
          <w:w w:val="105"/>
          <w:sz w:val="21"/>
        </w:rPr>
        <w:t>enquiries </w:t>
      </w:r>
      <w:r>
        <w:rPr>
          <w:w w:val="105"/>
          <w:sz w:val="21"/>
        </w:rPr>
        <w:t>a week.</w:t>
      </w:r>
      <w:r>
        <w:rPr>
          <w:w w:val="105"/>
          <w:position w:val="7"/>
          <w:sz w:val="12"/>
        </w:rPr>
        <w:t>34 </w:t>
      </w:r>
      <w:r>
        <w:rPr>
          <w:w w:val="105"/>
          <w:sz w:val="21"/>
        </w:rPr>
        <w:t>The </w:t>
      </w:r>
      <w:r>
        <w:rPr>
          <w:spacing w:val="-3"/>
          <w:w w:val="105"/>
          <w:sz w:val="21"/>
        </w:rPr>
        <w:t>City </w:t>
      </w:r>
      <w:r>
        <w:rPr>
          <w:w w:val="105"/>
          <w:sz w:val="21"/>
        </w:rPr>
        <w:t>of Port </w:t>
      </w:r>
      <w:r>
        <w:rPr>
          <w:spacing w:val="-3"/>
          <w:w w:val="105"/>
          <w:sz w:val="21"/>
        </w:rPr>
        <w:t>Phillip </w:t>
      </w:r>
      <w:r>
        <w:rPr>
          <w:spacing w:val="-2"/>
          <w:w w:val="105"/>
          <w:sz w:val="21"/>
        </w:rPr>
        <w:t>estimated </w:t>
      </w:r>
      <w:r>
        <w:rPr>
          <w:spacing w:val="-3"/>
          <w:w w:val="105"/>
          <w:sz w:val="21"/>
        </w:rPr>
        <w:t>that </w:t>
      </w:r>
      <w:r>
        <w:rPr>
          <w:w w:val="105"/>
          <w:sz w:val="21"/>
        </w:rPr>
        <w:t>it receives </w:t>
      </w:r>
      <w:r>
        <w:rPr>
          <w:spacing w:val="-3"/>
          <w:w w:val="105"/>
          <w:sz w:val="21"/>
        </w:rPr>
        <w:t>approximately 20 enquiries </w:t>
      </w:r>
      <w:r>
        <w:rPr>
          <w:w w:val="105"/>
          <w:sz w:val="21"/>
        </w:rPr>
        <w:t>a </w:t>
      </w:r>
      <w:r>
        <w:rPr>
          <w:spacing w:val="-4"/>
          <w:w w:val="105"/>
          <w:sz w:val="21"/>
        </w:rPr>
        <w:t>year.</w:t>
      </w:r>
      <w:r>
        <w:rPr>
          <w:spacing w:val="-4"/>
          <w:w w:val="105"/>
          <w:position w:val="7"/>
          <w:sz w:val="12"/>
        </w:rPr>
        <w:t>35 </w:t>
      </w:r>
      <w:r>
        <w:rPr>
          <w:w w:val="105"/>
          <w:sz w:val="21"/>
        </w:rPr>
        <w:t>Baw Baw </w:t>
      </w:r>
      <w:r>
        <w:rPr>
          <w:spacing w:val="-3"/>
          <w:w w:val="105"/>
          <w:sz w:val="21"/>
        </w:rPr>
        <w:t>Shire </w:t>
      </w:r>
      <w:r>
        <w:rPr>
          <w:spacing w:val="-4"/>
          <w:w w:val="105"/>
          <w:sz w:val="21"/>
        </w:rPr>
        <w:t>Council </w:t>
      </w:r>
      <w:r>
        <w:rPr>
          <w:w w:val="105"/>
          <w:sz w:val="21"/>
        </w:rPr>
        <w:t>reported </w:t>
      </w:r>
      <w:r>
        <w:rPr>
          <w:spacing w:val="-3"/>
          <w:w w:val="105"/>
          <w:sz w:val="21"/>
        </w:rPr>
        <w:t>that </w:t>
      </w:r>
      <w:r>
        <w:rPr>
          <w:w w:val="105"/>
          <w:sz w:val="21"/>
        </w:rPr>
        <w:t>its </w:t>
      </w:r>
      <w:r>
        <w:rPr>
          <w:spacing w:val="-3"/>
          <w:w w:val="105"/>
          <w:sz w:val="21"/>
        </w:rPr>
        <w:t>front </w:t>
      </w:r>
      <w:r>
        <w:rPr>
          <w:w w:val="105"/>
          <w:sz w:val="21"/>
        </w:rPr>
        <w:t>desk staff receive </w:t>
      </w:r>
      <w:r>
        <w:rPr>
          <w:spacing w:val="-3"/>
          <w:w w:val="105"/>
          <w:sz w:val="21"/>
        </w:rPr>
        <w:t>enquiries </w:t>
      </w:r>
      <w:r>
        <w:rPr>
          <w:w w:val="105"/>
          <w:sz w:val="21"/>
        </w:rPr>
        <w:t>about tree </w:t>
      </w:r>
      <w:r>
        <w:rPr>
          <w:spacing w:val="-3"/>
          <w:w w:val="105"/>
          <w:sz w:val="21"/>
        </w:rPr>
        <w:t>disputes </w:t>
      </w:r>
      <w:r>
        <w:rPr>
          <w:w w:val="105"/>
          <w:sz w:val="21"/>
        </w:rPr>
        <w:t>‘from time </w:t>
      </w:r>
      <w:r>
        <w:rPr>
          <w:spacing w:val="-3"/>
          <w:w w:val="105"/>
          <w:sz w:val="21"/>
        </w:rPr>
        <w:t>to</w:t>
      </w:r>
      <w:r>
        <w:rPr>
          <w:spacing w:val="27"/>
          <w:w w:val="105"/>
          <w:sz w:val="21"/>
        </w:rPr>
        <w:t> </w:t>
      </w:r>
      <w:r>
        <w:rPr>
          <w:spacing w:val="-4"/>
          <w:w w:val="105"/>
          <w:sz w:val="21"/>
        </w:rPr>
        <w:t>time’.</w:t>
      </w:r>
      <w:r>
        <w:rPr>
          <w:spacing w:val="-4"/>
          <w:w w:val="105"/>
          <w:position w:val="7"/>
          <w:sz w:val="12"/>
        </w:rPr>
        <w:t>36</w:t>
      </w:r>
    </w:p>
    <w:p>
      <w:pPr>
        <w:pStyle w:val="ListParagraph"/>
        <w:numPr>
          <w:ilvl w:val="1"/>
          <w:numId w:val="16"/>
        </w:numPr>
        <w:tabs>
          <w:tab w:pos="2381" w:val="left" w:leader="none"/>
        </w:tabs>
        <w:spacing w:line="242" w:lineRule="auto" w:before="129" w:after="0"/>
        <w:ind w:left="2381" w:right="1758" w:hanging="794"/>
        <w:jc w:val="both"/>
        <w:rPr>
          <w:sz w:val="21"/>
        </w:rPr>
      </w:pPr>
      <w:r>
        <w:rPr>
          <w:sz w:val="21"/>
        </w:rPr>
        <w:t>HVP </w:t>
      </w:r>
      <w:r>
        <w:rPr>
          <w:spacing w:val="-3"/>
          <w:sz w:val="21"/>
        </w:rPr>
        <w:t>Plantations </w:t>
      </w:r>
      <w:r>
        <w:rPr>
          <w:sz w:val="21"/>
        </w:rPr>
        <w:t>is a </w:t>
      </w:r>
      <w:r>
        <w:rPr>
          <w:spacing w:val="-3"/>
          <w:sz w:val="21"/>
        </w:rPr>
        <w:t>private </w:t>
      </w:r>
      <w:r>
        <w:rPr>
          <w:sz w:val="21"/>
        </w:rPr>
        <w:t>timber </w:t>
      </w:r>
      <w:r>
        <w:rPr>
          <w:spacing w:val="-3"/>
          <w:sz w:val="21"/>
        </w:rPr>
        <w:t>plantation </w:t>
      </w:r>
      <w:r>
        <w:rPr>
          <w:sz w:val="21"/>
        </w:rPr>
        <w:t>business </w:t>
      </w:r>
      <w:r>
        <w:rPr>
          <w:spacing w:val="-3"/>
          <w:sz w:val="21"/>
        </w:rPr>
        <w:t>that shares </w:t>
      </w:r>
      <w:r>
        <w:rPr>
          <w:sz w:val="21"/>
        </w:rPr>
        <w:t>boundaries with </w:t>
      </w:r>
      <w:r>
        <w:rPr>
          <w:spacing w:val="-3"/>
          <w:sz w:val="21"/>
        </w:rPr>
        <w:t>rural </w:t>
      </w:r>
      <w:r>
        <w:rPr>
          <w:sz w:val="21"/>
        </w:rPr>
        <w:t>and </w:t>
      </w:r>
      <w:r>
        <w:rPr>
          <w:spacing w:val="-3"/>
          <w:sz w:val="21"/>
        </w:rPr>
        <w:t>residential </w:t>
      </w:r>
      <w:r>
        <w:rPr>
          <w:sz w:val="21"/>
        </w:rPr>
        <w:t>neighbours. It becomes </w:t>
      </w:r>
      <w:r>
        <w:rPr>
          <w:spacing w:val="-3"/>
          <w:sz w:val="21"/>
        </w:rPr>
        <w:t>involved </w:t>
      </w:r>
      <w:r>
        <w:rPr>
          <w:sz w:val="21"/>
        </w:rPr>
        <w:t>in </w:t>
      </w:r>
      <w:r>
        <w:rPr>
          <w:spacing w:val="-3"/>
          <w:sz w:val="21"/>
        </w:rPr>
        <w:t>approximately </w:t>
      </w:r>
      <w:r>
        <w:rPr>
          <w:spacing w:val="-6"/>
          <w:sz w:val="21"/>
        </w:rPr>
        <w:t>10 </w:t>
      </w:r>
      <w:r>
        <w:rPr>
          <w:sz w:val="21"/>
        </w:rPr>
        <w:t>tree </w:t>
      </w:r>
      <w:r>
        <w:rPr>
          <w:spacing w:val="-3"/>
          <w:sz w:val="21"/>
        </w:rPr>
        <w:t>disputes </w:t>
      </w:r>
      <w:r>
        <w:rPr>
          <w:sz w:val="21"/>
        </w:rPr>
        <w:t>a </w:t>
      </w:r>
      <w:r>
        <w:rPr>
          <w:spacing w:val="-5"/>
          <w:sz w:val="21"/>
        </w:rPr>
        <w:t>year, </w:t>
      </w:r>
      <w:r>
        <w:rPr>
          <w:sz w:val="21"/>
        </w:rPr>
        <w:t>which it resolves</w:t>
      </w:r>
      <w:r>
        <w:rPr>
          <w:spacing w:val="25"/>
          <w:sz w:val="21"/>
        </w:rPr>
        <w:t> </w:t>
      </w:r>
      <w:r>
        <w:rPr>
          <w:spacing w:val="-4"/>
          <w:sz w:val="21"/>
        </w:rPr>
        <w:t>informally.</w:t>
      </w:r>
      <w:r>
        <w:rPr>
          <w:spacing w:val="-4"/>
          <w:position w:val="7"/>
          <w:sz w:val="12"/>
        </w:rPr>
        <w:t>37</w:t>
      </w:r>
    </w:p>
    <w:p>
      <w:pPr>
        <w:pStyle w:val="ListParagraph"/>
        <w:numPr>
          <w:ilvl w:val="1"/>
          <w:numId w:val="16"/>
        </w:numPr>
        <w:tabs>
          <w:tab w:pos="2380" w:val="left" w:leader="none"/>
          <w:tab w:pos="2381" w:val="left" w:leader="none"/>
        </w:tabs>
        <w:spacing w:line="242" w:lineRule="auto" w:before="123" w:after="0"/>
        <w:ind w:left="2381" w:right="1651" w:hanging="794"/>
        <w:jc w:val="left"/>
        <w:rPr>
          <w:sz w:val="21"/>
        </w:rPr>
      </w:pPr>
      <w:r>
        <w:rPr>
          <w:spacing w:val="-3"/>
          <w:w w:val="105"/>
          <w:sz w:val="21"/>
        </w:rPr>
        <w:t>Aboriginal </w:t>
      </w:r>
      <w:r>
        <w:rPr>
          <w:w w:val="105"/>
          <w:sz w:val="21"/>
        </w:rPr>
        <w:t>Victoria suggested </w:t>
      </w:r>
      <w:r>
        <w:rPr>
          <w:spacing w:val="-3"/>
          <w:w w:val="105"/>
          <w:sz w:val="21"/>
        </w:rPr>
        <w:t>that </w:t>
      </w:r>
      <w:r>
        <w:rPr>
          <w:w w:val="105"/>
          <w:sz w:val="21"/>
        </w:rPr>
        <w:t>it receives 6 </w:t>
      </w:r>
      <w:r>
        <w:rPr>
          <w:spacing w:val="-3"/>
          <w:w w:val="105"/>
          <w:sz w:val="21"/>
        </w:rPr>
        <w:t>to </w:t>
      </w:r>
      <w:r>
        <w:rPr>
          <w:spacing w:val="-6"/>
          <w:w w:val="105"/>
          <w:sz w:val="21"/>
        </w:rPr>
        <w:t>10 </w:t>
      </w:r>
      <w:r>
        <w:rPr>
          <w:spacing w:val="-3"/>
          <w:w w:val="105"/>
          <w:sz w:val="21"/>
        </w:rPr>
        <w:t>enquiries </w:t>
      </w:r>
      <w:r>
        <w:rPr>
          <w:w w:val="105"/>
          <w:sz w:val="21"/>
        </w:rPr>
        <w:t>a week </w:t>
      </w:r>
      <w:r>
        <w:rPr>
          <w:spacing w:val="-3"/>
          <w:w w:val="105"/>
          <w:sz w:val="21"/>
        </w:rPr>
        <w:t>from individuals wanting to </w:t>
      </w:r>
      <w:r>
        <w:rPr>
          <w:w w:val="105"/>
          <w:sz w:val="21"/>
        </w:rPr>
        <w:t>know whether a particular tree is protected under the </w:t>
      </w:r>
      <w:r>
        <w:rPr>
          <w:spacing w:val="-3"/>
          <w:w w:val="105"/>
          <w:sz w:val="21"/>
        </w:rPr>
        <w:t>Aboriginal </w:t>
      </w:r>
      <w:r>
        <w:rPr>
          <w:w w:val="105"/>
          <w:sz w:val="21"/>
        </w:rPr>
        <w:t>Heritage Act 2006 (Vic) and how this </w:t>
      </w:r>
      <w:r>
        <w:rPr>
          <w:spacing w:val="-3"/>
          <w:w w:val="105"/>
          <w:sz w:val="21"/>
        </w:rPr>
        <w:t>might </w:t>
      </w:r>
      <w:r>
        <w:rPr>
          <w:w w:val="105"/>
          <w:sz w:val="21"/>
        </w:rPr>
        <w:t>affect proposed development works on </w:t>
      </w:r>
      <w:r>
        <w:rPr>
          <w:spacing w:val="-3"/>
          <w:w w:val="105"/>
          <w:sz w:val="21"/>
        </w:rPr>
        <w:t>nearby </w:t>
      </w:r>
      <w:r>
        <w:rPr>
          <w:w w:val="105"/>
          <w:sz w:val="21"/>
        </w:rPr>
        <w:t>land.</w:t>
      </w:r>
      <w:r>
        <w:rPr>
          <w:w w:val="105"/>
          <w:position w:val="7"/>
          <w:sz w:val="12"/>
        </w:rPr>
        <w:t>38</w:t>
      </w:r>
      <w:r>
        <w:rPr>
          <w:w w:val="105"/>
          <w:sz w:val="12"/>
        </w:rPr>
        <w:t> </w:t>
      </w:r>
      <w:r>
        <w:rPr>
          <w:w w:val="105"/>
          <w:sz w:val="21"/>
        </w:rPr>
        <w:t>Heritage</w:t>
      </w:r>
      <w:r>
        <w:rPr>
          <w:spacing w:val="-12"/>
          <w:w w:val="105"/>
          <w:sz w:val="21"/>
        </w:rPr>
        <w:t> </w:t>
      </w:r>
      <w:r>
        <w:rPr>
          <w:w w:val="105"/>
          <w:sz w:val="21"/>
        </w:rPr>
        <w:t>Victoria</w:t>
      </w:r>
      <w:r>
        <w:rPr>
          <w:spacing w:val="-11"/>
          <w:w w:val="105"/>
          <w:sz w:val="21"/>
        </w:rPr>
        <w:t> </w:t>
      </w:r>
      <w:r>
        <w:rPr>
          <w:w w:val="105"/>
          <w:sz w:val="21"/>
        </w:rPr>
        <w:t>also</w:t>
      </w:r>
      <w:r>
        <w:rPr>
          <w:spacing w:val="-12"/>
          <w:w w:val="105"/>
          <w:sz w:val="21"/>
        </w:rPr>
        <w:t> </w:t>
      </w:r>
      <w:r>
        <w:rPr>
          <w:w w:val="105"/>
          <w:sz w:val="21"/>
        </w:rPr>
        <w:t>reported</w:t>
      </w:r>
      <w:r>
        <w:rPr>
          <w:spacing w:val="-11"/>
          <w:w w:val="105"/>
          <w:sz w:val="21"/>
        </w:rPr>
        <w:t> </w:t>
      </w:r>
      <w:r>
        <w:rPr>
          <w:spacing w:val="-3"/>
          <w:w w:val="105"/>
          <w:sz w:val="21"/>
        </w:rPr>
        <w:t>that</w:t>
      </w:r>
      <w:r>
        <w:rPr>
          <w:spacing w:val="-12"/>
          <w:w w:val="105"/>
          <w:sz w:val="21"/>
        </w:rPr>
        <w:t> </w:t>
      </w:r>
      <w:r>
        <w:rPr>
          <w:w w:val="105"/>
          <w:sz w:val="21"/>
        </w:rPr>
        <w:t>it</w:t>
      </w:r>
      <w:r>
        <w:rPr>
          <w:spacing w:val="-12"/>
          <w:w w:val="105"/>
          <w:sz w:val="21"/>
        </w:rPr>
        <w:t> </w:t>
      </w:r>
      <w:r>
        <w:rPr>
          <w:w w:val="105"/>
          <w:sz w:val="21"/>
        </w:rPr>
        <w:t>receives</w:t>
      </w:r>
      <w:r>
        <w:rPr>
          <w:spacing w:val="-11"/>
          <w:w w:val="105"/>
          <w:sz w:val="21"/>
        </w:rPr>
        <w:t> </w:t>
      </w:r>
      <w:r>
        <w:rPr>
          <w:w w:val="105"/>
          <w:sz w:val="21"/>
        </w:rPr>
        <w:t>a</w:t>
      </w:r>
      <w:r>
        <w:rPr>
          <w:spacing w:val="-12"/>
          <w:w w:val="105"/>
          <w:sz w:val="21"/>
        </w:rPr>
        <w:t> </w:t>
      </w:r>
      <w:r>
        <w:rPr>
          <w:spacing w:val="-3"/>
          <w:w w:val="105"/>
          <w:sz w:val="21"/>
        </w:rPr>
        <w:t>small</w:t>
      </w:r>
      <w:r>
        <w:rPr>
          <w:spacing w:val="-11"/>
          <w:w w:val="105"/>
          <w:sz w:val="21"/>
        </w:rPr>
        <w:t> </w:t>
      </w:r>
      <w:r>
        <w:rPr>
          <w:w w:val="105"/>
          <w:sz w:val="21"/>
        </w:rPr>
        <w:t>number</w:t>
      </w:r>
      <w:r>
        <w:rPr>
          <w:spacing w:val="-12"/>
          <w:w w:val="105"/>
          <w:sz w:val="21"/>
        </w:rPr>
        <w:t> </w:t>
      </w:r>
      <w:r>
        <w:rPr>
          <w:w w:val="105"/>
          <w:sz w:val="21"/>
        </w:rPr>
        <w:t>of</w:t>
      </w:r>
      <w:r>
        <w:rPr>
          <w:spacing w:val="-11"/>
          <w:w w:val="105"/>
          <w:sz w:val="21"/>
        </w:rPr>
        <w:t> </w:t>
      </w:r>
      <w:r>
        <w:rPr>
          <w:spacing w:val="-3"/>
          <w:w w:val="105"/>
          <w:sz w:val="21"/>
        </w:rPr>
        <w:t>enquiries</w:t>
      </w:r>
      <w:r>
        <w:rPr>
          <w:spacing w:val="-12"/>
          <w:w w:val="105"/>
          <w:sz w:val="21"/>
        </w:rPr>
        <w:t> </w:t>
      </w:r>
      <w:r>
        <w:rPr>
          <w:w w:val="105"/>
          <w:sz w:val="21"/>
        </w:rPr>
        <w:t>about</w:t>
      </w:r>
      <w:r>
        <w:rPr>
          <w:spacing w:val="-11"/>
          <w:w w:val="105"/>
          <w:sz w:val="21"/>
        </w:rPr>
        <w:t> </w:t>
      </w:r>
      <w:r>
        <w:rPr>
          <w:spacing w:val="-3"/>
          <w:w w:val="105"/>
          <w:sz w:val="21"/>
        </w:rPr>
        <w:t>disputes </w:t>
      </w:r>
      <w:r>
        <w:rPr>
          <w:w w:val="105"/>
          <w:sz w:val="21"/>
        </w:rPr>
        <w:t>between neighbours </w:t>
      </w:r>
      <w:r>
        <w:rPr>
          <w:spacing w:val="-3"/>
          <w:w w:val="105"/>
          <w:sz w:val="21"/>
        </w:rPr>
        <w:t>concerning </w:t>
      </w:r>
      <w:r>
        <w:rPr>
          <w:w w:val="105"/>
          <w:sz w:val="21"/>
        </w:rPr>
        <w:t>trees of heritage</w:t>
      </w:r>
      <w:r>
        <w:rPr>
          <w:spacing w:val="27"/>
          <w:w w:val="105"/>
          <w:sz w:val="21"/>
        </w:rPr>
        <w:t> </w:t>
      </w:r>
      <w:r>
        <w:rPr>
          <w:spacing w:val="-3"/>
          <w:w w:val="105"/>
          <w:sz w:val="21"/>
        </w:rPr>
        <w:t>value.</w:t>
      </w:r>
      <w:r>
        <w:rPr>
          <w:spacing w:val="-3"/>
          <w:w w:val="105"/>
          <w:position w:val="7"/>
          <w:sz w:val="12"/>
        </w:rPr>
        <w:t>39</w:t>
      </w:r>
    </w:p>
    <w:p>
      <w:pPr>
        <w:pStyle w:val="ListParagraph"/>
        <w:numPr>
          <w:ilvl w:val="1"/>
          <w:numId w:val="16"/>
        </w:numPr>
        <w:tabs>
          <w:tab w:pos="2380" w:val="left" w:leader="none"/>
          <w:tab w:pos="2381" w:val="left" w:leader="none"/>
        </w:tabs>
        <w:spacing w:line="242" w:lineRule="auto" w:before="126" w:after="0"/>
        <w:ind w:left="2381" w:right="1661" w:hanging="794"/>
        <w:jc w:val="left"/>
        <w:rPr>
          <w:sz w:val="21"/>
        </w:rPr>
      </w:pPr>
      <w:r>
        <w:rPr>
          <w:w w:val="105"/>
          <w:sz w:val="21"/>
        </w:rPr>
        <w:t>The </w:t>
      </w:r>
      <w:r>
        <w:rPr>
          <w:spacing w:val="-3"/>
          <w:w w:val="105"/>
          <w:sz w:val="21"/>
        </w:rPr>
        <w:t>Commission </w:t>
      </w:r>
      <w:r>
        <w:rPr>
          <w:w w:val="105"/>
          <w:sz w:val="21"/>
        </w:rPr>
        <w:t>is of the view </w:t>
      </w:r>
      <w:r>
        <w:rPr>
          <w:spacing w:val="-3"/>
          <w:w w:val="105"/>
          <w:sz w:val="21"/>
        </w:rPr>
        <w:t>that </w:t>
      </w:r>
      <w:r>
        <w:rPr>
          <w:w w:val="105"/>
          <w:sz w:val="21"/>
        </w:rPr>
        <w:t>the data </w:t>
      </w:r>
      <w:r>
        <w:rPr>
          <w:spacing w:val="-3"/>
          <w:w w:val="105"/>
          <w:sz w:val="21"/>
        </w:rPr>
        <w:t>from </w:t>
      </w:r>
      <w:r>
        <w:rPr>
          <w:w w:val="105"/>
          <w:sz w:val="21"/>
        </w:rPr>
        <w:t>DSCV suggests </w:t>
      </w:r>
      <w:r>
        <w:rPr>
          <w:spacing w:val="-3"/>
          <w:w w:val="105"/>
          <w:sz w:val="21"/>
        </w:rPr>
        <w:t>that </w:t>
      </w:r>
      <w:r>
        <w:rPr>
          <w:w w:val="105"/>
          <w:sz w:val="21"/>
        </w:rPr>
        <w:t>issues about trees do arise </w:t>
      </w:r>
      <w:r>
        <w:rPr>
          <w:spacing w:val="-3"/>
          <w:w w:val="105"/>
          <w:sz w:val="21"/>
        </w:rPr>
        <w:t>frequently </w:t>
      </w:r>
      <w:r>
        <w:rPr>
          <w:w w:val="105"/>
          <w:sz w:val="21"/>
        </w:rPr>
        <w:t>in the community (whether or </w:t>
      </w:r>
      <w:r>
        <w:rPr>
          <w:spacing w:val="-2"/>
          <w:w w:val="105"/>
          <w:sz w:val="21"/>
        </w:rPr>
        <w:t>not </w:t>
      </w:r>
      <w:r>
        <w:rPr>
          <w:w w:val="105"/>
          <w:sz w:val="21"/>
        </w:rPr>
        <w:t>they become </w:t>
      </w:r>
      <w:r>
        <w:rPr>
          <w:spacing w:val="-2"/>
          <w:w w:val="105"/>
          <w:sz w:val="21"/>
        </w:rPr>
        <w:t>disputes) </w:t>
      </w:r>
      <w:r>
        <w:rPr>
          <w:w w:val="105"/>
          <w:sz w:val="21"/>
        </w:rPr>
        <w:t>and </w:t>
      </w:r>
      <w:r>
        <w:rPr>
          <w:spacing w:val="-3"/>
          <w:w w:val="105"/>
          <w:sz w:val="21"/>
        </w:rPr>
        <w:t>that </w:t>
      </w:r>
      <w:r>
        <w:rPr>
          <w:w w:val="105"/>
          <w:sz w:val="21"/>
        </w:rPr>
        <w:t>more</w:t>
      </w:r>
      <w:r>
        <w:rPr>
          <w:spacing w:val="-10"/>
          <w:w w:val="105"/>
          <w:sz w:val="21"/>
        </w:rPr>
        <w:t> </w:t>
      </w:r>
      <w:r>
        <w:rPr>
          <w:w w:val="105"/>
          <w:sz w:val="21"/>
        </w:rPr>
        <w:t>clarity</w:t>
      </w:r>
      <w:r>
        <w:rPr>
          <w:spacing w:val="-9"/>
          <w:w w:val="105"/>
          <w:sz w:val="21"/>
        </w:rPr>
        <w:t> </w:t>
      </w:r>
      <w:r>
        <w:rPr>
          <w:w w:val="105"/>
          <w:sz w:val="21"/>
        </w:rPr>
        <w:t>in</w:t>
      </w:r>
      <w:r>
        <w:rPr>
          <w:spacing w:val="-9"/>
          <w:w w:val="105"/>
          <w:sz w:val="21"/>
        </w:rPr>
        <w:t> </w:t>
      </w:r>
      <w:r>
        <w:rPr>
          <w:w w:val="105"/>
          <w:sz w:val="21"/>
        </w:rPr>
        <w:t>the</w:t>
      </w:r>
      <w:r>
        <w:rPr>
          <w:spacing w:val="-9"/>
          <w:w w:val="105"/>
          <w:sz w:val="21"/>
        </w:rPr>
        <w:t> </w:t>
      </w:r>
      <w:r>
        <w:rPr>
          <w:w w:val="105"/>
          <w:sz w:val="21"/>
        </w:rPr>
        <w:t>law</w:t>
      </w:r>
      <w:r>
        <w:rPr>
          <w:spacing w:val="-9"/>
          <w:w w:val="105"/>
          <w:sz w:val="21"/>
        </w:rPr>
        <w:t> </w:t>
      </w:r>
      <w:r>
        <w:rPr>
          <w:w w:val="105"/>
          <w:sz w:val="21"/>
        </w:rPr>
        <w:t>and</w:t>
      </w:r>
      <w:r>
        <w:rPr>
          <w:spacing w:val="-9"/>
          <w:w w:val="105"/>
          <w:sz w:val="21"/>
        </w:rPr>
        <w:t> </w:t>
      </w:r>
      <w:r>
        <w:rPr>
          <w:w w:val="105"/>
          <w:sz w:val="21"/>
        </w:rPr>
        <w:t>a</w:t>
      </w:r>
      <w:r>
        <w:rPr>
          <w:spacing w:val="-9"/>
          <w:w w:val="105"/>
          <w:sz w:val="21"/>
        </w:rPr>
        <w:t> </w:t>
      </w:r>
      <w:r>
        <w:rPr>
          <w:spacing w:val="-3"/>
          <w:w w:val="105"/>
          <w:sz w:val="21"/>
        </w:rPr>
        <w:t>clearer</w:t>
      </w:r>
      <w:r>
        <w:rPr>
          <w:spacing w:val="-9"/>
          <w:w w:val="105"/>
          <w:sz w:val="21"/>
        </w:rPr>
        <w:t> </w:t>
      </w:r>
      <w:r>
        <w:rPr>
          <w:spacing w:val="-3"/>
          <w:w w:val="105"/>
          <w:sz w:val="21"/>
        </w:rPr>
        <w:t>dispute</w:t>
      </w:r>
      <w:r>
        <w:rPr>
          <w:spacing w:val="-9"/>
          <w:w w:val="105"/>
          <w:sz w:val="21"/>
        </w:rPr>
        <w:t> </w:t>
      </w:r>
      <w:r>
        <w:rPr>
          <w:w w:val="105"/>
          <w:sz w:val="21"/>
        </w:rPr>
        <w:t>resolution</w:t>
      </w:r>
      <w:r>
        <w:rPr>
          <w:spacing w:val="-9"/>
          <w:w w:val="105"/>
          <w:sz w:val="21"/>
        </w:rPr>
        <w:t> </w:t>
      </w:r>
      <w:r>
        <w:rPr>
          <w:w w:val="105"/>
          <w:sz w:val="21"/>
        </w:rPr>
        <w:t>process</w:t>
      </w:r>
      <w:r>
        <w:rPr>
          <w:spacing w:val="-9"/>
          <w:w w:val="105"/>
          <w:sz w:val="21"/>
        </w:rPr>
        <w:t> </w:t>
      </w:r>
      <w:r>
        <w:rPr>
          <w:w w:val="105"/>
          <w:sz w:val="21"/>
        </w:rPr>
        <w:t>would</w:t>
      </w:r>
      <w:r>
        <w:rPr>
          <w:spacing w:val="-9"/>
          <w:w w:val="105"/>
          <w:sz w:val="21"/>
        </w:rPr>
        <w:t> </w:t>
      </w:r>
      <w:r>
        <w:rPr>
          <w:w w:val="105"/>
          <w:sz w:val="21"/>
        </w:rPr>
        <w:t>be</w:t>
      </w:r>
      <w:r>
        <w:rPr>
          <w:spacing w:val="-10"/>
          <w:w w:val="105"/>
          <w:sz w:val="21"/>
        </w:rPr>
        <w:t> </w:t>
      </w:r>
      <w:r>
        <w:rPr>
          <w:spacing w:val="-3"/>
          <w:w w:val="105"/>
          <w:sz w:val="21"/>
        </w:rPr>
        <w:t>useful.</w:t>
      </w:r>
      <w:r>
        <w:rPr>
          <w:spacing w:val="-9"/>
          <w:w w:val="105"/>
          <w:sz w:val="21"/>
        </w:rPr>
        <w:t> </w:t>
      </w:r>
      <w:r>
        <w:rPr>
          <w:w w:val="105"/>
          <w:sz w:val="21"/>
        </w:rPr>
        <w:t>This</w:t>
      </w:r>
      <w:r>
        <w:rPr>
          <w:spacing w:val="-9"/>
          <w:w w:val="105"/>
          <w:sz w:val="21"/>
        </w:rPr>
        <w:t> </w:t>
      </w:r>
      <w:r>
        <w:rPr>
          <w:w w:val="105"/>
          <w:sz w:val="21"/>
        </w:rPr>
        <w:t>data is supported by community responses. The </w:t>
      </w:r>
      <w:r>
        <w:rPr>
          <w:spacing w:val="-3"/>
          <w:w w:val="105"/>
          <w:sz w:val="21"/>
        </w:rPr>
        <w:t>Commission </w:t>
      </w:r>
      <w:r>
        <w:rPr>
          <w:w w:val="105"/>
          <w:sz w:val="21"/>
        </w:rPr>
        <w:t>is of the view </w:t>
      </w:r>
      <w:r>
        <w:rPr>
          <w:spacing w:val="-3"/>
          <w:w w:val="105"/>
          <w:sz w:val="21"/>
        </w:rPr>
        <w:t>that reforms may </w:t>
      </w:r>
      <w:r>
        <w:rPr>
          <w:spacing w:val="-2"/>
          <w:w w:val="105"/>
          <w:sz w:val="21"/>
        </w:rPr>
        <w:t>not </w:t>
      </w:r>
      <w:r>
        <w:rPr>
          <w:w w:val="105"/>
          <w:sz w:val="21"/>
        </w:rPr>
        <w:t>only </w:t>
      </w:r>
      <w:r>
        <w:rPr>
          <w:spacing w:val="-3"/>
          <w:w w:val="105"/>
          <w:sz w:val="21"/>
        </w:rPr>
        <w:t>reduce </w:t>
      </w:r>
      <w:r>
        <w:rPr>
          <w:w w:val="105"/>
          <w:sz w:val="21"/>
        </w:rPr>
        <w:t>the large number of </w:t>
      </w:r>
      <w:r>
        <w:rPr>
          <w:spacing w:val="-3"/>
          <w:w w:val="105"/>
          <w:sz w:val="21"/>
        </w:rPr>
        <w:t>enquiries to </w:t>
      </w:r>
      <w:r>
        <w:rPr>
          <w:spacing w:val="-5"/>
          <w:w w:val="105"/>
          <w:sz w:val="21"/>
        </w:rPr>
        <w:t>DSCV, </w:t>
      </w:r>
      <w:r>
        <w:rPr>
          <w:w w:val="105"/>
          <w:sz w:val="21"/>
        </w:rPr>
        <w:t>but also better assist DSCV </w:t>
      </w:r>
      <w:r>
        <w:rPr>
          <w:spacing w:val="-3"/>
          <w:w w:val="105"/>
          <w:sz w:val="21"/>
        </w:rPr>
        <w:t>to </w:t>
      </w:r>
      <w:r>
        <w:rPr>
          <w:w w:val="105"/>
          <w:sz w:val="21"/>
        </w:rPr>
        <w:t>resolve</w:t>
      </w:r>
      <w:r>
        <w:rPr>
          <w:spacing w:val="5"/>
          <w:w w:val="105"/>
          <w:sz w:val="21"/>
        </w:rPr>
        <w:t> </w:t>
      </w:r>
      <w:r>
        <w:rPr>
          <w:w w:val="105"/>
          <w:sz w:val="21"/>
        </w:rPr>
        <w:t>them.</w:t>
      </w:r>
    </w:p>
    <w:p>
      <w:pPr>
        <w:pStyle w:val="BodyText"/>
        <w:rPr>
          <w:sz w:val="20"/>
        </w:rPr>
      </w:pPr>
    </w:p>
    <w:p>
      <w:pPr>
        <w:pStyle w:val="BodyText"/>
        <w:rPr>
          <w:sz w:val="20"/>
        </w:rPr>
      </w:pPr>
    </w:p>
    <w:p>
      <w:pPr>
        <w:pStyle w:val="BodyText"/>
        <w:rPr>
          <w:sz w:val="29"/>
        </w:rPr>
      </w:pPr>
      <w:r>
        <w:rPr/>
        <w:pict>
          <v:line style="position:absolute;mso-position-horizontal-relative:page;mso-position-vertical-relative:paragraph;z-index:-64;mso-wrap-distance-left:0;mso-wrap-distance-right:0" from="79.370102pt,20.151897pt" to="515.905102pt,20.151897pt" stroked="true" strokeweight="1pt" strokecolor="#c9d2cb">
            <v:stroke dashstyle="solid"/>
            <w10:wrap type="topAndBottom"/>
          </v:line>
        </w:pict>
      </w:r>
    </w:p>
    <w:p>
      <w:pPr>
        <w:pStyle w:val="ListParagraph"/>
        <w:numPr>
          <w:ilvl w:val="0"/>
          <w:numId w:val="18"/>
        </w:numPr>
        <w:tabs>
          <w:tab w:pos="2381" w:val="left" w:leader="none"/>
          <w:tab w:pos="2382" w:val="left" w:leader="none"/>
        </w:tabs>
        <w:spacing w:line="240" w:lineRule="auto" w:before="117" w:after="0"/>
        <w:ind w:left="2381" w:right="0" w:hanging="794"/>
        <w:jc w:val="left"/>
        <w:rPr>
          <w:sz w:val="13"/>
        </w:rPr>
      </w:pPr>
      <w:r>
        <w:rPr>
          <w:w w:val="105"/>
          <w:sz w:val="13"/>
        </w:rPr>
        <w:t>Submission 30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w w:val="105"/>
          <w:sz w:val="13"/>
        </w:rPr>
        <w:t>Submission 31 </w:t>
      </w:r>
      <w:r>
        <w:rPr>
          <w:spacing w:val="2"/>
          <w:w w:val="105"/>
          <w:sz w:val="13"/>
        </w:rPr>
        <w:t>(Barwon </w:t>
      </w:r>
      <w:r>
        <w:rPr>
          <w:w w:val="105"/>
          <w:sz w:val="13"/>
        </w:rPr>
        <w:t>Community Legal</w:t>
      </w:r>
      <w:r>
        <w:rPr>
          <w:spacing w:val="21"/>
          <w:w w:val="105"/>
          <w:sz w:val="13"/>
        </w:rPr>
        <w:t> </w:t>
      </w:r>
      <w:r>
        <w:rPr>
          <w:spacing w:val="2"/>
          <w:w w:val="105"/>
          <w:sz w:val="13"/>
        </w:rPr>
        <w:t>Service).</w:t>
      </w:r>
    </w:p>
    <w:p>
      <w:pPr>
        <w:pStyle w:val="ListParagraph"/>
        <w:numPr>
          <w:ilvl w:val="0"/>
          <w:numId w:val="18"/>
        </w:numPr>
        <w:tabs>
          <w:tab w:pos="2381" w:val="left" w:leader="none"/>
          <w:tab w:pos="2382" w:val="left" w:leader="none"/>
        </w:tabs>
        <w:spacing w:line="240" w:lineRule="auto" w:before="2" w:after="0"/>
        <w:ind w:left="2381" w:right="0" w:hanging="794"/>
        <w:jc w:val="left"/>
        <w:rPr>
          <w:sz w:val="13"/>
        </w:rPr>
      </w:pPr>
      <w:r>
        <w:rPr>
          <w:w w:val="105"/>
          <w:sz w:val="13"/>
        </w:rPr>
        <w:t>Submissions</w:t>
      </w:r>
      <w:r>
        <w:rPr>
          <w:spacing w:val="5"/>
          <w:w w:val="105"/>
          <w:sz w:val="13"/>
        </w:rPr>
        <w:t> </w:t>
      </w:r>
      <w:r>
        <w:rPr>
          <w:w w:val="105"/>
          <w:sz w:val="13"/>
        </w:rPr>
        <w:t>7</w:t>
      </w:r>
      <w:r>
        <w:rPr>
          <w:spacing w:val="5"/>
          <w:w w:val="105"/>
          <w:sz w:val="13"/>
        </w:rPr>
        <w:t> </w:t>
      </w:r>
      <w:r>
        <w:rPr>
          <w:spacing w:val="2"/>
          <w:w w:val="105"/>
          <w:sz w:val="13"/>
        </w:rPr>
        <w:t>(Ben</w:t>
      </w:r>
      <w:r>
        <w:rPr>
          <w:spacing w:val="5"/>
          <w:w w:val="105"/>
          <w:sz w:val="13"/>
        </w:rPr>
        <w:t> </w:t>
      </w:r>
      <w:r>
        <w:rPr>
          <w:w w:val="105"/>
          <w:sz w:val="13"/>
        </w:rPr>
        <w:t>Kenyon),</w:t>
      </w:r>
      <w:r>
        <w:rPr>
          <w:spacing w:val="6"/>
          <w:w w:val="105"/>
          <w:sz w:val="13"/>
        </w:rPr>
        <w:t> </w:t>
      </w:r>
      <w:r>
        <w:rPr>
          <w:w w:val="105"/>
          <w:sz w:val="13"/>
        </w:rPr>
        <w:t>27</w:t>
      </w:r>
      <w:r>
        <w:rPr>
          <w:spacing w:val="5"/>
          <w:w w:val="105"/>
          <w:sz w:val="13"/>
        </w:rPr>
        <w:t> </w:t>
      </w:r>
      <w:r>
        <w:rPr>
          <w:spacing w:val="2"/>
          <w:w w:val="105"/>
          <w:sz w:val="13"/>
        </w:rPr>
        <w:t>(Name</w:t>
      </w:r>
      <w:r>
        <w:rPr>
          <w:spacing w:val="5"/>
          <w:w w:val="105"/>
          <w:sz w:val="13"/>
        </w:rPr>
        <w:t> </w:t>
      </w:r>
      <w:r>
        <w:rPr>
          <w:w w:val="105"/>
          <w:sz w:val="13"/>
        </w:rPr>
        <w:t>withheld);</w:t>
      </w:r>
      <w:r>
        <w:rPr>
          <w:spacing w:val="6"/>
          <w:w w:val="105"/>
          <w:sz w:val="13"/>
        </w:rPr>
        <w:t> </w:t>
      </w:r>
      <w:r>
        <w:rPr>
          <w:w w:val="105"/>
          <w:sz w:val="13"/>
        </w:rPr>
        <w:t>Consultation</w:t>
      </w:r>
      <w:r>
        <w:rPr>
          <w:spacing w:val="5"/>
          <w:w w:val="105"/>
          <w:sz w:val="13"/>
        </w:rPr>
        <w:t> </w:t>
      </w:r>
      <w:r>
        <w:rPr>
          <w:w w:val="105"/>
          <w:sz w:val="13"/>
        </w:rPr>
        <w:t>4</w:t>
      </w:r>
      <w:r>
        <w:rPr>
          <w:spacing w:val="5"/>
          <w:w w:val="105"/>
          <w:sz w:val="13"/>
        </w:rPr>
        <w:t> </w:t>
      </w:r>
      <w:r>
        <w:rPr>
          <w:w w:val="105"/>
          <w:sz w:val="13"/>
        </w:rPr>
        <w:t>(Participants</w:t>
      </w:r>
      <w:r>
        <w:rPr>
          <w:spacing w:val="6"/>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5"/>
          <w:w w:val="105"/>
          <w:sz w:val="13"/>
        </w:rPr>
        <w:t> </w:t>
      </w:r>
      <w:r>
        <w:rPr>
          <w:w w:val="105"/>
          <w:sz w:val="13"/>
        </w:rPr>
        <w:t>at</w:t>
      </w:r>
      <w:r>
        <w:rPr>
          <w:spacing w:val="6"/>
          <w:w w:val="105"/>
          <w:sz w:val="13"/>
        </w:rPr>
        <w:t> </w:t>
      </w:r>
      <w:r>
        <w:rPr>
          <w:spacing w:val="4"/>
          <w:w w:val="105"/>
          <w:sz w:val="13"/>
        </w:rPr>
        <w:t>VTIO</w:t>
      </w:r>
      <w:r>
        <w:rPr>
          <w:spacing w:val="5"/>
          <w:w w:val="105"/>
          <w:sz w:val="13"/>
        </w:rPr>
        <w:t> </w:t>
      </w:r>
      <w:r>
        <w:rPr>
          <w:w w:val="105"/>
          <w:sz w:val="13"/>
        </w:rPr>
        <w:t>ArborCamp2018).</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18"/>
        </w:numPr>
        <w:tabs>
          <w:tab w:pos="2381" w:val="left" w:leader="none"/>
          <w:tab w:pos="2382" w:val="left" w:leader="none"/>
        </w:tabs>
        <w:spacing w:line="240" w:lineRule="auto" w:before="1" w:after="0"/>
        <w:ind w:left="2381" w:right="1868" w:hanging="794"/>
        <w:jc w:val="left"/>
        <w:rPr>
          <w:sz w:val="13"/>
        </w:rPr>
      </w:pPr>
      <w:r>
        <w:rPr>
          <w:w w:val="105"/>
          <w:sz w:val="13"/>
        </w:rPr>
        <w:t>Submissions 1 </w:t>
      </w:r>
      <w:r>
        <w:rPr>
          <w:spacing w:val="2"/>
          <w:w w:val="105"/>
          <w:sz w:val="13"/>
        </w:rPr>
        <w:t>(Ian </w:t>
      </w:r>
      <w:r>
        <w:rPr>
          <w:w w:val="105"/>
          <w:sz w:val="13"/>
        </w:rPr>
        <w:t>Collier), 4 </w:t>
      </w:r>
      <w:r>
        <w:rPr>
          <w:spacing w:val="2"/>
          <w:w w:val="105"/>
          <w:sz w:val="13"/>
        </w:rPr>
        <w:t>(Name </w:t>
      </w:r>
      <w:r>
        <w:rPr>
          <w:w w:val="105"/>
          <w:sz w:val="13"/>
        </w:rPr>
        <w:t>withheld), 8 </w:t>
      </w:r>
      <w:r>
        <w:rPr>
          <w:spacing w:val="2"/>
          <w:w w:val="105"/>
          <w:sz w:val="13"/>
        </w:rPr>
        <w:t>(Victoria </w:t>
      </w:r>
      <w:r>
        <w:rPr>
          <w:w w:val="105"/>
          <w:sz w:val="13"/>
        </w:rPr>
        <w:t>Thieberger), </w:t>
      </w:r>
      <w:r>
        <w:rPr>
          <w:spacing w:val="-4"/>
          <w:w w:val="105"/>
          <w:sz w:val="13"/>
        </w:rPr>
        <w:t>17 </w:t>
      </w:r>
      <w:r>
        <w:rPr>
          <w:spacing w:val="2"/>
          <w:w w:val="105"/>
          <w:sz w:val="13"/>
        </w:rPr>
        <w:t>(Name </w:t>
      </w:r>
      <w:r>
        <w:rPr>
          <w:w w:val="105"/>
          <w:sz w:val="13"/>
        </w:rPr>
        <w:t>withheld), 25 (City of Boorondara), 31 </w:t>
      </w:r>
      <w:r>
        <w:rPr>
          <w:spacing w:val="2"/>
          <w:w w:val="105"/>
          <w:sz w:val="13"/>
        </w:rPr>
        <w:t>(Barwon </w:t>
      </w:r>
      <w:r>
        <w:rPr>
          <w:w w:val="105"/>
          <w:sz w:val="13"/>
        </w:rPr>
        <w:t>Community Legal </w:t>
      </w:r>
      <w:r>
        <w:rPr>
          <w:spacing w:val="2"/>
          <w:w w:val="105"/>
          <w:sz w:val="13"/>
        </w:rPr>
        <w:t>Service), </w:t>
      </w:r>
      <w:r>
        <w:rPr>
          <w:w w:val="105"/>
          <w:sz w:val="13"/>
        </w:rPr>
        <w:t>34 (Allan Day), 36 (Monique </w:t>
      </w:r>
      <w:r>
        <w:rPr>
          <w:spacing w:val="2"/>
          <w:w w:val="105"/>
          <w:sz w:val="13"/>
        </w:rPr>
        <w:t>Onezime); </w:t>
      </w:r>
      <w:r>
        <w:rPr>
          <w:w w:val="105"/>
          <w:sz w:val="13"/>
        </w:rPr>
        <w:t>Consultations 1 (Aldo Taranto), 8 (City of Boroondara), 9 (Nillumbik Shire</w:t>
      </w:r>
      <w:r>
        <w:rPr>
          <w:spacing w:val="4"/>
          <w:w w:val="105"/>
          <w:sz w:val="13"/>
        </w:rPr>
        <w:t> </w:t>
      </w:r>
      <w:r>
        <w:rPr>
          <w:w w:val="105"/>
          <w:sz w:val="13"/>
        </w:rPr>
        <w:t>Council),</w:t>
      </w:r>
      <w:r>
        <w:rPr>
          <w:spacing w:val="5"/>
          <w:w w:val="105"/>
          <w:sz w:val="13"/>
        </w:rPr>
        <w:t> </w:t>
      </w:r>
      <w:r>
        <w:rPr>
          <w:w w:val="105"/>
          <w:sz w:val="13"/>
        </w:rPr>
        <w:t>10</w:t>
      </w:r>
      <w:r>
        <w:rPr>
          <w:spacing w:val="5"/>
          <w:w w:val="105"/>
          <w:sz w:val="13"/>
        </w:rPr>
        <w:t> </w:t>
      </w:r>
      <w:r>
        <w:rPr>
          <w:spacing w:val="2"/>
          <w:w w:val="105"/>
          <w:sz w:val="13"/>
        </w:rPr>
        <w:t>(Baw</w:t>
      </w:r>
      <w:r>
        <w:rPr>
          <w:spacing w:val="5"/>
          <w:w w:val="105"/>
          <w:sz w:val="13"/>
        </w:rPr>
        <w:t> </w:t>
      </w:r>
      <w:r>
        <w:rPr>
          <w:w w:val="105"/>
          <w:sz w:val="13"/>
        </w:rPr>
        <w:t>Baw</w:t>
      </w:r>
      <w:r>
        <w:rPr>
          <w:spacing w:val="5"/>
          <w:w w:val="105"/>
          <w:sz w:val="13"/>
        </w:rPr>
        <w:t> </w:t>
      </w:r>
      <w:r>
        <w:rPr>
          <w:w w:val="105"/>
          <w:sz w:val="13"/>
        </w:rPr>
        <w:t>Shire</w:t>
      </w:r>
      <w:r>
        <w:rPr>
          <w:spacing w:val="5"/>
          <w:w w:val="105"/>
          <w:sz w:val="13"/>
        </w:rPr>
        <w:t> </w:t>
      </w:r>
      <w:r>
        <w:rPr>
          <w:w w:val="105"/>
          <w:sz w:val="13"/>
        </w:rPr>
        <w:t>Council),</w:t>
      </w:r>
      <w:r>
        <w:rPr>
          <w:spacing w:val="5"/>
          <w:w w:val="105"/>
          <w:sz w:val="13"/>
        </w:rPr>
        <w:t> </w:t>
      </w:r>
      <w:r>
        <w:rPr>
          <w:spacing w:val="-4"/>
          <w:w w:val="105"/>
          <w:sz w:val="13"/>
        </w:rPr>
        <w:t>12</w:t>
      </w:r>
      <w:r>
        <w:rPr>
          <w:spacing w:val="4"/>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Port</w:t>
      </w:r>
      <w:r>
        <w:rPr>
          <w:spacing w:val="5"/>
          <w:w w:val="105"/>
          <w:sz w:val="13"/>
        </w:rPr>
        <w:t> </w:t>
      </w:r>
      <w:r>
        <w:rPr>
          <w:w w:val="105"/>
          <w:sz w:val="13"/>
        </w:rPr>
        <w:t>Phillip),</w:t>
      </w:r>
      <w:r>
        <w:rPr>
          <w:spacing w:val="5"/>
          <w:w w:val="105"/>
          <w:sz w:val="13"/>
        </w:rPr>
        <w:t> </w:t>
      </w:r>
      <w:r>
        <w:rPr>
          <w:spacing w:val="-3"/>
          <w:w w:val="105"/>
          <w:sz w:val="13"/>
        </w:rPr>
        <w:t>14</w:t>
      </w:r>
      <w:r>
        <w:rPr>
          <w:spacing w:val="5"/>
          <w:w w:val="105"/>
          <w:sz w:val="13"/>
        </w:rPr>
        <w:t> </w:t>
      </w:r>
      <w:r>
        <w:rPr>
          <w:spacing w:val="2"/>
          <w:w w:val="105"/>
          <w:sz w:val="13"/>
        </w:rPr>
        <w:t>(Robert</w:t>
      </w:r>
      <w:r>
        <w:rPr>
          <w:spacing w:val="5"/>
          <w:w w:val="105"/>
          <w:sz w:val="13"/>
        </w:rPr>
        <w:t> </w:t>
      </w:r>
      <w:r>
        <w:rPr>
          <w:spacing w:val="2"/>
          <w:w w:val="105"/>
          <w:sz w:val="13"/>
        </w:rPr>
        <w:t>Mineo).</w:t>
      </w:r>
    </w:p>
    <w:p>
      <w:pPr>
        <w:pStyle w:val="ListParagraph"/>
        <w:numPr>
          <w:ilvl w:val="0"/>
          <w:numId w:val="18"/>
        </w:numPr>
        <w:tabs>
          <w:tab w:pos="2381" w:val="left" w:leader="none"/>
          <w:tab w:pos="2382" w:val="left" w:leader="none"/>
        </w:tabs>
        <w:spacing w:line="240" w:lineRule="auto" w:before="4" w:after="0"/>
        <w:ind w:left="2381" w:right="1795" w:hanging="794"/>
        <w:jc w:val="left"/>
        <w:rPr>
          <w:sz w:val="13"/>
        </w:rPr>
      </w:pPr>
      <w:r>
        <w:rPr>
          <w:w w:val="105"/>
          <w:sz w:val="13"/>
        </w:rPr>
        <w:t>Consultations 7 (Dispute Settlement Centre of </w:t>
      </w:r>
      <w:r>
        <w:rPr>
          <w:spacing w:val="2"/>
          <w:w w:val="105"/>
          <w:sz w:val="13"/>
        </w:rPr>
        <w:t>Victoria), </w:t>
      </w:r>
      <w:r>
        <w:rPr>
          <w:w w:val="105"/>
          <w:sz w:val="13"/>
        </w:rPr>
        <w:t>8 (City of Boroondara), 9 (Nillumbik Shire Council), 10 </w:t>
      </w:r>
      <w:r>
        <w:rPr>
          <w:spacing w:val="2"/>
          <w:w w:val="105"/>
          <w:sz w:val="13"/>
        </w:rPr>
        <w:t>(Baw </w:t>
      </w:r>
      <w:r>
        <w:rPr>
          <w:w w:val="105"/>
          <w:sz w:val="13"/>
        </w:rPr>
        <w:t>Baw Shire Council);   </w:t>
      </w:r>
      <w:r>
        <w:rPr>
          <w:spacing w:val="-4"/>
          <w:w w:val="105"/>
          <w:sz w:val="13"/>
        </w:rPr>
        <w:t>12 </w:t>
      </w:r>
      <w:r>
        <w:rPr>
          <w:w w:val="105"/>
          <w:sz w:val="13"/>
        </w:rPr>
        <w:t>(City of Port</w:t>
      </w:r>
      <w:r>
        <w:rPr>
          <w:spacing w:val="-5"/>
          <w:w w:val="105"/>
          <w:sz w:val="13"/>
        </w:rPr>
        <w:t> </w:t>
      </w:r>
      <w:r>
        <w:rPr>
          <w:w w:val="105"/>
          <w:sz w:val="13"/>
        </w:rPr>
        <w:t>Phillip).</w:t>
      </w:r>
    </w:p>
    <w:p>
      <w:pPr>
        <w:pStyle w:val="ListParagraph"/>
        <w:numPr>
          <w:ilvl w:val="0"/>
          <w:numId w:val="18"/>
        </w:numPr>
        <w:tabs>
          <w:tab w:pos="2381" w:val="left" w:leader="none"/>
          <w:tab w:pos="2382" w:val="left" w:leader="none"/>
        </w:tabs>
        <w:spacing w:line="240" w:lineRule="auto" w:before="3" w:after="0"/>
        <w:ind w:left="2381" w:right="0" w:hanging="794"/>
        <w:jc w:val="left"/>
        <w:rPr>
          <w:sz w:val="13"/>
        </w:rPr>
      </w:pPr>
      <w:r>
        <w:rPr>
          <w:w w:val="105"/>
          <w:sz w:val="13"/>
        </w:rPr>
        <w:t>Submission 25 (City of</w:t>
      </w:r>
      <w:r>
        <w:rPr>
          <w:spacing w:val="18"/>
          <w:w w:val="105"/>
          <w:sz w:val="13"/>
        </w:rPr>
        <w:t> </w:t>
      </w:r>
      <w:r>
        <w:rPr>
          <w:w w:val="105"/>
          <w:sz w:val="13"/>
        </w:rPr>
        <w:t>Boroondara).</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w w:val="105"/>
          <w:sz w:val="13"/>
        </w:rPr>
        <w:t>Consultation 9 (Nillumbik Shire</w:t>
      </w:r>
      <w:r>
        <w:rPr>
          <w:spacing w:val="18"/>
          <w:w w:val="105"/>
          <w:sz w:val="13"/>
        </w:rPr>
        <w:t> </w:t>
      </w:r>
      <w:r>
        <w:rPr>
          <w:w w:val="105"/>
          <w:sz w:val="13"/>
        </w:rPr>
        <w:t>Council).</w:t>
      </w:r>
    </w:p>
    <w:p>
      <w:pPr>
        <w:pStyle w:val="ListParagraph"/>
        <w:numPr>
          <w:ilvl w:val="0"/>
          <w:numId w:val="18"/>
        </w:numPr>
        <w:tabs>
          <w:tab w:pos="2381" w:val="left" w:leader="none"/>
          <w:tab w:pos="2382" w:val="left" w:leader="none"/>
        </w:tabs>
        <w:spacing w:line="240" w:lineRule="auto" w:before="2" w:after="0"/>
        <w:ind w:left="2381" w:right="0" w:hanging="794"/>
        <w:jc w:val="left"/>
        <w:rPr>
          <w:sz w:val="13"/>
        </w:rPr>
      </w:pPr>
      <w:r>
        <w:rPr>
          <w:w w:val="105"/>
          <w:sz w:val="13"/>
        </w:rPr>
        <w:t>Consultation </w:t>
      </w:r>
      <w:r>
        <w:rPr>
          <w:spacing w:val="-4"/>
          <w:w w:val="105"/>
          <w:sz w:val="13"/>
        </w:rPr>
        <w:t>12 </w:t>
      </w:r>
      <w:r>
        <w:rPr>
          <w:w w:val="105"/>
          <w:sz w:val="13"/>
        </w:rPr>
        <w:t>(City of Port Phillip).</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w w:val="105"/>
          <w:sz w:val="13"/>
        </w:rPr>
        <w:t>Consultation 3 </w:t>
      </w:r>
      <w:r>
        <w:rPr>
          <w:spacing w:val="3"/>
          <w:w w:val="105"/>
          <w:sz w:val="13"/>
        </w:rPr>
        <w:t>(HVP</w:t>
      </w:r>
      <w:r>
        <w:rPr>
          <w:spacing w:val="13"/>
          <w:w w:val="105"/>
          <w:sz w:val="13"/>
        </w:rPr>
        <w:t> </w:t>
      </w:r>
      <w:r>
        <w:rPr>
          <w:w w:val="105"/>
          <w:sz w:val="13"/>
        </w:rPr>
        <w:t>Plantations).</w:t>
      </w:r>
    </w:p>
    <w:p>
      <w:pPr>
        <w:pStyle w:val="ListParagraph"/>
        <w:numPr>
          <w:ilvl w:val="0"/>
          <w:numId w:val="18"/>
        </w:numPr>
        <w:tabs>
          <w:tab w:pos="2381" w:val="left" w:leader="none"/>
          <w:tab w:pos="2382" w:val="left" w:leader="none"/>
        </w:tabs>
        <w:spacing w:line="240" w:lineRule="auto" w:before="2" w:after="0"/>
        <w:ind w:left="2381" w:right="0" w:hanging="794"/>
        <w:jc w:val="left"/>
        <w:rPr>
          <w:sz w:val="13"/>
        </w:rPr>
      </w:pPr>
      <w:r>
        <w:rPr/>
        <w:pict>
          <v:shape style="position:absolute;margin-left:549.329529pt;margin-top:3.049263pt;width:12.55pt;height:14.25pt;mso-position-horizontal-relative:page;mso-position-vertical-relative:paragraph;z-index:2008" type="#_x0000_t202" filled="false" stroked="false">
            <v:textbox inset="0,0,0,0">
              <w:txbxContent>
                <w:p>
                  <w:pPr>
                    <w:spacing w:line="284" w:lineRule="exact" w:before="0"/>
                    <w:ind w:left="0" w:right="0" w:firstLine="0"/>
                    <w:jc w:val="left"/>
                    <w:rPr>
                      <w:b/>
                      <w:sz w:val="24"/>
                    </w:rPr>
                  </w:pPr>
                  <w:r>
                    <w:rPr>
                      <w:b/>
                      <w:color w:val="658464"/>
                      <w:spacing w:val="-9"/>
                      <w:w w:val="110"/>
                      <w:sz w:val="24"/>
                    </w:rPr>
                    <w:t>11</w:t>
                  </w:r>
                </w:p>
              </w:txbxContent>
            </v:textbox>
            <w10:wrap type="none"/>
          </v:shape>
        </w:pict>
      </w:r>
      <w:r>
        <w:rPr>
          <w:w w:val="105"/>
          <w:sz w:val="13"/>
        </w:rPr>
        <w:t>Consultation </w:t>
      </w:r>
      <w:r>
        <w:rPr>
          <w:spacing w:val="-4"/>
          <w:w w:val="105"/>
          <w:sz w:val="13"/>
        </w:rPr>
        <w:t>13 </w:t>
      </w:r>
      <w:r>
        <w:rPr>
          <w:w w:val="105"/>
          <w:sz w:val="13"/>
        </w:rPr>
        <w:t>(Aboriginal</w:t>
      </w:r>
      <w:r>
        <w:rPr>
          <w:spacing w:val="-9"/>
          <w:w w:val="105"/>
          <w:sz w:val="13"/>
        </w:rPr>
        <w:t> </w:t>
      </w:r>
      <w:r>
        <w:rPr>
          <w:spacing w:val="2"/>
          <w:w w:val="105"/>
          <w:sz w:val="13"/>
        </w:rPr>
        <w:t>Victoria).</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w w:val="105"/>
          <w:sz w:val="13"/>
        </w:rPr>
        <w:t>Consultation 16 (Heritage</w:t>
      </w:r>
      <w:r>
        <w:rPr>
          <w:spacing w:val="14"/>
          <w:w w:val="105"/>
          <w:sz w:val="13"/>
        </w:rPr>
        <w:t> </w:t>
      </w:r>
      <w:r>
        <w:rPr>
          <w:w w:val="105"/>
          <w:sz w:val="13"/>
        </w:rPr>
        <w:t>Victoria).</w:t>
      </w:r>
    </w:p>
    <w:p>
      <w:pPr>
        <w:spacing w:after="0" w:line="240" w:lineRule="auto"/>
        <w:jc w:val="left"/>
        <w:rPr>
          <w:sz w:val="13"/>
        </w:rPr>
        <w:sectPr>
          <w:pgSz w:w="11910" w:h="16840"/>
          <w:pgMar w:header="808" w:footer="0" w:top="1360" w:bottom="280" w:left="0" w:right="0"/>
        </w:sectPr>
      </w:pPr>
    </w:p>
    <w:p>
      <w:pPr>
        <w:pStyle w:val="BodyText"/>
        <w:spacing w:before="3"/>
      </w:pPr>
    </w:p>
    <w:p>
      <w:pPr>
        <w:pStyle w:val="Heading4"/>
        <w:spacing w:before="96"/>
      </w:pPr>
      <w:bookmarkStart w:name="Types of tree disputes" w:id="36"/>
      <w:bookmarkEnd w:id="36"/>
      <w:r>
        <w:rPr>
          <w:b w:val="0"/>
        </w:rPr>
      </w:r>
      <w:bookmarkStart w:name="_bookmark11" w:id="37"/>
      <w:bookmarkEnd w:id="37"/>
      <w:r>
        <w:rPr>
          <w:b w:val="0"/>
        </w:rPr>
      </w:r>
      <w:r>
        <w:rPr>
          <w:color w:val="658464"/>
          <w:w w:val="115"/>
        </w:rPr>
        <w:t>Types of tree disputes</w:t>
      </w:r>
    </w:p>
    <w:p>
      <w:pPr>
        <w:pStyle w:val="ListParagraph"/>
        <w:numPr>
          <w:ilvl w:val="1"/>
          <w:numId w:val="16"/>
        </w:numPr>
        <w:tabs>
          <w:tab w:pos="2381" w:val="left" w:leader="none"/>
          <w:tab w:pos="2382" w:val="left" w:leader="none"/>
        </w:tabs>
        <w:spacing w:line="242" w:lineRule="auto" w:before="155" w:after="0"/>
        <w:ind w:left="2381" w:right="1585" w:hanging="794"/>
        <w:jc w:val="left"/>
        <w:rPr>
          <w:sz w:val="21"/>
        </w:rPr>
      </w:pPr>
      <w:r>
        <w:rPr>
          <w:w w:val="105"/>
          <w:sz w:val="21"/>
        </w:rPr>
        <w:t>The </w:t>
      </w:r>
      <w:r>
        <w:rPr>
          <w:spacing w:val="-3"/>
          <w:w w:val="105"/>
          <w:sz w:val="21"/>
        </w:rPr>
        <w:t>consultation </w:t>
      </w:r>
      <w:r>
        <w:rPr>
          <w:w w:val="105"/>
          <w:sz w:val="21"/>
        </w:rPr>
        <w:t>paper identified </w:t>
      </w:r>
      <w:r>
        <w:rPr>
          <w:spacing w:val="-3"/>
          <w:w w:val="105"/>
          <w:sz w:val="21"/>
        </w:rPr>
        <w:t>that encroachment </w:t>
      </w:r>
      <w:r>
        <w:rPr>
          <w:w w:val="105"/>
          <w:sz w:val="21"/>
        </w:rPr>
        <w:t>of </w:t>
      </w:r>
      <w:r>
        <w:rPr>
          <w:spacing w:val="-3"/>
          <w:w w:val="105"/>
          <w:sz w:val="21"/>
        </w:rPr>
        <w:t>branches </w:t>
      </w:r>
      <w:r>
        <w:rPr>
          <w:w w:val="105"/>
          <w:sz w:val="21"/>
        </w:rPr>
        <w:t>or tree roots </w:t>
      </w:r>
      <w:r>
        <w:rPr>
          <w:spacing w:val="-3"/>
          <w:w w:val="105"/>
          <w:sz w:val="21"/>
        </w:rPr>
        <w:t>are </w:t>
      </w:r>
      <w:r>
        <w:rPr>
          <w:w w:val="105"/>
          <w:sz w:val="21"/>
        </w:rPr>
        <w:t>the most </w:t>
      </w:r>
      <w:r>
        <w:rPr>
          <w:spacing w:val="-2"/>
          <w:w w:val="105"/>
          <w:sz w:val="21"/>
        </w:rPr>
        <w:t>common </w:t>
      </w:r>
      <w:r>
        <w:rPr>
          <w:w w:val="105"/>
          <w:sz w:val="21"/>
        </w:rPr>
        <w:t>cause of tree-related </w:t>
      </w:r>
      <w:r>
        <w:rPr>
          <w:spacing w:val="-2"/>
          <w:w w:val="105"/>
          <w:sz w:val="21"/>
        </w:rPr>
        <w:t>problems </w:t>
      </w:r>
      <w:r>
        <w:rPr>
          <w:w w:val="105"/>
          <w:sz w:val="21"/>
        </w:rPr>
        <w:t>in cases </w:t>
      </w:r>
      <w:r>
        <w:rPr>
          <w:spacing w:val="-3"/>
          <w:w w:val="105"/>
          <w:sz w:val="21"/>
        </w:rPr>
        <w:t>brought before </w:t>
      </w:r>
      <w:r>
        <w:rPr>
          <w:w w:val="105"/>
          <w:sz w:val="21"/>
        </w:rPr>
        <w:t>a court. This </w:t>
      </w:r>
      <w:r>
        <w:rPr>
          <w:spacing w:val="-4"/>
          <w:w w:val="105"/>
          <w:sz w:val="21"/>
        </w:rPr>
        <w:t>likely </w:t>
      </w:r>
      <w:r>
        <w:rPr>
          <w:w w:val="105"/>
          <w:sz w:val="21"/>
        </w:rPr>
        <w:t>reflects</w:t>
      </w:r>
      <w:r>
        <w:rPr>
          <w:spacing w:val="-11"/>
          <w:w w:val="105"/>
          <w:sz w:val="21"/>
        </w:rPr>
        <w:t> </w:t>
      </w:r>
      <w:r>
        <w:rPr>
          <w:w w:val="105"/>
          <w:sz w:val="21"/>
        </w:rPr>
        <w:t>the</w:t>
      </w:r>
      <w:r>
        <w:rPr>
          <w:spacing w:val="-10"/>
          <w:w w:val="105"/>
          <w:sz w:val="21"/>
        </w:rPr>
        <w:t> </w:t>
      </w:r>
      <w:r>
        <w:rPr>
          <w:w w:val="105"/>
          <w:sz w:val="21"/>
        </w:rPr>
        <w:t>seriousness</w:t>
      </w:r>
      <w:r>
        <w:rPr>
          <w:spacing w:val="-10"/>
          <w:w w:val="105"/>
          <w:sz w:val="21"/>
        </w:rPr>
        <w:t> </w:t>
      </w:r>
      <w:r>
        <w:rPr>
          <w:w w:val="105"/>
          <w:sz w:val="21"/>
        </w:rPr>
        <w:t>of</w:t>
      </w:r>
      <w:r>
        <w:rPr>
          <w:spacing w:val="-10"/>
          <w:w w:val="105"/>
          <w:sz w:val="21"/>
        </w:rPr>
        <w:t> </w:t>
      </w:r>
      <w:r>
        <w:rPr>
          <w:w w:val="105"/>
          <w:sz w:val="21"/>
        </w:rPr>
        <w:t>the</w:t>
      </w:r>
      <w:r>
        <w:rPr>
          <w:spacing w:val="-10"/>
          <w:w w:val="105"/>
          <w:sz w:val="21"/>
        </w:rPr>
        <w:t> </w:t>
      </w:r>
      <w:r>
        <w:rPr>
          <w:spacing w:val="-3"/>
          <w:w w:val="105"/>
          <w:sz w:val="21"/>
        </w:rPr>
        <w:t>damage,</w:t>
      </w:r>
      <w:r>
        <w:rPr>
          <w:spacing w:val="-10"/>
          <w:w w:val="105"/>
          <w:sz w:val="21"/>
        </w:rPr>
        <w:t> </w:t>
      </w:r>
      <w:r>
        <w:rPr>
          <w:w w:val="105"/>
          <w:sz w:val="21"/>
        </w:rPr>
        <w:t>which</w:t>
      </w:r>
      <w:r>
        <w:rPr>
          <w:spacing w:val="-10"/>
          <w:w w:val="105"/>
          <w:sz w:val="21"/>
        </w:rPr>
        <w:t> </w:t>
      </w:r>
      <w:r>
        <w:rPr>
          <w:w w:val="105"/>
          <w:sz w:val="21"/>
        </w:rPr>
        <w:t>would</w:t>
      </w:r>
      <w:r>
        <w:rPr>
          <w:spacing w:val="-10"/>
          <w:w w:val="105"/>
          <w:sz w:val="21"/>
        </w:rPr>
        <w:t> </w:t>
      </w:r>
      <w:r>
        <w:rPr>
          <w:w w:val="105"/>
          <w:sz w:val="21"/>
        </w:rPr>
        <w:t>justify</w:t>
      </w:r>
      <w:r>
        <w:rPr>
          <w:spacing w:val="-10"/>
          <w:w w:val="105"/>
          <w:sz w:val="21"/>
        </w:rPr>
        <w:t> </w:t>
      </w:r>
      <w:r>
        <w:rPr>
          <w:w w:val="105"/>
          <w:sz w:val="21"/>
        </w:rPr>
        <w:t>the</w:t>
      </w:r>
      <w:r>
        <w:rPr>
          <w:spacing w:val="-10"/>
          <w:w w:val="105"/>
          <w:sz w:val="21"/>
        </w:rPr>
        <w:t> </w:t>
      </w:r>
      <w:r>
        <w:rPr>
          <w:w w:val="105"/>
          <w:sz w:val="21"/>
        </w:rPr>
        <w:t>expense</w:t>
      </w:r>
      <w:r>
        <w:rPr>
          <w:spacing w:val="-10"/>
          <w:w w:val="105"/>
          <w:sz w:val="21"/>
        </w:rPr>
        <w:t> </w:t>
      </w:r>
      <w:r>
        <w:rPr>
          <w:w w:val="105"/>
          <w:sz w:val="21"/>
        </w:rPr>
        <w:t>and</w:t>
      </w:r>
      <w:r>
        <w:rPr>
          <w:spacing w:val="-11"/>
          <w:w w:val="105"/>
          <w:sz w:val="21"/>
        </w:rPr>
        <w:t> </w:t>
      </w:r>
      <w:r>
        <w:rPr>
          <w:w w:val="105"/>
          <w:sz w:val="21"/>
        </w:rPr>
        <w:t>time</w:t>
      </w:r>
      <w:r>
        <w:rPr>
          <w:spacing w:val="-10"/>
          <w:w w:val="105"/>
          <w:sz w:val="21"/>
        </w:rPr>
        <w:t> </w:t>
      </w:r>
      <w:r>
        <w:rPr>
          <w:spacing w:val="-3"/>
          <w:w w:val="105"/>
          <w:sz w:val="21"/>
        </w:rPr>
        <w:t>involved </w:t>
      </w:r>
      <w:r>
        <w:rPr>
          <w:w w:val="105"/>
          <w:sz w:val="21"/>
        </w:rPr>
        <w:t>in taking court</w:t>
      </w:r>
      <w:r>
        <w:rPr>
          <w:spacing w:val="16"/>
          <w:w w:val="105"/>
          <w:sz w:val="21"/>
        </w:rPr>
        <w:t> </w:t>
      </w:r>
      <w:r>
        <w:rPr>
          <w:w w:val="105"/>
          <w:sz w:val="21"/>
        </w:rPr>
        <w:t>action.</w:t>
      </w:r>
      <w:r>
        <w:rPr>
          <w:w w:val="105"/>
          <w:position w:val="7"/>
          <w:sz w:val="12"/>
        </w:rPr>
        <w:t>40</w:t>
      </w:r>
    </w:p>
    <w:p>
      <w:pPr>
        <w:pStyle w:val="ListParagraph"/>
        <w:numPr>
          <w:ilvl w:val="1"/>
          <w:numId w:val="16"/>
        </w:numPr>
        <w:tabs>
          <w:tab w:pos="2380" w:val="left" w:leader="none"/>
          <w:tab w:pos="2381" w:val="left" w:leader="none"/>
        </w:tabs>
        <w:spacing w:line="242" w:lineRule="auto" w:before="124" w:after="0"/>
        <w:ind w:left="2381" w:right="1585" w:hanging="794"/>
        <w:jc w:val="left"/>
        <w:rPr>
          <w:sz w:val="21"/>
        </w:rPr>
      </w:pPr>
      <w:r>
        <w:rPr>
          <w:spacing w:val="-3"/>
          <w:w w:val="105"/>
          <w:sz w:val="21"/>
        </w:rPr>
        <w:t>Case </w:t>
      </w:r>
      <w:r>
        <w:rPr>
          <w:w w:val="105"/>
          <w:sz w:val="21"/>
        </w:rPr>
        <w:t>law suggests </w:t>
      </w:r>
      <w:r>
        <w:rPr>
          <w:spacing w:val="-3"/>
          <w:w w:val="105"/>
          <w:sz w:val="21"/>
        </w:rPr>
        <w:t>that overhanging branches </w:t>
      </w:r>
      <w:r>
        <w:rPr>
          <w:w w:val="105"/>
          <w:sz w:val="21"/>
        </w:rPr>
        <w:t>can affect </w:t>
      </w:r>
      <w:r>
        <w:rPr>
          <w:spacing w:val="-3"/>
          <w:w w:val="105"/>
          <w:sz w:val="21"/>
        </w:rPr>
        <w:t>neighbouring </w:t>
      </w:r>
      <w:r>
        <w:rPr>
          <w:w w:val="105"/>
          <w:sz w:val="21"/>
        </w:rPr>
        <w:t>properties by  taking up space or </w:t>
      </w:r>
      <w:r>
        <w:rPr>
          <w:spacing w:val="-3"/>
          <w:w w:val="105"/>
          <w:sz w:val="21"/>
        </w:rPr>
        <w:t>dropping </w:t>
      </w:r>
      <w:r>
        <w:rPr>
          <w:w w:val="105"/>
          <w:sz w:val="21"/>
        </w:rPr>
        <w:t>leaf </w:t>
      </w:r>
      <w:r>
        <w:rPr>
          <w:spacing w:val="-4"/>
          <w:w w:val="105"/>
          <w:sz w:val="21"/>
        </w:rPr>
        <w:t>litter, </w:t>
      </w:r>
      <w:r>
        <w:rPr>
          <w:w w:val="105"/>
          <w:sz w:val="21"/>
        </w:rPr>
        <w:t>and by </w:t>
      </w:r>
      <w:r>
        <w:rPr>
          <w:spacing w:val="-3"/>
          <w:w w:val="105"/>
          <w:sz w:val="21"/>
        </w:rPr>
        <w:t>causing </w:t>
      </w:r>
      <w:r>
        <w:rPr>
          <w:w w:val="105"/>
          <w:sz w:val="21"/>
        </w:rPr>
        <w:t>damage </w:t>
      </w:r>
      <w:r>
        <w:rPr>
          <w:spacing w:val="-3"/>
          <w:w w:val="105"/>
          <w:sz w:val="21"/>
        </w:rPr>
        <w:t>to </w:t>
      </w:r>
      <w:r>
        <w:rPr>
          <w:w w:val="105"/>
          <w:sz w:val="21"/>
        </w:rPr>
        <w:t>property by exerting </w:t>
      </w:r>
      <w:r>
        <w:rPr>
          <w:spacing w:val="-3"/>
          <w:w w:val="105"/>
          <w:sz w:val="21"/>
        </w:rPr>
        <w:t>pressure</w:t>
      </w:r>
      <w:r>
        <w:rPr>
          <w:spacing w:val="-8"/>
          <w:w w:val="105"/>
          <w:sz w:val="21"/>
        </w:rPr>
        <w:t> </w:t>
      </w:r>
      <w:r>
        <w:rPr>
          <w:w w:val="105"/>
          <w:sz w:val="21"/>
        </w:rPr>
        <w:t>on</w:t>
      </w:r>
      <w:r>
        <w:rPr>
          <w:spacing w:val="-8"/>
          <w:w w:val="105"/>
          <w:sz w:val="21"/>
        </w:rPr>
        <w:t> </w:t>
      </w:r>
      <w:r>
        <w:rPr>
          <w:w w:val="105"/>
          <w:sz w:val="21"/>
        </w:rPr>
        <w:t>or</w:t>
      </w:r>
      <w:r>
        <w:rPr>
          <w:spacing w:val="-8"/>
          <w:w w:val="105"/>
          <w:sz w:val="21"/>
        </w:rPr>
        <w:t> </w:t>
      </w:r>
      <w:r>
        <w:rPr>
          <w:spacing w:val="-4"/>
          <w:w w:val="105"/>
          <w:sz w:val="21"/>
        </w:rPr>
        <w:t>falling</w:t>
      </w:r>
      <w:r>
        <w:rPr>
          <w:spacing w:val="-8"/>
          <w:w w:val="105"/>
          <w:sz w:val="21"/>
        </w:rPr>
        <w:t> </w:t>
      </w:r>
      <w:r>
        <w:rPr>
          <w:spacing w:val="-3"/>
          <w:w w:val="105"/>
          <w:sz w:val="21"/>
        </w:rPr>
        <w:t>onto</w:t>
      </w:r>
      <w:r>
        <w:rPr>
          <w:spacing w:val="-8"/>
          <w:w w:val="105"/>
          <w:sz w:val="21"/>
        </w:rPr>
        <w:t> </w:t>
      </w:r>
      <w:r>
        <w:rPr>
          <w:w w:val="105"/>
          <w:sz w:val="21"/>
        </w:rPr>
        <w:t>structures.</w:t>
      </w:r>
      <w:r>
        <w:rPr>
          <w:w w:val="105"/>
          <w:position w:val="7"/>
          <w:sz w:val="12"/>
        </w:rPr>
        <w:t>41 </w:t>
      </w:r>
      <w:r>
        <w:rPr>
          <w:spacing w:val="-3"/>
          <w:w w:val="105"/>
          <w:sz w:val="21"/>
        </w:rPr>
        <w:t>Encroaching</w:t>
      </w:r>
      <w:r>
        <w:rPr>
          <w:spacing w:val="-8"/>
          <w:w w:val="105"/>
          <w:sz w:val="21"/>
        </w:rPr>
        <w:t> </w:t>
      </w:r>
      <w:r>
        <w:rPr>
          <w:w w:val="105"/>
          <w:sz w:val="21"/>
        </w:rPr>
        <w:t>roots</w:t>
      </w:r>
      <w:r>
        <w:rPr>
          <w:spacing w:val="-8"/>
          <w:w w:val="105"/>
          <w:sz w:val="21"/>
        </w:rPr>
        <w:t> </w:t>
      </w:r>
      <w:r>
        <w:rPr>
          <w:spacing w:val="-3"/>
          <w:w w:val="105"/>
          <w:sz w:val="21"/>
        </w:rPr>
        <w:t>may</w:t>
      </w:r>
      <w:r>
        <w:rPr>
          <w:spacing w:val="-8"/>
          <w:w w:val="105"/>
          <w:sz w:val="21"/>
        </w:rPr>
        <w:t> </w:t>
      </w:r>
      <w:r>
        <w:rPr>
          <w:w w:val="105"/>
          <w:sz w:val="21"/>
        </w:rPr>
        <w:t>cause</w:t>
      </w:r>
      <w:r>
        <w:rPr>
          <w:spacing w:val="-7"/>
          <w:w w:val="105"/>
          <w:sz w:val="21"/>
        </w:rPr>
        <w:t> </w:t>
      </w:r>
      <w:r>
        <w:rPr>
          <w:w w:val="105"/>
          <w:sz w:val="21"/>
        </w:rPr>
        <w:t>damage</w:t>
      </w:r>
      <w:r>
        <w:rPr>
          <w:spacing w:val="-8"/>
          <w:w w:val="105"/>
          <w:sz w:val="21"/>
        </w:rPr>
        <w:t> </w:t>
      </w:r>
      <w:r>
        <w:rPr>
          <w:spacing w:val="-3"/>
          <w:w w:val="105"/>
          <w:sz w:val="21"/>
        </w:rPr>
        <w:t>to</w:t>
      </w:r>
      <w:r>
        <w:rPr>
          <w:spacing w:val="-8"/>
          <w:w w:val="105"/>
          <w:sz w:val="21"/>
        </w:rPr>
        <w:t> </w:t>
      </w:r>
      <w:r>
        <w:rPr>
          <w:w w:val="105"/>
          <w:sz w:val="21"/>
        </w:rPr>
        <w:t>structures and </w:t>
      </w:r>
      <w:r>
        <w:rPr>
          <w:spacing w:val="-3"/>
          <w:w w:val="105"/>
          <w:sz w:val="21"/>
        </w:rPr>
        <w:t>foundations, </w:t>
      </w:r>
      <w:r>
        <w:rPr>
          <w:w w:val="105"/>
          <w:sz w:val="21"/>
        </w:rPr>
        <w:t>as </w:t>
      </w:r>
      <w:r>
        <w:rPr>
          <w:spacing w:val="-3"/>
          <w:w w:val="105"/>
          <w:sz w:val="21"/>
        </w:rPr>
        <w:t>well </w:t>
      </w:r>
      <w:r>
        <w:rPr>
          <w:w w:val="105"/>
          <w:sz w:val="21"/>
        </w:rPr>
        <w:t>as </w:t>
      </w:r>
      <w:r>
        <w:rPr>
          <w:spacing w:val="-3"/>
          <w:w w:val="105"/>
          <w:sz w:val="21"/>
        </w:rPr>
        <w:t>to </w:t>
      </w:r>
      <w:r>
        <w:rPr>
          <w:w w:val="105"/>
          <w:sz w:val="21"/>
        </w:rPr>
        <w:t>other plants, and </w:t>
      </w:r>
      <w:r>
        <w:rPr>
          <w:spacing w:val="-3"/>
          <w:w w:val="105"/>
          <w:sz w:val="21"/>
        </w:rPr>
        <w:t>may </w:t>
      </w:r>
      <w:r>
        <w:rPr>
          <w:w w:val="105"/>
          <w:sz w:val="21"/>
        </w:rPr>
        <w:t>pose a safety </w:t>
      </w:r>
      <w:r>
        <w:rPr>
          <w:spacing w:val="-3"/>
          <w:w w:val="105"/>
          <w:sz w:val="21"/>
        </w:rPr>
        <w:t>hazard.</w:t>
      </w:r>
      <w:r>
        <w:rPr>
          <w:spacing w:val="-3"/>
          <w:w w:val="105"/>
          <w:position w:val="7"/>
          <w:sz w:val="12"/>
        </w:rPr>
        <w:t>42 </w:t>
      </w:r>
      <w:r>
        <w:rPr>
          <w:spacing w:val="-4"/>
          <w:w w:val="105"/>
          <w:sz w:val="21"/>
        </w:rPr>
        <w:t>Trees </w:t>
      </w:r>
      <w:r>
        <w:rPr>
          <w:spacing w:val="-3"/>
          <w:w w:val="105"/>
          <w:sz w:val="21"/>
        </w:rPr>
        <w:t>may </w:t>
      </w:r>
      <w:r>
        <w:rPr>
          <w:w w:val="105"/>
          <w:sz w:val="21"/>
        </w:rPr>
        <w:t>also cause </w:t>
      </w:r>
      <w:r>
        <w:rPr>
          <w:spacing w:val="-3"/>
          <w:w w:val="105"/>
          <w:sz w:val="21"/>
        </w:rPr>
        <w:t>harm to </w:t>
      </w:r>
      <w:r>
        <w:rPr>
          <w:w w:val="105"/>
          <w:sz w:val="21"/>
        </w:rPr>
        <w:t>neighbours by affecting their </w:t>
      </w:r>
      <w:r>
        <w:rPr>
          <w:spacing w:val="-3"/>
          <w:w w:val="105"/>
          <w:sz w:val="21"/>
        </w:rPr>
        <w:t>health </w:t>
      </w:r>
      <w:r>
        <w:rPr>
          <w:w w:val="105"/>
          <w:sz w:val="21"/>
        </w:rPr>
        <w:t>or </w:t>
      </w:r>
      <w:r>
        <w:rPr>
          <w:spacing w:val="-3"/>
          <w:w w:val="105"/>
          <w:sz w:val="21"/>
        </w:rPr>
        <w:t>causing injuries, including </w:t>
      </w:r>
      <w:r>
        <w:rPr>
          <w:w w:val="105"/>
          <w:sz w:val="21"/>
        </w:rPr>
        <w:t>by </w:t>
      </w:r>
      <w:r>
        <w:rPr>
          <w:spacing w:val="-3"/>
          <w:w w:val="105"/>
          <w:sz w:val="21"/>
        </w:rPr>
        <w:t>triggering allergies, causing </w:t>
      </w:r>
      <w:r>
        <w:rPr>
          <w:w w:val="105"/>
          <w:sz w:val="21"/>
        </w:rPr>
        <w:t>injury </w:t>
      </w:r>
      <w:r>
        <w:rPr>
          <w:spacing w:val="-3"/>
          <w:w w:val="105"/>
          <w:sz w:val="21"/>
        </w:rPr>
        <w:t>from </w:t>
      </w:r>
      <w:r>
        <w:rPr>
          <w:spacing w:val="-4"/>
          <w:w w:val="105"/>
          <w:sz w:val="21"/>
        </w:rPr>
        <w:t>falling </w:t>
      </w:r>
      <w:r>
        <w:rPr>
          <w:spacing w:val="-3"/>
          <w:w w:val="105"/>
          <w:sz w:val="21"/>
        </w:rPr>
        <w:t>branches </w:t>
      </w:r>
      <w:r>
        <w:rPr>
          <w:w w:val="105"/>
          <w:sz w:val="21"/>
        </w:rPr>
        <w:t>or trees, or </w:t>
      </w:r>
      <w:r>
        <w:rPr>
          <w:spacing w:val="-3"/>
          <w:w w:val="105"/>
          <w:sz w:val="21"/>
        </w:rPr>
        <w:t>creating </w:t>
      </w:r>
      <w:r>
        <w:rPr>
          <w:w w:val="105"/>
          <w:sz w:val="21"/>
        </w:rPr>
        <w:t>trip </w:t>
      </w:r>
      <w:r>
        <w:rPr>
          <w:spacing w:val="-3"/>
          <w:w w:val="105"/>
          <w:sz w:val="21"/>
        </w:rPr>
        <w:t>hazards from </w:t>
      </w:r>
      <w:r>
        <w:rPr>
          <w:w w:val="105"/>
          <w:sz w:val="21"/>
        </w:rPr>
        <w:t>structures </w:t>
      </w:r>
      <w:r>
        <w:rPr>
          <w:spacing w:val="-3"/>
          <w:w w:val="105"/>
          <w:sz w:val="21"/>
        </w:rPr>
        <w:t>compromised </w:t>
      </w:r>
      <w:r>
        <w:rPr>
          <w:w w:val="105"/>
          <w:sz w:val="21"/>
        </w:rPr>
        <w:t>by root</w:t>
      </w:r>
      <w:r>
        <w:rPr>
          <w:spacing w:val="28"/>
          <w:w w:val="105"/>
          <w:sz w:val="21"/>
        </w:rPr>
        <w:t> </w:t>
      </w:r>
      <w:r>
        <w:rPr>
          <w:w w:val="105"/>
          <w:sz w:val="21"/>
        </w:rPr>
        <w:t>growth.</w:t>
      </w:r>
      <w:r>
        <w:rPr>
          <w:w w:val="105"/>
          <w:position w:val="7"/>
          <w:sz w:val="12"/>
        </w:rPr>
        <w:t>43</w:t>
      </w:r>
    </w:p>
    <w:p>
      <w:pPr>
        <w:pStyle w:val="ListParagraph"/>
        <w:numPr>
          <w:ilvl w:val="1"/>
          <w:numId w:val="16"/>
        </w:numPr>
        <w:tabs>
          <w:tab w:pos="2380" w:val="left" w:leader="none"/>
          <w:tab w:pos="2381" w:val="left" w:leader="none"/>
        </w:tabs>
        <w:spacing w:line="240" w:lineRule="auto" w:before="128" w:after="0"/>
        <w:ind w:left="2381" w:right="0" w:hanging="794"/>
        <w:jc w:val="left"/>
        <w:rPr>
          <w:sz w:val="21"/>
        </w:rPr>
      </w:pPr>
      <w:r>
        <w:rPr>
          <w:sz w:val="21"/>
        </w:rPr>
        <w:t>The most </w:t>
      </w:r>
      <w:r>
        <w:rPr>
          <w:spacing w:val="-2"/>
          <w:sz w:val="21"/>
        </w:rPr>
        <w:t>common </w:t>
      </w:r>
      <w:r>
        <w:rPr>
          <w:sz w:val="21"/>
        </w:rPr>
        <w:t>tree </w:t>
      </w:r>
      <w:r>
        <w:rPr>
          <w:spacing w:val="-3"/>
          <w:sz w:val="21"/>
        </w:rPr>
        <w:t>disputes referred to </w:t>
      </w:r>
      <w:r>
        <w:rPr>
          <w:sz w:val="21"/>
        </w:rPr>
        <w:t>in community responses </w:t>
      </w:r>
      <w:r>
        <w:rPr>
          <w:spacing w:val="-3"/>
          <w:sz w:val="21"/>
        </w:rPr>
        <w:t>were</w:t>
      </w:r>
      <w:r>
        <w:rPr>
          <w:spacing w:val="-9"/>
          <w:sz w:val="21"/>
        </w:rPr>
        <w:t> </w:t>
      </w:r>
      <w:r>
        <w:rPr>
          <w:sz w:val="21"/>
        </w:rPr>
        <w:t>about:</w:t>
      </w:r>
    </w:p>
    <w:p>
      <w:pPr>
        <w:pStyle w:val="ListParagraph"/>
        <w:numPr>
          <w:ilvl w:val="2"/>
          <w:numId w:val="16"/>
        </w:numPr>
        <w:tabs>
          <w:tab w:pos="2721" w:val="left" w:leader="none"/>
          <w:tab w:pos="2722" w:val="left" w:leader="none"/>
        </w:tabs>
        <w:spacing w:line="240" w:lineRule="auto" w:before="123" w:after="0"/>
        <w:ind w:left="2721" w:right="0" w:hanging="340"/>
        <w:jc w:val="left"/>
        <w:rPr>
          <w:sz w:val="12"/>
        </w:rPr>
      </w:pPr>
      <w:r>
        <w:rPr>
          <w:spacing w:val="-3"/>
          <w:w w:val="105"/>
          <w:sz w:val="21"/>
        </w:rPr>
        <w:t>overhanging</w:t>
      </w:r>
      <w:r>
        <w:rPr>
          <w:spacing w:val="5"/>
          <w:w w:val="105"/>
          <w:sz w:val="21"/>
        </w:rPr>
        <w:t> </w:t>
      </w:r>
      <w:r>
        <w:rPr>
          <w:w w:val="105"/>
          <w:sz w:val="21"/>
        </w:rPr>
        <w:t>branches</w:t>
      </w:r>
      <w:r>
        <w:rPr>
          <w:w w:val="105"/>
          <w:position w:val="7"/>
          <w:sz w:val="12"/>
        </w:rPr>
        <w:t>44</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w w:val="105"/>
          <w:sz w:val="21"/>
        </w:rPr>
        <w:t>encroaching </w:t>
      </w:r>
      <w:r>
        <w:rPr>
          <w:w w:val="105"/>
          <w:sz w:val="21"/>
        </w:rPr>
        <w:t>roots</w:t>
      </w:r>
      <w:r>
        <w:rPr>
          <w:w w:val="105"/>
          <w:position w:val="7"/>
          <w:sz w:val="12"/>
        </w:rPr>
        <w:t>45</w:t>
      </w:r>
      <w:r>
        <w:rPr>
          <w:spacing w:val="8"/>
          <w:w w:val="105"/>
          <w:position w:val="7"/>
          <w:sz w:val="12"/>
        </w:rPr>
        <w:t> </w:t>
      </w:r>
      <w:r>
        <w:rPr>
          <w:w w:val="105"/>
          <w:sz w:val="21"/>
        </w:rPr>
        <w:t>or</w:t>
      </w:r>
    </w:p>
    <w:p>
      <w:pPr>
        <w:pStyle w:val="ListParagraph"/>
        <w:numPr>
          <w:ilvl w:val="2"/>
          <w:numId w:val="16"/>
        </w:numPr>
        <w:tabs>
          <w:tab w:pos="2721" w:val="left" w:leader="none"/>
          <w:tab w:pos="2722" w:val="left" w:leader="none"/>
        </w:tabs>
        <w:spacing w:line="242" w:lineRule="auto" w:before="89" w:after="0"/>
        <w:ind w:left="2721" w:right="2411" w:hanging="340"/>
        <w:jc w:val="left"/>
        <w:rPr>
          <w:sz w:val="12"/>
        </w:rPr>
      </w:pPr>
      <w:r>
        <w:rPr>
          <w:w w:val="105"/>
          <w:sz w:val="21"/>
        </w:rPr>
        <w:t>the</w:t>
      </w:r>
      <w:r>
        <w:rPr>
          <w:spacing w:val="-11"/>
          <w:w w:val="105"/>
          <w:sz w:val="21"/>
        </w:rPr>
        <w:t> </w:t>
      </w:r>
      <w:r>
        <w:rPr>
          <w:w w:val="105"/>
          <w:sz w:val="21"/>
        </w:rPr>
        <w:t>presence</w:t>
      </w:r>
      <w:r>
        <w:rPr>
          <w:spacing w:val="-11"/>
          <w:w w:val="105"/>
          <w:sz w:val="21"/>
        </w:rPr>
        <w:t> </w:t>
      </w:r>
      <w:r>
        <w:rPr>
          <w:w w:val="105"/>
          <w:sz w:val="21"/>
        </w:rPr>
        <w:t>of</w:t>
      </w:r>
      <w:r>
        <w:rPr>
          <w:spacing w:val="-10"/>
          <w:w w:val="105"/>
          <w:sz w:val="21"/>
        </w:rPr>
        <w:t> </w:t>
      </w:r>
      <w:r>
        <w:rPr>
          <w:w w:val="105"/>
          <w:sz w:val="21"/>
        </w:rPr>
        <w:t>large</w:t>
      </w:r>
      <w:r>
        <w:rPr>
          <w:spacing w:val="-11"/>
          <w:w w:val="105"/>
          <w:sz w:val="21"/>
        </w:rPr>
        <w:t> </w:t>
      </w:r>
      <w:r>
        <w:rPr>
          <w:w w:val="105"/>
          <w:sz w:val="21"/>
        </w:rPr>
        <w:t>trees</w:t>
      </w:r>
      <w:r>
        <w:rPr>
          <w:w w:val="105"/>
          <w:position w:val="7"/>
          <w:sz w:val="12"/>
        </w:rPr>
        <w:t>46</w:t>
      </w:r>
      <w:r>
        <w:rPr>
          <w:spacing w:val="12"/>
          <w:w w:val="105"/>
          <w:position w:val="7"/>
          <w:sz w:val="12"/>
        </w:rPr>
        <w:t> </w:t>
      </w:r>
      <w:r>
        <w:rPr>
          <w:w w:val="105"/>
          <w:sz w:val="21"/>
        </w:rPr>
        <w:t>or</w:t>
      </w:r>
      <w:r>
        <w:rPr>
          <w:spacing w:val="-11"/>
          <w:w w:val="105"/>
          <w:sz w:val="21"/>
        </w:rPr>
        <w:t> </w:t>
      </w:r>
      <w:r>
        <w:rPr>
          <w:w w:val="105"/>
          <w:sz w:val="21"/>
        </w:rPr>
        <w:t>the</w:t>
      </w:r>
      <w:r>
        <w:rPr>
          <w:spacing w:val="-10"/>
          <w:w w:val="105"/>
          <w:sz w:val="21"/>
        </w:rPr>
        <w:t> </w:t>
      </w:r>
      <w:r>
        <w:rPr>
          <w:spacing w:val="-3"/>
          <w:w w:val="105"/>
          <w:sz w:val="21"/>
        </w:rPr>
        <w:t>proximity</w:t>
      </w:r>
      <w:r>
        <w:rPr>
          <w:spacing w:val="-11"/>
          <w:w w:val="105"/>
          <w:sz w:val="21"/>
        </w:rPr>
        <w:t> </w:t>
      </w:r>
      <w:r>
        <w:rPr>
          <w:w w:val="105"/>
          <w:sz w:val="21"/>
        </w:rPr>
        <w:t>of</w:t>
      </w:r>
      <w:r>
        <w:rPr>
          <w:spacing w:val="-11"/>
          <w:w w:val="105"/>
          <w:sz w:val="21"/>
        </w:rPr>
        <w:t> </w:t>
      </w:r>
      <w:r>
        <w:rPr>
          <w:w w:val="105"/>
          <w:sz w:val="21"/>
        </w:rPr>
        <w:t>trees</w:t>
      </w:r>
      <w:r>
        <w:rPr>
          <w:spacing w:val="-10"/>
          <w:w w:val="105"/>
          <w:sz w:val="21"/>
        </w:rPr>
        <w:t> </w:t>
      </w:r>
      <w:r>
        <w:rPr>
          <w:spacing w:val="-3"/>
          <w:w w:val="105"/>
          <w:sz w:val="21"/>
        </w:rPr>
        <w:t>to</w:t>
      </w:r>
      <w:r>
        <w:rPr>
          <w:spacing w:val="-11"/>
          <w:w w:val="105"/>
          <w:sz w:val="21"/>
        </w:rPr>
        <w:t> </w:t>
      </w:r>
      <w:r>
        <w:rPr>
          <w:w w:val="105"/>
          <w:sz w:val="21"/>
        </w:rPr>
        <w:t>boundaries</w:t>
      </w:r>
      <w:r>
        <w:rPr>
          <w:spacing w:val="-11"/>
          <w:w w:val="105"/>
          <w:sz w:val="21"/>
        </w:rPr>
        <w:t> </w:t>
      </w:r>
      <w:r>
        <w:rPr>
          <w:w w:val="105"/>
          <w:sz w:val="21"/>
        </w:rPr>
        <w:t>between properties.</w:t>
      </w:r>
      <w:r>
        <w:rPr>
          <w:w w:val="105"/>
          <w:position w:val="7"/>
          <w:sz w:val="12"/>
        </w:rPr>
        <w:t>47</w:t>
      </w:r>
    </w:p>
    <w:p>
      <w:pPr>
        <w:pStyle w:val="ListParagraph"/>
        <w:numPr>
          <w:ilvl w:val="1"/>
          <w:numId w:val="16"/>
        </w:numPr>
        <w:tabs>
          <w:tab w:pos="2380" w:val="left" w:leader="none"/>
          <w:tab w:pos="2381" w:val="left" w:leader="none"/>
        </w:tabs>
        <w:spacing w:line="240" w:lineRule="auto" w:before="87" w:after="0"/>
        <w:ind w:left="2381" w:right="0" w:hanging="794"/>
        <w:jc w:val="left"/>
        <w:rPr>
          <w:sz w:val="21"/>
        </w:rPr>
      </w:pPr>
      <w:r>
        <w:rPr>
          <w:spacing w:val="-3"/>
          <w:sz w:val="21"/>
        </w:rPr>
        <w:t>Community </w:t>
      </w:r>
      <w:r>
        <w:rPr>
          <w:sz w:val="21"/>
        </w:rPr>
        <w:t>responses also </w:t>
      </w:r>
      <w:r>
        <w:rPr>
          <w:spacing w:val="-3"/>
          <w:sz w:val="21"/>
        </w:rPr>
        <w:t>reveal disputes</w:t>
      </w:r>
      <w:r>
        <w:rPr>
          <w:spacing w:val="6"/>
          <w:sz w:val="21"/>
        </w:rPr>
        <w:t> </w:t>
      </w:r>
      <w:r>
        <w:rPr>
          <w:sz w:val="21"/>
        </w:rPr>
        <w:t>about:</w:t>
      </w:r>
    </w:p>
    <w:p>
      <w:pPr>
        <w:pStyle w:val="ListParagraph"/>
        <w:numPr>
          <w:ilvl w:val="2"/>
          <w:numId w:val="16"/>
        </w:numPr>
        <w:tabs>
          <w:tab w:pos="2721" w:val="left" w:leader="none"/>
          <w:tab w:pos="2722" w:val="left" w:leader="none"/>
        </w:tabs>
        <w:spacing w:line="240" w:lineRule="auto" w:before="124" w:after="0"/>
        <w:ind w:left="2721" w:right="0" w:hanging="340"/>
        <w:jc w:val="left"/>
        <w:rPr>
          <w:sz w:val="12"/>
        </w:rPr>
      </w:pPr>
      <w:r>
        <w:rPr>
          <w:spacing w:val="-3"/>
          <w:w w:val="105"/>
          <w:sz w:val="21"/>
        </w:rPr>
        <w:t>increased bushfire</w:t>
      </w:r>
      <w:r>
        <w:rPr>
          <w:spacing w:val="13"/>
          <w:w w:val="105"/>
          <w:sz w:val="21"/>
        </w:rPr>
        <w:t> </w:t>
      </w:r>
      <w:r>
        <w:rPr>
          <w:w w:val="105"/>
          <w:sz w:val="21"/>
        </w:rPr>
        <w:t>risk</w:t>
      </w:r>
      <w:r>
        <w:rPr>
          <w:w w:val="105"/>
          <w:position w:val="7"/>
          <w:sz w:val="12"/>
        </w:rPr>
        <w:t>48</w:t>
      </w:r>
    </w:p>
    <w:p>
      <w:pPr>
        <w:pStyle w:val="ListParagraph"/>
        <w:numPr>
          <w:ilvl w:val="2"/>
          <w:numId w:val="16"/>
        </w:numPr>
        <w:tabs>
          <w:tab w:pos="2721" w:val="left" w:leader="none"/>
          <w:tab w:pos="2722" w:val="left" w:leader="none"/>
        </w:tabs>
        <w:spacing w:line="240" w:lineRule="auto" w:before="88" w:after="0"/>
        <w:ind w:left="2721" w:right="0" w:hanging="340"/>
        <w:jc w:val="left"/>
        <w:rPr>
          <w:sz w:val="12"/>
        </w:rPr>
      </w:pPr>
      <w:r>
        <w:rPr>
          <w:w w:val="105"/>
          <w:sz w:val="21"/>
        </w:rPr>
        <w:t>economic</w:t>
      </w:r>
      <w:r>
        <w:rPr>
          <w:spacing w:val="5"/>
          <w:w w:val="105"/>
          <w:sz w:val="21"/>
        </w:rPr>
        <w:t> </w:t>
      </w:r>
      <w:r>
        <w:rPr>
          <w:w w:val="105"/>
          <w:sz w:val="21"/>
        </w:rPr>
        <w:t>loss</w:t>
      </w:r>
      <w:r>
        <w:rPr>
          <w:w w:val="105"/>
          <w:position w:val="7"/>
          <w:sz w:val="12"/>
        </w:rPr>
        <w:t>49</w:t>
      </w:r>
    </w:p>
    <w:p>
      <w:pPr>
        <w:pStyle w:val="ListParagraph"/>
        <w:numPr>
          <w:ilvl w:val="2"/>
          <w:numId w:val="16"/>
        </w:numPr>
        <w:tabs>
          <w:tab w:pos="2721" w:val="left" w:leader="none"/>
          <w:tab w:pos="2722" w:val="left" w:leader="none"/>
        </w:tabs>
        <w:spacing w:line="240" w:lineRule="auto" w:before="89" w:after="0"/>
        <w:ind w:left="2721" w:right="0" w:hanging="340"/>
        <w:jc w:val="left"/>
        <w:rPr>
          <w:sz w:val="12"/>
        </w:rPr>
      </w:pPr>
      <w:r>
        <w:rPr>
          <w:w w:val="105"/>
          <w:sz w:val="21"/>
        </w:rPr>
        <w:t>neighbours objecting </w:t>
      </w:r>
      <w:r>
        <w:rPr>
          <w:spacing w:val="-3"/>
          <w:w w:val="105"/>
          <w:sz w:val="21"/>
        </w:rPr>
        <w:t>to </w:t>
      </w:r>
      <w:r>
        <w:rPr>
          <w:w w:val="105"/>
          <w:sz w:val="21"/>
        </w:rPr>
        <w:t>tree works conducted by </w:t>
      </w:r>
      <w:r>
        <w:rPr>
          <w:spacing w:val="-3"/>
          <w:w w:val="105"/>
          <w:sz w:val="21"/>
        </w:rPr>
        <w:t>neighbouring </w:t>
      </w:r>
      <w:r>
        <w:rPr>
          <w:w w:val="105"/>
          <w:sz w:val="21"/>
        </w:rPr>
        <w:t>tree</w:t>
      </w:r>
      <w:r>
        <w:rPr>
          <w:spacing w:val="37"/>
          <w:w w:val="105"/>
          <w:sz w:val="21"/>
        </w:rPr>
        <w:t> </w:t>
      </w:r>
      <w:r>
        <w:rPr>
          <w:w w:val="105"/>
          <w:sz w:val="21"/>
        </w:rPr>
        <w:t>owners</w:t>
      </w:r>
      <w:r>
        <w:rPr>
          <w:w w:val="105"/>
          <w:position w:val="7"/>
          <w:sz w:val="12"/>
        </w:rPr>
        <w:t>50</w:t>
      </w:r>
    </w:p>
    <w:p>
      <w:pPr>
        <w:pStyle w:val="ListParagraph"/>
        <w:numPr>
          <w:ilvl w:val="2"/>
          <w:numId w:val="16"/>
        </w:numPr>
        <w:tabs>
          <w:tab w:pos="2721" w:val="left" w:leader="none"/>
          <w:tab w:pos="2722" w:val="left" w:leader="none"/>
        </w:tabs>
        <w:spacing w:line="240" w:lineRule="auto" w:before="89" w:after="0"/>
        <w:ind w:left="2721" w:right="0" w:hanging="340"/>
        <w:jc w:val="left"/>
        <w:rPr>
          <w:sz w:val="12"/>
        </w:rPr>
      </w:pPr>
      <w:r>
        <w:rPr>
          <w:sz w:val="21"/>
        </w:rPr>
        <w:t>tree works undertaken without the tree </w:t>
      </w:r>
      <w:r>
        <w:rPr>
          <w:spacing w:val="-3"/>
          <w:sz w:val="21"/>
        </w:rPr>
        <w:t>owner’s consent </w:t>
      </w:r>
      <w:r>
        <w:rPr>
          <w:sz w:val="21"/>
        </w:rPr>
        <w:t>or </w:t>
      </w:r>
      <w:r>
        <w:rPr>
          <w:spacing w:val="-3"/>
          <w:sz w:val="21"/>
        </w:rPr>
        <w:t>that harm</w:t>
      </w:r>
      <w:r>
        <w:rPr>
          <w:spacing w:val="7"/>
          <w:sz w:val="21"/>
        </w:rPr>
        <w:t> </w:t>
      </w:r>
      <w:r>
        <w:rPr>
          <w:sz w:val="21"/>
        </w:rPr>
        <w:t>the </w:t>
      </w:r>
      <w:r>
        <w:rPr>
          <w:spacing w:val="-5"/>
          <w:sz w:val="21"/>
        </w:rPr>
        <w:t>tree</w:t>
      </w:r>
      <w:r>
        <w:rPr>
          <w:spacing w:val="-5"/>
          <w:position w:val="7"/>
          <w:sz w:val="12"/>
        </w:rPr>
        <w:t>51</w:t>
      </w:r>
    </w:p>
    <w:p>
      <w:pPr>
        <w:pStyle w:val="ListParagraph"/>
        <w:numPr>
          <w:ilvl w:val="2"/>
          <w:numId w:val="16"/>
        </w:numPr>
        <w:tabs>
          <w:tab w:pos="2721" w:val="left" w:leader="none"/>
          <w:tab w:pos="2722" w:val="left" w:leader="none"/>
        </w:tabs>
        <w:spacing w:line="240" w:lineRule="auto" w:before="88" w:after="0"/>
        <w:ind w:left="2721" w:right="0" w:hanging="340"/>
        <w:jc w:val="left"/>
        <w:rPr>
          <w:sz w:val="12"/>
        </w:rPr>
      </w:pPr>
      <w:r>
        <w:rPr>
          <w:sz w:val="21"/>
        </w:rPr>
        <w:t>particular issues </w:t>
      </w:r>
      <w:r>
        <w:rPr>
          <w:spacing w:val="-3"/>
          <w:sz w:val="21"/>
        </w:rPr>
        <w:t>unique to rural</w:t>
      </w:r>
      <w:r>
        <w:rPr>
          <w:spacing w:val="4"/>
          <w:sz w:val="21"/>
        </w:rPr>
        <w:t> </w:t>
      </w:r>
      <w:r>
        <w:rPr>
          <w:sz w:val="21"/>
        </w:rPr>
        <w:t>settings.</w:t>
      </w:r>
      <w:r>
        <w:rPr>
          <w:position w:val="7"/>
          <w:sz w:val="12"/>
        </w:rPr>
        <w:t>52</w:t>
      </w:r>
    </w:p>
    <w:p>
      <w:pPr>
        <w:pStyle w:val="ListParagraph"/>
        <w:numPr>
          <w:ilvl w:val="1"/>
          <w:numId w:val="16"/>
        </w:numPr>
        <w:tabs>
          <w:tab w:pos="2381" w:val="left" w:leader="none"/>
          <w:tab w:pos="2382" w:val="left" w:leader="none"/>
        </w:tabs>
        <w:spacing w:line="242" w:lineRule="auto" w:before="89" w:after="0"/>
        <w:ind w:left="2381" w:right="1671" w:hanging="794"/>
        <w:jc w:val="left"/>
        <w:rPr>
          <w:sz w:val="21"/>
        </w:rPr>
      </w:pPr>
      <w:r>
        <w:rPr>
          <w:sz w:val="21"/>
        </w:rPr>
        <w:t>A </w:t>
      </w:r>
      <w:r>
        <w:rPr>
          <w:spacing w:val="-3"/>
          <w:sz w:val="21"/>
        </w:rPr>
        <w:t>smaller </w:t>
      </w:r>
      <w:r>
        <w:rPr>
          <w:sz w:val="21"/>
        </w:rPr>
        <w:t>number of people identified </w:t>
      </w:r>
      <w:r>
        <w:rPr>
          <w:spacing w:val="-3"/>
          <w:sz w:val="21"/>
        </w:rPr>
        <w:t>circumstances involving </w:t>
      </w:r>
      <w:r>
        <w:rPr>
          <w:sz w:val="21"/>
        </w:rPr>
        <w:t>dead trees</w:t>
      </w:r>
      <w:r>
        <w:rPr>
          <w:position w:val="7"/>
          <w:sz w:val="12"/>
        </w:rPr>
        <w:t>53</w:t>
      </w:r>
      <w:r>
        <w:rPr>
          <w:sz w:val="21"/>
        </w:rPr>
        <w:t>, the </w:t>
      </w:r>
      <w:r>
        <w:rPr>
          <w:spacing w:val="-3"/>
          <w:sz w:val="21"/>
        </w:rPr>
        <w:t>spread </w:t>
      </w:r>
      <w:r>
        <w:rPr>
          <w:sz w:val="21"/>
        </w:rPr>
        <w:t>of weeds</w:t>
      </w:r>
      <w:r>
        <w:rPr>
          <w:position w:val="7"/>
          <w:sz w:val="12"/>
        </w:rPr>
        <w:t>54 </w:t>
      </w:r>
      <w:r>
        <w:rPr>
          <w:sz w:val="21"/>
        </w:rPr>
        <w:t>or trees hosting pests</w:t>
      </w:r>
      <w:r>
        <w:rPr>
          <w:position w:val="7"/>
          <w:sz w:val="12"/>
        </w:rPr>
        <w:t>55 </w:t>
      </w:r>
      <w:r>
        <w:rPr>
          <w:sz w:val="21"/>
        </w:rPr>
        <w:t>as other </w:t>
      </w:r>
      <w:r>
        <w:rPr>
          <w:spacing w:val="-3"/>
          <w:sz w:val="21"/>
        </w:rPr>
        <w:t>conditions causing </w:t>
      </w:r>
      <w:r>
        <w:rPr>
          <w:sz w:val="21"/>
        </w:rPr>
        <w:t>tree</w:t>
      </w:r>
      <w:r>
        <w:rPr>
          <w:spacing w:val="30"/>
          <w:sz w:val="21"/>
        </w:rPr>
        <w:t> </w:t>
      </w:r>
      <w:r>
        <w:rPr>
          <w:spacing w:val="-3"/>
          <w:sz w:val="21"/>
        </w:rPr>
        <w:t>disputes.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r>
        <w:rPr/>
        <w:pict>
          <v:line style="position:absolute;mso-position-horizontal-relative:page;mso-position-vertical-relative:paragraph;z-index:-16;mso-wrap-distance-left:0;mso-wrap-distance-right:0" from="79.370102pt,19.601854pt" to="515.905102pt,19.601854pt" stroked="true" strokeweight="1pt" strokecolor="#c9d2cb">
            <v:stroke dashstyle="solid"/>
            <w10:wrap type="topAndBottom"/>
          </v:line>
        </w:pict>
      </w:r>
    </w:p>
    <w:p>
      <w:pPr>
        <w:pStyle w:val="ListParagraph"/>
        <w:numPr>
          <w:ilvl w:val="0"/>
          <w:numId w:val="18"/>
        </w:numPr>
        <w:tabs>
          <w:tab w:pos="2380" w:val="left" w:leader="none"/>
          <w:tab w:pos="2382" w:val="left" w:leader="none"/>
        </w:tabs>
        <w:spacing w:line="240" w:lineRule="auto" w:before="117" w:after="0"/>
        <w:ind w:left="2381" w:right="1903" w:hanging="794"/>
        <w:jc w:val="left"/>
        <w:rPr>
          <w:sz w:val="13"/>
        </w:rPr>
      </w:pPr>
      <w:r>
        <w:rPr>
          <w:w w:val="105"/>
          <w:sz w:val="13"/>
        </w:rPr>
        <w:t>See generally </w:t>
      </w:r>
      <w:r>
        <w:rPr>
          <w:i/>
          <w:w w:val="105"/>
          <w:sz w:val="13"/>
        </w:rPr>
        <w:t>City of Richmond v Scantelbury </w:t>
      </w:r>
      <w:r>
        <w:rPr>
          <w:w w:val="105"/>
          <w:sz w:val="13"/>
        </w:rPr>
        <w:t>[1991] 2 VR </w:t>
      </w:r>
      <w:r>
        <w:rPr>
          <w:spacing w:val="2"/>
          <w:w w:val="105"/>
          <w:sz w:val="13"/>
        </w:rPr>
        <w:t>38; </w:t>
      </w:r>
      <w:r>
        <w:rPr>
          <w:i/>
          <w:w w:val="105"/>
          <w:sz w:val="13"/>
        </w:rPr>
        <w:t>Yang v Scerri </w:t>
      </w:r>
      <w:r>
        <w:rPr>
          <w:w w:val="105"/>
          <w:sz w:val="13"/>
        </w:rPr>
        <w:t>[2007] NSWLEC 592; </w:t>
      </w:r>
      <w:r>
        <w:rPr>
          <w:i/>
          <w:w w:val="105"/>
          <w:sz w:val="13"/>
        </w:rPr>
        <w:t>Hiss v Galea </w:t>
      </w:r>
      <w:r>
        <w:rPr>
          <w:w w:val="105"/>
          <w:sz w:val="13"/>
        </w:rPr>
        <w:t>[2012] VCC 710; </w:t>
      </w:r>
      <w:r>
        <w:rPr>
          <w:i/>
          <w:spacing w:val="2"/>
          <w:w w:val="105"/>
          <w:sz w:val="13"/>
        </w:rPr>
        <w:t>Owners </w:t>
      </w:r>
      <w:r>
        <w:rPr>
          <w:i/>
          <w:w w:val="105"/>
          <w:sz w:val="13"/>
        </w:rPr>
        <w:t>Corporation</w:t>
      </w:r>
      <w:r>
        <w:rPr>
          <w:i/>
          <w:spacing w:val="5"/>
          <w:w w:val="105"/>
          <w:sz w:val="13"/>
        </w:rPr>
        <w:t> </w:t>
      </w:r>
      <w:r>
        <w:rPr>
          <w:i/>
          <w:w w:val="105"/>
          <w:sz w:val="13"/>
        </w:rPr>
        <w:t>SP020030</w:t>
      </w:r>
      <w:r>
        <w:rPr>
          <w:i/>
          <w:spacing w:val="6"/>
          <w:w w:val="105"/>
          <w:sz w:val="13"/>
        </w:rPr>
        <w:t> </w:t>
      </w:r>
      <w:r>
        <w:rPr>
          <w:i/>
          <w:w w:val="105"/>
          <w:sz w:val="13"/>
        </w:rPr>
        <w:t>v</w:t>
      </w:r>
      <w:r>
        <w:rPr>
          <w:i/>
          <w:spacing w:val="6"/>
          <w:w w:val="105"/>
          <w:sz w:val="13"/>
        </w:rPr>
        <w:t> </w:t>
      </w:r>
      <w:r>
        <w:rPr>
          <w:i/>
          <w:w w:val="105"/>
          <w:sz w:val="13"/>
        </w:rPr>
        <w:t>Keyt</w:t>
      </w:r>
      <w:r>
        <w:rPr>
          <w:i/>
          <w:spacing w:val="6"/>
          <w:w w:val="105"/>
          <w:sz w:val="13"/>
        </w:rPr>
        <w:t> </w:t>
      </w:r>
      <w:r>
        <w:rPr>
          <w:w w:val="105"/>
          <w:sz w:val="13"/>
        </w:rPr>
        <w:t>[2016]</w:t>
      </w:r>
      <w:r>
        <w:rPr>
          <w:spacing w:val="6"/>
          <w:w w:val="105"/>
          <w:sz w:val="13"/>
        </w:rPr>
        <w:t> </w:t>
      </w:r>
      <w:r>
        <w:rPr>
          <w:w w:val="105"/>
          <w:sz w:val="13"/>
        </w:rPr>
        <w:t>VCC</w:t>
      </w:r>
      <w:r>
        <w:rPr>
          <w:spacing w:val="6"/>
          <w:w w:val="105"/>
          <w:sz w:val="13"/>
        </w:rPr>
        <w:t> </w:t>
      </w:r>
      <w:r>
        <w:rPr>
          <w:w w:val="105"/>
          <w:sz w:val="13"/>
        </w:rPr>
        <w:t>1656;</w:t>
      </w:r>
      <w:r>
        <w:rPr>
          <w:spacing w:val="6"/>
          <w:w w:val="105"/>
          <w:sz w:val="13"/>
        </w:rPr>
        <w:t> </w:t>
      </w:r>
      <w:r>
        <w:rPr>
          <w:i/>
          <w:w w:val="105"/>
          <w:sz w:val="13"/>
        </w:rPr>
        <w:t>Rogerson</w:t>
      </w:r>
      <w:r>
        <w:rPr>
          <w:i/>
          <w:spacing w:val="6"/>
          <w:w w:val="105"/>
          <w:sz w:val="13"/>
        </w:rPr>
        <w:t> </w:t>
      </w:r>
      <w:r>
        <w:rPr>
          <w:i/>
          <w:w w:val="105"/>
          <w:sz w:val="13"/>
        </w:rPr>
        <w:t>v</w:t>
      </w:r>
      <w:r>
        <w:rPr>
          <w:i/>
          <w:spacing w:val="6"/>
          <w:w w:val="105"/>
          <w:sz w:val="13"/>
        </w:rPr>
        <w:t> </w:t>
      </w:r>
      <w:r>
        <w:rPr>
          <w:i/>
          <w:w w:val="105"/>
          <w:sz w:val="13"/>
        </w:rPr>
        <w:t>Dean</w:t>
      </w:r>
      <w:r>
        <w:rPr>
          <w:i/>
          <w:spacing w:val="6"/>
          <w:w w:val="105"/>
          <w:sz w:val="13"/>
        </w:rPr>
        <w:t> </w:t>
      </w:r>
      <w:r>
        <w:rPr>
          <w:w w:val="105"/>
          <w:sz w:val="13"/>
        </w:rPr>
        <w:t>[2017]</w:t>
      </w:r>
      <w:r>
        <w:rPr>
          <w:spacing w:val="6"/>
          <w:w w:val="105"/>
          <w:sz w:val="13"/>
        </w:rPr>
        <w:t> </w:t>
      </w:r>
      <w:r>
        <w:rPr>
          <w:w w:val="105"/>
          <w:sz w:val="13"/>
        </w:rPr>
        <w:t>NSWLEC</w:t>
      </w:r>
      <w:r>
        <w:rPr>
          <w:spacing w:val="6"/>
          <w:w w:val="105"/>
          <w:sz w:val="13"/>
        </w:rPr>
        <w:t> </w:t>
      </w:r>
      <w:r>
        <w:rPr>
          <w:w w:val="105"/>
          <w:sz w:val="13"/>
        </w:rPr>
        <w:t>1209.</w:t>
      </w:r>
    </w:p>
    <w:p>
      <w:pPr>
        <w:pStyle w:val="ListParagraph"/>
        <w:numPr>
          <w:ilvl w:val="0"/>
          <w:numId w:val="18"/>
        </w:numPr>
        <w:tabs>
          <w:tab w:pos="2380" w:val="left" w:leader="none"/>
          <w:tab w:pos="2382" w:val="left" w:leader="none"/>
        </w:tabs>
        <w:spacing w:line="240" w:lineRule="auto" w:before="3" w:after="0"/>
        <w:ind w:left="2381" w:right="0" w:hanging="794"/>
        <w:jc w:val="left"/>
        <w:rPr>
          <w:sz w:val="13"/>
        </w:rPr>
      </w:pPr>
      <w:r>
        <w:rPr>
          <w:w w:val="105"/>
          <w:sz w:val="13"/>
        </w:rPr>
        <w:t>See,</w:t>
      </w:r>
      <w:r>
        <w:rPr>
          <w:spacing w:val="5"/>
          <w:w w:val="105"/>
          <w:sz w:val="13"/>
        </w:rPr>
        <w:t> </w:t>
      </w:r>
      <w:r>
        <w:rPr>
          <w:w w:val="105"/>
          <w:sz w:val="13"/>
        </w:rPr>
        <w:t>eg,</w:t>
      </w:r>
      <w:r>
        <w:rPr>
          <w:spacing w:val="5"/>
          <w:w w:val="105"/>
          <w:sz w:val="13"/>
        </w:rPr>
        <w:t> </w:t>
      </w:r>
      <w:r>
        <w:rPr>
          <w:i/>
          <w:w w:val="105"/>
          <w:sz w:val="13"/>
        </w:rPr>
        <w:t>Wilson</w:t>
      </w:r>
      <w:r>
        <w:rPr>
          <w:i/>
          <w:spacing w:val="5"/>
          <w:w w:val="105"/>
          <w:sz w:val="13"/>
        </w:rPr>
        <w:t> </w:t>
      </w:r>
      <w:r>
        <w:rPr>
          <w:i/>
          <w:w w:val="105"/>
          <w:sz w:val="13"/>
        </w:rPr>
        <w:t>v</w:t>
      </w:r>
      <w:r>
        <w:rPr>
          <w:i/>
          <w:spacing w:val="5"/>
          <w:w w:val="105"/>
          <w:sz w:val="13"/>
        </w:rPr>
        <w:t> </w:t>
      </w:r>
      <w:r>
        <w:rPr>
          <w:i/>
          <w:w w:val="105"/>
          <w:sz w:val="13"/>
        </w:rPr>
        <w:t>Farah</w:t>
      </w:r>
      <w:r>
        <w:rPr>
          <w:i/>
          <w:spacing w:val="5"/>
          <w:w w:val="105"/>
          <w:sz w:val="13"/>
        </w:rPr>
        <w:t> </w:t>
      </w:r>
      <w:r>
        <w:rPr>
          <w:w w:val="105"/>
          <w:sz w:val="13"/>
        </w:rPr>
        <w:t>[2017]</w:t>
      </w:r>
      <w:r>
        <w:rPr>
          <w:spacing w:val="5"/>
          <w:w w:val="105"/>
          <w:sz w:val="13"/>
        </w:rPr>
        <w:t> </w:t>
      </w:r>
      <w:r>
        <w:rPr>
          <w:w w:val="105"/>
          <w:sz w:val="13"/>
        </w:rPr>
        <w:t>NSWLEC</w:t>
      </w:r>
      <w:r>
        <w:rPr>
          <w:spacing w:val="5"/>
          <w:w w:val="105"/>
          <w:sz w:val="13"/>
        </w:rPr>
        <w:t> </w:t>
      </w:r>
      <w:r>
        <w:rPr>
          <w:w w:val="105"/>
          <w:sz w:val="13"/>
        </w:rPr>
        <w:t>1006;</w:t>
      </w:r>
      <w:r>
        <w:rPr>
          <w:spacing w:val="5"/>
          <w:w w:val="105"/>
          <w:sz w:val="13"/>
        </w:rPr>
        <w:t> </w:t>
      </w:r>
      <w:r>
        <w:rPr>
          <w:i/>
          <w:w w:val="105"/>
          <w:sz w:val="13"/>
        </w:rPr>
        <w:t>Yang</w:t>
      </w:r>
      <w:r>
        <w:rPr>
          <w:i/>
          <w:spacing w:val="5"/>
          <w:w w:val="105"/>
          <w:sz w:val="13"/>
        </w:rPr>
        <w:t> </w:t>
      </w:r>
      <w:r>
        <w:rPr>
          <w:i/>
          <w:w w:val="105"/>
          <w:sz w:val="13"/>
        </w:rPr>
        <w:t>v</w:t>
      </w:r>
      <w:r>
        <w:rPr>
          <w:i/>
          <w:spacing w:val="6"/>
          <w:w w:val="105"/>
          <w:sz w:val="13"/>
        </w:rPr>
        <w:t> </w:t>
      </w:r>
      <w:r>
        <w:rPr>
          <w:i/>
          <w:w w:val="105"/>
          <w:sz w:val="13"/>
        </w:rPr>
        <w:t>Scerri</w:t>
      </w:r>
      <w:r>
        <w:rPr>
          <w:i/>
          <w:spacing w:val="5"/>
          <w:w w:val="105"/>
          <w:sz w:val="13"/>
        </w:rPr>
        <w:t> </w:t>
      </w:r>
      <w:r>
        <w:rPr>
          <w:w w:val="105"/>
          <w:sz w:val="13"/>
        </w:rPr>
        <w:t>[2007]</w:t>
      </w:r>
      <w:r>
        <w:rPr>
          <w:spacing w:val="5"/>
          <w:w w:val="105"/>
          <w:sz w:val="13"/>
        </w:rPr>
        <w:t> </w:t>
      </w:r>
      <w:r>
        <w:rPr>
          <w:w w:val="105"/>
          <w:sz w:val="13"/>
        </w:rPr>
        <w:t>NSWLEC</w:t>
      </w:r>
      <w:r>
        <w:rPr>
          <w:spacing w:val="5"/>
          <w:w w:val="105"/>
          <w:sz w:val="13"/>
        </w:rPr>
        <w:t> </w:t>
      </w:r>
      <w:r>
        <w:rPr>
          <w:w w:val="105"/>
          <w:sz w:val="13"/>
        </w:rPr>
        <w:t>592.</w:t>
      </w:r>
    </w:p>
    <w:p>
      <w:pPr>
        <w:pStyle w:val="ListParagraph"/>
        <w:numPr>
          <w:ilvl w:val="0"/>
          <w:numId w:val="18"/>
        </w:numPr>
        <w:tabs>
          <w:tab w:pos="2380" w:val="left" w:leader="none"/>
          <w:tab w:pos="2381" w:val="left" w:leader="none"/>
        </w:tabs>
        <w:spacing w:line="240" w:lineRule="auto" w:before="1" w:after="0"/>
        <w:ind w:left="2380" w:right="0" w:hanging="793"/>
        <w:jc w:val="left"/>
        <w:rPr>
          <w:sz w:val="13"/>
        </w:rPr>
      </w:pPr>
      <w:r>
        <w:rPr>
          <w:w w:val="105"/>
          <w:sz w:val="13"/>
        </w:rPr>
        <w:t>John</w:t>
      </w:r>
      <w:r>
        <w:rPr>
          <w:spacing w:val="5"/>
          <w:w w:val="105"/>
          <w:sz w:val="13"/>
        </w:rPr>
        <w:t> </w:t>
      </w:r>
      <w:r>
        <w:rPr>
          <w:w w:val="105"/>
          <w:sz w:val="13"/>
        </w:rPr>
        <w:t>Roberts,</w:t>
      </w:r>
      <w:r>
        <w:rPr>
          <w:spacing w:val="6"/>
          <w:w w:val="105"/>
          <w:sz w:val="13"/>
        </w:rPr>
        <w:t> </w:t>
      </w:r>
      <w:r>
        <w:rPr>
          <w:w w:val="105"/>
          <w:sz w:val="13"/>
        </w:rPr>
        <w:t>Nick</w:t>
      </w:r>
      <w:r>
        <w:rPr>
          <w:spacing w:val="6"/>
          <w:w w:val="105"/>
          <w:sz w:val="13"/>
        </w:rPr>
        <w:t> </w:t>
      </w:r>
      <w:r>
        <w:rPr>
          <w:w w:val="105"/>
          <w:sz w:val="13"/>
        </w:rPr>
        <w:t>Jackson</w:t>
      </w:r>
      <w:r>
        <w:rPr>
          <w:spacing w:val="5"/>
          <w:w w:val="105"/>
          <w:sz w:val="13"/>
        </w:rPr>
        <w:t> </w:t>
      </w:r>
      <w:r>
        <w:rPr>
          <w:w w:val="105"/>
          <w:sz w:val="13"/>
        </w:rPr>
        <w:t>and</w:t>
      </w:r>
      <w:r>
        <w:rPr>
          <w:spacing w:val="6"/>
          <w:w w:val="105"/>
          <w:sz w:val="13"/>
        </w:rPr>
        <w:t> </w:t>
      </w:r>
      <w:r>
        <w:rPr>
          <w:w w:val="105"/>
          <w:sz w:val="13"/>
        </w:rPr>
        <w:t>Mark</w:t>
      </w:r>
      <w:r>
        <w:rPr>
          <w:spacing w:val="6"/>
          <w:w w:val="105"/>
          <w:sz w:val="13"/>
        </w:rPr>
        <w:t> </w:t>
      </w:r>
      <w:r>
        <w:rPr>
          <w:w w:val="105"/>
          <w:sz w:val="13"/>
        </w:rPr>
        <w:t>Smith,</w:t>
      </w:r>
      <w:r>
        <w:rPr>
          <w:spacing w:val="6"/>
          <w:w w:val="105"/>
          <w:sz w:val="13"/>
        </w:rPr>
        <w:t> </w:t>
      </w:r>
      <w:r>
        <w:rPr>
          <w:i/>
          <w:w w:val="105"/>
          <w:sz w:val="13"/>
        </w:rPr>
        <w:t>Tree</w:t>
      </w:r>
      <w:r>
        <w:rPr>
          <w:i/>
          <w:spacing w:val="5"/>
          <w:w w:val="105"/>
          <w:sz w:val="13"/>
        </w:rPr>
        <w:t> </w:t>
      </w:r>
      <w:r>
        <w:rPr>
          <w:i/>
          <w:w w:val="105"/>
          <w:sz w:val="13"/>
        </w:rPr>
        <w:t>Roots</w:t>
      </w:r>
      <w:r>
        <w:rPr>
          <w:i/>
          <w:spacing w:val="6"/>
          <w:w w:val="105"/>
          <w:sz w:val="13"/>
        </w:rPr>
        <w:t> </w:t>
      </w:r>
      <w:r>
        <w:rPr>
          <w:i/>
          <w:w w:val="105"/>
          <w:sz w:val="13"/>
        </w:rPr>
        <w:t>in</w:t>
      </w:r>
      <w:r>
        <w:rPr>
          <w:i/>
          <w:spacing w:val="6"/>
          <w:w w:val="105"/>
          <w:sz w:val="13"/>
        </w:rPr>
        <w:t> </w:t>
      </w:r>
      <w:r>
        <w:rPr>
          <w:i/>
          <w:w w:val="105"/>
          <w:sz w:val="13"/>
        </w:rPr>
        <w:t>the</w:t>
      </w:r>
      <w:r>
        <w:rPr>
          <w:i/>
          <w:spacing w:val="5"/>
          <w:w w:val="105"/>
          <w:sz w:val="13"/>
        </w:rPr>
        <w:t> </w:t>
      </w:r>
      <w:r>
        <w:rPr>
          <w:i/>
          <w:w w:val="105"/>
          <w:sz w:val="13"/>
        </w:rPr>
        <w:t>Built</w:t>
      </w:r>
      <w:r>
        <w:rPr>
          <w:i/>
          <w:spacing w:val="6"/>
          <w:w w:val="105"/>
          <w:sz w:val="13"/>
        </w:rPr>
        <w:t> </w:t>
      </w:r>
      <w:r>
        <w:rPr>
          <w:i/>
          <w:w w:val="105"/>
          <w:sz w:val="13"/>
        </w:rPr>
        <w:t>Environment</w:t>
      </w:r>
      <w:r>
        <w:rPr>
          <w:i/>
          <w:spacing w:val="6"/>
          <w:w w:val="105"/>
          <w:sz w:val="13"/>
        </w:rPr>
        <w:t> </w:t>
      </w:r>
      <w:r>
        <w:rPr>
          <w:w w:val="105"/>
          <w:sz w:val="13"/>
        </w:rPr>
        <w:t>(Arboricultural</w:t>
      </w:r>
      <w:r>
        <w:rPr>
          <w:spacing w:val="6"/>
          <w:w w:val="105"/>
          <w:sz w:val="13"/>
        </w:rPr>
        <w:t> </w:t>
      </w:r>
      <w:r>
        <w:rPr>
          <w:w w:val="105"/>
          <w:sz w:val="13"/>
        </w:rPr>
        <w:t>Association,</w:t>
      </w:r>
      <w:r>
        <w:rPr>
          <w:spacing w:val="5"/>
          <w:w w:val="105"/>
          <w:sz w:val="13"/>
        </w:rPr>
        <w:t> </w:t>
      </w:r>
      <w:r>
        <w:rPr>
          <w:w w:val="105"/>
          <w:sz w:val="13"/>
        </w:rPr>
        <w:t>UK,</w:t>
      </w:r>
      <w:r>
        <w:rPr>
          <w:spacing w:val="6"/>
          <w:w w:val="105"/>
          <w:sz w:val="13"/>
        </w:rPr>
        <w:t> </w:t>
      </w:r>
      <w:r>
        <w:rPr>
          <w:w w:val="105"/>
          <w:sz w:val="13"/>
        </w:rPr>
        <w:t>2005)</w:t>
      </w:r>
      <w:r>
        <w:rPr>
          <w:spacing w:val="6"/>
          <w:w w:val="105"/>
          <w:sz w:val="13"/>
        </w:rPr>
        <w:t> </w:t>
      </w:r>
      <w:r>
        <w:rPr>
          <w:w w:val="105"/>
          <w:sz w:val="13"/>
        </w:rPr>
        <w:t>369.</w:t>
      </w:r>
    </w:p>
    <w:p>
      <w:pPr>
        <w:pStyle w:val="ListParagraph"/>
        <w:numPr>
          <w:ilvl w:val="0"/>
          <w:numId w:val="18"/>
        </w:numPr>
        <w:tabs>
          <w:tab w:pos="2380" w:val="left" w:leader="none"/>
          <w:tab w:pos="2381" w:val="left" w:leader="none"/>
        </w:tabs>
        <w:spacing w:line="240" w:lineRule="auto" w:before="1" w:after="0"/>
        <w:ind w:left="2380" w:right="0" w:hanging="793"/>
        <w:jc w:val="left"/>
        <w:rPr>
          <w:i/>
          <w:sz w:val="13"/>
        </w:rPr>
      </w:pPr>
      <w:r>
        <w:rPr>
          <w:w w:val="105"/>
          <w:sz w:val="13"/>
        </w:rPr>
        <w:t>See,</w:t>
      </w:r>
      <w:r>
        <w:rPr>
          <w:spacing w:val="6"/>
          <w:w w:val="105"/>
          <w:sz w:val="13"/>
        </w:rPr>
        <w:t> </w:t>
      </w:r>
      <w:r>
        <w:rPr>
          <w:w w:val="105"/>
          <w:sz w:val="13"/>
        </w:rPr>
        <w:t>eg,</w:t>
      </w:r>
      <w:r>
        <w:rPr>
          <w:spacing w:val="6"/>
          <w:w w:val="105"/>
          <w:sz w:val="13"/>
        </w:rPr>
        <w:t> </w:t>
      </w:r>
      <w:r>
        <w:rPr>
          <w:i/>
          <w:spacing w:val="2"/>
          <w:w w:val="105"/>
          <w:sz w:val="13"/>
        </w:rPr>
        <w:t>Owners</w:t>
      </w:r>
      <w:r>
        <w:rPr>
          <w:i/>
          <w:spacing w:val="6"/>
          <w:w w:val="105"/>
          <w:sz w:val="13"/>
        </w:rPr>
        <w:t> </w:t>
      </w:r>
      <w:r>
        <w:rPr>
          <w:i/>
          <w:w w:val="105"/>
          <w:sz w:val="13"/>
        </w:rPr>
        <w:t>Corporation</w:t>
      </w:r>
      <w:r>
        <w:rPr>
          <w:i/>
          <w:spacing w:val="6"/>
          <w:w w:val="105"/>
          <w:sz w:val="13"/>
        </w:rPr>
        <w:t> </w:t>
      </w:r>
      <w:r>
        <w:rPr>
          <w:i/>
          <w:w w:val="105"/>
          <w:sz w:val="13"/>
        </w:rPr>
        <w:t>SP020030</w:t>
      </w:r>
      <w:r>
        <w:rPr>
          <w:i/>
          <w:spacing w:val="6"/>
          <w:w w:val="105"/>
          <w:sz w:val="13"/>
        </w:rPr>
        <w:t> </w:t>
      </w:r>
      <w:r>
        <w:rPr>
          <w:i/>
          <w:w w:val="105"/>
          <w:sz w:val="13"/>
        </w:rPr>
        <w:t>v</w:t>
      </w:r>
      <w:r>
        <w:rPr>
          <w:i/>
          <w:spacing w:val="6"/>
          <w:w w:val="105"/>
          <w:sz w:val="13"/>
        </w:rPr>
        <w:t> </w:t>
      </w:r>
      <w:r>
        <w:rPr>
          <w:i/>
          <w:w w:val="105"/>
          <w:sz w:val="13"/>
        </w:rPr>
        <w:t>Keyt</w:t>
      </w:r>
      <w:r>
        <w:rPr>
          <w:i/>
          <w:spacing w:val="6"/>
          <w:w w:val="105"/>
          <w:sz w:val="13"/>
        </w:rPr>
        <w:t> </w:t>
      </w:r>
      <w:r>
        <w:rPr>
          <w:w w:val="105"/>
          <w:sz w:val="13"/>
        </w:rPr>
        <w:t>[2016]</w:t>
      </w:r>
      <w:r>
        <w:rPr>
          <w:spacing w:val="7"/>
          <w:w w:val="105"/>
          <w:sz w:val="13"/>
        </w:rPr>
        <w:t> </w:t>
      </w:r>
      <w:r>
        <w:rPr>
          <w:w w:val="105"/>
          <w:sz w:val="13"/>
        </w:rPr>
        <w:t>VCC</w:t>
      </w:r>
      <w:r>
        <w:rPr>
          <w:spacing w:val="6"/>
          <w:w w:val="105"/>
          <w:sz w:val="13"/>
        </w:rPr>
        <w:t> </w:t>
      </w:r>
      <w:r>
        <w:rPr>
          <w:w w:val="105"/>
          <w:sz w:val="13"/>
        </w:rPr>
        <w:t>1656</w:t>
      </w:r>
      <w:r>
        <w:rPr>
          <w:spacing w:val="6"/>
          <w:w w:val="105"/>
          <w:sz w:val="13"/>
        </w:rPr>
        <w:t> </w:t>
      </w:r>
      <w:r>
        <w:rPr>
          <w:spacing w:val="4"/>
          <w:w w:val="105"/>
          <w:sz w:val="13"/>
        </w:rPr>
        <w:t>[8];</w:t>
      </w:r>
      <w:r>
        <w:rPr>
          <w:spacing w:val="6"/>
          <w:w w:val="105"/>
          <w:sz w:val="13"/>
        </w:rPr>
        <w:t> </w:t>
      </w:r>
      <w:r>
        <w:rPr>
          <w:i/>
          <w:w w:val="105"/>
          <w:sz w:val="13"/>
        </w:rPr>
        <w:t>Leonardi</w:t>
      </w:r>
      <w:r>
        <w:rPr>
          <w:i/>
          <w:spacing w:val="6"/>
          <w:w w:val="105"/>
          <w:sz w:val="13"/>
        </w:rPr>
        <w:t> </w:t>
      </w:r>
      <w:r>
        <w:rPr>
          <w:i/>
          <w:w w:val="105"/>
          <w:sz w:val="13"/>
        </w:rPr>
        <w:t>v</w:t>
      </w:r>
      <w:r>
        <w:rPr>
          <w:i/>
          <w:spacing w:val="6"/>
          <w:w w:val="105"/>
          <w:sz w:val="13"/>
        </w:rPr>
        <w:t> </w:t>
      </w:r>
      <w:r>
        <w:rPr>
          <w:i/>
          <w:w w:val="105"/>
          <w:sz w:val="13"/>
        </w:rPr>
        <w:t>Watson</w:t>
      </w:r>
      <w:r>
        <w:rPr>
          <w:i/>
          <w:spacing w:val="6"/>
          <w:w w:val="105"/>
          <w:sz w:val="13"/>
        </w:rPr>
        <w:t> </w:t>
      </w:r>
      <w:r>
        <w:rPr>
          <w:i/>
          <w:w w:val="105"/>
          <w:sz w:val="13"/>
        </w:rPr>
        <w:t>&amp;</w:t>
      </w:r>
      <w:r>
        <w:rPr>
          <w:i/>
          <w:spacing w:val="6"/>
          <w:w w:val="105"/>
          <w:sz w:val="13"/>
        </w:rPr>
        <w:t> </w:t>
      </w:r>
      <w:r>
        <w:rPr>
          <w:i/>
          <w:w w:val="105"/>
          <w:sz w:val="13"/>
        </w:rPr>
        <w:t>Harloe</w:t>
      </w:r>
      <w:r>
        <w:rPr>
          <w:i/>
          <w:spacing w:val="7"/>
          <w:w w:val="105"/>
          <w:sz w:val="13"/>
        </w:rPr>
        <w:t> </w:t>
      </w:r>
      <w:r>
        <w:rPr>
          <w:w w:val="105"/>
          <w:sz w:val="13"/>
        </w:rPr>
        <w:t>[2015]</w:t>
      </w:r>
      <w:r>
        <w:rPr>
          <w:spacing w:val="6"/>
          <w:w w:val="105"/>
          <w:sz w:val="13"/>
        </w:rPr>
        <w:t> </w:t>
      </w:r>
      <w:r>
        <w:rPr>
          <w:w w:val="105"/>
          <w:sz w:val="13"/>
        </w:rPr>
        <w:t>QCATA</w:t>
      </w:r>
      <w:r>
        <w:rPr>
          <w:spacing w:val="6"/>
          <w:w w:val="105"/>
          <w:sz w:val="13"/>
        </w:rPr>
        <w:t> </w:t>
      </w:r>
      <w:r>
        <w:rPr>
          <w:w w:val="105"/>
          <w:sz w:val="13"/>
        </w:rPr>
        <w:t>192;</w:t>
      </w:r>
      <w:r>
        <w:rPr>
          <w:spacing w:val="6"/>
          <w:w w:val="105"/>
          <w:sz w:val="13"/>
        </w:rPr>
        <w:t> </w:t>
      </w:r>
      <w:r>
        <w:rPr>
          <w:i/>
          <w:w w:val="105"/>
          <w:sz w:val="13"/>
        </w:rPr>
        <w:t>Huggett</w:t>
      </w:r>
      <w:r>
        <w:rPr>
          <w:i/>
          <w:spacing w:val="6"/>
          <w:w w:val="105"/>
          <w:sz w:val="13"/>
        </w:rPr>
        <w:t> </w:t>
      </w:r>
      <w:r>
        <w:rPr>
          <w:i/>
          <w:w w:val="105"/>
          <w:sz w:val="13"/>
        </w:rPr>
        <w:t>v</w:t>
      </w:r>
      <w:r>
        <w:rPr>
          <w:i/>
          <w:spacing w:val="6"/>
          <w:w w:val="105"/>
          <w:sz w:val="13"/>
        </w:rPr>
        <w:t> </w:t>
      </w:r>
      <w:r>
        <w:rPr>
          <w:i/>
          <w:w w:val="105"/>
          <w:sz w:val="13"/>
        </w:rPr>
        <w:t>Burrowes</w:t>
      </w:r>
    </w:p>
    <w:p>
      <w:pPr>
        <w:spacing w:before="2"/>
        <w:ind w:left="2380" w:right="0" w:firstLine="0"/>
        <w:jc w:val="left"/>
        <w:rPr>
          <w:sz w:val="13"/>
        </w:rPr>
      </w:pPr>
      <w:r>
        <w:rPr>
          <w:w w:val="105"/>
          <w:sz w:val="13"/>
        </w:rPr>
        <w:t>[2015] NSWLEC 1057; </w:t>
      </w:r>
      <w:r>
        <w:rPr>
          <w:i/>
          <w:w w:val="105"/>
          <w:sz w:val="13"/>
        </w:rPr>
        <w:t>Rogerson v Dean </w:t>
      </w:r>
      <w:r>
        <w:rPr>
          <w:w w:val="105"/>
          <w:sz w:val="13"/>
        </w:rPr>
        <w:t>[2017] NSWLEC 1209; </w:t>
      </w:r>
      <w:r>
        <w:rPr>
          <w:i/>
          <w:w w:val="105"/>
          <w:sz w:val="13"/>
        </w:rPr>
        <w:t>Tuft v Piddington </w:t>
      </w:r>
      <w:r>
        <w:rPr>
          <w:w w:val="105"/>
          <w:sz w:val="13"/>
        </w:rPr>
        <w:t>[2008] NSWLEC 1249.</w:t>
      </w:r>
    </w:p>
    <w:p>
      <w:pPr>
        <w:pStyle w:val="ListParagraph"/>
        <w:numPr>
          <w:ilvl w:val="0"/>
          <w:numId w:val="18"/>
        </w:numPr>
        <w:tabs>
          <w:tab w:pos="2380" w:val="left" w:leader="none"/>
          <w:tab w:pos="2381" w:val="left" w:leader="none"/>
        </w:tabs>
        <w:spacing w:line="240" w:lineRule="auto" w:before="1" w:after="0"/>
        <w:ind w:left="2380" w:right="1648" w:hanging="793"/>
        <w:jc w:val="left"/>
        <w:rPr>
          <w:sz w:val="13"/>
        </w:rPr>
      </w:pPr>
      <w:r>
        <w:rPr>
          <w:w w:val="105"/>
          <w:sz w:val="13"/>
        </w:rPr>
        <w:t>Submissions 5 </w:t>
      </w:r>
      <w:r>
        <w:rPr>
          <w:spacing w:val="2"/>
          <w:w w:val="105"/>
          <w:sz w:val="13"/>
        </w:rPr>
        <w:t>(Name </w:t>
      </w:r>
      <w:r>
        <w:rPr>
          <w:w w:val="105"/>
          <w:sz w:val="13"/>
        </w:rPr>
        <w:t>withheld), 9 </w:t>
      </w:r>
      <w:r>
        <w:rPr>
          <w:spacing w:val="3"/>
          <w:w w:val="105"/>
          <w:sz w:val="13"/>
        </w:rPr>
        <w:t>(Dr </w:t>
      </w:r>
      <w:r>
        <w:rPr>
          <w:w w:val="105"/>
          <w:sz w:val="13"/>
        </w:rPr>
        <w:t>Karen Smith), </w:t>
      </w:r>
      <w:r>
        <w:rPr>
          <w:spacing w:val="-3"/>
          <w:w w:val="105"/>
          <w:sz w:val="13"/>
        </w:rPr>
        <w:t>19 </w:t>
      </w:r>
      <w:r>
        <w:rPr>
          <w:w w:val="105"/>
          <w:sz w:val="13"/>
        </w:rPr>
        <w:t>(Anne Richter), 31 </w:t>
      </w:r>
      <w:r>
        <w:rPr>
          <w:spacing w:val="2"/>
          <w:w w:val="105"/>
          <w:sz w:val="13"/>
        </w:rPr>
        <w:t>(Barwon </w:t>
      </w:r>
      <w:r>
        <w:rPr>
          <w:w w:val="105"/>
          <w:sz w:val="13"/>
        </w:rPr>
        <w:t>Community Legal </w:t>
      </w:r>
      <w:r>
        <w:rPr>
          <w:spacing w:val="2"/>
          <w:w w:val="105"/>
          <w:sz w:val="13"/>
        </w:rPr>
        <w:t>Service), </w:t>
      </w:r>
      <w:r>
        <w:rPr>
          <w:w w:val="105"/>
          <w:sz w:val="13"/>
        </w:rPr>
        <w:t>36 (Monique </w:t>
      </w:r>
      <w:r>
        <w:rPr>
          <w:spacing w:val="2"/>
          <w:w w:val="105"/>
          <w:sz w:val="13"/>
        </w:rPr>
        <w:t>Onezime); </w:t>
      </w:r>
      <w:r>
        <w:rPr>
          <w:w w:val="105"/>
          <w:sz w:val="13"/>
        </w:rPr>
        <w:t>Consultations 8 (City of Boroondara), 9 (Nillumbik Shire Council); information provided by DSCV as part of a data request from the Commission, November 2018. In addition, 75.38% of survey respondents reported overhanging branches as the main issue in their tree dispute: Victorian Law Reform Commission, </w:t>
      </w:r>
      <w:r>
        <w:rPr>
          <w:i/>
          <w:w w:val="105"/>
          <w:sz w:val="13"/>
        </w:rPr>
        <w:t>Neighbourhood Tree Disputes Survey </w:t>
      </w:r>
      <w:r>
        <w:rPr>
          <w:w w:val="105"/>
          <w:sz w:val="13"/>
        </w:rPr>
        <w:t>(2018)</w:t>
      </w:r>
      <w:r>
        <w:rPr>
          <w:i/>
          <w:w w:val="105"/>
          <w:sz w:val="13"/>
        </w:rPr>
        <w:t>. </w:t>
      </w:r>
      <w:r>
        <w:rPr>
          <w:w w:val="105"/>
          <w:sz w:val="13"/>
        </w:rPr>
        <w:t>The Queensland Civil and Administrative Tribunal (QCAT) also identified that disputes over overhanging branches are the most common </w:t>
      </w:r>
      <w:r>
        <w:rPr>
          <w:spacing w:val="2"/>
          <w:w w:val="105"/>
          <w:sz w:val="13"/>
        </w:rPr>
        <w:t>type </w:t>
      </w:r>
      <w:r>
        <w:rPr>
          <w:w w:val="105"/>
          <w:sz w:val="13"/>
        </w:rPr>
        <w:t>of dispute for which people take legal action in QCAT. In 2018, approximately 52 out of a total of 205 tree disputes concerned overhanging branches. A further 33 applications included overhanging</w:t>
      </w:r>
      <w:r>
        <w:rPr>
          <w:spacing w:val="5"/>
          <w:w w:val="105"/>
          <w:sz w:val="13"/>
        </w:rPr>
        <w:t> </w:t>
      </w:r>
      <w:r>
        <w:rPr>
          <w:w w:val="105"/>
          <w:sz w:val="13"/>
        </w:rPr>
        <w:t>branches</w:t>
      </w:r>
      <w:r>
        <w:rPr>
          <w:spacing w:val="6"/>
          <w:w w:val="105"/>
          <w:sz w:val="13"/>
        </w:rPr>
        <w:t> </w:t>
      </w:r>
      <w:r>
        <w:rPr>
          <w:w w:val="105"/>
          <w:sz w:val="13"/>
        </w:rPr>
        <w:t>as</w:t>
      </w:r>
      <w:r>
        <w:rPr>
          <w:spacing w:val="6"/>
          <w:w w:val="105"/>
          <w:sz w:val="13"/>
        </w:rPr>
        <w:t> </w:t>
      </w:r>
      <w:r>
        <w:rPr>
          <w:w w:val="105"/>
          <w:sz w:val="13"/>
        </w:rPr>
        <w:t>one</w:t>
      </w:r>
      <w:r>
        <w:rPr>
          <w:spacing w:val="6"/>
          <w:w w:val="105"/>
          <w:sz w:val="13"/>
        </w:rPr>
        <w:t> </w:t>
      </w:r>
      <w:r>
        <w:rPr>
          <w:w w:val="105"/>
          <w:sz w:val="13"/>
        </w:rPr>
        <w:t>of</w:t>
      </w:r>
      <w:r>
        <w:rPr>
          <w:spacing w:val="5"/>
          <w:w w:val="105"/>
          <w:sz w:val="13"/>
        </w:rPr>
        <w:t> </w:t>
      </w:r>
      <w:r>
        <w:rPr>
          <w:w w:val="105"/>
          <w:sz w:val="13"/>
        </w:rPr>
        <w:t>the</w:t>
      </w:r>
      <w:r>
        <w:rPr>
          <w:spacing w:val="6"/>
          <w:w w:val="105"/>
          <w:sz w:val="13"/>
        </w:rPr>
        <w:t> </w:t>
      </w:r>
      <w:r>
        <w:rPr>
          <w:w w:val="105"/>
          <w:sz w:val="13"/>
        </w:rPr>
        <w:t>reasons</w:t>
      </w:r>
      <w:r>
        <w:rPr>
          <w:spacing w:val="6"/>
          <w:w w:val="105"/>
          <w:sz w:val="13"/>
        </w:rPr>
        <w:t> </w:t>
      </w:r>
      <w:r>
        <w:rPr>
          <w:w w:val="105"/>
          <w:sz w:val="13"/>
        </w:rPr>
        <w:t>for</w:t>
      </w:r>
      <w:r>
        <w:rPr>
          <w:spacing w:val="6"/>
          <w:w w:val="105"/>
          <w:sz w:val="13"/>
        </w:rPr>
        <w:t> </w:t>
      </w:r>
      <w:r>
        <w:rPr>
          <w:w w:val="105"/>
          <w:sz w:val="13"/>
        </w:rPr>
        <w:t>the</w:t>
      </w:r>
      <w:r>
        <w:rPr>
          <w:spacing w:val="6"/>
          <w:w w:val="105"/>
          <w:sz w:val="13"/>
        </w:rPr>
        <w:t> </w:t>
      </w:r>
      <w:r>
        <w:rPr>
          <w:w w:val="105"/>
          <w:sz w:val="13"/>
        </w:rPr>
        <w:t>application:</w:t>
      </w:r>
      <w:r>
        <w:rPr>
          <w:spacing w:val="5"/>
          <w:w w:val="105"/>
          <w:sz w:val="13"/>
        </w:rPr>
        <w:t> </w:t>
      </w:r>
      <w:r>
        <w:rPr>
          <w:w w:val="105"/>
          <w:sz w:val="13"/>
        </w:rPr>
        <w:t>Consultation</w:t>
      </w:r>
      <w:r>
        <w:rPr>
          <w:spacing w:val="6"/>
          <w:w w:val="105"/>
          <w:sz w:val="13"/>
        </w:rPr>
        <w:t> </w:t>
      </w:r>
      <w:r>
        <w:rPr>
          <w:spacing w:val="-3"/>
          <w:w w:val="105"/>
          <w:sz w:val="13"/>
        </w:rPr>
        <w:t>15</w:t>
      </w:r>
      <w:r>
        <w:rPr>
          <w:spacing w:val="6"/>
          <w:w w:val="105"/>
          <w:sz w:val="13"/>
        </w:rPr>
        <w:t> </w:t>
      </w:r>
      <w:r>
        <w:rPr>
          <w:w w:val="105"/>
          <w:sz w:val="13"/>
        </w:rPr>
        <w:t>(Queensland</w:t>
      </w:r>
      <w:r>
        <w:rPr>
          <w:spacing w:val="6"/>
          <w:w w:val="105"/>
          <w:sz w:val="13"/>
        </w:rPr>
        <w:t> </w:t>
      </w:r>
      <w:r>
        <w:rPr>
          <w:w w:val="105"/>
          <w:sz w:val="13"/>
        </w:rPr>
        <w:t>Civil</w:t>
      </w:r>
      <w:r>
        <w:rPr>
          <w:spacing w:val="5"/>
          <w:w w:val="105"/>
          <w:sz w:val="13"/>
        </w:rPr>
        <w:t> </w:t>
      </w:r>
      <w:r>
        <w:rPr>
          <w:w w:val="105"/>
          <w:sz w:val="13"/>
        </w:rPr>
        <w:t>and</w:t>
      </w:r>
      <w:r>
        <w:rPr>
          <w:spacing w:val="6"/>
          <w:w w:val="105"/>
          <w:sz w:val="13"/>
        </w:rPr>
        <w:t> </w:t>
      </w:r>
      <w:r>
        <w:rPr>
          <w:w w:val="105"/>
          <w:sz w:val="13"/>
        </w:rPr>
        <w:t>Administrative</w:t>
      </w:r>
      <w:r>
        <w:rPr>
          <w:spacing w:val="6"/>
          <w:w w:val="105"/>
          <w:sz w:val="13"/>
        </w:rPr>
        <w:t> </w:t>
      </w:r>
      <w:r>
        <w:rPr>
          <w:w w:val="105"/>
          <w:sz w:val="13"/>
        </w:rPr>
        <w:t>Tribunal).</w:t>
      </w:r>
    </w:p>
    <w:p>
      <w:pPr>
        <w:pStyle w:val="ListParagraph"/>
        <w:numPr>
          <w:ilvl w:val="0"/>
          <w:numId w:val="18"/>
        </w:numPr>
        <w:tabs>
          <w:tab w:pos="2380" w:val="left" w:leader="none"/>
          <w:tab w:pos="2381" w:val="left" w:leader="none"/>
        </w:tabs>
        <w:spacing w:line="240" w:lineRule="auto" w:before="9" w:after="0"/>
        <w:ind w:left="2380" w:right="1606" w:hanging="793"/>
        <w:jc w:val="left"/>
        <w:rPr>
          <w:i/>
          <w:sz w:val="13"/>
        </w:rPr>
      </w:pPr>
      <w:r>
        <w:rPr>
          <w:w w:val="105"/>
          <w:sz w:val="13"/>
        </w:rPr>
        <w:t>Submissions 1 </w:t>
      </w:r>
      <w:r>
        <w:rPr>
          <w:spacing w:val="2"/>
          <w:w w:val="105"/>
          <w:sz w:val="13"/>
        </w:rPr>
        <w:t>(Ian </w:t>
      </w:r>
      <w:r>
        <w:rPr>
          <w:w w:val="105"/>
          <w:sz w:val="13"/>
        </w:rPr>
        <w:t>Collier), </w:t>
      </w:r>
      <w:r>
        <w:rPr>
          <w:spacing w:val="-4"/>
          <w:w w:val="105"/>
          <w:sz w:val="13"/>
        </w:rPr>
        <w:t>17  </w:t>
      </w:r>
      <w:r>
        <w:rPr>
          <w:spacing w:val="2"/>
          <w:w w:val="105"/>
          <w:sz w:val="13"/>
        </w:rPr>
        <w:t>(Name </w:t>
      </w:r>
      <w:r>
        <w:rPr>
          <w:w w:val="105"/>
          <w:sz w:val="13"/>
        </w:rPr>
        <w:t>withheld), 22 </w:t>
      </w:r>
      <w:r>
        <w:rPr>
          <w:spacing w:val="2"/>
          <w:w w:val="105"/>
          <w:sz w:val="13"/>
        </w:rPr>
        <w:t>(Name </w:t>
      </w:r>
      <w:r>
        <w:rPr>
          <w:w w:val="105"/>
          <w:sz w:val="13"/>
        </w:rPr>
        <w:t>withheld), 30 </w:t>
      </w:r>
      <w:r>
        <w:rPr>
          <w:spacing w:val="3"/>
          <w:w w:val="105"/>
          <w:sz w:val="13"/>
        </w:rPr>
        <w:t>(Law </w:t>
      </w:r>
      <w:r>
        <w:rPr>
          <w:w w:val="105"/>
          <w:sz w:val="13"/>
        </w:rPr>
        <w:t>Institute of </w:t>
      </w:r>
      <w:r>
        <w:rPr>
          <w:spacing w:val="2"/>
          <w:w w:val="105"/>
          <w:sz w:val="13"/>
        </w:rPr>
        <w:t>Victoria); </w:t>
      </w:r>
      <w:r>
        <w:rPr>
          <w:w w:val="105"/>
          <w:sz w:val="13"/>
        </w:rPr>
        <w:t>Consultations 4 (Participants in   facilitated discussion at </w:t>
      </w:r>
      <w:r>
        <w:rPr>
          <w:spacing w:val="4"/>
          <w:w w:val="105"/>
          <w:sz w:val="13"/>
        </w:rPr>
        <w:t>VTIO </w:t>
      </w:r>
      <w:r>
        <w:rPr>
          <w:w w:val="105"/>
          <w:sz w:val="13"/>
        </w:rPr>
        <w:t>ArborCamp2018), 6 </w:t>
      </w:r>
      <w:r>
        <w:rPr>
          <w:spacing w:val="2"/>
          <w:w w:val="105"/>
          <w:sz w:val="13"/>
        </w:rPr>
        <w:t>(Ben </w:t>
      </w:r>
      <w:r>
        <w:rPr>
          <w:w w:val="105"/>
          <w:sz w:val="13"/>
        </w:rPr>
        <w:t>Kenyon), 10 </w:t>
      </w:r>
      <w:r>
        <w:rPr>
          <w:spacing w:val="2"/>
          <w:w w:val="105"/>
          <w:sz w:val="13"/>
        </w:rPr>
        <w:t>(Baw </w:t>
      </w:r>
      <w:r>
        <w:rPr>
          <w:w w:val="105"/>
          <w:sz w:val="13"/>
        </w:rPr>
        <w:t>Baw Shire Council), </w:t>
      </w:r>
      <w:r>
        <w:rPr>
          <w:spacing w:val="-4"/>
          <w:w w:val="105"/>
          <w:sz w:val="13"/>
        </w:rPr>
        <w:t>12  </w:t>
      </w:r>
      <w:r>
        <w:rPr>
          <w:w w:val="105"/>
          <w:sz w:val="13"/>
        </w:rPr>
        <w:t>(City of Port Phillip); information provided    by DSCV as part of a data request from the Commission, November 2018. In addition, 53.85% of survey respondents reported encroaching  tree</w:t>
      </w:r>
      <w:r>
        <w:rPr>
          <w:spacing w:val="5"/>
          <w:w w:val="105"/>
          <w:sz w:val="13"/>
        </w:rPr>
        <w:t> </w:t>
      </w:r>
      <w:r>
        <w:rPr>
          <w:w w:val="105"/>
          <w:sz w:val="13"/>
        </w:rPr>
        <w:t>roots</w:t>
      </w:r>
      <w:r>
        <w:rPr>
          <w:spacing w:val="6"/>
          <w:w w:val="105"/>
          <w:sz w:val="13"/>
        </w:rPr>
        <w:t> </w:t>
      </w:r>
      <w:r>
        <w:rPr>
          <w:w w:val="105"/>
          <w:sz w:val="13"/>
        </w:rPr>
        <w:t>as</w:t>
      </w:r>
      <w:r>
        <w:rPr>
          <w:spacing w:val="5"/>
          <w:w w:val="105"/>
          <w:sz w:val="13"/>
        </w:rPr>
        <w:t> </w:t>
      </w:r>
      <w:r>
        <w:rPr>
          <w:w w:val="105"/>
          <w:sz w:val="13"/>
        </w:rPr>
        <w:t>the</w:t>
      </w:r>
      <w:r>
        <w:rPr>
          <w:spacing w:val="6"/>
          <w:w w:val="105"/>
          <w:sz w:val="13"/>
        </w:rPr>
        <w:t> </w:t>
      </w:r>
      <w:r>
        <w:rPr>
          <w:w w:val="105"/>
          <w:sz w:val="13"/>
        </w:rPr>
        <w:t>main</w:t>
      </w:r>
      <w:r>
        <w:rPr>
          <w:spacing w:val="5"/>
          <w:w w:val="105"/>
          <w:sz w:val="13"/>
        </w:rPr>
        <w:t> </w:t>
      </w:r>
      <w:r>
        <w:rPr>
          <w:w w:val="105"/>
          <w:sz w:val="13"/>
        </w:rPr>
        <w:t>issue</w:t>
      </w:r>
      <w:r>
        <w:rPr>
          <w:spacing w:val="6"/>
          <w:w w:val="105"/>
          <w:sz w:val="13"/>
        </w:rPr>
        <w:t> </w:t>
      </w:r>
      <w:r>
        <w:rPr>
          <w:w w:val="105"/>
          <w:sz w:val="13"/>
        </w:rPr>
        <w:t>in</w:t>
      </w:r>
      <w:r>
        <w:rPr>
          <w:spacing w:val="5"/>
          <w:w w:val="105"/>
          <w:sz w:val="13"/>
        </w:rPr>
        <w:t> </w:t>
      </w:r>
      <w:r>
        <w:rPr>
          <w:w w:val="105"/>
          <w:sz w:val="13"/>
        </w:rPr>
        <w:t>their</w:t>
      </w:r>
      <w:r>
        <w:rPr>
          <w:spacing w:val="6"/>
          <w:w w:val="105"/>
          <w:sz w:val="13"/>
        </w:rPr>
        <w:t> </w:t>
      </w:r>
      <w:r>
        <w:rPr>
          <w:w w:val="105"/>
          <w:sz w:val="13"/>
        </w:rPr>
        <w:t>tree</w:t>
      </w:r>
      <w:r>
        <w:rPr>
          <w:spacing w:val="5"/>
          <w:w w:val="105"/>
          <w:sz w:val="13"/>
        </w:rPr>
        <w:t> </w:t>
      </w:r>
      <w:r>
        <w:rPr>
          <w:w w:val="105"/>
          <w:sz w:val="13"/>
        </w:rPr>
        <w:t>dispute:</w:t>
      </w:r>
      <w:r>
        <w:rPr>
          <w:spacing w:val="6"/>
          <w:w w:val="105"/>
          <w:sz w:val="13"/>
        </w:rPr>
        <w:t> </w:t>
      </w:r>
      <w:r>
        <w:rPr>
          <w:w w:val="105"/>
          <w:sz w:val="13"/>
        </w:rPr>
        <w:t>Victorian</w:t>
      </w:r>
      <w:r>
        <w:rPr>
          <w:spacing w:val="5"/>
          <w:w w:val="105"/>
          <w:sz w:val="13"/>
        </w:rPr>
        <w:t> </w:t>
      </w:r>
      <w:r>
        <w:rPr>
          <w:w w:val="105"/>
          <w:sz w:val="13"/>
        </w:rPr>
        <w:t>Law</w:t>
      </w:r>
      <w:r>
        <w:rPr>
          <w:spacing w:val="6"/>
          <w:w w:val="105"/>
          <w:sz w:val="13"/>
        </w:rPr>
        <w:t> </w:t>
      </w:r>
      <w:r>
        <w:rPr>
          <w:w w:val="105"/>
          <w:sz w:val="13"/>
        </w:rPr>
        <w:t>Reform</w:t>
      </w:r>
      <w:r>
        <w:rPr>
          <w:spacing w:val="5"/>
          <w:w w:val="105"/>
          <w:sz w:val="13"/>
        </w:rPr>
        <w:t> </w:t>
      </w:r>
      <w:r>
        <w:rPr>
          <w:w w:val="105"/>
          <w:sz w:val="13"/>
        </w:rPr>
        <w:t>Commission,</w:t>
      </w:r>
      <w:r>
        <w:rPr>
          <w:spacing w:val="6"/>
          <w:w w:val="105"/>
          <w:sz w:val="13"/>
        </w:rPr>
        <w:t> </w:t>
      </w:r>
      <w:r>
        <w:rPr>
          <w:i/>
          <w:w w:val="105"/>
          <w:sz w:val="13"/>
        </w:rPr>
        <w:t>Neighbourhood</w:t>
      </w:r>
      <w:r>
        <w:rPr>
          <w:i/>
          <w:spacing w:val="5"/>
          <w:w w:val="105"/>
          <w:sz w:val="13"/>
        </w:rPr>
        <w:t> </w:t>
      </w:r>
      <w:r>
        <w:rPr>
          <w:i/>
          <w:w w:val="105"/>
          <w:sz w:val="13"/>
        </w:rPr>
        <w:t>Tree</w:t>
      </w:r>
      <w:r>
        <w:rPr>
          <w:i/>
          <w:spacing w:val="6"/>
          <w:w w:val="105"/>
          <w:sz w:val="13"/>
        </w:rPr>
        <w:t> </w:t>
      </w:r>
      <w:r>
        <w:rPr>
          <w:i/>
          <w:w w:val="105"/>
          <w:sz w:val="13"/>
        </w:rPr>
        <w:t>Disputes</w:t>
      </w:r>
      <w:r>
        <w:rPr>
          <w:i/>
          <w:spacing w:val="6"/>
          <w:w w:val="105"/>
          <w:sz w:val="13"/>
        </w:rPr>
        <w:t> </w:t>
      </w:r>
      <w:r>
        <w:rPr>
          <w:i/>
          <w:w w:val="105"/>
          <w:sz w:val="13"/>
        </w:rPr>
        <w:t>Survey</w:t>
      </w:r>
      <w:r>
        <w:rPr>
          <w:i/>
          <w:spacing w:val="5"/>
          <w:w w:val="105"/>
          <w:sz w:val="13"/>
        </w:rPr>
        <w:t> </w:t>
      </w:r>
      <w:r>
        <w:rPr>
          <w:w w:val="105"/>
          <w:sz w:val="13"/>
        </w:rPr>
        <w:t>(2018)</w:t>
      </w:r>
      <w:r>
        <w:rPr>
          <w:i/>
          <w:w w:val="105"/>
          <w:sz w:val="13"/>
        </w:rPr>
        <w:t>.</w:t>
      </w:r>
    </w:p>
    <w:p>
      <w:pPr>
        <w:pStyle w:val="ListParagraph"/>
        <w:numPr>
          <w:ilvl w:val="0"/>
          <w:numId w:val="18"/>
        </w:numPr>
        <w:tabs>
          <w:tab w:pos="2380" w:val="left" w:leader="none"/>
          <w:tab w:pos="2381" w:val="left" w:leader="none"/>
        </w:tabs>
        <w:spacing w:line="240" w:lineRule="auto" w:before="6" w:after="0"/>
        <w:ind w:left="2380" w:right="0" w:hanging="793"/>
        <w:jc w:val="left"/>
        <w:rPr>
          <w:sz w:val="13"/>
        </w:rPr>
      </w:pPr>
      <w:r>
        <w:rPr>
          <w:w w:val="105"/>
          <w:sz w:val="13"/>
        </w:rPr>
        <w:t>Submissions</w:t>
      </w:r>
      <w:r>
        <w:rPr>
          <w:spacing w:val="4"/>
          <w:w w:val="105"/>
          <w:sz w:val="13"/>
        </w:rPr>
        <w:t> </w:t>
      </w:r>
      <w:r>
        <w:rPr>
          <w:w w:val="105"/>
          <w:sz w:val="13"/>
        </w:rPr>
        <w:t>1</w:t>
      </w:r>
      <w:r>
        <w:rPr>
          <w:spacing w:val="5"/>
          <w:w w:val="105"/>
          <w:sz w:val="13"/>
        </w:rPr>
        <w:t> </w:t>
      </w:r>
      <w:r>
        <w:rPr>
          <w:spacing w:val="2"/>
          <w:w w:val="105"/>
          <w:sz w:val="13"/>
        </w:rPr>
        <w:t>(Ian</w:t>
      </w:r>
      <w:r>
        <w:rPr>
          <w:spacing w:val="5"/>
          <w:w w:val="105"/>
          <w:sz w:val="13"/>
        </w:rPr>
        <w:t> </w:t>
      </w:r>
      <w:r>
        <w:rPr>
          <w:w w:val="105"/>
          <w:sz w:val="13"/>
        </w:rPr>
        <w:t>Collier),</w:t>
      </w:r>
      <w:r>
        <w:rPr>
          <w:spacing w:val="5"/>
          <w:w w:val="105"/>
          <w:sz w:val="13"/>
        </w:rPr>
        <w:t> </w:t>
      </w:r>
      <w:r>
        <w:rPr>
          <w:w w:val="105"/>
          <w:sz w:val="13"/>
        </w:rPr>
        <w:t>22</w:t>
      </w:r>
      <w:r>
        <w:rPr>
          <w:spacing w:val="5"/>
          <w:w w:val="105"/>
          <w:sz w:val="13"/>
        </w:rPr>
        <w:t> </w:t>
      </w:r>
      <w:r>
        <w:rPr>
          <w:spacing w:val="2"/>
          <w:w w:val="105"/>
          <w:sz w:val="13"/>
        </w:rPr>
        <w:t>(Name</w:t>
      </w:r>
      <w:r>
        <w:rPr>
          <w:spacing w:val="5"/>
          <w:w w:val="105"/>
          <w:sz w:val="13"/>
        </w:rPr>
        <w:t> </w:t>
      </w:r>
      <w:r>
        <w:rPr>
          <w:w w:val="105"/>
          <w:sz w:val="13"/>
        </w:rPr>
        <w:t>withheld),</w:t>
      </w:r>
      <w:r>
        <w:rPr>
          <w:spacing w:val="4"/>
          <w:w w:val="105"/>
          <w:sz w:val="13"/>
        </w:rPr>
        <w:t> </w:t>
      </w:r>
      <w:r>
        <w:rPr>
          <w:w w:val="105"/>
          <w:sz w:val="13"/>
        </w:rPr>
        <w:t>24</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36</w:t>
      </w:r>
      <w:r>
        <w:rPr>
          <w:spacing w:val="5"/>
          <w:w w:val="105"/>
          <w:sz w:val="13"/>
        </w:rPr>
        <w:t> </w:t>
      </w:r>
      <w:r>
        <w:rPr>
          <w:w w:val="105"/>
          <w:sz w:val="13"/>
        </w:rPr>
        <w:t>(Monique</w:t>
      </w:r>
      <w:r>
        <w:rPr>
          <w:spacing w:val="5"/>
          <w:w w:val="105"/>
          <w:sz w:val="13"/>
        </w:rPr>
        <w:t> </w:t>
      </w:r>
      <w:r>
        <w:rPr>
          <w:w w:val="105"/>
          <w:sz w:val="13"/>
        </w:rPr>
        <w:t>Onezime).</w:t>
      </w:r>
    </w:p>
    <w:p>
      <w:pPr>
        <w:pStyle w:val="ListParagraph"/>
        <w:numPr>
          <w:ilvl w:val="0"/>
          <w:numId w:val="18"/>
        </w:numPr>
        <w:tabs>
          <w:tab w:pos="2380" w:val="left" w:leader="none"/>
          <w:tab w:pos="2381" w:val="left" w:leader="none"/>
        </w:tabs>
        <w:spacing w:line="240" w:lineRule="auto" w:before="1" w:after="0"/>
        <w:ind w:left="2380" w:right="0" w:hanging="793"/>
        <w:jc w:val="left"/>
        <w:rPr>
          <w:sz w:val="13"/>
        </w:rPr>
      </w:pPr>
      <w:r>
        <w:rPr>
          <w:w w:val="105"/>
          <w:sz w:val="13"/>
        </w:rPr>
        <w:t>Submissions</w:t>
      </w:r>
      <w:r>
        <w:rPr>
          <w:spacing w:val="5"/>
          <w:w w:val="105"/>
          <w:sz w:val="13"/>
        </w:rPr>
        <w:t> </w:t>
      </w:r>
      <w:r>
        <w:rPr>
          <w:w w:val="105"/>
          <w:sz w:val="13"/>
        </w:rPr>
        <w:t>1</w:t>
      </w:r>
      <w:r>
        <w:rPr>
          <w:spacing w:val="5"/>
          <w:w w:val="105"/>
          <w:sz w:val="13"/>
        </w:rPr>
        <w:t> </w:t>
      </w:r>
      <w:r>
        <w:rPr>
          <w:spacing w:val="2"/>
          <w:w w:val="105"/>
          <w:sz w:val="13"/>
        </w:rPr>
        <w:t>(Ian</w:t>
      </w:r>
      <w:r>
        <w:rPr>
          <w:spacing w:val="5"/>
          <w:w w:val="105"/>
          <w:sz w:val="13"/>
        </w:rPr>
        <w:t> </w:t>
      </w:r>
      <w:r>
        <w:rPr>
          <w:w w:val="105"/>
          <w:sz w:val="13"/>
        </w:rPr>
        <w:t>Collier),</w:t>
      </w:r>
      <w:r>
        <w:rPr>
          <w:spacing w:val="5"/>
          <w:w w:val="105"/>
          <w:sz w:val="13"/>
        </w:rPr>
        <w:t> </w:t>
      </w:r>
      <w:r>
        <w:rPr>
          <w:w w:val="105"/>
          <w:sz w:val="13"/>
        </w:rPr>
        <w:t>6</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Consultations</w:t>
      </w:r>
      <w:r>
        <w:rPr>
          <w:spacing w:val="5"/>
          <w:w w:val="105"/>
          <w:sz w:val="13"/>
        </w:rPr>
        <w:t> </w:t>
      </w:r>
      <w:r>
        <w:rPr>
          <w:w w:val="105"/>
          <w:sz w:val="13"/>
        </w:rPr>
        <w:t>8</w:t>
      </w:r>
      <w:r>
        <w:rPr>
          <w:spacing w:val="5"/>
          <w:w w:val="105"/>
          <w:sz w:val="13"/>
        </w:rPr>
        <w:t> </w:t>
      </w:r>
      <w:r>
        <w:rPr>
          <w:w w:val="105"/>
          <w:sz w:val="13"/>
        </w:rPr>
        <w:t>(City</w:t>
      </w:r>
      <w:r>
        <w:rPr>
          <w:spacing w:val="6"/>
          <w:w w:val="105"/>
          <w:sz w:val="13"/>
        </w:rPr>
        <w:t> </w:t>
      </w:r>
      <w:r>
        <w:rPr>
          <w:w w:val="105"/>
          <w:sz w:val="13"/>
        </w:rPr>
        <w:t>of</w:t>
      </w:r>
      <w:r>
        <w:rPr>
          <w:spacing w:val="5"/>
          <w:w w:val="105"/>
          <w:sz w:val="13"/>
        </w:rPr>
        <w:t> </w:t>
      </w:r>
      <w:r>
        <w:rPr>
          <w:w w:val="105"/>
          <w:sz w:val="13"/>
        </w:rPr>
        <w:t>Boroondara),</w:t>
      </w:r>
      <w:r>
        <w:rPr>
          <w:spacing w:val="5"/>
          <w:w w:val="105"/>
          <w:sz w:val="13"/>
        </w:rPr>
        <w:t> </w:t>
      </w:r>
      <w:r>
        <w:rPr>
          <w:w w:val="105"/>
          <w:sz w:val="13"/>
        </w:rPr>
        <w:t>9</w:t>
      </w:r>
      <w:r>
        <w:rPr>
          <w:spacing w:val="5"/>
          <w:w w:val="105"/>
          <w:sz w:val="13"/>
        </w:rPr>
        <w:t> </w:t>
      </w:r>
      <w:r>
        <w:rPr>
          <w:w w:val="105"/>
          <w:sz w:val="13"/>
        </w:rPr>
        <w:t>(Nillumbik</w:t>
      </w:r>
      <w:r>
        <w:rPr>
          <w:spacing w:val="5"/>
          <w:w w:val="105"/>
          <w:sz w:val="13"/>
        </w:rPr>
        <w:t> </w:t>
      </w:r>
      <w:r>
        <w:rPr>
          <w:w w:val="105"/>
          <w:sz w:val="13"/>
        </w:rPr>
        <w:t>Shire</w:t>
      </w:r>
      <w:r>
        <w:rPr>
          <w:spacing w:val="5"/>
          <w:w w:val="105"/>
          <w:sz w:val="13"/>
        </w:rPr>
        <w:t> </w:t>
      </w:r>
      <w:r>
        <w:rPr>
          <w:w w:val="105"/>
          <w:sz w:val="13"/>
        </w:rPr>
        <w:t>Council).</w:t>
      </w:r>
    </w:p>
    <w:p>
      <w:pPr>
        <w:pStyle w:val="ListParagraph"/>
        <w:numPr>
          <w:ilvl w:val="0"/>
          <w:numId w:val="18"/>
        </w:numPr>
        <w:tabs>
          <w:tab w:pos="2380" w:val="left" w:leader="none"/>
          <w:tab w:pos="2381" w:val="left" w:leader="none"/>
        </w:tabs>
        <w:spacing w:line="240" w:lineRule="auto" w:before="1" w:after="0"/>
        <w:ind w:left="2380" w:right="1756" w:hanging="793"/>
        <w:jc w:val="left"/>
        <w:rPr>
          <w:sz w:val="13"/>
        </w:rPr>
      </w:pPr>
      <w:r>
        <w:rPr>
          <w:w w:val="105"/>
          <w:sz w:val="13"/>
        </w:rPr>
        <w:t>Submissions 5 </w:t>
      </w:r>
      <w:r>
        <w:rPr>
          <w:spacing w:val="2"/>
          <w:w w:val="105"/>
          <w:sz w:val="13"/>
        </w:rPr>
        <w:t>(Name </w:t>
      </w:r>
      <w:r>
        <w:rPr>
          <w:w w:val="105"/>
          <w:sz w:val="13"/>
        </w:rPr>
        <w:t>withheld), 6 </w:t>
      </w:r>
      <w:r>
        <w:rPr>
          <w:spacing w:val="2"/>
          <w:w w:val="105"/>
          <w:sz w:val="13"/>
        </w:rPr>
        <w:t>(Name </w:t>
      </w:r>
      <w:r>
        <w:rPr>
          <w:w w:val="105"/>
          <w:sz w:val="13"/>
        </w:rPr>
        <w:t>withheld), </w:t>
      </w:r>
      <w:r>
        <w:rPr>
          <w:spacing w:val="-4"/>
          <w:w w:val="105"/>
          <w:sz w:val="13"/>
        </w:rPr>
        <w:t>13 </w:t>
      </w:r>
      <w:r>
        <w:rPr>
          <w:w w:val="105"/>
          <w:sz w:val="13"/>
        </w:rPr>
        <w:t>(Mandy Collins), </w:t>
      </w:r>
      <w:r>
        <w:rPr>
          <w:spacing w:val="-3"/>
          <w:w w:val="105"/>
          <w:sz w:val="13"/>
        </w:rPr>
        <w:t>19 </w:t>
      </w:r>
      <w:r>
        <w:rPr>
          <w:spacing w:val="2"/>
          <w:w w:val="105"/>
          <w:sz w:val="13"/>
        </w:rPr>
        <w:t>(Name </w:t>
      </w:r>
      <w:r>
        <w:rPr>
          <w:w w:val="105"/>
          <w:sz w:val="13"/>
        </w:rPr>
        <w:t>withheld), 22 </w:t>
      </w:r>
      <w:r>
        <w:rPr>
          <w:spacing w:val="2"/>
          <w:w w:val="105"/>
          <w:sz w:val="13"/>
        </w:rPr>
        <w:t>(Name </w:t>
      </w:r>
      <w:r>
        <w:rPr>
          <w:w w:val="105"/>
          <w:sz w:val="13"/>
        </w:rPr>
        <w:t>withheld); Consultation 10 </w:t>
      </w:r>
      <w:r>
        <w:rPr>
          <w:spacing w:val="2"/>
          <w:w w:val="105"/>
          <w:sz w:val="13"/>
        </w:rPr>
        <w:t>(Baw </w:t>
      </w:r>
      <w:r>
        <w:rPr>
          <w:w w:val="105"/>
          <w:sz w:val="13"/>
        </w:rPr>
        <w:t>Baw Shire</w:t>
      </w:r>
      <w:r>
        <w:rPr>
          <w:spacing w:val="9"/>
          <w:w w:val="105"/>
          <w:sz w:val="13"/>
        </w:rPr>
        <w:t> </w:t>
      </w:r>
      <w:r>
        <w:rPr>
          <w:w w:val="105"/>
          <w:sz w:val="13"/>
        </w:rPr>
        <w:t>Council).</w:t>
      </w:r>
    </w:p>
    <w:p>
      <w:pPr>
        <w:pStyle w:val="ListParagraph"/>
        <w:numPr>
          <w:ilvl w:val="0"/>
          <w:numId w:val="18"/>
        </w:numPr>
        <w:tabs>
          <w:tab w:pos="2380" w:val="left" w:leader="none"/>
          <w:tab w:pos="2381" w:val="left" w:leader="none"/>
        </w:tabs>
        <w:spacing w:line="240" w:lineRule="auto" w:before="3" w:after="0"/>
        <w:ind w:left="2380" w:right="0" w:hanging="793"/>
        <w:jc w:val="left"/>
        <w:rPr>
          <w:sz w:val="13"/>
        </w:rPr>
      </w:pPr>
      <w:r>
        <w:rPr>
          <w:w w:val="105"/>
          <w:sz w:val="13"/>
        </w:rPr>
        <w:t>Submissions 22 </w:t>
      </w:r>
      <w:r>
        <w:rPr>
          <w:spacing w:val="2"/>
          <w:w w:val="105"/>
          <w:sz w:val="13"/>
        </w:rPr>
        <w:t>(Name </w:t>
      </w:r>
      <w:r>
        <w:rPr>
          <w:w w:val="105"/>
          <w:sz w:val="13"/>
        </w:rPr>
        <w:t>withheld), 28 </w:t>
      </w:r>
      <w:r>
        <w:rPr>
          <w:spacing w:val="3"/>
          <w:w w:val="105"/>
          <w:sz w:val="13"/>
        </w:rPr>
        <w:t>(HVP </w:t>
      </w:r>
      <w:r>
        <w:rPr>
          <w:w w:val="105"/>
          <w:sz w:val="13"/>
        </w:rPr>
        <w:t>Plantations); Survey Respondent</w:t>
      </w:r>
      <w:r>
        <w:rPr>
          <w:spacing w:val="5"/>
          <w:w w:val="105"/>
          <w:sz w:val="13"/>
        </w:rPr>
        <w:t> </w:t>
      </w:r>
      <w:r>
        <w:rPr>
          <w:w w:val="105"/>
          <w:sz w:val="13"/>
        </w:rPr>
        <w:t>99.</w:t>
      </w:r>
    </w:p>
    <w:p>
      <w:pPr>
        <w:pStyle w:val="ListParagraph"/>
        <w:numPr>
          <w:ilvl w:val="0"/>
          <w:numId w:val="18"/>
        </w:numPr>
        <w:tabs>
          <w:tab w:pos="2380" w:val="left" w:leader="none"/>
          <w:tab w:pos="2381" w:val="left" w:leader="none"/>
        </w:tabs>
        <w:spacing w:line="240" w:lineRule="auto" w:before="1" w:after="0"/>
        <w:ind w:left="2380" w:right="0" w:hanging="793"/>
        <w:jc w:val="left"/>
        <w:rPr>
          <w:sz w:val="13"/>
        </w:rPr>
      </w:pPr>
      <w:r>
        <w:rPr>
          <w:w w:val="105"/>
          <w:sz w:val="13"/>
        </w:rPr>
        <w:t>Consultations</w:t>
      </w:r>
      <w:r>
        <w:rPr>
          <w:spacing w:val="5"/>
          <w:w w:val="105"/>
          <w:sz w:val="13"/>
        </w:rPr>
        <w:t> </w:t>
      </w:r>
      <w:r>
        <w:rPr>
          <w:w w:val="105"/>
          <w:sz w:val="13"/>
        </w:rPr>
        <w:t>8</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r>
        <w:rPr>
          <w:spacing w:val="5"/>
          <w:w w:val="105"/>
          <w:sz w:val="13"/>
        </w:rPr>
        <w:t> </w:t>
      </w:r>
      <w:r>
        <w:rPr>
          <w:w w:val="105"/>
          <w:sz w:val="13"/>
        </w:rPr>
        <w:t>9</w:t>
      </w:r>
      <w:r>
        <w:rPr>
          <w:spacing w:val="5"/>
          <w:w w:val="105"/>
          <w:sz w:val="13"/>
        </w:rPr>
        <w:t> </w:t>
      </w:r>
      <w:r>
        <w:rPr>
          <w:w w:val="105"/>
          <w:sz w:val="13"/>
        </w:rPr>
        <w:t>(Nillumbik</w:t>
      </w:r>
      <w:r>
        <w:rPr>
          <w:spacing w:val="5"/>
          <w:w w:val="105"/>
          <w:sz w:val="13"/>
        </w:rPr>
        <w:t> </w:t>
      </w:r>
      <w:r>
        <w:rPr>
          <w:w w:val="105"/>
          <w:sz w:val="13"/>
        </w:rPr>
        <w:t>Shire</w:t>
      </w:r>
      <w:r>
        <w:rPr>
          <w:spacing w:val="5"/>
          <w:w w:val="105"/>
          <w:sz w:val="13"/>
        </w:rPr>
        <w:t> </w:t>
      </w:r>
      <w:r>
        <w:rPr>
          <w:w w:val="105"/>
          <w:sz w:val="13"/>
        </w:rPr>
        <w:t>Council),</w:t>
      </w:r>
      <w:r>
        <w:rPr>
          <w:spacing w:val="5"/>
          <w:w w:val="105"/>
          <w:sz w:val="13"/>
        </w:rPr>
        <w:t> </w:t>
      </w:r>
      <w:r>
        <w:rPr>
          <w:w w:val="105"/>
          <w:sz w:val="13"/>
        </w:rPr>
        <w:t>10</w:t>
      </w:r>
      <w:r>
        <w:rPr>
          <w:spacing w:val="5"/>
          <w:w w:val="105"/>
          <w:sz w:val="13"/>
        </w:rPr>
        <w:t> </w:t>
      </w:r>
      <w:r>
        <w:rPr>
          <w:spacing w:val="2"/>
          <w:w w:val="105"/>
          <w:sz w:val="13"/>
        </w:rPr>
        <w:t>(Baw</w:t>
      </w:r>
      <w:r>
        <w:rPr>
          <w:spacing w:val="6"/>
          <w:w w:val="105"/>
          <w:sz w:val="13"/>
        </w:rPr>
        <w:t> </w:t>
      </w:r>
      <w:r>
        <w:rPr>
          <w:w w:val="105"/>
          <w:sz w:val="13"/>
        </w:rPr>
        <w:t>Baw</w:t>
      </w:r>
      <w:r>
        <w:rPr>
          <w:spacing w:val="5"/>
          <w:w w:val="105"/>
          <w:sz w:val="13"/>
        </w:rPr>
        <w:t> </w:t>
      </w:r>
      <w:r>
        <w:rPr>
          <w:w w:val="105"/>
          <w:sz w:val="13"/>
        </w:rPr>
        <w:t>Shire</w:t>
      </w:r>
      <w:r>
        <w:rPr>
          <w:spacing w:val="5"/>
          <w:w w:val="105"/>
          <w:sz w:val="13"/>
        </w:rPr>
        <w:t> </w:t>
      </w:r>
      <w:r>
        <w:rPr>
          <w:w w:val="105"/>
          <w:sz w:val="13"/>
        </w:rPr>
        <w:t>Council).</w:t>
      </w:r>
    </w:p>
    <w:p>
      <w:pPr>
        <w:pStyle w:val="ListParagraph"/>
        <w:numPr>
          <w:ilvl w:val="0"/>
          <w:numId w:val="18"/>
        </w:numPr>
        <w:tabs>
          <w:tab w:pos="2380" w:val="left" w:leader="none"/>
          <w:tab w:pos="2382" w:val="left" w:leader="none"/>
        </w:tabs>
        <w:spacing w:line="240" w:lineRule="auto" w:before="2" w:after="0"/>
        <w:ind w:left="2381" w:right="0" w:hanging="794"/>
        <w:jc w:val="left"/>
        <w:rPr>
          <w:sz w:val="13"/>
        </w:rPr>
      </w:pPr>
      <w:r>
        <w:rPr>
          <w:w w:val="105"/>
          <w:sz w:val="13"/>
        </w:rPr>
        <w:t>Submission </w:t>
      </w:r>
      <w:r>
        <w:rPr>
          <w:spacing w:val="-4"/>
          <w:w w:val="105"/>
          <w:sz w:val="13"/>
        </w:rPr>
        <w:t>17 </w:t>
      </w:r>
      <w:r>
        <w:rPr>
          <w:spacing w:val="2"/>
          <w:w w:val="105"/>
          <w:sz w:val="13"/>
        </w:rPr>
        <w:t>(Name </w:t>
      </w:r>
      <w:r>
        <w:rPr>
          <w:w w:val="105"/>
          <w:sz w:val="13"/>
        </w:rPr>
        <w:t>withheld); Consultation 7 (Dispute Settlement Centre of</w:t>
      </w:r>
      <w:r>
        <w:rPr>
          <w:spacing w:val="23"/>
          <w:w w:val="105"/>
          <w:sz w:val="13"/>
        </w:rPr>
        <w:t> </w:t>
      </w:r>
      <w:r>
        <w:rPr>
          <w:w w:val="105"/>
          <w:sz w:val="13"/>
        </w:rPr>
        <w:t>Victoria).</w:t>
      </w:r>
    </w:p>
    <w:p>
      <w:pPr>
        <w:pStyle w:val="ListParagraph"/>
        <w:numPr>
          <w:ilvl w:val="0"/>
          <w:numId w:val="18"/>
        </w:numPr>
        <w:tabs>
          <w:tab w:pos="2380" w:val="left" w:leader="none"/>
          <w:tab w:pos="2382" w:val="left" w:leader="none"/>
        </w:tabs>
        <w:spacing w:line="240" w:lineRule="auto" w:before="1" w:after="0"/>
        <w:ind w:left="2381" w:right="0" w:hanging="794"/>
        <w:jc w:val="left"/>
        <w:rPr>
          <w:sz w:val="13"/>
        </w:rPr>
      </w:pPr>
      <w:r>
        <w:rPr>
          <w:w w:val="105"/>
          <w:sz w:val="13"/>
        </w:rPr>
        <w:t>Submissions </w:t>
      </w:r>
      <w:r>
        <w:rPr>
          <w:spacing w:val="-4"/>
          <w:w w:val="105"/>
          <w:sz w:val="13"/>
        </w:rPr>
        <w:t>13 </w:t>
      </w:r>
      <w:r>
        <w:rPr>
          <w:w w:val="105"/>
          <w:sz w:val="13"/>
        </w:rPr>
        <w:t>(Mandy Collins), 28 </w:t>
      </w:r>
      <w:r>
        <w:rPr>
          <w:spacing w:val="3"/>
          <w:w w:val="105"/>
          <w:sz w:val="13"/>
        </w:rPr>
        <w:t>(HVP </w:t>
      </w:r>
      <w:r>
        <w:rPr>
          <w:w w:val="105"/>
          <w:sz w:val="13"/>
        </w:rPr>
        <w:t>Plantations); Consultation 10 </w:t>
      </w:r>
      <w:r>
        <w:rPr>
          <w:spacing w:val="2"/>
          <w:w w:val="105"/>
          <w:sz w:val="13"/>
        </w:rPr>
        <w:t>(Baw </w:t>
      </w:r>
      <w:r>
        <w:rPr>
          <w:w w:val="105"/>
          <w:sz w:val="13"/>
        </w:rPr>
        <w:t>Baw Shire Council).</w:t>
      </w:r>
    </w:p>
    <w:p>
      <w:pPr>
        <w:pStyle w:val="ListParagraph"/>
        <w:numPr>
          <w:ilvl w:val="0"/>
          <w:numId w:val="18"/>
        </w:numPr>
        <w:tabs>
          <w:tab w:pos="2380" w:val="left" w:leader="none"/>
          <w:tab w:pos="2382" w:val="left" w:leader="none"/>
        </w:tabs>
        <w:spacing w:line="240" w:lineRule="auto" w:before="1" w:after="0"/>
        <w:ind w:left="2381" w:right="1608" w:hanging="794"/>
        <w:jc w:val="left"/>
        <w:rPr>
          <w:sz w:val="13"/>
        </w:rPr>
      </w:pPr>
      <w:r>
        <w:rPr>
          <w:w w:val="105"/>
          <w:sz w:val="13"/>
        </w:rPr>
        <w:t>Submission </w:t>
      </w:r>
      <w:r>
        <w:rPr>
          <w:spacing w:val="-3"/>
          <w:w w:val="105"/>
          <w:sz w:val="13"/>
        </w:rPr>
        <w:t>19 </w:t>
      </w:r>
      <w:r>
        <w:rPr>
          <w:spacing w:val="2"/>
          <w:w w:val="105"/>
          <w:sz w:val="13"/>
        </w:rPr>
        <w:t>(Name </w:t>
      </w:r>
      <w:r>
        <w:rPr>
          <w:w w:val="105"/>
          <w:sz w:val="13"/>
        </w:rPr>
        <w:t>withheld); Consultation </w:t>
      </w:r>
      <w:r>
        <w:rPr>
          <w:spacing w:val="-3"/>
          <w:w w:val="105"/>
          <w:sz w:val="13"/>
        </w:rPr>
        <w:t>14 </w:t>
      </w:r>
      <w:r>
        <w:rPr>
          <w:spacing w:val="2"/>
          <w:w w:val="105"/>
          <w:sz w:val="13"/>
        </w:rPr>
        <w:t>(Robert Mineo). </w:t>
      </w:r>
      <w:r>
        <w:rPr>
          <w:w w:val="105"/>
          <w:sz w:val="13"/>
        </w:rPr>
        <w:t>People may perceive a dead tree as an even greater risk of damage or</w:t>
      </w:r>
      <w:r>
        <w:rPr>
          <w:spacing w:val="30"/>
          <w:w w:val="105"/>
          <w:sz w:val="13"/>
        </w:rPr>
        <w:t> </w:t>
      </w:r>
      <w:r>
        <w:rPr>
          <w:w w:val="105"/>
          <w:sz w:val="13"/>
        </w:rPr>
        <w:t>harm. One community member explained that their neighbour’s tree is ‘dry and dead and presents an even greater fire danger’: Submission </w:t>
      </w:r>
      <w:r>
        <w:rPr>
          <w:spacing w:val="-3"/>
          <w:w w:val="105"/>
          <w:sz w:val="13"/>
        </w:rPr>
        <w:t>19 </w:t>
      </w:r>
      <w:r>
        <w:rPr>
          <w:spacing w:val="2"/>
          <w:w w:val="105"/>
          <w:sz w:val="13"/>
        </w:rPr>
        <w:t>(Name</w:t>
      </w:r>
      <w:r>
        <w:rPr>
          <w:spacing w:val="12"/>
          <w:w w:val="105"/>
          <w:sz w:val="13"/>
        </w:rPr>
        <w:t> </w:t>
      </w:r>
      <w:r>
        <w:rPr>
          <w:w w:val="105"/>
          <w:sz w:val="13"/>
        </w:rPr>
        <w:t>withheld).</w:t>
      </w:r>
    </w:p>
    <w:p>
      <w:pPr>
        <w:pStyle w:val="ListParagraph"/>
        <w:numPr>
          <w:ilvl w:val="0"/>
          <w:numId w:val="18"/>
        </w:numPr>
        <w:tabs>
          <w:tab w:pos="2381" w:val="left" w:leader="none"/>
          <w:tab w:pos="2382" w:val="left" w:leader="none"/>
        </w:tabs>
        <w:spacing w:line="240" w:lineRule="auto" w:before="4" w:after="0"/>
        <w:ind w:left="2381" w:right="1584" w:hanging="794"/>
        <w:jc w:val="left"/>
        <w:rPr>
          <w:sz w:val="13"/>
        </w:rPr>
      </w:pPr>
      <w:r>
        <w:rPr/>
        <w:pict>
          <v:shape style="position:absolute;margin-left:36pt;margin-top:11.128565pt;width:12.4pt;height:14.25pt;mso-position-horizontal-relative:page;mso-position-vertical-relative:paragraph;z-index:2056" type="#_x0000_t202" filled="false" stroked="false">
            <v:textbox inset="0,0,0,0">
              <w:txbxContent>
                <w:p>
                  <w:pPr>
                    <w:spacing w:line="284" w:lineRule="exact" w:before="0"/>
                    <w:ind w:left="0" w:right="0" w:firstLine="0"/>
                    <w:jc w:val="left"/>
                    <w:rPr>
                      <w:b/>
                      <w:sz w:val="24"/>
                    </w:rPr>
                  </w:pPr>
                  <w:r>
                    <w:rPr>
                      <w:b/>
                      <w:color w:val="658464"/>
                      <w:spacing w:val="-10"/>
                      <w:w w:val="110"/>
                      <w:sz w:val="24"/>
                    </w:rPr>
                    <w:t>12</w:t>
                  </w:r>
                </w:p>
              </w:txbxContent>
            </v:textbox>
            <w10:wrap type="none"/>
          </v:shape>
        </w:pict>
      </w:r>
      <w:r>
        <w:rPr>
          <w:w w:val="105"/>
          <w:sz w:val="13"/>
        </w:rPr>
        <w:t>Submission 30 </w:t>
      </w:r>
      <w:r>
        <w:rPr>
          <w:spacing w:val="3"/>
          <w:w w:val="105"/>
          <w:sz w:val="13"/>
        </w:rPr>
        <w:t>(Law </w:t>
      </w:r>
      <w:r>
        <w:rPr>
          <w:w w:val="105"/>
          <w:sz w:val="13"/>
        </w:rPr>
        <w:t>Institute of </w:t>
      </w:r>
      <w:r>
        <w:rPr>
          <w:spacing w:val="2"/>
          <w:w w:val="105"/>
          <w:sz w:val="13"/>
        </w:rPr>
        <w:t>Victoria); </w:t>
      </w:r>
      <w:r>
        <w:rPr>
          <w:w w:val="105"/>
          <w:sz w:val="13"/>
        </w:rPr>
        <w:t>Consultation 4 (Participants in facilitated discussion at </w:t>
      </w:r>
      <w:r>
        <w:rPr>
          <w:spacing w:val="4"/>
          <w:w w:val="105"/>
          <w:sz w:val="13"/>
        </w:rPr>
        <w:t>VTIO </w:t>
      </w:r>
      <w:r>
        <w:rPr>
          <w:w w:val="105"/>
          <w:sz w:val="13"/>
        </w:rPr>
        <w:t>ArborCamp2018); Survey Respondent 99.</w:t>
      </w:r>
    </w:p>
    <w:p>
      <w:pPr>
        <w:pStyle w:val="ListParagraph"/>
        <w:numPr>
          <w:ilvl w:val="0"/>
          <w:numId w:val="18"/>
        </w:numPr>
        <w:tabs>
          <w:tab w:pos="2381" w:val="left" w:leader="none"/>
          <w:tab w:pos="2382" w:val="left" w:leader="none"/>
        </w:tabs>
        <w:spacing w:line="240" w:lineRule="auto" w:before="3" w:after="0"/>
        <w:ind w:left="2381" w:right="0" w:hanging="794"/>
        <w:jc w:val="left"/>
        <w:rPr>
          <w:sz w:val="13"/>
        </w:rPr>
      </w:pPr>
      <w:r>
        <w:rPr>
          <w:w w:val="105"/>
          <w:sz w:val="13"/>
        </w:rPr>
        <w:t>Submission 4 </w:t>
      </w:r>
      <w:r>
        <w:rPr>
          <w:spacing w:val="2"/>
          <w:w w:val="105"/>
          <w:sz w:val="13"/>
        </w:rPr>
        <w:t>(Name</w:t>
      </w:r>
      <w:r>
        <w:rPr>
          <w:spacing w:val="13"/>
          <w:w w:val="105"/>
          <w:sz w:val="13"/>
        </w:rPr>
        <w:t> </w:t>
      </w:r>
      <w:r>
        <w:rPr>
          <w:w w:val="105"/>
          <w:sz w:val="13"/>
        </w:rPr>
        <w:t>withheld).</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11"/>
        <w:rPr>
          <w:sz w:val="17"/>
        </w:rPr>
      </w:pPr>
    </w:p>
    <w:p>
      <w:pPr>
        <w:pStyle w:val="Heading5"/>
        <w:spacing w:before="96"/>
      </w:pPr>
      <w:bookmarkStart w:name="_bookmark12" w:id="38"/>
      <w:bookmarkEnd w:id="38"/>
      <w:r>
        <w:rPr>
          <w:b w:val="0"/>
        </w:rPr>
      </w:r>
      <w:r>
        <w:rPr>
          <w:w w:val="115"/>
        </w:rPr>
        <w:t>Damage to property and dropping of leaf litter</w:t>
      </w:r>
    </w:p>
    <w:p>
      <w:pPr>
        <w:pStyle w:val="ListParagraph"/>
        <w:numPr>
          <w:ilvl w:val="1"/>
          <w:numId w:val="16"/>
        </w:numPr>
        <w:tabs>
          <w:tab w:pos="2381" w:val="left" w:leader="none"/>
          <w:tab w:pos="2382" w:val="left" w:leader="none"/>
        </w:tabs>
        <w:spacing w:line="242" w:lineRule="auto" w:before="137" w:after="0"/>
        <w:ind w:left="2381" w:right="2548" w:hanging="794"/>
        <w:jc w:val="left"/>
        <w:rPr>
          <w:sz w:val="21"/>
        </w:rPr>
      </w:pPr>
      <w:r>
        <w:rPr>
          <w:w w:val="105"/>
          <w:sz w:val="21"/>
        </w:rPr>
        <w:t>The most </w:t>
      </w:r>
      <w:r>
        <w:rPr>
          <w:spacing w:val="-2"/>
          <w:w w:val="105"/>
          <w:sz w:val="21"/>
        </w:rPr>
        <w:t>common </w:t>
      </w:r>
      <w:r>
        <w:rPr>
          <w:spacing w:val="-3"/>
          <w:w w:val="105"/>
          <w:sz w:val="21"/>
        </w:rPr>
        <w:t>complaint spoken </w:t>
      </w:r>
      <w:r>
        <w:rPr>
          <w:w w:val="105"/>
          <w:sz w:val="21"/>
        </w:rPr>
        <w:t>about </w:t>
      </w:r>
      <w:r>
        <w:rPr>
          <w:spacing w:val="-3"/>
          <w:w w:val="105"/>
          <w:sz w:val="21"/>
        </w:rPr>
        <w:t>to </w:t>
      </w:r>
      <w:r>
        <w:rPr>
          <w:w w:val="105"/>
          <w:sz w:val="21"/>
        </w:rPr>
        <w:t>the </w:t>
      </w:r>
      <w:r>
        <w:rPr>
          <w:spacing w:val="-3"/>
          <w:w w:val="105"/>
          <w:sz w:val="21"/>
        </w:rPr>
        <w:t>Commission </w:t>
      </w:r>
      <w:r>
        <w:rPr>
          <w:w w:val="105"/>
          <w:sz w:val="21"/>
        </w:rPr>
        <w:t>was damage </w:t>
      </w:r>
      <w:r>
        <w:rPr>
          <w:spacing w:val="-3"/>
          <w:w w:val="105"/>
          <w:sz w:val="21"/>
        </w:rPr>
        <w:t>to </w:t>
      </w:r>
      <w:r>
        <w:rPr>
          <w:w w:val="105"/>
          <w:sz w:val="21"/>
        </w:rPr>
        <w:t>property,</w:t>
      </w:r>
      <w:r>
        <w:rPr>
          <w:w w:val="105"/>
          <w:position w:val="7"/>
          <w:sz w:val="12"/>
        </w:rPr>
        <w:t>56 </w:t>
      </w:r>
      <w:r>
        <w:rPr>
          <w:spacing w:val="-3"/>
          <w:w w:val="105"/>
          <w:sz w:val="21"/>
        </w:rPr>
        <w:t>followed </w:t>
      </w:r>
      <w:r>
        <w:rPr>
          <w:w w:val="105"/>
          <w:sz w:val="21"/>
        </w:rPr>
        <w:t>closely by tree </w:t>
      </w:r>
      <w:r>
        <w:rPr>
          <w:spacing w:val="-3"/>
          <w:w w:val="105"/>
          <w:sz w:val="21"/>
        </w:rPr>
        <w:t>disputes </w:t>
      </w:r>
      <w:r>
        <w:rPr>
          <w:w w:val="105"/>
          <w:sz w:val="21"/>
        </w:rPr>
        <w:t>over the </w:t>
      </w:r>
      <w:r>
        <w:rPr>
          <w:spacing w:val="-3"/>
          <w:w w:val="105"/>
          <w:sz w:val="21"/>
        </w:rPr>
        <w:t>dropping </w:t>
      </w:r>
      <w:r>
        <w:rPr>
          <w:w w:val="105"/>
          <w:sz w:val="21"/>
        </w:rPr>
        <w:t>of leaf</w:t>
      </w:r>
      <w:r>
        <w:rPr>
          <w:spacing w:val="-19"/>
          <w:w w:val="105"/>
          <w:sz w:val="21"/>
        </w:rPr>
        <w:t> </w:t>
      </w:r>
      <w:r>
        <w:rPr>
          <w:spacing w:val="-4"/>
          <w:w w:val="105"/>
          <w:sz w:val="21"/>
        </w:rPr>
        <w:t>litter.</w:t>
      </w:r>
      <w:r>
        <w:rPr>
          <w:spacing w:val="-4"/>
          <w:w w:val="105"/>
          <w:position w:val="7"/>
          <w:sz w:val="12"/>
        </w:rPr>
        <w:t>57</w:t>
      </w:r>
    </w:p>
    <w:p>
      <w:pPr>
        <w:pStyle w:val="ListParagraph"/>
        <w:numPr>
          <w:ilvl w:val="1"/>
          <w:numId w:val="16"/>
        </w:numPr>
        <w:tabs>
          <w:tab w:pos="2380" w:val="left" w:leader="none"/>
          <w:tab w:pos="2381" w:val="left" w:leader="none"/>
        </w:tabs>
        <w:spacing w:line="242" w:lineRule="auto" w:before="122" w:after="0"/>
        <w:ind w:left="2381" w:right="1603" w:hanging="794"/>
        <w:jc w:val="left"/>
        <w:rPr>
          <w:sz w:val="21"/>
        </w:rPr>
      </w:pPr>
      <w:r>
        <w:rPr>
          <w:spacing w:val="-3"/>
          <w:w w:val="105"/>
          <w:sz w:val="21"/>
        </w:rPr>
        <w:t>Damage to </w:t>
      </w:r>
      <w:r>
        <w:rPr>
          <w:w w:val="105"/>
          <w:sz w:val="21"/>
        </w:rPr>
        <w:t>a </w:t>
      </w:r>
      <w:r>
        <w:rPr>
          <w:spacing w:val="-3"/>
          <w:w w:val="105"/>
          <w:sz w:val="21"/>
        </w:rPr>
        <w:t>dividing fence </w:t>
      </w:r>
      <w:r>
        <w:rPr>
          <w:w w:val="105"/>
          <w:sz w:val="21"/>
        </w:rPr>
        <w:t>was the most </w:t>
      </w:r>
      <w:r>
        <w:rPr>
          <w:spacing w:val="-2"/>
          <w:w w:val="105"/>
          <w:sz w:val="21"/>
        </w:rPr>
        <w:t>common </w:t>
      </w:r>
      <w:r>
        <w:rPr>
          <w:w w:val="105"/>
          <w:sz w:val="21"/>
        </w:rPr>
        <w:t>example of damage </w:t>
      </w:r>
      <w:r>
        <w:rPr>
          <w:spacing w:val="-3"/>
          <w:w w:val="105"/>
          <w:sz w:val="21"/>
        </w:rPr>
        <w:t>to </w:t>
      </w:r>
      <w:r>
        <w:rPr>
          <w:w w:val="105"/>
          <w:sz w:val="21"/>
        </w:rPr>
        <w:t>property.</w:t>
      </w:r>
      <w:r>
        <w:rPr>
          <w:w w:val="105"/>
          <w:position w:val="7"/>
          <w:sz w:val="12"/>
        </w:rPr>
        <w:t>58</w:t>
      </w:r>
      <w:r>
        <w:rPr>
          <w:w w:val="105"/>
          <w:sz w:val="12"/>
        </w:rPr>
        <w:t> </w:t>
      </w:r>
      <w:r>
        <w:rPr>
          <w:w w:val="105"/>
          <w:sz w:val="21"/>
        </w:rPr>
        <w:t>Other</w:t>
      </w:r>
      <w:r>
        <w:rPr>
          <w:spacing w:val="-7"/>
          <w:w w:val="105"/>
          <w:sz w:val="21"/>
        </w:rPr>
        <w:t> </w:t>
      </w:r>
      <w:r>
        <w:rPr>
          <w:w w:val="105"/>
          <w:sz w:val="21"/>
        </w:rPr>
        <w:t>types</w:t>
      </w:r>
      <w:r>
        <w:rPr>
          <w:spacing w:val="-7"/>
          <w:w w:val="105"/>
          <w:sz w:val="21"/>
        </w:rPr>
        <w:t> </w:t>
      </w:r>
      <w:r>
        <w:rPr>
          <w:w w:val="105"/>
          <w:sz w:val="21"/>
        </w:rPr>
        <w:t>of</w:t>
      </w:r>
      <w:r>
        <w:rPr>
          <w:spacing w:val="-7"/>
          <w:w w:val="105"/>
          <w:sz w:val="21"/>
        </w:rPr>
        <w:t> </w:t>
      </w:r>
      <w:r>
        <w:rPr>
          <w:w w:val="105"/>
          <w:sz w:val="21"/>
        </w:rPr>
        <w:t>damage</w:t>
      </w:r>
      <w:r>
        <w:rPr>
          <w:spacing w:val="-7"/>
          <w:w w:val="105"/>
          <w:sz w:val="21"/>
        </w:rPr>
        <w:t> </w:t>
      </w:r>
      <w:r>
        <w:rPr>
          <w:spacing w:val="-3"/>
          <w:w w:val="105"/>
          <w:sz w:val="21"/>
        </w:rPr>
        <w:t>to</w:t>
      </w:r>
      <w:r>
        <w:rPr>
          <w:spacing w:val="-7"/>
          <w:w w:val="105"/>
          <w:sz w:val="21"/>
        </w:rPr>
        <w:t> </w:t>
      </w:r>
      <w:r>
        <w:rPr>
          <w:w w:val="105"/>
          <w:sz w:val="21"/>
        </w:rPr>
        <w:t>property,</w:t>
      </w:r>
      <w:r>
        <w:rPr>
          <w:spacing w:val="-7"/>
          <w:w w:val="105"/>
          <w:sz w:val="21"/>
        </w:rPr>
        <w:t> </w:t>
      </w:r>
      <w:r>
        <w:rPr>
          <w:w w:val="105"/>
          <w:sz w:val="21"/>
        </w:rPr>
        <w:t>attributed</w:t>
      </w:r>
      <w:r>
        <w:rPr>
          <w:spacing w:val="-6"/>
          <w:w w:val="105"/>
          <w:sz w:val="21"/>
        </w:rPr>
        <w:t> </w:t>
      </w:r>
      <w:r>
        <w:rPr>
          <w:spacing w:val="-2"/>
          <w:w w:val="105"/>
          <w:sz w:val="21"/>
        </w:rPr>
        <w:t>commonly</w:t>
      </w:r>
      <w:r>
        <w:rPr>
          <w:spacing w:val="-7"/>
          <w:w w:val="105"/>
          <w:sz w:val="21"/>
        </w:rPr>
        <w:t> </w:t>
      </w:r>
      <w:r>
        <w:rPr>
          <w:spacing w:val="-3"/>
          <w:w w:val="105"/>
          <w:sz w:val="21"/>
        </w:rPr>
        <w:t>to</w:t>
      </w:r>
      <w:r>
        <w:rPr>
          <w:spacing w:val="-7"/>
          <w:w w:val="105"/>
          <w:sz w:val="21"/>
        </w:rPr>
        <w:t> </w:t>
      </w:r>
      <w:r>
        <w:rPr>
          <w:spacing w:val="-3"/>
          <w:w w:val="105"/>
          <w:sz w:val="21"/>
        </w:rPr>
        <w:t>encroaching</w:t>
      </w:r>
      <w:r>
        <w:rPr>
          <w:spacing w:val="-7"/>
          <w:w w:val="105"/>
          <w:sz w:val="21"/>
        </w:rPr>
        <w:t> </w:t>
      </w:r>
      <w:r>
        <w:rPr>
          <w:w w:val="105"/>
          <w:sz w:val="21"/>
        </w:rPr>
        <w:t>roots,</w:t>
      </w:r>
      <w:r>
        <w:rPr>
          <w:w w:val="105"/>
          <w:position w:val="7"/>
          <w:sz w:val="12"/>
        </w:rPr>
        <w:t>59</w:t>
      </w:r>
      <w:r>
        <w:rPr>
          <w:spacing w:val="16"/>
          <w:w w:val="105"/>
          <w:position w:val="7"/>
          <w:sz w:val="12"/>
        </w:rPr>
        <w:t> </w:t>
      </w:r>
      <w:r>
        <w:rPr>
          <w:spacing w:val="-3"/>
          <w:w w:val="105"/>
          <w:sz w:val="21"/>
        </w:rPr>
        <w:t>included </w:t>
      </w:r>
      <w:r>
        <w:rPr>
          <w:w w:val="105"/>
          <w:sz w:val="21"/>
        </w:rPr>
        <w:t>damage </w:t>
      </w:r>
      <w:r>
        <w:rPr>
          <w:spacing w:val="-3"/>
          <w:w w:val="105"/>
          <w:sz w:val="21"/>
        </w:rPr>
        <w:t>to building foundations,</w:t>
      </w:r>
      <w:r>
        <w:rPr>
          <w:spacing w:val="-3"/>
          <w:w w:val="105"/>
          <w:position w:val="7"/>
          <w:sz w:val="12"/>
        </w:rPr>
        <w:t>60 </w:t>
      </w:r>
      <w:r>
        <w:rPr>
          <w:spacing w:val="-3"/>
          <w:w w:val="105"/>
          <w:sz w:val="21"/>
        </w:rPr>
        <w:t>paving,</w:t>
      </w:r>
      <w:r>
        <w:rPr>
          <w:spacing w:val="-3"/>
          <w:w w:val="105"/>
          <w:position w:val="7"/>
          <w:sz w:val="12"/>
        </w:rPr>
        <w:t>61 </w:t>
      </w:r>
      <w:r>
        <w:rPr>
          <w:w w:val="105"/>
          <w:sz w:val="21"/>
        </w:rPr>
        <w:t>driveways,</w:t>
      </w:r>
      <w:r>
        <w:rPr>
          <w:w w:val="105"/>
          <w:position w:val="7"/>
          <w:sz w:val="12"/>
        </w:rPr>
        <w:t>62 </w:t>
      </w:r>
      <w:r>
        <w:rPr>
          <w:spacing w:val="-3"/>
          <w:w w:val="105"/>
          <w:sz w:val="21"/>
        </w:rPr>
        <w:t>stormwater facilities, </w:t>
      </w:r>
      <w:r>
        <w:rPr>
          <w:w w:val="105"/>
          <w:sz w:val="21"/>
        </w:rPr>
        <w:t>polyvinyl chloride (PVC) pipes,</w:t>
      </w:r>
      <w:r>
        <w:rPr>
          <w:w w:val="105"/>
          <w:position w:val="7"/>
          <w:sz w:val="12"/>
        </w:rPr>
        <w:t>63 </w:t>
      </w:r>
      <w:r>
        <w:rPr>
          <w:spacing w:val="-3"/>
          <w:w w:val="105"/>
          <w:sz w:val="21"/>
        </w:rPr>
        <w:t>substrate </w:t>
      </w:r>
      <w:r>
        <w:rPr>
          <w:w w:val="105"/>
          <w:sz w:val="21"/>
        </w:rPr>
        <w:t>(in the </w:t>
      </w:r>
      <w:r>
        <w:rPr>
          <w:spacing w:val="-3"/>
          <w:w w:val="105"/>
          <w:sz w:val="21"/>
        </w:rPr>
        <w:t>form </w:t>
      </w:r>
      <w:r>
        <w:rPr>
          <w:w w:val="105"/>
          <w:sz w:val="21"/>
        </w:rPr>
        <w:t>of heaving)</w:t>
      </w:r>
      <w:r>
        <w:rPr>
          <w:w w:val="105"/>
          <w:position w:val="7"/>
          <w:sz w:val="12"/>
        </w:rPr>
        <w:t>64 </w:t>
      </w:r>
      <w:r>
        <w:rPr>
          <w:w w:val="105"/>
          <w:sz w:val="21"/>
        </w:rPr>
        <w:t>and </w:t>
      </w:r>
      <w:r>
        <w:rPr>
          <w:spacing w:val="-3"/>
          <w:w w:val="105"/>
          <w:sz w:val="21"/>
        </w:rPr>
        <w:t>landscaping (for example, </w:t>
      </w:r>
      <w:r>
        <w:rPr>
          <w:w w:val="105"/>
          <w:sz w:val="21"/>
        </w:rPr>
        <w:t>grass and</w:t>
      </w:r>
      <w:r>
        <w:rPr>
          <w:spacing w:val="10"/>
          <w:w w:val="105"/>
          <w:sz w:val="21"/>
        </w:rPr>
        <w:t> </w:t>
      </w:r>
      <w:r>
        <w:rPr>
          <w:w w:val="105"/>
          <w:sz w:val="21"/>
        </w:rPr>
        <w:t>soil).</w:t>
      </w:r>
      <w:r>
        <w:rPr>
          <w:w w:val="105"/>
          <w:position w:val="7"/>
          <w:sz w:val="12"/>
        </w:rPr>
        <w:t>65</w:t>
      </w:r>
    </w:p>
    <w:p>
      <w:pPr>
        <w:pStyle w:val="ListParagraph"/>
        <w:numPr>
          <w:ilvl w:val="1"/>
          <w:numId w:val="16"/>
        </w:numPr>
        <w:tabs>
          <w:tab w:pos="2380" w:val="left" w:leader="none"/>
          <w:tab w:pos="2381" w:val="left" w:leader="none"/>
        </w:tabs>
        <w:spacing w:line="242" w:lineRule="auto" w:before="126" w:after="0"/>
        <w:ind w:left="2381" w:right="1681" w:hanging="794"/>
        <w:jc w:val="left"/>
        <w:rPr>
          <w:sz w:val="21"/>
        </w:rPr>
      </w:pPr>
      <w:r>
        <w:rPr>
          <w:spacing w:val="-4"/>
          <w:w w:val="105"/>
          <w:sz w:val="21"/>
        </w:rPr>
        <w:t>Concerns </w:t>
      </w:r>
      <w:r>
        <w:rPr>
          <w:w w:val="105"/>
          <w:sz w:val="21"/>
        </w:rPr>
        <w:t>about leaf litter </w:t>
      </w:r>
      <w:r>
        <w:rPr>
          <w:spacing w:val="-3"/>
          <w:w w:val="105"/>
          <w:sz w:val="21"/>
        </w:rPr>
        <w:t>included </w:t>
      </w:r>
      <w:r>
        <w:rPr>
          <w:spacing w:val="-2"/>
          <w:w w:val="105"/>
          <w:sz w:val="21"/>
        </w:rPr>
        <w:t>problems </w:t>
      </w:r>
      <w:r>
        <w:rPr>
          <w:w w:val="105"/>
          <w:sz w:val="21"/>
        </w:rPr>
        <w:t>with </w:t>
      </w:r>
      <w:r>
        <w:rPr>
          <w:spacing w:val="-3"/>
          <w:w w:val="105"/>
          <w:sz w:val="21"/>
        </w:rPr>
        <w:t>leaves, </w:t>
      </w:r>
      <w:r>
        <w:rPr>
          <w:w w:val="105"/>
          <w:sz w:val="21"/>
        </w:rPr>
        <w:t>nuts, </w:t>
      </w:r>
      <w:r>
        <w:rPr>
          <w:spacing w:val="-3"/>
          <w:w w:val="105"/>
          <w:sz w:val="21"/>
        </w:rPr>
        <w:t>fruit, </w:t>
      </w:r>
      <w:r>
        <w:rPr>
          <w:w w:val="105"/>
          <w:sz w:val="21"/>
        </w:rPr>
        <w:t>twigs or </w:t>
      </w:r>
      <w:r>
        <w:rPr>
          <w:spacing w:val="-3"/>
          <w:w w:val="105"/>
          <w:sz w:val="21"/>
        </w:rPr>
        <w:t>small branches,</w:t>
      </w:r>
      <w:r>
        <w:rPr>
          <w:spacing w:val="-9"/>
          <w:w w:val="105"/>
          <w:sz w:val="21"/>
        </w:rPr>
        <w:t> </w:t>
      </w:r>
      <w:r>
        <w:rPr>
          <w:w w:val="105"/>
          <w:sz w:val="21"/>
        </w:rPr>
        <w:t>depending</w:t>
      </w:r>
      <w:r>
        <w:rPr>
          <w:spacing w:val="-8"/>
          <w:w w:val="105"/>
          <w:sz w:val="21"/>
        </w:rPr>
        <w:t> </w:t>
      </w:r>
      <w:r>
        <w:rPr>
          <w:w w:val="105"/>
          <w:sz w:val="21"/>
        </w:rPr>
        <w:t>on</w:t>
      </w:r>
      <w:r>
        <w:rPr>
          <w:spacing w:val="-8"/>
          <w:w w:val="105"/>
          <w:sz w:val="21"/>
        </w:rPr>
        <w:t> </w:t>
      </w:r>
      <w:r>
        <w:rPr>
          <w:w w:val="105"/>
          <w:sz w:val="21"/>
        </w:rPr>
        <w:t>the</w:t>
      </w:r>
      <w:r>
        <w:rPr>
          <w:spacing w:val="-8"/>
          <w:w w:val="105"/>
          <w:sz w:val="21"/>
        </w:rPr>
        <w:t> </w:t>
      </w:r>
      <w:r>
        <w:rPr>
          <w:w w:val="105"/>
          <w:sz w:val="21"/>
        </w:rPr>
        <w:t>species</w:t>
      </w:r>
      <w:r>
        <w:rPr>
          <w:spacing w:val="-9"/>
          <w:w w:val="105"/>
          <w:sz w:val="21"/>
        </w:rPr>
        <w:t> </w:t>
      </w:r>
      <w:r>
        <w:rPr>
          <w:w w:val="105"/>
          <w:sz w:val="21"/>
        </w:rPr>
        <w:t>of</w:t>
      </w:r>
      <w:r>
        <w:rPr>
          <w:spacing w:val="-8"/>
          <w:w w:val="105"/>
          <w:sz w:val="21"/>
        </w:rPr>
        <w:t> </w:t>
      </w:r>
      <w:r>
        <w:rPr>
          <w:w w:val="105"/>
          <w:sz w:val="21"/>
        </w:rPr>
        <w:t>tree.</w:t>
      </w:r>
      <w:r>
        <w:rPr>
          <w:w w:val="105"/>
          <w:position w:val="7"/>
          <w:sz w:val="12"/>
        </w:rPr>
        <w:t>66</w:t>
      </w:r>
      <w:r>
        <w:rPr>
          <w:spacing w:val="15"/>
          <w:w w:val="105"/>
          <w:position w:val="7"/>
          <w:sz w:val="12"/>
        </w:rPr>
        <w:t> </w:t>
      </w:r>
      <w:r>
        <w:rPr>
          <w:spacing w:val="-3"/>
          <w:w w:val="105"/>
          <w:sz w:val="21"/>
        </w:rPr>
        <w:t>Community</w:t>
      </w:r>
      <w:r>
        <w:rPr>
          <w:spacing w:val="-8"/>
          <w:w w:val="105"/>
          <w:sz w:val="21"/>
        </w:rPr>
        <w:t> </w:t>
      </w:r>
      <w:r>
        <w:rPr>
          <w:w w:val="105"/>
          <w:sz w:val="21"/>
        </w:rPr>
        <w:t>members</w:t>
      </w:r>
      <w:r>
        <w:rPr>
          <w:spacing w:val="-9"/>
          <w:w w:val="105"/>
          <w:sz w:val="21"/>
        </w:rPr>
        <w:t> </w:t>
      </w:r>
      <w:r>
        <w:rPr>
          <w:w w:val="105"/>
          <w:sz w:val="21"/>
        </w:rPr>
        <w:t>affected</w:t>
      </w:r>
      <w:r>
        <w:rPr>
          <w:spacing w:val="-8"/>
          <w:w w:val="105"/>
          <w:sz w:val="21"/>
        </w:rPr>
        <w:t> </w:t>
      </w:r>
      <w:r>
        <w:rPr>
          <w:w w:val="105"/>
          <w:sz w:val="21"/>
        </w:rPr>
        <w:t>by</w:t>
      </w:r>
      <w:r>
        <w:rPr>
          <w:spacing w:val="-8"/>
          <w:w w:val="105"/>
          <w:sz w:val="21"/>
        </w:rPr>
        <w:t> </w:t>
      </w:r>
      <w:r>
        <w:rPr>
          <w:w w:val="105"/>
          <w:sz w:val="21"/>
        </w:rPr>
        <w:t>leaf</w:t>
      </w:r>
      <w:r>
        <w:rPr>
          <w:spacing w:val="-8"/>
          <w:w w:val="105"/>
          <w:sz w:val="21"/>
        </w:rPr>
        <w:t> </w:t>
      </w:r>
      <w:r>
        <w:rPr>
          <w:w w:val="105"/>
          <w:sz w:val="21"/>
        </w:rPr>
        <w:t>litter reported </w:t>
      </w:r>
      <w:r>
        <w:rPr>
          <w:spacing w:val="-3"/>
          <w:w w:val="105"/>
          <w:sz w:val="21"/>
        </w:rPr>
        <w:t>that </w:t>
      </w:r>
      <w:r>
        <w:rPr>
          <w:w w:val="105"/>
          <w:sz w:val="21"/>
        </w:rPr>
        <w:t>it </w:t>
      </w:r>
      <w:r>
        <w:rPr>
          <w:spacing w:val="-3"/>
          <w:w w:val="105"/>
          <w:sz w:val="21"/>
        </w:rPr>
        <w:t>resulted </w:t>
      </w:r>
      <w:r>
        <w:rPr>
          <w:w w:val="105"/>
          <w:sz w:val="21"/>
        </w:rPr>
        <w:t>in the blocking of roof gutters</w:t>
      </w:r>
      <w:r>
        <w:rPr>
          <w:w w:val="105"/>
          <w:position w:val="7"/>
          <w:sz w:val="12"/>
        </w:rPr>
        <w:t>67 </w:t>
      </w:r>
      <w:r>
        <w:rPr>
          <w:w w:val="105"/>
          <w:sz w:val="21"/>
        </w:rPr>
        <w:t>(most common), the </w:t>
      </w:r>
      <w:r>
        <w:rPr>
          <w:spacing w:val="-3"/>
          <w:w w:val="105"/>
          <w:sz w:val="21"/>
        </w:rPr>
        <w:t>littering </w:t>
      </w:r>
      <w:r>
        <w:rPr>
          <w:w w:val="105"/>
          <w:sz w:val="21"/>
        </w:rPr>
        <w:t>of driveways, open spaces and pools,</w:t>
      </w:r>
      <w:r>
        <w:rPr>
          <w:w w:val="105"/>
          <w:position w:val="7"/>
          <w:sz w:val="12"/>
        </w:rPr>
        <w:t>68 </w:t>
      </w:r>
      <w:r>
        <w:rPr>
          <w:w w:val="105"/>
          <w:sz w:val="21"/>
        </w:rPr>
        <w:t>and led </w:t>
      </w:r>
      <w:r>
        <w:rPr>
          <w:spacing w:val="-3"/>
          <w:w w:val="105"/>
          <w:sz w:val="21"/>
        </w:rPr>
        <w:t>to noise, for example, from </w:t>
      </w:r>
      <w:r>
        <w:rPr>
          <w:w w:val="105"/>
          <w:sz w:val="21"/>
        </w:rPr>
        <w:t>the </w:t>
      </w:r>
      <w:r>
        <w:rPr>
          <w:spacing w:val="-3"/>
          <w:w w:val="105"/>
          <w:sz w:val="21"/>
        </w:rPr>
        <w:t>dropping </w:t>
      </w:r>
      <w:r>
        <w:rPr>
          <w:w w:val="105"/>
          <w:sz w:val="21"/>
        </w:rPr>
        <w:t>of gumnuts or berries </w:t>
      </w:r>
      <w:r>
        <w:rPr>
          <w:spacing w:val="-3"/>
          <w:w w:val="105"/>
          <w:sz w:val="21"/>
        </w:rPr>
        <w:t>onto hard</w:t>
      </w:r>
      <w:r>
        <w:rPr>
          <w:spacing w:val="25"/>
          <w:w w:val="105"/>
          <w:sz w:val="21"/>
        </w:rPr>
        <w:t> </w:t>
      </w:r>
      <w:r>
        <w:rPr>
          <w:w w:val="105"/>
          <w:sz w:val="21"/>
        </w:rPr>
        <w:t>surfaces.</w:t>
      </w:r>
      <w:r>
        <w:rPr>
          <w:w w:val="105"/>
          <w:position w:val="7"/>
          <w:sz w:val="12"/>
        </w:rPr>
        <w:t>69</w:t>
      </w:r>
    </w:p>
    <w:p>
      <w:pPr>
        <w:pStyle w:val="BodyText"/>
        <w:spacing w:before="5"/>
        <w:rPr>
          <w:sz w:val="20"/>
        </w:rPr>
      </w:pPr>
    </w:p>
    <w:p>
      <w:pPr>
        <w:pStyle w:val="Heading5"/>
        <w:spacing w:before="1"/>
      </w:pPr>
      <w:r>
        <w:rPr>
          <w:w w:val="110"/>
        </w:rPr>
        <w:t>Harm to people</w:t>
      </w:r>
    </w:p>
    <w:p>
      <w:pPr>
        <w:pStyle w:val="ListParagraph"/>
        <w:numPr>
          <w:ilvl w:val="1"/>
          <w:numId w:val="16"/>
        </w:numPr>
        <w:tabs>
          <w:tab w:pos="2381" w:val="left" w:leader="none"/>
          <w:tab w:pos="2382" w:val="left" w:leader="none"/>
        </w:tabs>
        <w:spacing w:line="242" w:lineRule="auto" w:before="137" w:after="0"/>
        <w:ind w:left="2381" w:right="1601" w:hanging="794"/>
        <w:jc w:val="left"/>
        <w:rPr>
          <w:sz w:val="21"/>
        </w:rPr>
      </w:pPr>
      <w:r>
        <w:rPr>
          <w:w w:val="105"/>
          <w:sz w:val="21"/>
        </w:rPr>
        <w:t>A </w:t>
      </w:r>
      <w:r>
        <w:rPr>
          <w:spacing w:val="-3"/>
          <w:w w:val="105"/>
          <w:sz w:val="21"/>
        </w:rPr>
        <w:t>smaller </w:t>
      </w:r>
      <w:r>
        <w:rPr>
          <w:w w:val="105"/>
          <w:sz w:val="21"/>
        </w:rPr>
        <w:t>number of people </w:t>
      </w:r>
      <w:r>
        <w:rPr>
          <w:spacing w:val="-3"/>
          <w:w w:val="105"/>
          <w:sz w:val="21"/>
        </w:rPr>
        <w:t>cited harm </w:t>
      </w:r>
      <w:r>
        <w:rPr>
          <w:w w:val="105"/>
          <w:sz w:val="21"/>
        </w:rPr>
        <w:t>(or injury) </w:t>
      </w:r>
      <w:r>
        <w:rPr>
          <w:spacing w:val="-3"/>
          <w:w w:val="105"/>
          <w:sz w:val="21"/>
        </w:rPr>
        <w:t>to </w:t>
      </w:r>
      <w:r>
        <w:rPr>
          <w:w w:val="105"/>
          <w:sz w:val="21"/>
        </w:rPr>
        <w:t>people as a reason </w:t>
      </w:r>
      <w:r>
        <w:rPr>
          <w:spacing w:val="-3"/>
          <w:w w:val="105"/>
          <w:sz w:val="21"/>
        </w:rPr>
        <w:t>for </w:t>
      </w:r>
      <w:r>
        <w:rPr>
          <w:w w:val="105"/>
          <w:sz w:val="21"/>
        </w:rPr>
        <w:t>tree </w:t>
      </w:r>
      <w:r>
        <w:rPr>
          <w:spacing w:val="-3"/>
          <w:w w:val="105"/>
          <w:sz w:val="21"/>
        </w:rPr>
        <w:t>disputes, </w:t>
      </w:r>
      <w:r>
        <w:rPr>
          <w:w w:val="105"/>
          <w:sz w:val="21"/>
        </w:rPr>
        <w:t>particularly due </w:t>
      </w:r>
      <w:r>
        <w:rPr>
          <w:spacing w:val="-3"/>
          <w:w w:val="105"/>
          <w:sz w:val="21"/>
        </w:rPr>
        <w:t>to concerns </w:t>
      </w:r>
      <w:r>
        <w:rPr>
          <w:w w:val="105"/>
          <w:sz w:val="21"/>
        </w:rPr>
        <w:t>about </w:t>
      </w:r>
      <w:r>
        <w:rPr>
          <w:spacing w:val="-3"/>
          <w:w w:val="105"/>
          <w:sz w:val="21"/>
        </w:rPr>
        <w:t>living </w:t>
      </w:r>
      <w:r>
        <w:rPr>
          <w:w w:val="105"/>
          <w:sz w:val="21"/>
        </w:rPr>
        <w:t>near </w:t>
      </w:r>
      <w:r>
        <w:rPr>
          <w:spacing w:val="-3"/>
          <w:w w:val="105"/>
          <w:sz w:val="21"/>
        </w:rPr>
        <w:t>overhanging branches, encroaching </w:t>
      </w:r>
      <w:r>
        <w:rPr>
          <w:w w:val="105"/>
          <w:sz w:val="21"/>
        </w:rPr>
        <w:t>roots and</w:t>
      </w:r>
      <w:r>
        <w:rPr>
          <w:spacing w:val="-6"/>
          <w:w w:val="105"/>
          <w:sz w:val="21"/>
        </w:rPr>
        <w:t> </w:t>
      </w:r>
      <w:r>
        <w:rPr>
          <w:w w:val="105"/>
          <w:sz w:val="21"/>
        </w:rPr>
        <w:t>large</w:t>
      </w:r>
      <w:r>
        <w:rPr>
          <w:spacing w:val="-6"/>
          <w:w w:val="105"/>
          <w:sz w:val="21"/>
        </w:rPr>
        <w:t> </w:t>
      </w:r>
      <w:r>
        <w:rPr>
          <w:spacing w:val="-3"/>
          <w:w w:val="105"/>
          <w:sz w:val="21"/>
        </w:rPr>
        <w:t>trees.</w:t>
      </w:r>
      <w:r>
        <w:rPr>
          <w:spacing w:val="-3"/>
          <w:w w:val="105"/>
          <w:position w:val="7"/>
          <w:sz w:val="12"/>
        </w:rPr>
        <w:t>70</w:t>
      </w:r>
      <w:r>
        <w:rPr>
          <w:spacing w:val="17"/>
          <w:w w:val="105"/>
          <w:position w:val="7"/>
          <w:sz w:val="12"/>
        </w:rPr>
        <w:t> </w:t>
      </w:r>
      <w:r>
        <w:rPr>
          <w:w w:val="105"/>
          <w:sz w:val="21"/>
        </w:rPr>
        <w:t>HVP</w:t>
      </w:r>
      <w:r>
        <w:rPr>
          <w:spacing w:val="-6"/>
          <w:w w:val="105"/>
          <w:sz w:val="21"/>
        </w:rPr>
        <w:t> </w:t>
      </w:r>
      <w:r>
        <w:rPr>
          <w:spacing w:val="-3"/>
          <w:w w:val="105"/>
          <w:sz w:val="21"/>
        </w:rPr>
        <w:t>Plantations</w:t>
      </w:r>
      <w:r>
        <w:rPr>
          <w:spacing w:val="-5"/>
          <w:w w:val="105"/>
          <w:sz w:val="21"/>
        </w:rPr>
        <w:t> </w:t>
      </w:r>
      <w:r>
        <w:rPr>
          <w:w w:val="105"/>
          <w:sz w:val="21"/>
        </w:rPr>
        <w:t>described</w:t>
      </w:r>
      <w:r>
        <w:rPr>
          <w:spacing w:val="-6"/>
          <w:w w:val="105"/>
          <w:sz w:val="21"/>
        </w:rPr>
        <w:t> </w:t>
      </w:r>
      <w:r>
        <w:rPr>
          <w:w w:val="105"/>
          <w:sz w:val="21"/>
        </w:rPr>
        <w:t>these</w:t>
      </w:r>
      <w:r>
        <w:rPr>
          <w:spacing w:val="-6"/>
          <w:w w:val="105"/>
          <w:sz w:val="21"/>
        </w:rPr>
        <w:t> </w:t>
      </w:r>
      <w:r>
        <w:rPr>
          <w:w w:val="105"/>
          <w:sz w:val="21"/>
        </w:rPr>
        <w:t>types</w:t>
      </w:r>
      <w:r>
        <w:rPr>
          <w:spacing w:val="-6"/>
          <w:w w:val="105"/>
          <w:sz w:val="21"/>
        </w:rPr>
        <w:t> </w:t>
      </w:r>
      <w:r>
        <w:rPr>
          <w:w w:val="105"/>
          <w:sz w:val="21"/>
        </w:rPr>
        <w:t>of</w:t>
      </w:r>
      <w:r>
        <w:rPr>
          <w:spacing w:val="-5"/>
          <w:w w:val="105"/>
          <w:sz w:val="21"/>
        </w:rPr>
        <w:t> </w:t>
      </w:r>
      <w:r>
        <w:rPr>
          <w:spacing w:val="-3"/>
          <w:w w:val="105"/>
          <w:sz w:val="21"/>
        </w:rPr>
        <w:t>disputes</w:t>
      </w:r>
      <w:r>
        <w:rPr>
          <w:spacing w:val="-6"/>
          <w:w w:val="105"/>
          <w:sz w:val="21"/>
        </w:rPr>
        <w:t> </w:t>
      </w:r>
      <w:r>
        <w:rPr>
          <w:w w:val="105"/>
          <w:sz w:val="21"/>
        </w:rPr>
        <w:t>as</w:t>
      </w:r>
      <w:r>
        <w:rPr>
          <w:spacing w:val="-6"/>
          <w:w w:val="105"/>
          <w:sz w:val="21"/>
        </w:rPr>
        <w:t> </w:t>
      </w:r>
      <w:r>
        <w:rPr>
          <w:w w:val="105"/>
          <w:sz w:val="21"/>
        </w:rPr>
        <w:t>about</w:t>
      </w:r>
      <w:r>
        <w:rPr>
          <w:spacing w:val="-5"/>
          <w:w w:val="105"/>
          <w:sz w:val="21"/>
        </w:rPr>
        <w:t> </w:t>
      </w:r>
      <w:r>
        <w:rPr>
          <w:spacing w:val="-4"/>
          <w:w w:val="105"/>
          <w:sz w:val="21"/>
        </w:rPr>
        <w:t>‘life</w:t>
      </w:r>
      <w:r>
        <w:rPr>
          <w:spacing w:val="-6"/>
          <w:w w:val="105"/>
          <w:sz w:val="21"/>
        </w:rPr>
        <w:t> </w:t>
      </w:r>
      <w:r>
        <w:rPr>
          <w:w w:val="105"/>
          <w:sz w:val="21"/>
        </w:rPr>
        <w:t>and</w:t>
      </w:r>
      <w:r>
        <w:rPr>
          <w:spacing w:val="-6"/>
          <w:w w:val="105"/>
          <w:sz w:val="21"/>
        </w:rPr>
        <w:t> </w:t>
      </w:r>
      <w:r>
        <w:rPr>
          <w:spacing w:val="-3"/>
          <w:w w:val="105"/>
          <w:sz w:val="21"/>
        </w:rPr>
        <w:t>limb </w:t>
      </w:r>
      <w:r>
        <w:rPr>
          <w:spacing w:val="-5"/>
          <w:w w:val="105"/>
          <w:sz w:val="21"/>
        </w:rPr>
        <w:t>issues’.</w:t>
      </w:r>
      <w:r>
        <w:rPr>
          <w:spacing w:val="-5"/>
          <w:w w:val="105"/>
          <w:position w:val="7"/>
          <w:sz w:val="12"/>
        </w:rPr>
        <w:t>71 </w:t>
      </w:r>
      <w:r>
        <w:rPr>
          <w:w w:val="105"/>
          <w:sz w:val="21"/>
        </w:rPr>
        <w:t>Some specifically expressed </w:t>
      </w:r>
      <w:r>
        <w:rPr>
          <w:spacing w:val="-3"/>
          <w:w w:val="105"/>
          <w:sz w:val="21"/>
        </w:rPr>
        <w:t>concern </w:t>
      </w:r>
      <w:r>
        <w:rPr>
          <w:w w:val="105"/>
          <w:sz w:val="21"/>
        </w:rPr>
        <w:t>about the risk of </w:t>
      </w:r>
      <w:r>
        <w:rPr>
          <w:spacing w:val="-3"/>
          <w:w w:val="105"/>
          <w:sz w:val="21"/>
        </w:rPr>
        <w:t>harm to children</w:t>
      </w:r>
      <w:r>
        <w:rPr>
          <w:spacing w:val="-27"/>
          <w:w w:val="105"/>
          <w:sz w:val="21"/>
        </w:rPr>
        <w:t> </w:t>
      </w:r>
      <w:r>
        <w:rPr>
          <w:spacing w:val="-3"/>
          <w:w w:val="105"/>
          <w:sz w:val="21"/>
        </w:rPr>
        <w:t>playing</w:t>
      </w:r>
    </w:p>
    <w:p>
      <w:pPr>
        <w:pStyle w:val="BodyText"/>
        <w:spacing w:line="242" w:lineRule="auto" w:before="4"/>
        <w:ind w:left="2381" w:right="1636" w:hanging="1"/>
        <w:rPr>
          <w:sz w:val="12"/>
        </w:rPr>
      </w:pPr>
      <w:r>
        <w:rPr>
          <w:w w:val="105"/>
        </w:rPr>
        <w:t>in </w:t>
      </w:r>
      <w:r>
        <w:rPr>
          <w:spacing w:val="-3"/>
          <w:w w:val="105"/>
        </w:rPr>
        <w:t>backyards,</w:t>
      </w:r>
      <w:r>
        <w:rPr>
          <w:spacing w:val="-3"/>
          <w:w w:val="105"/>
          <w:position w:val="7"/>
          <w:sz w:val="12"/>
        </w:rPr>
        <w:t>72 </w:t>
      </w:r>
      <w:r>
        <w:rPr>
          <w:w w:val="105"/>
        </w:rPr>
        <w:t>the </w:t>
      </w:r>
      <w:r>
        <w:rPr>
          <w:spacing w:val="-3"/>
          <w:w w:val="105"/>
        </w:rPr>
        <w:t>triggering </w:t>
      </w:r>
      <w:r>
        <w:rPr>
          <w:w w:val="105"/>
        </w:rPr>
        <w:t>of </w:t>
      </w:r>
      <w:r>
        <w:rPr>
          <w:spacing w:val="-3"/>
          <w:w w:val="105"/>
        </w:rPr>
        <w:t>allergies </w:t>
      </w:r>
      <w:r>
        <w:rPr>
          <w:w w:val="105"/>
        </w:rPr>
        <w:t>due </w:t>
      </w:r>
      <w:r>
        <w:rPr>
          <w:spacing w:val="-3"/>
          <w:w w:val="105"/>
        </w:rPr>
        <w:t>to pollen</w:t>
      </w:r>
      <w:r>
        <w:rPr>
          <w:spacing w:val="-3"/>
          <w:w w:val="105"/>
          <w:position w:val="7"/>
          <w:sz w:val="12"/>
        </w:rPr>
        <w:t>73 </w:t>
      </w:r>
      <w:r>
        <w:rPr>
          <w:w w:val="105"/>
        </w:rPr>
        <w:t>and loss of </w:t>
      </w:r>
      <w:r>
        <w:rPr>
          <w:spacing w:val="-5"/>
          <w:w w:val="105"/>
        </w:rPr>
        <w:t>life.</w:t>
      </w:r>
      <w:r>
        <w:rPr>
          <w:spacing w:val="-5"/>
          <w:w w:val="105"/>
          <w:position w:val="7"/>
          <w:sz w:val="12"/>
        </w:rPr>
        <w:t>74 </w:t>
      </w:r>
      <w:r>
        <w:rPr>
          <w:w w:val="105"/>
        </w:rPr>
        <w:t>The </w:t>
      </w:r>
      <w:r>
        <w:rPr>
          <w:spacing w:val="-3"/>
          <w:w w:val="105"/>
        </w:rPr>
        <w:t>City </w:t>
      </w:r>
      <w:r>
        <w:rPr>
          <w:w w:val="105"/>
        </w:rPr>
        <w:t>of </w:t>
      </w:r>
      <w:r>
        <w:rPr>
          <w:spacing w:val="-3"/>
          <w:w w:val="105"/>
        </w:rPr>
        <w:t>Boroondara </w:t>
      </w:r>
      <w:r>
        <w:rPr>
          <w:w w:val="105"/>
        </w:rPr>
        <w:t>receives </w:t>
      </w:r>
      <w:r>
        <w:rPr>
          <w:spacing w:val="-3"/>
          <w:w w:val="105"/>
        </w:rPr>
        <w:t>approximately </w:t>
      </w:r>
      <w:r>
        <w:rPr>
          <w:w w:val="105"/>
        </w:rPr>
        <w:t>six </w:t>
      </w:r>
      <w:r>
        <w:rPr>
          <w:spacing w:val="-3"/>
          <w:w w:val="105"/>
        </w:rPr>
        <w:t>claims relating to </w:t>
      </w:r>
      <w:r>
        <w:rPr>
          <w:w w:val="105"/>
        </w:rPr>
        <w:t>pollen </w:t>
      </w:r>
      <w:r>
        <w:rPr>
          <w:spacing w:val="-3"/>
          <w:w w:val="105"/>
        </w:rPr>
        <w:t>allergies </w:t>
      </w:r>
      <w:r>
        <w:rPr>
          <w:w w:val="105"/>
        </w:rPr>
        <w:t>each </w:t>
      </w:r>
      <w:r>
        <w:rPr>
          <w:spacing w:val="-6"/>
          <w:w w:val="105"/>
        </w:rPr>
        <w:t>year.</w:t>
      </w:r>
      <w:r>
        <w:rPr>
          <w:spacing w:val="-6"/>
          <w:w w:val="105"/>
          <w:position w:val="7"/>
          <w:sz w:val="12"/>
        </w:rPr>
        <w:t>75</w:t>
      </w:r>
    </w:p>
    <w:p>
      <w:pPr>
        <w:pStyle w:val="ListParagraph"/>
        <w:numPr>
          <w:ilvl w:val="1"/>
          <w:numId w:val="16"/>
        </w:numPr>
        <w:tabs>
          <w:tab w:pos="2381" w:val="left" w:leader="none"/>
          <w:tab w:pos="2382" w:val="left" w:leader="none"/>
        </w:tabs>
        <w:spacing w:line="242" w:lineRule="auto" w:before="123" w:after="0"/>
        <w:ind w:left="2381" w:right="1866" w:hanging="794"/>
        <w:jc w:val="left"/>
        <w:rPr>
          <w:sz w:val="21"/>
        </w:rPr>
      </w:pPr>
      <w:r>
        <w:rPr>
          <w:sz w:val="21"/>
        </w:rPr>
        <w:t>One </w:t>
      </w:r>
      <w:r>
        <w:rPr>
          <w:spacing w:val="-3"/>
          <w:sz w:val="21"/>
        </w:rPr>
        <w:t>submission noted </w:t>
      </w:r>
      <w:r>
        <w:rPr>
          <w:spacing w:val="-6"/>
          <w:sz w:val="21"/>
        </w:rPr>
        <w:t>‘an </w:t>
      </w:r>
      <w:r>
        <w:rPr>
          <w:spacing w:val="-4"/>
          <w:sz w:val="21"/>
        </w:rPr>
        <w:t>insurance </w:t>
      </w:r>
      <w:r>
        <w:rPr>
          <w:spacing w:val="-3"/>
          <w:sz w:val="21"/>
        </w:rPr>
        <w:t>company may </w:t>
      </w:r>
      <w:r>
        <w:rPr>
          <w:sz w:val="21"/>
        </w:rPr>
        <w:t>be able </w:t>
      </w:r>
      <w:r>
        <w:rPr>
          <w:spacing w:val="-3"/>
          <w:sz w:val="21"/>
        </w:rPr>
        <w:t>to </w:t>
      </w:r>
      <w:r>
        <w:rPr>
          <w:sz w:val="21"/>
        </w:rPr>
        <w:t>restore/rebuild a </w:t>
      </w:r>
      <w:r>
        <w:rPr>
          <w:spacing w:val="-3"/>
          <w:sz w:val="21"/>
        </w:rPr>
        <w:t>building </w:t>
      </w:r>
      <w:r>
        <w:rPr>
          <w:sz w:val="21"/>
        </w:rPr>
        <w:t>damaged by a </w:t>
      </w:r>
      <w:r>
        <w:rPr>
          <w:spacing w:val="-3"/>
          <w:sz w:val="21"/>
        </w:rPr>
        <w:t>tree, </w:t>
      </w:r>
      <w:r>
        <w:rPr>
          <w:sz w:val="21"/>
        </w:rPr>
        <w:t>but it </w:t>
      </w:r>
      <w:r>
        <w:rPr>
          <w:spacing w:val="-3"/>
          <w:sz w:val="21"/>
        </w:rPr>
        <w:t>cannot restore </w:t>
      </w:r>
      <w:r>
        <w:rPr>
          <w:sz w:val="21"/>
        </w:rPr>
        <w:t>a </w:t>
      </w:r>
      <w:r>
        <w:rPr>
          <w:spacing w:val="-3"/>
          <w:sz w:val="21"/>
        </w:rPr>
        <w:t>broken </w:t>
      </w:r>
      <w:r>
        <w:rPr>
          <w:sz w:val="21"/>
        </w:rPr>
        <w:t>body or </w:t>
      </w:r>
      <w:r>
        <w:rPr>
          <w:spacing w:val="-3"/>
          <w:sz w:val="21"/>
        </w:rPr>
        <w:t>human</w:t>
      </w:r>
      <w:r>
        <w:rPr>
          <w:spacing w:val="6"/>
          <w:sz w:val="21"/>
        </w:rPr>
        <w:t> </w:t>
      </w:r>
      <w:r>
        <w:rPr>
          <w:spacing w:val="-7"/>
          <w:sz w:val="21"/>
        </w:rPr>
        <w:t>life’.</w:t>
      </w:r>
      <w:r>
        <w:rPr>
          <w:spacing w:val="-7"/>
          <w:position w:val="7"/>
          <w:sz w:val="12"/>
        </w:rPr>
        <w:t>76</w:t>
      </w:r>
    </w:p>
    <w:p>
      <w:pPr>
        <w:pStyle w:val="ListParagraph"/>
        <w:numPr>
          <w:ilvl w:val="1"/>
          <w:numId w:val="16"/>
        </w:numPr>
        <w:tabs>
          <w:tab w:pos="2380" w:val="left" w:leader="none"/>
          <w:tab w:pos="2381" w:val="left" w:leader="none"/>
        </w:tabs>
        <w:spacing w:line="242" w:lineRule="auto" w:before="122" w:after="0"/>
        <w:ind w:left="2381" w:right="1615" w:hanging="794"/>
        <w:jc w:val="left"/>
        <w:rPr>
          <w:sz w:val="21"/>
        </w:rPr>
      </w:pPr>
      <w:r>
        <w:rPr>
          <w:w w:val="105"/>
          <w:sz w:val="21"/>
        </w:rPr>
        <w:t>The</w:t>
      </w:r>
      <w:r>
        <w:rPr>
          <w:spacing w:val="-9"/>
          <w:w w:val="105"/>
          <w:sz w:val="21"/>
        </w:rPr>
        <w:t> </w:t>
      </w:r>
      <w:r>
        <w:rPr>
          <w:spacing w:val="-3"/>
          <w:w w:val="105"/>
          <w:sz w:val="21"/>
        </w:rPr>
        <w:t>City</w:t>
      </w:r>
      <w:r>
        <w:rPr>
          <w:spacing w:val="-8"/>
          <w:w w:val="105"/>
          <w:sz w:val="21"/>
        </w:rPr>
        <w:t> </w:t>
      </w:r>
      <w:r>
        <w:rPr>
          <w:w w:val="105"/>
          <w:sz w:val="21"/>
        </w:rPr>
        <w:t>of</w:t>
      </w:r>
      <w:r>
        <w:rPr>
          <w:spacing w:val="-8"/>
          <w:w w:val="105"/>
          <w:sz w:val="21"/>
        </w:rPr>
        <w:t> </w:t>
      </w:r>
      <w:r>
        <w:rPr>
          <w:spacing w:val="-3"/>
          <w:w w:val="105"/>
          <w:sz w:val="21"/>
        </w:rPr>
        <w:t>Boroondara</w:t>
      </w:r>
      <w:r>
        <w:rPr>
          <w:spacing w:val="-9"/>
          <w:w w:val="105"/>
          <w:sz w:val="21"/>
        </w:rPr>
        <w:t> </w:t>
      </w:r>
      <w:r>
        <w:rPr>
          <w:w w:val="105"/>
          <w:sz w:val="21"/>
        </w:rPr>
        <w:t>advised</w:t>
      </w:r>
      <w:r>
        <w:rPr>
          <w:spacing w:val="-8"/>
          <w:w w:val="105"/>
          <w:sz w:val="21"/>
        </w:rPr>
        <w:t> </w:t>
      </w:r>
      <w:r>
        <w:rPr>
          <w:spacing w:val="-3"/>
          <w:w w:val="105"/>
          <w:sz w:val="21"/>
        </w:rPr>
        <w:t>that</w:t>
      </w:r>
      <w:r>
        <w:rPr>
          <w:spacing w:val="-8"/>
          <w:w w:val="105"/>
          <w:sz w:val="21"/>
        </w:rPr>
        <w:t> </w:t>
      </w:r>
      <w:r>
        <w:rPr>
          <w:w w:val="105"/>
          <w:sz w:val="21"/>
        </w:rPr>
        <w:t>it</w:t>
      </w:r>
      <w:r>
        <w:rPr>
          <w:spacing w:val="-9"/>
          <w:w w:val="105"/>
          <w:sz w:val="21"/>
        </w:rPr>
        <w:t> </w:t>
      </w:r>
      <w:r>
        <w:rPr>
          <w:spacing w:val="-2"/>
          <w:w w:val="105"/>
          <w:sz w:val="21"/>
        </w:rPr>
        <w:t>had</w:t>
      </w:r>
      <w:r>
        <w:rPr>
          <w:spacing w:val="-8"/>
          <w:w w:val="105"/>
          <w:sz w:val="21"/>
        </w:rPr>
        <w:t> </w:t>
      </w:r>
      <w:r>
        <w:rPr>
          <w:w w:val="105"/>
          <w:sz w:val="21"/>
        </w:rPr>
        <w:t>received</w:t>
      </w:r>
      <w:r>
        <w:rPr>
          <w:spacing w:val="-8"/>
          <w:w w:val="105"/>
          <w:sz w:val="21"/>
        </w:rPr>
        <w:t> </w:t>
      </w:r>
      <w:r>
        <w:rPr>
          <w:w w:val="105"/>
          <w:sz w:val="21"/>
        </w:rPr>
        <w:t>reports</w:t>
      </w:r>
      <w:r>
        <w:rPr>
          <w:spacing w:val="-9"/>
          <w:w w:val="105"/>
          <w:sz w:val="21"/>
        </w:rPr>
        <w:t> </w:t>
      </w:r>
      <w:r>
        <w:rPr>
          <w:spacing w:val="-3"/>
          <w:w w:val="105"/>
          <w:sz w:val="21"/>
        </w:rPr>
        <w:t>from</w:t>
      </w:r>
      <w:r>
        <w:rPr>
          <w:spacing w:val="-8"/>
          <w:w w:val="105"/>
          <w:sz w:val="21"/>
        </w:rPr>
        <w:t> </w:t>
      </w:r>
      <w:r>
        <w:rPr>
          <w:w w:val="105"/>
          <w:sz w:val="21"/>
        </w:rPr>
        <w:t>neighbours</w:t>
      </w:r>
      <w:r>
        <w:rPr>
          <w:spacing w:val="-8"/>
          <w:w w:val="105"/>
          <w:sz w:val="21"/>
        </w:rPr>
        <w:t> </w:t>
      </w:r>
      <w:r>
        <w:rPr>
          <w:w w:val="105"/>
          <w:sz w:val="21"/>
        </w:rPr>
        <w:t>experiencing </w:t>
      </w:r>
      <w:r>
        <w:rPr>
          <w:spacing w:val="-3"/>
          <w:w w:val="105"/>
          <w:sz w:val="21"/>
        </w:rPr>
        <w:t>‘psychological</w:t>
      </w:r>
      <w:r>
        <w:rPr>
          <w:spacing w:val="-6"/>
          <w:w w:val="105"/>
          <w:sz w:val="21"/>
        </w:rPr>
        <w:t> </w:t>
      </w:r>
      <w:r>
        <w:rPr>
          <w:w w:val="105"/>
          <w:sz w:val="21"/>
        </w:rPr>
        <w:t>distress’</w:t>
      </w:r>
      <w:r>
        <w:rPr>
          <w:spacing w:val="-6"/>
          <w:w w:val="105"/>
          <w:sz w:val="21"/>
        </w:rPr>
        <w:t> </w:t>
      </w:r>
      <w:r>
        <w:rPr>
          <w:w w:val="105"/>
          <w:sz w:val="21"/>
        </w:rPr>
        <w:t>due</w:t>
      </w:r>
      <w:r>
        <w:rPr>
          <w:spacing w:val="-6"/>
          <w:w w:val="105"/>
          <w:sz w:val="21"/>
        </w:rPr>
        <w:t> </w:t>
      </w:r>
      <w:r>
        <w:rPr>
          <w:spacing w:val="-3"/>
          <w:w w:val="105"/>
          <w:sz w:val="21"/>
        </w:rPr>
        <w:t>to</w:t>
      </w:r>
      <w:r>
        <w:rPr>
          <w:spacing w:val="-5"/>
          <w:w w:val="105"/>
          <w:sz w:val="21"/>
        </w:rPr>
        <w:t> </w:t>
      </w:r>
      <w:r>
        <w:rPr>
          <w:w w:val="105"/>
          <w:sz w:val="21"/>
        </w:rPr>
        <w:t>the</w:t>
      </w:r>
      <w:r>
        <w:rPr>
          <w:spacing w:val="-6"/>
          <w:w w:val="105"/>
          <w:sz w:val="21"/>
        </w:rPr>
        <w:t> </w:t>
      </w:r>
      <w:r>
        <w:rPr>
          <w:spacing w:val="-3"/>
          <w:w w:val="105"/>
          <w:sz w:val="21"/>
        </w:rPr>
        <w:t>fear</w:t>
      </w:r>
      <w:r>
        <w:rPr>
          <w:spacing w:val="-6"/>
          <w:w w:val="105"/>
          <w:sz w:val="21"/>
        </w:rPr>
        <w:t> </w:t>
      </w:r>
      <w:r>
        <w:rPr>
          <w:w w:val="105"/>
          <w:sz w:val="21"/>
        </w:rPr>
        <w:t>and</w:t>
      </w:r>
      <w:r>
        <w:rPr>
          <w:spacing w:val="-5"/>
          <w:w w:val="105"/>
          <w:sz w:val="21"/>
        </w:rPr>
        <w:t> </w:t>
      </w:r>
      <w:r>
        <w:rPr>
          <w:w w:val="105"/>
          <w:sz w:val="21"/>
        </w:rPr>
        <w:t>stress</w:t>
      </w:r>
      <w:r>
        <w:rPr>
          <w:spacing w:val="-6"/>
          <w:w w:val="105"/>
          <w:sz w:val="21"/>
        </w:rPr>
        <w:t> </w:t>
      </w:r>
      <w:r>
        <w:rPr>
          <w:w w:val="105"/>
          <w:sz w:val="21"/>
        </w:rPr>
        <w:t>of</w:t>
      </w:r>
      <w:r>
        <w:rPr>
          <w:spacing w:val="-6"/>
          <w:w w:val="105"/>
          <w:sz w:val="21"/>
        </w:rPr>
        <w:t> </w:t>
      </w:r>
      <w:r>
        <w:rPr>
          <w:spacing w:val="-3"/>
          <w:w w:val="105"/>
          <w:sz w:val="21"/>
        </w:rPr>
        <w:t>living</w:t>
      </w:r>
      <w:r>
        <w:rPr>
          <w:spacing w:val="-5"/>
          <w:w w:val="105"/>
          <w:sz w:val="21"/>
        </w:rPr>
        <w:t> </w:t>
      </w:r>
      <w:r>
        <w:rPr>
          <w:w w:val="105"/>
          <w:sz w:val="21"/>
        </w:rPr>
        <w:t>near</w:t>
      </w:r>
      <w:r>
        <w:rPr>
          <w:spacing w:val="-6"/>
          <w:w w:val="105"/>
          <w:sz w:val="21"/>
        </w:rPr>
        <w:t> </w:t>
      </w:r>
      <w:r>
        <w:rPr>
          <w:w w:val="105"/>
          <w:sz w:val="21"/>
        </w:rPr>
        <w:t>a</w:t>
      </w:r>
      <w:r>
        <w:rPr>
          <w:spacing w:val="-6"/>
          <w:w w:val="105"/>
          <w:sz w:val="21"/>
        </w:rPr>
        <w:t> </w:t>
      </w:r>
      <w:r>
        <w:rPr>
          <w:w w:val="105"/>
          <w:sz w:val="21"/>
        </w:rPr>
        <w:t>tree</w:t>
      </w:r>
      <w:r>
        <w:rPr>
          <w:spacing w:val="-5"/>
          <w:w w:val="105"/>
          <w:sz w:val="21"/>
        </w:rPr>
        <w:t> </w:t>
      </w:r>
      <w:r>
        <w:rPr>
          <w:w w:val="105"/>
          <w:sz w:val="21"/>
        </w:rPr>
        <w:t>they</w:t>
      </w:r>
      <w:r>
        <w:rPr>
          <w:spacing w:val="-6"/>
          <w:w w:val="105"/>
          <w:sz w:val="21"/>
        </w:rPr>
        <w:t> </w:t>
      </w:r>
      <w:r>
        <w:rPr>
          <w:spacing w:val="-3"/>
          <w:w w:val="105"/>
          <w:sz w:val="21"/>
        </w:rPr>
        <w:t>think</w:t>
      </w:r>
      <w:r>
        <w:rPr>
          <w:spacing w:val="-6"/>
          <w:w w:val="105"/>
          <w:sz w:val="21"/>
        </w:rPr>
        <w:t> </w:t>
      </w:r>
      <w:r>
        <w:rPr>
          <w:spacing w:val="-3"/>
          <w:w w:val="105"/>
          <w:sz w:val="21"/>
        </w:rPr>
        <w:t>may</w:t>
      </w:r>
      <w:r>
        <w:rPr>
          <w:spacing w:val="-5"/>
          <w:w w:val="105"/>
          <w:sz w:val="21"/>
        </w:rPr>
        <w:t> </w:t>
      </w:r>
      <w:r>
        <w:rPr>
          <w:w w:val="105"/>
          <w:sz w:val="21"/>
        </w:rPr>
        <w:t>drop or </w:t>
      </w:r>
      <w:r>
        <w:rPr>
          <w:spacing w:val="-4"/>
          <w:w w:val="105"/>
          <w:sz w:val="21"/>
        </w:rPr>
        <w:t>fall.</w:t>
      </w:r>
      <w:r>
        <w:rPr>
          <w:spacing w:val="-4"/>
          <w:w w:val="105"/>
          <w:position w:val="7"/>
          <w:sz w:val="12"/>
        </w:rPr>
        <w:t>77 </w:t>
      </w:r>
      <w:r>
        <w:rPr>
          <w:w w:val="105"/>
          <w:sz w:val="21"/>
        </w:rPr>
        <w:t>A survey respondent reported </w:t>
      </w:r>
      <w:r>
        <w:rPr>
          <w:spacing w:val="-3"/>
          <w:w w:val="105"/>
          <w:sz w:val="21"/>
        </w:rPr>
        <w:t>that </w:t>
      </w:r>
      <w:r>
        <w:rPr>
          <w:w w:val="105"/>
          <w:sz w:val="21"/>
        </w:rPr>
        <w:t>they </w:t>
      </w:r>
      <w:r>
        <w:rPr>
          <w:spacing w:val="-2"/>
          <w:w w:val="105"/>
          <w:sz w:val="21"/>
        </w:rPr>
        <w:t>had </w:t>
      </w:r>
      <w:r>
        <w:rPr>
          <w:w w:val="105"/>
          <w:sz w:val="21"/>
        </w:rPr>
        <w:t>been </w:t>
      </w:r>
      <w:r>
        <w:rPr>
          <w:spacing w:val="-3"/>
          <w:w w:val="105"/>
          <w:sz w:val="21"/>
        </w:rPr>
        <w:t>involved </w:t>
      </w:r>
      <w:r>
        <w:rPr>
          <w:w w:val="105"/>
          <w:sz w:val="21"/>
        </w:rPr>
        <w:t>with tree </w:t>
      </w:r>
      <w:r>
        <w:rPr>
          <w:spacing w:val="-3"/>
          <w:w w:val="105"/>
          <w:sz w:val="21"/>
        </w:rPr>
        <w:t>disputes involving ‘psychological harm’ </w:t>
      </w:r>
      <w:r>
        <w:rPr>
          <w:w w:val="105"/>
          <w:sz w:val="21"/>
        </w:rPr>
        <w:t>caused by the </w:t>
      </w:r>
      <w:r>
        <w:rPr>
          <w:spacing w:val="-4"/>
          <w:w w:val="105"/>
          <w:sz w:val="21"/>
        </w:rPr>
        <w:t>‘assumed </w:t>
      </w:r>
      <w:r>
        <w:rPr>
          <w:w w:val="105"/>
          <w:sz w:val="21"/>
        </w:rPr>
        <w:t>risk of tree</w:t>
      </w:r>
      <w:r>
        <w:rPr>
          <w:spacing w:val="44"/>
          <w:w w:val="105"/>
          <w:sz w:val="21"/>
        </w:rPr>
        <w:t> </w:t>
      </w:r>
      <w:r>
        <w:rPr>
          <w:spacing w:val="-6"/>
          <w:w w:val="105"/>
          <w:sz w:val="21"/>
        </w:rPr>
        <w:t>failure’.</w:t>
      </w:r>
      <w:r>
        <w:rPr>
          <w:spacing w:val="-6"/>
          <w:w w:val="105"/>
          <w:position w:val="7"/>
          <w:sz w:val="12"/>
        </w:rPr>
        <w:t>78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r>
        <w:rPr/>
        <w:pict>
          <v:line style="position:absolute;mso-position-horizontal-relative:page;mso-position-vertical-relative:paragraph;z-index:32;mso-wrap-distance-left:0;mso-wrap-distance-right:0" from="79.370102pt,14.873502pt" to="515.905102pt,14.873502pt" stroked="true" strokeweight="1pt" strokecolor="#c9d2cb">
            <v:stroke dashstyle="solid"/>
            <w10:wrap type="topAndBottom"/>
          </v:line>
        </w:pict>
      </w:r>
    </w:p>
    <w:p>
      <w:pPr>
        <w:pStyle w:val="ListParagraph"/>
        <w:numPr>
          <w:ilvl w:val="0"/>
          <w:numId w:val="18"/>
        </w:numPr>
        <w:tabs>
          <w:tab w:pos="2380" w:val="left" w:leader="none"/>
          <w:tab w:pos="2382" w:val="left" w:leader="none"/>
        </w:tabs>
        <w:spacing w:line="240" w:lineRule="auto" w:before="117" w:after="0"/>
        <w:ind w:left="2381" w:right="0" w:hanging="794"/>
        <w:jc w:val="left"/>
        <w:rPr>
          <w:sz w:val="13"/>
        </w:rPr>
      </w:pPr>
      <w:r>
        <w:rPr>
          <w:w w:val="105"/>
          <w:sz w:val="13"/>
        </w:rPr>
        <w:t>Submissions</w:t>
      </w:r>
      <w:r>
        <w:rPr>
          <w:spacing w:val="4"/>
          <w:w w:val="105"/>
          <w:sz w:val="13"/>
        </w:rPr>
        <w:t> </w:t>
      </w:r>
      <w:r>
        <w:rPr>
          <w:w w:val="105"/>
          <w:sz w:val="13"/>
        </w:rPr>
        <w:t>1</w:t>
      </w:r>
      <w:r>
        <w:rPr>
          <w:spacing w:val="5"/>
          <w:w w:val="105"/>
          <w:sz w:val="13"/>
        </w:rPr>
        <w:t> </w:t>
      </w:r>
      <w:r>
        <w:rPr>
          <w:spacing w:val="2"/>
          <w:w w:val="105"/>
          <w:sz w:val="13"/>
        </w:rPr>
        <w:t>(Ian</w:t>
      </w:r>
      <w:r>
        <w:rPr>
          <w:spacing w:val="5"/>
          <w:w w:val="105"/>
          <w:sz w:val="13"/>
        </w:rPr>
        <w:t> </w:t>
      </w:r>
      <w:r>
        <w:rPr>
          <w:w w:val="105"/>
          <w:sz w:val="13"/>
        </w:rPr>
        <w:t>Collier),</w:t>
      </w:r>
      <w:r>
        <w:rPr>
          <w:spacing w:val="5"/>
          <w:w w:val="105"/>
          <w:sz w:val="13"/>
        </w:rPr>
        <w:t> </w:t>
      </w:r>
      <w:r>
        <w:rPr>
          <w:w w:val="105"/>
          <w:sz w:val="13"/>
        </w:rPr>
        <w:t>22</w:t>
      </w:r>
      <w:r>
        <w:rPr>
          <w:spacing w:val="4"/>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27</w:t>
      </w:r>
      <w:r>
        <w:rPr>
          <w:spacing w:val="5"/>
          <w:w w:val="105"/>
          <w:sz w:val="13"/>
        </w:rPr>
        <w:t> </w:t>
      </w:r>
      <w:r>
        <w:rPr>
          <w:spacing w:val="2"/>
          <w:w w:val="105"/>
          <w:sz w:val="13"/>
        </w:rPr>
        <w:t>(Name</w:t>
      </w:r>
      <w:r>
        <w:rPr>
          <w:spacing w:val="4"/>
          <w:w w:val="105"/>
          <w:sz w:val="13"/>
        </w:rPr>
        <w:t> </w:t>
      </w:r>
      <w:r>
        <w:rPr>
          <w:w w:val="105"/>
          <w:sz w:val="13"/>
        </w:rPr>
        <w:t>withheld),</w:t>
      </w:r>
      <w:r>
        <w:rPr>
          <w:spacing w:val="5"/>
          <w:w w:val="105"/>
          <w:sz w:val="13"/>
        </w:rPr>
        <w:t> </w:t>
      </w:r>
      <w:r>
        <w:rPr>
          <w:w w:val="105"/>
          <w:sz w:val="13"/>
        </w:rPr>
        <w:t>30</w:t>
      </w:r>
      <w:r>
        <w:rPr>
          <w:spacing w:val="5"/>
          <w:w w:val="105"/>
          <w:sz w:val="13"/>
        </w:rPr>
        <w:t> </w:t>
      </w:r>
      <w:r>
        <w:rPr>
          <w:spacing w:val="3"/>
          <w:w w:val="105"/>
          <w:sz w:val="13"/>
        </w:rPr>
        <w:t>(Law</w:t>
      </w:r>
      <w:r>
        <w:rPr>
          <w:spacing w:val="5"/>
          <w:w w:val="105"/>
          <w:sz w:val="13"/>
        </w:rPr>
        <w:t> </w:t>
      </w:r>
      <w:r>
        <w:rPr>
          <w:w w:val="105"/>
          <w:sz w:val="13"/>
        </w:rPr>
        <w:t>Institute</w:t>
      </w:r>
      <w:r>
        <w:rPr>
          <w:spacing w:val="5"/>
          <w:w w:val="105"/>
          <w:sz w:val="13"/>
        </w:rPr>
        <w:t> </w:t>
      </w:r>
      <w:r>
        <w:rPr>
          <w:w w:val="105"/>
          <w:sz w:val="13"/>
        </w:rPr>
        <w:t>of</w:t>
      </w:r>
      <w:r>
        <w:rPr>
          <w:spacing w:val="4"/>
          <w:w w:val="105"/>
          <w:sz w:val="13"/>
        </w:rPr>
        <w:t> </w:t>
      </w:r>
      <w:r>
        <w:rPr>
          <w:spacing w:val="2"/>
          <w:w w:val="105"/>
          <w:sz w:val="13"/>
        </w:rPr>
        <w:t>Victoria);</w:t>
      </w:r>
      <w:r>
        <w:rPr>
          <w:spacing w:val="5"/>
          <w:w w:val="105"/>
          <w:sz w:val="13"/>
        </w:rPr>
        <w:t> </w:t>
      </w:r>
      <w:r>
        <w:rPr>
          <w:w w:val="105"/>
          <w:sz w:val="13"/>
        </w:rPr>
        <w:t>Consultations</w:t>
      </w:r>
      <w:r>
        <w:rPr>
          <w:spacing w:val="5"/>
          <w:w w:val="105"/>
          <w:sz w:val="13"/>
        </w:rPr>
        <w:t> </w:t>
      </w:r>
      <w:r>
        <w:rPr>
          <w:w w:val="105"/>
          <w:sz w:val="13"/>
        </w:rPr>
        <w:t>1</w:t>
      </w:r>
      <w:r>
        <w:rPr>
          <w:spacing w:val="5"/>
          <w:w w:val="105"/>
          <w:sz w:val="13"/>
        </w:rPr>
        <w:t> </w:t>
      </w:r>
      <w:r>
        <w:rPr>
          <w:w w:val="105"/>
          <w:sz w:val="13"/>
        </w:rPr>
        <w:t>(Aldo</w:t>
      </w:r>
      <w:r>
        <w:rPr>
          <w:spacing w:val="4"/>
          <w:w w:val="105"/>
          <w:sz w:val="13"/>
        </w:rPr>
        <w:t> </w:t>
      </w:r>
      <w:r>
        <w:rPr>
          <w:w w:val="105"/>
          <w:sz w:val="13"/>
        </w:rPr>
        <w:t>Taranto),</w:t>
      </w:r>
    </w:p>
    <w:p>
      <w:pPr>
        <w:spacing w:before="1"/>
        <w:ind w:left="2381" w:right="1584" w:firstLine="0"/>
        <w:jc w:val="both"/>
        <w:rPr>
          <w:sz w:val="13"/>
        </w:rPr>
      </w:pPr>
      <w:r>
        <w:rPr>
          <w:w w:val="105"/>
          <w:sz w:val="13"/>
        </w:rPr>
        <w:t>4 (Participants in facilitated discussion at </w:t>
      </w:r>
      <w:r>
        <w:rPr>
          <w:spacing w:val="4"/>
          <w:w w:val="105"/>
          <w:sz w:val="13"/>
        </w:rPr>
        <w:t>VTIO </w:t>
      </w:r>
      <w:r>
        <w:rPr>
          <w:w w:val="105"/>
          <w:sz w:val="13"/>
        </w:rPr>
        <w:t>ArborCamp2018), 9 (Nillumbik Shire Council), 8 (City of Boroondara); In addition, 50.77% of survey respondents reported damage to </w:t>
      </w:r>
      <w:r>
        <w:rPr>
          <w:spacing w:val="2"/>
          <w:w w:val="105"/>
          <w:sz w:val="13"/>
        </w:rPr>
        <w:t>property </w:t>
      </w:r>
      <w:r>
        <w:rPr>
          <w:w w:val="105"/>
          <w:sz w:val="13"/>
        </w:rPr>
        <w:t>as the main issue in their tree dispute: Victorian Law Reform Commission, </w:t>
      </w:r>
      <w:r>
        <w:rPr>
          <w:i/>
          <w:w w:val="105"/>
          <w:sz w:val="13"/>
        </w:rPr>
        <w:t>Neighbourhood </w:t>
      </w:r>
      <w:r>
        <w:rPr>
          <w:i/>
          <w:w w:val="105"/>
          <w:sz w:val="13"/>
        </w:rPr>
        <w:t>Tree Disputes Survey </w:t>
      </w:r>
      <w:r>
        <w:rPr>
          <w:w w:val="105"/>
          <w:sz w:val="13"/>
        </w:rPr>
        <w:t>(2018)</w:t>
      </w:r>
      <w:r>
        <w:rPr>
          <w:i/>
          <w:w w:val="105"/>
          <w:sz w:val="13"/>
        </w:rPr>
        <w:t>. </w:t>
      </w:r>
      <w:r>
        <w:rPr>
          <w:w w:val="105"/>
          <w:sz w:val="13"/>
        </w:rPr>
        <w:t>QCAT also identified that tree disputes over damage to </w:t>
      </w:r>
      <w:r>
        <w:rPr>
          <w:spacing w:val="2"/>
          <w:w w:val="105"/>
          <w:sz w:val="13"/>
        </w:rPr>
        <w:t>property </w:t>
      </w:r>
      <w:r>
        <w:rPr>
          <w:w w:val="105"/>
          <w:sz w:val="13"/>
        </w:rPr>
        <w:t>are the second-most common </w:t>
      </w:r>
      <w:r>
        <w:rPr>
          <w:spacing w:val="2"/>
          <w:w w:val="105"/>
          <w:sz w:val="13"/>
        </w:rPr>
        <w:t>type </w:t>
      </w:r>
      <w:r>
        <w:rPr>
          <w:w w:val="105"/>
          <w:sz w:val="13"/>
        </w:rPr>
        <w:t>of dispute</w:t>
      </w:r>
      <w:r>
        <w:rPr>
          <w:spacing w:val="30"/>
          <w:w w:val="105"/>
          <w:sz w:val="13"/>
        </w:rPr>
        <w:t> </w:t>
      </w:r>
      <w:r>
        <w:rPr>
          <w:w w:val="105"/>
          <w:sz w:val="13"/>
        </w:rPr>
        <w:t>for</w:t>
      </w:r>
      <w:r>
        <w:rPr>
          <w:spacing w:val="5"/>
          <w:w w:val="105"/>
          <w:sz w:val="13"/>
        </w:rPr>
        <w:t> </w:t>
      </w:r>
      <w:r>
        <w:rPr>
          <w:w w:val="105"/>
          <w:sz w:val="13"/>
        </w:rPr>
        <w:t>which</w:t>
      </w:r>
      <w:r>
        <w:rPr>
          <w:spacing w:val="6"/>
          <w:w w:val="105"/>
          <w:sz w:val="13"/>
        </w:rPr>
        <w:t> </w:t>
      </w:r>
      <w:r>
        <w:rPr>
          <w:w w:val="105"/>
          <w:sz w:val="13"/>
        </w:rPr>
        <w:t>people</w:t>
      </w:r>
      <w:r>
        <w:rPr>
          <w:spacing w:val="5"/>
          <w:w w:val="105"/>
          <w:sz w:val="13"/>
        </w:rPr>
        <w:t> </w:t>
      </w:r>
      <w:r>
        <w:rPr>
          <w:w w:val="105"/>
          <w:sz w:val="13"/>
        </w:rPr>
        <w:t>take</w:t>
      </w:r>
      <w:r>
        <w:rPr>
          <w:spacing w:val="6"/>
          <w:w w:val="105"/>
          <w:sz w:val="13"/>
        </w:rPr>
        <w:t> </w:t>
      </w:r>
      <w:r>
        <w:rPr>
          <w:w w:val="105"/>
          <w:sz w:val="13"/>
        </w:rPr>
        <w:t>legal</w:t>
      </w:r>
      <w:r>
        <w:rPr>
          <w:spacing w:val="5"/>
          <w:w w:val="105"/>
          <w:sz w:val="13"/>
        </w:rPr>
        <w:t> </w:t>
      </w:r>
      <w:r>
        <w:rPr>
          <w:w w:val="105"/>
          <w:sz w:val="13"/>
        </w:rPr>
        <w:t>action</w:t>
      </w:r>
      <w:r>
        <w:rPr>
          <w:spacing w:val="6"/>
          <w:w w:val="105"/>
          <w:sz w:val="13"/>
        </w:rPr>
        <w:t> </w:t>
      </w:r>
      <w:r>
        <w:rPr>
          <w:w w:val="105"/>
          <w:sz w:val="13"/>
        </w:rPr>
        <w:t>in</w:t>
      </w:r>
      <w:r>
        <w:rPr>
          <w:spacing w:val="5"/>
          <w:w w:val="105"/>
          <w:sz w:val="13"/>
        </w:rPr>
        <w:t> </w:t>
      </w:r>
      <w:r>
        <w:rPr>
          <w:w w:val="105"/>
          <w:sz w:val="13"/>
        </w:rPr>
        <w:t>QCAT:</w:t>
      </w:r>
      <w:r>
        <w:rPr>
          <w:spacing w:val="6"/>
          <w:w w:val="105"/>
          <w:sz w:val="13"/>
        </w:rPr>
        <w:t> </w:t>
      </w:r>
      <w:r>
        <w:rPr>
          <w:w w:val="105"/>
          <w:sz w:val="13"/>
        </w:rPr>
        <w:t>Consultation</w:t>
      </w:r>
      <w:r>
        <w:rPr>
          <w:spacing w:val="5"/>
          <w:w w:val="105"/>
          <w:sz w:val="13"/>
        </w:rPr>
        <w:t> </w:t>
      </w:r>
      <w:r>
        <w:rPr>
          <w:spacing w:val="-3"/>
          <w:w w:val="105"/>
          <w:sz w:val="13"/>
        </w:rPr>
        <w:t>15</w:t>
      </w:r>
      <w:r>
        <w:rPr>
          <w:spacing w:val="6"/>
          <w:w w:val="105"/>
          <w:sz w:val="13"/>
        </w:rPr>
        <w:t> </w:t>
      </w:r>
      <w:r>
        <w:rPr>
          <w:w w:val="105"/>
          <w:sz w:val="13"/>
        </w:rPr>
        <w:t>(Queensland</w:t>
      </w:r>
      <w:r>
        <w:rPr>
          <w:spacing w:val="5"/>
          <w:w w:val="105"/>
          <w:sz w:val="13"/>
        </w:rPr>
        <w:t> </w:t>
      </w:r>
      <w:r>
        <w:rPr>
          <w:w w:val="105"/>
          <w:sz w:val="13"/>
        </w:rPr>
        <w:t>Civil</w:t>
      </w:r>
      <w:r>
        <w:rPr>
          <w:spacing w:val="6"/>
          <w:w w:val="105"/>
          <w:sz w:val="13"/>
        </w:rPr>
        <w:t> </w:t>
      </w:r>
      <w:r>
        <w:rPr>
          <w:w w:val="105"/>
          <w:sz w:val="13"/>
        </w:rPr>
        <w:t>and</w:t>
      </w:r>
      <w:r>
        <w:rPr>
          <w:spacing w:val="5"/>
          <w:w w:val="105"/>
          <w:sz w:val="13"/>
        </w:rPr>
        <w:t> </w:t>
      </w:r>
      <w:r>
        <w:rPr>
          <w:w w:val="105"/>
          <w:sz w:val="13"/>
        </w:rPr>
        <w:t>Administrative</w:t>
      </w:r>
      <w:r>
        <w:rPr>
          <w:spacing w:val="6"/>
          <w:w w:val="105"/>
          <w:sz w:val="13"/>
        </w:rPr>
        <w:t> </w:t>
      </w:r>
      <w:r>
        <w:rPr>
          <w:w w:val="105"/>
          <w:sz w:val="13"/>
        </w:rPr>
        <w:t>Tribunal).</w:t>
      </w:r>
    </w:p>
    <w:p>
      <w:pPr>
        <w:pStyle w:val="ListParagraph"/>
        <w:numPr>
          <w:ilvl w:val="0"/>
          <w:numId w:val="18"/>
        </w:numPr>
        <w:tabs>
          <w:tab w:pos="2381" w:val="left" w:leader="none"/>
          <w:tab w:pos="2382" w:val="left" w:leader="none"/>
        </w:tabs>
        <w:spacing w:line="240" w:lineRule="auto" w:before="6" w:after="0"/>
        <w:ind w:left="2381" w:right="1730" w:hanging="794"/>
        <w:jc w:val="left"/>
        <w:rPr>
          <w:sz w:val="13"/>
        </w:rPr>
      </w:pPr>
      <w:r>
        <w:rPr>
          <w:w w:val="105"/>
          <w:sz w:val="13"/>
        </w:rPr>
        <w:t>Submissions 1 </w:t>
      </w:r>
      <w:r>
        <w:rPr>
          <w:spacing w:val="2"/>
          <w:w w:val="105"/>
          <w:sz w:val="13"/>
        </w:rPr>
        <w:t>(Ian </w:t>
      </w:r>
      <w:r>
        <w:rPr>
          <w:w w:val="105"/>
          <w:sz w:val="13"/>
        </w:rPr>
        <w:t>Collier), 25 (City of Boorondara), 27 </w:t>
      </w:r>
      <w:r>
        <w:rPr>
          <w:spacing w:val="2"/>
          <w:w w:val="105"/>
          <w:sz w:val="13"/>
        </w:rPr>
        <w:t>(Name </w:t>
      </w:r>
      <w:r>
        <w:rPr>
          <w:w w:val="105"/>
          <w:sz w:val="13"/>
        </w:rPr>
        <w:t>withheld), 36 (Monique </w:t>
      </w:r>
      <w:r>
        <w:rPr>
          <w:spacing w:val="2"/>
          <w:w w:val="105"/>
          <w:sz w:val="13"/>
        </w:rPr>
        <w:t>Onezime); </w:t>
      </w:r>
      <w:r>
        <w:rPr>
          <w:w w:val="105"/>
          <w:sz w:val="13"/>
        </w:rPr>
        <w:t>Consultations 6 </w:t>
      </w:r>
      <w:r>
        <w:rPr>
          <w:spacing w:val="2"/>
          <w:w w:val="105"/>
          <w:sz w:val="13"/>
        </w:rPr>
        <w:t>(Ben </w:t>
      </w:r>
      <w:r>
        <w:rPr>
          <w:w w:val="105"/>
          <w:sz w:val="13"/>
        </w:rPr>
        <w:t>Kenyon), 10 </w:t>
      </w:r>
      <w:r>
        <w:rPr>
          <w:spacing w:val="2"/>
          <w:w w:val="105"/>
          <w:sz w:val="13"/>
        </w:rPr>
        <w:t>(Baw </w:t>
      </w:r>
      <w:r>
        <w:rPr>
          <w:w w:val="105"/>
          <w:sz w:val="13"/>
        </w:rPr>
        <w:t>Baw Shire Council). In addition, 49.23% of survey respondents reported leaf litter as the main issue in their tree dispute: Victorian Law Reform Commission, </w:t>
      </w:r>
      <w:r>
        <w:rPr>
          <w:i/>
          <w:w w:val="105"/>
          <w:sz w:val="13"/>
        </w:rPr>
        <w:t>Neighbourhood Tree Disputes Survey</w:t>
      </w:r>
      <w:r>
        <w:rPr>
          <w:i/>
          <w:spacing w:val="29"/>
          <w:w w:val="105"/>
          <w:sz w:val="13"/>
        </w:rPr>
        <w:t> </w:t>
      </w:r>
      <w:r>
        <w:rPr>
          <w:w w:val="105"/>
          <w:sz w:val="13"/>
        </w:rPr>
        <w:t>(2018).</w:t>
      </w:r>
    </w:p>
    <w:p>
      <w:pPr>
        <w:pStyle w:val="ListParagraph"/>
        <w:numPr>
          <w:ilvl w:val="0"/>
          <w:numId w:val="18"/>
        </w:numPr>
        <w:tabs>
          <w:tab w:pos="2381" w:val="left" w:leader="none"/>
          <w:tab w:pos="2382" w:val="left" w:leader="none"/>
        </w:tabs>
        <w:spacing w:line="240" w:lineRule="auto" w:before="4" w:after="0"/>
        <w:ind w:left="2381" w:right="1801" w:hanging="794"/>
        <w:jc w:val="left"/>
        <w:rPr>
          <w:sz w:val="13"/>
        </w:rPr>
      </w:pPr>
      <w:r>
        <w:rPr>
          <w:w w:val="105"/>
          <w:sz w:val="13"/>
        </w:rPr>
        <w:t>Submissions 1 </w:t>
      </w:r>
      <w:r>
        <w:rPr>
          <w:spacing w:val="2"/>
          <w:w w:val="105"/>
          <w:sz w:val="13"/>
        </w:rPr>
        <w:t>(Ian </w:t>
      </w:r>
      <w:r>
        <w:rPr>
          <w:w w:val="105"/>
          <w:sz w:val="13"/>
        </w:rPr>
        <w:t>Collier), 5 </w:t>
      </w:r>
      <w:r>
        <w:rPr>
          <w:spacing w:val="2"/>
          <w:w w:val="105"/>
          <w:sz w:val="13"/>
        </w:rPr>
        <w:t>(Name </w:t>
      </w:r>
      <w:r>
        <w:rPr>
          <w:w w:val="105"/>
          <w:sz w:val="13"/>
        </w:rPr>
        <w:t>withheld), 28 </w:t>
      </w:r>
      <w:r>
        <w:rPr>
          <w:spacing w:val="3"/>
          <w:w w:val="105"/>
          <w:sz w:val="13"/>
        </w:rPr>
        <w:t>(HVP </w:t>
      </w:r>
      <w:r>
        <w:rPr>
          <w:w w:val="105"/>
          <w:sz w:val="13"/>
        </w:rPr>
        <w:t>Plantations); Consultations 3 </w:t>
      </w:r>
      <w:r>
        <w:rPr>
          <w:spacing w:val="3"/>
          <w:w w:val="105"/>
          <w:sz w:val="13"/>
        </w:rPr>
        <w:t>(HVP </w:t>
      </w:r>
      <w:r>
        <w:rPr>
          <w:w w:val="105"/>
          <w:sz w:val="13"/>
        </w:rPr>
        <w:t>Plantations), 8 (City of Boroondara), 10 </w:t>
      </w:r>
      <w:r>
        <w:rPr>
          <w:spacing w:val="2"/>
          <w:w w:val="105"/>
          <w:sz w:val="13"/>
        </w:rPr>
        <w:t>(Baw </w:t>
      </w:r>
      <w:r>
        <w:rPr>
          <w:w w:val="105"/>
          <w:sz w:val="13"/>
        </w:rPr>
        <w:t>Baw Shire Council); Survey Respondent</w:t>
      </w:r>
      <w:r>
        <w:rPr>
          <w:spacing w:val="23"/>
          <w:w w:val="105"/>
          <w:sz w:val="13"/>
        </w:rPr>
        <w:t> </w:t>
      </w:r>
      <w:r>
        <w:rPr>
          <w:w w:val="105"/>
          <w:sz w:val="13"/>
        </w:rPr>
        <w:t>53.</w:t>
      </w:r>
    </w:p>
    <w:p>
      <w:pPr>
        <w:pStyle w:val="ListParagraph"/>
        <w:numPr>
          <w:ilvl w:val="0"/>
          <w:numId w:val="18"/>
        </w:numPr>
        <w:tabs>
          <w:tab w:pos="2381" w:val="left" w:leader="none"/>
          <w:tab w:pos="2382" w:val="left" w:leader="none"/>
        </w:tabs>
        <w:spacing w:line="240" w:lineRule="auto" w:before="2" w:after="0"/>
        <w:ind w:left="2381" w:right="1795" w:hanging="794"/>
        <w:jc w:val="left"/>
        <w:rPr>
          <w:sz w:val="13"/>
        </w:rPr>
      </w:pPr>
      <w:r>
        <w:rPr>
          <w:w w:val="105"/>
          <w:sz w:val="13"/>
        </w:rPr>
        <w:t>Submissions 30 </w:t>
      </w:r>
      <w:r>
        <w:rPr>
          <w:spacing w:val="3"/>
          <w:w w:val="105"/>
          <w:sz w:val="13"/>
        </w:rPr>
        <w:t>(Law </w:t>
      </w:r>
      <w:r>
        <w:rPr>
          <w:w w:val="105"/>
          <w:sz w:val="13"/>
        </w:rPr>
        <w:t>Institute of </w:t>
      </w:r>
      <w:r>
        <w:rPr>
          <w:spacing w:val="2"/>
          <w:w w:val="105"/>
          <w:sz w:val="13"/>
        </w:rPr>
        <w:t>Victoria), </w:t>
      </w:r>
      <w:r>
        <w:rPr>
          <w:w w:val="105"/>
          <w:sz w:val="13"/>
        </w:rPr>
        <w:t>31 </w:t>
      </w:r>
      <w:r>
        <w:rPr>
          <w:spacing w:val="2"/>
          <w:w w:val="105"/>
          <w:sz w:val="13"/>
        </w:rPr>
        <w:t>(Barwon </w:t>
      </w:r>
      <w:r>
        <w:rPr>
          <w:w w:val="105"/>
          <w:sz w:val="13"/>
        </w:rPr>
        <w:t>Community Legal </w:t>
      </w:r>
      <w:r>
        <w:rPr>
          <w:spacing w:val="2"/>
          <w:w w:val="105"/>
          <w:sz w:val="13"/>
        </w:rPr>
        <w:t>Service); </w:t>
      </w:r>
      <w:r>
        <w:rPr>
          <w:w w:val="105"/>
          <w:sz w:val="13"/>
        </w:rPr>
        <w:t>Consultation 4 (Participants in facilitated discussion at </w:t>
      </w:r>
      <w:r>
        <w:rPr>
          <w:spacing w:val="4"/>
          <w:w w:val="105"/>
          <w:sz w:val="13"/>
        </w:rPr>
        <w:t>VTIO </w:t>
      </w:r>
      <w:r>
        <w:rPr>
          <w:w w:val="105"/>
          <w:sz w:val="13"/>
        </w:rPr>
        <w:t>ArborCamp2018).</w:t>
      </w:r>
    </w:p>
    <w:p>
      <w:pPr>
        <w:pStyle w:val="ListParagraph"/>
        <w:numPr>
          <w:ilvl w:val="0"/>
          <w:numId w:val="18"/>
        </w:numPr>
        <w:tabs>
          <w:tab w:pos="2381" w:val="left" w:leader="none"/>
          <w:tab w:pos="2382" w:val="left" w:leader="none"/>
        </w:tabs>
        <w:spacing w:line="240" w:lineRule="auto" w:before="3" w:after="0"/>
        <w:ind w:left="2381" w:right="0" w:hanging="794"/>
        <w:jc w:val="left"/>
        <w:rPr>
          <w:sz w:val="13"/>
        </w:rPr>
      </w:pPr>
      <w:r>
        <w:rPr>
          <w:w w:val="105"/>
          <w:sz w:val="13"/>
        </w:rPr>
        <w:t>Consultation 8 (City of</w:t>
      </w:r>
      <w:r>
        <w:rPr>
          <w:spacing w:val="18"/>
          <w:w w:val="105"/>
          <w:sz w:val="13"/>
        </w:rPr>
        <w:t> </w:t>
      </w:r>
      <w:r>
        <w:rPr>
          <w:w w:val="105"/>
          <w:sz w:val="13"/>
        </w:rPr>
        <w:t>Boroondara).</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8"/>
        </w:numPr>
        <w:tabs>
          <w:tab w:pos="2381" w:val="left" w:leader="none"/>
          <w:tab w:pos="2382" w:val="left" w:leader="none"/>
        </w:tabs>
        <w:spacing w:line="240" w:lineRule="auto" w:before="2" w:after="0"/>
        <w:ind w:left="2381" w:right="0" w:hanging="794"/>
        <w:jc w:val="left"/>
        <w:rPr>
          <w:sz w:val="13"/>
        </w:rPr>
      </w:pPr>
      <w:r>
        <w:rPr>
          <w:w w:val="105"/>
          <w:sz w:val="13"/>
        </w:rPr>
        <w:t>Consultation 6 </w:t>
      </w:r>
      <w:r>
        <w:rPr>
          <w:spacing w:val="2"/>
          <w:w w:val="105"/>
          <w:sz w:val="13"/>
        </w:rPr>
        <w:t>(Ben</w:t>
      </w:r>
      <w:r>
        <w:rPr>
          <w:spacing w:val="13"/>
          <w:w w:val="105"/>
          <w:sz w:val="13"/>
        </w:rPr>
        <w:t> </w:t>
      </w:r>
      <w:r>
        <w:rPr>
          <w:w w:val="105"/>
          <w:sz w:val="13"/>
        </w:rPr>
        <w:t>Kenyon).</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w w:val="105"/>
          <w:sz w:val="13"/>
        </w:rPr>
        <w:t>Consultations</w:t>
      </w:r>
      <w:r>
        <w:rPr>
          <w:spacing w:val="5"/>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5"/>
          <w:w w:val="105"/>
          <w:sz w:val="13"/>
        </w:rPr>
        <w:t> </w:t>
      </w:r>
      <w:r>
        <w:rPr>
          <w:w w:val="105"/>
          <w:sz w:val="13"/>
        </w:rPr>
        <w:t>at</w:t>
      </w:r>
      <w:r>
        <w:rPr>
          <w:spacing w:val="5"/>
          <w:w w:val="105"/>
          <w:sz w:val="13"/>
        </w:rPr>
        <w:t> </w:t>
      </w:r>
      <w:r>
        <w:rPr>
          <w:spacing w:val="4"/>
          <w:w w:val="105"/>
          <w:sz w:val="13"/>
        </w:rPr>
        <w:t>VTIO</w:t>
      </w:r>
      <w:r>
        <w:rPr>
          <w:spacing w:val="5"/>
          <w:w w:val="105"/>
          <w:sz w:val="13"/>
        </w:rPr>
        <w:t> </w:t>
      </w:r>
      <w:r>
        <w:rPr>
          <w:w w:val="105"/>
          <w:sz w:val="13"/>
        </w:rPr>
        <w:t>ArborCamp2018),</w:t>
      </w:r>
      <w:r>
        <w:rPr>
          <w:spacing w:val="6"/>
          <w:w w:val="105"/>
          <w:sz w:val="13"/>
        </w:rPr>
        <w:t> </w:t>
      </w:r>
      <w:r>
        <w:rPr>
          <w:w w:val="105"/>
          <w:sz w:val="13"/>
        </w:rPr>
        <w:t>8</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w w:val="105"/>
          <w:sz w:val="13"/>
        </w:rPr>
        <w:t>Consultation 4 (Participants in facilitated discussion at </w:t>
      </w:r>
      <w:r>
        <w:rPr>
          <w:spacing w:val="4"/>
          <w:w w:val="105"/>
          <w:sz w:val="13"/>
        </w:rPr>
        <w:t>VTIO</w:t>
      </w:r>
      <w:r>
        <w:rPr>
          <w:spacing w:val="38"/>
          <w:w w:val="105"/>
          <w:sz w:val="13"/>
        </w:rPr>
        <w:t> </w:t>
      </w:r>
      <w:r>
        <w:rPr>
          <w:w w:val="105"/>
          <w:sz w:val="13"/>
        </w:rPr>
        <w:t>ArborCamp2018).</w:t>
      </w:r>
    </w:p>
    <w:p>
      <w:pPr>
        <w:pStyle w:val="ListParagraph"/>
        <w:numPr>
          <w:ilvl w:val="0"/>
          <w:numId w:val="18"/>
        </w:numPr>
        <w:tabs>
          <w:tab w:pos="2381" w:val="left" w:leader="none"/>
          <w:tab w:pos="2382" w:val="left" w:leader="none"/>
        </w:tabs>
        <w:spacing w:line="240" w:lineRule="auto" w:before="2" w:after="0"/>
        <w:ind w:left="2381" w:right="0" w:hanging="794"/>
        <w:jc w:val="left"/>
        <w:rPr>
          <w:sz w:val="13"/>
        </w:rPr>
      </w:pPr>
      <w:r>
        <w:rPr>
          <w:w w:val="105"/>
          <w:sz w:val="13"/>
        </w:rPr>
        <w:t>Submission 1 </w:t>
      </w:r>
      <w:r>
        <w:rPr>
          <w:spacing w:val="2"/>
          <w:w w:val="105"/>
          <w:sz w:val="13"/>
        </w:rPr>
        <w:t>(Ian </w:t>
      </w:r>
      <w:r>
        <w:rPr>
          <w:w w:val="105"/>
          <w:sz w:val="13"/>
        </w:rPr>
        <w:t>Collier); Survey Respondent</w:t>
      </w:r>
      <w:r>
        <w:rPr>
          <w:spacing w:val="25"/>
          <w:w w:val="105"/>
          <w:sz w:val="13"/>
        </w:rPr>
        <w:t> </w:t>
      </w:r>
      <w:r>
        <w:rPr>
          <w:w w:val="105"/>
          <w:sz w:val="13"/>
        </w:rPr>
        <w:t>99.</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1</w:t>
      </w:r>
      <w:r>
        <w:rPr>
          <w:spacing w:val="5"/>
          <w:w w:val="105"/>
          <w:sz w:val="13"/>
        </w:rPr>
        <w:t> </w:t>
      </w:r>
      <w:r>
        <w:rPr>
          <w:spacing w:val="2"/>
          <w:w w:val="105"/>
          <w:sz w:val="13"/>
        </w:rPr>
        <w:t>(Ian</w:t>
      </w:r>
      <w:r>
        <w:rPr>
          <w:spacing w:val="5"/>
          <w:w w:val="105"/>
          <w:sz w:val="13"/>
        </w:rPr>
        <w:t> </w:t>
      </w:r>
      <w:r>
        <w:rPr>
          <w:w w:val="105"/>
          <w:sz w:val="13"/>
        </w:rPr>
        <w:t>Collier),</w:t>
      </w:r>
      <w:r>
        <w:rPr>
          <w:spacing w:val="5"/>
          <w:w w:val="105"/>
          <w:sz w:val="13"/>
        </w:rPr>
        <w:t> </w:t>
      </w:r>
      <w:r>
        <w:rPr>
          <w:w w:val="105"/>
          <w:sz w:val="13"/>
        </w:rPr>
        <w:t>5</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9</w:t>
      </w:r>
      <w:r>
        <w:rPr>
          <w:spacing w:val="5"/>
          <w:w w:val="105"/>
          <w:sz w:val="13"/>
        </w:rPr>
        <w:t> </w:t>
      </w:r>
      <w:r>
        <w:rPr>
          <w:spacing w:val="3"/>
          <w:w w:val="105"/>
          <w:sz w:val="13"/>
        </w:rPr>
        <w:t>(Dr</w:t>
      </w:r>
      <w:r>
        <w:rPr>
          <w:spacing w:val="5"/>
          <w:w w:val="105"/>
          <w:sz w:val="13"/>
        </w:rPr>
        <w:t> </w:t>
      </w:r>
      <w:r>
        <w:rPr>
          <w:w w:val="105"/>
          <w:sz w:val="13"/>
        </w:rPr>
        <w:t>Karen</w:t>
      </w:r>
      <w:r>
        <w:rPr>
          <w:spacing w:val="4"/>
          <w:w w:val="105"/>
          <w:sz w:val="13"/>
        </w:rPr>
        <w:t> </w:t>
      </w:r>
      <w:r>
        <w:rPr>
          <w:w w:val="105"/>
          <w:sz w:val="13"/>
        </w:rPr>
        <w:t>Smith),</w:t>
      </w:r>
      <w:r>
        <w:rPr>
          <w:spacing w:val="5"/>
          <w:w w:val="105"/>
          <w:sz w:val="13"/>
        </w:rPr>
        <w:t> </w:t>
      </w:r>
      <w:r>
        <w:rPr>
          <w:w w:val="105"/>
          <w:sz w:val="13"/>
        </w:rPr>
        <w:t>27</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Consultation</w:t>
      </w:r>
      <w:r>
        <w:rPr>
          <w:spacing w:val="5"/>
          <w:w w:val="105"/>
          <w:sz w:val="13"/>
        </w:rPr>
        <w:t> </w:t>
      </w:r>
      <w:r>
        <w:rPr>
          <w:w w:val="105"/>
          <w:sz w:val="13"/>
        </w:rPr>
        <w:t>6</w:t>
      </w:r>
      <w:r>
        <w:rPr>
          <w:spacing w:val="5"/>
          <w:w w:val="105"/>
          <w:sz w:val="13"/>
        </w:rPr>
        <w:t> </w:t>
      </w:r>
      <w:r>
        <w:rPr>
          <w:spacing w:val="2"/>
          <w:w w:val="105"/>
          <w:sz w:val="13"/>
        </w:rPr>
        <w:t>(Ben</w:t>
      </w:r>
      <w:r>
        <w:rPr>
          <w:spacing w:val="5"/>
          <w:w w:val="105"/>
          <w:sz w:val="13"/>
        </w:rPr>
        <w:t> </w:t>
      </w:r>
      <w:r>
        <w:rPr>
          <w:w w:val="105"/>
          <w:sz w:val="13"/>
        </w:rPr>
        <w:t>Kenyon).</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5"/>
          <w:w w:val="105"/>
          <w:sz w:val="13"/>
        </w:rPr>
        <w:t> </w:t>
      </w:r>
      <w:r>
        <w:rPr>
          <w:w w:val="105"/>
          <w:sz w:val="13"/>
        </w:rPr>
        <w:t>1</w:t>
      </w:r>
      <w:r>
        <w:rPr>
          <w:spacing w:val="5"/>
          <w:w w:val="105"/>
          <w:sz w:val="13"/>
        </w:rPr>
        <w:t> </w:t>
      </w:r>
      <w:r>
        <w:rPr>
          <w:spacing w:val="2"/>
          <w:w w:val="105"/>
          <w:sz w:val="13"/>
        </w:rPr>
        <w:t>(Ian</w:t>
      </w:r>
      <w:r>
        <w:rPr>
          <w:spacing w:val="5"/>
          <w:w w:val="105"/>
          <w:sz w:val="13"/>
        </w:rPr>
        <w:t> </w:t>
      </w:r>
      <w:r>
        <w:rPr>
          <w:w w:val="105"/>
          <w:sz w:val="13"/>
        </w:rPr>
        <w:t>Collier),</w:t>
      </w:r>
      <w:r>
        <w:rPr>
          <w:spacing w:val="6"/>
          <w:w w:val="105"/>
          <w:sz w:val="13"/>
        </w:rPr>
        <w:t> </w:t>
      </w:r>
      <w:r>
        <w:rPr>
          <w:w w:val="105"/>
          <w:sz w:val="13"/>
        </w:rPr>
        <w:t>5</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27</w:t>
      </w:r>
      <w:r>
        <w:rPr>
          <w:spacing w:val="6"/>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36</w:t>
      </w:r>
      <w:r>
        <w:rPr>
          <w:spacing w:val="5"/>
          <w:w w:val="105"/>
          <w:sz w:val="13"/>
        </w:rPr>
        <w:t> </w:t>
      </w:r>
      <w:r>
        <w:rPr>
          <w:w w:val="105"/>
          <w:sz w:val="13"/>
        </w:rPr>
        <w:t>(Monique</w:t>
      </w:r>
      <w:r>
        <w:rPr>
          <w:spacing w:val="6"/>
          <w:w w:val="105"/>
          <w:sz w:val="13"/>
        </w:rPr>
        <w:t> </w:t>
      </w:r>
      <w:r>
        <w:rPr>
          <w:spacing w:val="2"/>
          <w:w w:val="105"/>
          <w:sz w:val="13"/>
        </w:rPr>
        <w:t>Onezime);</w:t>
      </w:r>
      <w:r>
        <w:rPr>
          <w:spacing w:val="5"/>
          <w:w w:val="105"/>
          <w:sz w:val="13"/>
        </w:rPr>
        <w:t> </w:t>
      </w:r>
      <w:r>
        <w:rPr>
          <w:w w:val="105"/>
          <w:sz w:val="13"/>
        </w:rPr>
        <w:t>Consultation</w:t>
      </w:r>
      <w:r>
        <w:rPr>
          <w:spacing w:val="5"/>
          <w:w w:val="105"/>
          <w:sz w:val="13"/>
        </w:rPr>
        <w:t> </w:t>
      </w:r>
      <w:r>
        <w:rPr>
          <w:w w:val="105"/>
          <w:sz w:val="13"/>
        </w:rPr>
        <w:t>9</w:t>
      </w:r>
      <w:r>
        <w:rPr>
          <w:spacing w:val="5"/>
          <w:w w:val="105"/>
          <w:sz w:val="13"/>
        </w:rPr>
        <w:t> </w:t>
      </w:r>
      <w:r>
        <w:rPr>
          <w:w w:val="105"/>
          <w:sz w:val="13"/>
        </w:rPr>
        <w:t>(Nillumbik</w:t>
      </w:r>
      <w:r>
        <w:rPr>
          <w:spacing w:val="6"/>
          <w:w w:val="105"/>
          <w:sz w:val="13"/>
        </w:rPr>
        <w:t> </w:t>
      </w:r>
      <w:r>
        <w:rPr>
          <w:w w:val="105"/>
          <w:sz w:val="13"/>
        </w:rPr>
        <w:t>Shire</w:t>
      </w:r>
      <w:r>
        <w:rPr>
          <w:spacing w:val="5"/>
          <w:w w:val="105"/>
          <w:sz w:val="13"/>
        </w:rPr>
        <w:t> </w:t>
      </w:r>
      <w:r>
        <w:rPr>
          <w:w w:val="105"/>
          <w:sz w:val="13"/>
        </w:rPr>
        <w:t>Council).</w:t>
      </w:r>
    </w:p>
    <w:p>
      <w:pPr>
        <w:pStyle w:val="ListParagraph"/>
        <w:numPr>
          <w:ilvl w:val="0"/>
          <w:numId w:val="18"/>
        </w:numPr>
        <w:tabs>
          <w:tab w:pos="2381" w:val="left" w:leader="none"/>
          <w:tab w:pos="2382" w:val="left" w:leader="none"/>
        </w:tabs>
        <w:spacing w:line="240" w:lineRule="auto" w:before="2" w:after="0"/>
        <w:ind w:left="2381" w:right="0" w:hanging="793"/>
        <w:jc w:val="left"/>
        <w:rPr>
          <w:sz w:val="13"/>
        </w:rPr>
      </w:pPr>
      <w:r>
        <w:rPr>
          <w:w w:val="105"/>
          <w:sz w:val="13"/>
        </w:rPr>
        <w:t>Submission</w:t>
      </w:r>
      <w:r>
        <w:rPr>
          <w:spacing w:val="4"/>
          <w:w w:val="105"/>
          <w:sz w:val="13"/>
        </w:rPr>
        <w:t> </w:t>
      </w:r>
      <w:r>
        <w:rPr>
          <w:w w:val="105"/>
          <w:sz w:val="13"/>
        </w:rPr>
        <w:t>27</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Information</w:t>
      </w:r>
      <w:r>
        <w:rPr>
          <w:spacing w:val="4"/>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a</w:t>
      </w:r>
      <w:r>
        <w:rPr>
          <w:spacing w:val="5"/>
          <w:w w:val="105"/>
          <w:sz w:val="13"/>
        </w:rPr>
        <w:t> </w:t>
      </w:r>
      <w:r>
        <w:rPr>
          <w:w w:val="105"/>
          <w:sz w:val="13"/>
        </w:rPr>
        <w:t>community</w:t>
      </w:r>
      <w:r>
        <w:rPr>
          <w:spacing w:val="4"/>
          <w:w w:val="105"/>
          <w:sz w:val="13"/>
        </w:rPr>
        <w:t> </w:t>
      </w:r>
      <w:r>
        <w:rPr>
          <w:w w:val="105"/>
          <w:sz w:val="13"/>
        </w:rPr>
        <w:t>member</w:t>
      </w:r>
      <w:r>
        <w:rPr>
          <w:spacing w:val="5"/>
          <w:w w:val="105"/>
          <w:sz w:val="13"/>
        </w:rPr>
        <w:t> </w:t>
      </w:r>
      <w:r>
        <w:rPr>
          <w:w w:val="105"/>
          <w:sz w:val="13"/>
        </w:rPr>
        <w:t>to</w:t>
      </w:r>
      <w:r>
        <w:rPr>
          <w:spacing w:val="5"/>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1</w:t>
      </w:r>
      <w:r>
        <w:rPr>
          <w:spacing w:val="4"/>
          <w:w w:val="105"/>
          <w:sz w:val="13"/>
        </w:rPr>
        <w:t> </w:t>
      </w:r>
      <w:r>
        <w:rPr>
          <w:w w:val="105"/>
          <w:sz w:val="13"/>
        </w:rPr>
        <w:t>March</w:t>
      </w:r>
      <w:r>
        <w:rPr>
          <w:spacing w:val="5"/>
          <w:w w:val="105"/>
          <w:sz w:val="13"/>
        </w:rPr>
        <w:t> </w:t>
      </w:r>
      <w:r>
        <w:rPr>
          <w:w w:val="105"/>
          <w:sz w:val="13"/>
        </w:rPr>
        <w:t>2018.</w:t>
      </w:r>
    </w:p>
    <w:p>
      <w:pPr>
        <w:pStyle w:val="ListParagraph"/>
        <w:numPr>
          <w:ilvl w:val="0"/>
          <w:numId w:val="18"/>
        </w:numPr>
        <w:tabs>
          <w:tab w:pos="2381" w:val="left" w:leader="none"/>
          <w:tab w:pos="2382" w:val="left" w:leader="none"/>
        </w:tabs>
        <w:spacing w:line="240" w:lineRule="auto" w:before="1" w:after="0"/>
        <w:ind w:left="2381" w:right="0" w:hanging="793"/>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a</w:t>
      </w:r>
      <w:r>
        <w:rPr>
          <w:spacing w:val="4"/>
          <w:w w:val="105"/>
          <w:sz w:val="13"/>
        </w:rPr>
        <w:t> </w:t>
      </w:r>
      <w:r>
        <w:rPr>
          <w:w w:val="105"/>
          <w:sz w:val="13"/>
        </w:rPr>
        <w:t>community</w:t>
      </w:r>
      <w:r>
        <w:rPr>
          <w:spacing w:val="5"/>
          <w:w w:val="105"/>
          <w:sz w:val="13"/>
        </w:rPr>
        <w:t> </w:t>
      </w:r>
      <w:r>
        <w:rPr>
          <w:w w:val="105"/>
          <w:sz w:val="13"/>
        </w:rPr>
        <w:t>member</w:t>
      </w:r>
      <w:r>
        <w:rPr>
          <w:spacing w:val="5"/>
          <w:w w:val="105"/>
          <w:sz w:val="13"/>
        </w:rPr>
        <w:t> </w:t>
      </w:r>
      <w:r>
        <w:rPr>
          <w:w w:val="105"/>
          <w:sz w:val="13"/>
        </w:rPr>
        <w:t>to</w:t>
      </w:r>
      <w:r>
        <w:rPr>
          <w:spacing w:val="5"/>
          <w:w w:val="105"/>
          <w:sz w:val="13"/>
        </w:rPr>
        <w:t> </w:t>
      </w:r>
      <w:r>
        <w:rPr>
          <w:w w:val="105"/>
          <w:sz w:val="13"/>
        </w:rPr>
        <w:t>the</w:t>
      </w:r>
      <w:r>
        <w:rPr>
          <w:spacing w:val="4"/>
          <w:w w:val="105"/>
          <w:sz w:val="13"/>
        </w:rPr>
        <w:t> </w:t>
      </w:r>
      <w:r>
        <w:rPr>
          <w:w w:val="105"/>
          <w:sz w:val="13"/>
        </w:rPr>
        <w:t>Commission,</w:t>
      </w:r>
      <w:r>
        <w:rPr>
          <w:spacing w:val="5"/>
          <w:w w:val="105"/>
          <w:sz w:val="13"/>
        </w:rPr>
        <w:t> </w:t>
      </w:r>
      <w:r>
        <w:rPr>
          <w:w w:val="105"/>
          <w:sz w:val="13"/>
        </w:rPr>
        <w:t>1</w:t>
      </w:r>
      <w:r>
        <w:rPr>
          <w:spacing w:val="5"/>
          <w:w w:val="105"/>
          <w:sz w:val="13"/>
        </w:rPr>
        <w:t> </w:t>
      </w:r>
      <w:r>
        <w:rPr>
          <w:w w:val="105"/>
          <w:sz w:val="13"/>
        </w:rPr>
        <w:t>March</w:t>
      </w:r>
      <w:r>
        <w:rPr>
          <w:spacing w:val="5"/>
          <w:w w:val="105"/>
          <w:sz w:val="13"/>
        </w:rPr>
        <w:t> </w:t>
      </w:r>
      <w:r>
        <w:rPr>
          <w:w w:val="105"/>
          <w:sz w:val="13"/>
        </w:rPr>
        <w:t>2018;</w:t>
      </w:r>
      <w:r>
        <w:rPr>
          <w:spacing w:val="4"/>
          <w:w w:val="105"/>
          <w:sz w:val="13"/>
        </w:rPr>
        <w:t> </w:t>
      </w:r>
      <w:r>
        <w:rPr>
          <w:w w:val="105"/>
          <w:sz w:val="13"/>
        </w:rPr>
        <w:t>Survey</w:t>
      </w:r>
      <w:r>
        <w:rPr>
          <w:spacing w:val="5"/>
          <w:w w:val="105"/>
          <w:sz w:val="13"/>
        </w:rPr>
        <w:t> </w:t>
      </w:r>
      <w:r>
        <w:rPr>
          <w:w w:val="105"/>
          <w:sz w:val="13"/>
        </w:rPr>
        <w:t>Respondent</w:t>
      </w:r>
      <w:r>
        <w:rPr>
          <w:spacing w:val="5"/>
          <w:w w:val="105"/>
          <w:sz w:val="13"/>
        </w:rPr>
        <w:t> </w:t>
      </w:r>
      <w:r>
        <w:rPr>
          <w:w w:val="105"/>
          <w:sz w:val="13"/>
        </w:rPr>
        <w:t>72.</w:t>
      </w:r>
    </w:p>
    <w:p>
      <w:pPr>
        <w:pStyle w:val="ListParagraph"/>
        <w:numPr>
          <w:ilvl w:val="0"/>
          <w:numId w:val="18"/>
        </w:numPr>
        <w:tabs>
          <w:tab w:pos="2381" w:val="left" w:leader="none"/>
          <w:tab w:pos="2382" w:val="left" w:leader="none"/>
        </w:tabs>
        <w:spacing w:line="240" w:lineRule="auto" w:before="1" w:after="0"/>
        <w:ind w:left="2381" w:right="1631" w:hanging="793"/>
        <w:jc w:val="left"/>
        <w:rPr>
          <w:sz w:val="13"/>
        </w:rPr>
      </w:pPr>
      <w:r>
        <w:rPr>
          <w:w w:val="105"/>
          <w:sz w:val="13"/>
        </w:rPr>
        <w:t>Submissions 5 </w:t>
      </w:r>
      <w:r>
        <w:rPr>
          <w:spacing w:val="2"/>
          <w:w w:val="105"/>
          <w:sz w:val="13"/>
        </w:rPr>
        <w:t>(Name </w:t>
      </w:r>
      <w:r>
        <w:rPr>
          <w:w w:val="105"/>
          <w:sz w:val="13"/>
        </w:rPr>
        <w:t>withheld), 6 </w:t>
      </w:r>
      <w:r>
        <w:rPr>
          <w:spacing w:val="2"/>
          <w:w w:val="105"/>
          <w:sz w:val="13"/>
        </w:rPr>
        <w:t>(Name </w:t>
      </w:r>
      <w:r>
        <w:rPr>
          <w:w w:val="105"/>
          <w:sz w:val="13"/>
        </w:rPr>
        <w:t>withheld), 9 </w:t>
      </w:r>
      <w:r>
        <w:rPr>
          <w:spacing w:val="3"/>
          <w:w w:val="105"/>
          <w:sz w:val="13"/>
        </w:rPr>
        <w:t>(Dr </w:t>
      </w:r>
      <w:r>
        <w:rPr>
          <w:w w:val="105"/>
          <w:sz w:val="13"/>
        </w:rPr>
        <w:t>Karen Smith), </w:t>
      </w:r>
      <w:r>
        <w:rPr>
          <w:spacing w:val="-3"/>
          <w:w w:val="105"/>
          <w:sz w:val="13"/>
        </w:rPr>
        <w:t>19 </w:t>
      </w:r>
      <w:r>
        <w:rPr>
          <w:spacing w:val="2"/>
          <w:w w:val="105"/>
          <w:sz w:val="13"/>
        </w:rPr>
        <w:t>(Name </w:t>
      </w:r>
      <w:r>
        <w:rPr>
          <w:w w:val="105"/>
          <w:sz w:val="13"/>
        </w:rPr>
        <w:t>withheld), 22 </w:t>
      </w:r>
      <w:r>
        <w:rPr>
          <w:spacing w:val="2"/>
          <w:w w:val="105"/>
          <w:sz w:val="13"/>
        </w:rPr>
        <w:t>(Name </w:t>
      </w:r>
      <w:r>
        <w:rPr>
          <w:w w:val="105"/>
          <w:sz w:val="13"/>
        </w:rPr>
        <w:t>withheld), 24 </w:t>
      </w:r>
      <w:r>
        <w:rPr>
          <w:spacing w:val="2"/>
          <w:w w:val="105"/>
          <w:sz w:val="13"/>
        </w:rPr>
        <w:t>(Name </w:t>
      </w:r>
      <w:r>
        <w:rPr>
          <w:w w:val="105"/>
          <w:sz w:val="13"/>
        </w:rPr>
        <w:t>withheld), 36 (Monique</w:t>
      </w:r>
      <w:r>
        <w:rPr>
          <w:spacing w:val="6"/>
          <w:w w:val="105"/>
          <w:sz w:val="13"/>
        </w:rPr>
        <w:t> </w:t>
      </w:r>
      <w:r>
        <w:rPr>
          <w:spacing w:val="2"/>
          <w:w w:val="105"/>
          <w:sz w:val="13"/>
        </w:rPr>
        <w:t>Onezime);</w:t>
      </w:r>
      <w:r>
        <w:rPr>
          <w:spacing w:val="6"/>
          <w:w w:val="105"/>
          <w:sz w:val="13"/>
        </w:rPr>
        <w:t> </w:t>
      </w:r>
      <w:r>
        <w:rPr>
          <w:w w:val="105"/>
          <w:sz w:val="13"/>
        </w:rPr>
        <w:t>Consultations</w:t>
      </w:r>
      <w:r>
        <w:rPr>
          <w:spacing w:val="6"/>
          <w:w w:val="105"/>
          <w:sz w:val="13"/>
        </w:rPr>
        <w:t> </w:t>
      </w:r>
      <w:r>
        <w:rPr>
          <w:w w:val="105"/>
          <w:sz w:val="13"/>
        </w:rPr>
        <w:t>3</w:t>
      </w:r>
      <w:r>
        <w:rPr>
          <w:spacing w:val="6"/>
          <w:w w:val="105"/>
          <w:sz w:val="13"/>
        </w:rPr>
        <w:t> </w:t>
      </w:r>
      <w:r>
        <w:rPr>
          <w:spacing w:val="3"/>
          <w:w w:val="105"/>
          <w:sz w:val="13"/>
        </w:rPr>
        <w:t>(HVP</w:t>
      </w:r>
      <w:r>
        <w:rPr>
          <w:spacing w:val="6"/>
          <w:w w:val="105"/>
          <w:sz w:val="13"/>
        </w:rPr>
        <w:t> </w:t>
      </w:r>
      <w:r>
        <w:rPr>
          <w:w w:val="105"/>
          <w:sz w:val="13"/>
        </w:rPr>
        <w:t>Plantations),</w:t>
      </w:r>
      <w:r>
        <w:rPr>
          <w:spacing w:val="6"/>
          <w:w w:val="105"/>
          <w:sz w:val="13"/>
        </w:rPr>
        <w:t> </w:t>
      </w:r>
      <w:r>
        <w:rPr>
          <w:w w:val="105"/>
          <w:sz w:val="13"/>
        </w:rPr>
        <w:t>6</w:t>
      </w:r>
      <w:r>
        <w:rPr>
          <w:spacing w:val="6"/>
          <w:w w:val="105"/>
          <w:sz w:val="13"/>
        </w:rPr>
        <w:t> </w:t>
      </w:r>
      <w:r>
        <w:rPr>
          <w:spacing w:val="2"/>
          <w:w w:val="105"/>
          <w:sz w:val="13"/>
        </w:rPr>
        <w:t>(Ben</w:t>
      </w:r>
      <w:r>
        <w:rPr>
          <w:spacing w:val="6"/>
          <w:w w:val="105"/>
          <w:sz w:val="13"/>
        </w:rPr>
        <w:t> </w:t>
      </w:r>
      <w:r>
        <w:rPr>
          <w:w w:val="105"/>
          <w:sz w:val="13"/>
        </w:rPr>
        <w:t>Kenyon),</w:t>
      </w:r>
      <w:r>
        <w:rPr>
          <w:spacing w:val="6"/>
          <w:w w:val="105"/>
          <w:sz w:val="13"/>
        </w:rPr>
        <w:t> </w:t>
      </w:r>
      <w:r>
        <w:rPr>
          <w:w w:val="105"/>
          <w:sz w:val="13"/>
        </w:rPr>
        <w:t>9</w:t>
      </w:r>
      <w:r>
        <w:rPr>
          <w:spacing w:val="7"/>
          <w:w w:val="105"/>
          <w:sz w:val="13"/>
        </w:rPr>
        <w:t> </w:t>
      </w:r>
      <w:r>
        <w:rPr>
          <w:w w:val="105"/>
          <w:sz w:val="13"/>
        </w:rPr>
        <w:t>(Nillumbik</w:t>
      </w:r>
      <w:r>
        <w:rPr>
          <w:spacing w:val="6"/>
          <w:w w:val="105"/>
          <w:sz w:val="13"/>
        </w:rPr>
        <w:t> </w:t>
      </w:r>
      <w:r>
        <w:rPr>
          <w:w w:val="105"/>
          <w:sz w:val="13"/>
        </w:rPr>
        <w:t>Shire</w:t>
      </w:r>
      <w:r>
        <w:rPr>
          <w:spacing w:val="6"/>
          <w:w w:val="105"/>
          <w:sz w:val="13"/>
        </w:rPr>
        <w:t> </w:t>
      </w:r>
      <w:r>
        <w:rPr>
          <w:w w:val="105"/>
          <w:sz w:val="13"/>
        </w:rPr>
        <w:t>Council),</w:t>
      </w:r>
      <w:r>
        <w:rPr>
          <w:spacing w:val="6"/>
          <w:w w:val="105"/>
          <w:sz w:val="13"/>
        </w:rPr>
        <w:t> </w:t>
      </w:r>
      <w:r>
        <w:rPr>
          <w:w w:val="105"/>
          <w:sz w:val="13"/>
        </w:rPr>
        <w:t>10</w:t>
      </w:r>
      <w:r>
        <w:rPr>
          <w:spacing w:val="6"/>
          <w:w w:val="105"/>
          <w:sz w:val="13"/>
        </w:rPr>
        <w:t> </w:t>
      </w:r>
      <w:r>
        <w:rPr>
          <w:spacing w:val="2"/>
          <w:w w:val="105"/>
          <w:sz w:val="13"/>
        </w:rPr>
        <w:t>(Baw</w:t>
      </w:r>
      <w:r>
        <w:rPr>
          <w:spacing w:val="6"/>
          <w:w w:val="105"/>
          <w:sz w:val="13"/>
        </w:rPr>
        <w:t> </w:t>
      </w:r>
      <w:r>
        <w:rPr>
          <w:w w:val="105"/>
          <w:sz w:val="13"/>
        </w:rPr>
        <w:t>Baw</w:t>
      </w:r>
      <w:r>
        <w:rPr>
          <w:spacing w:val="6"/>
          <w:w w:val="105"/>
          <w:sz w:val="13"/>
        </w:rPr>
        <w:t> </w:t>
      </w:r>
      <w:r>
        <w:rPr>
          <w:w w:val="105"/>
          <w:sz w:val="13"/>
        </w:rPr>
        <w:t>Shire</w:t>
      </w:r>
      <w:r>
        <w:rPr>
          <w:spacing w:val="6"/>
          <w:w w:val="105"/>
          <w:sz w:val="13"/>
        </w:rPr>
        <w:t> </w:t>
      </w:r>
      <w:r>
        <w:rPr>
          <w:w w:val="105"/>
          <w:sz w:val="13"/>
        </w:rPr>
        <w:t>Council).</w:t>
      </w:r>
    </w:p>
    <w:p>
      <w:pPr>
        <w:pStyle w:val="ListParagraph"/>
        <w:numPr>
          <w:ilvl w:val="0"/>
          <w:numId w:val="18"/>
        </w:numPr>
        <w:tabs>
          <w:tab w:pos="2381" w:val="left" w:leader="none"/>
          <w:tab w:pos="2382" w:val="left" w:leader="none"/>
        </w:tabs>
        <w:spacing w:line="240" w:lineRule="auto" w:before="3" w:after="0"/>
        <w:ind w:left="2381" w:right="0" w:hanging="793"/>
        <w:jc w:val="left"/>
        <w:rPr>
          <w:sz w:val="13"/>
        </w:rPr>
      </w:pPr>
      <w:r>
        <w:rPr>
          <w:w w:val="105"/>
          <w:sz w:val="13"/>
        </w:rPr>
        <w:t>Consultation 3 </w:t>
      </w:r>
      <w:r>
        <w:rPr>
          <w:spacing w:val="3"/>
          <w:w w:val="105"/>
          <w:sz w:val="13"/>
        </w:rPr>
        <w:t>(HVP</w:t>
      </w:r>
      <w:r>
        <w:rPr>
          <w:spacing w:val="13"/>
          <w:w w:val="105"/>
          <w:sz w:val="13"/>
        </w:rPr>
        <w:t> </w:t>
      </w:r>
      <w:r>
        <w:rPr>
          <w:w w:val="105"/>
          <w:sz w:val="13"/>
        </w:rPr>
        <w:t>Plantations).</w:t>
      </w:r>
    </w:p>
    <w:p>
      <w:pPr>
        <w:pStyle w:val="ListParagraph"/>
        <w:numPr>
          <w:ilvl w:val="0"/>
          <w:numId w:val="18"/>
        </w:numPr>
        <w:tabs>
          <w:tab w:pos="2381" w:val="left" w:leader="none"/>
          <w:tab w:pos="2382" w:val="left" w:leader="none"/>
        </w:tabs>
        <w:spacing w:line="240" w:lineRule="auto" w:before="1" w:after="0"/>
        <w:ind w:left="2381" w:right="0" w:hanging="793"/>
        <w:jc w:val="left"/>
        <w:rPr>
          <w:sz w:val="13"/>
        </w:rPr>
      </w:pPr>
      <w:r>
        <w:rPr>
          <w:w w:val="105"/>
          <w:sz w:val="13"/>
        </w:rPr>
        <w:t>Consultations 3 </w:t>
      </w:r>
      <w:r>
        <w:rPr>
          <w:spacing w:val="3"/>
          <w:w w:val="105"/>
          <w:sz w:val="13"/>
        </w:rPr>
        <w:t>(HVP </w:t>
      </w:r>
      <w:r>
        <w:rPr>
          <w:w w:val="105"/>
          <w:sz w:val="13"/>
        </w:rPr>
        <w:t>Plantations), 9 (Nillumbik Shire</w:t>
      </w:r>
      <w:r>
        <w:rPr>
          <w:spacing w:val="29"/>
          <w:w w:val="105"/>
          <w:sz w:val="13"/>
        </w:rPr>
        <w:t> </w:t>
      </w:r>
      <w:r>
        <w:rPr>
          <w:w w:val="105"/>
          <w:sz w:val="13"/>
        </w:rPr>
        <w:t>Council).</w:t>
      </w:r>
    </w:p>
    <w:p>
      <w:pPr>
        <w:pStyle w:val="ListParagraph"/>
        <w:numPr>
          <w:ilvl w:val="0"/>
          <w:numId w:val="18"/>
        </w:numPr>
        <w:tabs>
          <w:tab w:pos="2381" w:val="left" w:leader="none"/>
          <w:tab w:pos="2382" w:val="left" w:leader="none"/>
        </w:tabs>
        <w:spacing w:line="240" w:lineRule="auto" w:before="2" w:after="0"/>
        <w:ind w:left="2381" w:right="0" w:hanging="793"/>
        <w:jc w:val="left"/>
        <w:rPr>
          <w:sz w:val="13"/>
        </w:rPr>
      </w:pPr>
      <w:r>
        <w:rPr>
          <w:w w:val="105"/>
          <w:sz w:val="13"/>
        </w:rPr>
        <w:t>Submission</w:t>
      </w:r>
      <w:r>
        <w:rPr>
          <w:spacing w:val="4"/>
          <w:w w:val="105"/>
          <w:sz w:val="13"/>
        </w:rPr>
        <w:t> </w:t>
      </w:r>
      <w:r>
        <w:rPr>
          <w:w w:val="105"/>
          <w:sz w:val="13"/>
        </w:rPr>
        <w:t>9</w:t>
      </w:r>
      <w:r>
        <w:rPr>
          <w:spacing w:val="5"/>
          <w:w w:val="105"/>
          <w:sz w:val="13"/>
        </w:rPr>
        <w:t> </w:t>
      </w:r>
      <w:r>
        <w:rPr>
          <w:spacing w:val="3"/>
          <w:w w:val="105"/>
          <w:sz w:val="13"/>
        </w:rPr>
        <w:t>(Dr</w:t>
      </w:r>
      <w:r>
        <w:rPr>
          <w:spacing w:val="5"/>
          <w:w w:val="105"/>
          <w:sz w:val="13"/>
        </w:rPr>
        <w:t> </w:t>
      </w:r>
      <w:r>
        <w:rPr>
          <w:w w:val="105"/>
          <w:sz w:val="13"/>
        </w:rPr>
        <w:t>Karen</w:t>
      </w:r>
      <w:r>
        <w:rPr>
          <w:spacing w:val="5"/>
          <w:w w:val="105"/>
          <w:sz w:val="13"/>
        </w:rPr>
        <w:t> </w:t>
      </w:r>
      <w:r>
        <w:rPr>
          <w:w w:val="105"/>
          <w:sz w:val="13"/>
        </w:rPr>
        <w:t>Smith);</w:t>
      </w:r>
      <w:r>
        <w:rPr>
          <w:spacing w:val="5"/>
          <w:w w:val="105"/>
          <w:sz w:val="13"/>
        </w:rPr>
        <w:t> </w:t>
      </w:r>
      <w:r>
        <w:rPr>
          <w:w w:val="105"/>
          <w:sz w:val="13"/>
        </w:rPr>
        <w:t>Consultations</w:t>
      </w:r>
      <w:r>
        <w:rPr>
          <w:spacing w:val="5"/>
          <w:w w:val="105"/>
          <w:sz w:val="13"/>
        </w:rPr>
        <w:t> </w:t>
      </w:r>
      <w:r>
        <w:rPr>
          <w:w w:val="105"/>
          <w:sz w:val="13"/>
        </w:rPr>
        <w:t>6</w:t>
      </w:r>
      <w:r>
        <w:rPr>
          <w:spacing w:val="5"/>
          <w:w w:val="105"/>
          <w:sz w:val="13"/>
        </w:rPr>
        <w:t> </w:t>
      </w:r>
      <w:r>
        <w:rPr>
          <w:spacing w:val="2"/>
          <w:w w:val="105"/>
          <w:sz w:val="13"/>
        </w:rPr>
        <w:t>(Ben</w:t>
      </w:r>
      <w:r>
        <w:rPr>
          <w:spacing w:val="5"/>
          <w:w w:val="105"/>
          <w:sz w:val="13"/>
        </w:rPr>
        <w:t> </w:t>
      </w:r>
      <w:r>
        <w:rPr>
          <w:w w:val="105"/>
          <w:sz w:val="13"/>
        </w:rPr>
        <w:t>Kenyon),</w:t>
      </w:r>
      <w:r>
        <w:rPr>
          <w:spacing w:val="5"/>
          <w:w w:val="105"/>
          <w:sz w:val="13"/>
        </w:rPr>
        <w:t> </w:t>
      </w:r>
      <w:r>
        <w:rPr>
          <w:w w:val="105"/>
          <w:sz w:val="13"/>
        </w:rPr>
        <w:t>8</w:t>
      </w:r>
      <w:r>
        <w:rPr>
          <w:spacing w:val="4"/>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p>
    <w:p>
      <w:pPr>
        <w:pStyle w:val="ListParagraph"/>
        <w:numPr>
          <w:ilvl w:val="0"/>
          <w:numId w:val="18"/>
        </w:numPr>
        <w:tabs>
          <w:tab w:pos="2381" w:val="left" w:leader="none"/>
          <w:tab w:pos="2382" w:val="left" w:leader="none"/>
        </w:tabs>
        <w:spacing w:line="240" w:lineRule="auto" w:before="1" w:after="0"/>
        <w:ind w:left="2381" w:right="0" w:hanging="793"/>
        <w:jc w:val="left"/>
        <w:rPr>
          <w:sz w:val="13"/>
        </w:rPr>
      </w:pPr>
      <w:r>
        <w:rPr>
          <w:w w:val="105"/>
          <w:sz w:val="13"/>
        </w:rPr>
        <w:t>Submissions 24 </w:t>
      </w:r>
      <w:r>
        <w:rPr>
          <w:spacing w:val="2"/>
          <w:w w:val="105"/>
          <w:sz w:val="13"/>
        </w:rPr>
        <w:t>(Name </w:t>
      </w:r>
      <w:r>
        <w:rPr>
          <w:w w:val="105"/>
          <w:sz w:val="13"/>
        </w:rPr>
        <w:t>withheld), 38 </w:t>
      </w:r>
      <w:r>
        <w:rPr>
          <w:spacing w:val="3"/>
          <w:w w:val="105"/>
          <w:sz w:val="13"/>
        </w:rPr>
        <w:t>(L. </w:t>
      </w:r>
      <w:r>
        <w:rPr>
          <w:spacing w:val="2"/>
          <w:w w:val="105"/>
          <w:sz w:val="13"/>
        </w:rPr>
        <w:t>Barry</w:t>
      </w:r>
      <w:r>
        <w:rPr>
          <w:spacing w:val="26"/>
          <w:w w:val="105"/>
          <w:sz w:val="13"/>
        </w:rPr>
        <w:t> </w:t>
      </w:r>
      <w:r>
        <w:rPr>
          <w:w w:val="105"/>
          <w:sz w:val="13"/>
        </w:rPr>
        <w:t>Wollmer).</w:t>
      </w:r>
    </w:p>
    <w:p>
      <w:pPr>
        <w:pStyle w:val="ListParagraph"/>
        <w:numPr>
          <w:ilvl w:val="0"/>
          <w:numId w:val="18"/>
        </w:numPr>
        <w:tabs>
          <w:tab w:pos="2381" w:val="left" w:leader="none"/>
          <w:tab w:pos="2382" w:val="left" w:leader="none"/>
        </w:tabs>
        <w:spacing w:line="240" w:lineRule="auto" w:before="1" w:after="0"/>
        <w:ind w:left="2381" w:right="0" w:hanging="793"/>
        <w:jc w:val="left"/>
        <w:rPr>
          <w:sz w:val="13"/>
        </w:rPr>
      </w:pPr>
      <w:r>
        <w:rPr>
          <w:w w:val="105"/>
          <w:sz w:val="13"/>
        </w:rPr>
        <w:t>Consultation 8 (City of</w:t>
      </w:r>
      <w:r>
        <w:rPr>
          <w:spacing w:val="18"/>
          <w:w w:val="105"/>
          <w:sz w:val="13"/>
        </w:rPr>
        <w:t> </w:t>
      </w:r>
      <w:r>
        <w:rPr>
          <w:w w:val="105"/>
          <w:sz w:val="13"/>
        </w:rPr>
        <w:t>Boroondara).</w:t>
      </w:r>
    </w:p>
    <w:p>
      <w:pPr>
        <w:pStyle w:val="ListParagraph"/>
        <w:numPr>
          <w:ilvl w:val="0"/>
          <w:numId w:val="18"/>
        </w:numPr>
        <w:tabs>
          <w:tab w:pos="2381" w:val="left" w:leader="none"/>
          <w:tab w:pos="2382" w:val="left" w:leader="none"/>
        </w:tabs>
        <w:spacing w:line="240" w:lineRule="auto" w:before="2" w:after="0"/>
        <w:ind w:left="2381" w:right="0" w:hanging="793"/>
        <w:jc w:val="left"/>
        <w:rPr>
          <w:sz w:val="13"/>
        </w:rPr>
      </w:pPr>
      <w:r>
        <w:rPr>
          <w:w w:val="105"/>
          <w:sz w:val="13"/>
        </w:rPr>
        <w:t>Submission 38 </w:t>
      </w:r>
      <w:r>
        <w:rPr>
          <w:spacing w:val="3"/>
          <w:w w:val="105"/>
          <w:sz w:val="13"/>
        </w:rPr>
        <w:t>(L. </w:t>
      </w:r>
      <w:r>
        <w:rPr>
          <w:spacing w:val="2"/>
          <w:w w:val="105"/>
          <w:sz w:val="13"/>
        </w:rPr>
        <w:t>Barry</w:t>
      </w:r>
      <w:r>
        <w:rPr>
          <w:spacing w:val="14"/>
          <w:w w:val="105"/>
          <w:sz w:val="13"/>
        </w:rPr>
        <w:t> </w:t>
      </w:r>
      <w:r>
        <w:rPr>
          <w:w w:val="105"/>
          <w:sz w:val="13"/>
        </w:rPr>
        <w:t>Wollmer).</w:t>
      </w:r>
    </w:p>
    <w:p>
      <w:pPr>
        <w:pStyle w:val="ListParagraph"/>
        <w:numPr>
          <w:ilvl w:val="0"/>
          <w:numId w:val="18"/>
        </w:numPr>
        <w:tabs>
          <w:tab w:pos="2381" w:val="left" w:leader="none"/>
          <w:tab w:pos="2382" w:val="left" w:leader="none"/>
        </w:tabs>
        <w:spacing w:line="240" w:lineRule="auto" w:before="1" w:after="0"/>
        <w:ind w:left="2381" w:right="0" w:hanging="793"/>
        <w:jc w:val="left"/>
        <w:rPr>
          <w:sz w:val="13"/>
        </w:rPr>
      </w:pPr>
      <w:r>
        <w:rPr/>
        <w:pict>
          <v:shape style="position:absolute;margin-left:549.156677pt;margin-top:2.976264pt;width:12.4pt;height:14.25pt;mso-position-horizontal-relative:page;mso-position-vertical-relative:paragraph;z-index:2104" type="#_x0000_t202" filled="false" stroked="false">
            <v:textbox inset="0,0,0,0">
              <w:txbxContent>
                <w:p>
                  <w:pPr>
                    <w:spacing w:line="284" w:lineRule="exact" w:before="0"/>
                    <w:ind w:left="0" w:right="0" w:firstLine="0"/>
                    <w:jc w:val="left"/>
                    <w:rPr>
                      <w:b/>
                      <w:sz w:val="24"/>
                    </w:rPr>
                  </w:pPr>
                  <w:r>
                    <w:rPr>
                      <w:b/>
                      <w:color w:val="658464"/>
                      <w:spacing w:val="-10"/>
                      <w:w w:val="110"/>
                      <w:sz w:val="24"/>
                    </w:rPr>
                    <w:t>13</w:t>
                  </w:r>
                </w:p>
              </w:txbxContent>
            </v:textbox>
            <w10:wrap type="none"/>
          </v:shape>
        </w:pict>
      </w:r>
      <w:r>
        <w:rPr>
          <w:w w:val="105"/>
          <w:sz w:val="13"/>
        </w:rPr>
        <w:t>Consultation 8 (City of</w:t>
      </w:r>
      <w:r>
        <w:rPr>
          <w:spacing w:val="18"/>
          <w:w w:val="105"/>
          <w:sz w:val="13"/>
        </w:rPr>
        <w:t> </w:t>
      </w:r>
      <w:r>
        <w:rPr>
          <w:w w:val="105"/>
          <w:sz w:val="13"/>
        </w:rPr>
        <w:t>Boroondara).</w:t>
      </w:r>
    </w:p>
    <w:p>
      <w:pPr>
        <w:pStyle w:val="ListParagraph"/>
        <w:numPr>
          <w:ilvl w:val="0"/>
          <w:numId w:val="18"/>
        </w:numPr>
        <w:tabs>
          <w:tab w:pos="2381" w:val="left" w:leader="none"/>
          <w:tab w:pos="2382" w:val="left" w:leader="none"/>
        </w:tabs>
        <w:spacing w:line="240" w:lineRule="auto" w:before="1" w:after="0"/>
        <w:ind w:left="2381" w:right="0" w:hanging="793"/>
        <w:jc w:val="left"/>
        <w:rPr>
          <w:sz w:val="13"/>
        </w:rPr>
      </w:pPr>
      <w:r>
        <w:rPr>
          <w:w w:val="105"/>
          <w:sz w:val="13"/>
        </w:rPr>
        <w:t>Survey Respondent</w:t>
      </w:r>
      <w:r>
        <w:rPr>
          <w:spacing w:val="9"/>
          <w:w w:val="105"/>
          <w:sz w:val="13"/>
        </w:rPr>
        <w:t> </w:t>
      </w:r>
      <w:r>
        <w:rPr>
          <w:w w:val="105"/>
          <w:sz w:val="13"/>
        </w:rPr>
        <w:t>108.</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16"/>
        </w:numPr>
        <w:tabs>
          <w:tab w:pos="2381" w:val="left" w:leader="none"/>
          <w:tab w:pos="2382" w:val="left" w:leader="none"/>
        </w:tabs>
        <w:spacing w:line="242" w:lineRule="auto" w:before="92" w:after="0"/>
        <w:ind w:left="2381" w:right="1605" w:hanging="794"/>
        <w:jc w:val="left"/>
        <w:rPr>
          <w:sz w:val="21"/>
        </w:rPr>
      </w:pPr>
      <w:bookmarkStart w:name="_bookmark13" w:id="39"/>
      <w:bookmarkEnd w:id="39"/>
      <w:r>
        <w:rPr/>
      </w:r>
      <w:bookmarkStart w:name="_bookmark13" w:id="40"/>
      <w:bookmarkEnd w:id="40"/>
      <w:r>
        <w:rPr>
          <w:w w:val="105"/>
          <w:sz w:val="21"/>
        </w:rPr>
        <w:t>S</w:t>
      </w:r>
      <w:r>
        <w:rPr>
          <w:w w:val="105"/>
          <w:sz w:val="21"/>
        </w:rPr>
        <w:t>ome people reported </w:t>
      </w:r>
      <w:r>
        <w:rPr>
          <w:spacing w:val="-3"/>
          <w:w w:val="105"/>
          <w:sz w:val="21"/>
        </w:rPr>
        <w:t>that </w:t>
      </w:r>
      <w:r>
        <w:rPr>
          <w:w w:val="105"/>
          <w:sz w:val="21"/>
        </w:rPr>
        <w:t>the mere presence of trees in some </w:t>
      </w:r>
      <w:r>
        <w:rPr>
          <w:spacing w:val="-3"/>
          <w:w w:val="105"/>
          <w:sz w:val="21"/>
        </w:rPr>
        <w:t>circumstances, </w:t>
      </w:r>
      <w:r>
        <w:rPr>
          <w:w w:val="105"/>
          <w:sz w:val="21"/>
        </w:rPr>
        <w:t>without </w:t>
      </w:r>
      <w:r>
        <w:rPr>
          <w:spacing w:val="-3"/>
          <w:w w:val="105"/>
          <w:sz w:val="21"/>
        </w:rPr>
        <w:t>any</w:t>
      </w:r>
      <w:r>
        <w:rPr>
          <w:spacing w:val="-8"/>
          <w:w w:val="105"/>
          <w:sz w:val="21"/>
        </w:rPr>
        <w:t> </w:t>
      </w:r>
      <w:r>
        <w:rPr>
          <w:w w:val="105"/>
          <w:sz w:val="21"/>
        </w:rPr>
        <w:t>actual</w:t>
      </w:r>
      <w:r>
        <w:rPr>
          <w:spacing w:val="-7"/>
          <w:w w:val="105"/>
          <w:sz w:val="21"/>
        </w:rPr>
        <w:t> </w:t>
      </w:r>
      <w:r>
        <w:rPr>
          <w:w w:val="105"/>
          <w:sz w:val="21"/>
        </w:rPr>
        <w:t>or</w:t>
      </w:r>
      <w:r>
        <w:rPr>
          <w:spacing w:val="-8"/>
          <w:w w:val="105"/>
          <w:sz w:val="21"/>
        </w:rPr>
        <w:t> </w:t>
      </w:r>
      <w:r>
        <w:rPr>
          <w:w w:val="105"/>
          <w:sz w:val="21"/>
        </w:rPr>
        <w:t>tangible</w:t>
      </w:r>
      <w:r>
        <w:rPr>
          <w:spacing w:val="-7"/>
          <w:w w:val="105"/>
          <w:sz w:val="21"/>
        </w:rPr>
        <w:t> </w:t>
      </w:r>
      <w:r>
        <w:rPr>
          <w:w w:val="105"/>
          <w:sz w:val="21"/>
        </w:rPr>
        <w:t>adverse</w:t>
      </w:r>
      <w:r>
        <w:rPr>
          <w:spacing w:val="-8"/>
          <w:w w:val="105"/>
          <w:sz w:val="21"/>
        </w:rPr>
        <w:t> </w:t>
      </w:r>
      <w:r>
        <w:rPr>
          <w:spacing w:val="-3"/>
          <w:w w:val="105"/>
          <w:sz w:val="21"/>
        </w:rPr>
        <w:t>consequence,</w:t>
      </w:r>
      <w:r>
        <w:rPr>
          <w:spacing w:val="-7"/>
          <w:w w:val="105"/>
          <w:sz w:val="21"/>
        </w:rPr>
        <w:t> </w:t>
      </w:r>
      <w:r>
        <w:rPr>
          <w:w w:val="105"/>
          <w:sz w:val="21"/>
        </w:rPr>
        <w:t>was</w:t>
      </w:r>
      <w:r>
        <w:rPr>
          <w:spacing w:val="-7"/>
          <w:w w:val="105"/>
          <w:sz w:val="21"/>
        </w:rPr>
        <w:t> </w:t>
      </w:r>
      <w:r>
        <w:rPr>
          <w:w w:val="105"/>
          <w:sz w:val="21"/>
        </w:rPr>
        <w:t>the</w:t>
      </w:r>
      <w:r>
        <w:rPr>
          <w:spacing w:val="-8"/>
          <w:w w:val="105"/>
          <w:sz w:val="21"/>
        </w:rPr>
        <w:t> </w:t>
      </w:r>
      <w:r>
        <w:rPr>
          <w:w w:val="105"/>
          <w:sz w:val="21"/>
        </w:rPr>
        <w:t>cause</w:t>
      </w:r>
      <w:r>
        <w:rPr>
          <w:spacing w:val="-7"/>
          <w:w w:val="105"/>
          <w:sz w:val="21"/>
        </w:rPr>
        <w:t> </w:t>
      </w:r>
      <w:r>
        <w:rPr>
          <w:w w:val="105"/>
          <w:sz w:val="21"/>
        </w:rPr>
        <w:t>of</w:t>
      </w:r>
      <w:r>
        <w:rPr>
          <w:spacing w:val="-8"/>
          <w:w w:val="105"/>
          <w:sz w:val="21"/>
        </w:rPr>
        <w:t> </w:t>
      </w:r>
      <w:r>
        <w:rPr>
          <w:w w:val="105"/>
          <w:sz w:val="21"/>
        </w:rPr>
        <w:t>their</w:t>
      </w:r>
      <w:r>
        <w:rPr>
          <w:spacing w:val="-7"/>
          <w:w w:val="105"/>
          <w:sz w:val="21"/>
        </w:rPr>
        <w:t> </w:t>
      </w:r>
      <w:r>
        <w:rPr>
          <w:spacing w:val="-4"/>
          <w:w w:val="105"/>
          <w:sz w:val="21"/>
        </w:rPr>
        <w:t>dispute.</w:t>
      </w:r>
      <w:r>
        <w:rPr>
          <w:spacing w:val="-4"/>
          <w:w w:val="105"/>
          <w:position w:val="7"/>
          <w:sz w:val="12"/>
        </w:rPr>
        <w:t>79</w:t>
      </w:r>
      <w:r>
        <w:rPr>
          <w:spacing w:val="-3"/>
          <w:w w:val="105"/>
          <w:position w:val="7"/>
          <w:sz w:val="12"/>
        </w:rPr>
        <w:t> </w:t>
      </w:r>
      <w:r>
        <w:rPr>
          <w:w w:val="105"/>
          <w:sz w:val="21"/>
        </w:rPr>
        <w:t>For</w:t>
      </w:r>
      <w:r>
        <w:rPr>
          <w:spacing w:val="-8"/>
          <w:w w:val="105"/>
          <w:sz w:val="21"/>
        </w:rPr>
        <w:t> </w:t>
      </w:r>
      <w:r>
        <w:rPr>
          <w:spacing w:val="-3"/>
          <w:w w:val="105"/>
          <w:sz w:val="21"/>
        </w:rPr>
        <w:t>example, </w:t>
      </w:r>
      <w:r>
        <w:rPr>
          <w:w w:val="105"/>
          <w:sz w:val="21"/>
        </w:rPr>
        <w:t>the presence of large trees</w:t>
      </w:r>
      <w:r>
        <w:rPr>
          <w:w w:val="105"/>
          <w:position w:val="7"/>
          <w:sz w:val="12"/>
        </w:rPr>
        <w:t>80 </w:t>
      </w:r>
      <w:r>
        <w:rPr>
          <w:spacing w:val="-3"/>
          <w:w w:val="105"/>
          <w:sz w:val="21"/>
        </w:rPr>
        <w:t>resulted </w:t>
      </w:r>
      <w:r>
        <w:rPr>
          <w:w w:val="105"/>
          <w:sz w:val="21"/>
        </w:rPr>
        <w:t>in </w:t>
      </w:r>
      <w:r>
        <w:rPr>
          <w:spacing w:val="-3"/>
          <w:w w:val="105"/>
          <w:sz w:val="21"/>
        </w:rPr>
        <w:t>heightened fear </w:t>
      </w:r>
      <w:r>
        <w:rPr>
          <w:w w:val="105"/>
          <w:sz w:val="21"/>
        </w:rPr>
        <w:t>or </w:t>
      </w:r>
      <w:r>
        <w:rPr>
          <w:spacing w:val="-3"/>
          <w:w w:val="105"/>
          <w:sz w:val="21"/>
        </w:rPr>
        <w:t>anticipation </w:t>
      </w:r>
      <w:r>
        <w:rPr>
          <w:w w:val="105"/>
          <w:sz w:val="21"/>
        </w:rPr>
        <w:t>of </w:t>
      </w:r>
      <w:r>
        <w:rPr>
          <w:spacing w:val="-4"/>
          <w:w w:val="105"/>
          <w:sz w:val="21"/>
        </w:rPr>
        <w:t>falling </w:t>
      </w:r>
      <w:r>
        <w:rPr>
          <w:w w:val="105"/>
          <w:sz w:val="21"/>
        </w:rPr>
        <w:t>trees or branches,</w:t>
      </w:r>
      <w:r>
        <w:rPr>
          <w:w w:val="105"/>
          <w:position w:val="7"/>
          <w:sz w:val="12"/>
        </w:rPr>
        <w:t>81 </w:t>
      </w:r>
      <w:r>
        <w:rPr>
          <w:w w:val="105"/>
          <w:sz w:val="21"/>
        </w:rPr>
        <w:t>especially in windy conditions.</w:t>
      </w:r>
      <w:r>
        <w:rPr>
          <w:w w:val="105"/>
          <w:position w:val="7"/>
          <w:sz w:val="12"/>
        </w:rPr>
        <w:t>82 </w:t>
      </w:r>
      <w:r>
        <w:rPr>
          <w:w w:val="105"/>
          <w:sz w:val="21"/>
        </w:rPr>
        <w:t>Neighbours described </w:t>
      </w:r>
      <w:r>
        <w:rPr>
          <w:spacing w:val="-3"/>
          <w:w w:val="105"/>
          <w:sz w:val="21"/>
        </w:rPr>
        <w:t>concerns </w:t>
      </w:r>
      <w:r>
        <w:rPr>
          <w:w w:val="105"/>
          <w:sz w:val="21"/>
        </w:rPr>
        <w:t>about </w:t>
      </w:r>
      <w:r>
        <w:rPr>
          <w:spacing w:val="-3"/>
          <w:w w:val="105"/>
          <w:sz w:val="21"/>
        </w:rPr>
        <w:t>living </w:t>
      </w:r>
      <w:r>
        <w:rPr>
          <w:w w:val="105"/>
          <w:sz w:val="21"/>
        </w:rPr>
        <w:t>near trees </w:t>
      </w:r>
      <w:r>
        <w:rPr>
          <w:spacing w:val="-3"/>
          <w:w w:val="105"/>
          <w:sz w:val="21"/>
        </w:rPr>
        <w:t>that were </w:t>
      </w:r>
      <w:r>
        <w:rPr>
          <w:spacing w:val="-6"/>
          <w:w w:val="105"/>
          <w:sz w:val="21"/>
        </w:rPr>
        <w:t>16 </w:t>
      </w:r>
      <w:r>
        <w:rPr>
          <w:w w:val="105"/>
          <w:sz w:val="21"/>
        </w:rPr>
        <w:t>metres </w:t>
      </w:r>
      <w:r>
        <w:rPr>
          <w:spacing w:val="-3"/>
          <w:w w:val="105"/>
          <w:sz w:val="21"/>
        </w:rPr>
        <w:t>to </w:t>
      </w:r>
      <w:r>
        <w:rPr>
          <w:w w:val="105"/>
          <w:sz w:val="21"/>
        </w:rPr>
        <w:t>50 metres high.</w:t>
      </w:r>
      <w:r>
        <w:rPr>
          <w:w w:val="105"/>
          <w:position w:val="7"/>
          <w:sz w:val="12"/>
        </w:rPr>
        <w:t>83 </w:t>
      </w:r>
      <w:r>
        <w:rPr>
          <w:w w:val="105"/>
          <w:sz w:val="21"/>
        </w:rPr>
        <w:t>One affected </w:t>
      </w:r>
      <w:r>
        <w:rPr>
          <w:spacing w:val="-3"/>
          <w:w w:val="105"/>
          <w:sz w:val="21"/>
        </w:rPr>
        <w:t>neighbour </w:t>
      </w:r>
      <w:r>
        <w:rPr>
          <w:w w:val="105"/>
          <w:sz w:val="21"/>
        </w:rPr>
        <w:t>stated,</w:t>
      </w:r>
      <w:r>
        <w:rPr>
          <w:spacing w:val="-19"/>
          <w:w w:val="105"/>
          <w:sz w:val="21"/>
        </w:rPr>
        <w:t> </w:t>
      </w:r>
      <w:r>
        <w:rPr>
          <w:w w:val="105"/>
          <w:sz w:val="21"/>
        </w:rPr>
        <w:t>‘The</w:t>
      </w:r>
    </w:p>
    <w:p>
      <w:pPr>
        <w:pStyle w:val="BodyText"/>
        <w:spacing w:line="242" w:lineRule="auto" w:before="5"/>
        <w:ind w:left="2381" w:right="1459"/>
      </w:pPr>
      <w:r>
        <w:rPr>
          <w:w w:val="105"/>
        </w:rPr>
        <w:t>tree </w:t>
      </w:r>
      <w:r>
        <w:rPr>
          <w:spacing w:val="-3"/>
          <w:w w:val="105"/>
        </w:rPr>
        <w:t>that really frightens </w:t>
      </w:r>
      <w:r>
        <w:rPr>
          <w:w w:val="105"/>
        </w:rPr>
        <w:t>me is a big 40 meter </w:t>
      </w:r>
      <w:r>
        <w:rPr>
          <w:spacing w:val="-3"/>
          <w:w w:val="105"/>
        </w:rPr>
        <w:t>single </w:t>
      </w:r>
      <w:r>
        <w:rPr>
          <w:w w:val="105"/>
        </w:rPr>
        <w:t>tree ‘trunk’ which </w:t>
      </w:r>
      <w:r>
        <w:rPr>
          <w:spacing w:val="-3"/>
          <w:w w:val="105"/>
        </w:rPr>
        <w:t>doesn’t have </w:t>
      </w:r>
      <w:r>
        <w:rPr>
          <w:spacing w:val="-2"/>
          <w:w w:val="105"/>
        </w:rPr>
        <w:t>boughs </w:t>
      </w:r>
      <w:r>
        <w:rPr>
          <w:w w:val="105"/>
        </w:rPr>
        <w:t>and is </w:t>
      </w:r>
      <w:r>
        <w:rPr>
          <w:spacing w:val="-3"/>
          <w:w w:val="105"/>
        </w:rPr>
        <w:t>entirely inside </w:t>
      </w:r>
      <w:r>
        <w:rPr>
          <w:w w:val="105"/>
        </w:rPr>
        <w:t>[the tree owner’s] boundary but </w:t>
      </w:r>
      <w:r>
        <w:rPr>
          <w:spacing w:val="-3"/>
          <w:w w:val="105"/>
        </w:rPr>
        <w:t>leaning towards </w:t>
      </w:r>
      <w:r>
        <w:rPr>
          <w:w w:val="105"/>
        </w:rPr>
        <w:t>my </w:t>
      </w:r>
      <w:r>
        <w:rPr>
          <w:spacing w:val="-3"/>
          <w:w w:val="105"/>
        </w:rPr>
        <w:t>house. </w:t>
      </w:r>
      <w:r>
        <w:rPr>
          <w:w w:val="105"/>
        </w:rPr>
        <w:t>I feel very nervous seeing it </w:t>
      </w:r>
      <w:r>
        <w:rPr>
          <w:spacing w:val="-3"/>
          <w:w w:val="105"/>
        </w:rPr>
        <w:t>bending around </w:t>
      </w:r>
      <w:r>
        <w:rPr>
          <w:w w:val="105"/>
        </w:rPr>
        <w:t>in strong </w:t>
      </w:r>
      <w:r>
        <w:rPr>
          <w:spacing w:val="-4"/>
          <w:w w:val="105"/>
        </w:rPr>
        <w:t>winds’.</w:t>
      </w:r>
      <w:r>
        <w:rPr>
          <w:spacing w:val="-4"/>
          <w:w w:val="105"/>
          <w:position w:val="7"/>
          <w:sz w:val="12"/>
        </w:rPr>
        <w:t>84 </w:t>
      </w:r>
      <w:r>
        <w:rPr>
          <w:w w:val="105"/>
        </w:rPr>
        <w:t>Another community member </w:t>
      </w:r>
      <w:r>
        <w:rPr>
          <w:spacing w:val="-3"/>
          <w:w w:val="105"/>
        </w:rPr>
        <w:t>noted,</w:t>
      </w:r>
    </w:p>
    <w:p>
      <w:pPr>
        <w:pStyle w:val="BodyText"/>
        <w:spacing w:line="242" w:lineRule="auto" w:before="3"/>
        <w:ind w:left="2381" w:right="1315"/>
        <w:rPr>
          <w:sz w:val="12"/>
        </w:rPr>
      </w:pPr>
      <w:r>
        <w:rPr>
          <w:w w:val="105"/>
        </w:rPr>
        <w:t>‘I </w:t>
      </w:r>
      <w:r>
        <w:rPr>
          <w:spacing w:val="-3"/>
          <w:w w:val="105"/>
        </w:rPr>
        <w:t>consider that </w:t>
      </w:r>
      <w:r>
        <w:rPr>
          <w:w w:val="105"/>
        </w:rPr>
        <w:t>I am in danger of a huge tree or part </w:t>
      </w:r>
      <w:r>
        <w:rPr>
          <w:spacing w:val="-4"/>
          <w:w w:val="105"/>
        </w:rPr>
        <w:t>thereof, failing </w:t>
      </w:r>
      <w:r>
        <w:rPr>
          <w:w w:val="105"/>
        </w:rPr>
        <w:t>on my house and seriously </w:t>
      </w:r>
      <w:r>
        <w:rPr>
          <w:spacing w:val="-3"/>
          <w:w w:val="105"/>
        </w:rPr>
        <w:t>injuring, maiming </w:t>
      </w:r>
      <w:r>
        <w:rPr>
          <w:w w:val="105"/>
        </w:rPr>
        <w:t>or </w:t>
      </w:r>
      <w:r>
        <w:rPr>
          <w:spacing w:val="-3"/>
          <w:w w:val="105"/>
        </w:rPr>
        <w:t>killing </w:t>
      </w:r>
      <w:r>
        <w:rPr>
          <w:w w:val="105"/>
        </w:rPr>
        <w:t>someone on my property’.</w:t>
      </w:r>
      <w:r>
        <w:rPr>
          <w:w w:val="105"/>
          <w:position w:val="7"/>
          <w:sz w:val="12"/>
        </w:rPr>
        <w:t>85 </w:t>
      </w:r>
      <w:r>
        <w:rPr>
          <w:w w:val="105"/>
        </w:rPr>
        <w:t>Large dead trees </w:t>
      </w:r>
      <w:r>
        <w:rPr>
          <w:spacing w:val="-3"/>
          <w:w w:val="105"/>
        </w:rPr>
        <w:t>were </w:t>
      </w:r>
      <w:r>
        <w:rPr>
          <w:w w:val="105"/>
        </w:rPr>
        <w:t>also described as </w:t>
      </w:r>
      <w:r>
        <w:rPr>
          <w:spacing w:val="-3"/>
          <w:w w:val="105"/>
        </w:rPr>
        <w:t>posing </w:t>
      </w:r>
      <w:r>
        <w:rPr>
          <w:w w:val="105"/>
        </w:rPr>
        <w:t>a </w:t>
      </w:r>
      <w:r>
        <w:rPr>
          <w:spacing w:val="-3"/>
          <w:w w:val="105"/>
        </w:rPr>
        <w:t>greater </w:t>
      </w:r>
      <w:r>
        <w:rPr>
          <w:w w:val="105"/>
        </w:rPr>
        <w:t>risk of </w:t>
      </w:r>
      <w:r>
        <w:rPr>
          <w:spacing w:val="-3"/>
          <w:w w:val="105"/>
        </w:rPr>
        <w:t>eventually falling.</w:t>
      </w:r>
      <w:r>
        <w:rPr>
          <w:spacing w:val="-3"/>
          <w:w w:val="105"/>
          <w:position w:val="7"/>
          <w:sz w:val="12"/>
        </w:rPr>
        <w:t>86</w:t>
      </w:r>
    </w:p>
    <w:p>
      <w:pPr>
        <w:pStyle w:val="BodyText"/>
        <w:spacing w:before="4"/>
        <w:rPr>
          <w:sz w:val="20"/>
        </w:rPr>
      </w:pPr>
    </w:p>
    <w:p>
      <w:pPr>
        <w:pStyle w:val="Heading5"/>
      </w:pPr>
      <w:r>
        <w:rPr>
          <w:w w:val="115"/>
        </w:rPr>
        <w:t>Bushfire risk</w:t>
      </w:r>
    </w:p>
    <w:p>
      <w:pPr>
        <w:pStyle w:val="ListParagraph"/>
        <w:numPr>
          <w:ilvl w:val="1"/>
          <w:numId w:val="16"/>
        </w:numPr>
        <w:tabs>
          <w:tab w:pos="2381" w:val="left" w:leader="none"/>
          <w:tab w:pos="2382" w:val="left" w:leader="none"/>
        </w:tabs>
        <w:spacing w:line="242" w:lineRule="auto" w:before="138" w:after="0"/>
        <w:ind w:left="2381" w:right="1694" w:hanging="794"/>
        <w:jc w:val="left"/>
        <w:rPr>
          <w:sz w:val="21"/>
        </w:rPr>
      </w:pPr>
      <w:r>
        <w:rPr>
          <w:w w:val="105"/>
          <w:sz w:val="21"/>
        </w:rPr>
        <w:t>Some</w:t>
      </w:r>
      <w:r>
        <w:rPr>
          <w:spacing w:val="-10"/>
          <w:w w:val="105"/>
          <w:sz w:val="21"/>
        </w:rPr>
        <w:t> </w:t>
      </w:r>
      <w:r>
        <w:rPr>
          <w:w w:val="105"/>
          <w:sz w:val="21"/>
        </w:rPr>
        <w:t>responses</w:t>
      </w:r>
      <w:r>
        <w:rPr>
          <w:spacing w:val="-9"/>
          <w:w w:val="105"/>
          <w:sz w:val="21"/>
        </w:rPr>
        <w:t> </w:t>
      </w:r>
      <w:r>
        <w:rPr>
          <w:w w:val="105"/>
          <w:sz w:val="21"/>
        </w:rPr>
        <w:t>also</w:t>
      </w:r>
      <w:r>
        <w:rPr>
          <w:spacing w:val="-10"/>
          <w:w w:val="105"/>
          <w:sz w:val="21"/>
        </w:rPr>
        <w:t> </w:t>
      </w:r>
      <w:r>
        <w:rPr>
          <w:w w:val="105"/>
          <w:sz w:val="21"/>
        </w:rPr>
        <w:t>identified</w:t>
      </w:r>
      <w:r>
        <w:rPr>
          <w:spacing w:val="-9"/>
          <w:w w:val="105"/>
          <w:sz w:val="21"/>
        </w:rPr>
        <w:t> </w:t>
      </w:r>
      <w:r>
        <w:rPr>
          <w:spacing w:val="-3"/>
          <w:w w:val="105"/>
          <w:sz w:val="21"/>
        </w:rPr>
        <w:t>that</w:t>
      </w:r>
      <w:r>
        <w:rPr>
          <w:spacing w:val="-10"/>
          <w:w w:val="105"/>
          <w:sz w:val="21"/>
        </w:rPr>
        <w:t> </w:t>
      </w:r>
      <w:r>
        <w:rPr>
          <w:w w:val="105"/>
          <w:sz w:val="21"/>
        </w:rPr>
        <w:t>tree</w:t>
      </w:r>
      <w:r>
        <w:rPr>
          <w:spacing w:val="-9"/>
          <w:w w:val="105"/>
          <w:sz w:val="21"/>
        </w:rPr>
        <w:t> </w:t>
      </w:r>
      <w:r>
        <w:rPr>
          <w:spacing w:val="-3"/>
          <w:w w:val="105"/>
          <w:sz w:val="21"/>
        </w:rPr>
        <w:t>disputes</w:t>
      </w:r>
      <w:r>
        <w:rPr>
          <w:spacing w:val="-10"/>
          <w:w w:val="105"/>
          <w:sz w:val="21"/>
        </w:rPr>
        <w:t> </w:t>
      </w:r>
      <w:r>
        <w:rPr>
          <w:w w:val="105"/>
          <w:sz w:val="21"/>
        </w:rPr>
        <w:t>can</w:t>
      </w:r>
      <w:r>
        <w:rPr>
          <w:spacing w:val="-9"/>
          <w:w w:val="105"/>
          <w:sz w:val="21"/>
        </w:rPr>
        <w:t> </w:t>
      </w:r>
      <w:r>
        <w:rPr>
          <w:spacing w:val="-3"/>
          <w:w w:val="105"/>
          <w:sz w:val="21"/>
        </w:rPr>
        <w:t>occur</w:t>
      </w:r>
      <w:r>
        <w:rPr>
          <w:spacing w:val="-10"/>
          <w:w w:val="105"/>
          <w:sz w:val="21"/>
        </w:rPr>
        <w:t> </w:t>
      </w:r>
      <w:r>
        <w:rPr>
          <w:w w:val="105"/>
          <w:sz w:val="21"/>
        </w:rPr>
        <w:t>about</w:t>
      </w:r>
      <w:r>
        <w:rPr>
          <w:spacing w:val="-9"/>
          <w:w w:val="105"/>
          <w:sz w:val="21"/>
        </w:rPr>
        <w:t> </w:t>
      </w:r>
      <w:r>
        <w:rPr>
          <w:w w:val="105"/>
          <w:sz w:val="21"/>
        </w:rPr>
        <w:t>the</w:t>
      </w:r>
      <w:r>
        <w:rPr>
          <w:spacing w:val="-10"/>
          <w:w w:val="105"/>
          <w:sz w:val="21"/>
        </w:rPr>
        <w:t> </w:t>
      </w:r>
      <w:r>
        <w:rPr>
          <w:spacing w:val="-3"/>
          <w:w w:val="105"/>
          <w:sz w:val="21"/>
        </w:rPr>
        <w:t>bushfire</w:t>
      </w:r>
      <w:r>
        <w:rPr>
          <w:spacing w:val="-9"/>
          <w:w w:val="105"/>
          <w:sz w:val="21"/>
        </w:rPr>
        <w:t> </w:t>
      </w:r>
      <w:r>
        <w:rPr>
          <w:w w:val="105"/>
          <w:sz w:val="21"/>
        </w:rPr>
        <w:t>risk</w:t>
      </w:r>
      <w:r>
        <w:rPr>
          <w:spacing w:val="-10"/>
          <w:w w:val="105"/>
          <w:sz w:val="21"/>
        </w:rPr>
        <w:t> </w:t>
      </w:r>
      <w:r>
        <w:rPr>
          <w:w w:val="105"/>
          <w:sz w:val="21"/>
        </w:rPr>
        <w:t>posed by trees.</w:t>
      </w:r>
      <w:r>
        <w:rPr>
          <w:w w:val="105"/>
          <w:position w:val="7"/>
          <w:sz w:val="12"/>
        </w:rPr>
        <w:t>87 </w:t>
      </w:r>
      <w:r>
        <w:rPr>
          <w:w w:val="105"/>
          <w:sz w:val="21"/>
        </w:rPr>
        <w:t>One person suggested </w:t>
      </w:r>
      <w:r>
        <w:rPr>
          <w:spacing w:val="-3"/>
          <w:w w:val="105"/>
          <w:sz w:val="21"/>
        </w:rPr>
        <w:t>that </w:t>
      </w:r>
      <w:r>
        <w:rPr>
          <w:w w:val="105"/>
          <w:sz w:val="21"/>
        </w:rPr>
        <w:t>they live in a country town with a </w:t>
      </w:r>
      <w:r>
        <w:rPr>
          <w:spacing w:val="-3"/>
          <w:w w:val="105"/>
          <w:sz w:val="21"/>
        </w:rPr>
        <w:t>designated high bushfire </w:t>
      </w:r>
      <w:r>
        <w:rPr>
          <w:w w:val="105"/>
          <w:sz w:val="21"/>
        </w:rPr>
        <w:t>risk and </w:t>
      </w:r>
      <w:r>
        <w:rPr>
          <w:spacing w:val="-3"/>
          <w:w w:val="105"/>
          <w:sz w:val="21"/>
        </w:rPr>
        <w:t>that </w:t>
      </w:r>
      <w:r>
        <w:rPr>
          <w:w w:val="105"/>
          <w:sz w:val="21"/>
        </w:rPr>
        <w:t>their property’s </w:t>
      </w:r>
      <w:r>
        <w:rPr>
          <w:spacing w:val="-3"/>
          <w:w w:val="105"/>
          <w:sz w:val="21"/>
        </w:rPr>
        <w:t>Bushfire </w:t>
      </w:r>
      <w:r>
        <w:rPr>
          <w:w w:val="105"/>
          <w:sz w:val="21"/>
        </w:rPr>
        <w:t>Attack Level (BAL) rating,</w:t>
      </w:r>
      <w:r>
        <w:rPr>
          <w:w w:val="105"/>
          <w:position w:val="7"/>
          <w:sz w:val="12"/>
        </w:rPr>
        <w:t>88 </w:t>
      </w:r>
      <w:r>
        <w:rPr>
          <w:w w:val="105"/>
          <w:sz w:val="21"/>
        </w:rPr>
        <w:t>as assessed by the </w:t>
      </w:r>
      <w:r>
        <w:rPr>
          <w:spacing w:val="-3"/>
          <w:w w:val="105"/>
          <w:sz w:val="21"/>
        </w:rPr>
        <w:t>County Fire Authority, </w:t>
      </w:r>
      <w:r>
        <w:rPr>
          <w:w w:val="105"/>
          <w:sz w:val="21"/>
        </w:rPr>
        <w:t>was </w:t>
      </w:r>
      <w:r>
        <w:rPr>
          <w:spacing w:val="-3"/>
          <w:w w:val="105"/>
          <w:sz w:val="21"/>
        </w:rPr>
        <w:t>high </w:t>
      </w:r>
      <w:r>
        <w:rPr>
          <w:w w:val="105"/>
          <w:sz w:val="21"/>
        </w:rPr>
        <w:t>because of vegetation on </w:t>
      </w:r>
      <w:r>
        <w:rPr>
          <w:spacing w:val="-3"/>
          <w:w w:val="105"/>
          <w:sz w:val="21"/>
        </w:rPr>
        <w:t>neighbouring land.</w:t>
      </w:r>
      <w:r>
        <w:rPr>
          <w:w w:val="105"/>
          <w:sz w:val="21"/>
        </w:rPr>
        <w:t> The</w:t>
      </w:r>
    </w:p>
    <w:p>
      <w:pPr>
        <w:pStyle w:val="BodyText"/>
        <w:spacing w:line="242" w:lineRule="auto" w:before="4"/>
        <w:ind w:left="2381" w:right="1315"/>
        <w:rPr>
          <w:sz w:val="12"/>
        </w:rPr>
      </w:pPr>
      <w:r>
        <w:rPr>
          <w:w w:val="105"/>
        </w:rPr>
        <w:t>community member suggested </w:t>
      </w:r>
      <w:r>
        <w:rPr>
          <w:spacing w:val="-3"/>
          <w:w w:val="105"/>
        </w:rPr>
        <w:t>that </w:t>
      </w:r>
      <w:r>
        <w:rPr>
          <w:w w:val="105"/>
        </w:rPr>
        <w:t>the </w:t>
      </w:r>
      <w:r>
        <w:rPr>
          <w:spacing w:val="-3"/>
          <w:w w:val="105"/>
        </w:rPr>
        <w:t>high </w:t>
      </w:r>
      <w:r>
        <w:rPr>
          <w:w w:val="105"/>
        </w:rPr>
        <w:t>cost of </w:t>
      </w:r>
      <w:r>
        <w:rPr>
          <w:spacing w:val="-3"/>
          <w:w w:val="105"/>
        </w:rPr>
        <w:t>removing </w:t>
      </w:r>
      <w:r>
        <w:rPr>
          <w:w w:val="105"/>
        </w:rPr>
        <w:t>the vegetation </w:t>
      </w:r>
      <w:r>
        <w:rPr>
          <w:spacing w:val="-3"/>
          <w:w w:val="105"/>
        </w:rPr>
        <w:t>contributed to </w:t>
      </w:r>
      <w:r>
        <w:rPr>
          <w:w w:val="105"/>
        </w:rPr>
        <w:t>the </w:t>
      </w:r>
      <w:r>
        <w:rPr>
          <w:spacing w:val="-3"/>
          <w:w w:val="105"/>
        </w:rPr>
        <w:t>dispute </w:t>
      </w:r>
      <w:r>
        <w:rPr>
          <w:w w:val="105"/>
        </w:rPr>
        <w:t>being left </w:t>
      </w:r>
      <w:r>
        <w:rPr>
          <w:spacing w:val="-3"/>
          <w:w w:val="105"/>
        </w:rPr>
        <w:t>unresolved. </w:t>
      </w:r>
      <w:r>
        <w:rPr>
          <w:spacing w:val="-4"/>
          <w:w w:val="105"/>
        </w:rPr>
        <w:t>However, </w:t>
      </w:r>
      <w:r>
        <w:rPr>
          <w:w w:val="105"/>
        </w:rPr>
        <w:t>it was </w:t>
      </w:r>
      <w:r>
        <w:rPr>
          <w:spacing w:val="-3"/>
          <w:w w:val="105"/>
        </w:rPr>
        <w:t>noted that </w:t>
      </w:r>
      <w:r>
        <w:rPr>
          <w:w w:val="105"/>
        </w:rPr>
        <w:t>this cost </w:t>
      </w:r>
      <w:r>
        <w:rPr>
          <w:spacing w:val="-3"/>
          <w:w w:val="105"/>
        </w:rPr>
        <w:t>‘would </w:t>
      </w:r>
      <w:r>
        <w:rPr>
          <w:w w:val="105"/>
        </w:rPr>
        <w:t>be </w:t>
      </w:r>
      <w:r>
        <w:rPr>
          <w:spacing w:val="-3"/>
          <w:w w:val="105"/>
        </w:rPr>
        <w:t>miniscule’ compared to </w:t>
      </w:r>
      <w:r>
        <w:rPr>
          <w:w w:val="105"/>
        </w:rPr>
        <w:t>the </w:t>
      </w:r>
      <w:r>
        <w:rPr>
          <w:spacing w:val="-3"/>
          <w:w w:val="105"/>
        </w:rPr>
        <w:t>potential </w:t>
      </w:r>
      <w:r>
        <w:rPr>
          <w:w w:val="105"/>
        </w:rPr>
        <w:t>loss of property if a </w:t>
      </w:r>
      <w:r>
        <w:rPr>
          <w:spacing w:val="-3"/>
          <w:w w:val="105"/>
        </w:rPr>
        <w:t>bushfire </w:t>
      </w:r>
      <w:r>
        <w:rPr>
          <w:w w:val="105"/>
        </w:rPr>
        <w:t>occurred.</w:t>
      </w:r>
      <w:r>
        <w:rPr>
          <w:w w:val="105"/>
          <w:position w:val="7"/>
          <w:sz w:val="12"/>
        </w:rPr>
        <w:t>89</w:t>
      </w:r>
    </w:p>
    <w:p>
      <w:pPr>
        <w:pStyle w:val="BodyText"/>
        <w:spacing w:before="4"/>
        <w:rPr>
          <w:sz w:val="20"/>
        </w:rPr>
      </w:pPr>
    </w:p>
    <w:p>
      <w:pPr>
        <w:pStyle w:val="Heading5"/>
      </w:pPr>
      <w:r>
        <w:rPr>
          <w:w w:val="110"/>
        </w:rPr>
        <w:t>Economic loss</w:t>
      </w:r>
    </w:p>
    <w:p>
      <w:pPr>
        <w:pStyle w:val="ListParagraph"/>
        <w:numPr>
          <w:ilvl w:val="1"/>
          <w:numId w:val="16"/>
        </w:numPr>
        <w:tabs>
          <w:tab w:pos="2381" w:val="left" w:leader="none"/>
          <w:tab w:pos="2382" w:val="left" w:leader="none"/>
        </w:tabs>
        <w:spacing w:line="242" w:lineRule="auto" w:before="137" w:after="0"/>
        <w:ind w:left="2381" w:right="1568" w:hanging="794"/>
        <w:jc w:val="left"/>
        <w:rPr>
          <w:sz w:val="21"/>
        </w:rPr>
      </w:pPr>
      <w:r>
        <w:rPr>
          <w:w w:val="105"/>
          <w:sz w:val="21"/>
        </w:rPr>
        <w:t>One </w:t>
      </w:r>
      <w:r>
        <w:rPr>
          <w:spacing w:val="-3"/>
          <w:w w:val="105"/>
          <w:sz w:val="21"/>
        </w:rPr>
        <w:t>submission </w:t>
      </w:r>
      <w:r>
        <w:rPr>
          <w:w w:val="105"/>
          <w:sz w:val="21"/>
        </w:rPr>
        <w:t>suggested </w:t>
      </w:r>
      <w:r>
        <w:rPr>
          <w:spacing w:val="-3"/>
          <w:w w:val="105"/>
          <w:sz w:val="21"/>
        </w:rPr>
        <w:t>that </w:t>
      </w:r>
      <w:r>
        <w:rPr>
          <w:w w:val="105"/>
          <w:sz w:val="21"/>
        </w:rPr>
        <w:t>trees on </w:t>
      </w:r>
      <w:r>
        <w:rPr>
          <w:spacing w:val="-3"/>
          <w:w w:val="105"/>
          <w:sz w:val="21"/>
        </w:rPr>
        <w:t>neighbouring land could contaminate </w:t>
      </w:r>
      <w:r>
        <w:rPr>
          <w:w w:val="105"/>
          <w:sz w:val="21"/>
        </w:rPr>
        <w:t>their </w:t>
      </w:r>
      <w:r>
        <w:rPr>
          <w:spacing w:val="-3"/>
          <w:w w:val="105"/>
          <w:sz w:val="21"/>
        </w:rPr>
        <w:t>land </w:t>
      </w:r>
      <w:r>
        <w:rPr>
          <w:w w:val="105"/>
          <w:sz w:val="21"/>
        </w:rPr>
        <w:t>or</w:t>
      </w:r>
      <w:r>
        <w:rPr>
          <w:spacing w:val="-7"/>
          <w:w w:val="105"/>
          <w:sz w:val="21"/>
        </w:rPr>
        <w:t> </w:t>
      </w:r>
      <w:r>
        <w:rPr>
          <w:spacing w:val="-3"/>
          <w:w w:val="105"/>
          <w:sz w:val="21"/>
        </w:rPr>
        <w:t>potentially</w:t>
      </w:r>
      <w:r>
        <w:rPr>
          <w:spacing w:val="-7"/>
          <w:w w:val="105"/>
          <w:sz w:val="21"/>
        </w:rPr>
        <w:t> </w:t>
      </w:r>
      <w:r>
        <w:rPr>
          <w:w w:val="105"/>
          <w:sz w:val="21"/>
        </w:rPr>
        <w:t>lead</w:t>
      </w:r>
      <w:r>
        <w:rPr>
          <w:spacing w:val="-7"/>
          <w:w w:val="105"/>
          <w:sz w:val="21"/>
        </w:rPr>
        <w:t> </w:t>
      </w:r>
      <w:r>
        <w:rPr>
          <w:spacing w:val="-3"/>
          <w:w w:val="105"/>
          <w:sz w:val="21"/>
        </w:rPr>
        <w:t>to</w:t>
      </w:r>
      <w:r>
        <w:rPr>
          <w:spacing w:val="-7"/>
          <w:w w:val="105"/>
          <w:sz w:val="21"/>
        </w:rPr>
        <w:t> </w:t>
      </w:r>
      <w:r>
        <w:rPr>
          <w:w w:val="105"/>
          <w:sz w:val="21"/>
        </w:rPr>
        <w:t>economic</w:t>
      </w:r>
      <w:r>
        <w:rPr>
          <w:spacing w:val="-6"/>
          <w:w w:val="105"/>
          <w:sz w:val="21"/>
        </w:rPr>
        <w:t> </w:t>
      </w:r>
      <w:r>
        <w:rPr>
          <w:w w:val="105"/>
          <w:sz w:val="21"/>
        </w:rPr>
        <w:t>loss,</w:t>
      </w:r>
      <w:r>
        <w:rPr>
          <w:spacing w:val="-7"/>
          <w:w w:val="105"/>
          <w:sz w:val="21"/>
        </w:rPr>
        <w:t> </w:t>
      </w:r>
      <w:r>
        <w:rPr>
          <w:spacing w:val="-3"/>
          <w:w w:val="105"/>
          <w:sz w:val="21"/>
        </w:rPr>
        <w:t>for</w:t>
      </w:r>
      <w:r>
        <w:rPr>
          <w:spacing w:val="-7"/>
          <w:w w:val="105"/>
          <w:sz w:val="21"/>
        </w:rPr>
        <w:t> </w:t>
      </w:r>
      <w:r>
        <w:rPr>
          <w:w w:val="105"/>
          <w:sz w:val="21"/>
        </w:rPr>
        <w:t>example</w:t>
      </w:r>
      <w:r>
        <w:rPr>
          <w:spacing w:val="-7"/>
          <w:w w:val="105"/>
          <w:sz w:val="21"/>
        </w:rPr>
        <w:t> </w:t>
      </w:r>
      <w:r>
        <w:rPr>
          <w:w w:val="105"/>
          <w:sz w:val="21"/>
        </w:rPr>
        <w:t>in</w:t>
      </w:r>
      <w:r>
        <w:rPr>
          <w:spacing w:val="-6"/>
          <w:w w:val="105"/>
          <w:sz w:val="21"/>
        </w:rPr>
        <w:t> </w:t>
      </w:r>
      <w:r>
        <w:rPr>
          <w:w w:val="105"/>
          <w:sz w:val="21"/>
        </w:rPr>
        <w:t>the</w:t>
      </w:r>
      <w:r>
        <w:rPr>
          <w:spacing w:val="-7"/>
          <w:w w:val="105"/>
          <w:sz w:val="21"/>
        </w:rPr>
        <w:t> </w:t>
      </w:r>
      <w:r>
        <w:rPr>
          <w:spacing w:val="-3"/>
          <w:w w:val="105"/>
          <w:sz w:val="21"/>
        </w:rPr>
        <w:t>form</w:t>
      </w:r>
      <w:r>
        <w:rPr>
          <w:spacing w:val="-7"/>
          <w:w w:val="105"/>
          <w:sz w:val="21"/>
        </w:rPr>
        <w:t> </w:t>
      </w:r>
      <w:r>
        <w:rPr>
          <w:w w:val="105"/>
          <w:sz w:val="21"/>
        </w:rPr>
        <w:t>of</w:t>
      </w:r>
      <w:r>
        <w:rPr>
          <w:spacing w:val="-7"/>
          <w:w w:val="105"/>
          <w:sz w:val="21"/>
        </w:rPr>
        <w:t> </w:t>
      </w:r>
      <w:r>
        <w:rPr>
          <w:w w:val="105"/>
          <w:sz w:val="21"/>
        </w:rPr>
        <w:t>loss</w:t>
      </w:r>
      <w:r>
        <w:rPr>
          <w:spacing w:val="-6"/>
          <w:w w:val="105"/>
          <w:sz w:val="21"/>
        </w:rPr>
        <w:t> </w:t>
      </w:r>
      <w:r>
        <w:rPr>
          <w:w w:val="105"/>
          <w:sz w:val="21"/>
        </w:rPr>
        <w:t>of</w:t>
      </w:r>
      <w:r>
        <w:rPr>
          <w:spacing w:val="-7"/>
          <w:w w:val="105"/>
          <w:sz w:val="21"/>
        </w:rPr>
        <w:t> </w:t>
      </w:r>
      <w:r>
        <w:rPr>
          <w:w w:val="105"/>
          <w:sz w:val="21"/>
        </w:rPr>
        <w:t>business.</w:t>
      </w:r>
      <w:r>
        <w:rPr>
          <w:w w:val="105"/>
          <w:position w:val="7"/>
          <w:sz w:val="12"/>
        </w:rPr>
        <w:t>90</w:t>
      </w:r>
      <w:r>
        <w:rPr>
          <w:spacing w:val="16"/>
          <w:w w:val="105"/>
          <w:position w:val="7"/>
          <w:sz w:val="12"/>
        </w:rPr>
        <w:t> </w:t>
      </w:r>
      <w:r>
        <w:rPr>
          <w:w w:val="105"/>
          <w:sz w:val="21"/>
        </w:rPr>
        <w:t>Another </w:t>
      </w:r>
      <w:r>
        <w:rPr>
          <w:spacing w:val="-3"/>
          <w:w w:val="105"/>
          <w:sz w:val="21"/>
        </w:rPr>
        <w:t>submission</w:t>
      </w:r>
      <w:r>
        <w:rPr>
          <w:spacing w:val="-9"/>
          <w:w w:val="105"/>
          <w:sz w:val="21"/>
        </w:rPr>
        <w:t> </w:t>
      </w:r>
      <w:r>
        <w:rPr>
          <w:w w:val="105"/>
          <w:sz w:val="21"/>
        </w:rPr>
        <w:t>was</w:t>
      </w:r>
      <w:r>
        <w:rPr>
          <w:spacing w:val="-8"/>
          <w:w w:val="105"/>
          <w:sz w:val="21"/>
        </w:rPr>
        <w:t> </w:t>
      </w:r>
      <w:r>
        <w:rPr>
          <w:spacing w:val="-3"/>
          <w:w w:val="105"/>
          <w:sz w:val="21"/>
        </w:rPr>
        <w:t>concerned</w:t>
      </w:r>
      <w:r>
        <w:rPr>
          <w:spacing w:val="-8"/>
          <w:w w:val="105"/>
          <w:sz w:val="21"/>
        </w:rPr>
        <w:t> </w:t>
      </w:r>
      <w:r>
        <w:rPr>
          <w:w w:val="105"/>
          <w:sz w:val="21"/>
        </w:rPr>
        <w:t>about</w:t>
      </w:r>
      <w:r>
        <w:rPr>
          <w:spacing w:val="-9"/>
          <w:w w:val="105"/>
          <w:sz w:val="21"/>
        </w:rPr>
        <w:t> </w:t>
      </w:r>
      <w:r>
        <w:rPr>
          <w:w w:val="105"/>
          <w:sz w:val="21"/>
        </w:rPr>
        <w:t>the</w:t>
      </w:r>
      <w:r>
        <w:rPr>
          <w:spacing w:val="-8"/>
          <w:w w:val="105"/>
          <w:sz w:val="21"/>
        </w:rPr>
        <w:t> </w:t>
      </w:r>
      <w:r>
        <w:rPr>
          <w:spacing w:val="-3"/>
          <w:w w:val="105"/>
          <w:sz w:val="21"/>
        </w:rPr>
        <w:t>devaluation</w:t>
      </w:r>
      <w:r>
        <w:rPr>
          <w:spacing w:val="-8"/>
          <w:w w:val="105"/>
          <w:sz w:val="21"/>
        </w:rPr>
        <w:t> </w:t>
      </w:r>
      <w:r>
        <w:rPr>
          <w:w w:val="105"/>
          <w:sz w:val="21"/>
        </w:rPr>
        <w:t>of</w:t>
      </w:r>
      <w:r>
        <w:rPr>
          <w:spacing w:val="-8"/>
          <w:w w:val="105"/>
          <w:sz w:val="21"/>
        </w:rPr>
        <w:t> </w:t>
      </w:r>
      <w:r>
        <w:rPr>
          <w:w w:val="105"/>
          <w:sz w:val="21"/>
        </w:rPr>
        <w:t>their</w:t>
      </w:r>
      <w:r>
        <w:rPr>
          <w:spacing w:val="-9"/>
          <w:w w:val="105"/>
          <w:sz w:val="21"/>
        </w:rPr>
        <w:t> </w:t>
      </w:r>
      <w:r>
        <w:rPr>
          <w:w w:val="105"/>
          <w:sz w:val="21"/>
        </w:rPr>
        <w:t>property</w:t>
      </w:r>
      <w:r>
        <w:rPr>
          <w:spacing w:val="-8"/>
          <w:w w:val="105"/>
          <w:sz w:val="21"/>
        </w:rPr>
        <w:t> </w:t>
      </w:r>
      <w:r>
        <w:rPr>
          <w:w w:val="105"/>
          <w:sz w:val="21"/>
        </w:rPr>
        <w:t>due</w:t>
      </w:r>
      <w:r>
        <w:rPr>
          <w:spacing w:val="-8"/>
          <w:w w:val="105"/>
          <w:sz w:val="21"/>
        </w:rPr>
        <w:t> </w:t>
      </w:r>
      <w:r>
        <w:rPr>
          <w:spacing w:val="-3"/>
          <w:w w:val="105"/>
          <w:sz w:val="21"/>
        </w:rPr>
        <w:t>to</w:t>
      </w:r>
      <w:r>
        <w:rPr>
          <w:spacing w:val="-8"/>
          <w:w w:val="105"/>
          <w:sz w:val="21"/>
        </w:rPr>
        <w:t> </w:t>
      </w:r>
      <w:r>
        <w:rPr>
          <w:w w:val="105"/>
          <w:sz w:val="21"/>
        </w:rPr>
        <w:t>the</w:t>
      </w:r>
      <w:r>
        <w:rPr>
          <w:spacing w:val="-9"/>
          <w:w w:val="105"/>
          <w:sz w:val="21"/>
        </w:rPr>
        <w:t> </w:t>
      </w:r>
      <w:r>
        <w:rPr>
          <w:w w:val="105"/>
          <w:sz w:val="21"/>
        </w:rPr>
        <w:t>perceived</w:t>
      </w:r>
      <w:r>
        <w:rPr>
          <w:spacing w:val="-8"/>
          <w:w w:val="105"/>
          <w:sz w:val="21"/>
        </w:rPr>
        <w:t> </w:t>
      </w:r>
      <w:r>
        <w:rPr>
          <w:w w:val="105"/>
          <w:sz w:val="21"/>
        </w:rPr>
        <w:t>or</w:t>
      </w:r>
    </w:p>
    <w:p>
      <w:pPr>
        <w:pStyle w:val="BodyText"/>
        <w:spacing w:line="242" w:lineRule="auto" w:before="4"/>
        <w:ind w:left="2381" w:right="1315" w:hanging="1"/>
      </w:pPr>
      <w:r>
        <w:rPr>
          <w:spacing w:val="-3"/>
          <w:w w:val="105"/>
        </w:rPr>
        <w:t>real </w:t>
      </w:r>
      <w:r>
        <w:rPr>
          <w:w w:val="105"/>
        </w:rPr>
        <w:t>risk posed by a </w:t>
      </w:r>
      <w:r>
        <w:rPr>
          <w:spacing w:val="-3"/>
          <w:w w:val="105"/>
        </w:rPr>
        <w:t>neighbour’s </w:t>
      </w:r>
      <w:r>
        <w:rPr>
          <w:spacing w:val="-4"/>
          <w:w w:val="105"/>
        </w:rPr>
        <w:t>tree.</w:t>
      </w:r>
      <w:r>
        <w:rPr>
          <w:spacing w:val="-4"/>
          <w:w w:val="105"/>
          <w:position w:val="7"/>
          <w:sz w:val="12"/>
        </w:rPr>
        <w:t>91 </w:t>
      </w:r>
      <w:r>
        <w:rPr>
          <w:w w:val="105"/>
        </w:rPr>
        <w:t>HVP </w:t>
      </w:r>
      <w:r>
        <w:rPr>
          <w:spacing w:val="-3"/>
          <w:w w:val="105"/>
        </w:rPr>
        <w:t>Plantations </w:t>
      </w:r>
      <w:r>
        <w:rPr>
          <w:spacing w:val="-2"/>
          <w:w w:val="105"/>
        </w:rPr>
        <w:t>raised </w:t>
      </w:r>
      <w:r>
        <w:rPr>
          <w:w w:val="105"/>
        </w:rPr>
        <w:t>the issue of the economic cost of tree </w:t>
      </w:r>
      <w:r>
        <w:rPr>
          <w:spacing w:val="-3"/>
          <w:w w:val="105"/>
        </w:rPr>
        <w:t>maintenance </w:t>
      </w:r>
      <w:r>
        <w:rPr>
          <w:w w:val="105"/>
        </w:rPr>
        <w:t>along newly subdivided boundaries </w:t>
      </w:r>
      <w:r>
        <w:rPr>
          <w:spacing w:val="-3"/>
          <w:w w:val="105"/>
        </w:rPr>
        <w:t>for rural landowners.</w:t>
      </w:r>
      <w:r>
        <w:rPr>
          <w:spacing w:val="-3"/>
          <w:w w:val="105"/>
          <w:position w:val="7"/>
          <w:sz w:val="12"/>
        </w:rPr>
        <w:t>92 </w:t>
      </w:r>
      <w:r>
        <w:rPr>
          <w:w w:val="105"/>
        </w:rPr>
        <w:t>The costs associated with </w:t>
      </w:r>
      <w:r>
        <w:rPr>
          <w:spacing w:val="-3"/>
          <w:w w:val="105"/>
        </w:rPr>
        <w:t>abating </w:t>
      </w:r>
      <w:r>
        <w:rPr>
          <w:w w:val="105"/>
        </w:rPr>
        <w:t>trees was also </w:t>
      </w:r>
      <w:r>
        <w:rPr>
          <w:spacing w:val="-4"/>
          <w:w w:val="105"/>
        </w:rPr>
        <w:t>noted.</w:t>
      </w:r>
      <w:r>
        <w:rPr>
          <w:spacing w:val="-4"/>
          <w:w w:val="105"/>
          <w:position w:val="7"/>
          <w:sz w:val="12"/>
        </w:rPr>
        <w:t>93 </w:t>
      </w:r>
      <w:r>
        <w:rPr>
          <w:w w:val="105"/>
        </w:rPr>
        <w:t>One survey respondent described the effect of </w:t>
      </w:r>
      <w:r>
        <w:rPr>
          <w:spacing w:val="-3"/>
          <w:w w:val="105"/>
        </w:rPr>
        <w:t>neighbouring </w:t>
      </w:r>
      <w:r>
        <w:rPr>
          <w:w w:val="105"/>
        </w:rPr>
        <w:t>trees on their business:</w:t>
      </w:r>
    </w:p>
    <w:p>
      <w:pPr>
        <w:spacing w:line="254" w:lineRule="auto" w:before="133"/>
        <w:ind w:left="2834" w:right="1551" w:firstLine="0"/>
        <w:jc w:val="left"/>
        <w:rPr>
          <w:sz w:val="11"/>
        </w:rPr>
      </w:pPr>
      <w:r>
        <w:rPr>
          <w:w w:val="105"/>
          <w:sz w:val="20"/>
        </w:rPr>
        <w:t>Use of our headland will be affected…Trees are expected to reach final height of around 12–15m and will negatively affect our viticultural business. Needles of this species (pine radiata) is expected to spoil the soil quality, which again will impact our [business] with expected long term loss of fruit quality and quantity.</w:t>
      </w:r>
      <w:r>
        <w:rPr>
          <w:w w:val="105"/>
          <w:position w:val="7"/>
          <w:sz w:val="11"/>
        </w:rPr>
        <w:t>94</w:t>
      </w:r>
    </w:p>
    <w:p>
      <w:pPr>
        <w:pStyle w:val="BodyText"/>
        <w:spacing w:before="8"/>
        <w:rPr>
          <w:sz w:val="19"/>
        </w:rPr>
      </w:pPr>
    </w:p>
    <w:p>
      <w:pPr>
        <w:pStyle w:val="Heading5"/>
        <w:spacing w:before="1"/>
      </w:pPr>
      <w:r>
        <w:rPr>
          <w:w w:val="115"/>
        </w:rPr>
        <w:t>Objecting to tree works conducted by the tree owner</w:t>
      </w:r>
    </w:p>
    <w:p>
      <w:pPr>
        <w:pStyle w:val="ListParagraph"/>
        <w:numPr>
          <w:ilvl w:val="1"/>
          <w:numId w:val="16"/>
        </w:numPr>
        <w:tabs>
          <w:tab w:pos="2380" w:val="left" w:leader="none"/>
          <w:tab w:pos="2381" w:val="left" w:leader="none"/>
        </w:tabs>
        <w:spacing w:line="242" w:lineRule="auto" w:before="137" w:after="0"/>
        <w:ind w:left="2381" w:right="1713" w:hanging="794"/>
        <w:jc w:val="left"/>
        <w:rPr>
          <w:sz w:val="21"/>
        </w:rPr>
      </w:pPr>
      <w:r>
        <w:rPr/>
        <w:pict>
          <v:line style="position:absolute;mso-position-horizontal-relative:page;mso-position-vertical-relative:paragraph;z-index:80;mso-wrap-distance-left:0;mso-wrap-distance-right:0" from="79.370102pt,49.032753pt" to="525.354102pt,49.032753pt" stroked="true" strokeweight="1pt" strokecolor="#c9d2cb">
            <v:stroke dashstyle="solid"/>
            <w10:wrap type="topAndBottom"/>
          </v:line>
        </w:pict>
      </w:r>
      <w:r>
        <w:rPr>
          <w:w w:val="105"/>
          <w:sz w:val="21"/>
        </w:rPr>
        <w:t>Not </w:t>
      </w:r>
      <w:r>
        <w:rPr>
          <w:spacing w:val="-3"/>
          <w:w w:val="105"/>
          <w:sz w:val="21"/>
        </w:rPr>
        <w:t>all </w:t>
      </w:r>
      <w:r>
        <w:rPr>
          <w:w w:val="105"/>
          <w:sz w:val="21"/>
        </w:rPr>
        <w:t>tree </w:t>
      </w:r>
      <w:r>
        <w:rPr>
          <w:spacing w:val="-3"/>
          <w:w w:val="105"/>
          <w:sz w:val="21"/>
        </w:rPr>
        <w:t>disputes focus </w:t>
      </w:r>
      <w:r>
        <w:rPr>
          <w:w w:val="105"/>
          <w:sz w:val="21"/>
        </w:rPr>
        <w:t>on how a tree is adversely affecting </w:t>
      </w:r>
      <w:r>
        <w:rPr>
          <w:spacing w:val="-3"/>
          <w:w w:val="105"/>
          <w:sz w:val="21"/>
        </w:rPr>
        <w:t>neighbouring </w:t>
      </w:r>
      <w:r>
        <w:rPr>
          <w:w w:val="105"/>
          <w:sz w:val="21"/>
        </w:rPr>
        <w:t>property.</w:t>
      </w:r>
      <w:r>
        <w:rPr>
          <w:w w:val="105"/>
          <w:position w:val="7"/>
          <w:sz w:val="12"/>
        </w:rPr>
        <w:t>95</w:t>
      </w:r>
      <w:r>
        <w:rPr>
          <w:w w:val="105"/>
          <w:sz w:val="12"/>
        </w:rPr>
        <w:t> </w:t>
      </w:r>
      <w:r>
        <w:rPr>
          <w:w w:val="105"/>
          <w:sz w:val="21"/>
        </w:rPr>
        <w:t>Some tree </w:t>
      </w:r>
      <w:r>
        <w:rPr>
          <w:spacing w:val="-3"/>
          <w:w w:val="105"/>
          <w:sz w:val="21"/>
        </w:rPr>
        <w:t>disputes may occur </w:t>
      </w:r>
      <w:r>
        <w:rPr>
          <w:w w:val="105"/>
          <w:sz w:val="21"/>
        </w:rPr>
        <w:t>when a </w:t>
      </w:r>
      <w:r>
        <w:rPr>
          <w:spacing w:val="-3"/>
          <w:w w:val="105"/>
          <w:sz w:val="21"/>
        </w:rPr>
        <w:t>neighbour </w:t>
      </w:r>
      <w:r>
        <w:rPr>
          <w:w w:val="105"/>
          <w:sz w:val="21"/>
        </w:rPr>
        <w:t>wants </w:t>
      </w:r>
      <w:r>
        <w:rPr>
          <w:spacing w:val="-3"/>
          <w:w w:val="105"/>
          <w:sz w:val="21"/>
        </w:rPr>
        <w:t>to retain surrounding </w:t>
      </w:r>
      <w:r>
        <w:rPr>
          <w:w w:val="105"/>
          <w:sz w:val="21"/>
        </w:rPr>
        <w:t>vegetation and objects </w:t>
      </w:r>
      <w:r>
        <w:rPr>
          <w:spacing w:val="-3"/>
          <w:w w:val="105"/>
          <w:sz w:val="21"/>
        </w:rPr>
        <w:t>to </w:t>
      </w:r>
      <w:r>
        <w:rPr>
          <w:w w:val="105"/>
          <w:sz w:val="21"/>
        </w:rPr>
        <w:t>the </w:t>
      </w:r>
      <w:r>
        <w:rPr>
          <w:spacing w:val="-3"/>
          <w:w w:val="105"/>
          <w:sz w:val="21"/>
        </w:rPr>
        <w:t>pruning </w:t>
      </w:r>
      <w:r>
        <w:rPr>
          <w:w w:val="105"/>
          <w:sz w:val="21"/>
        </w:rPr>
        <w:t>or </w:t>
      </w:r>
      <w:r>
        <w:rPr>
          <w:spacing w:val="-3"/>
          <w:w w:val="105"/>
          <w:sz w:val="21"/>
        </w:rPr>
        <w:t>removal </w:t>
      </w:r>
      <w:r>
        <w:rPr>
          <w:w w:val="105"/>
          <w:sz w:val="21"/>
        </w:rPr>
        <w:t>of a tree by its</w:t>
      </w:r>
      <w:r>
        <w:rPr>
          <w:spacing w:val="6"/>
          <w:w w:val="105"/>
          <w:sz w:val="21"/>
        </w:rPr>
        <w:t> </w:t>
      </w:r>
      <w:r>
        <w:rPr>
          <w:spacing w:val="-4"/>
          <w:w w:val="105"/>
          <w:sz w:val="21"/>
        </w:rPr>
        <w:t>owner.</w:t>
      </w:r>
      <w:r>
        <w:rPr>
          <w:spacing w:val="-4"/>
          <w:w w:val="105"/>
          <w:position w:val="7"/>
          <w:sz w:val="12"/>
        </w:rPr>
        <w:t>96</w:t>
      </w:r>
    </w:p>
    <w:p>
      <w:pPr>
        <w:pStyle w:val="ListParagraph"/>
        <w:numPr>
          <w:ilvl w:val="0"/>
          <w:numId w:val="18"/>
        </w:numPr>
        <w:tabs>
          <w:tab w:pos="2380" w:val="left" w:leader="none"/>
          <w:tab w:pos="2382" w:val="left" w:leader="none"/>
        </w:tabs>
        <w:spacing w:line="240" w:lineRule="auto" w:before="117" w:after="0"/>
        <w:ind w:left="2381" w:right="1408" w:hanging="794"/>
        <w:jc w:val="left"/>
        <w:rPr>
          <w:sz w:val="13"/>
        </w:rPr>
      </w:pPr>
      <w:r>
        <w:rPr>
          <w:w w:val="105"/>
          <w:sz w:val="13"/>
        </w:rPr>
        <w:t>Submissions 9 </w:t>
      </w:r>
      <w:r>
        <w:rPr>
          <w:spacing w:val="3"/>
          <w:w w:val="105"/>
          <w:sz w:val="13"/>
        </w:rPr>
        <w:t>(Dr </w:t>
      </w:r>
      <w:r>
        <w:rPr>
          <w:w w:val="105"/>
          <w:sz w:val="13"/>
        </w:rPr>
        <w:t>Karen Smith), 22 </w:t>
      </w:r>
      <w:r>
        <w:rPr>
          <w:spacing w:val="2"/>
          <w:w w:val="105"/>
          <w:sz w:val="13"/>
        </w:rPr>
        <w:t>(Name </w:t>
      </w:r>
      <w:r>
        <w:rPr>
          <w:w w:val="105"/>
          <w:sz w:val="13"/>
        </w:rPr>
        <w:t>withheld), 24 </w:t>
      </w:r>
      <w:r>
        <w:rPr>
          <w:spacing w:val="2"/>
          <w:w w:val="105"/>
          <w:sz w:val="13"/>
        </w:rPr>
        <w:t>(Name </w:t>
      </w:r>
      <w:r>
        <w:rPr>
          <w:w w:val="105"/>
          <w:sz w:val="13"/>
        </w:rPr>
        <w:t>withheld), 27 </w:t>
      </w:r>
      <w:r>
        <w:rPr>
          <w:spacing w:val="2"/>
          <w:w w:val="105"/>
          <w:sz w:val="13"/>
        </w:rPr>
        <w:t>(Name </w:t>
      </w:r>
      <w:r>
        <w:rPr>
          <w:w w:val="105"/>
          <w:sz w:val="13"/>
        </w:rPr>
        <w:t>withheld), 30 </w:t>
      </w:r>
      <w:r>
        <w:rPr>
          <w:spacing w:val="3"/>
          <w:w w:val="105"/>
          <w:sz w:val="13"/>
        </w:rPr>
        <w:t>(Law </w:t>
      </w:r>
      <w:r>
        <w:rPr>
          <w:w w:val="105"/>
          <w:sz w:val="13"/>
        </w:rPr>
        <w:t>Institute of </w:t>
      </w:r>
      <w:r>
        <w:rPr>
          <w:spacing w:val="2"/>
          <w:w w:val="105"/>
          <w:sz w:val="13"/>
        </w:rPr>
        <w:t>Victoria), </w:t>
      </w:r>
      <w:r>
        <w:rPr>
          <w:w w:val="105"/>
          <w:sz w:val="13"/>
        </w:rPr>
        <w:t>36 (Monique </w:t>
      </w:r>
      <w:r>
        <w:rPr>
          <w:spacing w:val="2"/>
          <w:w w:val="105"/>
          <w:sz w:val="13"/>
        </w:rPr>
        <w:t>Onezime);</w:t>
      </w:r>
      <w:r>
        <w:rPr>
          <w:spacing w:val="7"/>
          <w:w w:val="105"/>
          <w:sz w:val="13"/>
        </w:rPr>
        <w:t> </w:t>
      </w:r>
      <w:r>
        <w:rPr>
          <w:w w:val="105"/>
          <w:sz w:val="13"/>
        </w:rPr>
        <w:t>Consultations</w:t>
      </w:r>
      <w:r>
        <w:rPr>
          <w:spacing w:val="8"/>
          <w:w w:val="105"/>
          <w:sz w:val="13"/>
        </w:rPr>
        <w:t> </w:t>
      </w:r>
      <w:r>
        <w:rPr>
          <w:w w:val="105"/>
          <w:sz w:val="13"/>
        </w:rPr>
        <w:t>1</w:t>
      </w:r>
      <w:r>
        <w:rPr>
          <w:spacing w:val="8"/>
          <w:w w:val="105"/>
          <w:sz w:val="13"/>
        </w:rPr>
        <w:t> </w:t>
      </w:r>
      <w:r>
        <w:rPr>
          <w:w w:val="105"/>
          <w:sz w:val="13"/>
        </w:rPr>
        <w:t>(Aldo</w:t>
      </w:r>
      <w:r>
        <w:rPr>
          <w:spacing w:val="8"/>
          <w:w w:val="105"/>
          <w:sz w:val="13"/>
        </w:rPr>
        <w:t> </w:t>
      </w:r>
      <w:r>
        <w:rPr>
          <w:w w:val="105"/>
          <w:sz w:val="13"/>
        </w:rPr>
        <w:t>Taranto),</w:t>
      </w:r>
      <w:r>
        <w:rPr>
          <w:spacing w:val="7"/>
          <w:w w:val="105"/>
          <w:sz w:val="13"/>
        </w:rPr>
        <w:t> </w:t>
      </w:r>
      <w:r>
        <w:rPr>
          <w:w w:val="105"/>
          <w:sz w:val="13"/>
        </w:rPr>
        <w:t>3</w:t>
      </w:r>
      <w:r>
        <w:rPr>
          <w:spacing w:val="8"/>
          <w:w w:val="105"/>
          <w:sz w:val="13"/>
        </w:rPr>
        <w:t> </w:t>
      </w:r>
      <w:r>
        <w:rPr>
          <w:spacing w:val="3"/>
          <w:w w:val="105"/>
          <w:sz w:val="13"/>
        </w:rPr>
        <w:t>(HVP</w:t>
      </w:r>
      <w:r>
        <w:rPr>
          <w:spacing w:val="8"/>
          <w:w w:val="105"/>
          <w:sz w:val="13"/>
        </w:rPr>
        <w:t> </w:t>
      </w:r>
      <w:r>
        <w:rPr>
          <w:w w:val="105"/>
          <w:sz w:val="13"/>
        </w:rPr>
        <w:t>Plantations),</w:t>
      </w:r>
      <w:r>
        <w:rPr>
          <w:spacing w:val="8"/>
          <w:w w:val="105"/>
          <w:sz w:val="13"/>
        </w:rPr>
        <w:t> </w:t>
      </w:r>
      <w:r>
        <w:rPr>
          <w:w w:val="105"/>
          <w:sz w:val="13"/>
        </w:rPr>
        <w:t>8</w:t>
      </w:r>
      <w:r>
        <w:rPr>
          <w:spacing w:val="7"/>
          <w:w w:val="105"/>
          <w:sz w:val="13"/>
        </w:rPr>
        <w:t> </w:t>
      </w:r>
      <w:r>
        <w:rPr>
          <w:w w:val="105"/>
          <w:sz w:val="13"/>
        </w:rPr>
        <w:t>(City</w:t>
      </w:r>
      <w:r>
        <w:rPr>
          <w:spacing w:val="8"/>
          <w:w w:val="105"/>
          <w:sz w:val="13"/>
        </w:rPr>
        <w:t> </w:t>
      </w:r>
      <w:r>
        <w:rPr>
          <w:w w:val="105"/>
          <w:sz w:val="13"/>
        </w:rPr>
        <w:t>of</w:t>
      </w:r>
      <w:r>
        <w:rPr>
          <w:spacing w:val="8"/>
          <w:w w:val="105"/>
          <w:sz w:val="13"/>
        </w:rPr>
        <w:t> </w:t>
      </w:r>
      <w:r>
        <w:rPr>
          <w:w w:val="105"/>
          <w:sz w:val="13"/>
        </w:rPr>
        <w:t>Boroondara),</w:t>
      </w:r>
      <w:r>
        <w:rPr>
          <w:spacing w:val="8"/>
          <w:w w:val="105"/>
          <w:sz w:val="13"/>
        </w:rPr>
        <w:t> </w:t>
      </w:r>
      <w:r>
        <w:rPr>
          <w:w w:val="105"/>
          <w:sz w:val="13"/>
        </w:rPr>
        <w:t>9</w:t>
      </w:r>
      <w:r>
        <w:rPr>
          <w:spacing w:val="7"/>
          <w:w w:val="105"/>
          <w:sz w:val="13"/>
        </w:rPr>
        <w:t> </w:t>
      </w:r>
      <w:r>
        <w:rPr>
          <w:w w:val="105"/>
          <w:sz w:val="13"/>
        </w:rPr>
        <w:t>(Nillumbik</w:t>
      </w:r>
      <w:r>
        <w:rPr>
          <w:spacing w:val="8"/>
          <w:w w:val="105"/>
          <w:sz w:val="13"/>
        </w:rPr>
        <w:t> </w:t>
      </w:r>
      <w:r>
        <w:rPr>
          <w:w w:val="105"/>
          <w:sz w:val="13"/>
        </w:rPr>
        <w:t>Shire</w:t>
      </w:r>
      <w:r>
        <w:rPr>
          <w:spacing w:val="8"/>
          <w:w w:val="105"/>
          <w:sz w:val="13"/>
        </w:rPr>
        <w:t> </w:t>
      </w:r>
      <w:r>
        <w:rPr>
          <w:w w:val="105"/>
          <w:sz w:val="13"/>
        </w:rPr>
        <w:t>Council),</w:t>
      </w:r>
      <w:r>
        <w:rPr>
          <w:spacing w:val="8"/>
          <w:w w:val="105"/>
          <w:sz w:val="13"/>
        </w:rPr>
        <w:t> </w:t>
      </w:r>
      <w:r>
        <w:rPr>
          <w:w w:val="105"/>
          <w:sz w:val="13"/>
        </w:rPr>
        <w:t>10</w:t>
      </w:r>
      <w:r>
        <w:rPr>
          <w:spacing w:val="7"/>
          <w:w w:val="105"/>
          <w:sz w:val="13"/>
        </w:rPr>
        <w:t> </w:t>
      </w:r>
      <w:r>
        <w:rPr>
          <w:spacing w:val="2"/>
          <w:w w:val="105"/>
          <w:sz w:val="13"/>
        </w:rPr>
        <w:t>(Baw</w:t>
      </w:r>
      <w:r>
        <w:rPr>
          <w:spacing w:val="8"/>
          <w:w w:val="105"/>
          <w:sz w:val="13"/>
        </w:rPr>
        <w:t> </w:t>
      </w:r>
      <w:r>
        <w:rPr>
          <w:w w:val="105"/>
          <w:sz w:val="13"/>
        </w:rPr>
        <w:t>Baw</w:t>
      </w:r>
      <w:r>
        <w:rPr>
          <w:spacing w:val="8"/>
          <w:w w:val="105"/>
          <w:sz w:val="13"/>
        </w:rPr>
        <w:t> </w:t>
      </w:r>
      <w:r>
        <w:rPr>
          <w:w w:val="105"/>
          <w:sz w:val="13"/>
        </w:rPr>
        <w:t>Shire</w:t>
      </w:r>
      <w:r>
        <w:rPr>
          <w:spacing w:val="8"/>
          <w:w w:val="105"/>
          <w:sz w:val="13"/>
        </w:rPr>
        <w:t> </w:t>
      </w:r>
      <w:r>
        <w:rPr>
          <w:w w:val="105"/>
          <w:sz w:val="13"/>
        </w:rPr>
        <w:t>Council).</w:t>
      </w:r>
    </w:p>
    <w:p>
      <w:pPr>
        <w:pStyle w:val="ListParagraph"/>
        <w:numPr>
          <w:ilvl w:val="0"/>
          <w:numId w:val="18"/>
        </w:numPr>
        <w:tabs>
          <w:tab w:pos="2380" w:val="left" w:leader="none"/>
          <w:tab w:pos="2382" w:val="left" w:leader="none"/>
        </w:tabs>
        <w:spacing w:line="240" w:lineRule="auto" w:before="3" w:after="0"/>
        <w:ind w:left="2381" w:right="0" w:hanging="794"/>
        <w:jc w:val="left"/>
        <w:rPr>
          <w:sz w:val="13"/>
        </w:rPr>
      </w:pPr>
      <w:r>
        <w:rPr>
          <w:w w:val="105"/>
          <w:sz w:val="13"/>
        </w:rPr>
        <w:t>Submissions 24 </w:t>
      </w:r>
      <w:r>
        <w:rPr>
          <w:spacing w:val="2"/>
          <w:w w:val="105"/>
          <w:sz w:val="13"/>
        </w:rPr>
        <w:t>(Name </w:t>
      </w:r>
      <w:r>
        <w:rPr>
          <w:w w:val="105"/>
          <w:sz w:val="13"/>
        </w:rPr>
        <w:t>withheld), 27 </w:t>
      </w:r>
      <w:r>
        <w:rPr>
          <w:spacing w:val="2"/>
          <w:w w:val="105"/>
          <w:sz w:val="13"/>
        </w:rPr>
        <w:t>(Name </w:t>
      </w:r>
      <w:r>
        <w:rPr>
          <w:w w:val="105"/>
          <w:sz w:val="13"/>
        </w:rPr>
        <w:t>withheld), 38 </w:t>
      </w:r>
      <w:r>
        <w:rPr>
          <w:spacing w:val="3"/>
          <w:w w:val="105"/>
          <w:sz w:val="13"/>
        </w:rPr>
        <w:t>(L. </w:t>
      </w:r>
      <w:r>
        <w:rPr>
          <w:spacing w:val="2"/>
          <w:w w:val="105"/>
          <w:sz w:val="13"/>
        </w:rPr>
        <w:t>Barry</w:t>
      </w:r>
      <w:r>
        <w:rPr>
          <w:spacing w:val="5"/>
          <w:w w:val="105"/>
          <w:sz w:val="13"/>
        </w:rPr>
        <w:t> </w:t>
      </w:r>
      <w:r>
        <w:rPr>
          <w:w w:val="105"/>
          <w:sz w:val="13"/>
        </w:rPr>
        <w:t>Wollmer).</w:t>
      </w:r>
    </w:p>
    <w:p>
      <w:pPr>
        <w:pStyle w:val="ListParagraph"/>
        <w:numPr>
          <w:ilvl w:val="0"/>
          <w:numId w:val="18"/>
        </w:numPr>
        <w:tabs>
          <w:tab w:pos="2380" w:val="left" w:leader="none"/>
          <w:tab w:pos="2382" w:val="left" w:leader="none"/>
        </w:tabs>
        <w:spacing w:line="240" w:lineRule="auto" w:before="1" w:after="0"/>
        <w:ind w:left="2381" w:right="1423" w:hanging="794"/>
        <w:jc w:val="left"/>
        <w:rPr>
          <w:sz w:val="13"/>
        </w:rPr>
      </w:pPr>
      <w:r>
        <w:rPr>
          <w:w w:val="105"/>
          <w:sz w:val="13"/>
        </w:rPr>
        <w:t>Submissions 30 </w:t>
      </w:r>
      <w:r>
        <w:rPr>
          <w:spacing w:val="3"/>
          <w:w w:val="105"/>
          <w:sz w:val="13"/>
        </w:rPr>
        <w:t>(Law </w:t>
      </w:r>
      <w:r>
        <w:rPr>
          <w:w w:val="105"/>
          <w:sz w:val="13"/>
        </w:rPr>
        <w:t>Institute of </w:t>
      </w:r>
      <w:r>
        <w:rPr>
          <w:spacing w:val="2"/>
          <w:w w:val="105"/>
          <w:sz w:val="13"/>
        </w:rPr>
        <w:t>Victoria), </w:t>
      </w:r>
      <w:r>
        <w:rPr>
          <w:w w:val="105"/>
          <w:sz w:val="13"/>
        </w:rPr>
        <w:t>36 (Monique </w:t>
      </w:r>
      <w:r>
        <w:rPr>
          <w:spacing w:val="2"/>
          <w:w w:val="105"/>
          <w:sz w:val="13"/>
        </w:rPr>
        <w:t>Onezime); </w:t>
      </w:r>
      <w:r>
        <w:rPr>
          <w:w w:val="105"/>
          <w:sz w:val="13"/>
        </w:rPr>
        <w:t>Consultations 1 (Aldo Taranto), 3 </w:t>
      </w:r>
      <w:r>
        <w:rPr>
          <w:spacing w:val="3"/>
          <w:w w:val="105"/>
          <w:sz w:val="13"/>
        </w:rPr>
        <w:t>(HVP </w:t>
      </w:r>
      <w:r>
        <w:rPr>
          <w:w w:val="105"/>
          <w:sz w:val="13"/>
        </w:rPr>
        <w:t>Plantations), 8 (City of Boroondara),    9 (Nillumbik Shire Council), 10 </w:t>
      </w:r>
      <w:r>
        <w:rPr>
          <w:spacing w:val="2"/>
          <w:w w:val="105"/>
          <w:sz w:val="13"/>
        </w:rPr>
        <w:t>(Baw </w:t>
      </w:r>
      <w:r>
        <w:rPr>
          <w:w w:val="105"/>
          <w:sz w:val="13"/>
        </w:rPr>
        <w:t>Baw Shire</w:t>
      </w:r>
      <w:r>
        <w:rPr>
          <w:spacing w:val="5"/>
          <w:w w:val="105"/>
          <w:sz w:val="13"/>
        </w:rPr>
        <w:t> </w:t>
      </w:r>
      <w:r>
        <w:rPr>
          <w:w w:val="105"/>
          <w:sz w:val="13"/>
        </w:rPr>
        <w:t>Council).</w:t>
      </w:r>
    </w:p>
    <w:p>
      <w:pPr>
        <w:pStyle w:val="ListParagraph"/>
        <w:numPr>
          <w:ilvl w:val="0"/>
          <w:numId w:val="18"/>
        </w:numPr>
        <w:tabs>
          <w:tab w:pos="2380" w:val="left" w:leader="none"/>
          <w:tab w:pos="2382" w:val="left" w:leader="none"/>
        </w:tabs>
        <w:spacing w:line="240" w:lineRule="auto" w:before="3" w:after="0"/>
        <w:ind w:left="2381" w:right="0" w:hanging="794"/>
        <w:jc w:val="left"/>
        <w:rPr>
          <w:sz w:val="13"/>
        </w:rPr>
      </w:pPr>
      <w:r>
        <w:rPr>
          <w:w w:val="105"/>
          <w:sz w:val="13"/>
        </w:rPr>
        <w:t>Submissions</w:t>
      </w:r>
      <w:r>
        <w:rPr>
          <w:spacing w:val="4"/>
          <w:w w:val="105"/>
          <w:sz w:val="13"/>
        </w:rPr>
        <w:t> </w:t>
      </w:r>
      <w:r>
        <w:rPr>
          <w:w w:val="105"/>
          <w:sz w:val="13"/>
        </w:rPr>
        <w:t>3</w:t>
      </w:r>
      <w:r>
        <w:rPr>
          <w:spacing w:val="5"/>
          <w:w w:val="105"/>
          <w:sz w:val="13"/>
        </w:rPr>
        <w:t> </w:t>
      </w:r>
      <w:r>
        <w:rPr>
          <w:spacing w:val="3"/>
          <w:w w:val="105"/>
          <w:sz w:val="13"/>
        </w:rPr>
        <w:t>(HVP</w:t>
      </w:r>
      <w:r>
        <w:rPr>
          <w:spacing w:val="5"/>
          <w:w w:val="105"/>
          <w:sz w:val="13"/>
        </w:rPr>
        <w:t> </w:t>
      </w:r>
      <w:r>
        <w:rPr>
          <w:w w:val="105"/>
          <w:sz w:val="13"/>
        </w:rPr>
        <w:t>Plantations),</w:t>
      </w:r>
      <w:r>
        <w:rPr>
          <w:spacing w:val="4"/>
          <w:w w:val="105"/>
          <w:sz w:val="13"/>
        </w:rPr>
        <w:t> </w:t>
      </w:r>
      <w:r>
        <w:rPr>
          <w:w w:val="105"/>
          <w:sz w:val="13"/>
        </w:rPr>
        <w:t>9</w:t>
      </w:r>
      <w:r>
        <w:rPr>
          <w:spacing w:val="5"/>
          <w:w w:val="105"/>
          <w:sz w:val="13"/>
        </w:rPr>
        <w:t> </w:t>
      </w:r>
      <w:r>
        <w:rPr>
          <w:spacing w:val="3"/>
          <w:w w:val="105"/>
          <w:sz w:val="13"/>
        </w:rPr>
        <w:t>(Dr</w:t>
      </w:r>
      <w:r>
        <w:rPr>
          <w:spacing w:val="5"/>
          <w:w w:val="105"/>
          <w:sz w:val="13"/>
        </w:rPr>
        <w:t> </w:t>
      </w:r>
      <w:r>
        <w:rPr>
          <w:w w:val="105"/>
          <w:sz w:val="13"/>
        </w:rPr>
        <w:t>Karen</w:t>
      </w:r>
      <w:r>
        <w:rPr>
          <w:spacing w:val="4"/>
          <w:w w:val="105"/>
          <w:sz w:val="13"/>
        </w:rPr>
        <w:t> </w:t>
      </w:r>
      <w:r>
        <w:rPr>
          <w:w w:val="105"/>
          <w:sz w:val="13"/>
        </w:rPr>
        <w:t>Smith),</w:t>
      </w:r>
      <w:r>
        <w:rPr>
          <w:spacing w:val="5"/>
          <w:w w:val="105"/>
          <w:sz w:val="13"/>
        </w:rPr>
        <w:t> </w:t>
      </w:r>
      <w:r>
        <w:rPr>
          <w:w w:val="105"/>
          <w:sz w:val="13"/>
        </w:rPr>
        <w:t>22</w:t>
      </w:r>
      <w:r>
        <w:rPr>
          <w:spacing w:val="5"/>
          <w:w w:val="105"/>
          <w:sz w:val="13"/>
        </w:rPr>
        <w:t> </w:t>
      </w:r>
      <w:r>
        <w:rPr>
          <w:spacing w:val="2"/>
          <w:w w:val="105"/>
          <w:sz w:val="13"/>
        </w:rPr>
        <w:t>(Name</w:t>
      </w:r>
      <w:r>
        <w:rPr>
          <w:spacing w:val="4"/>
          <w:w w:val="105"/>
          <w:sz w:val="13"/>
        </w:rPr>
        <w:t> </w:t>
      </w:r>
      <w:r>
        <w:rPr>
          <w:w w:val="105"/>
          <w:sz w:val="13"/>
        </w:rPr>
        <w:t>withheld),</w:t>
      </w:r>
      <w:r>
        <w:rPr>
          <w:spacing w:val="5"/>
          <w:w w:val="105"/>
          <w:sz w:val="13"/>
        </w:rPr>
        <w:t> </w:t>
      </w:r>
      <w:r>
        <w:rPr>
          <w:w w:val="105"/>
          <w:sz w:val="13"/>
        </w:rPr>
        <w:t>24</w:t>
      </w:r>
      <w:r>
        <w:rPr>
          <w:spacing w:val="5"/>
          <w:w w:val="105"/>
          <w:sz w:val="13"/>
        </w:rPr>
        <w:t> </w:t>
      </w:r>
      <w:r>
        <w:rPr>
          <w:spacing w:val="2"/>
          <w:w w:val="105"/>
          <w:sz w:val="13"/>
        </w:rPr>
        <w:t>(Name</w:t>
      </w:r>
      <w:r>
        <w:rPr>
          <w:spacing w:val="4"/>
          <w:w w:val="105"/>
          <w:sz w:val="13"/>
        </w:rPr>
        <w:t> </w:t>
      </w:r>
      <w:r>
        <w:rPr>
          <w:w w:val="105"/>
          <w:sz w:val="13"/>
        </w:rPr>
        <w:t>withheld).</w:t>
      </w:r>
    </w:p>
    <w:p>
      <w:pPr>
        <w:pStyle w:val="ListParagraph"/>
        <w:numPr>
          <w:ilvl w:val="0"/>
          <w:numId w:val="18"/>
        </w:numPr>
        <w:tabs>
          <w:tab w:pos="2380"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1</w:t>
      </w:r>
      <w:r>
        <w:rPr>
          <w:spacing w:val="5"/>
          <w:w w:val="105"/>
          <w:sz w:val="13"/>
        </w:rPr>
        <w:t> </w:t>
      </w:r>
      <w:r>
        <w:rPr>
          <w:spacing w:val="2"/>
          <w:w w:val="105"/>
          <w:sz w:val="13"/>
        </w:rPr>
        <w:t>(Ian</w:t>
      </w:r>
      <w:r>
        <w:rPr>
          <w:spacing w:val="5"/>
          <w:w w:val="105"/>
          <w:sz w:val="13"/>
        </w:rPr>
        <w:t> </w:t>
      </w:r>
      <w:r>
        <w:rPr>
          <w:w w:val="105"/>
          <w:sz w:val="13"/>
        </w:rPr>
        <w:t>Collier),</w:t>
      </w:r>
      <w:r>
        <w:rPr>
          <w:spacing w:val="5"/>
          <w:w w:val="105"/>
          <w:sz w:val="13"/>
        </w:rPr>
        <w:t> </w:t>
      </w:r>
      <w:r>
        <w:rPr>
          <w:w w:val="105"/>
          <w:sz w:val="13"/>
        </w:rPr>
        <w:t>22</w:t>
      </w:r>
      <w:r>
        <w:rPr>
          <w:spacing w:val="5"/>
          <w:w w:val="105"/>
          <w:sz w:val="13"/>
        </w:rPr>
        <w:t> </w:t>
      </w:r>
      <w:r>
        <w:rPr>
          <w:spacing w:val="2"/>
          <w:w w:val="105"/>
          <w:sz w:val="13"/>
        </w:rPr>
        <w:t>(Name</w:t>
      </w:r>
      <w:r>
        <w:rPr>
          <w:spacing w:val="5"/>
          <w:w w:val="105"/>
          <w:sz w:val="13"/>
        </w:rPr>
        <w:t> </w:t>
      </w:r>
      <w:r>
        <w:rPr>
          <w:w w:val="105"/>
          <w:sz w:val="13"/>
        </w:rPr>
        <w:t>withheld),</w:t>
      </w:r>
      <w:r>
        <w:rPr>
          <w:spacing w:val="4"/>
          <w:w w:val="105"/>
          <w:sz w:val="13"/>
        </w:rPr>
        <w:t> </w:t>
      </w:r>
      <w:r>
        <w:rPr>
          <w:w w:val="105"/>
          <w:sz w:val="13"/>
        </w:rPr>
        <w:t>24</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34</w:t>
      </w:r>
      <w:r>
        <w:rPr>
          <w:spacing w:val="5"/>
          <w:w w:val="105"/>
          <w:sz w:val="13"/>
        </w:rPr>
        <w:t> </w:t>
      </w:r>
      <w:r>
        <w:rPr>
          <w:w w:val="105"/>
          <w:sz w:val="13"/>
        </w:rPr>
        <w:t>(Allan</w:t>
      </w:r>
      <w:r>
        <w:rPr>
          <w:spacing w:val="5"/>
          <w:w w:val="105"/>
          <w:sz w:val="13"/>
        </w:rPr>
        <w:t> </w:t>
      </w:r>
      <w:r>
        <w:rPr>
          <w:w w:val="105"/>
          <w:sz w:val="13"/>
        </w:rPr>
        <w:t>Day);</w:t>
      </w:r>
      <w:r>
        <w:rPr>
          <w:spacing w:val="4"/>
          <w:w w:val="105"/>
          <w:sz w:val="13"/>
        </w:rPr>
        <w:t> </w:t>
      </w:r>
      <w:r>
        <w:rPr>
          <w:w w:val="105"/>
          <w:sz w:val="13"/>
        </w:rPr>
        <w:t>Survey</w:t>
      </w:r>
      <w:r>
        <w:rPr>
          <w:spacing w:val="5"/>
          <w:w w:val="105"/>
          <w:sz w:val="13"/>
        </w:rPr>
        <w:t> </w:t>
      </w:r>
      <w:r>
        <w:rPr>
          <w:w w:val="105"/>
          <w:sz w:val="13"/>
        </w:rPr>
        <w:t>Respondent</w:t>
      </w:r>
      <w:r>
        <w:rPr>
          <w:spacing w:val="5"/>
          <w:w w:val="105"/>
          <w:sz w:val="13"/>
        </w:rPr>
        <w:t> </w:t>
      </w:r>
      <w:r>
        <w:rPr>
          <w:w w:val="105"/>
          <w:sz w:val="13"/>
        </w:rPr>
        <w:t>93.</w:t>
      </w:r>
    </w:p>
    <w:p>
      <w:pPr>
        <w:pStyle w:val="ListParagraph"/>
        <w:numPr>
          <w:ilvl w:val="0"/>
          <w:numId w:val="18"/>
        </w:numPr>
        <w:tabs>
          <w:tab w:pos="2380" w:val="left" w:leader="none"/>
          <w:tab w:pos="2382" w:val="left" w:leader="none"/>
        </w:tabs>
        <w:spacing w:line="240" w:lineRule="auto" w:before="1" w:after="0"/>
        <w:ind w:left="2381" w:right="0" w:hanging="794"/>
        <w:jc w:val="left"/>
        <w:rPr>
          <w:sz w:val="13"/>
        </w:rPr>
      </w:pPr>
      <w:r>
        <w:rPr>
          <w:w w:val="105"/>
          <w:sz w:val="13"/>
        </w:rPr>
        <w:t>Submission 24 </w:t>
      </w:r>
      <w:r>
        <w:rPr>
          <w:spacing w:val="2"/>
          <w:w w:val="105"/>
          <w:sz w:val="13"/>
        </w:rPr>
        <w:t>(Name</w:t>
      </w:r>
      <w:r>
        <w:rPr>
          <w:spacing w:val="13"/>
          <w:w w:val="105"/>
          <w:sz w:val="13"/>
        </w:rPr>
        <w:t> </w:t>
      </w:r>
      <w:r>
        <w:rPr>
          <w:w w:val="105"/>
          <w:sz w:val="13"/>
        </w:rPr>
        <w:t>withheld).</w:t>
      </w:r>
    </w:p>
    <w:p>
      <w:pPr>
        <w:pStyle w:val="ListParagraph"/>
        <w:numPr>
          <w:ilvl w:val="0"/>
          <w:numId w:val="18"/>
        </w:numPr>
        <w:tabs>
          <w:tab w:pos="2380" w:val="left" w:leader="none"/>
          <w:tab w:pos="2382" w:val="left" w:leader="none"/>
        </w:tabs>
        <w:spacing w:line="240" w:lineRule="auto" w:before="2" w:after="0"/>
        <w:ind w:left="2381" w:right="0" w:hanging="794"/>
        <w:jc w:val="left"/>
        <w:rPr>
          <w:sz w:val="13"/>
        </w:rPr>
      </w:pPr>
      <w:r>
        <w:rPr>
          <w:w w:val="105"/>
          <w:sz w:val="13"/>
        </w:rPr>
        <w:t>Submission 38 </w:t>
      </w:r>
      <w:r>
        <w:rPr>
          <w:spacing w:val="3"/>
          <w:w w:val="105"/>
          <w:sz w:val="13"/>
        </w:rPr>
        <w:t>(L. </w:t>
      </w:r>
      <w:r>
        <w:rPr>
          <w:spacing w:val="2"/>
          <w:w w:val="105"/>
          <w:sz w:val="13"/>
        </w:rPr>
        <w:t>Barry</w:t>
      </w:r>
      <w:r>
        <w:rPr>
          <w:spacing w:val="14"/>
          <w:w w:val="105"/>
          <w:sz w:val="13"/>
        </w:rPr>
        <w:t> </w:t>
      </w:r>
      <w:r>
        <w:rPr>
          <w:w w:val="105"/>
          <w:sz w:val="13"/>
        </w:rPr>
        <w:t>Wollmer).</w:t>
      </w:r>
    </w:p>
    <w:p>
      <w:pPr>
        <w:pStyle w:val="ListParagraph"/>
        <w:numPr>
          <w:ilvl w:val="0"/>
          <w:numId w:val="18"/>
        </w:numPr>
        <w:tabs>
          <w:tab w:pos="2380" w:val="left" w:leader="none"/>
          <w:tab w:pos="2382" w:val="left" w:leader="none"/>
        </w:tabs>
        <w:spacing w:line="240" w:lineRule="auto" w:before="1" w:after="0"/>
        <w:ind w:left="2381" w:right="0" w:hanging="794"/>
        <w:jc w:val="left"/>
        <w:rPr>
          <w:sz w:val="13"/>
        </w:rPr>
      </w:pPr>
      <w:r>
        <w:rPr>
          <w:w w:val="105"/>
          <w:sz w:val="13"/>
        </w:rPr>
        <w:t>Submission </w:t>
      </w:r>
      <w:r>
        <w:rPr>
          <w:spacing w:val="-3"/>
          <w:w w:val="105"/>
          <w:sz w:val="13"/>
        </w:rPr>
        <w:t>19 </w:t>
      </w:r>
      <w:r>
        <w:rPr>
          <w:spacing w:val="2"/>
          <w:w w:val="105"/>
          <w:sz w:val="13"/>
        </w:rPr>
        <w:t>(Name </w:t>
      </w:r>
      <w:r>
        <w:rPr>
          <w:w w:val="105"/>
          <w:sz w:val="13"/>
        </w:rPr>
        <w:t>withheld); Consultation </w:t>
      </w:r>
      <w:r>
        <w:rPr>
          <w:spacing w:val="-3"/>
          <w:w w:val="105"/>
          <w:sz w:val="13"/>
        </w:rPr>
        <w:t>14 </w:t>
      </w:r>
      <w:r>
        <w:rPr>
          <w:spacing w:val="2"/>
          <w:w w:val="105"/>
          <w:sz w:val="13"/>
        </w:rPr>
        <w:t>(Robert</w:t>
      </w:r>
      <w:r>
        <w:rPr>
          <w:spacing w:val="3"/>
          <w:w w:val="105"/>
          <w:sz w:val="13"/>
        </w:rPr>
        <w:t> </w:t>
      </w:r>
      <w:r>
        <w:rPr>
          <w:spacing w:val="2"/>
          <w:w w:val="105"/>
          <w:sz w:val="13"/>
        </w:rPr>
        <w:t>Mineo).</w:t>
      </w:r>
    </w:p>
    <w:p>
      <w:pPr>
        <w:pStyle w:val="ListParagraph"/>
        <w:numPr>
          <w:ilvl w:val="0"/>
          <w:numId w:val="18"/>
        </w:numPr>
        <w:tabs>
          <w:tab w:pos="2380" w:val="left" w:leader="none"/>
          <w:tab w:pos="2382" w:val="left" w:leader="none"/>
        </w:tabs>
        <w:spacing w:line="240" w:lineRule="auto" w:before="1" w:after="0"/>
        <w:ind w:left="2381" w:right="1478" w:hanging="794"/>
        <w:jc w:val="left"/>
        <w:rPr>
          <w:sz w:val="13"/>
        </w:rPr>
      </w:pPr>
      <w:r>
        <w:rPr>
          <w:w w:val="105"/>
          <w:sz w:val="13"/>
        </w:rPr>
        <w:t>Submissions 5 </w:t>
      </w:r>
      <w:r>
        <w:rPr>
          <w:spacing w:val="2"/>
          <w:w w:val="105"/>
          <w:sz w:val="13"/>
        </w:rPr>
        <w:t>(Name </w:t>
      </w:r>
      <w:r>
        <w:rPr>
          <w:w w:val="105"/>
          <w:sz w:val="13"/>
        </w:rPr>
        <w:t>withheld), 6 </w:t>
      </w:r>
      <w:r>
        <w:rPr>
          <w:spacing w:val="2"/>
          <w:w w:val="105"/>
          <w:sz w:val="13"/>
        </w:rPr>
        <w:t>(Name </w:t>
      </w:r>
      <w:r>
        <w:rPr>
          <w:w w:val="105"/>
          <w:sz w:val="13"/>
        </w:rPr>
        <w:t>withheld), </w:t>
      </w:r>
      <w:r>
        <w:rPr>
          <w:spacing w:val="-4"/>
          <w:w w:val="105"/>
          <w:sz w:val="13"/>
        </w:rPr>
        <w:t>13 </w:t>
      </w:r>
      <w:r>
        <w:rPr>
          <w:w w:val="105"/>
          <w:sz w:val="13"/>
        </w:rPr>
        <w:t>(Mandy Collins), </w:t>
      </w:r>
      <w:r>
        <w:rPr>
          <w:spacing w:val="-3"/>
          <w:w w:val="105"/>
          <w:sz w:val="13"/>
        </w:rPr>
        <w:t>19 </w:t>
      </w:r>
      <w:r>
        <w:rPr>
          <w:spacing w:val="2"/>
          <w:w w:val="105"/>
          <w:sz w:val="13"/>
        </w:rPr>
        <w:t>(Name </w:t>
      </w:r>
      <w:r>
        <w:rPr>
          <w:w w:val="105"/>
          <w:sz w:val="13"/>
        </w:rPr>
        <w:t>withheld), 22 </w:t>
      </w:r>
      <w:r>
        <w:rPr>
          <w:spacing w:val="2"/>
          <w:w w:val="105"/>
          <w:sz w:val="13"/>
        </w:rPr>
        <w:t>(Name </w:t>
      </w:r>
      <w:r>
        <w:rPr>
          <w:w w:val="105"/>
          <w:sz w:val="13"/>
        </w:rPr>
        <w:t>withheld); Consultation 10 </w:t>
      </w:r>
      <w:r>
        <w:rPr>
          <w:spacing w:val="2"/>
          <w:w w:val="105"/>
          <w:sz w:val="13"/>
        </w:rPr>
        <w:t>(Baw </w:t>
      </w:r>
      <w:r>
        <w:rPr>
          <w:w w:val="105"/>
          <w:sz w:val="13"/>
        </w:rPr>
        <w:t>Baw Shire</w:t>
      </w:r>
      <w:r>
        <w:rPr>
          <w:spacing w:val="4"/>
          <w:w w:val="105"/>
          <w:sz w:val="13"/>
        </w:rPr>
        <w:t> </w:t>
      </w:r>
      <w:r>
        <w:rPr>
          <w:w w:val="105"/>
          <w:sz w:val="13"/>
        </w:rPr>
        <w:t>Council).</w:t>
      </w:r>
    </w:p>
    <w:p>
      <w:pPr>
        <w:pStyle w:val="ListParagraph"/>
        <w:numPr>
          <w:ilvl w:val="0"/>
          <w:numId w:val="18"/>
        </w:numPr>
        <w:tabs>
          <w:tab w:pos="2380" w:val="left" w:leader="none"/>
          <w:tab w:pos="2382" w:val="left" w:leader="none"/>
        </w:tabs>
        <w:spacing w:line="240" w:lineRule="auto" w:before="3" w:after="0"/>
        <w:ind w:left="2381" w:right="1494" w:hanging="794"/>
        <w:jc w:val="left"/>
        <w:rPr>
          <w:sz w:val="13"/>
        </w:rPr>
      </w:pPr>
      <w:r>
        <w:rPr>
          <w:w w:val="105"/>
          <w:sz w:val="13"/>
        </w:rPr>
        <w:t>A Bushfire Attack Level </w:t>
      </w:r>
      <w:r>
        <w:rPr>
          <w:spacing w:val="3"/>
          <w:w w:val="105"/>
          <w:sz w:val="13"/>
        </w:rPr>
        <w:t>(BAL) </w:t>
      </w:r>
      <w:r>
        <w:rPr>
          <w:w w:val="105"/>
          <w:sz w:val="13"/>
        </w:rPr>
        <w:t>is a way of measuring a building’s ability to withstand bushfire attack: Department of Environment, Land, Water and Planning </w:t>
      </w:r>
      <w:r>
        <w:rPr>
          <w:spacing w:val="2"/>
          <w:w w:val="105"/>
          <w:sz w:val="13"/>
        </w:rPr>
        <w:t>(Vic), </w:t>
      </w:r>
      <w:r>
        <w:rPr>
          <w:w w:val="105"/>
          <w:sz w:val="13"/>
        </w:rPr>
        <w:t>‘Minimum Construction Standard’, </w:t>
      </w:r>
      <w:r>
        <w:rPr>
          <w:i/>
          <w:w w:val="105"/>
          <w:sz w:val="13"/>
        </w:rPr>
        <w:t>Building in Bushfire Prone Areas </w:t>
      </w:r>
      <w:r>
        <w:rPr>
          <w:w w:val="105"/>
          <w:sz w:val="13"/>
        </w:rPr>
        <w:t>(Web Page, 4 April 2019) </w:t>
      </w:r>
      <w:r>
        <w:rPr>
          <w:spacing w:val="2"/>
          <w:w w:val="105"/>
          <w:sz w:val="13"/>
        </w:rPr>
        <w:t>&lt;https://</w:t>
      </w:r>
      <w:hyperlink r:id="rId35">
        <w:r>
          <w:rPr>
            <w:spacing w:val="2"/>
            <w:w w:val="105"/>
            <w:sz w:val="13"/>
          </w:rPr>
          <w:t>www.planning.vic.</w:t>
        </w:r>
      </w:hyperlink>
      <w:r>
        <w:rPr>
          <w:spacing w:val="2"/>
          <w:w w:val="105"/>
          <w:sz w:val="13"/>
        </w:rPr>
        <w:t> gov.au/policy-and-strategy/bushfire-protection/building-in-bushfire-prone-areas&gt;.</w:t>
      </w:r>
    </w:p>
    <w:p>
      <w:pPr>
        <w:pStyle w:val="ListParagraph"/>
        <w:numPr>
          <w:ilvl w:val="0"/>
          <w:numId w:val="18"/>
        </w:numPr>
        <w:tabs>
          <w:tab w:pos="2381" w:val="left" w:leader="none"/>
          <w:tab w:pos="2382" w:val="left" w:leader="none"/>
        </w:tabs>
        <w:spacing w:line="240" w:lineRule="auto" w:before="4" w:after="0"/>
        <w:ind w:left="2381" w:right="0" w:hanging="794"/>
        <w:jc w:val="left"/>
        <w:rPr>
          <w:sz w:val="13"/>
        </w:rPr>
      </w:pPr>
      <w:r>
        <w:rPr>
          <w:w w:val="105"/>
          <w:sz w:val="13"/>
        </w:rPr>
        <w:t>Submission </w:t>
      </w:r>
      <w:r>
        <w:rPr>
          <w:spacing w:val="-4"/>
          <w:w w:val="105"/>
          <w:sz w:val="13"/>
        </w:rPr>
        <w:t>13 </w:t>
      </w:r>
      <w:r>
        <w:rPr>
          <w:w w:val="105"/>
          <w:sz w:val="13"/>
        </w:rPr>
        <w:t>(Mandy</w:t>
      </w:r>
      <w:r>
        <w:rPr>
          <w:spacing w:val="-9"/>
          <w:w w:val="105"/>
          <w:sz w:val="13"/>
        </w:rPr>
        <w:t> </w:t>
      </w:r>
      <w:r>
        <w:rPr>
          <w:w w:val="105"/>
          <w:sz w:val="13"/>
        </w:rPr>
        <w:t>Collins).</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w w:val="105"/>
          <w:sz w:val="13"/>
        </w:rPr>
        <w:t>Confidential</w:t>
      </w:r>
      <w:r>
        <w:rPr>
          <w:spacing w:val="4"/>
          <w:w w:val="105"/>
          <w:sz w:val="13"/>
        </w:rPr>
        <w:t> </w:t>
      </w:r>
      <w:r>
        <w:rPr>
          <w:w w:val="105"/>
          <w:sz w:val="13"/>
        </w:rPr>
        <w:t>submission.</w:t>
      </w:r>
    </w:p>
    <w:p>
      <w:pPr>
        <w:pStyle w:val="ListParagraph"/>
        <w:numPr>
          <w:ilvl w:val="0"/>
          <w:numId w:val="18"/>
        </w:numPr>
        <w:tabs>
          <w:tab w:pos="2381" w:val="left" w:leader="none"/>
          <w:tab w:pos="2382" w:val="left" w:leader="none"/>
        </w:tabs>
        <w:spacing w:line="240" w:lineRule="auto" w:before="2" w:after="0"/>
        <w:ind w:left="2381" w:right="0" w:hanging="794"/>
        <w:jc w:val="left"/>
        <w:rPr>
          <w:sz w:val="13"/>
        </w:rPr>
      </w:pPr>
      <w:r>
        <w:rPr>
          <w:w w:val="105"/>
          <w:sz w:val="13"/>
        </w:rPr>
        <w:t>Submission 22 </w:t>
      </w:r>
      <w:r>
        <w:rPr>
          <w:spacing w:val="2"/>
          <w:w w:val="105"/>
          <w:sz w:val="13"/>
        </w:rPr>
        <w:t>(Name</w:t>
      </w:r>
      <w:r>
        <w:rPr>
          <w:spacing w:val="25"/>
          <w:w w:val="105"/>
          <w:sz w:val="13"/>
        </w:rPr>
        <w:t> </w:t>
      </w:r>
      <w:r>
        <w:rPr>
          <w:w w:val="105"/>
          <w:sz w:val="13"/>
        </w:rPr>
        <w:t>withheld).</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w w:val="105"/>
          <w:sz w:val="13"/>
        </w:rPr>
        <w:t>Submission 28 </w:t>
      </w:r>
      <w:r>
        <w:rPr>
          <w:spacing w:val="3"/>
          <w:w w:val="105"/>
          <w:sz w:val="13"/>
        </w:rPr>
        <w:t>(HVP</w:t>
      </w:r>
      <w:r>
        <w:rPr>
          <w:spacing w:val="17"/>
          <w:w w:val="105"/>
          <w:sz w:val="13"/>
        </w:rPr>
        <w:t> </w:t>
      </w:r>
      <w:r>
        <w:rPr>
          <w:w w:val="105"/>
          <w:sz w:val="13"/>
        </w:rPr>
        <w:t>Plantations).</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3"/>
          <w:w w:val="105"/>
          <w:sz w:val="13"/>
        </w:rPr>
        <w:t>19 </w:t>
      </w:r>
      <w:r>
        <w:rPr>
          <w:spacing w:val="2"/>
          <w:w w:val="105"/>
          <w:sz w:val="13"/>
        </w:rPr>
        <w:t>(Name </w:t>
      </w:r>
      <w:r>
        <w:rPr>
          <w:w w:val="105"/>
          <w:sz w:val="13"/>
        </w:rPr>
        <w:t>withheld), 36 (Monique</w:t>
      </w:r>
      <w:r>
        <w:rPr>
          <w:spacing w:val="29"/>
          <w:w w:val="105"/>
          <w:sz w:val="13"/>
        </w:rPr>
        <w:t> </w:t>
      </w:r>
      <w:r>
        <w:rPr>
          <w:w w:val="105"/>
          <w:sz w:val="13"/>
        </w:rPr>
        <w:t>Onezime)</w:t>
      </w:r>
    </w:p>
    <w:p>
      <w:pPr>
        <w:pStyle w:val="ListParagraph"/>
        <w:numPr>
          <w:ilvl w:val="0"/>
          <w:numId w:val="18"/>
        </w:numPr>
        <w:tabs>
          <w:tab w:pos="2381" w:val="left" w:leader="none"/>
          <w:tab w:pos="2382" w:val="left" w:leader="none"/>
        </w:tabs>
        <w:spacing w:line="240" w:lineRule="auto" w:before="2" w:after="0"/>
        <w:ind w:left="2381" w:right="0" w:hanging="794"/>
        <w:jc w:val="left"/>
        <w:rPr>
          <w:sz w:val="13"/>
        </w:rPr>
      </w:pPr>
      <w:r>
        <w:rPr>
          <w:w w:val="105"/>
          <w:sz w:val="13"/>
        </w:rPr>
        <w:t>Survey Respondent</w:t>
      </w:r>
      <w:r>
        <w:rPr>
          <w:spacing w:val="9"/>
          <w:w w:val="105"/>
          <w:sz w:val="13"/>
        </w:rPr>
        <w:t> </w:t>
      </w:r>
      <w:r>
        <w:rPr>
          <w:w w:val="105"/>
          <w:sz w:val="13"/>
        </w:rPr>
        <w:t>99.</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pict>
          <v:shape style="position:absolute;margin-left:36pt;margin-top:2.989265pt;width:12.5pt;height:14.25pt;mso-position-horizontal-relative:page;mso-position-vertical-relative:paragraph;z-index:2152" type="#_x0000_t202" filled="false" stroked="false">
            <v:textbox inset="0,0,0,0">
              <w:txbxContent>
                <w:p>
                  <w:pPr>
                    <w:spacing w:line="284" w:lineRule="exact" w:before="0"/>
                    <w:ind w:left="0" w:right="0" w:firstLine="0"/>
                    <w:jc w:val="left"/>
                    <w:rPr>
                      <w:b/>
                      <w:sz w:val="24"/>
                    </w:rPr>
                  </w:pPr>
                  <w:r>
                    <w:rPr>
                      <w:b/>
                      <w:color w:val="658464"/>
                      <w:spacing w:val="-9"/>
                      <w:w w:val="110"/>
                      <w:sz w:val="24"/>
                    </w:rPr>
                    <w:t>14</w:t>
                  </w:r>
                </w:p>
              </w:txbxContent>
            </v:textbox>
            <w10:wrap type="none"/>
          </v:shape>
        </w:pict>
      </w:r>
      <w:r>
        <w:rPr>
          <w:w w:val="105"/>
          <w:sz w:val="13"/>
        </w:rPr>
        <w:t>Submissions </w:t>
      </w:r>
      <w:r>
        <w:rPr>
          <w:spacing w:val="-4"/>
          <w:w w:val="105"/>
          <w:sz w:val="13"/>
        </w:rPr>
        <w:t>17 </w:t>
      </w:r>
      <w:r>
        <w:rPr>
          <w:spacing w:val="2"/>
          <w:w w:val="105"/>
          <w:sz w:val="13"/>
        </w:rPr>
        <w:t>(Name </w:t>
      </w:r>
      <w:r>
        <w:rPr>
          <w:w w:val="105"/>
          <w:sz w:val="13"/>
        </w:rPr>
        <w:t>withheld), 31 </w:t>
      </w:r>
      <w:r>
        <w:rPr>
          <w:spacing w:val="2"/>
          <w:w w:val="105"/>
          <w:sz w:val="13"/>
        </w:rPr>
        <w:t>(Barwon </w:t>
      </w:r>
      <w:r>
        <w:rPr>
          <w:w w:val="105"/>
          <w:sz w:val="13"/>
        </w:rPr>
        <w:t>Community Legal</w:t>
      </w:r>
      <w:r>
        <w:rPr>
          <w:spacing w:val="10"/>
          <w:w w:val="105"/>
          <w:sz w:val="13"/>
        </w:rPr>
        <w:t> </w:t>
      </w:r>
      <w:r>
        <w:rPr>
          <w:spacing w:val="2"/>
          <w:w w:val="105"/>
          <w:sz w:val="13"/>
        </w:rPr>
        <w:t>Service).</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w w:val="105"/>
          <w:sz w:val="13"/>
        </w:rPr>
        <w:t>Consultations</w:t>
      </w:r>
      <w:r>
        <w:rPr>
          <w:spacing w:val="5"/>
          <w:w w:val="105"/>
          <w:sz w:val="13"/>
        </w:rPr>
        <w:t> </w:t>
      </w:r>
      <w:r>
        <w:rPr>
          <w:w w:val="105"/>
          <w:sz w:val="13"/>
        </w:rPr>
        <w:t>8</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r>
        <w:rPr>
          <w:spacing w:val="5"/>
          <w:w w:val="105"/>
          <w:sz w:val="13"/>
        </w:rPr>
        <w:t> </w:t>
      </w:r>
      <w:r>
        <w:rPr>
          <w:w w:val="105"/>
          <w:sz w:val="13"/>
        </w:rPr>
        <w:t>9</w:t>
      </w:r>
      <w:r>
        <w:rPr>
          <w:spacing w:val="5"/>
          <w:w w:val="105"/>
          <w:sz w:val="13"/>
        </w:rPr>
        <w:t> </w:t>
      </w:r>
      <w:r>
        <w:rPr>
          <w:w w:val="105"/>
          <w:sz w:val="13"/>
        </w:rPr>
        <w:t>(Nillumbik</w:t>
      </w:r>
      <w:r>
        <w:rPr>
          <w:spacing w:val="5"/>
          <w:w w:val="105"/>
          <w:sz w:val="13"/>
        </w:rPr>
        <w:t> </w:t>
      </w:r>
      <w:r>
        <w:rPr>
          <w:w w:val="105"/>
          <w:sz w:val="13"/>
        </w:rPr>
        <w:t>Shire</w:t>
      </w:r>
      <w:r>
        <w:rPr>
          <w:spacing w:val="5"/>
          <w:w w:val="105"/>
          <w:sz w:val="13"/>
        </w:rPr>
        <w:t> </w:t>
      </w:r>
      <w:r>
        <w:rPr>
          <w:w w:val="105"/>
          <w:sz w:val="13"/>
        </w:rPr>
        <w:t>Council),</w:t>
      </w:r>
      <w:r>
        <w:rPr>
          <w:spacing w:val="5"/>
          <w:w w:val="105"/>
          <w:sz w:val="13"/>
        </w:rPr>
        <w:t> </w:t>
      </w:r>
      <w:r>
        <w:rPr>
          <w:w w:val="105"/>
          <w:sz w:val="13"/>
        </w:rPr>
        <w:t>10</w:t>
      </w:r>
      <w:r>
        <w:rPr>
          <w:spacing w:val="5"/>
          <w:w w:val="105"/>
          <w:sz w:val="13"/>
        </w:rPr>
        <w:t> </w:t>
      </w:r>
      <w:r>
        <w:rPr>
          <w:spacing w:val="2"/>
          <w:w w:val="105"/>
          <w:sz w:val="13"/>
        </w:rPr>
        <w:t>(Baw</w:t>
      </w:r>
      <w:r>
        <w:rPr>
          <w:spacing w:val="6"/>
          <w:w w:val="105"/>
          <w:sz w:val="13"/>
        </w:rPr>
        <w:t> </w:t>
      </w:r>
      <w:r>
        <w:rPr>
          <w:w w:val="105"/>
          <w:sz w:val="13"/>
        </w:rPr>
        <w:t>Baw</w:t>
      </w:r>
      <w:r>
        <w:rPr>
          <w:spacing w:val="5"/>
          <w:w w:val="105"/>
          <w:sz w:val="13"/>
        </w:rPr>
        <w:t> </w:t>
      </w:r>
      <w:r>
        <w:rPr>
          <w:w w:val="105"/>
          <w:sz w:val="13"/>
        </w:rPr>
        <w:t>Shire</w:t>
      </w:r>
      <w:r>
        <w:rPr>
          <w:spacing w:val="5"/>
          <w:w w:val="105"/>
          <w:sz w:val="13"/>
        </w:rPr>
        <w:t> </w:t>
      </w:r>
      <w:r>
        <w:rPr>
          <w:w w:val="105"/>
          <w:sz w:val="13"/>
        </w:rPr>
        <w:t>Council).</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835" w:hanging="794"/>
        <w:jc w:val="left"/>
        <w:rPr>
          <w:sz w:val="21"/>
        </w:rPr>
      </w:pPr>
      <w:bookmarkStart w:name="_bookmark14" w:id="41"/>
      <w:bookmarkEnd w:id="41"/>
      <w:r>
        <w:rPr/>
      </w:r>
      <w:bookmarkStart w:name="_bookmark14" w:id="42"/>
      <w:bookmarkEnd w:id="42"/>
      <w:r>
        <w:rPr>
          <w:sz w:val="21"/>
        </w:rPr>
        <w:t>T</w:t>
      </w:r>
      <w:r>
        <w:rPr>
          <w:sz w:val="21"/>
        </w:rPr>
        <w:t>he </w:t>
      </w:r>
      <w:r>
        <w:rPr>
          <w:spacing w:val="-3"/>
          <w:sz w:val="21"/>
        </w:rPr>
        <w:t>Commission </w:t>
      </w:r>
      <w:r>
        <w:rPr>
          <w:sz w:val="21"/>
        </w:rPr>
        <w:t>observes </w:t>
      </w:r>
      <w:r>
        <w:rPr>
          <w:spacing w:val="-3"/>
          <w:sz w:val="21"/>
        </w:rPr>
        <w:t>that </w:t>
      </w:r>
      <w:r>
        <w:rPr>
          <w:sz w:val="21"/>
        </w:rPr>
        <w:t>trees on </w:t>
      </w:r>
      <w:r>
        <w:rPr>
          <w:spacing w:val="-3"/>
          <w:sz w:val="21"/>
        </w:rPr>
        <w:t>private  land  are  usually  </w:t>
      </w:r>
      <w:r>
        <w:rPr>
          <w:sz w:val="21"/>
        </w:rPr>
        <w:t>privately  owned,  but the benefits of </w:t>
      </w:r>
      <w:r>
        <w:rPr>
          <w:spacing w:val="-3"/>
          <w:sz w:val="21"/>
        </w:rPr>
        <w:t>living </w:t>
      </w:r>
      <w:r>
        <w:rPr>
          <w:sz w:val="21"/>
        </w:rPr>
        <w:t>in a treed </w:t>
      </w:r>
      <w:r>
        <w:rPr>
          <w:spacing w:val="-3"/>
          <w:sz w:val="21"/>
        </w:rPr>
        <w:t>environment are shared. </w:t>
      </w:r>
      <w:r>
        <w:rPr>
          <w:sz w:val="21"/>
        </w:rPr>
        <w:t>Neighbours </w:t>
      </w:r>
      <w:r>
        <w:rPr>
          <w:spacing w:val="-3"/>
          <w:sz w:val="21"/>
        </w:rPr>
        <w:t>may </w:t>
      </w:r>
      <w:r>
        <w:rPr>
          <w:sz w:val="21"/>
        </w:rPr>
        <w:t>enjoy the </w:t>
      </w:r>
      <w:r>
        <w:rPr>
          <w:spacing w:val="-3"/>
          <w:sz w:val="21"/>
        </w:rPr>
        <w:t>increased shade, cooling </w:t>
      </w:r>
      <w:r>
        <w:rPr>
          <w:sz w:val="21"/>
        </w:rPr>
        <w:t>properties, biodiversity and aesthetic </w:t>
      </w:r>
      <w:r>
        <w:rPr>
          <w:spacing w:val="-3"/>
          <w:sz w:val="21"/>
        </w:rPr>
        <w:t>value </w:t>
      </w:r>
      <w:r>
        <w:rPr>
          <w:sz w:val="21"/>
        </w:rPr>
        <w:t>of a  </w:t>
      </w:r>
      <w:r>
        <w:rPr>
          <w:spacing w:val="-3"/>
          <w:sz w:val="21"/>
        </w:rPr>
        <w:t>neighbour’s </w:t>
      </w:r>
      <w:r>
        <w:rPr>
          <w:spacing w:val="-4"/>
          <w:sz w:val="21"/>
        </w:rPr>
        <w:t>tree.</w:t>
      </w:r>
      <w:r>
        <w:rPr>
          <w:spacing w:val="-4"/>
          <w:position w:val="7"/>
          <w:sz w:val="12"/>
        </w:rPr>
        <w:t>97 </w:t>
      </w:r>
      <w:r>
        <w:rPr>
          <w:sz w:val="21"/>
        </w:rPr>
        <w:t>Baw Baw </w:t>
      </w:r>
      <w:r>
        <w:rPr>
          <w:spacing w:val="-3"/>
          <w:sz w:val="21"/>
        </w:rPr>
        <w:t>Shire </w:t>
      </w:r>
      <w:r>
        <w:rPr>
          <w:spacing w:val="-4"/>
          <w:sz w:val="21"/>
        </w:rPr>
        <w:t>Council </w:t>
      </w:r>
      <w:r>
        <w:rPr>
          <w:sz w:val="21"/>
        </w:rPr>
        <w:t>suggested </w:t>
      </w:r>
      <w:r>
        <w:rPr>
          <w:spacing w:val="-3"/>
          <w:sz w:val="21"/>
        </w:rPr>
        <w:t>that </w:t>
      </w:r>
      <w:r>
        <w:rPr>
          <w:sz w:val="21"/>
        </w:rPr>
        <w:t>its residents </w:t>
      </w:r>
      <w:r>
        <w:rPr>
          <w:spacing w:val="-3"/>
          <w:sz w:val="21"/>
        </w:rPr>
        <w:t>are generally environmentally conscious  </w:t>
      </w:r>
      <w:r>
        <w:rPr>
          <w:sz w:val="21"/>
        </w:rPr>
        <w:t>and </w:t>
      </w:r>
      <w:r>
        <w:rPr>
          <w:spacing w:val="-3"/>
          <w:sz w:val="21"/>
        </w:rPr>
        <w:t>prefer</w:t>
      </w:r>
      <w:r>
        <w:rPr>
          <w:spacing w:val="41"/>
          <w:sz w:val="21"/>
        </w:rPr>
        <w:t> </w:t>
      </w:r>
      <w:r>
        <w:rPr>
          <w:spacing w:val="-3"/>
          <w:sz w:val="21"/>
        </w:rPr>
        <w:t>to  retain  </w:t>
      </w:r>
      <w:r>
        <w:rPr>
          <w:sz w:val="21"/>
        </w:rPr>
        <w:t>as much vegetation as </w:t>
      </w:r>
      <w:r>
        <w:rPr>
          <w:spacing w:val="-3"/>
          <w:sz w:val="21"/>
        </w:rPr>
        <w:t>possible.</w:t>
      </w:r>
      <w:r>
        <w:rPr>
          <w:spacing w:val="-3"/>
          <w:position w:val="7"/>
          <w:sz w:val="12"/>
        </w:rPr>
        <w:t>98  </w:t>
      </w:r>
      <w:r>
        <w:rPr>
          <w:sz w:val="21"/>
        </w:rPr>
        <w:t>It reported </w:t>
      </w:r>
      <w:r>
        <w:rPr>
          <w:spacing w:val="-3"/>
          <w:sz w:val="21"/>
        </w:rPr>
        <w:t>that  many   </w:t>
      </w:r>
      <w:r>
        <w:rPr>
          <w:sz w:val="21"/>
        </w:rPr>
        <w:t>of the </w:t>
      </w:r>
      <w:r>
        <w:rPr>
          <w:spacing w:val="-3"/>
          <w:sz w:val="21"/>
        </w:rPr>
        <w:t>enquiries </w:t>
      </w:r>
      <w:r>
        <w:rPr>
          <w:sz w:val="21"/>
        </w:rPr>
        <w:t>it receives </w:t>
      </w:r>
      <w:r>
        <w:rPr>
          <w:spacing w:val="-3"/>
          <w:sz w:val="21"/>
        </w:rPr>
        <w:t>are from concerned </w:t>
      </w:r>
      <w:r>
        <w:rPr>
          <w:sz w:val="21"/>
        </w:rPr>
        <w:t>residents </w:t>
      </w:r>
      <w:r>
        <w:rPr>
          <w:spacing w:val="-3"/>
          <w:sz w:val="21"/>
        </w:rPr>
        <w:t>wanting to </w:t>
      </w:r>
      <w:r>
        <w:rPr>
          <w:sz w:val="21"/>
        </w:rPr>
        <w:t>know whether</w:t>
      </w:r>
      <w:r>
        <w:rPr>
          <w:spacing w:val="-22"/>
          <w:sz w:val="21"/>
        </w:rPr>
        <w:t> </w:t>
      </w:r>
      <w:r>
        <w:rPr>
          <w:sz w:val="21"/>
        </w:rPr>
        <w:t>or</w:t>
      </w:r>
    </w:p>
    <w:p>
      <w:pPr>
        <w:pStyle w:val="BodyText"/>
        <w:spacing w:line="242" w:lineRule="auto" w:before="7"/>
        <w:ind w:left="2381" w:right="1723"/>
        <w:jc w:val="both"/>
        <w:rPr>
          <w:sz w:val="12"/>
        </w:rPr>
      </w:pPr>
      <w:r>
        <w:rPr>
          <w:spacing w:val="-2"/>
          <w:w w:val="105"/>
        </w:rPr>
        <w:t>not</w:t>
      </w:r>
      <w:r>
        <w:rPr>
          <w:spacing w:val="-8"/>
          <w:w w:val="105"/>
        </w:rPr>
        <w:t> </w:t>
      </w:r>
      <w:r>
        <w:rPr>
          <w:w w:val="105"/>
        </w:rPr>
        <w:t>a</w:t>
      </w:r>
      <w:r>
        <w:rPr>
          <w:spacing w:val="-7"/>
          <w:w w:val="105"/>
        </w:rPr>
        <w:t> </w:t>
      </w:r>
      <w:r>
        <w:rPr>
          <w:spacing w:val="-3"/>
          <w:w w:val="105"/>
        </w:rPr>
        <w:t>neighbouring</w:t>
      </w:r>
      <w:r>
        <w:rPr>
          <w:spacing w:val="-8"/>
          <w:w w:val="105"/>
        </w:rPr>
        <w:t> </w:t>
      </w:r>
      <w:r>
        <w:rPr>
          <w:w w:val="105"/>
        </w:rPr>
        <w:t>tree</w:t>
      </w:r>
      <w:r>
        <w:rPr>
          <w:spacing w:val="-7"/>
          <w:w w:val="105"/>
        </w:rPr>
        <w:t> </w:t>
      </w:r>
      <w:r>
        <w:rPr>
          <w:w w:val="105"/>
        </w:rPr>
        <w:t>owner</w:t>
      </w:r>
      <w:r>
        <w:rPr>
          <w:spacing w:val="-7"/>
          <w:w w:val="105"/>
        </w:rPr>
        <w:t> </w:t>
      </w:r>
      <w:r>
        <w:rPr>
          <w:w w:val="105"/>
        </w:rPr>
        <w:t>is</w:t>
      </w:r>
      <w:r>
        <w:rPr>
          <w:spacing w:val="-8"/>
          <w:w w:val="105"/>
        </w:rPr>
        <w:t> </w:t>
      </w:r>
      <w:r>
        <w:rPr>
          <w:w w:val="105"/>
        </w:rPr>
        <w:t>permitted</w:t>
      </w:r>
      <w:r>
        <w:rPr>
          <w:spacing w:val="-7"/>
          <w:w w:val="105"/>
        </w:rPr>
        <w:t> </w:t>
      </w:r>
      <w:r>
        <w:rPr>
          <w:spacing w:val="-3"/>
          <w:w w:val="105"/>
        </w:rPr>
        <w:t>to</w:t>
      </w:r>
      <w:r>
        <w:rPr>
          <w:spacing w:val="-8"/>
          <w:w w:val="105"/>
        </w:rPr>
        <w:t> </w:t>
      </w:r>
      <w:r>
        <w:rPr>
          <w:w w:val="105"/>
        </w:rPr>
        <w:t>cut</w:t>
      </w:r>
      <w:r>
        <w:rPr>
          <w:spacing w:val="-7"/>
          <w:w w:val="105"/>
        </w:rPr>
        <w:t> </w:t>
      </w:r>
      <w:r>
        <w:rPr>
          <w:w w:val="105"/>
        </w:rPr>
        <w:t>or</w:t>
      </w:r>
      <w:r>
        <w:rPr>
          <w:spacing w:val="-7"/>
          <w:w w:val="105"/>
        </w:rPr>
        <w:t> </w:t>
      </w:r>
      <w:r>
        <w:rPr>
          <w:spacing w:val="-3"/>
          <w:w w:val="105"/>
        </w:rPr>
        <w:t>remove</w:t>
      </w:r>
      <w:r>
        <w:rPr>
          <w:spacing w:val="-8"/>
          <w:w w:val="105"/>
        </w:rPr>
        <w:t> </w:t>
      </w:r>
      <w:r>
        <w:rPr>
          <w:w w:val="105"/>
        </w:rPr>
        <w:t>a</w:t>
      </w:r>
      <w:r>
        <w:rPr>
          <w:spacing w:val="-7"/>
          <w:w w:val="105"/>
        </w:rPr>
        <w:t> </w:t>
      </w:r>
      <w:r>
        <w:rPr>
          <w:spacing w:val="-3"/>
          <w:w w:val="105"/>
        </w:rPr>
        <w:t>tree,</w:t>
      </w:r>
      <w:r>
        <w:rPr>
          <w:spacing w:val="-8"/>
          <w:w w:val="105"/>
        </w:rPr>
        <w:t> </w:t>
      </w:r>
      <w:r>
        <w:rPr>
          <w:w w:val="105"/>
        </w:rPr>
        <w:t>especially</w:t>
      </w:r>
      <w:r>
        <w:rPr>
          <w:spacing w:val="-7"/>
          <w:w w:val="105"/>
        </w:rPr>
        <w:t> </w:t>
      </w:r>
      <w:r>
        <w:rPr>
          <w:w w:val="105"/>
        </w:rPr>
        <w:t>where</w:t>
      </w:r>
      <w:r>
        <w:rPr>
          <w:spacing w:val="-7"/>
          <w:w w:val="105"/>
        </w:rPr>
        <w:t> </w:t>
      </w:r>
      <w:r>
        <w:rPr>
          <w:w w:val="105"/>
        </w:rPr>
        <w:t>the </w:t>
      </w:r>
      <w:r>
        <w:rPr>
          <w:spacing w:val="-3"/>
          <w:w w:val="105"/>
        </w:rPr>
        <w:t>resident</w:t>
      </w:r>
      <w:r>
        <w:rPr>
          <w:spacing w:val="-10"/>
          <w:w w:val="105"/>
        </w:rPr>
        <w:t> </w:t>
      </w:r>
      <w:r>
        <w:rPr>
          <w:w w:val="105"/>
        </w:rPr>
        <w:t>believes</w:t>
      </w:r>
      <w:r>
        <w:rPr>
          <w:spacing w:val="-9"/>
          <w:w w:val="105"/>
        </w:rPr>
        <w:t> </w:t>
      </w:r>
      <w:r>
        <w:rPr>
          <w:w w:val="105"/>
        </w:rPr>
        <w:t>the</w:t>
      </w:r>
      <w:r>
        <w:rPr>
          <w:spacing w:val="-9"/>
          <w:w w:val="105"/>
        </w:rPr>
        <w:t> </w:t>
      </w:r>
      <w:r>
        <w:rPr>
          <w:w w:val="105"/>
        </w:rPr>
        <w:t>tree</w:t>
      </w:r>
      <w:r>
        <w:rPr>
          <w:spacing w:val="-9"/>
          <w:w w:val="105"/>
        </w:rPr>
        <w:t> </w:t>
      </w:r>
      <w:r>
        <w:rPr>
          <w:w w:val="105"/>
        </w:rPr>
        <w:t>is</w:t>
      </w:r>
      <w:r>
        <w:rPr>
          <w:spacing w:val="-10"/>
          <w:w w:val="105"/>
        </w:rPr>
        <w:t> </w:t>
      </w:r>
      <w:r>
        <w:rPr>
          <w:w w:val="105"/>
        </w:rPr>
        <w:t>a</w:t>
      </w:r>
      <w:r>
        <w:rPr>
          <w:spacing w:val="-9"/>
          <w:w w:val="105"/>
        </w:rPr>
        <w:t> </w:t>
      </w:r>
      <w:r>
        <w:rPr>
          <w:spacing w:val="-3"/>
          <w:w w:val="105"/>
        </w:rPr>
        <w:t>significant</w:t>
      </w:r>
      <w:r>
        <w:rPr>
          <w:spacing w:val="-9"/>
          <w:w w:val="105"/>
        </w:rPr>
        <w:t> </w:t>
      </w:r>
      <w:r>
        <w:rPr>
          <w:w w:val="105"/>
        </w:rPr>
        <w:t>tree</w:t>
      </w:r>
      <w:r>
        <w:rPr>
          <w:spacing w:val="-9"/>
          <w:w w:val="105"/>
        </w:rPr>
        <w:t> </w:t>
      </w:r>
      <w:r>
        <w:rPr>
          <w:w w:val="105"/>
        </w:rPr>
        <w:t>protected</w:t>
      </w:r>
      <w:r>
        <w:rPr>
          <w:spacing w:val="-9"/>
          <w:w w:val="105"/>
        </w:rPr>
        <w:t> </w:t>
      </w:r>
      <w:r>
        <w:rPr>
          <w:w w:val="105"/>
        </w:rPr>
        <w:t>under</w:t>
      </w:r>
      <w:r>
        <w:rPr>
          <w:spacing w:val="-10"/>
          <w:w w:val="105"/>
        </w:rPr>
        <w:t> </w:t>
      </w:r>
      <w:r>
        <w:rPr>
          <w:w w:val="105"/>
        </w:rPr>
        <w:t>the</w:t>
      </w:r>
      <w:r>
        <w:rPr>
          <w:spacing w:val="-9"/>
          <w:w w:val="105"/>
        </w:rPr>
        <w:t> </w:t>
      </w:r>
      <w:r>
        <w:rPr>
          <w:w w:val="105"/>
        </w:rPr>
        <w:t>local</w:t>
      </w:r>
      <w:r>
        <w:rPr>
          <w:spacing w:val="-9"/>
          <w:w w:val="105"/>
        </w:rPr>
        <w:t> </w:t>
      </w:r>
      <w:r>
        <w:rPr>
          <w:spacing w:val="-4"/>
          <w:w w:val="105"/>
        </w:rPr>
        <w:t>council’s</w:t>
      </w:r>
      <w:r>
        <w:rPr>
          <w:spacing w:val="-9"/>
          <w:w w:val="105"/>
        </w:rPr>
        <w:t> </w:t>
      </w:r>
      <w:r>
        <w:rPr>
          <w:spacing w:val="-3"/>
          <w:w w:val="105"/>
        </w:rPr>
        <w:t>planning scheme, </w:t>
      </w:r>
      <w:r>
        <w:rPr>
          <w:w w:val="105"/>
        </w:rPr>
        <w:t>or </w:t>
      </w:r>
      <w:r>
        <w:rPr>
          <w:spacing w:val="-3"/>
          <w:w w:val="105"/>
        </w:rPr>
        <w:t>forms </w:t>
      </w:r>
      <w:r>
        <w:rPr>
          <w:w w:val="105"/>
        </w:rPr>
        <w:t>part of an endorsed landscape plan </w:t>
      </w:r>
      <w:r>
        <w:rPr>
          <w:spacing w:val="-3"/>
          <w:w w:val="105"/>
        </w:rPr>
        <w:t>contained </w:t>
      </w:r>
      <w:r>
        <w:rPr>
          <w:w w:val="105"/>
        </w:rPr>
        <w:t>in a </w:t>
      </w:r>
      <w:r>
        <w:rPr>
          <w:spacing w:val="-3"/>
          <w:w w:val="105"/>
        </w:rPr>
        <w:t>planning</w:t>
      </w:r>
      <w:r>
        <w:rPr>
          <w:spacing w:val="-17"/>
          <w:w w:val="105"/>
        </w:rPr>
        <w:t> </w:t>
      </w:r>
      <w:r>
        <w:rPr>
          <w:w w:val="105"/>
        </w:rPr>
        <w:t>permit.</w:t>
      </w:r>
      <w:r>
        <w:rPr>
          <w:w w:val="105"/>
          <w:position w:val="7"/>
          <w:sz w:val="12"/>
        </w:rPr>
        <w:t>99</w:t>
      </w:r>
    </w:p>
    <w:p>
      <w:pPr>
        <w:pStyle w:val="ListParagraph"/>
        <w:numPr>
          <w:ilvl w:val="1"/>
          <w:numId w:val="16"/>
        </w:numPr>
        <w:tabs>
          <w:tab w:pos="2381" w:val="left" w:leader="none"/>
          <w:tab w:pos="2382" w:val="left" w:leader="none"/>
        </w:tabs>
        <w:spacing w:line="242" w:lineRule="auto" w:before="123" w:after="0"/>
        <w:ind w:left="2381" w:right="1631" w:hanging="794"/>
        <w:jc w:val="left"/>
        <w:rPr>
          <w:sz w:val="21"/>
        </w:rPr>
      </w:pPr>
      <w:r>
        <w:rPr>
          <w:spacing w:val="-3"/>
          <w:sz w:val="21"/>
        </w:rPr>
        <w:t>Nillumbik Shire </w:t>
      </w:r>
      <w:r>
        <w:rPr>
          <w:spacing w:val="-4"/>
          <w:sz w:val="21"/>
        </w:rPr>
        <w:t>Council </w:t>
      </w:r>
      <w:r>
        <w:rPr>
          <w:sz w:val="21"/>
        </w:rPr>
        <w:t>stated </w:t>
      </w:r>
      <w:r>
        <w:rPr>
          <w:spacing w:val="-3"/>
          <w:sz w:val="21"/>
        </w:rPr>
        <w:t>that approximately half  </w:t>
      </w:r>
      <w:r>
        <w:rPr>
          <w:sz w:val="21"/>
        </w:rPr>
        <w:t>of the </w:t>
      </w:r>
      <w:r>
        <w:rPr>
          <w:spacing w:val="-3"/>
          <w:sz w:val="21"/>
        </w:rPr>
        <w:t>enquiries</w:t>
      </w:r>
      <w:r>
        <w:rPr>
          <w:spacing w:val="41"/>
          <w:sz w:val="21"/>
        </w:rPr>
        <w:t> </w:t>
      </w:r>
      <w:r>
        <w:rPr>
          <w:sz w:val="21"/>
        </w:rPr>
        <w:t>about tree </w:t>
      </w:r>
      <w:r>
        <w:rPr>
          <w:spacing w:val="-3"/>
          <w:sz w:val="21"/>
        </w:rPr>
        <w:t>disputes are from </w:t>
      </w:r>
      <w:r>
        <w:rPr>
          <w:sz w:val="21"/>
        </w:rPr>
        <w:t>neighbours who </w:t>
      </w:r>
      <w:r>
        <w:rPr>
          <w:spacing w:val="-3"/>
          <w:sz w:val="21"/>
        </w:rPr>
        <w:t>are concerned </w:t>
      </w:r>
      <w:r>
        <w:rPr>
          <w:sz w:val="21"/>
        </w:rPr>
        <w:t>about trees being removed on </w:t>
      </w:r>
      <w:r>
        <w:rPr>
          <w:spacing w:val="-3"/>
          <w:sz w:val="21"/>
        </w:rPr>
        <w:t>neighbouring property.</w:t>
      </w:r>
      <w:r>
        <w:rPr>
          <w:spacing w:val="-3"/>
          <w:position w:val="7"/>
          <w:sz w:val="12"/>
        </w:rPr>
        <w:t>100 </w:t>
      </w:r>
      <w:r>
        <w:rPr>
          <w:sz w:val="21"/>
        </w:rPr>
        <w:t>The </w:t>
      </w:r>
      <w:r>
        <w:rPr>
          <w:spacing w:val="-4"/>
          <w:sz w:val="21"/>
        </w:rPr>
        <w:t>Council </w:t>
      </w:r>
      <w:r>
        <w:rPr>
          <w:spacing w:val="-3"/>
          <w:sz w:val="21"/>
        </w:rPr>
        <w:t>noted that </w:t>
      </w:r>
      <w:r>
        <w:rPr>
          <w:sz w:val="21"/>
        </w:rPr>
        <w:t>sometimes residents </w:t>
      </w:r>
      <w:r>
        <w:rPr>
          <w:spacing w:val="-4"/>
          <w:sz w:val="21"/>
        </w:rPr>
        <w:t>make </w:t>
      </w:r>
      <w:r>
        <w:rPr>
          <w:sz w:val="21"/>
        </w:rPr>
        <w:t>early </w:t>
      </w:r>
      <w:r>
        <w:rPr>
          <w:spacing w:val="-3"/>
          <w:sz w:val="21"/>
        </w:rPr>
        <w:t>enquiries</w:t>
      </w:r>
      <w:r>
        <w:rPr>
          <w:spacing w:val="-11"/>
          <w:sz w:val="21"/>
        </w:rPr>
        <w:t> </w:t>
      </w:r>
      <w:r>
        <w:rPr>
          <w:spacing w:val="-3"/>
          <w:sz w:val="21"/>
        </w:rPr>
        <w:t>before</w:t>
      </w:r>
    </w:p>
    <w:p>
      <w:pPr>
        <w:pStyle w:val="BodyText"/>
        <w:spacing w:line="242" w:lineRule="auto" w:before="4"/>
        <w:ind w:left="2381" w:right="1636"/>
        <w:rPr>
          <w:sz w:val="12"/>
        </w:rPr>
      </w:pPr>
      <w:r>
        <w:rPr/>
        <w:t>they become involved in a tree dispute to ascertain rights and responsibilities about a neighbouring tree and any applicable planning controls or exemptions.</w:t>
      </w:r>
      <w:r>
        <w:rPr>
          <w:position w:val="7"/>
          <w:sz w:val="12"/>
        </w:rPr>
        <w:t>101</w:t>
      </w:r>
    </w:p>
    <w:p>
      <w:pPr>
        <w:pStyle w:val="BodyText"/>
        <w:spacing w:before="2"/>
        <w:rPr>
          <w:sz w:val="20"/>
        </w:rPr>
      </w:pPr>
    </w:p>
    <w:p>
      <w:pPr>
        <w:pStyle w:val="Heading5"/>
      </w:pPr>
      <w:r>
        <w:rPr>
          <w:w w:val="110"/>
        </w:rPr>
        <w:t>Tree works undertaken without consent or that harm the tree</w:t>
      </w:r>
    </w:p>
    <w:p>
      <w:pPr>
        <w:pStyle w:val="ListParagraph"/>
        <w:numPr>
          <w:ilvl w:val="1"/>
          <w:numId w:val="16"/>
        </w:numPr>
        <w:tabs>
          <w:tab w:pos="2380" w:val="left" w:leader="none"/>
          <w:tab w:pos="2381" w:val="left" w:leader="none"/>
        </w:tabs>
        <w:spacing w:line="242" w:lineRule="auto" w:before="138" w:after="0"/>
        <w:ind w:left="2381" w:right="2032" w:hanging="794"/>
        <w:jc w:val="left"/>
        <w:rPr>
          <w:sz w:val="21"/>
        </w:rPr>
      </w:pPr>
      <w:r>
        <w:rPr>
          <w:sz w:val="21"/>
        </w:rPr>
        <w:t>Another type of tree </w:t>
      </w:r>
      <w:r>
        <w:rPr>
          <w:spacing w:val="-3"/>
          <w:sz w:val="21"/>
        </w:rPr>
        <w:t>dispute may occur </w:t>
      </w:r>
      <w:r>
        <w:rPr>
          <w:sz w:val="21"/>
        </w:rPr>
        <w:t>where an affected </w:t>
      </w:r>
      <w:r>
        <w:rPr>
          <w:spacing w:val="-3"/>
          <w:sz w:val="21"/>
        </w:rPr>
        <w:t>neighbour </w:t>
      </w:r>
      <w:r>
        <w:rPr>
          <w:sz w:val="21"/>
        </w:rPr>
        <w:t>decides </w:t>
      </w:r>
      <w:r>
        <w:rPr>
          <w:spacing w:val="-3"/>
          <w:sz w:val="21"/>
        </w:rPr>
        <w:t>to take </w:t>
      </w:r>
      <w:r>
        <w:rPr>
          <w:sz w:val="21"/>
        </w:rPr>
        <w:t>matters </w:t>
      </w:r>
      <w:r>
        <w:rPr>
          <w:spacing w:val="-4"/>
          <w:sz w:val="21"/>
        </w:rPr>
        <w:t>into </w:t>
      </w:r>
      <w:r>
        <w:rPr>
          <w:sz w:val="21"/>
        </w:rPr>
        <w:t>their own </w:t>
      </w:r>
      <w:r>
        <w:rPr>
          <w:spacing w:val="-3"/>
          <w:sz w:val="21"/>
        </w:rPr>
        <w:t>hands </w:t>
      </w:r>
      <w:r>
        <w:rPr>
          <w:sz w:val="21"/>
        </w:rPr>
        <w:t>and trim or cut down a tree in excess of their </w:t>
      </w:r>
      <w:r>
        <w:rPr>
          <w:spacing w:val="-3"/>
          <w:sz w:val="21"/>
        </w:rPr>
        <w:t>right to </w:t>
      </w:r>
      <w:r>
        <w:rPr>
          <w:spacing w:val="-5"/>
          <w:sz w:val="21"/>
        </w:rPr>
        <w:t>abate</w:t>
      </w:r>
      <w:r>
        <w:rPr>
          <w:spacing w:val="-5"/>
          <w:position w:val="7"/>
          <w:sz w:val="12"/>
        </w:rPr>
        <w:t>102 </w:t>
      </w:r>
      <w:r>
        <w:rPr>
          <w:sz w:val="21"/>
        </w:rPr>
        <w:t>and without the permission or </w:t>
      </w:r>
      <w:r>
        <w:rPr>
          <w:spacing w:val="-3"/>
          <w:sz w:val="21"/>
        </w:rPr>
        <w:t>consent </w:t>
      </w:r>
      <w:r>
        <w:rPr>
          <w:sz w:val="21"/>
        </w:rPr>
        <w:t>of the tree </w:t>
      </w:r>
      <w:r>
        <w:rPr>
          <w:spacing w:val="-6"/>
          <w:sz w:val="21"/>
        </w:rPr>
        <w:t>owner.</w:t>
      </w:r>
      <w:r>
        <w:rPr>
          <w:spacing w:val="-6"/>
          <w:position w:val="7"/>
          <w:sz w:val="12"/>
        </w:rPr>
        <w:t>103 </w:t>
      </w:r>
      <w:r>
        <w:rPr>
          <w:sz w:val="21"/>
        </w:rPr>
        <w:t>This </w:t>
      </w:r>
      <w:r>
        <w:rPr>
          <w:spacing w:val="-3"/>
          <w:sz w:val="21"/>
        </w:rPr>
        <w:t>may involve trespassing </w:t>
      </w:r>
      <w:r>
        <w:rPr>
          <w:sz w:val="21"/>
        </w:rPr>
        <w:t>on the tree </w:t>
      </w:r>
      <w:r>
        <w:rPr>
          <w:spacing w:val="-3"/>
          <w:sz w:val="21"/>
        </w:rPr>
        <w:t>owner’s </w:t>
      </w:r>
      <w:r>
        <w:rPr>
          <w:spacing w:val="-4"/>
          <w:sz w:val="21"/>
        </w:rPr>
        <w:t>land.</w:t>
      </w:r>
      <w:r>
        <w:rPr>
          <w:spacing w:val="-4"/>
          <w:position w:val="7"/>
          <w:sz w:val="12"/>
        </w:rPr>
        <w:t>104 </w:t>
      </w:r>
      <w:r>
        <w:rPr>
          <w:spacing w:val="-2"/>
          <w:sz w:val="21"/>
        </w:rPr>
        <w:t>Abatement </w:t>
      </w:r>
      <w:r>
        <w:rPr>
          <w:sz w:val="21"/>
        </w:rPr>
        <w:t>is discussed in </w:t>
      </w:r>
      <w:r>
        <w:rPr>
          <w:spacing w:val="-4"/>
          <w:sz w:val="21"/>
        </w:rPr>
        <w:t>Chapter</w:t>
      </w:r>
      <w:r>
        <w:rPr>
          <w:spacing w:val="-2"/>
          <w:sz w:val="21"/>
        </w:rPr>
        <w:t> </w:t>
      </w:r>
      <w:r>
        <w:rPr>
          <w:spacing w:val="-3"/>
          <w:sz w:val="21"/>
        </w:rPr>
        <w:t>3.</w:t>
      </w:r>
    </w:p>
    <w:p>
      <w:pPr>
        <w:pStyle w:val="ListParagraph"/>
        <w:numPr>
          <w:ilvl w:val="1"/>
          <w:numId w:val="16"/>
        </w:numPr>
        <w:tabs>
          <w:tab w:pos="2381" w:val="left" w:leader="none"/>
          <w:tab w:pos="2382" w:val="left" w:leader="none"/>
        </w:tabs>
        <w:spacing w:line="242" w:lineRule="auto" w:before="124" w:after="0"/>
        <w:ind w:left="2381" w:right="1692" w:hanging="794"/>
        <w:jc w:val="left"/>
        <w:rPr>
          <w:sz w:val="21"/>
        </w:rPr>
      </w:pPr>
      <w:r>
        <w:rPr>
          <w:spacing w:val="-4"/>
          <w:w w:val="105"/>
          <w:sz w:val="21"/>
        </w:rPr>
        <w:t>Sometimes </w:t>
      </w:r>
      <w:r>
        <w:rPr>
          <w:w w:val="105"/>
          <w:sz w:val="21"/>
        </w:rPr>
        <w:t>a </w:t>
      </w:r>
      <w:r>
        <w:rPr>
          <w:spacing w:val="-4"/>
          <w:w w:val="105"/>
          <w:sz w:val="21"/>
        </w:rPr>
        <w:t>tree </w:t>
      </w:r>
      <w:r>
        <w:rPr>
          <w:spacing w:val="-3"/>
          <w:w w:val="105"/>
          <w:sz w:val="21"/>
        </w:rPr>
        <w:t>itself </w:t>
      </w:r>
      <w:r>
        <w:rPr>
          <w:spacing w:val="-4"/>
          <w:w w:val="105"/>
          <w:sz w:val="21"/>
        </w:rPr>
        <w:t>may </w:t>
      </w:r>
      <w:r>
        <w:rPr>
          <w:w w:val="105"/>
          <w:sz w:val="21"/>
        </w:rPr>
        <w:t>be </w:t>
      </w:r>
      <w:r>
        <w:rPr>
          <w:spacing w:val="-3"/>
          <w:w w:val="105"/>
          <w:sz w:val="21"/>
        </w:rPr>
        <w:t>affected by activities </w:t>
      </w:r>
      <w:r>
        <w:rPr>
          <w:spacing w:val="-4"/>
          <w:w w:val="105"/>
          <w:sz w:val="21"/>
        </w:rPr>
        <w:t>carried </w:t>
      </w:r>
      <w:r>
        <w:rPr>
          <w:spacing w:val="-3"/>
          <w:w w:val="105"/>
          <w:sz w:val="21"/>
        </w:rPr>
        <w:t>out </w:t>
      </w:r>
      <w:r>
        <w:rPr>
          <w:w w:val="105"/>
          <w:sz w:val="21"/>
        </w:rPr>
        <w:t>on </w:t>
      </w:r>
      <w:r>
        <w:rPr>
          <w:spacing w:val="-5"/>
          <w:w w:val="105"/>
          <w:sz w:val="21"/>
        </w:rPr>
        <w:t>neighbouring land. </w:t>
      </w:r>
      <w:r>
        <w:rPr>
          <w:spacing w:val="-3"/>
          <w:w w:val="105"/>
          <w:sz w:val="21"/>
        </w:rPr>
        <w:t>One </w:t>
      </w:r>
      <w:r>
        <w:rPr>
          <w:spacing w:val="-4"/>
          <w:w w:val="105"/>
          <w:sz w:val="21"/>
        </w:rPr>
        <w:t>person, also </w:t>
      </w:r>
      <w:r>
        <w:rPr>
          <w:w w:val="105"/>
          <w:sz w:val="21"/>
        </w:rPr>
        <w:t>a </w:t>
      </w:r>
      <w:r>
        <w:rPr>
          <w:spacing w:val="-4"/>
          <w:w w:val="105"/>
          <w:sz w:val="21"/>
        </w:rPr>
        <w:t>tree </w:t>
      </w:r>
      <w:r>
        <w:rPr>
          <w:spacing w:val="-6"/>
          <w:w w:val="105"/>
          <w:sz w:val="21"/>
        </w:rPr>
        <w:t>owner, </w:t>
      </w:r>
      <w:r>
        <w:rPr>
          <w:spacing w:val="-4"/>
          <w:w w:val="105"/>
          <w:sz w:val="21"/>
        </w:rPr>
        <w:t>described </w:t>
      </w:r>
      <w:r>
        <w:rPr>
          <w:w w:val="105"/>
          <w:sz w:val="21"/>
        </w:rPr>
        <w:t>a </w:t>
      </w:r>
      <w:r>
        <w:rPr>
          <w:spacing w:val="-5"/>
          <w:w w:val="105"/>
          <w:sz w:val="21"/>
        </w:rPr>
        <w:t>situation </w:t>
      </w:r>
      <w:r>
        <w:rPr>
          <w:spacing w:val="-4"/>
          <w:w w:val="105"/>
          <w:sz w:val="21"/>
        </w:rPr>
        <w:t>where their neighbour began </w:t>
      </w:r>
      <w:r>
        <w:rPr>
          <w:spacing w:val="-5"/>
          <w:w w:val="105"/>
          <w:sz w:val="21"/>
        </w:rPr>
        <w:t>excavation </w:t>
      </w:r>
      <w:r>
        <w:rPr>
          <w:spacing w:val="-4"/>
          <w:w w:val="105"/>
          <w:sz w:val="21"/>
        </w:rPr>
        <w:t>along </w:t>
      </w:r>
      <w:r>
        <w:rPr>
          <w:spacing w:val="-3"/>
          <w:w w:val="105"/>
          <w:sz w:val="21"/>
        </w:rPr>
        <w:t>the boundary </w:t>
      </w:r>
      <w:r>
        <w:rPr>
          <w:spacing w:val="-5"/>
          <w:w w:val="105"/>
          <w:sz w:val="21"/>
        </w:rPr>
        <w:t>fence </w:t>
      </w:r>
      <w:r>
        <w:rPr>
          <w:spacing w:val="-4"/>
          <w:w w:val="105"/>
          <w:sz w:val="21"/>
        </w:rPr>
        <w:t>which included cutting back </w:t>
      </w:r>
      <w:r>
        <w:rPr>
          <w:spacing w:val="-3"/>
          <w:w w:val="105"/>
          <w:sz w:val="21"/>
        </w:rPr>
        <w:t>at least </w:t>
      </w:r>
      <w:r>
        <w:rPr>
          <w:spacing w:val="-9"/>
          <w:w w:val="105"/>
          <w:sz w:val="21"/>
        </w:rPr>
        <w:t>15</w:t>
      </w:r>
      <w:r>
        <w:rPr>
          <w:spacing w:val="7"/>
          <w:w w:val="105"/>
          <w:sz w:val="21"/>
        </w:rPr>
        <w:t> </w:t>
      </w:r>
      <w:r>
        <w:rPr>
          <w:spacing w:val="-5"/>
          <w:w w:val="105"/>
          <w:sz w:val="21"/>
        </w:rPr>
        <w:t>substantial </w:t>
      </w:r>
      <w:r>
        <w:rPr>
          <w:spacing w:val="-3"/>
          <w:w w:val="105"/>
          <w:sz w:val="21"/>
        </w:rPr>
        <w:t>roots of</w:t>
      </w:r>
    </w:p>
    <w:p>
      <w:pPr>
        <w:pStyle w:val="BodyText"/>
        <w:spacing w:line="242" w:lineRule="auto" w:before="3"/>
        <w:ind w:left="2381" w:right="2059"/>
        <w:rPr>
          <w:sz w:val="12"/>
        </w:rPr>
      </w:pPr>
      <w:r>
        <w:rPr>
          <w:spacing w:val="-4"/>
        </w:rPr>
        <w:t>their </w:t>
      </w:r>
      <w:r>
        <w:rPr>
          <w:spacing w:val="-5"/>
        </w:rPr>
        <w:t>tree, </w:t>
      </w:r>
      <w:r>
        <w:rPr>
          <w:spacing w:val="-4"/>
        </w:rPr>
        <w:t>estimated to </w:t>
      </w:r>
      <w:r>
        <w:rPr/>
        <w:t>be </w:t>
      </w:r>
      <w:r>
        <w:rPr>
          <w:spacing w:val="-4"/>
        </w:rPr>
        <w:t>over 100 years old. </w:t>
      </w:r>
      <w:r>
        <w:rPr>
          <w:spacing w:val="-2"/>
        </w:rPr>
        <w:t>The </w:t>
      </w:r>
      <w:r>
        <w:rPr>
          <w:spacing w:val="-4"/>
        </w:rPr>
        <w:t>tree </w:t>
      </w:r>
      <w:r>
        <w:rPr>
          <w:spacing w:val="-3"/>
        </w:rPr>
        <w:t>was </w:t>
      </w:r>
      <w:r>
        <w:rPr>
          <w:spacing w:val="-4"/>
        </w:rPr>
        <w:t>located </w:t>
      </w:r>
      <w:r>
        <w:rPr/>
        <w:t>two </w:t>
      </w:r>
      <w:r>
        <w:rPr>
          <w:spacing w:val="-4"/>
        </w:rPr>
        <w:t>metres from </w:t>
      </w:r>
      <w:r>
        <w:rPr>
          <w:spacing w:val="-3"/>
        </w:rPr>
        <w:t>the boundary </w:t>
      </w:r>
      <w:r>
        <w:rPr>
          <w:spacing w:val="-4"/>
        </w:rPr>
        <w:t>and </w:t>
      </w:r>
      <w:r>
        <w:rPr>
          <w:spacing w:val="-3"/>
        </w:rPr>
        <w:t>the </w:t>
      </w:r>
      <w:r>
        <w:rPr>
          <w:spacing w:val="-4"/>
        </w:rPr>
        <w:t>submitter believes this </w:t>
      </w:r>
      <w:r>
        <w:rPr>
          <w:spacing w:val="-3"/>
        </w:rPr>
        <w:t>activity </w:t>
      </w:r>
      <w:r>
        <w:rPr>
          <w:spacing w:val="-4"/>
        </w:rPr>
        <w:t>seriously </w:t>
      </w:r>
      <w:r>
        <w:rPr>
          <w:spacing w:val="-3"/>
        </w:rPr>
        <w:t>affected the </w:t>
      </w:r>
      <w:r>
        <w:rPr>
          <w:spacing w:val="-4"/>
        </w:rPr>
        <w:t>health </w:t>
      </w:r>
      <w:r>
        <w:rPr>
          <w:spacing w:val="-3"/>
        </w:rPr>
        <w:t>of  </w:t>
      </w:r>
      <w:r>
        <w:rPr>
          <w:spacing w:val="-4"/>
        </w:rPr>
        <w:t>their </w:t>
      </w:r>
      <w:r>
        <w:rPr>
          <w:spacing w:val="-7"/>
        </w:rPr>
        <w:t>tree.</w:t>
      </w:r>
      <w:r>
        <w:rPr>
          <w:spacing w:val="-7"/>
          <w:position w:val="7"/>
          <w:sz w:val="12"/>
        </w:rPr>
        <w:t>105</w:t>
      </w:r>
    </w:p>
    <w:p>
      <w:pPr>
        <w:pStyle w:val="ListParagraph"/>
        <w:numPr>
          <w:ilvl w:val="1"/>
          <w:numId w:val="16"/>
        </w:numPr>
        <w:tabs>
          <w:tab w:pos="2381" w:val="left" w:leader="none"/>
          <w:tab w:pos="2382" w:val="left" w:leader="none"/>
        </w:tabs>
        <w:spacing w:line="242" w:lineRule="auto" w:before="124" w:after="0"/>
        <w:ind w:left="2381" w:right="1637" w:hanging="794"/>
        <w:jc w:val="left"/>
        <w:rPr>
          <w:sz w:val="21"/>
        </w:rPr>
      </w:pPr>
      <w:r>
        <w:rPr>
          <w:w w:val="105"/>
          <w:sz w:val="21"/>
        </w:rPr>
        <w:t>In</w:t>
      </w:r>
      <w:r>
        <w:rPr>
          <w:spacing w:val="-13"/>
          <w:w w:val="105"/>
          <w:sz w:val="21"/>
        </w:rPr>
        <w:t> </w:t>
      </w:r>
      <w:r>
        <w:rPr>
          <w:spacing w:val="-4"/>
          <w:w w:val="105"/>
          <w:sz w:val="21"/>
        </w:rPr>
        <w:t>some</w:t>
      </w:r>
      <w:r>
        <w:rPr>
          <w:spacing w:val="-12"/>
          <w:w w:val="105"/>
          <w:sz w:val="21"/>
        </w:rPr>
        <w:t> </w:t>
      </w:r>
      <w:r>
        <w:rPr>
          <w:spacing w:val="-6"/>
          <w:w w:val="105"/>
          <w:sz w:val="21"/>
        </w:rPr>
        <w:t>situations,</w:t>
      </w:r>
      <w:r>
        <w:rPr>
          <w:spacing w:val="-12"/>
          <w:w w:val="105"/>
          <w:sz w:val="21"/>
        </w:rPr>
        <w:t> </w:t>
      </w:r>
      <w:r>
        <w:rPr>
          <w:spacing w:val="-3"/>
          <w:w w:val="105"/>
          <w:sz w:val="21"/>
        </w:rPr>
        <w:t>if</w:t>
      </w:r>
      <w:r>
        <w:rPr>
          <w:spacing w:val="-12"/>
          <w:w w:val="105"/>
          <w:sz w:val="21"/>
        </w:rPr>
        <w:t> </w:t>
      </w:r>
      <w:r>
        <w:rPr>
          <w:w w:val="105"/>
          <w:sz w:val="21"/>
        </w:rPr>
        <w:t>a</w:t>
      </w:r>
      <w:r>
        <w:rPr>
          <w:spacing w:val="-12"/>
          <w:w w:val="105"/>
          <w:sz w:val="21"/>
        </w:rPr>
        <w:t> </w:t>
      </w:r>
      <w:r>
        <w:rPr>
          <w:spacing w:val="-4"/>
          <w:w w:val="105"/>
          <w:sz w:val="21"/>
        </w:rPr>
        <w:t>tree</w:t>
      </w:r>
      <w:r>
        <w:rPr>
          <w:spacing w:val="-12"/>
          <w:w w:val="105"/>
          <w:sz w:val="21"/>
        </w:rPr>
        <w:t> </w:t>
      </w:r>
      <w:r>
        <w:rPr>
          <w:spacing w:val="-5"/>
          <w:w w:val="105"/>
          <w:sz w:val="21"/>
        </w:rPr>
        <w:t>dispute</w:t>
      </w:r>
      <w:r>
        <w:rPr>
          <w:spacing w:val="-12"/>
          <w:w w:val="105"/>
          <w:sz w:val="21"/>
        </w:rPr>
        <w:t> </w:t>
      </w:r>
      <w:r>
        <w:rPr>
          <w:spacing w:val="-6"/>
          <w:w w:val="105"/>
          <w:sz w:val="21"/>
        </w:rPr>
        <w:t>remains</w:t>
      </w:r>
      <w:r>
        <w:rPr>
          <w:spacing w:val="-12"/>
          <w:w w:val="105"/>
          <w:sz w:val="21"/>
        </w:rPr>
        <w:t> </w:t>
      </w:r>
      <w:r>
        <w:rPr>
          <w:spacing w:val="-5"/>
          <w:w w:val="105"/>
          <w:sz w:val="21"/>
        </w:rPr>
        <w:t>unresolved,</w:t>
      </w:r>
      <w:r>
        <w:rPr>
          <w:spacing w:val="-12"/>
          <w:w w:val="105"/>
          <w:sz w:val="21"/>
        </w:rPr>
        <w:t> </w:t>
      </w:r>
      <w:r>
        <w:rPr>
          <w:spacing w:val="-4"/>
          <w:w w:val="105"/>
          <w:sz w:val="21"/>
        </w:rPr>
        <w:t>people</w:t>
      </w:r>
      <w:r>
        <w:rPr>
          <w:spacing w:val="-12"/>
          <w:w w:val="105"/>
          <w:sz w:val="21"/>
        </w:rPr>
        <w:t> </w:t>
      </w:r>
      <w:r>
        <w:rPr>
          <w:spacing w:val="-5"/>
          <w:w w:val="105"/>
          <w:sz w:val="21"/>
        </w:rPr>
        <w:t>have</w:t>
      </w:r>
      <w:r>
        <w:rPr>
          <w:spacing w:val="-12"/>
          <w:w w:val="105"/>
          <w:sz w:val="21"/>
        </w:rPr>
        <w:t> </w:t>
      </w:r>
      <w:r>
        <w:rPr>
          <w:spacing w:val="-4"/>
          <w:w w:val="105"/>
          <w:sz w:val="21"/>
        </w:rPr>
        <w:t>resorted</w:t>
      </w:r>
      <w:r>
        <w:rPr>
          <w:spacing w:val="-12"/>
          <w:w w:val="105"/>
          <w:sz w:val="21"/>
        </w:rPr>
        <w:t> </w:t>
      </w:r>
      <w:r>
        <w:rPr>
          <w:spacing w:val="-4"/>
          <w:w w:val="105"/>
          <w:sz w:val="21"/>
        </w:rPr>
        <w:t>to</w:t>
      </w:r>
      <w:r>
        <w:rPr>
          <w:spacing w:val="-12"/>
          <w:w w:val="105"/>
          <w:sz w:val="21"/>
        </w:rPr>
        <w:t> </w:t>
      </w:r>
      <w:r>
        <w:rPr>
          <w:spacing w:val="-5"/>
          <w:w w:val="105"/>
          <w:sz w:val="21"/>
        </w:rPr>
        <w:t>illegal</w:t>
      </w:r>
      <w:r>
        <w:rPr>
          <w:spacing w:val="-12"/>
          <w:w w:val="105"/>
          <w:sz w:val="21"/>
        </w:rPr>
        <w:t> </w:t>
      </w:r>
      <w:r>
        <w:rPr>
          <w:spacing w:val="-4"/>
          <w:w w:val="105"/>
          <w:sz w:val="21"/>
        </w:rPr>
        <w:t>action </w:t>
      </w:r>
      <w:r>
        <w:rPr>
          <w:spacing w:val="-5"/>
          <w:w w:val="105"/>
          <w:sz w:val="21"/>
        </w:rPr>
        <w:t>such </w:t>
      </w:r>
      <w:r>
        <w:rPr>
          <w:spacing w:val="-3"/>
          <w:w w:val="105"/>
          <w:sz w:val="21"/>
        </w:rPr>
        <w:t>as </w:t>
      </w:r>
      <w:r>
        <w:rPr>
          <w:spacing w:val="-5"/>
          <w:w w:val="105"/>
          <w:sz w:val="21"/>
        </w:rPr>
        <w:t>poisoning their </w:t>
      </w:r>
      <w:r>
        <w:rPr>
          <w:spacing w:val="-6"/>
          <w:w w:val="105"/>
          <w:sz w:val="21"/>
        </w:rPr>
        <w:t>neighbour’s </w:t>
      </w:r>
      <w:r>
        <w:rPr>
          <w:spacing w:val="-7"/>
          <w:w w:val="105"/>
          <w:sz w:val="21"/>
        </w:rPr>
        <w:t>tree.</w:t>
      </w:r>
      <w:r>
        <w:rPr>
          <w:spacing w:val="-7"/>
          <w:w w:val="105"/>
          <w:position w:val="7"/>
          <w:sz w:val="12"/>
        </w:rPr>
        <w:t>106  </w:t>
      </w:r>
      <w:r>
        <w:rPr>
          <w:w w:val="105"/>
          <w:sz w:val="21"/>
        </w:rPr>
        <w:t>In </w:t>
      </w:r>
      <w:r>
        <w:rPr>
          <w:spacing w:val="-4"/>
          <w:w w:val="105"/>
          <w:sz w:val="21"/>
        </w:rPr>
        <w:t>one </w:t>
      </w:r>
      <w:r>
        <w:rPr>
          <w:spacing w:val="-5"/>
          <w:w w:val="105"/>
          <w:sz w:val="21"/>
        </w:rPr>
        <w:t>case, </w:t>
      </w:r>
      <w:r>
        <w:rPr>
          <w:spacing w:val="-4"/>
          <w:w w:val="105"/>
          <w:sz w:val="21"/>
        </w:rPr>
        <w:t>reported in the </w:t>
      </w:r>
      <w:r>
        <w:rPr>
          <w:spacing w:val="-5"/>
          <w:w w:val="105"/>
          <w:sz w:val="21"/>
        </w:rPr>
        <w:t>media, </w:t>
      </w:r>
      <w:r>
        <w:rPr>
          <w:w w:val="105"/>
          <w:sz w:val="21"/>
        </w:rPr>
        <w:t>a </w:t>
      </w:r>
      <w:r>
        <w:rPr>
          <w:spacing w:val="-6"/>
          <w:w w:val="105"/>
          <w:sz w:val="21"/>
        </w:rPr>
        <w:t>couple  </w:t>
      </w:r>
      <w:r>
        <w:rPr>
          <w:spacing w:val="-5"/>
          <w:w w:val="105"/>
          <w:sz w:val="21"/>
        </w:rPr>
        <w:t>were convicted </w:t>
      </w:r>
      <w:r>
        <w:rPr>
          <w:spacing w:val="-4"/>
          <w:w w:val="105"/>
          <w:sz w:val="21"/>
        </w:rPr>
        <w:t>and </w:t>
      </w:r>
      <w:r>
        <w:rPr>
          <w:spacing w:val="-3"/>
          <w:w w:val="105"/>
          <w:sz w:val="21"/>
        </w:rPr>
        <w:t>fined </w:t>
      </w:r>
      <w:r>
        <w:rPr>
          <w:spacing w:val="-5"/>
          <w:w w:val="105"/>
          <w:sz w:val="21"/>
        </w:rPr>
        <w:t>for </w:t>
      </w:r>
      <w:r>
        <w:rPr>
          <w:spacing w:val="-6"/>
          <w:w w:val="105"/>
          <w:sz w:val="21"/>
        </w:rPr>
        <w:t>criminal </w:t>
      </w:r>
      <w:r>
        <w:rPr>
          <w:spacing w:val="-5"/>
          <w:w w:val="105"/>
          <w:sz w:val="21"/>
        </w:rPr>
        <w:t>damage </w:t>
      </w:r>
      <w:r>
        <w:rPr>
          <w:spacing w:val="-4"/>
          <w:w w:val="105"/>
          <w:sz w:val="21"/>
        </w:rPr>
        <w:t>in the </w:t>
      </w:r>
      <w:r>
        <w:rPr>
          <w:spacing w:val="-5"/>
          <w:w w:val="105"/>
          <w:sz w:val="21"/>
        </w:rPr>
        <w:t>Geelong </w:t>
      </w:r>
      <w:r>
        <w:rPr>
          <w:spacing w:val="-6"/>
          <w:w w:val="105"/>
          <w:sz w:val="21"/>
        </w:rPr>
        <w:t>Magistrates’ </w:t>
      </w:r>
      <w:r>
        <w:rPr>
          <w:spacing w:val="-5"/>
          <w:w w:val="105"/>
          <w:sz w:val="21"/>
        </w:rPr>
        <w:t>Court</w:t>
      </w:r>
      <w:r>
        <w:rPr>
          <w:spacing w:val="34"/>
          <w:w w:val="105"/>
          <w:sz w:val="21"/>
        </w:rPr>
        <w:t> </w:t>
      </w:r>
      <w:r>
        <w:rPr>
          <w:spacing w:val="-4"/>
          <w:w w:val="105"/>
          <w:sz w:val="21"/>
        </w:rPr>
        <w:t>after</w:t>
      </w:r>
    </w:p>
    <w:p>
      <w:pPr>
        <w:pStyle w:val="BodyText"/>
        <w:spacing w:line="242" w:lineRule="auto" w:before="3"/>
        <w:ind w:left="2381" w:right="1636" w:hanging="1"/>
        <w:rPr>
          <w:sz w:val="12"/>
        </w:rPr>
      </w:pPr>
      <w:r>
        <w:rPr>
          <w:spacing w:val="-4"/>
          <w:w w:val="105"/>
        </w:rPr>
        <w:t>they </w:t>
      </w:r>
      <w:r>
        <w:rPr>
          <w:spacing w:val="-5"/>
          <w:w w:val="105"/>
        </w:rPr>
        <w:t>pleaded guilty </w:t>
      </w:r>
      <w:r>
        <w:rPr>
          <w:spacing w:val="-4"/>
          <w:w w:val="105"/>
        </w:rPr>
        <w:t>to </w:t>
      </w:r>
      <w:r>
        <w:rPr>
          <w:spacing w:val="-5"/>
          <w:w w:val="105"/>
        </w:rPr>
        <w:t>poisoning </w:t>
      </w:r>
      <w:r>
        <w:rPr>
          <w:spacing w:val="-4"/>
          <w:w w:val="105"/>
        </w:rPr>
        <w:t>more </w:t>
      </w:r>
      <w:r>
        <w:rPr>
          <w:spacing w:val="-5"/>
          <w:w w:val="105"/>
        </w:rPr>
        <w:t>than </w:t>
      </w:r>
      <w:r>
        <w:rPr>
          <w:w w:val="105"/>
        </w:rPr>
        <w:t>40 </w:t>
      </w:r>
      <w:r>
        <w:rPr>
          <w:spacing w:val="-4"/>
          <w:w w:val="105"/>
        </w:rPr>
        <w:t>cypress trees </w:t>
      </w:r>
      <w:r>
        <w:rPr>
          <w:spacing w:val="-3"/>
          <w:w w:val="105"/>
        </w:rPr>
        <w:t>on </w:t>
      </w:r>
      <w:r>
        <w:rPr>
          <w:spacing w:val="-6"/>
          <w:w w:val="105"/>
        </w:rPr>
        <w:t>neighbouring properties.</w:t>
      </w:r>
      <w:r>
        <w:rPr>
          <w:spacing w:val="-6"/>
          <w:w w:val="105"/>
          <w:position w:val="7"/>
          <w:sz w:val="12"/>
        </w:rPr>
        <w:t>107 </w:t>
      </w:r>
      <w:r>
        <w:rPr>
          <w:spacing w:val="-3"/>
          <w:w w:val="105"/>
        </w:rPr>
        <w:t>The </w:t>
      </w:r>
      <w:r>
        <w:rPr>
          <w:spacing w:val="-5"/>
          <w:w w:val="105"/>
        </w:rPr>
        <w:t>Geelong </w:t>
      </w:r>
      <w:r>
        <w:rPr>
          <w:spacing w:val="-4"/>
          <w:w w:val="105"/>
        </w:rPr>
        <w:t>Advertiser reported </w:t>
      </w:r>
      <w:r>
        <w:rPr>
          <w:spacing w:val="-5"/>
          <w:w w:val="105"/>
        </w:rPr>
        <w:t>that </w:t>
      </w:r>
      <w:r>
        <w:rPr>
          <w:spacing w:val="-4"/>
          <w:w w:val="105"/>
        </w:rPr>
        <w:t>the </w:t>
      </w:r>
      <w:r>
        <w:rPr>
          <w:spacing w:val="-5"/>
          <w:w w:val="105"/>
        </w:rPr>
        <w:t>couple were alleged </w:t>
      </w:r>
      <w:r>
        <w:rPr>
          <w:spacing w:val="-4"/>
          <w:w w:val="105"/>
        </w:rPr>
        <w:t>to </w:t>
      </w:r>
      <w:r>
        <w:rPr>
          <w:spacing w:val="-5"/>
          <w:w w:val="105"/>
        </w:rPr>
        <w:t>have poisoned </w:t>
      </w:r>
      <w:r>
        <w:rPr>
          <w:spacing w:val="-4"/>
          <w:w w:val="105"/>
        </w:rPr>
        <w:t>the trees </w:t>
      </w:r>
      <w:r>
        <w:rPr>
          <w:spacing w:val="-6"/>
          <w:w w:val="105"/>
        </w:rPr>
        <w:t>following </w:t>
      </w:r>
      <w:r>
        <w:rPr>
          <w:spacing w:val="-5"/>
          <w:w w:val="105"/>
        </w:rPr>
        <w:t>longstanding disputes over </w:t>
      </w:r>
      <w:r>
        <w:rPr>
          <w:spacing w:val="-4"/>
          <w:w w:val="105"/>
        </w:rPr>
        <w:t>the trees </w:t>
      </w:r>
      <w:r>
        <w:rPr>
          <w:spacing w:val="-5"/>
          <w:w w:val="105"/>
        </w:rPr>
        <w:t>which </w:t>
      </w:r>
      <w:r>
        <w:rPr>
          <w:spacing w:val="-4"/>
          <w:w w:val="105"/>
        </w:rPr>
        <w:t>they </w:t>
      </w:r>
      <w:r>
        <w:rPr>
          <w:spacing w:val="-5"/>
          <w:w w:val="105"/>
        </w:rPr>
        <w:t>claimed </w:t>
      </w:r>
      <w:r>
        <w:rPr>
          <w:spacing w:val="-4"/>
          <w:w w:val="105"/>
        </w:rPr>
        <w:t>had </w:t>
      </w:r>
      <w:r>
        <w:rPr>
          <w:spacing w:val="-5"/>
          <w:w w:val="105"/>
        </w:rPr>
        <w:t>caused root damage </w:t>
      </w:r>
      <w:r>
        <w:rPr>
          <w:spacing w:val="-4"/>
          <w:w w:val="105"/>
        </w:rPr>
        <w:t>to </w:t>
      </w:r>
      <w:r>
        <w:rPr>
          <w:spacing w:val="-5"/>
          <w:w w:val="105"/>
        </w:rPr>
        <w:t>their land </w:t>
      </w:r>
      <w:r>
        <w:rPr>
          <w:spacing w:val="-4"/>
          <w:w w:val="105"/>
        </w:rPr>
        <w:t>and </w:t>
      </w:r>
      <w:r>
        <w:rPr>
          <w:spacing w:val="-6"/>
          <w:w w:val="105"/>
        </w:rPr>
        <w:t>property.</w:t>
      </w:r>
      <w:r>
        <w:rPr>
          <w:spacing w:val="-6"/>
          <w:w w:val="105"/>
          <w:position w:val="7"/>
          <w:sz w:val="12"/>
        </w:rPr>
        <w:t>108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r>
        <w:rPr/>
        <w:pict>
          <v:line style="position:absolute;mso-position-horizontal-relative:page;mso-position-vertical-relative:paragraph;z-index:128;mso-wrap-distance-left:0;mso-wrap-distance-right:0" from="79.370102pt,10.88676pt" to="515.905102pt,10.88676pt" stroked="true" strokeweight="1pt" strokecolor="#c9d2cb">
            <v:stroke dashstyle="solid"/>
            <w10:wrap type="topAndBottom"/>
          </v:line>
        </w:pict>
      </w:r>
    </w:p>
    <w:p>
      <w:pPr>
        <w:pStyle w:val="ListParagraph"/>
        <w:numPr>
          <w:ilvl w:val="0"/>
          <w:numId w:val="18"/>
        </w:numPr>
        <w:tabs>
          <w:tab w:pos="2380" w:val="left" w:leader="none"/>
          <w:tab w:pos="2382" w:val="left" w:leader="none"/>
        </w:tabs>
        <w:spacing w:line="240" w:lineRule="auto" w:before="117" w:after="0"/>
        <w:ind w:left="2381" w:right="1712" w:hanging="794"/>
        <w:jc w:val="left"/>
        <w:rPr>
          <w:sz w:val="13"/>
        </w:rPr>
      </w:pPr>
      <w:r>
        <w:rPr>
          <w:w w:val="105"/>
          <w:sz w:val="13"/>
        </w:rPr>
        <w:t>That trees have a quantifiable economic benefit is increasingly well recognised. See, eg, the discussion in Greg M Moore, </w:t>
      </w:r>
      <w:r>
        <w:rPr>
          <w:spacing w:val="2"/>
          <w:w w:val="105"/>
          <w:sz w:val="13"/>
        </w:rPr>
        <w:t>‘The </w:t>
      </w:r>
      <w:r>
        <w:rPr>
          <w:w w:val="105"/>
          <w:sz w:val="13"/>
        </w:rPr>
        <w:t>Importance and</w:t>
      </w:r>
      <w:r>
        <w:rPr>
          <w:spacing w:val="4"/>
          <w:w w:val="105"/>
          <w:sz w:val="13"/>
        </w:rPr>
        <w:t> </w:t>
      </w:r>
      <w:r>
        <w:rPr>
          <w:w w:val="105"/>
          <w:sz w:val="13"/>
        </w:rPr>
        <w:t>Value</w:t>
      </w:r>
      <w:r>
        <w:rPr>
          <w:spacing w:val="5"/>
          <w:w w:val="105"/>
          <w:sz w:val="13"/>
        </w:rPr>
        <w:t> </w:t>
      </w:r>
      <w:r>
        <w:rPr>
          <w:w w:val="105"/>
          <w:sz w:val="13"/>
        </w:rPr>
        <w:t>of</w:t>
      </w:r>
      <w:r>
        <w:rPr>
          <w:spacing w:val="5"/>
          <w:w w:val="105"/>
          <w:sz w:val="13"/>
        </w:rPr>
        <w:t> </w:t>
      </w:r>
      <w:r>
        <w:rPr>
          <w:w w:val="105"/>
          <w:sz w:val="13"/>
        </w:rPr>
        <w:t>Urban</w:t>
      </w:r>
      <w:r>
        <w:rPr>
          <w:spacing w:val="5"/>
          <w:w w:val="105"/>
          <w:sz w:val="13"/>
        </w:rPr>
        <w:t> </w:t>
      </w:r>
      <w:r>
        <w:rPr>
          <w:spacing w:val="2"/>
          <w:w w:val="105"/>
          <w:sz w:val="13"/>
        </w:rPr>
        <w:t>Forests</w:t>
      </w:r>
      <w:r>
        <w:rPr>
          <w:spacing w:val="5"/>
          <w:w w:val="105"/>
          <w:sz w:val="13"/>
        </w:rPr>
        <w:t> </w:t>
      </w:r>
      <w:r>
        <w:rPr>
          <w:w w:val="105"/>
          <w:sz w:val="13"/>
        </w:rPr>
        <w:t>as</w:t>
      </w:r>
      <w:r>
        <w:rPr>
          <w:spacing w:val="5"/>
          <w:w w:val="105"/>
          <w:sz w:val="13"/>
        </w:rPr>
        <w:t> </w:t>
      </w:r>
      <w:r>
        <w:rPr>
          <w:w w:val="105"/>
          <w:sz w:val="13"/>
        </w:rPr>
        <w:t>Climate</w:t>
      </w:r>
      <w:r>
        <w:rPr>
          <w:spacing w:val="4"/>
          <w:w w:val="105"/>
          <w:sz w:val="13"/>
        </w:rPr>
        <w:t> </w:t>
      </w:r>
      <w:r>
        <w:rPr>
          <w:w w:val="105"/>
          <w:sz w:val="13"/>
        </w:rPr>
        <w:t>Changes’</w:t>
      </w:r>
      <w:r>
        <w:rPr>
          <w:spacing w:val="5"/>
          <w:w w:val="105"/>
          <w:sz w:val="13"/>
        </w:rPr>
        <w:t> </w:t>
      </w:r>
      <w:r>
        <w:rPr>
          <w:w w:val="105"/>
          <w:sz w:val="13"/>
        </w:rPr>
        <w:t>(2012)</w:t>
      </w:r>
      <w:r>
        <w:rPr>
          <w:spacing w:val="5"/>
          <w:w w:val="105"/>
          <w:sz w:val="13"/>
        </w:rPr>
        <w:t> </w:t>
      </w:r>
      <w:r>
        <w:rPr>
          <w:w w:val="105"/>
          <w:sz w:val="13"/>
        </w:rPr>
        <w:t>129(5)</w:t>
      </w:r>
      <w:r>
        <w:rPr>
          <w:spacing w:val="5"/>
          <w:w w:val="105"/>
          <w:sz w:val="13"/>
        </w:rPr>
        <w:t> </w:t>
      </w:r>
      <w:r>
        <w:rPr>
          <w:i/>
          <w:w w:val="105"/>
          <w:sz w:val="13"/>
        </w:rPr>
        <w:t>The</w:t>
      </w:r>
      <w:r>
        <w:rPr>
          <w:i/>
          <w:spacing w:val="5"/>
          <w:w w:val="105"/>
          <w:sz w:val="13"/>
        </w:rPr>
        <w:t> </w:t>
      </w:r>
      <w:r>
        <w:rPr>
          <w:i/>
          <w:w w:val="105"/>
          <w:sz w:val="13"/>
        </w:rPr>
        <w:t>Victorian</w:t>
      </w:r>
      <w:r>
        <w:rPr>
          <w:i/>
          <w:spacing w:val="5"/>
          <w:w w:val="105"/>
          <w:sz w:val="13"/>
        </w:rPr>
        <w:t> </w:t>
      </w:r>
      <w:r>
        <w:rPr>
          <w:i/>
          <w:w w:val="105"/>
          <w:sz w:val="13"/>
        </w:rPr>
        <w:t>Naturalist</w:t>
      </w:r>
      <w:r>
        <w:rPr>
          <w:i/>
          <w:spacing w:val="4"/>
          <w:w w:val="105"/>
          <w:sz w:val="13"/>
        </w:rPr>
        <w:t> </w:t>
      </w:r>
      <w:r>
        <w:rPr>
          <w:spacing w:val="-6"/>
          <w:w w:val="105"/>
          <w:sz w:val="13"/>
        </w:rPr>
        <w:t>167.</w:t>
      </w:r>
    </w:p>
    <w:p>
      <w:pPr>
        <w:pStyle w:val="ListParagraph"/>
        <w:numPr>
          <w:ilvl w:val="0"/>
          <w:numId w:val="18"/>
        </w:numPr>
        <w:tabs>
          <w:tab w:pos="2380" w:val="left" w:leader="none"/>
          <w:tab w:pos="2381" w:val="left" w:leader="none"/>
        </w:tabs>
        <w:spacing w:line="240" w:lineRule="auto" w:before="3" w:after="0"/>
        <w:ind w:left="2380" w:right="1668" w:hanging="793"/>
        <w:jc w:val="left"/>
        <w:rPr>
          <w:sz w:val="13"/>
        </w:rPr>
      </w:pPr>
      <w:r>
        <w:rPr>
          <w:w w:val="105"/>
          <w:sz w:val="13"/>
        </w:rPr>
        <w:t>For example, Baw Baw Shire Council informed the Commission that their local community strongly support large, old trees and have     created the Drouin Ficifolia Festival to celebrate some of them: Consultation 10 </w:t>
      </w:r>
      <w:r>
        <w:rPr>
          <w:spacing w:val="2"/>
          <w:w w:val="105"/>
          <w:sz w:val="13"/>
        </w:rPr>
        <w:t>(Baw </w:t>
      </w:r>
      <w:r>
        <w:rPr>
          <w:w w:val="105"/>
          <w:sz w:val="13"/>
        </w:rPr>
        <w:t>Baw Shire Council). The community interest group, Friends of Drouin’s Trees, also operates in Baw Baw Shire and works to conserve and raise awareness about significant trees and vegetated spaces in Drouin. The group has also published a booklet that ‘aims to showcase the incredible wealth of Drouin’s remnant and planted trees’:</w:t>
      </w:r>
      <w:r>
        <w:rPr>
          <w:spacing w:val="4"/>
          <w:w w:val="105"/>
          <w:sz w:val="13"/>
        </w:rPr>
        <w:t> </w:t>
      </w:r>
      <w:r>
        <w:rPr>
          <w:w w:val="105"/>
          <w:sz w:val="13"/>
        </w:rPr>
        <w:t>Friends</w:t>
      </w:r>
      <w:r>
        <w:rPr>
          <w:spacing w:val="4"/>
          <w:w w:val="105"/>
          <w:sz w:val="13"/>
        </w:rPr>
        <w:t> </w:t>
      </w:r>
      <w:r>
        <w:rPr>
          <w:w w:val="105"/>
          <w:sz w:val="13"/>
        </w:rPr>
        <w:t>of</w:t>
      </w:r>
      <w:r>
        <w:rPr>
          <w:spacing w:val="5"/>
          <w:w w:val="105"/>
          <w:sz w:val="13"/>
        </w:rPr>
        <w:t> </w:t>
      </w:r>
      <w:r>
        <w:rPr>
          <w:w w:val="105"/>
          <w:sz w:val="13"/>
        </w:rPr>
        <w:t>Drouin’s</w:t>
      </w:r>
      <w:r>
        <w:rPr>
          <w:spacing w:val="4"/>
          <w:w w:val="105"/>
          <w:sz w:val="13"/>
        </w:rPr>
        <w:t> </w:t>
      </w:r>
      <w:r>
        <w:rPr>
          <w:w w:val="105"/>
          <w:sz w:val="13"/>
        </w:rPr>
        <w:t>Trees,</w:t>
      </w:r>
      <w:r>
        <w:rPr>
          <w:spacing w:val="4"/>
          <w:w w:val="105"/>
          <w:sz w:val="13"/>
        </w:rPr>
        <w:t> </w:t>
      </w:r>
      <w:r>
        <w:rPr>
          <w:i/>
          <w:w w:val="105"/>
          <w:sz w:val="13"/>
        </w:rPr>
        <w:t>Drouin</w:t>
      </w:r>
      <w:r>
        <w:rPr>
          <w:i/>
          <w:spacing w:val="5"/>
          <w:w w:val="105"/>
          <w:sz w:val="13"/>
        </w:rPr>
        <w:t> </w:t>
      </w:r>
      <w:r>
        <w:rPr>
          <w:i/>
          <w:w w:val="105"/>
          <w:sz w:val="13"/>
        </w:rPr>
        <w:t>Tree</w:t>
      </w:r>
      <w:r>
        <w:rPr>
          <w:i/>
          <w:spacing w:val="4"/>
          <w:w w:val="105"/>
          <w:sz w:val="13"/>
        </w:rPr>
        <w:t> </w:t>
      </w:r>
      <w:r>
        <w:rPr>
          <w:i/>
          <w:w w:val="105"/>
          <w:sz w:val="13"/>
        </w:rPr>
        <w:t>Walks</w:t>
      </w:r>
      <w:r>
        <w:rPr>
          <w:i/>
          <w:spacing w:val="5"/>
          <w:w w:val="105"/>
          <w:sz w:val="13"/>
        </w:rPr>
        <w:t> </w:t>
      </w:r>
      <w:r>
        <w:rPr>
          <w:spacing w:val="2"/>
          <w:w w:val="105"/>
          <w:sz w:val="13"/>
        </w:rPr>
        <w:t>(Booklet,</w:t>
      </w:r>
      <w:r>
        <w:rPr>
          <w:spacing w:val="4"/>
          <w:w w:val="105"/>
          <w:sz w:val="13"/>
        </w:rPr>
        <w:t> </w:t>
      </w:r>
      <w:r>
        <w:rPr>
          <w:w w:val="105"/>
          <w:sz w:val="13"/>
        </w:rPr>
        <w:t>2018)</w:t>
      </w:r>
      <w:r>
        <w:rPr>
          <w:spacing w:val="4"/>
          <w:w w:val="105"/>
          <w:sz w:val="13"/>
        </w:rPr>
        <w:t> </w:t>
      </w:r>
      <w:r>
        <w:rPr>
          <w:spacing w:val="-3"/>
          <w:w w:val="105"/>
          <w:sz w:val="13"/>
        </w:rPr>
        <w:t>1.</w:t>
      </w:r>
    </w:p>
    <w:p>
      <w:pPr>
        <w:pStyle w:val="ListParagraph"/>
        <w:numPr>
          <w:ilvl w:val="0"/>
          <w:numId w:val="18"/>
        </w:numPr>
        <w:tabs>
          <w:tab w:pos="2380" w:val="left" w:leader="none"/>
          <w:tab w:pos="2381" w:val="left" w:leader="none"/>
        </w:tabs>
        <w:spacing w:line="240" w:lineRule="auto" w:before="6" w:after="0"/>
        <w:ind w:left="1587" w:right="7165" w:firstLine="0"/>
        <w:jc w:val="left"/>
        <w:rPr>
          <w:sz w:val="13"/>
        </w:rPr>
      </w:pPr>
      <w:r>
        <w:rPr>
          <w:w w:val="105"/>
          <w:sz w:val="13"/>
        </w:rPr>
        <w:t>Consultation 10 </w:t>
      </w:r>
      <w:r>
        <w:rPr>
          <w:spacing w:val="2"/>
          <w:w w:val="105"/>
          <w:sz w:val="13"/>
        </w:rPr>
        <w:t>(Baw </w:t>
      </w:r>
      <w:r>
        <w:rPr>
          <w:w w:val="105"/>
          <w:sz w:val="13"/>
        </w:rPr>
        <w:t>Baw Shire Council). 100</w:t>
        <w:tab/>
        <w:t>Consultation 9 (Nillumbik Shire</w:t>
      </w:r>
      <w:r>
        <w:rPr>
          <w:spacing w:val="9"/>
          <w:w w:val="105"/>
          <w:sz w:val="13"/>
        </w:rPr>
        <w:t> </w:t>
      </w:r>
      <w:r>
        <w:rPr>
          <w:w w:val="105"/>
          <w:sz w:val="13"/>
        </w:rPr>
        <w:t>Council).</w:t>
      </w:r>
    </w:p>
    <w:p>
      <w:pPr>
        <w:pStyle w:val="ListParagraph"/>
        <w:numPr>
          <w:ilvl w:val="0"/>
          <w:numId w:val="19"/>
        </w:numPr>
        <w:tabs>
          <w:tab w:pos="2380"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19"/>
        </w:numPr>
        <w:tabs>
          <w:tab w:pos="2380" w:val="left" w:leader="none"/>
          <w:tab w:pos="2381" w:val="left" w:leader="none"/>
        </w:tabs>
        <w:spacing w:line="240" w:lineRule="auto" w:before="1" w:after="0"/>
        <w:ind w:left="2380" w:right="1963" w:hanging="793"/>
        <w:jc w:val="both"/>
        <w:rPr>
          <w:sz w:val="13"/>
        </w:rPr>
      </w:pPr>
      <w:r>
        <w:rPr>
          <w:sz w:val="13"/>
        </w:rPr>
        <w:t>Abatement is a ‘self-help’ remedy developed under the common law for any </w:t>
      </w:r>
      <w:r>
        <w:rPr>
          <w:spacing w:val="2"/>
          <w:sz w:val="13"/>
        </w:rPr>
        <w:t>type </w:t>
      </w:r>
      <w:r>
        <w:rPr>
          <w:sz w:val="13"/>
        </w:rPr>
        <w:t>of private nuisance. In the context of tree disputes,                it allows neighbours to take matters into their own hands and abate the interference caused by the tree up to boundary lines without   entering</w:t>
      </w:r>
      <w:r>
        <w:rPr>
          <w:spacing w:val="18"/>
          <w:sz w:val="13"/>
        </w:rPr>
        <w:t> </w:t>
      </w:r>
      <w:r>
        <w:rPr>
          <w:sz w:val="13"/>
        </w:rPr>
        <w:t>the</w:t>
      </w:r>
      <w:r>
        <w:rPr>
          <w:spacing w:val="18"/>
          <w:sz w:val="13"/>
        </w:rPr>
        <w:t> </w:t>
      </w:r>
      <w:r>
        <w:rPr>
          <w:sz w:val="13"/>
        </w:rPr>
        <w:t>tree</w:t>
      </w:r>
      <w:r>
        <w:rPr>
          <w:spacing w:val="18"/>
          <w:sz w:val="13"/>
        </w:rPr>
        <w:t> </w:t>
      </w:r>
      <w:r>
        <w:rPr>
          <w:sz w:val="13"/>
        </w:rPr>
        <w:t>owner’s</w:t>
      </w:r>
      <w:r>
        <w:rPr>
          <w:spacing w:val="18"/>
          <w:sz w:val="13"/>
        </w:rPr>
        <w:t> </w:t>
      </w:r>
      <w:r>
        <w:rPr>
          <w:sz w:val="13"/>
        </w:rPr>
        <w:t>land:</w:t>
      </w:r>
      <w:r>
        <w:rPr>
          <w:spacing w:val="18"/>
          <w:sz w:val="13"/>
        </w:rPr>
        <w:t> </w:t>
      </w:r>
      <w:r>
        <w:rPr>
          <w:sz w:val="13"/>
        </w:rPr>
        <w:t>see</w:t>
      </w:r>
      <w:r>
        <w:rPr>
          <w:spacing w:val="18"/>
          <w:sz w:val="13"/>
        </w:rPr>
        <w:t> </w:t>
      </w:r>
      <w:r>
        <w:rPr>
          <w:i/>
          <w:sz w:val="13"/>
        </w:rPr>
        <w:t>Lemmon</w:t>
      </w:r>
      <w:r>
        <w:rPr>
          <w:i/>
          <w:spacing w:val="18"/>
          <w:sz w:val="13"/>
        </w:rPr>
        <w:t> </w:t>
      </w:r>
      <w:r>
        <w:rPr>
          <w:i/>
          <w:sz w:val="13"/>
        </w:rPr>
        <w:t>v</w:t>
      </w:r>
      <w:r>
        <w:rPr>
          <w:i/>
          <w:spacing w:val="19"/>
          <w:sz w:val="13"/>
        </w:rPr>
        <w:t> </w:t>
      </w:r>
      <w:r>
        <w:rPr>
          <w:i/>
          <w:sz w:val="13"/>
        </w:rPr>
        <w:t>Webb</w:t>
      </w:r>
      <w:r>
        <w:rPr>
          <w:i/>
          <w:spacing w:val="18"/>
          <w:sz w:val="13"/>
        </w:rPr>
        <w:t> </w:t>
      </w:r>
      <w:r>
        <w:rPr>
          <w:sz w:val="13"/>
        </w:rPr>
        <w:t>[1895]</w:t>
      </w:r>
      <w:r>
        <w:rPr>
          <w:spacing w:val="18"/>
          <w:sz w:val="13"/>
        </w:rPr>
        <w:t> </w:t>
      </w:r>
      <w:r>
        <w:rPr>
          <w:sz w:val="13"/>
        </w:rPr>
        <w:t>AC</w:t>
      </w:r>
      <w:r>
        <w:rPr>
          <w:spacing w:val="18"/>
          <w:sz w:val="13"/>
        </w:rPr>
        <w:t> </w:t>
      </w:r>
      <w:r>
        <w:rPr>
          <w:sz w:val="13"/>
        </w:rPr>
        <w:t>1;</w:t>
      </w:r>
      <w:r>
        <w:rPr>
          <w:spacing w:val="18"/>
          <w:sz w:val="13"/>
        </w:rPr>
        <w:t> </w:t>
      </w:r>
      <w:r>
        <w:rPr>
          <w:i/>
          <w:sz w:val="13"/>
        </w:rPr>
        <w:t>Young</w:t>
      </w:r>
      <w:r>
        <w:rPr>
          <w:i/>
          <w:spacing w:val="18"/>
          <w:sz w:val="13"/>
        </w:rPr>
        <w:t> </w:t>
      </w:r>
      <w:r>
        <w:rPr>
          <w:i/>
          <w:sz w:val="13"/>
        </w:rPr>
        <w:t>v</w:t>
      </w:r>
      <w:r>
        <w:rPr>
          <w:i/>
          <w:spacing w:val="18"/>
          <w:sz w:val="13"/>
        </w:rPr>
        <w:t> </w:t>
      </w:r>
      <w:r>
        <w:rPr>
          <w:i/>
          <w:sz w:val="13"/>
        </w:rPr>
        <w:t>Wheeler</w:t>
      </w:r>
      <w:r>
        <w:rPr>
          <w:i/>
          <w:spacing w:val="19"/>
          <w:sz w:val="13"/>
        </w:rPr>
        <w:t> </w:t>
      </w:r>
      <w:r>
        <w:rPr>
          <w:sz w:val="13"/>
        </w:rPr>
        <w:t>[1987]</w:t>
      </w:r>
      <w:r>
        <w:rPr>
          <w:spacing w:val="18"/>
          <w:sz w:val="13"/>
        </w:rPr>
        <w:t> </w:t>
      </w:r>
      <w:r>
        <w:rPr>
          <w:sz w:val="13"/>
        </w:rPr>
        <w:t>Aust</w:t>
      </w:r>
      <w:r>
        <w:rPr>
          <w:spacing w:val="18"/>
          <w:sz w:val="13"/>
        </w:rPr>
        <w:t> </w:t>
      </w:r>
      <w:r>
        <w:rPr>
          <w:sz w:val="13"/>
        </w:rPr>
        <w:t>Torts</w:t>
      </w:r>
      <w:r>
        <w:rPr>
          <w:spacing w:val="18"/>
          <w:sz w:val="13"/>
        </w:rPr>
        <w:t> </w:t>
      </w:r>
      <w:r>
        <w:rPr>
          <w:spacing w:val="2"/>
          <w:sz w:val="13"/>
        </w:rPr>
        <w:t>Reports</w:t>
      </w:r>
      <w:r>
        <w:rPr>
          <w:spacing w:val="18"/>
          <w:sz w:val="13"/>
        </w:rPr>
        <w:t> </w:t>
      </w:r>
      <w:r>
        <w:rPr>
          <w:sz w:val="13"/>
        </w:rPr>
        <w:t>80–126,</w:t>
      </w:r>
      <w:r>
        <w:rPr>
          <w:spacing w:val="18"/>
          <w:sz w:val="13"/>
        </w:rPr>
        <w:t> </w:t>
      </w:r>
      <w:r>
        <w:rPr>
          <w:sz w:val="13"/>
        </w:rPr>
        <w:t>68,970.</w:t>
      </w:r>
    </w:p>
    <w:p>
      <w:pPr>
        <w:pStyle w:val="ListParagraph"/>
        <w:numPr>
          <w:ilvl w:val="0"/>
          <w:numId w:val="19"/>
        </w:numPr>
        <w:tabs>
          <w:tab w:pos="2380" w:val="left" w:leader="none"/>
          <w:tab w:pos="2381" w:val="left" w:leader="none"/>
        </w:tabs>
        <w:spacing w:line="240" w:lineRule="auto" w:before="4" w:after="0"/>
        <w:ind w:left="2380" w:right="0" w:hanging="793"/>
        <w:jc w:val="left"/>
        <w:rPr>
          <w:sz w:val="13"/>
        </w:rPr>
      </w:pPr>
      <w:r>
        <w:rPr>
          <w:w w:val="105"/>
          <w:sz w:val="13"/>
        </w:rPr>
        <w:t>Consultation 7 (Dispute Settlement Centre of</w:t>
      </w:r>
      <w:r>
        <w:rPr>
          <w:spacing w:val="28"/>
          <w:w w:val="105"/>
          <w:sz w:val="13"/>
        </w:rPr>
        <w:t> </w:t>
      </w:r>
      <w:r>
        <w:rPr>
          <w:w w:val="105"/>
          <w:sz w:val="13"/>
        </w:rPr>
        <w:t>Victoria).</w:t>
      </w:r>
    </w:p>
    <w:p>
      <w:pPr>
        <w:pStyle w:val="ListParagraph"/>
        <w:numPr>
          <w:ilvl w:val="0"/>
          <w:numId w:val="19"/>
        </w:numPr>
        <w:tabs>
          <w:tab w:pos="2380" w:val="left" w:leader="none"/>
          <w:tab w:pos="2381" w:val="left" w:leader="none"/>
        </w:tabs>
        <w:spacing w:line="240" w:lineRule="auto" w:before="2" w:after="0"/>
        <w:ind w:left="2380" w:right="1667" w:hanging="793"/>
        <w:jc w:val="left"/>
        <w:rPr>
          <w:sz w:val="13"/>
        </w:rPr>
      </w:pPr>
      <w:r>
        <w:rPr>
          <w:w w:val="105"/>
          <w:sz w:val="13"/>
        </w:rPr>
        <w:t>See, eg, Order of Magistrate J Lesser (Magistrates’ Court of Victoria, H13012408, </w:t>
      </w:r>
      <w:r>
        <w:rPr>
          <w:spacing w:val="-3"/>
          <w:w w:val="105"/>
          <w:sz w:val="13"/>
        </w:rPr>
        <w:t>14 </w:t>
      </w:r>
      <w:r>
        <w:rPr>
          <w:w w:val="105"/>
          <w:sz w:val="13"/>
        </w:rPr>
        <w:t>February 2018) referred to in Khaleda Rahman, ‘Every Neighbour’s Worst Nightmare: Family Comes Home to Find Beloved Trees Destroyed by Chainsaw Wielding Man’, </w:t>
      </w:r>
      <w:r>
        <w:rPr>
          <w:i/>
          <w:w w:val="105"/>
          <w:sz w:val="13"/>
        </w:rPr>
        <w:t>Daily Mail Australia </w:t>
      </w:r>
      <w:r>
        <w:rPr>
          <w:w w:val="105"/>
          <w:sz w:val="13"/>
        </w:rPr>
        <w:t>(online,11 May 2017)</w:t>
      </w:r>
      <w:r>
        <w:rPr>
          <w:spacing w:val="-21"/>
          <w:w w:val="105"/>
          <w:sz w:val="13"/>
        </w:rPr>
        <w:t> </w:t>
      </w:r>
      <w:r>
        <w:rPr>
          <w:spacing w:val="2"/>
          <w:w w:val="105"/>
          <w:sz w:val="13"/>
        </w:rPr>
        <w:t>&lt;https://</w:t>
      </w:r>
      <w:hyperlink r:id="rId36">
        <w:r>
          <w:rPr>
            <w:spacing w:val="2"/>
            <w:w w:val="105"/>
            <w:sz w:val="13"/>
          </w:rPr>
          <w:t>www.dailymail.co.uk/news/article-4494582/Family-returns-home-backyard-trees-CHOPPED-down.html</w:t>
        </w:r>
      </w:hyperlink>
      <w:r>
        <w:rPr>
          <w:spacing w:val="2"/>
          <w:w w:val="105"/>
          <w:sz w:val="13"/>
        </w:rPr>
        <w:t>&gt;.</w:t>
      </w:r>
    </w:p>
    <w:p>
      <w:pPr>
        <w:pStyle w:val="ListParagraph"/>
        <w:numPr>
          <w:ilvl w:val="0"/>
          <w:numId w:val="19"/>
        </w:numPr>
        <w:tabs>
          <w:tab w:pos="2380" w:val="left" w:leader="none"/>
          <w:tab w:pos="2381" w:val="left" w:leader="none"/>
        </w:tabs>
        <w:spacing w:line="240" w:lineRule="auto" w:before="4" w:after="0"/>
        <w:ind w:left="2380" w:right="0" w:hanging="793"/>
        <w:jc w:val="left"/>
        <w:rPr>
          <w:sz w:val="13"/>
        </w:rPr>
      </w:pPr>
      <w:r>
        <w:rPr>
          <w:w w:val="105"/>
          <w:sz w:val="13"/>
        </w:rPr>
        <w:t>Submission </w:t>
      </w:r>
      <w:r>
        <w:rPr>
          <w:spacing w:val="-4"/>
          <w:w w:val="105"/>
          <w:sz w:val="13"/>
        </w:rPr>
        <w:t>17 </w:t>
      </w:r>
      <w:r>
        <w:rPr>
          <w:spacing w:val="2"/>
          <w:w w:val="105"/>
          <w:sz w:val="13"/>
        </w:rPr>
        <w:t>(Name</w:t>
      </w:r>
      <w:r>
        <w:rPr>
          <w:spacing w:val="-10"/>
          <w:w w:val="105"/>
          <w:sz w:val="13"/>
        </w:rPr>
        <w:t> </w:t>
      </w:r>
      <w:r>
        <w:rPr>
          <w:w w:val="105"/>
          <w:sz w:val="13"/>
        </w:rPr>
        <w:t>withheld).</w:t>
      </w:r>
    </w:p>
    <w:p>
      <w:pPr>
        <w:pStyle w:val="ListParagraph"/>
        <w:numPr>
          <w:ilvl w:val="0"/>
          <w:numId w:val="19"/>
        </w:numPr>
        <w:tabs>
          <w:tab w:pos="2380" w:val="left" w:leader="none"/>
          <w:tab w:pos="2381" w:val="left" w:leader="none"/>
        </w:tabs>
        <w:spacing w:line="240" w:lineRule="auto" w:before="1" w:after="0"/>
        <w:ind w:left="2380" w:right="0" w:hanging="793"/>
        <w:jc w:val="left"/>
        <w:rPr>
          <w:sz w:val="13"/>
        </w:rPr>
      </w:pPr>
      <w:r>
        <w:rPr>
          <w:w w:val="105"/>
          <w:sz w:val="13"/>
        </w:rPr>
        <w:t>Consultation 6 </w:t>
      </w:r>
      <w:r>
        <w:rPr>
          <w:spacing w:val="2"/>
          <w:w w:val="105"/>
          <w:sz w:val="13"/>
        </w:rPr>
        <w:t>(Ben</w:t>
      </w:r>
      <w:r>
        <w:rPr>
          <w:spacing w:val="13"/>
          <w:w w:val="105"/>
          <w:sz w:val="13"/>
        </w:rPr>
        <w:t> </w:t>
      </w:r>
      <w:r>
        <w:rPr>
          <w:w w:val="105"/>
          <w:sz w:val="13"/>
        </w:rPr>
        <w:t>Kenyon).</w:t>
      </w:r>
    </w:p>
    <w:p>
      <w:pPr>
        <w:pStyle w:val="ListParagraph"/>
        <w:numPr>
          <w:ilvl w:val="0"/>
          <w:numId w:val="19"/>
        </w:numPr>
        <w:tabs>
          <w:tab w:pos="2380" w:val="left" w:leader="none"/>
          <w:tab w:pos="2381" w:val="left" w:leader="none"/>
        </w:tabs>
        <w:spacing w:line="240" w:lineRule="auto" w:before="1" w:after="0"/>
        <w:ind w:left="2380" w:right="0" w:hanging="793"/>
        <w:jc w:val="left"/>
        <w:rPr>
          <w:sz w:val="13"/>
        </w:rPr>
      </w:pPr>
      <w:r>
        <w:rPr>
          <w:w w:val="105"/>
          <w:sz w:val="13"/>
        </w:rPr>
        <w:t>Order</w:t>
      </w:r>
      <w:r>
        <w:rPr>
          <w:spacing w:val="5"/>
          <w:w w:val="105"/>
          <w:sz w:val="13"/>
        </w:rPr>
        <w:t> </w:t>
      </w:r>
      <w:r>
        <w:rPr>
          <w:w w:val="105"/>
          <w:sz w:val="13"/>
        </w:rPr>
        <w:t>of</w:t>
      </w:r>
      <w:r>
        <w:rPr>
          <w:spacing w:val="5"/>
          <w:w w:val="105"/>
          <w:sz w:val="13"/>
        </w:rPr>
        <w:t> </w:t>
      </w:r>
      <w:r>
        <w:rPr>
          <w:w w:val="105"/>
          <w:sz w:val="13"/>
        </w:rPr>
        <w:t>Magistrate</w:t>
      </w:r>
      <w:r>
        <w:rPr>
          <w:spacing w:val="5"/>
          <w:w w:val="105"/>
          <w:sz w:val="13"/>
        </w:rPr>
        <w:t> </w:t>
      </w:r>
      <w:r>
        <w:rPr>
          <w:w w:val="105"/>
          <w:sz w:val="13"/>
        </w:rPr>
        <w:t>M</w:t>
      </w:r>
      <w:r>
        <w:rPr>
          <w:spacing w:val="5"/>
          <w:w w:val="105"/>
          <w:sz w:val="13"/>
        </w:rPr>
        <w:t> </w:t>
      </w:r>
      <w:r>
        <w:rPr>
          <w:w w:val="105"/>
          <w:sz w:val="13"/>
        </w:rPr>
        <w:t>P</w:t>
      </w:r>
      <w:r>
        <w:rPr>
          <w:spacing w:val="6"/>
          <w:w w:val="105"/>
          <w:sz w:val="13"/>
        </w:rPr>
        <w:t> </w:t>
      </w:r>
      <w:r>
        <w:rPr>
          <w:w w:val="105"/>
          <w:sz w:val="13"/>
        </w:rPr>
        <w:t>Coghlan</w:t>
      </w:r>
      <w:r>
        <w:rPr>
          <w:spacing w:val="5"/>
          <w:w w:val="105"/>
          <w:sz w:val="13"/>
        </w:rPr>
        <w:t> </w:t>
      </w:r>
      <w:r>
        <w:rPr>
          <w:w w:val="105"/>
          <w:sz w:val="13"/>
        </w:rPr>
        <w:t>(Magistrates’</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w w:val="105"/>
          <w:sz w:val="13"/>
        </w:rPr>
        <w:t>Victoria,</w:t>
      </w:r>
      <w:r>
        <w:rPr>
          <w:spacing w:val="6"/>
          <w:w w:val="105"/>
          <w:sz w:val="13"/>
        </w:rPr>
        <w:t> </w:t>
      </w:r>
      <w:r>
        <w:rPr>
          <w:w w:val="105"/>
          <w:sz w:val="13"/>
        </w:rPr>
        <w:t>F13605089,</w:t>
      </w:r>
      <w:r>
        <w:rPr>
          <w:spacing w:val="5"/>
          <w:w w:val="105"/>
          <w:sz w:val="13"/>
        </w:rPr>
        <w:t> </w:t>
      </w:r>
      <w:r>
        <w:rPr>
          <w:spacing w:val="-3"/>
          <w:w w:val="105"/>
          <w:sz w:val="13"/>
        </w:rPr>
        <w:t>19</w:t>
      </w:r>
      <w:r>
        <w:rPr>
          <w:spacing w:val="5"/>
          <w:w w:val="105"/>
          <w:sz w:val="13"/>
        </w:rPr>
        <w:t> </w:t>
      </w:r>
      <w:r>
        <w:rPr>
          <w:w w:val="105"/>
          <w:sz w:val="13"/>
        </w:rPr>
        <w:t>January</w:t>
      </w:r>
      <w:r>
        <w:rPr>
          <w:spacing w:val="5"/>
          <w:w w:val="105"/>
          <w:sz w:val="13"/>
        </w:rPr>
        <w:t> </w:t>
      </w:r>
      <w:r>
        <w:rPr>
          <w:w w:val="105"/>
          <w:sz w:val="13"/>
        </w:rPr>
        <w:t>2016).</w:t>
      </w:r>
    </w:p>
    <w:p>
      <w:pPr>
        <w:pStyle w:val="ListParagraph"/>
        <w:numPr>
          <w:ilvl w:val="0"/>
          <w:numId w:val="19"/>
        </w:numPr>
        <w:tabs>
          <w:tab w:pos="2380" w:val="left" w:leader="none"/>
          <w:tab w:pos="2381" w:val="left" w:leader="none"/>
        </w:tabs>
        <w:spacing w:line="240" w:lineRule="auto" w:before="2" w:after="0"/>
        <w:ind w:left="2380" w:right="0" w:hanging="793"/>
        <w:jc w:val="left"/>
        <w:rPr>
          <w:sz w:val="13"/>
        </w:rPr>
      </w:pPr>
      <w:r>
        <w:rPr>
          <w:w w:val="105"/>
          <w:sz w:val="13"/>
        </w:rPr>
        <w:t>Karen</w:t>
      </w:r>
      <w:r>
        <w:rPr>
          <w:spacing w:val="6"/>
          <w:w w:val="105"/>
          <w:sz w:val="13"/>
        </w:rPr>
        <w:t> </w:t>
      </w:r>
      <w:r>
        <w:rPr>
          <w:w w:val="105"/>
          <w:sz w:val="13"/>
        </w:rPr>
        <w:t>Matthews,</w:t>
      </w:r>
      <w:r>
        <w:rPr>
          <w:spacing w:val="6"/>
          <w:w w:val="105"/>
          <w:sz w:val="13"/>
        </w:rPr>
        <w:t> </w:t>
      </w:r>
      <w:r>
        <w:rPr>
          <w:w w:val="105"/>
          <w:sz w:val="13"/>
        </w:rPr>
        <w:t>‘Geelong</w:t>
      </w:r>
      <w:r>
        <w:rPr>
          <w:spacing w:val="6"/>
          <w:w w:val="105"/>
          <w:sz w:val="13"/>
        </w:rPr>
        <w:t> </w:t>
      </w:r>
      <w:r>
        <w:rPr>
          <w:w w:val="105"/>
          <w:sz w:val="13"/>
        </w:rPr>
        <w:t>Court—Couple</w:t>
      </w:r>
      <w:r>
        <w:rPr>
          <w:spacing w:val="6"/>
          <w:w w:val="105"/>
          <w:sz w:val="13"/>
        </w:rPr>
        <w:t> </w:t>
      </w:r>
      <w:r>
        <w:rPr>
          <w:w w:val="105"/>
          <w:sz w:val="13"/>
        </w:rPr>
        <w:t>Pleads</w:t>
      </w:r>
      <w:r>
        <w:rPr>
          <w:spacing w:val="6"/>
          <w:w w:val="105"/>
          <w:sz w:val="13"/>
        </w:rPr>
        <w:t> </w:t>
      </w:r>
      <w:r>
        <w:rPr>
          <w:w w:val="105"/>
          <w:sz w:val="13"/>
        </w:rPr>
        <w:t>Guilty</w:t>
      </w:r>
      <w:r>
        <w:rPr>
          <w:spacing w:val="7"/>
          <w:w w:val="105"/>
          <w:sz w:val="13"/>
        </w:rPr>
        <w:t> </w:t>
      </w:r>
      <w:r>
        <w:rPr>
          <w:w w:val="105"/>
          <w:sz w:val="13"/>
        </w:rPr>
        <w:t>to</w:t>
      </w:r>
      <w:r>
        <w:rPr>
          <w:spacing w:val="6"/>
          <w:w w:val="105"/>
          <w:sz w:val="13"/>
        </w:rPr>
        <w:t> </w:t>
      </w:r>
      <w:r>
        <w:rPr>
          <w:w w:val="105"/>
          <w:sz w:val="13"/>
        </w:rPr>
        <w:t>Poisoning</w:t>
      </w:r>
      <w:r>
        <w:rPr>
          <w:spacing w:val="6"/>
          <w:w w:val="105"/>
          <w:sz w:val="13"/>
        </w:rPr>
        <w:t> </w:t>
      </w:r>
      <w:r>
        <w:rPr>
          <w:w w:val="105"/>
          <w:sz w:val="13"/>
        </w:rPr>
        <w:t>Neighbours’</w:t>
      </w:r>
      <w:r>
        <w:rPr>
          <w:spacing w:val="6"/>
          <w:w w:val="105"/>
          <w:sz w:val="13"/>
        </w:rPr>
        <w:t> </w:t>
      </w:r>
      <w:r>
        <w:rPr>
          <w:w w:val="105"/>
          <w:sz w:val="13"/>
        </w:rPr>
        <w:t>Trees’,</w:t>
      </w:r>
      <w:r>
        <w:rPr>
          <w:spacing w:val="6"/>
          <w:w w:val="105"/>
          <w:sz w:val="13"/>
        </w:rPr>
        <w:t> </w:t>
      </w:r>
      <w:r>
        <w:rPr>
          <w:i/>
          <w:w w:val="105"/>
          <w:sz w:val="13"/>
        </w:rPr>
        <w:t>Geelong</w:t>
      </w:r>
      <w:r>
        <w:rPr>
          <w:i/>
          <w:spacing w:val="7"/>
          <w:w w:val="105"/>
          <w:sz w:val="13"/>
        </w:rPr>
        <w:t> </w:t>
      </w:r>
      <w:r>
        <w:rPr>
          <w:i/>
          <w:w w:val="105"/>
          <w:sz w:val="13"/>
        </w:rPr>
        <w:t>Advertiser</w:t>
      </w:r>
      <w:r>
        <w:rPr>
          <w:i/>
          <w:spacing w:val="6"/>
          <w:w w:val="105"/>
          <w:sz w:val="13"/>
        </w:rPr>
        <w:t> </w:t>
      </w:r>
      <w:r>
        <w:rPr>
          <w:w w:val="105"/>
          <w:sz w:val="13"/>
        </w:rPr>
        <w:t>(online,</w:t>
      </w:r>
      <w:r>
        <w:rPr>
          <w:spacing w:val="6"/>
          <w:w w:val="105"/>
          <w:sz w:val="13"/>
        </w:rPr>
        <w:t> </w:t>
      </w:r>
      <w:r>
        <w:rPr>
          <w:w w:val="105"/>
          <w:sz w:val="13"/>
        </w:rPr>
        <w:t>20</w:t>
      </w:r>
      <w:r>
        <w:rPr>
          <w:spacing w:val="6"/>
          <w:w w:val="105"/>
          <w:sz w:val="13"/>
        </w:rPr>
        <w:t> </w:t>
      </w:r>
      <w:r>
        <w:rPr>
          <w:w w:val="105"/>
          <w:sz w:val="13"/>
        </w:rPr>
        <w:t>January</w:t>
      </w:r>
      <w:r>
        <w:rPr>
          <w:spacing w:val="6"/>
          <w:w w:val="105"/>
          <w:sz w:val="13"/>
        </w:rPr>
        <w:t> </w:t>
      </w:r>
      <w:r>
        <w:rPr>
          <w:w w:val="105"/>
          <w:sz w:val="13"/>
        </w:rPr>
        <w:t>2016)</w:t>
      </w:r>
    </w:p>
    <w:p>
      <w:pPr>
        <w:spacing w:before="1"/>
        <w:ind w:left="2380" w:right="1902" w:firstLine="0"/>
        <w:jc w:val="left"/>
        <w:rPr>
          <w:sz w:val="13"/>
        </w:rPr>
      </w:pPr>
      <w:r>
        <w:rPr/>
        <w:pict>
          <v:shape style="position:absolute;margin-left:549.148926pt;margin-top:2.988666pt;width:12.45pt;height:14.25pt;mso-position-horizontal-relative:page;mso-position-vertical-relative:paragraph;z-index:2200" type="#_x0000_t202" filled="false" stroked="false">
            <v:textbox inset="0,0,0,0">
              <w:txbxContent>
                <w:p>
                  <w:pPr>
                    <w:spacing w:line="284" w:lineRule="exact" w:before="0"/>
                    <w:ind w:left="0" w:right="0" w:firstLine="0"/>
                    <w:jc w:val="left"/>
                    <w:rPr>
                      <w:b/>
                      <w:sz w:val="24"/>
                    </w:rPr>
                  </w:pPr>
                  <w:r>
                    <w:rPr>
                      <w:b/>
                      <w:color w:val="658464"/>
                      <w:spacing w:val="-10"/>
                      <w:w w:val="110"/>
                      <w:sz w:val="24"/>
                    </w:rPr>
                    <w:t>15</w:t>
                  </w:r>
                </w:p>
              </w:txbxContent>
            </v:textbox>
            <w10:wrap type="none"/>
          </v:shape>
        </w:pict>
      </w:r>
      <w:r>
        <w:rPr>
          <w:sz w:val="13"/>
        </w:rPr>
        <w:t>&lt;</w:t>
      </w:r>
      <w:hyperlink r:id="rId37">
        <w:r>
          <w:rPr>
            <w:sz w:val="13"/>
          </w:rPr>
          <w:t>www.geelongadvertiser.com.au/news/crime-court/geelong-court-lovely-banks-couple-pleads-guilty-to-poisoning-neighbours-trees/</w:t>
        </w:r>
      </w:hyperlink>
      <w:r>
        <w:rPr>
          <w:sz w:val="13"/>
        </w:rPr>
        <w:t> </w:t>
      </w:r>
      <w:r>
        <w:rPr>
          <w:w w:val="105"/>
          <w:sz w:val="13"/>
        </w:rPr>
        <w:t>news-story/e65a9b00bdf98c5f7938c4e88ce2d2ba&gt;.</w:t>
      </w:r>
    </w:p>
    <w:p>
      <w:pPr>
        <w:spacing w:after="0"/>
        <w:jc w:val="left"/>
        <w:rPr>
          <w:sz w:val="13"/>
        </w:rPr>
        <w:sectPr>
          <w:pgSz w:w="11910" w:h="16840"/>
          <w:pgMar w:header="808" w:footer="0" w:top="1360" w:bottom="280" w:left="0" w:right="0"/>
        </w:sectPr>
      </w:pPr>
    </w:p>
    <w:p>
      <w:pPr>
        <w:pStyle w:val="BodyText"/>
        <w:spacing w:before="11"/>
      </w:pPr>
    </w:p>
    <w:p>
      <w:pPr>
        <w:pStyle w:val="Heading5"/>
        <w:spacing w:before="96"/>
      </w:pPr>
      <w:bookmarkStart w:name="_bookmark15" w:id="43"/>
      <w:bookmarkEnd w:id="43"/>
      <w:r>
        <w:rPr>
          <w:b w:val="0"/>
        </w:rPr>
      </w:r>
      <w:r>
        <w:rPr>
          <w:w w:val="115"/>
        </w:rPr>
        <w:t>Tree disputes in rural settings</w:t>
      </w:r>
    </w:p>
    <w:p>
      <w:pPr>
        <w:pStyle w:val="ListParagraph"/>
        <w:numPr>
          <w:ilvl w:val="1"/>
          <w:numId w:val="16"/>
        </w:numPr>
        <w:tabs>
          <w:tab w:pos="2380" w:val="left" w:leader="none"/>
          <w:tab w:pos="2381" w:val="left" w:leader="none"/>
        </w:tabs>
        <w:spacing w:line="242" w:lineRule="auto" w:before="137" w:after="0"/>
        <w:ind w:left="2381" w:right="1848" w:hanging="794"/>
        <w:jc w:val="left"/>
        <w:rPr>
          <w:sz w:val="21"/>
        </w:rPr>
      </w:pPr>
      <w:r>
        <w:rPr>
          <w:w w:val="105"/>
          <w:sz w:val="21"/>
        </w:rPr>
        <w:t>HVP </w:t>
      </w:r>
      <w:r>
        <w:rPr>
          <w:spacing w:val="-3"/>
          <w:w w:val="105"/>
          <w:sz w:val="21"/>
        </w:rPr>
        <w:t>Plantations </w:t>
      </w:r>
      <w:r>
        <w:rPr>
          <w:w w:val="105"/>
          <w:sz w:val="21"/>
        </w:rPr>
        <w:t>told the </w:t>
      </w:r>
      <w:r>
        <w:rPr>
          <w:spacing w:val="-3"/>
          <w:w w:val="105"/>
          <w:sz w:val="21"/>
        </w:rPr>
        <w:t>Commission that </w:t>
      </w:r>
      <w:r>
        <w:rPr>
          <w:w w:val="105"/>
          <w:sz w:val="21"/>
        </w:rPr>
        <w:t>in the </w:t>
      </w:r>
      <w:r>
        <w:rPr>
          <w:spacing w:val="-3"/>
          <w:w w:val="105"/>
          <w:sz w:val="21"/>
        </w:rPr>
        <w:t>rural </w:t>
      </w:r>
      <w:r>
        <w:rPr>
          <w:w w:val="105"/>
          <w:sz w:val="21"/>
        </w:rPr>
        <w:t>context, the escape of livestock </w:t>
      </w:r>
      <w:r>
        <w:rPr>
          <w:spacing w:val="-3"/>
          <w:w w:val="105"/>
          <w:sz w:val="21"/>
        </w:rPr>
        <w:t>following </w:t>
      </w:r>
      <w:r>
        <w:rPr>
          <w:w w:val="105"/>
          <w:sz w:val="21"/>
        </w:rPr>
        <w:t>damage </w:t>
      </w:r>
      <w:r>
        <w:rPr>
          <w:spacing w:val="-3"/>
          <w:w w:val="105"/>
          <w:sz w:val="21"/>
        </w:rPr>
        <w:t>to </w:t>
      </w:r>
      <w:r>
        <w:rPr>
          <w:w w:val="105"/>
          <w:sz w:val="21"/>
        </w:rPr>
        <w:t>a </w:t>
      </w:r>
      <w:r>
        <w:rPr>
          <w:spacing w:val="-3"/>
          <w:w w:val="105"/>
          <w:sz w:val="21"/>
        </w:rPr>
        <w:t>fence </w:t>
      </w:r>
      <w:r>
        <w:rPr>
          <w:w w:val="105"/>
          <w:sz w:val="21"/>
        </w:rPr>
        <w:t>caused by a tree can be a </w:t>
      </w:r>
      <w:r>
        <w:rPr>
          <w:spacing w:val="-3"/>
          <w:w w:val="105"/>
          <w:sz w:val="21"/>
        </w:rPr>
        <w:t>concern </w:t>
      </w:r>
      <w:r>
        <w:rPr>
          <w:w w:val="105"/>
          <w:sz w:val="21"/>
        </w:rPr>
        <w:t>as </w:t>
      </w:r>
      <w:r>
        <w:rPr>
          <w:spacing w:val="-3"/>
          <w:w w:val="105"/>
          <w:sz w:val="21"/>
        </w:rPr>
        <w:t>well </w:t>
      </w:r>
      <w:r>
        <w:rPr>
          <w:w w:val="105"/>
          <w:sz w:val="21"/>
        </w:rPr>
        <w:t>as the cross- </w:t>
      </w:r>
      <w:r>
        <w:rPr>
          <w:spacing w:val="-3"/>
          <w:w w:val="105"/>
          <w:sz w:val="21"/>
        </w:rPr>
        <w:t>pollination</w:t>
      </w:r>
      <w:r>
        <w:rPr>
          <w:spacing w:val="-8"/>
          <w:w w:val="105"/>
          <w:sz w:val="21"/>
        </w:rPr>
        <w:t> </w:t>
      </w:r>
      <w:r>
        <w:rPr>
          <w:w w:val="105"/>
          <w:sz w:val="21"/>
        </w:rPr>
        <w:t>of</w:t>
      </w:r>
      <w:r>
        <w:rPr>
          <w:spacing w:val="-8"/>
          <w:w w:val="105"/>
          <w:sz w:val="21"/>
        </w:rPr>
        <w:t> </w:t>
      </w:r>
      <w:r>
        <w:rPr>
          <w:spacing w:val="-3"/>
          <w:w w:val="105"/>
          <w:sz w:val="21"/>
        </w:rPr>
        <w:t>plant</w:t>
      </w:r>
      <w:r>
        <w:rPr>
          <w:spacing w:val="-8"/>
          <w:w w:val="105"/>
          <w:sz w:val="21"/>
        </w:rPr>
        <w:t> </w:t>
      </w:r>
      <w:r>
        <w:rPr>
          <w:spacing w:val="-3"/>
          <w:w w:val="105"/>
          <w:sz w:val="21"/>
        </w:rPr>
        <w:t>species.</w:t>
      </w:r>
      <w:r>
        <w:rPr>
          <w:spacing w:val="-3"/>
          <w:w w:val="105"/>
          <w:position w:val="7"/>
          <w:sz w:val="12"/>
        </w:rPr>
        <w:t>109</w:t>
      </w:r>
      <w:r>
        <w:rPr>
          <w:spacing w:val="14"/>
          <w:w w:val="105"/>
          <w:position w:val="7"/>
          <w:sz w:val="12"/>
        </w:rPr>
        <w:t> </w:t>
      </w:r>
      <w:r>
        <w:rPr>
          <w:w w:val="105"/>
          <w:sz w:val="21"/>
        </w:rPr>
        <w:t>HVP</w:t>
      </w:r>
      <w:r>
        <w:rPr>
          <w:spacing w:val="-8"/>
          <w:w w:val="105"/>
          <w:sz w:val="21"/>
        </w:rPr>
        <w:t> </w:t>
      </w:r>
      <w:r>
        <w:rPr>
          <w:w w:val="105"/>
          <w:sz w:val="21"/>
        </w:rPr>
        <w:t>also</w:t>
      </w:r>
      <w:r>
        <w:rPr>
          <w:spacing w:val="-7"/>
          <w:w w:val="105"/>
          <w:sz w:val="21"/>
        </w:rPr>
        <w:t> </w:t>
      </w:r>
      <w:r>
        <w:rPr>
          <w:w w:val="105"/>
          <w:sz w:val="21"/>
        </w:rPr>
        <w:t>identified</w:t>
      </w:r>
      <w:r>
        <w:rPr>
          <w:spacing w:val="-8"/>
          <w:w w:val="105"/>
          <w:sz w:val="21"/>
        </w:rPr>
        <w:t> </w:t>
      </w:r>
      <w:r>
        <w:rPr>
          <w:spacing w:val="-3"/>
          <w:w w:val="105"/>
          <w:sz w:val="21"/>
        </w:rPr>
        <w:t>that</w:t>
      </w:r>
      <w:r>
        <w:rPr>
          <w:spacing w:val="-8"/>
          <w:w w:val="105"/>
          <w:sz w:val="21"/>
        </w:rPr>
        <w:t> </w:t>
      </w:r>
      <w:r>
        <w:rPr>
          <w:spacing w:val="-3"/>
          <w:w w:val="105"/>
          <w:sz w:val="21"/>
        </w:rPr>
        <w:t>concerns</w:t>
      </w:r>
      <w:r>
        <w:rPr>
          <w:spacing w:val="-8"/>
          <w:w w:val="105"/>
          <w:sz w:val="21"/>
        </w:rPr>
        <w:t> </w:t>
      </w:r>
      <w:r>
        <w:rPr>
          <w:w w:val="105"/>
          <w:sz w:val="21"/>
        </w:rPr>
        <w:t>about</w:t>
      </w:r>
      <w:r>
        <w:rPr>
          <w:spacing w:val="-8"/>
          <w:w w:val="105"/>
          <w:sz w:val="21"/>
        </w:rPr>
        <w:t> </w:t>
      </w:r>
      <w:r>
        <w:rPr>
          <w:w w:val="105"/>
          <w:sz w:val="21"/>
        </w:rPr>
        <w:t>trees</w:t>
      </w:r>
      <w:r>
        <w:rPr>
          <w:spacing w:val="-8"/>
          <w:w w:val="105"/>
          <w:sz w:val="21"/>
        </w:rPr>
        <w:t> </w:t>
      </w:r>
      <w:r>
        <w:rPr>
          <w:w w:val="105"/>
          <w:sz w:val="21"/>
        </w:rPr>
        <w:t>arise</w:t>
      </w:r>
      <w:r>
        <w:rPr>
          <w:spacing w:val="-8"/>
          <w:w w:val="105"/>
          <w:sz w:val="21"/>
        </w:rPr>
        <w:t> </w:t>
      </w:r>
      <w:r>
        <w:rPr>
          <w:w w:val="105"/>
          <w:sz w:val="21"/>
        </w:rPr>
        <w:t>where ‘treed </w:t>
      </w:r>
      <w:r>
        <w:rPr>
          <w:spacing w:val="-3"/>
          <w:w w:val="105"/>
          <w:sz w:val="21"/>
        </w:rPr>
        <w:t>land </w:t>
      </w:r>
      <w:r>
        <w:rPr>
          <w:w w:val="105"/>
          <w:sz w:val="21"/>
        </w:rPr>
        <w:t>adjoin </w:t>
      </w:r>
      <w:r>
        <w:rPr>
          <w:spacing w:val="-3"/>
          <w:w w:val="105"/>
          <w:sz w:val="21"/>
        </w:rPr>
        <w:t>habitation’ </w:t>
      </w:r>
      <w:r>
        <w:rPr>
          <w:w w:val="105"/>
          <w:sz w:val="21"/>
        </w:rPr>
        <w:t>and there is a </w:t>
      </w:r>
      <w:r>
        <w:rPr>
          <w:spacing w:val="-4"/>
          <w:w w:val="105"/>
          <w:sz w:val="21"/>
        </w:rPr>
        <w:t>‘risk </w:t>
      </w:r>
      <w:r>
        <w:rPr>
          <w:spacing w:val="-3"/>
          <w:w w:val="105"/>
          <w:sz w:val="21"/>
        </w:rPr>
        <w:t>that </w:t>
      </w:r>
      <w:r>
        <w:rPr>
          <w:w w:val="105"/>
          <w:sz w:val="21"/>
        </w:rPr>
        <w:t>trees </w:t>
      </w:r>
      <w:r>
        <w:rPr>
          <w:spacing w:val="-3"/>
          <w:w w:val="105"/>
          <w:sz w:val="21"/>
        </w:rPr>
        <w:t>will </w:t>
      </w:r>
      <w:r>
        <w:rPr>
          <w:spacing w:val="-4"/>
          <w:w w:val="105"/>
          <w:sz w:val="21"/>
        </w:rPr>
        <w:t>fall </w:t>
      </w:r>
      <w:r>
        <w:rPr>
          <w:w w:val="105"/>
          <w:sz w:val="21"/>
        </w:rPr>
        <w:t>across people or </w:t>
      </w:r>
      <w:r>
        <w:rPr>
          <w:spacing w:val="-6"/>
          <w:w w:val="105"/>
          <w:sz w:val="21"/>
        </w:rPr>
        <w:t>buildings’.</w:t>
      </w:r>
      <w:r>
        <w:rPr>
          <w:spacing w:val="-6"/>
          <w:w w:val="105"/>
          <w:position w:val="7"/>
          <w:sz w:val="12"/>
        </w:rPr>
        <w:t>110 </w:t>
      </w:r>
      <w:r>
        <w:rPr>
          <w:w w:val="105"/>
          <w:sz w:val="21"/>
        </w:rPr>
        <w:t>Others identified </w:t>
      </w:r>
      <w:r>
        <w:rPr>
          <w:spacing w:val="-3"/>
          <w:w w:val="105"/>
          <w:sz w:val="21"/>
        </w:rPr>
        <w:t>that concerns </w:t>
      </w:r>
      <w:r>
        <w:rPr>
          <w:w w:val="105"/>
          <w:sz w:val="21"/>
        </w:rPr>
        <w:t>can arise over the </w:t>
      </w:r>
      <w:r>
        <w:rPr>
          <w:spacing w:val="-3"/>
          <w:w w:val="105"/>
          <w:sz w:val="21"/>
        </w:rPr>
        <w:t>bushfire </w:t>
      </w:r>
      <w:r>
        <w:rPr>
          <w:w w:val="105"/>
          <w:sz w:val="21"/>
        </w:rPr>
        <w:t>risk posed by vegetation on </w:t>
      </w:r>
      <w:r>
        <w:rPr>
          <w:spacing w:val="-3"/>
          <w:w w:val="105"/>
          <w:sz w:val="21"/>
        </w:rPr>
        <w:t>neighbouring land </w:t>
      </w:r>
      <w:r>
        <w:rPr>
          <w:w w:val="105"/>
          <w:sz w:val="21"/>
        </w:rPr>
        <w:t>in country</w:t>
      </w:r>
      <w:r>
        <w:rPr>
          <w:spacing w:val="36"/>
          <w:w w:val="105"/>
          <w:sz w:val="21"/>
        </w:rPr>
        <w:t> </w:t>
      </w:r>
      <w:r>
        <w:rPr>
          <w:spacing w:val="-8"/>
          <w:w w:val="105"/>
          <w:sz w:val="21"/>
        </w:rPr>
        <w:t>areas.</w:t>
      </w:r>
      <w:r>
        <w:rPr>
          <w:spacing w:val="-8"/>
          <w:w w:val="105"/>
          <w:position w:val="7"/>
          <w:sz w:val="12"/>
        </w:rPr>
        <w:t>111</w:t>
      </w:r>
    </w:p>
    <w:p>
      <w:pPr>
        <w:pStyle w:val="BodyText"/>
        <w:spacing w:before="7"/>
        <w:rPr>
          <w:sz w:val="20"/>
        </w:rPr>
      </w:pPr>
    </w:p>
    <w:p>
      <w:pPr>
        <w:pStyle w:val="Heading5"/>
      </w:pPr>
      <w:r>
        <w:rPr>
          <w:w w:val="115"/>
        </w:rPr>
        <w:t>Other types of tree disputes</w:t>
      </w:r>
    </w:p>
    <w:p>
      <w:pPr>
        <w:pStyle w:val="ListParagraph"/>
        <w:numPr>
          <w:ilvl w:val="1"/>
          <w:numId w:val="16"/>
        </w:numPr>
        <w:tabs>
          <w:tab w:pos="2380" w:val="left" w:leader="none"/>
          <w:tab w:pos="2381" w:val="left" w:leader="none"/>
        </w:tabs>
        <w:spacing w:line="242" w:lineRule="auto" w:before="138" w:after="0"/>
        <w:ind w:left="2381" w:right="1704" w:hanging="794"/>
        <w:jc w:val="left"/>
        <w:rPr>
          <w:sz w:val="21"/>
        </w:rPr>
      </w:pPr>
      <w:r>
        <w:rPr>
          <w:sz w:val="21"/>
        </w:rPr>
        <w:t>The Law </w:t>
      </w:r>
      <w:r>
        <w:rPr>
          <w:spacing w:val="-3"/>
          <w:sz w:val="21"/>
        </w:rPr>
        <w:t>Institute  </w:t>
      </w:r>
      <w:r>
        <w:rPr>
          <w:sz w:val="21"/>
        </w:rPr>
        <w:t>of Victoria </w:t>
      </w:r>
      <w:r>
        <w:rPr>
          <w:spacing w:val="2"/>
          <w:sz w:val="21"/>
        </w:rPr>
        <w:t>(LIV) </w:t>
      </w:r>
      <w:r>
        <w:rPr>
          <w:spacing w:val="-3"/>
          <w:sz w:val="21"/>
        </w:rPr>
        <w:t>noted  </w:t>
      </w:r>
      <w:r>
        <w:rPr>
          <w:sz w:val="21"/>
        </w:rPr>
        <w:t>the role of conservation </w:t>
      </w:r>
      <w:r>
        <w:rPr>
          <w:spacing w:val="-3"/>
          <w:sz w:val="21"/>
        </w:rPr>
        <w:t>covenants</w:t>
      </w:r>
      <w:r>
        <w:rPr>
          <w:spacing w:val="41"/>
          <w:sz w:val="21"/>
        </w:rPr>
        <w:t> </w:t>
      </w:r>
      <w:r>
        <w:rPr>
          <w:sz w:val="21"/>
        </w:rPr>
        <w:t>in tree </w:t>
      </w:r>
      <w:r>
        <w:rPr>
          <w:spacing w:val="-3"/>
          <w:sz w:val="21"/>
        </w:rPr>
        <w:t>disputes. Conservation covenants are </w:t>
      </w:r>
      <w:r>
        <w:rPr>
          <w:sz w:val="21"/>
        </w:rPr>
        <w:t>voluntary  agreements  </w:t>
      </w:r>
      <w:r>
        <w:rPr>
          <w:spacing w:val="-3"/>
          <w:sz w:val="21"/>
        </w:rPr>
        <w:t>entered  </w:t>
      </w:r>
      <w:r>
        <w:rPr>
          <w:spacing w:val="-4"/>
          <w:sz w:val="21"/>
        </w:rPr>
        <w:t>into  </w:t>
      </w:r>
      <w:r>
        <w:rPr>
          <w:sz w:val="21"/>
        </w:rPr>
        <w:t>by  landowners </w:t>
      </w:r>
      <w:r>
        <w:rPr>
          <w:spacing w:val="-3"/>
          <w:sz w:val="21"/>
        </w:rPr>
        <w:t>to </w:t>
      </w:r>
      <w:r>
        <w:rPr>
          <w:sz w:val="21"/>
        </w:rPr>
        <w:t>protect vegetation on their </w:t>
      </w:r>
      <w:r>
        <w:rPr>
          <w:spacing w:val="-3"/>
          <w:sz w:val="21"/>
        </w:rPr>
        <w:t>land </w:t>
      </w:r>
      <w:r>
        <w:rPr>
          <w:sz w:val="21"/>
        </w:rPr>
        <w:t>(see </w:t>
      </w:r>
      <w:r>
        <w:rPr>
          <w:spacing w:val="-4"/>
          <w:sz w:val="21"/>
        </w:rPr>
        <w:t>Chapter </w:t>
      </w:r>
      <w:r>
        <w:rPr>
          <w:sz w:val="21"/>
        </w:rPr>
        <w:t>10). These agreements </w:t>
      </w:r>
      <w:r>
        <w:rPr>
          <w:spacing w:val="-3"/>
          <w:sz w:val="21"/>
        </w:rPr>
        <w:t>bind all future </w:t>
      </w:r>
      <w:r>
        <w:rPr>
          <w:sz w:val="21"/>
        </w:rPr>
        <w:t>owners and </w:t>
      </w:r>
      <w:r>
        <w:rPr>
          <w:spacing w:val="-3"/>
          <w:sz w:val="21"/>
        </w:rPr>
        <w:t>prevent </w:t>
      </w:r>
      <w:r>
        <w:rPr>
          <w:sz w:val="21"/>
        </w:rPr>
        <w:t>development </w:t>
      </w:r>
      <w:r>
        <w:rPr>
          <w:spacing w:val="-3"/>
          <w:sz w:val="21"/>
        </w:rPr>
        <w:t>that will interfere </w:t>
      </w:r>
      <w:r>
        <w:rPr>
          <w:sz w:val="21"/>
        </w:rPr>
        <w:t>with the protected </w:t>
      </w:r>
      <w:r>
        <w:rPr>
          <w:spacing w:val="-5"/>
          <w:sz w:val="21"/>
        </w:rPr>
        <w:t>vegetation.</w:t>
      </w:r>
      <w:r>
        <w:rPr>
          <w:spacing w:val="-5"/>
          <w:position w:val="7"/>
          <w:sz w:val="12"/>
        </w:rPr>
        <w:t>112 </w:t>
      </w:r>
      <w:r>
        <w:rPr>
          <w:sz w:val="21"/>
        </w:rPr>
        <w:t>The  LIV</w:t>
      </w:r>
      <w:r>
        <w:rPr>
          <w:spacing w:val="8"/>
          <w:sz w:val="21"/>
        </w:rPr>
        <w:t> </w:t>
      </w:r>
      <w:r>
        <w:rPr>
          <w:sz w:val="21"/>
        </w:rPr>
        <w:t>explained:</w:t>
      </w:r>
    </w:p>
    <w:p>
      <w:pPr>
        <w:spacing w:line="254" w:lineRule="auto" w:before="135"/>
        <w:ind w:left="2834" w:right="1636" w:firstLine="0"/>
        <w:jc w:val="left"/>
        <w:rPr>
          <w:sz w:val="20"/>
        </w:rPr>
      </w:pPr>
      <w:r>
        <w:rPr>
          <w:sz w:val="20"/>
        </w:rPr>
        <w:t>[W]here farming and conservation interact, each landowner may be concerned that the neighbouring operations will create obstacles for their individual goals as landowners:</w:t>
      </w:r>
    </w:p>
    <w:p>
      <w:pPr>
        <w:spacing w:line="254" w:lineRule="auto" w:before="2"/>
        <w:ind w:left="2834" w:right="1636" w:firstLine="0"/>
        <w:jc w:val="left"/>
        <w:rPr>
          <w:sz w:val="11"/>
        </w:rPr>
      </w:pPr>
      <w:r>
        <w:rPr>
          <w:w w:val="105"/>
          <w:sz w:val="20"/>
        </w:rPr>
        <w:t>a</w:t>
      </w:r>
      <w:r>
        <w:rPr>
          <w:spacing w:val="-8"/>
          <w:w w:val="105"/>
          <w:sz w:val="20"/>
        </w:rPr>
        <w:t> </w:t>
      </w:r>
      <w:r>
        <w:rPr>
          <w:w w:val="105"/>
          <w:sz w:val="20"/>
        </w:rPr>
        <w:t>farmer</w:t>
      </w:r>
      <w:r>
        <w:rPr>
          <w:spacing w:val="-7"/>
          <w:w w:val="105"/>
          <w:sz w:val="20"/>
        </w:rPr>
        <w:t> </w:t>
      </w:r>
      <w:r>
        <w:rPr>
          <w:w w:val="105"/>
          <w:sz w:val="20"/>
        </w:rPr>
        <w:t>may</w:t>
      </w:r>
      <w:r>
        <w:rPr>
          <w:spacing w:val="-7"/>
          <w:w w:val="105"/>
          <w:sz w:val="20"/>
        </w:rPr>
        <w:t> </w:t>
      </w:r>
      <w:r>
        <w:rPr>
          <w:w w:val="105"/>
          <w:sz w:val="20"/>
        </w:rPr>
        <w:t>be</w:t>
      </w:r>
      <w:r>
        <w:rPr>
          <w:spacing w:val="-7"/>
          <w:w w:val="105"/>
          <w:sz w:val="20"/>
        </w:rPr>
        <w:t> </w:t>
      </w:r>
      <w:r>
        <w:rPr>
          <w:w w:val="105"/>
          <w:sz w:val="20"/>
        </w:rPr>
        <w:t>concerned</w:t>
      </w:r>
      <w:r>
        <w:rPr>
          <w:spacing w:val="-7"/>
          <w:w w:val="105"/>
          <w:sz w:val="20"/>
        </w:rPr>
        <w:t> </w:t>
      </w:r>
      <w:r>
        <w:rPr>
          <w:w w:val="105"/>
          <w:sz w:val="20"/>
        </w:rPr>
        <w:t>by</w:t>
      </w:r>
      <w:r>
        <w:rPr>
          <w:spacing w:val="-7"/>
          <w:w w:val="105"/>
          <w:sz w:val="20"/>
        </w:rPr>
        <w:t> </w:t>
      </w:r>
      <w:r>
        <w:rPr>
          <w:w w:val="105"/>
          <w:sz w:val="20"/>
        </w:rPr>
        <w:t>the</w:t>
      </w:r>
      <w:r>
        <w:rPr>
          <w:spacing w:val="-8"/>
          <w:w w:val="105"/>
          <w:sz w:val="20"/>
        </w:rPr>
        <w:t> </w:t>
      </w:r>
      <w:r>
        <w:rPr>
          <w:w w:val="105"/>
          <w:sz w:val="20"/>
        </w:rPr>
        <w:t>spread</w:t>
      </w:r>
      <w:r>
        <w:rPr>
          <w:spacing w:val="-7"/>
          <w:w w:val="105"/>
          <w:sz w:val="20"/>
        </w:rPr>
        <w:t> </w:t>
      </w:r>
      <w:r>
        <w:rPr>
          <w:w w:val="105"/>
          <w:sz w:val="20"/>
        </w:rPr>
        <w:t>of</w:t>
      </w:r>
      <w:r>
        <w:rPr>
          <w:spacing w:val="-7"/>
          <w:w w:val="105"/>
          <w:sz w:val="20"/>
        </w:rPr>
        <w:t> </w:t>
      </w:r>
      <w:r>
        <w:rPr>
          <w:w w:val="105"/>
          <w:sz w:val="20"/>
        </w:rPr>
        <w:t>weeds,</w:t>
      </w:r>
      <w:r>
        <w:rPr>
          <w:spacing w:val="-7"/>
          <w:w w:val="105"/>
          <w:sz w:val="20"/>
        </w:rPr>
        <w:t> </w:t>
      </w:r>
      <w:r>
        <w:rPr>
          <w:w w:val="105"/>
          <w:sz w:val="20"/>
        </w:rPr>
        <w:t>or</w:t>
      </w:r>
      <w:r>
        <w:rPr>
          <w:spacing w:val="-7"/>
          <w:w w:val="105"/>
          <w:sz w:val="20"/>
        </w:rPr>
        <w:t> </w:t>
      </w:r>
      <w:r>
        <w:rPr>
          <w:w w:val="105"/>
          <w:sz w:val="20"/>
        </w:rPr>
        <w:t>an</w:t>
      </w:r>
      <w:r>
        <w:rPr>
          <w:spacing w:val="-7"/>
          <w:w w:val="105"/>
          <w:sz w:val="20"/>
        </w:rPr>
        <w:t> </w:t>
      </w:r>
      <w:r>
        <w:rPr>
          <w:w w:val="105"/>
          <w:sz w:val="20"/>
        </w:rPr>
        <w:t>increase</w:t>
      </w:r>
      <w:r>
        <w:rPr>
          <w:spacing w:val="-8"/>
          <w:w w:val="105"/>
          <w:sz w:val="20"/>
        </w:rPr>
        <w:t> </w:t>
      </w:r>
      <w:r>
        <w:rPr>
          <w:w w:val="105"/>
          <w:sz w:val="20"/>
        </w:rPr>
        <w:t>in</w:t>
      </w:r>
      <w:r>
        <w:rPr>
          <w:spacing w:val="-7"/>
          <w:w w:val="105"/>
          <w:sz w:val="20"/>
        </w:rPr>
        <w:t> </w:t>
      </w:r>
      <w:r>
        <w:rPr>
          <w:w w:val="105"/>
          <w:sz w:val="20"/>
        </w:rPr>
        <w:t>native</w:t>
      </w:r>
      <w:r>
        <w:rPr>
          <w:spacing w:val="-7"/>
          <w:w w:val="105"/>
          <w:sz w:val="20"/>
        </w:rPr>
        <w:t> </w:t>
      </w:r>
      <w:r>
        <w:rPr>
          <w:spacing w:val="-3"/>
          <w:w w:val="105"/>
          <w:sz w:val="20"/>
        </w:rPr>
        <w:t>fauna</w:t>
      </w:r>
      <w:r>
        <w:rPr>
          <w:spacing w:val="-7"/>
          <w:w w:val="105"/>
          <w:sz w:val="20"/>
        </w:rPr>
        <w:t> </w:t>
      </w:r>
      <w:r>
        <w:rPr>
          <w:w w:val="105"/>
          <w:sz w:val="20"/>
        </w:rPr>
        <w:t>such as kangaroos, as a result of the conservation </w:t>
      </w:r>
      <w:r>
        <w:rPr>
          <w:spacing w:val="-3"/>
          <w:w w:val="105"/>
          <w:sz w:val="20"/>
        </w:rPr>
        <w:t>covenant, </w:t>
      </w:r>
      <w:r>
        <w:rPr>
          <w:w w:val="105"/>
          <w:sz w:val="20"/>
        </w:rPr>
        <w:t>whereas the </w:t>
      </w:r>
      <w:r>
        <w:rPr>
          <w:spacing w:val="-3"/>
          <w:w w:val="105"/>
          <w:sz w:val="20"/>
        </w:rPr>
        <w:t>covenantor </w:t>
      </w:r>
      <w:r>
        <w:rPr>
          <w:w w:val="105"/>
          <w:sz w:val="20"/>
        </w:rPr>
        <w:t>might be concerned with chemical </w:t>
      </w:r>
      <w:r>
        <w:rPr>
          <w:spacing w:val="-3"/>
          <w:w w:val="105"/>
          <w:sz w:val="20"/>
        </w:rPr>
        <w:t>spray </w:t>
      </w:r>
      <w:r>
        <w:rPr>
          <w:w w:val="105"/>
          <w:sz w:val="20"/>
        </w:rPr>
        <w:t>drift, soil disturbance and noise, caused by </w:t>
      </w:r>
      <w:r>
        <w:rPr>
          <w:spacing w:val="-3"/>
          <w:w w:val="105"/>
          <w:sz w:val="20"/>
        </w:rPr>
        <w:t>farming </w:t>
      </w:r>
      <w:r>
        <w:rPr>
          <w:spacing w:val="-4"/>
          <w:w w:val="105"/>
          <w:sz w:val="20"/>
        </w:rPr>
        <w:t>operations.</w:t>
      </w:r>
      <w:r>
        <w:rPr>
          <w:spacing w:val="-4"/>
          <w:w w:val="105"/>
          <w:position w:val="7"/>
          <w:sz w:val="11"/>
        </w:rPr>
        <w:t>113</w:t>
      </w:r>
    </w:p>
    <w:p>
      <w:pPr>
        <w:pStyle w:val="ListParagraph"/>
        <w:numPr>
          <w:ilvl w:val="1"/>
          <w:numId w:val="16"/>
        </w:numPr>
        <w:tabs>
          <w:tab w:pos="2381" w:val="left" w:leader="none"/>
          <w:tab w:pos="2382" w:val="left" w:leader="none"/>
        </w:tabs>
        <w:spacing w:line="242" w:lineRule="auto" w:before="115" w:after="0"/>
        <w:ind w:left="2381" w:right="1727" w:hanging="794"/>
        <w:jc w:val="left"/>
        <w:rPr>
          <w:sz w:val="21"/>
        </w:rPr>
      </w:pPr>
      <w:r>
        <w:rPr>
          <w:sz w:val="21"/>
        </w:rPr>
        <w:t>Arborists and local </w:t>
      </w:r>
      <w:r>
        <w:rPr>
          <w:spacing w:val="-3"/>
          <w:sz w:val="21"/>
        </w:rPr>
        <w:t>councils </w:t>
      </w:r>
      <w:r>
        <w:rPr>
          <w:sz w:val="21"/>
        </w:rPr>
        <w:t>reported </w:t>
      </w:r>
      <w:r>
        <w:rPr>
          <w:spacing w:val="-3"/>
          <w:sz w:val="21"/>
        </w:rPr>
        <w:t>that </w:t>
      </w:r>
      <w:r>
        <w:rPr>
          <w:sz w:val="21"/>
        </w:rPr>
        <w:t>tree </w:t>
      </w:r>
      <w:r>
        <w:rPr>
          <w:spacing w:val="-3"/>
          <w:sz w:val="21"/>
        </w:rPr>
        <w:t>disputes </w:t>
      </w:r>
      <w:r>
        <w:rPr>
          <w:sz w:val="21"/>
        </w:rPr>
        <w:t>can also arise in the development context when, </w:t>
      </w:r>
      <w:r>
        <w:rPr>
          <w:spacing w:val="-3"/>
          <w:sz w:val="21"/>
        </w:rPr>
        <w:t>for example, </w:t>
      </w:r>
      <w:r>
        <w:rPr>
          <w:sz w:val="21"/>
        </w:rPr>
        <w:t>a developer </w:t>
      </w:r>
      <w:r>
        <w:rPr>
          <w:spacing w:val="-3"/>
          <w:sz w:val="21"/>
        </w:rPr>
        <w:t>may </w:t>
      </w:r>
      <w:r>
        <w:rPr>
          <w:sz w:val="21"/>
        </w:rPr>
        <w:t>be </w:t>
      </w:r>
      <w:r>
        <w:rPr>
          <w:spacing w:val="-3"/>
          <w:sz w:val="21"/>
        </w:rPr>
        <w:t>attempting to remove</w:t>
      </w:r>
      <w:r>
        <w:rPr>
          <w:spacing w:val="-7"/>
          <w:sz w:val="21"/>
        </w:rPr>
        <w:t> </w:t>
      </w:r>
      <w:r>
        <w:rPr>
          <w:sz w:val="21"/>
        </w:rPr>
        <w:t>trees without</w:t>
      </w:r>
    </w:p>
    <w:p>
      <w:pPr>
        <w:pStyle w:val="BodyText"/>
        <w:spacing w:line="242" w:lineRule="auto" w:before="3"/>
        <w:ind w:left="2381" w:right="1599"/>
        <w:rPr>
          <w:sz w:val="12"/>
        </w:rPr>
      </w:pPr>
      <w:r>
        <w:rPr>
          <w:w w:val="105"/>
        </w:rPr>
        <w:t>a permit or </w:t>
      </w:r>
      <w:r>
        <w:rPr>
          <w:spacing w:val="-3"/>
          <w:w w:val="105"/>
        </w:rPr>
        <w:t>damaging </w:t>
      </w:r>
      <w:r>
        <w:rPr>
          <w:w w:val="105"/>
        </w:rPr>
        <w:t>trees on </w:t>
      </w:r>
      <w:r>
        <w:rPr>
          <w:spacing w:val="-3"/>
          <w:w w:val="105"/>
        </w:rPr>
        <w:t>neighbouring </w:t>
      </w:r>
      <w:r>
        <w:rPr>
          <w:spacing w:val="-7"/>
          <w:w w:val="105"/>
        </w:rPr>
        <w:t>land.</w:t>
      </w:r>
      <w:r>
        <w:rPr>
          <w:spacing w:val="-7"/>
          <w:w w:val="105"/>
          <w:position w:val="7"/>
          <w:sz w:val="12"/>
        </w:rPr>
        <w:t>114 </w:t>
      </w:r>
      <w:r>
        <w:rPr>
          <w:w w:val="105"/>
        </w:rPr>
        <w:t>The </w:t>
      </w:r>
      <w:r>
        <w:rPr>
          <w:spacing w:val="-3"/>
          <w:w w:val="105"/>
        </w:rPr>
        <w:t>trend </w:t>
      </w:r>
      <w:r>
        <w:rPr>
          <w:w w:val="105"/>
        </w:rPr>
        <w:t>of </w:t>
      </w:r>
      <w:r>
        <w:rPr>
          <w:spacing w:val="-3"/>
          <w:w w:val="105"/>
        </w:rPr>
        <w:t>‘moonscaping’ </w:t>
      </w:r>
      <w:r>
        <w:rPr>
          <w:w w:val="105"/>
        </w:rPr>
        <w:t>in developments </w:t>
      </w:r>
      <w:r>
        <w:rPr>
          <w:spacing w:val="-3"/>
          <w:w w:val="105"/>
        </w:rPr>
        <w:t>to remove all </w:t>
      </w:r>
      <w:r>
        <w:rPr>
          <w:w w:val="105"/>
        </w:rPr>
        <w:t>existing vegetation on a plot </w:t>
      </w:r>
      <w:r>
        <w:rPr>
          <w:spacing w:val="-3"/>
          <w:w w:val="105"/>
        </w:rPr>
        <w:t>to </w:t>
      </w:r>
      <w:r>
        <w:rPr>
          <w:spacing w:val="-4"/>
          <w:w w:val="105"/>
        </w:rPr>
        <w:t>make </w:t>
      </w:r>
      <w:r>
        <w:rPr>
          <w:spacing w:val="-3"/>
          <w:w w:val="105"/>
        </w:rPr>
        <w:t>way for built </w:t>
      </w:r>
      <w:r>
        <w:rPr>
          <w:w w:val="105"/>
        </w:rPr>
        <w:t>structures was also </w:t>
      </w:r>
      <w:r>
        <w:rPr>
          <w:spacing w:val="-6"/>
          <w:w w:val="105"/>
        </w:rPr>
        <w:t>noted.</w:t>
      </w:r>
      <w:r>
        <w:rPr>
          <w:spacing w:val="-6"/>
          <w:w w:val="105"/>
          <w:position w:val="7"/>
          <w:sz w:val="12"/>
        </w:rPr>
        <w:t>115</w:t>
      </w:r>
    </w:p>
    <w:p>
      <w:pPr>
        <w:pStyle w:val="ListParagraph"/>
        <w:numPr>
          <w:ilvl w:val="1"/>
          <w:numId w:val="16"/>
        </w:numPr>
        <w:tabs>
          <w:tab w:pos="2381" w:val="left" w:leader="none"/>
          <w:tab w:pos="2382" w:val="left" w:leader="none"/>
        </w:tabs>
        <w:spacing w:line="242" w:lineRule="auto" w:before="123" w:after="0"/>
        <w:ind w:left="2381" w:right="1585" w:hanging="794"/>
        <w:jc w:val="left"/>
        <w:rPr>
          <w:sz w:val="21"/>
        </w:rPr>
      </w:pPr>
      <w:r>
        <w:rPr>
          <w:spacing w:val="-5"/>
          <w:w w:val="105"/>
          <w:sz w:val="21"/>
        </w:rPr>
        <w:t>Tree </w:t>
      </w:r>
      <w:r>
        <w:rPr>
          <w:spacing w:val="-3"/>
          <w:w w:val="105"/>
          <w:sz w:val="21"/>
        </w:rPr>
        <w:t>disputes have </w:t>
      </w:r>
      <w:r>
        <w:rPr>
          <w:w w:val="105"/>
          <w:sz w:val="21"/>
        </w:rPr>
        <w:t>also been known </w:t>
      </w:r>
      <w:r>
        <w:rPr>
          <w:spacing w:val="-3"/>
          <w:w w:val="105"/>
          <w:sz w:val="21"/>
        </w:rPr>
        <w:t>to occur </w:t>
      </w:r>
      <w:r>
        <w:rPr>
          <w:w w:val="105"/>
          <w:sz w:val="21"/>
        </w:rPr>
        <w:t>over the </w:t>
      </w:r>
      <w:r>
        <w:rPr>
          <w:spacing w:val="-3"/>
          <w:w w:val="105"/>
          <w:sz w:val="21"/>
        </w:rPr>
        <w:t>removal </w:t>
      </w:r>
      <w:r>
        <w:rPr>
          <w:w w:val="105"/>
          <w:sz w:val="21"/>
        </w:rPr>
        <w:t>of or damage </w:t>
      </w:r>
      <w:r>
        <w:rPr>
          <w:spacing w:val="-3"/>
          <w:w w:val="105"/>
          <w:sz w:val="21"/>
        </w:rPr>
        <w:t>to Aboriginal </w:t>
      </w:r>
      <w:r>
        <w:rPr>
          <w:w w:val="105"/>
          <w:sz w:val="21"/>
        </w:rPr>
        <w:t>scarred trees or other </w:t>
      </w:r>
      <w:r>
        <w:rPr>
          <w:spacing w:val="-3"/>
          <w:w w:val="105"/>
          <w:sz w:val="21"/>
        </w:rPr>
        <w:t>culturally significant</w:t>
      </w:r>
      <w:r>
        <w:rPr>
          <w:spacing w:val="25"/>
          <w:w w:val="105"/>
          <w:sz w:val="21"/>
        </w:rPr>
        <w:t> </w:t>
      </w:r>
      <w:r>
        <w:rPr>
          <w:spacing w:val="-4"/>
          <w:w w:val="105"/>
          <w:sz w:val="21"/>
        </w:rPr>
        <w:t>vegetation.</w:t>
      </w:r>
      <w:r>
        <w:rPr>
          <w:spacing w:val="-4"/>
          <w:w w:val="105"/>
          <w:position w:val="7"/>
          <w:sz w:val="12"/>
        </w:rPr>
        <w:t>116</w:t>
      </w:r>
    </w:p>
    <w:p>
      <w:pPr>
        <w:pStyle w:val="ListParagraph"/>
        <w:numPr>
          <w:ilvl w:val="1"/>
          <w:numId w:val="16"/>
        </w:numPr>
        <w:tabs>
          <w:tab w:pos="2381" w:val="left" w:leader="none"/>
          <w:tab w:pos="2382" w:val="left" w:leader="none"/>
        </w:tabs>
        <w:spacing w:line="242" w:lineRule="auto" w:before="122" w:after="0"/>
        <w:ind w:left="2381" w:right="1998" w:hanging="794"/>
        <w:jc w:val="left"/>
        <w:rPr>
          <w:sz w:val="21"/>
        </w:rPr>
      </w:pPr>
      <w:r>
        <w:rPr>
          <w:spacing w:val="-5"/>
          <w:w w:val="105"/>
          <w:sz w:val="21"/>
        </w:rPr>
        <w:t>Tree</w:t>
      </w:r>
      <w:r>
        <w:rPr>
          <w:spacing w:val="-7"/>
          <w:w w:val="105"/>
          <w:sz w:val="21"/>
        </w:rPr>
        <w:t> </w:t>
      </w:r>
      <w:r>
        <w:rPr>
          <w:spacing w:val="-3"/>
          <w:w w:val="105"/>
          <w:sz w:val="21"/>
        </w:rPr>
        <w:t>disputes</w:t>
      </w:r>
      <w:r>
        <w:rPr>
          <w:spacing w:val="-6"/>
          <w:w w:val="105"/>
          <w:sz w:val="21"/>
        </w:rPr>
        <w:t> </w:t>
      </w:r>
      <w:r>
        <w:rPr>
          <w:w w:val="105"/>
          <w:sz w:val="21"/>
        </w:rPr>
        <w:t>can</w:t>
      </w:r>
      <w:r>
        <w:rPr>
          <w:spacing w:val="-6"/>
          <w:w w:val="105"/>
          <w:sz w:val="21"/>
        </w:rPr>
        <w:t> </w:t>
      </w:r>
      <w:r>
        <w:rPr>
          <w:w w:val="105"/>
          <w:sz w:val="21"/>
        </w:rPr>
        <w:t>be</w:t>
      </w:r>
      <w:r>
        <w:rPr>
          <w:spacing w:val="-7"/>
          <w:w w:val="105"/>
          <w:sz w:val="21"/>
        </w:rPr>
        <w:t> </w:t>
      </w:r>
      <w:r>
        <w:rPr>
          <w:spacing w:val="-3"/>
          <w:w w:val="105"/>
          <w:sz w:val="21"/>
        </w:rPr>
        <w:t>multifaceted</w:t>
      </w:r>
      <w:r>
        <w:rPr>
          <w:spacing w:val="-6"/>
          <w:w w:val="105"/>
          <w:sz w:val="21"/>
        </w:rPr>
        <w:t> </w:t>
      </w:r>
      <w:r>
        <w:rPr>
          <w:w w:val="105"/>
          <w:sz w:val="21"/>
        </w:rPr>
        <w:t>and</w:t>
      </w:r>
      <w:r>
        <w:rPr>
          <w:spacing w:val="-6"/>
          <w:w w:val="105"/>
          <w:sz w:val="21"/>
        </w:rPr>
        <w:t> </w:t>
      </w:r>
      <w:r>
        <w:rPr>
          <w:spacing w:val="-3"/>
          <w:w w:val="105"/>
          <w:sz w:val="21"/>
        </w:rPr>
        <w:t>may</w:t>
      </w:r>
      <w:r>
        <w:rPr>
          <w:spacing w:val="-6"/>
          <w:w w:val="105"/>
          <w:sz w:val="21"/>
        </w:rPr>
        <w:t> </w:t>
      </w:r>
      <w:r>
        <w:rPr>
          <w:spacing w:val="-3"/>
          <w:w w:val="105"/>
          <w:sz w:val="21"/>
        </w:rPr>
        <w:t>involve</w:t>
      </w:r>
      <w:r>
        <w:rPr>
          <w:spacing w:val="-7"/>
          <w:w w:val="105"/>
          <w:sz w:val="21"/>
        </w:rPr>
        <w:t> </w:t>
      </w:r>
      <w:r>
        <w:rPr>
          <w:w w:val="105"/>
          <w:sz w:val="21"/>
        </w:rPr>
        <w:t>a</w:t>
      </w:r>
      <w:r>
        <w:rPr>
          <w:spacing w:val="-6"/>
          <w:w w:val="105"/>
          <w:sz w:val="21"/>
        </w:rPr>
        <w:t> </w:t>
      </w:r>
      <w:r>
        <w:rPr>
          <w:spacing w:val="-3"/>
          <w:w w:val="105"/>
          <w:sz w:val="21"/>
        </w:rPr>
        <w:t>combination</w:t>
      </w:r>
      <w:r>
        <w:rPr>
          <w:spacing w:val="-6"/>
          <w:w w:val="105"/>
          <w:sz w:val="21"/>
        </w:rPr>
        <w:t> </w:t>
      </w:r>
      <w:r>
        <w:rPr>
          <w:w w:val="105"/>
          <w:sz w:val="21"/>
        </w:rPr>
        <w:t>of</w:t>
      </w:r>
      <w:r>
        <w:rPr>
          <w:spacing w:val="-6"/>
          <w:w w:val="105"/>
          <w:sz w:val="21"/>
        </w:rPr>
        <w:t> </w:t>
      </w:r>
      <w:r>
        <w:rPr>
          <w:w w:val="105"/>
          <w:sz w:val="21"/>
        </w:rPr>
        <w:t>factors</w:t>
      </w:r>
      <w:r>
        <w:rPr>
          <w:spacing w:val="-7"/>
          <w:w w:val="105"/>
          <w:sz w:val="21"/>
        </w:rPr>
        <w:t> </w:t>
      </w:r>
      <w:r>
        <w:rPr>
          <w:w w:val="105"/>
          <w:sz w:val="21"/>
        </w:rPr>
        <w:t>described </w:t>
      </w:r>
      <w:r>
        <w:rPr>
          <w:spacing w:val="-3"/>
          <w:w w:val="105"/>
          <w:sz w:val="21"/>
        </w:rPr>
        <w:t>above. </w:t>
      </w:r>
      <w:r>
        <w:rPr>
          <w:w w:val="105"/>
          <w:sz w:val="21"/>
        </w:rPr>
        <w:t>As one community member</w:t>
      </w:r>
      <w:r>
        <w:rPr>
          <w:spacing w:val="24"/>
          <w:w w:val="105"/>
          <w:sz w:val="21"/>
        </w:rPr>
        <w:t> </w:t>
      </w:r>
      <w:r>
        <w:rPr>
          <w:w w:val="105"/>
          <w:sz w:val="21"/>
        </w:rPr>
        <w:t>described:</w:t>
      </w:r>
    </w:p>
    <w:p>
      <w:pPr>
        <w:spacing w:line="254" w:lineRule="auto" w:before="132"/>
        <w:ind w:left="2834" w:right="1558" w:firstLine="0"/>
        <w:jc w:val="left"/>
        <w:rPr>
          <w:sz w:val="11"/>
        </w:rPr>
      </w:pPr>
      <w:r>
        <w:rPr>
          <w:w w:val="105"/>
          <w:sz w:val="20"/>
        </w:rPr>
        <w:t>My </w:t>
      </w:r>
      <w:r>
        <w:rPr>
          <w:spacing w:val="-3"/>
          <w:w w:val="105"/>
          <w:sz w:val="20"/>
        </w:rPr>
        <w:t>neighbour’s </w:t>
      </w:r>
      <w:r>
        <w:rPr>
          <w:w w:val="105"/>
          <w:sz w:val="20"/>
        </w:rPr>
        <w:t>tree branches </w:t>
      </w:r>
      <w:r>
        <w:rPr>
          <w:spacing w:val="-3"/>
          <w:w w:val="105"/>
          <w:sz w:val="20"/>
        </w:rPr>
        <w:t>overhang </w:t>
      </w:r>
      <w:r>
        <w:rPr>
          <w:w w:val="105"/>
          <w:sz w:val="20"/>
        </w:rPr>
        <w:t>the boundary </w:t>
      </w:r>
      <w:r>
        <w:rPr>
          <w:spacing w:val="-3"/>
          <w:w w:val="105"/>
          <w:sz w:val="20"/>
        </w:rPr>
        <w:t>fence </w:t>
      </w:r>
      <w:r>
        <w:rPr>
          <w:w w:val="105"/>
          <w:sz w:val="20"/>
        </w:rPr>
        <w:t>and intrude </w:t>
      </w:r>
      <w:r>
        <w:rPr>
          <w:spacing w:val="-3"/>
          <w:w w:val="105"/>
          <w:sz w:val="20"/>
        </w:rPr>
        <w:t>into </w:t>
      </w:r>
      <w:r>
        <w:rPr>
          <w:w w:val="105"/>
          <w:sz w:val="20"/>
        </w:rPr>
        <w:t>my </w:t>
      </w:r>
      <w:r>
        <w:rPr>
          <w:spacing w:val="-3"/>
          <w:w w:val="105"/>
          <w:sz w:val="20"/>
        </w:rPr>
        <w:t>yard. </w:t>
      </w:r>
      <w:r>
        <w:rPr>
          <w:w w:val="105"/>
          <w:sz w:val="20"/>
        </w:rPr>
        <w:t>The trees are </w:t>
      </w:r>
      <w:r>
        <w:rPr>
          <w:spacing w:val="-3"/>
          <w:w w:val="105"/>
          <w:sz w:val="20"/>
        </w:rPr>
        <w:t>pushing </w:t>
      </w:r>
      <w:r>
        <w:rPr>
          <w:w w:val="105"/>
          <w:sz w:val="20"/>
        </w:rPr>
        <w:t>the </w:t>
      </w:r>
      <w:r>
        <w:rPr>
          <w:spacing w:val="-3"/>
          <w:w w:val="105"/>
          <w:sz w:val="20"/>
        </w:rPr>
        <w:t>fence </w:t>
      </w:r>
      <w:r>
        <w:rPr>
          <w:w w:val="105"/>
          <w:sz w:val="20"/>
        </w:rPr>
        <w:t>and a section of</w:t>
      </w:r>
      <w:r>
        <w:rPr>
          <w:spacing w:val="-3"/>
          <w:w w:val="105"/>
          <w:sz w:val="20"/>
        </w:rPr>
        <w:t> fence </w:t>
      </w:r>
      <w:r>
        <w:rPr>
          <w:w w:val="105"/>
          <w:sz w:val="20"/>
        </w:rPr>
        <w:t>has become loose. The trees pose a fire risk as they are only </w:t>
      </w:r>
      <w:r>
        <w:rPr>
          <w:spacing w:val="-6"/>
          <w:w w:val="105"/>
          <w:sz w:val="20"/>
        </w:rPr>
        <w:t>1.5 </w:t>
      </w:r>
      <w:r>
        <w:rPr>
          <w:w w:val="105"/>
          <w:sz w:val="20"/>
        </w:rPr>
        <w:t>metres away from my </w:t>
      </w:r>
      <w:r>
        <w:rPr>
          <w:spacing w:val="-2"/>
          <w:w w:val="105"/>
          <w:sz w:val="20"/>
        </w:rPr>
        <w:t>house. </w:t>
      </w:r>
      <w:r>
        <w:rPr>
          <w:w w:val="105"/>
          <w:sz w:val="20"/>
        </w:rPr>
        <w:t>The tree branches reach the roof gutters of my house and fill the gutters with leaves and </w:t>
      </w:r>
      <w:r>
        <w:rPr>
          <w:spacing w:val="-5"/>
          <w:w w:val="105"/>
          <w:sz w:val="20"/>
        </w:rPr>
        <w:t>branches.</w:t>
      </w:r>
      <w:r>
        <w:rPr>
          <w:spacing w:val="-5"/>
          <w:w w:val="105"/>
          <w:position w:val="7"/>
          <w:sz w:val="11"/>
        </w:rPr>
        <w:t>117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r>
        <w:rPr/>
        <w:pict>
          <v:line style="position:absolute;mso-position-horizontal-relative:page;mso-position-vertical-relative:paragraph;z-index:176;mso-wrap-distance-left:0;mso-wrap-distance-right:0" from="79.370102pt,9.594497pt" to="515.905102pt,9.594497pt" stroked="true" strokeweight="1pt" strokecolor="#c9d2cb">
            <v:stroke dashstyle="solid"/>
            <w10:wrap type="topAndBottom"/>
          </v:line>
        </w:pict>
      </w:r>
    </w:p>
    <w:p>
      <w:pPr>
        <w:pStyle w:val="ListParagraph"/>
        <w:numPr>
          <w:ilvl w:val="0"/>
          <w:numId w:val="19"/>
        </w:numPr>
        <w:tabs>
          <w:tab w:pos="2380" w:val="left" w:leader="none"/>
          <w:tab w:pos="2382" w:val="left" w:leader="none"/>
        </w:tabs>
        <w:spacing w:line="240" w:lineRule="auto" w:before="117" w:after="0"/>
        <w:ind w:left="2381" w:right="0" w:hanging="794"/>
        <w:jc w:val="left"/>
        <w:rPr>
          <w:sz w:val="13"/>
        </w:rPr>
      </w:pPr>
      <w:r>
        <w:rPr>
          <w:w w:val="105"/>
          <w:sz w:val="13"/>
        </w:rPr>
        <w:t>Consultation 3 </w:t>
      </w:r>
      <w:r>
        <w:rPr>
          <w:spacing w:val="3"/>
          <w:w w:val="105"/>
          <w:sz w:val="13"/>
        </w:rPr>
        <w:t>(HVP</w:t>
      </w:r>
      <w:r>
        <w:rPr>
          <w:spacing w:val="24"/>
          <w:w w:val="105"/>
          <w:sz w:val="13"/>
        </w:rPr>
        <w:t> </w:t>
      </w:r>
      <w:r>
        <w:rPr>
          <w:w w:val="105"/>
          <w:sz w:val="13"/>
        </w:rPr>
        <w:t>Plantations).</w:t>
      </w:r>
    </w:p>
    <w:p>
      <w:pPr>
        <w:pStyle w:val="ListParagraph"/>
        <w:numPr>
          <w:ilvl w:val="0"/>
          <w:numId w:val="19"/>
        </w:numPr>
        <w:tabs>
          <w:tab w:pos="2380" w:val="left" w:leader="none"/>
          <w:tab w:pos="2382" w:val="left" w:leader="none"/>
        </w:tabs>
        <w:spacing w:line="240" w:lineRule="auto" w:before="1" w:after="0"/>
        <w:ind w:left="2381" w:right="0" w:hanging="794"/>
        <w:jc w:val="left"/>
        <w:rPr>
          <w:sz w:val="13"/>
        </w:rPr>
      </w:pPr>
      <w:r>
        <w:rPr>
          <w:w w:val="105"/>
          <w:sz w:val="13"/>
        </w:rPr>
        <w:t>Submission 28 </w:t>
      </w:r>
      <w:r>
        <w:rPr>
          <w:spacing w:val="3"/>
          <w:w w:val="105"/>
          <w:sz w:val="13"/>
        </w:rPr>
        <w:t>(HVP</w:t>
      </w:r>
      <w:r>
        <w:rPr>
          <w:spacing w:val="17"/>
          <w:w w:val="105"/>
          <w:sz w:val="13"/>
        </w:rPr>
        <w:t> </w:t>
      </w:r>
      <w:r>
        <w:rPr>
          <w:w w:val="105"/>
          <w:sz w:val="13"/>
        </w:rPr>
        <w:t>Plantations).</w:t>
      </w:r>
    </w:p>
    <w:p>
      <w:pPr>
        <w:pStyle w:val="ListParagraph"/>
        <w:numPr>
          <w:ilvl w:val="0"/>
          <w:numId w:val="19"/>
        </w:numPr>
        <w:tabs>
          <w:tab w:pos="2380" w:val="left" w:leader="none"/>
          <w:tab w:pos="2382" w:val="left" w:leader="none"/>
        </w:tabs>
        <w:spacing w:line="240" w:lineRule="auto" w:before="2" w:after="0"/>
        <w:ind w:left="2381" w:right="0" w:hanging="794"/>
        <w:jc w:val="left"/>
        <w:rPr>
          <w:sz w:val="13"/>
        </w:rPr>
      </w:pPr>
      <w:r>
        <w:rPr>
          <w:w w:val="105"/>
          <w:sz w:val="13"/>
        </w:rPr>
        <w:t>Submission </w:t>
      </w:r>
      <w:r>
        <w:rPr>
          <w:spacing w:val="-4"/>
          <w:w w:val="105"/>
          <w:sz w:val="13"/>
        </w:rPr>
        <w:t>13 </w:t>
      </w:r>
      <w:r>
        <w:rPr>
          <w:w w:val="105"/>
          <w:sz w:val="13"/>
        </w:rPr>
        <w:t>(Mandy Collins); Consultation 10 </w:t>
      </w:r>
      <w:r>
        <w:rPr>
          <w:spacing w:val="2"/>
          <w:w w:val="105"/>
          <w:sz w:val="13"/>
        </w:rPr>
        <w:t>(Baw </w:t>
      </w:r>
      <w:r>
        <w:rPr>
          <w:w w:val="105"/>
          <w:sz w:val="13"/>
        </w:rPr>
        <w:t>Baw Shire</w:t>
      </w:r>
      <w:r>
        <w:rPr>
          <w:spacing w:val="19"/>
          <w:w w:val="105"/>
          <w:sz w:val="13"/>
        </w:rPr>
        <w:t> </w:t>
      </w:r>
      <w:r>
        <w:rPr>
          <w:w w:val="105"/>
          <w:sz w:val="13"/>
        </w:rPr>
        <w:t>Council).</w:t>
      </w:r>
    </w:p>
    <w:p>
      <w:pPr>
        <w:pStyle w:val="ListParagraph"/>
        <w:numPr>
          <w:ilvl w:val="0"/>
          <w:numId w:val="19"/>
        </w:numPr>
        <w:tabs>
          <w:tab w:pos="2380" w:val="left" w:leader="none"/>
          <w:tab w:pos="2382" w:val="left" w:leader="none"/>
        </w:tabs>
        <w:spacing w:line="240" w:lineRule="auto" w:before="1" w:after="0"/>
        <w:ind w:left="2381" w:right="0" w:hanging="794"/>
        <w:jc w:val="left"/>
        <w:rPr>
          <w:sz w:val="13"/>
        </w:rPr>
      </w:pPr>
      <w:r>
        <w:rPr>
          <w:w w:val="105"/>
          <w:sz w:val="13"/>
        </w:rPr>
        <w:t>Submission</w:t>
      </w:r>
      <w:r>
        <w:rPr>
          <w:spacing w:val="5"/>
          <w:w w:val="105"/>
          <w:sz w:val="13"/>
        </w:rPr>
        <w:t> </w:t>
      </w:r>
      <w:r>
        <w:rPr>
          <w:w w:val="105"/>
          <w:sz w:val="13"/>
        </w:rPr>
        <w:t>30</w:t>
      </w:r>
      <w:r>
        <w:rPr>
          <w:spacing w:val="5"/>
          <w:w w:val="105"/>
          <w:sz w:val="13"/>
        </w:rPr>
        <w:t> </w:t>
      </w:r>
      <w:r>
        <w:rPr>
          <w:spacing w:val="3"/>
          <w:w w:val="105"/>
          <w:sz w:val="13"/>
        </w:rPr>
        <w:t>(Law</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spacing w:val="2"/>
          <w:w w:val="105"/>
          <w:sz w:val="13"/>
        </w:rPr>
        <w:t>Victoria);</w:t>
      </w:r>
      <w:r>
        <w:rPr>
          <w:spacing w:val="5"/>
          <w:w w:val="105"/>
          <w:sz w:val="13"/>
        </w:rPr>
        <w:t> </w:t>
      </w:r>
      <w:r>
        <w:rPr>
          <w:w w:val="105"/>
          <w:sz w:val="13"/>
        </w:rPr>
        <w:t>see,</w:t>
      </w:r>
      <w:r>
        <w:rPr>
          <w:spacing w:val="5"/>
          <w:w w:val="105"/>
          <w:sz w:val="13"/>
        </w:rPr>
        <w:t> </w:t>
      </w:r>
      <w:r>
        <w:rPr>
          <w:w w:val="105"/>
          <w:sz w:val="13"/>
        </w:rPr>
        <w:t>eg,</w:t>
      </w:r>
      <w:r>
        <w:rPr>
          <w:spacing w:val="5"/>
          <w:w w:val="105"/>
          <w:sz w:val="13"/>
        </w:rPr>
        <w:t> </w:t>
      </w:r>
      <w:r>
        <w:rPr>
          <w:w w:val="105"/>
          <w:sz w:val="13"/>
        </w:rPr>
        <w:t>Department</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Environment</w:t>
      </w:r>
      <w:r>
        <w:rPr>
          <w:spacing w:val="5"/>
          <w:w w:val="105"/>
          <w:sz w:val="13"/>
        </w:rPr>
        <w:t> </w:t>
      </w:r>
      <w:r>
        <w:rPr>
          <w:w w:val="105"/>
          <w:sz w:val="13"/>
        </w:rPr>
        <w:t>and</w:t>
      </w:r>
      <w:r>
        <w:rPr>
          <w:spacing w:val="5"/>
          <w:w w:val="105"/>
          <w:sz w:val="13"/>
        </w:rPr>
        <w:t> </w:t>
      </w:r>
      <w:r>
        <w:rPr>
          <w:w w:val="105"/>
          <w:sz w:val="13"/>
        </w:rPr>
        <w:t>Energy</w:t>
      </w:r>
      <w:r>
        <w:rPr>
          <w:spacing w:val="5"/>
          <w:w w:val="105"/>
          <w:sz w:val="13"/>
        </w:rPr>
        <w:t> </w:t>
      </w:r>
      <w:r>
        <w:rPr>
          <w:w w:val="105"/>
          <w:sz w:val="13"/>
        </w:rPr>
        <w:t>(Cth),</w:t>
      </w:r>
      <w:r>
        <w:rPr>
          <w:spacing w:val="6"/>
          <w:w w:val="105"/>
          <w:sz w:val="13"/>
        </w:rPr>
        <w:t> </w:t>
      </w:r>
      <w:r>
        <w:rPr>
          <w:i/>
          <w:w w:val="105"/>
          <w:sz w:val="13"/>
        </w:rPr>
        <w:t>Conservation</w:t>
      </w:r>
      <w:r>
        <w:rPr>
          <w:i/>
          <w:spacing w:val="5"/>
          <w:w w:val="105"/>
          <w:sz w:val="13"/>
        </w:rPr>
        <w:t> </w:t>
      </w:r>
      <w:r>
        <w:rPr>
          <w:i/>
          <w:w w:val="105"/>
          <w:sz w:val="13"/>
        </w:rPr>
        <w:t>Covenants</w:t>
      </w:r>
      <w:r>
        <w:rPr>
          <w:i/>
          <w:spacing w:val="5"/>
          <w:w w:val="105"/>
          <w:sz w:val="13"/>
        </w:rPr>
        <w:t> </w:t>
      </w:r>
      <w:r>
        <w:rPr>
          <w:w w:val="105"/>
          <w:sz w:val="13"/>
        </w:rPr>
        <w:t>(Web</w:t>
      </w:r>
      <w:r>
        <w:rPr>
          <w:spacing w:val="5"/>
          <w:w w:val="105"/>
          <w:sz w:val="13"/>
        </w:rPr>
        <w:t> </w:t>
      </w:r>
      <w:r>
        <w:rPr>
          <w:w w:val="105"/>
          <w:sz w:val="13"/>
        </w:rPr>
        <w:t>Page)</w:t>
      </w:r>
    </w:p>
    <w:p>
      <w:pPr>
        <w:spacing w:before="1"/>
        <w:ind w:left="2381" w:right="0" w:firstLine="0"/>
        <w:jc w:val="left"/>
        <w:rPr>
          <w:sz w:val="13"/>
        </w:rPr>
      </w:pPr>
      <w:r>
        <w:rPr>
          <w:sz w:val="13"/>
        </w:rPr>
        <w:t>&lt;</w:t>
      </w:r>
      <w:hyperlink r:id="rId38">
        <w:r>
          <w:rPr>
            <w:sz w:val="13"/>
          </w:rPr>
          <w:t>http://www.environment.gov.au/biodiversity/conservation/covenants</w:t>
        </w:r>
      </w:hyperlink>
      <w:r>
        <w:rPr>
          <w:sz w:val="13"/>
        </w:rPr>
        <w:t>&gt;.</w:t>
      </w:r>
    </w:p>
    <w:p>
      <w:pPr>
        <w:pStyle w:val="ListParagraph"/>
        <w:numPr>
          <w:ilvl w:val="0"/>
          <w:numId w:val="19"/>
        </w:numPr>
        <w:tabs>
          <w:tab w:pos="2380" w:val="left" w:leader="none"/>
          <w:tab w:pos="2382" w:val="left" w:leader="none"/>
        </w:tabs>
        <w:spacing w:line="240" w:lineRule="auto" w:before="2" w:after="0"/>
        <w:ind w:left="2381" w:right="0" w:hanging="794"/>
        <w:jc w:val="left"/>
        <w:rPr>
          <w:sz w:val="13"/>
        </w:rPr>
      </w:pPr>
      <w:r>
        <w:rPr>
          <w:w w:val="105"/>
          <w:sz w:val="13"/>
        </w:rPr>
        <w:t>Submission 30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19"/>
        </w:numPr>
        <w:tabs>
          <w:tab w:pos="2380" w:val="left" w:leader="none"/>
          <w:tab w:pos="2382" w:val="left" w:leader="none"/>
        </w:tabs>
        <w:spacing w:line="240" w:lineRule="auto" w:before="1" w:after="0"/>
        <w:ind w:left="2381" w:right="0" w:hanging="794"/>
        <w:jc w:val="left"/>
        <w:rPr>
          <w:sz w:val="13"/>
        </w:rPr>
      </w:pPr>
      <w:r>
        <w:rPr>
          <w:w w:val="105"/>
          <w:sz w:val="13"/>
        </w:rPr>
        <w:t>Consultation 6 </w:t>
      </w:r>
      <w:r>
        <w:rPr>
          <w:spacing w:val="2"/>
          <w:w w:val="105"/>
          <w:sz w:val="13"/>
        </w:rPr>
        <w:t>(Ben </w:t>
      </w:r>
      <w:r>
        <w:rPr>
          <w:w w:val="105"/>
          <w:sz w:val="13"/>
        </w:rPr>
        <w:t>Kenyon), Submission </w:t>
      </w:r>
      <w:r>
        <w:rPr>
          <w:spacing w:val="-4"/>
          <w:w w:val="105"/>
          <w:sz w:val="13"/>
        </w:rPr>
        <w:t>12 </w:t>
      </w:r>
      <w:r>
        <w:rPr>
          <w:w w:val="105"/>
          <w:sz w:val="13"/>
        </w:rPr>
        <w:t>(City of Port</w:t>
      </w:r>
      <w:r>
        <w:rPr>
          <w:spacing w:val="17"/>
          <w:w w:val="105"/>
          <w:sz w:val="13"/>
        </w:rPr>
        <w:t> </w:t>
      </w:r>
      <w:r>
        <w:rPr>
          <w:w w:val="105"/>
          <w:sz w:val="13"/>
        </w:rPr>
        <w:t>Phillip).</w:t>
      </w:r>
    </w:p>
    <w:p>
      <w:pPr>
        <w:pStyle w:val="ListParagraph"/>
        <w:numPr>
          <w:ilvl w:val="0"/>
          <w:numId w:val="19"/>
        </w:numPr>
        <w:tabs>
          <w:tab w:pos="2380" w:val="left" w:leader="none"/>
          <w:tab w:pos="2382" w:val="left" w:leader="none"/>
        </w:tabs>
        <w:spacing w:line="240" w:lineRule="auto" w:before="1" w:after="0"/>
        <w:ind w:left="2381" w:right="0" w:hanging="794"/>
        <w:jc w:val="left"/>
        <w:rPr>
          <w:sz w:val="13"/>
        </w:rPr>
      </w:pPr>
      <w:r>
        <w:rPr>
          <w:w w:val="105"/>
          <w:sz w:val="13"/>
        </w:rPr>
        <w:t>Consultation 6 </w:t>
      </w:r>
      <w:r>
        <w:rPr>
          <w:spacing w:val="2"/>
          <w:w w:val="105"/>
          <w:sz w:val="13"/>
        </w:rPr>
        <w:t>(Ben </w:t>
      </w:r>
      <w:r>
        <w:rPr>
          <w:w w:val="105"/>
          <w:sz w:val="13"/>
        </w:rPr>
        <w:t>Kenyon), Submission </w:t>
      </w:r>
      <w:r>
        <w:rPr>
          <w:spacing w:val="-4"/>
          <w:w w:val="105"/>
          <w:sz w:val="13"/>
        </w:rPr>
        <w:t>12 </w:t>
      </w:r>
      <w:r>
        <w:rPr>
          <w:spacing w:val="3"/>
          <w:w w:val="105"/>
          <w:sz w:val="13"/>
        </w:rPr>
        <w:t>(Dr </w:t>
      </w:r>
      <w:r>
        <w:rPr>
          <w:w w:val="105"/>
          <w:sz w:val="13"/>
        </w:rPr>
        <w:t>Gregory Moore</w:t>
      </w:r>
      <w:r>
        <w:rPr>
          <w:spacing w:val="15"/>
          <w:w w:val="105"/>
          <w:sz w:val="13"/>
        </w:rPr>
        <w:t> </w:t>
      </w:r>
      <w:r>
        <w:rPr>
          <w:spacing w:val="2"/>
          <w:w w:val="105"/>
          <w:sz w:val="13"/>
        </w:rPr>
        <w:t>OAM).</w:t>
      </w:r>
    </w:p>
    <w:p>
      <w:pPr>
        <w:pStyle w:val="ListParagraph"/>
        <w:numPr>
          <w:ilvl w:val="0"/>
          <w:numId w:val="19"/>
        </w:numPr>
        <w:tabs>
          <w:tab w:pos="2380" w:val="left" w:leader="none"/>
          <w:tab w:pos="2382" w:val="left" w:leader="none"/>
        </w:tabs>
        <w:spacing w:line="240" w:lineRule="auto" w:before="2" w:after="0"/>
        <w:ind w:left="2381" w:right="1689" w:hanging="794"/>
        <w:jc w:val="left"/>
        <w:rPr>
          <w:sz w:val="13"/>
        </w:rPr>
      </w:pPr>
      <w:r>
        <w:rPr/>
        <w:pict>
          <v:shape style="position:absolute;margin-left:36pt;margin-top:51.057861pt;width:12.7pt;height:14.25pt;mso-position-horizontal-relative:page;mso-position-vertical-relative:paragraph;z-index:2248" type="#_x0000_t202" filled="false" stroked="false">
            <v:textbox inset="0,0,0,0">
              <w:txbxContent>
                <w:p>
                  <w:pPr>
                    <w:spacing w:line="284" w:lineRule="exact" w:before="0"/>
                    <w:ind w:left="0" w:right="0" w:firstLine="0"/>
                    <w:jc w:val="left"/>
                    <w:rPr>
                      <w:b/>
                      <w:sz w:val="24"/>
                    </w:rPr>
                  </w:pPr>
                  <w:r>
                    <w:rPr>
                      <w:b/>
                      <w:color w:val="658464"/>
                      <w:spacing w:val="-7"/>
                      <w:w w:val="110"/>
                      <w:sz w:val="24"/>
                    </w:rPr>
                    <w:t>16</w:t>
                  </w:r>
                </w:p>
              </w:txbxContent>
            </v:textbox>
            <w10:wrap type="none"/>
          </v:shape>
        </w:pict>
      </w:r>
      <w:r>
        <w:rPr>
          <w:sz w:val="13"/>
        </w:rPr>
        <w:t>Consultation </w:t>
      </w:r>
      <w:r>
        <w:rPr>
          <w:spacing w:val="-4"/>
          <w:sz w:val="13"/>
        </w:rPr>
        <w:t>13  </w:t>
      </w:r>
      <w:r>
        <w:rPr>
          <w:sz w:val="13"/>
        </w:rPr>
        <w:t>(Aboriginal  </w:t>
      </w:r>
      <w:r>
        <w:rPr>
          <w:spacing w:val="2"/>
          <w:sz w:val="13"/>
        </w:rPr>
        <w:t>Victoria).  </w:t>
      </w:r>
      <w:r>
        <w:rPr>
          <w:sz w:val="13"/>
        </w:rPr>
        <w:t>Scarred  trees  have  had  their  bark  removed  for  various  purposes  by  Aboriginal  people.  These  trees are protected at law: Aboriginal Heritage Act 2006 </w:t>
      </w:r>
      <w:r>
        <w:rPr>
          <w:spacing w:val="2"/>
          <w:sz w:val="13"/>
        </w:rPr>
        <w:t>(Vic) </w:t>
      </w:r>
      <w:r>
        <w:rPr>
          <w:sz w:val="13"/>
        </w:rPr>
        <w:t>s  4,  </w:t>
      </w:r>
      <w:r>
        <w:rPr>
          <w:spacing w:val="2"/>
          <w:sz w:val="13"/>
        </w:rPr>
        <w:t>Pt  </w:t>
      </w:r>
      <w:r>
        <w:rPr>
          <w:sz w:val="13"/>
        </w:rPr>
        <w:t>3;  see  also  Victorian  Government,  ‘</w:t>
      </w:r>
      <w:r>
        <w:rPr>
          <w:i/>
          <w:sz w:val="13"/>
        </w:rPr>
        <w:t>Aboriginal  Scarred  Trees</w:t>
      </w:r>
      <w:r>
        <w:rPr>
          <w:sz w:val="13"/>
        </w:rPr>
        <w:t>’,  </w:t>
      </w:r>
      <w:r>
        <w:rPr>
          <w:i/>
          <w:sz w:val="13"/>
        </w:rPr>
        <w:t>Aboriginal </w:t>
      </w:r>
      <w:r>
        <w:rPr>
          <w:i/>
          <w:sz w:val="13"/>
        </w:rPr>
        <w:t>Victoria </w:t>
      </w:r>
      <w:r>
        <w:rPr>
          <w:sz w:val="13"/>
        </w:rPr>
        <w:t>(Brochure, June </w:t>
      </w:r>
      <w:r>
        <w:rPr>
          <w:spacing w:val="2"/>
          <w:sz w:val="13"/>
        </w:rPr>
        <w:t>2008) </w:t>
      </w:r>
      <w:r>
        <w:rPr>
          <w:sz w:val="13"/>
        </w:rPr>
        <w:t>&lt;https://w.</w:t>
      </w:r>
      <w:hyperlink r:id="rId39">
        <w:r>
          <w:rPr>
            <w:sz w:val="13"/>
          </w:rPr>
          <w:t>www.vic.gov.au/aboriginalvictoria/heritage/aboriginal-cultural-heritage-of-victoria/aboriginal-</w:t>
        </w:r>
      </w:hyperlink>
      <w:r>
        <w:rPr>
          <w:sz w:val="13"/>
        </w:rPr>
        <w:t> places-objects-and-land-management.html&gt;. Scarred trees are  discussed  in  more  detail  in  Ch  10;  recently  there  has  been  a  dispute  about the planned removal of trees culturally significant to the Djab Wurrung people in western Victoria for highway upgrades: see Madeleine Hayman-Reber, ‘Djab Wurrung Protestors Continue Their Fight for Sacred Trees’, </w:t>
      </w:r>
      <w:r>
        <w:rPr>
          <w:i/>
          <w:spacing w:val="3"/>
          <w:sz w:val="13"/>
        </w:rPr>
        <w:t>NITV </w:t>
      </w:r>
      <w:r>
        <w:rPr>
          <w:sz w:val="13"/>
        </w:rPr>
        <w:t>(online, 23 March 2019) </w:t>
      </w:r>
      <w:r>
        <w:rPr>
          <w:spacing w:val="2"/>
          <w:sz w:val="13"/>
        </w:rPr>
        <w:t>&lt;</w:t>
      </w:r>
      <w:hyperlink r:id="rId40">
        <w:r>
          <w:rPr>
            <w:spacing w:val="2"/>
            <w:sz w:val="13"/>
          </w:rPr>
          <w:t>https://www.sbs.com.au/</w:t>
        </w:r>
      </w:hyperlink>
      <w:hyperlink r:id="rId40">
        <w:r>
          <w:rPr>
            <w:spacing w:val="2"/>
            <w:sz w:val="13"/>
          </w:rPr>
          <w:t> nitv/article/2019/03/23/djab-wurrung-protesters-continue-their-fight-sacred-trees</w:t>
        </w:r>
      </w:hyperlink>
      <w:r>
        <w:rPr>
          <w:spacing w:val="2"/>
          <w:sz w:val="13"/>
        </w:rPr>
        <w:t>&gt;.</w:t>
      </w:r>
    </w:p>
    <w:p>
      <w:pPr>
        <w:pStyle w:val="ListParagraph"/>
        <w:numPr>
          <w:ilvl w:val="0"/>
          <w:numId w:val="19"/>
        </w:numPr>
        <w:tabs>
          <w:tab w:pos="2380" w:val="left" w:leader="none"/>
          <w:tab w:pos="2382" w:val="left" w:leader="none"/>
        </w:tabs>
        <w:spacing w:line="240" w:lineRule="auto" w:before="9" w:after="0"/>
        <w:ind w:left="2381" w:right="0" w:hanging="794"/>
        <w:jc w:val="left"/>
        <w:rPr>
          <w:sz w:val="13"/>
        </w:rPr>
      </w:pPr>
      <w:r>
        <w:rPr>
          <w:w w:val="105"/>
          <w:sz w:val="13"/>
        </w:rPr>
        <w:t>Submission 5 </w:t>
      </w:r>
      <w:r>
        <w:rPr>
          <w:spacing w:val="2"/>
          <w:w w:val="105"/>
          <w:sz w:val="13"/>
        </w:rPr>
        <w:t>(Name</w:t>
      </w:r>
      <w:r>
        <w:rPr>
          <w:spacing w:val="13"/>
          <w:w w:val="105"/>
          <w:sz w:val="13"/>
        </w:rPr>
        <w:t> </w:t>
      </w:r>
      <w:r>
        <w:rPr>
          <w:w w:val="105"/>
          <w:sz w:val="13"/>
        </w:rPr>
        <w:t>withheld).</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3"/>
        <w:rPr>
          <w:sz w:val="17"/>
        </w:rPr>
      </w:pPr>
    </w:p>
    <w:p>
      <w:pPr>
        <w:pStyle w:val="Heading4"/>
        <w:spacing w:before="96"/>
      </w:pPr>
      <w:bookmarkStart w:name="Impact of tree disputes on neighbours" w:id="44"/>
      <w:bookmarkEnd w:id="44"/>
      <w:r>
        <w:rPr>
          <w:b w:val="0"/>
        </w:rPr>
      </w:r>
      <w:bookmarkStart w:name="_bookmark16" w:id="45"/>
      <w:bookmarkEnd w:id="45"/>
      <w:r>
        <w:rPr>
          <w:b w:val="0"/>
        </w:rPr>
      </w:r>
      <w:r>
        <w:rPr>
          <w:color w:val="658464"/>
          <w:w w:val="115"/>
        </w:rPr>
        <w:t>Impact of tree disputes on neighbours</w:t>
      </w:r>
    </w:p>
    <w:p>
      <w:pPr>
        <w:pStyle w:val="ListParagraph"/>
        <w:numPr>
          <w:ilvl w:val="1"/>
          <w:numId w:val="16"/>
        </w:numPr>
        <w:tabs>
          <w:tab w:pos="2381" w:val="left" w:leader="none"/>
          <w:tab w:pos="2382" w:val="left" w:leader="none"/>
        </w:tabs>
        <w:spacing w:line="242" w:lineRule="auto" w:before="154" w:after="0"/>
        <w:ind w:left="2381" w:right="2570" w:hanging="794"/>
        <w:jc w:val="left"/>
        <w:rPr>
          <w:sz w:val="21"/>
        </w:rPr>
      </w:pPr>
      <w:r>
        <w:rPr>
          <w:sz w:val="21"/>
        </w:rPr>
        <w:t>The </w:t>
      </w:r>
      <w:r>
        <w:rPr>
          <w:spacing w:val="-3"/>
          <w:sz w:val="21"/>
        </w:rPr>
        <w:t>following </w:t>
      </w:r>
      <w:r>
        <w:rPr>
          <w:sz w:val="21"/>
        </w:rPr>
        <w:t>negative impacts of tree </w:t>
      </w:r>
      <w:r>
        <w:rPr>
          <w:spacing w:val="-3"/>
          <w:sz w:val="21"/>
        </w:rPr>
        <w:t>disputes were </w:t>
      </w:r>
      <w:r>
        <w:rPr>
          <w:spacing w:val="-2"/>
          <w:sz w:val="21"/>
        </w:rPr>
        <w:t>raised </w:t>
      </w:r>
      <w:r>
        <w:rPr>
          <w:sz w:val="21"/>
        </w:rPr>
        <w:t>in responses </w:t>
      </w:r>
      <w:r>
        <w:rPr>
          <w:spacing w:val="-3"/>
          <w:sz w:val="21"/>
        </w:rPr>
        <w:t>to </w:t>
      </w:r>
      <w:r>
        <w:rPr>
          <w:sz w:val="21"/>
        </w:rPr>
        <w:t>the </w:t>
      </w:r>
      <w:r>
        <w:rPr>
          <w:spacing w:val="-3"/>
          <w:sz w:val="21"/>
        </w:rPr>
        <w:t>consultation</w:t>
      </w:r>
      <w:r>
        <w:rPr>
          <w:spacing w:val="8"/>
          <w:sz w:val="21"/>
        </w:rPr>
        <w:t> </w:t>
      </w:r>
      <w:r>
        <w:rPr>
          <w:sz w:val="21"/>
        </w:rPr>
        <w:t>paper:</w:t>
      </w:r>
    </w:p>
    <w:p>
      <w:pPr>
        <w:pStyle w:val="ListParagraph"/>
        <w:numPr>
          <w:ilvl w:val="2"/>
          <w:numId w:val="16"/>
        </w:numPr>
        <w:tabs>
          <w:tab w:pos="2721" w:val="left" w:leader="none"/>
          <w:tab w:pos="2722" w:val="left" w:leader="none"/>
        </w:tabs>
        <w:spacing w:line="240" w:lineRule="auto" w:before="123" w:after="0"/>
        <w:ind w:left="2721" w:right="0" w:hanging="340"/>
        <w:jc w:val="left"/>
        <w:rPr>
          <w:sz w:val="12"/>
        </w:rPr>
      </w:pPr>
      <w:r>
        <w:rPr>
          <w:w w:val="105"/>
          <w:sz w:val="21"/>
        </w:rPr>
        <w:t>the </w:t>
      </w:r>
      <w:r>
        <w:rPr>
          <w:spacing w:val="-3"/>
          <w:w w:val="105"/>
          <w:sz w:val="21"/>
        </w:rPr>
        <w:t>breakdown </w:t>
      </w:r>
      <w:r>
        <w:rPr>
          <w:w w:val="105"/>
          <w:sz w:val="21"/>
        </w:rPr>
        <w:t>of </w:t>
      </w:r>
      <w:r>
        <w:rPr>
          <w:spacing w:val="-3"/>
          <w:w w:val="105"/>
          <w:sz w:val="21"/>
        </w:rPr>
        <w:t>neighbour relations </w:t>
      </w:r>
      <w:r>
        <w:rPr>
          <w:w w:val="105"/>
          <w:sz w:val="21"/>
        </w:rPr>
        <w:t>and cessation of </w:t>
      </w:r>
      <w:r>
        <w:rPr>
          <w:spacing w:val="-3"/>
          <w:w w:val="105"/>
          <w:sz w:val="21"/>
        </w:rPr>
        <w:t>all</w:t>
      </w:r>
      <w:r>
        <w:rPr>
          <w:spacing w:val="1"/>
          <w:w w:val="105"/>
          <w:sz w:val="21"/>
        </w:rPr>
        <w:t> </w:t>
      </w:r>
      <w:r>
        <w:rPr>
          <w:spacing w:val="-4"/>
          <w:w w:val="105"/>
          <w:sz w:val="21"/>
        </w:rPr>
        <w:t>communication</w:t>
      </w:r>
      <w:r>
        <w:rPr>
          <w:spacing w:val="-4"/>
          <w:w w:val="105"/>
          <w:position w:val="7"/>
          <w:sz w:val="12"/>
        </w:rPr>
        <w:t>118</w:t>
      </w:r>
    </w:p>
    <w:p>
      <w:pPr>
        <w:pStyle w:val="ListParagraph"/>
        <w:numPr>
          <w:ilvl w:val="2"/>
          <w:numId w:val="16"/>
        </w:numPr>
        <w:tabs>
          <w:tab w:pos="2721" w:val="left" w:leader="none"/>
          <w:tab w:pos="2722" w:val="left" w:leader="none"/>
        </w:tabs>
        <w:spacing w:line="240" w:lineRule="auto" w:before="88" w:after="0"/>
        <w:ind w:left="2721" w:right="0" w:hanging="340"/>
        <w:jc w:val="left"/>
        <w:rPr>
          <w:sz w:val="12"/>
        </w:rPr>
      </w:pPr>
      <w:r>
        <w:rPr>
          <w:spacing w:val="-3"/>
          <w:w w:val="105"/>
          <w:sz w:val="21"/>
        </w:rPr>
        <w:t>incurring significant </w:t>
      </w:r>
      <w:r>
        <w:rPr>
          <w:w w:val="105"/>
          <w:sz w:val="21"/>
        </w:rPr>
        <w:t>costs and being</w:t>
      </w:r>
      <w:r>
        <w:rPr>
          <w:spacing w:val="34"/>
          <w:w w:val="105"/>
          <w:sz w:val="21"/>
        </w:rPr>
        <w:t> </w:t>
      </w:r>
      <w:r>
        <w:rPr>
          <w:spacing w:val="-4"/>
          <w:w w:val="105"/>
          <w:sz w:val="21"/>
        </w:rPr>
        <w:t>out-of-pocket</w:t>
      </w:r>
      <w:r>
        <w:rPr>
          <w:spacing w:val="-4"/>
          <w:w w:val="105"/>
          <w:position w:val="7"/>
          <w:sz w:val="12"/>
        </w:rPr>
        <w:t>119</w:t>
      </w:r>
    </w:p>
    <w:p>
      <w:pPr>
        <w:pStyle w:val="ListParagraph"/>
        <w:numPr>
          <w:ilvl w:val="2"/>
          <w:numId w:val="16"/>
        </w:numPr>
        <w:tabs>
          <w:tab w:pos="2721" w:val="left" w:leader="none"/>
          <w:tab w:pos="2722" w:val="left" w:leader="none"/>
        </w:tabs>
        <w:spacing w:line="240" w:lineRule="auto" w:before="89" w:after="0"/>
        <w:ind w:left="2721" w:right="0" w:hanging="340"/>
        <w:jc w:val="left"/>
        <w:rPr>
          <w:sz w:val="12"/>
        </w:rPr>
      </w:pPr>
      <w:r>
        <w:rPr>
          <w:w w:val="105"/>
          <w:sz w:val="21"/>
        </w:rPr>
        <w:t>being </w:t>
      </w:r>
      <w:r>
        <w:rPr>
          <w:spacing w:val="-3"/>
          <w:w w:val="105"/>
          <w:sz w:val="21"/>
        </w:rPr>
        <w:t>unable to </w:t>
      </w:r>
      <w:r>
        <w:rPr>
          <w:spacing w:val="-2"/>
          <w:w w:val="105"/>
          <w:sz w:val="21"/>
        </w:rPr>
        <w:t>pay </w:t>
      </w:r>
      <w:r>
        <w:rPr>
          <w:spacing w:val="-3"/>
          <w:w w:val="105"/>
          <w:sz w:val="21"/>
        </w:rPr>
        <w:t>for </w:t>
      </w:r>
      <w:r>
        <w:rPr>
          <w:w w:val="105"/>
          <w:sz w:val="21"/>
        </w:rPr>
        <w:t>the costs of repairs or</w:t>
      </w:r>
      <w:r>
        <w:rPr>
          <w:spacing w:val="6"/>
          <w:w w:val="105"/>
          <w:sz w:val="21"/>
        </w:rPr>
        <w:t> </w:t>
      </w:r>
      <w:r>
        <w:rPr>
          <w:spacing w:val="-5"/>
          <w:w w:val="105"/>
          <w:sz w:val="21"/>
        </w:rPr>
        <w:t>maintenance</w:t>
      </w:r>
      <w:r>
        <w:rPr>
          <w:spacing w:val="-5"/>
          <w:w w:val="105"/>
          <w:position w:val="7"/>
          <w:sz w:val="12"/>
        </w:rPr>
        <w:t>120</w:t>
      </w:r>
    </w:p>
    <w:p>
      <w:pPr>
        <w:pStyle w:val="ListParagraph"/>
        <w:numPr>
          <w:ilvl w:val="2"/>
          <w:numId w:val="16"/>
        </w:numPr>
        <w:tabs>
          <w:tab w:pos="2721" w:val="left" w:leader="none"/>
          <w:tab w:pos="2722" w:val="left" w:leader="none"/>
        </w:tabs>
        <w:spacing w:line="240" w:lineRule="auto" w:before="89" w:after="0"/>
        <w:ind w:left="2721" w:right="0" w:hanging="340"/>
        <w:jc w:val="left"/>
        <w:rPr>
          <w:sz w:val="12"/>
        </w:rPr>
      </w:pPr>
      <w:r>
        <w:rPr>
          <w:spacing w:val="-3"/>
          <w:w w:val="105"/>
          <w:sz w:val="21"/>
        </w:rPr>
        <w:t>having to </w:t>
      </w:r>
      <w:r>
        <w:rPr>
          <w:w w:val="105"/>
          <w:sz w:val="21"/>
        </w:rPr>
        <w:t>sell the affected property and move</w:t>
      </w:r>
      <w:r>
        <w:rPr>
          <w:spacing w:val="43"/>
          <w:w w:val="105"/>
          <w:sz w:val="21"/>
        </w:rPr>
        <w:t> </w:t>
      </w:r>
      <w:r>
        <w:rPr>
          <w:spacing w:val="-5"/>
          <w:w w:val="105"/>
          <w:sz w:val="21"/>
        </w:rPr>
        <w:t>away</w:t>
      </w:r>
      <w:r>
        <w:rPr>
          <w:spacing w:val="-5"/>
          <w:w w:val="105"/>
          <w:position w:val="7"/>
          <w:sz w:val="12"/>
        </w:rPr>
        <w:t>121</w:t>
      </w:r>
    </w:p>
    <w:p>
      <w:pPr>
        <w:pStyle w:val="ListParagraph"/>
        <w:numPr>
          <w:ilvl w:val="2"/>
          <w:numId w:val="16"/>
        </w:numPr>
        <w:tabs>
          <w:tab w:pos="2721" w:val="left" w:leader="none"/>
          <w:tab w:pos="2722" w:val="left" w:leader="none"/>
        </w:tabs>
        <w:spacing w:line="242" w:lineRule="auto" w:before="88" w:after="0"/>
        <w:ind w:left="2721" w:right="2883" w:hanging="340"/>
        <w:jc w:val="left"/>
        <w:rPr>
          <w:sz w:val="12"/>
        </w:rPr>
      </w:pPr>
      <w:r>
        <w:rPr>
          <w:sz w:val="21"/>
        </w:rPr>
        <w:t>economic loss (especially in </w:t>
      </w:r>
      <w:r>
        <w:rPr>
          <w:spacing w:val="-3"/>
          <w:sz w:val="21"/>
        </w:rPr>
        <w:t>regional areas </w:t>
      </w:r>
      <w:r>
        <w:rPr>
          <w:sz w:val="21"/>
        </w:rPr>
        <w:t>where </w:t>
      </w:r>
      <w:r>
        <w:rPr>
          <w:spacing w:val="-3"/>
          <w:sz w:val="21"/>
        </w:rPr>
        <w:t>land </w:t>
      </w:r>
      <w:r>
        <w:rPr>
          <w:sz w:val="21"/>
        </w:rPr>
        <w:t>is </w:t>
      </w:r>
      <w:r>
        <w:rPr>
          <w:spacing w:val="-3"/>
          <w:sz w:val="21"/>
        </w:rPr>
        <w:t>farmed </w:t>
      </w:r>
      <w:r>
        <w:rPr>
          <w:sz w:val="21"/>
        </w:rPr>
        <w:t>or used </w:t>
      </w:r>
      <w:r>
        <w:rPr>
          <w:spacing w:val="-3"/>
          <w:sz w:val="21"/>
        </w:rPr>
        <w:t>commercially)</w:t>
      </w:r>
      <w:r>
        <w:rPr>
          <w:spacing w:val="-3"/>
          <w:position w:val="7"/>
          <w:sz w:val="12"/>
        </w:rPr>
        <w:t>122</w:t>
      </w:r>
    </w:p>
    <w:p>
      <w:pPr>
        <w:pStyle w:val="ListParagraph"/>
        <w:numPr>
          <w:ilvl w:val="2"/>
          <w:numId w:val="16"/>
        </w:numPr>
        <w:tabs>
          <w:tab w:pos="2721" w:val="left" w:leader="none"/>
          <w:tab w:pos="2722" w:val="left" w:leader="none"/>
        </w:tabs>
        <w:spacing w:line="240" w:lineRule="auto" w:before="88" w:after="0"/>
        <w:ind w:left="2721" w:right="0" w:hanging="340"/>
        <w:jc w:val="left"/>
        <w:rPr>
          <w:sz w:val="12"/>
        </w:rPr>
      </w:pPr>
      <w:r>
        <w:rPr>
          <w:spacing w:val="-3"/>
          <w:sz w:val="21"/>
        </w:rPr>
        <w:t>feeling frustrated </w:t>
      </w:r>
      <w:r>
        <w:rPr>
          <w:sz w:val="21"/>
        </w:rPr>
        <w:t>and distressed because of </w:t>
      </w:r>
      <w:r>
        <w:rPr>
          <w:spacing w:val="-3"/>
          <w:sz w:val="21"/>
        </w:rPr>
        <w:t>involvement </w:t>
      </w:r>
      <w:r>
        <w:rPr>
          <w:sz w:val="21"/>
        </w:rPr>
        <w:t>in a protracted </w:t>
      </w:r>
      <w:r>
        <w:rPr>
          <w:spacing w:val="-3"/>
          <w:sz w:val="21"/>
        </w:rPr>
        <w:t>dispute</w:t>
      </w:r>
      <w:r>
        <w:rPr>
          <w:spacing w:val="-25"/>
          <w:sz w:val="21"/>
        </w:rPr>
        <w:t> </w:t>
      </w:r>
      <w:r>
        <w:rPr>
          <w:position w:val="7"/>
          <w:sz w:val="12"/>
        </w:rPr>
        <w:t>123</w:t>
      </w:r>
    </w:p>
    <w:p>
      <w:pPr>
        <w:pStyle w:val="ListParagraph"/>
        <w:numPr>
          <w:ilvl w:val="2"/>
          <w:numId w:val="16"/>
        </w:numPr>
        <w:tabs>
          <w:tab w:pos="2721" w:val="left" w:leader="none"/>
          <w:tab w:pos="2722" w:val="left" w:leader="none"/>
        </w:tabs>
        <w:spacing w:line="242" w:lineRule="auto" w:before="88" w:after="0"/>
        <w:ind w:left="2721" w:right="1794" w:hanging="340"/>
        <w:jc w:val="left"/>
        <w:rPr>
          <w:sz w:val="12"/>
        </w:rPr>
      </w:pPr>
      <w:r>
        <w:rPr>
          <w:w w:val="105"/>
          <w:sz w:val="21"/>
        </w:rPr>
        <w:t>being</w:t>
      </w:r>
      <w:r>
        <w:rPr>
          <w:spacing w:val="-5"/>
          <w:w w:val="105"/>
          <w:sz w:val="21"/>
        </w:rPr>
        <w:t> </w:t>
      </w:r>
      <w:r>
        <w:rPr>
          <w:w w:val="105"/>
          <w:sz w:val="21"/>
        </w:rPr>
        <w:t>anxious</w:t>
      </w:r>
      <w:r>
        <w:rPr>
          <w:spacing w:val="-5"/>
          <w:w w:val="105"/>
          <w:sz w:val="21"/>
        </w:rPr>
        <w:t> </w:t>
      </w:r>
      <w:r>
        <w:rPr>
          <w:w w:val="105"/>
          <w:sz w:val="21"/>
        </w:rPr>
        <w:t>or</w:t>
      </w:r>
      <w:r>
        <w:rPr>
          <w:spacing w:val="-5"/>
          <w:w w:val="105"/>
          <w:sz w:val="21"/>
        </w:rPr>
        <w:t> </w:t>
      </w:r>
      <w:r>
        <w:rPr>
          <w:w w:val="105"/>
          <w:sz w:val="21"/>
        </w:rPr>
        <w:t>fearful</w:t>
      </w:r>
      <w:r>
        <w:rPr>
          <w:spacing w:val="-5"/>
          <w:w w:val="105"/>
          <w:sz w:val="21"/>
        </w:rPr>
        <w:t> </w:t>
      </w:r>
      <w:r>
        <w:rPr>
          <w:w w:val="105"/>
          <w:sz w:val="21"/>
        </w:rPr>
        <w:t>about</w:t>
      </w:r>
      <w:r>
        <w:rPr>
          <w:spacing w:val="-5"/>
          <w:w w:val="105"/>
          <w:sz w:val="21"/>
        </w:rPr>
        <w:t> </w:t>
      </w:r>
      <w:r>
        <w:rPr>
          <w:w w:val="105"/>
          <w:sz w:val="21"/>
        </w:rPr>
        <w:t>a</w:t>
      </w:r>
      <w:r>
        <w:rPr>
          <w:spacing w:val="-5"/>
          <w:w w:val="105"/>
          <w:sz w:val="21"/>
        </w:rPr>
        <w:t> </w:t>
      </w:r>
      <w:r>
        <w:rPr>
          <w:w w:val="105"/>
          <w:sz w:val="21"/>
        </w:rPr>
        <w:t>tree</w:t>
      </w:r>
      <w:r>
        <w:rPr>
          <w:spacing w:val="-5"/>
          <w:w w:val="105"/>
          <w:sz w:val="21"/>
        </w:rPr>
        <w:t> </w:t>
      </w:r>
      <w:r>
        <w:rPr>
          <w:spacing w:val="-4"/>
          <w:w w:val="105"/>
          <w:sz w:val="21"/>
        </w:rPr>
        <w:t>falling </w:t>
      </w:r>
      <w:r>
        <w:rPr>
          <w:w w:val="105"/>
          <w:sz w:val="21"/>
        </w:rPr>
        <w:t>and</w:t>
      </w:r>
      <w:r>
        <w:rPr>
          <w:spacing w:val="-5"/>
          <w:w w:val="105"/>
          <w:sz w:val="21"/>
        </w:rPr>
        <w:t> </w:t>
      </w:r>
      <w:r>
        <w:rPr>
          <w:spacing w:val="-3"/>
          <w:w w:val="105"/>
          <w:sz w:val="21"/>
        </w:rPr>
        <w:t>causing</w:t>
      </w:r>
      <w:r>
        <w:rPr>
          <w:spacing w:val="-5"/>
          <w:w w:val="105"/>
          <w:sz w:val="21"/>
        </w:rPr>
        <w:t> </w:t>
      </w:r>
      <w:r>
        <w:rPr>
          <w:w w:val="105"/>
          <w:sz w:val="21"/>
        </w:rPr>
        <w:t>damage</w:t>
      </w:r>
      <w:r>
        <w:rPr>
          <w:spacing w:val="-5"/>
          <w:w w:val="105"/>
          <w:sz w:val="21"/>
        </w:rPr>
        <w:t> </w:t>
      </w:r>
      <w:r>
        <w:rPr>
          <w:w w:val="105"/>
          <w:sz w:val="21"/>
        </w:rPr>
        <w:t>or</w:t>
      </w:r>
      <w:r>
        <w:rPr>
          <w:spacing w:val="-5"/>
          <w:w w:val="105"/>
          <w:sz w:val="21"/>
        </w:rPr>
        <w:t> </w:t>
      </w:r>
      <w:r>
        <w:rPr>
          <w:spacing w:val="-3"/>
          <w:w w:val="105"/>
          <w:sz w:val="21"/>
        </w:rPr>
        <w:t>harm,</w:t>
      </w:r>
      <w:r>
        <w:rPr>
          <w:spacing w:val="-5"/>
          <w:w w:val="105"/>
          <w:sz w:val="21"/>
        </w:rPr>
        <w:t> </w:t>
      </w:r>
      <w:r>
        <w:rPr>
          <w:w w:val="105"/>
          <w:sz w:val="21"/>
        </w:rPr>
        <w:t>especially </w:t>
      </w:r>
      <w:r>
        <w:rPr>
          <w:spacing w:val="-3"/>
          <w:w w:val="105"/>
          <w:sz w:val="21"/>
        </w:rPr>
        <w:t>during turbulent</w:t>
      </w:r>
      <w:r>
        <w:rPr>
          <w:spacing w:val="14"/>
          <w:w w:val="105"/>
          <w:sz w:val="21"/>
        </w:rPr>
        <w:t> </w:t>
      </w:r>
      <w:r>
        <w:rPr>
          <w:spacing w:val="-4"/>
          <w:w w:val="105"/>
          <w:sz w:val="21"/>
        </w:rPr>
        <w:t>weather</w:t>
      </w:r>
      <w:r>
        <w:rPr>
          <w:spacing w:val="-4"/>
          <w:w w:val="105"/>
          <w:position w:val="7"/>
          <w:sz w:val="12"/>
        </w:rPr>
        <w:t>124</w:t>
      </w:r>
    </w:p>
    <w:p>
      <w:pPr>
        <w:pStyle w:val="ListParagraph"/>
        <w:numPr>
          <w:ilvl w:val="2"/>
          <w:numId w:val="16"/>
        </w:numPr>
        <w:tabs>
          <w:tab w:pos="2721" w:val="left" w:leader="none"/>
          <w:tab w:pos="2722" w:val="left" w:leader="none"/>
        </w:tabs>
        <w:spacing w:line="242" w:lineRule="auto" w:before="88" w:after="0"/>
        <w:ind w:left="2721" w:right="2261" w:hanging="340"/>
        <w:jc w:val="left"/>
        <w:rPr>
          <w:sz w:val="12"/>
        </w:rPr>
      </w:pPr>
      <w:r>
        <w:rPr>
          <w:spacing w:val="-3"/>
          <w:w w:val="105"/>
          <w:sz w:val="21"/>
        </w:rPr>
        <w:t>having to </w:t>
      </w:r>
      <w:r>
        <w:rPr>
          <w:w w:val="105"/>
          <w:sz w:val="21"/>
        </w:rPr>
        <w:t>call the </w:t>
      </w:r>
      <w:r>
        <w:rPr>
          <w:spacing w:val="-2"/>
          <w:w w:val="105"/>
          <w:sz w:val="21"/>
        </w:rPr>
        <w:t>police </w:t>
      </w:r>
      <w:r>
        <w:rPr>
          <w:w w:val="105"/>
          <w:sz w:val="21"/>
        </w:rPr>
        <w:t>or being </w:t>
      </w:r>
      <w:r>
        <w:rPr>
          <w:spacing w:val="-3"/>
          <w:w w:val="105"/>
          <w:sz w:val="21"/>
        </w:rPr>
        <w:t>charged </w:t>
      </w:r>
      <w:r>
        <w:rPr>
          <w:w w:val="105"/>
          <w:sz w:val="21"/>
        </w:rPr>
        <w:t>with a </w:t>
      </w:r>
      <w:r>
        <w:rPr>
          <w:spacing w:val="-3"/>
          <w:w w:val="105"/>
          <w:sz w:val="21"/>
        </w:rPr>
        <w:t>criminal offence (for example, </w:t>
      </w:r>
      <w:r>
        <w:rPr>
          <w:w w:val="105"/>
          <w:sz w:val="21"/>
        </w:rPr>
        <w:t>assault) </w:t>
      </w:r>
      <w:r>
        <w:rPr>
          <w:spacing w:val="-3"/>
          <w:w w:val="105"/>
          <w:sz w:val="21"/>
        </w:rPr>
        <w:t>resulting from </w:t>
      </w:r>
      <w:r>
        <w:rPr>
          <w:w w:val="105"/>
          <w:sz w:val="21"/>
        </w:rPr>
        <w:t>an escalated tree</w:t>
      </w:r>
      <w:r>
        <w:rPr>
          <w:spacing w:val="26"/>
          <w:w w:val="105"/>
          <w:sz w:val="21"/>
        </w:rPr>
        <w:t> </w:t>
      </w:r>
      <w:r>
        <w:rPr>
          <w:spacing w:val="-5"/>
          <w:w w:val="105"/>
          <w:sz w:val="21"/>
        </w:rPr>
        <w:t>dispute.</w:t>
      </w:r>
      <w:r>
        <w:rPr>
          <w:spacing w:val="-5"/>
          <w:w w:val="105"/>
          <w:position w:val="7"/>
          <w:sz w:val="12"/>
        </w:rPr>
        <w:t>125</w:t>
      </w:r>
    </w:p>
    <w:p>
      <w:pPr>
        <w:pStyle w:val="ListParagraph"/>
        <w:numPr>
          <w:ilvl w:val="1"/>
          <w:numId w:val="16"/>
        </w:numPr>
        <w:tabs>
          <w:tab w:pos="2380" w:val="left" w:leader="none"/>
          <w:tab w:pos="2381" w:val="left" w:leader="none"/>
        </w:tabs>
        <w:spacing w:line="242" w:lineRule="auto" w:before="87" w:after="0"/>
        <w:ind w:left="2381" w:right="1716" w:hanging="794"/>
        <w:jc w:val="left"/>
        <w:rPr>
          <w:sz w:val="21"/>
        </w:rPr>
      </w:pPr>
      <w:r>
        <w:rPr>
          <w:w w:val="105"/>
          <w:sz w:val="21"/>
        </w:rPr>
        <w:t>The</w:t>
      </w:r>
      <w:r>
        <w:rPr>
          <w:spacing w:val="-8"/>
          <w:w w:val="105"/>
          <w:sz w:val="21"/>
        </w:rPr>
        <w:t> </w:t>
      </w:r>
      <w:r>
        <w:rPr>
          <w:spacing w:val="-5"/>
          <w:w w:val="105"/>
          <w:sz w:val="21"/>
        </w:rPr>
        <w:t>Tasmania</w:t>
      </w:r>
      <w:r>
        <w:rPr>
          <w:spacing w:val="-7"/>
          <w:w w:val="105"/>
          <w:sz w:val="21"/>
        </w:rPr>
        <w:t> </w:t>
      </w:r>
      <w:r>
        <w:rPr>
          <w:w w:val="105"/>
          <w:sz w:val="21"/>
        </w:rPr>
        <w:t>Law</w:t>
      </w:r>
      <w:r>
        <w:rPr>
          <w:spacing w:val="-7"/>
          <w:w w:val="105"/>
          <w:sz w:val="21"/>
        </w:rPr>
        <w:t> </w:t>
      </w:r>
      <w:r>
        <w:rPr>
          <w:spacing w:val="-3"/>
          <w:w w:val="105"/>
          <w:sz w:val="21"/>
        </w:rPr>
        <w:t>Reform</w:t>
      </w:r>
      <w:r>
        <w:rPr>
          <w:spacing w:val="-7"/>
          <w:w w:val="105"/>
          <w:sz w:val="21"/>
        </w:rPr>
        <w:t> </w:t>
      </w:r>
      <w:r>
        <w:rPr>
          <w:spacing w:val="-3"/>
          <w:w w:val="105"/>
          <w:sz w:val="21"/>
        </w:rPr>
        <w:t>Institute</w:t>
      </w:r>
      <w:r>
        <w:rPr>
          <w:spacing w:val="-7"/>
          <w:w w:val="105"/>
          <w:sz w:val="21"/>
        </w:rPr>
        <w:t> </w:t>
      </w:r>
      <w:r>
        <w:rPr>
          <w:w w:val="105"/>
          <w:sz w:val="21"/>
        </w:rPr>
        <w:t>identifies</w:t>
      </w:r>
      <w:r>
        <w:rPr>
          <w:spacing w:val="-7"/>
          <w:w w:val="105"/>
          <w:sz w:val="21"/>
        </w:rPr>
        <w:t> </w:t>
      </w:r>
      <w:r>
        <w:rPr>
          <w:spacing w:val="-3"/>
          <w:w w:val="105"/>
          <w:sz w:val="21"/>
        </w:rPr>
        <w:t>that</w:t>
      </w:r>
      <w:r>
        <w:rPr>
          <w:spacing w:val="-7"/>
          <w:w w:val="105"/>
          <w:sz w:val="21"/>
        </w:rPr>
        <w:t> </w:t>
      </w:r>
      <w:r>
        <w:rPr>
          <w:w w:val="105"/>
          <w:sz w:val="21"/>
        </w:rPr>
        <w:t>these</w:t>
      </w:r>
      <w:r>
        <w:rPr>
          <w:spacing w:val="-7"/>
          <w:w w:val="105"/>
          <w:sz w:val="21"/>
        </w:rPr>
        <w:t> </w:t>
      </w:r>
      <w:r>
        <w:rPr>
          <w:spacing w:val="-3"/>
          <w:w w:val="105"/>
          <w:sz w:val="21"/>
        </w:rPr>
        <w:t>disputes</w:t>
      </w:r>
      <w:r>
        <w:rPr>
          <w:spacing w:val="-7"/>
          <w:w w:val="105"/>
          <w:sz w:val="21"/>
        </w:rPr>
        <w:t> </w:t>
      </w:r>
      <w:r>
        <w:rPr>
          <w:w w:val="105"/>
          <w:sz w:val="21"/>
        </w:rPr>
        <w:t>can</w:t>
      </w:r>
      <w:r>
        <w:rPr>
          <w:spacing w:val="-7"/>
          <w:w w:val="105"/>
          <w:sz w:val="21"/>
        </w:rPr>
        <w:t> </w:t>
      </w:r>
      <w:r>
        <w:rPr>
          <w:spacing w:val="-3"/>
          <w:w w:val="105"/>
          <w:sz w:val="21"/>
        </w:rPr>
        <w:t>have</w:t>
      </w:r>
      <w:r>
        <w:rPr>
          <w:spacing w:val="-7"/>
          <w:w w:val="105"/>
          <w:sz w:val="21"/>
        </w:rPr>
        <w:t> </w:t>
      </w:r>
      <w:r>
        <w:rPr>
          <w:spacing w:val="-3"/>
          <w:w w:val="105"/>
          <w:sz w:val="21"/>
        </w:rPr>
        <w:t>‘consequences for </w:t>
      </w:r>
      <w:r>
        <w:rPr>
          <w:w w:val="105"/>
          <w:sz w:val="21"/>
        </w:rPr>
        <w:t>the wider community </w:t>
      </w:r>
      <w:r>
        <w:rPr>
          <w:spacing w:val="-3"/>
          <w:w w:val="105"/>
          <w:sz w:val="21"/>
        </w:rPr>
        <w:t>through </w:t>
      </w:r>
      <w:r>
        <w:rPr>
          <w:w w:val="105"/>
          <w:sz w:val="21"/>
        </w:rPr>
        <w:t>their </w:t>
      </w:r>
      <w:r>
        <w:rPr>
          <w:spacing w:val="-3"/>
          <w:w w:val="105"/>
          <w:sz w:val="21"/>
        </w:rPr>
        <w:t>potential to create </w:t>
      </w:r>
      <w:r>
        <w:rPr>
          <w:w w:val="105"/>
          <w:sz w:val="21"/>
        </w:rPr>
        <w:t>civic </w:t>
      </w:r>
      <w:r>
        <w:rPr>
          <w:spacing w:val="-3"/>
          <w:w w:val="105"/>
          <w:sz w:val="21"/>
        </w:rPr>
        <w:t>discord </w:t>
      </w:r>
      <w:r>
        <w:rPr>
          <w:w w:val="105"/>
          <w:sz w:val="21"/>
        </w:rPr>
        <w:t>and lead </w:t>
      </w:r>
      <w:r>
        <w:rPr>
          <w:spacing w:val="-3"/>
          <w:w w:val="105"/>
          <w:sz w:val="21"/>
        </w:rPr>
        <w:t>to </w:t>
      </w:r>
      <w:r>
        <w:rPr>
          <w:spacing w:val="-2"/>
          <w:w w:val="105"/>
          <w:sz w:val="21"/>
        </w:rPr>
        <w:t>instances </w:t>
      </w:r>
      <w:r>
        <w:rPr>
          <w:w w:val="105"/>
          <w:sz w:val="21"/>
        </w:rPr>
        <w:t>where laws </w:t>
      </w:r>
      <w:r>
        <w:rPr>
          <w:spacing w:val="-3"/>
          <w:w w:val="105"/>
          <w:sz w:val="21"/>
        </w:rPr>
        <w:t>are ignored </w:t>
      </w:r>
      <w:r>
        <w:rPr>
          <w:w w:val="105"/>
          <w:sz w:val="21"/>
        </w:rPr>
        <w:t>or purposely</w:t>
      </w:r>
      <w:r>
        <w:rPr>
          <w:spacing w:val="37"/>
          <w:w w:val="105"/>
          <w:sz w:val="21"/>
        </w:rPr>
        <w:t> </w:t>
      </w:r>
      <w:r>
        <w:rPr>
          <w:spacing w:val="-7"/>
          <w:w w:val="105"/>
          <w:sz w:val="21"/>
        </w:rPr>
        <w:t>broken’.</w:t>
      </w:r>
      <w:r>
        <w:rPr>
          <w:spacing w:val="-7"/>
          <w:w w:val="105"/>
          <w:position w:val="7"/>
          <w:sz w:val="12"/>
        </w:rPr>
        <w:t>126</w:t>
      </w:r>
    </w:p>
    <w:p>
      <w:pPr>
        <w:pStyle w:val="ListParagraph"/>
        <w:numPr>
          <w:ilvl w:val="1"/>
          <w:numId w:val="16"/>
        </w:numPr>
        <w:tabs>
          <w:tab w:pos="2380" w:val="left" w:leader="none"/>
          <w:tab w:pos="2381" w:val="left" w:leader="none"/>
        </w:tabs>
        <w:spacing w:line="242" w:lineRule="auto" w:before="123" w:after="0"/>
        <w:ind w:left="2381" w:right="1823" w:hanging="794"/>
        <w:jc w:val="left"/>
        <w:rPr>
          <w:sz w:val="21"/>
        </w:rPr>
      </w:pPr>
      <w:r>
        <w:rPr>
          <w:sz w:val="21"/>
        </w:rPr>
        <w:t>The stress and anxiety </w:t>
      </w:r>
      <w:r>
        <w:rPr>
          <w:spacing w:val="-3"/>
          <w:sz w:val="21"/>
        </w:rPr>
        <w:t>that </w:t>
      </w:r>
      <w:r>
        <w:rPr>
          <w:sz w:val="21"/>
        </w:rPr>
        <w:t>can be caused by tree </w:t>
      </w:r>
      <w:r>
        <w:rPr>
          <w:spacing w:val="-3"/>
          <w:sz w:val="21"/>
        </w:rPr>
        <w:t>disputes </w:t>
      </w:r>
      <w:r>
        <w:rPr>
          <w:sz w:val="21"/>
        </w:rPr>
        <w:t>is compounded by the </w:t>
      </w:r>
      <w:r>
        <w:rPr>
          <w:spacing w:val="-3"/>
          <w:sz w:val="21"/>
        </w:rPr>
        <w:t>frustration </w:t>
      </w:r>
      <w:r>
        <w:rPr>
          <w:sz w:val="21"/>
        </w:rPr>
        <w:t>people experience when they attempt </w:t>
      </w:r>
      <w:r>
        <w:rPr>
          <w:spacing w:val="-3"/>
          <w:sz w:val="21"/>
        </w:rPr>
        <w:t>to  </w:t>
      </w:r>
      <w:r>
        <w:rPr>
          <w:sz w:val="21"/>
        </w:rPr>
        <w:t>resolve these </w:t>
      </w:r>
      <w:r>
        <w:rPr>
          <w:spacing w:val="-3"/>
          <w:sz w:val="21"/>
        </w:rPr>
        <w:t>disputes.</w:t>
      </w:r>
      <w:r>
        <w:rPr>
          <w:spacing w:val="41"/>
          <w:sz w:val="21"/>
        </w:rPr>
        <w:t> </w:t>
      </w:r>
      <w:r>
        <w:rPr>
          <w:spacing w:val="-4"/>
          <w:sz w:val="21"/>
        </w:rPr>
        <w:t>Confusion  </w:t>
      </w:r>
      <w:r>
        <w:rPr>
          <w:sz w:val="21"/>
        </w:rPr>
        <w:t>can arise about rights and </w:t>
      </w:r>
      <w:r>
        <w:rPr>
          <w:spacing w:val="-3"/>
          <w:sz w:val="21"/>
        </w:rPr>
        <w:t>responsibilities, potentially exacerbating </w:t>
      </w:r>
      <w:r>
        <w:rPr>
          <w:sz w:val="21"/>
        </w:rPr>
        <w:t>existing </w:t>
      </w:r>
      <w:r>
        <w:rPr>
          <w:spacing w:val="-3"/>
          <w:sz w:val="21"/>
        </w:rPr>
        <w:t>tensions </w:t>
      </w:r>
      <w:r>
        <w:rPr>
          <w:sz w:val="21"/>
        </w:rPr>
        <w:t>and </w:t>
      </w:r>
      <w:r>
        <w:rPr>
          <w:spacing w:val="-3"/>
          <w:sz w:val="21"/>
        </w:rPr>
        <w:t>prolonging</w:t>
      </w:r>
      <w:r>
        <w:rPr>
          <w:spacing w:val="8"/>
          <w:sz w:val="21"/>
        </w:rPr>
        <w:t> </w:t>
      </w:r>
      <w:r>
        <w:rPr>
          <w:spacing w:val="-3"/>
          <w:sz w:val="21"/>
        </w:rPr>
        <w:t>disputes.</w:t>
      </w:r>
    </w:p>
    <w:p>
      <w:pPr>
        <w:pStyle w:val="BodyText"/>
        <w:spacing w:before="5"/>
        <w:rPr>
          <w:sz w:val="20"/>
        </w:rPr>
      </w:pPr>
    </w:p>
    <w:p>
      <w:pPr>
        <w:pStyle w:val="Heading5"/>
      </w:pPr>
      <w:r>
        <w:rPr>
          <w:w w:val="115"/>
        </w:rPr>
        <w:t>Breakdown of neighbour relations</w:t>
      </w:r>
    </w:p>
    <w:p>
      <w:pPr>
        <w:pStyle w:val="ListParagraph"/>
        <w:numPr>
          <w:ilvl w:val="1"/>
          <w:numId w:val="16"/>
        </w:numPr>
        <w:tabs>
          <w:tab w:pos="2380" w:val="left" w:leader="none"/>
          <w:tab w:pos="2381" w:val="left" w:leader="none"/>
        </w:tabs>
        <w:spacing w:line="242" w:lineRule="auto" w:before="137" w:after="0"/>
        <w:ind w:left="2381" w:right="1671" w:hanging="794"/>
        <w:jc w:val="left"/>
        <w:rPr>
          <w:sz w:val="21"/>
        </w:rPr>
      </w:pPr>
      <w:r>
        <w:rPr>
          <w:spacing w:val="-3"/>
          <w:w w:val="105"/>
          <w:sz w:val="21"/>
        </w:rPr>
        <w:t>Like </w:t>
      </w:r>
      <w:r>
        <w:rPr>
          <w:w w:val="105"/>
          <w:sz w:val="21"/>
        </w:rPr>
        <w:t>other types of neighbourhood </w:t>
      </w:r>
      <w:r>
        <w:rPr>
          <w:spacing w:val="-3"/>
          <w:w w:val="105"/>
          <w:sz w:val="21"/>
        </w:rPr>
        <w:t>dispute, </w:t>
      </w:r>
      <w:r>
        <w:rPr>
          <w:w w:val="105"/>
          <w:sz w:val="21"/>
        </w:rPr>
        <w:t>tree </w:t>
      </w:r>
      <w:r>
        <w:rPr>
          <w:spacing w:val="-3"/>
          <w:w w:val="105"/>
          <w:sz w:val="21"/>
        </w:rPr>
        <w:t>disputes </w:t>
      </w:r>
      <w:r>
        <w:rPr>
          <w:w w:val="105"/>
          <w:sz w:val="21"/>
        </w:rPr>
        <w:t>can severely affect once- amicable </w:t>
      </w:r>
      <w:r>
        <w:rPr>
          <w:spacing w:val="-3"/>
          <w:w w:val="105"/>
          <w:sz w:val="21"/>
        </w:rPr>
        <w:t>neighbour relationships </w:t>
      </w:r>
      <w:r>
        <w:rPr>
          <w:w w:val="105"/>
          <w:sz w:val="21"/>
        </w:rPr>
        <w:t>or </w:t>
      </w:r>
      <w:r>
        <w:rPr>
          <w:spacing w:val="-3"/>
          <w:w w:val="105"/>
          <w:sz w:val="21"/>
        </w:rPr>
        <w:t>may </w:t>
      </w:r>
      <w:r>
        <w:rPr>
          <w:w w:val="105"/>
          <w:sz w:val="21"/>
        </w:rPr>
        <w:t>be the final straw in a pre-existing </w:t>
      </w:r>
      <w:r>
        <w:rPr>
          <w:spacing w:val="-4"/>
          <w:w w:val="105"/>
          <w:sz w:val="21"/>
        </w:rPr>
        <w:t>conflict.</w:t>
      </w:r>
      <w:r>
        <w:rPr>
          <w:spacing w:val="-4"/>
          <w:w w:val="105"/>
          <w:position w:val="7"/>
          <w:sz w:val="12"/>
        </w:rPr>
        <w:t>127</w:t>
      </w:r>
      <w:r>
        <w:rPr>
          <w:spacing w:val="-4"/>
          <w:w w:val="105"/>
          <w:sz w:val="12"/>
        </w:rPr>
        <w:t> </w:t>
      </w:r>
      <w:r>
        <w:rPr>
          <w:w w:val="105"/>
          <w:sz w:val="21"/>
        </w:rPr>
        <w:t>They can </w:t>
      </w:r>
      <w:r>
        <w:rPr>
          <w:spacing w:val="-3"/>
          <w:w w:val="105"/>
          <w:sz w:val="21"/>
        </w:rPr>
        <w:t>create considerable </w:t>
      </w:r>
      <w:r>
        <w:rPr>
          <w:w w:val="105"/>
          <w:sz w:val="21"/>
        </w:rPr>
        <w:t>stress and anxiety and can </w:t>
      </w:r>
      <w:r>
        <w:rPr>
          <w:spacing w:val="-2"/>
          <w:w w:val="105"/>
          <w:sz w:val="21"/>
        </w:rPr>
        <w:t>significantly </w:t>
      </w:r>
      <w:r>
        <w:rPr>
          <w:spacing w:val="-3"/>
          <w:w w:val="105"/>
          <w:sz w:val="21"/>
        </w:rPr>
        <w:t>impair people’s </w:t>
      </w:r>
      <w:r>
        <w:rPr>
          <w:w w:val="105"/>
          <w:sz w:val="21"/>
        </w:rPr>
        <w:t>experience</w:t>
      </w:r>
      <w:r>
        <w:rPr>
          <w:spacing w:val="-6"/>
          <w:w w:val="105"/>
          <w:sz w:val="21"/>
        </w:rPr>
        <w:t> </w:t>
      </w:r>
      <w:r>
        <w:rPr>
          <w:w w:val="105"/>
          <w:sz w:val="21"/>
        </w:rPr>
        <w:t>of</w:t>
      </w:r>
      <w:r>
        <w:rPr>
          <w:spacing w:val="-6"/>
          <w:w w:val="105"/>
          <w:sz w:val="21"/>
        </w:rPr>
        <w:t> </w:t>
      </w:r>
      <w:r>
        <w:rPr>
          <w:spacing w:val="-3"/>
          <w:w w:val="105"/>
          <w:sz w:val="21"/>
        </w:rPr>
        <w:t>living</w:t>
      </w:r>
      <w:r>
        <w:rPr>
          <w:spacing w:val="-6"/>
          <w:w w:val="105"/>
          <w:sz w:val="21"/>
        </w:rPr>
        <w:t> </w:t>
      </w:r>
      <w:r>
        <w:rPr>
          <w:w w:val="105"/>
          <w:sz w:val="21"/>
        </w:rPr>
        <w:t>in</w:t>
      </w:r>
      <w:r>
        <w:rPr>
          <w:spacing w:val="-6"/>
          <w:w w:val="105"/>
          <w:sz w:val="21"/>
        </w:rPr>
        <w:t> </w:t>
      </w:r>
      <w:r>
        <w:rPr>
          <w:w w:val="105"/>
          <w:sz w:val="21"/>
        </w:rPr>
        <w:t>their</w:t>
      </w:r>
      <w:r>
        <w:rPr>
          <w:spacing w:val="-6"/>
          <w:w w:val="105"/>
          <w:sz w:val="21"/>
        </w:rPr>
        <w:t> </w:t>
      </w:r>
      <w:r>
        <w:rPr>
          <w:spacing w:val="-4"/>
          <w:w w:val="105"/>
          <w:sz w:val="21"/>
        </w:rPr>
        <w:t>homes.</w:t>
      </w:r>
      <w:r>
        <w:rPr>
          <w:spacing w:val="-4"/>
          <w:w w:val="105"/>
          <w:position w:val="7"/>
          <w:sz w:val="12"/>
        </w:rPr>
        <w:t>128</w:t>
      </w:r>
      <w:r>
        <w:rPr>
          <w:spacing w:val="1"/>
          <w:w w:val="105"/>
          <w:position w:val="7"/>
          <w:sz w:val="12"/>
        </w:rPr>
        <w:t> </w:t>
      </w:r>
      <w:r>
        <w:rPr>
          <w:w w:val="105"/>
          <w:sz w:val="21"/>
        </w:rPr>
        <w:t>The</w:t>
      </w:r>
      <w:r>
        <w:rPr>
          <w:spacing w:val="-6"/>
          <w:w w:val="105"/>
          <w:sz w:val="21"/>
        </w:rPr>
        <w:t> </w:t>
      </w:r>
      <w:r>
        <w:rPr>
          <w:w w:val="105"/>
          <w:sz w:val="21"/>
        </w:rPr>
        <w:t>LIV</w:t>
      </w:r>
      <w:r>
        <w:rPr>
          <w:spacing w:val="-6"/>
          <w:w w:val="105"/>
          <w:sz w:val="21"/>
        </w:rPr>
        <w:t> </w:t>
      </w:r>
      <w:r>
        <w:rPr>
          <w:w w:val="105"/>
          <w:sz w:val="21"/>
        </w:rPr>
        <w:t>explained</w:t>
      </w:r>
      <w:r>
        <w:rPr>
          <w:spacing w:val="-6"/>
          <w:w w:val="105"/>
          <w:sz w:val="21"/>
        </w:rPr>
        <w:t> </w:t>
      </w:r>
      <w:r>
        <w:rPr>
          <w:spacing w:val="-3"/>
          <w:w w:val="105"/>
          <w:sz w:val="21"/>
        </w:rPr>
        <w:t>that</w:t>
      </w:r>
      <w:r>
        <w:rPr>
          <w:spacing w:val="-6"/>
          <w:w w:val="105"/>
          <w:sz w:val="21"/>
        </w:rPr>
        <w:t> </w:t>
      </w:r>
      <w:r>
        <w:rPr>
          <w:w w:val="105"/>
          <w:sz w:val="21"/>
        </w:rPr>
        <w:t>tree</w:t>
      </w:r>
      <w:r>
        <w:rPr>
          <w:spacing w:val="-5"/>
          <w:w w:val="105"/>
          <w:sz w:val="21"/>
        </w:rPr>
        <w:t> </w:t>
      </w:r>
      <w:r>
        <w:rPr>
          <w:spacing w:val="-3"/>
          <w:w w:val="105"/>
          <w:sz w:val="21"/>
        </w:rPr>
        <w:t>disputes</w:t>
      </w:r>
      <w:r>
        <w:rPr>
          <w:spacing w:val="-6"/>
          <w:w w:val="105"/>
          <w:sz w:val="21"/>
        </w:rPr>
        <w:t> </w:t>
      </w:r>
      <w:r>
        <w:rPr>
          <w:spacing w:val="-4"/>
          <w:w w:val="105"/>
          <w:sz w:val="21"/>
        </w:rPr>
        <w:t>‘often</w:t>
      </w:r>
      <w:r>
        <w:rPr>
          <w:spacing w:val="-6"/>
          <w:w w:val="105"/>
          <w:sz w:val="21"/>
        </w:rPr>
        <w:t> </w:t>
      </w:r>
      <w:r>
        <w:rPr>
          <w:w w:val="105"/>
          <w:sz w:val="21"/>
        </w:rPr>
        <w:t>affect</w:t>
      </w:r>
      <w:r>
        <w:rPr>
          <w:spacing w:val="-6"/>
          <w:w w:val="105"/>
          <w:sz w:val="21"/>
        </w:rPr>
        <w:t> </w:t>
      </w:r>
      <w:r>
        <w:rPr>
          <w:w w:val="105"/>
          <w:sz w:val="21"/>
        </w:rPr>
        <w:t>an </w:t>
      </w:r>
      <w:r>
        <w:rPr>
          <w:spacing w:val="-3"/>
          <w:w w:val="105"/>
          <w:sz w:val="21"/>
        </w:rPr>
        <w:t>individual’s right to quiet </w:t>
      </w:r>
      <w:r>
        <w:rPr>
          <w:spacing w:val="-2"/>
          <w:w w:val="105"/>
          <w:sz w:val="21"/>
        </w:rPr>
        <w:t>enjoyment </w:t>
      </w:r>
      <w:r>
        <w:rPr>
          <w:w w:val="105"/>
          <w:sz w:val="21"/>
        </w:rPr>
        <w:t>of their </w:t>
      </w:r>
      <w:r>
        <w:rPr>
          <w:spacing w:val="-3"/>
          <w:w w:val="105"/>
          <w:sz w:val="21"/>
        </w:rPr>
        <w:t>land, </w:t>
      </w:r>
      <w:r>
        <w:rPr>
          <w:w w:val="105"/>
          <w:sz w:val="21"/>
        </w:rPr>
        <w:t>which can </w:t>
      </w:r>
      <w:r>
        <w:rPr>
          <w:spacing w:val="-3"/>
          <w:w w:val="105"/>
          <w:sz w:val="21"/>
        </w:rPr>
        <w:t>have </w:t>
      </w:r>
      <w:r>
        <w:rPr>
          <w:w w:val="105"/>
          <w:sz w:val="21"/>
        </w:rPr>
        <w:t>a </w:t>
      </w:r>
      <w:r>
        <w:rPr>
          <w:spacing w:val="-3"/>
          <w:w w:val="105"/>
          <w:sz w:val="21"/>
        </w:rPr>
        <w:t>significant </w:t>
      </w:r>
      <w:r>
        <w:rPr>
          <w:w w:val="105"/>
          <w:sz w:val="21"/>
        </w:rPr>
        <w:t>impact on their</w:t>
      </w:r>
      <w:r>
        <w:rPr>
          <w:spacing w:val="5"/>
          <w:w w:val="105"/>
          <w:sz w:val="21"/>
        </w:rPr>
        <w:t> </w:t>
      </w:r>
      <w:r>
        <w:rPr>
          <w:spacing w:val="-4"/>
          <w:w w:val="105"/>
          <w:sz w:val="21"/>
        </w:rPr>
        <w:t>livelihood.’</w:t>
      </w:r>
      <w:r>
        <w:rPr>
          <w:spacing w:val="-4"/>
          <w:w w:val="105"/>
          <w:position w:val="7"/>
          <w:sz w:val="12"/>
        </w:rPr>
        <w:t>129</w:t>
      </w:r>
    </w:p>
    <w:p>
      <w:pPr>
        <w:pStyle w:val="ListParagraph"/>
        <w:numPr>
          <w:ilvl w:val="1"/>
          <w:numId w:val="16"/>
        </w:numPr>
        <w:tabs>
          <w:tab w:pos="2380" w:val="left" w:leader="none"/>
          <w:tab w:pos="2381" w:val="left" w:leader="none"/>
        </w:tabs>
        <w:spacing w:line="242" w:lineRule="auto" w:before="127" w:after="0"/>
        <w:ind w:left="2380" w:right="2574" w:hanging="793"/>
        <w:jc w:val="left"/>
        <w:rPr>
          <w:sz w:val="21"/>
        </w:rPr>
      </w:pPr>
      <w:r>
        <w:rPr>
          <w:w w:val="105"/>
          <w:sz w:val="21"/>
        </w:rPr>
        <w:t>The </w:t>
      </w:r>
      <w:r>
        <w:rPr>
          <w:spacing w:val="-3"/>
          <w:w w:val="105"/>
          <w:sz w:val="21"/>
        </w:rPr>
        <w:t>proximity </w:t>
      </w:r>
      <w:r>
        <w:rPr>
          <w:w w:val="105"/>
          <w:sz w:val="21"/>
        </w:rPr>
        <w:t>of </w:t>
      </w:r>
      <w:r>
        <w:rPr>
          <w:spacing w:val="-4"/>
          <w:w w:val="105"/>
          <w:sz w:val="21"/>
        </w:rPr>
        <w:t>one’s </w:t>
      </w:r>
      <w:r>
        <w:rPr>
          <w:w w:val="105"/>
          <w:sz w:val="21"/>
        </w:rPr>
        <w:t>neighbours can lead </w:t>
      </w:r>
      <w:r>
        <w:rPr>
          <w:spacing w:val="-3"/>
          <w:w w:val="105"/>
          <w:sz w:val="21"/>
        </w:rPr>
        <w:t>to </w:t>
      </w:r>
      <w:r>
        <w:rPr>
          <w:w w:val="105"/>
          <w:sz w:val="21"/>
        </w:rPr>
        <w:t>more </w:t>
      </w:r>
      <w:r>
        <w:rPr>
          <w:spacing w:val="-3"/>
          <w:w w:val="105"/>
          <w:sz w:val="21"/>
        </w:rPr>
        <w:t>frequent </w:t>
      </w:r>
      <w:r>
        <w:rPr>
          <w:spacing w:val="-2"/>
          <w:w w:val="105"/>
          <w:sz w:val="21"/>
        </w:rPr>
        <w:t>reminders </w:t>
      </w:r>
      <w:r>
        <w:rPr>
          <w:w w:val="105"/>
          <w:sz w:val="21"/>
        </w:rPr>
        <w:t>about </w:t>
      </w:r>
      <w:r>
        <w:rPr>
          <w:spacing w:val="-3"/>
          <w:w w:val="105"/>
          <w:sz w:val="21"/>
        </w:rPr>
        <w:t>interference </w:t>
      </w:r>
      <w:r>
        <w:rPr>
          <w:w w:val="105"/>
          <w:sz w:val="21"/>
        </w:rPr>
        <w:t>and </w:t>
      </w:r>
      <w:r>
        <w:rPr>
          <w:spacing w:val="-3"/>
          <w:w w:val="105"/>
          <w:sz w:val="21"/>
        </w:rPr>
        <w:t>interactions </w:t>
      </w:r>
      <w:r>
        <w:rPr>
          <w:w w:val="105"/>
          <w:sz w:val="21"/>
        </w:rPr>
        <w:t>with them, and the </w:t>
      </w:r>
      <w:r>
        <w:rPr>
          <w:spacing w:val="-3"/>
          <w:w w:val="105"/>
          <w:sz w:val="21"/>
        </w:rPr>
        <w:t>feeling </w:t>
      </w:r>
      <w:r>
        <w:rPr>
          <w:w w:val="105"/>
          <w:sz w:val="21"/>
        </w:rPr>
        <w:t>of </w:t>
      </w:r>
      <w:r>
        <w:rPr>
          <w:spacing w:val="-3"/>
          <w:w w:val="105"/>
          <w:sz w:val="21"/>
        </w:rPr>
        <w:t>having </w:t>
      </w:r>
      <w:r>
        <w:rPr>
          <w:spacing w:val="-4"/>
          <w:w w:val="105"/>
          <w:sz w:val="21"/>
        </w:rPr>
        <w:t>one’s </w:t>
      </w:r>
      <w:r>
        <w:rPr>
          <w:w w:val="105"/>
          <w:sz w:val="21"/>
        </w:rPr>
        <w:t>sense of</w:t>
      </w:r>
      <w:r>
        <w:rPr>
          <w:spacing w:val="-10"/>
          <w:w w:val="105"/>
          <w:sz w:val="21"/>
        </w:rPr>
        <w:t> </w:t>
      </w:r>
      <w:r>
        <w:rPr>
          <w:w w:val="105"/>
          <w:sz w:val="21"/>
        </w:rPr>
        <w:t>ownership</w:t>
      </w:r>
      <w:r>
        <w:rPr>
          <w:spacing w:val="-9"/>
          <w:w w:val="105"/>
          <w:sz w:val="21"/>
        </w:rPr>
        <w:t> </w:t>
      </w:r>
      <w:r>
        <w:rPr>
          <w:spacing w:val="-3"/>
          <w:w w:val="105"/>
          <w:sz w:val="21"/>
        </w:rPr>
        <w:t>challenged,</w:t>
      </w:r>
      <w:r>
        <w:rPr>
          <w:spacing w:val="-9"/>
          <w:w w:val="105"/>
          <w:sz w:val="21"/>
        </w:rPr>
        <w:t> </w:t>
      </w:r>
      <w:r>
        <w:rPr>
          <w:w w:val="105"/>
          <w:sz w:val="21"/>
        </w:rPr>
        <w:t>and</w:t>
      </w:r>
      <w:r>
        <w:rPr>
          <w:spacing w:val="-10"/>
          <w:w w:val="105"/>
          <w:sz w:val="21"/>
        </w:rPr>
        <w:t> </w:t>
      </w:r>
      <w:r>
        <w:rPr>
          <w:w w:val="105"/>
          <w:sz w:val="21"/>
        </w:rPr>
        <w:t>so</w:t>
      </w:r>
      <w:r>
        <w:rPr>
          <w:spacing w:val="-9"/>
          <w:w w:val="105"/>
          <w:sz w:val="21"/>
        </w:rPr>
        <w:t> </w:t>
      </w:r>
      <w:r>
        <w:rPr>
          <w:w w:val="105"/>
          <w:sz w:val="21"/>
        </w:rPr>
        <w:t>tree</w:t>
      </w:r>
      <w:r>
        <w:rPr>
          <w:spacing w:val="-9"/>
          <w:w w:val="105"/>
          <w:sz w:val="21"/>
        </w:rPr>
        <w:t> </w:t>
      </w:r>
      <w:r>
        <w:rPr>
          <w:spacing w:val="-3"/>
          <w:w w:val="105"/>
          <w:sz w:val="21"/>
        </w:rPr>
        <w:t>disputes</w:t>
      </w:r>
      <w:r>
        <w:rPr>
          <w:spacing w:val="-10"/>
          <w:w w:val="105"/>
          <w:sz w:val="21"/>
        </w:rPr>
        <w:t> </w:t>
      </w:r>
      <w:r>
        <w:rPr>
          <w:w w:val="105"/>
          <w:sz w:val="21"/>
        </w:rPr>
        <w:t>can</w:t>
      </w:r>
      <w:r>
        <w:rPr>
          <w:spacing w:val="-9"/>
          <w:w w:val="105"/>
          <w:sz w:val="21"/>
        </w:rPr>
        <w:t> </w:t>
      </w:r>
      <w:r>
        <w:rPr>
          <w:w w:val="105"/>
          <w:sz w:val="21"/>
        </w:rPr>
        <w:t>escalate</w:t>
      </w:r>
      <w:r>
        <w:rPr>
          <w:spacing w:val="-9"/>
          <w:w w:val="105"/>
          <w:sz w:val="21"/>
        </w:rPr>
        <w:t> </w:t>
      </w:r>
      <w:r>
        <w:rPr>
          <w:w w:val="105"/>
          <w:sz w:val="21"/>
        </w:rPr>
        <w:t>quickly</w:t>
      </w:r>
      <w:r>
        <w:rPr>
          <w:spacing w:val="-10"/>
          <w:w w:val="105"/>
          <w:sz w:val="21"/>
        </w:rPr>
        <w:t> </w:t>
      </w:r>
      <w:r>
        <w:rPr>
          <w:w w:val="105"/>
          <w:sz w:val="21"/>
        </w:rPr>
        <w:t>with</w:t>
      </w:r>
      <w:r>
        <w:rPr>
          <w:spacing w:val="-9"/>
          <w:w w:val="105"/>
          <w:sz w:val="21"/>
        </w:rPr>
        <w:t> </w:t>
      </w:r>
      <w:r>
        <w:rPr>
          <w:w w:val="105"/>
          <w:sz w:val="21"/>
        </w:rPr>
        <w:t>serious </w:t>
      </w:r>
      <w:r>
        <w:rPr>
          <w:spacing w:val="-4"/>
          <w:w w:val="105"/>
          <w:sz w:val="21"/>
        </w:rPr>
        <w:t>consequences.</w:t>
      </w:r>
      <w:r>
        <w:rPr>
          <w:spacing w:val="-4"/>
          <w:w w:val="105"/>
          <w:position w:val="7"/>
          <w:sz w:val="12"/>
        </w:rPr>
        <w:t>130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r>
        <w:rPr/>
        <w:pict>
          <v:line style="position:absolute;mso-position-horizontal-relative:page;mso-position-vertical-relative:paragraph;z-index:224;mso-wrap-distance-left:0;mso-wrap-distance-right:0" from="79.370102pt,13.743693pt" to="515.905102pt,13.743693pt" stroked="true" strokeweight="1pt" strokecolor="#c9d2cb">
            <v:stroke dashstyle="solid"/>
            <w10:wrap type="topAndBottom"/>
          </v:line>
        </w:pict>
      </w:r>
    </w:p>
    <w:p>
      <w:pPr>
        <w:pStyle w:val="ListParagraph"/>
        <w:numPr>
          <w:ilvl w:val="0"/>
          <w:numId w:val="19"/>
        </w:numPr>
        <w:tabs>
          <w:tab w:pos="2380" w:val="left" w:leader="none"/>
          <w:tab w:pos="2382" w:val="left" w:leader="none"/>
        </w:tabs>
        <w:spacing w:line="240" w:lineRule="auto" w:before="117" w:after="0"/>
        <w:ind w:left="2381" w:right="0" w:hanging="794"/>
        <w:jc w:val="left"/>
        <w:rPr>
          <w:sz w:val="13"/>
        </w:rPr>
      </w:pPr>
      <w:r>
        <w:rPr>
          <w:w w:val="105"/>
          <w:sz w:val="13"/>
        </w:rPr>
        <w:t>Submissions 6 </w:t>
      </w:r>
      <w:r>
        <w:rPr>
          <w:spacing w:val="2"/>
          <w:w w:val="105"/>
          <w:sz w:val="13"/>
        </w:rPr>
        <w:t>(Name </w:t>
      </w:r>
      <w:r>
        <w:rPr>
          <w:w w:val="105"/>
          <w:sz w:val="13"/>
        </w:rPr>
        <w:t>withheld), </w:t>
      </w:r>
      <w:r>
        <w:rPr>
          <w:spacing w:val="-4"/>
          <w:w w:val="105"/>
          <w:sz w:val="13"/>
        </w:rPr>
        <w:t>17 </w:t>
      </w:r>
      <w:r>
        <w:rPr>
          <w:spacing w:val="2"/>
          <w:w w:val="105"/>
          <w:sz w:val="13"/>
        </w:rPr>
        <w:t>(Name </w:t>
      </w:r>
      <w:r>
        <w:rPr>
          <w:w w:val="105"/>
          <w:sz w:val="13"/>
        </w:rPr>
        <w:t>withheld); Consultation 1 (Aldo</w:t>
      </w:r>
      <w:r>
        <w:rPr>
          <w:spacing w:val="20"/>
          <w:w w:val="105"/>
          <w:sz w:val="13"/>
        </w:rPr>
        <w:t> </w:t>
      </w:r>
      <w:r>
        <w:rPr>
          <w:w w:val="105"/>
          <w:sz w:val="13"/>
        </w:rPr>
        <w:t>Taranto).</w:t>
      </w:r>
    </w:p>
    <w:p>
      <w:pPr>
        <w:pStyle w:val="ListParagraph"/>
        <w:numPr>
          <w:ilvl w:val="0"/>
          <w:numId w:val="19"/>
        </w:numPr>
        <w:tabs>
          <w:tab w:pos="2381" w:val="left" w:leader="none"/>
          <w:tab w:pos="2382" w:val="left" w:leader="none"/>
        </w:tabs>
        <w:spacing w:line="240" w:lineRule="auto" w:before="1" w:after="0"/>
        <w:ind w:left="2381" w:right="0" w:hanging="794"/>
        <w:jc w:val="left"/>
        <w:rPr>
          <w:sz w:val="13"/>
        </w:rPr>
      </w:pPr>
      <w:r>
        <w:rPr>
          <w:w w:val="105"/>
          <w:sz w:val="13"/>
        </w:rPr>
        <w:t>Submissions 1 </w:t>
      </w:r>
      <w:r>
        <w:rPr>
          <w:spacing w:val="2"/>
          <w:w w:val="105"/>
          <w:sz w:val="13"/>
        </w:rPr>
        <w:t>(Ian </w:t>
      </w:r>
      <w:r>
        <w:rPr>
          <w:w w:val="105"/>
          <w:sz w:val="13"/>
        </w:rPr>
        <w:t>Collier), </w:t>
      </w:r>
      <w:r>
        <w:rPr>
          <w:spacing w:val="-3"/>
          <w:w w:val="105"/>
          <w:sz w:val="13"/>
        </w:rPr>
        <w:t>19 </w:t>
      </w:r>
      <w:r>
        <w:rPr>
          <w:spacing w:val="2"/>
          <w:w w:val="105"/>
          <w:sz w:val="13"/>
        </w:rPr>
        <w:t>(Name</w:t>
      </w:r>
      <w:r>
        <w:rPr>
          <w:spacing w:val="28"/>
          <w:w w:val="105"/>
          <w:sz w:val="13"/>
        </w:rPr>
        <w:t> </w:t>
      </w:r>
      <w:r>
        <w:rPr>
          <w:w w:val="105"/>
          <w:sz w:val="13"/>
        </w:rPr>
        <w:t>withheld).</w:t>
      </w:r>
    </w:p>
    <w:p>
      <w:pPr>
        <w:pStyle w:val="ListParagraph"/>
        <w:numPr>
          <w:ilvl w:val="0"/>
          <w:numId w:val="19"/>
        </w:numPr>
        <w:tabs>
          <w:tab w:pos="2381" w:val="left" w:leader="none"/>
          <w:tab w:pos="2382" w:val="left" w:leader="none"/>
        </w:tabs>
        <w:spacing w:line="240" w:lineRule="auto" w:before="2" w:after="0"/>
        <w:ind w:left="2381" w:right="0" w:hanging="794"/>
        <w:jc w:val="left"/>
        <w:rPr>
          <w:sz w:val="13"/>
        </w:rPr>
      </w:pPr>
      <w:r>
        <w:rPr>
          <w:w w:val="105"/>
          <w:sz w:val="13"/>
        </w:rPr>
        <w:t>Submissions</w:t>
      </w:r>
      <w:r>
        <w:rPr>
          <w:spacing w:val="4"/>
          <w:w w:val="105"/>
          <w:sz w:val="13"/>
        </w:rPr>
        <w:t> </w:t>
      </w:r>
      <w:r>
        <w:rPr>
          <w:w w:val="105"/>
          <w:sz w:val="13"/>
        </w:rPr>
        <w:t>24</w:t>
      </w:r>
      <w:r>
        <w:rPr>
          <w:spacing w:val="5"/>
          <w:w w:val="105"/>
          <w:sz w:val="13"/>
        </w:rPr>
        <w:t> </w:t>
      </w:r>
      <w:r>
        <w:rPr>
          <w:spacing w:val="2"/>
          <w:w w:val="105"/>
          <w:sz w:val="13"/>
        </w:rPr>
        <w:t>(Name</w:t>
      </w:r>
      <w:r>
        <w:rPr>
          <w:spacing w:val="5"/>
          <w:w w:val="105"/>
          <w:sz w:val="13"/>
        </w:rPr>
        <w:t> </w:t>
      </w:r>
      <w:r>
        <w:rPr>
          <w:w w:val="105"/>
          <w:sz w:val="13"/>
        </w:rPr>
        <w:t>withheld),</w:t>
      </w:r>
      <w:r>
        <w:rPr>
          <w:spacing w:val="4"/>
          <w:w w:val="105"/>
          <w:sz w:val="13"/>
        </w:rPr>
        <w:t> </w:t>
      </w:r>
      <w:r>
        <w:rPr>
          <w:w w:val="105"/>
          <w:sz w:val="13"/>
        </w:rPr>
        <w:t>31</w:t>
      </w:r>
      <w:r>
        <w:rPr>
          <w:spacing w:val="5"/>
          <w:w w:val="105"/>
          <w:sz w:val="13"/>
        </w:rPr>
        <w:t> </w:t>
      </w:r>
      <w:r>
        <w:rPr>
          <w:spacing w:val="2"/>
          <w:w w:val="105"/>
          <w:sz w:val="13"/>
        </w:rPr>
        <w:t>(Barwon</w:t>
      </w:r>
      <w:r>
        <w:rPr>
          <w:spacing w:val="5"/>
          <w:w w:val="105"/>
          <w:sz w:val="13"/>
        </w:rPr>
        <w:t> </w:t>
      </w:r>
      <w:r>
        <w:rPr>
          <w:w w:val="105"/>
          <w:sz w:val="13"/>
        </w:rPr>
        <w:t>Community</w:t>
      </w:r>
      <w:r>
        <w:rPr>
          <w:spacing w:val="4"/>
          <w:w w:val="105"/>
          <w:sz w:val="13"/>
        </w:rPr>
        <w:t> </w:t>
      </w:r>
      <w:r>
        <w:rPr>
          <w:w w:val="105"/>
          <w:sz w:val="13"/>
        </w:rPr>
        <w:t>Legal</w:t>
      </w:r>
      <w:r>
        <w:rPr>
          <w:spacing w:val="5"/>
          <w:w w:val="105"/>
          <w:sz w:val="13"/>
        </w:rPr>
        <w:t> </w:t>
      </w:r>
      <w:r>
        <w:rPr>
          <w:spacing w:val="2"/>
          <w:w w:val="105"/>
          <w:sz w:val="13"/>
        </w:rPr>
        <w:t>Service);</w:t>
      </w:r>
      <w:r>
        <w:rPr>
          <w:spacing w:val="5"/>
          <w:w w:val="105"/>
          <w:sz w:val="13"/>
        </w:rPr>
        <w:t> </w:t>
      </w:r>
      <w:r>
        <w:rPr>
          <w:w w:val="105"/>
          <w:sz w:val="13"/>
        </w:rPr>
        <w:t>Survey</w:t>
      </w:r>
      <w:r>
        <w:rPr>
          <w:spacing w:val="4"/>
          <w:w w:val="105"/>
          <w:sz w:val="13"/>
        </w:rPr>
        <w:t> </w:t>
      </w:r>
      <w:r>
        <w:rPr>
          <w:w w:val="105"/>
          <w:sz w:val="13"/>
        </w:rPr>
        <w:t>Respondent</w:t>
      </w:r>
      <w:r>
        <w:rPr>
          <w:spacing w:val="5"/>
          <w:w w:val="105"/>
          <w:sz w:val="13"/>
        </w:rPr>
        <w:t> </w:t>
      </w:r>
      <w:r>
        <w:rPr>
          <w:w w:val="105"/>
          <w:sz w:val="13"/>
        </w:rPr>
        <w:t>6.</w:t>
      </w:r>
    </w:p>
    <w:p>
      <w:pPr>
        <w:pStyle w:val="ListParagraph"/>
        <w:numPr>
          <w:ilvl w:val="0"/>
          <w:numId w:val="19"/>
        </w:numPr>
        <w:tabs>
          <w:tab w:pos="2381" w:val="left" w:leader="none"/>
          <w:tab w:pos="2382" w:val="left" w:leader="none"/>
        </w:tabs>
        <w:spacing w:line="240" w:lineRule="auto" w:before="1" w:after="0"/>
        <w:ind w:left="2381" w:right="0" w:hanging="794"/>
        <w:jc w:val="left"/>
        <w:rPr>
          <w:sz w:val="13"/>
        </w:rPr>
      </w:pPr>
      <w:r>
        <w:rPr>
          <w:w w:val="105"/>
          <w:sz w:val="13"/>
        </w:rPr>
        <w:t>Consultation 1 (Aldo Taranto); Survey Respondent</w:t>
      </w:r>
      <w:r>
        <w:rPr>
          <w:spacing w:val="28"/>
          <w:w w:val="105"/>
          <w:sz w:val="13"/>
        </w:rPr>
        <w:t> </w:t>
      </w:r>
      <w:r>
        <w:rPr>
          <w:spacing w:val="-4"/>
          <w:w w:val="105"/>
          <w:sz w:val="13"/>
        </w:rPr>
        <w:t>61.</w:t>
      </w:r>
    </w:p>
    <w:p>
      <w:pPr>
        <w:pStyle w:val="ListParagraph"/>
        <w:numPr>
          <w:ilvl w:val="0"/>
          <w:numId w:val="19"/>
        </w:numPr>
        <w:tabs>
          <w:tab w:pos="2381" w:val="left" w:leader="none"/>
          <w:tab w:pos="2382" w:val="left" w:leader="none"/>
        </w:tabs>
        <w:spacing w:line="240" w:lineRule="auto" w:before="1" w:after="0"/>
        <w:ind w:left="2381" w:right="0" w:hanging="794"/>
        <w:jc w:val="left"/>
        <w:rPr>
          <w:sz w:val="13"/>
        </w:rPr>
      </w:pPr>
      <w:r>
        <w:rPr>
          <w:w w:val="105"/>
          <w:sz w:val="13"/>
        </w:rPr>
        <w:t>Survey Respondent</w:t>
      </w:r>
      <w:r>
        <w:rPr>
          <w:spacing w:val="9"/>
          <w:w w:val="105"/>
          <w:sz w:val="13"/>
        </w:rPr>
        <w:t> </w:t>
      </w:r>
      <w:r>
        <w:rPr>
          <w:w w:val="105"/>
          <w:sz w:val="13"/>
        </w:rPr>
        <w:t>99.</w:t>
      </w:r>
    </w:p>
    <w:p>
      <w:pPr>
        <w:pStyle w:val="ListParagraph"/>
        <w:numPr>
          <w:ilvl w:val="0"/>
          <w:numId w:val="19"/>
        </w:numPr>
        <w:tabs>
          <w:tab w:pos="2381" w:val="left" w:leader="none"/>
          <w:tab w:pos="2382" w:val="left" w:leader="none"/>
        </w:tabs>
        <w:spacing w:line="240" w:lineRule="auto" w:before="2" w:after="0"/>
        <w:ind w:left="2381" w:right="0" w:hanging="794"/>
        <w:jc w:val="left"/>
        <w:rPr>
          <w:sz w:val="13"/>
        </w:rPr>
      </w:pPr>
      <w:r>
        <w:rPr>
          <w:w w:val="105"/>
          <w:sz w:val="13"/>
        </w:rPr>
        <w:t>Submission 22 </w:t>
      </w:r>
      <w:r>
        <w:rPr>
          <w:spacing w:val="2"/>
          <w:w w:val="105"/>
          <w:sz w:val="13"/>
        </w:rPr>
        <w:t>(Name</w:t>
      </w:r>
      <w:r>
        <w:rPr>
          <w:spacing w:val="13"/>
          <w:w w:val="105"/>
          <w:sz w:val="13"/>
        </w:rPr>
        <w:t> </w:t>
      </w:r>
      <w:r>
        <w:rPr>
          <w:w w:val="105"/>
          <w:sz w:val="13"/>
        </w:rPr>
        <w:t>withheld).</w:t>
      </w:r>
    </w:p>
    <w:p>
      <w:pPr>
        <w:pStyle w:val="ListParagraph"/>
        <w:numPr>
          <w:ilvl w:val="0"/>
          <w:numId w:val="19"/>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22</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24</w:t>
      </w:r>
      <w:r>
        <w:rPr>
          <w:spacing w:val="5"/>
          <w:w w:val="105"/>
          <w:sz w:val="13"/>
        </w:rPr>
        <w:t> </w:t>
      </w:r>
      <w:r>
        <w:rPr>
          <w:spacing w:val="2"/>
          <w:w w:val="105"/>
          <w:sz w:val="13"/>
        </w:rPr>
        <w:t>(Name</w:t>
      </w:r>
      <w:r>
        <w:rPr>
          <w:spacing w:val="5"/>
          <w:w w:val="105"/>
          <w:sz w:val="13"/>
        </w:rPr>
        <w:t> </w:t>
      </w:r>
      <w:r>
        <w:rPr>
          <w:w w:val="105"/>
          <w:sz w:val="13"/>
        </w:rPr>
        <w:t>withheld),</w:t>
      </w:r>
      <w:r>
        <w:rPr>
          <w:spacing w:val="4"/>
          <w:w w:val="105"/>
          <w:sz w:val="13"/>
        </w:rPr>
        <w:t> </w:t>
      </w:r>
      <w:r>
        <w:rPr>
          <w:w w:val="105"/>
          <w:sz w:val="13"/>
        </w:rPr>
        <w:t>36</w:t>
      </w:r>
      <w:r>
        <w:rPr>
          <w:spacing w:val="5"/>
          <w:w w:val="105"/>
          <w:sz w:val="13"/>
        </w:rPr>
        <w:t> </w:t>
      </w:r>
      <w:r>
        <w:rPr>
          <w:w w:val="105"/>
          <w:sz w:val="13"/>
        </w:rPr>
        <w:t>(Monique</w:t>
      </w:r>
      <w:r>
        <w:rPr>
          <w:spacing w:val="5"/>
          <w:w w:val="105"/>
          <w:sz w:val="13"/>
        </w:rPr>
        <w:t> </w:t>
      </w:r>
      <w:r>
        <w:rPr>
          <w:spacing w:val="2"/>
          <w:w w:val="105"/>
          <w:sz w:val="13"/>
        </w:rPr>
        <w:t>Onezime);</w:t>
      </w:r>
      <w:r>
        <w:rPr>
          <w:spacing w:val="5"/>
          <w:w w:val="105"/>
          <w:sz w:val="13"/>
        </w:rPr>
        <w:t> </w:t>
      </w:r>
      <w:r>
        <w:rPr>
          <w:w w:val="105"/>
          <w:sz w:val="13"/>
        </w:rPr>
        <w:t>Survey</w:t>
      </w:r>
      <w:r>
        <w:rPr>
          <w:spacing w:val="5"/>
          <w:w w:val="105"/>
          <w:sz w:val="13"/>
        </w:rPr>
        <w:t> </w:t>
      </w:r>
      <w:r>
        <w:rPr>
          <w:w w:val="105"/>
          <w:sz w:val="13"/>
        </w:rPr>
        <w:t>Respondent</w:t>
      </w:r>
      <w:r>
        <w:rPr>
          <w:spacing w:val="5"/>
          <w:w w:val="105"/>
          <w:sz w:val="13"/>
        </w:rPr>
        <w:t> </w:t>
      </w:r>
      <w:r>
        <w:rPr>
          <w:w w:val="105"/>
          <w:sz w:val="13"/>
        </w:rPr>
        <w:t>108.</w:t>
      </w:r>
    </w:p>
    <w:p>
      <w:pPr>
        <w:pStyle w:val="ListParagraph"/>
        <w:numPr>
          <w:ilvl w:val="0"/>
          <w:numId w:val="19"/>
        </w:numPr>
        <w:tabs>
          <w:tab w:pos="2381" w:val="left" w:leader="none"/>
          <w:tab w:pos="2382" w:val="left" w:leader="none"/>
        </w:tabs>
        <w:spacing w:line="240" w:lineRule="auto" w:before="1" w:after="0"/>
        <w:ind w:left="2381" w:right="0" w:hanging="794"/>
        <w:jc w:val="left"/>
        <w:rPr>
          <w:sz w:val="13"/>
        </w:rPr>
      </w:pPr>
      <w:r>
        <w:rPr>
          <w:w w:val="105"/>
          <w:sz w:val="13"/>
        </w:rPr>
        <w:t>Submissions 24 </w:t>
      </w:r>
      <w:r>
        <w:rPr>
          <w:spacing w:val="2"/>
          <w:w w:val="105"/>
          <w:sz w:val="13"/>
        </w:rPr>
        <w:t>(Name </w:t>
      </w:r>
      <w:r>
        <w:rPr>
          <w:w w:val="105"/>
          <w:sz w:val="13"/>
        </w:rPr>
        <w:t>withheld); Survey Respondent</w:t>
      </w:r>
      <w:r>
        <w:rPr>
          <w:spacing w:val="25"/>
          <w:w w:val="105"/>
          <w:sz w:val="13"/>
        </w:rPr>
        <w:t> </w:t>
      </w:r>
      <w:r>
        <w:rPr>
          <w:spacing w:val="2"/>
          <w:w w:val="105"/>
          <w:sz w:val="13"/>
        </w:rPr>
        <w:t>44.</w:t>
      </w:r>
    </w:p>
    <w:p>
      <w:pPr>
        <w:pStyle w:val="ListParagraph"/>
        <w:numPr>
          <w:ilvl w:val="0"/>
          <w:numId w:val="19"/>
        </w:numPr>
        <w:tabs>
          <w:tab w:pos="2381" w:val="left" w:leader="none"/>
          <w:tab w:pos="2382" w:val="left" w:leader="none"/>
        </w:tabs>
        <w:spacing w:line="240" w:lineRule="auto" w:before="2" w:after="0"/>
        <w:ind w:left="2381" w:right="0" w:hanging="794"/>
        <w:jc w:val="left"/>
        <w:rPr>
          <w:sz w:val="13"/>
        </w:rPr>
      </w:pPr>
      <w:r>
        <w:rPr>
          <w:w w:val="105"/>
          <w:sz w:val="13"/>
        </w:rPr>
        <w:t>Tasmania</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Institute,</w:t>
      </w:r>
      <w:r>
        <w:rPr>
          <w:spacing w:val="5"/>
          <w:w w:val="105"/>
          <w:sz w:val="13"/>
        </w:rPr>
        <w:t> </w:t>
      </w:r>
      <w:r>
        <w:rPr>
          <w:i/>
          <w:w w:val="105"/>
          <w:sz w:val="13"/>
        </w:rPr>
        <w:t>Problem</w:t>
      </w:r>
      <w:r>
        <w:rPr>
          <w:i/>
          <w:spacing w:val="5"/>
          <w:w w:val="105"/>
          <w:sz w:val="13"/>
        </w:rPr>
        <w:t> </w:t>
      </w:r>
      <w:r>
        <w:rPr>
          <w:i/>
          <w:w w:val="105"/>
          <w:sz w:val="13"/>
        </w:rPr>
        <w:t>Trees</w:t>
      </w:r>
      <w:r>
        <w:rPr>
          <w:i/>
          <w:spacing w:val="5"/>
          <w:w w:val="105"/>
          <w:sz w:val="13"/>
        </w:rPr>
        <w:t> </w:t>
      </w:r>
      <w:r>
        <w:rPr>
          <w:i/>
          <w:w w:val="105"/>
          <w:sz w:val="13"/>
        </w:rPr>
        <w:t>and</w:t>
      </w:r>
      <w:r>
        <w:rPr>
          <w:i/>
          <w:spacing w:val="5"/>
          <w:w w:val="105"/>
          <w:sz w:val="13"/>
        </w:rPr>
        <w:t> </w:t>
      </w:r>
      <w:r>
        <w:rPr>
          <w:i/>
          <w:w w:val="105"/>
          <w:sz w:val="13"/>
        </w:rPr>
        <w:t>Hedges:</w:t>
      </w:r>
      <w:r>
        <w:rPr>
          <w:i/>
          <w:spacing w:val="5"/>
          <w:w w:val="105"/>
          <w:sz w:val="13"/>
        </w:rPr>
        <w:t> </w:t>
      </w:r>
      <w:r>
        <w:rPr>
          <w:i/>
          <w:w w:val="105"/>
          <w:sz w:val="13"/>
        </w:rPr>
        <w:t>Access</w:t>
      </w:r>
      <w:r>
        <w:rPr>
          <w:i/>
          <w:spacing w:val="5"/>
          <w:w w:val="105"/>
          <w:sz w:val="13"/>
        </w:rPr>
        <w:t> </w:t>
      </w:r>
      <w:r>
        <w:rPr>
          <w:i/>
          <w:w w:val="105"/>
          <w:sz w:val="13"/>
        </w:rPr>
        <w:t>to</w:t>
      </w:r>
      <w:r>
        <w:rPr>
          <w:i/>
          <w:spacing w:val="5"/>
          <w:w w:val="105"/>
          <w:sz w:val="13"/>
        </w:rPr>
        <w:t> </w:t>
      </w:r>
      <w:r>
        <w:rPr>
          <w:i/>
          <w:w w:val="105"/>
          <w:sz w:val="13"/>
        </w:rPr>
        <w:t>Sunlight</w:t>
      </w:r>
      <w:r>
        <w:rPr>
          <w:i/>
          <w:spacing w:val="5"/>
          <w:w w:val="105"/>
          <w:sz w:val="13"/>
        </w:rPr>
        <w:t> </w:t>
      </w:r>
      <w:r>
        <w:rPr>
          <w:i/>
          <w:w w:val="105"/>
          <w:sz w:val="13"/>
        </w:rPr>
        <w:t>and</w:t>
      </w:r>
      <w:r>
        <w:rPr>
          <w:i/>
          <w:spacing w:val="5"/>
          <w:w w:val="105"/>
          <w:sz w:val="13"/>
        </w:rPr>
        <w:t> </w:t>
      </w:r>
      <w:r>
        <w:rPr>
          <w:i/>
          <w:w w:val="105"/>
          <w:sz w:val="13"/>
        </w:rPr>
        <w:t>Views</w:t>
      </w:r>
      <w:r>
        <w:rPr>
          <w:i/>
          <w:spacing w:val="5"/>
          <w:w w:val="105"/>
          <w:sz w:val="13"/>
        </w:rPr>
        <w:t> </w:t>
      </w:r>
      <w:r>
        <w:rPr>
          <w:spacing w:val="2"/>
          <w:w w:val="105"/>
          <w:sz w:val="13"/>
        </w:rPr>
        <w:t>(Report</w:t>
      </w:r>
      <w:r>
        <w:rPr>
          <w:spacing w:val="5"/>
          <w:w w:val="105"/>
          <w:sz w:val="13"/>
        </w:rPr>
        <w:t> </w:t>
      </w:r>
      <w:r>
        <w:rPr>
          <w:w w:val="105"/>
          <w:sz w:val="13"/>
        </w:rPr>
        <w:t>No</w:t>
      </w:r>
      <w:r>
        <w:rPr>
          <w:spacing w:val="5"/>
          <w:w w:val="105"/>
          <w:sz w:val="13"/>
        </w:rPr>
        <w:t> </w:t>
      </w:r>
      <w:r>
        <w:rPr>
          <w:spacing w:val="-4"/>
          <w:w w:val="105"/>
          <w:sz w:val="13"/>
        </w:rPr>
        <w:t>21,</w:t>
      </w:r>
      <w:r>
        <w:rPr>
          <w:spacing w:val="5"/>
          <w:w w:val="105"/>
          <w:sz w:val="13"/>
        </w:rPr>
        <w:t> </w:t>
      </w:r>
      <w:r>
        <w:rPr>
          <w:w w:val="105"/>
          <w:sz w:val="13"/>
        </w:rPr>
        <w:t>January</w:t>
      </w:r>
      <w:r>
        <w:rPr>
          <w:spacing w:val="5"/>
          <w:w w:val="105"/>
          <w:sz w:val="13"/>
        </w:rPr>
        <w:t> </w:t>
      </w:r>
      <w:r>
        <w:rPr>
          <w:w w:val="105"/>
          <w:sz w:val="13"/>
        </w:rPr>
        <w:t>2016)</w:t>
      </w:r>
      <w:r>
        <w:rPr>
          <w:spacing w:val="5"/>
          <w:w w:val="105"/>
          <w:sz w:val="13"/>
        </w:rPr>
        <w:t> </w:t>
      </w:r>
      <w:r>
        <w:rPr>
          <w:w w:val="105"/>
          <w:sz w:val="13"/>
        </w:rPr>
        <w:t>8.</w:t>
      </w:r>
    </w:p>
    <w:p>
      <w:pPr>
        <w:pStyle w:val="ListParagraph"/>
        <w:numPr>
          <w:ilvl w:val="0"/>
          <w:numId w:val="19"/>
        </w:numPr>
        <w:tabs>
          <w:tab w:pos="2381" w:val="left" w:leader="none"/>
          <w:tab w:pos="2382" w:val="left" w:leader="none"/>
        </w:tabs>
        <w:spacing w:line="240" w:lineRule="auto" w:before="1" w:after="0"/>
        <w:ind w:left="2381" w:right="1842" w:hanging="794"/>
        <w:jc w:val="left"/>
        <w:rPr>
          <w:sz w:val="13"/>
        </w:rPr>
      </w:pPr>
      <w:r>
        <w:rPr>
          <w:w w:val="105"/>
          <w:sz w:val="13"/>
        </w:rPr>
        <w:t>Victoria Legal Aid, </w:t>
      </w:r>
      <w:r>
        <w:rPr>
          <w:i/>
          <w:w w:val="105"/>
          <w:sz w:val="13"/>
        </w:rPr>
        <w:t>Disputes With Neighbours </w:t>
      </w:r>
      <w:r>
        <w:rPr>
          <w:w w:val="105"/>
          <w:sz w:val="13"/>
        </w:rPr>
        <w:t>(Web Page, 25 March 2019) &lt;</w:t>
      </w:r>
      <w:hyperlink r:id="rId41">
        <w:r>
          <w:rPr>
            <w:w w:val="105"/>
            <w:sz w:val="13"/>
          </w:rPr>
          <w:t>www.legalaid.vic.gov.au/find-legal-answers/disputes-with-</w:t>
        </w:r>
      </w:hyperlink>
      <w:r>
        <w:rPr>
          <w:w w:val="105"/>
          <w:sz w:val="13"/>
        </w:rPr>
        <w:t> neighbours&gt;;</w:t>
      </w:r>
      <w:r>
        <w:rPr>
          <w:spacing w:val="8"/>
          <w:w w:val="105"/>
          <w:sz w:val="13"/>
        </w:rPr>
        <w:t> </w:t>
      </w:r>
      <w:r>
        <w:rPr>
          <w:w w:val="105"/>
          <w:sz w:val="13"/>
        </w:rPr>
        <w:t>Tasmania</w:t>
      </w:r>
      <w:r>
        <w:rPr>
          <w:spacing w:val="8"/>
          <w:w w:val="105"/>
          <w:sz w:val="13"/>
        </w:rPr>
        <w:t> </w:t>
      </w:r>
      <w:r>
        <w:rPr>
          <w:w w:val="105"/>
          <w:sz w:val="13"/>
        </w:rPr>
        <w:t>Law</w:t>
      </w:r>
      <w:r>
        <w:rPr>
          <w:spacing w:val="8"/>
          <w:w w:val="105"/>
          <w:sz w:val="13"/>
        </w:rPr>
        <w:t> </w:t>
      </w:r>
      <w:r>
        <w:rPr>
          <w:w w:val="105"/>
          <w:sz w:val="13"/>
        </w:rPr>
        <w:t>Reform</w:t>
      </w:r>
      <w:r>
        <w:rPr>
          <w:spacing w:val="8"/>
          <w:w w:val="105"/>
          <w:sz w:val="13"/>
        </w:rPr>
        <w:t> </w:t>
      </w:r>
      <w:r>
        <w:rPr>
          <w:w w:val="105"/>
          <w:sz w:val="13"/>
        </w:rPr>
        <w:t>Institute,</w:t>
      </w:r>
      <w:r>
        <w:rPr>
          <w:spacing w:val="8"/>
          <w:w w:val="105"/>
          <w:sz w:val="13"/>
        </w:rPr>
        <w:t> </w:t>
      </w:r>
      <w:r>
        <w:rPr>
          <w:i/>
          <w:w w:val="105"/>
          <w:sz w:val="13"/>
        </w:rPr>
        <w:t>Problem</w:t>
      </w:r>
      <w:r>
        <w:rPr>
          <w:i/>
          <w:spacing w:val="8"/>
          <w:w w:val="105"/>
          <w:sz w:val="13"/>
        </w:rPr>
        <w:t> </w:t>
      </w:r>
      <w:r>
        <w:rPr>
          <w:i/>
          <w:w w:val="105"/>
          <w:sz w:val="13"/>
        </w:rPr>
        <w:t>Trees</w:t>
      </w:r>
      <w:r>
        <w:rPr>
          <w:i/>
          <w:spacing w:val="8"/>
          <w:w w:val="105"/>
          <w:sz w:val="13"/>
        </w:rPr>
        <w:t> </w:t>
      </w:r>
      <w:r>
        <w:rPr>
          <w:i/>
          <w:w w:val="105"/>
          <w:sz w:val="13"/>
        </w:rPr>
        <w:t>and</w:t>
      </w:r>
      <w:r>
        <w:rPr>
          <w:i/>
          <w:spacing w:val="8"/>
          <w:w w:val="105"/>
          <w:sz w:val="13"/>
        </w:rPr>
        <w:t> </w:t>
      </w:r>
      <w:r>
        <w:rPr>
          <w:i/>
          <w:w w:val="105"/>
          <w:sz w:val="13"/>
        </w:rPr>
        <w:t>Hedges:</w:t>
      </w:r>
      <w:r>
        <w:rPr>
          <w:i/>
          <w:spacing w:val="8"/>
          <w:w w:val="105"/>
          <w:sz w:val="13"/>
        </w:rPr>
        <w:t> </w:t>
      </w:r>
      <w:r>
        <w:rPr>
          <w:i/>
          <w:w w:val="105"/>
          <w:sz w:val="13"/>
        </w:rPr>
        <w:t>Access</w:t>
      </w:r>
      <w:r>
        <w:rPr>
          <w:i/>
          <w:spacing w:val="8"/>
          <w:w w:val="105"/>
          <w:sz w:val="13"/>
        </w:rPr>
        <w:t> </w:t>
      </w:r>
      <w:r>
        <w:rPr>
          <w:i/>
          <w:w w:val="105"/>
          <w:sz w:val="13"/>
        </w:rPr>
        <w:t>to</w:t>
      </w:r>
      <w:r>
        <w:rPr>
          <w:i/>
          <w:spacing w:val="8"/>
          <w:w w:val="105"/>
          <w:sz w:val="13"/>
        </w:rPr>
        <w:t> </w:t>
      </w:r>
      <w:r>
        <w:rPr>
          <w:i/>
          <w:w w:val="105"/>
          <w:sz w:val="13"/>
        </w:rPr>
        <w:t>Sunlight</w:t>
      </w:r>
      <w:r>
        <w:rPr>
          <w:i/>
          <w:spacing w:val="8"/>
          <w:w w:val="105"/>
          <w:sz w:val="13"/>
        </w:rPr>
        <w:t> </w:t>
      </w:r>
      <w:r>
        <w:rPr>
          <w:i/>
          <w:w w:val="105"/>
          <w:sz w:val="13"/>
        </w:rPr>
        <w:t>and</w:t>
      </w:r>
      <w:r>
        <w:rPr>
          <w:i/>
          <w:spacing w:val="8"/>
          <w:w w:val="105"/>
          <w:sz w:val="13"/>
        </w:rPr>
        <w:t> </w:t>
      </w:r>
      <w:r>
        <w:rPr>
          <w:i/>
          <w:w w:val="105"/>
          <w:sz w:val="13"/>
        </w:rPr>
        <w:t>Views</w:t>
      </w:r>
      <w:r>
        <w:rPr>
          <w:i/>
          <w:spacing w:val="8"/>
          <w:w w:val="105"/>
          <w:sz w:val="13"/>
        </w:rPr>
        <w:t> </w:t>
      </w:r>
      <w:r>
        <w:rPr>
          <w:spacing w:val="2"/>
          <w:w w:val="105"/>
          <w:sz w:val="13"/>
        </w:rPr>
        <w:t>(Report</w:t>
      </w:r>
      <w:r>
        <w:rPr>
          <w:spacing w:val="8"/>
          <w:w w:val="105"/>
          <w:sz w:val="13"/>
        </w:rPr>
        <w:t> </w:t>
      </w:r>
      <w:r>
        <w:rPr>
          <w:w w:val="105"/>
          <w:sz w:val="13"/>
        </w:rPr>
        <w:t>No</w:t>
      </w:r>
      <w:r>
        <w:rPr>
          <w:spacing w:val="9"/>
          <w:w w:val="105"/>
          <w:sz w:val="13"/>
        </w:rPr>
        <w:t> </w:t>
      </w:r>
      <w:r>
        <w:rPr>
          <w:spacing w:val="-4"/>
          <w:w w:val="105"/>
          <w:sz w:val="13"/>
        </w:rPr>
        <w:t>21,</w:t>
      </w:r>
      <w:r>
        <w:rPr>
          <w:spacing w:val="8"/>
          <w:w w:val="105"/>
          <w:sz w:val="13"/>
        </w:rPr>
        <w:t> </w:t>
      </w:r>
      <w:r>
        <w:rPr>
          <w:w w:val="105"/>
          <w:sz w:val="13"/>
        </w:rPr>
        <w:t>January</w:t>
      </w:r>
      <w:r>
        <w:rPr>
          <w:spacing w:val="8"/>
          <w:w w:val="105"/>
          <w:sz w:val="13"/>
        </w:rPr>
        <w:t> </w:t>
      </w:r>
      <w:r>
        <w:rPr>
          <w:w w:val="105"/>
          <w:sz w:val="13"/>
        </w:rPr>
        <w:t>2016)</w:t>
      </w:r>
      <w:r>
        <w:rPr>
          <w:spacing w:val="8"/>
          <w:w w:val="105"/>
          <w:sz w:val="13"/>
        </w:rPr>
        <w:t> </w:t>
      </w:r>
      <w:r>
        <w:rPr>
          <w:w w:val="105"/>
          <w:sz w:val="13"/>
        </w:rPr>
        <w:t>8.</w:t>
      </w:r>
    </w:p>
    <w:p>
      <w:pPr>
        <w:pStyle w:val="ListParagraph"/>
        <w:numPr>
          <w:ilvl w:val="0"/>
          <w:numId w:val="19"/>
        </w:numPr>
        <w:tabs>
          <w:tab w:pos="2381" w:val="left" w:leader="none"/>
          <w:tab w:pos="2382" w:val="left" w:leader="none"/>
        </w:tabs>
        <w:spacing w:line="240" w:lineRule="auto" w:before="3" w:after="0"/>
        <w:ind w:left="2381" w:right="1798" w:hanging="794"/>
        <w:jc w:val="left"/>
        <w:rPr>
          <w:sz w:val="13"/>
        </w:rPr>
      </w:pPr>
      <w:r>
        <w:rPr>
          <w:w w:val="105"/>
          <w:sz w:val="13"/>
        </w:rPr>
        <w:t>Submissions 6 </w:t>
      </w:r>
      <w:r>
        <w:rPr>
          <w:spacing w:val="2"/>
          <w:w w:val="105"/>
          <w:sz w:val="13"/>
        </w:rPr>
        <w:t>(Name </w:t>
      </w:r>
      <w:r>
        <w:rPr>
          <w:w w:val="105"/>
          <w:sz w:val="13"/>
        </w:rPr>
        <w:t>withheld); </w:t>
      </w:r>
      <w:r>
        <w:rPr>
          <w:spacing w:val="-4"/>
          <w:w w:val="105"/>
          <w:sz w:val="13"/>
        </w:rPr>
        <w:t>17 </w:t>
      </w:r>
      <w:r>
        <w:rPr>
          <w:spacing w:val="2"/>
          <w:w w:val="105"/>
          <w:sz w:val="13"/>
        </w:rPr>
        <w:t>(Name </w:t>
      </w:r>
      <w:r>
        <w:rPr>
          <w:w w:val="105"/>
          <w:sz w:val="13"/>
        </w:rPr>
        <w:t>withheld); 22 </w:t>
      </w:r>
      <w:r>
        <w:rPr>
          <w:spacing w:val="2"/>
          <w:w w:val="105"/>
          <w:sz w:val="13"/>
        </w:rPr>
        <w:t>(Name </w:t>
      </w:r>
      <w:r>
        <w:rPr>
          <w:w w:val="105"/>
          <w:sz w:val="13"/>
        </w:rPr>
        <w:t>withheld), 24 </w:t>
      </w:r>
      <w:r>
        <w:rPr>
          <w:spacing w:val="2"/>
          <w:w w:val="105"/>
          <w:sz w:val="13"/>
        </w:rPr>
        <w:t>(Name </w:t>
      </w:r>
      <w:r>
        <w:rPr>
          <w:w w:val="105"/>
          <w:sz w:val="13"/>
        </w:rPr>
        <w:t>withheld), 36 (Monique </w:t>
      </w:r>
      <w:r>
        <w:rPr>
          <w:spacing w:val="2"/>
          <w:w w:val="105"/>
          <w:sz w:val="13"/>
        </w:rPr>
        <w:t>Onezime); </w:t>
      </w:r>
      <w:r>
        <w:rPr>
          <w:w w:val="105"/>
          <w:sz w:val="13"/>
        </w:rPr>
        <w:t>Survey Respondents </w:t>
      </w:r>
      <w:r>
        <w:rPr>
          <w:spacing w:val="2"/>
          <w:w w:val="105"/>
          <w:sz w:val="13"/>
        </w:rPr>
        <w:t>44, </w:t>
      </w:r>
      <w:r>
        <w:rPr>
          <w:spacing w:val="-4"/>
          <w:w w:val="105"/>
          <w:sz w:val="13"/>
        </w:rPr>
        <w:t>61, </w:t>
      </w:r>
      <w:r>
        <w:rPr>
          <w:w w:val="105"/>
          <w:sz w:val="13"/>
        </w:rPr>
        <w:t>108; Lynda Cheshire and Robin Fitzgerald, ‘From Private Nuisance to Criminal Behaviour: Neighbour Problems and Neighbourhood Context in an Australian City’ (2015) </w:t>
      </w:r>
      <w:r>
        <w:rPr>
          <w:spacing w:val="4"/>
          <w:w w:val="105"/>
          <w:sz w:val="13"/>
        </w:rPr>
        <w:t>30(3) </w:t>
      </w:r>
      <w:r>
        <w:rPr>
          <w:i/>
          <w:w w:val="105"/>
          <w:sz w:val="13"/>
        </w:rPr>
        <w:t>Housing Studies </w:t>
      </w:r>
      <w:r>
        <w:rPr>
          <w:w w:val="105"/>
          <w:sz w:val="13"/>
        </w:rPr>
        <w:t>100, </w:t>
      </w:r>
      <w:r>
        <w:rPr>
          <w:spacing w:val="-3"/>
          <w:w w:val="105"/>
          <w:sz w:val="13"/>
        </w:rPr>
        <w:t>101; </w:t>
      </w:r>
      <w:r>
        <w:rPr>
          <w:w w:val="105"/>
          <w:sz w:val="13"/>
        </w:rPr>
        <w:t>Mediation </w:t>
      </w:r>
      <w:r>
        <w:rPr>
          <w:spacing w:val="2"/>
          <w:w w:val="105"/>
          <w:sz w:val="13"/>
        </w:rPr>
        <w:t>SA, </w:t>
      </w:r>
      <w:r>
        <w:rPr>
          <w:i/>
          <w:w w:val="105"/>
          <w:sz w:val="13"/>
        </w:rPr>
        <w:t>Preventing Conflicts in the Modern </w:t>
      </w:r>
      <w:r>
        <w:rPr>
          <w:i/>
          <w:w w:val="105"/>
          <w:sz w:val="13"/>
        </w:rPr>
        <w:t>Neighbourhood:</w:t>
      </w:r>
      <w:r>
        <w:rPr>
          <w:i/>
          <w:spacing w:val="5"/>
          <w:w w:val="105"/>
          <w:sz w:val="13"/>
        </w:rPr>
        <w:t> </w:t>
      </w:r>
      <w:r>
        <w:rPr>
          <w:i/>
          <w:w w:val="105"/>
          <w:sz w:val="13"/>
        </w:rPr>
        <w:t>Tips</w:t>
      </w:r>
      <w:r>
        <w:rPr>
          <w:i/>
          <w:spacing w:val="5"/>
          <w:w w:val="105"/>
          <w:sz w:val="13"/>
        </w:rPr>
        <w:t> </w:t>
      </w:r>
      <w:r>
        <w:rPr>
          <w:i/>
          <w:w w:val="105"/>
          <w:sz w:val="13"/>
        </w:rPr>
        <w:t>on</w:t>
      </w:r>
      <w:r>
        <w:rPr>
          <w:i/>
          <w:spacing w:val="5"/>
          <w:w w:val="105"/>
          <w:sz w:val="13"/>
        </w:rPr>
        <w:t> </w:t>
      </w:r>
      <w:r>
        <w:rPr>
          <w:i/>
          <w:w w:val="105"/>
          <w:sz w:val="13"/>
        </w:rPr>
        <w:t>Being</w:t>
      </w:r>
      <w:r>
        <w:rPr>
          <w:i/>
          <w:spacing w:val="6"/>
          <w:w w:val="105"/>
          <w:sz w:val="13"/>
        </w:rPr>
        <w:t> </w:t>
      </w:r>
      <w:r>
        <w:rPr>
          <w:i/>
          <w:w w:val="105"/>
          <w:sz w:val="13"/>
        </w:rPr>
        <w:t>a</w:t>
      </w:r>
      <w:r>
        <w:rPr>
          <w:i/>
          <w:spacing w:val="5"/>
          <w:w w:val="105"/>
          <w:sz w:val="13"/>
        </w:rPr>
        <w:t> </w:t>
      </w:r>
      <w:r>
        <w:rPr>
          <w:i/>
          <w:w w:val="105"/>
          <w:sz w:val="13"/>
        </w:rPr>
        <w:t>Good</w:t>
      </w:r>
      <w:r>
        <w:rPr>
          <w:i/>
          <w:spacing w:val="5"/>
          <w:w w:val="105"/>
          <w:sz w:val="13"/>
        </w:rPr>
        <w:t> </w:t>
      </w:r>
      <w:r>
        <w:rPr>
          <w:i/>
          <w:w w:val="105"/>
          <w:sz w:val="13"/>
        </w:rPr>
        <w:t>Neighbour</w:t>
      </w:r>
      <w:r>
        <w:rPr>
          <w:i/>
          <w:spacing w:val="6"/>
          <w:w w:val="105"/>
          <w:sz w:val="13"/>
        </w:rPr>
        <w:t> </w:t>
      </w:r>
      <w:r>
        <w:rPr>
          <w:w w:val="105"/>
          <w:sz w:val="13"/>
        </w:rPr>
        <w:t>(Guide,</w:t>
      </w:r>
      <w:r>
        <w:rPr>
          <w:spacing w:val="5"/>
          <w:w w:val="105"/>
          <w:sz w:val="13"/>
        </w:rPr>
        <w:t> </w:t>
      </w:r>
      <w:r>
        <w:rPr>
          <w:w w:val="105"/>
          <w:sz w:val="13"/>
        </w:rPr>
        <w:t>2015)</w:t>
      </w:r>
      <w:r>
        <w:rPr>
          <w:spacing w:val="5"/>
          <w:w w:val="105"/>
          <w:sz w:val="13"/>
        </w:rPr>
        <w:t> </w:t>
      </w:r>
      <w:r>
        <w:rPr>
          <w:spacing w:val="-4"/>
          <w:w w:val="105"/>
          <w:sz w:val="13"/>
        </w:rPr>
        <w:t>61.</w:t>
      </w:r>
    </w:p>
    <w:p>
      <w:pPr>
        <w:pStyle w:val="ListParagraph"/>
        <w:numPr>
          <w:ilvl w:val="0"/>
          <w:numId w:val="19"/>
        </w:numPr>
        <w:tabs>
          <w:tab w:pos="2381" w:val="left" w:leader="none"/>
          <w:tab w:pos="2382" w:val="left" w:leader="none"/>
        </w:tabs>
        <w:spacing w:line="240" w:lineRule="auto" w:before="5" w:after="0"/>
        <w:ind w:left="2381" w:right="0" w:hanging="794"/>
        <w:jc w:val="left"/>
        <w:rPr>
          <w:sz w:val="13"/>
        </w:rPr>
      </w:pPr>
      <w:r>
        <w:rPr/>
        <w:pict>
          <v:shape style="position:absolute;margin-left:549.242493pt;margin-top:3.197764pt;width:12.05pt;height:14.25pt;mso-position-horizontal-relative:page;mso-position-vertical-relative:paragraph;z-index:2296" type="#_x0000_t202" filled="false" stroked="false">
            <v:textbox inset="0,0,0,0">
              <w:txbxContent>
                <w:p>
                  <w:pPr>
                    <w:spacing w:line="284" w:lineRule="exact" w:before="0"/>
                    <w:ind w:left="0" w:right="0" w:firstLine="0"/>
                    <w:jc w:val="left"/>
                    <w:rPr>
                      <w:b/>
                      <w:sz w:val="24"/>
                    </w:rPr>
                  </w:pPr>
                  <w:r>
                    <w:rPr>
                      <w:b/>
                      <w:color w:val="658464"/>
                      <w:spacing w:val="-13"/>
                      <w:w w:val="105"/>
                      <w:sz w:val="24"/>
                    </w:rPr>
                    <w:t>17</w:t>
                  </w:r>
                </w:p>
              </w:txbxContent>
            </v:textbox>
            <w10:wrap type="none"/>
          </v:shape>
        </w:pict>
      </w:r>
      <w:r>
        <w:rPr>
          <w:w w:val="105"/>
          <w:sz w:val="13"/>
        </w:rPr>
        <w:t>Submission 30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19"/>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9</w:t>
      </w:r>
      <w:r>
        <w:rPr>
          <w:spacing w:val="5"/>
          <w:w w:val="105"/>
          <w:sz w:val="13"/>
        </w:rPr>
        <w:t> </w:t>
      </w:r>
      <w:r>
        <w:rPr>
          <w:spacing w:val="3"/>
          <w:w w:val="105"/>
          <w:sz w:val="13"/>
        </w:rPr>
        <w:t>(Dr</w:t>
      </w:r>
      <w:r>
        <w:rPr>
          <w:spacing w:val="5"/>
          <w:w w:val="105"/>
          <w:sz w:val="13"/>
        </w:rPr>
        <w:t> </w:t>
      </w:r>
      <w:r>
        <w:rPr>
          <w:w w:val="105"/>
          <w:sz w:val="13"/>
        </w:rPr>
        <w:t>Karen</w:t>
      </w:r>
      <w:r>
        <w:rPr>
          <w:spacing w:val="5"/>
          <w:w w:val="105"/>
          <w:sz w:val="13"/>
        </w:rPr>
        <w:t> </w:t>
      </w:r>
      <w:r>
        <w:rPr>
          <w:w w:val="105"/>
          <w:sz w:val="13"/>
        </w:rPr>
        <w:t>Smith),</w:t>
      </w:r>
      <w:r>
        <w:rPr>
          <w:spacing w:val="5"/>
          <w:w w:val="105"/>
          <w:sz w:val="13"/>
        </w:rPr>
        <w:t> </w:t>
      </w:r>
      <w:r>
        <w:rPr>
          <w:w w:val="105"/>
          <w:sz w:val="13"/>
        </w:rPr>
        <w:t>24</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Consultation</w:t>
      </w:r>
      <w:r>
        <w:rPr>
          <w:spacing w:val="5"/>
          <w:w w:val="105"/>
          <w:sz w:val="13"/>
        </w:rPr>
        <w:t> </w:t>
      </w:r>
      <w:r>
        <w:rPr>
          <w:spacing w:val="-4"/>
          <w:w w:val="105"/>
          <w:sz w:val="13"/>
        </w:rPr>
        <w:t>12</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Port</w:t>
      </w:r>
      <w:r>
        <w:rPr>
          <w:spacing w:val="5"/>
          <w:w w:val="105"/>
          <w:sz w:val="13"/>
        </w:rPr>
        <w:t> </w:t>
      </w:r>
      <w:r>
        <w:rPr>
          <w:w w:val="105"/>
          <w:sz w:val="13"/>
        </w:rPr>
        <w:t>Phillip);</w:t>
      </w:r>
      <w:r>
        <w:rPr>
          <w:spacing w:val="5"/>
          <w:w w:val="105"/>
          <w:sz w:val="13"/>
        </w:rPr>
        <w:t> </w:t>
      </w:r>
      <w:r>
        <w:rPr>
          <w:w w:val="105"/>
          <w:sz w:val="13"/>
        </w:rPr>
        <w:t>Survey</w:t>
      </w:r>
      <w:r>
        <w:rPr>
          <w:spacing w:val="5"/>
          <w:w w:val="105"/>
          <w:sz w:val="13"/>
        </w:rPr>
        <w:t> </w:t>
      </w:r>
      <w:r>
        <w:rPr>
          <w:w w:val="105"/>
          <w:sz w:val="13"/>
        </w:rPr>
        <w:t>Respondent</w:t>
      </w:r>
      <w:r>
        <w:rPr>
          <w:spacing w:val="5"/>
          <w:w w:val="105"/>
          <w:sz w:val="13"/>
        </w:rPr>
        <w:t> </w:t>
      </w:r>
      <w:r>
        <w:rPr>
          <w:spacing w:val="2"/>
          <w:w w:val="105"/>
          <w:sz w:val="13"/>
        </w:rPr>
        <w:t>44.</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16"/>
        </w:numPr>
        <w:tabs>
          <w:tab w:pos="2380" w:val="left" w:leader="none"/>
          <w:tab w:pos="2381" w:val="left" w:leader="none"/>
        </w:tabs>
        <w:spacing w:line="242" w:lineRule="auto" w:before="92" w:after="0"/>
        <w:ind w:left="2381" w:right="1604" w:hanging="794"/>
        <w:jc w:val="left"/>
        <w:rPr>
          <w:sz w:val="21"/>
        </w:rPr>
      </w:pPr>
      <w:bookmarkStart w:name="_bookmark17" w:id="46"/>
      <w:bookmarkEnd w:id="46"/>
      <w:r>
        <w:rPr/>
      </w:r>
      <w:bookmarkStart w:name="_bookmark17" w:id="47"/>
      <w:bookmarkEnd w:id="47"/>
      <w:r>
        <w:rPr>
          <w:w w:val="105"/>
          <w:sz w:val="21"/>
        </w:rPr>
        <w:t>S</w:t>
      </w:r>
      <w:r>
        <w:rPr>
          <w:w w:val="105"/>
          <w:sz w:val="21"/>
        </w:rPr>
        <w:t>ome community members who </w:t>
      </w:r>
      <w:r>
        <w:rPr>
          <w:spacing w:val="-2"/>
          <w:w w:val="105"/>
          <w:sz w:val="21"/>
        </w:rPr>
        <w:t>had </w:t>
      </w:r>
      <w:r>
        <w:rPr>
          <w:w w:val="105"/>
          <w:sz w:val="21"/>
        </w:rPr>
        <w:t>experienced a tree </w:t>
      </w:r>
      <w:r>
        <w:rPr>
          <w:spacing w:val="-3"/>
          <w:w w:val="105"/>
          <w:sz w:val="21"/>
        </w:rPr>
        <w:t>dispute </w:t>
      </w:r>
      <w:r>
        <w:rPr>
          <w:w w:val="105"/>
          <w:sz w:val="21"/>
        </w:rPr>
        <w:t>described </w:t>
      </w:r>
      <w:r>
        <w:rPr>
          <w:spacing w:val="-3"/>
          <w:w w:val="105"/>
          <w:sz w:val="21"/>
        </w:rPr>
        <w:t>having </w:t>
      </w:r>
      <w:r>
        <w:rPr>
          <w:w w:val="105"/>
          <w:sz w:val="21"/>
        </w:rPr>
        <w:t>a poor </w:t>
      </w:r>
      <w:r>
        <w:rPr>
          <w:spacing w:val="-3"/>
          <w:w w:val="105"/>
          <w:sz w:val="21"/>
        </w:rPr>
        <w:t>relationship </w:t>
      </w:r>
      <w:r>
        <w:rPr>
          <w:w w:val="105"/>
          <w:sz w:val="21"/>
        </w:rPr>
        <w:t>with their </w:t>
      </w:r>
      <w:r>
        <w:rPr>
          <w:spacing w:val="-3"/>
          <w:w w:val="105"/>
          <w:sz w:val="21"/>
        </w:rPr>
        <w:t>neighbour </w:t>
      </w:r>
      <w:r>
        <w:rPr>
          <w:w w:val="105"/>
          <w:sz w:val="21"/>
        </w:rPr>
        <w:t>as a </w:t>
      </w:r>
      <w:r>
        <w:rPr>
          <w:spacing w:val="-5"/>
          <w:w w:val="105"/>
          <w:sz w:val="21"/>
        </w:rPr>
        <w:t>result.</w:t>
      </w:r>
      <w:r>
        <w:rPr>
          <w:spacing w:val="-5"/>
          <w:w w:val="105"/>
          <w:position w:val="7"/>
          <w:sz w:val="12"/>
        </w:rPr>
        <w:t>131 </w:t>
      </w:r>
      <w:r>
        <w:rPr>
          <w:w w:val="105"/>
          <w:sz w:val="21"/>
        </w:rPr>
        <w:t>This </w:t>
      </w:r>
      <w:r>
        <w:rPr>
          <w:spacing w:val="-2"/>
          <w:w w:val="105"/>
          <w:sz w:val="21"/>
        </w:rPr>
        <w:t>ranged </w:t>
      </w:r>
      <w:r>
        <w:rPr>
          <w:spacing w:val="-3"/>
          <w:w w:val="105"/>
          <w:sz w:val="21"/>
        </w:rPr>
        <w:t>from </w:t>
      </w:r>
      <w:r>
        <w:rPr>
          <w:w w:val="105"/>
          <w:sz w:val="21"/>
        </w:rPr>
        <w:t>a </w:t>
      </w:r>
      <w:r>
        <w:rPr>
          <w:spacing w:val="-3"/>
          <w:w w:val="105"/>
          <w:sz w:val="21"/>
        </w:rPr>
        <w:t>relationship becoming </w:t>
      </w:r>
      <w:r>
        <w:rPr>
          <w:spacing w:val="-6"/>
          <w:w w:val="105"/>
          <w:sz w:val="21"/>
        </w:rPr>
        <w:t>‘strained’,</w:t>
      </w:r>
      <w:r>
        <w:rPr>
          <w:spacing w:val="-6"/>
          <w:w w:val="105"/>
          <w:position w:val="7"/>
          <w:sz w:val="12"/>
        </w:rPr>
        <w:t>132 </w:t>
      </w:r>
      <w:r>
        <w:rPr>
          <w:w w:val="105"/>
          <w:sz w:val="21"/>
        </w:rPr>
        <w:t>or being </w:t>
      </w:r>
      <w:r>
        <w:rPr>
          <w:spacing w:val="-3"/>
          <w:w w:val="105"/>
          <w:sz w:val="21"/>
        </w:rPr>
        <w:t>verbally </w:t>
      </w:r>
      <w:r>
        <w:rPr>
          <w:w w:val="105"/>
          <w:sz w:val="21"/>
        </w:rPr>
        <w:t>‘abuse[d] over the </w:t>
      </w:r>
      <w:r>
        <w:rPr>
          <w:spacing w:val="-7"/>
          <w:w w:val="105"/>
          <w:sz w:val="21"/>
        </w:rPr>
        <w:t>fence’,</w:t>
      </w:r>
      <w:r>
        <w:rPr>
          <w:spacing w:val="-7"/>
          <w:w w:val="105"/>
          <w:position w:val="7"/>
          <w:sz w:val="12"/>
        </w:rPr>
        <w:t>133 </w:t>
      </w:r>
      <w:r>
        <w:rPr>
          <w:spacing w:val="-3"/>
          <w:w w:val="105"/>
          <w:sz w:val="21"/>
        </w:rPr>
        <w:t>through to </w:t>
      </w:r>
      <w:r>
        <w:rPr>
          <w:spacing w:val="-2"/>
          <w:w w:val="105"/>
          <w:sz w:val="21"/>
        </w:rPr>
        <w:t>police</w:t>
      </w:r>
      <w:r>
        <w:rPr>
          <w:spacing w:val="-14"/>
          <w:w w:val="105"/>
          <w:sz w:val="21"/>
        </w:rPr>
        <w:t> </w:t>
      </w:r>
      <w:r>
        <w:rPr>
          <w:spacing w:val="-4"/>
          <w:w w:val="105"/>
          <w:sz w:val="21"/>
        </w:rPr>
        <w:t>intervention.</w:t>
      </w:r>
      <w:r>
        <w:rPr>
          <w:spacing w:val="-4"/>
          <w:w w:val="105"/>
          <w:position w:val="7"/>
          <w:sz w:val="12"/>
        </w:rPr>
        <w:t>134</w:t>
      </w:r>
    </w:p>
    <w:p>
      <w:pPr>
        <w:pStyle w:val="ListParagraph"/>
        <w:numPr>
          <w:ilvl w:val="1"/>
          <w:numId w:val="16"/>
        </w:numPr>
        <w:tabs>
          <w:tab w:pos="2381" w:val="left" w:leader="none"/>
          <w:tab w:pos="2382" w:val="left" w:leader="none"/>
        </w:tabs>
        <w:spacing w:line="242" w:lineRule="auto" w:before="123" w:after="0"/>
        <w:ind w:left="2381" w:right="1933" w:hanging="794"/>
        <w:jc w:val="left"/>
        <w:rPr>
          <w:sz w:val="21"/>
        </w:rPr>
      </w:pPr>
      <w:r>
        <w:rPr>
          <w:spacing w:val="-5"/>
          <w:sz w:val="21"/>
        </w:rPr>
        <w:t>Tree </w:t>
      </w:r>
      <w:r>
        <w:rPr>
          <w:spacing w:val="-3"/>
          <w:sz w:val="21"/>
        </w:rPr>
        <w:t>disputes </w:t>
      </w:r>
      <w:r>
        <w:rPr>
          <w:sz w:val="21"/>
        </w:rPr>
        <w:t>can also lead </w:t>
      </w:r>
      <w:r>
        <w:rPr>
          <w:spacing w:val="-3"/>
          <w:sz w:val="21"/>
        </w:rPr>
        <w:t>to applications for </w:t>
      </w:r>
      <w:r>
        <w:rPr>
          <w:sz w:val="21"/>
        </w:rPr>
        <w:t>a personal safety </w:t>
      </w:r>
      <w:r>
        <w:rPr>
          <w:spacing w:val="-2"/>
          <w:sz w:val="21"/>
        </w:rPr>
        <w:t>intervention </w:t>
      </w:r>
      <w:r>
        <w:rPr>
          <w:spacing w:val="-6"/>
          <w:sz w:val="21"/>
        </w:rPr>
        <w:t>order.</w:t>
      </w:r>
      <w:r>
        <w:rPr>
          <w:spacing w:val="-6"/>
          <w:position w:val="7"/>
          <w:sz w:val="12"/>
        </w:rPr>
        <w:t>135 </w:t>
      </w:r>
      <w:r>
        <w:rPr>
          <w:sz w:val="21"/>
        </w:rPr>
        <w:t>In Miles</w:t>
      </w:r>
      <w:r>
        <w:rPr>
          <w:spacing w:val="10"/>
          <w:sz w:val="21"/>
        </w:rPr>
        <w:t> </w:t>
      </w:r>
      <w:r>
        <w:rPr>
          <w:sz w:val="21"/>
        </w:rPr>
        <w:t>v</w:t>
      </w:r>
      <w:r>
        <w:rPr>
          <w:spacing w:val="10"/>
          <w:sz w:val="21"/>
        </w:rPr>
        <w:t> </w:t>
      </w:r>
      <w:r>
        <w:rPr>
          <w:spacing w:val="-5"/>
          <w:sz w:val="21"/>
        </w:rPr>
        <w:t>Barca</w:t>
      </w:r>
      <w:r>
        <w:rPr>
          <w:spacing w:val="-5"/>
          <w:position w:val="7"/>
          <w:sz w:val="12"/>
        </w:rPr>
        <w:t>136</w:t>
      </w:r>
      <w:r>
        <w:rPr>
          <w:spacing w:val="10"/>
          <w:position w:val="7"/>
          <w:sz w:val="12"/>
        </w:rPr>
        <w:t> </w:t>
      </w:r>
      <w:r>
        <w:rPr>
          <w:sz w:val="21"/>
        </w:rPr>
        <w:t>Justice</w:t>
      </w:r>
      <w:r>
        <w:rPr>
          <w:spacing w:val="11"/>
          <w:sz w:val="21"/>
        </w:rPr>
        <w:t> </w:t>
      </w:r>
      <w:r>
        <w:rPr>
          <w:sz w:val="21"/>
        </w:rPr>
        <w:t>Byrne</w:t>
      </w:r>
      <w:r>
        <w:rPr>
          <w:spacing w:val="10"/>
          <w:sz w:val="21"/>
        </w:rPr>
        <w:t> </w:t>
      </w:r>
      <w:r>
        <w:rPr>
          <w:sz w:val="21"/>
        </w:rPr>
        <w:t>of</w:t>
      </w:r>
      <w:r>
        <w:rPr>
          <w:spacing w:val="10"/>
          <w:sz w:val="21"/>
        </w:rPr>
        <w:t> </w:t>
      </w:r>
      <w:r>
        <w:rPr>
          <w:sz w:val="21"/>
        </w:rPr>
        <w:t>the</w:t>
      </w:r>
      <w:r>
        <w:rPr>
          <w:spacing w:val="10"/>
          <w:sz w:val="21"/>
        </w:rPr>
        <w:t> </w:t>
      </w:r>
      <w:r>
        <w:rPr>
          <w:spacing w:val="-3"/>
          <w:sz w:val="21"/>
        </w:rPr>
        <w:t>Supreme</w:t>
      </w:r>
      <w:r>
        <w:rPr>
          <w:spacing w:val="11"/>
          <w:sz w:val="21"/>
        </w:rPr>
        <w:t> </w:t>
      </w:r>
      <w:r>
        <w:rPr>
          <w:spacing w:val="-3"/>
          <w:sz w:val="21"/>
        </w:rPr>
        <w:t>Court</w:t>
      </w:r>
      <w:r>
        <w:rPr>
          <w:spacing w:val="10"/>
          <w:sz w:val="21"/>
        </w:rPr>
        <w:t> </w:t>
      </w:r>
      <w:r>
        <w:rPr>
          <w:sz w:val="21"/>
        </w:rPr>
        <w:t>held:</w:t>
      </w:r>
    </w:p>
    <w:p>
      <w:pPr>
        <w:spacing w:line="254" w:lineRule="auto" w:before="132"/>
        <w:ind w:left="2834" w:right="1511" w:firstLine="0"/>
        <w:jc w:val="left"/>
        <w:rPr>
          <w:sz w:val="11"/>
        </w:rPr>
      </w:pPr>
      <w:r>
        <w:rPr>
          <w:w w:val="105"/>
          <w:sz w:val="20"/>
        </w:rPr>
        <w:t>Although there </w:t>
      </w:r>
      <w:r>
        <w:rPr>
          <w:spacing w:val="-3"/>
          <w:w w:val="105"/>
          <w:sz w:val="20"/>
        </w:rPr>
        <w:t>have </w:t>
      </w:r>
      <w:r>
        <w:rPr>
          <w:w w:val="105"/>
          <w:sz w:val="20"/>
        </w:rPr>
        <w:t>been pre-existing differences, even feuds, between the neighbours, the incident which </w:t>
      </w:r>
      <w:r>
        <w:rPr>
          <w:spacing w:val="-3"/>
          <w:w w:val="105"/>
          <w:sz w:val="20"/>
        </w:rPr>
        <w:t>provoked </w:t>
      </w:r>
      <w:r>
        <w:rPr>
          <w:w w:val="105"/>
          <w:sz w:val="20"/>
        </w:rPr>
        <w:t>this proceeding concerned a </w:t>
      </w:r>
      <w:r>
        <w:rPr>
          <w:spacing w:val="-3"/>
          <w:w w:val="105"/>
          <w:sz w:val="20"/>
        </w:rPr>
        <w:t>manna </w:t>
      </w:r>
      <w:r>
        <w:rPr>
          <w:w w:val="105"/>
          <w:sz w:val="20"/>
        </w:rPr>
        <w:t>gum tree which grows on the Miles property close to the Barca </w:t>
      </w:r>
      <w:r>
        <w:rPr>
          <w:spacing w:val="-4"/>
          <w:w w:val="105"/>
          <w:sz w:val="20"/>
        </w:rPr>
        <w:t>boundary.</w:t>
      </w:r>
      <w:r>
        <w:rPr>
          <w:spacing w:val="-4"/>
          <w:w w:val="105"/>
          <w:position w:val="7"/>
          <w:sz w:val="11"/>
        </w:rPr>
        <w:t>137</w:t>
      </w:r>
    </w:p>
    <w:p>
      <w:pPr>
        <w:pStyle w:val="BodyText"/>
        <w:spacing w:before="6"/>
        <w:rPr>
          <w:sz w:val="19"/>
        </w:rPr>
      </w:pPr>
    </w:p>
    <w:p>
      <w:pPr>
        <w:pStyle w:val="Heading5"/>
        <w:spacing w:before="1"/>
      </w:pPr>
      <w:r>
        <w:rPr>
          <w:w w:val="115"/>
        </w:rPr>
        <w:t>Significant costs</w:t>
      </w:r>
    </w:p>
    <w:p>
      <w:pPr>
        <w:pStyle w:val="ListParagraph"/>
        <w:numPr>
          <w:ilvl w:val="1"/>
          <w:numId w:val="16"/>
        </w:numPr>
        <w:tabs>
          <w:tab w:pos="2381" w:val="left" w:leader="none"/>
          <w:tab w:pos="2382" w:val="left" w:leader="none"/>
        </w:tabs>
        <w:spacing w:line="242" w:lineRule="auto" w:before="137" w:after="0"/>
        <w:ind w:left="2381" w:right="1898" w:hanging="794"/>
        <w:jc w:val="left"/>
        <w:rPr>
          <w:sz w:val="21"/>
        </w:rPr>
      </w:pPr>
      <w:r>
        <w:rPr>
          <w:w w:val="105"/>
          <w:sz w:val="21"/>
        </w:rPr>
        <w:t>In some cases, the cost of </w:t>
      </w:r>
      <w:r>
        <w:rPr>
          <w:spacing w:val="-3"/>
          <w:w w:val="105"/>
          <w:sz w:val="21"/>
        </w:rPr>
        <w:t>repairing </w:t>
      </w:r>
      <w:r>
        <w:rPr>
          <w:w w:val="105"/>
          <w:sz w:val="21"/>
        </w:rPr>
        <w:t>damaged property, or of tree works or </w:t>
      </w:r>
      <w:r>
        <w:rPr>
          <w:spacing w:val="-3"/>
          <w:w w:val="105"/>
          <w:sz w:val="21"/>
        </w:rPr>
        <w:t>engaging </w:t>
      </w:r>
      <w:r>
        <w:rPr>
          <w:w w:val="105"/>
          <w:sz w:val="21"/>
        </w:rPr>
        <w:t>an</w:t>
      </w:r>
      <w:r>
        <w:rPr>
          <w:spacing w:val="-6"/>
          <w:w w:val="105"/>
          <w:sz w:val="21"/>
        </w:rPr>
        <w:t> </w:t>
      </w:r>
      <w:r>
        <w:rPr>
          <w:w w:val="105"/>
          <w:sz w:val="21"/>
        </w:rPr>
        <w:t>arborist</w:t>
      </w:r>
      <w:r>
        <w:rPr>
          <w:spacing w:val="-5"/>
          <w:w w:val="105"/>
          <w:sz w:val="21"/>
        </w:rPr>
        <w:t> </w:t>
      </w:r>
      <w:r>
        <w:rPr>
          <w:spacing w:val="-3"/>
          <w:w w:val="105"/>
          <w:sz w:val="21"/>
        </w:rPr>
        <w:t>may</w:t>
      </w:r>
      <w:r>
        <w:rPr>
          <w:spacing w:val="-5"/>
          <w:w w:val="105"/>
          <w:sz w:val="21"/>
        </w:rPr>
        <w:t> </w:t>
      </w:r>
      <w:r>
        <w:rPr>
          <w:w w:val="105"/>
          <w:sz w:val="21"/>
        </w:rPr>
        <w:t>be</w:t>
      </w:r>
      <w:r>
        <w:rPr>
          <w:spacing w:val="-6"/>
          <w:w w:val="105"/>
          <w:sz w:val="21"/>
        </w:rPr>
        <w:t> </w:t>
      </w:r>
      <w:r>
        <w:rPr>
          <w:spacing w:val="-3"/>
          <w:w w:val="105"/>
          <w:sz w:val="21"/>
        </w:rPr>
        <w:t>quite</w:t>
      </w:r>
      <w:r>
        <w:rPr>
          <w:spacing w:val="-5"/>
          <w:w w:val="105"/>
          <w:sz w:val="21"/>
        </w:rPr>
        <w:t> </w:t>
      </w:r>
      <w:r>
        <w:rPr>
          <w:spacing w:val="-3"/>
          <w:w w:val="105"/>
          <w:sz w:val="21"/>
        </w:rPr>
        <w:t>substantial.</w:t>
      </w:r>
      <w:r>
        <w:rPr>
          <w:spacing w:val="-5"/>
          <w:w w:val="105"/>
          <w:sz w:val="21"/>
        </w:rPr>
        <w:t> </w:t>
      </w:r>
      <w:r>
        <w:rPr>
          <w:w w:val="105"/>
          <w:sz w:val="21"/>
        </w:rPr>
        <w:t>These</w:t>
      </w:r>
      <w:r>
        <w:rPr>
          <w:spacing w:val="-5"/>
          <w:w w:val="105"/>
          <w:sz w:val="21"/>
        </w:rPr>
        <w:t> </w:t>
      </w:r>
      <w:r>
        <w:rPr>
          <w:w w:val="105"/>
          <w:sz w:val="21"/>
        </w:rPr>
        <w:t>costs</w:t>
      </w:r>
      <w:r>
        <w:rPr>
          <w:spacing w:val="-6"/>
          <w:w w:val="105"/>
          <w:sz w:val="21"/>
        </w:rPr>
        <w:t> </w:t>
      </w:r>
      <w:r>
        <w:rPr>
          <w:spacing w:val="-3"/>
          <w:w w:val="105"/>
          <w:sz w:val="21"/>
        </w:rPr>
        <w:t>may</w:t>
      </w:r>
      <w:r>
        <w:rPr>
          <w:spacing w:val="-5"/>
          <w:w w:val="105"/>
          <w:sz w:val="21"/>
        </w:rPr>
        <w:t> </w:t>
      </w:r>
      <w:r>
        <w:rPr>
          <w:spacing w:val="-2"/>
          <w:w w:val="105"/>
          <w:sz w:val="21"/>
        </w:rPr>
        <w:t>not</w:t>
      </w:r>
      <w:r>
        <w:rPr>
          <w:spacing w:val="-5"/>
          <w:w w:val="105"/>
          <w:sz w:val="21"/>
        </w:rPr>
        <w:t> </w:t>
      </w:r>
      <w:r>
        <w:rPr>
          <w:w w:val="105"/>
          <w:sz w:val="21"/>
        </w:rPr>
        <w:t>be</w:t>
      </w:r>
      <w:r>
        <w:rPr>
          <w:spacing w:val="-5"/>
          <w:w w:val="105"/>
          <w:sz w:val="21"/>
        </w:rPr>
        <w:t> </w:t>
      </w:r>
      <w:r>
        <w:rPr>
          <w:w w:val="105"/>
          <w:sz w:val="21"/>
        </w:rPr>
        <w:t>able</w:t>
      </w:r>
      <w:r>
        <w:rPr>
          <w:spacing w:val="-6"/>
          <w:w w:val="105"/>
          <w:sz w:val="21"/>
        </w:rPr>
        <w:t> </w:t>
      </w:r>
      <w:r>
        <w:rPr>
          <w:spacing w:val="-3"/>
          <w:w w:val="105"/>
          <w:sz w:val="21"/>
        </w:rPr>
        <w:t>to</w:t>
      </w:r>
      <w:r>
        <w:rPr>
          <w:spacing w:val="-5"/>
          <w:w w:val="105"/>
          <w:sz w:val="21"/>
        </w:rPr>
        <w:t> </w:t>
      </w:r>
      <w:r>
        <w:rPr>
          <w:w w:val="105"/>
          <w:sz w:val="21"/>
        </w:rPr>
        <w:t>be</w:t>
      </w:r>
      <w:r>
        <w:rPr>
          <w:spacing w:val="-5"/>
          <w:w w:val="105"/>
          <w:sz w:val="21"/>
        </w:rPr>
        <w:t> </w:t>
      </w:r>
      <w:r>
        <w:rPr>
          <w:w w:val="105"/>
          <w:sz w:val="21"/>
        </w:rPr>
        <w:t>recouped</w:t>
      </w:r>
      <w:r>
        <w:rPr>
          <w:spacing w:val="-6"/>
          <w:w w:val="105"/>
          <w:sz w:val="21"/>
        </w:rPr>
        <w:t> </w:t>
      </w:r>
      <w:r>
        <w:rPr>
          <w:spacing w:val="-3"/>
          <w:w w:val="105"/>
          <w:sz w:val="21"/>
        </w:rPr>
        <w:t>from </w:t>
      </w:r>
      <w:r>
        <w:rPr>
          <w:w w:val="105"/>
          <w:sz w:val="21"/>
        </w:rPr>
        <w:t>the tree </w:t>
      </w:r>
      <w:r>
        <w:rPr>
          <w:spacing w:val="-4"/>
          <w:w w:val="105"/>
          <w:sz w:val="21"/>
        </w:rPr>
        <w:t>owner. </w:t>
      </w:r>
      <w:r>
        <w:rPr>
          <w:w w:val="105"/>
          <w:sz w:val="21"/>
        </w:rPr>
        <w:t>For </w:t>
      </w:r>
      <w:r>
        <w:rPr>
          <w:spacing w:val="-3"/>
          <w:w w:val="105"/>
          <w:sz w:val="21"/>
        </w:rPr>
        <w:t>example, </w:t>
      </w:r>
      <w:r>
        <w:rPr>
          <w:w w:val="105"/>
          <w:sz w:val="21"/>
        </w:rPr>
        <w:t>one person stated </w:t>
      </w:r>
      <w:r>
        <w:rPr>
          <w:spacing w:val="-3"/>
          <w:w w:val="105"/>
          <w:sz w:val="21"/>
        </w:rPr>
        <w:t>that </w:t>
      </w:r>
      <w:r>
        <w:rPr>
          <w:w w:val="105"/>
          <w:sz w:val="21"/>
        </w:rPr>
        <w:t>it would cost over $2000 </w:t>
      </w:r>
      <w:r>
        <w:rPr>
          <w:spacing w:val="-3"/>
          <w:w w:val="105"/>
          <w:sz w:val="21"/>
        </w:rPr>
        <w:t>to have overhanging branches </w:t>
      </w:r>
      <w:r>
        <w:rPr>
          <w:w w:val="105"/>
          <w:sz w:val="21"/>
        </w:rPr>
        <w:t>cut up </w:t>
      </w:r>
      <w:r>
        <w:rPr>
          <w:spacing w:val="-3"/>
          <w:w w:val="105"/>
          <w:sz w:val="21"/>
        </w:rPr>
        <w:t>to </w:t>
      </w:r>
      <w:r>
        <w:rPr>
          <w:w w:val="105"/>
          <w:sz w:val="21"/>
        </w:rPr>
        <w:t>the boundary</w:t>
      </w:r>
      <w:r>
        <w:rPr>
          <w:spacing w:val="44"/>
          <w:w w:val="105"/>
          <w:sz w:val="21"/>
        </w:rPr>
        <w:t> </w:t>
      </w:r>
      <w:r>
        <w:rPr>
          <w:spacing w:val="-6"/>
          <w:w w:val="105"/>
          <w:sz w:val="21"/>
        </w:rPr>
        <w:t>line.</w:t>
      </w:r>
      <w:r>
        <w:rPr>
          <w:spacing w:val="-6"/>
          <w:w w:val="105"/>
          <w:position w:val="7"/>
          <w:sz w:val="12"/>
        </w:rPr>
        <w:t>138</w:t>
      </w:r>
    </w:p>
    <w:p>
      <w:pPr>
        <w:pStyle w:val="ListParagraph"/>
        <w:numPr>
          <w:ilvl w:val="1"/>
          <w:numId w:val="16"/>
        </w:numPr>
        <w:tabs>
          <w:tab w:pos="2381" w:val="left" w:leader="none"/>
          <w:tab w:pos="2382" w:val="left" w:leader="none"/>
        </w:tabs>
        <w:spacing w:line="242" w:lineRule="auto" w:before="124" w:after="0"/>
        <w:ind w:left="2381" w:right="1569" w:hanging="794"/>
        <w:jc w:val="left"/>
        <w:rPr>
          <w:sz w:val="21"/>
        </w:rPr>
      </w:pPr>
      <w:r>
        <w:rPr>
          <w:w w:val="105"/>
          <w:sz w:val="21"/>
        </w:rPr>
        <w:t>An arborist </w:t>
      </w:r>
      <w:r>
        <w:rPr>
          <w:spacing w:val="-3"/>
          <w:w w:val="105"/>
          <w:sz w:val="21"/>
        </w:rPr>
        <w:t>recounted </w:t>
      </w:r>
      <w:r>
        <w:rPr>
          <w:w w:val="105"/>
          <w:sz w:val="21"/>
        </w:rPr>
        <w:t>a tree </w:t>
      </w:r>
      <w:r>
        <w:rPr>
          <w:spacing w:val="-3"/>
          <w:w w:val="105"/>
          <w:sz w:val="21"/>
        </w:rPr>
        <w:t>dispute concerning </w:t>
      </w:r>
      <w:r>
        <w:rPr>
          <w:w w:val="105"/>
          <w:sz w:val="21"/>
        </w:rPr>
        <w:t>the roots of a tree </w:t>
      </w:r>
      <w:r>
        <w:rPr>
          <w:spacing w:val="-3"/>
          <w:w w:val="105"/>
          <w:sz w:val="21"/>
        </w:rPr>
        <w:t>that </w:t>
      </w:r>
      <w:r>
        <w:rPr>
          <w:spacing w:val="-2"/>
          <w:w w:val="105"/>
          <w:sz w:val="21"/>
        </w:rPr>
        <w:t>had </w:t>
      </w:r>
      <w:r>
        <w:rPr>
          <w:w w:val="105"/>
          <w:sz w:val="21"/>
        </w:rPr>
        <w:t>grown </w:t>
      </w:r>
      <w:r>
        <w:rPr>
          <w:spacing w:val="-4"/>
          <w:w w:val="105"/>
          <w:sz w:val="21"/>
        </w:rPr>
        <w:t>into </w:t>
      </w:r>
      <w:r>
        <w:rPr>
          <w:w w:val="105"/>
          <w:sz w:val="21"/>
        </w:rPr>
        <w:t>and</w:t>
      </w:r>
      <w:r>
        <w:rPr>
          <w:spacing w:val="-7"/>
          <w:w w:val="105"/>
          <w:sz w:val="21"/>
        </w:rPr>
        <w:t> </w:t>
      </w:r>
      <w:r>
        <w:rPr>
          <w:w w:val="105"/>
          <w:sz w:val="21"/>
        </w:rPr>
        <w:t>under</w:t>
      </w:r>
      <w:r>
        <w:rPr>
          <w:spacing w:val="-7"/>
          <w:w w:val="105"/>
          <w:sz w:val="21"/>
        </w:rPr>
        <w:t> </w:t>
      </w:r>
      <w:r>
        <w:rPr>
          <w:w w:val="105"/>
          <w:sz w:val="21"/>
        </w:rPr>
        <w:t>a</w:t>
      </w:r>
      <w:r>
        <w:rPr>
          <w:spacing w:val="-7"/>
          <w:w w:val="105"/>
          <w:sz w:val="21"/>
        </w:rPr>
        <w:t> </w:t>
      </w:r>
      <w:r>
        <w:rPr>
          <w:spacing w:val="-3"/>
          <w:w w:val="105"/>
          <w:sz w:val="21"/>
        </w:rPr>
        <w:t>neighbouring</w:t>
      </w:r>
      <w:r>
        <w:rPr>
          <w:spacing w:val="-7"/>
          <w:w w:val="105"/>
          <w:sz w:val="21"/>
        </w:rPr>
        <w:t> </w:t>
      </w:r>
      <w:r>
        <w:rPr>
          <w:w w:val="105"/>
          <w:sz w:val="21"/>
        </w:rPr>
        <w:t>property.</w:t>
      </w:r>
      <w:r>
        <w:rPr>
          <w:spacing w:val="-6"/>
          <w:w w:val="105"/>
          <w:sz w:val="21"/>
        </w:rPr>
        <w:t> </w:t>
      </w:r>
      <w:r>
        <w:rPr>
          <w:w w:val="105"/>
          <w:sz w:val="21"/>
        </w:rPr>
        <w:t>This</w:t>
      </w:r>
      <w:r>
        <w:rPr>
          <w:spacing w:val="-7"/>
          <w:w w:val="105"/>
          <w:sz w:val="21"/>
        </w:rPr>
        <w:t> </w:t>
      </w:r>
      <w:r>
        <w:rPr>
          <w:spacing w:val="-2"/>
          <w:w w:val="105"/>
          <w:sz w:val="21"/>
        </w:rPr>
        <w:t>had</w:t>
      </w:r>
      <w:r>
        <w:rPr>
          <w:spacing w:val="-7"/>
          <w:w w:val="105"/>
          <w:sz w:val="21"/>
        </w:rPr>
        <w:t> </w:t>
      </w:r>
      <w:r>
        <w:rPr>
          <w:w w:val="105"/>
          <w:sz w:val="21"/>
        </w:rPr>
        <w:t>destroyed</w:t>
      </w:r>
      <w:r>
        <w:rPr>
          <w:spacing w:val="-7"/>
          <w:w w:val="105"/>
          <w:sz w:val="21"/>
        </w:rPr>
        <w:t> </w:t>
      </w:r>
      <w:r>
        <w:rPr>
          <w:w w:val="105"/>
          <w:sz w:val="21"/>
        </w:rPr>
        <w:t>storm</w:t>
      </w:r>
      <w:r>
        <w:rPr>
          <w:spacing w:val="-7"/>
          <w:w w:val="105"/>
          <w:sz w:val="21"/>
        </w:rPr>
        <w:t> </w:t>
      </w:r>
      <w:r>
        <w:rPr>
          <w:spacing w:val="-3"/>
          <w:w w:val="105"/>
          <w:sz w:val="21"/>
        </w:rPr>
        <w:t>water</w:t>
      </w:r>
      <w:r>
        <w:rPr>
          <w:spacing w:val="-6"/>
          <w:w w:val="105"/>
          <w:sz w:val="21"/>
        </w:rPr>
        <w:t> </w:t>
      </w:r>
      <w:r>
        <w:rPr>
          <w:spacing w:val="-3"/>
          <w:w w:val="105"/>
          <w:sz w:val="21"/>
        </w:rPr>
        <w:t>facilities,</w:t>
      </w:r>
      <w:r>
        <w:rPr>
          <w:spacing w:val="-7"/>
          <w:w w:val="105"/>
          <w:sz w:val="21"/>
        </w:rPr>
        <w:t> </w:t>
      </w:r>
      <w:r>
        <w:rPr>
          <w:w w:val="105"/>
          <w:sz w:val="21"/>
        </w:rPr>
        <w:t>which</w:t>
      </w:r>
      <w:r>
        <w:rPr>
          <w:spacing w:val="-7"/>
          <w:w w:val="105"/>
          <w:sz w:val="21"/>
        </w:rPr>
        <w:t> </w:t>
      </w:r>
      <w:r>
        <w:rPr>
          <w:w w:val="105"/>
          <w:sz w:val="21"/>
        </w:rPr>
        <w:t>led</w:t>
      </w:r>
      <w:r>
        <w:rPr>
          <w:spacing w:val="-7"/>
          <w:w w:val="105"/>
          <w:sz w:val="21"/>
        </w:rPr>
        <w:t> </w:t>
      </w:r>
      <w:r>
        <w:rPr>
          <w:spacing w:val="-3"/>
          <w:w w:val="105"/>
          <w:sz w:val="21"/>
        </w:rPr>
        <w:t>to heaving </w:t>
      </w:r>
      <w:r>
        <w:rPr>
          <w:w w:val="105"/>
          <w:sz w:val="21"/>
        </w:rPr>
        <w:t>of </w:t>
      </w:r>
      <w:r>
        <w:rPr>
          <w:spacing w:val="-3"/>
          <w:w w:val="105"/>
          <w:sz w:val="21"/>
        </w:rPr>
        <w:t>substrate </w:t>
      </w:r>
      <w:r>
        <w:rPr>
          <w:w w:val="105"/>
          <w:sz w:val="21"/>
        </w:rPr>
        <w:t>and caused the corner of the </w:t>
      </w:r>
      <w:r>
        <w:rPr>
          <w:spacing w:val="-3"/>
          <w:w w:val="105"/>
          <w:sz w:val="21"/>
        </w:rPr>
        <w:t>building to drop. </w:t>
      </w:r>
      <w:r>
        <w:rPr>
          <w:w w:val="105"/>
          <w:sz w:val="21"/>
        </w:rPr>
        <w:t>PVC pipes </w:t>
      </w:r>
      <w:r>
        <w:rPr>
          <w:spacing w:val="-3"/>
          <w:w w:val="105"/>
          <w:sz w:val="21"/>
        </w:rPr>
        <w:t>were </w:t>
      </w:r>
      <w:r>
        <w:rPr>
          <w:w w:val="105"/>
          <w:sz w:val="21"/>
        </w:rPr>
        <w:t>also </w:t>
      </w:r>
      <w:r>
        <w:rPr>
          <w:spacing w:val="-4"/>
          <w:w w:val="105"/>
          <w:sz w:val="21"/>
        </w:rPr>
        <w:t>broken.</w:t>
      </w:r>
      <w:r>
        <w:rPr>
          <w:spacing w:val="12"/>
          <w:w w:val="105"/>
          <w:sz w:val="21"/>
        </w:rPr>
        <w:t> </w:t>
      </w:r>
      <w:r>
        <w:rPr>
          <w:w w:val="105"/>
          <w:sz w:val="21"/>
        </w:rPr>
        <w:t>The </w:t>
      </w:r>
      <w:r>
        <w:rPr>
          <w:spacing w:val="-3"/>
          <w:w w:val="105"/>
          <w:sz w:val="21"/>
        </w:rPr>
        <w:t>total </w:t>
      </w:r>
      <w:r>
        <w:rPr>
          <w:w w:val="105"/>
          <w:sz w:val="21"/>
        </w:rPr>
        <w:t>cost of the damage was </w:t>
      </w:r>
      <w:r>
        <w:rPr>
          <w:spacing w:val="-2"/>
          <w:w w:val="105"/>
          <w:sz w:val="21"/>
        </w:rPr>
        <w:t>estimated </w:t>
      </w:r>
      <w:r>
        <w:rPr>
          <w:spacing w:val="-3"/>
          <w:w w:val="105"/>
          <w:sz w:val="21"/>
        </w:rPr>
        <w:t>to </w:t>
      </w:r>
      <w:r>
        <w:rPr>
          <w:w w:val="105"/>
          <w:sz w:val="21"/>
        </w:rPr>
        <w:t>be over </w:t>
      </w:r>
      <w:r>
        <w:rPr>
          <w:spacing w:val="-3"/>
          <w:w w:val="105"/>
          <w:sz w:val="21"/>
        </w:rPr>
        <w:t>$60,000.</w:t>
      </w:r>
      <w:r>
        <w:rPr>
          <w:spacing w:val="-3"/>
          <w:w w:val="105"/>
          <w:position w:val="7"/>
          <w:sz w:val="12"/>
        </w:rPr>
        <w:t>139</w:t>
      </w:r>
    </w:p>
    <w:p>
      <w:pPr>
        <w:pStyle w:val="ListParagraph"/>
        <w:numPr>
          <w:ilvl w:val="1"/>
          <w:numId w:val="16"/>
        </w:numPr>
        <w:tabs>
          <w:tab w:pos="2381" w:val="left" w:leader="none"/>
          <w:tab w:pos="2382" w:val="left" w:leader="none"/>
        </w:tabs>
        <w:spacing w:line="242" w:lineRule="auto" w:before="125" w:after="0"/>
        <w:ind w:left="2381" w:right="1543" w:hanging="794"/>
        <w:jc w:val="left"/>
        <w:rPr>
          <w:sz w:val="21"/>
        </w:rPr>
      </w:pPr>
      <w:r>
        <w:rPr>
          <w:w w:val="105"/>
          <w:sz w:val="21"/>
        </w:rPr>
        <w:t>Some</w:t>
      </w:r>
      <w:r>
        <w:rPr>
          <w:spacing w:val="-5"/>
          <w:w w:val="105"/>
          <w:sz w:val="21"/>
        </w:rPr>
        <w:t> </w:t>
      </w:r>
      <w:r>
        <w:rPr>
          <w:w w:val="105"/>
          <w:sz w:val="21"/>
        </w:rPr>
        <w:t>people</w:t>
      </w:r>
      <w:r>
        <w:rPr>
          <w:spacing w:val="-4"/>
          <w:w w:val="105"/>
          <w:sz w:val="21"/>
        </w:rPr>
        <w:t> </w:t>
      </w:r>
      <w:r>
        <w:rPr>
          <w:spacing w:val="-3"/>
          <w:w w:val="105"/>
          <w:sz w:val="21"/>
        </w:rPr>
        <w:t>noted</w:t>
      </w:r>
      <w:r>
        <w:rPr>
          <w:spacing w:val="-4"/>
          <w:w w:val="105"/>
          <w:sz w:val="21"/>
        </w:rPr>
        <w:t> </w:t>
      </w:r>
      <w:r>
        <w:rPr>
          <w:spacing w:val="-3"/>
          <w:w w:val="105"/>
          <w:sz w:val="21"/>
        </w:rPr>
        <w:t>that</w:t>
      </w:r>
      <w:r>
        <w:rPr>
          <w:spacing w:val="-4"/>
          <w:w w:val="105"/>
          <w:sz w:val="21"/>
        </w:rPr>
        <w:t> </w:t>
      </w:r>
      <w:r>
        <w:rPr>
          <w:w w:val="105"/>
          <w:sz w:val="21"/>
        </w:rPr>
        <w:t>they</w:t>
      </w:r>
      <w:r>
        <w:rPr>
          <w:spacing w:val="-4"/>
          <w:w w:val="105"/>
          <w:sz w:val="21"/>
        </w:rPr>
        <w:t> </w:t>
      </w:r>
      <w:r>
        <w:rPr>
          <w:w w:val="105"/>
          <w:sz w:val="21"/>
        </w:rPr>
        <w:t>simply</w:t>
      </w:r>
      <w:r>
        <w:rPr>
          <w:spacing w:val="-4"/>
          <w:w w:val="105"/>
          <w:sz w:val="21"/>
        </w:rPr>
        <w:t> </w:t>
      </w:r>
      <w:r>
        <w:rPr>
          <w:spacing w:val="-3"/>
          <w:w w:val="105"/>
          <w:sz w:val="21"/>
        </w:rPr>
        <w:t>could</w:t>
      </w:r>
      <w:r>
        <w:rPr>
          <w:spacing w:val="-4"/>
          <w:w w:val="105"/>
          <w:sz w:val="21"/>
        </w:rPr>
        <w:t> </w:t>
      </w:r>
      <w:r>
        <w:rPr>
          <w:spacing w:val="-2"/>
          <w:w w:val="105"/>
          <w:sz w:val="21"/>
        </w:rPr>
        <w:t>not</w:t>
      </w:r>
      <w:r>
        <w:rPr>
          <w:spacing w:val="-4"/>
          <w:w w:val="105"/>
          <w:sz w:val="21"/>
        </w:rPr>
        <w:t> </w:t>
      </w:r>
      <w:r>
        <w:rPr>
          <w:spacing w:val="-2"/>
          <w:w w:val="105"/>
          <w:sz w:val="21"/>
        </w:rPr>
        <w:t>pay</w:t>
      </w:r>
      <w:r>
        <w:rPr>
          <w:spacing w:val="-4"/>
          <w:w w:val="105"/>
          <w:sz w:val="21"/>
        </w:rPr>
        <w:t> </w:t>
      </w:r>
      <w:r>
        <w:rPr>
          <w:spacing w:val="-3"/>
          <w:w w:val="105"/>
          <w:sz w:val="21"/>
        </w:rPr>
        <w:t>for</w:t>
      </w:r>
      <w:r>
        <w:rPr>
          <w:spacing w:val="-4"/>
          <w:w w:val="105"/>
          <w:sz w:val="21"/>
        </w:rPr>
        <w:t> </w:t>
      </w:r>
      <w:r>
        <w:rPr>
          <w:w w:val="105"/>
          <w:sz w:val="21"/>
        </w:rPr>
        <w:t>the</w:t>
      </w:r>
      <w:r>
        <w:rPr>
          <w:spacing w:val="-4"/>
          <w:w w:val="105"/>
          <w:sz w:val="21"/>
        </w:rPr>
        <w:t> </w:t>
      </w:r>
      <w:r>
        <w:rPr>
          <w:w w:val="105"/>
          <w:sz w:val="21"/>
        </w:rPr>
        <w:t>cost</w:t>
      </w:r>
      <w:r>
        <w:rPr>
          <w:spacing w:val="-5"/>
          <w:w w:val="105"/>
          <w:sz w:val="21"/>
        </w:rPr>
        <w:t> </w:t>
      </w:r>
      <w:r>
        <w:rPr>
          <w:w w:val="105"/>
          <w:sz w:val="21"/>
        </w:rPr>
        <w:t>of</w:t>
      </w:r>
      <w:r>
        <w:rPr>
          <w:spacing w:val="-4"/>
          <w:w w:val="105"/>
          <w:sz w:val="21"/>
        </w:rPr>
        <w:t> </w:t>
      </w:r>
      <w:r>
        <w:rPr>
          <w:w w:val="105"/>
          <w:sz w:val="21"/>
        </w:rPr>
        <w:t>tree</w:t>
      </w:r>
      <w:r>
        <w:rPr>
          <w:spacing w:val="-4"/>
          <w:w w:val="105"/>
          <w:sz w:val="21"/>
        </w:rPr>
        <w:t> </w:t>
      </w:r>
      <w:r>
        <w:rPr>
          <w:w w:val="105"/>
          <w:sz w:val="21"/>
        </w:rPr>
        <w:t>works</w:t>
      </w:r>
      <w:r>
        <w:rPr>
          <w:spacing w:val="-4"/>
          <w:w w:val="105"/>
          <w:sz w:val="21"/>
        </w:rPr>
        <w:t> </w:t>
      </w:r>
      <w:r>
        <w:rPr>
          <w:w w:val="105"/>
          <w:sz w:val="21"/>
        </w:rPr>
        <w:t>or</w:t>
      </w:r>
      <w:r>
        <w:rPr>
          <w:spacing w:val="-4"/>
          <w:w w:val="105"/>
          <w:sz w:val="21"/>
        </w:rPr>
        <w:t> </w:t>
      </w:r>
      <w:r>
        <w:rPr>
          <w:w w:val="105"/>
          <w:sz w:val="21"/>
        </w:rPr>
        <w:t>the</w:t>
      </w:r>
      <w:r>
        <w:rPr>
          <w:spacing w:val="-4"/>
          <w:w w:val="105"/>
          <w:sz w:val="21"/>
        </w:rPr>
        <w:t> </w:t>
      </w:r>
      <w:r>
        <w:rPr>
          <w:w w:val="105"/>
          <w:sz w:val="21"/>
        </w:rPr>
        <w:t>cost</w:t>
      </w:r>
      <w:r>
        <w:rPr>
          <w:spacing w:val="-4"/>
          <w:w w:val="105"/>
          <w:sz w:val="21"/>
        </w:rPr>
        <w:t> </w:t>
      </w:r>
      <w:r>
        <w:rPr>
          <w:w w:val="105"/>
          <w:sz w:val="21"/>
        </w:rPr>
        <w:t>of </w:t>
      </w:r>
      <w:r>
        <w:rPr>
          <w:spacing w:val="-4"/>
          <w:w w:val="105"/>
          <w:sz w:val="21"/>
        </w:rPr>
        <w:t>repairs.</w:t>
      </w:r>
      <w:r>
        <w:rPr>
          <w:spacing w:val="-4"/>
          <w:w w:val="105"/>
          <w:position w:val="7"/>
          <w:sz w:val="12"/>
        </w:rPr>
        <w:t>140</w:t>
      </w:r>
    </w:p>
    <w:p>
      <w:pPr>
        <w:pStyle w:val="BodyText"/>
        <w:spacing w:before="2"/>
        <w:rPr>
          <w:sz w:val="20"/>
        </w:rPr>
      </w:pPr>
    </w:p>
    <w:p>
      <w:pPr>
        <w:pStyle w:val="Heading5"/>
        <w:spacing w:before="1"/>
      </w:pPr>
      <w:r>
        <w:rPr>
          <w:w w:val="115"/>
        </w:rPr>
        <w:t>Emotional toll of tree disputes</w:t>
      </w:r>
    </w:p>
    <w:p>
      <w:pPr>
        <w:pStyle w:val="ListParagraph"/>
        <w:numPr>
          <w:ilvl w:val="1"/>
          <w:numId w:val="16"/>
        </w:numPr>
        <w:tabs>
          <w:tab w:pos="2380" w:val="left" w:leader="none"/>
          <w:tab w:pos="2381" w:val="left" w:leader="none"/>
        </w:tabs>
        <w:spacing w:line="242" w:lineRule="auto" w:before="137" w:after="0"/>
        <w:ind w:left="2381" w:right="1492" w:hanging="794"/>
        <w:jc w:val="left"/>
        <w:rPr>
          <w:sz w:val="21"/>
        </w:rPr>
      </w:pPr>
      <w:r>
        <w:rPr>
          <w:w w:val="105"/>
          <w:sz w:val="21"/>
        </w:rPr>
        <w:t>Some</w:t>
      </w:r>
      <w:r>
        <w:rPr>
          <w:spacing w:val="-9"/>
          <w:w w:val="105"/>
          <w:sz w:val="21"/>
        </w:rPr>
        <w:t> </w:t>
      </w:r>
      <w:r>
        <w:rPr>
          <w:w w:val="105"/>
          <w:sz w:val="21"/>
        </w:rPr>
        <w:t>community</w:t>
      </w:r>
      <w:r>
        <w:rPr>
          <w:spacing w:val="-9"/>
          <w:w w:val="105"/>
          <w:sz w:val="21"/>
        </w:rPr>
        <w:t> </w:t>
      </w:r>
      <w:r>
        <w:rPr>
          <w:w w:val="105"/>
          <w:sz w:val="21"/>
        </w:rPr>
        <w:t>members</w:t>
      </w:r>
      <w:r>
        <w:rPr>
          <w:spacing w:val="-9"/>
          <w:w w:val="105"/>
          <w:sz w:val="21"/>
        </w:rPr>
        <w:t> </w:t>
      </w:r>
      <w:r>
        <w:rPr>
          <w:w w:val="105"/>
          <w:sz w:val="21"/>
        </w:rPr>
        <w:t>described</w:t>
      </w:r>
      <w:r>
        <w:rPr>
          <w:spacing w:val="-8"/>
          <w:w w:val="105"/>
          <w:sz w:val="21"/>
        </w:rPr>
        <w:t> </w:t>
      </w:r>
      <w:r>
        <w:rPr>
          <w:w w:val="105"/>
          <w:sz w:val="21"/>
        </w:rPr>
        <w:t>the</w:t>
      </w:r>
      <w:r>
        <w:rPr>
          <w:spacing w:val="-9"/>
          <w:w w:val="105"/>
          <w:sz w:val="21"/>
        </w:rPr>
        <w:t> </w:t>
      </w:r>
      <w:r>
        <w:rPr>
          <w:spacing w:val="-3"/>
          <w:w w:val="105"/>
          <w:sz w:val="21"/>
        </w:rPr>
        <w:t>emotional</w:t>
      </w:r>
      <w:r>
        <w:rPr>
          <w:spacing w:val="-9"/>
          <w:w w:val="105"/>
          <w:sz w:val="21"/>
        </w:rPr>
        <w:t> </w:t>
      </w:r>
      <w:r>
        <w:rPr>
          <w:spacing w:val="-3"/>
          <w:w w:val="105"/>
          <w:sz w:val="21"/>
        </w:rPr>
        <w:t>toll</w:t>
      </w:r>
      <w:r>
        <w:rPr>
          <w:spacing w:val="-8"/>
          <w:w w:val="105"/>
          <w:sz w:val="21"/>
        </w:rPr>
        <w:t> </w:t>
      </w:r>
      <w:r>
        <w:rPr>
          <w:w w:val="105"/>
          <w:sz w:val="21"/>
        </w:rPr>
        <w:t>of</w:t>
      </w:r>
      <w:r>
        <w:rPr>
          <w:spacing w:val="-9"/>
          <w:w w:val="105"/>
          <w:sz w:val="21"/>
        </w:rPr>
        <w:t> </w:t>
      </w:r>
      <w:r>
        <w:rPr>
          <w:w w:val="105"/>
          <w:sz w:val="21"/>
        </w:rPr>
        <w:t>being</w:t>
      </w:r>
      <w:r>
        <w:rPr>
          <w:spacing w:val="-9"/>
          <w:w w:val="105"/>
          <w:sz w:val="21"/>
        </w:rPr>
        <w:t> </w:t>
      </w:r>
      <w:r>
        <w:rPr>
          <w:spacing w:val="-3"/>
          <w:w w:val="105"/>
          <w:sz w:val="21"/>
        </w:rPr>
        <w:t>involved</w:t>
      </w:r>
      <w:r>
        <w:rPr>
          <w:spacing w:val="-9"/>
          <w:w w:val="105"/>
          <w:sz w:val="21"/>
        </w:rPr>
        <w:t> </w:t>
      </w:r>
      <w:r>
        <w:rPr>
          <w:w w:val="105"/>
          <w:sz w:val="21"/>
        </w:rPr>
        <w:t>in</w:t>
      </w:r>
      <w:r>
        <w:rPr>
          <w:spacing w:val="-8"/>
          <w:w w:val="105"/>
          <w:sz w:val="21"/>
        </w:rPr>
        <w:t> </w:t>
      </w:r>
      <w:r>
        <w:rPr>
          <w:w w:val="105"/>
          <w:sz w:val="21"/>
        </w:rPr>
        <w:t>a</w:t>
      </w:r>
      <w:r>
        <w:rPr>
          <w:spacing w:val="-9"/>
          <w:w w:val="105"/>
          <w:sz w:val="21"/>
        </w:rPr>
        <w:t> </w:t>
      </w:r>
      <w:r>
        <w:rPr>
          <w:w w:val="105"/>
          <w:sz w:val="21"/>
        </w:rPr>
        <w:t>tree</w:t>
      </w:r>
      <w:r>
        <w:rPr>
          <w:spacing w:val="-9"/>
          <w:w w:val="105"/>
          <w:sz w:val="21"/>
        </w:rPr>
        <w:t> </w:t>
      </w:r>
      <w:r>
        <w:rPr>
          <w:spacing w:val="-3"/>
          <w:w w:val="105"/>
          <w:sz w:val="21"/>
        </w:rPr>
        <w:t>dispute. </w:t>
      </w:r>
      <w:r>
        <w:rPr>
          <w:w w:val="105"/>
          <w:sz w:val="21"/>
        </w:rPr>
        <w:t>They reported </w:t>
      </w:r>
      <w:r>
        <w:rPr>
          <w:spacing w:val="-3"/>
          <w:w w:val="105"/>
          <w:sz w:val="21"/>
        </w:rPr>
        <w:t>feelings </w:t>
      </w:r>
      <w:r>
        <w:rPr>
          <w:w w:val="105"/>
          <w:sz w:val="21"/>
        </w:rPr>
        <w:t>of </w:t>
      </w:r>
      <w:r>
        <w:rPr>
          <w:spacing w:val="-3"/>
          <w:w w:val="105"/>
          <w:sz w:val="21"/>
        </w:rPr>
        <w:t>frustration </w:t>
      </w:r>
      <w:r>
        <w:rPr>
          <w:w w:val="105"/>
          <w:sz w:val="21"/>
        </w:rPr>
        <w:t>and distress, especially with protracted </w:t>
      </w:r>
      <w:r>
        <w:rPr>
          <w:spacing w:val="-3"/>
          <w:w w:val="105"/>
          <w:sz w:val="21"/>
        </w:rPr>
        <w:t>disputes that cannot </w:t>
      </w:r>
      <w:r>
        <w:rPr>
          <w:w w:val="105"/>
          <w:sz w:val="21"/>
        </w:rPr>
        <w:t>be</w:t>
      </w:r>
      <w:r>
        <w:rPr>
          <w:spacing w:val="13"/>
          <w:w w:val="105"/>
          <w:sz w:val="21"/>
        </w:rPr>
        <w:t> </w:t>
      </w:r>
      <w:r>
        <w:rPr>
          <w:spacing w:val="-4"/>
          <w:w w:val="105"/>
          <w:sz w:val="21"/>
        </w:rPr>
        <w:t>resolved.</w:t>
      </w:r>
      <w:r>
        <w:rPr>
          <w:spacing w:val="-4"/>
          <w:w w:val="105"/>
          <w:position w:val="7"/>
          <w:sz w:val="12"/>
        </w:rPr>
        <w:t>141</w:t>
      </w:r>
    </w:p>
    <w:p>
      <w:pPr>
        <w:pStyle w:val="ListParagraph"/>
        <w:numPr>
          <w:ilvl w:val="1"/>
          <w:numId w:val="16"/>
        </w:numPr>
        <w:tabs>
          <w:tab w:pos="2381" w:val="left" w:leader="none"/>
          <w:tab w:pos="2382" w:val="left" w:leader="none"/>
        </w:tabs>
        <w:spacing w:line="242" w:lineRule="auto" w:before="123" w:after="0"/>
        <w:ind w:left="2381" w:right="1971" w:hanging="794"/>
        <w:jc w:val="left"/>
        <w:rPr>
          <w:sz w:val="21"/>
        </w:rPr>
      </w:pPr>
      <w:r>
        <w:rPr>
          <w:w w:val="105"/>
          <w:sz w:val="21"/>
        </w:rPr>
        <w:t>Some</w:t>
      </w:r>
      <w:r>
        <w:rPr>
          <w:spacing w:val="-8"/>
          <w:w w:val="105"/>
          <w:sz w:val="21"/>
        </w:rPr>
        <w:t> </w:t>
      </w:r>
      <w:r>
        <w:rPr>
          <w:w w:val="105"/>
          <w:sz w:val="21"/>
        </w:rPr>
        <w:t>people</w:t>
      </w:r>
      <w:r>
        <w:rPr>
          <w:spacing w:val="-8"/>
          <w:w w:val="105"/>
          <w:sz w:val="21"/>
        </w:rPr>
        <w:t> </w:t>
      </w:r>
      <w:r>
        <w:rPr>
          <w:w w:val="105"/>
          <w:sz w:val="21"/>
        </w:rPr>
        <w:t>also</w:t>
      </w:r>
      <w:r>
        <w:rPr>
          <w:spacing w:val="-8"/>
          <w:w w:val="105"/>
          <w:sz w:val="21"/>
        </w:rPr>
        <w:t> </w:t>
      </w:r>
      <w:r>
        <w:rPr>
          <w:w w:val="105"/>
          <w:sz w:val="21"/>
        </w:rPr>
        <w:t>reported</w:t>
      </w:r>
      <w:r>
        <w:rPr>
          <w:spacing w:val="-8"/>
          <w:w w:val="105"/>
          <w:sz w:val="21"/>
        </w:rPr>
        <w:t> </w:t>
      </w:r>
      <w:r>
        <w:rPr>
          <w:spacing w:val="-3"/>
          <w:w w:val="105"/>
          <w:sz w:val="21"/>
        </w:rPr>
        <w:t>feeling</w:t>
      </w:r>
      <w:r>
        <w:rPr>
          <w:spacing w:val="-8"/>
          <w:w w:val="105"/>
          <w:sz w:val="21"/>
        </w:rPr>
        <w:t> </w:t>
      </w:r>
      <w:r>
        <w:rPr>
          <w:w w:val="105"/>
          <w:sz w:val="21"/>
        </w:rPr>
        <w:t>anxious</w:t>
      </w:r>
      <w:r>
        <w:rPr>
          <w:spacing w:val="-8"/>
          <w:w w:val="105"/>
          <w:sz w:val="21"/>
        </w:rPr>
        <w:t> </w:t>
      </w:r>
      <w:r>
        <w:rPr>
          <w:w w:val="105"/>
          <w:sz w:val="21"/>
        </w:rPr>
        <w:t>or</w:t>
      </w:r>
      <w:r>
        <w:rPr>
          <w:spacing w:val="-8"/>
          <w:w w:val="105"/>
          <w:sz w:val="21"/>
        </w:rPr>
        <w:t> </w:t>
      </w:r>
      <w:r>
        <w:rPr>
          <w:w w:val="105"/>
          <w:sz w:val="21"/>
        </w:rPr>
        <w:t>fearful</w:t>
      </w:r>
      <w:r>
        <w:rPr>
          <w:spacing w:val="-7"/>
          <w:w w:val="105"/>
          <w:sz w:val="21"/>
        </w:rPr>
        <w:t> </w:t>
      </w:r>
      <w:r>
        <w:rPr>
          <w:w w:val="105"/>
          <w:sz w:val="21"/>
        </w:rPr>
        <w:t>about</w:t>
      </w:r>
      <w:r>
        <w:rPr>
          <w:spacing w:val="-8"/>
          <w:w w:val="105"/>
          <w:sz w:val="21"/>
        </w:rPr>
        <w:t> </w:t>
      </w:r>
      <w:r>
        <w:rPr>
          <w:spacing w:val="-3"/>
          <w:w w:val="105"/>
          <w:sz w:val="21"/>
        </w:rPr>
        <w:t>occupying</w:t>
      </w:r>
      <w:r>
        <w:rPr>
          <w:spacing w:val="-8"/>
          <w:w w:val="105"/>
          <w:sz w:val="21"/>
        </w:rPr>
        <w:t> </w:t>
      </w:r>
      <w:r>
        <w:rPr>
          <w:w w:val="105"/>
          <w:sz w:val="21"/>
        </w:rPr>
        <w:t>their</w:t>
      </w:r>
      <w:r>
        <w:rPr>
          <w:spacing w:val="-8"/>
          <w:w w:val="105"/>
          <w:sz w:val="21"/>
        </w:rPr>
        <w:t> </w:t>
      </w:r>
      <w:r>
        <w:rPr>
          <w:w w:val="105"/>
          <w:sz w:val="21"/>
        </w:rPr>
        <w:t>homes,</w:t>
      </w:r>
      <w:r>
        <w:rPr>
          <w:spacing w:val="-8"/>
          <w:w w:val="105"/>
          <w:sz w:val="21"/>
        </w:rPr>
        <w:t> </w:t>
      </w:r>
      <w:r>
        <w:rPr>
          <w:w w:val="105"/>
          <w:sz w:val="21"/>
        </w:rPr>
        <w:t>or </w:t>
      </w:r>
      <w:r>
        <w:rPr>
          <w:spacing w:val="-3"/>
          <w:w w:val="105"/>
          <w:sz w:val="21"/>
        </w:rPr>
        <w:t>yards </w:t>
      </w:r>
      <w:r>
        <w:rPr>
          <w:w w:val="105"/>
          <w:sz w:val="21"/>
        </w:rPr>
        <w:t>especially </w:t>
      </w:r>
      <w:r>
        <w:rPr>
          <w:spacing w:val="-3"/>
          <w:w w:val="105"/>
          <w:sz w:val="21"/>
        </w:rPr>
        <w:t>during turbulent weather </w:t>
      </w:r>
      <w:r>
        <w:rPr>
          <w:w w:val="105"/>
          <w:sz w:val="21"/>
        </w:rPr>
        <w:t>or </w:t>
      </w:r>
      <w:r>
        <w:rPr>
          <w:spacing w:val="-3"/>
          <w:w w:val="105"/>
          <w:sz w:val="21"/>
        </w:rPr>
        <w:t>bushfire</w:t>
      </w:r>
      <w:r>
        <w:rPr>
          <w:spacing w:val="36"/>
          <w:w w:val="105"/>
          <w:sz w:val="21"/>
        </w:rPr>
        <w:t> </w:t>
      </w:r>
      <w:r>
        <w:rPr>
          <w:spacing w:val="-4"/>
          <w:w w:val="105"/>
          <w:sz w:val="21"/>
        </w:rPr>
        <w:t>season.</w:t>
      </w:r>
      <w:r>
        <w:rPr>
          <w:spacing w:val="-4"/>
          <w:w w:val="105"/>
          <w:position w:val="7"/>
          <w:sz w:val="12"/>
        </w:rPr>
        <w:t>142</w:t>
      </w:r>
    </w:p>
    <w:p>
      <w:pPr>
        <w:pStyle w:val="BodyText"/>
        <w:spacing w:before="3"/>
        <w:rPr>
          <w:sz w:val="20"/>
        </w:rPr>
      </w:pPr>
    </w:p>
    <w:p>
      <w:pPr>
        <w:pStyle w:val="Heading5"/>
      </w:pPr>
      <w:r>
        <w:rPr>
          <w:w w:val="110"/>
        </w:rPr>
        <w:t>Greater impact on vulnerable people</w:t>
      </w:r>
    </w:p>
    <w:p>
      <w:pPr>
        <w:pStyle w:val="ListParagraph"/>
        <w:numPr>
          <w:ilvl w:val="1"/>
          <w:numId w:val="16"/>
        </w:numPr>
        <w:tabs>
          <w:tab w:pos="2380" w:val="left" w:leader="none"/>
          <w:tab w:pos="2381" w:val="left" w:leader="none"/>
        </w:tabs>
        <w:spacing w:line="242" w:lineRule="auto" w:before="137" w:after="0"/>
        <w:ind w:left="2381" w:right="1529" w:hanging="794"/>
        <w:jc w:val="left"/>
        <w:rPr>
          <w:sz w:val="21"/>
        </w:rPr>
      </w:pPr>
      <w:r>
        <w:rPr>
          <w:w w:val="105"/>
          <w:sz w:val="21"/>
        </w:rPr>
        <w:t>Some people in the community can </w:t>
      </w:r>
      <w:r>
        <w:rPr>
          <w:spacing w:val="-3"/>
          <w:w w:val="105"/>
          <w:sz w:val="21"/>
        </w:rPr>
        <w:t>face greater challenges </w:t>
      </w:r>
      <w:r>
        <w:rPr>
          <w:w w:val="105"/>
          <w:sz w:val="21"/>
        </w:rPr>
        <w:t>when trying </w:t>
      </w:r>
      <w:r>
        <w:rPr>
          <w:spacing w:val="-3"/>
          <w:w w:val="105"/>
          <w:sz w:val="21"/>
        </w:rPr>
        <w:t>to </w:t>
      </w:r>
      <w:r>
        <w:rPr>
          <w:w w:val="105"/>
          <w:sz w:val="21"/>
        </w:rPr>
        <w:t>resolve tree </w:t>
      </w:r>
      <w:r>
        <w:rPr>
          <w:spacing w:val="-3"/>
          <w:w w:val="105"/>
          <w:sz w:val="21"/>
        </w:rPr>
        <w:t>disputes. </w:t>
      </w:r>
      <w:r>
        <w:rPr>
          <w:w w:val="105"/>
          <w:sz w:val="21"/>
        </w:rPr>
        <w:t>Barwon </w:t>
      </w:r>
      <w:r>
        <w:rPr>
          <w:spacing w:val="-3"/>
          <w:w w:val="105"/>
          <w:sz w:val="21"/>
        </w:rPr>
        <w:t>Community </w:t>
      </w:r>
      <w:r>
        <w:rPr>
          <w:w w:val="105"/>
          <w:sz w:val="21"/>
        </w:rPr>
        <w:t>Legal Service (BCLS) </w:t>
      </w:r>
      <w:r>
        <w:rPr>
          <w:spacing w:val="-3"/>
          <w:w w:val="105"/>
          <w:sz w:val="21"/>
        </w:rPr>
        <w:t>noted that </w:t>
      </w:r>
      <w:r>
        <w:rPr>
          <w:w w:val="105"/>
          <w:sz w:val="21"/>
        </w:rPr>
        <w:t>the </w:t>
      </w:r>
      <w:r>
        <w:rPr>
          <w:spacing w:val="-3"/>
          <w:w w:val="105"/>
          <w:sz w:val="21"/>
        </w:rPr>
        <w:t>eight </w:t>
      </w:r>
      <w:r>
        <w:rPr>
          <w:w w:val="105"/>
          <w:sz w:val="21"/>
        </w:rPr>
        <w:t>clients who </w:t>
      </w:r>
      <w:r>
        <w:rPr>
          <w:spacing w:val="-3"/>
          <w:w w:val="105"/>
          <w:sz w:val="21"/>
        </w:rPr>
        <w:t>sought </w:t>
      </w:r>
      <w:r>
        <w:rPr>
          <w:w w:val="105"/>
          <w:sz w:val="21"/>
        </w:rPr>
        <w:t>its legal assistance with a tree </w:t>
      </w:r>
      <w:r>
        <w:rPr>
          <w:spacing w:val="-3"/>
          <w:w w:val="105"/>
          <w:sz w:val="21"/>
        </w:rPr>
        <w:t>dispute </w:t>
      </w:r>
      <w:r>
        <w:rPr>
          <w:w w:val="105"/>
          <w:sz w:val="21"/>
        </w:rPr>
        <w:t>between April </w:t>
      </w:r>
      <w:r>
        <w:rPr>
          <w:spacing w:val="-9"/>
          <w:w w:val="105"/>
          <w:sz w:val="21"/>
        </w:rPr>
        <w:t>2017 </w:t>
      </w:r>
      <w:r>
        <w:rPr>
          <w:w w:val="105"/>
          <w:sz w:val="21"/>
        </w:rPr>
        <w:t>and </w:t>
      </w:r>
      <w:r>
        <w:rPr>
          <w:spacing w:val="-3"/>
          <w:w w:val="105"/>
          <w:sz w:val="21"/>
        </w:rPr>
        <w:t>March </w:t>
      </w:r>
      <w:r>
        <w:rPr>
          <w:spacing w:val="-7"/>
          <w:w w:val="105"/>
          <w:sz w:val="21"/>
        </w:rPr>
        <w:t>2018 </w:t>
      </w:r>
      <w:r>
        <w:rPr>
          <w:spacing w:val="-3"/>
          <w:w w:val="105"/>
          <w:sz w:val="21"/>
        </w:rPr>
        <w:t>were ‘largely </w:t>
      </w:r>
      <w:r>
        <w:rPr>
          <w:w w:val="105"/>
          <w:sz w:val="21"/>
        </w:rPr>
        <w:t>the most </w:t>
      </w:r>
      <w:r>
        <w:rPr>
          <w:spacing w:val="-3"/>
          <w:w w:val="105"/>
          <w:sz w:val="21"/>
        </w:rPr>
        <w:t>vulnerable </w:t>
      </w:r>
      <w:r>
        <w:rPr>
          <w:w w:val="105"/>
          <w:sz w:val="21"/>
        </w:rPr>
        <w:t>in our community being elderly or </w:t>
      </w:r>
      <w:r>
        <w:rPr>
          <w:spacing w:val="-3"/>
          <w:w w:val="105"/>
          <w:sz w:val="21"/>
        </w:rPr>
        <w:t>suffering from </w:t>
      </w:r>
      <w:r>
        <w:rPr>
          <w:w w:val="105"/>
          <w:sz w:val="21"/>
        </w:rPr>
        <w:t>mental </w:t>
      </w:r>
      <w:r>
        <w:rPr>
          <w:spacing w:val="-3"/>
          <w:w w:val="105"/>
          <w:sz w:val="21"/>
        </w:rPr>
        <w:t>illness’ </w:t>
      </w:r>
      <w:r>
        <w:rPr>
          <w:w w:val="105"/>
          <w:sz w:val="21"/>
        </w:rPr>
        <w:t>and </w:t>
      </w:r>
      <w:r>
        <w:rPr>
          <w:spacing w:val="-3"/>
          <w:w w:val="105"/>
          <w:sz w:val="21"/>
        </w:rPr>
        <w:t>that</w:t>
      </w:r>
      <w:r>
        <w:rPr>
          <w:spacing w:val="-12"/>
          <w:w w:val="105"/>
          <w:sz w:val="21"/>
        </w:rPr>
        <w:t> </w:t>
      </w:r>
      <w:r>
        <w:rPr>
          <w:spacing w:val="-3"/>
          <w:w w:val="105"/>
          <w:sz w:val="21"/>
        </w:rPr>
        <w:t>all</w:t>
      </w:r>
      <w:r>
        <w:rPr>
          <w:spacing w:val="-12"/>
          <w:w w:val="105"/>
          <w:sz w:val="21"/>
        </w:rPr>
        <w:t> </w:t>
      </w:r>
      <w:r>
        <w:rPr>
          <w:w w:val="105"/>
          <w:sz w:val="21"/>
        </w:rPr>
        <w:t>of</w:t>
      </w:r>
      <w:r>
        <w:rPr>
          <w:spacing w:val="-12"/>
          <w:w w:val="105"/>
          <w:sz w:val="21"/>
        </w:rPr>
        <w:t> </w:t>
      </w:r>
      <w:r>
        <w:rPr>
          <w:w w:val="105"/>
          <w:sz w:val="21"/>
        </w:rPr>
        <w:t>these</w:t>
      </w:r>
      <w:r>
        <w:rPr>
          <w:spacing w:val="-12"/>
          <w:w w:val="105"/>
          <w:sz w:val="21"/>
        </w:rPr>
        <w:t> </w:t>
      </w:r>
      <w:r>
        <w:rPr>
          <w:w w:val="105"/>
          <w:sz w:val="21"/>
        </w:rPr>
        <w:t>clients</w:t>
      </w:r>
      <w:r>
        <w:rPr>
          <w:spacing w:val="-12"/>
          <w:w w:val="105"/>
          <w:sz w:val="21"/>
        </w:rPr>
        <w:t> </w:t>
      </w:r>
      <w:r>
        <w:rPr>
          <w:w w:val="105"/>
          <w:sz w:val="21"/>
        </w:rPr>
        <w:t>‘identified</w:t>
      </w:r>
      <w:r>
        <w:rPr>
          <w:spacing w:val="-12"/>
          <w:w w:val="105"/>
          <w:sz w:val="21"/>
        </w:rPr>
        <w:t> </w:t>
      </w:r>
      <w:r>
        <w:rPr>
          <w:w w:val="105"/>
          <w:sz w:val="21"/>
        </w:rPr>
        <w:t>their</w:t>
      </w:r>
      <w:r>
        <w:rPr>
          <w:spacing w:val="-12"/>
          <w:w w:val="105"/>
          <w:sz w:val="21"/>
        </w:rPr>
        <w:t> </w:t>
      </w:r>
      <w:r>
        <w:rPr>
          <w:spacing w:val="-3"/>
          <w:w w:val="105"/>
          <w:sz w:val="21"/>
        </w:rPr>
        <w:t>income</w:t>
      </w:r>
      <w:r>
        <w:rPr>
          <w:spacing w:val="-11"/>
          <w:w w:val="105"/>
          <w:sz w:val="21"/>
        </w:rPr>
        <w:t> </w:t>
      </w:r>
      <w:r>
        <w:rPr>
          <w:w w:val="105"/>
          <w:sz w:val="21"/>
        </w:rPr>
        <w:t>level</w:t>
      </w:r>
      <w:r>
        <w:rPr>
          <w:spacing w:val="-12"/>
          <w:w w:val="105"/>
          <w:sz w:val="21"/>
        </w:rPr>
        <w:t> </w:t>
      </w:r>
      <w:r>
        <w:rPr>
          <w:w w:val="105"/>
          <w:sz w:val="21"/>
        </w:rPr>
        <w:t>as</w:t>
      </w:r>
      <w:r>
        <w:rPr>
          <w:spacing w:val="-12"/>
          <w:w w:val="105"/>
          <w:sz w:val="21"/>
        </w:rPr>
        <w:t> </w:t>
      </w:r>
      <w:r>
        <w:rPr>
          <w:w w:val="105"/>
          <w:sz w:val="21"/>
        </w:rPr>
        <w:t>low</w:t>
      </w:r>
      <w:r>
        <w:rPr>
          <w:spacing w:val="-12"/>
          <w:w w:val="105"/>
          <w:sz w:val="21"/>
        </w:rPr>
        <w:t> </w:t>
      </w:r>
      <w:r>
        <w:rPr>
          <w:w w:val="105"/>
          <w:sz w:val="21"/>
        </w:rPr>
        <w:t>with</w:t>
      </w:r>
      <w:r>
        <w:rPr>
          <w:spacing w:val="-12"/>
          <w:w w:val="105"/>
          <w:sz w:val="21"/>
        </w:rPr>
        <w:t> </w:t>
      </w:r>
      <w:r>
        <w:rPr>
          <w:w w:val="105"/>
          <w:sz w:val="21"/>
        </w:rPr>
        <w:t>the</w:t>
      </w:r>
      <w:r>
        <w:rPr>
          <w:spacing w:val="-12"/>
          <w:w w:val="105"/>
          <w:sz w:val="21"/>
        </w:rPr>
        <w:t> </w:t>
      </w:r>
      <w:r>
        <w:rPr>
          <w:w w:val="105"/>
          <w:sz w:val="21"/>
        </w:rPr>
        <w:t>majority</w:t>
      </w:r>
      <w:r>
        <w:rPr>
          <w:spacing w:val="-12"/>
          <w:w w:val="105"/>
          <w:sz w:val="21"/>
        </w:rPr>
        <w:t> </w:t>
      </w:r>
      <w:r>
        <w:rPr>
          <w:spacing w:val="-3"/>
          <w:w w:val="105"/>
          <w:sz w:val="21"/>
        </w:rPr>
        <w:t>receiving</w:t>
      </w:r>
      <w:r>
        <w:rPr>
          <w:spacing w:val="-11"/>
          <w:w w:val="105"/>
          <w:sz w:val="21"/>
        </w:rPr>
        <w:t> </w:t>
      </w:r>
      <w:r>
        <w:rPr>
          <w:w w:val="105"/>
          <w:sz w:val="21"/>
        </w:rPr>
        <w:t>their only </w:t>
      </w:r>
      <w:r>
        <w:rPr>
          <w:spacing w:val="-3"/>
          <w:w w:val="105"/>
          <w:sz w:val="21"/>
        </w:rPr>
        <w:t>income from</w:t>
      </w:r>
      <w:r>
        <w:rPr>
          <w:spacing w:val="20"/>
          <w:w w:val="105"/>
          <w:sz w:val="21"/>
        </w:rPr>
        <w:t> </w:t>
      </w:r>
      <w:r>
        <w:rPr>
          <w:spacing w:val="-6"/>
          <w:w w:val="105"/>
          <w:sz w:val="21"/>
        </w:rPr>
        <w:t>Centrelink’.</w:t>
      </w:r>
      <w:r>
        <w:rPr>
          <w:spacing w:val="-6"/>
          <w:w w:val="105"/>
          <w:position w:val="7"/>
          <w:sz w:val="12"/>
        </w:rPr>
        <w:t>143</w:t>
      </w:r>
    </w:p>
    <w:p>
      <w:pPr>
        <w:pStyle w:val="ListParagraph"/>
        <w:numPr>
          <w:ilvl w:val="1"/>
          <w:numId w:val="16"/>
        </w:numPr>
        <w:tabs>
          <w:tab w:pos="2380" w:val="left" w:leader="none"/>
          <w:tab w:pos="2381" w:val="left" w:leader="none"/>
        </w:tabs>
        <w:spacing w:line="242" w:lineRule="auto" w:before="127" w:after="0"/>
        <w:ind w:left="2381" w:right="1827" w:hanging="794"/>
        <w:jc w:val="left"/>
        <w:rPr>
          <w:sz w:val="21"/>
        </w:rPr>
      </w:pPr>
      <w:r>
        <w:rPr>
          <w:w w:val="105"/>
          <w:sz w:val="21"/>
        </w:rPr>
        <w:t>Arborist</w:t>
      </w:r>
      <w:r>
        <w:rPr>
          <w:spacing w:val="-10"/>
          <w:w w:val="105"/>
          <w:sz w:val="21"/>
        </w:rPr>
        <w:t> </w:t>
      </w:r>
      <w:r>
        <w:rPr>
          <w:w w:val="105"/>
          <w:sz w:val="21"/>
        </w:rPr>
        <w:t>Robert</w:t>
      </w:r>
      <w:r>
        <w:rPr>
          <w:spacing w:val="-10"/>
          <w:w w:val="105"/>
          <w:sz w:val="21"/>
        </w:rPr>
        <w:t> </w:t>
      </w:r>
      <w:r>
        <w:rPr>
          <w:w w:val="105"/>
          <w:sz w:val="21"/>
        </w:rPr>
        <w:t>Mineo</w:t>
      </w:r>
      <w:r>
        <w:rPr>
          <w:spacing w:val="-10"/>
          <w:w w:val="105"/>
          <w:sz w:val="21"/>
        </w:rPr>
        <w:t> </w:t>
      </w:r>
      <w:r>
        <w:rPr>
          <w:w w:val="105"/>
          <w:sz w:val="21"/>
        </w:rPr>
        <w:t>suggested</w:t>
      </w:r>
      <w:r>
        <w:rPr>
          <w:spacing w:val="-10"/>
          <w:w w:val="105"/>
          <w:sz w:val="21"/>
        </w:rPr>
        <w:t> </w:t>
      </w:r>
      <w:r>
        <w:rPr>
          <w:spacing w:val="-3"/>
          <w:w w:val="105"/>
          <w:sz w:val="21"/>
        </w:rPr>
        <w:t>that</w:t>
      </w:r>
      <w:r>
        <w:rPr>
          <w:spacing w:val="-10"/>
          <w:w w:val="105"/>
          <w:sz w:val="21"/>
        </w:rPr>
        <w:t> </w:t>
      </w:r>
      <w:r>
        <w:rPr>
          <w:w w:val="105"/>
          <w:sz w:val="21"/>
        </w:rPr>
        <w:t>some</w:t>
      </w:r>
      <w:r>
        <w:rPr>
          <w:spacing w:val="-10"/>
          <w:w w:val="105"/>
          <w:sz w:val="21"/>
        </w:rPr>
        <w:t> </w:t>
      </w:r>
      <w:r>
        <w:rPr>
          <w:w w:val="105"/>
          <w:sz w:val="21"/>
        </w:rPr>
        <w:t>older</w:t>
      </w:r>
      <w:r>
        <w:rPr>
          <w:spacing w:val="-10"/>
          <w:w w:val="105"/>
          <w:sz w:val="21"/>
        </w:rPr>
        <w:t> </w:t>
      </w:r>
      <w:r>
        <w:rPr>
          <w:w w:val="105"/>
          <w:sz w:val="21"/>
        </w:rPr>
        <w:t>people</w:t>
      </w:r>
      <w:r>
        <w:rPr>
          <w:spacing w:val="-10"/>
          <w:w w:val="105"/>
          <w:sz w:val="21"/>
        </w:rPr>
        <w:t> </w:t>
      </w:r>
      <w:r>
        <w:rPr>
          <w:spacing w:val="-3"/>
          <w:w w:val="105"/>
          <w:sz w:val="21"/>
        </w:rPr>
        <w:t>may</w:t>
      </w:r>
      <w:r>
        <w:rPr>
          <w:spacing w:val="-10"/>
          <w:w w:val="105"/>
          <w:sz w:val="21"/>
        </w:rPr>
        <w:t> </w:t>
      </w:r>
      <w:r>
        <w:rPr>
          <w:w w:val="105"/>
          <w:sz w:val="21"/>
        </w:rPr>
        <w:t>become</w:t>
      </w:r>
      <w:r>
        <w:rPr>
          <w:spacing w:val="-10"/>
          <w:w w:val="105"/>
          <w:sz w:val="21"/>
        </w:rPr>
        <w:t> </w:t>
      </w:r>
      <w:r>
        <w:rPr>
          <w:w w:val="105"/>
          <w:sz w:val="21"/>
        </w:rPr>
        <w:t>more</w:t>
      </w:r>
      <w:r>
        <w:rPr>
          <w:spacing w:val="-10"/>
          <w:w w:val="105"/>
          <w:sz w:val="21"/>
        </w:rPr>
        <w:t> </w:t>
      </w:r>
      <w:r>
        <w:rPr>
          <w:spacing w:val="-3"/>
          <w:w w:val="105"/>
          <w:sz w:val="21"/>
        </w:rPr>
        <w:t>frequently involved </w:t>
      </w:r>
      <w:r>
        <w:rPr>
          <w:w w:val="105"/>
          <w:sz w:val="21"/>
        </w:rPr>
        <w:t>in tree </w:t>
      </w:r>
      <w:r>
        <w:rPr>
          <w:spacing w:val="-3"/>
          <w:w w:val="105"/>
          <w:sz w:val="21"/>
        </w:rPr>
        <w:t>disputes </w:t>
      </w:r>
      <w:r>
        <w:rPr>
          <w:w w:val="105"/>
          <w:sz w:val="21"/>
        </w:rPr>
        <w:t>because it is more difficult </w:t>
      </w:r>
      <w:r>
        <w:rPr>
          <w:spacing w:val="-3"/>
          <w:w w:val="105"/>
          <w:sz w:val="21"/>
        </w:rPr>
        <w:t>for </w:t>
      </w:r>
      <w:r>
        <w:rPr>
          <w:w w:val="105"/>
          <w:sz w:val="21"/>
        </w:rPr>
        <w:t>them </w:t>
      </w:r>
      <w:r>
        <w:rPr>
          <w:spacing w:val="-3"/>
          <w:w w:val="105"/>
          <w:sz w:val="21"/>
        </w:rPr>
        <w:t>to maintain </w:t>
      </w:r>
      <w:r>
        <w:rPr>
          <w:w w:val="105"/>
          <w:sz w:val="21"/>
        </w:rPr>
        <w:t>and </w:t>
      </w:r>
      <w:r>
        <w:rPr>
          <w:spacing w:val="-3"/>
          <w:w w:val="105"/>
          <w:sz w:val="21"/>
        </w:rPr>
        <w:t>manage </w:t>
      </w:r>
      <w:r>
        <w:rPr>
          <w:w w:val="105"/>
          <w:sz w:val="21"/>
        </w:rPr>
        <w:t>problem </w:t>
      </w:r>
      <w:r>
        <w:rPr>
          <w:spacing w:val="-4"/>
          <w:w w:val="105"/>
          <w:sz w:val="21"/>
        </w:rPr>
        <w:t>trees.</w:t>
      </w:r>
      <w:r>
        <w:rPr>
          <w:spacing w:val="-4"/>
          <w:w w:val="105"/>
          <w:position w:val="7"/>
          <w:sz w:val="12"/>
        </w:rPr>
        <w:t>144 </w:t>
      </w:r>
      <w:r>
        <w:rPr>
          <w:spacing w:val="-3"/>
          <w:w w:val="105"/>
          <w:sz w:val="21"/>
        </w:rPr>
        <w:t>Financial </w:t>
      </w:r>
      <w:r>
        <w:rPr>
          <w:w w:val="105"/>
          <w:sz w:val="21"/>
        </w:rPr>
        <w:t>incapacity </w:t>
      </w:r>
      <w:r>
        <w:rPr>
          <w:spacing w:val="-3"/>
          <w:w w:val="105"/>
          <w:sz w:val="21"/>
        </w:rPr>
        <w:t>to </w:t>
      </w:r>
      <w:r>
        <w:rPr>
          <w:w w:val="105"/>
          <w:sz w:val="21"/>
        </w:rPr>
        <w:t>engage an arborist </w:t>
      </w:r>
      <w:r>
        <w:rPr>
          <w:spacing w:val="-3"/>
          <w:w w:val="105"/>
          <w:sz w:val="21"/>
        </w:rPr>
        <w:t>to </w:t>
      </w:r>
      <w:r>
        <w:rPr>
          <w:w w:val="105"/>
          <w:sz w:val="21"/>
        </w:rPr>
        <w:t>assess a tree or prune </w:t>
      </w:r>
      <w:r>
        <w:rPr>
          <w:spacing w:val="-3"/>
          <w:w w:val="105"/>
          <w:sz w:val="21"/>
        </w:rPr>
        <w:t>overhanging branches </w:t>
      </w:r>
      <w:r>
        <w:rPr>
          <w:w w:val="105"/>
          <w:sz w:val="21"/>
        </w:rPr>
        <w:t>was also </w:t>
      </w:r>
      <w:r>
        <w:rPr>
          <w:spacing w:val="-3"/>
          <w:w w:val="105"/>
          <w:sz w:val="21"/>
        </w:rPr>
        <w:t>noted </w:t>
      </w:r>
      <w:r>
        <w:rPr>
          <w:w w:val="105"/>
          <w:sz w:val="21"/>
        </w:rPr>
        <w:t>in a</w:t>
      </w:r>
      <w:r>
        <w:rPr>
          <w:spacing w:val="44"/>
          <w:w w:val="105"/>
          <w:sz w:val="21"/>
        </w:rPr>
        <w:t> </w:t>
      </w:r>
      <w:r>
        <w:rPr>
          <w:spacing w:val="-4"/>
          <w:w w:val="105"/>
          <w:sz w:val="21"/>
        </w:rPr>
        <w:t>submission.</w:t>
      </w:r>
      <w:r>
        <w:rPr>
          <w:spacing w:val="-4"/>
          <w:w w:val="105"/>
          <w:position w:val="7"/>
          <w:sz w:val="12"/>
        </w:rPr>
        <w:t>145</w:t>
      </w:r>
    </w:p>
    <w:p>
      <w:pPr>
        <w:pStyle w:val="BodyText"/>
        <w:spacing w:before="9"/>
        <w:rPr>
          <w:sz w:val="9"/>
        </w:rPr>
      </w:pPr>
      <w:r>
        <w:rPr/>
        <w:pict>
          <v:line style="position:absolute;mso-position-horizontal-relative:page;mso-position-vertical-relative:paragraph;z-index:272;mso-wrap-distance-left:0;mso-wrap-distance-right:0" from="79.370003pt,8.408253pt" to="521.575003pt,8.408253pt" stroked="true" strokeweight="1pt" strokecolor="#c9d2cb">
            <v:stroke dashstyle="solid"/>
            <w10:wrap type="topAndBottom"/>
          </v:line>
        </w:pict>
      </w:r>
    </w:p>
    <w:p>
      <w:pPr>
        <w:pStyle w:val="ListParagraph"/>
        <w:numPr>
          <w:ilvl w:val="0"/>
          <w:numId w:val="19"/>
        </w:numPr>
        <w:tabs>
          <w:tab w:pos="2380" w:val="left" w:leader="none"/>
          <w:tab w:pos="2382" w:val="left" w:leader="none"/>
        </w:tabs>
        <w:spacing w:line="240" w:lineRule="auto" w:before="117" w:after="0"/>
        <w:ind w:left="2381" w:right="0" w:hanging="794"/>
        <w:jc w:val="left"/>
        <w:rPr>
          <w:sz w:val="13"/>
        </w:rPr>
      </w:pPr>
      <w:r>
        <w:rPr>
          <w:w w:val="105"/>
          <w:sz w:val="13"/>
        </w:rPr>
        <w:t>Submissions 6 </w:t>
      </w:r>
      <w:r>
        <w:rPr>
          <w:spacing w:val="2"/>
          <w:w w:val="105"/>
          <w:sz w:val="13"/>
        </w:rPr>
        <w:t>(Name </w:t>
      </w:r>
      <w:r>
        <w:rPr>
          <w:w w:val="105"/>
          <w:sz w:val="13"/>
        </w:rPr>
        <w:t>withheld), </w:t>
      </w:r>
      <w:r>
        <w:rPr>
          <w:spacing w:val="-4"/>
          <w:w w:val="105"/>
          <w:sz w:val="13"/>
        </w:rPr>
        <w:t>17 </w:t>
      </w:r>
      <w:r>
        <w:rPr>
          <w:spacing w:val="2"/>
          <w:w w:val="105"/>
          <w:sz w:val="13"/>
        </w:rPr>
        <w:t>(Name </w:t>
      </w:r>
      <w:r>
        <w:rPr>
          <w:w w:val="105"/>
          <w:sz w:val="13"/>
        </w:rPr>
        <w:t>withheld); Consultation 1 (Aldo</w:t>
      </w:r>
      <w:r>
        <w:rPr>
          <w:spacing w:val="20"/>
          <w:w w:val="105"/>
          <w:sz w:val="13"/>
        </w:rPr>
        <w:t> </w:t>
      </w:r>
      <w:r>
        <w:rPr>
          <w:w w:val="105"/>
          <w:sz w:val="13"/>
        </w:rPr>
        <w:t>Taranto).</w:t>
      </w:r>
    </w:p>
    <w:p>
      <w:pPr>
        <w:pStyle w:val="ListParagraph"/>
        <w:numPr>
          <w:ilvl w:val="0"/>
          <w:numId w:val="19"/>
        </w:numPr>
        <w:tabs>
          <w:tab w:pos="2380" w:val="left" w:leader="none"/>
          <w:tab w:pos="2382" w:val="left" w:leader="none"/>
        </w:tabs>
        <w:spacing w:line="240" w:lineRule="auto" w:before="1" w:after="0"/>
        <w:ind w:left="2381" w:right="0" w:hanging="794"/>
        <w:jc w:val="left"/>
        <w:rPr>
          <w:sz w:val="13"/>
        </w:rPr>
      </w:pPr>
      <w:r>
        <w:rPr>
          <w:w w:val="105"/>
          <w:sz w:val="13"/>
        </w:rPr>
        <w:t>Submission 22 </w:t>
      </w:r>
      <w:r>
        <w:rPr>
          <w:spacing w:val="2"/>
          <w:w w:val="105"/>
          <w:sz w:val="13"/>
        </w:rPr>
        <w:t>(Name</w:t>
      </w:r>
      <w:r>
        <w:rPr>
          <w:spacing w:val="13"/>
          <w:w w:val="105"/>
          <w:sz w:val="13"/>
        </w:rPr>
        <w:t> </w:t>
      </w:r>
      <w:r>
        <w:rPr>
          <w:w w:val="105"/>
          <w:sz w:val="13"/>
        </w:rPr>
        <w:t>withheld).</w:t>
      </w:r>
    </w:p>
    <w:p>
      <w:pPr>
        <w:pStyle w:val="ListParagraph"/>
        <w:numPr>
          <w:ilvl w:val="0"/>
          <w:numId w:val="19"/>
        </w:numPr>
        <w:tabs>
          <w:tab w:pos="2381" w:val="left" w:leader="none"/>
          <w:tab w:pos="2382" w:val="left" w:leader="none"/>
        </w:tabs>
        <w:spacing w:line="240" w:lineRule="auto" w:before="2" w:after="0"/>
        <w:ind w:left="2381" w:right="0" w:hanging="794"/>
        <w:jc w:val="left"/>
        <w:rPr>
          <w:sz w:val="13"/>
        </w:rPr>
      </w:pPr>
      <w:r>
        <w:rPr>
          <w:w w:val="105"/>
          <w:sz w:val="13"/>
        </w:rPr>
        <w:t>Submission 6 </w:t>
      </w:r>
      <w:r>
        <w:rPr>
          <w:spacing w:val="2"/>
          <w:w w:val="105"/>
          <w:sz w:val="13"/>
        </w:rPr>
        <w:t>(Name</w:t>
      </w:r>
      <w:r>
        <w:rPr>
          <w:spacing w:val="13"/>
          <w:w w:val="105"/>
          <w:sz w:val="13"/>
        </w:rPr>
        <w:t> </w:t>
      </w:r>
      <w:r>
        <w:rPr>
          <w:w w:val="105"/>
          <w:sz w:val="13"/>
        </w:rPr>
        <w:t>withheld).</w:t>
      </w:r>
    </w:p>
    <w:p>
      <w:pPr>
        <w:pStyle w:val="ListParagraph"/>
        <w:numPr>
          <w:ilvl w:val="0"/>
          <w:numId w:val="19"/>
        </w:numPr>
        <w:tabs>
          <w:tab w:pos="2381" w:val="left" w:leader="none"/>
          <w:tab w:pos="2382" w:val="left" w:leader="none"/>
        </w:tabs>
        <w:spacing w:line="240" w:lineRule="auto" w:before="1" w:after="0"/>
        <w:ind w:left="2381" w:right="0" w:hanging="794"/>
        <w:jc w:val="left"/>
        <w:rPr>
          <w:sz w:val="13"/>
        </w:rPr>
      </w:pPr>
      <w:r>
        <w:rPr>
          <w:w w:val="105"/>
          <w:sz w:val="13"/>
        </w:rPr>
        <w:t>Submissions 24 </w:t>
      </w:r>
      <w:r>
        <w:rPr>
          <w:spacing w:val="2"/>
          <w:w w:val="105"/>
          <w:sz w:val="13"/>
        </w:rPr>
        <w:t>(Name </w:t>
      </w:r>
      <w:r>
        <w:rPr>
          <w:w w:val="105"/>
          <w:sz w:val="13"/>
        </w:rPr>
        <w:t>withheld); Survey Respondent</w:t>
      </w:r>
      <w:r>
        <w:rPr>
          <w:spacing w:val="25"/>
          <w:w w:val="105"/>
          <w:sz w:val="13"/>
        </w:rPr>
        <w:t> </w:t>
      </w:r>
      <w:r>
        <w:rPr>
          <w:spacing w:val="2"/>
          <w:w w:val="105"/>
          <w:sz w:val="13"/>
        </w:rPr>
        <w:t>44.</w:t>
      </w:r>
    </w:p>
    <w:p>
      <w:pPr>
        <w:pStyle w:val="ListParagraph"/>
        <w:numPr>
          <w:ilvl w:val="0"/>
          <w:numId w:val="19"/>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6"/>
          <w:w w:val="105"/>
          <w:sz w:val="13"/>
        </w:rPr>
        <w:t> </w:t>
      </w:r>
      <w:r>
        <w:rPr>
          <w:w w:val="105"/>
          <w:sz w:val="13"/>
        </w:rPr>
        <w:t>eg,</w:t>
      </w:r>
      <w:r>
        <w:rPr>
          <w:spacing w:val="7"/>
          <w:w w:val="105"/>
          <w:sz w:val="13"/>
        </w:rPr>
        <w:t> </w:t>
      </w:r>
      <w:r>
        <w:rPr>
          <w:i/>
          <w:w w:val="105"/>
          <w:sz w:val="13"/>
        </w:rPr>
        <w:t>Miles</w:t>
      </w:r>
      <w:r>
        <w:rPr>
          <w:i/>
          <w:spacing w:val="7"/>
          <w:w w:val="105"/>
          <w:sz w:val="13"/>
        </w:rPr>
        <w:t> </w:t>
      </w:r>
      <w:r>
        <w:rPr>
          <w:i/>
          <w:w w:val="105"/>
          <w:sz w:val="13"/>
        </w:rPr>
        <w:t>v</w:t>
      </w:r>
      <w:r>
        <w:rPr>
          <w:i/>
          <w:spacing w:val="6"/>
          <w:w w:val="105"/>
          <w:sz w:val="13"/>
        </w:rPr>
        <w:t> </w:t>
      </w:r>
      <w:r>
        <w:rPr>
          <w:i/>
          <w:w w:val="105"/>
          <w:sz w:val="13"/>
        </w:rPr>
        <w:t>Barca</w:t>
      </w:r>
      <w:r>
        <w:rPr>
          <w:i/>
          <w:spacing w:val="7"/>
          <w:w w:val="105"/>
          <w:sz w:val="13"/>
        </w:rPr>
        <w:t> </w:t>
      </w:r>
      <w:r>
        <w:rPr>
          <w:w w:val="105"/>
          <w:sz w:val="13"/>
        </w:rPr>
        <w:t>(2003)</w:t>
      </w:r>
      <w:r>
        <w:rPr>
          <w:spacing w:val="7"/>
          <w:w w:val="105"/>
          <w:sz w:val="13"/>
        </w:rPr>
        <w:t> </w:t>
      </w:r>
      <w:r>
        <w:rPr>
          <w:w w:val="105"/>
          <w:sz w:val="13"/>
        </w:rPr>
        <w:t>VSC</w:t>
      </w:r>
      <w:r>
        <w:rPr>
          <w:spacing w:val="6"/>
          <w:w w:val="105"/>
          <w:sz w:val="13"/>
        </w:rPr>
        <w:t> </w:t>
      </w:r>
      <w:r>
        <w:rPr>
          <w:w w:val="105"/>
          <w:sz w:val="13"/>
        </w:rPr>
        <w:t>376;</w:t>
      </w:r>
      <w:r>
        <w:rPr>
          <w:spacing w:val="7"/>
          <w:w w:val="105"/>
          <w:sz w:val="13"/>
        </w:rPr>
        <w:t> </w:t>
      </w:r>
      <w:r>
        <w:rPr>
          <w:w w:val="105"/>
          <w:sz w:val="13"/>
        </w:rPr>
        <w:t>Victoria</w:t>
      </w:r>
      <w:r>
        <w:rPr>
          <w:spacing w:val="7"/>
          <w:w w:val="105"/>
          <w:sz w:val="13"/>
        </w:rPr>
        <w:t> </w:t>
      </w:r>
      <w:r>
        <w:rPr>
          <w:w w:val="105"/>
          <w:sz w:val="13"/>
        </w:rPr>
        <w:t>Legal</w:t>
      </w:r>
      <w:r>
        <w:rPr>
          <w:spacing w:val="6"/>
          <w:w w:val="105"/>
          <w:sz w:val="13"/>
        </w:rPr>
        <w:t> </w:t>
      </w:r>
      <w:r>
        <w:rPr>
          <w:w w:val="105"/>
          <w:sz w:val="13"/>
        </w:rPr>
        <w:t>Aid,</w:t>
      </w:r>
      <w:r>
        <w:rPr>
          <w:spacing w:val="7"/>
          <w:w w:val="105"/>
          <w:sz w:val="13"/>
        </w:rPr>
        <w:t> </w:t>
      </w:r>
      <w:r>
        <w:rPr>
          <w:i/>
          <w:w w:val="105"/>
          <w:sz w:val="13"/>
        </w:rPr>
        <w:t>Disputes</w:t>
      </w:r>
      <w:r>
        <w:rPr>
          <w:i/>
          <w:spacing w:val="7"/>
          <w:w w:val="105"/>
          <w:sz w:val="13"/>
        </w:rPr>
        <w:t> </w:t>
      </w:r>
      <w:r>
        <w:rPr>
          <w:i/>
          <w:w w:val="105"/>
          <w:sz w:val="13"/>
        </w:rPr>
        <w:t>With</w:t>
      </w:r>
      <w:r>
        <w:rPr>
          <w:i/>
          <w:spacing w:val="6"/>
          <w:w w:val="105"/>
          <w:sz w:val="13"/>
        </w:rPr>
        <w:t> </w:t>
      </w:r>
      <w:r>
        <w:rPr>
          <w:i/>
          <w:w w:val="105"/>
          <w:sz w:val="13"/>
        </w:rPr>
        <w:t>Neighbours</w:t>
      </w:r>
      <w:r>
        <w:rPr>
          <w:i/>
          <w:spacing w:val="7"/>
          <w:w w:val="105"/>
          <w:sz w:val="13"/>
        </w:rPr>
        <w:t> </w:t>
      </w:r>
      <w:r>
        <w:rPr>
          <w:w w:val="105"/>
          <w:sz w:val="13"/>
        </w:rPr>
        <w:t>(Web</w:t>
      </w:r>
      <w:r>
        <w:rPr>
          <w:spacing w:val="7"/>
          <w:w w:val="105"/>
          <w:sz w:val="13"/>
        </w:rPr>
        <w:t> </w:t>
      </w:r>
      <w:r>
        <w:rPr>
          <w:w w:val="105"/>
          <w:sz w:val="13"/>
        </w:rPr>
        <w:t>Page,</w:t>
      </w:r>
      <w:r>
        <w:rPr>
          <w:spacing w:val="7"/>
          <w:w w:val="105"/>
          <w:sz w:val="13"/>
        </w:rPr>
        <w:t> </w:t>
      </w:r>
      <w:r>
        <w:rPr>
          <w:w w:val="105"/>
          <w:sz w:val="13"/>
        </w:rPr>
        <w:t>25</w:t>
      </w:r>
      <w:r>
        <w:rPr>
          <w:spacing w:val="6"/>
          <w:w w:val="105"/>
          <w:sz w:val="13"/>
        </w:rPr>
        <w:t> </w:t>
      </w:r>
      <w:r>
        <w:rPr>
          <w:w w:val="105"/>
          <w:sz w:val="13"/>
        </w:rPr>
        <w:t>March</w:t>
      </w:r>
      <w:r>
        <w:rPr>
          <w:spacing w:val="7"/>
          <w:w w:val="105"/>
          <w:sz w:val="13"/>
        </w:rPr>
        <w:t> </w:t>
      </w:r>
      <w:r>
        <w:rPr>
          <w:w w:val="105"/>
          <w:sz w:val="13"/>
        </w:rPr>
        <w:t>2019)</w:t>
      </w:r>
      <w:r>
        <w:rPr>
          <w:spacing w:val="7"/>
          <w:w w:val="105"/>
          <w:sz w:val="13"/>
        </w:rPr>
        <w:t> </w:t>
      </w:r>
      <w:r>
        <w:rPr>
          <w:w w:val="105"/>
          <w:sz w:val="13"/>
        </w:rPr>
        <w:t>&lt;</w:t>
      </w:r>
      <w:hyperlink r:id="rId42">
        <w:r>
          <w:rPr>
            <w:w w:val="105"/>
            <w:sz w:val="13"/>
          </w:rPr>
          <w:t>www.legalaid.vic.gov.</w:t>
        </w:r>
      </w:hyperlink>
    </w:p>
    <w:p>
      <w:pPr>
        <w:spacing w:before="2"/>
        <w:ind w:left="2381" w:right="1636" w:firstLine="0"/>
        <w:jc w:val="left"/>
        <w:rPr>
          <w:sz w:val="13"/>
        </w:rPr>
      </w:pPr>
      <w:r>
        <w:rPr>
          <w:w w:val="105"/>
          <w:sz w:val="13"/>
        </w:rPr>
        <w:t>au/find-legal-answers/disputes-with-neighbours&gt;. A personal safety intervention order is an order made by a magistrate to protect a person from physical or mental harm caused by someone who is not a family member.</w:t>
      </w:r>
    </w:p>
    <w:p>
      <w:pPr>
        <w:tabs>
          <w:tab w:pos="2381" w:val="left" w:leader="none"/>
        </w:tabs>
        <w:spacing w:before="2"/>
        <w:ind w:left="1587" w:right="0" w:firstLine="0"/>
        <w:jc w:val="left"/>
        <w:rPr>
          <w:sz w:val="13"/>
        </w:rPr>
      </w:pPr>
      <w:r>
        <w:rPr>
          <w:w w:val="110"/>
          <w:sz w:val="13"/>
        </w:rPr>
        <w:t>136</w:t>
        <w:tab/>
        <w:t>(2003) VSC 376</w:t>
      </w:r>
      <w:r>
        <w:rPr>
          <w:spacing w:val="9"/>
          <w:w w:val="110"/>
          <w:sz w:val="13"/>
        </w:rPr>
        <w:t> </w:t>
      </w:r>
      <w:r>
        <w:rPr>
          <w:spacing w:val="3"/>
          <w:w w:val="110"/>
          <w:sz w:val="13"/>
        </w:rPr>
        <w:t>[3].</w:t>
      </w:r>
    </w:p>
    <w:p>
      <w:pPr>
        <w:pStyle w:val="ListParagraph"/>
        <w:numPr>
          <w:ilvl w:val="0"/>
          <w:numId w:val="20"/>
        </w:numPr>
        <w:tabs>
          <w:tab w:pos="2381" w:val="left" w:leader="none"/>
          <w:tab w:pos="2382" w:val="left" w:leader="none"/>
        </w:tabs>
        <w:spacing w:line="240" w:lineRule="auto" w:before="2" w:after="0"/>
        <w:ind w:left="2381" w:right="0" w:hanging="794"/>
        <w:jc w:val="left"/>
        <w:rPr>
          <w:sz w:val="13"/>
        </w:rPr>
      </w:pPr>
      <w:r>
        <w:rPr>
          <w:i/>
          <w:w w:val="105"/>
          <w:sz w:val="13"/>
        </w:rPr>
        <w:t>Miles v Barca </w:t>
      </w:r>
      <w:r>
        <w:rPr>
          <w:w w:val="105"/>
          <w:sz w:val="13"/>
        </w:rPr>
        <w:t>(2003) VSC 376</w:t>
      </w:r>
      <w:r>
        <w:rPr>
          <w:spacing w:val="27"/>
          <w:w w:val="105"/>
          <w:sz w:val="13"/>
        </w:rPr>
        <w:t> </w:t>
      </w:r>
      <w:r>
        <w:rPr>
          <w:spacing w:val="3"/>
          <w:w w:val="105"/>
          <w:sz w:val="13"/>
        </w:rPr>
        <w:t>[3].</w:t>
      </w:r>
    </w:p>
    <w:p>
      <w:pPr>
        <w:pStyle w:val="ListParagraph"/>
        <w:numPr>
          <w:ilvl w:val="0"/>
          <w:numId w:val="20"/>
        </w:numPr>
        <w:tabs>
          <w:tab w:pos="2381" w:val="left" w:leader="none"/>
          <w:tab w:pos="2382" w:val="left" w:leader="none"/>
        </w:tabs>
        <w:spacing w:line="240" w:lineRule="auto" w:before="1" w:after="0"/>
        <w:ind w:left="2381" w:right="0" w:hanging="794"/>
        <w:jc w:val="left"/>
        <w:rPr>
          <w:sz w:val="13"/>
        </w:rPr>
      </w:pPr>
      <w:r>
        <w:rPr>
          <w:w w:val="105"/>
          <w:sz w:val="13"/>
        </w:rPr>
        <w:t>Survey Respondent</w:t>
      </w:r>
      <w:r>
        <w:rPr>
          <w:spacing w:val="9"/>
          <w:w w:val="105"/>
          <w:sz w:val="13"/>
        </w:rPr>
        <w:t> </w:t>
      </w:r>
      <w:r>
        <w:rPr>
          <w:w w:val="105"/>
          <w:sz w:val="13"/>
        </w:rPr>
        <w:t>72.</w:t>
      </w:r>
    </w:p>
    <w:p>
      <w:pPr>
        <w:pStyle w:val="ListParagraph"/>
        <w:numPr>
          <w:ilvl w:val="0"/>
          <w:numId w:val="20"/>
        </w:numPr>
        <w:tabs>
          <w:tab w:pos="2381" w:val="left" w:leader="none"/>
          <w:tab w:pos="2382" w:val="left" w:leader="none"/>
        </w:tabs>
        <w:spacing w:line="240" w:lineRule="auto" w:before="1" w:after="0"/>
        <w:ind w:left="2381" w:right="0" w:hanging="794"/>
        <w:jc w:val="left"/>
        <w:rPr>
          <w:sz w:val="13"/>
        </w:rPr>
      </w:pPr>
      <w:r>
        <w:rPr>
          <w:w w:val="105"/>
          <w:sz w:val="13"/>
        </w:rPr>
        <w:t>Consultation 4 (Participants in facilitated discussion at </w:t>
      </w:r>
      <w:r>
        <w:rPr>
          <w:spacing w:val="4"/>
          <w:w w:val="105"/>
          <w:sz w:val="13"/>
        </w:rPr>
        <w:t>VTIO</w:t>
      </w:r>
      <w:r>
        <w:rPr>
          <w:spacing w:val="38"/>
          <w:w w:val="105"/>
          <w:sz w:val="13"/>
        </w:rPr>
        <w:t> </w:t>
      </w:r>
      <w:r>
        <w:rPr>
          <w:w w:val="105"/>
          <w:sz w:val="13"/>
        </w:rPr>
        <w:t>ArborCamp2018).</w:t>
      </w:r>
    </w:p>
    <w:p>
      <w:pPr>
        <w:pStyle w:val="ListParagraph"/>
        <w:numPr>
          <w:ilvl w:val="0"/>
          <w:numId w:val="20"/>
        </w:numPr>
        <w:tabs>
          <w:tab w:pos="2381" w:val="left" w:leader="none"/>
          <w:tab w:pos="2382" w:val="left" w:leader="none"/>
        </w:tabs>
        <w:spacing w:line="240" w:lineRule="auto" w:before="2" w:after="0"/>
        <w:ind w:left="2381" w:right="0" w:hanging="794"/>
        <w:jc w:val="left"/>
        <w:rPr>
          <w:sz w:val="13"/>
        </w:rPr>
      </w:pPr>
      <w:r>
        <w:rPr>
          <w:w w:val="105"/>
          <w:sz w:val="13"/>
        </w:rPr>
        <w:t>Submissions</w:t>
      </w:r>
      <w:r>
        <w:rPr>
          <w:spacing w:val="4"/>
          <w:w w:val="105"/>
          <w:sz w:val="13"/>
        </w:rPr>
        <w:t> </w:t>
      </w:r>
      <w:r>
        <w:rPr>
          <w:w w:val="105"/>
          <w:sz w:val="13"/>
        </w:rPr>
        <w:t>24</w:t>
      </w:r>
      <w:r>
        <w:rPr>
          <w:spacing w:val="5"/>
          <w:w w:val="105"/>
          <w:sz w:val="13"/>
        </w:rPr>
        <w:t> </w:t>
      </w:r>
      <w:r>
        <w:rPr>
          <w:spacing w:val="2"/>
          <w:w w:val="105"/>
          <w:sz w:val="13"/>
        </w:rPr>
        <w:t>(Name</w:t>
      </w:r>
      <w:r>
        <w:rPr>
          <w:spacing w:val="5"/>
          <w:w w:val="105"/>
          <w:sz w:val="13"/>
        </w:rPr>
        <w:t> </w:t>
      </w:r>
      <w:r>
        <w:rPr>
          <w:w w:val="105"/>
          <w:sz w:val="13"/>
        </w:rPr>
        <w:t>withheld),</w:t>
      </w:r>
      <w:r>
        <w:rPr>
          <w:spacing w:val="4"/>
          <w:w w:val="105"/>
          <w:sz w:val="13"/>
        </w:rPr>
        <w:t> </w:t>
      </w:r>
      <w:r>
        <w:rPr>
          <w:w w:val="105"/>
          <w:sz w:val="13"/>
        </w:rPr>
        <w:t>31</w:t>
      </w:r>
      <w:r>
        <w:rPr>
          <w:spacing w:val="5"/>
          <w:w w:val="105"/>
          <w:sz w:val="13"/>
        </w:rPr>
        <w:t> </w:t>
      </w:r>
      <w:r>
        <w:rPr>
          <w:spacing w:val="2"/>
          <w:w w:val="105"/>
          <w:sz w:val="13"/>
        </w:rPr>
        <w:t>(Barwon</w:t>
      </w:r>
      <w:r>
        <w:rPr>
          <w:spacing w:val="5"/>
          <w:w w:val="105"/>
          <w:sz w:val="13"/>
        </w:rPr>
        <w:t> </w:t>
      </w:r>
      <w:r>
        <w:rPr>
          <w:w w:val="105"/>
          <w:sz w:val="13"/>
        </w:rPr>
        <w:t>Community</w:t>
      </w:r>
      <w:r>
        <w:rPr>
          <w:spacing w:val="4"/>
          <w:w w:val="105"/>
          <w:sz w:val="13"/>
        </w:rPr>
        <w:t> </w:t>
      </w:r>
      <w:r>
        <w:rPr>
          <w:w w:val="105"/>
          <w:sz w:val="13"/>
        </w:rPr>
        <w:t>Legal</w:t>
      </w:r>
      <w:r>
        <w:rPr>
          <w:spacing w:val="5"/>
          <w:w w:val="105"/>
          <w:sz w:val="13"/>
        </w:rPr>
        <w:t> </w:t>
      </w:r>
      <w:r>
        <w:rPr>
          <w:spacing w:val="2"/>
          <w:w w:val="105"/>
          <w:sz w:val="13"/>
        </w:rPr>
        <w:t>Service);</w:t>
      </w:r>
      <w:r>
        <w:rPr>
          <w:spacing w:val="5"/>
          <w:w w:val="105"/>
          <w:sz w:val="13"/>
        </w:rPr>
        <w:t> </w:t>
      </w:r>
      <w:r>
        <w:rPr>
          <w:w w:val="105"/>
          <w:sz w:val="13"/>
        </w:rPr>
        <w:t>Survey</w:t>
      </w:r>
      <w:r>
        <w:rPr>
          <w:spacing w:val="4"/>
          <w:w w:val="105"/>
          <w:sz w:val="13"/>
        </w:rPr>
        <w:t> </w:t>
      </w:r>
      <w:r>
        <w:rPr>
          <w:w w:val="105"/>
          <w:sz w:val="13"/>
        </w:rPr>
        <w:t>Respondent</w:t>
      </w:r>
      <w:r>
        <w:rPr>
          <w:spacing w:val="5"/>
          <w:w w:val="105"/>
          <w:sz w:val="13"/>
        </w:rPr>
        <w:t> </w:t>
      </w:r>
      <w:r>
        <w:rPr>
          <w:w w:val="105"/>
          <w:sz w:val="13"/>
        </w:rPr>
        <w:t>6.</w:t>
      </w:r>
    </w:p>
    <w:p>
      <w:pPr>
        <w:pStyle w:val="ListParagraph"/>
        <w:numPr>
          <w:ilvl w:val="0"/>
          <w:numId w:val="20"/>
        </w:numPr>
        <w:tabs>
          <w:tab w:pos="2381" w:val="left" w:leader="none"/>
          <w:tab w:pos="2382" w:val="left" w:leader="none"/>
        </w:tabs>
        <w:spacing w:line="240" w:lineRule="auto" w:before="1" w:after="0"/>
        <w:ind w:left="2381" w:right="0" w:hanging="794"/>
        <w:jc w:val="left"/>
        <w:rPr>
          <w:sz w:val="13"/>
        </w:rPr>
      </w:pPr>
      <w:r>
        <w:rPr>
          <w:w w:val="105"/>
          <w:sz w:val="13"/>
        </w:rPr>
        <w:t>Submissions 22 </w:t>
      </w:r>
      <w:r>
        <w:rPr>
          <w:spacing w:val="2"/>
          <w:w w:val="105"/>
          <w:sz w:val="13"/>
        </w:rPr>
        <w:t>(Name </w:t>
      </w:r>
      <w:r>
        <w:rPr>
          <w:w w:val="105"/>
          <w:sz w:val="13"/>
        </w:rPr>
        <w:t>withheld), 36 (Monique</w:t>
      </w:r>
      <w:r>
        <w:rPr>
          <w:spacing w:val="26"/>
          <w:w w:val="105"/>
          <w:sz w:val="13"/>
        </w:rPr>
        <w:t> </w:t>
      </w:r>
      <w:r>
        <w:rPr>
          <w:w w:val="105"/>
          <w:sz w:val="13"/>
        </w:rPr>
        <w:t>Onezime).</w:t>
      </w:r>
    </w:p>
    <w:p>
      <w:pPr>
        <w:pStyle w:val="ListParagraph"/>
        <w:numPr>
          <w:ilvl w:val="0"/>
          <w:numId w:val="20"/>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22</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24</w:t>
      </w:r>
      <w:r>
        <w:rPr>
          <w:spacing w:val="5"/>
          <w:w w:val="105"/>
          <w:sz w:val="13"/>
        </w:rPr>
        <w:t> </w:t>
      </w:r>
      <w:r>
        <w:rPr>
          <w:spacing w:val="2"/>
          <w:w w:val="105"/>
          <w:sz w:val="13"/>
        </w:rPr>
        <w:t>(Name</w:t>
      </w:r>
      <w:r>
        <w:rPr>
          <w:spacing w:val="4"/>
          <w:w w:val="105"/>
          <w:sz w:val="13"/>
        </w:rPr>
        <w:t> </w:t>
      </w:r>
      <w:r>
        <w:rPr>
          <w:w w:val="105"/>
          <w:sz w:val="13"/>
        </w:rPr>
        <w:t>withheld),</w:t>
      </w:r>
      <w:r>
        <w:rPr>
          <w:spacing w:val="5"/>
          <w:w w:val="105"/>
          <w:sz w:val="13"/>
        </w:rPr>
        <w:t> </w:t>
      </w:r>
      <w:r>
        <w:rPr>
          <w:w w:val="105"/>
          <w:sz w:val="13"/>
        </w:rPr>
        <w:t>36</w:t>
      </w:r>
      <w:r>
        <w:rPr>
          <w:spacing w:val="5"/>
          <w:w w:val="105"/>
          <w:sz w:val="13"/>
        </w:rPr>
        <w:t> </w:t>
      </w:r>
      <w:r>
        <w:rPr>
          <w:w w:val="105"/>
          <w:sz w:val="13"/>
        </w:rPr>
        <w:t>(Monique</w:t>
      </w:r>
      <w:r>
        <w:rPr>
          <w:spacing w:val="5"/>
          <w:w w:val="105"/>
          <w:sz w:val="13"/>
        </w:rPr>
        <w:t> </w:t>
      </w:r>
      <w:r>
        <w:rPr>
          <w:spacing w:val="2"/>
          <w:w w:val="105"/>
          <w:sz w:val="13"/>
        </w:rPr>
        <w:t>Onezime);</w:t>
      </w:r>
      <w:r>
        <w:rPr>
          <w:spacing w:val="5"/>
          <w:w w:val="105"/>
          <w:sz w:val="13"/>
        </w:rPr>
        <w:t> </w:t>
      </w:r>
      <w:r>
        <w:rPr>
          <w:w w:val="105"/>
          <w:sz w:val="13"/>
        </w:rPr>
        <w:t>Survey</w:t>
      </w:r>
      <w:r>
        <w:rPr>
          <w:spacing w:val="4"/>
          <w:w w:val="105"/>
          <w:sz w:val="13"/>
        </w:rPr>
        <w:t> </w:t>
      </w:r>
      <w:r>
        <w:rPr>
          <w:w w:val="105"/>
          <w:sz w:val="13"/>
        </w:rPr>
        <w:t>respondent</w:t>
      </w:r>
      <w:r>
        <w:rPr>
          <w:spacing w:val="5"/>
          <w:w w:val="105"/>
          <w:sz w:val="13"/>
        </w:rPr>
        <w:t> </w:t>
      </w:r>
      <w:r>
        <w:rPr>
          <w:w w:val="105"/>
          <w:sz w:val="13"/>
        </w:rPr>
        <w:t>108.</w:t>
      </w:r>
    </w:p>
    <w:p>
      <w:pPr>
        <w:pStyle w:val="ListParagraph"/>
        <w:numPr>
          <w:ilvl w:val="0"/>
          <w:numId w:val="20"/>
        </w:numPr>
        <w:tabs>
          <w:tab w:pos="2381" w:val="left" w:leader="none"/>
          <w:tab w:pos="2382" w:val="left" w:leader="none"/>
        </w:tabs>
        <w:spacing w:line="240" w:lineRule="auto" w:before="2" w:after="0"/>
        <w:ind w:left="1587" w:right="6639" w:firstLine="0"/>
        <w:jc w:val="left"/>
        <w:rPr>
          <w:sz w:val="13"/>
        </w:rPr>
      </w:pPr>
      <w:r>
        <w:rPr/>
        <w:pict>
          <v:shape style="position:absolute;margin-left:36pt;margin-top:11.049465pt;width:13.05pt;height:14.25pt;mso-position-horizontal-relative:page;mso-position-vertical-relative:paragraph;z-index:2344" type="#_x0000_t202" filled="false" stroked="false">
            <v:textbox inset="0,0,0,0">
              <w:txbxContent>
                <w:p>
                  <w:pPr>
                    <w:spacing w:line="284" w:lineRule="exact" w:before="0"/>
                    <w:ind w:left="0" w:right="0" w:firstLine="0"/>
                    <w:jc w:val="left"/>
                    <w:rPr>
                      <w:b/>
                      <w:sz w:val="24"/>
                    </w:rPr>
                  </w:pPr>
                  <w:r>
                    <w:rPr>
                      <w:b/>
                      <w:color w:val="658464"/>
                      <w:spacing w:val="-4"/>
                      <w:w w:val="110"/>
                      <w:sz w:val="24"/>
                    </w:rPr>
                    <w:t>18</w:t>
                  </w:r>
                </w:p>
              </w:txbxContent>
            </v:textbox>
            <w10:wrap type="none"/>
          </v:shape>
        </w:pict>
      </w:r>
      <w:r>
        <w:rPr>
          <w:w w:val="105"/>
          <w:sz w:val="13"/>
        </w:rPr>
        <w:t>Submission 31 </w:t>
      </w:r>
      <w:r>
        <w:rPr>
          <w:spacing w:val="2"/>
          <w:w w:val="105"/>
          <w:sz w:val="13"/>
        </w:rPr>
        <w:t>(Barwon </w:t>
      </w:r>
      <w:r>
        <w:rPr>
          <w:w w:val="105"/>
          <w:sz w:val="13"/>
        </w:rPr>
        <w:t>Community Legal </w:t>
      </w:r>
      <w:r>
        <w:rPr>
          <w:spacing w:val="2"/>
          <w:w w:val="105"/>
          <w:sz w:val="13"/>
        </w:rPr>
        <w:t>Service). </w:t>
      </w:r>
      <w:r>
        <w:rPr>
          <w:w w:val="105"/>
          <w:sz w:val="13"/>
        </w:rPr>
        <w:t>144</w:t>
        <w:tab/>
        <w:t>Consultation </w:t>
      </w:r>
      <w:r>
        <w:rPr>
          <w:spacing w:val="-3"/>
          <w:w w:val="105"/>
          <w:sz w:val="13"/>
        </w:rPr>
        <w:t>14 </w:t>
      </w:r>
      <w:r>
        <w:rPr>
          <w:spacing w:val="2"/>
          <w:w w:val="105"/>
          <w:sz w:val="13"/>
        </w:rPr>
        <w:t>(Robert</w:t>
      </w:r>
      <w:r>
        <w:rPr>
          <w:spacing w:val="16"/>
          <w:w w:val="105"/>
          <w:sz w:val="13"/>
        </w:rPr>
        <w:t> </w:t>
      </w:r>
      <w:r>
        <w:rPr>
          <w:spacing w:val="2"/>
          <w:w w:val="105"/>
          <w:sz w:val="13"/>
        </w:rPr>
        <w:t>Mineo).</w:t>
      </w:r>
    </w:p>
    <w:p>
      <w:pPr>
        <w:pStyle w:val="ListParagraph"/>
        <w:numPr>
          <w:ilvl w:val="0"/>
          <w:numId w:val="21"/>
        </w:numPr>
        <w:tabs>
          <w:tab w:pos="2381" w:val="left" w:leader="none"/>
          <w:tab w:pos="2382" w:val="left" w:leader="none"/>
        </w:tabs>
        <w:spacing w:line="240" w:lineRule="auto" w:before="2" w:after="0"/>
        <w:ind w:left="2381" w:right="0" w:hanging="794"/>
        <w:jc w:val="left"/>
        <w:rPr>
          <w:sz w:val="13"/>
        </w:rPr>
      </w:pPr>
      <w:r>
        <w:rPr>
          <w:w w:val="105"/>
          <w:sz w:val="13"/>
        </w:rPr>
        <w:t>Submission 6 </w:t>
      </w:r>
      <w:r>
        <w:rPr>
          <w:spacing w:val="2"/>
          <w:w w:val="105"/>
          <w:sz w:val="13"/>
        </w:rPr>
        <w:t>(Name</w:t>
      </w:r>
      <w:r>
        <w:rPr>
          <w:spacing w:val="13"/>
          <w:w w:val="105"/>
          <w:sz w:val="13"/>
        </w:rPr>
        <w:t> </w:t>
      </w:r>
      <w:r>
        <w:rPr>
          <w:w w:val="105"/>
          <w:sz w:val="13"/>
        </w:rPr>
        <w:t>withheld).</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16"/>
        </w:numPr>
        <w:tabs>
          <w:tab w:pos="2380" w:val="left" w:leader="none"/>
          <w:tab w:pos="2381" w:val="left" w:leader="none"/>
        </w:tabs>
        <w:spacing w:line="242" w:lineRule="auto" w:before="91" w:after="0"/>
        <w:ind w:left="2381" w:right="1875" w:hanging="794"/>
        <w:jc w:val="left"/>
        <w:rPr>
          <w:sz w:val="21"/>
        </w:rPr>
      </w:pPr>
      <w:bookmarkStart w:name="Factors contributing to tree disputes" w:id="48"/>
      <w:bookmarkEnd w:id="48"/>
      <w:r>
        <w:rPr/>
      </w:r>
      <w:bookmarkStart w:name="_bookmark18" w:id="49"/>
      <w:bookmarkEnd w:id="49"/>
      <w:r>
        <w:rPr/>
      </w:r>
      <w:bookmarkStart w:name="_bookmark18" w:id="50"/>
      <w:bookmarkEnd w:id="50"/>
      <w:r>
        <w:rPr>
          <w:w w:val="105"/>
          <w:sz w:val="21"/>
        </w:rPr>
        <w:t>B</w:t>
      </w:r>
      <w:r>
        <w:rPr>
          <w:w w:val="105"/>
          <w:sz w:val="21"/>
        </w:rPr>
        <w:t>CLS </w:t>
      </w:r>
      <w:r>
        <w:rPr>
          <w:spacing w:val="-3"/>
          <w:w w:val="105"/>
          <w:sz w:val="21"/>
        </w:rPr>
        <w:t>gave </w:t>
      </w:r>
      <w:r>
        <w:rPr>
          <w:w w:val="105"/>
          <w:sz w:val="21"/>
        </w:rPr>
        <w:t>an example of a </w:t>
      </w:r>
      <w:r>
        <w:rPr>
          <w:spacing w:val="-3"/>
          <w:w w:val="105"/>
          <w:sz w:val="21"/>
        </w:rPr>
        <w:t>client </w:t>
      </w:r>
      <w:r>
        <w:rPr>
          <w:w w:val="105"/>
          <w:sz w:val="21"/>
        </w:rPr>
        <w:t>who is </w:t>
      </w:r>
      <w:r>
        <w:rPr>
          <w:spacing w:val="-3"/>
          <w:w w:val="105"/>
          <w:sz w:val="21"/>
        </w:rPr>
        <w:t>‘elderly </w:t>
      </w:r>
      <w:r>
        <w:rPr>
          <w:w w:val="105"/>
          <w:sz w:val="21"/>
        </w:rPr>
        <w:t>so </w:t>
      </w:r>
      <w:r>
        <w:rPr>
          <w:spacing w:val="-3"/>
          <w:w w:val="105"/>
          <w:sz w:val="21"/>
        </w:rPr>
        <w:t>cannot </w:t>
      </w:r>
      <w:r>
        <w:rPr>
          <w:w w:val="105"/>
          <w:sz w:val="21"/>
        </w:rPr>
        <w:t>cut and </w:t>
      </w:r>
      <w:r>
        <w:rPr>
          <w:spacing w:val="-3"/>
          <w:w w:val="105"/>
          <w:sz w:val="21"/>
        </w:rPr>
        <w:t>return </w:t>
      </w:r>
      <w:r>
        <w:rPr>
          <w:w w:val="105"/>
          <w:sz w:val="21"/>
        </w:rPr>
        <w:t>the </w:t>
      </w:r>
      <w:r>
        <w:rPr>
          <w:spacing w:val="-3"/>
          <w:w w:val="105"/>
          <w:sz w:val="21"/>
        </w:rPr>
        <w:t>branches </w:t>
      </w:r>
      <w:r>
        <w:rPr>
          <w:w w:val="105"/>
          <w:sz w:val="21"/>
        </w:rPr>
        <w:t>herself nor can she afford </w:t>
      </w:r>
      <w:r>
        <w:rPr>
          <w:spacing w:val="-3"/>
          <w:w w:val="105"/>
          <w:sz w:val="21"/>
        </w:rPr>
        <w:t>to </w:t>
      </w:r>
      <w:r>
        <w:rPr>
          <w:w w:val="105"/>
          <w:sz w:val="21"/>
        </w:rPr>
        <w:t>spend her aged pension on </w:t>
      </w:r>
      <w:r>
        <w:rPr>
          <w:spacing w:val="-3"/>
          <w:w w:val="105"/>
          <w:sz w:val="21"/>
        </w:rPr>
        <w:t>hiring </w:t>
      </w:r>
      <w:r>
        <w:rPr>
          <w:w w:val="105"/>
          <w:sz w:val="21"/>
        </w:rPr>
        <w:t>someone </w:t>
      </w:r>
      <w:r>
        <w:rPr>
          <w:spacing w:val="-3"/>
          <w:w w:val="105"/>
          <w:sz w:val="21"/>
        </w:rPr>
        <w:t>[to </w:t>
      </w:r>
      <w:r>
        <w:rPr>
          <w:w w:val="105"/>
          <w:sz w:val="21"/>
        </w:rPr>
        <w:t>do</w:t>
      </w:r>
      <w:r>
        <w:rPr>
          <w:spacing w:val="-33"/>
          <w:w w:val="105"/>
          <w:sz w:val="21"/>
        </w:rPr>
        <w:t> </w:t>
      </w:r>
      <w:r>
        <w:rPr>
          <w:spacing w:val="-4"/>
          <w:w w:val="105"/>
          <w:sz w:val="21"/>
        </w:rPr>
        <w:t>so]’.</w:t>
      </w:r>
      <w:r>
        <w:rPr>
          <w:spacing w:val="-4"/>
          <w:w w:val="105"/>
          <w:position w:val="7"/>
          <w:sz w:val="12"/>
        </w:rPr>
        <w:t>146</w:t>
      </w:r>
    </w:p>
    <w:p>
      <w:pPr>
        <w:pStyle w:val="ListParagraph"/>
        <w:numPr>
          <w:ilvl w:val="1"/>
          <w:numId w:val="16"/>
        </w:numPr>
        <w:tabs>
          <w:tab w:pos="2380" w:val="left" w:leader="none"/>
          <w:tab w:pos="2381" w:val="left" w:leader="none"/>
        </w:tabs>
        <w:spacing w:line="242" w:lineRule="auto" w:before="123" w:after="0"/>
        <w:ind w:left="2381" w:right="1870" w:hanging="794"/>
        <w:jc w:val="left"/>
        <w:rPr>
          <w:sz w:val="21"/>
        </w:rPr>
      </w:pPr>
      <w:r>
        <w:rPr>
          <w:w w:val="105"/>
          <w:sz w:val="21"/>
        </w:rPr>
        <w:t>One</w:t>
      </w:r>
      <w:r>
        <w:rPr>
          <w:spacing w:val="-5"/>
          <w:w w:val="105"/>
          <w:sz w:val="21"/>
        </w:rPr>
        <w:t> </w:t>
      </w:r>
      <w:r>
        <w:rPr>
          <w:w w:val="105"/>
          <w:sz w:val="21"/>
        </w:rPr>
        <w:t>person</w:t>
      </w:r>
      <w:r>
        <w:rPr>
          <w:spacing w:val="-5"/>
          <w:w w:val="105"/>
          <w:sz w:val="21"/>
        </w:rPr>
        <w:t> </w:t>
      </w:r>
      <w:r>
        <w:rPr>
          <w:w w:val="105"/>
          <w:sz w:val="21"/>
        </w:rPr>
        <w:t>stated,</w:t>
      </w:r>
      <w:r>
        <w:rPr>
          <w:spacing w:val="-5"/>
          <w:w w:val="105"/>
          <w:sz w:val="21"/>
        </w:rPr>
        <w:t> </w:t>
      </w:r>
      <w:r>
        <w:rPr>
          <w:w w:val="105"/>
          <w:sz w:val="21"/>
        </w:rPr>
        <w:t>‘I</w:t>
      </w:r>
      <w:r>
        <w:rPr>
          <w:spacing w:val="-5"/>
          <w:w w:val="105"/>
          <w:sz w:val="21"/>
        </w:rPr>
        <w:t> </w:t>
      </w:r>
      <w:r>
        <w:rPr>
          <w:w w:val="105"/>
          <w:sz w:val="21"/>
        </w:rPr>
        <w:t>am</w:t>
      </w:r>
      <w:r>
        <w:rPr>
          <w:spacing w:val="-5"/>
          <w:w w:val="105"/>
          <w:sz w:val="21"/>
        </w:rPr>
        <w:t> </w:t>
      </w:r>
      <w:r>
        <w:rPr>
          <w:w w:val="105"/>
          <w:sz w:val="21"/>
        </w:rPr>
        <w:t>now</w:t>
      </w:r>
      <w:r>
        <w:rPr>
          <w:spacing w:val="-5"/>
          <w:w w:val="105"/>
          <w:sz w:val="21"/>
        </w:rPr>
        <w:t> </w:t>
      </w:r>
      <w:r>
        <w:rPr>
          <w:w w:val="105"/>
          <w:sz w:val="21"/>
        </w:rPr>
        <w:t>left</w:t>
      </w:r>
      <w:r>
        <w:rPr>
          <w:spacing w:val="-5"/>
          <w:w w:val="105"/>
          <w:sz w:val="21"/>
        </w:rPr>
        <w:t> </w:t>
      </w:r>
      <w:r>
        <w:rPr>
          <w:w w:val="105"/>
          <w:sz w:val="21"/>
        </w:rPr>
        <w:t>with</w:t>
      </w:r>
      <w:r>
        <w:rPr>
          <w:spacing w:val="-5"/>
          <w:w w:val="105"/>
          <w:sz w:val="21"/>
        </w:rPr>
        <w:t> </w:t>
      </w:r>
      <w:r>
        <w:rPr>
          <w:w w:val="105"/>
          <w:sz w:val="21"/>
        </w:rPr>
        <w:t>gutters</w:t>
      </w:r>
      <w:r>
        <w:rPr>
          <w:spacing w:val="-5"/>
          <w:w w:val="105"/>
          <w:sz w:val="21"/>
        </w:rPr>
        <w:t> </w:t>
      </w:r>
      <w:r>
        <w:rPr>
          <w:w w:val="105"/>
          <w:sz w:val="21"/>
        </w:rPr>
        <w:t>and</w:t>
      </w:r>
      <w:r>
        <w:rPr>
          <w:spacing w:val="-5"/>
          <w:w w:val="105"/>
          <w:sz w:val="21"/>
        </w:rPr>
        <w:t> </w:t>
      </w:r>
      <w:r>
        <w:rPr>
          <w:w w:val="105"/>
          <w:sz w:val="21"/>
        </w:rPr>
        <w:t>downpipes</w:t>
      </w:r>
      <w:r>
        <w:rPr>
          <w:spacing w:val="-4"/>
          <w:w w:val="105"/>
          <w:sz w:val="21"/>
        </w:rPr>
        <w:t> </w:t>
      </w:r>
      <w:r>
        <w:rPr>
          <w:spacing w:val="-3"/>
          <w:w w:val="105"/>
          <w:sz w:val="21"/>
        </w:rPr>
        <w:t>full</w:t>
      </w:r>
      <w:r>
        <w:rPr>
          <w:spacing w:val="-5"/>
          <w:w w:val="105"/>
          <w:sz w:val="21"/>
        </w:rPr>
        <w:t> </w:t>
      </w:r>
      <w:r>
        <w:rPr>
          <w:w w:val="105"/>
          <w:sz w:val="21"/>
        </w:rPr>
        <w:t>of</w:t>
      </w:r>
      <w:r>
        <w:rPr>
          <w:spacing w:val="-5"/>
          <w:w w:val="105"/>
          <w:sz w:val="21"/>
        </w:rPr>
        <w:t> </w:t>
      </w:r>
      <w:r>
        <w:rPr>
          <w:spacing w:val="-3"/>
          <w:w w:val="105"/>
          <w:sz w:val="21"/>
        </w:rPr>
        <w:t>leaves</w:t>
      </w:r>
      <w:r>
        <w:rPr>
          <w:spacing w:val="-5"/>
          <w:w w:val="105"/>
          <w:sz w:val="21"/>
        </w:rPr>
        <w:t> </w:t>
      </w:r>
      <w:r>
        <w:rPr>
          <w:w w:val="105"/>
          <w:sz w:val="21"/>
        </w:rPr>
        <w:t>and</w:t>
      </w:r>
      <w:r>
        <w:rPr>
          <w:spacing w:val="-5"/>
          <w:w w:val="105"/>
          <w:sz w:val="21"/>
        </w:rPr>
        <w:t> </w:t>
      </w:r>
      <w:r>
        <w:rPr>
          <w:w w:val="105"/>
          <w:sz w:val="21"/>
        </w:rPr>
        <w:t>debris which is a </w:t>
      </w:r>
      <w:r>
        <w:rPr>
          <w:spacing w:val="-3"/>
          <w:w w:val="105"/>
          <w:sz w:val="21"/>
        </w:rPr>
        <w:t>constant, </w:t>
      </w:r>
      <w:r>
        <w:rPr>
          <w:w w:val="105"/>
          <w:sz w:val="21"/>
        </w:rPr>
        <w:t>expensive and </w:t>
      </w:r>
      <w:r>
        <w:rPr>
          <w:spacing w:val="-3"/>
          <w:w w:val="105"/>
          <w:sz w:val="21"/>
        </w:rPr>
        <w:t>losing </w:t>
      </w:r>
      <w:r>
        <w:rPr>
          <w:w w:val="105"/>
          <w:sz w:val="21"/>
        </w:rPr>
        <w:t>battle </w:t>
      </w:r>
      <w:r>
        <w:rPr>
          <w:spacing w:val="-3"/>
          <w:w w:val="105"/>
          <w:sz w:val="21"/>
        </w:rPr>
        <w:t>for </w:t>
      </w:r>
      <w:r>
        <w:rPr>
          <w:w w:val="105"/>
          <w:sz w:val="21"/>
        </w:rPr>
        <w:t>a 70-year-old </w:t>
      </w:r>
      <w:r>
        <w:rPr>
          <w:spacing w:val="-3"/>
          <w:w w:val="105"/>
          <w:sz w:val="21"/>
        </w:rPr>
        <w:t>to</w:t>
      </w:r>
      <w:r>
        <w:rPr>
          <w:spacing w:val="23"/>
          <w:w w:val="105"/>
          <w:sz w:val="21"/>
        </w:rPr>
        <w:t> </w:t>
      </w:r>
      <w:r>
        <w:rPr>
          <w:spacing w:val="-6"/>
          <w:w w:val="105"/>
          <w:sz w:val="21"/>
        </w:rPr>
        <w:t>maintain’.</w:t>
      </w:r>
      <w:r>
        <w:rPr>
          <w:spacing w:val="-6"/>
          <w:w w:val="105"/>
          <w:position w:val="7"/>
          <w:sz w:val="12"/>
        </w:rPr>
        <w:t>147</w:t>
      </w:r>
    </w:p>
    <w:p>
      <w:pPr>
        <w:pStyle w:val="ListParagraph"/>
        <w:numPr>
          <w:ilvl w:val="1"/>
          <w:numId w:val="16"/>
        </w:numPr>
        <w:tabs>
          <w:tab w:pos="2381" w:val="left" w:leader="none"/>
          <w:tab w:pos="2382" w:val="left" w:leader="none"/>
        </w:tabs>
        <w:spacing w:line="240" w:lineRule="auto" w:before="122" w:after="0"/>
        <w:ind w:left="2381" w:right="0" w:hanging="794"/>
        <w:jc w:val="left"/>
        <w:rPr>
          <w:sz w:val="21"/>
        </w:rPr>
      </w:pPr>
      <w:r>
        <w:rPr>
          <w:w w:val="105"/>
          <w:sz w:val="21"/>
        </w:rPr>
        <w:t>Another</w:t>
      </w:r>
      <w:r>
        <w:rPr>
          <w:spacing w:val="5"/>
          <w:w w:val="105"/>
          <w:sz w:val="21"/>
        </w:rPr>
        <w:t> </w:t>
      </w:r>
      <w:r>
        <w:rPr>
          <w:w w:val="105"/>
          <w:sz w:val="21"/>
        </w:rPr>
        <w:t>stated:</w:t>
      </w:r>
    </w:p>
    <w:p>
      <w:pPr>
        <w:spacing w:line="254" w:lineRule="auto" w:before="133"/>
        <w:ind w:left="2834" w:right="1774" w:firstLine="0"/>
        <w:jc w:val="both"/>
        <w:rPr>
          <w:sz w:val="11"/>
        </w:rPr>
      </w:pPr>
      <w:r>
        <w:rPr>
          <w:w w:val="105"/>
          <w:sz w:val="20"/>
        </w:rPr>
        <w:t>Neighbours</w:t>
      </w:r>
      <w:r>
        <w:rPr>
          <w:spacing w:val="-6"/>
          <w:w w:val="105"/>
          <w:sz w:val="20"/>
        </w:rPr>
        <w:t> </w:t>
      </w:r>
      <w:r>
        <w:rPr>
          <w:w w:val="105"/>
          <w:sz w:val="20"/>
        </w:rPr>
        <w:t>trees</w:t>
      </w:r>
      <w:r>
        <w:rPr>
          <w:spacing w:val="-6"/>
          <w:w w:val="105"/>
          <w:sz w:val="20"/>
        </w:rPr>
        <w:t> </w:t>
      </w:r>
      <w:r>
        <w:rPr>
          <w:w w:val="105"/>
          <w:sz w:val="20"/>
        </w:rPr>
        <w:t>hang</w:t>
      </w:r>
      <w:r>
        <w:rPr>
          <w:spacing w:val="-5"/>
          <w:w w:val="105"/>
          <w:sz w:val="20"/>
        </w:rPr>
        <w:t> </w:t>
      </w:r>
      <w:r>
        <w:rPr>
          <w:w w:val="105"/>
          <w:sz w:val="20"/>
        </w:rPr>
        <w:t>over</w:t>
      </w:r>
      <w:r>
        <w:rPr>
          <w:spacing w:val="-6"/>
          <w:w w:val="105"/>
          <w:sz w:val="20"/>
        </w:rPr>
        <w:t> </w:t>
      </w:r>
      <w:r>
        <w:rPr>
          <w:w w:val="105"/>
          <w:sz w:val="20"/>
        </w:rPr>
        <w:t>[the]</w:t>
      </w:r>
      <w:r>
        <w:rPr>
          <w:spacing w:val="-5"/>
          <w:w w:val="105"/>
          <w:sz w:val="20"/>
        </w:rPr>
        <w:t> </w:t>
      </w:r>
      <w:r>
        <w:rPr>
          <w:spacing w:val="-3"/>
          <w:w w:val="105"/>
          <w:sz w:val="20"/>
        </w:rPr>
        <w:t>fence</w:t>
      </w:r>
      <w:r>
        <w:rPr>
          <w:spacing w:val="-6"/>
          <w:w w:val="105"/>
          <w:sz w:val="20"/>
        </w:rPr>
        <w:t> </w:t>
      </w:r>
      <w:r>
        <w:rPr>
          <w:w w:val="105"/>
          <w:sz w:val="20"/>
        </w:rPr>
        <w:t>and</w:t>
      </w:r>
      <w:r>
        <w:rPr>
          <w:spacing w:val="-6"/>
          <w:w w:val="105"/>
          <w:sz w:val="20"/>
        </w:rPr>
        <w:t> </w:t>
      </w:r>
      <w:r>
        <w:rPr>
          <w:w w:val="105"/>
          <w:sz w:val="20"/>
        </w:rPr>
        <w:t>close</w:t>
      </w:r>
      <w:r>
        <w:rPr>
          <w:spacing w:val="-5"/>
          <w:w w:val="105"/>
          <w:sz w:val="20"/>
        </w:rPr>
        <w:t> </w:t>
      </w:r>
      <w:r>
        <w:rPr>
          <w:w w:val="105"/>
          <w:sz w:val="20"/>
        </w:rPr>
        <w:t>to</w:t>
      </w:r>
      <w:r>
        <w:rPr>
          <w:spacing w:val="-6"/>
          <w:w w:val="105"/>
          <w:sz w:val="20"/>
        </w:rPr>
        <w:t> </w:t>
      </w:r>
      <w:r>
        <w:rPr>
          <w:w w:val="105"/>
          <w:sz w:val="20"/>
        </w:rPr>
        <w:t>my</w:t>
      </w:r>
      <w:r>
        <w:rPr>
          <w:spacing w:val="-5"/>
          <w:w w:val="105"/>
          <w:sz w:val="20"/>
        </w:rPr>
        <w:t> </w:t>
      </w:r>
      <w:r>
        <w:rPr>
          <w:spacing w:val="-4"/>
          <w:w w:val="105"/>
          <w:sz w:val="20"/>
        </w:rPr>
        <w:t>roof,</w:t>
      </w:r>
      <w:r>
        <w:rPr>
          <w:spacing w:val="-6"/>
          <w:w w:val="105"/>
          <w:sz w:val="20"/>
        </w:rPr>
        <w:t> </w:t>
      </w:r>
      <w:r>
        <w:rPr>
          <w:spacing w:val="-4"/>
          <w:w w:val="105"/>
          <w:sz w:val="20"/>
        </w:rPr>
        <w:t>I’m</w:t>
      </w:r>
      <w:r>
        <w:rPr>
          <w:spacing w:val="-5"/>
          <w:w w:val="105"/>
          <w:sz w:val="20"/>
        </w:rPr>
        <w:t> </w:t>
      </w:r>
      <w:r>
        <w:rPr>
          <w:w w:val="105"/>
          <w:sz w:val="20"/>
        </w:rPr>
        <w:t>a</w:t>
      </w:r>
      <w:r>
        <w:rPr>
          <w:spacing w:val="-6"/>
          <w:w w:val="105"/>
          <w:sz w:val="20"/>
        </w:rPr>
        <w:t> </w:t>
      </w:r>
      <w:r>
        <w:rPr>
          <w:w w:val="105"/>
          <w:sz w:val="20"/>
        </w:rPr>
        <w:t>pensioner</w:t>
      </w:r>
      <w:r>
        <w:rPr>
          <w:spacing w:val="-6"/>
          <w:w w:val="105"/>
          <w:sz w:val="20"/>
        </w:rPr>
        <w:t> </w:t>
      </w:r>
      <w:r>
        <w:rPr>
          <w:w w:val="105"/>
          <w:sz w:val="20"/>
        </w:rPr>
        <w:t>and</w:t>
      </w:r>
      <w:r>
        <w:rPr>
          <w:spacing w:val="-5"/>
          <w:w w:val="105"/>
          <w:sz w:val="20"/>
        </w:rPr>
        <w:t> </w:t>
      </w:r>
      <w:r>
        <w:rPr>
          <w:w w:val="105"/>
          <w:sz w:val="20"/>
        </w:rPr>
        <w:t>can’t cut them myself and can’t afford to </w:t>
      </w:r>
      <w:r>
        <w:rPr>
          <w:spacing w:val="-3"/>
          <w:w w:val="105"/>
          <w:sz w:val="20"/>
        </w:rPr>
        <w:t>have </w:t>
      </w:r>
      <w:r>
        <w:rPr>
          <w:w w:val="105"/>
          <w:sz w:val="20"/>
        </w:rPr>
        <w:t>them cut constantly </w:t>
      </w:r>
      <w:r>
        <w:rPr>
          <w:spacing w:val="-6"/>
          <w:w w:val="105"/>
          <w:sz w:val="20"/>
        </w:rPr>
        <w:t>... </w:t>
      </w:r>
      <w:r>
        <w:rPr>
          <w:w w:val="105"/>
          <w:sz w:val="20"/>
        </w:rPr>
        <w:t>I can’t do it </w:t>
      </w:r>
      <w:r>
        <w:rPr>
          <w:spacing w:val="-3"/>
          <w:w w:val="105"/>
          <w:sz w:val="20"/>
        </w:rPr>
        <w:t>physically. </w:t>
      </w:r>
      <w:r>
        <w:rPr>
          <w:w w:val="105"/>
          <w:sz w:val="20"/>
        </w:rPr>
        <w:t>It’s dangerous I </w:t>
      </w:r>
      <w:r>
        <w:rPr>
          <w:spacing w:val="-3"/>
          <w:w w:val="105"/>
          <w:sz w:val="20"/>
        </w:rPr>
        <w:t>could </w:t>
      </w:r>
      <w:r>
        <w:rPr>
          <w:w w:val="105"/>
          <w:sz w:val="20"/>
        </w:rPr>
        <w:t>get hurt and </w:t>
      </w:r>
      <w:r>
        <w:rPr>
          <w:w w:val="115"/>
          <w:sz w:val="20"/>
        </w:rPr>
        <w:t>… </w:t>
      </w:r>
      <w:r>
        <w:rPr>
          <w:w w:val="105"/>
          <w:sz w:val="20"/>
        </w:rPr>
        <w:t>the financial burden is too</w:t>
      </w:r>
      <w:r>
        <w:rPr>
          <w:spacing w:val="2"/>
          <w:w w:val="105"/>
          <w:sz w:val="20"/>
        </w:rPr>
        <w:t> </w:t>
      </w:r>
      <w:r>
        <w:rPr>
          <w:spacing w:val="-4"/>
          <w:w w:val="105"/>
          <w:sz w:val="20"/>
        </w:rPr>
        <w:t>much.</w:t>
      </w:r>
      <w:r>
        <w:rPr>
          <w:spacing w:val="-4"/>
          <w:w w:val="105"/>
          <w:position w:val="7"/>
          <w:sz w:val="11"/>
        </w:rPr>
        <w:t>148</w:t>
      </w:r>
    </w:p>
    <w:p>
      <w:pPr>
        <w:pStyle w:val="ListParagraph"/>
        <w:numPr>
          <w:ilvl w:val="1"/>
          <w:numId w:val="16"/>
        </w:numPr>
        <w:tabs>
          <w:tab w:pos="2381" w:val="left" w:leader="none"/>
          <w:tab w:pos="2382" w:val="left" w:leader="none"/>
        </w:tabs>
        <w:spacing w:line="242" w:lineRule="auto" w:before="114" w:after="0"/>
        <w:ind w:left="2381" w:right="1628" w:hanging="794"/>
        <w:jc w:val="left"/>
        <w:rPr>
          <w:sz w:val="21"/>
        </w:rPr>
      </w:pPr>
      <w:r>
        <w:rPr>
          <w:w w:val="105"/>
          <w:sz w:val="21"/>
        </w:rPr>
        <w:t>DSCV explained </w:t>
      </w:r>
      <w:r>
        <w:rPr>
          <w:spacing w:val="-3"/>
          <w:w w:val="105"/>
          <w:sz w:val="21"/>
        </w:rPr>
        <w:t>that </w:t>
      </w:r>
      <w:r>
        <w:rPr>
          <w:w w:val="105"/>
          <w:sz w:val="21"/>
        </w:rPr>
        <w:t>‘Older people and pensioners </w:t>
      </w:r>
      <w:r>
        <w:rPr>
          <w:spacing w:val="-3"/>
          <w:w w:val="105"/>
          <w:sz w:val="21"/>
        </w:rPr>
        <w:t>are </w:t>
      </w:r>
      <w:r>
        <w:rPr>
          <w:w w:val="105"/>
          <w:sz w:val="21"/>
        </w:rPr>
        <w:t>often left </w:t>
      </w:r>
      <w:r>
        <w:rPr>
          <w:spacing w:val="-3"/>
          <w:w w:val="105"/>
          <w:sz w:val="21"/>
        </w:rPr>
        <w:t>feeling disempowered. </w:t>
      </w:r>
      <w:r>
        <w:rPr>
          <w:w w:val="105"/>
          <w:sz w:val="21"/>
        </w:rPr>
        <w:t>They do </w:t>
      </w:r>
      <w:r>
        <w:rPr>
          <w:spacing w:val="-2"/>
          <w:w w:val="105"/>
          <w:sz w:val="21"/>
        </w:rPr>
        <w:t>not </w:t>
      </w:r>
      <w:r>
        <w:rPr>
          <w:spacing w:val="-3"/>
          <w:w w:val="105"/>
          <w:sz w:val="21"/>
        </w:rPr>
        <w:t>have </w:t>
      </w:r>
      <w:r>
        <w:rPr>
          <w:w w:val="105"/>
          <w:sz w:val="21"/>
        </w:rPr>
        <w:t>support, </w:t>
      </w:r>
      <w:r>
        <w:rPr>
          <w:spacing w:val="-3"/>
          <w:w w:val="105"/>
          <w:sz w:val="21"/>
        </w:rPr>
        <w:t>language skills, </w:t>
      </w:r>
      <w:r>
        <w:rPr>
          <w:w w:val="105"/>
          <w:sz w:val="21"/>
        </w:rPr>
        <w:t>money or confidence </w:t>
      </w:r>
      <w:r>
        <w:rPr>
          <w:spacing w:val="-3"/>
          <w:w w:val="105"/>
          <w:sz w:val="21"/>
        </w:rPr>
        <w:t>to take </w:t>
      </w:r>
      <w:r>
        <w:rPr>
          <w:w w:val="105"/>
          <w:sz w:val="21"/>
        </w:rPr>
        <w:t>legal action. They </w:t>
      </w:r>
      <w:r>
        <w:rPr>
          <w:spacing w:val="-3"/>
          <w:w w:val="105"/>
          <w:sz w:val="21"/>
        </w:rPr>
        <w:t>may </w:t>
      </w:r>
      <w:r>
        <w:rPr>
          <w:w w:val="105"/>
          <w:sz w:val="21"/>
        </w:rPr>
        <w:t>also be </w:t>
      </w:r>
      <w:r>
        <w:rPr>
          <w:spacing w:val="-3"/>
          <w:w w:val="105"/>
          <w:sz w:val="21"/>
        </w:rPr>
        <w:t>intimidated </w:t>
      </w:r>
      <w:r>
        <w:rPr>
          <w:w w:val="105"/>
          <w:sz w:val="21"/>
        </w:rPr>
        <w:t>by </w:t>
      </w:r>
      <w:r>
        <w:rPr>
          <w:spacing w:val="-4"/>
          <w:w w:val="105"/>
          <w:sz w:val="21"/>
        </w:rPr>
        <w:t>mediation.’ Accordingly, </w:t>
      </w:r>
      <w:r>
        <w:rPr>
          <w:w w:val="105"/>
          <w:sz w:val="21"/>
        </w:rPr>
        <w:t>‘DSCV </w:t>
      </w:r>
      <w:r>
        <w:rPr>
          <w:spacing w:val="-3"/>
          <w:w w:val="105"/>
          <w:sz w:val="21"/>
        </w:rPr>
        <w:t>takes </w:t>
      </w:r>
      <w:r>
        <w:rPr>
          <w:w w:val="105"/>
          <w:sz w:val="21"/>
        </w:rPr>
        <w:t>steps </w:t>
      </w:r>
      <w:r>
        <w:rPr>
          <w:spacing w:val="-3"/>
          <w:w w:val="105"/>
          <w:sz w:val="21"/>
        </w:rPr>
        <w:t>that </w:t>
      </w:r>
      <w:r>
        <w:rPr>
          <w:w w:val="105"/>
          <w:sz w:val="21"/>
        </w:rPr>
        <w:t>participation occurs with </w:t>
      </w:r>
      <w:r>
        <w:rPr>
          <w:spacing w:val="-3"/>
          <w:w w:val="105"/>
          <w:sz w:val="21"/>
        </w:rPr>
        <w:t>adequate </w:t>
      </w:r>
      <w:r>
        <w:rPr>
          <w:w w:val="105"/>
          <w:sz w:val="21"/>
        </w:rPr>
        <w:t>support </w:t>
      </w:r>
      <w:r>
        <w:rPr>
          <w:spacing w:val="-3"/>
          <w:w w:val="105"/>
          <w:sz w:val="21"/>
        </w:rPr>
        <w:t>to </w:t>
      </w:r>
      <w:r>
        <w:rPr>
          <w:w w:val="105"/>
          <w:sz w:val="21"/>
        </w:rPr>
        <w:t>address </w:t>
      </w:r>
      <w:r>
        <w:rPr>
          <w:spacing w:val="-3"/>
          <w:w w:val="105"/>
          <w:sz w:val="21"/>
        </w:rPr>
        <w:t>any </w:t>
      </w:r>
      <w:r>
        <w:rPr>
          <w:w w:val="105"/>
          <w:sz w:val="21"/>
        </w:rPr>
        <w:t>power </w:t>
      </w:r>
      <w:r>
        <w:rPr>
          <w:spacing w:val="-3"/>
          <w:w w:val="105"/>
          <w:sz w:val="21"/>
        </w:rPr>
        <w:t>imbalance, interpreter</w:t>
      </w:r>
      <w:r>
        <w:rPr>
          <w:spacing w:val="-24"/>
          <w:w w:val="105"/>
          <w:sz w:val="21"/>
        </w:rPr>
        <w:t> </w:t>
      </w:r>
      <w:r>
        <w:rPr>
          <w:w w:val="105"/>
          <w:sz w:val="21"/>
        </w:rPr>
        <w:t>services</w:t>
      </w:r>
    </w:p>
    <w:p>
      <w:pPr>
        <w:pStyle w:val="BodyText"/>
        <w:spacing w:line="242" w:lineRule="auto" w:before="4"/>
        <w:ind w:left="2381" w:right="1636"/>
        <w:rPr>
          <w:sz w:val="12"/>
        </w:rPr>
      </w:pPr>
      <w:r>
        <w:rPr>
          <w:spacing w:val="-3"/>
          <w:w w:val="105"/>
        </w:rPr>
        <w:t>to combat language </w:t>
      </w:r>
      <w:r>
        <w:rPr>
          <w:w w:val="105"/>
        </w:rPr>
        <w:t>issues and </w:t>
      </w:r>
      <w:r>
        <w:rPr>
          <w:spacing w:val="-3"/>
          <w:w w:val="105"/>
        </w:rPr>
        <w:t>referrals to </w:t>
      </w:r>
      <w:r>
        <w:rPr>
          <w:w w:val="105"/>
        </w:rPr>
        <w:t>legal services or </w:t>
      </w:r>
      <w:r>
        <w:rPr>
          <w:spacing w:val="-3"/>
          <w:w w:val="105"/>
        </w:rPr>
        <w:t>financial counsellors </w:t>
      </w:r>
      <w:r>
        <w:rPr>
          <w:w w:val="105"/>
        </w:rPr>
        <w:t>as </w:t>
      </w:r>
      <w:r>
        <w:rPr>
          <w:spacing w:val="-6"/>
          <w:w w:val="105"/>
        </w:rPr>
        <w:t>required’.</w:t>
      </w:r>
      <w:r>
        <w:rPr>
          <w:spacing w:val="-6"/>
          <w:w w:val="105"/>
          <w:position w:val="7"/>
          <w:sz w:val="12"/>
        </w:rPr>
        <w:t>149</w:t>
      </w:r>
    </w:p>
    <w:p>
      <w:pPr>
        <w:pStyle w:val="BodyText"/>
        <w:spacing w:before="10"/>
      </w:pPr>
    </w:p>
    <w:p>
      <w:pPr>
        <w:pStyle w:val="Heading4"/>
      </w:pPr>
      <w:r>
        <w:rPr>
          <w:color w:val="658464"/>
          <w:w w:val="110"/>
        </w:rPr>
        <w:t>Factors contributing to tree disputes</w:t>
      </w:r>
    </w:p>
    <w:p>
      <w:pPr>
        <w:pStyle w:val="ListParagraph"/>
        <w:numPr>
          <w:ilvl w:val="1"/>
          <w:numId w:val="16"/>
        </w:numPr>
        <w:tabs>
          <w:tab w:pos="2381" w:val="left" w:leader="none"/>
          <w:tab w:pos="2382" w:val="left" w:leader="none"/>
        </w:tabs>
        <w:spacing w:line="242" w:lineRule="auto" w:before="155" w:after="0"/>
        <w:ind w:left="2381" w:right="1981" w:hanging="794"/>
        <w:jc w:val="left"/>
        <w:rPr>
          <w:sz w:val="21"/>
        </w:rPr>
      </w:pPr>
      <w:r>
        <w:rPr>
          <w:w w:val="105"/>
          <w:sz w:val="21"/>
        </w:rPr>
        <w:t>In exploring community responses </w:t>
      </w:r>
      <w:r>
        <w:rPr>
          <w:spacing w:val="-3"/>
          <w:w w:val="105"/>
          <w:sz w:val="21"/>
        </w:rPr>
        <w:t>to </w:t>
      </w:r>
      <w:r>
        <w:rPr>
          <w:w w:val="105"/>
          <w:sz w:val="21"/>
        </w:rPr>
        <w:t>the </w:t>
      </w:r>
      <w:r>
        <w:rPr>
          <w:spacing w:val="-3"/>
          <w:w w:val="105"/>
          <w:sz w:val="21"/>
        </w:rPr>
        <w:t>consultation </w:t>
      </w:r>
      <w:r>
        <w:rPr>
          <w:spacing w:val="-4"/>
          <w:w w:val="105"/>
          <w:sz w:val="21"/>
        </w:rPr>
        <w:t>paper, </w:t>
      </w:r>
      <w:r>
        <w:rPr>
          <w:w w:val="105"/>
          <w:sz w:val="21"/>
        </w:rPr>
        <w:t>the </w:t>
      </w:r>
      <w:r>
        <w:rPr>
          <w:spacing w:val="-3"/>
          <w:w w:val="105"/>
          <w:sz w:val="21"/>
        </w:rPr>
        <w:t>Commission </w:t>
      </w:r>
      <w:r>
        <w:rPr>
          <w:spacing w:val="-2"/>
          <w:w w:val="105"/>
          <w:sz w:val="21"/>
        </w:rPr>
        <w:t>has </w:t>
      </w:r>
      <w:r>
        <w:rPr>
          <w:w w:val="105"/>
          <w:sz w:val="21"/>
        </w:rPr>
        <w:t>identified</w:t>
      </w:r>
      <w:r>
        <w:rPr>
          <w:spacing w:val="-8"/>
          <w:w w:val="105"/>
          <w:sz w:val="21"/>
        </w:rPr>
        <w:t> </w:t>
      </w:r>
      <w:r>
        <w:rPr>
          <w:w w:val="105"/>
          <w:sz w:val="21"/>
        </w:rPr>
        <w:t>factors</w:t>
      </w:r>
      <w:r>
        <w:rPr>
          <w:spacing w:val="-7"/>
          <w:w w:val="105"/>
          <w:sz w:val="21"/>
        </w:rPr>
        <w:t> </w:t>
      </w:r>
      <w:r>
        <w:rPr>
          <w:spacing w:val="-3"/>
          <w:w w:val="105"/>
          <w:sz w:val="21"/>
        </w:rPr>
        <w:t>that</w:t>
      </w:r>
      <w:r>
        <w:rPr>
          <w:spacing w:val="-8"/>
          <w:w w:val="105"/>
          <w:sz w:val="21"/>
        </w:rPr>
        <w:t> </w:t>
      </w:r>
      <w:r>
        <w:rPr>
          <w:spacing w:val="-3"/>
          <w:w w:val="105"/>
          <w:sz w:val="21"/>
        </w:rPr>
        <w:t>contribute</w:t>
      </w:r>
      <w:r>
        <w:rPr>
          <w:spacing w:val="-7"/>
          <w:w w:val="105"/>
          <w:sz w:val="21"/>
        </w:rPr>
        <w:t> </w:t>
      </w:r>
      <w:r>
        <w:rPr>
          <w:spacing w:val="-3"/>
          <w:w w:val="105"/>
          <w:sz w:val="21"/>
        </w:rPr>
        <w:t>to</w:t>
      </w:r>
      <w:r>
        <w:rPr>
          <w:spacing w:val="-8"/>
          <w:w w:val="105"/>
          <w:sz w:val="21"/>
        </w:rPr>
        <w:t> </w:t>
      </w:r>
      <w:r>
        <w:rPr>
          <w:w w:val="105"/>
          <w:sz w:val="21"/>
        </w:rPr>
        <w:t>tree</w:t>
      </w:r>
      <w:r>
        <w:rPr>
          <w:spacing w:val="-7"/>
          <w:w w:val="105"/>
          <w:sz w:val="21"/>
        </w:rPr>
        <w:t> </w:t>
      </w:r>
      <w:r>
        <w:rPr>
          <w:spacing w:val="-3"/>
          <w:w w:val="105"/>
          <w:sz w:val="21"/>
        </w:rPr>
        <w:t>disputes.</w:t>
      </w:r>
      <w:r>
        <w:rPr>
          <w:spacing w:val="-8"/>
          <w:w w:val="105"/>
          <w:sz w:val="21"/>
        </w:rPr>
        <w:t> </w:t>
      </w:r>
      <w:r>
        <w:rPr>
          <w:w w:val="105"/>
          <w:sz w:val="21"/>
        </w:rPr>
        <w:t>All</w:t>
      </w:r>
      <w:r>
        <w:rPr>
          <w:spacing w:val="-7"/>
          <w:w w:val="105"/>
          <w:sz w:val="21"/>
        </w:rPr>
        <w:t> </w:t>
      </w:r>
      <w:r>
        <w:rPr>
          <w:w w:val="105"/>
          <w:sz w:val="21"/>
        </w:rPr>
        <w:t>of</w:t>
      </w:r>
      <w:r>
        <w:rPr>
          <w:spacing w:val="-8"/>
          <w:w w:val="105"/>
          <w:sz w:val="21"/>
        </w:rPr>
        <w:t> </w:t>
      </w:r>
      <w:r>
        <w:rPr>
          <w:w w:val="105"/>
          <w:sz w:val="21"/>
        </w:rPr>
        <w:t>these</w:t>
      </w:r>
      <w:r>
        <w:rPr>
          <w:spacing w:val="-7"/>
          <w:w w:val="105"/>
          <w:sz w:val="21"/>
        </w:rPr>
        <w:t> </w:t>
      </w:r>
      <w:r>
        <w:rPr>
          <w:w w:val="105"/>
          <w:sz w:val="21"/>
        </w:rPr>
        <w:t>factors</w:t>
      </w:r>
      <w:r>
        <w:rPr>
          <w:spacing w:val="-8"/>
          <w:w w:val="105"/>
          <w:sz w:val="21"/>
        </w:rPr>
        <w:t> </w:t>
      </w:r>
      <w:r>
        <w:rPr>
          <w:w w:val="105"/>
          <w:sz w:val="21"/>
        </w:rPr>
        <w:t>can</w:t>
      </w:r>
      <w:r>
        <w:rPr>
          <w:spacing w:val="-7"/>
          <w:w w:val="105"/>
          <w:sz w:val="21"/>
        </w:rPr>
        <w:t> </w:t>
      </w:r>
      <w:r>
        <w:rPr>
          <w:w w:val="105"/>
          <w:sz w:val="21"/>
        </w:rPr>
        <w:t>prolong</w:t>
      </w:r>
      <w:r>
        <w:rPr>
          <w:spacing w:val="-7"/>
          <w:w w:val="105"/>
          <w:sz w:val="21"/>
        </w:rPr>
        <w:t> </w:t>
      </w:r>
      <w:r>
        <w:rPr>
          <w:w w:val="105"/>
          <w:sz w:val="21"/>
        </w:rPr>
        <w:t>and </w:t>
      </w:r>
      <w:r>
        <w:rPr>
          <w:spacing w:val="-3"/>
          <w:w w:val="105"/>
          <w:sz w:val="21"/>
        </w:rPr>
        <w:t>heighten</w:t>
      </w:r>
      <w:r>
        <w:rPr>
          <w:spacing w:val="5"/>
          <w:w w:val="105"/>
          <w:sz w:val="21"/>
        </w:rPr>
        <w:t> </w:t>
      </w:r>
      <w:r>
        <w:rPr>
          <w:spacing w:val="-3"/>
          <w:w w:val="105"/>
          <w:sz w:val="21"/>
        </w:rPr>
        <w:t>disputes.</w:t>
      </w:r>
    </w:p>
    <w:p>
      <w:pPr>
        <w:pStyle w:val="BodyText"/>
        <w:spacing w:before="3"/>
        <w:rPr>
          <w:sz w:val="20"/>
        </w:rPr>
      </w:pPr>
    </w:p>
    <w:p>
      <w:pPr>
        <w:pStyle w:val="Heading5"/>
        <w:spacing w:before="1"/>
      </w:pPr>
      <w:r>
        <w:rPr>
          <w:w w:val="115"/>
        </w:rPr>
        <w:t>Breakdown in communication</w:t>
      </w:r>
    </w:p>
    <w:p>
      <w:pPr>
        <w:pStyle w:val="ListParagraph"/>
        <w:numPr>
          <w:ilvl w:val="1"/>
          <w:numId w:val="16"/>
        </w:numPr>
        <w:tabs>
          <w:tab w:pos="2380" w:val="left" w:leader="none"/>
          <w:tab w:pos="2381" w:val="left" w:leader="none"/>
        </w:tabs>
        <w:spacing w:line="242" w:lineRule="auto" w:before="137" w:after="0"/>
        <w:ind w:left="2381" w:right="2213" w:hanging="794"/>
        <w:jc w:val="left"/>
        <w:rPr>
          <w:sz w:val="21"/>
        </w:rPr>
      </w:pPr>
      <w:r>
        <w:rPr>
          <w:w w:val="105"/>
          <w:sz w:val="21"/>
        </w:rPr>
        <w:t>Almost</w:t>
      </w:r>
      <w:r>
        <w:rPr>
          <w:spacing w:val="-15"/>
          <w:w w:val="105"/>
          <w:sz w:val="21"/>
        </w:rPr>
        <w:t> </w:t>
      </w:r>
      <w:r>
        <w:rPr>
          <w:spacing w:val="-3"/>
          <w:w w:val="105"/>
          <w:sz w:val="21"/>
        </w:rPr>
        <w:t>all</w:t>
      </w:r>
      <w:r>
        <w:rPr>
          <w:spacing w:val="-15"/>
          <w:w w:val="105"/>
          <w:sz w:val="21"/>
        </w:rPr>
        <w:t> </w:t>
      </w:r>
      <w:r>
        <w:rPr>
          <w:spacing w:val="-3"/>
          <w:w w:val="105"/>
          <w:sz w:val="21"/>
        </w:rPr>
        <w:t>available</w:t>
      </w:r>
      <w:r>
        <w:rPr>
          <w:spacing w:val="-15"/>
          <w:w w:val="105"/>
          <w:sz w:val="21"/>
        </w:rPr>
        <w:t> </w:t>
      </w:r>
      <w:r>
        <w:rPr>
          <w:w w:val="105"/>
          <w:sz w:val="21"/>
        </w:rPr>
        <w:t>community</w:t>
      </w:r>
      <w:r>
        <w:rPr>
          <w:spacing w:val="-15"/>
          <w:w w:val="105"/>
          <w:sz w:val="21"/>
        </w:rPr>
        <w:t> </w:t>
      </w:r>
      <w:r>
        <w:rPr>
          <w:spacing w:val="-3"/>
          <w:w w:val="105"/>
          <w:sz w:val="21"/>
        </w:rPr>
        <w:t>resources</w:t>
      </w:r>
      <w:r>
        <w:rPr>
          <w:spacing w:val="-14"/>
          <w:w w:val="105"/>
          <w:sz w:val="21"/>
        </w:rPr>
        <w:t> </w:t>
      </w:r>
      <w:r>
        <w:rPr>
          <w:w w:val="105"/>
          <w:sz w:val="21"/>
        </w:rPr>
        <w:t>about</w:t>
      </w:r>
      <w:r>
        <w:rPr>
          <w:spacing w:val="-15"/>
          <w:w w:val="105"/>
          <w:sz w:val="21"/>
        </w:rPr>
        <w:t> </w:t>
      </w:r>
      <w:r>
        <w:rPr>
          <w:w w:val="105"/>
          <w:sz w:val="21"/>
        </w:rPr>
        <w:t>tree</w:t>
      </w:r>
      <w:r>
        <w:rPr>
          <w:spacing w:val="-15"/>
          <w:w w:val="105"/>
          <w:sz w:val="21"/>
        </w:rPr>
        <w:t> </w:t>
      </w:r>
      <w:r>
        <w:rPr>
          <w:spacing w:val="-3"/>
          <w:w w:val="105"/>
          <w:sz w:val="21"/>
        </w:rPr>
        <w:t>disputes</w:t>
      </w:r>
      <w:r>
        <w:rPr>
          <w:spacing w:val="-15"/>
          <w:w w:val="105"/>
          <w:sz w:val="21"/>
        </w:rPr>
        <w:t> </w:t>
      </w:r>
      <w:r>
        <w:rPr>
          <w:w w:val="105"/>
          <w:sz w:val="21"/>
        </w:rPr>
        <w:t>stress</w:t>
      </w:r>
      <w:r>
        <w:rPr>
          <w:spacing w:val="-15"/>
          <w:w w:val="105"/>
          <w:sz w:val="21"/>
        </w:rPr>
        <w:t> </w:t>
      </w:r>
      <w:r>
        <w:rPr>
          <w:w w:val="105"/>
          <w:sz w:val="21"/>
        </w:rPr>
        <w:t>the</w:t>
      </w:r>
      <w:r>
        <w:rPr>
          <w:spacing w:val="-14"/>
          <w:w w:val="105"/>
          <w:sz w:val="21"/>
        </w:rPr>
        <w:t> </w:t>
      </w:r>
      <w:r>
        <w:rPr>
          <w:w w:val="105"/>
          <w:sz w:val="21"/>
        </w:rPr>
        <w:t>importance of </w:t>
      </w:r>
      <w:r>
        <w:rPr>
          <w:spacing w:val="-3"/>
          <w:w w:val="105"/>
          <w:sz w:val="21"/>
        </w:rPr>
        <w:t>communicating </w:t>
      </w:r>
      <w:r>
        <w:rPr>
          <w:w w:val="105"/>
          <w:sz w:val="21"/>
        </w:rPr>
        <w:t>respectfully with neighbours in </w:t>
      </w:r>
      <w:r>
        <w:rPr>
          <w:spacing w:val="-3"/>
          <w:w w:val="105"/>
          <w:sz w:val="21"/>
        </w:rPr>
        <w:t>recognition </w:t>
      </w:r>
      <w:r>
        <w:rPr>
          <w:w w:val="105"/>
          <w:sz w:val="21"/>
        </w:rPr>
        <w:t>of the fact </w:t>
      </w:r>
      <w:r>
        <w:rPr>
          <w:spacing w:val="-3"/>
          <w:w w:val="105"/>
          <w:sz w:val="21"/>
        </w:rPr>
        <w:t>that communication </w:t>
      </w:r>
      <w:r>
        <w:rPr>
          <w:w w:val="105"/>
          <w:sz w:val="21"/>
        </w:rPr>
        <w:t>can quickly descend </w:t>
      </w:r>
      <w:r>
        <w:rPr>
          <w:spacing w:val="-4"/>
          <w:w w:val="105"/>
          <w:sz w:val="21"/>
        </w:rPr>
        <w:t>into</w:t>
      </w:r>
      <w:r>
        <w:rPr>
          <w:spacing w:val="27"/>
          <w:w w:val="105"/>
          <w:sz w:val="21"/>
        </w:rPr>
        <w:t> </w:t>
      </w:r>
      <w:r>
        <w:rPr>
          <w:spacing w:val="-4"/>
          <w:w w:val="105"/>
          <w:sz w:val="21"/>
        </w:rPr>
        <w:t>conflict.</w:t>
      </w:r>
      <w:r>
        <w:rPr>
          <w:spacing w:val="-4"/>
          <w:w w:val="105"/>
          <w:position w:val="7"/>
          <w:sz w:val="12"/>
        </w:rPr>
        <w:t>150</w:t>
      </w:r>
    </w:p>
    <w:p>
      <w:pPr>
        <w:pStyle w:val="ListParagraph"/>
        <w:numPr>
          <w:ilvl w:val="1"/>
          <w:numId w:val="16"/>
        </w:numPr>
        <w:tabs>
          <w:tab w:pos="2380" w:val="left" w:leader="none"/>
          <w:tab w:pos="2381" w:val="left" w:leader="none"/>
        </w:tabs>
        <w:spacing w:line="242" w:lineRule="auto" w:before="123" w:after="0"/>
        <w:ind w:left="2381" w:right="1586" w:hanging="794"/>
        <w:jc w:val="left"/>
        <w:rPr>
          <w:sz w:val="21"/>
        </w:rPr>
      </w:pPr>
      <w:r>
        <w:rPr>
          <w:spacing w:val="-3"/>
          <w:sz w:val="21"/>
        </w:rPr>
        <w:t>Many </w:t>
      </w:r>
      <w:r>
        <w:rPr>
          <w:sz w:val="21"/>
        </w:rPr>
        <w:t>affected neighbours reported </w:t>
      </w:r>
      <w:r>
        <w:rPr>
          <w:spacing w:val="-3"/>
          <w:sz w:val="21"/>
        </w:rPr>
        <w:t>that </w:t>
      </w:r>
      <w:r>
        <w:rPr>
          <w:sz w:val="21"/>
        </w:rPr>
        <w:t>when  they  approached  the  tree  </w:t>
      </w:r>
      <w:r>
        <w:rPr>
          <w:spacing w:val="-4"/>
          <w:sz w:val="21"/>
        </w:rPr>
        <w:t>owner,  </w:t>
      </w:r>
      <w:r>
        <w:rPr>
          <w:sz w:val="21"/>
        </w:rPr>
        <w:t>they </w:t>
      </w:r>
      <w:r>
        <w:rPr>
          <w:spacing w:val="-3"/>
          <w:sz w:val="21"/>
        </w:rPr>
        <w:t>were ignored </w:t>
      </w:r>
      <w:r>
        <w:rPr>
          <w:spacing w:val="-6"/>
          <w:sz w:val="21"/>
        </w:rPr>
        <w:t>or, </w:t>
      </w:r>
      <w:r>
        <w:rPr>
          <w:sz w:val="21"/>
        </w:rPr>
        <w:t>in some cases, met  with  </w:t>
      </w:r>
      <w:r>
        <w:rPr>
          <w:spacing w:val="-5"/>
          <w:sz w:val="21"/>
        </w:rPr>
        <w:t>hostility.</w:t>
      </w:r>
      <w:r>
        <w:rPr>
          <w:spacing w:val="-5"/>
          <w:position w:val="7"/>
          <w:sz w:val="12"/>
        </w:rPr>
        <w:t>151  </w:t>
      </w:r>
      <w:r>
        <w:rPr>
          <w:sz w:val="21"/>
        </w:rPr>
        <w:t>A  lack  of  clarity  in  the  law  </w:t>
      </w:r>
      <w:r>
        <w:rPr>
          <w:spacing w:val="-3"/>
          <w:sz w:val="21"/>
        </w:rPr>
        <w:t>means that </w:t>
      </w:r>
      <w:r>
        <w:rPr>
          <w:sz w:val="21"/>
        </w:rPr>
        <w:t>there is no motivation </w:t>
      </w:r>
      <w:r>
        <w:rPr>
          <w:spacing w:val="-3"/>
          <w:sz w:val="21"/>
        </w:rPr>
        <w:t>for </w:t>
      </w:r>
      <w:r>
        <w:rPr>
          <w:sz w:val="21"/>
        </w:rPr>
        <w:t>a </w:t>
      </w:r>
      <w:r>
        <w:rPr>
          <w:spacing w:val="-3"/>
          <w:sz w:val="21"/>
        </w:rPr>
        <w:t>neighbour to </w:t>
      </w:r>
      <w:r>
        <w:rPr>
          <w:sz w:val="21"/>
        </w:rPr>
        <w:t>engage in </w:t>
      </w:r>
      <w:r>
        <w:rPr>
          <w:spacing w:val="-3"/>
          <w:sz w:val="21"/>
        </w:rPr>
        <w:t>conversations </w:t>
      </w:r>
      <w:r>
        <w:rPr>
          <w:sz w:val="21"/>
        </w:rPr>
        <w:t>or be </w:t>
      </w:r>
      <w:r>
        <w:rPr>
          <w:spacing w:val="-3"/>
          <w:sz w:val="21"/>
        </w:rPr>
        <w:t>reasonably </w:t>
      </w:r>
      <w:r>
        <w:rPr>
          <w:sz w:val="21"/>
        </w:rPr>
        <w:t>expected </w:t>
      </w:r>
      <w:r>
        <w:rPr>
          <w:spacing w:val="-3"/>
          <w:sz w:val="21"/>
        </w:rPr>
        <w:t>to manage </w:t>
      </w:r>
      <w:r>
        <w:rPr>
          <w:sz w:val="21"/>
        </w:rPr>
        <w:t>their tree in a certain </w:t>
      </w:r>
      <w:r>
        <w:rPr>
          <w:spacing w:val="-5"/>
          <w:sz w:val="21"/>
        </w:rPr>
        <w:t>way. </w:t>
      </w:r>
      <w:r>
        <w:rPr>
          <w:sz w:val="21"/>
        </w:rPr>
        <w:t>It was also stated </w:t>
      </w:r>
      <w:r>
        <w:rPr>
          <w:spacing w:val="-3"/>
          <w:sz w:val="21"/>
        </w:rPr>
        <w:t>that </w:t>
      </w:r>
      <w:r>
        <w:rPr>
          <w:sz w:val="21"/>
        </w:rPr>
        <w:t>pre-existing conflict between neighbours can cause or </w:t>
      </w:r>
      <w:r>
        <w:rPr>
          <w:spacing w:val="-3"/>
          <w:sz w:val="21"/>
        </w:rPr>
        <w:t>exacerbate </w:t>
      </w:r>
      <w:r>
        <w:rPr>
          <w:sz w:val="21"/>
        </w:rPr>
        <w:t>tree</w:t>
      </w:r>
      <w:r>
        <w:rPr>
          <w:spacing w:val="32"/>
          <w:sz w:val="21"/>
        </w:rPr>
        <w:t> </w:t>
      </w:r>
      <w:r>
        <w:rPr>
          <w:spacing w:val="-4"/>
          <w:sz w:val="21"/>
        </w:rPr>
        <w:t>disputes.</w:t>
      </w:r>
      <w:r>
        <w:rPr>
          <w:spacing w:val="-4"/>
          <w:position w:val="7"/>
          <w:sz w:val="12"/>
        </w:rPr>
        <w:t>152</w:t>
      </w:r>
    </w:p>
    <w:p>
      <w:pPr>
        <w:pStyle w:val="BodyText"/>
        <w:spacing w:before="6"/>
        <w:rPr>
          <w:sz w:val="20"/>
        </w:rPr>
      </w:pPr>
    </w:p>
    <w:p>
      <w:pPr>
        <w:pStyle w:val="Heading5"/>
      </w:pPr>
      <w:r>
        <w:rPr>
          <w:w w:val="115"/>
        </w:rPr>
        <w:t>Lack of knowledge about trees</w:t>
      </w:r>
    </w:p>
    <w:p>
      <w:pPr>
        <w:pStyle w:val="Heading7"/>
        <w:spacing w:before="168"/>
      </w:pPr>
      <w:r>
        <w:rPr>
          <w:w w:val="115"/>
        </w:rPr>
        <w:t>Lack of understanding about the biology of trees</w:t>
      </w:r>
    </w:p>
    <w:p>
      <w:pPr>
        <w:pStyle w:val="ListParagraph"/>
        <w:numPr>
          <w:ilvl w:val="1"/>
          <w:numId w:val="16"/>
        </w:numPr>
        <w:tabs>
          <w:tab w:pos="2380" w:val="left" w:leader="none"/>
          <w:tab w:pos="2381" w:val="left" w:leader="none"/>
        </w:tabs>
        <w:spacing w:line="242" w:lineRule="auto" w:before="143" w:after="0"/>
        <w:ind w:left="2381" w:right="1619" w:hanging="794"/>
        <w:jc w:val="left"/>
        <w:rPr>
          <w:sz w:val="21"/>
        </w:rPr>
      </w:pPr>
      <w:r>
        <w:rPr>
          <w:spacing w:val="-3"/>
          <w:w w:val="105"/>
          <w:sz w:val="21"/>
        </w:rPr>
        <w:t>Many </w:t>
      </w:r>
      <w:r>
        <w:rPr>
          <w:w w:val="105"/>
          <w:sz w:val="21"/>
        </w:rPr>
        <w:t>arborists </w:t>
      </w:r>
      <w:r>
        <w:rPr>
          <w:spacing w:val="-3"/>
          <w:w w:val="105"/>
          <w:sz w:val="21"/>
        </w:rPr>
        <w:t>noted that </w:t>
      </w:r>
      <w:r>
        <w:rPr>
          <w:w w:val="105"/>
          <w:sz w:val="21"/>
        </w:rPr>
        <w:t>a lack of knowledge about trees </w:t>
      </w:r>
      <w:r>
        <w:rPr>
          <w:spacing w:val="-3"/>
          <w:w w:val="105"/>
          <w:sz w:val="21"/>
        </w:rPr>
        <w:t>contributed to </w:t>
      </w:r>
      <w:r>
        <w:rPr>
          <w:w w:val="105"/>
          <w:sz w:val="21"/>
        </w:rPr>
        <w:t>the </w:t>
      </w:r>
      <w:r>
        <w:rPr>
          <w:spacing w:val="-3"/>
          <w:w w:val="105"/>
          <w:sz w:val="21"/>
        </w:rPr>
        <w:t>occurrence </w:t>
      </w:r>
      <w:r>
        <w:rPr>
          <w:w w:val="105"/>
          <w:sz w:val="21"/>
        </w:rPr>
        <w:t>of</w:t>
      </w:r>
      <w:r>
        <w:rPr>
          <w:spacing w:val="-6"/>
          <w:w w:val="105"/>
          <w:sz w:val="21"/>
        </w:rPr>
        <w:t> </w:t>
      </w:r>
      <w:r>
        <w:rPr>
          <w:w w:val="105"/>
          <w:sz w:val="21"/>
        </w:rPr>
        <w:t>tree</w:t>
      </w:r>
      <w:r>
        <w:rPr>
          <w:spacing w:val="-6"/>
          <w:w w:val="105"/>
          <w:sz w:val="21"/>
        </w:rPr>
        <w:t> </w:t>
      </w:r>
      <w:r>
        <w:rPr>
          <w:spacing w:val="-3"/>
          <w:w w:val="105"/>
          <w:sz w:val="21"/>
        </w:rPr>
        <w:t>disputes.</w:t>
      </w:r>
      <w:r>
        <w:rPr>
          <w:spacing w:val="-5"/>
          <w:w w:val="105"/>
          <w:sz w:val="21"/>
        </w:rPr>
        <w:t> </w:t>
      </w:r>
      <w:r>
        <w:rPr>
          <w:spacing w:val="-3"/>
          <w:w w:val="105"/>
          <w:sz w:val="21"/>
        </w:rPr>
        <w:t>Many</w:t>
      </w:r>
      <w:r>
        <w:rPr>
          <w:spacing w:val="-6"/>
          <w:w w:val="105"/>
          <w:sz w:val="21"/>
        </w:rPr>
        <w:t> </w:t>
      </w:r>
      <w:r>
        <w:rPr>
          <w:w w:val="105"/>
          <w:sz w:val="21"/>
        </w:rPr>
        <w:t>community</w:t>
      </w:r>
      <w:r>
        <w:rPr>
          <w:spacing w:val="-5"/>
          <w:w w:val="105"/>
          <w:sz w:val="21"/>
        </w:rPr>
        <w:t> </w:t>
      </w:r>
      <w:r>
        <w:rPr>
          <w:w w:val="105"/>
          <w:sz w:val="21"/>
        </w:rPr>
        <w:t>members</w:t>
      </w:r>
      <w:r>
        <w:rPr>
          <w:spacing w:val="-6"/>
          <w:w w:val="105"/>
          <w:sz w:val="21"/>
        </w:rPr>
        <w:t> </w:t>
      </w:r>
      <w:r>
        <w:rPr>
          <w:spacing w:val="-3"/>
          <w:w w:val="105"/>
          <w:sz w:val="21"/>
        </w:rPr>
        <w:t>are</w:t>
      </w:r>
      <w:r>
        <w:rPr>
          <w:spacing w:val="-6"/>
          <w:w w:val="105"/>
          <w:sz w:val="21"/>
        </w:rPr>
        <w:t> </w:t>
      </w:r>
      <w:r>
        <w:rPr>
          <w:spacing w:val="-3"/>
          <w:w w:val="105"/>
          <w:sz w:val="21"/>
        </w:rPr>
        <w:t>unaware</w:t>
      </w:r>
      <w:r>
        <w:rPr>
          <w:spacing w:val="-5"/>
          <w:w w:val="105"/>
          <w:sz w:val="21"/>
        </w:rPr>
        <w:t> </w:t>
      </w:r>
      <w:r>
        <w:rPr>
          <w:w w:val="105"/>
          <w:sz w:val="21"/>
        </w:rPr>
        <w:t>of</w:t>
      </w:r>
      <w:r>
        <w:rPr>
          <w:spacing w:val="-6"/>
          <w:w w:val="105"/>
          <w:sz w:val="21"/>
        </w:rPr>
        <w:t> </w:t>
      </w:r>
      <w:r>
        <w:rPr>
          <w:w w:val="105"/>
          <w:sz w:val="21"/>
        </w:rPr>
        <w:t>how</w:t>
      </w:r>
      <w:r>
        <w:rPr>
          <w:spacing w:val="-5"/>
          <w:w w:val="105"/>
          <w:sz w:val="21"/>
        </w:rPr>
        <w:t> </w:t>
      </w:r>
      <w:r>
        <w:rPr>
          <w:w w:val="105"/>
          <w:sz w:val="21"/>
        </w:rPr>
        <w:t>trees</w:t>
      </w:r>
      <w:r>
        <w:rPr>
          <w:spacing w:val="-6"/>
          <w:w w:val="105"/>
          <w:sz w:val="21"/>
        </w:rPr>
        <w:t> </w:t>
      </w:r>
      <w:r>
        <w:rPr>
          <w:w w:val="105"/>
          <w:sz w:val="21"/>
        </w:rPr>
        <w:t>live</w:t>
      </w:r>
      <w:r>
        <w:rPr>
          <w:spacing w:val="-6"/>
          <w:w w:val="105"/>
          <w:sz w:val="21"/>
        </w:rPr>
        <w:t> </w:t>
      </w:r>
      <w:r>
        <w:rPr>
          <w:w w:val="105"/>
          <w:sz w:val="21"/>
        </w:rPr>
        <w:t>and</w:t>
      </w:r>
      <w:r>
        <w:rPr>
          <w:spacing w:val="-5"/>
          <w:w w:val="105"/>
          <w:sz w:val="21"/>
        </w:rPr>
        <w:t> grow,</w:t>
      </w:r>
      <w:r>
        <w:rPr>
          <w:spacing w:val="-6"/>
          <w:w w:val="105"/>
          <w:sz w:val="21"/>
        </w:rPr>
        <w:t> </w:t>
      </w:r>
      <w:r>
        <w:rPr>
          <w:w w:val="105"/>
          <w:sz w:val="21"/>
        </w:rPr>
        <w:t>and how they </w:t>
      </w:r>
      <w:r>
        <w:rPr>
          <w:spacing w:val="-3"/>
          <w:w w:val="105"/>
          <w:sz w:val="21"/>
        </w:rPr>
        <w:t>interact </w:t>
      </w:r>
      <w:r>
        <w:rPr>
          <w:w w:val="105"/>
          <w:sz w:val="21"/>
        </w:rPr>
        <w:t>with </w:t>
      </w:r>
      <w:r>
        <w:rPr>
          <w:spacing w:val="-3"/>
          <w:w w:val="105"/>
          <w:sz w:val="21"/>
        </w:rPr>
        <w:t>built </w:t>
      </w:r>
      <w:r>
        <w:rPr>
          <w:w w:val="105"/>
          <w:sz w:val="21"/>
        </w:rPr>
        <w:t>structures in urban </w:t>
      </w:r>
      <w:r>
        <w:rPr>
          <w:spacing w:val="-4"/>
          <w:w w:val="105"/>
          <w:sz w:val="21"/>
        </w:rPr>
        <w:t>environments.</w:t>
      </w:r>
      <w:r>
        <w:rPr>
          <w:spacing w:val="-4"/>
          <w:w w:val="105"/>
          <w:position w:val="7"/>
          <w:sz w:val="12"/>
        </w:rPr>
        <w:t>153 </w:t>
      </w:r>
      <w:r>
        <w:rPr>
          <w:w w:val="105"/>
          <w:sz w:val="21"/>
        </w:rPr>
        <w:t>This lack of knowledge leads </w:t>
      </w:r>
      <w:r>
        <w:rPr>
          <w:spacing w:val="-3"/>
          <w:w w:val="105"/>
          <w:sz w:val="21"/>
        </w:rPr>
        <w:t>to </w:t>
      </w:r>
      <w:r>
        <w:rPr>
          <w:w w:val="105"/>
          <w:sz w:val="21"/>
        </w:rPr>
        <w:t>negative </w:t>
      </w:r>
      <w:r>
        <w:rPr>
          <w:spacing w:val="-3"/>
          <w:w w:val="105"/>
          <w:sz w:val="21"/>
        </w:rPr>
        <w:t>perceptions within </w:t>
      </w:r>
      <w:r>
        <w:rPr>
          <w:w w:val="105"/>
          <w:sz w:val="21"/>
        </w:rPr>
        <w:t>the community about </w:t>
      </w:r>
      <w:r>
        <w:rPr>
          <w:spacing w:val="-3"/>
          <w:w w:val="105"/>
          <w:sz w:val="21"/>
        </w:rPr>
        <w:t>living </w:t>
      </w:r>
      <w:r>
        <w:rPr>
          <w:w w:val="105"/>
          <w:sz w:val="21"/>
        </w:rPr>
        <w:t>near trees, described by arborists as </w:t>
      </w:r>
      <w:r>
        <w:rPr>
          <w:spacing w:val="-3"/>
          <w:w w:val="105"/>
          <w:sz w:val="21"/>
        </w:rPr>
        <w:t>generally </w:t>
      </w:r>
      <w:r>
        <w:rPr>
          <w:spacing w:val="-4"/>
          <w:w w:val="105"/>
          <w:sz w:val="21"/>
        </w:rPr>
        <w:t>‘misplaced’</w:t>
      </w:r>
      <w:r>
        <w:rPr>
          <w:spacing w:val="-4"/>
          <w:w w:val="105"/>
          <w:position w:val="7"/>
          <w:sz w:val="12"/>
        </w:rPr>
        <w:t>154 </w:t>
      </w:r>
      <w:r>
        <w:rPr>
          <w:w w:val="105"/>
          <w:sz w:val="21"/>
        </w:rPr>
        <w:t>or </w:t>
      </w:r>
      <w:r>
        <w:rPr>
          <w:spacing w:val="-4"/>
          <w:w w:val="105"/>
          <w:sz w:val="21"/>
        </w:rPr>
        <w:t>‘dramatically</w:t>
      </w:r>
      <w:r>
        <w:rPr>
          <w:spacing w:val="33"/>
          <w:w w:val="105"/>
          <w:sz w:val="21"/>
        </w:rPr>
        <w:t> </w:t>
      </w:r>
      <w:r>
        <w:rPr>
          <w:spacing w:val="-6"/>
          <w:w w:val="105"/>
          <w:sz w:val="21"/>
        </w:rPr>
        <w:t>inflated’.</w:t>
      </w:r>
      <w:r>
        <w:rPr>
          <w:spacing w:val="-6"/>
          <w:w w:val="105"/>
          <w:position w:val="7"/>
          <w:sz w:val="12"/>
        </w:rPr>
        <w:t>155</w:t>
      </w:r>
    </w:p>
    <w:p>
      <w:pPr>
        <w:pStyle w:val="BodyText"/>
        <w:rPr>
          <w:sz w:val="20"/>
        </w:rPr>
      </w:pPr>
    </w:p>
    <w:p>
      <w:pPr>
        <w:pStyle w:val="BodyText"/>
        <w:rPr>
          <w:sz w:val="20"/>
        </w:rPr>
      </w:pPr>
    </w:p>
    <w:p>
      <w:pPr>
        <w:pStyle w:val="BodyText"/>
        <w:rPr>
          <w:sz w:val="20"/>
        </w:rPr>
      </w:pPr>
    </w:p>
    <w:p>
      <w:pPr>
        <w:pStyle w:val="BodyText"/>
        <w:spacing w:before="9"/>
        <w:rPr>
          <w:sz w:val="19"/>
        </w:rPr>
      </w:pPr>
      <w:r>
        <w:rPr/>
        <w:pict>
          <v:line style="position:absolute;mso-position-horizontal-relative:page;mso-position-vertical-relative:paragraph;z-index:320;mso-wrap-distance-left:0;mso-wrap-distance-right:0" from="79.370003pt,14.502634pt" to="515.905003pt,14.502634pt" stroked="true" strokeweight="1pt" strokecolor="#c9d2cb">
            <v:stroke dashstyle="solid"/>
            <w10:wrap type="topAndBottom"/>
          </v:line>
        </w:pict>
      </w:r>
    </w:p>
    <w:p>
      <w:pPr>
        <w:pStyle w:val="ListParagraph"/>
        <w:numPr>
          <w:ilvl w:val="0"/>
          <w:numId w:val="21"/>
        </w:numPr>
        <w:tabs>
          <w:tab w:pos="2380" w:val="left" w:leader="none"/>
          <w:tab w:pos="2382" w:val="left" w:leader="none"/>
        </w:tabs>
        <w:spacing w:line="240" w:lineRule="auto" w:before="117" w:after="0"/>
        <w:ind w:left="2381" w:right="0" w:hanging="794"/>
        <w:jc w:val="left"/>
        <w:rPr>
          <w:sz w:val="13"/>
        </w:rPr>
      </w:pPr>
      <w:r>
        <w:rPr>
          <w:w w:val="105"/>
          <w:sz w:val="13"/>
        </w:rPr>
        <w:t>Submission 31 </w:t>
      </w:r>
      <w:r>
        <w:rPr>
          <w:spacing w:val="2"/>
          <w:w w:val="105"/>
          <w:sz w:val="13"/>
        </w:rPr>
        <w:t>(Barwon </w:t>
      </w:r>
      <w:r>
        <w:rPr>
          <w:w w:val="105"/>
          <w:sz w:val="13"/>
        </w:rPr>
        <w:t>Community Legal</w:t>
      </w:r>
      <w:r>
        <w:rPr>
          <w:spacing w:val="21"/>
          <w:w w:val="105"/>
          <w:sz w:val="13"/>
        </w:rPr>
        <w:t> </w:t>
      </w:r>
      <w:r>
        <w:rPr>
          <w:spacing w:val="2"/>
          <w:w w:val="105"/>
          <w:sz w:val="13"/>
        </w:rPr>
        <w:t>Service).</w:t>
      </w:r>
    </w:p>
    <w:p>
      <w:pPr>
        <w:pStyle w:val="ListParagraph"/>
        <w:numPr>
          <w:ilvl w:val="0"/>
          <w:numId w:val="21"/>
        </w:numPr>
        <w:tabs>
          <w:tab w:pos="2381" w:val="left" w:leader="none"/>
          <w:tab w:pos="2382" w:val="left" w:leader="none"/>
        </w:tabs>
        <w:spacing w:line="240" w:lineRule="auto" w:before="1" w:after="0"/>
        <w:ind w:left="2381" w:right="0" w:hanging="794"/>
        <w:jc w:val="left"/>
        <w:rPr>
          <w:sz w:val="13"/>
        </w:rPr>
      </w:pPr>
      <w:r>
        <w:rPr>
          <w:w w:val="105"/>
          <w:sz w:val="13"/>
        </w:rPr>
        <w:t>Submission 1 </w:t>
      </w:r>
      <w:r>
        <w:rPr>
          <w:spacing w:val="2"/>
          <w:w w:val="105"/>
          <w:sz w:val="13"/>
        </w:rPr>
        <w:t>(Ian</w:t>
      </w:r>
      <w:r>
        <w:rPr>
          <w:spacing w:val="13"/>
          <w:w w:val="105"/>
          <w:sz w:val="13"/>
        </w:rPr>
        <w:t> </w:t>
      </w:r>
      <w:r>
        <w:rPr>
          <w:w w:val="105"/>
          <w:sz w:val="13"/>
        </w:rPr>
        <w:t>Collier).</w:t>
      </w:r>
    </w:p>
    <w:p>
      <w:pPr>
        <w:pStyle w:val="ListParagraph"/>
        <w:numPr>
          <w:ilvl w:val="0"/>
          <w:numId w:val="21"/>
        </w:numPr>
        <w:tabs>
          <w:tab w:pos="2381" w:val="left" w:leader="none"/>
          <w:tab w:pos="2382" w:val="left" w:leader="none"/>
        </w:tabs>
        <w:spacing w:line="240" w:lineRule="auto" w:before="2" w:after="0"/>
        <w:ind w:left="2381" w:right="0" w:hanging="794"/>
        <w:jc w:val="left"/>
        <w:rPr>
          <w:sz w:val="13"/>
        </w:rPr>
      </w:pPr>
      <w:r>
        <w:rPr>
          <w:w w:val="105"/>
          <w:sz w:val="13"/>
        </w:rPr>
        <w:t>Submission 6 </w:t>
      </w:r>
      <w:r>
        <w:rPr>
          <w:spacing w:val="2"/>
          <w:w w:val="105"/>
          <w:sz w:val="13"/>
        </w:rPr>
        <w:t>(Name</w:t>
      </w:r>
      <w:r>
        <w:rPr>
          <w:spacing w:val="13"/>
          <w:w w:val="105"/>
          <w:sz w:val="13"/>
        </w:rPr>
        <w:t> </w:t>
      </w:r>
      <w:r>
        <w:rPr>
          <w:w w:val="105"/>
          <w:sz w:val="13"/>
        </w:rPr>
        <w:t>withheld).</w:t>
      </w:r>
    </w:p>
    <w:p>
      <w:pPr>
        <w:pStyle w:val="ListParagraph"/>
        <w:numPr>
          <w:ilvl w:val="0"/>
          <w:numId w:val="21"/>
        </w:numPr>
        <w:tabs>
          <w:tab w:pos="2381" w:val="left" w:leader="none"/>
          <w:tab w:pos="2382" w:val="left" w:leader="none"/>
        </w:tabs>
        <w:spacing w:line="240" w:lineRule="auto" w:before="1" w:after="0"/>
        <w:ind w:left="2381" w:right="0" w:hanging="794"/>
        <w:jc w:val="left"/>
        <w:rPr>
          <w:sz w:val="13"/>
        </w:rPr>
      </w:pPr>
      <w:r>
        <w:rPr>
          <w:w w:val="105"/>
          <w:sz w:val="13"/>
        </w:rPr>
        <w:t>Consultation</w:t>
      </w:r>
      <w:r>
        <w:rPr>
          <w:spacing w:val="4"/>
          <w:w w:val="105"/>
          <w:sz w:val="13"/>
        </w:rPr>
        <w:t> </w:t>
      </w:r>
      <w:r>
        <w:rPr>
          <w:w w:val="105"/>
          <w:sz w:val="13"/>
        </w:rPr>
        <w:t>7</w:t>
      </w:r>
      <w:r>
        <w:rPr>
          <w:spacing w:val="5"/>
          <w:w w:val="105"/>
          <w:sz w:val="13"/>
        </w:rPr>
        <w:t> </w:t>
      </w:r>
      <w:r>
        <w:rPr>
          <w:w w:val="105"/>
          <w:sz w:val="13"/>
        </w:rPr>
        <w:t>(Dispute</w:t>
      </w:r>
      <w:r>
        <w:rPr>
          <w:spacing w:val="5"/>
          <w:w w:val="105"/>
          <w:sz w:val="13"/>
        </w:rPr>
        <w:t> </w:t>
      </w:r>
      <w:r>
        <w:rPr>
          <w:w w:val="105"/>
          <w:sz w:val="13"/>
        </w:rPr>
        <w:t>Settlement</w:t>
      </w:r>
      <w:r>
        <w:rPr>
          <w:spacing w:val="4"/>
          <w:w w:val="105"/>
          <w:sz w:val="13"/>
        </w:rPr>
        <w:t> </w:t>
      </w:r>
      <w:r>
        <w:rPr>
          <w:w w:val="105"/>
          <w:sz w:val="13"/>
        </w:rPr>
        <w:t>Centre</w:t>
      </w:r>
      <w:r>
        <w:rPr>
          <w:spacing w:val="5"/>
          <w:w w:val="105"/>
          <w:sz w:val="13"/>
        </w:rPr>
        <w:t> </w:t>
      </w:r>
      <w:r>
        <w:rPr>
          <w:w w:val="105"/>
          <w:sz w:val="13"/>
        </w:rPr>
        <w:t>of</w:t>
      </w:r>
      <w:r>
        <w:rPr>
          <w:spacing w:val="5"/>
          <w:w w:val="105"/>
          <w:sz w:val="13"/>
        </w:rPr>
        <w:t> </w:t>
      </w:r>
      <w:r>
        <w:rPr>
          <w:spacing w:val="2"/>
          <w:w w:val="105"/>
          <w:sz w:val="13"/>
        </w:rPr>
        <w:t>Victoria)</w:t>
      </w:r>
      <w:r>
        <w:rPr>
          <w:spacing w:val="4"/>
          <w:w w:val="105"/>
          <w:sz w:val="13"/>
        </w:rPr>
        <w:t> </w:t>
      </w:r>
      <w:r>
        <w:rPr>
          <w:w w:val="105"/>
          <w:sz w:val="13"/>
        </w:rPr>
        <w:t>and</w:t>
      </w:r>
      <w:r>
        <w:rPr>
          <w:spacing w:val="5"/>
          <w:w w:val="105"/>
          <w:sz w:val="13"/>
        </w:rPr>
        <w:t> </w:t>
      </w:r>
      <w:r>
        <w:rPr>
          <w:w w:val="105"/>
          <w:sz w:val="13"/>
        </w:rPr>
        <w:t>clarification</w:t>
      </w:r>
      <w:r>
        <w:rPr>
          <w:spacing w:val="5"/>
          <w:w w:val="105"/>
          <w:sz w:val="13"/>
        </w:rPr>
        <w:t> </w:t>
      </w:r>
      <w:r>
        <w:rPr>
          <w:w w:val="105"/>
          <w:sz w:val="13"/>
        </w:rPr>
        <w:t>of</w:t>
      </w:r>
      <w:r>
        <w:rPr>
          <w:spacing w:val="5"/>
          <w:w w:val="105"/>
          <w:sz w:val="13"/>
        </w:rPr>
        <w:t> </w:t>
      </w:r>
      <w:r>
        <w:rPr>
          <w:w w:val="105"/>
          <w:sz w:val="13"/>
        </w:rPr>
        <w:t>data</w:t>
      </w:r>
      <w:r>
        <w:rPr>
          <w:spacing w:val="4"/>
          <w:w w:val="105"/>
          <w:sz w:val="13"/>
        </w:rPr>
        <w:t> </w:t>
      </w:r>
      <w:r>
        <w:rPr>
          <w:w w:val="105"/>
          <w:sz w:val="13"/>
        </w:rPr>
        <w:t>information</w:t>
      </w:r>
      <w:r>
        <w:rPr>
          <w:spacing w:val="5"/>
          <w:w w:val="105"/>
          <w:sz w:val="13"/>
        </w:rPr>
        <w:t> </w:t>
      </w:r>
      <w:r>
        <w:rPr>
          <w:w w:val="105"/>
          <w:sz w:val="13"/>
        </w:rPr>
        <w:t>provided</w:t>
      </w:r>
      <w:r>
        <w:rPr>
          <w:spacing w:val="5"/>
          <w:w w:val="105"/>
          <w:sz w:val="13"/>
        </w:rPr>
        <w:t> </w:t>
      </w:r>
      <w:r>
        <w:rPr>
          <w:w w:val="105"/>
          <w:sz w:val="13"/>
        </w:rPr>
        <w:t>in</w:t>
      </w:r>
      <w:r>
        <w:rPr>
          <w:spacing w:val="4"/>
          <w:w w:val="105"/>
          <w:sz w:val="13"/>
        </w:rPr>
        <w:t> </w:t>
      </w:r>
      <w:r>
        <w:rPr>
          <w:w w:val="105"/>
          <w:sz w:val="13"/>
        </w:rPr>
        <w:t>May</w:t>
      </w:r>
      <w:r>
        <w:rPr>
          <w:spacing w:val="5"/>
          <w:w w:val="105"/>
          <w:sz w:val="13"/>
        </w:rPr>
        <w:t> </w:t>
      </w:r>
      <w:r>
        <w:rPr>
          <w:w w:val="105"/>
          <w:sz w:val="13"/>
        </w:rPr>
        <w:t>2019.</w:t>
      </w:r>
    </w:p>
    <w:p>
      <w:pPr>
        <w:pStyle w:val="ListParagraph"/>
        <w:numPr>
          <w:ilvl w:val="0"/>
          <w:numId w:val="21"/>
        </w:numPr>
        <w:tabs>
          <w:tab w:pos="2381" w:val="left" w:leader="none"/>
          <w:tab w:pos="2382" w:val="left" w:leader="none"/>
        </w:tabs>
        <w:spacing w:line="240" w:lineRule="auto" w:before="1" w:after="0"/>
        <w:ind w:left="2381" w:right="1587" w:hanging="794"/>
        <w:jc w:val="left"/>
        <w:rPr>
          <w:sz w:val="13"/>
        </w:rPr>
      </w:pPr>
      <w:r>
        <w:rPr>
          <w:w w:val="105"/>
          <w:sz w:val="13"/>
        </w:rPr>
        <w:t>See, eg, Victoria Law Foundation, ‘</w:t>
      </w:r>
      <w:r>
        <w:rPr>
          <w:i/>
          <w:w w:val="105"/>
          <w:sz w:val="13"/>
        </w:rPr>
        <w:t>Neighbours, the Law and You: Your Guide to Neighbourhood Laws in Victoria</w:t>
      </w:r>
      <w:r>
        <w:rPr>
          <w:w w:val="105"/>
          <w:sz w:val="13"/>
        </w:rPr>
        <w:t>’, </w:t>
      </w:r>
      <w:r>
        <w:rPr>
          <w:i/>
          <w:w w:val="105"/>
          <w:sz w:val="13"/>
        </w:rPr>
        <w:t>Victoria Legal Aid      </w:t>
      </w:r>
      <w:r>
        <w:rPr>
          <w:w w:val="105"/>
          <w:sz w:val="13"/>
        </w:rPr>
        <w:t>(Brochure, March 2015) 4 </w:t>
      </w:r>
      <w:r>
        <w:rPr>
          <w:spacing w:val="2"/>
          <w:w w:val="105"/>
          <w:sz w:val="13"/>
        </w:rPr>
        <w:t>&lt;https://</w:t>
      </w:r>
      <w:hyperlink r:id="rId43">
        <w:r>
          <w:rPr>
            <w:spacing w:val="2"/>
            <w:w w:val="105"/>
            <w:sz w:val="13"/>
          </w:rPr>
          <w:t>www.victorialawfoundation.org.au/publication/neighbours-the-law-and-you/read</w:t>
        </w:r>
      </w:hyperlink>
      <w:r>
        <w:rPr>
          <w:spacing w:val="2"/>
          <w:w w:val="105"/>
          <w:sz w:val="13"/>
        </w:rPr>
        <w:t>&gt;; </w:t>
      </w:r>
      <w:r>
        <w:rPr>
          <w:w w:val="105"/>
          <w:sz w:val="13"/>
        </w:rPr>
        <w:t>Peter Cotter, ‘Neighbour Disputes’ in Naomi Saligari </w:t>
      </w:r>
      <w:r>
        <w:rPr>
          <w:spacing w:val="2"/>
          <w:w w:val="105"/>
          <w:sz w:val="13"/>
        </w:rPr>
        <w:t>(ed), </w:t>
      </w:r>
      <w:r>
        <w:rPr>
          <w:i/>
          <w:w w:val="105"/>
          <w:sz w:val="13"/>
        </w:rPr>
        <w:t>The Law Handbook 2019: Your Practical Guide to the Law in Victoria </w:t>
      </w:r>
      <w:r>
        <w:rPr>
          <w:w w:val="105"/>
          <w:sz w:val="13"/>
        </w:rPr>
        <w:t>(Fitzroy Legal Service, </w:t>
      </w:r>
      <w:r>
        <w:rPr>
          <w:spacing w:val="-3"/>
          <w:w w:val="105"/>
          <w:sz w:val="13"/>
        </w:rPr>
        <w:t>41st   </w:t>
      </w:r>
      <w:r>
        <w:rPr>
          <w:w w:val="105"/>
          <w:sz w:val="13"/>
        </w:rPr>
        <w:t>ed, 2019)</w:t>
      </w:r>
      <w:r>
        <w:rPr>
          <w:spacing w:val="9"/>
          <w:w w:val="105"/>
          <w:sz w:val="13"/>
        </w:rPr>
        <w:t> </w:t>
      </w:r>
      <w:r>
        <w:rPr>
          <w:spacing w:val="3"/>
          <w:w w:val="105"/>
          <w:sz w:val="13"/>
        </w:rPr>
        <w:t>539–40.</w:t>
      </w:r>
    </w:p>
    <w:p>
      <w:pPr>
        <w:pStyle w:val="ListParagraph"/>
        <w:numPr>
          <w:ilvl w:val="0"/>
          <w:numId w:val="21"/>
        </w:numPr>
        <w:tabs>
          <w:tab w:pos="2381" w:val="left" w:leader="none"/>
          <w:tab w:pos="2382" w:val="left" w:leader="none"/>
        </w:tabs>
        <w:spacing w:line="240" w:lineRule="auto" w:before="6" w:after="0"/>
        <w:ind w:left="2381" w:right="0" w:hanging="794"/>
        <w:jc w:val="left"/>
        <w:rPr>
          <w:sz w:val="13"/>
        </w:rPr>
      </w:pPr>
      <w:r>
        <w:rPr>
          <w:w w:val="105"/>
          <w:sz w:val="13"/>
        </w:rPr>
        <w:t>Submissions</w:t>
      </w:r>
      <w:r>
        <w:rPr>
          <w:spacing w:val="5"/>
          <w:w w:val="105"/>
          <w:sz w:val="13"/>
        </w:rPr>
        <w:t> </w:t>
      </w:r>
      <w:r>
        <w:rPr>
          <w:w w:val="105"/>
          <w:sz w:val="13"/>
        </w:rPr>
        <w:t>6</w:t>
      </w:r>
      <w:r>
        <w:rPr>
          <w:spacing w:val="5"/>
          <w:w w:val="105"/>
          <w:sz w:val="13"/>
        </w:rPr>
        <w:t> </w:t>
      </w:r>
      <w:r>
        <w:rPr>
          <w:spacing w:val="2"/>
          <w:w w:val="105"/>
          <w:sz w:val="13"/>
        </w:rPr>
        <w:t>(Name</w:t>
      </w:r>
      <w:r>
        <w:rPr>
          <w:spacing w:val="6"/>
          <w:w w:val="105"/>
          <w:sz w:val="13"/>
        </w:rPr>
        <w:t> </w:t>
      </w:r>
      <w:r>
        <w:rPr>
          <w:w w:val="105"/>
          <w:sz w:val="13"/>
        </w:rPr>
        <w:t>withheld),</w:t>
      </w:r>
      <w:r>
        <w:rPr>
          <w:spacing w:val="5"/>
          <w:w w:val="105"/>
          <w:sz w:val="13"/>
        </w:rPr>
        <w:t> </w:t>
      </w:r>
      <w:r>
        <w:rPr>
          <w:w w:val="105"/>
          <w:sz w:val="13"/>
        </w:rPr>
        <w:t>36</w:t>
      </w:r>
      <w:r>
        <w:rPr>
          <w:spacing w:val="6"/>
          <w:w w:val="105"/>
          <w:sz w:val="13"/>
        </w:rPr>
        <w:t> </w:t>
      </w:r>
      <w:r>
        <w:rPr>
          <w:w w:val="105"/>
          <w:sz w:val="13"/>
        </w:rPr>
        <w:t>(Monique</w:t>
      </w:r>
      <w:r>
        <w:rPr>
          <w:spacing w:val="5"/>
          <w:w w:val="105"/>
          <w:sz w:val="13"/>
        </w:rPr>
        <w:t> </w:t>
      </w:r>
      <w:r>
        <w:rPr>
          <w:w w:val="105"/>
          <w:sz w:val="13"/>
        </w:rPr>
        <w:t>Onezime),</w:t>
      </w:r>
      <w:r>
        <w:rPr>
          <w:spacing w:val="5"/>
          <w:w w:val="105"/>
          <w:sz w:val="13"/>
        </w:rPr>
        <w:t> </w:t>
      </w:r>
      <w:r>
        <w:rPr>
          <w:w w:val="105"/>
          <w:sz w:val="13"/>
        </w:rPr>
        <w:t>38</w:t>
      </w:r>
      <w:r>
        <w:rPr>
          <w:spacing w:val="6"/>
          <w:w w:val="105"/>
          <w:sz w:val="13"/>
        </w:rPr>
        <w:t> </w:t>
      </w:r>
      <w:r>
        <w:rPr>
          <w:spacing w:val="3"/>
          <w:w w:val="105"/>
          <w:sz w:val="13"/>
        </w:rPr>
        <w:t>(L.</w:t>
      </w:r>
      <w:r>
        <w:rPr>
          <w:spacing w:val="5"/>
          <w:w w:val="105"/>
          <w:sz w:val="13"/>
        </w:rPr>
        <w:t> </w:t>
      </w:r>
      <w:r>
        <w:rPr>
          <w:spacing w:val="2"/>
          <w:w w:val="105"/>
          <w:sz w:val="13"/>
        </w:rPr>
        <w:t>Barry</w:t>
      </w:r>
      <w:r>
        <w:rPr>
          <w:spacing w:val="6"/>
          <w:w w:val="105"/>
          <w:sz w:val="13"/>
        </w:rPr>
        <w:t> </w:t>
      </w:r>
      <w:r>
        <w:rPr>
          <w:w w:val="105"/>
          <w:sz w:val="13"/>
        </w:rPr>
        <w:t>Wollmer);</w:t>
      </w:r>
      <w:r>
        <w:rPr>
          <w:spacing w:val="5"/>
          <w:w w:val="105"/>
          <w:sz w:val="13"/>
        </w:rPr>
        <w:t> </w:t>
      </w:r>
      <w:r>
        <w:rPr>
          <w:w w:val="105"/>
          <w:sz w:val="13"/>
        </w:rPr>
        <w:t>Consultation</w:t>
      </w:r>
      <w:r>
        <w:rPr>
          <w:spacing w:val="6"/>
          <w:w w:val="105"/>
          <w:sz w:val="13"/>
        </w:rPr>
        <w:t> </w:t>
      </w:r>
      <w:r>
        <w:rPr>
          <w:w w:val="105"/>
          <w:sz w:val="13"/>
        </w:rPr>
        <w:t>1</w:t>
      </w:r>
      <w:r>
        <w:rPr>
          <w:spacing w:val="5"/>
          <w:w w:val="105"/>
          <w:sz w:val="13"/>
        </w:rPr>
        <w:t> </w:t>
      </w:r>
      <w:r>
        <w:rPr>
          <w:w w:val="105"/>
          <w:sz w:val="13"/>
        </w:rPr>
        <w:t>(Aldo</w:t>
      </w:r>
      <w:r>
        <w:rPr>
          <w:spacing w:val="5"/>
          <w:w w:val="105"/>
          <w:sz w:val="13"/>
        </w:rPr>
        <w:t> </w:t>
      </w:r>
      <w:r>
        <w:rPr>
          <w:w w:val="105"/>
          <w:sz w:val="13"/>
        </w:rPr>
        <w:t>Taranto);</w:t>
      </w:r>
      <w:r>
        <w:rPr>
          <w:spacing w:val="6"/>
          <w:w w:val="105"/>
          <w:sz w:val="13"/>
        </w:rPr>
        <w:t> </w:t>
      </w:r>
      <w:r>
        <w:rPr>
          <w:w w:val="105"/>
          <w:sz w:val="13"/>
        </w:rPr>
        <w:t>Survey</w:t>
      </w:r>
      <w:r>
        <w:rPr>
          <w:spacing w:val="5"/>
          <w:w w:val="105"/>
          <w:sz w:val="13"/>
        </w:rPr>
        <w:t> </w:t>
      </w:r>
      <w:r>
        <w:rPr>
          <w:w w:val="105"/>
          <w:sz w:val="13"/>
        </w:rPr>
        <w:t>Respondents</w:t>
      </w:r>
      <w:r>
        <w:rPr>
          <w:spacing w:val="6"/>
          <w:w w:val="105"/>
          <w:sz w:val="13"/>
        </w:rPr>
        <w:t> </w:t>
      </w:r>
      <w:r>
        <w:rPr>
          <w:w w:val="105"/>
          <w:sz w:val="13"/>
        </w:rPr>
        <w:t>60,</w:t>
      </w:r>
      <w:r>
        <w:rPr>
          <w:spacing w:val="5"/>
          <w:w w:val="105"/>
          <w:sz w:val="13"/>
        </w:rPr>
        <w:t> </w:t>
      </w:r>
      <w:r>
        <w:rPr>
          <w:w w:val="105"/>
          <w:sz w:val="13"/>
        </w:rPr>
        <w:t>99.</w:t>
      </w:r>
    </w:p>
    <w:p>
      <w:pPr>
        <w:pStyle w:val="ListParagraph"/>
        <w:numPr>
          <w:ilvl w:val="0"/>
          <w:numId w:val="21"/>
        </w:numPr>
        <w:tabs>
          <w:tab w:pos="2381" w:val="left" w:leader="none"/>
          <w:tab w:pos="2382" w:val="left" w:leader="none"/>
        </w:tabs>
        <w:spacing w:line="240" w:lineRule="auto" w:before="1"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21"/>
        </w:numPr>
        <w:tabs>
          <w:tab w:pos="2381" w:val="left" w:leader="none"/>
          <w:tab w:pos="2382" w:val="left" w:leader="none"/>
        </w:tabs>
        <w:spacing w:line="240" w:lineRule="auto" w:before="1" w:after="0"/>
        <w:ind w:left="2381" w:right="1742" w:hanging="794"/>
        <w:jc w:val="left"/>
        <w:rPr>
          <w:sz w:val="13"/>
        </w:rPr>
      </w:pPr>
      <w:r>
        <w:rPr>
          <w:w w:val="105"/>
          <w:sz w:val="13"/>
        </w:rPr>
        <w:t>Submissions 9 </w:t>
      </w:r>
      <w:r>
        <w:rPr>
          <w:spacing w:val="3"/>
          <w:w w:val="105"/>
          <w:sz w:val="13"/>
        </w:rPr>
        <w:t>(Dr </w:t>
      </w:r>
      <w:r>
        <w:rPr>
          <w:w w:val="105"/>
          <w:sz w:val="13"/>
        </w:rPr>
        <w:t>Karen Smith), </w:t>
      </w:r>
      <w:r>
        <w:rPr>
          <w:spacing w:val="-4"/>
          <w:w w:val="105"/>
          <w:sz w:val="13"/>
        </w:rPr>
        <w:t>12 </w:t>
      </w:r>
      <w:r>
        <w:rPr>
          <w:spacing w:val="3"/>
          <w:w w:val="105"/>
          <w:sz w:val="13"/>
        </w:rPr>
        <w:t>(Dr </w:t>
      </w:r>
      <w:r>
        <w:rPr>
          <w:w w:val="105"/>
          <w:sz w:val="13"/>
        </w:rPr>
        <w:t>Gregory Moore </w:t>
      </w:r>
      <w:r>
        <w:rPr>
          <w:spacing w:val="2"/>
          <w:w w:val="105"/>
          <w:sz w:val="13"/>
        </w:rPr>
        <w:t>OAM), </w:t>
      </w:r>
      <w:r>
        <w:rPr>
          <w:w w:val="105"/>
          <w:sz w:val="13"/>
        </w:rPr>
        <w:t>18 (ENSPEC), 25 (City of Boorondara); Consultations 2 </w:t>
      </w:r>
      <w:r>
        <w:rPr>
          <w:spacing w:val="3"/>
          <w:w w:val="105"/>
          <w:sz w:val="13"/>
        </w:rPr>
        <w:t>(Dr </w:t>
      </w:r>
      <w:r>
        <w:rPr>
          <w:w w:val="105"/>
          <w:sz w:val="13"/>
        </w:rPr>
        <w:t>Gregory Moore </w:t>
      </w:r>
      <w:r>
        <w:rPr>
          <w:spacing w:val="2"/>
          <w:w w:val="105"/>
          <w:sz w:val="13"/>
        </w:rPr>
        <w:t>OAM),</w:t>
      </w:r>
      <w:r>
        <w:rPr>
          <w:spacing w:val="5"/>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5"/>
          <w:w w:val="105"/>
          <w:sz w:val="13"/>
        </w:rPr>
        <w:t> </w:t>
      </w:r>
      <w:r>
        <w:rPr>
          <w:w w:val="105"/>
          <w:sz w:val="13"/>
        </w:rPr>
        <w:t>at</w:t>
      </w:r>
      <w:r>
        <w:rPr>
          <w:spacing w:val="5"/>
          <w:w w:val="105"/>
          <w:sz w:val="13"/>
        </w:rPr>
        <w:t> </w:t>
      </w:r>
      <w:r>
        <w:rPr>
          <w:spacing w:val="4"/>
          <w:w w:val="105"/>
          <w:sz w:val="13"/>
        </w:rPr>
        <w:t>VTIO</w:t>
      </w:r>
      <w:r>
        <w:rPr>
          <w:spacing w:val="5"/>
          <w:w w:val="105"/>
          <w:sz w:val="13"/>
        </w:rPr>
        <w:t> </w:t>
      </w:r>
      <w:r>
        <w:rPr>
          <w:w w:val="105"/>
          <w:sz w:val="13"/>
        </w:rPr>
        <w:t>ArborCamp2018),</w:t>
      </w:r>
      <w:r>
        <w:rPr>
          <w:spacing w:val="5"/>
          <w:w w:val="105"/>
          <w:sz w:val="13"/>
        </w:rPr>
        <w:t> </w:t>
      </w:r>
      <w:r>
        <w:rPr>
          <w:w w:val="105"/>
          <w:sz w:val="13"/>
        </w:rPr>
        <w:t>6</w:t>
      </w:r>
      <w:r>
        <w:rPr>
          <w:spacing w:val="5"/>
          <w:w w:val="105"/>
          <w:sz w:val="13"/>
        </w:rPr>
        <w:t> </w:t>
      </w:r>
      <w:r>
        <w:rPr>
          <w:spacing w:val="2"/>
          <w:w w:val="105"/>
          <w:sz w:val="13"/>
        </w:rPr>
        <w:t>(Ben</w:t>
      </w:r>
      <w:r>
        <w:rPr>
          <w:spacing w:val="5"/>
          <w:w w:val="105"/>
          <w:sz w:val="13"/>
        </w:rPr>
        <w:t> </w:t>
      </w:r>
      <w:r>
        <w:rPr>
          <w:w w:val="105"/>
          <w:sz w:val="13"/>
        </w:rPr>
        <w:t>Kenyon).</w:t>
      </w:r>
    </w:p>
    <w:p>
      <w:pPr>
        <w:pStyle w:val="ListParagraph"/>
        <w:numPr>
          <w:ilvl w:val="0"/>
          <w:numId w:val="21"/>
        </w:numPr>
        <w:tabs>
          <w:tab w:pos="2381" w:val="left" w:leader="none"/>
          <w:tab w:pos="2382" w:val="left" w:leader="none"/>
        </w:tabs>
        <w:spacing w:line="240" w:lineRule="auto" w:before="3" w:after="0"/>
        <w:ind w:left="2381" w:right="0" w:hanging="794"/>
        <w:jc w:val="left"/>
        <w:rPr>
          <w:sz w:val="13"/>
        </w:rPr>
      </w:pPr>
      <w:r>
        <w:rPr/>
        <w:pict>
          <v:shape style="position:absolute;margin-left:549.118896pt;margin-top:3.101964pt;width:12.6pt;height:14.25pt;mso-position-horizontal-relative:page;mso-position-vertical-relative:paragraph;z-index:2392" type="#_x0000_t202" filled="false" stroked="false">
            <v:textbox inset="0,0,0,0">
              <w:txbxContent>
                <w:p>
                  <w:pPr>
                    <w:spacing w:line="284" w:lineRule="exact" w:before="0"/>
                    <w:ind w:left="0" w:right="0" w:firstLine="0"/>
                    <w:jc w:val="left"/>
                    <w:rPr>
                      <w:b/>
                      <w:sz w:val="24"/>
                    </w:rPr>
                  </w:pPr>
                  <w:r>
                    <w:rPr>
                      <w:b/>
                      <w:color w:val="658464"/>
                      <w:spacing w:val="-8"/>
                      <w:w w:val="110"/>
                      <w:sz w:val="24"/>
                    </w:rPr>
                    <w:t>19</w:t>
                  </w:r>
                </w:p>
              </w:txbxContent>
            </v:textbox>
            <w10:wrap type="none"/>
          </v:shape>
        </w:pict>
      </w:r>
      <w:r>
        <w:rPr>
          <w:w w:val="105"/>
          <w:sz w:val="13"/>
        </w:rPr>
        <w:t>Consultation 2 </w:t>
      </w:r>
      <w:r>
        <w:rPr>
          <w:spacing w:val="3"/>
          <w:w w:val="105"/>
          <w:sz w:val="13"/>
        </w:rPr>
        <w:t>(Dr </w:t>
      </w:r>
      <w:r>
        <w:rPr>
          <w:w w:val="105"/>
          <w:sz w:val="13"/>
        </w:rPr>
        <w:t>Gregory Moore</w:t>
      </w:r>
      <w:r>
        <w:rPr>
          <w:spacing w:val="20"/>
          <w:w w:val="105"/>
          <w:sz w:val="13"/>
        </w:rPr>
        <w:t> </w:t>
      </w:r>
      <w:r>
        <w:rPr>
          <w:spacing w:val="2"/>
          <w:w w:val="105"/>
          <w:sz w:val="13"/>
        </w:rPr>
        <w:t>OAM).</w:t>
      </w:r>
    </w:p>
    <w:p>
      <w:pPr>
        <w:pStyle w:val="ListParagraph"/>
        <w:numPr>
          <w:ilvl w:val="0"/>
          <w:numId w:val="21"/>
        </w:numPr>
        <w:tabs>
          <w:tab w:pos="2381" w:val="left" w:leader="none"/>
          <w:tab w:pos="2382" w:val="left" w:leader="none"/>
        </w:tabs>
        <w:spacing w:line="240" w:lineRule="auto" w:before="1" w:after="0"/>
        <w:ind w:left="2381" w:right="0" w:hanging="794"/>
        <w:jc w:val="left"/>
        <w:rPr>
          <w:sz w:val="13"/>
        </w:rPr>
      </w:pPr>
      <w:r>
        <w:rPr>
          <w:w w:val="105"/>
          <w:sz w:val="13"/>
        </w:rPr>
        <w:t>Consultation 6 </w:t>
      </w:r>
      <w:r>
        <w:rPr>
          <w:spacing w:val="2"/>
          <w:w w:val="105"/>
          <w:sz w:val="13"/>
        </w:rPr>
        <w:t>(Ben</w:t>
      </w:r>
      <w:r>
        <w:rPr>
          <w:spacing w:val="13"/>
          <w:w w:val="105"/>
          <w:sz w:val="13"/>
        </w:rPr>
        <w:t> </w:t>
      </w:r>
      <w:r>
        <w:rPr>
          <w:w w:val="105"/>
          <w:sz w:val="13"/>
        </w:rPr>
        <w:t>Kenyon).</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16"/>
        </w:numPr>
        <w:tabs>
          <w:tab w:pos="2381" w:val="left" w:leader="none"/>
          <w:tab w:pos="2382" w:val="left" w:leader="none"/>
        </w:tabs>
        <w:spacing w:line="242" w:lineRule="auto" w:before="92" w:after="0"/>
        <w:ind w:left="2381" w:right="1830" w:hanging="794"/>
        <w:jc w:val="left"/>
        <w:rPr>
          <w:sz w:val="21"/>
        </w:rPr>
      </w:pPr>
      <w:r>
        <w:rPr>
          <w:w w:val="105"/>
          <w:sz w:val="21"/>
        </w:rPr>
        <w:t>Dr Gregory Moore OAM stated </w:t>
      </w:r>
      <w:r>
        <w:rPr>
          <w:spacing w:val="-3"/>
          <w:w w:val="105"/>
          <w:sz w:val="21"/>
        </w:rPr>
        <w:t>that ‘we don’t </w:t>
      </w:r>
      <w:r>
        <w:rPr>
          <w:w w:val="105"/>
          <w:sz w:val="21"/>
        </w:rPr>
        <w:t>understand our own </w:t>
      </w:r>
      <w:r>
        <w:rPr>
          <w:spacing w:val="-5"/>
          <w:w w:val="105"/>
          <w:sz w:val="21"/>
        </w:rPr>
        <w:t>flora’. </w:t>
      </w:r>
      <w:r>
        <w:rPr>
          <w:w w:val="105"/>
          <w:sz w:val="21"/>
        </w:rPr>
        <w:t>He explained </w:t>
      </w:r>
      <w:r>
        <w:rPr>
          <w:spacing w:val="-3"/>
          <w:w w:val="105"/>
          <w:sz w:val="21"/>
        </w:rPr>
        <w:t>that </w:t>
      </w:r>
      <w:r>
        <w:rPr>
          <w:w w:val="105"/>
          <w:sz w:val="21"/>
        </w:rPr>
        <w:t>most people do </w:t>
      </w:r>
      <w:r>
        <w:rPr>
          <w:spacing w:val="-2"/>
          <w:w w:val="105"/>
          <w:sz w:val="21"/>
        </w:rPr>
        <w:t>not </w:t>
      </w:r>
      <w:r>
        <w:rPr>
          <w:w w:val="105"/>
          <w:sz w:val="21"/>
        </w:rPr>
        <w:t>know </w:t>
      </w:r>
      <w:r>
        <w:rPr>
          <w:spacing w:val="-3"/>
          <w:w w:val="105"/>
          <w:sz w:val="21"/>
        </w:rPr>
        <w:t>that, for example, </w:t>
      </w:r>
      <w:r>
        <w:rPr>
          <w:w w:val="105"/>
          <w:sz w:val="21"/>
        </w:rPr>
        <w:t>once the canopy of an oak tree </w:t>
      </w:r>
      <w:r>
        <w:rPr>
          <w:spacing w:val="-2"/>
          <w:w w:val="105"/>
          <w:sz w:val="21"/>
        </w:rPr>
        <w:t>has </w:t>
      </w:r>
      <w:r>
        <w:rPr>
          <w:spacing w:val="-3"/>
          <w:w w:val="105"/>
          <w:sz w:val="21"/>
        </w:rPr>
        <w:t>fully formed, </w:t>
      </w:r>
      <w:r>
        <w:rPr>
          <w:w w:val="105"/>
          <w:sz w:val="21"/>
        </w:rPr>
        <w:t>it </w:t>
      </w:r>
      <w:r>
        <w:rPr>
          <w:spacing w:val="-3"/>
          <w:w w:val="105"/>
          <w:sz w:val="21"/>
        </w:rPr>
        <w:t>remains that </w:t>
      </w:r>
      <w:r>
        <w:rPr>
          <w:spacing w:val="-5"/>
          <w:w w:val="105"/>
          <w:sz w:val="21"/>
        </w:rPr>
        <w:t>way, </w:t>
      </w:r>
      <w:r>
        <w:rPr>
          <w:w w:val="105"/>
          <w:sz w:val="21"/>
        </w:rPr>
        <w:t>with no </w:t>
      </w:r>
      <w:r>
        <w:rPr>
          <w:spacing w:val="-3"/>
          <w:w w:val="105"/>
          <w:sz w:val="21"/>
        </w:rPr>
        <w:t>dramatic changes. </w:t>
      </w:r>
      <w:r>
        <w:rPr>
          <w:spacing w:val="-4"/>
          <w:w w:val="105"/>
          <w:sz w:val="21"/>
        </w:rPr>
        <w:t>Similarly, </w:t>
      </w:r>
      <w:r>
        <w:rPr>
          <w:w w:val="105"/>
          <w:sz w:val="21"/>
        </w:rPr>
        <w:t>eucalypts </w:t>
      </w:r>
      <w:r>
        <w:rPr>
          <w:spacing w:val="-3"/>
          <w:w w:val="105"/>
          <w:sz w:val="21"/>
        </w:rPr>
        <w:t>are </w:t>
      </w:r>
      <w:r>
        <w:rPr>
          <w:w w:val="105"/>
          <w:sz w:val="21"/>
        </w:rPr>
        <w:t>misunderstood—these</w:t>
      </w:r>
      <w:r>
        <w:rPr>
          <w:spacing w:val="-11"/>
          <w:w w:val="105"/>
          <w:sz w:val="21"/>
        </w:rPr>
        <w:t> </w:t>
      </w:r>
      <w:r>
        <w:rPr>
          <w:w w:val="105"/>
          <w:sz w:val="21"/>
        </w:rPr>
        <w:t>trees</w:t>
      </w:r>
      <w:r>
        <w:rPr>
          <w:spacing w:val="-10"/>
          <w:w w:val="105"/>
          <w:sz w:val="21"/>
        </w:rPr>
        <w:t> </w:t>
      </w:r>
      <w:r>
        <w:rPr>
          <w:w w:val="105"/>
          <w:sz w:val="21"/>
        </w:rPr>
        <w:t>repeatedly</w:t>
      </w:r>
      <w:r>
        <w:rPr>
          <w:spacing w:val="-10"/>
          <w:w w:val="105"/>
          <w:sz w:val="21"/>
        </w:rPr>
        <w:t> </w:t>
      </w:r>
      <w:r>
        <w:rPr>
          <w:w w:val="105"/>
          <w:sz w:val="21"/>
        </w:rPr>
        <w:t>shoot</w:t>
      </w:r>
      <w:r>
        <w:rPr>
          <w:spacing w:val="-11"/>
          <w:w w:val="105"/>
          <w:sz w:val="21"/>
        </w:rPr>
        <w:t> </w:t>
      </w:r>
      <w:r>
        <w:rPr>
          <w:w w:val="105"/>
          <w:sz w:val="21"/>
        </w:rPr>
        <w:t>up</w:t>
      </w:r>
      <w:r>
        <w:rPr>
          <w:spacing w:val="-10"/>
          <w:w w:val="105"/>
          <w:sz w:val="21"/>
        </w:rPr>
        <w:t> </w:t>
      </w:r>
      <w:r>
        <w:rPr>
          <w:w w:val="105"/>
          <w:sz w:val="21"/>
        </w:rPr>
        <w:t>and</w:t>
      </w:r>
      <w:r>
        <w:rPr>
          <w:spacing w:val="-10"/>
          <w:w w:val="105"/>
          <w:sz w:val="21"/>
        </w:rPr>
        <w:t> </w:t>
      </w:r>
      <w:r>
        <w:rPr>
          <w:spacing w:val="-5"/>
          <w:w w:val="105"/>
          <w:sz w:val="21"/>
        </w:rPr>
        <w:t>‘die</w:t>
      </w:r>
      <w:r>
        <w:rPr>
          <w:spacing w:val="-10"/>
          <w:w w:val="105"/>
          <w:sz w:val="21"/>
        </w:rPr>
        <w:t> </w:t>
      </w:r>
      <w:r>
        <w:rPr>
          <w:w w:val="105"/>
          <w:sz w:val="21"/>
        </w:rPr>
        <w:t>back’</w:t>
      </w:r>
      <w:r>
        <w:rPr>
          <w:spacing w:val="-11"/>
          <w:w w:val="105"/>
          <w:sz w:val="21"/>
        </w:rPr>
        <w:t> </w:t>
      </w:r>
      <w:r>
        <w:rPr>
          <w:w w:val="105"/>
          <w:sz w:val="21"/>
        </w:rPr>
        <w:t>as</w:t>
      </w:r>
      <w:r>
        <w:rPr>
          <w:spacing w:val="-10"/>
          <w:w w:val="105"/>
          <w:sz w:val="21"/>
        </w:rPr>
        <w:t> </w:t>
      </w:r>
      <w:r>
        <w:rPr>
          <w:w w:val="105"/>
          <w:sz w:val="21"/>
        </w:rPr>
        <w:t>part</w:t>
      </w:r>
      <w:r>
        <w:rPr>
          <w:spacing w:val="-10"/>
          <w:w w:val="105"/>
          <w:sz w:val="21"/>
        </w:rPr>
        <w:t> </w:t>
      </w:r>
      <w:r>
        <w:rPr>
          <w:w w:val="105"/>
          <w:sz w:val="21"/>
        </w:rPr>
        <w:t>of</w:t>
      </w:r>
      <w:r>
        <w:rPr>
          <w:spacing w:val="-11"/>
          <w:w w:val="105"/>
          <w:sz w:val="21"/>
        </w:rPr>
        <w:t> </w:t>
      </w:r>
      <w:r>
        <w:rPr>
          <w:w w:val="105"/>
          <w:sz w:val="21"/>
        </w:rPr>
        <w:t>their</w:t>
      </w:r>
      <w:r>
        <w:rPr>
          <w:spacing w:val="-10"/>
          <w:w w:val="105"/>
          <w:sz w:val="21"/>
        </w:rPr>
        <w:t> </w:t>
      </w:r>
      <w:r>
        <w:rPr>
          <w:spacing w:val="-3"/>
          <w:w w:val="105"/>
          <w:sz w:val="21"/>
        </w:rPr>
        <w:t>natural </w:t>
      </w:r>
      <w:r>
        <w:rPr>
          <w:w w:val="105"/>
          <w:sz w:val="21"/>
        </w:rPr>
        <w:t>growth cycle, </w:t>
      </w:r>
      <w:r>
        <w:rPr>
          <w:spacing w:val="-2"/>
          <w:w w:val="105"/>
          <w:sz w:val="21"/>
        </w:rPr>
        <w:t>not </w:t>
      </w:r>
      <w:r>
        <w:rPr>
          <w:w w:val="105"/>
          <w:sz w:val="21"/>
        </w:rPr>
        <w:t>because they </w:t>
      </w:r>
      <w:r>
        <w:rPr>
          <w:spacing w:val="-3"/>
          <w:w w:val="105"/>
          <w:sz w:val="21"/>
        </w:rPr>
        <w:t>are </w:t>
      </w:r>
      <w:r>
        <w:rPr>
          <w:spacing w:val="-2"/>
          <w:w w:val="105"/>
          <w:sz w:val="21"/>
        </w:rPr>
        <w:t>dying. </w:t>
      </w:r>
      <w:r>
        <w:rPr>
          <w:w w:val="105"/>
          <w:sz w:val="21"/>
        </w:rPr>
        <w:t>Dr Moore also stated </w:t>
      </w:r>
      <w:r>
        <w:rPr>
          <w:spacing w:val="-3"/>
          <w:w w:val="105"/>
          <w:sz w:val="21"/>
        </w:rPr>
        <w:t>that many </w:t>
      </w:r>
      <w:r>
        <w:rPr>
          <w:w w:val="105"/>
          <w:sz w:val="21"/>
        </w:rPr>
        <w:t>people attribute </w:t>
      </w:r>
      <w:r>
        <w:rPr>
          <w:spacing w:val="-3"/>
          <w:w w:val="105"/>
          <w:sz w:val="21"/>
        </w:rPr>
        <w:t>summer limb </w:t>
      </w:r>
      <w:r>
        <w:rPr>
          <w:spacing w:val="-5"/>
          <w:w w:val="105"/>
          <w:sz w:val="21"/>
        </w:rPr>
        <w:t>drop</w:t>
      </w:r>
      <w:r>
        <w:rPr>
          <w:spacing w:val="-5"/>
          <w:w w:val="105"/>
          <w:position w:val="7"/>
          <w:sz w:val="12"/>
        </w:rPr>
        <w:t>156 </w:t>
      </w:r>
      <w:r>
        <w:rPr>
          <w:spacing w:val="-3"/>
          <w:w w:val="105"/>
          <w:sz w:val="21"/>
        </w:rPr>
        <w:t>to </w:t>
      </w:r>
      <w:r>
        <w:rPr>
          <w:w w:val="105"/>
          <w:sz w:val="21"/>
        </w:rPr>
        <w:t>certain species of trees, even though there is no </w:t>
      </w:r>
      <w:r>
        <w:rPr>
          <w:spacing w:val="-3"/>
          <w:w w:val="105"/>
          <w:sz w:val="21"/>
        </w:rPr>
        <w:t>arboricultural </w:t>
      </w:r>
      <w:r>
        <w:rPr>
          <w:w w:val="105"/>
          <w:sz w:val="21"/>
        </w:rPr>
        <w:t>data or evidence </w:t>
      </w:r>
      <w:r>
        <w:rPr>
          <w:spacing w:val="-3"/>
          <w:w w:val="105"/>
          <w:sz w:val="21"/>
        </w:rPr>
        <w:t>to </w:t>
      </w:r>
      <w:r>
        <w:rPr>
          <w:w w:val="105"/>
          <w:sz w:val="21"/>
        </w:rPr>
        <w:t>suggest some species of tree </w:t>
      </w:r>
      <w:r>
        <w:rPr>
          <w:spacing w:val="-3"/>
          <w:w w:val="105"/>
          <w:sz w:val="21"/>
        </w:rPr>
        <w:t>are </w:t>
      </w:r>
      <w:r>
        <w:rPr>
          <w:w w:val="105"/>
          <w:sz w:val="21"/>
        </w:rPr>
        <w:t>more prone </w:t>
      </w:r>
      <w:r>
        <w:rPr>
          <w:spacing w:val="-3"/>
          <w:w w:val="105"/>
          <w:sz w:val="21"/>
        </w:rPr>
        <w:t>to </w:t>
      </w:r>
      <w:r>
        <w:rPr>
          <w:w w:val="105"/>
          <w:sz w:val="21"/>
        </w:rPr>
        <w:t>this </w:t>
      </w:r>
      <w:r>
        <w:rPr>
          <w:spacing w:val="-3"/>
          <w:w w:val="105"/>
          <w:sz w:val="21"/>
        </w:rPr>
        <w:t>than</w:t>
      </w:r>
      <w:r>
        <w:rPr>
          <w:spacing w:val="5"/>
          <w:w w:val="105"/>
          <w:sz w:val="21"/>
        </w:rPr>
        <w:t> </w:t>
      </w:r>
      <w:r>
        <w:rPr>
          <w:spacing w:val="-4"/>
          <w:w w:val="105"/>
          <w:sz w:val="21"/>
        </w:rPr>
        <w:t>others.</w:t>
      </w:r>
      <w:r>
        <w:rPr>
          <w:spacing w:val="-4"/>
          <w:w w:val="105"/>
          <w:position w:val="7"/>
          <w:sz w:val="12"/>
        </w:rPr>
        <w:t>157</w:t>
      </w:r>
    </w:p>
    <w:p>
      <w:pPr>
        <w:pStyle w:val="ListParagraph"/>
        <w:numPr>
          <w:ilvl w:val="1"/>
          <w:numId w:val="16"/>
        </w:numPr>
        <w:tabs>
          <w:tab w:pos="2381" w:val="left" w:leader="none"/>
          <w:tab w:pos="2382" w:val="left" w:leader="none"/>
        </w:tabs>
        <w:spacing w:line="242" w:lineRule="auto" w:before="128" w:after="0"/>
        <w:ind w:left="2381" w:right="1607" w:hanging="794"/>
        <w:jc w:val="left"/>
        <w:rPr>
          <w:sz w:val="21"/>
        </w:rPr>
      </w:pPr>
      <w:r>
        <w:rPr>
          <w:w w:val="105"/>
          <w:sz w:val="21"/>
        </w:rPr>
        <w:t>Arborists at </w:t>
      </w:r>
      <w:r>
        <w:rPr>
          <w:spacing w:val="3"/>
          <w:w w:val="105"/>
          <w:sz w:val="21"/>
        </w:rPr>
        <w:t>VTIO </w:t>
      </w:r>
      <w:r>
        <w:rPr>
          <w:w w:val="105"/>
          <w:sz w:val="21"/>
        </w:rPr>
        <w:t>ArborCamp agreed </w:t>
      </w:r>
      <w:r>
        <w:rPr>
          <w:spacing w:val="-3"/>
          <w:w w:val="105"/>
          <w:sz w:val="21"/>
        </w:rPr>
        <w:t>that ‘education </w:t>
      </w:r>
      <w:r>
        <w:rPr>
          <w:w w:val="105"/>
          <w:sz w:val="21"/>
        </w:rPr>
        <w:t>is a big </w:t>
      </w:r>
      <w:r>
        <w:rPr>
          <w:spacing w:val="-3"/>
          <w:w w:val="105"/>
          <w:sz w:val="21"/>
        </w:rPr>
        <w:t>issue’ </w:t>
      </w:r>
      <w:r>
        <w:rPr>
          <w:w w:val="105"/>
          <w:sz w:val="21"/>
        </w:rPr>
        <w:t>and </w:t>
      </w:r>
      <w:r>
        <w:rPr>
          <w:spacing w:val="-3"/>
          <w:w w:val="105"/>
          <w:sz w:val="21"/>
        </w:rPr>
        <w:t>that </w:t>
      </w:r>
      <w:r>
        <w:rPr>
          <w:w w:val="105"/>
          <w:sz w:val="21"/>
        </w:rPr>
        <w:t>a lack of education</w:t>
      </w:r>
      <w:r>
        <w:rPr>
          <w:spacing w:val="-9"/>
          <w:w w:val="105"/>
          <w:sz w:val="21"/>
        </w:rPr>
        <w:t> </w:t>
      </w:r>
      <w:r>
        <w:rPr>
          <w:w w:val="105"/>
          <w:sz w:val="21"/>
        </w:rPr>
        <w:t>and</w:t>
      </w:r>
      <w:r>
        <w:rPr>
          <w:spacing w:val="-9"/>
          <w:w w:val="105"/>
          <w:sz w:val="21"/>
        </w:rPr>
        <w:t> </w:t>
      </w:r>
      <w:r>
        <w:rPr>
          <w:w w:val="105"/>
          <w:sz w:val="21"/>
        </w:rPr>
        <w:t>knowledge</w:t>
      </w:r>
      <w:r>
        <w:rPr>
          <w:spacing w:val="-9"/>
          <w:w w:val="105"/>
          <w:sz w:val="21"/>
        </w:rPr>
        <w:t> </w:t>
      </w:r>
      <w:r>
        <w:rPr>
          <w:spacing w:val="-3"/>
          <w:w w:val="105"/>
          <w:sz w:val="21"/>
        </w:rPr>
        <w:t>fuels</w:t>
      </w:r>
      <w:r>
        <w:rPr>
          <w:spacing w:val="-9"/>
          <w:w w:val="105"/>
          <w:sz w:val="21"/>
        </w:rPr>
        <w:t> </w:t>
      </w:r>
      <w:r>
        <w:rPr>
          <w:w w:val="105"/>
          <w:sz w:val="21"/>
        </w:rPr>
        <w:t>tree</w:t>
      </w:r>
      <w:r>
        <w:rPr>
          <w:spacing w:val="-8"/>
          <w:w w:val="105"/>
          <w:sz w:val="21"/>
        </w:rPr>
        <w:t> </w:t>
      </w:r>
      <w:r>
        <w:rPr>
          <w:spacing w:val="-3"/>
          <w:w w:val="105"/>
          <w:sz w:val="21"/>
        </w:rPr>
        <w:t>disputes.</w:t>
      </w:r>
      <w:r>
        <w:rPr>
          <w:spacing w:val="-26"/>
          <w:w w:val="105"/>
          <w:sz w:val="21"/>
        </w:rPr>
        <w:t> </w:t>
      </w:r>
      <w:r>
        <w:rPr>
          <w:spacing w:val="-3"/>
          <w:w w:val="105"/>
          <w:sz w:val="21"/>
        </w:rPr>
        <w:t>Many</w:t>
      </w:r>
      <w:r>
        <w:rPr>
          <w:spacing w:val="-9"/>
          <w:w w:val="105"/>
          <w:sz w:val="21"/>
        </w:rPr>
        <w:t> </w:t>
      </w:r>
      <w:r>
        <w:rPr>
          <w:w w:val="105"/>
          <w:sz w:val="21"/>
        </w:rPr>
        <w:t>of</w:t>
      </w:r>
      <w:r>
        <w:rPr>
          <w:spacing w:val="-9"/>
          <w:w w:val="105"/>
          <w:sz w:val="21"/>
        </w:rPr>
        <w:t> </w:t>
      </w:r>
      <w:r>
        <w:rPr>
          <w:w w:val="105"/>
          <w:sz w:val="21"/>
        </w:rPr>
        <w:t>these</w:t>
      </w:r>
      <w:r>
        <w:rPr>
          <w:spacing w:val="-9"/>
          <w:w w:val="105"/>
          <w:sz w:val="21"/>
        </w:rPr>
        <w:t> </w:t>
      </w:r>
      <w:r>
        <w:rPr>
          <w:w w:val="105"/>
          <w:sz w:val="21"/>
        </w:rPr>
        <w:t>arborists</w:t>
      </w:r>
      <w:r>
        <w:rPr>
          <w:spacing w:val="-8"/>
          <w:w w:val="105"/>
          <w:sz w:val="21"/>
        </w:rPr>
        <w:t> </w:t>
      </w:r>
      <w:r>
        <w:rPr>
          <w:w w:val="105"/>
          <w:sz w:val="21"/>
        </w:rPr>
        <w:t>suggested</w:t>
      </w:r>
      <w:r>
        <w:rPr>
          <w:spacing w:val="-9"/>
          <w:w w:val="105"/>
          <w:sz w:val="21"/>
        </w:rPr>
        <w:t> </w:t>
      </w:r>
      <w:r>
        <w:rPr>
          <w:spacing w:val="-3"/>
          <w:w w:val="105"/>
          <w:sz w:val="21"/>
        </w:rPr>
        <w:t>that</w:t>
      </w:r>
      <w:r>
        <w:rPr>
          <w:spacing w:val="-9"/>
          <w:w w:val="105"/>
          <w:sz w:val="21"/>
        </w:rPr>
        <w:t> </w:t>
      </w:r>
      <w:r>
        <w:rPr>
          <w:w w:val="105"/>
          <w:sz w:val="21"/>
        </w:rPr>
        <w:t>they </w:t>
      </w:r>
      <w:r>
        <w:rPr>
          <w:spacing w:val="-3"/>
          <w:w w:val="105"/>
          <w:sz w:val="21"/>
        </w:rPr>
        <w:t>play </w:t>
      </w:r>
      <w:r>
        <w:rPr>
          <w:w w:val="105"/>
          <w:sz w:val="21"/>
        </w:rPr>
        <w:t>a </w:t>
      </w:r>
      <w:r>
        <w:rPr>
          <w:spacing w:val="-3"/>
          <w:w w:val="105"/>
          <w:sz w:val="21"/>
        </w:rPr>
        <w:t>significant </w:t>
      </w:r>
      <w:r>
        <w:rPr>
          <w:w w:val="105"/>
          <w:sz w:val="21"/>
        </w:rPr>
        <w:t>role in </w:t>
      </w:r>
      <w:r>
        <w:rPr>
          <w:spacing w:val="-3"/>
          <w:w w:val="105"/>
          <w:sz w:val="21"/>
        </w:rPr>
        <w:t>educating </w:t>
      </w:r>
      <w:r>
        <w:rPr>
          <w:w w:val="105"/>
          <w:sz w:val="21"/>
        </w:rPr>
        <w:t>the </w:t>
      </w:r>
      <w:r>
        <w:rPr>
          <w:spacing w:val="-3"/>
          <w:w w:val="105"/>
          <w:sz w:val="21"/>
        </w:rPr>
        <w:t>public </w:t>
      </w:r>
      <w:r>
        <w:rPr>
          <w:w w:val="105"/>
          <w:sz w:val="21"/>
        </w:rPr>
        <w:t>on how trees </w:t>
      </w:r>
      <w:r>
        <w:rPr>
          <w:spacing w:val="-5"/>
          <w:w w:val="105"/>
          <w:sz w:val="21"/>
        </w:rPr>
        <w:t>grow. </w:t>
      </w:r>
      <w:r>
        <w:rPr>
          <w:w w:val="105"/>
          <w:sz w:val="21"/>
        </w:rPr>
        <w:t>It was identified </w:t>
      </w:r>
      <w:r>
        <w:rPr>
          <w:spacing w:val="-3"/>
          <w:w w:val="105"/>
          <w:sz w:val="21"/>
        </w:rPr>
        <w:t>that </w:t>
      </w:r>
      <w:r>
        <w:rPr>
          <w:w w:val="105"/>
          <w:sz w:val="21"/>
        </w:rPr>
        <w:t>better</w:t>
      </w:r>
      <w:r>
        <w:rPr>
          <w:spacing w:val="-4"/>
          <w:w w:val="105"/>
          <w:sz w:val="21"/>
        </w:rPr>
        <w:t> </w:t>
      </w:r>
      <w:r>
        <w:rPr>
          <w:w w:val="105"/>
          <w:sz w:val="21"/>
        </w:rPr>
        <w:t>education</w:t>
      </w:r>
      <w:r>
        <w:rPr>
          <w:spacing w:val="-4"/>
          <w:w w:val="105"/>
          <w:sz w:val="21"/>
        </w:rPr>
        <w:t> </w:t>
      </w:r>
      <w:r>
        <w:rPr>
          <w:w w:val="105"/>
          <w:sz w:val="21"/>
        </w:rPr>
        <w:t>about</w:t>
      </w:r>
      <w:r>
        <w:rPr>
          <w:spacing w:val="-4"/>
          <w:w w:val="105"/>
          <w:sz w:val="21"/>
        </w:rPr>
        <w:t> </w:t>
      </w:r>
      <w:r>
        <w:rPr>
          <w:w w:val="105"/>
          <w:sz w:val="21"/>
        </w:rPr>
        <w:t>the</w:t>
      </w:r>
      <w:r>
        <w:rPr>
          <w:spacing w:val="-4"/>
          <w:w w:val="105"/>
          <w:sz w:val="21"/>
        </w:rPr>
        <w:t> </w:t>
      </w:r>
      <w:r>
        <w:rPr>
          <w:w w:val="105"/>
          <w:sz w:val="21"/>
        </w:rPr>
        <w:t>biology</w:t>
      </w:r>
      <w:r>
        <w:rPr>
          <w:spacing w:val="-4"/>
          <w:w w:val="105"/>
          <w:sz w:val="21"/>
        </w:rPr>
        <w:t> </w:t>
      </w:r>
      <w:r>
        <w:rPr>
          <w:w w:val="105"/>
          <w:sz w:val="21"/>
        </w:rPr>
        <w:t>of</w:t>
      </w:r>
      <w:r>
        <w:rPr>
          <w:spacing w:val="-4"/>
          <w:w w:val="105"/>
          <w:sz w:val="21"/>
        </w:rPr>
        <w:t> </w:t>
      </w:r>
      <w:r>
        <w:rPr>
          <w:w w:val="105"/>
          <w:sz w:val="21"/>
        </w:rPr>
        <w:t>trees,</w:t>
      </w:r>
      <w:r>
        <w:rPr>
          <w:spacing w:val="-4"/>
          <w:w w:val="105"/>
          <w:sz w:val="21"/>
        </w:rPr>
        <w:t> </w:t>
      </w:r>
      <w:r>
        <w:rPr>
          <w:w w:val="105"/>
          <w:sz w:val="21"/>
        </w:rPr>
        <w:t>tree</w:t>
      </w:r>
      <w:r>
        <w:rPr>
          <w:spacing w:val="-4"/>
          <w:w w:val="105"/>
          <w:sz w:val="21"/>
        </w:rPr>
        <w:t> </w:t>
      </w:r>
      <w:r>
        <w:rPr>
          <w:spacing w:val="-3"/>
          <w:w w:val="105"/>
          <w:sz w:val="21"/>
        </w:rPr>
        <w:t>management</w:t>
      </w:r>
      <w:r>
        <w:rPr>
          <w:spacing w:val="-4"/>
          <w:w w:val="105"/>
          <w:sz w:val="21"/>
        </w:rPr>
        <w:t> </w:t>
      </w:r>
      <w:r>
        <w:rPr>
          <w:w w:val="105"/>
          <w:sz w:val="21"/>
        </w:rPr>
        <w:t>and</w:t>
      </w:r>
      <w:r>
        <w:rPr>
          <w:spacing w:val="-4"/>
          <w:w w:val="105"/>
          <w:sz w:val="21"/>
        </w:rPr>
        <w:t> </w:t>
      </w:r>
      <w:r>
        <w:rPr>
          <w:w w:val="105"/>
          <w:sz w:val="21"/>
        </w:rPr>
        <w:t>the</w:t>
      </w:r>
      <w:r>
        <w:rPr>
          <w:spacing w:val="-3"/>
          <w:w w:val="105"/>
          <w:sz w:val="21"/>
        </w:rPr>
        <w:t> </w:t>
      </w:r>
      <w:r>
        <w:rPr>
          <w:w w:val="105"/>
          <w:sz w:val="21"/>
        </w:rPr>
        <w:t>importance</w:t>
      </w:r>
      <w:r>
        <w:rPr>
          <w:spacing w:val="-4"/>
          <w:w w:val="105"/>
          <w:sz w:val="21"/>
        </w:rPr>
        <w:t> </w:t>
      </w:r>
      <w:r>
        <w:rPr>
          <w:w w:val="105"/>
          <w:sz w:val="21"/>
        </w:rPr>
        <w:t>of</w:t>
      </w:r>
    </w:p>
    <w:p>
      <w:pPr>
        <w:pStyle w:val="BodyText"/>
        <w:spacing w:line="242" w:lineRule="auto" w:before="5"/>
        <w:ind w:left="2381" w:right="1636"/>
        <w:rPr>
          <w:sz w:val="12"/>
        </w:rPr>
      </w:pPr>
      <w:r>
        <w:rPr>
          <w:w w:val="105"/>
        </w:rPr>
        <w:t>the urban </w:t>
      </w:r>
      <w:r>
        <w:rPr>
          <w:spacing w:val="-2"/>
          <w:w w:val="105"/>
        </w:rPr>
        <w:t>forest </w:t>
      </w:r>
      <w:r>
        <w:rPr>
          <w:spacing w:val="-3"/>
          <w:w w:val="105"/>
        </w:rPr>
        <w:t>could alleviate </w:t>
      </w:r>
      <w:r>
        <w:rPr>
          <w:w w:val="105"/>
        </w:rPr>
        <w:t>neighbours’ </w:t>
      </w:r>
      <w:r>
        <w:rPr>
          <w:spacing w:val="-3"/>
          <w:w w:val="105"/>
        </w:rPr>
        <w:t>concerns </w:t>
      </w:r>
      <w:r>
        <w:rPr>
          <w:w w:val="105"/>
        </w:rPr>
        <w:t>about trees. The </w:t>
      </w:r>
      <w:r>
        <w:rPr>
          <w:spacing w:val="-3"/>
          <w:w w:val="105"/>
        </w:rPr>
        <w:t>Commission </w:t>
      </w:r>
      <w:r>
        <w:rPr>
          <w:w w:val="105"/>
        </w:rPr>
        <w:t>was told </w:t>
      </w:r>
      <w:r>
        <w:rPr>
          <w:spacing w:val="-3"/>
          <w:w w:val="105"/>
        </w:rPr>
        <w:t>that </w:t>
      </w:r>
      <w:r>
        <w:rPr>
          <w:w w:val="105"/>
        </w:rPr>
        <w:t>most people do </w:t>
      </w:r>
      <w:r>
        <w:rPr>
          <w:spacing w:val="-2"/>
          <w:w w:val="105"/>
        </w:rPr>
        <w:t>not </w:t>
      </w:r>
      <w:r>
        <w:rPr>
          <w:spacing w:val="-3"/>
          <w:w w:val="105"/>
        </w:rPr>
        <w:t>realise that </w:t>
      </w:r>
      <w:r>
        <w:rPr>
          <w:w w:val="105"/>
        </w:rPr>
        <w:t>properly </w:t>
      </w:r>
      <w:r>
        <w:rPr>
          <w:spacing w:val="-3"/>
          <w:w w:val="105"/>
        </w:rPr>
        <w:t>managing </w:t>
      </w:r>
      <w:r>
        <w:rPr>
          <w:w w:val="105"/>
        </w:rPr>
        <w:t>a tree is a long-term task, sometimes with no </w:t>
      </w:r>
      <w:r>
        <w:rPr>
          <w:spacing w:val="-3"/>
          <w:w w:val="105"/>
        </w:rPr>
        <w:t>quick </w:t>
      </w:r>
      <w:r>
        <w:rPr>
          <w:spacing w:val="-4"/>
          <w:w w:val="105"/>
        </w:rPr>
        <w:t>fix.</w:t>
      </w:r>
      <w:r>
        <w:rPr>
          <w:spacing w:val="-4"/>
          <w:w w:val="105"/>
          <w:position w:val="7"/>
          <w:sz w:val="12"/>
        </w:rPr>
        <w:t>158</w:t>
      </w:r>
    </w:p>
    <w:p>
      <w:pPr>
        <w:pStyle w:val="Heading7"/>
        <w:spacing w:before="153"/>
      </w:pPr>
      <w:r>
        <w:rPr>
          <w:w w:val="110"/>
        </w:rPr>
        <w:t>Incorrect assumptions about the causes of problems</w:t>
      </w:r>
    </w:p>
    <w:p>
      <w:pPr>
        <w:pStyle w:val="ListParagraph"/>
        <w:numPr>
          <w:ilvl w:val="1"/>
          <w:numId w:val="16"/>
        </w:numPr>
        <w:tabs>
          <w:tab w:pos="2381" w:val="left" w:leader="none"/>
          <w:tab w:pos="2382" w:val="left" w:leader="none"/>
        </w:tabs>
        <w:spacing w:line="242" w:lineRule="auto" w:before="143" w:after="0"/>
        <w:ind w:left="2381" w:right="1640" w:hanging="794"/>
        <w:jc w:val="left"/>
        <w:rPr>
          <w:sz w:val="21"/>
        </w:rPr>
      </w:pPr>
      <w:r>
        <w:rPr>
          <w:spacing w:val="-4"/>
          <w:sz w:val="21"/>
        </w:rPr>
        <w:t>ENSPEC, </w:t>
      </w:r>
      <w:r>
        <w:rPr>
          <w:sz w:val="21"/>
        </w:rPr>
        <w:t>an </w:t>
      </w:r>
      <w:r>
        <w:rPr>
          <w:spacing w:val="-3"/>
          <w:sz w:val="21"/>
        </w:rPr>
        <w:t>arboricultural consulting </w:t>
      </w:r>
      <w:r>
        <w:rPr>
          <w:sz w:val="21"/>
        </w:rPr>
        <w:t>firm, told the </w:t>
      </w:r>
      <w:r>
        <w:rPr>
          <w:spacing w:val="-3"/>
          <w:sz w:val="21"/>
        </w:rPr>
        <w:t>Commission that healthy </w:t>
      </w:r>
      <w:r>
        <w:rPr>
          <w:sz w:val="21"/>
        </w:rPr>
        <w:t>trees pose no </w:t>
      </w:r>
      <w:r>
        <w:rPr>
          <w:spacing w:val="-3"/>
          <w:sz w:val="21"/>
        </w:rPr>
        <w:t>greater </w:t>
      </w:r>
      <w:r>
        <w:rPr>
          <w:sz w:val="21"/>
        </w:rPr>
        <w:t>risk </w:t>
      </w:r>
      <w:r>
        <w:rPr>
          <w:spacing w:val="-3"/>
          <w:sz w:val="21"/>
        </w:rPr>
        <w:t>than built  </w:t>
      </w:r>
      <w:r>
        <w:rPr>
          <w:sz w:val="21"/>
        </w:rPr>
        <w:t>structures in urban and </w:t>
      </w:r>
      <w:r>
        <w:rPr>
          <w:spacing w:val="-3"/>
          <w:sz w:val="21"/>
        </w:rPr>
        <w:t>residential</w:t>
      </w:r>
      <w:r>
        <w:rPr>
          <w:spacing w:val="41"/>
          <w:sz w:val="21"/>
        </w:rPr>
        <w:t> </w:t>
      </w:r>
      <w:r>
        <w:rPr>
          <w:sz w:val="21"/>
        </w:rPr>
        <w:t>settings. </w:t>
      </w:r>
      <w:r>
        <w:rPr>
          <w:spacing w:val="-4"/>
          <w:sz w:val="21"/>
        </w:rPr>
        <w:t>However,  </w:t>
      </w:r>
      <w:r>
        <w:rPr>
          <w:sz w:val="21"/>
        </w:rPr>
        <w:t>it is </w:t>
      </w:r>
      <w:r>
        <w:rPr>
          <w:spacing w:val="-2"/>
          <w:sz w:val="21"/>
        </w:rPr>
        <w:t>common </w:t>
      </w:r>
      <w:r>
        <w:rPr>
          <w:spacing w:val="-3"/>
          <w:sz w:val="21"/>
        </w:rPr>
        <w:t>for </w:t>
      </w:r>
      <w:r>
        <w:rPr>
          <w:sz w:val="21"/>
        </w:rPr>
        <w:t>people </w:t>
      </w:r>
      <w:r>
        <w:rPr>
          <w:spacing w:val="-3"/>
          <w:sz w:val="21"/>
        </w:rPr>
        <w:t>to fear </w:t>
      </w:r>
      <w:r>
        <w:rPr>
          <w:sz w:val="21"/>
        </w:rPr>
        <w:t>the </w:t>
      </w:r>
      <w:r>
        <w:rPr>
          <w:spacing w:val="-3"/>
          <w:sz w:val="21"/>
        </w:rPr>
        <w:t>dropping </w:t>
      </w:r>
      <w:r>
        <w:rPr>
          <w:sz w:val="21"/>
        </w:rPr>
        <w:t>of </w:t>
      </w:r>
      <w:r>
        <w:rPr>
          <w:spacing w:val="-3"/>
          <w:sz w:val="21"/>
        </w:rPr>
        <w:t>overhanging branches </w:t>
      </w:r>
      <w:r>
        <w:rPr>
          <w:sz w:val="21"/>
        </w:rPr>
        <w:t>or the </w:t>
      </w:r>
      <w:r>
        <w:rPr>
          <w:spacing w:val="-4"/>
          <w:sz w:val="21"/>
        </w:rPr>
        <w:t>falling </w:t>
      </w:r>
      <w:r>
        <w:rPr>
          <w:sz w:val="21"/>
        </w:rPr>
        <w:t>of </w:t>
      </w:r>
      <w:r>
        <w:rPr>
          <w:spacing w:val="-3"/>
          <w:sz w:val="21"/>
        </w:rPr>
        <w:t>entire </w:t>
      </w:r>
      <w:r>
        <w:rPr>
          <w:sz w:val="21"/>
        </w:rPr>
        <w:t>trees, especially in storms, more </w:t>
      </w:r>
      <w:r>
        <w:rPr>
          <w:spacing w:val="-3"/>
          <w:sz w:val="21"/>
        </w:rPr>
        <w:t>than </w:t>
      </w:r>
      <w:r>
        <w:rPr>
          <w:sz w:val="21"/>
        </w:rPr>
        <w:t>the </w:t>
      </w:r>
      <w:r>
        <w:rPr>
          <w:spacing w:val="-4"/>
          <w:sz w:val="21"/>
        </w:rPr>
        <w:t>failure </w:t>
      </w:r>
      <w:r>
        <w:rPr>
          <w:sz w:val="21"/>
        </w:rPr>
        <w:t>of other structures on or near their property. </w:t>
      </w:r>
      <w:r>
        <w:rPr>
          <w:spacing w:val="-3"/>
          <w:sz w:val="21"/>
        </w:rPr>
        <w:t>ENSPEC </w:t>
      </w:r>
      <w:r>
        <w:rPr>
          <w:sz w:val="21"/>
        </w:rPr>
        <w:t>further</w:t>
      </w:r>
      <w:r>
        <w:rPr>
          <w:spacing w:val="20"/>
          <w:sz w:val="21"/>
        </w:rPr>
        <w:t> </w:t>
      </w:r>
      <w:r>
        <w:rPr>
          <w:sz w:val="21"/>
        </w:rPr>
        <w:t>explained:</w:t>
      </w:r>
    </w:p>
    <w:p>
      <w:pPr>
        <w:spacing w:line="254" w:lineRule="auto" w:before="135"/>
        <w:ind w:left="2834" w:right="1933" w:firstLine="0"/>
        <w:jc w:val="left"/>
        <w:rPr>
          <w:sz w:val="11"/>
        </w:rPr>
      </w:pPr>
      <w:r>
        <w:rPr>
          <w:sz w:val="20"/>
        </w:rPr>
        <w:t>Management of unreasonable risk is appropriate; </w:t>
      </w:r>
      <w:r>
        <w:rPr>
          <w:spacing w:val="-4"/>
          <w:sz w:val="20"/>
        </w:rPr>
        <w:t>however, </w:t>
      </w:r>
      <w:r>
        <w:rPr>
          <w:sz w:val="20"/>
        </w:rPr>
        <w:t>the </w:t>
      </w:r>
      <w:r>
        <w:rPr>
          <w:spacing w:val="-3"/>
          <w:sz w:val="20"/>
        </w:rPr>
        <w:t>elimination </w:t>
      </w:r>
      <w:r>
        <w:rPr>
          <w:sz w:val="20"/>
        </w:rPr>
        <w:t>of all risk  from </w:t>
      </w:r>
      <w:r>
        <w:rPr>
          <w:spacing w:val="-2"/>
          <w:sz w:val="20"/>
        </w:rPr>
        <w:t>any </w:t>
      </w:r>
      <w:r>
        <w:rPr>
          <w:sz w:val="20"/>
        </w:rPr>
        <w:t>cause, </w:t>
      </w:r>
      <w:r>
        <w:rPr>
          <w:spacing w:val="-3"/>
          <w:sz w:val="20"/>
        </w:rPr>
        <w:t>including </w:t>
      </w:r>
      <w:r>
        <w:rPr>
          <w:sz w:val="20"/>
        </w:rPr>
        <w:t>trees, is not practical. The very </w:t>
      </w:r>
      <w:r>
        <w:rPr>
          <w:spacing w:val="-3"/>
          <w:sz w:val="20"/>
        </w:rPr>
        <w:t>small </w:t>
      </w:r>
      <w:r>
        <w:rPr>
          <w:sz w:val="20"/>
        </w:rPr>
        <w:t>risk of physical harm to persons that the total population of trees represent is outweighed by the benefits that the</w:t>
      </w:r>
      <w:r>
        <w:rPr>
          <w:spacing w:val="9"/>
          <w:sz w:val="20"/>
        </w:rPr>
        <w:t> </w:t>
      </w:r>
      <w:r>
        <w:rPr>
          <w:sz w:val="20"/>
        </w:rPr>
        <w:t>trees</w:t>
      </w:r>
      <w:r>
        <w:rPr>
          <w:spacing w:val="9"/>
          <w:sz w:val="20"/>
        </w:rPr>
        <w:t> </w:t>
      </w:r>
      <w:r>
        <w:rPr>
          <w:spacing w:val="-3"/>
          <w:sz w:val="20"/>
        </w:rPr>
        <w:t>provide.</w:t>
      </w:r>
      <w:r>
        <w:rPr>
          <w:spacing w:val="9"/>
          <w:sz w:val="20"/>
        </w:rPr>
        <w:t> </w:t>
      </w:r>
      <w:r>
        <w:rPr>
          <w:sz w:val="20"/>
        </w:rPr>
        <w:t>Overall</w:t>
      </w:r>
      <w:r>
        <w:rPr>
          <w:spacing w:val="9"/>
          <w:sz w:val="20"/>
        </w:rPr>
        <w:t> </w:t>
      </w:r>
      <w:r>
        <w:rPr>
          <w:sz w:val="20"/>
        </w:rPr>
        <w:t>risk</w:t>
      </w:r>
      <w:r>
        <w:rPr>
          <w:spacing w:val="9"/>
          <w:sz w:val="20"/>
        </w:rPr>
        <w:t> </w:t>
      </w:r>
      <w:r>
        <w:rPr>
          <w:sz w:val="20"/>
        </w:rPr>
        <w:t>from</w:t>
      </w:r>
      <w:r>
        <w:rPr>
          <w:spacing w:val="9"/>
          <w:sz w:val="20"/>
        </w:rPr>
        <w:t> </w:t>
      </w:r>
      <w:r>
        <w:rPr>
          <w:sz w:val="20"/>
        </w:rPr>
        <w:t>trees</w:t>
      </w:r>
      <w:r>
        <w:rPr>
          <w:spacing w:val="9"/>
          <w:sz w:val="20"/>
        </w:rPr>
        <w:t> </w:t>
      </w:r>
      <w:r>
        <w:rPr>
          <w:sz w:val="20"/>
        </w:rPr>
        <w:t>is</w:t>
      </w:r>
      <w:r>
        <w:rPr>
          <w:spacing w:val="9"/>
          <w:sz w:val="20"/>
        </w:rPr>
        <w:t> </w:t>
      </w:r>
      <w:r>
        <w:rPr>
          <w:sz w:val="20"/>
        </w:rPr>
        <w:t>extremely</w:t>
      </w:r>
      <w:r>
        <w:rPr>
          <w:spacing w:val="9"/>
          <w:sz w:val="20"/>
        </w:rPr>
        <w:t> </w:t>
      </w:r>
      <w:r>
        <w:rPr>
          <w:spacing w:val="-6"/>
          <w:sz w:val="20"/>
        </w:rPr>
        <w:t>low.</w:t>
      </w:r>
      <w:r>
        <w:rPr>
          <w:spacing w:val="-6"/>
          <w:position w:val="7"/>
          <w:sz w:val="11"/>
        </w:rPr>
        <w:t>159</w:t>
      </w:r>
    </w:p>
    <w:p>
      <w:pPr>
        <w:pStyle w:val="ListParagraph"/>
        <w:numPr>
          <w:ilvl w:val="1"/>
          <w:numId w:val="16"/>
        </w:numPr>
        <w:tabs>
          <w:tab w:pos="2381" w:val="left" w:leader="none"/>
        </w:tabs>
        <w:spacing w:line="242" w:lineRule="auto" w:before="115" w:after="0"/>
        <w:ind w:left="2381" w:right="1881" w:hanging="794"/>
        <w:jc w:val="both"/>
        <w:rPr>
          <w:sz w:val="21"/>
        </w:rPr>
      </w:pPr>
      <w:r>
        <w:rPr>
          <w:spacing w:val="-3"/>
          <w:w w:val="105"/>
          <w:sz w:val="21"/>
        </w:rPr>
        <w:t>Many</w:t>
      </w:r>
      <w:r>
        <w:rPr>
          <w:spacing w:val="-7"/>
          <w:w w:val="105"/>
          <w:sz w:val="21"/>
        </w:rPr>
        <w:t> </w:t>
      </w:r>
      <w:r>
        <w:rPr>
          <w:w w:val="105"/>
          <w:sz w:val="21"/>
        </w:rPr>
        <w:t>arborists</w:t>
      </w:r>
      <w:r>
        <w:rPr>
          <w:spacing w:val="-7"/>
          <w:w w:val="105"/>
          <w:sz w:val="21"/>
        </w:rPr>
        <w:t> </w:t>
      </w:r>
      <w:r>
        <w:rPr>
          <w:w w:val="105"/>
          <w:sz w:val="21"/>
        </w:rPr>
        <w:t>suggest</w:t>
      </w:r>
      <w:r>
        <w:rPr>
          <w:spacing w:val="-7"/>
          <w:w w:val="105"/>
          <w:sz w:val="21"/>
        </w:rPr>
        <w:t> </w:t>
      </w:r>
      <w:r>
        <w:rPr>
          <w:spacing w:val="-3"/>
          <w:w w:val="105"/>
          <w:sz w:val="21"/>
        </w:rPr>
        <w:t>that</w:t>
      </w:r>
      <w:r>
        <w:rPr>
          <w:spacing w:val="-7"/>
          <w:w w:val="105"/>
          <w:sz w:val="21"/>
        </w:rPr>
        <w:t> </w:t>
      </w:r>
      <w:r>
        <w:rPr>
          <w:w w:val="105"/>
          <w:sz w:val="21"/>
        </w:rPr>
        <w:t>it</w:t>
      </w:r>
      <w:r>
        <w:rPr>
          <w:spacing w:val="-7"/>
          <w:w w:val="105"/>
          <w:sz w:val="21"/>
        </w:rPr>
        <w:t> </w:t>
      </w:r>
      <w:r>
        <w:rPr>
          <w:w w:val="105"/>
          <w:sz w:val="21"/>
        </w:rPr>
        <w:t>is</w:t>
      </w:r>
      <w:r>
        <w:rPr>
          <w:spacing w:val="-7"/>
          <w:w w:val="105"/>
          <w:sz w:val="21"/>
        </w:rPr>
        <w:t> </w:t>
      </w:r>
      <w:r>
        <w:rPr>
          <w:spacing w:val="-2"/>
          <w:w w:val="105"/>
          <w:sz w:val="21"/>
        </w:rPr>
        <w:t>common</w:t>
      </w:r>
      <w:r>
        <w:rPr>
          <w:spacing w:val="-7"/>
          <w:w w:val="105"/>
          <w:sz w:val="21"/>
        </w:rPr>
        <w:t> </w:t>
      </w:r>
      <w:r>
        <w:rPr>
          <w:spacing w:val="-3"/>
          <w:w w:val="105"/>
          <w:sz w:val="21"/>
        </w:rPr>
        <w:t>for</w:t>
      </w:r>
      <w:r>
        <w:rPr>
          <w:spacing w:val="-7"/>
          <w:w w:val="105"/>
          <w:sz w:val="21"/>
        </w:rPr>
        <w:t> </w:t>
      </w:r>
      <w:r>
        <w:rPr>
          <w:w w:val="105"/>
          <w:sz w:val="21"/>
        </w:rPr>
        <w:t>people</w:t>
      </w:r>
      <w:r>
        <w:rPr>
          <w:spacing w:val="-7"/>
          <w:w w:val="105"/>
          <w:sz w:val="21"/>
        </w:rPr>
        <w:t> </w:t>
      </w:r>
      <w:r>
        <w:rPr>
          <w:spacing w:val="-3"/>
          <w:w w:val="105"/>
          <w:sz w:val="21"/>
        </w:rPr>
        <w:t>to</w:t>
      </w:r>
      <w:r>
        <w:rPr>
          <w:spacing w:val="-7"/>
          <w:w w:val="105"/>
          <w:sz w:val="21"/>
        </w:rPr>
        <w:t> </w:t>
      </w:r>
      <w:r>
        <w:rPr>
          <w:w w:val="105"/>
          <w:sz w:val="21"/>
        </w:rPr>
        <w:t>believe</w:t>
      </w:r>
      <w:r>
        <w:rPr>
          <w:spacing w:val="-7"/>
          <w:w w:val="105"/>
          <w:sz w:val="21"/>
        </w:rPr>
        <w:t> </w:t>
      </w:r>
      <w:r>
        <w:rPr>
          <w:spacing w:val="-3"/>
          <w:w w:val="105"/>
          <w:sz w:val="21"/>
        </w:rPr>
        <w:t>that</w:t>
      </w:r>
      <w:r>
        <w:rPr>
          <w:spacing w:val="-7"/>
          <w:w w:val="105"/>
          <w:sz w:val="21"/>
        </w:rPr>
        <w:t> </w:t>
      </w:r>
      <w:r>
        <w:rPr>
          <w:w w:val="105"/>
          <w:sz w:val="21"/>
        </w:rPr>
        <w:t>trees</w:t>
      </w:r>
      <w:r>
        <w:rPr>
          <w:spacing w:val="-7"/>
          <w:w w:val="105"/>
          <w:sz w:val="21"/>
        </w:rPr>
        <w:t> </w:t>
      </w:r>
      <w:r>
        <w:rPr>
          <w:w w:val="105"/>
          <w:sz w:val="21"/>
        </w:rPr>
        <w:t>pose</w:t>
      </w:r>
      <w:r>
        <w:rPr>
          <w:spacing w:val="-7"/>
          <w:w w:val="105"/>
          <w:sz w:val="21"/>
        </w:rPr>
        <w:t> </w:t>
      </w:r>
      <w:r>
        <w:rPr>
          <w:w w:val="105"/>
          <w:sz w:val="21"/>
        </w:rPr>
        <w:t>a</w:t>
      </w:r>
      <w:r>
        <w:rPr>
          <w:spacing w:val="-7"/>
          <w:w w:val="105"/>
          <w:sz w:val="21"/>
        </w:rPr>
        <w:t> </w:t>
      </w:r>
      <w:r>
        <w:rPr>
          <w:w w:val="105"/>
          <w:sz w:val="21"/>
        </w:rPr>
        <w:t>risk</w:t>
      </w:r>
      <w:r>
        <w:rPr>
          <w:spacing w:val="-7"/>
          <w:w w:val="105"/>
          <w:sz w:val="21"/>
        </w:rPr>
        <w:t> </w:t>
      </w:r>
      <w:r>
        <w:rPr>
          <w:w w:val="105"/>
          <w:sz w:val="21"/>
        </w:rPr>
        <w:t>or </w:t>
      </w:r>
      <w:r>
        <w:rPr>
          <w:spacing w:val="-3"/>
          <w:w w:val="105"/>
          <w:sz w:val="21"/>
        </w:rPr>
        <w:t>are</w:t>
      </w:r>
      <w:r>
        <w:rPr>
          <w:spacing w:val="-7"/>
          <w:w w:val="105"/>
          <w:sz w:val="21"/>
        </w:rPr>
        <w:t> </w:t>
      </w:r>
      <w:r>
        <w:rPr>
          <w:w w:val="105"/>
          <w:sz w:val="21"/>
        </w:rPr>
        <w:t>at</w:t>
      </w:r>
      <w:r>
        <w:rPr>
          <w:spacing w:val="-7"/>
          <w:w w:val="105"/>
          <w:sz w:val="21"/>
        </w:rPr>
        <w:t> </w:t>
      </w:r>
      <w:r>
        <w:rPr>
          <w:spacing w:val="-3"/>
          <w:w w:val="105"/>
          <w:sz w:val="21"/>
        </w:rPr>
        <w:t>fault</w:t>
      </w:r>
      <w:r>
        <w:rPr>
          <w:spacing w:val="-7"/>
          <w:w w:val="105"/>
          <w:sz w:val="21"/>
        </w:rPr>
        <w:t> </w:t>
      </w:r>
      <w:r>
        <w:rPr>
          <w:w w:val="105"/>
          <w:sz w:val="21"/>
        </w:rPr>
        <w:t>without</w:t>
      </w:r>
      <w:r>
        <w:rPr>
          <w:spacing w:val="-7"/>
          <w:w w:val="105"/>
          <w:sz w:val="21"/>
        </w:rPr>
        <w:t> </w:t>
      </w:r>
      <w:r>
        <w:rPr>
          <w:spacing w:val="-3"/>
          <w:w w:val="105"/>
          <w:sz w:val="21"/>
        </w:rPr>
        <w:t>any</w:t>
      </w:r>
      <w:r>
        <w:rPr>
          <w:spacing w:val="-7"/>
          <w:w w:val="105"/>
          <w:sz w:val="21"/>
        </w:rPr>
        <w:t> </w:t>
      </w:r>
      <w:r>
        <w:rPr>
          <w:spacing w:val="-3"/>
          <w:w w:val="105"/>
          <w:sz w:val="21"/>
        </w:rPr>
        <w:t>evidence.</w:t>
      </w:r>
      <w:r>
        <w:rPr>
          <w:spacing w:val="-7"/>
          <w:w w:val="105"/>
          <w:sz w:val="21"/>
        </w:rPr>
        <w:t> </w:t>
      </w:r>
      <w:r>
        <w:rPr>
          <w:w w:val="105"/>
          <w:sz w:val="21"/>
        </w:rPr>
        <w:t>The</w:t>
      </w:r>
      <w:r>
        <w:rPr>
          <w:spacing w:val="-6"/>
          <w:w w:val="105"/>
          <w:sz w:val="21"/>
        </w:rPr>
        <w:t> </w:t>
      </w:r>
      <w:r>
        <w:rPr>
          <w:w w:val="105"/>
          <w:sz w:val="21"/>
        </w:rPr>
        <w:t>perception</w:t>
      </w:r>
      <w:r>
        <w:rPr>
          <w:spacing w:val="-7"/>
          <w:w w:val="105"/>
          <w:sz w:val="21"/>
        </w:rPr>
        <w:t> </w:t>
      </w:r>
      <w:r>
        <w:rPr>
          <w:w w:val="105"/>
          <w:sz w:val="21"/>
        </w:rPr>
        <w:t>about</w:t>
      </w:r>
      <w:r>
        <w:rPr>
          <w:spacing w:val="-7"/>
          <w:w w:val="105"/>
          <w:sz w:val="21"/>
        </w:rPr>
        <w:t> </w:t>
      </w:r>
      <w:r>
        <w:rPr>
          <w:w w:val="105"/>
          <w:sz w:val="21"/>
        </w:rPr>
        <w:t>the</w:t>
      </w:r>
      <w:r>
        <w:rPr>
          <w:spacing w:val="-7"/>
          <w:w w:val="105"/>
          <w:sz w:val="21"/>
        </w:rPr>
        <w:t> </w:t>
      </w:r>
      <w:r>
        <w:rPr>
          <w:w w:val="105"/>
          <w:sz w:val="21"/>
        </w:rPr>
        <w:t>tree</w:t>
      </w:r>
      <w:r>
        <w:rPr>
          <w:spacing w:val="-7"/>
          <w:w w:val="105"/>
          <w:sz w:val="21"/>
        </w:rPr>
        <w:t> </w:t>
      </w:r>
      <w:r>
        <w:rPr>
          <w:w w:val="105"/>
          <w:sz w:val="21"/>
        </w:rPr>
        <w:t>often</w:t>
      </w:r>
      <w:r>
        <w:rPr>
          <w:spacing w:val="-7"/>
          <w:w w:val="105"/>
          <w:sz w:val="21"/>
        </w:rPr>
        <w:t> </w:t>
      </w:r>
      <w:r>
        <w:rPr>
          <w:w w:val="105"/>
          <w:sz w:val="21"/>
        </w:rPr>
        <w:t>does</w:t>
      </w:r>
      <w:r>
        <w:rPr>
          <w:spacing w:val="-7"/>
          <w:w w:val="105"/>
          <w:sz w:val="21"/>
        </w:rPr>
        <w:t> </w:t>
      </w:r>
      <w:r>
        <w:rPr>
          <w:spacing w:val="-2"/>
          <w:w w:val="105"/>
          <w:sz w:val="21"/>
        </w:rPr>
        <w:t>not</w:t>
      </w:r>
      <w:r>
        <w:rPr>
          <w:spacing w:val="-6"/>
          <w:w w:val="105"/>
          <w:sz w:val="21"/>
        </w:rPr>
        <w:t> </w:t>
      </w:r>
      <w:r>
        <w:rPr>
          <w:spacing w:val="-3"/>
          <w:w w:val="105"/>
          <w:sz w:val="21"/>
        </w:rPr>
        <w:t>accord </w:t>
      </w:r>
      <w:r>
        <w:rPr>
          <w:w w:val="105"/>
          <w:sz w:val="21"/>
        </w:rPr>
        <w:t>with tree biology or </w:t>
      </w:r>
      <w:r>
        <w:rPr>
          <w:spacing w:val="-5"/>
          <w:w w:val="105"/>
          <w:sz w:val="21"/>
        </w:rPr>
        <w:t>arboriculture.160 </w:t>
      </w:r>
      <w:r>
        <w:rPr>
          <w:w w:val="105"/>
          <w:sz w:val="21"/>
        </w:rPr>
        <w:t>Arborist Ben </w:t>
      </w:r>
      <w:r>
        <w:rPr>
          <w:spacing w:val="-3"/>
          <w:w w:val="105"/>
          <w:sz w:val="21"/>
        </w:rPr>
        <w:t>Kenyon noted that many </w:t>
      </w:r>
      <w:r>
        <w:rPr>
          <w:w w:val="105"/>
          <w:sz w:val="21"/>
        </w:rPr>
        <w:t>engineers and plumbers wrongly attribute structural or </w:t>
      </w:r>
      <w:r>
        <w:rPr>
          <w:spacing w:val="-3"/>
          <w:w w:val="105"/>
          <w:sz w:val="21"/>
        </w:rPr>
        <w:t>plumbing </w:t>
      </w:r>
      <w:r>
        <w:rPr>
          <w:w w:val="105"/>
          <w:sz w:val="21"/>
        </w:rPr>
        <w:t>damage </w:t>
      </w:r>
      <w:r>
        <w:rPr>
          <w:spacing w:val="-3"/>
          <w:w w:val="105"/>
          <w:sz w:val="21"/>
        </w:rPr>
        <w:t>to neighbouring </w:t>
      </w:r>
      <w:r>
        <w:rPr>
          <w:w w:val="105"/>
          <w:sz w:val="21"/>
        </w:rPr>
        <w:t>trees, </w:t>
      </w:r>
      <w:r>
        <w:rPr>
          <w:spacing w:val="-3"/>
          <w:w w:val="105"/>
          <w:sz w:val="21"/>
        </w:rPr>
        <w:t>thus fuelling people’s misplaced perceptions </w:t>
      </w:r>
      <w:r>
        <w:rPr>
          <w:w w:val="105"/>
          <w:sz w:val="21"/>
        </w:rPr>
        <w:t>and</w:t>
      </w:r>
      <w:r>
        <w:rPr>
          <w:spacing w:val="44"/>
          <w:w w:val="105"/>
          <w:sz w:val="21"/>
        </w:rPr>
        <w:t> </w:t>
      </w:r>
      <w:r>
        <w:rPr>
          <w:spacing w:val="-5"/>
          <w:w w:val="105"/>
          <w:sz w:val="21"/>
        </w:rPr>
        <w:t>disputes.</w:t>
      </w:r>
      <w:r>
        <w:rPr>
          <w:spacing w:val="-5"/>
          <w:w w:val="105"/>
          <w:position w:val="7"/>
          <w:sz w:val="12"/>
        </w:rPr>
        <w:t>161</w:t>
      </w:r>
    </w:p>
    <w:p>
      <w:pPr>
        <w:pStyle w:val="ListParagraph"/>
        <w:numPr>
          <w:ilvl w:val="1"/>
          <w:numId w:val="16"/>
        </w:numPr>
        <w:tabs>
          <w:tab w:pos="2380" w:val="left" w:leader="none"/>
          <w:tab w:pos="2381" w:val="left" w:leader="none"/>
        </w:tabs>
        <w:spacing w:line="242" w:lineRule="auto" w:before="126" w:after="0"/>
        <w:ind w:left="2381" w:right="1625" w:hanging="794"/>
        <w:jc w:val="left"/>
        <w:rPr>
          <w:sz w:val="21"/>
        </w:rPr>
      </w:pPr>
      <w:r>
        <w:rPr>
          <w:w w:val="105"/>
          <w:sz w:val="21"/>
        </w:rPr>
        <w:t>A</w:t>
      </w:r>
      <w:r>
        <w:rPr>
          <w:spacing w:val="-11"/>
          <w:w w:val="105"/>
          <w:sz w:val="21"/>
        </w:rPr>
        <w:t> </w:t>
      </w:r>
      <w:r>
        <w:rPr>
          <w:w w:val="105"/>
          <w:sz w:val="21"/>
        </w:rPr>
        <w:t>further</w:t>
      </w:r>
      <w:r>
        <w:rPr>
          <w:spacing w:val="-10"/>
          <w:w w:val="105"/>
          <w:sz w:val="21"/>
        </w:rPr>
        <w:t> </w:t>
      </w:r>
      <w:r>
        <w:rPr>
          <w:w w:val="105"/>
          <w:sz w:val="21"/>
        </w:rPr>
        <w:t>issue</w:t>
      </w:r>
      <w:r>
        <w:rPr>
          <w:spacing w:val="-10"/>
          <w:w w:val="105"/>
          <w:sz w:val="21"/>
        </w:rPr>
        <w:t> </w:t>
      </w:r>
      <w:r>
        <w:rPr>
          <w:w w:val="105"/>
          <w:sz w:val="21"/>
        </w:rPr>
        <w:t>can</w:t>
      </w:r>
      <w:r>
        <w:rPr>
          <w:spacing w:val="-10"/>
          <w:w w:val="105"/>
          <w:sz w:val="21"/>
        </w:rPr>
        <w:t> </w:t>
      </w:r>
      <w:r>
        <w:rPr>
          <w:w w:val="105"/>
          <w:sz w:val="21"/>
        </w:rPr>
        <w:t>arise</w:t>
      </w:r>
      <w:r>
        <w:rPr>
          <w:spacing w:val="-11"/>
          <w:w w:val="105"/>
          <w:sz w:val="21"/>
        </w:rPr>
        <w:t> </w:t>
      </w:r>
      <w:r>
        <w:rPr>
          <w:spacing w:val="-3"/>
          <w:w w:val="105"/>
          <w:sz w:val="21"/>
        </w:rPr>
        <w:t>where,</w:t>
      </w:r>
      <w:r>
        <w:rPr>
          <w:spacing w:val="-10"/>
          <w:w w:val="105"/>
          <w:sz w:val="21"/>
        </w:rPr>
        <w:t> </w:t>
      </w:r>
      <w:r>
        <w:rPr>
          <w:w w:val="105"/>
          <w:sz w:val="21"/>
        </w:rPr>
        <w:t>despite</w:t>
      </w:r>
      <w:r>
        <w:rPr>
          <w:spacing w:val="-10"/>
          <w:w w:val="105"/>
          <w:sz w:val="21"/>
        </w:rPr>
        <w:t> </w:t>
      </w:r>
      <w:r>
        <w:rPr>
          <w:w w:val="105"/>
          <w:sz w:val="21"/>
        </w:rPr>
        <w:t>an</w:t>
      </w:r>
      <w:r>
        <w:rPr>
          <w:spacing w:val="-10"/>
          <w:w w:val="105"/>
          <w:sz w:val="21"/>
        </w:rPr>
        <w:t> </w:t>
      </w:r>
      <w:r>
        <w:rPr>
          <w:w w:val="105"/>
          <w:sz w:val="21"/>
        </w:rPr>
        <w:t>arborist’s</w:t>
      </w:r>
      <w:r>
        <w:rPr>
          <w:spacing w:val="-11"/>
          <w:w w:val="105"/>
          <w:sz w:val="21"/>
        </w:rPr>
        <w:t> </w:t>
      </w:r>
      <w:r>
        <w:rPr>
          <w:w w:val="105"/>
          <w:sz w:val="21"/>
        </w:rPr>
        <w:t>assessment</w:t>
      </w:r>
      <w:r>
        <w:rPr>
          <w:spacing w:val="-10"/>
          <w:w w:val="105"/>
          <w:sz w:val="21"/>
        </w:rPr>
        <w:t> </w:t>
      </w:r>
      <w:r>
        <w:rPr>
          <w:spacing w:val="-3"/>
          <w:w w:val="105"/>
          <w:sz w:val="21"/>
        </w:rPr>
        <w:t>that</w:t>
      </w:r>
      <w:r>
        <w:rPr>
          <w:spacing w:val="-10"/>
          <w:w w:val="105"/>
          <w:sz w:val="21"/>
        </w:rPr>
        <w:t> </w:t>
      </w:r>
      <w:r>
        <w:rPr>
          <w:w w:val="105"/>
          <w:sz w:val="21"/>
        </w:rPr>
        <w:t>a</w:t>
      </w:r>
      <w:r>
        <w:rPr>
          <w:spacing w:val="-10"/>
          <w:w w:val="105"/>
          <w:sz w:val="21"/>
        </w:rPr>
        <w:t> </w:t>
      </w:r>
      <w:r>
        <w:rPr>
          <w:w w:val="105"/>
          <w:sz w:val="21"/>
        </w:rPr>
        <w:t>tree</w:t>
      </w:r>
      <w:r>
        <w:rPr>
          <w:spacing w:val="-11"/>
          <w:w w:val="105"/>
          <w:sz w:val="21"/>
        </w:rPr>
        <w:t> </w:t>
      </w:r>
      <w:r>
        <w:rPr>
          <w:w w:val="105"/>
          <w:sz w:val="21"/>
        </w:rPr>
        <w:t>poses</w:t>
      </w:r>
      <w:r>
        <w:rPr>
          <w:spacing w:val="-10"/>
          <w:w w:val="105"/>
          <w:sz w:val="21"/>
        </w:rPr>
        <w:t> </w:t>
      </w:r>
      <w:r>
        <w:rPr>
          <w:w w:val="105"/>
          <w:sz w:val="21"/>
        </w:rPr>
        <w:t>no</w:t>
      </w:r>
      <w:r>
        <w:rPr>
          <w:spacing w:val="-10"/>
          <w:w w:val="105"/>
          <w:sz w:val="21"/>
        </w:rPr>
        <w:t> </w:t>
      </w:r>
      <w:r>
        <w:rPr>
          <w:w w:val="105"/>
          <w:sz w:val="21"/>
        </w:rPr>
        <w:t>risk of damage or </w:t>
      </w:r>
      <w:r>
        <w:rPr>
          <w:spacing w:val="-3"/>
          <w:w w:val="105"/>
          <w:sz w:val="21"/>
        </w:rPr>
        <w:t>harm, </w:t>
      </w:r>
      <w:r>
        <w:rPr>
          <w:w w:val="105"/>
          <w:sz w:val="21"/>
        </w:rPr>
        <w:t>people </w:t>
      </w:r>
      <w:r>
        <w:rPr>
          <w:spacing w:val="-3"/>
          <w:w w:val="105"/>
          <w:sz w:val="21"/>
        </w:rPr>
        <w:t>insist </w:t>
      </w:r>
      <w:r>
        <w:rPr>
          <w:w w:val="105"/>
          <w:sz w:val="21"/>
        </w:rPr>
        <w:t>on </w:t>
      </w:r>
      <w:r>
        <w:rPr>
          <w:spacing w:val="-3"/>
          <w:w w:val="105"/>
          <w:sz w:val="21"/>
        </w:rPr>
        <w:t>pruning </w:t>
      </w:r>
      <w:r>
        <w:rPr>
          <w:w w:val="105"/>
          <w:sz w:val="21"/>
        </w:rPr>
        <w:t>or cutting off </w:t>
      </w:r>
      <w:r>
        <w:rPr>
          <w:spacing w:val="-3"/>
          <w:w w:val="105"/>
          <w:sz w:val="21"/>
        </w:rPr>
        <w:t>overhanging branches thereby damaging </w:t>
      </w:r>
      <w:r>
        <w:rPr>
          <w:w w:val="105"/>
          <w:sz w:val="21"/>
        </w:rPr>
        <w:t>the </w:t>
      </w:r>
      <w:r>
        <w:rPr>
          <w:spacing w:val="-3"/>
          <w:w w:val="105"/>
          <w:sz w:val="21"/>
        </w:rPr>
        <w:t>health </w:t>
      </w:r>
      <w:r>
        <w:rPr>
          <w:w w:val="105"/>
          <w:sz w:val="21"/>
        </w:rPr>
        <w:t>of a tree and </w:t>
      </w:r>
      <w:r>
        <w:rPr>
          <w:spacing w:val="-3"/>
          <w:w w:val="105"/>
          <w:sz w:val="21"/>
        </w:rPr>
        <w:t>creating </w:t>
      </w:r>
      <w:r>
        <w:rPr>
          <w:w w:val="105"/>
          <w:sz w:val="21"/>
        </w:rPr>
        <w:t>an </w:t>
      </w:r>
      <w:r>
        <w:rPr>
          <w:spacing w:val="-3"/>
          <w:w w:val="105"/>
          <w:sz w:val="21"/>
        </w:rPr>
        <w:t>increased risk. </w:t>
      </w:r>
      <w:r>
        <w:rPr>
          <w:w w:val="105"/>
          <w:sz w:val="21"/>
        </w:rPr>
        <w:t>Dr Moore explained </w:t>
      </w:r>
      <w:r>
        <w:rPr>
          <w:spacing w:val="-3"/>
          <w:w w:val="105"/>
          <w:sz w:val="21"/>
        </w:rPr>
        <w:t>that pruning </w:t>
      </w:r>
      <w:r>
        <w:rPr>
          <w:w w:val="105"/>
          <w:sz w:val="21"/>
        </w:rPr>
        <w:t>a </w:t>
      </w:r>
      <w:r>
        <w:rPr>
          <w:spacing w:val="-3"/>
          <w:w w:val="105"/>
          <w:sz w:val="21"/>
        </w:rPr>
        <w:t>branch </w:t>
      </w:r>
      <w:r>
        <w:rPr>
          <w:w w:val="105"/>
          <w:sz w:val="21"/>
        </w:rPr>
        <w:t>results in </w:t>
      </w:r>
      <w:r>
        <w:rPr>
          <w:spacing w:val="-3"/>
          <w:w w:val="105"/>
          <w:sz w:val="21"/>
        </w:rPr>
        <w:t>changes to </w:t>
      </w:r>
      <w:r>
        <w:rPr>
          <w:w w:val="105"/>
          <w:sz w:val="21"/>
        </w:rPr>
        <w:t>the dynamic </w:t>
      </w:r>
      <w:r>
        <w:rPr>
          <w:spacing w:val="-3"/>
          <w:w w:val="105"/>
          <w:sz w:val="21"/>
        </w:rPr>
        <w:t>forces </w:t>
      </w:r>
      <w:r>
        <w:rPr>
          <w:w w:val="105"/>
          <w:sz w:val="21"/>
        </w:rPr>
        <w:t>of a </w:t>
      </w:r>
      <w:r>
        <w:rPr>
          <w:spacing w:val="-3"/>
          <w:w w:val="105"/>
          <w:sz w:val="21"/>
        </w:rPr>
        <w:t>tree, </w:t>
      </w:r>
      <w:r>
        <w:rPr>
          <w:w w:val="105"/>
          <w:sz w:val="21"/>
        </w:rPr>
        <w:t>which </w:t>
      </w:r>
      <w:r>
        <w:rPr>
          <w:spacing w:val="-3"/>
          <w:w w:val="105"/>
          <w:sz w:val="21"/>
        </w:rPr>
        <w:t>means </w:t>
      </w:r>
      <w:r>
        <w:rPr>
          <w:w w:val="105"/>
          <w:sz w:val="21"/>
        </w:rPr>
        <w:t>it </w:t>
      </w:r>
      <w:r>
        <w:rPr>
          <w:spacing w:val="-3"/>
          <w:w w:val="105"/>
          <w:sz w:val="21"/>
        </w:rPr>
        <w:t>may </w:t>
      </w:r>
      <w:r>
        <w:rPr>
          <w:w w:val="105"/>
          <w:sz w:val="21"/>
        </w:rPr>
        <w:t>shed a </w:t>
      </w:r>
      <w:r>
        <w:rPr>
          <w:spacing w:val="-3"/>
          <w:w w:val="105"/>
          <w:sz w:val="21"/>
        </w:rPr>
        <w:t>branch elsewhere. </w:t>
      </w:r>
      <w:r>
        <w:rPr>
          <w:w w:val="105"/>
          <w:sz w:val="21"/>
        </w:rPr>
        <w:t>This risk </w:t>
      </w:r>
      <w:r>
        <w:rPr>
          <w:spacing w:val="-3"/>
          <w:w w:val="105"/>
          <w:sz w:val="21"/>
        </w:rPr>
        <w:t>may increase </w:t>
      </w:r>
      <w:r>
        <w:rPr>
          <w:w w:val="105"/>
          <w:sz w:val="21"/>
        </w:rPr>
        <w:t>if a </w:t>
      </w:r>
      <w:r>
        <w:rPr>
          <w:spacing w:val="-3"/>
          <w:w w:val="105"/>
          <w:sz w:val="21"/>
        </w:rPr>
        <w:t>neighbour </w:t>
      </w:r>
      <w:r>
        <w:rPr>
          <w:w w:val="105"/>
          <w:sz w:val="21"/>
        </w:rPr>
        <w:t>or a tree lopper without </w:t>
      </w:r>
      <w:r>
        <w:rPr>
          <w:spacing w:val="-3"/>
          <w:w w:val="105"/>
          <w:sz w:val="21"/>
        </w:rPr>
        <w:t>arboricultural </w:t>
      </w:r>
      <w:r>
        <w:rPr>
          <w:w w:val="105"/>
          <w:sz w:val="21"/>
        </w:rPr>
        <w:t>expertise cuts or prunes </w:t>
      </w:r>
      <w:r>
        <w:rPr>
          <w:spacing w:val="-3"/>
          <w:w w:val="105"/>
          <w:sz w:val="21"/>
        </w:rPr>
        <w:t>encroaching </w:t>
      </w:r>
      <w:r>
        <w:rPr>
          <w:w w:val="105"/>
          <w:sz w:val="21"/>
        </w:rPr>
        <w:t>tree parts</w:t>
      </w:r>
      <w:r>
        <w:rPr>
          <w:spacing w:val="1"/>
          <w:w w:val="105"/>
          <w:sz w:val="21"/>
        </w:rPr>
        <w:t> </w:t>
      </w:r>
      <w:r>
        <w:rPr>
          <w:spacing w:val="-5"/>
          <w:w w:val="105"/>
          <w:sz w:val="21"/>
        </w:rPr>
        <w:t>indiscriminately.</w:t>
      </w:r>
      <w:r>
        <w:rPr>
          <w:spacing w:val="-5"/>
          <w:w w:val="105"/>
          <w:position w:val="7"/>
          <w:sz w:val="12"/>
        </w:rPr>
        <w:t>162</w:t>
      </w:r>
    </w:p>
    <w:p>
      <w:pPr>
        <w:pStyle w:val="ListParagraph"/>
        <w:numPr>
          <w:ilvl w:val="1"/>
          <w:numId w:val="16"/>
        </w:numPr>
        <w:tabs>
          <w:tab w:pos="2381" w:val="left" w:leader="none"/>
          <w:tab w:pos="2382" w:val="left" w:leader="none"/>
        </w:tabs>
        <w:spacing w:line="242" w:lineRule="auto" w:before="127" w:after="0"/>
        <w:ind w:left="2381" w:right="1829" w:hanging="794"/>
        <w:jc w:val="left"/>
        <w:rPr>
          <w:sz w:val="21"/>
        </w:rPr>
      </w:pPr>
      <w:r>
        <w:rPr>
          <w:spacing w:val="-3"/>
          <w:sz w:val="21"/>
        </w:rPr>
        <w:t>Damage </w:t>
      </w:r>
      <w:r>
        <w:rPr>
          <w:sz w:val="21"/>
        </w:rPr>
        <w:t>attributed </w:t>
      </w:r>
      <w:r>
        <w:rPr>
          <w:spacing w:val="-3"/>
          <w:sz w:val="21"/>
        </w:rPr>
        <w:t>to </w:t>
      </w:r>
      <w:r>
        <w:rPr>
          <w:sz w:val="21"/>
        </w:rPr>
        <w:t>a </w:t>
      </w:r>
      <w:r>
        <w:rPr>
          <w:spacing w:val="-4"/>
          <w:sz w:val="21"/>
        </w:rPr>
        <w:t>tree’s  </w:t>
      </w:r>
      <w:r>
        <w:rPr>
          <w:sz w:val="21"/>
        </w:rPr>
        <w:t>root system was identified by arborists as the most </w:t>
      </w:r>
      <w:r>
        <w:rPr>
          <w:spacing w:val="-2"/>
          <w:sz w:val="21"/>
        </w:rPr>
        <w:t>common </w:t>
      </w:r>
      <w:r>
        <w:rPr>
          <w:sz w:val="21"/>
        </w:rPr>
        <w:t>example of community </w:t>
      </w:r>
      <w:r>
        <w:rPr>
          <w:spacing w:val="-3"/>
          <w:sz w:val="21"/>
        </w:rPr>
        <w:t>perceptions </w:t>
      </w:r>
      <w:r>
        <w:rPr>
          <w:sz w:val="21"/>
        </w:rPr>
        <w:t>and </w:t>
      </w:r>
      <w:r>
        <w:rPr>
          <w:spacing w:val="-3"/>
          <w:sz w:val="21"/>
        </w:rPr>
        <w:t>arboricultural </w:t>
      </w:r>
      <w:r>
        <w:rPr>
          <w:sz w:val="21"/>
        </w:rPr>
        <w:t>evidence being at odds. Arborist Dr Karen </w:t>
      </w:r>
      <w:r>
        <w:rPr>
          <w:spacing w:val="-3"/>
          <w:sz w:val="21"/>
        </w:rPr>
        <w:t>Smith</w:t>
      </w:r>
      <w:r>
        <w:rPr>
          <w:spacing w:val="35"/>
          <w:sz w:val="21"/>
        </w:rPr>
        <w:t> </w:t>
      </w:r>
      <w:r>
        <w:rPr>
          <w:sz w:val="21"/>
        </w:rPr>
        <w:t>noted:</w:t>
      </w:r>
    </w:p>
    <w:p>
      <w:pPr>
        <w:spacing w:line="254" w:lineRule="auto" w:before="132"/>
        <w:ind w:left="2834" w:right="1636" w:firstLine="0"/>
        <w:jc w:val="left"/>
        <w:rPr>
          <w:sz w:val="11"/>
        </w:rPr>
      </w:pPr>
      <w:r>
        <w:rPr>
          <w:w w:val="105"/>
          <w:sz w:val="20"/>
        </w:rPr>
        <w:t>There</w:t>
      </w:r>
      <w:r>
        <w:rPr>
          <w:spacing w:val="-11"/>
          <w:w w:val="105"/>
          <w:sz w:val="20"/>
        </w:rPr>
        <w:t> </w:t>
      </w:r>
      <w:r>
        <w:rPr>
          <w:w w:val="105"/>
          <w:sz w:val="20"/>
        </w:rPr>
        <w:t>are</w:t>
      </w:r>
      <w:r>
        <w:rPr>
          <w:spacing w:val="-11"/>
          <w:w w:val="105"/>
          <w:sz w:val="20"/>
        </w:rPr>
        <w:t> </w:t>
      </w:r>
      <w:r>
        <w:rPr>
          <w:w w:val="105"/>
          <w:sz w:val="20"/>
        </w:rPr>
        <w:t>also</w:t>
      </w:r>
      <w:r>
        <w:rPr>
          <w:spacing w:val="-10"/>
          <w:w w:val="105"/>
          <w:sz w:val="20"/>
        </w:rPr>
        <w:t> </w:t>
      </w:r>
      <w:r>
        <w:rPr>
          <w:spacing w:val="-3"/>
          <w:w w:val="105"/>
          <w:sz w:val="20"/>
        </w:rPr>
        <w:t>many</w:t>
      </w:r>
      <w:r>
        <w:rPr>
          <w:spacing w:val="-11"/>
          <w:w w:val="105"/>
          <w:sz w:val="20"/>
        </w:rPr>
        <w:t> </w:t>
      </w:r>
      <w:r>
        <w:rPr>
          <w:w w:val="105"/>
          <w:sz w:val="20"/>
        </w:rPr>
        <w:t>deeply</w:t>
      </w:r>
      <w:r>
        <w:rPr>
          <w:spacing w:val="-10"/>
          <w:w w:val="105"/>
          <w:sz w:val="20"/>
        </w:rPr>
        <w:t> </w:t>
      </w:r>
      <w:r>
        <w:rPr>
          <w:w w:val="105"/>
          <w:sz w:val="20"/>
        </w:rPr>
        <w:t>held</w:t>
      </w:r>
      <w:r>
        <w:rPr>
          <w:spacing w:val="-11"/>
          <w:w w:val="105"/>
          <w:sz w:val="20"/>
        </w:rPr>
        <w:t> </w:t>
      </w:r>
      <w:r>
        <w:rPr>
          <w:w w:val="105"/>
          <w:sz w:val="20"/>
        </w:rPr>
        <w:t>beliefs</w:t>
      </w:r>
      <w:r>
        <w:rPr>
          <w:spacing w:val="-10"/>
          <w:w w:val="105"/>
          <w:sz w:val="20"/>
        </w:rPr>
        <w:t> </w:t>
      </w:r>
      <w:r>
        <w:rPr>
          <w:w w:val="105"/>
          <w:sz w:val="20"/>
        </w:rPr>
        <w:t>about</w:t>
      </w:r>
      <w:r>
        <w:rPr>
          <w:spacing w:val="-11"/>
          <w:w w:val="105"/>
          <w:sz w:val="20"/>
        </w:rPr>
        <w:t> </w:t>
      </w:r>
      <w:r>
        <w:rPr>
          <w:w w:val="105"/>
          <w:sz w:val="20"/>
        </w:rPr>
        <w:t>trees</w:t>
      </w:r>
      <w:r>
        <w:rPr>
          <w:spacing w:val="-10"/>
          <w:w w:val="105"/>
          <w:sz w:val="20"/>
        </w:rPr>
        <w:t> </w:t>
      </w:r>
      <w:r>
        <w:rPr>
          <w:w w:val="105"/>
          <w:sz w:val="20"/>
        </w:rPr>
        <w:t>that</w:t>
      </w:r>
      <w:r>
        <w:rPr>
          <w:spacing w:val="-11"/>
          <w:w w:val="105"/>
          <w:sz w:val="20"/>
        </w:rPr>
        <w:t> </w:t>
      </w:r>
      <w:r>
        <w:rPr>
          <w:w w:val="105"/>
          <w:sz w:val="20"/>
        </w:rPr>
        <w:t>bear</w:t>
      </w:r>
      <w:r>
        <w:rPr>
          <w:spacing w:val="-11"/>
          <w:w w:val="105"/>
          <w:sz w:val="20"/>
        </w:rPr>
        <w:t> </w:t>
      </w:r>
      <w:r>
        <w:rPr>
          <w:w w:val="105"/>
          <w:sz w:val="20"/>
        </w:rPr>
        <w:t>no</w:t>
      </w:r>
      <w:r>
        <w:rPr>
          <w:spacing w:val="-10"/>
          <w:w w:val="105"/>
          <w:sz w:val="20"/>
        </w:rPr>
        <w:t> </w:t>
      </w:r>
      <w:r>
        <w:rPr>
          <w:w w:val="105"/>
          <w:sz w:val="20"/>
        </w:rPr>
        <w:t>rigorous</w:t>
      </w:r>
      <w:r>
        <w:rPr>
          <w:spacing w:val="-11"/>
          <w:w w:val="105"/>
          <w:sz w:val="20"/>
        </w:rPr>
        <w:t> </w:t>
      </w:r>
      <w:r>
        <w:rPr>
          <w:w w:val="105"/>
          <w:sz w:val="20"/>
        </w:rPr>
        <w:t>scrutiny</w:t>
      </w:r>
      <w:r>
        <w:rPr>
          <w:spacing w:val="-10"/>
          <w:w w:val="105"/>
          <w:sz w:val="20"/>
        </w:rPr>
        <w:t> </w:t>
      </w:r>
      <w:r>
        <w:rPr>
          <w:w w:val="105"/>
          <w:sz w:val="20"/>
        </w:rPr>
        <w:t>when our understanding of tree biology and arboriculture is used to examine them. This is especially so regarding tree</w:t>
      </w:r>
      <w:r>
        <w:rPr>
          <w:spacing w:val="19"/>
          <w:w w:val="105"/>
          <w:sz w:val="20"/>
        </w:rPr>
        <w:t> </w:t>
      </w:r>
      <w:r>
        <w:rPr>
          <w:spacing w:val="-3"/>
          <w:w w:val="105"/>
          <w:sz w:val="20"/>
        </w:rPr>
        <w:t>roots.</w:t>
      </w:r>
      <w:r>
        <w:rPr>
          <w:spacing w:val="-3"/>
          <w:w w:val="105"/>
          <w:position w:val="7"/>
          <w:sz w:val="11"/>
        </w:rPr>
        <w:t>163</w:t>
      </w: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368;mso-wrap-distance-left:0;mso-wrap-distance-right:0" from="79.370003pt,8.683271pt" to="515.905003pt,8.683271pt" stroked="true" strokeweight="1pt" strokecolor="#c9d2cb">
            <v:stroke dashstyle="solid"/>
            <w10:wrap type="topAndBottom"/>
          </v:line>
        </w:pict>
      </w:r>
    </w:p>
    <w:p>
      <w:pPr>
        <w:pStyle w:val="ListParagraph"/>
        <w:numPr>
          <w:ilvl w:val="0"/>
          <w:numId w:val="21"/>
        </w:numPr>
        <w:tabs>
          <w:tab w:pos="2380" w:val="left" w:leader="none"/>
          <w:tab w:pos="2382" w:val="left" w:leader="none"/>
        </w:tabs>
        <w:spacing w:line="240" w:lineRule="auto" w:before="117" w:after="0"/>
        <w:ind w:left="2381" w:right="1847" w:hanging="794"/>
        <w:jc w:val="left"/>
        <w:rPr>
          <w:sz w:val="13"/>
        </w:rPr>
      </w:pPr>
      <w:r>
        <w:rPr>
          <w:w w:val="105"/>
          <w:sz w:val="13"/>
        </w:rPr>
        <w:t>The falling of a branch from an otherwise healthy tree is commonly known as ‘sudden limb failure’ or ‘summer branch drop’: Richard W Harris,</w:t>
      </w:r>
      <w:r>
        <w:rPr>
          <w:spacing w:val="7"/>
          <w:w w:val="105"/>
          <w:sz w:val="13"/>
        </w:rPr>
        <w:t> </w:t>
      </w:r>
      <w:r>
        <w:rPr>
          <w:w w:val="105"/>
          <w:sz w:val="13"/>
        </w:rPr>
        <w:t>‘Summer</w:t>
      </w:r>
      <w:r>
        <w:rPr>
          <w:spacing w:val="7"/>
          <w:w w:val="105"/>
          <w:sz w:val="13"/>
        </w:rPr>
        <w:t> </w:t>
      </w:r>
      <w:r>
        <w:rPr>
          <w:w w:val="105"/>
          <w:sz w:val="13"/>
        </w:rPr>
        <w:t>Branch</w:t>
      </w:r>
      <w:r>
        <w:rPr>
          <w:spacing w:val="7"/>
          <w:w w:val="105"/>
          <w:sz w:val="13"/>
        </w:rPr>
        <w:t> </w:t>
      </w:r>
      <w:r>
        <w:rPr>
          <w:w w:val="105"/>
          <w:sz w:val="13"/>
        </w:rPr>
        <w:t>Drop’</w:t>
      </w:r>
      <w:r>
        <w:rPr>
          <w:spacing w:val="7"/>
          <w:w w:val="105"/>
          <w:sz w:val="13"/>
        </w:rPr>
        <w:t> </w:t>
      </w:r>
      <w:r>
        <w:rPr>
          <w:w w:val="105"/>
          <w:sz w:val="13"/>
        </w:rPr>
        <w:t>(1983)</w:t>
      </w:r>
      <w:r>
        <w:rPr>
          <w:spacing w:val="7"/>
          <w:w w:val="105"/>
          <w:sz w:val="13"/>
        </w:rPr>
        <w:t> </w:t>
      </w:r>
      <w:r>
        <w:rPr>
          <w:spacing w:val="4"/>
          <w:w w:val="105"/>
          <w:sz w:val="13"/>
        </w:rPr>
        <w:t>9(4)</w:t>
      </w:r>
      <w:r>
        <w:rPr>
          <w:spacing w:val="7"/>
          <w:w w:val="105"/>
          <w:sz w:val="13"/>
        </w:rPr>
        <w:t> </w:t>
      </w:r>
      <w:r>
        <w:rPr>
          <w:i/>
          <w:w w:val="105"/>
          <w:sz w:val="13"/>
        </w:rPr>
        <w:t>Journal</w:t>
      </w:r>
      <w:r>
        <w:rPr>
          <w:i/>
          <w:spacing w:val="7"/>
          <w:w w:val="105"/>
          <w:sz w:val="13"/>
        </w:rPr>
        <w:t> </w:t>
      </w:r>
      <w:r>
        <w:rPr>
          <w:i/>
          <w:w w:val="105"/>
          <w:sz w:val="13"/>
        </w:rPr>
        <w:t>of</w:t>
      </w:r>
      <w:r>
        <w:rPr>
          <w:i/>
          <w:spacing w:val="7"/>
          <w:w w:val="105"/>
          <w:sz w:val="13"/>
        </w:rPr>
        <w:t> </w:t>
      </w:r>
      <w:r>
        <w:rPr>
          <w:i/>
          <w:w w:val="105"/>
          <w:sz w:val="13"/>
        </w:rPr>
        <w:t>Arboriculture,</w:t>
      </w:r>
      <w:r>
        <w:rPr>
          <w:i/>
          <w:spacing w:val="7"/>
          <w:w w:val="105"/>
          <w:sz w:val="13"/>
        </w:rPr>
        <w:t> </w:t>
      </w:r>
      <w:r>
        <w:rPr>
          <w:spacing w:val="-5"/>
          <w:w w:val="105"/>
          <w:sz w:val="13"/>
        </w:rPr>
        <w:t>111–13;</w:t>
      </w:r>
      <w:r>
        <w:rPr>
          <w:spacing w:val="8"/>
          <w:w w:val="105"/>
          <w:sz w:val="13"/>
        </w:rPr>
        <w:t> </w:t>
      </w:r>
      <w:r>
        <w:rPr>
          <w:i/>
          <w:w w:val="105"/>
          <w:sz w:val="13"/>
        </w:rPr>
        <w:t>Huggett</w:t>
      </w:r>
      <w:r>
        <w:rPr>
          <w:i/>
          <w:spacing w:val="7"/>
          <w:w w:val="105"/>
          <w:sz w:val="13"/>
        </w:rPr>
        <w:t> </w:t>
      </w:r>
      <w:r>
        <w:rPr>
          <w:i/>
          <w:w w:val="105"/>
          <w:sz w:val="13"/>
        </w:rPr>
        <w:t>v</w:t>
      </w:r>
      <w:r>
        <w:rPr>
          <w:i/>
          <w:spacing w:val="7"/>
          <w:w w:val="105"/>
          <w:sz w:val="13"/>
        </w:rPr>
        <w:t> </w:t>
      </w:r>
      <w:r>
        <w:rPr>
          <w:i/>
          <w:w w:val="105"/>
          <w:sz w:val="13"/>
        </w:rPr>
        <w:t>Burrowes</w:t>
      </w:r>
      <w:r>
        <w:rPr>
          <w:i/>
          <w:spacing w:val="7"/>
          <w:w w:val="105"/>
          <w:sz w:val="13"/>
        </w:rPr>
        <w:t> </w:t>
      </w:r>
      <w:r>
        <w:rPr>
          <w:w w:val="105"/>
          <w:sz w:val="13"/>
        </w:rPr>
        <w:t>[2015]</w:t>
      </w:r>
      <w:r>
        <w:rPr>
          <w:spacing w:val="7"/>
          <w:w w:val="105"/>
          <w:sz w:val="13"/>
        </w:rPr>
        <w:t> </w:t>
      </w:r>
      <w:r>
        <w:rPr>
          <w:w w:val="105"/>
          <w:sz w:val="13"/>
        </w:rPr>
        <w:t>NSWLEC</w:t>
      </w:r>
      <w:r>
        <w:rPr>
          <w:spacing w:val="7"/>
          <w:w w:val="105"/>
          <w:sz w:val="13"/>
        </w:rPr>
        <w:t> </w:t>
      </w:r>
      <w:r>
        <w:rPr>
          <w:w w:val="105"/>
          <w:sz w:val="13"/>
        </w:rPr>
        <w:t>1057</w:t>
      </w:r>
      <w:r>
        <w:rPr>
          <w:spacing w:val="7"/>
          <w:w w:val="105"/>
          <w:sz w:val="13"/>
        </w:rPr>
        <w:t> </w:t>
      </w:r>
      <w:r>
        <w:rPr>
          <w:w w:val="105"/>
          <w:sz w:val="13"/>
        </w:rPr>
        <w:t>[12].</w:t>
      </w:r>
    </w:p>
    <w:p>
      <w:pPr>
        <w:pStyle w:val="ListParagraph"/>
        <w:numPr>
          <w:ilvl w:val="0"/>
          <w:numId w:val="21"/>
        </w:numPr>
        <w:tabs>
          <w:tab w:pos="2380" w:val="left" w:leader="none"/>
          <w:tab w:pos="2381" w:val="left" w:leader="none"/>
        </w:tabs>
        <w:spacing w:line="240" w:lineRule="auto" w:before="3" w:after="0"/>
        <w:ind w:left="2380" w:right="0" w:hanging="793"/>
        <w:jc w:val="left"/>
        <w:rPr>
          <w:sz w:val="13"/>
        </w:rPr>
      </w:pPr>
      <w:r>
        <w:rPr>
          <w:w w:val="105"/>
          <w:sz w:val="13"/>
        </w:rPr>
        <w:t>Consultation 2 </w:t>
      </w:r>
      <w:r>
        <w:rPr>
          <w:spacing w:val="3"/>
          <w:w w:val="105"/>
          <w:sz w:val="13"/>
        </w:rPr>
        <w:t>(Dr </w:t>
      </w:r>
      <w:r>
        <w:rPr>
          <w:w w:val="105"/>
          <w:sz w:val="13"/>
        </w:rPr>
        <w:t>Gregory Moore</w:t>
      </w:r>
      <w:r>
        <w:rPr>
          <w:spacing w:val="20"/>
          <w:w w:val="105"/>
          <w:sz w:val="13"/>
        </w:rPr>
        <w:t> </w:t>
      </w:r>
      <w:r>
        <w:rPr>
          <w:spacing w:val="2"/>
          <w:w w:val="105"/>
          <w:sz w:val="13"/>
        </w:rPr>
        <w:t>OAM).</w:t>
      </w:r>
    </w:p>
    <w:p>
      <w:pPr>
        <w:pStyle w:val="ListParagraph"/>
        <w:numPr>
          <w:ilvl w:val="0"/>
          <w:numId w:val="21"/>
        </w:numPr>
        <w:tabs>
          <w:tab w:pos="2380" w:val="left" w:leader="none"/>
          <w:tab w:pos="2381" w:val="left" w:leader="none"/>
        </w:tabs>
        <w:spacing w:line="240" w:lineRule="auto" w:before="1" w:after="0"/>
        <w:ind w:left="2380" w:right="0" w:hanging="793"/>
        <w:jc w:val="left"/>
        <w:rPr>
          <w:sz w:val="13"/>
        </w:rPr>
      </w:pPr>
      <w:r>
        <w:rPr>
          <w:w w:val="105"/>
          <w:sz w:val="13"/>
        </w:rPr>
        <w:t>Consultation 4 (Participants in facilitated discussion at </w:t>
      </w:r>
      <w:r>
        <w:rPr>
          <w:spacing w:val="4"/>
          <w:w w:val="105"/>
          <w:sz w:val="13"/>
        </w:rPr>
        <w:t>VTIO</w:t>
      </w:r>
      <w:r>
        <w:rPr>
          <w:spacing w:val="38"/>
          <w:w w:val="105"/>
          <w:sz w:val="13"/>
        </w:rPr>
        <w:t> </w:t>
      </w:r>
      <w:r>
        <w:rPr>
          <w:w w:val="105"/>
          <w:sz w:val="13"/>
        </w:rPr>
        <w:t>ArborCamp2018).</w:t>
      </w:r>
    </w:p>
    <w:p>
      <w:pPr>
        <w:pStyle w:val="ListParagraph"/>
        <w:numPr>
          <w:ilvl w:val="0"/>
          <w:numId w:val="21"/>
        </w:numPr>
        <w:tabs>
          <w:tab w:pos="2380" w:val="left" w:leader="none"/>
          <w:tab w:pos="2382" w:val="left" w:leader="none"/>
        </w:tabs>
        <w:spacing w:line="240" w:lineRule="auto" w:before="1" w:after="0"/>
        <w:ind w:left="2381" w:right="0" w:hanging="794"/>
        <w:jc w:val="left"/>
        <w:rPr>
          <w:sz w:val="13"/>
        </w:rPr>
      </w:pPr>
      <w:r>
        <w:rPr>
          <w:w w:val="105"/>
          <w:sz w:val="13"/>
        </w:rPr>
        <w:t>Submission 18</w:t>
      </w:r>
      <w:r>
        <w:rPr>
          <w:spacing w:val="9"/>
          <w:w w:val="105"/>
          <w:sz w:val="13"/>
        </w:rPr>
        <w:t> </w:t>
      </w:r>
      <w:r>
        <w:rPr>
          <w:w w:val="105"/>
          <w:sz w:val="13"/>
        </w:rPr>
        <w:t>(ENSPEC).</w:t>
      </w:r>
    </w:p>
    <w:p>
      <w:pPr>
        <w:pStyle w:val="ListParagraph"/>
        <w:numPr>
          <w:ilvl w:val="0"/>
          <w:numId w:val="21"/>
        </w:numPr>
        <w:tabs>
          <w:tab w:pos="2380" w:val="left" w:leader="none"/>
          <w:tab w:pos="2382" w:val="left" w:leader="none"/>
        </w:tabs>
        <w:spacing w:line="240" w:lineRule="auto" w:before="2" w:after="0"/>
        <w:ind w:left="2381" w:right="1796" w:hanging="794"/>
        <w:jc w:val="left"/>
        <w:rPr>
          <w:sz w:val="13"/>
        </w:rPr>
      </w:pPr>
      <w:r>
        <w:rPr>
          <w:w w:val="105"/>
          <w:sz w:val="13"/>
        </w:rPr>
        <w:t>Submissions 7 </w:t>
      </w:r>
      <w:r>
        <w:rPr>
          <w:spacing w:val="2"/>
          <w:w w:val="105"/>
          <w:sz w:val="13"/>
        </w:rPr>
        <w:t>(Ben </w:t>
      </w:r>
      <w:r>
        <w:rPr>
          <w:w w:val="105"/>
          <w:sz w:val="13"/>
        </w:rPr>
        <w:t>Kenyon), 9 </w:t>
      </w:r>
      <w:r>
        <w:rPr>
          <w:spacing w:val="3"/>
          <w:w w:val="105"/>
          <w:sz w:val="13"/>
        </w:rPr>
        <w:t>(Dr </w:t>
      </w:r>
      <w:r>
        <w:rPr>
          <w:w w:val="105"/>
          <w:sz w:val="13"/>
        </w:rPr>
        <w:t>Karen Smith), </w:t>
      </w:r>
      <w:r>
        <w:rPr>
          <w:spacing w:val="-4"/>
          <w:w w:val="105"/>
          <w:sz w:val="13"/>
        </w:rPr>
        <w:t>12  </w:t>
      </w:r>
      <w:r>
        <w:rPr>
          <w:spacing w:val="3"/>
          <w:w w:val="105"/>
          <w:sz w:val="13"/>
        </w:rPr>
        <w:t>(Dr </w:t>
      </w:r>
      <w:r>
        <w:rPr>
          <w:w w:val="105"/>
          <w:sz w:val="13"/>
        </w:rPr>
        <w:t>Gregory Moore </w:t>
      </w:r>
      <w:r>
        <w:rPr>
          <w:spacing w:val="2"/>
          <w:w w:val="105"/>
          <w:sz w:val="13"/>
        </w:rPr>
        <w:t>OAM), </w:t>
      </w:r>
      <w:r>
        <w:rPr>
          <w:w w:val="105"/>
          <w:sz w:val="13"/>
        </w:rPr>
        <w:t>18 (ENSPEC); Consultations 2 </w:t>
      </w:r>
      <w:r>
        <w:rPr>
          <w:spacing w:val="3"/>
          <w:w w:val="105"/>
          <w:sz w:val="13"/>
        </w:rPr>
        <w:t>(Dr </w:t>
      </w:r>
      <w:r>
        <w:rPr>
          <w:w w:val="105"/>
          <w:sz w:val="13"/>
        </w:rPr>
        <w:t>Gregory Moore </w:t>
      </w:r>
      <w:r>
        <w:rPr>
          <w:spacing w:val="2"/>
          <w:w w:val="105"/>
          <w:sz w:val="13"/>
        </w:rPr>
        <w:t>OAM),     </w:t>
      </w:r>
      <w:r>
        <w:rPr>
          <w:w w:val="105"/>
          <w:sz w:val="13"/>
        </w:rPr>
        <w:t>4</w:t>
      </w:r>
      <w:r>
        <w:rPr>
          <w:spacing w:val="5"/>
          <w:w w:val="105"/>
          <w:sz w:val="13"/>
        </w:rPr>
        <w:t> </w:t>
      </w:r>
      <w:r>
        <w:rPr>
          <w:w w:val="105"/>
          <w:sz w:val="13"/>
        </w:rPr>
        <w:t>(Participants</w:t>
      </w:r>
      <w:r>
        <w:rPr>
          <w:spacing w:val="6"/>
          <w:w w:val="105"/>
          <w:sz w:val="13"/>
        </w:rPr>
        <w:t> </w:t>
      </w:r>
      <w:r>
        <w:rPr>
          <w:w w:val="105"/>
          <w:sz w:val="13"/>
        </w:rPr>
        <w:t>in</w:t>
      </w:r>
      <w:r>
        <w:rPr>
          <w:spacing w:val="5"/>
          <w:w w:val="105"/>
          <w:sz w:val="13"/>
        </w:rPr>
        <w:t> </w:t>
      </w:r>
      <w:r>
        <w:rPr>
          <w:w w:val="105"/>
          <w:sz w:val="13"/>
        </w:rPr>
        <w:t>facilitated</w:t>
      </w:r>
      <w:r>
        <w:rPr>
          <w:spacing w:val="6"/>
          <w:w w:val="105"/>
          <w:sz w:val="13"/>
        </w:rPr>
        <w:t> </w:t>
      </w:r>
      <w:r>
        <w:rPr>
          <w:w w:val="105"/>
          <w:sz w:val="13"/>
        </w:rPr>
        <w:t>discussion</w:t>
      </w:r>
      <w:r>
        <w:rPr>
          <w:spacing w:val="5"/>
          <w:w w:val="105"/>
          <w:sz w:val="13"/>
        </w:rPr>
        <w:t> </w:t>
      </w:r>
      <w:r>
        <w:rPr>
          <w:w w:val="105"/>
          <w:sz w:val="13"/>
        </w:rPr>
        <w:t>at</w:t>
      </w:r>
      <w:r>
        <w:rPr>
          <w:spacing w:val="6"/>
          <w:w w:val="105"/>
          <w:sz w:val="13"/>
        </w:rPr>
        <w:t> </w:t>
      </w:r>
      <w:r>
        <w:rPr>
          <w:spacing w:val="4"/>
          <w:w w:val="105"/>
          <w:sz w:val="13"/>
        </w:rPr>
        <w:t>VTIO</w:t>
      </w:r>
      <w:r>
        <w:rPr>
          <w:spacing w:val="5"/>
          <w:w w:val="105"/>
          <w:sz w:val="13"/>
        </w:rPr>
        <w:t> </w:t>
      </w:r>
      <w:r>
        <w:rPr>
          <w:w w:val="105"/>
          <w:sz w:val="13"/>
        </w:rPr>
        <w:t>ArborCamp2018),</w:t>
      </w:r>
      <w:r>
        <w:rPr>
          <w:spacing w:val="6"/>
          <w:w w:val="105"/>
          <w:sz w:val="13"/>
        </w:rPr>
        <w:t> </w:t>
      </w:r>
      <w:r>
        <w:rPr>
          <w:w w:val="105"/>
          <w:sz w:val="13"/>
        </w:rPr>
        <w:t>6</w:t>
      </w:r>
      <w:r>
        <w:rPr>
          <w:spacing w:val="5"/>
          <w:w w:val="105"/>
          <w:sz w:val="13"/>
        </w:rPr>
        <w:t> </w:t>
      </w:r>
      <w:r>
        <w:rPr>
          <w:spacing w:val="2"/>
          <w:w w:val="105"/>
          <w:sz w:val="13"/>
        </w:rPr>
        <w:t>(Ben</w:t>
      </w:r>
      <w:r>
        <w:rPr>
          <w:spacing w:val="6"/>
          <w:w w:val="105"/>
          <w:sz w:val="13"/>
        </w:rPr>
        <w:t> </w:t>
      </w:r>
      <w:r>
        <w:rPr>
          <w:w w:val="105"/>
          <w:sz w:val="13"/>
        </w:rPr>
        <w:t>Kenyon),</w:t>
      </w:r>
      <w:r>
        <w:rPr>
          <w:spacing w:val="5"/>
          <w:w w:val="105"/>
          <w:sz w:val="13"/>
        </w:rPr>
        <w:t> </w:t>
      </w:r>
      <w:r>
        <w:rPr>
          <w:w w:val="105"/>
          <w:sz w:val="13"/>
        </w:rPr>
        <w:t>8</w:t>
      </w:r>
      <w:r>
        <w:rPr>
          <w:spacing w:val="6"/>
          <w:w w:val="105"/>
          <w:sz w:val="13"/>
        </w:rPr>
        <w:t> </w:t>
      </w:r>
      <w:r>
        <w:rPr>
          <w:w w:val="105"/>
          <w:sz w:val="13"/>
        </w:rPr>
        <w:t>(City</w:t>
      </w:r>
      <w:r>
        <w:rPr>
          <w:spacing w:val="5"/>
          <w:w w:val="105"/>
          <w:sz w:val="13"/>
        </w:rPr>
        <w:t> </w:t>
      </w:r>
      <w:r>
        <w:rPr>
          <w:w w:val="105"/>
          <w:sz w:val="13"/>
        </w:rPr>
        <w:t>of</w:t>
      </w:r>
      <w:r>
        <w:rPr>
          <w:spacing w:val="6"/>
          <w:w w:val="105"/>
          <w:sz w:val="13"/>
        </w:rPr>
        <w:t> </w:t>
      </w:r>
      <w:r>
        <w:rPr>
          <w:w w:val="105"/>
          <w:sz w:val="13"/>
        </w:rPr>
        <w:t>Boroondara).</w:t>
      </w:r>
    </w:p>
    <w:p>
      <w:pPr>
        <w:pStyle w:val="ListParagraph"/>
        <w:numPr>
          <w:ilvl w:val="0"/>
          <w:numId w:val="21"/>
        </w:numPr>
        <w:tabs>
          <w:tab w:pos="2381" w:val="left" w:leader="none"/>
          <w:tab w:pos="2382" w:val="left" w:leader="none"/>
        </w:tabs>
        <w:spacing w:line="240" w:lineRule="auto" w:before="2" w:after="0"/>
        <w:ind w:left="2381" w:right="0" w:hanging="794"/>
        <w:jc w:val="left"/>
        <w:rPr>
          <w:sz w:val="13"/>
        </w:rPr>
      </w:pPr>
      <w:r>
        <w:rPr>
          <w:w w:val="105"/>
          <w:sz w:val="13"/>
        </w:rPr>
        <w:t>Consultation 6 </w:t>
      </w:r>
      <w:r>
        <w:rPr>
          <w:spacing w:val="2"/>
          <w:w w:val="105"/>
          <w:sz w:val="13"/>
        </w:rPr>
        <w:t>(Ben</w:t>
      </w:r>
      <w:r>
        <w:rPr>
          <w:spacing w:val="13"/>
          <w:w w:val="105"/>
          <w:sz w:val="13"/>
        </w:rPr>
        <w:t> </w:t>
      </w:r>
      <w:r>
        <w:rPr>
          <w:w w:val="105"/>
          <w:sz w:val="13"/>
        </w:rPr>
        <w:t>Kenyon).</w:t>
      </w:r>
    </w:p>
    <w:p>
      <w:pPr>
        <w:pStyle w:val="ListParagraph"/>
        <w:numPr>
          <w:ilvl w:val="0"/>
          <w:numId w:val="21"/>
        </w:numPr>
        <w:tabs>
          <w:tab w:pos="2381" w:val="left" w:leader="none"/>
          <w:tab w:pos="2382" w:val="left" w:leader="none"/>
        </w:tabs>
        <w:spacing w:line="240" w:lineRule="auto" w:before="2" w:after="0"/>
        <w:ind w:left="2381" w:right="0" w:hanging="794"/>
        <w:jc w:val="left"/>
        <w:rPr>
          <w:sz w:val="13"/>
        </w:rPr>
      </w:pPr>
      <w:r>
        <w:rPr/>
        <w:pict>
          <v:shape style="position:absolute;margin-left:36pt;margin-top:3.057766pt;width:13.35pt;height:14.25pt;mso-position-horizontal-relative:page;mso-position-vertical-relative:paragraph;z-index:2440" type="#_x0000_t202" filled="false" stroked="false">
            <v:textbox inset="0,0,0,0">
              <w:txbxContent>
                <w:p>
                  <w:pPr>
                    <w:spacing w:line="284" w:lineRule="exact" w:before="0"/>
                    <w:ind w:left="0" w:right="0" w:firstLine="0"/>
                    <w:jc w:val="left"/>
                    <w:rPr>
                      <w:b/>
                      <w:sz w:val="24"/>
                    </w:rPr>
                  </w:pPr>
                  <w:r>
                    <w:rPr>
                      <w:b/>
                      <w:color w:val="658464"/>
                      <w:w w:val="105"/>
                      <w:sz w:val="24"/>
                    </w:rPr>
                    <w:t>20</w:t>
                  </w:r>
                </w:p>
              </w:txbxContent>
            </v:textbox>
            <w10:wrap type="none"/>
          </v:shape>
        </w:pict>
      </w:r>
      <w:r>
        <w:rPr>
          <w:w w:val="105"/>
          <w:sz w:val="13"/>
        </w:rPr>
        <w:t>Consultation 2 </w:t>
      </w:r>
      <w:r>
        <w:rPr>
          <w:spacing w:val="3"/>
          <w:w w:val="105"/>
          <w:sz w:val="13"/>
        </w:rPr>
        <w:t>(Dr </w:t>
      </w:r>
      <w:r>
        <w:rPr>
          <w:w w:val="105"/>
          <w:sz w:val="13"/>
        </w:rPr>
        <w:t>Gregory Moore</w:t>
      </w:r>
      <w:r>
        <w:rPr>
          <w:spacing w:val="20"/>
          <w:w w:val="105"/>
          <w:sz w:val="13"/>
        </w:rPr>
        <w:t> </w:t>
      </w:r>
      <w:r>
        <w:rPr>
          <w:spacing w:val="2"/>
          <w:w w:val="105"/>
          <w:sz w:val="13"/>
        </w:rPr>
        <w:t>OAM).</w:t>
      </w:r>
    </w:p>
    <w:p>
      <w:pPr>
        <w:pStyle w:val="ListParagraph"/>
        <w:numPr>
          <w:ilvl w:val="0"/>
          <w:numId w:val="21"/>
        </w:numPr>
        <w:tabs>
          <w:tab w:pos="2381" w:val="left" w:leader="none"/>
          <w:tab w:pos="2382" w:val="left" w:leader="none"/>
        </w:tabs>
        <w:spacing w:line="240" w:lineRule="auto" w:before="1" w:after="0"/>
        <w:ind w:left="2381" w:right="0" w:hanging="794"/>
        <w:jc w:val="left"/>
        <w:rPr>
          <w:sz w:val="13"/>
        </w:rPr>
      </w:pPr>
      <w:r>
        <w:rPr>
          <w:w w:val="105"/>
          <w:sz w:val="13"/>
        </w:rPr>
        <w:t>Submission 9 </w:t>
      </w:r>
      <w:r>
        <w:rPr>
          <w:spacing w:val="3"/>
          <w:w w:val="105"/>
          <w:sz w:val="13"/>
        </w:rPr>
        <w:t>(Dr </w:t>
      </w:r>
      <w:r>
        <w:rPr>
          <w:w w:val="105"/>
          <w:sz w:val="13"/>
        </w:rPr>
        <w:t>Karen</w:t>
      </w:r>
      <w:r>
        <w:rPr>
          <w:spacing w:val="15"/>
          <w:w w:val="105"/>
          <w:sz w:val="13"/>
        </w:rPr>
        <w:t> </w:t>
      </w:r>
      <w:r>
        <w:rPr>
          <w:w w:val="105"/>
          <w:sz w:val="13"/>
        </w:rPr>
        <w:t>Smith).</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16"/>
        </w:numPr>
        <w:tabs>
          <w:tab w:pos="2380" w:val="left" w:leader="none"/>
          <w:tab w:pos="2381" w:val="left" w:leader="none"/>
        </w:tabs>
        <w:spacing w:line="242" w:lineRule="auto" w:before="91" w:after="0"/>
        <w:ind w:left="2381" w:right="1596" w:hanging="794"/>
        <w:jc w:val="left"/>
        <w:rPr>
          <w:sz w:val="21"/>
        </w:rPr>
      </w:pPr>
      <w:r>
        <w:rPr>
          <w:spacing w:val="-3"/>
          <w:sz w:val="21"/>
        </w:rPr>
        <w:t>Many </w:t>
      </w:r>
      <w:r>
        <w:rPr>
          <w:sz w:val="21"/>
        </w:rPr>
        <w:t>people believe </w:t>
      </w:r>
      <w:r>
        <w:rPr>
          <w:spacing w:val="-3"/>
          <w:sz w:val="21"/>
        </w:rPr>
        <w:t>that </w:t>
      </w:r>
      <w:r>
        <w:rPr>
          <w:sz w:val="21"/>
        </w:rPr>
        <w:t>their </w:t>
      </w:r>
      <w:r>
        <w:rPr>
          <w:spacing w:val="-3"/>
          <w:sz w:val="21"/>
        </w:rPr>
        <w:t>neighbour’s </w:t>
      </w:r>
      <w:r>
        <w:rPr>
          <w:sz w:val="21"/>
        </w:rPr>
        <w:t>tree roots </w:t>
      </w:r>
      <w:r>
        <w:rPr>
          <w:spacing w:val="-3"/>
          <w:sz w:val="21"/>
        </w:rPr>
        <w:t>are causing </w:t>
      </w:r>
      <w:r>
        <w:rPr>
          <w:spacing w:val="-2"/>
          <w:sz w:val="21"/>
        </w:rPr>
        <w:t>problems </w:t>
      </w:r>
      <w:r>
        <w:rPr>
          <w:sz w:val="21"/>
        </w:rPr>
        <w:t>with their </w:t>
      </w:r>
      <w:r>
        <w:rPr>
          <w:spacing w:val="-3"/>
          <w:sz w:val="21"/>
        </w:rPr>
        <w:t>foundations, dwellings  </w:t>
      </w:r>
      <w:r>
        <w:rPr>
          <w:sz w:val="21"/>
        </w:rPr>
        <w:t>and  </w:t>
      </w:r>
      <w:r>
        <w:rPr>
          <w:spacing w:val="-3"/>
          <w:sz w:val="21"/>
        </w:rPr>
        <w:t>plumbing.  </w:t>
      </w:r>
      <w:r>
        <w:rPr>
          <w:spacing w:val="-4"/>
          <w:sz w:val="21"/>
        </w:rPr>
        <w:t>However,  </w:t>
      </w:r>
      <w:r>
        <w:rPr>
          <w:sz w:val="21"/>
        </w:rPr>
        <w:t>the  </w:t>
      </w:r>
      <w:r>
        <w:rPr>
          <w:spacing w:val="-3"/>
          <w:sz w:val="21"/>
        </w:rPr>
        <w:t>Commission  </w:t>
      </w:r>
      <w:r>
        <w:rPr>
          <w:sz w:val="21"/>
        </w:rPr>
        <w:t>was  told  by  arborists </w:t>
      </w:r>
      <w:r>
        <w:rPr>
          <w:spacing w:val="-3"/>
          <w:sz w:val="21"/>
        </w:rPr>
        <w:t>that </w:t>
      </w:r>
      <w:r>
        <w:rPr>
          <w:sz w:val="21"/>
        </w:rPr>
        <w:t>property damage is a </w:t>
      </w:r>
      <w:r>
        <w:rPr>
          <w:spacing w:val="-3"/>
          <w:sz w:val="21"/>
        </w:rPr>
        <w:t>‘multi-factorial issue’ </w:t>
      </w:r>
      <w:r>
        <w:rPr>
          <w:sz w:val="21"/>
        </w:rPr>
        <w:t>with </w:t>
      </w:r>
      <w:r>
        <w:rPr>
          <w:spacing w:val="-3"/>
          <w:sz w:val="21"/>
        </w:rPr>
        <w:t>arboricultural </w:t>
      </w:r>
      <w:r>
        <w:rPr>
          <w:sz w:val="21"/>
        </w:rPr>
        <w:t>assessments  often </w:t>
      </w:r>
      <w:r>
        <w:rPr>
          <w:spacing w:val="-3"/>
          <w:sz w:val="21"/>
        </w:rPr>
        <w:t>showing that  </w:t>
      </w:r>
      <w:r>
        <w:rPr>
          <w:sz w:val="21"/>
        </w:rPr>
        <w:t>damage is caused by poorly installed or ageing </w:t>
      </w:r>
      <w:r>
        <w:rPr>
          <w:spacing w:val="-3"/>
          <w:sz w:val="21"/>
        </w:rPr>
        <w:t>infrastructure</w:t>
      </w:r>
      <w:r>
        <w:rPr>
          <w:spacing w:val="41"/>
          <w:sz w:val="21"/>
        </w:rPr>
        <w:t> </w:t>
      </w:r>
      <w:r>
        <w:rPr>
          <w:sz w:val="21"/>
        </w:rPr>
        <w:t>or pipes </w:t>
      </w:r>
      <w:r>
        <w:rPr>
          <w:spacing w:val="-3"/>
          <w:sz w:val="21"/>
        </w:rPr>
        <w:t>that  have cracked </w:t>
      </w:r>
      <w:r>
        <w:rPr>
          <w:sz w:val="21"/>
        </w:rPr>
        <w:t>due </w:t>
      </w:r>
      <w:r>
        <w:rPr>
          <w:spacing w:val="-3"/>
          <w:sz w:val="21"/>
        </w:rPr>
        <w:t>to </w:t>
      </w:r>
      <w:r>
        <w:rPr>
          <w:sz w:val="21"/>
        </w:rPr>
        <w:t>poor </w:t>
      </w:r>
      <w:r>
        <w:rPr>
          <w:spacing w:val="-4"/>
          <w:sz w:val="21"/>
        </w:rPr>
        <w:t>quality, </w:t>
      </w:r>
      <w:r>
        <w:rPr>
          <w:spacing w:val="-3"/>
          <w:sz w:val="21"/>
        </w:rPr>
        <w:t>rather than </w:t>
      </w:r>
      <w:r>
        <w:rPr>
          <w:sz w:val="21"/>
        </w:rPr>
        <w:t>the entry of roots. Mr </w:t>
      </w:r>
      <w:r>
        <w:rPr>
          <w:spacing w:val="-3"/>
          <w:sz w:val="21"/>
        </w:rPr>
        <w:t>Kenyon </w:t>
      </w:r>
      <w:r>
        <w:rPr>
          <w:sz w:val="21"/>
        </w:rPr>
        <w:t>observed </w:t>
      </w:r>
      <w:r>
        <w:rPr>
          <w:spacing w:val="-3"/>
          <w:sz w:val="21"/>
        </w:rPr>
        <w:t>that </w:t>
      </w:r>
      <w:r>
        <w:rPr>
          <w:sz w:val="21"/>
        </w:rPr>
        <w:t>root damage can be easy </w:t>
      </w:r>
      <w:r>
        <w:rPr>
          <w:spacing w:val="-3"/>
          <w:sz w:val="21"/>
        </w:rPr>
        <w:t>to prove  </w:t>
      </w:r>
      <w:r>
        <w:rPr>
          <w:sz w:val="21"/>
        </w:rPr>
        <w:t>or </w:t>
      </w:r>
      <w:r>
        <w:rPr>
          <w:spacing w:val="-3"/>
          <w:sz w:val="21"/>
        </w:rPr>
        <w:t>disprove</w:t>
      </w:r>
      <w:r>
        <w:rPr>
          <w:spacing w:val="41"/>
          <w:sz w:val="21"/>
        </w:rPr>
        <w:t> </w:t>
      </w:r>
      <w:r>
        <w:rPr>
          <w:sz w:val="21"/>
        </w:rPr>
        <w:t>by cutting </w:t>
      </w:r>
      <w:r>
        <w:rPr>
          <w:spacing w:val="-4"/>
          <w:sz w:val="21"/>
        </w:rPr>
        <w:t>into  </w:t>
      </w:r>
      <w:r>
        <w:rPr>
          <w:sz w:val="21"/>
        </w:rPr>
        <w:t>the </w:t>
      </w:r>
      <w:r>
        <w:rPr>
          <w:spacing w:val="-3"/>
          <w:sz w:val="21"/>
        </w:rPr>
        <w:t>ground  </w:t>
      </w:r>
      <w:r>
        <w:rPr>
          <w:sz w:val="21"/>
        </w:rPr>
        <w:t>or </w:t>
      </w:r>
      <w:r>
        <w:rPr>
          <w:spacing w:val="-3"/>
          <w:sz w:val="21"/>
        </w:rPr>
        <w:t>using  </w:t>
      </w:r>
      <w:r>
        <w:rPr>
          <w:sz w:val="21"/>
        </w:rPr>
        <w:t>other root detection</w:t>
      </w:r>
      <w:r>
        <w:rPr>
          <w:spacing w:val="17"/>
          <w:sz w:val="21"/>
        </w:rPr>
        <w:t> </w:t>
      </w:r>
      <w:r>
        <w:rPr>
          <w:spacing w:val="-4"/>
          <w:sz w:val="21"/>
        </w:rPr>
        <w:t>techniques.</w:t>
      </w:r>
      <w:r>
        <w:rPr>
          <w:spacing w:val="-4"/>
          <w:position w:val="7"/>
          <w:sz w:val="12"/>
        </w:rPr>
        <w:t>164</w:t>
      </w:r>
    </w:p>
    <w:p>
      <w:pPr>
        <w:pStyle w:val="ListParagraph"/>
        <w:numPr>
          <w:ilvl w:val="1"/>
          <w:numId w:val="16"/>
        </w:numPr>
        <w:tabs>
          <w:tab w:pos="2381" w:val="left" w:leader="none"/>
          <w:tab w:pos="2382" w:val="left" w:leader="none"/>
        </w:tabs>
        <w:spacing w:line="242" w:lineRule="auto" w:before="128" w:after="0"/>
        <w:ind w:left="2381" w:right="1802" w:hanging="794"/>
        <w:jc w:val="left"/>
        <w:rPr>
          <w:sz w:val="21"/>
        </w:rPr>
      </w:pPr>
      <w:r>
        <w:rPr>
          <w:sz w:val="21"/>
        </w:rPr>
        <w:t>The </w:t>
      </w:r>
      <w:r>
        <w:rPr>
          <w:spacing w:val="-3"/>
          <w:sz w:val="21"/>
        </w:rPr>
        <w:t>Commission </w:t>
      </w:r>
      <w:r>
        <w:rPr>
          <w:sz w:val="21"/>
        </w:rPr>
        <w:t>was told </w:t>
      </w:r>
      <w:r>
        <w:rPr>
          <w:spacing w:val="-3"/>
          <w:sz w:val="21"/>
        </w:rPr>
        <w:t>that </w:t>
      </w:r>
      <w:r>
        <w:rPr>
          <w:sz w:val="21"/>
        </w:rPr>
        <w:t>tree roots do not, contrary </w:t>
      </w:r>
      <w:r>
        <w:rPr>
          <w:spacing w:val="-3"/>
          <w:sz w:val="21"/>
        </w:rPr>
        <w:t>to </w:t>
      </w:r>
      <w:r>
        <w:rPr>
          <w:sz w:val="21"/>
        </w:rPr>
        <w:t>popular </w:t>
      </w:r>
      <w:r>
        <w:rPr>
          <w:spacing w:val="-3"/>
          <w:sz w:val="21"/>
        </w:rPr>
        <w:t>perceptions, </w:t>
      </w:r>
      <w:r>
        <w:rPr>
          <w:sz w:val="21"/>
        </w:rPr>
        <w:t>exert enough </w:t>
      </w:r>
      <w:r>
        <w:rPr>
          <w:spacing w:val="-3"/>
          <w:sz w:val="21"/>
        </w:rPr>
        <w:t>pressure to crack </w:t>
      </w:r>
      <w:r>
        <w:rPr>
          <w:sz w:val="21"/>
        </w:rPr>
        <w:t>pipes or damage </w:t>
      </w:r>
      <w:r>
        <w:rPr>
          <w:spacing w:val="-3"/>
          <w:sz w:val="21"/>
        </w:rPr>
        <w:t>‘properly </w:t>
      </w:r>
      <w:r>
        <w:rPr>
          <w:sz w:val="21"/>
        </w:rPr>
        <w:t>installed </w:t>
      </w:r>
      <w:r>
        <w:rPr>
          <w:spacing w:val="-3"/>
          <w:sz w:val="21"/>
        </w:rPr>
        <w:t>infrastructure’ such </w:t>
      </w:r>
      <w:r>
        <w:rPr>
          <w:sz w:val="21"/>
        </w:rPr>
        <w:t>as, </w:t>
      </w:r>
      <w:r>
        <w:rPr>
          <w:spacing w:val="-3"/>
          <w:sz w:val="21"/>
        </w:rPr>
        <w:t>for example, </w:t>
      </w:r>
      <w:r>
        <w:rPr>
          <w:sz w:val="21"/>
        </w:rPr>
        <w:t>a </w:t>
      </w:r>
      <w:r>
        <w:rPr>
          <w:spacing w:val="-3"/>
          <w:sz w:val="21"/>
        </w:rPr>
        <w:t>concrete slab. </w:t>
      </w:r>
      <w:r>
        <w:rPr>
          <w:sz w:val="21"/>
        </w:rPr>
        <w:t>It is also </w:t>
      </w:r>
      <w:r>
        <w:rPr>
          <w:spacing w:val="-3"/>
          <w:sz w:val="21"/>
        </w:rPr>
        <w:t>rare for </w:t>
      </w:r>
      <w:r>
        <w:rPr>
          <w:sz w:val="21"/>
        </w:rPr>
        <w:t>tree roots </w:t>
      </w:r>
      <w:r>
        <w:rPr>
          <w:spacing w:val="-3"/>
          <w:sz w:val="21"/>
        </w:rPr>
        <w:t>to  crack  concrete  footings  </w:t>
      </w:r>
      <w:r>
        <w:rPr>
          <w:sz w:val="21"/>
        </w:rPr>
        <w:t>unless they </w:t>
      </w:r>
      <w:r>
        <w:rPr>
          <w:spacing w:val="-3"/>
          <w:sz w:val="21"/>
        </w:rPr>
        <w:t>grow </w:t>
      </w:r>
      <w:r>
        <w:rPr>
          <w:sz w:val="21"/>
        </w:rPr>
        <w:t>in a very specific </w:t>
      </w:r>
      <w:r>
        <w:rPr>
          <w:spacing w:val="-3"/>
          <w:sz w:val="21"/>
        </w:rPr>
        <w:t>upwards </w:t>
      </w:r>
      <w:r>
        <w:rPr>
          <w:spacing w:val="-4"/>
          <w:sz w:val="21"/>
        </w:rPr>
        <w:t>direction.</w:t>
      </w:r>
      <w:r>
        <w:rPr>
          <w:spacing w:val="-4"/>
          <w:position w:val="7"/>
          <w:sz w:val="12"/>
        </w:rPr>
        <w:t>165 </w:t>
      </w:r>
      <w:r>
        <w:rPr>
          <w:sz w:val="21"/>
        </w:rPr>
        <w:t>Roots also </w:t>
      </w:r>
      <w:r>
        <w:rPr>
          <w:spacing w:val="-3"/>
          <w:sz w:val="21"/>
        </w:rPr>
        <w:t>tend to grow </w:t>
      </w:r>
      <w:r>
        <w:rPr>
          <w:sz w:val="21"/>
        </w:rPr>
        <w:t>in the </w:t>
      </w:r>
      <w:r>
        <w:rPr>
          <w:spacing w:val="-3"/>
          <w:sz w:val="21"/>
        </w:rPr>
        <w:t>shallow </w:t>
      </w:r>
      <w:r>
        <w:rPr>
          <w:sz w:val="21"/>
        </w:rPr>
        <w:t>layers of</w:t>
      </w:r>
      <w:r>
        <w:rPr>
          <w:spacing w:val="16"/>
          <w:sz w:val="21"/>
        </w:rPr>
        <w:t> </w:t>
      </w:r>
      <w:r>
        <w:rPr>
          <w:spacing w:val="-5"/>
          <w:sz w:val="21"/>
        </w:rPr>
        <w:t>soil.</w:t>
      </w:r>
      <w:r>
        <w:rPr>
          <w:spacing w:val="-5"/>
          <w:position w:val="7"/>
          <w:sz w:val="12"/>
        </w:rPr>
        <w:t>166</w:t>
      </w:r>
    </w:p>
    <w:p>
      <w:pPr>
        <w:pStyle w:val="ListParagraph"/>
        <w:numPr>
          <w:ilvl w:val="1"/>
          <w:numId w:val="16"/>
        </w:numPr>
        <w:tabs>
          <w:tab w:pos="2380" w:val="left" w:leader="none"/>
          <w:tab w:pos="2381" w:val="left" w:leader="none"/>
        </w:tabs>
        <w:spacing w:line="242" w:lineRule="auto" w:before="126" w:after="0"/>
        <w:ind w:left="2380" w:right="1691" w:hanging="793"/>
        <w:jc w:val="left"/>
        <w:rPr>
          <w:sz w:val="21"/>
        </w:rPr>
      </w:pPr>
      <w:r>
        <w:rPr>
          <w:sz w:val="21"/>
        </w:rPr>
        <w:t>Dr </w:t>
      </w:r>
      <w:r>
        <w:rPr>
          <w:spacing w:val="-3"/>
          <w:sz w:val="21"/>
        </w:rPr>
        <w:t>Smith </w:t>
      </w:r>
      <w:r>
        <w:rPr>
          <w:sz w:val="21"/>
        </w:rPr>
        <w:t>further described the complexities </w:t>
      </w:r>
      <w:r>
        <w:rPr>
          <w:spacing w:val="-3"/>
          <w:sz w:val="21"/>
        </w:rPr>
        <w:t>that </w:t>
      </w:r>
      <w:r>
        <w:rPr>
          <w:sz w:val="21"/>
        </w:rPr>
        <w:t>arise in assessing property damage </w:t>
      </w:r>
      <w:r>
        <w:rPr>
          <w:spacing w:val="-3"/>
          <w:sz w:val="21"/>
        </w:rPr>
        <w:t>from </w:t>
      </w:r>
      <w:r>
        <w:rPr>
          <w:sz w:val="21"/>
        </w:rPr>
        <w:t>tree</w:t>
      </w:r>
      <w:r>
        <w:rPr>
          <w:spacing w:val="7"/>
          <w:sz w:val="21"/>
        </w:rPr>
        <w:t> </w:t>
      </w:r>
      <w:r>
        <w:rPr>
          <w:sz w:val="21"/>
        </w:rPr>
        <w:t>roots:</w:t>
      </w:r>
    </w:p>
    <w:p>
      <w:pPr>
        <w:spacing w:line="254" w:lineRule="auto" w:before="131"/>
        <w:ind w:left="2834" w:right="1672" w:firstLine="0"/>
        <w:jc w:val="left"/>
        <w:rPr>
          <w:sz w:val="11"/>
        </w:rPr>
      </w:pPr>
      <w:r>
        <w:rPr>
          <w:w w:val="105"/>
          <w:sz w:val="20"/>
        </w:rPr>
        <w:t>It</w:t>
      </w:r>
      <w:r>
        <w:rPr>
          <w:spacing w:val="-9"/>
          <w:w w:val="105"/>
          <w:sz w:val="20"/>
        </w:rPr>
        <w:t> </w:t>
      </w:r>
      <w:r>
        <w:rPr>
          <w:w w:val="105"/>
          <w:sz w:val="20"/>
        </w:rPr>
        <w:t>was</w:t>
      </w:r>
      <w:r>
        <w:rPr>
          <w:spacing w:val="-9"/>
          <w:w w:val="105"/>
          <w:sz w:val="20"/>
        </w:rPr>
        <w:t> </w:t>
      </w:r>
      <w:r>
        <w:rPr>
          <w:w w:val="105"/>
          <w:sz w:val="20"/>
        </w:rPr>
        <w:t>never</w:t>
      </w:r>
      <w:r>
        <w:rPr>
          <w:spacing w:val="-9"/>
          <w:w w:val="105"/>
          <w:sz w:val="20"/>
        </w:rPr>
        <w:t> </w:t>
      </w:r>
      <w:r>
        <w:rPr>
          <w:w w:val="105"/>
          <w:sz w:val="20"/>
        </w:rPr>
        <w:t>possible</w:t>
      </w:r>
      <w:r>
        <w:rPr>
          <w:spacing w:val="-8"/>
          <w:w w:val="105"/>
          <w:sz w:val="20"/>
        </w:rPr>
        <w:t> </w:t>
      </w:r>
      <w:r>
        <w:rPr>
          <w:w w:val="105"/>
          <w:sz w:val="20"/>
        </w:rPr>
        <w:t>to</w:t>
      </w:r>
      <w:r>
        <w:rPr>
          <w:spacing w:val="-9"/>
          <w:w w:val="105"/>
          <w:sz w:val="20"/>
        </w:rPr>
        <w:t> </w:t>
      </w:r>
      <w:r>
        <w:rPr>
          <w:w w:val="105"/>
          <w:sz w:val="20"/>
        </w:rPr>
        <w:t>attribute</w:t>
      </w:r>
      <w:r>
        <w:rPr>
          <w:spacing w:val="-9"/>
          <w:w w:val="105"/>
          <w:sz w:val="20"/>
        </w:rPr>
        <w:t> </w:t>
      </w:r>
      <w:r>
        <w:rPr>
          <w:w w:val="105"/>
          <w:sz w:val="20"/>
        </w:rPr>
        <w:t>all</w:t>
      </w:r>
      <w:r>
        <w:rPr>
          <w:spacing w:val="-8"/>
          <w:w w:val="105"/>
          <w:sz w:val="20"/>
        </w:rPr>
        <w:t> </w:t>
      </w:r>
      <w:r>
        <w:rPr>
          <w:w w:val="105"/>
          <w:sz w:val="20"/>
        </w:rPr>
        <w:t>the</w:t>
      </w:r>
      <w:r>
        <w:rPr>
          <w:spacing w:val="-9"/>
          <w:w w:val="105"/>
          <w:sz w:val="20"/>
        </w:rPr>
        <w:t> </w:t>
      </w:r>
      <w:r>
        <w:rPr>
          <w:w w:val="105"/>
          <w:sz w:val="20"/>
        </w:rPr>
        <w:t>damage</w:t>
      </w:r>
      <w:r>
        <w:rPr>
          <w:spacing w:val="-9"/>
          <w:w w:val="105"/>
          <w:sz w:val="20"/>
        </w:rPr>
        <w:t> </w:t>
      </w:r>
      <w:r>
        <w:rPr>
          <w:w w:val="105"/>
          <w:sz w:val="20"/>
        </w:rPr>
        <w:t>to</w:t>
      </w:r>
      <w:r>
        <w:rPr>
          <w:spacing w:val="-8"/>
          <w:w w:val="105"/>
          <w:sz w:val="20"/>
        </w:rPr>
        <w:t> </w:t>
      </w:r>
      <w:r>
        <w:rPr>
          <w:w w:val="105"/>
          <w:sz w:val="20"/>
        </w:rPr>
        <w:t>the</w:t>
      </w:r>
      <w:r>
        <w:rPr>
          <w:spacing w:val="-9"/>
          <w:w w:val="105"/>
          <w:sz w:val="20"/>
        </w:rPr>
        <w:t> </w:t>
      </w:r>
      <w:r>
        <w:rPr>
          <w:spacing w:val="-3"/>
          <w:w w:val="105"/>
          <w:sz w:val="20"/>
        </w:rPr>
        <w:t>tree,</w:t>
      </w:r>
      <w:r>
        <w:rPr>
          <w:spacing w:val="-9"/>
          <w:w w:val="105"/>
          <w:sz w:val="20"/>
        </w:rPr>
        <w:t> </w:t>
      </w:r>
      <w:r>
        <w:rPr>
          <w:w w:val="105"/>
          <w:sz w:val="20"/>
        </w:rPr>
        <w:t>once</w:t>
      </w:r>
      <w:r>
        <w:rPr>
          <w:spacing w:val="-8"/>
          <w:w w:val="105"/>
          <w:sz w:val="20"/>
        </w:rPr>
        <w:t> </w:t>
      </w:r>
      <w:r>
        <w:rPr>
          <w:w w:val="105"/>
          <w:sz w:val="20"/>
        </w:rPr>
        <w:t>data</w:t>
      </w:r>
      <w:r>
        <w:rPr>
          <w:spacing w:val="-9"/>
          <w:w w:val="105"/>
          <w:sz w:val="20"/>
        </w:rPr>
        <w:t> </w:t>
      </w:r>
      <w:r>
        <w:rPr>
          <w:w w:val="105"/>
          <w:sz w:val="20"/>
        </w:rPr>
        <w:t>such</w:t>
      </w:r>
      <w:r>
        <w:rPr>
          <w:spacing w:val="-9"/>
          <w:w w:val="105"/>
          <w:sz w:val="20"/>
        </w:rPr>
        <w:t> </w:t>
      </w:r>
      <w:r>
        <w:rPr>
          <w:w w:val="105"/>
          <w:sz w:val="20"/>
        </w:rPr>
        <w:t>as</w:t>
      </w:r>
      <w:r>
        <w:rPr>
          <w:spacing w:val="-8"/>
          <w:w w:val="105"/>
          <w:sz w:val="20"/>
        </w:rPr>
        <w:t> </w:t>
      </w:r>
      <w:r>
        <w:rPr>
          <w:w w:val="105"/>
          <w:sz w:val="20"/>
        </w:rPr>
        <w:t>moisture at footing depth, footing </w:t>
      </w:r>
      <w:r>
        <w:rPr>
          <w:spacing w:val="-3"/>
          <w:w w:val="105"/>
          <w:sz w:val="20"/>
        </w:rPr>
        <w:t>information, </w:t>
      </w:r>
      <w:r>
        <w:rPr>
          <w:w w:val="105"/>
          <w:sz w:val="20"/>
        </w:rPr>
        <w:t>age of the house and construction </w:t>
      </w:r>
      <w:r>
        <w:rPr>
          <w:spacing w:val="-3"/>
          <w:w w:val="105"/>
          <w:sz w:val="20"/>
        </w:rPr>
        <w:t>information have </w:t>
      </w:r>
      <w:r>
        <w:rPr>
          <w:w w:val="105"/>
          <w:sz w:val="20"/>
        </w:rPr>
        <w:t>been </w:t>
      </w:r>
      <w:r>
        <w:rPr>
          <w:spacing w:val="-3"/>
          <w:w w:val="105"/>
          <w:sz w:val="20"/>
        </w:rPr>
        <w:t>taken into consideration. </w:t>
      </w:r>
      <w:r>
        <w:rPr>
          <w:w w:val="105"/>
          <w:sz w:val="20"/>
        </w:rPr>
        <w:t>Once real data was collected and examined the complainants came to understand that the tree was not the sole cause of the </w:t>
      </w:r>
      <w:r>
        <w:rPr>
          <w:spacing w:val="-3"/>
          <w:w w:val="105"/>
          <w:sz w:val="20"/>
        </w:rPr>
        <w:t>damage. </w:t>
      </w:r>
      <w:r>
        <w:rPr>
          <w:w w:val="105"/>
          <w:sz w:val="20"/>
        </w:rPr>
        <w:t>Property damage was never attributed to </w:t>
      </w:r>
      <w:r>
        <w:rPr>
          <w:spacing w:val="-2"/>
          <w:w w:val="105"/>
          <w:sz w:val="20"/>
        </w:rPr>
        <w:t>any </w:t>
      </w:r>
      <w:r>
        <w:rPr>
          <w:w w:val="105"/>
          <w:sz w:val="20"/>
        </w:rPr>
        <w:t>more than 20% of the cost of repairs. In </w:t>
      </w:r>
      <w:r>
        <w:rPr>
          <w:spacing w:val="-3"/>
          <w:w w:val="105"/>
          <w:sz w:val="20"/>
        </w:rPr>
        <w:t>many </w:t>
      </w:r>
      <w:r>
        <w:rPr>
          <w:w w:val="105"/>
          <w:sz w:val="20"/>
        </w:rPr>
        <w:t>cases collecting data on soil moisture at footing depth would </w:t>
      </w:r>
      <w:r>
        <w:rPr>
          <w:spacing w:val="-3"/>
          <w:w w:val="105"/>
          <w:sz w:val="20"/>
        </w:rPr>
        <w:t>eliminate </w:t>
      </w:r>
      <w:r>
        <w:rPr>
          <w:w w:val="105"/>
          <w:sz w:val="20"/>
        </w:rPr>
        <w:t>the tree </w:t>
      </w:r>
      <w:r>
        <w:rPr>
          <w:spacing w:val="-3"/>
          <w:w w:val="105"/>
          <w:sz w:val="20"/>
        </w:rPr>
        <w:t>altogether. </w:t>
      </w:r>
      <w:r>
        <w:rPr>
          <w:w w:val="105"/>
          <w:sz w:val="20"/>
        </w:rPr>
        <w:t>This soil moisture data often showed that </w:t>
      </w:r>
      <w:r>
        <w:rPr>
          <w:spacing w:val="-3"/>
          <w:w w:val="105"/>
          <w:sz w:val="20"/>
        </w:rPr>
        <w:t>cracked </w:t>
      </w:r>
      <w:r>
        <w:rPr>
          <w:w w:val="105"/>
          <w:sz w:val="20"/>
        </w:rPr>
        <w:t>pipes, </w:t>
      </w:r>
      <w:r>
        <w:rPr>
          <w:spacing w:val="-2"/>
          <w:w w:val="105"/>
          <w:sz w:val="20"/>
        </w:rPr>
        <w:t>failed </w:t>
      </w:r>
      <w:r>
        <w:rPr>
          <w:w w:val="105"/>
          <w:sz w:val="20"/>
        </w:rPr>
        <w:t>Victorian footings or damaged down pipes were the cause of </w:t>
      </w:r>
      <w:r>
        <w:rPr>
          <w:spacing w:val="-3"/>
          <w:w w:val="105"/>
          <w:sz w:val="20"/>
        </w:rPr>
        <w:t>damage. </w:t>
      </w:r>
      <w:r>
        <w:rPr>
          <w:w w:val="105"/>
          <w:sz w:val="20"/>
        </w:rPr>
        <w:t>If the footings were damp where damage had occurred it was often leaking pipes or </w:t>
      </w:r>
      <w:r>
        <w:rPr>
          <w:spacing w:val="-2"/>
          <w:w w:val="105"/>
          <w:sz w:val="20"/>
        </w:rPr>
        <w:t>failed </w:t>
      </w:r>
      <w:r>
        <w:rPr>
          <w:w w:val="105"/>
          <w:sz w:val="20"/>
        </w:rPr>
        <w:t>storm water that had caused footings to</w:t>
      </w:r>
      <w:r>
        <w:rPr>
          <w:spacing w:val="16"/>
          <w:w w:val="105"/>
          <w:sz w:val="20"/>
        </w:rPr>
        <w:t> </w:t>
      </w:r>
      <w:r>
        <w:rPr>
          <w:spacing w:val="-4"/>
          <w:w w:val="105"/>
          <w:sz w:val="20"/>
        </w:rPr>
        <w:t>slump.</w:t>
      </w:r>
      <w:r>
        <w:rPr>
          <w:spacing w:val="-4"/>
          <w:w w:val="105"/>
          <w:position w:val="7"/>
          <w:sz w:val="11"/>
        </w:rPr>
        <w:t>167</w:t>
      </w:r>
    </w:p>
    <w:p>
      <w:pPr>
        <w:pStyle w:val="ListParagraph"/>
        <w:numPr>
          <w:ilvl w:val="1"/>
          <w:numId w:val="16"/>
        </w:numPr>
        <w:tabs>
          <w:tab w:pos="2381" w:val="left" w:leader="none"/>
          <w:tab w:pos="2382" w:val="left" w:leader="none"/>
        </w:tabs>
        <w:spacing w:line="242" w:lineRule="auto" w:before="123" w:after="0"/>
        <w:ind w:left="2381" w:right="1717" w:hanging="794"/>
        <w:jc w:val="left"/>
        <w:rPr>
          <w:sz w:val="21"/>
        </w:rPr>
      </w:pPr>
      <w:r>
        <w:rPr>
          <w:w w:val="105"/>
          <w:sz w:val="21"/>
        </w:rPr>
        <w:t>Early </w:t>
      </w:r>
      <w:r>
        <w:rPr>
          <w:spacing w:val="-3"/>
          <w:w w:val="105"/>
          <w:sz w:val="21"/>
        </w:rPr>
        <w:t>management techniques, such </w:t>
      </w:r>
      <w:r>
        <w:rPr>
          <w:w w:val="105"/>
          <w:sz w:val="21"/>
        </w:rPr>
        <w:t>as proper tree </w:t>
      </w:r>
      <w:r>
        <w:rPr>
          <w:spacing w:val="-3"/>
          <w:w w:val="105"/>
          <w:sz w:val="21"/>
        </w:rPr>
        <w:t>placement </w:t>
      </w:r>
      <w:r>
        <w:rPr>
          <w:w w:val="105"/>
          <w:sz w:val="21"/>
        </w:rPr>
        <w:t>on properties and early </w:t>
      </w:r>
      <w:r>
        <w:rPr>
          <w:spacing w:val="-3"/>
          <w:w w:val="105"/>
          <w:sz w:val="21"/>
        </w:rPr>
        <w:t>formative pruning, </w:t>
      </w:r>
      <w:r>
        <w:rPr>
          <w:w w:val="105"/>
          <w:sz w:val="21"/>
        </w:rPr>
        <w:t>can be used </w:t>
      </w:r>
      <w:r>
        <w:rPr>
          <w:spacing w:val="-3"/>
          <w:w w:val="105"/>
          <w:sz w:val="21"/>
        </w:rPr>
        <w:t>to prevent </w:t>
      </w:r>
      <w:r>
        <w:rPr>
          <w:w w:val="105"/>
          <w:sz w:val="21"/>
        </w:rPr>
        <w:t>tree </w:t>
      </w:r>
      <w:r>
        <w:rPr>
          <w:spacing w:val="-3"/>
          <w:w w:val="105"/>
          <w:sz w:val="21"/>
        </w:rPr>
        <w:t>disputes from arising </w:t>
      </w:r>
      <w:r>
        <w:rPr>
          <w:w w:val="105"/>
          <w:sz w:val="21"/>
        </w:rPr>
        <w:t>in the first </w:t>
      </w:r>
      <w:r>
        <w:rPr>
          <w:spacing w:val="-5"/>
          <w:w w:val="105"/>
          <w:sz w:val="21"/>
        </w:rPr>
        <w:t>place.</w:t>
      </w:r>
      <w:r>
        <w:rPr>
          <w:spacing w:val="-5"/>
          <w:w w:val="105"/>
          <w:position w:val="7"/>
          <w:sz w:val="12"/>
        </w:rPr>
        <w:t>168</w:t>
      </w:r>
      <w:r>
        <w:rPr>
          <w:spacing w:val="-5"/>
          <w:w w:val="105"/>
          <w:sz w:val="12"/>
        </w:rPr>
        <w:t> </w:t>
      </w:r>
      <w:r>
        <w:rPr>
          <w:spacing w:val="-4"/>
          <w:w w:val="105"/>
          <w:sz w:val="21"/>
        </w:rPr>
        <w:t>However, </w:t>
      </w:r>
      <w:r>
        <w:rPr>
          <w:w w:val="105"/>
          <w:sz w:val="21"/>
        </w:rPr>
        <w:t>it was acknowledged </w:t>
      </w:r>
      <w:r>
        <w:rPr>
          <w:spacing w:val="-3"/>
          <w:w w:val="105"/>
          <w:sz w:val="21"/>
        </w:rPr>
        <w:t>that </w:t>
      </w:r>
      <w:r>
        <w:rPr>
          <w:w w:val="105"/>
          <w:sz w:val="21"/>
        </w:rPr>
        <w:t>without widespread community awareness about </w:t>
      </w:r>
      <w:r>
        <w:rPr>
          <w:spacing w:val="-3"/>
          <w:w w:val="105"/>
          <w:sz w:val="21"/>
        </w:rPr>
        <w:t>arboriculture</w:t>
      </w:r>
      <w:r>
        <w:rPr>
          <w:spacing w:val="-9"/>
          <w:w w:val="105"/>
          <w:sz w:val="21"/>
        </w:rPr>
        <w:t> </w:t>
      </w:r>
      <w:r>
        <w:rPr>
          <w:w w:val="105"/>
          <w:sz w:val="21"/>
        </w:rPr>
        <w:t>and</w:t>
      </w:r>
      <w:r>
        <w:rPr>
          <w:spacing w:val="-9"/>
          <w:w w:val="105"/>
          <w:sz w:val="21"/>
        </w:rPr>
        <w:t> </w:t>
      </w:r>
      <w:r>
        <w:rPr>
          <w:w w:val="105"/>
          <w:sz w:val="21"/>
        </w:rPr>
        <w:t>tree</w:t>
      </w:r>
      <w:r>
        <w:rPr>
          <w:spacing w:val="-9"/>
          <w:w w:val="105"/>
          <w:sz w:val="21"/>
        </w:rPr>
        <w:t> </w:t>
      </w:r>
      <w:r>
        <w:rPr>
          <w:spacing w:val="-3"/>
          <w:w w:val="105"/>
          <w:sz w:val="21"/>
        </w:rPr>
        <w:t>management,</w:t>
      </w:r>
      <w:r>
        <w:rPr>
          <w:spacing w:val="-9"/>
          <w:w w:val="105"/>
          <w:sz w:val="21"/>
        </w:rPr>
        <w:t> </w:t>
      </w:r>
      <w:r>
        <w:rPr>
          <w:w w:val="105"/>
          <w:sz w:val="21"/>
        </w:rPr>
        <w:t>community</w:t>
      </w:r>
      <w:r>
        <w:rPr>
          <w:spacing w:val="-9"/>
          <w:w w:val="105"/>
          <w:sz w:val="21"/>
        </w:rPr>
        <w:t> </w:t>
      </w:r>
      <w:r>
        <w:rPr>
          <w:w w:val="105"/>
          <w:sz w:val="21"/>
        </w:rPr>
        <w:t>members</w:t>
      </w:r>
      <w:r>
        <w:rPr>
          <w:spacing w:val="-9"/>
          <w:w w:val="105"/>
          <w:sz w:val="21"/>
        </w:rPr>
        <w:t> </w:t>
      </w:r>
      <w:r>
        <w:rPr>
          <w:spacing w:val="-3"/>
          <w:w w:val="105"/>
          <w:sz w:val="21"/>
        </w:rPr>
        <w:t>cannot</w:t>
      </w:r>
      <w:r>
        <w:rPr>
          <w:spacing w:val="-9"/>
          <w:w w:val="105"/>
          <w:sz w:val="21"/>
        </w:rPr>
        <w:t> </w:t>
      </w:r>
      <w:r>
        <w:rPr>
          <w:w w:val="105"/>
          <w:sz w:val="21"/>
        </w:rPr>
        <w:t>be</w:t>
      </w:r>
      <w:r>
        <w:rPr>
          <w:spacing w:val="-9"/>
          <w:w w:val="105"/>
          <w:sz w:val="21"/>
        </w:rPr>
        <w:t> </w:t>
      </w:r>
      <w:r>
        <w:rPr>
          <w:w w:val="105"/>
          <w:sz w:val="21"/>
        </w:rPr>
        <w:t>expected</w:t>
      </w:r>
      <w:r>
        <w:rPr>
          <w:spacing w:val="-9"/>
          <w:w w:val="105"/>
          <w:sz w:val="21"/>
        </w:rPr>
        <w:t> </w:t>
      </w:r>
      <w:r>
        <w:rPr>
          <w:spacing w:val="-3"/>
          <w:w w:val="105"/>
          <w:sz w:val="21"/>
        </w:rPr>
        <w:t>to</w:t>
      </w:r>
      <w:r>
        <w:rPr>
          <w:spacing w:val="-9"/>
          <w:w w:val="105"/>
          <w:sz w:val="21"/>
        </w:rPr>
        <w:t> </w:t>
      </w:r>
      <w:r>
        <w:rPr>
          <w:w w:val="105"/>
          <w:sz w:val="21"/>
        </w:rPr>
        <w:t>always be proactive in the </w:t>
      </w:r>
      <w:r>
        <w:rPr>
          <w:spacing w:val="-3"/>
          <w:w w:val="105"/>
          <w:sz w:val="21"/>
        </w:rPr>
        <w:t>management </w:t>
      </w:r>
      <w:r>
        <w:rPr>
          <w:w w:val="105"/>
          <w:sz w:val="21"/>
        </w:rPr>
        <w:t>of trees on their</w:t>
      </w:r>
      <w:r>
        <w:rPr>
          <w:spacing w:val="38"/>
          <w:w w:val="105"/>
          <w:sz w:val="21"/>
        </w:rPr>
        <w:t> </w:t>
      </w:r>
      <w:r>
        <w:rPr>
          <w:spacing w:val="-5"/>
          <w:w w:val="105"/>
          <w:sz w:val="21"/>
        </w:rPr>
        <w:t>land.</w:t>
      </w:r>
      <w:r>
        <w:rPr>
          <w:spacing w:val="-5"/>
          <w:w w:val="105"/>
          <w:position w:val="7"/>
          <w:sz w:val="12"/>
        </w:rPr>
        <w:t>169</w:t>
      </w:r>
    </w:p>
    <w:p>
      <w:pPr>
        <w:pStyle w:val="ListParagraph"/>
        <w:numPr>
          <w:ilvl w:val="1"/>
          <w:numId w:val="16"/>
        </w:numPr>
        <w:tabs>
          <w:tab w:pos="2380" w:val="left" w:leader="none"/>
          <w:tab w:pos="2382" w:val="left" w:leader="none"/>
        </w:tabs>
        <w:spacing w:line="242" w:lineRule="auto" w:before="125" w:after="0"/>
        <w:ind w:left="2381" w:right="1738" w:hanging="794"/>
        <w:jc w:val="left"/>
        <w:rPr>
          <w:sz w:val="21"/>
        </w:rPr>
      </w:pPr>
      <w:r>
        <w:rPr>
          <w:sz w:val="21"/>
        </w:rPr>
        <w:t>Dr Moore also explained </w:t>
      </w:r>
      <w:r>
        <w:rPr>
          <w:spacing w:val="-3"/>
          <w:sz w:val="21"/>
        </w:rPr>
        <w:t>that </w:t>
      </w:r>
      <w:r>
        <w:rPr>
          <w:sz w:val="21"/>
        </w:rPr>
        <w:t>the </w:t>
      </w:r>
      <w:r>
        <w:rPr>
          <w:spacing w:val="-4"/>
          <w:sz w:val="21"/>
        </w:rPr>
        <w:t>insurance </w:t>
      </w:r>
      <w:r>
        <w:rPr>
          <w:sz w:val="21"/>
        </w:rPr>
        <w:t>industry can also fuel </w:t>
      </w:r>
      <w:r>
        <w:rPr>
          <w:spacing w:val="-3"/>
          <w:sz w:val="21"/>
        </w:rPr>
        <w:t>people’s  </w:t>
      </w:r>
      <w:r>
        <w:rPr>
          <w:sz w:val="21"/>
        </w:rPr>
        <w:t>perceived risk  of trees. Dr Moore  described  advertisements  </w:t>
      </w:r>
      <w:r>
        <w:rPr>
          <w:spacing w:val="-3"/>
          <w:sz w:val="21"/>
        </w:rPr>
        <w:t>from  </w:t>
      </w:r>
      <w:r>
        <w:rPr>
          <w:sz w:val="21"/>
        </w:rPr>
        <w:t>a  well-known  </w:t>
      </w:r>
      <w:r>
        <w:rPr>
          <w:spacing w:val="-4"/>
          <w:sz w:val="21"/>
        </w:rPr>
        <w:t>insurance  </w:t>
      </w:r>
      <w:r>
        <w:rPr>
          <w:spacing w:val="-3"/>
          <w:sz w:val="21"/>
        </w:rPr>
        <w:t>company that </w:t>
      </w:r>
      <w:r>
        <w:rPr>
          <w:sz w:val="21"/>
        </w:rPr>
        <w:t>offered </w:t>
      </w:r>
      <w:r>
        <w:rPr>
          <w:spacing w:val="-3"/>
          <w:sz w:val="21"/>
        </w:rPr>
        <w:t>to charge </w:t>
      </w:r>
      <w:r>
        <w:rPr>
          <w:sz w:val="21"/>
        </w:rPr>
        <w:t>people lower </w:t>
      </w:r>
      <w:r>
        <w:rPr>
          <w:spacing w:val="-3"/>
          <w:sz w:val="21"/>
        </w:rPr>
        <w:t>premiums </w:t>
      </w:r>
      <w:r>
        <w:rPr>
          <w:sz w:val="21"/>
        </w:rPr>
        <w:t>if they </w:t>
      </w:r>
      <w:r>
        <w:rPr>
          <w:spacing w:val="-2"/>
          <w:sz w:val="21"/>
        </w:rPr>
        <w:t>had </w:t>
      </w:r>
      <w:r>
        <w:rPr>
          <w:sz w:val="21"/>
        </w:rPr>
        <w:t>no trees on their </w:t>
      </w:r>
      <w:r>
        <w:rPr>
          <w:spacing w:val="-3"/>
          <w:sz w:val="21"/>
        </w:rPr>
        <w:t>land. </w:t>
      </w:r>
      <w:r>
        <w:rPr>
          <w:sz w:val="21"/>
        </w:rPr>
        <w:t>He also suggested </w:t>
      </w:r>
      <w:r>
        <w:rPr>
          <w:spacing w:val="-3"/>
          <w:sz w:val="21"/>
        </w:rPr>
        <w:t>that </w:t>
      </w:r>
      <w:r>
        <w:rPr>
          <w:sz w:val="21"/>
        </w:rPr>
        <w:t>stories in the media about trees </w:t>
      </w:r>
      <w:r>
        <w:rPr>
          <w:spacing w:val="-4"/>
          <w:sz w:val="21"/>
        </w:rPr>
        <w:t>falling </w:t>
      </w:r>
      <w:r>
        <w:rPr>
          <w:sz w:val="21"/>
        </w:rPr>
        <w:t>in storms can </w:t>
      </w:r>
      <w:r>
        <w:rPr>
          <w:spacing w:val="-3"/>
          <w:sz w:val="21"/>
        </w:rPr>
        <w:t>exacerbate people’s </w:t>
      </w:r>
      <w:r>
        <w:rPr>
          <w:sz w:val="21"/>
        </w:rPr>
        <w:t>existing</w:t>
      </w:r>
      <w:r>
        <w:rPr>
          <w:spacing w:val="17"/>
          <w:sz w:val="21"/>
        </w:rPr>
        <w:t> </w:t>
      </w:r>
      <w:r>
        <w:rPr>
          <w:spacing w:val="-3"/>
          <w:sz w:val="21"/>
        </w:rPr>
        <w:t>misperceptions</w:t>
      </w:r>
      <w:r>
        <w:rPr>
          <w:spacing w:val="17"/>
          <w:sz w:val="21"/>
        </w:rPr>
        <w:t> </w:t>
      </w:r>
      <w:r>
        <w:rPr>
          <w:sz w:val="21"/>
        </w:rPr>
        <w:t>of</w:t>
      </w:r>
      <w:r>
        <w:rPr>
          <w:spacing w:val="17"/>
          <w:sz w:val="21"/>
        </w:rPr>
        <w:t> </w:t>
      </w:r>
      <w:r>
        <w:rPr>
          <w:sz w:val="21"/>
        </w:rPr>
        <w:t>trees</w:t>
      </w:r>
      <w:r>
        <w:rPr>
          <w:spacing w:val="18"/>
          <w:sz w:val="21"/>
        </w:rPr>
        <w:t> </w:t>
      </w:r>
      <w:r>
        <w:rPr>
          <w:sz w:val="21"/>
        </w:rPr>
        <w:t>when</w:t>
      </w:r>
      <w:r>
        <w:rPr>
          <w:spacing w:val="17"/>
          <w:sz w:val="21"/>
        </w:rPr>
        <w:t> </w:t>
      </w:r>
      <w:r>
        <w:rPr>
          <w:sz w:val="21"/>
        </w:rPr>
        <w:t>they</w:t>
      </w:r>
      <w:r>
        <w:rPr>
          <w:spacing w:val="17"/>
          <w:sz w:val="21"/>
        </w:rPr>
        <w:t> </w:t>
      </w:r>
      <w:r>
        <w:rPr>
          <w:spacing w:val="-3"/>
          <w:sz w:val="21"/>
        </w:rPr>
        <w:t>are</w:t>
      </w:r>
      <w:r>
        <w:rPr>
          <w:spacing w:val="18"/>
          <w:sz w:val="21"/>
        </w:rPr>
        <w:t> </w:t>
      </w:r>
      <w:r>
        <w:rPr>
          <w:sz w:val="21"/>
        </w:rPr>
        <w:t>buying</w:t>
      </w:r>
      <w:r>
        <w:rPr>
          <w:spacing w:val="17"/>
          <w:sz w:val="21"/>
        </w:rPr>
        <w:t> </w:t>
      </w:r>
      <w:r>
        <w:rPr>
          <w:sz w:val="21"/>
        </w:rPr>
        <w:t>or</w:t>
      </w:r>
      <w:r>
        <w:rPr>
          <w:spacing w:val="17"/>
          <w:sz w:val="21"/>
        </w:rPr>
        <w:t> </w:t>
      </w:r>
      <w:r>
        <w:rPr>
          <w:spacing w:val="-3"/>
          <w:sz w:val="21"/>
        </w:rPr>
        <w:t>living</w:t>
      </w:r>
      <w:r>
        <w:rPr>
          <w:spacing w:val="17"/>
          <w:sz w:val="21"/>
        </w:rPr>
        <w:t> </w:t>
      </w:r>
      <w:r>
        <w:rPr>
          <w:sz w:val="21"/>
        </w:rPr>
        <w:t>on</w:t>
      </w:r>
      <w:r>
        <w:rPr>
          <w:spacing w:val="18"/>
          <w:sz w:val="21"/>
        </w:rPr>
        <w:t> </w:t>
      </w:r>
      <w:r>
        <w:rPr>
          <w:sz w:val="21"/>
        </w:rPr>
        <w:t>vegetated</w:t>
      </w:r>
      <w:r>
        <w:rPr>
          <w:spacing w:val="17"/>
          <w:sz w:val="21"/>
        </w:rPr>
        <w:t> </w:t>
      </w:r>
      <w:r>
        <w:rPr>
          <w:spacing w:val="-6"/>
          <w:sz w:val="21"/>
        </w:rPr>
        <w:t>land.</w:t>
      </w:r>
      <w:r>
        <w:rPr>
          <w:spacing w:val="-6"/>
          <w:position w:val="7"/>
          <w:sz w:val="12"/>
        </w:rPr>
        <w:t>170</w:t>
      </w:r>
    </w:p>
    <w:p>
      <w:pPr>
        <w:pStyle w:val="BodyText"/>
        <w:spacing w:before="6"/>
        <w:rPr>
          <w:sz w:val="20"/>
        </w:rPr>
      </w:pPr>
    </w:p>
    <w:p>
      <w:pPr>
        <w:pStyle w:val="Heading5"/>
      </w:pPr>
      <w:r>
        <w:rPr>
          <w:w w:val="115"/>
        </w:rPr>
        <w:t>Problems obtaining expert assistance</w:t>
      </w:r>
    </w:p>
    <w:p>
      <w:pPr>
        <w:pStyle w:val="ListParagraph"/>
        <w:numPr>
          <w:ilvl w:val="1"/>
          <w:numId w:val="16"/>
        </w:numPr>
        <w:tabs>
          <w:tab w:pos="2380" w:val="left" w:leader="none"/>
          <w:tab w:pos="2381" w:val="left" w:leader="none"/>
        </w:tabs>
        <w:spacing w:line="242" w:lineRule="auto" w:before="138" w:after="0"/>
        <w:ind w:left="2381" w:right="1586" w:hanging="794"/>
        <w:jc w:val="left"/>
        <w:rPr>
          <w:sz w:val="21"/>
        </w:rPr>
      </w:pPr>
      <w:r>
        <w:rPr>
          <w:sz w:val="21"/>
        </w:rPr>
        <w:t>An arborist is a qualified </w:t>
      </w:r>
      <w:r>
        <w:rPr>
          <w:spacing w:val="-3"/>
          <w:sz w:val="21"/>
        </w:rPr>
        <w:t>professional trained </w:t>
      </w:r>
      <w:r>
        <w:rPr>
          <w:sz w:val="21"/>
        </w:rPr>
        <w:t>in </w:t>
      </w:r>
      <w:r>
        <w:rPr>
          <w:spacing w:val="-3"/>
          <w:sz w:val="21"/>
        </w:rPr>
        <w:t>cultivating, caring  </w:t>
      </w:r>
      <w:r>
        <w:rPr>
          <w:spacing w:val="-6"/>
          <w:sz w:val="21"/>
        </w:rPr>
        <w:t>for,  </w:t>
      </w:r>
      <w:r>
        <w:rPr>
          <w:sz w:val="21"/>
        </w:rPr>
        <w:t>and  </w:t>
      </w:r>
      <w:r>
        <w:rPr>
          <w:spacing w:val="-3"/>
          <w:sz w:val="21"/>
        </w:rPr>
        <w:t>maintaining </w:t>
      </w:r>
      <w:r>
        <w:rPr>
          <w:spacing w:val="-5"/>
          <w:sz w:val="21"/>
        </w:rPr>
        <w:t>trees.</w:t>
      </w:r>
      <w:r>
        <w:rPr>
          <w:spacing w:val="-5"/>
          <w:position w:val="7"/>
          <w:sz w:val="12"/>
        </w:rPr>
        <w:t>171 </w:t>
      </w:r>
      <w:r>
        <w:rPr>
          <w:sz w:val="21"/>
        </w:rPr>
        <w:t>Arborists </w:t>
      </w:r>
      <w:r>
        <w:rPr>
          <w:spacing w:val="-3"/>
          <w:sz w:val="21"/>
        </w:rPr>
        <w:t>are </w:t>
      </w:r>
      <w:r>
        <w:rPr>
          <w:sz w:val="21"/>
        </w:rPr>
        <w:t>best </w:t>
      </w:r>
      <w:r>
        <w:rPr>
          <w:spacing w:val="-2"/>
          <w:sz w:val="21"/>
        </w:rPr>
        <w:t>placed </w:t>
      </w:r>
      <w:r>
        <w:rPr>
          <w:spacing w:val="-3"/>
          <w:sz w:val="21"/>
        </w:rPr>
        <w:t>to </w:t>
      </w:r>
      <w:r>
        <w:rPr>
          <w:sz w:val="21"/>
        </w:rPr>
        <w:t>assess the </w:t>
      </w:r>
      <w:r>
        <w:rPr>
          <w:spacing w:val="-3"/>
          <w:sz w:val="21"/>
        </w:rPr>
        <w:t>health </w:t>
      </w:r>
      <w:r>
        <w:rPr>
          <w:sz w:val="21"/>
        </w:rPr>
        <w:t>and </w:t>
      </w:r>
      <w:r>
        <w:rPr>
          <w:spacing w:val="-3"/>
          <w:sz w:val="21"/>
        </w:rPr>
        <w:t>condition  </w:t>
      </w:r>
      <w:r>
        <w:rPr>
          <w:sz w:val="21"/>
        </w:rPr>
        <w:t>of  trees  and  </w:t>
      </w:r>
      <w:r>
        <w:rPr>
          <w:spacing w:val="-3"/>
          <w:sz w:val="21"/>
        </w:rPr>
        <w:t>any </w:t>
      </w:r>
      <w:r>
        <w:rPr>
          <w:sz w:val="21"/>
        </w:rPr>
        <w:t>possible impact or </w:t>
      </w:r>
      <w:r>
        <w:rPr>
          <w:spacing w:val="-3"/>
          <w:sz w:val="21"/>
        </w:rPr>
        <w:t>interference </w:t>
      </w:r>
      <w:r>
        <w:rPr>
          <w:sz w:val="21"/>
        </w:rPr>
        <w:t>they </w:t>
      </w:r>
      <w:r>
        <w:rPr>
          <w:spacing w:val="-3"/>
          <w:sz w:val="21"/>
        </w:rPr>
        <w:t>will have </w:t>
      </w:r>
      <w:r>
        <w:rPr>
          <w:sz w:val="21"/>
        </w:rPr>
        <w:t>on </w:t>
      </w:r>
      <w:r>
        <w:rPr>
          <w:spacing w:val="-3"/>
          <w:sz w:val="21"/>
        </w:rPr>
        <w:t>built </w:t>
      </w:r>
      <w:r>
        <w:rPr>
          <w:sz w:val="21"/>
        </w:rPr>
        <w:t>structures. Private arborists reported </w:t>
      </w:r>
      <w:r>
        <w:rPr>
          <w:spacing w:val="-3"/>
          <w:sz w:val="21"/>
        </w:rPr>
        <w:t>that </w:t>
      </w:r>
      <w:r>
        <w:rPr>
          <w:sz w:val="21"/>
        </w:rPr>
        <w:t>they </w:t>
      </w:r>
      <w:r>
        <w:rPr>
          <w:spacing w:val="-3"/>
          <w:sz w:val="21"/>
        </w:rPr>
        <w:t>are frequently </w:t>
      </w:r>
      <w:r>
        <w:rPr>
          <w:sz w:val="21"/>
        </w:rPr>
        <w:t>contacted by people </w:t>
      </w:r>
      <w:r>
        <w:rPr>
          <w:spacing w:val="-3"/>
          <w:sz w:val="21"/>
        </w:rPr>
        <w:t>for </w:t>
      </w:r>
      <w:r>
        <w:rPr>
          <w:sz w:val="21"/>
        </w:rPr>
        <w:t>help with a tree</w:t>
      </w:r>
      <w:r>
        <w:rPr>
          <w:spacing w:val="-23"/>
          <w:sz w:val="21"/>
        </w:rPr>
        <w:t> </w:t>
      </w:r>
      <w:r>
        <w:rPr>
          <w:spacing w:val="-5"/>
          <w:sz w:val="21"/>
        </w:rPr>
        <w:t>dispute.</w:t>
      </w:r>
      <w:r>
        <w:rPr>
          <w:spacing w:val="-5"/>
          <w:position w:val="7"/>
          <w:sz w:val="12"/>
        </w:rPr>
        <w:t>172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r>
        <w:rPr/>
        <w:pict>
          <v:line style="position:absolute;mso-position-horizontal-relative:page;mso-position-vertical-relative:paragraph;z-index:416;mso-wrap-distance-left:0;mso-wrap-distance-right:0" from="79.370003pt,11.879198pt" to="515.905003pt,11.879198pt" stroked="true" strokeweight="1pt" strokecolor="#c9d2cb">
            <v:stroke dashstyle="solid"/>
            <w10:wrap type="topAndBottom"/>
          </v:line>
        </w:pict>
      </w:r>
    </w:p>
    <w:p>
      <w:pPr>
        <w:pStyle w:val="ListParagraph"/>
        <w:numPr>
          <w:ilvl w:val="0"/>
          <w:numId w:val="21"/>
        </w:numPr>
        <w:tabs>
          <w:tab w:pos="2381" w:val="left" w:leader="none"/>
          <w:tab w:pos="2382" w:val="left" w:leader="none"/>
        </w:tabs>
        <w:spacing w:line="240" w:lineRule="auto" w:before="117" w:after="0"/>
        <w:ind w:left="2381" w:right="0" w:hanging="794"/>
        <w:jc w:val="left"/>
        <w:rPr>
          <w:sz w:val="13"/>
        </w:rPr>
      </w:pPr>
      <w:r>
        <w:rPr>
          <w:w w:val="105"/>
          <w:sz w:val="13"/>
        </w:rPr>
        <w:t>Consultation 6 </w:t>
      </w:r>
      <w:r>
        <w:rPr>
          <w:spacing w:val="2"/>
          <w:w w:val="105"/>
          <w:sz w:val="13"/>
        </w:rPr>
        <w:t>(Ben</w:t>
      </w:r>
      <w:r>
        <w:rPr>
          <w:spacing w:val="13"/>
          <w:w w:val="105"/>
          <w:sz w:val="13"/>
        </w:rPr>
        <w:t> </w:t>
      </w:r>
      <w:r>
        <w:rPr>
          <w:w w:val="105"/>
          <w:sz w:val="13"/>
        </w:rPr>
        <w:t>Kenyon).</w:t>
      </w:r>
    </w:p>
    <w:p>
      <w:pPr>
        <w:pStyle w:val="ListParagraph"/>
        <w:numPr>
          <w:ilvl w:val="0"/>
          <w:numId w:val="21"/>
        </w:numPr>
        <w:tabs>
          <w:tab w:pos="2381" w:val="left" w:leader="none"/>
          <w:tab w:pos="2382" w:val="left" w:leader="none"/>
        </w:tabs>
        <w:spacing w:line="240" w:lineRule="auto" w:before="1" w:after="0"/>
        <w:ind w:left="2381" w:right="0" w:hanging="794"/>
        <w:jc w:val="left"/>
        <w:rPr>
          <w:sz w:val="13"/>
        </w:rPr>
      </w:pPr>
      <w:r>
        <w:rPr>
          <w:w w:val="105"/>
          <w:sz w:val="13"/>
        </w:rPr>
        <w:t>Consultation</w:t>
      </w:r>
      <w:r>
        <w:rPr>
          <w:spacing w:val="11"/>
          <w:w w:val="105"/>
          <w:sz w:val="13"/>
        </w:rPr>
        <w:t> </w:t>
      </w:r>
      <w:r>
        <w:rPr>
          <w:w w:val="105"/>
          <w:sz w:val="13"/>
        </w:rPr>
        <w:t>2</w:t>
      </w:r>
      <w:r>
        <w:rPr>
          <w:spacing w:val="12"/>
          <w:w w:val="105"/>
          <w:sz w:val="13"/>
        </w:rPr>
        <w:t> </w:t>
      </w:r>
      <w:r>
        <w:rPr>
          <w:spacing w:val="3"/>
          <w:w w:val="105"/>
          <w:sz w:val="13"/>
        </w:rPr>
        <w:t>(Dr</w:t>
      </w:r>
      <w:r>
        <w:rPr>
          <w:spacing w:val="12"/>
          <w:w w:val="105"/>
          <w:sz w:val="13"/>
        </w:rPr>
        <w:t> </w:t>
      </w:r>
      <w:r>
        <w:rPr>
          <w:w w:val="105"/>
          <w:sz w:val="13"/>
        </w:rPr>
        <w:t>Gregory</w:t>
      </w:r>
      <w:r>
        <w:rPr>
          <w:spacing w:val="11"/>
          <w:w w:val="105"/>
          <w:sz w:val="13"/>
        </w:rPr>
        <w:t> </w:t>
      </w:r>
      <w:r>
        <w:rPr>
          <w:w w:val="105"/>
          <w:sz w:val="13"/>
        </w:rPr>
        <w:t>Moore</w:t>
      </w:r>
      <w:r>
        <w:rPr>
          <w:spacing w:val="12"/>
          <w:w w:val="105"/>
          <w:sz w:val="13"/>
        </w:rPr>
        <w:t> </w:t>
      </w:r>
      <w:r>
        <w:rPr>
          <w:spacing w:val="2"/>
          <w:w w:val="105"/>
          <w:sz w:val="13"/>
        </w:rPr>
        <w:t>OAM).</w:t>
      </w:r>
    </w:p>
    <w:p>
      <w:pPr>
        <w:pStyle w:val="ListParagraph"/>
        <w:numPr>
          <w:ilvl w:val="0"/>
          <w:numId w:val="21"/>
        </w:numPr>
        <w:tabs>
          <w:tab w:pos="2381" w:val="left" w:leader="none"/>
          <w:tab w:pos="2382" w:val="left" w:leader="none"/>
        </w:tabs>
        <w:spacing w:line="240" w:lineRule="auto" w:before="2" w:after="0"/>
        <w:ind w:left="2381" w:right="0" w:hanging="794"/>
        <w:jc w:val="left"/>
        <w:rPr>
          <w:sz w:val="13"/>
        </w:rPr>
      </w:pPr>
      <w:r>
        <w:rPr>
          <w:w w:val="105"/>
          <w:sz w:val="13"/>
        </w:rPr>
        <w:t>Submission </w:t>
      </w:r>
      <w:r>
        <w:rPr>
          <w:spacing w:val="-4"/>
          <w:w w:val="105"/>
          <w:sz w:val="13"/>
        </w:rPr>
        <w:t>12  </w:t>
      </w:r>
      <w:r>
        <w:rPr>
          <w:spacing w:val="3"/>
          <w:w w:val="105"/>
          <w:sz w:val="13"/>
        </w:rPr>
        <w:t>(Dr </w:t>
      </w:r>
      <w:r>
        <w:rPr>
          <w:w w:val="105"/>
          <w:sz w:val="13"/>
        </w:rPr>
        <w:t>Gregory Moore</w:t>
      </w:r>
      <w:r>
        <w:rPr>
          <w:spacing w:val="27"/>
          <w:w w:val="105"/>
          <w:sz w:val="13"/>
        </w:rPr>
        <w:t> </w:t>
      </w:r>
      <w:r>
        <w:rPr>
          <w:spacing w:val="2"/>
          <w:w w:val="105"/>
          <w:sz w:val="13"/>
        </w:rPr>
        <w:t>OAM).</w:t>
      </w:r>
    </w:p>
    <w:p>
      <w:pPr>
        <w:pStyle w:val="ListParagraph"/>
        <w:numPr>
          <w:ilvl w:val="0"/>
          <w:numId w:val="21"/>
        </w:numPr>
        <w:tabs>
          <w:tab w:pos="2381" w:val="left" w:leader="none"/>
          <w:tab w:pos="2382" w:val="left" w:leader="none"/>
        </w:tabs>
        <w:spacing w:line="240" w:lineRule="auto" w:before="1" w:after="0"/>
        <w:ind w:left="2381" w:right="0" w:hanging="794"/>
        <w:jc w:val="left"/>
        <w:rPr>
          <w:sz w:val="13"/>
        </w:rPr>
      </w:pPr>
      <w:r>
        <w:rPr>
          <w:w w:val="105"/>
          <w:sz w:val="13"/>
        </w:rPr>
        <w:t>Submission 9 </w:t>
      </w:r>
      <w:r>
        <w:rPr>
          <w:spacing w:val="3"/>
          <w:w w:val="105"/>
          <w:sz w:val="13"/>
        </w:rPr>
        <w:t>(Dr </w:t>
      </w:r>
      <w:r>
        <w:rPr>
          <w:w w:val="105"/>
          <w:sz w:val="13"/>
        </w:rPr>
        <w:t>Karen</w:t>
      </w:r>
      <w:r>
        <w:rPr>
          <w:spacing w:val="15"/>
          <w:w w:val="105"/>
          <w:sz w:val="13"/>
        </w:rPr>
        <w:t> </w:t>
      </w:r>
      <w:r>
        <w:rPr>
          <w:w w:val="105"/>
          <w:sz w:val="13"/>
        </w:rPr>
        <w:t>Smith).</w:t>
      </w:r>
    </w:p>
    <w:p>
      <w:pPr>
        <w:pStyle w:val="ListParagraph"/>
        <w:numPr>
          <w:ilvl w:val="0"/>
          <w:numId w:val="21"/>
        </w:numPr>
        <w:tabs>
          <w:tab w:pos="2381" w:val="left" w:leader="none"/>
          <w:tab w:pos="2382" w:val="left" w:leader="none"/>
        </w:tabs>
        <w:spacing w:line="240" w:lineRule="auto" w:before="1" w:after="0"/>
        <w:ind w:left="2381" w:right="0" w:hanging="794"/>
        <w:jc w:val="left"/>
        <w:rPr>
          <w:sz w:val="13"/>
        </w:rPr>
      </w:pPr>
      <w:r>
        <w:rPr>
          <w:w w:val="105"/>
          <w:sz w:val="13"/>
        </w:rPr>
        <w:t>Submission</w:t>
      </w:r>
      <w:r>
        <w:rPr>
          <w:spacing w:val="5"/>
          <w:w w:val="105"/>
          <w:sz w:val="13"/>
        </w:rPr>
        <w:t> </w:t>
      </w:r>
      <w:r>
        <w:rPr>
          <w:spacing w:val="-4"/>
          <w:w w:val="105"/>
          <w:sz w:val="13"/>
        </w:rPr>
        <w:t>12</w:t>
      </w:r>
      <w:r>
        <w:rPr>
          <w:spacing w:val="5"/>
          <w:w w:val="105"/>
          <w:sz w:val="13"/>
        </w:rPr>
        <w:t> </w:t>
      </w:r>
      <w:r>
        <w:rPr>
          <w:spacing w:val="3"/>
          <w:w w:val="105"/>
          <w:sz w:val="13"/>
        </w:rPr>
        <w:t>(Dr</w:t>
      </w:r>
      <w:r>
        <w:rPr>
          <w:spacing w:val="6"/>
          <w:w w:val="105"/>
          <w:sz w:val="13"/>
        </w:rPr>
        <w:t> </w:t>
      </w:r>
      <w:r>
        <w:rPr>
          <w:w w:val="105"/>
          <w:sz w:val="13"/>
        </w:rPr>
        <w:t>Gregory</w:t>
      </w:r>
      <w:r>
        <w:rPr>
          <w:spacing w:val="5"/>
          <w:w w:val="105"/>
          <w:sz w:val="13"/>
        </w:rPr>
        <w:t> </w:t>
      </w:r>
      <w:r>
        <w:rPr>
          <w:w w:val="105"/>
          <w:sz w:val="13"/>
        </w:rPr>
        <w:t>Moore</w:t>
      </w:r>
      <w:r>
        <w:rPr>
          <w:spacing w:val="5"/>
          <w:w w:val="105"/>
          <w:sz w:val="13"/>
        </w:rPr>
        <w:t> </w:t>
      </w:r>
      <w:r>
        <w:rPr>
          <w:spacing w:val="2"/>
          <w:w w:val="105"/>
          <w:sz w:val="13"/>
        </w:rPr>
        <w:t>OAM);</w:t>
      </w:r>
      <w:r>
        <w:rPr>
          <w:spacing w:val="6"/>
          <w:w w:val="105"/>
          <w:sz w:val="13"/>
        </w:rPr>
        <w:t> </w:t>
      </w:r>
      <w:r>
        <w:rPr>
          <w:w w:val="105"/>
          <w:sz w:val="13"/>
        </w:rPr>
        <w:t>Consultation</w:t>
      </w:r>
      <w:r>
        <w:rPr>
          <w:spacing w:val="5"/>
          <w:w w:val="105"/>
          <w:sz w:val="13"/>
        </w:rPr>
        <w:t> </w:t>
      </w:r>
      <w:r>
        <w:rPr>
          <w:w w:val="105"/>
          <w:sz w:val="13"/>
        </w:rPr>
        <w:t>4</w:t>
      </w:r>
      <w:r>
        <w:rPr>
          <w:spacing w:val="6"/>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6"/>
          <w:w w:val="105"/>
          <w:sz w:val="13"/>
        </w:rPr>
        <w:t> </w:t>
      </w:r>
      <w:r>
        <w:rPr>
          <w:w w:val="105"/>
          <w:sz w:val="13"/>
        </w:rPr>
        <w:t>discussion</w:t>
      </w:r>
      <w:r>
        <w:rPr>
          <w:spacing w:val="5"/>
          <w:w w:val="105"/>
          <w:sz w:val="13"/>
        </w:rPr>
        <w:t> </w:t>
      </w:r>
      <w:r>
        <w:rPr>
          <w:w w:val="105"/>
          <w:sz w:val="13"/>
        </w:rPr>
        <w:t>at</w:t>
      </w:r>
      <w:r>
        <w:rPr>
          <w:spacing w:val="5"/>
          <w:w w:val="105"/>
          <w:sz w:val="13"/>
        </w:rPr>
        <w:t> </w:t>
      </w:r>
      <w:r>
        <w:rPr>
          <w:spacing w:val="4"/>
          <w:w w:val="105"/>
          <w:sz w:val="13"/>
        </w:rPr>
        <w:t>VTIO</w:t>
      </w:r>
      <w:r>
        <w:rPr>
          <w:spacing w:val="6"/>
          <w:w w:val="105"/>
          <w:sz w:val="13"/>
        </w:rPr>
        <w:t> </w:t>
      </w:r>
      <w:r>
        <w:rPr>
          <w:w w:val="105"/>
          <w:sz w:val="13"/>
        </w:rPr>
        <w:t>ArborCamp2018).</w:t>
      </w:r>
    </w:p>
    <w:p>
      <w:pPr>
        <w:pStyle w:val="ListParagraph"/>
        <w:numPr>
          <w:ilvl w:val="0"/>
          <w:numId w:val="21"/>
        </w:numPr>
        <w:tabs>
          <w:tab w:pos="2381" w:val="left" w:leader="none"/>
          <w:tab w:pos="2382" w:val="left" w:leader="none"/>
        </w:tabs>
        <w:spacing w:line="240" w:lineRule="auto" w:before="2" w:after="0"/>
        <w:ind w:left="2381" w:right="0" w:hanging="794"/>
        <w:jc w:val="left"/>
        <w:rPr>
          <w:sz w:val="13"/>
        </w:rPr>
      </w:pPr>
      <w:r>
        <w:rPr>
          <w:w w:val="105"/>
          <w:sz w:val="13"/>
        </w:rPr>
        <w:t>Consultation 4 (Participants in facilitated discussion at </w:t>
      </w:r>
      <w:r>
        <w:rPr>
          <w:spacing w:val="4"/>
          <w:w w:val="105"/>
          <w:sz w:val="13"/>
        </w:rPr>
        <w:t>VTIO</w:t>
      </w:r>
      <w:r>
        <w:rPr>
          <w:spacing w:val="38"/>
          <w:w w:val="105"/>
          <w:sz w:val="13"/>
        </w:rPr>
        <w:t> </w:t>
      </w:r>
      <w:r>
        <w:rPr>
          <w:w w:val="105"/>
          <w:sz w:val="13"/>
        </w:rPr>
        <w:t>ArborCamp2018).</w:t>
      </w:r>
    </w:p>
    <w:p>
      <w:pPr>
        <w:pStyle w:val="ListParagraph"/>
        <w:numPr>
          <w:ilvl w:val="0"/>
          <w:numId w:val="21"/>
        </w:numPr>
        <w:tabs>
          <w:tab w:pos="2381" w:val="left" w:leader="none"/>
          <w:tab w:pos="2382" w:val="left" w:leader="none"/>
        </w:tabs>
        <w:spacing w:line="240" w:lineRule="auto" w:before="1" w:after="0"/>
        <w:ind w:left="2381" w:right="0" w:hanging="794"/>
        <w:jc w:val="left"/>
        <w:rPr>
          <w:sz w:val="13"/>
        </w:rPr>
      </w:pPr>
      <w:r>
        <w:rPr>
          <w:w w:val="105"/>
          <w:sz w:val="13"/>
        </w:rPr>
        <w:t>Consultation 2 </w:t>
      </w:r>
      <w:r>
        <w:rPr>
          <w:spacing w:val="3"/>
          <w:w w:val="105"/>
          <w:sz w:val="13"/>
        </w:rPr>
        <w:t>(Dr </w:t>
      </w:r>
      <w:r>
        <w:rPr>
          <w:w w:val="105"/>
          <w:sz w:val="13"/>
        </w:rPr>
        <w:t>Gregory Moore</w:t>
      </w:r>
      <w:r>
        <w:rPr>
          <w:spacing w:val="20"/>
          <w:w w:val="105"/>
          <w:sz w:val="13"/>
        </w:rPr>
        <w:t> </w:t>
      </w:r>
      <w:r>
        <w:rPr>
          <w:spacing w:val="2"/>
          <w:w w:val="105"/>
          <w:sz w:val="13"/>
        </w:rPr>
        <w:t>OAM).</w:t>
      </w:r>
    </w:p>
    <w:p>
      <w:pPr>
        <w:pStyle w:val="ListParagraph"/>
        <w:numPr>
          <w:ilvl w:val="0"/>
          <w:numId w:val="21"/>
        </w:numPr>
        <w:tabs>
          <w:tab w:pos="2381" w:val="left" w:leader="none"/>
          <w:tab w:pos="2382" w:val="left" w:leader="none"/>
        </w:tabs>
        <w:spacing w:line="240" w:lineRule="auto" w:before="1" w:after="0"/>
        <w:ind w:left="2381" w:right="0" w:hanging="794"/>
        <w:jc w:val="left"/>
        <w:rPr>
          <w:sz w:val="13"/>
        </w:rPr>
      </w:pPr>
      <w:r>
        <w:rPr>
          <w:sz w:val="13"/>
        </w:rPr>
        <w:t>See</w:t>
      </w:r>
      <w:r>
        <w:rPr>
          <w:spacing w:val="9"/>
          <w:sz w:val="13"/>
        </w:rPr>
        <w:t> </w:t>
      </w:r>
      <w:r>
        <w:rPr>
          <w:sz w:val="13"/>
        </w:rPr>
        <w:t>Aboriculture</w:t>
      </w:r>
      <w:r>
        <w:rPr>
          <w:spacing w:val="9"/>
          <w:sz w:val="13"/>
        </w:rPr>
        <w:t> </w:t>
      </w:r>
      <w:r>
        <w:rPr>
          <w:sz w:val="13"/>
        </w:rPr>
        <w:t>Australia,</w:t>
      </w:r>
      <w:r>
        <w:rPr>
          <w:spacing w:val="9"/>
          <w:sz w:val="13"/>
        </w:rPr>
        <w:t> </w:t>
      </w:r>
      <w:r>
        <w:rPr>
          <w:i/>
          <w:sz w:val="13"/>
        </w:rPr>
        <w:t>Australian</w:t>
      </w:r>
      <w:r>
        <w:rPr>
          <w:i/>
          <w:spacing w:val="9"/>
          <w:sz w:val="13"/>
        </w:rPr>
        <w:t> </w:t>
      </w:r>
      <w:r>
        <w:rPr>
          <w:i/>
          <w:sz w:val="13"/>
        </w:rPr>
        <w:t>Qualification</w:t>
      </w:r>
      <w:r>
        <w:rPr>
          <w:i/>
          <w:spacing w:val="9"/>
          <w:sz w:val="13"/>
        </w:rPr>
        <w:t> </w:t>
      </w:r>
      <w:r>
        <w:rPr>
          <w:i/>
          <w:sz w:val="13"/>
        </w:rPr>
        <w:t>Framework</w:t>
      </w:r>
      <w:r>
        <w:rPr>
          <w:i/>
          <w:spacing w:val="9"/>
          <w:sz w:val="13"/>
        </w:rPr>
        <w:t> </w:t>
      </w:r>
      <w:r>
        <w:rPr>
          <w:i/>
          <w:sz w:val="13"/>
        </w:rPr>
        <w:t>(AQF)</w:t>
      </w:r>
      <w:r>
        <w:rPr>
          <w:i/>
          <w:spacing w:val="9"/>
          <w:sz w:val="13"/>
        </w:rPr>
        <w:t> </w:t>
      </w:r>
      <w:r>
        <w:rPr>
          <w:i/>
          <w:sz w:val="13"/>
        </w:rPr>
        <w:t>and</w:t>
      </w:r>
      <w:r>
        <w:rPr>
          <w:i/>
          <w:spacing w:val="9"/>
          <w:sz w:val="13"/>
        </w:rPr>
        <w:t> </w:t>
      </w:r>
      <w:r>
        <w:rPr>
          <w:i/>
          <w:sz w:val="13"/>
        </w:rPr>
        <w:t>Australian</w:t>
      </w:r>
      <w:r>
        <w:rPr>
          <w:i/>
          <w:spacing w:val="9"/>
          <w:sz w:val="13"/>
        </w:rPr>
        <w:t> </w:t>
      </w:r>
      <w:r>
        <w:rPr>
          <w:i/>
          <w:sz w:val="13"/>
        </w:rPr>
        <w:t>Training</w:t>
      </w:r>
      <w:r>
        <w:rPr>
          <w:i/>
          <w:spacing w:val="9"/>
          <w:sz w:val="13"/>
        </w:rPr>
        <w:t> </w:t>
      </w:r>
      <w:r>
        <w:rPr>
          <w:i/>
          <w:sz w:val="13"/>
        </w:rPr>
        <w:t>Programs</w:t>
      </w:r>
      <w:r>
        <w:rPr>
          <w:i/>
          <w:spacing w:val="9"/>
          <w:sz w:val="13"/>
        </w:rPr>
        <w:t> </w:t>
      </w:r>
      <w:r>
        <w:rPr>
          <w:sz w:val="13"/>
        </w:rPr>
        <w:t>(Web</w:t>
      </w:r>
      <w:r>
        <w:rPr>
          <w:spacing w:val="9"/>
          <w:sz w:val="13"/>
        </w:rPr>
        <w:t> </w:t>
      </w:r>
      <w:r>
        <w:rPr>
          <w:sz w:val="13"/>
        </w:rPr>
        <w:t>Page)</w:t>
      </w:r>
    </w:p>
    <w:p>
      <w:pPr>
        <w:spacing w:before="2"/>
        <w:ind w:left="2381" w:right="0" w:firstLine="0"/>
        <w:jc w:val="left"/>
        <w:rPr>
          <w:sz w:val="13"/>
        </w:rPr>
      </w:pPr>
      <w:r>
        <w:rPr/>
        <w:pict>
          <v:shape style="position:absolute;margin-left:549.098511pt;margin-top:3.057865pt;width:12.65pt;height:14.25pt;mso-position-horizontal-relative:page;mso-position-vertical-relative:paragraph;z-index:2488" type="#_x0000_t202" filled="false" stroked="false">
            <v:textbox inset="0,0,0,0">
              <w:txbxContent>
                <w:p>
                  <w:pPr>
                    <w:spacing w:line="284" w:lineRule="exact" w:before="0"/>
                    <w:ind w:left="0" w:right="0" w:firstLine="0"/>
                    <w:jc w:val="left"/>
                    <w:rPr>
                      <w:b/>
                      <w:sz w:val="24"/>
                    </w:rPr>
                  </w:pPr>
                  <w:r>
                    <w:rPr>
                      <w:b/>
                      <w:color w:val="658464"/>
                      <w:spacing w:val="-8"/>
                      <w:w w:val="110"/>
                      <w:sz w:val="24"/>
                    </w:rPr>
                    <w:t>21</w:t>
                  </w:r>
                </w:p>
              </w:txbxContent>
            </v:textbox>
            <w10:wrap type="none"/>
          </v:shape>
        </w:pict>
      </w:r>
      <w:r>
        <w:rPr>
          <w:sz w:val="13"/>
        </w:rPr>
        <w:t>&lt;h</w:t>
      </w:r>
      <w:hyperlink r:id="rId44">
        <w:r>
          <w:rPr>
            <w:sz w:val="13"/>
          </w:rPr>
          <w:t>ttp://arboriculture.org.au/Qualification</w:t>
        </w:r>
      </w:hyperlink>
      <w:r>
        <w:rPr>
          <w:sz w:val="13"/>
        </w:rPr>
        <w:t>&gt;.</w:t>
      </w:r>
    </w:p>
    <w:p>
      <w:pPr>
        <w:pStyle w:val="ListParagraph"/>
        <w:numPr>
          <w:ilvl w:val="0"/>
          <w:numId w:val="21"/>
        </w:numPr>
        <w:tabs>
          <w:tab w:pos="2381" w:val="left" w:leader="none"/>
          <w:tab w:pos="2382" w:val="left" w:leader="none"/>
        </w:tabs>
        <w:spacing w:line="240" w:lineRule="auto" w:before="1" w:after="0"/>
        <w:ind w:left="2381" w:right="0" w:hanging="794"/>
        <w:jc w:val="left"/>
        <w:rPr>
          <w:sz w:val="13"/>
        </w:rPr>
      </w:pPr>
      <w:r>
        <w:rPr>
          <w:w w:val="105"/>
          <w:sz w:val="13"/>
        </w:rPr>
        <w:t>Submission</w:t>
      </w:r>
      <w:r>
        <w:rPr>
          <w:spacing w:val="5"/>
          <w:w w:val="105"/>
          <w:sz w:val="13"/>
        </w:rPr>
        <w:t> </w:t>
      </w:r>
      <w:r>
        <w:rPr>
          <w:w w:val="105"/>
          <w:sz w:val="13"/>
        </w:rPr>
        <w:t>9</w:t>
      </w:r>
      <w:r>
        <w:rPr>
          <w:spacing w:val="5"/>
          <w:w w:val="105"/>
          <w:sz w:val="13"/>
        </w:rPr>
        <w:t> </w:t>
      </w:r>
      <w:r>
        <w:rPr>
          <w:spacing w:val="3"/>
          <w:w w:val="105"/>
          <w:sz w:val="13"/>
        </w:rPr>
        <w:t>(Dr</w:t>
      </w:r>
      <w:r>
        <w:rPr>
          <w:spacing w:val="5"/>
          <w:w w:val="105"/>
          <w:sz w:val="13"/>
        </w:rPr>
        <w:t> </w:t>
      </w:r>
      <w:r>
        <w:rPr>
          <w:w w:val="105"/>
          <w:sz w:val="13"/>
        </w:rPr>
        <w:t>Karen</w:t>
      </w:r>
      <w:r>
        <w:rPr>
          <w:spacing w:val="5"/>
          <w:w w:val="105"/>
          <w:sz w:val="13"/>
        </w:rPr>
        <w:t> </w:t>
      </w:r>
      <w:r>
        <w:rPr>
          <w:w w:val="105"/>
          <w:sz w:val="13"/>
        </w:rPr>
        <w:t>Smith);</w:t>
      </w:r>
      <w:r>
        <w:rPr>
          <w:spacing w:val="5"/>
          <w:w w:val="105"/>
          <w:sz w:val="13"/>
        </w:rPr>
        <w:t> </w:t>
      </w:r>
      <w:r>
        <w:rPr>
          <w:w w:val="105"/>
          <w:sz w:val="13"/>
        </w:rPr>
        <w:t>Consultation</w:t>
      </w:r>
      <w:r>
        <w:rPr>
          <w:spacing w:val="5"/>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6"/>
          <w:w w:val="105"/>
          <w:sz w:val="13"/>
        </w:rPr>
        <w:t> </w:t>
      </w:r>
      <w:r>
        <w:rPr>
          <w:w w:val="105"/>
          <w:sz w:val="13"/>
        </w:rPr>
        <w:t>at</w:t>
      </w:r>
      <w:r>
        <w:rPr>
          <w:spacing w:val="5"/>
          <w:w w:val="105"/>
          <w:sz w:val="13"/>
        </w:rPr>
        <w:t> </w:t>
      </w:r>
      <w:r>
        <w:rPr>
          <w:spacing w:val="4"/>
          <w:w w:val="105"/>
          <w:sz w:val="13"/>
        </w:rPr>
        <w:t>VTIO</w:t>
      </w:r>
      <w:r>
        <w:rPr>
          <w:spacing w:val="5"/>
          <w:w w:val="105"/>
          <w:sz w:val="13"/>
        </w:rPr>
        <w:t> </w:t>
      </w:r>
      <w:r>
        <w:rPr>
          <w:w w:val="105"/>
          <w:sz w:val="13"/>
        </w:rPr>
        <w:t>ArborCamp2018).</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16"/>
        </w:numPr>
        <w:tabs>
          <w:tab w:pos="2381" w:val="left" w:leader="none"/>
          <w:tab w:pos="2382" w:val="left" w:leader="none"/>
        </w:tabs>
        <w:spacing w:line="242" w:lineRule="auto" w:before="92" w:after="0"/>
        <w:ind w:left="2381" w:right="1800" w:hanging="794"/>
        <w:jc w:val="left"/>
        <w:rPr>
          <w:sz w:val="21"/>
        </w:rPr>
      </w:pPr>
      <w:r>
        <w:rPr>
          <w:sz w:val="21"/>
        </w:rPr>
        <w:t>Ben </w:t>
      </w:r>
      <w:r>
        <w:rPr>
          <w:spacing w:val="-3"/>
          <w:sz w:val="21"/>
        </w:rPr>
        <w:t>Kenyon </w:t>
      </w:r>
      <w:r>
        <w:rPr>
          <w:sz w:val="21"/>
        </w:rPr>
        <w:t>stated </w:t>
      </w:r>
      <w:r>
        <w:rPr>
          <w:spacing w:val="-3"/>
          <w:sz w:val="21"/>
        </w:rPr>
        <w:t>that </w:t>
      </w:r>
      <w:r>
        <w:rPr>
          <w:sz w:val="21"/>
        </w:rPr>
        <w:t>developers and town planners did </w:t>
      </w:r>
      <w:r>
        <w:rPr>
          <w:spacing w:val="-2"/>
          <w:sz w:val="21"/>
        </w:rPr>
        <w:t>not </w:t>
      </w:r>
      <w:r>
        <w:rPr>
          <w:spacing w:val="-3"/>
          <w:sz w:val="21"/>
        </w:rPr>
        <w:t>routinely </w:t>
      </w:r>
      <w:r>
        <w:rPr>
          <w:sz w:val="21"/>
        </w:rPr>
        <w:t>rely on arborist reports </w:t>
      </w:r>
      <w:r>
        <w:rPr>
          <w:spacing w:val="-3"/>
          <w:sz w:val="21"/>
        </w:rPr>
        <w:t>20 </w:t>
      </w:r>
      <w:r>
        <w:rPr>
          <w:sz w:val="21"/>
        </w:rPr>
        <w:t>years ago. Mr </w:t>
      </w:r>
      <w:r>
        <w:rPr>
          <w:spacing w:val="-3"/>
          <w:sz w:val="21"/>
        </w:rPr>
        <w:t>Kenyon noted, </w:t>
      </w:r>
      <w:r>
        <w:rPr>
          <w:spacing w:val="-4"/>
          <w:sz w:val="21"/>
        </w:rPr>
        <w:t>however, </w:t>
      </w:r>
      <w:r>
        <w:rPr>
          <w:spacing w:val="-3"/>
          <w:sz w:val="21"/>
        </w:rPr>
        <w:t>that </w:t>
      </w:r>
      <w:r>
        <w:rPr>
          <w:sz w:val="21"/>
        </w:rPr>
        <w:t>there is </w:t>
      </w:r>
      <w:r>
        <w:rPr>
          <w:spacing w:val="-3"/>
          <w:sz w:val="21"/>
        </w:rPr>
        <w:t>greater </w:t>
      </w:r>
      <w:r>
        <w:rPr>
          <w:sz w:val="21"/>
        </w:rPr>
        <w:t>awareness about and importance </w:t>
      </w:r>
      <w:r>
        <w:rPr>
          <w:spacing w:val="-2"/>
          <w:sz w:val="21"/>
        </w:rPr>
        <w:t>placed </w:t>
      </w:r>
      <w:r>
        <w:rPr>
          <w:sz w:val="21"/>
        </w:rPr>
        <w:t>on </w:t>
      </w:r>
      <w:r>
        <w:rPr>
          <w:spacing w:val="-3"/>
          <w:sz w:val="21"/>
        </w:rPr>
        <w:t>arboriculture </w:t>
      </w:r>
      <w:r>
        <w:rPr>
          <w:sz w:val="21"/>
        </w:rPr>
        <w:t>by the general community </w:t>
      </w:r>
      <w:r>
        <w:rPr>
          <w:spacing w:val="-5"/>
          <w:sz w:val="21"/>
        </w:rPr>
        <w:t>now, </w:t>
      </w:r>
      <w:r>
        <w:rPr>
          <w:sz w:val="21"/>
        </w:rPr>
        <w:t>particularly as people become more </w:t>
      </w:r>
      <w:r>
        <w:rPr>
          <w:spacing w:val="-3"/>
          <w:sz w:val="21"/>
        </w:rPr>
        <w:t>environmentally  conscious.  </w:t>
      </w:r>
      <w:r>
        <w:rPr>
          <w:sz w:val="21"/>
        </w:rPr>
        <w:t>Mr </w:t>
      </w:r>
      <w:r>
        <w:rPr>
          <w:spacing w:val="-3"/>
          <w:sz w:val="21"/>
        </w:rPr>
        <w:t>Kenyon</w:t>
      </w:r>
      <w:r>
        <w:rPr>
          <w:spacing w:val="41"/>
          <w:sz w:val="21"/>
        </w:rPr>
        <w:t> </w:t>
      </w:r>
      <w:r>
        <w:rPr>
          <w:sz w:val="21"/>
        </w:rPr>
        <w:t>explained </w:t>
      </w:r>
      <w:r>
        <w:rPr>
          <w:spacing w:val="-3"/>
          <w:sz w:val="21"/>
        </w:rPr>
        <w:t>that  </w:t>
      </w:r>
      <w:r>
        <w:rPr>
          <w:sz w:val="21"/>
        </w:rPr>
        <w:t>this </w:t>
      </w:r>
      <w:r>
        <w:rPr>
          <w:spacing w:val="-3"/>
          <w:sz w:val="21"/>
        </w:rPr>
        <w:t>change  </w:t>
      </w:r>
      <w:r>
        <w:rPr>
          <w:sz w:val="21"/>
        </w:rPr>
        <w:t>is also reflected in </w:t>
      </w:r>
      <w:r>
        <w:rPr>
          <w:spacing w:val="-3"/>
          <w:sz w:val="21"/>
        </w:rPr>
        <w:t>current </w:t>
      </w:r>
      <w:r>
        <w:rPr>
          <w:sz w:val="21"/>
        </w:rPr>
        <w:t>local laws and local </w:t>
      </w:r>
      <w:r>
        <w:rPr>
          <w:spacing w:val="-3"/>
          <w:sz w:val="21"/>
        </w:rPr>
        <w:t>council </w:t>
      </w:r>
      <w:r>
        <w:rPr>
          <w:sz w:val="21"/>
        </w:rPr>
        <w:t>policies </w:t>
      </w:r>
      <w:r>
        <w:rPr>
          <w:spacing w:val="-3"/>
          <w:sz w:val="21"/>
        </w:rPr>
        <w:t>that </w:t>
      </w:r>
      <w:r>
        <w:rPr>
          <w:sz w:val="21"/>
        </w:rPr>
        <w:t>seek </w:t>
      </w:r>
      <w:r>
        <w:rPr>
          <w:spacing w:val="-3"/>
          <w:sz w:val="21"/>
        </w:rPr>
        <w:t>to </w:t>
      </w:r>
      <w:r>
        <w:rPr>
          <w:sz w:val="21"/>
        </w:rPr>
        <w:t>protect and </w:t>
      </w:r>
      <w:r>
        <w:rPr>
          <w:spacing w:val="-3"/>
          <w:sz w:val="21"/>
        </w:rPr>
        <w:t>maintain </w:t>
      </w:r>
      <w:r>
        <w:rPr>
          <w:sz w:val="21"/>
        </w:rPr>
        <w:t>the urban</w:t>
      </w:r>
      <w:r>
        <w:rPr>
          <w:spacing w:val="29"/>
          <w:sz w:val="21"/>
        </w:rPr>
        <w:t> </w:t>
      </w:r>
      <w:r>
        <w:rPr>
          <w:spacing w:val="-5"/>
          <w:sz w:val="21"/>
        </w:rPr>
        <w:t>forest.</w:t>
      </w:r>
      <w:r>
        <w:rPr>
          <w:spacing w:val="-5"/>
          <w:position w:val="7"/>
          <w:sz w:val="12"/>
        </w:rPr>
        <w:t>173</w:t>
      </w:r>
    </w:p>
    <w:p>
      <w:pPr>
        <w:pStyle w:val="Heading7"/>
        <w:spacing w:before="157"/>
      </w:pPr>
      <w:r>
        <w:rPr>
          <w:w w:val="115"/>
        </w:rPr>
        <w:t>Role of arborists</w:t>
      </w:r>
    </w:p>
    <w:p>
      <w:pPr>
        <w:pStyle w:val="ListParagraph"/>
        <w:numPr>
          <w:ilvl w:val="1"/>
          <w:numId w:val="16"/>
        </w:numPr>
        <w:tabs>
          <w:tab w:pos="2380" w:val="left" w:leader="none"/>
          <w:tab w:pos="2381" w:val="left" w:leader="none"/>
        </w:tabs>
        <w:spacing w:line="242" w:lineRule="auto" w:before="142" w:after="0"/>
        <w:ind w:left="2381" w:right="1586" w:hanging="794"/>
        <w:jc w:val="left"/>
        <w:rPr>
          <w:sz w:val="21"/>
        </w:rPr>
      </w:pPr>
      <w:r>
        <w:rPr>
          <w:w w:val="105"/>
          <w:sz w:val="21"/>
        </w:rPr>
        <w:t>Arborists use a </w:t>
      </w:r>
      <w:r>
        <w:rPr>
          <w:spacing w:val="-3"/>
          <w:w w:val="105"/>
          <w:sz w:val="21"/>
        </w:rPr>
        <w:t>range </w:t>
      </w:r>
      <w:r>
        <w:rPr>
          <w:w w:val="105"/>
          <w:sz w:val="21"/>
        </w:rPr>
        <w:t>of tools or assessment methods </w:t>
      </w:r>
      <w:r>
        <w:rPr>
          <w:spacing w:val="-3"/>
          <w:w w:val="105"/>
          <w:sz w:val="21"/>
        </w:rPr>
        <w:t>to determine </w:t>
      </w:r>
      <w:r>
        <w:rPr>
          <w:w w:val="105"/>
          <w:sz w:val="21"/>
        </w:rPr>
        <w:t>whether or </w:t>
      </w:r>
      <w:r>
        <w:rPr>
          <w:spacing w:val="-2"/>
          <w:w w:val="105"/>
          <w:sz w:val="21"/>
        </w:rPr>
        <w:t>not </w:t>
      </w:r>
      <w:r>
        <w:rPr>
          <w:w w:val="105"/>
          <w:sz w:val="21"/>
        </w:rPr>
        <w:t>a tree is the cause of damage </w:t>
      </w:r>
      <w:r>
        <w:rPr>
          <w:spacing w:val="-3"/>
          <w:w w:val="105"/>
          <w:sz w:val="21"/>
        </w:rPr>
        <w:t>to </w:t>
      </w:r>
      <w:r>
        <w:rPr>
          <w:w w:val="105"/>
          <w:sz w:val="21"/>
        </w:rPr>
        <w:t>property or whether or </w:t>
      </w:r>
      <w:r>
        <w:rPr>
          <w:spacing w:val="-2"/>
          <w:w w:val="105"/>
          <w:sz w:val="21"/>
        </w:rPr>
        <w:t>not </w:t>
      </w:r>
      <w:r>
        <w:rPr>
          <w:w w:val="105"/>
          <w:sz w:val="21"/>
        </w:rPr>
        <w:t>a tree </w:t>
      </w:r>
      <w:r>
        <w:rPr>
          <w:spacing w:val="-3"/>
          <w:w w:val="105"/>
          <w:sz w:val="21"/>
        </w:rPr>
        <w:t>will </w:t>
      </w:r>
      <w:r>
        <w:rPr>
          <w:spacing w:val="-4"/>
          <w:w w:val="105"/>
          <w:sz w:val="21"/>
        </w:rPr>
        <w:t>fall </w:t>
      </w:r>
      <w:r>
        <w:rPr>
          <w:w w:val="105"/>
          <w:sz w:val="21"/>
        </w:rPr>
        <w:t>or drop </w:t>
      </w:r>
      <w:r>
        <w:rPr>
          <w:spacing w:val="-3"/>
          <w:w w:val="105"/>
          <w:sz w:val="21"/>
        </w:rPr>
        <w:t>branches. </w:t>
      </w:r>
      <w:r>
        <w:rPr>
          <w:w w:val="105"/>
          <w:sz w:val="21"/>
        </w:rPr>
        <w:t>Dr Moore</w:t>
      </w:r>
      <w:r>
        <w:rPr>
          <w:spacing w:val="-11"/>
          <w:w w:val="105"/>
          <w:sz w:val="21"/>
        </w:rPr>
        <w:t> </w:t>
      </w:r>
      <w:r>
        <w:rPr>
          <w:w w:val="105"/>
          <w:sz w:val="21"/>
        </w:rPr>
        <w:t>explained</w:t>
      </w:r>
      <w:r>
        <w:rPr>
          <w:spacing w:val="-10"/>
          <w:w w:val="105"/>
          <w:sz w:val="21"/>
        </w:rPr>
        <w:t> </w:t>
      </w:r>
      <w:r>
        <w:rPr>
          <w:spacing w:val="-3"/>
          <w:w w:val="105"/>
          <w:sz w:val="21"/>
        </w:rPr>
        <w:t>that</w:t>
      </w:r>
      <w:r>
        <w:rPr>
          <w:spacing w:val="-10"/>
          <w:w w:val="105"/>
          <w:sz w:val="21"/>
        </w:rPr>
        <w:t> </w:t>
      </w:r>
      <w:r>
        <w:rPr>
          <w:w w:val="105"/>
          <w:sz w:val="21"/>
        </w:rPr>
        <w:t>a</w:t>
      </w:r>
      <w:r>
        <w:rPr>
          <w:spacing w:val="-10"/>
          <w:w w:val="105"/>
          <w:sz w:val="21"/>
        </w:rPr>
        <w:t> </w:t>
      </w:r>
      <w:r>
        <w:rPr>
          <w:w w:val="105"/>
          <w:sz w:val="21"/>
        </w:rPr>
        <w:t>properly</w:t>
      </w:r>
      <w:r>
        <w:rPr>
          <w:spacing w:val="-10"/>
          <w:w w:val="105"/>
          <w:sz w:val="21"/>
        </w:rPr>
        <w:t> </w:t>
      </w:r>
      <w:r>
        <w:rPr>
          <w:w w:val="105"/>
          <w:sz w:val="21"/>
        </w:rPr>
        <w:t>qualified</w:t>
      </w:r>
      <w:r>
        <w:rPr>
          <w:spacing w:val="-10"/>
          <w:w w:val="105"/>
          <w:sz w:val="21"/>
        </w:rPr>
        <w:t> </w:t>
      </w:r>
      <w:r>
        <w:rPr>
          <w:w w:val="105"/>
          <w:sz w:val="21"/>
        </w:rPr>
        <w:t>arborist</w:t>
      </w:r>
      <w:r>
        <w:rPr>
          <w:spacing w:val="-10"/>
          <w:w w:val="105"/>
          <w:sz w:val="21"/>
        </w:rPr>
        <w:t> </w:t>
      </w:r>
      <w:r>
        <w:rPr>
          <w:spacing w:val="-3"/>
          <w:w w:val="105"/>
          <w:sz w:val="21"/>
        </w:rPr>
        <w:t>will</w:t>
      </w:r>
      <w:r>
        <w:rPr>
          <w:spacing w:val="-10"/>
          <w:w w:val="105"/>
          <w:sz w:val="21"/>
        </w:rPr>
        <w:t> </w:t>
      </w:r>
      <w:r>
        <w:rPr>
          <w:w w:val="105"/>
          <w:sz w:val="21"/>
        </w:rPr>
        <w:t>be</w:t>
      </w:r>
      <w:r>
        <w:rPr>
          <w:spacing w:val="-10"/>
          <w:w w:val="105"/>
          <w:sz w:val="21"/>
        </w:rPr>
        <w:t> </w:t>
      </w:r>
      <w:r>
        <w:rPr>
          <w:w w:val="105"/>
          <w:sz w:val="21"/>
        </w:rPr>
        <w:t>able</w:t>
      </w:r>
      <w:r>
        <w:rPr>
          <w:spacing w:val="-10"/>
          <w:w w:val="105"/>
          <w:sz w:val="21"/>
        </w:rPr>
        <w:t> </w:t>
      </w:r>
      <w:r>
        <w:rPr>
          <w:spacing w:val="-3"/>
          <w:w w:val="105"/>
          <w:sz w:val="21"/>
        </w:rPr>
        <w:t>to</w:t>
      </w:r>
      <w:r>
        <w:rPr>
          <w:spacing w:val="-10"/>
          <w:w w:val="105"/>
          <w:sz w:val="21"/>
        </w:rPr>
        <w:t> </w:t>
      </w:r>
      <w:r>
        <w:rPr>
          <w:spacing w:val="-3"/>
          <w:w w:val="105"/>
          <w:sz w:val="21"/>
        </w:rPr>
        <w:t>tell</w:t>
      </w:r>
      <w:r>
        <w:rPr>
          <w:spacing w:val="-10"/>
          <w:w w:val="105"/>
          <w:sz w:val="21"/>
        </w:rPr>
        <w:t> </w:t>
      </w:r>
      <w:r>
        <w:rPr>
          <w:w w:val="105"/>
          <w:sz w:val="21"/>
        </w:rPr>
        <w:t>whether</w:t>
      </w:r>
      <w:r>
        <w:rPr>
          <w:spacing w:val="-11"/>
          <w:w w:val="105"/>
          <w:sz w:val="21"/>
        </w:rPr>
        <w:t> </w:t>
      </w:r>
      <w:r>
        <w:rPr>
          <w:w w:val="105"/>
          <w:sz w:val="21"/>
        </w:rPr>
        <w:t>or</w:t>
      </w:r>
      <w:r>
        <w:rPr>
          <w:spacing w:val="-10"/>
          <w:w w:val="105"/>
          <w:sz w:val="21"/>
        </w:rPr>
        <w:t> </w:t>
      </w:r>
      <w:r>
        <w:rPr>
          <w:spacing w:val="-2"/>
          <w:w w:val="105"/>
          <w:sz w:val="21"/>
        </w:rPr>
        <w:t>not</w:t>
      </w:r>
      <w:r>
        <w:rPr>
          <w:spacing w:val="-10"/>
          <w:w w:val="105"/>
          <w:sz w:val="21"/>
        </w:rPr>
        <w:t> </w:t>
      </w:r>
      <w:r>
        <w:rPr>
          <w:w w:val="105"/>
          <w:sz w:val="21"/>
        </w:rPr>
        <w:t>a</w:t>
      </w:r>
      <w:r>
        <w:rPr>
          <w:spacing w:val="-10"/>
          <w:w w:val="105"/>
          <w:sz w:val="21"/>
        </w:rPr>
        <w:t> </w:t>
      </w:r>
      <w:r>
        <w:rPr>
          <w:w w:val="105"/>
          <w:sz w:val="21"/>
        </w:rPr>
        <w:t>tree </w:t>
      </w:r>
      <w:r>
        <w:rPr>
          <w:spacing w:val="-2"/>
          <w:w w:val="105"/>
          <w:sz w:val="21"/>
        </w:rPr>
        <w:t>has </w:t>
      </w:r>
      <w:r>
        <w:rPr>
          <w:w w:val="105"/>
          <w:sz w:val="21"/>
        </w:rPr>
        <w:t>or </w:t>
      </w:r>
      <w:r>
        <w:rPr>
          <w:spacing w:val="-3"/>
          <w:w w:val="105"/>
          <w:sz w:val="21"/>
        </w:rPr>
        <w:t>will </w:t>
      </w:r>
      <w:r>
        <w:rPr>
          <w:w w:val="105"/>
          <w:sz w:val="21"/>
        </w:rPr>
        <w:t>shed a major </w:t>
      </w:r>
      <w:r>
        <w:rPr>
          <w:spacing w:val="-3"/>
          <w:w w:val="105"/>
          <w:sz w:val="21"/>
        </w:rPr>
        <w:t>limb </w:t>
      </w:r>
      <w:r>
        <w:rPr>
          <w:w w:val="105"/>
          <w:sz w:val="21"/>
        </w:rPr>
        <w:t>simply by looking at it. Arborists </w:t>
      </w:r>
      <w:r>
        <w:rPr>
          <w:spacing w:val="-3"/>
          <w:w w:val="105"/>
          <w:sz w:val="21"/>
        </w:rPr>
        <w:t>may </w:t>
      </w:r>
      <w:r>
        <w:rPr>
          <w:w w:val="105"/>
          <w:sz w:val="21"/>
        </w:rPr>
        <w:t>also employ </w:t>
      </w:r>
      <w:r>
        <w:rPr>
          <w:spacing w:val="-3"/>
          <w:w w:val="105"/>
          <w:sz w:val="21"/>
        </w:rPr>
        <w:t>manual techniques, such </w:t>
      </w:r>
      <w:r>
        <w:rPr>
          <w:w w:val="105"/>
          <w:sz w:val="21"/>
        </w:rPr>
        <w:t>as an </w:t>
      </w:r>
      <w:r>
        <w:rPr>
          <w:spacing w:val="-3"/>
          <w:w w:val="105"/>
          <w:sz w:val="21"/>
        </w:rPr>
        <w:t>air knife </w:t>
      </w:r>
      <w:r>
        <w:rPr>
          <w:w w:val="105"/>
          <w:sz w:val="21"/>
        </w:rPr>
        <w:t>or </w:t>
      </w:r>
      <w:r>
        <w:rPr>
          <w:spacing w:val="-3"/>
          <w:w w:val="105"/>
          <w:sz w:val="21"/>
        </w:rPr>
        <w:t>ground-penetrating </w:t>
      </w:r>
      <w:r>
        <w:rPr>
          <w:spacing w:val="-5"/>
          <w:w w:val="105"/>
          <w:sz w:val="21"/>
        </w:rPr>
        <w:t>radar, </w:t>
      </w:r>
      <w:r>
        <w:rPr>
          <w:spacing w:val="-3"/>
          <w:w w:val="105"/>
          <w:sz w:val="21"/>
        </w:rPr>
        <w:t>to </w:t>
      </w:r>
      <w:r>
        <w:rPr>
          <w:w w:val="105"/>
          <w:sz w:val="21"/>
        </w:rPr>
        <w:t>detect the presence of </w:t>
      </w:r>
      <w:r>
        <w:rPr>
          <w:spacing w:val="-5"/>
          <w:w w:val="105"/>
          <w:sz w:val="21"/>
        </w:rPr>
        <w:t>roots.</w:t>
      </w:r>
      <w:r>
        <w:rPr>
          <w:spacing w:val="-5"/>
          <w:w w:val="105"/>
          <w:position w:val="7"/>
          <w:sz w:val="12"/>
        </w:rPr>
        <w:t>174</w:t>
      </w:r>
    </w:p>
    <w:p>
      <w:pPr>
        <w:pStyle w:val="ListParagraph"/>
        <w:numPr>
          <w:ilvl w:val="1"/>
          <w:numId w:val="16"/>
        </w:numPr>
        <w:tabs>
          <w:tab w:pos="2381" w:val="left" w:leader="none"/>
          <w:tab w:pos="2382" w:val="left" w:leader="none"/>
        </w:tabs>
        <w:spacing w:line="242" w:lineRule="auto" w:before="127" w:after="0"/>
        <w:ind w:left="2381" w:right="1734" w:hanging="794"/>
        <w:jc w:val="left"/>
        <w:rPr>
          <w:sz w:val="21"/>
        </w:rPr>
      </w:pPr>
      <w:r>
        <w:rPr>
          <w:w w:val="105"/>
          <w:sz w:val="21"/>
        </w:rPr>
        <w:t>A number of arborists agreed </w:t>
      </w:r>
      <w:r>
        <w:rPr>
          <w:spacing w:val="-3"/>
          <w:w w:val="105"/>
          <w:sz w:val="21"/>
        </w:rPr>
        <w:t>that </w:t>
      </w:r>
      <w:r>
        <w:rPr>
          <w:w w:val="105"/>
          <w:sz w:val="21"/>
        </w:rPr>
        <w:t>the most </w:t>
      </w:r>
      <w:r>
        <w:rPr>
          <w:spacing w:val="-2"/>
          <w:w w:val="105"/>
          <w:sz w:val="21"/>
        </w:rPr>
        <w:t>common </w:t>
      </w:r>
      <w:r>
        <w:rPr>
          <w:w w:val="105"/>
          <w:sz w:val="21"/>
        </w:rPr>
        <w:t>approach when they </w:t>
      </w:r>
      <w:r>
        <w:rPr>
          <w:spacing w:val="-3"/>
          <w:w w:val="105"/>
          <w:sz w:val="21"/>
        </w:rPr>
        <w:t>are involved </w:t>
      </w:r>
      <w:r>
        <w:rPr>
          <w:w w:val="105"/>
          <w:sz w:val="21"/>
        </w:rPr>
        <w:t>in an issue </w:t>
      </w:r>
      <w:r>
        <w:rPr>
          <w:spacing w:val="-3"/>
          <w:w w:val="105"/>
          <w:sz w:val="21"/>
        </w:rPr>
        <w:t>involving </w:t>
      </w:r>
      <w:r>
        <w:rPr>
          <w:w w:val="105"/>
          <w:sz w:val="21"/>
        </w:rPr>
        <w:t>a </w:t>
      </w:r>
      <w:r>
        <w:rPr>
          <w:spacing w:val="-3"/>
          <w:w w:val="105"/>
          <w:sz w:val="21"/>
        </w:rPr>
        <w:t>dispute </w:t>
      </w:r>
      <w:r>
        <w:rPr>
          <w:w w:val="105"/>
          <w:sz w:val="21"/>
        </w:rPr>
        <w:t>with a </w:t>
      </w:r>
      <w:r>
        <w:rPr>
          <w:spacing w:val="-4"/>
          <w:w w:val="105"/>
          <w:sz w:val="21"/>
        </w:rPr>
        <w:t>neighbour, </w:t>
      </w:r>
      <w:r>
        <w:rPr>
          <w:w w:val="105"/>
          <w:sz w:val="21"/>
        </w:rPr>
        <w:t>is </w:t>
      </w:r>
      <w:r>
        <w:rPr>
          <w:spacing w:val="-3"/>
          <w:w w:val="105"/>
          <w:sz w:val="21"/>
        </w:rPr>
        <w:t>to </w:t>
      </w:r>
      <w:r>
        <w:rPr>
          <w:w w:val="105"/>
          <w:sz w:val="21"/>
        </w:rPr>
        <w:t>explain </w:t>
      </w:r>
      <w:r>
        <w:rPr>
          <w:spacing w:val="-3"/>
          <w:w w:val="105"/>
          <w:sz w:val="21"/>
        </w:rPr>
        <w:t>to </w:t>
      </w:r>
      <w:r>
        <w:rPr>
          <w:w w:val="105"/>
          <w:sz w:val="21"/>
        </w:rPr>
        <w:t>their </w:t>
      </w:r>
      <w:r>
        <w:rPr>
          <w:spacing w:val="-3"/>
          <w:w w:val="105"/>
          <w:sz w:val="21"/>
        </w:rPr>
        <w:t>client </w:t>
      </w:r>
      <w:r>
        <w:rPr>
          <w:w w:val="105"/>
          <w:sz w:val="21"/>
        </w:rPr>
        <w:t>the option </w:t>
      </w:r>
      <w:r>
        <w:rPr>
          <w:spacing w:val="-3"/>
          <w:w w:val="105"/>
          <w:sz w:val="21"/>
        </w:rPr>
        <w:t>to abate </w:t>
      </w:r>
      <w:r>
        <w:rPr>
          <w:w w:val="105"/>
          <w:sz w:val="21"/>
        </w:rPr>
        <w:t>up </w:t>
      </w:r>
      <w:r>
        <w:rPr>
          <w:spacing w:val="-3"/>
          <w:w w:val="105"/>
          <w:sz w:val="21"/>
        </w:rPr>
        <w:t>to </w:t>
      </w:r>
      <w:r>
        <w:rPr>
          <w:w w:val="105"/>
          <w:sz w:val="21"/>
        </w:rPr>
        <w:t>the boundary </w:t>
      </w:r>
      <w:r>
        <w:rPr>
          <w:spacing w:val="-6"/>
          <w:w w:val="105"/>
          <w:sz w:val="21"/>
        </w:rPr>
        <w:t>line.</w:t>
      </w:r>
      <w:r>
        <w:rPr>
          <w:spacing w:val="-6"/>
          <w:w w:val="105"/>
          <w:position w:val="7"/>
          <w:sz w:val="12"/>
        </w:rPr>
        <w:t>175 </w:t>
      </w:r>
      <w:r>
        <w:rPr>
          <w:w w:val="105"/>
          <w:sz w:val="21"/>
        </w:rPr>
        <w:t>They </w:t>
      </w:r>
      <w:r>
        <w:rPr>
          <w:spacing w:val="-3"/>
          <w:w w:val="105"/>
          <w:sz w:val="21"/>
        </w:rPr>
        <w:t>may </w:t>
      </w:r>
      <w:r>
        <w:rPr>
          <w:w w:val="105"/>
          <w:sz w:val="21"/>
        </w:rPr>
        <w:t>even advise the </w:t>
      </w:r>
      <w:r>
        <w:rPr>
          <w:spacing w:val="-3"/>
          <w:w w:val="105"/>
          <w:sz w:val="21"/>
        </w:rPr>
        <w:t>client </w:t>
      </w:r>
      <w:r>
        <w:rPr>
          <w:w w:val="105"/>
          <w:sz w:val="21"/>
        </w:rPr>
        <w:t>about the importance of </w:t>
      </w:r>
      <w:r>
        <w:rPr>
          <w:spacing w:val="-3"/>
          <w:w w:val="105"/>
          <w:sz w:val="21"/>
        </w:rPr>
        <w:t>abating </w:t>
      </w:r>
      <w:r>
        <w:rPr>
          <w:w w:val="105"/>
          <w:sz w:val="21"/>
        </w:rPr>
        <w:t>a tree in </w:t>
      </w:r>
      <w:r>
        <w:rPr>
          <w:spacing w:val="-3"/>
          <w:w w:val="105"/>
          <w:sz w:val="21"/>
        </w:rPr>
        <w:t>accordance </w:t>
      </w:r>
      <w:r>
        <w:rPr>
          <w:w w:val="105"/>
          <w:sz w:val="21"/>
        </w:rPr>
        <w:t>with </w:t>
      </w:r>
      <w:r>
        <w:rPr>
          <w:spacing w:val="-3"/>
          <w:w w:val="105"/>
          <w:sz w:val="21"/>
        </w:rPr>
        <w:t>any relevant Australian </w:t>
      </w:r>
      <w:r>
        <w:rPr>
          <w:spacing w:val="-5"/>
          <w:w w:val="105"/>
          <w:sz w:val="21"/>
        </w:rPr>
        <w:t>Standards,</w:t>
      </w:r>
      <w:r>
        <w:rPr>
          <w:spacing w:val="-5"/>
          <w:w w:val="105"/>
          <w:position w:val="7"/>
          <w:sz w:val="12"/>
        </w:rPr>
        <w:t>176 </w:t>
      </w:r>
      <w:r>
        <w:rPr>
          <w:spacing w:val="-3"/>
          <w:w w:val="105"/>
          <w:sz w:val="21"/>
        </w:rPr>
        <w:t>although </w:t>
      </w:r>
      <w:r>
        <w:rPr>
          <w:w w:val="105"/>
          <w:sz w:val="21"/>
        </w:rPr>
        <w:t>one arborist acknowledged </w:t>
      </w:r>
      <w:r>
        <w:rPr>
          <w:spacing w:val="-3"/>
          <w:w w:val="105"/>
          <w:sz w:val="21"/>
        </w:rPr>
        <w:t>that </w:t>
      </w:r>
      <w:r>
        <w:rPr>
          <w:w w:val="105"/>
          <w:sz w:val="21"/>
        </w:rPr>
        <w:t>this </w:t>
      </w:r>
      <w:r>
        <w:rPr>
          <w:spacing w:val="-3"/>
          <w:w w:val="105"/>
          <w:sz w:val="21"/>
        </w:rPr>
        <w:t>may </w:t>
      </w:r>
      <w:r>
        <w:rPr>
          <w:w w:val="105"/>
          <w:sz w:val="21"/>
        </w:rPr>
        <w:t>be </w:t>
      </w:r>
      <w:r>
        <w:rPr>
          <w:spacing w:val="-3"/>
          <w:w w:val="105"/>
          <w:sz w:val="21"/>
        </w:rPr>
        <w:t>unclear </w:t>
      </w:r>
      <w:r>
        <w:rPr>
          <w:w w:val="105"/>
          <w:sz w:val="21"/>
        </w:rPr>
        <w:t>and vague advice </w:t>
      </w:r>
      <w:r>
        <w:rPr>
          <w:spacing w:val="-3"/>
          <w:w w:val="105"/>
          <w:sz w:val="21"/>
        </w:rPr>
        <w:t>to </w:t>
      </w:r>
      <w:r>
        <w:rPr>
          <w:w w:val="105"/>
          <w:sz w:val="21"/>
        </w:rPr>
        <w:t>give community </w:t>
      </w:r>
      <w:r>
        <w:rPr>
          <w:spacing w:val="-4"/>
          <w:w w:val="105"/>
          <w:sz w:val="21"/>
        </w:rPr>
        <w:t>members.</w:t>
      </w:r>
      <w:r>
        <w:rPr>
          <w:spacing w:val="-4"/>
          <w:w w:val="105"/>
          <w:position w:val="7"/>
          <w:sz w:val="12"/>
        </w:rPr>
        <w:t>177</w:t>
      </w:r>
      <w:r>
        <w:rPr>
          <w:spacing w:val="17"/>
          <w:w w:val="105"/>
          <w:position w:val="7"/>
          <w:sz w:val="12"/>
        </w:rPr>
        <w:t> </w:t>
      </w:r>
      <w:r>
        <w:rPr>
          <w:w w:val="105"/>
          <w:sz w:val="21"/>
        </w:rPr>
        <w:t>On</w:t>
      </w:r>
      <w:r>
        <w:rPr>
          <w:spacing w:val="-6"/>
          <w:w w:val="105"/>
          <w:sz w:val="21"/>
        </w:rPr>
        <w:t> </w:t>
      </w:r>
      <w:r>
        <w:rPr>
          <w:w w:val="105"/>
          <w:sz w:val="21"/>
        </w:rPr>
        <w:t>the</w:t>
      </w:r>
      <w:r>
        <w:rPr>
          <w:spacing w:val="-6"/>
          <w:w w:val="105"/>
          <w:sz w:val="21"/>
        </w:rPr>
        <w:t> </w:t>
      </w:r>
      <w:r>
        <w:rPr>
          <w:w w:val="105"/>
          <w:sz w:val="21"/>
        </w:rPr>
        <w:t>other</w:t>
      </w:r>
      <w:r>
        <w:rPr>
          <w:spacing w:val="-5"/>
          <w:w w:val="105"/>
          <w:sz w:val="21"/>
        </w:rPr>
        <w:t> </w:t>
      </w:r>
      <w:r>
        <w:rPr>
          <w:spacing w:val="-3"/>
          <w:w w:val="105"/>
          <w:sz w:val="21"/>
        </w:rPr>
        <w:t>hand,</w:t>
      </w:r>
      <w:r>
        <w:rPr>
          <w:spacing w:val="-6"/>
          <w:w w:val="105"/>
          <w:sz w:val="21"/>
        </w:rPr>
        <w:t> </w:t>
      </w:r>
      <w:r>
        <w:rPr>
          <w:w w:val="105"/>
          <w:sz w:val="21"/>
        </w:rPr>
        <w:t>some</w:t>
      </w:r>
      <w:r>
        <w:rPr>
          <w:spacing w:val="-6"/>
          <w:w w:val="105"/>
          <w:sz w:val="21"/>
        </w:rPr>
        <w:t> </w:t>
      </w:r>
      <w:r>
        <w:rPr>
          <w:w w:val="105"/>
          <w:sz w:val="21"/>
        </w:rPr>
        <w:t>arborists</w:t>
      </w:r>
      <w:r>
        <w:rPr>
          <w:spacing w:val="-6"/>
          <w:w w:val="105"/>
          <w:sz w:val="21"/>
        </w:rPr>
        <w:t> </w:t>
      </w:r>
      <w:r>
        <w:rPr>
          <w:w w:val="105"/>
          <w:sz w:val="21"/>
        </w:rPr>
        <w:t>reported</w:t>
      </w:r>
      <w:r>
        <w:rPr>
          <w:spacing w:val="-5"/>
          <w:w w:val="105"/>
          <w:sz w:val="21"/>
        </w:rPr>
        <w:t> </w:t>
      </w:r>
      <w:r>
        <w:rPr>
          <w:spacing w:val="-3"/>
          <w:w w:val="105"/>
          <w:sz w:val="21"/>
        </w:rPr>
        <w:t>that</w:t>
      </w:r>
      <w:r>
        <w:rPr>
          <w:spacing w:val="-6"/>
          <w:w w:val="105"/>
          <w:sz w:val="21"/>
        </w:rPr>
        <w:t> </w:t>
      </w:r>
      <w:r>
        <w:rPr>
          <w:w w:val="105"/>
          <w:sz w:val="21"/>
        </w:rPr>
        <w:t>when</w:t>
      </w:r>
      <w:r>
        <w:rPr>
          <w:spacing w:val="-6"/>
          <w:w w:val="105"/>
          <w:sz w:val="21"/>
        </w:rPr>
        <w:t> </w:t>
      </w:r>
      <w:r>
        <w:rPr>
          <w:w w:val="105"/>
          <w:sz w:val="21"/>
        </w:rPr>
        <w:t>it</w:t>
      </w:r>
      <w:r>
        <w:rPr>
          <w:spacing w:val="-5"/>
          <w:w w:val="105"/>
          <w:sz w:val="21"/>
        </w:rPr>
        <w:t> </w:t>
      </w:r>
      <w:r>
        <w:rPr>
          <w:w w:val="105"/>
          <w:sz w:val="21"/>
        </w:rPr>
        <w:t>comes</w:t>
      </w:r>
      <w:r>
        <w:rPr>
          <w:spacing w:val="-6"/>
          <w:w w:val="105"/>
          <w:sz w:val="21"/>
        </w:rPr>
        <w:t> </w:t>
      </w:r>
      <w:r>
        <w:rPr>
          <w:spacing w:val="-3"/>
          <w:w w:val="105"/>
          <w:sz w:val="21"/>
        </w:rPr>
        <w:t>to</w:t>
      </w:r>
      <w:r>
        <w:rPr>
          <w:spacing w:val="-6"/>
          <w:w w:val="105"/>
          <w:sz w:val="21"/>
        </w:rPr>
        <w:t> </w:t>
      </w:r>
      <w:r>
        <w:rPr>
          <w:w w:val="105"/>
          <w:sz w:val="21"/>
        </w:rPr>
        <w:t>the</w:t>
      </w:r>
      <w:r>
        <w:rPr>
          <w:spacing w:val="-5"/>
          <w:w w:val="105"/>
          <w:sz w:val="21"/>
        </w:rPr>
        <w:t> </w:t>
      </w:r>
      <w:r>
        <w:rPr>
          <w:w w:val="105"/>
          <w:sz w:val="21"/>
        </w:rPr>
        <w:t>legal </w:t>
      </w:r>
      <w:r>
        <w:rPr>
          <w:spacing w:val="-3"/>
          <w:w w:val="105"/>
          <w:sz w:val="21"/>
        </w:rPr>
        <w:t>dimensions </w:t>
      </w:r>
      <w:r>
        <w:rPr>
          <w:w w:val="105"/>
          <w:sz w:val="21"/>
        </w:rPr>
        <w:t>of a tree </w:t>
      </w:r>
      <w:r>
        <w:rPr>
          <w:spacing w:val="-3"/>
          <w:w w:val="105"/>
          <w:sz w:val="21"/>
        </w:rPr>
        <w:t>dispute, </w:t>
      </w:r>
      <w:r>
        <w:rPr>
          <w:w w:val="105"/>
          <w:sz w:val="21"/>
        </w:rPr>
        <w:t>they </w:t>
      </w:r>
      <w:r>
        <w:rPr>
          <w:spacing w:val="-3"/>
          <w:w w:val="105"/>
          <w:sz w:val="21"/>
        </w:rPr>
        <w:t>may </w:t>
      </w:r>
      <w:r>
        <w:rPr>
          <w:w w:val="105"/>
          <w:sz w:val="21"/>
        </w:rPr>
        <w:t>simply </w:t>
      </w:r>
      <w:r>
        <w:rPr>
          <w:spacing w:val="-3"/>
          <w:w w:val="105"/>
          <w:sz w:val="21"/>
        </w:rPr>
        <w:t>tell </w:t>
      </w:r>
      <w:r>
        <w:rPr>
          <w:w w:val="105"/>
          <w:sz w:val="21"/>
        </w:rPr>
        <w:t>their clients </w:t>
      </w:r>
      <w:r>
        <w:rPr>
          <w:spacing w:val="-3"/>
          <w:w w:val="105"/>
          <w:sz w:val="21"/>
        </w:rPr>
        <w:t>to </w:t>
      </w:r>
      <w:r>
        <w:rPr>
          <w:w w:val="105"/>
          <w:sz w:val="21"/>
        </w:rPr>
        <w:t>seek legal</w:t>
      </w:r>
      <w:r>
        <w:rPr>
          <w:spacing w:val="-36"/>
          <w:w w:val="105"/>
          <w:sz w:val="21"/>
        </w:rPr>
        <w:t> </w:t>
      </w:r>
      <w:r>
        <w:rPr>
          <w:spacing w:val="-5"/>
          <w:w w:val="105"/>
          <w:sz w:val="21"/>
        </w:rPr>
        <w:t>advice.</w:t>
      </w:r>
      <w:r>
        <w:rPr>
          <w:spacing w:val="-5"/>
          <w:w w:val="105"/>
          <w:position w:val="7"/>
          <w:sz w:val="12"/>
        </w:rPr>
        <w:t>178</w:t>
      </w:r>
    </w:p>
    <w:p>
      <w:pPr>
        <w:pStyle w:val="ListParagraph"/>
        <w:numPr>
          <w:ilvl w:val="1"/>
          <w:numId w:val="16"/>
        </w:numPr>
        <w:tabs>
          <w:tab w:pos="2380" w:val="left" w:leader="none"/>
          <w:tab w:pos="2381" w:val="left" w:leader="none"/>
        </w:tabs>
        <w:spacing w:line="242" w:lineRule="auto" w:before="128" w:after="0"/>
        <w:ind w:left="2381" w:right="1712" w:hanging="794"/>
        <w:jc w:val="left"/>
        <w:rPr>
          <w:sz w:val="21"/>
        </w:rPr>
      </w:pPr>
      <w:r>
        <w:rPr>
          <w:sz w:val="21"/>
        </w:rPr>
        <w:t>Some arborists </w:t>
      </w:r>
      <w:r>
        <w:rPr>
          <w:spacing w:val="-3"/>
          <w:sz w:val="21"/>
        </w:rPr>
        <w:t>may </w:t>
      </w:r>
      <w:r>
        <w:rPr>
          <w:sz w:val="21"/>
        </w:rPr>
        <w:t>simply perform an assessment of the tree or </w:t>
      </w:r>
      <w:r>
        <w:rPr>
          <w:spacing w:val="-3"/>
          <w:sz w:val="21"/>
        </w:rPr>
        <w:t>complete </w:t>
      </w:r>
      <w:r>
        <w:rPr>
          <w:sz w:val="21"/>
        </w:rPr>
        <w:t>the requested tree works, while others </w:t>
      </w:r>
      <w:r>
        <w:rPr>
          <w:spacing w:val="-3"/>
          <w:sz w:val="21"/>
        </w:rPr>
        <w:t>may </w:t>
      </w:r>
      <w:r>
        <w:rPr>
          <w:sz w:val="21"/>
        </w:rPr>
        <w:t>provide </w:t>
      </w:r>
      <w:r>
        <w:rPr>
          <w:spacing w:val="-3"/>
          <w:sz w:val="21"/>
        </w:rPr>
        <w:t>additional </w:t>
      </w:r>
      <w:r>
        <w:rPr>
          <w:sz w:val="21"/>
        </w:rPr>
        <w:t>advice about how </w:t>
      </w:r>
      <w:r>
        <w:rPr>
          <w:spacing w:val="-3"/>
          <w:sz w:val="21"/>
        </w:rPr>
        <w:t>to </w:t>
      </w:r>
      <w:r>
        <w:rPr>
          <w:sz w:val="21"/>
        </w:rPr>
        <w:t>resolve the tree </w:t>
      </w:r>
      <w:r>
        <w:rPr>
          <w:spacing w:val="-3"/>
          <w:sz w:val="21"/>
        </w:rPr>
        <w:t>dispute </w:t>
      </w:r>
      <w:r>
        <w:rPr>
          <w:sz w:val="21"/>
        </w:rPr>
        <w:t>or perform an </w:t>
      </w:r>
      <w:r>
        <w:rPr>
          <w:spacing w:val="-3"/>
          <w:sz w:val="21"/>
        </w:rPr>
        <w:t>improvised dispute </w:t>
      </w:r>
      <w:r>
        <w:rPr>
          <w:sz w:val="21"/>
        </w:rPr>
        <w:t>resolution role </w:t>
      </w:r>
      <w:r>
        <w:rPr>
          <w:spacing w:val="-3"/>
          <w:sz w:val="21"/>
        </w:rPr>
        <w:t>involving </w:t>
      </w:r>
      <w:r>
        <w:rPr>
          <w:sz w:val="21"/>
        </w:rPr>
        <w:t>both </w:t>
      </w:r>
      <w:r>
        <w:rPr>
          <w:spacing w:val="-4"/>
          <w:sz w:val="21"/>
        </w:rPr>
        <w:t>neighbours.</w:t>
      </w:r>
      <w:r>
        <w:rPr>
          <w:spacing w:val="-4"/>
          <w:position w:val="7"/>
          <w:sz w:val="12"/>
        </w:rPr>
        <w:t>179</w:t>
      </w:r>
    </w:p>
    <w:p>
      <w:pPr>
        <w:pStyle w:val="ListParagraph"/>
        <w:numPr>
          <w:ilvl w:val="1"/>
          <w:numId w:val="16"/>
        </w:numPr>
        <w:tabs>
          <w:tab w:pos="2381" w:val="left" w:leader="none"/>
        </w:tabs>
        <w:spacing w:line="242" w:lineRule="auto" w:before="123" w:after="0"/>
        <w:ind w:left="2381" w:right="1798" w:hanging="794"/>
        <w:jc w:val="both"/>
        <w:rPr>
          <w:sz w:val="21"/>
        </w:rPr>
      </w:pPr>
      <w:r>
        <w:rPr>
          <w:w w:val="105"/>
          <w:sz w:val="21"/>
        </w:rPr>
        <w:t>One</w:t>
      </w:r>
      <w:r>
        <w:rPr>
          <w:spacing w:val="-10"/>
          <w:w w:val="105"/>
          <w:sz w:val="21"/>
        </w:rPr>
        <w:t> </w:t>
      </w:r>
      <w:r>
        <w:rPr>
          <w:w w:val="105"/>
          <w:sz w:val="21"/>
        </w:rPr>
        <w:t>arborist</w:t>
      </w:r>
      <w:r>
        <w:rPr>
          <w:spacing w:val="-9"/>
          <w:w w:val="105"/>
          <w:sz w:val="21"/>
        </w:rPr>
        <w:t> </w:t>
      </w:r>
      <w:r>
        <w:rPr>
          <w:w w:val="105"/>
          <w:sz w:val="21"/>
        </w:rPr>
        <w:t>stated</w:t>
      </w:r>
      <w:r>
        <w:rPr>
          <w:spacing w:val="-9"/>
          <w:w w:val="105"/>
          <w:sz w:val="21"/>
        </w:rPr>
        <w:t> </w:t>
      </w:r>
      <w:r>
        <w:rPr>
          <w:spacing w:val="-3"/>
          <w:w w:val="105"/>
          <w:sz w:val="21"/>
        </w:rPr>
        <w:t>that</w:t>
      </w:r>
      <w:r>
        <w:rPr>
          <w:spacing w:val="-9"/>
          <w:w w:val="105"/>
          <w:sz w:val="21"/>
        </w:rPr>
        <w:t> </w:t>
      </w:r>
      <w:r>
        <w:rPr>
          <w:w w:val="105"/>
          <w:sz w:val="21"/>
        </w:rPr>
        <w:t>they</w:t>
      </w:r>
      <w:r>
        <w:rPr>
          <w:spacing w:val="-9"/>
          <w:w w:val="105"/>
          <w:sz w:val="21"/>
        </w:rPr>
        <w:t> </w:t>
      </w:r>
      <w:r>
        <w:rPr>
          <w:w w:val="105"/>
          <w:sz w:val="21"/>
        </w:rPr>
        <w:t>offer</w:t>
      </w:r>
      <w:r>
        <w:rPr>
          <w:spacing w:val="-9"/>
          <w:w w:val="105"/>
          <w:sz w:val="21"/>
        </w:rPr>
        <w:t> </w:t>
      </w:r>
      <w:r>
        <w:rPr>
          <w:spacing w:val="-3"/>
          <w:w w:val="105"/>
          <w:sz w:val="21"/>
        </w:rPr>
        <w:t>to</w:t>
      </w:r>
      <w:r>
        <w:rPr>
          <w:spacing w:val="-9"/>
          <w:w w:val="105"/>
          <w:sz w:val="21"/>
        </w:rPr>
        <w:t> </w:t>
      </w:r>
      <w:r>
        <w:rPr>
          <w:w w:val="105"/>
          <w:sz w:val="21"/>
        </w:rPr>
        <w:t>do</w:t>
      </w:r>
      <w:r>
        <w:rPr>
          <w:spacing w:val="-9"/>
          <w:w w:val="105"/>
          <w:sz w:val="21"/>
        </w:rPr>
        <w:t> </w:t>
      </w:r>
      <w:r>
        <w:rPr>
          <w:w w:val="105"/>
          <w:sz w:val="21"/>
        </w:rPr>
        <w:t>a</w:t>
      </w:r>
      <w:r>
        <w:rPr>
          <w:spacing w:val="-9"/>
          <w:w w:val="105"/>
          <w:sz w:val="21"/>
        </w:rPr>
        <w:t> </w:t>
      </w:r>
      <w:r>
        <w:rPr>
          <w:w w:val="105"/>
          <w:sz w:val="21"/>
        </w:rPr>
        <w:t>tree</w:t>
      </w:r>
      <w:r>
        <w:rPr>
          <w:spacing w:val="-9"/>
          <w:w w:val="105"/>
          <w:sz w:val="21"/>
        </w:rPr>
        <w:t> </w:t>
      </w:r>
      <w:r>
        <w:rPr>
          <w:w w:val="105"/>
          <w:sz w:val="21"/>
        </w:rPr>
        <w:t>amenity</w:t>
      </w:r>
      <w:r>
        <w:rPr>
          <w:spacing w:val="-9"/>
          <w:w w:val="105"/>
          <w:sz w:val="21"/>
        </w:rPr>
        <w:t> </w:t>
      </w:r>
      <w:r>
        <w:rPr>
          <w:spacing w:val="-3"/>
          <w:w w:val="105"/>
          <w:sz w:val="21"/>
        </w:rPr>
        <w:t>evaluation</w:t>
      </w:r>
      <w:r>
        <w:rPr>
          <w:spacing w:val="-9"/>
          <w:w w:val="105"/>
          <w:sz w:val="21"/>
        </w:rPr>
        <w:t> </w:t>
      </w:r>
      <w:r>
        <w:rPr>
          <w:spacing w:val="-3"/>
          <w:w w:val="105"/>
          <w:sz w:val="21"/>
        </w:rPr>
        <w:t>to</w:t>
      </w:r>
      <w:r>
        <w:rPr>
          <w:spacing w:val="-9"/>
          <w:w w:val="105"/>
          <w:sz w:val="21"/>
        </w:rPr>
        <w:t> </w:t>
      </w:r>
      <w:r>
        <w:rPr>
          <w:w w:val="105"/>
          <w:sz w:val="21"/>
        </w:rPr>
        <w:t>quantify</w:t>
      </w:r>
      <w:r>
        <w:rPr>
          <w:spacing w:val="-10"/>
          <w:w w:val="105"/>
          <w:sz w:val="21"/>
        </w:rPr>
        <w:t> </w:t>
      </w:r>
      <w:r>
        <w:rPr>
          <w:w w:val="105"/>
          <w:sz w:val="21"/>
        </w:rPr>
        <w:t>the</w:t>
      </w:r>
      <w:r>
        <w:rPr>
          <w:spacing w:val="-9"/>
          <w:w w:val="105"/>
          <w:sz w:val="21"/>
        </w:rPr>
        <w:t> </w:t>
      </w:r>
      <w:r>
        <w:rPr>
          <w:spacing w:val="-4"/>
          <w:w w:val="105"/>
          <w:sz w:val="21"/>
        </w:rPr>
        <w:t>tree’s </w:t>
      </w:r>
      <w:r>
        <w:rPr>
          <w:w w:val="105"/>
          <w:sz w:val="21"/>
        </w:rPr>
        <w:t>value; without a </w:t>
      </w:r>
      <w:r>
        <w:rPr>
          <w:spacing w:val="-3"/>
          <w:w w:val="105"/>
          <w:sz w:val="21"/>
        </w:rPr>
        <w:t>quantifiable amount, </w:t>
      </w:r>
      <w:r>
        <w:rPr>
          <w:w w:val="105"/>
          <w:sz w:val="21"/>
        </w:rPr>
        <w:t>it can be </w:t>
      </w:r>
      <w:r>
        <w:rPr>
          <w:spacing w:val="-3"/>
          <w:w w:val="105"/>
          <w:sz w:val="21"/>
        </w:rPr>
        <w:t>hard for </w:t>
      </w:r>
      <w:r>
        <w:rPr>
          <w:w w:val="105"/>
          <w:sz w:val="21"/>
        </w:rPr>
        <w:t>an arborist </w:t>
      </w:r>
      <w:r>
        <w:rPr>
          <w:spacing w:val="-3"/>
          <w:w w:val="105"/>
          <w:sz w:val="21"/>
        </w:rPr>
        <w:t>to </w:t>
      </w:r>
      <w:r>
        <w:rPr>
          <w:w w:val="105"/>
          <w:sz w:val="21"/>
        </w:rPr>
        <w:t>explain what the </w:t>
      </w:r>
      <w:r>
        <w:rPr>
          <w:spacing w:val="-3"/>
          <w:w w:val="105"/>
          <w:sz w:val="21"/>
        </w:rPr>
        <w:t>neighbour will </w:t>
      </w:r>
      <w:r>
        <w:rPr>
          <w:w w:val="105"/>
          <w:sz w:val="21"/>
        </w:rPr>
        <w:t>lose if they </w:t>
      </w:r>
      <w:r>
        <w:rPr>
          <w:spacing w:val="-3"/>
          <w:w w:val="105"/>
          <w:sz w:val="21"/>
        </w:rPr>
        <w:t>remove </w:t>
      </w:r>
      <w:r>
        <w:rPr>
          <w:w w:val="105"/>
          <w:sz w:val="21"/>
        </w:rPr>
        <w:t>or prune a</w:t>
      </w:r>
      <w:r>
        <w:rPr>
          <w:spacing w:val="48"/>
          <w:w w:val="105"/>
          <w:sz w:val="21"/>
        </w:rPr>
        <w:t> </w:t>
      </w:r>
      <w:r>
        <w:rPr>
          <w:spacing w:val="-5"/>
          <w:w w:val="105"/>
          <w:sz w:val="21"/>
        </w:rPr>
        <w:t>tree.</w:t>
      </w:r>
      <w:r>
        <w:rPr>
          <w:spacing w:val="-5"/>
          <w:w w:val="105"/>
          <w:position w:val="7"/>
          <w:sz w:val="12"/>
        </w:rPr>
        <w:t>180</w:t>
      </w:r>
    </w:p>
    <w:p>
      <w:pPr>
        <w:pStyle w:val="Heading7"/>
      </w:pPr>
      <w:r>
        <w:rPr>
          <w:w w:val="115"/>
        </w:rPr>
        <w:t>Not following advice and not understanding qualifications</w:t>
      </w:r>
    </w:p>
    <w:p>
      <w:pPr>
        <w:pStyle w:val="ListParagraph"/>
        <w:numPr>
          <w:ilvl w:val="1"/>
          <w:numId w:val="16"/>
        </w:numPr>
        <w:tabs>
          <w:tab w:pos="2381" w:val="left" w:leader="none"/>
          <w:tab w:pos="2382" w:val="left" w:leader="none"/>
        </w:tabs>
        <w:spacing w:line="242" w:lineRule="auto" w:before="142" w:after="0"/>
        <w:ind w:left="2381" w:right="1606" w:hanging="794"/>
        <w:jc w:val="left"/>
        <w:rPr>
          <w:sz w:val="21"/>
        </w:rPr>
      </w:pPr>
      <w:r>
        <w:rPr>
          <w:w w:val="105"/>
          <w:sz w:val="21"/>
        </w:rPr>
        <w:t>People do </w:t>
      </w:r>
      <w:r>
        <w:rPr>
          <w:spacing w:val="-2"/>
          <w:w w:val="105"/>
          <w:sz w:val="21"/>
        </w:rPr>
        <w:t>not </w:t>
      </w:r>
      <w:r>
        <w:rPr>
          <w:w w:val="105"/>
          <w:sz w:val="21"/>
        </w:rPr>
        <w:t>always rely on expert assistance or </w:t>
      </w:r>
      <w:r>
        <w:rPr>
          <w:spacing w:val="-5"/>
          <w:w w:val="105"/>
          <w:sz w:val="21"/>
        </w:rPr>
        <w:t>advice.</w:t>
      </w:r>
      <w:r>
        <w:rPr>
          <w:spacing w:val="-5"/>
          <w:w w:val="105"/>
          <w:position w:val="7"/>
          <w:sz w:val="12"/>
        </w:rPr>
        <w:t>181 </w:t>
      </w:r>
      <w:r>
        <w:rPr>
          <w:w w:val="105"/>
          <w:sz w:val="21"/>
        </w:rPr>
        <w:t>Where they </w:t>
      </w:r>
      <w:r>
        <w:rPr>
          <w:spacing w:val="-3"/>
          <w:w w:val="105"/>
          <w:sz w:val="21"/>
        </w:rPr>
        <w:t>do, </w:t>
      </w:r>
      <w:r>
        <w:rPr>
          <w:w w:val="105"/>
          <w:sz w:val="21"/>
        </w:rPr>
        <w:t>the </w:t>
      </w:r>
      <w:r>
        <w:rPr>
          <w:spacing w:val="-3"/>
          <w:w w:val="105"/>
          <w:sz w:val="21"/>
        </w:rPr>
        <w:t>Commission </w:t>
      </w:r>
      <w:r>
        <w:rPr>
          <w:spacing w:val="-2"/>
          <w:w w:val="105"/>
          <w:sz w:val="21"/>
        </w:rPr>
        <w:t>has </w:t>
      </w:r>
      <w:r>
        <w:rPr>
          <w:w w:val="105"/>
          <w:sz w:val="21"/>
        </w:rPr>
        <w:t>been told </w:t>
      </w:r>
      <w:r>
        <w:rPr>
          <w:spacing w:val="-3"/>
          <w:w w:val="105"/>
          <w:sz w:val="21"/>
        </w:rPr>
        <w:t>that </w:t>
      </w:r>
      <w:r>
        <w:rPr>
          <w:w w:val="105"/>
          <w:sz w:val="21"/>
        </w:rPr>
        <w:t>the community is </w:t>
      </w:r>
      <w:r>
        <w:rPr>
          <w:spacing w:val="-4"/>
          <w:w w:val="105"/>
          <w:sz w:val="21"/>
        </w:rPr>
        <w:t>unlikely </w:t>
      </w:r>
      <w:r>
        <w:rPr>
          <w:spacing w:val="-3"/>
          <w:w w:val="105"/>
          <w:sz w:val="21"/>
        </w:rPr>
        <w:t>to </w:t>
      </w:r>
      <w:r>
        <w:rPr>
          <w:w w:val="105"/>
          <w:sz w:val="21"/>
        </w:rPr>
        <w:t>give much </w:t>
      </w:r>
      <w:r>
        <w:rPr>
          <w:spacing w:val="-3"/>
          <w:w w:val="105"/>
          <w:sz w:val="21"/>
        </w:rPr>
        <w:t>weight to </w:t>
      </w:r>
      <w:r>
        <w:rPr>
          <w:w w:val="105"/>
          <w:sz w:val="21"/>
        </w:rPr>
        <w:t>whether or </w:t>
      </w:r>
      <w:r>
        <w:rPr>
          <w:spacing w:val="-2"/>
          <w:w w:val="105"/>
          <w:sz w:val="21"/>
        </w:rPr>
        <w:t>not </w:t>
      </w:r>
      <w:r>
        <w:rPr>
          <w:w w:val="105"/>
          <w:sz w:val="21"/>
        </w:rPr>
        <w:t>an arborist is suitably qualified </w:t>
      </w:r>
      <w:r>
        <w:rPr>
          <w:spacing w:val="-3"/>
          <w:w w:val="105"/>
          <w:sz w:val="21"/>
        </w:rPr>
        <w:t>to </w:t>
      </w:r>
      <w:r>
        <w:rPr>
          <w:w w:val="105"/>
          <w:sz w:val="21"/>
        </w:rPr>
        <w:t>carry out tree works or</w:t>
      </w:r>
      <w:r>
        <w:rPr>
          <w:spacing w:val="-11"/>
          <w:w w:val="105"/>
          <w:sz w:val="21"/>
        </w:rPr>
        <w:t> </w:t>
      </w:r>
      <w:r>
        <w:rPr>
          <w:spacing w:val="-3"/>
          <w:w w:val="105"/>
          <w:sz w:val="21"/>
        </w:rPr>
        <w:t>assessments.</w:t>
      </w:r>
      <w:r>
        <w:rPr>
          <w:spacing w:val="-3"/>
          <w:w w:val="105"/>
          <w:position w:val="7"/>
          <w:sz w:val="12"/>
        </w:rPr>
        <w:t>182</w:t>
      </w:r>
    </w:p>
    <w:p>
      <w:pPr>
        <w:pStyle w:val="ListParagraph"/>
        <w:numPr>
          <w:ilvl w:val="1"/>
          <w:numId w:val="16"/>
        </w:numPr>
        <w:tabs>
          <w:tab w:pos="2380" w:val="left" w:leader="none"/>
          <w:tab w:pos="2381" w:val="left" w:leader="none"/>
        </w:tabs>
        <w:spacing w:line="242" w:lineRule="auto" w:before="124" w:after="0"/>
        <w:ind w:left="2381" w:right="1637" w:hanging="794"/>
        <w:jc w:val="left"/>
        <w:rPr>
          <w:sz w:val="21"/>
        </w:rPr>
      </w:pPr>
      <w:r>
        <w:rPr>
          <w:spacing w:val="-3"/>
          <w:w w:val="105"/>
          <w:sz w:val="21"/>
        </w:rPr>
        <w:t>Community </w:t>
      </w:r>
      <w:r>
        <w:rPr>
          <w:w w:val="105"/>
          <w:sz w:val="21"/>
        </w:rPr>
        <w:t>members do </w:t>
      </w:r>
      <w:r>
        <w:rPr>
          <w:spacing w:val="-2"/>
          <w:w w:val="105"/>
          <w:sz w:val="21"/>
        </w:rPr>
        <w:t>not </w:t>
      </w:r>
      <w:r>
        <w:rPr>
          <w:spacing w:val="-3"/>
          <w:w w:val="105"/>
          <w:sz w:val="21"/>
        </w:rPr>
        <w:t>have </w:t>
      </w:r>
      <w:r>
        <w:rPr>
          <w:w w:val="105"/>
          <w:sz w:val="21"/>
        </w:rPr>
        <w:t>a good understanding about the </w:t>
      </w:r>
      <w:r>
        <w:rPr>
          <w:spacing w:val="-3"/>
          <w:w w:val="105"/>
          <w:sz w:val="21"/>
        </w:rPr>
        <w:t>different qualifications </w:t>
      </w:r>
      <w:r>
        <w:rPr>
          <w:w w:val="105"/>
          <w:sz w:val="21"/>
        </w:rPr>
        <w:t>and roles of </w:t>
      </w:r>
      <w:r>
        <w:rPr>
          <w:spacing w:val="-3"/>
          <w:w w:val="105"/>
          <w:sz w:val="21"/>
        </w:rPr>
        <w:t>arborists</w:t>
      </w:r>
      <w:r>
        <w:rPr>
          <w:spacing w:val="-3"/>
          <w:w w:val="105"/>
          <w:position w:val="7"/>
          <w:sz w:val="12"/>
        </w:rPr>
        <w:t>183 </w:t>
      </w:r>
      <w:r>
        <w:rPr>
          <w:w w:val="105"/>
          <w:sz w:val="21"/>
        </w:rPr>
        <w:t>and </w:t>
      </w:r>
      <w:r>
        <w:rPr>
          <w:spacing w:val="-3"/>
          <w:w w:val="105"/>
          <w:sz w:val="21"/>
        </w:rPr>
        <w:t>information </w:t>
      </w:r>
      <w:r>
        <w:rPr>
          <w:w w:val="105"/>
          <w:sz w:val="21"/>
        </w:rPr>
        <w:t>on what level of </w:t>
      </w:r>
      <w:r>
        <w:rPr>
          <w:spacing w:val="-2"/>
          <w:w w:val="105"/>
          <w:sz w:val="21"/>
        </w:rPr>
        <w:t>qualification </w:t>
      </w:r>
      <w:r>
        <w:rPr>
          <w:w w:val="105"/>
          <w:sz w:val="21"/>
        </w:rPr>
        <w:t>is advisable </w:t>
      </w:r>
      <w:r>
        <w:rPr>
          <w:spacing w:val="-3"/>
          <w:w w:val="105"/>
          <w:sz w:val="21"/>
        </w:rPr>
        <w:t>for </w:t>
      </w:r>
      <w:r>
        <w:rPr>
          <w:w w:val="105"/>
          <w:sz w:val="21"/>
        </w:rPr>
        <w:t>particular tree works </w:t>
      </w:r>
      <w:r>
        <w:rPr>
          <w:spacing w:val="-3"/>
          <w:w w:val="105"/>
          <w:sz w:val="21"/>
        </w:rPr>
        <w:t>may </w:t>
      </w:r>
      <w:r>
        <w:rPr>
          <w:spacing w:val="-2"/>
          <w:w w:val="105"/>
          <w:sz w:val="21"/>
        </w:rPr>
        <w:t>not </w:t>
      </w:r>
      <w:r>
        <w:rPr>
          <w:w w:val="105"/>
          <w:sz w:val="21"/>
        </w:rPr>
        <w:t>be easy </w:t>
      </w:r>
      <w:r>
        <w:rPr>
          <w:spacing w:val="-3"/>
          <w:w w:val="105"/>
          <w:sz w:val="21"/>
        </w:rPr>
        <w:t>for </w:t>
      </w:r>
      <w:r>
        <w:rPr>
          <w:w w:val="105"/>
          <w:sz w:val="21"/>
        </w:rPr>
        <w:t>the community </w:t>
      </w:r>
      <w:r>
        <w:rPr>
          <w:spacing w:val="-3"/>
          <w:w w:val="105"/>
          <w:sz w:val="21"/>
        </w:rPr>
        <w:t>to </w:t>
      </w:r>
      <w:r>
        <w:rPr>
          <w:spacing w:val="-4"/>
          <w:w w:val="105"/>
          <w:sz w:val="21"/>
        </w:rPr>
        <w:t>find.</w:t>
      </w:r>
      <w:r>
        <w:rPr>
          <w:spacing w:val="-4"/>
          <w:w w:val="105"/>
          <w:position w:val="7"/>
          <w:sz w:val="12"/>
        </w:rPr>
        <w:t>184 </w:t>
      </w:r>
      <w:r>
        <w:rPr>
          <w:w w:val="105"/>
          <w:sz w:val="21"/>
        </w:rPr>
        <w:t>For </w:t>
      </w:r>
      <w:r>
        <w:rPr>
          <w:spacing w:val="-3"/>
          <w:w w:val="105"/>
          <w:sz w:val="21"/>
        </w:rPr>
        <w:t>example, </w:t>
      </w:r>
      <w:r>
        <w:rPr>
          <w:w w:val="105"/>
          <w:sz w:val="21"/>
        </w:rPr>
        <w:t>people </w:t>
      </w:r>
      <w:r>
        <w:rPr>
          <w:spacing w:val="-3"/>
          <w:w w:val="105"/>
          <w:sz w:val="21"/>
        </w:rPr>
        <w:t>may </w:t>
      </w:r>
      <w:r>
        <w:rPr>
          <w:spacing w:val="-2"/>
          <w:w w:val="105"/>
          <w:sz w:val="21"/>
        </w:rPr>
        <w:t>not </w:t>
      </w:r>
      <w:r>
        <w:rPr>
          <w:w w:val="105"/>
          <w:sz w:val="21"/>
        </w:rPr>
        <w:t>know the </w:t>
      </w:r>
      <w:r>
        <w:rPr>
          <w:spacing w:val="-3"/>
          <w:w w:val="105"/>
          <w:sz w:val="21"/>
        </w:rPr>
        <w:t>difference </w:t>
      </w:r>
      <w:r>
        <w:rPr>
          <w:w w:val="105"/>
          <w:sz w:val="21"/>
        </w:rPr>
        <w:t>between a ‘tree lopper’ and a </w:t>
      </w:r>
      <w:r>
        <w:rPr>
          <w:spacing w:val="-3"/>
          <w:w w:val="105"/>
          <w:sz w:val="21"/>
        </w:rPr>
        <w:t>highly </w:t>
      </w:r>
      <w:r>
        <w:rPr>
          <w:w w:val="105"/>
          <w:sz w:val="21"/>
        </w:rPr>
        <w:t>qualified</w:t>
      </w:r>
      <w:r>
        <w:rPr>
          <w:spacing w:val="-9"/>
          <w:w w:val="105"/>
          <w:sz w:val="21"/>
        </w:rPr>
        <w:t> </w:t>
      </w:r>
      <w:r>
        <w:rPr>
          <w:w w:val="105"/>
          <w:sz w:val="21"/>
        </w:rPr>
        <w:t>arborist</w:t>
      </w:r>
      <w:r>
        <w:rPr>
          <w:spacing w:val="-8"/>
          <w:w w:val="105"/>
          <w:sz w:val="21"/>
        </w:rPr>
        <w:t> </w:t>
      </w:r>
      <w:r>
        <w:rPr>
          <w:spacing w:val="-3"/>
          <w:w w:val="105"/>
          <w:sz w:val="21"/>
        </w:rPr>
        <w:t>skilled</w:t>
      </w:r>
      <w:r>
        <w:rPr>
          <w:spacing w:val="-9"/>
          <w:w w:val="105"/>
          <w:sz w:val="21"/>
        </w:rPr>
        <w:t> </w:t>
      </w:r>
      <w:r>
        <w:rPr>
          <w:w w:val="105"/>
          <w:sz w:val="21"/>
        </w:rPr>
        <w:t>in</w:t>
      </w:r>
      <w:r>
        <w:rPr>
          <w:spacing w:val="-8"/>
          <w:w w:val="105"/>
          <w:sz w:val="21"/>
        </w:rPr>
        <w:t> </w:t>
      </w:r>
      <w:r>
        <w:rPr>
          <w:w w:val="105"/>
          <w:sz w:val="21"/>
        </w:rPr>
        <w:t>the</w:t>
      </w:r>
      <w:r>
        <w:rPr>
          <w:spacing w:val="-9"/>
          <w:w w:val="105"/>
          <w:sz w:val="21"/>
        </w:rPr>
        <w:t> </w:t>
      </w:r>
      <w:r>
        <w:rPr>
          <w:w w:val="105"/>
          <w:sz w:val="21"/>
        </w:rPr>
        <w:t>assessment</w:t>
      </w:r>
      <w:r>
        <w:rPr>
          <w:spacing w:val="-8"/>
          <w:w w:val="105"/>
          <w:sz w:val="21"/>
        </w:rPr>
        <w:t> </w:t>
      </w:r>
      <w:r>
        <w:rPr>
          <w:w w:val="105"/>
          <w:sz w:val="21"/>
        </w:rPr>
        <w:t>and</w:t>
      </w:r>
      <w:r>
        <w:rPr>
          <w:spacing w:val="-9"/>
          <w:w w:val="105"/>
          <w:sz w:val="21"/>
        </w:rPr>
        <w:t> </w:t>
      </w:r>
      <w:r>
        <w:rPr>
          <w:spacing w:val="-3"/>
          <w:w w:val="105"/>
          <w:sz w:val="21"/>
        </w:rPr>
        <w:t>management</w:t>
      </w:r>
      <w:r>
        <w:rPr>
          <w:spacing w:val="-8"/>
          <w:w w:val="105"/>
          <w:sz w:val="21"/>
        </w:rPr>
        <w:t> </w:t>
      </w:r>
      <w:r>
        <w:rPr>
          <w:w w:val="105"/>
          <w:sz w:val="21"/>
        </w:rPr>
        <w:t>of</w:t>
      </w:r>
      <w:r>
        <w:rPr>
          <w:spacing w:val="-8"/>
          <w:w w:val="105"/>
          <w:sz w:val="21"/>
        </w:rPr>
        <w:t> </w:t>
      </w:r>
      <w:r>
        <w:rPr>
          <w:spacing w:val="-4"/>
          <w:w w:val="105"/>
          <w:sz w:val="21"/>
        </w:rPr>
        <w:t>trees.</w:t>
      </w:r>
      <w:r>
        <w:rPr>
          <w:spacing w:val="-4"/>
          <w:w w:val="105"/>
          <w:position w:val="7"/>
          <w:sz w:val="12"/>
        </w:rPr>
        <w:t>185 </w:t>
      </w:r>
      <w:r>
        <w:rPr>
          <w:w w:val="105"/>
          <w:sz w:val="21"/>
        </w:rPr>
        <w:t>A</w:t>
      </w:r>
      <w:r>
        <w:rPr>
          <w:spacing w:val="-9"/>
          <w:w w:val="105"/>
          <w:sz w:val="21"/>
        </w:rPr>
        <w:t> </w:t>
      </w:r>
      <w:r>
        <w:rPr>
          <w:w w:val="105"/>
          <w:sz w:val="21"/>
        </w:rPr>
        <w:t>tree</w:t>
      </w:r>
      <w:r>
        <w:rPr>
          <w:spacing w:val="-8"/>
          <w:w w:val="105"/>
          <w:sz w:val="21"/>
        </w:rPr>
        <w:t> </w:t>
      </w:r>
      <w:r>
        <w:rPr>
          <w:w w:val="105"/>
          <w:sz w:val="21"/>
        </w:rPr>
        <w:t>lopper</w:t>
      </w:r>
      <w:r>
        <w:rPr>
          <w:spacing w:val="-8"/>
          <w:w w:val="105"/>
          <w:sz w:val="21"/>
        </w:rPr>
        <w:t> </w:t>
      </w:r>
      <w:r>
        <w:rPr>
          <w:spacing w:val="-3"/>
          <w:w w:val="105"/>
          <w:sz w:val="21"/>
        </w:rPr>
        <w:t>may</w:t>
      </w:r>
    </w:p>
    <w:p>
      <w:pPr>
        <w:pStyle w:val="BodyText"/>
        <w:rPr>
          <w:sz w:val="20"/>
        </w:rPr>
      </w:pPr>
    </w:p>
    <w:p>
      <w:pPr>
        <w:pStyle w:val="BodyText"/>
        <w:rPr>
          <w:sz w:val="20"/>
        </w:rPr>
      </w:pPr>
    </w:p>
    <w:p>
      <w:pPr>
        <w:pStyle w:val="BodyText"/>
        <w:rPr>
          <w:sz w:val="20"/>
        </w:rPr>
      </w:pPr>
    </w:p>
    <w:p>
      <w:pPr>
        <w:pStyle w:val="BodyText"/>
        <w:spacing w:before="1"/>
        <w:rPr>
          <w:sz w:val="17"/>
        </w:rPr>
      </w:pPr>
      <w:r>
        <w:rPr/>
        <w:pict>
          <v:line style="position:absolute;mso-position-horizontal-relative:page;mso-position-vertical-relative:paragraph;z-index:464;mso-wrap-distance-left:0;mso-wrap-distance-right:0" from="79.370102pt,12.919734pt" to="515.905102pt,12.919734pt" stroked="true" strokeweight="1pt" strokecolor="#c9d2cb">
            <v:stroke dashstyle="solid"/>
            <w10:wrap type="topAndBottom"/>
          </v:line>
        </w:pict>
      </w:r>
    </w:p>
    <w:p>
      <w:pPr>
        <w:pStyle w:val="ListParagraph"/>
        <w:numPr>
          <w:ilvl w:val="0"/>
          <w:numId w:val="21"/>
        </w:numPr>
        <w:tabs>
          <w:tab w:pos="2380" w:val="left" w:leader="none"/>
          <w:tab w:pos="2382" w:val="left" w:leader="none"/>
        </w:tabs>
        <w:spacing w:line="240" w:lineRule="auto" w:before="117" w:after="0"/>
        <w:ind w:left="2381" w:right="1691" w:hanging="794"/>
        <w:jc w:val="left"/>
        <w:rPr>
          <w:sz w:val="13"/>
        </w:rPr>
      </w:pPr>
      <w:r>
        <w:rPr>
          <w:w w:val="105"/>
          <w:sz w:val="13"/>
        </w:rPr>
        <w:t>Consultation 6 </w:t>
      </w:r>
      <w:r>
        <w:rPr>
          <w:spacing w:val="2"/>
          <w:w w:val="105"/>
          <w:sz w:val="13"/>
        </w:rPr>
        <w:t>(Ben </w:t>
      </w:r>
      <w:r>
        <w:rPr>
          <w:w w:val="105"/>
          <w:sz w:val="13"/>
        </w:rPr>
        <w:t>Kenyon); see, eg, </w:t>
      </w:r>
      <w:r>
        <w:rPr>
          <w:i/>
          <w:w w:val="105"/>
          <w:sz w:val="13"/>
        </w:rPr>
        <w:t>Tree Protection Local Law No.22 </w:t>
      </w:r>
      <w:r>
        <w:rPr>
          <w:i/>
          <w:spacing w:val="-3"/>
          <w:w w:val="105"/>
          <w:sz w:val="13"/>
        </w:rPr>
        <w:t>2016 </w:t>
      </w:r>
      <w:r>
        <w:rPr>
          <w:w w:val="105"/>
          <w:sz w:val="13"/>
        </w:rPr>
        <w:t>(Frankston City Council); City of Greater Bendigo, </w:t>
      </w:r>
      <w:r>
        <w:rPr>
          <w:i/>
          <w:w w:val="105"/>
          <w:sz w:val="13"/>
        </w:rPr>
        <w:t>Urban Tree </w:t>
      </w:r>
      <w:r>
        <w:rPr>
          <w:i/>
          <w:w w:val="105"/>
          <w:sz w:val="13"/>
        </w:rPr>
        <w:t>Management Policy </w:t>
      </w:r>
      <w:r>
        <w:rPr>
          <w:spacing w:val="-2"/>
          <w:w w:val="105"/>
          <w:sz w:val="13"/>
        </w:rPr>
        <w:t>(16 </w:t>
      </w:r>
      <w:r>
        <w:rPr>
          <w:w w:val="105"/>
          <w:sz w:val="13"/>
        </w:rPr>
        <w:t>August 2017) </w:t>
      </w:r>
      <w:r>
        <w:rPr>
          <w:spacing w:val="2"/>
          <w:w w:val="105"/>
          <w:sz w:val="13"/>
        </w:rPr>
        <w:t>4; </w:t>
      </w:r>
      <w:r>
        <w:rPr>
          <w:w w:val="105"/>
          <w:sz w:val="13"/>
        </w:rPr>
        <w:t>see also </w:t>
      </w:r>
      <w:r>
        <w:rPr>
          <w:i/>
          <w:w w:val="105"/>
          <w:sz w:val="13"/>
        </w:rPr>
        <w:t>City of Melbourne, Urban Forest Strategy—Making a Great City Greener 2012–2032</w:t>
      </w:r>
      <w:r>
        <w:rPr>
          <w:i/>
          <w:spacing w:val="30"/>
          <w:w w:val="105"/>
          <w:sz w:val="13"/>
        </w:rPr>
        <w:t> </w:t>
      </w:r>
      <w:r>
        <w:rPr>
          <w:spacing w:val="2"/>
          <w:w w:val="105"/>
          <w:sz w:val="13"/>
        </w:rPr>
        <w:t>(Report,</w:t>
      </w:r>
      <w:r>
        <w:rPr>
          <w:spacing w:val="4"/>
          <w:w w:val="105"/>
          <w:sz w:val="13"/>
        </w:rPr>
        <w:t> </w:t>
      </w:r>
      <w:r>
        <w:rPr>
          <w:w w:val="105"/>
          <w:sz w:val="13"/>
        </w:rPr>
        <w:t>2012);</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Stonnington,</w:t>
      </w:r>
      <w:r>
        <w:rPr>
          <w:spacing w:val="5"/>
          <w:w w:val="105"/>
          <w:sz w:val="13"/>
        </w:rPr>
        <w:t> </w:t>
      </w:r>
      <w:r>
        <w:rPr>
          <w:i/>
          <w:w w:val="105"/>
          <w:sz w:val="13"/>
        </w:rPr>
        <w:t>Urban</w:t>
      </w:r>
      <w:r>
        <w:rPr>
          <w:i/>
          <w:spacing w:val="4"/>
          <w:w w:val="105"/>
          <w:sz w:val="13"/>
        </w:rPr>
        <w:t> </w:t>
      </w:r>
      <w:r>
        <w:rPr>
          <w:i/>
          <w:w w:val="105"/>
          <w:sz w:val="13"/>
        </w:rPr>
        <w:t>Forest</w:t>
      </w:r>
      <w:r>
        <w:rPr>
          <w:i/>
          <w:spacing w:val="5"/>
          <w:w w:val="105"/>
          <w:sz w:val="13"/>
        </w:rPr>
        <w:t> </w:t>
      </w:r>
      <w:r>
        <w:rPr>
          <w:i/>
          <w:w w:val="105"/>
          <w:sz w:val="13"/>
        </w:rPr>
        <w:t>Strategy</w:t>
      </w:r>
      <w:r>
        <w:rPr>
          <w:i/>
          <w:spacing w:val="5"/>
          <w:w w:val="105"/>
          <w:sz w:val="13"/>
        </w:rPr>
        <w:t> </w:t>
      </w:r>
      <w:r>
        <w:rPr>
          <w:i/>
          <w:w w:val="105"/>
          <w:sz w:val="13"/>
        </w:rPr>
        <w:t>2017–2022</w:t>
      </w:r>
      <w:r>
        <w:rPr>
          <w:i/>
          <w:spacing w:val="5"/>
          <w:w w:val="105"/>
          <w:sz w:val="13"/>
        </w:rPr>
        <w:t> </w:t>
      </w:r>
      <w:r>
        <w:rPr>
          <w:spacing w:val="2"/>
          <w:w w:val="105"/>
          <w:sz w:val="13"/>
        </w:rPr>
        <w:t>(Report,</w:t>
      </w:r>
      <w:r>
        <w:rPr>
          <w:spacing w:val="5"/>
          <w:w w:val="105"/>
          <w:sz w:val="13"/>
        </w:rPr>
        <w:t> </w:t>
      </w:r>
      <w:r>
        <w:rPr>
          <w:w w:val="105"/>
          <w:sz w:val="13"/>
        </w:rPr>
        <w:t>June</w:t>
      </w:r>
      <w:r>
        <w:rPr>
          <w:spacing w:val="4"/>
          <w:w w:val="105"/>
          <w:sz w:val="13"/>
        </w:rPr>
        <w:t> </w:t>
      </w:r>
      <w:r>
        <w:rPr>
          <w:w w:val="105"/>
          <w:sz w:val="13"/>
        </w:rPr>
        <w:t>2017)</w:t>
      </w:r>
      <w:r>
        <w:rPr>
          <w:spacing w:val="5"/>
          <w:w w:val="105"/>
          <w:sz w:val="13"/>
        </w:rPr>
        <w:t> </w:t>
      </w:r>
      <w:r>
        <w:rPr>
          <w:w w:val="105"/>
          <w:sz w:val="13"/>
        </w:rPr>
        <w:t>4.</w:t>
      </w:r>
    </w:p>
    <w:p>
      <w:pPr>
        <w:pStyle w:val="ListParagraph"/>
        <w:numPr>
          <w:ilvl w:val="0"/>
          <w:numId w:val="21"/>
        </w:numPr>
        <w:tabs>
          <w:tab w:pos="2380" w:val="left" w:leader="none"/>
          <w:tab w:pos="2382" w:val="left" w:leader="none"/>
        </w:tabs>
        <w:spacing w:line="240" w:lineRule="auto" w:before="4" w:after="0"/>
        <w:ind w:left="2381" w:right="0" w:hanging="794"/>
        <w:jc w:val="left"/>
        <w:rPr>
          <w:sz w:val="13"/>
        </w:rPr>
      </w:pPr>
      <w:r>
        <w:rPr>
          <w:w w:val="105"/>
          <w:sz w:val="13"/>
        </w:rPr>
        <w:t>Submission </w:t>
      </w:r>
      <w:r>
        <w:rPr>
          <w:spacing w:val="-4"/>
          <w:w w:val="105"/>
          <w:sz w:val="13"/>
        </w:rPr>
        <w:t>12 </w:t>
      </w:r>
      <w:r>
        <w:rPr>
          <w:spacing w:val="3"/>
          <w:w w:val="105"/>
          <w:sz w:val="13"/>
        </w:rPr>
        <w:t>(Dr </w:t>
      </w:r>
      <w:r>
        <w:rPr>
          <w:w w:val="105"/>
          <w:sz w:val="13"/>
        </w:rPr>
        <w:t>Gregory Moore</w:t>
      </w:r>
      <w:r>
        <w:rPr>
          <w:spacing w:val="-3"/>
          <w:w w:val="105"/>
          <w:sz w:val="13"/>
        </w:rPr>
        <w:t> </w:t>
      </w:r>
      <w:r>
        <w:rPr>
          <w:spacing w:val="2"/>
          <w:w w:val="105"/>
          <w:sz w:val="13"/>
        </w:rPr>
        <w:t>OAM).</w:t>
      </w:r>
    </w:p>
    <w:p>
      <w:pPr>
        <w:pStyle w:val="ListParagraph"/>
        <w:numPr>
          <w:ilvl w:val="0"/>
          <w:numId w:val="21"/>
        </w:numPr>
        <w:tabs>
          <w:tab w:pos="2380" w:val="left" w:leader="none"/>
          <w:tab w:pos="2382" w:val="left" w:leader="none"/>
        </w:tabs>
        <w:spacing w:line="240" w:lineRule="auto" w:before="1" w:after="0"/>
        <w:ind w:left="2381" w:right="0" w:hanging="794"/>
        <w:jc w:val="left"/>
        <w:rPr>
          <w:sz w:val="13"/>
        </w:rPr>
      </w:pPr>
      <w:r>
        <w:rPr>
          <w:w w:val="105"/>
          <w:sz w:val="13"/>
        </w:rPr>
        <w:t>Consultations</w:t>
      </w:r>
      <w:r>
        <w:rPr>
          <w:spacing w:val="4"/>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4"/>
          <w:w w:val="105"/>
          <w:sz w:val="13"/>
        </w:rPr>
        <w:t> </w:t>
      </w:r>
      <w:r>
        <w:rPr>
          <w:w w:val="105"/>
          <w:sz w:val="13"/>
        </w:rPr>
        <w:t>at</w:t>
      </w:r>
      <w:r>
        <w:rPr>
          <w:spacing w:val="5"/>
          <w:w w:val="105"/>
          <w:sz w:val="13"/>
        </w:rPr>
        <w:t> </w:t>
      </w:r>
      <w:r>
        <w:rPr>
          <w:spacing w:val="4"/>
          <w:w w:val="105"/>
          <w:sz w:val="13"/>
        </w:rPr>
        <w:t>VTIO</w:t>
      </w:r>
      <w:r>
        <w:rPr>
          <w:spacing w:val="5"/>
          <w:w w:val="105"/>
          <w:sz w:val="13"/>
        </w:rPr>
        <w:t> </w:t>
      </w:r>
      <w:r>
        <w:rPr>
          <w:w w:val="105"/>
          <w:sz w:val="13"/>
        </w:rPr>
        <w:t>ArborCamp2018),</w:t>
      </w:r>
      <w:r>
        <w:rPr>
          <w:spacing w:val="5"/>
          <w:w w:val="105"/>
          <w:sz w:val="13"/>
        </w:rPr>
        <w:t> </w:t>
      </w:r>
      <w:r>
        <w:rPr>
          <w:spacing w:val="-3"/>
          <w:w w:val="105"/>
          <w:sz w:val="13"/>
        </w:rPr>
        <w:t>14</w:t>
      </w:r>
      <w:r>
        <w:rPr>
          <w:spacing w:val="5"/>
          <w:w w:val="105"/>
          <w:sz w:val="13"/>
        </w:rPr>
        <w:t> </w:t>
      </w:r>
      <w:r>
        <w:rPr>
          <w:spacing w:val="2"/>
          <w:w w:val="105"/>
          <w:sz w:val="13"/>
        </w:rPr>
        <w:t>(Robert</w:t>
      </w:r>
      <w:r>
        <w:rPr>
          <w:spacing w:val="4"/>
          <w:w w:val="105"/>
          <w:sz w:val="13"/>
        </w:rPr>
        <w:t> </w:t>
      </w:r>
      <w:r>
        <w:rPr>
          <w:spacing w:val="2"/>
          <w:w w:val="105"/>
          <w:sz w:val="13"/>
        </w:rPr>
        <w:t>Mineo).</w:t>
      </w:r>
    </w:p>
    <w:p>
      <w:pPr>
        <w:pStyle w:val="ListParagraph"/>
        <w:numPr>
          <w:ilvl w:val="0"/>
          <w:numId w:val="21"/>
        </w:numPr>
        <w:tabs>
          <w:tab w:pos="2380" w:val="left" w:leader="none"/>
          <w:tab w:pos="2382" w:val="left" w:leader="none"/>
        </w:tabs>
        <w:spacing w:line="240" w:lineRule="auto" w:before="2" w:after="0"/>
        <w:ind w:left="1587" w:right="3068" w:firstLine="0"/>
        <w:jc w:val="left"/>
        <w:rPr>
          <w:sz w:val="13"/>
        </w:rPr>
      </w:pPr>
      <w:r>
        <w:rPr>
          <w:w w:val="105"/>
          <w:sz w:val="13"/>
        </w:rPr>
        <w:t>See, eg, Standards Australia, </w:t>
      </w:r>
      <w:r>
        <w:rPr>
          <w:i/>
          <w:w w:val="105"/>
          <w:sz w:val="13"/>
        </w:rPr>
        <w:t>Pruning of Amenity Trees </w:t>
      </w:r>
      <w:r>
        <w:rPr>
          <w:spacing w:val="2"/>
          <w:w w:val="105"/>
          <w:sz w:val="13"/>
        </w:rPr>
        <w:t>(AS </w:t>
      </w:r>
      <w:r>
        <w:rPr>
          <w:w w:val="105"/>
          <w:sz w:val="13"/>
        </w:rPr>
        <w:t>4373-2007) (Sydney, NSW: Standards Australia, 2007)</w:t>
      </w:r>
      <w:r>
        <w:rPr>
          <w:i/>
          <w:w w:val="105"/>
          <w:sz w:val="13"/>
        </w:rPr>
        <w:t>. </w:t>
      </w:r>
      <w:r>
        <w:rPr>
          <w:w w:val="105"/>
          <w:sz w:val="13"/>
        </w:rPr>
        <w:t>177</w:t>
        <w:tab/>
        <w:t>Consultation 4 (Participants in facilitated discussion at</w:t>
      </w:r>
      <w:r>
        <w:rPr>
          <w:spacing w:val="7"/>
          <w:w w:val="105"/>
          <w:sz w:val="13"/>
        </w:rPr>
        <w:t> </w:t>
      </w:r>
      <w:r>
        <w:rPr>
          <w:spacing w:val="4"/>
          <w:w w:val="105"/>
          <w:sz w:val="13"/>
        </w:rPr>
        <w:t>VTIO </w:t>
      </w:r>
      <w:r>
        <w:rPr>
          <w:w w:val="105"/>
          <w:sz w:val="13"/>
        </w:rPr>
        <w:t>ArborCamp2018).</w:t>
      </w:r>
    </w:p>
    <w:p>
      <w:pPr>
        <w:pStyle w:val="ListParagraph"/>
        <w:numPr>
          <w:ilvl w:val="0"/>
          <w:numId w:val="22"/>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22"/>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22"/>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22"/>
        </w:numPr>
        <w:tabs>
          <w:tab w:pos="2381" w:val="left" w:leader="none"/>
          <w:tab w:pos="2382" w:val="left" w:leader="none"/>
        </w:tabs>
        <w:spacing w:line="240" w:lineRule="auto" w:before="1" w:after="0"/>
        <w:ind w:left="2381" w:right="0" w:hanging="794"/>
        <w:jc w:val="left"/>
        <w:rPr>
          <w:sz w:val="13"/>
        </w:rPr>
      </w:pPr>
      <w:r>
        <w:rPr>
          <w:w w:val="105"/>
          <w:sz w:val="13"/>
        </w:rPr>
        <w:t>Submission</w:t>
      </w:r>
      <w:r>
        <w:rPr>
          <w:spacing w:val="5"/>
          <w:w w:val="105"/>
          <w:sz w:val="13"/>
        </w:rPr>
        <w:t> </w:t>
      </w:r>
      <w:r>
        <w:rPr>
          <w:w w:val="105"/>
          <w:sz w:val="13"/>
        </w:rPr>
        <w:t>18</w:t>
      </w:r>
      <w:r>
        <w:rPr>
          <w:spacing w:val="5"/>
          <w:w w:val="105"/>
          <w:sz w:val="13"/>
        </w:rPr>
        <w:t> </w:t>
      </w:r>
      <w:r>
        <w:rPr>
          <w:w w:val="105"/>
          <w:sz w:val="13"/>
        </w:rPr>
        <w:t>(ENSPEC);</w:t>
      </w:r>
      <w:r>
        <w:rPr>
          <w:spacing w:val="5"/>
          <w:w w:val="105"/>
          <w:sz w:val="13"/>
        </w:rPr>
        <w:t> </w:t>
      </w:r>
      <w:r>
        <w:rPr>
          <w:w w:val="105"/>
          <w:sz w:val="13"/>
        </w:rPr>
        <w:t>Consultation</w:t>
      </w:r>
      <w:r>
        <w:rPr>
          <w:spacing w:val="5"/>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6"/>
          <w:w w:val="105"/>
          <w:sz w:val="13"/>
        </w:rPr>
        <w:t> </w:t>
      </w:r>
      <w:r>
        <w:rPr>
          <w:w w:val="105"/>
          <w:sz w:val="13"/>
        </w:rPr>
        <w:t>at</w:t>
      </w:r>
      <w:r>
        <w:rPr>
          <w:spacing w:val="5"/>
          <w:w w:val="105"/>
          <w:sz w:val="13"/>
        </w:rPr>
        <w:t> </w:t>
      </w:r>
      <w:r>
        <w:rPr>
          <w:spacing w:val="4"/>
          <w:w w:val="105"/>
          <w:sz w:val="13"/>
        </w:rPr>
        <w:t>VTIO</w:t>
      </w:r>
      <w:r>
        <w:rPr>
          <w:spacing w:val="5"/>
          <w:w w:val="105"/>
          <w:sz w:val="13"/>
        </w:rPr>
        <w:t> </w:t>
      </w:r>
      <w:r>
        <w:rPr>
          <w:w w:val="105"/>
          <w:sz w:val="13"/>
        </w:rPr>
        <w:t>ArborCamp2018).</w:t>
      </w:r>
    </w:p>
    <w:p>
      <w:pPr>
        <w:pStyle w:val="ListParagraph"/>
        <w:numPr>
          <w:ilvl w:val="0"/>
          <w:numId w:val="22"/>
        </w:numPr>
        <w:tabs>
          <w:tab w:pos="2381" w:val="left" w:leader="none"/>
          <w:tab w:pos="2382" w:val="left" w:leader="none"/>
        </w:tabs>
        <w:spacing w:line="240" w:lineRule="auto" w:before="2" w:after="0"/>
        <w:ind w:left="2381" w:right="0" w:hanging="794"/>
        <w:jc w:val="left"/>
        <w:rPr>
          <w:sz w:val="13"/>
        </w:rPr>
      </w:pPr>
      <w:r>
        <w:rPr>
          <w:w w:val="105"/>
          <w:sz w:val="13"/>
        </w:rPr>
        <w:t>Consultation 4 (Participants in facilitated discussion at </w:t>
      </w:r>
      <w:r>
        <w:rPr>
          <w:spacing w:val="4"/>
          <w:w w:val="105"/>
          <w:sz w:val="13"/>
        </w:rPr>
        <w:t>VTIO</w:t>
      </w:r>
      <w:r>
        <w:rPr>
          <w:spacing w:val="38"/>
          <w:w w:val="105"/>
          <w:sz w:val="13"/>
        </w:rPr>
        <w:t> </w:t>
      </w:r>
      <w:r>
        <w:rPr>
          <w:w w:val="105"/>
          <w:sz w:val="13"/>
        </w:rPr>
        <w:t>ArborCamp2018).</w:t>
      </w:r>
    </w:p>
    <w:p>
      <w:pPr>
        <w:pStyle w:val="ListParagraph"/>
        <w:numPr>
          <w:ilvl w:val="0"/>
          <w:numId w:val="22"/>
        </w:numPr>
        <w:tabs>
          <w:tab w:pos="2381" w:val="left" w:leader="none"/>
          <w:tab w:pos="2382" w:val="left" w:leader="none"/>
        </w:tabs>
        <w:spacing w:line="240" w:lineRule="auto" w:before="1" w:after="0"/>
        <w:ind w:left="2381" w:right="1716" w:hanging="794"/>
        <w:jc w:val="left"/>
        <w:rPr>
          <w:sz w:val="13"/>
        </w:rPr>
      </w:pPr>
      <w:r>
        <w:rPr>
          <w:w w:val="105"/>
          <w:sz w:val="13"/>
        </w:rPr>
        <w:t>Submission 18 (ENSPEC); Consultation 4 (Participants in facilitated discussion at </w:t>
      </w:r>
      <w:r>
        <w:rPr>
          <w:spacing w:val="4"/>
          <w:w w:val="105"/>
          <w:sz w:val="13"/>
        </w:rPr>
        <w:t>VTIO </w:t>
      </w:r>
      <w:r>
        <w:rPr>
          <w:w w:val="105"/>
          <w:sz w:val="13"/>
        </w:rPr>
        <w:t>ArborCamp2018). This is discussed in more detail in Chapter</w:t>
      </w:r>
      <w:r>
        <w:rPr>
          <w:spacing w:val="4"/>
          <w:w w:val="105"/>
          <w:sz w:val="13"/>
        </w:rPr>
        <w:t> </w:t>
      </w:r>
      <w:r>
        <w:rPr>
          <w:spacing w:val="-3"/>
          <w:w w:val="105"/>
          <w:sz w:val="13"/>
        </w:rPr>
        <w:t>12.</w:t>
      </w:r>
    </w:p>
    <w:p>
      <w:pPr>
        <w:pStyle w:val="ListParagraph"/>
        <w:numPr>
          <w:ilvl w:val="0"/>
          <w:numId w:val="22"/>
        </w:numPr>
        <w:tabs>
          <w:tab w:pos="2381" w:val="left" w:leader="none"/>
          <w:tab w:pos="2382" w:val="left" w:leader="none"/>
        </w:tabs>
        <w:spacing w:line="240" w:lineRule="auto" w:before="3" w:after="0"/>
        <w:ind w:left="2381" w:right="1774" w:hanging="794"/>
        <w:jc w:val="left"/>
        <w:rPr>
          <w:sz w:val="13"/>
        </w:rPr>
      </w:pPr>
      <w:r>
        <w:rPr/>
        <w:pict>
          <v:shape style="position:absolute;margin-left:36pt;margin-top:27.099262pt;width:13.35pt;height:14.25pt;mso-position-horizontal-relative:page;mso-position-vertical-relative:paragraph;z-index:2536" type="#_x0000_t202" filled="false" stroked="false">
            <v:textbox inset="0,0,0,0">
              <w:txbxContent>
                <w:p>
                  <w:pPr>
                    <w:spacing w:line="284" w:lineRule="exact" w:before="0"/>
                    <w:ind w:left="0" w:right="0" w:firstLine="0"/>
                    <w:jc w:val="left"/>
                    <w:rPr>
                      <w:b/>
                      <w:sz w:val="24"/>
                    </w:rPr>
                  </w:pPr>
                  <w:r>
                    <w:rPr>
                      <w:b/>
                      <w:color w:val="658464"/>
                      <w:w w:val="105"/>
                      <w:sz w:val="24"/>
                    </w:rPr>
                    <w:t>22</w:t>
                  </w:r>
                </w:p>
              </w:txbxContent>
            </v:textbox>
            <w10:wrap type="none"/>
          </v:shape>
        </w:pict>
      </w:r>
      <w:r>
        <w:rPr>
          <w:sz w:val="13"/>
        </w:rPr>
        <w:t>Despite the framework of qualifications, the arboricultural industry is unregulated, which  has  led  to  instances  of  underqualified  people carrying out work and performing low-quality  assessments.  For  this  reason,  Arboriculture  Australia,  the  national  peak  body  for  arborists, has introduced a voluntary industry licence to promote quality of practice: Arboriculture Australia, </w:t>
      </w:r>
      <w:r>
        <w:rPr>
          <w:i/>
          <w:sz w:val="13"/>
        </w:rPr>
        <w:t>Australian Arborist Industry Licence </w:t>
      </w:r>
      <w:r>
        <w:rPr>
          <w:sz w:val="13"/>
        </w:rPr>
        <w:t>(Information Brochure, version </w:t>
      </w:r>
      <w:r>
        <w:rPr>
          <w:spacing w:val="2"/>
          <w:sz w:val="13"/>
        </w:rPr>
        <w:t>04, </w:t>
      </w:r>
      <w:r>
        <w:rPr>
          <w:sz w:val="13"/>
        </w:rPr>
        <w:t>2017)</w:t>
      </w:r>
      <w:r>
        <w:rPr>
          <w:spacing w:val="6"/>
          <w:sz w:val="13"/>
        </w:rPr>
        <w:t> </w:t>
      </w:r>
      <w:r>
        <w:rPr>
          <w:spacing w:val="2"/>
          <w:sz w:val="13"/>
        </w:rPr>
        <w:t>&lt;</w:t>
      </w:r>
      <w:hyperlink r:id="rId45">
        <w:r>
          <w:rPr>
            <w:spacing w:val="2"/>
            <w:sz w:val="13"/>
          </w:rPr>
          <w:t>http://arboriculture.org.au/License</w:t>
        </w:r>
      </w:hyperlink>
      <w:r>
        <w:rPr>
          <w:spacing w:val="2"/>
          <w:sz w:val="13"/>
        </w:rPr>
        <w:t>&gt;</w:t>
      </w:r>
    </w:p>
    <w:p>
      <w:pPr>
        <w:pStyle w:val="ListParagraph"/>
        <w:numPr>
          <w:ilvl w:val="0"/>
          <w:numId w:val="22"/>
        </w:numPr>
        <w:tabs>
          <w:tab w:pos="2381" w:val="left" w:leader="none"/>
          <w:tab w:pos="2382" w:val="left" w:leader="none"/>
        </w:tabs>
        <w:spacing w:line="240" w:lineRule="auto" w:before="5" w:after="0"/>
        <w:ind w:left="2381" w:right="0" w:hanging="794"/>
        <w:jc w:val="left"/>
        <w:rPr>
          <w:sz w:val="13"/>
        </w:rPr>
      </w:pPr>
      <w:r>
        <w:rPr>
          <w:w w:val="105"/>
          <w:sz w:val="13"/>
        </w:rPr>
        <w:t>Consultations</w:t>
      </w:r>
      <w:r>
        <w:rPr>
          <w:spacing w:val="5"/>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6"/>
          <w:w w:val="105"/>
          <w:sz w:val="13"/>
        </w:rPr>
        <w:t> </w:t>
      </w:r>
      <w:r>
        <w:rPr>
          <w:w w:val="105"/>
          <w:sz w:val="13"/>
        </w:rPr>
        <w:t>at</w:t>
      </w:r>
      <w:r>
        <w:rPr>
          <w:spacing w:val="5"/>
          <w:w w:val="105"/>
          <w:sz w:val="13"/>
        </w:rPr>
        <w:t> </w:t>
      </w:r>
      <w:r>
        <w:rPr>
          <w:spacing w:val="4"/>
          <w:w w:val="105"/>
          <w:sz w:val="13"/>
        </w:rPr>
        <w:t>VTIO</w:t>
      </w:r>
      <w:r>
        <w:rPr>
          <w:spacing w:val="5"/>
          <w:w w:val="105"/>
          <w:sz w:val="13"/>
        </w:rPr>
        <w:t> </w:t>
      </w:r>
      <w:r>
        <w:rPr>
          <w:w w:val="105"/>
          <w:sz w:val="13"/>
        </w:rPr>
        <w:t>ArborCamp2018);</w:t>
      </w:r>
      <w:r>
        <w:rPr>
          <w:spacing w:val="5"/>
          <w:w w:val="105"/>
          <w:sz w:val="13"/>
        </w:rPr>
        <w:t> </w:t>
      </w:r>
      <w:r>
        <w:rPr>
          <w:w w:val="105"/>
          <w:sz w:val="13"/>
        </w:rPr>
        <w:t>9</w:t>
      </w:r>
      <w:r>
        <w:rPr>
          <w:spacing w:val="5"/>
          <w:w w:val="105"/>
          <w:sz w:val="13"/>
        </w:rPr>
        <w:t> </w:t>
      </w:r>
      <w:r>
        <w:rPr>
          <w:w w:val="105"/>
          <w:sz w:val="13"/>
        </w:rPr>
        <w:t>(Nillumbik</w:t>
      </w:r>
      <w:r>
        <w:rPr>
          <w:spacing w:val="5"/>
          <w:w w:val="105"/>
          <w:sz w:val="13"/>
        </w:rPr>
        <w:t> </w:t>
      </w:r>
      <w:r>
        <w:rPr>
          <w:w w:val="105"/>
          <w:sz w:val="13"/>
        </w:rPr>
        <w:t>Shire</w:t>
      </w:r>
      <w:r>
        <w:rPr>
          <w:spacing w:val="6"/>
          <w:w w:val="105"/>
          <w:sz w:val="13"/>
        </w:rPr>
        <w:t> </w:t>
      </w:r>
      <w:r>
        <w:rPr>
          <w:w w:val="105"/>
          <w:sz w:val="13"/>
        </w:rPr>
        <w:t>Council),</w:t>
      </w:r>
      <w:r>
        <w:rPr>
          <w:spacing w:val="5"/>
          <w:w w:val="105"/>
          <w:sz w:val="13"/>
        </w:rPr>
        <w:t> </w:t>
      </w:r>
      <w:r>
        <w:rPr>
          <w:spacing w:val="-3"/>
          <w:w w:val="105"/>
          <w:sz w:val="13"/>
        </w:rPr>
        <w:t>14</w:t>
      </w:r>
      <w:r>
        <w:rPr>
          <w:spacing w:val="5"/>
          <w:w w:val="105"/>
          <w:sz w:val="13"/>
        </w:rPr>
        <w:t> </w:t>
      </w:r>
      <w:r>
        <w:rPr>
          <w:spacing w:val="2"/>
          <w:w w:val="105"/>
          <w:sz w:val="13"/>
        </w:rPr>
        <w:t>(Robert</w:t>
      </w:r>
      <w:r>
        <w:rPr>
          <w:spacing w:val="5"/>
          <w:w w:val="105"/>
          <w:sz w:val="13"/>
        </w:rPr>
        <w:t> </w:t>
      </w:r>
      <w:r>
        <w:rPr>
          <w:spacing w:val="2"/>
          <w:w w:val="105"/>
          <w:sz w:val="13"/>
        </w:rPr>
        <w:t>Mineo).</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BodyText"/>
        <w:spacing w:line="242" w:lineRule="auto" w:before="91"/>
        <w:ind w:left="2381" w:right="1636"/>
        <w:rPr>
          <w:sz w:val="12"/>
        </w:rPr>
      </w:pPr>
      <w:r>
        <w:rPr/>
        <w:t>be more </w:t>
      </w:r>
      <w:r>
        <w:rPr>
          <w:spacing w:val="-3"/>
        </w:rPr>
        <w:t>willing to </w:t>
      </w:r>
      <w:r>
        <w:rPr/>
        <w:t>simply </w:t>
      </w:r>
      <w:r>
        <w:rPr>
          <w:spacing w:val="-3"/>
        </w:rPr>
        <w:t>remove </w:t>
      </w:r>
      <w:r>
        <w:rPr/>
        <w:t>a tree or </w:t>
      </w:r>
      <w:r>
        <w:rPr>
          <w:spacing w:val="-3"/>
        </w:rPr>
        <w:t>indiscriminately  </w:t>
      </w:r>
      <w:r>
        <w:rPr/>
        <w:t>cut  </w:t>
      </w:r>
      <w:r>
        <w:rPr>
          <w:spacing w:val="-3"/>
        </w:rPr>
        <w:t>away  branches.  </w:t>
      </w:r>
      <w:r>
        <w:rPr/>
        <w:t>On  the other </w:t>
      </w:r>
      <w:r>
        <w:rPr>
          <w:spacing w:val="-3"/>
        </w:rPr>
        <w:t>hand, </w:t>
      </w:r>
      <w:r>
        <w:rPr/>
        <w:t>a qualified arborist can assess the </w:t>
      </w:r>
      <w:r>
        <w:rPr>
          <w:spacing w:val="-3"/>
        </w:rPr>
        <w:t>health </w:t>
      </w:r>
      <w:r>
        <w:rPr/>
        <w:t>of the tree and help people come up with</w:t>
      </w:r>
      <w:r>
        <w:rPr>
          <w:spacing w:val="9"/>
        </w:rPr>
        <w:t> </w:t>
      </w:r>
      <w:r>
        <w:rPr/>
        <w:t>ways</w:t>
      </w:r>
      <w:r>
        <w:rPr>
          <w:spacing w:val="10"/>
        </w:rPr>
        <w:t> </w:t>
      </w:r>
      <w:r>
        <w:rPr>
          <w:spacing w:val="-3"/>
        </w:rPr>
        <w:t>to</w:t>
      </w:r>
      <w:r>
        <w:rPr>
          <w:spacing w:val="10"/>
        </w:rPr>
        <w:t> </w:t>
      </w:r>
      <w:r>
        <w:rPr>
          <w:spacing w:val="-3"/>
        </w:rPr>
        <w:t>manage</w:t>
      </w:r>
      <w:r>
        <w:rPr>
          <w:spacing w:val="10"/>
        </w:rPr>
        <w:t> </w:t>
      </w:r>
      <w:r>
        <w:rPr>
          <w:spacing w:val="-3"/>
        </w:rPr>
        <w:t>any</w:t>
      </w:r>
      <w:r>
        <w:rPr>
          <w:spacing w:val="10"/>
        </w:rPr>
        <w:t> </w:t>
      </w:r>
      <w:r>
        <w:rPr>
          <w:spacing w:val="-3"/>
        </w:rPr>
        <w:t>nuisance</w:t>
      </w:r>
      <w:r>
        <w:rPr>
          <w:spacing w:val="10"/>
        </w:rPr>
        <w:t> </w:t>
      </w:r>
      <w:r>
        <w:rPr/>
        <w:t>or</w:t>
      </w:r>
      <w:r>
        <w:rPr>
          <w:spacing w:val="10"/>
        </w:rPr>
        <w:t> </w:t>
      </w:r>
      <w:r>
        <w:rPr>
          <w:spacing w:val="-5"/>
        </w:rPr>
        <w:t>risk.</w:t>
      </w:r>
      <w:r>
        <w:rPr>
          <w:spacing w:val="-5"/>
          <w:position w:val="7"/>
          <w:sz w:val="12"/>
        </w:rPr>
        <w:t>186</w:t>
      </w:r>
    </w:p>
    <w:p>
      <w:pPr>
        <w:pStyle w:val="ListParagraph"/>
        <w:numPr>
          <w:ilvl w:val="1"/>
          <w:numId w:val="16"/>
        </w:numPr>
        <w:tabs>
          <w:tab w:pos="2380" w:val="left" w:leader="none"/>
          <w:tab w:pos="2381" w:val="left" w:leader="none"/>
        </w:tabs>
        <w:spacing w:line="242" w:lineRule="auto" w:before="124" w:after="0"/>
        <w:ind w:left="2381" w:right="1598" w:hanging="794"/>
        <w:jc w:val="left"/>
        <w:rPr>
          <w:sz w:val="21"/>
        </w:rPr>
      </w:pPr>
      <w:r>
        <w:rPr>
          <w:sz w:val="21"/>
        </w:rPr>
        <w:t>Most arborists </w:t>
      </w:r>
      <w:r>
        <w:rPr>
          <w:spacing w:val="-3"/>
          <w:sz w:val="21"/>
        </w:rPr>
        <w:t>are </w:t>
      </w:r>
      <w:r>
        <w:rPr>
          <w:sz w:val="21"/>
        </w:rPr>
        <w:t>qualified in </w:t>
      </w:r>
      <w:r>
        <w:rPr>
          <w:spacing w:val="-3"/>
          <w:sz w:val="21"/>
        </w:rPr>
        <w:t>accordance </w:t>
      </w:r>
      <w:r>
        <w:rPr>
          <w:sz w:val="21"/>
        </w:rPr>
        <w:t>with the </w:t>
      </w:r>
      <w:r>
        <w:rPr>
          <w:spacing w:val="-3"/>
          <w:sz w:val="21"/>
        </w:rPr>
        <w:t>Australian </w:t>
      </w:r>
      <w:r>
        <w:rPr>
          <w:spacing w:val="-2"/>
          <w:sz w:val="21"/>
        </w:rPr>
        <w:t>Qualifications </w:t>
      </w:r>
      <w:r>
        <w:rPr>
          <w:spacing w:val="-3"/>
          <w:sz w:val="21"/>
        </w:rPr>
        <w:t>Framework (AQF).</w:t>
      </w:r>
      <w:r>
        <w:rPr>
          <w:spacing w:val="-3"/>
          <w:position w:val="7"/>
          <w:sz w:val="12"/>
        </w:rPr>
        <w:t>187 </w:t>
      </w:r>
      <w:r>
        <w:rPr>
          <w:sz w:val="21"/>
        </w:rPr>
        <w:t>An AQF Level 3 arborist would hold a Certificate III in </w:t>
      </w:r>
      <w:r>
        <w:rPr>
          <w:spacing w:val="-3"/>
          <w:sz w:val="21"/>
        </w:rPr>
        <w:t>arboriculture </w:t>
      </w:r>
      <w:r>
        <w:rPr>
          <w:sz w:val="21"/>
        </w:rPr>
        <w:t>and </w:t>
      </w:r>
      <w:r>
        <w:rPr>
          <w:spacing w:val="-3"/>
          <w:sz w:val="21"/>
        </w:rPr>
        <w:t>have </w:t>
      </w:r>
      <w:r>
        <w:rPr>
          <w:sz w:val="21"/>
        </w:rPr>
        <w:t>the  </w:t>
      </w:r>
      <w:r>
        <w:rPr>
          <w:spacing w:val="-3"/>
          <w:sz w:val="21"/>
        </w:rPr>
        <w:t>skills </w:t>
      </w:r>
      <w:r>
        <w:rPr>
          <w:sz w:val="21"/>
        </w:rPr>
        <w:t>and knowledge </w:t>
      </w:r>
      <w:r>
        <w:rPr>
          <w:spacing w:val="-3"/>
          <w:sz w:val="21"/>
        </w:rPr>
        <w:t>to </w:t>
      </w:r>
      <w:r>
        <w:rPr>
          <w:sz w:val="21"/>
        </w:rPr>
        <w:t>work as an </w:t>
      </w:r>
      <w:r>
        <w:rPr>
          <w:spacing w:val="-3"/>
          <w:sz w:val="21"/>
        </w:rPr>
        <w:t>arboricultural </w:t>
      </w:r>
      <w:r>
        <w:rPr>
          <w:sz w:val="21"/>
        </w:rPr>
        <w:t>tradesperson and provide basic tree care and </w:t>
      </w:r>
      <w:r>
        <w:rPr>
          <w:spacing w:val="-3"/>
          <w:sz w:val="21"/>
        </w:rPr>
        <w:t>management. </w:t>
      </w:r>
      <w:r>
        <w:rPr>
          <w:sz w:val="21"/>
        </w:rPr>
        <w:t>An AQF Level 5 arborist would hold a </w:t>
      </w:r>
      <w:r>
        <w:rPr>
          <w:spacing w:val="-3"/>
          <w:sz w:val="21"/>
        </w:rPr>
        <w:t>diploma </w:t>
      </w:r>
      <w:r>
        <w:rPr>
          <w:sz w:val="21"/>
        </w:rPr>
        <w:t>and be able </w:t>
      </w:r>
      <w:r>
        <w:rPr>
          <w:spacing w:val="-3"/>
          <w:sz w:val="21"/>
        </w:rPr>
        <w:t>to </w:t>
      </w:r>
      <w:r>
        <w:rPr>
          <w:sz w:val="21"/>
        </w:rPr>
        <w:t>work independently</w:t>
      </w:r>
      <w:r>
        <w:rPr>
          <w:spacing w:val="9"/>
          <w:sz w:val="21"/>
        </w:rPr>
        <w:t> </w:t>
      </w:r>
      <w:r>
        <w:rPr>
          <w:sz w:val="21"/>
        </w:rPr>
        <w:t>as</w:t>
      </w:r>
      <w:r>
        <w:rPr>
          <w:spacing w:val="9"/>
          <w:sz w:val="21"/>
        </w:rPr>
        <w:t> </w:t>
      </w:r>
      <w:r>
        <w:rPr>
          <w:sz w:val="21"/>
        </w:rPr>
        <w:t>a</w:t>
      </w:r>
      <w:r>
        <w:rPr>
          <w:spacing w:val="9"/>
          <w:sz w:val="21"/>
        </w:rPr>
        <w:t> </w:t>
      </w:r>
      <w:r>
        <w:rPr>
          <w:spacing w:val="-3"/>
          <w:sz w:val="21"/>
        </w:rPr>
        <w:t>consultant</w:t>
      </w:r>
      <w:r>
        <w:rPr>
          <w:spacing w:val="9"/>
          <w:sz w:val="21"/>
        </w:rPr>
        <w:t> </w:t>
      </w:r>
      <w:r>
        <w:rPr>
          <w:sz w:val="21"/>
        </w:rPr>
        <w:t>or</w:t>
      </w:r>
      <w:r>
        <w:rPr>
          <w:spacing w:val="9"/>
          <w:sz w:val="21"/>
        </w:rPr>
        <w:t> </w:t>
      </w:r>
      <w:r>
        <w:rPr>
          <w:sz w:val="21"/>
        </w:rPr>
        <w:t>in</w:t>
      </w:r>
      <w:r>
        <w:rPr>
          <w:spacing w:val="9"/>
          <w:sz w:val="21"/>
        </w:rPr>
        <w:t> </w:t>
      </w:r>
      <w:r>
        <w:rPr>
          <w:sz w:val="21"/>
        </w:rPr>
        <w:t>a</w:t>
      </w:r>
      <w:r>
        <w:rPr>
          <w:spacing w:val="9"/>
          <w:sz w:val="21"/>
        </w:rPr>
        <w:t> </w:t>
      </w:r>
      <w:r>
        <w:rPr>
          <w:sz w:val="21"/>
        </w:rPr>
        <w:t>supervisory</w:t>
      </w:r>
      <w:r>
        <w:rPr>
          <w:spacing w:val="9"/>
          <w:sz w:val="21"/>
        </w:rPr>
        <w:t> </w:t>
      </w:r>
      <w:r>
        <w:rPr>
          <w:spacing w:val="-3"/>
          <w:sz w:val="21"/>
        </w:rPr>
        <w:t>role.</w:t>
      </w:r>
    </w:p>
    <w:p>
      <w:pPr>
        <w:pStyle w:val="ListParagraph"/>
        <w:numPr>
          <w:ilvl w:val="1"/>
          <w:numId w:val="16"/>
        </w:numPr>
        <w:tabs>
          <w:tab w:pos="2381" w:val="left" w:leader="none"/>
          <w:tab w:pos="2382" w:val="left" w:leader="none"/>
        </w:tabs>
        <w:spacing w:line="242" w:lineRule="auto" w:before="125" w:after="0"/>
        <w:ind w:left="2381" w:right="1743" w:hanging="794"/>
        <w:jc w:val="left"/>
        <w:rPr>
          <w:sz w:val="21"/>
        </w:rPr>
      </w:pPr>
      <w:r>
        <w:rPr>
          <w:spacing w:val="-3"/>
          <w:w w:val="105"/>
          <w:sz w:val="21"/>
        </w:rPr>
        <w:t>Arboricultural organisations </w:t>
      </w:r>
      <w:r>
        <w:rPr>
          <w:w w:val="105"/>
          <w:sz w:val="21"/>
        </w:rPr>
        <w:t>and local </w:t>
      </w:r>
      <w:r>
        <w:rPr>
          <w:spacing w:val="-3"/>
          <w:w w:val="105"/>
          <w:sz w:val="21"/>
        </w:rPr>
        <w:t>councils </w:t>
      </w:r>
      <w:r>
        <w:rPr>
          <w:spacing w:val="-2"/>
          <w:w w:val="105"/>
          <w:sz w:val="21"/>
        </w:rPr>
        <w:t>commonly </w:t>
      </w:r>
      <w:r>
        <w:rPr>
          <w:w w:val="105"/>
          <w:sz w:val="21"/>
        </w:rPr>
        <w:t>advise </w:t>
      </w:r>
      <w:r>
        <w:rPr>
          <w:spacing w:val="-3"/>
          <w:w w:val="105"/>
          <w:sz w:val="21"/>
        </w:rPr>
        <w:t>that </w:t>
      </w:r>
      <w:r>
        <w:rPr>
          <w:w w:val="105"/>
          <w:sz w:val="21"/>
        </w:rPr>
        <w:t>arborists of </w:t>
      </w:r>
      <w:r>
        <w:rPr>
          <w:spacing w:val="-3"/>
          <w:w w:val="105"/>
          <w:sz w:val="21"/>
        </w:rPr>
        <w:t>minimum </w:t>
      </w:r>
      <w:r>
        <w:rPr>
          <w:w w:val="105"/>
          <w:sz w:val="21"/>
        </w:rPr>
        <w:t>AQF Level 3 should be engaged </w:t>
      </w:r>
      <w:r>
        <w:rPr>
          <w:spacing w:val="-3"/>
          <w:w w:val="105"/>
          <w:sz w:val="21"/>
        </w:rPr>
        <w:t>for </w:t>
      </w:r>
      <w:r>
        <w:rPr>
          <w:w w:val="105"/>
          <w:sz w:val="21"/>
        </w:rPr>
        <w:t>tree works, </w:t>
      </w:r>
      <w:r>
        <w:rPr>
          <w:spacing w:val="-3"/>
          <w:w w:val="105"/>
          <w:sz w:val="21"/>
        </w:rPr>
        <w:t>such </w:t>
      </w:r>
      <w:r>
        <w:rPr>
          <w:w w:val="105"/>
          <w:sz w:val="21"/>
        </w:rPr>
        <w:t>as </w:t>
      </w:r>
      <w:r>
        <w:rPr>
          <w:spacing w:val="-3"/>
          <w:w w:val="105"/>
          <w:sz w:val="21"/>
        </w:rPr>
        <w:t>pruning </w:t>
      </w:r>
      <w:r>
        <w:rPr>
          <w:w w:val="105"/>
          <w:sz w:val="21"/>
        </w:rPr>
        <w:t>or </w:t>
      </w:r>
      <w:r>
        <w:rPr>
          <w:spacing w:val="-4"/>
          <w:w w:val="105"/>
          <w:sz w:val="21"/>
        </w:rPr>
        <w:t>lopping.</w:t>
      </w:r>
      <w:r>
        <w:rPr>
          <w:spacing w:val="-4"/>
          <w:w w:val="105"/>
          <w:position w:val="7"/>
          <w:sz w:val="12"/>
        </w:rPr>
        <w:t>188</w:t>
      </w:r>
      <w:r>
        <w:rPr>
          <w:spacing w:val="-4"/>
          <w:w w:val="105"/>
          <w:sz w:val="12"/>
        </w:rPr>
        <w:t> </w:t>
      </w:r>
      <w:r>
        <w:rPr>
          <w:spacing w:val="-4"/>
          <w:w w:val="105"/>
          <w:sz w:val="21"/>
        </w:rPr>
        <w:t>However, </w:t>
      </w:r>
      <w:r>
        <w:rPr>
          <w:w w:val="105"/>
          <w:sz w:val="21"/>
        </w:rPr>
        <w:t>if the </w:t>
      </w:r>
      <w:r>
        <w:rPr>
          <w:spacing w:val="-4"/>
          <w:w w:val="105"/>
          <w:sz w:val="21"/>
        </w:rPr>
        <w:t>tree’s </w:t>
      </w:r>
      <w:r>
        <w:rPr>
          <w:spacing w:val="-3"/>
          <w:w w:val="105"/>
          <w:sz w:val="21"/>
        </w:rPr>
        <w:t>health </w:t>
      </w:r>
      <w:r>
        <w:rPr>
          <w:w w:val="105"/>
          <w:sz w:val="21"/>
        </w:rPr>
        <w:t>and associated risks need </w:t>
      </w:r>
      <w:r>
        <w:rPr>
          <w:spacing w:val="-3"/>
          <w:w w:val="105"/>
          <w:sz w:val="21"/>
        </w:rPr>
        <w:t>to </w:t>
      </w:r>
      <w:r>
        <w:rPr>
          <w:w w:val="105"/>
          <w:sz w:val="21"/>
        </w:rPr>
        <w:t>be assessed, then </w:t>
      </w:r>
      <w:r>
        <w:rPr>
          <w:spacing w:val="-3"/>
          <w:w w:val="105"/>
          <w:sz w:val="21"/>
        </w:rPr>
        <w:t>engaging </w:t>
      </w:r>
      <w:r>
        <w:rPr>
          <w:w w:val="105"/>
          <w:sz w:val="21"/>
        </w:rPr>
        <w:t>an arborist with </w:t>
      </w:r>
      <w:r>
        <w:rPr>
          <w:spacing w:val="-3"/>
          <w:w w:val="105"/>
          <w:sz w:val="21"/>
        </w:rPr>
        <w:t>minimum </w:t>
      </w:r>
      <w:r>
        <w:rPr>
          <w:w w:val="105"/>
          <w:sz w:val="21"/>
        </w:rPr>
        <w:t>AQF Level 5 </w:t>
      </w:r>
      <w:r>
        <w:rPr>
          <w:spacing w:val="-3"/>
          <w:w w:val="105"/>
          <w:sz w:val="21"/>
        </w:rPr>
        <w:t>qualifications </w:t>
      </w:r>
      <w:r>
        <w:rPr>
          <w:w w:val="105"/>
          <w:sz w:val="21"/>
        </w:rPr>
        <w:t>is necessary because these </w:t>
      </w:r>
      <w:r>
        <w:rPr>
          <w:spacing w:val="-3"/>
          <w:w w:val="105"/>
          <w:sz w:val="21"/>
        </w:rPr>
        <w:t>are </w:t>
      </w:r>
      <w:r>
        <w:rPr>
          <w:w w:val="105"/>
          <w:sz w:val="21"/>
        </w:rPr>
        <w:t>more complex</w:t>
      </w:r>
      <w:r>
        <w:rPr>
          <w:spacing w:val="-5"/>
          <w:w w:val="105"/>
          <w:sz w:val="21"/>
        </w:rPr>
        <w:t> </w:t>
      </w:r>
      <w:r>
        <w:rPr>
          <w:w w:val="105"/>
          <w:sz w:val="21"/>
        </w:rPr>
        <w:t>assessments</w:t>
      </w:r>
      <w:r>
        <w:rPr>
          <w:spacing w:val="-5"/>
          <w:w w:val="105"/>
          <w:sz w:val="21"/>
        </w:rPr>
        <w:t> </w:t>
      </w:r>
      <w:r>
        <w:rPr>
          <w:spacing w:val="-3"/>
          <w:w w:val="105"/>
          <w:sz w:val="21"/>
        </w:rPr>
        <w:t>that</w:t>
      </w:r>
      <w:r>
        <w:rPr>
          <w:spacing w:val="-5"/>
          <w:w w:val="105"/>
          <w:sz w:val="21"/>
        </w:rPr>
        <w:t> </w:t>
      </w:r>
      <w:r>
        <w:rPr>
          <w:spacing w:val="-4"/>
          <w:w w:val="105"/>
          <w:sz w:val="21"/>
        </w:rPr>
        <w:t>‘require </w:t>
      </w:r>
      <w:r>
        <w:rPr>
          <w:w w:val="105"/>
          <w:sz w:val="21"/>
        </w:rPr>
        <w:t>a</w:t>
      </w:r>
      <w:r>
        <w:rPr>
          <w:spacing w:val="-5"/>
          <w:w w:val="105"/>
          <w:sz w:val="21"/>
        </w:rPr>
        <w:t> </w:t>
      </w:r>
      <w:r>
        <w:rPr>
          <w:spacing w:val="-3"/>
          <w:w w:val="105"/>
          <w:sz w:val="21"/>
        </w:rPr>
        <w:t>high</w:t>
      </w:r>
      <w:r>
        <w:rPr>
          <w:spacing w:val="-5"/>
          <w:w w:val="105"/>
          <w:sz w:val="21"/>
        </w:rPr>
        <w:t> </w:t>
      </w:r>
      <w:r>
        <w:rPr>
          <w:w w:val="105"/>
          <w:sz w:val="21"/>
        </w:rPr>
        <w:t>level</w:t>
      </w:r>
      <w:r>
        <w:rPr>
          <w:spacing w:val="-5"/>
          <w:w w:val="105"/>
          <w:sz w:val="21"/>
        </w:rPr>
        <w:t> </w:t>
      </w:r>
      <w:r>
        <w:rPr>
          <w:w w:val="105"/>
          <w:sz w:val="21"/>
        </w:rPr>
        <w:t>of</w:t>
      </w:r>
      <w:r>
        <w:rPr>
          <w:spacing w:val="-4"/>
          <w:w w:val="105"/>
          <w:sz w:val="21"/>
        </w:rPr>
        <w:t> </w:t>
      </w:r>
      <w:r>
        <w:rPr>
          <w:spacing w:val="-3"/>
          <w:w w:val="105"/>
          <w:sz w:val="21"/>
        </w:rPr>
        <w:t>training,</w:t>
      </w:r>
      <w:r>
        <w:rPr>
          <w:spacing w:val="-5"/>
          <w:w w:val="105"/>
          <w:sz w:val="21"/>
        </w:rPr>
        <w:t> </w:t>
      </w:r>
      <w:r>
        <w:rPr>
          <w:w w:val="105"/>
          <w:sz w:val="21"/>
        </w:rPr>
        <w:t>knowledge</w:t>
      </w:r>
      <w:r>
        <w:rPr>
          <w:spacing w:val="-5"/>
          <w:w w:val="105"/>
          <w:sz w:val="21"/>
        </w:rPr>
        <w:t> </w:t>
      </w:r>
      <w:r>
        <w:rPr>
          <w:w w:val="105"/>
          <w:sz w:val="21"/>
        </w:rPr>
        <w:t>and</w:t>
      </w:r>
      <w:r>
        <w:rPr>
          <w:spacing w:val="-5"/>
          <w:w w:val="105"/>
          <w:sz w:val="21"/>
        </w:rPr>
        <w:t> experience’.</w:t>
      </w:r>
      <w:r>
        <w:rPr>
          <w:spacing w:val="-5"/>
          <w:w w:val="105"/>
          <w:position w:val="7"/>
          <w:sz w:val="12"/>
        </w:rPr>
        <w:t>189</w:t>
      </w:r>
    </w:p>
    <w:p>
      <w:pPr>
        <w:pStyle w:val="Heading7"/>
        <w:spacing w:before="156"/>
      </w:pPr>
      <w:r>
        <w:rPr>
          <w:w w:val="115"/>
        </w:rPr>
        <w:t>Obtaining advice too late</w:t>
      </w:r>
    </w:p>
    <w:p>
      <w:pPr>
        <w:pStyle w:val="ListParagraph"/>
        <w:numPr>
          <w:ilvl w:val="1"/>
          <w:numId w:val="16"/>
        </w:numPr>
        <w:tabs>
          <w:tab w:pos="2381" w:val="left" w:leader="none"/>
          <w:tab w:pos="2382" w:val="left" w:leader="none"/>
        </w:tabs>
        <w:spacing w:line="242" w:lineRule="auto" w:before="143" w:after="0"/>
        <w:ind w:left="2381" w:right="1592" w:hanging="794"/>
        <w:jc w:val="left"/>
        <w:rPr>
          <w:sz w:val="21"/>
        </w:rPr>
      </w:pPr>
      <w:r>
        <w:rPr>
          <w:sz w:val="21"/>
        </w:rPr>
        <w:t>Sometimes arborists advise </w:t>
      </w:r>
      <w:r>
        <w:rPr>
          <w:spacing w:val="-3"/>
          <w:sz w:val="21"/>
        </w:rPr>
        <w:t>that talking to </w:t>
      </w:r>
      <w:r>
        <w:rPr>
          <w:sz w:val="21"/>
        </w:rPr>
        <w:t>tree owners and affected neighbours about the history of the </w:t>
      </w:r>
      <w:r>
        <w:rPr>
          <w:spacing w:val="-3"/>
          <w:sz w:val="21"/>
        </w:rPr>
        <w:t>tree, </w:t>
      </w:r>
      <w:r>
        <w:rPr>
          <w:sz w:val="21"/>
        </w:rPr>
        <w:t>amenity </w:t>
      </w:r>
      <w:r>
        <w:rPr>
          <w:spacing w:val="-4"/>
          <w:sz w:val="21"/>
        </w:rPr>
        <w:t>value, </w:t>
      </w:r>
      <w:r>
        <w:rPr>
          <w:spacing w:val="-3"/>
          <w:sz w:val="21"/>
        </w:rPr>
        <w:t>recreational </w:t>
      </w:r>
      <w:r>
        <w:rPr>
          <w:sz w:val="21"/>
        </w:rPr>
        <w:t>benefits and </w:t>
      </w:r>
      <w:r>
        <w:rPr>
          <w:spacing w:val="-3"/>
          <w:sz w:val="21"/>
        </w:rPr>
        <w:t>environmental </w:t>
      </w:r>
      <w:r>
        <w:rPr>
          <w:sz w:val="21"/>
        </w:rPr>
        <w:t>benefits </w:t>
      </w:r>
      <w:r>
        <w:rPr>
          <w:spacing w:val="-3"/>
          <w:sz w:val="21"/>
        </w:rPr>
        <w:t>(for example, </w:t>
      </w:r>
      <w:r>
        <w:rPr>
          <w:sz w:val="21"/>
        </w:rPr>
        <w:t>hosting </w:t>
      </w:r>
      <w:r>
        <w:rPr>
          <w:spacing w:val="-3"/>
          <w:sz w:val="21"/>
        </w:rPr>
        <w:t>birdlife) may </w:t>
      </w:r>
      <w:r>
        <w:rPr>
          <w:sz w:val="21"/>
        </w:rPr>
        <w:t>help </w:t>
      </w:r>
      <w:r>
        <w:rPr>
          <w:spacing w:val="-3"/>
          <w:sz w:val="21"/>
        </w:rPr>
        <w:t>to </w:t>
      </w:r>
      <w:r>
        <w:rPr>
          <w:sz w:val="21"/>
        </w:rPr>
        <w:t>dispel </w:t>
      </w:r>
      <w:r>
        <w:rPr>
          <w:spacing w:val="-3"/>
          <w:sz w:val="21"/>
        </w:rPr>
        <w:t>misplaced  perceptions.  </w:t>
      </w:r>
      <w:r>
        <w:rPr>
          <w:spacing w:val="-4"/>
          <w:sz w:val="21"/>
        </w:rPr>
        <w:t>However,  </w:t>
      </w:r>
      <w:r>
        <w:rPr>
          <w:sz w:val="21"/>
        </w:rPr>
        <w:t>arborists </w:t>
      </w:r>
      <w:r>
        <w:rPr>
          <w:spacing w:val="-3"/>
          <w:sz w:val="21"/>
        </w:rPr>
        <w:t>noted that </w:t>
      </w:r>
      <w:r>
        <w:rPr>
          <w:sz w:val="21"/>
        </w:rPr>
        <w:t>they </w:t>
      </w:r>
      <w:r>
        <w:rPr>
          <w:spacing w:val="-3"/>
          <w:sz w:val="21"/>
        </w:rPr>
        <w:t>tend to </w:t>
      </w:r>
      <w:r>
        <w:rPr>
          <w:sz w:val="21"/>
        </w:rPr>
        <w:t>be engaged too </w:t>
      </w:r>
      <w:r>
        <w:rPr>
          <w:spacing w:val="-3"/>
          <w:sz w:val="21"/>
        </w:rPr>
        <w:t>late </w:t>
      </w:r>
      <w:r>
        <w:rPr>
          <w:sz w:val="21"/>
        </w:rPr>
        <w:t>and it is </w:t>
      </w:r>
      <w:r>
        <w:rPr>
          <w:spacing w:val="-3"/>
          <w:sz w:val="21"/>
        </w:rPr>
        <w:t>harder  to  quell  people’s  </w:t>
      </w:r>
      <w:r>
        <w:rPr>
          <w:sz w:val="21"/>
        </w:rPr>
        <w:t>often </w:t>
      </w:r>
      <w:r>
        <w:rPr>
          <w:spacing w:val="-3"/>
          <w:sz w:val="21"/>
        </w:rPr>
        <w:t>misplaced </w:t>
      </w:r>
      <w:r>
        <w:rPr>
          <w:sz w:val="21"/>
        </w:rPr>
        <w:t>fears about their trees because their views become more and more </w:t>
      </w:r>
      <w:r>
        <w:rPr>
          <w:spacing w:val="-3"/>
          <w:sz w:val="21"/>
        </w:rPr>
        <w:t>entrenched </w:t>
      </w:r>
      <w:r>
        <w:rPr>
          <w:sz w:val="21"/>
        </w:rPr>
        <w:t>and the </w:t>
      </w:r>
      <w:r>
        <w:rPr>
          <w:spacing w:val="-3"/>
          <w:sz w:val="21"/>
        </w:rPr>
        <w:t>dispute  continues  to  </w:t>
      </w:r>
      <w:r>
        <w:rPr>
          <w:spacing w:val="-4"/>
          <w:sz w:val="21"/>
        </w:rPr>
        <w:t>escalate.</w:t>
      </w:r>
      <w:r>
        <w:rPr>
          <w:spacing w:val="-4"/>
          <w:position w:val="7"/>
          <w:sz w:val="12"/>
        </w:rPr>
        <w:t>190  </w:t>
      </w:r>
      <w:r>
        <w:rPr>
          <w:sz w:val="21"/>
        </w:rPr>
        <w:t>In  </w:t>
      </w:r>
      <w:r>
        <w:rPr>
          <w:spacing w:val="-3"/>
          <w:sz w:val="21"/>
        </w:rPr>
        <w:t>addition,  </w:t>
      </w:r>
      <w:r>
        <w:rPr>
          <w:sz w:val="21"/>
        </w:rPr>
        <w:t>neighbours  </w:t>
      </w:r>
      <w:r>
        <w:rPr>
          <w:spacing w:val="-3"/>
          <w:sz w:val="21"/>
        </w:rPr>
        <w:t>usually  have  </w:t>
      </w:r>
      <w:r>
        <w:rPr>
          <w:spacing w:val="-2"/>
          <w:sz w:val="21"/>
        </w:rPr>
        <w:t>not  </w:t>
      </w:r>
      <w:r>
        <w:rPr>
          <w:spacing w:val="-3"/>
          <w:sz w:val="21"/>
        </w:rPr>
        <w:t>taken any </w:t>
      </w:r>
      <w:r>
        <w:rPr>
          <w:sz w:val="21"/>
        </w:rPr>
        <w:t>steps </w:t>
      </w:r>
      <w:r>
        <w:rPr>
          <w:spacing w:val="-3"/>
          <w:sz w:val="21"/>
        </w:rPr>
        <w:t>to </w:t>
      </w:r>
      <w:r>
        <w:rPr>
          <w:sz w:val="21"/>
        </w:rPr>
        <w:t>resolve the </w:t>
      </w:r>
      <w:r>
        <w:rPr>
          <w:spacing w:val="-3"/>
          <w:sz w:val="21"/>
        </w:rPr>
        <w:t>dispute before </w:t>
      </w:r>
      <w:r>
        <w:rPr>
          <w:sz w:val="21"/>
        </w:rPr>
        <w:t>an arborist is </w:t>
      </w:r>
      <w:r>
        <w:rPr>
          <w:spacing w:val="-3"/>
          <w:sz w:val="21"/>
        </w:rPr>
        <w:t>called. </w:t>
      </w:r>
      <w:r>
        <w:rPr>
          <w:sz w:val="21"/>
        </w:rPr>
        <w:t>Some arborists reported </w:t>
      </w:r>
      <w:r>
        <w:rPr>
          <w:spacing w:val="-3"/>
          <w:sz w:val="21"/>
        </w:rPr>
        <w:t>that </w:t>
      </w:r>
      <w:r>
        <w:rPr>
          <w:sz w:val="21"/>
        </w:rPr>
        <w:t>their appointments with neighbours </w:t>
      </w:r>
      <w:r>
        <w:rPr>
          <w:spacing w:val="-3"/>
          <w:sz w:val="21"/>
        </w:rPr>
        <w:t>are  usually  </w:t>
      </w:r>
      <w:r>
        <w:rPr>
          <w:sz w:val="21"/>
        </w:rPr>
        <w:t>in the </w:t>
      </w:r>
      <w:r>
        <w:rPr>
          <w:spacing w:val="-3"/>
          <w:sz w:val="21"/>
        </w:rPr>
        <w:t>form</w:t>
      </w:r>
      <w:r>
        <w:rPr>
          <w:spacing w:val="41"/>
          <w:sz w:val="21"/>
        </w:rPr>
        <w:t> </w:t>
      </w:r>
      <w:r>
        <w:rPr>
          <w:sz w:val="21"/>
        </w:rPr>
        <w:t>of ‘whispered </w:t>
      </w:r>
      <w:r>
        <w:rPr>
          <w:spacing w:val="-3"/>
          <w:sz w:val="21"/>
        </w:rPr>
        <w:t>conversations’    </w:t>
      </w:r>
      <w:r>
        <w:rPr>
          <w:sz w:val="21"/>
        </w:rPr>
        <w:t>or </w:t>
      </w:r>
      <w:r>
        <w:rPr>
          <w:spacing w:val="-3"/>
          <w:sz w:val="21"/>
        </w:rPr>
        <w:t>‘secret</w:t>
      </w:r>
      <w:r>
        <w:rPr>
          <w:spacing w:val="17"/>
          <w:sz w:val="21"/>
        </w:rPr>
        <w:t> </w:t>
      </w:r>
      <w:r>
        <w:rPr>
          <w:spacing w:val="-6"/>
          <w:sz w:val="21"/>
        </w:rPr>
        <w:t>meetings’.</w:t>
      </w:r>
      <w:r>
        <w:rPr>
          <w:spacing w:val="-6"/>
          <w:position w:val="7"/>
          <w:sz w:val="12"/>
        </w:rPr>
        <w:t>191</w:t>
      </w:r>
    </w:p>
    <w:p>
      <w:pPr>
        <w:pStyle w:val="BodyText"/>
        <w:spacing w:before="10"/>
        <w:rPr>
          <w:sz w:val="20"/>
        </w:rPr>
      </w:pPr>
    </w:p>
    <w:p>
      <w:pPr>
        <w:pStyle w:val="Heading5"/>
      </w:pPr>
      <w:r>
        <w:rPr>
          <w:w w:val="115"/>
        </w:rPr>
        <w:t>Different expectations about living near trees</w:t>
      </w:r>
    </w:p>
    <w:p>
      <w:pPr>
        <w:pStyle w:val="ListParagraph"/>
        <w:numPr>
          <w:ilvl w:val="1"/>
          <w:numId w:val="16"/>
        </w:numPr>
        <w:tabs>
          <w:tab w:pos="2381" w:val="left" w:leader="none"/>
          <w:tab w:pos="2382" w:val="left" w:leader="none"/>
        </w:tabs>
        <w:spacing w:line="242" w:lineRule="auto" w:before="138" w:after="0"/>
        <w:ind w:left="2381" w:right="1658" w:hanging="794"/>
        <w:jc w:val="left"/>
        <w:rPr>
          <w:sz w:val="21"/>
        </w:rPr>
      </w:pPr>
      <w:r>
        <w:rPr>
          <w:w w:val="105"/>
          <w:sz w:val="21"/>
        </w:rPr>
        <w:t>People</w:t>
      </w:r>
      <w:r>
        <w:rPr>
          <w:spacing w:val="-9"/>
          <w:w w:val="105"/>
          <w:sz w:val="21"/>
        </w:rPr>
        <w:t> </w:t>
      </w:r>
      <w:r>
        <w:rPr>
          <w:w w:val="105"/>
          <w:sz w:val="21"/>
        </w:rPr>
        <w:t>hold</w:t>
      </w:r>
      <w:r>
        <w:rPr>
          <w:spacing w:val="-8"/>
          <w:w w:val="105"/>
          <w:sz w:val="21"/>
        </w:rPr>
        <w:t> </w:t>
      </w:r>
      <w:r>
        <w:rPr>
          <w:spacing w:val="-3"/>
          <w:w w:val="105"/>
          <w:sz w:val="21"/>
        </w:rPr>
        <w:t>different</w:t>
      </w:r>
      <w:r>
        <w:rPr>
          <w:spacing w:val="-8"/>
          <w:w w:val="105"/>
          <w:sz w:val="21"/>
        </w:rPr>
        <w:t> </w:t>
      </w:r>
      <w:r>
        <w:rPr>
          <w:w w:val="105"/>
          <w:sz w:val="21"/>
        </w:rPr>
        <w:t>expectations</w:t>
      </w:r>
      <w:r>
        <w:rPr>
          <w:spacing w:val="-8"/>
          <w:w w:val="105"/>
          <w:sz w:val="21"/>
        </w:rPr>
        <w:t> </w:t>
      </w:r>
      <w:r>
        <w:rPr>
          <w:w w:val="105"/>
          <w:sz w:val="21"/>
        </w:rPr>
        <w:t>about</w:t>
      </w:r>
      <w:r>
        <w:rPr>
          <w:spacing w:val="-8"/>
          <w:w w:val="105"/>
          <w:sz w:val="21"/>
        </w:rPr>
        <w:t> </w:t>
      </w:r>
      <w:r>
        <w:rPr>
          <w:spacing w:val="-3"/>
          <w:w w:val="105"/>
          <w:sz w:val="21"/>
        </w:rPr>
        <w:t>living</w:t>
      </w:r>
      <w:r>
        <w:rPr>
          <w:spacing w:val="-8"/>
          <w:w w:val="105"/>
          <w:sz w:val="21"/>
        </w:rPr>
        <w:t> </w:t>
      </w:r>
      <w:r>
        <w:rPr>
          <w:w w:val="105"/>
          <w:sz w:val="21"/>
        </w:rPr>
        <w:t>near</w:t>
      </w:r>
      <w:r>
        <w:rPr>
          <w:spacing w:val="-8"/>
          <w:w w:val="105"/>
          <w:sz w:val="21"/>
        </w:rPr>
        <w:t> </w:t>
      </w:r>
      <w:r>
        <w:rPr>
          <w:w w:val="105"/>
          <w:sz w:val="21"/>
        </w:rPr>
        <w:t>trees</w:t>
      </w:r>
      <w:r>
        <w:rPr>
          <w:spacing w:val="-8"/>
          <w:w w:val="105"/>
          <w:sz w:val="21"/>
        </w:rPr>
        <w:t> </w:t>
      </w:r>
      <w:r>
        <w:rPr>
          <w:w w:val="105"/>
          <w:sz w:val="21"/>
        </w:rPr>
        <w:t>and</w:t>
      </w:r>
      <w:r>
        <w:rPr>
          <w:spacing w:val="-8"/>
          <w:w w:val="105"/>
          <w:sz w:val="21"/>
        </w:rPr>
        <w:t> </w:t>
      </w:r>
      <w:r>
        <w:rPr>
          <w:w w:val="105"/>
          <w:sz w:val="21"/>
        </w:rPr>
        <w:t>this</w:t>
      </w:r>
      <w:r>
        <w:rPr>
          <w:spacing w:val="-8"/>
          <w:w w:val="105"/>
          <w:sz w:val="21"/>
        </w:rPr>
        <w:t> </w:t>
      </w:r>
      <w:r>
        <w:rPr>
          <w:w w:val="105"/>
          <w:sz w:val="21"/>
        </w:rPr>
        <w:t>itself</w:t>
      </w:r>
      <w:r>
        <w:rPr>
          <w:spacing w:val="-8"/>
          <w:w w:val="105"/>
          <w:sz w:val="21"/>
        </w:rPr>
        <w:t> </w:t>
      </w:r>
      <w:r>
        <w:rPr>
          <w:w w:val="105"/>
          <w:sz w:val="21"/>
        </w:rPr>
        <w:t>can</w:t>
      </w:r>
      <w:r>
        <w:rPr>
          <w:spacing w:val="-8"/>
          <w:w w:val="105"/>
          <w:sz w:val="21"/>
        </w:rPr>
        <w:t> </w:t>
      </w:r>
      <w:r>
        <w:rPr>
          <w:w w:val="105"/>
          <w:sz w:val="21"/>
        </w:rPr>
        <w:t>be</w:t>
      </w:r>
      <w:r>
        <w:rPr>
          <w:spacing w:val="-8"/>
          <w:w w:val="105"/>
          <w:sz w:val="21"/>
        </w:rPr>
        <w:t> </w:t>
      </w:r>
      <w:r>
        <w:rPr>
          <w:w w:val="105"/>
          <w:sz w:val="21"/>
        </w:rPr>
        <w:t>a</w:t>
      </w:r>
      <w:r>
        <w:rPr>
          <w:spacing w:val="-8"/>
          <w:w w:val="105"/>
          <w:sz w:val="21"/>
        </w:rPr>
        <w:t> </w:t>
      </w:r>
      <w:r>
        <w:rPr>
          <w:w w:val="105"/>
          <w:sz w:val="21"/>
        </w:rPr>
        <w:t>cause</w:t>
      </w:r>
      <w:r>
        <w:rPr>
          <w:spacing w:val="-8"/>
          <w:w w:val="105"/>
          <w:sz w:val="21"/>
        </w:rPr>
        <w:t> </w:t>
      </w:r>
      <w:r>
        <w:rPr>
          <w:w w:val="105"/>
          <w:sz w:val="21"/>
        </w:rPr>
        <w:t>of </w:t>
      </w:r>
      <w:r>
        <w:rPr>
          <w:spacing w:val="-3"/>
          <w:w w:val="105"/>
          <w:sz w:val="21"/>
        </w:rPr>
        <w:t>dispute.</w:t>
      </w:r>
    </w:p>
    <w:p>
      <w:pPr>
        <w:pStyle w:val="ListParagraph"/>
        <w:numPr>
          <w:ilvl w:val="1"/>
          <w:numId w:val="16"/>
        </w:numPr>
        <w:tabs>
          <w:tab w:pos="2382" w:val="left" w:leader="none"/>
        </w:tabs>
        <w:spacing w:line="242" w:lineRule="auto" w:before="122" w:after="0"/>
        <w:ind w:left="2381" w:right="1635" w:hanging="794"/>
        <w:jc w:val="both"/>
        <w:rPr>
          <w:sz w:val="21"/>
        </w:rPr>
      </w:pPr>
      <w:r>
        <w:rPr>
          <w:w w:val="105"/>
          <w:sz w:val="21"/>
        </w:rPr>
        <w:t>The </w:t>
      </w:r>
      <w:r>
        <w:rPr>
          <w:spacing w:val="-3"/>
          <w:w w:val="105"/>
          <w:sz w:val="21"/>
        </w:rPr>
        <w:t>Commission </w:t>
      </w:r>
      <w:r>
        <w:rPr>
          <w:w w:val="105"/>
          <w:sz w:val="21"/>
        </w:rPr>
        <w:t>was told </w:t>
      </w:r>
      <w:r>
        <w:rPr>
          <w:spacing w:val="-3"/>
          <w:w w:val="105"/>
          <w:sz w:val="21"/>
        </w:rPr>
        <w:t>that </w:t>
      </w:r>
      <w:r>
        <w:rPr>
          <w:w w:val="105"/>
          <w:sz w:val="21"/>
        </w:rPr>
        <w:t>some people, who </w:t>
      </w:r>
      <w:r>
        <w:rPr>
          <w:spacing w:val="-3"/>
          <w:w w:val="105"/>
          <w:sz w:val="21"/>
        </w:rPr>
        <w:t>may </w:t>
      </w:r>
      <w:r>
        <w:rPr>
          <w:spacing w:val="-2"/>
          <w:w w:val="105"/>
          <w:sz w:val="21"/>
        </w:rPr>
        <w:t>not </w:t>
      </w:r>
      <w:r>
        <w:rPr>
          <w:w w:val="105"/>
          <w:sz w:val="21"/>
        </w:rPr>
        <w:t>be </w:t>
      </w:r>
      <w:r>
        <w:rPr>
          <w:spacing w:val="-3"/>
          <w:w w:val="105"/>
          <w:sz w:val="21"/>
        </w:rPr>
        <w:t>physically </w:t>
      </w:r>
      <w:r>
        <w:rPr>
          <w:w w:val="105"/>
          <w:sz w:val="21"/>
        </w:rPr>
        <w:t>or </w:t>
      </w:r>
      <w:r>
        <w:rPr>
          <w:spacing w:val="-3"/>
          <w:w w:val="105"/>
          <w:sz w:val="21"/>
        </w:rPr>
        <w:t>financially </w:t>
      </w:r>
      <w:r>
        <w:rPr>
          <w:w w:val="105"/>
          <w:sz w:val="21"/>
        </w:rPr>
        <w:t>able </w:t>
      </w:r>
      <w:r>
        <w:rPr>
          <w:spacing w:val="-3"/>
          <w:w w:val="105"/>
          <w:sz w:val="21"/>
        </w:rPr>
        <w:t>to</w:t>
      </w:r>
      <w:r>
        <w:rPr>
          <w:spacing w:val="-9"/>
          <w:w w:val="105"/>
          <w:sz w:val="21"/>
        </w:rPr>
        <w:t> </w:t>
      </w:r>
      <w:r>
        <w:rPr>
          <w:spacing w:val="-3"/>
          <w:w w:val="105"/>
          <w:sz w:val="21"/>
        </w:rPr>
        <w:t>clear</w:t>
      </w:r>
      <w:r>
        <w:rPr>
          <w:spacing w:val="-9"/>
          <w:w w:val="105"/>
          <w:sz w:val="21"/>
        </w:rPr>
        <w:t> </w:t>
      </w:r>
      <w:r>
        <w:rPr>
          <w:w w:val="105"/>
          <w:sz w:val="21"/>
        </w:rPr>
        <w:t>their</w:t>
      </w:r>
      <w:r>
        <w:rPr>
          <w:spacing w:val="-8"/>
          <w:w w:val="105"/>
          <w:sz w:val="21"/>
        </w:rPr>
        <w:t> </w:t>
      </w:r>
      <w:r>
        <w:rPr>
          <w:w w:val="105"/>
          <w:sz w:val="21"/>
        </w:rPr>
        <w:t>property</w:t>
      </w:r>
      <w:r>
        <w:rPr>
          <w:spacing w:val="-9"/>
          <w:w w:val="105"/>
          <w:sz w:val="21"/>
        </w:rPr>
        <w:t> </w:t>
      </w:r>
      <w:r>
        <w:rPr>
          <w:w w:val="105"/>
          <w:sz w:val="21"/>
        </w:rPr>
        <w:t>of</w:t>
      </w:r>
      <w:r>
        <w:rPr>
          <w:spacing w:val="-9"/>
          <w:w w:val="105"/>
          <w:sz w:val="21"/>
        </w:rPr>
        <w:t> </w:t>
      </w:r>
      <w:r>
        <w:rPr>
          <w:w w:val="105"/>
          <w:sz w:val="21"/>
        </w:rPr>
        <w:t>leaf</w:t>
      </w:r>
      <w:r>
        <w:rPr>
          <w:spacing w:val="-8"/>
          <w:w w:val="105"/>
          <w:sz w:val="21"/>
        </w:rPr>
        <w:t> </w:t>
      </w:r>
      <w:r>
        <w:rPr>
          <w:w w:val="105"/>
          <w:sz w:val="21"/>
        </w:rPr>
        <w:t>litter</w:t>
      </w:r>
      <w:r>
        <w:rPr>
          <w:spacing w:val="-9"/>
          <w:w w:val="105"/>
          <w:sz w:val="21"/>
        </w:rPr>
        <w:t> </w:t>
      </w:r>
      <w:r>
        <w:rPr>
          <w:w w:val="105"/>
          <w:sz w:val="21"/>
        </w:rPr>
        <w:t>or</w:t>
      </w:r>
      <w:r>
        <w:rPr>
          <w:spacing w:val="-9"/>
          <w:w w:val="105"/>
          <w:sz w:val="21"/>
        </w:rPr>
        <w:t> </w:t>
      </w:r>
      <w:r>
        <w:rPr>
          <w:w w:val="105"/>
          <w:sz w:val="21"/>
        </w:rPr>
        <w:t>prune</w:t>
      </w:r>
      <w:r>
        <w:rPr>
          <w:spacing w:val="-8"/>
          <w:w w:val="105"/>
          <w:sz w:val="21"/>
        </w:rPr>
        <w:t> </w:t>
      </w:r>
      <w:r>
        <w:rPr>
          <w:w w:val="105"/>
          <w:sz w:val="21"/>
        </w:rPr>
        <w:t>a</w:t>
      </w:r>
      <w:r>
        <w:rPr>
          <w:spacing w:val="-9"/>
          <w:w w:val="105"/>
          <w:sz w:val="21"/>
        </w:rPr>
        <w:t> </w:t>
      </w:r>
      <w:r>
        <w:rPr>
          <w:spacing w:val="-3"/>
          <w:w w:val="105"/>
          <w:sz w:val="21"/>
        </w:rPr>
        <w:t>tree,</w:t>
      </w:r>
      <w:r>
        <w:rPr>
          <w:spacing w:val="-9"/>
          <w:w w:val="105"/>
          <w:sz w:val="21"/>
        </w:rPr>
        <w:t> </w:t>
      </w:r>
      <w:r>
        <w:rPr>
          <w:spacing w:val="-3"/>
          <w:w w:val="105"/>
          <w:sz w:val="21"/>
        </w:rPr>
        <w:t>may</w:t>
      </w:r>
      <w:r>
        <w:rPr>
          <w:spacing w:val="-8"/>
          <w:w w:val="105"/>
          <w:sz w:val="21"/>
        </w:rPr>
        <w:t> </w:t>
      </w:r>
      <w:r>
        <w:rPr>
          <w:w w:val="105"/>
          <w:sz w:val="21"/>
        </w:rPr>
        <w:t>be</w:t>
      </w:r>
      <w:r>
        <w:rPr>
          <w:spacing w:val="-9"/>
          <w:w w:val="105"/>
          <w:sz w:val="21"/>
        </w:rPr>
        <w:t> </w:t>
      </w:r>
      <w:r>
        <w:rPr>
          <w:w w:val="105"/>
          <w:sz w:val="21"/>
        </w:rPr>
        <w:t>less</w:t>
      </w:r>
      <w:r>
        <w:rPr>
          <w:spacing w:val="-9"/>
          <w:w w:val="105"/>
          <w:sz w:val="21"/>
        </w:rPr>
        <w:t> </w:t>
      </w:r>
      <w:r>
        <w:rPr>
          <w:spacing w:val="-3"/>
          <w:w w:val="105"/>
          <w:sz w:val="21"/>
        </w:rPr>
        <w:t>tolerant</w:t>
      </w:r>
      <w:r>
        <w:rPr>
          <w:spacing w:val="-8"/>
          <w:w w:val="105"/>
          <w:sz w:val="21"/>
        </w:rPr>
        <w:t> </w:t>
      </w:r>
      <w:r>
        <w:rPr>
          <w:w w:val="105"/>
          <w:sz w:val="21"/>
        </w:rPr>
        <w:t>of</w:t>
      </w:r>
      <w:r>
        <w:rPr>
          <w:spacing w:val="-9"/>
          <w:w w:val="105"/>
          <w:sz w:val="21"/>
        </w:rPr>
        <w:t> </w:t>
      </w:r>
      <w:r>
        <w:rPr>
          <w:w w:val="105"/>
          <w:sz w:val="21"/>
        </w:rPr>
        <w:t>trees</w:t>
      </w:r>
      <w:r>
        <w:rPr>
          <w:spacing w:val="-9"/>
          <w:w w:val="105"/>
          <w:sz w:val="21"/>
        </w:rPr>
        <w:t> </w:t>
      </w:r>
      <w:r>
        <w:rPr>
          <w:w w:val="105"/>
          <w:sz w:val="21"/>
        </w:rPr>
        <w:t>and</w:t>
      </w:r>
      <w:r>
        <w:rPr>
          <w:spacing w:val="-8"/>
          <w:w w:val="105"/>
          <w:sz w:val="21"/>
        </w:rPr>
        <w:t> </w:t>
      </w:r>
      <w:r>
        <w:rPr>
          <w:w w:val="105"/>
          <w:sz w:val="21"/>
        </w:rPr>
        <w:t>more </w:t>
      </w:r>
      <w:r>
        <w:rPr>
          <w:spacing w:val="-4"/>
          <w:w w:val="105"/>
          <w:sz w:val="21"/>
        </w:rPr>
        <w:t>likely </w:t>
      </w:r>
      <w:r>
        <w:rPr>
          <w:spacing w:val="-3"/>
          <w:w w:val="105"/>
          <w:sz w:val="21"/>
        </w:rPr>
        <w:t>to </w:t>
      </w:r>
      <w:r>
        <w:rPr>
          <w:w w:val="105"/>
          <w:sz w:val="21"/>
        </w:rPr>
        <w:t>become </w:t>
      </w:r>
      <w:r>
        <w:rPr>
          <w:spacing w:val="-3"/>
          <w:w w:val="105"/>
          <w:sz w:val="21"/>
        </w:rPr>
        <w:t>involved </w:t>
      </w:r>
      <w:r>
        <w:rPr>
          <w:w w:val="105"/>
          <w:sz w:val="21"/>
        </w:rPr>
        <w:t>in a</w:t>
      </w:r>
      <w:r>
        <w:rPr>
          <w:spacing w:val="40"/>
          <w:w w:val="105"/>
          <w:sz w:val="21"/>
        </w:rPr>
        <w:t> </w:t>
      </w:r>
      <w:r>
        <w:rPr>
          <w:spacing w:val="-5"/>
          <w:w w:val="105"/>
          <w:sz w:val="21"/>
        </w:rPr>
        <w:t>dispute.</w:t>
      </w:r>
      <w:r>
        <w:rPr>
          <w:spacing w:val="-5"/>
          <w:w w:val="105"/>
          <w:position w:val="7"/>
          <w:sz w:val="12"/>
        </w:rPr>
        <w:t>192</w:t>
      </w:r>
    </w:p>
    <w:p>
      <w:pPr>
        <w:pStyle w:val="ListParagraph"/>
        <w:numPr>
          <w:ilvl w:val="1"/>
          <w:numId w:val="16"/>
        </w:numPr>
        <w:tabs>
          <w:tab w:pos="2380" w:val="left" w:leader="none"/>
          <w:tab w:pos="2382" w:val="left" w:leader="none"/>
        </w:tabs>
        <w:spacing w:line="242" w:lineRule="auto" w:before="123" w:after="0"/>
        <w:ind w:left="2381" w:right="1813" w:hanging="794"/>
        <w:jc w:val="left"/>
        <w:rPr>
          <w:sz w:val="21"/>
        </w:rPr>
      </w:pPr>
      <w:r>
        <w:rPr>
          <w:sz w:val="21"/>
        </w:rPr>
        <w:t>On the other </w:t>
      </w:r>
      <w:r>
        <w:rPr>
          <w:spacing w:val="-3"/>
          <w:sz w:val="21"/>
        </w:rPr>
        <w:t>hand, </w:t>
      </w:r>
      <w:r>
        <w:rPr>
          <w:sz w:val="21"/>
        </w:rPr>
        <w:t>others </w:t>
      </w:r>
      <w:r>
        <w:rPr>
          <w:spacing w:val="-3"/>
          <w:sz w:val="21"/>
        </w:rPr>
        <w:t>may greatly value </w:t>
      </w:r>
      <w:r>
        <w:rPr>
          <w:sz w:val="21"/>
        </w:rPr>
        <w:t>trees and </w:t>
      </w:r>
      <w:r>
        <w:rPr>
          <w:spacing w:val="-3"/>
          <w:sz w:val="21"/>
        </w:rPr>
        <w:t>may </w:t>
      </w:r>
      <w:r>
        <w:rPr>
          <w:sz w:val="21"/>
        </w:rPr>
        <w:t>seek out leafy and </w:t>
      </w:r>
      <w:r>
        <w:rPr>
          <w:spacing w:val="-3"/>
          <w:sz w:val="21"/>
        </w:rPr>
        <w:t>highly </w:t>
      </w:r>
      <w:r>
        <w:rPr>
          <w:sz w:val="21"/>
        </w:rPr>
        <w:t>vegetated </w:t>
      </w:r>
      <w:r>
        <w:rPr>
          <w:spacing w:val="-3"/>
          <w:sz w:val="21"/>
        </w:rPr>
        <w:t>areas to </w:t>
      </w:r>
      <w:r>
        <w:rPr>
          <w:sz w:val="21"/>
        </w:rPr>
        <w:t>live </w:t>
      </w:r>
      <w:r>
        <w:rPr>
          <w:spacing w:val="-3"/>
          <w:sz w:val="21"/>
        </w:rPr>
        <w:t>in. </w:t>
      </w:r>
      <w:r>
        <w:rPr>
          <w:sz w:val="21"/>
        </w:rPr>
        <w:t>HVP </w:t>
      </w:r>
      <w:r>
        <w:rPr>
          <w:spacing w:val="-3"/>
          <w:sz w:val="21"/>
        </w:rPr>
        <w:t>Plantations noted that many </w:t>
      </w:r>
      <w:r>
        <w:rPr>
          <w:sz w:val="21"/>
        </w:rPr>
        <w:t>of its </w:t>
      </w:r>
      <w:r>
        <w:rPr>
          <w:spacing w:val="-3"/>
          <w:sz w:val="21"/>
        </w:rPr>
        <w:t>residential </w:t>
      </w:r>
      <w:r>
        <w:rPr>
          <w:sz w:val="21"/>
        </w:rPr>
        <w:t>neighbours choose </w:t>
      </w:r>
      <w:r>
        <w:rPr>
          <w:spacing w:val="-3"/>
          <w:sz w:val="21"/>
        </w:rPr>
        <w:t>to </w:t>
      </w:r>
      <w:r>
        <w:rPr>
          <w:sz w:val="21"/>
        </w:rPr>
        <w:t>live near its </w:t>
      </w:r>
      <w:r>
        <w:rPr>
          <w:spacing w:val="-3"/>
          <w:sz w:val="21"/>
        </w:rPr>
        <w:t>plantations </w:t>
      </w:r>
      <w:r>
        <w:rPr>
          <w:sz w:val="21"/>
        </w:rPr>
        <w:t>due </w:t>
      </w:r>
      <w:r>
        <w:rPr>
          <w:spacing w:val="-3"/>
          <w:sz w:val="21"/>
        </w:rPr>
        <w:t>to </w:t>
      </w:r>
      <w:r>
        <w:rPr>
          <w:sz w:val="21"/>
        </w:rPr>
        <w:t>the vegetated green space it </w:t>
      </w:r>
      <w:r>
        <w:rPr>
          <w:spacing w:val="-4"/>
          <w:sz w:val="21"/>
        </w:rPr>
        <w:t>provides.</w:t>
      </w:r>
      <w:r>
        <w:rPr>
          <w:spacing w:val="-4"/>
          <w:position w:val="7"/>
          <w:sz w:val="12"/>
        </w:rPr>
        <w:t>193 </w:t>
      </w:r>
      <w:r>
        <w:rPr>
          <w:sz w:val="21"/>
        </w:rPr>
        <w:t>Some local </w:t>
      </w:r>
      <w:r>
        <w:rPr>
          <w:spacing w:val="-3"/>
          <w:sz w:val="21"/>
        </w:rPr>
        <w:t>councils </w:t>
      </w:r>
      <w:r>
        <w:rPr>
          <w:sz w:val="21"/>
        </w:rPr>
        <w:t>with a </w:t>
      </w:r>
      <w:r>
        <w:rPr>
          <w:spacing w:val="-3"/>
          <w:sz w:val="21"/>
        </w:rPr>
        <w:t>high </w:t>
      </w:r>
      <w:r>
        <w:rPr>
          <w:sz w:val="21"/>
        </w:rPr>
        <w:t>level of vegetation and green space also </w:t>
      </w:r>
      <w:r>
        <w:rPr>
          <w:spacing w:val="-3"/>
          <w:sz w:val="21"/>
        </w:rPr>
        <w:t>noted that many  </w:t>
      </w:r>
      <w:r>
        <w:rPr>
          <w:sz w:val="21"/>
        </w:rPr>
        <w:t>of  their</w:t>
      </w:r>
      <w:r>
        <w:rPr>
          <w:spacing w:val="8"/>
          <w:sz w:val="21"/>
        </w:rPr>
        <w:t> </w:t>
      </w:r>
      <w:r>
        <w:rPr>
          <w:sz w:val="21"/>
        </w:rPr>
        <w:t>residents</w:t>
      </w:r>
      <w:r>
        <w:rPr>
          <w:spacing w:val="9"/>
          <w:sz w:val="21"/>
        </w:rPr>
        <w:t> </w:t>
      </w:r>
      <w:r>
        <w:rPr>
          <w:sz w:val="21"/>
        </w:rPr>
        <w:t>choose</w:t>
      </w:r>
      <w:r>
        <w:rPr>
          <w:spacing w:val="9"/>
          <w:sz w:val="21"/>
        </w:rPr>
        <w:t> </w:t>
      </w:r>
      <w:r>
        <w:rPr>
          <w:spacing w:val="-3"/>
          <w:sz w:val="21"/>
        </w:rPr>
        <w:t>to</w:t>
      </w:r>
      <w:r>
        <w:rPr>
          <w:spacing w:val="8"/>
          <w:sz w:val="21"/>
        </w:rPr>
        <w:t> </w:t>
      </w:r>
      <w:r>
        <w:rPr>
          <w:sz w:val="21"/>
        </w:rPr>
        <w:t>live</w:t>
      </w:r>
      <w:r>
        <w:rPr>
          <w:spacing w:val="9"/>
          <w:sz w:val="21"/>
        </w:rPr>
        <w:t> </w:t>
      </w:r>
      <w:r>
        <w:rPr>
          <w:sz w:val="21"/>
        </w:rPr>
        <w:t>in</w:t>
      </w:r>
      <w:r>
        <w:rPr>
          <w:spacing w:val="9"/>
          <w:sz w:val="21"/>
        </w:rPr>
        <w:t> </w:t>
      </w:r>
      <w:r>
        <w:rPr>
          <w:sz w:val="21"/>
        </w:rPr>
        <w:t>their</w:t>
      </w:r>
      <w:r>
        <w:rPr>
          <w:spacing w:val="9"/>
          <w:sz w:val="21"/>
        </w:rPr>
        <w:t> </w:t>
      </w:r>
      <w:r>
        <w:rPr>
          <w:spacing w:val="-3"/>
          <w:sz w:val="21"/>
        </w:rPr>
        <w:t>areas</w:t>
      </w:r>
      <w:r>
        <w:rPr>
          <w:spacing w:val="8"/>
          <w:sz w:val="21"/>
        </w:rPr>
        <w:t> </w:t>
      </w:r>
      <w:r>
        <w:rPr>
          <w:spacing w:val="-3"/>
          <w:sz w:val="21"/>
        </w:rPr>
        <w:t>to</w:t>
      </w:r>
      <w:r>
        <w:rPr>
          <w:spacing w:val="9"/>
          <w:sz w:val="21"/>
        </w:rPr>
        <w:t> </w:t>
      </w:r>
      <w:r>
        <w:rPr>
          <w:sz w:val="21"/>
        </w:rPr>
        <w:t>be</w:t>
      </w:r>
      <w:r>
        <w:rPr>
          <w:spacing w:val="9"/>
          <w:sz w:val="21"/>
        </w:rPr>
        <w:t> </w:t>
      </w:r>
      <w:r>
        <w:rPr>
          <w:sz w:val="21"/>
        </w:rPr>
        <w:t>near</w:t>
      </w:r>
      <w:r>
        <w:rPr>
          <w:spacing w:val="8"/>
          <w:sz w:val="21"/>
        </w:rPr>
        <w:t> </w:t>
      </w:r>
      <w:r>
        <w:rPr>
          <w:spacing w:val="-4"/>
          <w:sz w:val="21"/>
        </w:rPr>
        <w:t>trees.</w:t>
      </w:r>
      <w:r>
        <w:rPr>
          <w:spacing w:val="-4"/>
          <w:position w:val="7"/>
          <w:sz w:val="12"/>
        </w:rPr>
        <w:t>194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r>
        <w:rPr/>
        <w:pict>
          <v:line style="position:absolute;mso-position-horizontal-relative:page;mso-position-vertical-relative:paragraph;z-index:512;mso-wrap-distance-left:0;mso-wrap-distance-right:0" from="79.370102pt,19.863770pt" to="515.905102pt,19.863770pt" stroked="true" strokeweight="1pt" strokecolor="#c9d2cb">
            <v:stroke dashstyle="solid"/>
            <w10:wrap type="topAndBottom"/>
          </v:line>
        </w:pict>
      </w:r>
    </w:p>
    <w:p>
      <w:pPr>
        <w:pStyle w:val="ListParagraph"/>
        <w:numPr>
          <w:ilvl w:val="0"/>
          <w:numId w:val="22"/>
        </w:numPr>
        <w:tabs>
          <w:tab w:pos="2381" w:val="left" w:leader="none"/>
          <w:tab w:pos="2382" w:val="left" w:leader="none"/>
        </w:tabs>
        <w:spacing w:line="240" w:lineRule="auto" w:before="117" w:after="0"/>
        <w:ind w:left="2381" w:right="0" w:hanging="794"/>
        <w:jc w:val="left"/>
        <w:rPr>
          <w:sz w:val="13"/>
        </w:rPr>
      </w:pPr>
      <w:r>
        <w:rPr>
          <w:w w:val="105"/>
          <w:sz w:val="13"/>
        </w:rPr>
        <w:t>Consultations</w:t>
      </w:r>
      <w:r>
        <w:rPr>
          <w:spacing w:val="5"/>
          <w:w w:val="105"/>
          <w:sz w:val="13"/>
        </w:rPr>
        <w:t> </w:t>
      </w:r>
      <w:r>
        <w:rPr>
          <w:w w:val="105"/>
          <w:sz w:val="13"/>
        </w:rPr>
        <w:t>2</w:t>
      </w:r>
      <w:r>
        <w:rPr>
          <w:spacing w:val="5"/>
          <w:w w:val="105"/>
          <w:sz w:val="13"/>
        </w:rPr>
        <w:t> </w:t>
      </w:r>
      <w:r>
        <w:rPr>
          <w:spacing w:val="3"/>
          <w:w w:val="105"/>
          <w:sz w:val="13"/>
        </w:rPr>
        <w:t>(Dr</w:t>
      </w:r>
      <w:r>
        <w:rPr>
          <w:spacing w:val="5"/>
          <w:w w:val="105"/>
          <w:sz w:val="13"/>
        </w:rPr>
        <w:t> </w:t>
      </w:r>
      <w:r>
        <w:rPr>
          <w:w w:val="105"/>
          <w:sz w:val="13"/>
        </w:rPr>
        <w:t>Gregory</w:t>
      </w:r>
      <w:r>
        <w:rPr>
          <w:spacing w:val="5"/>
          <w:w w:val="105"/>
          <w:sz w:val="13"/>
        </w:rPr>
        <w:t> </w:t>
      </w:r>
      <w:r>
        <w:rPr>
          <w:w w:val="105"/>
          <w:sz w:val="13"/>
        </w:rPr>
        <w:t>Moore</w:t>
      </w:r>
      <w:r>
        <w:rPr>
          <w:spacing w:val="5"/>
          <w:w w:val="105"/>
          <w:sz w:val="13"/>
        </w:rPr>
        <w:t> </w:t>
      </w:r>
      <w:r>
        <w:rPr>
          <w:spacing w:val="2"/>
          <w:w w:val="105"/>
          <w:sz w:val="13"/>
        </w:rPr>
        <w:t>OAM),</w:t>
      </w:r>
      <w:r>
        <w:rPr>
          <w:spacing w:val="5"/>
          <w:w w:val="105"/>
          <w:sz w:val="13"/>
        </w:rPr>
        <w:t> </w:t>
      </w:r>
      <w:r>
        <w:rPr>
          <w:w w:val="105"/>
          <w:sz w:val="13"/>
        </w:rPr>
        <w:t>4</w:t>
      </w:r>
      <w:r>
        <w:rPr>
          <w:spacing w:val="6"/>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5"/>
          <w:w w:val="105"/>
          <w:sz w:val="13"/>
        </w:rPr>
        <w:t> </w:t>
      </w:r>
      <w:r>
        <w:rPr>
          <w:w w:val="105"/>
          <w:sz w:val="13"/>
        </w:rPr>
        <w:t>at</w:t>
      </w:r>
      <w:r>
        <w:rPr>
          <w:spacing w:val="5"/>
          <w:w w:val="105"/>
          <w:sz w:val="13"/>
        </w:rPr>
        <w:t> </w:t>
      </w:r>
      <w:r>
        <w:rPr>
          <w:spacing w:val="4"/>
          <w:w w:val="105"/>
          <w:sz w:val="13"/>
        </w:rPr>
        <w:t>VTIO</w:t>
      </w:r>
      <w:r>
        <w:rPr>
          <w:spacing w:val="6"/>
          <w:w w:val="105"/>
          <w:sz w:val="13"/>
        </w:rPr>
        <w:t> </w:t>
      </w:r>
      <w:r>
        <w:rPr>
          <w:w w:val="105"/>
          <w:sz w:val="13"/>
        </w:rPr>
        <w:t>ArborCamp2018).</w:t>
      </w:r>
    </w:p>
    <w:p>
      <w:pPr>
        <w:pStyle w:val="ListParagraph"/>
        <w:numPr>
          <w:ilvl w:val="0"/>
          <w:numId w:val="22"/>
        </w:numPr>
        <w:tabs>
          <w:tab w:pos="2381" w:val="left" w:leader="none"/>
          <w:tab w:pos="2382" w:val="left" w:leader="none"/>
        </w:tabs>
        <w:spacing w:line="240" w:lineRule="auto" w:before="1" w:after="0"/>
        <w:ind w:left="2381" w:right="2175" w:hanging="794"/>
        <w:jc w:val="left"/>
        <w:rPr>
          <w:sz w:val="13"/>
        </w:rPr>
      </w:pPr>
      <w:r>
        <w:rPr>
          <w:w w:val="105"/>
          <w:sz w:val="13"/>
        </w:rPr>
        <w:t>The Australian Qualifications Framework </w:t>
      </w:r>
      <w:r>
        <w:rPr>
          <w:spacing w:val="2"/>
          <w:w w:val="105"/>
          <w:sz w:val="13"/>
        </w:rPr>
        <w:t>(AQF) </w:t>
      </w:r>
      <w:r>
        <w:rPr>
          <w:w w:val="105"/>
          <w:sz w:val="13"/>
        </w:rPr>
        <w:t>is the agreed policy of Commonwealth, state and territory Ministers for regulating qualifications</w:t>
      </w:r>
      <w:r>
        <w:rPr>
          <w:spacing w:val="6"/>
          <w:w w:val="105"/>
          <w:sz w:val="13"/>
        </w:rPr>
        <w:t> </w:t>
      </w:r>
      <w:r>
        <w:rPr>
          <w:w w:val="105"/>
          <w:sz w:val="13"/>
        </w:rPr>
        <w:t>in</w:t>
      </w:r>
      <w:r>
        <w:rPr>
          <w:spacing w:val="7"/>
          <w:w w:val="105"/>
          <w:sz w:val="13"/>
        </w:rPr>
        <w:t> </w:t>
      </w:r>
      <w:r>
        <w:rPr>
          <w:w w:val="105"/>
          <w:sz w:val="13"/>
        </w:rPr>
        <w:t>the</w:t>
      </w:r>
      <w:r>
        <w:rPr>
          <w:spacing w:val="7"/>
          <w:w w:val="105"/>
          <w:sz w:val="13"/>
        </w:rPr>
        <w:t> </w:t>
      </w:r>
      <w:r>
        <w:rPr>
          <w:w w:val="105"/>
          <w:sz w:val="13"/>
        </w:rPr>
        <w:t>Australian</w:t>
      </w:r>
      <w:r>
        <w:rPr>
          <w:spacing w:val="6"/>
          <w:w w:val="105"/>
          <w:sz w:val="13"/>
        </w:rPr>
        <w:t> </w:t>
      </w:r>
      <w:r>
        <w:rPr>
          <w:w w:val="105"/>
          <w:sz w:val="13"/>
        </w:rPr>
        <w:t>education</w:t>
      </w:r>
      <w:r>
        <w:rPr>
          <w:spacing w:val="7"/>
          <w:w w:val="105"/>
          <w:sz w:val="13"/>
        </w:rPr>
        <w:t> </w:t>
      </w:r>
      <w:r>
        <w:rPr>
          <w:w w:val="105"/>
          <w:sz w:val="13"/>
        </w:rPr>
        <w:t>and</w:t>
      </w:r>
      <w:r>
        <w:rPr>
          <w:spacing w:val="7"/>
          <w:w w:val="105"/>
          <w:sz w:val="13"/>
        </w:rPr>
        <w:t> </w:t>
      </w:r>
      <w:r>
        <w:rPr>
          <w:w w:val="105"/>
          <w:sz w:val="13"/>
        </w:rPr>
        <w:t>training</w:t>
      </w:r>
      <w:r>
        <w:rPr>
          <w:spacing w:val="7"/>
          <w:w w:val="105"/>
          <w:sz w:val="13"/>
        </w:rPr>
        <w:t> </w:t>
      </w:r>
      <w:r>
        <w:rPr>
          <w:w w:val="105"/>
          <w:sz w:val="13"/>
        </w:rPr>
        <w:t>system:</w:t>
      </w:r>
      <w:r>
        <w:rPr>
          <w:spacing w:val="6"/>
          <w:w w:val="105"/>
          <w:sz w:val="13"/>
        </w:rPr>
        <w:t> </w:t>
      </w:r>
      <w:r>
        <w:rPr>
          <w:w w:val="105"/>
          <w:sz w:val="13"/>
        </w:rPr>
        <w:t>Australian</w:t>
      </w:r>
      <w:r>
        <w:rPr>
          <w:spacing w:val="7"/>
          <w:w w:val="105"/>
          <w:sz w:val="13"/>
        </w:rPr>
        <w:t> </w:t>
      </w:r>
      <w:r>
        <w:rPr>
          <w:w w:val="105"/>
          <w:sz w:val="13"/>
        </w:rPr>
        <w:t>Qualifications</w:t>
      </w:r>
      <w:r>
        <w:rPr>
          <w:spacing w:val="7"/>
          <w:w w:val="105"/>
          <w:sz w:val="13"/>
        </w:rPr>
        <w:t> </w:t>
      </w:r>
      <w:r>
        <w:rPr>
          <w:w w:val="105"/>
          <w:sz w:val="13"/>
        </w:rPr>
        <w:t>Framework,</w:t>
      </w:r>
      <w:r>
        <w:rPr>
          <w:spacing w:val="6"/>
          <w:w w:val="105"/>
          <w:sz w:val="13"/>
        </w:rPr>
        <w:t> </w:t>
      </w:r>
      <w:r>
        <w:rPr>
          <w:i/>
          <w:w w:val="105"/>
          <w:sz w:val="13"/>
        </w:rPr>
        <w:t>What</w:t>
      </w:r>
      <w:r>
        <w:rPr>
          <w:i/>
          <w:spacing w:val="7"/>
          <w:w w:val="105"/>
          <w:sz w:val="13"/>
        </w:rPr>
        <w:t> </w:t>
      </w:r>
      <w:r>
        <w:rPr>
          <w:i/>
          <w:w w:val="105"/>
          <w:sz w:val="13"/>
        </w:rPr>
        <w:t>is</w:t>
      </w:r>
      <w:r>
        <w:rPr>
          <w:i/>
          <w:spacing w:val="7"/>
          <w:w w:val="105"/>
          <w:sz w:val="13"/>
        </w:rPr>
        <w:t> </w:t>
      </w:r>
      <w:r>
        <w:rPr>
          <w:i/>
          <w:w w:val="105"/>
          <w:sz w:val="13"/>
        </w:rPr>
        <w:t>the</w:t>
      </w:r>
      <w:r>
        <w:rPr>
          <w:i/>
          <w:spacing w:val="7"/>
          <w:w w:val="105"/>
          <w:sz w:val="13"/>
        </w:rPr>
        <w:t> </w:t>
      </w:r>
      <w:r>
        <w:rPr>
          <w:i/>
          <w:w w:val="105"/>
          <w:sz w:val="13"/>
        </w:rPr>
        <w:t>AQF?</w:t>
      </w:r>
      <w:r>
        <w:rPr>
          <w:i/>
          <w:spacing w:val="6"/>
          <w:w w:val="105"/>
          <w:sz w:val="13"/>
        </w:rPr>
        <w:t> </w:t>
      </w:r>
      <w:r>
        <w:rPr>
          <w:w w:val="105"/>
          <w:sz w:val="13"/>
        </w:rPr>
        <w:t>(Web</w:t>
      </w:r>
      <w:r>
        <w:rPr>
          <w:spacing w:val="7"/>
          <w:w w:val="105"/>
          <w:sz w:val="13"/>
        </w:rPr>
        <w:t> </w:t>
      </w:r>
      <w:r>
        <w:rPr>
          <w:w w:val="105"/>
          <w:sz w:val="13"/>
        </w:rPr>
        <w:t>Page)</w:t>
      </w:r>
    </w:p>
    <w:p>
      <w:pPr>
        <w:spacing w:before="3"/>
        <w:ind w:left="2381" w:right="0" w:firstLine="0"/>
        <w:jc w:val="left"/>
        <w:rPr>
          <w:sz w:val="13"/>
        </w:rPr>
      </w:pPr>
      <w:r>
        <w:rPr>
          <w:w w:val="105"/>
          <w:sz w:val="13"/>
        </w:rPr>
        <w:t>&lt;</w:t>
      </w:r>
      <w:hyperlink r:id="rId46">
        <w:r>
          <w:rPr>
            <w:w w:val="105"/>
            <w:sz w:val="13"/>
          </w:rPr>
          <w:t>www.aqf.edu.au/what-is-the-aqf</w:t>
        </w:r>
      </w:hyperlink>
      <w:r>
        <w:rPr>
          <w:w w:val="105"/>
          <w:sz w:val="13"/>
        </w:rPr>
        <w:t>&gt;.</w:t>
      </w:r>
    </w:p>
    <w:p>
      <w:pPr>
        <w:pStyle w:val="ListParagraph"/>
        <w:numPr>
          <w:ilvl w:val="0"/>
          <w:numId w:val="22"/>
        </w:numPr>
        <w:tabs>
          <w:tab w:pos="2381" w:val="left" w:leader="none"/>
          <w:tab w:pos="2382" w:val="left" w:leader="none"/>
        </w:tabs>
        <w:spacing w:line="240" w:lineRule="auto" w:before="1" w:after="0"/>
        <w:ind w:left="2381" w:right="1945" w:hanging="794"/>
        <w:jc w:val="left"/>
        <w:rPr>
          <w:sz w:val="13"/>
        </w:rPr>
      </w:pPr>
      <w:r>
        <w:rPr>
          <w:w w:val="105"/>
          <w:sz w:val="13"/>
        </w:rPr>
        <w:t>Consultation 8 (City of Boroondara); see also Standards Australia, </w:t>
      </w:r>
      <w:r>
        <w:rPr>
          <w:i/>
          <w:w w:val="105"/>
          <w:sz w:val="13"/>
        </w:rPr>
        <w:t>Pruning of Amenity Trees </w:t>
      </w:r>
      <w:r>
        <w:rPr>
          <w:spacing w:val="2"/>
          <w:w w:val="105"/>
          <w:sz w:val="13"/>
        </w:rPr>
        <w:t>(AS </w:t>
      </w:r>
      <w:r>
        <w:rPr>
          <w:w w:val="105"/>
          <w:sz w:val="13"/>
        </w:rPr>
        <w:t>4373-2007) (Sydney, NSW: Standards Australia,</w:t>
      </w:r>
      <w:r>
        <w:rPr>
          <w:spacing w:val="4"/>
          <w:w w:val="105"/>
          <w:sz w:val="13"/>
        </w:rPr>
        <w:t> </w:t>
      </w:r>
      <w:r>
        <w:rPr>
          <w:w w:val="105"/>
          <w:sz w:val="13"/>
        </w:rPr>
        <w:t>2007).</w:t>
      </w:r>
    </w:p>
    <w:p>
      <w:pPr>
        <w:pStyle w:val="ListParagraph"/>
        <w:numPr>
          <w:ilvl w:val="0"/>
          <w:numId w:val="22"/>
        </w:numPr>
        <w:tabs>
          <w:tab w:pos="2381" w:val="left" w:leader="none"/>
          <w:tab w:pos="2382" w:val="left" w:leader="none"/>
        </w:tabs>
        <w:spacing w:line="240" w:lineRule="auto" w:before="3" w:after="0"/>
        <w:ind w:left="2381" w:right="0" w:hanging="794"/>
        <w:jc w:val="left"/>
        <w:rPr>
          <w:sz w:val="13"/>
        </w:rPr>
      </w:pPr>
      <w:r>
        <w:rPr>
          <w:w w:val="105"/>
          <w:sz w:val="13"/>
        </w:rPr>
        <w:t>See,</w:t>
      </w:r>
      <w:r>
        <w:rPr>
          <w:spacing w:val="5"/>
          <w:w w:val="105"/>
          <w:sz w:val="13"/>
        </w:rPr>
        <w:t> </w:t>
      </w:r>
      <w:r>
        <w:rPr>
          <w:w w:val="105"/>
          <w:sz w:val="13"/>
        </w:rPr>
        <w:t>eg,</w:t>
      </w:r>
      <w:r>
        <w:rPr>
          <w:spacing w:val="6"/>
          <w:w w:val="105"/>
          <w:sz w:val="13"/>
        </w:rPr>
        <w:t> </w:t>
      </w:r>
      <w:r>
        <w:rPr>
          <w:w w:val="105"/>
          <w:sz w:val="13"/>
        </w:rPr>
        <w:t>City</w:t>
      </w:r>
      <w:r>
        <w:rPr>
          <w:spacing w:val="5"/>
          <w:w w:val="105"/>
          <w:sz w:val="13"/>
        </w:rPr>
        <w:t> </w:t>
      </w:r>
      <w:r>
        <w:rPr>
          <w:w w:val="105"/>
          <w:sz w:val="13"/>
        </w:rPr>
        <w:t>of</w:t>
      </w:r>
      <w:r>
        <w:rPr>
          <w:spacing w:val="6"/>
          <w:w w:val="105"/>
          <w:sz w:val="13"/>
        </w:rPr>
        <w:t> </w:t>
      </w:r>
      <w:r>
        <w:rPr>
          <w:w w:val="105"/>
          <w:sz w:val="13"/>
        </w:rPr>
        <w:t>Kingston,</w:t>
      </w:r>
      <w:r>
        <w:rPr>
          <w:spacing w:val="6"/>
          <w:w w:val="105"/>
          <w:sz w:val="13"/>
        </w:rPr>
        <w:t> </w:t>
      </w:r>
      <w:r>
        <w:rPr>
          <w:i/>
          <w:w w:val="105"/>
          <w:sz w:val="13"/>
        </w:rPr>
        <w:t>Arboricultural</w:t>
      </w:r>
      <w:r>
        <w:rPr>
          <w:i/>
          <w:spacing w:val="5"/>
          <w:w w:val="105"/>
          <w:sz w:val="13"/>
        </w:rPr>
        <w:t> </w:t>
      </w:r>
      <w:r>
        <w:rPr>
          <w:i/>
          <w:w w:val="105"/>
          <w:sz w:val="13"/>
        </w:rPr>
        <w:t>Reporting</w:t>
      </w:r>
      <w:r>
        <w:rPr>
          <w:i/>
          <w:spacing w:val="6"/>
          <w:w w:val="105"/>
          <w:sz w:val="13"/>
        </w:rPr>
        <w:t> </w:t>
      </w:r>
      <w:r>
        <w:rPr>
          <w:i/>
          <w:w w:val="105"/>
          <w:sz w:val="13"/>
        </w:rPr>
        <w:t>Guidelines</w:t>
      </w:r>
      <w:r>
        <w:rPr>
          <w:i/>
          <w:spacing w:val="5"/>
          <w:w w:val="105"/>
          <w:sz w:val="13"/>
        </w:rPr>
        <w:t> </w:t>
      </w:r>
      <w:r>
        <w:rPr>
          <w:i/>
          <w:w w:val="105"/>
          <w:sz w:val="13"/>
        </w:rPr>
        <w:t>for</w:t>
      </w:r>
      <w:r>
        <w:rPr>
          <w:i/>
          <w:spacing w:val="6"/>
          <w:w w:val="105"/>
          <w:sz w:val="13"/>
        </w:rPr>
        <w:t> </w:t>
      </w:r>
      <w:r>
        <w:rPr>
          <w:i/>
          <w:w w:val="105"/>
          <w:sz w:val="13"/>
        </w:rPr>
        <w:t>Planning</w:t>
      </w:r>
      <w:r>
        <w:rPr>
          <w:i/>
          <w:spacing w:val="6"/>
          <w:w w:val="105"/>
          <w:sz w:val="13"/>
        </w:rPr>
        <w:t> </w:t>
      </w:r>
      <w:r>
        <w:rPr>
          <w:i/>
          <w:w w:val="105"/>
          <w:sz w:val="13"/>
        </w:rPr>
        <w:t>and</w:t>
      </w:r>
      <w:r>
        <w:rPr>
          <w:i/>
          <w:spacing w:val="5"/>
          <w:w w:val="105"/>
          <w:sz w:val="13"/>
        </w:rPr>
        <w:t> </w:t>
      </w:r>
      <w:r>
        <w:rPr>
          <w:i/>
          <w:w w:val="105"/>
          <w:sz w:val="13"/>
        </w:rPr>
        <w:t>Developments</w:t>
      </w:r>
      <w:r>
        <w:rPr>
          <w:i/>
          <w:spacing w:val="6"/>
          <w:w w:val="105"/>
          <w:sz w:val="13"/>
        </w:rPr>
        <w:t> </w:t>
      </w:r>
      <w:r>
        <w:rPr>
          <w:w w:val="105"/>
          <w:sz w:val="13"/>
        </w:rPr>
        <w:t>(25</w:t>
      </w:r>
      <w:r>
        <w:rPr>
          <w:spacing w:val="5"/>
          <w:w w:val="105"/>
          <w:sz w:val="13"/>
        </w:rPr>
        <w:t> </w:t>
      </w:r>
      <w:r>
        <w:rPr>
          <w:w w:val="105"/>
          <w:sz w:val="13"/>
        </w:rPr>
        <w:t>June</w:t>
      </w:r>
      <w:r>
        <w:rPr>
          <w:spacing w:val="6"/>
          <w:w w:val="105"/>
          <w:sz w:val="13"/>
        </w:rPr>
        <w:t> </w:t>
      </w:r>
      <w:r>
        <w:rPr>
          <w:w w:val="105"/>
          <w:sz w:val="13"/>
        </w:rPr>
        <w:t>2013)</w:t>
      </w:r>
      <w:r>
        <w:rPr>
          <w:spacing w:val="6"/>
          <w:w w:val="105"/>
          <w:sz w:val="13"/>
        </w:rPr>
        <w:t> </w:t>
      </w:r>
      <w:r>
        <w:rPr>
          <w:w w:val="105"/>
          <w:sz w:val="13"/>
        </w:rPr>
        <w:t>1</w:t>
      </w:r>
    </w:p>
    <w:p>
      <w:pPr>
        <w:spacing w:before="1"/>
        <w:ind w:left="2381" w:right="1701" w:firstLine="0"/>
        <w:jc w:val="left"/>
        <w:rPr>
          <w:sz w:val="13"/>
        </w:rPr>
      </w:pPr>
      <w:r>
        <w:rPr>
          <w:spacing w:val="2"/>
          <w:w w:val="105"/>
          <w:sz w:val="13"/>
        </w:rPr>
        <w:t>&lt;https://</w:t>
      </w:r>
      <w:hyperlink r:id="rId47">
        <w:r>
          <w:rPr>
            <w:spacing w:val="2"/>
            <w:w w:val="105"/>
            <w:sz w:val="13"/>
          </w:rPr>
          <w:t>www.kingston.vic.gov.au/Property-and-Development/Planning/Planning-Useful-Forms-and-Links</w:t>
        </w:r>
      </w:hyperlink>
      <w:r>
        <w:rPr>
          <w:spacing w:val="2"/>
          <w:w w:val="105"/>
          <w:sz w:val="13"/>
        </w:rPr>
        <w:t>&gt;; </w:t>
      </w:r>
      <w:r>
        <w:rPr>
          <w:w w:val="105"/>
          <w:sz w:val="13"/>
        </w:rPr>
        <w:t>see also City of Boroondara, </w:t>
      </w:r>
      <w:r>
        <w:rPr>
          <w:i/>
          <w:w w:val="105"/>
          <w:sz w:val="13"/>
        </w:rPr>
        <w:t>Arboricultural </w:t>
      </w:r>
      <w:r>
        <w:rPr>
          <w:i/>
          <w:spacing w:val="2"/>
          <w:w w:val="105"/>
          <w:sz w:val="13"/>
        </w:rPr>
        <w:t>Report </w:t>
      </w:r>
      <w:r>
        <w:rPr>
          <w:i/>
          <w:w w:val="105"/>
          <w:sz w:val="13"/>
        </w:rPr>
        <w:t>Writing Guide: Guide for the Preparation of Preliminary Arboricultural </w:t>
      </w:r>
      <w:r>
        <w:rPr>
          <w:i/>
          <w:spacing w:val="2"/>
          <w:w w:val="105"/>
          <w:sz w:val="13"/>
        </w:rPr>
        <w:t>Reports, </w:t>
      </w:r>
      <w:r>
        <w:rPr>
          <w:i/>
          <w:w w:val="105"/>
          <w:sz w:val="13"/>
        </w:rPr>
        <w:t>Arboricultural Impact Assessments,    </w:t>
      </w:r>
      <w:r>
        <w:rPr>
          <w:i/>
          <w:w w:val="105"/>
          <w:sz w:val="13"/>
        </w:rPr>
        <w:t>Root Investigation/ Mapping </w:t>
      </w:r>
      <w:r>
        <w:rPr>
          <w:i/>
          <w:spacing w:val="2"/>
          <w:w w:val="105"/>
          <w:sz w:val="13"/>
        </w:rPr>
        <w:t>Reports, </w:t>
      </w:r>
      <w:r>
        <w:rPr>
          <w:i/>
          <w:w w:val="105"/>
          <w:sz w:val="13"/>
        </w:rPr>
        <w:t>Tree Management and Protection Plans and Transplant Method Statements </w:t>
      </w:r>
      <w:r>
        <w:rPr>
          <w:w w:val="105"/>
          <w:sz w:val="13"/>
        </w:rPr>
        <w:t>(Guidelines, June 2017) 3; Consultations </w:t>
      </w:r>
      <w:r>
        <w:rPr>
          <w:spacing w:val="-6"/>
          <w:w w:val="105"/>
          <w:sz w:val="13"/>
        </w:rPr>
        <w:t>11 </w:t>
      </w:r>
      <w:r>
        <w:rPr>
          <w:spacing w:val="2"/>
          <w:w w:val="105"/>
          <w:sz w:val="13"/>
        </w:rPr>
        <w:t>(Land </w:t>
      </w:r>
      <w:r>
        <w:rPr>
          <w:w w:val="105"/>
          <w:sz w:val="13"/>
        </w:rPr>
        <w:t>and Environment Court of New South Wales); </w:t>
      </w:r>
      <w:r>
        <w:rPr>
          <w:spacing w:val="-4"/>
          <w:w w:val="105"/>
          <w:sz w:val="13"/>
        </w:rPr>
        <w:t>12 </w:t>
      </w:r>
      <w:r>
        <w:rPr>
          <w:w w:val="105"/>
          <w:sz w:val="13"/>
        </w:rPr>
        <w:t>(City of Port</w:t>
      </w:r>
      <w:r>
        <w:rPr>
          <w:spacing w:val="27"/>
          <w:w w:val="105"/>
          <w:sz w:val="13"/>
        </w:rPr>
        <w:t> </w:t>
      </w:r>
      <w:r>
        <w:rPr>
          <w:w w:val="105"/>
          <w:sz w:val="13"/>
        </w:rPr>
        <w:t>Phillip).</w:t>
      </w:r>
    </w:p>
    <w:p>
      <w:pPr>
        <w:pStyle w:val="ListParagraph"/>
        <w:numPr>
          <w:ilvl w:val="0"/>
          <w:numId w:val="22"/>
        </w:numPr>
        <w:tabs>
          <w:tab w:pos="2381" w:val="left" w:leader="none"/>
          <w:tab w:pos="2382" w:val="left" w:leader="none"/>
        </w:tabs>
        <w:spacing w:line="240" w:lineRule="auto" w:before="6" w:after="0"/>
        <w:ind w:left="2381" w:right="0" w:hanging="794"/>
        <w:jc w:val="left"/>
        <w:rPr>
          <w:sz w:val="13"/>
        </w:rPr>
      </w:pPr>
      <w:r>
        <w:rPr>
          <w:w w:val="105"/>
          <w:sz w:val="13"/>
        </w:rPr>
        <w:t>Consultations</w:t>
      </w:r>
      <w:r>
        <w:rPr>
          <w:spacing w:val="5"/>
          <w:w w:val="105"/>
          <w:sz w:val="13"/>
        </w:rPr>
        <w:t> </w:t>
      </w:r>
      <w:r>
        <w:rPr>
          <w:w w:val="105"/>
          <w:sz w:val="13"/>
        </w:rPr>
        <w:t>2</w:t>
      </w:r>
      <w:r>
        <w:rPr>
          <w:spacing w:val="5"/>
          <w:w w:val="105"/>
          <w:sz w:val="13"/>
        </w:rPr>
        <w:t> </w:t>
      </w:r>
      <w:r>
        <w:rPr>
          <w:spacing w:val="3"/>
          <w:w w:val="105"/>
          <w:sz w:val="13"/>
        </w:rPr>
        <w:t>(Dr</w:t>
      </w:r>
      <w:r>
        <w:rPr>
          <w:spacing w:val="5"/>
          <w:w w:val="105"/>
          <w:sz w:val="13"/>
        </w:rPr>
        <w:t> </w:t>
      </w:r>
      <w:r>
        <w:rPr>
          <w:w w:val="105"/>
          <w:sz w:val="13"/>
        </w:rPr>
        <w:t>Gregory</w:t>
      </w:r>
      <w:r>
        <w:rPr>
          <w:spacing w:val="5"/>
          <w:w w:val="105"/>
          <w:sz w:val="13"/>
        </w:rPr>
        <w:t> </w:t>
      </w:r>
      <w:r>
        <w:rPr>
          <w:w w:val="105"/>
          <w:sz w:val="13"/>
        </w:rPr>
        <w:t>Moore</w:t>
      </w:r>
      <w:r>
        <w:rPr>
          <w:spacing w:val="5"/>
          <w:w w:val="105"/>
          <w:sz w:val="13"/>
        </w:rPr>
        <w:t> </w:t>
      </w:r>
      <w:r>
        <w:rPr>
          <w:spacing w:val="2"/>
          <w:w w:val="105"/>
          <w:sz w:val="13"/>
        </w:rPr>
        <w:t>OAM),</w:t>
      </w:r>
      <w:r>
        <w:rPr>
          <w:spacing w:val="5"/>
          <w:w w:val="105"/>
          <w:sz w:val="13"/>
        </w:rPr>
        <w:t> </w:t>
      </w:r>
      <w:r>
        <w:rPr>
          <w:w w:val="105"/>
          <w:sz w:val="13"/>
        </w:rPr>
        <w:t>4</w:t>
      </w:r>
      <w:r>
        <w:rPr>
          <w:spacing w:val="6"/>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5"/>
          <w:w w:val="105"/>
          <w:sz w:val="13"/>
        </w:rPr>
        <w:t> </w:t>
      </w:r>
      <w:r>
        <w:rPr>
          <w:w w:val="105"/>
          <w:sz w:val="13"/>
        </w:rPr>
        <w:t>at</w:t>
      </w:r>
      <w:r>
        <w:rPr>
          <w:spacing w:val="5"/>
          <w:w w:val="105"/>
          <w:sz w:val="13"/>
        </w:rPr>
        <w:t> </w:t>
      </w:r>
      <w:r>
        <w:rPr>
          <w:spacing w:val="4"/>
          <w:w w:val="105"/>
          <w:sz w:val="13"/>
        </w:rPr>
        <w:t>VTIO</w:t>
      </w:r>
      <w:r>
        <w:rPr>
          <w:spacing w:val="6"/>
          <w:w w:val="105"/>
          <w:sz w:val="13"/>
        </w:rPr>
        <w:t> </w:t>
      </w:r>
      <w:r>
        <w:rPr>
          <w:w w:val="105"/>
          <w:sz w:val="13"/>
        </w:rPr>
        <w:t>ArborCamp2018).</w:t>
      </w:r>
    </w:p>
    <w:p>
      <w:pPr>
        <w:pStyle w:val="ListParagraph"/>
        <w:numPr>
          <w:ilvl w:val="0"/>
          <w:numId w:val="22"/>
        </w:numPr>
        <w:tabs>
          <w:tab w:pos="2381" w:val="left" w:leader="none"/>
          <w:tab w:pos="2382" w:val="left" w:leader="none"/>
        </w:tabs>
        <w:spacing w:line="240" w:lineRule="auto" w:before="1" w:after="0"/>
        <w:ind w:left="2381" w:right="0" w:hanging="794"/>
        <w:jc w:val="left"/>
        <w:rPr>
          <w:sz w:val="13"/>
        </w:rPr>
      </w:pPr>
      <w:r>
        <w:rPr>
          <w:w w:val="105"/>
          <w:sz w:val="13"/>
        </w:rPr>
        <w:t>Consultations</w:t>
      </w:r>
      <w:r>
        <w:rPr>
          <w:spacing w:val="4"/>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5"/>
          <w:w w:val="105"/>
          <w:sz w:val="13"/>
        </w:rPr>
        <w:t> </w:t>
      </w:r>
      <w:r>
        <w:rPr>
          <w:w w:val="105"/>
          <w:sz w:val="13"/>
        </w:rPr>
        <w:t>at</w:t>
      </w:r>
      <w:r>
        <w:rPr>
          <w:spacing w:val="5"/>
          <w:w w:val="105"/>
          <w:sz w:val="13"/>
        </w:rPr>
        <w:t> </w:t>
      </w:r>
      <w:r>
        <w:rPr>
          <w:spacing w:val="4"/>
          <w:w w:val="105"/>
          <w:sz w:val="13"/>
        </w:rPr>
        <w:t>VTIO</w:t>
      </w:r>
      <w:r>
        <w:rPr>
          <w:spacing w:val="5"/>
          <w:w w:val="105"/>
          <w:sz w:val="13"/>
        </w:rPr>
        <w:t> </w:t>
      </w:r>
      <w:r>
        <w:rPr>
          <w:w w:val="105"/>
          <w:sz w:val="13"/>
        </w:rPr>
        <w:t>ArborCamp2018),</w:t>
      </w:r>
      <w:r>
        <w:rPr>
          <w:spacing w:val="5"/>
          <w:w w:val="105"/>
          <w:sz w:val="13"/>
        </w:rPr>
        <w:t> </w:t>
      </w:r>
      <w:r>
        <w:rPr>
          <w:w w:val="105"/>
          <w:sz w:val="13"/>
        </w:rPr>
        <w:t>6</w:t>
      </w:r>
      <w:r>
        <w:rPr>
          <w:spacing w:val="5"/>
          <w:w w:val="105"/>
          <w:sz w:val="13"/>
        </w:rPr>
        <w:t> </w:t>
      </w:r>
      <w:r>
        <w:rPr>
          <w:spacing w:val="2"/>
          <w:w w:val="105"/>
          <w:sz w:val="13"/>
        </w:rPr>
        <w:t>(Ben</w:t>
      </w:r>
      <w:r>
        <w:rPr>
          <w:spacing w:val="5"/>
          <w:w w:val="105"/>
          <w:sz w:val="13"/>
        </w:rPr>
        <w:t> </w:t>
      </w:r>
      <w:r>
        <w:rPr>
          <w:w w:val="105"/>
          <w:sz w:val="13"/>
        </w:rPr>
        <w:t>Kenyon).</w:t>
      </w:r>
    </w:p>
    <w:p>
      <w:pPr>
        <w:pStyle w:val="ListParagraph"/>
        <w:numPr>
          <w:ilvl w:val="0"/>
          <w:numId w:val="22"/>
        </w:numPr>
        <w:tabs>
          <w:tab w:pos="2381" w:val="left" w:leader="none"/>
          <w:tab w:pos="2382" w:val="left" w:leader="none"/>
        </w:tabs>
        <w:spacing w:line="240" w:lineRule="auto" w:before="1" w:after="0"/>
        <w:ind w:left="2381" w:right="0" w:hanging="794"/>
        <w:jc w:val="left"/>
        <w:rPr>
          <w:sz w:val="13"/>
        </w:rPr>
      </w:pPr>
      <w:r>
        <w:rPr>
          <w:w w:val="105"/>
          <w:sz w:val="13"/>
        </w:rPr>
        <w:t>Consultations</w:t>
      </w:r>
      <w:r>
        <w:rPr>
          <w:spacing w:val="4"/>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4"/>
          <w:w w:val="105"/>
          <w:sz w:val="13"/>
        </w:rPr>
        <w:t> </w:t>
      </w:r>
      <w:r>
        <w:rPr>
          <w:w w:val="105"/>
          <w:sz w:val="13"/>
        </w:rPr>
        <w:t>at</w:t>
      </w:r>
      <w:r>
        <w:rPr>
          <w:spacing w:val="5"/>
          <w:w w:val="105"/>
          <w:sz w:val="13"/>
        </w:rPr>
        <w:t> </w:t>
      </w:r>
      <w:r>
        <w:rPr>
          <w:spacing w:val="4"/>
          <w:w w:val="105"/>
          <w:sz w:val="13"/>
        </w:rPr>
        <w:t>VTIO</w:t>
      </w:r>
      <w:r>
        <w:rPr>
          <w:spacing w:val="5"/>
          <w:w w:val="105"/>
          <w:sz w:val="13"/>
        </w:rPr>
        <w:t> </w:t>
      </w:r>
      <w:r>
        <w:rPr>
          <w:w w:val="105"/>
          <w:sz w:val="13"/>
        </w:rPr>
        <w:t>ArborCamp2018),</w:t>
      </w:r>
      <w:r>
        <w:rPr>
          <w:spacing w:val="5"/>
          <w:w w:val="105"/>
          <w:sz w:val="13"/>
        </w:rPr>
        <w:t> </w:t>
      </w:r>
      <w:r>
        <w:rPr>
          <w:spacing w:val="-3"/>
          <w:w w:val="105"/>
          <w:sz w:val="13"/>
        </w:rPr>
        <w:t>14</w:t>
      </w:r>
      <w:r>
        <w:rPr>
          <w:spacing w:val="5"/>
          <w:w w:val="105"/>
          <w:sz w:val="13"/>
        </w:rPr>
        <w:t> </w:t>
      </w:r>
      <w:r>
        <w:rPr>
          <w:spacing w:val="2"/>
          <w:w w:val="105"/>
          <w:sz w:val="13"/>
        </w:rPr>
        <w:t>(Robert</w:t>
      </w:r>
      <w:r>
        <w:rPr>
          <w:spacing w:val="4"/>
          <w:w w:val="105"/>
          <w:sz w:val="13"/>
        </w:rPr>
        <w:t> </w:t>
      </w:r>
      <w:r>
        <w:rPr>
          <w:spacing w:val="2"/>
          <w:w w:val="105"/>
          <w:sz w:val="13"/>
        </w:rPr>
        <w:t>Mineo).</w:t>
      </w:r>
    </w:p>
    <w:p>
      <w:pPr>
        <w:pStyle w:val="ListParagraph"/>
        <w:numPr>
          <w:ilvl w:val="0"/>
          <w:numId w:val="22"/>
        </w:numPr>
        <w:tabs>
          <w:tab w:pos="2381" w:val="left" w:leader="none"/>
          <w:tab w:pos="2382" w:val="left" w:leader="none"/>
        </w:tabs>
        <w:spacing w:line="240" w:lineRule="auto" w:before="2" w:after="0"/>
        <w:ind w:left="2381" w:right="0" w:hanging="794"/>
        <w:jc w:val="left"/>
        <w:rPr>
          <w:sz w:val="13"/>
        </w:rPr>
      </w:pPr>
      <w:r>
        <w:rPr/>
        <w:pict>
          <v:shape style="position:absolute;margin-left:548.930481pt;margin-top:3.048867pt;width:13.3pt;height:14.25pt;mso-position-horizontal-relative:page;mso-position-vertical-relative:paragraph;z-index:2584" type="#_x0000_t202" filled="false" stroked="false">
            <v:textbox inset="0,0,0,0">
              <w:txbxContent>
                <w:p>
                  <w:pPr>
                    <w:spacing w:line="284" w:lineRule="exact" w:before="0"/>
                    <w:ind w:left="0" w:right="0" w:firstLine="0"/>
                    <w:jc w:val="left"/>
                    <w:rPr>
                      <w:b/>
                      <w:sz w:val="24"/>
                    </w:rPr>
                  </w:pPr>
                  <w:r>
                    <w:rPr>
                      <w:b/>
                      <w:color w:val="658464"/>
                      <w:spacing w:val="-1"/>
                      <w:w w:val="110"/>
                      <w:sz w:val="24"/>
                    </w:rPr>
                    <w:t>23</w:t>
                  </w:r>
                </w:p>
              </w:txbxContent>
            </v:textbox>
            <w10:wrap type="none"/>
          </v:shape>
        </w:pict>
      </w:r>
      <w:r>
        <w:rPr>
          <w:w w:val="105"/>
          <w:sz w:val="13"/>
        </w:rPr>
        <w:t>Consultation 3 </w:t>
      </w:r>
      <w:r>
        <w:rPr>
          <w:spacing w:val="3"/>
          <w:w w:val="105"/>
          <w:sz w:val="13"/>
        </w:rPr>
        <w:t>(HVP</w:t>
      </w:r>
      <w:r>
        <w:rPr>
          <w:spacing w:val="13"/>
          <w:w w:val="105"/>
          <w:sz w:val="13"/>
        </w:rPr>
        <w:t> </w:t>
      </w:r>
      <w:r>
        <w:rPr>
          <w:w w:val="105"/>
          <w:sz w:val="13"/>
        </w:rPr>
        <w:t>Plantations).</w:t>
      </w:r>
    </w:p>
    <w:p>
      <w:pPr>
        <w:pStyle w:val="ListParagraph"/>
        <w:numPr>
          <w:ilvl w:val="0"/>
          <w:numId w:val="22"/>
        </w:numPr>
        <w:tabs>
          <w:tab w:pos="2381" w:val="left" w:leader="none"/>
          <w:tab w:pos="2382" w:val="left" w:leader="none"/>
        </w:tabs>
        <w:spacing w:line="240" w:lineRule="auto" w:before="1" w:after="0"/>
        <w:ind w:left="2381" w:right="0" w:hanging="794"/>
        <w:jc w:val="left"/>
        <w:rPr>
          <w:sz w:val="13"/>
        </w:rPr>
      </w:pPr>
      <w:r>
        <w:rPr>
          <w:w w:val="105"/>
          <w:sz w:val="13"/>
        </w:rPr>
        <w:t>Consultations</w:t>
      </w:r>
      <w:r>
        <w:rPr>
          <w:spacing w:val="4"/>
          <w:w w:val="105"/>
          <w:sz w:val="13"/>
        </w:rPr>
        <w:t> </w:t>
      </w:r>
      <w:r>
        <w:rPr>
          <w:w w:val="105"/>
          <w:sz w:val="13"/>
        </w:rPr>
        <w:t>9</w:t>
      </w:r>
      <w:r>
        <w:rPr>
          <w:spacing w:val="5"/>
          <w:w w:val="105"/>
          <w:sz w:val="13"/>
        </w:rPr>
        <w:t> </w:t>
      </w:r>
      <w:r>
        <w:rPr>
          <w:w w:val="105"/>
          <w:sz w:val="13"/>
        </w:rPr>
        <w:t>(Nillumbik</w:t>
      </w:r>
      <w:r>
        <w:rPr>
          <w:spacing w:val="5"/>
          <w:w w:val="105"/>
          <w:sz w:val="13"/>
        </w:rPr>
        <w:t> </w:t>
      </w:r>
      <w:r>
        <w:rPr>
          <w:w w:val="105"/>
          <w:sz w:val="13"/>
        </w:rPr>
        <w:t>Shire</w:t>
      </w:r>
      <w:r>
        <w:rPr>
          <w:spacing w:val="5"/>
          <w:w w:val="105"/>
          <w:sz w:val="13"/>
        </w:rPr>
        <w:t> </w:t>
      </w:r>
      <w:r>
        <w:rPr>
          <w:w w:val="105"/>
          <w:sz w:val="13"/>
        </w:rPr>
        <w:t>Council),</w:t>
      </w:r>
      <w:r>
        <w:rPr>
          <w:spacing w:val="5"/>
          <w:w w:val="105"/>
          <w:sz w:val="13"/>
        </w:rPr>
        <w:t> </w:t>
      </w:r>
      <w:r>
        <w:rPr>
          <w:w w:val="105"/>
          <w:sz w:val="13"/>
        </w:rPr>
        <w:t>10</w:t>
      </w:r>
      <w:r>
        <w:rPr>
          <w:spacing w:val="5"/>
          <w:w w:val="105"/>
          <w:sz w:val="13"/>
        </w:rPr>
        <w:t> </w:t>
      </w:r>
      <w:r>
        <w:rPr>
          <w:spacing w:val="2"/>
          <w:w w:val="105"/>
          <w:sz w:val="13"/>
        </w:rPr>
        <w:t>(Baw</w:t>
      </w:r>
      <w:r>
        <w:rPr>
          <w:spacing w:val="4"/>
          <w:w w:val="105"/>
          <w:sz w:val="13"/>
        </w:rPr>
        <w:t> </w:t>
      </w:r>
      <w:r>
        <w:rPr>
          <w:w w:val="105"/>
          <w:sz w:val="13"/>
        </w:rPr>
        <w:t>Baw</w:t>
      </w:r>
      <w:r>
        <w:rPr>
          <w:spacing w:val="5"/>
          <w:w w:val="105"/>
          <w:sz w:val="13"/>
        </w:rPr>
        <w:t> </w:t>
      </w:r>
      <w:r>
        <w:rPr>
          <w:w w:val="105"/>
          <w:sz w:val="13"/>
        </w:rPr>
        <w:t>Shire</w:t>
      </w:r>
      <w:r>
        <w:rPr>
          <w:spacing w:val="5"/>
          <w:w w:val="105"/>
          <w:sz w:val="13"/>
        </w:rPr>
        <w:t> </w:t>
      </w:r>
      <w:r>
        <w:rPr>
          <w:w w:val="105"/>
          <w:sz w:val="13"/>
        </w:rPr>
        <w:t>Council).</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16"/>
        </w:numPr>
        <w:tabs>
          <w:tab w:pos="2381" w:val="left" w:leader="none"/>
          <w:tab w:pos="2382" w:val="left" w:leader="none"/>
        </w:tabs>
        <w:spacing w:line="242" w:lineRule="auto" w:before="92" w:after="0"/>
        <w:ind w:left="2381" w:right="1693" w:hanging="794"/>
        <w:jc w:val="left"/>
        <w:rPr>
          <w:sz w:val="21"/>
        </w:rPr>
      </w:pPr>
      <w:bookmarkStart w:name="The Commission’s conclusion" w:id="51"/>
      <w:bookmarkEnd w:id="51"/>
      <w:r>
        <w:rPr/>
      </w:r>
      <w:bookmarkStart w:name="_bookmark19" w:id="52"/>
      <w:bookmarkEnd w:id="52"/>
      <w:r>
        <w:rPr/>
      </w:r>
      <w:bookmarkStart w:name="_bookmark19" w:id="53"/>
      <w:bookmarkEnd w:id="53"/>
      <w:r>
        <w:rPr>
          <w:spacing w:val="-3"/>
          <w:w w:val="105"/>
          <w:sz w:val="21"/>
        </w:rPr>
        <w:t>N</w:t>
      </w:r>
      <w:r>
        <w:rPr>
          <w:spacing w:val="-3"/>
          <w:w w:val="105"/>
          <w:sz w:val="21"/>
        </w:rPr>
        <w:t>illumbik Shire </w:t>
      </w:r>
      <w:r>
        <w:rPr>
          <w:spacing w:val="-4"/>
          <w:w w:val="105"/>
          <w:sz w:val="21"/>
        </w:rPr>
        <w:t>Council </w:t>
      </w:r>
      <w:r>
        <w:rPr>
          <w:w w:val="105"/>
          <w:sz w:val="21"/>
        </w:rPr>
        <w:t>stated </w:t>
      </w:r>
      <w:r>
        <w:rPr>
          <w:spacing w:val="-3"/>
          <w:w w:val="105"/>
          <w:sz w:val="21"/>
        </w:rPr>
        <w:t>that </w:t>
      </w:r>
      <w:r>
        <w:rPr>
          <w:w w:val="105"/>
          <w:sz w:val="21"/>
        </w:rPr>
        <w:t>the </w:t>
      </w:r>
      <w:r>
        <w:rPr>
          <w:spacing w:val="-3"/>
          <w:w w:val="105"/>
          <w:sz w:val="21"/>
        </w:rPr>
        <w:t>Nillumbik </w:t>
      </w:r>
      <w:r>
        <w:rPr>
          <w:w w:val="105"/>
          <w:sz w:val="21"/>
        </w:rPr>
        <w:t>community can be divided with respect </w:t>
      </w:r>
      <w:r>
        <w:rPr>
          <w:spacing w:val="-3"/>
          <w:w w:val="105"/>
          <w:sz w:val="21"/>
        </w:rPr>
        <w:t>to </w:t>
      </w:r>
      <w:r>
        <w:rPr>
          <w:w w:val="105"/>
          <w:sz w:val="21"/>
        </w:rPr>
        <w:t>the </w:t>
      </w:r>
      <w:r>
        <w:rPr>
          <w:spacing w:val="-3"/>
          <w:w w:val="105"/>
          <w:sz w:val="21"/>
        </w:rPr>
        <w:t>value </w:t>
      </w:r>
      <w:r>
        <w:rPr>
          <w:spacing w:val="-2"/>
          <w:w w:val="105"/>
          <w:sz w:val="21"/>
        </w:rPr>
        <w:t>placed </w:t>
      </w:r>
      <w:r>
        <w:rPr>
          <w:w w:val="105"/>
          <w:sz w:val="21"/>
        </w:rPr>
        <w:t>on vegetation—those who </w:t>
      </w:r>
      <w:r>
        <w:rPr>
          <w:spacing w:val="-3"/>
          <w:w w:val="105"/>
          <w:sz w:val="21"/>
        </w:rPr>
        <w:t>want to maintain </w:t>
      </w:r>
      <w:r>
        <w:rPr>
          <w:w w:val="105"/>
          <w:sz w:val="21"/>
        </w:rPr>
        <w:t>vegetation and enjoy </w:t>
      </w:r>
      <w:r>
        <w:rPr>
          <w:spacing w:val="-3"/>
          <w:w w:val="105"/>
          <w:sz w:val="21"/>
        </w:rPr>
        <w:t>living </w:t>
      </w:r>
      <w:r>
        <w:rPr>
          <w:w w:val="105"/>
          <w:sz w:val="21"/>
        </w:rPr>
        <w:t>in a green </w:t>
      </w:r>
      <w:r>
        <w:rPr>
          <w:spacing w:val="-4"/>
          <w:w w:val="105"/>
          <w:sz w:val="21"/>
        </w:rPr>
        <w:t>wedge</w:t>
      </w:r>
      <w:r>
        <w:rPr>
          <w:spacing w:val="-4"/>
          <w:w w:val="105"/>
          <w:position w:val="7"/>
          <w:sz w:val="12"/>
        </w:rPr>
        <w:t>195 </w:t>
      </w:r>
      <w:r>
        <w:rPr>
          <w:w w:val="105"/>
          <w:sz w:val="21"/>
        </w:rPr>
        <w:t>versus those who </w:t>
      </w:r>
      <w:r>
        <w:rPr>
          <w:spacing w:val="-3"/>
          <w:w w:val="105"/>
          <w:sz w:val="21"/>
        </w:rPr>
        <w:t>are risk-averse </w:t>
      </w:r>
      <w:r>
        <w:rPr>
          <w:w w:val="105"/>
          <w:sz w:val="21"/>
        </w:rPr>
        <w:t>and </w:t>
      </w:r>
      <w:r>
        <w:rPr>
          <w:spacing w:val="-3"/>
          <w:w w:val="105"/>
          <w:sz w:val="21"/>
        </w:rPr>
        <w:t>want </w:t>
      </w:r>
      <w:r>
        <w:rPr>
          <w:w w:val="105"/>
          <w:sz w:val="21"/>
        </w:rPr>
        <w:t>vegetation</w:t>
      </w:r>
      <w:r>
        <w:rPr>
          <w:spacing w:val="-37"/>
          <w:w w:val="105"/>
          <w:sz w:val="21"/>
        </w:rPr>
        <w:t> </w:t>
      </w:r>
      <w:r>
        <w:rPr>
          <w:w w:val="105"/>
          <w:sz w:val="21"/>
        </w:rPr>
        <w:t>removed </w:t>
      </w:r>
      <w:r>
        <w:rPr>
          <w:spacing w:val="-3"/>
          <w:w w:val="105"/>
          <w:sz w:val="21"/>
        </w:rPr>
        <w:t>to reduce </w:t>
      </w:r>
      <w:r>
        <w:rPr>
          <w:w w:val="105"/>
          <w:sz w:val="21"/>
        </w:rPr>
        <w:t>the risk of </w:t>
      </w:r>
      <w:r>
        <w:rPr>
          <w:spacing w:val="-3"/>
          <w:w w:val="105"/>
          <w:sz w:val="21"/>
        </w:rPr>
        <w:t>bushfire </w:t>
      </w:r>
      <w:r>
        <w:rPr>
          <w:w w:val="105"/>
          <w:sz w:val="21"/>
        </w:rPr>
        <w:t>or </w:t>
      </w:r>
      <w:r>
        <w:rPr>
          <w:spacing w:val="-3"/>
          <w:w w:val="105"/>
          <w:sz w:val="21"/>
        </w:rPr>
        <w:t>for </w:t>
      </w:r>
      <w:r>
        <w:rPr>
          <w:w w:val="105"/>
          <w:sz w:val="21"/>
        </w:rPr>
        <w:t>other </w:t>
      </w:r>
      <w:r>
        <w:rPr>
          <w:spacing w:val="-4"/>
          <w:w w:val="105"/>
          <w:sz w:val="21"/>
        </w:rPr>
        <w:t>reasons.</w:t>
      </w:r>
      <w:r>
        <w:rPr>
          <w:spacing w:val="-4"/>
          <w:w w:val="105"/>
          <w:position w:val="7"/>
          <w:sz w:val="12"/>
        </w:rPr>
        <w:t>196 </w:t>
      </w:r>
      <w:r>
        <w:rPr>
          <w:w w:val="105"/>
          <w:sz w:val="21"/>
        </w:rPr>
        <w:t>Baw Baw </w:t>
      </w:r>
      <w:r>
        <w:rPr>
          <w:spacing w:val="-3"/>
          <w:w w:val="105"/>
          <w:sz w:val="21"/>
        </w:rPr>
        <w:t>Shire </w:t>
      </w:r>
      <w:r>
        <w:rPr>
          <w:spacing w:val="-4"/>
          <w:w w:val="105"/>
          <w:sz w:val="21"/>
        </w:rPr>
        <w:t>Council </w:t>
      </w:r>
      <w:r>
        <w:rPr>
          <w:w w:val="105"/>
          <w:sz w:val="21"/>
        </w:rPr>
        <w:t>also stated </w:t>
      </w:r>
      <w:r>
        <w:rPr>
          <w:spacing w:val="-3"/>
          <w:w w:val="105"/>
          <w:sz w:val="21"/>
        </w:rPr>
        <w:t>that </w:t>
      </w:r>
      <w:r>
        <w:rPr>
          <w:w w:val="105"/>
          <w:sz w:val="21"/>
        </w:rPr>
        <w:t>its community can be divided about the </w:t>
      </w:r>
      <w:r>
        <w:rPr>
          <w:spacing w:val="-3"/>
          <w:w w:val="105"/>
          <w:sz w:val="21"/>
        </w:rPr>
        <w:t>value </w:t>
      </w:r>
      <w:r>
        <w:rPr>
          <w:spacing w:val="-2"/>
          <w:w w:val="105"/>
          <w:sz w:val="21"/>
        </w:rPr>
        <w:t>placed </w:t>
      </w:r>
      <w:r>
        <w:rPr>
          <w:w w:val="105"/>
          <w:sz w:val="21"/>
        </w:rPr>
        <w:t>on</w:t>
      </w:r>
      <w:r>
        <w:rPr>
          <w:spacing w:val="33"/>
          <w:w w:val="105"/>
          <w:sz w:val="21"/>
        </w:rPr>
        <w:t> </w:t>
      </w:r>
      <w:r>
        <w:rPr>
          <w:spacing w:val="-4"/>
          <w:w w:val="105"/>
          <w:sz w:val="21"/>
        </w:rPr>
        <w:t>vegetation.</w:t>
      </w:r>
      <w:r>
        <w:rPr>
          <w:spacing w:val="-4"/>
          <w:w w:val="105"/>
          <w:position w:val="7"/>
          <w:sz w:val="12"/>
        </w:rPr>
        <w:t>197</w:t>
      </w:r>
    </w:p>
    <w:p>
      <w:pPr>
        <w:pStyle w:val="BodyText"/>
        <w:rPr>
          <w:sz w:val="22"/>
        </w:rPr>
      </w:pPr>
    </w:p>
    <w:p>
      <w:pPr>
        <w:pStyle w:val="Heading4"/>
      </w:pPr>
      <w:r>
        <w:rPr>
          <w:color w:val="658464"/>
          <w:w w:val="110"/>
        </w:rPr>
        <w:t>The Commission’s conclusion</w:t>
      </w:r>
    </w:p>
    <w:p>
      <w:pPr>
        <w:pStyle w:val="ListParagraph"/>
        <w:numPr>
          <w:ilvl w:val="1"/>
          <w:numId w:val="16"/>
        </w:numPr>
        <w:tabs>
          <w:tab w:pos="2380" w:val="left" w:leader="none"/>
          <w:tab w:pos="2381" w:val="left" w:leader="none"/>
        </w:tabs>
        <w:spacing w:line="242" w:lineRule="auto" w:before="155" w:after="0"/>
        <w:ind w:left="2381" w:right="1605" w:hanging="794"/>
        <w:jc w:val="left"/>
        <w:rPr>
          <w:sz w:val="21"/>
        </w:rPr>
      </w:pPr>
      <w:r>
        <w:rPr>
          <w:spacing w:val="-5"/>
          <w:w w:val="105"/>
          <w:sz w:val="21"/>
        </w:rPr>
        <w:t>Tree </w:t>
      </w:r>
      <w:r>
        <w:rPr>
          <w:spacing w:val="-3"/>
          <w:w w:val="105"/>
          <w:sz w:val="21"/>
        </w:rPr>
        <w:t>disputes </w:t>
      </w:r>
      <w:r>
        <w:rPr>
          <w:w w:val="105"/>
          <w:sz w:val="21"/>
        </w:rPr>
        <w:t>in the Victorian community </w:t>
      </w:r>
      <w:r>
        <w:rPr>
          <w:spacing w:val="-3"/>
          <w:w w:val="105"/>
          <w:sz w:val="21"/>
        </w:rPr>
        <w:t>are common. </w:t>
      </w:r>
      <w:r>
        <w:rPr>
          <w:w w:val="105"/>
          <w:sz w:val="21"/>
        </w:rPr>
        <w:t>They </w:t>
      </w:r>
      <w:r>
        <w:rPr>
          <w:spacing w:val="-3"/>
          <w:w w:val="105"/>
          <w:sz w:val="21"/>
        </w:rPr>
        <w:t>are </w:t>
      </w:r>
      <w:r>
        <w:rPr>
          <w:w w:val="105"/>
          <w:sz w:val="21"/>
        </w:rPr>
        <w:t>driven by factors </w:t>
      </w:r>
      <w:r>
        <w:rPr>
          <w:spacing w:val="-3"/>
          <w:w w:val="105"/>
          <w:sz w:val="21"/>
        </w:rPr>
        <w:t>such </w:t>
      </w:r>
      <w:r>
        <w:rPr>
          <w:w w:val="105"/>
          <w:sz w:val="21"/>
        </w:rPr>
        <w:t>as a lack of knowledge about trees, a </w:t>
      </w:r>
      <w:r>
        <w:rPr>
          <w:spacing w:val="-3"/>
          <w:w w:val="105"/>
          <w:sz w:val="21"/>
        </w:rPr>
        <w:t>breakdown </w:t>
      </w:r>
      <w:r>
        <w:rPr>
          <w:w w:val="105"/>
          <w:sz w:val="21"/>
        </w:rPr>
        <w:t>in </w:t>
      </w:r>
      <w:r>
        <w:rPr>
          <w:spacing w:val="-3"/>
          <w:w w:val="105"/>
          <w:sz w:val="21"/>
        </w:rPr>
        <w:t>communication </w:t>
      </w:r>
      <w:r>
        <w:rPr>
          <w:w w:val="105"/>
          <w:sz w:val="21"/>
        </w:rPr>
        <w:t>between neighbours, </w:t>
      </w:r>
      <w:r>
        <w:rPr>
          <w:spacing w:val="-3"/>
          <w:w w:val="105"/>
          <w:sz w:val="21"/>
        </w:rPr>
        <w:t>different</w:t>
      </w:r>
      <w:r>
        <w:rPr>
          <w:spacing w:val="-8"/>
          <w:w w:val="105"/>
          <w:sz w:val="21"/>
        </w:rPr>
        <w:t> </w:t>
      </w:r>
      <w:r>
        <w:rPr>
          <w:w w:val="105"/>
          <w:sz w:val="21"/>
        </w:rPr>
        <w:t>expectations</w:t>
      </w:r>
      <w:r>
        <w:rPr>
          <w:spacing w:val="-8"/>
          <w:w w:val="105"/>
          <w:sz w:val="21"/>
        </w:rPr>
        <w:t> </w:t>
      </w:r>
      <w:r>
        <w:rPr>
          <w:w w:val="105"/>
          <w:sz w:val="21"/>
        </w:rPr>
        <w:t>about</w:t>
      </w:r>
      <w:r>
        <w:rPr>
          <w:spacing w:val="-8"/>
          <w:w w:val="105"/>
          <w:sz w:val="21"/>
        </w:rPr>
        <w:t> </w:t>
      </w:r>
      <w:r>
        <w:rPr>
          <w:spacing w:val="-3"/>
          <w:w w:val="105"/>
          <w:sz w:val="21"/>
        </w:rPr>
        <w:t>living</w:t>
      </w:r>
      <w:r>
        <w:rPr>
          <w:spacing w:val="-7"/>
          <w:w w:val="105"/>
          <w:sz w:val="21"/>
        </w:rPr>
        <w:t> </w:t>
      </w:r>
      <w:r>
        <w:rPr>
          <w:w w:val="105"/>
          <w:sz w:val="21"/>
        </w:rPr>
        <w:t>near</w:t>
      </w:r>
      <w:r>
        <w:rPr>
          <w:spacing w:val="-8"/>
          <w:w w:val="105"/>
          <w:sz w:val="21"/>
        </w:rPr>
        <w:t> </w:t>
      </w:r>
      <w:r>
        <w:rPr>
          <w:w w:val="105"/>
          <w:sz w:val="21"/>
        </w:rPr>
        <w:t>trees,</w:t>
      </w:r>
      <w:r>
        <w:rPr>
          <w:spacing w:val="-8"/>
          <w:w w:val="105"/>
          <w:sz w:val="21"/>
        </w:rPr>
        <w:t> </w:t>
      </w:r>
      <w:r>
        <w:rPr>
          <w:w w:val="105"/>
          <w:sz w:val="21"/>
        </w:rPr>
        <w:t>as</w:t>
      </w:r>
      <w:r>
        <w:rPr>
          <w:spacing w:val="-8"/>
          <w:w w:val="105"/>
          <w:sz w:val="21"/>
        </w:rPr>
        <w:t> </w:t>
      </w:r>
      <w:r>
        <w:rPr>
          <w:spacing w:val="-3"/>
          <w:w w:val="105"/>
          <w:sz w:val="21"/>
        </w:rPr>
        <w:t>well</w:t>
      </w:r>
      <w:r>
        <w:rPr>
          <w:spacing w:val="-7"/>
          <w:w w:val="105"/>
          <w:sz w:val="21"/>
        </w:rPr>
        <w:t> </w:t>
      </w:r>
      <w:r>
        <w:rPr>
          <w:spacing w:val="-3"/>
          <w:w w:val="105"/>
          <w:sz w:val="21"/>
        </w:rPr>
        <w:t>people’s</w:t>
      </w:r>
      <w:r>
        <w:rPr>
          <w:spacing w:val="-8"/>
          <w:w w:val="105"/>
          <w:sz w:val="21"/>
        </w:rPr>
        <w:t> </w:t>
      </w:r>
      <w:r>
        <w:rPr>
          <w:spacing w:val="-3"/>
          <w:w w:val="105"/>
          <w:sz w:val="21"/>
        </w:rPr>
        <w:t>different</w:t>
      </w:r>
      <w:r>
        <w:rPr>
          <w:spacing w:val="-8"/>
          <w:w w:val="105"/>
          <w:sz w:val="21"/>
        </w:rPr>
        <w:t> </w:t>
      </w:r>
      <w:r>
        <w:rPr>
          <w:spacing w:val="-3"/>
          <w:w w:val="105"/>
          <w:sz w:val="21"/>
        </w:rPr>
        <w:t>circumstances</w:t>
      </w:r>
      <w:r>
        <w:rPr>
          <w:spacing w:val="-7"/>
          <w:w w:val="105"/>
          <w:sz w:val="21"/>
        </w:rPr>
        <w:t> </w:t>
      </w:r>
      <w:r>
        <w:rPr>
          <w:w w:val="105"/>
          <w:sz w:val="21"/>
        </w:rPr>
        <w:t>and a </w:t>
      </w:r>
      <w:r>
        <w:rPr>
          <w:spacing w:val="-4"/>
          <w:w w:val="105"/>
          <w:sz w:val="21"/>
        </w:rPr>
        <w:t>failure </w:t>
      </w:r>
      <w:r>
        <w:rPr>
          <w:spacing w:val="-3"/>
          <w:w w:val="105"/>
          <w:sz w:val="21"/>
        </w:rPr>
        <w:t>to </w:t>
      </w:r>
      <w:r>
        <w:rPr>
          <w:w w:val="105"/>
          <w:sz w:val="21"/>
        </w:rPr>
        <w:t>obtain timely </w:t>
      </w:r>
      <w:r>
        <w:rPr>
          <w:spacing w:val="-3"/>
          <w:w w:val="105"/>
          <w:sz w:val="21"/>
        </w:rPr>
        <w:t>professional</w:t>
      </w:r>
      <w:r>
        <w:rPr>
          <w:spacing w:val="33"/>
          <w:w w:val="105"/>
          <w:sz w:val="21"/>
        </w:rPr>
        <w:t> </w:t>
      </w:r>
      <w:r>
        <w:rPr>
          <w:spacing w:val="-3"/>
          <w:w w:val="105"/>
          <w:sz w:val="21"/>
        </w:rPr>
        <w:t>advice.</w:t>
      </w:r>
    </w:p>
    <w:p>
      <w:pPr>
        <w:pStyle w:val="ListParagraph"/>
        <w:numPr>
          <w:ilvl w:val="1"/>
          <w:numId w:val="16"/>
        </w:numPr>
        <w:tabs>
          <w:tab w:pos="2380" w:val="left" w:leader="none"/>
          <w:tab w:pos="2381" w:val="left" w:leader="none"/>
        </w:tabs>
        <w:spacing w:line="242" w:lineRule="auto" w:before="124" w:after="0"/>
        <w:ind w:left="2380" w:right="1585" w:hanging="793"/>
        <w:jc w:val="left"/>
        <w:rPr>
          <w:sz w:val="21"/>
        </w:rPr>
      </w:pPr>
      <w:r>
        <w:rPr>
          <w:sz w:val="21"/>
        </w:rPr>
        <w:t>The most </w:t>
      </w:r>
      <w:r>
        <w:rPr>
          <w:spacing w:val="-2"/>
          <w:sz w:val="21"/>
        </w:rPr>
        <w:t>common </w:t>
      </w:r>
      <w:r>
        <w:rPr>
          <w:sz w:val="21"/>
        </w:rPr>
        <w:t>types of tree </w:t>
      </w:r>
      <w:r>
        <w:rPr>
          <w:spacing w:val="-3"/>
          <w:sz w:val="21"/>
        </w:rPr>
        <w:t>dispute involve overhanging branches, encroaching  </w:t>
      </w:r>
      <w:r>
        <w:rPr>
          <w:sz w:val="21"/>
        </w:rPr>
        <w:t>roots  and </w:t>
      </w:r>
      <w:r>
        <w:rPr>
          <w:spacing w:val="-3"/>
          <w:sz w:val="21"/>
        </w:rPr>
        <w:t>concerns </w:t>
      </w:r>
      <w:r>
        <w:rPr>
          <w:sz w:val="21"/>
        </w:rPr>
        <w:t>about the risks posed by large trees. </w:t>
      </w:r>
      <w:r>
        <w:rPr>
          <w:spacing w:val="-5"/>
          <w:sz w:val="21"/>
        </w:rPr>
        <w:t>Tree </w:t>
      </w:r>
      <w:r>
        <w:rPr>
          <w:spacing w:val="-3"/>
          <w:sz w:val="21"/>
        </w:rPr>
        <w:t>disputes  </w:t>
      </w:r>
      <w:r>
        <w:rPr>
          <w:sz w:val="21"/>
        </w:rPr>
        <w:t>can encompass a wide  </w:t>
      </w:r>
      <w:r>
        <w:rPr>
          <w:spacing w:val="-3"/>
          <w:sz w:val="21"/>
        </w:rPr>
        <w:t>range </w:t>
      </w:r>
      <w:r>
        <w:rPr>
          <w:sz w:val="21"/>
        </w:rPr>
        <w:t>of issues. They can </w:t>
      </w:r>
      <w:r>
        <w:rPr>
          <w:spacing w:val="-3"/>
          <w:sz w:val="21"/>
        </w:rPr>
        <w:t>have </w:t>
      </w:r>
      <w:r>
        <w:rPr>
          <w:sz w:val="21"/>
        </w:rPr>
        <w:t>a negative impact on </w:t>
      </w:r>
      <w:r>
        <w:rPr>
          <w:spacing w:val="-3"/>
          <w:sz w:val="21"/>
        </w:rPr>
        <w:t>people’s relationships </w:t>
      </w:r>
      <w:r>
        <w:rPr>
          <w:sz w:val="21"/>
        </w:rPr>
        <w:t>with their neighbours, </w:t>
      </w:r>
      <w:r>
        <w:rPr>
          <w:spacing w:val="-3"/>
          <w:sz w:val="21"/>
        </w:rPr>
        <w:t>may </w:t>
      </w:r>
      <w:r>
        <w:rPr>
          <w:sz w:val="21"/>
        </w:rPr>
        <w:t>cause them </w:t>
      </w:r>
      <w:r>
        <w:rPr>
          <w:spacing w:val="-3"/>
          <w:sz w:val="21"/>
        </w:rPr>
        <w:t>to incur significant </w:t>
      </w:r>
      <w:r>
        <w:rPr>
          <w:sz w:val="21"/>
        </w:rPr>
        <w:t>costs which </w:t>
      </w:r>
      <w:r>
        <w:rPr>
          <w:spacing w:val="-3"/>
          <w:sz w:val="21"/>
        </w:rPr>
        <w:t>are hard  to  </w:t>
      </w:r>
      <w:r>
        <w:rPr>
          <w:spacing w:val="-4"/>
          <w:sz w:val="21"/>
        </w:rPr>
        <w:t>recover,  </w:t>
      </w:r>
      <w:r>
        <w:rPr>
          <w:sz w:val="21"/>
        </w:rPr>
        <w:t>and can </w:t>
      </w:r>
      <w:r>
        <w:rPr>
          <w:spacing w:val="-3"/>
          <w:sz w:val="21"/>
        </w:rPr>
        <w:t>take </w:t>
      </w:r>
      <w:r>
        <w:rPr>
          <w:sz w:val="21"/>
        </w:rPr>
        <w:t>an </w:t>
      </w:r>
      <w:r>
        <w:rPr>
          <w:spacing w:val="-3"/>
          <w:sz w:val="21"/>
        </w:rPr>
        <w:t>emotional toll. </w:t>
      </w:r>
      <w:r>
        <w:rPr>
          <w:sz w:val="21"/>
        </w:rPr>
        <w:t>The </w:t>
      </w:r>
      <w:r>
        <w:rPr>
          <w:spacing w:val="-3"/>
          <w:sz w:val="21"/>
        </w:rPr>
        <w:t>nature </w:t>
      </w:r>
      <w:r>
        <w:rPr>
          <w:sz w:val="21"/>
        </w:rPr>
        <w:t>of tree </w:t>
      </w:r>
      <w:r>
        <w:rPr>
          <w:spacing w:val="-3"/>
          <w:sz w:val="21"/>
        </w:rPr>
        <w:t>disputes  makes  quick  </w:t>
      </w:r>
      <w:r>
        <w:rPr>
          <w:sz w:val="21"/>
        </w:rPr>
        <w:t>resolution </w:t>
      </w:r>
      <w:r>
        <w:rPr>
          <w:spacing w:val="-3"/>
          <w:sz w:val="21"/>
        </w:rPr>
        <w:t>desirable.</w:t>
      </w:r>
      <w:r>
        <w:rPr>
          <w:spacing w:val="41"/>
          <w:sz w:val="21"/>
        </w:rPr>
        <w:t> </w:t>
      </w:r>
      <w:r>
        <w:rPr>
          <w:sz w:val="21"/>
        </w:rPr>
        <w:t>The next </w:t>
      </w:r>
      <w:r>
        <w:rPr>
          <w:spacing w:val="-3"/>
          <w:sz w:val="21"/>
        </w:rPr>
        <w:t>chapter </w:t>
      </w:r>
      <w:r>
        <w:rPr>
          <w:sz w:val="21"/>
        </w:rPr>
        <w:t>considers the </w:t>
      </w:r>
      <w:r>
        <w:rPr>
          <w:spacing w:val="-3"/>
          <w:sz w:val="21"/>
        </w:rPr>
        <w:t>limitations </w:t>
      </w:r>
      <w:r>
        <w:rPr>
          <w:sz w:val="21"/>
        </w:rPr>
        <w:t>of the </w:t>
      </w:r>
      <w:r>
        <w:rPr>
          <w:spacing w:val="-3"/>
          <w:sz w:val="21"/>
        </w:rPr>
        <w:t>current </w:t>
      </w:r>
      <w:r>
        <w:rPr>
          <w:sz w:val="21"/>
        </w:rPr>
        <w:t>law in assisting people </w:t>
      </w:r>
      <w:r>
        <w:rPr>
          <w:spacing w:val="-3"/>
          <w:sz w:val="21"/>
        </w:rPr>
        <w:t>to </w:t>
      </w:r>
      <w:r>
        <w:rPr>
          <w:sz w:val="21"/>
        </w:rPr>
        <w:t>resolve their </w:t>
      </w:r>
      <w:r>
        <w:rPr>
          <w:spacing w:val="-3"/>
          <w:sz w:val="21"/>
        </w:rPr>
        <w:t>disputes </w:t>
      </w:r>
      <w:r>
        <w:rPr>
          <w:sz w:val="21"/>
        </w:rPr>
        <w:t>and the underlying </w:t>
      </w:r>
      <w:r>
        <w:rPr>
          <w:spacing w:val="-3"/>
          <w:sz w:val="21"/>
        </w:rPr>
        <w:t>reasons for</w:t>
      </w:r>
      <w:r>
        <w:rPr>
          <w:spacing w:val="17"/>
          <w:sz w:val="21"/>
        </w:rPr>
        <w:t> </w:t>
      </w:r>
      <w:r>
        <w:rPr>
          <w:spacing w:val="-3"/>
          <w:sz w:val="21"/>
        </w:rPr>
        <w:t>reform.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r>
        <w:rPr/>
        <w:pict>
          <v:line style="position:absolute;mso-position-horizontal-relative:page;mso-position-vertical-relative:paragraph;z-index:560;mso-wrap-distance-left:0;mso-wrap-distance-right:0" from="79.370102pt,16.022051pt" to="515.905102pt,16.022051pt" stroked="true" strokeweight="1pt" strokecolor="#c9d2cb">
            <v:stroke dashstyle="solid"/>
            <w10:wrap type="topAndBottom"/>
          </v:line>
        </w:pict>
      </w:r>
    </w:p>
    <w:p>
      <w:pPr>
        <w:pStyle w:val="ListParagraph"/>
        <w:numPr>
          <w:ilvl w:val="0"/>
          <w:numId w:val="22"/>
        </w:numPr>
        <w:tabs>
          <w:tab w:pos="2380" w:val="left" w:leader="none"/>
          <w:tab w:pos="2382" w:val="left" w:leader="none"/>
        </w:tabs>
        <w:spacing w:line="240" w:lineRule="auto" w:before="117" w:after="0"/>
        <w:ind w:left="2381" w:right="1649" w:hanging="794"/>
        <w:jc w:val="left"/>
        <w:rPr>
          <w:sz w:val="13"/>
        </w:rPr>
      </w:pPr>
      <w:r>
        <w:rPr>
          <w:w w:val="105"/>
          <w:sz w:val="13"/>
        </w:rPr>
        <w:t>See </w:t>
      </w:r>
      <w:r>
        <w:rPr>
          <w:i/>
          <w:w w:val="105"/>
          <w:sz w:val="13"/>
        </w:rPr>
        <w:t>Planning and Environment Act 1987 </w:t>
      </w:r>
      <w:r>
        <w:rPr>
          <w:spacing w:val="2"/>
          <w:w w:val="105"/>
          <w:sz w:val="13"/>
        </w:rPr>
        <w:t>(Vic) </w:t>
      </w:r>
      <w:r>
        <w:rPr>
          <w:w w:val="105"/>
          <w:sz w:val="13"/>
        </w:rPr>
        <w:t>s 46AC. </w:t>
      </w:r>
      <w:r>
        <w:rPr>
          <w:spacing w:val="2"/>
          <w:w w:val="105"/>
          <w:sz w:val="13"/>
        </w:rPr>
        <w:t>Non-urban </w:t>
      </w:r>
      <w:r>
        <w:rPr>
          <w:w w:val="105"/>
          <w:sz w:val="13"/>
        </w:rPr>
        <w:t>areas of metropolitan Melbourne that lie outside the Urban Growth Boundary are known as green wedges: Department of Environment Water Land and Planning, </w:t>
      </w:r>
      <w:r>
        <w:rPr>
          <w:i/>
          <w:w w:val="105"/>
          <w:sz w:val="13"/>
        </w:rPr>
        <w:t>What are Green Wedges </w:t>
      </w:r>
      <w:r>
        <w:rPr>
          <w:w w:val="105"/>
          <w:sz w:val="13"/>
        </w:rPr>
        <w:t>(Web Page, 5 April 2019)</w:t>
      </w:r>
      <w:r>
        <w:rPr>
          <w:spacing w:val="4"/>
          <w:w w:val="105"/>
          <w:sz w:val="13"/>
        </w:rPr>
        <w:t> </w:t>
      </w:r>
      <w:r>
        <w:rPr>
          <w:spacing w:val="2"/>
          <w:w w:val="105"/>
          <w:sz w:val="13"/>
        </w:rPr>
        <w:t>&lt;https://</w:t>
      </w:r>
      <w:hyperlink r:id="rId48">
        <w:r>
          <w:rPr>
            <w:spacing w:val="2"/>
            <w:w w:val="105"/>
            <w:sz w:val="13"/>
          </w:rPr>
          <w:t>www.planning.vic.gov.au/policy-and-strategy/green-wedges</w:t>
        </w:r>
      </w:hyperlink>
      <w:r>
        <w:rPr>
          <w:spacing w:val="2"/>
          <w:w w:val="105"/>
          <w:sz w:val="13"/>
        </w:rPr>
        <w:t>&gt;.</w:t>
      </w:r>
    </w:p>
    <w:p>
      <w:pPr>
        <w:pStyle w:val="ListParagraph"/>
        <w:numPr>
          <w:ilvl w:val="0"/>
          <w:numId w:val="22"/>
        </w:numPr>
        <w:tabs>
          <w:tab w:pos="2380" w:val="left" w:leader="none"/>
          <w:tab w:pos="2382" w:val="left" w:leader="none"/>
        </w:tabs>
        <w:spacing w:line="240" w:lineRule="auto" w:before="4" w:after="0"/>
        <w:ind w:left="2381" w:right="0" w:hanging="794"/>
        <w:jc w:val="left"/>
        <w:rPr>
          <w:sz w:val="13"/>
        </w:rPr>
      </w:pPr>
      <w:r>
        <w:rPr/>
        <w:pict>
          <v:shape style="position:absolute;margin-left:36pt;margin-top:3.164766pt;width:13.4pt;height:14.25pt;mso-position-horizontal-relative:page;mso-position-vertical-relative:paragraph;z-index:2632" type="#_x0000_t202" filled="false" stroked="false">
            <v:textbox inset="0,0,0,0">
              <w:txbxContent>
                <w:p>
                  <w:pPr>
                    <w:spacing w:line="284" w:lineRule="exact" w:before="0"/>
                    <w:ind w:left="0" w:right="0" w:firstLine="0"/>
                    <w:jc w:val="left"/>
                    <w:rPr>
                      <w:b/>
                      <w:sz w:val="24"/>
                    </w:rPr>
                  </w:pPr>
                  <w:r>
                    <w:rPr>
                      <w:b/>
                      <w:color w:val="658464"/>
                      <w:w w:val="110"/>
                      <w:sz w:val="24"/>
                    </w:rPr>
                    <w:t>24</w:t>
                  </w:r>
                </w:p>
              </w:txbxContent>
            </v:textbox>
            <w10:wrap type="none"/>
          </v:shape>
        </w:pict>
      </w:r>
      <w:r>
        <w:rPr>
          <w:w w:val="105"/>
          <w:sz w:val="13"/>
        </w:rPr>
        <w:t>Consultation 9 (Nillumbik Shire</w:t>
      </w:r>
      <w:r>
        <w:rPr>
          <w:spacing w:val="18"/>
          <w:w w:val="105"/>
          <w:sz w:val="13"/>
        </w:rPr>
        <w:t> </w:t>
      </w:r>
      <w:r>
        <w:rPr>
          <w:w w:val="105"/>
          <w:sz w:val="13"/>
        </w:rPr>
        <w:t>Council).</w:t>
      </w:r>
    </w:p>
    <w:p>
      <w:pPr>
        <w:pStyle w:val="ListParagraph"/>
        <w:numPr>
          <w:ilvl w:val="0"/>
          <w:numId w:val="22"/>
        </w:numPr>
        <w:tabs>
          <w:tab w:pos="2380" w:val="left" w:leader="none"/>
          <w:tab w:pos="2382" w:val="left" w:leader="none"/>
        </w:tabs>
        <w:spacing w:line="240" w:lineRule="auto" w:before="1"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spacing w:after="0" w:line="240" w:lineRule="auto"/>
        <w:jc w:val="left"/>
        <w:rPr>
          <w:sz w:val="13"/>
        </w:rPr>
        <w:sectPr>
          <w:pgSz w:w="11910" w:h="16840"/>
          <w:pgMar w:header="546" w:footer="0" w:top="1560" w:bottom="280" w:left="0" w:right="0"/>
        </w:sectPr>
      </w:pPr>
    </w:p>
    <w:p>
      <w:pPr>
        <w:pStyle w:val="Heading1"/>
        <w:tabs>
          <w:tab w:pos="1417" w:val="left" w:leader="none"/>
        </w:tabs>
      </w:pPr>
      <w:r>
        <w:rPr/>
        <w:pict>
          <v:rect style="position:absolute;margin-left:0pt;margin-top:0pt;width:595.276001pt;height:841.890015pt;mso-position-horizontal-relative:page;mso-position-vertical-relative:page;z-index:-456232" filled="true" fillcolor="#ecefee" stroked="false">
            <v:fill type="solid"/>
            <w10:wrap type="none"/>
          </v:rect>
        </w:pict>
      </w:r>
      <w:r>
        <w:rPr>
          <w:color w:val="FFFFFF"/>
          <w:w w:val="122"/>
          <w:shd w:fill="658464" w:color="auto" w:val="clear"/>
        </w:rPr>
        <w:t> </w:t>
      </w:r>
      <w:r>
        <w:rPr>
          <w:color w:val="FFFFFF"/>
          <w:spacing w:val="41"/>
          <w:shd w:fill="658464" w:color="auto" w:val="clear"/>
        </w:rPr>
        <w:t> </w:t>
      </w:r>
      <w:r>
        <w:rPr>
          <w:color w:val="FFFFFF"/>
          <w:w w:val="105"/>
          <w:shd w:fill="658464" w:color="auto" w:val="clear"/>
        </w:rPr>
        <w:t>3</w:t>
      </w:r>
      <w:r>
        <w:rPr>
          <w:color w:val="FFFFFF"/>
          <w:shd w:fill="658464"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p>
    <w:p>
      <w:pPr>
        <w:tabs>
          <w:tab w:pos="1587" w:val="left" w:leader="none"/>
          <w:tab w:pos="10531" w:val="left" w:leader="none"/>
        </w:tabs>
        <w:spacing w:line="1146" w:lineRule="exact" w:before="84"/>
        <w:ind w:left="0" w:right="0" w:firstLine="0"/>
        <w:jc w:val="left"/>
        <w:rPr>
          <w:b/>
          <w:sz w:val="96"/>
        </w:rPr>
      </w:pPr>
      <w:r>
        <w:rPr>
          <w:b/>
          <w:color w:val="658464"/>
          <w:w w:val="122"/>
          <w:sz w:val="96"/>
          <w:shd w:fill="FFFFFF" w:color="auto" w:val="clear"/>
        </w:rPr>
        <w:t> </w:t>
      </w:r>
      <w:r>
        <w:rPr>
          <w:b/>
          <w:color w:val="658464"/>
          <w:sz w:val="96"/>
          <w:shd w:fill="FFFFFF" w:color="auto" w:val="clear"/>
        </w:rPr>
        <w:tab/>
      </w:r>
      <w:r>
        <w:rPr>
          <w:b/>
          <w:color w:val="658464"/>
          <w:spacing w:val="-27"/>
          <w:w w:val="110"/>
          <w:sz w:val="96"/>
          <w:shd w:fill="FFFFFF" w:color="auto" w:val="clear"/>
        </w:rPr>
        <w:t>Current  </w:t>
      </w:r>
      <w:r>
        <w:rPr>
          <w:b/>
          <w:color w:val="658464"/>
          <w:spacing w:val="-18"/>
          <w:w w:val="110"/>
          <w:sz w:val="96"/>
          <w:shd w:fill="FFFFFF" w:color="auto" w:val="clear"/>
        </w:rPr>
        <w:t>tree </w:t>
      </w:r>
      <w:r>
        <w:rPr>
          <w:b/>
          <w:color w:val="658464"/>
          <w:spacing w:val="-24"/>
          <w:w w:val="110"/>
          <w:sz w:val="96"/>
          <w:shd w:fill="FFFFFF" w:color="auto" w:val="clear"/>
        </w:rPr>
        <w:t>dispute</w:t>
      </w:r>
      <w:r>
        <w:rPr>
          <w:b/>
          <w:color w:val="658464"/>
          <w:spacing w:val="-24"/>
          <w:sz w:val="96"/>
          <w:shd w:fill="FFFFFF" w:color="auto" w:val="clear"/>
        </w:rPr>
        <w:tab/>
      </w:r>
    </w:p>
    <w:p>
      <w:pPr>
        <w:tabs>
          <w:tab w:pos="1587" w:val="left" w:leader="none"/>
          <w:tab w:pos="8047" w:val="left" w:leader="none"/>
        </w:tabs>
        <w:spacing w:line="1146" w:lineRule="exact" w:before="0"/>
        <w:ind w:left="0" w:right="0" w:firstLine="0"/>
        <w:jc w:val="left"/>
        <w:rPr>
          <w:b/>
          <w:sz w:val="96"/>
        </w:rPr>
      </w:pPr>
      <w:r>
        <w:rPr>
          <w:b/>
          <w:color w:val="658464"/>
          <w:w w:val="122"/>
          <w:sz w:val="96"/>
          <w:shd w:fill="FFFFFF" w:color="auto" w:val="clear"/>
        </w:rPr>
        <w:t> </w:t>
      </w:r>
      <w:r>
        <w:rPr>
          <w:b/>
          <w:color w:val="658464"/>
          <w:sz w:val="96"/>
          <w:shd w:fill="FFFFFF" w:color="auto" w:val="clear"/>
        </w:rPr>
        <w:tab/>
      </w:r>
      <w:r>
        <w:rPr>
          <w:b/>
          <w:color w:val="658464"/>
          <w:spacing w:val="-25"/>
          <w:w w:val="115"/>
          <w:sz w:val="96"/>
          <w:shd w:fill="FFFFFF" w:color="auto" w:val="clear"/>
        </w:rPr>
        <w:t>law </w:t>
      </w:r>
      <w:r>
        <w:rPr>
          <w:b/>
          <w:color w:val="658464"/>
          <w:spacing w:val="-16"/>
          <w:w w:val="115"/>
          <w:sz w:val="96"/>
          <w:shd w:fill="FFFFFF" w:color="auto" w:val="clear"/>
        </w:rPr>
        <w:t>in</w:t>
      </w:r>
      <w:r>
        <w:rPr>
          <w:b/>
          <w:color w:val="658464"/>
          <w:spacing w:val="-92"/>
          <w:w w:val="115"/>
          <w:sz w:val="96"/>
          <w:shd w:fill="FFFFFF" w:color="auto" w:val="clear"/>
        </w:rPr>
        <w:t> </w:t>
      </w:r>
      <w:r>
        <w:rPr>
          <w:b/>
          <w:color w:val="658464"/>
          <w:spacing w:val="-24"/>
          <w:w w:val="115"/>
          <w:sz w:val="96"/>
          <w:shd w:fill="FFFFFF" w:color="auto" w:val="clear"/>
        </w:rPr>
        <w:t>Victoria</w:t>
      </w:r>
      <w:r>
        <w:rPr>
          <w:b/>
          <w:color w:val="658464"/>
          <w:spacing w:val="-24"/>
          <w:sz w:val="96"/>
          <w:shd w:fill="FFFFFF" w:color="auto" w:val="clear"/>
        </w:rPr>
        <w:tab/>
      </w:r>
    </w:p>
    <w:p>
      <w:pPr>
        <w:pStyle w:val="BodyText"/>
        <w:rPr>
          <w:b/>
          <w:sz w:val="20"/>
        </w:rPr>
      </w:pPr>
    </w:p>
    <w:p>
      <w:pPr>
        <w:pStyle w:val="BodyText"/>
        <w:rPr>
          <w:b/>
          <w:sz w:val="20"/>
        </w:rPr>
      </w:pPr>
    </w:p>
    <w:p>
      <w:pPr>
        <w:pStyle w:val="BodyText"/>
        <w:spacing w:before="1"/>
        <w:rPr>
          <w:b/>
          <w:sz w:val="24"/>
        </w:rPr>
      </w:pPr>
    </w:p>
    <w:p>
      <w:pPr>
        <w:pStyle w:val="Heading5"/>
        <w:tabs>
          <w:tab w:pos="2154" w:val="left" w:leader="none"/>
        </w:tabs>
        <w:spacing w:before="96"/>
      </w:pPr>
      <w:r>
        <w:rPr/>
        <w:pict>
          <v:line style="position:absolute;mso-position-horizontal-relative:page;mso-position-vertical-relative:paragraph;z-index:608;mso-wrap-distance-left:0;mso-wrap-distance-right:0" from="79.370102pt,22.89497pt" to="104.882102pt,22.89497pt" stroked="true" strokeweight="2pt" strokecolor="#ffffff">
            <v:stroke dashstyle="solid"/>
            <w10:wrap type="topAndBottom"/>
          </v:line>
        </w:pict>
      </w:r>
      <w:hyperlink w:history="true" w:anchor="_bookmark20">
        <w:r>
          <w:rPr>
            <w:w w:val="110"/>
          </w:rPr>
          <w:t>26</w:t>
          <w:tab/>
          <w:t>Introduction</w:t>
        </w:r>
      </w:hyperlink>
    </w:p>
    <w:p>
      <w:pPr>
        <w:pStyle w:val="ListParagraph"/>
        <w:numPr>
          <w:ilvl w:val="0"/>
          <w:numId w:val="23"/>
        </w:numPr>
        <w:tabs>
          <w:tab w:pos="2154" w:val="left" w:leader="none"/>
          <w:tab w:pos="2155" w:val="left" w:leader="none"/>
        </w:tabs>
        <w:spacing w:line="240" w:lineRule="auto" w:before="62" w:after="49"/>
        <w:ind w:left="2154" w:right="0" w:hanging="567"/>
        <w:jc w:val="left"/>
        <w:rPr>
          <w:b/>
          <w:sz w:val="24"/>
        </w:rPr>
      </w:pPr>
      <w:hyperlink w:history="true" w:anchor="_bookmark20">
        <w:r>
          <w:rPr>
            <w:b/>
            <w:w w:val="110"/>
            <w:sz w:val="24"/>
          </w:rPr>
          <w:t>Insurance</w:t>
        </w:r>
        <w:r>
          <w:rPr>
            <w:b/>
            <w:spacing w:val="6"/>
            <w:w w:val="110"/>
            <w:sz w:val="24"/>
          </w:rPr>
          <w:t> </w:t>
        </w:r>
        <w:r>
          <w:rPr>
            <w:b/>
            <w:w w:val="110"/>
            <w:sz w:val="24"/>
          </w:rPr>
          <w:t>claims</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pStyle w:val="ListParagraph"/>
        <w:numPr>
          <w:ilvl w:val="0"/>
          <w:numId w:val="23"/>
        </w:numPr>
        <w:tabs>
          <w:tab w:pos="2154" w:val="left" w:leader="none"/>
          <w:tab w:pos="2155" w:val="left" w:leader="none"/>
        </w:tabs>
        <w:spacing w:line="240" w:lineRule="auto" w:before="91" w:after="0"/>
        <w:ind w:left="2154" w:right="0" w:hanging="567"/>
        <w:jc w:val="left"/>
        <w:rPr>
          <w:b/>
          <w:sz w:val="24"/>
        </w:rPr>
      </w:pPr>
      <w:r>
        <w:rPr/>
        <w:pict>
          <v:line style="position:absolute;mso-position-horizontal-relative:page;mso-position-vertical-relative:paragraph;z-index:656;mso-wrap-distance-left:0;mso-wrap-distance-right:0" from="79.370102pt,22.655567pt" to="104.882102pt,22.655567pt" stroked="true" strokeweight="2pt" strokecolor="#ffffff">
            <v:stroke dashstyle="solid"/>
            <w10:wrap type="topAndBottom"/>
          </v:line>
        </w:pict>
      </w:r>
      <w:hyperlink w:history="true" w:anchor="_bookmark21">
        <w:r>
          <w:rPr>
            <w:b/>
            <w:w w:val="110"/>
            <w:sz w:val="24"/>
          </w:rPr>
          <w:t>Abatement/’self-help’</w:t>
        </w:r>
      </w:hyperlink>
    </w:p>
    <w:p>
      <w:pPr>
        <w:pStyle w:val="ListParagraph"/>
        <w:numPr>
          <w:ilvl w:val="0"/>
          <w:numId w:val="23"/>
        </w:numPr>
        <w:tabs>
          <w:tab w:pos="2154" w:val="left" w:leader="none"/>
          <w:tab w:pos="2155" w:val="left" w:leader="none"/>
        </w:tabs>
        <w:spacing w:line="240" w:lineRule="auto" w:before="62" w:after="49"/>
        <w:ind w:left="2154" w:right="0" w:hanging="567"/>
        <w:jc w:val="left"/>
        <w:rPr>
          <w:b/>
          <w:sz w:val="24"/>
        </w:rPr>
      </w:pPr>
      <w:hyperlink w:history="true" w:anchor="_bookmark22">
        <w:r>
          <w:rPr>
            <w:b/>
            <w:w w:val="115"/>
            <w:sz w:val="24"/>
          </w:rPr>
          <w:t>Neighbour-led</w:t>
        </w:r>
        <w:r>
          <w:rPr>
            <w:b/>
            <w:spacing w:val="3"/>
            <w:w w:val="115"/>
            <w:sz w:val="24"/>
          </w:rPr>
          <w:t> </w:t>
        </w:r>
        <w:r>
          <w:rPr>
            <w:b/>
            <w:w w:val="115"/>
            <w:sz w:val="24"/>
          </w:rPr>
          <w:t>resolution</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pStyle w:val="ListParagraph"/>
        <w:numPr>
          <w:ilvl w:val="0"/>
          <w:numId w:val="23"/>
        </w:numPr>
        <w:tabs>
          <w:tab w:pos="2154" w:val="left" w:leader="none"/>
          <w:tab w:pos="2155" w:val="left" w:leader="none"/>
        </w:tabs>
        <w:spacing w:line="240" w:lineRule="auto" w:before="91" w:after="0"/>
        <w:ind w:left="2154" w:right="0" w:hanging="567"/>
        <w:jc w:val="left"/>
        <w:rPr>
          <w:b/>
          <w:sz w:val="24"/>
        </w:rPr>
      </w:pPr>
      <w:r>
        <w:rPr/>
        <w:pict>
          <v:line style="position:absolute;mso-position-horizontal-relative:page;mso-position-vertical-relative:paragraph;z-index:704;mso-wrap-distance-left:0;mso-wrap-distance-right:0" from="79.370102pt,22.666195pt" to="104.882102pt,22.666195pt" stroked="true" strokeweight="2pt" strokecolor="#ffffff">
            <v:stroke dashstyle="solid"/>
            <w10:wrap type="topAndBottom"/>
          </v:line>
        </w:pict>
      </w:r>
      <w:hyperlink w:history="true" w:anchor="_bookmark23">
        <w:r>
          <w:rPr>
            <w:b/>
            <w:w w:val="115"/>
            <w:sz w:val="24"/>
          </w:rPr>
          <w:t>Alternative dispute</w:t>
        </w:r>
        <w:r>
          <w:rPr>
            <w:b/>
            <w:spacing w:val="5"/>
            <w:w w:val="115"/>
            <w:sz w:val="24"/>
          </w:rPr>
          <w:t> </w:t>
        </w:r>
        <w:r>
          <w:rPr>
            <w:b/>
            <w:w w:val="115"/>
            <w:sz w:val="24"/>
          </w:rPr>
          <w:t>resolution</w:t>
        </w:r>
      </w:hyperlink>
    </w:p>
    <w:p>
      <w:pPr>
        <w:tabs>
          <w:tab w:pos="2154" w:val="left" w:leader="none"/>
        </w:tabs>
        <w:spacing w:before="62" w:after="49"/>
        <w:ind w:left="1587" w:right="0" w:firstLine="0"/>
        <w:jc w:val="left"/>
        <w:rPr>
          <w:b/>
          <w:sz w:val="24"/>
        </w:rPr>
      </w:pPr>
      <w:hyperlink w:history="true" w:anchor="_bookmark25">
        <w:r>
          <w:rPr>
            <w:b/>
            <w:spacing w:val="-4"/>
            <w:w w:val="110"/>
            <w:sz w:val="24"/>
          </w:rPr>
          <w:t>31</w:t>
          <w:tab/>
        </w:r>
        <w:r>
          <w:rPr>
            <w:b/>
            <w:w w:val="110"/>
            <w:sz w:val="24"/>
          </w:rPr>
          <w:t>Court</w:t>
        </w:r>
        <w:r>
          <w:rPr>
            <w:b/>
            <w:spacing w:val="7"/>
            <w:w w:val="110"/>
            <w:sz w:val="24"/>
          </w:rPr>
          <w:t> </w:t>
        </w:r>
        <w:r>
          <w:rPr>
            <w:b/>
            <w:w w:val="110"/>
            <w:sz w:val="24"/>
          </w:rPr>
          <w:t>proceedings</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pStyle w:val="ListParagraph"/>
        <w:numPr>
          <w:ilvl w:val="0"/>
          <w:numId w:val="24"/>
        </w:numPr>
        <w:tabs>
          <w:tab w:pos="2154" w:val="left" w:leader="none"/>
          <w:tab w:pos="2155" w:val="left" w:leader="none"/>
        </w:tabs>
        <w:spacing w:line="240" w:lineRule="auto" w:before="91" w:after="0"/>
        <w:ind w:left="2154" w:right="0" w:hanging="567"/>
        <w:jc w:val="left"/>
        <w:rPr>
          <w:b/>
          <w:sz w:val="24"/>
        </w:rPr>
      </w:pPr>
      <w:r>
        <w:rPr/>
        <w:pict>
          <v:line style="position:absolute;mso-position-horizontal-relative:page;mso-position-vertical-relative:paragraph;z-index:752;mso-wrap-distance-left:0;mso-wrap-distance-right:0" from="79.370102pt,22.676792pt" to="104.882102pt,22.676792pt" stroked="true" strokeweight="2pt" strokecolor="#ffffff">
            <v:stroke dashstyle="solid"/>
            <w10:wrap type="topAndBottom"/>
          </v:line>
        </w:pict>
      </w:r>
      <w:hyperlink w:history="true" w:anchor="_bookmark29">
        <w:r>
          <w:rPr>
            <w:b/>
            <w:w w:val="115"/>
            <w:sz w:val="24"/>
          </w:rPr>
          <w:t>Other laws affecting tree</w:t>
        </w:r>
        <w:r>
          <w:rPr>
            <w:b/>
            <w:spacing w:val="12"/>
            <w:w w:val="115"/>
            <w:sz w:val="24"/>
          </w:rPr>
          <w:t> </w:t>
        </w:r>
        <w:r>
          <w:rPr>
            <w:b/>
            <w:w w:val="115"/>
            <w:sz w:val="24"/>
          </w:rPr>
          <w:t>management</w:t>
        </w:r>
      </w:hyperlink>
    </w:p>
    <w:p>
      <w:pPr>
        <w:pStyle w:val="ListParagraph"/>
        <w:numPr>
          <w:ilvl w:val="0"/>
          <w:numId w:val="24"/>
        </w:numPr>
        <w:tabs>
          <w:tab w:pos="2154" w:val="left" w:leader="none"/>
          <w:tab w:pos="2155" w:val="left" w:leader="none"/>
        </w:tabs>
        <w:spacing w:line="240" w:lineRule="auto" w:before="61" w:after="50"/>
        <w:ind w:left="2154" w:right="0" w:hanging="567"/>
        <w:jc w:val="left"/>
        <w:rPr>
          <w:b/>
          <w:sz w:val="24"/>
        </w:rPr>
      </w:pPr>
      <w:hyperlink w:history="true" w:anchor="_bookmark30">
        <w:r>
          <w:rPr>
            <w:b/>
            <w:w w:val="115"/>
            <w:sz w:val="24"/>
          </w:rPr>
          <w:t>Community responses—the current</w:t>
        </w:r>
        <w:r>
          <w:rPr>
            <w:b/>
            <w:spacing w:val="7"/>
            <w:w w:val="115"/>
            <w:sz w:val="24"/>
          </w:rPr>
          <w:t> </w:t>
        </w:r>
        <w:r>
          <w:rPr>
            <w:b/>
            <w:spacing w:val="-2"/>
            <w:w w:val="115"/>
            <w:sz w:val="24"/>
          </w:rPr>
          <w:t>law</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2154" w:val="left" w:leader="none"/>
        </w:tabs>
        <w:spacing w:before="90"/>
        <w:ind w:left="1587" w:right="0" w:firstLine="0"/>
        <w:jc w:val="left"/>
        <w:rPr>
          <w:b/>
          <w:sz w:val="24"/>
        </w:rPr>
      </w:pPr>
      <w:r>
        <w:rPr/>
        <w:pict>
          <v:line style="position:absolute;mso-position-horizontal-relative:page;mso-position-vertical-relative:paragraph;z-index:800;mso-wrap-distance-left:0;mso-wrap-distance-right:0" from="79.370102pt,22.637373pt" to="104.882102pt,22.637373pt" stroked="true" strokeweight="2pt" strokecolor="#ffffff">
            <v:stroke dashstyle="solid"/>
            <w10:wrap type="topAndBottom"/>
          </v:line>
        </w:pict>
      </w:r>
      <w:hyperlink w:history="true" w:anchor="_bookmark35">
        <w:r>
          <w:rPr>
            <w:b/>
            <w:w w:val="110"/>
            <w:sz w:val="24"/>
          </w:rPr>
          <w:t>49</w:t>
          <w:tab/>
          <w:t>The Commission’s</w:t>
        </w:r>
        <w:r>
          <w:rPr>
            <w:b/>
            <w:spacing w:val="13"/>
            <w:w w:val="110"/>
            <w:sz w:val="24"/>
          </w:rPr>
          <w:t> </w:t>
        </w:r>
        <w:r>
          <w:rPr>
            <w:b/>
            <w:w w:val="110"/>
            <w:sz w:val="24"/>
          </w:rPr>
          <w:t>conclusion</w:t>
        </w:r>
      </w:hyperlink>
    </w:p>
    <w:p>
      <w:pPr>
        <w:spacing w:after="0"/>
        <w:jc w:val="left"/>
        <w:rPr>
          <w:sz w:val="24"/>
        </w:rPr>
        <w:sectPr>
          <w:headerReference w:type="default" r:id="rId49"/>
          <w:headerReference w:type="even" r:id="rId50"/>
          <w:pgSz w:w="11910" w:h="16840"/>
          <w:pgMar w:header="0" w:footer="0" w:top="720" w:bottom="280" w:left="0" w:right="0"/>
        </w:sectPr>
      </w:pPr>
    </w:p>
    <w:p>
      <w:pPr>
        <w:pStyle w:val="BodyText"/>
        <w:spacing w:before="10"/>
        <w:rPr>
          <w:b/>
          <w:sz w:val="18"/>
        </w:rPr>
      </w:pPr>
    </w:p>
    <w:p>
      <w:pPr>
        <w:pStyle w:val="Heading2"/>
        <w:numPr>
          <w:ilvl w:val="0"/>
          <w:numId w:val="16"/>
        </w:numPr>
        <w:tabs>
          <w:tab w:pos="1247" w:val="left" w:leader="none"/>
          <w:tab w:pos="1248" w:val="left" w:leader="none"/>
        </w:tabs>
        <w:spacing w:line="240" w:lineRule="auto" w:before="93" w:after="0"/>
        <w:ind w:left="1247" w:right="0" w:hanging="681"/>
        <w:jc w:val="left"/>
      </w:pPr>
      <w:bookmarkStart w:name="3. Current tree dispute law in Victoria" w:id="54"/>
      <w:bookmarkEnd w:id="54"/>
      <w:r>
        <w:rPr>
          <w:b w:val="0"/>
        </w:rPr>
      </w:r>
      <w:bookmarkStart w:name="Introduction" w:id="55"/>
      <w:bookmarkEnd w:id="55"/>
      <w:r>
        <w:rPr>
          <w:b w:val="0"/>
        </w:rPr>
      </w:r>
      <w:bookmarkStart w:name="Insurance claims" w:id="56"/>
      <w:bookmarkEnd w:id="56"/>
      <w:r>
        <w:rPr>
          <w:b w:val="0"/>
        </w:rPr>
      </w:r>
      <w:bookmarkStart w:name="_bookmark20" w:id="57"/>
      <w:bookmarkEnd w:id="57"/>
      <w:r>
        <w:rPr>
          <w:b w:val="0"/>
        </w:rPr>
      </w:r>
      <w:bookmarkStart w:name="_bookmark20" w:id="58"/>
      <w:bookmarkEnd w:id="58"/>
      <w:r>
        <w:rPr>
          <w:color w:val="658464"/>
          <w:spacing w:val="-4"/>
          <w:w w:val="115"/>
        </w:rPr>
        <w:t>C</w:t>
      </w:r>
      <w:r>
        <w:rPr>
          <w:color w:val="658464"/>
          <w:spacing w:val="-4"/>
          <w:w w:val="115"/>
        </w:rPr>
        <w:t>urrent </w:t>
      </w:r>
      <w:r>
        <w:rPr>
          <w:color w:val="658464"/>
          <w:w w:val="115"/>
        </w:rPr>
        <w:t>tree </w:t>
      </w:r>
      <w:r>
        <w:rPr>
          <w:color w:val="658464"/>
          <w:spacing w:val="-3"/>
          <w:w w:val="115"/>
        </w:rPr>
        <w:t>dispute </w:t>
      </w:r>
      <w:r>
        <w:rPr>
          <w:color w:val="658464"/>
          <w:spacing w:val="-5"/>
          <w:w w:val="115"/>
        </w:rPr>
        <w:t>law </w:t>
      </w:r>
      <w:r>
        <w:rPr>
          <w:color w:val="658464"/>
          <w:spacing w:val="-3"/>
          <w:w w:val="115"/>
        </w:rPr>
        <w:t>in</w:t>
      </w:r>
      <w:r>
        <w:rPr>
          <w:color w:val="658464"/>
          <w:spacing w:val="26"/>
          <w:w w:val="115"/>
        </w:rPr>
        <w:t> </w:t>
      </w:r>
      <w:r>
        <w:rPr>
          <w:color w:val="658464"/>
          <w:spacing w:val="-3"/>
          <w:w w:val="115"/>
        </w:rPr>
        <w:t>Victoria</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spacing w:before="11"/>
        <w:rPr>
          <w:b/>
          <w:sz w:val="47"/>
        </w:rPr>
      </w:pPr>
    </w:p>
    <w:p>
      <w:pPr>
        <w:pStyle w:val="Heading4"/>
      </w:pPr>
      <w:r>
        <w:rPr>
          <w:color w:val="658464"/>
          <w:w w:val="110"/>
        </w:rPr>
        <w:t>Introduction</w:t>
      </w:r>
    </w:p>
    <w:p>
      <w:pPr>
        <w:pStyle w:val="ListParagraph"/>
        <w:numPr>
          <w:ilvl w:val="1"/>
          <w:numId w:val="16"/>
        </w:numPr>
        <w:tabs>
          <w:tab w:pos="2380" w:val="left" w:leader="none"/>
          <w:tab w:pos="2381" w:val="left" w:leader="none"/>
        </w:tabs>
        <w:spacing w:line="242" w:lineRule="auto" w:before="155" w:after="0"/>
        <w:ind w:left="2381" w:right="2049" w:hanging="794"/>
        <w:jc w:val="left"/>
        <w:rPr>
          <w:sz w:val="21"/>
        </w:rPr>
      </w:pPr>
      <w:r>
        <w:rPr>
          <w:sz w:val="21"/>
        </w:rPr>
        <w:t>This </w:t>
      </w:r>
      <w:r>
        <w:rPr>
          <w:spacing w:val="-3"/>
          <w:sz w:val="21"/>
        </w:rPr>
        <w:t>chapter </w:t>
      </w:r>
      <w:r>
        <w:rPr>
          <w:spacing w:val="-2"/>
          <w:sz w:val="21"/>
        </w:rPr>
        <w:t>examines </w:t>
      </w:r>
      <w:r>
        <w:rPr>
          <w:sz w:val="21"/>
        </w:rPr>
        <w:t>the </w:t>
      </w:r>
      <w:r>
        <w:rPr>
          <w:spacing w:val="-3"/>
          <w:sz w:val="21"/>
        </w:rPr>
        <w:t>limitations </w:t>
      </w:r>
      <w:r>
        <w:rPr>
          <w:sz w:val="21"/>
        </w:rPr>
        <w:t>with the </w:t>
      </w:r>
      <w:r>
        <w:rPr>
          <w:spacing w:val="-3"/>
          <w:sz w:val="21"/>
        </w:rPr>
        <w:t>way </w:t>
      </w:r>
      <w:r>
        <w:rPr>
          <w:sz w:val="21"/>
        </w:rPr>
        <w:t>the law </w:t>
      </w:r>
      <w:r>
        <w:rPr>
          <w:spacing w:val="-3"/>
          <w:sz w:val="21"/>
        </w:rPr>
        <w:t>currently </w:t>
      </w:r>
      <w:r>
        <w:rPr>
          <w:sz w:val="21"/>
        </w:rPr>
        <w:t>assists people </w:t>
      </w:r>
      <w:r>
        <w:rPr>
          <w:spacing w:val="-3"/>
          <w:sz w:val="21"/>
        </w:rPr>
        <w:t>to </w:t>
      </w:r>
      <w:r>
        <w:rPr>
          <w:sz w:val="21"/>
        </w:rPr>
        <w:t>resolve their tree </w:t>
      </w:r>
      <w:r>
        <w:rPr>
          <w:spacing w:val="-3"/>
          <w:sz w:val="21"/>
        </w:rPr>
        <w:t>disputes. Community </w:t>
      </w:r>
      <w:r>
        <w:rPr>
          <w:sz w:val="21"/>
        </w:rPr>
        <w:t>responses on this issue </w:t>
      </w:r>
      <w:r>
        <w:rPr>
          <w:spacing w:val="-3"/>
          <w:sz w:val="21"/>
        </w:rPr>
        <w:t>are </w:t>
      </w:r>
      <w:r>
        <w:rPr>
          <w:sz w:val="21"/>
        </w:rPr>
        <w:t>also</w:t>
      </w:r>
      <w:r>
        <w:rPr>
          <w:spacing w:val="13"/>
          <w:sz w:val="21"/>
        </w:rPr>
        <w:t> </w:t>
      </w:r>
      <w:r>
        <w:rPr>
          <w:sz w:val="21"/>
        </w:rPr>
        <w:t>canvassed.</w:t>
      </w:r>
    </w:p>
    <w:p>
      <w:pPr>
        <w:pStyle w:val="ListParagraph"/>
        <w:numPr>
          <w:ilvl w:val="1"/>
          <w:numId w:val="16"/>
        </w:numPr>
        <w:tabs>
          <w:tab w:pos="2380" w:val="left" w:leader="none"/>
          <w:tab w:pos="2381" w:val="left" w:leader="none"/>
        </w:tabs>
        <w:spacing w:line="242" w:lineRule="auto" w:before="122" w:after="0"/>
        <w:ind w:left="2381" w:right="1840" w:hanging="794"/>
        <w:jc w:val="left"/>
        <w:rPr>
          <w:sz w:val="21"/>
        </w:rPr>
      </w:pPr>
      <w:r>
        <w:rPr>
          <w:w w:val="105"/>
          <w:sz w:val="21"/>
        </w:rPr>
        <w:t>Depending</w:t>
      </w:r>
      <w:r>
        <w:rPr>
          <w:spacing w:val="-7"/>
          <w:w w:val="105"/>
          <w:sz w:val="21"/>
        </w:rPr>
        <w:t> </w:t>
      </w:r>
      <w:r>
        <w:rPr>
          <w:w w:val="105"/>
          <w:sz w:val="21"/>
        </w:rPr>
        <w:t>on</w:t>
      </w:r>
      <w:r>
        <w:rPr>
          <w:spacing w:val="-7"/>
          <w:w w:val="105"/>
          <w:sz w:val="21"/>
        </w:rPr>
        <w:t> </w:t>
      </w:r>
      <w:r>
        <w:rPr>
          <w:w w:val="105"/>
          <w:sz w:val="21"/>
        </w:rPr>
        <w:t>the</w:t>
      </w:r>
      <w:r>
        <w:rPr>
          <w:spacing w:val="-7"/>
          <w:w w:val="105"/>
          <w:sz w:val="21"/>
        </w:rPr>
        <w:t> </w:t>
      </w:r>
      <w:r>
        <w:rPr>
          <w:spacing w:val="-3"/>
          <w:w w:val="105"/>
          <w:sz w:val="21"/>
        </w:rPr>
        <w:t>circumstances</w:t>
      </w:r>
      <w:r>
        <w:rPr>
          <w:spacing w:val="-7"/>
          <w:w w:val="105"/>
          <w:sz w:val="21"/>
        </w:rPr>
        <w:t> </w:t>
      </w:r>
      <w:r>
        <w:rPr>
          <w:w w:val="105"/>
          <w:sz w:val="21"/>
        </w:rPr>
        <w:t>of</w:t>
      </w:r>
      <w:r>
        <w:rPr>
          <w:spacing w:val="-6"/>
          <w:w w:val="105"/>
          <w:sz w:val="21"/>
        </w:rPr>
        <w:t> </w:t>
      </w:r>
      <w:r>
        <w:rPr>
          <w:w w:val="105"/>
          <w:sz w:val="21"/>
        </w:rPr>
        <w:t>the</w:t>
      </w:r>
      <w:r>
        <w:rPr>
          <w:spacing w:val="-7"/>
          <w:w w:val="105"/>
          <w:sz w:val="21"/>
        </w:rPr>
        <w:t> </w:t>
      </w:r>
      <w:r>
        <w:rPr>
          <w:spacing w:val="-3"/>
          <w:w w:val="105"/>
          <w:sz w:val="21"/>
        </w:rPr>
        <w:t>dispute</w:t>
      </w:r>
      <w:r>
        <w:rPr>
          <w:spacing w:val="-7"/>
          <w:w w:val="105"/>
          <w:sz w:val="21"/>
        </w:rPr>
        <w:t> </w:t>
      </w:r>
      <w:r>
        <w:rPr>
          <w:w w:val="105"/>
          <w:sz w:val="21"/>
        </w:rPr>
        <w:t>and</w:t>
      </w:r>
      <w:r>
        <w:rPr>
          <w:spacing w:val="-7"/>
          <w:w w:val="105"/>
          <w:sz w:val="21"/>
        </w:rPr>
        <w:t> </w:t>
      </w:r>
      <w:r>
        <w:rPr>
          <w:w w:val="105"/>
          <w:sz w:val="21"/>
        </w:rPr>
        <w:t>the</w:t>
      </w:r>
      <w:r>
        <w:rPr>
          <w:spacing w:val="-6"/>
          <w:w w:val="105"/>
          <w:sz w:val="21"/>
        </w:rPr>
        <w:t> </w:t>
      </w:r>
      <w:r>
        <w:rPr>
          <w:spacing w:val="-3"/>
          <w:w w:val="105"/>
          <w:sz w:val="21"/>
        </w:rPr>
        <w:t>resources</w:t>
      </w:r>
      <w:r>
        <w:rPr>
          <w:spacing w:val="-7"/>
          <w:w w:val="105"/>
          <w:sz w:val="21"/>
        </w:rPr>
        <w:t> </w:t>
      </w:r>
      <w:r>
        <w:rPr>
          <w:spacing w:val="-3"/>
          <w:w w:val="105"/>
          <w:sz w:val="21"/>
        </w:rPr>
        <w:t>available,</w:t>
      </w:r>
      <w:r>
        <w:rPr>
          <w:spacing w:val="-7"/>
          <w:w w:val="105"/>
          <w:sz w:val="21"/>
        </w:rPr>
        <w:t> </w:t>
      </w:r>
      <w:r>
        <w:rPr>
          <w:w w:val="105"/>
          <w:sz w:val="21"/>
        </w:rPr>
        <w:t>neighbours can </w:t>
      </w:r>
      <w:r>
        <w:rPr>
          <w:spacing w:val="-3"/>
          <w:w w:val="105"/>
          <w:sz w:val="21"/>
        </w:rPr>
        <w:t>currently take </w:t>
      </w:r>
      <w:r>
        <w:rPr>
          <w:w w:val="105"/>
          <w:sz w:val="21"/>
        </w:rPr>
        <w:t>a number of steps </w:t>
      </w:r>
      <w:r>
        <w:rPr>
          <w:spacing w:val="-3"/>
          <w:w w:val="105"/>
          <w:sz w:val="21"/>
        </w:rPr>
        <w:t>to </w:t>
      </w:r>
      <w:r>
        <w:rPr>
          <w:w w:val="105"/>
          <w:sz w:val="21"/>
        </w:rPr>
        <w:t>attempt </w:t>
      </w:r>
      <w:r>
        <w:rPr>
          <w:spacing w:val="-3"/>
          <w:w w:val="105"/>
          <w:sz w:val="21"/>
        </w:rPr>
        <w:t>to </w:t>
      </w:r>
      <w:r>
        <w:rPr>
          <w:w w:val="105"/>
          <w:sz w:val="21"/>
        </w:rPr>
        <w:t>resolve their tree</w:t>
      </w:r>
      <w:r>
        <w:rPr>
          <w:spacing w:val="-17"/>
          <w:w w:val="105"/>
          <w:sz w:val="21"/>
        </w:rPr>
        <w:t> </w:t>
      </w:r>
      <w:r>
        <w:rPr>
          <w:w w:val="105"/>
          <w:sz w:val="21"/>
        </w:rPr>
        <w:t>dispute:</w:t>
      </w:r>
    </w:p>
    <w:p>
      <w:pPr>
        <w:pStyle w:val="ListParagraph"/>
        <w:numPr>
          <w:ilvl w:val="2"/>
          <w:numId w:val="16"/>
        </w:numPr>
        <w:tabs>
          <w:tab w:pos="2721" w:val="left" w:leader="none"/>
          <w:tab w:pos="2722" w:val="left" w:leader="none"/>
        </w:tabs>
        <w:spacing w:line="240" w:lineRule="auto" w:before="122" w:after="0"/>
        <w:ind w:left="2721" w:right="0" w:hanging="340"/>
        <w:jc w:val="left"/>
        <w:rPr>
          <w:sz w:val="21"/>
        </w:rPr>
      </w:pPr>
      <w:r>
        <w:rPr>
          <w:spacing w:val="-3"/>
          <w:w w:val="105"/>
          <w:sz w:val="21"/>
        </w:rPr>
        <w:t>making </w:t>
      </w:r>
      <w:r>
        <w:rPr>
          <w:w w:val="105"/>
          <w:sz w:val="21"/>
        </w:rPr>
        <w:t>an </w:t>
      </w:r>
      <w:r>
        <w:rPr>
          <w:spacing w:val="-4"/>
          <w:w w:val="105"/>
          <w:sz w:val="21"/>
        </w:rPr>
        <w:t>insurance</w:t>
      </w:r>
      <w:r>
        <w:rPr>
          <w:spacing w:val="19"/>
          <w:w w:val="105"/>
          <w:sz w:val="21"/>
        </w:rPr>
        <w:t> </w:t>
      </w:r>
      <w:r>
        <w:rPr>
          <w:spacing w:val="-3"/>
          <w:w w:val="105"/>
          <w:sz w:val="21"/>
        </w:rPr>
        <w:t>claim</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z w:val="21"/>
        </w:rPr>
        <w:t>abatement/’self-help’</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w w:val="105"/>
          <w:sz w:val="21"/>
        </w:rPr>
        <w:t>neighbour-led informal</w:t>
      </w:r>
      <w:r>
        <w:rPr>
          <w:spacing w:val="13"/>
          <w:w w:val="105"/>
          <w:sz w:val="21"/>
        </w:rPr>
        <w:t> </w:t>
      </w:r>
      <w:r>
        <w:rPr>
          <w:w w:val="105"/>
          <w:sz w:val="21"/>
        </w:rPr>
        <w:t>resolution</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pacing w:val="-3"/>
          <w:sz w:val="21"/>
        </w:rPr>
        <w:t>alternative dispute resolution,</w:t>
      </w:r>
      <w:r>
        <w:rPr>
          <w:spacing w:val="31"/>
          <w:sz w:val="21"/>
        </w:rPr>
        <w:t> </w:t>
      </w:r>
      <w:r>
        <w:rPr>
          <w:sz w:val="21"/>
        </w:rPr>
        <w:t>or</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court</w:t>
      </w:r>
      <w:r>
        <w:rPr>
          <w:spacing w:val="5"/>
          <w:w w:val="105"/>
          <w:sz w:val="21"/>
        </w:rPr>
        <w:t> </w:t>
      </w:r>
      <w:r>
        <w:rPr>
          <w:spacing w:val="-3"/>
          <w:w w:val="105"/>
          <w:sz w:val="21"/>
        </w:rPr>
        <w:t>proceedings.</w:t>
      </w:r>
    </w:p>
    <w:p>
      <w:pPr>
        <w:pStyle w:val="ListParagraph"/>
        <w:numPr>
          <w:ilvl w:val="1"/>
          <w:numId w:val="16"/>
        </w:numPr>
        <w:tabs>
          <w:tab w:pos="2380" w:val="left" w:leader="none"/>
          <w:tab w:pos="2381" w:val="left" w:leader="none"/>
        </w:tabs>
        <w:spacing w:line="242" w:lineRule="auto" w:before="89" w:after="0"/>
        <w:ind w:left="2381" w:right="1642" w:hanging="794"/>
        <w:jc w:val="left"/>
        <w:rPr>
          <w:sz w:val="21"/>
        </w:rPr>
      </w:pPr>
      <w:r>
        <w:rPr>
          <w:sz w:val="21"/>
        </w:rPr>
        <w:t>A detailed discussion of these steps appears in the </w:t>
      </w:r>
      <w:r>
        <w:rPr>
          <w:spacing w:val="-3"/>
          <w:sz w:val="21"/>
        </w:rPr>
        <w:t>consultation </w:t>
      </w:r>
      <w:r>
        <w:rPr>
          <w:sz w:val="21"/>
        </w:rPr>
        <w:t>paper and they </w:t>
      </w:r>
      <w:r>
        <w:rPr>
          <w:spacing w:val="-3"/>
          <w:sz w:val="21"/>
        </w:rPr>
        <w:t>are </w:t>
      </w:r>
      <w:r>
        <w:rPr>
          <w:sz w:val="21"/>
        </w:rPr>
        <w:t>briefly discussed </w:t>
      </w:r>
      <w:r>
        <w:rPr>
          <w:spacing w:val="-3"/>
          <w:sz w:val="21"/>
        </w:rPr>
        <w:t>below. Navigating </w:t>
      </w:r>
      <w:r>
        <w:rPr>
          <w:sz w:val="21"/>
        </w:rPr>
        <w:t>these steps can be </w:t>
      </w:r>
      <w:r>
        <w:rPr>
          <w:spacing w:val="-3"/>
          <w:sz w:val="21"/>
        </w:rPr>
        <w:t>confusing </w:t>
      </w:r>
      <w:r>
        <w:rPr>
          <w:sz w:val="21"/>
        </w:rPr>
        <w:t>as it is difficult </w:t>
      </w:r>
      <w:r>
        <w:rPr>
          <w:spacing w:val="-3"/>
          <w:sz w:val="21"/>
        </w:rPr>
        <w:t>to </w:t>
      </w:r>
      <w:r>
        <w:rPr>
          <w:sz w:val="21"/>
        </w:rPr>
        <w:t>find definitive statements of rights and </w:t>
      </w:r>
      <w:r>
        <w:rPr>
          <w:spacing w:val="-3"/>
          <w:sz w:val="21"/>
        </w:rPr>
        <w:t>responsibilities. </w:t>
      </w:r>
      <w:r>
        <w:rPr>
          <w:sz w:val="21"/>
        </w:rPr>
        <w:t>Inadequacies in the law </w:t>
      </w:r>
      <w:r>
        <w:rPr>
          <w:spacing w:val="-3"/>
          <w:sz w:val="21"/>
        </w:rPr>
        <w:t>create confusion,  compound </w:t>
      </w:r>
      <w:r>
        <w:rPr>
          <w:sz w:val="21"/>
        </w:rPr>
        <w:t>community </w:t>
      </w:r>
      <w:r>
        <w:rPr>
          <w:spacing w:val="-3"/>
          <w:sz w:val="21"/>
        </w:rPr>
        <w:t>frustrations </w:t>
      </w:r>
      <w:r>
        <w:rPr>
          <w:sz w:val="21"/>
        </w:rPr>
        <w:t>and prolong</w:t>
      </w:r>
      <w:r>
        <w:rPr>
          <w:spacing w:val="-29"/>
          <w:sz w:val="21"/>
        </w:rPr>
        <w:t> </w:t>
      </w:r>
      <w:r>
        <w:rPr>
          <w:spacing w:val="-3"/>
          <w:sz w:val="21"/>
        </w:rPr>
        <w:t>disputes.</w:t>
      </w:r>
    </w:p>
    <w:p>
      <w:pPr>
        <w:pStyle w:val="ListParagraph"/>
        <w:numPr>
          <w:ilvl w:val="1"/>
          <w:numId w:val="16"/>
        </w:numPr>
        <w:tabs>
          <w:tab w:pos="2380" w:val="left" w:leader="none"/>
          <w:tab w:pos="2381" w:val="left" w:leader="none"/>
        </w:tabs>
        <w:spacing w:line="242" w:lineRule="auto" w:before="124" w:after="0"/>
        <w:ind w:left="2380" w:right="1643" w:hanging="793"/>
        <w:jc w:val="left"/>
        <w:rPr>
          <w:sz w:val="21"/>
        </w:rPr>
      </w:pPr>
      <w:r>
        <w:rPr>
          <w:sz w:val="21"/>
        </w:rPr>
        <w:t>The </w:t>
      </w:r>
      <w:r>
        <w:rPr>
          <w:spacing w:val="-3"/>
          <w:sz w:val="21"/>
        </w:rPr>
        <w:t>Commission concludes that </w:t>
      </w:r>
      <w:r>
        <w:rPr>
          <w:sz w:val="21"/>
        </w:rPr>
        <w:t>there is </w:t>
      </w:r>
      <w:r>
        <w:rPr>
          <w:spacing w:val="-3"/>
          <w:sz w:val="21"/>
        </w:rPr>
        <w:t>currently </w:t>
      </w:r>
      <w:r>
        <w:rPr>
          <w:sz w:val="21"/>
        </w:rPr>
        <w:t>no </w:t>
      </w:r>
      <w:r>
        <w:rPr>
          <w:spacing w:val="-5"/>
          <w:sz w:val="21"/>
        </w:rPr>
        <w:t>clear, </w:t>
      </w:r>
      <w:r>
        <w:rPr>
          <w:spacing w:val="-3"/>
          <w:sz w:val="21"/>
        </w:rPr>
        <w:t>accessible </w:t>
      </w:r>
      <w:r>
        <w:rPr>
          <w:sz w:val="21"/>
        </w:rPr>
        <w:t>process </w:t>
      </w:r>
      <w:r>
        <w:rPr>
          <w:spacing w:val="-3"/>
          <w:sz w:val="21"/>
        </w:rPr>
        <w:t>for </w:t>
      </w:r>
      <w:r>
        <w:rPr>
          <w:sz w:val="21"/>
        </w:rPr>
        <w:t>resolving tree</w:t>
      </w:r>
      <w:r>
        <w:rPr>
          <w:spacing w:val="8"/>
          <w:sz w:val="21"/>
        </w:rPr>
        <w:t> </w:t>
      </w:r>
      <w:r>
        <w:rPr>
          <w:spacing w:val="-3"/>
          <w:sz w:val="21"/>
        </w:rPr>
        <w:t>disputes.</w:t>
      </w:r>
    </w:p>
    <w:p>
      <w:pPr>
        <w:pStyle w:val="BodyText"/>
        <w:spacing w:before="9"/>
      </w:pPr>
    </w:p>
    <w:p>
      <w:pPr>
        <w:pStyle w:val="Heading4"/>
      </w:pPr>
      <w:r>
        <w:rPr>
          <w:color w:val="658464"/>
          <w:w w:val="110"/>
        </w:rPr>
        <w:t>Insurance claims</w:t>
      </w:r>
    </w:p>
    <w:p>
      <w:pPr>
        <w:pStyle w:val="ListParagraph"/>
        <w:numPr>
          <w:ilvl w:val="1"/>
          <w:numId w:val="16"/>
        </w:numPr>
        <w:tabs>
          <w:tab w:pos="2380" w:val="left" w:leader="none"/>
          <w:tab w:pos="2381" w:val="left" w:leader="none"/>
        </w:tabs>
        <w:spacing w:line="242" w:lineRule="auto" w:before="155" w:after="0"/>
        <w:ind w:left="2381" w:right="1707" w:hanging="794"/>
        <w:jc w:val="left"/>
        <w:rPr>
          <w:sz w:val="21"/>
        </w:rPr>
      </w:pPr>
      <w:r>
        <w:rPr>
          <w:w w:val="105"/>
          <w:sz w:val="21"/>
        </w:rPr>
        <w:t>One of the first steps an affected </w:t>
      </w:r>
      <w:r>
        <w:rPr>
          <w:spacing w:val="-3"/>
          <w:w w:val="105"/>
          <w:sz w:val="21"/>
        </w:rPr>
        <w:t>neighbour may take </w:t>
      </w:r>
      <w:r>
        <w:rPr>
          <w:w w:val="105"/>
          <w:sz w:val="21"/>
        </w:rPr>
        <w:t>when a tree on </w:t>
      </w:r>
      <w:r>
        <w:rPr>
          <w:spacing w:val="-3"/>
          <w:w w:val="105"/>
          <w:sz w:val="21"/>
        </w:rPr>
        <w:t>neighbouring land </w:t>
      </w:r>
      <w:r>
        <w:rPr>
          <w:w w:val="105"/>
          <w:sz w:val="21"/>
        </w:rPr>
        <w:t>damages their property is </w:t>
      </w:r>
      <w:r>
        <w:rPr>
          <w:spacing w:val="-3"/>
          <w:w w:val="105"/>
          <w:sz w:val="21"/>
        </w:rPr>
        <w:t>to </w:t>
      </w:r>
      <w:r>
        <w:rPr>
          <w:w w:val="105"/>
          <w:sz w:val="21"/>
        </w:rPr>
        <w:t>contact their </w:t>
      </w:r>
      <w:r>
        <w:rPr>
          <w:spacing w:val="-4"/>
          <w:w w:val="105"/>
          <w:sz w:val="21"/>
        </w:rPr>
        <w:t>insurance</w:t>
      </w:r>
      <w:r>
        <w:rPr>
          <w:spacing w:val="26"/>
          <w:w w:val="105"/>
          <w:sz w:val="21"/>
        </w:rPr>
        <w:t> </w:t>
      </w:r>
      <w:r>
        <w:rPr>
          <w:spacing w:val="-4"/>
          <w:w w:val="105"/>
          <w:sz w:val="21"/>
        </w:rPr>
        <w:t>company.</w:t>
      </w:r>
    </w:p>
    <w:p>
      <w:pPr>
        <w:pStyle w:val="ListParagraph"/>
        <w:numPr>
          <w:ilvl w:val="1"/>
          <w:numId w:val="16"/>
        </w:numPr>
        <w:tabs>
          <w:tab w:pos="2380" w:val="left" w:leader="none"/>
          <w:tab w:pos="2381" w:val="left" w:leader="none"/>
        </w:tabs>
        <w:spacing w:line="242" w:lineRule="auto" w:before="122" w:after="0"/>
        <w:ind w:left="2381" w:right="1599" w:hanging="794"/>
        <w:jc w:val="left"/>
        <w:rPr>
          <w:sz w:val="21"/>
        </w:rPr>
      </w:pPr>
      <w:r>
        <w:rPr>
          <w:w w:val="105"/>
          <w:sz w:val="21"/>
        </w:rPr>
        <w:t>Household </w:t>
      </w:r>
      <w:r>
        <w:rPr>
          <w:spacing w:val="-4"/>
          <w:w w:val="105"/>
          <w:sz w:val="21"/>
        </w:rPr>
        <w:t>insurance </w:t>
      </w:r>
      <w:r>
        <w:rPr>
          <w:spacing w:val="-3"/>
          <w:w w:val="105"/>
          <w:sz w:val="21"/>
        </w:rPr>
        <w:t>may cover </w:t>
      </w:r>
      <w:r>
        <w:rPr>
          <w:w w:val="105"/>
          <w:sz w:val="21"/>
        </w:rPr>
        <w:t>damage caused by trees. These policies </w:t>
      </w:r>
      <w:r>
        <w:rPr>
          <w:spacing w:val="-3"/>
          <w:w w:val="105"/>
          <w:sz w:val="21"/>
        </w:rPr>
        <w:t>generally cover </w:t>
      </w:r>
      <w:r>
        <w:rPr>
          <w:w w:val="105"/>
          <w:sz w:val="21"/>
        </w:rPr>
        <w:t>‘the</w:t>
      </w:r>
      <w:r>
        <w:rPr>
          <w:spacing w:val="-5"/>
          <w:w w:val="105"/>
          <w:sz w:val="21"/>
        </w:rPr>
        <w:t> </w:t>
      </w:r>
      <w:r>
        <w:rPr>
          <w:w w:val="105"/>
          <w:sz w:val="21"/>
        </w:rPr>
        <w:t>cost</w:t>
      </w:r>
      <w:r>
        <w:rPr>
          <w:spacing w:val="-4"/>
          <w:w w:val="105"/>
          <w:sz w:val="21"/>
        </w:rPr>
        <w:t> </w:t>
      </w:r>
      <w:r>
        <w:rPr>
          <w:w w:val="105"/>
          <w:sz w:val="21"/>
        </w:rPr>
        <w:t>of</w:t>
      </w:r>
      <w:r>
        <w:rPr>
          <w:spacing w:val="-4"/>
          <w:w w:val="105"/>
          <w:sz w:val="21"/>
        </w:rPr>
        <w:t> </w:t>
      </w:r>
      <w:r>
        <w:rPr>
          <w:spacing w:val="-3"/>
          <w:w w:val="105"/>
          <w:sz w:val="21"/>
        </w:rPr>
        <w:t>rebuilding</w:t>
      </w:r>
      <w:r>
        <w:rPr>
          <w:spacing w:val="-4"/>
          <w:w w:val="105"/>
          <w:sz w:val="21"/>
        </w:rPr>
        <w:t> </w:t>
      </w:r>
      <w:r>
        <w:rPr>
          <w:w w:val="105"/>
          <w:sz w:val="21"/>
        </w:rPr>
        <w:t>or</w:t>
      </w:r>
      <w:r>
        <w:rPr>
          <w:spacing w:val="-4"/>
          <w:w w:val="105"/>
          <w:sz w:val="21"/>
        </w:rPr>
        <w:t> </w:t>
      </w:r>
      <w:r>
        <w:rPr>
          <w:spacing w:val="-3"/>
          <w:w w:val="105"/>
          <w:sz w:val="21"/>
        </w:rPr>
        <w:t>repairing</w:t>
      </w:r>
      <w:r>
        <w:rPr>
          <w:spacing w:val="-4"/>
          <w:w w:val="105"/>
          <w:sz w:val="21"/>
        </w:rPr>
        <w:t> </w:t>
      </w:r>
      <w:r>
        <w:rPr>
          <w:w w:val="105"/>
          <w:sz w:val="21"/>
        </w:rPr>
        <w:t>your</w:t>
      </w:r>
      <w:r>
        <w:rPr>
          <w:spacing w:val="-4"/>
          <w:w w:val="105"/>
          <w:sz w:val="21"/>
        </w:rPr>
        <w:t> </w:t>
      </w:r>
      <w:r>
        <w:rPr>
          <w:w w:val="105"/>
          <w:sz w:val="21"/>
        </w:rPr>
        <w:t>home’</w:t>
      </w:r>
      <w:r>
        <w:rPr>
          <w:spacing w:val="-4"/>
          <w:w w:val="105"/>
          <w:sz w:val="21"/>
        </w:rPr>
        <w:t> </w:t>
      </w:r>
      <w:r>
        <w:rPr>
          <w:w w:val="105"/>
          <w:sz w:val="21"/>
        </w:rPr>
        <w:t>when</w:t>
      </w:r>
      <w:r>
        <w:rPr>
          <w:spacing w:val="-4"/>
          <w:w w:val="105"/>
          <w:sz w:val="21"/>
        </w:rPr>
        <w:t> </w:t>
      </w:r>
      <w:r>
        <w:rPr>
          <w:w w:val="105"/>
          <w:sz w:val="21"/>
        </w:rPr>
        <w:t>damage</w:t>
      </w:r>
      <w:r>
        <w:rPr>
          <w:spacing w:val="-4"/>
          <w:w w:val="105"/>
          <w:sz w:val="21"/>
        </w:rPr>
        <w:t> </w:t>
      </w:r>
      <w:r>
        <w:rPr>
          <w:w w:val="105"/>
          <w:sz w:val="21"/>
        </w:rPr>
        <w:t>occurs</w:t>
      </w:r>
      <w:r>
        <w:rPr>
          <w:spacing w:val="-4"/>
          <w:w w:val="105"/>
          <w:sz w:val="21"/>
        </w:rPr>
        <w:t> </w:t>
      </w:r>
      <w:r>
        <w:rPr>
          <w:w w:val="105"/>
          <w:sz w:val="21"/>
        </w:rPr>
        <w:t>in</w:t>
      </w:r>
      <w:r>
        <w:rPr>
          <w:spacing w:val="-4"/>
          <w:w w:val="105"/>
          <w:sz w:val="21"/>
        </w:rPr>
        <w:t> </w:t>
      </w:r>
      <w:r>
        <w:rPr>
          <w:spacing w:val="-3"/>
          <w:w w:val="105"/>
          <w:sz w:val="21"/>
        </w:rPr>
        <w:t>circumstances</w:t>
      </w:r>
      <w:r>
        <w:rPr>
          <w:spacing w:val="-4"/>
          <w:w w:val="105"/>
          <w:sz w:val="21"/>
        </w:rPr>
        <w:t> </w:t>
      </w:r>
      <w:r>
        <w:rPr>
          <w:spacing w:val="-3"/>
          <w:w w:val="105"/>
          <w:sz w:val="21"/>
        </w:rPr>
        <w:t>that are </w:t>
      </w:r>
      <w:r>
        <w:rPr>
          <w:w w:val="105"/>
          <w:sz w:val="21"/>
        </w:rPr>
        <w:t>out of the policy </w:t>
      </w:r>
      <w:r>
        <w:rPr>
          <w:spacing w:val="-3"/>
          <w:w w:val="105"/>
          <w:sz w:val="21"/>
        </w:rPr>
        <w:t>holder’s control, including natural </w:t>
      </w:r>
      <w:r>
        <w:rPr>
          <w:w w:val="105"/>
          <w:sz w:val="21"/>
        </w:rPr>
        <w:t>disasters and </w:t>
      </w:r>
      <w:r>
        <w:rPr>
          <w:spacing w:val="-5"/>
          <w:w w:val="105"/>
          <w:sz w:val="21"/>
        </w:rPr>
        <w:t>storms.</w:t>
      </w:r>
      <w:r>
        <w:rPr>
          <w:spacing w:val="-5"/>
          <w:w w:val="105"/>
          <w:position w:val="7"/>
          <w:sz w:val="12"/>
        </w:rPr>
        <w:t>1 </w:t>
      </w:r>
      <w:r>
        <w:rPr>
          <w:spacing w:val="-4"/>
          <w:w w:val="105"/>
          <w:sz w:val="21"/>
        </w:rPr>
        <w:t>However, </w:t>
      </w:r>
      <w:r>
        <w:rPr>
          <w:w w:val="105"/>
          <w:sz w:val="21"/>
        </w:rPr>
        <w:t>the scope of the </w:t>
      </w:r>
      <w:r>
        <w:rPr>
          <w:spacing w:val="-3"/>
          <w:w w:val="105"/>
          <w:sz w:val="21"/>
        </w:rPr>
        <w:t>cover </w:t>
      </w:r>
      <w:r>
        <w:rPr>
          <w:w w:val="105"/>
          <w:sz w:val="21"/>
        </w:rPr>
        <w:t>differs </w:t>
      </w:r>
      <w:r>
        <w:rPr>
          <w:spacing w:val="-3"/>
          <w:w w:val="105"/>
          <w:sz w:val="21"/>
        </w:rPr>
        <w:t>from </w:t>
      </w:r>
      <w:r>
        <w:rPr>
          <w:w w:val="105"/>
          <w:sz w:val="21"/>
        </w:rPr>
        <w:t>one </w:t>
      </w:r>
      <w:r>
        <w:rPr>
          <w:spacing w:val="-3"/>
          <w:w w:val="105"/>
          <w:sz w:val="21"/>
        </w:rPr>
        <w:t>insurer to </w:t>
      </w:r>
      <w:r>
        <w:rPr>
          <w:spacing w:val="-4"/>
          <w:w w:val="105"/>
          <w:sz w:val="21"/>
        </w:rPr>
        <w:t>another.</w:t>
      </w:r>
      <w:r>
        <w:rPr>
          <w:spacing w:val="-4"/>
          <w:w w:val="105"/>
          <w:position w:val="7"/>
          <w:sz w:val="12"/>
        </w:rPr>
        <w:t>2 </w:t>
      </w:r>
      <w:r>
        <w:rPr>
          <w:spacing w:val="-3"/>
          <w:w w:val="105"/>
          <w:sz w:val="21"/>
        </w:rPr>
        <w:t>Common </w:t>
      </w:r>
      <w:r>
        <w:rPr>
          <w:w w:val="105"/>
          <w:sz w:val="21"/>
        </w:rPr>
        <w:t>general </w:t>
      </w:r>
      <w:r>
        <w:rPr>
          <w:spacing w:val="-3"/>
          <w:w w:val="105"/>
          <w:sz w:val="21"/>
        </w:rPr>
        <w:t>exclusions for </w:t>
      </w:r>
      <w:r>
        <w:rPr>
          <w:w w:val="105"/>
          <w:sz w:val="21"/>
        </w:rPr>
        <w:t>damage caused by trees </w:t>
      </w:r>
      <w:r>
        <w:rPr>
          <w:spacing w:val="-3"/>
          <w:w w:val="105"/>
          <w:sz w:val="21"/>
        </w:rPr>
        <w:t>include </w:t>
      </w:r>
      <w:r>
        <w:rPr>
          <w:w w:val="105"/>
          <w:sz w:val="21"/>
        </w:rPr>
        <w:t>damage caused by tree</w:t>
      </w:r>
      <w:r>
        <w:rPr>
          <w:spacing w:val="31"/>
          <w:w w:val="105"/>
          <w:sz w:val="21"/>
        </w:rPr>
        <w:t> </w:t>
      </w:r>
      <w:r>
        <w:rPr>
          <w:w w:val="105"/>
          <w:sz w:val="21"/>
        </w:rPr>
        <w:t>roots.</w:t>
      </w:r>
      <w:r>
        <w:rPr>
          <w:w w:val="105"/>
          <w:position w:val="7"/>
          <w:sz w:val="12"/>
        </w:rPr>
        <w:t>3</w:t>
      </w:r>
    </w:p>
    <w:p>
      <w:pPr>
        <w:pStyle w:val="ListParagraph"/>
        <w:numPr>
          <w:ilvl w:val="1"/>
          <w:numId w:val="16"/>
        </w:numPr>
        <w:tabs>
          <w:tab w:pos="2381" w:val="left" w:leader="none"/>
          <w:tab w:pos="2382" w:val="left" w:leader="none"/>
        </w:tabs>
        <w:spacing w:line="242" w:lineRule="auto" w:before="126" w:after="0"/>
        <w:ind w:left="2381" w:right="1845" w:hanging="794"/>
        <w:jc w:val="both"/>
        <w:rPr>
          <w:sz w:val="21"/>
        </w:rPr>
      </w:pPr>
      <w:r>
        <w:rPr>
          <w:spacing w:val="-3"/>
          <w:w w:val="105"/>
          <w:sz w:val="21"/>
        </w:rPr>
        <w:t>Generally speaking, </w:t>
      </w:r>
      <w:r>
        <w:rPr>
          <w:w w:val="105"/>
          <w:sz w:val="21"/>
        </w:rPr>
        <w:t>a </w:t>
      </w:r>
      <w:r>
        <w:rPr>
          <w:spacing w:val="-3"/>
          <w:w w:val="105"/>
          <w:sz w:val="21"/>
        </w:rPr>
        <w:t>householder’s </w:t>
      </w:r>
      <w:r>
        <w:rPr>
          <w:spacing w:val="-4"/>
          <w:w w:val="105"/>
          <w:sz w:val="21"/>
        </w:rPr>
        <w:t>insurance </w:t>
      </w:r>
      <w:r>
        <w:rPr>
          <w:spacing w:val="-3"/>
          <w:w w:val="105"/>
          <w:sz w:val="21"/>
        </w:rPr>
        <w:t>will </w:t>
      </w:r>
      <w:r>
        <w:rPr>
          <w:w w:val="105"/>
          <w:sz w:val="21"/>
        </w:rPr>
        <w:t>only </w:t>
      </w:r>
      <w:r>
        <w:rPr>
          <w:spacing w:val="-3"/>
          <w:w w:val="105"/>
          <w:sz w:val="21"/>
        </w:rPr>
        <w:t>cover </w:t>
      </w:r>
      <w:r>
        <w:rPr>
          <w:w w:val="105"/>
          <w:sz w:val="21"/>
        </w:rPr>
        <w:t>damage </w:t>
      </w:r>
      <w:r>
        <w:rPr>
          <w:spacing w:val="-3"/>
          <w:w w:val="105"/>
          <w:sz w:val="21"/>
        </w:rPr>
        <w:t>to </w:t>
      </w:r>
      <w:r>
        <w:rPr>
          <w:w w:val="105"/>
          <w:sz w:val="21"/>
        </w:rPr>
        <w:t>their property. Where</w:t>
      </w:r>
      <w:r>
        <w:rPr>
          <w:spacing w:val="-8"/>
          <w:w w:val="105"/>
          <w:sz w:val="21"/>
        </w:rPr>
        <w:t> </w:t>
      </w:r>
      <w:r>
        <w:rPr>
          <w:w w:val="105"/>
          <w:sz w:val="21"/>
        </w:rPr>
        <w:t>a</w:t>
      </w:r>
      <w:r>
        <w:rPr>
          <w:spacing w:val="-8"/>
          <w:w w:val="105"/>
          <w:sz w:val="21"/>
        </w:rPr>
        <w:t> </w:t>
      </w:r>
      <w:r>
        <w:rPr>
          <w:w w:val="105"/>
          <w:sz w:val="21"/>
        </w:rPr>
        <w:t>tree</w:t>
      </w:r>
      <w:r>
        <w:rPr>
          <w:spacing w:val="-8"/>
          <w:w w:val="105"/>
          <w:sz w:val="21"/>
        </w:rPr>
        <w:t> </w:t>
      </w:r>
      <w:r>
        <w:rPr>
          <w:spacing w:val="-4"/>
          <w:w w:val="105"/>
          <w:sz w:val="21"/>
        </w:rPr>
        <w:t>falls</w:t>
      </w:r>
      <w:r>
        <w:rPr>
          <w:spacing w:val="-8"/>
          <w:w w:val="105"/>
          <w:sz w:val="21"/>
        </w:rPr>
        <w:t> </w:t>
      </w:r>
      <w:r>
        <w:rPr>
          <w:w w:val="105"/>
          <w:sz w:val="21"/>
        </w:rPr>
        <w:t>across</w:t>
      </w:r>
      <w:r>
        <w:rPr>
          <w:spacing w:val="-8"/>
          <w:w w:val="105"/>
          <w:sz w:val="21"/>
        </w:rPr>
        <w:t> </w:t>
      </w:r>
      <w:r>
        <w:rPr>
          <w:w w:val="105"/>
          <w:sz w:val="21"/>
        </w:rPr>
        <w:t>boundary</w:t>
      </w:r>
      <w:r>
        <w:rPr>
          <w:spacing w:val="-8"/>
          <w:w w:val="105"/>
          <w:sz w:val="21"/>
        </w:rPr>
        <w:t> </w:t>
      </w:r>
      <w:r>
        <w:rPr>
          <w:spacing w:val="-3"/>
          <w:w w:val="105"/>
          <w:sz w:val="21"/>
        </w:rPr>
        <w:t>lines</w:t>
      </w:r>
      <w:r>
        <w:rPr>
          <w:spacing w:val="-8"/>
          <w:w w:val="105"/>
          <w:sz w:val="21"/>
        </w:rPr>
        <w:t> </w:t>
      </w:r>
      <w:r>
        <w:rPr>
          <w:w w:val="105"/>
          <w:sz w:val="21"/>
        </w:rPr>
        <w:t>and</w:t>
      </w:r>
      <w:r>
        <w:rPr>
          <w:spacing w:val="-8"/>
          <w:w w:val="105"/>
          <w:sz w:val="21"/>
        </w:rPr>
        <w:t> </w:t>
      </w:r>
      <w:r>
        <w:rPr>
          <w:w w:val="105"/>
          <w:sz w:val="21"/>
        </w:rPr>
        <w:t>damages</w:t>
      </w:r>
      <w:r>
        <w:rPr>
          <w:spacing w:val="-8"/>
          <w:w w:val="105"/>
          <w:sz w:val="21"/>
        </w:rPr>
        <w:t> </w:t>
      </w:r>
      <w:r>
        <w:rPr>
          <w:w w:val="105"/>
          <w:sz w:val="21"/>
        </w:rPr>
        <w:t>a</w:t>
      </w:r>
      <w:r>
        <w:rPr>
          <w:spacing w:val="-8"/>
          <w:w w:val="105"/>
          <w:sz w:val="21"/>
        </w:rPr>
        <w:t> </w:t>
      </w:r>
      <w:r>
        <w:rPr>
          <w:spacing w:val="-3"/>
          <w:w w:val="105"/>
          <w:sz w:val="21"/>
        </w:rPr>
        <w:t>neighbour’s</w:t>
      </w:r>
      <w:r>
        <w:rPr>
          <w:spacing w:val="-8"/>
          <w:w w:val="105"/>
          <w:sz w:val="21"/>
        </w:rPr>
        <w:t> </w:t>
      </w:r>
      <w:r>
        <w:rPr>
          <w:w w:val="105"/>
          <w:sz w:val="21"/>
        </w:rPr>
        <w:t>property,</w:t>
      </w:r>
      <w:r>
        <w:rPr>
          <w:spacing w:val="-8"/>
          <w:w w:val="105"/>
          <w:sz w:val="21"/>
        </w:rPr>
        <w:t> </w:t>
      </w:r>
      <w:r>
        <w:rPr>
          <w:w w:val="105"/>
          <w:sz w:val="21"/>
        </w:rPr>
        <w:t>the</w:t>
      </w:r>
      <w:r>
        <w:rPr>
          <w:spacing w:val="-8"/>
          <w:w w:val="105"/>
          <w:sz w:val="21"/>
        </w:rPr>
        <w:t> </w:t>
      </w:r>
      <w:r>
        <w:rPr>
          <w:spacing w:val="-4"/>
          <w:w w:val="105"/>
          <w:sz w:val="21"/>
        </w:rPr>
        <w:t>likely </w:t>
      </w:r>
      <w:r>
        <w:rPr>
          <w:w w:val="105"/>
          <w:sz w:val="21"/>
        </w:rPr>
        <w:t>course of action is </w:t>
      </w:r>
      <w:r>
        <w:rPr>
          <w:spacing w:val="-3"/>
          <w:w w:val="105"/>
          <w:sz w:val="21"/>
        </w:rPr>
        <w:t>for </w:t>
      </w:r>
      <w:r>
        <w:rPr>
          <w:w w:val="105"/>
          <w:sz w:val="21"/>
        </w:rPr>
        <w:t>the affected </w:t>
      </w:r>
      <w:r>
        <w:rPr>
          <w:spacing w:val="-3"/>
          <w:w w:val="105"/>
          <w:sz w:val="21"/>
        </w:rPr>
        <w:t>neighbour to claim </w:t>
      </w:r>
      <w:r>
        <w:rPr>
          <w:w w:val="105"/>
          <w:sz w:val="21"/>
        </w:rPr>
        <w:t>on their own</w:t>
      </w:r>
      <w:r>
        <w:rPr>
          <w:spacing w:val="33"/>
          <w:w w:val="105"/>
          <w:sz w:val="21"/>
        </w:rPr>
        <w:t> </w:t>
      </w:r>
      <w:r>
        <w:rPr>
          <w:spacing w:val="-4"/>
          <w:w w:val="105"/>
          <w:sz w:val="21"/>
        </w:rPr>
        <w:t>insurance.</w:t>
      </w:r>
      <w:r>
        <w:rPr>
          <w:spacing w:val="-4"/>
          <w:w w:val="105"/>
          <w:position w:val="7"/>
          <w:sz w:val="12"/>
        </w:rPr>
        <w:t>4</w:t>
      </w:r>
    </w:p>
    <w:p>
      <w:pPr>
        <w:pStyle w:val="BodyText"/>
        <w:spacing w:before="8"/>
        <w:rPr>
          <w:sz w:val="13"/>
        </w:rPr>
      </w:pPr>
      <w:r>
        <w:rPr/>
        <w:pict>
          <v:line style="position:absolute;mso-position-horizontal-relative:page;mso-position-vertical-relative:paragraph;z-index:848;mso-wrap-distance-left:0;mso-wrap-distance-right:0" from="79.370102pt,10.801738pt" to="515.905102pt,10.801738pt" stroked="true" strokeweight="1pt" strokecolor="#c9d2cb">
            <v:stroke dashstyle="solid"/>
            <w10:wrap type="topAndBottom"/>
          </v:line>
        </w:pict>
      </w:r>
    </w:p>
    <w:p>
      <w:pPr>
        <w:pStyle w:val="ListParagraph"/>
        <w:numPr>
          <w:ilvl w:val="0"/>
          <w:numId w:val="25"/>
        </w:numPr>
        <w:tabs>
          <w:tab w:pos="2380" w:val="left" w:leader="none"/>
          <w:tab w:pos="2382" w:val="left" w:leader="none"/>
        </w:tabs>
        <w:spacing w:line="240" w:lineRule="auto" w:before="117" w:after="0"/>
        <w:ind w:left="2381" w:right="0" w:hanging="794"/>
        <w:jc w:val="left"/>
        <w:rPr>
          <w:sz w:val="13"/>
        </w:rPr>
      </w:pPr>
      <w:r>
        <w:rPr>
          <w:w w:val="105"/>
          <w:sz w:val="13"/>
        </w:rPr>
        <w:t>Australian</w:t>
      </w:r>
      <w:r>
        <w:rPr>
          <w:spacing w:val="5"/>
          <w:w w:val="105"/>
          <w:sz w:val="13"/>
        </w:rPr>
        <w:t> </w:t>
      </w:r>
      <w:r>
        <w:rPr>
          <w:w w:val="105"/>
          <w:sz w:val="13"/>
        </w:rPr>
        <w:t>Securities</w:t>
      </w:r>
      <w:r>
        <w:rPr>
          <w:spacing w:val="5"/>
          <w:w w:val="105"/>
          <w:sz w:val="13"/>
        </w:rPr>
        <w:t> </w:t>
      </w:r>
      <w:r>
        <w:rPr>
          <w:w w:val="105"/>
          <w:sz w:val="13"/>
        </w:rPr>
        <w:t>and</w:t>
      </w:r>
      <w:r>
        <w:rPr>
          <w:spacing w:val="5"/>
          <w:w w:val="105"/>
          <w:sz w:val="13"/>
        </w:rPr>
        <w:t> </w:t>
      </w:r>
      <w:r>
        <w:rPr>
          <w:w w:val="105"/>
          <w:sz w:val="13"/>
        </w:rPr>
        <w:t>Investments</w:t>
      </w:r>
      <w:r>
        <w:rPr>
          <w:spacing w:val="5"/>
          <w:w w:val="105"/>
          <w:sz w:val="13"/>
        </w:rPr>
        <w:t> </w:t>
      </w:r>
      <w:r>
        <w:rPr>
          <w:w w:val="105"/>
          <w:sz w:val="13"/>
        </w:rPr>
        <w:t>Commission</w:t>
      </w:r>
      <w:r>
        <w:rPr>
          <w:spacing w:val="5"/>
          <w:w w:val="105"/>
          <w:sz w:val="13"/>
        </w:rPr>
        <w:t> </w:t>
      </w:r>
      <w:r>
        <w:rPr>
          <w:spacing w:val="2"/>
          <w:w w:val="105"/>
          <w:sz w:val="13"/>
        </w:rPr>
        <w:t>(ASIC),</w:t>
      </w:r>
      <w:r>
        <w:rPr>
          <w:spacing w:val="5"/>
          <w:w w:val="105"/>
          <w:sz w:val="13"/>
        </w:rPr>
        <w:t> </w:t>
      </w:r>
      <w:r>
        <w:rPr>
          <w:w w:val="105"/>
          <w:sz w:val="13"/>
        </w:rPr>
        <w:t>‘MoneySmart’,</w:t>
      </w:r>
      <w:r>
        <w:rPr>
          <w:spacing w:val="5"/>
          <w:w w:val="105"/>
          <w:sz w:val="13"/>
        </w:rPr>
        <w:t> </w:t>
      </w:r>
      <w:r>
        <w:rPr>
          <w:i/>
          <w:w w:val="105"/>
          <w:sz w:val="13"/>
        </w:rPr>
        <w:t>Home</w:t>
      </w:r>
      <w:r>
        <w:rPr>
          <w:i/>
          <w:spacing w:val="6"/>
          <w:w w:val="105"/>
          <w:sz w:val="13"/>
        </w:rPr>
        <w:t> </w:t>
      </w:r>
      <w:r>
        <w:rPr>
          <w:i/>
          <w:w w:val="105"/>
          <w:sz w:val="13"/>
        </w:rPr>
        <w:t>Insurance</w:t>
      </w:r>
      <w:r>
        <w:rPr>
          <w:i/>
          <w:spacing w:val="5"/>
          <w:w w:val="105"/>
          <w:sz w:val="13"/>
        </w:rPr>
        <w:t> </w:t>
      </w:r>
      <w:r>
        <w:rPr>
          <w:w w:val="105"/>
          <w:sz w:val="13"/>
        </w:rPr>
        <w:t>(Web</w:t>
      </w:r>
      <w:r>
        <w:rPr>
          <w:spacing w:val="5"/>
          <w:w w:val="105"/>
          <w:sz w:val="13"/>
        </w:rPr>
        <w:t> </w:t>
      </w:r>
      <w:r>
        <w:rPr>
          <w:w w:val="105"/>
          <w:sz w:val="13"/>
        </w:rPr>
        <w:t>Page,</w:t>
      </w:r>
      <w:r>
        <w:rPr>
          <w:spacing w:val="5"/>
          <w:w w:val="105"/>
          <w:sz w:val="13"/>
        </w:rPr>
        <w:t> </w:t>
      </w:r>
      <w:r>
        <w:rPr>
          <w:spacing w:val="-3"/>
          <w:w w:val="105"/>
          <w:sz w:val="13"/>
        </w:rPr>
        <w:t>19</w:t>
      </w:r>
      <w:r>
        <w:rPr>
          <w:spacing w:val="5"/>
          <w:w w:val="105"/>
          <w:sz w:val="13"/>
        </w:rPr>
        <w:t> </w:t>
      </w:r>
      <w:r>
        <w:rPr>
          <w:w w:val="105"/>
          <w:sz w:val="13"/>
        </w:rPr>
        <w:t>December</w:t>
      </w:r>
      <w:r>
        <w:rPr>
          <w:spacing w:val="5"/>
          <w:w w:val="105"/>
          <w:sz w:val="13"/>
        </w:rPr>
        <w:t> </w:t>
      </w:r>
      <w:r>
        <w:rPr>
          <w:w w:val="105"/>
          <w:sz w:val="13"/>
        </w:rPr>
        <w:t>2018)</w:t>
      </w:r>
    </w:p>
    <w:p>
      <w:pPr>
        <w:spacing w:before="1"/>
        <w:ind w:left="2381" w:right="0" w:firstLine="0"/>
        <w:jc w:val="left"/>
        <w:rPr>
          <w:sz w:val="13"/>
        </w:rPr>
      </w:pPr>
      <w:r>
        <w:rPr>
          <w:sz w:val="13"/>
        </w:rPr>
        <w:t>&lt;https://</w:t>
      </w:r>
      <w:hyperlink r:id="rId51">
        <w:r>
          <w:rPr>
            <w:sz w:val="13"/>
          </w:rPr>
          <w:t>www.moneysmart.gov.au/insurance/home-insurance</w:t>
        </w:r>
      </w:hyperlink>
      <w:r>
        <w:rPr>
          <w:sz w:val="13"/>
        </w:rPr>
        <w:t>&gt;.</w:t>
      </w:r>
    </w:p>
    <w:p>
      <w:pPr>
        <w:pStyle w:val="ListParagraph"/>
        <w:numPr>
          <w:ilvl w:val="0"/>
          <w:numId w:val="25"/>
        </w:numPr>
        <w:tabs>
          <w:tab w:pos="2380" w:val="left" w:leader="none"/>
          <w:tab w:pos="2382" w:val="left" w:leader="none"/>
        </w:tabs>
        <w:spacing w:line="240" w:lineRule="auto" w:before="2" w:after="0"/>
        <w:ind w:left="2381" w:right="1597" w:hanging="794"/>
        <w:jc w:val="left"/>
        <w:rPr>
          <w:sz w:val="13"/>
        </w:rPr>
      </w:pPr>
      <w:r>
        <w:rPr>
          <w:spacing w:val="2"/>
          <w:w w:val="105"/>
          <w:sz w:val="13"/>
        </w:rPr>
        <w:t>ASIC </w:t>
      </w:r>
      <w:r>
        <w:rPr>
          <w:w w:val="105"/>
          <w:sz w:val="13"/>
        </w:rPr>
        <w:t>encourages consumers to carefully examine each provider’s Product Disclosure Statement </w:t>
      </w:r>
      <w:r>
        <w:rPr>
          <w:spacing w:val="2"/>
          <w:w w:val="105"/>
          <w:sz w:val="13"/>
        </w:rPr>
        <w:t>(PDS) </w:t>
      </w:r>
      <w:r>
        <w:rPr>
          <w:w w:val="105"/>
          <w:sz w:val="13"/>
        </w:rPr>
        <w:t>before purchasing and relying on their insurance coverage: Australian Securities and Investments Commission </w:t>
      </w:r>
      <w:r>
        <w:rPr>
          <w:spacing w:val="2"/>
          <w:w w:val="105"/>
          <w:sz w:val="13"/>
        </w:rPr>
        <w:t>(ASIC), </w:t>
      </w:r>
      <w:r>
        <w:rPr>
          <w:w w:val="105"/>
          <w:sz w:val="13"/>
        </w:rPr>
        <w:t>‘MoneySmart’, </w:t>
      </w:r>
      <w:r>
        <w:rPr>
          <w:i/>
          <w:w w:val="105"/>
          <w:sz w:val="13"/>
        </w:rPr>
        <w:t>Home Insurance </w:t>
      </w:r>
      <w:r>
        <w:rPr>
          <w:w w:val="105"/>
          <w:sz w:val="13"/>
        </w:rPr>
        <w:t>(Web Page, </w:t>
      </w:r>
      <w:r>
        <w:rPr>
          <w:spacing w:val="-3"/>
          <w:w w:val="105"/>
          <w:sz w:val="13"/>
        </w:rPr>
        <w:t>19 </w:t>
      </w:r>
      <w:r>
        <w:rPr>
          <w:w w:val="105"/>
          <w:sz w:val="13"/>
        </w:rPr>
        <w:t>December</w:t>
      </w:r>
      <w:r>
        <w:rPr>
          <w:spacing w:val="30"/>
          <w:w w:val="105"/>
          <w:sz w:val="13"/>
        </w:rPr>
        <w:t> </w:t>
      </w:r>
      <w:r>
        <w:rPr>
          <w:w w:val="105"/>
          <w:sz w:val="13"/>
        </w:rPr>
        <w:t>2018)</w:t>
      </w:r>
      <w:r>
        <w:rPr>
          <w:spacing w:val="4"/>
          <w:w w:val="105"/>
          <w:sz w:val="13"/>
        </w:rPr>
        <w:t> </w:t>
      </w:r>
      <w:r>
        <w:rPr>
          <w:w w:val="105"/>
          <w:sz w:val="13"/>
        </w:rPr>
        <w:t>&lt;</w:t>
      </w:r>
      <w:hyperlink r:id="rId52">
        <w:r>
          <w:rPr>
            <w:w w:val="105"/>
            <w:sz w:val="13"/>
          </w:rPr>
          <w:t>www.moneysmart.gov.au/insurance/homeinsurance</w:t>
        </w:r>
      </w:hyperlink>
      <w:r>
        <w:rPr>
          <w:w w:val="105"/>
          <w:sz w:val="13"/>
        </w:rPr>
        <w:t>&gt;.</w:t>
      </w:r>
    </w:p>
    <w:p>
      <w:pPr>
        <w:pStyle w:val="ListParagraph"/>
        <w:numPr>
          <w:ilvl w:val="0"/>
          <w:numId w:val="25"/>
        </w:numPr>
        <w:tabs>
          <w:tab w:pos="2380" w:val="left" w:leader="none"/>
          <w:tab w:pos="2382" w:val="left" w:leader="none"/>
        </w:tabs>
        <w:spacing w:line="240" w:lineRule="auto" w:before="4" w:after="0"/>
        <w:ind w:left="2381" w:right="1861" w:hanging="794"/>
        <w:jc w:val="left"/>
        <w:rPr>
          <w:sz w:val="13"/>
        </w:rPr>
      </w:pPr>
      <w:r>
        <w:rPr>
          <w:w w:val="105"/>
          <w:sz w:val="13"/>
        </w:rPr>
        <w:t>See, eg, </w:t>
      </w:r>
      <w:r>
        <w:rPr>
          <w:spacing w:val="3"/>
          <w:w w:val="105"/>
          <w:sz w:val="13"/>
        </w:rPr>
        <w:t>AAMI, </w:t>
      </w:r>
      <w:r>
        <w:rPr>
          <w:i/>
          <w:w w:val="105"/>
          <w:sz w:val="13"/>
        </w:rPr>
        <w:t>Home Building Insurance Product Disclosure Statement </w:t>
      </w:r>
      <w:r>
        <w:rPr>
          <w:w w:val="105"/>
          <w:sz w:val="13"/>
        </w:rPr>
        <w:t>(1 October 2013) 39; RACV, </w:t>
      </w:r>
      <w:r>
        <w:rPr>
          <w:i/>
          <w:w w:val="105"/>
          <w:sz w:val="13"/>
        </w:rPr>
        <w:t>Home Insurance Product Disclosure </w:t>
      </w:r>
      <w:r>
        <w:rPr>
          <w:i/>
          <w:w w:val="105"/>
          <w:sz w:val="13"/>
        </w:rPr>
        <w:t>Statement and Policy Booklet </w:t>
      </w:r>
      <w:r>
        <w:rPr>
          <w:w w:val="105"/>
          <w:sz w:val="13"/>
        </w:rPr>
        <w:t>(29 September 2017)</w:t>
      </w:r>
      <w:r>
        <w:rPr>
          <w:spacing w:val="1"/>
          <w:w w:val="105"/>
          <w:sz w:val="13"/>
        </w:rPr>
        <w:t> </w:t>
      </w:r>
      <w:r>
        <w:rPr>
          <w:w w:val="105"/>
          <w:sz w:val="13"/>
        </w:rPr>
        <w:t>63.</w:t>
      </w:r>
    </w:p>
    <w:p>
      <w:pPr>
        <w:pStyle w:val="ListParagraph"/>
        <w:numPr>
          <w:ilvl w:val="0"/>
          <w:numId w:val="25"/>
        </w:numPr>
        <w:tabs>
          <w:tab w:pos="2380" w:val="left" w:leader="none"/>
          <w:tab w:pos="2382" w:val="left" w:leader="none"/>
        </w:tabs>
        <w:spacing w:line="240" w:lineRule="auto" w:before="2" w:after="0"/>
        <w:ind w:left="2381" w:right="1598" w:hanging="794"/>
        <w:jc w:val="left"/>
        <w:rPr>
          <w:sz w:val="13"/>
        </w:rPr>
      </w:pPr>
      <w:r>
        <w:rPr/>
        <w:pict>
          <v:shape style="position:absolute;margin-left:36pt;margin-top:11.058865pt;width:13.2pt;height:14.25pt;mso-position-horizontal-relative:page;mso-position-vertical-relative:paragraph;z-index:2920" type="#_x0000_t202" filled="false" stroked="false">
            <v:textbox inset="0,0,0,0">
              <w:txbxContent>
                <w:p>
                  <w:pPr>
                    <w:spacing w:line="284" w:lineRule="exact" w:before="0"/>
                    <w:ind w:left="0" w:right="0" w:firstLine="0"/>
                    <w:jc w:val="left"/>
                    <w:rPr>
                      <w:b/>
                      <w:sz w:val="24"/>
                    </w:rPr>
                  </w:pPr>
                  <w:r>
                    <w:rPr>
                      <w:b/>
                      <w:color w:val="658464"/>
                      <w:spacing w:val="-2"/>
                      <w:w w:val="110"/>
                      <w:sz w:val="24"/>
                    </w:rPr>
                    <w:t>26</w:t>
                  </w:r>
                </w:p>
              </w:txbxContent>
            </v:textbox>
            <w10:wrap type="none"/>
          </v:shape>
        </w:pict>
      </w:r>
      <w:r>
        <w:rPr>
          <w:sz w:val="13"/>
        </w:rPr>
        <w:t>For a landowner to be found liable, generally they will need to be aware that the tree is near the boundary and in a dangerous condition or       belongs to a species which is known to drop branches: see Financial Rights Legal Centre, </w:t>
      </w:r>
      <w:r>
        <w:rPr>
          <w:i/>
          <w:sz w:val="13"/>
        </w:rPr>
        <w:t>If a Tree Falls in a Storm Who Pays for its Removal? </w:t>
      </w:r>
      <w:r>
        <w:rPr>
          <w:spacing w:val="2"/>
          <w:sz w:val="13"/>
        </w:rPr>
        <w:t>(Factsheet, </w:t>
      </w:r>
      <w:r>
        <w:rPr>
          <w:sz w:val="13"/>
        </w:rPr>
        <w:t>2018)</w:t>
      </w:r>
      <w:r>
        <w:rPr>
          <w:spacing w:val="11"/>
          <w:sz w:val="13"/>
        </w:rPr>
        <w:t> </w:t>
      </w:r>
      <w:r>
        <w:rPr>
          <w:spacing w:val="2"/>
          <w:sz w:val="13"/>
        </w:rPr>
        <w:t>&lt;https://insurancelaw.org.au/factsheets/&gt;.</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689" w:hanging="794"/>
        <w:jc w:val="left"/>
        <w:rPr>
          <w:sz w:val="21"/>
        </w:rPr>
      </w:pPr>
      <w:bookmarkStart w:name="Abatement/’self-help’" w:id="59"/>
      <w:bookmarkEnd w:id="59"/>
      <w:r>
        <w:rPr/>
      </w:r>
      <w:bookmarkStart w:name="_bookmark21" w:id="60"/>
      <w:bookmarkEnd w:id="60"/>
      <w:r>
        <w:rPr/>
      </w:r>
      <w:bookmarkStart w:name="_bookmark21" w:id="61"/>
      <w:bookmarkEnd w:id="61"/>
      <w:r>
        <w:rPr>
          <w:w w:val="105"/>
          <w:sz w:val="21"/>
        </w:rPr>
        <w:t>W</w:t>
      </w:r>
      <w:r>
        <w:rPr>
          <w:w w:val="105"/>
          <w:sz w:val="21"/>
        </w:rPr>
        <w:t>here the tree owner can be shown </w:t>
      </w:r>
      <w:r>
        <w:rPr>
          <w:spacing w:val="-3"/>
          <w:w w:val="105"/>
          <w:sz w:val="21"/>
        </w:rPr>
        <w:t>to </w:t>
      </w:r>
      <w:r>
        <w:rPr>
          <w:w w:val="105"/>
          <w:sz w:val="21"/>
        </w:rPr>
        <w:t>be at </w:t>
      </w:r>
      <w:r>
        <w:rPr>
          <w:spacing w:val="-3"/>
          <w:w w:val="105"/>
          <w:sz w:val="21"/>
        </w:rPr>
        <w:t>fault (for example, </w:t>
      </w:r>
      <w:r>
        <w:rPr>
          <w:w w:val="105"/>
          <w:sz w:val="21"/>
        </w:rPr>
        <w:t>they </w:t>
      </w:r>
      <w:r>
        <w:rPr>
          <w:spacing w:val="-2"/>
          <w:w w:val="105"/>
          <w:sz w:val="21"/>
        </w:rPr>
        <w:t>had </w:t>
      </w:r>
      <w:r>
        <w:rPr>
          <w:w w:val="105"/>
          <w:sz w:val="21"/>
        </w:rPr>
        <w:t>knowledge of the poor </w:t>
      </w:r>
      <w:r>
        <w:rPr>
          <w:spacing w:val="-3"/>
          <w:w w:val="105"/>
          <w:sz w:val="21"/>
        </w:rPr>
        <w:t>condition </w:t>
      </w:r>
      <w:r>
        <w:rPr>
          <w:w w:val="105"/>
          <w:sz w:val="21"/>
        </w:rPr>
        <w:t>of the tree), the affected </w:t>
      </w:r>
      <w:r>
        <w:rPr>
          <w:spacing w:val="-3"/>
          <w:w w:val="105"/>
          <w:sz w:val="21"/>
        </w:rPr>
        <w:t>neighbour’s </w:t>
      </w:r>
      <w:r>
        <w:rPr>
          <w:spacing w:val="-4"/>
          <w:w w:val="105"/>
          <w:sz w:val="21"/>
        </w:rPr>
        <w:t>insurance </w:t>
      </w:r>
      <w:r>
        <w:rPr>
          <w:spacing w:val="-3"/>
          <w:w w:val="105"/>
          <w:sz w:val="21"/>
        </w:rPr>
        <w:t>company may </w:t>
      </w:r>
      <w:r>
        <w:rPr>
          <w:w w:val="105"/>
          <w:sz w:val="21"/>
        </w:rPr>
        <w:t>seek </w:t>
      </w:r>
      <w:r>
        <w:rPr>
          <w:spacing w:val="-3"/>
          <w:w w:val="105"/>
          <w:sz w:val="21"/>
        </w:rPr>
        <w:t>to recover from </w:t>
      </w:r>
      <w:r>
        <w:rPr>
          <w:w w:val="105"/>
          <w:sz w:val="21"/>
        </w:rPr>
        <w:t>the tree </w:t>
      </w:r>
      <w:r>
        <w:rPr>
          <w:spacing w:val="-3"/>
          <w:w w:val="105"/>
          <w:sz w:val="21"/>
        </w:rPr>
        <w:t>owner’s </w:t>
      </w:r>
      <w:r>
        <w:rPr>
          <w:spacing w:val="-4"/>
          <w:w w:val="105"/>
          <w:sz w:val="21"/>
        </w:rPr>
        <w:t>insurance</w:t>
      </w:r>
      <w:r>
        <w:rPr>
          <w:spacing w:val="36"/>
          <w:w w:val="105"/>
          <w:sz w:val="21"/>
        </w:rPr>
        <w:t> </w:t>
      </w:r>
      <w:r>
        <w:rPr>
          <w:spacing w:val="-4"/>
          <w:w w:val="105"/>
          <w:sz w:val="21"/>
        </w:rPr>
        <w:t>company.</w:t>
      </w:r>
      <w:r>
        <w:rPr>
          <w:spacing w:val="-4"/>
          <w:w w:val="105"/>
          <w:position w:val="7"/>
          <w:sz w:val="12"/>
        </w:rPr>
        <w:t>5</w:t>
      </w:r>
    </w:p>
    <w:p>
      <w:pPr>
        <w:pStyle w:val="ListParagraph"/>
        <w:numPr>
          <w:ilvl w:val="1"/>
          <w:numId w:val="16"/>
        </w:numPr>
        <w:tabs>
          <w:tab w:pos="2380" w:val="left" w:leader="none"/>
          <w:tab w:pos="2382" w:val="left" w:leader="none"/>
        </w:tabs>
        <w:spacing w:line="242" w:lineRule="auto" w:before="124" w:after="0"/>
        <w:ind w:left="2381" w:right="1683" w:hanging="794"/>
        <w:jc w:val="left"/>
        <w:rPr>
          <w:sz w:val="21"/>
        </w:rPr>
      </w:pPr>
      <w:r>
        <w:rPr>
          <w:spacing w:val="-3"/>
          <w:sz w:val="21"/>
        </w:rPr>
        <w:t>Insurance cannot, </w:t>
      </w:r>
      <w:r>
        <w:rPr>
          <w:spacing w:val="-4"/>
          <w:sz w:val="21"/>
        </w:rPr>
        <w:t>however, </w:t>
      </w:r>
      <w:r>
        <w:rPr>
          <w:spacing w:val="-3"/>
          <w:sz w:val="21"/>
        </w:rPr>
        <w:t>prevent damage. </w:t>
      </w:r>
      <w:r>
        <w:rPr>
          <w:sz w:val="21"/>
        </w:rPr>
        <w:t>An </w:t>
      </w:r>
      <w:r>
        <w:rPr>
          <w:spacing w:val="-4"/>
          <w:sz w:val="21"/>
        </w:rPr>
        <w:t>insurance </w:t>
      </w:r>
      <w:r>
        <w:rPr>
          <w:spacing w:val="-3"/>
          <w:sz w:val="21"/>
        </w:rPr>
        <w:t>claim </w:t>
      </w:r>
      <w:r>
        <w:rPr>
          <w:sz w:val="21"/>
        </w:rPr>
        <w:t>is only possible once damage or </w:t>
      </w:r>
      <w:r>
        <w:rPr>
          <w:spacing w:val="-3"/>
          <w:sz w:val="21"/>
        </w:rPr>
        <w:t>harm </w:t>
      </w:r>
      <w:r>
        <w:rPr>
          <w:sz w:val="21"/>
        </w:rPr>
        <w:t>(injury) </w:t>
      </w:r>
      <w:r>
        <w:rPr>
          <w:spacing w:val="-2"/>
          <w:sz w:val="21"/>
        </w:rPr>
        <w:t>has </w:t>
      </w:r>
      <w:r>
        <w:rPr>
          <w:spacing w:val="-3"/>
          <w:sz w:val="21"/>
        </w:rPr>
        <w:t>occurred. </w:t>
      </w:r>
      <w:r>
        <w:rPr>
          <w:sz w:val="21"/>
        </w:rPr>
        <w:t>An </w:t>
      </w:r>
      <w:r>
        <w:rPr>
          <w:spacing w:val="-4"/>
          <w:sz w:val="21"/>
        </w:rPr>
        <w:t>insurance </w:t>
      </w:r>
      <w:r>
        <w:rPr>
          <w:sz w:val="21"/>
        </w:rPr>
        <w:t>provider </w:t>
      </w:r>
      <w:r>
        <w:rPr>
          <w:spacing w:val="-3"/>
          <w:sz w:val="21"/>
        </w:rPr>
        <w:t>cannot enforce </w:t>
      </w:r>
      <w:r>
        <w:rPr>
          <w:sz w:val="21"/>
        </w:rPr>
        <w:t>pre-emptive </w:t>
      </w:r>
      <w:r>
        <w:rPr>
          <w:spacing w:val="-3"/>
          <w:sz w:val="21"/>
        </w:rPr>
        <w:t>measures</w:t>
      </w:r>
      <w:r>
        <w:rPr>
          <w:spacing w:val="14"/>
          <w:sz w:val="21"/>
        </w:rPr>
        <w:t> </w:t>
      </w:r>
      <w:r>
        <w:rPr>
          <w:spacing w:val="-3"/>
          <w:sz w:val="21"/>
        </w:rPr>
        <w:t>such</w:t>
      </w:r>
      <w:r>
        <w:rPr>
          <w:spacing w:val="15"/>
          <w:sz w:val="21"/>
        </w:rPr>
        <w:t> </w:t>
      </w:r>
      <w:r>
        <w:rPr>
          <w:sz w:val="21"/>
        </w:rPr>
        <w:t>as</w:t>
      </w:r>
      <w:r>
        <w:rPr>
          <w:spacing w:val="15"/>
          <w:sz w:val="21"/>
        </w:rPr>
        <w:t> </w:t>
      </w:r>
      <w:r>
        <w:rPr>
          <w:spacing w:val="-3"/>
          <w:sz w:val="21"/>
        </w:rPr>
        <w:t>trimming,</w:t>
      </w:r>
      <w:r>
        <w:rPr>
          <w:spacing w:val="15"/>
          <w:sz w:val="21"/>
        </w:rPr>
        <w:t> </w:t>
      </w:r>
      <w:r>
        <w:rPr>
          <w:spacing w:val="-3"/>
          <w:sz w:val="21"/>
        </w:rPr>
        <w:t>pruning</w:t>
      </w:r>
      <w:r>
        <w:rPr>
          <w:spacing w:val="15"/>
          <w:sz w:val="21"/>
        </w:rPr>
        <w:t> </w:t>
      </w:r>
      <w:r>
        <w:rPr>
          <w:sz w:val="21"/>
        </w:rPr>
        <w:t>or</w:t>
      </w:r>
      <w:r>
        <w:rPr>
          <w:spacing w:val="14"/>
          <w:sz w:val="21"/>
        </w:rPr>
        <w:t> </w:t>
      </w:r>
      <w:r>
        <w:rPr>
          <w:spacing w:val="-3"/>
          <w:sz w:val="21"/>
        </w:rPr>
        <w:t>removing</w:t>
      </w:r>
      <w:r>
        <w:rPr>
          <w:spacing w:val="15"/>
          <w:sz w:val="21"/>
        </w:rPr>
        <w:t> </w:t>
      </w:r>
      <w:r>
        <w:rPr>
          <w:sz w:val="21"/>
        </w:rPr>
        <w:t>a</w:t>
      </w:r>
      <w:r>
        <w:rPr>
          <w:spacing w:val="15"/>
          <w:sz w:val="21"/>
        </w:rPr>
        <w:t> </w:t>
      </w:r>
      <w:r>
        <w:rPr>
          <w:sz w:val="21"/>
        </w:rPr>
        <w:t>tree</w:t>
      </w:r>
      <w:r>
        <w:rPr>
          <w:spacing w:val="15"/>
          <w:sz w:val="21"/>
        </w:rPr>
        <w:t> </w:t>
      </w:r>
      <w:r>
        <w:rPr>
          <w:spacing w:val="-3"/>
          <w:sz w:val="21"/>
        </w:rPr>
        <w:t>to</w:t>
      </w:r>
      <w:r>
        <w:rPr>
          <w:spacing w:val="15"/>
          <w:sz w:val="21"/>
        </w:rPr>
        <w:t> </w:t>
      </w:r>
      <w:r>
        <w:rPr>
          <w:spacing w:val="-3"/>
          <w:sz w:val="21"/>
        </w:rPr>
        <w:t>prevent</w:t>
      </w:r>
      <w:r>
        <w:rPr>
          <w:spacing w:val="14"/>
          <w:sz w:val="21"/>
        </w:rPr>
        <w:t> </w:t>
      </w:r>
      <w:r>
        <w:rPr>
          <w:spacing w:val="-3"/>
          <w:sz w:val="21"/>
        </w:rPr>
        <w:t>damage.</w:t>
      </w:r>
    </w:p>
    <w:p>
      <w:pPr>
        <w:pStyle w:val="BodyText"/>
        <w:spacing w:before="10"/>
      </w:pPr>
    </w:p>
    <w:p>
      <w:pPr>
        <w:pStyle w:val="Heading4"/>
      </w:pPr>
      <w:r>
        <w:rPr>
          <w:color w:val="658464"/>
          <w:w w:val="110"/>
        </w:rPr>
        <w:t>Abatement/’self-help’</w:t>
      </w:r>
    </w:p>
    <w:p>
      <w:pPr>
        <w:pStyle w:val="ListParagraph"/>
        <w:numPr>
          <w:ilvl w:val="1"/>
          <w:numId w:val="16"/>
        </w:numPr>
        <w:tabs>
          <w:tab w:pos="2380" w:val="left" w:leader="none"/>
          <w:tab w:pos="2381" w:val="left" w:leader="none"/>
        </w:tabs>
        <w:spacing w:line="242" w:lineRule="auto" w:before="155" w:after="0"/>
        <w:ind w:left="2381" w:right="1752" w:hanging="794"/>
        <w:jc w:val="left"/>
        <w:rPr>
          <w:sz w:val="21"/>
        </w:rPr>
      </w:pPr>
      <w:r>
        <w:rPr>
          <w:spacing w:val="-2"/>
          <w:sz w:val="21"/>
        </w:rPr>
        <w:t>Abatement </w:t>
      </w:r>
      <w:r>
        <w:rPr>
          <w:sz w:val="21"/>
        </w:rPr>
        <w:t>is a </w:t>
      </w:r>
      <w:r>
        <w:rPr>
          <w:spacing w:val="-3"/>
          <w:sz w:val="21"/>
        </w:rPr>
        <w:t>‘self-help’ </w:t>
      </w:r>
      <w:r>
        <w:rPr>
          <w:sz w:val="21"/>
        </w:rPr>
        <w:t>remedy developed under the </w:t>
      </w:r>
      <w:r>
        <w:rPr>
          <w:spacing w:val="-2"/>
          <w:sz w:val="21"/>
        </w:rPr>
        <w:t>common </w:t>
      </w:r>
      <w:r>
        <w:rPr>
          <w:sz w:val="21"/>
        </w:rPr>
        <w:t>law </w:t>
      </w:r>
      <w:r>
        <w:rPr>
          <w:spacing w:val="-3"/>
          <w:sz w:val="21"/>
        </w:rPr>
        <w:t>for any  </w:t>
      </w:r>
      <w:r>
        <w:rPr>
          <w:sz w:val="21"/>
        </w:rPr>
        <w:t>type  of </w:t>
      </w:r>
      <w:r>
        <w:rPr>
          <w:spacing w:val="-3"/>
          <w:sz w:val="21"/>
        </w:rPr>
        <w:t>private nuisance. </w:t>
      </w:r>
      <w:r>
        <w:rPr>
          <w:sz w:val="21"/>
        </w:rPr>
        <w:t>In the context of tree </w:t>
      </w:r>
      <w:r>
        <w:rPr>
          <w:spacing w:val="-3"/>
          <w:sz w:val="21"/>
        </w:rPr>
        <w:t>disputes,  </w:t>
      </w:r>
      <w:r>
        <w:rPr>
          <w:sz w:val="21"/>
        </w:rPr>
        <w:t>it  allows  neighbours  </w:t>
      </w:r>
      <w:r>
        <w:rPr>
          <w:spacing w:val="-3"/>
          <w:sz w:val="21"/>
        </w:rPr>
        <w:t>to  take  </w:t>
      </w:r>
      <w:r>
        <w:rPr>
          <w:sz w:val="21"/>
        </w:rPr>
        <w:t>matters </w:t>
      </w:r>
      <w:r>
        <w:rPr>
          <w:spacing w:val="-4"/>
          <w:sz w:val="21"/>
        </w:rPr>
        <w:t>into </w:t>
      </w:r>
      <w:r>
        <w:rPr>
          <w:sz w:val="21"/>
        </w:rPr>
        <w:t>their own </w:t>
      </w:r>
      <w:r>
        <w:rPr>
          <w:spacing w:val="-3"/>
          <w:sz w:val="21"/>
        </w:rPr>
        <w:t>hands </w:t>
      </w:r>
      <w:r>
        <w:rPr>
          <w:sz w:val="21"/>
        </w:rPr>
        <w:t>and </w:t>
      </w:r>
      <w:r>
        <w:rPr>
          <w:spacing w:val="-3"/>
          <w:sz w:val="21"/>
        </w:rPr>
        <w:t>abate </w:t>
      </w:r>
      <w:r>
        <w:rPr>
          <w:sz w:val="21"/>
        </w:rPr>
        <w:t>the </w:t>
      </w:r>
      <w:r>
        <w:rPr>
          <w:spacing w:val="-3"/>
          <w:sz w:val="21"/>
        </w:rPr>
        <w:t>interference </w:t>
      </w:r>
      <w:r>
        <w:rPr>
          <w:sz w:val="21"/>
        </w:rPr>
        <w:t>caused by the tree up </w:t>
      </w:r>
      <w:r>
        <w:rPr>
          <w:spacing w:val="-3"/>
          <w:sz w:val="21"/>
        </w:rPr>
        <w:t>to </w:t>
      </w:r>
      <w:r>
        <w:rPr>
          <w:sz w:val="21"/>
        </w:rPr>
        <w:t>boundary </w:t>
      </w:r>
      <w:r>
        <w:rPr>
          <w:spacing w:val="-3"/>
          <w:sz w:val="21"/>
        </w:rPr>
        <w:t>lines </w:t>
      </w:r>
      <w:r>
        <w:rPr>
          <w:sz w:val="21"/>
        </w:rPr>
        <w:t>without </w:t>
      </w:r>
      <w:r>
        <w:rPr>
          <w:spacing w:val="-3"/>
          <w:sz w:val="21"/>
        </w:rPr>
        <w:t>entering </w:t>
      </w:r>
      <w:r>
        <w:rPr>
          <w:sz w:val="21"/>
        </w:rPr>
        <w:t>the tree </w:t>
      </w:r>
      <w:r>
        <w:rPr>
          <w:spacing w:val="-3"/>
          <w:sz w:val="21"/>
        </w:rPr>
        <w:t>owner’s land.</w:t>
      </w:r>
      <w:r>
        <w:rPr>
          <w:spacing w:val="-3"/>
          <w:position w:val="7"/>
          <w:sz w:val="12"/>
        </w:rPr>
        <w:t>6 </w:t>
      </w:r>
      <w:r>
        <w:rPr>
          <w:sz w:val="21"/>
        </w:rPr>
        <w:t>For </w:t>
      </w:r>
      <w:r>
        <w:rPr>
          <w:spacing w:val="-3"/>
          <w:sz w:val="21"/>
        </w:rPr>
        <w:t>example, </w:t>
      </w:r>
      <w:r>
        <w:rPr>
          <w:sz w:val="21"/>
        </w:rPr>
        <w:t>an affected </w:t>
      </w:r>
      <w:r>
        <w:rPr>
          <w:spacing w:val="-3"/>
          <w:sz w:val="21"/>
        </w:rPr>
        <w:t>neighbour may </w:t>
      </w:r>
      <w:r>
        <w:rPr>
          <w:sz w:val="21"/>
        </w:rPr>
        <w:t>prune </w:t>
      </w:r>
      <w:r>
        <w:rPr>
          <w:spacing w:val="-3"/>
          <w:sz w:val="21"/>
        </w:rPr>
        <w:t>overhanging</w:t>
      </w:r>
      <w:r>
        <w:rPr>
          <w:spacing w:val="12"/>
          <w:sz w:val="21"/>
        </w:rPr>
        <w:t> </w:t>
      </w:r>
      <w:r>
        <w:rPr>
          <w:spacing w:val="-3"/>
          <w:sz w:val="21"/>
        </w:rPr>
        <w:t>branches</w:t>
      </w:r>
      <w:r>
        <w:rPr>
          <w:spacing w:val="13"/>
          <w:sz w:val="21"/>
        </w:rPr>
        <w:t> </w:t>
      </w:r>
      <w:r>
        <w:rPr>
          <w:sz w:val="21"/>
        </w:rPr>
        <w:t>up</w:t>
      </w:r>
      <w:r>
        <w:rPr>
          <w:spacing w:val="12"/>
          <w:sz w:val="21"/>
        </w:rPr>
        <w:t> </w:t>
      </w:r>
      <w:r>
        <w:rPr>
          <w:spacing w:val="-3"/>
          <w:sz w:val="21"/>
        </w:rPr>
        <w:t>to</w:t>
      </w:r>
      <w:r>
        <w:rPr>
          <w:spacing w:val="13"/>
          <w:sz w:val="21"/>
        </w:rPr>
        <w:t> </w:t>
      </w:r>
      <w:r>
        <w:rPr>
          <w:sz w:val="21"/>
        </w:rPr>
        <w:t>boundary</w:t>
      </w:r>
      <w:r>
        <w:rPr>
          <w:spacing w:val="12"/>
          <w:sz w:val="21"/>
        </w:rPr>
        <w:t> </w:t>
      </w:r>
      <w:r>
        <w:rPr>
          <w:spacing w:val="-3"/>
          <w:sz w:val="21"/>
        </w:rPr>
        <w:t>lines</w:t>
      </w:r>
      <w:r>
        <w:rPr>
          <w:spacing w:val="13"/>
          <w:sz w:val="21"/>
        </w:rPr>
        <w:t> </w:t>
      </w:r>
      <w:r>
        <w:rPr>
          <w:sz w:val="21"/>
        </w:rPr>
        <w:t>or</w:t>
      </w:r>
      <w:r>
        <w:rPr>
          <w:spacing w:val="13"/>
          <w:sz w:val="21"/>
        </w:rPr>
        <w:t> </w:t>
      </w:r>
      <w:r>
        <w:rPr>
          <w:spacing w:val="-3"/>
          <w:sz w:val="21"/>
        </w:rPr>
        <w:t>may</w:t>
      </w:r>
      <w:r>
        <w:rPr>
          <w:spacing w:val="12"/>
          <w:sz w:val="21"/>
        </w:rPr>
        <w:t> </w:t>
      </w:r>
      <w:r>
        <w:rPr>
          <w:spacing w:val="-3"/>
          <w:sz w:val="21"/>
        </w:rPr>
        <w:t>install</w:t>
      </w:r>
      <w:r>
        <w:rPr>
          <w:spacing w:val="13"/>
          <w:sz w:val="21"/>
        </w:rPr>
        <w:t> </w:t>
      </w:r>
      <w:r>
        <w:rPr>
          <w:sz w:val="21"/>
        </w:rPr>
        <w:t>a</w:t>
      </w:r>
      <w:r>
        <w:rPr>
          <w:spacing w:val="12"/>
          <w:sz w:val="21"/>
        </w:rPr>
        <w:t> </w:t>
      </w:r>
      <w:r>
        <w:rPr>
          <w:sz w:val="21"/>
        </w:rPr>
        <w:t>root</w:t>
      </w:r>
      <w:r>
        <w:rPr>
          <w:spacing w:val="13"/>
          <w:sz w:val="21"/>
        </w:rPr>
        <w:t> </w:t>
      </w:r>
      <w:r>
        <w:rPr>
          <w:spacing w:val="-4"/>
          <w:sz w:val="21"/>
        </w:rPr>
        <w:t>barrier.</w:t>
      </w:r>
    </w:p>
    <w:p>
      <w:pPr>
        <w:pStyle w:val="ListParagraph"/>
        <w:numPr>
          <w:ilvl w:val="1"/>
          <w:numId w:val="16"/>
        </w:numPr>
        <w:tabs>
          <w:tab w:pos="2381" w:val="left" w:leader="none"/>
          <w:tab w:pos="2382" w:val="left" w:leader="none"/>
        </w:tabs>
        <w:spacing w:line="240" w:lineRule="auto" w:before="126" w:after="0"/>
        <w:ind w:left="2381" w:right="0" w:hanging="794"/>
        <w:jc w:val="left"/>
        <w:rPr>
          <w:sz w:val="21"/>
        </w:rPr>
      </w:pPr>
      <w:r>
        <w:rPr>
          <w:w w:val="105"/>
          <w:sz w:val="21"/>
        </w:rPr>
        <w:t>The </w:t>
      </w:r>
      <w:r>
        <w:rPr>
          <w:spacing w:val="-2"/>
          <w:w w:val="105"/>
          <w:sz w:val="21"/>
        </w:rPr>
        <w:t>common </w:t>
      </w:r>
      <w:r>
        <w:rPr>
          <w:w w:val="105"/>
          <w:sz w:val="21"/>
        </w:rPr>
        <w:t>law</w:t>
      </w:r>
      <w:r>
        <w:rPr>
          <w:spacing w:val="18"/>
          <w:w w:val="105"/>
          <w:sz w:val="21"/>
        </w:rPr>
        <w:t> </w:t>
      </w:r>
      <w:r>
        <w:rPr>
          <w:w w:val="105"/>
          <w:sz w:val="21"/>
        </w:rPr>
        <w:t>allows:</w:t>
      </w:r>
    </w:p>
    <w:p>
      <w:pPr>
        <w:spacing w:line="254" w:lineRule="auto" w:before="133"/>
        <w:ind w:left="2834" w:right="1760" w:firstLine="0"/>
        <w:jc w:val="left"/>
        <w:rPr>
          <w:sz w:val="11"/>
        </w:rPr>
      </w:pPr>
      <w:r>
        <w:rPr>
          <w:w w:val="105"/>
          <w:sz w:val="20"/>
        </w:rPr>
        <w:t>this private and summary method of doing </w:t>
      </w:r>
      <w:r>
        <w:rPr>
          <w:spacing w:val="-3"/>
          <w:w w:val="105"/>
          <w:sz w:val="20"/>
        </w:rPr>
        <w:t>one’s </w:t>
      </w:r>
      <w:r>
        <w:rPr>
          <w:w w:val="105"/>
          <w:sz w:val="20"/>
        </w:rPr>
        <w:t>self justice </w:t>
      </w:r>
      <w:r>
        <w:rPr>
          <w:w w:val="115"/>
          <w:sz w:val="20"/>
        </w:rPr>
        <w:t>… </w:t>
      </w:r>
      <w:r>
        <w:rPr>
          <w:w w:val="105"/>
          <w:sz w:val="20"/>
        </w:rPr>
        <w:t>because injuries of this </w:t>
      </w:r>
      <w:r>
        <w:rPr>
          <w:spacing w:val="-3"/>
          <w:w w:val="105"/>
          <w:sz w:val="20"/>
        </w:rPr>
        <w:t>kind, </w:t>
      </w:r>
      <w:r>
        <w:rPr>
          <w:w w:val="105"/>
          <w:sz w:val="20"/>
        </w:rPr>
        <w:t>which obstruct or annoy such things as are of daily</w:t>
      </w:r>
      <w:r>
        <w:rPr>
          <w:spacing w:val="-3"/>
          <w:w w:val="105"/>
          <w:sz w:val="20"/>
        </w:rPr>
        <w:t> convenience </w:t>
      </w:r>
      <w:r>
        <w:rPr>
          <w:w w:val="105"/>
          <w:sz w:val="20"/>
        </w:rPr>
        <w:t>and</w:t>
      </w:r>
      <w:r>
        <w:rPr>
          <w:spacing w:val="-3"/>
          <w:w w:val="105"/>
          <w:sz w:val="20"/>
        </w:rPr>
        <w:t> use, require </w:t>
      </w:r>
      <w:r>
        <w:rPr>
          <w:w w:val="105"/>
          <w:sz w:val="20"/>
        </w:rPr>
        <w:t>an immediate remedy and cannot wait for the slow progress of the ordinary forms of </w:t>
      </w:r>
      <w:r>
        <w:rPr>
          <w:spacing w:val="-5"/>
          <w:w w:val="105"/>
          <w:sz w:val="20"/>
        </w:rPr>
        <w:t>law.</w:t>
      </w:r>
      <w:r>
        <w:rPr>
          <w:spacing w:val="-5"/>
          <w:w w:val="105"/>
          <w:position w:val="7"/>
          <w:sz w:val="11"/>
        </w:rPr>
        <w:t>7</w:t>
      </w:r>
    </w:p>
    <w:p>
      <w:pPr>
        <w:pStyle w:val="ListParagraph"/>
        <w:numPr>
          <w:ilvl w:val="1"/>
          <w:numId w:val="16"/>
        </w:numPr>
        <w:tabs>
          <w:tab w:pos="2380" w:val="left" w:leader="none"/>
          <w:tab w:pos="2381" w:val="left" w:leader="none"/>
        </w:tabs>
        <w:spacing w:line="242" w:lineRule="auto" w:before="115" w:after="0"/>
        <w:ind w:left="2381" w:right="1634" w:hanging="794"/>
        <w:jc w:val="left"/>
        <w:rPr>
          <w:sz w:val="21"/>
        </w:rPr>
      </w:pPr>
      <w:r>
        <w:rPr>
          <w:sz w:val="21"/>
        </w:rPr>
        <w:t>This remedy is </w:t>
      </w:r>
      <w:r>
        <w:rPr>
          <w:spacing w:val="-3"/>
          <w:sz w:val="21"/>
        </w:rPr>
        <w:t>currently </w:t>
      </w:r>
      <w:r>
        <w:rPr>
          <w:sz w:val="21"/>
        </w:rPr>
        <w:t>advised and </w:t>
      </w:r>
      <w:r>
        <w:rPr>
          <w:spacing w:val="-3"/>
          <w:sz w:val="21"/>
        </w:rPr>
        <w:t>encouraged </w:t>
      </w:r>
      <w:r>
        <w:rPr>
          <w:sz w:val="21"/>
        </w:rPr>
        <w:t>where </w:t>
      </w:r>
      <w:r>
        <w:rPr>
          <w:spacing w:val="-3"/>
          <w:sz w:val="21"/>
        </w:rPr>
        <w:t>appropriate </w:t>
      </w:r>
      <w:r>
        <w:rPr>
          <w:sz w:val="21"/>
        </w:rPr>
        <w:t>by community resources.</w:t>
      </w:r>
      <w:r>
        <w:rPr>
          <w:position w:val="7"/>
          <w:sz w:val="12"/>
        </w:rPr>
        <w:t>8 </w:t>
      </w:r>
      <w:r>
        <w:rPr>
          <w:sz w:val="21"/>
        </w:rPr>
        <w:t>It is </w:t>
      </w:r>
      <w:r>
        <w:rPr>
          <w:spacing w:val="-3"/>
          <w:sz w:val="21"/>
        </w:rPr>
        <w:t>useful </w:t>
      </w:r>
      <w:r>
        <w:rPr>
          <w:sz w:val="21"/>
        </w:rPr>
        <w:t>in </w:t>
      </w:r>
      <w:r>
        <w:rPr>
          <w:spacing w:val="-3"/>
          <w:sz w:val="21"/>
        </w:rPr>
        <w:t>situations </w:t>
      </w:r>
      <w:r>
        <w:rPr>
          <w:sz w:val="21"/>
        </w:rPr>
        <w:t>where a part of a tree </w:t>
      </w:r>
      <w:r>
        <w:rPr>
          <w:spacing w:val="-2"/>
          <w:sz w:val="21"/>
        </w:rPr>
        <w:t>has  </w:t>
      </w:r>
      <w:r>
        <w:rPr>
          <w:sz w:val="21"/>
        </w:rPr>
        <w:t>encroached over boundary </w:t>
      </w:r>
      <w:r>
        <w:rPr>
          <w:spacing w:val="-3"/>
          <w:sz w:val="21"/>
        </w:rPr>
        <w:t>lines </w:t>
      </w:r>
      <w:r>
        <w:rPr>
          <w:sz w:val="21"/>
        </w:rPr>
        <w:t>but </w:t>
      </w:r>
      <w:r>
        <w:rPr>
          <w:spacing w:val="-2"/>
          <w:sz w:val="21"/>
        </w:rPr>
        <w:t>has not </w:t>
      </w:r>
      <w:r>
        <w:rPr>
          <w:sz w:val="21"/>
        </w:rPr>
        <w:t>caused the level of interference—unreasonable interference—needed </w:t>
      </w:r>
      <w:r>
        <w:rPr>
          <w:spacing w:val="-3"/>
          <w:sz w:val="21"/>
        </w:rPr>
        <w:t>to </w:t>
      </w:r>
      <w:r>
        <w:rPr>
          <w:sz w:val="21"/>
        </w:rPr>
        <w:t>establish </w:t>
      </w:r>
      <w:r>
        <w:rPr>
          <w:spacing w:val="-3"/>
          <w:sz w:val="21"/>
        </w:rPr>
        <w:t>nuisance </w:t>
      </w:r>
      <w:r>
        <w:rPr>
          <w:sz w:val="21"/>
        </w:rPr>
        <w:t>or </w:t>
      </w:r>
      <w:r>
        <w:rPr>
          <w:spacing w:val="-2"/>
          <w:sz w:val="21"/>
        </w:rPr>
        <w:t>has  not  </w:t>
      </w:r>
      <w:r>
        <w:rPr>
          <w:sz w:val="21"/>
        </w:rPr>
        <w:t>yet caused actual physical </w:t>
      </w:r>
      <w:r>
        <w:rPr>
          <w:spacing w:val="-3"/>
          <w:sz w:val="21"/>
        </w:rPr>
        <w:t>damage.  </w:t>
      </w:r>
      <w:r>
        <w:rPr>
          <w:sz w:val="21"/>
        </w:rPr>
        <w:t>The use of </w:t>
      </w:r>
      <w:r>
        <w:rPr>
          <w:spacing w:val="-3"/>
          <w:sz w:val="21"/>
        </w:rPr>
        <w:t>abatement  may </w:t>
      </w:r>
      <w:r>
        <w:rPr>
          <w:sz w:val="21"/>
        </w:rPr>
        <w:t>also </w:t>
      </w:r>
      <w:r>
        <w:rPr>
          <w:spacing w:val="-3"/>
          <w:sz w:val="21"/>
        </w:rPr>
        <w:t>prevent </w:t>
      </w:r>
      <w:r>
        <w:rPr>
          <w:sz w:val="21"/>
        </w:rPr>
        <w:t>damage </w:t>
      </w:r>
      <w:r>
        <w:rPr>
          <w:spacing w:val="-3"/>
          <w:sz w:val="21"/>
        </w:rPr>
        <w:t>from</w:t>
      </w:r>
      <w:r>
        <w:rPr>
          <w:spacing w:val="8"/>
          <w:sz w:val="21"/>
        </w:rPr>
        <w:t> </w:t>
      </w:r>
      <w:r>
        <w:rPr>
          <w:spacing w:val="-4"/>
          <w:sz w:val="21"/>
        </w:rPr>
        <w:t>arising.</w:t>
      </w:r>
      <w:r>
        <w:rPr>
          <w:spacing w:val="-4"/>
          <w:position w:val="7"/>
          <w:sz w:val="12"/>
        </w:rPr>
        <w:t>9</w:t>
      </w:r>
    </w:p>
    <w:p>
      <w:pPr>
        <w:pStyle w:val="ListParagraph"/>
        <w:numPr>
          <w:ilvl w:val="1"/>
          <w:numId w:val="16"/>
        </w:numPr>
        <w:tabs>
          <w:tab w:pos="2380" w:val="left" w:leader="none"/>
          <w:tab w:pos="2382" w:val="left" w:leader="none"/>
        </w:tabs>
        <w:spacing w:line="242" w:lineRule="auto" w:before="126" w:after="0"/>
        <w:ind w:left="2381" w:right="1674" w:hanging="794"/>
        <w:jc w:val="left"/>
        <w:rPr>
          <w:sz w:val="21"/>
        </w:rPr>
      </w:pPr>
      <w:r>
        <w:rPr>
          <w:w w:val="105"/>
          <w:sz w:val="21"/>
        </w:rPr>
        <w:t>Any </w:t>
      </w:r>
      <w:r>
        <w:rPr>
          <w:spacing w:val="-3"/>
          <w:w w:val="105"/>
          <w:sz w:val="21"/>
        </w:rPr>
        <w:t>encroaching branches </w:t>
      </w:r>
      <w:r>
        <w:rPr>
          <w:w w:val="105"/>
          <w:sz w:val="21"/>
        </w:rPr>
        <w:t>or roots </w:t>
      </w:r>
      <w:r>
        <w:rPr>
          <w:spacing w:val="-3"/>
          <w:w w:val="105"/>
          <w:sz w:val="21"/>
        </w:rPr>
        <w:t>that are </w:t>
      </w:r>
      <w:r>
        <w:rPr>
          <w:w w:val="105"/>
          <w:sz w:val="21"/>
        </w:rPr>
        <w:t>removed </w:t>
      </w:r>
      <w:r>
        <w:rPr>
          <w:spacing w:val="-3"/>
          <w:w w:val="105"/>
          <w:sz w:val="21"/>
        </w:rPr>
        <w:t>remain </w:t>
      </w:r>
      <w:r>
        <w:rPr>
          <w:w w:val="105"/>
          <w:sz w:val="21"/>
        </w:rPr>
        <w:t>the property of the tree </w:t>
      </w:r>
      <w:r>
        <w:rPr>
          <w:spacing w:val="-4"/>
          <w:w w:val="105"/>
          <w:sz w:val="21"/>
        </w:rPr>
        <w:t>owner,</w:t>
      </w:r>
      <w:r>
        <w:rPr>
          <w:spacing w:val="-6"/>
          <w:w w:val="105"/>
          <w:sz w:val="21"/>
        </w:rPr>
        <w:t> </w:t>
      </w:r>
      <w:r>
        <w:rPr>
          <w:w w:val="105"/>
          <w:sz w:val="21"/>
        </w:rPr>
        <w:t>and</w:t>
      </w:r>
      <w:r>
        <w:rPr>
          <w:spacing w:val="-5"/>
          <w:w w:val="105"/>
          <w:sz w:val="21"/>
        </w:rPr>
        <w:t> </w:t>
      </w:r>
      <w:r>
        <w:rPr>
          <w:w w:val="105"/>
          <w:sz w:val="21"/>
        </w:rPr>
        <w:t>must</w:t>
      </w:r>
      <w:r>
        <w:rPr>
          <w:spacing w:val="-5"/>
          <w:w w:val="105"/>
          <w:sz w:val="21"/>
        </w:rPr>
        <w:t> </w:t>
      </w:r>
      <w:r>
        <w:rPr>
          <w:w w:val="105"/>
          <w:sz w:val="21"/>
        </w:rPr>
        <w:t>be</w:t>
      </w:r>
      <w:r>
        <w:rPr>
          <w:spacing w:val="-5"/>
          <w:w w:val="105"/>
          <w:sz w:val="21"/>
        </w:rPr>
        <w:t> </w:t>
      </w:r>
      <w:r>
        <w:rPr>
          <w:spacing w:val="-3"/>
          <w:w w:val="105"/>
          <w:sz w:val="21"/>
        </w:rPr>
        <w:t>returned,</w:t>
      </w:r>
      <w:r>
        <w:rPr>
          <w:spacing w:val="-6"/>
          <w:w w:val="105"/>
          <w:sz w:val="21"/>
        </w:rPr>
        <w:t> </w:t>
      </w:r>
      <w:r>
        <w:rPr>
          <w:w w:val="105"/>
          <w:sz w:val="21"/>
        </w:rPr>
        <w:t>in</w:t>
      </w:r>
      <w:r>
        <w:rPr>
          <w:spacing w:val="-5"/>
          <w:w w:val="105"/>
          <w:sz w:val="21"/>
        </w:rPr>
        <w:t> </w:t>
      </w:r>
      <w:r>
        <w:rPr>
          <w:w w:val="105"/>
          <w:sz w:val="21"/>
        </w:rPr>
        <w:t>order</w:t>
      </w:r>
      <w:r>
        <w:rPr>
          <w:spacing w:val="-5"/>
          <w:w w:val="105"/>
          <w:sz w:val="21"/>
        </w:rPr>
        <w:t> </w:t>
      </w:r>
      <w:r>
        <w:rPr>
          <w:spacing w:val="-3"/>
          <w:w w:val="105"/>
          <w:sz w:val="21"/>
        </w:rPr>
        <w:t>to</w:t>
      </w:r>
      <w:r>
        <w:rPr>
          <w:spacing w:val="-5"/>
          <w:w w:val="105"/>
          <w:sz w:val="21"/>
        </w:rPr>
        <w:t> </w:t>
      </w:r>
      <w:r>
        <w:rPr>
          <w:w w:val="105"/>
          <w:sz w:val="21"/>
        </w:rPr>
        <w:t>avoid</w:t>
      </w:r>
      <w:r>
        <w:rPr>
          <w:spacing w:val="-6"/>
          <w:w w:val="105"/>
          <w:sz w:val="21"/>
        </w:rPr>
        <w:t> </w:t>
      </w:r>
      <w:r>
        <w:rPr>
          <w:spacing w:val="-3"/>
          <w:w w:val="105"/>
          <w:sz w:val="21"/>
        </w:rPr>
        <w:t>liability</w:t>
      </w:r>
      <w:r>
        <w:rPr>
          <w:spacing w:val="-5"/>
          <w:w w:val="105"/>
          <w:sz w:val="21"/>
        </w:rPr>
        <w:t> </w:t>
      </w:r>
      <w:r>
        <w:rPr>
          <w:spacing w:val="-3"/>
          <w:w w:val="105"/>
          <w:sz w:val="21"/>
        </w:rPr>
        <w:t>for</w:t>
      </w:r>
      <w:r>
        <w:rPr>
          <w:spacing w:val="-5"/>
          <w:w w:val="105"/>
          <w:sz w:val="21"/>
        </w:rPr>
        <w:t> </w:t>
      </w:r>
      <w:r>
        <w:rPr>
          <w:w w:val="105"/>
          <w:sz w:val="21"/>
        </w:rPr>
        <w:t>the</w:t>
      </w:r>
      <w:r>
        <w:rPr>
          <w:spacing w:val="-5"/>
          <w:w w:val="105"/>
          <w:sz w:val="21"/>
        </w:rPr>
        <w:t> </w:t>
      </w:r>
      <w:r>
        <w:rPr>
          <w:spacing w:val="-3"/>
          <w:w w:val="105"/>
          <w:sz w:val="21"/>
        </w:rPr>
        <w:t>separate</w:t>
      </w:r>
      <w:r>
        <w:rPr>
          <w:spacing w:val="-6"/>
          <w:w w:val="105"/>
          <w:sz w:val="21"/>
        </w:rPr>
        <w:t> </w:t>
      </w:r>
      <w:r>
        <w:rPr>
          <w:spacing w:val="-2"/>
          <w:w w:val="105"/>
          <w:sz w:val="21"/>
        </w:rPr>
        <w:t>common</w:t>
      </w:r>
      <w:r>
        <w:rPr>
          <w:spacing w:val="-5"/>
          <w:w w:val="105"/>
          <w:sz w:val="21"/>
        </w:rPr>
        <w:t> </w:t>
      </w:r>
      <w:r>
        <w:rPr>
          <w:w w:val="105"/>
          <w:sz w:val="21"/>
        </w:rPr>
        <w:t>law</w:t>
      </w:r>
      <w:r>
        <w:rPr>
          <w:spacing w:val="-5"/>
          <w:w w:val="105"/>
          <w:sz w:val="21"/>
        </w:rPr>
        <w:t> </w:t>
      </w:r>
      <w:r>
        <w:rPr>
          <w:w w:val="105"/>
          <w:sz w:val="21"/>
        </w:rPr>
        <w:t>tort of </w:t>
      </w:r>
      <w:r>
        <w:rPr>
          <w:spacing w:val="-4"/>
          <w:w w:val="105"/>
          <w:sz w:val="21"/>
        </w:rPr>
        <w:t>conversion.</w:t>
      </w:r>
      <w:r>
        <w:rPr>
          <w:spacing w:val="-4"/>
          <w:w w:val="105"/>
          <w:position w:val="7"/>
          <w:sz w:val="12"/>
        </w:rPr>
        <w:t>10 </w:t>
      </w:r>
      <w:r>
        <w:rPr>
          <w:w w:val="105"/>
          <w:sz w:val="21"/>
        </w:rPr>
        <w:t>An affected </w:t>
      </w:r>
      <w:r>
        <w:rPr>
          <w:spacing w:val="-3"/>
          <w:w w:val="105"/>
          <w:sz w:val="21"/>
        </w:rPr>
        <w:t>neighbour </w:t>
      </w:r>
      <w:r>
        <w:rPr>
          <w:w w:val="105"/>
          <w:sz w:val="21"/>
        </w:rPr>
        <w:t>does </w:t>
      </w:r>
      <w:r>
        <w:rPr>
          <w:spacing w:val="-2"/>
          <w:w w:val="105"/>
          <w:sz w:val="21"/>
        </w:rPr>
        <w:t>not </w:t>
      </w:r>
      <w:r>
        <w:rPr>
          <w:w w:val="105"/>
          <w:sz w:val="21"/>
        </w:rPr>
        <w:t>need </w:t>
      </w:r>
      <w:r>
        <w:rPr>
          <w:spacing w:val="-3"/>
          <w:w w:val="105"/>
          <w:sz w:val="21"/>
        </w:rPr>
        <w:t>to </w:t>
      </w:r>
      <w:r>
        <w:rPr>
          <w:w w:val="105"/>
          <w:sz w:val="21"/>
        </w:rPr>
        <w:t>give </w:t>
      </w:r>
      <w:r>
        <w:rPr>
          <w:spacing w:val="-3"/>
          <w:w w:val="105"/>
          <w:sz w:val="21"/>
        </w:rPr>
        <w:t>notice to </w:t>
      </w:r>
      <w:r>
        <w:rPr>
          <w:w w:val="105"/>
          <w:sz w:val="21"/>
        </w:rPr>
        <w:t>the tree owner </w:t>
      </w:r>
      <w:r>
        <w:rPr>
          <w:spacing w:val="-3"/>
          <w:w w:val="105"/>
          <w:sz w:val="21"/>
        </w:rPr>
        <w:t>to abate </w:t>
      </w:r>
      <w:r>
        <w:rPr>
          <w:w w:val="105"/>
          <w:sz w:val="21"/>
        </w:rPr>
        <w:t>up </w:t>
      </w:r>
      <w:r>
        <w:rPr>
          <w:spacing w:val="-3"/>
          <w:w w:val="105"/>
          <w:sz w:val="21"/>
        </w:rPr>
        <w:t>to </w:t>
      </w:r>
      <w:r>
        <w:rPr>
          <w:w w:val="105"/>
          <w:sz w:val="21"/>
        </w:rPr>
        <w:t>the boundary </w:t>
      </w:r>
      <w:r>
        <w:rPr>
          <w:spacing w:val="-7"/>
          <w:w w:val="105"/>
          <w:sz w:val="21"/>
        </w:rPr>
        <w:t>line,</w:t>
      </w:r>
      <w:r>
        <w:rPr>
          <w:spacing w:val="-7"/>
          <w:w w:val="105"/>
          <w:position w:val="7"/>
          <w:sz w:val="12"/>
        </w:rPr>
        <w:t>11 </w:t>
      </w:r>
      <w:r>
        <w:rPr>
          <w:w w:val="105"/>
          <w:sz w:val="21"/>
        </w:rPr>
        <w:t>particularly where ‘there is </w:t>
      </w:r>
      <w:r>
        <w:rPr>
          <w:spacing w:val="-3"/>
          <w:w w:val="105"/>
          <w:sz w:val="21"/>
        </w:rPr>
        <w:t>immediate </w:t>
      </w:r>
      <w:r>
        <w:rPr>
          <w:w w:val="105"/>
          <w:sz w:val="21"/>
        </w:rPr>
        <w:t>danger </w:t>
      </w:r>
      <w:r>
        <w:rPr>
          <w:spacing w:val="-3"/>
          <w:w w:val="105"/>
          <w:sz w:val="21"/>
        </w:rPr>
        <w:t>to life </w:t>
      </w:r>
      <w:r>
        <w:rPr>
          <w:w w:val="105"/>
          <w:sz w:val="21"/>
        </w:rPr>
        <w:t>or </w:t>
      </w:r>
      <w:r>
        <w:rPr>
          <w:spacing w:val="-3"/>
          <w:w w:val="105"/>
          <w:sz w:val="21"/>
        </w:rPr>
        <w:t>health </w:t>
      </w:r>
      <w:r>
        <w:rPr>
          <w:w w:val="105"/>
          <w:sz w:val="21"/>
        </w:rPr>
        <w:t>so as </w:t>
      </w:r>
      <w:r>
        <w:rPr>
          <w:spacing w:val="-3"/>
          <w:w w:val="105"/>
          <w:sz w:val="21"/>
        </w:rPr>
        <w:t>to </w:t>
      </w:r>
      <w:r>
        <w:rPr>
          <w:spacing w:val="-2"/>
          <w:w w:val="105"/>
          <w:sz w:val="21"/>
        </w:rPr>
        <w:t>render </w:t>
      </w:r>
      <w:r>
        <w:rPr>
          <w:w w:val="105"/>
          <w:sz w:val="21"/>
        </w:rPr>
        <w:t>it </w:t>
      </w:r>
      <w:r>
        <w:rPr>
          <w:spacing w:val="-3"/>
          <w:w w:val="105"/>
          <w:sz w:val="21"/>
        </w:rPr>
        <w:t>unsafe to</w:t>
      </w:r>
      <w:r>
        <w:rPr>
          <w:spacing w:val="5"/>
          <w:w w:val="105"/>
          <w:sz w:val="21"/>
        </w:rPr>
        <w:t> </w:t>
      </w:r>
      <w:r>
        <w:rPr>
          <w:spacing w:val="-8"/>
          <w:w w:val="105"/>
          <w:sz w:val="21"/>
        </w:rPr>
        <w:t>wait’.</w:t>
      </w:r>
      <w:r>
        <w:rPr>
          <w:spacing w:val="-8"/>
          <w:w w:val="105"/>
          <w:position w:val="7"/>
          <w:sz w:val="12"/>
        </w:rPr>
        <w:t>12</w:t>
      </w:r>
    </w:p>
    <w:p>
      <w:pPr>
        <w:pStyle w:val="ListParagraph"/>
        <w:numPr>
          <w:ilvl w:val="1"/>
          <w:numId w:val="16"/>
        </w:numPr>
        <w:tabs>
          <w:tab w:pos="2380" w:val="left" w:leader="none"/>
          <w:tab w:pos="2381" w:val="left" w:leader="none"/>
        </w:tabs>
        <w:spacing w:line="242" w:lineRule="auto" w:before="125" w:after="0"/>
        <w:ind w:left="2381" w:right="2039" w:hanging="794"/>
        <w:jc w:val="left"/>
        <w:rPr>
          <w:sz w:val="21"/>
        </w:rPr>
      </w:pPr>
      <w:r>
        <w:rPr>
          <w:w w:val="105"/>
          <w:sz w:val="21"/>
        </w:rPr>
        <w:t>An affected </w:t>
      </w:r>
      <w:r>
        <w:rPr>
          <w:spacing w:val="-3"/>
          <w:w w:val="105"/>
          <w:sz w:val="21"/>
        </w:rPr>
        <w:t>neighbour </w:t>
      </w:r>
      <w:r>
        <w:rPr>
          <w:w w:val="105"/>
          <w:sz w:val="21"/>
        </w:rPr>
        <w:t>must </w:t>
      </w:r>
      <w:r>
        <w:rPr>
          <w:spacing w:val="-3"/>
          <w:w w:val="105"/>
          <w:sz w:val="21"/>
        </w:rPr>
        <w:t>abate </w:t>
      </w:r>
      <w:r>
        <w:rPr>
          <w:w w:val="105"/>
          <w:sz w:val="21"/>
        </w:rPr>
        <w:t>cautiously </w:t>
      </w:r>
      <w:r>
        <w:rPr>
          <w:spacing w:val="-3"/>
          <w:w w:val="105"/>
          <w:sz w:val="21"/>
        </w:rPr>
        <w:t>to </w:t>
      </w:r>
      <w:r>
        <w:rPr>
          <w:w w:val="105"/>
          <w:sz w:val="21"/>
        </w:rPr>
        <w:t>avoid damage and </w:t>
      </w:r>
      <w:r>
        <w:rPr>
          <w:spacing w:val="-3"/>
          <w:w w:val="105"/>
          <w:sz w:val="21"/>
        </w:rPr>
        <w:t>ensure that </w:t>
      </w:r>
      <w:r>
        <w:rPr>
          <w:w w:val="105"/>
          <w:sz w:val="21"/>
        </w:rPr>
        <w:t>they do</w:t>
      </w:r>
      <w:r>
        <w:rPr>
          <w:spacing w:val="-4"/>
          <w:w w:val="105"/>
          <w:sz w:val="21"/>
        </w:rPr>
        <w:t> </w:t>
      </w:r>
      <w:r>
        <w:rPr>
          <w:spacing w:val="-2"/>
          <w:w w:val="105"/>
          <w:sz w:val="21"/>
        </w:rPr>
        <w:t>not</w:t>
      </w:r>
      <w:r>
        <w:rPr>
          <w:spacing w:val="-4"/>
          <w:w w:val="105"/>
          <w:sz w:val="21"/>
        </w:rPr>
        <w:t> </w:t>
      </w:r>
      <w:r>
        <w:rPr>
          <w:w w:val="105"/>
          <w:sz w:val="21"/>
        </w:rPr>
        <w:t>trespass</w:t>
      </w:r>
      <w:r>
        <w:rPr>
          <w:spacing w:val="-3"/>
          <w:w w:val="105"/>
          <w:sz w:val="21"/>
        </w:rPr>
        <w:t> </w:t>
      </w:r>
      <w:r>
        <w:rPr>
          <w:w w:val="105"/>
          <w:sz w:val="21"/>
        </w:rPr>
        <w:t>or</w:t>
      </w:r>
      <w:r>
        <w:rPr>
          <w:spacing w:val="-4"/>
          <w:w w:val="105"/>
          <w:sz w:val="21"/>
        </w:rPr>
        <w:t> </w:t>
      </w:r>
      <w:r>
        <w:rPr>
          <w:w w:val="105"/>
          <w:sz w:val="21"/>
        </w:rPr>
        <w:t>act</w:t>
      </w:r>
      <w:r>
        <w:rPr>
          <w:spacing w:val="-3"/>
          <w:w w:val="105"/>
          <w:sz w:val="21"/>
        </w:rPr>
        <w:t> </w:t>
      </w:r>
      <w:r>
        <w:rPr>
          <w:spacing w:val="-5"/>
          <w:w w:val="105"/>
          <w:sz w:val="21"/>
        </w:rPr>
        <w:t>negligently.</w:t>
      </w:r>
      <w:r>
        <w:rPr>
          <w:spacing w:val="-5"/>
          <w:w w:val="105"/>
          <w:position w:val="7"/>
          <w:sz w:val="12"/>
        </w:rPr>
        <w:t>13</w:t>
      </w:r>
      <w:r>
        <w:rPr>
          <w:spacing w:val="-4"/>
          <w:w w:val="105"/>
          <w:position w:val="7"/>
          <w:sz w:val="12"/>
        </w:rPr>
        <w:t> </w:t>
      </w:r>
      <w:r>
        <w:rPr>
          <w:w w:val="105"/>
          <w:sz w:val="21"/>
        </w:rPr>
        <w:t>If</w:t>
      </w:r>
      <w:r>
        <w:rPr>
          <w:spacing w:val="-4"/>
          <w:w w:val="105"/>
          <w:sz w:val="21"/>
        </w:rPr>
        <w:t> </w:t>
      </w:r>
      <w:r>
        <w:rPr>
          <w:w w:val="105"/>
          <w:sz w:val="21"/>
        </w:rPr>
        <w:t>a</w:t>
      </w:r>
      <w:r>
        <w:rPr>
          <w:spacing w:val="-3"/>
          <w:w w:val="105"/>
          <w:sz w:val="21"/>
        </w:rPr>
        <w:t> </w:t>
      </w:r>
      <w:r>
        <w:rPr>
          <w:w w:val="105"/>
          <w:sz w:val="21"/>
        </w:rPr>
        <w:t>tree</w:t>
      </w:r>
      <w:r>
        <w:rPr>
          <w:spacing w:val="-4"/>
          <w:w w:val="105"/>
          <w:sz w:val="21"/>
        </w:rPr>
        <w:t> </w:t>
      </w:r>
      <w:r>
        <w:rPr>
          <w:w w:val="105"/>
          <w:sz w:val="21"/>
        </w:rPr>
        <w:t>is</w:t>
      </w:r>
      <w:r>
        <w:rPr>
          <w:spacing w:val="-4"/>
          <w:w w:val="105"/>
          <w:sz w:val="21"/>
        </w:rPr>
        <w:t> </w:t>
      </w:r>
      <w:r>
        <w:rPr>
          <w:w w:val="105"/>
          <w:sz w:val="21"/>
        </w:rPr>
        <w:t>damaged</w:t>
      </w:r>
      <w:r>
        <w:rPr>
          <w:spacing w:val="-3"/>
          <w:w w:val="105"/>
          <w:sz w:val="21"/>
        </w:rPr>
        <w:t> </w:t>
      </w:r>
      <w:r>
        <w:rPr>
          <w:w w:val="105"/>
          <w:sz w:val="21"/>
        </w:rPr>
        <w:t>by</w:t>
      </w:r>
      <w:r>
        <w:rPr>
          <w:spacing w:val="-4"/>
          <w:w w:val="105"/>
          <w:sz w:val="21"/>
        </w:rPr>
        <w:t> </w:t>
      </w:r>
      <w:r>
        <w:rPr>
          <w:w w:val="105"/>
          <w:sz w:val="21"/>
        </w:rPr>
        <w:t>the</w:t>
      </w:r>
      <w:r>
        <w:rPr>
          <w:spacing w:val="-3"/>
          <w:w w:val="105"/>
          <w:sz w:val="21"/>
        </w:rPr>
        <w:t> </w:t>
      </w:r>
      <w:r>
        <w:rPr>
          <w:w w:val="105"/>
          <w:sz w:val="21"/>
        </w:rPr>
        <w:t>actions</w:t>
      </w:r>
      <w:r>
        <w:rPr>
          <w:spacing w:val="-4"/>
          <w:w w:val="105"/>
          <w:sz w:val="21"/>
        </w:rPr>
        <w:t> </w:t>
      </w:r>
      <w:r>
        <w:rPr>
          <w:w w:val="105"/>
          <w:sz w:val="21"/>
        </w:rPr>
        <w:t>of</w:t>
      </w:r>
      <w:r>
        <w:rPr>
          <w:spacing w:val="-3"/>
          <w:w w:val="105"/>
          <w:sz w:val="21"/>
        </w:rPr>
        <w:t> </w:t>
      </w:r>
      <w:r>
        <w:rPr>
          <w:w w:val="105"/>
          <w:sz w:val="21"/>
        </w:rPr>
        <w:t>an</w:t>
      </w:r>
      <w:r>
        <w:rPr>
          <w:spacing w:val="-4"/>
          <w:w w:val="105"/>
          <w:sz w:val="21"/>
        </w:rPr>
        <w:t> </w:t>
      </w:r>
      <w:r>
        <w:rPr>
          <w:w w:val="105"/>
          <w:sz w:val="21"/>
        </w:rPr>
        <w:t>affected </w:t>
      </w:r>
      <w:r>
        <w:rPr>
          <w:spacing w:val="-4"/>
          <w:w w:val="105"/>
          <w:sz w:val="21"/>
        </w:rPr>
        <w:t>neighbour, </w:t>
      </w:r>
      <w:r>
        <w:rPr>
          <w:w w:val="105"/>
          <w:sz w:val="21"/>
        </w:rPr>
        <w:t>they can be </w:t>
      </w:r>
      <w:r>
        <w:rPr>
          <w:spacing w:val="-3"/>
          <w:w w:val="105"/>
          <w:sz w:val="21"/>
        </w:rPr>
        <w:t>found liable for criminal</w:t>
      </w:r>
      <w:r>
        <w:rPr>
          <w:spacing w:val="7"/>
          <w:w w:val="105"/>
          <w:sz w:val="21"/>
        </w:rPr>
        <w:t> </w:t>
      </w:r>
      <w:r>
        <w:rPr>
          <w:spacing w:val="-6"/>
          <w:w w:val="105"/>
          <w:sz w:val="21"/>
        </w:rPr>
        <w:t>damage.</w:t>
      </w:r>
      <w:r>
        <w:rPr>
          <w:spacing w:val="-6"/>
          <w:w w:val="105"/>
          <w:position w:val="7"/>
          <w:sz w:val="12"/>
        </w:rPr>
        <w:t>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r>
        <w:rPr/>
        <w:pict>
          <v:line style="position:absolute;mso-position-horizontal-relative:page;mso-position-vertical-relative:paragraph;z-index:896;mso-wrap-distance-left:0;mso-wrap-distance-right:0" from="79.370102pt,18.371872pt" to="515.905102pt,18.371872pt" stroked="true" strokeweight="1pt" strokecolor="#c9d2cb">
            <v:stroke dashstyle="solid"/>
            <w10:wrap type="topAndBottom"/>
          </v:line>
        </w:pict>
      </w:r>
    </w:p>
    <w:p>
      <w:pPr>
        <w:pStyle w:val="ListParagraph"/>
        <w:numPr>
          <w:ilvl w:val="0"/>
          <w:numId w:val="25"/>
        </w:numPr>
        <w:tabs>
          <w:tab w:pos="2380" w:val="left" w:leader="none"/>
          <w:tab w:pos="2382" w:val="left" w:leader="none"/>
        </w:tabs>
        <w:spacing w:line="240" w:lineRule="auto" w:before="117" w:after="0"/>
        <w:ind w:left="2381" w:right="0" w:hanging="794"/>
        <w:jc w:val="left"/>
        <w:rPr>
          <w:sz w:val="13"/>
        </w:rPr>
      </w:pPr>
      <w:r>
        <w:rPr>
          <w:sz w:val="13"/>
        </w:rPr>
        <w:t>See</w:t>
      </w:r>
      <w:r>
        <w:rPr>
          <w:spacing w:val="7"/>
          <w:sz w:val="13"/>
        </w:rPr>
        <w:t> </w:t>
      </w:r>
      <w:r>
        <w:rPr>
          <w:sz w:val="13"/>
        </w:rPr>
        <w:t>Financial</w:t>
      </w:r>
      <w:r>
        <w:rPr>
          <w:spacing w:val="8"/>
          <w:sz w:val="13"/>
        </w:rPr>
        <w:t> </w:t>
      </w:r>
      <w:r>
        <w:rPr>
          <w:sz w:val="13"/>
        </w:rPr>
        <w:t>Rights</w:t>
      </w:r>
      <w:r>
        <w:rPr>
          <w:spacing w:val="8"/>
          <w:sz w:val="13"/>
        </w:rPr>
        <w:t> </w:t>
      </w:r>
      <w:r>
        <w:rPr>
          <w:sz w:val="13"/>
        </w:rPr>
        <w:t>Legal</w:t>
      </w:r>
      <w:r>
        <w:rPr>
          <w:spacing w:val="7"/>
          <w:sz w:val="13"/>
        </w:rPr>
        <w:t> </w:t>
      </w:r>
      <w:r>
        <w:rPr>
          <w:sz w:val="13"/>
        </w:rPr>
        <w:t>Centre,</w:t>
      </w:r>
      <w:r>
        <w:rPr>
          <w:spacing w:val="8"/>
          <w:sz w:val="13"/>
        </w:rPr>
        <w:t> </w:t>
      </w:r>
      <w:r>
        <w:rPr>
          <w:i/>
          <w:sz w:val="13"/>
        </w:rPr>
        <w:t>If</w:t>
      </w:r>
      <w:r>
        <w:rPr>
          <w:i/>
          <w:spacing w:val="8"/>
          <w:sz w:val="13"/>
        </w:rPr>
        <w:t> </w:t>
      </w:r>
      <w:r>
        <w:rPr>
          <w:i/>
          <w:sz w:val="13"/>
        </w:rPr>
        <w:t>a</w:t>
      </w:r>
      <w:r>
        <w:rPr>
          <w:i/>
          <w:spacing w:val="8"/>
          <w:sz w:val="13"/>
        </w:rPr>
        <w:t> </w:t>
      </w:r>
      <w:r>
        <w:rPr>
          <w:i/>
          <w:sz w:val="13"/>
        </w:rPr>
        <w:t>Tree</w:t>
      </w:r>
      <w:r>
        <w:rPr>
          <w:i/>
          <w:spacing w:val="7"/>
          <w:sz w:val="13"/>
        </w:rPr>
        <w:t> </w:t>
      </w:r>
      <w:r>
        <w:rPr>
          <w:i/>
          <w:sz w:val="13"/>
        </w:rPr>
        <w:t>Falls</w:t>
      </w:r>
      <w:r>
        <w:rPr>
          <w:i/>
          <w:spacing w:val="8"/>
          <w:sz w:val="13"/>
        </w:rPr>
        <w:t> </w:t>
      </w:r>
      <w:r>
        <w:rPr>
          <w:i/>
          <w:sz w:val="13"/>
        </w:rPr>
        <w:t>in</w:t>
      </w:r>
      <w:r>
        <w:rPr>
          <w:i/>
          <w:spacing w:val="8"/>
          <w:sz w:val="13"/>
        </w:rPr>
        <w:t> </w:t>
      </w:r>
      <w:r>
        <w:rPr>
          <w:i/>
          <w:sz w:val="13"/>
        </w:rPr>
        <w:t>a</w:t>
      </w:r>
      <w:r>
        <w:rPr>
          <w:i/>
          <w:spacing w:val="8"/>
          <w:sz w:val="13"/>
        </w:rPr>
        <w:t> </w:t>
      </w:r>
      <w:r>
        <w:rPr>
          <w:i/>
          <w:sz w:val="13"/>
        </w:rPr>
        <w:t>Storm</w:t>
      </w:r>
      <w:r>
        <w:rPr>
          <w:i/>
          <w:spacing w:val="7"/>
          <w:sz w:val="13"/>
        </w:rPr>
        <w:t> </w:t>
      </w:r>
      <w:r>
        <w:rPr>
          <w:i/>
          <w:sz w:val="13"/>
        </w:rPr>
        <w:t>Who</w:t>
      </w:r>
      <w:r>
        <w:rPr>
          <w:i/>
          <w:spacing w:val="8"/>
          <w:sz w:val="13"/>
        </w:rPr>
        <w:t> </w:t>
      </w:r>
      <w:r>
        <w:rPr>
          <w:i/>
          <w:sz w:val="13"/>
        </w:rPr>
        <w:t>Pays</w:t>
      </w:r>
      <w:r>
        <w:rPr>
          <w:i/>
          <w:spacing w:val="8"/>
          <w:sz w:val="13"/>
        </w:rPr>
        <w:t> </w:t>
      </w:r>
      <w:r>
        <w:rPr>
          <w:i/>
          <w:sz w:val="13"/>
        </w:rPr>
        <w:t>for</w:t>
      </w:r>
      <w:r>
        <w:rPr>
          <w:i/>
          <w:spacing w:val="8"/>
          <w:sz w:val="13"/>
        </w:rPr>
        <w:t> </w:t>
      </w:r>
      <w:r>
        <w:rPr>
          <w:i/>
          <w:sz w:val="13"/>
        </w:rPr>
        <w:t>its</w:t>
      </w:r>
      <w:r>
        <w:rPr>
          <w:i/>
          <w:spacing w:val="7"/>
          <w:sz w:val="13"/>
        </w:rPr>
        <w:t> </w:t>
      </w:r>
      <w:r>
        <w:rPr>
          <w:i/>
          <w:sz w:val="13"/>
        </w:rPr>
        <w:t>Removal?</w:t>
      </w:r>
      <w:r>
        <w:rPr>
          <w:i/>
          <w:spacing w:val="8"/>
          <w:sz w:val="13"/>
        </w:rPr>
        <w:t> </w:t>
      </w:r>
      <w:r>
        <w:rPr>
          <w:spacing w:val="2"/>
          <w:sz w:val="13"/>
        </w:rPr>
        <w:t>(Factsheet,</w:t>
      </w:r>
      <w:r>
        <w:rPr>
          <w:spacing w:val="8"/>
          <w:sz w:val="13"/>
        </w:rPr>
        <w:t> </w:t>
      </w:r>
      <w:r>
        <w:rPr>
          <w:sz w:val="13"/>
        </w:rPr>
        <w:t>2018)</w:t>
      </w:r>
    </w:p>
    <w:p>
      <w:pPr>
        <w:spacing w:before="1"/>
        <w:ind w:left="2381" w:right="0" w:firstLine="0"/>
        <w:jc w:val="left"/>
        <w:rPr>
          <w:sz w:val="13"/>
        </w:rPr>
      </w:pPr>
      <w:r>
        <w:rPr>
          <w:sz w:val="13"/>
        </w:rPr>
        <w:t>&lt;https://insurancelaw.org.au/factsheets/&gt;.</w:t>
      </w:r>
    </w:p>
    <w:p>
      <w:pPr>
        <w:pStyle w:val="ListParagraph"/>
        <w:numPr>
          <w:ilvl w:val="0"/>
          <w:numId w:val="25"/>
        </w:numPr>
        <w:tabs>
          <w:tab w:pos="2380" w:val="left" w:leader="none"/>
          <w:tab w:pos="2382" w:val="left" w:leader="none"/>
        </w:tabs>
        <w:spacing w:line="240" w:lineRule="auto" w:before="2" w:after="0"/>
        <w:ind w:left="2381" w:right="0" w:hanging="794"/>
        <w:jc w:val="left"/>
        <w:rPr>
          <w:sz w:val="13"/>
        </w:rPr>
      </w:pPr>
      <w:r>
        <w:rPr>
          <w:i/>
          <w:w w:val="105"/>
          <w:sz w:val="13"/>
        </w:rPr>
        <w:t>Lemmon</w:t>
      </w:r>
      <w:r>
        <w:rPr>
          <w:i/>
          <w:spacing w:val="5"/>
          <w:w w:val="105"/>
          <w:sz w:val="13"/>
        </w:rPr>
        <w:t> </w:t>
      </w:r>
      <w:r>
        <w:rPr>
          <w:i/>
          <w:w w:val="105"/>
          <w:sz w:val="13"/>
        </w:rPr>
        <w:t>v</w:t>
      </w:r>
      <w:r>
        <w:rPr>
          <w:i/>
          <w:spacing w:val="5"/>
          <w:w w:val="105"/>
          <w:sz w:val="13"/>
        </w:rPr>
        <w:t> </w:t>
      </w:r>
      <w:r>
        <w:rPr>
          <w:i/>
          <w:w w:val="105"/>
          <w:sz w:val="13"/>
        </w:rPr>
        <w:t>Webb</w:t>
      </w:r>
      <w:r>
        <w:rPr>
          <w:i/>
          <w:spacing w:val="5"/>
          <w:w w:val="105"/>
          <w:sz w:val="13"/>
        </w:rPr>
        <w:t> </w:t>
      </w:r>
      <w:r>
        <w:rPr>
          <w:w w:val="105"/>
          <w:sz w:val="13"/>
        </w:rPr>
        <w:t>[1895]</w:t>
      </w:r>
      <w:r>
        <w:rPr>
          <w:spacing w:val="5"/>
          <w:w w:val="105"/>
          <w:sz w:val="13"/>
        </w:rPr>
        <w:t> </w:t>
      </w:r>
      <w:r>
        <w:rPr>
          <w:w w:val="105"/>
          <w:sz w:val="13"/>
        </w:rPr>
        <w:t>AC</w:t>
      </w:r>
      <w:r>
        <w:rPr>
          <w:spacing w:val="5"/>
          <w:w w:val="105"/>
          <w:sz w:val="13"/>
        </w:rPr>
        <w:t> </w:t>
      </w:r>
      <w:r>
        <w:rPr>
          <w:w w:val="105"/>
          <w:sz w:val="13"/>
        </w:rPr>
        <w:t>1;</w:t>
      </w:r>
      <w:r>
        <w:rPr>
          <w:spacing w:val="6"/>
          <w:w w:val="105"/>
          <w:sz w:val="13"/>
        </w:rPr>
        <w:t> </w:t>
      </w:r>
      <w:r>
        <w:rPr>
          <w:i/>
          <w:w w:val="105"/>
          <w:sz w:val="13"/>
        </w:rPr>
        <w:t>Young</w:t>
      </w:r>
      <w:r>
        <w:rPr>
          <w:i/>
          <w:spacing w:val="5"/>
          <w:w w:val="105"/>
          <w:sz w:val="13"/>
        </w:rPr>
        <w:t> </w:t>
      </w:r>
      <w:r>
        <w:rPr>
          <w:i/>
          <w:w w:val="105"/>
          <w:sz w:val="13"/>
        </w:rPr>
        <w:t>v</w:t>
      </w:r>
      <w:r>
        <w:rPr>
          <w:i/>
          <w:spacing w:val="5"/>
          <w:w w:val="105"/>
          <w:sz w:val="13"/>
        </w:rPr>
        <w:t> </w:t>
      </w:r>
      <w:r>
        <w:rPr>
          <w:i/>
          <w:w w:val="105"/>
          <w:sz w:val="13"/>
        </w:rPr>
        <w:t>Wheeler</w:t>
      </w:r>
      <w:r>
        <w:rPr>
          <w:i/>
          <w:spacing w:val="5"/>
          <w:w w:val="105"/>
          <w:sz w:val="13"/>
        </w:rPr>
        <w:t> </w:t>
      </w:r>
      <w:r>
        <w:rPr>
          <w:w w:val="105"/>
          <w:sz w:val="13"/>
        </w:rPr>
        <w:t>[1987]</w:t>
      </w:r>
      <w:r>
        <w:rPr>
          <w:spacing w:val="5"/>
          <w:w w:val="105"/>
          <w:sz w:val="13"/>
        </w:rPr>
        <w:t> </w:t>
      </w:r>
      <w:r>
        <w:rPr>
          <w:w w:val="105"/>
          <w:sz w:val="13"/>
        </w:rPr>
        <w:t>Aus</w:t>
      </w:r>
      <w:r>
        <w:rPr>
          <w:spacing w:val="5"/>
          <w:w w:val="105"/>
          <w:sz w:val="13"/>
        </w:rPr>
        <w:t> </w:t>
      </w:r>
      <w:r>
        <w:rPr>
          <w:w w:val="105"/>
          <w:sz w:val="13"/>
        </w:rPr>
        <w:t>Torts</w:t>
      </w:r>
      <w:r>
        <w:rPr>
          <w:spacing w:val="6"/>
          <w:w w:val="105"/>
          <w:sz w:val="13"/>
        </w:rPr>
        <w:t> </w:t>
      </w:r>
      <w:r>
        <w:rPr>
          <w:spacing w:val="2"/>
          <w:w w:val="105"/>
          <w:sz w:val="13"/>
        </w:rPr>
        <w:t>Reports</w:t>
      </w:r>
      <w:r>
        <w:rPr>
          <w:spacing w:val="5"/>
          <w:w w:val="105"/>
          <w:sz w:val="13"/>
        </w:rPr>
        <w:t> </w:t>
      </w:r>
      <w:r>
        <w:rPr>
          <w:w w:val="105"/>
          <w:sz w:val="13"/>
        </w:rPr>
        <w:t>80–126,</w:t>
      </w:r>
      <w:r>
        <w:rPr>
          <w:spacing w:val="5"/>
          <w:w w:val="105"/>
          <w:sz w:val="13"/>
        </w:rPr>
        <w:t> </w:t>
      </w:r>
      <w:r>
        <w:rPr>
          <w:w w:val="105"/>
          <w:sz w:val="13"/>
        </w:rPr>
        <w:t>68,970.</w:t>
      </w:r>
    </w:p>
    <w:p>
      <w:pPr>
        <w:pStyle w:val="ListParagraph"/>
        <w:numPr>
          <w:ilvl w:val="0"/>
          <w:numId w:val="25"/>
        </w:numPr>
        <w:tabs>
          <w:tab w:pos="2380" w:val="left" w:leader="none"/>
          <w:tab w:pos="2381" w:val="left" w:leader="none"/>
        </w:tabs>
        <w:spacing w:line="240" w:lineRule="auto" w:before="1" w:after="0"/>
        <w:ind w:left="2380" w:right="0" w:hanging="793"/>
        <w:jc w:val="left"/>
        <w:rPr>
          <w:sz w:val="13"/>
        </w:rPr>
      </w:pPr>
      <w:r>
        <w:rPr>
          <w:w w:val="105"/>
          <w:sz w:val="13"/>
        </w:rPr>
        <w:t>William</w:t>
      </w:r>
      <w:r>
        <w:rPr>
          <w:spacing w:val="5"/>
          <w:w w:val="105"/>
          <w:sz w:val="13"/>
        </w:rPr>
        <w:t> </w:t>
      </w:r>
      <w:r>
        <w:rPr>
          <w:w w:val="105"/>
          <w:sz w:val="13"/>
        </w:rPr>
        <w:t>Blackstone,</w:t>
      </w:r>
      <w:r>
        <w:rPr>
          <w:spacing w:val="5"/>
          <w:w w:val="105"/>
          <w:sz w:val="13"/>
        </w:rPr>
        <w:t> </w:t>
      </w:r>
      <w:r>
        <w:rPr>
          <w:i/>
          <w:w w:val="105"/>
          <w:sz w:val="13"/>
        </w:rPr>
        <w:t>Commentaries</w:t>
      </w:r>
      <w:r>
        <w:rPr>
          <w:i/>
          <w:spacing w:val="5"/>
          <w:w w:val="105"/>
          <w:sz w:val="13"/>
        </w:rPr>
        <w:t> </w:t>
      </w:r>
      <w:r>
        <w:rPr>
          <w:i/>
          <w:w w:val="105"/>
          <w:sz w:val="13"/>
        </w:rPr>
        <w:t>on</w:t>
      </w:r>
      <w:r>
        <w:rPr>
          <w:i/>
          <w:spacing w:val="5"/>
          <w:w w:val="105"/>
          <w:sz w:val="13"/>
        </w:rPr>
        <w:t> </w:t>
      </w:r>
      <w:r>
        <w:rPr>
          <w:i/>
          <w:w w:val="105"/>
          <w:sz w:val="13"/>
        </w:rPr>
        <w:t>the</w:t>
      </w:r>
      <w:r>
        <w:rPr>
          <w:i/>
          <w:spacing w:val="5"/>
          <w:w w:val="105"/>
          <w:sz w:val="13"/>
        </w:rPr>
        <w:t> </w:t>
      </w:r>
      <w:r>
        <w:rPr>
          <w:i/>
          <w:w w:val="105"/>
          <w:sz w:val="13"/>
        </w:rPr>
        <w:t>Laws</w:t>
      </w:r>
      <w:r>
        <w:rPr>
          <w:i/>
          <w:spacing w:val="5"/>
          <w:w w:val="105"/>
          <w:sz w:val="13"/>
        </w:rPr>
        <w:t> </w:t>
      </w:r>
      <w:r>
        <w:rPr>
          <w:i/>
          <w:w w:val="105"/>
          <w:sz w:val="13"/>
        </w:rPr>
        <w:t>of</w:t>
      </w:r>
      <w:r>
        <w:rPr>
          <w:i/>
          <w:spacing w:val="5"/>
          <w:w w:val="105"/>
          <w:sz w:val="13"/>
        </w:rPr>
        <w:t> </w:t>
      </w:r>
      <w:r>
        <w:rPr>
          <w:i/>
          <w:w w:val="105"/>
          <w:sz w:val="13"/>
        </w:rPr>
        <w:t>England,</w:t>
      </w:r>
      <w:r>
        <w:rPr>
          <w:i/>
          <w:spacing w:val="5"/>
          <w:w w:val="105"/>
          <w:sz w:val="13"/>
        </w:rPr>
        <w:t> </w:t>
      </w:r>
      <w:r>
        <w:rPr>
          <w:i/>
          <w:w w:val="105"/>
          <w:sz w:val="13"/>
        </w:rPr>
        <w:t>Book</w:t>
      </w:r>
      <w:r>
        <w:rPr>
          <w:i/>
          <w:spacing w:val="5"/>
          <w:w w:val="105"/>
          <w:sz w:val="13"/>
        </w:rPr>
        <w:t> </w:t>
      </w:r>
      <w:r>
        <w:rPr>
          <w:i/>
          <w:spacing w:val="2"/>
          <w:w w:val="105"/>
          <w:sz w:val="13"/>
        </w:rPr>
        <w:t>III</w:t>
      </w:r>
      <w:r>
        <w:rPr>
          <w:i/>
          <w:spacing w:val="5"/>
          <w:w w:val="105"/>
          <w:sz w:val="13"/>
        </w:rPr>
        <w:t> </w:t>
      </w:r>
      <w:r>
        <w:rPr>
          <w:w w:val="105"/>
          <w:sz w:val="13"/>
        </w:rPr>
        <w:t>(Cadell</w:t>
      </w:r>
      <w:r>
        <w:rPr>
          <w:spacing w:val="6"/>
          <w:w w:val="105"/>
          <w:sz w:val="13"/>
        </w:rPr>
        <w:t> </w:t>
      </w:r>
      <w:r>
        <w:rPr>
          <w:w w:val="105"/>
          <w:sz w:val="13"/>
        </w:rPr>
        <w:t>and</w:t>
      </w:r>
      <w:r>
        <w:rPr>
          <w:spacing w:val="5"/>
          <w:w w:val="105"/>
          <w:sz w:val="13"/>
        </w:rPr>
        <w:t> </w:t>
      </w:r>
      <w:r>
        <w:rPr>
          <w:w w:val="105"/>
          <w:sz w:val="13"/>
        </w:rPr>
        <w:t>Davies,</w:t>
      </w:r>
      <w:r>
        <w:rPr>
          <w:spacing w:val="5"/>
          <w:w w:val="105"/>
          <w:sz w:val="13"/>
        </w:rPr>
        <w:t> </w:t>
      </w:r>
      <w:r>
        <w:rPr>
          <w:w w:val="105"/>
          <w:sz w:val="13"/>
        </w:rPr>
        <w:t>15th</w:t>
      </w:r>
      <w:r>
        <w:rPr>
          <w:spacing w:val="5"/>
          <w:w w:val="105"/>
          <w:sz w:val="13"/>
        </w:rPr>
        <w:t> </w:t>
      </w:r>
      <w:r>
        <w:rPr>
          <w:w w:val="105"/>
          <w:sz w:val="13"/>
        </w:rPr>
        <w:t>ed,</w:t>
      </w:r>
      <w:r>
        <w:rPr>
          <w:spacing w:val="5"/>
          <w:w w:val="105"/>
          <w:sz w:val="13"/>
        </w:rPr>
        <w:t> </w:t>
      </w:r>
      <w:r>
        <w:rPr>
          <w:w w:val="105"/>
          <w:sz w:val="13"/>
        </w:rPr>
        <w:t>1809)</w:t>
      </w:r>
      <w:r>
        <w:rPr>
          <w:spacing w:val="5"/>
          <w:w w:val="105"/>
          <w:sz w:val="13"/>
        </w:rPr>
        <w:t> </w:t>
      </w:r>
      <w:r>
        <w:rPr>
          <w:w w:val="105"/>
          <w:sz w:val="13"/>
        </w:rPr>
        <w:t>6.</w:t>
      </w:r>
    </w:p>
    <w:p>
      <w:pPr>
        <w:pStyle w:val="ListParagraph"/>
        <w:numPr>
          <w:ilvl w:val="0"/>
          <w:numId w:val="25"/>
        </w:numPr>
        <w:tabs>
          <w:tab w:pos="2380" w:val="left" w:leader="none"/>
          <w:tab w:pos="2381" w:val="left" w:leader="none"/>
        </w:tabs>
        <w:spacing w:line="240" w:lineRule="auto" w:before="1" w:after="0"/>
        <w:ind w:left="2380" w:right="1625" w:hanging="793"/>
        <w:jc w:val="left"/>
        <w:rPr>
          <w:i/>
          <w:sz w:val="13"/>
        </w:rPr>
      </w:pPr>
      <w:r>
        <w:rPr>
          <w:w w:val="105"/>
          <w:sz w:val="13"/>
        </w:rPr>
        <w:t>See, eg, Dispute Settlement Centre of Victoria, </w:t>
      </w:r>
      <w:r>
        <w:rPr>
          <w:i/>
          <w:w w:val="105"/>
          <w:sz w:val="13"/>
        </w:rPr>
        <w:t>Trees </w:t>
      </w:r>
      <w:r>
        <w:rPr>
          <w:w w:val="105"/>
          <w:sz w:val="13"/>
        </w:rPr>
        <w:t>(Web Page, 24 April 2019) &lt;https://</w:t>
      </w:r>
      <w:hyperlink r:id="rId55">
        <w:r>
          <w:rPr>
            <w:w w:val="105"/>
            <w:sz w:val="13"/>
          </w:rPr>
          <w:t>www.disputes.vic.gov.au/information-and-advice/</w:t>
        </w:r>
      </w:hyperlink>
      <w:r>
        <w:rPr>
          <w:w w:val="105"/>
          <w:sz w:val="13"/>
        </w:rPr>
        <w:t> </w:t>
      </w:r>
      <w:r>
        <w:rPr>
          <w:spacing w:val="2"/>
          <w:w w:val="105"/>
          <w:sz w:val="13"/>
        </w:rPr>
        <w:t>trees-0&gt;;</w:t>
      </w:r>
      <w:r>
        <w:rPr>
          <w:spacing w:val="9"/>
          <w:w w:val="105"/>
          <w:sz w:val="13"/>
        </w:rPr>
        <w:t> </w:t>
      </w:r>
      <w:r>
        <w:rPr>
          <w:w w:val="105"/>
          <w:sz w:val="13"/>
        </w:rPr>
        <w:t>Victoria</w:t>
      </w:r>
      <w:r>
        <w:rPr>
          <w:spacing w:val="9"/>
          <w:w w:val="105"/>
          <w:sz w:val="13"/>
        </w:rPr>
        <w:t> </w:t>
      </w:r>
      <w:r>
        <w:rPr>
          <w:w w:val="105"/>
          <w:sz w:val="13"/>
        </w:rPr>
        <w:t>Law</w:t>
      </w:r>
      <w:r>
        <w:rPr>
          <w:spacing w:val="9"/>
          <w:w w:val="105"/>
          <w:sz w:val="13"/>
        </w:rPr>
        <w:t> </w:t>
      </w:r>
      <w:r>
        <w:rPr>
          <w:w w:val="105"/>
          <w:sz w:val="13"/>
        </w:rPr>
        <w:t>Foundation,</w:t>
      </w:r>
      <w:r>
        <w:rPr>
          <w:spacing w:val="9"/>
          <w:w w:val="105"/>
          <w:sz w:val="13"/>
        </w:rPr>
        <w:t> </w:t>
      </w:r>
      <w:r>
        <w:rPr>
          <w:i/>
          <w:w w:val="105"/>
          <w:sz w:val="13"/>
        </w:rPr>
        <w:t>‘Neighbours,</w:t>
      </w:r>
      <w:r>
        <w:rPr>
          <w:i/>
          <w:spacing w:val="9"/>
          <w:w w:val="105"/>
          <w:sz w:val="13"/>
        </w:rPr>
        <w:t> </w:t>
      </w:r>
      <w:r>
        <w:rPr>
          <w:i/>
          <w:w w:val="105"/>
          <w:sz w:val="13"/>
        </w:rPr>
        <w:t>the</w:t>
      </w:r>
      <w:r>
        <w:rPr>
          <w:i/>
          <w:spacing w:val="9"/>
          <w:w w:val="105"/>
          <w:sz w:val="13"/>
        </w:rPr>
        <w:t> </w:t>
      </w:r>
      <w:r>
        <w:rPr>
          <w:i/>
          <w:w w:val="105"/>
          <w:sz w:val="13"/>
        </w:rPr>
        <w:t>Law</w:t>
      </w:r>
      <w:r>
        <w:rPr>
          <w:i/>
          <w:spacing w:val="9"/>
          <w:w w:val="105"/>
          <w:sz w:val="13"/>
        </w:rPr>
        <w:t> </w:t>
      </w:r>
      <w:r>
        <w:rPr>
          <w:i/>
          <w:w w:val="105"/>
          <w:sz w:val="13"/>
        </w:rPr>
        <w:t>and</w:t>
      </w:r>
      <w:r>
        <w:rPr>
          <w:i/>
          <w:spacing w:val="9"/>
          <w:w w:val="105"/>
          <w:sz w:val="13"/>
        </w:rPr>
        <w:t> </w:t>
      </w:r>
      <w:r>
        <w:rPr>
          <w:i/>
          <w:w w:val="105"/>
          <w:sz w:val="13"/>
        </w:rPr>
        <w:t>You:</w:t>
      </w:r>
      <w:r>
        <w:rPr>
          <w:i/>
          <w:spacing w:val="9"/>
          <w:w w:val="105"/>
          <w:sz w:val="13"/>
        </w:rPr>
        <w:t> </w:t>
      </w:r>
      <w:r>
        <w:rPr>
          <w:i/>
          <w:w w:val="105"/>
          <w:sz w:val="13"/>
        </w:rPr>
        <w:t>Your</w:t>
      </w:r>
      <w:r>
        <w:rPr>
          <w:i/>
          <w:spacing w:val="10"/>
          <w:w w:val="105"/>
          <w:sz w:val="13"/>
        </w:rPr>
        <w:t> </w:t>
      </w:r>
      <w:r>
        <w:rPr>
          <w:i/>
          <w:w w:val="105"/>
          <w:sz w:val="13"/>
        </w:rPr>
        <w:t>Guide</w:t>
      </w:r>
      <w:r>
        <w:rPr>
          <w:i/>
          <w:spacing w:val="9"/>
          <w:w w:val="105"/>
          <w:sz w:val="13"/>
        </w:rPr>
        <w:t> </w:t>
      </w:r>
      <w:r>
        <w:rPr>
          <w:i/>
          <w:w w:val="105"/>
          <w:sz w:val="13"/>
        </w:rPr>
        <w:t>to</w:t>
      </w:r>
      <w:r>
        <w:rPr>
          <w:i/>
          <w:spacing w:val="9"/>
          <w:w w:val="105"/>
          <w:sz w:val="13"/>
        </w:rPr>
        <w:t> </w:t>
      </w:r>
      <w:r>
        <w:rPr>
          <w:i/>
          <w:w w:val="105"/>
          <w:sz w:val="13"/>
        </w:rPr>
        <w:t>Neighbourhood</w:t>
      </w:r>
      <w:r>
        <w:rPr>
          <w:i/>
          <w:spacing w:val="9"/>
          <w:w w:val="105"/>
          <w:sz w:val="13"/>
        </w:rPr>
        <w:t> </w:t>
      </w:r>
      <w:r>
        <w:rPr>
          <w:i/>
          <w:w w:val="105"/>
          <w:sz w:val="13"/>
        </w:rPr>
        <w:t>Laws</w:t>
      </w:r>
      <w:r>
        <w:rPr>
          <w:i/>
          <w:spacing w:val="9"/>
          <w:w w:val="105"/>
          <w:sz w:val="13"/>
        </w:rPr>
        <w:t> </w:t>
      </w:r>
      <w:r>
        <w:rPr>
          <w:i/>
          <w:w w:val="105"/>
          <w:sz w:val="13"/>
        </w:rPr>
        <w:t>in</w:t>
      </w:r>
      <w:r>
        <w:rPr>
          <w:i/>
          <w:spacing w:val="9"/>
          <w:w w:val="105"/>
          <w:sz w:val="13"/>
        </w:rPr>
        <w:t> </w:t>
      </w:r>
      <w:r>
        <w:rPr>
          <w:i/>
          <w:w w:val="105"/>
          <w:sz w:val="13"/>
        </w:rPr>
        <w:t>Victoria</w:t>
      </w:r>
      <w:r>
        <w:rPr>
          <w:w w:val="105"/>
          <w:sz w:val="13"/>
        </w:rPr>
        <w:t>’,</w:t>
      </w:r>
      <w:r>
        <w:rPr>
          <w:spacing w:val="9"/>
          <w:w w:val="105"/>
          <w:sz w:val="13"/>
        </w:rPr>
        <w:t> </w:t>
      </w:r>
      <w:r>
        <w:rPr>
          <w:i/>
          <w:w w:val="105"/>
          <w:sz w:val="13"/>
        </w:rPr>
        <w:t>Victoria</w:t>
      </w:r>
      <w:r>
        <w:rPr>
          <w:i/>
          <w:spacing w:val="9"/>
          <w:w w:val="105"/>
          <w:sz w:val="13"/>
        </w:rPr>
        <w:t> </w:t>
      </w:r>
      <w:r>
        <w:rPr>
          <w:i/>
          <w:w w:val="105"/>
          <w:sz w:val="13"/>
        </w:rPr>
        <w:t>Legal</w:t>
      </w:r>
      <w:r>
        <w:rPr>
          <w:i/>
          <w:spacing w:val="9"/>
          <w:w w:val="105"/>
          <w:sz w:val="13"/>
        </w:rPr>
        <w:t> </w:t>
      </w:r>
      <w:r>
        <w:rPr>
          <w:i/>
          <w:w w:val="105"/>
          <w:sz w:val="13"/>
        </w:rPr>
        <w:t>Aid</w:t>
      </w:r>
    </w:p>
    <w:p>
      <w:pPr>
        <w:spacing w:before="3"/>
        <w:ind w:left="2380" w:right="1726" w:firstLine="0"/>
        <w:jc w:val="left"/>
        <w:rPr>
          <w:sz w:val="13"/>
        </w:rPr>
      </w:pPr>
      <w:r>
        <w:rPr>
          <w:i/>
          <w:w w:val="105"/>
          <w:sz w:val="13"/>
        </w:rPr>
        <w:t>(</w:t>
      </w:r>
      <w:r>
        <w:rPr>
          <w:w w:val="105"/>
          <w:sz w:val="13"/>
        </w:rPr>
        <w:t>Brochure,</w:t>
      </w:r>
      <w:r>
        <w:rPr>
          <w:spacing w:val="-14"/>
          <w:w w:val="105"/>
          <w:sz w:val="13"/>
        </w:rPr>
        <w:t> </w:t>
      </w:r>
      <w:r>
        <w:rPr>
          <w:w w:val="105"/>
          <w:sz w:val="13"/>
        </w:rPr>
        <w:t>March</w:t>
      </w:r>
      <w:r>
        <w:rPr>
          <w:spacing w:val="-14"/>
          <w:w w:val="105"/>
          <w:sz w:val="13"/>
        </w:rPr>
        <w:t> </w:t>
      </w:r>
      <w:r>
        <w:rPr>
          <w:w w:val="105"/>
          <w:sz w:val="13"/>
        </w:rPr>
        <w:t>2015)</w:t>
      </w:r>
      <w:r>
        <w:rPr>
          <w:spacing w:val="-14"/>
          <w:w w:val="105"/>
          <w:sz w:val="13"/>
        </w:rPr>
        <w:t> </w:t>
      </w:r>
      <w:r>
        <w:rPr>
          <w:spacing w:val="2"/>
          <w:w w:val="105"/>
          <w:sz w:val="13"/>
        </w:rPr>
        <w:t>&lt;</w:t>
      </w:r>
      <w:hyperlink r:id="rId56">
        <w:r>
          <w:rPr>
            <w:spacing w:val="2"/>
            <w:w w:val="105"/>
            <w:sz w:val="13"/>
          </w:rPr>
          <w:t>https://www.legalaid.vic.gov.au/find-legal-answers/free-publications-and-resources/neighbours-law-and-you</w:t>
        </w:r>
      </w:hyperlink>
      <w:r>
        <w:rPr>
          <w:spacing w:val="2"/>
          <w:w w:val="105"/>
          <w:sz w:val="13"/>
        </w:rPr>
        <w:t>&gt;; </w:t>
      </w:r>
      <w:r>
        <w:rPr>
          <w:w w:val="105"/>
          <w:sz w:val="13"/>
        </w:rPr>
        <w:t>Peter Cotter, ‘Neighbour Disputes’ in Naomi Saligari </w:t>
      </w:r>
      <w:r>
        <w:rPr>
          <w:spacing w:val="2"/>
          <w:w w:val="105"/>
          <w:sz w:val="13"/>
        </w:rPr>
        <w:t>(ed), </w:t>
      </w:r>
      <w:r>
        <w:rPr>
          <w:i/>
          <w:w w:val="105"/>
          <w:sz w:val="13"/>
        </w:rPr>
        <w:t>The Law Handbook 2019: Your Practical Guide to the Law in Victoria </w:t>
      </w:r>
      <w:r>
        <w:rPr>
          <w:w w:val="105"/>
          <w:sz w:val="13"/>
        </w:rPr>
        <w:t>(Fitzroy     Legal Service, </w:t>
      </w:r>
      <w:r>
        <w:rPr>
          <w:spacing w:val="-3"/>
          <w:w w:val="105"/>
          <w:sz w:val="13"/>
        </w:rPr>
        <w:t>41st </w:t>
      </w:r>
      <w:r>
        <w:rPr>
          <w:w w:val="105"/>
          <w:sz w:val="13"/>
        </w:rPr>
        <w:t>ed, 2019) </w:t>
      </w:r>
      <w:r>
        <w:rPr>
          <w:spacing w:val="3"/>
          <w:w w:val="105"/>
          <w:sz w:val="13"/>
        </w:rPr>
        <w:t>543–4. </w:t>
      </w:r>
      <w:r>
        <w:rPr>
          <w:w w:val="105"/>
          <w:sz w:val="13"/>
        </w:rPr>
        <w:t>But note that the use of abatement more generally to remedy other </w:t>
      </w:r>
      <w:r>
        <w:rPr>
          <w:spacing w:val="2"/>
          <w:w w:val="105"/>
          <w:sz w:val="13"/>
        </w:rPr>
        <w:t>types </w:t>
      </w:r>
      <w:r>
        <w:rPr>
          <w:w w:val="105"/>
          <w:sz w:val="13"/>
        </w:rPr>
        <w:t>of private nuisances ‘tends</w:t>
      </w:r>
      <w:r>
        <w:rPr>
          <w:spacing w:val="30"/>
          <w:w w:val="105"/>
          <w:sz w:val="13"/>
        </w:rPr>
        <w:t> </w:t>
      </w:r>
      <w:r>
        <w:rPr>
          <w:w w:val="105"/>
          <w:sz w:val="13"/>
        </w:rPr>
        <w:t>to be discouraged save in relation to minor annoyances …’: Paula Giliker, ‘Nuisance’ in Carolyn Sappideen and Prue Vines </w:t>
      </w:r>
      <w:r>
        <w:rPr>
          <w:spacing w:val="2"/>
          <w:w w:val="105"/>
          <w:sz w:val="13"/>
        </w:rPr>
        <w:t>(eds), </w:t>
      </w:r>
      <w:r>
        <w:rPr>
          <w:w w:val="105"/>
          <w:sz w:val="13"/>
        </w:rPr>
        <w:t>Fleming’s The Law of Torts </w:t>
      </w:r>
      <w:r>
        <w:rPr>
          <w:spacing w:val="2"/>
          <w:w w:val="105"/>
          <w:sz w:val="13"/>
        </w:rPr>
        <w:t>(Lawbook </w:t>
      </w:r>
      <w:r>
        <w:rPr>
          <w:w w:val="105"/>
          <w:sz w:val="13"/>
        </w:rPr>
        <w:t>Co., 10th ed, </w:t>
      </w:r>
      <w:r>
        <w:rPr>
          <w:spacing w:val="-4"/>
          <w:w w:val="105"/>
          <w:sz w:val="13"/>
        </w:rPr>
        <w:t>2011) </w:t>
      </w:r>
      <w:r>
        <w:rPr>
          <w:w w:val="105"/>
          <w:sz w:val="13"/>
        </w:rPr>
        <w:t>487</w:t>
      </w:r>
      <w:r>
        <w:rPr>
          <w:spacing w:val="26"/>
          <w:w w:val="105"/>
          <w:sz w:val="13"/>
        </w:rPr>
        <w:t> </w:t>
      </w:r>
      <w:r>
        <w:rPr>
          <w:w w:val="105"/>
          <w:sz w:val="13"/>
        </w:rPr>
        <w:t>[21.280].</w:t>
      </w:r>
    </w:p>
    <w:p>
      <w:pPr>
        <w:pStyle w:val="ListParagraph"/>
        <w:numPr>
          <w:ilvl w:val="0"/>
          <w:numId w:val="25"/>
        </w:numPr>
        <w:tabs>
          <w:tab w:pos="2380" w:val="left" w:leader="none"/>
          <w:tab w:pos="2381" w:val="left" w:leader="none"/>
        </w:tabs>
        <w:spacing w:line="240" w:lineRule="auto" w:before="7" w:after="0"/>
        <w:ind w:left="2380" w:right="0" w:hanging="793"/>
        <w:jc w:val="left"/>
        <w:rPr>
          <w:sz w:val="13"/>
        </w:rPr>
      </w:pPr>
      <w:r>
        <w:rPr>
          <w:w w:val="105"/>
          <w:sz w:val="13"/>
        </w:rPr>
        <w:t>Kit</w:t>
      </w:r>
      <w:r>
        <w:rPr>
          <w:spacing w:val="4"/>
          <w:w w:val="105"/>
          <w:sz w:val="13"/>
        </w:rPr>
        <w:t> </w:t>
      </w:r>
      <w:r>
        <w:rPr>
          <w:w w:val="105"/>
          <w:sz w:val="13"/>
        </w:rPr>
        <w:t>Barker,</w:t>
      </w:r>
      <w:r>
        <w:rPr>
          <w:spacing w:val="4"/>
          <w:w w:val="105"/>
          <w:sz w:val="13"/>
        </w:rPr>
        <w:t> </w:t>
      </w:r>
      <w:r>
        <w:rPr>
          <w:w w:val="105"/>
          <w:sz w:val="13"/>
        </w:rPr>
        <w:t>Peter</w:t>
      </w:r>
      <w:r>
        <w:rPr>
          <w:spacing w:val="4"/>
          <w:w w:val="105"/>
          <w:sz w:val="13"/>
        </w:rPr>
        <w:t> </w:t>
      </w:r>
      <w:r>
        <w:rPr>
          <w:w w:val="105"/>
          <w:sz w:val="13"/>
        </w:rPr>
        <w:t>Cane,</w:t>
      </w:r>
      <w:r>
        <w:rPr>
          <w:spacing w:val="4"/>
          <w:w w:val="105"/>
          <w:sz w:val="13"/>
        </w:rPr>
        <w:t> </w:t>
      </w:r>
      <w:r>
        <w:rPr>
          <w:w w:val="105"/>
          <w:sz w:val="13"/>
        </w:rPr>
        <w:t>Mark</w:t>
      </w:r>
      <w:r>
        <w:rPr>
          <w:spacing w:val="4"/>
          <w:w w:val="105"/>
          <w:sz w:val="13"/>
        </w:rPr>
        <w:t> </w:t>
      </w:r>
      <w:r>
        <w:rPr>
          <w:w w:val="105"/>
          <w:sz w:val="13"/>
        </w:rPr>
        <w:t>Lunney</w:t>
      </w:r>
      <w:r>
        <w:rPr>
          <w:spacing w:val="4"/>
          <w:w w:val="105"/>
          <w:sz w:val="13"/>
        </w:rPr>
        <w:t> </w:t>
      </w:r>
      <w:r>
        <w:rPr>
          <w:w w:val="105"/>
          <w:sz w:val="13"/>
        </w:rPr>
        <w:t>and</w:t>
      </w:r>
      <w:r>
        <w:rPr>
          <w:spacing w:val="4"/>
          <w:w w:val="105"/>
          <w:sz w:val="13"/>
        </w:rPr>
        <w:t> </w:t>
      </w:r>
      <w:r>
        <w:rPr>
          <w:w w:val="105"/>
          <w:sz w:val="13"/>
        </w:rPr>
        <w:t>Francis</w:t>
      </w:r>
      <w:r>
        <w:rPr>
          <w:spacing w:val="4"/>
          <w:w w:val="105"/>
          <w:sz w:val="13"/>
        </w:rPr>
        <w:t> </w:t>
      </w:r>
      <w:r>
        <w:rPr>
          <w:w w:val="105"/>
          <w:sz w:val="13"/>
        </w:rPr>
        <w:t>Trindade,</w:t>
      </w:r>
      <w:r>
        <w:rPr>
          <w:spacing w:val="4"/>
          <w:w w:val="105"/>
          <w:sz w:val="13"/>
        </w:rPr>
        <w:t> </w:t>
      </w:r>
      <w:r>
        <w:rPr>
          <w:i/>
          <w:w w:val="105"/>
          <w:sz w:val="13"/>
        </w:rPr>
        <w:t>The</w:t>
      </w:r>
      <w:r>
        <w:rPr>
          <w:i/>
          <w:spacing w:val="4"/>
          <w:w w:val="105"/>
          <w:sz w:val="13"/>
        </w:rPr>
        <w:t> </w:t>
      </w:r>
      <w:r>
        <w:rPr>
          <w:i/>
          <w:w w:val="105"/>
          <w:sz w:val="13"/>
        </w:rPr>
        <w:t>Law</w:t>
      </w:r>
      <w:r>
        <w:rPr>
          <w:i/>
          <w:spacing w:val="5"/>
          <w:w w:val="105"/>
          <w:sz w:val="13"/>
        </w:rPr>
        <w:t> </w:t>
      </w:r>
      <w:r>
        <w:rPr>
          <w:i/>
          <w:w w:val="105"/>
          <w:sz w:val="13"/>
        </w:rPr>
        <w:t>of</w:t>
      </w:r>
      <w:r>
        <w:rPr>
          <w:i/>
          <w:spacing w:val="4"/>
          <w:w w:val="105"/>
          <w:sz w:val="13"/>
        </w:rPr>
        <w:t> </w:t>
      </w:r>
      <w:r>
        <w:rPr>
          <w:i/>
          <w:w w:val="105"/>
          <w:sz w:val="13"/>
        </w:rPr>
        <w:t>Torts</w:t>
      </w:r>
      <w:r>
        <w:rPr>
          <w:i/>
          <w:spacing w:val="4"/>
          <w:w w:val="105"/>
          <w:sz w:val="13"/>
        </w:rPr>
        <w:t> </w:t>
      </w:r>
      <w:r>
        <w:rPr>
          <w:i/>
          <w:w w:val="105"/>
          <w:sz w:val="13"/>
        </w:rPr>
        <w:t>in</w:t>
      </w:r>
      <w:r>
        <w:rPr>
          <w:i/>
          <w:spacing w:val="4"/>
          <w:w w:val="105"/>
          <w:sz w:val="13"/>
        </w:rPr>
        <w:t> </w:t>
      </w:r>
      <w:r>
        <w:rPr>
          <w:i/>
          <w:w w:val="105"/>
          <w:sz w:val="13"/>
        </w:rPr>
        <w:t>Australia</w:t>
      </w:r>
      <w:r>
        <w:rPr>
          <w:i/>
          <w:spacing w:val="4"/>
          <w:w w:val="105"/>
          <w:sz w:val="13"/>
        </w:rPr>
        <w:t> </w:t>
      </w:r>
      <w:r>
        <w:rPr>
          <w:spacing w:val="2"/>
          <w:w w:val="105"/>
          <w:sz w:val="13"/>
        </w:rPr>
        <w:t>(Oxford</w:t>
      </w:r>
      <w:r>
        <w:rPr>
          <w:spacing w:val="4"/>
          <w:w w:val="105"/>
          <w:sz w:val="13"/>
        </w:rPr>
        <w:t> </w:t>
      </w:r>
      <w:r>
        <w:rPr>
          <w:w w:val="105"/>
          <w:sz w:val="13"/>
        </w:rPr>
        <w:t>University</w:t>
      </w:r>
      <w:r>
        <w:rPr>
          <w:spacing w:val="4"/>
          <w:w w:val="105"/>
          <w:sz w:val="13"/>
        </w:rPr>
        <w:t> </w:t>
      </w:r>
      <w:r>
        <w:rPr>
          <w:w w:val="105"/>
          <w:sz w:val="13"/>
        </w:rPr>
        <w:t>Press,</w:t>
      </w:r>
      <w:r>
        <w:rPr>
          <w:spacing w:val="4"/>
          <w:w w:val="105"/>
          <w:sz w:val="13"/>
        </w:rPr>
        <w:t> </w:t>
      </w:r>
      <w:r>
        <w:rPr>
          <w:w w:val="105"/>
          <w:sz w:val="13"/>
        </w:rPr>
        <w:t>5th</w:t>
      </w:r>
      <w:r>
        <w:rPr>
          <w:spacing w:val="4"/>
          <w:w w:val="105"/>
          <w:sz w:val="13"/>
        </w:rPr>
        <w:t> </w:t>
      </w:r>
      <w:r>
        <w:rPr>
          <w:w w:val="105"/>
          <w:sz w:val="13"/>
        </w:rPr>
        <w:t>ed,</w:t>
      </w:r>
      <w:r>
        <w:rPr>
          <w:spacing w:val="4"/>
          <w:w w:val="105"/>
          <w:sz w:val="13"/>
        </w:rPr>
        <w:t> </w:t>
      </w:r>
      <w:r>
        <w:rPr>
          <w:w w:val="105"/>
          <w:sz w:val="13"/>
        </w:rPr>
        <w:t>2012)</w:t>
      </w:r>
      <w:r>
        <w:rPr>
          <w:spacing w:val="5"/>
          <w:w w:val="105"/>
          <w:sz w:val="13"/>
        </w:rPr>
        <w:t> </w:t>
      </w:r>
      <w:r>
        <w:rPr>
          <w:w w:val="105"/>
          <w:sz w:val="13"/>
        </w:rPr>
        <w:t>[5.1.7.3].</w:t>
      </w:r>
    </w:p>
    <w:p>
      <w:pPr>
        <w:pStyle w:val="ListParagraph"/>
        <w:numPr>
          <w:ilvl w:val="0"/>
          <w:numId w:val="25"/>
        </w:numPr>
        <w:tabs>
          <w:tab w:pos="2380" w:val="left" w:leader="none"/>
          <w:tab w:pos="2381" w:val="left" w:leader="none"/>
        </w:tabs>
        <w:spacing w:line="240" w:lineRule="auto" w:before="1" w:after="0"/>
        <w:ind w:left="2380" w:right="0" w:hanging="793"/>
        <w:jc w:val="left"/>
        <w:rPr>
          <w:sz w:val="13"/>
        </w:rPr>
      </w:pPr>
      <w:r>
        <w:rPr>
          <w:i/>
          <w:w w:val="105"/>
          <w:sz w:val="13"/>
        </w:rPr>
        <w:t>Robson</w:t>
      </w:r>
      <w:r>
        <w:rPr>
          <w:i/>
          <w:spacing w:val="4"/>
          <w:w w:val="105"/>
          <w:sz w:val="13"/>
        </w:rPr>
        <w:t> </w:t>
      </w:r>
      <w:r>
        <w:rPr>
          <w:i/>
          <w:w w:val="105"/>
          <w:sz w:val="13"/>
        </w:rPr>
        <w:t>v</w:t>
      </w:r>
      <w:r>
        <w:rPr>
          <w:i/>
          <w:spacing w:val="5"/>
          <w:w w:val="105"/>
          <w:sz w:val="13"/>
        </w:rPr>
        <w:t> </w:t>
      </w:r>
      <w:r>
        <w:rPr>
          <w:i/>
          <w:w w:val="105"/>
          <w:sz w:val="13"/>
        </w:rPr>
        <w:t>Leischke</w:t>
      </w:r>
      <w:r>
        <w:rPr>
          <w:i/>
          <w:spacing w:val="5"/>
          <w:w w:val="105"/>
          <w:sz w:val="13"/>
        </w:rPr>
        <w:t> </w:t>
      </w:r>
      <w:r>
        <w:rPr>
          <w:spacing w:val="2"/>
          <w:w w:val="105"/>
          <w:sz w:val="13"/>
        </w:rPr>
        <w:t>(2008)</w:t>
      </w:r>
      <w:r>
        <w:rPr>
          <w:spacing w:val="5"/>
          <w:w w:val="105"/>
          <w:sz w:val="13"/>
        </w:rPr>
        <w:t> </w:t>
      </w:r>
      <w:r>
        <w:rPr>
          <w:w w:val="105"/>
          <w:sz w:val="13"/>
        </w:rPr>
        <w:t>72</w:t>
      </w:r>
      <w:r>
        <w:rPr>
          <w:spacing w:val="5"/>
          <w:w w:val="105"/>
          <w:sz w:val="13"/>
        </w:rPr>
        <w:t> </w:t>
      </w:r>
      <w:r>
        <w:rPr>
          <w:spacing w:val="2"/>
          <w:w w:val="105"/>
          <w:sz w:val="13"/>
        </w:rPr>
        <w:t>NSWLR</w:t>
      </w:r>
      <w:r>
        <w:rPr>
          <w:spacing w:val="5"/>
          <w:w w:val="105"/>
          <w:sz w:val="13"/>
        </w:rPr>
        <w:t> </w:t>
      </w:r>
      <w:r>
        <w:rPr>
          <w:w w:val="105"/>
          <w:sz w:val="13"/>
        </w:rPr>
        <w:t>98</w:t>
      </w:r>
      <w:r>
        <w:rPr>
          <w:spacing w:val="5"/>
          <w:w w:val="105"/>
          <w:sz w:val="13"/>
        </w:rPr>
        <w:t> </w:t>
      </w:r>
      <w:r>
        <w:rPr>
          <w:w w:val="105"/>
          <w:sz w:val="13"/>
        </w:rPr>
        <w:t>[57]</w:t>
      </w:r>
      <w:r>
        <w:rPr>
          <w:spacing w:val="5"/>
          <w:w w:val="105"/>
          <w:sz w:val="13"/>
        </w:rPr>
        <w:t> </w:t>
      </w:r>
      <w:r>
        <w:rPr>
          <w:w w:val="105"/>
          <w:sz w:val="13"/>
        </w:rPr>
        <w:t>citing</w:t>
      </w:r>
      <w:r>
        <w:rPr>
          <w:spacing w:val="5"/>
          <w:w w:val="105"/>
          <w:sz w:val="13"/>
        </w:rPr>
        <w:t> </w:t>
      </w:r>
      <w:r>
        <w:rPr>
          <w:i/>
          <w:w w:val="105"/>
          <w:sz w:val="13"/>
        </w:rPr>
        <w:t>Mills</w:t>
      </w:r>
      <w:r>
        <w:rPr>
          <w:i/>
          <w:spacing w:val="5"/>
          <w:w w:val="105"/>
          <w:sz w:val="13"/>
        </w:rPr>
        <w:t> </w:t>
      </w:r>
      <w:r>
        <w:rPr>
          <w:i/>
          <w:w w:val="105"/>
          <w:sz w:val="13"/>
        </w:rPr>
        <w:t>v</w:t>
      </w:r>
      <w:r>
        <w:rPr>
          <w:i/>
          <w:spacing w:val="5"/>
          <w:w w:val="105"/>
          <w:sz w:val="13"/>
        </w:rPr>
        <w:t> </w:t>
      </w:r>
      <w:r>
        <w:rPr>
          <w:i/>
          <w:w w:val="105"/>
          <w:sz w:val="13"/>
        </w:rPr>
        <w:t>Brooker</w:t>
      </w:r>
      <w:r>
        <w:rPr>
          <w:i/>
          <w:spacing w:val="5"/>
          <w:w w:val="105"/>
          <w:sz w:val="13"/>
        </w:rPr>
        <w:t> </w:t>
      </w:r>
      <w:r>
        <w:rPr>
          <w:w w:val="105"/>
          <w:sz w:val="13"/>
        </w:rPr>
        <w:t>[1919]</w:t>
      </w:r>
      <w:r>
        <w:rPr>
          <w:spacing w:val="5"/>
          <w:w w:val="105"/>
          <w:sz w:val="13"/>
        </w:rPr>
        <w:t> </w:t>
      </w:r>
      <w:r>
        <w:rPr>
          <w:w w:val="105"/>
          <w:sz w:val="13"/>
        </w:rPr>
        <w:t>1</w:t>
      </w:r>
      <w:r>
        <w:rPr>
          <w:spacing w:val="4"/>
          <w:w w:val="105"/>
          <w:sz w:val="13"/>
        </w:rPr>
        <w:t> </w:t>
      </w:r>
      <w:r>
        <w:rPr>
          <w:w w:val="105"/>
          <w:sz w:val="13"/>
        </w:rPr>
        <w:t>KB</w:t>
      </w:r>
      <w:r>
        <w:rPr>
          <w:spacing w:val="5"/>
          <w:w w:val="105"/>
          <w:sz w:val="13"/>
        </w:rPr>
        <w:t> </w:t>
      </w:r>
      <w:r>
        <w:rPr>
          <w:w w:val="105"/>
          <w:sz w:val="13"/>
        </w:rPr>
        <w:t>555,</w:t>
      </w:r>
      <w:r>
        <w:rPr>
          <w:spacing w:val="5"/>
          <w:w w:val="105"/>
          <w:sz w:val="13"/>
        </w:rPr>
        <w:t> </w:t>
      </w:r>
      <w:r>
        <w:rPr>
          <w:w w:val="105"/>
          <w:sz w:val="13"/>
        </w:rPr>
        <w:t>558.</w:t>
      </w:r>
    </w:p>
    <w:p>
      <w:pPr>
        <w:pStyle w:val="ListParagraph"/>
        <w:numPr>
          <w:ilvl w:val="0"/>
          <w:numId w:val="25"/>
        </w:numPr>
        <w:tabs>
          <w:tab w:pos="2380" w:val="left" w:leader="none"/>
          <w:tab w:pos="2382" w:val="left" w:leader="none"/>
        </w:tabs>
        <w:spacing w:line="240" w:lineRule="auto" w:before="1" w:after="0"/>
        <w:ind w:left="2381" w:right="0" w:hanging="794"/>
        <w:jc w:val="left"/>
        <w:rPr>
          <w:sz w:val="13"/>
        </w:rPr>
      </w:pPr>
      <w:r>
        <w:rPr>
          <w:i/>
          <w:w w:val="105"/>
          <w:sz w:val="13"/>
        </w:rPr>
        <w:t>Lemmon v Webb </w:t>
      </w:r>
      <w:r>
        <w:rPr>
          <w:w w:val="105"/>
          <w:sz w:val="13"/>
        </w:rPr>
        <w:t>[1894] AC</w:t>
      </w:r>
      <w:r>
        <w:rPr>
          <w:spacing w:val="23"/>
          <w:w w:val="105"/>
          <w:sz w:val="13"/>
        </w:rPr>
        <w:t> </w:t>
      </w:r>
      <w:r>
        <w:rPr>
          <w:spacing w:val="-3"/>
          <w:w w:val="105"/>
          <w:sz w:val="13"/>
        </w:rPr>
        <w:t>1.</w:t>
      </w:r>
    </w:p>
    <w:p>
      <w:pPr>
        <w:tabs>
          <w:tab w:pos="2381" w:val="left" w:leader="none"/>
        </w:tabs>
        <w:spacing w:before="2"/>
        <w:ind w:left="1587" w:right="0" w:firstLine="0"/>
        <w:jc w:val="left"/>
        <w:rPr>
          <w:sz w:val="13"/>
        </w:rPr>
      </w:pPr>
      <w:r>
        <w:rPr>
          <w:spacing w:val="-4"/>
          <w:w w:val="105"/>
          <w:sz w:val="13"/>
        </w:rPr>
        <w:t>12</w:t>
        <w:tab/>
      </w:r>
      <w:r>
        <w:rPr>
          <w:i/>
          <w:w w:val="105"/>
          <w:sz w:val="13"/>
        </w:rPr>
        <w:t>Traian v Ware </w:t>
      </w:r>
      <w:r>
        <w:rPr>
          <w:w w:val="105"/>
          <w:sz w:val="13"/>
        </w:rPr>
        <w:t>[1957] VR 200,</w:t>
      </w:r>
      <w:r>
        <w:rPr>
          <w:spacing w:val="25"/>
          <w:w w:val="105"/>
          <w:sz w:val="13"/>
        </w:rPr>
        <w:t> </w:t>
      </w:r>
      <w:r>
        <w:rPr>
          <w:spacing w:val="-3"/>
          <w:w w:val="105"/>
          <w:sz w:val="13"/>
        </w:rPr>
        <w:t>207.</w:t>
      </w:r>
    </w:p>
    <w:p>
      <w:pPr>
        <w:pStyle w:val="ListParagraph"/>
        <w:numPr>
          <w:ilvl w:val="0"/>
          <w:numId w:val="26"/>
        </w:numPr>
        <w:tabs>
          <w:tab w:pos="2381" w:val="left" w:leader="none"/>
          <w:tab w:pos="2382" w:val="left" w:leader="none"/>
        </w:tabs>
        <w:spacing w:line="240" w:lineRule="auto" w:before="1" w:after="0"/>
        <w:ind w:left="2381" w:right="1585" w:hanging="794"/>
        <w:jc w:val="left"/>
        <w:rPr>
          <w:sz w:val="13"/>
        </w:rPr>
      </w:pPr>
      <w:r>
        <w:rPr/>
        <w:pict>
          <v:shape style="position:absolute;margin-left:549.038513pt;margin-top:34.997463pt;width:12.9pt;height:14.25pt;mso-position-horizontal-relative:page;mso-position-vertical-relative:paragraph;z-index:2968" type="#_x0000_t202" filled="false" stroked="false">
            <v:textbox inset="0,0,0,0">
              <w:txbxContent>
                <w:p>
                  <w:pPr>
                    <w:spacing w:line="284" w:lineRule="exact" w:before="0"/>
                    <w:ind w:left="0" w:right="0" w:firstLine="0"/>
                    <w:jc w:val="left"/>
                    <w:rPr>
                      <w:b/>
                      <w:sz w:val="24"/>
                    </w:rPr>
                  </w:pPr>
                  <w:r>
                    <w:rPr>
                      <w:b/>
                      <w:color w:val="658464"/>
                      <w:spacing w:val="-5"/>
                      <w:w w:val="110"/>
                      <w:sz w:val="24"/>
                    </w:rPr>
                    <w:t>27</w:t>
                  </w:r>
                </w:p>
              </w:txbxContent>
            </v:textbox>
            <w10:wrap type="none"/>
          </v:shape>
        </w:pict>
      </w:r>
      <w:r>
        <w:rPr>
          <w:w w:val="105"/>
          <w:sz w:val="13"/>
        </w:rPr>
        <w:t>Paula Giliker, ‘Nuisance’ in Carolyn Sappideen and Prue Vines </w:t>
      </w:r>
      <w:r>
        <w:rPr>
          <w:spacing w:val="2"/>
          <w:w w:val="105"/>
          <w:sz w:val="13"/>
        </w:rPr>
        <w:t>(eds), </w:t>
      </w:r>
      <w:r>
        <w:rPr>
          <w:i/>
          <w:w w:val="105"/>
          <w:sz w:val="13"/>
        </w:rPr>
        <w:t>Fleming’s The Law of Torts </w:t>
      </w:r>
      <w:r>
        <w:rPr>
          <w:spacing w:val="2"/>
          <w:w w:val="105"/>
          <w:sz w:val="13"/>
        </w:rPr>
        <w:t>(Lawbook </w:t>
      </w:r>
      <w:r>
        <w:rPr>
          <w:w w:val="105"/>
          <w:sz w:val="13"/>
        </w:rPr>
        <w:t>Co.,10th ed, </w:t>
      </w:r>
      <w:r>
        <w:rPr>
          <w:spacing w:val="-4"/>
          <w:w w:val="105"/>
          <w:sz w:val="13"/>
        </w:rPr>
        <w:t>2011) </w:t>
      </w:r>
      <w:r>
        <w:rPr>
          <w:w w:val="105"/>
          <w:sz w:val="13"/>
        </w:rPr>
        <w:t>487 [21.280]. However existing case law which states abatement must be carried out ‘reasonably’ or ‘only as far as is </w:t>
      </w:r>
      <w:r>
        <w:rPr>
          <w:spacing w:val="2"/>
          <w:w w:val="105"/>
          <w:sz w:val="13"/>
        </w:rPr>
        <w:t>necessary’ </w:t>
      </w:r>
      <w:r>
        <w:rPr>
          <w:w w:val="105"/>
          <w:sz w:val="13"/>
        </w:rPr>
        <w:t>or that the person is</w:t>
      </w:r>
      <w:r>
        <w:rPr>
          <w:spacing w:val="30"/>
          <w:w w:val="105"/>
          <w:sz w:val="13"/>
        </w:rPr>
        <w:t> </w:t>
      </w:r>
      <w:r>
        <w:rPr>
          <w:w w:val="105"/>
          <w:sz w:val="13"/>
        </w:rPr>
        <w:t>‘bound to use due care and skill to avoid causing damage’ may not provide a conclusive answer as to whether abatement must be carried     out cautiously to avoid damage in the specific context of overhanging branches or encroaching </w:t>
      </w:r>
      <w:r>
        <w:rPr>
          <w:spacing w:val="2"/>
          <w:w w:val="105"/>
          <w:sz w:val="13"/>
        </w:rPr>
        <w:t>roots: </w:t>
      </w:r>
      <w:r>
        <w:rPr>
          <w:w w:val="105"/>
          <w:sz w:val="13"/>
        </w:rPr>
        <w:t>Queensland Law Reform Commission, </w:t>
      </w:r>
      <w:r>
        <w:rPr>
          <w:i/>
          <w:w w:val="105"/>
          <w:sz w:val="13"/>
        </w:rPr>
        <w:t>Review</w:t>
      </w:r>
      <w:r>
        <w:rPr>
          <w:i/>
          <w:spacing w:val="6"/>
          <w:w w:val="105"/>
          <w:sz w:val="13"/>
        </w:rPr>
        <w:t> </w:t>
      </w:r>
      <w:r>
        <w:rPr>
          <w:i/>
          <w:w w:val="105"/>
          <w:sz w:val="13"/>
        </w:rPr>
        <w:t>of</w:t>
      </w:r>
      <w:r>
        <w:rPr>
          <w:i/>
          <w:spacing w:val="7"/>
          <w:w w:val="105"/>
          <w:sz w:val="13"/>
        </w:rPr>
        <w:t> </w:t>
      </w:r>
      <w:r>
        <w:rPr>
          <w:i/>
          <w:w w:val="105"/>
          <w:sz w:val="13"/>
        </w:rPr>
        <w:t>the</w:t>
      </w:r>
      <w:r>
        <w:rPr>
          <w:i/>
          <w:spacing w:val="6"/>
          <w:w w:val="105"/>
          <w:sz w:val="13"/>
        </w:rPr>
        <w:t> </w:t>
      </w:r>
      <w:r>
        <w:rPr>
          <w:i/>
          <w:w w:val="105"/>
          <w:sz w:val="13"/>
        </w:rPr>
        <w:t>Neighbourhood</w:t>
      </w:r>
      <w:r>
        <w:rPr>
          <w:i/>
          <w:spacing w:val="7"/>
          <w:w w:val="105"/>
          <w:sz w:val="13"/>
        </w:rPr>
        <w:t> </w:t>
      </w:r>
      <w:r>
        <w:rPr>
          <w:i/>
          <w:w w:val="105"/>
          <w:sz w:val="13"/>
        </w:rPr>
        <w:t>Disputes</w:t>
      </w:r>
      <w:r>
        <w:rPr>
          <w:i/>
          <w:spacing w:val="6"/>
          <w:w w:val="105"/>
          <w:sz w:val="13"/>
        </w:rPr>
        <w:t> </w:t>
      </w:r>
      <w:r>
        <w:rPr>
          <w:i/>
          <w:w w:val="105"/>
          <w:sz w:val="13"/>
        </w:rPr>
        <w:t>(Dividing</w:t>
      </w:r>
      <w:r>
        <w:rPr>
          <w:i/>
          <w:spacing w:val="7"/>
          <w:w w:val="105"/>
          <w:sz w:val="13"/>
        </w:rPr>
        <w:t> </w:t>
      </w:r>
      <w:r>
        <w:rPr>
          <w:i/>
          <w:w w:val="105"/>
          <w:sz w:val="13"/>
        </w:rPr>
        <w:t>Fences</w:t>
      </w:r>
      <w:r>
        <w:rPr>
          <w:i/>
          <w:spacing w:val="6"/>
          <w:w w:val="105"/>
          <w:sz w:val="13"/>
        </w:rPr>
        <w:t> </w:t>
      </w:r>
      <w:r>
        <w:rPr>
          <w:i/>
          <w:w w:val="105"/>
          <w:sz w:val="13"/>
        </w:rPr>
        <w:t>and</w:t>
      </w:r>
      <w:r>
        <w:rPr>
          <w:i/>
          <w:spacing w:val="7"/>
          <w:w w:val="105"/>
          <w:sz w:val="13"/>
        </w:rPr>
        <w:t> </w:t>
      </w:r>
      <w:r>
        <w:rPr>
          <w:i/>
          <w:w w:val="105"/>
          <w:sz w:val="13"/>
        </w:rPr>
        <w:t>Trees)</w:t>
      </w:r>
      <w:r>
        <w:rPr>
          <w:i/>
          <w:spacing w:val="7"/>
          <w:w w:val="105"/>
          <w:sz w:val="13"/>
        </w:rPr>
        <w:t> </w:t>
      </w:r>
      <w:r>
        <w:rPr>
          <w:i/>
          <w:w w:val="105"/>
          <w:sz w:val="13"/>
        </w:rPr>
        <w:t>Act</w:t>
      </w:r>
      <w:r>
        <w:rPr>
          <w:i/>
          <w:spacing w:val="6"/>
          <w:w w:val="105"/>
          <w:sz w:val="13"/>
        </w:rPr>
        <w:t> </w:t>
      </w:r>
      <w:r>
        <w:rPr>
          <w:i/>
          <w:spacing w:val="-4"/>
          <w:w w:val="105"/>
          <w:sz w:val="13"/>
        </w:rPr>
        <w:t>2011</w:t>
      </w:r>
      <w:r>
        <w:rPr>
          <w:i/>
          <w:spacing w:val="7"/>
          <w:w w:val="105"/>
          <w:sz w:val="13"/>
        </w:rPr>
        <w:t> </w:t>
      </w:r>
      <w:r>
        <w:rPr>
          <w:spacing w:val="2"/>
          <w:w w:val="105"/>
          <w:sz w:val="13"/>
        </w:rPr>
        <w:t>(Report</w:t>
      </w:r>
      <w:r>
        <w:rPr>
          <w:spacing w:val="6"/>
          <w:w w:val="105"/>
          <w:sz w:val="13"/>
        </w:rPr>
        <w:t> </w:t>
      </w:r>
      <w:r>
        <w:rPr>
          <w:w w:val="105"/>
          <w:sz w:val="13"/>
        </w:rPr>
        <w:t>No</w:t>
      </w:r>
      <w:r>
        <w:rPr>
          <w:spacing w:val="7"/>
          <w:w w:val="105"/>
          <w:sz w:val="13"/>
        </w:rPr>
        <w:t> </w:t>
      </w:r>
      <w:r>
        <w:rPr>
          <w:w w:val="105"/>
          <w:sz w:val="13"/>
        </w:rPr>
        <w:t>72,</w:t>
      </w:r>
      <w:r>
        <w:rPr>
          <w:spacing w:val="6"/>
          <w:w w:val="105"/>
          <w:sz w:val="13"/>
        </w:rPr>
        <w:t> </w:t>
      </w:r>
      <w:r>
        <w:rPr>
          <w:w w:val="105"/>
          <w:sz w:val="13"/>
        </w:rPr>
        <w:t>December</w:t>
      </w:r>
      <w:r>
        <w:rPr>
          <w:spacing w:val="7"/>
          <w:w w:val="105"/>
          <w:sz w:val="13"/>
        </w:rPr>
        <w:t> </w:t>
      </w:r>
      <w:r>
        <w:rPr>
          <w:w w:val="105"/>
          <w:sz w:val="13"/>
        </w:rPr>
        <w:t>2015)</w:t>
      </w:r>
      <w:r>
        <w:rPr>
          <w:spacing w:val="6"/>
          <w:w w:val="105"/>
          <w:sz w:val="13"/>
        </w:rPr>
        <w:t> </w:t>
      </w:r>
      <w:r>
        <w:rPr>
          <w:spacing w:val="3"/>
          <w:w w:val="105"/>
          <w:sz w:val="13"/>
        </w:rPr>
        <w:t>[3.220]–[3.233].</w:t>
      </w:r>
    </w:p>
    <w:p>
      <w:pPr>
        <w:pStyle w:val="ListParagraph"/>
        <w:numPr>
          <w:ilvl w:val="0"/>
          <w:numId w:val="26"/>
        </w:numPr>
        <w:tabs>
          <w:tab w:pos="2381" w:val="left" w:leader="none"/>
          <w:tab w:pos="2382" w:val="left" w:leader="none"/>
        </w:tabs>
        <w:spacing w:line="240" w:lineRule="auto" w:before="7" w:after="0"/>
        <w:ind w:left="2381" w:right="0" w:hanging="794"/>
        <w:jc w:val="left"/>
        <w:rPr>
          <w:sz w:val="13"/>
        </w:rPr>
      </w:pPr>
      <w:r>
        <w:rPr>
          <w:w w:val="105"/>
          <w:sz w:val="13"/>
        </w:rPr>
        <w:t>See eg, </w:t>
      </w:r>
      <w:r>
        <w:rPr>
          <w:i/>
          <w:w w:val="105"/>
          <w:sz w:val="13"/>
        </w:rPr>
        <w:t>Crimes Act 1958 </w:t>
      </w:r>
      <w:r>
        <w:rPr>
          <w:spacing w:val="2"/>
          <w:w w:val="105"/>
          <w:sz w:val="13"/>
        </w:rPr>
        <w:t>(Vic) </w:t>
      </w:r>
      <w:r>
        <w:rPr>
          <w:w w:val="105"/>
          <w:sz w:val="13"/>
        </w:rPr>
        <w:t>s</w:t>
      </w:r>
      <w:r>
        <w:rPr>
          <w:spacing w:val="30"/>
          <w:w w:val="105"/>
          <w:sz w:val="13"/>
        </w:rPr>
        <w:t> </w:t>
      </w:r>
      <w:r>
        <w:rPr>
          <w:spacing w:val="-4"/>
          <w:w w:val="105"/>
          <w:sz w:val="13"/>
        </w:rPr>
        <w:t>197.</w:t>
      </w:r>
    </w:p>
    <w:p>
      <w:pPr>
        <w:spacing w:after="0" w:line="240" w:lineRule="auto"/>
        <w:jc w:val="left"/>
        <w:rPr>
          <w:sz w:val="13"/>
        </w:rPr>
        <w:sectPr>
          <w:headerReference w:type="default" r:id="rId53"/>
          <w:headerReference w:type="even" r:id="rId54"/>
          <w:pgSz w:w="11910" w:h="16840"/>
          <w:pgMar w:header="808" w:footer="0" w:top="1360" w:bottom="280" w:left="0" w:right="0"/>
        </w:sectPr>
      </w:pPr>
    </w:p>
    <w:p>
      <w:pPr>
        <w:pStyle w:val="BodyText"/>
        <w:spacing w:before="9"/>
        <w:rPr>
          <w:sz w:val="22"/>
        </w:rPr>
      </w:pPr>
    </w:p>
    <w:p>
      <w:pPr>
        <w:pStyle w:val="ListParagraph"/>
        <w:numPr>
          <w:ilvl w:val="1"/>
          <w:numId w:val="16"/>
        </w:numPr>
        <w:tabs>
          <w:tab w:pos="2381" w:val="left" w:leader="none"/>
          <w:tab w:pos="2382" w:val="left" w:leader="none"/>
        </w:tabs>
        <w:spacing w:line="242" w:lineRule="auto" w:before="92" w:after="0"/>
        <w:ind w:left="2381" w:right="1999" w:hanging="794"/>
        <w:jc w:val="left"/>
        <w:rPr>
          <w:sz w:val="21"/>
        </w:rPr>
      </w:pPr>
      <w:bookmarkStart w:name="Neighbour-led resolution" w:id="62"/>
      <w:bookmarkEnd w:id="62"/>
      <w:r>
        <w:rPr/>
      </w:r>
      <w:bookmarkStart w:name="_bookmark22" w:id="63"/>
      <w:bookmarkEnd w:id="63"/>
      <w:r>
        <w:rPr/>
      </w:r>
      <w:bookmarkStart w:name="_bookmark22" w:id="64"/>
      <w:bookmarkEnd w:id="64"/>
      <w:r>
        <w:rPr>
          <w:sz w:val="21"/>
        </w:rPr>
        <w:t>T</w:t>
      </w:r>
      <w:r>
        <w:rPr>
          <w:sz w:val="21"/>
        </w:rPr>
        <w:t>he costs of </w:t>
      </w:r>
      <w:r>
        <w:rPr>
          <w:spacing w:val="-3"/>
          <w:sz w:val="21"/>
        </w:rPr>
        <w:t>abatement cannot generally </w:t>
      </w:r>
      <w:r>
        <w:rPr>
          <w:sz w:val="21"/>
        </w:rPr>
        <w:t>be </w:t>
      </w:r>
      <w:r>
        <w:rPr>
          <w:spacing w:val="-4"/>
          <w:sz w:val="21"/>
        </w:rPr>
        <w:t>recouped.</w:t>
      </w:r>
      <w:r>
        <w:rPr>
          <w:spacing w:val="-4"/>
          <w:position w:val="7"/>
          <w:sz w:val="12"/>
        </w:rPr>
        <w:t>15 </w:t>
      </w:r>
      <w:r>
        <w:rPr>
          <w:spacing w:val="-2"/>
          <w:sz w:val="21"/>
        </w:rPr>
        <w:t>Abatement </w:t>
      </w:r>
      <w:r>
        <w:rPr>
          <w:spacing w:val="-3"/>
          <w:sz w:val="21"/>
        </w:rPr>
        <w:t>may </w:t>
      </w:r>
      <w:r>
        <w:rPr>
          <w:sz w:val="21"/>
        </w:rPr>
        <w:t>be </w:t>
      </w:r>
      <w:r>
        <w:rPr>
          <w:spacing w:val="-3"/>
          <w:sz w:val="21"/>
        </w:rPr>
        <w:t>limited </w:t>
      </w:r>
      <w:r>
        <w:rPr>
          <w:sz w:val="21"/>
        </w:rPr>
        <w:t>in </w:t>
      </w:r>
      <w:r>
        <w:rPr>
          <w:spacing w:val="-3"/>
          <w:sz w:val="21"/>
        </w:rPr>
        <w:t>circumstances</w:t>
      </w:r>
      <w:r>
        <w:rPr>
          <w:spacing w:val="16"/>
          <w:sz w:val="21"/>
        </w:rPr>
        <w:t> </w:t>
      </w:r>
      <w:r>
        <w:rPr>
          <w:sz w:val="21"/>
        </w:rPr>
        <w:t>where</w:t>
      </w:r>
      <w:r>
        <w:rPr>
          <w:spacing w:val="16"/>
          <w:sz w:val="21"/>
        </w:rPr>
        <w:t> </w:t>
      </w:r>
      <w:r>
        <w:rPr>
          <w:sz w:val="21"/>
        </w:rPr>
        <w:t>the</w:t>
      </w:r>
      <w:r>
        <w:rPr>
          <w:spacing w:val="17"/>
          <w:sz w:val="21"/>
        </w:rPr>
        <w:t> </w:t>
      </w:r>
      <w:r>
        <w:rPr>
          <w:sz w:val="21"/>
        </w:rPr>
        <w:t>tree</w:t>
      </w:r>
      <w:r>
        <w:rPr>
          <w:spacing w:val="16"/>
          <w:sz w:val="21"/>
        </w:rPr>
        <w:t> </w:t>
      </w:r>
      <w:r>
        <w:rPr>
          <w:sz w:val="21"/>
        </w:rPr>
        <w:t>is</w:t>
      </w:r>
      <w:r>
        <w:rPr>
          <w:spacing w:val="16"/>
          <w:sz w:val="21"/>
        </w:rPr>
        <w:t> </w:t>
      </w:r>
      <w:r>
        <w:rPr>
          <w:sz w:val="21"/>
        </w:rPr>
        <w:t>protected</w:t>
      </w:r>
      <w:r>
        <w:rPr>
          <w:spacing w:val="17"/>
          <w:sz w:val="21"/>
        </w:rPr>
        <w:t> </w:t>
      </w:r>
      <w:r>
        <w:rPr>
          <w:sz w:val="21"/>
        </w:rPr>
        <w:t>under</w:t>
      </w:r>
      <w:r>
        <w:rPr>
          <w:spacing w:val="16"/>
          <w:sz w:val="21"/>
        </w:rPr>
        <w:t> </w:t>
      </w:r>
      <w:r>
        <w:rPr>
          <w:sz w:val="21"/>
        </w:rPr>
        <w:t>a</w:t>
      </w:r>
      <w:r>
        <w:rPr>
          <w:spacing w:val="16"/>
          <w:sz w:val="21"/>
        </w:rPr>
        <w:t> </w:t>
      </w:r>
      <w:r>
        <w:rPr>
          <w:spacing w:val="-3"/>
          <w:sz w:val="21"/>
        </w:rPr>
        <w:t>planning</w:t>
      </w:r>
      <w:r>
        <w:rPr>
          <w:spacing w:val="17"/>
          <w:sz w:val="21"/>
        </w:rPr>
        <w:t> </w:t>
      </w:r>
      <w:r>
        <w:rPr>
          <w:sz w:val="21"/>
        </w:rPr>
        <w:t>scheme</w:t>
      </w:r>
      <w:r>
        <w:rPr>
          <w:spacing w:val="16"/>
          <w:sz w:val="21"/>
        </w:rPr>
        <w:t> </w:t>
      </w:r>
      <w:r>
        <w:rPr>
          <w:sz w:val="21"/>
        </w:rPr>
        <w:t>or</w:t>
      </w:r>
      <w:r>
        <w:rPr>
          <w:spacing w:val="16"/>
          <w:sz w:val="21"/>
        </w:rPr>
        <w:t> </w:t>
      </w:r>
      <w:r>
        <w:rPr>
          <w:sz w:val="21"/>
        </w:rPr>
        <w:t>other</w:t>
      </w:r>
      <w:r>
        <w:rPr>
          <w:spacing w:val="17"/>
          <w:sz w:val="21"/>
        </w:rPr>
        <w:t> </w:t>
      </w:r>
      <w:r>
        <w:rPr>
          <w:spacing w:val="-8"/>
          <w:sz w:val="21"/>
        </w:rPr>
        <w:t>law.</w:t>
      </w:r>
      <w:r>
        <w:rPr>
          <w:spacing w:val="-8"/>
          <w:position w:val="7"/>
          <w:sz w:val="12"/>
        </w:rPr>
        <w:t>16</w:t>
      </w:r>
    </w:p>
    <w:p>
      <w:pPr>
        <w:pStyle w:val="ListParagraph"/>
        <w:numPr>
          <w:ilvl w:val="1"/>
          <w:numId w:val="16"/>
        </w:numPr>
        <w:tabs>
          <w:tab w:pos="2381" w:val="left" w:leader="none"/>
          <w:tab w:pos="2382" w:val="left" w:leader="none"/>
        </w:tabs>
        <w:spacing w:line="242" w:lineRule="auto" w:before="122" w:after="0"/>
        <w:ind w:left="2381" w:right="1414" w:hanging="794"/>
        <w:jc w:val="left"/>
        <w:rPr>
          <w:sz w:val="21"/>
        </w:rPr>
      </w:pPr>
      <w:r>
        <w:rPr>
          <w:spacing w:val="-2"/>
          <w:sz w:val="21"/>
        </w:rPr>
        <w:t>Abatement </w:t>
      </w:r>
      <w:r>
        <w:rPr>
          <w:sz w:val="21"/>
        </w:rPr>
        <w:t>by </w:t>
      </w:r>
      <w:r>
        <w:rPr>
          <w:spacing w:val="-3"/>
          <w:sz w:val="21"/>
        </w:rPr>
        <w:t>entering </w:t>
      </w:r>
      <w:r>
        <w:rPr>
          <w:sz w:val="21"/>
        </w:rPr>
        <w:t>the tree </w:t>
      </w:r>
      <w:r>
        <w:rPr>
          <w:spacing w:val="-3"/>
          <w:sz w:val="21"/>
        </w:rPr>
        <w:t>owner’s </w:t>
      </w:r>
      <w:r>
        <w:rPr>
          <w:sz w:val="21"/>
        </w:rPr>
        <w:t>property </w:t>
      </w:r>
      <w:r>
        <w:rPr>
          <w:spacing w:val="-3"/>
          <w:sz w:val="21"/>
        </w:rPr>
        <w:t>may </w:t>
      </w:r>
      <w:r>
        <w:rPr>
          <w:sz w:val="21"/>
        </w:rPr>
        <w:t>only be justified in </w:t>
      </w:r>
      <w:r>
        <w:rPr>
          <w:spacing w:val="-3"/>
          <w:sz w:val="21"/>
        </w:rPr>
        <w:t>rare circumstances </w:t>
      </w:r>
      <w:r>
        <w:rPr>
          <w:sz w:val="21"/>
        </w:rPr>
        <w:t>where</w:t>
      </w:r>
      <w:r>
        <w:rPr>
          <w:spacing w:val="15"/>
          <w:sz w:val="21"/>
        </w:rPr>
        <w:t> </w:t>
      </w:r>
      <w:r>
        <w:rPr>
          <w:sz w:val="21"/>
        </w:rPr>
        <w:t>‘there</w:t>
      </w:r>
      <w:r>
        <w:rPr>
          <w:spacing w:val="15"/>
          <w:sz w:val="21"/>
        </w:rPr>
        <w:t> </w:t>
      </w:r>
      <w:r>
        <w:rPr>
          <w:sz w:val="21"/>
        </w:rPr>
        <w:t>is</w:t>
      </w:r>
      <w:r>
        <w:rPr>
          <w:spacing w:val="15"/>
          <w:sz w:val="21"/>
        </w:rPr>
        <w:t> </w:t>
      </w:r>
      <w:r>
        <w:rPr>
          <w:sz w:val="21"/>
        </w:rPr>
        <w:t>an</w:t>
      </w:r>
      <w:r>
        <w:rPr>
          <w:spacing w:val="16"/>
          <w:sz w:val="21"/>
        </w:rPr>
        <w:t> </w:t>
      </w:r>
      <w:r>
        <w:rPr>
          <w:spacing w:val="-3"/>
          <w:sz w:val="21"/>
        </w:rPr>
        <w:t>immediate</w:t>
      </w:r>
      <w:r>
        <w:rPr>
          <w:spacing w:val="15"/>
          <w:sz w:val="21"/>
        </w:rPr>
        <w:t> </w:t>
      </w:r>
      <w:r>
        <w:rPr>
          <w:sz w:val="21"/>
        </w:rPr>
        <w:t>danger</w:t>
      </w:r>
      <w:r>
        <w:rPr>
          <w:spacing w:val="15"/>
          <w:sz w:val="21"/>
        </w:rPr>
        <w:t> </w:t>
      </w:r>
      <w:r>
        <w:rPr>
          <w:spacing w:val="-3"/>
          <w:sz w:val="21"/>
        </w:rPr>
        <w:t>to</w:t>
      </w:r>
      <w:r>
        <w:rPr>
          <w:spacing w:val="16"/>
          <w:sz w:val="21"/>
        </w:rPr>
        <w:t> </w:t>
      </w:r>
      <w:r>
        <w:rPr>
          <w:spacing w:val="-3"/>
          <w:sz w:val="21"/>
        </w:rPr>
        <w:t>life</w:t>
      </w:r>
      <w:r>
        <w:rPr>
          <w:spacing w:val="15"/>
          <w:sz w:val="21"/>
        </w:rPr>
        <w:t> </w:t>
      </w:r>
      <w:r>
        <w:rPr>
          <w:sz w:val="21"/>
        </w:rPr>
        <w:t>or</w:t>
      </w:r>
      <w:r>
        <w:rPr>
          <w:spacing w:val="15"/>
          <w:sz w:val="21"/>
        </w:rPr>
        <w:t> </w:t>
      </w:r>
      <w:r>
        <w:rPr>
          <w:spacing w:val="-3"/>
          <w:sz w:val="21"/>
        </w:rPr>
        <w:t>health</w:t>
      </w:r>
      <w:r>
        <w:rPr>
          <w:spacing w:val="16"/>
          <w:sz w:val="21"/>
        </w:rPr>
        <w:t> </w:t>
      </w:r>
      <w:r>
        <w:rPr>
          <w:sz w:val="21"/>
        </w:rPr>
        <w:t>so</w:t>
      </w:r>
      <w:r>
        <w:rPr>
          <w:spacing w:val="15"/>
          <w:sz w:val="21"/>
        </w:rPr>
        <w:t> </w:t>
      </w:r>
      <w:r>
        <w:rPr>
          <w:sz w:val="21"/>
        </w:rPr>
        <w:t>as</w:t>
      </w:r>
      <w:r>
        <w:rPr>
          <w:spacing w:val="15"/>
          <w:sz w:val="21"/>
        </w:rPr>
        <w:t> </w:t>
      </w:r>
      <w:r>
        <w:rPr>
          <w:spacing w:val="-3"/>
          <w:sz w:val="21"/>
        </w:rPr>
        <w:t>to</w:t>
      </w:r>
      <w:r>
        <w:rPr>
          <w:spacing w:val="16"/>
          <w:sz w:val="21"/>
        </w:rPr>
        <w:t> </w:t>
      </w:r>
      <w:r>
        <w:rPr>
          <w:spacing w:val="-2"/>
          <w:sz w:val="21"/>
        </w:rPr>
        <w:t>render</w:t>
      </w:r>
      <w:r>
        <w:rPr>
          <w:spacing w:val="15"/>
          <w:sz w:val="21"/>
        </w:rPr>
        <w:t> </w:t>
      </w:r>
      <w:r>
        <w:rPr>
          <w:sz w:val="21"/>
        </w:rPr>
        <w:t>it</w:t>
      </w:r>
      <w:r>
        <w:rPr>
          <w:spacing w:val="15"/>
          <w:sz w:val="21"/>
        </w:rPr>
        <w:t> </w:t>
      </w:r>
      <w:r>
        <w:rPr>
          <w:spacing w:val="-3"/>
          <w:sz w:val="21"/>
        </w:rPr>
        <w:t>unsafe</w:t>
      </w:r>
      <w:r>
        <w:rPr>
          <w:spacing w:val="16"/>
          <w:sz w:val="21"/>
        </w:rPr>
        <w:t> </w:t>
      </w:r>
      <w:r>
        <w:rPr>
          <w:spacing w:val="-3"/>
          <w:sz w:val="21"/>
        </w:rPr>
        <w:t>to</w:t>
      </w:r>
      <w:r>
        <w:rPr>
          <w:spacing w:val="15"/>
          <w:sz w:val="21"/>
        </w:rPr>
        <w:t> </w:t>
      </w:r>
      <w:r>
        <w:rPr>
          <w:spacing w:val="-8"/>
          <w:sz w:val="21"/>
        </w:rPr>
        <w:t>wait’.</w:t>
      </w:r>
      <w:r>
        <w:rPr>
          <w:spacing w:val="-8"/>
          <w:position w:val="7"/>
          <w:sz w:val="12"/>
        </w:rPr>
        <w:t>17</w:t>
      </w:r>
    </w:p>
    <w:p>
      <w:pPr>
        <w:pStyle w:val="BodyText"/>
        <w:spacing w:line="242" w:lineRule="auto" w:before="2"/>
        <w:ind w:left="2381" w:right="1628"/>
        <w:rPr>
          <w:sz w:val="12"/>
        </w:rPr>
      </w:pPr>
      <w:r>
        <w:rPr>
          <w:w w:val="105"/>
        </w:rPr>
        <w:t>It is </w:t>
      </w:r>
      <w:r>
        <w:rPr>
          <w:spacing w:val="-3"/>
          <w:w w:val="105"/>
        </w:rPr>
        <w:t>considered </w:t>
      </w:r>
      <w:r>
        <w:rPr>
          <w:w w:val="105"/>
        </w:rPr>
        <w:t>prudent </w:t>
      </w:r>
      <w:r>
        <w:rPr>
          <w:spacing w:val="-3"/>
          <w:w w:val="105"/>
        </w:rPr>
        <w:t>to </w:t>
      </w:r>
      <w:r>
        <w:rPr>
          <w:w w:val="105"/>
        </w:rPr>
        <w:t>notify the property owner </w:t>
      </w:r>
      <w:r>
        <w:rPr>
          <w:spacing w:val="-3"/>
          <w:w w:val="105"/>
        </w:rPr>
        <w:t>before entering </w:t>
      </w:r>
      <w:r>
        <w:rPr>
          <w:w w:val="105"/>
        </w:rPr>
        <w:t>their</w:t>
      </w:r>
      <w:r>
        <w:rPr>
          <w:spacing w:val="-6"/>
          <w:w w:val="105"/>
        </w:rPr>
        <w:t> land.</w:t>
      </w:r>
      <w:r>
        <w:rPr>
          <w:spacing w:val="-6"/>
          <w:w w:val="105"/>
          <w:position w:val="7"/>
          <w:sz w:val="12"/>
        </w:rPr>
        <w:t>18 </w:t>
      </w:r>
      <w:r>
        <w:rPr>
          <w:w w:val="105"/>
        </w:rPr>
        <w:t>Abating in this </w:t>
      </w:r>
      <w:r>
        <w:rPr>
          <w:spacing w:val="-3"/>
          <w:w w:val="105"/>
        </w:rPr>
        <w:t>way </w:t>
      </w:r>
      <w:r>
        <w:rPr>
          <w:w w:val="105"/>
        </w:rPr>
        <w:t>also </w:t>
      </w:r>
      <w:r>
        <w:rPr>
          <w:spacing w:val="-3"/>
          <w:w w:val="105"/>
        </w:rPr>
        <w:t>means that </w:t>
      </w:r>
      <w:r>
        <w:rPr>
          <w:w w:val="105"/>
        </w:rPr>
        <w:t>the affected </w:t>
      </w:r>
      <w:r>
        <w:rPr>
          <w:spacing w:val="-3"/>
          <w:w w:val="105"/>
        </w:rPr>
        <w:t>neighbour will </w:t>
      </w:r>
      <w:r>
        <w:rPr>
          <w:w w:val="105"/>
        </w:rPr>
        <w:t>lose their </w:t>
      </w:r>
      <w:r>
        <w:rPr>
          <w:spacing w:val="-3"/>
          <w:w w:val="105"/>
        </w:rPr>
        <w:t>right to claim </w:t>
      </w:r>
      <w:r>
        <w:rPr>
          <w:w w:val="105"/>
        </w:rPr>
        <w:t>damages </w:t>
      </w:r>
      <w:r>
        <w:rPr>
          <w:spacing w:val="-3"/>
          <w:w w:val="105"/>
        </w:rPr>
        <w:t>for </w:t>
      </w:r>
      <w:r>
        <w:rPr>
          <w:w w:val="105"/>
        </w:rPr>
        <w:t>the </w:t>
      </w:r>
      <w:r>
        <w:rPr>
          <w:spacing w:val="-3"/>
          <w:w w:val="105"/>
        </w:rPr>
        <w:t>nuisance, </w:t>
      </w:r>
      <w:r>
        <w:rPr>
          <w:w w:val="105"/>
        </w:rPr>
        <w:t>because of ‘the degree of self-help and </w:t>
      </w:r>
      <w:r>
        <w:rPr>
          <w:spacing w:val="-3"/>
          <w:w w:val="105"/>
        </w:rPr>
        <w:t>potential </w:t>
      </w:r>
      <w:r>
        <w:rPr>
          <w:w w:val="105"/>
        </w:rPr>
        <w:t>damage </w:t>
      </w:r>
      <w:r>
        <w:rPr>
          <w:spacing w:val="-3"/>
          <w:w w:val="105"/>
        </w:rPr>
        <w:t>to </w:t>
      </w:r>
      <w:r>
        <w:rPr>
          <w:w w:val="105"/>
        </w:rPr>
        <w:t>the other party </w:t>
      </w:r>
      <w:r>
        <w:rPr>
          <w:spacing w:val="-3"/>
          <w:w w:val="105"/>
        </w:rPr>
        <w:t>involved </w:t>
      </w:r>
      <w:r>
        <w:rPr>
          <w:w w:val="105"/>
        </w:rPr>
        <w:t>in going on </w:t>
      </w:r>
      <w:r>
        <w:rPr>
          <w:spacing w:val="-3"/>
          <w:w w:val="105"/>
        </w:rPr>
        <w:t>to </w:t>
      </w:r>
      <w:r>
        <w:rPr>
          <w:w w:val="105"/>
        </w:rPr>
        <w:t>the </w:t>
      </w:r>
      <w:r>
        <w:rPr>
          <w:spacing w:val="-3"/>
          <w:w w:val="105"/>
        </w:rPr>
        <w:t>land </w:t>
      </w:r>
      <w:r>
        <w:rPr>
          <w:w w:val="105"/>
        </w:rPr>
        <w:t>of the other party, and </w:t>
      </w:r>
      <w:r>
        <w:rPr>
          <w:spacing w:val="-3"/>
          <w:w w:val="105"/>
        </w:rPr>
        <w:t>interfering </w:t>
      </w:r>
      <w:r>
        <w:rPr>
          <w:w w:val="105"/>
        </w:rPr>
        <w:t>with </w:t>
      </w:r>
      <w:r>
        <w:rPr>
          <w:spacing w:val="-8"/>
          <w:w w:val="105"/>
        </w:rPr>
        <w:t>it’.</w:t>
      </w:r>
      <w:r>
        <w:rPr>
          <w:spacing w:val="-8"/>
          <w:w w:val="105"/>
          <w:position w:val="7"/>
          <w:sz w:val="12"/>
        </w:rPr>
        <w:t>19</w:t>
      </w:r>
    </w:p>
    <w:p>
      <w:pPr>
        <w:pStyle w:val="BodyText"/>
        <w:spacing w:before="11"/>
      </w:pPr>
    </w:p>
    <w:p>
      <w:pPr>
        <w:pStyle w:val="Heading4"/>
      </w:pPr>
      <w:r>
        <w:rPr>
          <w:color w:val="658464"/>
          <w:w w:val="115"/>
        </w:rPr>
        <w:t>Neighbour-led resolution</w:t>
      </w:r>
    </w:p>
    <w:p>
      <w:pPr>
        <w:pStyle w:val="ListParagraph"/>
        <w:numPr>
          <w:ilvl w:val="1"/>
          <w:numId w:val="16"/>
        </w:numPr>
        <w:tabs>
          <w:tab w:pos="2380" w:val="left" w:leader="none"/>
          <w:tab w:pos="2381" w:val="left" w:leader="none"/>
        </w:tabs>
        <w:spacing w:line="242" w:lineRule="auto" w:before="155" w:after="0"/>
        <w:ind w:left="2381" w:right="2359" w:hanging="794"/>
        <w:jc w:val="left"/>
        <w:rPr>
          <w:sz w:val="21"/>
        </w:rPr>
      </w:pPr>
      <w:r>
        <w:rPr>
          <w:sz w:val="21"/>
        </w:rPr>
        <w:t>Neighbours </w:t>
      </w:r>
      <w:r>
        <w:rPr>
          <w:spacing w:val="-3"/>
          <w:sz w:val="21"/>
        </w:rPr>
        <w:t>may </w:t>
      </w:r>
      <w:r>
        <w:rPr>
          <w:sz w:val="21"/>
        </w:rPr>
        <w:t>seek </w:t>
      </w:r>
      <w:r>
        <w:rPr>
          <w:spacing w:val="-3"/>
          <w:sz w:val="21"/>
        </w:rPr>
        <w:t>to </w:t>
      </w:r>
      <w:r>
        <w:rPr>
          <w:sz w:val="21"/>
        </w:rPr>
        <w:t>resolve </w:t>
      </w:r>
      <w:r>
        <w:rPr>
          <w:spacing w:val="-2"/>
          <w:sz w:val="21"/>
        </w:rPr>
        <w:t>problems </w:t>
      </w:r>
      <w:r>
        <w:rPr>
          <w:spacing w:val="-3"/>
          <w:sz w:val="21"/>
        </w:rPr>
        <w:t>relating to </w:t>
      </w:r>
      <w:r>
        <w:rPr>
          <w:sz w:val="21"/>
        </w:rPr>
        <w:t>trees </w:t>
      </w:r>
      <w:r>
        <w:rPr>
          <w:spacing w:val="-4"/>
          <w:sz w:val="21"/>
        </w:rPr>
        <w:t>informally, </w:t>
      </w:r>
      <w:r>
        <w:rPr>
          <w:sz w:val="21"/>
        </w:rPr>
        <w:t>without the </w:t>
      </w:r>
      <w:r>
        <w:rPr>
          <w:spacing w:val="-3"/>
          <w:sz w:val="21"/>
        </w:rPr>
        <w:t>involvement </w:t>
      </w:r>
      <w:r>
        <w:rPr>
          <w:sz w:val="21"/>
        </w:rPr>
        <w:t>of lawyers or </w:t>
      </w:r>
      <w:r>
        <w:rPr>
          <w:spacing w:val="-3"/>
          <w:sz w:val="21"/>
        </w:rPr>
        <w:t>formal dispute</w:t>
      </w:r>
      <w:r>
        <w:rPr>
          <w:spacing w:val="23"/>
          <w:sz w:val="21"/>
        </w:rPr>
        <w:t> </w:t>
      </w:r>
      <w:r>
        <w:rPr>
          <w:spacing w:val="-3"/>
          <w:sz w:val="21"/>
        </w:rPr>
        <w:t>resolution.</w:t>
      </w:r>
    </w:p>
    <w:p>
      <w:pPr>
        <w:pStyle w:val="ListParagraph"/>
        <w:numPr>
          <w:ilvl w:val="1"/>
          <w:numId w:val="16"/>
        </w:numPr>
        <w:tabs>
          <w:tab w:pos="2380" w:val="left" w:leader="none"/>
          <w:tab w:pos="2381" w:val="left" w:leader="none"/>
        </w:tabs>
        <w:spacing w:line="242" w:lineRule="auto" w:before="123" w:after="0"/>
        <w:ind w:left="2381" w:right="1811" w:hanging="794"/>
        <w:jc w:val="left"/>
        <w:rPr>
          <w:sz w:val="21"/>
        </w:rPr>
      </w:pPr>
      <w:r>
        <w:rPr>
          <w:w w:val="105"/>
          <w:sz w:val="21"/>
        </w:rPr>
        <w:t>Some</w:t>
      </w:r>
      <w:r>
        <w:rPr>
          <w:spacing w:val="-7"/>
          <w:w w:val="105"/>
          <w:sz w:val="21"/>
        </w:rPr>
        <w:t> </w:t>
      </w:r>
      <w:r>
        <w:rPr>
          <w:spacing w:val="-3"/>
          <w:w w:val="105"/>
          <w:sz w:val="21"/>
        </w:rPr>
        <w:t>government</w:t>
      </w:r>
      <w:r>
        <w:rPr>
          <w:spacing w:val="-6"/>
          <w:w w:val="105"/>
          <w:sz w:val="21"/>
        </w:rPr>
        <w:t> </w:t>
      </w:r>
      <w:r>
        <w:rPr>
          <w:w w:val="105"/>
          <w:sz w:val="21"/>
        </w:rPr>
        <w:t>and</w:t>
      </w:r>
      <w:r>
        <w:rPr>
          <w:spacing w:val="-6"/>
          <w:w w:val="105"/>
          <w:sz w:val="21"/>
        </w:rPr>
        <w:t> </w:t>
      </w:r>
      <w:r>
        <w:rPr>
          <w:w w:val="105"/>
          <w:sz w:val="21"/>
        </w:rPr>
        <w:t>community</w:t>
      </w:r>
      <w:r>
        <w:rPr>
          <w:spacing w:val="-6"/>
          <w:w w:val="105"/>
          <w:sz w:val="21"/>
        </w:rPr>
        <w:t> </w:t>
      </w:r>
      <w:r>
        <w:rPr>
          <w:spacing w:val="-3"/>
          <w:w w:val="105"/>
          <w:sz w:val="21"/>
        </w:rPr>
        <w:t>organisations</w:t>
      </w:r>
      <w:r>
        <w:rPr>
          <w:spacing w:val="-6"/>
          <w:w w:val="105"/>
          <w:sz w:val="21"/>
        </w:rPr>
        <w:t> </w:t>
      </w:r>
      <w:r>
        <w:rPr>
          <w:spacing w:val="-3"/>
          <w:w w:val="105"/>
          <w:sz w:val="21"/>
        </w:rPr>
        <w:t>have</w:t>
      </w:r>
      <w:r>
        <w:rPr>
          <w:spacing w:val="-6"/>
          <w:w w:val="105"/>
          <w:sz w:val="21"/>
        </w:rPr>
        <w:t> </w:t>
      </w:r>
      <w:r>
        <w:rPr>
          <w:spacing w:val="-3"/>
          <w:w w:val="105"/>
          <w:sz w:val="21"/>
        </w:rPr>
        <w:t>published</w:t>
      </w:r>
      <w:r>
        <w:rPr>
          <w:spacing w:val="-6"/>
          <w:w w:val="105"/>
          <w:sz w:val="21"/>
        </w:rPr>
        <w:t> </w:t>
      </w:r>
      <w:r>
        <w:rPr>
          <w:spacing w:val="-3"/>
          <w:w w:val="105"/>
          <w:sz w:val="21"/>
        </w:rPr>
        <w:t>useful</w:t>
      </w:r>
      <w:r>
        <w:rPr>
          <w:spacing w:val="-6"/>
          <w:w w:val="105"/>
          <w:sz w:val="21"/>
        </w:rPr>
        <w:t> </w:t>
      </w:r>
      <w:r>
        <w:rPr>
          <w:spacing w:val="-3"/>
          <w:w w:val="105"/>
          <w:sz w:val="21"/>
        </w:rPr>
        <w:t>resources</w:t>
      </w:r>
      <w:r>
        <w:rPr>
          <w:spacing w:val="-6"/>
          <w:w w:val="105"/>
          <w:sz w:val="21"/>
        </w:rPr>
        <w:t> </w:t>
      </w:r>
      <w:r>
        <w:rPr>
          <w:w w:val="105"/>
          <w:sz w:val="21"/>
        </w:rPr>
        <w:t>aimed at </w:t>
      </w:r>
      <w:r>
        <w:rPr>
          <w:spacing w:val="-3"/>
          <w:w w:val="105"/>
          <w:sz w:val="21"/>
        </w:rPr>
        <w:t>helping </w:t>
      </w:r>
      <w:r>
        <w:rPr>
          <w:w w:val="105"/>
          <w:sz w:val="21"/>
        </w:rPr>
        <w:t>neighbours resolve their tree </w:t>
      </w:r>
      <w:r>
        <w:rPr>
          <w:spacing w:val="-3"/>
          <w:w w:val="105"/>
          <w:sz w:val="21"/>
        </w:rPr>
        <w:t>dispute. </w:t>
      </w:r>
      <w:r>
        <w:rPr>
          <w:w w:val="105"/>
          <w:sz w:val="21"/>
        </w:rPr>
        <w:t>These </w:t>
      </w:r>
      <w:r>
        <w:rPr>
          <w:spacing w:val="-3"/>
          <w:w w:val="105"/>
          <w:sz w:val="21"/>
        </w:rPr>
        <w:t>include </w:t>
      </w:r>
      <w:r>
        <w:rPr>
          <w:w w:val="105"/>
          <w:sz w:val="21"/>
        </w:rPr>
        <w:t>the </w:t>
      </w:r>
      <w:r>
        <w:rPr>
          <w:spacing w:val="-3"/>
          <w:w w:val="105"/>
          <w:sz w:val="21"/>
        </w:rPr>
        <w:t>Dispute </w:t>
      </w:r>
      <w:r>
        <w:rPr>
          <w:w w:val="105"/>
          <w:sz w:val="21"/>
        </w:rPr>
        <w:t>Settlement </w:t>
      </w:r>
      <w:r>
        <w:rPr>
          <w:spacing w:val="-4"/>
          <w:w w:val="105"/>
          <w:sz w:val="21"/>
        </w:rPr>
        <w:t>Centre </w:t>
      </w:r>
      <w:r>
        <w:rPr>
          <w:w w:val="105"/>
          <w:sz w:val="21"/>
        </w:rPr>
        <w:t>of Victoria (DSCV), the Victoria Law Foundation and Fitzroy Legal </w:t>
      </w:r>
      <w:r>
        <w:rPr>
          <w:spacing w:val="-2"/>
          <w:w w:val="105"/>
          <w:sz w:val="21"/>
        </w:rPr>
        <w:t>Service’s </w:t>
      </w:r>
      <w:r>
        <w:rPr>
          <w:w w:val="105"/>
          <w:sz w:val="21"/>
        </w:rPr>
        <w:t>Law Handbook.</w:t>
      </w:r>
      <w:r>
        <w:rPr>
          <w:w w:val="105"/>
          <w:position w:val="7"/>
          <w:sz w:val="12"/>
        </w:rPr>
        <w:t>20 </w:t>
      </w:r>
      <w:r>
        <w:rPr>
          <w:w w:val="105"/>
          <w:sz w:val="21"/>
        </w:rPr>
        <w:t>Local </w:t>
      </w:r>
      <w:r>
        <w:rPr>
          <w:spacing w:val="-3"/>
          <w:w w:val="105"/>
          <w:sz w:val="21"/>
        </w:rPr>
        <w:t>council websites </w:t>
      </w:r>
      <w:r>
        <w:rPr>
          <w:w w:val="105"/>
          <w:sz w:val="21"/>
        </w:rPr>
        <w:t>and customer service </w:t>
      </w:r>
      <w:r>
        <w:rPr>
          <w:spacing w:val="-3"/>
          <w:w w:val="105"/>
          <w:sz w:val="21"/>
        </w:rPr>
        <w:t>centres </w:t>
      </w:r>
      <w:r>
        <w:rPr>
          <w:w w:val="105"/>
          <w:sz w:val="21"/>
        </w:rPr>
        <w:t>often provide a </w:t>
      </w:r>
      <w:r>
        <w:rPr>
          <w:spacing w:val="-3"/>
          <w:w w:val="105"/>
          <w:sz w:val="21"/>
        </w:rPr>
        <w:t>range </w:t>
      </w:r>
      <w:r>
        <w:rPr>
          <w:w w:val="105"/>
          <w:sz w:val="21"/>
        </w:rPr>
        <w:t>of </w:t>
      </w:r>
      <w:r>
        <w:rPr>
          <w:spacing w:val="-3"/>
          <w:w w:val="105"/>
          <w:sz w:val="21"/>
        </w:rPr>
        <w:t>information </w:t>
      </w:r>
      <w:r>
        <w:rPr>
          <w:w w:val="105"/>
          <w:sz w:val="21"/>
        </w:rPr>
        <w:t>and links, with </w:t>
      </w:r>
      <w:r>
        <w:rPr>
          <w:spacing w:val="-3"/>
          <w:w w:val="105"/>
          <w:sz w:val="21"/>
        </w:rPr>
        <w:t>significant variation </w:t>
      </w:r>
      <w:r>
        <w:rPr>
          <w:w w:val="105"/>
          <w:sz w:val="21"/>
        </w:rPr>
        <w:t>in detail between</w:t>
      </w:r>
      <w:r>
        <w:rPr>
          <w:spacing w:val="27"/>
          <w:w w:val="105"/>
          <w:sz w:val="21"/>
        </w:rPr>
        <w:t> </w:t>
      </w:r>
      <w:r>
        <w:rPr>
          <w:spacing w:val="-3"/>
          <w:w w:val="105"/>
          <w:sz w:val="21"/>
        </w:rPr>
        <w:t>councils.</w:t>
      </w:r>
      <w:r>
        <w:rPr>
          <w:spacing w:val="-3"/>
          <w:w w:val="105"/>
          <w:position w:val="7"/>
          <w:sz w:val="12"/>
        </w:rPr>
        <w:t>21</w:t>
      </w:r>
    </w:p>
    <w:p>
      <w:pPr>
        <w:pStyle w:val="ListParagraph"/>
        <w:numPr>
          <w:ilvl w:val="1"/>
          <w:numId w:val="16"/>
        </w:numPr>
        <w:tabs>
          <w:tab w:pos="2381" w:val="left" w:leader="none"/>
          <w:tab w:pos="2382" w:val="left" w:leader="none"/>
        </w:tabs>
        <w:spacing w:line="242" w:lineRule="auto" w:before="125" w:after="0"/>
        <w:ind w:left="2381" w:right="2097" w:hanging="794"/>
        <w:jc w:val="left"/>
        <w:rPr>
          <w:sz w:val="21"/>
        </w:rPr>
      </w:pPr>
      <w:r>
        <w:rPr>
          <w:sz w:val="21"/>
        </w:rPr>
        <w:t>Most </w:t>
      </w:r>
      <w:r>
        <w:rPr>
          <w:spacing w:val="-3"/>
          <w:sz w:val="21"/>
        </w:rPr>
        <w:t>emphasise </w:t>
      </w:r>
      <w:r>
        <w:rPr>
          <w:sz w:val="21"/>
        </w:rPr>
        <w:t>resolving </w:t>
      </w:r>
      <w:r>
        <w:rPr>
          <w:spacing w:val="-3"/>
          <w:sz w:val="21"/>
        </w:rPr>
        <w:t>disputes informally wherever possible. </w:t>
      </w:r>
      <w:r>
        <w:rPr>
          <w:sz w:val="21"/>
        </w:rPr>
        <w:t>These </w:t>
      </w:r>
      <w:r>
        <w:rPr>
          <w:spacing w:val="-3"/>
          <w:sz w:val="21"/>
        </w:rPr>
        <w:t>resources are </w:t>
      </w:r>
      <w:r>
        <w:rPr>
          <w:sz w:val="21"/>
        </w:rPr>
        <w:t>guides</w:t>
      </w:r>
      <w:r>
        <w:rPr>
          <w:spacing w:val="11"/>
          <w:sz w:val="21"/>
        </w:rPr>
        <w:t> </w:t>
      </w:r>
      <w:r>
        <w:rPr>
          <w:spacing w:val="-4"/>
          <w:sz w:val="21"/>
        </w:rPr>
        <w:t>only,</w:t>
      </w:r>
      <w:r>
        <w:rPr>
          <w:spacing w:val="12"/>
          <w:sz w:val="21"/>
        </w:rPr>
        <w:t> </w:t>
      </w:r>
      <w:r>
        <w:rPr>
          <w:spacing w:val="-3"/>
          <w:sz w:val="21"/>
        </w:rPr>
        <w:t>providing</w:t>
      </w:r>
      <w:r>
        <w:rPr>
          <w:spacing w:val="12"/>
          <w:sz w:val="21"/>
        </w:rPr>
        <w:t> </w:t>
      </w:r>
      <w:r>
        <w:rPr>
          <w:sz w:val="21"/>
        </w:rPr>
        <w:t>general</w:t>
      </w:r>
      <w:r>
        <w:rPr>
          <w:spacing w:val="12"/>
          <w:sz w:val="21"/>
        </w:rPr>
        <w:t> </w:t>
      </w:r>
      <w:r>
        <w:rPr>
          <w:spacing w:val="-3"/>
          <w:sz w:val="21"/>
        </w:rPr>
        <w:t>information,</w:t>
      </w:r>
      <w:r>
        <w:rPr>
          <w:spacing w:val="11"/>
          <w:sz w:val="21"/>
        </w:rPr>
        <w:t> </w:t>
      </w:r>
      <w:r>
        <w:rPr>
          <w:spacing w:val="-2"/>
          <w:sz w:val="21"/>
        </w:rPr>
        <w:t>not</w:t>
      </w:r>
      <w:r>
        <w:rPr>
          <w:spacing w:val="12"/>
          <w:sz w:val="21"/>
        </w:rPr>
        <w:t> </w:t>
      </w:r>
      <w:r>
        <w:rPr>
          <w:sz w:val="21"/>
        </w:rPr>
        <w:t>legal</w:t>
      </w:r>
      <w:r>
        <w:rPr>
          <w:spacing w:val="12"/>
          <w:sz w:val="21"/>
        </w:rPr>
        <w:t> </w:t>
      </w:r>
      <w:r>
        <w:rPr>
          <w:spacing w:val="-3"/>
          <w:sz w:val="21"/>
        </w:rPr>
        <w:t>advice.</w:t>
      </w:r>
    </w:p>
    <w:p>
      <w:pPr>
        <w:pStyle w:val="ListParagraph"/>
        <w:numPr>
          <w:ilvl w:val="1"/>
          <w:numId w:val="16"/>
        </w:numPr>
        <w:tabs>
          <w:tab w:pos="2381" w:val="left" w:leader="none"/>
          <w:tab w:pos="2382" w:val="left" w:leader="none"/>
        </w:tabs>
        <w:spacing w:line="240" w:lineRule="auto" w:before="122" w:after="0"/>
        <w:ind w:left="2381" w:right="0" w:hanging="794"/>
        <w:jc w:val="left"/>
        <w:rPr>
          <w:sz w:val="21"/>
        </w:rPr>
      </w:pPr>
      <w:r>
        <w:rPr>
          <w:spacing w:val="-3"/>
          <w:w w:val="105"/>
          <w:sz w:val="21"/>
        </w:rPr>
        <w:t>Common </w:t>
      </w:r>
      <w:r>
        <w:rPr>
          <w:w w:val="105"/>
          <w:sz w:val="21"/>
        </w:rPr>
        <w:t>themes </w:t>
      </w:r>
      <w:r>
        <w:rPr>
          <w:spacing w:val="-3"/>
          <w:w w:val="105"/>
          <w:sz w:val="21"/>
        </w:rPr>
        <w:t>contained </w:t>
      </w:r>
      <w:r>
        <w:rPr>
          <w:w w:val="105"/>
          <w:sz w:val="21"/>
        </w:rPr>
        <w:t>in these </w:t>
      </w:r>
      <w:r>
        <w:rPr>
          <w:spacing w:val="-3"/>
          <w:w w:val="105"/>
          <w:sz w:val="21"/>
        </w:rPr>
        <w:t>information sources</w:t>
      </w:r>
      <w:r>
        <w:rPr>
          <w:spacing w:val="40"/>
          <w:w w:val="105"/>
          <w:sz w:val="21"/>
        </w:rPr>
        <w:t> </w:t>
      </w:r>
      <w:r>
        <w:rPr>
          <w:w w:val="105"/>
          <w:sz w:val="21"/>
        </w:rPr>
        <w:t>include:</w:t>
      </w:r>
    </w:p>
    <w:p>
      <w:pPr>
        <w:pStyle w:val="ListParagraph"/>
        <w:numPr>
          <w:ilvl w:val="2"/>
          <w:numId w:val="16"/>
        </w:numPr>
        <w:tabs>
          <w:tab w:pos="2721" w:val="left" w:leader="none"/>
          <w:tab w:pos="2722" w:val="left" w:leader="none"/>
        </w:tabs>
        <w:spacing w:line="240" w:lineRule="auto" w:before="124" w:after="0"/>
        <w:ind w:left="2721" w:right="0" w:hanging="340"/>
        <w:jc w:val="left"/>
        <w:rPr>
          <w:sz w:val="21"/>
        </w:rPr>
      </w:pPr>
      <w:r>
        <w:rPr>
          <w:spacing w:val="-3"/>
          <w:w w:val="105"/>
          <w:sz w:val="21"/>
        </w:rPr>
        <w:t>approaching </w:t>
      </w:r>
      <w:r>
        <w:rPr>
          <w:w w:val="105"/>
          <w:sz w:val="21"/>
        </w:rPr>
        <w:t>neighbours </w:t>
      </w:r>
      <w:r>
        <w:rPr>
          <w:spacing w:val="-2"/>
          <w:w w:val="105"/>
          <w:sz w:val="21"/>
        </w:rPr>
        <w:t>calmly </w:t>
      </w:r>
      <w:r>
        <w:rPr>
          <w:w w:val="105"/>
          <w:sz w:val="21"/>
        </w:rPr>
        <w:t>and</w:t>
      </w:r>
      <w:r>
        <w:rPr>
          <w:spacing w:val="24"/>
          <w:w w:val="105"/>
          <w:sz w:val="21"/>
        </w:rPr>
        <w:t> </w:t>
      </w:r>
      <w:r>
        <w:rPr>
          <w:w w:val="105"/>
          <w:sz w:val="21"/>
        </w:rPr>
        <w:t>respectfully</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w w:val="105"/>
          <w:sz w:val="21"/>
        </w:rPr>
        <w:t>explaining concerns </w:t>
      </w:r>
      <w:r>
        <w:rPr>
          <w:w w:val="105"/>
          <w:sz w:val="21"/>
        </w:rPr>
        <w:t>clearly and</w:t>
      </w:r>
      <w:r>
        <w:rPr>
          <w:spacing w:val="25"/>
          <w:w w:val="105"/>
          <w:sz w:val="21"/>
        </w:rPr>
        <w:t> </w:t>
      </w:r>
      <w:r>
        <w:rPr>
          <w:w w:val="105"/>
          <w:sz w:val="21"/>
        </w:rPr>
        <w:t>openly</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pacing w:val="-3"/>
          <w:w w:val="105"/>
          <w:sz w:val="21"/>
        </w:rPr>
        <w:t>considering </w:t>
      </w:r>
      <w:r>
        <w:rPr>
          <w:w w:val="105"/>
          <w:sz w:val="21"/>
        </w:rPr>
        <w:t>the neighbours’ point of</w:t>
      </w:r>
      <w:r>
        <w:rPr>
          <w:spacing w:val="27"/>
          <w:w w:val="105"/>
          <w:sz w:val="21"/>
        </w:rPr>
        <w:t> </w:t>
      </w:r>
      <w:r>
        <w:rPr>
          <w:w w:val="105"/>
          <w:sz w:val="21"/>
        </w:rPr>
        <w:t>view</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workshopping possible</w:t>
      </w:r>
      <w:r>
        <w:rPr>
          <w:spacing w:val="9"/>
          <w:w w:val="105"/>
          <w:sz w:val="21"/>
        </w:rPr>
        <w:t> </w:t>
      </w:r>
      <w:r>
        <w:rPr>
          <w:w w:val="105"/>
          <w:sz w:val="21"/>
        </w:rPr>
        <w:t>solutions</w:t>
      </w:r>
    </w:p>
    <w:p>
      <w:pPr>
        <w:pStyle w:val="ListParagraph"/>
        <w:numPr>
          <w:ilvl w:val="2"/>
          <w:numId w:val="16"/>
        </w:numPr>
        <w:tabs>
          <w:tab w:pos="2721" w:val="left" w:leader="none"/>
          <w:tab w:pos="2722" w:val="left" w:leader="none"/>
        </w:tabs>
        <w:spacing w:line="242" w:lineRule="auto" w:before="89" w:after="0"/>
        <w:ind w:left="2721" w:right="2240" w:hanging="340"/>
        <w:jc w:val="left"/>
        <w:rPr>
          <w:sz w:val="21"/>
        </w:rPr>
      </w:pPr>
      <w:r>
        <w:rPr>
          <w:w w:val="105"/>
          <w:sz w:val="21"/>
        </w:rPr>
        <w:t>seeking</w:t>
      </w:r>
      <w:r>
        <w:rPr>
          <w:spacing w:val="-10"/>
          <w:w w:val="105"/>
          <w:sz w:val="21"/>
        </w:rPr>
        <w:t> </w:t>
      </w:r>
      <w:r>
        <w:rPr>
          <w:spacing w:val="-3"/>
          <w:w w:val="105"/>
          <w:sz w:val="21"/>
        </w:rPr>
        <w:t>professional</w:t>
      </w:r>
      <w:r>
        <w:rPr>
          <w:spacing w:val="-10"/>
          <w:w w:val="105"/>
          <w:sz w:val="21"/>
        </w:rPr>
        <w:t> </w:t>
      </w:r>
      <w:r>
        <w:rPr>
          <w:w w:val="105"/>
          <w:sz w:val="21"/>
        </w:rPr>
        <w:t>advice</w:t>
      </w:r>
      <w:r>
        <w:rPr>
          <w:spacing w:val="-9"/>
          <w:w w:val="105"/>
          <w:sz w:val="21"/>
        </w:rPr>
        <w:t> </w:t>
      </w:r>
      <w:r>
        <w:rPr>
          <w:w w:val="105"/>
          <w:sz w:val="21"/>
        </w:rPr>
        <w:t>and</w:t>
      </w:r>
      <w:r>
        <w:rPr>
          <w:spacing w:val="-10"/>
          <w:w w:val="105"/>
          <w:sz w:val="21"/>
        </w:rPr>
        <w:t> </w:t>
      </w:r>
      <w:r>
        <w:rPr>
          <w:spacing w:val="-3"/>
          <w:w w:val="105"/>
          <w:sz w:val="21"/>
        </w:rPr>
        <w:t>quotations</w:t>
      </w:r>
      <w:r>
        <w:rPr>
          <w:spacing w:val="-9"/>
          <w:w w:val="105"/>
          <w:sz w:val="21"/>
        </w:rPr>
        <w:t> </w:t>
      </w:r>
      <w:r>
        <w:rPr>
          <w:w w:val="105"/>
          <w:sz w:val="21"/>
        </w:rPr>
        <w:t>where</w:t>
      </w:r>
      <w:r>
        <w:rPr>
          <w:spacing w:val="-10"/>
          <w:w w:val="105"/>
          <w:sz w:val="21"/>
        </w:rPr>
        <w:t> </w:t>
      </w:r>
      <w:r>
        <w:rPr>
          <w:w w:val="105"/>
          <w:sz w:val="21"/>
        </w:rPr>
        <w:t>necessary,</w:t>
      </w:r>
      <w:r>
        <w:rPr>
          <w:spacing w:val="-9"/>
          <w:w w:val="105"/>
          <w:sz w:val="21"/>
        </w:rPr>
        <w:t> </w:t>
      </w:r>
      <w:r>
        <w:rPr>
          <w:w w:val="105"/>
          <w:sz w:val="21"/>
        </w:rPr>
        <w:t>so</w:t>
      </w:r>
      <w:r>
        <w:rPr>
          <w:spacing w:val="-10"/>
          <w:w w:val="105"/>
          <w:sz w:val="21"/>
        </w:rPr>
        <w:t> </w:t>
      </w:r>
      <w:r>
        <w:rPr>
          <w:w w:val="105"/>
          <w:sz w:val="21"/>
        </w:rPr>
        <w:t>each</w:t>
      </w:r>
      <w:r>
        <w:rPr>
          <w:spacing w:val="-9"/>
          <w:w w:val="105"/>
          <w:sz w:val="21"/>
        </w:rPr>
        <w:t> </w:t>
      </w:r>
      <w:r>
        <w:rPr>
          <w:w w:val="105"/>
          <w:sz w:val="21"/>
        </w:rPr>
        <w:t>party</w:t>
      </w:r>
      <w:r>
        <w:rPr>
          <w:spacing w:val="-10"/>
          <w:w w:val="105"/>
          <w:sz w:val="21"/>
        </w:rPr>
        <w:t> </w:t>
      </w:r>
      <w:r>
        <w:rPr>
          <w:w w:val="105"/>
          <w:sz w:val="21"/>
        </w:rPr>
        <w:t>can </w:t>
      </w:r>
      <w:r>
        <w:rPr>
          <w:spacing w:val="-3"/>
          <w:w w:val="105"/>
          <w:sz w:val="21"/>
        </w:rPr>
        <w:t>negotiate from </w:t>
      </w:r>
      <w:r>
        <w:rPr>
          <w:w w:val="105"/>
          <w:sz w:val="21"/>
        </w:rPr>
        <w:t>an </w:t>
      </w:r>
      <w:r>
        <w:rPr>
          <w:spacing w:val="-3"/>
          <w:w w:val="105"/>
          <w:sz w:val="21"/>
        </w:rPr>
        <w:t>informed</w:t>
      </w:r>
      <w:r>
        <w:rPr>
          <w:spacing w:val="26"/>
          <w:w w:val="105"/>
          <w:sz w:val="21"/>
        </w:rPr>
        <w:t> </w:t>
      </w:r>
      <w:r>
        <w:rPr>
          <w:w w:val="105"/>
          <w:sz w:val="21"/>
        </w:rPr>
        <w:t>position</w:t>
      </w:r>
    </w:p>
    <w:p>
      <w:pPr>
        <w:pStyle w:val="ListParagraph"/>
        <w:numPr>
          <w:ilvl w:val="2"/>
          <w:numId w:val="16"/>
        </w:numPr>
        <w:tabs>
          <w:tab w:pos="2721" w:val="left" w:leader="none"/>
          <w:tab w:pos="2722" w:val="left" w:leader="none"/>
        </w:tabs>
        <w:spacing w:line="242" w:lineRule="auto" w:before="87" w:after="0"/>
        <w:ind w:left="2721" w:right="1794" w:hanging="340"/>
        <w:jc w:val="left"/>
        <w:rPr>
          <w:sz w:val="21"/>
        </w:rPr>
      </w:pPr>
      <w:r>
        <w:rPr>
          <w:w w:val="105"/>
          <w:sz w:val="21"/>
        </w:rPr>
        <w:t>the</w:t>
      </w:r>
      <w:r>
        <w:rPr>
          <w:spacing w:val="-7"/>
          <w:w w:val="105"/>
          <w:sz w:val="21"/>
        </w:rPr>
        <w:t> </w:t>
      </w:r>
      <w:r>
        <w:rPr>
          <w:spacing w:val="-3"/>
          <w:w w:val="105"/>
          <w:sz w:val="21"/>
        </w:rPr>
        <w:t>desirability</w:t>
      </w:r>
      <w:r>
        <w:rPr>
          <w:spacing w:val="-7"/>
          <w:w w:val="105"/>
          <w:sz w:val="21"/>
        </w:rPr>
        <w:t> </w:t>
      </w:r>
      <w:r>
        <w:rPr>
          <w:w w:val="105"/>
          <w:sz w:val="21"/>
        </w:rPr>
        <w:t>of</w:t>
      </w:r>
      <w:r>
        <w:rPr>
          <w:spacing w:val="-7"/>
          <w:w w:val="105"/>
          <w:sz w:val="21"/>
        </w:rPr>
        <w:t> </w:t>
      </w:r>
      <w:r>
        <w:rPr>
          <w:spacing w:val="-3"/>
          <w:w w:val="105"/>
          <w:sz w:val="21"/>
        </w:rPr>
        <w:t>reaching</w:t>
      </w:r>
      <w:r>
        <w:rPr>
          <w:spacing w:val="-6"/>
          <w:w w:val="105"/>
          <w:sz w:val="21"/>
        </w:rPr>
        <w:t> </w:t>
      </w:r>
      <w:r>
        <w:rPr>
          <w:w w:val="105"/>
          <w:sz w:val="21"/>
        </w:rPr>
        <w:t>a</w:t>
      </w:r>
      <w:r>
        <w:rPr>
          <w:spacing w:val="-7"/>
          <w:w w:val="105"/>
          <w:sz w:val="21"/>
        </w:rPr>
        <w:t> </w:t>
      </w:r>
      <w:r>
        <w:rPr>
          <w:spacing w:val="-3"/>
          <w:w w:val="105"/>
          <w:sz w:val="21"/>
        </w:rPr>
        <w:t>solution,</w:t>
      </w:r>
      <w:r>
        <w:rPr>
          <w:spacing w:val="-7"/>
          <w:w w:val="105"/>
          <w:sz w:val="21"/>
        </w:rPr>
        <w:t> </w:t>
      </w:r>
      <w:r>
        <w:rPr>
          <w:w w:val="105"/>
          <w:sz w:val="21"/>
        </w:rPr>
        <w:t>as</w:t>
      </w:r>
      <w:r>
        <w:rPr>
          <w:spacing w:val="-7"/>
          <w:w w:val="105"/>
          <w:sz w:val="21"/>
        </w:rPr>
        <w:t> </w:t>
      </w:r>
      <w:r>
        <w:rPr>
          <w:w w:val="105"/>
          <w:sz w:val="21"/>
        </w:rPr>
        <w:t>neighbourhood</w:t>
      </w:r>
      <w:r>
        <w:rPr>
          <w:spacing w:val="-6"/>
          <w:w w:val="105"/>
          <w:sz w:val="21"/>
        </w:rPr>
        <w:t> </w:t>
      </w:r>
      <w:r>
        <w:rPr>
          <w:spacing w:val="-3"/>
          <w:w w:val="105"/>
          <w:sz w:val="21"/>
        </w:rPr>
        <w:t>disputes</w:t>
      </w:r>
      <w:r>
        <w:rPr>
          <w:spacing w:val="-7"/>
          <w:w w:val="105"/>
          <w:sz w:val="21"/>
        </w:rPr>
        <w:t> </w:t>
      </w:r>
      <w:r>
        <w:rPr>
          <w:w w:val="105"/>
          <w:sz w:val="21"/>
        </w:rPr>
        <w:t>can</w:t>
      </w:r>
      <w:r>
        <w:rPr>
          <w:spacing w:val="-7"/>
          <w:w w:val="105"/>
          <w:sz w:val="21"/>
        </w:rPr>
        <w:t> </w:t>
      </w:r>
      <w:r>
        <w:rPr>
          <w:spacing w:val="-3"/>
          <w:w w:val="105"/>
          <w:sz w:val="21"/>
        </w:rPr>
        <w:t>easily</w:t>
      </w:r>
      <w:r>
        <w:rPr>
          <w:spacing w:val="-7"/>
          <w:w w:val="105"/>
          <w:sz w:val="21"/>
        </w:rPr>
        <w:t> </w:t>
      </w:r>
      <w:r>
        <w:rPr>
          <w:w w:val="105"/>
          <w:sz w:val="21"/>
        </w:rPr>
        <w:t>escalate and </w:t>
      </w:r>
      <w:r>
        <w:rPr>
          <w:spacing w:val="-3"/>
          <w:w w:val="105"/>
          <w:sz w:val="21"/>
        </w:rPr>
        <w:t>have </w:t>
      </w:r>
      <w:r>
        <w:rPr>
          <w:w w:val="105"/>
          <w:sz w:val="21"/>
        </w:rPr>
        <w:t>detrimental effects on both parties’ </w:t>
      </w:r>
      <w:r>
        <w:rPr>
          <w:spacing w:val="-3"/>
          <w:w w:val="105"/>
          <w:sz w:val="21"/>
        </w:rPr>
        <w:t>living</w:t>
      </w:r>
      <w:r>
        <w:rPr>
          <w:spacing w:val="22"/>
          <w:w w:val="105"/>
          <w:sz w:val="21"/>
        </w:rPr>
        <w:t> </w:t>
      </w:r>
      <w:r>
        <w:rPr>
          <w:spacing w:val="-3"/>
          <w:w w:val="105"/>
          <w:sz w:val="21"/>
        </w:rPr>
        <w:t>situations.</w:t>
      </w:r>
    </w:p>
    <w:p>
      <w:pPr>
        <w:pStyle w:val="ListParagraph"/>
        <w:numPr>
          <w:ilvl w:val="1"/>
          <w:numId w:val="16"/>
        </w:numPr>
        <w:tabs>
          <w:tab w:pos="2381" w:val="left" w:leader="none"/>
          <w:tab w:pos="2382" w:val="left" w:leader="none"/>
        </w:tabs>
        <w:spacing w:line="242" w:lineRule="auto" w:before="87" w:after="0"/>
        <w:ind w:left="2381" w:right="1690" w:hanging="794"/>
        <w:jc w:val="left"/>
        <w:rPr>
          <w:sz w:val="21"/>
        </w:rPr>
      </w:pPr>
      <w:r>
        <w:rPr>
          <w:w w:val="105"/>
          <w:sz w:val="21"/>
        </w:rPr>
        <w:t>Other</w:t>
      </w:r>
      <w:r>
        <w:rPr>
          <w:spacing w:val="-7"/>
          <w:w w:val="105"/>
          <w:sz w:val="21"/>
        </w:rPr>
        <w:t> </w:t>
      </w:r>
      <w:r>
        <w:rPr>
          <w:w w:val="105"/>
          <w:sz w:val="21"/>
        </w:rPr>
        <w:t>points</w:t>
      </w:r>
      <w:r>
        <w:rPr>
          <w:spacing w:val="-6"/>
          <w:w w:val="105"/>
          <w:sz w:val="21"/>
        </w:rPr>
        <w:t> </w:t>
      </w:r>
      <w:r>
        <w:rPr>
          <w:w w:val="105"/>
          <w:sz w:val="21"/>
        </w:rPr>
        <w:t>of</w:t>
      </w:r>
      <w:r>
        <w:rPr>
          <w:spacing w:val="-6"/>
          <w:w w:val="105"/>
          <w:sz w:val="21"/>
        </w:rPr>
        <w:t> </w:t>
      </w:r>
      <w:r>
        <w:rPr>
          <w:w w:val="105"/>
          <w:sz w:val="21"/>
        </w:rPr>
        <w:t>contact</w:t>
      </w:r>
      <w:r>
        <w:rPr>
          <w:spacing w:val="-7"/>
          <w:w w:val="105"/>
          <w:sz w:val="21"/>
        </w:rPr>
        <w:t> </w:t>
      </w:r>
      <w:r>
        <w:rPr>
          <w:spacing w:val="-3"/>
          <w:w w:val="105"/>
          <w:sz w:val="21"/>
        </w:rPr>
        <w:t>for</w:t>
      </w:r>
      <w:r>
        <w:rPr>
          <w:spacing w:val="-6"/>
          <w:w w:val="105"/>
          <w:sz w:val="21"/>
        </w:rPr>
        <w:t> </w:t>
      </w:r>
      <w:r>
        <w:rPr>
          <w:spacing w:val="-3"/>
          <w:w w:val="105"/>
          <w:sz w:val="21"/>
        </w:rPr>
        <w:t>information</w:t>
      </w:r>
      <w:r>
        <w:rPr>
          <w:spacing w:val="-6"/>
          <w:w w:val="105"/>
          <w:sz w:val="21"/>
        </w:rPr>
        <w:t> </w:t>
      </w:r>
      <w:r>
        <w:rPr>
          <w:spacing w:val="-3"/>
          <w:w w:val="105"/>
          <w:sz w:val="21"/>
        </w:rPr>
        <w:t>include</w:t>
      </w:r>
      <w:r>
        <w:rPr>
          <w:spacing w:val="-6"/>
          <w:w w:val="105"/>
          <w:sz w:val="21"/>
        </w:rPr>
        <w:t> </w:t>
      </w:r>
      <w:r>
        <w:rPr>
          <w:spacing w:val="-3"/>
          <w:w w:val="105"/>
          <w:sz w:val="21"/>
        </w:rPr>
        <w:t>Arboriculture</w:t>
      </w:r>
      <w:r>
        <w:rPr>
          <w:spacing w:val="-7"/>
          <w:w w:val="105"/>
          <w:sz w:val="21"/>
        </w:rPr>
        <w:t> </w:t>
      </w:r>
      <w:r>
        <w:rPr>
          <w:spacing w:val="-3"/>
          <w:w w:val="105"/>
          <w:sz w:val="21"/>
        </w:rPr>
        <w:t>Australia,</w:t>
      </w:r>
      <w:r>
        <w:rPr>
          <w:spacing w:val="-6"/>
          <w:w w:val="105"/>
          <w:sz w:val="21"/>
        </w:rPr>
        <w:t> </w:t>
      </w:r>
      <w:r>
        <w:rPr>
          <w:w w:val="105"/>
          <w:sz w:val="21"/>
        </w:rPr>
        <w:t>the</w:t>
      </w:r>
      <w:r>
        <w:rPr>
          <w:spacing w:val="-6"/>
          <w:w w:val="105"/>
          <w:sz w:val="21"/>
        </w:rPr>
        <w:t> </w:t>
      </w:r>
      <w:r>
        <w:rPr>
          <w:w w:val="105"/>
          <w:sz w:val="21"/>
        </w:rPr>
        <w:t>Victorian</w:t>
      </w:r>
      <w:r>
        <w:rPr>
          <w:spacing w:val="-6"/>
          <w:w w:val="105"/>
          <w:sz w:val="21"/>
        </w:rPr>
        <w:t> </w:t>
      </w:r>
      <w:r>
        <w:rPr>
          <w:spacing w:val="-5"/>
          <w:w w:val="105"/>
          <w:sz w:val="21"/>
        </w:rPr>
        <w:t>Tree </w:t>
      </w:r>
      <w:r>
        <w:rPr>
          <w:w w:val="105"/>
          <w:sz w:val="21"/>
        </w:rPr>
        <w:t>Industry </w:t>
      </w:r>
      <w:r>
        <w:rPr>
          <w:spacing w:val="-3"/>
          <w:w w:val="105"/>
          <w:sz w:val="21"/>
        </w:rPr>
        <w:t>Organisation, individual </w:t>
      </w:r>
      <w:r>
        <w:rPr>
          <w:w w:val="105"/>
          <w:sz w:val="21"/>
        </w:rPr>
        <w:t>community legal </w:t>
      </w:r>
      <w:r>
        <w:rPr>
          <w:spacing w:val="-3"/>
          <w:w w:val="105"/>
          <w:sz w:val="21"/>
        </w:rPr>
        <w:t>centres, </w:t>
      </w:r>
      <w:r>
        <w:rPr>
          <w:w w:val="105"/>
          <w:sz w:val="21"/>
        </w:rPr>
        <w:t>the Federation of </w:t>
      </w:r>
      <w:r>
        <w:rPr>
          <w:spacing w:val="-3"/>
          <w:w w:val="105"/>
          <w:sz w:val="21"/>
        </w:rPr>
        <w:t>Community </w:t>
      </w:r>
      <w:r>
        <w:rPr>
          <w:w w:val="105"/>
          <w:sz w:val="21"/>
        </w:rPr>
        <w:t>Legal </w:t>
      </w:r>
      <w:r>
        <w:rPr>
          <w:spacing w:val="-3"/>
          <w:w w:val="105"/>
          <w:sz w:val="21"/>
        </w:rPr>
        <w:t>Centres, </w:t>
      </w:r>
      <w:r>
        <w:rPr>
          <w:w w:val="105"/>
          <w:sz w:val="21"/>
        </w:rPr>
        <w:t>Victoria Legal Aid, the Law </w:t>
      </w:r>
      <w:r>
        <w:rPr>
          <w:spacing w:val="-3"/>
          <w:w w:val="105"/>
          <w:sz w:val="21"/>
        </w:rPr>
        <w:t>Institute </w:t>
      </w:r>
      <w:r>
        <w:rPr>
          <w:w w:val="105"/>
          <w:sz w:val="21"/>
        </w:rPr>
        <w:t>of Victoria </w:t>
      </w:r>
      <w:r>
        <w:rPr>
          <w:spacing w:val="2"/>
          <w:w w:val="105"/>
          <w:sz w:val="21"/>
        </w:rPr>
        <w:t>(LIV)</w:t>
      </w:r>
      <w:r>
        <w:rPr>
          <w:spacing w:val="-35"/>
          <w:w w:val="105"/>
          <w:sz w:val="21"/>
        </w:rPr>
        <w:t> </w:t>
      </w:r>
      <w:r>
        <w:rPr>
          <w:w w:val="105"/>
          <w:sz w:val="21"/>
        </w:rPr>
        <w:t>and </w:t>
      </w:r>
      <w:r>
        <w:rPr>
          <w:spacing w:val="-3"/>
          <w:w w:val="105"/>
          <w:sz w:val="21"/>
        </w:rPr>
        <w:t>private </w:t>
      </w:r>
      <w:r>
        <w:rPr>
          <w:w w:val="105"/>
          <w:sz w:val="21"/>
        </w:rPr>
        <w:t>lawyers.</w:t>
      </w:r>
    </w:p>
    <w:p>
      <w:pPr>
        <w:pStyle w:val="ListParagraph"/>
        <w:numPr>
          <w:ilvl w:val="1"/>
          <w:numId w:val="16"/>
        </w:numPr>
        <w:tabs>
          <w:tab w:pos="2382" w:val="left" w:leader="none"/>
        </w:tabs>
        <w:spacing w:line="242" w:lineRule="auto" w:before="124" w:after="0"/>
        <w:ind w:left="2381" w:right="2147" w:hanging="794"/>
        <w:jc w:val="both"/>
        <w:rPr>
          <w:sz w:val="21"/>
        </w:rPr>
      </w:pPr>
      <w:r>
        <w:rPr>
          <w:w w:val="105"/>
          <w:sz w:val="21"/>
        </w:rPr>
        <w:t>DSCV also provides conflict </w:t>
      </w:r>
      <w:r>
        <w:rPr>
          <w:spacing w:val="-3"/>
          <w:w w:val="105"/>
          <w:sz w:val="21"/>
        </w:rPr>
        <w:t>coaching </w:t>
      </w:r>
      <w:r>
        <w:rPr>
          <w:w w:val="105"/>
          <w:sz w:val="21"/>
        </w:rPr>
        <w:t>and </w:t>
      </w:r>
      <w:r>
        <w:rPr>
          <w:spacing w:val="-3"/>
          <w:w w:val="105"/>
          <w:sz w:val="21"/>
        </w:rPr>
        <w:t>dispute </w:t>
      </w:r>
      <w:r>
        <w:rPr>
          <w:w w:val="105"/>
          <w:sz w:val="21"/>
        </w:rPr>
        <w:t>resolution advice over the </w:t>
      </w:r>
      <w:r>
        <w:rPr>
          <w:spacing w:val="-3"/>
          <w:w w:val="105"/>
          <w:sz w:val="21"/>
        </w:rPr>
        <w:t>phone, including</w:t>
      </w:r>
      <w:r>
        <w:rPr>
          <w:spacing w:val="-12"/>
          <w:w w:val="105"/>
          <w:sz w:val="21"/>
        </w:rPr>
        <w:t> </w:t>
      </w:r>
      <w:r>
        <w:rPr>
          <w:w w:val="105"/>
          <w:sz w:val="21"/>
        </w:rPr>
        <w:t>options,</w:t>
      </w:r>
      <w:r>
        <w:rPr>
          <w:spacing w:val="-12"/>
          <w:w w:val="105"/>
          <w:sz w:val="21"/>
        </w:rPr>
        <w:t> </w:t>
      </w:r>
      <w:r>
        <w:rPr>
          <w:spacing w:val="-2"/>
          <w:w w:val="105"/>
          <w:sz w:val="21"/>
        </w:rPr>
        <w:t>strategies</w:t>
      </w:r>
      <w:r>
        <w:rPr>
          <w:spacing w:val="-11"/>
          <w:w w:val="105"/>
          <w:sz w:val="21"/>
        </w:rPr>
        <w:t> </w:t>
      </w:r>
      <w:r>
        <w:rPr>
          <w:w w:val="105"/>
          <w:sz w:val="21"/>
        </w:rPr>
        <w:t>and</w:t>
      </w:r>
      <w:r>
        <w:rPr>
          <w:spacing w:val="-12"/>
          <w:w w:val="105"/>
          <w:sz w:val="21"/>
        </w:rPr>
        <w:t> </w:t>
      </w:r>
      <w:r>
        <w:rPr>
          <w:w w:val="105"/>
          <w:sz w:val="21"/>
        </w:rPr>
        <w:t>negotiation</w:t>
      </w:r>
      <w:r>
        <w:rPr>
          <w:spacing w:val="-11"/>
          <w:w w:val="105"/>
          <w:sz w:val="21"/>
        </w:rPr>
        <w:t> </w:t>
      </w:r>
      <w:r>
        <w:rPr>
          <w:spacing w:val="-3"/>
          <w:w w:val="105"/>
          <w:sz w:val="21"/>
        </w:rPr>
        <w:t>techniques</w:t>
      </w:r>
      <w:r>
        <w:rPr>
          <w:spacing w:val="-12"/>
          <w:w w:val="105"/>
          <w:sz w:val="21"/>
        </w:rPr>
        <w:t> </w:t>
      </w:r>
      <w:r>
        <w:rPr>
          <w:spacing w:val="-3"/>
          <w:w w:val="105"/>
          <w:sz w:val="21"/>
        </w:rPr>
        <w:t>to</w:t>
      </w:r>
      <w:r>
        <w:rPr>
          <w:spacing w:val="-11"/>
          <w:w w:val="105"/>
          <w:sz w:val="21"/>
        </w:rPr>
        <w:t> </w:t>
      </w:r>
      <w:r>
        <w:rPr>
          <w:w w:val="105"/>
          <w:sz w:val="21"/>
        </w:rPr>
        <w:t>help</w:t>
      </w:r>
      <w:r>
        <w:rPr>
          <w:spacing w:val="-12"/>
          <w:w w:val="105"/>
          <w:sz w:val="21"/>
        </w:rPr>
        <w:t> </w:t>
      </w:r>
      <w:r>
        <w:rPr>
          <w:w w:val="105"/>
          <w:sz w:val="21"/>
        </w:rPr>
        <w:t>people</w:t>
      </w:r>
      <w:r>
        <w:rPr>
          <w:spacing w:val="-12"/>
          <w:w w:val="105"/>
          <w:sz w:val="21"/>
        </w:rPr>
        <w:t> </w:t>
      </w:r>
      <w:r>
        <w:rPr>
          <w:w w:val="105"/>
          <w:sz w:val="21"/>
        </w:rPr>
        <w:t>resolve</w:t>
      </w:r>
      <w:r>
        <w:rPr>
          <w:spacing w:val="-11"/>
          <w:w w:val="105"/>
          <w:sz w:val="21"/>
        </w:rPr>
        <w:t> </w:t>
      </w:r>
      <w:r>
        <w:rPr>
          <w:w w:val="105"/>
          <w:sz w:val="21"/>
        </w:rPr>
        <w:t>their </w:t>
      </w:r>
      <w:r>
        <w:rPr>
          <w:spacing w:val="-3"/>
          <w:w w:val="105"/>
          <w:sz w:val="21"/>
        </w:rPr>
        <w:t>disputes </w:t>
      </w:r>
      <w:r>
        <w:rPr>
          <w:w w:val="105"/>
          <w:sz w:val="21"/>
        </w:rPr>
        <w:t>between</w:t>
      </w:r>
      <w:r>
        <w:rPr>
          <w:spacing w:val="12"/>
          <w:w w:val="105"/>
          <w:sz w:val="21"/>
        </w:rPr>
        <w:t> </w:t>
      </w:r>
      <w:r>
        <w:rPr>
          <w:w w:val="105"/>
          <w:sz w:val="21"/>
        </w:rPr>
        <w:t>themselves.</w:t>
      </w:r>
      <w:r>
        <w:rPr>
          <w:w w:val="105"/>
          <w:position w:val="7"/>
          <w:sz w:val="12"/>
        </w:rPr>
        <w:t>22</w:t>
      </w:r>
    </w:p>
    <w:p>
      <w:pPr>
        <w:pStyle w:val="BodyText"/>
        <w:spacing w:before="1"/>
        <w:rPr>
          <w:sz w:val="14"/>
        </w:rPr>
      </w:pPr>
      <w:r>
        <w:rPr/>
        <w:pict>
          <v:line style="position:absolute;mso-position-horizontal-relative:page;mso-position-vertical-relative:paragraph;z-index:944;mso-wrap-distance-left:0;mso-wrap-distance-right:0" from="79.370102pt,11.075995pt" to="524.409102pt,11.075995pt" stroked="true" strokeweight="1pt" strokecolor="#c9d2cb">
            <v:stroke dashstyle="solid"/>
            <w10:wrap type="topAndBottom"/>
          </v:line>
        </w:pict>
      </w:r>
    </w:p>
    <w:p>
      <w:pPr>
        <w:pStyle w:val="ListParagraph"/>
        <w:numPr>
          <w:ilvl w:val="0"/>
          <w:numId w:val="26"/>
        </w:numPr>
        <w:tabs>
          <w:tab w:pos="2381" w:val="left" w:leader="none"/>
          <w:tab w:pos="2382" w:val="left" w:leader="none"/>
        </w:tabs>
        <w:spacing w:line="240" w:lineRule="auto" w:before="117" w:after="0"/>
        <w:ind w:left="2381" w:right="0" w:hanging="794"/>
        <w:jc w:val="left"/>
        <w:rPr>
          <w:sz w:val="13"/>
        </w:rPr>
      </w:pPr>
      <w:r>
        <w:rPr>
          <w:i/>
          <w:w w:val="105"/>
          <w:sz w:val="13"/>
        </w:rPr>
        <w:t>Young</w:t>
      </w:r>
      <w:r>
        <w:rPr>
          <w:i/>
          <w:spacing w:val="5"/>
          <w:w w:val="105"/>
          <w:sz w:val="13"/>
        </w:rPr>
        <w:t> </w:t>
      </w:r>
      <w:r>
        <w:rPr>
          <w:i/>
          <w:w w:val="105"/>
          <w:sz w:val="13"/>
        </w:rPr>
        <w:t>v</w:t>
      </w:r>
      <w:r>
        <w:rPr>
          <w:i/>
          <w:spacing w:val="6"/>
          <w:w w:val="105"/>
          <w:sz w:val="13"/>
        </w:rPr>
        <w:t> </w:t>
      </w:r>
      <w:r>
        <w:rPr>
          <w:i/>
          <w:w w:val="105"/>
          <w:sz w:val="13"/>
        </w:rPr>
        <w:t>Wheeler</w:t>
      </w:r>
      <w:r>
        <w:rPr>
          <w:i/>
          <w:spacing w:val="6"/>
          <w:w w:val="105"/>
          <w:sz w:val="13"/>
        </w:rPr>
        <w:t> </w:t>
      </w:r>
      <w:r>
        <w:rPr>
          <w:w w:val="105"/>
          <w:sz w:val="13"/>
        </w:rPr>
        <w:t>[1987]</w:t>
      </w:r>
      <w:r>
        <w:rPr>
          <w:spacing w:val="5"/>
          <w:w w:val="105"/>
          <w:sz w:val="13"/>
        </w:rPr>
        <w:t> </w:t>
      </w:r>
      <w:r>
        <w:rPr>
          <w:w w:val="105"/>
          <w:sz w:val="13"/>
        </w:rPr>
        <w:t>Aus</w:t>
      </w:r>
      <w:r>
        <w:rPr>
          <w:spacing w:val="6"/>
          <w:w w:val="105"/>
          <w:sz w:val="13"/>
        </w:rPr>
        <w:t> </w:t>
      </w:r>
      <w:r>
        <w:rPr>
          <w:w w:val="105"/>
          <w:sz w:val="13"/>
        </w:rPr>
        <w:t>Torts</w:t>
      </w:r>
      <w:r>
        <w:rPr>
          <w:spacing w:val="6"/>
          <w:w w:val="105"/>
          <w:sz w:val="13"/>
        </w:rPr>
        <w:t> </w:t>
      </w:r>
      <w:r>
        <w:rPr>
          <w:spacing w:val="2"/>
          <w:w w:val="105"/>
          <w:sz w:val="13"/>
        </w:rPr>
        <w:t>Reportss</w:t>
      </w:r>
      <w:r>
        <w:rPr>
          <w:spacing w:val="6"/>
          <w:w w:val="105"/>
          <w:sz w:val="13"/>
        </w:rPr>
        <w:t> </w:t>
      </w:r>
      <w:r>
        <w:rPr>
          <w:w w:val="105"/>
          <w:sz w:val="13"/>
        </w:rPr>
        <w:t>80–126,</w:t>
      </w:r>
      <w:r>
        <w:rPr>
          <w:spacing w:val="5"/>
          <w:w w:val="105"/>
          <w:sz w:val="13"/>
        </w:rPr>
        <w:t> </w:t>
      </w:r>
      <w:r>
        <w:rPr>
          <w:w w:val="105"/>
          <w:sz w:val="13"/>
        </w:rPr>
        <w:t>68,972;</w:t>
      </w:r>
      <w:r>
        <w:rPr>
          <w:spacing w:val="6"/>
          <w:w w:val="105"/>
          <w:sz w:val="13"/>
        </w:rPr>
        <w:t> </w:t>
      </w:r>
      <w:r>
        <w:rPr>
          <w:i/>
          <w:w w:val="105"/>
          <w:sz w:val="13"/>
        </w:rPr>
        <w:t>City</w:t>
      </w:r>
      <w:r>
        <w:rPr>
          <w:i/>
          <w:spacing w:val="6"/>
          <w:w w:val="105"/>
          <w:sz w:val="13"/>
        </w:rPr>
        <w:t> </w:t>
      </w:r>
      <w:r>
        <w:rPr>
          <w:i/>
          <w:w w:val="105"/>
          <w:sz w:val="13"/>
        </w:rPr>
        <w:t>of</w:t>
      </w:r>
      <w:r>
        <w:rPr>
          <w:i/>
          <w:spacing w:val="6"/>
          <w:w w:val="105"/>
          <w:sz w:val="13"/>
        </w:rPr>
        <w:t> </w:t>
      </w:r>
      <w:r>
        <w:rPr>
          <w:i/>
          <w:w w:val="105"/>
          <w:sz w:val="13"/>
        </w:rPr>
        <w:t>Richmond</w:t>
      </w:r>
      <w:r>
        <w:rPr>
          <w:i/>
          <w:spacing w:val="5"/>
          <w:w w:val="105"/>
          <w:sz w:val="13"/>
        </w:rPr>
        <w:t> </w:t>
      </w:r>
      <w:r>
        <w:rPr>
          <w:i/>
          <w:w w:val="105"/>
          <w:sz w:val="13"/>
        </w:rPr>
        <w:t>v</w:t>
      </w:r>
      <w:r>
        <w:rPr>
          <w:i/>
          <w:spacing w:val="6"/>
          <w:w w:val="105"/>
          <w:sz w:val="13"/>
        </w:rPr>
        <w:t> </w:t>
      </w:r>
      <w:r>
        <w:rPr>
          <w:i/>
          <w:w w:val="105"/>
          <w:sz w:val="13"/>
        </w:rPr>
        <w:t>Scantelbury</w:t>
      </w:r>
      <w:r>
        <w:rPr>
          <w:i/>
          <w:spacing w:val="6"/>
          <w:w w:val="105"/>
          <w:sz w:val="13"/>
        </w:rPr>
        <w:t> </w:t>
      </w:r>
      <w:r>
        <w:rPr>
          <w:i/>
          <w:w w:val="105"/>
          <w:sz w:val="13"/>
        </w:rPr>
        <w:t>of</w:t>
      </w:r>
      <w:r>
        <w:rPr>
          <w:i/>
          <w:spacing w:val="6"/>
          <w:w w:val="105"/>
          <w:sz w:val="13"/>
        </w:rPr>
        <w:t> </w:t>
      </w:r>
      <w:r>
        <w:rPr>
          <w:i/>
          <w:w w:val="105"/>
          <w:sz w:val="13"/>
        </w:rPr>
        <w:t>Strata</w:t>
      </w:r>
      <w:r>
        <w:rPr>
          <w:i/>
          <w:spacing w:val="5"/>
          <w:w w:val="105"/>
          <w:sz w:val="13"/>
        </w:rPr>
        <w:t> </w:t>
      </w:r>
      <w:r>
        <w:rPr>
          <w:i/>
          <w:w w:val="105"/>
          <w:sz w:val="13"/>
        </w:rPr>
        <w:t>Plan</w:t>
      </w:r>
      <w:r>
        <w:rPr>
          <w:i/>
          <w:spacing w:val="6"/>
          <w:w w:val="105"/>
          <w:sz w:val="13"/>
        </w:rPr>
        <w:t> </w:t>
      </w:r>
      <w:r>
        <w:rPr>
          <w:i/>
          <w:w w:val="105"/>
          <w:sz w:val="13"/>
        </w:rPr>
        <w:t>No</w:t>
      </w:r>
      <w:r>
        <w:rPr>
          <w:i/>
          <w:spacing w:val="6"/>
          <w:w w:val="105"/>
          <w:sz w:val="13"/>
        </w:rPr>
        <w:t> </w:t>
      </w:r>
      <w:r>
        <w:rPr>
          <w:i/>
          <w:spacing w:val="-4"/>
          <w:w w:val="105"/>
          <w:sz w:val="13"/>
        </w:rPr>
        <w:t>14198</w:t>
      </w:r>
      <w:r>
        <w:rPr>
          <w:i/>
          <w:spacing w:val="6"/>
          <w:w w:val="105"/>
          <w:sz w:val="13"/>
        </w:rPr>
        <w:t> </w:t>
      </w:r>
      <w:r>
        <w:rPr>
          <w:i/>
          <w:w w:val="105"/>
          <w:sz w:val="13"/>
        </w:rPr>
        <w:t>v</w:t>
      </w:r>
      <w:r>
        <w:rPr>
          <w:i/>
          <w:spacing w:val="5"/>
          <w:w w:val="105"/>
          <w:sz w:val="13"/>
        </w:rPr>
        <w:t> </w:t>
      </w:r>
      <w:r>
        <w:rPr>
          <w:i/>
          <w:w w:val="105"/>
          <w:sz w:val="13"/>
        </w:rPr>
        <w:t>Cowell</w:t>
      </w:r>
      <w:r>
        <w:rPr>
          <w:i/>
          <w:spacing w:val="6"/>
          <w:w w:val="105"/>
          <w:sz w:val="13"/>
        </w:rPr>
        <w:t> </w:t>
      </w:r>
      <w:r>
        <w:rPr>
          <w:w w:val="105"/>
          <w:sz w:val="13"/>
        </w:rPr>
        <w:t>(1989)</w:t>
      </w:r>
    </w:p>
    <w:p>
      <w:pPr>
        <w:spacing w:before="1"/>
        <w:ind w:left="2381" w:right="1479" w:firstLine="0"/>
        <w:jc w:val="left"/>
        <w:rPr>
          <w:sz w:val="13"/>
        </w:rPr>
      </w:pPr>
      <w:r>
        <w:rPr>
          <w:w w:val="105"/>
          <w:sz w:val="13"/>
        </w:rPr>
        <w:t>24 </w:t>
      </w:r>
      <w:r>
        <w:rPr>
          <w:spacing w:val="2"/>
          <w:w w:val="105"/>
          <w:sz w:val="13"/>
        </w:rPr>
        <w:t>NSWLR </w:t>
      </w:r>
      <w:r>
        <w:rPr>
          <w:w w:val="105"/>
          <w:sz w:val="13"/>
        </w:rPr>
        <w:t>478 where it is stated that the affected neighbour has a duty to mitigate damages and, where abatement is carried out to do so,   then cost is recoverable. Hodgson J quotes Jenkins </w:t>
      </w:r>
      <w:r>
        <w:rPr>
          <w:spacing w:val="3"/>
          <w:w w:val="105"/>
          <w:sz w:val="13"/>
        </w:rPr>
        <w:t>LJ </w:t>
      </w:r>
      <w:r>
        <w:rPr>
          <w:w w:val="105"/>
          <w:sz w:val="13"/>
        </w:rPr>
        <w:t>in </w:t>
      </w:r>
      <w:r>
        <w:rPr>
          <w:i/>
          <w:w w:val="105"/>
          <w:sz w:val="13"/>
        </w:rPr>
        <w:t>Davey v Harrow Corporation </w:t>
      </w:r>
      <w:r>
        <w:rPr>
          <w:w w:val="105"/>
          <w:sz w:val="13"/>
        </w:rPr>
        <w:t>[1958] 1 QB 60 </w:t>
      </w:r>
      <w:r>
        <w:rPr>
          <w:spacing w:val="2"/>
          <w:w w:val="105"/>
          <w:sz w:val="13"/>
        </w:rPr>
        <w:t>[487]: </w:t>
      </w:r>
      <w:r>
        <w:rPr>
          <w:w w:val="105"/>
          <w:sz w:val="13"/>
        </w:rPr>
        <w:t>‘Is there any duty to mitigate?        Can a person who sees encroaching roots on his land build a house and wait for it to fall </w:t>
      </w:r>
      <w:r>
        <w:rPr>
          <w:spacing w:val="2"/>
          <w:w w:val="105"/>
          <w:sz w:val="13"/>
        </w:rPr>
        <w:t>down?’ </w:t>
      </w:r>
      <w:r>
        <w:rPr>
          <w:w w:val="105"/>
          <w:sz w:val="13"/>
        </w:rPr>
        <w:t>and continues that, in his view, an affected neighbour ‘does, nevertheless, have the usual obligation to mitigate damages; and accordingly, he has the obligation to take reasonable steps   to keep these damages to a minimum, and has the corresponding right to claim from the adjoining owner the expenses associated with these reasonable steps’. See also Paula Giliker, ‘Nuisance’ in Carolyn Sappideen and Prue Vines (eds) </w:t>
      </w:r>
      <w:r>
        <w:rPr>
          <w:i/>
          <w:w w:val="105"/>
          <w:sz w:val="13"/>
        </w:rPr>
        <w:t>Fleming’s The Law of Torts </w:t>
      </w:r>
      <w:r>
        <w:rPr>
          <w:spacing w:val="2"/>
          <w:w w:val="105"/>
          <w:sz w:val="13"/>
        </w:rPr>
        <w:t>(Lawbook </w:t>
      </w:r>
      <w:r>
        <w:rPr>
          <w:w w:val="105"/>
          <w:sz w:val="13"/>
        </w:rPr>
        <w:t>Co., 10th</w:t>
      </w:r>
      <w:r>
        <w:rPr>
          <w:spacing w:val="30"/>
          <w:w w:val="105"/>
          <w:sz w:val="13"/>
        </w:rPr>
        <w:t> </w:t>
      </w:r>
      <w:r>
        <w:rPr>
          <w:w w:val="105"/>
          <w:sz w:val="13"/>
        </w:rPr>
        <w:t>ed, </w:t>
      </w:r>
      <w:r>
        <w:rPr>
          <w:spacing w:val="-4"/>
          <w:w w:val="105"/>
          <w:sz w:val="13"/>
        </w:rPr>
        <w:t>2011) </w:t>
      </w:r>
      <w:r>
        <w:rPr>
          <w:w w:val="105"/>
          <w:sz w:val="13"/>
        </w:rPr>
        <w:t>487, 525</w:t>
      </w:r>
      <w:r>
        <w:rPr>
          <w:spacing w:val="-4"/>
          <w:w w:val="105"/>
          <w:sz w:val="13"/>
        </w:rPr>
        <w:t> </w:t>
      </w:r>
      <w:r>
        <w:rPr>
          <w:w w:val="105"/>
          <w:sz w:val="13"/>
        </w:rPr>
        <w:t>[21.280].</w:t>
      </w:r>
    </w:p>
    <w:p>
      <w:pPr>
        <w:pStyle w:val="ListParagraph"/>
        <w:numPr>
          <w:ilvl w:val="0"/>
          <w:numId w:val="26"/>
        </w:numPr>
        <w:tabs>
          <w:tab w:pos="2381" w:val="left" w:leader="none"/>
          <w:tab w:pos="2382" w:val="left" w:leader="none"/>
        </w:tabs>
        <w:spacing w:line="240" w:lineRule="auto" w:before="10" w:after="0"/>
        <w:ind w:left="2381" w:right="0" w:hanging="794"/>
        <w:jc w:val="left"/>
        <w:rPr>
          <w:sz w:val="13"/>
        </w:rPr>
      </w:pPr>
      <w:r>
        <w:rPr>
          <w:sz w:val="13"/>
        </w:rPr>
        <w:t>For</w:t>
      </w:r>
      <w:r>
        <w:rPr>
          <w:spacing w:val="10"/>
          <w:sz w:val="13"/>
        </w:rPr>
        <w:t> </w:t>
      </w:r>
      <w:r>
        <w:rPr>
          <w:sz w:val="13"/>
        </w:rPr>
        <w:t>example,</w:t>
      </w:r>
      <w:r>
        <w:rPr>
          <w:spacing w:val="10"/>
          <w:sz w:val="13"/>
        </w:rPr>
        <w:t> </w:t>
      </w:r>
      <w:r>
        <w:rPr>
          <w:sz w:val="13"/>
        </w:rPr>
        <w:t>where</w:t>
      </w:r>
      <w:r>
        <w:rPr>
          <w:spacing w:val="10"/>
          <w:sz w:val="13"/>
        </w:rPr>
        <w:t> </w:t>
      </w:r>
      <w:r>
        <w:rPr>
          <w:sz w:val="13"/>
        </w:rPr>
        <w:t>a</w:t>
      </w:r>
      <w:r>
        <w:rPr>
          <w:spacing w:val="10"/>
          <w:sz w:val="13"/>
        </w:rPr>
        <w:t> </w:t>
      </w:r>
      <w:r>
        <w:rPr>
          <w:sz w:val="13"/>
        </w:rPr>
        <w:t>tree</w:t>
      </w:r>
      <w:r>
        <w:rPr>
          <w:spacing w:val="10"/>
          <w:sz w:val="13"/>
        </w:rPr>
        <w:t> </w:t>
      </w:r>
      <w:r>
        <w:rPr>
          <w:sz w:val="13"/>
        </w:rPr>
        <w:t>is</w:t>
      </w:r>
      <w:r>
        <w:rPr>
          <w:spacing w:val="11"/>
          <w:sz w:val="13"/>
        </w:rPr>
        <w:t> </w:t>
      </w:r>
      <w:r>
        <w:rPr>
          <w:sz w:val="13"/>
        </w:rPr>
        <w:t>protected</w:t>
      </w:r>
      <w:r>
        <w:rPr>
          <w:spacing w:val="10"/>
          <w:sz w:val="13"/>
        </w:rPr>
        <w:t> </w:t>
      </w:r>
      <w:r>
        <w:rPr>
          <w:sz w:val="13"/>
        </w:rPr>
        <w:t>under</w:t>
      </w:r>
      <w:r>
        <w:rPr>
          <w:spacing w:val="10"/>
          <w:sz w:val="13"/>
        </w:rPr>
        <w:t> </w:t>
      </w:r>
      <w:r>
        <w:rPr>
          <w:sz w:val="13"/>
        </w:rPr>
        <w:t>an</w:t>
      </w:r>
      <w:r>
        <w:rPr>
          <w:spacing w:val="10"/>
          <w:sz w:val="13"/>
        </w:rPr>
        <w:t> </w:t>
      </w:r>
      <w:r>
        <w:rPr>
          <w:sz w:val="13"/>
        </w:rPr>
        <w:t>overlay</w:t>
      </w:r>
      <w:r>
        <w:rPr>
          <w:spacing w:val="10"/>
          <w:sz w:val="13"/>
        </w:rPr>
        <w:t> </w:t>
      </w:r>
      <w:r>
        <w:rPr>
          <w:sz w:val="13"/>
        </w:rPr>
        <w:t>within</w:t>
      </w:r>
      <w:r>
        <w:rPr>
          <w:spacing w:val="11"/>
          <w:sz w:val="13"/>
        </w:rPr>
        <w:t> </w:t>
      </w:r>
      <w:r>
        <w:rPr>
          <w:sz w:val="13"/>
        </w:rPr>
        <w:t>a</w:t>
      </w:r>
      <w:r>
        <w:rPr>
          <w:spacing w:val="10"/>
          <w:sz w:val="13"/>
        </w:rPr>
        <w:t> </w:t>
      </w:r>
      <w:r>
        <w:rPr>
          <w:sz w:val="13"/>
        </w:rPr>
        <w:t>local</w:t>
      </w:r>
      <w:r>
        <w:rPr>
          <w:spacing w:val="10"/>
          <w:sz w:val="13"/>
        </w:rPr>
        <w:t> </w:t>
      </w:r>
      <w:r>
        <w:rPr>
          <w:sz w:val="13"/>
        </w:rPr>
        <w:t>council</w:t>
      </w:r>
      <w:r>
        <w:rPr>
          <w:spacing w:val="10"/>
          <w:sz w:val="13"/>
        </w:rPr>
        <w:t> </w:t>
      </w:r>
      <w:r>
        <w:rPr>
          <w:sz w:val="13"/>
        </w:rPr>
        <w:t>planning</w:t>
      </w:r>
      <w:r>
        <w:rPr>
          <w:spacing w:val="10"/>
          <w:sz w:val="13"/>
        </w:rPr>
        <w:t> </w:t>
      </w:r>
      <w:r>
        <w:rPr>
          <w:sz w:val="13"/>
        </w:rPr>
        <w:t>scheme.</w:t>
      </w:r>
      <w:r>
        <w:rPr>
          <w:spacing w:val="11"/>
          <w:sz w:val="13"/>
        </w:rPr>
        <w:t> </w:t>
      </w:r>
      <w:r>
        <w:rPr>
          <w:sz w:val="13"/>
        </w:rPr>
        <w:t>This</w:t>
      </w:r>
      <w:r>
        <w:rPr>
          <w:spacing w:val="10"/>
          <w:sz w:val="13"/>
        </w:rPr>
        <w:t> </w:t>
      </w:r>
      <w:r>
        <w:rPr>
          <w:sz w:val="13"/>
        </w:rPr>
        <w:t>is</w:t>
      </w:r>
      <w:r>
        <w:rPr>
          <w:spacing w:val="10"/>
          <w:sz w:val="13"/>
        </w:rPr>
        <w:t> </w:t>
      </w:r>
      <w:r>
        <w:rPr>
          <w:sz w:val="13"/>
        </w:rPr>
        <w:t>discussed</w:t>
      </w:r>
      <w:r>
        <w:rPr>
          <w:spacing w:val="10"/>
          <w:sz w:val="13"/>
        </w:rPr>
        <w:t> </w:t>
      </w:r>
      <w:r>
        <w:rPr>
          <w:sz w:val="13"/>
        </w:rPr>
        <w:t>further</w:t>
      </w:r>
      <w:r>
        <w:rPr>
          <w:spacing w:val="10"/>
          <w:sz w:val="13"/>
        </w:rPr>
        <w:t> </w:t>
      </w:r>
      <w:r>
        <w:rPr>
          <w:sz w:val="13"/>
        </w:rPr>
        <w:t>in</w:t>
      </w:r>
      <w:r>
        <w:rPr>
          <w:spacing w:val="11"/>
          <w:sz w:val="13"/>
        </w:rPr>
        <w:t> </w:t>
      </w:r>
      <w:r>
        <w:rPr>
          <w:sz w:val="13"/>
        </w:rPr>
        <w:t>Chapter</w:t>
      </w:r>
      <w:r>
        <w:rPr>
          <w:spacing w:val="10"/>
          <w:sz w:val="13"/>
        </w:rPr>
        <w:t> </w:t>
      </w:r>
      <w:r>
        <w:rPr>
          <w:sz w:val="13"/>
        </w:rPr>
        <w:t>10.</w:t>
      </w:r>
    </w:p>
    <w:p>
      <w:pPr>
        <w:pStyle w:val="ListParagraph"/>
        <w:numPr>
          <w:ilvl w:val="0"/>
          <w:numId w:val="26"/>
        </w:numPr>
        <w:tabs>
          <w:tab w:pos="2381" w:val="left" w:leader="none"/>
          <w:tab w:pos="2382" w:val="left" w:leader="none"/>
        </w:tabs>
        <w:spacing w:line="240" w:lineRule="auto" w:before="1" w:after="0"/>
        <w:ind w:left="2381" w:right="1667" w:hanging="794"/>
        <w:jc w:val="left"/>
        <w:rPr>
          <w:sz w:val="13"/>
        </w:rPr>
      </w:pPr>
      <w:r>
        <w:rPr>
          <w:i/>
          <w:w w:val="105"/>
          <w:sz w:val="13"/>
        </w:rPr>
        <w:t>Traian v Ware </w:t>
      </w:r>
      <w:r>
        <w:rPr>
          <w:w w:val="105"/>
          <w:sz w:val="13"/>
        </w:rPr>
        <w:t>[1957] VR 200, </w:t>
      </w:r>
      <w:r>
        <w:rPr>
          <w:spacing w:val="-3"/>
          <w:w w:val="105"/>
          <w:sz w:val="13"/>
        </w:rPr>
        <w:t>207. </w:t>
      </w:r>
      <w:r>
        <w:rPr>
          <w:w w:val="105"/>
          <w:sz w:val="13"/>
        </w:rPr>
        <w:t>See also Kit Barker, Peter Cane, Mark Lunney and Francis Trindade, </w:t>
      </w:r>
      <w:r>
        <w:rPr>
          <w:i/>
          <w:w w:val="105"/>
          <w:sz w:val="13"/>
        </w:rPr>
        <w:t>The Law of Torts in Australia </w:t>
      </w:r>
      <w:r>
        <w:rPr>
          <w:spacing w:val="2"/>
          <w:w w:val="105"/>
          <w:sz w:val="13"/>
        </w:rPr>
        <w:t>(Oxford </w:t>
      </w:r>
      <w:r>
        <w:rPr>
          <w:w w:val="105"/>
          <w:sz w:val="13"/>
        </w:rPr>
        <w:t>University Press, 5th ed, 2012)</w:t>
      </w:r>
      <w:r>
        <w:rPr>
          <w:spacing w:val="22"/>
          <w:w w:val="105"/>
          <w:sz w:val="13"/>
        </w:rPr>
        <w:t> </w:t>
      </w:r>
      <w:r>
        <w:rPr>
          <w:w w:val="105"/>
          <w:sz w:val="13"/>
        </w:rPr>
        <w:t>[5.1.7.3].</w:t>
      </w:r>
    </w:p>
    <w:p>
      <w:pPr>
        <w:tabs>
          <w:tab w:pos="2381" w:val="left" w:leader="none"/>
        </w:tabs>
        <w:spacing w:before="3"/>
        <w:ind w:left="1587" w:right="0" w:firstLine="0"/>
        <w:jc w:val="left"/>
        <w:rPr>
          <w:sz w:val="13"/>
        </w:rPr>
      </w:pPr>
      <w:r>
        <w:rPr>
          <w:w w:val="105"/>
          <w:sz w:val="13"/>
        </w:rPr>
        <w:t>18</w:t>
        <w:tab/>
      </w:r>
      <w:r>
        <w:rPr>
          <w:i/>
          <w:w w:val="105"/>
          <w:sz w:val="13"/>
        </w:rPr>
        <w:t>Traian v Ware </w:t>
      </w:r>
      <w:r>
        <w:rPr>
          <w:w w:val="105"/>
          <w:sz w:val="13"/>
        </w:rPr>
        <w:t>[1957] VR 200,</w:t>
      </w:r>
      <w:r>
        <w:rPr>
          <w:spacing w:val="27"/>
          <w:w w:val="105"/>
          <w:sz w:val="13"/>
        </w:rPr>
        <w:t> </w:t>
      </w:r>
      <w:r>
        <w:rPr>
          <w:spacing w:val="-3"/>
          <w:w w:val="105"/>
          <w:sz w:val="13"/>
        </w:rPr>
        <w:t>207.</w:t>
      </w:r>
    </w:p>
    <w:p>
      <w:pPr>
        <w:pStyle w:val="ListParagraph"/>
        <w:numPr>
          <w:ilvl w:val="0"/>
          <w:numId w:val="27"/>
        </w:numPr>
        <w:tabs>
          <w:tab w:pos="2381" w:val="left" w:leader="none"/>
          <w:tab w:pos="2382" w:val="left" w:leader="none"/>
        </w:tabs>
        <w:spacing w:line="240" w:lineRule="auto" w:before="1" w:after="0"/>
        <w:ind w:left="2381" w:right="1491" w:hanging="794"/>
        <w:jc w:val="left"/>
        <w:rPr>
          <w:sz w:val="13"/>
        </w:rPr>
      </w:pPr>
      <w:r>
        <w:rPr>
          <w:i/>
          <w:w w:val="105"/>
          <w:sz w:val="13"/>
        </w:rPr>
        <w:t>Proprietors of Strata Plan No </w:t>
      </w:r>
      <w:r>
        <w:rPr>
          <w:i/>
          <w:spacing w:val="-4"/>
          <w:w w:val="105"/>
          <w:sz w:val="13"/>
        </w:rPr>
        <w:t>14198 </w:t>
      </w:r>
      <w:r>
        <w:rPr>
          <w:i/>
          <w:w w:val="105"/>
          <w:sz w:val="13"/>
        </w:rPr>
        <w:t>v Cowell </w:t>
      </w:r>
      <w:r>
        <w:rPr>
          <w:w w:val="105"/>
          <w:sz w:val="13"/>
        </w:rPr>
        <w:t>(1989) 24 </w:t>
      </w:r>
      <w:r>
        <w:rPr>
          <w:spacing w:val="2"/>
          <w:w w:val="105"/>
          <w:sz w:val="13"/>
        </w:rPr>
        <w:t>NSWLR </w:t>
      </w:r>
      <w:r>
        <w:rPr>
          <w:w w:val="105"/>
          <w:sz w:val="13"/>
        </w:rPr>
        <w:t>478, 487. Hodgson J continues: ‘However, I do not think that the law attached such</w:t>
      </w:r>
      <w:r>
        <w:rPr>
          <w:spacing w:val="4"/>
          <w:w w:val="105"/>
          <w:sz w:val="13"/>
        </w:rPr>
        <w:t> </w:t>
      </w:r>
      <w:r>
        <w:rPr>
          <w:w w:val="105"/>
          <w:sz w:val="13"/>
        </w:rPr>
        <w:t>a</w:t>
      </w:r>
      <w:r>
        <w:rPr>
          <w:spacing w:val="5"/>
          <w:w w:val="105"/>
          <w:sz w:val="13"/>
        </w:rPr>
        <w:t> </w:t>
      </w:r>
      <w:r>
        <w:rPr>
          <w:w w:val="105"/>
          <w:sz w:val="13"/>
        </w:rPr>
        <w:t>consequence</w:t>
      </w:r>
      <w:r>
        <w:rPr>
          <w:spacing w:val="5"/>
          <w:w w:val="105"/>
          <w:sz w:val="13"/>
        </w:rPr>
        <w:t> </w:t>
      </w:r>
      <w:r>
        <w:rPr>
          <w:w w:val="105"/>
          <w:sz w:val="13"/>
        </w:rPr>
        <w:t>to</w:t>
      </w:r>
      <w:r>
        <w:rPr>
          <w:spacing w:val="5"/>
          <w:w w:val="105"/>
          <w:sz w:val="13"/>
        </w:rPr>
        <w:t> </w:t>
      </w:r>
      <w:r>
        <w:rPr>
          <w:w w:val="105"/>
          <w:sz w:val="13"/>
        </w:rPr>
        <w:t>the</w:t>
      </w:r>
      <w:r>
        <w:rPr>
          <w:spacing w:val="5"/>
          <w:w w:val="105"/>
          <w:sz w:val="13"/>
        </w:rPr>
        <w:t> </w:t>
      </w:r>
      <w:r>
        <w:rPr>
          <w:w w:val="105"/>
          <w:sz w:val="13"/>
        </w:rPr>
        <w:t>taking</w:t>
      </w:r>
      <w:r>
        <w:rPr>
          <w:spacing w:val="5"/>
          <w:w w:val="105"/>
          <w:sz w:val="13"/>
        </w:rPr>
        <w:t> </w:t>
      </w:r>
      <w:r>
        <w:rPr>
          <w:w w:val="105"/>
          <w:sz w:val="13"/>
        </w:rPr>
        <w:t>of</w:t>
      </w:r>
      <w:r>
        <w:rPr>
          <w:spacing w:val="5"/>
          <w:w w:val="105"/>
          <w:sz w:val="13"/>
        </w:rPr>
        <w:t> </w:t>
      </w:r>
      <w:r>
        <w:rPr>
          <w:w w:val="105"/>
          <w:sz w:val="13"/>
        </w:rPr>
        <w:t>steps</w:t>
      </w:r>
      <w:r>
        <w:rPr>
          <w:spacing w:val="5"/>
          <w:w w:val="105"/>
          <w:sz w:val="13"/>
        </w:rPr>
        <w:t> </w:t>
      </w:r>
      <w:r>
        <w:rPr>
          <w:w w:val="105"/>
          <w:sz w:val="13"/>
        </w:rPr>
        <w:t>on</w:t>
      </w:r>
      <w:r>
        <w:rPr>
          <w:spacing w:val="5"/>
          <w:w w:val="105"/>
          <w:sz w:val="13"/>
        </w:rPr>
        <w:t> </w:t>
      </w:r>
      <w:r>
        <w:rPr>
          <w:w w:val="105"/>
          <w:sz w:val="13"/>
        </w:rPr>
        <w:t>one’s</w:t>
      </w:r>
      <w:r>
        <w:rPr>
          <w:spacing w:val="5"/>
          <w:w w:val="105"/>
          <w:sz w:val="13"/>
        </w:rPr>
        <w:t> </w:t>
      </w:r>
      <w:r>
        <w:rPr>
          <w:w w:val="105"/>
          <w:sz w:val="13"/>
        </w:rPr>
        <w:t>own</w:t>
      </w:r>
      <w:r>
        <w:rPr>
          <w:spacing w:val="5"/>
          <w:w w:val="105"/>
          <w:sz w:val="13"/>
        </w:rPr>
        <w:t> </w:t>
      </w:r>
      <w:r>
        <w:rPr>
          <w:w w:val="105"/>
          <w:sz w:val="13"/>
        </w:rPr>
        <w:t>land,</w:t>
      </w:r>
      <w:r>
        <w:rPr>
          <w:spacing w:val="4"/>
          <w:w w:val="105"/>
          <w:sz w:val="13"/>
        </w:rPr>
        <w:t> </w:t>
      </w:r>
      <w:r>
        <w:rPr>
          <w:w w:val="105"/>
          <w:sz w:val="13"/>
        </w:rPr>
        <w:t>such</w:t>
      </w:r>
      <w:r>
        <w:rPr>
          <w:spacing w:val="5"/>
          <w:w w:val="105"/>
          <w:sz w:val="13"/>
        </w:rPr>
        <w:t> </w:t>
      </w:r>
      <w:r>
        <w:rPr>
          <w:w w:val="105"/>
          <w:sz w:val="13"/>
        </w:rPr>
        <w:t>as</w:t>
      </w:r>
      <w:r>
        <w:rPr>
          <w:spacing w:val="5"/>
          <w:w w:val="105"/>
          <w:sz w:val="13"/>
        </w:rPr>
        <w:t> </w:t>
      </w:r>
      <w:r>
        <w:rPr>
          <w:w w:val="105"/>
          <w:sz w:val="13"/>
        </w:rPr>
        <w:t>the</w:t>
      </w:r>
      <w:r>
        <w:rPr>
          <w:spacing w:val="5"/>
          <w:w w:val="105"/>
          <w:sz w:val="13"/>
        </w:rPr>
        <w:t> </w:t>
      </w:r>
      <w:r>
        <w:rPr>
          <w:w w:val="105"/>
          <w:sz w:val="13"/>
        </w:rPr>
        <w:t>cutting</w:t>
      </w:r>
      <w:r>
        <w:rPr>
          <w:spacing w:val="5"/>
          <w:w w:val="105"/>
          <w:sz w:val="13"/>
        </w:rPr>
        <w:t> </w:t>
      </w:r>
      <w:r>
        <w:rPr>
          <w:w w:val="105"/>
          <w:sz w:val="13"/>
        </w:rPr>
        <w:t>back</w:t>
      </w:r>
      <w:r>
        <w:rPr>
          <w:spacing w:val="5"/>
          <w:w w:val="105"/>
          <w:sz w:val="13"/>
        </w:rPr>
        <w:t> </w:t>
      </w:r>
      <w:r>
        <w:rPr>
          <w:w w:val="105"/>
          <w:sz w:val="13"/>
        </w:rPr>
        <w:t>of</w:t>
      </w:r>
      <w:r>
        <w:rPr>
          <w:spacing w:val="5"/>
          <w:w w:val="105"/>
          <w:sz w:val="13"/>
        </w:rPr>
        <w:t> </w:t>
      </w:r>
      <w:r>
        <w:rPr>
          <w:w w:val="105"/>
          <w:sz w:val="13"/>
        </w:rPr>
        <w:t>tree</w:t>
      </w:r>
      <w:r>
        <w:rPr>
          <w:spacing w:val="5"/>
          <w:w w:val="105"/>
          <w:sz w:val="13"/>
        </w:rPr>
        <w:t> </w:t>
      </w:r>
      <w:r>
        <w:rPr>
          <w:w w:val="105"/>
          <w:sz w:val="13"/>
        </w:rPr>
        <w:t>branches</w:t>
      </w:r>
      <w:r>
        <w:rPr>
          <w:spacing w:val="5"/>
          <w:w w:val="105"/>
          <w:sz w:val="13"/>
        </w:rPr>
        <w:t> </w:t>
      </w:r>
      <w:r>
        <w:rPr>
          <w:w w:val="105"/>
          <w:sz w:val="13"/>
        </w:rPr>
        <w:t>or</w:t>
      </w:r>
      <w:r>
        <w:rPr>
          <w:spacing w:val="5"/>
          <w:w w:val="105"/>
          <w:sz w:val="13"/>
        </w:rPr>
        <w:t> </w:t>
      </w:r>
      <w:r>
        <w:rPr>
          <w:w w:val="105"/>
          <w:sz w:val="13"/>
        </w:rPr>
        <w:t>tree</w:t>
      </w:r>
      <w:r>
        <w:rPr>
          <w:spacing w:val="5"/>
          <w:w w:val="105"/>
          <w:sz w:val="13"/>
        </w:rPr>
        <w:t> </w:t>
      </w:r>
      <w:r>
        <w:rPr>
          <w:w w:val="105"/>
          <w:sz w:val="13"/>
        </w:rPr>
        <w:t>roots.’</w:t>
      </w:r>
    </w:p>
    <w:p>
      <w:pPr>
        <w:pStyle w:val="ListParagraph"/>
        <w:numPr>
          <w:ilvl w:val="0"/>
          <w:numId w:val="27"/>
        </w:numPr>
        <w:tabs>
          <w:tab w:pos="2381" w:val="left" w:leader="none"/>
          <w:tab w:pos="2382" w:val="left" w:leader="none"/>
        </w:tabs>
        <w:spacing w:line="240" w:lineRule="auto" w:before="3" w:after="0"/>
        <w:ind w:left="2381" w:right="1581" w:hanging="794"/>
        <w:jc w:val="left"/>
        <w:rPr>
          <w:sz w:val="13"/>
        </w:rPr>
      </w:pPr>
      <w:r>
        <w:rPr>
          <w:w w:val="105"/>
          <w:sz w:val="13"/>
        </w:rPr>
        <w:t>Dispute Settlement Centre of Victoria, </w:t>
      </w:r>
      <w:r>
        <w:rPr>
          <w:i/>
          <w:w w:val="105"/>
          <w:sz w:val="13"/>
        </w:rPr>
        <w:t>Trees </w:t>
      </w:r>
      <w:r>
        <w:rPr>
          <w:w w:val="105"/>
          <w:sz w:val="13"/>
        </w:rPr>
        <w:t>(Web Page, 24 April 2019) </w:t>
      </w:r>
      <w:r>
        <w:rPr>
          <w:spacing w:val="2"/>
          <w:w w:val="105"/>
          <w:sz w:val="13"/>
        </w:rPr>
        <w:t>&lt;</w:t>
      </w:r>
      <w:hyperlink r:id="rId57">
        <w:r>
          <w:rPr>
            <w:spacing w:val="2"/>
            <w:w w:val="105"/>
            <w:sz w:val="13"/>
          </w:rPr>
          <w:t>https://www.disputes.vic.gov.au/information-and-advice/trees-0</w:t>
        </w:r>
      </w:hyperlink>
      <w:r>
        <w:rPr>
          <w:spacing w:val="2"/>
          <w:w w:val="105"/>
          <w:sz w:val="13"/>
        </w:rPr>
        <w:t>&gt;; </w:t>
      </w:r>
      <w:r>
        <w:rPr>
          <w:w w:val="105"/>
          <w:sz w:val="13"/>
        </w:rPr>
        <w:t>Victoria Law Foundation, ‘</w:t>
      </w:r>
      <w:r>
        <w:rPr>
          <w:i/>
          <w:w w:val="105"/>
          <w:sz w:val="13"/>
        </w:rPr>
        <w:t>Neighbours, the Law and You: Your Guide to Neighbourhood  Laws  in  Victoria</w:t>
      </w:r>
      <w:r>
        <w:rPr>
          <w:w w:val="105"/>
          <w:sz w:val="13"/>
        </w:rPr>
        <w:t>’,  </w:t>
      </w:r>
      <w:r>
        <w:rPr>
          <w:i/>
          <w:w w:val="105"/>
          <w:sz w:val="13"/>
        </w:rPr>
        <w:t>Victoria  Legal  Aid  </w:t>
      </w:r>
      <w:r>
        <w:rPr>
          <w:w w:val="105"/>
          <w:sz w:val="13"/>
        </w:rPr>
        <w:t>(Brochure, March</w:t>
      </w:r>
      <w:r>
        <w:rPr>
          <w:spacing w:val="-13"/>
          <w:w w:val="105"/>
          <w:sz w:val="13"/>
        </w:rPr>
        <w:t> </w:t>
      </w:r>
      <w:r>
        <w:rPr>
          <w:w w:val="105"/>
          <w:sz w:val="13"/>
        </w:rPr>
        <w:t>2015)</w:t>
      </w:r>
      <w:r>
        <w:rPr>
          <w:spacing w:val="-12"/>
          <w:w w:val="105"/>
          <w:sz w:val="13"/>
        </w:rPr>
        <w:t> </w:t>
      </w:r>
      <w:r>
        <w:rPr>
          <w:spacing w:val="2"/>
          <w:w w:val="105"/>
          <w:sz w:val="13"/>
        </w:rPr>
        <w:t>&lt;https://</w:t>
      </w:r>
      <w:hyperlink r:id="rId58">
        <w:r>
          <w:rPr>
            <w:spacing w:val="2"/>
            <w:w w:val="105"/>
            <w:sz w:val="13"/>
          </w:rPr>
          <w:t>www.legalaid.vic.gov.au/find-legal-answers/free-publications-and-resources/neighbours-law-and-you</w:t>
        </w:r>
      </w:hyperlink>
      <w:r>
        <w:rPr>
          <w:spacing w:val="2"/>
          <w:w w:val="105"/>
          <w:sz w:val="13"/>
        </w:rPr>
        <w:t>&gt;;</w:t>
      </w:r>
      <w:r>
        <w:rPr>
          <w:spacing w:val="-13"/>
          <w:w w:val="105"/>
          <w:sz w:val="13"/>
        </w:rPr>
        <w:t> </w:t>
      </w:r>
      <w:r>
        <w:rPr>
          <w:w w:val="105"/>
          <w:sz w:val="13"/>
        </w:rPr>
        <w:t>Peter</w:t>
      </w:r>
      <w:r>
        <w:rPr>
          <w:spacing w:val="-12"/>
          <w:w w:val="105"/>
          <w:sz w:val="13"/>
        </w:rPr>
        <w:t> </w:t>
      </w:r>
      <w:r>
        <w:rPr>
          <w:w w:val="105"/>
          <w:sz w:val="13"/>
        </w:rPr>
        <w:t>Cotter, ‘Neighbour</w:t>
      </w:r>
      <w:r>
        <w:rPr>
          <w:spacing w:val="6"/>
          <w:w w:val="105"/>
          <w:sz w:val="13"/>
        </w:rPr>
        <w:t> </w:t>
      </w:r>
      <w:r>
        <w:rPr>
          <w:w w:val="105"/>
          <w:sz w:val="13"/>
        </w:rPr>
        <w:t>Disputes’</w:t>
      </w:r>
      <w:r>
        <w:rPr>
          <w:spacing w:val="7"/>
          <w:w w:val="105"/>
          <w:sz w:val="13"/>
        </w:rPr>
        <w:t> </w:t>
      </w:r>
      <w:r>
        <w:rPr>
          <w:w w:val="105"/>
          <w:sz w:val="13"/>
        </w:rPr>
        <w:t>in</w:t>
      </w:r>
      <w:r>
        <w:rPr>
          <w:spacing w:val="7"/>
          <w:w w:val="105"/>
          <w:sz w:val="13"/>
        </w:rPr>
        <w:t> </w:t>
      </w:r>
      <w:r>
        <w:rPr>
          <w:w w:val="105"/>
          <w:sz w:val="13"/>
        </w:rPr>
        <w:t>Naomi</w:t>
      </w:r>
      <w:r>
        <w:rPr>
          <w:spacing w:val="7"/>
          <w:w w:val="105"/>
          <w:sz w:val="13"/>
        </w:rPr>
        <w:t> </w:t>
      </w:r>
      <w:r>
        <w:rPr>
          <w:w w:val="105"/>
          <w:sz w:val="13"/>
        </w:rPr>
        <w:t>Saligari</w:t>
      </w:r>
      <w:r>
        <w:rPr>
          <w:spacing w:val="7"/>
          <w:w w:val="105"/>
          <w:sz w:val="13"/>
        </w:rPr>
        <w:t> </w:t>
      </w:r>
      <w:r>
        <w:rPr>
          <w:spacing w:val="2"/>
          <w:w w:val="105"/>
          <w:sz w:val="13"/>
        </w:rPr>
        <w:t>(ed),</w:t>
      </w:r>
      <w:r>
        <w:rPr>
          <w:spacing w:val="7"/>
          <w:w w:val="105"/>
          <w:sz w:val="13"/>
        </w:rPr>
        <w:t> </w:t>
      </w:r>
      <w:r>
        <w:rPr>
          <w:i/>
          <w:w w:val="105"/>
          <w:sz w:val="13"/>
        </w:rPr>
        <w:t>The</w:t>
      </w:r>
      <w:r>
        <w:rPr>
          <w:i/>
          <w:spacing w:val="7"/>
          <w:w w:val="105"/>
          <w:sz w:val="13"/>
        </w:rPr>
        <w:t> </w:t>
      </w:r>
      <w:r>
        <w:rPr>
          <w:i/>
          <w:w w:val="105"/>
          <w:sz w:val="13"/>
        </w:rPr>
        <w:t>Law</w:t>
      </w:r>
      <w:r>
        <w:rPr>
          <w:i/>
          <w:spacing w:val="7"/>
          <w:w w:val="105"/>
          <w:sz w:val="13"/>
        </w:rPr>
        <w:t> </w:t>
      </w:r>
      <w:r>
        <w:rPr>
          <w:i/>
          <w:w w:val="105"/>
          <w:sz w:val="13"/>
        </w:rPr>
        <w:t>Handbook</w:t>
      </w:r>
      <w:r>
        <w:rPr>
          <w:i/>
          <w:spacing w:val="7"/>
          <w:w w:val="105"/>
          <w:sz w:val="13"/>
        </w:rPr>
        <w:t> </w:t>
      </w:r>
      <w:r>
        <w:rPr>
          <w:i/>
          <w:w w:val="105"/>
          <w:sz w:val="13"/>
        </w:rPr>
        <w:t>2019:</w:t>
      </w:r>
      <w:r>
        <w:rPr>
          <w:i/>
          <w:spacing w:val="7"/>
          <w:w w:val="105"/>
          <w:sz w:val="13"/>
        </w:rPr>
        <w:t> </w:t>
      </w:r>
      <w:r>
        <w:rPr>
          <w:i/>
          <w:w w:val="105"/>
          <w:sz w:val="13"/>
        </w:rPr>
        <w:t>Your</w:t>
      </w:r>
      <w:r>
        <w:rPr>
          <w:i/>
          <w:spacing w:val="7"/>
          <w:w w:val="105"/>
          <w:sz w:val="13"/>
        </w:rPr>
        <w:t> </w:t>
      </w:r>
      <w:r>
        <w:rPr>
          <w:i/>
          <w:w w:val="105"/>
          <w:sz w:val="13"/>
        </w:rPr>
        <w:t>Practical</w:t>
      </w:r>
      <w:r>
        <w:rPr>
          <w:i/>
          <w:spacing w:val="7"/>
          <w:w w:val="105"/>
          <w:sz w:val="13"/>
        </w:rPr>
        <w:t> </w:t>
      </w:r>
      <w:r>
        <w:rPr>
          <w:i/>
          <w:w w:val="105"/>
          <w:sz w:val="13"/>
        </w:rPr>
        <w:t>Guide</w:t>
      </w:r>
      <w:r>
        <w:rPr>
          <w:i/>
          <w:spacing w:val="7"/>
          <w:w w:val="105"/>
          <w:sz w:val="13"/>
        </w:rPr>
        <w:t> </w:t>
      </w:r>
      <w:r>
        <w:rPr>
          <w:i/>
          <w:w w:val="105"/>
          <w:sz w:val="13"/>
        </w:rPr>
        <w:t>to</w:t>
      </w:r>
      <w:r>
        <w:rPr>
          <w:i/>
          <w:spacing w:val="7"/>
          <w:w w:val="105"/>
          <w:sz w:val="13"/>
        </w:rPr>
        <w:t> </w:t>
      </w:r>
      <w:r>
        <w:rPr>
          <w:i/>
          <w:w w:val="105"/>
          <w:sz w:val="13"/>
        </w:rPr>
        <w:t>the</w:t>
      </w:r>
      <w:r>
        <w:rPr>
          <w:i/>
          <w:spacing w:val="7"/>
          <w:w w:val="105"/>
          <w:sz w:val="13"/>
        </w:rPr>
        <w:t> </w:t>
      </w:r>
      <w:r>
        <w:rPr>
          <w:i/>
          <w:w w:val="105"/>
          <w:sz w:val="13"/>
        </w:rPr>
        <w:t>Law</w:t>
      </w:r>
      <w:r>
        <w:rPr>
          <w:i/>
          <w:spacing w:val="7"/>
          <w:w w:val="105"/>
          <w:sz w:val="13"/>
        </w:rPr>
        <w:t> </w:t>
      </w:r>
      <w:r>
        <w:rPr>
          <w:i/>
          <w:w w:val="105"/>
          <w:sz w:val="13"/>
        </w:rPr>
        <w:t>in</w:t>
      </w:r>
      <w:r>
        <w:rPr>
          <w:i/>
          <w:spacing w:val="7"/>
          <w:w w:val="105"/>
          <w:sz w:val="13"/>
        </w:rPr>
        <w:t> </w:t>
      </w:r>
      <w:r>
        <w:rPr>
          <w:i/>
          <w:w w:val="105"/>
          <w:sz w:val="13"/>
        </w:rPr>
        <w:t>Victoria</w:t>
      </w:r>
      <w:r>
        <w:rPr>
          <w:i/>
          <w:spacing w:val="7"/>
          <w:w w:val="105"/>
          <w:sz w:val="13"/>
        </w:rPr>
        <w:t> </w:t>
      </w:r>
      <w:r>
        <w:rPr>
          <w:w w:val="105"/>
          <w:sz w:val="13"/>
        </w:rPr>
        <w:t>(Fitzroy</w:t>
      </w:r>
      <w:r>
        <w:rPr>
          <w:spacing w:val="7"/>
          <w:w w:val="105"/>
          <w:sz w:val="13"/>
        </w:rPr>
        <w:t> </w:t>
      </w:r>
      <w:r>
        <w:rPr>
          <w:w w:val="105"/>
          <w:sz w:val="13"/>
        </w:rPr>
        <w:t>Legal</w:t>
      </w:r>
      <w:r>
        <w:rPr>
          <w:spacing w:val="7"/>
          <w:w w:val="105"/>
          <w:sz w:val="13"/>
        </w:rPr>
        <w:t> </w:t>
      </w:r>
      <w:r>
        <w:rPr>
          <w:w w:val="105"/>
          <w:sz w:val="13"/>
        </w:rPr>
        <w:t>Service,</w:t>
      </w:r>
    </w:p>
    <w:p>
      <w:pPr>
        <w:spacing w:before="5"/>
        <w:ind w:left="2381" w:right="0" w:firstLine="0"/>
        <w:jc w:val="left"/>
        <w:rPr>
          <w:sz w:val="13"/>
        </w:rPr>
      </w:pPr>
      <w:r>
        <w:rPr>
          <w:w w:val="105"/>
          <w:sz w:val="13"/>
        </w:rPr>
        <w:t>41st ed, 2019) 543–4.</w:t>
      </w:r>
    </w:p>
    <w:p>
      <w:pPr>
        <w:pStyle w:val="ListParagraph"/>
        <w:numPr>
          <w:ilvl w:val="0"/>
          <w:numId w:val="27"/>
        </w:numPr>
        <w:tabs>
          <w:tab w:pos="2381" w:val="left" w:leader="none"/>
          <w:tab w:pos="2382" w:val="left" w:leader="none"/>
        </w:tabs>
        <w:spacing w:line="240" w:lineRule="auto" w:before="1" w:after="0"/>
        <w:ind w:left="2381" w:right="1780" w:hanging="794"/>
        <w:jc w:val="left"/>
        <w:rPr>
          <w:sz w:val="13"/>
        </w:rPr>
      </w:pPr>
      <w:r>
        <w:rPr>
          <w:w w:val="105"/>
          <w:sz w:val="13"/>
        </w:rPr>
        <w:t>See, eg, City of Boroondara, </w:t>
      </w:r>
      <w:r>
        <w:rPr>
          <w:i/>
          <w:w w:val="105"/>
          <w:sz w:val="13"/>
        </w:rPr>
        <w:t>Neighbouring Trees </w:t>
      </w:r>
      <w:r>
        <w:rPr>
          <w:w w:val="105"/>
          <w:sz w:val="13"/>
        </w:rPr>
        <w:t>(Web Page, 2019) </w:t>
      </w:r>
      <w:r>
        <w:rPr>
          <w:spacing w:val="2"/>
          <w:w w:val="105"/>
          <w:sz w:val="13"/>
        </w:rPr>
        <w:t>&lt;https://</w:t>
      </w:r>
      <w:hyperlink r:id="rId59">
        <w:r>
          <w:rPr>
            <w:spacing w:val="2"/>
            <w:w w:val="105"/>
            <w:sz w:val="13"/>
          </w:rPr>
          <w:t>www.boroondara.vic.gov.au/waste-environment/trees-and-</w:t>
        </w:r>
      </w:hyperlink>
      <w:r>
        <w:rPr>
          <w:spacing w:val="2"/>
          <w:w w:val="105"/>
          <w:sz w:val="13"/>
        </w:rPr>
        <w:t> </w:t>
      </w:r>
      <w:r>
        <w:rPr>
          <w:w w:val="105"/>
          <w:sz w:val="13"/>
        </w:rPr>
        <w:t>naturestrips/neighbouring-trees&gt;.</w:t>
      </w:r>
    </w:p>
    <w:p>
      <w:pPr>
        <w:pStyle w:val="ListParagraph"/>
        <w:numPr>
          <w:ilvl w:val="0"/>
          <w:numId w:val="27"/>
        </w:numPr>
        <w:tabs>
          <w:tab w:pos="2381" w:val="left" w:leader="none"/>
          <w:tab w:pos="2382" w:val="left" w:leader="none"/>
        </w:tabs>
        <w:spacing w:line="240" w:lineRule="auto" w:before="3" w:after="0"/>
        <w:ind w:left="2381" w:right="1995" w:hanging="794"/>
        <w:jc w:val="left"/>
        <w:rPr>
          <w:sz w:val="13"/>
        </w:rPr>
      </w:pPr>
      <w:r>
        <w:rPr/>
        <w:pict>
          <v:shape style="position:absolute;margin-left:36pt;margin-top:3.088265pt;width:13.35pt;height:14.25pt;mso-position-horizontal-relative:page;mso-position-vertical-relative:paragraph;z-index:3016" type="#_x0000_t202" filled="false" stroked="false">
            <v:textbox inset="0,0,0,0">
              <w:txbxContent>
                <w:p>
                  <w:pPr>
                    <w:spacing w:line="284" w:lineRule="exact" w:before="0"/>
                    <w:ind w:left="0" w:right="0" w:firstLine="0"/>
                    <w:jc w:val="left"/>
                    <w:rPr>
                      <w:b/>
                      <w:sz w:val="24"/>
                    </w:rPr>
                  </w:pPr>
                  <w:r>
                    <w:rPr>
                      <w:b/>
                      <w:color w:val="658464"/>
                      <w:w w:val="105"/>
                      <w:sz w:val="24"/>
                    </w:rPr>
                    <w:t>28</w:t>
                  </w:r>
                </w:p>
              </w:txbxContent>
            </v:textbox>
            <w10:wrap type="none"/>
          </v:shape>
        </w:pict>
      </w:r>
      <w:r>
        <w:rPr>
          <w:w w:val="105"/>
          <w:sz w:val="13"/>
        </w:rPr>
        <w:t>Dispute Settlement Centre of Victoria, </w:t>
      </w:r>
      <w:r>
        <w:rPr>
          <w:i/>
          <w:w w:val="105"/>
          <w:sz w:val="13"/>
        </w:rPr>
        <w:t>Dispute Advice </w:t>
      </w:r>
      <w:r>
        <w:rPr>
          <w:w w:val="105"/>
          <w:sz w:val="13"/>
        </w:rPr>
        <w:t>(Web Page, 4 April 2019) &lt;https://</w:t>
      </w:r>
      <w:hyperlink r:id="rId60">
        <w:r>
          <w:rPr>
            <w:w w:val="105"/>
            <w:sz w:val="13"/>
          </w:rPr>
          <w:t>www.disputes.vic.gov.au/about-us/dispute-</w:t>
        </w:r>
      </w:hyperlink>
      <w:r>
        <w:rPr>
          <w:w w:val="105"/>
          <w:sz w:val="13"/>
        </w:rPr>
        <w:t> </w:t>
      </w:r>
      <w:r>
        <w:rPr>
          <w:spacing w:val="2"/>
          <w:w w:val="105"/>
          <w:sz w:val="13"/>
        </w:rPr>
        <w:t>advice-0&gt;.</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16"/>
        </w:numPr>
        <w:tabs>
          <w:tab w:pos="2382" w:val="left" w:leader="none"/>
        </w:tabs>
        <w:spacing w:line="242" w:lineRule="auto" w:before="91" w:after="0"/>
        <w:ind w:left="2381" w:right="1731" w:hanging="794"/>
        <w:jc w:val="both"/>
        <w:rPr>
          <w:sz w:val="21"/>
        </w:rPr>
      </w:pPr>
      <w:bookmarkStart w:name="Alternative dispute resolution" w:id="65"/>
      <w:bookmarkEnd w:id="65"/>
      <w:r>
        <w:rPr/>
      </w:r>
      <w:bookmarkStart w:name="_bookmark23" w:id="66"/>
      <w:bookmarkEnd w:id="66"/>
      <w:r>
        <w:rPr/>
      </w:r>
      <w:bookmarkStart w:name="_bookmark23" w:id="67"/>
      <w:bookmarkEnd w:id="67"/>
      <w:r>
        <w:rPr>
          <w:sz w:val="21"/>
        </w:rPr>
        <w:t>N</w:t>
      </w:r>
      <w:r>
        <w:rPr>
          <w:sz w:val="21"/>
        </w:rPr>
        <w:t>eighbours </w:t>
      </w:r>
      <w:r>
        <w:rPr>
          <w:spacing w:val="-3"/>
          <w:sz w:val="21"/>
        </w:rPr>
        <w:t>may </w:t>
      </w:r>
      <w:r>
        <w:rPr>
          <w:sz w:val="21"/>
        </w:rPr>
        <w:t>also contact an arborist </w:t>
      </w:r>
      <w:r>
        <w:rPr>
          <w:spacing w:val="-3"/>
          <w:sz w:val="21"/>
        </w:rPr>
        <w:t>to </w:t>
      </w:r>
      <w:r>
        <w:rPr>
          <w:sz w:val="21"/>
        </w:rPr>
        <w:t>obtain </w:t>
      </w:r>
      <w:r>
        <w:rPr>
          <w:spacing w:val="-3"/>
          <w:sz w:val="21"/>
        </w:rPr>
        <w:t>quotes for </w:t>
      </w:r>
      <w:r>
        <w:rPr>
          <w:sz w:val="21"/>
        </w:rPr>
        <w:t>tree works or </w:t>
      </w:r>
      <w:r>
        <w:rPr>
          <w:spacing w:val="-3"/>
          <w:sz w:val="21"/>
        </w:rPr>
        <w:t>to </w:t>
      </w:r>
      <w:r>
        <w:rPr>
          <w:sz w:val="21"/>
        </w:rPr>
        <w:t>assess the </w:t>
      </w:r>
      <w:r>
        <w:rPr>
          <w:spacing w:val="-3"/>
          <w:sz w:val="21"/>
        </w:rPr>
        <w:t>health </w:t>
      </w:r>
      <w:r>
        <w:rPr>
          <w:sz w:val="21"/>
        </w:rPr>
        <w:t>of the </w:t>
      </w:r>
      <w:r>
        <w:rPr>
          <w:spacing w:val="-3"/>
          <w:sz w:val="21"/>
        </w:rPr>
        <w:t>tree. </w:t>
      </w:r>
      <w:r>
        <w:rPr>
          <w:sz w:val="21"/>
        </w:rPr>
        <w:t>If </w:t>
      </w:r>
      <w:r>
        <w:rPr>
          <w:spacing w:val="-3"/>
          <w:sz w:val="21"/>
        </w:rPr>
        <w:t>informal </w:t>
      </w:r>
      <w:r>
        <w:rPr>
          <w:sz w:val="21"/>
        </w:rPr>
        <w:t>resolution is ineffective, neighbours </w:t>
      </w:r>
      <w:r>
        <w:rPr>
          <w:spacing w:val="-3"/>
          <w:sz w:val="21"/>
        </w:rPr>
        <w:t>may </w:t>
      </w:r>
      <w:r>
        <w:rPr>
          <w:sz w:val="21"/>
        </w:rPr>
        <w:t>elect </w:t>
      </w:r>
      <w:r>
        <w:rPr>
          <w:spacing w:val="-3"/>
          <w:sz w:val="21"/>
        </w:rPr>
        <w:t>to </w:t>
      </w:r>
      <w:r>
        <w:rPr>
          <w:sz w:val="21"/>
        </w:rPr>
        <w:t>engage in </w:t>
      </w:r>
      <w:r>
        <w:rPr>
          <w:spacing w:val="-3"/>
          <w:sz w:val="21"/>
        </w:rPr>
        <w:t>alternative dispute </w:t>
      </w:r>
      <w:r>
        <w:rPr>
          <w:sz w:val="21"/>
        </w:rPr>
        <w:t>resolution or </w:t>
      </w:r>
      <w:r>
        <w:rPr>
          <w:spacing w:val="-3"/>
          <w:sz w:val="21"/>
        </w:rPr>
        <w:t>take </w:t>
      </w:r>
      <w:r>
        <w:rPr>
          <w:sz w:val="21"/>
        </w:rPr>
        <w:t>legal action by going </w:t>
      </w:r>
      <w:r>
        <w:rPr>
          <w:spacing w:val="-3"/>
          <w:sz w:val="21"/>
        </w:rPr>
        <w:t>to</w:t>
      </w:r>
      <w:r>
        <w:rPr>
          <w:spacing w:val="-16"/>
          <w:sz w:val="21"/>
        </w:rPr>
        <w:t> </w:t>
      </w:r>
      <w:r>
        <w:rPr>
          <w:sz w:val="21"/>
        </w:rPr>
        <w:t>court.</w:t>
      </w:r>
    </w:p>
    <w:p>
      <w:pPr>
        <w:pStyle w:val="BodyText"/>
        <w:spacing w:before="11"/>
      </w:pPr>
    </w:p>
    <w:p>
      <w:pPr>
        <w:pStyle w:val="Heading4"/>
      </w:pPr>
      <w:r>
        <w:rPr>
          <w:color w:val="658464"/>
          <w:w w:val="115"/>
        </w:rPr>
        <w:t>Alternative dispute resolution</w:t>
      </w:r>
    </w:p>
    <w:p>
      <w:pPr>
        <w:pStyle w:val="ListParagraph"/>
        <w:numPr>
          <w:ilvl w:val="1"/>
          <w:numId w:val="16"/>
        </w:numPr>
        <w:tabs>
          <w:tab w:pos="2380" w:val="left" w:leader="none"/>
          <w:tab w:pos="2381" w:val="left" w:leader="none"/>
        </w:tabs>
        <w:spacing w:line="242" w:lineRule="auto" w:before="155" w:after="0"/>
        <w:ind w:left="2381" w:right="1585" w:hanging="794"/>
        <w:jc w:val="left"/>
        <w:rPr>
          <w:sz w:val="21"/>
        </w:rPr>
      </w:pPr>
      <w:r>
        <w:rPr>
          <w:spacing w:val="-3"/>
          <w:sz w:val="21"/>
        </w:rPr>
        <w:t>Alternative dispute </w:t>
      </w:r>
      <w:r>
        <w:rPr>
          <w:sz w:val="21"/>
        </w:rPr>
        <w:t>resolution (ADR) refers </w:t>
      </w:r>
      <w:r>
        <w:rPr>
          <w:spacing w:val="-3"/>
          <w:sz w:val="21"/>
        </w:rPr>
        <w:t>to </w:t>
      </w:r>
      <w:r>
        <w:rPr>
          <w:sz w:val="21"/>
        </w:rPr>
        <w:t>a decision-making process other </w:t>
      </w:r>
      <w:r>
        <w:rPr>
          <w:spacing w:val="-3"/>
          <w:sz w:val="21"/>
        </w:rPr>
        <w:t>than judicial determination </w:t>
      </w:r>
      <w:r>
        <w:rPr>
          <w:sz w:val="21"/>
        </w:rPr>
        <w:t>(by a court or tribunal), in which an impartial person helps parties resolve their </w:t>
      </w:r>
      <w:r>
        <w:rPr>
          <w:spacing w:val="-3"/>
          <w:sz w:val="21"/>
        </w:rPr>
        <w:t>dispute. </w:t>
      </w:r>
      <w:r>
        <w:rPr>
          <w:sz w:val="21"/>
        </w:rPr>
        <w:t>There </w:t>
      </w:r>
      <w:r>
        <w:rPr>
          <w:spacing w:val="-3"/>
          <w:sz w:val="21"/>
        </w:rPr>
        <w:t>are many forms </w:t>
      </w:r>
      <w:r>
        <w:rPr>
          <w:sz w:val="21"/>
        </w:rPr>
        <w:t>of ADR, </w:t>
      </w:r>
      <w:r>
        <w:rPr>
          <w:spacing w:val="-3"/>
          <w:sz w:val="21"/>
        </w:rPr>
        <w:t>ranging from </w:t>
      </w:r>
      <w:r>
        <w:rPr>
          <w:sz w:val="21"/>
        </w:rPr>
        <w:t>the </w:t>
      </w:r>
      <w:r>
        <w:rPr>
          <w:spacing w:val="-3"/>
          <w:sz w:val="21"/>
        </w:rPr>
        <w:t>facilitative </w:t>
      </w:r>
      <w:r>
        <w:rPr>
          <w:sz w:val="21"/>
        </w:rPr>
        <w:t>and exploratory (mediation), active and advisory (conciliation), </w:t>
      </w:r>
      <w:r>
        <w:rPr>
          <w:spacing w:val="-3"/>
          <w:sz w:val="21"/>
        </w:rPr>
        <w:t>through to </w:t>
      </w:r>
      <w:r>
        <w:rPr>
          <w:sz w:val="21"/>
        </w:rPr>
        <w:t>processes </w:t>
      </w:r>
      <w:r>
        <w:rPr>
          <w:spacing w:val="-3"/>
          <w:sz w:val="21"/>
        </w:rPr>
        <w:t>that </w:t>
      </w:r>
      <w:r>
        <w:rPr>
          <w:sz w:val="21"/>
        </w:rPr>
        <w:t>decide the </w:t>
      </w:r>
      <w:r>
        <w:rPr>
          <w:spacing w:val="-3"/>
          <w:sz w:val="21"/>
        </w:rPr>
        <w:t>result </w:t>
      </w:r>
      <w:r>
        <w:rPr>
          <w:sz w:val="21"/>
        </w:rPr>
        <w:t>(arbitration).</w:t>
      </w:r>
      <w:r>
        <w:rPr>
          <w:position w:val="7"/>
          <w:sz w:val="12"/>
        </w:rPr>
        <w:t>23</w:t>
      </w:r>
    </w:p>
    <w:p>
      <w:pPr>
        <w:pStyle w:val="ListParagraph"/>
        <w:numPr>
          <w:ilvl w:val="1"/>
          <w:numId w:val="16"/>
        </w:numPr>
        <w:tabs>
          <w:tab w:pos="2380" w:val="left" w:leader="none"/>
          <w:tab w:pos="2381" w:val="left" w:leader="none"/>
        </w:tabs>
        <w:spacing w:line="242" w:lineRule="auto" w:before="125" w:after="0"/>
        <w:ind w:left="2381" w:right="1606" w:hanging="794"/>
        <w:jc w:val="left"/>
        <w:rPr>
          <w:sz w:val="21"/>
        </w:rPr>
      </w:pPr>
      <w:r>
        <w:rPr>
          <w:w w:val="105"/>
          <w:sz w:val="21"/>
        </w:rPr>
        <w:t>There</w:t>
      </w:r>
      <w:r>
        <w:rPr>
          <w:spacing w:val="-5"/>
          <w:w w:val="105"/>
          <w:sz w:val="21"/>
        </w:rPr>
        <w:t> </w:t>
      </w:r>
      <w:r>
        <w:rPr>
          <w:spacing w:val="-3"/>
          <w:w w:val="105"/>
          <w:sz w:val="21"/>
        </w:rPr>
        <w:t>are</w:t>
      </w:r>
      <w:r>
        <w:rPr>
          <w:spacing w:val="-4"/>
          <w:w w:val="105"/>
          <w:sz w:val="21"/>
        </w:rPr>
        <w:t> </w:t>
      </w:r>
      <w:r>
        <w:rPr>
          <w:spacing w:val="-3"/>
          <w:w w:val="105"/>
          <w:sz w:val="21"/>
        </w:rPr>
        <w:t>many</w:t>
      </w:r>
      <w:r>
        <w:rPr>
          <w:spacing w:val="-5"/>
          <w:w w:val="105"/>
          <w:sz w:val="21"/>
        </w:rPr>
        <w:t> </w:t>
      </w:r>
      <w:r>
        <w:rPr>
          <w:spacing w:val="-3"/>
          <w:w w:val="105"/>
          <w:sz w:val="21"/>
        </w:rPr>
        <w:t>private</w:t>
      </w:r>
      <w:r>
        <w:rPr>
          <w:spacing w:val="-4"/>
          <w:w w:val="105"/>
          <w:sz w:val="21"/>
        </w:rPr>
        <w:t> </w:t>
      </w:r>
      <w:r>
        <w:rPr>
          <w:w w:val="105"/>
          <w:sz w:val="21"/>
        </w:rPr>
        <w:t>ADR</w:t>
      </w:r>
      <w:r>
        <w:rPr>
          <w:spacing w:val="-5"/>
          <w:w w:val="105"/>
          <w:sz w:val="21"/>
        </w:rPr>
        <w:t> </w:t>
      </w:r>
      <w:r>
        <w:rPr>
          <w:w w:val="105"/>
          <w:sz w:val="21"/>
        </w:rPr>
        <w:t>practitioners</w:t>
      </w:r>
      <w:r>
        <w:rPr>
          <w:spacing w:val="-4"/>
          <w:w w:val="105"/>
          <w:sz w:val="21"/>
        </w:rPr>
        <w:t> </w:t>
      </w:r>
      <w:r>
        <w:rPr>
          <w:w w:val="105"/>
          <w:sz w:val="21"/>
        </w:rPr>
        <w:t>who</w:t>
      </w:r>
      <w:r>
        <w:rPr>
          <w:spacing w:val="-5"/>
          <w:w w:val="105"/>
          <w:sz w:val="21"/>
        </w:rPr>
        <w:t> </w:t>
      </w:r>
      <w:r>
        <w:rPr>
          <w:spacing w:val="-3"/>
          <w:w w:val="105"/>
          <w:sz w:val="21"/>
        </w:rPr>
        <w:t>may</w:t>
      </w:r>
      <w:r>
        <w:rPr>
          <w:spacing w:val="-4"/>
          <w:w w:val="105"/>
          <w:sz w:val="21"/>
        </w:rPr>
        <w:t> </w:t>
      </w:r>
      <w:r>
        <w:rPr>
          <w:w w:val="105"/>
          <w:sz w:val="21"/>
        </w:rPr>
        <w:t>be</w:t>
      </w:r>
      <w:r>
        <w:rPr>
          <w:spacing w:val="-5"/>
          <w:w w:val="105"/>
          <w:sz w:val="21"/>
        </w:rPr>
        <w:t> </w:t>
      </w:r>
      <w:r>
        <w:rPr>
          <w:w w:val="105"/>
          <w:sz w:val="21"/>
        </w:rPr>
        <w:t>engaged</w:t>
      </w:r>
      <w:r>
        <w:rPr>
          <w:spacing w:val="-4"/>
          <w:w w:val="105"/>
          <w:sz w:val="21"/>
        </w:rPr>
        <w:t> </w:t>
      </w:r>
      <w:r>
        <w:rPr>
          <w:w w:val="105"/>
          <w:sz w:val="21"/>
        </w:rPr>
        <w:t>by</w:t>
      </w:r>
      <w:r>
        <w:rPr>
          <w:spacing w:val="-5"/>
          <w:w w:val="105"/>
          <w:sz w:val="21"/>
        </w:rPr>
        <w:t> </w:t>
      </w:r>
      <w:r>
        <w:rPr>
          <w:w w:val="105"/>
          <w:sz w:val="21"/>
        </w:rPr>
        <w:t>people</w:t>
      </w:r>
      <w:r>
        <w:rPr>
          <w:spacing w:val="-4"/>
          <w:w w:val="105"/>
          <w:sz w:val="21"/>
        </w:rPr>
        <w:t> </w:t>
      </w:r>
      <w:r>
        <w:rPr>
          <w:w w:val="105"/>
          <w:sz w:val="21"/>
        </w:rPr>
        <w:t>in</w:t>
      </w:r>
      <w:r>
        <w:rPr>
          <w:spacing w:val="-5"/>
          <w:w w:val="105"/>
          <w:sz w:val="21"/>
        </w:rPr>
        <w:t> </w:t>
      </w:r>
      <w:r>
        <w:rPr>
          <w:spacing w:val="-3"/>
          <w:w w:val="105"/>
          <w:sz w:val="21"/>
        </w:rPr>
        <w:t>dispute.</w:t>
      </w:r>
      <w:r>
        <w:rPr>
          <w:spacing w:val="-4"/>
          <w:w w:val="105"/>
          <w:sz w:val="21"/>
        </w:rPr>
        <w:t> </w:t>
      </w:r>
      <w:r>
        <w:rPr>
          <w:w w:val="105"/>
          <w:sz w:val="21"/>
        </w:rPr>
        <w:t>One </w:t>
      </w:r>
      <w:r>
        <w:rPr>
          <w:spacing w:val="-3"/>
          <w:w w:val="105"/>
          <w:sz w:val="21"/>
        </w:rPr>
        <w:t>way </w:t>
      </w:r>
      <w:r>
        <w:rPr>
          <w:w w:val="105"/>
          <w:sz w:val="21"/>
        </w:rPr>
        <w:t>community members can seek out </w:t>
      </w:r>
      <w:r>
        <w:rPr>
          <w:spacing w:val="-3"/>
          <w:w w:val="105"/>
          <w:sz w:val="21"/>
        </w:rPr>
        <w:t>private </w:t>
      </w:r>
      <w:r>
        <w:rPr>
          <w:w w:val="105"/>
          <w:sz w:val="21"/>
        </w:rPr>
        <w:t>mediators is </w:t>
      </w:r>
      <w:r>
        <w:rPr>
          <w:spacing w:val="-3"/>
          <w:w w:val="105"/>
          <w:sz w:val="21"/>
        </w:rPr>
        <w:t>through </w:t>
      </w:r>
      <w:r>
        <w:rPr>
          <w:w w:val="105"/>
          <w:sz w:val="21"/>
        </w:rPr>
        <w:t>the LIV’s Mediators </w:t>
      </w:r>
      <w:r>
        <w:rPr>
          <w:spacing w:val="-3"/>
          <w:w w:val="105"/>
          <w:sz w:val="21"/>
        </w:rPr>
        <w:t>Directory, </w:t>
      </w:r>
      <w:r>
        <w:rPr>
          <w:w w:val="105"/>
          <w:sz w:val="21"/>
        </w:rPr>
        <w:t>which provides details of </w:t>
      </w:r>
      <w:r>
        <w:rPr>
          <w:spacing w:val="-3"/>
          <w:w w:val="105"/>
          <w:sz w:val="21"/>
        </w:rPr>
        <w:t>approved </w:t>
      </w:r>
      <w:r>
        <w:rPr>
          <w:w w:val="105"/>
          <w:sz w:val="21"/>
        </w:rPr>
        <w:t>legal practitioners qualified </w:t>
      </w:r>
      <w:r>
        <w:rPr>
          <w:spacing w:val="-3"/>
          <w:w w:val="105"/>
          <w:sz w:val="21"/>
        </w:rPr>
        <w:t>to </w:t>
      </w:r>
      <w:r>
        <w:rPr>
          <w:w w:val="105"/>
          <w:sz w:val="21"/>
        </w:rPr>
        <w:t>conduct mediations.</w:t>
      </w:r>
      <w:r>
        <w:rPr>
          <w:w w:val="105"/>
          <w:position w:val="7"/>
          <w:sz w:val="12"/>
        </w:rPr>
        <w:t>24</w:t>
      </w:r>
    </w:p>
    <w:p>
      <w:pPr>
        <w:pStyle w:val="ListParagraph"/>
        <w:numPr>
          <w:ilvl w:val="1"/>
          <w:numId w:val="16"/>
        </w:numPr>
        <w:tabs>
          <w:tab w:pos="2381" w:val="left" w:leader="none"/>
          <w:tab w:pos="2382" w:val="left" w:leader="none"/>
        </w:tabs>
        <w:spacing w:line="242" w:lineRule="auto" w:before="125" w:after="0"/>
        <w:ind w:left="2381" w:right="1726" w:hanging="794"/>
        <w:jc w:val="left"/>
        <w:rPr>
          <w:sz w:val="21"/>
        </w:rPr>
      </w:pPr>
      <w:r>
        <w:rPr>
          <w:w w:val="105"/>
          <w:sz w:val="21"/>
        </w:rPr>
        <w:t>DSCV</w:t>
      </w:r>
      <w:r>
        <w:rPr>
          <w:spacing w:val="-6"/>
          <w:w w:val="105"/>
          <w:sz w:val="21"/>
        </w:rPr>
        <w:t> </w:t>
      </w:r>
      <w:r>
        <w:rPr>
          <w:w w:val="105"/>
          <w:sz w:val="21"/>
        </w:rPr>
        <w:t>offers</w:t>
      </w:r>
      <w:r>
        <w:rPr>
          <w:spacing w:val="-6"/>
          <w:w w:val="105"/>
          <w:sz w:val="21"/>
        </w:rPr>
        <w:t> </w:t>
      </w:r>
      <w:r>
        <w:rPr>
          <w:w w:val="105"/>
          <w:sz w:val="21"/>
        </w:rPr>
        <w:t>a</w:t>
      </w:r>
      <w:r>
        <w:rPr>
          <w:spacing w:val="-5"/>
          <w:w w:val="105"/>
          <w:sz w:val="21"/>
        </w:rPr>
        <w:t> </w:t>
      </w:r>
      <w:r>
        <w:rPr>
          <w:w w:val="105"/>
          <w:sz w:val="21"/>
        </w:rPr>
        <w:t>free</w:t>
      </w:r>
      <w:r>
        <w:rPr>
          <w:spacing w:val="-6"/>
          <w:w w:val="105"/>
          <w:sz w:val="21"/>
        </w:rPr>
        <w:t> </w:t>
      </w:r>
      <w:r>
        <w:rPr>
          <w:w w:val="105"/>
          <w:sz w:val="21"/>
        </w:rPr>
        <w:t>mediation</w:t>
      </w:r>
      <w:r>
        <w:rPr>
          <w:spacing w:val="-5"/>
          <w:w w:val="105"/>
          <w:sz w:val="21"/>
        </w:rPr>
        <w:t> </w:t>
      </w:r>
      <w:r>
        <w:rPr>
          <w:w w:val="105"/>
          <w:sz w:val="21"/>
        </w:rPr>
        <w:t>service</w:t>
      </w:r>
      <w:r>
        <w:rPr>
          <w:spacing w:val="-6"/>
          <w:w w:val="105"/>
          <w:sz w:val="21"/>
        </w:rPr>
        <w:t> </w:t>
      </w:r>
      <w:r>
        <w:rPr>
          <w:spacing w:val="-3"/>
          <w:w w:val="105"/>
          <w:sz w:val="21"/>
        </w:rPr>
        <w:t>to</w:t>
      </w:r>
      <w:r>
        <w:rPr>
          <w:spacing w:val="-6"/>
          <w:w w:val="105"/>
          <w:sz w:val="21"/>
        </w:rPr>
        <w:t> </w:t>
      </w:r>
      <w:r>
        <w:rPr>
          <w:w w:val="105"/>
          <w:sz w:val="21"/>
        </w:rPr>
        <w:t>the</w:t>
      </w:r>
      <w:r>
        <w:rPr>
          <w:spacing w:val="-5"/>
          <w:w w:val="105"/>
          <w:sz w:val="21"/>
        </w:rPr>
        <w:t> </w:t>
      </w:r>
      <w:r>
        <w:rPr>
          <w:w w:val="105"/>
          <w:sz w:val="21"/>
        </w:rPr>
        <w:t>community</w:t>
      </w:r>
      <w:r>
        <w:rPr>
          <w:spacing w:val="-6"/>
          <w:w w:val="105"/>
          <w:sz w:val="21"/>
        </w:rPr>
        <w:t> </w:t>
      </w:r>
      <w:r>
        <w:rPr>
          <w:spacing w:val="-3"/>
          <w:w w:val="105"/>
          <w:sz w:val="21"/>
        </w:rPr>
        <w:t>to</w:t>
      </w:r>
      <w:r>
        <w:rPr>
          <w:spacing w:val="-5"/>
          <w:w w:val="105"/>
          <w:sz w:val="21"/>
        </w:rPr>
        <w:t> </w:t>
      </w:r>
      <w:r>
        <w:rPr>
          <w:w w:val="105"/>
          <w:sz w:val="21"/>
        </w:rPr>
        <w:t>assist</w:t>
      </w:r>
      <w:r>
        <w:rPr>
          <w:spacing w:val="-6"/>
          <w:w w:val="105"/>
          <w:sz w:val="21"/>
        </w:rPr>
        <w:t> </w:t>
      </w:r>
      <w:r>
        <w:rPr>
          <w:w w:val="105"/>
          <w:sz w:val="21"/>
        </w:rPr>
        <w:t>with</w:t>
      </w:r>
      <w:r>
        <w:rPr>
          <w:spacing w:val="-6"/>
          <w:w w:val="105"/>
          <w:sz w:val="21"/>
        </w:rPr>
        <w:t> </w:t>
      </w:r>
      <w:r>
        <w:rPr>
          <w:w w:val="105"/>
          <w:sz w:val="21"/>
        </w:rPr>
        <w:t>a</w:t>
      </w:r>
      <w:r>
        <w:rPr>
          <w:spacing w:val="-5"/>
          <w:w w:val="105"/>
          <w:sz w:val="21"/>
        </w:rPr>
        <w:t> </w:t>
      </w:r>
      <w:r>
        <w:rPr>
          <w:spacing w:val="-3"/>
          <w:w w:val="105"/>
          <w:sz w:val="21"/>
        </w:rPr>
        <w:t>range</w:t>
      </w:r>
      <w:r>
        <w:rPr>
          <w:spacing w:val="-6"/>
          <w:w w:val="105"/>
          <w:sz w:val="21"/>
        </w:rPr>
        <w:t> </w:t>
      </w:r>
      <w:r>
        <w:rPr>
          <w:w w:val="105"/>
          <w:sz w:val="21"/>
        </w:rPr>
        <w:t>of</w:t>
      </w:r>
      <w:r>
        <w:rPr>
          <w:spacing w:val="-5"/>
          <w:w w:val="105"/>
          <w:sz w:val="21"/>
        </w:rPr>
        <w:t> </w:t>
      </w:r>
      <w:r>
        <w:rPr>
          <w:spacing w:val="-3"/>
          <w:w w:val="105"/>
          <w:sz w:val="21"/>
        </w:rPr>
        <w:t>disputes including </w:t>
      </w:r>
      <w:r>
        <w:rPr>
          <w:w w:val="105"/>
          <w:sz w:val="21"/>
        </w:rPr>
        <w:t>tree</w:t>
      </w:r>
      <w:r>
        <w:rPr>
          <w:spacing w:val="13"/>
          <w:w w:val="105"/>
          <w:sz w:val="21"/>
        </w:rPr>
        <w:t> </w:t>
      </w:r>
      <w:r>
        <w:rPr>
          <w:w w:val="105"/>
          <w:sz w:val="21"/>
        </w:rPr>
        <w:t>disputes.</w:t>
      </w:r>
      <w:r>
        <w:rPr>
          <w:w w:val="105"/>
          <w:position w:val="7"/>
          <w:sz w:val="12"/>
        </w:rPr>
        <w:t>25</w:t>
      </w:r>
    </w:p>
    <w:p>
      <w:pPr>
        <w:pStyle w:val="BodyText"/>
        <w:spacing w:before="2"/>
        <w:rPr>
          <w:sz w:val="20"/>
        </w:rPr>
      </w:pPr>
    </w:p>
    <w:p>
      <w:pPr>
        <w:pStyle w:val="Heading5"/>
      </w:pPr>
      <w:r>
        <w:rPr>
          <w:w w:val="115"/>
        </w:rPr>
        <w:t>The role of the Dispute Settlement Centre of Victoria</w:t>
      </w:r>
    </w:p>
    <w:p>
      <w:pPr>
        <w:pStyle w:val="ListParagraph"/>
        <w:numPr>
          <w:ilvl w:val="1"/>
          <w:numId w:val="16"/>
        </w:numPr>
        <w:tabs>
          <w:tab w:pos="2380" w:val="left" w:leader="none"/>
          <w:tab w:pos="2381" w:val="left" w:leader="none"/>
        </w:tabs>
        <w:spacing w:line="240" w:lineRule="auto" w:before="138" w:after="0"/>
        <w:ind w:left="2381" w:right="0" w:hanging="794"/>
        <w:jc w:val="left"/>
        <w:rPr>
          <w:sz w:val="21"/>
        </w:rPr>
      </w:pPr>
      <w:r>
        <w:rPr>
          <w:w w:val="105"/>
          <w:sz w:val="21"/>
        </w:rPr>
        <w:t>DSCV is </w:t>
      </w:r>
      <w:r>
        <w:rPr>
          <w:spacing w:val="-2"/>
          <w:w w:val="105"/>
          <w:sz w:val="21"/>
        </w:rPr>
        <w:t>funded </w:t>
      </w:r>
      <w:r>
        <w:rPr>
          <w:w w:val="105"/>
          <w:sz w:val="21"/>
        </w:rPr>
        <w:t>by </w:t>
      </w:r>
      <w:r>
        <w:rPr>
          <w:spacing w:val="-3"/>
          <w:w w:val="105"/>
          <w:sz w:val="21"/>
        </w:rPr>
        <w:t>Government to </w:t>
      </w:r>
      <w:r>
        <w:rPr>
          <w:w w:val="105"/>
          <w:sz w:val="21"/>
        </w:rPr>
        <w:t>provide a </w:t>
      </w:r>
      <w:r>
        <w:rPr>
          <w:spacing w:val="-3"/>
          <w:w w:val="105"/>
          <w:sz w:val="21"/>
        </w:rPr>
        <w:t>front-line </w:t>
      </w:r>
      <w:r>
        <w:rPr>
          <w:w w:val="105"/>
          <w:sz w:val="21"/>
        </w:rPr>
        <w:t>resolution service</w:t>
      </w:r>
      <w:r>
        <w:rPr>
          <w:spacing w:val="44"/>
          <w:w w:val="105"/>
          <w:sz w:val="21"/>
        </w:rPr>
        <w:t> </w:t>
      </w:r>
      <w:r>
        <w:rPr>
          <w:w w:val="105"/>
          <w:sz w:val="21"/>
        </w:rPr>
        <w:t>offering:</w:t>
      </w:r>
    </w:p>
    <w:p>
      <w:pPr>
        <w:pStyle w:val="ListParagraph"/>
        <w:numPr>
          <w:ilvl w:val="2"/>
          <w:numId w:val="16"/>
        </w:numPr>
        <w:tabs>
          <w:tab w:pos="2721" w:val="left" w:leader="none"/>
          <w:tab w:pos="2722" w:val="left" w:leader="none"/>
        </w:tabs>
        <w:spacing w:line="242" w:lineRule="auto" w:before="123" w:after="0"/>
        <w:ind w:left="2721" w:right="1717" w:hanging="340"/>
        <w:jc w:val="left"/>
        <w:rPr>
          <w:sz w:val="21"/>
        </w:rPr>
      </w:pPr>
      <w:r>
        <w:rPr>
          <w:spacing w:val="-3"/>
          <w:w w:val="105"/>
          <w:sz w:val="21"/>
        </w:rPr>
        <w:t>information</w:t>
      </w:r>
      <w:r>
        <w:rPr>
          <w:spacing w:val="-13"/>
          <w:w w:val="105"/>
          <w:sz w:val="21"/>
        </w:rPr>
        <w:t> </w:t>
      </w:r>
      <w:r>
        <w:rPr>
          <w:w w:val="105"/>
          <w:sz w:val="21"/>
        </w:rPr>
        <w:t>and</w:t>
      </w:r>
      <w:r>
        <w:rPr>
          <w:spacing w:val="-12"/>
          <w:w w:val="105"/>
          <w:sz w:val="21"/>
        </w:rPr>
        <w:t> </w:t>
      </w:r>
      <w:r>
        <w:rPr>
          <w:w w:val="105"/>
          <w:sz w:val="21"/>
        </w:rPr>
        <w:t>education</w:t>
      </w:r>
      <w:r>
        <w:rPr>
          <w:spacing w:val="-12"/>
          <w:w w:val="105"/>
          <w:sz w:val="21"/>
        </w:rPr>
        <w:t> </w:t>
      </w:r>
      <w:r>
        <w:rPr>
          <w:spacing w:val="-3"/>
          <w:w w:val="105"/>
          <w:sz w:val="21"/>
        </w:rPr>
        <w:t>to</w:t>
      </w:r>
      <w:r>
        <w:rPr>
          <w:spacing w:val="-13"/>
          <w:w w:val="105"/>
          <w:sz w:val="21"/>
        </w:rPr>
        <w:t> </w:t>
      </w:r>
      <w:r>
        <w:rPr>
          <w:w w:val="105"/>
          <w:sz w:val="21"/>
        </w:rPr>
        <w:t>help</w:t>
      </w:r>
      <w:r>
        <w:rPr>
          <w:spacing w:val="-12"/>
          <w:w w:val="105"/>
          <w:sz w:val="21"/>
        </w:rPr>
        <w:t> </w:t>
      </w:r>
      <w:r>
        <w:rPr>
          <w:w w:val="105"/>
          <w:sz w:val="21"/>
        </w:rPr>
        <w:t>people</w:t>
      </w:r>
      <w:r>
        <w:rPr>
          <w:spacing w:val="-12"/>
          <w:w w:val="105"/>
          <w:sz w:val="21"/>
        </w:rPr>
        <w:t> </w:t>
      </w:r>
      <w:r>
        <w:rPr>
          <w:w w:val="105"/>
          <w:sz w:val="21"/>
        </w:rPr>
        <w:t>understand</w:t>
      </w:r>
      <w:r>
        <w:rPr>
          <w:spacing w:val="-12"/>
          <w:w w:val="105"/>
          <w:sz w:val="21"/>
        </w:rPr>
        <w:t> </w:t>
      </w:r>
      <w:r>
        <w:rPr>
          <w:w w:val="105"/>
          <w:sz w:val="21"/>
        </w:rPr>
        <w:t>their</w:t>
      </w:r>
      <w:r>
        <w:rPr>
          <w:spacing w:val="-13"/>
          <w:w w:val="105"/>
          <w:sz w:val="21"/>
        </w:rPr>
        <w:t> </w:t>
      </w:r>
      <w:r>
        <w:rPr>
          <w:w w:val="105"/>
          <w:sz w:val="21"/>
        </w:rPr>
        <w:t>rights</w:t>
      </w:r>
      <w:r>
        <w:rPr>
          <w:spacing w:val="-12"/>
          <w:w w:val="105"/>
          <w:sz w:val="21"/>
        </w:rPr>
        <w:t> </w:t>
      </w:r>
      <w:r>
        <w:rPr>
          <w:w w:val="105"/>
          <w:sz w:val="21"/>
        </w:rPr>
        <w:t>and</w:t>
      </w:r>
      <w:r>
        <w:rPr>
          <w:spacing w:val="-12"/>
          <w:w w:val="105"/>
          <w:sz w:val="21"/>
        </w:rPr>
        <w:t> </w:t>
      </w:r>
      <w:r>
        <w:rPr>
          <w:spacing w:val="-3"/>
          <w:w w:val="105"/>
          <w:sz w:val="21"/>
        </w:rPr>
        <w:t>responsibilities regarding </w:t>
      </w:r>
      <w:r>
        <w:rPr>
          <w:w w:val="105"/>
          <w:sz w:val="21"/>
        </w:rPr>
        <w:t>an issue or</w:t>
      </w:r>
      <w:r>
        <w:rPr>
          <w:spacing w:val="23"/>
          <w:w w:val="105"/>
          <w:sz w:val="21"/>
        </w:rPr>
        <w:t> </w:t>
      </w:r>
      <w:r>
        <w:rPr>
          <w:spacing w:val="-3"/>
          <w:w w:val="105"/>
          <w:sz w:val="21"/>
        </w:rPr>
        <w:t>dispute</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z w:val="21"/>
        </w:rPr>
        <w:t>options</w:t>
      </w:r>
      <w:r>
        <w:rPr>
          <w:spacing w:val="10"/>
          <w:sz w:val="21"/>
        </w:rPr>
        <w:t> </w:t>
      </w:r>
      <w:r>
        <w:rPr>
          <w:spacing w:val="-3"/>
          <w:sz w:val="21"/>
        </w:rPr>
        <w:t>for</w:t>
      </w:r>
      <w:r>
        <w:rPr>
          <w:spacing w:val="10"/>
          <w:sz w:val="21"/>
        </w:rPr>
        <w:t> </w:t>
      </w:r>
      <w:r>
        <w:rPr>
          <w:sz w:val="21"/>
        </w:rPr>
        <w:t>further</w:t>
      </w:r>
      <w:r>
        <w:rPr>
          <w:spacing w:val="10"/>
          <w:sz w:val="21"/>
        </w:rPr>
        <w:t> </w:t>
      </w:r>
      <w:r>
        <w:rPr>
          <w:sz w:val="21"/>
        </w:rPr>
        <w:t>advice</w:t>
      </w:r>
      <w:r>
        <w:rPr>
          <w:spacing w:val="10"/>
          <w:sz w:val="21"/>
        </w:rPr>
        <w:t> </w:t>
      </w:r>
      <w:r>
        <w:rPr>
          <w:sz w:val="21"/>
        </w:rPr>
        <w:t>and</w:t>
      </w:r>
      <w:r>
        <w:rPr>
          <w:spacing w:val="10"/>
          <w:sz w:val="21"/>
        </w:rPr>
        <w:t> </w:t>
      </w:r>
      <w:r>
        <w:rPr>
          <w:spacing w:val="-3"/>
          <w:sz w:val="21"/>
        </w:rPr>
        <w:t>resources</w:t>
      </w:r>
      <w:r>
        <w:rPr>
          <w:spacing w:val="10"/>
          <w:sz w:val="21"/>
        </w:rPr>
        <w:t> </w:t>
      </w:r>
      <w:r>
        <w:rPr>
          <w:spacing w:val="-3"/>
          <w:sz w:val="21"/>
        </w:rPr>
        <w:t>to</w:t>
      </w:r>
      <w:r>
        <w:rPr>
          <w:spacing w:val="10"/>
          <w:sz w:val="21"/>
        </w:rPr>
        <w:t> </w:t>
      </w:r>
      <w:r>
        <w:rPr>
          <w:sz w:val="21"/>
        </w:rPr>
        <w:t>help</w:t>
      </w:r>
      <w:r>
        <w:rPr>
          <w:spacing w:val="10"/>
          <w:sz w:val="21"/>
        </w:rPr>
        <w:t> </w:t>
      </w:r>
      <w:r>
        <w:rPr>
          <w:sz w:val="21"/>
        </w:rPr>
        <w:t>people</w:t>
      </w:r>
      <w:r>
        <w:rPr>
          <w:spacing w:val="10"/>
          <w:sz w:val="21"/>
        </w:rPr>
        <w:t> </w:t>
      </w:r>
      <w:r>
        <w:rPr>
          <w:sz w:val="21"/>
        </w:rPr>
        <w:t>resolve</w:t>
      </w:r>
      <w:r>
        <w:rPr>
          <w:spacing w:val="10"/>
          <w:sz w:val="21"/>
        </w:rPr>
        <w:t> </w:t>
      </w:r>
      <w:r>
        <w:rPr>
          <w:sz w:val="21"/>
        </w:rPr>
        <w:t>the</w:t>
      </w:r>
      <w:r>
        <w:rPr>
          <w:spacing w:val="10"/>
          <w:sz w:val="21"/>
        </w:rPr>
        <w:t> </w:t>
      </w:r>
      <w:r>
        <w:rPr>
          <w:spacing w:val="-3"/>
          <w:sz w:val="21"/>
        </w:rPr>
        <w:t>dispute</w:t>
      </w:r>
      <w:r>
        <w:rPr>
          <w:spacing w:val="10"/>
          <w:sz w:val="21"/>
        </w:rPr>
        <w:t> </w:t>
      </w:r>
      <w:r>
        <w:rPr>
          <w:sz w:val="21"/>
        </w:rPr>
        <w:t>themselves</w:t>
      </w:r>
    </w:p>
    <w:p>
      <w:pPr>
        <w:pStyle w:val="ListParagraph"/>
        <w:numPr>
          <w:ilvl w:val="2"/>
          <w:numId w:val="16"/>
        </w:numPr>
        <w:tabs>
          <w:tab w:pos="2721" w:val="left" w:leader="none"/>
          <w:tab w:pos="2722" w:val="left" w:leader="none"/>
        </w:tabs>
        <w:spacing w:line="240" w:lineRule="auto" w:before="88" w:after="0"/>
        <w:ind w:left="2721" w:right="0" w:hanging="340"/>
        <w:jc w:val="left"/>
        <w:rPr>
          <w:sz w:val="12"/>
        </w:rPr>
      </w:pPr>
      <w:r>
        <w:rPr>
          <w:w w:val="105"/>
          <w:sz w:val="21"/>
        </w:rPr>
        <w:t>a </w:t>
      </w:r>
      <w:r>
        <w:rPr>
          <w:spacing w:val="-3"/>
          <w:w w:val="105"/>
          <w:sz w:val="21"/>
        </w:rPr>
        <w:t>range </w:t>
      </w:r>
      <w:r>
        <w:rPr>
          <w:w w:val="105"/>
          <w:sz w:val="21"/>
        </w:rPr>
        <w:t>of </w:t>
      </w:r>
      <w:r>
        <w:rPr>
          <w:spacing w:val="-3"/>
          <w:w w:val="105"/>
          <w:sz w:val="21"/>
        </w:rPr>
        <w:t>dispute </w:t>
      </w:r>
      <w:r>
        <w:rPr>
          <w:w w:val="105"/>
          <w:sz w:val="21"/>
        </w:rPr>
        <w:t>resolution services </w:t>
      </w:r>
      <w:r>
        <w:rPr>
          <w:spacing w:val="-3"/>
          <w:w w:val="105"/>
          <w:sz w:val="21"/>
        </w:rPr>
        <w:t>to </w:t>
      </w:r>
      <w:r>
        <w:rPr>
          <w:w w:val="105"/>
          <w:sz w:val="21"/>
        </w:rPr>
        <w:t>assist</w:t>
      </w:r>
      <w:r>
        <w:rPr>
          <w:spacing w:val="40"/>
          <w:w w:val="105"/>
          <w:sz w:val="21"/>
        </w:rPr>
        <w:t> </w:t>
      </w:r>
      <w:r>
        <w:rPr>
          <w:w w:val="105"/>
          <w:sz w:val="21"/>
        </w:rPr>
        <w:t>parties.</w:t>
      </w:r>
      <w:r>
        <w:rPr>
          <w:w w:val="105"/>
          <w:position w:val="7"/>
          <w:sz w:val="12"/>
        </w:rPr>
        <w:t>26</w:t>
      </w:r>
    </w:p>
    <w:p>
      <w:pPr>
        <w:pStyle w:val="ListParagraph"/>
        <w:numPr>
          <w:ilvl w:val="1"/>
          <w:numId w:val="16"/>
        </w:numPr>
        <w:tabs>
          <w:tab w:pos="2381" w:val="left" w:leader="none"/>
          <w:tab w:pos="2382" w:val="left" w:leader="none"/>
        </w:tabs>
        <w:spacing w:line="242" w:lineRule="auto" w:before="89" w:after="0"/>
        <w:ind w:left="2381" w:right="2006" w:hanging="794"/>
        <w:jc w:val="left"/>
        <w:rPr>
          <w:sz w:val="21"/>
        </w:rPr>
      </w:pPr>
      <w:r>
        <w:rPr>
          <w:w w:val="105"/>
          <w:sz w:val="21"/>
        </w:rPr>
        <w:t>DSCV</w:t>
      </w:r>
      <w:r>
        <w:rPr>
          <w:spacing w:val="-6"/>
          <w:w w:val="105"/>
          <w:sz w:val="21"/>
        </w:rPr>
        <w:t> </w:t>
      </w:r>
      <w:r>
        <w:rPr>
          <w:w w:val="105"/>
          <w:sz w:val="21"/>
        </w:rPr>
        <w:t>provides</w:t>
      </w:r>
      <w:r>
        <w:rPr>
          <w:spacing w:val="-6"/>
          <w:w w:val="105"/>
          <w:sz w:val="21"/>
        </w:rPr>
        <w:t> </w:t>
      </w:r>
      <w:r>
        <w:rPr>
          <w:w w:val="105"/>
          <w:sz w:val="21"/>
        </w:rPr>
        <w:t>a</w:t>
      </w:r>
      <w:r>
        <w:rPr>
          <w:spacing w:val="-5"/>
          <w:w w:val="105"/>
          <w:sz w:val="21"/>
        </w:rPr>
        <w:t> </w:t>
      </w:r>
      <w:r>
        <w:rPr>
          <w:spacing w:val="-3"/>
          <w:w w:val="105"/>
          <w:sz w:val="21"/>
        </w:rPr>
        <w:t>range</w:t>
      </w:r>
      <w:r>
        <w:rPr>
          <w:spacing w:val="-6"/>
          <w:w w:val="105"/>
          <w:sz w:val="21"/>
        </w:rPr>
        <w:t> </w:t>
      </w:r>
      <w:r>
        <w:rPr>
          <w:w w:val="105"/>
          <w:sz w:val="21"/>
        </w:rPr>
        <w:t>of</w:t>
      </w:r>
      <w:r>
        <w:rPr>
          <w:spacing w:val="-5"/>
          <w:w w:val="105"/>
          <w:sz w:val="21"/>
        </w:rPr>
        <w:t> </w:t>
      </w:r>
      <w:r>
        <w:rPr>
          <w:spacing w:val="-3"/>
          <w:w w:val="105"/>
          <w:sz w:val="21"/>
        </w:rPr>
        <w:t>dispute</w:t>
      </w:r>
      <w:r>
        <w:rPr>
          <w:spacing w:val="-6"/>
          <w:w w:val="105"/>
          <w:sz w:val="21"/>
        </w:rPr>
        <w:t> </w:t>
      </w:r>
      <w:r>
        <w:rPr>
          <w:w w:val="105"/>
          <w:sz w:val="21"/>
        </w:rPr>
        <w:t>resolution</w:t>
      </w:r>
      <w:r>
        <w:rPr>
          <w:spacing w:val="-5"/>
          <w:w w:val="105"/>
          <w:sz w:val="21"/>
        </w:rPr>
        <w:t> </w:t>
      </w:r>
      <w:r>
        <w:rPr>
          <w:w w:val="105"/>
          <w:sz w:val="21"/>
        </w:rPr>
        <w:t>services,</w:t>
      </w:r>
      <w:r>
        <w:rPr>
          <w:spacing w:val="-6"/>
          <w:w w:val="105"/>
          <w:sz w:val="21"/>
        </w:rPr>
        <w:t> </w:t>
      </w:r>
      <w:r>
        <w:rPr>
          <w:w w:val="105"/>
          <w:sz w:val="21"/>
        </w:rPr>
        <w:t>depending</w:t>
      </w:r>
      <w:r>
        <w:rPr>
          <w:spacing w:val="-6"/>
          <w:w w:val="105"/>
          <w:sz w:val="21"/>
        </w:rPr>
        <w:t> </w:t>
      </w:r>
      <w:r>
        <w:rPr>
          <w:w w:val="105"/>
          <w:sz w:val="21"/>
        </w:rPr>
        <w:t>on</w:t>
      </w:r>
      <w:r>
        <w:rPr>
          <w:spacing w:val="-5"/>
          <w:w w:val="105"/>
          <w:sz w:val="21"/>
        </w:rPr>
        <w:t> </w:t>
      </w:r>
      <w:r>
        <w:rPr>
          <w:w w:val="105"/>
          <w:sz w:val="21"/>
        </w:rPr>
        <w:t>the</w:t>
      </w:r>
      <w:r>
        <w:rPr>
          <w:spacing w:val="-6"/>
          <w:w w:val="105"/>
          <w:sz w:val="21"/>
        </w:rPr>
        <w:t> </w:t>
      </w:r>
      <w:r>
        <w:rPr>
          <w:spacing w:val="-3"/>
          <w:w w:val="105"/>
          <w:sz w:val="21"/>
        </w:rPr>
        <w:t>nature</w:t>
      </w:r>
      <w:r>
        <w:rPr>
          <w:spacing w:val="-5"/>
          <w:w w:val="105"/>
          <w:sz w:val="21"/>
        </w:rPr>
        <w:t> </w:t>
      </w:r>
      <w:r>
        <w:rPr>
          <w:w w:val="105"/>
          <w:sz w:val="21"/>
        </w:rPr>
        <w:t>of</w:t>
      </w:r>
      <w:r>
        <w:rPr>
          <w:spacing w:val="-6"/>
          <w:w w:val="105"/>
          <w:sz w:val="21"/>
        </w:rPr>
        <w:t> </w:t>
      </w:r>
      <w:r>
        <w:rPr>
          <w:w w:val="105"/>
          <w:sz w:val="21"/>
        </w:rPr>
        <w:t>the </w:t>
      </w:r>
      <w:r>
        <w:rPr>
          <w:spacing w:val="-3"/>
          <w:w w:val="105"/>
          <w:sz w:val="21"/>
        </w:rPr>
        <w:t>dispute. </w:t>
      </w:r>
      <w:r>
        <w:rPr>
          <w:w w:val="105"/>
          <w:sz w:val="21"/>
        </w:rPr>
        <w:t>They</w:t>
      </w:r>
      <w:r>
        <w:rPr>
          <w:spacing w:val="13"/>
          <w:w w:val="105"/>
          <w:sz w:val="21"/>
        </w:rPr>
        <w:t> </w:t>
      </w:r>
      <w:r>
        <w:rPr>
          <w:w w:val="105"/>
          <w:sz w:val="21"/>
        </w:rPr>
        <w:t>include:</w:t>
      </w:r>
    </w:p>
    <w:p>
      <w:pPr>
        <w:pStyle w:val="ListParagraph"/>
        <w:numPr>
          <w:ilvl w:val="2"/>
          <w:numId w:val="16"/>
        </w:numPr>
        <w:tabs>
          <w:tab w:pos="2721" w:val="left" w:leader="none"/>
          <w:tab w:pos="2722" w:val="left" w:leader="none"/>
        </w:tabs>
        <w:spacing w:line="240" w:lineRule="auto" w:before="122" w:after="0"/>
        <w:ind w:left="2721" w:right="0" w:hanging="340"/>
        <w:jc w:val="left"/>
        <w:rPr>
          <w:sz w:val="21"/>
        </w:rPr>
      </w:pPr>
      <w:r>
        <w:rPr>
          <w:sz w:val="21"/>
        </w:rPr>
        <w:t>targeted</w:t>
      </w:r>
      <w:r>
        <w:rPr>
          <w:spacing w:val="8"/>
          <w:sz w:val="21"/>
        </w:rPr>
        <w:t> </w:t>
      </w:r>
      <w:r>
        <w:rPr>
          <w:spacing w:val="-3"/>
          <w:sz w:val="21"/>
        </w:rPr>
        <w:t>advice</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conflict</w:t>
      </w:r>
      <w:r>
        <w:rPr>
          <w:spacing w:val="5"/>
          <w:w w:val="105"/>
          <w:sz w:val="21"/>
        </w:rPr>
        <w:t> </w:t>
      </w:r>
      <w:r>
        <w:rPr>
          <w:spacing w:val="-3"/>
          <w:w w:val="105"/>
          <w:sz w:val="21"/>
        </w:rPr>
        <w:t>coaching</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z w:val="21"/>
        </w:rPr>
        <w:t>shuttle</w:t>
      </w:r>
      <w:r>
        <w:rPr>
          <w:spacing w:val="8"/>
          <w:sz w:val="21"/>
        </w:rPr>
        <w:t> </w:t>
      </w:r>
      <w:r>
        <w:rPr>
          <w:sz w:val="21"/>
        </w:rPr>
        <w:t>negotiation</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z w:val="21"/>
        </w:rPr>
        <w:t>telephone</w:t>
      </w:r>
      <w:r>
        <w:rPr>
          <w:spacing w:val="8"/>
          <w:sz w:val="21"/>
        </w:rPr>
        <w:t> </w:t>
      </w:r>
      <w:r>
        <w:rPr>
          <w:sz w:val="21"/>
        </w:rPr>
        <w:t>mediation</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sz w:val="21"/>
        </w:rPr>
        <w:t>abbreviated </w:t>
      </w:r>
      <w:r>
        <w:rPr>
          <w:sz w:val="21"/>
        </w:rPr>
        <w:t>mediation with a sole</w:t>
      </w:r>
      <w:r>
        <w:rPr>
          <w:spacing w:val="47"/>
          <w:sz w:val="21"/>
        </w:rPr>
        <w:t> </w:t>
      </w:r>
      <w:r>
        <w:rPr>
          <w:spacing w:val="-3"/>
          <w:sz w:val="21"/>
        </w:rPr>
        <w:t>mediator</w:t>
      </w:r>
    </w:p>
    <w:p>
      <w:pPr>
        <w:pStyle w:val="ListParagraph"/>
        <w:numPr>
          <w:ilvl w:val="2"/>
          <w:numId w:val="16"/>
        </w:numPr>
        <w:tabs>
          <w:tab w:pos="2721" w:val="left" w:leader="none"/>
          <w:tab w:pos="2722" w:val="left" w:leader="none"/>
        </w:tabs>
        <w:spacing w:line="240" w:lineRule="auto" w:before="89" w:after="0"/>
        <w:ind w:left="2721" w:right="0" w:hanging="340"/>
        <w:jc w:val="left"/>
        <w:rPr>
          <w:sz w:val="12"/>
        </w:rPr>
      </w:pPr>
      <w:r>
        <w:rPr>
          <w:w w:val="105"/>
          <w:sz w:val="21"/>
        </w:rPr>
        <w:t>a </w:t>
      </w:r>
      <w:r>
        <w:rPr>
          <w:spacing w:val="-3"/>
          <w:w w:val="105"/>
          <w:sz w:val="21"/>
        </w:rPr>
        <w:t>half-day </w:t>
      </w:r>
      <w:r>
        <w:rPr>
          <w:w w:val="105"/>
          <w:sz w:val="21"/>
        </w:rPr>
        <w:t>mediation with two</w:t>
      </w:r>
      <w:r>
        <w:rPr>
          <w:spacing w:val="27"/>
          <w:w w:val="105"/>
          <w:sz w:val="21"/>
        </w:rPr>
        <w:t> </w:t>
      </w:r>
      <w:r>
        <w:rPr>
          <w:w w:val="105"/>
          <w:sz w:val="21"/>
        </w:rPr>
        <w:t>mediators.</w:t>
      </w:r>
      <w:r>
        <w:rPr>
          <w:w w:val="105"/>
          <w:position w:val="7"/>
          <w:sz w:val="12"/>
        </w:rPr>
        <w:t>27</w:t>
      </w:r>
    </w:p>
    <w:p>
      <w:pPr>
        <w:pStyle w:val="ListParagraph"/>
        <w:numPr>
          <w:ilvl w:val="1"/>
          <w:numId w:val="16"/>
        </w:numPr>
        <w:tabs>
          <w:tab w:pos="2381" w:val="left" w:leader="none"/>
          <w:tab w:pos="2382" w:val="left" w:leader="none"/>
        </w:tabs>
        <w:spacing w:line="240" w:lineRule="auto" w:before="88" w:after="0"/>
        <w:ind w:left="2381" w:right="0" w:hanging="794"/>
        <w:jc w:val="left"/>
        <w:rPr>
          <w:sz w:val="21"/>
        </w:rPr>
      </w:pPr>
      <w:r>
        <w:rPr>
          <w:w w:val="105"/>
          <w:sz w:val="21"/>
        </w:rPr>
        <w:t>People </w:t>
      </w:r>
      <w:r>
        <w:rPr>
          <w:spacing w:val="-3"/>
          <w:w w:val="105"/>
          <w:sz w:val="21"/>
        </w:rPr>
        <w:t>involved </w:t>
      </w:r>
      <w:r>
        <w:rPr>
          <w:w w:val="105"/>
          <w:sz w:val="21"/>
        </w:rPr>
        <w:t>in a tree </w:t>
      </w:r>
      <w:r>
        <w:rPr>
          <w:spacing w:val="-3"/>
          <w:w w:val="105"/>
          <w:sz w:val="21"/>
        </w:rPr>
        <w:t>dispute </w:t>
      </w:r>
      <w:r>
        <w:rPr>
          <w:w w:val="105"/>
          <w:sz w:val="21"/>
        </w:rPr>
        <w:t>most </w:t>
      </w:r>
      <w:r>
        <w:rPr>
          <w:spacing w:val="-2"/>
          <w:w w:val="105"/>
          <w:sz w:val="21"/>
        </w:rPr>
        <w:t>commonly </w:t>
      </w:r>
      <w:r>
        <w:rPr>
          <w:spacing w:val="-4"/>
          <w:w w:val="105"/>
          <w:sz w:val="21"/>
        </w:rPr>
        <w:t>make </w:t>
      </w:r>
      <w:r>
        <w:rPr>
          <w:w w:val="105"/>
          <w:sz w:val="21"/>
        </w:rPr>
        <w:t>contact with</w:t>
      </w:r>
      <w:r>
        <w:rPr>
          <w:spacing w:val="4"/>
          <w:w w:val="105"/>
          <w:sz w:val="21"/>
        </w:rPr>
        <w:t> </w:t>
      </w:r>
      <w:r>
        <w:rPr>
          <w:w w:val="105"/>
          <w:sz w:val="21"/>
        </w:rPr>
        <w:t>DSCV:</w:t>
      </w:r>
    </w:p>
    <w:p>
      <w:pPr>
        <w:pStyle w:val="ListParagraph"/>
        <w:numPr>
          <w:ilvl w:val="2"/>
          <w:numId w:val="16"/>
        </w:numPr>
        <w:tabs>
          <w:tab w:pos="2721" w:val="left" w:leader="none"/>
          <w:tab w:pos="2722" w:val="left" w:leader="none"/>
        </w:tabs>
        <w:spacing w:line="242" w:lineRule="auto" w:before="124" w:after="0"/>
        <w:ind w:left="2721" w:right="1714" w:hanging="340"/>
        <w:jc w:val="left"/>
        <w:rPr>
          <w:sz w:val="21"/>
        </w:rPr>
      </w:pPr>
      <w:r>
        <w:rPr>
          <w:spacing w:val="-3"/>
          <w:w w:val="105"/>
          <w:sz w:val="21"/>
        </w:rPr>
        <w:t>to</w:t>
      </w:r>
      <w:r>
        <w:rPr>
          <w:spacing w:val="-6"/>
          <w:w w:val="105"/>
          <w:sz w:val="21"/>
        </w:rPr>
        <w:t> </w:t>
      </w:r>
      <w:r>
        <w:rPr>
          <w:w w:val="105"/>
          <w:sz w:val="21"/>
        </w:rPr>
        <w:t>obtain</w:t>
      </w:r>
      <w:r>
        <w:rPr>
          <w:spacing w:val="-5"/>
          <w:w w:val="105"/>
          <w:sz w:val="21"/>
        </w:rPr>
        <w:t> </w:t>
      </w:r>
      <w:r>
        <w:rPr>
          <w:w w:val="105"/>
          <w:sz w:val="21"/>
        </w:rPr>
        <w:t>the</w:t>
      </w:r>
      <w:r>
        <w:rPr>
          <w:spacing w:val="-6"/>
          <w:w w:val="105"/>
          <w:sz w:val="21"/>
        </w:rPr>
        <w:t> </w:t>
      </w:r>
      <w:r>
        <w:rPr>
          <w:w w:val="105"/>
          <w:sz w:val="21"/>
        </w:rPr>
        <w:t>help</w:t>
      </w:r>
      <w:r>
        <w:rPr>
          <w:spacing w:val="-5"/>
          <w:w w:val="105"/>
          <w:sz w:val="21"/>
        </w:rPr>
        <w:t> </w:t>
      </w:r>
      <w:r>
        <w:rPr>
          <w:w w:val="105"/>
          <w:sz w:val="21"/>
        </w:rPr>
        <w:t>of</w:t>
      </w:r>
      <w:r>
        <w:rPr>
          <w:spacing w:val="-5"/>
          <w:w w:val="105"/>
          <w:sz w:val="21"/>
        </w:rPr>
        <w:t> </w:t>
      </w:r>
      <w:r>
        <w:rPr>
          <w:w w:val="105"/>
          <w:sz w:val="21"/>
        </w:rPr>
        <w:t>an</w:t>
      </w:r>
      <w:r>
        <w:rPr>
          <w:spacing w:val="-6"/>
          <w:w w:val="105"/>
          <w:sz w:val="21"/>
        </w:rPr>
        <w:t> </w:t>
      </w:r>
      <w:r>
        <w:rPr>
          <w:w w:val="105"/>
          <w:sz w:val="21"/>
        </w:rPr>
        <w:t>impartial</w:t>
      </w:r>
      <w:r>
        <w:rPr>
          <w:spacing w:val="-5"/>
          <w:w w:val="105"/>
          <w:sz w:val="21"/>
        </w:rPr>
        <w:t> </w:t>
      </w:r>
      <w:r>
        <w:rPr>
          <w:spacing w:val="-3"/>
          <w:w w:val="105"/>
          <w:sz w:val="21"/>
        </w:rPr>
        <w:t>third</w:t>
      </w:r>
      <w:r>
        <w:rPr>
          <w:spacing w:val="-5"/>
          <w:w w:val="105"/>
          <w:sz w:val="21"/>
        </w:rPr>
        <w:t> </w:t>
      </w:r>
      <w:r>
        <w:rPr>
          <w:w w:val="105"/>
          <w:sz w:val="21"/>
        </w:rPr>
        <w:t>party</w:t>
      </w:r>
      <w:r>
        <w:rPr>
          <w:spacing w:val="-6"/>
          <w:w w:val="105"/>
          <w:sz w:val="21"/>
        </w:rPr>
        <w:t> </w:t>
      </w:r>
      <w:r>
        <w:rPr>
          <w:spacing w:val="-3"/>
          <w:w w:val="105"/>
          <w:sz w:val="21"/>
        </w:rPr>
        <w:t>to</w:t>
      </w:r>
      <w:r>
        <w:rPr>
          <w:spacing w:val="-5"/>
          <w:w w:val="105"/>
          <w:sz w:val="21"/>
        </w:rPr>
        <w:t> </w:t>
      </w:r>
      <w:r>
        <w:rPr>
          <w:spacing w:val="-4"/>
          <w:w w:val="105"/>
          <w:sz w:val="21"/>
        </w:rPr>
        <w:t>make</w:t>
      </w:r>
      <w:r>
        <w:rPr>
          <w:spacing w:val="-5"/>
          <w:w w:val="105"/>
          <w:sz w:val="21"/>
        </w:rPr>
        <w:t> </w:t>
      </w:r>
      <w:r>
        <w:rPr>
          <w:w w:val="105"/>
          <w:sz w:val="21"/>
        </w:rPr>
        <w:t>a</w:t>
      </w:r>
      <w:r>
        <w:rPr>
          <w:spacing w:val="-6"/>
          <w:w w:val="105"/>
          <w:sz w:val="21"/>
        </w:rPr>
        <w:t> </w:t>
      </w:r>
      <w:r>
        <w:rPr>
          <w:w w:val="105"/>
          <w:sz w:val="21"/>
        </w:rPr>
        <w:t>decision</w:t>
      </w:r>
      <w:r>
        <w:rPr>
          <w:spacing w:val="-5"/>
          <w:w w:val="105"/>
          <w:sz w:val="21"/>
        </w:rPr>
        <w:t> </w:t>
      </w:r>
      <w:r>
        <w:rPr>
          <w:w w:val="105"/>
          <w:sz w:val="21"/>
        </w:rPr>
        <w:t>about</w:t>
      </w:r>
      <w:r>
        <w:rPr>
          <w:spacing w:val="-5"/>
          <w:w w:val="105"/>
          <w:sz w:val="21"/>
        </w:rPr>
        <w:t> </w:t>
      </w:r>
      <w:r>
        <w:rPr>
          <w:w w:val="105"/>
          <w:sz w:val="21"/>
        </w:rPr>
        <w:t>the</w:t>
      </w:r>
      <w:r>
        <w:rPr>
          <w:spacing w:val="-6"/>
          <w:w w:val="105"/>
          <w:sz w:val="21"/>
        </w:rPr>
        <w:t> </w:t>
      </w:r>
      <w:r>
        <w:rPr>
          <w:spacing w:val="-3"/>
          <w:w w:val="105"/>
          <w:sz w:val="21"/>
        </w:rPr>
        <w:t>dispute</w:t>
      </w:r>
      <w:r>
        <w:rPr>
          <w:spacing w:val="-5"/>
          <w:w w:val="105"/>
          <w:sz w:val="21"/>
        </w:rPr>
        <w:t> </w:t>
      </w:r>
      <w:r>
        <w:rPr>
          <w:w w:val="105"/>
          <w:sz w:val="21"/>
        </w:rPr>
        <w:t>or compel a </w:t>
      </w:r>
      <w:r>
        <w:rPr>
          <w:spacing w:val="-3"/>
          <w:w w:val="105"/>
          <w:sz w:val="21"/>
        </w:rPr>
        <w:t>neighbour to take </w:t>
      </w:r>
      <w:r>
        <w:rPr>
          <w:w w:val="105"/>
          <w:sz w:val="21"/>
        </w:rPr>
        <w:t>certain</w:t>
      </w:r>
      <w:r>
        <w:rPr>
          <w:spacing w:val="38"/>
          <w:w w:val="105"/>
          <w:sz w:val="21"/>
        </w:rPr>
        <w:t> </w:t>
      </w:r>
      <w:r>
        <w:rPr>
          <w:w w:val="105"/>
          <w:sz w:val="21"/>
        </w:rPr>
        <w:t>action</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pacing w:val="-3"/>
          <w:w w:val="105"/>
          <w:sz w:val="21"/>
        </w:rPr>
        <w:t>to </w:t>
      </w:r>
      <w:r>
        <w:rPr>
          <w:w w:val="105"/>
          <w:sz w:val="21"/>
        </w:rPr>
        <w:t>seek </w:t>
      </w:r>
      <w:r>
        <w:rPr>
          <w:spacing w:val="-3"/>
          <w:w w:val="105"/>
          <w:sz w:val="21"/>
        </w:rPr>
        <w:t>information </w:t>
      </w:r>
      <w:r>
        <w:rPr>
          <w:w w:val="105"/>
          <w:sz w:val="21"/>
        </w:rPr>
        <w:t>about the law or confirm how the law </w:t>
      </w:r>
      <w:r>
        <w:rPr>
          <w:spacing w:val="-3"/>
          <w:w w:val="105"/>
          <w:sz w:val="21"/>
        </w:rPr>
        <w:t>may </w:t>
      </w:r>
      <w:r>
        <w:rPr>
          <w:w w:val="105"/>
          <w:sz w:val="21"/>
        </w:rPr>
        <w:t>apply </w:t>
      </w:r>
      <w:r>
        <w:rPr>
          <w:spacing w:val="-3"/>
          <w:w w:val="105"/>
          <w:sz w:val="21"/>
        </w:rPr>
        <w:t>to </w:t>
      </w:r>
      <w:r>
        <w:rPr>
          <w:w w:val="105"/>
          <w:sz w:val="21"/>
        </w:rPr>
        <w:t>their</w:t>
      </w:r>
      <w:r>
        <w:rPr>
          <w:spacing w:val="44"/>
          <w:w w:val="105"/>
          <w:sz w:val="21"/>
        </w:rPr>
        <w:t> </w:t>
      </w:r>
      <w:r>
        <w:rPr>
          <w:spacing w:val="-3"/>
          <w:w w:val="105"/>
          <w:sz w:val="21"/>
        </w:rPr>
        <w:t>dispute</w:t>
      </w:r>
    </w:p>
    <w:p>
      <w:pPr>
        <w:pStyle w:val="ListParagraph"/>
        <w:numPr>
          <w:ilvl w:val="2"/>
          <w:numId w:val="16"/>
        </w:numPr>
        <w:tabs>
          <w:tab w:pos="2721" w:val="left" w:leader="none"/>
          <w:tab w:pos="2722" w:val="left" w:leader="none"/>
        </w:tabs>
        <w:spacing w:line="242" w:lineRule="auto" w:before="89" w:after="0"/>
        <w:ind w:left="2721" w:right="2008" w:hanging="340"/>
        <w:jc w:val="left"/>
        <w:rPr>
          <w:sz w:val="21"/>
        </w:rPr>
      </w:pPr>
      <w:r>
        <w:rPr>
          <w:spacing w:val="-3"/>
          <w:sz w:val="21"/>
        </w:rPr>
        <w:t>to </w:t>
      </w:r>
      <w:r>
        <w:rPr>
          <w:sz w:val="21"/>
        </w:rPr>
        <w:t>obtain assistance with tree </w:t>
      </w:r>
      <w:r>
        <w:rPr>
          <w:spacing w:val="-3"/>
          <w:sz w:val="21"/>
        </w:rPr>
        <w:t>maintenance </w:t>
      </w:r>
      <w:r>
        <w:rPr>
          <w:sz w:val="21"/>
        </w:rPr>
        <w:t>issues due </w:t>
      </w:r>
      <w:r>
        <w:rPr>
          <w:spacing w:val="-3"/>
          <w:sz w:val="21"/>
        </w:rPr>
        <w:t>to </w:t>
      </w:r>
      <w:r>
        <w:rPr>
          <w:sz w:val="21"/>
        </w:rPr>
        <w:t>age/health </w:t>
      </w:r>
      <w:r>
        <w:rPr>
          <w:spacing w:val="-3"/>
          <w:sz w:val="21"/>
        </w:rPr>
        <w:t>(for example, cleaning </w:t>
      </w:r>
      <w:r>
        <w:rPr>
          <w:sz w:val="21"/>
        </w:rPr>
        <w:t>leaf litter </w:t>
      </w:r>
      <w:r>
        <w:rPr>
          <w:spacing w:val="-3"/>
          <w:sz w:val="21"/>
        </w:rPr>
        <w:t>from</w:t>
      </w:r>
      <w:r>
        <w:rPr>
          <w:spacing w:val="37"/>
          <w:sz w:val="21"/>
        </w:rPr>
        <w:t> </w:t>
      </w:r>
      <w:r>
        <w:rPr>
          <w:sz w:val="21"/>
        </w:rPr>
        <w:t>gutters)</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z w:val="21"/>
        </w:rPr>
        <w:t>when</w:t>
      </w:r>
      <w:r>
        <w:rPr>
          <w:spacing w:val="18"/>
          <w:sz w:val="21"/>
        </w:rPr>
        <w:t> </w:t>
      </w:r>
      <w:r>
        <w:rPr>
          <w:sz w:val="21"/>
        </w:rPr>
        <w:t>there</w:t>
      </w:r>
      <w:r>
        <w:rPr>
          <w:spacing w:val="19"/>
          <w:sz w:val="21"/>
        </w:rPr>
        <w:t> </w:t>
      </w:r>
      <w:r>
        <w:rPr>
          <w:sz w:val="21"/>
        </w:rPr>
        <w:t>is</w:t>
      </w:r>
      <w:r>
        <w:rPr>
          <w:spacing w:val="18"/>
          <w:sz w:val="21"/>
        </w:rPr>
        <w:t> </w:t>
      </w:r>
      <w:r>
        <w:rPr>
          <w:sz w:val="21"/>
        </w:rPr>
        <w:t>pre-existing</w:t>
      </w:r>
      <w:r>
        <w:rPr>
          <w:spacing w:val="19"/>
          <w:sz w:val="21"/>
        </w:rPr>
        <w:t> </w:t>
      </w:r>
      <w:r>
        <w:rPr>
          <w:spacing w:val="-3"/>
          <w:sz w:val="21"/>
        </w:rPr>
        <w:t>neighbour</w:t>
      </w:r>
      <w:r>
        <w:rPr>
          <w:spacing w:val="18"/>
          <w:sz w:val="21"/>
        </w:rPr>
        <w:t> </w:t>
      </w:r>
      <w:r>
        <w:rPr>
          <w:sz w:val="21"/>
        </w:rPr>
        <w:t>conflict</w:t>
      </w:r>
      <w:r>
        <w:rPr>
          <w:spacing w:val="19"/>
          <w:sz w:val="21"/>
        </w:rPr>
        <w:t> </w:t>
      </w:r>
      <w:r>
        <w:rPr>
          <w:sz w:val="21"/>
        </w:rPr>
        <w:t>and</w:t>
      </w:r>
      <w:r>
        <w:rPr>
          <w:spacing w:val="18"/>
          <w:sz w:val="21"/>
        </w:rPr>
        <w:t> </w:t>
      </w:r>
      <w:r>
        <w:rPr>
          <w:sz w:val="21"/>
        </w:rPr>
        <w:t>the</w:t>
      </w:r>
      <w:r>
        <w:rPr>
          <w:spacing w:val="19"/>
          <w:sz w:val="21"/>
        </w:rPr>
        <w:t> </w:t>
      </w:r>
      <w:r>
        <w:rPr>
          <w:sz w:val="21"/>
        </w:rPr>
        <w:t>tree</w:t>
      </w:r>
      <w:r>
        <w:rPr>
          <w:spacing w:val="19"/>
          <w:sz w:val="21"/>
        </w:rPr>
        <w:t> </w:t>
      </w:r>
      <w:r>
        <w:rPr>
          <w:spacing w:val="-3"/>
          <w:sz w:val="21"/>
        </w:rPr>
        <w:t>dispute</w:t>
      </w:r>
      <w:r>
        <w:rPr>
          <w:spacing w:val="18"/>
          <w:sz w:val="21"/>
        </w:rPr>
        <w:t> </w:t>
      </w:r>
      <w:r>
        <w:rPr>
          <w:sz w:val="21"/>
        </w:rPr>
        <w:t>is</w:t>
      </w:r>
      <w:r>
        <w:rPr>
          <w:spacing w:val="19"/>
          <w:sz w:val="21"/>
        </w:rPr>
        <w:t> </w:t>
      </w:r>
      <w:r>
        <w:rPr>
          <w:sz w:val="21"/>
        </w:rPr>
        <w:t>the</w:t>
      </w:r>
      <w:r>
        <w:rPr>
          <w:spacing w:val="18"/>
          <w:sz w:val="21"/>
        </w:rPr>
        <w:t> </w:t>
      </w:r>
      <w:r>
        <w:rPr>
          <w:sz w:val="21"/>
        </w:rPr>
        <w:t>final</w:t>
      </w:r>
      <w:r>
        <w:rPr>
          <w:spacing w:val="19"/>
          <w:sz w:val="21"/>
        </w:rPr>
        <w:t> </w:t>
      </w:r>
      <w:r>
        <w:rPr>
          <w:spacing w:val="-4"/>
          <w:sz w:val="21"/>
        </w:rPr>
        <w:t>straw,</w:t>
      </w:r>
      <w:r>
        <w:rPr>
          <w:spacing w:val="18"/>
          <w:sz w:val="21"/>
        </w:rPr>
        <w:t> </w:t>
      </w:r>
      <w:r>
        <w:rPr>
          <w:sz w:val="21"/>
        </w:rPr>
        <w:t>or</w:t>
      </w:r>
    </w:p>
    <w:p>
      <w:pPr>
        <w:pStyle w:val="ListParagraph"/>
        <w:numPr>
          <w:ilvl w:val="2"/>
          <w:numId w:val="16"/>
        </w:numPr>
        <w:tabs>
          <w:tab w:pos="2721" w:val="left" w:leader="none"/>
          <w:tab w:pos="2722" w:val="left" w:leader="none"/>
        </w:tabs>
        <w:spacing w:line="240" w:lineRule="auto" w:before="89" w:after="0"/>
        <w:ind w:left="2721" w:right="0" w:hanging="340"/>
        <w:jc w:val="left"/>
        <w:rPr>
          <w:sz w:val="12"/>
        </w:rPr>
      </w:pPr>
      <w:r>
        <w:rPr>
          <w:w w:val="105"/>
          <w:sz w:val="21"/>
        </w:rPr>
        <w:t>when</w:t>
      </w:r>
      <w:r>
        <w:rPr>
          <w:spacing w:val="-8"/>
          <w:w w:val="105"/>
          <w:sz w:val="21"/>
        </w:rPr>
        <w:t> </w:t>
      </w:r>
      <w:r>
        <w:rPr>
          <w:w w:val="105"/>
          <w:sz w:val="21"/>
        </w:rPr>
        <w:t>they</w:t>
      </w:r>
      <w:r>
        <w:rPr>
          <w:spacing w:val="-8"/>
          <w:w w:val="105"/>
          <w:sz w:val="21"/>
        </w:rPr>
        <w:t> </w:t>
      </w:r>
      <w:r>
        <w:rPr>
          <w:spacing w:val="-3"/>
          <w:w w:val="105"/>
          <w:sz w:val="21"/>
        </w:rPr>
        <w:t>have</w:t>
      </w:r>
      <w:r>
        <w:rPr>
          <w:spacing w:val="-8"/>
          <w:w w:val="105"/>
          <w:sz w:val="21"/>
        </w:rPr>
        <w:t> </w:t>
      </w:r>
      <w:r>
        <w:rPr>
          <w:w w:val="105"/>
          <w:sz w:val="21"/>
        </w:rPr>
        <w:t>exhausted</w:t>
      </w:r>
      <w:r>
        <w:rPr>
          <w:spacing w:val="-8"/>
          <w:w w:val="105"/>
          <w:sz w:val="21"/>
        </w:rPr>
        <w:t> </w:t>
      </w:r>
      <w:r>
        <w:rPr>
          <w:spacing w:val="-3"/>
          <w:w w:val="105"/>
          <w:sz w:val="21"/>
        </w:rPr>
        <w:t>all</w:t>
      </w:r>
      <w:r>
        <w:rPr>
          <w:spacing w:val="-8"/>
          <w:w w:val="105"/>
          <w:sz w:val="21"/>
        </w:rPr>
        <w:t> </w:t>
      </w:r>
      <w:r>
        <w:rPr>
          <w:w w:val="105"/>
          <w:sz w:val="21"/>
        </w:rPr>
        <w:t>other</w:t>
      </w:r>
      <w:r>
        <w:rPr>
          <w:spacing w:val="-8"/>
          <w:w w:val="105"/>
          <w:sz w:val="21"/>
        </w:rPr>
        <w:t> </w:t>
      </w:r>
      <w:r>
        <w:rPr>
          <w:w w:val="105"/>
          <w:sz w:val="21"/>
        </w:rPr>
        <w:t>steps</w:t>
      </w:r>
      <w:r>
        <w:rPr>
          <w:spacing w:val="-8"/>
          <w:w w:val="105"/>
          <w:sz w:val="21"/>
        </w:rPr>
        <w:t> </w:t>
      </w:r>
      <w:r>
        <w:rPr>
          <w:spacing w:val="-3"/>
          <w:w w:val="105"/>
          <w:sz w:val="21"/>
        </w:rPr>
        <w:t>leading</w:t>
      </w:r>
      <w:r>
        <w:rPr>
          <w:spacing w:val="-8"/>
          <w:w w:val="105"/>
          <w:sz w:val="21"/>
        </w:rPr>
        <w:t> </w:t>
      </w:r>
      <w:r>
        <w:rPr>
          <w:w w:val="105"/>
          <w:sz w:val="21"/>
        </w:rPr>
        <w:t>up</w:t>
      </w:r>
      <w:r>
        <w:rPr>
          <w:spacing w:val="-8"/>
          <w:w w:val="105"/>
          <w:sz w:val="21"/>
        </w:rPr>
        <w:t> </w:t>
      </w:r>
      <w:r>
        <w:rPr>
          <w:spacing w:val="-3"/>
          <w:w w:val="105"/>
          <w:sz w:val="21"/>
        </w:rPr>
        <w:t>to</w:t>
      </w:r>
      <w:r>
        <w:rPr>
          <w:spacing w:val="-8"/>
          <w:w w:val="105"/>
          <w:sz w:val="21"/>
        </w:rPr>
        <w:t> </w:t>
      </w:r>
      <w:r>
        <w:rPr>
          <w:w w:val="105"/>
          <w:sz w:val="21"/>
        </w:rPr>
        <w:t>mediation</w:t>
      </w:r>
      <w:r>
        <w:rPr>
          <w:spacing w:val="-8"/>
          <w:w w:val="105"/>
          <w:sz w:val="21"/>
        </w:rPr>
        <w:t> </w:t>
      </w:r>
      <w:r>
        <w:rPr>
          <w:w w:val="105"/>
          <w:sz w:val="21"/>
        </w:rPr>
        <w:t>or</w:t>
      </w:r>
      <w:r>
        <w:rPr>
          <w:spacing w:val="-8"/>
          <w:w w:val="105"/>
          <w:sz w:val="21"/>
        </w:rPr>
        <w:t> </w:t>
      </w:r>
      <w:r>
        <w:rPr>
          <w:w w:val="105"/>
          <w:sz w:val="21"/>
        </w:rPr>
        <w:t>legal</w:t>
      </w:r>
      <w:r>
        <w:rPr>
          <w:spacing w:val="-8"/>
          <w:w w:val="105"/>
          <w:sz w:val="21"/>
        </w:rPr>
        <w:t> </w:t>
      </w:r>
      <w:r>
        <w:rPr>
          <w:w w:val="105"/>
          <w:sz w:val="21"/>
        </w:rPr>
        <w:t>action.</w:t>
      </w:r>
      <w:r>
        <w:rPr>
          <w:w w:val="105"/>
          <w:position w:val="7"/>
          <w:sz w:val="12"/>
        </w:rPr>
        <w:t>28</w:t>
      </w:r>
    </w:p>
    <w:p>
      <w:pPr>
        <w:pStyle w:val="BodyText"/>
        <w:rPr>
          <w:sz w:val="20"/>
        </w:rPr>
      </w:pPr>
    </w:p>
    <w:p>
      <w:pPr>
        <w:pStyle w:val="BodyText"/>
        <w:rPr>
          <w:sz w:val="20"/>
        </w:rPr>
      </w:pPr>
    </w:p>
    <w:p>
      <w:pPr>
        <w:pStyle w:val="BodyText"/>
        <w:spacing w:before="9"/>
        <w:rPr>
          <w:sz w:val="25"/>
        </w:rPr>
      </w:pPr>
      <w:r>
        <w:rPr/>
        <w:pict>
          <v:line style="position:absolute;mso-position-horizontal-relative:page;mso-position-vertical-relative:paragraph;z-index:992;mso-wrap-distance-left:0;mso-wrap-distance-right:0" from="79.370102pt,18.185261pt" to="515.905102pt,18.185261pt" stroked="true" strokeweight="1pt" strokecolor="#c9d2cb">
            <v:stroke dashstyle="solid"/>
            <w10:wrap type="topAndBottom"/>
          </v:line>
        </w:pict>
      </w:r>
    </w:p>
    <w:p>
      <w:pPr>
        <w:pStyle w:val="ListParagraph"/>
        <w:numPr>
          <w:ilvl w:val="0"/>
          <w:numId w:val="27"/>
        </w:numPr>
        <w:tabs>
          <w:tab w:pos="2380" w:val="left" w:leader="none"/>
          <w:tab w:pos="2382" w:val="left" w:leader="none"/>
        </w:tabs>
        <w:spacing w:line="240" w:lineRule="auto" w:before="117" w:after="0"/>
        <w:ind w:left="2381" w:right="0" w:hanging="794"/>
        <w:jc w:val="left"/>
        <w:rPr>
          <w:sz w:val="13"/>
        </w:rPr>
      </w:pPr>
      <w:r>
        <w:rPr>
          <w:sz w:val="13"/>
        </w:rPr>
        <w:t>Peter</w:t>
      </w:r>
      <w:r>
        <w:rPr>
          <w:spacing w:val="10"/>
          <w:sz w:val="13"/>
        </w:rPr>
        <w:t> </w:t>
      </w:r>
      <w:r>
        <w:rPr>
          <w:sz w:val="13"/>
        </w:rPr>
        <w:t>Butt</w:t>
      </w:r>
      <w:r>
        <w:rPr>
          <w:spacing w:val="11"/>
          <w:sz w:val="13"/>
        </w:rPr>
        <w:t> </w:t>
      </w:r>
      <w:r>
        <w:rPr>
          <w:spacing w:val="2"/>
          <w:sz w:val="13"/>
        </w:rPr>
        <w:t>(ed),</w:t>
      </w:r>
      <w:r>
        <w:rPr>
          <w:spacing w:val="11"/>
          <w:sz w:val="13"/>
        </w:rPr>
        <w:t> </w:t>
      </w:r>
      <w:r>
        <w:rPr>
          <w:i/>
          <w:sz w:val="13"/>
        </w:rPr>
        <w:t>Butterworth’s</w:t>
      </w:r>
      <w:r>
        <w:rPr>
          <w:i/>
          <w:spacing w:val="10"/>
          <w:sz w:val="13"/>
        </w:rPr>
        <w:t> </w:t>
      </w:r>
      <w:r>
        <w:rPr>
          <w:i/>
          <w:sz w:val="13"/>
        </w:rPr>
        <w:t>Concise</w:t>
      </w:r>
      <w:r>
        <w:rPr>
          <w:i/>
          <w:spacing w:val="11"/>
          <w:sz w:val="13"/>
        </w:rPr>
        <w:t> </w:t>
      </w:r>
      <w:r>
        <w:rPr>
          <w:i/>
          <w:sz w:val="13"/>
        </w:rPr>
        <w:t>Australian</w:t>
      </w:r>
      <w:r>
        <w:rPr>
          <w:i/>
          <w:spacing w:val="11"/>
          <w:sz w:val="13"/>
        </w:rPr>
        <w:t> </w:t>
      </w:r>
      <w:r>
        <w:rPr>
          <w:i/>
          <w:sz w:val="13"/>
        </w:rPr>
        <w:t>Legal</w:t>
      </w:r>
      <w:r>
        <w:rPr>
          <w:i/>
          <w:spacing w:val="10"/>
          <w:sz w:val="13"/>
        </w:rPr>
        <w:t> </w:t>
      </w:r>
      <w:r>
        <w:rPr>
          <w:i/>
          <w:sz w:val="13"/>
        </w:rPr>
        <w:t>Dictionary</w:t>
      </w:r>
      <w:r>
        <w:rPr>
          <w:i/>
          <w:spacing w:val="11"/>
          <w:sz w:val="13"/>
        </w:rPr>
        <w:t> </w:t>
      </w:r>
      <w:r>
        <w:rPr>
          <w:spacing w:val="2"/>
          <w:sz w:val="13"/>
        </w:rPr>
        <w:t>(LexisNexis/Butterworths,</w:t>
      </w:r>
      <w:r>
        <w:rPr>
          <w:spacing w:val="11"/>
          <w:sz w:val="13"/>
        </w:rPr>
        <w:t> </w:t>
      </w:r>
      <w:r>
        <w:rPr>
          <w:sz w:val="13"/>
        </w:rPr>
        <w:t>3rd</w:t>
      </w:r>
      <w:r>
        <w:rPr>
          <w:spacing w:val="10"/>
          <w:sz w:val="13"/>
        </w:rPr>
        <w:t> </w:t>
      </w:r>
      <w:r>
        <w:rPr>
          <w:sz w:val="13"/>
        </w:rPr>
        <w:t>ed,</w:t>
      </w:r>
      <w:r>
        <w:rPr>
          <w:spacing w:val="11"/>
          <w:sz w:val="13"/>
        </w:rPr>
        <w:t> </w:t>
      </w:r>
      <w:r>
        <w:rPr>
          <w:spacing w:val="2"/>
          <w:sz w:val="13"/>
        </w:rPr>
        <w:t>2004)</w:t>
      </w:r>
      <w:r>
        <w:rPr>
          <w:spacing w:val="11"/>
          <w:sz w:val="13"/>
        </w:rPr>
        <w:t> </w:t>
      </w:r>
      <w:r>
        <w:rPr>
          <w:sz w:val="13"/>
        </w:rPr>
        <w:t>‘alternative</w:t>
      </w:r>
      <w:r>
        <w:rPr>
          <w:spacing w:val="10"/>
          <w:sz w:val="13"/>
        </w:rPr>
        <w:t> </w:t>
      </w:r>
      <w:r>
        <w:rPr>
          <w:sz w:val="13"/>
        </w:rPr>
        <w:t>dispute</w:t>
      </w:r>
      <w:r>
        <w:rPr>
          <w:spacing w:val="11"/>
          <w:sz w:val="13"/>
        </w:rPr>
        <w:t> </w:t>
      </w:r>
      <w:r>
        <w:rPr>
          <w:sz w:val="13"/>
        </w:rPr>
        <w:t>resolution’.</w:t>
      </w:r>
    </w:p>
    <w:p>
      <w:pPr>
        <w:pStyle w:val="ListParagraph"/>
        <w:numPr>
          <w:ilvl w:val="0"/>
          <w:numId w:val="27"/>
        </w:numPr>
        <w:tabs>
          <w:tab w:pos="2381" w:val="left" w:leader="none"/>
          <w:tab w:pos="2382" w:val="left" w:leader="none"/>
        </w:tabs>
        <w:spacing w:line="240" w:lineRule="auto" w:before="1" w:after="0"/>
        <w:ind w:left="2381" w:right="0" w:hanging="794"/>
        <w:jc w:val="left"/>
        <w:rPr>
          <w:sz w:val="13"/>
        </w:rPr>
      </w:pPr>
      <w:r>
        <w:rPr>
          <w:w w:val="105"/>
          <w:sz w:val="13"/>
        </w:rPr>
        <w:t>Law Institute of Victoria, </w:t>
      </w:r>
      <w:r>
        <w:rPr>
          <w:i/>
          <w:w w:val="105"/>
          <w:sz w:val="13"/>
        </w:rPr>
        <w:t>Mediators </w:t>
      </w:r>
      <w:r>
        <w:rPr>
          <w:w w:val="105"/>
          <w:sz w:val="13"/>
        </w:rPr>
        <w:t>(Online Database)</w:t>
      </w:r>
      <w:r>
        <w:rPr>
          <w:spacing w:val="30"/>
          <w:w w:val="105"/>
          <w:sz w:val="13"/>
        </w:rPr>
        <w:t> </w:t>
      </w:r>
      <w:r>
        <w:rPr>
          <w:spacing w:val="2"/>
          <w:w w:val="105"/>
          <w:sz w:val="13"/>
        </w:rPr>
        <w:t>&lt;https://</w:t>
      </w:r>
      <w:hyperlink r:id="rId61">
        <w:r>
          <w:rPr>
            <w:spacing w:val="2"/>
            <w:w w:val="105"/>
            <w:sz w:val="13"/>
          </w:rPr>
          <w:t>www.liv.asn.au/mediators</w:t>
        </w:r>
      </w:hyperlink>
      <w:r>
        <w:rPr>
          <w:spacing w:val="2"/>
          <w:w w:val="105"/>
          <w:sz w:val="13"/>
        </w:rPr>
        <w:t>&gt;.</w:t>
      </w:r>
    </w:p>
    <w:p>
      <w:pPr>
        <w:pStyle w:val="ListParagraph"/>
        <w:numPr>
          <w:ilvl w:val="0"/>
          <w:numId w:val="27"/>
        </w:numPr>
        <w:tabs>
          <w:tab w:pos="2381" w:val="left" w:leader="none"/>
          <w:tab w:pos="2382" w:val="left" w:leader="none"/>
        </w:tabs>
        <w:spacing w:line="240" w:lineRule="auto" w:before="2" w:after="0"/>
        <w:ind w:left="2381" w:right="0" w:hanging="794"/>
        <w:jc w:val="left"/>
        <w:rPr>
          <w:sz w:val="13"/>
        </w:rPr>
      </w:pPr>
      <w:r>
        <w:rPr>
          <w:w w:val="105"/>
          <w:sz w:val="13"/>
        </w:rPr>
        <w:t>See</w:t>
      </w:r>
      <w:r>
        <w:rPr>
          <w:spacing w:val="4"/>
          <w:w w:val="105"/>
          <w:sz w:val="13"/>
        </w:rPr>
        <w:t> </w:t>
      </w:r>
      <w:r>
        <w:rPr>
          <w:w w:val="105"/>
          <w:sz w:val="13"/>
        </w:rPr>
        <w:t>Dispute</w:t>
      </w:r>
      <w:r>
        <w:rPr>
          <w:spacing w:val="4"/>
          <w:w w:val="105"/>
          <w:sz w:val="13"/>
        </w:rPr>
        <w:t> </w:t>
      </w:r>
      <w:r>
        <w:rPr>
          <w:w w:val="105"/>
          <w:sz w:val="13"/>
        </w:rPr>
        <w:t>Settlement</w:t>
      </w:r>
      <w:r>
        <w:rPr>
          <w:spacing w:val="4"/>
          <w:w w:val="105"/>
          <w:sz w:val="13"/>
        </w:rPr>
        <w:t> </w:t>
      </w:r>
      <w:r>
        <w:rPr>
          <w:w w:val="105"/>
          <w:sz w:val="13"/>
        </w:rPr>
        <w:t>Centre</w:t>
      </w:r>
      <w:r>
        <w:rPr>
          <w:spacing w:val="4"/>
          <w:w w:val="105"/>
          <w:sz w:val="13"/>
        </w:rPr>
        <w:t> </w:t>
      </w:r>
      <w:r>
        <w:rPr>
          <w:w w:val="105"/>
          <w:sz w:val="13"/>
        </w:rPr>
        <w:t>of</w:t>
      </w:r>
      <w:r>
        <w:rPr>
          <w:spacing w:val="4"/>
          <w:w w:val="105"/>
          <w:sz w:val="13"/>
        </w:rPr>
        <w:t> </w:t>
      </w:r>
      <w:r>
        <w:rPr>
          <w:w w:val="105"/>
          <w:sz w:val="13"/>
        </w:rPr>
        <w:t>Victoria,</w:t>
      </w:r>
      <w:r>
        <w:rPr>
          <w:spacing w:val="4"/>
          <w:w w:val="105"/>
          <w:sz w:val="13"/>
        </w:rPr>
        <w:t> </w:t>
      </w:r>
      <w:r>
        <w:rPr>
          <w:i/>
          <w:w w:val="105"/>
          <w:sz w:val="13"/>
        </w:rPr>
        <w:t>Mediation</w:t>
      </w:r>
      <w:r>
        <w:rPr>
          <w:i/>
          <w:spacing w:val="4"/>
          <w:w w:val="105"/>
          <w:sz w:val="13"/>
        </w:rPr>
        <w:t> </w:t>
      </w:r>
      <w:r>
        <w:rPr>
          <w:w w:val="105"/>
          <w:sz w:val="13"/>
        </w:rPr>
        <w:t>(Web</w:t>
      </w:r>
      <w:r>
        <w:rPr>
          <w:spacing w:val="4"/>
          <w:w w:val="105"/>
          <w:sz w:val="13"/>
        </w:rPr>
        <w:t> </w:t>
      </w:r>
      <w:r>
        <w:rPr>
          <w:w w:val="105"/>
          <w:sz w:val="13"/>
        </w:rPr>
        <w:t>Page,</w:t>
      </w:r>
      <w:r>
        <w:rPr>
          <w:spacing w:val="5"/>
          <w:w w:val="105"/>
          <w:sz w:val="13"/>
        </w:rPr>
        <w:t> </w:t>
      </w:r>
      <w:r>
        <w:rPr>
          <w:w w:val="105"/>
          <w:sz w:val="13"/>
        </w:rPr>
        <w:t>3</w:t>
      </w:r>
      <w:r>
        <w:rPr>
          <w:spacing w:val="4"/>
          <w:w w:val="105"/>
          <w:sz w:val="13"/>
        </w:rPr>
        <w:t> </w:t>
      </w:r>
      <w:r>
        <w:rPr>
          <w:w w:val="105"/>
          <w:sz w:val="13"/>
        </w:rPr>
        <w:t>June</w:t>
      </w:r>
      <w:r>
        <w:rPr>
          <w:spacing w:val="4"/>
          <w:w w:val="105"/>
          <w:sz w:val="13"/>
        </w:rPr>
        <w:t> </w:t>
      </w:r>
      <w:r>
        <w:rPr>
          <w:w w:val="105"/>
          <w:sz w:val="13"/>
        </w:rPr>
        <w:t>2019)</w:t>
      </w:r>
      <w:r>
        <w:rPr>
          <w:spacing w:val="4"/>
          <w:w w:val="105"/>
          <w:sz w:val="13"/>
        </w:rPr>
        <w:t> </w:t>
      </w:r>
      <w:r>
        <w:rPr>
          <w:spacing w:val="2"/>
          <w:w w:val="105"/>
          <w:sz w:val="13"/>
        </w:rPr>
        <w:t>&lt;https://</w:t>
      </w:r>
      <w:hyperlink r:id="rId62">
        <w:r>
          <w:rPr>
            <w:spacing w:val="2"/>
            <w:w w:val="105"/>
            <w:sz w:val="13"/>
          </w:rPr>
          <w:t>www.disputes.vic.gov.au/about-us/mediation-0</w:t>
        </w:r>
      </w:hyperlink>
      <w:r>
        <w:rPr>
          <w:spacing w:val="2"/>
          <w:w w:val="105"/>
          <w:sz w:val="13"/>
        </w:rPr>
        <w:t>&gt;.</w:t>
      </w:r>
    </w:p>
    <w:p>
      <w:pPr>
        <w:pStyle w:val="ListParagraph"/>
        <w:numPr>
          <w:ilvl w:val="0"/>
          <w:numId w:val="27"/>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5"/>
          <w:w w:val="105"/>
          <w:sz w:val="13"/>
        </w:rPr>
        <w:t> </w:t>
      </w:r>
      <w:r>
        <w:rPr>
          <w:w w:val="105"/>
          <w:sz w:val="13"/>
        </w:rPr>
        <w:t>generally,</w:t>
      </w:r>
      <w:r>
        <w:rPr>
          <w:spacing w:val="6"/>
          <w:w w:val="105"/>
          <w:sz w:val="13"/>
        </w:rPr>
        <w:t> </w:t>
      </w:r>
      <w:r>
        <w:rPr>
          <w:w w:val="105"/>
          <w:sz w:val="13"/>
        </w:rPr>
        <w:t>Dispute</w:t>
      </w:r>
      <w:r>
        <w:rPr>
          <w:spacing w:val="6"/>
          <w:w w:val="105"/>
          <w:sz w:val="13"/>
        </w:rPr>
        <w:t> </w:t>
      </w:r>
      <w:r>
        <w:rPr>
          <w:w w:val="105"/>
          <w:sz w:val="13"/>
        </w:rPr>
        <w:t>Settlement</w:t>
      </w:r>
      <w:r>
        <w:rPr>
          <w:spacing w:val="5"/>
          <w:w w:val="105"/>
          <w:sz w:val="13"/>
        </w:rPr>
        <w:t> </w:t>
      </w:r>
      <w:r>
        <w:rPr>
          <w:w w:val="105"/>
          <w:sz w:val="13"/>
        </w:rPr>
        <w:t>Centre</w:t>
      </w:r>
      <w:r>
        <w:rPr>
          <w:spacing w:val="6"/>
          <w:w w:val="105"/>
          <w:sz w:val="13"/>
        </w:rPr>
        <w:t> </w:t>
      </w:r>
      <w:r>
        <w:rPr>
          <w:w w:val="105"/>
          <w:sz w:val="13"/>
        </w:rPr>
        <w:t>of</w:t>
      </w:r>
      <w:r>
        <w:rPr>
          <w:spacing w:val="6"/>
          <w:w w:val="105"/>
          <w:sz w:val="13"/>
        </w:rPr>
        <w:t> </w:t>
      </w:r>
      <w:r>
        <w:rPr>
          <w:w w:val="105"/>
          <w:sz w:val="13"/>
        </w:rPr>
        <w:t>Victoria,</w:t>
      </w:r>
      <w:r>
        <w:rPr>
          <w:spacing w:val="6"/>
          <w:w w:val="105"/>
          <w:sz w:val="13"/>
        </w:rPr>
        <w:t> </w:t>
      </w:r>
      <w:r>
        <w:rPr>
          <w:i/>
          <w:w w:val="105"/>
          <w:sz w:val="13"/>
        </w:rPr>
        <w:t>About</w:t>
      </w:r>
      <w:r>
        <w:rPr>
          <w:i/>
          <w:spacing w:val="5"/>
          <w:w w:val="105"/>
          <w:sz w:val="13"/>
        </w:rPr>
        <w:t> </w:t>
      </w:r>
      <w:r>
        <w:rPr>
          <w:i/>
          <w:w w:val="105"/>
          <w:sz w:val="13"/>
        </w:rPr>
        <w:t>Us</w:t>
      </w:r>
      <w:r>
        <w:rPr>
          <w:i/>
          <w:spacing w:val="6"/>
          <w:w w:val="105"/>
          <w:sz w:val="13"/>
        </w:rPr>
        <w:t> </w:t>
      </w:r>
      <w:r>
        <w:rPr>
          <w:w w:val="105"/>
          <w:sz w:val="13"/>
        </w:rPr>
        <w:t>(Web</w:t>
      </w:r>
      <w:r>
        <w:rPr>
          <w:spacing w:val="6"/>
          <w:w w:val="105"/>
          <w:sz w:val="13"/>
        </w:rPr>
        <w:t> </w:t>
      </w:r>
      <w:r>
        <w:rPr>
          <w:w w:val="105"/>
          <w:sz w:val="13"/>
        </w:rPr>
        <w:t>Page,</w:t>
      </w:r>
      <w:r>
        <w:rPr>
          <w:spacing w:val="6"/>
          <w:w w:val="105"/>
          <w:sz w:val="13"/>
        </w:rPr>
        <w:t> </w:t>
      </w:r>
      <w:r>
        <w:rPr>
          <w:w w:val="105"/>
          <w:sz w:val="13"/>
        </w:rPr>
        <w:t>4</w:t>
      </w:r>
      <w:r>
        <w:rPr>
          <w:spacing w:val="5"/>
          <w:w w:val="105"/>
          <w:sz w:val="13"/>
        </w:rPr>
        <w:t> </w:t>
      </w:r>
      <w:r>
        <w:rPr>
          <w:w w:val="105"/>
          <w:sz w:val="13"/>
        </w:rPr>
        <w:t>January</w:t>
      </w:r>
      <w:r>
        <w:rPr>
          <w:spacing w:val="6"/>
          <w:w w:val="105"/>
          <w:sz w:val="13"/>
        </w:rPr>
        <w:t> </w:t>
      </w:r>
      <w:r>
        <w:rPr>
          <w:w w:val="105"/>
          <w:sz w:val="13"/>
        </w:rPr>
        <w:t>2019)</w:t>
      </w:r>
      <w:r>
        <w:rPr>
          <w:spacing w:val="6"/>
          <w:w w:val="105"/>
          <w:sz w:val="13"/>
        </w:rPr>
        <w:t> </w:t>
      </w:r>
      <w:r>
        <w:rPr>
          <w:w w:val="105"/>
          <w:sz w:val="13"/>
        </w:rPr>
        <w:t>&lt;https://</w:t>
      </w:r>
      <w:hyperlink r:id="rId34">
        <w:r>
          <w:rPr>
            <w:w w:val="105"/>
            <w:sz w:val="13"/>
          </w:rPr>
          <w:t>www.disputes.vic.gov.au/about-us</w:t>
        </w:r>
      </w:hyperlink>
      <w:r>
        <w:rPr>
          <w:w w:val="105"/>
          <w:sz w:val="13"/>
        </w:rPr>
        <w:t>&gt;.</w:t>
      </w:r>
    </w:p>
    <w:p>
      <w:pPr>
        <w:pStyle w:val="ListParagraph"/>
        <w:numPr>
          <w:ilvl w:val="0"/>
          <w:numId w:val="27"/>
        </w:numPr>
        <w:tabs>
          <w:tab w:pos="2381" w:val="left" w:leader="none"/>
          <w:tab w:pos="2382" w:val="left" w:leader="none"/>
        </w:tabs>
        <w:spacing w:line="240" w:lineRule="auto" w:before="1" w:after="0"/>
        <w:ind w:left="2381" w:right="1711" w:hanging="794"/>
        <w:jc w:val="left"/>
        <w:rPr>
          <w:sz w:val="13"/>
        </w:rPr>
      </w:pPr>
      <w:r>
        <w:rPr/>
        <w:pict>
          <v:shape style="position:absolute;margin-left:548.96051pt;margin-top:11.013564pt;width:13.2pt;height:14.25pt;mso-position-horizontal-relative:page;mso-position-vertical-relative:paragraph;z-index:3064" type="#_x0000_t202" filled="false" stroked="false">
            <v:textbox inset="0,0,0,0">
              <w:txbxContent>
                <w:p>
                  <w:pPr>
                    <w:spacing w:line="284" w:lineRule="exact" w:before="0"/>
                    <w:ind w:left="0" w:right="0" w:firstLine="0"/>
                    <w:jc w:val="left"/>
                    <w:rPr>
                      <w:b/>
                      <w:sz w:val="24"/>
                    </w:rPr>
                  </w:pPr>
                  <w:r>
                    <w:rPr>
                      <w:b/>
                      <w:color w:val="658464"/>
                      <w:spacing w:val="-2"/>
                      <w:w w:val="110"/>
                      <w:sz w:val="24"/>
                    </w:rPr>
                    <w:t>29</w:t>
                  </w:r>
                </w:p>
              </w:txbxContent>
            </v:textbox>
            <w10:wrap type="none"/>
          </v:shape>
        </w:pict>
      </w:r>
      <w:r>
        <w:rPr>
          <w:w w:val="105"/>
          <w:sz w:val="13"/>
        </w:rPr>
        <w:t>Information provided by the Dispute Settle Centre of Victoria </w:t>
      </w:r>
      <w:r>
        <w:rPr>
          <w:spacing w:val="3"/>
          <w:w w:val="105"/>
          <w:sz w:val="13"/>
        </w:rPr>
        <w:t>(DSCV) </w:t>
      </w:r>
      <w:r>
        <w:rPr>
          <w:w w:val="105"/>
          <w:sz w:val="13"/>
        </w:rPr>
        <w:t>as part of a data request from the Commission, November 2018 and clarification of data provided in May</w:t>
      </w:r>
      <w:r>
        <w:rPr>
          <w:spacing w:val="27"/>
          <w:w w:val="105"/>
          <w:sz w:val="13"/>
        </w:rPr>
        <w:t> </w:t>
      </w:r>
      <w:r>
        <w:rPr>
          <w:w w:val="105"/>
          <w:sz w:val="13"/>
        </w:rPr>
        <w:t>2019.</w:t>
      </w:r>
    </w:p>
    <w:p>
      <w:pPr>
        <w:pStyle w:val="ListParagraph"/>
        <w:numPr>
          <w:ilvl w:val="0"/>
          <w:numId w:val="27"/>
        </w:numPr>
        <w:tabs>
          <w:tab w:pos="2381" w:val="left" w:leader="none"/>
          <w:tab w:pos="2382" w:val="left" w:leader="none"/>
        </w:tabs>
        <w:spacing w:line="240" w:lineRule="auto" w:before="3" w:after="0"/>
        <w:ind w:left="2381" w:right="0" w:hanging="794"/>
        <w:jc w:val="left"/>
        <w:rPr>
          <w:sz w:val="13"/>
        </w:rPr>
      </w:pPr>
      <w:r>
        <w:rPr>
          <w:w w:val="105"/>
          <w:sz w:val="13"/>
        </w:rPr>
        <w:t>Consultation 7 (Dispute Settlement Centre of</w:t>
      </w:r>
      <w:r>
        <w:rPr>
          <w:spacing w:val="28"/>
          <w:w w:val="105"/>
          <w:sz w:val="13"/>
        </w:rPr>
        <w:t> </w:t>
      </w:r>
      <w:r>
        <w:rPr>
          <w:w w:val="105"/>
          <w:sz w:val="13"/>
        </w:rPr>
        <w:t>Victoria).</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16"/>
        </w:numPr>
        <w:tabs>
          <w:tab w:pos="2380" w:val="left" w:leader="none"/>
          <w:tab w:pos="2381" w:val="left" w:leader="none"/>
        </w:tabs>
        <w:spacing w:line="242" w:lineRule="auto" w:before="92" w:after="0"/>
        <w:ind w:left="2381" w:right="1891" w:hanging="794"/>
        <w:jc w:val="left"/>
        <w:rPr>
          <w:sz w:val="21"/>
        </w:rPr>
      </w:pPr>
      <w:bookmarkStart w:name="_bookmark24" w:id="68"/>
      <w:bookmarkEnd w:id="68"/>
      <w:r>
        <w:rPr/>
      </w:r>
      <w:bookmarkStart w:name="_bookmark24" w:id="69"/>
      <w:bookmarkEnd w:id="69"/>
      <w:r>
        <w:rPr>
          <w:w w:val="105"/>
          <w:sz w:val="21"/>
        </w:rPr>
        <w:t>W</w:t>
      </w:r>
      <w:r>
        <w:rPr>
          <w:w w:val="105"/>
          <w:sz w:val="21"/>
        </w:rPr>
        <w:t>hen a person first contacts </w:t>
      </w:r>
      <w:r>
        <w:rPr>
          <w:spacing w:val="-5"/>
          <w:w w:val="105"/>
          <w:sz w:val="21"/>
        </w:rPr>
        <w:t>DSCV, </w:t>
      </w:r>
      <w:r>
        <w:rPr>
          <w:w w:val="105"/>
          <w:sz w:val="21"/>
        </w:rPr>
        <w:t>they speak </w:t>
      </w:r>
      <w:r>
        <w:rPr>
          <w:spacing w:val="-3"/>
          <w:w w:val="105"/>
          <w:sz w:val="21"/>
        </w:rPr>
        <w:t>to </w:t>
      </w:r>
      <w:r>
        <w:rPr>
          <w:w w:val="105"/>
          <w:sz w:val="21"/>
        </w:rPr>
        <w:t>a </w:t>
      </w:r>
      <w:r>
        <w:rPr>
          <w:spacing w:val="-3"/>
          <w:w w:val="105"/>
          <w:sz w:val="21"/>
        </w:rPr>
        <w:t>Dispute </w:t>
      </w:r>
      <w:r>
        <w:rPr>
          <w:w w:val="105"/>
          <w:sz w:val="21"/>
        </w:rPr>
        <w:t>Assessment Officer (DAO) who provides general support and advice on </w:t>
      </w:r>
      <w:r>
        <w:rPr>
          <w:spacing w:val="-3"/>
          <w:w w:val="105"/>
          <w:sz w:val="21"/>
        </w:rPr>
        <w:t>dispute resolution,</w:t>
      </w:r>
      <w:r>
        <w:rPr>
          <w:spacing w:val="18"/>
          <w:w w:val="105"/>
          <w:sz w:val="21"/>
        </w:rPr>
        <w:t> </w:t>
      </w:r>
      <w:r>
        <w:rPr>
          <w:spacing w:val="-3"/>
          <w:w w:val="105"/>
          <w:sz w:val="21"/>
        </w:rPr>
        <w:t>including:</w:t>
      </w:r>
    </w:p>
    <w:p>
      <w:pPr>
        <w:pStyle w:val="ListParagraph"/>
        <w:numPr>
          <w:ilvl w:val="2"/>
          <w:numId w:val="16"/>
        </w:numPr>
        <w:tabs>
          <w:tab w:pos="2721" w:val="left" w:leader="none"/>
          <w:tab w:pos="2722" w:val="left" w:leader="none"/>
        </w:tabs>
        <w:spacing w:line="240" w:lineRule="auto" w:before="122" w:after="0"/>
        <w:ind w:left="2721" w:right="0" w:hanging="340"/>
        <w:jc w:val="left"/>
        <w:rPr>
          <w:sz w:val="21"/>
        </w:rPr>
      </w:pPr>
      <w:r>
        <w:rPr>
          <w:spacing w:val="-3"/>
          <w:sz w:val="21"/>
        </w:rPr>
        <w:t>listening to </w:t>
      </w:r>
      <w:r>
        <w:rPr>
          <w:sz w:val="21"/>
        </w:rPr>
        <w:t>the </w:t>
      </w:r>
      <w:r>
        <w:rPr>
          <w:spacing w:val="-3"/>
          <w:sz w:val="21"/>
        </w:rPr>
        <w:t>client’s</w:t>
      </w:r>
      <w:r>
        <w:rPr>
          <w:spacing w:val="40"/>
          <w:sz w:val="21"/>
        </w:rPr>
        <w:t> </w:t>
      </w:r>
      <w:r>
        <w:rPr>
          <w:spacing w:val="-3"/>
          <w:sz w:val="21"/>
        </w:rPr>
        <w:t>concerns</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sz w:val="21"/>
        </w:rPr>
        <w:t>helping to </w:t>
      </w:r>
      <w:r>
        <w:rPr>
          <w:sz w:val="21"/>
        </w:rPr>
        <w:t>clarify the</w:t>
      </w:r>
      <w:r>
        <w:rPr>
          <w:spacing w:val="39"/>
          <w:sz w:val="21"/>
        </w:rPr>
        <w:t> </w:t>
      </w:r>
      <w:r>
        <w:rPr>
          <w:sz w:val="21"/>
        </w:rPr>
        <w:t>issues</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pacing w:val="-3"/>
          <w:w w:val="105"/>
          <w:sz w:val="21"/>
        </w:rPr>
        <w:t>answering</w:t>
      </w:r>
      <w:r>
        <w:rPr>
          <w:spacing w:val="5"/>
          <w:w w:val="105"/>
          <w:sz w:val="21"/>
        </w:rPr>
        <w:t> </w:t>
      </w:r>
      <w:r>
        <w:rPr>
          <w:w w:val="105"/>
          <w:sz w:val="21"/>
        </w:rPr>
        <w:t>questions</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w w:val="105"/>
          <w:sz w:val="21"/>
        </w:rPr>
        <w:t>providing techniques </w:t>
      </w:r>
      <w:r>
        <w:rPr>
          <w:w w:val="105"/>
          <w:sz w:val="21"/>
        </w:rPr>
        <w:t>and </w:t>
      </w:r>
      <w:r>
        <w:rPr>
          <w:spacing w:val="-2"/>
          <w:w w:val="105"/>
          <w:sz w:val="21"/>
        </w:rPr>
        <w:t>strategies </w:t>
      </w:r>
      <w:r>
        <w:rPr>
          <w:spacing w:val="-3"/>
          <w:w w:val="105"/>
          <w:sz w:val="21"/>
        </w:rPr>
        <w:t>for </w:t>
      </w:r>
      <w:r>
        <w:rPr>
          <w:w w:val="105"/>
          <w:sz w:val="21"/>
        </w:rPr>
        <w:t>resolving the</w:t>
      </w:r>
      <w:r>
        <w:rPr>
          <w:spacing w:val="41"/>
          <w:w w:val="105"/>
          <w:sz w:val="21"/>
        </w:rPr>
        <w:t> </w:t>
      </w:r>
      <w:r>
        <w:rPr>
          <w:spacing w:val="-3"/>
          <w:w w:val="105"/>
          <w:sz w:val="21"/>
        </w:rPr>
        <w:t>dispute</w:t>
      </w:r>
    </w:p>
    <w:p>
      <w:pPr>
        <w:pStyle w:val="ListParagraph"/>
        <w:numPr>
          <w:ilvl w:val="2"/>
          <w:numId w:val="16"/>
        </w:numPr>
        <w:tabs>
          <w:tab w:pos="2721" w:val="left" w:leader="none"/>
          <w:tab w:pos="2722" w:val="left" w:leader="none"/>
        </w:tabs>
        <w:spacing w:line="240" w:lineRule="auto" w:before="89" w:after="0"/>
        <w:ind w:left="2721" w:right="0" w:hanging="340"/>
        <w:jc w:val="left"/>
        <w:rPr>
          <w:sz w:val="12"/>
        </w:rPr>
      </w:pPr>
      <w:r>
        <w:rPr>
          <w:spacing w:val="-3"/>
          <w:sz w:val="21"/>
        </w:rPr>
        <w:t>referring </w:t>
      </w:r>
      <w:r>
        <w:rPr>
          <w:sz w:val="21"/>
        </w:rPr>
        <w:t>clients </w:t>
      </w:r>
      <w:r>
        <w:rPr>
          <w:spacing w:val="-3"/>
          <w:sz w:val="21"/>
        </w:rPr>
        <w:t>to</w:t>
      </w:r>
      <w:r>
        <w:rPr>
          <w:spacing w:val="18"/>
          <w:sz w:val="21"/>
        </w:rPr>
        <w:t> </w:t>
      </w:r>
      <w:r>
        <w:rPr>
          <w:sz w:val="21"/>
        </w:rPr>
        <w:t>other specialist services where needed.</w:t>
      </w:r>
      <w:r>
        <w:rPr>
          <w:position w:val="7"/>
          <w:sz w:val="12"/>
        </w:rPr>
        <w:t>29</w:t>
      </w:r>
    </w:p>
    <w:p>
      <w:pPr>
        <w:pStyle w:val="ListParagraph"/>
        <w:numPr>
          <w:ilvl w:val="1"/>
          <w:numId w:val="16"/>
        </w:numPr>
        <w:tabs>
          <w:tab w:pos="2381" w:val="left" w:leader="none"/>
          <w:tab w:pos="2382" w:val="left" w:leader="none"/>
        </w:tabs>
        <w:spacing w:line="242" w:lineRule="auto" w:before="88" w:after="0"/>
        <w:ind w:left="2381" w:right="1755" w:hanging="794"/>
        <w:jc w:val="left"/>
        <w:rPr>
          <w:sz w:val="21"/>
        </w:rPr>
      </w:pPr>
      <w:r>
        <w:rPr>
          <w:sz w:val="21"/>
        </w:rPr>
        <w:t>DSCV </w:t>
      </w:r>
      <w:r>
        <w:rPr>
          <w:spacing w:val="-3"/>
          <w:sz w:val="21"/>
        </w:rPr>
        <w:t>informs </w:t>
      </w:r>
      <w:r>
        <w:rPr>
          <w:sz w:val="21"/>
        </w:rPr>
        <w:t>clients </w:t>
      </w:r>
      <w:r>
        <w:rPr>
          <w:spacing w:val="-3"/>
          <w:sz w:val="21"/>
        </w:rPr>
        <w:t>that </w:t>
      </w:r>
      <w:r>
        <w:rPr>
          <w:sz w:val="21"/>
        </w:rPr>
        <w:t>tree </w:t>
      </w:r>
      <w:r>
        <w:rPr>
          <w:spacing w:val="-3"/>
          <w:sz w:val="21"/>
        </w:rPr>
        <w:t>disputes are </w:t>
      </w:r>
      <w:r>
        <w:rPr>
          <w:sz w:val="21"/>
        </w:rPr>
        <w:t>governed by the </w:t>
      </w:r>
      <w:r>
        <w:rPr>
          <w:spacing w:val="-2"/>
          <w:sz w:val="21"/>
        </w:rPr>
        <w:t>common </w:t>
      </w:r>
      <w:r>
        <w:rPr>
          <w:sz w:val="21"/>
        </w:rPr>
        <w:t>law and  </w:t>
      </w:r>
      <w:r>
        <w:rPr>
          <w:spacing w:val="-3"/>
          <w:sz w:val="21"/>
        </w:rPr>
        <w:t>that  </w:t>
      </w:r>
      <w:r>
        <w:rPr>
          <w:sz w:val="21"/>
        </w:rPr>
        <w:t>it </w:t>
      </w:r>
      <w:r>
        <w:rPr>
          <w:spacing w:val="-3"/>
          <w:sz w:val="21"/>
        </w:rPr>
        <w:t>cannot </w:t>
      </w:r>
      <w:r>
        <w:rPr>
          <w:sz w:val="21"/>
        </w:rPr>
        <w:t>provide legal </w:t>
      </w:r>
      <w:r>
        <w:rPr>
          <w:spacing w:val="-3"/>
          <w:sz w:val="21"/>
        </w:rPr>
        <w:t>advice. </w:t>
      </w:r>
      <w:r>
        <w:rPr>
          <w:sz w:val="21"/>
        </w:rPr>
        <w:t>DSCV focuses on </w:t>
      </w:r>
      <w:r>
        <w:rPr>
          <w:spacing w:val="-3"/>
          <w:sz w:val="21"/>
        </w:rPr>
        <w:t>reshaping </w:t>
      </w:r>
      <w:r>
        <w:rPr>
          <w:sz w:val="21"/>
        </w:rPr>
        <w:t>the </w:t>
      </w:r>
      <w:r>
        <w:rPr>
          <w:spacing w:val="-2"/>
          <w:sz w:val="21"/>
        </w:rPr>
        <w:t>conversation </w:t>
      </w:r>
      <w:r>
        <w:rPr>
          <w:sz w:val="21"/>
        </w:rPr>
        <w:t>and </w:t>
      </w:r>
      <w:r>
        <w:rPr>
          <w:spacing w:val="-3"/>
          <w:sz w:val="21"/>
        </w:rPr>
        <w:t>discussing dispute </w:t>
      </w:r>
      <w:r>
        <w:rPr>
          <w:sz w:val="21"/>
        </w:rPr>
        <w:t>resolution options </w:t>
      </w:r>
      <w:r>
        <w:rPr>
          <w:spacing w:val="-3"/>
          <w:sz w:val="21"/>
        </w:rPr>
        <w:t>rather than </w:t>
      </w:r>
      <w:r>
        <w:rPr>
          <w:sz w:val="21"/>
        </w:rPr>
        <w:t>legal</w:t>
      </w:r>
      <w:r>
        <w:rPr>
          <w:spacing w:val="18"/>
          <w:sz w:val="21"/>
        </w:rPr>
        <w:t> </w:t>
      </w:r>
      <w:r>
        <w:rPr>
          <w:sz w:val="21"/>
        </w:rPr>
        <w:t>options.</w:t>
      </w:r>
      <w:r>
        <w:rPr>
          <w:position w:val="7"/>
          <w:sz w:val="12"/>
        </w:rPr>
        <w:t>30</w:t>
      </w:r>
    </w:p>
    <w:p>
      <w:pPr>
        <w:pStyle w:val="ListParagraph"/>
        <w:numPr>
          <w:ilvl w:val="1"/>
          <w:numId w:val="16"/>
        </w:numPr>
        <w:tabs>
          <w:tab w:pos="2381" w:val="left" w:leader="none"/>
          <w:tab w:pos="2382" w:val="left" w:leader="none"/>
        </w:tabs>
        <w:spacing w:line="242" w:lineRule="auto" w:before="124" w:after="0"/>
        <w:ind w:left="2381" w:right="1718" w:hanging="794"/>
        <w:jc w:val="left"/>
        <w:rPr>
          <w:sz w:val="21"/>
        </w:rPr>
      </w:pPr>
      <w:r>
        <w:rPr>
          <w:sz w:val="21"/>
        </w:rPr>
        <w:t>With the </w:t>
      </w:r>
      <w:r>
        <w:rPr>
          <w:spacing w:val="-3"/>
          <w:sz w:val="21"/>
        </w:rPr>
        <w:t>client’s consent, </w:t>
      </w:r>
      <w:r>
        <w:rPr>
          <w:sz w:val="21"/>
        </w:rPr>
        <w:t>a </w:t>
      </w:r>
      <w:r>
        <w:rPr>
          <w:spacing w:val="-5"/>
          <w:sz w:val="21"/>
        </w:rPr>
        <w:t>DAO </w:t>
      </w:r>
      <w:r>
        <w:rPr>
          <w:spacing w:val="-3"/>
          <w:sz w:val="21"/>
        </w:rPr>
        <w:t>may </w:t>
      </w:r>
      <w:r>
        <w:rPr>
          <w:sz w:val="21"/>
        </w:rPr>
        <w:t>also  contact  the  other  party  </w:t>
      </w:r>
      <w:r>
        <w:rPr>
          <w:spacing w:val="-3"/>
          <w:sz w:val="21"/>
        </w:rPr>
        <w:t>to  </w:t>
      </w:r>
      <w:r>
        <w:rPr>
          <w:sz w:val="21"/>
        </w:rPr>
        <w:t>the  </w:t>
      </w:r>
      <w:r>
        <w:rPr>
          <w:spacing w:val="-4"/>
          <w:sz w:val="21"/>
        </w:rPr>
        <w:t>dispute.</w:t>
      </w:r>
      <w:r>
        <w:rPr>
          <w:spacing w:val="-4"/>
          <w:position w:val="7"/>
          <w:sz w:val="12"/>
        </w:rPr>
        <w:t>31</w:t>
      </w:r>
      <w:r>
        <w:rPr>
          <w:spacing w:val="-4"/>
          <w:sz w:val="12"/>
        </w:rPr>
        <w:t> </w:t>
      </w:r>
      <w:r>
        <w:rPr>
          <w:sz w:val="21"/>
        </w:rPr>
        <w:t>Where the other party agrees </w:t>
      </w:r>
      <w:r>
        <w:rPr>
          <w:spacing w:val="-3"/>
          <w:sz w:val="21"/>
        </w:rPr>
        <w:t>to participate,  </w:t>
      </w:r>
      <w:r>
        <w:rPr>
          <w:sz w:val="21"/>
        </w:rPr>
        <w:t>the </w:t>
      </w:r>
      <w:r>
        <w:rPr>
          <w:spacing w:val="-5"/>
          <w:sz w:val="21"/>
        </w:rPr>
        <w:t>DAO  </w:t>
      </w:r>
      <w:r>
        <w:rPr>
          <w:spacing w:val="-3"/>
          <w:sz w:val="21"/>
        </w:rPr>
        <w:t>will  </w:t>
      </w:r>
      <w:r>
        <w:rPr>
          <w:sz w:val="21"/>
        </w:rPr>
        <w:t>work </w:t>
      </w:r>
      <w:r>
        <w:rPr>
          <w:spacing w:val="-3"/>
          <w:sz w:val="21"/>
        </w:rPr>
        <w:t>to</w:t>
      </w:r>
      <w:r>
        <w:rPr>
          <w:spacing w:val="41"/>
          <w:sz w:val="21"/>
        </w:rPr>
        <w:t> </w:t>
      </w:r>
      <w:r>
        <w:rPr>
          <w:sz w:val="21"/>
        </w:rPr>
        <w:t>identify the issues in the </w:t>
      </w:r>
      <w:r>
        <w:rPr>
          <w:spacing w:val="-3"/>
          <w:sz w:val="21"/>
        </w:rPr>
        <w:t>dispute, </w:t>
      </w:r>
      <w:r>
        <w:rPr>
          <w:sz w:val="21"/>
        </w:rPr>
        <w:t>suggest options </w:t>
      </w:r>
      <w:r>
        <w:rPr>
          <w:spacing w:val="-3"/>
          <w:sz w:val="21"/>
        </w:rPr>
        <w:t>to </w:t>
      </w:r>
      <w:r>
        <w:rPr>
          <w:sz w:val="21"/>
        </w:rPr>
        <w:t>parties and try </w:t>
      </w:r>
      <w:r>
        <w:rPr>
          <w:spacing w:val="-3"/>
          <w:sz w:val="21"/>
        </w:rPr>
        <w:t>to </w:t>
      </w:r>
      <w:r>
        <w:rPr>
          <w:sz w:val="21"/>
        </w:rPr>
        <w:t>resolve the matter </w:t>
      </w:r>
      <w:r>
        <w:rPr>
          <w:spacing w:val="-3"/>
          <w:sz w:val="21"/>
        </w:rPr>
        <w:t>separately </w:t>
      </w:r>
      <w:r>
        <w:rPr>
          <w:sz w:val="21"/>
        </w:rPr>
        <w:t>with each party over the </w:t>
      </w:r>
      <w:r>
        <w:rPr>
          <w:spacing w:val="-3"/>
          <w:sz w:val="21"/>
        </w:rPr>
        <w:t>phone. </w:t>
      </w:r>
      <w:r>
        <w:rPr>
          <w:sz w:val="21"/>
        </w:rPr>
        <w:t>If this </w:t>
      </w:r>
      <w:r>
        <w:rPr>
          <w:spacing w:val="-3"/>
          <w:sz w:val="21"/>
        </w:rPr>
        <w:t>fails, </w:t>
      </w:r>
      <w:r>
        <w:rPr>
          <w:sz w:val="21"/>
        </w:rPr>
        <w:t>the </w:t>
      </w:r>
      <w:r>
        <w:rPr>
          <w:spacing w:val="-3"/>
          <w:sz w:val="21"/>
        </w:rPr>
        <w:t>dispute may </w:t>
      </w:r>
      <w:r>
        <w:rPr>
          <w:sz w:val="21"/>
        </w:rPr>
        <w:t>be </w:t>
      </w:r>
      <w:r>
        <w:rPr>
          <w:spacing w:val="-3"/>
          <w:sz w:val="21"/>
        </w:rPr>
        <w:t>referred to accredited  </w:t>
      </w:r>
      <w:r>
        <w:rPr>
          <w:sz w:val="21"/>
        </w:rPr>
        <w:t>mediators </w:t>
      </w:r>
      <w:r>
        <w:rPr>
          <w:spacing w:val="-3"/>
          <w:sz w:val="21"/>
        </w:rPr>
        <w:t>within</w:t>
      </w:r>
      <w:r>
        <w:rPr>
          <w:spacing w:val="8"/>
          <w:sz w:val="21"/>
        </w:rPr>
        <w:t> </w:t>
      </w:r>
      <w:r>
        <w:rPr>
          <w:spacing w:val="-4"/>
          <w:sz w:val="21"/>
        </w:rPr>
        <w:t>DSCV.</w:t>
      </w:r>
      <w:r>
        <w:rPr>
          <w:spacing w:val="-4"/>
          <w:position w:val="7"/>
          <w:sz w:val="12"/>
        </w:rPr>
        <w:t>32</w:t>
      </w:r>
    </w:p>
    <w:p>
      <w:pPr>
        <w:pStyle w:val="ListParagraph"/>
        <w:numPr>
          <w:ilvl w:val="1"/>
          <w:numId w:val="16"/>
        </w:numPr>
        <w:tabs>
          <w:tab w:pos="2380" w:val="left" w:leader="none"/>
          <w:tab w:pos="2381" w:val="left" w:leader="none"/>
        </w:tabs>
        <w:spacing w:line="242" w:lineRule="auto" w:before="125" w:after="0"/>
        <w:ind w:left="2381" w:right="1815" w:hanging="794"/>
        <w:jc w:val="left"/>
        <w:rPr>
          <w:sz w:val="21"/>
        </w:rPr>
      </w:pPr>
      <w:r>
        <w:rPr>
          <w:sz w:val="21"/>
        </w:rPr>
        <w:t>If a </w:t>
      </w:r>
      <w:r>
        <w:rPr>
          <w:spacing w:val="-3"/>
          <w:sz w:val="21"/>
        </w:rPr>
        <w:t>dispute </w:t>
      </w:r>
      <w:r>
        <w:rPr>
          <w:sz w:val="21"/>
        </w:rPr>
        <w:t>is assessed as suitable </w:t>
      </w:r>
      <w:r>
        <w:rPr>
          <w:spacing w:val="-3"/>
          <w:sz w:val="21"/>
        </w:rPr>
        <w:t>for </w:t>
      </w:r>
      <w:r>
        <w:rPr>
          <w:spacing w:val="-2"/>
          <w:sz w:val="21"/>
        </w:rPr>
        <w:t>mediation,</w:t>
      </w:r>
      <w:r>
        <w:rPr>
          <w:spacing w:val="-2"/>
          <w:position w:val="7"/>
          <w:sz w:val="12"/>
        </w:rPr>
        <w:t>33 </w:t>
      </w:r>
      <w:r>
        <w:rPr>
          <w:sz w:val="21"/>
        </w:rPr>
        <w:t>it can be scheduled quickly (generally </w:t>
      </w:r>
      <w:r>
        <w:rPr>
          <w:spacing w:val="-3"/>
          <w:sz w:val="21"/>
        </w:rPr>
        <w:t>within </w:t>
      </w:r>
      <w:r>
        <w:rPr>
          <w:sz w:val="21"/>
        </w:rPr>
        <w:t>two weeks of </w:t>
      </w:r>
      <w:r>
        <w:rPr>
          <w:spacing w:val="-3"/>
          <w:sz w:val="21"/>
        </w:rPr>
        <w:t>referral) </w:t>
      </w:r>
      <w:r>
        <w:rPr>
          <w:sz w:val="21"/>
        </w:rPr>
        <w:t>and held at a location suitable </w:t>
      </w:r>
      <w:r>
        <w:rPr>
          <w:spacing w:val="-3"/>
          <w:sz w:val="21"/>
        </w:rPr>
        <w:t>to </w:t>
      </w:r>
      <w:r>
        <w:rPr>
          <w:sz w:val="21"/>
        </w:rPr>
        <w:t>the parties. Mediation is voluntary and </w:t>
      </w:r>
      <w:r>
        <w:rPr>
          <w:spacing w:val="-3"/>
          <w:sz w:val="21"/>
        </w:rPr>
        <w:t>proceedings are confidential. </w:t>
      </w:r>
      <w:r>
        <w:rPr>
          <w:sz w:val="21"/>
        </w:rPr>
        <w:t>The </w:t>
      </w:r>
      <w:r>
        <w:rPr>
          <w:spacing w:val="-3"/>
          <w:sz w:val="21"/>
        </w:rPr>
        <w:t>mediator will invite </w:t>
      </w:r>
      <w:r>
        <w:rPr>
          <w:sz w:val="21"/>
        </w:rPr>
        <w:t>the parties </w:t>
      </w:r>
      <w:r>
        <w:rPr>
          <w:spacing w:val="-3"/>
          <w:sz w:val="21"/>
        </w:rPr>
        <w:t>to share </w:t>
      </w:r>
      <w:r>
        <w:rPr>
          <w:sz w:val="21"/>
        </w:rPr>
        <w:t>their views, explain what </w:t>
      </w:r>
      <w:r>
        <w:rPr>
          <w:spacing w:val="-2"/>
          <w:sz w:val="21"/>
        </w:rPr>
        <w:t>has </w:t>
      </w:r>
      <w:r>
        <w:rPr>
          <w:sz w:val="21"/>
        </w:rPr>
        <w:t>led </w:t>
      </w:r>
      <w:r>
        <w:rPr>
          <w:spacing w:val="-3"/>
          <w:sz w:val="21"/>
        </w:rPr>
        <w:t>to </w:t>
      </w:r>
      <w:r>
        <w:rPr>
          <w:sz w:val="21"/>
        </w:rPr>
        <w:t>the </w:t>
      </w:r>
      <w:r>
        <w:rPr>
          <w:spacing w:val="-3"/>
          <w:sz w:val="21"/>
        </w:rPr>
        <w:t>dispute, </w:t>
      </w:r>
      <w:r>
        <w:rPr>
          <w:sz w:val="21"/>
        </w:rPr>
        <w:t>and how they propose </w:t>
      </w:r>
      <w:r>
        <w:rPr>
          <w:spacing w:val="-3"/>
          <w:sz w:val="21"/>
        </w:rPr>
        <w:t>to </w:t>
      </w:r>
      <w:r>
        <w:rPr>
          <w:sz w:val="21"/>
        </w:rPr>
        <w:t>resolve the </w:t>
      </w:r>
      <w:r>
        <w:rPr>
          <w:spacing w:val="-3"/>
          <w:sz w:val="21"/>
        </w:rPr>
        <w:t>issue. </w:t>
      </w:r>
      <w:r>
        <w:rPr>
          <w:sz w:val="21"/>
        </w:rPr>
        <w:t>Parties </w:t>
      </w:r>
      <w:r>
        <w:rPr>
          <w:spacing w:val="-3"/>
          <w:sz w:val="21"/>
        </w:rPr>
        <w:t>may </w:t>
      </w:r>
      <w:r>
        <w:rPr>
          <w:sz w:val="21"/>
        </w:rPr>
        <w:t>be in the same room, or in </w:t>
      </w:r>
      <w:r>
        <w:rPr>
          <w:spacing w:val="-3"/>
          <w:sz w:val="21"/>
        </w:rPr>
        <w:t>separate </w:t>
      </w:r>
      <w:r>
        <w:rPr>
          <w:sz w:val="21"/>
        </w:rPr>
        <w:t>rooms, with a </w:t>
      </w:r>
      <w:r>
        <w:rPr>
          <w:spacing w:val="-3"/>
          <w:sz w:val="21"/>
        </w:rPr>
        <w:t>mediator  </w:t>
      </w:r>
      <w:r>
        <w:rPr>
          <w:sz w:val="21"/>
        </w:rPr>
        <w:t>acting as  an</w:t>
      </w:r>
      <w:r>
        <w:rPr>
          <w:spacing w:val="8"/>
          <w:sz w:val="21"/>
        </w:rPr>
        <w:t> </w:t>
      </w:r>
      <w:r>
        <w:rPr>
          <w:spacing w:val="-3"/>
          <w:sz w:val="21"/>
        </w:rPr>
        <w:t>intermediary.</w:t>
      </w:r>
      <w:r>
        <w:rPr>
          <w:spacing w:val="-3"/>
          <w:position w:val="7"/>
          <w:sz w:val="12"/>
        </w:rPr>
        <w:t>34</w:t>
      </w:r>
    </w:p>
    <w:p>
      <w:pPr>
        <w:pStyle w:val="ListParagraph"/>
        <w:numPr>
          <w:ilvl w:val="1"/>
          <w:numId w:val="16"/>
        </w:numPr>
        <w:tabs>
          <w:tab w:pos="2381" w:val="left" w:leader="none"/>
          <w:tab w:pos="2382" w:val="left" w:leader="none"/>
        </w:tabs>
        <w:spacing w:line="242" w:lineRule="auto" w:before="127" w:after="0"/>
        <w:ind w:left="2381" w:right="1621" w:hanging="794"/>
        <w:jc w:val="left"/>
        <w:rPr>
          <w:sz w:val="21"/>
        </w:rPr>
      </w:pPr>
      <w:r>
        <w:rPr>
          <w:w w:val="105"/>
          <w:sz w:val="21"/>
        </w:rPr>
        <w:t>A mediation if </w:t>
      </w:r>
      <w:r>
        <w:rPr>
          <w:spacing w:val="-3"/>
          <w:w w:val="105"/>
          <w:sz w:val="21"/>
        </w:rPr>
        <w:t>successful </w:t>
      </w:r>
      <w:r>
        <w:rPr>
          <w:w w:val="105"/>
          <w:sz w:val="21"/>
        </w:rPr>
        <w:t>results in a written </w:t>
      </w:r>
      <w:r>
        <w:rPr>
          <w:spacing w:val="-3"/>
          <w:w w:val="105"/>
          <w:sz w:val="21"/>
        </w:rPr>
        <w:t>agreement. </w:t>
      </w:r>
      <w:r>
        <w:rPr>
          <w:w w:val="105"/>
          <w:sz w:val="21"/>
        </w:rPr>
        <w:t>Agreements </w:t>
      </w:r>
      <w:r>
        <w:rPr>
          <w:spacing w:val="-3"/>
          <w:w w:val="105"/>
          <w:sz w:val="21"/>
        </w:rPr>
        <w:t>reached </w:t>
      </w:r>
      <w:r>
        <w:rPr>
          <w:w w:val="105"/>
          <w:sz w:val="21"/>
        </w:rPr>
        <w:t>in DSCV </w:t>
      </w:r>
      <w:r>
        <w:rPr>
          <w:spacing w:val="-3"/>
          <w:w w:val="105"/>
          <w:sz w:val="21"/>
        </w:rPr>
        <w:t>mediations are </w:t>
      </w:r>
      <w:r>
        <w:rPr>
          <w:spacing w:val="-2"/>
          <w:w w:val="105"/>
          <w:sz w:val="21"/>
        </w:rPr>
        <w:t>not </w:t>
      </w:r>
      <w:r>
        <w:rPr>
          <w:w w:val="105"/>
          <w:sz w:val="21"/>
        </w:rPr>
        <w:t>legally </w:t>
      </w:r>
      <w:r>
        <w:rPr>
          <w:spacing w:val="-3"/>
          <w:w w:val="105"/>
          <w:sz w:val="21"/>
        </w:rPr>
        <w:t>binding.</w:t>
      </w:r>
      <w:r>
        <w:rPr>
          <w:spacing w:val="-3"/>
          <w:w w:val="105"/>
          <w:position w:val="7"/>
          <w:sz w:val="12"/>
        </w:rPr>
        <w:t>35 </w:t>
      </w:r>
      <w:r>
        <w:rPr>
          <w:w w:val="105"/>
          <w:sz w:val="21"/>
        </w:rPr>
        <w:t>Parties </w:t>
      </w:r>
      <w:r>
        <w:rPr>
          <w:spacing w:val="-3"/>
          <w:w w:val="105"/>
          <w:sz w:val="21"/>
        </w:rPr>
        <w:t>are informed </w:t>
      </w:r>
      <w:r>
        <w:rPr>
          <w:w w:val="105"/>
          <w:sz w:val="21"/>
        </w:rPr>
        <w:t>by DSCV </w:t>
      </w:r>
      <w:r>
        <w:rPr>
          <w:spacing w:val="-3"/>
          <w:w w:val="105"/>
          <w:sz w:val="21"/>
        </w:rPr>
        <w:t>that </w:t>
      </w:r>
      <w:r>
        <w:rPr>
          <w:w w:val="105"/>
          <w:sz w:val="21"/>
        </w:rPr>
        <w:t>with both parties </w:t>
      </w:r>
      <w:r>
        <w:rPr>
          <w:spacing w:val="-3"/>
          <w:w w:val="105"/>
          <w:sz w:val="21"/>
        </w:rPr>
        <w:t>consent</w:t>
      </w:r>
      <w:r>
        <w:rPr>
          <w:spacing w:val="-7"/>
          <w:w w:val="105"/>
          <w:sz w:val="21"/>
        </w:rPr>
        <w:t> </w:t>
      </w:r>
      <w:r>
        <w:rPr>
          <w:w w:val="105"/>
          <w:sz w:val="21"/>
        </w:rPr>
        <w:t>they</w:t>
      </w:r>
      <w:r>
        <w:rPr>
          <w:spacing w:val="-6"/>
          <w:w w:val="105"/>
          <w:sz w:val="21"/>
        </w:rPr>
        <w:t> </w:t>
      </w:r>
      <w:r>
        <w:rPr>
          <w:w w:val="105"/>
          <w:sz w:val="21"/>
        </w:rPr>
        <w:t>can</w:t>
      </w:r>
      <w:r>
        <w:rPr>
          <w:spacing w:val="-6"/>
          <w:w w:val="105"/>
          <w:sz w:val="21"/>
        </w:rPr>
        <w:t> </w:t>
      </w:r>
      <w:r>
        <w:rPr>
          <w:w w:val="105"/>
          <w:sz w:val="21"/>
        </w:rPr>
        <w:t>present</w:t>
      </w:r>
      <w:r>
        <w:rPr>
          <w:spacing w:val="-6"/>
          <w:w w:val="105"/>
          <w:sz w:val="21"/>
        </w:rPr>
        <w:t> </w:t>
      </w:r>
      <w:r>
        <w:rPr>
          <w:w w:val="105"/>
          <w:sz w:val="21"/>
        </w:rPr>
        <w:t>their</w:t>
      </w:r>
      <w:r>
        <w:rPr>
          <w:spacing w:val="-6"/>
          <w:w w:val="105"/>
          <w:sz w:val="21"/>
        </w:rPr>
        <w:t> </w:t>
      </w:r>
      <w:r>
        <w:rPr>
          <w:spacing w:val="-2"/>
          <w:w w:val="105"/>
          <w:sz w:val="21"/>
        </w:rPr>
        <w:t>agreement</w:t>
      </w:r>
      <w:r>
        <w:rPr>
          <w:spacing w:val="-7"/>
          <w:w w:val="105"/>
          <w:sz w:val="21"/>
        </w:rPr>
        <w:t> </w:t>
      </w:r>
      <w:r>
        <w:rPr>
          <w:spacing w:val="-3"/>
          <w:w w:val="105"/>
          <w:sz w:val="21"/>
        </w:rPr>
        <w:t>to</w:t>
      </w:r>
      <w:r>
        <w:rPr>
          <w:spacing w:val="-6"/>
          <w:w w:val="105"/>
          <w:sz w:val="21"/>
        </w:rPr>
        <w:t> </w:t>
      </w:r>
      <w:r>
        <w:rPr>
          <w:w w:val="105"/>
          <w:sz w:val="21"/>
        </w:rPr>
        <w:t>a</w:t>
      </w:r>
      <w:r>
        <w:rPr>
          <w:spacing w:val="-6"/>
          <w:w w:val="105"/>
          <w:sz w:val="21"/>
        </w:rPr>
        <w:t> </w:t>
      </w:r>
      <w:r>
        <w:rPr>
          <w:w w:val="105"/>
          <w:sz w:val="21"/>
        </w:rPr>
        <w:t>lawyer</w:t>
      </w:r>
      <w:r>
        <w:rPr>
          <w:spacing w:val="-6"/>
          <w:w w:val="105"/>
          <w:sz w:val="21"/>
        </w:rPr>
        <w:t> </w:t>
      </w:r>
      <w:r>
        <w:rPr>
          <w:spacing w:val="-3"/>
          <w:w w:val="105"/>
          <w:sz w:val="21"/>
        </w:rPr>
        <w:t>to</w:t>
      </w:r>
      <w:r>
        <w:rPr>
          <w:spacing w:val="-6"/>
          <w:w w:val="105"/>
          <w:sz w:val="21"/>
        </w:rPr>
        <w:t> </w:t>
      </w:r>
      <w:r>
        <w:rPr>
          <w:spacing w:val="-2"/>
          <w:w w:val="105"/>
          <w:sz w:val="21"/>
        </w:rPr>
        <w:t>render</w:t>
      </w:r>
      <w:r>
        <w:rPr>
          <w:spacing w:val="-6"/>
          <w:w w:val="105"/>
          <w:sz w:val="21"/>
        </w:rPr>
        <w:t> </w:t>
      </w:r>
      <w:r>
        <w:rPr>
          <w:w w:val="105"/>
          <w:sz w:val="21"/>
        </w:rPr>
        <w:t>the</w:t>
      </w:r>
      <w:r>
        <w:rPr>
          <w:spacing w:val="-7"/>
          <w:w w:val="105"/>
          <w:sz w:val="21"/>
        </w:rPr>
        <w:t> </w:t>
      </w:r>
      <w:r>
        <w:rPr>
          <w:w w:val="105"/>
          <w:sz w:val="21"/>
        </w:rPr>
        <w:t>good</w:t>
      </w:r>
      <w:r>
        <w:rPr>
          <w:spacing w:val="-6"/>
          <w:w w:val="105"/>
          <w:sz w:val="21"/>
        </w:rPr>
        <w:t> </w:t>
      </w:r>
      <w:r>
        <w:rPr>
          <w:spacing w:val="-3"/>
          <w:w w:val="105"/>
          <w:sz w:val="21"/>
        </w:rPr>
        <w:t>faith</w:t>
      </w:r>
      <w:r>
        <w:rPr>
          <w:spacing w:val="-6"/>
          <w:w w:val="105"/>
          <w:sz w:val="21"/>
        </w:rPr>
        <w:t> </w:t>
      </w:r>
      <w:r>
        <w:rPr>
          <w:spacing w:val="-2"/>
          <w:w w:val="105"/>
          <w:sz w:val="21"/>
        </w:rPr>
        <w:t>agreement </w:t>
      </w:r>
      <w:r>
        <w:rPr>
          <w:w w:val="105"/>
          <w:sz w:val="21"/>
        </w:rPr>
        <w:t>legally</w:t>
      </w:r>
      <w:r>
        <w:rPr>
          <w:spacing w:val="5"/>
          <w:w w:val="105"/>
          <w:sz w:val="21"/>
        </w:rPr>
        <w:t> </w:t>
      </w:r>
      <w:r>
        <w:rPr>
          <w:spacing w:val="-3"/>
          <w:w w:val="105"/>
          <w:sz w:val="21"/>
        </w:rPr>
        <w:t>binding.</w:t>
      </w:r>
      <w:r>
        <w:rPr>
          <w:spacing w:val="-3"/>
          <w:w w:val="105"/>
          <w:position w:val="7"/>
          <w:sz w:val="12"/>
        </w:rPr>
        <w:t>36</w:t>
      </w:r>
    </w:p>
    <w:p>
      <w:pPr>
        <w:pStyle w:val="BodyText"/>
        <w:spacing w:before="4"/>
        <w:rPr>
          <w:sz w:val="20"/>
        </w:rPr>
      </w:pPr>
    </w:p>
    <w:p>
      <w:pPr>
        <w:pStyle w:val="Heading5"/>
        <w:spacing w:before="1"/>
      </w:pPr>
      <w:r>
        <w:rPr>
          <w:w w:val="110"/>
        </w:rPr>
        <w:t>Court-referred alternative dispute resolution</w:t>
      </w:r>
    </w:p>
    <w:p>
      <w:pPr>
        <w:pStyle w:val="ListParagraph"/>
        <w:numPr>
          <w:ilvl w:val="1"/>
          <w:numId w:val="16"/>
        </w:numPr>
        <w:tabs>
          <w:tab w:pos="2380" w:val="left" w:leader="none"/>
          <w:tab w:pos="2381" w:val="left" w:leader="none"/>
        </w:tabs>
        <w:spacing w:line="242" w:lineRule="auto" w:before="137" w:after="0"/>
        <w:ind w:left="2381" w:right="1615" w:hanging="794"/>
        <w:jc w:val="left"/>
        <w:rPr>
          <w:sz w:val="21"/>
        </w:rPr>
      </w:pPr>
      <w:r>
        <w:rPr>
          <w:w w:val="105"/>
          <w:sz w:val="21"/>
        </w:rPr>
        <w:t>The</w:t>
      </w:r>
      <w:r>
        <w:rPr>
          <w:spacing w:val="-10"/>
          <w:w w:val="105"/>
          <w:sz w:val="21"/>
        </w:rPr>
        <w:t> </w:t>
      </w:r>
      <w:r>
        <w:rPr>
          <w:w w:val="105"/>
          <w:sz w:val="21"/>
        </w:rPr>
        <w:t>courts</w:t>
      </w:r>
      <w:r>
        <w:rPr>
          <w:spacing w:val="-10"/>
          <w:w w:val="105"/>
          <w:sz w:val="21"/>
        </w:rPr>
        <w:t> </w:t>
      </w:r>
      <w:r>
        <w:rPr>
          <w:spacing w:val="-3"/>
          <w:w w:val="105"/>
          <w:sz w:val="21"/>
        </w:rPr>
        <w:t>may</w:t>
      </w:r>
      <w:r>
        <w:rPr>
          <w:spacing w:val="-9"/>
          <w:w w:val="105"/>
          <w:sz w:val="21"/>
        </w:rPr>
        <w:t> </w:t>
      </w:r>
      <w:r>
        <w:rPr>
          <w:w w:val="105"/>
          <w:sz w:val="21"/>
        </w:rPr>
        <w:t>also</w:t>
      </w:r>
      <w:r>
        <w:rPr>
          <w:spacing w:val="-10"/>
          <w:w w:val="105"/>
          <w:sz w:val="21"/>
        </w:rPr>
        <w:t> </w:t>
      </w:r>
      <w:r>
        <w:rPr>
          <w:w w:val="105"/>
          <w:sz w:val="21"/>
        </w:rPr>
        <w:t>employ</w:t>
      </w:r>
      <w:r>
        <w:rPr>
          <w:spacing w:val="-9"/>
          <w:w w:val="105"/>
          <w:sz w:val="21"/>
        </w:rPr>
        <w:t> </w:t>
      </w:r>
      <w:r>
        <w:rPr>
          <w:w w:val="105"/>
          <w:sz w:val="21"/>
        </w:rPr>
        <w:t>court-ordered</w:t>
      </w:r>
      <w:r>
        <w:rPr>
          <w:spacing w:val="-10"/>
          <w:w w:val="105"/>
          <w:sz w:val="21"/>
        </w:rPr>
        <w:t> </w:t>
      </w:r>
      <w:r>
        <w:rPr>
          <w:w w:val="105"/>
          <w:sz w:val="21"/>
        </w:rPr>
        <w:t>ADR</w:t>
      </w:r>
      <w:r>
        <w:rPr>
          <w:spacing w:val="-9"/>
          <w:w w:val="105"/>
          <w:sz w:val="21"/>
        </w:rPr>
        <w:t> </w:t>
      </w:r>
      <w:r>
        <w:rPr>
          <w:w w:val="105"/>
          <w:sz w:val="21"/>
        </w:rPr>
        <w:t>processes</w:t>
      </w:r>
      <w:r>
        <w:rPr>
          <w:spacing w:val="-10"/>
          <w:w w:val="105"/>
          <w:sz w:val="21"/>
        </w:rPr>
        <w:t> </w:t>
      </w:r>
      <w:r>
        <w:rPr>
          <w:w w:val="105"/>
          <w:sz w:val="21"/>
        </w:rPr>
        <w:t>(with</w:t>
      </w:r>
      <w:r>
        <w:rPr>
          <w:spacing w:val="-10"/>
          <w:w w:val="105"/>
          <w:sz w:val="21"/>
        </w:rPr>
        <w:t> </w:t>
      </w:r>
      <w:r>
        <w:rPr>
          <w:w w:val="105"/>
          <w:sz w:val="21"/>
        </w:rPr>
        <w:t>or</w:t>
      </w:r>
      <w:r>
        <w:rPr>
          <w:spacing w:val="-9"/>
          <w:w w:val="105"/>
          <w:sz w:val="21"/>
        </w:rPr>
        <w:t> </w:t>
      </w:r>
      <w:r>
        <w:rPr>
          <w:w w:val="105"/>
          <w:sz w:val="21"/>
        </w:rPr>
        <w:t>without</w:t>
      </w:r>
      <w:r>
        <w:rPr>
          <w:spacing w:val="-10"/>
          <w:w w:val="105"/>
          <w:sz w:val="21"/>
        </w:rPr>
        <w:t> </w:t>
      </w:r>
      <w:r>
        <w:rPr>
          <w:w w:val="105"/>
          <w:sz w:val="21"/>
        </w:rPr>
        <w:t>the</w:t>
      </w:r>
      <w:r>
        <w:rPr>
          <w:spacing w:val="-9"/>
          <w:w w:val="105"/>
          <w:sz w:val="21"/>
        </w:rPr>
        <w:t> </w:t>
      </w:r>
      <w:r>
        <w:rPr>
          <w:spacing w:val="-3"/>
          <w:w w:val="105"/>
          <w:sz w:val="21"/>
        </w:rPr>
        <w:t>consent</w:t>
      </w:r>
      <w:r>
        <w:rPr>
          <w:spacing w:val="-10"/>
          <w:w w:val="105"/>
          <w:sz w:val="21"/>
        </w:rPr>
        <w:t> </w:t>
      </w:r>
      <w:r>
        <w:rPr>
          <w:w w:val="105"/>
          <w:sz w:val="21"/>
        </w:rPr>
        <w:t>of the parties) </w:t>
      </w:r>
      <w:r>
        <w:rPr>
          <w:spacing w:val="-3"/>
          <w:w w:val="105"/>
          <w:sz w:val="21"/>
        </w:rPr>
        <w:t>to </w:t>
      </w:r>
      <w:r>
        <w:rPr>
          <w:w w:val="105"/>
          <w:sz w:val="21"/>
        </w:rPr>
        <w:t>help parties resolve their </w:t>
      </w:r>
      <w:r>
        <w:rPr>
          <w:spacing w:val="-3"/>
          <w:w w:val="105"/>
          <w:sz w:val="21"/>
        </w:rPr>
        <w:t>disputes </w:t>
      </w:r>
      <w:r>
        <w:rPr>
          <w:w w:val="105"/>
          <w:sz w:val="21"/>
        </w:rPr>
        <w:t>without a </w:t>
      </w:r>
      <w:r>
        <w:rPr>
          <w:spacing w:val="-3"/>
          <w:w w:val="105"/>
          <w:sz w:val="21"/>
        </w:rPr>
        <w:t>formal hearing.</w:t>
      </w:r>
      <w:r>
        <w:rPr>
          <w:spacing w:val="-3"/>
          <w:w w:val="105"/>
          <w:position w:val="7"/>
          <w:sz w:val="12"/>
        </w:rPr>
        <w:t>37 </w:t>
      </w:r>
      <w:r>
        <w:rPr>
          <w:w w:val="105"/>
          <w:sz w:val="21"/>
        </w:rPr>
        <w:t>For </w:t>
      </w:r>
      <w:r>
        <w:rPr>
          <w:spacing w:val="-3"/>
          <w:w w:val="105"/>
          <w:sz w:val="21"/>
        </w:rPr>
        <w:t>example, </w:t>
      </w:r>
      <w:r>
        <w:rPr>
          <w:w w:val="105"/>
          <w:sz w:val="21"/>
        </w:rPr>
        <w:t>the </w:t>
      </w:r>
      <w:r>
        <w:rPr>
          <w:spacing w:val="-3"/>
          <w:w w:val="105"/>
          <w:sz w:val="21"/>
        </w:rPr>
        <w:t>Civil </w:t>
      </w:r>
      <w:r>
        <w:rPr>
          <w:spacing w:val="-4"/>
          <w:w w:val="105"/>
          <w:sz w:val="21"/>
        </w:rPr>
        <w:t>Claims </w:t>
      </w:r>
      <w:r>
        <w:rPr>
          <w:spacing w:val="-3"/>
          <w:w w:val="105"/>
          <w:sz w:val="21"/>
        </w:rPr>
        <w:t>Program </w:t>
      </w:r>
      <w:r>
        <w:rPr>
          <w:w w:val="105"/>
          <w:sz w:val="21"/>
        </w:rPr>
        <w:t>in the </w:t>
      </w:r>
      <w:r>
        <w:rPr>
          <w:spacing w:val="-3"/>
          <w:w w:val="105"/>
          <w:sz w:val="21"/>
        </w:rPr>
        <w:t>Magistrates’ Court </w:t>
      </w:r>
      <w:r>
        <w:rPr>
          <w:w w:val="105"/>
          <w:sz w:val="21"/>
        </w:rPr>
        <w:t>allows the </w:t>
      </w:r>
      <w:r>
        <w:rPr>
          <w:spacing w:val="-3"/>
          <w:w w:val="105"/>
          <w:sz w:val="21"/>
        </w:rPr>
        <w:t>Court to refer </w:t>
      </w:r>
      <w:r>
        <w:rPr>
          <w:w w:val="105"/>
          <w:sz w:val="21"/>
        </w:rPr>
        <w:t>certain matters </w:t>
      </w:r>
      <w:r>
        <w:rPr>
          <w:spacing w:val="-3"/>
          <w:w w:val="105"/>
          <w:sz w:val="21"/>
        </w:rPr>
        <w:t>to </w:t>
      </w:r>
      <w:r>
        <w:rPr>
          <w:w w:val="105"/>
          <w:sz w:val="21"/>
        </w:rPr>
        <w:t>DSCV </w:t>
      </w:r>
      <w:r>
        <w:rPr>
          <w:spacing w:val="-3"/>
          <w:w w:val="105"/>
          <w:sz w:val="21"/>
        </w:rPr>
        <w:t>for </w:t>
      </w:r>
      <w:r>
        <w:rPr>
          <w:w w:val="105"/>
          <w:sz w:val="21"/>
        </w:rPr>
        <w:t>compulsory mediation.</w:t>
      </w:r>
      <w:r>
        <w:rPr>
          <w:w w:val="105"/>
          <w:position w:val="7"/>
          <w:sz w:val="12"/>
        </w:rPr>
        <w:t>38 </w:t>
      </w:r>
      <w:r>
        <w:rPr>
          <w:w w:val="105"/>
          <w:sz w:val="21"/>
        </w:rPr>
        <w:t>After </w:t>
      </w:r>
      <w:r>
        <w:rPr>
          <w:spacing w:val="-3"/>
          <w:w w:val="105"/>
          <w:sz w:val="21"/>
        </w:rPr>
        <w:t>successful </w:t>
      </w:r>
      <w:r>
        <w:rPr>
          <w:w w:val="105"/>
          <w:sz w:val="21"/>
        </w:rPr>
        <w:t>mediation it </w:t>
      </w:r>
      <w:r>
        <w:rPr>
          <w:spacing w:val="-3"/>
          <w:w w:val="105"/>
          <w:sz w:val="21"/>
        </w:rPr>
        <w:t>communicates </w:t>
      </w:r>
      <w:r>
        <w:rPr>
          <w:w w:val="105"/>
          <w:sz w:val="21"/>
        </w:rPr>
        <w:t>the </w:t>
      </w:r>
      <w:r>
        <w:rPr>
          <w:spacing w:val="-3"/>
          <w:w w:val="105"/>
          <w:sz w:val="21"/>
        </w:rPr>
        <w:t>outcome </w:t>
      </w:r>
      <w:r>
        <w:rPr>
          <w:w w:val="105"/>
          <w:sz w:val="21"/>
        </w:rPr>
        <w:t>back </w:t>
      </w:r>
      <w:r>
        <w:rPr>
          <w:spacing w:val="-3"/>
          <w:w w:val="105"/>
          <w:sz w:val="21"/>
        </w:rPr>
        <w:t>to </w:t>
      </w:r>
      <w:r>
        <w:rPr>
          <w:w w:val="105"/>
          <w:sz w:val="21"/>
        </w:rPr>
        <w:t>the court or </w:t>
      </w:r>
      <w:r>
        <w:rPr>
          <w:spacing w:val="-3"/>
          <w:w w:val="105"/>
          <w:sz w:val="21"/>
        </w:rPr>
        <w:t>tribunal. </w:t>
      </w:r>
      <w:r>
        <w:rPr>
          <w:w w:val="105"/>
          <w:sz w:val="21"/>
        </w:rPr>
        <w:t>The mediated agreements </w:t>
      </w:r>
      <w:r>
        <w:rPr>
          <w:spacing w:val="-3"/>
          <w:w w:val="105"/>
          <w:sz w:val="21"/>
        </w:rPr>
        <w:t>generally take </w:t>
      </w:r>
      <w:r>
        <w:rPr>
          <w:w w:val="105"/>
          <w:sz w:val="21"/>
        </w:rPr>
        <w:t>the </w:t>
      </w:r>
      <w:r>
        <w:rPr>
          <w:spacing w:val="-3"/>
          <w:w w:val="105"/>
          <w:sz w:val="21"/>
        </w:rPr>
        <w:t>form </w:t>
      </w:r>
      <w:r>
        <w:rPr>
          <w:w w:val="105"/>
          <w:sz w:val="21"/>
        </w:rPr>
        <w:t>of </w:t>
      </w:r>
      <w:r>
        <w:rPr>
          <w:spacing w:val="-3"/>
          <w:w w:val="105"/>
          <w:sz w:val="21"/>
        </w:rPr>
        <w:t>consent </w:t>
      </w:r>
      <w:r>
        <w:rPr>
          <w:w w:val="105"/>
          <w:sz w:val="21"/>
        </w:rPr>
        <w:t>orders, </w:t>
      </w:r>
      <w:r>
        <w:rPr>
          <w:spacing w:val="-3"/>
          <w:w w:val="105"/>
          <w:sz w:val="21"/>
        </w:rPr>
        <w:t>terms </w:t>
      </w:r>
      <w:r>
        <w:rPr>
          <w:w w:val="105"/>
          <w:sz w:val="21"/>
        </w:rPr>
        <w:t>of settlement, or the </w:t>
      </w:r>
      <w:r>
        <w:rPr>
          <w:spacing w:val="-3"/>
          <w:w w:val="105"/>
          <w:sz w:val="21"/>
        </w:rPr>
        <w:t>filing </w:t>
      </w:r>
      <w:r>
        <w:rPr>
          <w:w w:val="105"/>
          <w:sz w:val="21"/>
        </w:rPr>
        <w:t>of a </w:t>
      </w:r>
      <w:r>
        <w:rPr>
          <w:spacing w:val="-3"/>
          <w:w w:val="105"/>
          <w:sz w:val="21"/>
        </w:rPr>
        <w:t>notice </w:t>
      </w:r>
      <w:r>
        <w:rPr>
          <w:w w:val="105"/>
          <w:sz w:val="21"/>
        </w:rPr>
        <w:t>of </w:t>
      </w:r>
      <w:r>
        <w:rPr>
          <w:spacing w:val="-3"/>
          <w:w w:val="105"/>
          <w:sz w:val="21"/>
        </w:rPr>
        <w:t>discontinuance from </w:t>
      </w:r>
      <w:r>
        <w:rPr>
          <w:w w:val="105"/>
          <w:sz w:val="21"/>
        </w:rPr>
        <w:t>court or </w:t>
      </w:r>
      <w:r>
        <w:rPr>
          <w:spacing w:val="-3"/>
          <w:w w:val="105"/>
          <w:sz w:val="21"/>
        </w:rPr>
        <w:t>tribunal</w:t>
      </w:r>
      <w:r>
        <w:rPr>
          <w:spacing w:val="22"/>
          <w:w w:val="105"/>
          <w:sz w:val="21"/>
        </w:rPr>
        <w:t> </w:t>
      </w:r>
      <w:r>
        <w:rPr>
          <w:w w:val="105"/>
          <w:sz w:val="21"/>
        </w:rPr>
        <w:t>proceedings.</w:t>
      </w:r>
      <w:r>
        <w:rPr>
          <w:w w:val="105"/>
          <w:position w:val="7"/>
          <w:sz w:val="12"/>
        </w:rPr>
        <w:t>39</w:t>
      </w:r>
    </w:p>
    <w:p>
      <w:pPr>
        <w:pStyle w:val="BodyText"/>
        <w:rPr>
          <w:sz w:val="20"/>
        </w:rPr>
      </w:pPr>
    </w:p>
    <w:p>
      <w:pPr>
        <w:pStyle w:val="BodyText"/>
        <w:spacing w:before="1"/>
        <w:rPr>
          <w:sz w:val="28"/>
        </w:rPr>
      </w:pPr>
      <w:r>
        <w:rPr/>
        <w:pict>
          <v:line style="position:absolute;mso-position-horizontal-relative:page;mso-position-vertical-relative:paragraph;z-index:1040;mso-wrap-distance-left:0;mso-wrap-distance-right:0" from="79.370003pt,19.620422pt" to="515.905003pt,19.620422pt" stroked="true" strokeweight="1pt" strokecolor="#c9d2cb">
            <v:stroke dashstyle="solid"/>
            <w10:wrap type="topAndBottom"/>
          </v:line>
        </w:pict>
      </w:r>
    </w:p>
    <w:p>
      <w:pPr>
        <w:pStyle w:val="ListParagraph"/>
        <w:numPr>
          <w:ilvl w:val="0"/>
          <w:numId w:val="27"/>
        </w:numPr>
        <w:tabs>
          <w:tab w:pos="2380" w:val="left" w:leader="none"/>
          <w:tab w:pos="2382" w:val="left" w:leader="none"/>
        </w:tabs>
        <w:spacing w:line="240" w:lineRule="auto" w:before="117" w:after="0"/>
        <w:ind w:left="2381" w:right="0" w:hanging="794"/>
        <w:jc w:val="left"/>
        <w:rPr>
          <w:sz w:val="13"/>
        </w:rPr>
      </w:pPr>
      <w:r>
        <w:rPr>
          <w:w w:val="105"/>
          <w:sz w:val="13"/>
        </w:rPr>
        <w:t>Information</w:t>
      </w:r>
      <w:r>
        <w:rPr>
          <w:spacing w:val="5"/>
          <w:w w:val="105"/>
          <w:sz w:val="13"/>
        </w:rPr>
        <w:t> </w:t>
      </w:r>
      <w:r>
        <w:rPr>
          <w:w w:val="105"/>
          <w:sz w:val="13"/>
        </w:rPr>
        <w:t>provided</w:t>
      </w:r>
      <w:r>
        <w:rPr>
          <w:spacing w:val="6"/>
          <w:w w:val="105"/>
          <w:sz w:val="13"/>
        </w:rPr>
        <w:t> </w:t>
      </w:r>
      <w:r>
        <w:rPr>
          <w:w w:val="105"/>
          <w:sz w:val="13"/>
        </w:rPr>
        <w:t>by</w:t>
      </w:r>
      <w:r>
        <w:rPr>
          <w:spacing w:val="5"/>
          <w:w w:val="105"/>
          <w:sz w:val="13"/>
        </w:rPr>
        <w:t> </w:t>
      </w:r>
      <w:r>
        <w:rPr>
          <w:w w:val="105"/>
          <w:sz w:val="13"/>
        </w:rPr>
        <w:t>DSCV</w:t>
      </w:r>
      <w:r>
        <w:rPr>
          <w:spacing w:val="6"/>
          <w:w w:val="105"/>
          <w:sz w:val="13"/>
        </w:rPr>
        <w:t> </w:t>
      </w:r>
      <w:r>
        <w:rPr>
          <w:w w:val="105"/>
          <w:sz w:val="13"/>
        </w:rPr>
        <w:t>as</w:t>
      </w:r>
      <w:r>
        <w:rPr>
          <w:spacing w:val="6"/>
          <w:w w:val="105"/>
          <w:sz w:val="13"/>
        </w:rPr>
        <w:t> </w:t>
      </w:r>
      <w:r>
        <w:rPr>
          <w:w w:val="105"/>
          <w:sz w:val="13"/>
        </w:rPr>
        <w:t>part</w:t>
      </w:r>
      <w:r>
        <w:rPr>
          <w:spacing w:val="5"/>
          <w:w w:val="105"/>
          <w:sz w:val="13"/>
        </w:rPr>
        <w:t> </w:t>
      </w:r>
      <w:r>
        <w:rPr>
          <w:w w:val="105"/>
          <w:sz w:val="13"/>
        </w:rPr>
        <w:t>of</w:t>
      </w:r>
      <w:r>
        <w:rPr>
          <w:spacing w:val="6"/>
          <w:w w:val="105"/>
          <w:sz w:val="13"/>
        </w:rPr>
        <w:t> </w:t>
      </w:r>
      <w:r>
        <w:rPr>
          <w:w w:val="105"/>
          <w:sz w:val="13"/>
        </w:rPr>
        <w:t>a</w:t>
      </w:r>
      <w:r>
        <w:rPr>
          <w:spacing w:val="6"/>
          <w:w w:val="105"/>
          <w:sz w:val="13"/>
        </w:rPr>
        <w:t> </w:t>
      </w:r>
      <w:r>
        <w:rPr>
          <w:w w:val="105"/>
          <w:sz w:val="13"/>
        </w:rPr>
        <w:t>data</w:t>
      </w:r>
      <w:r>
        <w:rPr>
          <w:spacing w:val="5"/>
          <w:w w:val="105"/>
          <w:sz w:val="13"/>
        </w:rPr>
        <w:t> </w:t>
      </w:r>
      <w:r>
        <w:rPr>
          <w:w w:val="105"/>
          <w:sz w:val="13"/>
        </w:rPr>
        <w:t>request</w:t>
      </w:r>
      <w:r>
        <w:rPr>
          <w:spacing w:val="6"/>
          <w:w w:val="105"/>
          <w:sz w:val="13"/>
        </w:rPr>
        <w:t> </w:t>
      </w:r>
      <w:r>
        <w:rPr>
          <w:w w:val="105"/>
          <w:sz w:val="13"/>
        </w:rPr>
        <w:t>from</w:t>
      </w:r>
      <w:r>
        <w:rPr>
          <w:spacing w:val="6"/>
          <w:w w:val="105"/>
          <w:sz w:val="13"/>
        </w:rPr>
        <w:t> </w:t>
      </w:r>
      <w:r>
        <w:rPr>
          <w:w w:val="105"/>
          <w:sz w:val="13"/>
        </w:rPr>
        <w:t>the</w:t>
      </w:r>
      <w:r>
        <w:rPr>
          <w:spacing w:val="5"/>
          <w:w w:val="105"/>
          <w:sz w:val="13"/>
        </w:rPr>
        <w:t> </w:t>
      </w:r>
      <w:r>
        <w:rPr>
          <w:w w:val="105"/>
          <w:sz w:val="13"/>
        </w:rPr>
        <w:t>Commission,</w:t>
      </w:r>
      <w:r>
        <w:rPr>
          <w:spacing w:val="6"/>
          <w:w w:val="105"/>
          <w:sz w:val="13"/>
        </w:rPr>
        <w:t> </w:t>
      </w:r>
      <w:r>
        <w:rPr>
          <w:w w:val="105"/>
          <w:sz w:val="13"/>
        </w:rPr>
        <w:t>August</w:t>
      </w:r>
      <w:r>
        <w:rPr>
          <w:spacing w:val="6"/>
          <w:w w:val="105"/>
          <w:sz w:val="13"/>
        </w:rPr>
        <w:t> </w:t>
      </w:r>
      <w:r>
        <w:rPr>
          <w:spacing w:val="-3"/>
          <w:w w:val="105"/>
          <w:sz w:val="13"/>
        </w:rPr>
        <w:t>2017</w:t>
      </w:r>
      <w:r>
        <w:rPr>
          <w:spacing w:val="5"/>
          <w:w w:val="105"/>
          <w:sz w:val="13"/>
        </w:rPr>
        <w:t> </w:t>
      </w:r>
      <w:r>
        <w:rPr>
          <w:w w:val="105"/>
          <w:sz w:val="13"/>
        </w:rPr>
        <w:t>and</w:t>
      </w:r>
      <w:r>
        <w:rPr>
          <w:spacing w:val="6"/>
          <w:w w:val="105"/>
          <w:sz w:val="13"/>
        </w:rPr>
        <w:t> </w:t>
      </w:r>
      <w:r>
        <w:rPr>
          <w:w w:val="105"/>
          <w:sz w:val="13"/>
        </w:rPr>
        <w:t>clarification</w:t>
      </w:r>
      <w:r>
        <w:rPr>
          <w:spacing w:val="6"/>
          <w:w w:val="105"/>
          <w:sz w:val="13"/>
        </w:rPr>
        <w:t> </w:t>
      </w:r>
      <w:r>
        <w:rPr>
          <w:w w:val="105"/>
          <w:sz w:val="13"/>
        </w:rPr>
        <w:t>of</w:t>
      </w:r>
      <w:r>
        <w:rPr>
          <w:spacing w:val="5"/>
          <w:w w:val="105"/>
          <w:sz w:val="13"/>
        </w:rPr>
        <w:t> </w:t>
      </w:r>
      <w:r>
        <w:rPr>
          <w:w w:val="105"/>
          <w:sz w:val="13"/>
        </w:rPr>
        <w:t>data</w:t>
      </w:r>
      <w:r>
        <w:rPr>
          <w:spacing w:val="6"/>
          <w:w w:val="105"/>
          <w:sz w:val="13"/>
        </w:rPr>
        <w:t> </w:t>
      </w:r>
      <w:r>
        <w:rPr>
          <w:w w:val="105"/>
          <w:sz w:val="13"/>
        </w:rPr>
        <w:t>provided</w:t>
      </w:r>
      <w:r>
        <w:rPr>
          <w:spacing w:val="6"/>
          <w:w w:val="105"/>
          <w:sz w:val="13"/>
        </w:rPr>
        <w:t> </w:t>
      </w:r>
      <w:r>
        <w:rPr>
          <w:w w:val="105"/>
          <w:sz w:val="13"/>
        </w:rPr>
        <w:t>in</w:t>
      </w:r>
      <w:r>
        <w:rPr>
          <w:spacing w:val="5"/>
          <w:w w:val="105"/>
          <w:sz w:val="13"/>
        </w:rPr>
        <w:t> </w:t>
      </w:r>
      <w:r>
        <w:rPr>
          <w:w w:val="105"/>
          <w:sz w:val="13"/>
        </w:rPr>
        <w:t>May</w:t>
      </w:r>
      <w:r>
        <w:rPr>
          <w:spacing w:val="6"/>
          <w:w w:val="105"/>
          <w:sz w:val="13"/>
        </w:rPr>
        <w:t> </w:t>
      </w:r>
      <w:r>
        <w:rPr>
          <w:w w:val="105"/>
          <w:sz w:val="13"/>
        </w:rPr>
        <w:t>2019.</w:t>
      </w:r>
    </w:p>
    <w:p>
      <w:pPr>
        <w:pStyle w:val="ListParagraph"/>
        <w:numPr>
          <w:ilvl w:val="0"/>
          <w:numId w:val="27"/>
        </w:numPr>
        <w:tabs>
          <w:tab w:pos="2380" w:val="left" w:leader="none"/>
          <w:tab w:pos="2382" w:val="left" w:leader="none"/>
        </w:tabs>
        <w:spacing w:line="240" w:lineRule="auto" w:before="1" w:after="0"/>
        <w:ind w:left="2381" w:right="0" w:hanging="794"/>
        <w:jc w:val="left"/>
        <w:rPr>
          <w:sz w:val="13"/>
        </w:rPr>
      </w:pPr>
      <w:r>
        <w:rPr>
          <w:w w:val="105"/>
          <w:sz w:val="13"/>
        </w:rPr>
        <w:t>Consultation 7 (Dispute Settlement Centre of</w:t>
      </w:r>
      <w:r>
        <w:rPr>
          <w:spacing w:val="28"/>
          <w:w w:val="105"/>
          <w:sz w:val="13"/>
        </w:rPr>
        <w:t> </w:t>
      </w:r>
      <w:r>
        <w:rPr>
          <w:w w:val="105"/>
          <w:sz w:val="13"/>
        </w:rPr>
        <w:t>Victoria).</w:t>
      </w:r>
    </w:p>
    <w:p>
      <w:pPr>
        <w:pStyle w:val="ListParagraph"/>
        <w:numPr>
          <w:ilvl w:val="0"/>
          <w:numId w:val="27"/>
        </w:numPr>
        <w:tabs>
          <w:tab w:pos="2380" w:val="left" w:leader="none"/>
          <w:tab w:pos="2382" w:val="left" w:leader="none"/>
        </w:tabs>
        <w:spacing w:line="240" w:lineRule="auto" w:before="2" w:after="0"/>
        <w:ind w:left="2381" w:right="1637" w:hanging="794"/>
        <w:jc w:val="left"/>
        <w:rPr>
          <w:sz w:val="13"/>
        </w:rPr>
      </w:pPr>
      <w:r>
        <w:rPr>
          <w:w w:val="105"/>
          <w:sz w:val="13"/>
        </w:rPr>
        <w:t>DSCV explains that it ‘will send a letter with a Department of Justice &amp; Community Safety letterhead requesting that the person call the</w:t>
      </w:r>
      <w:r>
        <w:rPr>
          <w:spacing w:val="30"/>
          <w:w w:val="105"/>
          <w:sz w:val="13"/>
        </w:rPr>
        <w:t> </w:t>
      </w:r>
      <w:r>
        <w:rPr>
          <w:w w:val="105"/>
          <w:sz w:val="13"/>
        </w:rPr>
        <w:t>centre to discuss the issue further’: Dispute Settlement Centre of Victoria, </w:t>
      </w:r>
      <w:r>
        <w:rPr>
          <w:i/>
          <w:w w:val="105"/>
          <w:sz w:val="13"/>
        </w:rPr>
        <w:t>DSCV FAQs </w:t>
      </w:r>
      <w:r>
        <w:rPr>
          <w:w w:val="105"/>
          <w:sz w:val="13"/>
        </w:rPr>
        <w:t>(Web Page, 3 June 2019) </w:t>
      </w:r>
      <w:r>
        <w:rPr>
          <w:spacing w:val="2"/>
          <w:w w:val="105"/>
          <w:sz w:val="13"/>
        </w:rPr>
        <w:t>&lt;https://</w:t>
      </w:r>
      <w:hyperlink r:id="rId63">
        <w:r>
          <w:rPr>
            <w:spacing w:val="2"/>
            <w:w w:val="105"/>
            <w:sz w:val="13"/>
          </w:rPr>
          <w:t>www.disputes.vic.</w:t>
        </w:r>
      </w:hyperlink>
      <w:r>
        <w:rPr>
          <w:spacing w:val="2"/>
          <w:w w:val="105"/>
          <w:sz w:val="13"/>
        </w:rPr>
        <w:t> </w:t>
      </w:r>
      <w:r>
        <w:rPr>
          <w:w w:val="105"/>
          <w:sz w:val="13"/>
        </w:rPr>
        <w:t>gov.au/information-and-advice/dscv-faqs&gt;.</w:t>
      </w:r>
    </w:p>
    <w:p>
      <w:pPr>
        <w:pStyle w:val="ListParagraph"/>
        <w:numPr>
          <w:ilvl w:val="0"/>
          <w:numId w:val="27"/>
        </w:numPr>
        <w:tabs>
          <w:tab w:pos="2380" w:val="left" w:leader="none"/>
          <w:tab w:pos="2382" w:val="left" w:leader="none"/>
        </w:tabs>
        <w:spacing w:line="240" w:lineRule="auto" w:before="4" w:after="0"/>
        <w:ind w:left="2381" w:right="1799" w:hanging="794"/>
        <w:jc w:val="left"/>
        <w:rPr>
          <w:sz w:val="13"/>
        </w:rPr>
      </w:pPr>
      <w:r>
        <w:rPr>
          <w:w w:val="105"/>
          <w:sz w:val="13"/>
        </w:rPr>
        <w:t>Information provided by DSCV as part of a data request from the Commission, November 2018 and clarification of data provided in May 2019.</w:t>
      </w:r>
    </w:p>
    <w:p>
      <w:pPr>
        <w:pStyle w:val="ListParagraph"/>
        <w:numPr>
          <w:ilvl w:val="0"/>
          <w:numId w:val="27"/>
        </w:numPr>
        <w:tabs>
          <w:tab w:pos="2380" w:val="left" w:leader="none"/>
          <w:tab w:pos="2382" w:val="left" w:leader="none"/>
        </w:tabs>
        <w:spacing w:line="240" w:lineRule="auto" w:before="2" w:after="0"/>
        <w:ind w:left="2381" w:right="1682" w:hanging="794"/>
        <w:jc w:val="left"/>
        <w:rPr>
          <w:sz w:val="13"/>
        </w:rPr>
      </w:pPr>
      <w:r>
        <w:rPr>
          <w:w w:val="105"/>
          <w:sz w:val="13"/>
        </w:rPr>
        <w:t>Considerations include: whether both parties genuinely want to resolve the dispute; whether the parties are able to understand and participate in the mediation process; the level of vulnerability of either party, e.g. mental health issues; whether either </w:t>
      </w:r>
      <w:r>
        <w:rPr>
          <w:spacing w:val="2"/>
          <w:w w:val="105"/>
          <w:sz w:val="13"/>
        </w:rPr>
        <w:t>party </w:t>
      </w:r>
      <w:r>
        <w:rPr>
          <w:w w:val="105"/>
          <w:sz w:val="13"/>
        </w:rPr>
        <w:t>has expressed fear of the other party, or has been harmed or threatened with violence by the other </w:t>
      </w:r>
      <w:r>
        <w:rPr>
          <w:spacing w:val="2"/>
          <w:w w:val="105"/>
          <w:sz w:val="13"/>
        </w:rPr>
        <w:t>party; </w:t>
      </w:r>
      <w:r>
        <w:rPr>
          <w:w w:val="105"/>
          <w:sz w:val="13"/>
        </w:rPr>
        <w:t>any previous failed attempts at mediation; whether</w:t>
      </w:r>
      <w:r>
        <w:rPr>
          <w:spacing w:val="5"/>
          <w:w w:val="105"/>
          <w:sz w:val="13"/>
        </w:rPr>
        <w:t> </w:t>
      </w:r>
      <w:r>
        <w:rPr>
          <w:w w:val="105"/>
          <w:sz w:val="13"/>
        </w:rPr>
        <w:t>the</w:t>
      </w:r>
      <w:r>
        <w:rPr>
          <w:spacing w:val="5"/>
          <w:w w:val="105"/>
          <w:sz w:val="13"/>
        </w:rPr>
        <w:t> </w:t>
      </w:r>
      <w:r>
        <w:rPr>
          <w:w w:val="105"/>
          <w:sz w:val="13"/>
        </w:rPr>
        <w:t>issue</w:t>
      </w:r>
      <w:r>
        <w:rPr>
          <w:spacing w:val="5"/>
          <w:w w:val="105"/>
          <w:sz w:val="13"/>
        </w:rPr>
        <w:t> </w:t>
      </w:r>
      <w:r>
        <w:rPr>
          <w:w w:val="105"/>
          <w:sz w:val="13"/>
        </w:rPr>
        <w:t>is</w:t>
      </w:r>
      <w:r>
        <w:rPr>
          <w:spacing w:val="5"/>
          <w:w w:val="105"/>
          <w:sz w:val="13"/>
        </w:rPr>
        <w:t> </w:t>
      </w:r>
      <w:r>
        <w:rPr>
          <w:w w:val="105"/>
          <w:sz w:val="13"/>
        </w:rPr>
        <w:t>substantial</w:t>
      </w:r>
      <w:r>
        <w:rPr>
          <w:spacing w:val="6"/>
          <w:w w:val="105"/>
          <w:sz w:val="13"/>
        </w:rPr>
        <w:t> </w:t>
      </w:r>
      <w:r>
        <w:rPr>
          <w:w w:val="105"/>
          <w:sz w:val="13"/>
        </w:rPr>
        <w:t>enough</w:t>
      </w:r>
      <w:r>
        <w:rPr>
          <w:spacing w:val="5"/>
          <w:w w:val="105"/>
          <w:sz w:val="13"/>
        </w:rPr>
        <w:t> </w:t>
      </w:r>
      <w:r>
        <w:rPr>
          <w:w w:val="105"/>
          <w:sz w:val="13"/>
        </w:rPr>
        <w:t>to</w:t>
      </w:r>
      <w:r>
        <w:rPr>
          <w:spacing w:val="5"/>
          <w:w w:val="105"/>
          <w:sz w:val="13"/>
        </w:rPr>
        <w:t> </w:t>
      </w:r>
      <w:r>
        <w:rPr>
          <w:w w:val="105"/>
          <w:sz w:val="13"/>
        </w:rPr>
        <w:t>mediate:</w:t>
      </w:r>
      <w:r>
        <w:rPr>
          <w:spacing w:val="5"/>
          <w:w w:val="105"/>
          <w:sz w:val="13"/>
        </w:rPr>
        <w:t> </w:t>
      </w:r>
      <w:r>
        <w:rPr>
          <w:w w:val="105"/>
          <w:sz w:val="13"/>
        </w:rPr>
        <w:t>Dispute</w:t>
      </w:r>
      <w:r>
        <w:rPr>
          <w:spacing w:val="5"/>
          <w:w w:val="105"/>
          <w:sz w:val="13"/>
        </w:rPr>
        <w:t> </w:t>
      </w:r>
      <w:r>
        <w:rPr>
          <w:w w:val="105"/>
          <w:sz w:val="13"/>
        </w:rPr>
        <w:t>Settlement</w:t>
      </w:r>
      <w:r>
        <w:rPr>
          <w:spacing w:val="6"/>
          <w:w w:val="105"/>
          <w:sz w:val="13"/>
        </w:rPr>
        <w:t> </w:t>
      </w:r>
      <w:r>
        <w:rPr>
          <w:w w:val="105"/>
          <w:sz w:val="13"/>
        </w:rPr>
        <w:t>Centre</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Mediation</w:t>
      </w:r>
      <w:r>
        <w:rPr>
          <w:i/>
          <w:spacing w:val="5"/>
          <w:w w:val="105"/>
          <w:sz w:val="13"/>
        </w:rPr>
        <w:t> </w:t>
      </w:r>
      <w:r>
        <w:rPr>
          <w:w w:val="105"/>
          <w:sz w:val="13"/>
        </w:rPr>
        <w:t>(Web</w:t>
      </w:r>
      <w:r>
        <w:rPr>
          <w:spacing w:val="6"/>
          <w:w w:val="105"/>
          <w:sz w:val="13"/>
        </w:rPr>
        <w:t> </w:t>
      </w:r>
      <w:r>
        <w:rPr>
          <w:w w:val="105"/>
          <w:sz w:val="13"/>
        </w:rPr>
        <w:t>Page,</w:t>
      </w:r>
      <w:r>
        <w:rPr>
          <w:spacing w:val="5"/>
          <w:w w:val="105"/>
          <w:sz w:val="13"/>
        </w:rPr>
        <w:t> </w:t>
      </w:r>
      <w:r>
        <w:rPr>
          <w:w w:val="105"/>
          <w:sz w:val="13"/>
        </w:rPr>
        <w:t>3</w:t>
      </w:r>
      <w:r>
        <w:rPr>
          <w:spacing w:val="5"/>
          <w:w w:val="105"/>
          <w:sz w:val="13"/>
        </w:rPr>
        <w:t> </w:t>
      </w:r>
      <w:r>
        <w:rPr>
          <w:w w:val="105"/>
          <w:sz w:val="13"/>
        </w:rPr>
        <w:t>June</w:t>
      </w:r>
      <w:r>
        <w:rPr>
          <w:spacing w:val="5"/>
          <w:w w:val="105"/>
          <w:sz w:val="13"/>
        </w:rPr>
        <w:t> </w:t>
      </w:r>
      <w:r>
        <w:rPr>
          <w:w w:val="105"/>
          <w:sz w:val="13"/>
        </w:rPr>
        <w:t>2019)</w:t>
      </w:r>
    </w:p>
    <w:p>
      <w:pPr>
        <w:spacing w:before="6"/>
        <w:ind w:left="2381" w:right="0" w:firstLine="0"/>
        <w:jc w:val="left"/>
        <w:rPr>
          <w:sz w:val="13"/>
        </w:rPr>
      </w:pPr>
      <w:r>
        <w:rPr>
          <w:w w:val="105"/>
          <w:sz w:val="13"/>
        </w:rPr>
        <w:t>&lt;https://</w:t>
      </w:r>
      <w:hyperlink r:id="rId62">
        <w:r>
          <w:rPr>
            <w:w w:val="105"/>
            <w:sz w:val="13"/>
          </w:rPr>
          <w:t>www.disputes.vic.gov.au/about-us/mediation-0</w:t>
        </w:r>
      </w:hyperlink>
      <w:r>
        <w:rPr>
          <w:w w:val="105"/>
          <w:sz w:val="13"/>
        </w:rPr>
        <w:t>&gt;.</w:t>
      </w:r>
    </w:p>
    <w:p>
      <w:pPr>
        <w:pStyle w:val="ListParagraph"/>
        <w:numPr>
          <w:ilvl w:val="0"/>
          <w:numId w:val="27"/>
        </w:numPr>
        <w:tabs>
          <w:tab w:pos="2381" w:val="left" w:leader="none"/>
          <w:tab w:pos="2382" w:val="left" w:leader="none"/>
        </w:tabs>
        <w:spacing w:line="240" w:lineRule="auto" w:before="1"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DSCV</w:t>
      </w:r>
      <w:r>
        <w:rPr>
          <w:spacing w:val="5"/>
          <w:w w:val="105"/>
          <w:sz w:val="13"/>
        </w:rPr>
        <w:t> </w:t>
      </w:r>
      <w:r>
        <w:rPr>
          <w:w w:val="105"/>
          <w:sz w:val="13"/>
        </w:rPr>
        <w:t>as</w:t>
      </w:r>
      <w:r>
        <w:rPr>
          <w:spacing w:val="5"/>
          <w:w w:val="105"/>
          <w:sz w:val="13"/>
        </w:rPr>
        <w:t> </w:t>
      </w:r>
      <w:r>
        <w:rPr>
          <w:w w:val="105"/>
          <w:sz w:val="13"/>
        </w:rPr>
        <w:t>part</w:t>
      </w:r>
      <w:r>
        <w:rPr>
          <w:spacing w:val="5"/>
          <w:w w:val="105"/>
          <w:sz w:val="13"/>
        </w:rPr>
        <w:t> </w:t>
      </w:r>
      <w:r>
        <w:rPr>
          <w:w w:val="105"/>
          <w:sz w:val="13"/>
        </w:rPr>
        <w:t>of</w:t>
      </w:r>
      <w:r>
        <w:rPr>
          <w:spacing w:val="4"/>
          <w:w w:val="105"/>
          <w:sz w:val="13"/>
        </w:rPr>
        <w:t> </w:t>
      </w:r>
      <w:r>
        <w:rPr>
          <w:w w:val="105"/>
          <w:sz w:val="13"/>
        </w:rPr>
        <w:t>a</w:t>
      </w:r>
      <w:r>
        <w:rPr>
          <w:spacing w:val="5"/>
          <w:w w:val="105"/>
          <w:sz w:val="13"/>
        </w:rPr>
        <w:t> </w:t>
      </w:r>
      <w:r>
        <w:rPr>
          <w:w w:val="105"/>
          <w:sz w:val="13"/>
        </w:rPr>
        <w:t>data</w:t>
      </w:r>
      <w:r>
        <w:rPr>
          <w:spacing w:val="5"/>
          <w:w w:val="105"/>
          <w:sz w:val="13"/>
        </w:rPr>
        <w:t> </w:t>
      </w:r>
      <w:r>
        <w:rPr>
          <w:w w:val="105"/>
          <w:sz w:val="13"/>
        </w:rPr>
        <w:t>request</w:t>
      </w:r>
      <w:r>
        <w:rPr>
          <w:spacing w:val="5"/>
          <w:w w:val="105"/>
          <w:sz w:val="13"/>
        </w:rPr>
        <w:t> </w:t>
      </w:r>
      <w:r>
        <w:rPr>
          <w:w w:val="105"/>
          <w:sz w:val="13"/>
        </w:rPr>
        <w:t>from</w:t>
      </w:r>
      <w:r>
        <w:rPr>
          <w:spacing w:val="5"/>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November</w:t>
      </w:r>
      <w:r>
        <w:rPr>
          <w:spacing w:val="4"/>
          <w:w w:val="105"/>
          <w:sz w:val="13"/>
        </w:rPr>
        <w:t> </w:t>
      </w:r>
      <w:r>
        <w:rPr>
          <w:w w:val="105"/>
          <w:sz w:val="13"/>
        </w:rPr>
        <w:t>2018.</w:t>
      </w:r>
    </w:p>
    <w:p>
      <w:pPr>
        <w:pStyle w:val="ListParagraph"/>
        <w:numPr>
          <w:ilvl w:val="0"/>
          <w:numId w:val="27"/>
        </w:numPr>
        <w:tabs>
          <w:tab w:pos="2381" w:val="left" w:leader="none"/>
          <w:tab w:pos="2382" w:val="left" w:leader="none"/>
        </w:tabs>
        <w:spacing w:line="240" w:lineRule="auto" w:before="1" w:after="0"/>
        <w:ind w:left="2381" w:right="1655" w:hanging="794"/>
        <w:jc w:val="left"/>
        <w:rPr>
          <w:sz w:val="13"/>
        </w:rPr>
      </w:pPr>
      <w:r>
        <w:rPr>
          <w:sz w:val="13"/>
        </w:rPr>
        <w:t>Parties are informed by DSCV that their written mediation agreements may be drawn up into a formal written contract by an external legal practitioner:</w:t>
      </w:r>
      <w:r>
        <w:rPr>
          <w:spacing w:val="11"/>
          <w:sz w:val="13"/>
        </w:rPr>
        <w:t> </w:t>
      </w:r>
      <w:r>
        <w:rPr>
          <w:sz w:val="13"/>
        </w:rPr>
        <w:t>information</w:t>
      </w:r>
      <w:r>
        <w:rPr>
          <w:spacing w:val="11"/>
          <w:sz w:val="13"/>
        </w:rPr>
        <w:t> </w:t>
      </w:r>
      <w:r>
        <w:rPr>
          <w:sz w:val="13"/>
        </w:rPr>
        <w:t>provided</w:t>
      </w:r>
      <w:r>
        <w:rPr>
          <w:spacing w:val="11"/>
          <w:sz w:val="13"/>
        </w:rPr>
        <w:t> </w:t>
      </w:r>
      <w:r>
        <w:rPr>
          <w:sz w:val="13"/>
        </w:rPr>
        <w:t>by</w:t>
      </w:r>
      <w:r>
        <w:rPr>
          <w:spacing w:val="11"/>
          <w:sz w:val="13"/>
        </w:rPr>
        <w:t> </w:t>
      </w:r>
      <w:r>
        <w:rPr>
          <w:sz w:val="13"/>
        </w:rPr>
        <w:t>DSCV</w:t>
      </w:r>
      <w:r>
        <w:rPr>
          <w:spacing w:val="11"/>
          <w:sz w:val="13"/>
        </w:rPr>
        <w:t> </w:t>
      </w:r>
      <w:r>
        <w:rPr>
          <w:sz w:val="13"/>
        </w:rPr>
        <w:t>as</w:t>
      </w:r>
      <w:r>
        <w:rPr>
          <w:spacing w:val="11"/>
          <w:sz w:val="13"/>
        </w:rPr>
        <w:t> </w:t>
      </w:r>
      <w:r>
        <w:rPr>
          <w:sz w:val="13"/>
        </w:rPr>
        <w:t>part</w:t>
      </w:r>
      <w:r>
        <w:rPr>
          <w:spacing w:val="11"/>
          <w:sz w:val="13"/>
        </w:rPr>
        <w:t> </w:t>
      </w:r>
      <w:r>
        <w:rPr>
          <w:sz w:val="13"/>
        </w:rPr>
        <w:t>of</w:t>
      </w:r>
      <w:r>
        <w:rPr>
          <w:spacing w:val="11"/>
          <w:sz w:val="13"/>
        </w:rPr>
        <w:t> </w:t>
      </w:r>
      <w:r>
        <w:rPr>
          <w:sz w:val="13"/>
        </w:rPr>
        <w:t>a</w:t>
      </w:r>
      <w:r>
        <w:rPr>
          <w:spacing w:val="11"/>
          <w:sz w:val="13"/>
        </w:rPr>
        <w:t> </w:t>
      </w:r>
      <w:r>
        <w:rPr>
          <w:sz w:val="13"/>
        </w:rPr>
        <w:t>data</w:t>
      </w:r>
      <w:r>
        <w:rPr>
          <w:spacing w:val="11"/>
          <w:sz w:val="13"/>
        </w:rPr>
        <w:t> </w:t>
      </w:r>
      <w:r>
        <w:rPr>
          <w:sz w:val="13"/>
        </w:rPr>
        <w:t>request</w:t>
      </w:r>
      <w:r>
        <w:rPr>
          <w:spacing w:val="11"/>
          <w:sz w:val="13"/>
        </w:rPr>
        <w:t> </w:t>
      </w:r>
      <w:r>
        <w:rPr>
          <w:sz w:val="13"/>
        </w:rPr>
        <w:t>from</w:t>
      </w:r>
      <w:r>
        <w:rPr>
          <w:spacing w:val="11"/>
          <w:sz w:val="13"/>
        </w:rPr>
        <w:t> </w:t>
      </w:r>
      <w:r>
        <w:rPr>
          <w:sz w:val="13"/>
        </w:rPr>
        <w:t>the</w:t>
      </w:r>
      <w:r>
        <w:rPr>
          <w:spacing w:val="11"/>
          <w:sz w:val="13"/>
        </w:rPr>
        <w:t> </w:t>
      </w:r>
      <w:r>
        <w:rPr>
          <w:sz w:val="13"/>
        </w:rPr>
        <w:t>Commission,</w:t>
      </w:r>
      <w:r>
        <w:rPr>
          <w:spacing w:val="12"/>
          <w:sz w:val="13"/>
        </w:rPr>
        <w:t> </w:t>
      </w:r>
      <w:r>
        <w:rPr>
          <w:sz w:val="13"/>
        </w:rPr>
        <w:t>16</w:t>
      </w:r>
      <w:r>
        <w:rPr>
          <w:spacing w:val="11"/>
          <w:sz w:val="13"/>
        </w:rPr>
        <w:t> </w:t>
      </w:r>
      <w:r>
        <w:rPr>
          <w:sz w:val="13"/>
        </w:rPr>
        <w:t>October</w:t>
      </w:r>
      <w:r>
        <w:rPr>
          <w:spacing w:val="11"/>
          <w:sz w:val="13"/>
        </w:rPr>
        <w:t> </w:t>
      </w:r>
      <w:r>
        <w:rPr>
          <w:spacing w:val="-5"/>
          <w:sz w:val="13"/>
        </w:rPr>
        <w:t>2017.</w:t>
      </w:r>
    </w:p>
    <w:p>
      <w:pPr>
        <w:pStyle w:val="ListParagraph"/>
        <w:numPr>
          <w:ilvl w:val="0"/>
          <w:numId w:val="27"/>
        </w:numPr>
        <w:tabs>
          <w:tab w:pos="2381" w:val="left" w:leader="none"/>
          <w:tab w:pos="2382" w:val="left" w:leader="none"/>
        </w:tabs>
        <w:spacing w:line="240" w:lineRule="auto" w:before="3" w:after="0"/>
        <w:ind w:left="2381" w:right="0" w:hanging="794"/>
        <w:jc w:val="left"/>
        <w:rPr>
          <w:sz w:val="13"/>
        </w:rPr>
      </w:pPr>
      <w:r>
        <w:rPr>
          <w:w w:val="105"/>
          <w:sz w:val="13"/>
        </w:rPr>
        <w:t>Information provided by DSCV in May</w:t>
      </w:r>
      <w:r>
        <w:rPr>
          <w:spacing w:val="27"/>
          <w:w w:val="105"/>
          <w:sz w:val="13"/>
        </w:rPr>
        <w:t> </w:t>
      </w:r>
      <w:r>
        <w:rPr>
          <w:w w:val="105"/>
          <w:sz w:val="13"/>
        </w:rPr>
        <w:t>2019.</w:t>
      </w:r>
    </w:p>
    <w:p>
      <w:pPr>
        <w:pStyle w:val="ListParagraph"/>
        <w:numPr>
          <w:ilvl w:val="0"/>
          <w:numId w:val="27"/>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5"/>
          <w:w w:val="105"/>
          <w:sz w:val="13"/>
        </w:rPr>
        <w:t> </w:t>
      </w:r>
      <w:r>
        <w:rPr>
          <w:w w:val="105"/>
          <w:sz w:val="13"/>
        </w:rPr>
        <w:t>eg,</w:t>
      </w:r>
      <w:r>
        <w:rPr>
          <w:spacing w:val="6"/>
          <w:w w:val="105"/>
          <w:sz w:val="13"/>
        </w:rPr>
        <w:t> </w:t>
      </w:r>
      <w:r>
        <w:rPr>
          <w:i/>
          <w:w w:val="105"/>
          <w:sz w:val="13"/>
        </w:rPr>
        <w:t>Magistrates’</w:t>
      </w:r>
      <w:r>
        <w:rPr>
          <w:i/>
          <w:spacing w:val="6"/>
          <w:w w:val="105"/>
          <w:sz w:val="13"/>
        </w:rPr>
        <w:t> </w:t>
      </w:r>
      <w:r>
        <w:rPr>
          <w:i/>
          <w:w w:val="105"/>
          <w:sz w:val="13"/>
        </w:rPr>
        <w:t>Court</w:t>
      </w:r>
      <w:r>
        <w:rPr>
          <w:i/>
          <w:spacing w:val="6"/>
          <w:w w:val="105"/>
          <w:sz w:val="13"/>
        </w:rPr>
        <w:t> </w:t>
      </w:r>
      <w:r>
        <w:rPr>
          <w:i/>
          <w:w w:val="105"/>
          <w:sz w:val="13"/>
        </w:rPr>
        <w:t>Act</w:t>
      </w:r>
      <w:r>
        <w:rPr>
          <w:i/>
          <w:spacing w:val="6"/>
          <w:w w:val="105"/>
          <w:sz w:val="13"/>
        </w:rPr>
        <w:t> </w:t>
      </w:r>
      <w:r>
        <w:rPr>
          <w:i/>
          <w:w w:val="105"/>
          <w:sz w:val="13"/>
        </w:rPr>
        <w:t>1989</w:t>
      </w:r>
      <w:r>
        <w:rPr>
          <w:i/>
          <w:spacing w:val="6"/>
          <w:w w:val="105"/>
          <w:sz w:val="13"/>
        </w:rPr>
        <w:t> </w:t>
      </w:r>
      <w:r>
        <w:rPr>
          <w:spacing w:val="2"/>
          <w:w w:val="105"/>
          <w:sz w:val="13"/>
        </w:rPr>
        <w:t>(Vic)</w:t>
      </w:r>
      <w:r>
        <w:rPr>
          <w:spacing w:val="6"/>
          <w:w w:val="105"/>
          <w:sz w:val="13"/>
        </w:rPr>
        <w:t> </w:t>
      </w:r>
      <w:r>
        <w:rPr>
          <w:w w:val="105"/>
          <w:sz w:val="13"/>
        </w:rPr>
        <w:t>s</w:t>
      </w:r>
      <w:r>
        <w:rPr>
          <w:spacing w:val="6"/>
          <w:w w:val="105"/>
          <w:sz w:val="13"/>
        </w:rPr>
        <w:t> </w:t>
      </w:r>
      <w:r>
        <w:rPr>
          <w:w w:val="105"/>
          <w:sz w:val="13"/>
        </w:rPr>
        <w:t>108;</w:t>
      </w:r>
      <w:r>
        <w:rPr>
          <w:spacing w:val="6"/>
          <w:w w:val="105"/>
          <w:sz w:val="13"/>
        </w:rPr>
        <w:t> </w:t>
      </w:r>
      <w:r>
        <w:rPr>
          <w:i/>
          <w:w w:val="105"/>
          <w:sz w:val="13"/>
        </w:rPr>
        <w:t>County</w:t>
      </w:r>
      <w:r>
        <w:rPr>
          <w:i/>
          <w:spacing w:val="6"/>
          <w:w w:val="105"/>
          <w:sz w:val="13"/>
        </w:rPr>
        <w:t> </w:t>
      </w:r>
      <w:r>
        <w:rPr>
          <w:i/>
          <w:w w:val="105"/>
          <w:sz w:val="13"/>
        </w:rPr>
        <w:t>Court</w:t>
      </w:r>
      <w:r>
        <w:rPr>
          <w:i/>
          <w:spacing w:val="6"/>
          <w:w w:val="105"/>
          <w:sz w:val="13"/>
        </w:rPr>
        <w:t> </w:t>
      </w:r>
      <w:r>
        <w:rPr>
          <w:i/>
          <w:w w:val="105"/>
          <w:sz w:val="13"/>
        </w:rPr>
        <w:t>Act</w:t>
      </w:r>
      <w:r>
        <w:rPr>
          <w:i/>
          <w:spacing w:val="6"/>
          <w:w w:val="105"/>
          <w:sz w:val="13"/>
        </w:rPr>
        <w:t> </w:t>
      </w:r>
      <w:r>
        <w:rPr>
          <w:i/>
          <w:w w:val="105"/>
          <w:sz w:val="13"/>
        </w:rPr>
        <w:t>1958</w:t>
      </w:r>
      <w:r>
        <w:rPr>
          <w:i/>
          <w:spacing w:val="5"/>
          <w:w w:val="105"/>
          <w:sz w:val="13"/>
        </w:rPr>
        <w:t> </w:t>
      </w:r>
      <w:r>
        <w:rPr>
          <w:spacing w:val="2"/>
          <w:w w:val="105"/>
          <w:sz w:val="13"/>
        </w:rPr>
        <w:t>(Vic)</w:t>
      </w:r>
      <w:r>
        <w:rPr>
          <w:spacing w:val="6"/>
          <w:w w:val="105"/>
          <w:sz w:val="13"/>
        </w:rPr>
        <w:t> </w:t>
      </w:r>
      <w:r>
        <w:rPr>
          <w:w w:val="105"/>
          <w:sz w:val="13"/>
        </w:rPr>
        <w:t>s</w:t>
      </w:r>
      <w:r>
        <w:rPr>
          <w:spacing w:val="6"/>
          <w:w w:val="105"/>
          <w:sz w:val="13"/>
        </w:rPr>
        <w:t> </w:t>
      </w:r>
      <w:r>
        <w:rPr>
          <w:w w:val="105"/>
          <w:sz w:val="13"/>
        </w:rPr>
        <w:t>47A;</w:t>
      </w:r>
      <w:r>
        <w:rPr>
          <w:spacing w:val="6"/>
          <w:w w:val="105"/>
          <w:sz w:val="13"/>
        </w:rPr>
        <w:t> </w:t>
      </w:r>
      <w:r>
        <w:rPr>
          <w:i/>
          <w:w w:val="105"/>
          <w:sz w:val="13"/>
        </w:rPr>
        <w:t>Supreme</w:t>
      </w:r>
      <w:r>
        <w:rPr>
          <w:i/>
          <w:spacing w:val="6"/>
          <w:w w:val="105"/>
          <w:sz w:val="13"/>
        </w:rPr>
        <w:t> </w:t>
      </w:r>
      <w:r>
        <w:rPr>
          <w:i/>
          <w:w w:val="105"/>
          <w:sz w:val="13"/>
        </w:rPr>
        <w:t>Court</w:t>
      </w:r>
      <w:r>
        <w:rPr>
          <w:i/>
          <w:spacing w:val="6"/>
          <w:w w:val="105"/>
          <w:sz w:val="13"/>
        </w:rPr>
        <w:t> </w:t>
      </w:r>
      <w:r>
        <w:rPr>
          <w:i/>
          <w:w w:val="105"/>
          <w:sz w:val="13"/>
        </w:rPr>
        <w:t>Act</w:t>
      </w:r>
      <w:r>
        <w:rPr>
          <w:i/>
          <w:spacing w:val="6"/>
          <w:w w:val="105"/>
          <w:sz w:val="13"/>
        </w:rPr>
        <w:t> </w:t>
      </w:r>
      <w:r>
        <w:rPr>
          <w:i/>
          <w:w w:val="105"/>
          <w:sz w:val="13"/>
        </w:rPr>
        <w:t>1986</w:t>
      </w:r>
      <w:r>
        <w:rPr>
          <w:i/>
          <w:spacing w:val="6"/>
          <w:w w:val="105"/>
          <w:sz w:val="13"/>
        </w:rPr>
        <w:t> </w:t>
      </w:r>
      <w:r>
        <w:rPr>
          <w:spacing w:val="2"/>
          <w:w w:val="105"/>
          <w:sz w:val="13"/>
        </w:rPr>
        <w:t>(Vic)</w:t>
      </w:r>
      <w:r>
        <w:rPr>
          <w:spacing w:val="6"/>
          <w:w w:val="105"/>
          <w:sz w:val="13"/>
        </w:rPr>
        <w:t> </w:t>
      </w:r>
      <w:r>
        <w:rPr>
          <w:w w:val="105"/>
          <w:sz w:val="13"/>
        </w:rPr>
        <w:t>s</w:t>
      </w:r>
      <w:r>
        <w:rPr>
          <w:spacing w:val="6"/>
          <w:w w:val="105"/>
          <w:sz w:val="13"/>
        </w:rPr>
        <w:t> </w:t>
      </w:r>
      <w:r>
        <w:rPr>
          <w:w w:val="105"/>
          <w:sz w:val="13"/>
        </w:rPr>
        <w:t>24A.</w:t>
      </w:r>
    </w:p>
    <w:p>
      <w:pPr>
        <w:pStyle w:val="ListParagraph"/>
        <w:numPr>
          <w:ilvl w:val="0"/>
          <w:numId w:val="27"/>
        </w:numPr>
        <w:tabs>
          <w:tab w:pos="2381" w:val="left" w:leader="none"/>
          <w:tab w:pos="2382" w:val="left" w:leader="none"/>
        </w:tabs>
        <w:spacing w:line="240" w:lineRule="auto" w:before="2" w:after="0"/>
        <w:ind w:left="2381" w:right="1724" w:hanging="794"/>
        <w:jc w:val="both"/>
        <w:rPr>
          <w:sz w:val="13"/>
        </w:rPr>
      </w:pPr>
      <w:r>
        <w:rPr>
          <w:w w:val="105"/>
          <w:sz w:val="13"/>
        </w:rPr>
        <w:t>This is only available for some Magistrates’ Courts and is limited to civil claims under </w:t>
      </w:r>
      <w:r>
        <w:rPr>
          <w:spacing w:val="3"/>
          <w:w w:val="105"/>
          <w:sz w:val="13"/>
        </w:rPr>
        <w:t>$40,000: </w:t>
      </w:r>
      <w:r>
        <w:rPr>
          <w:w w:val="105"/>
          <w:sz w:val="13"/>
        </w:rPr>
        <w:t>Dispute Settlement Centre of Victoria, </w:t>
      </w:r>
      <w:r>
        <w:rPr>
          <w:i/>
          <w:w w:val="105"/>
          <w:sz w:val="13"/>
        </w:rPr>
        <w:t>Civil </w:t>
      </w:r>
      <w:r>
        <w:rPr>
          <w:i/>
          <w:w w:val="105"/>
          <w:sz w:val="13"/>
        </w:rPr>
        <w:t>Claims Program </w:t>
      </w:r>
      <w:r>
        <w:rPr>
          <w:w w:val="105"/>
          <w:sz w:val="13"/>
        </w:rPr>
        <w:t>(Web Page, 24 April 2019) &lt;https://</w:t>
      </w:r>
      <w:hyperlink r:id="rId64">
        <w:r>
          <w:rPr>
            <w:w w:val="105"/>
            <w:sz w:val="13"/>
          </w:rPr>
          <w:t>www.disputes.vic.gov.au/about-us/civil-claims-program</w:t>
        </w:r>
      </w:hyperlink>
      <w:r>
        <w:rPr>
          <w:w w:val="105"/>
          <w:sz w:val="13"/>
        </w:rPr>
        <w:t>&gt;. Further information about</w:t>
      </w:r>
      <w:r>
        <w:rPr>
          <w:spacing w:val="30"/>
          <w:w w:val="105"/>
          <w:sz w:val="13"/>
        </w:rPr>
        <w:t> </w:t>
      </w:r>
      <w:r>
        <w:rPr>
          <w:w w:val="105"/>
          <w:sz w:val="13"/>
        </w:rPr>
        <w:t>the</w:t>
      </w:r>
      <w:r>
        <w:rPr>
          <w:spacing w:val="5"/>
          <w:w w:val="105"/>
          <w:sz w:val="13"/>
        </w:rPr>
        <w:t> </w:t>
      </w:r>
      <w:r>
        <w:rPr>
          <w:w w:val="105"/>
          <w:sz w:val="13"/>
        </w:rPr>
        <w:t>jurisdiction</w:t>
      </w:r>
      <w:r>
        <w:rPr>
          <w:spacing w:val="5"/>
          <w:w w:val="105"/>
          <w:sz w:val="13"/>
        </w:rPr>
        <w:t> </w:t>
      </w:r>
      <w:r>
        <w:rPr>
          <w:w w:val="105"/>
          <w:sz w:val="13"/>
        </w:rPr>
        <w:t>and</w:t>
      </w:r>
      <w:r>
        <w:rPr>
          <w:spacing w:val="6"/>
          <w:w w:val="105"/>
          <w:sz w:val="13"/>
        </w:rPr>
        <w:t> </w:t>
      </w:r>
      <w:r>
        <w:rPr>
          <w:w w:val="105"/>
          <w:sz w:val="13"/>
        </w:rPr>
        <w:t>processes</w:t>
      </w:r>
      <w:r>
        <w:rPr>
          <w:spacing w:val="5"/>
          <w:w w:val="105"/>
          <w:sz w:val="13"/>
        </w:rPr>
        <w:t> </w:t>
      </w:r>
      <w:r>
        <w:rPr>
          <w:w w:val="105"/>
          <w:sz w:val="13"/>
        </w:rPr>
        <w:t>of</w:t>
      </w:r>
      <w:r>
        <w:rPr>
          <w:spacing w:val="5"/>
          <w:w w:val="105"/>
          <w:sz w:val="13"/>
        </w:rPr>
        <w:t> </w:t>
      </w:r>
      <w:r>
        <w:rPr>
          <w:w w:val="105"/>
          <w:sz w:val="13"/>
        </w:rPr>
        <w:t>the</w:t>
      </w:r>
      <w:r>
        <w:rPr>
          <w:spacing w:val="6"/>
          <w:w w:val="105"/>
          <w:sz w:val="13"/>
        </w:rPr>
        <w:t> </w:t>
      </w:r>
      <w:r>
        <w:rPr>
          <w:w w:val="105"/>
          <w:sz w:val="13"/>
        </w:rPr>
        <w:t>courts,</w:t>
      </w:r>
      <w:r>
        <w:rPr>
          <w:spacing w:val="5"/>
          <w:w w:val="105"/>
          <w:sz w:val="13"/>
        </w:rPr>
        <w:t> </w:t>
      </w:r>
      <w:r>
        <w:rPr>
          <w:w w:val="105"/>
          <w:sz w:val="13"/>
        </w:rPr>
        <w:t>including</w:t>
      </w:r>
      <w:r>
        <w:rPr>
          <w:spacing w:val="5"/>
          <w:w w:val="105"/>
          <w:sz w:val="13"/>
        </w:rPr>
        <w:t> </w:t>
      </w:r>
      <w:r>
        <w:rPr>
          <w:w w:val="105"/>
          <w:sz w:val="13"/>
        </w:rPr>
        <w:t>Alternative</w:t>
      </w:r>
      <w:r>
        <w:rPr>
          <w:spacing w:val="6"/>
          <w:w w:val="105"/>
          <w:sz w:val="13"/>
        </w:rPr>
        <w:t> </w:t>
      </w:r>
      <w:r>
        <w:rPr>
          <w:w w:val="105"/>
          <w:sz w:val="13"/>
        </w:rPr>
        <w:t>Dispute</w:t>
      </w:r>
      <w:r>
        <w:rPr>
          <w:spacing w:val="5"/>
          <w:w w:val="105"/>
          <w:sz w:val="13"/>
        </w:rPr>
        <w:t> </w:t>
      </w:r>
      <w:r>
        <w:rPr>
          <w:w w:val="105"/>
          <w:sz w:val="13"/>
        </w:rPr>
        <w:t>Resolution</w:t>
      </w:r>
      <w:r>
        <w:rPr>
          <w:spacing w:val="5"/>
          <w:w w:val="105"/>
          <w:sz w:val="13"/>
        </w:rPr>
        <w:t> </w:t>
      </w:r>
      <w:r>
        <w:rPr>
          <w:spacing w:val="2"/>
          <w:w w:val="105"/>
          <w:sz w:val="13"/>
        </w:rPr>
        <w:t>(ADR)</w:t>
      </w:r>
      <w:r>
        <w:rPr>
          <w:spacing w:val="6"/>
          <w:w w:val="105"/>
          <w:sz w:val="13"/>
        </w:rPr>
        <w:t> </w:t>
      </w:r>
      <w:r>
        <w:rPr>
          <w:w w:val="105"/>
          <w:sz w:val="13"/>
        </w:rPr>
        <w:t>programs,</w:t>
      </w:r>
      <w:r>
        <w:rPr>
          <w:spacing w:val="5"/>
          <w:w w:val="105"/>
          <w:sz w:val="13"/>
        </w:rPr>
        <w:t> </w:t>
      </w:r>
      <w:r>
        <w:rPr>
          <w:w w:val="105"/>
          <w:sz w:val="13"/>
        </w:rPr>
        <w:t>is</w:t>
      </w:r>
      <w:r>
        <w:rPr>
          <w:spacing w:val="5"/>
          <w:w w:val="105"/>
          <w:sz w:val="13"/>
        </w:rPr>
        <w:t> </w:t>
      </w:r>
      <w:r>
        <w:rPr>
          <w:w w:val="105"/>
          <w:sz w:val="13"/>
        </w:rPr>
        <w:t>provided</w:t>
      </w:r>
      <w:r>
        <w:rPr>
          <w:spacing w:val="6"/>
          <w:w w:val="105"/>
          <w:sz w:val="13"/>
        </w:rPr>
        <w:t> </w:t>
      </w:r>
      <w:r>
        <w:rPr>
          <w:w w:val="105"/>
          <w:sz w:val="13"/>
        </w:rPr>
        <w:t>in</w:t>
      </w:r>
      <w:r>
        <w:rPr>
          <w:spacing w:val="5"/>
          <w:w w:val="105"/>
          <w:sz w:val="13"/>
        </w:rPr>
        <w:t> </w:t>
      </w:r>
      <w:r>
        <w:rPr>
          <w:w w:val="105"/>
          <w:sz w:val="13"/>
        </w:rPr>
        <w:t>Ch</w:t>
      </w:r>
      <w:r>
        <w:rPr>
          <w:spacing w:val="5"/>
          <w:w w:val="105"/>
          <w:sz w:val="13"/>
        </w:rPr>
        <w:t> </w:t>
      </w:r>
      <w:r>
        <w:rPr>
          <w:w w:val="105"/>
          <w:sz w:val="13"/>
        </w:rPr>
        <w:t>6.</w:t>
      </w:r>
    </w:p>
    <w:p>
      <w:pPr>
        <w:pStyle w:val="ListParagraph"/>
        <w:numPr>
          <w:ilvl w:val="0"/>
          <w:numId w:val="27"/>
        </w:numPr>
        <w:tabs>
          <w:tab w:pos="2381" w:val="left" w:leader="none"/>
          <w:tab w:pos="2382" w:val="left" w:leader="none"/>
        </w:tabs>
        <w:spacing w:line="240" w:lineRule="auto" w:before="4" w:after="0"/>
        <w:ind w:left="2381" w:right="1728" w:hanging="794"/>
        <w:jc w:val="both"/>
        <w:rPr>
          <w:sz w:val="13"/>
        </w:rPr>
      </w:pPr>
      <w:r>
        <w:rPr/>
        <w:pict>
          <v:shape style="position:absolute;margin-left:36pt;margin-top:11.140066pt;width:13.5pt;height:14.25pt;mso-position-horizontal-relative:page;mso-position-vertical-relative:paragraph;z-index:3112" type="#_x0000_t202" filled="false" stroked="false">
            <v:textbox inset="0,0,0,0">
              <w:txbxContent>
                <w:p>
                  <w:pPr>
                    <w:spacing w:line="284" w:lineRule="exact" w:before="0"/>
                    <w:ind w:left="0" w:right="0" w:firstLine="0"/>
                    <w:jc w:val="left"/>
                    <w:rPr>
                      <w:b/>
                      <w:sz w:val="24"/>
                    </w:rPr>
                  </w:pPr>
                  <w:r>
                    <w:rPr>
                      <w:b/>
                      <w:color w:val="658464"/>
                      <w:w w:val="110"/>
                      <w:sz w:val="24"/>
                    </w:rPr>
                    <w:t>30</w:t>
                  </w:r>
                </w:p>
              </w:txbxContent>
            </v:textbox>
            <w10:wrap type="none"/>
          </v:shape>
        </w:pict>
      </w:r>
      <w:r>
        <w:rPr>
          <w:sz w:val="13"/>
        </w:rPr>
        <w:t>See generally Magistrates’ Court of Victoria, </w:t>
      </w:r>
      <w:r>
        <w:rPr>
          <w:i/>
          <w:sz w:val="13"/>
        </w:rPr>
        <w:t>Mediation </w:t>
      </w:r>
      <w:r>
        <w:rPr>
          <w:sz w:val="13"/>
        </w:rPr>
        <w:t>(Web Page, </w:t>
      </w:r>
      <w:r>
        <w:rPr>
          <w:spacing w:val="-3"/>
          <w:sz w:val="13"/>
        </w:rPr>
        <w:t>14 </w:t>
      </w:r>
      <w:r>
        <w:rPr>
          <w:sz w:val="13"/>
        </w:rPr>
        <w:t>January 2019) </w:t>
      </w:r>
      <w:hyperlink r:id="rId65">
        <w:r>
          <w:rPr>
            <w:spacing w:val="2"/>
            <w:sz w:val="13"/>
          </w:rPr>
          <w:t>https://www.mcv.vic.gov.au/civil-matters/resolving-</w:t>
        </w:r>
      </w:hyperlink>
      <w:hyperlink r:id="rId65">
        <w:r>
          <w:rPr>
            <w:spacing w:val="2"/>
            <w:sz w:val="13"/>
          </w:rPr>
          <w:t> </w:t>
        </w:r>
        <w:r>
          <w:rPr>
            <w:sz w:val="13"/>
          </w:rPr>
          <w:t>dispute/mediation</w:t>
        </w:r>
      </w:hyperlink>
      <w:r>
        <w:rPr>
          <w:sz w:val="13"/>
        </w:rPr>
        <w:t>; Dispute Settlement Centre of Victoria, </w:t>
      </w:r>
      <w:r>
        <w:rPr>
          <w:i/>
          <w:sz w:val="13"/>
        </w:rPr>
        <w:t>Civil Claims Program </w:t>
      </w:r>
      <w:r>
        <w:rPr>
          <w:sz w:val="13"/>
        </w:rPr>
        <w:t>(Web Page, 22 May 2019) &lt;https://</w:t>
      </w:r>
      <w:hyperlink r:id="rId66">
        <w:r>
          <w:rPr>
            <w:sz w:val="13"/>
          </w:rPr>
          <w:t>www.disputes.vic.gov.</w:t>
        </w:r>
      </w:hyperlink>
      <w:r>
        <w:rPr>
          <w:sz w:val="13"/>
        </w:rPr>
        <w:t> au/about-us/civil-claims-program&gt;.</w:t>
      </w:r>
    </w:p>
    <w:p>
      <w:pPr>
        <w:spacing w:after="0" w:line="240" w:lineRule="auto"/>
        <w:jc w:val="both"/>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821" w:hanging="794"/>
        <w:jc w:val="left"/>
        <w:rPr>
          <w:sz w:val="21"/>
        </w:rPr>
      </w:pPr>
      <w:bookmarkStart w:name="Court proceedings" w:id="70"/>
      <w:bookmarkEnd w:id="70"/>
      <w:r>
        <w:rPr/>
      </w:r>
      <w:bookmarkStart w:name="_bookmark25" w:id="71"/>
      <w:bookmarkEnd w:id="71"/>
      <w:r>
        <w:rPr/>
      </w:r>
      <w:bookmarkStart w:name="_bookmark25" w:id="72"/>
      <w:bookmarkEnd w:id="72"/>
      <w:r>
        <w:rPr>
          <w:sz w:val="21"/>
        </w:rPr>
        <w:t>D</w:t>
      </w:r>
      <w:r>
        <w:rPr>
          <w:sz w:val="21"/>
        </w:rPr>
        <w:t>SCV </w:t>
      </w:r>
      <w:r>
        <w:rPr>
          <w:spacing w:val="-2"/>
          <w:sz w:val="21"/>
        </w:rPr>
        <w:t>has </w:t>
      </w:r>
      <w:r>
        <w:rPr>
          <w:sz w:val="21"/>
        </w:rPr>
        <w:t>also </w:t>
      </w:r>
      <w:r>
        <w:rPr>
          <w:spacing w:val="-3"/>
          <w:sz w:val="21"/>
        </w:rPr>
        <w:t>recently </w:t>
      </w:r>
      <w:r>
        <w:rPr>
          <w:sz w:val="21"/>
        </w:rPr>
        <w:t>partnered with the Victorian </w:t>
      </w:r>
      <w:r>
        <w:rPr>
          <w:spacing w:val="-3"/>
          <w:sz w:val="21"/>
        </w:rPr>
        <w:t>Civil </w:t>
      </w:r>
      <w:r>
        <w:rPr>
          <w:sz w:val="21"/>
        </w:rPr>
        <w:t>and </w:t>
      </w:r>
      <w:r>
        <w:rPr>
          <w:spacing w:val="-3"/>
          <w:sz w:val="21"/>
        </w:rPr>
        <w:t>Administrative </w:t>
      </w:r>
      <w:r>
        <w:rPr>
          <w:spacing w:val="-5"/>
          <w:sz w:val="21"/>
        </w:rPr>
        <w:t>Tribunal </w:t>
      </w:r>
      <w:r>
        <w:rPr>
          <w:sz w:val="21"/>
        </w:rPr>
        <w:t>(VCAT) </w:t>
      </w:r>
      <w:r>
        <w:rPr>
          <w:spacing w:val="-3"/>
          <w:sz w:val="21"/>
        </w:rPr>
        <w:t>to administer Fast  </w:t>
      </w:r>
      <w:r>
        <w:rPr>
          <w:spacing w:val="-5"/>
          <w:sz w:val="21"/>
        </w:rPr>
        <w:t>Track  </w:t>
      </w:r>
      <w:r>
        <w:rPr>
          <w:sz w:val="21"/>
        </w:rPr>
        <w:t>Mediation  and  </w:t>
      </w:r>
      <w:r>
        <w:rPr>
          <w:spacing w:val="-3"/>
          <w:sz w:val="21"/>
        </w:rPr>
        <w:t>Hearing  </w:t>
      </w:r>
      <w:r>
        <w:rPr>
          <w:spacing w:val="4"/>
          <w:sz w:val="21"/>
        </w:rPr>
        <w:t>(FTMH)</w:t>
      </w:r>
      <w:r>
        <w:rPr>
          <w:spacing w:val="4"/>
          <w:position w:val="7"/>
          <w:sz w:val="12"/>
        </w:rPr>
        <w:t>40</w:t>
      </w:r>
      <w:r>
        <w:rPr>
          <w:spacing w:val="35"/>
          <w:position w:val="7"/>
          <w:sz w:val="12"/>
        </w:rPr>
        <w:t> </w:t>
      </w:r>
      <w:r>
        <w:rPr>
          <w:sz w:val="21"/>
        </w:rPr>
        <w:t>at  </w:t>
      </w:r>
      <w:r>
        <w:rPr>
          <w:spacing w:val="-8"/>
          <w:sz w:val="21"/>
        </w:rPr>
        <w:t>VCAT.  </w:t>
      </w:r>
      <w:r>
        <w:rPr>
          <w:sz w:val="21"/>
        </w:rPr>
        <w:t>FTMH  </w:t>
      </w:r>
      <w:r>
        <w:rPr>
          <w:spacing w:val="-3"/>
          <w:sz w:val="21"/>
        </w:rPr>
        <w:t>aims to </w:t>
      </w:r>
      <w:r>
        <w:rPr>
          <w:sz w:val="21"/>
        </w:rPr>
        <w:t>resolve </w:t>
      </w:r>
      <w:r>
        <w:rPr>
          <w:spacing w:val="-3"/>
          <w:sz w:val="21"/>
        </w:rPr>
        <w:t>disputes </w:t>
      </w:r>
      <w:r>
        <w:rPr>
          <w:sz w:val="21"/>
        </w:rPr>
        <w:t>at </w:t>
      </w:r>
      <w:r>
        <w:rPr>
          <w:spacing w:val="-5"/>
          <w:sz w:val="21"/>
        </w:rPr>
        <w:t>VCAT </w:t>
      </w:r>
      <w:r>
        <w:rPr>
          <w:sz w:val="21"/>
        </w:rPr>
        <w:t>as quickly as possible </w:t>
      </w:r>
      <w:r>
        <w:rPr>
          <w:spacing w:val="-3"/>
          <w:sz w:val="21"/>
        </w:rPr>
        <w:t>through </w:t>
      </w:r>
      <w:r>
        <w:rPr>
          <w:sz w:val="21"/>
        </w:rPr>
        <w:t>mediation or </w:t>
      </w:r>
      <w:r>
        <w:rPr>
          <w:spacing w:val="-3"/>
          <w:sz w:val="21"/>
        </w:rPr>
        <w:t>to </w:t>
      </w:r>
      <w:r>
        <w:rPr>
          <w:sz w:val="21"/>
        </w:rPr>
        <w:t>progress </w:t>
      </w:r>
      <w:r>
        <w:rPr>
          <w:spacing w:val="-3"/>
          <w:sz w:val="21"/>
        </w:rPr>
        <w:t>to </w:t>
      </w:r>
      <w:r>
        <w:rPr>
          <w:sz w:val="21"/>
        </w:rPr>
        <w:t>a </w:t>
      </w:r>
      <w:r>
        <w:rPr>
          <w:spacing w:val="-3"/>
          <w:sz w:val="21"/>
        </w:rPr>
        <w:t>hearing </w:t>
      </w:r>
      <w:r>
        <w:rPr>
          <w:sz w:val="21"/>
        </w:rPr>
        <w:t>on the same </w:t>
      </w:r>
      <w:r>
        <w:rPr>
          <w:spacing w:val="-3"/>
          <w:sz w:val="21"/>
        </w:rPr>
        <w:t>day </w:t>
      </w:r>
      <w:r>
        <w:rPr>
          <w:sz w:val="21"/>
        </w:rPr>
        <w:t>if</w:t>
      </w:r>
      <w:r>
        <w:rPr>
          <w:spacing w:val="13"/>
          <w:sz w:val="21"/>
        </w:rPr>
        <w:t> </w:t>
      </w:r>
      <w:r>
        <w:rPr>
          <w:spacing w:val="-3"/>
          <w:sz w:val="21"/>
        </w:rPr>
        <w:t>required.</w:t>
      </w:r>
      <w:r>
        <w:rPr>
          <w:spacing w:val="-3"/>
          <w:position w:val="7"/>
          <w:sz w:val="12"/>
        </w:rPr>
        <w:t>41</w:t>
      </w:r>
    </w:p>
    <w:p>
      <w:pPr>
        <w:pStyle w:val="BodyText"/>
        <w:spacing w:before="12"/>
      </w:pPr>
    </w:p>
    <w:p>
      <w:pPr>
        <w:pStyle w:val="Heading4"/>
      </w:pPr>
      <w:r>
        <w:rPr>
          <w:color w:val="658464"/>
          <w:w w:val="115"/>
        </w:rPr>
        <w:t>Court proceedings</w:t>
      </w:r>
    </w:p>
    <w:p>
      <w:pPr>
        <w:pStyle w:val="ListParagraph"/>
        <w:numPr>
          <w:ilvl w:val="1"/>
          <w:numId w:val="16"/>
        </w:numPr>
        <w:tabs>
          <w:tab w:pos="2380" w:val="left" w:leader="none"/>
          <w:tab w:pos="2381" w:val="left" w:leader="none"/>
        </w:tabs>
        <w:spacing w:line="242" w:lineRule="auto" w:before="155" w:after="0"/>
        <w:ind w:left="2381" w:right="2217" w:hanging="794"/>
        <w:jc w:val="left"/>
        <w:rPr>
          <w:sz w:val="21"/>
        </w:rPr>
      </w:pPr>
      <w:r>
        <w:rPr>
          <w:w w:val="105"/>
          <w:sz w:val="21"/>
        </w:rPr>
        <w:t>Parties</w:t>
      </w:r>
      <w:r>
        <w:rPr>
          <w:spacing w:val="-8"/>
          <w:w w:val="105"/>
          <w:sz w:val="21"/>
        </w:rPr>
        <w:t> </w:t>
      </w:r>
      <w:r>
        <w:rPr>
          <w:w w:val="105"/>
          <w:sz w:val="21"/>
        </w:rPr>
        <w:t>in</w:t>
      </w:r>
      <w:r>
        <w:rPr>
          <w:spacing w:val="-7"/>
          <w:w w:val="105"/>
          <w:sz w:val="21"/>
        </w:rPr>
        <w:t> </w:t>
      </w:r>
      <w:r>
        <w:rPr>
          <w:w w:val="105"/>
          <w:sz w:val="21"/>
        </w:rPr>
        <w:t>a</w:t>
      </w:r>
      <w:r>
        <w:rPr>
          <w:spacing w:val="-7"/>
          <w:w w:val="105"/>
          <w:sz w:val="21"/>
        </w:rPr>
        <w:t> </w:t>
      </w:r>
      <w:r>
        <w:rPr>
          <w:w w:val="105"/>
          <w:sz w:val="21"/>
        </w:rPr>
        <w:t>tree</w:t>
      </w:r>
      <w:r>
        <w:rPr>
          <w:spacing w:val="-7"/>
          <w:w w:val="105"/>
          <w:sz w:val="21"/>
        </w:rPr>
        <w:t> </w:t>
      </w:r>
      <w:r>
        <w:rPr>
          <w:spacing w:val="-3"/>
          <w:w w:val="105"/>
          <w:sz w:val="21"/>
        </w:rPr>
        <w:t>dispute</w:t>
      </w:r>
      <w:r>
        <w:rPr>
          <w:spacing w:val="-7"/>
          <w:w w:val="105"/>
          <w:sz w:val="21"/>
        </w:rPr>
        <w:t> </w:t>
      </w:r>
      <w:r>
        <w:rPr>
          <w:spacing w:val="-3"/>
          <w:w w:val="105"/>
          <w:sz w:val="21"/>
        </w:rPr>
        <w:t>may</w:t>
      </w:r>
      <w:r>
        <w:rPr>
          <w:spacing w:val="-8"/>
          <w:w w:val="105"/>
          <w:sz w:val="21"/>
        </w:rPr>
        <w:t> </w:t>
      </w:r>
      <w:r>
        <w:rPr>
          <w:w w:val="105"/>
          <w:sz w:val="21"/>
        </w:rPr>
        <w:t>also</w:t>
      </w:r>
      <w:r>
        <w:rPr>
          <w:spacing w:val="-7"/>
          <w:w w:val="105"/>
          <w:sz w:val="21"/>
        </w:rPr>
        <w:t> </w:t>
      </w:r>
      <w:r>
        <w:rPr>
          <w:spacing w:val="-3"/>
          <w:w w:val="105"/>
          <w:sz w:val="21"/>
        </w:rPr>
        <w:t>initiate</w:t>
      </w:r>
      <w:r>
        <w:rPr>
          <w:spacing w:val="-7"/>
          <w:w w:val="105"/>
          <w:sz w:val="21"/>
        </w:rPr>
        <w:t> </w:t>
      </w:r>
      <w:r>
        <w:rPr>
          <w:w w:val="105"/>
          <w:sz w:val="21"/>
        </w:rPr>
        <w:t>legal</w:t>
      </w:r>
      <w:r>
        <w:rPr>
          <w:spacing w:val="-7"/>
          <w:w w:val="105"/>
          <w:sz w:val="21"/>
        </w:rPr>
        <w:t> </w:t>
      </w:r>
      <w:r>
        <w:rPr>
          <w:spacing w:val="-3"/>
          <w:w w:val="105"/>
          <w:sz w:val="21"/>
        </w:rPr>
        <w:t>proceedings</w:t>
      </w:r>
      <w:r>
        <w:rPr>
          <w:spacing w:val="-7"/>
          <w:w w:val="105"/>
          <w:sz w:val="21"/>
        </w:rPr>
        <w:t> </w:t>
      </w:r>
      <w:r>
        <w:rPr>
          <w:w w:val="105"/>
          <w:sz w:val="21"/>
        </w:rPr>
        <w:t>in</w:t>
      </w:r>
      <w:r>
        <w:rPr>
          <w:spacing w:val="-8"/>
          <w:w w:val="105"/>
          <w:sz w:val="21"/>
        </w:rPr>
        <w:t> </w:t>
      </w:r>
      <w:r>
        <w:rPr>
          <w:w w:val="105"/>
          <w:sz w:val="21"/>
        </w:rPr>
        <w:t>court.</w:t>
      </w:r>
      <w:r>
        <w:rPr>
          <w:spacing w:val="-7"/>
          <w:w w:val="105"/>
          <w:sz w:val="21"/>
        </w:rPr>
        <w:t> </w:t>
      </w:r>
      <w:r>
        <w:rPr>
          <w:w w:val="105"/>
          <w:sz w:val="21"/>
        </w:rPr>
        <w:t>As</w:t>
      </w:r>
      <w:r>
        <w:rPr>
          <w:spacing w:val="-7"/>
          <w:w w:val="105"/>
          <w:sz w:val="21"/>
        </w:rPr>
        <w:t> </w:t>
      </w:r>
      <w:r>
        <w:rPr>
          <w:w w:val="105"/>
          <w:sz w:val="21"/>
        </w:rPr>
        <w:t>described</w:t>
      </w:r>
      <w:r>
        <w:rPr>
          <w:spacing w:val="-7"/>
          <w:w w:val="105"/>
          <w:sz w:val="21"/>
        </w:rPr>
        <w:t> </w:t>
      </w:r>
      <w:r>
        <w:rPr>
          <w:w w:val="105"/>
          <w:sz w:val="21"/>
        </w:rPr>
        <w:t>in </w:t>
      </w:r>
      <w:r>
        <w:rPr>
          <w:spacing w:val="-4"/>
          <w:w w:val="105"/>
          <w:sz w:val="21"/>
        </w:rPr>
        <w:t>Chapter 2, </w:t>
      </w:r>
      <w:r>
        <w:rPr>
          <w:w w:val="105"/>
          <w:sz w:val="21"/>
        </w:rPr>
        <w:t>this does </w:t>
      </w:r>
      <w:r>
        <w:rPr>
          <w:spacing w:val="-2"/>
          <w:w w:val="105"/>
          <w:sz w:val="21"/>
        </w:rPr>
        <w:t>not </w:t>
      </w:r>
      <w:r>
        <w:rPr>
          <w:spacing w:val="-3"/>
          <w:w w:val="105"/>
          <w:sz w:val="21"/>
        </w:rPr>
        <w:t>occur</w:t>
      </w:r>
      <w:r>
        <w:rPr>
          <w:spacing w:val="42"/>
          <w:w w:val="105"/>
          <w:sz w:val="21"/>
        </w:rPr>
        <w:t> </w:t>
      </w:r>
      <w:r>
        <w:rPr>
          <w:spacing w:val="-2"/>
          <w:w w:val="105"/>
          <w:sz w:val="21"/>
        </w:rPr>
        <w:t>often.</w:t>
      </w:r>
    </w:p>
    <w:p>
      <w:pPr>
        <w:pStyle w:val="ListParagraph"/>
        <w:numPr>
          <w:ilvl w:val="1"/>
          <w:numId w:val="16"/>
        </w:numPr>
        <w:tabs>
          <w:tab w:pos="2380" w:val="left" w:leader="none"/>
          <w:tab w:pos="2381" w:val="left" w:leader="none"/>
        </w:tabs>
        <w:spacing w:line="242" w:lineRule="auto" w:before="122" w:after="0"/>
        <w:ind w:left="2380" w:right="1628" w:hanging="793"/>
        <w:jc w:val="left"/>
        <w:rPr>
          <w:sz w:val="21"/>
        </w:rPr>
      </w:pPr>
      <w:r>
        <w:rPr>
          <w:w w:val="105"/>
          <w:sz w:val="21"/>
        </w:rPr>
        <w:t>The</w:t>
      </w:r>
      <w:r>
        <w:rPr>
          <w:spacing w:val="-8"/>
          <w:w w:val="105"/>
          <w:sz w:val="21"/>
        </w:rPr>
        <w:t> </w:t>
      </w:r>
      <w:r>
        <w:rPr>
          <w:w w:val="105"/>
          <w:sz w:val="21"/>
        </w:rPr>
        <w:t>resolution</w:t>
      </w:r>
      <w:r>
        <w:rPr>
          <w:spacing w:val="-8"/>
          <w:w w:val="105"/>
          <w:sz w:val="21"/>
        </w:rPr>
        <w:t> </w:t>
      </w:r>
      <w:r>
        <w:rPr>
          <w:w w:val="105"/>
          <w:sz w:val="21"/>
        </w:rPr>
        <w:t>of</w:t>
      </w:r>
      <w:r>
        <w:rPr>
          <w:spacing w:val="-7"/>
          <w:w w:val="105"/>
          <w:sz w:val="21"/>
        </w:rPr>
        <w:t> </w:t>
      </w:r>
      <w:r>
        <w:rPr>
          <w:w w:val="105"/>
          <w:sz w:val="21"/>
        </w:rPr>
        <w:t>tree</w:t>
      </w:r>
      <w:r>
        <w:rPr>
          <w:spacing w:val="-8"/>
          <w:w w:val="105"/>
          <w:sz w:val="21"/>
        </w:rPr>
        <w:t> </w:t>
      </w:r>
      <w:r>
        <w:rPr>
          <w:spacing w:val="-3"/>
          <w:w w:val="105"/>
          <w:sz w:val="21"/>
        </w:rPr>
        <w:t>disputes</w:t>
      </w:r>
      <w:r>
        <w:rPr>
          <w:spacing w:val="-7"/>
          <w:w w:val="105"/>
          <w:sz w:val="21"/>
        </w:rPr>
        <w:t> </w:t>
      </w:r>
      <w:r>
        <w:rPr>
          <w:w w:val="105"/>
          <w:sz w:val="21"/>
        </w:rPr>
        <w:t>in</w:t>
      </w:r>
      <w:r>
        <w:rPr>
          <w:spacing w:val="-8"/>
          <w:w w:val="105"/>
          <w:sz w:val="21"/>
        </w:rPr>
        <w:t> </w:t>
      </w:r>
      <w:r>
        <w:rPr>
          <w:w w:val="105"/>
          <w:sz w:val="21"/>
        </w:rPr>
        <w:t>Victoria</w:t>
      </w:r>
      <w:r>
        <w:rPr>
          <w:spacing w:val="-8"/>
          <w:w w:val="105"/>
          <w:sz w:val="21"/>
        </w:rPr>
        <w:t> </w:t>
      </w:r>
      <w:r>
        <w:rPr>
          <w:w w:val="105"/>
          <w:sz w:val="21"/>
        </w:rPr>
        <w:t>is</w:t>
      </w:r>
      <w:r>
        <w:rPr>
          <w:spacing w:val="-7"/>
          <w:w w:val="105"/>
          <w:sz w:val="21"/>
        </w:rPr>
        <w:t> </w:t>
      </w:r>
      <w:r>
        <w:rPr>
          <w:spacing w:val="-3"/>
          <w:w w:val="105"/>
          <w:sz w:val="21"/>
        </w:rPr>
        <w:t>currently</w:t>
      </w:r>
      <w:r>
        <w:rPr>
          <w:spacing w:val="-8"/>
          <w:w w:val="105"/>
          <w:sz w:val="21"/>
        </w:rPr>
        <w:t> </w:t>
      </w:r>
      <w:r>
        <w:rPr>
          <w:w w:val="105"/>
          <w:sz w:val="21"/>
        </w:rPr>
        <w:t>based</w:t>
      </w:r>
      <w:r>
        <w:rPr>
          <w:spacing w:val="-7"/>
          <w:w w:val="105"/>
          <w:sz w:val="21"/>
        </w:rPr>
        <w:t> </w:t>
      </w:r>
      <w:r>
        <w:rPr>
          <w:w w:val="105"/>
          <w:sz w:val="21"/>
        </w:rPr>
        <w:t>on</w:t>
      </w:r>
      <w:r>
        <w:rPr>
          <w:spacing w:val="-8"/>
          <w:w w:val="105"/>
          <w:sz w:val="21"/>
        </w:rPr>
        <w:t> </w:t>
      </w:r>
      <w:r>
        <w:rPr>
          <w:w w:val="105"/>
          <w:sz w:val="21"/>
        </w:rPr>
        <w:t>the</w:t>
      </w:r>
      <w:r>
        <w:rPr>
          <w:spacing w:val="-7"/>
          <w:w w:val="105"/>
          <w:sz w:val="21"/>
        </w:rPr>
        <w:t> </w:t>
      </w:r>
      <w:r>
        <w:rPr>
          <w:w w:val="105"/>
          <w:sz w:val="21"/>
        </w:rPr>
        <w:t>law</w:t>
      </w:r>
      <w:r>
        <w:rPr>
          <w:spacing w:val="-8"/>
          <w:w w:val="105"/>
          <w:sz w:val="21"/>
        </w:rPr>
        <w:t> </w:t>
      </w:r>
      <w:r>
        <w:rPr>
          <w:w w:val="105"/>
          <w:sz w:val="21"/>
        </w:rPr>
        <w:t>of</w:t>
      </w:r>
      <w:r>
        <w:rPr>
          <w:spacing w:val="-8"/>
          <w:w w:val="105"/>
          <w:sz w:val="21"/>
        </w:rPr>
        <w:t> </w:t>
      </w:r>
      <w:r>
        <w:rPr>
          <w:w w:val="105"/>
          <w:sz w:val="21"/>
        </w:rPr>
        <w:t>torts,</w:t>
      </w:r>
      <w:r>
        <w:rPr>
          <w:spacing w:val="-7"/>
          <w:w w:val="105"/>
          <w:sz w:val="21"/>
        </w:rPr>
        <w:t> </w:t>
      </w:r>
      <w:r>
        <w:rPr>
          <w:w w:val="105"/>
          <w:sz w:val="21"/>
        </w:rPr>
        <w:t>which</w:t>
      </w:r>
      <w:r>
        <w:rPr>
          <w:spacing w:val="-8"/>
          <w:w w:val="105"/>
          <w:sz w:val="21"/>
        </w:rPr>
        <w:t> </w:t>
      </w:r>
      <w:r>
        <w:rPr>
          <w:spacing w:val="-2"/>
          <w:w w:val="105"/>
          <w:sz w:val="21"/>
        </w:rPr>
        <w:t>has </w:t>
      </w:r>
      <w:r>
        <w:rPr>
          <w:w w:val="105"/>
          <w:sz w:val="21"/>
        </w:rPr>
        <w:t>largely been developed </w:t>
      </w:r>
      <w:r>
        <w:rPr>
          <w:spacing w:val="-3"/>
          <w:w w:val="105"/>
          <w:sz w:val="21"/>
        </w:rPr>
        <w:t>through </w:t>
      </w:r>
      <w:r>
        <w:rPr>
          <w:w w:val="105"/>
          <w:sz w:val="21"/>
        </w:rPr>
        <w:t>judge-made case law (the </w:t>
      </w:r>
      <w:r>
        <w:rPr>
          <w:spacing w:val="-4"/>
          <w:w w:val="105"/>
          <w:sz w:val="21"/>
        </w:rPr>
        <w:t>‘common </w:t>
      </w:r>
      <w:r>
        <w:rPr>
          <w:w w:val="105"/>
          <w:sz w:val="21"/>
        </w:rPr>
        <w:t>law’).</w:t>
      </w:r>
      <w:r>
        <w:rPr>
          <w:w w:val="105"/>
          <w:position w:val="7"/>
          <w:sz w:val="12"/>
        </w:rPr>
        <w:t>42 </w:t>
      </w:r>
      <w:r>
        <w:rPr>
          <w:w w:val="105"/>
          <w:sz w:val="21"/>
        </w:rPr>
        <w:t>There is no </w:t>
      </w:r>
      <w:r>
        <w:rPr>
          <w:spacing w:val="-3"/>
          <w:w w:val="105"/>
          <w:sz w:val="21"/>
        </w:rPr>
        <w:t>legislation </w:t>
      </w:r>
      <w:r>
        <w:rPr>
          <w:w w:val="105"/>
          <w:sz w:val="21"/>
        </w:rPr>
        <w:t>specific </w:t>
      </w:r>
      <w:r>
        <w:rPr>
          <w:spacing w:val="-3"/>
          <w:w w:val="105"/>
          <w:sz w:val="21"/>
        </w:rPr>
        <w:t>to </w:t>
      </w:r>
      <w:r>
        <w:rPr>
          <w:w w:val="105"/>
          <w:sz w:val="21"/>
        </w:rPr>
        <w:t>the process </w:t>
      </w:r>
      <w:r>
        <w:rPr>
          <w:spacing w:val="-3"/>
          <w:w w:val="105"/>
          <w:sz w:val="21"/>
        </w:rPr>
        <w:t>for </w:t>
      </w:r>
      <w:r>
        <w:rPr>
          <w:w w:val="105"/>
          <w:sz w:val="21"/>
        </w:rPr>
        <w:t>resolving </w:t>
      </w:r>
      <w:r>
        <w:rPr>
          <w:spacing w:val="-3"/>
          <w:w w:val="105"/>
          <w:sz w:val="21"/>
        </w:rPr>
        <w:t>private </w:t>
      </w:r>
      <w:r>
        <w:rPr>
          <w:w w:val="105"/>
          <w:sz w:val="21"/>
        </w:rPr>
        <w:t>tree </w:t>
      </w:r>
      <w:r>
        <w:rPr>
          <w:spacing w:val="-3"/>
          <w:w w:val="105"/>
          <w:sz w:val="21"/>
        </w:rPr>
        <w:t>disputes </w:t>
      </w:r>
      <w:r>
        <w:rPr>
          <w:w w:val="105"/>
          <w:sz w:val="21"/>
        </w:rPr>
        <w:t>between neighbours in</w:t>
      </w:r>
      <w:r>
        <w:rPr>
          <w:spacing w:val="5"/>
          <w:w w:val="105"/>
          <w:sz w:val="21"/>
        </w:rPr>
        <w:t> </w:t>
      </w:r>
      <w:r>
        <w:rPr>
          <w:w w:val="105"/>
          <w:sz w:val="21"/>
        </w:rPr>
        <w:t>Victoria.</w:t>
      </w:r>
    </w:p>
    <w:p>
      <w:pPr>
        <w:pStyle w:val="ListParagraph"/>
        <w:numPr>
          <w:ilvl w:val="1"/>
          <w:numId w:val="16"/>
        </w:numPr>
        <w:tabs>
          <w:tab w:pos="2381" w:val="left" w:leader="none"/>
          <w:tab w:pos="2382" w:val="left" w:leader="none"/>
        </w:tabs>
        <w:spacing w:line="242" w:lineRule="auto" w:before="124" w:after="0"/>
        <w:ind w:left="2381" w:right="1743" w:hanging="794"/>
        <w:jc w:val="left"/>
        <w:rPr>
          <w:sz w:val="21"/>
        </w:rPr>
      </w:pPr>
      <w:r>
        <w:rPr>
          <w:w w:val="105"/>
          <w:sz w:val="21"/>
        </w:rPr>
        <w:t>A tort is a </w:t>
      </w:r>
      <w:r>
        <w:rPr>
          <w:spacing w:val="-4"/>
          <w:w w:val="105"/>
          <w:sz w:val="21"/>
        </w:rPr>
        <w:t>‘civil </w:t>
      </w:r>
      <w:r>
        <w:rPr>
          <w:spacing w:val="-2"/>
          <w:w w:val="105"/>
          <w:sz w:val="21"/>
        </w:rPr>
        <w:t>wrong’ </w:t>
      </w:r>
      <w:r>
        <w:rPr>
          <w:spacing w:val="-3"/>
          <w:w w:val="105"/>
          <w:sz w:val="21"/>
        </w:rPr>
        <w:t>that confers </w:t>
      </w:r>
      <w:r>
        <w:rPr>
          <w:w w:val="105"/>
          <w:sz w:val="21"/>
        </w:rPr>
        <w:t>civil </w:t>
      </w:r>
      <w:r>
        <w:rPr>
          <w:spacing w:val="-3"/>
          <w:w w:val="105"/>
          <w:sz w:val="21"/>
        </w:rPr>
        <w:t>liability </w:t>
      </w:r>
      <w:r>
        <w:rPr>
          <w:w w:val="105"/>
          <w:sz w:val="21"/>
        </w:rPr>
        <w:t>on the </w:t>
      </w:r>
      <w:r>
        <w:rPr>
          <w:spacing w:val="-3"/>
          <w:w w:val="105"/>
          <w:sz w:val="21"/>
        </w:rPr>
        <w:t>wrongdoer.</w:t>
      </w:r>
      <w:r>
        <w:rPr>
          <w:spacing w:val="-3"/>
          <w:w w:val="105"/>
          <w:position w:val="7"/>
          <w:sz w:val="12"/>
        </w:rPr>
        <w:t>43 </w:t>
      </w:r>
      <w:r>
        <w:rPr>
          <w:w w:val="105"/>
          <w:sz w:val="21"/>
        </w:rPr>
        <w:t>Torts </w:t>
      </w:r>
      <w:r>
        <w:rPr>
          <w:spacing w:val="-3"/>
          <w:w w:val="105"/>
          <w:sz w:val="21"/>
        </w:rPr>
        <w:t>cover </w:t>
      </w:r>
      <w:r>
        <w:rPr>
          <w:w w:val="105"/>
          <w:sz w:val="21"/>
        </w:rPr>
        <w:t>a variety of acts or </w:t>
      </w:r>
      <w:r>
        <w:rPr>
          <w:spacing w:val="-3"/>
          <w:w w:val="105"/>
          <w:sz w:val="21"/>
        </w:rPr>
        <w:t>omissions that infringe </w:t>
      </w:r>
      <w:r>
        <w:rPr>
          <w:w w:val="105"/>
          <w:sz w:val="21"/>
        </w:rPr>
        <w:t>on a </w:t>
      </w:r>
      <w:r>
        <w:rPr>
          <w:spacing w:val="-3"/>
          <w:w w:val="105"/>
          <w:sz w:val="21"/>
        </w:rPr>
        <w:t>person’s ‘fundamental </w:t>
      </w:r>
      <w:r>
        <w:rPr>
          <w:w w:val="105"/>
          <w:sz w:val="21"/>
        </w:rPr>
        <w:t>liberties, </w:t>
      </w:r>
      <w:r>
        <w:rPr>
          <w:spacing w:val="-3"/>
          <w:w w:val="105"/>
          <w:sz w:val="21"/>
        </w:rPr>
        <w:t>such </w:t>
      </w:r>
      <w:r>
        <w:rPr>
          <w:w w:val="105"/>
          <w:sz w:val="21"/>
        </w:rPr>
        <w:t>as personal liberty, and </w:t>
      </w:r>
      <w:r>
        <w:rPr>
          <w:spacing w:val="-3"/>
          <w:w w:val="105"/>
          <w:sz w:val="21"/>
        </w:rPr>
        <w:t>fundamental </w:t>
      </w:r>
      <w:r>
        <w:rPr>
          <w:w w:val="105"/>
          <w:sz w:val="21"/>
        </w:rPr>
        <w:t>rights, </w:t>
      </w:r>
      <w:r>
        <w:rPr>
          <w:spacing w:val="-3"/>
          <w:w w:val="105"/>
          <w:sz w:val="21"/>
        </w:rPr>
        <w:t>such </w:t>
      </w:r>
      <w:r>
        <w:rPr>
          <w:w w:val="105"/>
          <w:sz w:val="21"/>
        </w:rPr>
        <w:t>as property rights, and provide protection </w:t>
      </w:r>
      <w:r>
        <w:rPr>
          <w:spacing w:val="-3"/>
          <w:w w:val="105"/>
          <w:sz w:val="21"/>
        </w:rPr>
        <w:t>from interferences’.</w:t>
      </w:r>
      <w:r>
        <w:rPr>
          <w:spacing w:val="-3"/>
          <w:w w:val="105"/>
          <w:position w:val="7"/>
          <w:sz w:val="12"/>
        </w:rPr>
        <w:t>44</w:t>
      </w:r>
    </w:p>
    <w:p>
      <w:pPr>
        <w:pStyle w:val="ListParagraph"/>
        <w:numPr>
          <w:ilvl w:val="1"/>
          <w:numId w:val="16"/>
        </w:numPr>
        <w:tabs>
          <w:tab w:pos="2381" w:val="left" w:leader="none"/>
          <w:tab w:pos="2382" w:val="left" w:leader="none"/>
        </w:tabs>
        <w:spacing w:line="242" w:lineRule="auto" w:before="125" w:after="0"/>
        <w:ind w:left="2381" w:right="1988" w:hanging="794"/>
        <w:jc w:val="left"/>
        <w:rPr>
          <w:sz w:val="21"/>
        </w:rPr>
      </w:pPr>
      <w:r>
        <w:rPr>
          <w:w w:val="105"/>
          <w:sz w:val="21"/>
        </w:rPr>
        <w:t>If one party decides </w:t>
      </w:r>
      <w:r>
        <w:rPr>
          <w:spacing w:val="-3"/>
          <w:w w:val="105"/>
          <w:sz w:val="21"/>
        </w:rPr>
        <w:t>to take </w:t>
      </w:r>
      <w:r>
        <w:rPr>
          <w:w w:val="105"/>
          <w:sz w:val="21"/>
        </w:rPr>
        <w:t>their </w:t>
      </w:r>
      <w:r>
        <w:rPr>
          <w:spacing w:val="-3"/>
          <w:w w:val="105"/>
          <w:sz w:val="21"/>
        </w:rPr>
        <w:t>dispute to </w:t>
      </w:r>
      <w:r>
        <w:rPr>
          <w:w w:val="105"/>
          <w:sz w:val="21"/>
        </w:rPr>
        <w:t>court, it </w:t>
      </w:r>
      <w:r>
        <w:rPr>
          <w:spacing w:val="-3"/>
          <w:w w:val="105"/>
          <w:sz w:val="21"/>
        </w:rPr>
        <w:t>will usually </w:t>
      </w:r>
      <w:r>
        <w:rPr>
          <w:w w:val="105"/>
          <w:sz w:val="21"/>
        </w:rPr>
        <w:t>be </w:t>
      </w:r>
      <w:r>
        <w:rPr>
          <w:spacing w:val="-3"/>
          <w:w w:val="105"/>
          <w:sz w:val="21"/>
        </w:rPr>
        <w:t>heard </w:t>
      </w:r>
      <w:r>
        <w:rPr>
          <w:w w:val="105"/>
          <w:sz w:val="21"/>
        </w:rPr>
        <w:t>in the </w:t>
      </w:r>
      <w:r>
        <w:rPr>
          <w:spacing w:val="-3"/>
          <w:w w:val="105"/>
          <w:sz w:val="21"/>
        </w:rPr>
        <w:t>Magistrates’ Court </w:t>
      </w:r>
      <w:r>
        <w:rPr>
          <w:w w:val="105"/>
          <w:sz w:val="21"/>
        </w:rPr>
        <w:t>of Victoria.</w:t>
      </w:r>
      <w:r>
        <w:rPr>
          <w:w w:val="105"/>
          <w:position w:val="7"/>
          <w:sz w:val="12"/>
        </w:rPr>
        <w:t>45 </w:t>
      </w:r>
      <w:r>
        <w:rPr>
          <w:w w:val="105"/>
          <w:sz w:val="21"/>
        </w:rPr>
        <w:t>Some cases </w:t>
      </w:r>
      <w:r>
        <w:rPr>
          <w:spacing w:val="-3"/>
          <w:w w:val="105"/>
          <w:sz w:val="21"/>
        </w:rPr>
        <w:t>involving </w:t>
      </w:r>
      <w:r>
        <w:rPr>
          <w:w w:val="105"/>
          <w:sz w:val="21"/>
        </w:rPr>
        <w:t>large </w:t>
      </w:r>
      <w:r>
        <w:rPr>
          <w:spacing w:val="-3"/>
          <w:w w:val="105"/>
          <w:sz w:val="21"/>
        </w:rPr>
        <w:t>claims will </w:t>
      </w:r>
      <w:r>
        <w:rPr>
          <w:w w:val="105"/>
          <w:sz w:val="21"/>
        </w:rPr>
        <w:t>be </w:t>
      </w:r>
      <w:r>
        <w:rPr>
          <w:spacing w:val="-3"/>
          <w:w w:val="105"/>
          <w:sz w:val="21"/>
        </w:rPr>
        <w:t>heard </w:t>
      </w:r>
      <w:r>
        <w:rPr>
          <w:w w:val="105"/>
          <w:sz w:val="21"/>
        </w:rPr>
        <w:t>in the </w:t>
      </w:r>
      <w:r>
        <w:rPr>
          <w:spacing w:val="-3"/>
          <w:w w:val="105"/>
          <w:sz w:val="21"/>
        </w:rPr>
        <w:t>County Court </w:t>
      </w:r>
      <w:r>
        <w:rPr>
          <w:w w:val="105"/>
          <w:sz w:val="21"/>
        </w:rPr>
        <w:t>of Victoria,</w:t>
      </w:r>
      <w:r>
        <w:rPr>
          <w:w w:val="105"/>
          <w:position w:val="7"/>
          <w:sz w:val="12"/>
        </w:rPr>
        <w:t>46 </w:t>
      </w:r>
      <w:r>
        <w:rPr>
          <w:spacing w:val="-6"/>
          <w:w w:val="105"/>
          <w:sz w:val="21"/>
        </w:rPr>
        <w:t>or, </w:t>
      </w:r>
      <w:r>
        <w:rPr>
          <w:w w:val="105"/>
          <w:sz w:val="21"/>
        </w:rPr>
        <w:t>in cases </w:t>
      </w:r>
      <w:r>
        <w:rPr>
          <w:spacing w:val="-3"/>
          <w:w w:val="105"/>
          <w:sz w:val="21"/>
        </w:rPr>
        <w:t>involving </w:t>
      </w:r>
      <w:r>
        <w:rPr>
          <w:w w:val="105"/>
          <w:sz w:val="21"/>
        </w:rPr>
        <w:t>very large or complex </w:t>
      </w:r>
      <w:r>
        <w:rPr>
          <w:spacing w:val="-3"/>
          <w:w w:val="105"/>
          <w:sz w:val="21"/>
        </w:rPr>
        <w:t>claims, </w:t>
      </w:r>
      <w:r>
        <w:rPr>
          <w:w w:val="105"/>
          <w:sz w:val="21"/>
        </w:rPr>
        <w:t>in the </w:t>
      </w:r>
      <w:r>
        <w:rPr>
          <w:spacing w:val="-3"/>
          <w:w w:val="105"/>
          <w:sz w:val="21"/>
        </w:rPr>
        <w:t>Supreme Court </w:t>
      </w:r>
      <w:r>
        <w:rPr>
          <w:w w:val="105"/>
          <w:sz w:val="21"/>
        </w:rPr>
        <w:t>of</w:t>
      </w:r>
      <w:r>
        <w:rPr>
          <w:spacing w:val="22"/>
          <w:w w:val="105"/>
          <w:sz w:val="21"/>
        </w:rPr>
        <w:t> </w:t>
      </w:r>
      <w:r>
        <w:rPr>
          <w:w w:val="105"/>
          <w:sz w:val="21"/>
        </w:rPr>
        <w:t>Victoria.</w:t>
      </w:r>
      <w:r>
        <w:rPr>
          <w:w w:val="105"/>
          <w:position w:val="7"/>
          <w:sz w:val="12"/>
        </w:rPr>
        <w:t>47</w:t>
      </w:r>
    </w:p>
    <w:p>
      <w:pPr>
        <w:pStyle w:val="ListParagraph"/>
        <w:numPr>
          <w:ilvl w:val="1"/>
          <w:numId w:val="16"/>
        </w:numPr>
        <w:tabs>
          <w:tab w:pos="2380" w:val="left" w:leader="none"/>
          <w:tab w:pos="2382" w:val="left" w:leader="none"/>
        </w:tabs>
        <w:spacing w:line="242" w:lineRule="auto" w:before="124" w:after="0"/>
        <w:ind w:left="2381" w:right="1875" w:hanging="794"/>
        <w:jc w:val="left"/>
        <w:rPr>
          <w:sz w:val="21"/>
        </w:rPr>
      </w:pPr>
      <w:r>
        <w:rPr>
          <w:w w:val="105"/>
          <w:sz w:val="21"/>
        </w:rPr>
        <w:t>In order </w:t>
      </w:r>
      <w:r>
        <w:rPr>
          <w:spacing w:val="-3"/>
          <w:w w:val="105"/>
          <w:sz w:val="21"/>
        </w:rPr>
        <w:t>to bring </w:t>
      </w:r>
      <w:r>
        <w:rPr>
          <w:w w:val="105"/>
          <w:sz w:val="21"/>
        </w:rPr>
        <w:t>a tree </w:t>
      </w:r>
      <w:r>
        <w:rPr>
          <w:spacing w:val="-3"/>
          <w:w w:val="105"/>
          <w:sz w:val="21"/>
        </w:rPr>
        <w:t>dispute to </w:t>
      </w:r>
      <w:r>
        <w:rPr>
          <w:w w:val="105"/>
          <w:sz w:val="21"/>
        </w:rPr>
        <w:t>court, neighbours </w:t>
      </w:r>
      <w:r>
        <w:rPr>
          <w:spacing w:val="-3"/>
          <w:w w:val="105"/>
          <w:sz w:val="21"/>
        </w:rPr>
        <w:t>will usually have to </w:t>
      </w:r>
      <w:r>
        <w:rPr>
          <w:w w:val="105"/>
          <w:sz w:val="21"/>
        </w:rPr>
        <w:t>rely on one or more of the torts of </w:t>
      </w:r>
      <w:r>
        <w:rPr>
          <w:spacing w:val="-3"/>
          <w:w w:val="105"/>
          <w:sz w:val="21"/>
        </w:rPr>
        <w:t>nuisance, negligence </w:t>
      </w:r>
      <w:r>
        <w:rPr>
          <w:w w:val="105"/>
          <w:sz w:val="21"/>
        </w:rPr>
        <w:t>and trespass.</w:t>
      </w:r>
      <w:r>
        <w:rPr>
          <w:w w:val="105"/>
          <w:position w:val="7"/>
          <w:sz w:val="12"/>
        </w:rPr>
        <w:t>48 </w:t>
      </w:r>
      <w:r>
        <w:rPr>
          <w:w w:val="105"/>
          <w:sz w:val="21"/>
        </w:rPr>
        <w:t>Each of these torts is </w:t>
      </w:r>
      <w:r>
        <w:rPr>
          <w:spacing w:val="-3"/>
          <w:w w:val="105"/>
          <w:sz w:val="21"/>
        </w:rPr>
        <w:t>outlined </w:t>
      </w:r>
      <w:r>
        <w:rPr>
          <w:w w:val="105"/>
          <w:sz w:val="21"/>
        </w:rPr>
        <w:t>briefly in </w:t>
      </w:r>
      <w:r>
        <w:rPr>
          <w:spacing w:val="-5"/>
          <w:w w:val="105"/>
          <w:sz w:val="21"/>
        </w:rPr>
        <w:t>Table </w:t>
      </w:r>
      <w:r>
        <w:rPr>
          <w:w w:val="105"/>
          <w:sz w:val="21"/>
        </w:rPr>
        <w:t>1</w:t>
      </w:r>
      <w:r>
        <w:rPr>
          <w:spacing w:val="26"/>
          <w:w w:val="105"/>
          <w:sz w:val="21"/>
        </w:rPr>
        <w:t> </w:t>
      </w:r>
      <w:r>
        <w:rPr>
          <w:spacing w:val="-3"/>
          <w:w w:val="105"/>
          <w:sz w:val="21"/>
        </w:rPr>
        <w:t>below.</w:t>
      </w:r>
      <w:r>
        <w:rPr>
          <w:spacing w:val="-3"/>
          <w:w w:val="105"/>
          <w:position w:val="7"/>
          <w:sz w:val="12"/>
        </w:rPr>
        <w:t>49</w:t>
      </w:r>
    </w:p>
    <w:p>
      <w:pPr>
        <w:spacing w:before="122"/>
        <w:ind w:left="2381" w:right="0" w:firstLine="0"/>
        <w:jc w:val="left"/>
        <w:rPr>
          <w:b/>
          <w:sz w:val="19"/>
        </w:rPr>
      </w:pPr>
      <w:r>
        <w:rPr>
          <w:b/>
          <w:w w:val="110"/>
          <w:sz w:val="19"/>
        </w:rPr>
        <w:t>Table 1: Overview of relevant torts</w:t>
      </w:r>
    </w:p>
    <w:p>
      <w:pPr>
        <w:pStyle w:val="BodyText"/>
        <w:spacing w:before="3"/>
        <w:rPr>
          <w:b/>
          <w:sz w:val="12"/>
        </w:rPr>
      </w:pPr>
    </w:p>
    <w:tbl>
      <w:tblPr>
        <w:tblW w:w="0" w:type="auto"/>
        <w:jc w:val="left"/>
        <w:tblInd w:w="2391" w:type="dxa"/>
        <w:tblBorders>
          <w:top w:val="single" w:sz="4" w:space="0" w:color="C9D2CB"/>
          <w:left w:val="single" w:sz="4" w:space="0" w:color="C9D2CB"/>
          <w:bottom w:val="single" w:sz="4" w:space="0" w:color="C9D2CB"/>
          <w:right w:val="single" w:sz="4" w:space="0" w:color="C9D2CB"/>
          <w:insideH w:val="single" w:sz="4" w:space="0" w:color="C9D2CB"/>
          <w:insideV w:val="single" w:sz="4" w:space="0" w:color="C9D2CB"/>
        </w:tblBorders>
        <w:tblLayout w:type="fixed"/>
        <w:tblCellMar>
          <w:top w:w="0" w:type="dxa"/>
          <w:left w:w="0" w:type="dxa"/>
          <w:bottom w:w="0" w:type="dxa"/>
          <w:right w:w="0" w:type="dxa"/>
        </w:tblCellMar>
        <w:tblLook w:val="01E0"/>
      </w:tblPr>
      <w:tblGrid>
        <w:gridCol w:w="1866"/>
        <w:gridCol w:w="6061"/>
      </w:tblGrid>
      <w:tr>
        <w:trPr>
          <w:trHeight w:val="351" w:hRule="atLeast"/>
        </w:trPr>
        <w:tc>
          <w:tcPr>
            <w:tcW w:w="1866" w:type="dxa"/>
          </w:tcPr>
          <w:p>
            <w:pPr>
              <w:pStyle w:val="TableParagraph"/>
              <w:spacing w:before="72"/>
              <w:ind w:left="56"/>
              <w:rPr>
                <w:b/>
                <w:sz w:val="18"/>
              </w:rPr>
            </w:pPr>
            <w:r>
              <w:rPr>
                <w:b/>
                <w:w w:val="110"/>
                <w:sz w:val="18"/>
              </w:rPr>
              <w:t>Tort</w:t>
            </w:r>
          </w:p>
        </w:tc>
        <w:tc>
          <w:tcPr>
            <w:tcW w:w="6061" w:type="dxa"/>
          </w:tcPr>
          <w:p>
            <w:pPr>
              <w:pStyle w:val="TableParagraph"/>
              <w:spacing w:before="72"/>
              <w:ind w:left="56"/>
              <w:rPr>
                <w:b/>
                <w:sz w:val="18"/>
              </w:rPr>
            </w:pPr>
            <w:r>
              <w:rPr>
                <w:b/>
                <w:w w:val="110"/>
                <w:sz w:val="18"/>
              </w:rPr>
              <w:t>Circumstances that give rise to the tort</w:t>
            </w:r>
          </w:p>
        </w:tc>
      </w:tr>
      <w:tr>
        <w:trPr>
          <w:trHeight w:val="551" w:hRule="atLeast"/>
        </w:trPr>
        <w:tc>
          <w:tcPr>
            <w:tcW w:w="1866" w:type="dxa"/>
          </w:tcPr>
          <w:p>
            <w:pPr>
              <w:pStyle w:val="TableParagraph"/>
              <w:spacing w:before="72"/>
              <w:ind w:left="56"/>
              <w:rPr>
                <w:sz w:val="18"/>
              </w:rPr>
            </w:pPr>
            <w:r>
              <w:rPr>
                <w:w w:val="105"/>
                <w:sz w:val="18"/>
              </w:rPr>
              <w:t>Nuisance</w:t>
            </w:r>
          </w:p>
        </w:tc>
        <w:tc>
          <w:tcPr>
            <w:tcW w:w="6061" w:type="dxa"/>
          </w:tcPr>
          <w:p>
            <w:pPr>
              <w:pStyle w:val="TableParagraph"/>
              <w:spacing w:line="218" w:lineRule="auto" w:before="87"/>
              <w:ind w:left="56"/>
              <w:rPr>
                <w:sz w:val="18"/>
              </w:rPr>
            </w:pPr>
            <w:r>
              <w:rPr>
                <w:w w:val="105"/>
                <w:sz w:val="18"/>
              </w:rPr>
              <w:t>Where</w:t>
            </w:r>
            <w:r>
              <w:rPr>
                <w:spacing w:val="-10"/>
                <w:w w:val="105"/>
                <w:sz w:val="18"/>
              </w:rPr>
              <w:t> </w:t>
            </w:r>
            <w:r>
              <w:rPr>
                <w:w w:val="105"/>
                <w:sz w:val="18"/>
              </w:rPr>
              <w:t>there</w:t>
            </w:r>
            <w:r>
              <w:rPr>
                <w:spacing w:val="-10"/>
                <w:w w:val="105"/>
                <w:sz w:val="18"/>
              </w:rPr>
              <w:t> </w:t>
            </w:r>
            <w:r>
              <w:rPr>
                <w:w w:val="105"/>
                <w:sz w:val="18"/>
              </w:rPr>
              <w:t>is</w:t>
            </w:r>
            <w:r>
              <w:rPr>
                <w:spacing w:val="-10"/>
                <w:w w:val="105"/>
                <w:sz w:val="18"/>
              </w:rPr>
              <w:t> </w:t>
            </w:r>
            <w:r>
              <w:rPr>
                <w:w w:val="105"/>
                <w:sz w:val="18"/>
              </w:rPr>
              <w:t>unreasonable</w:t>
            </w:r>
            <w:r>
              <w:rPr>
                <w:spacing w:val="-10"/>
                <w:w w:val="105"/>
                <w:sz w:val="18"/>
              </w:rPr>
              <w:t> </w:t>
            </w:r>
            <w:r>
              <w:rPr>
                <w:w w:val="105"/>
                <w:sz w:val="18"/>
              </w:rPr>
              <w:t>interference</w:t>
            </w:r>
            <w:r>
              <w:rPr>
                <w:spacing w:val="-10"/>
                <w:w w:val="105"/>
                <w:sz w:val="18"/>
              </w:rPr>
              <w:t> </w:t>
            </w:r>
            <w:r>
              <w:rPr>
                <w:w w:val="105"/>
                <w:sz w:val="18"/>
              </w:rPr>
              <w:t>with</w:t>
            </w:r>
            <w:r>
              <w:rPr>
                <w:spacing w:val="-10"/>
                <w:w w:val="105"/>
                <w:sz w:val="18"/>
              </w:rPr>
              <w:t> </w:t>
            </w:r>
            <w:r>
              <w:rPr>
                <w:w w:val="105"/>
                <w:sz w:val="18"/>
              </w:rPr>
              <w:t>the</w:t>
            </w:r>
            <w:r>
              <w:rPr>
                <w:spacing w:val="-10"/>
                <w:w w:val="105"/>
                <w:sz w:val="18"/>
              </w:rPr>
              <w:t> </w:t>
            </w:r>
            <w:r>
              <w:rPr>
                <w:w w:val="105"/>
                <w:sz w:val="18"/>
              </w:rPr>
              <w:t>use</w:t>
            </w:r>
            <w:r>
              <w:rPr>
                <w:spacing w:val="-10"/>
                <w:w w:val="105"/>
                <w:sz w:val="18"/>
              </w:rPr>
              <w:t> </w:t>
            </w:r>
            <w:r>
              <w:rPr>
                <w:w w:val="105"/>
                <w:sz w:val="18"/>
              </w:rPr>
              <w:t>and</w:t>
            </w:r>
            <w:r>
              <w:rPr>
                <w:spacing w:val="-10"/>
                <w:w w:val="105"/>
                <w:sz w:val="18"/>
              </w:rPr>
              <w:t> </w:t>
            </w:r>
            <w:r>
              <w:rPr>
                <w:w w:val="105"/>
                <w:sz w:val="18"/>
              </w:rPr>
              <w:t>enjoyment</w:t>
            </w:r>
            <w:r>
              <w:rPr>
                <w:spacing w:val="-10"/>
                <w:w w:val="105"/>
                <w:sz w:val="18"/>
              </w:rPr>
              <w:t> </w:t>
            </w:r>
            <w:r>
              <w:rPr>
                <w:w w:val="105"/>
                <w:sz w:val="18"/>
              </w:rPr>
              <w:t>of</w:t>
            </w:r>
            <w:r>
              <w:rPr>
                <w:spacing w:val="-10"/>
                <w:w w:val="105"/>
                <w:sz w:val="18"/>
              </w:rPr>
              <w:t> </w:t>
            </w:r>
            <w:r>
              <w:rPr>
                <w:w w:val="105"/>
                <w:sz w:val="18"/>
              </w:rPr>
              <w:t>land (which includes damage to</w:t>
            </w:r>
            <w:r>
              <w:rPr>
                <w:spacing w:val="16"/>
                <w:w w:val="105"/>
                <w:sz w:val="18"/>
              </w:rPr>
              <w:t> </w:t>
            </w:r>
            <w:r>
              <w:rPr>
                <w:w w:val="105"/>
                <w:sz w:val="18"/>
              </w:rPr>
              <w:t>property)</w:t>
            </w:r>
          </w:p>
        </w:tc>
      </w:tr>
      <w:tr>
        <w:trPr>
          <w:trHeight w:val="351" w:hRule="atLeast"/>
        </w:trPr>
        <w:tc>
          <w:tcPr>
            <w:tcW w:w="1866" w:type="dxa"/>
          </w:tcPr>
          <w:p>
            <w:pPr>
              <w:pStyle w:val="TableParagraph"/>
              <w:spacing w:before="72"/>
              <w:ind w:left="56"/>
              <w:rPr>
                <w:sz w:val="18"/>
              </w:rPr>
            </w:pPr>
            <w:r>
              <w:rPr>
                <w:w w:val="105"/>
                <w:sz w:val="18"/>
              </w:rPr>
              <w:t>Negligence</w:t>
            </w:r>
          </w:p>
        </w:tc>
        <w:tc>
          <w:tcPr>
            <w:tcW w:w="6061" w:type="dxa"/>
          </w:tcPr>
          <w:p>
            <w:pPr>
              <w:pStyle w:val="TableParagraph"/>
              <w:spacing w:before="72"/>
              <w:ind w:left="56"/>
              <w:rPr>
                <w:sz w:val="18"/>
              </w:rPr>
            </w:pPr>
            <w:r>
              <w:rPr>
                <w:w w:val="105"/>
                <w:sz w:val="18"/>
              </w:rPr>
              <w:t>Where damage, loss or injury results from a negligent act</w:t>
            </w:r>
          </w:p>
        </w:tc>
      </w:tr>
      <w:tr>
        <w:trPr>
          <w:trHeight w:val="351" w:hRule="atLeast"/>
        </w:trPr>
        <w:tc>
          <w:tcPr>
            <w:tcW w:w="1866" w:type="dxa"/>
          </w:tcPr>
          <w:p>
            <w:pPr>
              <w:pStyle w:val="TableParagraph"/>
              <w:spacing w:before="72"/>
              <w:ind w:left="56"/>
              <w:rPr>
                <w:sz w:val="18"/>
              </w:rPr>
            </w:pPr>
            <w:r>
              <w:rPr>
                <w:sz w:val="18"/>
              </w:rPr>
              <w:t>Trespass</w:t>
            </w:r>
          </w:p>
        </w:tc>
        <w:tc>
          <w:tcPr>
            <w:tcW w:w="6061" w:type="dxa"/>
          </w:tcPr>
          <w:p>
            <w:pPr>
              <w:pStyle w:val="TableParagraph"/>
              <w:spacing w:before="72"/>
              <w:ind w:left="56"/>
              <w:rPr>
                <w:sz w:val="18"/>
              </w:rPr>
            </w:pPr>
            <w:r>
              <w:rPr>
                <w:sz w:val="18"/>
              </w:rPr>
              <w:t>Where there is an unauthorised entry to land</w:t>
            </w:r>
          </w:p>
        </w:tc>
      </w:tr>
    </w:tbl>
    <w:p>
      <w:pPr>
        <w:pStyle w:val="BodyText"/>
        <w:rPr>
          <w:b/>
          <w:sz w:val="20"/>
        </w:rPr>
      </w:pPr>
    </w:p>
    <w:p>
      <w:pPr>
        <w:pStyle w:val="BodyText"/>
        <w:rPr>
          <w:b/>
          <w:sz w:val="20"/>
        </w:rPr>
      </w:pPr>
    </w:p>
    <w:p>
      <w:pPr>
        <w:pStyle w:val="BodyText"/>
        <w:spacing w:before="3"/>
        <w:rPr>
          <w:b/>
          <w:sz w:val="14"/>
        </w:rPr>
      </w:pPr>
      <w:r>
        <w:rPr/>
        <w:pict>
          <v:line style="position:absolute;mso-position-horizontal-relative:page;mso-position-vertical-relative:paragraph;z-index:1088;mso-wrap-distance-left:0;mso-wrap-distance-right:0" from="79.370003pt,11.177438pt" to="515.905003pt,11.177438pt" stroked="true" strokeweight="1pt" strokecolor="#c9d2cb">
            <v:stroke dashstyle="solid"/>
            <w10:wrap type="topAndBottom"/>
          </v:line>
        </w:pict>
      </w:r>
    </w:p>
    <w:p>
      <w:pPr>
        <w:pStyle w:val="ListParagraph"/>
        <w:numPr>
          <w:ilvl w:val="0"/>
          <w:numId w:val="27"/>
        </w:numPr>
        <w:tabs>
          <w:tab w:pos="2380" w:val="left" w:leader="none"/>
          <w:tab w:pos="2382" w:val="left" w:leader="none"/>
        </w:tabs>
        <w:spacing w:line="240" w:lineRule="auto" w:before="117" w:after="0"/>
        <w:ind w:left="2381" w:right="1811" w:hanging="794"/>
        <w:jc w:val="both"/>
        <w:rPr>
          <w:sz w:val="13"/>
        </w:rPr>
      </w:pPr>
      <w:r>
        <w:rPr>
          <w:w w:val="105"/>
          <w:sz w:val="13"/>
        </w:rPr>
        <w:t>The Dispute Settlement Centre of Victoria refers to this program as the ‘Civil Mediation at VCAT Program’: Dispute Settlement Centre of Victoria, </w:t>
      </w:r>
      <w:r>
        <w:rPr>
          <w:i/>
          <w:w w:val="105"/>
          <w:sz w:val="13"/>
        </w:rPr>
        <w:t>Civil Mediation at VCAT Program </w:t>
      </w:r>
      <w:r>
        <w:rPr>
          <w:w w:val="105"/>
          <w:sz w:val="13"/>
        </w:rPr>
        <w:t>(Web Page, 7 June 2019) </w:t>
      </w:r>
      <w:r>
        <w:rPr>
          <w:i/>
          <w:w w:val="105"/>
          <w:sz w:val="13"/>
        </w:rPr>
        <w:t>&lt;</w:t>
      </w:r>
      <w:hyperlink r:id="rId67">
        <w:r>
          <w:rPr>
            <w:w w:val="105"/>
            <w:sz w:val="13"/>
          </w:rPr>
          <w:t>https://www.disputes.vic.gov.au/about-us/civil-mediation-at-vcat-</w:t>
        </w:r>
      </w:hyperlink>
      <w:hyperlink r:id="rId67">
        <w:r>
          <w:rPr>
            <w:w w:val="105"/>
            <w:sz w:val="13"/>
          </w:rPr>
          <w:t> program</w:t>
        </w:r>
      </w:hyperlink>
      <w:r>
        <w:rPr>
          <w:w w:val="105"/>
          <w:sz w:val="13"/>
        </w:rPr>
        <w:t>&gt;.</w:t>
      </w:r>
      <w:r>
        <w:rPr>
          <w:spacing w:val="5"/>
          <w:w w:val="105"/>
          <w:sz w:val="13"/>
        </w:rPr>
        <w:t> </w:t>
      </w:r>
      <w:r>
        <w:rPr>
          <w:w w:val="105"/>
          <w:sz w:val="13"/>
        </w:rPr>
        <w:t>See</w:t>
      </w:r>
      <w:r>
        <w:rPr>
          <w:spacing w:val="6"/>
          <w:w w:val="105"/>
          <w:sz w:val="13"/>
        </w:rPr>
        <w:t> </w:t>
      </w:r>
      <w:r>
        <w:rPr>
          <w:w w:val="105"/>
          <w:sz w:val="13"/>
        </w:rPr>
        <w:t>also</w:t>
      </w:r>
      <w:r>
        <w:rPr>
          <w:spacing w:val="5"/>
          <w:w w:val="105"/>
          <w:sz w:val="13"/>
        </w:rPr>
        <w:t> </w:t>
      </w:r>
      <w:r>
        <w:rPr>
          <w:w w:val="105"/>
          <w:sz w:val="13"/>
        </w:rPr>
        <w:t>Victorian</w:t>
      </w:r>
      <w:r>
        <w:rPr>
          <w:spacing w:val="6"/>
          <w:w w:val="105"/>
          <w:sz w:val="13"/>
        </w:rPr>
        <w:t> </w:t>
      </w:r>
      <w:r>
        <w:rPr>
          <w:w w:val="105"/>
          <w:sz w:val="13"/>
        </w:rPr>
        <w:t>Civil</w:t>
      </w:r>
      <w:r>
        <w:rPr>
          <w:spacing w:val="5"/>
          <w:w w:val="105"/>
          <w:sz w:val="13"/>
        </w:rPr>
        <w:t> </w:t>
      </w:r>
      <w:r>
        <w:rPr>
          <w:w w:val="105"/>
          <w:sz w:val="13"/>
        </w:rPr>
        <w:t>and</w:t>
      </w:r>
      <w:r>
        <w:rPr>
          <w:spacing w:val="6"/>
          <w:w w:val="105"/>
          <w:sz w:val="13"/>
        </w:rPr>
        <w:t> </w:t>
      </w:r>
      <w:r>
        <w:rPr>
          <w:w w:val="105"/>
          <w:sz w:val="13"/>
        </w:rPr>
        <w:t>Administrative</w:t>
      </w:r>
      <w:r>
        <w:rPr>
          <w:spacing w:val="5"/>
          <w:w w:val="105"/>
          <w:sz w:val="13"/>
        </w:rPr>
        <w:t> </w:t>
      </w:r>
      <w:r>
        <w:rPr>
          <w:w w:val="105"/>
          <w:sz w:val="13"/>
        </w:rPr>
        <w:t>Tribunal,</w:t>
      </w:r>
      <w:r>
        <w:rPr>
          <w:spacing w:val="6"/>
          <w:w w:val="105"/>
          <w:sz w:val="13"/>
        </w:rPr>
        <w:t> </w:t>
      </w:r>
      <w:r>
        <w:rPr>
          <w:i/>
          <w:w w:val="105"/>
          <w:sz w:val="13"/>
        </w:rPr>
        <w:t>Annual</w:t>
      </w:r>
      <w:r>
        <w:rPr>
          <w:i/>
          <w:spacing w:val="5"/>
          <w:w w:val="105"/>
          <w:sz w:val="13"/>
        </w:rPr>
        <w:t> </w:t>
      </w:r>
      <w:r>
        <w:rPr>
          <w:i/>
          <w:spacing w:val="2"/>
          <w:w w:val="105"/>
          <w:sz w:val="13"/>
        </w:rPr>
        <w:t>Report</w:t>
      </w:r>
      <w:r>
        <w:rPr>
          <w:i/>
          <w:spacing w:val="6"/>
          <w:w w:val="105"/>
          <w:sz w:val="13"/>
        </w:rPr>
        <w:t> </w:t>
      </w:r>
      <w:r>
        <w:rPr>
          <w:i/>
          <w:spacing w:val="-3"/>
          <w:w w:val="105"/>
          <w:sz w:val="13"/>
        </w:rPr>
        <w:t>2017–2018</w:t>
      </w:r>
      <w:r>
        <w:rPr>
          <w:i/>
          <w:spacing w:val="5"/>
          <w:w w:val="105"/>
          <w:sz w:val="13"/>
        </w:rPr>
        <w:t> </w:t>
      </w:r>
      <w:r>
        <w:rPr>
          <w:spacing w:val="2"/>
          <w:w w:val="105"/>
          <w:sz w:val="13"/>
        </w:rPr>
        <w:t>(Report,</w:t>
      </w:r>
      <w:r>
        <w:rPr>
          <w:spacing w:val="6"/>
          <w:w w:val="105"/>
          <w:sz w:val="13"/>
        </w:rPr>
        <w:t> </w:t>
      </w:r>
      <w:r>
        <w:rPr>
          <w:w w:val="105"/>
          <w:sz w:val="13"/>
        </w:rPr>
        <w:t>2018)</w:t>
      </w:r>
      <w:r>
        <w:rPr>
          <w:spacing w:val="5"/>
          <w:w w:val="105"/>
          <w:sz w:val="13"/>
        </w:rPr>
        <w:t> </w:t>
      </w:r>
      <w:r>
        <w:rPr>
          <w:w w:val="105"/>
          <w:sz w:val="13"/>
        </w:rPr>
        <w:t>25.</w:t>
      </w:r>
    </w:p>
    <w:p>
      <w:pPr>
        <w:pStyle w:val="ListParagraph"/>
        <w:numPr>
          <w:ilvl w:val="0"/>
          <w:numId w:val="27"/>
        </w:numPr>
        <w:tabs>
          <w:tab w:pos="2380" w:val="left" w:leader="none"/>
          <w:tab w:pos="2381" w:val="left" w:leader="none"/>
        </w:tabs>
        <w:spacing w:line="240" w:lineRule="auto" w:before="4" w:after="0"/>
        <w:ind w:left="2380" w:right="0" w:hanging="793"/>
        <w:jc w:val="left"/>
        <w:rPr>
          <w:sz w:val="13"/>
        </w:rPr>
      </w:pPr>
      <w:r>
        <w:rPr>
          <w:w w:val="105"/>
          <w:sz w:val="13"/>
        </w:rPr>
        <w:t>Supplementary Consultation 1 (Victorian Civil and Administrative</w:t>
      </w:r>
      <w:r>
        <w:rPr>
          <w:spacing w:val="2"/>
          <w:w w:val="105"/>
          <w:sz w:val="13"/>
        </w:rPr>
        <w:t> </w:t>
      </w:r>
      <w:r>
        <w:rPr>
          <w:w w:val="105"/>
          <w:sz w:val="13"/>
        </w:rPr>
        <w:t>Tribunal).</w:t>
      </w:r>
    </w:p>
    <w:p>
      <w:pPr>
        <w:pStyle w:val="ListParagraph"/>
        <w:numPr>
          <w:ilvl w:val="0"/>
          <w:numId w:val="27"/>
        </w:numPr>
        <w:tabs>
          <w:tab w:pos="2380" w:val="left" w:leader="none"/>
          <w:tab w:pos="2381" w:val="left" w:leader="none"/>
        </w:tabs>
        <w:spacing w:line="240" w:lineRule="auto" w:before="1" w:after="0"/>
        <w:ind w:left="2380" w:right="1664" w:hanging="793"/>
        <w:jc w:val="both"/>
        <w:rPr>
          <w:sz w:val="13"/>
        </w:rPr>
      </w:pPr>
      <w:r>
        <w:rPr>
          <w:sz w:val="13"/>
        </w:rPr>
        <w:t>Kit Barker, Peter Cane, Mark Lunney and Francis Trindade, </w:t>
      </w:r>
      <w:r>
        <w:rPr>
          <w:i/>
          <w:sz w:val="13"/>
        </w:rPr>
        <w:t>The Law of Torts in Australia </w:t>
      </w:r>
      <w:r>
        <w:rPr>
          <w:spacing w:val="2"/>
          <w:sz w:val="13"/>
        </w:rPr>
        <w:t>(Oxford </w:t>
      </w:r>
      <w:r>
        <w:rPr>
          <w:sz w:val="13"/>
        </w:rPr>
        <w:t>University Press, 5th ed, 2012) [1.4]. Unlike     statute law, common law rules are not set out in a single document but are contained in the judgments of a range of courts and tribunals:           Peter</w:t>
      </w:r>
      <w:r>
        <w:rPr>
          <w:spacing w:val="21"/>
          <w:sz w:val="13"/>
        </w:rPr>
        <w:t> </w:t>
      </w:r>
      <w:r>
        <w:rPr>
          <w:sz w:val="13"/>
        </w:rPr>
        <w:t>Butt</w:t>
      </w:r>
      <w:r>
        <w:rPr>
          <w:spacing w:val="21"/>
          <w:sz w:val="13"/>
        </w:rPr>
        <w:t> </w:t>
      </w:r>
      <w:r>
        <w:rPr>
          <w:spacing w:val="2"/>
          <w:sz w:val="13"/>
        </w:rPr>
        <w:t>(ed),</w:t>
      </w:r>
      <w:r>
        <w:rPr>
          <w:spacing w:val="22"/>
          <w:sz w:val="13"/>
        </w:rPr>
        <w:t> </w:t>
      </w:r>
      <w:r>
        <w:rPr>
          <w:i/>
          <w:sz w:val="13"/>
        </w:rPr>
        <w:t>Butterworths’</w:t>
      </w:r>
      <w:r>
        <w:rPr>
          <w:i/>
          <w:spacing w:val="21"/>
          <w:sz w:val="13"/>
        </w:rPr>
        <w:t> </w:t>
      </w:r>
      <w:r>
        <w:rPr>
          <w:i/>
          <w:sz w:val="13"/>
        </w:rPr>
        <w:t>Concise</w:t>
      </w:r>
      <w:r>
        <w:rPr>
          <w:i/>
          <w:spacing w:val="22"/>
          <w:sz w:val="13"/>
        </w:rPr>
        <w:t> </w:t>
      </w:r>
      <w:r>
        <w:rPr>
          <w:i/>
          <w:sz w:val="13"/>
        </w:rPr>
        <w:t>Australian</w:t>
      </w:r>
      <w:r>
        <w:rPr>
          <w:i/>
          <w:spacing w:val="21"/>
          <w:sz w:val="13"/>
        </w:rPr>
        <w:t> </w:t>
      </w:r>
      <w:r>
        <w:rPr>
          <w:i/>
          <w:sz w:val="13"/>
        </w:rPr>
        <w:t>Legal</w:t>
      </w:r>
      <w:r>
        <w:rPr>
          <w:i/>
          <w:spacing w:val="22"/>
          <w:sz w:val="13"/>
        </w:rPr>
        <w:t> </w:t>
      </w:r>
      <w:r>
        <w:rPr>
          <w:i/>
          <w:sz w:val="13"/>
        </w:rPr>
        <w:t>Dictionary</w:t>
      </w:r>
      <w:r>
        <w:rPr>
          <w:i/>
          <w:spacing w:val="21"/>
          <w:sz w:val="13"/>
        </w:rPr>
        <w:t> </w:t>
      </w:r>
      <w:r>
        <w:rPr>
          <w:spacing w:val="2"/>
          <w:sz w:val="13"/>
        </w:rPr>
        <w:t>(LexisNexis/Butterworths,</w:t>
      </w:r>
      <w:r>
        <w:rPr>
          <w:spacing w:val="22"/>
          <w:sz w:val="13"/>
        </w:rPr>
        <w:t> </w:t>
      </w:r>
      <w:r>
        <w:rPr>
          <w:sz w:val="13"/>
        </w:rPr>
        <w:t>3rd</w:t>
      </w:r>
      <w:r>
        <w:rPr>
          <w:spacing w:val="21"/>
          <w:sz w:val="13"/>
        </w:rPr>
        <w:t> </w:t>
      </w:r>
      <w:r>
        <w:rPr>
          <w:sz w:val="13"/>
        </w:rPr>
        <w:t>ed,</w:t>
      </w:r>
      <w:r>
        <w:rPr>
          <w:spacing w:val="22"/>
          <w:sz w:val="13"/>
        </w:rPr>
        <w:t> </w:t>
      </w:r>
      <w:r>
        <w:rPr>
          <w:spacing w:val="2"/>
          <w:sz w:val="13"/>
        </w:rPr>
        <w:t>2004)</w:t>
      </w:r>
      <w:r>
        <w:rPr>
          <w:spacing w:val="21"/>
          <w:sz w:val="13"/>
        </w:rPr>
        <w:t> </w:t>
      </w:r>
      <w:r>
        <w:rPr>
          <w:sz w:val="13"/>
        </w:rPr>
        <w:t>‘case</w:t>
      </w:r>
      <w:r>
        <w:rPr>
          <w:spacing w:val="22"/>
          <w:sz w:val="13"/>
        </w:rPr>
        <w:t> </w:t>
      </w:r>
      <w:r>
        <w:rPr>
          <w:sz w:val="13"/>
        </w:rPr>
        <w:t>law’</w:t>
      </w:r>
      <w:r>
        <w:rPr>
          <w:spacing w:val="21"/>
          <w:sz w:val="13"/>
        </w:rPr>
        <w:t> </w:t>
      </w:r>
      <w:r>
        <w:rPr>
          <w:sz w:val="13"/>
        </w:rPr>
        <w:t>and</w:t>
      </w:r>
      <w:r>
        <w:rPr>
          <w:spacing w:val="22"/>
          <w:sz w:val="13"/>
        </w:rPr>
        <w:t> </w:t>
      </w:r>
      <w:r>
        <w:rPr>
          <w:sz w:val="13"/>
        </w:rPr>
        <w:t>‘common</w:t>
      </w:r>
      <w:r>
        <w:rPr>
          <w:spacing w:val="21"/>
          <w:sz w:val="13"/>
        </w:rPr>
        <w:t> </w:t>
      </w:r>
      <w:r>
        <w:rPr>
          <w:sz w:val="13"/>
        </w:rPr>
        <w:t>law’.</w:t>
      </w:r>
    </w:p>
    <w:p>
      <w:pPr>
        <w:spacing w:before="4"/>
        <w:ind w:left="2380" w:right="1818" w:firstLine="0"/>
        <w:jc w:val="left"/>
        <w:rPr>
          <w:sz w:val="13"/>
        </w:rPr>
      </w:pPr>
      <w:r>
        <w:rPr>
          <w:w w:val="105"/>
          <w:sz w:val="13"/>
        </w:rPr>
        <w:t>However, in recent times, certain </w:t>
      </w:r>
      <w:r>
        <w:rPr>
          <w:spacing w:val="2"/>
          <w:w w:val="105"/>
          <w:sz w:val="13"/>
        </w:rPr>
        <w:t>torts </w:t>
      </w:r>
      <w:r>
        <w:rPr>
          <w:w w:val="105"/>
          <w:sz w:val="13"/>
        </w:rPr>
        <w:t>have undergone law reform—‘Despite their common law origins, most tort actions are subject      to some statutory variation of the common law principles by state and territory legislation. Numerous statutes limit actions or defences, provide limitation periods, cap or exclude awards of damages, and provide for survival of actions’: Australian Law Reform Commission, </w:t>
      </w:r>
      <w:r>
        <w:rPr>
          <w:i/>
          <w:w w:val="105"/>
          <w:sz w:val="13"/>
        </w:rPr>
        <w:t>Traditional Rights and Freedoms—Encroachments by Commonwealth Laws </w:t>
      </w:r>
      <w:r>
        <w:rPr>
          <w:w w:val="105"/>
          <w:sz w:val="13"/>
        </w:rPr>
        <w:t>(Final </w:t>
      </w:r>
      <w:r>
        <w:rPr>
          <w:spacing w:val="2"/>
          <w:w w:val="105"/>
          <w:sz w:val="13"/>
        </w:rPr>
        <w:t>Report </w:t>
      </w:r>
      <w:r>
        <w:rPr>
          <w:w w:val="105"/>
          <w:sz w:val="13"/>
        </w:rPr>
        <w:t>No 129, 2015) [16.23], n 38. This is particularly true of negligence, which has been given a statutory framework in the respective civil liability statutes of each state and territory: see,     eg, </w:t>
      </w:r>
      <w:r>
        <w:rPr>
          <w:i/>
          <w:w w:val="105"/>
          <w:sz w:val="13"/>
        </w:rPr>
        <w:t>Wrongs Act 1958 </w:t>
      </w:r>
      <w:r>
        <w:rPr>
          <w:spacing w:val="2"/>
          <w:w w:val="105"/>
          <w:sz w:val="13"/>
        </w:rPr>
        <w:t>(Vic) Pt </w:t>
      </w:r>
      <w:r>
        <w:rPr>
          <w:w w:val="105"/>
          <w:sz w:val="13"/>
        </w:rPr>
        <w:t>X, but note that statutory amendments do not override or affect common law principles associated with negligence</w:t>
      </w:r>
      <w:r>
        <w:rPr>
          <w:spacing w:val="4"/>
          <w:w w:val="105"/>
          <w:sz w:val="13"/>
        </w:rPr>
        <w:t> </w:t>
      </w:r>
      <w:r>
        <w:rPr>
          <w:w w:val="105"/>
          <w:sz w:val="13"/>
        </w:rPr>
        <w:t>unless</w:t>
      </w:r>
      <w:r>
        <w:rPr>
          <w:spacing w:val="5"/>
          <w:w w:val="105"/>
          <w:sz w:val="13"/>
        </w:rPr>
        <w:t> </w:t>
      </w:r>
      <w:r>
        <w:rPr>
          <w:w w:val="105"/>
          <w:sz w:val="13"/>
        </w:rPr>
        <w:t>otherwise</w:t>
      </w:r>
      <w:r>
        <w:rPr>
          <w:spacing w:val="5"/>
          <w:w w:val="105"/>
          <w:sz w:val="13"/>
        </w:rPr>
        <w:t> </w:t>
      </w:r>
      <w:r>
        <w:rPr>
          <w:w w:val="105"/>
          <w:sz w:val="13"/>
        </w:rPr>
        <w:t>stated:</w:t>
      </w:r>
      <w:r>
        <w:rPr>
          <w:spacing w:val="5"/>
          <w:w w:val="105"/>
          <w:sz w:val="13"/>
        </w:rPr>
        <w:t> </w:t>
      </w:r>
      <w:r>
        <w:rPr>
          <w:i/>
          <w:w w:val="105"/>
          <w:sz w:val="13"/>
        </w:rPr>
        <w:t>Wrongs</w:t>
      </w:r>
      <w:r>
        <w:rPr>
          <w:i/>
          <w:spacing w:val="5"/>
          <w:w w:val="105"/>
          <w:sz w:val="13"/>
        </w:rPr>
        <w:t> </w:t>
      </w:r>
      <w:r>
        <w:rPr>
          <w:i/>
          <w:w w:val="105"/>
          <w:sz w:val="13"/>
        </w:rPr>
        <w:t>Act</w:t>
      </w:r>
      <w:r>
        <w:rPr>
          <w:i/>
          <w:spacing w:val="5"/>
          <w:w w:val="105"/>
          <w:sz w:val="13"/>
        </w:rPr>
        <w:t> </w:t>
      </w:r>
      <w:r>
        <w:rPr>
          <w:i/>
          <w:w w:val="105"/>
          <w:sz w:val="13"/>
        </w:rPr>
        <w:t>1958</w:t>
      </w:r>
      <w:r>
        <w:rPr>
          <w:i/>
          <w:spacing w:val="4"/>
          <w:w w:val="105"/>
          <w:sz w:val="13"/>
        </w:rPr>
        <w:t> </w:t>
      </w:r>
      <w:r>
        <w:rPr>
          <w:spacing w:val="2"/>
          <w:w w:val="105"/>
          <w:sz w:val="13"/>
        </w:rPr>
        <w:t>(Vic)</w:t>
      </w:r>
      <w:r>
        <w:rPr>
          <w:spacing w:val="5"/>
          <w:w w:val="105"/>
          <w:sz w:val="13"/>
        </w:rPr>
        <w:t> </w:t>
      </w:r>
      <w:r>
        <w:rPr>
          <w:w w:val="105"/>
          <w:sz w:val="13"/>
        </w:rPr>
        <w:t>s</w:t>
      </w:r>
      <w:r>
        <w:rPr>
          <w:spacing w:val="5"/>
          <w:w w:val="105"/>
          <w:sz w:val="13"/>
        </w:rPr>
        <w:t> </w:t>
      </w:r>
      <w:r>
        <w:rPr>
          <w:spacing w:val="-4"/>
          <w:w w:val="105"/>
          <w:sz w:val="13"/>
        </w:rPr>
        <w:t>47.</w:t>
      </w:r>
    </w:p>
    <w:p>
      <w:pPr>
        <w:pStyle w:val="ListParagraph"/>
        <w:numPr>
          <w:ilvl w:val="0"/>
          <w:numId w:val="27"/>
        </w:numPr>
        <w:tabs>
          <w:tab w:pos="2380" w:val="left" w:leader="none"/>
          <w:tab w:pos="2381" w:val="left" w:leader="none"/>
        </w:tabs>
        <w:spacing w:line="240" w:lineRule="auto" w:before="10" w:after="0"/>
        <w:ind w:left="2380" w:right="0" w:hanging="793"/>
        <w:jc w:val="left"/>
        <w:rPr>
          <w:sz w:val="13"/>
        </w:rPr>
      </w:pPr>
      <w:r>
        <w:rPr>
          <w:sz w:val="13"/>
        </w:rPr>
        <w:t>Peter</w:t>
      </w:r>
      <w:r>
        <w:rPr>
          <w:spacing w:val="8"/>
          <w:sz w:val="13"/>
        </w:rPr>
        <w:t> </w:t>
      </w:r>
      <w:r>
        <w:rPr>
          <w:sz w:val="13"/>
        </w:rPr>
        <w:t>Butt</w:t>
      </w:r>
      <w:r>
        <w:rPr>
          <w:spacing w:val="9"/>
          <w:sz w:val="13"/>
        </w:rPr>
        <w:t> </w:t>
      </w:r>
      <w:r>
        <w:rPr>
          <w:spacing w:val="2"/>
          <w:sz w:val="13"/>
        </w:rPr>
        <w:t>(ed),</w:t>
      </w:r>
      <w:r>
        <w:rPr>
          <w:spacing w:val="8"/>
          <w:sz w:val="13"/>
        </w:rPr>
        <w:t> </w:t>
      </w:r>
      <w:r>
        <w:rPr>
          <w:i/>
          <w:sz w:val="13"/>
        </w:rPr>
        <w:t>Butterworths’</w:t>
      </w:r>
      <w:r>
        <w:rPr>
          <w:i/>
          <w:spacing w:val="9"/>
          <w:sz w:val="13"/>
        </w:rPr>
        <w:t> </w:t>
      </w:r>
      <w:r>
        <w:rPr>
          <w:i/>
          <w:sz w:val="13"/>
        </w:rPr>
        <w:t>Concise</w:t>
      </w:r>
      <w:r>
        <w:rPr>
          <w:i/>
          <w:spacing w:val="9"/>
          <w:sz w:val="13"/>
        </w:rPr>
        <w:t> </w:t>
      </w:r>
      <w:r>
        <w:rPr>
          <w:i/>
          <w:sz w:val="13"/>
        </w:rPr>
        <w:t>Australian</w:t>
      </w:r>
      <w:r>
        <w:rPr>
          <w:i/>
          <w:spacing w:val="8"/>
          <w:sz w:val="13"/>
        </w:rPr>
        <w:t> </w:t>
      </w:r>
      <w:r>
        <w:rPr>
          <w:i/>
          <w:sz w:val="13"/>
        </w:rPr>
        <w:t>Legal</w:t>
      </w:r>
      <w:r>
        <w:rPr>
          <w:i/>
          <w:spacing w:val="9"/>
          <w:sz w:val="13"/>
        </w:rPr>
        <w:t> </w:t>
      </w:r>
      <w:r>
        <w:rPr>
          <w:i/>
          <w:sz w:val="13"/>
        </w:rPr>
        <w:t>Dictionary</w:t>
      </w:r>
      <w:r>
        <w:rPr>
          <w:i/>
          <w:spacing w:val="8"/>
          <w:sz w:val="13"/>
        </w:rPr>
        <w:t> </w:t>
      </w:r>
      <w:r>
        <w:rPr>
          <w:spacing w:val="2"/>
          <w:sz w:val="13"/>
        </w:rPr>
        <w:t>(LexisNexis/Butterworths,</w:t>
      </w:r>
      <w:r>
        <w:rPr>
          <w:spacing w:val="9"/>
          <w:sz w:val="13"/>
        </w:rPr>
        <w:t> </w:t>
      </w:r>
      <w:r>
        <w:rPr>
          <w:sz w:val="13"/>
        </w:rPr>
        <w:t>3rd</w:t>
      </w:r>
      <w:r>
        <w:rPr>
          <w:spacing w:val="9"/>
          <w:sz w:val="13"/>
        </w:rPr>
        <w:t> </w:t>
      </w:r>
      <w:r>
        <w:rPr>
          <w:sz w:val="13"/>
        </w:rPr>
        <w:t>ed,</w:t>
      </w:r>
      <w:r>
        <w:rPr>
          <w:spacing w:val="8"/>
          <w:sz w:val="13"/>
        </w:rPr>
        <w:t> </w:t>
      </w:r>
      <w:r>
        <w:rPr>
          <w:spacing w:val="2"/>
          <w:sz w:val="13"/>
        </w:rPr>
        <w:t>2004)</w:t>
      </w:r>
      <w:r>
        <w:rPr>
          <w:spacing w:val="9"/>
          <w:sz w:val="13"/>
        </w:rPr>
        <w:t> </w:t>
      </w:r>
      <w:r>
        <w:rPr>
          <w:sz w:val="13"/>
        </w:rPr>
        <w:t>‘tort’.</w:t>
      </w:r>
    </w:p>
    <w:p>
      <w:pPr>
        <w:pStyle w:val="ListParagraph"/>
        <w:numPr>
          <w:ilvl w:val="0"/>
          <w:numId w:val="27"/>
        </w:numPr>
        <w:tabs>
          <w:tab w:pos="2380" w:val="left" w:leader="none"/>
          <w:tab w:pos="2381" w:val="left" w:leader="none"/>
        </w:tabs>
        <w:spacing w:line="240" w:lineRule="auto" w:before="1" w:after="0"/>
        <w:ind w:left="2380" w:right="1590" w:hanging="793"/>
        <w:jc w:val="left"/>
        <w:rPr>
          <w:sz w:val="13"/>
        </w:rPr>
      </w:pPr>
      <w:r>
        <w:rPr>
          <w:w w:val="105"/>
          <w:sz w:val="13"/>
        </w:rPr>
        <w:t>Australian Law Reform Commission, </w:t>
      </w:r>
      <w:r>
        <w:rPr>
          <w:i/>
          <w:w w:val="105"/>
          <w:sz w:val="13"/>
        </w:rPr>
        <w:t>Traditional Rights and Freedoms—Encroachments by Commonwealth Laws </w:t>
      </w:r>
      <w:r>
        <w:rPr>
          <w:w w:val="105"/>
          <w:sz w:val="13"/>
        </w:rPr>
        <w:t>(Final </w:t>
      </w:r>
      <w:r>
        <w:rPr>
          <w:spacing w:val="2"/>
          <w:w w:val="105"/>
          <w:sz w:val="13"/>
        </w:rPr>
        <w:t>Report </w:t>
      </w:r>
      <w:r>
        <w:rPr>
          <w:w w:val="105"/>
          <w:sz w:val="13"/>
        </w:rPr>
        <w:t>No 129, 2015) [16.21].</w:t>
      </w:r>
    </w:p>
    <w:p>
      <w:pPr>
        <w:pStyle w:val="ListParagraph"/>
        <w:numPr>
          <w:ilvl w:val="0"/>
          <w:numId w:val="27"/>
        </w:numPr>
        <w:tabs>
          <w:tab w:pos="2380" w:val="left" w:leader="none"/>
          <w:tab w:pos="2381" w:val="left" w:leader="none"/>
        </w:tabs>
        <w:spacing w:line="240" w:lineRule="auto" w:before="3" w:after="0"/>
        <w:ind w:left="2380" w:right="1744" w:hanging="793"/>
        <w:jc w:val="left"/>
        <w:rPr>
          <w:sz w:val="13"/>
        </w:rPr>
      </w:pPr>
      <w:r>
        <w:rPr>
          <w:sz w:val="13"/>
        </w:rPr>
        <w:t>The Magistrates’ Court has jurisdiction to hear civil matters where claims for works or damages are no more than $100,000: </w:t>
      </w:r>
      <w:r>
        <w:rPr>
          <w:i/>
          <w:sz w:val="13"/>
        </w:rPr>
        <w:t>Magistrates’         </w:t>
      </w:r>
      <w:r>
        <w:rPr>
          <w:i/>
          <w:sz w:val="13"/>
        </w:rPr>
        <w:t>Court</w:t>
      </w:r>
      <w:r>
        <w:rPr>
          <w:i/>
          <w:spacing w:val="7"/>
          <w:sz w:val="13"/>
        </w:rPr>
        <w:t> </w:t>
      </w:r>
      <w:r>
        <w:rPr>
          <w:i/>
          <w:sz w:val="13"/>
        </w:rPr>
        <w:t>Act</w:t>
      </w:r>
      <w:r>
        <w:rPr>
          <w:i/>
          <w:spacing w:val="8"/>
          <w:sz w:val="13"/>
        </w:rPr>
        <w:t> </w:t>
      </w:r>
      <w:r>
        <w:rPr>
          <w:i/>
          <w:sz w:val="13"/>
        </w:rPr>
        <w:t>1989</w:t>
      </w:r>
      <w:r>
        <w:rPr>
          <w:i/>
          <w:spacing w:val="8"/>
          <w:sz w:val="13"/>
        </w:rPr>
        <w:t> </w:t>
      </w:r>
      <w:r>
        <w:rPr>
          <w:spacing w:val="2"/>
          <w:sz w:val="13"/>
        </w:rPr>
        <w:t>(Vic)</w:t>
      </w:r>
      <w:r>
        <w:rPr>
          <w:spacing w:val="8"/>
          <w:sz w:val="13"/>
        </w:rPr>
        <w:t> </w:t>
      </w:r>
      <w:r>
        <w:rPr>
          <w:sz w:val="13"/>
        </w:rPr>
        <w:t>ss</w:t>
      </w:r>
      <w:r>
        <w:rPr>
          <w:spacing w:val="7"/>
          <w:sz w:val="13"/>
        </w:rPr>
        <w:t> </w:t>
      </w:r>
      <w:r>
        <w:rPr>
          <w:sz w:val="13"/>
        </w:rPr>
        <w:t>3(1)</w:t>
      </w:r>
      <w:r>
        <w:rPr>
          <w:spacing w:val="8"/>
          <w:sz w:val="13"/>
        </w:rPr>
        <w:t> </w:t>
      </w:r>
      <w:r>
        <w:rPr>
          <w:sz w:val="13"/>
        </w:rPr>
        <w:t>(definition</w:t>
      </w:r>
      <w:r>
        <w:rPr>
          <w:spacing w:val="8"/>
          <w:sz w:val="13"/>
        </w:rPr>
        <w:t> </w:t>
      </w:r>
      <w:r>
        <w:rPr>
          <w:sz w:val="13"/>
        </w:rPr>
        <w:t>of</w:t>
      </w:r>
      <w:r>
        <w:rPr>
          <w:spacing w:val="8"/>
          <w:sz w:val="13"/>
        </w:rPr>
        <w:t> </w:t>
      </w:r>
      <w:r>
        <w:rPr>
          <w:sz w:val="13"/>
        </w:rPr>
        <w:t>‘jurisdictional</w:t>
      </w:r>
      <w:r>
        <w:rPr>
          <w:spacing w:val="8"/>
          <w:sz w:val="13"/>
        </w:rPr>
        <w:t> </w:t>
      </w:r>
      <w:r>
        <w:rPr>
          <w:spacing w:val="2"/>
          <w:sz w:val="13"/>
        </w:rPr>
        <w:t>limit’),</w:t>
      </w:r>
      <w:r>
        <w:rPr>
          <w:spacing w:val="7"/>
          <w:sz w:val="13"/>
        </w:rPr>
        <w:t> </w:t>
      </w:r>
      <w:r>
        <w:rPr>
          <w:spacing w:val="4"/>
          <w:sz w:val="13"/>
        </w:rPr>
        <w:t>100(1)(a)–(b).</w:t>
      </w:r>
    </w:p>
    <w:p>
      <w:pPr>
        <w:pStyle w:val="ListParagraph"/>
        <w:numPr>
          <w:ilvl w:val="0"/>
          <w:numId w:val="27"/>
        </w:numPr>
        <w:tabs>
          <w:tab w:pos="2380" w:val="left" w:leader="none"/>
          <w:tab w:pos="2381" w:val="left" w:leader="none"/>
        </w:tabs>
        <w:spacing w:line="240" w:lineRule="auto" w:before="2" w:after="0"/>
        <w:ind w:left="2380" w:right="1796" w:hanging="793"/>
        <w:jc w:val="left"/>
        <w:rPr>
          <w:sz w:val="13"/>
        </w:rPr>
      </w:pPr>
      <w:r>
        <w:rPr>
          <w:spacing w:val="2"/>
          <w:w w:val="105"/>
          <w:sz w:val="13"/>
        </w:rPr>
        <w:t>‘The </w:t>
      </w:r>
      <w:r>
        <w:rPr>
          <w:w w:val="105"/>
          <w:sz w:val="13"/>
        </w:rPr>
        <w:t>Court has jurisdiction to hear and determine all applications, clams, disputes and civil proceedings regardless of the </w:t>
      </w:r>
      <w:r>
        <w:rPr>
          <w:spacing w:val="2"/>
          <w:w w:val="105"/>
          <w:sz w:val="13"/>
        </w:rPr>
        <w:t>type </w:t>
      </w:r>
      <w:r>
        <w:rPr>
          <w:w w:val="105"/>
          <w:sz w:val="13"/>
        </w:rPr>
        <w:t>of relief sought or the subject-matter as are not by this or any other </w:t>
      </w:r>
      <w:r>
        <w:rPr>
          <w:spacing w:val="2"/>
          <w:w w:val="105"/>
          <w:sz w:val="13"/>
        </w:rPr>
        <w:t>act </w:t>
      </w:r>
      <w:r>
        <w:rPr>
          <w:w w:val="105"/>
          <w:sz w:val="13"/>
        </w:rPr>
        <w:t>excluded from its jurisdiction’: </w:t>
      </w:r>
      <w:r>
        <w:rPr>
          <w:i/>
          <w:w w:val="105"/>
          <w:sz w:val="13"/>
        </w:rPr>
        <w:t>County Court Act 1958 </w:t>
      </w:r>
      <w:r>
        <w:rPr>
          <w:spacing w:val="2"/>
          <w:w w:val="105"/>
          <w:sz w:val="13"/>
        </w:rPr>
        <w:t>(Vic) </w:t>
      </w:r>
      <w:r>
        <w:rPr>
          <w:w w:val="105"/>
          <w:sz w:val="13"/>
        </w:rPr>
        <w:t>s </w:t>
      </w:r>
      <w:r>
        <w:rPr>
          <w:spacing w:val="-4"/>
          <w:w w:val="105"/>
          <w:sz w:val="13"/>
        </w:rPr>
        <w:t>37. </w:t>
      </w:r>
      <w:r>
        <w:rPr>
          <w:w w:val="105"/>
          <w:sz w:val="13"/>
        </w:rPr>
        <w:t>The civil jurisdiction of the County Court imposes no </w:t>
      </w:r>
      <w:r>
        <w:rPr>
          <w:spacing w:val="2"/>
          <w:w w:val="105"/>
          <w:sz w:val="13"/>
        </w:rPr>
        <w:t>monetary </w:t>
      </w:r>
      <w:r>
        <w:rPr>
          <w:w w:val="105"/>
          <w:sz w:val="13"/>
        </w:rPr>
        <w:t>cap on the amount of damages it can award: see County Court of Victoria, </w:t>
      </w:r>
      <w:r>
        <w:rPr>
          <w:i/>
          <w:w w:val="105"/>
          <w:sz w:val="13"/>
        </w:rPr>
        <w:t>Court </w:t>
      </w:r>
      <w:r>
        <w:rPr>
          <w:i/>
          <w:w w:val="105"/>
          <w:sz w:val="13"/>
        </w:rPr>
        <w:t>Divisions </w:t>
      </w:r>
      <w:r>
        <w:rPr>
          <w:w w:val="105"/>
          <w:sz w:val="13"/>
        </w:rPr>
        <w:t>(Web Page, 2019)</w:t>
      </w:r>
      <w:r>
        <w:rPr>
          <w:spacing w:val="22"/>
          <w:w w:val="105"/>
          <w:sz w:val="13"/>
        </w:rPr>
        <w:t> </w:t>
      </w:r>
      <w:r>
        <w:rPr>
          <w:w w:val="105"/>
          <w:sz w:val="13"/>
        </w:rPr>
        <w:t>&lt;https://</w:t>
      </w:r>
      <w:hyperlink r:id="rId68">
        <w:r>
          <w:rPr>
            <w:w w:val="105"/>
            <w:sz w:val="13"/>
          </w:rPr>
          <w:t>www.countycourt.vic.gov.au/learn-about-court/court-divisions</w:t>
        </w:r>
      </w:hyperlink>
      <w:r>
        <w:rPr>
          <w:w w:val="105"/>
          <w:sz w:val="13"/>
        </w:rPr>
        <w:t>&gt;.</w:t>
      </w:r>
    </w:p>
    <w:p>
      <w:pPr>
        <w:pStyle w:val="ListParagraph"/>
        <w:numPr>
          <w:ilvl w:val="0"/>
          <w:numId w:val="27"/>
        </w:numPr>
        <w:tabs>
          <w:tab w:pos="2380" w:val="left" w:leader="none"/>
          <w:tab w:pos="2382" w:val="left" w:leader="none"/>
        </w:tabs>
        <w:spacing w:line="240" w:lineRule="auto" w:before="6" w:after="0"/>
        <w:ind w:left="2381" w:right="1705" w:hanging="794"/>
        <w:jc w:val="left"/>
        <w:rPr>
          <w:sz w:val="13"/>
        </w:rPr>
      </w:pPr>
      <w:r>
        <w:rPr>
          <w:w w:val="105"/>
          <w:sz w:val="13"/>
        </w:rPr>
        <w:t>See, eg, the Major Torts List which is ‘designed to facilitate and expedite the passage of significant tortious claims to trial’: Supreme Court   of Victoria, </w:t>
      </w:r>
      <w:r>
        <w:rPr>
          <w:i/>
          <w:w w:val="105"/>
          <w:sz w:val="13"/>
        </w:rPr>
        <w:t>Practice Note SC CL 4: Major Torts List, </w:t>
      </w:r>
      <w:r>
        <w:rPr>
          <w:w w:val="105"/>
          <w:sz w:val="13"/>
        </w:rPr>
        <w:t>1 October 2018 &lt;https://</w:t>
      </w:r>
      <w:hyperlink r:id="rId69">
        <w:r>
          <w:rPr>
            <w:w w:val="105"/>
            <w:sz w:val="13"/>
          </w:rPr>
          <w:t>www.supremecourt.vic.gov.au/law-and-practice/specialist-</w:t>
        </w:r>
      </w:hyperlink>
      <w:r>
        <w:rPr>
          <w:w w:val="105"/>
          <w:sz w:val="13"/>
        </w:rPr>
        <w:t> areas-of-law/major-torts-list&gt;.</w:t>
      </w:r>
    </w:p>
    <w:p>
      <w:pPr>
        <w:pStyle w:val="ListParagraph"/>
        <w:numPr>
          <w:ilvl w:val="0"/>
          <w:numId w:val="27"/>
        </w:numPr>
        <w:tabs>
          <w:tab w:pos="2380" w:val="left" w:leader="none"/>
          <w:tab w:pos="2382" w:val="left" w:leader="none"/>
        </w:tabs>
        <w:spacing w:line="240" w:lineRule="auto" w:before="4" w:after="0"/>
        <w:ind w:left="2381" w:right="0" w:hanging="794"/>
        <w:jc w:val="left"/>
        <w:rPr>
          <w:sz w:val="13"/>
        </w:rPr>
      </w:pPr>
      <w:r>
        <w:rPr>
          <w:w w:val="105"/>
          <w:sz w:val="13"/>
        </w:rPr>
        <w:t>See,</w:t>
      </w:r>
      <w:r>
        <w:rPr>
          <w:spacing w:val="4"/>
          <w:w w:val="105"/>
          <w:sz w:val="13"/>
        </w:rPr>
        <w:t> </w:t>
      </w:r>
      <w:r>
        <w:rPr>
          <w:w w:val="105"/>
          <w:sz w:val="13"/>
        </w:rPr>
        <w:t>eg,</w:t>
      </w:r>
      <w:r>
        <w:rPr>
          <w:spacing w:val="5"/>
          <w:w w:val="105"/>
          <w:sz w:val="13"/>
        </w:rPr>
        <w:t> </w:t>
      </w:r>
      <w:r>
        <w:rPr>
          <w:i/>
          <w:w w:val="105"/>
          <w:sz w:val="13"/>
        </w:rPr>
        <w:t>Robson</w:t>
      </w:r>
      <w:r>
        <w:rPr>
          <w:i/>
          <w:spacing w:val="5"/>
          <w:w w:val="105"/>
          <w:sz w:val="13"/>
        </w:rPr>
        <w:t> </w:t>
      </w:r>
      <w:r>
        <w:rPr>
          <w:i/>
          <w:w w:val="105"/>
          <w:sz w:val="13"/>
        </w:rPr>
        <w:t>v</w:t>
      </w:r>
      <w:r>
        <w:rPr>
          <w:i/>
          <w:spacing w:val="5"/>
          <w:w w:val="105"/>
          <w:sz w:val="13"/>
        </w:rPr>
        <w:t> </w:t>
      </w:r>
      <w:r>
        <w:rPr>
          <w:i/>
          <w:w w:val="105"/>
          <w:sz w:val="13"/>
        </w:rPr>
        <w:t>Leischke</w:t>
      </w:r>
      <w:r>
        <w:rPr>
          <w:i/>
          <w:spacing w:val="5"/>
          <w:w w:val="105"/>
          <w:sz w:val="13"/>
        </w:rPr>
        <w:t> </w:t>
      </w:r>
      <w:r>
        <w:rPr>
          <w:spacing w:val="2"/>
          <w:w w:val="105"/>
          <w:sz w:val="13"/>
        </w:rPr>
        <w:t>(2008)</w:t>
      </w:r>
      <w:r>
        <w:rPr>
          <w:spacing w:val="5"/>
          <w:w w:val="105"/>
          <w:sz w:val="13"/>
        </w:rPr>
        <w:t> </w:t>
      </w:r>
      <w:r>
        <w:rPr>
          <w:w w:val="105"/>
          <w:sz w:val="13"/>
        </w:rPr>
        <w:t>72</w:t>
      </w:r>
      <w:r>
        <w:rPr>
          <w:spacing w:val="5"/>
          <w:w w:val="105"/>
          <w:sz w:val="13"/>
        </w:rPr>
        <w:t> </w:t>
      </w:r>
      <w:r>
        <w:rPr>
          <w:spacing w:val="2"/>
          <w:w w:val="105"/>
          <w:sz w:val="13"/>
        </w:rPr>
        <w:t>NSWLR</w:t>
      </w:r>
      <w:r>
        <w:rPr>
          <w:spacing w:val="5"/>
          <w:w w:val="105"/>
          <w:sz w:val="13"/>
        </w:rPr>
        <w:t> </w:t>
      </w:r>
      <w:r>
        <w:rPr>
          <w:w w:val="105"/>
          <w:sz w:val="13"/>
        </w:rPr>
        <w:t>98</w:t>
      </w:r>
      <w:r>
        <w:rPr>
          <w:spacing w:val="5"/>
          <w:w w:val="105"/>
          <w:sz w:val="13"/>
        </w:rPr>
        <w:t> </w:t>
      </w:r>
      <w:r>
        <w:rPr>
          <w:spacing w:val="2"/>
          <w:w w:val="105"/>
          <w:sz w:val="13"/>
        </w:rPr>
        <w:t>[36];</w:t>
      </w:r>
      <w:r>
        <w:rPr>
          <w:spacing w:val="5"/>
          <w:w w:val="105"/>
          <w:sz w:val="13"/>
        </w:rPr>
        <w:t> </w:t>
      </w:r>
      <w:r>
        <w:rPr>
          <w:w w:val="105"/>
          <w:sz w:val="13"/>
        </w:rPr>
        <w:t>Submission</w:t>
      </w:r>
      <w:r>
        <w:rPr>
          <w:spacing w:val="5"/>
          <w:w w:val="105"/>
          <w:sz w:val="13"/>
        </w:rPr>
        <w:t> </w:t>
      </w:r>
      <w:r>
        <w:rPr>
          <w:w w:val="105"/>
          <w:sz w:val="13"/>
        </w:rPr>
        <w:t>16</w:t>
      </w:r>
      <w:r>
        <w:rPr>
          <w:spacing w:val="5"/>
          <w:w w:val="105"/>
          <w:sz w:val="13"/>
        </w:rPr>
        <w:t> </w:t>
      </w:r>
      <w:r>
        <w:rPr>
          <w:w w:val="105"/>
          <w:sz w:val="13"/>
        </w:rPr>
        <w:t>(Magistrates’</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spacing w:val="2"/>
          <w:w w:val="105"/>
          <w:sz w:val="13"/>
        </w:rPr>
        <w:t>Victoria).</w:t>
      </w:r>
    </w:p>
    <w:p>
      <w:pPr>
        <w:pStyle w:val="ListParagraph"/>
        <w:numPr>
          <w:ilvl w:val="0"/>
          <w:numId w:val="27"/>
        </w:numPr>
        <w:tabs>
          <w:tab w:pos="2380" w:val="left" w:leader="none"/>
          <w:tab w:pos="2382" w:val="left" w:leader="none"/>
        </w:tabs>
        <w:spacing w:line="240" w:lineRule="auto" w:before="1" w:after="0"/>
        <w:ind w:left="2381" w:right="1631" w:hanging="794"/>
        <w:jc w:val="left"/>
        <w:rPr>
          <w:sz w:val="13"/>
        </w:rPr>
      </w:pPr>
      <w:r>
        <w:rPr/>
        <w:pict>
          <v:shape style="position:absolute;margin-left:549.071472pt;margin-top:2.979465pt;width:13.05pt;height:14.25pt;mso-position-horizontal-relative:page;mso-position-vertical-relative:paragraph;z-index:3160" type="#_x0000_t202" filled="false" stroked="false">
            <v:textbox inset="0,0,0,0">
              <w:txbxContent>
                <w:p>
                  <w:pPr>
                    <w:spacing w:line="284" w:lineRule="exact" w:before="0"/>
                    <w:ind w:left="0" w:right="0" w:firstLine="0"/>
                    <w:jc w:val="left"/>
                    <w:rPr>
                      <w:b/>
                      <w:sz w:val="24"/>
                    </w:rPr>
                  </w:pPr>
                  <w:r>
                    <w:rPr>
                      <w:b/>
                      <w:color w:val="658464"/>
                      <w:spacing w:val="-4"/>
                      <w:w w:val="110"/>
                      <w:sz w:val="24"/>
                    </w:rPr>
                    <w:t>31</w:t>
                  </w:r>
                </w:p>
              </w:txbxContent>
            </v:textbox>
            <w10:wrap type="none"/>
          </v:shape>
        </w:pict>
      </w:r>
      <w:r>
        <w:rPr>
          <w:w w:val="105"/>
          <w:sz w:val="13"/>
        </w:rPr>
        <w:t>But only to the extent each is relevant to resolving tree disputes. The tort of negligence, for example, is an extremely complex and technical area</w:t>
      </w:r>
      <w:r>
        <w:rPr>
          <w:spacing w:val="4"/>
          <w:w w:val="105"/>
          <w:sz w:val="13"/>
        </w:rPr>
        <w:t> </w:t>
      </w:r>
      <w:r>
        <w:rPr>
          <w:w w:val="105"/>
          <w:sz w:val="13"/>
        </w:rPr>
        <w:t>of</w:t>
      </w:r>
      <w:r>
        <w:rPr>
          <w:spacing w:val="4"/>
          <w:w w:val="105"/>
          <w:sz w:val="13"/>
        </w:rPr>
        <w:t> </w:t>
      </w:r>
      <w:r>
        <w:rPr>
          <w:w w:val="105"/>
          <w:sz w:val="13"/>
        </w:rPr>
        <w:t>law</w:t>
      </w:r>
      <w:r>
        <w:rPr>
          <w:spacing w:val="5"/>
          <w:w w:val="105"/>
          <w:sz w:val="13"/>
        </w:rPr>
        <w:t> </w:t>
      </w:r>
      <w:r>
        <w:rPr>
          <w:w w:val="105"/>
          <w:sz w:val="13"/>
        </w:rPr>
        <w:t>which</w:t>
      </w:r>
      <w:r>
        <w:rPr>
          <w:spacing w:val="4"/>
          <w:w w:val="105"/>
          <w:sz w:val="13"/>
        </w:rPr>
        <w:t> </w:t>
      </w:r>
      <w:r>
        <w:rPr>
          <w:w w:val="105"/>
          <w:sz w:val="13"/>
        </w:rPr>
        <w:t>will</w:t>
      </w:r>
      <w:r>
        <w:rPr>
          <w:spacing w:val="5"/>
          <w:w w:val="105"/>
          <w:sz w:val="13"/>
        </w:rPr>
        <w:t> </w:t>
      </w:r>
      <w:r>
        <w:rPr>
          <w:w w:val="105"/>
          <w:sz w:val="13"/>
        </w:rPr>
        <w:t>not</w:t>
      </w:r>
      <w:r>
        <w:rPr>
          <w:spacing w:val="4"/>
          <w:w w:val="105"/>
          <w:sz w:val="13"/>
        </w:rPr>
        <w:t> </w:t>
      </w:r>
      <w:r>
        <w:rPr>
          <w:w w:val="105"/>
          <w:sz w:val="13"/>
        </w:rPr>
        <w:t>be</w:t>
      </w:r>
      <w:r>
        <w:rPr>
          <w:spacing w:val="5"/>
          <w:w w:val="105"/>
          <w:sz w:val="13"/>
        </w:rPr>
        <w:t> </w:t>
      </w:r>
      <w:r>
        <w:rPr>
          <w:w w:val="105"/>
          <w:sz w:val="13"/>
        </w:rPr>
        <w:t>discussed</w:t>
      </w:r>
      <w:r>
        <w:rPr>
          <w:spacing w:val="4"/>
          <w:w w:val="105"/>
          <w:sz w:val="13"/>
        </w:rPr>
        <w:t> </w:t>
      </w:r>
      <w:r>
        <w:rPr>
          <w:w w:val="105"/>
          <w:sz w:val="13"/>
        </w:rPr>
        <w:t>in</w:t>
      </w:r>
      <w:r>
        <w:rPr>
          <w:spacing w:val="5"/>
          <w:w w:val="105"/>
          <w:sz w:val="13"/>
        </w:rPr>
        <w:t> </w:t>
      </w:r>
      <w:r>
        <w:rPr>
          <w:w w:val="105"/>
          <w:sz w:val="13"/>
        </w:rPr>
        <w:t>its</w:t>
      </w:r>
      <w:r>
        <w:rPr>
          <w:spacing w:val="4"/>
          <w:w w:val="105"/>
          <w:sz w:val="13"/>
        </w:rPr>
        <w:t> </w:t>
      </w:r>
      <w:r>
        <w:rPr>
          <w:w w:val="105"/>
          <w:sz w:val="13"/>
        </w:rPr>
        <w:t>entirety</w:t>
      </w:r>
      <w:r>
        <w:rPr>
          <w:spacing w:val="5"/>
          <w:w w:val="105"/>
          <w:sz w:val="13"/>
        </w:rPr>
        <w:t> </w:t>
      </w:r>
      <w:r>
        <w:rPr>
          <w:w w:val="105"/>
          <w:sz w:val="13"/>
        </w:rPr>
        <w:t>in</w:t>
      </w:r>
      <w:r>
        <w:rPr>
          <w:spacing w:val="4"/>
          <w:w w:val="105"/>
          <w:sz w:val="13"/>
        </w:rPr>
        <w:t> </w:t>
      </w:r>
      <w:r>
        <w:rPr>
          <w:w w:val="105"/>
          <w:sz w:val="13"/>
        </w:rPr>
        <w:t>this</w:t>
      </w:r>
      <w:r>
        <w:rPr>
          <w:spacing w:val="5"/>
          <w:w w:val="105"/>
          <w:sz w:val="13"/>
        </w:rPr>
        <w:t> </w:t>
      </w:r>
      <w:r>
        <w:rPr>
          <w:w w:val="105"/>
          <w:sz w:val="13"/>
        </w:rPr>
        <w:t>report.</w:t>
      </w:r>
    </w:p>
    <w:p>
      <w:pPr>
        <w:spacing w:after="0" w:line="240" w:lineRule="auto"/>
        <w:jc w:val="left"/>
        <w:rPr>
          <w:sz w:val="13"/>
        </w:rPr>
        <w:sectPr>
          <w:pgSz w:w="11910" w:h="16840"/>
          <w:pgMar w:header="808" w:footer="0" w:top="1360" w:bottom="280" w:left="0" w:right="0"/>
        </w:sectPr>
      </w:pPr>
    </w:p>
    <w:p>
      <w:pPr>
        <w:pStyle w:val="BodyText"/>
        <w:spacing w:before="11"/>
      </w:pPr>
    </w:p>
    <w:p>
      <w:pPr>
        <w:pStyle w:val="Heading5"/>
        <w:spacing w:before="96"/>
      </w:pPr>
      <w:bookmarkStart w:name="_bookmark26" w:id="73"/>
      <w:bookmarkEnd w:id="73"/>
      <w:r>
        <w:rPr>
          <w:b w:val="0"/>
        </w:rPr>
      </w:r>
      <w:r>
        <w:rPr>
          <w:w w:val="110"/>
        </w:rPr>
        <w:t>Nuisance</w:t>
      </w:r>
    </w:p>
    <w:p>
      <w:pPr>
        <w:pStyle w:val="ListParagraph"/>
        <w:numPr>
          <w:ilvl w:val="1"/>
          <w:numId w:val="16"/>
        </w:numPr>
        <w:tabs>
          <w:tab w:pos="2381" w:val="left" w:leader="none"/>
          <w:tab w:pos="2382" w:val="left" w:leader="none"/>
        </w:tabs>
        <w:spacing w:line="242" w:lineRule="auto" w:before="137" w:after="0"/>
        <w:ind w:left="2381" w:right="2226" w:hanging="794"/>
        <w:jc w:val="left"/>
        <w:rPr>
          <w:sz w:val="21"/>
        </w:rPr>
      </w:pPr>
      <w:r>
        <w:rPr>
          <w:w w:val="105"/>
          <w:sz w:val="21"/>
        </w:rPr>
        <w:t>The</w:t>
      </w:r>
      <w:r>
        <w:rPr>
          <w:spacing w:val="-5"/>
          <w:w w:val="105"/>
          <w:sz w:val="21"/>
        </w:rPr>
        <w:t> </w:t>
      </w:r>
      <w:r>
        <w:rPr>
          <w:w w:val="105"/>
          <w:sz w:val="21"/>
        </w:rPr>
        <w:t>tort</w:t>
      </w:r>
      <w:r>
        <w:rPr>
          <w:spacing w:val="-4"/>
          <w:w w:val="105"/>
          <w:sz w:val="21"/>
        </w:rPr>
        <w:t> </w:t>
      </w:r>
      <w:r>
        <w:rPr>
          <w:w w:val="105"/>
          <w:sz w:val="21"/>
        </w:rPr>
        <w:t>(civil</w:t>
      </w:r>
      <w:r>
        <w:rPr>
          <w:spacing w:val="-5"/>
          <w:w w:val="105"/>
          <w:sz w:val="21"/>
        </w:rPr>
        <w:t> </w:t>
      </w:r>
      <w:r>
        <w:rPr>
          <w:w w:val="105"/>
          <w:sz w:val="21"/>
        </w:rPr>
        <w:t>wrong)</w:t>
      </w:r>
      <w:r>
        <w:rPr>
          <w:spacing w:val="-4"/>
          <w:w w:val="105"/>
          <w:sz w:val="21"/>
        </w:rPr>
        <w:t> </w:t>
      </w:r>
      <w:r>
        <w:rPr>
          <w:w w:val="105"/>
          <w:sz w:val="21"/>
        </w:rPr>
        <w:t>of</w:t>
      </w:r>
      <w:r>
        <w:rPr>
          <w:spacing w:val="-4"/>
          <w:w w:val="105"/>
          <w:sz w:val="21"/>
        </w:rPr>
        <w:t> </w:t>
      </w:r>
      <w:r>
        <w:rPr>
          <w:spacing w:val="-3"/>
          <w:w w:val="105"/>
          <w:sz w:val="21"/>
        </w:rPr>
        <w:t>nuisance</w:t>
      </w:r>
      <w:r>
        <w:rPr>
          <w:spacing w:val="-5"/>
          <w:w w:val="105"/>
          <w:sz w:val="21"/>
        </w:rPr>
        <w:t> </w:t>
      </w:r>
      <w:r>
        <w:rPr>
          <w:w w:val="105"/>
          <w:sz w:val="21"/>
        </w:rPr>
        <w:t>can</w:t>
      </w:r>
      <w:r>
        <w:rPr>
          <w:spacing w:val="-4"/>
          <w:w w:val="105"/>
          <w:sz w:val="21"/>
        </w:rPr>
        <w:t> </w:t>
      </w:r>
      <w:r>
        <w:rPr>
          <w:w w:val="105"/>
          <w:sz w:val="21"/>
        </w:rPr>
        <w:t>be</w:t>
      </w:r>
      <w:r>
        <w:rPr>
          <w:spacing w:val="-5"/>
          <w:w w:val="105"/>
          <w:sz w:val="21"/>
        </w:rPr>
        <w:t> </w:t>
      </w:r>
      <w:r>
        <w:rPr>
          <w:w w:val="105"/>
          <w:sz w:val="21"/>
        </w:rPr>
        <w:t>classified</w:t>
      </w:r>
      <w:r>
        <w:rPr>
          <w:spacing w:val="-4"/>
          <w:w w:val="105"/>
          <w:sz w:val="21"/>
        </w:rPr>
        <w:t> </w:t>
      </w:r>
      <w:r>
        <w:rPr>
          <w:w w:val="105"/>
          <w:sz w:val="21"/>
        </w:rPr>
        <w:t>as</w:t>
      </w:r>
      <w:r>
        <w:rPr>
          <w:spacing w:val="-4"/>
          <w:w w:val="105"/>
          <w:sz w:val="21"/>
        </w:rPr>
        <w:t> </w:t>
      </w:r>
      <w:r>
        <w:rPr>
          <w:w w:val="105"/>
          <w:sz w:val="21"/>
        </w:rPr>
        <w:t>a</w:t>
      </w:r>
      <w:r>
        <w:rPr>
          <w:spacing w:val="-5"/>
          <w:w w:val="105"/>
          <w:sz w:val="21"/>
        </w:rPr>
        <w:t> </w:t>
      </w:r>
      <w:r>
        <w:rPr>
          <w:spacing w:val="-3"/>
          <w:w w:val="105"/>
          <w:sz w:val="21"/>
        </w:rPr>
        <w:t>public</w:t>
      </w:r>
      <w:r>
        <w:rPr>
          <w:spacing w:val="-4"/>
          <w:w w:val="105"/>
          <w:sz w:val="21"/>
        </w:rPr>
        <w:t> </w:t>
      </w:r>
      <w:r>
        <w:rPr>
          <w:spacing w:val="-3"/>
          <w:w w:val="105"/>
          <w:sz w:val="21"/>
        </w:rPr>
        <w:t>nuisance,</w:t>
      </w:r>
      <w:r>
        <w:rPr>
          <w:spacing w:val="-4"/>
          <w:w w:val="105"/>
          <w:sz w:val="21"/>
        </w:rPr>
        <w:t> </w:t>
      </w:r>
      <w:r>
        <w:rPr>
          <w:w w:val="105"/>
          <w:sz w:val="21"/>
        </w:rPr>
        <w:t>or</w:t>
      </w:r>
      <w:r>
        <w:rPr>
          <w:spacing w:val="-5"/>
          <w:w w:val="105"/>
          <w:sz w:val="21"/>
        </w:rPr>
        <w:t> </w:t>
      </w:r>
      <w:r>
        <w:rPr>
          <w:w w:val="105"/>
          <w:sz w:val="21"/>
        </w:rPr>
        <w:t>a</w:t>
      </w:r>
      <w:r>
        <w:rPr>
          <w:spacing w:val="-4"/>
          <w:w w:val="105"/>
          <w:sz w:val="21"/>
        </w:rPr>
        <w:t> </w:t>
      </w:r>
      <w:r>
        <w:rPr>
          <w:spacing w:val="-3"/>
          <w:w w:val="105"/>
          <w:sz w:val="21"/>
        </w:rPr>
        <w:t>private nuisance.</w:t>
      </w:r>
      <w:r>
        <w:rPr>
          <w:spacing w:val="-3"/>
          <w:w w:val="105"/>
          <w:position w:val="7"/>
          <w:sz w:val="12"/>
        </w:rPr>
        <w:t>50 </w:t>
      </w:r>
      <w:r>
        <w:rPr>
          <w:w w:val="105"/>
          <w:sz w:val="21"/>
        </w:rPr>
        <w:t>Neighbours in tree </w:t>
      </w:r>
      <w:r>
        <w:rPr>
          <w:spacing w:val="-3"/>
          <w:w w:val="105"/>
          <w:sz w:val="21"/>
        </w:rPr>
        <w:t>disputes will </w:t>
      </w:r>
      <w:r>
        <w:rPr>
          <w:w w:val="105"/>
          <w:sz w:val="21"/>
        </w:rPr>
        <w:t>rely on </w:t>
      </w:r>
      <w:r>
        <w:rPr>
          <w:spacing w:val="-3"/>
          <w:w w:val="105"/>
          <w:sz w:val="21"/>
        </w:rPr>
        <w:t>private nuisance</w:t>
      </w:r>
      <w:r>
        <w:rPr>
          <w:spacing w:val="-20"/>
          <w:w w:val="105"/>
          <w:sz w:val="21"/>
        </w:rPr>
        <w:t> </w:t>
      </w:r>
      <w:r>
        <w:rPr>
          <w:spacing w:val="-3"/>
          <w:w w:val="105"/>
          <w:sz w:val="21"/>
        </w:rPr>
        <w:t>(nuisance).</w:t>
      </w:r>
      <w:r>
        <w:rPr>
          <w:spacing w:val="-3"/>
          <w:w w:val="105"/>
          <w:position w:val="7"/>
          <w:sz w:val="12"/>
        </w:rPr>
        <w:t>51</w:t>
      </w:r>
    </w:p>
    <w:p>
      <w:pPr>
        <w:pStyle w:val="ListParagraph"/>
        <w:numPr>
          <w:ilvl w:val="1"/>
          <w:numId w:val="16"/>
        </w:numPr>
        <w:tabs>
          <w:tab w:pos="2381" w:val="left" w:leader="none"/>
          <w:tab w:pos="2382" w:val="left" w:leader="none"/>
        </w:tabs>
        <w:spacing w:line="242" w:lineRule="auto" w:before="122" w:after="0"/>
        <w:ind w:left="2381" w:right="2103" w:hanging="794"/>
        <w:jc w:val="left"/>
        <w:rPr>
          <w:sz w:val="21"/>
        </w:rPr>
      </w:pPr>
      <w:r>
        <w:rPr>
          <w:sz w:val="21"/>
        </w:rPr>
        <w:t>In legal </w:t>
      </w:r>
      <w:r>
        <w:rPr>
          <w:spacing w:val="-3"/>
          <w:sz w:val="21"/>
        </w:rPr>
        <w:t>terms, </w:t>
      </w:r>
      <w:r>
        <w:rPr>
          <w:sz w:val="21"/>
        </w:rPr>
        <w:t>a </w:t>
      </w:r>
      <w:r>
        <w:rPr>
          <w:spacing w:val="-3"/>
          <w:sz w:val="21"/>
        </w:rPr>
        <w:t>nuisance relates to </w:t>
      </w:r>
      <w:r>
        <w:rPr>
          <w:sz w:val="21"/>
        </w:rPr>
        <w:t>an act or omission </w:t>
      </w:r>
      <w:r>
        <w:rPr>
          <w:spacing w:val="-3"/>
          <w:sz w:val="21"/>
        </w:rPr>
        <w:t>that </w:t>
      </w:r>
      <w:r>
        <w:rPr>
          <w:sz w:val="21"/>
        </w:rPr>
        <w:t>causes </w:t>
      </w:r>
      <w:r>
        <w:rPr>
          <w:spacing w:val="-3"/>
          <w:sz w:val="21"/>
        </w:rPr>
        <w:t>substantial </w:t>
      </w:r>
      <w:r>
        <w:rPr>
          <w:sz w:val="21"/>
        </w:rPr>
        <w:t>and </w:t>
      </w:r>
      <w:r>
        <w:rPr>
          <w:spacing w:val="-3"/>
          <w:sz w:val="21"/>
        </w:rPr>
        <w:t>unreasonable interference </w:t>
      </w:r>
      <w:r>
        <w:rPr>
          <w:sz w:val="21"/>
        </w:rPr>
        <w:t>with the affected </w:t>
      </w:r>
      <w:r>
        <w:rPr>
          <w:spacing w:val="-3"/>
          <w:sz w:val="21"/>
        </w:rPr>
        <w:t>neighbour’s land </w:t>
      </w:r>
      <w:r>
        <w:rPr>
          <w:sz w:val="21"/>
        </w:rPr>
        <w:t>or their </w:t>
      </w:r>
      <w:r>
        <w:rPr>
          <w:spacing w:val="-2"/>
          <w:sz w:val="21"/>
        </w:rPr>
        <w:t>enjoyment </w:t>
      </w:r>
      <w:r>
        <w:rPr>
          <w:sz w:val="21"/>
        </w:rPr>
        <w:t>of </w:t>
      </w:r>
      <w:r>
        <w:rPr>
          <w:spacing w:val="-3"/>
          <w:sz w:val="21"/>
        </w:rPr>
        <w:t>land.</w:t>
      </w:r>
      <w:r>
        <w:rPr>
          <w:spacing w:val="-3"/>
          <w:position w:val="7"/>
          <w:sz w:val="12"/>
        </w:rPr>
        <w:t>52 </w:t>
      </w:r>
      <w:r>
        <w:rPr>
          <w:sz w:val="21"/>
        </w:rPr>
        <w:t>It is </w:t>
      </w:r>
      <w:r>
        <w:rPr>
          <w:spacing w:val="-7"/>
          <w:sz w:val="21"/>
        </w:rPr>
        <w:t>‘a </w:t>
      </w:r>
      <w:r>
        <w:rPr>
          <w:sz w:val="21"/>
        </w:rPr>
        <w:t>tort directed </w:t>
      </w:r>
      <w:r>
        <w:rPr>
          <w:spacing w:val="-3"/>
          <w:sz w:val="21"/>
        </w:rPr>
        <w:t>against </w:t>
      </w:r>
      <w:r>
        <w:rPr>
          <w:sz w:val="21"/>
        </w:rPr>
        <w:t>the </w:t>
      </w:r>
      <w:r>
        <w:rPr>
          <w:spacing w:val="-3"/>
          <w:sz w:val="21"/>
        </w:rPr>
        <w:t>plaintiff’s </w:t>
      </w:r>
      <w:r>
        <w:rPr>
          <w:spacing w:val="-2"/>
          <w:sz w:val="21"/>
        </w:rPr>
        <w:t>enjoyment </w:t>
      </w:r>
      <w:r>
        <w:rPr>
          <w:sz w:val="21"/>
        </w:rPr>
        <w:t>of their rights over the land’</w:t>
      </w:r>
      <w:r>
        <w:rPr>
          <w:position w:val="7"/>
          <w:sz w:val="12"/>
        </w:rPr>
        <w:t>53 </w:t>
      </w:r>
      <w:r>
        <w:rPr>
          <w:sz w:val="21"/>
        </w:rPr>
        <w:t>and is inextricably </w:t>
      </w:r>
      <w:r>
        <w:rPr>
          <w:spacing w:val="-4"/>
          <w:sz w:val="21"/>
        </w:rPr>
        <w:t>linked </w:t>
      </w:r>
      <w:r>
        <w:rPr>
          <w:spacing w:val="-3"/>
          <w:sz w:val="21"/>
        </w:rPr>
        <w:t>to </w:t>
      </w:r>
      <w:r>
        <w:rPr>
          <w:sz w:val="21"/>
        </w:rPr>
        <w:t>a </w:t>
      </w:r>
      <w:r>
        <w:rPr>
          <w:spacing w:val="-3"/>
          <w:sz w:val="21"/>
        </w:rPr>
        <w:t>person’s </w:t>
      </w:r>
      <w:r>
        <w:rPr>
          <w:sz w:val="21"/>
        </w:rPr>
        <w:t>proprietary interests over the </w:t>
      </w:r>
      <w:r>
        <w:rPr>
          <w:spacing w:val="-3"/>
          <w:sz w:val="21"/>
        </w:rPr>
        <w:t>land </w:t>
      </w:r>
      <w:r>
        <w:rPr>
          <w:sz w:val="21"/>
        </w:rPr>
        <w:t>they </w:t>
      </w:r>
      <w:r>
        <w:rPr>
          <w:spacing w:val="-6"/>
          <w:sz w:val="21"/>
        </w:rPr>
        <w:t>occupy.</w:t>
      </w:r>
    </w:p>
    <w:p>
      <w:pPr>
        <w:pStyle w:val="ListParagraph"/>
        <w:numPr>
          <w:ilvl w:val="1"/>
          <w:numId w:val="16"/>
        </w:numPr>
        <w:tabs>
          <w:tab w:pos="2381" w:val="left" w:leader="none"/>
        </w:tabs>
        <w:spacing w:line="242" w:lineRule="auto" w:before="126" w:after="0"/>
        <w:ind w:left="2380" w:right="1690" w:hanging="793"/>
        <w:jc w:val="both"/>
        <w:rPr>
          <w:sz w:val="21"/>
        </w:rPr>
      </w:pPr>
      <w:r>
        <w:rPr>
          <w:w w:val="105"/>
          <w:sz w:val="21"/>
        </w:rPr>
        <w:t>In</w:t>
      </w:r>
      <w:r>
        <w:rPr>
          <w:spacing w:val="-9"/>
          <w:w w:val="105"/>
          <w:sz w:val="21"/>
        </w:rPr>
        <w:t> </w:t>
      </w:r>
      <w:r>
        <w:rPr>
          <w:w w:val="105"/>
          <w:sz w:val="21"/>
        </w:rPr>
        <w:t>the</w:t>
      </w:r>
      <w:r>
        <w:rPr>
          <w:spacing w:val="-8"/>
          <w:w w:val="105"/>
          <w:sz w:val="21"/>
        </w:rPr>
        <w:t> </w:t>
      </w:r>
      <w:r>
        <w:rPr>
          <w:w w:val="105"/>
          <w:sz w:val="21"/>
        </w:rPr>
        <w:t>context</w:t>
      </w:r>
      <w:r>
        <w:rPr>
          <w:spacing w:val="-8"/>
          <w:w w:val="105"/>
          <w:sz w:val="21"/>
        </w:rPr>
        <w:t> </w:t>
      </w:r>
      <w:r>
        <w:rPr>
          <w:w w:val="105"/>
          <w:sz w:val="21"/>
        </w:rPr>
        <w:t>of</w:t>
      </w:r>
      <w:r>
        <w:rPr>
          <w:spacing w:val="-8"/>
          <w:w w:val="105"/>
          <w:sz w:val="21"/>
        </w:rPr>
        <w:t> </w:t>
      </w:r>
      <w:r>
        <w:rPr>
          <w:w w:val="105"/>
          <w:sz w:val="21"/>
        </w:rPr>
        <w:t>tree</w:t>
      </w:r>
      <w:r>
        <w:rPr>
          <w:spacing w:val="-8"/>
          <w:w w:val="105"/>
          <w:sz w:val="21"/>
        </w:rPr>
        <w:t> </w:t>
      </w:r>
      <w:r>
        <w:rPr>
          <w:spacing w:val="-3"/>
          <w:w w:val="105"/>
          <w:sz w:val="21"/>
        </w:rPr>
        <w:t>disputes,</w:t>
      </w:r>
      <w:r>
        <w:rPr>
          <w:spacing w:val="-8"/>
          <w:w w:val="105"/>
          <w:sz w:val="21"/>
        </w:rPr>
        <w:t> </w:t>
      </w:r>
      <w:r>
        <w:rPr>
          <w:spacing w:val="-3"/>
          <w:w w:val="105"/>
          <w:sz w:val="21"/>
        </w:rPr>
        <w:t>nuisance</w:t>
      </w:r>
      <w:r>
        <w:rPr>
          <w:spacing w:val="-8"/>
          <w:w w:val="105"/>
          <w:sz w:val="21"/>
        </w:rPr>
        <w:t> </w:t>
      </w:r>
      <w:r>
        <w:rPr>
          <w:w w:val="105"/>
          <w:sz w:val="21"/>
        </w:rPr>
        <w:t>can</w:t>
      </w:r>
      <w:r>
        <w:rPr>
          <w:spacing w:val="-8"/>
          <w:w w:val="105"/>
          <w:sz w:val="21"/>
        </w:rPr>
        <w:t> </w:t>
      </w:r>
      <w:r>
        <w:rPr>
          <w:spacing w:val="-3"/>
          <w:w w:val="105"/>
          <w:sz w:val="21"/>
        </w:rPr>
        <w:t>cover</w:t>
      </w:r>
      <w:r>
        <w:rPr>
          <w:spacing w:val="-8"/>
          <w:w w:val="105"/>
          <w:sz w:val="21"/>
        </w:rPr>
        <w:t> </w:t>
      </w:r>
      <w:r>
        <w:rPr>
          <w:spacing w:val="-3"/>
          <w:w w:val="105"/>
          <w:sz w:val="21"/>
        </w:rPr>
        <w:t>situations</w:t>
      </w:r>
      <w:r>
        <w:rPr>
          <w:spacing w:val="-8"/>
          <w:w w:val="105"/>
          <w:sz w:val="21"/>
        </w:rPr>
        <w:t> </w:t>
      </w:r>
      <w:r>
        <w:rPr>
          <w:w w:val="105"/>
          <w:sz w:val="21"/>
        </w:rPr>
        <w:t>where</w:t>
      </w:r>
      <w:r>
        <w:rPr>
          <w:spacing w:val="-8"/>
          <w:w w:val="105"/>
          <w:sz w:val="21"/>
        </w:rPr>
        <w:t> </w:t>
      </w:r>
      <w:r>
        <w:rPr>
          <w:w w:val="105"/>
          <w:sz w:val="21"/>
        </w:rPr>
        <w:t>a</w:t>
      </w:r>
      <w:r>
        <w:rPr>
          <w:spacing w:val="-8"/>
          <w:w w:val="105"/>
          <w:sz w:val="21"/>
        </w:rPr>
        <w:t> </w:t>
      </w:r>
      <w:r>
        <w:rPr>
          <w:w w:val="105"/>
          <w:sz w:val="21"/>
        </w:rPr>
        <w:t>tree</w:t>
      </w:r>
      <w:r>
        <w:rPr>
          <w:spacing w:val="-8"/>
          <w:w w:val="105"/>
          <w:sz w:val="21"/>
        </w:rPr>
        <w:t> </w:t>
      </w:r>
      <w:r>
        <w:rPr>
          <w:w w:val="105"/>
          <w:sz w:val="21"/>
        </w:rPr>
        <w:t>encroaches</w:t>
      </w:r>
      <w:r>
        <w:rPr>
          <w:spacing w:val="-8"/>
          <w:w w:val="105"/>
          <w:sz w:val="21"/>
        </w:rPr>
        <w:t> </w:t>
      </w:r>
      <w:r>
        <w:rPr>
          <w:w w:val="105"/>
          <w:sz w:val="21"/>
        </w:rPr>
        <w:t>on </w:t>
      </w:r>
      <w:r>
        <w:rPr>
          <w:spacing w:val="-3"/>
          <w:w w:val="105"/>
          <w:sz w:val="21"/>
        </w:rPr>
        <w:t>neighbouring </w:t>
      </w:r>
      <w:r>
        <w:rPr>
          <w:w w:val="105"/>
          <w:sz w:val="21"/>
        </w:rPr>
        <w:t>land,</w:t>
      </w:r>
      <w:r>
        <w:rPr>
          <w:w w:val="105"/>
          <w:position w:val="7"/>
          <w:sz w:val="12"/>
        </w:rPr>
        <w:t>54 </w:t>
      </w:r>
      <w:r>
        <w:rPr>
          <w:w w:val="105"/>
          <w:sz w:val="21"/>
        </w:rPr>
        <w:t>causes physical damage </w:t>
      </w:r>
      <w:r>
        <w:rPr>
          <w:spacing w:val="-3"/>
          <w:w w:val="105"/>
          <w:sz w:val="21"/>
        </w:rPr>
        <w:t>to neighbouring land, </w:t>
      </w:r>
      <w:r>
        <w:rPr>
          <w:w w:val="105"/>
          <w:sz w:val="21"/>
        </w:rPr>
        <w:t>or </w:t>
      </w:r>
      <w:r>
        <w:rPr>
          <w:spacing w:val="-3"/>
          <w:w w:val="105"/>
          <w:sz w:val="21"/>
        </w:rPr>
        <w:t>interferes </w:t>
      </w:r>
      <w:r>
        <w:rPr>
          <w:w w:val="105"/>
          <w:sz w:val="21"/>
        </w:rPr>
        <w:t>with the comfortable and </w:t>
      </w:r>
      <w:r>
        <w:rPr>
          <w:spacing w:val="-3"/>
          <w:w w:val="105"/>
          <w:sz w:val="21"/>
        </w:rPr>
        <w:t>convenient </w:t>
      </w:r>
      <w:r>
        <w:rPr>
          <w:w w:val="105"/>
          <w:sz w:val="21"/>
        </w:rPr>
        <w:t>enjoyment’ of a </w:t>
      </w:r>
      <w:r>
        <w:rPr>
          <w:spacing w:val="-3"/>
          <w:w w:val="105"/>
          <w:sz w:val="21"/>
        </w:rPr>
        <w:t>person’s</w:t>
      </w:r>
      <w:r>
        <w:rPr>
          <w:spacing w:val="30"/>
          <w:w w:val="105"/>
          <w:sz w:val="21"/>
        </w:rPr>
        <w:t> </w:t>
      </w:r>
      <w:r>
        <w:rPr>
          <w:spacing w:val="-4"/>
          <w:w w:val="105"/>
          <w:sz w:val="21"/>
        </w:rPr>
        <w:t>land.</w:t>
      </w:r>
      <w:r>
        <w:rPr>
          <w:spacing w:val="-4"/>
          <w:w w:val="105"/>
          <w:position w:val="7"/>
          <w:sz w:val="12"/>
        </w:rPr>
        <w:t>55</w:t>
      </w:r>
    </w:p>
    <w:p>
      <w:pPr>
        <w:pStyle w:val="ListParagraph"/>
        <w:numPr>
          <w:ilvl w:val="1"/>
          <w:numId w:val="16"/>
        </w:numPr>
        <w:tabs>
          <w:tab w:pos="2381" w:val="left" w:leader="none"/>
        </w:tabs>
        <w:spacing w:line="242" w:lineRule="auto" w:before="123" w:after="0"/>
        <w:ind w:left="2381" w:right="1744" w:hanging="794"/>
        <w:jc w:val="both"/>
        <w:rPr>
          <w:sz w:val="21"/>
        </w:rPr>
      </w:pPr>
      <w:r>
        <w:rPr>
          <w:sz w:val="21"/>
        </w:rPr>
        <w:t>Nuisance </w:t>
      </w:r>
      <w:r>
        <w:rPr>
          <w:spacing w:val="-3"/>
          <w:sz w:val="21"/>
        </w:rPr>
        <w:t>claims </w:t>
      </w:r>
      <w:r>
        <w:rPr>
          <w:sz w:val="21"/>
        </w:rPr>
        <w:t>in tree </w:t>
      </w:r>
      <w:r>
        <w:rPr>
          <w:spacing w:val="-3"/>
          <w:sz w:val="21"/>
        </w:rPr>
        <w:t>disputes are </w:t>
      </w:r>
      <w:r>
        <w:rPr>
          <w:sz w:val="21"/>
        </w:rPr>
        <w:t>often a </w:t>
      </w:r>
      <w:r>
        <w:rPr>
          <w:spacing w:val="-3"/>
          <w:sz w:val="21"/>
        </w:rPr>
        <w:t>balancing exercise </w:t>
      </w:r>
      <w:r>
        <w:rPr>
          <w:sz w:val="21"/>
        </w:rPr>
        <w:t>between the tree </w:t>
      </w:r>
      <w:r>
        <w:rPr>
          <w:spacing w:val="-3"/>
          <w:sz w:val="21"/>
        </w:rPr>
        <w:t>owner’s right to </w:t>
      </w:r>
      <w:r>
        <w:rPr>
          <w:sz w:val="21"/>
        </w:rPr>
        <w:t>enjoy and use their </w:t>
      </w:r>
      <w:r>
        <w:rPr>
          <w:spacing w:val="-3"/>
          <w:sz w:val="21"/>
        </w:rPr>
        <w:t>land </w:t>
      </w:r>
      <w:r>
        <w:rPr>
          <w:sz w:val="21"/>
        </w:rPr>
        <w:t>in </w:t>
      </w:r>
      <w:r>
        <w:rPr>
          <w:spacing w:val="-3"/>
          <w:sz w:val="21"/>
        </w:rPr>
        <w:t>any </w:t>
      </w:r>
      <w:r>
        <w:rPr>
          <w:sz w:val="21"/>
        </w:rPr>
        <w:t>lawful </w:t>
      </w:r>
      <w:r>
        <w:rPr>
          <w:spacing w:val="-3"/>
          <w:sz w:val="21"/>
        </w:rPr>
        <w:t>manner that </w:t>
      </w:r>
      <w:r>
        <w:rPr>
          <w:sz w:val="21"/>
        </w:rPr>
        <w:t>they see fit, and the affected </w:t>
      </w:r>
      <w:r>
        <w:rPr>
          <w:spacing w:val="-3"/>
          <w:sz w:val="21"/>
        </w:rPr>
        <w:t>neighbour’s right to </w:t>
      </w:r>
      <w:r>
        <w:rPr>
          <w:sz w:val="21"/>
        </w:rPr>
        <w:t>use and enjoy their </w:t>
      </w:r>
      <w:r>
        <w:rPr>
          <w:spacing w:val="-3"/>
          <w:sz w:val="21"/>
        </w:rPr>
        <w:t>land </w:t>
      </w:r>
      <w:r>
        <w:rPr>
          <w:sz w:val="21"/>
        </w:rPr>
        <w:t>without </w:t>
      </w:r>
      <w:r>
        <w:rPr>
          <w:spacing w:val="-3"/>
          <w:sz w:val="21"/>
        </w:rPr>
        <w:t>unreasonable</w:t>
      </w:r>
      <w:r>
        <w:rPr>
          <w:spacing w:val="11"/>
          <w:sz w:val="21"/>
        </w:rPr>
        <w:t> </w:t>
      </w:r>
      <w:r>
        <w:rPr>
          <w:spacing w:val="-3"/>
          <w:sz w:val="21"/>
        </w:rPr>
        <w:t>interference.</w:t>
      </w:r>
      <w:r>
        <w:rPr>
          <w:spacing w:val="-3"/>
          <w:position w:val="7"/>
          <w:sz w:val="12"/>
        </w:rPr>
        <w:t>56</w:t>
      </w:r>
    </w:p>
    <w:p>
      <w:pPr>
        <w:pStyle w:val="ListParagraph"/>
        <w:numPr>
          <w:ilvl w:val="1"/>
          <w:numId w:val="16"/>
        </w:numPr>
        <w:tabs>
          <w:tab w:pos="2380" w:val="left" w:leader="none"/>
          <w:tab w:pos="2381" w:val="left" w:leader="none"/>
        </w:tabs>
        <w:spacing w:line="242" w:lineRule="auto" w:before="123" w:after="0"/>
        <w:ind w:left="2381" w:right="1657" w:hanging="794"/>
        <w:jc w:val="left"/>
        <w:rPr>
          <w:sz w:val="21"/>
        </w:rPr>
      </w:pPr>
      <w:r>
        <w:rPr>
          <w:w w:val="105"/>
          <w:sz w:val="21"/>
        </w:rPr>
        <w:t>In order </w:t>
      </w:r>
      <w:r>
        <w:rPr>
          <w:spacing w:val="-3"/>
          <w:w w:val="105"/>
          <w:sz w:val="21"/>
        </w:rPr>
        <w:t>for </w:t>
      </w:r>
      <w:r>
        <w:rPr>
          <w:w w:val="105"/>
          <w:sz w:val="21"/>
        </w:rPr>
        <w:t>an affected </w:t>
      </w:r>
      <w:r>
        <w:rPr>
          <w:spacing w:val="-3"/>
          <w:w w:val="105"/>
          <w:sz w:val="21"/>
        </w:rPr>
        <w:t>neighbour to take </w:t>
      </w:r>
      <w:r>
        <w:rPr>
          <w:w w:val="105"/>
          <w:sz w:val="21"/>
        </w:rPr>
        <w:t>legal action </w:t>
      </w:r>
      <w:r>
        <w:rPr>
          <w:spacing w:val="-3"/>
          <w:w w:val="105"/>
          <w:sz w:val="21"/>
        </w:rPr>
        <w:t>for unreasonable interference </w:t>
      </w:r>
      <w:r>
        <w:rPr>
          <w:w w:val="105"/>
          <w:sz w:val="21"/>
        </w:rPr>
        <w:t>with the use and </w:t>
      </w:r>
      <w:r>
        <w:rPr>
          <w:spacing w:val="-2"/>
          <w:w w:val="105"/>
          <w:sz w:val="21"/>
        </w:rPr>
        <w:t>enjoyment </w:t>
      </w:r>
      <w:r>
        <w:rPr>
          <w:w w:val="105"/>
          <w:sz w:val="21"/>
        </w:rPr>
        <w:t>of their </w:t>
      </w:r>
      <w:r>
        <w:rPr>
          <w:spacing w:val="-3"/>
          <w:w w:val="105"/>
          <w:sz w:val="21"/>
        </w:rPr>
        <w:t>land, </w:t>
      </w:r>
      <w:r>
        <w:rPr>
          <w:w w:val="105"/>
          <w:sz w:val="21"/>
        </w:rPr>
        <w:t>they must be in actual and </w:t>
      </w:r>
      <w:r>
        <w:rPr>
          <w:spacing w:val="-3"/>
          <w:w w:val="105"/>
          <w:sz w:val="21"/>
        </w:rPr>
        <w:t>exclusive </w:t>
      </w:r>
      <w:r>
        <w:rPr>
          <w:w w:val="105"/>
          <w:sz w:val="21"/>
        </w:rPr>
        <w:t>possession of the</w:t>
      </w:r>
      <w:r>
        <w:rPr>
          <w:spacing w:val="5"/>
          <w:w w:val="105"/>
          <w:sz w:val="21"/>
        </w:rPr>
        <w:t> </w:t>
      </w:r>
      <w:r>
        <w:rPr>
          <w:spacing w:val="-3"/>
          <w:w w:val="105"/>
          <w:sz w:val="21"/>
        </w:rPr>
        <w:t>land.</w:t>
      </w:r>
      <w:r>
        <w:rPr>
          <w:spacing w:val="-3"/>
          <w:w w:val="105"/>
          <w:position w:val="7"/>
          <w:sz w:val="12"/>
        </w:rPr>
        <w:t>57</w:t>
      </w:r>
    </w:p>
    <w:p>
      <w:pPr>
        <w:pStyle w:val="ListParagraph"/>
        <w:numPr>
          <w:ilvl w:val="1"/>
          <w:numId w:val="16"/>
        </w:numPr>
        <w:tabs>
          <w:tab w:pos="2381" w:val="left" w:leader="none"/>
          <w:tab w:pos="2382" w:val="left" w:leader="none"/>
        </w:tabs>
        <w:spacing w:line="242" w:lineRule="auto" w:before="124" w:after="0"/>
        <w:ind w:left="2381" w:right="1733" w:hanging="794"/>
        <w:jc w:val="left"/>
        <w:rPr>
          <w:sz w:val="21"/>
        </w:rPr>
      </w:pPr>
      <w:r>
        <w:rPr>
          <w:spacing w:val="-3"/>
          <w:w w:val="105"/>
          <w:sz w:val="21"/>
        </w:rPr>
        <w:t>Unreasonable interference </w:t>
      </w:r>
      <w:r>
        <w:rPr>
          <w:w w:val="105"/>
          <w:sz w:val="21"/>
        </w:rPr>
        <w:t>with the use and </w:t>
      </w:r>
      <w:r>
        <w:rPr>
          <w:spacing w:val="-2"/>
          <w:w w:val="105"/>
          <w:sz w:val="21"/>
        </w:rPr>
        <w:t>enjoyment </w:t>
      </w:r>
      <w:r>
        <w:rPr>
          <w:w w:val="105"/>
          <w:sz w:val="21"/>
        </w:rPr>
        <w:t>of </w:t>
      </w:r>
      <w:r>
        <w:rPr>
          <w:spacing w:val="-3"/>
          <w:w w:val="105"/>
          <w:sz w:val="21"/>
        </w:rPr>
        <w:t>land </w:t>
      </w:r>
      <w:r>
        <w:rPr>
          <w:spacing w:val="-2"/>
          <w:w w:val="105"/>
          <w:sz w:val="21"/>
        </w:rPr>
        <w:t>has </w:t>
      </w:r>
      <w:r>
        <w:rPr>
          <w:w w:val="105"/>
          <w:sz w:val="21"/>
        </w:rPr>
        <w:t>been described as </w:t>
      </w:r>
      <w:r>
        <w:rPr>
          <w:spacing w:val="-3"/>
          <w:w w:val="105"/>
          <w:sz w:val="21"/>
        </w:rPr>
        <w:t>occurring </w:t>
      </w:r>
      <w:r>
        <w:rPr>
          <w:w w:val="105"/>
          <w:sz w:val="21"/>
        </w:rPr>
        <w:t>when </w:t>
      </w:r>
      <w:r>
        <w:rPr>
          <w:spacing w:val="-3"/>
          <w:w w:val="105"/>
          <w:sz w:val="21"/>
        </w:rPr>
        <w:t>substantial </w:t>
      </w:r>
      <w:r>
        <w:rPr>
          <w:w w:val="105"/>
          <w:sz w:val="21"/>
        </w:rPr>
        <w:t>and </w:t>
      </w:r>
      <w:r>
        <w:rPr>
          <w:spacing w:val="-3"/>
          <w:w w:val="105"/>
          <w:sz w:val="21"/>
        </w:rPr>
        <w:t>unreasonable </w:t>
      </w:r>
      <w:r>
        <w:rPr>
          <w:spacing w:val="-5"/>
          <w:w w:val="105"/>
          <w:sz w:val="21"/>
        </w:rPr>
        <w:t>‘annoyance, </w:t>
      </w:r>
      <w:r>
        <w:rPr>
          <w:w w:val="105"/>
          <w:sz w:val="21"/>
        </w:rPr>
        <w:t>or discomfort’ is caused.</w:t>
      </w:r>
      <w:r>
        <w:rPr>
          <w:w w:val="105"/>
          <w:position w:val="7"/>
          <w:sz w:val="12"/>
        </w:rPr>
        <w:t>58</w:t>
      </w:r>
      <w:r>
        <w:rPr>
          <w:w w:val="105"/>
          <w:sz w:val="12"/>
        </w:rPr>
        <w:t> </w:t>
      </w:r>
      <w:r>
        <w:rPr>
          <w:w w:val="105"/>
          <w:sz w:val="21"/>
        </w:rPr>
        <w:t>This is judged </w:t>
      </w:r>
      <w:r>
        <w:rPr>
          <w:spacing w:val="-3"/>
          <w:w w:val="105"/>
          <w:sz w:val="21"/>
        </w:rPr>
        <w:t>against </w:t>
      </w:r>
      <w:r>
        <w:rPr>
          <w:w w:val="105"/>
          <w:sz w:val="21"/>
        </w:rPr>
        <w:t>the </w:t>
      </w:r>
      <w:r>
        <w:rPr>
          <w:spacing w:val="-2"/>
          <w:w w:val="105"/>
          <w:sz w:val="21"/>
        </w:rPr>
        <w:t>common </w:t>
      </w:r>
      <w:r>
        <w:rPr>
          <w:w w:val="105"/>
          <w:sz w:val="21"/>
        </w:rPr>
        <w:t>law standard of a </w:t>
      </w:r>
      <w:r>
        <w:rPr>
          <w:spacing w:val="-3"/>
          <w:w w:val="105"/>
          <w:sz w:val="21"/>
        </w:rPr>
        <w:t>‘reasonable </w:t>
      </w:r>
      <w:r>
        <w:rPr>
          <w:spacing w:val="-5"/>
          <w:w w:val="105"/>
          <w:sz w:val="21"/>
        </w:rPr>
        <w:t>user’, </w:t>
      </w:r>
      <w:r>
        <w:rPr>
          <w:w w:val="105"/>
          <w:sz w:val="21"/>
        </w:rPr>
        <w:t>which </w:t>
      </w:r>
      <w:r>
        <w:rPr>
          <w:spacing w:val="-3"/>
          <w:w w:val="105"/>
          <w:sz w:val="21"/>
        </w:rPr>
        <w:t>requires that</w:t>
      </w:r>
      <w:r>
        <w:rPr>
          <w:spacing w:val="-8"/>
          <w:w w:val="105"/>
          <w:sz w:val="21"/>
        </w:rPr>
        <w:t> </w:t>
      </w:r>
      <w:r>
        <w:rPr>
          <w:spacing w:val="-3"/>
          <w:w w:val="105"/>
          <w:sz w:val="21"/>
        </w:rPr>
        <w:t>any</w:t>
      </w:r>
      <w:r>
        <w:rPr>
          <w:spacing w:val="-8"/>
          <w:w w:val="105"/>
          <w:sz w:val="21"/>
        </w:rPr>
        <w:t> </w:t>
      </w:r>
      <w:r>
        <w:rPr>
          <w:spacing w:val="-3"/>
          <w:w w:val="105"/>
          <w:sz w:val="21"/>
        </w:rPr>
        <w:t>minor</w:t>
      </w:r>
      <w:r>
        <w:rPr>
          <w:spacing w:val="-8"/>
          <w:w w:val="105"/>
          <w:sz w:val="21"/>
        </w:rPr>
        <w:t> </w:t>
      </w:r>
      <w:r>
        <w:rPr>
          <w:w w:val="105"/>
          <w:sz w:val="21"/>
        </w:rPr>
        <w:t>or</w:t>
      </w:r>
      <w:r>
        <w:rPr>
          <w:spacing w:val="-8"/>
          <w:w w:val="105"/>
          <w:sz w:val="21"/>
        </w:rPr>
        <w:t> </w:t>
      </w:r>
      <w:r>
        <w:rPr>
          <w:w w:val="105"/>
          <w:sz w:val="21"/>
        </w:rPr>
        <w:t>trifling</w:t>
      </w:r>
      <w:r>
        <w:rPr>
          <w:spacing w:val="-8"/>
          <w:w w:val="105"/>
          <w:sz w:val="21"/>
        </w:rPr>
        <w:t> </w:t>
      </w:r>
      <w:r>
        <w:rPr>
          <w:spacing w:val="-3"/>
          <w:w w:val="105"/>
          <w:sz w:val="21"/>
        </w:rPr>
        <w:t>interference</w:t>
      </w:r>
      <w:r>
        <w:rPr>
          <w:spacing w:val="-8"/>
          <w:w w:val="105"/>
          <w:sz w:val="21"/>
        </w:rPr>
        <w:t> </w:t>
      </w:r>
      <w:r>
        <w:rPr>
          <w:spacing w:val="-3"/>
          <w:w w:val="105"/>
          <w:sz w:val="21"/>
        </w:rPr>
        <w:t>will</w:t>
      </w:r>
      <w:r>
        <w:rPr>
          <w:spacing w:val="-8"/>
          <w:w w:val="105"/>
          <w:sz w:val="21"/>
        </w:rPr>
        <w:t> </w:t>
      </w:r>
      <w:r>
        <w:rPr>
          <w:w w:val="105"/>
          <w:sz w:val="21"/>
        </w:rPr>
        <w:t>be</w:t>
      </w:r>
      <w:r>
        <w:rPr>
          <w:spacing w:val="-8"/>
          <w:w w:val="105"/>
          <w:sz w:val="21"/>
        </w:rPr>
        <w:t> </w:t>
      </w:r>
      <w:r>
        <w:rPr>
          <w:spacing w:val="-3"/>
          <w:w w:val="105"/>
          <w:sz w:val="21"/>
        </w:rPr>
        <w:t>considered</w:t>
      </w:r>
      <w:r>
        <w:rPr>
          <w:spacing w:val="-8"/>
          <w:w w:val="105"/>
          <w:sz w:val="21"/>
        </w:rPr>
        <w:t> </w:t>
      </w:r>
      <w:r>
        <w:rPr>
          <w:w w:val="105"/>
          <w:sz w:val="21"/>
        </w:rPr>
        <w:t>part</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w w:val="105"/>
          <w:sz w:val="21"/>
        </w:rPr>
        <w:t>ordinary</w:t>
      </w:r>
      <w:r>
        <w:rPr>
          <w:spacing w:val="-8"/>
          <w:w w:val="105"/>
          <w:sz w:val="21"/>
        </w:rPr>
        <w:t> </w:t>
      </w:r>
      <w:r>
        <w:rPr>
          <w:w w:val="105"/>
          <w:sz w:val="21"/>
        </w:rPr>
        <w:t>neighbourly </w:t>
      </w:r>
      <w:r>
        <w:rPr>
          <w:spacing w:val="-3"/>
          <w:w w:val="105"/>
          <w:sz w:val="21"/>
        </w:rPr>
        <w:t>exchange </w:t>
      </w:r>
      <w:r>
        <w:rPr>
          <w:w w:val="105"/>
          <w:sz w:val="21"/>
        </w:rPr>
        <w:t>of </w:t>
      </w:r>
      <w:r>
        <w:rPr>
          <w:spacing w:val="-4"/>
          <w:w w:val="105"/>
          <w:sz w:val="21"/>
        </w:rPr>
        <w:t>‘give </w:t>
      </w:r>
      <w:r>
        <w:rPr>
          <w:w w:val="105"/>
          <w:sz w:val="21"/>
        </w:rPr>
        <w:t>and </w:t>
      </w:r>
      <w:r>
        <w:rPr>
          <w:spacing w:val="-4"/>
          <w:w w:val="105"/>
          <w:sz w:val="21"/>
        </w:rPr>
        <w:t>take, </w:t>
      </w:r>
      <w:r>
        <w:rPr>
          <w:w w:val="105"/>
          <w:sz w:val="21"/>
        </w:rPr>
        <w:t>live and let</w:t>
      </w:r>
      <w:r>
        <w:rPr>
          <w:spacing w:val="1"/>
          <w:w w:val="105"/>
          <w:sz w:val="21"/>
        </w:rPr>
        <w:t> </w:t>
      </w:r>
      <w:r>
        <w:rPr>
          <w:spacing w:val="-5"/>
          <w:w w:val="105"/>
          <w:sz w:val="21"/>
        </w:rPr>
        <w:t>live’.</w:t>
      </w:r>
      <w:r>
        <w:rPr>
          <w:spacing w:val="-5"/>
          <w:w w:val="105"/>
          <w:position w:val="7"/>
          <w:sz w:val="12"/>
        </w:rPr>
        <w:t>59</w:t>
      </w:r>
    </w:p>
    <w:p>
      <w:pPr>
        <w:pStyle w:val="ListParagraph"/>
        <w:numPr>
          <w:ilvl w:val="1"/>
          <w:numId w:val="16"/>
        </w:numPr>
        <w:tabs>
          <w:tab w:pos="2381" w:val="left" w:leader="none"/>
          <w:tab w:pos="2382" w:val="left" w:leader="none"/>
        </w:tabs>
        <w:spacing w:line="240" w:lineRule="auto" w:before="125" w:after="0"/>
        <w:ind w:left="2381" w:right="0" w:hanging="794"/>
        <w:jc w:val="left"/>
        <w:rPr>
          <w:sz w:val="21"/>
        </w:rPr>
      </w:pPr>
      <w:r>
        <w:rPr>
          <w:spacing w:val="-3"/>
          <w:sz w:val="21"/>
        </w:rPr>
        <w:t>Barker </w:t>
      </w:r>
      <w:r>
        <w:rPr>
          <w:sz w:val="21"/>
        </w:rPr>
        <w:t>et al explain this as</w:t>
      </w:r>
      <w:r>
        <w:rPr>
          <w:spacing w:val="4"/>
          <w:sz w:val="21"/>
        </w:rPr>
        <w:t> </w:t>
      </w:r>
      <w:r>
        <w:rPr>
          <w:sz w:val="21"/>
        </w:rPr>
        <w:t>follows:</w:t>
      </w:r>
    </w:p>
    <w:p>
      <w:pPr>
        <w:spacing w:line="254" w:lineRule="auto" w:before="133"/>
        <w:ind w:left="2834" w:right="1810" w:firstLine="0"/>
        <w:jc w:val="left"/>
        <w:rPr>
          <w:sz w:val="11"/>
        </w:rPr>
      </w:pPr>
      <w:r>
        <w:rPr>
          <w:w w:val="105"/>
          <w:sz w:val="20"/>
        </w:rPr>
        <w:t>when</w:t>
      </w:r>
      <w:r>
        <w:rPr>
          <w:spacing w:val="-9"/>
          <w:w w:val="105"/>
          <w:sz w:val="20"/>
        </w:rPr>
        <w:t> </w:t>
      </w:r>
      <w:r>
        <w:rPr>
          <w:w w:val="105"/>
          <w:sz w:val="20"/>
        </w:rPr>
        <w:t>people</w:t>
      </w:r>
      <w:r>
        <w:rPr>
          <w:spacing w:val="-9"/>
          <w:w w:val="105"/>
          <w:sz w:val="20"/>
        </w:rPr>
        <w:t> </w:t>
      </w:r>
      <w:r>
        <w:rPr>
          <w:w w:val="105"/>
          <w:sz w:val="20"/>
        </w:rPr>
        <w:t>live</w:t>
      </w:r>
      <w:r>
        <w:rPr>
          <w:spacing w:val="-8"/>
          <w:w w:val="105"/>
          <w:sz w:val="20"/>
        </w:rPr>
        <w:t> </w:t>
      </w:r>
      <w:r>
        <w:rPr>
          <w:w w:val="105"/>
          <w:sz w:val="20"/>
        </w:rPr>
        <w:t>in</w:t>
      </w:r>
      <w:r>
        <w:rPr>
          <w:spacing w:val="-9"/>
          <w:w w:val="105"/>
          <w:sz w:val="20"/>
        </w:rPr>
        <w:t> </w:t>
      </w:r>
      <w:r>
        <w:rPr>
          <w:w w:val="105"/>
          <w:sz w:val="20"/>
        </w:rPr>
        <w:t>close</w:t>
      </w:r>
      <w:r>
        <w:rPr>
          <w:spacing w:val="-8"/>
          <w:w w:val="105"/>
          <w:sz w:val="20"/>
        </w:rPr>
        <w:t> </w:t>
      </w:r>
      <w:r>
        <w:rPr>
          <w:w w:val="105"/>
          <w:sz w:val="20"/>
        </w:rPr>
        <w:t>proximity</w:t>
      </w:r>
      <w:r>
        <w:rPr>
          <w:spacing w:val="-9"/>
          <w:w w:val="105"/>
          <w:sz w:val="20"/>
        </w:rPr>
        <w:t> </w:t>
      </w:r>
      <w:r>
        <w:rPr>
          <w:w w:val="105"/>
          <w:sz w:val="20"/>
        </w:rPr>
        <w:t>to</w:t>
      </w:r>
      <w:r>
        <w:rPr>
          <w:spacing w:val="-8"/>
          <w:w w:val="105"/>
          <w:sz w:val="20"/>
        </w:rPr>
        <w:t> </w:t>
      </w:r>
      <w:r>
        <w:rPr>
          <w:w w:val="105"/>
          <w:sz w:val="20"/>
        </w:rPr>
        <w:t>one</w:t>
      </w:r>
      <w:r>
        <w:rPr>
          <w:spacing w:val="-9"/>
          <w:w w:val="105"/>
          <w:sz w:val="20"/>
        </w:rPr>
        <w:t> </w:t>
      </w:r>
      <w:r>
        <w:rPr>
          <w:w w:val="105"/>
          <w:sz w:val="20"/>
        </w:rPr>
        <w:t>another</w:t>
      </w:r>
      <w:r>
        <w:rPr>
          <w:spacing w:val="-8"/>
          <w:w w:val="105"/>
          <w:sz w:val="20"/>
        </w:rPr>
        <w:t> </w:t>
      </w:r>
      <w:r>
        <w:rPr>
          <w:w w:val="105"/>
          <w:sz w:val="20"/>
        </w:rPr>
        <w:t>they</w:t>
      </w:r>
      <w:r>
        <w:rPr>
          <w:spacing w:val="-9"/>
          <w:w w:val="105"/>
          <w:sz w:val="20"/>
        </w:rPr>
        <w:t> </w:t>
      </w:r>
      <w:r>
        <w:rPr>
          <w:spacing w:val="-3"/>
          <w:w w:val="105"/>
          <w:sz w:val="20"/>
        </w:rPr>
        <w:t>have</w:t>
      </w:r>
      <w:r>
        <w:rPr>
          <w:spacing w:val="-8"/>
          <w:w w:val="105"/>
          <w:sz w:val="20"/>
        </w:rPr>
        <w:t> </w:t>
      </w:r>
      <w:r>
        <w:rPr>
          <w:w w:val="105"/>
          <w:sz w:val="20"/>
        </w:rPr>
        <w:t>to</w:t>
      </w:r>
      <w:r>
        <w:rPr>
          <w:spacing w:val="-9"/>
          <w:w w:val="105"/>
          <w:sz w:val="20"/>
        </w:rPr>
        <w:t> </w:t>
      </w:r>
      <w:r>
        <w:rPr>
          <w:w w:val="105"/>
          <w:sz w:val="20"/>
        </w:rPr>
        <w:t>be</w:t>
      </w:r>
      <w:r>
        <w:rPr>
          <w:spacing w:val="-9"/>
          <w:w w:val="105"/>
          <w:sz w:val="20"/>
        </w:rPr>
        <w:t> </w:t>
      </w:r>
      <w:r>
        <w:rPr>
          <w:w w:val="105"/>
          <w:sz w:val="20"/>
        </w:rPr>
        <w:t>prepared,</w:t>
      </w:r>
      <w:r>
        <w:rPr>
          <w:spacing w:val="-8"/>
          <w:w w:val="105"/>
          <w:sz w:val="20"/>
        </w:rPr>
        <w:t> </w:t>
      </w:r>
      <w:r>
        <w:rPr>
          <w:w w:val="105"/>
          <w:sz w:val="20"/>
        </w:rPr>
        <w:t>to</w:t>
      </w:r>
      <w:r>
        <w:rPr>
          <w:spacing w:val="-9"/>
          <w:w w:val="105"/>
          <w:sz w:val="20"/>
        </w:rPr>
        <w:t> </w:t>
      </w:r>
      <w:r>
        <w:rPr>
          <w:w w:val="105"/>
          <w:sz w:val="20"/>
        </w:rPr>
        <w:t>some extent,</w:t>
      </w:r>
      <w:r>
        <w:rPr>
          <w:spacing w:val="-7"/>
          <w:w w:val="105"/>
          <w:sz w:val="20"/>
        </w:rPr>
        <w:t> </w:t>
      </w:r>
      <w:r>
        <w:rPr>
          <w:w w:val="105"/>
          <w:sz w:val="20"/>
        </w:rPr>
        <w:t>to</w:t>
      </w:r>
      <w:r>
        <w:rPr>
          <w:spacing w:val="-7"/>
          <w:w w:val="105"/>
          <w:sz w:val="20"/>
        </w:rPr>
        <w:t> </w:t>
      </w:r>
      <w:r>
        <w:rPr>
          <w:w w:val="105"/>
          <w:sz w:val="20"/>
        </w:rPr>
        <w:t>allow</w:t>
      </w:r>
      <w:r>
        <w:rPr>
          <w:spacing w:val="-6"/>
          <w:w w:val="105"/>
          <w:sz w:val="20"/>
        </w:rPr>
        <w:t> </w:t>
      </w:r>
      <w:r>
        <w:rPr>
          <w:w w:val="105"/>
          <w:sz w:val="20"/>
        </w:rPr>
        <w:t>others</w:t>
      </w:r>
      <w:r>
        <w:rPr>
          <w:spacing w:val="-7"/>
          <w:w w:val="105"/>
          <w:sz w:val="20"/>
        </w:rPr>
        <w:t> </w:t>
      </w:r>
      <w:r>
        <w:rPr>
          <w:w w:val="105"/>
          <w:sz w:val="20"/>
        </w:rPr>
        <w:t>to</w:t>
      </w:r>
      <w:r>
        <w:rPr>
          <w:spacing w:val="-6"/>
          <w:w w:val="105"/>
          <w:sz w:val="20"/>
        </w:rPr>
        <w:t> </w:t>
      </w:r>
      <w:r>
        <w:rPr>
          <w:w w:val="105"/>
          <w:sz w:val="20"/>
        </w:rPr>
        <w:t>do</w:t>
      </w:r>
      <w:r>
        <w:rPr>
          <w:spacing w:val="-7"/>
          <w:w w:val="105"/>
          <w:sz w:val="20"/>
        </w:rPr>
        <w:t> </w:t>
      </w:r>
      <w:r>
        <w:rPr>
          <w:w w:val="105"/>
          <w:sz w:val="20"/>
        </w:rPr>
        <w:t>things</w:t>
      </w:r>
      <w:r>
        <w:rPr>
          <w:spacing w:val="-6"/>
          <w:w w:val="105"/>
          <w:sz w:val="20"/>
        </w:rPr>
        <w:t> </w:t>
      </w:r>
      <w:r>
        <w:rPr>
          <w:w w:val="105"/>
          <w:sz w:val="20"/>
        </w:rPr>
        <w:t>that</w:t>
      </w:r>
      <w:r>
        <w:rPr>
          <w:spacing w:val="-7"/>
          <w:w w:val="105"/>
          <w:sz w:val="20"/>
        </w:rPr>
        <w:t> </w:t>
      </w:r>
      <w:r>
        <w:rPr>
          <w:w w:val="105"/>
          <w:sz w:val="20"/>
        </w:rPr>
        <w:t>annoy</w:t>
      </w:r>
      <w:r>
        <w:rPr>
          <w:spacing w:val="-6"/>
          <w:w w:val="105"/>
          <w:sz w:val="20"/>
        </w:rPr>
        <w:t> </w:t>
      </w:r>
      <w:r>
        <w:rPr>
          <w:w w:val="105"/>
          <w:sz w:val="20"/>
        </w:rPr>
        <w:t>them</w:t>
      </w:r>
      <w:r>
        <w:rPr>
          <w:spacing w:val="-7"/>
          <w:w w:val="105"/>
          <w:sz w:val="20"/>
        </w:rPr>
        <w:t> </w:t>
      </w:r>
      <w:r>
        <w:rPr>
          <w:w w:val="105"/>
          <w:sz w:val="20"/>
        </w:rPr>
        <w:t>at</w:t>
      </w:r>
      <w:r>
        <w:rPr>
          <w:spacing w:val="-6"/>
          <w:w w:val="105"/>
          <w:sz w:val="20"/>
        </w:rPr>
        <w:t> </w:t>
      </w:r>
      <w:r>
        <w:rPr>
          <w:w w:val="105"/>
          <w:sz w:val="20"/>
        </w:rPr>
        <w:t>times</w:t>
      </w:r>
      <w:r>
        <w:rPr>
          <w:spacing w:val="-7"/>
          <w:w w:val="105"/>
          <w:sz w:val="20"/>
        </w:rPr>
        <w:t> </w:t>
      </w:r>
      <w:r>
        <w:rPr>
          <w:w w:val="105"/>
          <w:sz w:val="20"/>
        </w:rPr>
        <w:t>when</w:t>
      </w:r>
      <w:r>
        <w:rPr>
          <w:spacing w:val="-7"/>
          <w:w w:val="105"/>
          <w:sz w:val="20"/>
        </w:rPr>
        <w:t> </w:t>
      </w:r>
      <w:r>
        <w:rPr>
          <w:w w:val="105"/>
          <w:sz w:val="20"/>
        </w:rPr>
        <w:t>they</w:t>
      </w:r>
      <w:r>
        <w:rPr>
          <w:spacing w:val="-6"/>
          <w:w w:val="105"/>
          <w:sz w:val="20"/>
        </w:rPr>
        <w:t> </w:t>
      </w:r>
      <w:r>
        <w:rPr>
          <w:w w:val="105"/>
          <w:sz w:val="20"/>
        </w:rPr>
        <w:t>would</w:t>
      </w:r>
      <w:r>
        <w:rPr>
          <w:spacing w:val="-7"/>
          <w:w w:val="105"/>
          <w:sz w:val="20"/>
        </w:rPr>
        <w:t> </w:t>
      </w:r>
      <w:r>
        <w:rPr>
          <w:spacing w:val="-3"/>
          <w:w w:val="105"/>
          <w:sz w:val="20"/>
        </w:rPr>
        <w:t>prefer </w:t>
      </w:r>
      <w:r>
        <w:rPr>
          <w:w w:val="105"/>
          <w:sz w:val="20"/>
        </w:rPr>
        <w:t>to be left in peace and quiet if </w:t>
      </w:r>
      <w:r>
        <w:rPr>
          <w:spacing w:val="-4"/>
          <w:w w:val="105"/>
          <w:sz w:val="20"/>
        </w:rPr>
        <w:t>they, </w:t>
      </w:r>
      <w:r>
        <w:rPr>
          <w:w w:val="105"/>
          <w:sz w:val="20"/>
        </w:rPr>
        <w:t>in </w:t>
      </w:r>
      <w:r>
        <w:rPr>
          <w:spacing w:val="-3"/>
          <w:w w:val="105"/>
          <w:sz w:val="20"/>
        </w:rPr>
        <w:t>turn, </w:t>
      </w:r>
      <w:r>
        <w:rPr>
          <w:w w:val="105"/>
          <w:sz w:val="20"/>
        </w:rPr>
        <w:t>want to be able to behave in a way that might</w:t>
      </w:r>
      <w:r>
        <w:rPr>
          <w:spacing w:val="-7"/>
          <w:w w:val="105"/>
          <w:sz w:val="20"/>
        </w:rPr>
        <w:t> </w:t>
      </w:r>
      <w:r>
        <w:rPr>
          <w:w w:val="105"/>
          <w:sz w:val="20"/>
        </w:rPr>
        <w:t>annoy</w:t>
      </w:r>
      <w:r>
        <w:rPr>
          <w:spacing w:val="-6"/>
          <w:w w:val="105"/>
          <w:sz w:val="20"/>
        </w:rPr>
        <w:t> </w:t>
      </w:r>
      <w:r>
        <w:rPr>
          <w:w w:val="105"/>
          <w:sz w:val="20"/>
        </w:rPr>
        <w:t>their</w:t>
      </w:r>
      <w:r>
        <w:rPr>
          <w:spacing w:val="-6"/>
          <w:w w:val="105"/>
          <w:sz w:val="20"/>
        </w:rPr>
        <w:t> </w:t>
      </w:r>
      <w:r>
        <w:rPr>
          <w:w w:val="105"/>
          <w:sz w:val="20"/>
        </w:rPr>
        <w:t>neighbours</w:t>
      </w:r>
      <w:r>
        <w:rPr>
          <w:spacing w:val="-6"/>
          <w:w w:val="105"/>
          <w:sz w:val="20"/>
        </w:rPr>
        <w:t> </w:t>
      </w:r>
      <w:r>
        <w:rPr>
          <w:w w:val="105"/>
          <w:sz w:val="20"/>
        </w:rPr>
        <w:t>and</w:t>
      </w:r>
      <w:r>
        <w:rPr>
          <w:spacing w:val="-6"/>
          <w:w w:val="105"/>
          <w:sz w:val="20"/>
        </w:rPr>
        <w:t> </w:t>
      </w:r>
      <w:r>
        <w:rPr>
          <w:w w:val="105"/>
          <w:sz w:val="20"/>
        </w:rPr>
        <w:t>at</w:t>
      </w:r>
      <w:r>
        <w:rPr>
          <w:spacing w:val="-6"/>
          <w:w w:val="105"/>
          <w:sz w:val="20"/>
        </w:rPr>
        <w:t> </w:t>
      </w:r>
      <w:r>
        <w:rPr>
          <w:w w:val="105"/>
          <w:sz w:val="20"/>
        </w:rPr>
        <w:t>a</w:t>
      </w:r>
      <w:r>
        <w:rPr>
          <w:spacing w:val="-6"/>
          <w:w w:val="105"/>
          <w:sz w:val="20"/>
        </w:rPr>
        <w:t> </w:t>
      </w:r>
      <w:r>
        <w:rPr>
          <w:w w:val="105"/>
          <w:sz w:val="20"/>
        </w:rPr>
        <w:t>time</w:t>
      </w:r>
      <w:r>
        <w:rPr>
          <w:spacing w:val="-6"/>
          <w:w w:val="105"/>
          <w:sz w:val="20"/>
        </w:rPr>
        <w:t> </w:t>
      </w:r>
      <w:r>
        <w:rPr>
          <w:w w:val="105"/>
          <w:sz w:val="20"/>
        </w:rPr>
        <w:t>when</w:t>
      </w:r>
      <w:r>
        <w:rPr>
          <w:spacing w:val="-6"/>
          <w:w w:val="105"/>
          <w:sz w:val="20"/>
        </w:rPr>
        <w:t> </w:t>
      </w:r>
      <w:r>
        <w:rPr>
          <w:w w:val="105"/>
          <w:sz w:val="20"/>
        </w:rPr>
        <w:t>their</w:t>
      </w:r>
      <w:r>
        <w:rPr>
          <w:spacing w:val="-6"/>
          <w:w w:val="105"/>
          <w:sz w:val="20"/>
        </w:rPr>
        <w:t> </w:t>
      </w:r>
      <w:r>
        <w:rPr>
          <w:w w:val="105"/>
          <w:sz w:val="20"/>
        </w:rPr>
        <w:t>neighbours</w:t>
      </w:r>
      <w:r>
        <w:rPr>
          <w:spacing w:val="-6"/>
          <w:w w:val="105"/>
          <w:sz w:val="20"/>
        </w:rPr>
        <w:t> </w:t>
      </w:r>
      <w:r>
        <w:rPr>
          <w:w w:val="105"/>
          <w:sz w:val="20"/>
        </w:rPr>
        <w:t>would</w:t>
      </w:r>
      <w:r>
        <w:rPr>
          <w:spacing w:val="-6"/>
          <w:w w:val="105"/>
          <w:sz w:val="20"/>
        </w:rPr>
        <w:t> </w:t>
      </w:r>
      <w:r>
        <w:rPr>
          <w:spacing w:val="-3"/>
          <w:w w:val="105"/>
          <w:sz w:val="20"/>
        </w:rPr>
        <w:t>prefer</w:t>
      </w:r>
      <w:r>
        <w:rPr>
          <w:spacing w:val="-6"/>
          <w:w w:val="105"/>
          <w:sz w:val="20"/>
        </w:rPr>
        <w:t> </w:t>
      </w:r>
      <w:r>
        <w:rPr>
          <w:w w:val="105"/>
          <w:sz w:val="20"/>
        </w:rPr>
        <w:t>they did</w:t>
      </w:r>
      <w:r>
        <w:rPr>
          <w:spacing w:val="5"/>
          <w:w w:val="105"/>
          <w:sz w:val="20"/>
        </w:rPr>
        <w:t> </w:t>
      </w:r>
      <w:r>
        <w:rPr>
          <w:w w:val="105"/>
          <w:sz w:val="20"/>
        </w:rPr>
        <w:t>not.</w:t>
      </w:r>
      <w:r>
        <w:rPr>
          <w:w w:val="105"/>
          <w:position w:val="7"/>
          <w:sz w:val="11"/>
        </w:rPr>
        <w:t>60</w:t>
      </w:r>
    </w:p>
    <w:p>
      <w:pPr>
        <w:pStyle w:val="ListParagraph"/>
        <w:numPr>
          <w:ilvl w:val="1"/>
          <w:numId w:val="16"/>
        </w:numPr>
        <w:tabs>
          <w:tab w:pos="2380" w:val="left" w:leader="none"/>
          <w:tab w:pos="2381" w:val="left" w:leader="none"/>
        </w:tabs>
        <w:spacing w:line="242" w:lineRule="auto" w:before="117" w:after="0"/>
        <w:ind w:left="2381" w:right="2027" w:hanging="794"/>
        <w:jc w:val="left"/>
        <w:rPr>
          <w:sz w:val="21"/>
        </w:rPr>
      </w:pPr>
      <w:r>
        <w:rPr>
          <w:spacing w:val="-3"/>
          <w:w w:val="105"/>
          <w:sz w:val="21"/>
        </w:rPr>
        <w:t>Therefore,</w:t>
      </w:r>
      <w:r>
        <w:rPr>
          <w:spacing w:val="-5"/>
          <w:w w:val="105"/>
          <w:sz w:val="21"/>
        </w:rPr>
        <w:t> </w:t>
      </w:r>
      <w:r>
        <w:rPr>
          <w:spacing w:val="-3"/>
          <w:w w:val="105"/>
          <w:sz w:val="21"/>
        </w:rPr>
        <w:t>liability</w:t>
      </w:r>
      <w:r>
        <w:rPr>
          <w:spacing w:val="-5"/>
          <w:w w:val="105"/>
          <w:sz w:val="21"/>
        </w:rPr>
        <w:t> </w:t>
      </w:r>
      <w:r>
        <w:rPr>
          <w:spacing w:val="-3"/>
          <w:w w:val="105"/>
          <w:sz w:val="21"/>
        </w:rPr>
        <w:t>will</w:t>
      </w:r>
      <w:r>
        <w:rPr>
          <w:spacing w:val="-5"/>
          <w:w w:val="105"/>
          <w:sz w:val="21"/>
        </w:rPr>
        <w:t> </w:t>
      </w:r>
      <w:r>
        <w:rPr>
          <w:w w:val="105"/>
          <w:sz w:val="21"/>
        </w:rPr>
        <w:t>only</w:t>
      </w:r>
      <w:r>
        <w:rPr>
          <w:spacing w:val="-5"/>
          <w:w w:val="105"/>
          <w:sz w:val="21"/>
        </w:rPr>
        <w:t> </w:t>
      </w:r>
      <w:r>
        <w:rPr>
          <w:w w:val="105"/>
          <w:sz w:val="21"/>
        </w:rPr>
        <w:t>be</w:t>
      </w:r>
      <w:r>
        <w:rPr>
          <w:spacing w:val="-5"/>
          <w:w w:val="105"/>
          <w:sz w:val="21"/>
        </w:rPr>
        <w:t> </w:t>
      </w:r>
      <w:r>
        <w:rPr>
          <w:w w:val="105"/>
          <w:sz w:val="21"/>
        </w:rPr>
        <w:t>imposed</w:t>
      </w:r>
      <w:r>
        <w:rPr>
          <w:spacing w:val="-5"/>
          <w:w w:val="105"/>
          <w:sz w:val="21"/>
        </w:rPr>
        <w:t> </w:t>
      </w:r>
      <w:r>
        <w:rPr>
          <w:spacing w:val="-3"/>
          <w:w w:val="105"/>
          <w:sz w:val="21"/>
        </w:rPr>
        <w:t>‘where</w:t>
      </w:r>
      <w:r>
        <w:rPr>
          <w:spacing w:val="-5"/>
          <w:w w:val="105"/>
          <w:sz w:val="21"/>
        </w:rPr>
        <w:t> </w:t>
      </w:r>
      <w:r>
        <w:rPr>
          <w:w w:val="105"/>
          <w:sz w:val="21"/>
        </w:rPr>
        <w:t>the</w:t>
      </w:r>
      <w:r>
        <w:rPr>
          <w:spacing w:val="-5"/>
          <w:w w:val="105"/>
          <w:sz w:val="21"/>
        </w:rPr>
        <w:t> </w:t>
      </w:r>
      <w:r>
        <w:rPr>
          <w:spacing w:val="-3"/>
          <w:w w:val="105"/>
          <w:sz w:val="21"/>
        </w:rPr>
        <w:t>harm</w:t>
      </w:r>
      <w:r>
        <w:rPr>
          <w:spacing w:val="-4"/>
          <w:w w:val="105"/>
          <w:sz w:val="21"/>
        </w:rPr>
        <w:t> </w:t>
      </w:r>
      <w:r>
        <w:rPr>
          <w:w w:val="105"/>
          <w:sz w:val="21"/>
        </w:rPr>
        <w:t>or</w:t>
      </w:r>
      <w:r>
        <w:rPr>
          <w:spacing w:val="-5"/>
          <w:w w:val="105"/>
          <w:sz w:val="21"/>
        </w:rPr>
        <w:t> </w:t>
      </w:r>
      <w:r>
        <w:rPr>
          <w:w w:val="105"/>
          <w:sz w:val="21"/>
        </w:rPr>
        <w:t>risk</w:t>
      </w:r>
      <w:r>
        <w:rPr>
          <w:spacing w:val="-5"/>
          <w:w w:val="105"/>
          <w:sz w:val="21"/>
        </w:rPr>
        <w:t> </w:t>
      </w:r>
      <w:r>
        <w:rPr>
          <w:spacing w:val="-3"/>
          <w:w w:val="105"/>
          <w:sz w:val="21"/>
        </w:rPr>
        <w:t>to</w:t>
      </w:r>
      <w:r>
        <w:rPr>
          <w:spacing w:val="-5"/>
          <w:w w:val="105"/>
          <w:sz w:val="21"/>
        </w:rPr>
        <w:t> </w:t>
      </w:r>
      <w:r>
        <w:rPr>
          <w:w w:val="105"/>
          <w:sz w:val="21"/>
        </w:rPr>
        <w:t>one</w:t>
      </w:r>
      <w:r>
        <w:rPr>
          <w:spacing w:val="-5"/>
          <w:w w:val="105"/>
          <w:sz w:val="21"/>
        </w:rPr>
        <w:t> </w:t>
      </w:r>
      <w:r>
        <w:rPr>
          <w:w w:val="105"/>
          <w:sz w:val="21"/>
        </w:rPr>
        <w:t>is</w:t>
      </w:r>
      <w:r>
        <w:rPr>
          <w:spacing w:val="-5"/>
          <w:w w:val="105"/>
          <w:sz w:val="21"/>
        </w:rPr>
        <w:t> </w:t>
      </w:r>
      <w:r>
        <w:rPr>
          <w:spacing w:val="-3"/>
          <w:w w:val="105"/>
          <w:sz w:val="21"/>
        </w:rPr>
        <w:t>greater</w:t>
      </w:r>
      <w:r>
        <w:rPr>
          <w:spacing w:val="-5"/>
          <w:w w:val="105"/>
          <w:sz w:val="21"/>
        </w:rPr>
        <w:t> </w:t>
      </w:r>
      <w:r>
        <w:rPr>
          <w:spacing w:val="-3"/>
          <w:w w:val="105"/>
          <w:sz w:val="21"/>
        </w:rPr>
        <w:t>than </w:t>
      </w:r>
      <w:r>
        <w:rPr>
          <w:w w:val="105"/>
          <w:sz w:val="21"/>
        </w:rPr>
        <w:t>[what] one </w:t>
      </w:r>
      <w:r>
        <w:rPr>
          <w:spacing w:val="-3"/>
          <w:w w:val="105"/>
          <w:sz w:val="21"/>
        </w:rPr>
        <w:t>ought to </w:t>
      </w:r>
      <w:r>
        <w:rPr>
          <w:w w:val="105"/>
          <w:sz w:val="21"/>
        </w:rPr>
        <w:t>be </w:t>
      </w:r>
      <w:r>
        <w:rPr>
          <w:spacing w:val="-3"/>
          <w:w w:val="105"/>
          <w:sz w:val="21"/>
        </w:rPr>
        <w:t>required to </w:t>
      </w:r>
      <w:r>
        <w:rPr>
          <w:w w:val="105"/>
          <w:sz w:val="21"/>
        </w:rPr>
        <w:t>bear under the </w:t>
      </w:r>
      <w:r>
        <w:rPr>
          <w:spacing w:val="-4"/>
          <w:w w:val="105"/>
          <w:sz w:val="21"/>
        </w:rPr>
        <w:t>circumstances’.</w:t>
      </w:r>
      <w:r>
        <w:rPr>
          <w:spacing w:val="-4"/>
          <w:w w:val="105"/>
          <w:position w:val="7"/>
          <w:sz w:val="12"/>
        </w:rPr>
        <w:t>61 </w:t>
      </w:r>
      <w:r>
        <w:rPr>
          <w:w w:val="105"/>
          <w:sz w:val="21"/>
        </w:rPr>
        <w:t>In </w:t>
      </w:r>
      <w:r>
        <w:rPr>
          <w:spacing w:val="-3"/>
          <w:w w:val="105"/>
          <w:sz w:val="21"/>
        </w:rPr>
        <w:t>making </w:t>
      </w:r>
      <w:r>
        <w:rPr>
          <w:w w:val="105"/>
          <w:sz w:val="21"/>
        </w:rPr>
        <w:t>this </w:t>
      </w:r>
      <w:r>
        <w:rPr>
          <w:spacing w:val="-3"/>
          <w:w w:val="105"/>
          <w:sz w:val="21"/>
        </w:rPr>
        <w:t>determination </w:t>
      </w:r>
      <w:r>
        <w:rPr>
          <w:w w:val="105"/>
          <w:sz w:val="21"/>
        </w:rPr>
        <w:t>the court </w:t>
      </w:r>
      <w:r>
        <w:rPr>
          <w:spacing w:val="-3"/>
          <w:w w:val="105"/>
          <w:sz w:val="21"/>
        </w:rPr>
        <w:t>will balance </w:t>
      </w:r>
      <w:r>
        <w:rPr>
          <w:w w:val="105"/>
          <w:sz w:val="21"/>
        </w:rPr>
        <w:t>a number of</w:t>
      </w:r>
      <w:r>
        <w:rPr>
          <w:spacing w:val="38"/>
          <w:w w:val="105"/>
          <w:sz w:val="21"/>
        </w:rPr>
        <w:t> </w:t>
      </w:r>
      <w:r>
        <w:rPr>
          <w:w w:val="105"/>
          <w:sz w:val="21"/>
        </w:rPr>
        <w:t>factors:</w:t>
      </w:r>
    </w:p>
    <w:p>
      <w:pPr>
        <w:pStyle w:val="ListParagraph"/>
        <w:numPr>
          <w:ilvl w:val="2"/>
          <w:numId w:val="16"/>
        </w:numPr>
        <w:tabs>
          <w:tab w:pos="2721" w:val="left" w:leader="none"/>
          <w:tab w:pos="2722" w:val="left" w:leader="none"/>
        </w:tabs>
        <w:spacing w:line="240" w:lineRule="auto" w:before="123" w:after="0"/>
        <w:ind w:left="2721" w:right="0" w:hanging="340"/>
        <w:jc w:val="left"/>
        <w:rPr>
          <w:sz w:val="21"/>
        </w:rPr>
      </w:pPr>
      <w:r>
        <w:rPr>
          <w:w w:val="105"/>
          <w:sz w:val="21"/>
        </w:rPr>
        <w:t>the </w:t>
      </w:r>
      <w:r>
        <w:rPr>
          <w:spacing w:val="-3"/>
          <w:w w:val="105"/>
          <w:sz w:val="21"/>
        </w:rPr>
        <w:t>character </w:t>
      </w:r>
      <w:r>
        <w:rPr>
          <w:w w:val="105"/>
          <w:sz w:val="21"/>
        </w:rPr>
        <w:t>of the neighbourhood in which the </w:t>
      </w:r>
      <w:r>
        <w:rPr>
          <w:spacing w:val="-3"/>
          <w:w w:val="105"/>
          <w:sz w:val="21"/>
        </w:rPr>
        <w:t>interference</w:t>
      </w:r>
      <w:r>
        <w:rPr>
          <w:spacing w:val="35"/>
          <w:w w:val="105"/>
          <w:sz w:val="21"/>
        </w:rPr>
        <w:t> </w:t>
      </w:r>
      <w:r>
        <w:rPr>
          <w:w w:val="105"/>
          <w:sz w:val="21"/>
        </w:rPr>
        <w:t>occurs</w:t>
      </w:r>
    </w:p>
    <w:p>
      <w:pPr>
        <w:pStyle w:val="BodyText"/>
        <w:rPr>
          <w:sz w:val="20"/>
        </w:rPr>
      </w:pPr>
    </w:p>
    <w:p>
      <w:pPr>
        <w:pStyle w:val="BodyText"/>
        <w:rPr>
          <w:sz w:val="16"/>
        </w:rPr>
      </w:pPr>
      <w:r>
        <w:rPr/>
        <w:pict>
          <v:line style="position:absolute;mso-position-horizontal-relative:page;mso-position-vertical-relative:paragraph;z-index:1136;mso-wrap-distance-left:0;mso-wrap-distance-right:0" from="79.370102pt,12.229157pt" to="515.905102pt,12.229157pt" stroked="true" strokeweight="1pt" strokecolor="#c9d2cb">
            <v:stroke dashstyle="solid"/>
            <w10:wrap type="topAndBottom"/>
          </v:line>
        </w:pict>
      </w:r>
    </w:p>
    <w:p>
      <w:pPr>
        <w:pStyle w:val="ListParagraph"/>
        <w:numPr>
          <w:ilvl w:val="0"/>
          <w:numId w:val="27"/>
        </w:numPr>
        <w:tabs>
          <w:tab w:pos="2380" w:val="left" w:leader="none"/>
          <w:tab w:pos="2382" w:val="left" w:leader="none"/>
        </w:tabs>
        <w:spacing w:line="240" w:lineRule="auto" w:before="117" w:after="0"/>
        <w:ind w:left="2381" w:right="0" w:hanging="794"/>
        <w:jc w:val="left"/>
        <w:rPr>
          <w:sz w:val="13"/>
        </w:rPr>
      </w:pPr>
      <w:r>
        <w:rPr>
          <w:w w:val="105"/>
          <w:sz w:val="13"/>
        </w:rPr>
        <w:t>Kit</w:t>
      </w:r>
      <w:r>
        <w:rPr>
          <w:spacing w:val="4"/>
          <w:w w:val="105"/>
          <w:sz w:val="13"/>
        </w:rPr>
        <w:t> </w:t>
      </w:r>
      <w:r>
        <w:rPr>
          <w:w w:val="105"/>
          <w:sz w:val="13"/>
        </w:rPr>
        <w:t>Barker,</w:t>
      </w:r>
      <w:r>
        <w:rPr>
          <w:spacing w:val="4"/>
          <w:w w:val="105"/>
          <w:sz w:val="13"/>
        </w:rPr>
        <w:t> </w:t>
      </w:r>
      <w:r>
        <w:rPr>
          <w:w w:val="105"/>
          <w:sz w:val="13"/>
        </w:rPr>
        <w:t>Peter</w:t>
      </w:r>
      <w:r>
        <w:rPr>
          <w:spacing w:val="4"/>
          <w:w w:val="105"/>
          <w:sz w:val="13"/>
        </w:rPr>
        <w:t> </w:t>
      </w:r>
      <w:r>
        <w:rPr>
          <w:w w:val="105"/>
          <w:sz w:val="13"/>
        </w:rPr>
        <w:t>Cane,</w:t>
      </w:r>
      <w:r>
        <w:rPr>
          <w:spacing w:val="5"/>
          <w:w w:val="105"/>
          <w:sz w:val="13"/>
        </w:rPr>
        <w:t> </w:t>
      </w:r>
      <w:r>
        <w:rPr>
          <w:w w:val="105"/>
          <w:sz w:val="13"/>
        </w:rPr>
        <w:t>Mark</w:t>
      </w:r>
      <w:r>
        <w:rPr>
          <w:spacing w:val="4"/>
          <w:w w:val="105"/>
          <w:sz w:val="13"/>
        </w:rPr>
        <w:t> </w:t>
      </w:r>
      <w:r>
        <w:rPr>
          <w:w w:val="105"/>
          <w:sz w:val="13"/>
        </w:rPr>
        <w:t>Lunney</w:t>
      </w:r>
      <w:r>
        <w:rPr>
          <w:spacing w:val="4"/>
          <w:w w:val="105"/>
          <w:sz w:val="13"/>
        </w:rPr>
        <w:t> </w:t>
      </w:r>
      <w:r>
        <w:rPr>
          <w:w w:val="105"/>
          <w:sz w:val="13"/>
        </w:rPr>
        <w:t>and</w:t>
      </w:r>
      <w:r>
        <w:rPr>
          <w:spacing w:val="4"/>
          <w:w w:val="105"/>
          <w:sz w:val="13"/>
        </w:rPr>
        <w:t> </w:t>
      </w:r>
      <w:r>
        <w:rPr>
          <w:w w:val="105"/>
          <w:sz w:val="13"/>
        </w:rPr>
        <w:t>Francis</w:t>
      </w:r>
      <w:r>
        <w:rPr>
          <w:spacing w:val="5"/>
          <w:w w:val="105"/>
          <w:sz w:val="13"/>
        </w:rPr>
        <w:t> </w:t>
      </w:r>
      <w:r>
        <w:rPr>
          <w:w w:val="105"/>
          <w:sz w:val="13"/>
        </w:rPr>
        <w:t>Trindade,</w:t>
      </w:r>
      <w:r>
        <w:rPr>
          <w:spacing w:val="4"/>
          <w:w w:val="105"/>
          <w:sz w:val="13"/>
        </w:rPr>
        <w:t> </w:t>
      </w:r>
      <w:r>
        <w:rPr>
          <w:i/>
          <w:w w:val="105"/>
          <w:sz w:val="13"/>
        </w:rPr>
        <w:t>The</w:t>
      </w:r>
      <w:r>
        <w:rPr>
          <w:i/>
          <w:spacing w:val="4"/>
          <w:w w:val="105"/>
          <w:sz w:val="13"/>
        </w:rPr>
        <w:t> </w:t>
      </w:r>
      <w:r>
        <w:rPr>
          <w:i/>
          <w:w w:val="105"/>
          <w:sz w:val="13"/>
        </w:rPr>
        <w:t>Law</w:t>
      </w:r>
      <w:r>
        <w:rPr>
          <w:i/>
          <w:spacing w:val="5"/>
          <w:w w:val="105"/>
          <w:sz w:val="13"/>
        </w:rPr>
        <w:t> </w:t>
      </w:r>
      <w:r>
        <w:rPr>
          <w:i/>
          <w:w w:val="105"/>
          <w:sz w:val="13"/>
        </w:rPr>
        <w:t>of</w:t>
      </w:r>
      <w:r>
        <w:rPr>
          <w:i/>
          <w:spacing w:val="4"/>
          <w:w w:val="105"/>
          <w:sz w:val="13"/>
        </w:rPr>
        <w:t> </w:t>
      </w:r>
      <w:r>
        <w:rPr>
          <w:i/>
          <w:w w:val="105"/>
          <w:sz w:val="13"/>
        </w:rPr>
        <w:t>Torts</w:t>
      </w:r>
      <w:r>
        <w:rPr>
          <w:i/>
          <w:spacing w:val="4"/>
          <w:w w:val="105"/>
          <w:sz w:val="13"/>
        </w:rPr>
        <w:t> </w:t>
      </w:r>
      <w:r>
        <w:rPr>
          <w:i/>
          <w:w w:val="105"/>
          <w:sz w:val="13"/>
        </w:rPr>
        <w:t>in</w:t>
      </w:r>
      <w:r>
        <w:rPr>
          <w:i/>
          <w:spacing w:val="4"/>
          <w:w w:val="105"/>
          <w:sz w:val="13"/>
        </w:rPr>
        <w:t> </w:t>
      </w:r>
      <w:r>
        <w:rPr>
          <w:i/>
          <w:w w:val="105"/>
          <w:sz w:val="13"/>
        </w:rPr>
        <w:t>Australia</w:t>
      </w:r>
      <w:r>
        <w:rPr>
          <w:i/>
          <w:spacing w:val="5"/>
          <w:w w:val="105"/>
          <w:sz w:val="13"/>
        </w:rPr>
        <w:t> </w:t>
      </w:r>
      <w:r>
        <w:rPr>
          <w:spacing w:val="2"/>
          <w:w w:val="105"/>
          <w:sz w:val="13"/>
        </w:rPr>
        <w:t>(Oxford</w:t>
      </w:r>
      <w:r>
        <w:rPr>
          <w:spacing w:val="4"/>
          <w:w w:val="105"/>
          <w:sz w:val="13"/>
        </w:rPr>
        <w:t> </w:t>
      </w:r>
      <w:r>
        <w:rPr>
          <w:w w:val="105"/>
          <w:sz w:val="13"/>
        </w:rPr>
        <w:t>University</w:t>
      </w:r>
      <w:r>
        <w:rPr>
          <w:spacing w:val="4"/>
          <w:w w:val="105"/>
          <w:sz w:val="13"/>
        </w:rPr>
        <w:t> </w:t>
      </w:r>
      <w:r>
        <w:rPr>
          <w:w w:val="105"/>
          <w:sz w:val="13"/>
        </w:rPr>
        <w:t>Press,</w:t>
      </w:r>
      <w:r>
        <w:rPr>
          <w:spacing w:val="5"/>
          <w:w w:val="105"/>
          <w:sz w:val="13"/>
        </w:rPr>
        <w:t> </w:t>
      </w:r>
      <w:r>
        <w:rPr>
          <w:w w:val="105"/>
          <w:sz w:val="13"/>
        </w:rPr>
        <w:t>5th</w:t>
      </w:r>
      <w:r>
        <w:rPr>
          <w:spacing w:val="4"/>
          <w:w w:val="105"/>
          <w:sz w:val="13"/>
        </w:rPr>
        <w:t> </w:t>
      </w:r>
      <w:r>
        <w:rPr>
          <w:w w:val="105"/>
          <w:sz w:val="13"/>
        </w:rPr>
        <w:t>ed,</w:t>
      </w:r>
      <w:r>
        <w:rPr>
          <w:spacing w:val="4"/>
          <w:w w:val="105"/>
          <w:sz w:val="13"/>
        </w:rPr>
        <w:t> </w:t>
      </w:r>
      <w:r>
        <w:rPr>
          <w:w w:val="105"/>
          <w:sz w:val="13"/>
        </w:rPr>
        <w:t>2012)</w:t>
      </w:r>
      <w:r>
        <w:rPr>
          <w:spacing w:val="4"/>
          <w:w w:val="105"/>
          <w:sz w:val="13"/>
        </w:rPr>
        <w:t> </w:t>
      </w:r>
      <w:r>
        <w:rPr>
          <w:w w:val="105"/>
          <w:sz w:val="13"/>
        </w:rPr>
        <w:t>185.</w:t>
      </w:r>
    </w:p>
    <w:p>
      <w:pPr>
        <w:pStyle w:val="ListParagraph"/>
        <w:numPr>
          <w:ilvl w:val="0"/>
          <w:numId w:val="27"/>
        </w:numPr>
        <w:tabs>
          <w:tab w:pos="2381" w:val="left" w:leader="none"/>
          <w:tab w:pos="2382" w:val="left" w:leader="none"/>
        </w:tabs>
        <w:spacing w:line="240" w:lineRule="auto" w:before="1" w:after="0"/>
        <w:ind w:left="2381" w:right="0" w:hanging="794"/>
        <w:jc w:val="left"/>
        <w:rPr>
          <w:sz w:val="13"/>
        </w:rPr>
      </w:pPr>
      <w:r>
        <w:rPr>
          <w:sz w:val="13"/>
        </w:rPr>
        <w:t>Unless</w:t>
      </w:r>
      <w:r>
        <w:rPr>
          <w:spacing w:val="8"/>
          <w:sz w:val="13"/>
        </w:rPr>
        <w:t> </w:t>
      </w:r>
      <w:r>
        <w:rPr>
          <w:sz w:val="13"/>
        </w:rPr>
        <w:t>the</w:t>
      </w:r>
      <w:r>
        <w:rPr>
          <w:spacing w:val="9"/>
          <w:sz w:val="13"/>
        </w:rPr>
        <w:t> </w:t>
      </w:r>
      <w:r>
        <w:rPr>
          <w:sz w:val="13"/>
        </w:rPr>
        <w:t>context</w:t>
      </w:r>
      <w:r>
        <w:rPr>
          <w:spacing w:val="9"/>
          <w:sz w:val="13"/>
        </w:rPr>
        <w:t> </w:t>
      </w:r>
      <w:r>
        <w:rPr>
          <w:sz w:val="13"/>
        </w:rPr>
        <w:t>indicates</w:t>
      </w:r>
      <w:r>
        <w:rPr>
          <w:spacing w:val="9"/>
          <w:sz w:val="13"/>
        </w:rPr>
        <w:t> </w:t>
      </w:r>
      <w:r>
        <w:rPr>
          <w:sz w:val="13"/>
        </w:rPr>
        <w:t>otherwise,</w:t>
      </w:r>
      <w:r>
        <w:rPr>
          <w:spacing w:val="8"/>
          <w:sz w:val="13"/>
        </w:rPr>
        <w:t> </w:t>
      </w:r>
      <w:r>
        <w:rPr>
          <w:sz w:val="13"/>
        </w:rPr>
        <w:t>all</w:t>
      </w:r>
      <w:r>
        <w:rPr>
          <w:spacing w:val="9"/>
          <w:sz w:val="13"/>
        </w:rPr>
        <w:t> </w:t>
      </w:r>
      <w:r>
        <w:rPr>
          <w:sz w:val="13"/>
        </w:rPr>
        <w:t>references</w:t>
      </w:r>
      <w:r>
        <w:rPr>
          <w:spacing w:val="9"/>
          <w:sz w:val="13"/>
        </w:rPr>
        <w:t> </w:t>
      </w:r>
      <w:r>
        <w:rPr>
          <w:sz w:val="13"/>
        </w:rPr>
        <w:t>to</w:t>
      </w:r>
      <w:r>
        <w:rPr>
          <w:spacing w:val="9"/>
          <w:sz w:val="13"/>
        </w:rPr>
        <w:t> </w:t>
      </w:r>
      <w:r>
        <w:rPr>
          <w:sz w:val="13"/>
        </w:rPr>
        <w:t>‘nuisance’</w:t>
      </w:r>
      <w:r>
        <w:rPr>
          <w:spacing w:val="8"/>
          <w:sz w:val="13"/>
        </w:rPr>
        <w:t> </w:t>
      </w:r>
      <w:r>
        <w:rPr>
          <w:sz w:val="13"/>
        </w:rPr>
        <w:t>should</w:t>
      </w:r>
      <w:r>
        <w:rPr>
          <w:spacing w:val="9"/>
          <w:sz w:val="13"/>
        </w:rPr>
        <w:t> </w:t>
      </w:r>
      <w:r>
        <w:rPr>
          <w:sz w:val="13"/>
        </w:rPr>
        <w:t>be</w:t>
      </w:r>
      <w:r>
        <w:rPr>
          <w:spacing w:val="9"/>
          <w:sz w:val="13"/>
        </w:rPr>
        <w:t> </w:t>
      </w:r>
      <w:r>
        <w:rPr>
          <w:sz w:val="13"/>
        </w:rPr>
        <w:t>taken</w:t>
      </w:r>
      <w:r>
        <w:rPr>
          <w:spacing w:val="9"/>
          <w:sz w:val="13"/>
        </w:rPr>
        <w:t> </w:t>
      </w:r>
      <w:r>
        <w:rPr>
          <w:sz w:val="13"/>
        </w:rPr>
        <w:t>to</w:t>
      </w:r>
      <w:r>
        <w:rPr>
          <w:spacing w:val="8"/>
          <w:sz w:val="13"/>
        </w:rPr>
        <w:t> </w:t>
      </w:r>
      <w:r>
        <w:rPr>
          <w:sz w:val="13"/>
        </w:rPr>
        <w:t>refer</w:t>
      </w:r>
      <w:r>
        <w:rPr>
          <w:spacing w:val="9"/>
          <w:sz w:val="13"/>
        </w:rPr>
        <w:t> </w:t>
      </w:r>
      <w:r>
        <w:rPr>
          <w:sz w:val="13"/>
        </w:rPr>
        <w:t>to</w:t>
      </w:r>
      <w:r>
        <w:rPr>
          <w:spacing w:val="9"/>
          <w:sz w:val="13"/>
        </w:rPr>
        <w:t> </w:t>
      </w:r>
      <w:r>
        <w:rPr>
          <w:sz w:val="13"/>
        </w:rPr>
        <w:t>the</w:t>
      </w:r>
      <w:r>
        <w:rPr>
          <w:spacing w:val="9"/>
          <w:sz w:val="13"/>
        </w:rPr>
        <w:t> </w:t>
      </w:r>
      <w:r>
        <w:rPr>
          <w:sz w:val="13"/>
        </w:rPr>
        <w:t>tort</w:t>
      </w:r>
      <w:r>
        <w:rPr>
          <w:spacing w:val="8"/>
          <w:sz w:val="13"/>
        </w:rPr>
        <w:t> </w:t>
      </w:r>
      <w:r>
        <w:rPr>
          <w:sz w:val="13"/>
        </w:rPr>
        <w:t>of</w:t>
      </w:r>
      <w:r>
        <w:rPr>
          <w:spacing w:val="9"/>
          <w:sz w:val="13"/>
        </w:rPr>
        <w:t> </w:t>
      </w:r>
      <w:r>
        <w:rPr>
          <w:sz w:val="13"/>
        </w:rPr>
        <w:t>private</w:t>
      </w:r>
      <w:r>
        <w:rPr>
          <w:spacing w:val="9"/>
          <w:sz w:val="13"/>
        </w:rPr>
        <w:t> </w:t>
      </w:r>
      <w:r>
        <w:rPr>
          <w:sz w:val="13"/>
        </w:rPr>
        <w:t>nuisance.</w:t>
      </w:r>
    </w:p>
    <w:p>
      <w:pPr>
        <w:pStyle w:val="ListParagraph"/>
        <w:numPr>
          <w:ilvl w:val="0"/>
          <w:numId w:val="27"/>
        </w:numPr>
        <w:tabs>
          <w:tab w:pos="2381" w:val="left" w:leader="none"/>
          <w:tab w:pos="2382" w:val="left" w:leader="none"/>
        </w:tabs>
        <w:spacing w:line="240" w:lineRule="auto" w:before="2" w:after="0"/>
        <w:ind w:left="2381" w:right="2046" w:hanging="794"/>
        <w:jc w:val="left"/>
        <w:rPr>
          <w:sz w:val="13"/>
        </w:rPr>
      </w:pPr>
      <w:r>
        <w:rPr>
          <w:w w:val="105"/>
          <w:sz w:val="13"/>
        </w:rPr>
        <w:t>LexisNexis, </w:t>
      </w:r>
      <w:r>
        <w:rPr>
          <w:i/>
          <w:w w:val="105"/>
          <w:sz w:val="13"/>
        </w:rPr>
        <w:t>Halsbury’s The Laws of Australia </w:t>
      </w:r>
      <w:r>
        <w:rPr>
          <w:w w:val="105"/>
          <w:sz w:val="13"/>
        </w:rPr>
        <w:t>(at 21 March 2018) </w:t>
      </w:r>
      <w:r>
        <w:rPr>
          <w:spacing w:val="-4"/>
          <w:w w:val="105"/>
          <w:sz w:val="13"/>
        </w:rPr>
        <w:t>415 </w:t>
      </w:r>
      <w:r>
        <w:rPr>
          <w:w w:val="105"/>
          <w:sz w:val="13"/>
        </w:rPr>
        <w:t>Tort, ‘Private and Public Nuisance’ [415-605]; see, eg, </w:t>
      </w:r>
      <w:r>
        <w:rPr>
          <w:i/>
          <w:w w:val="105"/>
          <w:sz w:val="13"/>
        </w:rPr>
        <w:t>Sedleigh- </w:t>
      </w:r>
      <w:r>
        <w:rPr>
          <w:i/>
          <w:w w:val="105"/>
          <w:sz w:val="13"/>
        </w:rPr>
        <w:t>Denfield v O’Callaghan </w:t>
      </w:r>
      <w:r>
        <w:rPr>
          <w:w w:val="105"/>
          <w:sz w:val="13"/>
        </w:rPr>
        <w:t>[1940] AC </w:t>
      </w:r>
      <w:r>
        <w:rPr>
          <w:spacing w:val="2"/>
          <w:w w:val="105"/>
          <w:sz w:val="13"/>
        </w:rPr>
        <w:t>880 </w:t>
      </w:r>
      <w:r>
        <w:rPr>
          <w:w w:val="105"/>
          <w:sz w:val="13"/>
        </w:rPr>
        <w:t>at</w:t>
      </w:r>
      <w:r>
        <w:rPr>
          <w:spacing w:val="2"/>
          <w:w w:val="105"/>
          <w:sz w:val="13"/>
        </w:rPr>
        <w:t> </w:t>
      </w:r>
      <w:r>
        <w:rPr>
          <w:w w:val="105"/>
          <w:sz w:val="13"/>
        </w:rPr>
        <w:t>896–7.</w:t>
      </w:r>
    </w:p>
    <w:p>
      <w:pPr>
        <w:pStyle w:val="ListParagraph"/>
        <w:numPr>
          <w:ilvl w:val="0"/>
          <w:numId w:val="27"/>
        </w:numPr>
        <w:tabs>
          <w:tab w:pos="2381" w:val="left" w:leader="none"/>
          <w:tab w:pos="2382" w:val="left" w:leader="none"/>
        </w:tabs>
        <w:spacing w:line="240" w:lineRule="auto" w:before="2" w:after="0"/>
        <w:ind w:left="2381" w:right="0" w:hanging="794"/>
        <w:jc w:val="left"/>
        <w:rPr>
          <w:sz w:val="13"/>
        </w:rPr>
      </w:pPr>
      <w:r>
        <w:rPr>
          <w:i/>
          <w:w w:val="105"/>
          <w:sz w:val="13"/>
        </w:rPr>
        <w:t>Robson</w:t>
      </w:r>
      <w:r>
        <w:rPr>
          <w:i/>
          <w:spacing w:val="5"/>
          <w:w w:val="105"/>
          <w:sz w:val="13"/>
        </w:rPr>
        <w:t> </w:t>
      </w:r>
      <w:r>
        <w:rPr>
          <w:i/>
          <w:w w:val="105"/>
          <w:sz w:val="13"/>
        </w:rPr>
        <w:t>v</w:t>
      </w:r>
      <w:r>
        <w:rPr>
          <w:i/>
          <w:spacing w:val="6"/>
          <w:w w:val="105"/>
          <w:sz w:val="13"/>
        </w:rPr>
        <w:t> </w:t>
      </w:r>
      <w:r>
        <w:rPr>
          <w:i/>
          <w:w w:val="105"/>
          <w:sz w:val="13"/>
        </w:rPr>
        <w:t>Leischke</w:t>
      </w:r>
      <w:r>
        <w:rPr>
          <w:i/>
          <w:spacing w:val="6"/>
          <w:w w:val="105"/>
          <w:sz w:val="13"/>
        </w:rPr>
        <w:t> </w:t>
      </w:r>
      <w:r>
        <w:rPr>
          <w:spacing w:val="2"/>
          <w:w w:val="105"/>
          <w:sz w:val="13"/>
        </w:rPr>
        <w:t>(2008)</w:t>
      </w:r>
      <w:r>
        <w:rPr>
          <w:spacing w:val="6"/>
          <w:w w:val="105"/>
          <w:sz w:val="13"/>
        </w:rPr>
        <w:t> </w:t>
      </w:r>
      <w:r>
        <w:rPr>
          <w:w w:val="105"/>
          <w:sz w:val="13"/>
        </w:rPr>
        <w:t>72</w:t>
      </w:r>
      <w:r>
        <w:rPr>
          <w:spacing w:val="6"/>
          <w:w w:val="105"/>
          <w:sz w:val="13"/>
        </w:rPr>
        <w:t> </w:t>
      </w:r>
      <w:r>
        <w:rPr>
          <w:spacing w:val="2"/>
          <w:w w:val="105"/>
          <w:sz w:val="13"/>
        </w:rPr>
        <w:t>NSWLR</w:t>
      </w:r>
      <w:r>
        <w:rPr>
          <w:spacing w:val="6"/>
          <w:w w:val="105"/>
          <w:sz w:val="13"/>
        </w:rPr>
        <w:t> </w:t>
      </w:r>
      <w:r>
        <w:rPr>
          <w:w w:val="105"/>
          <w:sz w:val="13"/>
        </w:rPr>
        <w:t>98</w:t>
      </w:r>
      <w:r>
        <w:rPr>
          <w:spacing w:val="6"/>
          <w:w w:val="105"/>
          <w:sz w:val="13"/>
        </w:rPr>
        <w:t> </w:t>
      </w:r>
      <w:r>
        <w:rPr>
          <w:w w:val="105"/>
          <w:sz w:val="13"/>
        </w:rPr>
        <w:t>[91]</w:t>
      </w:r>
      <w:r>
        <w:rPr>
          <w:spacing w:val="6"/>
          <w:w w:val="105"/>
          <w:sz w:val="13"/>
        </w:rPr>
        <w:t> </w:t>
      </w:r>
      <w:r>
        <w:rPr>
          <w:w w:val="105"/>
          <w:sz w:val="13"/>
        </w:rPr>
        <w:t>citing</w:t>
      </w:r>
      <w:r>
        <w:rPr>
          <w:spacing w:val="6"/>
          <w:w w:val="105"/>
          <w:sz w:val="13"/>
        </w:rPr>
        <w:t> </w:t>
      </w:r>
      <w:r>
        <w:rPr>
          <w:i/>
          <w:w w:val="105"/>
          <w:sz w:val="13"/>
        </w:rPr>
        <w:t>Sedleigh-Denfield</w:t>
      </w:r>
      <w:r>
        <w:rPr>
          <w:i/>
          <w:spacing w:val="6"/>
          <w:w w:val="105"/>
          <w:sz w:val="13"/>
        </w:rPr>
        <w:t> </w:t>
      </w:r>
      <w:r>
        <w:rPr>
          <w:i/>
          <w:w w:val="105"/>
          <w:sz w:val="13"/>
        </w:rPr>
        <w:t>v</w:t>
      </w:r>
      <w:r>
        <w:rPr>
          <w:i/>
          <w:spacing w:val="6"/>
          <w:w w:val="105"/>
          <w:sz w:val="13"/>
        </w:rPr>
        <w:t> </w:t>
      </w:r>
      <w:r>
        <w:rPr>
          <w:i/>
          <w:w w:val="105"/>
          <w:sz w:val="13"/>
        </w:rPr>
        <w:t>O’Callaghan</w:t>
      </w:r>
      <w:r>
        <w:rPr>
          <w:i/>
          <w:spacing w:val="6"/>
          <w:w w:val="105"/>
          <w:sz w:val="13"/>
        </w:rPr>
        <w:t> </w:t>
      </w:r>
      <w:r>
        <w:rPr>
          <w:w w:val="105"/>
          <w:sz w:val="13"/>
        </w:rPr>
        <w:t>[1940]</w:t>
      </w:r>
      <w:r>
        <w:rPr>
          <w:spacing w:val="6"/>
          <w:w w:val="105"/>
          <w:sz w:val="13"/>
        </w:rPr>
        <w:t> </w:t>
      </w:r>
      <w:r>
        <w:rPr>
          <w:w w:val="105"/>
          <w:sz w:val="13"/>
        </w:rPr>
        <w:t>AC</w:t>
      </w:r>
      <w:r>
        <w:rPr>
          <w:spacing w:val="6"/>
          <w:w w:val="105"/>
          <w:sz w:val="13"/>
        </w:rPr>
        <w:t> </w:t>
      </w:r>
      <w:r>
        <w:rPr>
          <w:w w:val="105"/>
          <w:sz w:val="13"/>
        </w:rPr>
        <w:t>880,</w:t>
      </w:r>
      <w:r>
        <w:rPr>
          <w:spacing w:val="6"/>
          <w:w w:val="105"/>
          <w:sz w:val="13"/>
        </w:rPr>
        <w:t> </w:t>
      </w:r>
      <w:r>
        <w:rPr>
          <w:w w:val="105"/>
          <w:sz w:val="13"/>
        </w:rPr>
        <w:t>902–03.</w:t>
      </w:r>
    </w:p>
    <w:p>
      <w:pPr>
        <w:pStyle w:val="ListParagraph"/>
        <w:numPr>
          <w:ilvl w:val="0"/>
          <w:numId w:val="27"/>
        </w:numPr>
        <w:tabs>
          <w:tab w:pos="2381" w:val="left" w:leader="none"/>
          <w:tab w:pos="2382" w:val="left" w:leader="none"/>
        </w:tabs>
        <w:spacing w:line="240" w:lineRule="auto" w:before="2" w:after="0"/>
        <w:ind w:left="2381" w:right="0" w:hanging="794"/>
        <w:jc w:val="left"/>
        <w:rPr>
          <w:sz w:val="13"/>
        </w:rPr>
      </w:pPr>
      <w:r>
        <w:rPr>
          <w:w w:val="105"/>
          <w:sz w:val="13"/>
        </w:rPr>
        <w:t>See,</w:t>
      </w:r>
      <w:r>
        <w:rPr>
          <w:spacing w:val="5"/>
          <w:w w:val="105"/>
          <w:sz w:val="13"/>
        </w:rPr>
        <w:t> </w:t>
      </w:r>
      <w:r>
        <w:rPr>
          <w:w w:val="105"/>
          <w:sz w:val="13"/>
        </w:rPr>
        <w:t>eg,</w:t>
      </w:r>
      <w:r>
        <w:rPr>
          <w:spacing w:val="5"/>
          <w:w w:val="105"/>
          <w:sz w:val="13"/>
        </w:rPr>
        <w:t> </w:t>
      </w:r>
      <w:r>
        <w:rPr>
          <w:w w:val="105"/>
          <w:sz w:val="13"/>
        </w:rPr>
        <w:t>LexisNexis,</w:t>
      </w:r>
      <w:r>
        <w:rPr>
          <w:spacing w:val="5"/>
          <w:w w:val="105"/>
          <w:sz w:val="13"/>
        </w:rPr>
        <w:t> </w:t>
      </w:r>
      <w:r>
        <w:rPr>
          <w:i/>
          <w:w w:val="105"/>
          <w:sz w:val="13"/>
        </w:rPr>
        <w:t>Halsbury’s</w:t>
      </w:r>
      <w:r>
        <w:rPr>
          <w:i/>
          <w:spacing w:val="5"/>
          <w:w w:val="105"/>
          <w:sz w:val="13"/>
        </w:rPr>
        <w:t> </w:t>
      </w:r>
      <w:r>
        <w:rPr>
          <w:i/>
          <w:w w:val="105"/>
          <w:sz w:val="13"/>
        </w:rPr>
        <w:t>The</w:t>
      </w:r>
      <w:r>
        <w:rPr>
          <w:i/>
          <w:spacing w:val="5"/>
          <w:w w:val="105"/>
          <w:sz w:val="13"/>
        </w:rPr>
        <w:t> </w:t>
      </w:r>
      <w:r>
        <w:rPr>
          <w:i/>
          <w:w w:val="105"/>
          <w:sz w:val="13"/>
        </w:rPr>
        <w:t>Laws</w:t>
      </w:r>
      <w:r>
        <w:rPr>
          <w:i/>
          <w:spacing w:val="5"/>
          <w:w w:val="105"/>
          <w:sz w:val="13"/>
        </w:rPr>
        <w:t> </w:t>
      </w:r>
      <w:r>
        <w:rPr>
          <w:i/>
          <w:w w:val="105"/>
          <w:sz w:val="13"/>
        </w:rPr>
        <w:t>of</w:t>
      </w:r>
      <w:r>
        <w:rPr>
          <w:i/>
          <w:spacing w:val="5"/>
          <w:w w:val="105"/>
          <w:sz w:val="13"/>
        </w:rPr>
        <w:t> </w:t>
      </w:r>
      <w:r>
        <w:rPr>
          <w:i/>
          <w:w w:val="105"/>
          <w:sz w:val="13"/>
        </w:rPr>
        <w:t>Australia</w:t>
      </w:r>
      <w:r>
        <w:rPr>
          <w:i/>
          <w:spacing w:val="5"/>
          <w:w w:val="105"/>
          <w:sz w:val="13"/>
        </w:rPr>
        <w:t> </w:t>
      </w:r>
      <w:r>
        <w:rPr>
          <w:w w:val="105"/>
          <w:sz w:val="13"/>
        </w:rPr>
        <w:t>(at</w:t>
      </w:r>
      <w:r>
        <w:rPr>
          <w:spacing w:val="5"/>
          <w:w w:val="105"/>
          <w:sz w:val="13"/>
        </w:rPr>
        <w:t> </w:t>
      </w:r>
      <w:r>
        <w:rPr>
          <w:w w:val="105"/>
          <w:sz w:val="13"/>
        </w:rPr>
        <w:t>21</w:t>
      </w:r>
      <w:r>
        <w:rPr>
          <w:spacing w:val="5"/>
          <w:w w:val="105"/>
          <w:sz w:val="13"/>
        </w:rPr>
        <w:t> </w:t>
      </w:r>
      <w:r>
        <w:rPr>
          <w:w w:val="105"/>
          <w:sz w:val="13"/>
        </w:rPr>
        <w:t>March</w:t>
      </w:r>
      <w:r>
        <w:rPr>
          <w:spacing w:val="5"/>
          <w:w w:val="105"/>
          <w:sz w:val="13"/>
        </w:rPr>
        <w:t> </w:t>
      </w:r>
      <w:r>
        <w:rPr>
          <w:w w:val="105"/>
          <w:sz w:val="13"/>
        </w:rPr>
        <w:t>2018)</w:t>
      </w:r>
      <w:r>
        <w:rPr>
          <w:spacing w:val="5"/>
          <w:w w:val="105"/>
          <w:sz w:val="13"/>
        </w:rPr>
        <w:t> </w:t>
      </w:r>
      <w:r>
        <w:rPr>
          <w:spacing w:val="-4"/>
          <w:w w:val="105"/>
          <w:sz w:val="13"/>
        </w:rPr>
        <w:t>415</w:t>
      </w:r>
      <w:r>
        <w:rPr>
          <w:spacing w:val="5"/>
          <w:w w:val="105"/>
          <w:sz w:val="13"/>
        </w:rPr>
        <w:t> </w:t>
      </w:r>
      <w:r>
        <w:rPr>
          <w:w w:val="105"/>
          <w:sz w:val="13"/>
        </w:rPr>
        <w:t>Tort,</w:t>
      </w:r>
      <w:r>
        <w:rPr>
          <w:spacing w:val="5"/>
          <w:w w:val="105"/>
          <w:sz w:val="13"/>
        </w:rPr>
        <w:t> </w:t>
      </w:r>
      <w:r>
        <w:rPr>
          <w:w w:val="105"/>
          <w:sz w:val="13"/>
        </w:rPr>
        <w:t>‘Private</w:t>
      </w:r>
      <w:r>
        <w:rPr>
          <w:spacing w:val="5"/>
          <w:w w:val="105"/>
          <w:sz w:val="13"/>
        </w:rPr>
        <w:t> </w:t>
      </w:r>
      <w:r>
        <w:rPr>
          <w:w w:val="105"/>
          <w:sz w:val="13"/>
        </w:rPr>
        <w:t>Nuisance’</w:t>
      </w:r>
      <w:r>
        <w:rPr>
          <w:spacing w:val="5"/>
          <w:w w:val="105"/>
          <w:sz w:val="13"/>
        </w:rPr>
        <w:t> </w:t>
      </w:r>
      <w:r>
        <w:rPr>
          <w:w w:val="105"/>
          <w:sz w:val="13"/>
        </w:rPr>
        <w:t>[415-630].</w:t>
      </w:r>
    </w:p>
    <w:p>
      <w:pPr>
        <w:pStyle w:val="ListParagraph"/>
        <w:numPr>
          <w:ilvl w:val="0"/>
          <w:numId w:val="27"/>
        </w:numPr>
        <w:tabs>
          <w:tab w:pos="2381" w:val="left" w:leader="none"/>
          <w:tab w:pos="2382" w:val="left" w:leader="none"/>
        </w:tabs>
        <w:spacing w:line="240" w:lineRule="auto" w:before="1" w:after="0"/>
        <w:ind w:left="2381" w:right="1697" w:hanging="794"/>
        <w:jc w:val="left"/>
        <w:rPr>
          <w:sz w:val="13"/>
        </w:rPr>
      </w:pPr>
      <w:r>
        <w:rPr>
          <w:i/>
          <w:w w:val="105"/>
          <w:sz w:val="13"/>
        </w:rPr>
        <w:t>Robson v Leischke </w:t>
      </w:r>
      <w:r>
        <w:rPr>
          <w:spacing w:val="2"/>
          <w:w w:val="105"/>
          <w:sz w:val="13"/>
        </w:rPr>
        <w:t>(2008) </w:t>
      </w:r>
      <w:r>
        <w:rPr>
          <w:w w:val="105"/>
          <w:sz w:val="13"/>
        </w:rPr>
        <w:t>72 </w:t>
      </w:r>
      <w:r>
        <w:rPr>
          <w:spacing w:val="2"/>
          <w:w w:val="105"/>
          <w:sz w:val="13"/>
        </w:rPr>
        <w:t>NSWLR </w:t>
      </w:r>
      <w:r>
        <w:rPr>
          <w:w w:val="105"/>
          <w:sz w:val="13"/>
        </w:rPr>
        <w:t>98 </w:t>
      </w:r>
      <w:r>
        <w:rPr>
          <w:spacing w:val="3"/>
          <w:w w:val="105"/>
          <w:sz w:val="13"/>
        </w:rPr>
        <w:t>[54] </w:t>
      </w:r>
      <w:r>
        <w:rPr>
          <w:w w:val="105"/>
          <w:sz w:val="13"/>
        </w:rPr>
        <w:t>citing </w:t>
      </w:r>
      <w:r>
        <w:rPr>
          <w:i/>
          <w:w w:val="105"/>
          <w:sz w:val="13"/>
        </w:rPr>
        <w:t>Thompson-Schwab v Costaki </w:t>
      </w:r>
      <w:r>
        <w:rPr>
          <w:w w:val="105"/>
          <w:sz w:val="13"/>
        </w:rPr>
        <w:t>[1956] 1 All ER 652, 653; </w:t>
      </w:r>
      <w:r>
        <w:rPr>
          <w:i/>
          <w:w w:val="105"/>
          <w:sz w:val="13"/>
        </w:rPr>
        <w:t>Mendez v Palazzi </w:t>
      </w:r>
      <w:r>
        <w:rPr>
          <w:w w:val="105"/>
          <w:sz w:val="13"/>
        </w:rPr>
        <w:t>(1976) 68 DLR   (3d) 582, </w:t>
      </w:r>
      <w:r>
        <w:rPr>
          <w:spacing w:val="2"/>
          <w:w w:val="105"/>
          <w:sz w:val="13"/>
        </w:rPr>
        <w:t>589; </w:t>
      </w:r>
      <w:r>
        <w:rPr>
          <w:w w:val="105"/>
          <w:sz w:val="13"/>
        </w:rPr>
        <w:t>and </w:t>
      </w:r>
      <w:r>
        <w:rPr>
          <w:i/>
          <w:spacing w:val="2"/>
          <w:w w:val="105"/>
          <w:sz w:val="13"/>
        </w:rPr>
        <w:t>Owners </w:t>
      </w:r>
      <w:r>
        <w:rPr>
          <w:i/>
          <w:w w:val="105"/>
          <w:sz w:val="13"/>
        </w:rPr>
        <w:t>of Strata Plan No </w:t>
      </w:r>
      <w:r>
        <w:rPr>
          <w:i/>
          <w:spacing w:val="-5"/>
          <w:w w:val="105"/>
          <w:sz w:val="13"/>
        </w:rPr>
        <w:t>13218  </w:t>
      </w:r>
      <w:r>
        <w:rPr>
          <w:i/>
          <w:w w:val="105"/>
          <w:sz w:val="13"/>
        </w:rPr>
        <w:t>v Woollahra Municipal Council </w:t>
      </w:r>
      <w:r>
        <w:rPr>
          <w:w w:val="105"/>
          <w:sz w:val="13"/>
        </w:rPr>
        <w:t>(2002) </w:t>
      </w:r>
      <w:r>
        <w:rPr>
          <w:spacing w:val="-4"/>
          <w:w w:val="105"/>
          <w:sz w:val="13"/>
        </w:rPr>
        <w:t>121  </w:t>
      </w:r>
      <w:r>
        <w:rPr>
          <w:w w:val="105"/>
          <w:sz w:val="13"/>
        </w:rPr>
        <w:t>LGERA </w:t>
      </w:r>
      <w:r>
        <w:rPr>
          <w:spacing w:val="-8"/>
          <w:w w:val="105"/>
          <w:sz w:val="13"/>
        </w:rPr>
        <w:t>117,  </w:t>
      </w:r>
      <w:r>
        <w:rPr>
          <w:w w:val="105"/>
          <w:sz w:val="13"/>
        </w:rPr>
        <w:t>135. It is generally accepted       that interference resulting in personal injury has been absorbed by the law of negligence: see </w:t>
      </w:r>
      <w:r>
        <w:rPr>
          <w:i/>
          <w:w w:val="105"/>
          <w:sz w:val="13"/>
        </w:rPr>
        <w:t>Burnie </w:t>
      </w:r>
      <w:r>
        <w:rPr>
          <w:i/>
          <w:spacing w:val="2"/>
          <w:w w:val="105"/>
          <w:sz w:val="13"/>
        </w:rPr>
        <w:t>Port </w:t>
      </w:r>
      <w:r>
        <w:rPr>
          <w:i/>
          <w:w w:val="105"/>
          <w:sz w:val="13"/>
        </w:rPr>
        <w:t>Authority v General Jones </w:t>
      </w:r>
      <w:r>
        <w:rPr>
          <w:i/>
          <w:spacing w:val="3"/>
          <w:w w:val="105"/>
          <w:sz w:val="13"/>
        </w:rPr>
        <w:t>Pty     </w:t>
      </w:r>
      <w:r>
        <w:rPr>
          <w:i/>
          <w:w w:val="105"/>
          <w:sz w:val="13"/>
        </w:rPr>
        <w:t>Ltd</w:t>
      </w:r>
      <w:r>
        <w:rPr>
          <w:i/>
          <w:spacing w:val="6"/>
          <w:w w:val="105"/>
          <w:sz w:val="13"/>
        </w:rPr>
        <w:t> </w:t>
      </w:r>
      <w:r>
        <w:rPr>
          <w:w w:val="105"/>
          <w:sz w:val="13"/>
        </w:rPr>
        <w:t>(1994)</w:t>
      </w:r>
      <w:r>
        <w:rPr>
          <w:spacing w:val="6"/>
          <w:w w:val="105"/>
          <w:sz w:val="13"/>
        </w:rPr>
        <w:t> </w:t>
      </w:r>
      <w:r>
        <w:rPr>
          <w:spacing w:val="-3"/>
          <w:w w:val="105"/>
          <w:sz w:val="13"/>
        </w:rPr>
        <w:t>179</w:t>
      </w:r>
      <w:r>
        <w:rPr>
          <w:spacing w:val="7"/>
          <w:w w:val="105"/>
          <w:sz w:val="13"/>
        </w:rPr>
        <w:t> </w:t>
      </w:r>
      <w:r>
        <w:rPr>
          <w:w w:val="105"/>
          <w:sz w:val="13"/>
        </w:rPr>
        <w:t>CLR</w:t>
      </w:r>
      <w:r>
        <w:rPr>
          <w:spacing w:val="6"/>
          <w:w w:val="105"/>
          <w:sz w:val="13"/>
        </w:rPr>
        <w:t> </w:t>
      </w:r>
      <w:r>
        <w:rPr>
          <w:w w:val="105"/>
          <w:sz w:val="13"/>
        </w:rPr>
        <w:t>520</w:t>
      </w:r>
      <w:r>
        <w:rPr>
          <w:spacing w:val="6"/>
          <w:w w:val="105"/>
          <w:sz w:val="13"/>
        </w:rPr>
        <w:t> </w:t>
      </w:r>
      <w:r>
        <w:rPr>
          <w:w w:val="105"/>
          <w:sz w:val="13"/>
        </w:rPr>
        <w:t>where</w:t>
      </w:r>
      <w:r>
        <w:rPr>
          <w:spacing w:val="7"/>
          <w:w w:val="105"/>
          <w:sz w:val="13"/>
        </w:rPr>
        <w:t> </w:t>
      </w:r>
      <w:r>
        <w:rPr>
          <w:w w:val="105"/>
          <w:sz w:val="13"/>
        </w:rPr>
        <w:t>the</w:t>
      </w:r>
      <w:r>
        <w:rPr>
          <w:spacing w:val="6"/>
          <w:w w:val="105"/>
          <w:sz w:val="13"/>
        </w:rPr>
        <w:t> </w:t>
      </w:r>
      <w:r>
        <w:rPr>
          <w:w w:val="105"/>
          <w:sz w:val="13"/>
        </w:rPr>
        <w:t>High</w:t>
      </w:r>
      <w:r>
        <w:rPr>
          <w:spacing w:val="7"/>
          <w:w w:val="105"/>
          <w:sz w:val="13"/>
        </w:rPr>
        <w:t> </w:t>
      </w:r>
      <w:r>
        <w:rPr>
          <w:w w:val="105"/>
          <w:sz w:val="13"/>
        </w:rPr>
        <w:t>Court</w:t>
      </w:r>
      <w:r>
        <w:rPr>
          <w:spacing w:val="6"/>
          <w:w w:val="105"/>
          <w:sz w:val="13"/>
        </w:rPr>
        <w:t> </w:t>
      </w:r>
      <w:r>
        <w:rPr>
          <w:w w:val="105"/>
          <w:sz w:val="13"/>
        </w:rPr>
        <w:t>of</w:t>
      </w:r>
      <w:r>
        <w:rPr>
          <w:spacing w:val="6"/>
          <w:w w:val="105"/>
          <w:sz w:val="13"/>
        </w:rPr>
        <w:t> </w:t>
      </w:r>
      <w:r>
        <w:rPr>
          <w:w w:val="105"/>
          <w:sz w:val="13"/>
        </w:rPr>
        <w:t>Australia</w:t>
      </w:r>
      <w:r>
        <w:rPr>
          <w:spacing w:val="7"/>
          <w:w w:val="105"/>
          <w:sz w:val="13"/>
        </w:rPr>
        <w:t> </w:t>
      </w:r>
      <w:r>
        <w:rPr>
          <w:w w:val="105"/>
          <w:sz w:val="13"/>
        </w:rPr>
        <w:t>absorbed</w:t>
      </w:r>
      <w:r>
        <w:rPr>
          <w:spacing w:val="6"/>
          <w:w w:val="105"/>
          <w:sz w:val="13"/>
        </w:rPr>
        <w:t> </w:t>
      </w:r>
      <w:r>
        <w:rPr>
          <w:w w:val="105"/>
          <w:sz w:val="13"/>
        </w:rPr>
        <w:t>the</w:t>
      </w:r>
      <w:r>
        <w:rPr>
          <w:spacing w:val="7"/>
          <w:w w:val="105"/>
          <w:sz w:val="13"/>
        </w:rPr>
        <w:t> </w:t>
      </w:r>
      <w:r>
        <w:rPr>
          <w:w w:val="105"/>
          <w:sz w:val="13"/>
        </w:rPr>
        <w:t>rule</w:t>
      </w:r>
      <w:r>
        <w:rPr>
          <w:spacing w:val="6"/>
          <w:w w:val="105"/>
          <w:sz w:val="13"/>
        </w:rPr>
        <w:t> </w:t>
      </w:r>
      <w:r>
        <w:rPr>
          <w:w w:val="105"/>
          <w:sz w:val="13"/>
        </w:rPr>
        <w:t>in</w:t>
      </w:r>
      <w:r>
        <w:rPr>
          <w:spacing w:val="6"/>
          <w:w w:val="105"/>
          <w:sz w:val="13"/>
        </w:rPr>
        <w:t> </w:t>
      </w:r>
      <w:r>
        <w:rPr>
          <w:i/>
          <w:w w:val="105"/>
          <w:sz w:val="13"/>
        </w:rPr>
        <w:t>Rylands</w:t>
      </w:r>
      <w:r>
        <w:rPr>
          <w:i/>
          <w:spacing w:val="7"/>
          <w:w w:val="105"/>
          <w:sz w:val="13"/>
        </w:rPr>
        <w:t> </w:t>
      </w:r>
      <w:r>
        <w:rPr>
          <w:i/>
          <w:w w:val="105"/>
          <w:sz w:val="13"/>
        </w:rPr>
        <w:t>v</w:t>
      </w:r>
      <w:r>
        <w:rPr>
          <w:i/>
          <w:spacing w:val="6"/>
          <w:w w:val="105"/>
          <w:sz w:val="13"/>
        </w:rPr>
        <w:t> </w:t>
      </w:r>
      <w:r>
        <w:rPr>
          <w:i/>
          <w:w w:val="105"/>
          <w:sz w:val="13"/>
        </w:rPr>
        <w:t>Fletcher</w:t>
      </w:r>
      <w:r>
        <w:rPr>
          <w:i/>
          <w:spacing w:val="6"/>
          <w:w w:val="105"/>
          <w:sz w:val="13"/>
        </w:rPr>
        <w:t> </w:t>
      </w:r>
      <w:r>
        <w:rPr>
          <w:w w:val="105"/>
          <w:sz w:val="13"/>
        </w:rPr>
        <w:t>(1866)</w:t>
      </w:r>
      <w:r>
        <w:rPr>
          <w:spacing w:val="7"/>
          <w:w w:val="105"/>
          <w:sz w:val="13"/>
        </w:rPr>
        <w:t> </w:t>
      </w:r>
      <w:r>
        <w:rPr>
          <w:w w:val="105"/>
          <w:sz w:val="13"/>
        </w:rPr>
        <w:t>LR</w:t>
      </w:r>
      <w:r>
        <w:rPr>
          <w:spacing w:val="6"/>
          <w:w w:val="105"/>
          <w:sz w:val="13"/>
        </w:rPr>
        <w:t> </w:t>
      </w:r>
      <w:r>
        <w:rPr>
          <w:w w:val="105"/>
          <w:sz w:val="13"/>
        </w:rPr>
        <w:t>1</w:t>
      </w:r>
      <w:r>
        <w:rPr>
          <w:spacing w:val="7"/>
          <w:w w:val="105"/>
          <w:sz w:val="13"/>
        </w:rPr>
        <w:t> </w:t>
      </w:r>
      <w:r>
        <w:rPr>
          <w:w w:val="105"/>
          <w:sz w:val="13"/>
        </w:rPr>
        <w:t>Ex</w:t>
      </w:r>
      <w:r>
        <w:rPr>
          <w:spacing w:val="6"/>
          <w:w w:val="105"/>
          <w:sz w:val="13"/>
        </w:rPr>
        <w:t> </w:t>
      </w:r>
      <w:r>
        <w:rPr>
          <w:w w:val="105"/>
          <w:sz w:val="13"/>
        </w:rPr>
        <w:t>265</w:t>
      </w:r>
      <w:r>
        <w:rPr>
          <w:spacing w:val="6"/>
          <w:w w:val="105"/>
          <w:sz w:val="13"/>
        </w:rPr>
        <w:t> </w:t>
      </w:r>
      <w:r>
        <w:rPr>
          <w:w w:val="105"/>
          <w:sz w:val="13"/>
        </w:rPr>
        <w:t>into</w:t>
      </w:r>
      <w:r>
        <w:rPr>
          <w:spacing w:val="7"/>
          <w:w w:val="105"/>
          <w:sz w:val="13"/>
        </w:rPr>
        <w:t> </w:t>
      </w:r>
      <w:r>
        <w:rPr>
          <w:w w:val="105"/>
          <w:sz w:val="13"/>
        </w:rPr>
        <w:t>the</w:t>
      </w:r>
      <w:r>
        <w:rPr>
          <w:spacing w:val="6"/>
          <w:w w:val="105"/>
          <w:sz w:val="13"/>
        </w:rPr>
        <w:t> </w:t>
      </w:r>
      <w:r>
        <w:rPr>
          <w:w w:val="105"/>
          <w:sz w:val="13"/>
        </w:rPr>
        <w:t>tort</w:t>
      </w:r>
      <w:r>
        <w:rPr>
          <w:spacing w:val="7"/>
          <w:w w:val="105"/>
          <w:sz w:val="13"/>
        </w:rPr>
        <w:t> </w:t>
      </w:r>
      <w:r>
        <w:rPr>
          <w:w w:val="105"/>
          <w:sz w:val="13"/>
        </w:rPr>
        <w:t>of</w:t>
      </w:r>
    </w:p>
    <w:p>
      <w:pPr>
        <w:spacing w:before="5"/>
        <w:ind w:left="2381" w:right="1636" w:firstLine="0"/>
        <w:jc w:val="left"/>
        <w:rPr>
          <w:sz w:val="13"/>
        </w:rPr>
      </w:pPr>
      <w:r>
        <w:rPr>
          <w:w w:val="105"/>
          <w:sz w:val="13"/>
        </w:rPr>
        <w:t>negligence. Barker et al elaborate that claims for damages for past personal injury or damage to property framed as nuisance are likely to be treated by a court as a claim in negligence: Kit Barker, Peter Cane, Mark Lunney and Francis Trindade, </w:t>
      </w:r>
      <w:r>
        <w:rPr>
          <w:i/>
          <w:w w:val="105"/>
          <w:sz w:val="13"/>
        </w:rPr>
        <w:t>The Law of Torts in Australia </w:t>
      </w:r>
      <w:r>
        <w:rPr>
          <w:w w:val="105"/>
          <w:sz w:val="13"/>
        </w:rPr>
        <w:t>(Oxford University Press, 5th ed, 2012) 216.</w:t>
      </w:r>
    </w:p>
    <w:p>
      <w:pPr>
        <w:pStyle w:val="ListParagraph"/>
        <w:numPr>
          <w:ilvl w:val="0"/>
          <w:numId w:val="27"/>
        </w:numPr>
        <w:tabs>
          <w:tab w:pos="2381" w:val="left" w:leader="none"/>
          <w:tab w:pos="2382" w:val="left" w:leader="none"/>
        </w:tabs>
        <w:spacing w:line="240" w:lineRule="auto" w:before="4" w:after="0"/>
        <w:ind w:left="2381" w:right="2258" w:hanging="794"/>
        <w:jc w:val="left"/>
        <w:rPr>
          <w:sz w:val="13"/>
        </w:rPr>
      </w:pPr>
      <w:r>
        <w:rPr>
          <w:w w:val="105"/>
          <w:sz w:val="13"/>
        </w:rPr>
        <w:t>LexisNexis, </w:t>
      </w:r>
      <w:r>
        <w:rPr>
          <w:i/>
          <w:w w:val="105"/>
          <w:sz w:val="13"/>
        </w:rPr>
        <w:t>Halsbury’s The Laws of Australia </w:t>
      </w:r>
      <w:r>
        <w:rPr>
          <w:w w:val="105"/>
          <w:sz w:val="13"/>
        </w:rPr>
        <w:t>(at 21 March 2018) </w:t>
      </w:r>
      <w:r>
        <w:rPr>
          <w:spacing w:val="-4"/>
          <w:w w:val="105"/>
          <w:sz w:val="13"/>
        </w:rPr>
        <w:t>415 </w:t>
      </w:r>
      <w:r>
        <w:rPr>
          <w:w w:val="105"/>
          <w:sz w:val="13"/>
        </w:rPr>
        <w:t>Tort, ‘Private Nuisance’ [415-620] citing </w:t>
      </w:r>
      <w:r>
        <w:rPr>
          <w:i/>
          <w:w w:val="105"/>
          <w:sz w:val="13"/>
        </w:rPr>
        <w:t>Sedleigh-Denfield v </w:t>
      </w:r>
      <w:r>
        <w:rPr>
          <w:i/>
          <w:w w:val="105"/>
          <w:sz w:val="13"/>
        </w:rPr>
        <w:t>O’Callaghan</w:t>
      </w:r>
      <w:r>
        <w:rPr>
          <w:i/>
          <w:spacing w:val="5"/>
          <w:w w:val="105"/>
          <w:sz w:val="13"/>
        </w:rPr>
        <w:t> </w:t>
      </w:r>
      <w:r>
        <w:rPr>
          <w:w w:val="105"/>
          <w:sz w:val="13"/>
        </w:rPr>
        <w:t>[1940]</w:t>
      </w:r>
      <w:r>
        <w:rPr>
          <w:spacing w:val="6"/>
          <w:w w:val="105"/>
          <w:sz w:val="13"/>
        </w:rPr>
        <w:t> </w:t>
      </w:r>
      <w:r>
        <w:rPr>
          <w:w w:val="105"/>
          <w:sz w:val="13"/>
        </w:rPr>
        <w:t>AC</w:t>
      </w:r>
      <w:r>
        <w:rPr>
          <w:spacing w:val="5"/>
          <w:w w:val="105"/>
          <w:sz w:val="13"/>
        </w:rPr>
        <w:t> </w:t>
      </w:r>
      <w:r>
        <w:rPr>
          <w:spacing w:val="2"/>
          <w:w w:val="105"/>
          <w:sz w:val="13"/>
        </w:rPr>
        <w:t>880</w:t>
      </w:r>
      <w:r>
        <w:rPr>
          <w:spacing w:val="6"/>
          <w:w w:val="105"/>
          <w:sz w:val="13"/>
        </w:rPr>
        <w:t> </w:t>
      </w:r>
      <w:r>
        <w:rPr>
          <w:w w:val="105"/>
          <w:sz w:val="13"/>
        </w:rPr>
        <w:t>at</w:t>
      </w:r>
      <w:r>
        <w:rPr>
          <w:spacing w:val="5"/>
          <w:w w:val="105"/>
          <w:sz w:val="13"/>
        </w:rPr>
        <w:t> </w:t>
      </w:r>
      <w:r>
        <w:rPr>
          <w:spacing w:val="3"/>
          <w:w w:val="105"/>
          <w:sz w:val="13"/>
        </w:rPr>
        <w:t>904;</w:t>
      </w:r>
      <w:r>
        <w:rPr>
          <w:spacing w:val="6"/>
          <w:w w:val="105"/>
          <w:sz w:val="13"/>
        </w:rPr>
        <w:t> </w:t>
      </w:r>
      <w:r>
        <w:rPr>
          <w:i/>
          <w:w w:val="105"/>
          <w:sz w:val="13"/>
        </w:rPr>
        <w:t>Halsey</w:t>
      </w:r>
      <w:r>
        <w:rPr>
          <w:i/>
          <w:spacing w:val="5"/>
          <w:w w:val="105"/>
          <w:sz w:val="13"/>
        </w:rPr>
        <w:t> </w:t>
      </w:r>
      <w:r>
        <w:rPr>
          <w:i/>
          <w:w w:val="105"/>
          <w:sz w:val="13"/>
        </w:rPr>
        <w:t>v</w:t>
      </w:r>
      <w:r>
        <w:rPr>
          <w:i/>
          <w:spacing w:val="6"/>
          <w:w w:val="105"/>
          <w:sz w:val="13"/>
        </w:rPr>
        <w:t> </w:t>
      </w:r>
      <w:r>
        <w:rPr>
          <w:i/>
          <w:w w:val="105"/>
          <w:sz w:val="13"/>
        </w:rPr>
        <w:t>Esso</w:t>
      </w:r>
      <w:r>
        <w:rPr>
          <w:i/>
          <w:spacing w:val="5"/>
          <w:w w:val="105"/>
          <w:sz w:val="13"/>
        </w:rPr>
        <w:t> </w:t>
      </w:r>
      <w:r>
        <w:rPr>
          <w:i/>
          <w:w w:val="105"/>
          <w:sz w:val="13"/>
        </w:rPr>
        <w:t>Petroleum</w:t>
      </w:r>
      <w:r>
        <w:rPr>
          <w:i/>
          <w:spacing w:val="6"/>
          <w:w w:val="105"/>
          <w:sz w:val="13"/>
        </w:rPr>
        <w:t> </w:t>
      </w:r>
      <w:r>
        <w:rPr>
          <w:i/>
          <w:w w:val="105"/>
          <w:sz w:val="13"/>
        </w:rPr>
        <w:t>Co</w:t>
      </w:r>
      <w:r>
        <w:rPr>
          <w:i/>
          <w:spacing w:val="5"/>
          <w:w w:val="105"/>
          <w:sz w:val="13"/>
        </w:rPr>
        <w:t> </w:t>
      </w:r>
      <w:r>
        <w:rPr>
          <w:i/>
          <w:w w:val="105"/>
          <w:sz w:val="13"/>
        </w:rPr>
        <w:t>Ltd</w:t>
      </w:r>
      <w:r>
        <w:rPr>
          <w:i/>
          <w:spacing w:val="6"/>
          <w:w w:val="105"/>
          <w:sz w:val="13"/>
        </w:rPr>
        <w:t> </w:t>
      </w:r>
      <w:r>
        <w:rPr>
          <w:w w:val="105"/>
          <w:sz w:val="13"/>
        </w:rPr>
        <w:t>[1961]</w:t>
      </w:r>
      <w:r>
        <w:rPr>
          <w:spacing w:val="5"/>
          <w:w w:val="105"/>
          <w:sz w:val="13"/>
        </w:rPr>
        <w:t> </w:t>
      </w:r>
      <w:r>
        <w:rPr>
          <w:w w:val="105"/>
          <w:sz w:val="13"/>
        </w:rPr>
        <w:t>2</w:t>
      </w:r>
      <w:r>
        <w:rPr>
          <w:spacing w:val="6"/>
          <w:w w:val="105"/>
          <w:sz w:val="13"/>
        </w:rPr>
        <w:t> </w:t>
      </w:r>
      <w:r>
        <w:rPr>
          <w:w w:val="105"/>
          <w:sz w:val="13"/>
        </w:rPr>
        <w:t>All</w:t>
      </w:r>
      <w:r>
        <w:rPr>
          <w:spacing w:val="5"/>
          <w:w w:val="105"/>
          <w:sz w:val="13"/>
        </w:rPr>
        <w:t> </w:t>
      </w:r>
      <w:r>
        <w:rPr>
          <w:w w:val="105"/>
          <w:sz w:val="13"/>
        </w:rPr>
        <w:t>ER</w:t>
      </w:r>
      <w:r>
        <w:rPr>
          <w:spacing w:val="6"/>
          <w:w w:val="105"/>
          <w:sz w:val="13"/>
        </w:rPr>
        <w:t> </w:t>
      </w:r>
      <w:r>
        <w:rPr>
          <w:w w:val="105"/>
          <w:sz w:val="13"/>
        </w:rPr>
        <w:t>145,</w:t>
      </w:r>
      <w:r>
        <w:rPr>
          <w:spacing w:val="5"/>
          <w:w w:val="105"/>
          <w:sz w:val="13"/>
        </w:rPr>
        <w:t> </w:t>
      </w:r>
      <w:r>
        <w:rPr>
          <w:spacing w:val="-5"/>
          <w:w w:val="105"/>
          <w:sz w:val="13"/>
        </w:rPr>
        <w:t>151.</w:t>
      </w:r>
    </w:p>
    <w:p>
      <w:pPr>
        <w:pStyle w:val="ListParagraph"/>
        <w:numPr>
          <w:ilvl w:val="0"/>
          <w:numId w:val="27"/>
        </w:numPr>
        <w:tabs>
          <w:tab w:pos="2381" w:val="left" w:leader="none"/>
          <w:tab w:pos="2382" w:val="left" w:leader="none"/>
        </w:tabs>
        <w:spacing w:line="240" w:lineRule="auto" w:before="3" w:after="0"/>
        <w:ind w:left="2381" w:right="1931" w:hanging="794"/>
        <w:jc w:val="left"/>
        <w:rPr>
          <w:sz w:val="13"/>
        </w:rPr>
      </w:pPr>
      <w:r>
        <w:rPr>
          <w:sz w:val="13"/>
        </w:rPr>
        <w:t>This means freehold owners in possession of land, or tenants or licensees with exclusive possession. See Kit Barker, Peter Cane, Mark       Lunney and Francis Trindade, </w:t>
      </w:r>
      <w:r>
        <w:rPr>
          <w:i/>
          <w:sz w:val="13"/>
        </w:rPr>
        <w:t>The Law of Torts in Australia </w:t>
      </w:r>
      <w:r>
        <w:rPr>
          <w:spacing w:val="2"/>
          <w:sz w:val="13"/>
        </w:rPr>
        <w:t>(Oxford </w:t>
      </w:r>
      <w:r>
        <w:rPr>
          <w:sz w:val="13"/>
        </w:rPr>
        <w:t>University Press, 5th ed, 2012) [5.1.4]; </w:t>
      </w:r>
      <w:r>
        <w:rPr>
          <w:i/>
          <w:sz w:val="13"/>
        </w:rPr>
        <w:t>Robson v Leischke </w:t>
      </w:r>
      <w:r>
        <w:rPr>
          <w:spacing w:val="2"/>
          <w:sz w:val="13"/>
        </w:rPr>
        <w:t>(2008) </w:t>
      </w:r>
      <w:r>
        <w:rPr>
          <w:sz w:val="13"/>
        </w:rPr>
        <w:t>72    </w:t>
      </w:r>
      <w:r>
        <w:rPr>
          <w:spacing w:val="2"/>
          <w:sz w:val="13"/>
        </w:rPr>
        <w:t>NSWLR </w:t>
      </w:r>
      <w:r>
        <w:rPr>
          <w:sz w:val="13"/>
        </w:rPr>
        <w:t>98</w:t>
      </w:r>
      <w:r>
        <w:rPr>
          <w:spacing w:val="10"/>
          <w:sz w:val="13"/>
        </w:rPr>
        <w:t> </w:t>
      </w:r>
      <w:r>
        <w:rPr>
          <w:sz w:val="13"/>
        </w:rPr>
        <w:t>[91].</w:t>
      </w:r>
    </w:p>
    <w:p>
      <w:pPr>
        <w:pStyle w:val="ListParagraph"/>
        <w:numPr>
          <w:ilvl w:val="0"/>
          <w:numId w:val="27"/>
        </w:numPr>
        <w:tabs>
          <w:tab w:pos="2381" w:val="left" w:leader="none"/>
          <w:tab w:pos="2382" w:val="left" w:leader="none"/>
        </w:tabs>
        <w:spacing w:line="240" w:lineRule="auto" w:before="4" w:after="0"/>
        <w:ind w:left="2381" w:right="0" w:hanging="793"/>
        <w:jc w:val="left"/>
        <w:rPr>
          <w:sz w:val="13"/>
        </w:rPr>
      </w:pPr>
      <w:r>
        <w:rPr>
          <w:w w:val="105"/>
          <w:sz w:val="13"/>
        </w:rPr>
        <w:t>Paula</w:t>
      </w:r>
      <w:r>
        <w:rPr>
          <w:spacing w:val="5"/>
          <w:w w:val="105"/>
          <w:sz w:val="13"/>
        </w:rPr>
        <w:t> </w:t>
      </w:r>
      <w:r>
        <w:rPr>
          <w:w w:val="105"/>
          <w:sz w:val="13"/>
        </w:rPr>
        <w:t>Giliker,</w:t>
      </w:r>
      <w:r>
        <w:rPr>
          <w:spacing w:val="6"/>
          <w:w w:val="105"/>
          <w:sz w:val="13"/>
        </w:rPr>
        <w:t> </w:t>
      </w:r>
      <w:r>
        <w:rPr>
          <w:w w:val="105"/>
          <w:sz w:val="13"/>
        </w:rPr>
        <w:t>‘Nuisance’</w:t>
      </w:r>
      <w:r>
        <w:rPr>
          <w:spacing w:val="6"/>
          <w:w w:val="105"/>
          <w:sz w:val="13"/>
        </w:rPr>
        <w:t> </w:t>
      </w:r>
      <w:r>
        <w:rPr>
          <w:w w:val="105"/>
          <w:sz w:val="13"/>
        </w:rPr>
        <w:t>in</w:t>
      </w:r>
      <w:r>
        <w:rPr>
          <w:spacing w:val="5"/>
          <w:w w:val="105"/>
          <w:sz w:val="13"/>
        </w:rPr>
        <w:t> </w:t>
      </w:r>
      <w:r>
        <w:rPr>
          <w:w w:val="105"/>
          <w:sz w:val="13"/>
        </w:rPr>
        <w:t>Carolyn</w:t>
      </w:r>
      <w:r>
        <w:rPr>
          <w:spacing w:val="6"/>
          <w:w w:val="105"/>
          <w:sz w:val="13"/>
        </w:rPr>
        <w:t> </w:t>
      </w:r>
      <w:r>
        <w:rPr>
          <w:w w:val="105"/>
          <w:sz w:val="13"/>
        </w:rPr>
        <w:t>Sappideen</w:t>
      </w:r>
      <w:r>
        <w:rPr>
          <w:spacing w:val="6"/>
          <w:w w:val="105"/>
          <w:sz w:val="13"/>
        </w:rPr>
        <w:t> </w:t>
      </w:r>
      <w:r>
        <w:rPr>
          <w:w w:val="105"/>
          <w:sz w:val="13"/>
        </w:rPr>
        <w:t>and</w:t>
      </w:r>
      <w:r>
        <w:rPr>
          <w:spacing w:val="6"/>
          <w:w w:val="105"/>
          <w:sz w:val="13"/>
        </w:rPr>
        <w:t> </w:t>
      </w:r>
      <w:r>
        <w:rPr>
          <w:w w:val="105"/>
          <w:sz w:val="13"/>
        </w:rPr>
        <w:t>Prue</w:t>
      </w:r>
      <w:r>
        <w:rPr>
          <w:spacing w:val="5"/>
          <w:w w:val="105"/>
          <w:sz w:val="13"/>
        </w:rPr>
        <w:t> </w:t>
      </w:r>
      <w:r>
        <w:rPr>
          <w:w w:val="105"/>
          <w:sz w:val="13"/>
        </w:rPr>
        <w:t>Vines</w:t>
      </w:r>
      <w:r>
        <w:rPr>
          <w:spacing w:val="6"/>
          <w:w w:val="105"/>
          <w:sz w:val="13"/>
        </w:rPr>
        <w:t> </w:t>
      </w:r>
      <w:r>
        <w:rPr>
          <w:spacing w:val="2"/>
          <w:w w:val="105"/>
          <w:sz w:val="13"/>
        </w:rPr>
        <w:t>(eds),</w:t>
      </w:r>
      <w:r>
        <w:rPr>
          <w:spacing w:val="6"/>
          <w:w w:val="105"/>
          <w:sz w:val="13"/>
        </w:rPr>
        <w:t> </w:t>
      </w:r>
      <w:r>
        <w:rPr>
          <w:i/>
          <w:w w:val="105"/>
          <w:sz w:val="13"/>
        </w:rPr>
        <w:t>Fleming’s</w:t>
      </w:r>
      <w:r>
        <w:rPr>
          <w:i/>
          <w:spacing w:val="5"/>
          <w:w w:val="105"/>
          <w:sz w:val="13"/>
        </w:rPr>
        <w:t> </w:t>
      </w:r>
      <w:r>
        <w:rPr>
          <w:i/>
          <w:w w:val="105"/>
          <w:sz w:val="13"/>
        </w:rPr>
        <w:t>The</w:t>
      </w:r>
      <w:r>
        <w:rPr>
          <w:i/>
          <w:spacing w:val="6"/>
          <w:w w:val="105"/>
          <w:sz w:val="13"/>
        </w:rPr>
        <w:t> </w:t>
      </w:r>
      <w:r>
        <w:rPr>
          <w:i/>
          <w:w w:val="105"/>
          <w:sz w:val="13"/>
        </w:rPr>
        <w:t>Law</w:t>
      </w:r>
      <w:r>
        <w:rPr>
          <w:i/>
          <w:spacing w:val="6"/>
          <w:w w:val="105"/>
          <w:sz w:val="13"/>
        </w:rPr>
        <w:t> </w:t>
      </w:r>
      <w:r>
        <w:rPr>
          <w:i/>
          <w:w w:val="105"/>
          <w:sz w:val="13"/>
        </w:rPr>
        <w:t>of</w:t>
      </w:r>
      <w:r>
        <w:rPr>
          <w:i/>
          <w:spacing w:val="6"/>
          <w:w w:val="105"/>
          <w:sz w:val="13"/>
        </w:rPr>
        <w:t> </w:t>
      </w:r>
      <w:r>
        <w:rPr>
          <w:i/>
          <w:w w:val="105"/>
          <w:sz w:val="13"/>
        </w:rPr>
        <w:t>Torts</w:t>
      </w:r>
      <w:r>
        <w:rPr>
          <w:i/>
          <w:spacing w:val="5"/>
          <w:w w:val="105"/>
          <w:sz w:val="13"/>
        </w:rPr>
        <w:t> </w:t>
      </w:r>
      <w:r>
        <w:rPr>
          <w:spacing w:val="2"/>
          <w:w w:val="105"/>
          <w:sz w:val="13"/>
        </w:rPr>
        <w:t>(Lawbook</w:t>
      </w:r>
      <w:r>
        <w:rPr>
          <w:spacing w:val="6"/>
          <w:w w:val="105"/>
          <w:sz w:val="13"/>
        </w:rPr>
        <w:t> </w:t>
      </w:r>
      <w:r>
        <w:rPr>
          <w:w w:val="105"/>
          <w:sz w:val="13"/>
        </w:rPr>
        <w:t>Co.,</w:t>
      </w:r>
      <w:r>
        <w:rPr>
          <w:spacing w:val="6"/>
          <w:w w:val="105"/>
          <w:sz w:val="13"/>
        </w:rPr>
        <w:t> </w:t>
      </w:r>
      <w:r>
        <w:rPr>
          <w:w w:val="105"/>
          <w:sz w:val="13"/>
        </w:rPr>
        <w:t>10th</w:t>
      </w:r>
      <w:r>
        <w:rPr>
          <w:spacing w:val="5"/>
          <w:w w:val="105"/>
          <w:sz w:val="13"/>
        </w:rPr>
        <w:t> </w:t>
      </w:r>
      <w:r>
        <w:rPr>
          <w:w w:val="105"/>
          <w:sz w:val="13"/>
        </w:rPr>
        <w:t>ed,</w:t>
      </w:r>
      <w:r>
        <w:rPr>
          <w:spacing w:val="6"/>
          <w:w w:val="105"/>
          <w:sz w:val="13"/>
        </w:rPr>
        <w:t> </w:t>
      </w:r>
      <w:r>
        <w:rPr>
          <w:spacing w:val="-4"/>
          <w:w w:val="105"/>
          <w:sz w:val="13"/>
        </w:rPr>
        <w:t>2011)</w:t>
      </w:r>
      <w:r>
        <w:rPr>
          <w:spacing w:val="6"/>
          <w:w w:val="105"/>
          <w:sz w:val="13"/>
        </w:rPr>
        <w:t> </w:t>
      </w:r>
      <w:r>
        <w:rPr>
          <w:w w:val="105"/>
          <w:sz w:val="13"/>
        </w:rPr>
        <w:t>487</w:t>
      </w:r>
      <w:r>
        <w:rPr>
          <w:spacing w:val="5"/>
          <w:w w:val="105"/>
          <w:sz w:val="13"/>
        </w:rPr>
        <w:t> </w:t>
      </w:r>
      <w:r>
        <w:rPr>
          <w:w w:val="105"/>
          <w:sz w:val="13"/>
        </w:rPr>
        <w:t>[21.80].</w:t>
      </w:r>
    </w:p>
    <w:p>
      <w:pPr>
        <w:pStyle w:val="ListParagraph"/>
        <w:numPr>
          <w:ilvl w:val="0"/>
          <w:numId w:val="27"/>
        </w:numPr>
        <w:tabs>
          <w:tab w:pos="2381" w:val="left" w:leader="none"/>
          <w:tab w:pos="2382" w:val="left" w:leader="none"/>
        </w:tabs>
        <w:spacing w:line="240" w:lineRule="auto" w:before="1" w:after="0"/>
        <w:ind w:left="2381" w:right="0" w:hanging="793"/>
        <w:jc w:val="left"/>
        <w:rPr>
          <w:sz w:val="13"/>
        </w:rPr>
      </w:pPr>
      <w:r>
        <w:rPr>
          <w:i/>
          <w:w w:val="105"/>
          <w:sz w:val="13"/>
        </w:rPr>
        <w:t>Bamford v Turnley </w:t>
      </w:r>
      <w:r>
        <w:rPr>
          <w:w w:val="105"/>
          <w:sz w:val="13"/>
        </w:rPr>
        <w:t>(1862) 122 ER </w:t>
      </w:r>
      <w:r>
        <w:rPr>
          <w:spacing w:val="-5"/>
          <w:w w:val="105"/>
          <w:sz w:val="13"/>
        </w:rPr>
        <w:t>27,</w:t>
      </w:r>
      <w:r>
        <w:rPr>
          <w:spacing w:val="6"/>
          <w:w w:val="105"/>
          <w:sz w:val="13"/>
        </w:rPr>
        <w:t> </w:t>
      </w:r>
      <w:r>
        <w:rPr>
          <w:w w:val="105"/>
          <w:sz w:val="13"/>
        </w:rPr>
        <w:t>32–3.</w:t>
      </w:r>
    </w:p>
    <w:p>
      <w:pPr>
        <w:pStyle w:val="ListParagraph"/>
        <w:numPr>
          <w:ilvl w:val="0"/>
          <w:numId w:val="27"/>
        </w:numPr>
        <w:tabs>
          <w:tab w:pos="2381" w:val="left" w:leader="none"/>
          <w:tab w:pos="2382" w:val="left" w:leader="none"/>
        </w:tabs>
        <w:spacing w:line="240" w:lineRule="auto" w:before="2" w:after="0"/>
        <w:ind w:left="2381" w:right="0" w:hanging="793"/>
        <w:jc w:val="left"/>
        <w:rPr>
          <w:sz w:val="13"/>
        </w:rPr>
      </w:pPr>
      <w:r>
        <w:rPr>
          <w:w w:val="105"/>
          <w:sz w:val="13"/>
        </w:rPr>
        <w:t>Kit</w:t>
      </w:r>
      <w:r>
        <w:rPr>
          <w:spacing w:val="4"/>
          <w:w w:val="105"/>
          <w:sz w:val="13"/>
        </w:rPr>
        <w:t> </w:t>
      </w:r>
      <w:r>
        <w:rPr>
          <w:w w:val="105"/>
          <w:sz w:val="13"/>
        </w:rPr>
        <w:t>Barker,</w:t>
      </w:r>
      <w:r>
        <w:rPr>
          <w:spacing w:val="4"/>
          <w:w w:val="105"/>
          <w:sz w:val="13"/>
        </w:rPr>
        <w:t> </w:t>
      </w:r>
      <w:r>
        <w:rPr>
          <w:w w:val="105"/>
          <w:sz w:val="13"/>
        </w:rPr>
        <w:t>Peter</w:t>
      </w:r>
      <w:r>
        <w:rPr>
          <w:spacing w:val="4"/>
          <w:w w:val="105"/>
          <w:sz w:val="13"/>
        </w:rPr>
        <w:t> </w:t>
      </w:r>
      <w:r>
        <w:rPr>
          <w:w w:val="105"/>
          <w:sz w:val="13"/>
        </w:rPr>
        <w:t>Cane,</w:t>
      </w:r>
      <w:r>
        <w:rPr>
          <w:spacing w:val="5"/>
          <w:w w:val="105"/>
          <w:sz w:val="13"/>
        </w:rPr>
        <w:t> </w:t>
      </w:r>
      <w:r>
        <w:rPr>
          <w:w w:val="105"/>
          <w:sz w:val="13"/>
        </w:rPr>
        <w:t>Mark</w:t>
      </w:r>
      <w:r>
        <w:rPr>
          <w:spacing w:val="4"/>
          <w:w w:val="105"/>
          <w:sz w:val="13"/>
        </w:rPr>
        <w:t> </w:t>
      </w:r>
      <w:r>
        <w:rPr>
          <w:w w:val="105"/>
          <w:sz w:val="13"/>
        </w:rPr>
        <w:t>Lunney</w:t>
      </w:r>
      <w:r>
        <w:rPr>
          <w:spacing w:val="4"/>
          <w:w w:val="105"/>
          <w:sz w:val="13"/>
        </w:rPr>
        <w:t> </w:t>
      </w:r>
      <w:r>
        <w:rPr>
          <w:w w:val="105"/>
          <w:sz w:val="13"/>
        </w:rPr>
        <w:t>and</w:t>
      </w:r>
      <w:r>
        <w:rPr>
          <w:spacing w:val="4"/>
          <w:w w:val="105"/>
          <w:sz w:val="13"/>
        </w:rPr>
        <w:t> </w:t>
      </w:r>
      <w:r>
        <w:rPr>
          <w:w w:val="105"/>
          <w:sz w:val="13"/>
        </w:rPr>
        <w:t>Francis</w:t>
      </w:r>
      <w:r>
        <w:rPr>
          <w:spacing w:val="5"/>
          <w:w w:val="105"/>
          <w:sz w:val="13"/>
        </w:rPr>
        <w:t> </w:t>
      </w:r>
      <w:r>
        <w:rPr>
          <w:w w:val="105"/>
          <w:sz w:val="13"/>
        </w:rPr>
        <w:t>Trindade,</w:t>
      </w:r>
      <w:r>
        <w:rPr>
          <w:spacing w:val="4"/>
          <w:w w:val="105"/>
          <w:sz w:val="13"/>
        </w:rPr>
        <w:t> </w:t>
      </w:r>
      <w:r>
        <w:rPr>
          <w:i/>
          <w:w w:val="105"/>
          <w:sz w:val="13"/>
        </w:rPr>
        <w:t>The</w:t>
      </w:r>
      <w:r>
        <w:rPr>
          <w:i/>
          <w:spacing w:val="4"/>
          <w:w w:val="105"/>
          <w:sz w:val="13"/>
        </w:rPr>
        <w:t> </w:t>
      </w:r>
      <w:r>
        <w:rPr>
          <w:i/>
          <w:w w:val="105"/>
          <w:sz w:val="13"/>
        </w:rPr>
        <w:t>Law</w:t>
      </w:r>
      <w:r>
        <w:rPr>
          <w:i/>
          <w:spacing w:val="5"/>
          <w:w w:val="105"/>
          <w:sz w:val="13"/>
        </w:rPr>
        <w:t> </w:t>
      </w:r>
      <w:r>
        <w:rPr>
          <w:i/>
          <w:w w:val="105"/>
          <w:sz w:val="13"/>
        </w:rPr>
        <w:t>of</w:t>
      </w:r>
      <w:r>
        <w:rPr>
          <w:i/>
          <w:spacing w:val="4"/>
          <w:w w:val="105"/>
          <w:sz w:val="13"/>
        </w:rPr>
        <w:t> </w:t>
      </w:r>
      <w:r>
        <w:rPr>
          <w:i/>
          <w:w w:val="105"/>
          <w:sz w:val="13"/>
        </w:rPr>
        <w:t>Torts</w:t>
      </w:r>
      <w:r>
        <w:rPr>
          <w:i/>
          <w:spacing w:val="4"/>
          <w:w w:val="105"/>
          <w:sz w:val="13"/>
        </w:rPr>
        <w:t> </w:t>
      </w:r>
      <w:r>
        <w:rPr>
          <w:i/>
          <w:w w:val="105"/>
          <w:sz w:val="13"/>
        </w:rPr>
        <w:t>in</w:t>
      </w:r>
      <w:r>
        <w:rPr>
          <w:i/>
          <w:spacing w:val="4"/>
          <w:w w:val="105"/>
          <w:sz w:val="13"/>
        </w:rPr>
        <w:t> </w:t>
      </w:r>
      <w:r>
        <w:rPr>
          <w:i/>
          <w:w w:val="105"/>
          <w:sz w:val="13"/>
        </w:rPr>
        <w:t>Australia</w:t>
      </w:r>
      <w:r>
        <w:rPr>
          <w:i/>
          <w:spacing w:val="5"/>
          <w:w w:val="105"/>
          <w:sz w:val="13"/>
        </w:rPr>
        <w:t> </w:t>
      </w:r>
      <w:r>
        <w:rPr>
          <w:spacing w:val="2"/>
          <w:w w:val="105"/>
          <w:sz w:val="13"/>
        </w:rPr>
        <w:t>(Oxford</w:t>
      </w:r>
      <w:r>
        <w:rPr>
          <w:spacing w:val="4"/>
          <w:w w:val="105"/>
          <w:sz w:val="13"/>
        </w:rPr>
        <w:t> </w:t>
      </w:r>
      <w:r>
        <w:rPr>
          <w:w w:val="105"/>
          <w:sz w:val="13"/>
        </w:rPr>
        <w:t>University</w:t>
      </w:r>
      <w:r>
        <w:rPr>
          <w:spacing w:val="4"/>
          <w:w w:val="105"/>
          <w:sz w:val="13"/>
        </w:rPr>
        <w:t> </w:t>
      </w:r>
      <w:r>
        <w:rPr>
          <w:w w:val="105"/>
          <w:sz w:val="13"/>
        </w:rPr>
        <w:t>Press,</w:t>
      </w:r>
      <w:r>
        <w:rPr>
          <w:spacing w:val="5"/>
          <w:w w:val="105"/>
          <w:sz w:val="13"/>
        </w:rPr>
        <w:t> </w:t>
      </w:r>
      <w:r>
        <w:rPr>
          <w:w w:val="105"/>
          <w:sz w:val="13"/>
        </w:rPr>
        <w:t>5th</w:t>
      </w:r>
      <w:r>
        <w:rPr>
          <w:spacing w:val="4"/>
          <w:w w:val="105"/>
          <w:sz w:val="13"/>
        </w:rPr>
        <w:t> </w:t>
      </w:r>
      <w:r>
        <w:rPr>
          <w:w w:val="105"/>
          <w:sz w:val="13"/>
        </w:rPr>
        <w:t>ed,</w:t>
      </w:r>
      <w:r>
        <w:rPr>
          <w:spacing w:val="4"/>
          <w:w w:val="105"/>
          <w:sz w:val="13"/>
        </w:rPr>
        <w:t> </w:t>
      </w:r>
      <w:r>
        <w:rPr>
          <w:w w:val="105"/>
          <w:sz w:val="13"/>
        </w:rPr>
        <w:t>2012)</w:t>
      </w:r>
      <w:r>
        <w:rPr>
          <w:spacing w:val="4"/>
          <w:w w:val="105"/>
          <w:sz w:val="13"/>
        </w:rPr>
        <w:t> </w:t>
      </w:r>
      <w:r>
        <w:rPr>
          <w:w w:val="105"/>
          <w:sz w:val="13"/>
        </w:rPr>
        <w:t>[5.1.2.2].</w:t>
      </w:r>
    </w:p>
    <w:p>
      <w:pPr>
        <w:pStyle w:val="ListParagraph"/>
        <w:numPr>
          <w:ilvl w:val="0"/>
          <w:numId w:val="27"/>
        </w:numPr>
        <w:tabs>
          <w:tab w:pos="2381" w:val="left" w:leader="none"/>
          <w:tab w:pos="2382" w:val="left" w:leader="none"/>
        </w:tabs>
        <w:spacing w:line="240" w:lineRule="auto" w:before="1" w:after="0"/>
        <w:ind w:left="2381" w:right="1634" w:hanging="793"/>
        <w:jc w:val="left"/>
        <w:rPr>
          <w:sz w:val="13"/>
        </w:rPr>
      </w:pPr>
      <w:r>
        <w:rPr/>
        <w:pict>
          <v:shape style="position:absolute;margin-left:36pt;margin-top:26.988667pt;width:13.25pt;height:14.25pt;mso-position-horizontal-relative:page;mso-position-vertical-relative:paragraph;z-index:3208" type="#_x0000_t202" filled="false" stroked="false">
            <v:textbox inset="0,0,0,0">
              <w:txbxContent>
                <w:p>
                  <w:pPr>
                    <w:spacing w:line="284" w:lineRule="exact" w:before="0"/>
                    <w:ind w:left="0" w:right="0" w:firstLine="0"/>
                    <w:jc w:val="left"/>
                    <w:rPr>
                      <w:b/>
                      <w:sz w:val="24"/>
                    </w:rPr>
                  </w:pPr>
                  <w:r>
                    <w:rPr>
                      <w:b/>
                      <w:color w:val="658464"/>
                      <w:spacing w:val="-2"/>
                      <w:w w:val="110"/>
                      <w:sz w:val="24"/>
                    </w:rPr>
                    <w:t>32</w:t>
                  </w:r>
                </w:p>
              </w:txbxContent>
            </v:textbox>
            <w10:wrap type="none"/>
          </v:shape>
        </w:pict>
      </w:r>
      <w:r>
        <w:rPr>
          <w:w w:val="105"/>
          <w:sz w:val="13"/>
        </w:rPr>
        <w:t>Paula Giliker, ‘Nuisance’ in Carolyn Sappideen and Prue Vines (eds) </w:t>
      </w:r>
      <w:r>
        <w:rPr>
          <w:i/>
          <w:w w:val="105"/>
          <w:sz w:val="13"/>
        </w:rPr>
        <w:t>Fleming’s The Law of Torts </w:t>
      </w:r>
      <w:r>
        <w:rPr>
          <w:spacing w:val="2"/>
          <w:w w:val="105"/>
          <w:sz w:val="13"/>
        </w:rPr>
        <w:t>(Lawbook </w:t>
      </w:r>
      <w:r>
        <w:rPr>
          <w:w w:val="105"/>
          <w:sz w:val="13"/>
        </w:rPr>
        <w:t>Co., 10th ed, </w:t>
      </w:r>
      <w:r>
        <w:rPr>
          <w:spacing w:val="-4"/>
          <w:w w:val="105"/>
          <w:sz w:val="13"/>
        </w:rPr>
        <w:t>2011) </w:t>
      </w:r>
      <w:r>
        <w:rPr>
          <w:w w:val="105"/>
          <w:sz w:val="13"/>
        </w:rPr>
        <w:t>487, 499 n 98 citing American Law Institute, </w:t>
      </w:r>
      <w:r>
        <w:rPr>
          <w:i/>
          <w:w w:val="105"/>
          <w:sz w:val="13"/>
        </w:rPr>
        <w:t>Restatement </w:t>
      </w:r>
      <w:r>
        <w:rPr>
          <w:w w:val="105"/>
          <w:sz w:val="13"/>
        </w:rPr>
        <w:t>(Second) of the Law of Torts 2d (1965) § 822. In other words, ‘there must be an inconvenience materially interfering with the ordinary comfort physically of human existence, not merely according to elegant and dainty habits of living   but according to plain and sober notions among ordinary people’: Paula Giliker, ‘Nuisance’ in Carolyn Sappideen and Prue Vines </w:t>
      </w:r>
      <w:r>
        <w:rPr>
          <w:spacing w:val="2"/>
          <w:w w:val="105"/>
          <w:sz w:val="13"/>
        </w:rPr>
        <w:t>(eds), </w:t>
      </w:r>
      <w:r>
        <w:rPr>
          <w:i/>
          <w:w w:val="105"/>
          <w:sz w:val="13"/>
        </w:rPr>
        <w:t>Fleming’s</w:t>
      </w:r>
      <w:r>
        <w:rPr>
          <w:i/>
          <w:spacing w:val="7"/>
          <w:w w:val="105"/>
          <w:sz w:val="13"/>
        </w:rPr>
        <w:t> </w:t>
      </w:r>
      <w:r>
        <w:rPr>
          <w:i/>
          <w:w w:val="105"/>
          <w:sz w:val="13"/>
        </w:rPr>
        <w:t>The</w:t>
      </w:r>
      <w:r>
        <w:rPr>
          <w:i/>
          <w:spacing w:val="7"/>
          <w:w w:val="105"/>
          <w:sz w:val="13"/>
        </w:rPr>
        <w:t> </w:t>
      </w:r>
      <w:r>
        <w:rPr>
          <w:i/>
          <w:w w:val="105"/>
          <w:sz w:val="13"/>
        </w:rPr>
        <w:t>Law</w:t>
      </w:r>
      <w:r>
        <w:rPr>
          <w:i/>
          <w:spacing w:val="7"/>
          <w:w w:val="105"/>
          <w:sz w:val="13"/>
        </w:rPr>
        <w:t> </w:t>
      </w:r>
      <w:r>
        <w:rPr>
          <w:i/>
          <w:w w:val="105"/>
          <w:sz w:val="13"/>
        </w:rPr>
        <w:t>of</w:t>
      </w:r>
      <w:r>
        <w:rPr>
          <w:i/>
          <w:spacing w:val="7"/>
          <w:w w:val="105"/>
          <w:sz w:val="13"/>
        </w:rPr>
        <w:t> </w:t>
      </w:r>
      <w:r>
        <w:rPr>
          <w:i/>
          <w:w w:val="105"/>
          <w:sz w:val="13"/>
        </w:rPr>
        <w:t>Torts</w:t>
      </w:r>
      <w:r>
        <w:rPr>
          <w:i/>
          <w:spacing w:val="7"/>
          <w:w w:val="105"/>
          <w:sz w:val="13"/>
        </w:rPr>
        <w:t> </w:t>
      </w:r>
      <w:r>
        <w:rPr>
          <w:spacing w:val="2"/>
          <w:w w:val="105"/>
          <w:sz w:val="13"/>
        </w:rPr>
        <w:t>(Lawbook</w:t>
      </w:r>
      <w:r>
        <w:rPr>
          <w:spacing w:val="7"/>
          <w:w w:val="105"/>
          <w:sz w:val="13"/>
        </w:rPr>
        <w:t> </w:t>
      </w:r>
      <w:r>
        <w:rPr>
          <w:w w:val="105"/>
          <w:sz w:val="13"/>
        </w:rPr>
        <w:t>Co.,</w:t>
      </w:r>
      <w:r>
        <w:rPr>
          <w:spacing w:val="8"/>
          <w:w w:val="105"/>
          <w:sz w:val="13"/>
        </w:rPr>
        <w:t> </w:t>
      </w:r>
      <w:r>
        <w:rPr>
          <w:w w:val="105"/>
          <w:sz w:val="13"/>
        </w:rPr>
        <w:t>10th</w:t>
      </w:r>
      <w:r>
        <w:rPr>
          <w:spacing w:val="7"/>
          <w:w w:val="105"/>
          <w:sz w:val="13"/>
        </w:rPr>
        <w:t> </w:t>
      </w:r>
      <w:r>
        <w:rPr>
          <w:w w:val="105"/>
          <w:sz w:val="13"/>
        </w:rPr>
        <w:t>ed,</w:t>
      </w:r>
      <w:r>
        <w:rPr>
          <w:spacing w:val="7"/>
          <w:w w:val="105"/>
          <w:sz w:val="13"/>
        </w:rPr>
        <w:t> </w:t>
      </w:r>
      <w:r>
        <w:rPr>
          <w:spacing w:val="-4"/>
          <w:w w:val="105"/>
          <w:sz w:val="13"/>
        </w:rPr>
        <w:t>2011)</w:t>
      </w:r>
      <w:r>
        <w:rPr>
          <w:spacing w:val="7"/>
          <w:w w:val="105"/>
          <w:sz w:val="13"/>
        </w:rPr>
        <w:t> </w:t>
      </w:r>
      <w:r>
        <w:rPr>
          <w:w w:val="105"/>
          <w:sz w:val="13"/>
        </w:rPr>
        <w:t>487,</w:t>
      </w:r>
      <w:r>
        <w:rPr>
          <w:spacing w:val="7"/>
          <w:w w:val="105"/>
          <w:sz w:val="13"/>
        </w:rPr>
        <w:t> </w:t>
      </w:r>
      <w:r>
        <w:rPr>
          <w:spacing w:val="2"/>
          <w:w w:val="105"/>
          <w:sz w:val="13"/>
        </w:rPr>
        <w:t>500</w:t>
      </w:r>
      <w:r>
        <w:rPr>
          <w:spacing w:val="7"/>
          <w:w w:val="105"/>
          <w:sz w:val="13"/>
        </w:rPr>
        <w:t> </w:t>
      </w:r>
      <w:r>
        <w:rPr>
          <w:w w:val="105"/>
          <w:sz w:val="13"/>
        </w:rPr>
        <w:t>citing</w:t>
      </w:r>
      <w:r>
        <w:rPr>
          <w:spacing w:val="8"/>
          <w:w w:val="105"/>
          <w:sz w:val="13"/>
        </w:rPr>
        <w:t> </w:t>
      </w:r>
      <w:r>
        <w:rPr>
          <w:i/>
          <w:w w:val="105"/>
          <w:sz w:val="13"/>
        </w:rPr>
        <w:t>Walter</w:t>
      </w:r>
      <w:r>
        <w:rPr>
          <w:i/>
          <w:spacing w:val="7"/>
          <w:w w:val="105"/>
          <w:sz w:val="13"/>
        </w:rPr>
        <w:t> </w:t>
      </w:r>
      <w:r>
        <w:rPr>
          <w:i/>
          <w:w w:val="105"/>
          <w:sz w:val="13"/>
        </w:rPr>
        <w:t>v</w:t>
      </w:r>
      <w:r>
        <w:rPr>
          <w:i/>
          <w:spacing w:val="7"/>
          <w:w w:val="105"/>
          <w:sz w:val="13"/>
        </w:rPr>
        <w:t> </w:t>
      </w:r>
      <w:r>
        <w:rPr>
          <w:i/>
          <w:w w:val="105"/>
          <w:sz w:val="13"/>
        </w:rPr>
        <w:t>Selfe</w:t>
      </w:r>
      <w:r>
        <w:rPr>
          <w:i/>
          <w:spacing w:val="7"/>
          <w:w w:val="105"/>
          <w:sz w:val="13"/>
        </w:rPr>
        <w:t> </w:t>
      </w:r>
      <w:r>
        <w:rPr>
          <w:spacing w:val="-3"/>
          <w:w w:val="105"/>
          <w:sz w:val="13"/>
        </w:rPr>
        <w:t>(1851)</w:t>
      </w:r>
      <w:r>
        <w:rPr>
          <w:spacing w:val="7"/>
          <w:w w:val="105"/>
          <w:sz w:val="13"/>
        </w:rPr>
        <w:t> </w:t>
      </w:r>
      <w:r>
        <w:rPr>
          <w:w w:val="105"/>
          <w:sz w:val="13"/>
        </w:rPr>
        <w:t>4</w:t>
      </w:r>
      <w:r>
        <w:rPr>
          <w:spacing w:val="7"/>
          <w:w w:val="105"/>
          <w:sz w:val="13"/>
        </w:rPr>
        <w:t> </w:t>
      </w:r>
      <w:r>
        <w:rPr>
          <w:w w:val="105"/>
          <w:sz w:val="13"/>
        </w:rPr>
        <w:t>De</w:t>
      </w:r>
      <w:r>
        <w:rPr>
          <w:spacing w:val="7"/>
          <w:w w:val="105"/>
          <w:sz w:val="13"/>
        </w:rPr>
        <w:t> </w:t>
      </w:r>
      <w:r>
        <w:rPr>
          <w:w w:val="105"/>
          <w:sz w:val="13"/>
        </w:rPr>
        <w:t>G</w:t>
      </w:r>
      <w:r>
        <w:rPr>
          <w:spacing w:val="8"/>
          <w:w w:val="105"/>
          <w:sz w:val="13"/>
        </w:rPr>
        <w:t> </w:t>
      </w:r>
      <w:r>
        <w:rPr>
          <w:w w:val="105"/>
          <w:sz w:val="13"/>
        </w:rPr>
        <w:t>&amp;</w:t>
      </w:r>
      <w:r>
        <w:rPr>
          <w:spacing w:val="7"/>
          <w:w w:val="105"/>
          <w:sz w:val="13"/>
        </w:rPr>
        <w:t> </w:t>
      </w:r>
      <w:r>
        <w:rPr>
          <w:w w:val="105"/>
          <w:sz w:val="13"/>
        </w:rPr>
        <w:t>Sm</w:t>
      </w:r>
      <w:r>
        <w:rPr>
          <w:spacing w:val="7"/>
          <w:w w:val="105"/>
          <w:sz w:val="13"/>
        </w:rPr>
        <w:t> </w:t>
      </w:r>
      <w:r>
        <w:rPr>
          <w:w w:val="105"/>
          <w:sz w:val="13"/>
        </w:rPr>
        <w:t>315;</w:t>
      </w:r>
      <w:r>
        <w:rPr>
          <w:spacing w:val="7"/>
          <w:w w:val="105"/>
          <w:sz w:val="13"/>
        </w:rPr>
        <w:t> </w:t>
      </w:r>
      <w:r>
        <w:rPr>
          <w:spacing w:val="2"/>
          <w:w w:val="105"/>
          <w:sz w:val="13"/>
        </w:rPr>
        <w:t>64</w:t>
      </w:r>
      <w:r>
        <w:rPr>
          <w:spacing w:val="7"/>
          <w:w w:val="105"/>
          <w:sz w:val="13"/>
        </w:rPr>
        <w:t> </w:t>
      </w:r>
      <w:r>
        <w:rPr>
          <w:w w:val="105"/>
          <w:sz w:val="13"/>
        </w:rPr>
        <w:t>ER</w:t>
      </w:r>
      <w:r>
        <w:rPr>
          <w:spacing w:val="7"/>
          <w:w w:val="105"/>
          <w:sz w:val="13"/>
        </w:rPr>
        <w:t> </w:t>
      </w:r>
      <w:r>
        <w:rPr>
          <w:w w:val="105"/>
          <w:sz w:val="13"/>
        </w:rPr>
        <w:t>849,</w:t>
      </w:r>
      <w:r>
        <w:rPr>
          <w:spacing w:val="8"/>
          <w:w w:val="105"/>
          <w:sz w:val="13"/>
        </w:rPr>
        <w:t> </w:t>
      </w:r>
      <w:r>
        <w:rPr>
          <w:spacing w:val="-3"/>
          <w:w w:val="105"/>
          <w:sz w:val="13"/>
        </w:rPr>
        <w:t>851.</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27"/>
        </w:numPr>
        <w:tabs>
          <w:tab w:pos="2721" w:val="left" w:leader="none"/>
          <w:tab w:pos="2722" w:val="left" w:leader="none"/>
        </w:tabs>
        <w:spacing w:line="240" w:lineRule="auto" w:before="91" w:after="0"/>
        <w:ind w:left="2721" w:right="0" w:hanging="340"/>
        <w:jc w:val="left"/>
        <w:rPr>
          <w:sz w:val="21"/>
        </w:rPr>
      </w:pPr>
      <w:r>
        <w:rPr>
          <w:w w:val="105"/>
          <w:sz w:val="21"/>
        </w:rPr>
        <w:t>the extent of the</w:t>
      </w:r>
      <w:r>
        <w:rPr>
          <w:spacing w:val="19"/>
          <w:w w:val="105"/>
          <w:sz w:val="21"/>
        </w:rPr>
        <w:t> </w:t>
      </w:r>
      <w:r>
        <w:rPr>
          <w:spacing w:val="-3"/>
          <w:w w:val="105"/>
          <w:sz w:val="21"/>
        </w:rPr>
        <w:t>interference</w:t>
      </w:r>
    </w:p>
    <w:p>
      <w:pPr>
        <w:pStyle w:val="ListParagraph"/>
        <w:numPr>
          <w:ilvl w:val="1"/>
          <w:numId w:val="27"/>
        </w:numPr>
        <w:tabs>
          <w:tab w:pos="2721" w:val="left" w:leader="none"/>
          <w:tab w:pos="2722" w:val="left" w:leader="none"/>
        </w:tabs>
        <w:spacing w:line="240" w:lineRule="auto" w:before="89" w:after="0"/>
        <w:ind w:left="2721" w:right="0" w:hanging="340"/>
        <w:jc w:val="left"/>
        <w:rPr>
          <w:sz w:val="21"/>
        </w:rPr>
      </w:pPr>
      <w:r>
        <w:rPr>
          <w:w w:val="105"/>
          <w:sz w:val="21"/>
        </w:rPr>
        <w:t>the sensitivity of the affected</w:t>
      </w:r>
      <w:r>
        <w:rPr>
          <w:spacing w:val="23"/>
          <w:w w:val="105"/>
          <w:sz w:val="21"/>
        </w:rPr>
        <w:t> </w:t>
      </w:r>
      <w:r>
        <w:rPr>
          <w:spacing w:val="-3"/>
          <w:w w:val="105"/>
          <w:sz w:val="21"/>
        </w:rPr>
        <w:t>neighbour</w:t>
      </w:r>
    </w:p>
    <w:p>
      <w:pPr>
        <w:pStyle w:val="ListParagraph"/>
        <w:numPr>
          <w:ilvl w:val="1"/>
          <w:numId w:val="27"/>
        </w:numPr>
        <w:tabs>
          <w:tab w:pos="2721" w:val="left" w:leader="none"/>
          <w:tab w:pos="2722" w:val="left" w:leader="none"/>
        </w:tabs>
        <w:spacing w:line="240" w:lineRule="auto" w:before="89" w:after="0"/>
        <w:ind w:left="2721" w:right="0" w:hanging="340"/>
        <w:jc w:val="left"/>
        <w:rPr>
          <w:sz w:val="12"/>
        </w:rPr>
      </w:pPr>
      <w:r>
        <w:rPr>
          <w:w w:val="105"/>
          <w:sz w:val="21"/>
        </w:rPr>
        <w:t>whether an </w:t>
      </w:r>
      <w:r>
        <w:rPr>
          <w:spacing w:val="-3"/>
          <w:w w:val="105"/>
          <w:sz w:val="21"/>
        </w:rPr>
        <w:t>intention to harm</w:t>
      </w:r>
      <w:r>
        <w:rPr>
          <w:spacing w:val="31"/>
          <w:w w:val="105"/>
          <w:sz w:val="21"/>
        </w:rPr>
        <w:t> </w:t>
      </w:r>
      <w:r>
        <w:rPr>
          <w:w w:val="105"/>
          <w:sz w:val="21"/>
        </w:rPr>
        <w:t>exists.</w:t>
      </w:r>
      <w:r>
        <w:rPr>
          <w:w w:val="105"/>
          <w:position w:val="7"/>
          <w:sz w:val="12"/>
        </w:rPr>
        <w:t>62</w:t>
      </w:r>
    </w:p>
    <w:p>
      <w:pPr>
        <w:pStyle w:val="ListParagraph"/>
        <w:numPr>
          <w:ilvl w:val="1"/>
          <w:numId w:val="16"/>
        </w:numPr>
        <w:tabs>
          <w:tab w:pos="2381" w:val="left" w:leader="none"/>
          <w:tab w:pos="2382" w:val="left" w:leader="none"/>
        </w:tabs>
        <w:spacing w:line="242" w:lineRule="auto" w:before="89" w:after="0"/>
        <w:ind w:left="2381" w:right="2090" w:hanging="794"/>
        <w:jc w:val="left"/>
        <w:rPr>
          <w:sz w:val="21"/>
        </w:rPr>
      </w:pPr>
      <w:r>
        <w:rPr>
          <w:spacing w:val="-3"/>
          <w:w w:val="105"/>
          <w:sz w:val="21"/>
        </w:rPr>
        <w:t>Importantly,</w:t>
      </w:r>
      <w:r>
        <w:rPr>
          <w:spacing w:val="-8"/>
          <w:w w:val="105"/>
          <w:sz w:val="21"/>
        </w:rPr>
        <w:t> </w:t>
      </w:r>
      <w:r>
        <w:rPr>
          <w:w w:val="105"/>
          <w:sz w:val="21"/>
        </w:rPr>
        <w:t>there</w:t>
      </w:r>
      <w:r>
        <w:rPr>
          <w:spacing w:val="-7"/>
          <w:w w:val="105"/>
          <w:sz w:val="21"/>
        </w:rPr>
        <w:t> </w:t>
      </w:r>
      <w:r>
        <w:rPr>
          <w:w w:val="105"/>
          <w:sz w:val="21"/>
        </w:rPr>
        <w:t>is</w:t>
      </w:r>
      <w:r>
        <w:rPr>
          <w:spacing w:val="-7"/>
          <w:w w:val="105"/>
          <w:sz w:val="21"/>
        </w:rPr>
        <w:t> </w:t>
      </w:r>
      <w:r>
        <w:rPr>
          <w:w w:val="105"/>
          <w:sz w:val="21"/>
        </w:rPr>
        <w:t>no</w:t>
      </w:r>
      <w:r>
        <w:rPr>
          <w:spacing w:val="-7"/>
          <w:w w:val="105"/>
          <w:sz w:val="21"/>
        </w:rPr>
        <w:t> </w:t>
      </w:r>
      <w:r>
        <w:rPr>
          <w:w w:val="105"/>
          <w:sz w:val="21"/>
        </w:rPr>
        <w:t>need</w:t>
      </w:r>
      <w:r>
        <w:rPr>
          <w:spacing w:val="-8"/>
          <w:w w:val="105"/>
          <w:sz w:val="21"/>
        </w:rPr>
        <w:t> </w:t>
      </w:r>
      <w:r>
        <w:rPr>
          <w:spacing w:val="-3"/>
          <w:w w:val="105"/>
          <w:sz w:val="21"/>
        </w:rPr>
        <w:t>to</w:t>
      </w:r>
      <w:r>
        <w:rPr>
          <w:spacing w:val="-7"/>
          <w:w w:val="105"/>
          <w:sz w:val="21"/>
        </w:rPr>
        <w:t> </w:t>
      </w:r>
      <w:r>
        <w:rPr>
          <w:spacing w:val="-3"/>
          <w:w w:val="105"/>
          <w:sz w:val="21"/>
        </w:rPr>
        <w:t>prove</w:t>
      </w:r>
      <w:r>
        <w:rPr>
          <w:spacing w:val="-7"/>
          <w:w w:val="105"/>
          <w:sz w:val="21"/>
        </w:rPr>
        <w:t> </w:t>
      </w:r>
      <w:r>
        <w:rPr>
          <w:spacing w:val="-3"/>
          <w:w w:val="105"/>
          <w:sz w:val="21"/>
        </w:rPr>
        <w:t>that</w:t>
      </w:r>
      <w:r>
        <w:rPr>
          <w:spacing w:val="-7"/>
          <w:w w:val="105"/>
          <w:sz w:val="21"/>
        </w:rPr>
        <w:t> </w:t>
      </w:r>
      <w:r>
        <w:rPr>
          <w:w w:val="105"/>
          <w:sz w:val="21"/>
        </w:rPr>
        <w:t>actual</w:t>
      </w:r>
      <w:r>
        <w:rPr>
          <w:spacing w:val="-8"/>
          <w:w w:val="105"/>
          <w:sz w:val="21"/>
        </w:rPr>
        <w:t> </w:t>
      </w:r>
      <w:r>
        <w:rPr>
          <w:w w:val="105"/>
          <w:sz w:val="21"/>
        </w:rPr>
        <w:t>physical</w:t>
      </w:r>
      <w:r>
        <w:rPr>
          <w:spacing w:val="-7"/>
          <w:w w:val="105"/>
          <w:sz w:val="21"/>
        </w:rPr>
        <w:t> </w:t>
      </w:r>
      <w:r>
        <w:rPr>
          <w:w w:val="105"/>
          <w:sz w:val="21"/>
        </w:rPr>
        <w:t>damage</w:t>
      </w:r>
      <w:r>
        <w:rPr>
          <w:spacing w:val="-7"/>
          <w:w w:val="105"/>
          <w:sz w:val="21"/>
        </w:rPr>
        <w:t> </w:t>
      </w:r>
      <w:r>
        <w:rPr>
          <w:spacing w:val="-2"/>
          <w:w w:val="105"/>
          <w:sz w:val="21"/>
        </w:rPr>
        <w:t>has</w:t>
      </w:r>
      <w:r>
        <w:rPr>
          <w:spacing w:val="-7"/>
          <w:w w:val="105"/>
          <w:sz w:val="21"/>
        </w:rPr>
        <w:t> </w:t>
      </w:r>
      <w:r>
        <w:rPr>
          <w:spacing w:val="-3"/>
          <w:w w:val="105"/>
          <w:sz w:val="21"/>
        </w:rPr>
        <w:t>resulted</w:t>
      </w:r>
      <w:r>
        <w:rPr>
          <w:spacing w:val="-8"/>
          <w:w w:val="105"/>
          <w:sz w:val="21"/>
        </w:rPr>
        <w:t> </w:t>
      </w:r>
      <w:r>
        <w:rPr>
          <w:spacing w:val="-3"/>
          <w:w w:val="105"/>
          <w:sz w:val="21"/>
        </w:rPr>
        <w:t>from </w:t>
      </w:r>
      <w:r>
        <w:rPr>
          <w:w w:val="105"/>
          <w:sz w:val="21"/>
        </w:rPr>
        <w:t>a </w:t>
      </w:r>
      <w:r>
        <w:rPr>
          <w:spacing w:val="-3"/>
          <w:w w:val="105"/>
          <w:sz w:val="21"/>
        </w:rPr>
        <w:t>nuisance </w:t>
      </w:r>
      <w:r>
        <w:rPr>
          <w:w w:val="105"/>
          <w:sz w:val="21"/>
        </w:rPr>
        <w:t>where the </w:t>
      </w:r>
      <w:r>
        <w:rPr>
          <w:spacing w:val="-3"/>
          <w:w w:val="105"/>
          <w:sz w:val="21"/>
        </w:rPr>
        <w:t>dispute concerns </w:t>
      </w:r>
      <w:r>
        <w:rPr>
          <w:w w:val="105"/>
          <w:sz w:val="21"/>
        </w:rPr>
        <w:t>comfort and amenities.</w:t>
      </w:r>
      <w:r>
        <w:rPr>
          <w:w w:val="105"/>
          <w:position w:val="7"/>
          <w:sz w:val="12"/>
        </w:rPr>
        <w:t>63 </w:t>
      </w:r>
      <w:r>
        <w:rPr>
          <w:spacing w:val="-4"/>
          <w:w w:val="105"/>
          <w:sz w:val="21"/>
        </w:rPr>
        <w:t>However,</w:t>
      </w:r>
      <w:r>
        <w:rPr>
          <w:spacing w:val="-26"/>
          <w:w w:val="105"/>
          <w:sz w:val="21"/>
        </w:rPr>
        <w:t> </w:t>
      </w:r>
      <w:r>
        <w:rPr>
          <w:w w:val="105"/>
          <w:sz w:val="21"/>
        </w:rPr>
        <w:t>mere</w:t>
      </w:r>
    </w:p>
    <w:p>
      <w:pPr>
        <w:pStyle w:val="BodyText"/>
        <w:spacing w:line="242" w:lineRule="auto" w:before="2"/>
        <w:ind w:left="2381" w:right="1558"/>
        <w:rPr>
          <w:sz w:val="12"/>
        </w:rPr>
      </w:pPr>
      <w:r>
        <w:rPr>
          <w:spacing w:val="-3"/>
          <w:w w:val="105"/>
        </w:rPr>
        <w:t>encroachment </w:t>
      </w:r>
      <w:r>
        <w:rPr>
          <w:w w:val="105"/>
        </w:rPr>
        <w:t>of </w:t>
      </w:r>
      <w:r>
        <w:rPr>
          <w:spacing w:val="-3"/>
          <w:w w:val="105"/>
        </w:rPr>
        <w:t>overhanging branches </w:t>
      </w:r>
      <w:r>
        <w:rPr>
          <w:w w:val="105"/>
        </w:rPr>
        <w:t>is </w:t>
      </w:r>
      <w:r>
        <w:rPr>
          <w:spacing w:val="-4"/>
          <w:w w:val="105"/>
        </w:rPr>
        <w:t>unlikely </w:t>
      </w:r>
      <w:r>
        <w:rPr>
          <w:spacing w:val="-3"/>
          <w:w w:val="105"/>
        </w:rPr>
        <w:t>to constitute nuisance </w:t>
      </w:r>
      <w:r>
        <w:rPr>
          <w:w w:val="105"/>
        </w:rPr>
        <w:t>unless some sort of </w:t>
      </w:r>
      <w:r>
        <w:rPr>
          <w:spacing w:val="-3"/>
          <w:w w:val="105"/>
        </w:rPr>
        <w:t>‘special damage’ </w:t>
      </w:r>
      <w:r>
        <w:rPr>
          <w:w w:val="105"/>
        </w:rPr>
        <w:t>is </w:t>
      </w:r>
      <w:r>
        <w:rPr>
          <w:spacing w:val="-3"/>
          <w:w w:val="105"/>
        </w:rPr>
        <w:t>proven to have </w:t>
      </w:r>
      <w:r>
        <w:rPr>
          <w:w w:val="105"/>
        </w:rPr>
        <w:t>been </w:t>
      </w:r>
      <w:r>
        <w:rPr>
          <w:spacing w:val="-3"/>
          <w:w w:val="105"/>
        </w:rPr>
        <w:t>‘suffered </w:t>
      </w:r>
      <w:r>
        <w:rPr>
          <w:w w:val="105"/>
        </w:rPr>
        <w:t>by the </w:t>
      </w:r>
      <w:r>
        <w:rPr>
          <w:spacing w:val="-3"/>
          <w:w w:val="105"/>
        </w:rPr>
        <w:t>neighbour </w:t>
      </w:r>
      <w:r>
        <w:rPr>
          <w:w w:val="105"/>
        </w:rPr>
        <w:t>as a </w:t>
      </w:r>
      <w:r>
        <w:rPr>
          <w:spacing w:val="-3"/>
          <w:w w:val="105"/>
        </w:rPr>
        <w:t>result </w:t>
      </w:r>
      <w:r>
        <w:rPr>
          <w:w w:val="105"/>
        </w:rPr>
        <w:t>of the </w:t>
      </w:r>
      <w:r>
        <w:rPr>
          <w:spacing w:val="-3"/>
          <w:w w:val="105"/>
        </w:rPr>
        <w:t>encroachment’.</w:t>
      </w:r>
      <w:r>
        <w:rPr>
          <w:spacing w:val="-3"/>
          <w:w w:val="105"/>
          <w:position w:val="7"/>
          <w:sz w:val="12"/>
        </w:rPr>
        <w:t>64</w:t>
      </w:r>
    </w:p>
    <w:p>
      <w:pPr>
        <w:pStyle w:val="ListParagraph"/>
        <w:numPr>
          <w:ilvl w:val="1"/>
          <w:numId w:val="16"/>
        </w:numPr>
        <w:tabs>
          <w:tab w:pos="2380" w:val="left" w:leader="none"/>
          <w:tab w:pos="2381" w:val="left" w:leader="none"/>
        </w:tabs>
        <w:spacing w:line="242" w:lineRule="auto" w:before="123" w:after="0"/>
        <w:ind w:left="2380" w:right="2111" w:hanging="793"/>
        <w:jc w:val="left"/>
        <w:rPr>
          <w:sz w:val="21"/>
        </w:rPr>
      </w:pPr>
      <w:r>
        <w:rPr>
          <w:w w:val="105"/>
          <w:sz w:val="21"/>
        </w:rPr>
        <w:t>Where</w:t>
      </w:r>
      <w:r>
        <w:rPr>
          <w:spacing w:val="-5"/>
          <w:w w:val="105"/>
          <w:sz w:val="21"/>
        </w:rPr>
        <w:t> </w:t>
      </w:r>
      <w:r>
        <w:rPr>
          <w:w w:val="105"/>
          <w:sz w:val="21"/>
        </w:rPr>
        <w:t>actual</w:t>
      </w:r>
      <w:r>
        <w:rPr>
          <w:spacing w:val="-5"/>
          <w:w w:val="105"/>
          <w:sz w:val="21"/>
        </w:rPr>
        <w:t> </w:t>
      </w:r>
      <w:r>
        <w:rPr>
          <w:w w:val="105"/>
          <w:sz w:val="21"/>
        </w:rPr>
        <w:t>physical</w:t>
      </w:r>
      <w:r>
        <w:rPr>
          <w:spacing w:val="-4"/>
          <w:w w:val="105"/>
          <w:sz w:val="21"/>
        </w:rPr>
        <w:t> </w:t>
      </w:r>
      <w:r>
        <w:rPr>
          <w:w w:val="105"/>
          <w:sz w:val="21"/>
        </w:rPr>
        <w:t>damage</w:t>
      </w:r>
      <w:r>
        <w:rPr>
          <w:spacing w:val="-5"/>
          <w:w w:val="105"/>
          <w:sz w:val="21"/>
        </w:rPr>
        <w:t> </w:t>
      </w:r>
      <w:r>
        <w:rPr>
          <w:spacing w:val="-2"/>
          <w:w w:val="105"/>
          <w:sz w:val="21"/>
        </w:rPr>
        <w:t>has</w:t>
      </w:r>
      <w:r>
        <w:rPr>
          <w:spacing w:val="-4"/>
          <w:w w:val="105"/>
          <w:sz w:val="21"/>
        </w:rPr>
        <w:t> </w:t>
      </w:r>
      <w:r>
        <w:rPr>
          <w:spacing w:val="-3"/>
          <w:w w:val="105"/>
          <w:sz w:val="21"/>
        </w:rPr>
        <w:t>resulted,</w:t>
      </w:r>
      <w:r>
        <w:rPr>
          <w:spacing w:val="-5"/>
          <w:w w:val="105"/>
          <w:sz w:val="21"/>
        </w:rPr>
        <w:t> </w:t>
      </w:r>
      <w:r>
        <w:rPr>
          <w:spacing w:val="-3"/>
          <w:w w:val="105"/>
          <w:sz w:val="21"/>
        </w:rPr>
        <w:t>such</w:t>
      </w:r>
      <w:r>
        <w:rPr>
          <w:spacing w:val="-5"/>
          <w:w w:val="105"/>
          <w:sz w:val="21"/>
        </w:rPr>
        <w:t> </w:t>
      </w:r>
      <w:r>
        <w:rPr>
          <w:w w:val="105"/>
          <w:sz w:val="21"/>
        </w:rPr>
        <w:t>as</w:t>
      </w:r>
      <w:r>
        <w:rPr>
          <w:spacing w:val="-4"/>
          <w:w w:val="105"/>
          <w:sz w:val="21"/>
        </w:rPr>
        <w:t> </w:t>
      </w:r>
      <w:r>
        <w:rPr>
          <w:w w:val="105"/>
          <w:sz w:val="21"/>
        </w:rPr>
        <w:t>a</w:t>
      </w:r>
      <w:r>
        <w:rPr>
          <w:spacing w:val="-5"/>
          <w:w w:val="105"/>
          <w:sz w:val="21"/>
        </w:rPr>
        <w:t> </w:t>
      </w:r>
      <w:r>
        <w:rPr>
          <w:spacing w:val="-3"/>
          <w:w w:val="105"/>
          <w:sz w:val="21"/>
        </w:rPr>
        <w:t>crack</w:t>
      </w:r>
      <w:r>
        <w:rPr>
          <w:spacing w:val="-4"/>
          <w:w w:val="105"/>
          <w:sz w:val="21"/>
        </w:rPr>
        <w:t> </w:t>
      </w:r>
      <w:r>
        <w:rPr>
          <w:w w:val="105"/>
          <w:sz w:val="21"/>
        </w:rPr>
        <w:t>in</w:t>
      </w:r>
      <w:r>
        <w:rPr>
          <w:spacing w:val="-5"/>
          <w:w w:val="105"/>
          <w:sz w:val="21"/>
        </w:rPr>
        <w:t> </w:t>
      </w:r>
      <w:r>
        <w:rPr>
          <w:spacing w:val="-3"/>
          <w:w w:val="105"/>
          <w:sz w:val="21"/>
        </w:rPr>
        <w:t>concrete</w:t>
      </w:r>
      <w:r>
        <w:rPr>
          <w:spacing w:val="-5"/>
          <w:w w:val="105"/>
          <w:sz w:val="21"/>
        </w:rPr>
        <w:t> </w:t>
      </w:r>
      <w:r>
        <w:rPr>
          <w:spacing w:val="-3"/>
          <w:w w:val="105"/>
          <w:sz w:val="21"/>
        </w:rPr>
        <w:t>foundations, </w:t>
      </w:r>
      <w:r>
        <w:rPr>
          <w:w w:val="105"/>
          <w:sz w:val="21"/>
        </w:rPr>
        <w:t>or damage </w:t>
      </w:r>
      <w:r>
        <w:rPr>
          <w:spacing w:val="-3"/>
          <w:w w:val="105"/>
          <w:sz w:val="21"/>
        </w:rPr>
        <w:t>to </w:t>
      </w:r>
      <w:r>
        <w:rPr>
          <w:w w:val="105"/>
          <w:sz w:val="21"/>
        </w:rPr>
        <w:t>a </w:t>
      </w:r>
      <w:r>
        <w:rPr>
          <w:spacing w:val="-3"/>
          <w:w w:val="105"/>
          <w:sz w:val="21"/>
        </w:rPr>
        <w:t>dwelling, </w:t>
      </w:r>
      <w:r>
        <w:rPr>
          <w:w w:val="105"/>
          <w:sz w:val="21"/>
        </w:rPr>
        <w:t>then the presence of damage </w:t>
      </w:r>
      <w:r>
        <w:rPr>
          <w:spacing w:val="-3"/>
          <w:w w:val="105"/>
          <w:sz w:val="21"/>
        </w:rPr>
        <w:t>makes </w:t>
      </w:r>
      <w:r>
        <w:rPr>
          <w:w w:val="105"/>
          <w:sz w:val="21"/>
        </w:rPr>
        <w:t>the </w:t>
      </w:r>
      <w:r>
        <w:rPr>
          <w:spacing w:val="-3"/>
          <w:w w:val="105"/>
          <w:sz w:val="21"/>
        </w:rPr>
        <w:t>interference unreasonable.</w:t>
      </w:r>
      <w:r>
        <w:rPr>
          <w:spacing w:val="-3"/>
          <w:w w:val="105"/>
          <w:position w:val="7"/>
          <w:sz w:val="12"/>
        </w:rPr>
        <w:t>65</w:t>
      </w:r>
      <w:r>
        <w:rPr>
          <w:spacing w:val="15"/>
          <w:w w:val="105"/>
          <w:position w:val="7"/>
          <w:sz w:val="12"/>
        </w:rPr>
        <w:t> </w:t>
      </w:r>
      <w:r>
        <w:rPr>
          <w:w w:val="105"/>
          <w:sz w:val="21"/>
        </w:rPr>
        <w:t>Because</w:t>
      </w:r>
      <w:r>
        <w:rPr>
          <w:spacing w:val="-8"/>
          <w:w w:val="105"/>
          <w:sz w:val="21"/>
        </w:rPr>
        <w:t> </w:t>
      </w:r>
      <w:r>
        <w:rPr>
          <w:w w:val="105"/>
          <w:sz w:val="21"/>
        </w:rPr>
        <w:t>damage</w:t>
      </w:r>
      <w:r>
        <w:rPr>
          <w:spacing w:val="-7"/>
          <w:w w:val="105"/>
          <w:sz w:val="21"/>
        </w:rPr>
        <w:t> </w:t>
      </w:r>
      <w:r>
        <w:rPr>
          <w:w w:val="105"/>
          <w:sz w:val="21"/>
        </w:rPr>
        <w:t>can</w:t>
      </w:r>
      <w:r>
        <w:rPr>
          <w:spacing w:val="-8"/>
          <w:w w:val="105"/>
          <w:sz w:val="21"/>
        </w:rPr>
        <w:t> </w:t>
      </w:r>
      <w:r>
        <w:rPr>
          <w:w w:val="105"/>
          <w:sz w:val="21"/>
        </w:rPr>
        <w:t>be</w:t>
      </w:r>
      <w:r>
        <w:rPr>
          <w:spacing w:val="-7"/>
          <w:w w:val="105"/>
          <w:sz w:val="21"/>
        </w:rPr>
        <w:t> </w:t>
      </w:r>
      <w:r>
        <w:rPr>
          <w:w w:val="105"/>
          <w:sz w:val="21"/>
        </w:rPr>
        <w:t>objectively</w:t>
      </w:r>
      <w:r>
        <w:rPr>
          <w:spacing w:val="-8"/>
          <w:w w:val="105"/>
          <w:sz w:val="21"/>
        </w:rPr>
        <w:t> </w:t>
      </w:r>
      <w:r>
        <w:rPr>
          <w:w w:val="105"/>
          <w:sz w:val="21"/>
        </w:rPr>
        <w:t>assessed,</w:t>
      </w:r>
      <w:r>
        <w:rPr>
          <w:spacing w:val="-7"/>
          <w:w w:val="105"/>
          <w:sz w:val="21"/>
        </w:rPr>
        <w:t> </w:t>
      </w:r>
      <w:r>
        <w:rPr>
          <w:w w:val="105"/>
          <w:sz w:val="21"/>
        </w:rPr>
        <w:t>the</w:t>
      </w:r>
      <w:r>
        <w:rPr>
          <w:spacing w:val="-8"/>
          <w:w w:val="105"/>
          <w:sz w:val="21"/>
        </w:rPr>
        <w:t> </w:t>
      </w:r>
      <w:r>
        <w:rPr>
          <w:spacing w:val="-3"/>
          <w:w w:val="105"/>
          <w:sz w:val="21"/>
        </w:rPr>
        <w:t>relative</w:t>
      </w:r>
      <w:r>
        <w:rPr>
          <w:spacing w:val="-7"/>
          <w:w w:val="105"/>
          <w:sz w:val="21"/>
        </w:rPr>
        <w:t> </w:t>
      </w:r>
      <w:r>
        <w:rPr>
          <w:spacing w:val="-3"/>
          <w:w w:val="105"/>
          <w:sz w:val="21"/>
        </w:rPr>
        <w:t>weight</w:t>
      </w:r>
      <w:r>
        <w:rPr>
          <w:spacing w:val="-8"/>
          <w:w w:val="105"/>
          <w:sz w:val="21"/>
        </w:rPr>
        <w:t> </w:t>
      </w:r>
      <w:r>
        <w:rPr>
          <w:w w:val="105"/>
          <w:sz w:val="21"/>
        </w:rPr>
        <w:t>of</w:t>
      </w:r>
    </w:p>
    <w:p>
      <w:pPr>
        <w:pStyle w:val="BodyText"/>
        <w:spacing w:line="242" w:lineRule="auto" w:before="3"/>
        <w:ind w:left="2381" w:right="1636"/>
        <w:rPr>
          <w:sz w:val="12"/>
        </w:rPr>
      </w:pPr>
      <w:r>
        <w:rPr>
          <w:w w:val="105"/>
        </w:rPr>
        <w:t>factors</w:t>
      </w:r>
      <w:r>
        <w:rPr>
          <w:spacing w:val="-13"/>
          <w:w w:val="105"/>
        </w:rPr>
        <w:t> </w:t>
      </w:r>
      <w:r>
        <w:rPr>
          <w:spacing w:val="-3"/>
          <w:w w:val="105"/>
        </w:rPr>
        <w:t>such</w:t>
      </w:r>
      <w:r>
        <w:rPr>
          <w:spacing w:val="-12"/>
          <w:w w:val="105"/>
        </w:rPr>
        <w:t> </w:t>
      </w:r>
      <w:r>
        <w:rPr>
          <w:w w:val="105"/>
        </w:rPr>
        <w:t>as</w:t>
      </w:r>
      <w:r>
        <w:rPr>
          <w:spacing w:val="-12"/>
          <w:w w:val="105"/>
        </w:rPr>
        <w:t> </w:t>
      </w:r>
      <w:r>
        <w:rPr>
          <w:w w:val="105"/>
        </w:rPr>
        <w:t>the</w:t>
      </w:r>
      <w:r>
        <w:rPr>
          <w:spacing w:val="-12"/>
          <w:w w:val="105"/>
        </w:rPr>
        <w:t> </w:t>
      </w:r>
      <w:r>
        <w:rPr>
          <w:w w:val="105"/>
        </w:rPr>
        <w:t>characteristics</w:t>
      </w:r>
      <w:r>
        <w:rPr>
          <w:spacing w:val="-12"/>
          <w:w w:val="105"/>
        </w:rPr>
        <w:t> </w:t>
      </w:r>
      <w:r>
        <w:rPr>
          <w:w w:val="105"/>
        </w:rPr>
        <w:t>of</w:t>
      </w:r>
      <w:r>
        <w:rPr>
          <w:spacing w:val="-12"/>
          <w:w w:val="105"/>
        </w:rPr>
        <w:t> </w:t>
      </w:r>
      <w:r>
        <w:rPr>
          <w:w w:val="105"/>
        </w:rPr>
        <w:t>the</w:t>
      </w:r>
      <w:r>
        <w:rPr>
          <w:spacing w:val="-12"/>
          <w:w w:val="105"/>
        </w:rPr>
        <w:t> </w:t>
      </w:r>
      <w:r>
        <w:rPr>
          <w:w w:val="105"/>
        </w:rPr>
        <w:t>neighbourhood,</w:t>
      </w:r>
      <w:r>
        <w:rPr>
          <w:spacing w:val="-12"/>
          <w:w w:val="105"/>
        </w:rPr>
        <w:t> </w:t>
      </w:r>
      <w:r>
        <w:rPr>
          <w:w w:val="105"/>
        </w:rPr>
        <w:t>the</w:t>
      </w:r>
      <w:r>
        <w:rPr>
          <w:spacing w:val="-12"/>
          <w:w w:val="105"/>
        </w:rPr>
        <w:t> </w:t>
      </w:r>
      <w:r>
        <w:rPr>
          <w:w w:val="105"/>
        </w:rPr>
        <w:t>extent</w:t>
      </w:r>
      <w:r>
        <w:rPr>
          <w:spacing w:val="-12"/>
          <w:w w:val="105"/>
        </w:rPr>
        <w:t> </w:t>
      </w:r>
      <w:r>
        <w:rPr>
          <w:w w:val="105"/>
        </w:rPr>
        <w:t>of</w:t>
      </w:r>
      <w:r>
        <w:rPr>
          <w:spacing w:val="-12"/>
          <w:w w:val="105"/>
        </w:rPr>
        <w:t> </w:t>
      </w:r>
      <w:r>
        <w:rPr>
          <w:w w:val="105"/>
        </w:rPr>
        <w:t>the</w:t>
      </w:r>
      <w:r>
        <w:rPr>
          <w:spacing w:val="-13"/>
          <w:w w:val="105"/>
        </w:rPr>
        <w:t> </w:t>
      </w:r>
      <w:r>
        <w:rPr>
          <w:spacing w:val="-3"/>
          <w:w w:val="105"/>
        </w:rPr>
        <w:t>interference, </w:t>
      </w:r>
      <w:r>
        <w:rPr>
          <w:w w:val="105"/>
        </w:rPr>
        <w:t>sensitivity and improper motive </w:t>
      </w:r>
      <w:r>
        <w:rPr>
          <w:spacing w:val="-3"/>
          <w:w w:val="105"/>
        </w:rPr>
        <w:t>are </w:t>
      </w:r>
      <w:r>
        <w:rPr>
          <w:spacing w:val="-2"/>
          <w:w w:val="105"/>
        </w:rPr>
        <w:t>not </w:t>
      </w:r>
      <w:r>
        <w:rPr>
          <w:w w:val="105"/>
        </w:rPr>
        <w:t>as</w:t>
      </w:r>
      <w:r>
        <w:rPr>
          <w:spacing w:val="22"/>
          <w:w w:val="105"/>
        </w:rPr>
        <w:t> </w:t>
      </w:r>
      <w:r>
        <w:rPr>
          <w:w w:val="105"/>
        </w:rPr>
        <w:t>relevant.</w:t>
      </w:r>
      <w:r>
        <w:rPr>
          <w:w w:val="105"/>
          <w:position w:val="7"/>
          <w:sz w:val="12"/>
        </w:rPr>
        <w:t>66</w:t>
      </w:r>
    </w:p>
    <w:p>
      <w:pPr>
        <w:pStyle w:val="Heading7"/>
        <w:spacing w:before="153"/>
      </w:pPr>
      <w:r>
        <w:rPr>
          <w:w w:val="120"/>
        </w:rPr>
        <w:t>Liability</w:t>
      </w:r>
    </w:p>
    <w:p>
      <w:pPr>
        <w:pStyle w:val="ListParagraph"/>
        <w:numPr>
          <w:ilvl w:val="1"/>
          <w:numId w:val="16"/>
        </w:numPr>
        <w:tabs>
          <w:tab w:pos="2380" w:val="left" w:leader="none"/>
          <w:tab w:pos="2381" w:val="left" w:leader="none"/>
        </w:tabs>
        <w:spacing w:line="242" w:lineRule="auto" w:before="143" w:after="0"/>
        <w:ind w:left="2381" w:right="1585" w:hanging="794"/>
        <w:jc w:val="left"/>
        <w:rPr>
          <w:sz w:val="21"/>
        </w:rPr>
      </w:pPr>
      <w:r>
        <w:rPr>
          <w:w w:val="105"/>
          <w:sz w:val="21"/>
        </w:rPr>
        <w:t>Under a </w:t>
      </w:r>
      <w:r>
        <w:rPr>
          <w:spacing w:val="-2"/>
          <w:w w:val="105"/>
          <w:sz w:val="21"/>
        </w:rPr>
        <w:t>common </w:t>
      </w:r>
      <w:r>
        <w:rPr>
          <w:w w:val="105"/>
          <w:sz w:val="21"/>
        </w:rPr>
        <w:t>law action in </w:t>
      </w:r>
      <w:r>
        <w:rPr>
          <w:spacing w:val="-3"/>
          <w:w w:val="105"/>
          <w:sz w:val="21"/>
        </w:rPr>
        <w:t>nuisance, anyone </w:t>
      </w:r>
      <w:r>
        <w:rPr>
          <w:w w:val="105"/>
          <w:sz w:val="21"/>
        </w:rPr>
        <w:t>who </w:t>
      </w:r>
      <w:r>
        <w:rPr>
          <w:spacing w:val="-3"/>
          <w:w w:val="105"/>
          <w:sz w:val="21"/>
        </w:rPr>
        <w:t>created </w:t>
      </w:r>
      <w:r>
        <w:rPr>
          <w:w w:val="105"/>
          <w:sz w:val="21"/>
        </w:rPr>
        <w:t>the </w:t>
      </w:r>
      <w:r>
        <w:rPr>
          <w:spacing w:val="-3"/>
          <w:w w:val="105"/>
          <w:sz w:val="21"/>
        </w:rPr>
        <w:t>nuisance </w:t>
      </w:r>
      <w:r>
        <w:rPr>
          <w:w w:val="105"/>
          <w:sz w:val="21"/>
        </w:rPr>
        <w:t>can be </w:t>
      </w:r>
      <w:r>
        <w:rPr>
          <w:spacing w:val="-3"/>
          <w:w w:val="105"/>
          <w:sz w:val="21"/>
        </w:rPr>
        <w:t>found liable. </w:t>
      </w:r>
      <w:r>
        <w:rPr>
          <w:w w:val="105"/>
          <w:sz w:val="21"/>
        </w:rPr>
        <w:t>That is, there is no need </w:t>
      </w:r>
      <w:r>
        <w:rPr>
          <w:spacing w:val="-3"/>
          <w:w w:val="105"/>
          <w:sz w:val="21"/>
        </w:rPr>
        <w:t>for </w:t>
      </w:r>
      <w:r>
        <w:rPr>
          <w:w w:val="105"/>
          <w:sz w:val="21"/>
        </w:rPr>
        <w:t>the </w:t>
      </w:r>
      <w:r>
        <w:rPr>
          <w:spacing w:val="-3"/>
          <w:w w:val="105"/>
          <w:sz w:val="21"/>
        </w:rPr>
        <w:t>defendant to have any interest </w:t>
      </w:r>
      <w:r>
        <w:rPr>
          <w:w w:val="105"/>
          <w:sz w:val="21"/>
        </w:rPr>
        <w:t>in the </w:t>
      </w:r>
      <w:r>
        <w:rPr>
          <w:spacing w:val="-3"/>
          <w:w w:val="105"/>
          <w:sz w:val="21"/>
        </w:rPr>
        <w:t>land.</w:t>
      </w:r>
      <w:r>
        <w:rPr>
          <w:spacing w:val="-3"/>
          <w:w w:val="105"/>
          <w:position w:val="7"/>
          <w:sz w:val="12"/>
        </w:rPr>
        <w:t>67 </w:t>
      </w:r>
      <w:r>
        <w:rPr>
          <w:w w:val="105"/>
          <w:sz w:val="21"/>
        </w:rPr>
        <w:t>This </w:t>
      </w:r>
      <w:r>
        <w:rPr>
          <w:spacing w:val="-3"/>
          <w:w w:val="105"/>
          <w:sz w:val="21"/>
        </w:rPr>
        <w:t>means</w:t>
      </w:r>
      <w:r>
        <w:rPr>
          <w:spacing w:val="-5"/>
          <w:w w:val="105"/>
          <w:sz w:val="21"/>
        </w:rPr>
        <w:t> </w:t>
      </w:r>
      <w:r>
        <w:rPr>
          <w:spacing w:val="-3"/>
          <w:w w:val="105"/>
          <w:sz w:val="21"/>
        </w:rPr>
        <w:t>that</w:t>
      </w:r>
      <w:r>
        <w:rPr>
          <w:spacing w:val="-5"/>
          <w:w w:val="105"/>
          <w:sz w:val="21"/>
        </w:rPr>
        <w:t> </w:t>
      </w:r>
      <w:r>
        <w:rPr>
          <w:spacing w:val="-3"/>
          <w:w w:val="105"/>
          <w:sz w:val="21"/>
        </w:rPr>
        <w:t>private</w:t>
      </w:r>
      <w:r>
        <w:rPr>
          <w:spacing w:val="-4"/>
          <w:w w:val="105"/>
          <w:sz w:val="21"/>
        </w:rPr>
        <w:t> </w:t>
      </w:r>
      <w:r>
        <w:rPr>
          <w:spacing w:val="-3"/>
          <w:w w:val="105"/>
          <w:sz w:val="21"/>
        </w:rPr>
        <w:t>nuisances</w:t>
      </w:r>
      <w:r>
        <w:rPr>
          <w:spacing w:val="-5"/>
          <w:w w:val="105"/>
          <w:sz w:val="21"/>
        </w:rPr>
        <w:t> </w:t>
      </w:r>
      <w:r>
        <w:rPr>
          <w:w w:val="105"/>
          <w:sz w:val="21"/>
        </w:rPr>
        <w:t>can</w:t>
      </w:r>
      <w:r>
        <w:rPr>
          <w:spacing w:val="-4"/>
          <w:w w:val="105"/>
          <w:sz w:val="21"/>
        </w:rPr>
        <w:t> </w:t>
      </w:r>
      <w:r>
        <w:rPr>
          <w:w w:val="105"/>
          <w:sz w:val="21"/>
        </w:rPr>
        <w:t>be</w:t>
      </w:r>
      <w:r>
        <w:rPr>
          <w:spacing w:val="-5"/>
          <w:w w:val="105"/>
          <w:sz w:val="21"/>
        </w:rPr>
        <w:t> </w:t>
      </w:r>
      <w:r>
        <w:rPr>
          <w:spacing w:val="-3"/>
          <w:w w:val="105"/>
          <w:sz w:val="21"/>
        </w:rPr>
        <w:t>created</w:t>
      </w:r>
      <w:r>
        <w:rPr>
          <w:spacing w:val="-4"/>
          <w:w w:val="105"/>
          <w:sz w:val="21"/>
        </w:rPr>
        <w:t> </w:t>
      </w:r>
      <w:r>
        <w:rPr>
          <w:spacing w:val="-2"/>
          <w:w w:val="105"/>
          <w:sz w:val="21"/>
        </w:rPr>
        <w:t>not</w:t>
      </w:r>
      <w:r>
        <w:rPr>
          <w:spacing w:val="-5"/>
          <w:w w:val="105"/>
          <w:sz w:val="21"/>
        </w:rPr>
        <w:t> </w:t>
      </w:r>
      <w:r>
        <w:rPr>
          <w:w w:val="105"/>
          <w:sz w:val="21"/>
        </w:rPr>
        <w:t>only</w:t>
      </w:r>
      <w:r>
        <w:rPr>
          <w:spacing w:val="-4"/>
          <w:w w:val="105"/>
          <w:sz w:val="21"/>
        </w:rPr>
        <w:t> </w:t>
      </w:r>
      <w:r>
        <w:rPr>
          <w:w w:val="105"/>
          <w:sz w:val="21"/>
        </w:rPr>
        <w:t>by</w:t>
      </w:r>
      <w:r>
        <w:rPr>
          <w:spacing w:val="-5"/>
          <w:w w:val="105"/>
          <w:sz w:val="21"/>
        </w:rPr>
        <w:t> </w:t>
      </w:r>
      <w:r>
        <w:rPr>
          <w:w w:val="105"/>
          <w:sz w:val="21"/>
        </w:rPr>
        <w:t>landowners</w:t>
      </w:r>
      <w:r>
        <w:rPr>
          <w:spacing w:val="-4"/>
          <w:w w:val="105"/>
          <w:sz w:val="21"/>
        </w:rPr>
        <w:t> </w:t>
      </w:r>
      <w:r>
        <w:rPr>
          <w:w w:val="105"/>
          <w:sz w:val="21"/>
        </w:rPr>
        <w:t>and</w:t>
      </w:r>
      <w:r>
        <w:rPr>
          <w:spacing w:val="-5"/>
          <w:w w:val="105"/>
          <w:sz w:val="21"/>
        </w:rPr>
        <w:t> </w:t>
      </w:r>
      <w:r>
        <w:rPr>
          <w:spacing w:val="-3"/>
          <w:w w:val="105"/>
          <w:sz w:val="21"/>
        </w:rPr>
        <w:t>tenants,</w:t>
      </w:r>
      <w:r>
        <w:rPr>
          <w:spacing w:val="-4"/>
          <w:w w:val="105"/>
          <w:sz w:val="21"/>
        </w:rPr>
        <w:t> </w:t>
      </w:r>
      <w:r>
        <w:rPr>
          <w:w w:val="105"/>
          <w:sz w:val="21"/>
        </w:rPr>
        <w:t>but</w:t>
      </w:r>
      <w:r>
        <w:rPr>
          <w:spacing w:val="-5"/>
          <w:w w:val="105"/>
          <w:sz w:val="21"/>
        </w:rPr>
        <w:t> </w:t>
      </w:r>
      <w:r>
        <w:rPr>
          <w:w w:val="105"/>
          <w:sz w:val="21"/>
        </w:rPr>
        <w:t>also by independent contractors undertaking work on the</w:t>
      </w:r>
      <w:r>
        <w:rPr>
          <w:spacing w:val="-36"/>
          <w:w w:val="105"/>
          <w:sz w:val="21"/>
        </w:rPr>
        <w:t> </w:t>
      </w:r>
      <w:r>
        <w:rPr>
          <w:w w:val="105"/>
          <w:sz w:val="21"/>
        </w:rPr>
        <w:t>land.</w:t>
      </w:r>
      <w:r>
        <w:rPr>
          <w:w w:val="105"/>
          <w:position w:val="7"/>
          <w:sz w:val="12"/>
        </w:rPr>
        <w:t>68 </w:t>
      </w:r>
      <w:r>
        <w:rPr>
          <w:spacing w:val="-4"/>
          <w:w w:val="105"/>
          <w:sz w:val="21"/>
        </w:rPr>
        <w:t>However, </w:t>
      </w:r>
      <w:r>
        <w:rPr>
          <w:spacing w:val="-3"/>
          <w:w w:val="105"/>
          <w:sz w:val="21"/>
        </w:rPr>
        <w:t>generally speaking, ‘most private nuisances are created </w:t>
      </w:r>
      <w:r>
        <w:rPr>
          <w:w w:val="105"/>
          <w:sz w:val="21"/>
        </w:rPr>
        <w:t>by </w:t>
      </w:r>
      <w:r>
        <w:rPr>
          <w:spacing w:val="-3"/>
          <w:w w:val="105"/>
          <w:sz w:val="21"/>
        </w:rPr>
        <w:t>private</w:t>
      </w:r>
      <w:r>
        <w:rPr>
          <w:spacing w:val="-2"/>
          <w:w w:val="105"/>
          <w:sz w:val="21"/>
        </w:rPr>
        <w:t> </w:t>
      </w:r>
      <w:r>
        <w:rPr>
          <w:spacing w:val="-4"/>
          <w:w w:val="105"/>
          <w:sz w:val="21"/>
        </w:rPr>
        <w:t>landowners’.</w:t>
      </w:r>
      <w:r>
        <w:rPr>
          <w:spacing w:val="-4"/>
          <w:w w:val="105"/>
          <w:position w:val="7"/>
          <w:sz w:val="12"/>
        </w:rPr>
        <w:t>69</w:t>
      </w:r>
    </w:p>
    <w:p>
      <w:pPr>
        <w:pStyle w:val="ListParagraph"/>
        <w:numPr>
          <w:ilvl w:val="1"/>
          <w:numId w:val="16"/>
        </w:numPr>
        <w:tabs>
          <w:tab w:pos="2381" w:val="left" w:leader="none"/>
          <w:tab w:pos="2382" w:val="left" w:leader="none"/>
        </w:tabs>
        <w:spacing w:line="242" w:lineRule="auto" w:before="125" w:after="0"/>
        <w:ind w:left="2381" w:right="1706" w:hanging="794"/>
        <w:jc w:val="left"/>
        <w:rPr>
          <w:sz w:val="21"/>
        </w:rPr>
      </w:pPr>
      <w:r>
        <w:rPr>
          <w:w w:val="105"/>
          <w:sz w:val="21"/>
        </w:rPr>
        <w:t>The</w:t>
      </w:r>
      <w:r>
        <w:rPr>
          <w:spacing w:val="-4"/>
          <w:w w:val="105"/>
          <w:sz w:val="21"/>
        </w:rPr>
        <w:t> </w:t>
      </w:r>
      <w:r>
        <w:rPr>
          <w:w w:val="105"/>
          <w:sz w:val="21"/>
        </w:rPr>
        <w:t>tree</w:t>
      </w:r>
      <w:r>
        <w:rPr>
          <w:spacing w:val="-4"/>
          <w:w w:val="105"/>
          <w:sz w:val="21"/>
        </w:rPr>
        <w:t> </w:t>
      </w:r>
      <w:r>
        <w:rPr>
          <w:w w:val="105"/>
          <w:sz w:val="21"/>
        </w:rPr>
        <w:t>owner</w:t>
      </w:r>
      <w:r>
        <w:rPr>
          <w:spacing w:val="-3"/>
          <w:w w:val="105"/>
          <w:sz w:val="21"/>
        </w:rPr>
        <w:t> </w:t>
      </w:r>
      <w:r>
        <w:rPr>
          <w:w w:val="105"/>
          <w:sz w:val="21"/>
        </w:rPr>
        <w:t>must</w:t>
      </w:r>
      <w:r>
        <w:rPr>
          <w:spacing w:val="-4"/>
          <w:w w:val="105"/>
          <w:sz w:val="21"/>
        </w:rPr>
        <w:t> </w:t>
      </w:r>
      <w:r>
        <w:rPr>
          <w:w w:val="105"/>
          <w:sz w:val="21"/>
        </w:rPr>
        <w:t>be</w:t>
      </w:r>
      <w:r>
        <w:rPr>
          <w:spacing w:val="-4"/>
          <w:w w:val="105"/>
          <w:sz w:val="21"/>
        </w:rPr>
        <w:t> </w:t>
      </w:r>
      <w:r>
        <w:rPr>
          <w:w w:val="105"/>
          <w:sz w:val="21"/>
        </w:rPr>
        <w:t>at</w:t>
      </w:r>
      <w:r>
        <w:rPr>
          <w:spacing w:val="-3"/>
          <w:w w:val="105"/>
          <w:sz w:val="21"/>
        </w:rPr>
        <w:t> </w:t>
      </w:r>
      <w:r>
        <w:rPr>
          <w:w w:val="105"/>
          <w:sz w:val="21"/>
        </w:rPr>
        <w:t>‘fault’</w:t>
      </w:r>
      <w:r>
        <w:rPr>
          <w:spacing w:val="-4"/>
          <w:w w:val="105"/>
          <w:sz w:val="21"/>
        </w:rPr>
        <w:t> </w:t>
      </w:r>
      <w:r>
        <w:rPr>
          <w:spacing w:val="-3"/>
          <w:w w:val="105"/>
          <w:sz w:val="21"/>
        </w:rPr>
        <w:t>for</w:t>
      </w:r>
      <w:r>
        <w:rPr>
          <w:spacing w:val="-4"/>
          <w:w w:val="105"/>
          <w:sz w:val="21"/>
        </w:rPr>
        <w:t> </w:t>
      </w:r>
      <w:r>
        <w:rPr>
          <w:w w:val="105"/>
          <w:sz w:val="21"/>
        </w:rPr>
        <w:t>a</w:t>
      </w:r>
      <w:r>
        <w:rPr>
          <w:spacing w:val="-3"/>
          <w:w w:val="105"/>
          <w:sz w:val="21"/>
        </w:rPr>
        <w:t> nuisance</w:t>
      </w:r>
      <w:r>
        <w:rPr>
          <w:spacing w:val="-4"/>
          <w:w w:val="105"/>
          <w:sz w:val="21"/>
        </w:rPr>
        <w:t> claim.</w:t>
      </w:r>
      <w:r>
        <w:rPr>
          <w:spacing w:val="-4"/>
          <w:w w:val="105"/>
          <w:position w:val="7"/>
          <w:sz w:val="12"/>
        </w:rPr>
        <w:t>70</w:t>
      </w:r>
      <w:r>
        <w:rPr>
          <w:spacing w:val="19"/>
          <w:w w:val="105"/>
          <w:position w:val="7"/>
          <w:sz w:val="12"/>
        </w:rPr>
        <w:t> </w:t>
      </w:r>
      <w:r>
        <w:rPr>
          <w:w w:val="105"/>
          <w:sz w:val="21"/>
        </w:rPr>
        <w:t>This</w:t>
      </w:r>
      <w:r>
        <w:rPr>
          <w:spacing w:val="-3"/>
          <w:w w:val="105"/>
          <w:sz w:val="21"/>
        </w:rPr>
        <w:t> will</w:t>
      </w:r>
      <w:r>
        <w:rPr>
          <w:spacing w:val="-4"/>
          <w:w w:val="105"/>
          <w:sz w:val="21"/>
        </w:rPr>
        <w:t> </w:t>
      </w:r>
      <w:r>
        <w:rPr>
          <w:w w:val="105"/>
          <w:sz w:val="21"/>
        </w:rPr>
        <w:t>depend</w:t>
      </w:r>
      <w:r>
        <w:rPr>
          <w:spacing w:val="-3"/>
          <w:w w:val="105"/>
          <w:sz w:val="21"/>
        </w:rPr>
        <w:t> </w:t>
      </w:r>
      <w:r>
        <w:rPr>
          <w:w w:val="105"/>
          <w:sz w:val="21"/>
        </w:rPr>
        <w:t>on</w:t>
      </w:r>
      <w:r>
        <w:rPr>
          <w:spacing w:val="-4"/>
          <w:w w:val="105"/>
          <w:sz w:val="21"/>
        </w:rPr>
        <w:t> </w:t>
      </w:r>
      <w:r>
        <w:rPr>
          <w:w w:val="105"/>
          <w:sz w:val="21"/>
        </w:rPr>
        <w:t>whether</w:t>
      </w:r>
      <w:r>
        <w:rPr>
          <w:spacing w:val="-4"/>
          <w:w w:val="105"/>
          <w:sz w:val="21"/>
        </w:rPr>
        <w:t> </w:t>
      </w:r>
      <w:r>
        <w:rPr>
          <w:w w:val="105"/>
          <w:sz w:val="21"/>
        </w:rPr>
        <w:t>the tree owner </w:t>
      </w:r>
      <w:r>
        <w:rPr>
          <w:spacing w:val="-2"/>
          <w:w w:val="105"/>
          <w:sz w:val="21"/>
        </w:rPr>
        <w:t>has </w:t>
      </w:r>
      <w:r>
        <w:rPr>
          <w:spacing w:val="-3"/>
          <w:w w:val="105"/>
          <w:sz w:val="21"/>
        </w:rPr>
        <w:t>created, </w:t>
      </w:r>
      <w:r>
        <w:rPr>
          <w:w w:val="105"/>
          <w:sz w:val="21"/>
        </w:rPr>
        <w:t>adopted or </w:t>
      </w:r>
      <w:r>
        <w:rPr>
          <w:spacing w:val="-3"/>
          <w:w w:val="105"/>
          <w:sz w:val="21"/>
        </w:rPr>
        <w:t>continued </w:t>
      </w:r>
      <w:r>
        <w:rPr>
          <w:w w:val="105"/>
          <w:sz w:val="21"/>
        </w:rPr>
        <w:t>the </w:t>
      </w:r>
      <w:r>
        <w:rPr>
          <w:spacing w:val="-4"/>
          <w:w w:val="105"/>
          <w:sz w:val="21"/>
        </w:rPr>
        <w:t>nuisance.</w:t>
      </w:r>
      <w:r>
        <w:rPr>
          <w:spacing w:val="-4"/>
          <w:w w:val="105"/>
          <w:position w:val="7"/>
          <w:sz w:val="12"/>
        </w:rPr>
        <w:t>71  </w:t>
      </w:r>
      <w:r>
        <w:rPr>
          <w:w w:val="105"/>
          <w:sz w:val="21"/>
        </w:rPr>
        <w:t>A tree owner can </w:t>
      </w:r>
      <w:r>
        <w:rPr>
          <w:spacing w:val="-5"/>
          <w:w w:val="105"/>
          <w:sz w:val="21"/>
        </w:rPr>
        <w:t>‘create’ </w:t>
      </w:r>
      <w:r>
        <w:rPr>
          <w:w w:val="105"/>
          <w:sz w:val="21"/>
        </w:rPr>
        <w:t>a </w:t>
      </w:r>
      <w:r>
        <w:rPr>
          <w:spacing w:val="-3"/>
          <w:w w:val="105"/>
          <w:sz w:val="21"/>
        </w:rPr>
        <w:t>nuisance </w:t>
      </w:r>
      <w:r>
        <w:rPr>
          <w:w w:val="105"/>
          <w:sz w:val="21"/>
        </w:rPr>
        <w:t>by </w:t>
      </w:r>
      <w:r>
        <w:rPr>
          <w:spacing w:val="-3"/>
          <w:w w:val="105"/>
          <w:sz w:val="21"/>
        </w:rPr>
        <w:t>‘deliberately </w:t>
      </w:r>
      <w:r>
        <w:rPr>
          <w:w w:val="105"/>
          <w:sz w:val="21"/>
        </w:rPr>
        <w:t>or recklessly’</w:t>
      </w:r>
      <w:r>
        <w:rPr>
          <w:w w:val="105"/>
          <w:position w:val="7"/>
          <w:sz w:val="12"/>
        </w:rPr>
        <w:t>72 </w:t>
      </w:r>
      <w:r>
        <w:rPr>
          <w:spacing w:val="-3"/>
          <w:w w:val="105"/>
          <w:sz w:val="21"/>
        </w:rPr>
        <w:t>using </w:t>
      </w:r>
      <w:r>
        <w:rPr>
          <w:w w:val="105"/>
          <w:sz w:val="21"/>
        </w:rPr>
        <w:t>their </w:t>
      </w:r>
      <w:r>
        <w:rPr>
          <w:spacing w:val="-3"/>
          <w:w w:val="105"/>
          <w:sz w:val="21"/>
        </w:rPr>
        <w:t>land </w:t>
      </w:r>
      <w:r>
        <w:rPr>
          <w:w w:val="105"/>
          <w:sz w:val="21"/>
        </w:rPr>
        <w:t>in a </w:t>
      </w:r>
      <w:r>
        <w:rPr>
          <w:spacing w:val="-3"/>
          <w:w w:val="105"/>
          <w:sz w:val="21"/>
        </w:rPr>
        <w:t>way that will </w:t>
      </w:r>
      <w:r>
        <w:rPr>
          <w:w w:val="105"/>
          <w:sz w:val="21"/>
        </w:rPr>
        <w:t>cause </w:t>
      </w:r>
      <w:r>
        <w:rPr>
          <w:spacing w:val="-3"/>
          <w:w w:val="105"/>
          <w:sz w:val="21"/>
        </w:rPr>
        <w:t>harm to </w:t>
      </w:r>
      <w:r>
        <w:rPr>
          <w:w w:val="105"/>
          <w:sz w:val="21"/>
        </w:rPr>
        <w:t>their </w:t>
      </w:r>
      <w:r>
        <w:rPr>
          <w:spacing w:val="-4"/>
          <w:w w:val="105"/>
          <w:sz w:val="21"/>
        </w:rPr>
        <w:t>neighbour, </w:t>
      </w:r>
      <w:r>
        <w:rPr>
          <w:w w:val="105"/>
          <w:sz w:val="21"/>
        </w:rPr>
        <w:t>or where they knew or </w:t>
      </w:r>
      <w:r>
        <w:rPr>
          <w:spacing w:val="-3"/>
          <w:w w:val="105"/>
          <w:sz w:val="21"/>
        </w:rPr>
        <w:t>ought to have </w:t>
      </w:r>
      <w:r>
        <w:rPr>
          <w:w w:val="105"/>
          <w:sz w:val="21"/>
        </w:rPr>
        <w:t>known </w:t>
      </w:r>
      <w:r>
        <w:rPr>
          <w:spacing w:val="-3"/>
          <w:w w:val="105"/>
          <w:sz w:val="21"/>
        </w:rPr>
        <w:t>that </w:t>
      </w:r>
      <w:r>
        <w:rPr>
          <w:w w:val="105"/>
          <w:sz w:val="21"/>
        </w:rPr>
        <w:t>the </w:t>
      </w:r>
      <w:r>
        <w:rPr>
          <w:spacing w:val="-3"/>
          <w:w w:val="105"/>
          <w:sz w:val="21"/>
        </w:rPr>
        <w:t>nuisance </w:t>
      </w:r>
      <w:r>
        <w:rPr>
          <w:w w:val="105"/>
          <w:sz w:val="21"/>
        </w:rPr>
        <w:t>was </w:t>
      </w:r>
      <w:r>
        <w:rPr>
          <w:spacing w:val="-3"/>
          <w:w w:val="105"/>
          <w:sz w:val="21"/>
        </w:rPr>
        <w:t>reasonably</w:t>
      </w:r>
      <w:r>
        <w:rPr>
          <w:spacing w:val="5"/>
          <w:w w:val="105"/>
          <w:sz w:val="21"/>
        </w:rPr>
        <w:t> </w:t>
      </w:r>
      <w:r>
        <w:rPr>
          <w:spacing w:val="-3"/>
          <w:w w:val="105"/>
          <w:sz w:val="21"/>
        </w:rPr>
        <w:t>foreseeable.</w:t>
      </w:r>
      <w:r>
        <w:rPr>
          <w:spacing w:val="-3"/>
          <w:w w:val="105"/>
          <w:position w:val="7"/>
          <w:sz w:val="12"/>
        </w:rPr>
        <w:t>73</w:t>
      </w:r>
    </w:p>
    <w:p>
      <w:pPr>
        <w:pStyle w:val="ListParagraph"/>
        <w:numPr>
          <w:ilvl w:val="1"/>
          <w:numId w:val="16"/>
        </w:numPr>
        <w:tabs>
          <w:tab w:pos="2380" w:val="left" w:leader="none"/>
          <w:tab w:pos="2381" w:val="left" w:leader="none"/>
        </w:tabs>
        <w:spacing w:line="254" w:lineRule="auto" w:before="135" w:after="0"/>
        <w:ind w:left="2381" w:right="1620" w:hanging="794"/>
        <w:jc w:val="left"/>
        <w:rPr>
          <w:sz w:val="20"/>
        </w:rPr>
      </w:pPr>
      <w:r>
        <w:rPr>
          <w:w w:val="105"/>
          <w:sz w:val="20"/>
        </w:rPr>
        <w:t>A tree owner might </w:t>
      </w:r>
      <w:r>
        <w:rPr>
          <w:spacing w:val="-3"/>
          <w:w w:val="105"/>
          <w:sz w:val="20"/>
        </w:rPr>
        <w:t>create </w:t>
      </w:r>
      <w:r>
        <w:rPr>
          <w:w w:val="105"/>
          <w:sz w:val="20"/>
        </w:rPr>
        <w:t>a nuisance to their </w:t>
      </w:r>
      <w:r>
        <w:rPr>
          <w:spacing w:val="-3"/>
          <w:w w:val="105"/>
          <w:sz w:val="20"/>
        </w:rPr>
        <w:t>neighbour’s </w:t>
      </w:r>
      <w:r>
        <w:rPr>
          <w:w w:val="105"/>
          <w:sz w:val="20"/>
        </w:rPr>
        <w:t>land by carrying out works to their own </w:t>
      </w:r>
      <w:r>
        <w:rPr>
          <w:spacing w:val="-3"/>
          <w:w w:val="105"/>
          <w:sz w:val="20"/>
        </w:rPr>
        <w:t>tree, </w:t>
      </w:r>
      <w:r>
        <w:rPr>
          <w:w w:val="105"/>
          <w:sz w:val="20"/>
        </w:rPr>
        <w:t>for example </w:t>
      </w:r>
      <w:r>
        <w:rPr>
          <w:spacing w:val="-3"/>
          <w:w w:val="105"/>
          <w:sz w:val="20"/>
        </w:rPr>
        <w:t>‘by </w:t>
      </w:r>
      <w:r>
        <w:rPr>
          <w:w w:val="105"/>
          <w:sz w:val="20"/>
        </w:rPr>
        <w:t>taking action which adversely affects the health of their tree or its structural</w:t>
      </w:r>
      <w:r>
        <w:rPr>
          <w:spacing w:val="-7"/>
          <w:w w:val="105"/>
          <w:sz w:val="20"/>
        </w:rPr>
        <w:t> </w:t>
      </w:r>
      <w:r>
        <w:rPr>
          <w:w w:val="105"/>
          <w:sz w:val="20"/>
        </w:rPr>
        <w:t>stability’</w:t>
      </w:r>
      <w:r>
        <w:rPr>
          <w:spacing w:val="-6"/>
          <w:w w:val="105"/>
          <w:sz w:val="20"/>
        </w:rPr>
        <w:t> </w:t>
      </w:r>
      <w:r>
        <w:rPr>
          <w:w w:val="105"/>
          <w:sz w:val="20"/>
        </w:rPr>
        <w:t>such</w:t>
      </w:r>
      <w:r>
        <w:rPr>
          <w:spacing w:val="-7"/>
          <w:w w:val="105"/>
          <w:sz w:val="20"/>
        </w:rPr>
        <w:t> </w:t>
      </w:r>
      <w:r>
        <w:rPr>
          <w:w w:val="105"/>
          <w:sz w:val="20"/>
        </w:rPr>
        <w:t>as</w:t>
      </w:r>
      <w:r>
        <w:rPr>
          <w:spacing w:val="-6"/>
          <w:w w:val="105"/>
          <w:sz w:val="20"/>
        </w:rPr>
        <w:t> </w:t>
      </w:r>
      <w:r>
        <w:rPr>
          <w:w w:val="105"/>
          <w:sz w:val="20"/>
        </w:rPr>
        <w:t>by</w:t>
      </w:r>
      <w:r>
        <w:rPr>
          <w:spacing w:val="-7"/>
          <w:w w:val="105"/>
          <w:sz w:val="20"/>
        </w:rPr>
        <w:t> </w:t>
      </w:r>
      <w:r>
        <w:rPr>
          <w:spacing w:val="-3"/>
          <w:w w:val="105"/>
          <w:sz w:val="20"/>
        </w:rPr>
        <w:t>‘allowing</w:t>
      </w:r>
      <w:r>
        <w:rPr>
          <w:spacing w:val="-6"/>
          <w:w w:val="105"/>
          <w:sz w:val="20"/>
        </w:rPr>
        <w:t> </w:t>
      </w:r>
      <w:r>
        <w:rPr>
          <w:w w:val="105"/>
          <w:sz w:val="20"/>
        </w:rPr>
        <w:t>a</w:t>
      </w:r>
      <w:r>
        <w:rPr>
          <w:spacing w:val="-7"/>
          <w:w w:val="105"/>
          <w:sz w:val="20"/>
        </w:rPr>
        <w:t> </w:t>
      </w:r>
      <w:r>
        <w:rPr>
          <w:w w:val="105"/>
          <w:sz w:val="20"/>
        </w:rPr>
        <w:t>tree</w:t>
      </w:r>
      <w:r>
        <w:rPr>
          <w:spacing w:val="-6"/>
          <w:w w:val="105"/>
          <w:sz w:val="20"/>
        </w:rPr>
        <w:t> </w:t>
      </w:r>
      <w:r>
        <w:rPr>
          <w:w w:val="105"/>
          <w:sz w:val="20"/>
        </w:rPr>
        <w:t>to</w:t>
      </w:r>
      <w:r>
        <w:rPr>
          <w:spacing w:val="-7"/>
          <w:w w:val="105"/>
          <w:sz w:val="20"/>
        </w:rPr>
        <w:t> </w:t>
      </w:r>
      <w:r>
        <w:rPr>
          <w:w w:val="105"/>
          <w:sz w:val="20"/>
        </w:rPr>
        <w:t>become</w:t>
      </w:r>
      <w:r>
        <w:rPr>
          <w:spacing w:val="-6"/>
          <w:w w:val="105"/>
          <w:sz w:val="20"/>
        </w:rPr>
        <w:t> </w:t>
      </w:r>
      <w:r>
        <w:rPr>
          <w:w w:val="105"/>
          <w:sz w:val="20"/>
        </w:rPr>
        <w:t>unsafe</w:t>
      </w:r>
      <w:r>
        <w:rPr>
          <w:spacing w:val="-7"/>
          <w:w w:val="105"/>
          <w:sz w:val="20"/>
        </w:rPr>
        <w:t> </w:t>
      </w:r>
      <w:r>
        <w:rPr>
          <w:w w:val="105"/>
          <w:sz w:val="20"/>
        </w:rPr>
        <w:t>or</w:t>
      </w:r>
      <w:r>
        <w:rPr>
          <w:spacing w:val="-6"/>
          <w:w w:val="105"/>
          <w:sz w:val="20"/>
        </w:rPr>
        <w:t> </w:t>
      </w:r>
      <w:r>
        <w:rPr>
          <w:w w:val="105"/>
          <w:sz w:val="20"/>
        </w:rPr>
        <w:t>unsound</w:t>
      </w:r>
      <w:r>
        <w:rPr>
          <w:spacing w:val="-7"/>
          <w:w w:val="105"/>
          <w:sz w:val="20"/>
        </w:rPr>
        <w:t> </w:t>
      </w:r>
      <w:r>
        <w:rPr>
          <w:w w:val="105"/>
          <w:sz w:val="20"/>
        </w:rPr>
        <w:t>so</w:t>
      </w:r>
      <w:r>
        <w:rPr>
          <w:spacing w:val="-6"/>
          <w:w w:val="105"/>
          <w:sz w:val="20"/>
        </w:rPr>
        <w:t> </w:t>
      </w:r>
      <w:r>
        <w:rPr>
          <w:w w:val="105"/>
          <w:sz w:val="20"/>
        </w:rPr>
        <w:t>that</w:t>
      </w:r>
      <w:r>
        <w:rPr>
          <w:spacing w:val="-7"/>
          <w:w w:val="105"/>
          <w:sz w:val="20"/>
        </w:rPr>
        <w:t> </w:t>
      </w:r>
      <w:r>
        <w:rPr>
          <w:w w:val="105"/>
          <w:sz w:val="20"/>
        </w:rPr>
        <w:t>it</w:t>
      </w:r>
      <w:r>
        <w:rPr>
          <w:spacing w:val="-6"/>
          <w:w w:val="105"/>
          <w:sz w:val="20"/>
        </w:rPr>
        <w:t> </w:t>
      </w:r>
      <w:r>
        <w:rPr>
          <w:w w:val="105"/>
          <w:sz w:val="20"/>
        </w:rPr>
        <w:t>or</w:t>
      </w:r>
      <w:r>
        <w:rPr>
          <w:spacing w:val="-7"/>
          <w:w w:val="105"/>
          <w:sz w:val="20"/>
        </w:rPr>
        <w:t> </w:t>
      </w:r>
      <w:r>
        <w:rPr>
          <w:w w:val="105"/>
          <w:sz w:val="20"/>
        </w:rPr>
        <w:t>parts of it, </w:t>
      </w:r>
      <w:r>
        <w:rPr>
          <w:spacing w:val="-3"/>
          <w:w w:val="105"/>
          <w:sz w:val="20"/>
        </w:rPr>
        <w:t>fall onto </w:t>
      </w:r>
      <w:r>
        <w:rPr>
          <w:w w:val="105"/>
          <w:sz w:val="20"/>
        </w:rPr>
        <w:t>the </w:t>
      </w:r>
      <w:r>
        <w:rPr>
          <w:spacing w:val="-3"/>
          <w:w w:val="105"/>
          <w:sz w:val="20"/>
        </w:rPr>
        <w:t>neighbour’s</w:t>
      </w:r>
      <w:r>
        <w:rPr>
          <w:spacing w:val="40"/>
          <w:w w:val="105"/>
          <w:sz w:val="20"/>
        </w:rPr>
        <w:t> </w:t>
      </w:r>
      <w:r>
        <w:rPr>
          <w:spacing w:val="-6"/>
          <w:w w:val="105"/>
          <w:sz w:val="20"/>
        </w:rPr>
        <w:t>land’.</w:t>
      </w:r>
      <w:r>
        <w:rPr>
          <w:spacing w:val="-6"/>
          <w:w w:val="105"/>
          <w:position w:val="7"/>
          <w:sz w:val="11"/>
        </w:rPr>
        <w:t>74</w:t>
      </w:r>
    </w:p>
    <w:p>
      <w:pPr>
        <w:pStyle w:val="ListParagraph"/>
        <w:numPr>
          <w:ilvl w:val="1"/>
          <w:numId w:val="16"/>
        </w:numPr>
        <w:tabs>
          <w:tab w:pos="2381" w:val="left" w:leader="none"/>
          <w:tab w:pos="2382" w:val="left" w:leader="none"/>
        </w:tabs>
        <w:spacing w:line="242" w:lineRule="auto" w:before="115" w:after="0"/>
        <w:ind w:left="2381" w:right="1707" w:hanging="794"/>
        <w:jc w:val="left"/>
        <w:rPr>
          <w:sz w:val="21"/>
        </w:rPr>
      </w:pPr>
      <w:r>
        <w:rPr>
          <w:sz w:val="21"/>
        </w:rPr>
        <w:t>A tree owner </w:t>
      </w:r>
      <w:r>
        <w:rPr>
          <w:spacing w:val="-3"/>
          <w:sz w:val="21"/>
        </w:rPr>
        <w:t>may </w:t>
      </w:r>
      <w:r>
        <w:rPr>
          <w:sz w:val="21"/>
        </w:rPr>
        <w:t>also be </w:t>
      </w:r>
      <w:r>
        <w:rPr>
          <w:spacing w:val="-3"/>
          <w:sz w:val="21"/>
        </w:rPr>
        <w:t>considered liable </w:t>
      </w:r>
      <w:r>
        <w:rPr>
          <w:sz w:val="21"/>
        </w:rPr>
        <w:t>where a  </w:t>
      </w:r>
      <w:r>
        <w:rPr>
          <w:spacing w:val="-3"/>
          <w:sz w:val="21"/>
        </w:rPr>
        <w:t>third  </w:t>
      </w:r>
      <w:r>
        <w:rPr>
          <w:sz w:val="21"/>
        </w:rPr>
        <w:t>party  </w:t>
      </w:r>
      <w:r>
        <w:rPr>
          <w:spacing w:val="-3"/>
          <w:sz w:val="21"/>
        </w:rPr>
        <w:t>(including  </w:t>
      </w:r>
      <w:r>
        <w:rPr>
          <w:sz w:val="21"/>
        </w:rPr>
        <w:t>a  </w:t>
      </w:r>
      <w:r>
        <w:rPr>
          <w:spacing w:val="-3"/>
          <w:sz w:val="21"/>
        </w:rPr>
        <w:t>tenant) creates </w:t>
      </w:r>
      <w:r>
        <w:rPr>
          <w:sz w:val="21"/>
        </w:rPr>
        <w:t>a </w:t>
      </w:r>
      <w:r>
        <w:rPr>
          <w:spacing w:val="-3"/>
          <w:sz w:val="21"/>
        </w:rPr>
        <w:t>nuisance </w:t>
      </w:r>
      <w:r>
        <w:rPr>
          <w:sz w:val="21"/>
        </w:rPr>
        <w:t>if they authorised them </w:t>
      </w:r>
      <w:r>
        <w:rPr>
          <w:spacing w:val="-3"/>
          <w:sz w:val="21"/>
        </w:rPr>
        <w:t>to </w:t>
      </w:r>
      <w:r>
        <w:rPr>
          <w:sz w:val="21"/>
        </w:rPr>
        <w:t>carry out activities </w:t>
      </w:r>
      <w:r>
        <w:rPr>
          <w:spacing w:val="-3"/>
          <w:sz w:val="21"/>
        </w:rPr>
        <w:t>that </w:t>
      </w:r>
      <w:r>
        <w:rPr>
          <w:sz w:val="21"/>
        </w:rPr>
        <w:t>would </w:t>
      </w:r>
      <w:r>
        <w:rPr>
          <w:spacing w:val="-3"/>
          <w:sz w:val="21"/>
        </w:rPr>
        <w:t>naturally </w:t>
      </w:r>
      <w:r>
        <w:rPr>
          <w:sz w:val="21"/>
        </w:rPr>
        <w:t>and necessarily </w:t>
      </w:r>
      <w:r>
        <w:rPr>
          <w:spacing w:val="-3"/>
          <w:sz w:val="21"/>
        </w:rPr>
        <w:t>result </w:t>
      </w:r>
      <w:r>
        <w:rPr>
          <w:sz w:val="21"/>
        </w:rPr>
        <w:t>in</w:t>
      </w:r>
      <w:r>
        <w:rPr>
          <w:spacing w:val="28"/>
          <w:sz w:val="21"/>
        </w:rPr>
        <w:t> </w:t>
      </w:r>
      <w:r>
        <w:rPr>
          <w:spacing w:val="-4"/>
          <w:sz w:val="21"/>
        </w:rPr>
        <w:t>nuisance.</w:t>
      </w:r>
      <w:r>
        <w:rPr>
          <w:spacing w:val="-4"/>
          <w:position w:val="7"/>
          <w:sz w:val="12"/>
        </w:rPr>
        <w:t>75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pict>
          <v:line style="position:absolute;mso-position-horizontal-relative:page;mso-position-vertical-relative:paragraph;z-index:1184;mso-wrap-distance-left:0;mso-wrap-distance-right:0" from="79.370102pt,14.975818pt" to="515.905102pt,14.975818pt" stroked="true" strokeweight="1pt" strokecolor="#c9d2cb">
            <v:stroke dashstyle="solid"/>
            <w10:wrap type="topAndBottom"/>
          </v:line>
        </w:pict>
      </w:r>
    </w:p>
    <w:p>
      <w:pPr>
        <w:pStyle w:val="ListParagraph"/>
        <w:numPr>
          <w:ilvl w:val="0"/>
          <w:numId w:val="27"/>
        </w:numPr>
        <w:tabs>
          <w:tab w:pos="2380" w:val="left" w:leader="none"/>
          <w:tab w:pos="2382" w:val="left" w:leader="none"/>
        </w:tabs>
        <w:spacing w:line="240" w:lineRule="auto" w:before="117" w:after="0"/>
        <w:ind w:left="2381" w:right="1974" w:hanging="794"/>
        <w:jc w:val="left"/>
        <w:rPr>
          <w:sz w:val="13"/>
        </w:rPr>
      </w:pPr>
      <w:r>
        <w:rPr>
          <w:w w:val="105"/>
          <w:sz w:val="13"/>
        </w:rPr>
        <w:t>See Paula Giliker, ‘Nuisance’ in Carolyn Sappideen and Prue Vines (eds) </w:t>
      </w:r>
      <w:r>
        <w:rPr>
          <w:i/>
          <w:w w:val="105"/>
          <w:sz w:val="13"/>
        </w:rPr>
        <w:t>Fleming’s The Law of Torts </w:t>
      </w:r>
      <w:r>
        <w:rPr>
          <w:spacing w:val="2"/>
          <w:w w:val="105"/>
          <w:sz w:val="13"/>
        </w:rPr>
        <w:t>(Lawbook </w:t>
      </w:r>
      <w:r>
        <w:rPr>
          <w:w w:val="105"/>
          <w:sz w:val="13"/>
        </w:rPr>
        <w:t>Co., 10th ed, </w:t>
      </w:r>
      <w:r>
        <w:rPr>
          <w:spacing w:val="-4"/>
          <w:w w:val="105"/>
          <w:sz w:val="13"/>
        </w:rPr>
        <w:t>2011) </w:t>
      </w:r>
      <w:r>
        <w:rPr>
          <w:w w:val="105"/>
          <w:sz w:val="13"/>
        </w:rPr>
        <w:t>487 [21.90]</w:t>
      </w:r>
      <w:r>
        <w:rPr>
          <w:spacing w:val="-19"/>
          <w:w w:val="105"/>
          <w:sz w:val="13"/>
        </w:rPr>
        <w:t> </w:t>
      </w:r>
      <w:r>
        <w:rPr>
          <w:w w:val="105"/>
          <w:sz w:val="13"/>
        </w:rPr>
        <w:t>–[21.110].</w:t>
      </w:r>
    </w:p>
    <w:p>
      <w:pPr>
        <w:pStyle w:val="ListParagraph"/>
        <w:numPr>
          <w:ilvl w:val="0"/>
          <w:numId w:val="27"/>
        </w:numPr>
        <w:tabs>
          <w:tab w:pos="2380" w:val="left" w:leader="none"/>
          <w:tab w:pos="2382" w:val="left" w:leader="none"/>
        </w:tabs>
        <w:spacing w:line="240" w:lineRule="auto" w:before="3" w:after="0"/>
        <w:ind w:left="2381" w:right="0" w:hanging="794"/>
        <w:jc w:val="left"/>
        <w:rPr>
          <w:sz w:val="13"/>
        </w:rPr>
      </w:pPr>
      <w:r>
        <w:rPr>
          <w:w w:val="105"/>
          <w:sz w:val="13"/>
        </w:rPr>
        <w:t>Kit</w:t>
      </w:r>
      <w:r>
        <w:rPr>
          <w:spacing w:val="4"/>
          <w:w w:val="105"/>
          <w:sz w:val="13"/>
        </w:rPr>
        <w:t> </w:t>
      </w:r>
      <w:r>
        <w:rPr>
          <w:w w:val="105"/>
          <w:sz w:val="13"/>
        </w:rPr>
        <w:t>Barker,</w:t>
      </w:r>
      <w:r>
        <w:rPr>
          <w:spacing w:val="4"/>
          <w:w w:val="105"/>
          <w:sz w:val="13"/>
        </w:rPr>
        <w:t> </w:t>
      </w:r>
      <w:r>
        <w:rPr>
          <w:w w:val="105"/>
          <w:sz w:val="13"/>
        </w:rPr>
        <w:t>Peter</w:t>
      </w:r>
      <w:r>
        <w:rPr>
          <w:spacing w:val="4"/>
          <w:w w:val="105"/>
          <w:sz w:val="13"/>
        </w:rPr>
        <w:t> </w:t>
      </w:r>
      <w:r>
        <w:rPr>
          <w:w w:val="105"/>
          <w:sz w:val="13"/>
        </w:rPr>
        <w:t>Cane,</w:t>
      </w:r>
      <w:r>
        <w:rPr>
          <w:spacing w:val="4"/>
          <w:w w:val="105"/>
          <w:sz w:val="13"/>
        </w:rPr>
        <w:t> </w:t>
      </w:r>
      <w:r>
        <w:rPr>
          <w:w w:val="105"/>
          <w:sz w:val="13"/>
        </w:rPr>
        <w:t>Mark</w:t>
      </w:r>
      <w:r>
        <w:rPr>
          <w:spacing w:val="5"/>
          <w:w w:val="105"/>
          <w:sz w:val="13"/>
        </w:rPr>
        <w:t> </w:t>
      </w:r>
      <w:r>
        <w:rPr>
          <w:w w:val="105"/>
          <w:sz w:val="13"/>
        </w:rPr>
        <w:t>Lunney</w:t>
      </w:r>
      <w:r>
        <w:rPr>
          <w:spacing w:val="4"/>
          <w:w w:val="105"/>
          <w:sz w:val="13"/>
        </w:rPr>
        <w:t> </w:t>
      </w:r>
      <w:r>
        <w:rPr>
          <w:w w:val="105"/>
          <w:sz w:val="13"/>
        </w:rPr>
        <w:t>and</w:t>
      </w:r>
      <w:r>
        <w:rPr>
          <w:spacing w:val="4"/>
          <w:w w:val="105"/>
          <w:sz w:val="13"/>
        </w:rPr>
        <w:t> </w:t>
      </w:r>
      <w:r>
        <w:rPr>
          <w:w w:val="105"/>
          <w:sz w:val="13"/>
        </w:rPr>
        <w:t>Francis</w:t>
      </w:r>
      <w:r>
        <w:rPr>
          <w:spacing w:val="4"/>
          <w:w w:val="105"/>
          <w:sz w:val="13"/>
        </w:rPr>
        <w:t> </w:t>
      </w:r>
      <w:r>
        <w:rPr>
          <w:w w:val="105"/>
          <w:sz w:val="13"/>
        </w:rPr>
        <w:t>Trindade,</w:t>
      </w:r>
      <w:r>
        <w:rPr>
          <w:spacing w:val="4"/>
          <w:w w:val="105"/>
          <w:sz w:val="13"/>
        </w:rPr>
        <w:t> </w:t>
      </w:r>
      <w:r>
        <w:rPr>
          <w:i/>
          <w:w w:val="105"/>
          <w:sz w:val="13"/>
        </w:rPr>
        <w:t>The</w:t>
      </w:r>
      <w:r>
        <w:rPr>
          <w:i/>
          <w:spacing w:val="5"/>
          <w:w w:val="105"/>
          <w:sz w:val="13"/>
        </w:rPr>
        <w:t> </w:t>
      </w:r>
      <w:r>
        <w:rPr>
          <w:i/>
          <w:w w:val="105"/>
          <w:sz w:val="13"/>
        </w:rPr>
        <w:t>Law</w:t>
      </w:r>
      <w:r>
        <w:rPr>
          <w:i/>
          <w:spacing w:val="4"/>
          <w:w w:val="105"/>
          <w:sz w:val="13"/>
        </w:rPr>
        <w:t> </w:t>
      </w:r>
      <w:r>
        <w:rPr>
          <w:i/>
          <w:w w:val="105"/>
          <w:sz w:val="13"/>
        </w:rPr>
        <w:t>of</w:t>
      </w:r>
      <w:r>
        <w:rPr>
          <w:i/>
          <w:spacing w:val="4"/>
          <w:w w:val="105"/>
          <w:sz w:val="13"/>
        </w:rPr>
        <w:t> </w:t>
      </w:r>
      <w:r>
        <w:rPr>
          <w:i/>
          <w:w w:val="105"/>
          <w:sz w:val="13"/>
        </w:rPr>
        <w:t>Torts</w:t>
      </w:r>
      <w:r>
        <w:rPr>
          <w:i/>
          <w:spacing w:val="4"/>
          <w:w w:val="105"/>
          <w:sz w:val="13"/>
        </w:rPr>
        <w:t> </w:t>
      </w:r>
      <w:r>
        <w:rPr>
          <w:i/>
          <w:w w:val="105"/>
          <w:sz w:val="13"/>
        </w:rPr>
        <w:t>in</w:t>
      </w:r>
      <w:r>
        <w:rPr>
          <w:i/>
          <w:spacing w:val="4"/>
          <w:w w:val="105"/>
          <w:sz w:val="13"/>
        </w:rPr>
        <w:t> </w:t>
      </w:r>
      <w:r>
        <w:rPr>
          <w:i/>
          <w:w w:val="105"/>
          <w:sz w:val="13"/>
        </w:rPr>
        <w:t>Australia</w:t>
      </w:r>
      <w:r>
        <w:rPr>
          <w:i/>
          <w:spacing w:val="5"/>
          <w:w w:val="105"/>
          <w:sz w:val="13"/>
        </w:rPr>
        <w:t> </w:t>
      </w:r>
      <w:r>
        <w:rPr>
          <w:spacing w:val="2"/>
          <w:w w:val="105"/>
          <w:sz w:val="13"/>
        </w:rPr>
        <w:t>(Oxford</w:t>
      </w:r>
      <w:r>
        <w:rPr>
          <w:spacing w:val="4"/>
          <w:w w:val="105"/>
          <w:sz w:val="13"/>
        </w:rPr>
        <w:t> </w:t>
      </w:r>
      <w:r>
        <w:rPr>
          <w:w w:val="105"/>
          <w:sz w:val="13"/>
        </w:rPr>
        <w:t>University</w:t>
      </w:r>
      <w:r>
        <w:rPr>
          <w:spacing w:val="4"/>
          <w:w w:val="105"/>
          <w:sz w:val="13"/>
        </w:rPr>
        <w:t> </w:t>
      </w:r>
      <w:r>
        <w:rPr>
          <w:w w:val="105"/>
          <w:sz w:val="13"/>
        </w:rPr>
        <w:t>Press,</w:t>
      </w:r>
      <w:r>
        <w:rPr>
          <w:spacing w:val="4"/>
          <w:w w:val="105"/>
          <w:sz w:val="13"/>
        </w:rPr>
        <w:t> </w:t>
      </w:r>
      <w:r>
        <w:rPr>
          <w:w w:val="105"/>
          <w:sz w:val="13"/>
        </w:rPr>
        <w:t>5th</w:t>
      </w:r>
      <w:r>
        <w:rPr>
          <w:spacing w:val="4"/>
          <w:w w:val="105"/>
          <w:sz w:val="13"/>
        </w:rPr>
        <w:t> </w:t>
      </w:r>
      <w:r>
        <w:rPr>
          <w:w w:val="105"/>
          <w:sz w:val="13"/>
        </w:rPr>
        <w:t>ed,</w:t>
      </w:r>
      <w:r>
        <w:rPr>
          <w:spacing w:val="5"/>
          <w:w w:val="105"/>
          <w:sz w:val="13"/>
        </w:rPr>
        <w:t> </w:t>
      </w:r>
      <w:r>
        <w:rPr>
          <w:w w:val="105"/>
          <w:sz w:val="13"/>
        </w:rPr>
        <w:t>2012)</w:t>
      </w:r>
      <w:r>
        <w:rPr>
          <w:spacing w:val="4"/>
          <w:w w:val="105"/>
          <w:sz w:val="13"/>
        </w:rPr>
        <w:t> </w:t>
      </w:r>
      <w:r>
        <w:rPr>
          <w:w w:val="105"/>
          <w:sz w:val="13"/>
        </w:rPr>
        <w:t>[5.1.2].</w:t>
      </w:r>
    </w:p>
    <w:p>
      <w:pPr>
        <w:pStyle w:val="ListParagraph"/>
        <w:numPr>
          <w:ilvl w:val="0"/>
          <w:numId w:val="27"/>
        </w:numPr>
        <w:tabs>
          <w:tab w:pos="2381" w:val="left" w:leader="none"/>
          <w:tab w:pos="2382" w:val="left" w:leader="none"/>
        </w:tabs>
        <w:spacing w:line="240" w:lineRule="auto" w:before="1" w:after="0"/>
        <w:ind w:left="2381" w:right="1585" w:hanging="794"/>
        <w:jc w:val="left"/>
        <w:rPr>
          <w:sz w:val="13"/>
        </w:rPr>
      </w:pPr>
      <w:r>
        <w:rPr>
          <w:i/>
          <w:w w:val="105"/>
          <w:sz w:val="13"/>
        </w:rPr>
        <w:t>Robson v Leischke </w:t>
      </w:r>
      <w:r>
        <w:rPr>
          <w:spacing w:val="2"/>
          <w:w w:val="105"/>
          <w:sz w:val="13"/>
        </w:rPr>
        <w:t>(2008) </w:t>
      </w:r>
      <w:r>
        <w:rPr>
          <w:w w:val="105"/>
          <w:sz w:val="13"/>
        </w:rPr>
        <w:t>72 </w:t>
      </w:r>
      <w:r>
        <w:rPr>
          <w:spacing w:val="2"/>
          <w:w w:val="105"/>
          <w:sz w:val="13"/>
        </w:rPr>
        <w:t>NSWLR </w:t>
      </w:r>
      <w:r>
        <w:rPr>
          <w:w w:val="105"/>
          <w:sz w:val="13"/>
        </w:rPr>
        <w:t>98 </w:t>
      </w:r>
      <w:r>
        <w:rPr>
          <w:spacing w:val="2"/>
          <w:w w:val="105"/>
          <w:sz w:val="13"/>
        </w:rPr>
        <w:t>[56] </w:t>
      </w:r>
      <w:r>
        <w:rPr>
          <w:w w:val="105"/>
          <w:sz w:val="13"/>
        </w:rPr>
        <w:t>citing </w:t>
      </w:r>
      <w:r>
        <w:rPr>
          <w:i/>
          <w:w w:val="105"/>
          <w:sz w:val="13"/>
        </w:rPr>
        <w:t>Asman v MacLurcan </w:t>
      </w:r>
      <w:r>
        <w:rPr>
          <w:w w:val="105"/>
          <w:sz w:val="13"/>
        </w:rPr>
        <w:t>(1985) 3 BPR 9592, 9594. For examples of cases where overhanging branches</w:t>
      </w:r>
      <w:r>
        <w:rPr>
          <w:spacing w:val="4"/>
          <w:w w:val="105"/>
          <w:sz w:val="13"/>
        </w:rPr>
        <w:t> </w:t>
      </w:r>
      <w:r>
        <w:rPr>
          <w:w w:val="105"/>
          <w:sz w:val="13"/>
        </w:rPr>
        <w:t>have</w:t>
      </w:r>
      <w:r>
        <w:rPr>
          <w:spacing w:val="5"/>
          <w:w w:val="105"/>
          <w:sz w:val="13"/>
        </w:rPr>
        <w:t> </w:t>
      </w:r>
      <w:r>
        <w:rPr>
          <w:w w:val="105"/>
          <w:sz w:val="13"/>
        </w:rPr>
        <w:t>been</w:t>
      </w:r>
      <w:r>
        <w:rPr>
          <w:spacing w:val="5"/>
          <w:w w:val="105"/>
          <w:sz w:val="13"/>
        </w:rPr>
        <w:t> </w:t>
      </w:r>
      <w:r>
        <w:rPr>
          <w:w w:val="105"/>
          <w:sz w:val="13"/>
        </w:rPr>
        <w:t>held</w:t>
      </w:r>
      <w:r>
        <w:rPr>
          <w:spacing w:val="5"/>
          <w:w w:val="105"/>
          <w:sz w:val="13"/>
        </w:rPr>
        <w:t> </w:t>
      </w:r>
      <w:r>
        <w:rPr>
          <w:w w:val="105"/>
          <w:sz w:val="13"/>
        </w:rPr>
        <w:t>to</w:t>
      </w:r>
      <w:r>
        <w:rPr>
          <w:spacing w:val="5"/>
          <w:w w:val="105"/>
          <w:sz w:val="13"/>
        </w:rPr>
        <w:t> </w:t>
      </w:r>
      <w:r>
        <w:rPr>
          <w:w w:val="105"/>
          <w:sz w:val="13"/>
        </w:rPr>
        <w:t>constitute</w:t>
      </w:r>
      <w:r>
        <w:rPr>
          <w:spacing w:val="4"/>
          <w:w w:val="105"/>
          <w:sz w:val="13"/>
        </w:rPr>
        <w:t> </w:t>
      </w:r>
      <w:r>
        <w:rPr>
          <w:w w:val="105"/>
          <w:sz w:val="13"/>
        </w:rPr>
        <w:t>nuisance,</w:t>
      </w:r>
      <w:r>
        <w:rPr>
          <w:spacing w:val="5"/>
          <w:w w:val="105"/>
          <w:sz w:val="13"/>
        </w:rPr>
        <w:t> </w:t>
      </w:r>
      <w:r>
        <w:rPr>
          <w:w w:val="105"/>
          <w:sz w:val="13"/>
        </w:rPr>
        <w:t>see</w:t>
      </w:r>
      <w:r>
        <w:rPr>
          <w:spacing w:val="5"/>
          <w:w w:val="105"/>
          <w:sz w:val="13"/>
        </w:rPr>
        <w:t> </w:t>
      </w:r>
      <w:r>
        <w:rPr>
          <w:i/>
          <w:w w:val="105"/>
          <w:sz w:val="13"/>
        </w:rPr>
        <w:t>Robson</w:t>
      </w:r>
      <w:r>
        <w:rPr>
          <w:i/>
          <w:spacing w:val="5"/>
          <w:w w:val="105"/>
          <w:sz w:val="13"/>
        </w:rPr>
        <w:t> </w:t>
      </w:r>
      <w:r>
        <w:rPr>
          <w:i/>
          <w:w w:val="105"/>
          <w:sz w:val="13"/>
        </w:rPr>
        <w:t>v</w:t>
      </w:r>
      <w:r>
        <w:rPr>
          <w:i/>
          <w:spacing w:val="5"/>
          <w:w w:val="105"/>
          <w:sz w:val="13"/>
        </w:rPr>
        <w:t> </w:t>
      </w:r>
      <w:r>
        <w:rPr>
          <w:i/>
          <w:w w:val="105"/>
          <w:sz w:val="13"/>
        </w:rPr>
        <w:t>Leischke</w:t>
      </w:r>
      <w:r>
        <w:rPr>
          <w:i/>
          <w:spacing w:val="5"/>
          <w:w w:val="105"/>
          <w:sz w:val="13"/>
        </w:rPr>
        <w:t> </w:t>
      </w:r>
      <w:r>
        <w:rPr>
          <w:spacing w:val="2"/>
          <w:w w:val="105"/>
          <w:sz w:val="13"/>
        </w:rPr>
        <w:t>(2008)</w:t>
      </w:r>
      <w:r>
        <w:rPr>
          <w:spacing w:val="4"/>
          <w:w w:val="105"/>
          <w:sz w:val="13"/>
        </w:rPr>
        <w:t> </w:t>
      </w:r>
      <w:r>
        <w:rPr>
          <w:w w:val="105"/>
          <w:sz w:val="13"/>
        </w:rPr>
        <w:t>72</w:t>
      </w:r>
      <w:r>
        <w:rPr>
          <w:spacing w:val="5"/>
          <w:w w:val="105"/>
          <w:sz w:val="13"/>
        </w:rPr>
        <w:t> </w:t>
      </w:r>
      <w:r>
        <w:rPr>
          <w:spacing w:val="2"/>
          <w:w w:val="105"/>
          <w:sz w:val="13"/>
        </w:rPr>
        <w:t>NSWLR</w:t>
      </w:r>
      <w:r>
        <w:rPr>
          <w:spacing w:val="5"/>
          <w:w w:val="105"/>
          <w:sz w:val="13"/>
        </w:rPr>
        <w:t> </w:t>
      </w:r>
      <w:r>
        <w:rPr>
          <w:w w:val="105"/>
          <w:sz w:val="13"/>
        </w:rPr>
        <w:t>98,</w:t>
      </w:r>
      <w:r>
        <w:rPr>
          <w:spacing w:val="5"/>
          <w:w w:val="105"/>
          <w:sz w:val="13"/>
        </w:rPr>
        <w:t> </w:t>
      </w:r>
      <w:r>
        <w:rPr>
          <w:spacing w:val="2"/>
          <w:w w:val="105"/>
          <w:sz w:val="13"/>
        </w:rPr>
        <w:t>[59].</w:t>
      </w:r>
    </w:p>
    <w:p>
      <w:pPr>
        <w:pStyle w:val="ListParagraph"/>
        <w:numPr>
          <w:ilvl w:val="0"/>
          <w:numId w:val="27"/>
        </w:numPr>
        <w:tabs>
          <w:tab w:pos="2381" w:val="left" w:leader="none"/>
          <w:tab w:pos="2382" w:val="left" w:leader="none"/>
        </w:tabs>
        <w:spacing w:line="240" w:lineRule="auto" w:before="3" w:after="0"/>
        <w:ind w:left="2381" w:right="1788" w:hanging="794"/>
        <w:jc w:val="left"/>
        <w:rPr>
          <w:sz w:val="13"/>
        </w:rPr>
      </w:pPr>
      <w:r>
        <w:rPr>
          <w:i/>
          <w:w w:val="105"/>
          <w:sz w:val="13"/>
        </w:rPr>
        <w:t>St Helen’s Smelting Co v Tipping </w:t>
      </w:r>
      <w:r>
        <w:rPr>
          <w:w w:val="105"/>
          <w:sz w:val="13"/>
        </w:rPr>
        <w:t>(1865) </w:t>
      </w:r>
      <w:r>
        <w:rPr>
          <w:spacing w:val="-6"/>
          <w:w w:val="105"/>
          <w:sz w:val="13"/>
        </w:rPr>
        <w:t>11 </w:t>
      </w:r>
      <w:r>
        <w:rPr>
          <w:w w:val="105"/>
          <w:sz w:val="13"/>
        </w:rPr>
        <w:t>ER 1483; </w:t>
      </w:r>
      <w:r>
        <w:rPr>
          <w:i/>
          <w:w w:val="105"/>
          <w:sz w:val="13"/>
        </w:rPr>
        <w:t>Kraemers v Attorney-General </w:t>
      </w:r>
      <w:r>
        <w:rPr>
          <w:w w:val="105"/>
          <w:sz w:val="13"/>
        </w:rPr>
        <w:t>(Tas) [1966] Tas SR </w:t>
      </w:r>
      <w:r>
        <w:rPr>
          <w:spacing w:val="-5"/>
          <w:w w:val="105"/>
          <w:sz w:val="13"/>
        </w:rPr>
        <w:t>113, </w:t>
      </w:r>
      <w:r>
        <w:rPr>
          <w:w w:val="105"/>
          <w:sz w:val="13"/>
        </w:rPr>
        <w:t>122–3; </w:t>
      </w:r>
      <w:r>
        <w:rPr>
          <w:i/>
          <w:w w:val="105"/>
          <w:sz w:val="13"/>
        </w:rPr>
        <w:t>Corbett v Pallas </w:t>
      </w:r>
      <w:r>
        <w:rPr>
          <w:w w:val="105"/>
          <w:sz w:val="13"/>
        </w:rPr>
        <w:t>(1995) LGERA</w:t>
      </w:r>
      <w:r>
        <w:rPr>
          <w:spacing w:val="4"/>
          <w:w w:val="105"/>
          <w:sz w:val="13"/>
        </w:rPr>
        <w:t> </w:t>
      </w:r>
      <w:r>
        <w:rPr>
          <w:spacing w:val="-3"/>
          <w:w w:val="105"/>
          <w:sz w:val="13"/>
        </w:rPr>
        <w:t>312.</w:t>
      </w:r>
    </w:p>
    <w:p>
      <w:pPr>
        <w:pStyle w:val="ListParagraph"/>
        <w:numPr>
          <w:ilvl w:val="0"/>
          <w:numId w:val="27"/>
        </w:numPr>
        <w:tabs>
          <w:tab w:pos="2381" w:val="left" w:leader="none"/>
          <w:tab w:pos="2382" w:val="left" w:leader="none"/>
        </w:tabs>
        <w:spacing w:line="240" w:lineRule="auto" w:before="2" w:after="0"/>
        <w:ind w:left="2381" w:right="1788" w:hanging="794"/>
        <w:jc w:val="both"/>
        <w:rPr>
          <w:sz w:val="13"/>
        </w:rPr>
      </w:pPr>
      <w:r>
        <w:rPr>
          <w:w w:val="105"/>
          <w:sz w:val="13"/>
        </w:rPr>
        <w:t>Thomson Reuters, </w:t>
      </w:r>
      <w:r>
        <w:rPr>
          <w:i/>
          <w:w w:val="105"/>
          <w:sz w:val="13"/>
        </w:rPr>
        <w:t>The Laws of Australia </w:t>
      </w:r>
      <w:r>
        <w:rPr>
          <w:w w:val="105"/>
          <w:sz w:val="13"/>
        </w:rPr>
        <w:t>(at 28 April 2016) 33 Torts, ‘7 Nuisance’ [33.7.250]; cf Kit Barker, Peter Cane, Mark Lunney and Francis Trindade, </w:t>
      </w:r>
      <w:r>
        <w:rPr>
          <w:i/>
          <w:w w:val="105"/>
          <w:sz w:val="13"/>
        </w:rPr>
        <w:t>The Law of Torts in Australia </w:t>
      </w:r>
      <w:r>
        <w:rPr>
          <w:spacing w:val="2"/>
          <w:w w:val="105"/>
          <w:sz w:val="13"/>
        </w:rPr>
        <w:t>(Oxford </w:t>
      </w:r>
      <w:r>
        <w:rPr>
          <w:w w:val="105"/>
          <w:sz w:val="13"/>
        </w:rPr>
        <w:t>University Press, 5th ed, 2012): ‘Liability in private nuisance for damage caused by overhanging</w:t>
      </w:r>
      <w:r>
        <w:rPr>
          <w:spacing w:val="5"/>
          <w:w w:val="105"/>
          <w:sz w:val="13"/>
        </w:rPr>
        <w:t> </w:t>
      </w:r>
      <w:r>
        <w:rPr>
          <w:w w:val="105"/>
          <w:sz w:val="13"/>
        </w:rPr>
        <w:t>branches</w:t>
      </w:r>
      <w:r>
        <w:rPr>
          <w:spacing w:val="5"/>
          <w:w w:val="105"/>
          <w:sz w:val="13"/>
        </w:rPr>
        <w:t> </w:t>
      </w:r>
      <w:r>
        <w:rPr>
          <w:w w:val="105"/>
          <w:sz w:val="13"/>
        </w:rPr>
        <w:t>or</w:t>
      </w:r>
      <w:r>
        <w:rPr>
          <w:spacing w:val="5"/>
          <w:w w:val="105"/>
          <w:sz w:val="13"/>
        </w:rPr>
        <w:t> </w:t>
      </w:r>
      <w:r>
        <w:rPr>
          <w:w w:val="105"/>
          <w:sz w:val="13"/>
        </w:rPr>
        <w:t>the</w:t>
      </w:r>
      <w:r>
        <w:rPr>
          <w:spacing w:val="5"/>
          <w:w w:val="105"/>
          <w:sz w:val="13"/>
        </w:rPr>
        <w:t> </w:t>
      </w:r>
      <w:r>
        <w:rPr>
          <w:w w:val="105"/>
          <w:sz w:val="13"/>
        </w:rPr>
        <w:t>encroachment</w:t>
      </w:r>
      <w:r>
        <w:rPr>
          <w:spacing w:val="6"/>
          <w:w w:val="105"/>
          <w:sz w:val="13"/>
        </w:rPr>
        <w:t> </w:t>
      </w:r>
      <w:r>
        <w:rPr>
          <w:w w:val="105"/>
          <w:sz w:val="13"/>
        </w:rPr>
        <w:t>of</w:t>
      </w:r>
      <w:r>
        <w:rPr>
          <w:spacing w:val="5"/>
          <w:w w:val="105"/>
          <w:sz w:val="13"/>
        </w:rPr>
        <w:t> </w:t>
      </w:r>
      <w:r>
        <w:rPr>
          <w:w w:val="105"/>
          <w:sz w:val="13"/>
        </w:rPr>
        <w:t>tree</w:t>
      </w:r>
      <w:r>
        <w:rPr>
          <w:spacing w:val="5"/>
          <w:w w:val="105"/>
          <w:sz w:val="13"/>
        </w:rPr>
        <w:t> </w:t>
      </w:r>
      <w:r>
        <w:rPr>
          <w:w w:val="105"/>
          <w:sz w:val="13"/>
        </w:rPr>
        <w:t>roots</w:t>
      </w:r>
      <w:r>
        <w:rPr>
          <w:spacing w:val="5"/>
          <w:w w:val="105"/>
          <w:sz w:val="13"/>
        </w:rPr>
        <w:t> </w:t>
      </w:r>
      <w:r>
        <w:rPr>
          <w:w w:val="105"/>
          <w:sz w:val="13"/>
        </w:rPr>
        <w:t>depends</w:t>
      </w:r>
      <w:r>
        <w:rPr>
          <w:spacing w:val="6"/>
          <w:w w:val="105"/>
          <w:sz w:val="13"/>
        </w:rPr>
        <w:t> </w:t>
      </w:r>
      <w:r>
        <w:rPr>
          <w:w w:val="105"/>
          <w:sz w:val="13"/>
        </w:rPr>
        <w:t>on</w:t>
      </w:r>
      <w:r>
        <w:rPr>
          <w:spacing w:val="5"/>
          <w:w w:val="105"/>
          <w:sz w:val="13"/>
        </w:rPr>
        <w:t> </w:t>
      </w:r>
      <w:r>
        <w:rPr>
          <w:w w:val="105"/>
          <w:sz w:val="13"/>
        </w:rPr>
        <w:t>proof</w:t>
      </w:r>
      <w:r>
        <w:rPr>
          <w:spacing w:val="5"/>
          <w:w w:val="105"/>
          <w:sz w:val="13"/>
        </w:rPr>
        <w:t> </w:t>
      </w:r>
      <w:r>
        <w:rPr>
          <w:w w:val="105"/>
          <w:sz w:val="13"/>
        </w:rPr>
        <w:t>of</w:t>
      </w:r>
      <w:r>
        <w:rPr>
          <w:spacing w:val="5"/>
          <w:w w:val="105"/>
          <w:sz w:val="13"/>
        </w:rPr>
        <w:t> </w:t>
      </w:r>
      <w:r>
        <w:rPr>
          <w:w w:val="105"/>
          <w:sz w:val="13"/>
        </w:rPr>
        <w:t>negligence’</w:t>
      </w:r>
      <w:r>
        <w:rPr>
          <w:spacing w:val="5"/>
          <w:w w:val="105"/>
          <w:sz w:val="13"/>
        </w:rPr>
        <w:t> </w:t>
      </w:r>
      <w:r>
        <w:rPr>
          <w:w w:val="105"/>
          <w:sz w:val="13"/>
        </w:rPr>
        <w:t>[5.1.8.2].</w:t>
      </w:r>
    </w:p>
    <w:p>
      <w:pPr>
        <w:pStyle w:val="ListParagraph"/>
        <w:numPr>
          <w:ilvl w:val="0"/>
          <w:numId w:val="27"/>
        </w:numPr>
        <w:tabs>
          <w:tab w:pos="2381" w:val="left" w:leader="none"/>
          <w:tab w:pos="2382" w:val="left" w:leader="none"/>
        </w:tabs>
        <w:spacing w:line="240" w:lineRule="auto" w:before="4" w:after="0"/>
        <w:ind w:left="2381" w:right="1725" w:hanging="794"/>
        <w:jc w:val="left"/>
        <w:rPr>
          <w:sz w:val="13"/>
        </w:rPr>
      </w:pPr>
      <w:r>
        <w:rPr>
          <w:w w:val="105"/>
          <w:sz w:val="13"/>
        </w:rPr>
        <w:t>Kit Barker, Peter Cane, Mark Lunney and Francis Trindade, </w:t>
      </w:r>
      <w:r>
        <w:rPr>
          <w:i/>
          <w:w w:val="105"/>
          <w:sz w:val="13"/>
        </w:rPr>
        <w:t>The Law of Torts in Australia </w:t>
      </w:r>
      <w:r>
        <w:rPr>
          <w:spacing w:val="2"/>
          <w:w w:val="105"/>
          <w:sz w:val="13"/>
        </w:rPr>
        <w:t>(Oxford </w:t>
      </w:r>
      <w:r>
        <w:rPr>
          <w:w w:val="105"/>
          <w:sz w:val="13"/>
        </w:rPr>
        <w:t>University Press, 5th ed, 2012) [5.1.5]; see also</w:t>
      </w:r>
      <w:r>
        <w:rPr>
          <w:spacing w:val="5"/>
          <w:w w:val="105"/>
          <w:sz w:val="13"/>
        </w:rPr>
        <w:t> </w:t>
      </w:r>
      <w:r>
        <w:rPr>
          <w:w w:val="105"/>
          <w:sz w:val="13"/>
        </w:rPr>
        <w:t>LexisNexis,</w:t>
      </w:r>
      <w:r>
        <w:rPr>
          <w:spacing w:val="5"/>
          <w:w w:val="105"/>
          <w:sz w:val="13"/>
        </w:rPr>
        <w:t> </w:t>
      </w:r>
      <w:r>
        <w:rPr>
          <w:i/>
          <w:w w:val="105"/>
          <w:sz w:val="13"/>
        </w:rPr>
        <w:t>Halsbury’s</w:t>
      </w:r>
      <w:r>
        <w:rPr>
          <w:i/>
          <w:spacing w:val="5"/>
          <w:w w:val="105"/>
          <w:sz w:val="13"/>
        </w:rPr>
        <w:t> </w:t>
      </w:r>
      <w:r>
        <w:rPr>
          <w:i/>
          <w:w w:val="105"/>
          <w:sz w:val="13"/>
        </w:rPr>
        <w:t>The</w:t>
      </w:r>
      <w:r>
        <w:rPr>
          <w:i/>
          <w:spacing w:val="5"/>
          <w:w w:val="105"/>
          <w:sz w:val="13"/>
        </w:rPr>
        <w:t> </w:t>
      </w:r>
      <w:r>
        <w:rPr>
          <w:i/>
          <w:w w:val="105"/>
          <w:sz w:val="13"/>
        </w:rPr>
        <w:t>Laws</w:t>
      </w:r>
      <w:r>
        <w:rPr>
          <w:i/>
          <w:spacing w:val="5"/>
          <w:w w:val="105"/>
          <w:sz w:val="13"/>
        </w:rPr>
        <w:t> </w:t>
      </w:r>
      <w:r>
        <w:rPr>
          <w:i/>
          <w:w w:val="105"/>
          <w:sz w:val="13"/>
        </w:rPr>
        <w:t>of</w:t>
      </w:r>
      <w:r>
        <w:rPr>
          <w:i/>
          <w:spacing w:val="5"/>
          <w:w w:val="105"/>
          <w:sz w:val="13"/>
        </w:rPr>
        <w:t> </w:t>
      </w:r>
      <w:r>
        <w:rPr>
          <w:i/>
          <w:w w:val="105"/>
          <w:sz w:val="13"/>
        </w:rPr>
        <w:t>Australia</w:t>
      </w:r>
      <w:r>
        <w:rPr>
          <w:i/>
          <w:spacing w:val="5"/>
          <w:w w:val="105"/>
          <w:sz w:val="13"/>
        </w:rPr>
        <w:t> </w:t>
      </w:r>
      <w:r>
        <w:rPr>
          <w:w w:val="105"/>
          <w:sz w:val="13"/>
        </w:rPr>
        <w:t>(at</w:t>
      </w:r>
      <w:r>
        <w:rPr>
          <w:spacing w:val="5"/>
          <w:w w:val="105"/>
          <w:sz w:val="13"/>
        </w:rPr>
        <w:t> </w:t>
      </w:r>
      <w:r>
        <w:rPr>
          <w:w w:val="105"/>
          <w:sz w:val="13"/>
        </w:rPr>
        <w:t>21</w:t>
      </w:r>
      <w:r>
        <w:rPr>
          <w:spacing w:val="5"/>
          <w:w w:val="105"/>
          <w:sz w:val="13"/>
        </w:rPr>
        <w:t> </w:t>
      </w:r>
      <w:r>
        <w:rPr>
          <w:w w:val="105"/>
          <w:sz w:val="13"/>
        </w:rPr>
        <w:t>March</w:t>
      </w:r>
      <w:r>
        <w:rPr>
          <w:spacing w:val="5"/>
          <w:w w:val="105"/>
          <w:sz w:val="13"/>
        </w:rPr>
        <w:t> </w:t>
      </w:r>
      <w:r>
        <w:rPr>
          <w:w w:val="105"/>
          <w:sz w:val="13"/>
        </w:rPr>
        <w:t>2018)</w:t>
      </w:r>
      <w:r>
        <w:rPr>
          <w:spacing w:val="5"/>
          <w:w w:val="105"/>
          <w:sz w:val="13"/>
        </w:rPr>
        <w:t> </w:t>
      </w:r>
      <w:r>
        <w:rPr>
          <w:spacing w:val="-4"/>
          <w:w w:val="105"/>
          <w:sz w:val="13"/>
        </w:rPr>
        <w:t>415</w:t>
      </w:r>
      <w:r>
        <w:rPr>
          <w:spacing w:val="5"/>
          <w:w w:val="105"/>
          <w:sz w:val="13"/>
        </w:rPr>
        <w:t> </w:t>
      </w:r>
      <w:r>
        <w:rPr>
          <w:w w:val="105"/>
          <w:sz w:val="13"/>
        </w:rPr>
        <w:t>Tort,</w:t>
      </w:r>
      <w:r>
        <w:rPr>
          <w:spacing w:val="5"/>
          <w:w w:val="105"/>
          <w:sz w:val="13"/>
        </w:rPr>
        <w:t> </w:t>
      </w:r>
      <w:r>
        <w:rPr>
          <w:w w:val="105"/>
          <w:sz w:val="13"/>
        </w:rPr>
        <w:t>‘Strict</w:t>
      </w:r>
      <w:r>
        <w:rPr>
          <w:spacing w:val="5"/>
          <w:w w:val="105"/>
          <w:sz w:val="13"/>
        </w:rPr>
        <w:t> </w:t>
      </w:r>
      <w:r>
        <w:rPr>
          <w:w w:val="105"/>
          <w:sz w:val="13"/>
        </w:rPr>
        <w:t>Liability</w:t>
      </w:r>
      <w:r>
        <w:rPr>
          <w:spacing w:val="6"/>
          <w:w w:val="105"/>
          <w:sz w:val="13"/>
        </w:rPr>
        <w:t> </w:t>
      </w:r>
      <w:r>
        <w:rPr>
          <w:w w:val="105"/>
          <w:sz w:val="13"/>
        </w:rPr>
        <w:t>of</w:t>
      </w:r>
      <w:r>
        <w:rPr>
          <w:spacing w:val="5"/>
          <w:w w:val="105"/>
          <w:sz w:val="13"/>
        </w:rPr>
        <w:t> </w:t>
      </w:r>
      <w:r>
        <w:rPr>
          <w:w w:val="105"/>
          <w:sz w:val="13"/>
        </w:rPr>
        <w:t>Creator’</w:t>
      </w:r>
      <w:r>
        <w:rPr>
          <w:spacing w:val="5"/>
          <w:w w:val="105"/>
          <w:sz w:val="13"/>
        </w:rPr>
        <w:t> </w:t>
      </w:r>
      <w:r>
        <w:rPr>
          <w:w w:val="105"/>
          <w:sz w:val="13"/>
        </w:rPr>
        <w:t>[415-715].</w:t>
      </w:r>
    </w:p>
    <w:p>
      <w:pPr>
        <w:pStyle w:val="ListParagraph"/>
        <w:numPr>
          <w:ilvl w:val="0"/>
          <w:numId w:val="27"/>
        </w:numPr>
        <w:tabs>
          <w:tab w:pos="2381" w:val="left" w:leader="none"/>
          <w:tab w:pos="2382" w:val="left" w:leader="none"/>
        </w:tabs>
        <w:spacing w:line="240" w:lineRule="auto" w:before="3" w:after="0"/>
        <w:ind w:left="2381" w:right="0" w:hanging="794"/>
        <w:jc w:val="left"/>
        <w:rPr>
          <w:sz w:val="13"/>
        </w:rPr>
      </w:pPr>
      <w:r>
        <w:rPr>
          <w:w w:val="105"/>
          <w:sz w:val="13"/>
        </w:rPr>
        <w:t>Kit</w:t>
      </w:r>
      <w:r>
        <w:rPr>
          <w:spacing w:val="4"/>
          <w:w w:val="105"/>
          <w:sz w:val="13"/>
        </w:rPr>
        <w:t> </w:t>
      </w:r>
      <w:r>
        <w:rPr>
          <w:w w:val="105"/>
          <w:sz w:val="13"/>
        </w:rPr>
        <w:t>Barker,</w:t>
      </w:r>
      <w:r>
        <w:rPr>
          <w:spacing w:val="4"/>
          <w:w w:val="105"/>
          <w:sz w:val="13"/>
        </w:rPr>
        <w:t> </w:t>
      </w:r>
      <w:r>
        <w:rPr>
          <w:w w:val="105"/>
          <w:sz w:val="13"/>
        </w:rPr>
        <w:t>Peter</w:t>
      </w:r>
      <w:r>
        <w:rPr>
          <w:spacing w:val="4"/>
          <w:w w:val="105"/>
          <w:sz w:val="13"/>
        </w:rPr>
        <w:t> </w:t>
      </w:r>
      <w:r>
        <w:rPr>
          <w:w w:val="105"/>
          <w:sz w:val="13"/>
        </w:rPr>
        <w:t>Cane,</w:t>
      </w:r>
      <w:r>
        <w:rPr>
          <w:spacing w:val="4"/>
          <w:w w:val="105"/>
          <w:sz w:val="13"/>
        </w:rPr>
        <w:t> </w:t>
      </w:r>
      <w:r>
        <w:rPr>
          <w:w w:val="105"/>
          <w:sz w:val="13"/>
        </w:rPr>
        <w:t>Mark</w:t>
      </w:r>
      <w:r>
        <w:rPr>
          <w:spacing w:val="4"/>
          <w:w w:val="105"/>
          <w:sz w:val="13"/>
        </w:rPr>
        <w:t> </w:t>
      </w:r>
      <w:r>
        <w:rPr>
          <w:w w:val="105"/>
          <w:sz w:val="13"/>
        </w:rPr>
        <w:t>Lunney</w:t>
      </w:r>
      <w:r>
        <w:rPr>
          <w:spacing w:val="5"/>
          <w:w w:val="105"/>
          <w:sz w:val="13"/>
        </w:rPr>
        <w:t> </w:t>
      </w:r>
      <w:r>
        <w:rPr>
          <w:w w:val="105"/>
          <w:sz w:val="13"/>
        </w:rPr>
        <w:t>and</w:t>
      </w:r>
      <w:r>
        <w:rPr>
          <w:spacing w:val="4"/>
          <w:w w:val="105"/>
          <w:sz w:val="13"/>
        </w:rPr>
        <w:t> </w:t>
      </w:r>
      <w:r>
        <w:rPr>
          <w:w w:val="105"/>
          <w:sz w:val="13"/>
        </w:rPr>
        <w:t>Francis</w:t>
      </w:r>
      <w:r>
        <w:rPr>
          <w:spacing w:val="4"/>
          <w:w w:val="105"/>
          <w:sz w:val="13"/>
        </w:rPr>
        <w:t> </w:t>
      </w:r>
      <w:r>
        <w:rPr>
          <w:w w:val="105"/>
          <w:sz w:val="13"/>
        </w:rPr>
        <w:t>Trindade,</w:t>
      </w:r>
      <w:r>
        <w:rPr>
          <w:spacing w:val="4"/>
          <w:w w:val="105"/>
          <w:sz w:val="13"/>
        </w:rPr>
        <w:t> </w:t>
      </w:r>
      <w:r>
        <w:rPr>
          <w:i/>
          <w:w w:val="105"/>
          <w:sz w:val="13"/>
        </w:rPr>
        <w:t>The</w:t>
      </w:r>
      <w:r>
        <w:rPr>
          <w:i/>
          <w:spacing w:val="4"/>
          <w:w w:val="105"/>
          <w:sz w:val="13"/>
        </w:rPr>
        <w:t> </w:t>
      </w:r>
      <w:r>
        <w:rPr>
          <w:i/>
          <w:w w:val="105"/>
          <w:sz w:val="13"/>
        </w:rPr>
        <w:t>Law</w:t>
      </w:r>
      <w:r>
        <w:rPr>
          <w:i/>
          <w:spacing w:val="4"/>
          <w:w w:val="105"/>
          <w:sz w:val="13"/>
        </w:rPr>
        <w:t> </w:t>
      </w:r>
      <w:r>
        <w:rPr>
          <w:i/>
          <w:w w:val="105"/>
          <w:sz w:val="13"/>
        </w:rPr>
        <w:t>of</w:t>
      </w:r>
      <w:r>
        <w:rPr>
          <w:i/>
          <w:spacing w:val="5"/>
          <w:w w:val="105"/>
          <w:sz w:val="13"/>
        </w:rPr>
        <w:t> </w:t>
      </w:r>
      <w:r>
        <w:rPr>
          <w:i/>
          <w:w w:val="105"/>
          <w:sz w:val="13"/>
        </w:rPr>
        <w:t>Torts</w:t>
      </w:r>
      <w:r>
        <w:rPr>
          <w:i/>
          <w:spacing w:val="4"/>
          <w:w w:val="105"/>
          <w:sz w:val="13"/>
        </w:rPr>
        <w:t> </w:t>
      </w:r>
      <w:r>
        <w:rPr>
          <w:i/>
          <w:w w:val="105"/>
          <w:sz w:val="13"/>
        </w:rPr>
        <w:t>in</w:t>
      </w:r>
      <w:r>
        <w:rPr>
          <w:i/>
          <w:spacing w:val="4"/>
          <w:w w:val="105"/>
          <w:sz w:val="13"/>
        </w:rPr>
        <w:t> </w:t>
      </w:r>
      <w:r>
        <w:rPr>
          <w:i/>
          <w:w w:val="105"/>
          <w:sz w:val="13"/>
        </w:rPr>
        <w:t>Australia</w:t>
      </w:r>
      <w:r>
        <w:rPr>
          <w:i/>
          <w:spacing w:val="4"/>
          <w:w w:val="105"/>
          <w:sz w:val="13"/>
        </w:rPr>
        <w:t> </w:t>
      </w:r>
      <w:r>
        <w:rPr>
          <w:spacing w:val="2"/>
          <w:w w:val="105"/>
          <w:sz w:val="13"/>
        </w:rPr>
        <w:t>(Oxford</w:t>
      </w:r>
      <w:r>
        <w:rPr>
          <w:spacing w:val="4"/>
          <w:w w:val="105"/>
          <w:sz w:val="13"/>
        </w:rPr>
        <w:t> </w:t>
      </w:r>
      <w:r>
        <w:rPr>
          <w:w w:val="105"/>
          <w:sz w:val="13"/>
        </w:rPr>
        <w:t>University</w:t>
      </w:r>
      <w:r>
        <w:rPr>
          <w:spacing w:val="5"/>
          <w:w w:val="105"/>
          <w:sz w:val="13"/>
        </w:rPr>
        <w:t> </w:t>
      </w:r>
      <w:r>
        <w:rPr>
          <w:w w:val="105"/>
          <w:sz w:val="13"/>
        </w:rPr>
        <w:t>Press,</w:t>
      </w:r>
      <w:r>
        <w:rPr>
          <w:spacing w:val="4"/>
          <w:w w:val="105"/>
          <w:sz w:val="13"/>
        </w:rPr>
        <w:t> </w:t>
      </w:r>
      <w:r>
        <w:rPr>
          <w:w w:val="105"/>
          <w:sz w:val="13"/>
        </w:rPr>
        <w:t>5th</w:t>
      </w:r>
      <w:r>
        <w:rPr>
          <w:spacing w:val="4"/>
          <w:w w:val="105"/>
          <w:sz w:val="13"/>
        </w:rPr>
        <w:t> </w:t>
      </w:r>
      <w:r>
        <w:rPr>
          <w:w w:val="105"/>
          <w:sz w:val="13"/>
        </w:rPr>
        <w:t>ed,</w:t>
      </w:r>
      <w:r>
        <w:rPr>
          <w:spacing w:val="4"/>
          <w:w w:val="105"/>
          <w:sz w:val="13"/>
        </w:rPr>
        <w:t> </w:t>
      </w:r>
      <w:r>
        <w:rPr>
          <w:w w:val="105"/>
          <w:sz w:val="13"/>
        </w:rPr>
        <w:t>2012)</w:t>
      </w:r>
      <w:r>
        <w:rPr>
          <w:spacing w:val="4"/>
          <w:w w:val="105"/>
          <w:sz w:val="13"/>
        </w:rPr>
        <w:t> </w:t>
      </w:r>
      <w:r>
        <w:rPr>
          <w:w w:val="105"/>
          <w:sz w:val="13"/>
        </w:rPr>
        <w:t>[5.1.5].</w:t>
      </w:r>
    </w:p>
    <w:p>
      <w:pPr>
        <w:pStyle w:val="ListParagraph"/>
        <w:numPr>
          <w:ilvl w:val="0"/>
          <w:numId w:val="27"/>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27"/>
        </w:numPr>
        <w:tabs>
          <w:tab w:pos="2381" w:val="left" w:leader="none"/>
          <w:tab w:pos="2382" w:val="left" w:leader="none"/>
        </w:tabs>
        <w:spacing w:line="240" w:lineRule="auto" w:before="2" w:after="0"/>
        <w:ind w:left="2381" w:right="0" w:hanging="794"/>
        <w:jc w:val="left"/>
        <w:rPr>
          <w:sz w:val="13"/>
        </w:rPr>
      </w:pPr>
      <w:r>
        <w:rPr>
          <w:i/>
          <w:sz w:val="13"/>
        </w:rPr>
        <w:t>Robson</w:t>
      </w:r>
      <w:r>
        <w:rPr>
          <w:i/>
          <w:spacing w:val="9"/>
          <w:sz w:val="13"/>
        </w:rPr>
        <w:t> </w:t>
      </w:r>
      <w:r>
        <w:rPr>
          <w:i/>
          <w:sz w:val="13"/>
        </w:rPr>
        <w:t>v</w:t>
      </w:r>
      <w:r>
        <w:rPr>
          <w:i/>
          <w:spacing w:val="9"/>
          <w:sz w:val="13"/>
        </w:rPr>
        <w:t> </w:t>
      </w:r>
      <w:r>
        <w:rPr>
          <w:i/>
          <w:sz w:val="13"/>
        </w:rPr>
        <w:t>Leischke</w:t>
      </w:r>
      <w:r>
        <w:rPr>
          <w:i/>
          <w:spacing w:val="10"/>
          <w:sz w:val="13"/>
        </w:rPr>
        <w:t> </w:t>
      </w:r>
      <w:r>
        <w:rPr>
          <w:spacing w:val="2"/>
          <w:sz w:val="13"/>
        </w:rPr>
        <w:t>(2008)</w:t>
      </w:r>
      <w:r>
        <w:rPr>
          <w:spacing w:val="9"/>
          <w:sz w:val="13"/>
        </w:rPr>
        <w:t> </w:t>
      </w:r>
      <w:r>
        <w:rPr>
          <w:sz w:val="13"/>
        </w:rPr>
        <w:t>72</w:t>
      </w:r>
      <w:r>
        <w:rPr>
          <w:spacing w:val="9"/>
          <w:sz w:val="13"/>
        </w:rPr>
        <w:t> </w:t>
      </w:r>
      <w:r>
        <w:rPr>
          <w:spacing w:val="2"/>
          <w:sz w:val="13"/>
        </w:rPr>
        <w:t>NSWLR</w:t>
      </w:r>
      <w:r>
        <w:rPr>
          <w:spacing w:val="10"/>
          <w:sz w:val="13"/>
        </w:rPr>
        <w:t> </w:t>
      </w:r>
      <w:r>
        <w:rPr>
          <w:sz w:val="13"/>
        </w:rPr>
        <w:t>98</w:t>
      </w:r>
      <w:r>
        <w:rPr>
          <w:spacing w:val="9"/>
          <w:sz w:val="13"/>
        </w:rPr>
        <w:t> </w:t>
      </w:r>
      <w:r>
        <w:rPr>
          <w:spacing w:val="5"/>
          <w:sz w:val="13"/>
        </w:rPr>
        <w:t>[44]–[45].</w:t>
      </w:r>
      <w:r>
        <w:rPr>
          <w:spacing w:val="9"/>
          <w:sz w:val="13"/>
        </w:rPr>
        <w:t> </w:t>
      </w:r>
      <w:r>
        <w:rPr>
          <w:sz w:val="13"/>
        </w:rPr>
        <w:t>Preston</w:t>
      </w:r>
      <w:r>
        <w:rPr>
          <w:spacing w:val="10"/>
          <w:sz w:val="13"/>
        </w:rPr>
        <w:t> </w:t>
      </w:r>
      <w:r>
        <w:rPr>
          <w:sz w:val="13"/>
        </w:rPr>
        <w:t>CJ</w:t>
      </w:r>
      <w:r>
        <w:rPr>
          <w:spacing w:val="9"/>
          <w:sz w:val="13"/>
        </w:rPr>
        <w:t> </w:t>
      </w:r>
      <w:r>
        <w:rPr>
          <w:sz w:val="13"/>
        </w:rPr>
        <w:t>also</w:t>
      </w:r>
      <w:r>
        <w:rPr>
          <w:spacing w:val="9"/>
          <w:sz w:val="13"/>
        </w:rPr>
        <w:t> </w:t>
      </w:r>
      <w:r>
        <w:rPr>
          <w:sz w:val="13"/>
        </w:rPr>
        <w:t>notes</w:t>
      </w:r>
      <w:r>
        <w:rPr>
          <w:spacing w:val="10"/>
          <w:sz w:val="13"/>
        </w:rPr>
        <w:t> </w:t>
      </w:r>
      <w:r>
        <w:rPr>
          <w:sz w:val="13"/>
        </w:rPr>
        <w:t>that</w:t>
      </w:r>
      <w:r>
        <w:rPr>
          <w:spacing w:val="9"/>
          <w:sz w:val="13"/>
        </w:rPr>
        <w:t> </w:t>
      </w:r>
      <w:r>
        <w:rPr>
          <w:sz w:val="13"/>
        </w:rPr>
        <w:t>‘Fault</w:t>
      </w:r>
      <w:r>
        <w:rPr>
          <w:spacing w:val="9"/>
          <w:sz w:val="13"/>
        </w:rPr>
        <w:t> </w:t>
      </w:r>
      <w:r>
        <w:rPr>
          <w:sz w:val="13"/>
        </w:rPr>
        <w:t>generally</w:t>
      </w:r>
      <w:r>
        <w:rPr>
          <w:spacing w:val="10"/>
          <w:sz w:val="13"/>
        </w:rPr>
        <w:t> </w:t>
      </w:r>
      <w:r>
        <w:rPr>
          <w:sz w:val="13"/>
        </w:rPr>
        <w:t>involves</w:t>
      </w:r>
      <w:r>
        <w:rPr>
          <w:spacing w:val="9"/>
          <w:sz w:val="13"/>
        </w:rPr>
        <w:t> </w:t>
      </w:r>
      <w:r>
        <w:rPr>
          <w:sz w:val="13"/>
        </w:rPr>
        <w:t>foreseeability’:</w:t>
      </w:r>
      <w:r>
        <w:rPr>
          <w:spacing w:val="9"/>
          <w:sz w:val="13"/>
        </w:rPr>
        <w:t> </w:t>
      </w:r>
      <w:r>
        <w:rPr>
          <w:spacing w:val="2"/>
          <w:sz w:val="13"/>
        </w:rPr>
        <w:t>[45].</w:t>
      </w:r>
    </w:p>
    <w:p>
      <w:pPr>
        <w:pStyle w:val="ListParagraph"/>
        <w:numPr>
          <w:ilvl w:val="0"/>
          <w:numId w:val="27"/>
        </w:numPr>
        <w:tabs>
          <w:tab w:pos="2381" w:val="left" w:leader="none"/>
          <w:tab w:pos="2382" w:val="left" w:leader="none"/>
        </w:tabs>
        <w:spacing w:line="240" w:lineRule="auto" w:before="1" w:after="0"/>
        <w:ind w:left="2381" w:right="1631" w:hanging="794"/>
        <w:jc w:val="left"/>
        <w:rPr>
          <w:sz w:val="13"/>
        </w:rPr>
      </w:pPr>
      <w:r>
        <w:rPr>
          <w:w w:val="105"/>
          <w:sz w:val="13"/>
        </w:rPr>
        <w:t>LexisNexis, </w:t>
      </w:r>
      <w:r>
        <w:rPr>
          <w:i/>
          <w:w w:val="105"/>
          <w:sz w:val="13"/>
        </w:rPr>
        <w:t>Halsbury’s The Laws of Australia </w:t>
      </w:r>
      <w:r>
        <w:rPr>
          <w:w w:val="105"/>
          <w:sz w:val="13"/>
        </w:rPr>
        <w:t>(at 21 March 2018) </w:t>
      </w:r>
      <w:r>
        <w:rPr>
          <w:spacing w:val="-4"/>
          <w:w w:val="105"/>
          <w:sz w:val="13"/>
        </w:rPr>
        <w:t>415  </w:t>
      </w:r>
      <w:r>
        <w:rPr>
          <w:w w:val="105"/>
          <w:sz w:val="13"/>
        </w:rPr>
        <w:t>Tort, ‘Liability’ [415-710]; see also </w:t>
      </w:r>
      <w:r>
        <w:rPr>
          <w:i/>
          <w:w w:val="105"/>
          <w:sz w:val="13"/>
        </w:rPr>
        <w:t>Robson v Leischke </w:t>
      </w:r>
      <w:r>
        <w:rPr>
          <w:spacing w:val="2"/>
          <w:w w:val="105"/>
          <w:sz w:val="13"/>
        </w:rPr>
        <w:t>(2008) </w:t>
      </w:r>
      <w:r>
        <w:rPr>
          <w:w w:val="105"/>
          <w:sz w:val="13"/>
        </w:rPr>
        <w:t>72 </w:t>
      </w:r>
      <w:r>
        <w:rPr>
          <w:spacing w:val="2"/>
          <w:w w:val="105"/>
          <w:sz w:val="13"/>
        </w:rPr>
        <w:t>NSWLR  </w:t>
      </w:r>
      <w:r>
        <w:rPr>
          <w:w w:val="105"/>
          <w:sz w:val="13"/>
        </w:rPr>
        <w:t>98 [47]</w:t>
      </w:r>
      <w:r>
        <w:rPr>
          <w:spacing w:val="-14"/>
          <w:w w:val="105"/>
          <w:sz w:val="13"/>
        </w:rPr>
        <w:t> </w:t>
      </w:r>
      <w:r>
        <w:rPr>
          <w:spacing w:val="5"/>
          <w:w w:val="105"/>
          <w:sz w:val="13"/>
        </w:rPr>
        <w:t>–[50].</w:t>
      </w:r>
    </w:p>
    <w:p>
      <w:pPr>
        <w:pStyle w:val="ListParagraph"/>
        <w:numPr>
          <w:ilvl w:val="0"/>
          <w:numId w:val="27"/>
        </w:numPr>
        <w:tabs>
          <w:tab w:pos="2381" w:val="left" w:leader="none"/>
          <w:tab w:pos="2382" w:val="left" w:leader="none"/>
        </w:tabs>
        <w:spacing w:line="240" w:lineRule="auto" w:before="3" w:after="0"/>
        <w:ind w:left="2381" w:right="1605" w:hanging="793"/>
        <w:jc w:val="left"/>
        <w:rPr>
          <w:sz w:val="13"/>
        </w:rPr>
      </w:pPr>
      <w:r>
        <w:rPr>
          <w:w w:val="105"/>
          <w:sz w:val="13"/>
        </w:rPr>
        <w:t>This ‘covers all those cases of obvious or “patent” nuisances’: </w:t>
      </w:r>
      <w:r>
        <w:rPr>
          <w:i/>
          <w:w w:val="105"/>
          <w:sz w:val="13"/>
        </w:rPr>
        <w:t>Robson v Leischke </w:t>
      </w:r>
      <w:r>
        <w:rPr>
          <w:spacing w:val="2"/>
          <w:w w:val="105"/>
          <w:sz w:val="13"/>
        </w:rPr>
        <w:t>(2008) </w:t>
      </w:r>
      <w:r>
        <w:rPr>
          <w:w w:val="105"/>
          <w:sz w:val="13"/>
        </w:rPr>
        <w:t>72 </w:t>
      </w:r>
      <w:r>
        <w:rPr>
          <w:spacing w:val="2"/>
          <w:w w:val="105"/>
          <w:sz w:val="13"/>
        </w:rPr>
        <w:t>NSWLR </w:t>
      </w:r>
      <w:r>
        <w:rPr>
          <w:w w:val="105"/>
          <w:sz w:val="13"/>
        </w:rPr>
        <w:t>98 </w:t>
      </w:r>
      <w:r>
        <w:rPr>
          <w:spacing w:val="3"/>
          <w:w w:val="105"/>
          <w:sz w:val="13"/>
        </w:rPr>
        <w:t>[48] </w:t>
      </w:r>
      <w:r>
        <w:rPr>
          <w:w w:val="105"/>
          <w:sz w:val="13"/>
        </w:rPr>
        <w:t>citing A M Jones &amp; M A Dugdale </w:t>
      </w:r>
      <w:r>
        <w:rPr>
          <w:spacing w:val="2"/>
          <w:w w:val="105"/>
          <w:sz w:val="13"/>
        </w:rPr>
        <w:t>(eds),</w:t>
      </w:r>
      <w:r>
        <w:rPr>
          <w:spacing w:val="4"/>
          <w:w w:val="105"/>
          <w:sz w:val="13"/>
        </w:rPr>
        <w:t> </w:t>
      </w:r>
      <w:r>
        <w:rPr>
          <w:i/>
          <w:w w:val="105"/>
          <w:sz w:val="13"/>
        </w:rPr>
        <w:t>Clerk</w:t>
      </w:r>
      <w:r>
        <w:rPr>
          <w:i/>
          <w:spacing w:val="5"/>
          <w:w w:val="105"/>
          <w:sz w:val="13"/>
        </w:rPr>
        <w:t> </w:t>
      </w:r>
      <w:r>
        <w:rPr>
          <w:i/>
          <w:w w:val="105"/>
          <w:sz w:val="13"/>
        </w:rPr>
        <w:t>&amp;</w:t>
      </w:r>
      <w:r>
        <w:rPr>
          <w:i/>
          <w:spacing w:val="5"/>
          <w:w w:val="105"/>
          <w:sz w:val="13"/>
        </w:rPr>
        <w:t> </w:t>
      </w:r>
      <w:r>
        <w:rPr>
          <w:i/>
          <w:w w:val="105"/>
          <w:sz w:val="13"/>
        </w:rPr>
        <w:t>Lindsell</w:t>
      </w:r>
      <w:r>
        <w:rPr>
          <w:i/>
          <w:spacing w:val="5"/>
          <w:w w:val="105"/>
          <w:sz w:val="13"/>
        </w:rPr>
        <w:t> </w:t>
      </w:r>
      <w:r>
        <w:rPr>
          <w:i/>
          <w:w w:val="105"/>
          <w:sz w:val="13"/>
        </w:rPr>
        <w:t>on</w:t>
      </w:r>
      <w:r>
        <w:rPr>
          <w:i/>
          <w:spacing w:val="5"/>
          <w:w w:val="105"/>
          <w:sz w:val="13"/>
        </w:rPr>
        <w:t> </w:t>
      </w:r>
      <w:r>
        <w:rPr>
          <w:i/>
          <w:w w:val="105"/>
          <w:sz w:val="13"/>
        </w:rPr>
        <w:t>Torts</w:t>
      </w:r>
      <w:r>
        <w:rPr>
          <w:i/>
          <w:spacing w:val="5"/>
          <w:w w:val="105"/>
          <w:sz w:val="13"/>
        </w:rPr>
        <w:t> </w:t>
      </w:r>
      <w:r>
        <w:rPr>
          <w:w w:val="105"/>
          <w:sz w:val="13"/>
        </w:rPr>
        <w:t>(Sweet</w:t>
      </w:r>
      <w:r>
        <w:rPr>
          <w:spacing w:val="5"/>
          <w:w w:val="105"/>
          <w:sz w:val="13"/>
        </w:rPr>
        <w:t> </w:t>
      </w:r>
      <w:r>
        <w:rPr>
          <w:w w:val="105"/>
          <w:sz w:val="13"/>
        </w:rPr>
        <w:t>&amp;</w:t>
      </w:r>
      <w:r>
        <w:rPr>
          <w:spacing w:val="4"/>
          <w:w w:val="105"/>
          <w:sz w:val="13"/>
        </w:rPr>
        <w:t> </w:t>
      </w:r>
      <w:r>
        <w:rPr>
          <w:w w:val="105"/>
          <w:sz w:val="13"/>
        </w:rPr>
        <w:t>Maxwell,</w:t>
      </w:r>
      <w:r>
        <w:rPr>
          <w:spacing w:val="5"/>
          <w:w w:val="105"/>
          <w:sz w:val="13"/>
        </w:rPr>
        <w:t> </w:t>
      </w:r>
      <w:r>
        <w:rPr>
          <w:w w:val="105"/>
          <w:sz w:val="13"/>
        </w:rPr>
        <w:t>19th</w:t>
      </w:r>
      <w:r>
        <w:rPr>
          <w:spacing w:val="5"/>
          <w:w w:val="105"/>
          <w:sz w:val="13"/>
        </w:rPr>
        <w:t> </w:t>
      </w:r>
      <w:r>
        <w:rPr>
          <w:w w:val="105"/>
          <w:sz w:val="13"/>
        </w:rPr>
        <w:t>ed,</w:t>
      </w:r>
      <w:r>
        <w:rPr>
          <w:spacing w:val="5"/>
          <w:w w:val="105"/>
          <w:sz w:val="13"/>
        </w:rPr>
        <w:t> </w:t>
      </w:r>
      <w:r>
        <w:rPr>
          <w:spacing w:val="2"/>
          <w:w w:val="105"/>
          <w:sz w:val="13"/>
        </w:rPr>
        <w:t>2006)</w:t>
      </w:r>
      <w:r>
        <w:rPr>
          <w:spacing w:val="5"/>
          <w:w w:val="105"/>
          <w:sz w:val="13"/>
        </w:rPr>
        <w:t> </w:t>
      </w:r>
      <w:r>
        <w:rPr>
          <w:spacing w:val="-3"/>
          <w:w w:val="105"/>
          <w:sz w:val="13"/>
        </w:rPr>
        <w:t>1184</w:t>
      </w:r>
      <w:r>
        <w:rPr>
          <w:spacing w:val="5"/>
          <w:w w:val="105"/>
          <w:sz w:val="13"/>
        </w:rPr>
        <w:t> </w:t>
      </w:r>
      <w:r>
        <w:rPr>
          <w:spacing w:val="2"/>
          <w:w w:val="105"/>
          <w:sz w:val="13"/>
        </w:rPr>
        <w:t>[20–39].</w:t>
      </w:r>
    </w:p>
    <w:p>
      <w:pPr>
        <w:pStyle w:val="ListParagraph"/>
        <w:numPr>
          <w:ilvl w:val="0"/>
          <w:numId w:val="27"/>
        </w:numPr>
        <w:tabs>
          <w:tab w:pos="2381" w:val="left" w:leader="none"/>
          <w:tab w:pos="2382" w:val="left" w:leader="none"/>
        </w:tabs>
        <w:spacing w:line="240" w:lineRule="auto" w:before="2" w:after="0"/>
        <w:ind w:left="2381" w:right="1761" w:hanging="793"/>
        <w:jc w:val="left"/>
        <w:rPr>
          <w:sz w:val="13"/>
        </w:rPr>
      </w:pPr>
      <w:r>
        <w:rPr>
          <w:i/>
          <w:w w:val="105"/>
          <w:sz w:val="13"/>
        </w:rPr>
        <w:t>Robson v Leischke </w:t>
      </w:r>
      <w:r>
        <w:rPr>
          <w:spacing w:val="2"/>
          <w:w w:val="105"/>
          <w:sz w:val="13"/>
        </w:rPr>
        <w:t>(2008) </w:t>
      </w:r>
      <w:r>
        <w:rPr>
          <w:w w:val="105"/>
          <w:sz w:val="13"/>
        </w:rPr>
        <w:t>72 </w:t>
      </w:r>
      <w:r>
        <w:rPr>
          <w:spacing w:val="2"/>
          <w:w w:val="105"/>
          <w:sz w:val="13"/>
        </w:rPr>
        <w:t>NSWLR </w:t>
      </w:r>
      <w:r>
        <w:rPr>
          <w:w w:val="105"/>
          <w:sz w:val="13"/>
        </w:rPr>
        <w:t>98 </w:t>
      </w:r>
      <w:r>
        <w:rPr>
          <w:spacing w:val="3"/>
          <w:w w:val="105"/>
          <w:sz w:val="13"/>
        </w:rPr>
        <w:t>[48] </w:t>
      </w:r>
      <w:r>
        <w:rPr>
          <w:w w:val="105"/>
          <w:sz w:val="13"/>
        </w:rPr>
        <w:t>citing A M Jones &amp; M A Dugdale </w:t>
      </w:r>
      <w:r>
        <w:rPr>
          <w:spacing w:val="2"/>
          <w:w w:val="105"/>
          <w:sz w:val="13"/>
        </w:rPr>
        <w:t>(eds), </w:t>
      </w:r>
      <w:r>
        <w:rPr>
          <w:i/>
          <w:w w:val="105"/>
          <w:sz w:val="13"/>
        </w:rPr>
        <w:t>Clerk &amp; Lindsell on Torts </w:t>
      </w:r>
      <w:r>
        <w:rPr>
          <w:w w:val="105"/>
          <w:sz w:val="13"/>
        </w:rPr>
        <w:t>(Sweet &amp; Maxwell, 19th ed, </w:t>
      </w:r>
      <w:r>
        <w:rPr>
          <w:spacing w:val="2"/>
          <w:w w:val="105"/>
          <w:sz w:val="13"/>
        </w:rPr>
        <w:t>2006) </w:t>
      </w:r>
      <w:r>
        <w:rPr>
          <w:spacing w:val="-3"/>
          <w:w w:val="105"/>
          <w:sz w:val="13"/>
        </w:rPr>
        <w:t>1184</w:t>
      </w:r>
      <w:r>
        <w:rPr>
          <w:spacing w:val="7"/>
          <w:w w:val="105"/>
          <w:sz w:val="13"/>
        </w:rPr>
        <w:t> </w:t>
      </w:r>
      <w:r>
        <w:rPr>
          <w:spacing w:val="2"/>
          <w:w w:val="105"/>
          <w:sz w:val="13"/>
        </w:rPr>
        <w:t>[20–39].</w:t>
      </w:r>
    </w:p>
    <w:p>
      <w:pPr>
        <w:pStyle w:val="ListParagraph"/>
        <w:numPr>
          <w:ilvl w:val="0"/>
          <w:numId w:val="27"/>
        </w:numPr>
        <w:tabs>
          <w:tab w:pos="2381" w:val="left" w:leader="none"/>
          <w:tab w:pos="2382" w:val="left" w:leader="none"/>
        </w:tabs>
        <w:spacing w:line="240" w:lineRule="auto" w:before="3" w:after="0"/>
        <w:ind w:left="2381" w:right="0" w:hanging="793"/>
        <w:jc w:val="left"/>
        <w:rPr>
          <w:sz w:val="13"/>
        </w:rPr>
      </w:pPr>
      <w:r>
        <w:rPr>
          <w:i/>
          <w:w w:val="105"/>
          <w:sz w:val="13"/>
        </w:rPr>
        <w:t>Robson v Leischke </w:t>
      </w:r>
      <w:r>
        <w:rPr>
          <w:spacing w:val="2"/>
          <w:w w:val="105"/>
          <w:sz w:val="13"/>
        </w:rPr>
        <w:t>(2008) </w:t>
      </w:r>
      <w:r>
        <w:rPr>
          <w:w w:val="105"/>
          <w:sz w:val="13"/>
        </w:rPr>
        <w:t>72 </w:t>
      </w:r>
      <w:r>
        <w:rPr>
          <w:spacing w:val="2"/>
          <w:w w:val="105"/>
          <w:sz w:val="13"/>
        </w:rPr>
        <w:t>NSWLR </w:t>
      </w:r>
      <w:r>
        <w:rPr>
          <w:w w:val="105"/>
          <w:sz w:val="13"/>
        </w:rPr>
        <w:t>98</w:t>
      </w:r>
      <w:r>
        <w:rPr>
          <w:spacing w:val="28"/>
          <w:w w:val="105"/>
          <w:sz w:val="13"/>
        </w:rPr>
        <w:t> </w:t>
      </w:r>
      <w:r>
        <w:rPr>
          <w:spacing w:val="2"/>
          <w:w w:val="105"/>
          <w:sz w:val="13"/>
        </w:rPr>
        <w:t>[69]</w:t>
      </w:r>
    </w:p>
    <w:p>
      <w:pPr>
        <w:pStyle w:val="ListParagraph"/>
        <w:numPr>
          <w:ilvl w:val="0"/>
          <w:numId w:val="27"/>
        </w:numPr>
        <w:tabs>
          <w:tab w:pos="2381" w:val="left" w:leader="none"/>
          <w:tab w:pos="2382" w:val="left" w:leader="none"/>
        </w:tabs>
        <w:spacing w:line="240" w:lineRule="auto" w:before="1" w:after="0"/>
        <w:ind w:left="2381" w:right="1611" w:hanging="793"/>
        <w:jc w:val="left"/>
        <w:rPr>
          <w:sz w:val="13"/>
        </w:rPr>
      </w:pPr>
      <w:r>
        <w:rPr/>
        <w:pict>
          <v:shape style="position:absolute;margin-left:548.99353pt;margin-top:2.987365pt;width:13.2pt;height:14.25pt;mso-position-horizontal-relative:page;mso-position-vertical-relative:paragraph;z-index:3256" type="#_x0000_t202" filled="false" stroked="false">
            <v:textbox inset="0,0,0,0">
              <w:txbxContent>
                <w:p>
                  <w:pPr>
                    <w:spacing w:line="284" w:lineRule="exact" w:before="0"/>
                    <w:ind w:left="0" w:right="0" w:firstLine="0"/>
                    <w:jc w:val="left"/>
                    <w:rPr>
                      <w:b/>
                      <w:sz w:val="24"/>
                    </w:rPr>
                  </w:pPr>
                  <w:r>
                    <w:rPr>
                      <w:b/>
                      <w:color w:val="658464"/>
                      <w:spacing w:val="-2"/>
                      <w:w w:val="110"/>
                      <w:sz w:val="24"/>
                    </w:rPr>
                    <w:t>33</w:t>
                  </w:r>
                </w:p>
              </w:txbxContent>
            </v:textbox>
            <w10:wrap type="none"/>
          </v:shape>
        </w:pict>
      </w:r>
      <w:r>
        <w:rPr>
          <w:w w:val="105"/>
          <w:sz w:val="13"/>
        </w:rPr>
        <w:t>Thomson Reuters, </w:t>
      </w:r>
      <w:r>
        <w:rPr>
          <w:i/>
          <w:w w:val="105"/>
          <w:sz w:val="13"/>
        </w:rPr>
        <w:t>The Laws of Australia </w:t>
      </w:r>
      <w:r>
        <w:rPr>
          <w:w w:val="105"/>
          <w:sz w:val="13"/>
        </w:rPr>
        <w:t>(at 28 April 2016) 33 Torts, ‘7 Nuisance’ [33.7.540]. See also </w:t>
      </w:r>
      <w:r>
        <w:rPr>
          <w:i/>
          <w:w w:val="105"/>
          <w:sz w:val="13"/>
        </w:rPr>
        <w:t>De Jager v Payneham &amp; Magill Lodges </w:t>
      </w:r>
      <w:r>
        <w:rPr>
          <w:i/>
          <w:w w:val="105"/>
          <w:sz w:val="13"/>
        </w:rPr>
        <w:t>Hall Inc </w:t>
      </w:r>
      <w:r>
        <w:rPr>
          <w:w w:val="105"/>
          <w:sz w:val="13"/>
        </w:rPr>
        <w:t>(1984) 36 SASR 498,</w:t>
      </w:r>
      <w:r>
        <w:rPr>
          <w:spacing w:val="28"/>
          <w:w w:val="105"/>
          <w:sz w:val="13"/>
        </w:rPr>
        <w:t> </w:t>
      </w:r>
      <w:r>
        <w:rPr>
          <w:w w:val="105"/>
          <w:sz w:val="13"/>
        </w:rPr>
        <w:t>501.</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16"/>
        </w:numPr>
        <w:tabs>
          <w:tab w:pos="2381" w:val="left" w:leader="none"/>
          <w:tab w:pos="2382" w:val="left" w:leader="none"/>
        </w:tabs>
        <w:spacing w:line="242" w:lineRule="auto" w:before="92" w:after="0"/>
        <w:ind w:left="2381" w:right="1636" w:hanging="794"/>
        <w:jc w:val="left"/>
        <w:rPr>
          <w:sz w:val="21"/>
        </w:rPr>
      </w:pPr>
      <w:r>
        <w:rPr>
          <w:w w:val="105"/>
          <w:sz w:val="21"/>
        </w:rPr>
        <w:t>A tree owner </w:t>
      </w:r>
      <w:r>
        <w:rPr>
          <w:spacing w:val="-3"/>
          <w:w w:val="105"/>
          <w:sz w:val="21"/>
        </w:rPr>
        <w:t>will have ‘adopted’ </w:t>
      </w:r>
      <w:r>
        <w:rPr>
          <w:w w:val="105"/>
          <w:sz w:val="21"/>
        </w:rPr>
        <w:t>the </w:t>
      </w:r>
      <w:r>
        <w:rPr>
          <w:spacing w:val="-3"/>
          <w:w w:val="105"/>
          <w:sz w:val="21"/>
        </w:rPr>
        <w:t>nuisance </w:t>
      </w:r>
      <w:r>
        <w:rPr>
          <w:w w:val="105"/>
          <w:sz w:val="21"/>
        </w:rPr>
        <w:t>caused by the tree where they </w:t>
      </w:r>
      <w:r>
        <w:rPr>
          <w:spacing w:val="-4"/>
          <w:w w:val="105"/>
          <w:sz w:val="21"/>
        </w:rPr>
        <w:t>make </w:t>
      </w:r>
      <w:r>
        <w:rPr>
          <w:w w:val="105"/>
          <w:sz w:val="21"/>
        </w:rPr>
        <w:t>use of it, </w:t>
      </w:r>
      <w:r>
        <w:rPr>
          <w:spacing w:val="-3"/>
          <w:w w:val="105"/>
          <w:sz w:val="21"/>
        </w:rPr>
        <w:t>such </w:t>
      </w:r>
      <w:r>
        <w:rPr>
          <w:w w:val="105"/>
          <w:sz w:val="21"/>
        </w:rPr>
        <w:t>as by </w:t>
      </w:r>
      <w:r>
        <w:rPr>
          <w:spacing w:val="-3"/>
          <w:w w:val="105"/>
          <w:sz w:val="21"/>
        </w:rPr>
        <w:t>using </w:t>
      </w:r>
      <w:r>
        <w:rPr>
          <w:w w:val="105"/>
          <w:sz w:val="21"/>
        </w:rPr>
        <w:t>it </w:t>
      </w:r>
      <w:r>
        <w:rPr>
          <w:spacing w:val="-3"/>
          <w:w w:val="105"/>
          <w:sz w:val="21"/>
        </w:rPr>
        <w:t>for </w:t>
      </w:r>
      <w:r>
        <w:rPr>
          <w:w w:val="105"/>
          <w:sz w:val="21"/>
        </w:rPr>
        <w:t>privacy or noise </w:t>
      </w:r>
      <w:r>
        <w:rPr>
          <w:spacing w:val="-3"/>
          <w:w w:val="105"/>
          <w:sz w:val="21"/>
        </w:rPr>
        <w:t>reduction.</w:t>
      </w:r>
      <w:r>
        <w:rPr>
          <w:spacing w:val="-3"/>
          <w:w w:val="105"/>
          <w:position w:val="7"/>
          <w:sz w:val="12"/>
        </w:rPr>
        <w:t>76 </w:t>
      </w:r>
      <w:r>
        <w:rPr>
          <w:w w:val="105"/>
          <w:sz w:val="21"/>
        </w:rPr>
        <w:t>A tree owner </w:t>
      </w:r>
      <w:r>
        <w:rPr>
          <w:spacing w:val="-3"/>
          <w:w w:val="105"/>
          <w:sz w:val="21"/>
        </w:rPr>
        <w:t>will </w:t>
      </w:r>
      <w:r>
        <w:rPr>
          <w:w w:val="105"/>
          <w:sz w:val="21"/>
        </w:rPr>
        <w:t>be </w:t>
      </w:r>
      <w:r>
        <w:rPr>
          <w:spacing w:val="-3"/>
          <w:w w:val="105"/>
          <w:sz w:val="21"/>
        </w:rPr>
        <w:t>considered to have </w:t>
      </w:r>
      <w:r>
        <w:rPr>
          <w:spacing w:val="-4"/>
          <w:w w:val="105"/>
          <w:sz w:val="21"/>
        </w:rPr>
        <w:t>‘continued’ </w:t>
      </w:r>
      <w:r>
        <w:rPr>
          <w:w w:val="105"/>
          <w:sz w:val="21"/>
        </w:rPr>
        <w:t>the </w:t>
      </w:r>
      <w:r>
        <w:rPr>
          <w:spacing w:val="-3"/>
          <w:w w:val="105"/>
          <w:sz w:val="21"/>
        </w:rPr>
        <w:t>nuisance </w:t>
      </w:r>
      <w:r>
        <w:rPr>
          <w:w w:val="105"/>
          <w:sz w:val="21"/>
        </w:rPr>
        <w:t>where they </w:t>
      </w:r>
      <w:r>
        <w:rPr>
          <w:spacing w:val="-4"/>
          <w:w w:val="105"/>
          <w:sz w:val="21"/>
        </w:rPr>
        <w:t>fail </w:t>
      </w:r>
      <w:r>
        <w:rPr>
          <w:spacing w:val="-3"/>
          <w:w w:val="105"/>
          <w:sz w:val="21"/>
        </w:rPr>
        <w:t>to </w:t>
      </w:r>
      <w:r>
        <w:rPr>
          <w:w w:val="105"/>
          <w:sz w:val="21"/>
        </w:rPr>
        <w:t>stop the </w:t>
      </w:r>
      <w:r>
        <w:rPr>
          <w:spacing w:val="-3"/>
          <w:w w:val="105"/>
          <w:sz w:val="21"/>
        </w:rPr>
        <w:t>nuisance </w:t>
      </w:r>
      <w:r>
        <w:rPr>
          <w:w w:val="105"/>
          <w:sz w:val="21"/>
        </w:rPr>
        <w:t>being caused by the tree </w:t>
      </w:r>
      <w:r>
        <w:rPr>
          <w:spacing w:val="-3"/>
          <w:w w:val="105"/>
          <w:sz w:val="21"/>
        </w:rPr>
        <w:t>within </w:t>
      </w:r>
      <w:r>
        <w:rPr>
          <w:w w:val="105"/>
          <w:sz w:val="21"/>
        </w:rPr>
        <w:t>a </w:t>
      </w:r>
      <w:r>
        <w:rPr>
          <w:spacing w:val="-3"/>
          <w:w w:val="105"/>
          <w:sz w:val="21"/>
        </w:rPr>
        <w:t>reasonable</w:t>
      </w:r>
      <w:r>
        <w:rPr>
          <w:spacing w:val="23"/>
          <w:w w:val="105"/>
          <w:sz w:val="21"/>
        </w:rPr>
        <w:t> </w:t>
      </w:r>
      <w:r>
        <w:rPr>
          <w:spacing w:val="-4"/>
          <w:w w:val="105"/>
          <w:sz w:val="21"/>
        </w:rPr>
        <w:t>time.</w:t>
      </w:r>
      <w:r>
        <w:rPr>
          <w:spacing w:val="-4"/>
          <w:w w:val="105"/>
          <w:position w:val="7"/>
          <w:sz w:val="12"/>
        </w:rPr>
        <w:t>77</w:t>
      </w:r>
    </w:p>
    <w:p>
      <w:pPr>
        <w:pStyle w:val="ListParagraph"/>
        <w:numPr>
          <w:ilvl w:val="1"/>
          <w:numId w:val="16"/>
        </w:numPr>
        <w:tabs>
          <w:tab w:pos="2380" w:val="left" w:leader="none"/>
          <w:tab w:pos="2381" w:val="left" w:leader="none"/>
        </w:tabs>
        <w:spacing w:line="242" w:lineRule="auto" w:before="124" w:after="0"/>
        <w:ind w:left="2381" w:right="1629" w:hanging="794"/>
        <w:jc w:val="left"/>
        <w:rPr>
          <w:sz w:val="21"/>
        </w:rPr>
      </w:pPr>
      <w:r>
        <w:rPr>
          <w:w w:val="105"/>
          <w:sz w:val="21"/>
        </w:rPr>
        <w:t>A tree owner </w:t>
      </w:r>
      <w:r>
        <w:rPr>
          <w:spacing w:val="-3"/>
          <w:w w:val="105"/>
          <w:sz w:val="21"/>
        </w:rPr>
        <w:t>will </w:t>
      </w:r>
      <w:r>
        <w:rPr>
          <w:w w:val="105"/>
          <w:sz w:val="21"/>
        </w:rPr>
        <w:t>be </w:t>
      </w:r>
      <w:r>
        <w:rPr>
          <w:spacing w:val="-3"/>
          <w:w w:val="105"/>
          <w:sz w:val="21"/>
        </w:rPr>
        <w:t>liable </w:t>
      </w:r>
      <w:r>
        <w:rPr>
          <w:w w:val="105"/>
          <w:sz w:val="21"/>
        </w:rPr>
        <w:t>where they knew or </w:t>
      </w:r>
      <w:r>
        <w:rPr>
          <w:spacing w:val="-3"/>
          <w:w w:val="105"/>
          <w:sz w:val="21"/>
        </w:rPr>
        <w:t>ought to have </w:t>
      </w:r>
      <w:r>
        <w:rPr>
          <w:w w:val="105"/>
          <w:sz w:val="21"/>
        </w:rPr>
        <w:t>known of the </w:t>
      </w:r>
      <w:r>
        <w:rPr>
          <w:spacing w:val="-3"/>
          <w:w w:val="105"/>
          <w:sz w:val="21"/>
        </w:rPr>
        <w:t>nuisance </w:t>
      </w:r>
      <w:r>
        <w:rPr>
          <w:w w:val="105"/>
          <w:sz w:val="21"/>
        </w:rPr>
        <w:t>and did </w:t>
      </w:r>
      <w:r>
        <w:rPr>
          <w:spacing w:val="-2"/>
          <w:w w:val="105"/>
          <w:sz w:val="21"/>
        </w:rPr>
        <w:t>not </w:t>
      </w:r>
      <w:r>
        <w:rPr>
          <w:spacing w:val="-3"/>
          <w:w w:val="105"/>
          <w:sz w:val="21"/>
        </w:rPr>
        <w:t>take reasonable </w:t>
      </w:r>
      <w:r>
        <w:rPr>
          <w:w w:val="105"/>
          <w:sz w:val="21"/>
        </w:rPr>
        <w:t>steps </w:t>
      </w:r>
      <w:r>
        <w:rPr>
          <w:spacing w:val="-3"/>
          <w:w w:val="105"/>
          <w:sz w:val="21"/>
        </w:rPr>
        <w:t>to mitigate </w:t>
      </w:r>
      <w:r>
        <w:rPr>
          <w:w w:val="105"/>
          <w:sz w:val="21"/>
        </w:rPr>
        <w:t>or end the </w:t>
      </w:r>
      <w:r>
        <w:rPr>
          <w:spacing w:val="-2"/>
          <w:w w:val="105"/>
          <w:sz w:val="21"/>
        </w:rPr>
        <w:t>foreseeable </w:t>
      </w:r>
      <w:r>
        <w:rPr>
          <w:spacing w:val="-4"/>
          <w:w w:val="105"/>
          <w:sz w:val="21"/>
        </w:rPr>
        <w:t>interference.</w:t>
      </w:r>
      <w:r>
        <w:rPr>
          <w:spacing w:val="-4"/>
          <w:w w:val="105"/>
          <w:position w:val="7"/>
          <w:sz w:val="12"/>
        </w:rPr>
        <w:t>78 </w:t>
      </w:r>
      <w:r>
        <w:rPr>
          <w:w w:val="105"/>
          <w:sz w:val="21"/>
        </w:rPr>
        <w:t>The court </w:t>
      </w:r>
      <w:r>
        <w:rPr>
          <w:spacing w:val="-3"/>
          <w:w w:val="105"/>
          <w:sz w:val="21"/>
        </w:rPr>
        <w:t>will weigh </w:t>
      </w:r>
      <w:r>
        <w:rPr>
          <w:w w:val="105"/>
          <w:sz w:val="21"/>
        </w:rPr>
        <w:t>the </w:t>
      </w:r>
      <w:r>
        <w:rPr>
          <w:spacing w:val="-4"/>
          <w:w w:val="105"/>
          <w:sz w:val="21"/>
        </w:rPr>
        <w:t>likely </w:t>
      </w:r>
      <w:r>
        <w:rPr>
          <w:w w:val="105"/>
          <w:sz w:val="21"/>
        </w:rPr>
        <w:t>cost and </w:t>
      </w:r>
      <w:r>
        <w:rPr>
          <w:spacing w:val="-3"/>
          <w:w w:val="105"/>
          <w:sz w:val="21"/>
        </w:rPr>
        <w:t>inconvenience </w:t>
      </w:r>
      <w:r>
        <w:rPr>
          <w:w w:val="105"/>
          <w:sz w:val="21"/>
        </w:rPr>
        <w:t>of </w:t>
      </w:r>
      <w:r>
        <w:rPr>
          <w:spacing w:val="-3"/>
          <w:w w:val="105"/>
          <w:sz w:val="21"/>
        </w:rPr>
        <w:t>mitigating </w:t>
      </w:r>
      <w:r>
        <w:rPr>
          <w:w w:val="105"/>
          <w:sz w:val="21"/>
        </w:rPr>
        <w:t>or </w:t>
      </w:r>
      <w:r>
        <w:rPr>
          <w:spacing w:val="-3"/>
          <w:w w:val="105"/>
          <w:sz w:val="21"/>
        </w:rPr>
        <w:t>removing </w:t>
      </w:r>
      <w:r>
        <w:rPr>
          <w:w w:val="105"/>
          <w:sz w:val="21"/>
        </w:rPr>
        <w:t>the </w:t>
      </w:r>
      <w:r>
        <w:rPr>
          <w:spacing w:val="-3"/>
          <w:w w:val="105"/>
          <w:sz w:val="21"/>
        </w:rPr>
        <w:t>interference against any </w:t>
      </w:r>
      <w:r>
        <w:rPr>
          <w:w w:val="105"/>
          <w:sz w:val="21"/>
        </w:rPr>
        <w:t>damage or discomfort </w:t>
      </w:r>
      <w:r>
        <w:rPr>
          <w:spacing w:val="-3"/>
          <w:w w:val="105"/>
          <w:sz w:val="21"/>
        </w:rPr>
        <w:t>that </w:t>
      </w:r>
      <w:r>
        <w:rPr>
          <w:w w:val="105"/>
          <w:sz w:val="21"/>
        </w:rPr>
        <w:t>the affected </w:t>
      </w:r>
      <w:r>
        <w:rPr>
          <w:spacing w:val="-3"/>
          <w:w w:val="105"/>
          <w:sz w:val="21"/>
        </w:rPr>
        <w:t>neighbour may</w:t>
      </w:r>
      <w:r>
        <w:rPr>
          <w:spacing w:val="31"/>
          <w:w w:val="105"/>
          <w:sz w:val="21"/>
        </w:rPr>
        <w:t> </w:t>
      </w:r>
      <w:r>
        <w:rPr>
          <w:spacing w:val="-3"/>
          <w:w w:val="105"/>
          <w:sz w:val="21"/>
        </w:rPr>
        <w:t>experience.</w:t>
      </w:r>
      <w:r>
        <w:rPr>
          <w:spacing w:val="-3"/>
          <w:w w:val="105"/>
          <w:position w:val="7"/>
          <w:sz w:val="12"/>
        </w:rPr>
        <w:t>79</w:t>
      </w:r>
    </w:p>
    <w:p>
      <w:pPr>
        <w:pStyle w:val="Heading7"/>
        <w:spacing w:before="155"/>
      </w:pPr>
      <w:r>
        <w:rPr>
          <w:w w:val="115"/>
        </w:rPr>
        <w:t>Defences</w:t>
      </w:r>
    </w:p>
    <w:p>
      <w:pPr>
        <w:pStyle w:val="ListParagraph"/>
        <w:numPr>
          <w:ilvl w:val="1"/>
          <w:numId w:val="16"/>
        </w:numPr>
        <w:tabs>
          <w:tab w:pos="2380" w:val="left" w:leader="none"/>
          <w:tab w:pos="2381" w:val="left" w:leader="none"/>
        </w:tabs>
        <w:spacing w:line="242" w:lineRule="auto" w:before="143" w:after="0"/>
        <w:ind w:left="2381" w:right="2143" w:hanging="794"/>
        <w:jc w:val="left"/>
        <w:rPr>
          <w:sz w:val="21"/>
        </w:rPr>
      </w:pPr>
      <w:r>
        <w:rPr>
          <w:w w:val="105"/>
          <w:sz w:val="21"/>
        </w:rPr>
        <w:t>Where a </w:t>
      </w:r>
      <w:r>
        <w:rPr>
          <w:spacing w:val="-3"/>
          <w:w w:val="105"/>
          <w:sz w:val="21"/>
        </w:rPr>
        <w:t>nuisance </w:t>
      </w:r>
      <w:r>
        <w:rPr>
          <w:w w:val="105"/>
          <w:sz w:val="21"/>
        </w:rPr>
        <w:t>can be </w:t>
      </w:r>
      <w:r>
        <w:rPr>
          <w:spacing w:val="-3"/>
          <w:w w:val="105"/>
          <w:sz w:val="21"/>
        </w:rPr>
        <w:t>shown, </w:t>
      </w:r>
      <w:r>
        <w:rPr>
          <w:w w:val="105"/>
          <w:sz w:val="21"/>
        </w:rPr>
        <w:t>a tree owner </w:t>
      </w:r>
      <w:r>
        <w:rPr>
          <w:spacing w:val="-3"/>
          <w:w w:val="105"/>
          <w:sz w:val="21"/>
        </w:rPr>
        <w:t>may </w:t>
      </w:r>
      <w:r>
        <w:rPr>
          <w:spacing w:val="-2"/>
          <w:w w:val="105"/>
          <w:sz w:val="21"/>
        </w:rPr>
        <w:t>not </w:t>
      </w:r>
      <w:r>
        <w:rPr>
          <w:w w:val="105"/>
          <w:sz w:val="21"/>
        </w:rPr>
        <w:t>be </w:t>
      </w:r>
      <w:r>
        <w:rPr>
          <w:spacing w:val="-3"/>
          <w:w w:val="105"/>
          <w:sz w:val="21"/>
        </w:rPr>
        <w:t>liable </w:t>
      </w:r>
      <w:r>
        <w:rPr>
          <w:w w:val="105"/>
          <w:sz w:val="21"/>
        </w:rPr>
        <w:t>if they </w:t>
      </w:r>
      <w:r>
        <w:rPr>
          <w:spacing w:val="-3"/>
          <w:w w:val="105"/>
          <w:sz w:val="21"/>
        </w:rPr>
        <w:t>have </w:t>
      </w:r>
      <w:r>
        <w:rPr>
          <w:w w:val="105"/>
          <w:sz w:val="21"/>
        </w:rPr>
        <w:t>a legal </w:t>
      </w:r>
      <w:r>
        <w:rPr>
          <w:spacing w:val="-3"/>
          <w:w w:val="105"/>
          <w:sz w:val="21"/>
        </w:rPr>
        <w:t>defence. </w:t>
      </w:r>
      <w:r>
        <w:rPr>
          <w:w w:val="105"/>
          <w:sz w:val="21"/>
        </w:rPr>
        <w:t>Some </w:t>
      </w:r>
      <w:r>
        <w:rPr>
          <w:spacing w:val="-2"/>
          <w:w w:val="105"/>
          <w:sz w:val="21"/>
        </w:rPr>
        <w:t>common </w:t>
      </w:r>
      <w:r>
        <w:rPr>
          <w:spacing w:val="-3"/>
          <w:w w:val="105"/>
          <w:sz w:val="21"/>
        </w:rPr>
        <w:t>defences</w:t>
      </w:r>
      <w:r>
        <w:rPr>
          <w:spacing w:val="25"/>
          <w:w w:val="105"/>
          <w:sz w:val="21"/>
        </w:rPr>
        <w:t> </w:t>
      </w:r>
      <w:r>
        <w:rPr>
          <w:w w:val="105"/>
          <w:sz w:val="21"/>
        </w:rPr>
        <w:t>are:</w:t>
      </w:r>
    </w:p>
    <w:p>
      <w:pPr>
        <w:pStyle w:val="ListParagraph"/>
        <w:numPr>
          <w:ilvl w:val="2"/>
          <w:numId w:val="16"/>
        </w:numPr>
        <w:tabs>
          <w:tab w:pos="2721" w:val="left" w:leader="none"/>
          <w:tab w:pos="2722" w:val="left" w:leader="none"/>
        </w:tabs>
        <w:spacing w:line="242" w:lineRule="auto" w:before="122" w:after="0"/>
        <w:ind w:left="2721" w:right="2479" w:hanging="340"/>
        <w:jc w:val="left"/>
        <w:rPr>
          <w:sz w:val="12"/>
        </w:rPr>
      </w:pPr>
      <w:r>
        <w:rPr>
          <w:w w:val="105"/>
          <w:sz w:val="21"/>
        </w:rPr>
        <w:t>The</w:t>
      </w:r>
      <w:r>
        <w:rPr>
          <w:spacing w:val="-9"/>
          <w:w w:val="105"/>
          <w:sz w:val="21"/>
        </w:rPr>
        <w:t> </w:t>
      </w:r>
      <w:r>
        <w:rPr>
          <w:w w:val="105"/>
          <w:sz w:val="21"/>
        </w:rPr>
        <w:t>tree</w:t>
      </w:r>
      <w:r>
        <w:rPr>
          <w:spacing w:val="-9"/>
          <w:w w:val="105"/>
          <w:sz w:val="21"/>
        </w:rPr>
        <w:t> </w:t>
      </w:r>
      <w:r>
        <w:rPr>
          <w:w w:val="105"/>
          <w:sz w:val="21"/>
        </w:rPr>
        <w:t>owner</w:t>
      </w:r>
      <w:r>
        <w:rPr>
          <w:spacing w:val="-9"/>
          <w:w w:val="105"/>
          <w:sz w:val="21"/>
        </w:rPr>
        <w:t> </w:t>
      </w:r>
      <w:r>
        <w:rPr>
          <w:spacing w:val="-2"/>
          <w:w w:val="105"/>
          <w:sz w:val="21"/>
        </w:rPr>
        <w:t>had</w:t>
      </w:r>
      <w:r>
        <w:rPr>
          <w:spacing w:val="-9"/>
          <w:w w:val="105"/>
          <w:sz w:val="21"/>
        </w:rPr>
        <w:t> </w:t>
      </w:r>
      <w:r>
        <w:rPr>
          <w:w w:val="105"/>
          <w:sz w:val="21"/>
        </w:rPr>
        <w:t>statutory</w:t>
      </w:r>
      <w:r>
        <w:rPr>
          <w:spacing w:val="-9"/>
          <w:w w:val="105"/>
          <w:sz w:val="21"/>
        </w:rPr>
        <w:t> </w:t>
      </w:r>
      <w:r>
        <w:rPr>
          <w:w w:val="105"/>
          <w:sz w:val="21"/>
        </w:rPr>
        <w:t>authority</w:t>
      </w:r>
      <w:r>
        <w:rPr>
          <w:spacing w:val="-9"/>
          <w:w w:val="105"/>
          <w:sz w:val="21"/>
        </w:rPr>
        <w:t> </w:t>
      </w:r>
      <w:r>
        <w:rPr>
          <w:spacing w:val="-3"/>
          <w:w w:val="105"/>
          <w:sz w:val="21"/>
        </w:rPr>
        <w:t>for</w:t>
      </w:r>
      <w:r>
        <w:rPr>
          <w:spacing w:val="-9"/>
          <w:w w:val="105"/>
          <w:sz w:val="21"/>
        </w:rPr>
        <w:t> </w:t>
      </w:r>
      <w:r>
        <w:rPr>
          <w:w w:val="105"/>
          <w:sz w:val="21"/>
        </w:rPr>
        <w:t>their</w:t>
      </w:r>
      <w:r>
        <w:rPr>
          <w:spacing w:val="-9"/>
          <w:w w:val="105"/>
          <w:sz w:val="21"/>
        </w:rPr>
        <w:t> </w:t>
      </w:r>
      <w:r>
        <w:rPr>
          <w:w w:val="105"/>
          <w:sz w:val="21"/>
        </w:rPr>
        <w:t>action—where</w:t>
      </w:r>
      <w:r>
        <w:rPr>
          <w:spacing w:val="-9"/>
          <w:w w:val="105"/>
          <w:sz w:val="21"/>
        </w:rPr>
        <w:t> </w:t>
      </w:r>
      <w:r>
        <w:rPr>
          <w:w w:val="105"/>
          <w:sz w:val="21"/>
        </w:rPr>
        <w:t>an</w:t>
      </w:r>
      <w:r>
        <w:rPr>
          <w:spacing w:val="-9"/>
          <w:w w:val="105"/>
          <w:sz w:val="21"/>
        </w:rPr>
        <w:t> </w:t>
      </w:r>
      <w:r>
        <w:rPr>
          <w:w w:val="105"/>
          <w:sz w:val="21"/>
        </w:rPr>
        <w:t>action</w:t>
      </w:r>
      <w:r>
        <w:rPr>
          <w:spacing w:val="-9"/>
          <w:w w:val="105"/>
          <w:sz w:val="21"/>
        </w:rPr>
        <w:t> </w:t>
      </w:r>
      <w:r>
        <w:rPr>
          <w:w w:val="105"/>
          <w:sz w:val="21"/>
        </w:rPr>
        <w:t>is authorised</w:t>
      </w:r>
      <w:r>
        <w:rPr>
          <w:spacing w:val="-7"/>
          <w:w w:val="105"/>
          <w:sz w:val="21"/>
        </w:rPr>
        <w:t> </w:t>
      </w:r>
      <w:r>
        <w:rPr>
          <w:w w:val="105"/>
          <w:sz w:val="21"/>
        </w:rPr>
        <w:t>by</w:t>
      </w:r>
      <w:r>
        <w:rPr>
          <w:spacing w:val="-6"/>
          <w:w w:val="105"/>
          <w:sz w:val="21"/>
        </w:rPr>
        <w:t> </w:t>
      </w:r>
      <w:r>
        <w:rPr>
          <w:w w:val="105"/>
          <w:sz w:val="21"/>
        </w:rPr>
        <w:t>an</w:t>
      </w:r>
      <w:r>
        <w:rPr>
          <w:spacing w:val="-6"/>
          <w:w w:val="105"/>
          <w:sz w:val="21"/>
        </w:rPr>
        <w:t> </w:t>
      </w:r>
      <w:r>
        <w:rPr>
          <w:w w:val="105"/>
          <w:sz w:val="21"/>
        </w:rPr>
        <w:t>Act</w:t>
      </w:r>
      <w:r>
        <w:rPr>
          <w:spacing w:val="-6"/>
          <w:w w:val="105"/>
          <w:sz w:val="21"/>
        </w:rPr>
        <w:t> </w:t>
      </w:r>
      <w:r>
        <w:rPr>
          <w:w w:val="105"/>
          <w:sz w:val="21"/>
        </w:rPr>
        <w:t>and</w:t>
      </w:r>
      <w:r>
        <w:rPr>
          <w:spacing w:val="-6"/>
          <w:w w:val="105"/>
          <w:sz w:val="21"/>
        </w:rPr>
        <w:t> </w:t>
      </w:r>
      <w:r>
        <w:rPr>
          <w:w w:val="105"/>
          <w:sz w:val="21"/>
        </w:rPr>
        <w:t>the</w:t>
      </w:r>
      <w:r>
        <w:rPr>
          <w:spacing w:val="-6"/>
          <w:w w:val="105"/>
          <w:sz w:val="21"/>
        </w:rPr>
        <w:t> </w:t>
      </w:r>
      <w:r>
        <w:rPr>
          <w:spacing w:val="-3"/>
          <w:w w:val="105"/>
          <w:sz w:val="21"/>
        </w:rPr>
        <w:t>nuisance</w:t>
      </w:r>
      <w:r>
        <w:rPr>
          <w:spacing w:val="-6"/>
          <w:w w:val="105"/>
          <w:sz w:val="21"/>
        </w:rPr>
        <w:t> </w:t>
      </w:r>
      <w:r>
        <w:rPr>
          <w:w w:val="105"/>
          <w:sz w:val="21"/>
        </w:rPr>
        <w:t>is</w:t>
      </w:r>
      <w:r>
        <w:rPr>
          <w:spacing w:val="-6"/>
          <w:w w:val="105"/>
          <w:sz w:val="21"/>
        </w:rPr>
        <w:t> </w:t>
      </w:r>
      <w:r>
        <w:rPr>
          <w:w w:val="105"/>
          <w:sz w:val="21"/>
        </w:rPr>
        <w:t>an</w:t>
      </w:r>
      <w:r>
        <w:rPr>
          <w:spacing w:val="-6"/>
          <w:w w:val="105"/>
          <w:sz w:val="21"/>
        </w:rPr>
        <w:t> </w:t>
      </w:r>
      <w:r>
        <w:rPr>
          <w:w w:val="105"/>
          <w:sz w:val="21"/>
        </w:rPr>
        <w:t>inevitable</w:t>
      </w:r>
      <w:r>
        <w:rPr>
          <w:spacing w:val="-7"/>
          <w:w w:val="105"/>
          <w:sz w:val="21"/>
        </w:rPr>
        <w:t> </w:t>
      </w:r>
      <w:r>
        <w:rPr>
          <w:spacing w:val="-3"/>
          <w:w w:val="105"/>
          <w:sz w:val="21"/>
        </w:rPr>
        <w:t>consequence,</w:t>
      </w:r>
      <w:r>
        <w:rPr>
          <w:spacing w:val="-6"/>
          <w:w w:val="105"/>
          <w:sz w:val="21"/>
        </w:rPr>
        <w:t> </w:t>
      </w:r>
      <w:r>
        <w:rPr>
          <w:w w:val="105"/>
          <w:sz w:val="21"/>
        </w:rPr>
        <w:t>it</w:t>
      </w:r>
      <w:r>
        <w:rPr>
          <w:spacing w:val="-6"/>
          <w:w w:val="105"/>
          <w:sz w:val="21"/>
        </w:rPr>
        <w:t> </w:t>
      </w:r>
      <w:r>
        <w:rPr>
          <w:w w:val="105"/>
          <w:sz w:val="21"/>
        </w:rPr>
        <w:t>is</w:t>
      </w:r>
      <w:r>
        <w:rPr>
          <w:spacing w:val="-6"/>
          <w:w w:val="105"/>
          <w:sz w:val="21"/>
        </w:rPr>
        <w:t> </w:t>
      </w:r>
      <w:r>
        <w:rPr>
          <w:spacing w:val="-2"/>
          <w:w w:val="105"/>
          <w:sz w:val="21"/>
        </w:rPr>
        <w:t>not </w:t>
      </w:r>
      <w:r>
        <w:rPr>
          <w:w w:val="105"/>
          <w:sz w:val="21"/>
        </w:rPr>
        <w:t>unlawful.</w:t>
      </w:r>
      <w:r>
        <w:rPr>
          <w:w w:val="105"/>
          <w:position w:val="7"/>
          <w:sz w:val="12"/>
        </w:rPr>
        <w:t>80</w:t>
      </w:r>
    </w:p>
    <w:p>
      <w:pPr>
        <w:pStyle w:val="ListParagraph"/>
        <w:numPr>
          <w:ilvl w:val="2"/>
          <w:numId w:val="16"/>
        </w:numPr>
        <w:tabs>
          <w:tab w:pos="2721" w:val="left" w:leader="none"/>
          <w:tab w:pos="2722" w:val="left" w:leader="none"/>
        </w:tabs>
        <w:spacing w:line="242" w:lineRule="auto" w:before="88" w:after="0"/>
        <w:ind w:left="2721" w:right="1634" w:hanging="340"/>
        <w:jc w:val="left"/>
        <w:rPr>
          <w:sz w:val="12"/>
        </w:rPr>
      </w:pPr>
      <w:r>
        <w:rPr>
          <w:w w:val="105"/>
          <w:sz w:val="21"/>
        </w:rPr>
        <w:t>The </w:t>
      </w:r>
      <w:r>
        <w:rPr>
          <w:spacing w:val="-3"/>
          <w:w w:val="105"/>
          <w:sz w:val="21"/>
        </w:rPr>
        <w:t>nuisance </w:t>
      </w:r>
      <w:r>
        <w:rPr>
          <w:w w:val="105"/>
          <w:sz w:val="21"/>
        </w:rPr>
        <w:t>was </w:t>
      </w:r>
      <w:r>
        <w:rPr>
          <w:spacing w:val="-3"/>
          <w:w w:val="105"/>
          <w:sz w:val="21"/>
        </w:rPr>
        <w:t>consented </w:t>
      </w:r>
      <w:r>
        <w:rPr>
          <w:w w:val="105"/>
          <w:sz w:val="21"/>
        </w:rPr>
        <w:t>to—a tree owner </w:t>
      </w:r>
      <w:r>
        <w:rPr>
          <w:spacing w:val="-3"/>
          <w:w w:val="105"/>
          <w:sz w:val="21"/>
        </w:rPr>
        <w:t>may </w:t>
      </w:r>
      <w:r>
        <w:rPr>
          <w:w w:val="105"/>
          <w:sz w:val="21"/>
        </w:rPr>
        <w:t>rely on the express or </w:t>
      </w:r>
      <w:r>
        <w:rPr>
          <w:spacing w:val="-3"/>
          <w:w w:val="105"/>
          <w:sz w:val="21"/>
        </w:rPr>
        <w:t>implied consent </w:t>
      </w:r>
      <w:r>
        <w:rPr>
          <w:w w:val="105"/>
          <w:sz w:val="21"/>
        </w:rPr>
        <w:t>of an affected </w:t>
      </w:r>
      <w:r>
        <w:rPr>
          <w:spacing w:val="-3"/>
          <w:w w:val="105"/>
          <w:sz w:val="21"/>
        </w:rPr>
        <w:t>neighbour </w:t>
      </w:r>
      <w:r>
        <w:rPr>
          <w:w w:val="105"/>
          <w:sz w:val="21"/>
        </w:rPr>
        <w:t>as a </w:t>
      </w:r>
      <w:r>
        <w:rPr>
          <w:spacing w:val="-3"/>
          <w:w w:val="105"/>
          <w:sz w:val="21"/>
        </w:rPr>
        <w:t>defence. </w:t>
      </w:r>
      <w:r>
        <w:rPr>
          <w:w w:val="105"/>
          <w:sz w:val="21"/>
        </w:rPr>
        <w:t>For </w:t>
      </w:r>
      <w:r>
        <w:rPr>
          <w:spacing w:val="-3"/>
          <w:w w:val="105"/>
          <w:sz w:val="21"/>
        </w:rPr>
        <w:t>example, </w:t>
      </w:r>
      <w:r>
        <w:rPr>
          <w:w w:val="105"/>
          <w:sz w:val="21"/>
        </w:rPr>
        <w:t>if a tree </w:t>
      </w:r>
      <w:r>
        <w:rPr>
          <w:spacing w:val="-3"/>
          <w:w w:val="105"/>
          <w:sz w:val="21"/>
        </w:rPr>
        <w:t>that </w:t>
      </w:r>
      <w:r>
        <w:rPr>
          <w:w w:val="105"/>
          <w:sz w:val="21"/>
        </w:rPr>
        <w:t>is </w:t>
      </w:r>
      <w:r>
        <w:rPr>
          <w:spacing w:val="-3"/>
          <w:w w:val="105"/>
          <w:sz w:val="21"/>
        </w:rPr>
        <w:t>causing </w:t>
      </w:r>
      <w:r>
        <w:rPr>
          <w:w w:val="105"/>
          <w:sz w:val="21"/>
        </w:rPr>
        <w:t>a </w:t>
      </w:r>
      <w:r>
        <w:rPr>
          <w:spacing w:val="-3"/>
          <w:w w:val="105"/>
          <w:sz w:val="21"/>
        </w:rPr>
        <w:t>nuisance </w:t>
      </w:r>
      <w:r>
        <w:rPr>
          <w:w w:val="105"/>
          <w:sz w:val="21"/>
        </w:rPr>
        <w:t>is </w:t>
      </w:r>
      <w:r>
        <w:rPr>
          <w:spacing w:val="-3"/>
          <w:w w:val="105"/>
          <w:sz w:val="21"/>
        </w:rPr>
        <w:t>maintained for </w:t>
      </w:r>
      <w:r>
        <w:rPr>
          <w:w w:val="105"/>
          <w:sz w:val="21"/>
        </w:rPr>
        <w:t>an agreed </w:t>
      </w:r>
      <w:r>
        <w:rPr>
          <w:spacing w:val="-2"/>
          <w:w w:val="105"/>
          <w:sz w:val="21"/>
        </w:rPr>
        <w:t>common </w:t>
      </w:r>
      <w:r>
        <w:rPr>
          <w:w w:val="105"/>
          <w:sz w:val="21"/>
        </w:rPr>
        <w:t>benefit, </w:t>
      </w:r>
      <w:r>
        <w:rPr>
          <w:spacing w:val="-3"/>
          <w:w w:val="105"/>
          <w:sz w:val="21"/>
        </w:rPr>
        <w:t>such </w:t>
      </w:r>
      <w:r>
        <w:rPr>
          <w:w w:val="105"/>
          <w:sz w:val="21"/>
        </w:rPr>
        <w:t>as </w:t>
      </w:r>
      <w:r>
        <w:rPr>
          <w:spacing w:val="-3"/>
          <w:w w:val="105"/>
          <w:sz w:val="21"/>
        </w:rPr>
        <w:t>providing shade, </w:t>
      </w:r>
      <w:r>
        <w:rPr>
          <w:w w:val="105"/>
          <w:sz w:val="21"/>
        </w:rPr>
        <w:t>then the affected </w:t>
      </w:r>
      <w:r>
        <w:rPr>
          <w:spacing w:val="-3"/>
          <w:w w:val="105"/>
          <w:sz w:val="21"/>
        </w:rPr>
        <w:t>neighbour may forego any right against </w:t>
      </w:r>
      <w:r>
        <w:rPr>
          <w:w w:val="105"/>
          <w:sz w:val="21"/>
        </w:rPr>
        <w:t>the tree owner because of the </w:t>
      </w:r>
      <w:r>
        <w:rPr>
          <w:spacing w:val="-2"/>
          <w:w w:val="105"/>
          <w:sz w:val="21"/>
        </w:rPr>
        <w:t>agreement</w:t>
      </w:r>
      <w:r>
        <w:rPr>
          <w:spacing w:val="5"/>
          <w:w w:val="105"/>
          <w:sz w:val="21"/>
        </w:rPr>
        <w:t> </w:t>
      </w:r>
      <w:r>
        <w:rPr>
          <w:spacing w:val="-3"/>
          <w:w w:val="105"/>
          <w:sz w:val="21"/>
        </w:rPr>
        <w:t>reached.</w:t>
      </w:r>
      <w:r>
        <w:rPr>
          <w:spacing w:val="-3"/>
          <w:w w:val="105"/>
          <w:position w:val="7"/>
          <w:sz w:val="12"/>
        </w:rPr>
        <w:t>81</w:t>
      </w:r>
    </w:p>
    <w:p>
      <w:pPr>
        <w:pStyle w:val="ListParagraph"/>
        <w:numPr>
          <w:ilvl w:val="2"/>
          <w:numId w:val="16"/>
        </w:numPr>
        <w:tabs>
          <w:tab w:pos="2721" w:val="left" w:leader="none"/>
          <w:tab w:pos="2722" w:val="left" w:leader="none"/>
        </w:tabs>
        <w:spacing w:line="242" w:lineRule="auto" w:before="91" w:after="0"/>
        <w:ind w:left="2721" w:right="1671" w:hanging="340"/>
        <w:jc w:val="left"/>
        <w:rPr>
          <w:sz w:val="12"/>
        </w:rPr>
      </w:pPr>
      <w:r>
        <w:rPr>
          <w:w w:val="105"/>
          <w:sz w:val="21"/>
        </w:rPr>
        <w:t>The affected </w:t>
      </w:r>
      <w:r>
        <w:rPr>
          <w:spacing w:val="-3"/>
          <w:w w:val="105"/>
          <w:sz w:val="21"/>
        </w:rPr>
        <w:t>neighbour contributed to </w:t>
      </w:r>
      <w:r>
        <w:rPr>
          <w:w w:val="105"/>
          <w:sz w:val="21"/>
        </w:rPr>
        <w:t>the problem—the tree </w:t>
      </w:r>
      <w:r>
        <w:rPr>
          <w:spacing w:val="-3"/>
          <w:w w:val="105"/>
          <w:sz w:val="21"/>
        </w:rPr>
        <w:t>owner’s liability may </w:t>
      </w:r>
      <w:r>
        <w:rPr>
          <w:w w:val="105"/>
          <w:sz w:val="21"/>
        </w:rPr>
        <w:t>be </w:t>
      </w:r>
      <w:r>
        <w:rPr>
          <w:spacing w:val="-3"/>
          <w:w w:val="105"/>
          <w:sz w:val="21"/>
        </w:rPr>
        <w:t>reduced </w:t>
      </w:r>
      <w:r>
        <w:rPr>
          <w:w w:val="105"/>
          <w:sz w:val="21"/>
        </w:rPr>
        <w:t>where the affected </w:t>
      </w:r>
      <w:r>
        <w:rPr>
          <w:spacing w:val="-3"/>
          <w:w w:val="105"/>
          <w:sz w:val="21"/>
        </w:rPr>
        <w:t>neighbour </w:t>
      </w:r>
      <w:r>
        <w:rPr>
          <w:w w:val="105"/>
          <w:sz w:val="21"/>
        </w:rPr>
        <w:t>is </w:t>
      </w:r>
      <w:r>
        <w:rPr>
          <w:spacing w:val="-3"/>
          <w:w w:val="105"/>
          <w:sz w:val="21"/>
        </w:rPr>
        <w:t>found to have </w:t>
      </w:r>
      <w:r>
        <w:rPr>
          <w:w w:val="105"/>
          <w:sz w:val="21"/>
        </w:rPr>
        <w:t>acted without </w:t>
      </w:r>
      <w:r>
        <w:rPr>
          <w:spacing w:val="-3"/>
          <w:w w:val="105"/>
          <w:sz w:val="21"/>
        </w:rPr>
        <w:t>reasonable </w:t>
      </w:r>
      <w:r>
        <w:rPr>
          <w:w w:val="105"/>
          <w:sz w:val="21"/>
        </w:rPr>
        <w:t>care</w:t>
      </w:r>
      <w:r>
        <w:rPr>
          <w:spacing w:val="-6"/>
          <w:w w:val="105"/>
          <w:sz w:val="21"/>
        </w:rPr>
        <w:t> </w:t>
      </w:r>
      <w:r>
        <w:rPr>
          <w:spacing w:val="-3"/>
          <w:w w:val="105"/>
          <w:sz w:val="21"/>
        </w:rPr>
        <w:t>for</w:t>
      </w:r>
      <w:r>
        <w:rPr>
          <w:spacing w:val="-6"/>
          <w:w w:val="105"/>
          <w:sz w:val="21"/>
        </w:rPr>
        <w:t> </w:t>
      </w:r>
      <w:r>
        <w:rPr>
          <w:w w:val="105"/>
          <w:sz w:val="21"/>
        </w:rPr>
        <w:t>their</w:t>
      </w:r>
      <w:r>
        <w:rPr>
          <w:spacing w:val="-5"/>
          <w:w w:val="105"/>
          <w:sz w:val="21"/>
        </w:rPr>
        <w:t> </w:t>
      </w:r>
      <w:r>
        <w:rPr>
          <w:w w:val="105"/>
          <w:sz w:val="21"/>
        </w:rPr>
        <w:t>own</w:t>
      </w:r>
      <w:r>
        <w:rPr>
          <w:spacing w:val="-6"/>
          <w:w w:val="105"/>
          <w:sz w:val="21"/>
        </w:rPr>
        <w:t> </w:t>
      </w:r>
      <w:r>
        <w:rPr>
          <w:w w:val="105"/>
          <w:sz w:val="21"/>
        </w:rPr>
        <w:t>property,</w:t>
      </w:r>
      <w:r>
        <w:rPr>
          <w:spacing w:val="-6"/>
          <w:w w:val="105"/>
          <w:sz w:val="21"/>
        </w:rPr>
        <w:t> </w:t>
      </w:r>
      <w:r>
        <w:rPr>
          <w:spacing w:val="-3"/>
          <w:w w:val="105"/>
          <w:sz w:val="21"/>
        </w:rPr>
        <w:t>contributing</w:t>
      </w:r>
      <w:r>
        <w:rPr>
          <w:spacing w:val="-5"/>
          <w:w w:val="105"/>
          <w:sz w:val="21"/>
        </w:rPr>
        <w:t> </w:t>
      </w:r>
      <w:r>
        <w:rPr>
          <w:spacing w:val="-3"/>
          <w:w w:val="105"/>
          <w:sz w:val="21"/>
        </w:rPr>
        <w:t>to</w:t>
      </w:r>
      <w:r>
        <w:rPr>
          <w:spacing w:val="-6"/>
          <w:w w:val="105"/>
          <w:sz w:val="21"/>
        </w:rPr>
        <w:t> </w:t>
      </w:r>
      <w:r>
        <w:rPr>
          <w:w w:val="105"/>
          <w:sz w:val="21"/>
        </w:rPr>
        <w:t>the</w:t>
      </w:r>
      <w:r>
        <w:rPr>
          <w:spacing w:val="-6"/>
          <w:w w:val="105"/>
          <w:sz w:val="21"/>
        </w:rPr>
        <w:t> </w:t>
      </w:r>
      <w:r>
        <w:rPr>
          <w:spacing w:val="-3"/>
          <w:w w:val="105"/>
          <w:sz w:val="21"/>
        </w:rPr>
        <w:t>resulting</w:t>
      </w:r>
      <w:r>
        <w:rPr>
          <w:spacing w:val="-5"/>
          <w:w w:val="105"/>
          <w:sz w:val="21"/>
        </w:rPr>
        <w:t> </w:t>
      </w:r>
      <w:r>
        <w:rPr>
          <w:w w:val="105"/>
          <w:sz w:val="21"/>
        </w:rPr>
        <w:t>damage</w:t>
      </w:r>
      <w:r>
        <w:rPr>
          <w:spacing w:val="-6"/>
          <w:w w:val="105"/>
          <w:sz w:val="21"/>
        </w:rPr>
        <w:t> </w:t>
      </w:r>
      <w:r>
        <w:rPr>
          <w:spacing w:val="-3"/>
          <w:w w:val="105"/>
          <w:sz w:val="21"/>
        </w:rPr>
        <w:t>for</w:t>
      </w:r>
      <w:r>
        <w:rPr>
          <w:spacing w:val="-6"/>
          <w:w w:val="105"/>
          <w:sz w:val="21"/>
        </w:rPr>
        <w:t> </w:t>
      </w:r>
      <w:r>
        <w:rPr>
          <w:w w:val="105"/>
          <w:sz w:val="21"/>
        </w:rPr>
        <w:t>which</w:t>
      </w:r>
      <w:r>
        <w:rPr>
          <w:spacing w:val="-5"/>
          <w:w w:val="105"/>
          <w:sz w:val="21"/>
        </w:rPr>
        <w:t> </w:t>
      </w:r>
      <w:r>
        <w:rPr>
          <w:w w:val="105"/>
          <w:sz w:val="21"/>
        </w:rPr>
        <w:t>they</w:t>
      </w:r>
      <w:r>
        <w:rPr>
          <w:spacing w:val="-6"/>
          <w:w w:val="105"/>
          <w:sz w:val="21"/>
        </w:rPr>
        <w:t> </w:t>
      </w:r>
      <w:r>
        <w:rPr>
          <w:w w:val="105"/>
          <w:sz w:val="21"/>
        </w:rPr>
        <w:t>seek </w:t>
      </w:r>
      <w:r>
        <w:rPr>
          <w:spacing w:val="-3"/>
          <w:w w:val="105"/>
          <w:sz w:val="21"/>
        </w:rPr>
        <w:t>relief.</w:t>
      </w:r>
      <w:r>
        <w:rPr>
          <w:spacing w:val="-3"/>
          <w:w w:val="105"/>
          <w:position w:val="7"/>
          <w:sz w:val="12"/>
        </w:rPr>
        <w:t>82</w:t>
      </w:r>
    </w:p>
    <w:p>
      <w:pPr>
        <w:pStyle w:val="Heading7"/>
        <w:spacing w:before="119"/>
      </w:pPr>
      <w:r>
        <w:rPr>
          <w:w w:val="110"/>
        </w:rPr>
        <w:t>Remedies</w:t>
      </w:r>
    </w:p>
    <w:p>
      <w:pPr>
        <w:pStyle w:val="ListParagraph"/>
        <w:numPr>
          <w:ilvl w:val="1"/>
          <w:numId w:val="16"/>
        </w:numPr>
        <w:tabs>
          <w:tab w:pos="2381" w:val="left" w:leader="none"/>
          <w:tab w:pos="2382" w:val="left" w:leader="none"/>
        </w:tabs>
        <w:spacing w:line="242" w:lineRule="auto" w:before="143" w:after="0"/>
        <w:ind w:left="2381" w:right="1769" w:hanging="794"/>
        <w:jc w:val="left"/>
        <w:rPr>
          <w:sz w:val="21"/>
        </w:rPr>
      </w:pPr>
      <w:r>
        <w:rPr>
          <w:w w:val="105"/>
          <w:sz w:val="21"/>
        </w:rPr>
        <w:t>A person must </w:t>
      </w:r>
      <w:r>
        <w:rPr>
          <w:spacing w:val="-3"/>
          <w:w w:val="105"/>
          <w:sz w:val="21"/>
        </w:rPr>
        <w:t>commence </w:t>
      </w:r>
      <w:r>
        <w:rPr>
          <w:w w:val="105"/>
          <w:sz w:val="21"/>
        </w:rPr>
        <w:t>legal action </w:t>
      </w:r>
      <w:r>
        <w:rPr>
          <w:spacing w:val="-3"/>
          <w:w w:val="105"/>
          <w:sz w:val="21"/>
        </w:rPr>
        <w:t>within </w:t>
      </w:r>
      <w:r>
        <w:rPr>
          <w:w w:val="105"/>
          <w:sz w:val="21"/>
        </w:rPr>
        <w:t>the time </w:t>
      </w:r>
      <w:r>
        <w:rPr>
          <w:spacing w:val="-2"/>
          <w:w w:val="105"/>
          <w:sz w:val="21"/>
        </w:rPr>
        <w:t>limits </w:t>
      </w:r>
      <w:r>
        <w:rPr>
          <w:w w:val="105"/>
          <w:sz w:val="21"/>
        </w:rPr>
        <w:t>set out in the </w:t>
      </w:r>
      <w:r>
        <w:rPr>
          <w:spacing w:val="-3"/>
          <w:w w:val="105"/>
          <w:sz w:val="21"/>
        </w:rPr>
        <w:t>Limitations </w:t>
      </w:r>
      <w:r>
        <w:rPr>
          <w:w w:val="105"/>
          <w:sz w:val="21"/>
        </w:rPr>
        <w:t>of Actions Act </w:t>
      </w:r>
      <w:r>
        <w:rPr>
          <w:spacing w:val="-5"/>
          <w:w w:val="105"/>
          <w:sz w:val="21"/>
        </w:rPr>
        <w:t>1958 </w:t>
      </w:r>
      <w:r>
        <w:rPr>
          <w:w w:val="105"/>
          <w:sz w:val="21"/>
        </w:rPr>
        <w:t>(Vic). In the case of </w:t>
      </w:r>
      <w:r>
        <w:rPr>
          <w:spacing w:val="-3"/>
          <w:w w:val="105"/>
          <w:sz w:val="21"/>
        </w:rPr>
        <w:t>nuisance, </w:t>
      </w:r>
      <w:r>
        <w:rPr>
          <w:w w:val="105"/>
          <w:sz w:val="21"/>
        </w:rPr>
        <w:t>an affected </w:t>
      </w:r>
      <w:r>
        <w:rPr>
          <w:spacing w:val="-3"/>
          <w:w w:val="105"/>
          <w:sz w:val="21"/>
        </w:rPr>
        <w:t>neighbour </w:t>
      </w:r>
      <w:r>
        <w:rPr>
          <w:w w:val="105"/>
          <w:sz w:val="21"/>
        </w:rPr>
        <w:t>must </w:t>
      </w:r>
      <w:r>
        <w:rPr>
          <w:spacing w:val="-3"/>
          <w:w w:val="105"/>
          <w:sz w:val="21"/>
        </w:rPr>
        <w:t>generally bring </w:t>
      </w:r>
      <w:r>
        <w:rPr>
          <w:w w:val="105"/>
          <w:sz w:val="21"/>
        </w:rPr>
        <w:t>legal action </w:t>
      </w:r>
      <w:r>
        <w:rPr>
          <w:spacing w:val="-3"/>
          <w:w w:val="105"/>
          <w:sz w:val="21"/>
        </w:rPr>
        <w:t>for nuisance within </w:t>
      </w:r>
      <w:r>
        <w:rPr>
          <w:w w:val="105"/>
          <w:sz w:val="21"/>
        </w:rPr>
        <w:t>six years of the </w:t>
      </w:r>
      <w:r>
        <w:rPr>
          <w:spacing w:val="-3"/>
          <w:w w:val="105"/>
          <w:sz w:val="21"/>
        </w:rPr>
        <w:t>date </w:t>
      </w:r>
      <w:r>
        <w:rPr>
          <w:w w:val="105"/>
          <w:sz w:val="21"/>
        </w:rPr>
        <w:t>the </w:t>
      </w:r>
      <w:r>
        <w:rPr>
          <w:spacing w:val="-3"/>
          <w:w w:val="105"/>
          <w:sz w:val="21"/>
        </w:rPr>
        <w:t>nuisance</w:t>
      </w:r>
      <w:r>
        <w:rPr>
          <w:spacing w:val="14"/>
          <w:w w:val="105"/>
          <w:sz w:val="21"/>
        </w:rPr>
        <w:t> </w:t>
      </w:r>
      <w:r>
        <w:rPr>
          <w:w w:val="105"/>
          <w:sz w:val="21"/>
        </w:rPr>
        <w:t>occurred.</w:t>
      </w:r>
      <w:r>
        <w:rPr>
          <w:w w:val="105"/>
          <w:position w:val="7"/>
          <w:sz w:val="12"/>
        </w:rPr>
        <w:t>83</w:t>
      </w:r>
    </w:p>
    <w:p>
      <w:pPr>
        <w:pStyle w:val="ListParagraph"/>
        <w:numPr>
          <w:ilvl w:val="1"/>
          <w:numId w:val="16"/>
        </w:numPr>
        <w:tabs>
          <w:tab w:pos="2381" w:val="left" w:leader="none"/>
          <w:tab w:pos="2382" w:val="left" w:leader="none"/>
        </w:tabs>
        <w:spacing w:line="242" w:lineRule="auto" w:before="123" w:after="0"/>
        <w:ind w:left="2381" w:right="1598" w:hanging="794"/>
        <w:jc w:val="left"/>
        <w:rPr>
          <w:sz w:val="21"/>
        </w:rPr>
      </w:pPr>
      <w:r>
        <w:rPr>
          <w:w w:val="105"/>
          <w:sz w:val="21"/>
        </w:rPr>
        <w:t>There </w:t>
      </w:r>
      <w:r>
        <w:rPr>
          <w:spacing w:val="-3"/>
          <w:w w:val="105"/>
          <w:sz w:val="21"/>
        </w:rPr>
        <w:t>are </w:t>
      </w:r>
      <w:r>
        <w:rPr>
          <w:w w:val="105"/>
          <w:sz w:val="21"/>
        </w:rPr>
        <w:t>three remedies </w:t>
      </w:r>
      <w:r>
        <w:rPr>
          <w:spacing w:val="-3"/>
          <w:w w:val="105"/>
          <w:sz w:val="21"/>
        </w:rPr>
        <w:t>available for </w:t>
      </w:r>
      <w:r>
        <w:rPr>
          <w:w w:val="105"/>
          <w:sz w:val="21"/>
        </w:rPr>
        <w:t>nuisance: </w:t>
      </w:r>
      <w:r>
        <w:rPr>
          <w:spacing w:val="-3"/>
          <w:w w:val="105"/>
          <w:sz w:val="21"/>
        </w:rPr>
        <w:t>abatement, </w:t>
      </w:r>
      <w:r>
        <w:rPr>
          <w:w w:val="105"/>
          <w:sz w:val="21"/>
        </w:rPr>
        <w:t>injunction and damages.</w:t>
      </w:r>
      <w:r>
        <w:rPr>
          <w:w w:val="105"/>
          <w:position w:val="7"/>
          <w:sz w:val="12"/>
        </w:rPr>
        <w:t>84</w:t>
      </w:r>
      <w:r>
        <w:rPr>
          <w:w w:val="105"/>
          <w:sz w:val="12"/>
        </w:rPr>
        <w:t> </w:t>
      </w:r>
      <w:r>
        <w:rPr>
          <w:spacing w:val="-2"/>
          <w:w w:val="105"/>
          <w:sz w:val="21"/>
        </w:rPr>
        <w:t>Abatement </w:t>
      </w:r>
      <w:r>
        <w:rPr>
          <w:w w:val="105"/>
          <w:sz w:val="21"/>
        </w:rPr>
        <w:t>is often </w:t>
      </w:r>
      <w:r>
        <w:rPr>
          <w:spacing w:val="-3"/>
          <w:w w:val="105"/>
          <w:sz w:val="21"/>
        </w:rPr>
        <w:t>exercised before </w:t>
      </w:r>
      <w:r>
        <w:rPr>
          <w:w w:val="105"/>
          <w:sz w:val="21"/>
        </w:rPr>
        <w:t>an affected </w:t>
      </w:r>
      <w:r>
        <w:rPr>
          <w:spacing w:val="-3"/>
          <w:w w:val="105"/>
          <w:sz w:val="21"/>
        </w:rPr>
        <w:t>neighbour </w:t>
      </w:r>
      <w:r>
        <w:rPr>
          <w:w w:val="105"/>
          <w:sz w:val="21"/>
        </w:rPr>
        <w:t>pursues an action </w:t>
      </w:r>
      <w:r>
        <w:rPr>
          <w:spacing w:val="-3"/>
          <w:w w:val="105"/>
          <w:sz w:val="21"/>
        </w:rPr>
        <w:t>for nuisance</w:t>
      </w:r>
      <w:r>
        <w:rPr>
          <w:spacing w:val="-6"/>
          <w:w w:val="105"/>
          <w:sz w:val="21"/>
        </w:rPr>
        <w:t> </w:t>
      </w:r>
      <w:r>
        <w:rPr>
          <w:w w:val="105"/>
          <w:sz w:val="21"/>
        </w:rPr>
        <w:t>in</w:t>
      </w:r>
      <w:r>
        <w:rPr>
          <w:spacing w:val="-6"/>
          <w:w w:val="105"/>
          <w:sz w:val="21"/>
        </w:rPr>
        <w:t> </w:t>
      </w:r>
      <w:r>
        <w:rPr>
          <w:w w:val="105"/>
          <w:sz w:val="21"/>
        </w:rPr>
        <w:t>court.</w:t>
      </w:r>
      <w:r>
        <w:rPr>
          <w:spacing w:val="-6"/>
          <w:w w:val="105"/>
          <w:sz w:val="21"/>
        </w:rPr>
        <w:t> </w:t>
      </w:r>
      <w:r>
        <w:rPr>
          <w:w w:val="105"/>
          <w:sz w:val="21"/>
        </w:rPr>
        <w:t>Where</w:t>
      </w:r>
      <w:r>
        <w:rPr>
          <w:spacing w:val="-6"/>
          <w:w w:val="105"/>
          <w:sz w:val="21"/>
        </w:rPr>
        <w:t> </w:t>
      </w:r>
      <w:r>
        <w:rPr>
          <w:w w:val="105"/>
          <w:sz w:val="21"/>
        </w:rPr>
        <w:t>the</w:t>
      </w:r>
      <w:r>
        <w:rPr>
          <w:spacing w:val="-6"/>
          <w:w w:val="105"/>
          <w:sz w:val="21"/>
        </w:rPr>
        <w:t> </w:t>
      </w:r>
      <w:r>
        <w:rPr>
          <w:w w:val="105"/>
          <w:sz w:val="21"/>
        </w:rPr>
        <w:t>affected</w:t>
      </w:r>
      <w:r>
        <w:rPr>
          <w:spacing w:val="-6"/>
          <w:w w:val="105"/>
          <w:sz w:val="21"/>
        </w:rPr>
        <w:t> </w:t>
      </w:r>
      <w:r>
        <w:rPr>
          <w:spacing w:val="-3"/>
          <w:w w:val="105"/>
          <w:sz w:val="21"/>
        </w:rPr>
        <w:t>neighbour</w:t>
      </w:r>
      <w:r>
        <w:rPr>
          <w:spacing w:val="-6"/>
          <w:w w:val="105"/>
          <w:sz w:val="21"/>
        </w:rPr>
        <w:t> </w:t>
      </w:r>
      <w:r>
        <w:rPr>
          <w:spacing w:val="-3"/>
          <w:w w:val="105"/>
          <w:sz w:val="21"/>
        </w:rPr>
        <w:t>takes</w:t>
      </w:r>
      <w:r>
        <w:rPr>
          <w:spacing w:val="-6"/>
          <w:w w:val="105"/>
          <w:sz w:val="21"/>
        </w:rPr>
        <w:t> </w:t>
      </w:r>
      <w:r>
        <w:rPr>
          <w:w w:val="105"/>
          <w:sz w:val="21"/>
        </w:rPr>
        <w:t>the</w:t>
      </w:r>
      <w:r>
        <w:rPr>
          <w:spacing w:val="-6"/>
          <w:w w:val="105"/>
          <w:sz w:val="21"/>
        </w:rPr>
        <w:t> </w:t>
      </w:r>
      <w:r>
        <w:rPr>
          <w:w w:val="105"/>
          <w:sz w:val="21"/>
        </w:rPr>
        <w:t>matter</w:t>
      </w:r>
      <w:r>
        <w:rPr>
          <w:spacing w:val="-6"/>
          <w:w w:val="105"/>
          <w:sz w:val="21"/>
        </w:rPr>
        <w:t> </w:t>
      </w:r>
      <w:r>
        <w:rPr>
          <w:spacing w:val="-3"/>
          <w:w w:val="105"/>
          <w:sz w:val="21"/>
        </w:rPr>
        <w:t>to</w:t>
      </w:r>
      <w:r>
        <w:rPr>
          <w:spacing w:val="-6"/>
          <w:w w:val="105"/>
          <w:sz w:val="21"/>
        </w:rPr>
        <w:t> </w:t>
      </w:r>
      <w:r>
        <w:rPr>
          <w:w w:val="105"/>
          <w:sz w:val="21"/>
        </w:rPr>
        <w:t>court,</w:t>
      </w:r>
      <w:r>
        <w:rPr>
          <w:spacing w:val="-6"/>
          <w:w w:val="105"/>
          <w:sz w:val="21"/>
        </w:rPr>
        <w:t> </w:t>
      </w:r>
      <w:r>
        <w:rPr>
          <w:w w:val="105"/>
          <w:sz w:val="21"/>
        </w:rPr>
        <w:t>they</w:t>
      </w:r>
      <w:r>
        <w:rPr>
          <w:spacing w:val="-6"/>
          <w:w w:val="105"/>
          <w:sz w:val="21"/>
        </w:rPr>
        <w:t> </w:t>
      </w:r>
      <w:r>
        <w:rPr>
          <w:spacing w:val="-3"/>
          <w:w w:val="105"/>
          <w:sz w:val="21"/>
        </w:rPr>
        <w:t>may</w:t>
      </w:r>
      <w:r>
        <w:rPr>
          <w:spacing w:val="-6"/>
          <w:w w:val="105"/>
          <w:sz w:val="21"/>
        </w:rPr>
        <w:t> </w:t>
      </w:r>
      <w:r>
        <w:rPr>
          <w:w w:val="105"/>
          <w:sz w:val="21"/>
        </w:rPr>
        <w:t>seek an injunction or</w:t>
      </w:r>
      <w:r>
        <w:rPr>
          <w:spacing w:val="15"/>
          <w:w w:val="105"/>
          <w:sz w:val="21"/>
        </w:rPr>
        <w:t> </w:t>
      </w:r>
      <w:r>
        <w:rPr>
          <w:spacing w:val="-3"/>
          <w:w w:val="105"/>
          <w:sz w:val="21"/>
        </w:rPr>
        <w:t>damages.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3"/>
        </w:rPr>
      </w:pPr>
      <w:r>
        <w:rPr/>
        <w:pict>
          <v:line style="position:absolute;mso-position-horizontal-relative:page;mso-position-vertical-relative:paragraph;z-index:1232;mso-wrap-distance-left:0;mso-wrap-distance-right:0" from="79.370102pt,10.703042pt" to="515.905102pt,10.703042pt" stroked="true" strokeweight="1pt" strokecolor="#c9d2cb">
            <v:stroke dashstyle="solid"/>
            <w10:wrap type="topAndBottom"/>
          </v:line>
        </w:pict>
      </w:r>
    </w:p>
    <w:p>
      <w:pPr>
        <w:pStyle w:val="ListParagraph"/>
        <w:numPr>
          <w:ilvl w:val="0"/>
          <w:numId w:val="27"/>
        </w:numPr>
        <w:tabs>
          <w:tab w:pos="2380" w:val="left" w:leader="none"/>
          <w:tab w:pos="2382" w:val="left" w:leader="none"/>
        </w:tabs>
        <w:spacing w:line="240" w:lineRule="auto" w:before="117" w:after="0"/>
        <w:ind w:left="2381" w:right="1882" w:hanging="794"/>
        <w:jc w:val="both"/>
        <w:rPr>
          <w:sz w:val="13"/>
        </w:rPr>
      </w:pPr>
      <w:r>
        <w:rPr>
          <w:w w:val="105"/>
          <w:sz w:val="13"/>
        </w:rPr>
        <w:t>Joel Silver, </w:t>
      </w:r>
      <w:r>
        <w:rPr>
          <w:i/>
          <w:w w:val="105"/>
          <w:sz w:val="13"/>
        </w:rPr>
        <w:t>Nuisance by Tree—Who’s the Guilty Tree? </w:t>
      </w:r>
      <w:r>
        <w:rPr>
          <w:w w:val="105"/>
          <w:sz w:val="13"/>
        </w:rPr>
        <w:t>(Paper, Owen Dixon Chambers, 18 May 2015) </w:t>
      </w:r>
      <w:r>
        <w:rPr>
          <w:spacing w:val="3"/>
          <w:w w:val="105"/>
          <w:sz w:val="13"/>
        </w:rPr>
        <w:t>[46]. </w:t>
      </w:r>
      <w:r>
        <w:rPr>
          <w:w w:val="105"/>
          <w:sz w:val="13"/>
        </w:rPr>
        <w:t>However, Silver explains: ‘For trees, it is more probable that a defendant will have “continued” a nuisance than “adopted” it, simply because fewer factual situations permit the nuisance caused by trees to be adopted.’:</w:t>
      </w:r>
      <w:r>
        <w:rPr>
          <w:spacing w:val="8"/>
          <w:w w:val="105"/>
          <w:sz w:val="13"/>
        </w:rPr>
        <w:t> </w:t>
      </w:r>
      <w:r>
        <w:rPr>
          <w:spacing w:val="4"/>
          <w:w w:val="105"/>
          <w:sz w:val="13"/>
        </w:rPr>
        <w:t>[40].</w:t>
      </w:r>
    </w:p>
    <w:p>
      <w:pPr>
        <w:pStyle w:val="ListParagraph"/>
        <w:numPr>
          <w:ilvl w:val="0"/>
          <w:numId w:val="27"/>
        </w:numPr>
        <w:tabs>
          <w:tab w:pos="2380" w:val="left" w:leader="none"/>
          <w:tab w:pos="2382" w:val="left" w:leader="none"/>
        </w:tabs>
        <w:spacing w:line="240" w:lineRule="auto" w:before="4" w:after="0"/>
        <w:ind w:left="2381" w:right="0" w:hanging="794"/>
        <w:jc w:val="left"/>
        <w:rPr>
          <w:sz w:val="13"/>
        </w:rPr>
      </w:pPr>
      <w:r>
        <w:rPr>
          <w:w w:val="105"/>
          <w:sz w:val="13"/>
        </w:rPr>
        <w:t>See,</w:t>
      </w:r>
      <w:r>
        <w:rPr>
          <w:spacing w:val="5"/>
          <w:w w:val="105"/>
          <w:sz w:val="13"/>
        </w:rPr>
        <w:t> </w:t>
      </w:r>
      <w:r>
        <w:rPr>
          <w:w w:val="105"/>
          <w:sz w:val="13"/>
        </w:rPr>
        <w:t>eg,</w:t>
      </w:r>
      <w:r>
        <w:rPr>
          <w:spacing w:val="5"/>
          <w:w w:val="105"/>
          <w:sz w:val="13"/>
        </w:rPr>
        <w:t> </w:t>
      </w:r>
      <w:r>
        <w:rPr>
          <w:i/>
          <w:w w:val="105"/>
          <w:sz w:val="13"/>
        </w:rPr>
        <w:t>City</w:t>
      </w:r>
      <w:r>
        <w:rPr>
          <w:i/>
          <w:spacing w:val="5"/>
          <w:w w:val="105"/>
          <w:sz w:val="13"/>
        </w:rPr>
        <w:t> </w:t>
      </w:r>
      <w:r>
        <w:rPr>
          <w:i/>
          <w:w w:val="105"/>
          <w:sz w:val="13"/>
        </w:rPr>
        <w:t>of</w:t>
      </w:r>
      <w:r>
        <w:rPr>
          <w:i/>
          <w:spacing w:val="6"/>
          <w:w w:val="105"/>
          <w:sz w:val="13"/>
        </w:rPr>
        <w:t> </w:t>
      </w:r>
      <w:r>
        <w:rPr>
          <w:i/>
          <w:w w:val="105"/>
          <w:sz w:val="13"/>
        </w:rPr>
        <w:t>Richmond</w:t>
      </w:r>
      <w:r>
        <w:rPr>
          <w:i/>
          <w:spacing w:val="5"/>
          <w:w w:val="105"/>
          <w:sz w:val="13"/>
        </w:rPr>
        <w:t> </w:t>
      </w:r>
      <w:r>
        <w:rPr>
          <w:i/>
          <w:w w:val="105"/>
          <w:sz w:val="13"/>
        </w:rPr>
        <w:t>v</w:t>
      </w:r>
      <w:r>
        <w:rPr>
          <w:i/>
          <w:spacing w:val="5"/>
          <w:w w:val="105"/>
          <w:sz w:val="13"/>
        </w:rPr>
        <w:t> </w:t>
      </w:r>
      <w:r>
        <w:rPr>
          <w:i/>
          <w:w w:val="105"/>
          <w:sz w:val="13"/>
        </w:rPr>
        <w:t>Scantelbury</w:t>
      </w:r>
      <w:r>
        <w:rPr>
          <w:i/>
          <w:spacing w:val="5"/>
          <w:w w:val="105"/>
          <w:sz w:val="13"/>
        </w:rPr>
        <w:t> </w:t>
      </w:r>
      <w:r>
        <w:rPr>
          <w:w w:val="105"/>
          <w:sz w:val="13"/>
        </w:rPr>
        <w:t>[1991]</w:t>
      </w:r>
      <w:r>
        <w:rPr>
          <w:spacing w:val="6"/>
          <w:w w:val="105"/>
          <w:sz w:val="13"/>
        </w:rPr>
        <w:t> </w:t>
      </w:r>
      <w:r>
        <w:rPr>
          <w:w w:val="105"/>
          <w:sz w:val="13"/>
        </w:rPr>
        <w:t>2</w:t>
      </w:r>
      <w:r>
        <w:rPr>
          <w:spacing w:val="5"/>
          <w:w w:val="105"/>
          <w:sz w:val="13"/>
        </w:rPr>
        <w:t> </w:t>
      </w:r>
      <w:r>
        <w:rPr>
          <w:w w:val="105"/>
          <w:sz w:val="13"/>
        </w:rPr>
        <w:t>VR</w:t>
      </w:r>
      <w:r>
        <w:rPr>
          <w:spacing w:val="5"/>
          <w:w w:val="105"/>
          <w:sz w:val="13"/>
        </w:rPr>
        <w:t> </w:t>
      </w:r>
      <w:r>
        <w:rPr>
          <w:w w:val="105"/>
          <w:sz w:val="13"/>
        </w:rPr>
        <w:t>38,</w:t>
      </w:r>
      <w:r>
        <w:rPr>
          <w:spacing w:val="5"/>
          <w:w w:val="105"/>
          <w:sz w:val="13"/>
        </w:rPr>
        <w:t> </w:t>
      </w:r>
      <w:r>
        <w:rPr>
          <w:spacing w:val="-3"/>
          <w:w w:val="105"/>
          <w:sz w:val="13"/>
        </w:rPr>
        <w:t>41;</w:t>
      </w:r>
      <w:r>
        <w:rPr>
          <w:spacing w:val="6"/>
          <w:w w:val="105"/>
          <w:sz w:val="13"/>
        </w:rPr>
        <w:t> </w:t>
      </w:r>
      <w:r>
        <w:rPr>
          <w:i/>
          <w:w w:val="105"/>
          <w:sz w:val="13"/>
        </w:rPr>
        <w:t>Robson</w:t>
      </w:r>
      <w:r>
        <w:rPr>
          <w:i/>
          <w:spacing w:val="5"/>
          <w:w w:val="105"/>
          <w:sz w:val="13"/>
        </w:rPr>
        <w:t> </w:t>
      </w:r>
      <w:r>
        <w:rPr>
          <w:i/>
          <w:w w:val="105"/>
          <w:sz w:val="13"/>
        </w:rPr>
        <w:t>v</w:t>
      </w:r>
      <w:r>
        <w:rPr>
          <w:i/>
          <w:spacing w:val="5"/>
          <w:w w:val="105"/>
          <w:sz w:val="13"/>
        </w:rPr>
        <w:t> </w:t>
      </w:r>
      <w:r>
        <w:rPr>
          <w:i/>
          <w:w w:val="105"/>
          <w:sz w:val="13"/>
        </w:rPr>
        <w:t>Leischke</w:t>
      </w:r>
      <w:r>
        <w:rPr>
          <w:i/>
          <w:spacing w:val="6"/>
          <w:w w:val="105"/>
          <w:sz w:val="13"/>
        </w:rPr>
        <w:t> </w:t>
      </w:r>
      <w:r>
        <w:rPr>
          <w:spacing w:val="2"/>
          <w:w w:val="105"/>
          <w:sz w:val="13"/>
        </w:rPr>
        <w:t>(2008)</w:t>
      </w:r>
      <w:r>
        <w:rPr>
          <w:spacing w:val="5"/>
          <w:w w:val="105"/>
          <w:sz w:val="13"/>
        </w:rPr>
        <w:t> </w:t>
      </w:r>
      <w:r>
        <w:rPr>
          <w:w w:val="105"/>
          <w:sz w:val="13"/>
        </w:rPr>
        <w:t>72</w:t>
      </w:r>
      <w:r>
        <w:rPr>
          <w:spacing w:val="5"/>
          <w:w w:val="105"/>
          <w:sz w:val="13"/>
        </w:rPr>
        <w:t> </w:t>
      </w:r>
      <w:r>
        <w:rPr>
          <w:spacing w:val="2"/>
          <w:w w:val="105"/>
          <w:sz w:val="13"/>
        </w:rPr>
        <w:t>NSWLR</w:t>
      </w:r>
      <w:r>
        <w:rPr>
          <w:spacing w:val="5"/>
          <w:w w:val="105"/>
          <w:sz w:val="13"/>
        </w:rPr>
        <w:t> </w:t>
      </w:r>
      <w:r>
        <w:rPr>
          <w:w w:val="105"/>
          <w:sz w:val="13"/>
        </w:rPr>
        <w:t>98</w:t>
      </w:r>
      <w:r>
        <w:rPr>
          <w:spacing w:val="6"/>
          <w:w w:val="105"/>
          <w:sz w:val="13"/>
        </w:rPr>
        <w:t> </w:t>
      </w:r>
      <w:r>
        <w:rPr>
          <w:spacing w:val="3"/>
          <w:w w:val="105"/>
          <w:sz w:val="13"/>
        </w:rPr>
        <w:t>[49].</w:t>
      </w:r>
    </w:p>
    <w:p>
      <w:pPr>
        <w:pStyle w:val="ListParagraph"/>
        <w:numPr>
          <w:ilvl w:val="0"/>
          <w:numId w:val="27"/>
        </w:numPr>
        <w:tabs>
          <w:tab w:pos="2380" w:val="left" w:leader="none"/>
          <w:tab w:pos="2382" w:val="left" w:leader="none"/>
        </w:tabs>
        <w:spacing w:line="240" w:lineRule="auto" w:before="1" w:after="0"/>
        <w:ind w:left="2381" w:right="0" w:hanging="794"/>
        <w:jc w:val="left"/>
        <w:rPr>
          <w:sz w:val="13"/>
        </w:rPr>
      </w:pPr>
      <w:r>
        <w:rPr>
          <w:w w:val="105"/>
          <w:sz w:val="13"/>
        </w:rPr>
        <w:t>See,</w:t>
      </w:r>
      <w:r>
        <w:rPr>
          <w:spacing w:val="5"/>
          <w:w w:val="105"/>
          <w:sz w:val="13"/>
        </w:rPr>
        <w:t> </w:t>
      </w:r>
      <w:r>
        <w:rPr>
          <w:w w:val="105"/>
          <w:sz w:val="13"/>
        </w:rPr>
        <w:t>eg,</w:t>
      </w:r>
      <w:r>
        <w:rPr>
          <w:spacing w:val="5"/>
          <w:w w:val="105"/>
          <w:sz w:val="13"/>
        </w:rPr>
        <w:t> </w:t>
      </w:r>
      <w:r>
        <w:rPr>
          <w:i/>
          <w:w w:val="105"/>
          <w:sz w:val="13"/>
        </w:rPr>
        <w:t>City</w:t>
      </w:r>
      <w:r>
        <w:rPr>
          <w:i/>
          <w:spacing w:val="5"/>
          <w:w w:val="105"/>
          <w:sz w:val="13"/>
        </w:rPr>
        <w:t> </w:t>
      </w:r>
      <w:r>
        <w:rPr>
          <w:i/>
          <w:w w:val="105"/>
          <w:sz w:val="13"/>
        </w:rPr>
        <w:t>of</w:t>
      </w:r>
      <w:r>
        <w:rPr>
          <w:i/>
          <w:spacing w:val="6"/>
          <w:w w:val="105"/>
          <w:sz w:val="13"/>
        </w:rPr>
        <w:t> </w:t>
      </w:r>
      <w:r>
        <w:rPr>
          <w:i/>
          <w:w w:val="105"/>
          <w:sz w:val="13"/>
        </w:rPr>
        <w:t>Richmond</w:t>
      </w:r>
      <w:r>
        <w:rPr>
          <w:i/>
          <w:spacing w:val="5"/>
          <w:w w:val="105"/>
          <w:sz w:val="13"/>
        </w:rPr>
        <w:t> </w:t>
      </w:r>
      <w:r>
        <w:rPr>
          <w:i/>
          <w:w w:val="105"/>
          <w:sz w:val="13"/>
        </w:rPr>
        <w:t>v</w:t>
      </w:r>
      <w:r>
        <w:rPr>
          <w:i/>
          <w:spacing w:val="5"/>
          <w:w w:val="105"/>
          <w:sz w:val="13"/>
        </w:rPr>
        <w:t> </w:t>
      </w:r>
      <w:r>
        <w:rPr>
          <w:i/>
          <w:w w:val="105"/>
          <w:sz w:val="13"/>
        </w:rPr>
        <w:t>Scantelbury</w:t>
      </w:r>
      <w:r>
        <w:rPr>
          <w:i/>
          <w:spacing w:val="6"/>
          <w:w w:val="105"/>
          <w:sz w:val="13"/>
        </w:rPr>
        <w:t> </w:t>
      </w:r>
      <w:r>
        <w:rPr>
          <w:w w:val="105"/>
          <w:sz w:val="13"/>
        </w:rPr>
        <w:t>[1991]</w:t>
      </w:r>
      <w:r>
        <w:rPr>
          <w:spacing w:val="5"/>
          <w:w w:val="105"/>
          <w:sz w:val="13"/>
        </w:rPr>
        <w:t> </w:t>
      </w:r>
      <w:r>
        <w:rPr>
          <w:w w:val="105"/>
          <w:sz w:val="13"/>
        </w:rPr>
        <w:t>2</w:t>
      </w:r>
      <w:r>
        <w:rPr>
          <w:spacing w:val="5"/>
          <w:w w:val="105"/>
          <w:sz w:val="13"/>
        </w:rPr>
        <w:t> </w:t>
      </w:r>
      <w:r>
        <w:rPr>
          <w:w w:val="105"/>
          <w:sz w:val="13"/>
        </w:rPr>
        <w:t>VR</w:t>
      </w:r>
      <w:r>
        <w:rPr>
          <w:spacing w:val="5"/>
          <w:w w:val="105"/>
          <w:sz w:val="13"/>
        </w:rPr>
        <w:t> </w:t>
      </w:r>
      <w:r>
        <w:rPr>
          <w:w w:val="105"/>
          <w:sz w:val="13"/>
        </w:rPr>
        <w:t>38,</w:t>
      </w:r>
      <w:r>
        <w:rPr>
          <w:spacing w:val="6"/>
          <w:w w:val="105"/>
          <w:sz w:val="13"/>
        </w:rPr>
        <w:t> </w:t>
      </w:r>
      <w:r>
        <w:rPr>
          <w:w w:val="105"/>
          <w:sz w:val="13"/>
        </w:rPr>
        <w:t>45;</w:t>
      </w:r>
      <w:r>
        <w:rPr>
          <w:spacing w:val="5"/>
          <w:w w:val="105"/>
          <w:sz w:val="13"/>
        </w:rPr>
        <w:t> </w:t>
      </w:r>
      <w:r>
        <w:rPr>
          <w:i/>
          <w:w w:val="105"/>
          <w:sz w:val="13"/>
        </w:rPr>
        <w:t>Robson</w:t>
      </w:r>
      <w:r>
        <w:rPr>
          <w:i/>
          <w:spacing w:val="5"/>
          <w:w w:val="105"/>
          <w:sz w:val="13"/>
        </w:rPr>
        <w:t> </w:t>
      </w:r>
      <w:r>
        <w:rPr>
          <w:i/>
          <w:w w:val="105"/>
          <w:sz w:val="13"/>
        </w:rPr>
        <w:t>v</w:t>
      </w:r>
      <w:r>
        <w:rPr>
          <w:i/>
          <w:spacing w:val="6"/>
          <w:w w:val="105"/>
          <w:sz w:val="13"/>
        </w:rPr>
        <w:t> </w:t>
      </w:r>
      <w:r>
        <w:rPr>
          <w:i/>
          <w:w w:val="105"/>
          <w:sz w:val="13"/>
        </w:rPr>
        <w:t>Leischke</w:t>
      </w:r>
      <w:r>
        <w:rPr>
          <w:i/>
          <w:spacing w:val="5"/>
          <w:w w:val="105"/>
          <w:sz w:val="13"/>
        </w:rPr>
        <w:t> </w:t>
      </w:r>
      <w:r>
        <w:rPr>
          <w:spacing w:val="2"/>
          <w:w w:val="105"/>
          <w:sz w:val="13"/>
        </w:rPr>
        <w:t>(2008)</w:t>
      </w:r>
      <w:r>
        <w:rPr>
          <w:spacing w:val="5"/>
          <w:w w:val="105"/>
          <w:sz w:val="13"/>
        </w:rPr>
        <w:t> </w:t>
      </w:r>
      <w:r>
        <w:rPr>
          <w:w w:val="105"/>
          <w:sz w:val="13"/>
        </w:rPr>
        <w:t>72</w:t>
      </w:r>
      <w:r>
        <w:rPr>
          <w:spacing w:val="6"/>
          <w:w w:val="105"/>
          <w:sz w:val="13"/>
        </w:rPr>
        <w:t> </w:t>
      </w:r>
      <w:r>
        <w:rPr>
          <w:spacing w:val="2"/>
          <w:w w:val="105"/>
          <w:sz w:val="13"/>
        </w:rPr>
        <w:t>NSWLR</w:t>
      </w:r>
      <w:r>
        <w:rPr>
          <w:spacing w:val="5"/>
          <w:w w:val="105"/>
          <w:sz w:val="13"/>
        </w:rPr>
        <w:t> </w:t>
      </w:r>
      <w:r>
        <w:rPr>
          <w:w w:val="105"/>
          <w:sz w:val="13"/>
        </w:rPr>
        <w:t>98</w:t>
      </w:r>
      <w:r>
        <w:rPr>
          <w:spacing w:val="5"/>
          <w:w w:val="105"/>
          <w:sz w:val="13"/>
        </w:rPr>
        <w:t> </w:t>
      </w:r>
      <w:r>
        <w:rPr>
          <w:spacing w:val="4"/>
          <w:w w:val="105"/>
          <w:sz w:val="13"/>
        </w:rPr>
        <w:t>[52]–[53].</w:t>
      </w:r>
    </w:p>
    <w:p>
      <w:pPr>
        <w:pStyle w:val="ListParagraph"/>
        <w:numPr>
          <w:ilvl w:val="0"/>
          <w:numId w:val="27"/>
        </w:numPr>
        <w:tabs>
          <w:tab w:pos="2380" w:val="left" w:leader="none"/>
          <w:tab w:pos="2382" w:val="left" w:leader="none"/>
        </w:tabs>
        <w:spacing w:line="240" w:lineRule="auto" w:before="2" w:after="0"/>
        <w:ind w:left="2381" w:right="0" w:hanging="794"/>
        <w:jc w:val="left"/>
        <w:rPr>
          <w:sz w:val="13"/>
        </w:rPr>
      </w:pPr>
      <w:r>
        <w:rPr>
          <w:i/>
          <w:w w:val="105"/>
          <w:sz w:val="13"/>
        </w:rPr>
        <w:t>City</w:t>
      </w:r>
      <w:r>
        <w:rPr>
          <w:i/>
          <w:spacing w:val="4"/>
          <w:w w:val="105"/>
          <w:sz w:val="13"/>
        </w:rPr>
        <w:t> </w:t>
      </w:r>
      <w:r>
        <w:rPr>
          <w:i/>
          <w:w w:val="105"/>
          <w:sz w:val="13"/>
        </w:rPr>
        <w:t>of</w:t>
      </w:r>
      <w:r>
        <w:rPr>
          <w:i/>
          <w:spacing w:val="5"/>
          <w:w w:val="105"/>
          <w:sz w:val="13"/>
        </w:rPr>
        <w:t> </w:t>
      </w:r>
      <w:r>
        <w:rPr>
          <w:i/>
          <w:w w:val="105"/>
          <w:sz w:val="13"/>
        </w:rPr>
        <w:t>Richmond</w:t>
      </w:r>
      <w:r>
        <w:rPr>
          <w:i/>
          <w:spacing w:val="5"/>
          <w:w w:val="105"/>
          <w:sz w:val="13"/>
        </w:rPr>
        <w:t> </w:t>
      </w:r>
      <w:r>
        <w:rPr>
          <w:i/>
          <w:w w:val="105"/>
          <w:sz w:val="13"/>
        </w:rPr>
        <w:t>v</w:t>
      </w:r>
      <w:r>
        <w:rPr>
          <w:i/>
          <w:spacing w:val="5"/>
          <w:w w:val="105"/>
          <w:sz w:val="13"/>
        </w:rPr>
        <w:t> </w:t>
      </w:r>
      <w:r>
        <w:rPr>
          <w:i/>
          <w:w w:val="105"/>
          <w:sz w:val="13"/>
        </w:rPr>
        <w:t>Scantelbury</w:t>
      </w:r>
      <w:r>
        <w:rPr>
          <w:i/>
          <w:spacing w:val="4"/>
          <w:w w:val="105"/>
          <w:sz w:val="13"/>
        </w:rPr>
        <w:t> </w:t>
      </w:r>
      <w:r>
        <w:rPr>
          <w:w w:val="105"/>
          <w:sz w:val="13"/>
        </w:rPr>
        <w:t>[1991]</w:t>
      </w:r>
      <w:r>
        <w:rPr>
          <w:spacing w:val="5"/>
          <w:w w:val="105"/>
          <w:sz w:val="13"/>
        </w:rPr>
        <w:t> </w:t>
      </w:r>
      <w:r>
        <w:rPr>
          <w:w w:val="105"/>
          <w:sz w:val="13"/>
        </w:rPr>
        <w:t>2</w:t>
      </w:r>
      <w:r>
        <w:rPr>
          <w:spacing w:val="5"/>
          <w:w w:val="105"/>
          <w:sz w:val="13"/>
        </w:rPr>
        <w:t> </w:t>
      </w:r>
      <w:r>
        <w:rPr>
          <w:w w:val="105"/>
          <w:sz w:val="13"/>
        </w:rPr>
        <w:t>VR</w:t>
      </w:r>
      <w:r>
        <w:rPr>
          <w:spacing w:val="5"/>
          <w:w w:val="105"/>
          <w:sz w:val="13"/>
        </w:rPr>
        <w:t> </w:t>
      </w:r>
      <w:r>
        <w:rPr>
          <w:w w:val="105"/>
          <w:sz w:val="13"/>
        </w:rPr>
        <w:t>38,</w:t>
      </w:r>
      <w:r>
        <w:rPr>
          <w:spacing w:val="4"/>
          <w:w w:val="105"/>
          <w:sz w:val="13"/>
        </w:rPr>
        <w:t> </w:t>
      </w:r>
      <w:r>
        <w:rPr>
          <w:spacing w:val="-4"/>
          <w:w w:val="105"/>
          <w:sz w:val="13"/>
        </w:rPr>
        <w:t>47.</w:t>
      </w:r>
    </w:p>
    <w:p>
      <w:pPr>
        <w:pStyle w:val="ListParagraph"/>
        <w:numPr>
          <w:ilvl w:val="0"/>
          <w:numId w:val="27"/>
        </w:numPr>
        <w:tabs>
          <w:tab w:pos="2380" w:val="left" w:leader="none"/>
          <w:tab w:pos="2382" w:val="left" w:leader="none"/>
        </w:tabs>
        <w:spacing w:line="240" w:lineRule="auto" w:before="1" w:after="0"/>
        <w:ind w:left="2381" w:right="1660" w:hanging="794"/>
        <w:jc w:val="left"/>
        <w:rPr>
          <w:sz w:val="13"/>
        </w:rPr>
      </w:pPr>
      <w:r>
        <w:rPr>
          <w:w w:val="105"/>
          <w:sz w:val="13"/>
        </w:rPr>
        <w:t>This is because it is presumed that Parliament, in authorising activities capable of causing nuisance, has already balanced within the statute ‘the rights of individuals against the benefit to the public of certain nuisance-creating activities’: Paula Giliker, ‘Nuisance’ in Carolyn</w:t>
      </w:r>
      <w:r>
        <w:rPr>
          <w:spacing w:val="30"/>
          <w:w w:val="105"/>
          <w:sz w:val="13"/>
        </w:rPr>
        <w:t> </w:t>
      </w:r>
      <w:r>
        <w:rPr>
          <w:w w:val="105"/>
          <w:sz w:val="13"/>
        </w:rPr>
        <w:t>Sappideen and Prue Vines </w:t>
      </w:r>
      <w:r>
        <w:rPr>
          <w:spacing w:val="2"/>
          <w:w w:val="105"/>
          <w:sz w:val="13"/>
        </w:rPr>
        <w:t>(eds), </w:t>
      </w:r>
      <w:r>
        <w:rPr>
          <w:i/>
          <w:w w:val="105"/>
          <w:sz w:val="13"/>
        </w:rPr>
        <w:t>Fleming’s The Law of Torts </w:t>
      </w:r>
      <w:r>
        <w:rPr>
          <w:spacing w:val="2"/>
          <w:w w:val="105"/>
          <w:sz w:val="13"/>
        </w:rPr>
        <w:t>(Lawbook </w:t>
      </w:r>
      <w:r>
        <w:rPr>
          <w:w w:val="105"/>
          <w:sz w:val="13"/>
        </w:rPr>
        <w:t>Co., 10th ed, </w:t>
      </w:r>
      <w:r>
        <w:rPr>
          <w:spacing w:val="-4"/>
          <w:w w:val="105"/>
          <w:sz w:val="13"/>
        </w:rPr>
        <w:t>2011) </w:t>
      </w:r>
      <w:r>
        <w:rPr>
          <w:w w:val="105"/>
          <w:sz w:val="13"/>
        </w:rPr>
        <w:t>[21.220]. See also </w:t>
      </w:r>
      <w:r>
        <w:rPr>
          <w:i/>
          <w:w w:val="105"/>
          <w:sz w:val="13"/>
        </w:rPr>
        <w:t>Fullarton v </w:t>
      </w:r>
      <w:r>
        <w:rPr>
          <w:i/>
          <w:spacing w:val="2"/>
          <w:w w:val="105"/>
          <w:sz w:val="13"/>
        </w:rPr>
        <w:t>North </w:t>
      </w:r>
      <w:r>
        <w:rPr>
          <w:i/>
          <w:w w:val="105"/>
          <w:sz w:val="13"/>
        </w:rPr>
        <w:t>Melbourne </w:t>
      </w:r>
      <w:r>
        <w:rPr>
          <w:i/>
          <w:w w:val="105"/>
          <w:sz w:val="13"/>
        </w:rPr>
        <w:t>Electric</w:t>
      </w:r>
      <w:r>
        <w:rPr>
          <w:i/>
          <w:spacing w:val="4"/>
          <w:w w:val="105"/>
          <w:sz w:val="13"/>
        </w:rPr>
        <w:t> </w:t>
      </w:r>
      <w:r>
        <w:rPr>
          <w:i/>
          <w:w w:val="105"/>
          <w:sz w:val="13"/>
        </w:rPr>
        <w:t>Tramway</w:t>
      </w:r>
      <w:r>
        <w:rPr>
          <w:i/>
          <w:spacing w:val="5"/>
          <w:w w:val="105"/>
          <w:sz w:val="13"/>
        </w:rPr>
        <w:t> </w:t>
      </w:r>
      <w:r>
        <w:rPr>
          <w:i/>
          <w:w w:val="105"/>
          <w:sz w:val="13"/>
        </w:rPr>
        <w:t>&amp;</w:t>
      </w:r>
      <w:r>
        <w:rPr>
          <w:i/>
          <w:spacing w:val="4"/>
          <w:w w:val="105"/>
          <w:sz w:val="13"/>
        </w:rPr>
        <w:t> </w:t>
      </w:r>
      <w:r>
        <w:rPr>
          <w:i/>
          <w:w w:val="105"/>
          <w:sz w:val="13"/>
        </w:rPr>
        <w:t>Lighting</w:t>
      </w:r>
      <w:r>
        <w:rPr>
          <w:i/>
          <w:spacing w:val="5"/>
          <w:w w:val="105"/>
          <w:sz w:val="13"/>
        </w:rPr>
        <w:t> </w:t>
      </w:r>
      <w:r>
        <w:rPr>
          <w:i/>
          <w:w w:val="105"/>
          <w:sz w:val="13"/>
        </w:rPr>
        <w:t>Co</w:t>
      </w:r>
      <w:r>
        <w:rPr>
          <w:i/>
          <w:spacing w:val="5"/>
          <w:w w:val="105"/>
          <w:sz w:val="13"/>
        </w:rPr>
        <w:t> </w:t>
      </w:r>
      <w:r>
        <w:rPr>
          <w:i/>
          <w:w w:val="105"/>
          <w:sz w:val="13"/>
        </w:rPr>
        <w:t>Ltd</w:t>
      </w:r>
      <w:r>
        <w:rPr>
          <w:i/>
          <w:spacing w:val="4"/>
          <w:w w:val="105"/>
          <w:sz w:val="13"/>
        </w:rPr>
        <w:t> </w:t>
      </w:r>
      <w:r>
        <w:rPr>
          <w:w w:val="105"/>
          <w:sz w:val="13"/>
        </w:rPr>
        <w:t>(1916)</w:t>
      </w:r>
      <w:r>
        <w:rPr>
          <w:spacing w:val="5"/>
          <w:w w:val="105"/>
          <w:sz w:val="13"/>
        </w:rPr>
        <w:t> </w:t>
      </w:r>
      <w:r>
        <w:rPr>
          <w:w w:val="105"/>
          <w:sz w:val="13"/>
        </w:rPr>
        <w:t>21</w:t>
      </w:r>
      <w:r>
        <w:rPr>
          <w:spacing w:val="5"/>
          <w:w w:val="105"/>
          <w:sz w:val="13"/>
        </w:rPr>
        <w:t> </w:t>
      </w:r>
      <w:r>
        <w:rPr>
          <w:w w:val="105"/>
          <w:sz w:val="13"/>
        </w:rPr>
        <w:t>CLR</w:t>
      </w:r>
      <w:r>
        <w:rPr>
          <w:spacing w:val="4"/>
          <w:w w:val="105"/>
          <w:sz w:val="13"/>
        </w:rPr>
        <w:t> </w:t>
      </w:r>
      <w:r>
        <w:rPr>
          <w:spacing w:val="-3"/>
          <w:w w:val="105"/>
          <w:sz w:val="13"/>
        </w:rPr>
        <w:t>181.</w:t>
      </w:r>
    </w:p>
    <w:p>
      <w:pPr>
        <w:pStyle w:val="ListParagraph"/>
        <w:numPr>
          <w:ilvl w:val="0"/>
          <w:numId w:val="27"/>
        </w:numPr>
        <w:tabs>
          <w:tab w:pos="2380" w:val="left" w:leader="none"/>
          <w:tab w:pos="2382" w:val="left" w:leader="none"/>
        </w:tabs>
        <w:spacing w:line="240" w:lineRule="auto" w:before="5" w:after="0"/>
        <w:ind w:left="2381" w:right="0" w:hanging="794"/>
        <w:jc w:val="left"/>
        <w:rPr>
          <w:sz w:val="13"/>
        </w:rPr>
      </w:pPr>
      <w:r>
        <w:rPr>
          <w:w w:val="105"/>
          <w:sz w:val="13"/>
        </w:rPr>
        <w:t>Paula</w:t>
      </w:r>
      <w:r>
        <w:rPr>
          <w:spacing w:val="5"/>
          <w:w w:val="105"/>
          <w:sz w:val="13"/>
        </w:rPr>
        <w:t> </w:t>
      </w:r>
      <w:r>
        <w:rPr>
          <w:w w:val="105"/>
          <w:sz w:val="13"/>
        </w:rPr>
        <w:t>Giliker,</w:t>
      </w:r>
      <w:r>
        <w:rPr>
          <w:spacing w:val="6"/>
          <w:w w:val="105"/>
          <w:sz w:val="13"/>
        </w:rPr>
        <w:t> </w:t>
      </w:r>
      <w:r>
        <w:rPr>
          <w:w w:val="105"/>
          <w:sz w:val="13"/>
        </w:rPr>
        <w:t>‘Nuisance’</w:t>
      </w:r>
      <w:r>
        <w:rPr>
          <w:spacing w:val="6"/>
          <w:w w:val="105"/>
          <w:sz w:val="13"/>
        </w:rPr>
        <w:t> </w:t>
      </w:r>
      <w:r>
        <w:rPr>
          <w:w w:val="105"/>
          <w:sz w:val="13"/>
        </w:rPr>
        <w:t>in</w:t>
      </w:r>
      <w:r>
        <w:rPr>
          <w:spacing w:val="6"/>
          <w:w w:val="105"/>
          <w:sz w:val="13"/>
        </w:rPr>
        <w:t> </w:t>
      </w:r>
      <w:r>
        <w:rPr>
          <w:w w:val="105"/>
          <w:sz w:val="13"/>
        </w:rPr>
        <w:t>Carolyn</w:t>
      </w:r>
      <w:r>
        <w:rPr>
          <w:spacing w:val="6"/>
          <w:w w:val="105"/>
          <w:sz w:val="13"/>
        </w:rPr>
        <w:t> </w:t>
      </w:r>
      <w:r>
        <w:rPr>
          <w:w w:val="105"/>
          <w:sz w:val="13"/>
        </w:rPr>
        <w:t>Sappideen</w:t>
      </w:r>
      <w:r>
        <w:rPr>
          <w:spacing w:val="5"/>
          <w:w w:val="105"/>
          <w:sz w:val="13"/>
        </w:rPr>
        <w:t> </w:t>
      </w:r>
      <w:r>
        <w:rPr>
          <w:w w:val="105"/>
          <w:sz w:val="13"/>
        </w:rPr>
        <w:t>and</w:t>
      </w:r>
      <w:r>
        <w:rPr>
          <w:spacing w:val="6"/>
          <w:w w:val="105"/>
          <w:sz w:val="13"/>
        </w:rPr>
        <w:t> </w:t>
      </w:r>
      <w:r>
        <w:rPr>
          <w:w w:val="105"/>
          <w:sz w:val="13"/>
        </w:rPr>
        <w:t>Prue</w:t>
      </w:r>
      <w:r>
        <w:rPr>
          <w:spacing w:val="6"/>
          <w:w w:val="105"/>
          <w:sz w:val="13"/>
        </w:rPr>
        <w:t> </w:t>
      </w:r>
      <w:r>
        <w:rPr>
          <w:w w:val="105"/>
          <w:sz w:val="13"/>
        </w:rPr>
        <w:t>Vines</w:t>
      </w:r>
      <w:r>
        <w:rPr>
          <w:spacing w:val="6"/>
          <w:w w:val="105"/>
          <w:sz w:val="13"/>
        </w:rPr>
        <w:t> </w:t>
      </w:r>
      <w:r>
        <w:rPr>
          <w:w w:val="105"/>
          <w:sz w:val="13"/>
        </w:rPr>
        <w:t>(eds)</w:t>
      </w:r>
      <w:r>
        <w:rPr>
          <w:spacing w:val="6"/>
          <w:w w:val="105"/>
          <w:sz w:val="13"/>
        </w:rPr>
        <w:t> </w:t>
      </w:r>
      <w:r>
        <w:rPr>
          <w:i/>
          <w:w w:val="105"/>
          <w:sz w:val="13"/>
        </w:rPr>
        <w:t>Fleming’s</w:t>
      </w:r>
      <w:r>
        <w:rPr>
          <w:i/>
          <w:spacing w:val="6"/>
          <w:w w:val="105"/>
          <w:sz w:val="13"/>
        </w:rPr>
        <w:t> </w:t>
      </w:r>
      <w:r>
        <w:rPr>
          <w:i/>
          <w:w w:val="105"/>
          <w:sz w:val="13"/>
        </w:rPr>
        <w:t>The</w:t>
      </w:r>
      <w:r>
        <w:rPr>
          <w:i/>
          <w:spacing w:val="5"/>
          <w:w w:val="105"/>
          <w:sz w:val="13"/>
        </w:rPr>
        <w:t> </w:t>
      </w:r>
      <w:r>
        <w:rPr>
          <w:i/>
          <w:w w:val="105"/>
          <w:sz w:val="13"/>
        </w:rPr>
        <w:t>Law</w:t>
      </w:r>
      <w:r>
        <w:rPr>
          <w:i/>
          <w:spacing w:val="6"/>
          <w:w w:val="105"/>
          <w:sz w:val="13"/>
        </w:rPr>
        <w:t> </w:t>
      </w:r>
      <w:r>
        <w:rPr>
          <w:i/>
          <w:w w:val="105"/>
          <w:sz w:val="13"/>
        </w:rPr>
        <w:t>of</w:t>
      </w:r>
      <w:r>
        <w:rPr>
          <w:i/>
          <w:spacing w:val="6"/>
          <w:w w:val="105"/>
          <w:sz w:val="13"/>
        </w:rPr>
        <w:t> </w:t>
      </w:r>
      <w:r>
        <w:rPr>
          <w:i/>
          <w:w w:val="105"/>
          <w:sz w:val="13"/>
        </w:rPr>
        <w:t>Torts</w:t>
      </w:r>
      <w:r>
        <w:rPr>
          <w:i/>
          <w:spacing w:val="6"/>
          <w:w w:val="105"/>
          <w:sz w:val="13"/>
        </w:rPr>
        <w:t> </w:t>
      </w:r>
      <w:r>
        <w:rPr>
          <w:spacing w:val="2"/>
          <w:w w:val="105"/>
          <w:sz w:val="13"/>
        </w:rPr>
        <w:t>(Lawbook</w:t>
      </w:r>
      <w:r>
        <w:rPr>
          <w:spacing w:val="6"/>
          <w:w w:val="105"/>
          <w:sz w:val="13"/>
        </w:rPr>
        <w:t> </w:t>
      </w:r>
      <w:r>
        <w:rPr>
          <w:w w:val="105"/>
          <w:sz w:val="13"/>
        </w:rPr>
        <w:t>Co.,</w:t>
      </w:r>
      <w:r>
        <w:rPr>
          <w:spacing w:val="6"/>
          <w:w w:val="105"/>
          <w:sz w:val="13"/>
        </w:rPr>
        <w:t> </w:t>
      </w:r>
      <w:r>
        <w:rPr>
          <w:w w:val="105"/>
          <w:sz w:val="13"/>
        </w:rPr>
        <w:t>10th</w:t>
      </w:r>
      <w:r>
        <w:rPr>
          <w:spacing w:val="5"/>
          <w:w w:val="105"/>
          <w:sz w:val="13"/>
        </w:rPr>
        <w:t> </w:t>
      </w:r>
      <w:r>
        <w:rPr>
          <w:w w:val="105"/>
          <w:sz w:val="13"/>
        </w:rPr>
        <w:t>ed,</w:t>
      </w:r>
      <w:r>
        <w:rPr>
          <w:spacing w:val="6"/>
          <w:w w:val="105"/>
          <w:sz w:val="13"/>
        </w:rPr>
        <w:t> </w:t>
      </w:r>
      <w:r>
        <w:rPr>
          <w:spacing w:val="-4"/>
          <w:w w:val="105"/>
          <w:sz w:val="13"/>
        </w:rPr>
        <w:t>2011)</w:t>
      </w:r>
      <w:r>
        <w:rPr>
          <w:spacing w:val="6"/>
          <w:w w:val="105"/>
          <w:sz w:val="13"/>
        </w:rPr>
        <w:t> </w:t>
      </w:r>
      <w:r>
        <w:rPr>
          <w:w w:val="105"/>
          <w:sz w:val="13"/>
        </w:rPr>
        <w:t>487</w:t>
      </w:r>
      <w:r>
        <w:rPr>
          <w:spacing w:val="6"/>
          <w:w w:val="105"/>
          <w:sz w:val="13"/>
        </w:rPr>
        <w:t> </w:t>
      </w:r>
      <w:r>
        <w:rPr>
          <w:w w:val="105"/>
          <w:sz w:val="13"/>
        </w:rPr>
        <w:t>[21.240].</w:t>
      </w:r>
    </w:p>
    <w:p>
      <w:pPr>
        <w:pStyle w:val="ListParagraph"/>
        <w:numPr>
          <w:ilvl w:val="0"/>
          <w:numId w:val="27"/>
        </w:numPr>
        <w:tabs>
          <w:tab w:pos="2380" w:val="left" w:leader="none"/>
          <w:tab w:pos="2382" w:val="left" w:leader="none"/>
        </w:tabs>
        <w:spacing w:line="240" w:lineRule="auto" w:before="2" w:after="0"/>
        <w:ind w:left="2381" w:right="0" w:hanging="794"/>
        <w:jc w:val="left"/>
        <w:rPr>
          <w:i/>
          <w:sz w:val="13"/>
        </w:rPr>
      </w:pPr>
      <w:r>
        <w:rPr>
          <w:w w:val="105"/>
          <w:sz w:val="13"/>
        </w:rPr>
        <w:t>A</w:t>
      </w:r>
      <w:r>
        <w:rPr>
          <w:spacing w:val="5"/>
          <w:w w:val="105"/>
          <w:sz w:val="13"/>
        </w:rPr>
        <w:t> </w:t>
      </w:r>
      <w:r>
        <w:rPr>
          <w:w w:val="105"/>
          <w:sz w:val="13"/>
        </w:rPr>
        <w:t>finding</w:t>
      </w:r>
      <w:r>
        <w:rPr>
          <w:spacing w:val="5"/>
          <w:w w:val="105"/>
          <w:sz w:val="13"/>
        </w:rPr>
        <w:t> </w:t>
      </w:r>
      <w:r>
        <w:rPr>
          <w:w w:val="105"/>
          <w:sz w:val="13"/>
        </w:rPr>
        <w:t>of</w:t>
      </w:r>
      <w:r>
        <w:rPr>
          <w:spacing w:val="5"/>
          <w:w w:val="105"/>
          <w:sz w:val="13"/>
        </w:rPr>
        <w:t> </w:t>
      </w:r>
      <w:r>
        <w:rPr>
          <w:w w:val="105"/>
          <w:sz w:val="13"/>
        </w:rPr>
        <w:t>contribution</w:t>
      </w:r>
      <w:r>
        <w:rPr>
          <w:spacing w:val="6"/>
          <w:w w:val="105"/>
          <w:sz w:val="13"/>
        </w:rPr>
        <w:t> </w:t>
      </w:r>
      <w:r>
        <w:rPr>
          <w:w w:val="105"/>
          <w:sz w:val="13"/>
        </w:rPr>
        <w:t>does</w:t>
      </w:r>
      <w:r>
        <w:rPr>
          <w:spacing w:val="5"/>
          <w:w w:val="105"/>
          <w:sz w:val="13"/>
        </w:rPr>
        <w:t> </w:t>
      </w:r>
      <w:r>
        <w:rPr>
          <w:w w:val="105"/>
          <w:sz w:val="13"/>
        </w:rPr>
        <w:t>not,</w:t>
      </w:r>
      <w:r>
        <w:rPr>
          <w:spacing w:val="5"/>
          <w:w w:val="105"/>
          <w:sz w:val="13"/>
        </w:rPr>
        <w:t> </w:t>
      </w:r>
      <w:r>
        <w:rPr>
          <w:w w:val="105"/>
          <w:sz w:val="13"/>
        </w:rPr>
        <w:t>however,</w:t>
      </w:r>
      <w:r>
        <w:rPr>
          <w:spacing w:val="6"/>
          <w:w w:val="105"/>
          <w:sz w:val="13"/>
        </w:rPr>
        <w:t> </w:t>
      </w:r>
      <w:r>
        <w:rPr>
          <w:w w:val="105"/>
          <w:sz w:val="13"/>
        </w:rPr>
        <w:t>fully</w:t>
      </w:r>
      <w:r>
        <w:rPr>
          <w:spacing w:val="5"/>
          <w:w w:val="105"/>
          <w:sz w:val="13"/>
        </w:rPr>
        <w:t> </w:t>
      </w:r>
      <w:r>
        <w:rPr>
          <w:w w:val="105"/>
          <w:sz w:val="13"/>
        </w:rPr>
        <w:t>defeat</w:t>
      </w:r>
      <w:r>
        <w:rPr>
          <w:spacing w:val="5"/>
          <w:w w:val="105"/>
          <w:sz w:val="13"/>
        </w:rPr>
        <w:t> </w:t>
      </w:r>
      <w:r>
        <w:rPr>
          <w:w w:val="105"/>
          <w:sz w:val="13"/>
        </w:rPr>
        <w:t>a</w:t>
      </w:r>
      <w:r>
        <w:rPr>
          <w:spacing w:val="6"/>
          <w:w w:val="105"/>
          <w:sz w:val="13"/>
        </w:rPr>
        <w:t> </w:t>
      </w:r>
      <w:r>
        <w:rPr>
          <w:w w:val="105"/>
          <w:sz w:val="13"/>
        </w:rPr>
        <w:t>nuisance</w:t>
      </w:r>
      <w:r>
        <w:rPr>
          <w:spacing w:val="5"/>
          <w:w w:val="105"/>
          <w:sz w:val="13"/>
        </w:rPr>
        <w:t> </w:t>
      </w:r>
      <w:r>
        <w:rPr>
          <w:w w:val="105"/>
          <w:sz w:val="13"/>
        </w:rPr>
        <w:t>claim:</w:t>
      </w:r>
      <w:r>
        <w:rPr>
          <w:spacing w:val="5"/>
          <w:w w:val="105"/>
          <w:sz w:val="13"/>
        </w:rPr>
        <w:t> </w:t>
      </w:r>
      <w:r>
        <w:rPr>
          <w:i/>
          <w:w w:val="105"/>
          <w:sz w:val="13"/>
        </w:rPr>
        <w:t>Wrongs</w:t>
      </w:r>
      <w:r>
        <w:rPr>
          <w:i/>
          <w:spacing w:val="5"/>
          <w:w w:val="105"/>
          <w:sz w:val="13"/>
        </w:rPr>
        <w:t> </w:t>
      </w:r>
      <w:r>
        <w:rPr>
          <w:i/>
          <w:w w:val="105"/>
          <w:sz w:val="13"/>
        </w:rPr>
        <w:t>Act</w:t>
      </w:r>
      <w:r>
        <w:rPr>
          <w:i/>
          <w:spacing w:val="6"/>
          <w:w w:val="105"/>
          <w:sz w:val="13"/>
        </w:rPr>
        <w:t> </w:t>
      </w:r>
      <w:r>
        <w:rPr>
          <w:i/>
          <w:w w:val="105"/>
          <w:sz w:val="13"/>
        </w:rPr>
        <w:t>1958</w:t>
      </w:r>
      <w:r>
        <w:rPr>
          <w:i/>
          <w:spacing w:val="5"/>
          <w:w w:val="105"/>
          <w:sz w:val="13"/>
        </w:rPr>
        <w:t> </w:t>
      </w:r>
      <w:r>
        <w:rPr>
          <w:spacing w:val="2"/>
          <w:w w:val="105"/>
          <w:sz w:val="13"/>
        </w:rPr>
        <w:t>(Vic)</w:t>
      </w:r>
      <w:r>
        <w:rPr>
          <w:spacing w:val="5"/>
          <w:w w:val="105"/>
          <w:sz w:val="13"/>
        </w:rPr>
        <w:t> </w:t>
      </w:r>
      <w:r>
        <w:rPr>
          <w:w w:val="105"/>
          <w:sz w:val="13"/>
        </w:rPr>
        <w:t>s</w:t>
      </w:r>
      <w:r>
        <w:rPr>
          <w:spacing w:val="6"/>
          <w:w w:val="105"/>
          <w:sz w:val="13"/>
        </w:rPr>
        <w:t> </w:t>
      </w:r>
      <w:r>
        <w:rPr>
          <w:w w:val="105"/>
          <w:sz w:val="13"/>
        </w:rPr>
        <w:t>26.</w:t>
      </w:r>
      <w:r>
        <w:rPr>
          <w:spacing w:val="5"/>
          <w:w w:val="105"/>
          <w:sz w:val="13"/>
        </w:rPr>
        <w:t> </w:t>
      </w:r>
      <w:r>
        <w:rPr>
          <w:w w:val="105"/>
          <w:sz w:val="13"/>
        </w:rPr>
        <w:t>See</w:t>
      </w:r>
      <w:r>
        <w:rPr>
          <w:spacing w:val="5"/>
          <w:w w:val="105"/>
          <w:sz w:val="13"/>
        </w:rPr>
        <w:t> </w:t>
      </w:r>
      <w:r>
        <w:rPr>
          <w:w w:val="105"/>
          <w:sz w:val="13"/>
        </w:rPr>
        <w:t>also</w:t>
      </w:r>
      <w:r>
        <w:rPr>
          <w:spacing w:val="6"/>
          <w:w w:val="105"/>
          <w:sz w:val="13"/>
        </w:rPr>
        <w:t> </w:t>
      </w:r>
      <w:r>
        <w:rPr>
          <w:i/>
          <w:w w:val="105"/>
          <w:sz w:val="13"/>
        </w:rPr>
        <w:t>Stockwell</w:t>
      </w:r>
      <w:r>
        <w:rPr>
          <w:i/>
          <w:spacing w:val="5"/>
          <w:w w:val="105"/>
          <w:sz w:val="13"/>
        </w:rPr>
        <w:t> </w:t>
      </w:r>
      <w:r>
        <w:rPr>
          <w:i/>
          <w:w w:val="105"/>
          <w:sz w:val="13"/>
        </w:rPr>
        <w:t>v</w:t>
      </w:r>
      <w:r>
        <w:rPr>
          <w:i/>
          <w:spacing w:val="5"/>
          <w:w w:val="105"/>
          <w:sz w:val="13"/>
        </w:rPr>
        <w:t> </w:t>
      </w:r>
      <w:r>
        <w:rPr>
          <w:i/>
          <w:w w:val="105"/>
          <w:sz w:val="13"/>
        </w:rPr>
        <w:t>State</w:t>
      </w:r>
      <w:r>
        <w:rPr>
          <w:i/>
          <w:spacing w:val="6"/>
          <w:w w:val="105"/>
          <w:sz w:val="13"/>
        </w:rPr>
        <w:t> </w:t>
      </w:r>
      <w:r>
        <w:rPr>
          <w:i/>
          <w:w w:val="105"/>
          <w:sz w:val="13"/>
        </w:rPr>
        <w:t>of</w:t>
      </w:r>
      <w:r>
        <w:rPr>
          <w:i/>
          <w:spacing w:val="5"/>
          <w:w w:val="105"/>
          <w:sz w:val="13"/>
        </w:rPr>
        <w:t> </w:t>
      </w:r>
      <w:r>
        <w:rPr>
          <w:i/>
          <w:w w:val="105"/>
          <w:sz w:val="13"/>
        </w:rPr>
        <w:t>Victoria</w:t>
      </w:r>
    </w:p>
    <w:p>
      <w:pPr>
        <w:spacing w:before="1"/>
        <w:ind w:left="2381" w:right="0" w:firstLine="0"/>
        <w:jc w:val="left"/>
        <w:rPr>
          <w:sz w:val="13"/>
        </w:rPr>
      </w:pPr>
      <w:r>
        <w:rPr>
          <w:w w:val="105"/>
          <w:sz w:val="13"/>
        </w:rPr>
        <w:t>[2001] VSC 497 [624]–[627].</w:t>
      </w:r>
    </w:p>
    <w:p>
      <w:pPr>
        <w:pStyle w:val="ListParagraph"/>
        <w:numPr>
          <w:ilvl w:val="0"/>
          <w:numId w:val="27"/>
        </w:numPr>
        <w:tabs>
          <w:tab w:pos="2380" w:val="left" w:leader="none"/>
          <w:tab w:pos="2382" w:val="left" w:leader="none"/>
        </w:tabs>
        <w:spacing w:line="240" w:lineRule="auto" w:before="1" w:after="0"/>
        <w:ind w:left="2381" w:right="0" w:hanging="794"/>
        <w:jc w:val="left"/>
        <w:rPr>
          <w:sz w:val="13"/>
        </w:rPr>
      </w:pPr>
      <w:r>
        <w:rPr/>
        <w:pict>
          <v:shape style="position:absolute;margin-left:36pt;margin-top:3.000365pt;width:13.45pt;height:14.25pt;mso-position-horizontal-relative:page;mso-position-vertical-relative:paragraph;z-index:3304" type="#_x0000_t202" filled="false" stroked="false">
            <v:textbox inset="0,0,0,0">
              <w:txbxContent>
                <w:p>
                  <w:pPr>
                    <w:spacing w:line="284" w:lineRule="exact" w:before="0"/>
                    <w:ind w:left="0" w:right="0" w:firstLine="0"/>
                    <w:jc w:val="left"/>
                    <w:rPr>
                      <w:b/>
                      <w:sz w:val="24"/>
                    </w:rPr>
                  </w:pPr>
                  <w:r>
                    <w:rPr>
                      <w:b/>
                      <w:color w:val="658464"/>
                      <w:w w:val="110"/>
                      <w:sz w:val="24"/>
                    </w:rPr>
                    <w:t>34</w:t>
                  </w:r>
                </w:p>
              </w:txbxContent>
            </v:textbox>
            <w10:wrap type="none"/>
          </v:shape>
        </w:pict>
      </w:r>
      <w:r>
        <w:rPr>
          <w:i/>
          <w:w w:val="105"/>
          <w:sz w:val="13"/>
        </w:rPr>
        <w:t>Limitations of Actions Act 1958 </w:t>
      </w:r>
      <w:r>
        <w:rPr>
          <w:spacing w:val="2"/>
          <w:w w:val="105"/>
          <w:sz w:val="13"/>
        </w:rPr>
        <w:t>(Vic) </w:t>
      </w:r>
      <w:r>
        <w:rPr>
          <w:w w:val="105"/>
          <w:sz w:val="13"/>
        </w:rPr>
        <w:t>s</w:t>
      </w:r>
      <w:r>
        <w:rPr>
          <w:spacing w:val="30"/>
          <w:w w:val="105"/>
          <w:sz w:val="13"/>
        </w:rPr>
        <w:t> </w:t>
      </w:r>
      <w:r>
        <w:rPr>
          <w:spacing w:val="2"/>
          <w:w w:val="105"/>
          <w:sz w:val="13"/>
        </w:rPr>
        <w:t>5(1)(a).</w:t>
      </w:r>
    </w:p>
    <w:p>
      <w:pPr>
        <w:pStyle w:val="ListParagraph"/>
        <w:numPr>
          <w:ilvl w:val="0"/>
          <w:numId w:val="27"/>
        </w:numPr>
        <w:tabs>
          <w:tab w:pos="2380" w:val="left" w:leader="none"/>
          <w:tab w:pos="2382" w:val="left" w:leader="none"/>
        </w:tabs>
        <w:spacing w:line="240" w:lineRule="auto" w:before="2" w:after="0"/>
        <w:ind w:left="2381" w:right="0" w:hanging="794"/>
        <w:jc w:val="left"/>
        <w:rPr>
          <w:sz w:val="13"/>
        </w:rPr>
      </w:pPr>
      <w:r>
        <w:rPr>
          <w:w w:val="105"/>
          <w:sz w:val="13"/>
        </w:rPr>
        <w:t>Thomson</w:t>
      </w:r>
      <w:r>
        <w:rPr>
          <w:spacing w:val="4"/>
          <w:w w:val="105"/>
          <w:sz w:val="13"/>
        </w:rPr>
        <w:t> </w:t>
      </w:r>
      <w:r>
        <w:rPr>
          <w:w w:val="105"/>
          <w:sz w:val="13"/>
        </w:rPr>
        <w:t>Reuters,</w:t>
      </w:r>
      <w:r>
        <w:rPr>
          <w:spacing w:val="5"/>
          <w:w w:val="105"/>
          <w:sz w:val="13"/>
        </w:rPr>
        <w:t> </w:t>
      </w:r>
      <w:r>
        <w:rPr>
          <w:i/>
          <w:w w:val="105"/>
          <w:sz w:val="13"/>
        </w:rPr>
        <w:t>The</w:t>
      </w:r>
      <w:r>
        <w:rPr>
          <w:i/>
          <w:spacing w:val="5"/>
          <w:w w:val="105"/>
          <w:sz w:val="13"/>
        </w:rPr>
        <w:t> </w:t>
      </w:r>
      <w:r>
        <w:rPr>
          <w:i/>
          <w:w w:val="105"/>
          <w:sz w:val="13"/>
        </w:rPr>
        <w:t>Laws</w:t>
      </w:r>
      <w:r>
        <w:rPr>
          <w:i/>
          <w:spacing w:val="5"/>
          <w:w w:val="105"/>
          <w:sz w:val="13"/>
        </w:rPr>
        <w:t> </w:t>
      </w:r>
      <w:r>
        <w:rPr>
          <w:i/>
          <w:w w:val="105"/>
          <w:sz w:val="13"/>
        </w:rPr>
        <w:t>of</w:t>
      </w:r>
      <w:r>
        <w:rPr>
          <w:i/>
          <w:spacing w:val="5"/>
          <w:w w:val="105"/>
          <w:sz w:val="13"/>
        </w:rPr>
        <w:t> </w:t>
      </w:r>
      <w:r>
        <w:rPr>
          <w:i/>
          <w:w w:val="105"/>
          <w:sz w:val="13"/>
        </w:rPr>
        <w:t>Australia</w:t>
      </w:r>
      <w:r>
        <w:rPr>
          <w:i/>
          <w:spacing w:val="5"/>
          <w:w w:val="105"/>
          <w:sz w:val="13"/>
        </w:rPr>
        <w:t> </w:t>
      </w:r>
      <w:r>
        <w:rPr>
          <w:w w:val="105"/>
          <w:sz w:val="13"/>
        </w:rPr>
        <w:t>(at</w:t>
      </w:r>
      <w:r>
        <w:rPr>
          <w:spacing w:val="5"/>
          <w:w w:val="105"/>
          <w:sz w:val="13"/>
        </w:rPr>
        <w:t> </w:t>
      </w:r>
      <w:r>
        <w:rPr>
          <w:w w:val="105"/>
          <w:sz w:val="13"/>
        </w:rPr>
        <w:t>28</w:t>
      </w:r>
      <w:r>
        <w:rPr>
          <w:spacing w:val="5"/>
          <w:w w:val="105"/>
          <w:sz w:val="13"/>
        </w:rPr>
        <w:t> </w:t>
      </w:r>
      <w:r>
        <w:rPr>
          <w:w w:val="105"/>
          <w:sz w:val="13"/>
        </w:rPr>
        <w:t>April</w:t>
      </w:r>
      <w:r>
        <w:rPr>
          <w:spacing w:val="4"/>
          <w:w w:val="105"/>
          <w:sz w:val="13"/>
        </w:rPr>
        <w:t> </w:t>
      </w:r>
      <w:r>
        <w:rPr>
          <w:w w:val="105"/>
          <w:sz w:val="13"/>
        </w:rPr>
        <w:t>2016)</w:t>
      </w:r>
      <w:r>
        <w:rPr>
          <w:spacing w:val="5"/>
          <w:w w:val="105"/>
          <w:sz w:val="13"/>
        </w:rPr>
        <w:t> </w:t>
      </w:r>
      <w:r>
        <w:rPr>
          <w:w w:val="105"/>
          <w:sz w:val="13"/>
        </w:rPr>
        <w:t>33</w:t>
      </w:r>
      <w:r>
        <w:rPr>
          <w:spacing w:val="5"/>
          <w:w w:val="105"/>
          <w:sz w:val="13"/>
        </w:rPr>
        <w:t> </w:t>
      </w:r>
      <w:r>
        <w:rPr>
          <w:w w:val="105"/>
          <w:sz w:val="13"/>
        </w:rPr>
        <w:t>Torts,</w:t>
      </w:r>
      <w:r>
        <w:rPr>
          <w:spacing w:val="5"/>
          <w:w w:val="105"/>
          <w:sz w:val="13"/>
        </w:rPr>
        <w:t> </w:t>
      </w:r>
      <w:r>
        <w:rPr>
          <w:w w:val="105"/>
          <w:sz w:val="13"/>
        </w:rPr>
        <w:t>‘7</w:t>
      </w:r>
      <w:r>
        <w:rPr>
          <w:spacing w:val="5"/>
          <w:w w:val="105"/>
          <w:sz w:val="13"/>
        </w:rPr>
        <w:t> </w:t>
      </w:r>
      <w:r>
        <w:rPr>
          <w:w w:val="105"/>
          <w:sz w:val="13"/>
        </w:rPr>
        <w:t>Nuisance’</w:t>
      </w:r>
      <w:r>
        <w:rPr>
          <w:spacing w:val="5"/>
          <w:w w:val="105"/>
          <w:sz w:val="13"/>
        </w:rPr>
        <w:t> </w:t>
      </w:r>
      <w:r>
        <w:rPr>
          <w:w w:val="105"/>
          <w:sz w:val="13"/>
        </w:rPr>
        <w:t>[33.7.820].</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576" w:hanging="794"/>
        <w:jc w:val="left"/>
        <w:rPr>
          <w:sz w:val="21"/>
        </w:rPr>
      </w:pPr>
      <w:bookmarkStart w:name="_bookmark27" w:id="74"/>
      <w:bookmarkEnd w:id="74"/>
      <w:r>
        <w:rPr/>
      </w:r>
      <w:bookmarkStart w:name="_bookmark27" w:id="75"/>
      <w:bookmarkEnd w:id="75"/>
      <w:r>
        <w:rPr>
          <w:w w:val="105"/>
          <w:sz w:val="21"/>
        </w:rPr>
        <w:t>A</w:t>
      </w:r>
      <w:r>
        <w:rPr>
          <w:w w:val="105"/>
          <w:sz w:val="21"/>
        </w:rPr>
        <w:t>n injunction is a court order </w:t>
      </w:r>
      <w:r>
        <w:rPr>
          <w:spacing w:val="-3"/>
          <w:w w:val="105"/>
          <w:sz w:val="21"/>
        </w:rPr>
        <w:t>restraining </w:t>
      </w:r>
      <w:r>
        <w:rPr>
          <w:w w:val="105"/>
          <w:sz w:val="21"/>
        </w:rPr>
        <w:t>the tree owner </w:t>
      </w:r>
      <w:r>
        <w:rPr>
          <w:spacing w:val="-3"/>
          <w:w w:val="105"/>
          <w:sz w:val="21"/>
        </w:rPr>
        <w:t>from </w:t>
      </w:r>
      <w:r>
        <w:rPr>
          <w:w w:val="105"/>
          <w:sz w:val="21"/>
        </w:rPr>
        <w:t>performing or </w:t>
      </w:r>
      <w:r>
        <w:rPr>
          <w:spacing w:val="-3"/>
          <w:w w:val="105"/>
          <w:sz w:val="21"/>
        </w:rPr>
        <w:t>continuing </w:t>
      </w:r>
      <w:r>
        <w:rPr>
          <w:w w:val="105"/>
          <w:sz w:val="21"/>
        </w:rPr>
        <w:t>the </w:t>
      </w:r>
      <w:r>
        <w:rPr>
          <w:spacing w:val="-3"/>
          <w:w w:val="105"/>
          <w:sz w:val="21"/>
        </w:rPr>
        <w:t>interference.</w:t>
      </w:r>
      <w:r>
        <w:rPr>
          <w:spacing w:val="-3"/>
          <w:w w:val="105"/>
          <w:position w:val="7"/>
          <w:sz w:val="12"/>
        </w:rPr>
        <w:t>85 </w:t>
      </w:r>
      <w:r>
        <w:rPr>
          <w:w w:val="105"/>
          <w:sz w:val="21"/>
        </w:rPr>
        <w:t>It is the </w:t>
      </w:r>
      <w:r>
        <w:rPr>
          <w:spacing w:val="-3"/>
          <w:w w:val="105"/>
          <w:sz w:val="21"/>
        </w:rPr>
        <w:t>main </w:t>
      </w:r>
      <w:r>
        <w:rPr>
          <w:w w:val="105"/>
          <w:sz w:val="21"/>
        </w:rPr>
        <w:t>remedy awarded </w:t>
      </w:r>
      <w:r>
        <w:rPr>
          <w:spacing w:val="-3"/>
          <w:w w:val="105"/>
          <w:sz w:val="21"/>
        </w:rPr>
        <w:t>to </w:t>
      </w:r>
      <w:r>
        <w:rPr>
          <w:w w:val="105"/>
          <w:sz w:val="21"/>
        </w:rPr>
        <w:t>an affected </w:t>
      </w:r>
      <w:r>
        <w:rPr>
          <w:spacing w:val="-3"/>
          <w:w w:val="105"/>
          <w:sz w:val="21"/>
        </w:rPr>
        <w:t>neighbour </w:t>
      </w:r>
      <w:r>
        <w:rPr>
          <w:w w:val="105"/>
          <w:sz w:val="21"/>
        </w:rPr>
        <w:t>in an action </w:t>
      </w:r>
      <w:r>
        <w:rPr>
          <w:spacing w:val="-3"/>
          <w:w w:val="105"/>
          <w:sz w:val="21"/>
        </w:rPr>
        <w:t>for nuisance.</w:t>
      </w:r>
      <w:r>
        <w:rPr>
          <w:spacing w:val="-3"/>
          <w:w w:val="105"/>
          <w:position w:val="7"/>
          <w:sz w:val="12"/>
        </w:rPr>
        <w:t>86  </w:t>
      </w:r>
      <w:r>
        <w:rPr>
          <w:w w:val="105"/>
          <w:sz w:val="21"/>
        </w:rPr>
        <w:t>It is most </w:t>
      </w:r>
      <w:r>
        <w:rPr>
          <w:spacing w:val="-3"/>
          <w:w w:val="105"/>
          <w:sz w:val="21"/>
        </w:rPr>
        <w:t>suited to </w:t>
      </w:r>
      <w:r>
        <w:rPr>
          <w:w w:val="105"/>
          <w:sz w:val="21"/>
        </w:rPr>
        <w:t>types of </w:t>
      </w:r>
      <w:r>
        <w:rPr>
          <w:spacing w:val="-3"/>
          <w:w w:val="105"/>
          <w:sz w:val="21"/>
        </w:rPr>
        <w:t>interference </w:t>
      </w:r>
      <w:r>
        <w:rPr>
          <w:w w:val="105"/>
          <w:sz w:val="21"/>
        </w:rPr>
        <w:t>which </w:t>
      </w:r>
      <w:r>
        <w:rPr>
          <w:spacing w:val="-3"/>
          <w:w w:val="105"/>
          <w:sz w:val="21"/>
        </w:rPr>
        <w:t>are recurrent </w:t>
      </w:r>
      <w:r>
        <w:rPr>
          <w:w w:val="105"/>
          <w:sz w:val="21"/>
        </w:rPr>
        <w:t>and </w:t>
      </w:r>
      <w:r>
        <w:rPr>
          <w:spacing w:val="-3"/>
          <w:w w:val="105"/>
          <w:sz w:val="21"/>
        </w:rPr>
        <w:t>infringe </w:t>
      </w:r>
      <w:r>
        <w:rPr>
          <w:w w:val="105"/>
          <w:sz w:val="21"/>
        </w:rPr>
        <w:t>on the affected </w:t>
      </w:r>
      <w:r>
        <w:rPr>
          <w:spacing w:val="-3"/>
          <w:w w:val="105"/>
          <w:sz w:val="21"/>
        </w:rPr>
        <w:t>neighbour’s right to </w:t>
      </w:r>
      <w:r>
        <w:rPr>
          <w:w w:val="105"/>
          <w:sz w:val="21"/>
        </w:rPr>
        <w:t>use and enjoy their </w:t>
      </w:r>
      <w:r>
        <w:rPr>
          <w:spacing w:val="-3"/>
          <w:w w:val="105"/>
          <w:sz w:val="21"/>
        </w:rPr>
        <w:t>land, </w:t>
      </w:r>
      <w:r>
        <w:rPr>
          <w:w w:val="105"/>
          <w:sz w:val="21"/>
        </w:rPr>
        <w:t>as opposed </w:t>
      </w:r>
      <w:r>
        <w:rPr>
          <w:spacing w:val="-3"/>
          <w:w w:val="105"/>
          <w:sz w:val="21"/>
        </w:rPr>
        <w:t>to </w:t>
      </w:r>
      <w:r>
        <w:rPr>
          <w:w w:val="105"/>
          <w:sz w:val="21"/>
        </w:rPr>
        <w:t>those </w:t>
      </w:r>
      <w:r>
        <w:rPr>
          <w:spacing w:val="-3"/>
          <w:w w:val="105"/>
          <w:sz w:val="21"/>
        </w:rPr>
        <w:t>causing </w:t>
      </w:r>
      <w:r>
        <w:rPr>
          <w:w w:val="105"/>
          <w:sz w:val="21"/>
        </w:rPr>
        <w:t>damage </w:t>
      </w:r>
      <w:r>
        <w:rPr>
          <w:spacing w:val="-3"/>
          <w:w w:val="105"/>
          <w:sz w:val="21"/>
        </w:rPr>
        <w:t>to</w:t>
      </w:r>
      <w:r>
        <w:rPr>
          <w:spacing w:val="10"/>
          <w:w w:val="105"/>
          <w:sz w:val="21"/>
        </w:rPr>
        <w:t> </w:t>
      </w:r>
      <w:r>
        <w:rPr>
          <w:w w:val="105"/>
          <w:sz w:val="21"/>
        </w:rPr>
        <w:t>property.</w:t>
      </w:r>
      <w:r>
        <w:rPr>
          <w:w w:val="105"/>
          <w:position w:val="7"/>
          <w:sz w:val="12"/>
        </w:rPr>
        <w:t>87</w:t>
      </w:r>
    </w:p>
    <w:p>
      <w:pPr>
        <w:pStyle w:val="ListParagraph"/>
        <w:numPr>
          <w:ilvl w:val="1"/>
          <w:numId w:val="16"/>
        </w:numPr>
        <w:tabs>
          <w:tab w:pos="2381" w:val="left" w:leader="none"/>
          <w:tab w:pos="2382" w:val="left" w:leader="none"/>
        </w:tabs>
        <w:spacing w:line="242" w:lineRule="auto" w:before="126" w:after="0"/>
        <w:ind w:left="2381" w:right="1591" w:hanging="794"/>
        <w:jc w:val="left"/>
        <w:rPr>
          <w:sz w:val="21"/>
        </w:rPr>
      </w:pPr>
      <w:r>
        <w:rPr>
          <w:w w:val="105"/>
          <w:sz w:val="21"/>
        </w:rPr>
        <w:t>An injunction </w:t>
      </w:r>
      <w:r>
        <w:rPr>
          <w:spacing w:val="-3"/>
          <w:w w:val="105"/>
          <w:sz w:val="21"/>
        </w:rPr>
        <w:t>may </w:t>
      </w:r>
      <w:r>
        <w:rPr>
          <w:w w:val="105"/>
          <w:sz w:val="21"/>
        </w:rPr>
        <w:t>be </w:t>
      </w:r>
      <w:r>
        <w:rPr>
          <w:spacing w:val="-3"/>
          <w:w w:val="105"/>
          <w:sz w:val="21"/>
        </w:rPr>
        <w:t>granted to prevent future nuisance </w:t>
      </w:r>
      <w:r>
        <w:rPr>
          <w:w w:val="105"/>
          <w:sz w:val="21"/>
        </w:rPr>
        <w:t>even though the </w:t>
      </w:r>
      <w:r>
        <w:rPr>
          <w:spacing w:val="-3"/>
          <w:w w:val="105"/>
          <w:sz w:val="21"/>
        </w:rPr>
        <w:t>nuisance </w:t>
      </w:r>
      <w:r>
        <w:rPr>
          <w:w w:val="105"/>
          <w:sz w:val="21"/>
        </w:rPr>
        <w:t>does </w:t>
      </w:r>
      <w:r>
        <w:rPr>
          <w:spacing w:val="-2"/>
          <w:w w:val="105"/>
          <w:sz w:val="21"/>
        </w:rPr>
        <w:t>not </w:t>
      </w:r>
      <w:r>
        <w:rPr>
          <w:w w:val="105"/>
          <w:sz w:val="21"/>
        </w:rPr>
        <w:t>exist at the time the injunction is sought.</w:t>
      </w:r>
      <w:r>
        <w:rPr>
          <w:w w:val="105"/>
          <w:position w:val="7"/>
          <w:sz w:val="12"/>
        </w:rPr>
        <w:t>88 </w:t>
      </w:r>
      <w:r>
        <w:rPr>
          <w:w w:val="105"/>
          <w:sz w:val="21"/>
        </w:rPr>
        <w:t>The </w:t>
      </w:r>
      <w:r>
        <w:rPr>
          <w:spacing w:val="-3"/>
          <w:w w:val="105"/>
          <w:sz w:val="21"/>
        </w:rPr>
        <w:t>threshold for </w:t>
      </w:r>
      <w:r>
        <w:rPr>
          <w:w w:val="105"/>
          <w:sz w:val="21"/>
        </w:rPr>
        <w:t>this type of injunction is </w:t>
      </w:r>
      <w:r>
        <w:rPr>
          <w:spacing w:val="-3"/>
          <w:w w:val="105"/>
          <w:sz w:val="21"/>
        </w:rPr>
        <w:t>high </w:t>
      </w:r>
      <w:r>
        <w:rPr>
          <w:w w:val="105"/>
          <w:sz w:val="21"/>
        </w:rPr>
        <w:t>and </w:t>
      </w:r>
      <w:r>
        <w:rPr>
          <w:spacing w:val="-3"/>
          <w:w w:val="105"/>
          <w:sz w:val="21"/>
        </w:rPr>
        <w:t>requires </w:t>
      </w:r>
      <w:r>
        <w:rPr>
          <w:spacing w:val="-4"/>
          <w:w w:val="105"/>
          <w:sz w:val="21"/>
        </w:rPr>
        <w:t>‘proof </w:t>
      </w:r>
      <w:r>
        <w:rPr>
          <w:spacing w:val="-3"/>
          <w:w w:val="105"/>
          <w:sz w:val="21"/>
        </w:rPr>
        <w:t>that </w:t>
      </w:r>
      <w:r>
        <w:rPr>
          <w:w w:val="105"/>
          <w:sz w:val="21"/>
        </w:rPr>
        <w:t>the apprehended damage </w:t>
      </w:r>
      <w:r>
        <w:rPr>
          <w:w w:val="115"/>
          <w:sz w:val="21"/>
        </w:rPr>
        <w:t>… </w:t>
      </w:r>
      <w:r>
        <w:rPr>
          <w:w w:val="105"/>
          <w:sz w:val="21"/>
        </w:rPr>
        <w:t>is </w:t>
      </w:r>
      <w:r>
        <w:rPr>
          <w:spacing w:val="-3"/>
          <w:w w:val="105"/>
          <w:sz w:val="21"/>
        </w:rPr>
        <w:t>imminent </w:t>
      </w:r>
      <w:r>
        <w:rPr>
          <w:w w:val="105"/>
          <w:sz w:val="21"/>
        </w:rPr>
        <w:t>or </w:t>
      </w:r>
      <w:r>
        <w:rPr>
          <w:spacing w:val="-4"/>
          <w:w w:val="105"/>
          <w:sz w:val="21"/>
        </w:rPr>
        <w:t>likely </w:t>
      </w:r>
      <w:r>
        <w:rPr>
          <w:spacing w:val="-3"/>
          <w:w w:val="105"/>
          <w:sz w:val="21"/>
        </w:rPr>
        <w:t>to occur </w:t>
      </w:r>
      <w:r>
        <w:rPr>
          <w:w w:val="105"/>
          <w:sz w:val="21"/>
        </w:rPr>
        <w:t>in the near </w:t>
      </w:r>
      <w:r>
        <w:rPr>
          <w:spacing w:val="-3"/>
          <w:w w:val="105"/>
          <w:sz w:val="21"/>
        </w:rPr>
        <w:t>future </w:t>
      </w:r>
      <w:r>
        <w:rPr>
          <w:w w:val="105"/>
          <w:sz w:val="21"/>
        </w:rPr>
        <w:t>and </w:t>
      </w:r>
      <w:r>
        <w:rPr>
          <w:w w:val="115"/>
          <w:sz w:val="21"/>
        </w:rPr>
        <w:t>… </w:t>
      </w:r>
      <w:r>
        <w:rPr>
          <w:spacing w:val="-3"/>
          <w:w w:val="105"/>
          <w:sz w:val="21"/>
        </w:rPr>
        <w:t>that </w:t>
      </w:r>
      <w:r>
        <w:rPr>
          <w:w w:val="105"/>
          <w:sz w:val="21"/>
        </w:rPr>
        <w:t>the damage [will be] very </w:t>
      </w:r>
      <w:r>
        <w:rPr>
          <w:spacing w:val="-3"/>
          <w:w w:val="105"/>
          <w:sz w:val="21"/>
        </w:rPr>
        <w:t>substantial </w:t>
      </w:r>
      <w:r>
        <w:rPr>
          <w:w w:val="105"/>
          <w:sz w:val="21"/>
        </w:rPr>
        <w:t>or almost</w:t>
      </w:r>
      <w:r>
        <w:rPr>
          <w:spacing w:val="-29"/>
          <w:w w:val="105"/>
          <w:sz w:val="21"/>
        </w:rPr>
        <w:t> </w:t>
      </w:r>
      <w:r>
        <w:rPr>
          <w:spacing w:val="-4"/>
          <w:w w:val="105"/>
          <w:sz w:val="21"/>
        </w:rPr>
        <w:t>irreparable’.</w:t>
      </w:r>
      <w:r>
        <w:rPr>
          <w:spacing w:val="-4"/>
          <w:w w:val="105"/>
          <w:position w:val="7"/>
          <w:sz w:val="12"/>
        </w:rPr>
        <w:t>89</w:t>
      </w:r>
    </w:p>
    <w:p>
      <w:pPr>
        <w:pStyle w:val="ListParagraph"/>
        <w:numPr>
          <w:ilvl w:val="1"/>
          <w:numId w:val="16"/>
        </w:numPr>
        <w:tabs>
          <w:tab w:pos="2381" w:val="left" w:leader="none"/>
          <w:tab w:pos="2382" w:val="left" w:leader="none"/>
        </w:tabs>
        <w:spacing w:line="242" w:lineRule="auto" w:before="124" w:after="0"/>
        <w:ind w:left="2381" w:right="1550" w:hanging="794"/>
        <w:jc w:val="left"/>
        <w:rPr>
          <w:sz w:val="21"/>
        </w:rPr>
      </w:pPr>
      <w:r>
        <w:rPr>
          <w:w w:val="105"/>
          <w:sz w:val="21"/>
        </w:rPr>
        <w:t>A court </w:t>
      </w:r>
      <w:r>
        <w:rPr>
          <w:spacing w:val="-3"/>
          <w:w w:val="105"/>
          <w:sz w:val="21"/>
        </w:rPr>
        <w:t>may </w:t>
      </w:r>
      <w:r>
        <w:rPr>
          <w:w w:val="105"/>
          <w:sz w:val="21"/>
        </w:rPr>
        <w:t>also </w:t>
      </w:r>
      <w:r>
        <w:rPr>
          <w:spacing w:val="-4"/>
          <w:w w:val="105"/>
          <w:sz w:val="21"/>
        </w:rPr>
        <w:t>make </w:t>
      </w:r>
      <w:r>
        <w:rPr>
          <w:w w:val="105"/>
          <w:sz w:val="21"/>
        </w:rPr>
        <w:t>an </w:t>
      </w:r>
      <w:r>
        <w:rPr>
          <w:spacing w:val="-3"/>
          <w:w w:val="105"/>
          <w:sz w:val="21"/>
        </w:rPr>
        <w:t>award </w:t>
      </w:r>
      <w:r>
        <w:rPr>
          <w:w w:val="105"/>
          <w:sz w:val="21"/>
        </w:rPr>
        <w:t>of damages </w:t>
      </w:r>
      <w:r>
        <w:rPr>
          <w:spacing w:val="-3"/>
          <w:w w:val="105"/>
          <w:sz w:val="21"/>
        </w:rPr>
        <w:t>to </w:t>
      </w:r>
      <w:r>
        <w:rPr>
          <w:w w:val="105"/>
          <w:sz w:val="21"/>
        </w:rPr>
        <w:t>an affected </w:t>
      </w:r>
      <w:r>
        <w:rPr>
          <w:spacing w:val="-4"/>
          <w:w w:val="105"/>
          <w:sz w:val="21"/>
        </w:rPr>
        <w:t>neighbour, </w:t>
      </w:r>
      <w:r>
        <w:rPr>
          <w:w w:val="105"/>
          <w:sz w:val="21"/>
        </w:rPr>
        <w:t>which is monetary compensation </w:t>
      </w:r>
      <w:r>
        <w:rPr>
          <w:spacing w:val="-3"/>
          <w:w w:val="105"/>
          <w:sz w:val="21"/>
        </w:rPr>
        <w:t>for any material </w:t>
      </w:r>
      <w:r>
        <w:rPr>
          <w:w w:val="105"/>
          <w:sz w:val="21"/>
        </w:rPr>
        <w:t>loss or damage </w:t>
      </w:r>
      <w:r>
        <w:rPr>
          <w:spacing w:val="-3"/>
          <w:w w:val="105"/>
          <w:sz w:val="21"/>
        </w:rPr>
        <w:t>that </w:t>
      </w:r>
      <w:r>
        <w:rPr>
          <w:spacing w:val="-2"/>
          <w:w w:val="105"/>
          <w:sz w:val="21"/>
        </w:rPr>
        <w:t>has </w:t>
      </w:r>
      <w:r>
        <w:rPr>
          <w:spacing w:val="-3"/>
          <w:w w:val="105"/>
          <w:sz w:val="21"/>
        </w:rPr>
        <w:t>already occurred </w:t>
      </w:r>
      <w:r>
        <w:rPr>
          <w:w w:val="105"/>
          <w:sz w:val="21"/>
        </w:rPr>
        <w:t>as a </w:t>
      </w:r>
      <w:r>
        <w:rPr>
          <w:spacing w:val="-3"/>
          <w:w w:val="105"/>
          <w:sz w:val="21"/>
        </w:rPr>
        <w:t>reasonably </w:t>
      </w:r>
      <w:r>
        <w:rPr>
          <w:spacing w:val="-2"/>
          <w:w w:val="105"/>
          <w:sz w:val="21"/>
        </w:rPr>
        <w:t>foreseeable </w:t>
      </w:r>
      <w:r>
        <w:rPr>
          <w:spacing w:val="-3"/>
          <w:w w:val="105"/>
          <w:sz w:val="21"/>
        </w:rPr>
        <w:t>consequence </w:t>
      </w:r>
      <w:r>
        <w:rPr>
          <w:w w:val="105"/>
          <w:sz w:val="21"/>
        </w:rPr>
        <w:t>of the </w:t>
      </w:r>
      <w:r>
        <w:rPr>
          <w:spacing w:val="-3"/>
          <w:w w:val="105"/>
          <w:sz w:val="21"/>
        </w:rPr>
        <w:t>nuisance.</w:t>
      </w:r>
      <w:r>
        <w:rPr>
          <w:spacing w:val="-3"/>
          <w:w w:val="105"/>
          <w:position w:val="7"/>
          <w:sz w:val="12"/>
        </w:rPr>
        <w:t>90 </w:t>
      </w:r>
      <w:r>
        <w:rPr>
          <w:spacing w:val="-3"/>
          <w:w w:val="105"/>
          <w:sz w:val="21"/>
        </w:rPr>
        <w:t>Damages may </w:t>
      </w:r>
      <w:r>
        <w:rPr>
          <w:w w:val="105"/>
          <w:sz w:val="21"/>
        </w:rPr>
        <w:t>be </w:t>
      </w:r>
      <w:r>
        <w:rPr>
          <w:spacing w:val="-3"/>
          <w:w w:val="105"/>
          <w:sz w:val="21"/>
        </w:rPr>
        <w:t>sought for material </w:t>
      </w:r>
      <w:r>
        <w:rPr>
          <w:w w:val="105"/>
          <w:sz w:val="21"/>
        </w:rPr>
        <w:t>loss or damage </w:t>
      </w:r>
      <w:r>
        <w:rPr>
          <w:spacing w:val="-3"/>
          <w:w w:val="105"/>
          <w:sz w:val="21"/>
        </w:rPr>
        <w:t>to land, </w:t>
      </w:r>
      <w:r>
        <w:rPr>
          <w:w w:val="105"/>
          <w:sz w:val="21"/>
        </w:rPr>
        <w:t>possessions, or </w:t>
      </w:r>
      <w:r>
        <w:rPr>
          <w:spacing w:val="-3"/>
          <w:w w:val="105"/>
          <w:sz w:val="21"/>
        </w:rPr>
        <w:t>for </w:t>
      </w:r>
      <w:r>
        <w:rPr>
          <w:w w:val="105"/>
          <w:sz w:val="21"/>
        </w:rPr>
        <w:t>the loss of profits which would </w:t>
      </w:r>
      <w:r>
        <w:rPr>
          <w:spacing w:val="-3"/>
          <w:w w:val="105"/>
          <w:sz w:val="21"/>
        </w:rPr>
        <w:t>have </w:t>
      </w:r>
      <w:r>
        <w:rPr>
          <w:w w:val="105"/>
          <w:sz w:val="21"/>
        </w:rPr>
        <w:t>otherwise been earned </w:t>
      </w:r>
      <w:r>
        <w:rPr>
          <w:spacing w:val="-3"/>
          <w:w w:val="105"/>
          <w:sz w:val="21"/>
        </w:rPr>
        <w:t>from </w:t>
      </w:r>
      <w:r>
        <w:rPr>
          <w:w w:val="105"/>
          <w:sz w:val="21"/>
        </w:rPr>
        <w:t>use of the </w:t>
      </w:r>
      <w:r>
        <w:rPr>
          <w:spacing w:val="-4"/>
          <w:w w:val="105"/>
          <w:sz w:val="21"/>
        </w:rPr>
        <w:t>land.</w:t>
      </w:r>
      <w:r>
        <w:rPr>
          <w:spacing w:val="-4"/>
          <w:w w:val="105"/>
          <w:position w:val="7"/>
          <w:sz w:val="12"/>
        </w:rPr>
        <w:t>91 </w:t>
      </w:r>
      <w:r>
        <w:rPr>
          <w:spacing w:val="-3"/>
          <w:w w:val="105"/>
          <w:sz w:val="21"/>
        </w:rPr>
        <w:t>Damages </w:t>
      </w:r>
      <w:r>
        <w:rPr>
          <w:w w:val="105"/>
          <w:sz w:val="21"/>
        </w:rPr>
        <w:t>can be awarded alone or in </w:t>
      </w:r>
      <w:r>
        <w:rPr>
          <w:spacing w:val="-3"/>
          <w:w w:val="105"/>
          <w:sz w:val="21"/>
        </w:rPr>
        <w:t>combination </w:t>
      </w:r>
      <w:r>
        <w:rPr>
          <w:w w:val="105"/>
          <w:sz w:val="21"/>
        </w:rPr>
        <w:t>with an </w:t>
      </w:r>
      <w:r>
        <w:rPr>
          <w:spacing w:val="-3"/>
          <w:w w:val="105"/>
          <w:sz w:val="21"/>
        </w:rPr>
        <w:t>injunction.</w:t>
      </w:r>
      <w:r>
        <w:rPr>
          <w:spacing w:val="-3"/>
          <w:w w:val="105"/>
          <w:position w:val="7"/>
          <w:sz w:val="12"/>
        </w:rPr>
        <w:t>92</w:t>
      </w:r>
    </w:p>
    <w:p>
      <w:pPr>
        <w:pStyle w:val="BodyText"/>
        <w:spacing w:before="7"/>
        <w:rPr>
          <w:sz w:val="20"/>
        </w:rPr>
      </w:pPr>
    </w:p>
    <w:p>
      <w:pPr>
        <w:pStyle w:val="Heading5"/>
      </w:pPr>
      <w:r>
        <w:rPr>
          <w:w w:val="115"/>
        </w:rPr>
        <w:t>Negligence</w:t>
      </w:r>
    </w:p>
    <w:p>
      <w:pPr>
        <w:pStyle w:val="ListParagraph"/>
        <w:numPr>
          <w:ilvl w:val="1"/>
          <w:numId w:val="16"/>
        </w:numPr>
        <w:tabs>
          <w:tab w:pos="2381" w:val="left" w:leader="none"/>
          <w:tab w:pos="2382" w:val="left" w:leader="none"/>
        </w:tabs>
        <w:spacing w:line="242" w:lineRule="auto" w:before="138" w:after="0"/>
        <w:ind w:left="2381" w:right="1737" w:hanging="794"/>
        <w:jc w:val="left"/>
        <w:rPr>
          <w:sz w:val="21"/>
        </w:rPr>
      </w:pPr>
      <w:r>
        <w:rPr>
          <w:sz w:val="21"/>
        </w:rPr>
        <w:t>A tree owner </w:t>
      </w:r>
      <w:r>
        <w:rPr>
          <w:spacing w:val="-3"/>
          <w:sz w:val="21"/>
        </w:rPr>
        <w:t>may </w:t>
      </w:r>
      <w:r>
        <w:rPr>
          <w:sz w:val="21"/>
        </w:rPr>
        <w:t>be </w:t>
      </w:r>
      <w:r>
        <w:rPr>
          <w:spacing w:val="-3"/>
          <w:sz w:val="21"/>
        </w:rPr>
        <w:t>negligent </w:t>
      </w:r>
      <w:r>
        <w:rPr>
          <w:sz w:val="21"/>
        </w:rPr>
        <w:t>where they </w:t>
      </w:r>
      <w:r>
        <w:rPr>
          <w:spacing w:val="-4"/>
          <w:sz w:val="21"/>
        </w:rPr>
        <w:t>fail </w:t>
      </w:r>
      <w:r>
        <w:rPr>
          <w:spacing w:val="-3"/>
          <w:sz w:val="21"/>
        </w:rPr>
        <w:t>to exercise reasonable </w:t>
      </w:r>
      <w:r>
        <w:rPr>
          <w:sz w:val="21"/>
        </w:rPr>
        <w:t>care in </w:t>
      </w:r>
      <w:r>
        <w:rPr>
          <w:spacing w:val="-3"/>
          <w:sz w:val="21"/>
        </w:rPr>
        <w:t>relation  to </w:t>
      </w:r>
      <w:r>
        <w:rPr>
          <w:sz w:val="21"/>
        </w:rPr>
        <w:t>their </w:t>
      </w:r>
      <w:r>
        <w:rPr>
          <w:spacing w:val="-4"/>
          <w:sz w:val="21"/>
        </w:rPr>
        <w:t>tree.</w:t>
      </w:r>
      <w:r>
        <w:rPr>
          <w:spacing w:val="-4"/>
          <w:position w:val="7"/>
          <w:sz w:val="12"/>
        </w:rPr>
        <w:t>93  </w:t>
      </w:r>
      <w:r>
        <w:rPr>
          <w:sz w:val="21"/>
        </w:rPr>
        <w:t>Negligence occurs where the tree owner </w:t>
      </w:r>
      <w:r>
        <w:rPr>
          <w:spacing w:val="-3"/>
          <w:sz w:val="21"/>
        </w:rPr>
        <w:t>breaches  </w:t>
      </w:r>
      <w:r>
        <w:rPr>
          <w:sz w:val="21"/>
        </w:rPr>
        <w:t>the duty of care they owe  </w:t>
      </w:r>
      <w:r>
        <w:rPr>
          <w:spacing w:val="-3"/>
          <w:sz w:val="21"/>
        </w:rPr>
        <w:t>to </w:t>
      </w:r>
      <w:r>
        <w:rPr>
          <w:sz w:val="21"/>
        </w:rPr>
        <w:t>the affected </w:t>
      </w:r>
      <w:r>
        <w:rPr>
          <w:spacing w:val="-4"/>
          <w:sz w:val="21"/>
        </w:rPr>
        <w:t>neighbour, </w:t>
      </w:r>
      <w:r>
        <w:rPr>
          <w:spacing w:val="-3"/>
          <w:sz w:val="21"/>
        </w:rPr>
        <w:t>causing </w:t>
      </w:r>
      <w:r>
        <w:rPr>
          <w:sz w:val="21"/>
        </w:rPr>
        <w:t>the affected </w:t>
      </w:r>
      <w:r>
        <w:rPr>
          <w:spacing w:val="-3"/>
          <w:sz w:val="21"/>
        </w:rPr>
        <w:t>neighbour to </w:t>
      </w:r>
      <w:r>
        <w:rPr>
          <w:sz w:val="21"/>
        </w:rPr>
        <w:t>suffer  a  </w:t>
      </w:r>
      <w:r>
        <w:rPr>
          <w:spacing w:val="-3"/>
          <w:sz w:val="21"/>
        </w:rPr>
        <w:t>reasonably </w:t>
      </w:r>
      <w:r>
        <w:rPr>
          <w:spacing w:val="-2"/>
          <w:sz w:val="21"/>
        </w:rPr>
        <w:t>foreseeable</w:t>
      </w:r>
      <w:r>
        <w:rPr>
          <w:spacing w:val="8"/>
          <w:sz w:val="21"/>
        </w:rPr>
        <w:t> </w:t>
      </w:r>
      <w:r>
        <w:rPr>
          <w:sz w:val="21"/>
        </w:rPr>
        <w:t>harm.</w:t>
      </w:r>
      <w:r>
        <w:rPr>
          <w:position w:val="7"/>
          <w:sz w:val="12"/>
        </w:rPr>
        <w:t>94</w:t>
      </w:r>
    </w:p>
    <w:p>
      <w:pPr>
        <w:pStyle w:val="ListParagraph"/>
        <w:numPr>
          <w:ilvl w:val="1"/>
          <w:numId w:val="16"/>
        </w:numPr>
        <w:tabs>
          <w:tab w:pos="2380" w:val="left" w:leader="none"/>
          <w:tab w:pos="2381" w:val="left" w:leader="none"/>
        </w:tabs>
        <w:spacing w:line="242" w:lineRule="auto" w:before="124" w:after="0"/>
        <w:ind w:left="2381" w:right="1439" w:hanging="794"/>
        <w:jc w:val="left"/>
        <w:rPr>
          <w:sz w:val="21"/>
        </w:rPr>
      </w:pPr>
      <w:r>
        <w:rPr>
          <w:w w:val="105"/>
          <w:sz w:val="21"/>
        </w:rPr>
        <w:t>Negligence is largely based on the </w:t>
      </w:r>
      <w:r>
        <w:rPr>
          <w:spacing w:val="-2"/>
          <w:w w:val="105"/>
          <w:sz w:val="21"/>
        </w:rPr>
        <w:t>common </w:t>
      </w:r>
      <w:r>
        <w:rPr>
          <w:w w:val="105"/>
          <w:sz w:val="21"/>
        </w:rPr>
        <w:t>law but it </w:t>
      </w:r>
      <w:r>
        <w:rPr>
          <w:spacing w:val="-2"/>
          <w:w w:val="105"/>
          <w:sz w:val="21"/>
        </w:rPr>
        <w:t>has </w:t>
      </w:r>
      <w:r>
        <w:rPr>
          <w:w w:val="105"/>
          <w:sz w:val="21"/>
        </w:rPr>
        <w:t>also undergone statutory </w:t>
      </w:r>
      <w:r>
        <w:rPr>
          <w:spacing w:val="-3"/>
          <w:w w:val="105"/>
          <w:sz w:val="21"/>
        </w:rPr>
        <w:t>reform </w:t>
      </w:r>
      <w:r>
        <w:rPr>
          <w:w w:val="105"/>
          <w:sz w:val="21"/>
        </w:rPr>
        <w:t>in the </w:t>
      </w:r>
      <w:r>
        <w:rPr>
          <w:spacing w:val="-3"/>
          <w:w w:val="105"/>
          <w:sz w:val="21"/>
        </w:rPr>
        <w:t>Wrongs </w:t>
      </w:r>
      <w:r>
        <w:rPr>
          <w:w w:val="105"/>
          <w:sz w:val="21"/>
        </w:rPr>
        <w:t>Act </w:t>
      </w:r>
      <w:r>
        <w:rPr>
          <w:spacing w:val="-5"/>
          <w:w w:val="105"/>
          <w:sz w:val="21"/>
        </w:rPr>
        <w:t>1958 </w:t>
      </w:r>
      <w:r>
        <w:rPr>
          <w:w w:val="105"/>
          <w:sz w:val="21"/>
        </w:rPr>
        <w:t>(Vic).</w:t>
      </w:r>
      <w:r>
        <w:rPr>
          <w:w w:val="105"/>
          <w:position w:val="7"/>
          <w:sz w:val="12"/>
        </w:rPr>
        <w:t>95 </w:t>
      </w:r>
      <w:r>
        <w:rPr>
          <w:spacing w:val="-3"/>
          <w:w w:val="105"/>
          <w:sz w:val="21"/>
        </w:rPr>
        <w:t>Common </w:t>
      </w:r>
      <w:r>
        <w:rPr>
          <w:w w:val="105"/>
          <w:sz w:val="21"/>
        </w:rPr>
        <w:t>law </w:t>
      </w:r>
      <w:r>
        <w:rPr>
          <w:spacing w:val="-3"/>
          <w:w w:val="105"/>
          <w:sz w:val="21"/>
        </w:rPr>
        <w:t>principles </w:t>
      </w:r>
      <w:r>
        <w:rPr>
          <w:w w:val="105"/>
          <w:sz w:val="21"/>
        </w:rPr>
        <w:t>and elements </w:t>
      </w:r>
      <w:r>
        <w:rPr>
          <w:spacing w:val="-3"/>
          <w:w w:val="105"/>
          <w:sz w:val="21"/>
        </w:rPr>
        <w:t>relating to negligence are </w:t>
      </w:r>
      <w:r>
        <w:rPr>
          <w:w w:val="105"/>
          <w:sz w:val="21"/>
        </w:rPr>
        <w:t>now restated </w:t>
      </w:r>
      <w:r>
        <w:rPr>
          <w:spacing w:val="-3"/>
          <w:w w:val="105"/>
          <w:sz w:val="21"/>
        </w:rPr>
        <w:t>in, </w:t>
      </w:r>
      <w:r>
        <w:rPr>
          <w:w w:val="105"/>
          <w:sz w:val="21"/>
        </w:rPr>
        <w:t>clarified by or </w:t>
      </w:r>
      <w:r>
        <w:rPr>
          <w:spacing w:val="-3"/>
          <w:w w:val="105"/>
          <w:sz w:val="21"/>
        </w:rPr>
        <w:t>altered </w:t>
      </w:r>
      <w:r>
        <w:rPr>
          <w:w w:val="105"/>
          <w:sz w:val="21"/>
        </w:rPr>
        <w:t>by</w:t>
      </w:r>
      <w:r>
        <w:rPr>
          <w:spacing w:val="42"/>
          <w:w w:val="105"/>
          <w:sz w:val="21"/>
        </w:rPr>
        <w:t> </w:t>
      </w:r>
      <w:r>
        <w:rPr>
          <w:spacing w:val="-3"/>
          <w:w w:val="105"/>
          <w:sz w:val="21"/>
        </w:rPr>
        <w:t>statute.</w:t>
      </w:r>
      <w:r>
        <w:rPr>
          <w:spacing w:val="-3"/>
          <w:w w:val="105"/>
          <w:position w:val="7"/>
          <w:sz w:val="12"/>
        </w:rPr>
        <w:t>96</w:t>
      </w:r>
    </w:p>
    <w:p>
      <w:pPr>
        <w:pStyle w:val="ListParagraph"/>
        <w:numPr>
          <w:ilvl w:val="1"/>
          <w:numId w:val="16"/>
        </w:numPr>
        <w:tabs>
          <w:tab w:pos="2381" w:val="left" w:leader="none"/>
          <w:tab w:pos="2382" w:val="left" w:leader="none"/>
        </w:tabs>
        <w:spacing w:line="240" w:lineRule="auto" w:before="123" w:after="0"/>
        <w:ind w:left="2381" w:right="0" w:hanging="794"/>
        <w:jc w:val="left"/>
        <w:rPr>
          <w:sz w:val="21"/>
        </w:rPr>
      </w:pPr>
      <w:r>
        <w:rPr>
          <w:w w:val="105"/>
          <w:sz w:val="21"/>
        </w:rPr>
        <w:t>In order </w:t>
      </w:r>
      <w:r>
        <w:rPr>
          <w:spacing w:val="-3"/>
          <w:w w:val="105"/>
          <w:sz w:val="21"/>
        </w:rPr>
        <w:t>to </w:t>
      </w:r>
      <w:r>
        <w:rPr>
          <w:w w:val="105"/>
          <w:sz w:val="21"/>
        </w:rPr>
        <w:t>establish </w:t>
      </w:r>
      <w:r>
        <w:rPr>
          <w:spacing w:val="-3"/>
          <w:w w:val="105"/>
          <w:sz w:val="21"/>
        </w:rPr>
        <w:t>negligence, </w:t>
      </w:r>
      <w:r>
        <w:rPr>
          <w:w w:val="105"/>
          <w:sz w:val="21"/>
        </w:rPr>
        <w:t>the affected </w:t>
      </w:r>
      <w:r>
        <w:rPr>
          <w:spacing w:val="-3"/>
          <w:w w:val="105"/>
          <w:sz w:val="21"/>
        </w:rPr>
        <w:t>neighbour </w:t>
      </w:r>
      <w:r>
        <w:rPr>
          <w:w w:val="105"/>
          <w:sz w:val="21"/>
        </w:rPr>
        <w:t>must </w:t>
      </w:r>
      <w:r>
        <w:rPr>
          <w:spacing w:val="-3"/>
          <w:w w:val="105"/>
          <w:sz w:val="21"/>
        </w:rPr>
        <w:t>prove all </w:t>
      </w:r>
      <w:r>
        <w:rPr>
          <w:w w:val="105"/>
          <w:sz w:val="21"/>
        </w:rPr>
        <w:t>of the following:</w:t>
      </w:r>
      <w:r>
        <w:rPr>
          <w:w w:val="105"/>
          <w:position w:val="7"/>
          <w:sz w:val="12"/>
        </w:rPr>
        <w:t>97</w:t>
      </w:r>
    </w:p>
    <w:p>
      <w:pPr>
        <w:pStyle w:val="ListParagraph"/>
        <w:numPr>
          <w:ilvl w:val="2"/>
          <w:numId w:val="16"/>
        </w:numPr>
        <w:tabs>
          <w:tab w:pos="2721" w:val="left" w:leader="none"/>
          <w:tab w:pos="2722" w:val="left" w:leader="none"/>
        </w:tabs>
        <w:spacing w:line="242" w:lineRule="auto" w:before="124" w:after="0"/>
        <w:ind w:left="2721" w:right="1480" w:hanging="340"/>
        <w:jc w:val="left"/>
        <w:rPr>
          <w:sz w:val="21"/>
        </w:rPr>
      </w:pPr>
      <w:r>
        <w:rPr>
          <w:spacing w:val="-3"/>
          <w:w w:val="105"/>
          <w:sz w:val="21"/>
        </w:rPr>
        <w:t>that</w:t>
      </w:r>
      <w:r>
        <w:rPr>
          <w:spacing w:val="-6"/>
          <w:w w:val="105"/>
          <w:sz w:val="21"/>
        </w:rPr>
        <w:t> </w:t>
      </w:r>
      <w:r>
        <w:rPr>
          <w:w w:val="105"/>
          <w:sz w:val="21"/>
        </w:rPr>
        <w:t>the</w:t>
      </w:r>
      <w:r>
        <w:rPr>
          <w:spacing w:val="-5"/>
          <w:w w:val="105"/>
          <w:sz w:val="21"/>
        </w:rPr>
        <w:t> </w:t>
      </w:r>
      <w:r>
        <w:rPr>
          <w:w w:val="105"/>
          <w:sz w:val="21"/>
        </w:rPr>
        <w:t>tree</w:t>
      </w:r>
      <w:r>
        <w:rPr>
          <w:spacing w:val="-6"/>
          <w:w w:val="105"/>
          <w:sz w:val="21"/>
        </w:rPr>
        <w:t> </w:t>
      </w:r>
      <w:r>
        <w:rPr>
          <w:w w:val="105"/>
          <w:sz w:val="21"/>
        </w:rPr>
        <w:t>owner</w:t>
      </w:r>
      <w:r>
        <w:rPr>
          <w:spacing w:val="-5"/>
          <w:w w:val="105"/>
          <w:sz w:val="21"/>
        </w:rPr>
        <w:t> </w:t>
      </w:r>
      <w:r>
        <w:rPr>
          <w:w w:val="105"/>
          <w:sz w:val="21"/>
        </w:rPr>
        <w:t>owed</w:t>
      </w:r>
      <w:r>
        <w:rPr>
          <w:spacing w:val="-6"/>
          <w:w w:val="105"/>
          <w:sz w:val="21"/>
        </w:rPr>
        <w:t> </w:t>
      </w:r>
      <w:r>
        <w:rPr>
          <w:w w:val="105"/>
          <w:sz w:val="21"/>
        </w:rPr>
        <w:t>them</w:t>
      </w:r>
      <w:r>
        <w:rPr>
          <w:spacing w:val="-5"/>
          <w:w w:val="105"/>
          <w:sz w:val="21"/>
        </w:rPr>
        <w:t> </w:t>
      </w:r>
      <w:r>
        <w:rPr>
          <w:w w:val="105"/>
          <w:sz w:val="21"/>
        </w:rPr>
        <w:t>a</w:t>
      </w:r>
      <w:r>
        <w:rPr>
          <w:spacing w:val="-5"/>
          <w:w w:val="105"/>
          <w:sz w:val="21"/>
        </w:rPr>
        <w:t> </w:t>
      </w:r>
      <w:r>
        <w:rPr>
          <w:w w:val="105"/>
          <w:sz w:val="21"/>
        </w:rPr>
        <w:t>duty</w:t>
      </w:r>
      <w:r>
        <w:rPr>
          <w:spacing w:val="-6"/>
          <w:w w:val="105"/>
          <w:sz w:val="21"/>
        </w:rPr>
        <w:t> </w:t>
      </w:r>
      <w:r>
        <w:rPr>
          <w:w w:val="105"/>
          <w:sz w:val="21"/>
        </w:rPr>
        <w:t>of</w:t>
      </w:r>
      <w:r>
        <w:rPr>
          <w:spacing w:val="-5"/>
          <w:w w:val="105"/>
          <w:sz w:val="21"/>
        </w:rPr>
        <w:t> </w:t>
      </w:r>
      <w:r>
        <w:rPr>
          <w:w w:val="105"/>
          <w:sz w:val="21"/>
        </w:rPr>
        <w:t>care—this</w:t>
      </w:r>
      <w:r>
        <w:rPr>
          <w:spacing w:val="-6"/>
          <w:w w:val="105"/>
          <w:sz w:val="21"/>
        </w:rPr>
        <w:t> </w:t>
      </w:r>
      <w:r>
        <w:rPr>
          <w:w w:val="105"/>
          <w:sz w:val="21"/>
        </w:rPr>
        <w:t>duty</w:t>
      </w:r>
      <w:r>
        <w:rPr>
          <w:spacing w:val="-5"/>
          <w:w w:val="105"/>
          <w:sz w:val="21"/>
        </w:rPr>
        <w:t> </w:t>
      </w:r>
      <w:r>
        <w:rPr>
          <w:w w:val="105"/>
          <w:sz w:val="21"/>
        </w:rPr>
        <w:t>of</w:t>
      </w:r>
      <w:r>
        <w:rPr>
          <w:spacing w:val="-5"/>
          <w:w w:val="105"/>
          <w:sz w:val="21"/>
        </w:rPr>
        <w:t> </w:t>
      </w:r>
      <w:r>
        <w:rPr>
          <w:w w:val="105"/>
          <w:sz w:val="21"/>
        </w:rPr>
        <w:t>care</w:t>
      </w:r>
      <w:r>
        <w:rPr>
          <w:spacing w:val="-6"/>
          <w:w w:val="105"/>
          <w:sz w:val="21"/>
        </w:rPr>
        <w:t> </w:t>
      </w:r>
      <w:r>
        <w:rPr>
          <w:w w:val="105"/>
          <w:sz w:val="21"/>
        </w:rPr>
        <w:t>is</w:t>
      </w:r>
      <w:r>
        <w:rPr>
          <w:spacing w:val="-5"/>
          <w:w w:val="105"/>
          <w:sz w:val="21"/>
        </w:rPr>
        <w:t> </w:t>
      </w:r>
      <w:r>
        <w:rPr>
          <w:w w:val="105"/>
          <w:sz w:val="21"/>
        </w:rPr>
        <w:t>fulfilled</w:t>
      </w:r>
      <w:r>
        <w:rPr>
          <w:spacing w:val="-6"/>
          <w:w w:val="105"/>
          <w:sz w:val="21"/>
        </w:rPr>
        <w:t> </w:t>
      </w:r>
      <w:r>
        <w:rPr>
          <w:w w:val="105"/>
          <w:sz w:val="21"/>
        </w:rPr>
        <w:t>by</w:t>
      </w:r>
      <w:r>
        <w:rPr>
          <w:spacing w:val="-5"/>
          <w:w w:val="105"/>
          <w:sz w:val="21"/>
        </w:rPr>
        <w:t> </w:t>
      </w:r>
      <w:r>
        <w:rPr>
          <w:spacing w:val="-3"/>
          <w:w w:val="105"/>
          <w:sz w:val="21"/>
        </w:rPr>
        <w:t>adhering to </w:t>
      </w:r>
      <w:r>
        <w:rPr>
          <w:w w:val="105"/>
          <w:sz w:val="21"/>
        </w:rPr>
        <w:t>a standard of care </w:t>
      </w:r>
      <w:r>
        <w:rPr>
          <w:spacing w:val="-3"/>
          <w:w w:val="105"/>
          <w:sz w:val="21"/>
        </w:rPr>
        <w:t>that </w:t>
      </w:r>
      <w:r>
        <w:rPr>
          <w:w w:val="105"/>
          <w:sz w:val="21"/>
        </w:rPr>
        <w:t>a </w:t>
      </w:r>
      <w:r>
        <w:rPr>
          <w:spacing w:val="-3"/>
          <w:w w:val="105"/>
          <w:sz w:val="21"/>
        </w:rPr>
        <w:t>‘reasonable </w:t>
      </w:r>
      <w:r>
        <w:rPr>
          <w:w w:val="105"/>
          <w:sz w:val="21"/>
        </w:rPr>
        <w:t>person of ordinary </w:t>
      </w:r>
      <w:r>
        <w:rPr>
          <w:spacing w:val="-3"/>
          <w:w w:val="105"/>
          <w:sz w:val="21"/>
        </w:rPr>
        <w:t>prudence’ </w:t>
      </w:r>
      <w:r>
        <w:rPr>
          <w:w w:val="105"/>
          <w:sz w:val="21"/>
        </w:rPr>
        <w:t>would</w:t>
      </w:r>
      <w:r>
        <w:rPr>
          <w:spacing w:val="-13"/>
          <w:w w:val="105"/>
          <w:sz w:val="21"/>
        </w:rPr>
        <w:t> </w:t>
      </w:r>
      <w:r>
        <w:rPr>
          <w:spacing w:val="-3"/>
          <w:w w:val="105"/>
          <w:sz w:val="21"/>
        </w:rPr>
        <w:t>adhere</w:t>
      </w:r>
    </w:p>
    <w:p>
      <w:pPr>
        <w:pStyle w:val="BodyText"/>
        <w:spacing w:line="242" w:lineRule="auto" w:before="2"/>
        <w:ind w:left="2721" w:right="1558"/>
        <w:rPr>
          <w:sz w:val="12"/>
        </w:rPr>
      </w:pPr>
      <w:r>
        <w:rPr>
          <w:spacing w:val="-3"/>
          <w:w w:val="105"/>
        </w:rPr>
        <w:t>to </w:t>
      </w:r>
      <w:r>
        <w:rPr>
          <w:w w:val="105"/>
        </w:rPr>
        <w:t>in order </w:t>
      </w:r>
      <w:r>
        <w:rPr>
          <w:spacing w:val="-3"/>
          <w:w w:val="105"/>
        </w:rPr>
        <w:t>to </w:t>
      </w:r>
      <w:r>
        <w:rPr>
          <w:w w:val="105"/>
        </w:rPr>
        <w:t>avoid </w:t>
      </w:r>
      <w:r>
        <w:rPr>
          <w:spacing w:val="-3"/>
          <w:w w:val="105"/>
        </w:rPr>
        <w:t>‘unreasonable </w:t>
      </w:r>
      <w:r>
        <w:rPr>
          <w:w w:val="105"/>
        </w:rPr>
        <w:t>risk or danger </w:t>
      </w:r>
      <w:r>
        <w:rPr>
          <w:spacing w:val="-3"/>
          <w:w w:val="105"/>
        </w:rPr>
        <w:t>to </w:t>
      </w:r>
      <w:r>
        <w:rPr>
          <w:spacing w:val="-4"/>
          <w:w w:val="105"/>
        </w:rPr>
        <w:t>others’.</w:t>
      </w:r>
      <w:r>
        <w:rPr>
          <w:spacing w:val="-4"/>
          <w:w w:val="105"/>
          <w:position w:val="7"/>
          <w:sz w:val="12"/>
        </w:rPr>
        <w:t>98 </w:t>
      </w:r>
      <w:r>
        <w:rPr>
          <w:w w:val="105"/>
        </w:rPr>
        <w:t>It is </w:t>
      </w:r>
      <w:r>
        <w:rPr>
          <w:spacing w:val="-3"/>
          <w:w w:val="105"/>
        </w:rPr>
        <w:t>well </w:t>
      </w:r>
      <w:r>
        <w:rPr>
          <w:w w:val="105"/>
        </w:rPr>
        <w:t>established </w:t>
      </w:r>
      <w:r>
        <w:rPr>
          <w:spacing w:val="-3"/>
          <w:w w:val="105"/>
        </w:rPr>
        <w:t>that </w:t>
      </w:r>
      <w:r>
        <w:rPr>
          <w:w w:val="105"/>
        </w:rPr>
        <w:t>neighbours owe each other this duty of </w:t>
      </w:r>
      <w:r>
        <w:rPr>
          <w:spacing w:val="-3"/>
          <w:w w:val="105"/>
        </w:rPr>
        <w:t>care.</w:t>
      </w:r>
      <w:r>
        <w:rPr>
          <w:spacing w:val="-3"/>
          <w:w w:val="105"/>
          <w:position w:val="7"/>
          <w:sz w:val="12"/>
        </w:rPr>
        <w:t>99</w:t>
      </w:r>
    </w:p>
    <w:p>
      <w:pPr>
        <w:pStyle w:val="BodyText"/>
        <w:spacing w:before="11"/>
      </w:pPr>
      <w:r>
        <w:rPr/>
        <w:pict>
          <v:line style="position:absolute;mso-position-horizontal-relative:page;mso-position-vertical-relative:paragraph;z-index:1280;mso-wrap-distance-left:0;mso-wrap-distance-right:0" from="79.370003pt,15.832016pt" to="524.409003pt,15.832016pt" stroked="true" strokeweight="1pt" strokecolor="#c9d2cb">
            <v:stroke dashstyle="solid"/>
            <w10:wrap type="topAndBottom"/>
          </v:line>
        </w:pict>
      </w:r>
    </w:p>
    <w:p>
      <w:pPr>
        <w:pStyle w:val="ListParagraph"/>
        <w:numPr>
          <w:ilvl w:val="0"/>
          <w:numId w:val="27"/>
        </w:numPr>
        <w:tabs>
          <w:tab w:pos="2380" w:val="left" w:leader="none"/>
          <w:tab w:pos="2382" w:val="left" w:leader="none"/>
        </w:tabs>
        <w:spacing w:line="240" w:lineRule="auto" w:before="117" w:after="0"/>
        <w:ind w:left="2381" w:right="1419" w:hanging="794"/>
        <w:jc w:val="left"/>
        <w:rPr>
          <w:sz w:val="13"/>
        </w:rPr>
      </w:pPr>
      <w:r>
        <w:rPr>
          <w:sz w:val="13"/>
        </w:rPr>
        <w:t>An injunction may be prohibitive, in that it orders the tree owner to stop certain actions; or mandatory, in that it orders the tree owner to </w:t>
      </w:r>
      <w:r>
        <w:rPr>
          <w:spacing w:val="2"/>
          <w:sz w:val="13"/>
        </w:rPr>
        <w:t>carry          </w:t>
      </w:r>
      <w:r>
        <w:rPr>
          <w:spacing w:val="33"/>
          <w:sz w:val="13"/>
        </w:rPr>
        <w:t> </w:t>
      </w:r>
      <w:r>
        <w:rPr>
          <w:sz w:val="13"/>
        </w:rPr>
        <w:t>out a certain act. An injunction must clearly identify how it is to be complied with: Kit Barker, Peter Cane, Mark Lunney and Francis Trindade,                 </w:t>
      </w:r>
      <w:r>
        <w:rPr>
          <w:i/>
          <w:sz w:val="13"/>
        </w:rPr>
        <w:t>The</w:t>
      </w:r>
      <w:r>
        <w:rPr>
          <w:i/>
          <w:spacing w:val="7"/>
          <w:sz w:val="13"/>
        </w:rPr>
        <w:t> </w:t>
      </w:r>
      <w:r>
        <w:rPr>
          <w:i/>
          <w:sz w:val="13"/>
        </w:rPr>
        <w:t>Law</w:t>
      </w:r>
      <w:r>
        <w:rPr>
          <w:i/>
          <w:spacing w:val="8"/>
          <w:sz w:val="13"/>
        </w:rPr>
        <w:t> </w:t>
      </w:r>
      <w:r>
        <w:rPr>
          <w:i/>
          <w:sz w:val="13"/>
        </w:rPr>
        <w:t>of</w:t>
      </w:r>
      <w:r>
        <w:rPr>
          <w:i/>
          <w:spacing w:val="7"/>
          <w:sz w:val="13"/>
        </w:rPr>
        <w:t> </w:t>
      </w:r>
      <w:r>
        <w:rPr>
          <w:i/>
          <w:sz w:val="13"/>
        </w:rPr>
        <w:t>Torts</w:t>
      </w:r>
      <w:r>
        <w:rPr>
          <w:i/>
          <w:spacing w:val="8"/>
          <w:sz w:val="13"/>
        </w:rPr>
        <w:t> </w:t>
      </w:r>
      <w:r>
        <w:rPr>
          <w:i/>
          <w:sz w:val="13"/>
        </w:rPr>
        <w:t>in</w:t>
      </w:r>
      <w:r>
        <w:rPr>
          <w:i/>
          <w:spacing w:val="7"/>
          <w:sz w:val="13"/>
        </w:rPr>
        <w:t> </w:t>
      </w:r>
      <w:r>
        <w:rPr>
          <w:i/>
          <w:sz w:val="13"/>
        </w:rPr>
        <w:t>Australia</w:t>
      </w:r>
      <w:r>
        <w:rPr>
          <w:i/>
          <w:spacing w:val="8"/>
          <w:sz w:val="13"/>
        </w:rPr>
        <w:t> </w:t>
      </w:r>
      <w:r>
        <w:rPr>
          <w:spacing w:val="2"/>
          <w:sz w:val="13"/>
        </w:rPr>
        <w:t>(Oxford</w:t>
      </w:r>
      <w:r>
        <w:rPr>
          <w:spacing w:val="7"/>
          <w:sz w:val="13"/>
        </w:rPr>
        <w:t> </w:t>
      </w:r>
      <w:r>
        <w:rPr>
          <w:sz w:val="13"/>
        </w:rPr>
        <w:t>University</w:t>
      </w:r>
      <w:r>
        <w:rPr>
          <w:spacing w:val="8"/>
          <w:sz w:val="13"/>
        </w:rPr>
        <w:t> </w:t>
      </w:r>
      <w:r>
        <w:rPr>
          <w:sz w:val="13"/>
        </w:rPr>
        <w:t>Press,</w:t>
      </w:r>
      <w:r>
        <w:rPr>
          <w:spacing w:val="7"/>
          <w:sz w:val="13"/>
        </w:rPr>
        <w:t> </w:t>
      </w:r>
      <w:r>
        <w:rPr>
          <w:sz w:val="13"/>
        </w:rPr>
        <w:t>5th</w:t>
      </w:r>
      <w:r>
        <w:rPr>
          <w:spacing w:val="8"/>
          <w:sz w:val="13"/>
        </w:rPr>
        <w:t> </w:t>
      </w:r>
      <w:r>
        <w:rPr>
          <w:sz w:val="13"/>
        </w:rPr>
        <w:t>ed,</w:t>
      </w:r>
      <w:r>
        <w:rPr>
          <w:spacing w:val="7"/>
          <w:sz w:val="13"/>
        </w:rPr>
        <w:t> </w:t>
      </w:r>
      <w:r>
        <w:rPr>
          <w:sz w:val="13"/>
        </w:rPr>
        <w:t>2012)</w:t>
      </w:r>
      <w:r>
        <w:rPr>
          <w:spacing w:val="8"/>
          <w:sz w:val="13"/>
        </w:rPr>
        <w:t> </w:t>
      </w:r>
      <w:r>
        <w:rPr>
          <w:spacing w:val="-3"/>
          <w:sz w:val="13"/>
        </w:rPr>
        <w:t>[5.1.7.1].</w:t>
      </w:r>
    </w:p>
    <w:p>
      <w:pPr>
        <w:pStyle w:val="ListParagraph"/>
        <w:numPr>
          <w:ilvl w:val="0"/>
          <w:numId w:val="27"/>
        </w:numPr>
        <w:tabs>
          <w:tab w:pos="2380" w:val="left" w:leader="none"/>
          <w:tab w:pos="2382" w:val="left" w:leader="none"/>
        </w:tabs>
        <w:spacing w:line="240" w:lineRule="auto" w:before="4" w:after="0"/>
        <w:ind w:left="1587" w:right="1825" w:firstLine="0"/>
        <w:jc w:val="left"/>
        <w:rPr>
          <w:sz w:val="13"/>
        </w:rPr>
      </w:pPr>
      <w:r>
        <w:rPr>
          <w:w w:val="105"/>
          <w:sz w:val="13"/>
        </w:rPr>
        <w:t>Kit Barker, Peter Cane, Mark Lunney and Francis Trindade, </w:t>
      </w:r>
      <w:r>
        <w:rPr>
          <w:i/>
          <w:w w:val="105"/>
          <w:sz w:val="13"/>
        </w:rPr>
        <w:t>The Law of Torts in Australia </w:t>
      </w:r>
      <w:r>
        <w:rPr>
          <w:spacing w:val="2"/>
          <w:w w:val="105"/>
          <w:sz w:val="13"/>
        </w:rPr>
        <w:t>(Oxford </w:t>
      </w:r>
      <w:r>
        <w:rPr>
          <w:w w:val="105"/>
          <w:sz w:val="13"/>
        </w:rPr>
        <w:t>University Press, 5th ed, 2012). </w:t>
      </w:r>
      <w:r>
        <w:rPr>
          <w:spacing w:val="-3"/>
          <w:w w:val="105"/>
          <w:sz w:val="13"/>
        </w:rPr>
        <w:t>[5.1.7.1]. </w:t>
      </w:r>
      <w:r>
        <w:rPr>
          <w:w w:val="105"/>
          <w:sz w:val="13"/>
        </w:rPr>
        <w:t>87</w:t>
        <w:tab/>
        <w:t>Ibid</w:t>
      </w:r>
      <w:r>
        <w:rPr>
          <w:spacing w:val="4"/>
          <w:w w:val="105"/>
          <w:sz w:val="13"/>
        </w:rPr>
        <w:t> </w:t>
      </w:r>
      <w:r>
        <w:rPr>
          <w:w w:val="105"/>
          <w:sz w:val="13"/>
        </w:rPr>
        <w:t>[5.1.7.2].</w:t>
      </w:r>
    </w:p>
    <w:p>
      <w:pPr>
        <w:pStyle w:val="ListParagraph"/>
        <w:numPr>
          <w:ilvl w:val="0"/>
          <w:numId w:val="28"/>
        </w:numPr>
        <w:tabs>
          <w:tab w:pos="2380" w:val="left" w:leader="none"/>
          <w:tab w:pos="2382" w:val="left" w:leader="none"/>
        </w:tabs>
        <w:spacing w:line="240" w:lineRule="auto" w:before="3" w:after="0"/>
        <w:ind w:left="2381" w:right="1491" w:hanging="794"/>
        <w:jc w:val="left"/>
        <w:rPr>
          <w:sz w:val="13"/>
        </w:rPr>
      </w:pPr>
      <w:r>
        <w:rPr>
          <w:sz w:val="13"/>
        </w:rPr>
        <w:t>LexisNexis, </w:t>
      </w:r>
      <w:r>
        <w:rPr>
          <w:i/>
          <w:sz w:val="13"/>
        </w:rPr>
        <w:t>Halsbury’s The Laws of Australia </w:t>
      </w:r>
      <w:r>
        <w:rPr>
          <w:sz w:val="13"/>
        </w:rPr>
        <w:t>(at 21 March 2018) </w:t>
      </w:r>
      <w:r>
        <w:rPr>
          <w:spacing w:val="-4"/>
          <w:sz w:val="13"/>
        </w:rPr>
        <w:t>415  </w:t>
      </w:r>
      <w:r>
        <w:rPr>
          <w:sz w:val="13"/>
        </w:rPr>
        <w:t>Tort,  ‘Injunctions’  [415-850].  Known  as  a  </w:t>
      </w:r>
      <w:r>
        <w:rPr>
          <w:i/>
          <w:sz w:val="13"/>
        </w:rPr>
        <w:t>quia  timet  </w:t>
      </w:r>
      <w:r>
        <w:rPr>
          <w:spacing w:val="2"/>
          <w:sz w:val="13"/>
        </w:rPr>
        <w:t>(Latin)  </w:t>
      </w:r>
      <w:r>
        <w:rPr>
          <w:sz w:val="13"/>
        </w:rPr>
        <w:t>injunction, meaning ‘because he or she fears’: Peter Butt </w:t>
      </w:r>
      <w:r>
        <w:rPr>
          <w:spacing w:val="2"/>
          <w:sz w:val="13"/>
        </w:rPr>
        <w:t>(ed), </w:t>
      </w:r>
      <w:r>
        <w:rPr>
          <w:i/>
          <w:sz w:val="13"/>
        </w:rPr>
        <w:t>Butterworths’  Concise  Australian  Legal  Dictionary  </w:t>
      </w:r>
      <w:r>
        <w:rPr>
          <w:spacing w:val="2"/>
          <w:sz w:val="13"/>
        </w:rPr>
        <w:t>(LexisNexis/Butterworths,  </w:t>
      </w:r>
      <w:r>
        <w:rPr>
          <w:sz w:val="13"/>
        </w:rPr>
        <w:t>3rd  ed,  </w:t>
      </w:r>
      <w:r>
        <w:rPr>
          <w:spacing w:val="2"/>
          <w:sz w:val="13"/>
        </w:rPr>
        <w:t>2004) </w:t>
      </w:r>
      <w:r>
        <w:rPr>
          <w:sz w:val="13"/>
        </w:rPr>
        <w:t>‘quia</w:t>
      </w:r>
      <w:r>
        <w:rPr>
          <w:spacing w:val="6"/>
          <w:sz w:val="13"/>
        </w:rPr>
        <w:t> </w:t>
      </w:r>
      <w:r>
        <w:rPr>
          <w:sz w:val="13"/>
        </w:rPr>
        <w:t>timet’.</w:t>
      </w:r>
    </w:p>
    <w:p>
      <w:pPr>
        <w:pStyle w:val="ListParagraph"/>
        <w:numPr>
          <w:ilvl w:val="0"/>
          <w:numId w:val="28"/>
        </w:numPr>
        <w:tabs>
          <w:tab w:pos="2381" w:val="left" w:leader="none"/>
          <w:tab w:pos="2382" w:val="left" w:leader="none"/>
        </w:tabs>
        <w:spacing w:line="240" w:lineRule="auto" w:before="4" w:after="0"/>
        <w:ind w:left="2381" w:right="1439" w:hanging="794"/>
        <w:jc w:val="left"/>
        <w:rPr>
          <w:sz w:val="13"/>
        </w:rPr>
      </w:pPr>
      <w:r>
        <w:rPr>
          <w:i/>
          <w:w w:val="105"/>
          <w:sz w:val="13"/>
        </w:rPr>
        <w:t>Robson v Leischke </w:t>
      </w:r>
      <w:r>
        <w:rPr>
          <w:spacing w:val="2"/>
          <w:w w:val="105"/>
          <w:sz w:val="13"/>
        </w:rPr>
        <w:t>(2008) </w:t>
      </w:r>
      <w:r>
        <w:rPr>
          <w:w w:val="105"/>
          <w:sz w:val="13"/>
        </w:rPr>
        <w:t>72 </w:t>
      </w:r>
      <w:r>
        <w:rPr>
          <w:spacing w:val="2"/>
          <w:w w:val="105"/>
          <w:sz w:val="13"/>
        </w:rPr>
        <w:t>NSWLR </w:t>
      </w:r>
      <w:r>
        <w:rPr>
          <w:w w:val="105"/>
          <w:sz w:val="13"/>
        </w:rPr>
        <w:t>98 </w:t>
      </w:r>
      <w:r>
        <w:rPr>
          <w:spacing w:val="4"/>
          <w:w w:val="105"/>
          <w:sz w:val="13"/>
        </w:rPr>
        <w:t>[58], </w:t>
      </w:r>
      <w:r>
        <w:rPr>
          <w:spacing w:val="2"/>
          <w:w w:val="105"/>
          <w:sz w:val="13"/>
        </w:rPr>
        <w:t>[67]. </w:t>
      </w:r>
      <w:r>
        <w:rPr>
          <w:w w:val="105"/>
          <w:sz w:val="13"/>
        </w:rPr>
        <w:t>An affected neighbour may also seek an injunction before the hearing (an interlocutory injunction), but only if there is a ‘serious question to be tried’ and if it is appropriate on ‘the balance of convenience’ to restrain the tree owner   in</w:t>
      </w:r>
      <w:r>
        <w:rPr>
          <w:spacing w:val="5"/>
          <w:w w:val="105"/>
          <w:sz w:val="13"/>
        </w:rPr>
        <w:t> </w:t>
      </w:r>
      <w:r>
        <w:rPr>
          <w:w w:val="105"/>
          <w:sz w:val="13"/>
        </w:rPr>
        <w:t>such</w:t>
      </w:r>
      <w:r>
        <w:rPr>
          <w:spacing w:val="5"/>
          <w:w w:val="105"/>
          <w:sz w:val="13"/>
        </w:rPr>
        <w:t> </w:t>
      </w:r>
      <w:r>
        <w:rPr>
          <w:w w:val="105"/>
          <w:sz w:val="13"/>
        </w:rPr>
        <w:t>a</w:t>
      </w:r>
      <w:r>
        <w:rPr>
          <w:spacing w:val="5"/>
          <w:w w:val="105"/>
          <w:sz w:val="13"/>
        </w:rPr>
        <w:t> </w:t>
      </w:r>
      <w:r>
        <w:rPr>
          <w:w w:val="105"/>
          <w:sz w:val="13"/>
        </w:rPr>
        <w:t>way</w:t>
      </w:r>
      <w:r>
        <w:rPr>
          <w:spacing w:val="6"/>
          <w:w w:val="105"/>
          <w:sz w:val="13"/>
        </w:rPr>
        <w:t> </w:t>
      </w:r>
      <w:r>
        <w:rPr>
          <w:w w:val="105"/>
          <w:sz w:val="13"/>
        </w:rPr>
        <w:t>before</w:t>
      </w:r>
      <w:r>
        <w:rPr>
          <w:spacing w:val="5"/>
          <w:w w:val="105"/>
          <w:sz w:val="13"/>
        </w:rPr>
        <w:t> </w:t>
      </w:r>
      <w:r>
        <w:rPr>
          <w:w w:val="105"/>
          <w:sz w:val="13"/>
        </w:rPr>
        <w:t>the</w:t>
      </w:r>
      <w:r>
        <w:rPr>
          <w:spacing w:val="5"/>
          <w:w w:val="105"/>
          <w:sz w:val="13"/>
        </w:rPr>
        <w:t> </w:t>
      </w:r>
      <w:r>
        <w:rPr>
          <w:w w:val="105"/>
          <w:sz w:val="13"/>
        </w:rPr>
        <w:t>hearing:</w:t>
      </w:r>
      <w:r>
        <w:rPr>
          <w:spacing w:val="5"/>
          <w:w w:val="105"/>
          <w:sz w:val="13"/>
        </w:rPr>
        <w:t> </w:t>
      </w:r>
      <w:r>
        <w:rPr>
          <w:i/>
          <w:w w:val="105"/>
          <w:sz w:val="13"/>
        </w:rPr>
        <w:t>Australian</w:t>
      </w:r>
      <w:r>
        <w:rPr>
          <w:i/>
          <w:spacing w:val="6"/>
          <w:w w:val="105"/>
          <w:sz w:val="13"/>
        </w:rPr>
        <w:t> </w:t>
      </w:r>
      <w:r>
        <w:rPr>
          <w:i/>
          <w:w w:val="105"/>
          <w:sz w:val="13"/>
        </w:rPr>
        <w:t>Broadcasting</w:t>
      </w:r>
      <w:r>
        <w:rPr>
          <w:i/>
          <w:spacing w:val="5"/>
          <w:w w:val="105"/>
          <w:sz w:val="13"/>
        </w:rPr>
        <w:t> </w:t>
      </w:r>
      <w:r>
        <w:rPr>
          <w:i/>
          <w:w w:val="105"/>
          <w:sz w:val="13"/>
        </w:rPr>
        <w:t>Corporation</w:t>
      </w:r>
      <w:r>
        <w:rPr>
          <w:i/>
          <w:spacing w:val="5"/>
          <w:w w:val="105"/>
          <w:sz w:val="13"/>
        </w:rPr>
        <w:t> </w:t>
      </w:r>
      <w:r>
        <w:rPr>
          <w:i/>
          <w:w w:val="105"/>
          <w:sz w:val="13"/>
        </w:rPr>
        <w:t>v</w:t>
      </w:r>
      <w:r>
        <w:rPr>
          <w:i/>
          <w:spacing w:val="6"/>
          <w:w w:val="105"/>
          <w:sz w:val="13"/>
        </w:rPr>
        <w:t> </w:t>
      </w:r>
      <w:r>
        <w:rPr>
          <w:i/>
          <w:w w:val="105"/>
          <w:sz w:val="13"/>
        </w:rPr>
        <w:t>O’Neill</w:t>
      </w:r>
      <w:r>
        <w:rPr>
          <w:i/>
          <w:spacing w:val="5"/>
          <w:w w:val="105"/>
          <w:sz w:val="13"/>
        </w:rPr>
        <w:t> </w:t>
      </w:r>
      <w:r>
        <w:rPr>
          <w:spacing w:val="2"/>
          <w:w w:val="105"/>
          <w:sz w:val="13"/>
        </w:rPr>
        <w:t>(2006)</w:t>
      </w:r>
      <w:r>
        <w:rPr>
          <w:spacing w:val="5"/>
          <w:w w:val="105"/>
          <w:sz w:val="13"/>
        </w:rPr>
        <w:t> </w:t>
      </w:r>
      <w:r>
        <w:rPr>
          <w:w w:val="105"/>
          <w:sz w:val="13"/>
        </w:rPr>
        <w:t>227</w:t>
      </w:r>
      <w:r>
        <w:rPr>
          <w:spacing w:val="5"/>
          <w:w w:val="105"/>
          <w:sz w:val="13"/>
        </w:rPr>
        <w:t> </w:t>
      </w:r>
      <w:r>
        <w:rPr>
          <w:w w:val="105"/>
          <w:sz w:val="13"/>
        </w:rPr>
        <w:t>CLR</w:t>
      </w:r>
      <w:r>
        <w:rPr>
          <w:spacing w:val="6"/>
          <w:w w:val="105"/>
          <w:sz w:val="13"/>
        </w:rPr>
        <w:t> </w:t>
      </w:r>
      <w:r>
        <w:rPr>
          <w:w w:val="105"/>
          <w:sz w:val="13"/>
        </w:rPr>
        <w:t>57</w:t>
      </w:r>
      <w:r>
        <w:rPr>
          <w:spacing w:val="5"/>
          <w:w w:val="105"/>
          <w:sz w:val="13"/>
        </w:rPr>
        <w:t> </w:t>
      </w:r>
      <w:r>
        <w:rPr>
          <w:w w:val="105"/>
          <w:sz w:val="13"/>
        </w:rPr>
        <w:t>[19].</w:t>
      </w:r>
    </w:p>
    <w:p>
      <w:pPr>
        <w:pStyle w:val="ListParagraph"/>
        <w:numPr>
          <w:ilvl w:val="0"/>
          <w:numId w:val="28"/>
        </w:numPr>
        <w:tabs>
          <w:tab w:pos="2381" w:val="left" w:leader="none"/>
          <w:tab w:pos="2382" w:val="left" w:leader="none"/>
        </w:tabs>
        <w:spacing w:line="240" w:lineRule="auto" w:before="4" w:after="0"/>
        <w:ind w:left="2381" w:right="1569" w:hanging="794"/>
        <w:jc w:val="left"/>
        <w:rPr>
          <w:sz w:val="13"/>
        </w:rPr>
      </w:pPr>
      <w:r>
        <w:rPr>
          <w:sz w:val="13"/>
        </w:rPr>
        <w:t>Paula Giliker, ‘Nuisance’ in Carolyn Sappideen and Prue Vines </w:t>
      </w:r>
      <w:r>
        <w:rPr>
          <w:spacing w:val="2"/>
          <w:sz w:val="13"/>
        </w:rPr>
        <w:t>(eds), </w:t>
      </w:r>
      <w:r>
        <w:rPr>
          <w:i/>
          <w:sz w:val="13"/>
        </w:rPr>
        <w:t>Fleming’s The Law of Torts </w:t>
      </w:r>
      <w:r>
        <w:rPr>
          <w:spacing w:val="2"/>
          <w:sz w:val="13"/>
        </w:rPr>
        <w:t>(Lawbook  </w:t>
      </w:r>
      <w:r>
        <w:rPr>
          <w:sz w:val="13"/>
        </w:rPr>
        <w:t>Co.,  10th  ed,  </w:t>
      </w:r>
      <w:r>
        <w:rPr>
          <w:spacing w:val="-4"/>
          <w:sz w:val="13"/>
        </w:rPr>
        <w:t>2011)  </w:t>
      </w:r>
      <w:r>
        <w:rPr>
          <w:sz w:val="13"/>
        </w:rPr>
        <w:t>487  [21.260]; </w:t>
      </w:r>
      <w:r>
        <w:rPr>
          <w:i/>
          <w:sz w:val="13"/>
        </w:rPr>
        <w:t>Overseas Tankship </w:t>
      </w:r>
      <w:r>
        <w:rPr>
          <w:i/>
          <w:spacing w:val="2"/>
          <w:sz w:val="13"/>
        </w:rPr>
        <w:t>(UK) </w:t>
      </w:r>
      <w:r>
        <w:rPr>
          <w:i/>
          <w:sz w:val="13"/>
        </w:rPr>
        <w:t>Ltd v The Miller Steamship Co </w:t>
      </w:r>
      <w:r>
        <w:rPr>
          <w:spacing w:val="2"/>
          <w:sz w:val="13"/>
        </w:rPr>
        <w:t>(The </w:t>
      </w:r>
      <w:r>
        <w:rPr>
          <w:sz w:val="13"/>
        </w:rPr>
        <w:t>Wagon Mound No. 2) [1967] 1 AC </w:t>
      </w:r>
      <w:r>
        <w:rPr>
          <w:spacing w:val="-6"/>
          <w:sz w:val="13"/>
        </w:rPr>
        <w:t>617.  </w:t>
      </w:r>
      <w:r>
        <w:rPr>
          <w:sz w:val="13"/>
        </w:rPr>
        <w:t>Damages are particularly suitable for tree     disputes</w:t>
      </w:r>
      <w:r>
        <w:rPr>
          <w:spacing w:val="14"/>
          <w:sz w:val="13"/>
        </w:rPr>
        <w:t> </w:t>
      </w:r>
      <w:r>
        <w:rPr>
          <w:sz w:val="13"/>
        </w:rPr>
        <w:t>where</w:t>
      </w:r>
      <w:r>
        <w:rPr>
          <w:spacing w:val="15"/>
          <w:sz w:val="13"/>
        </w:rPr>
        <w:t> </w:t>
      </w:r>
      <w:r>
        <w:rPr>
          <w:sz w:val="13"/>
        </w:rPr>
        <w:t>an</w:t>
      </w:r>
      <w:r>
        <w:rPr>
          <w:spacing w:val="15"/>
          <w:sz w:val="13"/>
        </w:rPr>
        <w:t> </w:t>
      </w:r>
      <w:r>
        <w:rPr>
          <w:sz w:val="13"/>
        </w:rPr>
        <w:t>injunction</w:t>
      </w:r>
      <w:r>
        <w:rPr>
          <w:spacing w:val="15"/>
          <w:sz w:val="13"/>
        </w:rPr>
        <w:t> </w:t>
      </w:r>
      <w:r>
        <w:rPr>
          <w:sz w:val="13"/>
        </w:rPr>
        <w:t>would</w:t>
      </w:r>
      <w:r>
        <w:rPr>
          <w:spacing w:val="15"/>
          <w:sz w:val="13"/>
        </w:rPr>
        <w:t> </w:t>
      </w:r>
      <w:r>
        <w:rPr>
          <w:sz w:val="13"/>
        </w:rPr>
        <w:t>be</w:t>
      </w:r>
      <w:r>
        <w:rPr>
          <w:spacing w:val="15"/>
          <w:sz w:val="13"/>
        </w:rPr>
        <w:t> </w:t>
      </w:r>
      <w:r>
        <w:rPr>
          <w:sz w:val="13"/>
        </w:rPr>
        <w:t>ineffective,</w:t>
      </w:r>
      <w:r>
        <w:rPr>
          <w:spacing w:val="15"/>
          <w:sz w:val="13"/>
        </w:rPr>
        <w:t> </w:t>
      </w:r>
      <w:r>
        <w:rPr>
          <w:sz w:val="13"/>
        </w:rPr>
        <w:t>such</w:t>
      </w:r>
      <w:r>
        <w:rPr>
          <w:spacing w:val="15"/>
          <w:sz w:val="13"/>
        </w:rPr>
        <w:t> </w:t>
      </w:r>
      <w:r>
        <w:rPr>
          <w:sz w:val="13"/>
        </w:rPr>
        <w:t>as</w:t>
      </w:r>
      <w:r>
        <w:rPr>
          <w:spacing w:val="15"/>
          <w:sz w:val="13"/>
        </w:rPr>
        <w:t> </w:t>
      </w:r>
      <w:r>
        <w:rPr>
          <w:sz w:val="13"/>
        </w:rPr>
        <w:t>when</w:t>
      </w:r>
      <w:r>
        <w:rPr>
          <w:spacing w:val="15"/>
          <w:sz w:val="13"/>
        </w:rPr>
        <w:t> </w:t>
      </w:r>
      <w:r>
        <w:rPr>
          <w:sz w:val="13"/>
        </w:rPr>
        <w:t>the</w:t>
      </w:r>
      <w:r>
        <w:rPr>
          <w:spacing w:val="15"/>
          <w:sz w:val="13"/>
        </w:rPr>
        <w:t> </w:t>
      </w:r>
      <w:r>
        <w:rPr>
          <w:sz w:val="13"/>
        </w:rPr>
        <w:t>dispute</w:t>
      </w:r>
      <w:r>
        <w:rPr>
          <w:spacing w:val="15"/>
          <w:sz w:val="13"/>
        </w:rPr>
        <w:t> </w:t>
      </w:r>
      <w:r>
        <w:rPr>
          <w:sz w:val="13"/>
        </w:rPr>
        <w:t>concerns</w:t>
      </w:r>
      <w:r>
        <w:rPr>
          <w:spacing w:val="15"/>
          <w:sz w:val="13"/>
        </w:rPr>
        <w:t> </w:t>
      </w:r>
      <w:r>
        <w:rPr>
          <w:sz w:val="13"/>
        </w:rPr>
        <w:t>interferences</w:t>
      </w:r>
      <w:r>
        <w:rPr>
          <w:spacing w:val="15"/>
          <w:sz w:val="13"/>
        </w:rPr>
        <w:t> </w:t>
      </w:r>
      <w:r>
        <w:rPr>
          <w:sz w:val="13"/>
        </w:rPr>
        <w:t>causing</w:t>
      </w:r>
      <w:r>
        <w:rPr>
          <w:spacing w:val="15"/>
          <w:sz w:val="13"/>
        </w:rPr>
        <w:t> </w:t>
      </w:r>
      <w:r>
        <w:rPr>
          <w:sz w:val="13"/>
        </w:rPr>
        <w:t>damage</w:t>
      </w:r>
      <w:r>
        <w:rPr>
          <w:spacing w:val="15"/>
          <w:sz w:val="13"/>
        </w:rPr>
        <w:t> </w:t>
      </w:r>
      <w:r>
        <w:rPr>
          <w:sz w:val="13"/>
        </w:rPr>
        <w:t>to</w:t>
      </w:r>
      <w:r>
        <w:rPr>
          <w:spacing w:val="15"/>
          <w:sz w:val="13"/>
        </w:rPr>
        <w:t> </w:t>
      </w:r>
      <w:r>
        <w:rPr>
          <w:sz w:val="13"/>
        </w:rPr>
        <w:t>property.</w:t>
      </w:r>
    </w:p>
    <w:p>
      <w:pPr>
        <w:pStyle w:val="ListParagraph"/>
        <w:numPr>
          <w:ilvl w:val="0"/>
          <w:numId w:val="28"/>
        </w:numPr>
        <w:tabs>
          <w:tab w:pos="2381" w:val="left" w:leader="none"/>
          <w:tab w:pos="2382" w:val="left" w:leader="none"/>
        </w:tabs>
        <w:spacing w:line="240" w:lineRule="auto" w:before="4" w:after="0"/>
        <w:ind w:left="2381" w:right="1438" w:hanging="794"/>
        <w:jc w:val="left"/>
        <w:rPr>
          <w:sz w:val="13"/>
        </w:rPr>
      </w:pPr>
      <w:r>
        <w:rPr>
          <w:w w:val="105"/>
          <w:sz w:val="13"/>
        </w:rPr>
        <w:t>Paula Giliker, ‘Nuisance’ in Carolyn Sappideen and Prue Vines </w:t>
      </w:r>
      <w:r>
        <w:rPr>
          <w:spacing w:val="2"/>
          <w:w w:val="105"/>
          <w:sz w:val="13"/>
        </w:rPr>
        <w:t>(eds), </w:t>
      </w:r>
      <w:r>
        <w:rPr>
          <w:i/>
          <w:w w:val="105"/>
          <w:sz w:val="13"/>
        </w:rPr>
        <w:t>Fleming’s The Law of Torts </w:t>
      </w:r>
      <w:r>
        <w:rPr>
          <w:spacing w:val="2"/>
          <w:w w:val="105"/>
          <w:sz w:val="13"/>
        </w:rPr>
        <w:t>(Lawbook </w:t>
      </w:r>
      <w:r>
        <w:rPr>
          <w:w w:val="105"/>
          <w:sz w:val="13"/>
        </w:rPr>
        <w:t>Co., 10th ed, </w:t>
      </w:r>
      <w:r>
        <w:rPr>
          <w:spacing w:val="-4"/>
          <w:w w:val="105"/>
          <w:sz w:val="13"/>
        </w:rPr>
        <w:t>2011)  </w:t>
      </w:r>
      <w:r>
        <w:rPr>
          <w:w w:val="105"/>
          <w:sz w:val="13"/>
        </w:rPr>
        <w:t>487 [21.260].       See also </w:t>
      </w:r>
      <w:r>
        <w:rPr>
          <w:i/>
          <w:w w:val="105"/>
          <w:sz w:val="13"/>
        </w:rPr>
        <w:t>Robson v Leischke </w:t>
      </w:r>
      <w:r>
        <w:rPr>
          <w:spacing w:val="2"/>
          <w:w w:val="105"/>
          <w:sz w:val="13"/>
        </w:rPr>
        <w:t>(2008) </w:t>
      </w:r>
      <w:r>
        <w:rPr>
          <w:w w:val="105"/>
          <w:sz w:val="13"/>
        </w:rPr>
        <w:t>72 </w:t>
      </w:r>
      <w:r>
        <w:rPr>
          <w:spacing w:val="2"/>
          <w:w w:val="105"/>
          <w:sz w:val="13"/>
        </w:rPr>
        <w:t>NSWLR </w:t>
      </w:r>
      <w:r>
        <w:rPr>
          <w:w w:val="105"/>
          <w:sz w:val="13"/>
        </w:rPr>
        <w:t>98 [216]; </w:t>
      </w:r>
      <w:r>
        <w:rPr>
          <w:i/>
          <w:w w:val="105"/>
          <w:sz w:val="13"/>
        </w:rPr>
        <w:t>Hunter v Canary Wharf Ltd </w:t>
      </w:r>
      <w:r>
        <w:rPr>
          <w:w w:val="105"/>
          <w:sz w:val="13"/>
        </w:rPr>
        <w:t>[1997] AC 655, 706. However, where interference is caused without materially damaging the property, damages cannot be awarded for a decrease in the value of the affected neighbour’s property. This      is because damages for nuisance seek to provide relief for infringement of the right to use and enjoy the land. Thus, damages compensate for   the plaintiff’s subjective experience of past discomfort or inconvenience: Thomson Reuters, </w:t>
      </w:r>
      <w:r>
        <w:rPr>
          <w:i/>
          <w:w w:val="105"/>
          <w:sz w:val="13"/>
        </w:rPr>
        <w:t>The Laws of Australia </w:t>
      </w:r>
      <w:r>
        <w:rPr>
          <w:w w:val="105"/>
          <w:sz w:val="13"/>
        </w:rPr>
        <w:t>(at 1 June 2016) 33 Torts, ’7 Nuisance’ [33.7.880]. Equitable damages </w:t>
      </w:r>
      <w:r>
        <w:rPr>
          <w:spacing w:val="2"/>
          <w:w w:val="105"/>
          <w:sz w:val="13"/>
        </w:rPr>
        <w:t>(cf </w:t>
      </w:r>
      <w:r>
        <w:rPr>
          <w:w w:val="105"/>
          <w:sz w:val="13"/>
        </w:rPr>
        <w:t>common law damages), instead of an injunction for future nuisance (quia timet injunction), may      be</w:t>
      </w:r>
      <w:r>
        <w:rPr>
          <w:spacing w:val="5"/>
          <w:w w:val="105"/>
          <w:sz w:val="13"/>
        </w:rPr>
        <w:t> </w:t>
      </w:r>
      <w:r>
        <w:rPr>
          <w:w w:val="105"/>
          <w:sz w:val="13"/>
        </w:rPr>
        <w:t>awarded</w:t>
      </w:r>
      <w:r>
        <w:rPr>
          <w:spacing w:val="5"/>
          <w:w w:val="105"/>
          <w:sz w:val="13"/>
        </w:rPr>
        <w:t> </w:t>
      </w:r>
      <w:r>
        <w:rPr>
          <w:w w:val="105"/>
          <w:sz w:val="13"/>
        </w:rPr>
        <w:t>in</w:t>
      </w:r>
      <w:r>
        <w:rPr>
          <w:spacing w:val="6"/>
          <w:w w:val="105"/>
          <w:sz w:val="13"/>
        </w:rPr>
        <w:t> </w:t>
      </w:r>
      <w:r>
        <w:rPr>
          <w:w w:val="105"/>
          <w:sz w:val="13"/>
        </w:rPr>
        <w:t>rare</w:t>
      </w:r>
      <w:r>
        <w:rPr>
          <w:spacing w:val="5"/>
          <w:w w:val="105"/>
          <w:sz w:val="13"/>
        </w:rPr>
        <w:t> </w:t>
      </w:r>
      <w:r>
        <w:rPr>
          <w:w w:val="105"/>
          <w:sz w:val="13"/>
        </w:rPr>
        <w:t>circumstances:</w:t>
      </w:r>
      <w:r>
        <w:rPr>
          <w:spacing w:val="6"/>
          <w:w w:val="105"/>
          <w:sz w:val="13"/>
        </w:rPr>
        <w:t> </w:t>
      </w:r>
      <w:r>
        <w:rPr>
          <w:w w:val="105"/>
          <w:sz w:val="13"/>
        </w:rPr>
        <w:t>Thomson</w:t>
      </w:r>
      <w:r>
        <w:rPr>
          <w:spacing w:val="5"/>
          <w:w w:val="105"/>
          <w:sz w:val="13"/>
        </w:rPr>
        <w:t> </w:t>
      </w:r>
      <w:r>
        <w:rPr>
          <w:w w:val="105"/>
          <w:sz w:val="13"/>
        </w:rPr>
        <w:t>Reuters,</w:t>
      </w:r>
      <w:r>
        <w:rPr>
          <w:spacing w:val="6"/>
          <w:w w:val="105"/>
          <w:sz w:val="13"/>
        </w:rPr>
        <w:t> </w:t>
      </w:r>
      <w:r>
        <w:rPr>
          <w:i/>
          <w:w w:val="105"/>
          <w:sz w:val="13"/>
        </w:rPr>
        <w:t>The</w:t>
      </w:r>
      <w:r>
        <w:rPr>
          <w:i/>
          <w:spacing w:val="5"/>
          <w:w w:val="105"/>
          <w:sz w:val="13"/>
        </w:rPr>
        <w:t> </w:t>
      </w:r>
      <w:r>
        <w:rPr>
          <w:i/>
          <w:w w:val="105"/>
          <w:sz w:val="13"/>
        </w:rPr>
        <w:t>Laws</w:t>
      </w:r>
      <w:r>
        <w:rPr>
          <w:i/>
          <w:spacing w:val="5"/>
          <w:w w:val="105"/>
          <w:sz w:val="13"/>
        </w:rPr>
        <w:t> </w:t>
      </w:r>
      <w:r>
        <w:rPr>
          <w:i/>
          <w:w w:val="105"/>
          <w:sz w:val="13"/>
        </w:rPr>
        <w:t>of</w:t>
      </w:r>
      <w:r>
        <w:rPr>
          <w:i/>
          <w:spacing w:val="6"/>
          <w:w w:val="105"/>
          <w:sz w:val="13"/>
        </w:rPr>
        <w:t> </w:t>
      </w:r>
      <w:r>
        <w:rPr>
          <w:i/>
          <w:w w:val="105"/>
          <w:sz w:val="13"/>
        </w:rPr>
        <w:t>Australia</w:t>
      </w:r>
      <w:r>
        <w:rPr>
          <w:i/>
          <w:spacing w:val="5"/>
          <w:w w:val="105"/>
          <w:sz w:val="13"/>
        </w:rPr>
        <w:t> </w:t>
      </w:r>
      <w:r>
        <w:rPr>
          <w:w w:val="105"/>
          <w:sz w:val="13"/>
        </w:rPr>
        <w:t>(at</w:t>
      </w:r>
      <w:r>
        <w:rPr>
          <w:spacing w:val="6"/>
          <w:w w:val="105"/>
          <w:sz w:val="13"/>
        </w:rPr>
        <w:t> </w:t>
      </w:r>
      <w:r>
        <w:rPr>
          <w:w w:val="105"/>
          <w:sz w:val="13"/>
        </w:rPr>
        <w:t>1</w:t>
      </w:r>
      <w:r>
        <w:rPr>
          <w:spacing w:val="5"/>
          <w:w w:val="105"/>
          <w:sz w:val="13"/>
        </w:rPr>
        <w:t> </w:t>
      </w:r>
      <w:r>
        <w:rPr>
          <w:w w:val="105"/>
          <w:sz w:val="13"/>
        </w:rPr>
        <w:t>June</w:t>
      </w:r>
      <w:r>
        <w:rPr>
          <w:spacing w:val="6"/>
          <w:w w:val="105"/>
          <w:sz w:val="13"/>
        </w:rPr>
        <w:t> </w:t>
      </w:r>
      <w:r>
        <w:rPr>
          <w:w w:val="105"/>
          <w:sz w:val="13"/>
        </w:rPr>
        <w:t>2016)</w:t>
      </w:r>
      <w:r>
        <w:rPr>
          <w:spacing w:val="5"/>
          <w:w w:val="105"/>
          <w:sz w:val="13"/>
        </w:rPr>
        <w:t> </w:t>
      </w:r>
      <w:r>
        <w:rPr>
          <w:w w:val="105"/>
          <w:sz w:val="13"/>
        </w:rPr>
        <w:t>33</w:t>
      </w:r>
      <w:r>
        <w:rPr>
          <w:spacing w:val="5"/>
          <w:w w:val="105"/>
          <w:sz w:val="13"/>
        </w:rPr>
        <w:t> </w:t>
      </w:r>
      <w:r>
        <w:rPr>
          <w:w w:val="105"/>
          <w:sz w:val="13"/>
        </w:rPr>
        <w:t>Torts,</w:t>
      </w:r>
      <w:r>
        <w:rPr>
          <w:spacing w:val="6"/>
          <w:w w:val="105"/>
          <w:sz w:val="13"/>
        </w:rPr>
        <w:t> </w:t>
      </w:r>
      <w:r>
        <w:rPr>
          <w:w w:val="105"/>
          <w:sz w:val="13"/>
        </w:rPr>
        <w:t>’7</w:t>
      </w:r>
      <w:r>
        <w:rPr>
          <w:spacing w:val="5"/>
          <w:w w:val="105"/>
          <w:sz w:val="13"/>
        </w:rPr>
        <w:t> </w:t>
      </w:r>
      <w:r>
        <w:rPr>
          <w:w w:val="105"/>
          <w:sz w:val="13"/>
        </w:rPr>
        <w:t>Nuisance’</w:t>
      </w:r>
      <w:r>
        <w:rPr>
          <w:spacing w:val="6"/>
          <w:w w:val="105"/>
          <w:sz w:val="13"/>
        </w:rPr>
        <w:t> </w:t>
      </w:r>
      <w:r>
        <w:rPr>
          <w:w w:val="105"/>
          <w:sz w:val="13"/>
        </w:rPr>
        <w:t>[33.7.890].</w:t>
      </w:r>
    </w:p>
    <w:p>
      <w:pPr>
        <w:pStyle w:val="ListParagraph"/>
        <w:numPr>
          <w:ilvl w:val="0"/>
          <w:numId w:val="28"/>
        </w:numPr>
        <w:tabs>
          <w:tab w:pos="2381" w:val="left" w:leader="none"/>
          <w:tab w:pos="2382" w:val="left" w:leader="none"/>
        </w:tabs>
        <w:spacing w:line="240" w:lineRule="auto" w:before="9" w:after="0"/>
        <w:ind w:left="2381" w:right="0" w:hanging="794"/>
        <w:jc w:val="left"/>
        <w:rPr>
          <w:sz w:val="13"/>
        </w:rPr>
      </w:pPr>
      <w:r>
        <w:rPr>
          <w:w w:val="105"/>
          <w:sz w:val="13"/>
        </w:rPr>
        <w:t>Kit</w:t>
      </w:r>
      <w:r>
        <w:rPr>
          <w:spacing w:val="4"/>
          <w:w w:val="105"/>
          <w:sz w:val="13"/>
        </w:rPr>
        <w:t> </w:t>
      </w:r>
      <w:r>
        <w:rPr>
          <w:w w:val="105"/>
          <w:sz w:val="13"/>
        </w:rPr>
        <w:t>Barker,</w:t>
      </w:r>
      <w:r>
        <w:rPr>
          <w:spacing w:val="4"/>
          <w:w w:val="105"/>
          <w:sz w:val="13"/>
        </w:rPr>
        <w:t> </w:t>
      </w:r>
      <w:r>
        <w:rPr>
          <w:w w:val="105"/>
          <w:sz w:val="13"/>
        </w:rPr>
        <w:t>Peter</w:t>
      </w:r>
      <w:r>
        <w:rPr>
          <w:spacing w:val="4"/>
          <w:w w:val="105"/>
          <w:sz w:val="13"/>
        </w:rPr>
        <w:t> </w:t>
      </w:r>
      <w:r>
        <w:rPr>
          <w:w w:val="105"/>
          <w:sz w:val="13"/>
        </w:rPr>
        <w:t>Cane,</w:t>
      </w:r>
      <w:r>
        <w:rPr>
          <w:spacing w:val="4"/>
          <w:w w:val="105"/>
          <w:sz w:val="13"/>
        </w:rPr>
        <w:t> </w:t>
      </w:r>
      <w:r>
        <w:rPr>
          <w:w w:val="105"/>
          <w:sz w:val="13"/>
        </w:rPr>
        <w:t>Mark</w:t>
      </w:r>
      <w:r>
        <w:rPr>
          <w:spacing w:val="4"/>
          <w:w w:val="105"/>
          <w:sz w:val="13"/>
        </w:rPr>
        <w:t> </w:t>
      </w:r>
      <w:r>
        <w:rPr>
          <w:w w:val="105"/>
          <w:sz w:val="13"/>
        </w:rPr>
        <w:t>Lunney</w:t>
      </w:r>
      <w:r>
        <w:rPr>
          <w:spacing w:val="4"/>
          <w:w w:val="105"/>
          <w:sz w:val="13"/>
        </w:rPr>
        <w:t> </w:t>
      </w:r>
      <w:r>
        <w:rPr>
          <w:w w:val="105"/>
          <w:sz w:val="13"/>
        </w:rPr>
        <w:t>and</w:t>
      </w:r>
      <w:r>
        <w:rPr>
          <w:spacing w:val="4"/>
          <w:w w:val="105"/>
          <w:sz w:val="13"/>
        </w:rPr>
        <w:t> </w:t>
      </w:r>
      <w:r>
        <w:rPr>
          <w:w w:val="105"/>
          <w:sz w:val="13"/>
        </w:rPr>
        <w:t>Francis</w:t>
      </w:r>
      <w:r>
        <w:rPr>
          <w:spacing w:val="4"/>
          <w:w w:val="105"/>
          <w:sz w:val="13"/>
        </w:rPr>
        <w:t> </w:t>
      </w:r>
      <w:r>
        <w:rPr>
          <w:w w:val="105"/>
          <w:sz w:val="13"/>
        </w:rPr>
        <w:t>Trindade,</w:t>
      </w:r>
      <w:r>
        <w:rPr>
          <w:spacing w:val="4"/>
          <w:w w:val="105"/>
          <w:sz w:val="13"/>
        </w:rPr>
        <w:t> </w:t>
      </w:r>
      <w:r>
        <w:rPr>
          <w:i/>
          <w:w w:val="105"/>
          <w:sz w:val="13"/>
        </w:rPr>
        <w:t>The</w:t>
      </w:r>
      <w:r>
        <w:rPr>
          <w:i/>
          <w:spacing w:val="4"/>
          <w:w w:val="105"/>
          <w:sz w:val="13"/>
        </w:rPr>
        <w:t> </w:t>
      </w:r>
      <w:r>
        <w:rPr>
          <w:i/>
          <w:w w:val="105"/>
          <w:sz w:val="13"/>
        </w:rPr>
        <w:t>Law</w:t>
      </w:r>
      <w:r>
        <w:rPr>
          <w:i/>
          <w:spacing w:val="4"/>
          <w:w w:val="105"/>
          <w:sz w:val="13"/>
        </w:rPr>
        <w:t> </w:t>
      </w:r>
      <w:r>
        <w:rPr>
          <w:i/>
          <w:w w:val="105"/>
          <w:sz w:val="13"/>
        </w:rPr>
        <w:t>of</w:t>
      </w:r>
      <w:r>
        <w:rPr>
          <w:i/>
          <w:spacing w:val="5"/>
          <w:w w:val="105"/>
          <w:sz w:val="13"/>
        </w:rPr>
        <w:t> </w:t>
      </w:r>
      <w:r>
        <w:rPr>
          <w:i/>
          <w:w w:val="105"/>
          <w:sz w:val="13"/>
        </w:rPr>
        <w:t>Torts</w:t>
      </w:r>
      <w:r>
        <w:rPr>
          <w:i/>
          <w:spacing w:val="4"/>
          <w:w w:val="105"/>
          <w:sz w:val="13"/>
        </w:rPr>
        <w:t> </w:t>
      </w:r>
      <w:r>
        <w:rPr>
          <w:i/>
          <w:w w:val="105"/>
          <w:sz w:val="13"/>
        </w:rPr>
        <w:t>in</w:t>
      </w:r>
      <w:r>
        <w:rPr>
          <w:i/>
          <w:spacing w:val="4"/>
          <w:w w:val="105"/>
          <w:sz w:val="13"/>
        </w:rPr>
        <w:t> </w:t>
      </w:r>
      <w:r>
        <w:rPr>
          <w:i/>
          <w:w w:val="105"/>
          <w:sz w:val="13"/>
        </w:rPr>
        <w:t>Australia</w:t>
      </w:r>
      <w:r>
        <w:rPr>
          <w:i/>
          <w:spacing w:val="4"/>
          <w:w w:val="105"/>
          <w:sz w:val="13"/>
        </w:rPr>
        <w:t> </w:t>
      </w:r>
      <w:r>
        <w:rPr>
          <w:spacing w:val="2"/>
          <w:w w:val="105"/>
          <w:sz w:val="13"/>
        </w:rPr>
        <w:t>(Oxford</w:t>
      </w:r>
      <w:r>
        <w:rPr>
          <w:spacing w:val="4"/>
          <w:w w:val="105"/>
          <w:sz w:val="13"/>
        </w:rPr>
        <w:t> </w:t>
      </w:r>
      <w:r>
        <w:rPr>
          <w:w w:val="105"/>
          <w:sz w:val="13"/>
        </w:rPr>
        <w:t>University</w:t>
      </w:r>
      <w:r>
        <w:rPr>
          <w:spacing w:val="4"/>
          <w:w w:val="105"/>
          <w:sz w:val="13"/>
        </w:rPr>
        <w:t> </w:t>
      </w:r>
      <w:r>
        <w:rPr>
          <w:w w:val="105"/>
          <w:sz w:val="13"/>
        </w:rPr>
        <w:t>Press,</w:t>
      </w:r>
      <w:r>
        <w:rPr>
          <w:spacing w:val="4"/>
          <w:w w:val="105"/>
          <w:sz w:val="13"/>
        </w:rPr>
        <w:t> </w:t>
      </w:r>
      <w:r>
        <w:rPr>
          <w:w w:val="105"/>
          <w:sz w:val="13"/>
        </w:rPr>
        <w:t>5th</w:t>
      </w:r>
      <w:r>
        <w:rPr>
          <w:spacing w:val="4"/>
          <w:w w:val="105"/>
          <w:sz w:val="13"/>
        </w:rPr>
        <w:t> </w:t>
      </w:r>
      <w:r>
        <w:rPr>
          <w:w w:val="105"/>
          <w:sz w:val="13"/>
        </w:rPr>
        <w:t>ed,</w:t>
      </w:r>
      <w:r>
        <w:rPr>
          <w:spacing w:val="4"/>
          <w:w w:val="105"/>
          <w:sz w:val="13"/>
        </w:rPr>
        <w:t> </w:t>
      </w:r>
      <w:r>
        <w:rPr>
          <w:w w:val="105"/>
          <w:sz w:val="13"/>
        </w:rPr>
        <w:t>2012)</w:t>
      </w:r>
      <w:r>
        <w:rPr>
          <w:spacing w:val="4"/>
          <w:w w:val="105"/>
          <w:sz w:val="13"/>
        </w:rPr>
        <w:t> </w:t>
      </w:r>
      <w:r>
        <w:rPr>
          <w:w w:val="105"/>
          <w:sz w:val="13"/>
        </w:rPr>
        <w:t>[5.1.7.2].</w:t>
      </w:r>
    </w:p>
    <w:p>
      <w:pPr>
        <w:pStyle w:val="ListParagraph"/>
        <w:numPr>
          <w:ilvl w:val="0"/>
          <w:numId w:val="28"/>
        </w:numPr>
        <w:tabs>
          <w:tab w:pos="2381" w:val="left" w:leader="none"/>
          <w:tab w:pos="2382" w:val="left" w:leader="none"/>
        </w:tabs>
        <w:spacing w:line="240" w:lineRule="auto" w:before="1" w:after="0"/>
        <w:ind w:left="2381" w:right="0" w:hanging="794"/>
        <w:jc w:val="left"/>
        <w:rPr>
          <w:sz w:val="13"/>
        </w:rPr>
      </w:pPr>
      <w:r>
        <w:rPr>
          <w:i/>
          <w:w w:val="105"/>
          <w:sz w:val="13"/>
        </w:rPr>
        <w:t>Wrongs Act 1958 </w:t>
      </w:r>
      <w:r>
        <w:rPr>
          <w:spacing w:val="2"/>
          <w:w w:val="105"/>
          <w:sz w:val="13"/>
        </w:rPr>
        <w:t>(Vic) </w:t>
      </w:r>
      <w:r>
        <w:rPr>
          <w:w w:val="105"/>
          <w:sz w:val="13"/>
        </w:rPr>
        <w:t>s 43 (definition of</w:t>
      </w:r>
      <w:r>
        <w:rPr>
          <w:spacing w:val="5"/>
          <w:w w:val="105"/>
          <w:sz w:val="13"/>
        </w:rPr>
        <w:t> </w:t>
      </w:r>
      <w:r>
        <w:rPr>
          <w:w w:val="105"/>
          <w:sz w:val="13"/>
        </w:rPr>
        <w:t>‘negligence’).</w:t>
      </w:r>
    </w:p>
    <w:p>
      <w:pPr>
        <w:pStyle w:val="ListParagraph"/>
        <w:numPr>
          <w:ilvl w:val="0"/>
          <w:numId w:val="28"/>
        </w:numPr>
        <w:tabs>
          <w:tab w:pos="2381" w:val="left" w:leader="none"/>
          <w:tab w:pos="2382" w:val="left" w:leader="none"/>
        </w:tabs>
        <w:spacing w:line="240" w:lineRule="auto" w:before="2" w:after="0"/>
        <w:ind w:left="2381" w:right="1624" w:hanging="794"/>
        <w:jc w:val="left"/>
        <w:rPr>
          <w:sz w:val="13"/>
        </w:rPr>
      </w:pPr>
      <w:r>
        <w:rPr>
          <w:w w:val="105"/>
          <w:sz w:val="13"/>
        </w:rPr>
        <w:t>Prue Vines, ‘Negligence: Introduction’ in Carolyn Sappideen and Prue Vines </w:t>
      </w:r>
      <w:r>
        <w:rPr>
          <w:spacing w:val="2"/>
          <w:w w:val="105"/>
          <w:sz w:val="13"/>
        </w:rPr>
        <w:t>(eds), </w:t>
      </w:r>
      <w:r>
        <w:rPr>
          <w:i/>
          <w:w w:val="105"/>
          <w:sz w:val="13"/>
        </w:rPr>
        <w:t>Fleming’s The Law of Torts </w:t>
      </w:r>
      <w:r>
        <w:rPr>
          <w:spacing w:val="2"/>
          <w:w w:val="105"/>
          <w:sz w:val="13"/>
        </w:rPr>
        <w:t>(Lawbook </w:t>
      </w:r>
      <w:r>
        <w:rPr>
          <w:w w:val="105"/>
          <w:sz w:val="13"/>
        </w:rPr>
        <w:t>Co., 10th ed, </w:t>
      </w:r>
      <w:r>
        <w:rPr>
          <w:spacing w:val="-4"/>
          <w:w w:val="105"/>
          <w:sz w:val="13"/>
        </w:rPr>
        <w:t>2011) </w:t>
      </w:r>
      <w:r>
        <w:rPr>
          <w:spacing w:val="-5"/>
          <w:w w:val="105"/>
          <w:sz w:val="13"/>
        </w:rPr>
        <w:t>119, </w:t>
      </w:r>
      <w:r>
        <w:rPr>
          <w:w w:val="105"/>
          <w:sz w:val="13"/>
        </w:rPr>
        <w:t>122; see also </w:t>
      </w:r>
      <w:r>
        <w:rPr>
          <w:i/>
          <w:w w:val="105"/>
          <w:sz w:val="13"/>
        </w:rPr>
        <w:t>Robson v Leischke </w:t>
      </w:r>
      <w:r>
        <w:rPr>
          <w:spacing w:val="2"/>
          <w:w w:val="105"/>
          <w:sz w:val="13"/>
        </w:rPr>
        <w:t>(2008) </w:t>
      </w:r>
      <w:r>
        <w:rPr>
          <w:w w:val="105"/>
          <w:sz w:val="13"/>
        </w:rPr>
        <w:t>72 </w:t>
      </w:r>
      <w:r>
        <w:rPr>
          <w:spacing w:val="2"/>
          <w:w w:val="105"/>
          <w:sz w:val="13"/>
        </w:rPr>
        <w:t>NSWLR </w:t>
      </w:r>
      <w:r>
        <w:rPr>
          <w:w w:val="105"/>
          <w:sz w:val="13"/>
        </w:rPr>
        <w:t>98</w:t>
      </w:r>
      <w:r>
        <w:rPr>
          <w:spacing w:val="28"/>
          <w:w w:val="105"/>
          <w:sz w:val="13"/>
        </w:rPr>
        <w:t> </w:t>
      </w:r>
      <w:r>
        <w:rPr>
          <w:spacing w:val="2"/>
          <w:w w:val="105"/>
          <w:sz w:val="13"/>
        </w:rPr>
        <w:t>[93].</w:t>
      </w:r>
    </w:p>
    <w:p>
      <w:pPr>
        <w:pStyle w:val="ListParagraph"/>
        <w:numPr>
          <w:ilvl w:val="0"/>
          <w:numId w:val="28"/>
        </w:numPr>
        <w:tabs>
          <w:tab w:pos="2381" w:val="left" w:leader="none"/>
          <w:tab w:pos="2382" w:val="left" w:leader="none"/>
        </w:tabs>
        <w:spacing w:line="240" w:lineRule="auto" w:before="2" w:after="0"/>
        <w:ind w:left="2381" w:right="0" w:hanging="794"/>
        <w:jc w:val="left"/>
        <w:rPr>
          <w:sz w:val="13"/>
        </w:rPr>
      </w:pPr>
      <w:r>
        <w:rPr>
          <w:w w:val="105"/>
          <w:sz w:val="13"/>
        </w:rPr>
        <w:t>See, eg, </w:t>
      </w:r>
      <w:r>
        <w:rPr>
          <w:i/>
          <w:w w:val="105"/>
          <w:sz w:val="13"/>
        </w:rPr>
        <w:t>Wrongs Act 1958 </w:t>
      </w:r>
      <w:r>
        <w:rPr>
          <w:spacing w:val="2"/>
          <w:w w:val="105"/>
          <w:sz w:val="13"/>
        </w:rPr>
        <w:t>(Vic) Pt</w:t>
      </w:r>
      <w:r>
        <w:rPr>
          <w:spacing w:val="30"/>
          <w:w w:val="105"/>
          <w:sz w:val="13"/>
        </w:rPr>
        <w:t> </w:t>
      </w:r>
      <w:r>
        <w:rPr>
          <w:w w:val="105"/>
          <w:sz w:val="13"/>
        </w:rPr>
        <w:t>X.</w:t>
      </w:r>
    </w:p>
    <w:p>
      <w:pPr>
        <w:pStyle w:val="ListParagraph"/>
        <w:numPr>
          <w:ilvl w:val="0"/>
          <w:numId w:val="28"/>
        </w:numPr>
        <w:tabs>
          <w:tab w:pos="2381" w:val="left" w:leader="none"/>
          <w:tab w:pos="2382" w:val="left" w:leader="none"/>
        </w:tabs>
        <w:spacing w:line="240" w:lineRule="auto" w:before="2" w:after="0"/>
        <w:ind w:left="2381" w:right="0" w:hanging="794"/>
        <w:jc w:val="left"/>
        <w:rPr>
          <w:sz w:val="13"/>
        </w:rPr>
      </w:pPr>
      <w:r>
        <w:rPr>
          <w:w w:val="105"/>
          <w:sz w:val="13"/>
        </w:rPr>
        <w:t>But</w:t>
      </w:r>
      <w:r>
        <w:rPr>
          <w:spacing w:val="5"/>
          <w:w w:val="105"/>
          <w:sz w:val="13"/>
        </w:rPr>
        <w:t> </w:t>
      </w:r>
      <w:r>
        <w:rPr>
          <w:w w:val="105"/>
          <w:sz w:val="13"/>
        </w:rPr>
        <w:t>note</w:t>
      </w:r>
      <w:r>
        <w:rPr>
          <w:spacing w:val="5"/>
          <w:w w:val="105"/>
          <w:sz w:val="13"/>
        </w:rPr>
        <w:t> </w:t>
      </w:r>
      <w:r>
        <w:rPr>
          <w:w w:val="105"/>
          <w:sz w:val="13"/>
        </w:rPr>
        <w:t>that</w:t>
      </w:r>
      <w:r>
        <w:rPr>
          <w:spacing w:val="5"/>
          <w:w w:val="105"/>
          <w:sz w:val="13"/>
        </w:rPr>
        <w:t> </w:t>
      </w:r>
      <w:r>
        <w:rPr>
          <w:w w:val="105"/>
          <w:sz w:val="13"/>
        </w:rPr>
        <w:t>statutory</w:t>
      </w:r>
      <w:r>
        <w:rPr>
          <w:spacing w:val="6"/>
          <w:w w:val="105"/>
          <w:sz w:val="13"/>
        </w:rPr>
        <w:t> </w:t>
      </w:r>
      <w:r>
        <w:rPr>
          <w:w w:val="105"/>
          <w:sz w:val="13"/>
        </w:rPr>
        <w:t>amendments</w:t>
      </w:r>
      <w:r>
        <w:rPr>
          <w:spacing w:val="5"/>
          <w:w w:val="105"/>
          <w:sz w:val="13"/>
        </w:rPr>
        <w:t> </w:t>
      </w:r>
      <w:r>
        <w:rPr>
          <w:w w:val="105"/>
          <w:sz w:val="13"/>
        </w:rPr>
        <w:t>do</w:t>
      </w:r>
      <w:r>
        <w:rPr>
          <w:spacing w:val="5"/>
          <w:w w:val="105"/>
          <w:sz w:val="13"/>
        </w:rPr>
        <w:t> </w:t>
      </w:r>
      <w:r>
        <w:rPr>
          <w:w w:val="105"/>
          <w:sz w:val="13"/>
        </w:rPr>
        <w:t>not</w:t>
      </w:r>
      <w:r>
        <w:rPr>
          <w:spacing w:val="5"/>
          <w:w w:val="105"/>
          <w:sz w:val="13"/>
        </w:rPr>
        <w:t> </w:t>
      </w:r>
      <w:r>
        <w:rPr>
          <w:w w:val="105"/>
          <w:sz w:val="13"/>
        </w:rPr>
        <w:t>override</w:t>
      </w:r>
      <w:r>
        <w:rPr>
          <w:spacing w:val="6"/>
          <w:w w:val="105"/>
          <w:sz w:val="13"/>
        </w:rPr>
        <w:t> </w:t>
      </w:r>
      <w:r>
        <w:rPr>
          <w:w w:val="105"/>
          <w:sz w:val="13"/>
        </w:rPr>
        <w:t>or</w:t>
      </w:r>
      <w:r>
        <w:rPr>
          <w:spacing w:val="5"/>
          <w:w w:val="105"/>
          <w:sz w:val="13"/>
        </w:rPr>
        <w:t> </w:t>
      </w:r>
      <w:r>
        <w:rPr>
          <w:w w:val="105"/>
          <w:sz w:val="13"/>
        </w:rPr>
        <w:t>affect</w:t>
      </w:r>
      <w:r>
        <w:rPr>
          <w:spacing w:val="5"/>
          <w:w w:val="105"/>
          <w:sz w:val="13"/>
        </w:rPr>
        <w:t> </w:t>
      </w:r>
      <w:r>
        <w:rPr>
          <w:w w:val="105"/>
          <w:sz w:val="13"/>
        </w:rPr>
        <w:t>common</w:t>
      </w:r>
      <w:r>
        <w:rPr>
          <w:spacing w:val="5"/>
          <w:w w:val="105"/>
          <w:sz w:val="13"/>
        </w:rPr>
        <w:t> </w:t>
      </w:r>
      <w:r>
        <w:rPr>
          <w:w w:val="105"/>
          <w:sz w:val="13"/>
        </w:rPr>
        <w:t>law</w:t>
      </w:r>
      <w:r>
        <w:rPr>
          <w:spacing w:val="6"/>
          <w:w w:val="105"/>
          <w:sz w:val="13"/>
        </w:rPr>
        <w:t> </w:t>
      </w:r>
      <w:r>
        <w:rPr>
          <w:w w:val="105"/>
          <w:sz w:val="13"/>
        </w:rPr>
        <w:t>principles</w:t>
      </w:r>
      <w:r>
        <w:rPr>
          <w:spacing w:val="5"/>
          <w:w w:val="105"/>
          <w:sz w:val="13"/>
        </w:rPr>
        <w:t> </w:t>
      </w:r>
      <w:r>
        <w:rPr>
          <w:w w:val="105"/>
          <w:sz w:val="13"/>
        </w:rPr>
        <w:t>associated</w:t>
      </w:r>
      <w:r>
        <w:rPr>
          <w:spacing w:val="5"/>
          <w:w w:val="105"/>
          <w:sz w:val="13"/>
        </w:rPr>
        <w:t> </w:t>
      </w:r>
      <w:r>
        <w:rPr>
          <w:w w:val="105"/>
          <w:sz w:val="13"/>
        </w:rPr>
        <w:t>with</w:t>
      </w:r>
      <w:r>
        <w:rPr>
          <w:spacing w:val="6"/>
          <w:w w:val="105"/>
          <w:sz w:val="13"/>
        </w:rPr>
        <w:t> </w:t>
      </w:r>
      <w:r>
        <w:rPr>
          <w:w w:val="105"/>
          <w:sz w:val="13"/>
        </w:rPr>
        <w:t>negligence:</w:t>
      </w:r>
      <w:r>
        <w:rPr>
          <w:spacing w:val="5"/>
          <w:w w:val="105"/>
          <w:sz w:val="13"/>
        </w:rPr>
        <w:t> </w:t>
      </w:r>
      <w:r>
        <w:rPr>
          <w:i/>
          <w:w w:val="105"/>
          <w:sz w:val="13"/>
        </w:rPr>
        <w:t>Wrongs</w:t>
      </w:r>
      <w:r>
        <w:rPr>
          <w:i/>
          <w:spacing w:val="5"/>
          <w:w w:val="105"/>
          <w:sz w:val="13"/>
        </w:rPr>
        <w:t> </w:t>
      </w:r>
      <w:r>
        <w:rPr>
          <w:i/>
          <w:w w:val="105"/>
          <w:sz w:val="13"/>
        </w:rPr>
        <w:t>Act</w:t>
      </w:r>
      <w:r>
        <w:rPr>
          <w:i/>
          <w:spacing w:val="5"/>
          <w:w w:val="105"/>
          <w:sz w:val="13"/>
        </w:rPr>
        <w:t> </w:t>
      </w:r>
      <w:r>
        <w:rPr>
          <w:i/>
          <w:w w:val="105"/>
          <w:sz w:val="13"/>
        </w:rPr>
        <w:t>1958</w:t>
      </w:r>
      <w:r>
        <w:rPr>
          <w:i/>
          <w:spacing w:val="6"/>
          <w:w w:val="105"/>
          <w:sz w:val="13"/>
        </w:rPr>
        <w:t> </w:t>
      </w:r>
      <w:r>
        <w:rPr>
          <w:spacing w:val="2"/>
          <w:w w:val="105"/>
          <w:sz w:val="13"/>
        </w:rPr>
        <w:t>(Vic)</w:t>
      </w:r>
      <w:r>
        <w:rPr>
          <w:spacing w:val="5"/>
          <w:w w:val="105"/>
          <w:sz w:val="13"/>
        </w:rPr>
        <w:t> </w:t>
      </w:r>
      <w:r>
        <w:rPr>
          <w:w w:val="105"/>
          <w:sz w:val="13"/>
        </w:rPr>
        <w:t>s</w:t>
      </w:r>
      <w:r>
        <w:rPr>
          <w:spacing w:val="5"/>
          <w:w w:val="105"/>
          <w:sz w:val="13"/>
        </w:rPr>
        <w:t> </w:t>
      </w:r>
      <w:r>
        <w:rPr>
          <w:spacing w:val="-4"/>
          <w:w w:val="105"/>
          <w:sz w:val="13"/>
        </w:rPr>
        <w:t>47.</w:t>
      </w:r>
    </w:p>
    <w:p>
      <w:pPr>
        <w:pStyle w:val="ListParagraph"/>
        <w:numPr>
          <w:ilvl w:val="0"/>
          <w:numId w:val="28"/>
        </w:numPr>
        <w:tabs>
          <w:tab w:pos="2381" w:val="left" w:leader="none"/>
          <w:tab w:pos="2382" w:val="left" w:leader="none"/>
        </w:tabs>
        <w:spacing w:line="240" w:lineRule="auto" w:before="1" w:after="0"/>
        <w:ind w:left="2381" w:right="1624" w:hanging="794"/>
        <w:jc w:val="left"/>
        <w:rPr>
          <w:sz w:val="13"/>
        </w:rPr>
      </w:pPr>
      <w:r>
        <w:rPr>
          <w:w w:val="105"/>
          <w:sz w:val="13"/>
        </w:rPr>
        <w:t>Prue Vines, ‘Negligence: Introduction’ in Carolyn Sappideen and Prue Vines </w:t>
      </w:r>
      <w:r>
        <w:rPr>
          <w:spacing w:val="2"/>
          <w:w w:val="105"/>
          <w:sz w:val="13"/>
        </w:rPr>
        <w:t>(eds), </w:t>
      </w:r>
      <w:r>
        <w:rPr>
          <w:i/>
          <w:w w:val="105"/>
          <w:sz w:val="13"/>
        </w:rPr>
        <w:t>Fleming’s The Law of Torts </w:t>
      </w:r>
      <w:r>
        <w:rPr>
          <w:spacing w:val="2"/>
          <w:w w:val="105"/>
          <w:sz w:val="13"/>
        </w:rPr>
        <w:t>(Lawbook </w:t>
      </w:r>
      <w:r>
        <w:rPr>
          <w:w w:val="105"/>
          <w:sz w:val="13"/>
        </w:rPr>
        <w:t>Co., 10th ed, </w:t>
      </w:r>
      <w:r>
        <w:rPr>
          <w:spacing w:val="-4"/>
          <w:w w:val="105"/>
          <w:sz w:val="13"/>
        </w:rPr>
        <w:t>2011) </w:t>
      </w:r>
      <w:r>
        <w:rPr>
          <w:spacing w:val="-5"/>
          <w:w w:val="105"/>
          <w:sz w:val="13"/>
        </w:rPr>
        <w:t>119,</w:t>
      </w:r>
      <w:r>
        <w:rPr>
          <w:spacing w:val="4"/>
          <w:w w:val="105"/>
          <w:sz w:val="13"/>
        </w:rPr>
        <w:t> </w:t>
      </w:r>
      <w:r>
        <w:rPr>
          <w:w w:val="105"/>
          <w:sz w:val="13"/>
        </w:rPr>
        <w:t>122.</w:t>
      </w:r>
    </w:p>
    <w:p>
      <w:pPr>
        <w:pStyle w:val="ListParagraph"/>
        <w:numPr>
          <w:ilvl w:val="0"/>
          <w:numId w:val="28"/>
        </w:numPr>
        <w:tabs>
          <w:tab w:pos="2381" w:val="left" w:leader="none"/>
          <w:tab w:pos="2382" w:val="left" w:leader="none"/>
        </w:tabs>
        <w:spacing w:line="240" w:lineRule="auto" w:before="3" w:after="0"/>
        <w:ind w:left="2381" w:right="1612" w:hanging="794"/>
        <w:jc w:val="left"/>
        <w:rPr>
          <w:sz w:val="13"/>
        </w:rPr>
      </w:pPr>
      <w:r>
        <w:rPr>
          <w:w w:val="105"/>
          <w:sz w:val="13"/>
        </w:rPr>
        <w:t>Barbara McDonald, ‘Standard of Care’ in Carolyn Sappideen and Prue Vines </w:t>
      </w:r>
      <w:r>
        <w:rPr>
          <w:spacing w:val="2"/>
          <w:w w:val="105"/>
          <w:sz w:val="13"/>
        </w:rPr>
        <w:t>(eds), </w:t>
      </w:r>
      <w:r>
        <w:rPr>
          <w:i/>
          <w:w w:val="105"/>
          <w:sz w:val="13"/>
        </w:rPr>
        <w:t>Fleming’s The Law of Torts </w:t>
      </w:r>
      <w:r>
        <w:rPr>
          <w:spacing w:val="2"/>
          <w:w w:val="105"/>
          <w:sz w:val="13"/>
        </w:rPr>
        <w:t>(Lawbook </w:t>
      </w:r>
      <w:r>
        <w:rPr>
          <w:w w:val="105"/>
          <w:sz w:val="13"/>
        </w:rPr>
        <w:t>Co., 10th ed, </w:t>
      </w:r>
      <w:r>
        <w:rPr>
          <w:spacing w:val="-4"/>
          <w:w w:val="105"/>
          <w:sz w:val="13"/>
        </w:rPr>
        <w:t>2011) </w:t>
      </w:r>
      <w:r>
        <w:rPr>
          <w:w w:val="105"/>
          <w:sz w:val="13"/>
        </w:rPr>
        <w:t>123,</w:t>
      </w:r>
      <w:r>
        <w:rPr>
          <w:spacing w:val="4"/>
          <w:w w:val="105"/>
          <w:sz w:val="13"/>
        </w:rPr>
        <w:t> </w:t>
      </w:r>
      <w:r>
        <w:rPr>
          <w:w w:val="105"/>
          <w:sz w:val="13"/>
        </w:rPr>
        <w:t>123.</w:t>
      </w:r>
    </w:p>
    <w:p>
      <w:pPr>
        <w:pStyle w:val="ListParagraph"/>
        <w:numPr>
          <w:ilvl w:val="0"/>
          <w:numId w:val="28"/>
        </w:numPr>
        <w:tabs>
          <w:tab w:pos="2381" w:val="left" w:leader="none"/>
          <w:tab w:pos="2382" w:val="left" w:leader="none"/>
        </w:tabs>
        <w:spacing w:line="240" w:lineRule="auto" w:before="2" w:after="0"/>
        <w:ind w:left="2381" w:right="1609" w:hanging="794"/>
        <w:jc w:val="left"/>
        <w:rPr>
          <w:sz w:val="13"/>
        </w:rPr>
      </w:pPr>
      <w:r>
        <w:rPr/>
        <w:pict>
          <v:shape style="position:absolute;margin-left:548.970703pt;margin-top:19.023964pt;width:13.15pt;height:14.25pt;mso-position-horizontal-relative:page;mso-position-vertical-relative:paragraph;z-index:3352" type="#_x0000_t202" filled="false" stroked="false">
            <v:textbox inset="0,0,0,0">
              <w:txbxContent>
                <w:p>
                  <w:pPr>
                    <w:spacing w:line="284" w:lineRule="exact" w:before="0"/>
                    <w:ind w:left="0" w:right="0" w:firstLine="0"/>
                    <w:jc w:val="left"/>
                    <w:rPr>
                      <w:b/>
                      <w:sz w:val="24"/>
                    </w:rPr>
                  </w:pPr>
                  <w:r>
                    <w:rPr>
                      <w:b/>
                      <w:color w:val="658464"/>
                      <w:spacing w:val="-3"/>
                      <w:w w:val="110"/>
                      <w:sz w:val="24"/>
                    </w:rPr>
                    <w:t>35</w:t>
                  </w:r>
                </w:p>
              </w:txbxContent>
            </v:textbox>
            <w10:wrap type="none"/>
          </v:shape>
        </w:pict>
      </w:r>
      <w:r>
        <w:rPr>
          <w:i/>
          <w:w w:val="105"/>
          <w:sz w:val="13"/>
        </w:rPr>
        <w:t>Robson v Leischke </w:t>
      </w:r>
      <w:r>
        <w:rPr>
          <w:spacing w:val="2"/>
          <w:w w:val="105"/>
          <w:sz w:val="13"/>
        </w:rPr>
        <w:t>(2008) </w:t>
      </w:r>
      <w:r>
        <w:rPr>
          <w:w w:val="105"/>
          <w:sz w:val="13"/>
        </w:rPr>
        <w:t>72 </w:t>
      </w:r>
      <w:r>
        <w:rPr>
          <w:spacing w:val="2"/>
          <w:w w:val="105"/>
          <w:sz w:val="13"/>
        </w:rPr>
        <w:t>NSWLR </w:t>
      </w:r>
      <w:r>
        <w:rPr>
          <w:w w:val="105"/>
          <w:sz w:val="13"/>
        </w:rPr>
        <w:t>98 </w:t>
      </w:r>
      <w:r>
        <w:rPr>
          <w:spacing w:val="3"/>
          <w:w w:val="105"/>
          <w:sz w:val="13"/>
        </w:rPr>
        <w:t>[96]; </w:t>
      </w:r>
      <w:r>
        <w:rPr>
          <w:w w:val="105"/>
          <w:sz w:val="13"/>
        </w:rPr>
        <w:t>see also the seminal case of </w:t>
      </w:r>
      <w:r>
        <w:rPr>
          <w:i/>
          <w:w w:val="105"/>
          <w:sz w:val="13"/>
        </w:rPr>
        <w:t>Donoghue v Stevenson </w:t>
      </w:r>
      <w:r>
        <w:rPr>
          <w:w w:val="105"/>
          <w:sz w:val="13"/>
        </w:rPr>
        <w:t>[1932] AC 562, </w:t>
      </w:r>
      <w:r>
        <w:rPr>
          <w:spacing w:val="3"/>
          <w:w w:val="105"/>
          <w:sz w:val="13"/>
        </w:rPr>
        <w:t>580; </w:t>
      </w:r>
      <w:r>
        <w:rPr>
          <w:i/>
          <w:w w:val="105"/>
          <w:sz w:val="13"/>
        </w:rPr>
        <w:t>Stockwell v State of </w:t>
      </w:r>
      <w:r>
        <w:rPr>
          <w:i/>
          <w:w w:val="105"/>
          <w:sz w:val="13"/>
        </w:rPr>
        <w:t>Victoria </w:t>
      </w:r>
      <w:r>
        <w:rPr>
          <w:w w:val="105"/>
          <w:sz w:val="13"/>
        </w:rPr>
        <w:t>[2001] VSC 497 [392] in which Gillard J states: ‘authorities in the past have established that in certain circumstances, an occupier of </w:t>
      </w:r>
      <w:r>
        <w:rPr>
          <w:spacing w:val="2"/>
          <w:w w:val="105"/>
          <w:sz w:val="13"/>
        </w:rPr>
        <w:t>property </w:t>
      </w:r>
      <w:r>
        <w:rPr>
          <w:w w:val="105"/>
          <w:sz w:val="13"/>
        </w:rPr>
        <w:t>owes a duty of care to an adjoining land owner to avoid damage, resulting from something moving onto an adjoining </w:t>
      </w:r>
      <w:r>
        <w:rPr>
          <w:spacing w:val="2"/>
          <w:w w:val="105"/>
          <w:sz w:val="13"/>
        </w:rPr>
        <w:t>property </w:t>
      </w:r>
      <w:r>
        <w:rPr>
          <w:w w:val="105"/>
          <w:sz w:val="13"/>
        </w:rPr>
        <w:t>by reason</w:t>
      </w:r>
      <w:r>
        <w:rPr>
          <w:spacing w:val="4"/>
          <w:w w:val="105"/>
          <w:sz w:val="13"/>
        </w:rPr>
        <w:t> </w:t>
      </w:r>
      <w:r>
        <w:rPr>
          <w:w w:val="105"/>
          <w:sz w:val="13"/>
        </w:rPr>
        <w:t>of</w:t>
      </w:r>
      <w:r>
        <w:rPr>
          <w:spacing w:val="5"/>
          <w:w w:val="105"/>
          <w:sz w:val="13"/>
        </w:rPr>
        <w:t> </w:t>
      </w:r>
      <w:r>
        <w:rPr>
          <w:w w:val="105"/>
          <w:sz w:val="13"/>
        </w:rPr>
        <w:t>some</w:t>
      </w:r>
      <w:r>
        <w:rPr>
          <w:spacing w:val="4"/>
          <w:w w:val="105"/>
          <w:sz w:val="13"/>
        </w:rPr>
        <w:t> </w:t>
      </w:r>
      <w:r>
        <w:rPr>
          <w:w w:val="105"/>
          <w:sz w:val="13"/>
        </w:rPr>
        <w:t>action</w:t>
      </w:r>
      <w:r>
        <w:rPr>
          <w:spacing w:val="5"/>
          <w:w w:val="105"/>
          <w:sz w:val="13"/>
        </w:rPr>
        <w:t> </w:t>
      </w:r>
      <w:r>
        <w:rPr>
          <w:w w:val="105"/>
          <w:sz w:val="13"/>
        </w:rPr>
        <w:t>or</w:t>
      </w:r>
      <w:r>
        <w:rPr>
          <w:spacing w:val="4"/>
          <w:w w:val="105"/>
          <w:sz w:val="13"/>
        </w:rPr>
        <w:t> </w:t>
      </w:r>
      <w:r>
        <w:rPr>
          <w:w w:val="105"/>
          <w:sz w:val="13"/>
        </w:rPr>
        <w:t>inaction</w:t>
      </w:r>
      <w:r>
        <w:rPr>
          <w:spacing w:val="5"/>
          <w:w w:val="105"/>
          <w:sz w:val="13"/>
        </w:rPr>
        <w:t> </w:t>
      </w:r>
      <w:r>
        <w:rPr>
          <w:w w:val="105"/>
          <w:sz w:val="13"/>
        </w:rPr>
        <w:t>on</w:t>
      </w:r>
      <w:r>
        <w:rPr>
          <w:spacing w:val="5"/>
          <w:w w:val="105"/>
          <w:sz w:val="13"/>
        </w:rPr>
        <w:t> </w:t>
      </w:r>
      <w:r>
        <w:rPr>
          <w:w w:val="105"/>
          <w:sz w:val="13"/>
        </w:rPr>
        <w:t>the</w:t>
      </w:r>
      <w:r>
        <w:rPr>
          <w:spacing w:val="4"/>
          <w:w w:val="105"/>
          <w:sz w:val="13"/>
        </w:rPr>
        <w:t> </w:t>
      </w:r>
      <w:r>
        <w:rPr>
          <w:w w:val="105"/>
          <w:sz w:val="13"/>
        </w:rPr>
        <w:t>first</w:t>
      </w:r>
      <w:r>
        <w:rPr>
          <w:spacing w:val="5"/>
          <w:w w:val="105"/>
          <w:sz w:val="13"/>
        </w:rPr>
        <w:t> </w:t>
      </w:r>
      <w:r>
        <w:rPr>
          <w:w w:val="105"/>
          <w:sz w:val="13"/>
        </w:rPr>
        <w:t>property’.</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28"/>
        </w:numPr>
        <w:tabs>
          <w:tab w:pos="2721" w:val="left" w:leader="none"/>
          <w:tab w:pos="2722" w:val="left" w:leader="none"/>
        </w:tabs>
        <w:spacing w:line="242" w:lineRule="auto" w:before="92" w:after="0"/>
        <w:ind w:left="2721" w:right="1622" w:hanging="340"/>
        <w:jc w:val="left"/>
        <w:rPr>
          <w:sz w:val="12"/>
        </w:rPr>
      </w:pPr>
      <w:r>
        <w:rPr>
          <w:spacing w:val="-3"/>
          <w:w w:val="105"/>
          <w:sz w:val="21"/>
        </w:rPr>
        <w:t>that </w:t>
      </w:r>
      <w:r>
        <w:rPr>
          <w:w w:val="105"/>
          <w:sz w:val="21"/>
        </w:rPr>
        <w:t>the tree owner </w:t>
      </w:r>
      <w:r>
        <w:rPr>
          <w:spacing w:val="-3"/>
          <w:w w:val="105"/>
          <w:sz w:val="21"/>
        </w:rPr>
        <w:t>breached that </w:t>
      </w:r>
      <w:r>
        <w:rPr>
          <w:w w:val="105"/>
          <w:sz w:val="21"/>
        </w:rPr>
        <w:t>duty—a person </w:t>
      </w:r>
      <w:r>
        <w:rPr>
          <w:spacing w:val="-3"/>
          <w:w w:val="105"/>
          <w:sz w:val="21"/>
        </w:rPr>
        <w:t>may breach </w:t>
      </w:r>
      <w:r>
        <w:rPr>
          <w:w w:val="105"/>
          <w:sz w:val="21"/>
        </w:rPr>
        <w:t>a duty of care </w:t>
      </w:r>
      <w:r>
        <w:rPr>
          <w:spacing w:val="-3"/>
          <w:w w:val="105"/>
          <w:sz w:val="21"/>
        </w:rPr>
        <w:t>through </w:t>
      </w:r>
      <w:r>
        <w:rPr>
          <w:w w:val="105"/>
          <w:sz w:val="21"/>
        </w:rPr>
        <w:t>a positive act or omission </w:t>
      </w:r>
      <w:r>
        <w:rPr>
          <w:spacing w:val="-3"/>
          <w:w w:val="105"/>
          <w:sz w:val="21"/>
        </w:rPr>
        <w:t>that </w:t>
      </w:r>
      <w:r>
        <w:rPr>
          <w:spacing w:val="-4"/>
          <w:w w:val="105"/>
          <w:sz w:val="21"/>
        </w:rPr>
        <w:t>falls </w:t>
      </w:r>
      <w:r>
        <w:rPr>
          <w:w w:val="105"/>
          <w:sz w:val="21"/>
        </w:rPr>
        <w:t>short of the standard of </w:t>
      </w:r>
      <w:r>
        <w:rPr>
          <w:spacing w:val="-3"/>
          <w:w w:val="105"/>
          <w:sz w:val="21"/>
        </w:rPr>
        <w:t>care, </w:t>
      </w:r>
      <w:r>
        <w:rPr>
          <w:w w:val="105"/>
          <w:sz w:val="21"/>
        </w:rPr>
        <w:t>unless they </w:t>
      </w:r>
      <w:r>
        <w:rPr>
          <w:spacing w:val="-3"/>
          <w:w w:val="105"/>
          <w:sz w:val="21"/>
        </w:rPr>
        <w:t>have taken </w:t>
      </w:r>
      <w:r>
        <w:rPr>
          <w:w w:val="105"/>
          <w:sz w:val="21"/>
        </w:rPr>
        <w:t>precautions </w:t>
      </w:r>
      <w:r>
        <w:rPr>
          <w:spacing w:val="-3"/>
          <w:w w:val="105"/>
          <w:sz w:val="21"/>
        </w:rPr>
        <w:t>to safeguard against </w:t>
      </w:r>
      <w:r>
        <w:rPr>
          <w:spacing w:val="-2"/>
          <w:w w:val="105"/>
          <w:sz w:val="21"/>
        </w:rPr>
        <w:t>foreseeable </w:t>
      </w:r>
      <w:r>
        <w:rPr>
          <w:w w:val="105"/>
          <w:sz w:val="21"/>
        </w:rPr>
        <w:t>risks </w:t>
      </w:r>
      <w:r>
        <w:rPr>
          <w:spacing w:val="-3"/>
          <w:w w:val="105"/>
          <w:sz w:val="21"/>
        </w:rPr>
        <w:t>that are </w:t>
      </w:r>
      <w:r>
        <w:rPr>
          <w:spacing w:val="-4"/>
          <w:w w:val="105"/>
          <w:sz w:val="21"/>
        </w:rPr>
        <w:t>‘not</w:t>
      </w:r>
      <w:r>
        <w:rPr>
          <w:spacing w:val="9"/>
          <w:w w:val="105"/>
          <w:sz w:val="21"/>
        </w:rPr>
        <w:t> </w:t>
      </w:r>
      <w:r>
        <w:rPr>
          <w:spacing w:val="-4"/>
          <w:w w:val="105"/>
          <w:sz w:val="21"/>
        </w:rPr>
        <w:t>insignificant’.</w:t>
      </w:r>
      <w:r>
        <w:rPr>
          <w:spacing w:val="-4"/>
          <w:w w:val="105"/>
          <w:position w:val="7"/>
          <w:sz w:val="12"/>
        </w:rPr>
        <w:t>100</w:t>
      </w:r>
    </w:p>
    <w:p>
      <w:pPr>
        <w:pStyle w:val="ListParagraph"/>
        <w:numPr>
          <w:ilvl w:val="1"/>
          <w:numId w:val="28"/>
        </w:numPr>
        <w:tabs>
          <w:tab w:pos="2721" w:val="left" w:leader="none"/>
          <w:tab w:pos="2722" w:val="left" w:leader="none"/>
        </w:tabs>
        <w:spacing w:line="242" w:lineRule="auto" w:before="88" w:after="0"/>
        <w:ind w:left="2721" w:right="1673" w:hanging="340"/>
        <w:jc w:val="left"/>
        <w:rPr>
          <w:sz w:val="12"/>
        </w:rPr>
      </w:pPr>
      <w:r>
        <w:rPr>
          <w:spacing w:val="-3"/>
          <w:w w:val="105"/>
          <w:sz w:val="21"/>
        </w:rPr>
        <w:t>that </w:t>
      </w:r>
      <w:r>
        <w:rPr>
          <w:w w:val="105"/>
          <w:sz w:val="21"/>
        </w:rPr>
        <w:t>the affected </w:t>
      </w:r>
      <w:r>
        <w:rPr>
          <w:spacing w:val="-3"/>
          <w:w w:val="105"/>
          <w:sz w:val="21"/>
        </w:rPr>
        <w:t>neighbour </w:t>
      </w:r>
      <w:r>
        <w:rPr>
          <w:w w:val="105"/>
          <w:sz w:val="21"/>
        </w:rPr>
        <w:t>suffered harm—section </w:t>
      </w:r>
      <w:r>
        <w:rPr>
          <w:spacing w:val="-3"/>
          <w:w w:val="105"/>
          <w:sz w:val="21"/>
        </w:rPr>
        <w:t>43 </w:t>
      </w:r>
      <w:r>
        <w:rPr>
          <w:w w:val="105"/>
          <w:sz w:val="21"/>
        </w:rPr>
        <w:t>of the </w:t>
      </w:r>
      <w:r>
        <w:rPr>
          <w:i/>
          <w:spacing w:val="-3"/>
          <w:w w:val="105"/>
          <w:sz w:val="21"/>
        </w:rPr>
        <w:t>Wrongs </w:t>
      </w:r>
      <w:r>
        <w:rPr>
          <w:i/>
          <w:w w:val="105"/>
          <w:sz w:val="21"/>
        </w:rPr>
        <w:t>Act </w:t>
      </w:r>
      <w:r>
        <w:rPr>
          <w:i/>
          <w:spacing w:val="-6"/>
          <w:w w:val="105"/>
          <w:sz w:val="21"/>
        </w:rPr>
        <w:t>1958 </w:t>
      </w:r>
      <w:r>
        <w:rPr>
          <w:w w:val="105"/>
          <w:sz w:val="21"/>
        </w:rPr>
        <w:t>(Vic) defines </w:t>
      </w:r>
      <w:r>
        <w:rPr>
          <w:spacing w:val="-3"/>
          <w:w w:val="105"/>
          <w:sz w:val="21"/>
        </w:rPr>
        <w:t>harm </w:t>
      </w:r>
      <w:r>
        <w:rPr>
          <w:w w:val="105"/>
          <w:sz w:val="21"/>
        </w:rPr>
        <w:t>broadly as </w:t>
      </w:r>
      <w:r>
        <w:rPr>
          <w:spacing w:val="-6"/>
          <w:w w:val="105"/>
          <w:sz w:val="21"/>
        </w:rPr>
        <w:t>‘any </w:t>
      </w:r>
      <w:r>
        <w:rPr>
          <w:spacing w:val="-3"/>
          <w:w w:val="105"/>
          <w:sz w:val="21"/>
        </w:rPr>
        <w:t>kind </w:t>
      </w:r>
      <w:r>
        <w:rPr>
          <w:w w:val="105"/>
          <w:sz w:val="21"/>
        </w:rPr>
        <w:t>of </w:t>
      </w:r>
      <w:r>
        <w:rPr>
          <w:spacing w:val="-6"/>
          <w:w w:val="105"/>
          <w:sz w:val="21"/>
        </w:rPr>
        <w:t>harm’, </w:t>
      </w:r>
      <w:r>
        <w:rPr>
          <w:w w:val="105"/>
          <w:sz w:val="21"/>
        </w:rPr>
        <w:t>which </w:t>
      </w:r>
      <w:r>
        <w:rPr>
          <w:spacing w:val="-3"/>
          <w:w w:val="105"/>
          <w:sz w:val="21"/>
        </w:rPr>
        <w:t>includes </w:t>
      </w:r>
      <w:r>
        <w:rPr>
          <w:w w:val="105"/>
          <w:sz w:val="21"/>
        </w:rPr>
        <w:t>personal injury or death; and damage </w:t>
      </w:r>
      <w:r>
        <w:rPr>
          <w:spacing w:val="-3"/>
          <w:w w:val="105"/>
          <w:sz w:val="21"/>
        </w:rPr>
        <w:t>to </w:t>
      </w:r>
      <w:r>
        <w:rPr>
          <w:w w:val="105"/>
          <w:sz w:val="21"/>
        </w:rPr>
        <w:t>property and economic</w:t>
      </w:r>
      <w:r>
        <w:rPr>
          <w:spacing w:val="30"/>
          <w:w w:val="105"/>
          <w:sz w:val="21"/>
        </w:rPr>
        <w:t> </w:t>
      </w:r>
      <w:r>
        <w:rPr>
          <w:spacing w:val="-4"/>
          <w:w w:val="105"/>
          <w:sz w:val="21"/>
        </w:rPr>
        <w:t>loss.</w:t>
      </w:r>
      <w:r>
        <w:rPr>
          <w:spacing w:val="-4"/>
          <w:w w:val="105"/>
          <w:position w:val="7"/>
          <w:sz w:val="12"/>
        </w:rPr>
        <w:t>101</w:t>
      </w:r>
    </w:p>
    <w:p>
      <w:pPr>
        <w:pStyle w:val="ListParagraph"/>
        <w:numPr>
          <w:ilvl w:val="1"/>
          <w:numId w:val="28"/>
        </w:numPr>
        <w:tabs>
          <w:tab w:pos="2721" w:val="left" w:leader="none"/>
          <w:tab w:pos="2722" w:val="left" w:leader="none"/>
        </w:tabs>
        <w:spacing w:line="242" w:lineRule="auto" w:before="88" w:after="0"/>
        <w:ind w:left="2721" w:right="1800" w:hanging="340"/>
        <w:jc w:val="left"/>
        <w:rPr>
          <w:sz w:val="21"/>
        </w:rPr>
      </w:pPr>
      <w:r>
        <w:rPr>
          <w:spacing w:val="-3"/>
          <w:w w:val="105"/>
          <w:sz w:val="21"/>
        </w:rPr>
        <w:t>that</w:t>
      </w:r>
      <w:r>
        <w:rPr>
          <w:spacing w:val="-5"/>
          <w:w w:val="105"/>
          <w:sz w:val="21"/>
        </w:rPr>
        <w:t> </w:t>
      </w:r>
      <w:r>
        <w:rPr>
          <w:w w:val="105"/>
          <w:sz w:val="21"/>
        </w:rPr>
        <w:t>the</w:t>
      </w:r>
      <w:r>
        <w:rPr>
          <w:spacing w:val="-4"/>
          <w:w w:val="105"/>
          <w:sz w:val="21"/>
        </w:rPr>
        <w:t> </w:t>
      </w:r>
      <w:r>
        <w:rPr>
          <w:spacing w:val="-3"/>
          <w:w w:val="105"/>
          <w:sz w:val="21"/>
        </w:rPr>
        <w:t>harm</w:t>
      </w:r>
      <w:r>
        <w:rPr>
          <w:spacing w:val="-5"/>
          <w:w w:val="105"/>
          <w:sz w:val="21"/>
        </w:rPr>
        <w:t> </w:t>
      </w:r>
      <w:r>
        <w:rPr>
          <w:w w:val="105"/>
          <w:sz w:val="21"/>
        </w:rPr>
        <w:t>was</w:t>
      </w:r>
      <w:r>
        <w:rPr>
          <w:spacing w:val="-5"/>
          <w:w w:val="105"/>
          <w:sz w:val="21"/>
        </w:rPr>
        <w:t> </w:t>
      </w:r>
      <w:r>
        <w:rPr>
          <w:w w:val="105"/>
          <w:sz w:val="21"/>
        </w:rPr>
        <w:t>caused</w:t>
      </w:r>
      <w:r>
        <w:rPr>
          <w:spacing w:val="-4"/>
          <w:w w:val="105"/>
          <w:sz w:val="21"/>
        </w:rPr>
        <w:t> </w:t>
      </w:r>
      <w:r>
        <w:rPr>
          <w:w w:val="105"/>
          <w:sz w:val="21"/>
        </w:rPr>
        <w:t>by</w:t>
      </w:r>
      <w:r>
        <w:rPr>
          <w:spacing w:val="-5"/>
          <w:w w:val="105"/>
          <w:sz w:val="21"/>
        </w:rPr>
        <w:t> </w:t>
      </w:r>
      <w:r>
        <w:rPr>
          <w:w w:val="105"/>
          <w:sz w:val="21"/>
        </w:rPr>
        <w:t>the</w:t>
      </w:r>
      <w:r>
        <w:rPr>
          <w:spacing w:val="-4"/>
          <w:w w:val="105"/>
          <w:sz w:val="21"/>
        </w:rPr>
        <w:t> </w:t>
      </w:r>
      <w:r>
        <w:rPr>
          <w:spacing w:val="-3"/>
          <w:w w:val="105"/>
          <w:sz w:val="21"/>
        </w:rPr>
        <w:t>breach</w:t>
      </w:r>
      <w:r>
        <w:rPr>
          <w:spacing w:val="-5"/>
          <w:w w:val="105"/>
          <w:sz w:val="21"/>
        </w:rPr>
        <w:t> </w:t>
      </w:r>
      <w:r>
        <w:rPr>
          <w:w w:val="105"/>
          <w:sz w:val="21"/>
        </w:rPr>
        <w:t>(causation)</w:t>
      </w:r>
      <w:r>
        <w:rPr>
          <w:spacing w:val="-4"/>
          <w:w w:val="105"/>
          <w:sz w:val="21"/>
        </w:rPr>
        <w:t> </w:t>
      </w:r>
      <w:r>
        <w:rPr>
          <w:w w:val="105"/>
          <w:sz w:val="21"/>
        </w:rPr>
        <w:t>and</w:t>
      </w:r>
      <w:r>
        <w:rPr>
          <w:spacing w:val="-5"/>
          <w:w w:val="105"/>
          <w:sz w:val="21"/>
        </w:rPr>
        <w:t> </w:t>
      </w:r>
      <w:r>
        <w:rPr>
          <w:spacing w:val="-3"/>
          <w:w w:val="105"/>
          <w:sz w:val="21"/>
        </w:rPr>
        <w:t>that</w:t>
      </w:r>
      <w:r>
        <w:rPr>
          <w:spacing w:val="-4"/>
          <w:w w:val="105"/>
          <w:sz w:val="21"/>
        </w:rPr>
        <w:t> </w:t>
      </w:r>
      <w:r>
        <w:rPr>
          <w:w w:val="105"/>
          <w:sz w:val="21"/>
        </w:rPr>
        <w:t>it</w:t>
      </w:r>
      <w:r>
        <w:rPr>
          <w:spacing w:val="-5"/>
          <w:w w:val="105"/>
          <w:sz w:val="21"/>
        </w:rPr>
        <w:t> </w:t>
      </w:r>
      <w:r>
        <w:rPr>
          <w:w w:val="105"/>
          <w:sz w:val="21"/>
        </w:rPr>
        <w:t>was</w:t>
      </w:r>
      <w:r>
        <w:rPr>
          <w:spacing w:val="-4"/>
          <w:w w:val="105"/>
          <w:sz w:val="21"/>
        </w:rPr>
        <w:t> </w:t>
      </w:r>
      <w:r>
        <w:rPr>
          <w:spacing w:val="-2"/>
          <w:w w:val="105"/>
          <w:sz w:val="21"/>
        </w:rPr>
        <w:t>not</w:t>
      </w:r>
      <w:r>
        <w:rPr>
          <w:spacing w:val="-5"/>
          <w:w w:val="105"/>
          <w:sz w:val="21"/>
        </w:rPr>
        <w:t> </w:t>
      </w:r>
      <w:r>
        <w:rPr>
          <w:w w:val="105"/>
          <w:sz w:val="21"/>
        </w:rPr>
        <w:t>too</w:t>
      </w:r>
      <w:r>
        <w:rPr>
          <w:spacing w:val="-4"/>
          <w:w w:val="105"/>
          <w:sz w:val="21"/>
        </w:rPr>
        <w:t> remote. </w:t>
      </w:r>
      <w:r>
        <w:rPr>
          <w:spacing w:val="-7"/>
          <w:w w:val="105"/>
          <w:sz w:val="21"/>
        </w:rPr>
        <w:t>To </w:t>
      </w:r>
      <w:r>
        <w:rPr>
          <w:spacing w:val="-3"/>
          <w:w w:val="105"/>
          <w:sz w:val="21"/>
        </w:rPr>
        <w:t>determine causation, </w:t>
      </w:r>
      <w:r>
        <w:rPr>
          <w:w w:val="105"/>
          <w:sz w:val="21"/>
        </w:rPr>
        <w:t>the court </w:t>
      </w:r>
      <w:r>
        <w:rPr>
          <w:spacing w:val="-3"/>
          <w:w w:val="105"/>
          <w:sz w:val="21"/>
        </w:rPr>
        <w:t>will </w:t>
      </w:r>
      <w:r>
        <w:rPr>
          <w:w w:val="105"/>
          <w:sz w:val="21"/>
        </w:rPr>
        <w:t>use a two-step approach </w:t>
      </w:r>
      <w:r>
        <w:rPr>
          <w:spacing w:val="-3"/>
          <w:w w:val="105"/>
          <w:sz w:val="21"/>
        </w:rPr>
        <w:t>that involves determining </w:t>
      </w:r>
      <w:r>
        <w:rPr>
          <w:w w:val="105"/>
          <w:sz w:val="21"/>
        </w:rPr>
        <w:t>first, </w:t>
      </w:r>
      <w:r>
        <w:rPr>
          <w:spacing w:val="-3"/>
          <w:w w:val="105"/>
          <w:sz w:val="21"/>
        </w:rPr>
        <w:t>factual </w:t>
      </w:r>
      <w:r>
        <w:rPr>
          <w:spacing w:val="-4"/>
          <w:w w:val="105"/>
          <w:sz w:val="21"/>
        </w:rPr>
        <w:t>causation</w:t>
      </w:r>
      <w:r>
        <w:rPr>
          <w:spacing w:val="-4"/>
          <w:w w:val="105"/>
          <w:position w:val="7"/>
          <w:sz w:val="12"/>
        </w:rPr>
        <w:t>102 </w:t>
      </w:r>
      <w:r>
        <w:rPr>
          <w:w w:val="105"/>
          <w:sz w:val="21"/>
        </w:rPr>
        <w:t>and second, the scope of </w:t>
      </w:r>
      <w:r>
        <w:rPr>
          <w:spacing w:val="-5"/>
          <w:w w:val="105"/>
          <w:sz w:val="21"/>
        </w:rPr>
        <w:t>liability.</w:t>
      </w:r>
      <w:r>
        <w:rPr>
          <w:spacing w:val="-5"/>
          <w:w w:val="105"/>
          <w:position w:val="7"/>
          <w:sz w:val="12"/>
        </w:rPr>
        <w:t>103 </w:t>
      </w:r>
      <w:r>
        <w:rPr>
          <w:spacing w:val="-3"/>
          <w:w w:val="105"/>
          <w:sz w:val="21"/>
        </w:rPr>
        <w:t>Factual </w:t>
      </w:r>
      <w:r>
        <w:rPr>
          <w:w w:val="105"/>
          <w:sz w:val="21"/>
        </w:rPr>
        <w:t>causation obliges the court </w:t>
      </w:r>
      <w:r>
        <w:rPr>
          <w:spacing w:val="-3"/>
          <w:w w:val="105"/>
          <w:sz w:val="21"/>
        </w:rPr>
        <w:t>to </w:t>
      </w:r>
      <w:r>
        <w:rPr>
          <w:w w:val="105"/>
          <w:sz w:val="21"/>
        </w:rPr>
        <w:t>ask whether the affected </w:t>
      </w:r>
      <w:r>
        <w:rPr>
          <w:spacing w:val="-3"/>
          <w:w w:val="105"/>
          <w:sz w:val="21"/>
        </w:rPr>
        <w:t>neighbour </w:t>
      </w:r>
      <w:r>
        <w:rPr>
          <w:w w:val="105"/>
          <w:sz w:val="21"/>
        </w:rPr>
        <w:t>would still </w:t>
      </w:r>
      <w:r>
        <w:rPr>
          <w:spacing w:val="-3"/>
          <w:w w:val="105"/>
          <w:sz w:val="21"/>
        </w:rPr>
        <w:t>have </w:t>
      </w:r>
      <w:r>
        <w:rPr>
          <w:w w:val="105"/>
          <w:sz w:val="21"/>
        </w:rPr>
        <w:t>suffered their loss but </w:t>
      </w:r>
      <w:r>
        <w:rPr>
          <w:spacing w:val="-3"/>
          <w:w w:val="105"/>
          <w:sz w:val="21"/>
        </w:rPr>
        <w:t>for </w:t>
      </w:r>
      <w:r>
        <w:rPr>
          <w:w w:val="105"/>
          <w:sz w:val="21"/>
        </w:rPr>
        <w:t>the </w:t>
      </w:r>
      <w:r>
        <w:rPr>
          <w:spacing w:val="-3"/>
          <w:w w:val="105"/>
          <w:sz w:val="21"/>
        </w:rPr>
        <w:t>negligence </w:t>
      </w:r>
      <w:r>
        <w:rPr>
          <w:w w:val="105"/>
          <w:sz w:val="21"/>
        </w:rPr>
        <w:t>of the tree </w:t>
      </w:r>
      <w:r>
        <w:rPr>
          <w:spacing w:val="-5"/>
          <w:w w:val="105"/>
          <w:sz w:val="21"/>
        </w:rPr>
        <w:t>owner.</w:t>
      </w:r>
      <w:r>
        <w:rPr>
          <w:spacing w:val="-5"/>
          <w:w w:val="105"/>
          <w:position w:val="7"/>
          <w:sz w:val="12"/>
        </w:rPr>
        <w:t>104 </w:t>
      </w:r>
      <w:r>
        <w:rPr>
          <w:w w:val="105"/>
          <w:sz w:val="21"/>
        </w:rPr>
        <w:t>If </w:t>
      </w:r>
      <w:r>
        <w:rPr>
          <w:spacing w:val="-3"/>
          <w:w w:val="105"/>
          <w:sz w:val="21"/>
        </w:rPr>
        <w:t>factual</w:t>
      </w:r>
      <w:r>
        <w:rPr>
          <w:spacing w:val="-18"/>
          <w:w w:val="105"/>
          <w:sz w:val="21"/>
        </w:rPr>
        <w:t> </w:t>
      </w:r>
      <w:r>
        <w:rPr>
          <w:w w:val="105"/>
          <w:sz w:val="21"/>
        </w:rPr>
        <w:t>causation</w:t>
      </w:r>
    </w:p>
    <w:p>
      <w:pPr>
        <w:pStyle w:val="BodyText"/>
        <w:spacing w:line="242" w:lineRule="auto" w:before="6"/>
        <w:ind w:left="2721" w:right="1589"/>
        <w:rPr>
          <w:sz w:val="12"/>
        </w:rPr>
      </w:pPr>
      <w:r>
        <w:rPr>
          <w:w w:val="105"/>
        </w:rPr>
        <w:t>is established, the court must then </w:t>
      </w:r>
      <w:r>
        <w:rPr>
          <w:spacing w:val="-3"/>
          <w:w w:val="105"/>
        </w:rPr>
        <w:t>consider </w:t>
      </w:r>
      <w:r>
        <w:rPr>
          <w:w w:val="105"/>
        </w:rPr>
        <w:t>the scope of </w:t>
      </w:r>
      <w:r>
        <w:rPr>
          <w:spacing w:val="-4"/>
          <w:w w:val="105"/>
        </w:rPr>
        <w:t>liability. </w:t>
      </w:r>
      <w:r>
        <w:rPr>
          <w:w w:val="105"/>
        </w:rPr>
        <w:t>This </w:t>
      </w:r>
      <w:r>
        <w:rPr>
          <w:spacing w:val="-3"/>
          <w:w w:val="105"/>
        </w:rPr>
        <w:t>involves </w:t>
      </w:r>
      <w:r>
        <w:rPr>
          <w:w w:val="105"/>
        </w:rPr>
        <w:t>a </w:t>
      </w:r>
      <w:r>
        <w:rPr>
          <w:spacing w:val="-3"/>
          <w:w w:val="105"/>
        </w:rPr>
        <w:t>determination </w:t>
      </w:r>
      <w:r>
        <w:rPr>
          <w:w w:val="105"/>
        </w:rPr>
        <w:t>about ‘whether or </w:t>
      </w:r>
      <w:r>
        <w:rPr>
          <w:spacing w:val="-2"/>
          <w:w w:val="105"/>
        </w:rPr>
        <w:t>not </w:t>
      </w:r>
      <w:r>
        <w:rPr>
          <w:spacing w:val="-3"/>
          <w:w w:val="105"/>
        </w:rPr>
        <w:t>to </w:t>
      </w:r>
      <w:r>
        <w:rPr>
          <w:w w:val="105"/>
        </w:rPr>
        <w:t>attribute the </w:t>
      </w:r>
      <w:r>
        <w:rPr>
          <w:spacing w:val="-3"/>
          <w:w w:val="105"/>
        </w:rPr>
        <w:t>harm </w:t>
      </w:r>
      <w:r>
        <w:rPr>
          <w:w w:val="105"/>
        </w:rPr>
        <w:t>suffered </w:t>
      </w:r>
      <w:r>
        <w:rPr>
          <w:spacing w:val="-3"/>
          <w:w w:val="105"/>
        </w:rPr>
        <w:t>to </w:t>
      </w:r>
      <w:r>
        <w:rPr>
          <w:w w:val="105"/>
        </w:rPr>
        <w:t>the </w:t>
      </w:r>
      <w:r>
        <w:rPr>
          <w:spacing w:val="-3"/>
          <w:w w:val="105"/>
        </w:rPr>
        <w:t>negligence </w:t>
      </w:r>
      <w:r>
        <w:rPr>
          <w:w w:val="105"/>
        </w:rPr>
        <w:t>act </w:t>
      </w:r>
      <w:r>
        <w:rPr>
          <w:spacing w:val="-3"/>
          <w:w w:val="105"/>
        </w:rPr>
        <w:t>for </w:t>
      </w:r>
      <w:r>
        <w:rPr>
          <w:w w:val="105"/>
        </w:rPr>
        <w:t>the purposes of </w:t>
      </w:r>
      <w:r>
        <w:rPr>
          <w:spacing w:val="-2"/>
          <w:w w:val="105"/>
        </w:rPr>
        <w:t>deciding </w:t>
      </w:r>
      <w:r>
        <w:rPr>
          <w:spacing w:val="-3"/>
          <w:w w:val="105"/>
        </w:rPr>
        <w:t>who, </w:t>
      </w:r>
      <w:r>
        <w:rPr>
          <w:w w:val="105"/>
        </w:rPr>
        <w:t>if </w:t>
      </w:r>
      <w:r>
        <w:rPr>
          <w:spacing w:val="-4"/>
          <w:w w:val="105"/>
        </w:rPr>
        <w:t>anyone, </w:t>
      </w:r>
      <w:r>
        <w:rPr>
          <w:w w:val="105"/>
        </w:rPr>
        <w:t>is </w:t>
      </w:r>
      <w:r>
        <w:rPr>
          <w:spacing w:val="-3"/>
          <w:w w:val="105"/>
        </w:rPr>
        <w:t>liable to </w:t>
      </w:r>
      <w:r>
        <w:rPr>
          <w:spacing w:val="-2"/>
          <w:w w:val="105"/>
        </w:rPr>
        <w:t>pay </w:t>
      </w:r>
      <w:r>
        <w:rPr>
          <w:spacing w:val="-4"/>
          <w:w w:val="105"/>
        </w:rPr>
        <w:t>compensation’. </w:t>
      </w:r>
      <w:r>
        <w:rPr>
          <w:w w:val="105"/>
        </w:rPr>
        <w:t>This test </w:t>
      </w:r>
      <w:r>
        <w:rPr>
          <w:spacing w:val="-3"/>
          <w:w w:val="105"/>
        </w:rPr>
        <w:t>‘involves </w:t>
      </w:r>
      <w:r>
        <w:rPr>
          <w:w w:val="105"/>
        </w:rPr>
        <w:t>policy </w:t>
      </w:r>
      <w:r>
        <w:rPr>
          <w:spacing w:val="-3"/>
          <w:w w:val="105"/>
        </w:rPr>
        <w:t>considerations </w:t>
      </w:r>
      <w:r>
        <w:rPr>
          <w:w w:val="105"/>
        </w:rPr>
        <w:t>and is </w:t>
      </w:r>
      <w:r>
        <w:rPr>
          <w:spacing w:val="-3"/>
          <w:w w:val="105"/>
        </w:rPr>
        <w:t>value laden, </w:t>
      </w:r>
      <w:r>
        <w:rPr>
          <w:w w:val="105"/>
        </w:rPr>
        <w:t>and hence </w:t>
      </w:r>
      <w:r>
        <w:rPr>
          <w:spacing w:val="-3"/>
          <w:w w:val="105"/>
        </w:rPr>
        <w:t>takes account </w:t>
      </w:r>
      <w:r>
        <w:rPr>
          <w:w w:val="105"/>
        </w:rPr>
        <w:t>of </w:t>
      </w:r>
      <w:r>
        <w:rPr>
          <w:spacing w:val="-3"/>
          <w:w w:val="105"/>
        </w:rPr>
        <w:t>social, </w:t>
      </w:r>
      <w:r>
        <w:rPr>
          <w:w w:val="105"/>
        </w:rPr>
        <w:t>moral and economic </w:t>
      </w:r>
      <w:r>
        <w:rPr>
          <w:spacing w:val="-5"/>
          <w:w w:val="105"/>
        </w:rPr>
        <w:t>factors’.</w:t>
      </w:r>
      <w:r>
        <w:rPr>
          <w:spacing w:val="-5"/>
          <w:w w:val="105"/>
          <w:position w:val="7"/>
          <w:sz w:val="12"/>
        </w:rPr>
        <w:t>105</w:t>
      </w:r>
    </w:p>
    <w:p>
      <w:pPr>
        <w:pStyle w:val="ListParagraph"/>
        <w:numPr>
          <w:ilvl w:val="1"/>
          <w:numId w:val="16"/>
        </w:numPr>
        <w:tabs>
          <w:tab w:pos="2380" w:val="left" w:leader="none"/>
          <w:tab w:pos="2381" w:val="left" w:leader="none"/>
        </w:tabs>
        <w:spacing w:line="242" w:lineRule="auto" w:before="90" w:after="0"/>
        <w:ind w:left="2380" w:right="1623" w:hanging="793"/>
        <w:jc w:val="left"/>
        <w:rPr>
          <w:sz w:val="21"/>
        </w:rPr>
      </w:pPr>
      <w:r>
        <w:rPr>
          <w:spacing w:val="-7"/>
          <w:w w:val="105"/>
          <w:sz w:val="21"/>
        </w:rPr>
        <w:t>To </w:t>
      </w:r>
      <w:r>
        <w:rPr>
          <w:spacing w:val="-3"/>
          <w:w w:val="105"/>
          <w:sz w:val="21"/>
        </w:rPr>
        <w:t>determine </w:t>
      </w:r>
      <w:r>
        <w:rPr>
          <w:w w:val="105"/>
          <w:sz w:val="21"/>
        </w:rPr>
        <w:t>whether the </w:t>
      </w:r>
      <w:r>
        <w:rPr>
          <w:spacing w:val="-3"/>
          <w:w w:val="105"/>
          <w:sz w:val="21"/>
        </w:rPr>
        <w:t>harm </w:t>
      </w:r>
      <w:r>
        <w:rPr>
          <w:w w:val="105"/>
          <w:sz w:val="21"/>
        </w:rPr>
        <w:t>suffered was </w:t>
      </w:r>
      <w:r>
        <w:rPr>
          <w:spacing w:val="-2"/>
          <w:w w:val="105"/>
          <w:sz w:val="21"/>
        </w:rPr>
        <w:t>not </w:t>
      </w:r>
      <w:r>
        <w:rPr>
          <w:w w:val="105"/>
          <w:sz w:val="21"/>
        </w:rPr>
        <w:t>too </w:t>
      </w:r>
      <w:r>
        <w:rPr>
          <w:spacing w:val="-4"/>
          <w:w w:val="105"/>
          <w:sz w:val="21"/>
        </w:rPr>
        <w:t>remote, </w:t>
      </w:r>
      <w:r>
        <w:rPr>
          <w:w w:val="105"/>
          <w:sz w:val="21"/>
        </w:rPr>
        <w:t>the court </w:t>
      </w:r>
      <w:r>
        <w:rPr>
          <w:spacing w:val="-3"/>
          <w:w w:val="105"/>
          <w:sz w:val="21"/>
        </w:rPr>
        <w:t>will consider </w:t>
      </w:r>
      <w:r>
        <w:rPr>
          <w:w w:val="105"/>
          <w:sz w:val="21"/>
        </w:rPr>
        <w:t>whether the </w:t>
      </w:r>
      <w:r>
        <w:rPr>
          <w:spacing w:val="-3"/>
          <w:w w:val="105"/>
          <w:sz w:val="21"/>
        </w:rPr>
        <w:t>harm </w:t>
      </w:r>
      <w:r>
        <w:rPr>
          <w:w w:val="105"/>
          <w:sz w:val="21"/>
        </w:rPr>
        <w:t>is a </w:t>
      </w:r>
      <w:r>
        <w:rPr>
          <w:spacing w:val="-3"/>
          <w:w w:val="105"/>
          <w:sz w:val="21"/>
        </w:rPr>
        <w:t>reasonably </w:t>
      </w:r>
      <w:r>
        <w:rPr>
          <w:spacing w:val="-2"/>
          <w:w w:val="105"/>
          <w:sz w:val="21"/>
        </w:rPr>
        <w:t>foreseeable </w:t>
      </w:r>
      <w:r>
        <w:rPr>
          <w:spacing w:val="-3"/>
          <w:w w:val="105"/>
          <w:sz w:val="21"/>
        </w:rPr>
        <w:t>consequence </w:t>
      </w:r>
      <w:r>
        <w:rPr>
          <w:w w:val="105"/>
          <w:sz w:val="21"/>
        </w:rPr>
        <w:t>of the </w:t>
      </w:r>
      <w:r>
        <w:rPr>
          <w:spacing w:val="-3"/>
          <w:w w:val="105"/>
          <w:sz w:val="21"/>
        </w:rPr>
        <w:t>negligent </w:t>
      </w:r>
      <w:r>
        <w:rPr>
          <w:spacing w:val="-4"/>
          <w:w w:val="105"/>
          <w:sz w:val="21"/>
        </w:rPr>
        <w:t>conduct.</w:t>
      </w:r>
      <w:r>
        <w:rPr>
          <w:spacing w:val="-4"/>
          <w:w w:val="105"/>
          <w:position w:val="7"/>
          <w:sz w:val="12"/>
        </w:rPr>
        <w:t>106</w:t>
      </w:r>
      <w:r>
        <w:rPr>
          <w:spacing w:val="-4"/>
          <w:w w:val="105"/>
          <w:sz w:val="12"/>
        </w:rPr>
        <w:t> </w:t>
      </w:r>
      <w:r>
        <w:rPr>
          <w:w w:val="105"/>
          <w:sz w:val="21"/>
        </w:rPr>
        <w:t>There</w:t>
      </w:r>
      <w:r>
        <w:rPr>
          <w:spacing w:val="-5"/>
          <w:w w:val="105"/>
          <w:sz w:val="21"/>
        </w:rPr>
        <w:t> </w:t>
      </w:r>
      <w:r>
        <w:rPr>
          <w:w w:val="105"/>
          <w:sz w:val="21"/>
        </w:rPr>
        <w:t>must</w:t>
      </w:r>
      <w:r>
        <w:rPr>
          <w:spacing w:val="-6"/>
          <w:w w:val="105"/>
          <w:sz w:val="21"/>
        </w:rPr>
        <w:t> </w:t>
      </w:r>
      <w:r>
        <w:rPr>
          <w:spacing w:val="-3"/>
          <w:w w:val="105"/>
          <w:sz w:val="21"/>
        </w:rPr>
        <w:t>have</w:t>
      </w:r>
      <w:r>
        <w:rPr>
          <w:spacing w:val="-5"/>
          <w:w w:val="105"/>
          <w:sz w:val="21"/>
        </w:rPr>
        <w:t> </w:t>
      </w:r>
      <w:r>
        <w:rPr>
          <w:w w:val="105"/>
          <w:sz w:val="21"/>
        </w:rPr>
        <w:t>been</w:t>
      </w:r>
      <w:r>
        <w:rPr>
          <w:spacing w:val="-5"/>
          <w:w w:val="105"/>
          <w:sz w:val="21"/>
        </w:rPr>
        <w:t> </w:t>
      </w:r>
      <w:r>
        <w:rPr>
          <w:w w:val="105"/>
          <w:sz w:val="21"/>
        </w:rPr>
        <w:t>a</w:t>
      </w:r>
      <w:r>
        <w:rPr>
          <w:spacing w:val="-5"/>
          <w:w w:val="105"/>
          <w:sz w:val="21"/>
        </w:rPr>
        <w:t> </w:t>
      </w:r>
      <w:r>
        <w:rPr>
          <w:spacing w:val="-3"/>
          <w:w w:val="105"/>
          <w:sz w:val="21"/>
        </w:rPr>
        <w:t>real</w:t>
      </w:r>
      <w:r>
        <w:rPr>
          <w:spacing w:val="-5"/>
          <w:w w:val="105"/>
          <w:sz w:val="21"/>
        </w:rPr>
        <w:t> </w:t>
      </w:r>
      <w:r>
        <w:rPr>
          <w:w w:val="105"/>
          <w:sz w:val="21"/>
        </w:rPr>
        <w:t>(not</w:t>
      </w:r>
      <w:r>
        <w:rPr>
          <w:spacing w:val="-5"/>
          <w:w w:val="105"/>
          <w:sz w:val="21"/>
        </w:rPr>
        <w:t> </w:t>
      </w:r>
      <w:r>
        <w:rPr>
          <w:spacing w:val="-4"/>
          <w:w w:val="105"/>
          <w:sz w:val="21"/>
        </w:rPr>
        <w:t>far-fetched)</w:t>
      </w:r>
      <w:r>
        <w:rPr>
          <w:spacing w:val="-5"/>
          <w:w w:val="105"/>
          <w:sz w:val="21"/>
        </w:rPr>
        <w:t> </w:t>
      </w:r>
      <w:r>
        <w:rPr>
          <w:w w:val="105"/>
          <w:sz w:val="21"/>
        </w:rPr>
        <w:t>risk</w:t>
      </w:r>
      <w:r>
        <w:rPr>
          <w:spacing w:val="-5"/>
          <w:w w:val="105"/>
          <w:sz w:val="21"/>
        </w:rPr>
        <w:t> </w:t>
      </w:r>
      <w:r>
        <w:rPr>
          <w:spacing w:val="-3"/>
          <w:w w:val="105"/>
          <w:sz w:val="21"/>
        </w:rPr>
        <w:t>that</w:t>
      </w:r>
      <w:r>
        <w:rPr>
          <w:spacing w:val="-5"/>
          <w:w w:val="105"/>
          <w:sz w:val="21"/>
        </w:rPr>
        <w:t> </w:t>
      </w:r>
      <w:r>
        <w:rPr>
          <w:w w:val="105"/>
          <w:sz w:val="21"/>
        </w:rPr>
        <w:t>the</w:t>
      </w:r>
      <w:r>
        <w:rPr>
          <w:spacing w:val="-5"/>
          <w:w w:val="105"/>
          <w:sz w:val="21"/>
        </w:rPr>
        <w:t> </w:t>
      </w:r>
      <w:r>
        <w:rPr>
          <w:spacing w:val="-3"/>
          <w:w w:val="105"/>
          <w:sz w:val="21"/>
        </w:rPr>
        <w:t>negligent</w:t>
      </w:r>
      <w:r>
        <w:rPr>
          <w:spacing w:val="-5"/>
          <w:w w:val="105"/>
          <w:sz w:val="21"/>
        </w:rPr>
        <w:t> </w:t>
      </w:r>
      <w:r>
        <w:rPr>
          <w:w w:val="105"/>
          <w:sz w:val="21"/>
        </w:rPr>
        <w:t>conduct</w:t>
      </w:r>
      <w:r>
        <w:rPr>
          <w:spacing w:val="-5"/>
          <w:w w:val="105"/>
          <w:sz w:val="21"/>
        </w:rPr>
        <w:t> </w:t>
      </w:r>
      <w:r>
        <w:rPr>
          <w:w w:val="105"/>
          <w:sz w:val="21"/>
        </w:rPr>
        <w:t>would</w:t>
      </w:r>
      <w:r>
        <w:rPr>
          <w:spacing w:val="-5"/>
          <w:w w:val="105"/>
          <w:sz w:val="21"/>
        </w:rPr>
        <w:t> </w:t>
      </w:r>
      <w:r>
        <w:rPr>
          <w:w w:val="105"/>
          <w:sz w:val="21"/>
        </w:rPr>
        <w:t>cause the type of </w:t>
      </w:r>
      <w:r>
        <w:rPr>
          <w:spacing w:val="-3"/>
          <w:w w:val="105"/>
          <w:sz w:val="21"/>
        </w:rPr>
        <w:t>harm </w:t>
      </w:r>
      <w:r>
        <w:rPr>
          <w:w w:val="105"/>
          <w:sz w:val="21"/>
        </w:rPr>
        <w:t>in</w:t>
      </w:r>
      <w:r>
        <w:rPr>
          <w:spacing w:val="29"/>
          <w:w w:val="105"/>
          <w:sz w:val="21"/>
        </w:rPr>
        <w:t> </w:t>
      </w:r>
      <w:r>
        <w:rPr>
          <w:spacing w:val="-4"/>
          <w:w w:val="105"/>
          <w:sz w:val="21"/>
        </w:rPr>
        <w:t>question.</w:t>
      </w:r>
      <w:r>
        <w:rPr>
          <w:spacing w:val="-4"/>
          <w:w w:val="105"/>
          <w:position w:val="7"/>
          <w:sz w:val="12"/>
        </w:rPr>
        <w:t>107</w:t>
      </w:r>
    </w:p>
    <w:p>
      <w:pPr>
        <w:pStyle w:val="ListParagraph"/>
        <w:numPr>
          <w:ilvl w:val="1"/>
          <w:numId w:val="16"/>
        </w:numPr>
        <w:tabs>
          <w:tab w:pos="2380" w:val="left" w:leader="none"/>
          <w:tab w:pos="2382" w:val="left" w:leader="none"/>
        </w:tabs>
        <w:spacing w:line="242" w:lineRule="auto" w:before="125" w:after="0"/>
        <w:ind w:left="2381" w:right="1756" w:hanging="794"/>
        <w:jc w:val="left"/>
        <w:rPr>
          <w:sz w:val="21"/>
        </w:rPr>
      </w:pPr>
      <w:r>
        <w:rPr>
          <w:sz w:val="21"/>
        </w:rPr>
        <w:t>In tree </w:t>
      </w:r>
      <w:r>
        <w:rPr>
          <w:spacing w:val="-3"/>
          <w:sz w:val="21"/>
        </w:rPr>
        <w:t>disputes  </w:t>
      </w:r>
      <w:r>
        <w:rPr>
          <w:sz w:val="21"/>
        </w:rPr>
        <w:t>where damage </w:t>
      </w:r>
      <w:r>
        <w:rPr>
          <w:spacing w:val="-3"/>
          <w:sz w:val="21"/>
        </w:rPr>
        <w:t>to</w:t>
      </w:r>
      <w:r>
        <w:rPr>
          <w:spacing w:val="41"/>
          <w:sz w:val="21"/>
        </w:rPr>
        <w:t> </w:t>
      </w:r>
      <w:r>
        <w:rPr>
          <w:sz w:val="21"/>
        </w:rPr>
        <w:t>property is </w:t>
      </w:r>
      <w:r>
        <w:rPr>
          <w:spacing w:val="-3"/>
          <w:sz w:val="21"/>
        </w:rPr>
        <w:t>concerned,  negligence  </w:t>
      </w:r>
      <w:r>
        <w:rPr>
          <w:sz w:val="21"/>
        </w:rPr>
        <w:t>is often </w:t>
      </w:r>
      <w:r>
        <w:rPr>
          <w:spacing w:val="-2"/>
          <w:sz w:val="21"/>
        </w:rPr>
        <w:t>submitted   </w:t>
      </w:r>
      <w:r>
        <w:rPr>
          <w:sz w:val="21"/>
        </w:rPr>
        <w:t>as an </w:t>
      </w:r>
      <w:r>
        <w:rPr>
          <w:spacing w:val="-3"/>
          <w:sz w:val="21"/>
        </w:rPr>
        <w:t>alternative </w:t>
      </w:r>
      <w:r>
        <w:rPr>
          <w:sz w:val="21"/>
        </w:rPr>
        <w:t>cause of action </w:t>
      </w:r>
      <w:r>
        <w:rPr>
          <w:spacing w:val="-3"/>
          <w:sz w:val="21"/>
        </w:rPr>
        <w:t>to </w:t>
      </w:r>
      <w:r>
        <w:rPr>
          <w:spacing w:val="-4"/>
          <w:sz w:val="21"/>
        </w:rPr>
        <w:t>nuisance.</w:t>
      </w:r>
      <w:r>
        <w:rPr>
          <w:spacing w:val="-4"/>
          <w:position w:val="7"/>
          <w:sz w:val="12"/>
        </w:rPr>
        <w:t>108 </w:t>
      </w:r>
      <w:r>
        <w:rPr>
          <w:sz w:val="21"/>
        </w:rPr>
        <w:t>Where personal injury is alleged in a tree </w:t>
      </w:r>
      <w:r>
        <w:rPr>
          <w:spacing w:val="-3"/>
          <w:sz w:val="21"/>
        </w:rPr>
        <w:t>dispute,</w:t>
      </w:r>
      <w:r>
        <w:rPr>
          <w:spacing w:val="12"/>
          <w:sz w:val="21"/>
        </w:rPr>
        <w:t> </w:t>
      </w:r>
      <w:r>
        <w:rPr>
          <w:sz w:val="21"/>
        </w:rPr>
        <w:t>it</w:t>
      </w:r>
      <w:r>
        <w:rPr>
          <w:spacing w:val="12"/>
          <w:sz w:val="21"/>
        </w:rPr>
        <w:t> </w:t>
      </w:r>
      <w:r>
        <w:rPr>
          <w:sz w:val="21"/>
        </w:rPr>
        <w:t>is</w:t>
      </w:r>
      <w:r>
        <w:rPr>
          <w:spacing w:val="12"/>
          <w:sz w:val="21"/>
        </w:rPr>
        <w:t> </w:t>
      </w:r>
      <w:r>
        <w:rPr>
          <w:sz w:val="21"/>
        </w:rPr>
        <w:t>more</w:t>
      </w:r>
      <w:r>
        <w:rPr>
          <w:spacing w:val="13"/>
          <w:sz w:val="21"/>
        </w:rPr>
        <w:t> </w:t>
      </w:r>
      <w:r>
        <w:rPr>
          <w:spacing w:val="-4"/>
          <w:sz w:val="21"/>
        </w:rPr>
        <w:t>likely</w:t>
      </w:r>
      <w:r>
        <w:rPr>
          <w:spacing w:val="12"/>
          <w:sz w:val="21"/>
        </w:rPr>
        <w:t> </w:t>
      </w:r>
      <w:r>
        <w:rPr>
          <w:spacing w:val="-3"/>
          <w:sz w:val="21"/>
        </w:rPr>
        <w:t>that</w:t>
      </w:r>
      <w:r>
        <w:rPr>
          <w:spacing w:val="12"/>
          <w:sz w:val="21"/>
        </w:rPr>
        <w:t> </w:t>
      </w:r>
      <w:r>
        <w:rPr>
          <w:spacing w:val="-3"/>
          <w:sz w:val="21"/>
        </w:rPr>
        <w:t>negligence</w:t>
      </w:r>
      <w:r>
        <w:rPr>
          <w:spacing w:val="12"/>
          <w:sz w:val="21"/>
        </w:rPr>
        <w:t> </w:t>
      </w:r>
      <w:r>
        <w:rPr>
          <w:spacing w:val="-3"/>
          <w:sz w:val="21"/>
        </w:rPr>
        <w:t>will</w:t>
      </w:r>
      <w:r>
        <w:rPr>
          <w:spacing w:val="13"/>
          <w:sz w:val="21"/>
        </w:rPr>
        <w:t> </w:t>
      </w:r>
      <w:r>
        <w:rPr>
          <w:sz w:val="21"/>
        </w:rPr>
        <w:t>be</w:t>
      </w:r>
      <w:r>
        <w:rPr>
          <w:spacing w:val="12"/>
          <w:sz w:val="21"/>
        </w:rPr>
        <w:t> </w:t>
      </w:r>
      <w:r>
        <w:rPr>
          <w:spacing w:val="-3"/>
          <w:sz w:val="21"/>
        </w:rPr>
        <w:t>exclusively</w:t>
      </w:r>
      <w:r>
        <w:rPr>
          <w:spacing w:val="12"/>
          <w:sz w:val="21"/>
        </w:rPr>
        <w:t> </w:t>
      </w:r>
      <w:r>
        <w:rPr>
          <w:spacing w:val="-3"/>
          <w:sz w:val="21"/>
        </w:rPr>
        <w:t>relied</w:t>
      </w:r>
      <w:r>
        <w:rPr>
          <w:spacing w:val="12"/>
          <w:sz w:val="21"/>
        </w:rPr>
        <w:t> </w:t>
      </w:r>
      <w:r>
        <w:rPr>
          <w:spacing w:val="-5"/>
          <w:sz w:val="21"/>
        </w:rPr>
        <w:t>on.</w:t>
      </w:r>
      <w:r>
        <w:rPr>
          <w:spacing w:val="-5"/>
          <w:position w:val="7"/>
          <w:sz w:val="12"/>
        </w:rPr>
        <w:t>109</w:t>
      </w:r>
    </w:p>
    <w:p>
      <w:pPr>
        <w:pStyle w:val="Heading7"/>
        <w:spacing w:before="153"/>
      </w:pPr>
      <w:r>
        <w:rPr>
          <w:w w:val="115"/>
        </w:rPr>
        <w:t>Defences</w:t>
      </w:r>
    </w:p>
    <w:p>
      <w:pPr>
        <w:pStyle w:val="ListParagraph"/>
        <w:numPr>
          <w:ilvl w:val="1"/>
          <w:numId w:val="16"/>
        </w:numPr>
        <w:tabs>
          <w:tab w:pos="2381" w:val="left" w:leader="none"/>
          <w:tab w:pos="2382" w:val="left" w:leader="none"/>
        </w:tabs>
        <w:spacing w:line="240" w:lineRule="auto" w:before="143" w:after="0"/>
        <w:ind w:left="2381" w:right="0" w:hanging="794"/>
        <w:jc w:val="left"/>
        <w:rPr>
          <w:sz w:val="21"/>
        </w:rPr>
      </w:pPr>
      <w:r>
        <w:rPr>
          <w:w w:val="105"/>
          <w:sz w:val="21"/>
        </w:rPr>
        <w:t>There</w:t>
      </w:r>
      <w:r>
        <w:rPr>
          <w:spacing w:val="4"/>
          <w:w w:val="105"/>
          <w:sz w:val="21"/>
        </w:rPr>
        <w:t> </w:t>
      </w:r>
      <w:r>
        <w:rPr>
          <w:spacing w:val="-3"/>
          <w:w w:val="105"/>
          <w:sz w:val="21"/>
        </w:rPr>
        <w:t>are</w:t>
      </w:r>
      <w:r>
        <w:rPr>
          <w:spacing w:val="4"/>
          <w:w w:val="105"/>
          <w:sz w:val="21"/>
        </w:rPr>
        <w:t> </w:t>
      </w:r>
      <w:r>
        <w:rPr>
          <w:spacing w:val="-3"/>
          <w:w w:val="105"/>
          <w:sz w:val="21"/>
        </w:rPr>
        <w:t>four</w:t>
      </w:r>
      <w:r>
        <w:rPr>
          <w:spacing w:val="4"/>
          <w:w w:val="105"/>
          <w:sz w:val="21"/>
        </w:rPr>
        <w:t> </w:t>
      </w:r>
      <w:r>
        <w:rPr>
          <w:spacing w:val="-3"/>
          <w:w w:val="105"/>
          <w:sz w:val="21"/>
        </w:rPr>
        <w:t>defences</w:t>
      </w:r>
      <w:r>
        <w:rPr>
          <w:spacing w:val="4"/>
          <w:w w:val="105"/>
          <w:sz w:val="21"/>
        </w:rPr>
        <w:t> </w:t>
      </w:r>
      <w:r>
        <w:rPr>
          <w:spacing w:val="-3"/>
          <w:w w:val="105"/>
          <w:sz w:val="21"/>
        </w:rPr>
        <w:t>available</w:t>
      </w:r>
      <w:r>
        <w:rPr>
          <w:spacing w:val="4"/>
          <w:w w:val="105"/>
          <w:sz w:val="21"/>
        </w:rPr>
        <w:t> </w:t>
      </w:r>
      <w:r>
        <w:rPr>
          <w:spacing w:val="-3"/>
          <w:w w:val="105"/>
          <w:sz w:val="21"/>
        </w:rPr>
        <w:t>against</w:t>
      </w:r>
      <w:r>
        <w:rPr>
          <w:spacing w:val="4"/>
          <w:w w:val="105"/>
          <w:sz w:val="21"/>
        </w:rPr>
        <w:t> </w:t>
      </w:r>
      <w:r>
        <w:rPr>
          <w:spacing w:val="-3"/>
          <w:w w:val="105"/>
          <w:sz w:val="21"/>
        </w:rPr>
        <w:t>claims</w:t>
      </w:r>
      <w:r>
        <w:rPr>
          <w:spacing w:val="5"/>
          <w:w w:val="105"/>
          <w:sz w:val="21"/>
        </w:rPr>
        <w:t> </w:t>
      </w:r>
      <w:r>
        <w:rPr>
          <w:w w:val="105"/>
          <w:sz w:val="21"/>
        </w:rPr>
        <w:t>of</w:t>
      </w:r>
      <w:r>
        <w:rPr>
          <w:spacing w:val="4"/>
          <w:w w:val="105"/>
          <w:sz w:val="21"/>
        </w:rPr>
        <w:t> </w:t>
      </w:r>
      <w:r>
        <w:rPr>
          <w:spacing w:val="-3"/>
          <w:w w:val="105"/>
          <w:sz w:val="21"/>
        </w:rPr>
        <w:t>negligence.</w:t>
      </w:r>
      <w:r>
        <w:rPr>
          <w:spacing w:val="4"/>
          <w:w w:val="105"/>
          <w:sz w:val="21"/>
        </w:rPr>
        <w:t> </w:t>
      </w:r>
      <w:r>
        <w:rPr>
          <w:w w:val="105"/>
          <w:sz w:val="21"/>
        </w:rPr>
        <w:t>These</w:t>
      </w:r>
      <w:r>
        <w:rPr>
          <w:spacing w:val="4"/>
          <w:w w:val="105"/>
          <w:sz w:val="21"/>
        </w:rPr>
        <w:t> </w:t>
      </w:r>
      <w:r>
        <w:rPr>
          <w:w w:val="105"/>
          <w:sz w:val="21"/>
        </w:rPr>
        <w:t>are:</w:t>
      </w:r>
    </w:p>
    <w:p>
      <w:pPr>
        <w:pStyle w:val="ListParagraph"/>
        <w:numPr>
          <w:ilvl w:val="2"/>
          <w:numId w:val="16"/>
        </w:numPr>
        <w:tabs>
          <w:tab w:pos="2721" w:val="left" w:leader="none"/>
          <w:tab w:pos="2722" w:val="left" w:leader="none"/>
        </w:tabs>
        <w:spacing w:line="242" w:lineRule="auto" w:before="124" w:after="0"/>
        <w:ind w:left="2721" w:right="1808" w:hanging="340"/>
        <w:jc w:val="left"/>
        <w:rPr>
          <w:sz w:val="21"/>
        </w:rPr>
      </w:pPr>
      <w:r>
        <w:rPr>
          <w:spacing w:val="-3"/>
          <w:w w:val="105"/>
          <w:sz w:val="21"/>
        </w:rPr>
        <w:t>Voluntary </w:t>
      </w:r>
      <w:r>
        <w:rPr>
          <w:w w:val="105"/>
          <w:sz w:val="21"/>
        </w:rPr>
        <w:t>assumption of </w:t>
      </w:r>
      <w:r>
        <w:rPr>
          <w:spacing w:val="-3"/>
          <w:w w:val="105"/>
          <w:sz w:val="21"/>
        </w:rPr>
        <w:t>risk—a negligence claim may </w:t>
      </w:r>
      <w:r>
        <w:rPr>
          <w:w w:val="105"/>
          <w:sz w:val="21"/>
        </w:rPr>
        <w:t>be </w:t>
      </w:r>
      <w:r>
        <w:rPr>
          <w:spacing w:val="-3"/>
          <w:w w:val="105"/>
          <w:sz w:val="21"/>
        </w:rPr>
        <w:t>defeated </w:t>
      </w:r>
      <w:r>
        <w:rPr>
          <w:w w:val="105"/>
          <w:sz w:val="21"/>
        </w:rPr>
        <w:t>where the tree owner</w:t>
      </w:r>
      <w:r>
        <w:rPr>
          <w:spacing w:val="-6"/>
          <w:w w:val="105"/>
          <w:sz w:val="21"/>
        </w:rPr>
        <w:t> </w:t>
      </w:r>
      <w:r>
        <w:rPr>
          <w:w w:val="105"/>
          <w:sz w:val="21"/>
        </w:rPr>
        <w:t>can</w:t>
      </w:r>
      <w:r>
        <w:rPr>
          <w:spacing w:val="-6"/>
          <w:w w:val="105"/>
          <w:sz w:val="21"/>
        </w:rPr>
        <w:t> </w:t>
      </w:r>
      <w:r>
        <w:rPr>
          <w:spacing w:val="-3"/>
          <w:w w:val="105"/>
          <w:sz w:val="21"/>
        </w:rPr>
        <w:t>prove</w:t>
      </w:r>
      <w:r>
        <w:rPr>
          <w:spacing w:val="-6"/>
          <w:w w:val="105"/>
          <w:sz w:val="21"/>
        </w:rPr>
        <w:t> </w:t>
      </w:r>
      <w:r>
        <w:rPr>
          <w:spacing w:val="-3"/>
          <w:w w:val="105"/>
          <w:sz w:val="21"/>
        </w:rPr>
        <w:t>that</w:t>
      </w:r>
      <w:r>
        <w:rPr>
          <w:spacing w:val="-6"/>
          <w:w w:val="105"/>
          <w:sz w:val="21"/>
        </w:rPr>
        <w:t> </w:t>
      </w:r>
      <w:r>
        <w:rPr>
          <w:w w:val="105"/>
          <w:sz w:val="21"/>
        </w:rPr>
        <w:t>the</w:t>
      </w:r>
      <w:r>
        <w:rPr>
          <w:spacing w:val="-6"/>
          <w:w w:val="105"/>
          <w:sz w:val="21"/>
        </w:rPr>
        <w:t> </w:t>
      </w:r>
      <w:r>
        <w:rPr>
          <w:w w:val="105"/>
          <w:sz w:val="21"/>
        </w:rPr>
        <w:t>affected</w:t>
      </w:r>
      <w:r>
        <w:rPr>
          <w:spacing w:val="-6"/>
          <w:w w:val="105"/>
          <w:sz w:val="21"/>
        </w:rPr>
        <w:t> </w:t>
      </w:r>
      <w:r>
        <w:rPr>
          <w:spacing w:val="-3"/>
          <w:w w:val="105"/>
          <w:sz w:val="21"/>
        </w:rPr>
        <w:t>neighbour</w:t>
      </w:r>
      <w:r>
        <w:rPr>
          <w:spacing w:val="-6"/>
          <w:w w:val="105"/>
          <w:sz w:val="21"/>
        </w:rPr>
        <w:t> </w:t>
      </w:r>
      <w:r>
        <w:rPr>
          <w:spacing w:val="-3"/>
          <w:w w:val="105"/>
          <w:sz w:val="21"/>
        </w:rPr>
        <w:t>fully</w:t>
      </w:r>
      <w:r>
        <w:rPr>
          <w:spacing w:val="-5"/>
          <w:w w:val="105"/>
          <w:sz w:val="21"/>
        </w:rPr>
        <w:t> </w:t>
      </w:r>
      <w:r>
        <w:rPr>
          <w:w w:val="105"/>
          <w:sz w:val="21"/>
        </w:rPr>
        <w:t>understood</w:t>
      </w:r>
      <w:r>
        <w:rPr>
          <w:spacing w:val="-6"/>
          <w:w w:val="105"/>
          <w:sz w:val="21"/>
        </w:rPr>
        <w:t> </w:t>
      </w:r>
      <w:r>
        <w:rPr>
          <w:w w:val="105"/>
          <w:sz w:val="21"/>
        </w:rPr>
        <w:t>the</w:t>
      </w:r>
      <w:r>
        <w:rPr>
          <w:spacing w:val="-6"/>
          <w:w w:val="105"/>
          <w:sz w:val="21"/>
        </w:rPr>
        <w:t> </w:t>
      </w:r>
      <w:r>
        <w:rPr>
          <w:w w:val="105"/>
          <w:sz w:val="21"/>
        </w:rPr>
        <w:t>extent</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w w:val="105"/>
          <w:sz w:val="21"/>
        </w:rPr>
        <w:t>risk</w:t>
      </w:r>
    </w:p>
    <w:p>
      <w:pPr>
        <w:pStyle w:val="BodyText"/>
        <w:spacing w:before="8"/>
      </w:pPr>
      <w:r>
        <w:rPr/>
        <w:pict>
          <v:line style="position:absolute;mso-position-horizontal-relative:page;mso-position-vertical-relative:paragraph;z-index:1328;mso-wrap-distance-left:0;mso-wrap-distance-right:0" from="79.370003pt,15.715833pt" to="515.905003pt,15.715833pt" stroked="true" strokeweight="1pt" strokecolor="#c9d2cb">
            <v:stroke dashstyle="solid"/>
            <w10:wrap type="topAndBottom"/>
          </v:line>
        </w:pict>
      </w:r>
    </w:p>
    <w:p>
      <w:pPr>
        <w:pStyle w:val="ListParagraph"/>
        <w:numPr>
          <w:ilvl w:val="0"/>
          <w:numId w:val="28"/>
        </w:numPr>
        <w:tabs>
          <w:tab w:pos="2380" w:val="left" w:leader="none"/>
          <w:tab w:pos="2382" w:val="left" w:leader="none"/>
        </w:tabs>
        <w:spacing w:line="240" w:lineRule="auto" w:before="117" w:after="0"/>
        <w:ind w:left="2381" w:right="1626" w:hanging="794"/>
        <w:jc w:val="left"/>
        <w:rPr>
          <w:sz w:val="13"/>
        </w:rPr>
      </w:pPr>
      <w:r>
        <w:rPr>
          <w:i/>
          <w:w w:val="105"/>
          <w:sz w:val="13"/>
        </w:rPr>
        <w:t>Wrongs Act 1958 </w:t>
      </w:r>
      <w:r>
        <w:rPr>
          <w:spacing w:val="2"/>
          <w:w w:val="105"/>
          <w:sz w:val="13"/>
        </w:rPr>
        <w:t>(Vic) </w:t>
      </w:r>
      <w:r>
        <w:rPr>
          <w:w w:val="105"/>
          <w:sz w:val="13"/>
        </w:rPr>
        <w:t>s </w:t>
      </w:r>
      <w:r>
        <w:rPr>
          <w:spacing w:val="3"/>
          <w:w w:val="105"/>
          <w:sz w:val="13"/>
        </w:rPr>
        <w:t>48; </w:t>
      </w:r>
      <w:r>
        <w:rPr>
          <w:w w:val="105"/>
          <w:sz w:val="13"/>
        </w:rPr>
        <w:t>Thomson Reuters, </w:t>
      </w:r>
      <w:r>
        <w:rPr>
          <w:i/>
          <w:w w:val="105"/>
          <w:sz w:val="13"/>
        </w:rPr>
        <w:t>The Laws of Australia </w:t>
      </w:r>
      <w:r>
        <w:rPr>
          <w:w w:val="105"/>
          <w:sz w:val="13"/>
        </w:rPr>
        <w:t>(at 1 June 2016) 33 Torts, ‘2 Negligence’ [33.2.1510]. The double negative, ‘not insignificant’, is a statutory formulation based on the common law: see </w:t>
      </w:r>
      <w:r>
        <w:rPr>
          <w:i/>
          <w:w w:val="105"/>
          <w:sz w:val="13"/>
        </w:rPr>
        <w:t>Wrongs Act 1958 </w:t>
      </w:r>
      <w:r>
        <w:rPr>
          <w:spacing w:val="2"/>
          <w:w w:val="105"/>
          <w:sz w:val="13"/>
        </w:rPr>
        <w:t>(Vic) </w:t>
      </w:r>
      <w:r>
        <w:rPr>
          <w:w w:val="105"/>
          <w:sz w:val="13"/>
        </w:rPr>
        <w:t>s </w:t>
      </w:r>
      <w:r>
        <w:rPr>
          <w:spacing w:val="3"/>
          <w:w w:val="105"/>
          <w:sz w:val="13"/>
        </w:rPr>
        <w:t>48(1)(b) </w:t>
      </w:r>
      <w:r>
        <w:rPr>
          <w:w w:val="105"/>
          <w:sz w:val="13"/>
        </w:rPr>
        <w:t>and </w:t>
      </w:r>
      <w:r>
        <w:rPr>
          <w:i/>
          <w:w w:val="105"/>
          <w:sz w:val="13"/>
        </w:rPr>
        <w:t>Wyong Shire </w:t>
      </w:r>
      <w:r>
        <w:rPr>
          <w:i/>
          <w:w w:val="105"/>
          <w:sz w:val="13"/>
        </w:rPr>
        <w:t>Council v Shirt </w:t>
      </w:r>
      <w:r>
        <w:rPr>
          <w:w w:val="105"/>
          <w:sz w:val="13"/>
        </w:rPr>
        <w:t>(1980) 146 CLR 40, 47 in which Mason J states that ‘not insignificant’ risks are those that are ‘not far-fetched or fanciful’.        See also </w:t>
      </w:r>
      <w:r>
        <w:rPr>
          <w:i/>
          <w:w w:val="105"/>
          <w:sz w:val="13"/>
        </w:rPr>
        <w:t>Wrongs Act 1958 </w:t>
      </w:r>
      <w:r>
        <w:rPr>
          <w:spacing w:val="2"/>
          <w:w w:val="105"/>
          <w:sz w:val="13"/>
        </w:rPr>
        <w:t>(Vic) </w:t>
      </w:r>
      <w:r>
        <w:rPr>
          <w:w w:val="105"/>
          <w:sz w:val="13"/>
        </w:rPr>
        <w:t>s </w:t>
      </w:r>
      <w:r>
        <w:rPr>
          <w:spacing w:val="4"/>
          <w:w w:val="105"/>
          <w:sz w:val="13"/>
        </w:rPr>
        <w:t>48(3)(a). </w:t>
      </w:r>
      <w:r>
        <w:rPr>
          <w:w w:val="105"/>
          <w:sz w:val="13"/>
        </w:rPr>
        <w:t>The foreseeability of risks and whether or not a person has adequately taken precautions      against them will depend on balancing factors such as the probability of the risk occurring, the severity of the harm if it does, the cost and difficulty of taking precautions against the risk and the social utility of the conduct that creates the risk: </w:t>
      </w:r>
      <w:r>
        <w:rPr>
          <w:i/>
          <w:w w:val="105"/>
          <w:sz w:val="13"/>
        </w:rPr>
        <w:t>Wrongs Act 1958 </w:t>
      </w:r>
      <w:r>
        <w:rPr>
          <w:spacing w:val="2"/>
          <w:w w:val="105"/>
          <w:sz w:val="13"/>
        </w:rPr>
        <w:t>(Vic) </w:t>
      </w:r>
      <w:r>
        <w:rPr>
          <w:w w:val="105"/>
          <w:sz w:val="13"/>
        </w:rPr>
        <w:t>s </w:t>
      </w:r>
      <w:r>
        <w:rPr>
          <w:spacing w:val="3"/>
          <w:w w:val="105"/>
          <w:sz w:val="13"/>
        </w:rPr>
        <w:t>48(2). </w:t>
      </w:r>
      <w:r>
        <w:rPr>
          <w:w w:val="105"/>
          <w:sz w:val="13"/>
        </w:rPr>
        <w:t>The balancing of these factors will depend on the particular facts of each case: </w:t>
      </w:r>
      <w:r>
        <w:rPr>
          <w:i/>
          <w:w w:val="105"/>
          <w:sz w:val="13"/>
        </w:rPr>
        <w:t>Vairy v Wyong Shire Council </w:t>
      </w:r>
      <w:r>
        <w:rPr>
          <w:w w:val="105"/>
          <w:sz w:val="13"/>
        </w:rPr>
        <w:t>(2005) 223 CLR 422 </w:t>
      </w:r>
      <w:r>
        <w:rPr>
          <w:spacing w:val="3"/>
          <w:w w:val="105"/>
          <w:sz w:val="13"/>
        </w:rPr>
        <w:t>[40] </w:t>
      </w:r>
      <w:r>
        <w:rPr>
          <w:w w:val="105"/>
          <w:sz w:val="13"/>
        </w:rPr>
        <w:t>(McHugh       </w:t>
      </w:r>
      <w:r>
        <w:rPr>
          <w:spacing w:val="3"/>
          <w:w w:val="105"/>
          <w:sz w:val="13"/>
        </w:rPr>
        <w:t>J). </w:t>
      </w:r>
      <w:r>
        <w:rPr>
          <w:w w:val="105"/>
          <w:sz w:val="13"/>
        </w:rPr>
        <w:t>The balancing of these factors is commonly referred to in law as ‘the calculus of negligence’: Kit Barker, Peter Cane, Mark Lunney and Francis Trindade, </w:t>
      </w:r>
      <w:r>
        <w:rPr>
          <w:i/>
          <w:w w:val="105"/>
          <w:sz w:val="13"/>
        </w:rPr>
        <w:t>The Law of Torts in Australia </w:t>
      </w:r>
      <w:r>
        <w:rPr>
          <w:spacing w:val="2"/>
          <w:w w:val="105"/>
          <w:sz w:val="13"/>
        </w:rPr>
        <w:t>(Oxford </w:t>
      </w:r>
      <w:r>
        <w:rPr>
          <w:w w:val="105"/>
          <w:sz w:val="13"/>
        </w:rPr>
        <w:t>University Press, 5th ed, 2012) </w:t>
      </w:r>
      <w:r>
        <w:rPr>
          <w:spacing w:val="3"/>
          <w:w w:val="105"/>
          <w:sz w:val="13"/>
        </w:rPr>
        <w:t>[8.3]. </w:t>
      </w:r>
      <w:r>
        <w:rPr>
          <w:w w:val="105"/>
          <w:sz w:val="13"/>
        </w:rPr>
        <w:t>Courts have also developed principles to infer negligent conduct where, for example, evidence may be circumstantial: see generally Kit Barker, Peter Cane, Mark Lunney and Francis Trindade,</w:t>
      </w:r>
      <w:r>
        <w:rPr>
          <w:spacing w:val="4"/>
          <w:w w:val="105"/>
          <w:sz w:val="13"/>
        </w:rPr>
        <w:t> </w:t>
      </w:r>
      <w:r>
        <w:rPr>
          <w:i/>
          <w:w w:val="105"/>
          <w:sz w:val="13"/>
        </w:rPr>
        <w:t>The</w:t>
      </w:r>
      <w:r>
        <w:rPr>
          <w:i/>
          <w:spacing w:val="5"/>
          <w:w w:val="105"/>
          <w:sz w:val="13"/>
        </w:rPr>
        <w:t> </w:t>
      </w:r>
      <w:r>
        <w:rPr>
          <w:i/>
          <w:w w:val="105"/>
          <w:sz w:val="13"/>
        </w:rPr>
        <w:t>Law</w:t>
      </w:r>
      <w:r>
        <w:rPr>
          <w:i/>
          <w:spacing w:val="4"/>
          <w:w w:val="105"/>
          <w:sz w:val="13"/>
        </w:rPr>
        <w:t> </w:t>
      </w:r>
      <w:r>
        <w:rPr>
          <w:i/>
          <w:w w:val="105"/>
          <w:sz w:val="13"/>
        </w:rPr>
        <w:t>of</w:t>
      </w:r>
      <w:r>
        <w:rPr>
          <w:i/>
          <w:spacing w:val="5"/>
          <w:w w:val="105"/>
          <w:sz w:val="13"/>
        </w:rPr>
        <w:t> </w:t>
      </w:r>
      <w:r>
        <w:rPr>
          <w:i/>
          <w:w w:val="105"/>
          <w:sz w:val="13"/>
        </w:rPr>
        <w:t>Torts</w:t>
      </w:r>
      <w:r>
        <w:rPr>
          <w:i/>
          <w:spacing w:val="4"/>
          <w:w w:val="105"/>
          <w:sz w:val="13"/>
        </w:rPr>
        <w:t> </w:t>
      </w:r>
      <w:r>
        <w:rPr>
          <w:i/>
          <w:w w:val="105"/>
          <w:sz w:val="13"/>
        </w:rPr>
        <w:t>in</w:t>
      </w:r>
      <w:r>
        <w:rPr>
          <w:i/>
          <w:spacing w:val="5"/>
          <w:w w:val="105"/>
          <w:sz w:val="13"/>
        </w:rPr>
        <w:t> </w:t>
      </w:r>
      <w:r>
        <w:rPr>
          <w:i/>
          <w:w w:val="105"/>
          <w:sz w:val="13"/>
        </w:rPr>
        <w:t>Australia</w:t>
      </w:r>
      <w:r>
        <w:rPr>
          <w:i/>
          <w:spacing w:val="4"/>
          <w:w w:val="105"/>
          <w:sz w:val="13"/>
        </w:rPr>
        <w:t> </w:t>
      </w:r>
      <w:r>
        <w:rPr>
          <w:spacing w:val="2"/>
          <w:w w:val="105"/>
          <w:sz w:val="13"/>
        </w:rPr>
        <w:t>(Oxford</w:t>
      </w:r>
      <w:r>
        <w:rPr>
          <w:spacing w:val="5"/>
          <w:w w:val="105"/>
          <w:sz w:val="13"/>
        </w:rPr>
        <w:t> </w:t>
      </w:r>
      <w:r>
        <w:rPr>
          <w:w w:val="105"/>
          <w:sz w:val="13"/>
        </w:rPr>
        <w:t>University</w:t>
      </w:r>
      <w:r>
        <w:rPr>
          <w:spacing w:val="4"/>
          <w:w w:val="105"/>
          <w:sz w:val="13"/>
        </w:rPr>
        <w:t> </w:t>
      </w:r>
      <w:r>
        <w:rPr>
          <w:w w:val="105"/>
          <w:sz w:val="13"/>
        </w:rPr>
        <w:t>Press,</w:t>
      </w:r>
      <w:r>
        <w:rPr>
          <w:spacing w:val="5"/>
          <w:w w:val="105"/>
          <w:sz w:val="13"/>
        </w:rPr>
        <w:t> </w:t>
      </w:r>
      <w:r>
        <w:rPr>
          <w:w w:val="105"/>
          <w:sz w:val="13"/>
        </w:rPr>
        <w:t>5th</w:t>
      </w:r>
      <w:r>
        <w:rPr>
          <w:spacing w:val="5"/>
          <w:w w:val="105"/>
          <w:sz w:val="13"/>
        </w:rPr>
        <w:t> </w:t>
      </w:r>
      <w:r>
        <w:rPr>
          <w:w w:val="105"/>
          <w:sz w:val="13"/>
        </w:rPr>
        <w:t>ed,</w:t>
      </w:r>
      <w:r>
        <w:rPr>
          <w:spacing w:val="4"/>
          <w:w w:val="105"/>
          <w:sz w:val="13"/>
        </w:rPr>
        <w:t> </w:t>
      </w:r>
      <w:r>
        <w:rPr>
          <w:w w:val="105"/>
          <w:sz w:val="13"/>
        </w:rPr>
        <w:t>2012)</w:t>
      </w:r>
      <w:r>
        <w:rPr>
          <w:spacing w:val="5"/>
          <w:w w:val="105"/>
          <w:sz w:val="13"/>
        </w:rPr>
        <w:t> </w:t>
      </w:r>
      <w:r>
        <w:rPr>
          <w:w w:val="105"/>
          <w:sz w:val="13"/>
        </w:rPr>
        <w:t>Ch</w:t>
      </w:r>
      <w:r>
        <w:rPr>
          <w:spacing w:val="4"/>
          <w:w w:val="105"/>
          <w:sz w:val="13"/>
        </w:rPr>
        <w:t> </w:t>
      </w:r>
      <w:r>
        <w:rPr>
          <w:spacing w:val="-3"/>
          <w:w w:val="105"/>
          <w:sz w:val="13"/>
        </w:rPr>
        <w:t>8.7.</w:t>
      </w:r>
    </w:p>
    <w:p>
      <w:pPr>
        <w:pStyle w:val="ListParagraph"/>
        <w:numPr>
          <w:ilvl w:val="0"/>
          <w:numId w:val="28"/>
        </w:numPr>
        <w:tabs>
          <w:tab w:pos="2381" w:val="left" w:leader="none"/>
          <w:tab w:pos="2382" w:val="left" w:leader="none"/>
        </w:tabs>
        <w:spacing w:line="240" w:lineRule="auto" w:before="15" w:after="0"/>
        <w:ind w:left="2381" w:right="1668" w:hanging="794"/>
        <w:jc w:val="left"/>
        <w:rPr>
          <w:sz w:val="13"/>
        </w:rPr>
      </w:pPr>
      <w:r>
        <w:rPr>
          <w:sz w:val="13"/>
        </w:rPr>
        <w:t>Damage to </w:t>
      </w:r>
      <w:r>
        <w:rPr>
          <w:spacing w:val="2"/>
          <w:sz w:val="13"/>
        </w:rPr>
        <w:t>property </w:t>
      </w:r>
      <w:r>
        <w:rPr>
          <w:sz w:val="13"/>
        </w:rPr>
        <w:t>includes damage caused to anything on the  land,  including  chattels  or  possessions.  Personal  injury  refers  to  physical bodily </w:t>
      </w:r>
      <w:r>
        <w:rPr>
          <w:spacing w:val="3"/>
          <w:sz w:val="13"/>
        </w:rPr>
        <w:t>injury—cf </w:t>
      </w:r>
      <w:r>
        <w:rPr>
          <w:sz w:val="13"/>
        </w:rPr>
        <w:t>mental harm, which is a separate category of harm: see </w:t>
      </w:r>
      <w:r>
        <w:rPr>
          <w:i/>
          <w:sz w:val="13"/>
        </w:rPr>
        <w:t>Wrongs Act 1958  </w:t>
      </w:r>
      <w:r>
        <w:rPr>
          <w:spacing w:val="2"/>
          <w:sz w:val="13"/>
        </w:rPr>
        <w:t>(Vic)  </w:t>
      </w:r>
      <w:r>
        <w:rPr>
          <w:sz w:val="13"/>
        </w:rPr>
        <w:t>Part  XI  and  Kit  Barker,  Peter  Cane,  Mark Lunney and Francis Trindade, </w:t>
      </w:r>
      <w:r>
        <w:rPr>
          <w:i/>
          <w:sz w:val="13"/>
        </w:rPr>
        <w:t>The Law of Torts in Australia </w:t>
      </w:r>
      <w:r>
        <w:rPr>
          <w:spacing w:val="2"/>
          <w:sz w:val="13"/>
        </w:rPr>
        <w:t>(Oxford  </w:t>
      </w:r>
      <w:r>
        <w:rPr>
          <w:sz w:val="13"/>
        </w:rPr>
        <w:t>University  Press,  5th  ed,  2012)  Ch  9.4.  Economic  loss  is  an  ‘injury  to person or </w:t>
      </w:r>
      <w:r>
        <w:rPr>
          <w:spacing w:val="2"/>
          <w:sz w:val="13"/>
        </w:rPr>
        <w:t>property </w:t>
      </w:r>
      <w:r>
        <w:rPr>
          <w:sz w:val="13"/>
        </w:rPr>
        <w:t>resulting in immediate or subsequent detriment to a person’s income or wealth’: Peter Butt </w:t>
      </w:r>
      <w:r>
        <w:rPr>
          <w:spacing w:val="2"/>
          <w:sz w:val="13"/>
        </w:rPr>
        <w:t>(ed), </w:t>
      </w:r>
      <w:r>
        <w:rPr>
          <w:i/>
          <w:sz w:val="13"/>
        </w:rPr>
        <w:t>Butterworths’ Concise </w:t>
      </w:r>
      <w:r>
        <w:rPr>
          <w:i/>
          <w:sz w:val="13"/>
        </w:rPr>
        <w:t>Australian</w:t>
      </w:r>
      <w:r>
        <w:rPr>
          <w:i/>
          <w:spacing w:val="7"/>
          <w:sz w:val="13"/>
        </w:rPr>
        <w:t> </w:t>
      </w:r>
      <w:r>
        <w:rPr>
          <w:i/>
          <w:sz w:val="13"/>
        </w:rPr>
        <w:t>Legal</w:t>
      </w:r>
      <w:r>
        <w:rPr>
          <w:i/>
          <w:spacing w:val="8"/>
          <w:sz w:val="13"/>
        </w:rPr>
        <w:t> </w:t>
      </w:r>
      <w:r>
        <w:rPr>
          <w:i/>
          <w:sz w:val="13"/>
        </w:rPr>
        <w:t>Dictionary</w:t>
      </w:r>
      <w:r>
        <w:rPr>
          <w:i/>
          <w:spacing w:val="8"/>
          <w:sz w:val="13"/>
        </w:rPr>
        <w:t> </w:t>
      </w:r>
      <w:r>
        <w:rPr>
          <w:spacing w:val="2"/>
          <w:sz w:val="13"/>
        </w:rPr>
        <w:t>(LexisNexis/Butterworths,</w:t>
      </w:r>
      <w:r>
        <w:rPr>
          <w:spacing w:val="8"/>
          <w:sz w:val="13"/>
        </w:rPr>
        <w:t> </w:t>
      </w:r>
      <w:r>
        <w:rPr>
          <w:sz w:val="13"/>
        </w:rPr>
        <w:t>3rd</w:t>
      </w:r>
      <w:r>
        <w:rPr>
          <w:spacing w:val="8"/>
          <w:sz w:val="13"/>
        </w:rPr>
        <w:t> </w:t>
      </w:r>
      <w:r>
        <w:rPr>
          <w:sz w:val="13"/>
        </w:rPr>
        <w:t>ed,</w:t>
      </w:r>
      <w:r>
        <w:rPr>
          <w:spacing w:val="8"/>
          <w:sz w:val="13"/>
        </w:rPr>
        <w:t> </w:t>
      </w:r>
      <w:r>
        <w:rPr>
          <w:spacing w:val="2"/>
          <w:sz w:val="13"/>
        </w:rPr>
        <w:t>2004)</w:t>
      </w:r>
      <w:r>
        <w:rPr>
          <w:spacing w:val="8"/>
          <w:sz w:val="13"/>
        </w:rPr>
        <w:t> </w:t>
      </w:r>
      <w:r>
        <w:rPr>
          <w:sz w:val="13"/>
        </w:rPr>
        <w:t>‘economic</w:t>
      </w:r>
      <w:r>
        <w:rPr>
          <w:spacing w:val="8"/>
          <w:sz w:val="13"/>
        </w:rPr>
        <w:t> </w:t>
      </w:r>
      <w:r>
        <w:rPr>
          <w:sz w:val="13"/>
        </w:rPr>
        <w:t>loss’.</w:t>
      </w:r>
    </w:p>
    <w:p>
      <w:pPr>
        <w:pStyle w:val="ListParagraph"/>
        <w:numPr>
          <w:ilvl w:val="0"/>
          <w:numId w:val="28"/>
        </w:numPr>
        <w:tabs>
          <w:tab w:pos="2381" w:val="left" w:leader="none"/>
          <w:tab w:pos="2382" w:val="left" w:leader="none"/>
        </w:tabs>
        <w:spacing w:line="240" w:lineRule="auto" w:before="6" w:after="0"/>
        <w:ind w:left="2381" w:right="0" w:hanging="794"/>
        <w:jc w:val="left"/>
        <w:rPr>
          <w:sz w:val="13"/>
        </w:rPr>
      </w:pPr>
      <w:r>
        <w:rPr>
          <w:i/>
          <w:w w:val="105"/>
          <w:sz w:val="13"/>
        </w:rPr>
        <w:t>Wrongs</w:t>
      </w:r>
      <w:r>
        <w:rPr>
          <w:i/>
          <w:spacing w:val="4"/>
          <w:w w:val="105"/>
          <w:sz w:val="13"/>
        </w:rPr>
        <w:t> </w:t>
      </w:r>
      <w:r>
        <w:rPr>
          <w:i/>
          <w:w w:val="105"/>
          <w:sz w:val="13"/>
        </w:rPr>
        <w:t>Act</w:t>
      </w:r>
      <w:r>
        <w:rPr>
          <w:i/>
          <w:spacing w:val="5"/>
          <w:w w:val="105"/>
          <w:sz w:val="13"/>
        </w:rPr>
        <w:t> </w:t>
      </w:r>
      <w:r>
        <w:rPr>
          <w:i/>
          <w:w w:val="105"/>
          <w:sz w:val="13"/>
        </w:rPr>
        <w:t>1958</w:t>
      </w:r>
      <w:r>
        <w:rPr>
          <w:i/>
          <w:spacing w:val="4"/>
          <w:w w:val="105"/>
          <w:sz w:val="13"/>
        </w:rPr>
        <w:t> </w:t>
      </w:r>
      <w:r>
        <w:rPr>
          <w:spacing w:val="2"/>
          <w:w w:val="105"/>
          <w:sz w:val="13"/>
        </w:rPr>
        <w:t>(Vic)</w:t>
      </w:r>
      <w:r>
        <w:rPr>
          <w:spacing w:val="5"/>
          <w:w w:val="105"/>
          <w:sz w:val="13"/>
        </w:rPr>
        <w:t> </w:t>
      </w:r>
      <w:r>
        <w:rPr>
          <w:w w:val="105"/>
          <w:sz w:val="13"/>
        </w:rPr>
        <w:t>s</w:t>
      </w:r>
      <w:r>
        <w:rPr>
          <w:spacing w:val="5"/>
          <w:w w:val="105"/>
          <w:sz w:val="13"/>
        </w:rPr>
        <w:t> </w:t>
      </w:r>
      <w:r>
        <w:rPr>
          <w:w w:val="105"/>
          <w:sz w:val="13"/>
        </w:rPr>
        <w:t>51(1)(a):</w:t>
      </w:r>
      <w:r>
        <w:rPr>
          <w:spacing w:val="4"/>
          <w:w w:val="105"/>
          <w:sz w:val="13"/>
        </w:rPr>
        <w:t> </w:t>
      </w:r>
      <w:r>
        <w:rPr>
          <w:w w:val="105"/>
          <w:sz w:val="13"/>
        </w:rPr>
        <w:t>that</w:t>
      </w:r>
      <w:r>
        <w:rPr>
          <w:spacing w:val="5"/>
          <w:w w:val="105"/>
          <w:sz w:val="13"/>
        </w:rPr>
        <w:t> </w:t>
      </w:r>
      <w:r>
        <w:rPr>
          <w:w w:val="105"/>
          <w:sz w:val="13"/>
        </w:rPr>
        <w:t>the</w:t>
      </w:r>
      <w:r>
        <w:rPr>
          <w:spacing w:val="5"/>
          <w:w w:val="105"/>
          <w:sz w:val="13"/>
        </w:rPr>
        <w:t> </w:t>
      </w:r>
      <w:r>
        <w:rPr>
          <w:w w:val="105"/>
          <w:sz w:val="13"/>
        </w:rPr>
        <w:t>negligence</w:t>
      </w:r>
      <w:r>
        <w:rPr>
          <w:spacing w:val="4"/>
          <w:w w:val="105"/>
          <w:sz w:val="13"/>
        </w:rPr>
        <w:t> </w:t>
      </w:r>
      <w:r>
        <w:rPr>
          <w:w w:val="105"/>
          <w:sz w:val="13"/>
        </w:rPr>
        <w:t>was</w:t>
      </w:r>
      <w:r>
        <w:rPr>
          <w:spacing w:val="5"/>
          <w:w w:val="105"/>
          <w:sz w:val="13"/>
        </w:rPr>
        <w:t> </w:t>
      </w:r>
      <w:r>
        <w:rPr>
          <w:w w:val="105"/>
          <w:sz w:val="13"/>
        </w:rPr>
        <w:t>a</w:t>
      </w:r>
      <w:r>
        <w:rPr>
          <w:spacing w:val="5"/>
          <w:w w:val="105"/>
          <w:sz w:val="13"/>
        </w:rPr>
        <w:t> </w:t>
      </w:r>
      <w:r>
        <w:rPr>
          <w:spacing w:val="2"/>
          <w:w w:val="105"/>
          <w:sz w:val="13"/>
        </w:rPr>
        <w:t>necessary</w:t>
      </w:r>
      <w:r>
        <w:rPr>
          <w:spacing w:val="4"/>
          <w:w w:val="105"/>
          <w:sz w:val="13"/>
        </w:rPr>
        <w:t> </w:t>
      </w:r>
      <w:r>
        <w:rPr>
          <w:w w:val="105"/>
          <w:sz w:val="13"/>
        </w:rPr>
        <w:t>condition</w:t>
      </w:r>
      <w:r>
        <w:rPr>
          <w:spacing w:val="5"/>
          <w:w w:val="105"/>
          <w:sz w:val="13"/>
        </w:rPr>
        <w:t> </w:t>
      </w:r>
      <w:r>
        <w:rPr>
          <w:w w:val="105"/>
          <w:sz w:val="13"/>
        </w:rPr>
        <w:t>of</w:t>
      </w:r>
      <w:r>
        <w:rPr>
          <w:spacing w:val="5"/>
          <w:w w:val="105"/>
          <w:sz w:val="13"/>
        </w:rPr>
        <w:t> </w:t>
      </w:r>
      <w:r>
        <w:rPr>
          <w:w w:val="105"/>
          <w:sz w:val="13"/>
        </w:rPr>
        <w:t>the</w:t>
      </w:r>
      <w:r>
        <w:rPr>
          <w:spacing w:val="4"/>
          <w:w w:val="105"/>
          <w:sz w:val="13"/>
        </w:rPr>
        <w:t> </w:t>
      </w:r>
      <w:r>
        <w:rPr>
          <w:w w:val="105"/>
          <w:sz w:val="13"/>
        </w:rPr>
        <w:t>occurrence</w:t>
      </w:r>
      <w:r>
        <w:rPr>
          <w:spacing w:val="5"/>
          <w:w w:val="105"/>
          <w:sz w:val="13"/>
        </w:rPr>
        <w:t> </w:t>
      </w:r>
      <w:r>
        <w:rPr>
          <w:w w:val="105"/>
          <w:sz w:val="13"/>
        </w:rPr>
        <w:t>of</w:t>
      </w:r>
      <w:r>
        <w:rPr>
          <w:spacing w:val="5"/>
          <w:w w:val="105"/>
          <w:sz w:val="13"/>
        </w:rPr>
        <w:t> </w:t>
      </w:r>
      <w:r>
        <w:rPr>
          <w:w w:val="105"/>
          <w:sz w:val="13"/>
        </w:rPr>
        <w:t>the</w:t>
      </w:r>
      <w:r>
        <w:rPr>
          <w:spacing w:val="4"/>
          <w:w w:val="105"/>
          <w:sz w:val="13"/>
        </w:rPr>
        <w:t> </w:t>
      </w:r>
      <w:r>
        <w:rPr>
          <w:w w:val="105"/>
          <w:sz w:val="13"/>
        </w:rPr>
        <w:t>harm.</w:t>
      </w:r>
    </w:p>
    <w:p>
      <w:pPr>
        <w:pStyle w:val="ListParagraph"/>
        <w:numPr>
          <w:ilvl w:val="0"/>
          <w:numId w:val="28"/>
        </w:numPr>
        <w:tabs>
          <w:tab w:pos="2381" w:val="left" w:leader="none"/>
          <w:tab w:pos="2382" w:val="left" w:leader="none"/>
        </w:tabs>
        <w:spacing w:line="240" w:lineRule="auto" w:before="2" w:after="0"/>
        <w:ind w:left="2381" w:right="0" w:hanging="794"/>
        <w:jc w:val="left"/>
        <w:rPr>
          <w:sz w:val="13"/>
        </w:rPr>
      </w:pPr>
      <w:r>
        <w:rPr>
          <w:i/>
          <w:sz w:val="13"/>
        </w:rPr>
        <w:t>Wrongs</w:t>
      </w:r>
      <w:r>
        <w:rPr>
          <w:i/>
          <w:spacing w:val="10"/>
          <w:sz w:val="13"/>
        </w:rPr>
        <w:t> </w:t>
      </w:r>
      <w:r>
        <w:rPr>
          <w:i/>
          <w:sz w:val="13"/>
        </w:rPr>
        <w:t>Act</w:t>
      </w:r>
      <w:r>
        <w:rPr>
          <w:i/>
          <w:spacing w:val="10"/>
          <w:sz w:val="13"/>
        </w:rPr>
        <w:t> </w:t>
      </w:r>
      <w:r>
        <w:rPr>
          <w:i/>
          <w:sz w:val="13"/>
        </w:rPr>
        <w:t>1958</w:t>
      </w:r>
      <w:r>
        <w:rPr>
          <w:i/>
          <w:spacing w:val="10"/>
          <w:sz w:val="13"/>
        </w:rPr>
        <w:t> </w:t>
      </w:r>
      <w:r>
        <w:rPr>
          <w:spacing w:val="2"/>
          <w:sz w:val="13"/>
        </w:rPr>
        <w:t>(Vic)</w:t>
      </w:r>
      <w:r>
        <w:rPr>
          <w:spacing w:val="10"/>
          <w:sz w:val="13"/>
        </w:rPr>
        <w:t> </w:t>
      </w:r>
      <w:r>
        <w:rPr>
          <w:sz w:val="13"/>
        </w:rPr>
        <w:t>s</w:t>
      </w:r>
      <w:r>
        <w:rPr>
          <w:spacing w:val="10"/>
          <w:sz w:val="13"/>
        </w:rPr>
        <w:t> </w:t>
      </w:r>
      <w:r>
        <w:rPr>
          <w:sz w:val="13"/>
        </w:rPr>
        <w:t>51(1)(b):</w:t>
      </w:r>
      <w:r>
        <w:rPr>
          <w:spacing w:val="11"/>
          <w:sz w:val="13"/>
        </w:rPr>
        <w:t> </w:t>
      </w:r>
      <w:r>
        <w:rPr>
          <w:sz w:val="13"/>
        </w:rPr>
        <w:t>that</w:t>
      </w:r>
      <w:r>
        <w:rPr>
          <w:spacing w:val="10"/>
          <w:sz w:val="13"/>
        </w:rPr>
        <w:t> </w:t>
      </w:r>
      <w:r>
        <w:rPr>
          <w:sz w:val="13"/>
        </w:rPr>
        <w:t>it</w:t>
      </w:r>
      <w:r>
        <w:rPr>
          <w:spacing w:val="10"/>
          <w:sz w:val="13"/>
        </w:rPr>
        <w:t> </w:t>
      </w:r>
      <w:r>
        <w:rPr>
          <w:sz w:val="13"/>
        </w:rPr>
        <w:t>is</w:t>
      </w:r>
      <w:r>
        <w:rPr>
          <w:spacing w:val="10"/>
          <w:sz w:val="13"/>
        </w:rPr>
        <w:t> </w:t>
      </w:r>
      <w:r>
        <w:rPr>
          <w:sz w:val="13"/>
        </w:rPr>
        <w:t>appropriate</w:t>
      </w:r>
      <w:r>
        <w:rPr>
          <w:spacing w:val="10"/>
          <w:sz w:val="13"/>
        </w:rPr>
        <w:t> </w:t>
      </w:r>
      <w:r>
        <w:rPr>
          <w:sz w:val="13"/>
        </w:rPr>
        <w:t>for</w:t>
      </w:r>
      <w:r>
        <w:rPr>
          <w:spacing w:val="10"/>
          <w:sz w:val="13"/>
        </w:rPr>
        <w:t> </w:t>
      </w:r>
      <w:r>
        <w:rPr>
          <w:sz w:val="13"/>
        </w:rPr>
        <w:t>the</w:t>
      </w:r>
      <w:r>
        <w:rPr>
          <w:spacing w:val="11"/>
          <w:sz w:val="13"/>
        </w:rPr>
        <w:t> </w:t>
      </w:r>
      <w:r>
        <w:rPr>
          <w:sz w:val="13"/>
        </w:rPr>
        <w:t>scope</w:t>
      </w:r>
      <w:r>
        <w:rPr>
          <w:spacing w:val="10"/>
          <w:sz w:val="13"/>
        </w:rPr>
        <w:t> </w:t>
      </w:r>
      <w:r>
        <w:rPr>
          <w:sz w:val="13"/>
        </w:rPr>
        <w:t>of</w:t>
      </w:r>
      <w:r>
        <w:rPr>
          <w:spacing w:val="10"/>
          <w:sz w:val="13"/>
        </w:rPr>
        <w:t> </w:t>
      </w:r>
      <w:r>
        <w:rPr>
          <w:sz w:val="13"/>
        </w:rPr>
        <w:t>the</w:t>
      </w:r>
      <w:r>
        <w:rPr>
          <w:spacing w:val="10"/>
          <w:sz w:val="13"/>
        </w:rPr>
        <w:t> </w:t>
      </w:r>
      <w:r>
        <w:rPr>
          <w:sz w:val="13"/>
        </w:rPr>
        <w:t>negligent</w:t>
      </w:r>
      <w:r>
        <w:rPr>
          <w:spacing w:val="10"/>
          <w:sz w:val="13"/>
        </w:rPr>
        <w:t> </w:t>
      </w:r>
      <w:r>
        <w:rPr>
          <w:sz w:val="13"/>
        </w:rPr>
        <w:t>person’s</w:t>
      </w:r>
      <w:r>
        <w:rPr>
          <w:spacing w:val="10"/>
          <w:sz w:val="13"/>
        </w:rPr>
        <w:t> </w:t>
      </w:r>
      <w:r>
        <w:rPr>
          <w:sz w:val="13"/>
        </w:rPr>
        <w:t>liability</w:t>
      </w:r>
      <w:r>
        <w:rPr>
          <w:spacing w:val="11"/>
          <w:sz w:val="13"/>
        </w:rPr>
        <w:t> </w:t>
      </w:r>
      <w:r>
        <w:rPr>
          <w:sz w:val="13"/>
        </w:rPr>
        <w:t>to</w:t>
      </w:r>
      <w:r>
        <w:rPr>
          <w:spacing w:val="10"/>
          <w:sz w:val="13"/>
        </w:rPr>
        <w:t> </w:t>
      </w:r>
      <w:r>
        <w:rPr>
          <w:sz w:val="13"/>
        </w:rPr>
        <w:t>extend</w:t>
      </w:r>
      <w:r>
        <w:rPr>
          <w:spacing w:val="10"/>
          <w:sz w:val="13"/>
        </w:rPr>
        <w:t> </w:t>
      </w:r>
      <w:r>
        <w:rPr>
          <w:sz w:val="13"/>
        </w:rPr>
        <w:t>to</w:t>
      </w:r>
      <w:r>
        <w:rPr>
          <w:spacing w:val="10"/>
          <w:sz w:val="13"/>
        </w:rPr>
        <w:t> </w:t>
      </w:r>
      <w:r>
        <w:rPr>
          <w:sz w:val="13"/>
        </w:rPr>
        <w:t>the</w:t>
      </w:r>
      <w:r>
        <w:rPr>
          <w:spacing w:val="10"/>
          <w:sz w:val="13"/>
        </w:rPr>
        <w:t> </w:t>
      </w:r>
      <w:r>
        <w:rPr>
          <w:sz w:val="13"/>
        </w:rPr>
        <w:t>harm</w:t>
      </w:r>
      <w:r>
        <w:rPr>
          <w:spacing w:val="10"/>
          <w:sz w:val="13"/>
        </w:rPr>
        <w:t> </w:t>
      </w:r>
      <w:r>
        <w:rPr>
          <w:sz w:val="13"/>
        </w:rPr>
        <w:t>so</w:t>
      </w:r>
      <w:r>
        <w:rPr>
          <w:spacing w:val="11"/>
          <w:sz w:val="13"/>
        </w:rPr>
        <w:t> </w:t>
      </w:r>
      <w:r>
        <w:rPr>
          <w:sz w:val="13"/>
        </w:rPr>
        <w:t>caused.</w:t>
      </w:r>
    </w:p>
    <w:p>
      <w:pPr>
        <w:pStyle w:val="ListParagraph"/>
        <w:numPr>
          <w:ilvl w:val="0"/>
          <w:numId w:val="28"/>
        </w:numPr>
        <w:tabs>
          <w:tab w:pos="2381" w:val="left" w:leader="none"/>
          <w:tab w:pos="2382" w:val="left" w:leader="none"/>
        </w:tabs>
        <w:spacing w:line="240" w:lineRule="auto" w:before="1" w:after="0"/>
        <w:ind w:left="2381" w:right="1710" w:hanging="794"/>
        <w:jc w:val="left"/>
        <w:rPr>
          <w:sz w:val="13"/>
        </w:rPr>
      </w:pPr>
      <w:r>
        <w:rPr>
          <w:sz w:val="13"/>
        </w:rPr>
        <w:t>This is known as the ‘but for test’: Kit Barker,  Peter  Cane,  Mark  Lunney  and  Francis  Trindade,  </w:t>
      </w:r>
      <w:r>
        <w:rPr>
          <w:i/>
          <w:sz w:val="13"/>
        </w:rPr>
        <w:t>The  Law  of  Torts  in  Australia  </w:t>
      </w:r>
      <w:r>
        <w:rPr>
          <w:spacing w:val="2"/>
          <w:sz w:val="13"/>
        </w:rPr>
        <w:t>(Oxford </w:t>
      </w:r>
      <w:r>
        <w:rPr>
          <w:sz w:val="13"/>
        </w:rPr>
        <w:t>University Press, 5th ed, 2012) [10.2.1]. If complex circumstances exist, where, for eg, the  harm  cannot  readily  be  attributed  to  the  tree owner’s negligent conduct, then the court may apply common  law  principles  to  make  a  determination.  These  principles  relate  to,  for example, where  there  are  alternative,  multiple  or  hypothetical  causes,  or  intervening  causes  that  break  the  chain  of  causation  (novus actus interveniens): see generally Margaret Beazley, ‘Damage’ in in Carolyn Sappideen and Prue Vines </w:t>
      </w:r>
      <w:r>
        <w:rPr>
          <w:spacing w:val="2"/>
          <w:sz w:val="13"/>
        </w:rPr>
        <w:t>(eds),  </w:t>
      </w:r>
      <w:r>
        <w:rPr>
          <w:i/>
          <w:sz w:val="13"/>
        </w:rPr>
        <w:t>Fleming’s  The  Law  of  Torts </w:t>
      </w:r>
      <w:r>
        <w:rPr>
          <w:spacing w:val="2"/>
          <w:sz w:val="13"/>
        </w:rPr>
        <w:t>(Lawbook </w:t>
      </w:r>
      <w:r>
        <w:rPr>
          <w:sz w:val="13"/>
        </w:rPr>
        <w:t>Co., 10th ed, </w:t>
      </w:r>
      <w:r>
        <w:rPr>
          <w:spacing w:val="-4"/>
          <w:sz w:val="13"/>
        </w:rPr>
        <w:t>2011) </w:t>
      </w:r>
      <w:r>
        <w:rPr>
          <w:sz w:val="13"/>
        </w:rPr>
        <w:t>[9.70], [9.190]; Kit  Barker,  Peter  Cane,  Mark  Lunney  and  Francis  Trindade,  </w:t>
      </w:r>
      <w:r>
        <w:rPr>
          <w:i/>
          <w:sz w:val="13"/>
        </w:rPr>
        <w:t>The  Law  of  Torts  in  Australia </w:t>
      </w:r>
      <w:r>
        <w:rPr>
          <w:spacing w:val="2"/>
          <w:sz w:val="13"/>
        </w:rPr>
        <w:t>(Oxford </w:t>
      </w:r>
      <w:r>
        <w:rPr>
          <w:sz w:val="13"/>
        </w:rPr>
        <w:t>University Press, 5th ed, 2012) [10.3.2].  See  also  </w:t>
      </w:r>
      <w:r>
        <w:rPr>
          <w:i/>
          <w:sz w:val="13"/>
        </w:rPr>
        <w:t>Wrongs  Act  1958  </w:t>
      </w:r>
      <w:r>
        <w:rPr>
          <w:spacing w:val="2"/>
          <w:sz w:val="13"/>
        </w:rPr>
        <w:t>(Vic)  </w:t>
      </w:r>
      <w:r>
        <w:rPr>
          <w:sz w:val="13"/>
        </w:rPr>
        <w:t>s  51(2)  which  states:  ‘In  determining  in  an  appropriate case, in accordance with established  principles,  whether  negligence  that  cannot  be  established  as  a  </w:t>
      </w:r>
      <w:r>
        <w:rPr>
          <w:spacing w:val="2"/>
          <w:sz w:val="13"/>
        </w:rPr>
        <w:t>necessary </w:t>
      </w:r>
      <w:r>
        <w:rPr>
          <w:sz w:val="13"/>
        </w:rPr>
        <w:t>condition  of  the  occurrence of harm should be taken to establish factual causation, the court is to consider (amongst other relevant things) whether or not and why responsibility</w:t>
      </w:r>
      <w:r>
        <w:rPr>
          <w:spacing w:val="7"/>
          <w:sz w:val="13"/>
        </w:rPr>
        <w:t> </w:t>
      </w:r>
      <w:r>
        <w:rPr>
          <w:sz w:val="13"/>
        </w:rPr>
        <w:t>for</w:t>
      </w:r>
      <w:r>
        <w:rPr>
          <w:spacing w:val="7"/>
          <w:sz w:val="13"/>
        </w:rPr>
        <w:t> </w:t>
      </w:r>
      <w:r>
        <w:rPr>
          <w:sz w:val="13"/>
        </w:rPr>
        <w:t>the</w:t>
      </w:r>
      <w:r>
        <w:rPr>
          <w:spacing w:val="8"/>
          <w:sz w:val="13"/>
        </w:rPr>
        <w:t> </w:t>
      </w:r>
      <w:r>
        <w:rPr>
          <w:sz w:val="13"/>
        </w:rPr>
        <w:t>harm</w:t>
      </w:r>
      <w:r>
        <w:rPr>
          <w:spacing w:val="7"/>
          <w:sz w:val="13"/>
        </w:rPr>
        <w:t> </w:t>
      </w:r>
      <w:r>
        <w:rPr>
          <w:sz w:val="13"/>
        </w:rPr>
        <w:t>should</w:t>
      </w:r>
      <w:r>
        <w:rPr>
          <w:spacing w:val="8"/>
          <w:sz w:val="13"/>
        </w:rPr>
        <w:t> </w:t>
      </w:r>
      <w:r>
        <w:rPr>
          <w:sz w:val="13"/>
        </w:rPr>
        <w:t>be</w:t>
      </w:r>
      <w:r>
        <w:rPr>
          <w:spacing w:val="7"/>
          <w:sz w:val="13"/>
        </w:rPr>
        <w:t> </w:t>
      </w:r>
      <w:r>
        <w:rPr>
          <w:sz w:val="13"/>
        </w:rPr>
        <w:t>imposed</w:t>
      </w:r>
      <w:r>
        <w:rPr>
          <w:spacing w:val="8"/>
          <w:sz w:val="13"/>
        </w:rPr>
        <w:t> </w:t>
      </w:r>
      <w:r>
        <w:rPr>
          <w:sz w:val="13"/>
        </w:rPr>
        <w:t>on</w:t>
      </w:r>
      <w:r>
        <w:rPr>
          <w:spacing w:val="7"/>
          <w:sz w:val="13"/>
        </w:rPr>
        <w:t> </w:t>
      </w:r>
      <w:r>
        <w:rPr>
          <w:sz w:val="13"/>
        </w:rPr>
        <w:t>the</w:t>
      </w:r>
      <w:r>
        <w:rPr>
          <w:spacing w:val="8"/>
          <w:sz w:val="13"/>
        </w:rPr>
        <w:t> </w:t>
      </w:r>
      <w:r>
        <w:rPr>
          <w:sz w:val="13"/>
        </w:rPr>
        <w:t>negligent</w:t>
      </w:r>
      <w:r>
        <w:rPr>
          <w:spacing w:val="7"/>
          <w:sz w:val="13"/>
        </w:rPr>
        <w:t> </w:t>
      </w:r>
      <w:r>
        <w:rPr>
          <w:sz w:val="13"/>
        </w:rPr>
        <w:t>party.’</w:t>
      </w:r>
    </w:p>
    <w:p>
      <w:pPr>
        <w:pStyle w:val="ListParagraph"/>
        <w:numPr>
          <w:ilvl w:val="0"/>
          <w:numId w:val="28"/>
        </w:numPr>
        <w:tabs>
          <w:tab w:pos="2381" w:val="left" w:leader="none"/>
          <w:tab w:pos="2382" w:val="left" w:leader="none"/>
        </w:tabs>
        <w:spacing w:line="240" w:lineRule="auto" w:before="13" w:after="0"/>
        <w:ind w:left="2381" w:right="2067" w:hanging="794"/>
        <w:jc w:val="left"/>
        <w:rPr>
          <w:sz w:val="13"/>
        </w:rPr>
      </w:pPr>
      <w:r>
        <w:rPr>
          <w:w w:val="105"/>
          <w:sz w:val="13"/>
        </w:rPr>
        <w:t>Mirko Bagaric and Sharon Erbacher, ‘Causation in Negligence: From Anti-jurisprudence to Principle – Individual Responsibility as the Cornerstone</w:t>
      </w:r>
      <w:r>
        <w:rPr>
          <w:spacing w:val="5"/>
          <w:w w:val="105"/>
          <w:sz w:val="13"/>
        </w:rPr>
        <w:t> </w:t>
      </w:r>
      <w:r>
        <w:rPr>
          <w:w w:val="105"/>
          <w:sz w:val="13"/>
        </w:rPr>
        <w:t>for</w:t>
      </w:r>
      <w:r>
        <w:rPr>
          <w:spacing w:val="5"/>
          <w:w w:val="105"/>
          <w:sz w:val="13"/>
        </w:rPr>
        <w:t> </w:t>
      </w:r>
      <w:r>
        <w:rPr>
          <w:w w:val="105"/>
          <w:sz w:val="13"/>
        </w:rPr>
        <w:t>Attribution</w:t>
      </w:r>
      <w:r>
        <w:rPr>
          <w:spacing w:val="6"/>
          <w:w w:val="105"/>
          <w:sz w:val="13"/>
        </w:rPr>
        <w:t> </w:t>
      </w:r>
      <w:r>
        <w:rPr>
          <w:w w:val="105"/>
          <w:sz w:val="13"/>
        </w:rPr>
        <w:t>of</w:t>
      </w:r>
      <w:r>
        <w:rPr>
          <w:spacing w:val="5"/>
          <w:w w:val="105"/>
          <w:sz w:val="13"/>
        </w:rPr>
        <w:t> </w:t>
      </w:r>
      <w:r>
        <w:rPr>
          <w:w w:val="105"/>
          <w:sz w:val="13"/>
        </w:rPr>
        <w:t>Liability’</w:t>
      </w:r>
      <w:r>
        <w:rPr>
          <w:spacing w:val="6"/>
          <w:w w:val="105"/>
          <w:sz w:val="13"/>
        </w:rPr>
        <w:t> </w:t>
      </w:r>
      <w:r>
        <w:rPr>
          <w:spacing w:val="-3"/>
          <w:w w:val="105"/>
          <w:sz w:val="13"/>
        </w:rPr>
        <w:t>(2011)</w:t>
      </w:r>
      <w:r>
        <w:rPr>
          <w:spacing w:val="5"/>
          <w:w w:val="105"/>
          <w:sz w:val="13"/>
        </w:rPr>
        <w:t> </w:t>
      </w:r>
      <w:r>
        <w:rPr>
          <w:w w:val="105"/>
          <w:sz w:val="13"/>
        </w:rPr>
        <w:t>18</w:t>
      </w:r>
      <w:r>
        <w:rPr>
          <w:spacing w:val="5"/>
          <w:w w:val="105"/>
          <w:sz w:val="13"/>
        </w:rPr>
        <w:t> </w:t>
      </w:r>
      <w:r>
        <w:rPr>
          <w:i/>
          <w:w w:val="105"/>
          <w:sz w:val="13"/>
        </w:rPr>
        <w:t>Journal</w:t>
      </w:r>
      <w:r>
        <w:rPr>
          <w:i/>
          <w:spacing w:val="6"/>
          <w:w w:val="105"/>
          <w:sz w:val="13"/>
        </w:rPr>
        <w:t> </w:t>
      </w:r>
      <w:r>
        <w:rPr>
          <w:i/>
          <w:w w:val="105"/>
          <w:sz w:val="13"/>
        </w:rPr>
        <w:t>of</w:t>
      </w:r>
      <w:r>
        <w:rPr>
          <w:i/>
          <w:spacing w:val="5"/>
          <w:w w:val="105"/>
          <w:sz w:val="13"/>
        </w:rPr>
        <w:t> </w:t>
      </w:r>
      <w:r>
        <w:rPr>
          <w:i/>
          <w:w w:val="105"/>
          <w:sz w:val="13"/>
        </w:rPr>
        <w:t>Law</w:t>
      </w:r>
      <w:r>
        <w:rPr>
          <w:i/>
          <w:spacing w:val="6"/>
          <w:w w:val="105"/>
          <w:sz w:val="13"/>
        </w:rPr>
        <w:t> </w:t>
      </w:r>
      <w:r>
        <w:rPr>
          <w:i/>
          <w:w w:val="105"/>
          <w:sz w:val="13"/>
        </w:rPr>
        <w:t>and</w:t>
      </w:r>
      <w:r>
        <w:rPr>
          <w:i/>
          <w:spacing w:val="5"/>
          <w:w w:val="105"/>
          <w:sz w:val="13"/>
        </w:rPr>
        <w:t> </w:t>
      </w:r>
      <w:r>
        <w:rPr>
          <w:i/>
          <w:w w:val="105"/>
          <w:sz w:val="13"/>
        </w:rPr>
        <w:t>Medicine</w:t>
      </w:r>
      <w:r>
        <w:rPr>
          <w:i/>
          <w:spacing w:val="5"/>
          <w:w w:val="105"/>
          <w:sz w:val="13"/>
        </w:rPr>
        <w:t> </w:t>
      </w:r>
      <w:r>
        <w:rPr>
          <w:w w:val="105"/>
          <w:sz w:val="13"/>
        </w:rPr>
        <w:t>759,</w:t>
      </w:r>
      <w:r>
        <w:rPr>
          <w:spacing w:val="6"/>
          <w:w w:val="105"/>
          <w:sz w:val="13"/>
        </w:rPr>
        <w:t> </w:t>
      </w:r>
      <w:r>
        <w:rPr>
          <w:w w:val="105"/>
          <w:sz w:val="13"/>
        </w:rPr>
        <w:t>768.</w:t>
      </w:r>
    </w:p>
    <w:p>
      <w:pPr>
        <w:pStyle w:val="ListParagraph"/>
        <w:numPr>
          <w:ilvl w:val="0"/>
          <w:numId w:val="28"/>
        </w:numPr>
        <w:tabs>
          <w:tab w:pos="2381" w:val="left" w:leader="none"/>
          <w:tab w:pos="2382" w:val="left" w:leader="none"/>
        </w:tabs>
        <w:spacing w:line="240" w:lineRule="auto" w:before="3" w:after="0"/>
        <w:ind w:left="2381" w:right="0" w:hanging="794"/>
        <w:jc w:val="left"/>
        <w:rPr>
          <w:sz w:val="13"/>
        </w:rPr>
      </w:pPr>
      <w:r>
        <w:rPr>
          <w:i/>
          <w:w w:val="105"/>
          <w:sz w:val="13"/>
        </w:rPr>
        <w:t>Overseas</w:t>
      </w:r>
      <w:r>
        <w:rPr>
          <w:i/>
          <w:spacing w:val="5"/>
          <w:w w:val="105"/>
          <w:sz w:val="13"/>
        </w:rPr>
        <w:t> </w:t>
      </w:r>
      <w:r>
        <w:rPr>
          <w:i/>
          <w:w w:val="105"/>
          <w:sz w:val="13"/>
        </w:rPr>
        <w:t>Tankship</w:t>
      </w:r>
      <w:r>
        <w:rPr>
          <w:i/>
          <w:spacing w:val="5"/>
          <w:w w:val="105"/>
          <w:sz w:val="13"/>
        </w:rPr>
        <w:t> </w:t>
      </w:r>
      <w:r>
        <w:rPr>
          <w:i/>
          <w:spacing w:val="2"/>
          <w:w w:val="105"/>
          <w:sz w:val="13"/>
        </w:rPr>
        <w:t>(UK)</w:t>
      </w:r>
      <w:r>
        <w:rPr>
          <w:i/>
          <w:spacing w:val="5"/>
          <w:w w:val="105"/>
          <w:sz w:val="13"/>
        </w:rPr>
        <w:t> </w:t>
      </w:r>
      <w:r>
        <w:rPr>
          <w:i/>
          <w:w w:val="105"/>
          <w:sz w:val="13"/>
        </w:rPr>
        <w:t>v</w:t>
      </w:r>
      <w:r>
        <w:rPr>
          <w:i/>
          <w:spacing w:val="5"/>
          <w:w w:val="105"/>
          <w:sz w:val="13"/>
        </w:rPr>
        <w:t> </w:t>
      </w:r>
      <w:r>
        <w:rPr>
          <w:i/>
          <w:spacing w:val="2"/>
          <w:w w:val="105"/>
          <w:sz w:val="13"/>
        </w:rPr>
        <w:t>Morts</w:t>
      </w:r>
      <w:r>
        <w:rPr>
          <w:i/>
          <w:spacing w:val="5"/>
          <w:w w:val="105"/>
          <w:sz w:val="13"/>
        </w:rPr>
        <w:t> </w:t>
      </w:r>
      <w:r>
        <w:rPr>
          <w:i/>
          <w:w w:val="105"/>
          <w:sz w:val="13"/>
        </w:rPr>
        <w:t>Dock</w:t>
      </w:r>
      <w:r>
        <w:rPr>
          <w:i/>
          <w:spacing w:val="5"/>
          <w:w w:val="105"/>
          <w:sz w:val="13"/>
        </w:rPr>
        <w:t> </w:t>
      </w:r>
      <w:r>
        <w:rPr>
          <w:i/>
          <w:w w:val="105"/>
          <w:sz w:val="13"/>
        </w:rPr>
        <w:t>&amp;</w:t>
      </w:r>
      <w:r>
        <w:rPr>
          <w:i/>
          <w:spacing w:val="5"/>
          <w:w w:val="105"/>
          <w:sz w:val="13"/>
        </w:rPr>
        <w:t> </w:t>
      </w:r>
      <w:r>
        <w:rPr>
          <w:i/>
          <w:w w:val="105"/>
          <w:sz w:val="13"/>
        </w:rPr>
        <w:t>Engineering</w:t>
      </w:r>
      <w:r>
        <w:rPr>
          <w:i/>
          <w:spacing w:val="5"/>
          <w:w w:val="105"/>
          <w:sz w:val="13"/>
        </w:rPr>
        <w:t> </w:t>
      </w:r>
      <w:r>
        <w:rPr>
          <w:i/>
          <w:w w:val="105"/>
          <w:sz w:val="13"/>
        </w:rPr>
        <w:t>Co</w:t>
      </w:r>
      <w:r>
        <w:rPr>
          <w:i/>
          <w:spacing w:val="5"/>
          <w:w w:val="105"/>
          <w:sz w:val="13"/>
        </w:rPr>
        <w:t> </w:t>
      </w:r>
      <w:r>
        <w:rPr>
          <w:i/>
          <w:w w:val="105"/>
          <w:sz w:val="13"/>
        </w:rPr>
        <w:t>Ltd</w:t>
      </w:r>
      <w:r>
        <w:rPr>
          <w:i/>
          <w:spacing w:val="5"/>
          <w:w w:val="105"/>
          <w:sz w:val="13"/>
        </w:rPr>
        <w:t> </w:t>
      </w:r>
      <w:r>
        <w:rPr>
          <w:w w:val="105"/>
          <w:sz w:val="13"/>
        </w:rPr>
        <w:t>(Wagon</w:t>
      </w:r>
      <w:r>
        <w:rPr>
          <w:spacing w:val="5"/>
          <w:w w:val="105"/>
          <w:sz w:val="13"/>
        </w:rPr>
        <w:t> </w:t>
      </w:r>
      <w:r>
        <w:rPr>
          <w:w w:val="105"/>
          <w:sz w:val="13"/>
        </w:rPr>
        <w:t>Mound</w:t>
      </w:r>
      <w:r>
        <w:rPr>
          <w:spacing w:val="5"/>
          <w:w w:val="105"/>
          <w:sz w:val="13"/>
        </w:rPr>
        <w:t> </w:t>
      </w:r>
      <w:r>
        <w:rPr>
          <w:w w:val="105"/>
          <w:sz w:val="13"/>
        </w:rPr>
        <w:t>No.</w:t>
      </w:r>
      <w:r>
        <w:rPr>
          <w:spacing w:val="5"/>
          <w:w w:val="105"/>
          <w:sz w:val="13"/>
        </w:rPr>
        <w:t> </w:t>
      </w:r>
      <w:r>
        <w:rPr>
          <w:w w:val="105"/>
          <w:sz w:val="13"/>
        </w:rPr>
        <w:t>1)</w:t>
      </w:r>
      <w:r>
        <w:rPr>
          <w:spacing w:val="5"/>
          <w:w w:val="105"/>
          <w:sz w:val="13"/>
        </w:rPr>
        <w:t> </w:t>
      </w:r>
      <w:r>
        <w:rPr>
          <w:w w:val="105"/>
          <w:sz w:val="13"/>
        </w:rPr>
        <w:t>[1961]</w:t>
      </w:r>
      <w:r>
        <w:rPr>
          <w:spacing w:val="6"/>
          <w:w w:val="105"/>
          <w:sz w:val="13"/>
        </w:rPr>
        <w:t> </w:t>
      </w:r>
      <w:r>
        <w:rPr>
          <w:w w:val="105"/>
          <w:sz w:val="13"/>
        </w:rPr>
        <w:t>AC</w:t>
      </w:r>
      <w:r>
        <w:rPr>
          <w:spacing w:val="5"/>
          <w:w w:val="105"/>
          <w:sz w:val="13"/>
        </w:rPr>
        <w:t> </w:t>
      </w:r>
      <w:r>
        <w:rPr>
          <w:spacing w:val="2"/>
          <w:w w:val="105"/>
          <w:sz w:val="13"/>
        </w:rPr>
        <w:t>388.</w:t>
      </w:r>
    </w:p>
    <w:p>
      <w:pPr>
        <w:pStyle w:val="ListParagraph"/>
        <w:numPr>
          <w:ilvl w:val="0"/>
          <w:numId w:val="28"/>
        </w:numPr>
        <w:tabs>
          <w:tab w:pos="2381" w:val="left" w:leader="none"/>
          <w:tab w:pos="2382" w:val="left" w:leader="none"/>
        </w:tabs>
        <w:spacing w:line="240" w:lineRule="auto" w:before="1" w:after="0"/>
        <w:ind w:left="2381" w:right="1759" w:hanging="794"/>
        <w:jc w:val="left"/>
        <w:rPr>
          <w:sz w:val="13"/>
        </w:rPr>
      </w:pPr>
      <w:r>
        <w:rPr>
          <w:i/>
          <w:w w:val="105"/>
          <w:sz w:val="13"/>
        </w:rPr>
        <w:t>Overseas Tankship </w:t>
      </w:r>
      <w:r>
        <w:rPr>
          <w:i/>
          <w:spacing w:val="2"/>
          <w:w w:val="105"/>
          <w:sz w:val="13"/>
        </w:rPr>
        <w:t>(UK) </w:t>
      </w:r>
      <w:r>
        <w:rPr>
          <w:i/>
          <w:w w:val="105"/>
          <w:sz w:val="13"/>
        </w:rPr>
        <w:t>v </w:t>
      </w:r>
      <w:r>
        <w:rPr>
          <w:i/>
          <w:spacing w:val="2"/>
          <w:w w:val="105"/>
          <w:sz w:val="13"/>
        </w:rPr>
        <w:t>Morts </w:t>
      </w:r>
      <w:r>
        <w:rPr>
          <w:i/>
          <w:w w:val="105"/>
          <w:sz w:val="13"/>
        </w:rPr>
        <w:t>Dock &amp; Engineering Co Ltd </w:t>
      </w:r>
      <w:r>
        <w:rPr>
          <w:w w:val="105"/>
          <w:sz w:val="13"/>
        </w:rPr>
        <w:t>(Wagon Mound No. 1) [1961] AC </w:t>
      </w:r>
      <w:r>
        <w:rPr>
          <w:spacing w:val="3"/>
          <w:w w:val="105"/>
          <w:sz w:val="13"/>
        </w:rPr>
        <w:t>388; </w:t>
      </w:r>
      <w:r>
        <w:rPr>
          <w:i/>
          <w:w w:val="105"/>
          <w:sz w:val="13"/>
        </w:rPr>
        <w:t>Overseas Tankship </w:t>
      </w:r>
      <w:r>
        <w:rPr>
          <w:i/>
          <w:spacing w:val="2"/>
          <w:w w:val="105"/>
          <w:sz w:val="13"/>
        </w:rPr>
        <w:t>(UK) </w:t>
      </w:r>
      <w:r>
        <w:rPr>
          <w:i/>
          <w:w w:val="105"/>
          <w:sz w:val="13"/>
        </w:rPr>
        <w:t>Ltd v The       </w:t>
      </w:r>
      <w:r>
        <w:rPr>
          <w:i/>
          <w:w w:val="105"/>
          <w:sz w:val="13"/>
        </w:rPr>
        <w:t>Miller Steamship Co </w:t>
      </w:r>
      <w:r>
        <w:rPr>
          <w:w w:val="105"/>
          <w:sz w:val="13"/>
        </w:rPr>
        <w:t>(Wagon Mound No. 2) [1967] AC </w:t>
      </w:r>
      <w:r>
        <w:rPr>
          <w:spacing w:val="-6"/>
          <w:w w:val="105"/>
          <w:sz w:val="13"/>
        </w:rPr>
        <w:t>617, </w:t>
      </w:r>
      <w:r>
        <w:rPr>
          <w:w w:val="105"/>
          <w:sz w:val="13"/>
        </w:rPr>
        <w:t>643. The exact extent of the harm does not have be foreseeable: see, eg, ‘the “thin skull” rule’ and ‘extent of harm’ in Kit Barker, Peter Cane, Mark Lunney and Francis Trindade, </w:t>
      </w:r>
      <w:r>
        <w:rPr>
          <w:i/>
          <w:w w:val="105"/>
          <w:sz w:val="13"/>
        </w:rPr>
        <w:t>The Law of Torts in Australia </w:t>
      </w:r>
      <w:r>
        <w:rPr>
          <w:spacing w:val="2"/>
          <w:w w:val="105"/>
          <w:sz w:val="13"/>
        </w:rPr>
        <w:t>(Oxford </w:t>
      </w:r>
      <w:r>
        <w:rPr>
          <w:w w:val="105"/>
          <w:sz w:val="13"/>
        </w:rPr>
        <w:t>University Press, 5th ed, 2012)</w:t>
      </w:r>
      <w:r>
        <w:rPr>
          <w:spacing w:val="23"/>
          <w:w w:val="105"/>
          <w:sz w:val="13"/>
        </w:rPr>
        <w:t> </w:t>
      </w:r>
      <w:r>
        <w:rPr>
          <w:w w:val="105"/>
          <w:sz w:val="13"/>
        </w:rPr>
        <w:t>[10.3.4.1]–[10.3.4.2].</w:t>
      </w:r>
    </w:p>
    <w:p>
      <w:pPr>
        <w:pStyle w:val="ListParagraph"/>
        <w:numPr>
          <w:ilvl w:val="0"/>
          <w:numId w:val="28"/>
        </w:numPr>
        <w:tabs>
          <w:tab w:pos="2381" w:val="left" w:leader="none"/>
          <w:tab w:pos="2382" w:val="left" w:leader="none"/>
        </w:tabs>
        <w:spacing w:line="240" w:lineRule="auto" w:before="6" w:after="0"/>
        <w:ind w:left="2381" w:right="0" w:hanging="794"/>
        <w:jc w:val="left"/>
        <w:rPr>
          <w:sz w:val="13"/>
        </w:rPr>
      </w:pPr>
      <w:r>
        <w:rPr>
          <w:w w:val="105"/>
          <w:sz w:val="13"/>
        </w:rPr>
        <w:t>See,</w:t>
      </w:r>
      <w:r>
        <w:rPr>
          <w:spacing w:val="5"/>
          <w:w w:val="105"/>
          <w:sz w:val="13"/>
        </w:rPr>
        <w:t> </w:t>
      </w:r>
      <w:r>
        <w:rPr>
          <w:w w:val="105"/>
          <w:sz w:val="13"/>
        </w:rPr>
        <w:t>eg,</w:t>
      </w:r>
      <w:r>
        <w:rPr>
          <w:spacing w:val="6"/>
          <w:w w:val="105"/>
          <w:sz w:val="13"/>
        </w:rPr>
        <w:t> </w:t>
      </w:r>
      <w:r>
        <w:rPr>
          <w:i/>
          <w:w w:val="105"/>
          <w:sz w:val="13"/>
        </w:rPr>
        <w:t>Marshall</w:t>
      </w:r>
      <w:r>
        <w:rPr>
          <w:i/>
          <w:spacing w:val="5"/>
          <w:w w:val="105"/>
          <w:sz w:val="13"/>
        </w:rPr>
        <w:t> </w:t>
      </w:r>
      <w:r>
        <w:rPr>
          <w:i/>
          <w:w w:val="105"/>
          <w:sz w:val="13"/>
        </w:rPr>
        <w:t>v</w:t>
      </w:r>
      <w:r>
        <w:rPr>
          <w:i/>
          <w:spacing w:val="6"/>
          <w:w w:val="105"/>
          <w:sz w:val="13"/>
        </w:rPr>
        <w:t> </w:t>
      </w:r>
      <w:r>
        <w:rPr>
          <w:i/>
          <w:w w:val="105"/>
          <w:sz w:val="13"/>
        </w:rPr>
        <w:t>Berndt</w:t>
      </w:r>
      <w:r>
        <w:rPr>
          <w:i/>
          <w:spacing w:val="5"/>
          <w:w w:val="105"/>
          <w:sz w:val="13"/>
        </w:rPr>
        <w:t> </w:t>
      </w:r>
      <w:r>
        <w:rPr>
          <w:spacing w:val="-3"/>
          <w:w w:val="105"/>
          <w:sz w:val="13"/>
        </w:rPr>
        <w:t>[2011]</w:t>
      </w:r>
      <w:r>
        <w:rPr>
          <w:spacing w:val="6"/>
          <w:w w:val="105"/>
          <w:sz w:val="13"/>
        </w:rPr>
        <w:t> </w:t>
      </w:r>
      <w:r>
        <w:rPr>
          <w:w w:val="105"/>
          <w:sz w:val="13"/>
        </w:rPr>
        <w:t>VCC</w:t>
      </w:r>
      <w:r>
        <w:rPr>
          <w:spacing w:val="6"/>
          <w:w w:val="105"/>
          <w:sz w:val="13"/>
        </w:rPr>
        <w:t> </w:t>
      </w:r>
      <w:r>
        <w:rPr>
          <w:spacing w:val="2"/>
          <w:w w:val="105"/>
          <w:sz w:val="13"/>
        </w:rPr>
        <w:t>384</w:t>
      </w:r>
      <w:r>
        <w:rPr>
          <w:spacing w:val="5"/>
          <w:w w:val="105"/>
          <w:sz w:val="13"/>
        </w:rPr>
        <w:t> </w:t>
      </w:r>
      <w:r>
        <w:rPr>
          <w:spacing w:val="2"/>
          <w:w w:val="105"/>
          <w:sz w:val="13"/>
        </w:rPr>
        <w:t>[234];</w:t>
      </w:r>
      <w:r>
        <w:rPr>
          <w:spacing w:val="6"/>
          <w:w w:val="105"/>
          <w:sz w:val="13"/>
        </w:rPr>
        <w:t> </w:t>
      </w:r>
      <w:r>
        <w:rPr>
          <w:i/>
          <w:spacing w:val="2"/>
          <w:w w:val="105"/>
          <w:sz w:val="13"/>
        </w:rPr>
        <w:t>Owners</w:t>
      </w:r>
      <w:r>
        <w:rPr>
          <w:i/>
          <w:spacing w:val="5"/>
          <w:w w:val="105"/>
          <w:sz w:val="13"/>
        </w:rPr>
        <w:t> </w:t>
      </w:r>
      <w:r>
        <w:rPr>
          <w:i/>
          <w:w w:val="105"/>
          <w:sz w:val="13"/>
        </w:rPr>
        <w:t>Corporation</w:t>
      </w:r>
      <w:r>
        <w:rPr>
          <w:i/>
          <w:spacing w:val="6"/>
          <w:w w:val="105"/>
          <w:sz w:val="13"/>
        </w:rPr>
        <w:t> </w:t>
      </w:r>
      <w:r>
        <w:rPr>
          <w:i/>
          <w:w w:val="105"/>
          <w:sz w:val="13"/>
        </w:rPr>
        <w:t>SP020030</w:t>
      </w:r>
      <w:r>
        <w:rPr>
          <w:i/>
          <w:spacing w:val="5"/>
          <w:w w:val="105"/>
          <w:sz w:val="13"/>
        </w:rPr>
        <w:t> </w:t>
      </w:r>
      <w:r>
        <w:rPr>
          <w:i/>
          <w:w w:val="105"/>
          <w:sz w:val="13"/>
        </w:rPr>
        <w:t>v</w:t>
      </w:r>
      <w:r>
        <w:rPr>
          <w:i/>
          <w:spacing w:val="6"/>
          <w:w w:val="105"/>
          <w:sz w:val="13"/>
        </w:rPr>
        <w:t> </w:t>
      </w:r>
      <w:r>
        <w:rPr>
          <w:i/>
          <w:w w:val="105"/>
          <w:sz w:val="13"/>
        </w:rPr>
        <w:t>Keyt</w:t>
      </w:r>
      <w:r>
        <w:rPr>
          <w:i/>
          <w:spacing w:val="6"/>
          <w:w w:val="105"/>
          <w:sz w:val="13"/>
        </w:rPr>
        <w:t> </w:t>
      </w:r>
      <w:r>
        <w:rPr>
          <w:w w:val="105"/>
          <w:sz w:val="13"/>
        </w:rPr>
        <w:t>[2016]</w:t>
      </w:r>
      <w:r>
        <w:rPr>
          <w:spacing w:val="5"/>
          <w:w w:val="105"/>
          <w:sz w:val="13"/>
        </w:rPr>
        <w:t> </w:t>
      </w:r>
      <w:r>
        <w:rPr>
          <w:w w:val="105"/>
          <w:sz w:val="13"/>
        </w:rPr>
        <w:t>VCC</w:t>
      </w:r>
      <w:r>
        <w:rPr>
          <w:spacing w:val="6"/>
          <w:w w:val="105"/>
          <w:sz w:val="13"/>
        </w:rPr>
        <w:t> </w:t>
      </w:r>
      <w:r>
        <w:rPr>
          <w:w w:val="105"/>
          <w:sz w:val="13"/>
        </w:rPr>
        <w:t>1656</w:t>
      </w:r>
      <w:r>
        <w:rPr>
          <w:spacing w:val="5"/>
          <w:w w:val="105"/>
          <w:sz w:val="13"/>
        </w:rPr>
        <w:t> </w:t>
      </w:r>
      <w:r>
        <w:rPr>
          <w:w w:val="105"/>
          <w:sz w:val="13"/>
        </w:rPr>
        <w:t>[13].</w:t>
      </w:r>
    </w:p>
    <w:p>
      <w:pPr>
        <w:pStyle w:val="ListParagraph"/>
        <w:numPr>
          <w:ilvl w:val="0"/>
          <w:numId w:val="28"/>
        </w:numPr>
        <w:tabs>
          <w:tab w:pos="2381" w:val="left" w:leader="none"/>
          <w:tab w:pos="2382" w:val="left" w:leader="none"/>
        </w:tabs>
        <w:spacing w:line="240" w:lineRule="auto" w:before="1" w:after="0"/>
        <w:ind w:left="2381" w:right="1792" w:hanging="794"/>
        <w:jc w:val="left"/>
        <w:rPr>
          <w:sz w:val="13"/>
        </w:rPr>
      </w:pPr>
      <w:r>
        <w:rPr/>
        <w:pict>
          <v:shape style="position:absolute;margin-left:36pt;margin-top:2.965965pt;width:13.4pt;height:14.25pt;mso-position-horizontal-relative:page;mso-position-vertical-relative:paragraph;z-index:3400" type="#_x0000_t202" filled="false" stroked="false">
            <v:textbox inset="0,0,0,0">
              <w:txbxContent>
                <w:p>
                  <w:pPr>
                    <w:spacing w:line="284" w:lineRule="exact" w:before="0"/>
                    <w:ind w:left="0" w:right="0" w:firstLine="0"/>
                    <w:jc w:val="left"/>
                    <w:rPr>
                      <w:b/>
                      <w:sz w:val="24"/>
                    </w:rPr>
                  </w:pPr>
                  <w:r>
                    <w:rPr>
                      <w:b/>
                      <w:color w:val="658464"/>
                      <w:w w:val="110"/>
                      <w:sz w:val="24"/>
                    </w:rPr>
                    <w:t>36</w:t>
                  </w:r>
                </w:p>
              </w:txbxContent>
            </v:textbox>
            <w10:wrap type="none"/>
          </v:shape>
        </w:pict>
      </w:r>
      <w:r>
        <w:rPr>
          <w:i/>
          <w:w w:val="105"/>
          <w:sz w:val="13"/>
        </w:rPr>
        <w:t>Robson v Leischke </w:t>
      </w:r>
      <w:r>
        <w:rPr>
          <w:spacing w:val="2"/>
          <w:w w:val="105"/>
          <w:sz w:val="13"/>
        </w:rPr>
        <w:t>(2008) </w:t>
      </w:r>
      <w:r>
        <w:rPr>
          <w:w w:val="105"/>
          <w:sz w:val="13"/>
        </w:rPr>
        <w:t>72 </w:t>
      </w:r>
      <w:r>
        <w:rPr>
          <w:spacing w:val="2"/>
          <w:w w:val="105"/>
          <w:sz w:val="13"/>
        </w:rPr>
        <w:t>NSWLR </w:t>
      </w:r>
      <w:r>
        <w:rPr>
          <w:spacing w:val="3"/>
          <w:w w:val="105"/>
          <w:sz w:val="13"/>
        </w:rPr>
        <w:t>98; </w:t>
      </w:r>
      <w:r>
        <w:rPr>
          <w:w w:val="105"/>
          <w:sz w:val="13"/>
        </w:rPr>
        <w:t>Kit Barker, Peter Cane, Mark Lunney and Francis Trindade, </w:t>
      </w:r>
      <w:r>
        <w:rPr>
          <w:i/>
          <w:w w:val="105"/>
          <w:sz w:val="13"/>
        </w:rPr>
        <w:t>The Law of Torts in Australia </w:t>
      </w:r>
      <w:r>
        <w:rPr>
          <w:spacing w:val="2"/>
          <w:w w:val="105"/>
          <w:sz w:val="13"/>
        </w:rPr>
        <w:t>(Oxford </w:t>
      </w:r>
      <w:r>
        <w:rPr>
          <w:w w:val="105"/>
          <w:sz w:val="13"/>
        </w:rPr>
        <w:t>University Press, 5th ed, 2012)</w:t>
      </w:r>
      <w:r>
        <w:rPr>
          <w:spacing w:val="22"/>
          <w:w w:val="105"/>
          <w:sz w:val="13"/>
        </w:rPr>
        <w:t> </w:t>
      </w:r>
      <w:r>
        <w:rPr>
          <w:w w:val="105"/>
          <w:sz w:val="13"/>
        </w:rPr>
        <w:t>653.</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BodyText"/>
        <w:spacing w:line="242" w:lineRule="auto" w:before="91"/>
        <w:ind w:left="2721" w:right="1644"/>
        <w:rPr>
          <w:sz w:val="12"/>
        </w:rPr>
      </w:pPr>
      <w:r>
        <w:rPr/>
        <w:t>and freely chose </w:t>
      </w:r>
      <w:r>
        <w:rPr>
          <w:spacing w:val="-3"/>
        </w:rPr>
        <w:t>to accept </w:t>
      </w:r>
      <w:r>
        <w:rPr/>
        <w:t>or </w:t>
      </w:r>
      <w:r>
        <w:rPr>
          <w:spacing w:val="-3"/>
        </w:rPr>
        <w:t>ignore </w:t>
      </w:r>
      <w:r>
        <w:rPr/>
        <w:t>it, </w:t>
      </w:r>
      <w:r>
        <w:rPr>
          <w:spacing w:val="-3"/>
        </w:rPr>
        <w:t>thus voluntarily assuming  </w:t>
      </w:r>
      <w:r>
        <w:rPr/>
        <w:t>the </w:t>
      </w:r>
      <w:r>
        <w:rPr>
          <w:spacing w:val="-6"/>
        </w:rPr>
        <w:t>risk.</w:t>
      </w:r>
      <w:r>
        <w:rPr>
          <w:spacing w:val="-6"/>
          <w:position w:val="7"/>
          <w:sz w:val="12"/>
        </w:rPr>
        <w:t>110</w:t>
      </w:r>
      <w:r>
        <w:rPr>
          <w:spacing w:val="15"/>
          <w:position w:val="7"/>
          <w:sz w:val="12"/>
        </w:rPr>
        <w:t> </w:t>
      </w:r>
      <w:r>
        <w:rPr/>
        <w:t>Where the risk</w:t>
      </w:r>
      <w:r>
        <w:rPr>
          <w:spacing w:val="21"/>
        </w:rPr>
        <w:t> </w:t>
      </w:r>
      <w:r>
        <w:rPr/>
        <w:t>is</w:t>
      </w:r>
      <w:r>
        <w:rPr>
          <w:spacing w:val="21"/>
        </w:rPr>
        <w:t> </w:t>
      </w:r>
      <w:r>
        <w:rPr/>
        <w:t>obvious,</w:t>
      </w:r>
      <w:r>
        <w:rPr>
          <w:spacing w:val="21"/>
        </w:rPr>
        <w:t> </w:t>
      </w:r>
      <w:r>
        <w:rPr/>
        <w:t>the</w:t>
      </w:r>
      <w:r>
        <w:rPr>
          <w:spacing w:val="21"/>
        </w:rPr>
        <w:t> </w:t>
      </w:r>
      <w:r>
        <w:rPr/>
        <w:t>court</w:t>
      </w:r>
      <w:r>
        <w:rPr>
          <w:spacing w:val="21"/>
        </w:rPr>
        <w:t> </w:t>
      </w:r>
      <w:r>
        <w:rPr>
          <w:spacing w:val="-3"/>
        </w:rPr>
        <w:t>will</w:t>
      </w:r>
      <w:r>
        <w:rPr>
          <w:spacing w:val="21"/>
        </w:rPr>
        <w:t> </w:t>
      </w:r>
      <w:r>
        <w:rPr>
          <w:spacing w:val="-3"/>
        </w:rPr>
        <w:t>presume</w:t>
      </w:r>
      <w:r>
        <w:rPr>
          <w:spacing w:val="21"/>
        </w:rPr>
        <w:t> </w:t>
      </w:r>
      <w:r>
        <w:rPr/>
        <w:t>the</w:t>
      </w:r>
      <w:r>
        <w:rPr>
          <w:spacing w:val="21"/>
        </w:rPr>
        <w:t> </w:t>
      </w:r>
      <w:r>
        <w:rPr/>
        <w:t>affected</w:t>
      </w:r>
      <w:r>
        <w:rPr>
          <w:spacing w:val="21"/>
        </w:rPr>
        <w:t> </w:t>
      </w:r>
      <w:r>
        <w:rPr>
          <w:spacing w:val="-3"/>
        </w:rPr>
        <w:t>neighbour</w:t>
      </w:r>
      <w:r>
        <w:rPr>
          <w:spacing w:val="21"/>
        </w:rPr>
        <w:t> </w:t>
      </w:r>
      <w:r>
        <w:rPr/>
        <w:t>was</w:t>
      </w:r>
      <w:r>
        <w:rPr>
          <w:spacing w:val="21"/>
        </w:rPr>
        <w:t> </w:t>
      </w:r>
      <w:r>
        <w:rPr>
          <w:spacing w:val="-3"/>
        </w:rPr>
        <w:t>aware</w:t>
      </w:r>
      <w:r>
        <w:rPr>
          <w:spacing w:val="21"/>
        </w:rPr>
        <w:t> </w:t>
      </w:r>
      <w:r>
        <w:rPr/>
        <w:t>of</w:t>
      </w:r>
      <w:r>
        <w:rPr>
          <w:spacing w:val="21"/>
        </w:rPr>
        <w:t> </w:t>
      </w:r>
      <w:r>
        <w:rPr/>
        <w:t>the</w:t>
      </w:r>
      <w:r>
        <w:rPr>
          <w:spacing w:val="21"/>
        </w:rPr>
        <w:t> </w:t>
      </w:r>
      <w:r>
        <w:rPr>
          <w:spacing w:val="-8"/>
        </w:rPr>
        <w:t>risk.</w:t>
      </w:r>
      <w:r>
        <w:rPr>
          <w:spacing w:val="-8"/>
          <w:position w:val="7"/>
          <w:sz w:val="12"/>
        </w:rPr>
        <w:t>111</w:t>
      </w:r>
    </w:p>
    <w:p>
      <w:pPr>
        <w:pStyle w:val="ListParagraph"/>
        <w:numPr>
          <w:ilvl w:val="1"/>
          <w:numId w:val="28"/>
        </w:numPr>
        <w:tabs>
          <w:tab w:pos="2721" w:val="left" w:leader="none"/>
          <w:tab w:pos="2722" w:val="left" w:leader="none"/>
        </w:tabs>
        <w:spacing w:line="242" w:lineRule="auto" w:before="88" w:after="0"/>
        <w:ind w:left="2721" w:right="1642" w:hanging="340"/>
        <w:jc w:val="left"/>
        <w:rPr>
          <w:sz w:val="12"/>
        </w:rPr>
      </w:pPr>
      <w:r>
        <w:rPr>
          <w:spacing w:val="-3"/>
          <w:w w:val="105"/>
          <w:sz w:val="21"/>
        </w:rPr>
        <w:t>Statutory </w:t>
      </w:r>
      <w:r>
        <w:rPr>
          <w:w w:val="105"/>
          <w:sz w:val="21"/>
        </w:rPr>
        <w:t>defences—some </w:t>
      </w:r>
      <w:r>
        <w:rPr>
          <w:spacing w:val="-3"/>
          <w:w w:val="105"/>
          <w:sz w:val="21"/>
        </w:rPr>
        <w:t>defences are included </w:t>
      </w:r>
      <w:r>
        <w:rPr>
          <w:w w:val="105"/>
          <w:sz w:val="21"/>
        </w:rPr>
        <w:t>in the </w:t>
      </w:r>
      <w:r>
        <w:rPr>
          <w:spacing w:val="-3"/>
          <w:w w:val="105"/>
          <w:sz w:val="21"/>
        </w:rPr>
        <w:t>Wrongs </w:t>
      </w:r>
      <w:r>
        <w:rPr>
          <w:w w:val="105"/>
          <w:sz w:val="21"/>
        </w:rPr>
        <w:t>Act </w:t>
      </w:r>
      <w:r>
        <w:rPr>
          <w:spacing w:val="-5"/>
          <w:w w:val="105"/>
          <w:sz w:val="21"/>
        </w:rPr>
        <w:t>1958 </w:t>
      </w:r>
      <w:r>
        <w:rPr>
          <w:w w:val="105"/>
          <w:sz w:val="21"/>
        </w:rPr>
        <w:t>(Vic). These </w:t>
      </w:r>
      <w:r>
        <w:rPr>
          <w:spacing w:val="-3"/>
          <w:w w:val="105"/>
          <w:sz w:val="21"/>
        </w:rPr>
        <w:t>include </w:t>
      </w:r>
      <w:r>
        <w:rPr>
          <w:w w:val="105"/>
          <w:sz w:val="21"/>
        </w:rPr>
        <w:t>the statutory </w:t>
      </w:r>
      <w:r>
        <w:rPr>
          <w:spacing w:val="-3"/>
          <w:w w:val="105"/>
          <w:sz w:val="21"/>
        </w:rPr>
        <w:t>defences relating to ‘good Samaritans’ </w:t>
      </w:r>
      <w:r>
        <w:rPr>
          <w:w w:val="105"/>
          <w:sz w:val="21"/>
        </w:rPr>
        <w:t>and</w:t>
      </w:r>
      <w:r>
        <w:rPr>
          <w:spacing w:val="40"/>
          <w:w w:val="105"/>
          <w:sz w:val="21"/>
        </w:rPr>
        <w:t> </w:t>
      </w:r>
      <w:r>
        <w:rPr>
          <w:spacing w:val="-5"/>
          <w:w w:val="105"/>
          <w:sz w:val="21"/>
        </w:rPr>
        <w:t>volunteers.</w:t>
      </w:r>
      <w:r>
        <w:rPr>
          <w:spacing w:val="-5"/>
          <w:w w:val="105"/>
          <w:position w:val="7"/>
          <w:sz w:val="12"/>
        </w:rPr>
        <w:t>112</w:t>
      </w:r>
    </w:p>
    <w:p>
      <w:pPr>
        <w:pStyle w:val="ListParagraph"/>
        <w:numPr>
          <w:ilvl w:val="1"/>
          <w:numId w:val="28"/>
        </w:numPr>
        <w:tabs>
          <w:tab w:pos="2721" w:val="left" w:leader="none"/>
          <w:tab w:pos="2722" w:val="left" w:leader="none"/>
        </w:tabs>
        <w:spacing w:line="242" w:lineRule="auto" w:before="87" w:after="0"/>
        <w:ind w:left="2721" w:right="1915" w:hanging="340"/>
        <w:jc w:val="left"/>
        <w:rPr>
          <w:sz w:val="21"/>
        </w:rPr>
      </w:pPr>
      <w:r>
        <w:rPr>
          <w:w w:val="105"/>
          <w:sz w:val="21"/>
        </w:rPr>
        <w:t>Illegality—the</w:t>
      </w:r>
      <w:r>
        <w:rPr>
          <w:spacing w:val="-7"/>
          <w:w w:val="105"/>
          <w:sz w:val="21"/>
        </w:rPr>
        <w:t> </w:t>
      </w:r>
      <w:r>
        <w:rPr>
          <w:w w:val="105"/>
          <w:sz w:val="21"/>
        </w:rPr>
        <w:t>fact</w:t>
      </w:r>
      <w:r>
        <w:rPr>
          <w:spacing w:val="-6"/>
          <w:w w:val="105"/>
          <w:sz w:val="21"/>
        </w:rPr>
        <w:t> </w:t>
      </w:r>
      <w:r>
        <w:rPr>
          <w:spacing w:val="-3"/>
          <w:w w:val="105"/>
          <w:sz w:val="21"/>
        </w:rPr>
        <w:t>that</w:t>
      </w:r>
      <w:r>
        <w:rPr>
          <w:spacing w:val="-6"/>
          <w:w w:val="105"/>
          <w:sz w:val="21"/>
        </w:rPr>
        <w:t> </w:t>
      </w:r>
      <w:r>
        <w:rPr>
          <w:w w:val="105"/>
          <w:sz w:val="21"/>
        </w:rPr>
        <w:t>a</w:t>
      </w:r>
      <w:r>
        <w:rPr>
          <w:spacing w:val="-6"/>
          <w:w w:val="105"/>
          <w:sz w:val="21"/>
        </w:rPr>
        <w:t> </w:t>
      </w:r>
      <w:r>
        <w:rPr>
          <w:w w:val="105"/>
          <w:sz w:val="21"/>
        </w:rPr>
        <w:t>person</w:t>
      </w:r>
      <w:r>
        <w:rPr>
          <w:spacing w:val="-7"/>
          <w:w w:val="105"/>
          <w:sz w:val="21"/>
        </w:rPr>
        <w:t> </w:t>
      </w:r>
      <w:r>
        <w:rPr>
          <w:w w:val="105"/>
          <w:sz w:val="21"/>
        </w:rPr>
        <w:t>was</w:t>
      </w:r>
      <w:r>
        <w:rPr>
          <w:spacing w:val="-6"/>
          <w:w w:val="105"/>
          <w:sz w:val="21"/>
        </w:rPr>
        <w:t> </w:t>
      </w:r>
      <w:r>
        <w:rPr>
          <w:w w:val="105"/>
          <w:sz w:val="21"/>
        </w:rPr>
        <w:t>engaged</w:t>
      </w:r>
      <w:r>
        <w:rPr>
          <w:spacing w:val="-6"/>
          <w:w w:val="105"/>
          <w:sz w:val="21"/>
        </w:rPr>
        <w:t> </w:t>
      </w:r>
      <w:r>
        <w:rPr>
          <w:w w:val="105"/>
          <w:sz w:val="21"/>
        </w:rPr>
        <w:t>in</w:t>
      </w:r>
      <w:r>
        <w:rPr>
          <w:spacing w:val="-6"/>
          <w:w w:val="105"/>
          <w:sz w:val="21"/>
        </w:rPr>
        <w:t> </w:t>
      </w:r>
      <w:r>
        <w:rPr>
          <w:w w:val="105"/>
          <w:sz w:val="21"/>
        </w:rPr>
        <w:t>an</w:t>
      </w:r>
      <w:r>
        <w:rPr>
          <w:spacing w:val="-6"/>
          <w:w w:val="105"/>
          <w:sz w:val="21"/>
        </w:rPr>
        <w:t> </w:t>
      </w:r>
      <w:r>
        <w:rPr>
          <w:spacing w:val="-3"/>
          <w:w w:val="105"/>
          <w:sz w:val="21"/>
        </w:rPr>
        <w:t>illegal</w:t>
      </w:r>
      <w:r>
        <w:rPr>
          <w:spacing w:val="-7"/>
          <w:w w:val="105"/>
          <w:sz w:val="21"/>
        </w:rPr>
        <w:t> </w:t>
      </w:r>
      <w:r>
        <w:rPr>
          <w:w w:val="105"/>
          <w:sz w:val="21"/>
        </w:rPr>
        <w:t>activity</w:t>
      </w:r>
      <w:r>
        <w:rPr>
          <w:spacing w:val="-6"/>
          <w:w w:val="105"/>
          <w:sz w:val="21"/>
        </w:rPr>
        <w:t> </w:t>
      </w:r>
      <w:r>
        <w:rPr>
          <w:w w:val="105"/>
          <w:sz w:val="21"/>
        </w:rPr>
        <w:t>at</w:t>
      </w:r>
      <w:r>
        <w:rPr>
          <w:spacing w:val="-6"/>
          <w:w w:val="105"/>
          <w:sz w:val="21"/>
        </w:rPr>
        <w:t> </w:t>
      </w:r>
      <w:r>
        <w:rPr>
          <w:w w:val="105"/>
          <w:sz w:val="21"/>
        </w:rPr>
        <w:t>the</w:t>
      </w:r>
      <w:r>
        <w:rPr>
          <w:spacing w:val="-6"/>
          <w:w w:val="105"/>
          <w:sz w:val="21"/>
        </w:rPr>
        <w:t> </w:t>
      </w:r>
      <w:r>
        <w:rPr>
          <w:w w:val="105"/>
          <w:sz w:val="21"/>
        </w:rPr>
        <w:t>time</w:t>
      </w:r>
      <w:r>
        <w:rPr>
          <w:spacing w:val="-6"/>
          <w:w w:val="105"/>
          <w:sz w:val="21"/>
        </w:rPr>
        <w:t> </w:t>
      </w:r>
      <w:r>
        <w:rPr>
          <w:w w:val="105"/>
          <w:sz w:val="21"/>
        </w:rPr>
        <w:t>they suffered</w:t>
      </w:r>
      <w:r>
        <w:rPr>
          <w:spacing w:val="-8"/>
          <w:w w:val="105"/>
          <w:sz w:val="21"/>
        </w:rPr>
        <w:t> </w:t>
      </w:r>
      <w:r>
        <w:rPr>
          <w:spacing w:val="-3"/>
          <w:w w:val="105"/>
          <w:sz w:val="21"/>
        </w:rPr>
        <w:t>harm</w:t>
      </w:r>
      <w:r>
        <w:rPr>
          <w:spacing w:val="-7"/>
          <w:w w:val="105"/>
          <w:sz w:val="21"/>
        </w:rPr>
        <w:t> </w:t>
      </w:r>
      <w:r>
        <w:rPr>
          <w:w w:val="105"/>
          <w:sz w:val="21"/>
        </w:rPr>
        <w:t>does</w:t>
      </w:r>
      <w:r>
        <w:rPr>
          <w:spacing w:val="-7"/>
          <w:w w:val="105"/>
          <w:sz w:val="21"/>
        </w:rPr>
        <w:t> </w:t>
      </w:r>
      <w:r>
        <w:rPr>
          <w:spacing w:val="-2"/>
          <w:w w:val="105"/>
          <w:sz w:val="21"/>
        </w:rPr>
        <w:t>not</w:t>
      </w:r>
      <w:r>
        <w:rPr>
          <w:spacing w:val="-8"/>
          <w:w w:val="105"/>
          <w:sz w:val="21"/>
        </w:rPr>
        <w:t> </w:t>
      </w:r>
      <w:r>
        <w:rPr>
          <w:w w:val="105"/>
          <w:sz w:val="21"/>
        </w:rPr>
        <w:t>necessarily</w:t>
      </w:r>
      <w:r>
        <w:rPr>
          <w:spacing w:val="-7"/>
          <w:w w:val="105"/>
          <w:sz w:val="21"/>
        </w:rPr>
        <w:t> </w:t>
      </w:r>
      <w:r>
        <w:rPr>
          <w:w w:val="105"/>
          <w:sz w:val="21"/>
        </w:rPr>
        <w:t>provide</w:t>
      </w:r>
      <w:r>
        <w:rPr>
          <w:spacing w:val="-7"/>
          <w:w w:val="105"/>
          <w:sz w:val="21"/>
        </w:rPr>
        <w:t> </w:t>
      </w:r>
      <w:r>
        <w:rPr>
          <w:w w:val="105"/>
          <w:sz w:val="21"/>
        </w:rPr>
        <w:t>an</w:t>
      </w:r>
      <w:r>
        <w:rPr>
          <w:spacing w:val="-7"/>
          <w:w w:val="105"/>
          <w:sz w:val="21"/>
        </w:rPr>
        <w:t> </w:t>
      </w:r>
      <w:r>
        <w:rPr>
          <w:spacing w:val="-3"/>
          <w:w w:val="105"/>
          <w:sz w:val="21"/>
        </w:rPr>
        <w:t>automatic</w:t>
      </w:r>
      <w:r>
        <w:rPr>
          <w:spacing w:val="-8"/>
          <w:w w:val="105"/>
          <w:sz w:val="21"/>
        </w:rPr>
        <w:t> </w:t>
      </w:r>
      <w:r>
        <w:rPr>
          <w:spacing w:val="-3"/>
          <w:w w:val="105"/>
          <w:sz w:val="21"/>
        </w:rPr>
        <w:t>defence</w:t>
      </w:r>
      <w:r>
        <w:rPr>
          <w:spacing w:val="-7"/>
          <w:w w:val="105"/>
          <w:sz w:val="21"/>
        </w:rPr>
        <w:t> </w:t>
      </w:r>
      <w:r>
        <w:rPr>
          <w:spacing w:val="-3"/>
          <w:w w:val="105"/>
          <w:sz w:val="21"/>
        </w:rPr>
        <w:t>for</w:t>
      </w:r>
      <w:r>
        <w:rPr>
          <w:spacing w:val="-7"/>
          <w:w w:val="105"/>
          <w:sz w:val="21"/>
        </w:rPr>
        <w:t> </w:t>
      </w:r>
      <w:r>
        <w:rPr>
          <w:w w:val="105"/>
          <w:sz w:val="21"/>
        </w:rPr>
        <w:t>the</w:t>
      </w:r>
      <w:r>
        <w:rPr>
          <w:spacing w:val="-7"/>
          <w:w w:val="105"/>
          <w:sz w:val="21"/>
        </w:rPr>
        <w:t> </w:t>
      </w:r>
      <w:r>
        <w:rPr>
          <w:spacing w:val="-3"/>
          <w:w w:val="105"/>
          <w:sz w:val="21"/>
        </w:rPr>
        <w:t>negligent </w:t>
      </w:r>
      <w:r>
        <w:rPr>
          <w:spacing w:val="-6"/>
          <w:w w:val="105"/>
          <w:sz w:val="21"/>
        </w:rPr>
        <w:t>party.</w:t>
      </w:r>
      <w:r>
        <w:rPr>
          <w:spacing w:val="-6"/>
          <w:w w:val="105"/>
          <w:position w:val="7"/>
          <w:sz w:val="12"/>
        </w:rPr>
        <w:t>113 </w:t>
      </w:r>
      <w:r>
        <w:rPr>
          <w:w w:val="105"/>
          <w:sz w:val="21"/>
        </w:rPr>
        <w:t>A duty of care </w:t>
      </w:r>
      <w:r>
        <w:rPr>
          <w:spacing w:val="-3"/>
          <w:w w:val="105"/>
          <w:sz w:val="21"/>
        </w:rPr>
        <w:t>may </w:t>
      </w:r>
      <w:r>
        <w:rPr>
          <w:w w:val="105"/>
          <w:sz w:val="21"/>
        </w:rPr>
        <w:t>still be owed </w:t>
      </w:r>
      <w:r>
        <w:rPr>
          <w:spacing w:val="-3"/>
          <w:w w:val="105"/>
          <w:sz w:val="21"/>
        </w:rPr>
        <w:t>to </w:t>
      </w:r>
      <w:r>
        <w:rPr>
          <w:w w:val="105"/>
          <w:sz w:val="21"/>
        </w:rPr>
        <w:t>a person engaged in an </w:t>
      </w:r>
      <w:r>
        <w:rPr>
          <w:spacing w:val="-3"/>
          <w:w w:val="105"/>
          <w:sz w:val="21"/>
        </w:rPr>
        <w:t>illegal </w:t>
      </w:r>
      <w:r>
        <w:rPr>
          <w:w w:val="105"/>
          <w:sz w:val="21"/>
        </w:rPr>
        <w:t>activity in certain </w:t>
      </w:r>
      <w:r>
        <w:rPr>
          <w:spacing w:val="-4"/>
          <w:w w:val="105"/>
          <w:sz w:val="21"/>
        </w:rPr>
        <w:t>circumstances.</w:t>
      </w:r>
      <w:r>
        <w:rPr>
          <w:spacing w:val="-4"/>
          <w:w w:val="105"/>
          <w:position w:val="7"/>
          <w:sz w:val="12"/>
        </w:rPr>
        <w:t>114 </w:t>
      </w:r>
      <w:r>
        <w:rPr>
          <w:w w:val="105"/>
          <w:sz w:val="21"/>
        </w:rPr>
        <w:t>The court </w:t>
      </w:r>
      <w:r>
        <w:rPr>
          <w:spacing w:val="-3"/>
          <w:w w:val="105"/>
          <w:sz w:val="21"/>
        </w:rPr>
        <w:t>may take </w:t>
      </w:r>
      <w:r>
        <w:rPr>
          <w:spacing w:val="-4"/>
          <w:w w:val="105"/>
          <w:sz w:val="21"/>
        </w:rPr>
        <w:t>into </w:t>
      </w:r>
      <w:r>
        <w:rPr>
          <w:spacing w:val="-3"/>
          <w:w w:val="105"/>
          <w:sz w:val="21"/>
        </w:rPr>
        <w:t>consideration </w:t>
      </w:r>
      <w:r>
        <w:rPr>
          <w:w w:val="105"/>
          <w:sz w:val="21"/>
        </w:rPr>
        <w:t>whether or</w:t>
      </w:r>
      <w:r>
        <w:rPr>
          <w:spacing w:val="-25"/>
          <w:w w:val="105"/>
          <w:sz w:val="21"/>
        </w:rPr>
        <w:t> </w:t>
      </w:r>
      <w:r>
        <w:rPr>
          <w:spacing w:val="-2"/>
          <w:w w:val="105"/>
          <w:sz w:val="21"/>
        </w:rPr>
        <w:t>not</w:t>
      </w:r>
    </w:p>
    <w:p>
      <w:pPr>
        <w:pStyle w:val="BodyText"/>
        <w:spacing w:line="242" w:lineRule="auto" w:before="4"/>
        <w:ind w:left="2721" w:right="1667"/>
        <w:rPr>
          <w:sz w:val="12"/>
        </w:rPr>
      </w:pPr>
      <w:r>
        <w:rPr>
          <w:w w:val="105"/>
        </w:rPr>
        <w:t>the person bringing the claim was engaged in illegal activity and reduce an award of damages to reflect this engagement.</w:t>
      </w:r>
      <w:r>
        <w:rPr>
          <w:w w:val="105"/>
          <w:position w:val="7"/>
          <w:sz w:val="12"/>
        </w:rPr>
        <w:t>115</w:t>
      </w:r>
    </w:p>
    <w:p>
      <w:pPr>
        <w:pStyle w:val="ListParagraph"/>
        <w:numPr>
          <w:ilvl w:val="1"/>
          <w:numId w:val="28"/>
        </w:numPr>
        <w:tabs>
          <w:tab w:pos="2721" w:val="left" w:leader="none"/>
          <w:tab w:pos="2722" w:val="left" w:leader="none"/>
        </w:tabs>
        <w:spacing w:line="242" w:lineRule="auto" w:before="87" w:after="0"/>
        <w:ind w:left="2721" w:right="1688" w:hanging="340"/>
        <w:jc w:val="left"/>
        <w:rPr>
          <w:sz w:val="12"/>
        </w:rPr>
      </w:pPr>
      <w:r>
        <w:rPr>
          <w:spacing w:val="-3"/>
          <w:w w:val="105"/>
          <w:sz w:val="21"/>
        </w:rPr>
        <w:t>Contributory </w:t>
      </w:r>
      <w:r>
        <w:rPr>
          <w:w w:val="105"/>
          <w:sz w:val="21"/>
        </w:rPr>
        <w:t>negligence—where the affected </w:t>
      </w:r>
      <w:r>
        <w:rPr>
          <w:spacing w:val="-3"/>
          <w:w w:val="105"/>
          <w:sz w:val="21"/>
        </w:rPr>
        <w:t>neighbour </w:t>
      </w:r>
      <w:r>
        <w:rPr>
          <w:spacing w:val="-4"/>
          <w:w w:val="105"/>
          <w:sz w:val="21"/>
        </w:rPr>
        <w:t>fails </w:t>
      </w:r>
      <w:r>
        <w:rPr>
          <w:spacing w:val="-3"/>
          <w:w w:val="105"/>
          <w:sz w:val="21"/>
        </w:rPr>
        <w:t>to take reasonable </w:t>
      </w:r>
      <w:r>
        <w:rPr>
          <w:w w:val="105"/>
          <w:sz w:val="21"/>
        </w:rPr>
        <w:t>care </w:t>
      </w:r>
      <w:r>
        <w:rPr>
          <w:spacing w:val="-3"/>
          <w:w w:val="105"/>
          <w:sz w:val="21"/>
        </w:rPr>
        <w:t>for </w:t>
      </w:r>
      <w:r>
        <w:rPr>
          <w:w w:val="105"/>
          <w:sz w:val="21"/>
        </w:rPr>
        <w:t>their own </w:t>
      </w:r>
      <w:r>
        <w:rPr>
          <w:spacing w:val="-3"/>
          <w:w w:val="105"/>
          <w:sz w:val="21"/>
        </w:rPr>
        <w:t>safety, </w:t>
      </w:r>
      <w:r>
        <w:rPr>
          <w:w w:val="105"/>
          <w:sz w:val="21"/>
        </w:rPr>
        <w:t>and this </w:t>
      </w:r>
      <w:r>
        <w:rPr>
          <w:spacing w:val="-4"/>
          <w:w w:val="105"/>
          <w:sz w:val="21"/>
        </w:rPr>
        <w:t>failure </w:t>
      </w:r>
      <w:r>
        <w:rPr>
          <w:spacing w:val="-3"/>
          <w:w w:val="105"/>
          <w:sz w:val="21"/>
        </w:rPr>
        <w:t>contributes to </w:t>
      </w:r>
      <w:r>
        <w:rPr>
          <w:w w:val="105"/>
          <w:sz w:val="21"/>
        </w:rPr>
        <w:t>their </w:t>
      </w:r>
      <w:r>
        <w:rPr>
          <w:spacing w:val="-4"/>
          <w:w w:val="105"/>
          <w:sz w:val="21"/>
        </w:rPr>
        <w:t>injury, </w:t>
      </w:r>
      <w:r>
        <w:rPr>
          <w:w w:val="105"/>
          <w:sz w:val="21"/>
        </w:rPr>
        <w:t>the court </w:t>
      </w:r>
      <w:r>
        <w:rPr>
          <w:spacing w:val="-3"/>
          <w:w w:val="105"/>
          <w:sz w:val="21"/>
        </w:rPr>
        <w:t>may </w:t>
      </w:r>
      <w:r>
        <w:rPr>
          <w:w w:val="105"/>
          <w:sz w:val="21"/>
        </w:rPr>
        <w:t>find </w:t>
      </w:r>
      <w:r>
        <w:rPr>
          <w:spacing w:val="-2"/>
          <w:w w:val="105"/>
          <w:sz w:val="21"/>
        </w:rPr>
        <w:t>contributory</w:t>
      </w:r>
      <w:r>
        <w:rPr>
          <w:spacing w:val="5"/>
          <w:w w:val="105"/>
          <w:sz w:val="21"/>
        </w:rPr>
        <w:t> </w:t>
      </w:r>
      <w:r>
        <w:rPr>
          <w:spacing w:val="-5"/>
          <w:w w:val="105"/>
          <w:sz w:val="21"/>
        </w:rPr>
        <w:t>negligence.</w:t>
      </w:r>
      <w:r>
        <w:rPr>
          <w:spacing w:val="-5"/>
          <w:w w:val="105"/>
          <w:position w:val="7"/>
          <w:sz w:val="12"/>
        </w:rPr>
        <w:t>116</w:t>
      </w:r>
    </w:p>
    <w:p>
      <w:pPr>
        <w:pStyle w:val="Heading7"/>
        <w:spacing w:before="119"/>
      </w:pPr>
      <w:r>
        <w:rPr>
          <w:w w:val="110"/>
        </w:rPr>
        <w:t>Remedies</w:t>
      </w:r>
    </w:p>
    <w:p>
      <w:pPr>
        <w:pStyle w:val="ListParagraph"/>
        <w:numPr>
          <w:ilvl w:val="1"/>
          <w:numId w:val="16"/>
        </w:numPr>
        <w:tabs>
          <w:tab w:pos="2381" w:val="left" w:leader="none"/>
          <w:tab w:pos="2382" w:val="left" w:leader="none"/>
        </w:tabs>
        <w:spacing w:line="242" w:lineRule="auto" w:before="143" w:after="0"/>
        <w:ind w:left="2381" w:right="1828" w:hanging="794"/>
        <w:jc w:val="left"/>
        <w:rPr>
          <w:sz w:val="21"/>
        </w:rPr>
      </w:pPr>
      <w:r>
        <w:rPr>
          <w:sz w:val="21"/>
        </w:rPr>
        <w:t>Negligence </w:t>
      </w:r>
      <w:r>
        <w:rPr>
          <w:spacing w:val="-3"/>
          <w:sz w:val="21"/>
        </w:rPr>
        <w:t>claims </w:t>
      </w:r>
      <w:r>
        <w:rPr>
          <w:sz w:val="21"/>
        </w:rPr>
        <w:t>must be </w:t>
      </w:r>
      <w:r>
        <w:rPr>
          <w:spacing w:val="-3"/>
          <w:sz w:val="21"/>
        </w:rPr>
        <w:t>brought before </w:t>
      </w:r>
      <w:r>
        <w:rPr>
          <w:sz w:val="21"/>
        </w:rPr>
        <w:t>a court </w:t>
      </w:r>
      <w:r>
        <w:rPr>
          <w:spacing w:val="-3"/>
          <w:sz w:val="21"/>
        </w:rPr>
        <w:t>within </w:t>
      </w:r>
      <w:r>
        <w:rPr>
          <w:sz w:val="21"/>
        </w:rPr>
        <w:t>three years of the </w:t>
      </w:r>
      <w:r>
        <w:rPr>
          <w:spacing w:val="-3"/>
          <w:sz w:val="21"/>
        </w:rPr>
        <w:t>harm </w:t>
      </w:r>
      <w:r>
        <w:rPr>
          <w:sz w:val="21"/>
        </w:rPr>
        <w:t>being </w:t>
      </w:r>
      <w:r>
        <w:rPr>
          <w:spacing w:val="-3"/>
          <w:sz w:val="21"/>
        </w:rPr>
        <w:t>discoverable (that </w:t>
      </w:r>
      <w:r>
        <w:rPr>
          <w:sz w:val="21"/>
        </w:rPr>
        <w:t>is, it is known about or </w:t>
      </w:r>
      <w:r>
        <w:rPr>
          <w:spacing w:val="-3"/>
          <w:sz w:val="21"/>
        </w:rPr>
        <w:t>could </w:t>
      </w:r>
      <w:r>
        <w:rPr>
          <w:sz w:val="21"/>
        </w:rPr>
        <w:t>be identified), or </w:t>
      </w:r>
      <w:r>
        <w:rPr>
          <w:spacing w:val="-3"/>
          <w:sz w:val="21"/>
        </w:rPr>
        <w:t>within </w:t>
      </w:r>
      <w:r>
        <w:rPr>
          <w:spacing w:val="-9"/>
          <w:sz w:val="21"/>
        </w:rPr>
        <w:t>12 </w:t>
      </w:r>
      <w:r>
        <w:rPr>
          <w:sz w:val="21"/>
        </w:rPr>
        <w:t>years of the </w:t>
      </w:r>
      <w:r>
        <w:rPr>
          <w:spacing w:val="-3"/>
          <w:sz w:val="21"/>
        </w:rPr>
        <w:t>date </w:t>
      </w:r>
      <w:r>
        <w:rPr>
          <w:sz w:val="21"/>
        </w:rPr>
        <w:t>the </w:t>
      </w:r>
      <w:r>
        <w:rPr>
          <w:spacing w:val="-3"/>
          <w:sz w:val="21"/>
        </w:rPr>
        <w:t>negligent </w:t>
      </w:r>
      <w:r>
        <w:rPr>
          <w:sz w:val="21"/>
        </w:rPr>
        <w:t>act </w:t>
      </w:r>
      <w:r>
        <w:rPr>
          <w:spacing w:val="-3"/>
          <w:sz w:val="21"/>
        </w:rPr>
        <w:t>occurred, whichever </w:t>
      </w:r>
      <w:r>
        <w:rPr>
          <w:sz w:val="21"/>
        </w:rPr>
        <w:t>occurs </w:t>
      </w:r>
      <w:r>
        <w:rPr>
          <w:spacing w:val="-5"/>
          <w:sz w:val="21"/>
        </w:rPr>
        <w:t>first.</w:t>
      </w:r>
      <w:r>
        <w:rPr>
          <w:spacing w:val="-5"/>
          <w:position w:val="7"/>
          <w:sz w:val="12"/>
        </w:rPr>
        <w:t>117 </w:t>
      </w:r>
      <w:r>
        <w:rPr>
          <w:sz w:val="21"/>
        </w:rPr>
        <w:t>For </w:t>
      </w:r>
      <w:r>
        <w:rPr>
          <w:spacing w:val="-3"/>
          <w:sz w:val="21"/>
        </w:rPr>
        <w:t>negligence resulting  </w:t>
      </w:r>
      <w:r>
        <w:rPr>
          <w:sz w:val="21"/>
        </w:rPr>
        <w:t>in damage </w:t>
      </w:r>
      <w:r>
        <w:rPr>
          <w:spacing w:val="-3"/>
          <w:sz w:val="21"/>
        </w:rPr>
        <w:t>to </w:t>
      </w:r>
      <w:r>
        <w:rPr>
          <w:sz w:val="21"/>
        </w:rPr>
        <w:t>property, a person must </w:t>
      </w:r>
      <w:r>
        <w:rPr>
          <w:spacing w:val="-3"/>
          <w:sz w:val="21"/>
        </w:rPr>
        <w:t>bring </w:t>
      </w:r>
      <w:r>
        <w:rPr>
          <w:sz w:val="21"/>
        </w:rPr>
        <w:t>legal action </w:t>
      </w:r>
      <w:r>
        <w:rPr>
          <w:spacing w:val="-3"/>
          <w:sz w:val="21"/>
        </w:rPr>
        <w:t>within </w:t>
      </w:r>
      <w:r>
        <w:rPr>
          <w:sz w:val="21"/>
        </w:rPr>
        <w:t>six years of the </w:t>
      </w:r>
      <w:r>
        <w:rPr>
          <w:spacing w:val="-3"/>
          <w:sz w:val="21"/>
        </w:rPr>
        <w:t>date </w:t>
      </w:r>
      <w:r>
        <w:rPr>
          <w:sz w:val="21"/>
        </w:rPr>
        <w:t>the </w:t>
      </w:r>
      <w:r>
        <w:rPr>
          <w:spacing w:val="-3"/>
          <w:sz w:val="21"/>
        </w:rPr>
        <w:t>negligent </w:t>
      </w:r>
      <w:r>
        <w:rPr>
          <w:sz w:val="21"/>
        </w:rPr>
        <w:t>act</w:t>
      </w:r>
      <w:r>
        <w:rPr>
          <w:spacing w:val="21"/>
          <w:sz w:val="21"/>
        </w:rPr>
        <w:t> </w:t>
      </w:r>
      <w:r>
        <w:rPr>
          <w:spacing w:val="-5"/>
          <w:sz w:val="21"/>
        </w:rPr>
        <w:t>occurred.</w:t>
      </w:r>
      <w:r>
        <w:rPr>
          <w:spacing w:val="-5"/>
          <w:position w:val="7"/>
          <w:sz w:val="12"/>
        </w:rPr>
        <w:t>118</w:t>
      </w:r>
    </w:p>
    <w:p>
      <w:pPr>
        <w:pStyle w:val="ListParagraph"/>
        <w:numPr>
          <w:ilvl w:val="1"/>
          <w:numId w:val="16"/>
        </w:numPr>
        <w:tabs>
          <w:tab w:pos="2381" w:val="left" w:leader="none"/>
          <w:tab w:pos="2382" w:val="left" w:leader="none"/>
        </w:tabs>
        <w:spacing w:line="242" w:lineRule="auto" w:before="125" w:after="0"/>
        <w:ind w:left="2381" w:right="1607" w:hanging="794"/>
        <w:jc w:val="left"/>
        <w:rPr>
          <w:sz w:val="21"/>
        </w:rPr>
      </w:pPr>
      <w:r>
        <w:rPr>
          <w:w w:val="105"/>
          <w:sz w:val="21"/>
        </w:rPr>
        <w:t>The </w:t>
      </w:r>
      <w:r>
        <w:rPr>
          <w:spacing w:val="-3"/>
          <w:w w:val="105"/>
          <w:sz w:val="21"/>
        </w:rPr>
        <w:t>main </w:t>
      </w:r>
      <w:r>
        <w:rPr>
          <w:w w:val="105"/>
          <w:sz w:val="21"/>
        </w:rPr>
        <w:t>remedy </w:t>
      </w:r>
      <w:r>
        <w:rPr>
          <w:spacing w:val="-3"/>
          <w:w w:val="105"/>
          <w:sz w:val="21"/>
        </w:rPr>
        <w:t>for negligence </w:t>
      </w:r>
      <w:r>
        <w:rPr>
          <w:w w:val="105"/>
          <w:sz w:val="21"/>
        </w:rPr>
        <w:t>is </w:t>
      </w:r>
      <w:r>
        <w:rPr>
          <w:spacing w:val="-3"/>
          <w:w w:val="105"/>
          <w:sz w:val="21"/>
        </w:rPr>
        <w:t>financial </w:t>
      </w:r>
      <w:r>
        <w:rPr>
          <w:w w:val="105"/>
          <w:sz w:val="21"/>
        </w:rPr>
        <w:t>compensation (damages). The </w:t>
      </w:r>
      <w:r>
        <w:rPr>
          <w:i/>
          <w:spacing w:val="-3"/>
          <w:w w:val="105"/>
          <w:sz w:val="21"/>
        </w:rPr>
        <w:t>Wrongs </w:t>
      </w:r>
      <w:r>
        <w:rPr>
          <w:i/>
          <w:w w:val="105"/>
          <w:sz w:val="21"/>
        </w:rPr>
        <w:t>Act </w:t>
      </w:r>
      <w:r>
        <w:rPr>
          <w:i/>
          <w:spacing w:val="-6"/>
          <w:w w:val="105"/>
          <w:sz w:val="21"/>
        </w:rPr>
        <w:t>1958 </w:t>
      </w:r>
      <w:r>
        <w:rPr>
          <w:w w:val="105"/>
          <w:sz w:val="21"/>
        </w:rPr>
        <w:t>(Vic) sets out </w:t>
      </w:r>
      <w:r>
        <w:rPr>
          <w:spacing w:val="-3"/>
          <w:w w:val="105"/>
          <w:sz w:val="21"/>
        </w:rPr>
        <w:t>various thresholds </w:t>
      </w:r>
      <w:r>
        <w:rPr>
          <w:w w:val="105"/>
          <w:sz w:val="21"/>
        </w:rPr>
        <w:t>of </w:t>
      </w:r>
      <w:r>
        <w:rPr>
          <w:spacing w:val="-3"/>
          <w:w w:val="105"/>
          <w:sz w:val="21"/>
        </w:rPr>
        <w:t>harm </w:t>
      </w:r>
      <w:r>
        <w:rPr>
          <w:w w:val="105"/>
          <w:sz w:val="21"/>
        </w:rPr>
        <w:t>and caps </w:t>
      </w:r>
      <w:r>
        <w:rPr>
          <w:spacing w:val="-3"/>
          <w:w w:val="105"/>
          <w:sz w:val="21"/>
        </w:rPr>
        <w:t>for </w:t>
      </w:r>
      <w:r>
        <w:rPr>
          <w:w w:val="105"/>
          <w:sz w:val="21"/>
        </w:rPr>
        <w:t>monetary amounts </w:t>
      </w:r>
      <w:r>
        <w:rPr>
          <w:spacing w:val="-3"/>
          <w:w w:val="105"/>
          <w:sz w:val="21"/>
        </w:rPr>
        <w:t>that </w:t>
      </w:r>
      <w:r>
        <w:rPr>
          <w:w w:val="105"/>
          <w:sz w:val="21"/>
        </w:rPr>
        <w:t>must be applied when </w:t>
      </w:r>
      <w:r>
        <w:rPr>
          <w:spacing w:val="-3"/>
          <w:w w:val="105"/>
          <w:sz w:val="21"/>
        </w:rPr>
        <w:t>awarding </w:t>
      </w:r>
      <w:r>
        <w:rPr>
          <w:spacing w:val="-5"/>
          <w:w w:val="105"/>
          <w:sz w:val="21"/>
        </w:rPr>
        <w:t>damages.</w:t>
      </w:r>
      <w:r>
        <w:rPr>
          <w:spacing w:val="-5"/>
          <w:w w:val="105"/>
          <w:position w:val="7"/>
          <w:sz w:val="12"/>
        </w:rPr>
        <w:t>119 </w:t>
      </w:r>
      <w:r>
        <w:rPr>
          <w:spacing w:val="-3"/>
          <w:w w:val="105"/>
          <w:sz w:val="21"/>
        </w:rPr>
        <w:t>Damages are </w:t>
      </w:r>
      <w:r>
        <w:rPr>
          <w:w w:val="105"/>
          <w:sz w:val="21"/>
        </w:rPr>
        <w:t>most </w:t>
      </w:r>
      <w:r>
        <w:rPr>
          <w:spacing w:val="-3"/>
          <w:w w:val="105"/>
          <w:sz w:val="21"/>
        </w:rPr>
        <w:t>appropriate to </w:t>
      </w:r>
      <w:r>
        <w:rPr>
          <w:w w:val="105"/>
          <w:sz w:val="21"/>
        </w:rPr>
        <w:t>remedy past, one-off losses </w:t>
      </w:r>
      <w:r>
        <w:rPr>
          <w:spacing w:val="-3"/>
          <w:w w:val="105"/>
          <w:sz w:val="21"/>
        </w:rPr>
        <w:t>such </w:t>
      </w:r>
      <w:r>
        <w:rPr>
          <w:w w:val="105"/>
          <w:sz w:val="21"/>
        </w:rPr>
        <w:t>as personal </w:t>
      </w:r>
      <w:r>
        <w:rPr>
          <w:spacing w:val="-4"/>
          <w:w w:val="105"/>
          <w:sz w:val="21"/>
        </w:rPr>
        <w:t>injury, </w:t>
      </w:r>
      <w:r>
        <w:rPr>
          <w:w w:val="105"/>
          <w:sz w:val="21"/>
        </w:rPr>
        <w:t>or damage </w:t>
      </w:r>
      <w:r>
        <w:rPr>
          <w:spacing w:val="-3"/>
          <w:w w:val="105"/>
          <w:sz w:val="21"/>
        </w:rPr>
        <w:t>to </w:t>
      </w:r>
      <w:r>
        <w:rPr>
          <w:w w:val="105"/>
          <w:sz w:val="21"/>
        </w:rPr>
        <w:t>property. An injunction is </w:t>
      </w:r>
      <w:r>
        <w:rPr>
          <w:spacing w:val="-3"/>
          <w:w w:val="105"/>
          <w:sz w:val="21"/>
        </w:rPr>
        <w:t>usually </w:t>
      </w:r>
      <w:r>
        <w:rPr>
          <w:w w:val="105"/>
          <w:sz w:val="21"/>
        </w:rPr>
        <w:t>ineffective</w:t>
      </w:r>
      <w:r>
        <w:rPr>
          <w:spacing w:val="-10"/>
          <w:w w:val="105"/>
          <w:sz w:val="21"/>
        </w:rPr>
        <w:t> </w:t>
      </w:r>
      <w:r>
        <w:rPr>
          <w:w w:val="105"/>
          <w:sz w:val="21"/>
        </w:rPr>
        <w:t>in</w:t>
      </w:r>
      <w:r>
        <w:rPr>
          <w:spacing w:val="-9"/>
          <w:w w:val="105"/>
          <w:sz w:val="21"/>
        </w:rPr>
        <w:t> </w:t>
      </w:r>
      <w:r>
        <w:rPr>
          <w:w w:val="105"/>
          <w:sz w:val="21"/>
        </w:rPr>
        <w:t>these</w:t>
      </w:r>
      <w:r>
        <w:rPr>
          <w:spacing w:val="-9"/>
          <w:w w:val="105"/>
          <w:sz w:val="21"/>
        </w:rPr>
        <w:t> </w:t>
      </w:r>
      <w:r>
        <w:rPr>
          <w:spacing w:val="-3"/>
          <w:w w:val="105"/>
          <w:sz w:val="21"/>
        </w:rPr>
        <w:t>situations,</w:t>
      </w:r>
      <w:r>
        <w:rPr>
          <w:spacing w:val="-10"/>
          <w:w w:val="105"/>
          <w:sz w:val="21"/>
        </w:rPr>
        <w:t> </w:t>
      </w:r>
      <w:r>
        <w:rPr>
          <w:w w:val="105"/>
          <w:sz w:val="21"/>
        </w:rPr>
        <w:t>as</w:t>
      </w:r>
      <w:r>
        <w:rPr>
          <w:spacing w:val="-9"/>
          <w:w w:val="105"/>
          <w:sz w:val="21"/>
        </w:rPr>
        <w:t> </w:t>
      </w:r>
      <w:r>
        <w:rPr>
          <w:w w:val="105"/>
          <w:sz w:val="21"/>
        </w:rPr>
        <w:t>the</w:t>
      </w:r>
      <w:r>
        <w:rPr>
          <w:spacing w:val="-9"/>
          <w:w w:val="105"/>
          <w:sz w:val="21"/>
        </w:rPr>
        <w:t> </w:t>
      </w:r>
      <w:r>
        <w:rPr>
          <w:w w:val="105"/>
          <w:sz w:val="21"/>
        </w:rPr>
        <w:t>risk</w:t>
      </w:r>
      <w:r>
        <w:rPr>
          <w:spacing w:val="-9"/>
          <w:w w:val="105"/>
          <w:sz w:val="21"/>
        </w:rPr>
        <w:t> </w:t>
      </w:r>
      <w:r>
        <w:rPr>
          <w:w w:val="105"/>
          <w:sz w:val="21"/>
        </w:rPr>
        <w:t>of</w:t>
      </w:r>
      <w:r>
        <w:rPr>
          <w:spacing w:val="-10"/>
          <w:w w:val="105"/>
          <w:sz w:val="21"/>
        </w:rPr>
        <w:t> </w:t>
      </w:r>
      <w:r>
        <w:rPr>
          <w:w w:val="105"/>
          <w:sz w:val="21"/>
        </w:rPr>
        <w:t>these</w:t>
      </w:r>
      <w:r>
        <w:rPr>
          <w:spacing w:val="-9"/>
          <w:w w:val="105"/>
          <w:sz w:val="21"/>
        </w:rPr>
        <w:t> </w:t>
      </w:r>
      <w:r>
        <w:rPr>
          <w:w w:val="105"/>
          <w:sz w:val="21"/>
        </w:rPr>
        <w:t>events</w:t>
      </w:r>
      <w:r>
        <w:rPr>
          <w:spacing w:val="-9"/>
          <w:w w:val="105"/>
          <w:sz w:val="21"/>
        </w:rPr>
        <w:t> </w:t>
      </w:r>
      <w:r>
        <w:rPr>
          <w:w w:val="105"/>
          <w:sz w:val="21"/>
        </w:rPr>
        <w:t>and</w:t>
      </w:r>
      <w:r>
        <w:rPr>
          <w:spacing w:val="-10"/>
          <w:w w:val="105"/>
          <w:sz w:val="21"/>
        </w:rPr>
        <w:t> </w:t>
      </w:r>
      <w:r>
        <w:rPr>
          <w:w w:val="105"/>
          <w:sz w:val="21"/>
        </w:rPr>
        <w:t>losses</w:t>
      </w:r>
      <w:r>
        <w:rPr>
          <w:spacing w:val="-9"/>
          <w:w w:val="105"/>
          <w:sz w:val="21"/>
        </w:rPr>
        <w:t> </w:t>
      </w:r>
      <w:r>
        <w:rPr>
          <w:spacing w:val="-3"/>
          <w:w w:val="105"/>
          <w:sz w:val="21"/>
        </w:rPr>
        <w:t>recurring</w:t>
      </w:r>
      <w:r>
        <w:rPr>
          <w:spacing w:val="-9"/>
          <w:w w:val="105"/>
          <w:sz w:val="21"/>
        </w:rPr>
        <w:t> </w:t>
      </w:r>
      <w:r>
        <w:rPr>
          <w:w w:val="105"/>
          <w:sz w:val="21"/>
        </w:rPr>
        <w:t>is</w:t>
      </w:r>
      <w:r>
        <w:rPr>
          <w:spacing w:val="-9"/>
          <w:w w:val="105"/>
          <w:sz w:val="21"/>
        </w:rPr>
        <w:t> </w:t>
      </w:r>
      <w:r>
        <w:rPr>
          <w:spacing w:val="-4"/>
          <w:w w:val="105"/>
          <w:sz w:val="21"/>
        </w:rPr>
        <w:t>likely</w:t>
      </w:r>
      <w:r>
        <w:rPr>
          <w:spacing w:val="-10"/>
          <w:w w:val="105"/>
          <w:sz w:val="21"/>
        </w:rPr>
        <w:t> </w:t>
      </w:r>
      <w:r>
        <w:rPr>
          <w:spacing w:val="-3"/>
          <w:w w:val="105"/>
          <w:sz w:val="21"/>
        </w:rPr>
        <w:t>to</w:t>
      </w:r>
      <w:r>
        <w:rPr>
          <w:spacing w:val="-9"/>
          <w:w w:val="105"/>
          <w:sz w:val="21"/>
        </w:rPr>
        <w:t> </w:t>
      </w:r>
      <w:r>
        <w:rPr>
          <w:w w:val="105"/>
          <w:sz w:val="21"/>
        </w:rPr>
        <w:t>be </w:t>
      </w:r>
      <w:r>
        <w:rPr>
          <w:spacing w:val="-7"/>
          <w:w w:val="105"/>
          <w:sz w:val="21"/>
        </w:rPr>
        <w:t>low.</w:t>
      </w:r>
      <w:r>
        <w:rPr>
          <w:spacing w:val="-7"/>
          <w:w w:val="105"/>
          <w:position w:val="7"/>
          <w:sz w:val="12"/>
        </w:rPr>
        <w:t>120 </w:t>
      </w:r>
      <w:r>
        <w:rPr>
          <w:w w:val="105"/>
          <w:sz w:val="21"/>
        </w:rPr>
        <w:t>For </w:t>
      </w:r>
      <w:r>
        <w:rPr>
          <w:spacing w:val="-3"/>
          <w:w w:val="105"/>
          <w:sz w:val="21"/>
        </w:rPr>
        <w:t>example, </w:t>
      </w:r>
      <w:r>
        <w:rPr>
          <w:w w:val="105"/>
          <w:sz w:val="21"/>
        </w:rPr>
        <w:t>where an old, decaying tree </w:t>
      </w:r>
      <w:r>
        <w:rPr>
          <w:spacing w:val="-4"/>
          <w:w w:val="105"/>
          <w:sz w:val="21"/>
        </w:rPr>
        <w:t>falls </w:t>
      </w:r>
      <w:r>
        <w:rPr>
          <w:w w:val="105"/>
          <w:sz w:val="21"/>
        </w:rPr>
        <w:t>and causes damage </w:t>
      </w:r>
      <w:r>
        <w:rPr>
          <w:spacing w:val="-3"/>
          <w:w w:val="105"/>
          <w:sz w:val="21"/>
        </w:rPr>
        <w:t>to </w:t>
      </w:r>
      <w:r>
        <w:rPr>
          <w:w w:val="105"/>
          <w:sz w:val="21"/>
        </w:rPr>
        <w:t>property or injury </w:t>
      </w:r>
      <w:r>
        <w:rPr>
          <w:spacing w:val="-3"/>
          <w:w w:val="105"/>
          <w:sz w:val="21"/>
        </w:rPr>
        <w:t>to </w:t>
      </w:r>
      <w:r>
        <w:rPr>
          <w:w w:val="105"/>
          <w:sz w:val="21"/>
        </w:rPr>
        <w:t>a person on </w:t>
      </w:r>
      <w:r>
        <w:rPr>
          <w:spacing w:val="-3"/>
          <w:w w:val="105"/>
          <w:sz w:val="21"/>
        </w:rPr>
        <w:t>neighbouring land, </w:t>
      </w:r>
      <w:r>
        <w:rPr>
          <w:w w:val="105"/>
          <w:sz w:val="21"/>
        </w:rPr>
        <w:t>it is </w:t>
      </w:r>
      <w:r>
        <w:rPr>
          <w:spacing w:val="-4"/>
          <w:w w:val="105"/>
          <w:sz w:val="21"/>
        </w:rPr>
        <w:t>unlikely </w:t>
      </w:r>
      <w:r>
        <w:rPr>
          <w:spacing w:val="-3"/>
          <w:w w:val="105"/>
          <w:sz w:val="21"/>
        </w:rPr>
        <w:t>that </w:t>
      </w:r>
      <w:r>
        <w:rPr>
          <w:w w:val="105"/>
          <w:sz w:val="21"/>
        </w:rPr>
        <w:t>this </w:t>
      </w:r>
      <w:r>
        <w:rPr>
          <w:spacing w:val="-3"/>
          <w:w w:val="105"/>
          <w:sz w:val="21"/>
        </w:rPr>
        <w:t>event will</w:t>
      </w:r>
      <w:r>
        <w:rPr>
          <w:spacing w:val="5"/>
          <w:w w:val="105"/>
          <w:sz w:val="21"/>
        </w:rPr>
        <w:t> </w:t>
      </w:r>
      <w:r>
        <w:rPr>
          <w:spacing w:val="-7"/>
          <w:w w:val="105"/>
          <w:sz w:val="21"/>
        </w:rPr>
        <w:t>recur.</w:t>
      </w:r>
      <w:r>
        <w:rPr>
          <w:spacing w:val="-7"/>
          <w:w w:val="105"/>
          <w:position w:val="7"/>
          <w:sz w:val="12"/>
        </w:rPr>
        <w:t>121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r>
        <w:rPr/>
        <w:pict>
          <v:line style="position:absolute;mso-position-horizontal-relative:page;mso-position-vertical-relative:paragraph;z-index:1376;mso-wrap-distance-left:0;mso-wrap-distance-right:0" from="79.370003pt,11.944865pt" to="515.905003pt,11.944865pt" stroked="true" strokeweight="1pt" strokecolor="#c9d2cb">
            <v:stroke dashstyle="solid"/>
            <w10:wrap type="topAndBottom"/>
          </v:line>
        </w:pict>
      </w:r>
    </w:p>
    <w:p>
      <w:pPr>
        <w:pStyle w:val="ListParagraph"/>
        <w:numPr>
          <w:ilvl w:val="0"/>
          <w:numId w:val="28"/>
        </w:numPr>
        <w:tabs>
          <w:tab w:pos="2380" w:val="left" w:leader="none"/>
          <w:tab w:pos="2382" w:val="left" w:leader="none"/>
        </w:tabs>
        <w:spacing w:line="240" w:lineRule="auto" w:before="117" w:after="0"/>
        <w:ind w:left="2381" w:right="1730" w:hanging="794"/>
        <w:jc w:val="left"/>
        <w:rPr>
          <w:sz w:val="13"/>
        </w:rPr>
      </w:pPr>
      <w:r>
        <w:rPr>
          <w:sz w:val="13"/>
        </w:rPr>
        <w:t>This defence is also known by the Latin maxim </w:t>
      </w:r>
      <w:r>
        <w:rPr>
          <w:i/>
          <w:sz w:val="13"/>
        </w:rPr>
        <w:t>volenti non fit injuria: </w:t>
      </w:r>
      <w:r>
        <w:rPr>
          <w:sz w:val="13"/>
        </w:rPr>
        <w:t>Thomson Reuters, </w:t>
      </w:r>
      <w:r>
        <w:rPr>
          <w:i/>
          <w:sz w:val="13"/>
        </w:rPr>
        <w:t>The Laws of Australia </w:t>
      </w:r>
      <w:r>
        <w:rPr>
          <w:sz w:val="13"/>
        </w:rPr>
        <w:t>(at 1 June 2016) 33 Torts,                    ‘9 Defences’ [33.9.880] citing R P Balkin and J L R Davis, </w:t>
      </w:r>
      <w:r>
        <w:rPr>
          <w:i/>
          <w:sz w:val="13"/>
        </w:rPr>
        <w:t>Law of Torts </w:t>
      </w:r>
      <w:r>
        <w:rPr>
          <w:spacing w:val="2"/>
          <w:sz w:val="13"/>
        </w:rPr>
        <w:t>(Lexis Nexis/Butterworths, </w:t>
      </w:r>
      <w:r>
        <w:rPr>
          <w:sz w:val="13"/>
        </w:rPr>
        <w:t>5th ed, 2013) [10.27], the second edition               of which is cited in </w:t>
      </w:r>
      <w:r>
        <w:rPr>
          <w:i/>
          <w:sz w:val="13"/>
        </w:rPr>
        <w:t>Woods v Multi-Sport Holdings </w:t>
      </w:r>
      <w:r>
        <w:rPr>
          <w:i/>
          <w:spacing w:val="3"/>
          <w:sz w:val="13"/>
        </w:rPr>
        <w:t>Pty </w:t>
      </w:r>
      <w:r>
        <w:rPr>
          <w:i/>
          <w:sz w:val="13"/>
        </w:rPr>
        <w:t>Ltd </w:t>
      </w:r>
      <w:r>
        <w:rPr>
          <w:sz w:val="13"/>
        </w:rPr>
        <w:t>(2002) 208 CLR </w:t>
      </w:r>
      <w:r>
        <w:rPr>
          <w:spacing w:val="2"/>
          <w:sz w:val="13"/>
        </w:rPr>
        <w:t>460 (Kirby </w:t>
      </w:r>
      <w:r>
        <w:rPr>
          <w:spacing w:val="3"/>
          <w:sz w:val="13"/>
        </w:rPr>
        <w:t>J); </w:t>
      </w:r>
      <w:r>
        <w:rPr>
          <w:sz w:val="13"/>
        </w:rPr>
        <w:t>see also </w:t>
      </w:r>
      <w:r>
        <w:rPr>
          <w:i/>
          <w:sz w:val="13"/>
        </w:rPr>
        <w:t>Monie v Commonwealth </w:t>
      </w:r>
      <w:r>
        <w:rPr>
          <w:sz w:val="13"/>
        </w:rPr>
        <w:t>[2007]</w:t>
      </w:r>
      <w:r>
        <w:rPr>
          <w:spacing w:val="-14"/>
          <w:sz w:val="13"/>
        </w:rPr>
        <w:t> </w:t>
      </w:r>
      <w:r>
        <w:rPr>
          <w:sz w:val="13"/>
        </w:rPr>
        <w:t>NSWCA</w:t>
      </w:r>
    </w:p>
    <w:p>
      <w:pPr>
        <w:spacing w:before="4"/>
        <w:ind w:left="2381" w:right="1682" w:firstLine="0"/>
        <w:jc w:val="both"/>
        <w:rPr>
          <w:sz w:val="13"/>
        </w:rPr>
      </w:pPr>
      <w:r>
        <w:rPr>
          <w:w w:val="105"/>
          <w:sz w:val="13"/>
        </w:rPr>
        <w:t>230 </w:t>
      </w:r>
      <w:r>
        <w:rPr>
          <w:spacing w:val="2"/>
          <w:w w:val="105"/>
          <w:sz w:val="13"/>
        </w:rPr>
        <w:t>[75]–[76] </w:t>
      </w:r>
      <w:r>
        <w:rPr>
          <w:w w:val="105"/>
          <w:sz w:val="13"/>
        </w:rPr>
        <w:t>(Campbell </w:t>
      </w:r>
      <w:r>
        <w:rPr>
          <w:spacing w:val="2"/>
          <w:w w:val="105"/>
          <w:sz w:val="13"/>
        </w:rPr>
        <w:t>JA); </w:t>
      </w:r>
      <w:r>
        <w:rPr>
          <w:i/>
          <w:w w:val="105"/>
          <w:sz w:val="13"/>
        </w:rPr>
        <w:t>Wrongs Act 1958 </w:t>
      </w:r>
      <w:r>
        <w:rPr>
          <w:spacing w:val="2"/>
          <w:w w:val="105"/>
          <w:sz w:val="13"/>
        </w:rPr>
        <w:t>(Vic) </w:t>
      </w:r>
      <w:r>
        <w:rPr>
          <w:w w:val="105"/>
          <w:sz w:val="13"/>
        </w:rPr>
        <w:t>ss </w:t>
      </w:r>
      <w:r>
        <w:rPr>
          <w:spacing w:val="2"/>
          <w:w w:val="105"/>
          <w:sz w:val="13"/>
        </w:rPr>
        <w:t>53–54. </w:t>
      </w:r>
      <w:r>
        <w:rPr>
          <w:w w:val="105"/>
          <w:sz w:val="13"/>
        </w:rPr>
        <w:t>Whether or not the affected neighbour understood the extent of the risk is      a subjective assessment based on their actual knowledge: Thomson Reuters, </w:t>
      </w:r>
      <w:r>
        <w:rPr>
          <w:i/>
          <w:w w:val="105"/>
          <w:sz w:val="13"/>
        </w:rPr>
        <w:t>The Laws of Australia </w:t>
      </w:r>
      <w:r>
        <w:rPr>
          <w:w w:val="105"/>
          <w:sz w:val="13"/>
        </w:rPr>
        <w:t>(at 1 June 2016) 33 Torts, ‘9 Defences’ [33.9.910];</w:t>
      </w:r>
      <w:r>
        <w:rPr>
          <w:spacing w:val="5"/>
          <w:w w:val="105"/>
          <w:sz w:val="13"/>
        </w:rPr>
        <w:t> </w:t>
      </w:r>
      <w:r>
        <w:rPr>
          <w:i/>
          <w:w w:val="105"/>
          <w:sz w:val="13"/>
        </w:rPr>
        <w:t>The</w:t>
      </w:r>
      <w:r>
        <w:rPr>
          <w:i/>
          <w:spacing w:val="5"/>
          <w:w w:val="105"/>
          <w:sz w:val="13"/>
        </w:rPr>
        <w:t> </w:t>
      </w:r>
      <w:r>
        <w:rPr>
          <w:i/>
          <w:w w:val="105"/>
          <w:sz w:val="13"/>
        </w:rPr>
        <w:t>Insurance</w:t>
      </w:r>
      <w:r>
        <w:rPr>
          <w:i/>
          <w:spacing w:val="5"/>
          <w:w w:val="105"/>
          <w:sz w:val="13"/>
        </w:rPr>
        <w:t> </w:t>
      </w:r>
      <w:r>
        <w:rPr>
          <w:i/>
          <w:w w:val="105"/>
          <w:sz w:val="13"/>
        </w:rPr>
        <w:t>Commissioner</w:t>
      </w:r>
      <w:r>
        <w:rPr>
          <w:i/>
          <w:spacing w:val="5"/>
          <w:w w:val="105"/>
          <w:sz w:val="13"/>
        </w:rPr>
        <w:t> </w:t>
      </w:r>
      <w:r>
        <w:rPr>
          <w:i/>
          <w:spacing w:val="2"/>
          <w:w w:val="105"/>
          <w:sz w:val="13"/>
        </w:rPr>
        <w:t>(Qld)</w:t>
      </w:r>
      <w:r>
        <w:rPr>
          <w:i/>
          <w:spacing w:val="5"/>
          <w:w w:val="105"/>
          <w:sz w:val="13"/>
        </w:rPr>
        <w:t> </w:t>
      </w:r>
      <w:r>
        <w:rPr>
          <w:i/>
          <w:w w:val="105"/>
          <w:sz w:val="13"/>
        </w:rPr>
        <w:t>v</w:t>
      </w:r>
      <w:r>
        <w:rPr>
          <w:i/>
          <w:spacing w:val="5"/>
          <w:w w:val="105"/>
          <w:sz w:val="13"/>
        </w:rPr>
        <w:t> </w:t>
      </w:r>
      <w:r>
        <w:rPr>
          <w:i/>
          <w:w w:val="105"/>
          <w:sz w:val="13"/>
        </w:rPr>
        <w:t>Joyce</w:t>
      </w:r>
      <w:r>
        <w:rPr>
          <w:i/>
          <w:spacing w:val="5"/>
          <w:w w:val="105"/>
          <w:sz w:val="13"/>
        </w:rPr>
        <w:t> </w:t>
      </w:r>
      <w:r>
        <w:rPr>
          <w:w w:val="105"/>
          <w:sz w:val="13"/>
        </w:rPr>
        <w:t>(1948)</w:t>
      </w:r>
      <w:r>
        <w:rPr>
          <w:spacing w:val="5"/>
          <w:w w:val="105"/>
          <w:sz w:val="13"/>
        </w:rPr>
        <w:t> </w:t>
      </w:r>
      <w:r>
        <w:rPr>
          <w:w w:val="105"/>
          <w:sz w:val="13"/>
        </w:rPr>
        <w:t>77</w:t>
      </w:r>
      <w:r>
        <w:rPr>
          <w:spacing w:val="5"/>
          <w:w w:val="105"/>
          <w:sz w:val="13"/>
        </w:rPr>
        <w:t> </w:t>
      </w:r>
      <w:r>
        <w:rPr>
          <w:w w:val="105"/>
          <w:sz w:val="13"/>
        </w:rPr>
        <w:t>CLR</w:t>
      </w:r>
      <w:r>
        <w:rPr>
          <w:spacing w:val="5"/>
          <w:w w:val="105"/>
          <w:sz w:val="13"/>
        </w:rPr>
        <w:t> </w:t>
      </w:r>
      <w:r>
        <w:rPr>
          <w:w w:val="105"/>
          <w:sz w:val="13"/>
        </w:rPr>
        <w:t>39.</w:t>
      </w:r>
    </w:p>
    <w:p>
      <w:pPr>
        <w:pStyle w:val="ListParagraph"/>
        <w:numPr>
          <w:ilvl w:val="0"/>
          <w:numId w:val="28"/>
        </w:numPr>
        <w:tabs>
          <w:tab w:pos="2380" w:val="left" w:leader="none"/>
          <w:tab w:pos="2382" w:val="left" w:leader="none"/>
        </w:tabs>
        <w:spacing w:line="240" w:lineRule="auto" w:before="4" w:after="0"/>
        <w:ind w:left="2381" w:right="1678" w:hanging="794"/>
        <w:jc w:val="left"/>
        <w:rPr>
          <w:sz w:val="13"/>
        </w:rPr>
      </w:pPr>
      <w:r>
        <w:rPr>
          <w:w w:val="105"/>
          <w:sz w:val="13"/>
        </w:rPr>
        <w:t>Unless the affected neighbour can prove, in turn, on the balance of probabilities that they were in fact not aware of the risk. An ‘obvious   risk’ is a risk that would have been obvious to a reasonable person in the position. This includes ‘risks that are patent or a matter of   common knowledge’. Furthermore, a risk can be obvious even if it ‘has a low probability of occurring’ and ‘is not prominent, conspicuous     or physically observable’. A risk will not be obvious if the risk is created because a person has failed to properly ‘operate, maintain, replace, prepare</w:t>
      </w:r>
      <w:r>
        <w:rPr>
          <w:spacing w:val="4"/>
          <w:w w:val="105"/>
          <w:sz w:val="13"/>
        </w:rPr>
        <w:t> </w:t>
      </w:r>
      <w:r>
        <w:rPr>
          <w:w w:val="105"/>
          <w:sz w:val="13"/>
        </w:rPr>
        <w:t>or</w:t>
      </w:r>
      <w:r>
        <w:rPr>
          <w:spacing w:val="5"/>
          <w:w w:val="105"/>
          <w:sz w:val="13"/>
        </w:rPr>
        <w:t> </w:t>
      </w:r>
      <w:r>
        <w:rPr>
          <w:w w:val="105"/>
          <w:sz w:val="13"/>
        </w:rPr>
        <w:t>care</w:t>
      </w:r>
      <w:r>
        <w:rPr>
          <w:spacing w:val="5"/>
          <w:w w:val="105"/>
          <w:sz w:val="13"/>
        </w:rPr>
        <w:t> </w:t>
      </w:r>
      <w:r>
        <w:rPr>
          <w:w w:val="105"/>
          <w:sz w:val="13"/>
        </w:rPr>
        <w:t>for’</w:t>
      </w:r>
      <w:r>
        <w:rPr>
          <w:spacing w:val="5"/>
          <w:w w:val="105"/>
          <w:sz w:val="13"/>
        </w:rPr>
        <w:t> </w:t>
      </w:r>
      <w:r>
        <w:rPr>
          <w:w w:val="105"/>
          <w:sz w:val="13"/>
        </w:rPr>
        <w:t>an</w:t>
      </w:r>
      <w:r>
        <w:rPr>
          <w:spacing w:val="5"/>
          <w:w w:val="105"/>
          <w:sz w:val="13"/>
        </w:rPr>
        <w:t> </w:t>
      </w:r>
      <w:r>
        <w:rPr>
          <w:w w:val="105"/>
          <w:sz w:val="13"/>
        </w:rPr>
        <w:t>item</w:t>
      </w:r>
      <w:r>
        <w:rPr>
          <w:spacing w:val="4"/>
          <w:w w:val="105"/>
          <w:sz w:val="13"/>
        </w:rPr>
        <w:t> </w:t>
      </w:r>
      <w:r>
        <w:rPr>
          <w:w w:val="105"/>
          <w:sz w:val="13"/>
        </w:rPr>
        <w:t>or</w:t>
      </w:r>
      <w:r>
        <w:rPr>
          <w:spacing w:val="5"/>
          <w:w w:val="105"/>
          <w:sz w:val="13"/>
        </w:rPr>
        <w:t> </w:t>
      </w:r>
      <w:r>
        <w:rPr>
          <w:w w:val="105"/>
          <w:sz w:val="13"/>
        </w:rPr>
        <w:t>‘living</w:t>
      </w:r>
      <w:r>
        <w:rPr>
          <w:spacing w:val="5"/>
          <w:w w:val="105"/>
          <w:sz w:val="13"/>
        </w:rPr>
        <w:t> </w:t>
      </w:r>
      <w:r>
        <w:rPr>
          <w:w w:val="105"/>
          <w:sz w:val="13"/>
        </w:rPr>
        <w:t>thing’</w:t>
      </w:r>
      <w:r>
        <w:rPr>
          <w:spacing w:val="5"/>
          <w:w w:val="105"/>
          <w:sz w:val="13"/>
        </w:rPr>
        <w:t> </w:t>
      </w:r>
      <w:r>
        <w:rPr>
          <w:w w:val="105"/>
          <w:sz w:val="13"/>
        </w:rPr>
        <w:t>unless</w:t>
      </w:r>
      <w:r>
        <w:rPr>
          <w:spacing w:val="5"/>
          <w:w w:val="105"/>
          <w:sz w:val="13"/>
        </w:rPr>
        <w:t> </w:t>
      </w:r>
      <w:r>
        <w:rPr>
          <w:w w:val="105"/>
          <w:sz w:val="13"/>
        </w:rPr>
        <w:t>‘the</w:t>
      </w:r>
      <w:r>
        <w:rPr>
          <w:spacing w:val="4"/>
          <w:w w:val="105"/>
          <w:sz w:val="13"/>
        </w:rPr>
        <w:t> </w:t>
      </w:r>
      <w:r>
        <w:rPr>
          <w:w w:val="105"/>
          <w:sz w:val="13"/>
        </w:rPr>
        <w:t>failure</w:t>
      </w:r>
      <w:r>
        <w:rPr>
          <w:spacing w:val="5"/>
          <w:w w:val="105"/>
          <w:sz w:val="13"/>
        </w:rPr>
        <w:t> </w:t>
      </w:r>
      <w:r>
        <w:rPr>
          <w:w w:val="105"/>
          <w:sz w:val="13"/>
        </w:rPr>
        <w:t>itself</w:t>
      </w:r>
      <w:r>
        <w:rPr>
          <w:spacing w:val="5"/>
          <w:w w:val="105"/>
          <w:sz w:val="13"/>
        </w:rPr>
        <w:t> </w:t>
      </w:r>
      <w:r>
        <w:rPr>
          <w:w w:val="105"/>
          <w:sz w:val="13"/>
        </w:rPr>
        <w:t>is</w:t>
      </w:r>
      <w:r>
        <w:rPr>
          <w:spacing w:val="5"/>
          <w:w w:val="105"/>
          <w:sz w:val="13"/>
        </w:rPr>
        <w:t> </w:t>
      </w:r>
      <w:r>
        <w:rPr>
          <w:w w:val="105"/>
          <w:sz w:val="13"/>
        </w:rPr>
        <w:t>an</w:t>
      </w:r>
      <w:r>
        <w:rPr>
          <w:spacing w:val="5"/>
          <w:w w:val="105"/>
          <w:sz w:val="13"/>
        </w:rPr>
        <w:t> </w:t>
      </w:r>
      <w:r>
        <w:rPr>
          <w:w w:val="105"/>
          <w:sz w:val="13"/>
        </w:rPr>
        <w:t>obvious</w:t>
      </w:r>
      <w:r>
        <w:rPr>
          <w:spacing w:val="4"/>
          <w:w w:val="105"/>
          <w:sz w:val="13"/>
        </w:rPr>
        <w:t> </w:t>
      </w:r>
      <w:r>
        <w:rPr>
          <w:w w:val="105"/>
          <w:sz w:val="13"/>
        </w:rPr>
        <w:t>risk’:</w:t>
      </w:r>
      <w:r>
        <w:rPr>
          <w:spacing w:val="5"/>
          <w:w w:val="105"/>
          <w:sz w:val="13"/>
        </w:rPr>
        <w:t> </w:t>
      </w:r>
      <w:r>
        <w:rPr>
          <w:w w:val="105"/>
          <w:sz w:val="13"/>
        </w:rPr>
        <w:t>see</w:t>
      </w:r>
      <w:r>
        <w:rPr>
          <w:spacing w:val="5"/>
          <w:w w:val="105"/>
          <w:sz w:val="13"/>
        </w:rPr>
        <w:t> </w:t>
      </w:r>
      <w:r>
        <w:rPr>
          <w:w w:val="105"/>
          <w:sz w:val="13"/>
        </w:rPr>
        <w:t>generally</w:t>
      </w:r>
      <w:r>
        <w:rPr>
          <w:spacing w:val="5"/>
          <w:w w:val="105"/>
          <w:sz w:val="13"/>
        </w:rPr>
        <w:t> </w:t>
      </w:r>
      <w:r>
        <w:rPr>
          <w:i/>
          <w:w w:val="105"/>
          <w:sz w:val="13"/>
        </w:rPr>
        <w:t>Wrongs</w:t>
      </w:r>
      <w:r>
        <w:rPr>
          <w:i/>
          <w:spacing w:val="5"/>
          <w:w w:val="105"/>
          <w:sz w:val="13"/>
        </w:rPr>
        <w:t> </w:t>
      </w:r>
      <w:r>
        <w:rPr>
          <w:i/>
          <w:w w:val="105"/>
          <w:sz w:val="13"/>
        </w:rPr>
        <w:t>Act</w:t>
      </w:r>
      <w:r>
        <w:rPr>
          <w:i/>
          <w:spacing w:val="4"/>
          <w:w w:val="105"/>
          <w:sz w:val="13"/>
        </w:rPr>
        <w:t> </w:t>
      </w:r>
      <w:r>
        <w:rPr>
          <w:i/>
          <w:w w:val="105"/>
          <w:sz w:val="13"/>
        </w:rPr>
        <w:t>1958</w:t>
      </w:r>
      <w:r>
        <w:rPr>
          <w:i/>
          <w:spacing w:val="5"/>
          <w:w w:val="105"/>
          <w:sz w:val="13"/>
        </w:rPr>
        <w:t> </w:t>
      </w:r>
      <w:r>
        <w:rPr>
          <w:spacing w:val="2"/>
          <w:w w:val="105"/>
          <w:sz w:val="13"/>
        </w:rPr>
        <w:t>(Vic)</w:t>
      </w:r>
      <w:r>
        <w:rPr>
          <w:spacing w:val="5"/>
          <w:w w:val="105"/>
          <w:sz w:val="13"/>
        </w:rPr>
        <w:t> </w:t>
      </w:r>
      <w:r>
        <w:rPr>
          <w:w w:val="105"/>
          <w:sz w:val="13"/>
        </w:rPr>
        <w:t>s</w:t>
      </w:r>
      <w:r>
        <w:rPr>
          <w:spacing w:val="5"/>
          <w:w w:val="105"/>
          <w:sz w:val="13"/>
        </w:rPr>
        <w:t> </w:t>
      </w:r>
      <w:r>
        <w:rPr>
          <w:w w:val="105"/>
          <w:sz w:val="13"/>
        </w:rPr>
        <w:t>53.</w:t>
      </w:r>
    </w:p>
    <w:p>
      <w:pPr>
        <w:pStyle w:val="ListParagraph"/>
        <w:numPr>
          <w:ilvl w:val="0"/>
          <w:numId w:val="28"/>
        </w:numPr>
        <w:tabs>
          <w:tab w:pos="2380" w:val="left" w:leader="none"/>
          <w:tab w:pos="2382" w:val="left" w:leader="none"/>
        </w:tabs>
        <w:spacing w:line="240" w:lineRule="auto" w:before="7" w:after="0"/>
        <w:ind w:left="2381" w:right="1621" w:hanging="794"/>
        <w:jc w:val="left"/>
        <w:rPr>
          <w:sz w:val="13"/>
        </w:rPr>
      </w:pPr>
      <w:r>
        <w:rPr>
          <w:w w:val="105"/>
          <w:sz w:val="13"/>
        </w:rPr>
        <w:t>A ‘good Samaritan’, acting in good faith and without financial reward, can rely on s </w:t>
      </w:r>
      <w:r>
        <w:rPr>
          <w:spacing w:val="-3"/>
          <w:w w:val="105"/>
          <w:sz w:val="13"/>
        </w:rPr>
        <w:t>31B  </w:t>
      </w:r>
      <w:r>
        <w:rPr>
          <w:w w:val="105"/>
          <w:sz w:val="13"/>
        </w:rPr>
        <w:t>of the </w:t>
      </w:r>
      <w:r>
        <w:rPr>
          <w:i/>
          <w:w w:val="105"/>
          <w:sz w:val="13"/>
        </w:rPr>
        <w:t>Wrongs Act 1958 </w:t>
      </w:r>
      <w:r>
        <w:rPr>
          <w:spacing w:val="2"/>
          <w:w w:val="105"/>
          <w:sz w:val="13"/>
        </w:rPr>
        <w:t>(Vic) </w:t>
      </w:r>
      <w:r>
        <w:rPr>
          <w:w w:val="105"/>
          <w:sz w:val="13"/>
        </w:rPr>
        <w:t>to relieve themselves    of liability. Section 37 provides a similar defence for volunteers engaged in community work; liability is conferred onto the community organisation for which they volunteer although exceptions may apply: see </w:t>
      </w:r>
      <w:r>
        <w:rPr>
          <w:i/>
          <w:w w:val="105"/>
          <w:sz w:val="13"/>
        </w:rPr>
        <w:t>Wrongs Act 1958 </w:t>
      </w:r>
      <w:r>
        <w:rPr>
          <w:spacing w:val="2"/>
          <w:w w:val="105"/>
          <w:sz w:val="13"/>
        </w:rPr>
        <w:t>(Vic) </w:t>
      </w:r>
      <w:r>
        <w:rPr>
          <w:w w:val="105"/>
          <w:sz w:val="13"/>
        </w:rPr>
        <w:t>s </w:t>
      </w:r>
      <w:r>
        <w:rPr>
          <w:spacing w:val="2"/>
          <w:w w:val="105"/>
          <w:sz w:val="13"/>
        </w:rPr>
        <w:t>38; </w:t>
      </w:r>
      <w:r>
        <w:rPr>
          <w:w w:val="105"/>
          <w:sz w:val="13"/>
        </w:rPr>
        <w:t>see generally </w:t>
      </w:r>
      <w:r>
        <w:rPr>
          <w:i/>
          <w:w w:val="105"/>
          <w:sz w:val="13"/>
        </w:rPr>
        <w:t>Wrongs Act 1958 </w:t>
      </w:r>
      <w:r>
        <w:rPr>
          <w:spacing w:val="2"/>
          <w:w w:val="105"/>
          <w:sz w:val="13"/>
        </w:rPr>
        <w:t>(Vic) </w:t>
      </w:r>
      <w:r>
        <w:rPr>
          <w:spacing w:val="3"/>
          <w:w w:val="105"/>
          <w:sz w:val="13"/>
        </w:rPr>
        <w:t>Pts VIA,</w:t>
      </w:r>
      <w:r>
        <w:rPr>
          <w:spacing w:val="6"/>
          <w:w w:val="105"/>
          <w:sz w:val="13"/>
        </w:rPr>
        <w:t> </w:t>
      </w:r>
      <w:r>
        <w:rPr>
          <w:spacing w:val="2"/>
          <w:w w:val="105"/>
          <w:sz w:val="13"/>
        </w:rPr>
        <w:t>IX.</w:t>
      </w:r>
    </w:p>
    <w:p>
      <w:pPr>
        <w:pStyle w:val="ListParagraph"/>
        <w:numPr>
          <w:ilvl w:val="0"/>
          <w:numId w:val="28"/>
        </w:numPr>
        <w:tabs>
          <w:tab w:pos="2380" w:val="left" w:leader="none"/>
          <w:tab w:pos="2382" w:val="left" w:leader="none"/>
        </w:tabs>
        <w:spacing w:line="240" w:lineRule="auto" w:before="5" w:after="0"/>
        <w:ind w:left="2381" w:right="0" w:hanging="794"/>
        <w:jc w:val="left"/>
        <w:rPr>
          <w:sz w:val="13"/>
        </w:rPr>
      </w:pPr>
      <w:r>
        <w:rPr>
          <w:w w:val="105"/>
          <w:sz w:val="13"/>
        </w:rPr>
        <w:t>Thomson</w:t>
      </w:r>
      <w:r>
        <w:rPr>
          <w:spacing w:val="4"/>
          <w:w w:val="105"/>
          <w:sz w:val="13"/>
        </w:rPr>
        <w:t> </w:t>
      </w:r>
      <w:r>
        <w:rPr>
          <w:w w:val="105"/>
          <w:sz w:val="13"/>
        </w:rPr>
        <w:t>Reuters,</w:t>
      </w:r>
      <w:r>
        <w:rPr>
          <w:spacing w:val="5"/>
          <w:w w:val="105"/>
          <w:sz w:val="13"/>
        </w:rPr>
        <w:t> </w:t>
      </w:r>
      <w:r>
        <w:rPr>
          <w:i/>
          <w:w w:val="105"/>
          <w:sz w:val="13"/>
        </w:rPr>
        <w:t>The</w:t>
      </w:r>
      <w:r>
        <w:rPr>
          <w:i/>
          <w:spacing w:val="5"/>
          <w:w w:val="105"/>
          <w:sz w:val="13"/>
        </w:rPr>
        <w:t> </w:t>
      </w:r>
      <w:r>
        <w:rPr>
          <w:i/>
          <w:w w:val="105"/>
          <w:sz w:val="13"/>
        </w:rPr>
        <w:t>Laws</w:t>
      </w:r>
      <w:r>
        <w:rPr>
          <w:i/>
          <w:spacing w:val="5"/>
          <w:w w:val="105"/>
          <w:sz w:val="13"/>
        </w:rPr>
        <w:t> </w:t>
      </w:r>
      <w:r>
        <w:rPr>
          <w:i/>
          <w:w w:val="105"/>
          <w:sz w:val="13"/>
        </w:rPr>
        <w:t>of</w:t>
      </w:r>
      <w:r>
        <w:rPr>
          <w:i/>
          <w:spacing w:val="5"/>
          <w:w w:val="105"/>
          <w:sz w:val="13"/>
        </w:rPr>
        <w:t> </w:t>
      </w:r>
      <w:r>
        <w:rPr>
          <w:i/>
          <w:w w:val="105"/>
          <w:sz w:val="13"/>
        </w:rPr>
        <w:t>Australia</w:t>
      </w:r>
      <w:r>
        <w:rPr>
          <w:i/>
          <w:spacing w:val="5"/>
          <w:w w:val="105"/>
          <w:sz w:val="13"/>
        </w:rPr>
        <w:t> </w:t>
      </w:r>
      <w:r>
        <w:rPr>
          <w:w w:val="105"/>
          <w:sz w:val="13"/>
        </w:rPr>
        <w:t>(at</w:t>
      </w:r>
      <w:r>
        <w:rPr>
          <w:spacing w:val="5"/>
          <w:w w:val="105"/>
          <w:sz w:val="13"/>
        </w:rPr>
        <w:t> </w:t>
      </w:r>
      <w:r>
        <w:rPr>
          <w:w w:val="105"/>
          <w:sz w:val="13"/>
        </w:rPr>
        <w:t>27</w:t>
      </w:r>
      <w:r>
        <w:rPr>
          <w:spacing w:val="5"/>
          <w:w w:val="105"/>
          <w:sz w:val="13"/>
        </w:rPr>
        <w:t> </w:t>
      </w:r>
      <w:r>
        <w:rPr>
          <w:w w:val="105"/>
          <w:sz w:val="13"/>
        </w:rPr>
        <w:t>May</w:t>
      </w:r>
      <w:r>
        <w:rPr>
          <w:spacing w:val="5"/>
          <w:w w:val="105"/>
          <w:sz w:val="13"/>
        </w:rPr>
        <w:t> </w:t>
      </w:r>
      <w:r>
        <w:rPr>
          <w:w w:val="105"/>
          <w:sz w:val="13"/>
        </w:rPr>
        <w:t>2016)</w:t>
      </w:r>
      <w:r>
        <w:rPr>
          <w:spacing w:val="5"/>
          <w:w w:val="105"/>
          <w:sz w:val="13"/>
        </w:rPr>
        <w:t> </w:t>
      </w:r>
      <w:r>
        <w:rPr>
          <w:w w:val="105"/>
          <w:sz w:val="13"/>
        </w:rPr>
        <w:t>33</w:t>
      </w:r>
      <w:r>
        <w:rPr>
          <w:spacing w:val="5"/>
          <w:w w:val="105"/>
          <w:sz w:val="13"/>
        </w:rPr>
        <w:t> </w:t>
      </w:r>
      <w:r>
        <w:rPr>
          <w:w w:val="105"/>
          <w:sz w:val="13"/>
        </w:rPr>
        <w:t>Torts,</w:t>
      </w:r>
      <w:r>
        <w:rPr>
          <w:spacing w:val="4"/>
          <w:w w:val="105"/>
          <w:sz w:val="13"/>
        </w:rPr>
        <w:t> </w:t>
      </w:r>
      <w:r>
        <w:rPr>
          <w:w w:val="105"/>
          <w:sz w:val="13"/>
        </w:rPr>
        <w:t>‘9</w:t>
      </w:r>
      <w:r>
        <w:rPr>
          <w:spacing w:val="5"/>
          <w:w w:val="105"/>
          <w:sz w:val="13"/>
        </w:rPr>
        <w:t> </w:t>
      </w:r>
      <w:r>
        <w:rPr>
          <w:w w:val="105"/>
          <w:sz w:val="13"/>
        </w:rPr>
        <w:t>Defences’</w:t>
      </w:r>
      <w:r>
        <w:rPr>
          <w:spacing w:val="5"/>
          <w:w w:val="105"/>
          <w:sz w:val="13"/>
        </w:rPr>
        <w:t> </w:t>
      </w:r>
      <w:r>
        <w:rPr>
          <w:w w:val="105"/>
          <w:sz w:val="13"/>
        </w:rPr>
        <w:t>[33.9.980].</w:t>
      </w:r>
    </w:p>
    <w:p>
      <w:pPr>
        <w:pStyle w:val="ListParagraph"/>
        <w:numPr>
          <w:ilvl w:val="0"/>
          <w:numId w:val="28"/>
        </w:numPr>
        <w:tabs>
          <w:tab w:pos="2380" w:val="left" w:leader="none"/>
          <w:tab w:pos="2382" w:val="left" w:leader="none"/>
        </w:tabs>
        <w:spacing w:line="240" w:lineRule="auto" w:before="1" w:after="0"/>
        <w:ind w:left="2381" w:right="1619" w:hanging="794"/>
        <w:jc w:val="left"/>
        <w:rPr>
          <w:sz w:val="13"/>
        </w:rPr>
      </w:pPr>
      <w:r>
        <w:rPr>
          <w:spacing w:val="-3"/>
          <w:w w:val="105"/>
          <w:sz w:val="13"/>
        </w:rPr>
        <w:t>To </w:t>
      </w:r>
      <w:r>
        <w:rPr>
          <w:w w:val="105"/>
          <w:sz w:val="13"/>
        </w:rPr>
        <w:t>establish illegality as a defence a relationship must exist between the criminal </w:t>
      </w:r>
      <w:r>
        <w:rPr>
          <w:spacing w:val="2"/>
          <w:w w:val="105"/>
          <w:sz w:val="13"/>
        </w:rPr>
        <w:t>act </w:t>
      </w:r>
      <w:r>
        <w:rPr>
          <w:w w:val="105"/>
          <w:sz w:val="13"/>
        </w:rPr>
        <w:t>and the </w:t>
      </w:r>
      <w:r>
        <w:rPr>
          <w:spacing w:val="2"/>
          <w:w w:val="105"/>
          <w:sz w:val="13"/>
        </w:rPr>
        <w:t>act </w:t>
      </w:r>
      <w:r>
        <w:rPr>
          <w:w w:val="105"/>
          <w:sz w:val="13"/>
        </w:rPr>
        <w:t>of negligence. A common example given is that of a burglar who suffers a motor vehicle collision on a highway on their way to a professional engagement. The harm suffered by the burglar</w:t>
      </w:r>
      <w:r>
        <w:rPr>
          <w:spacing w:val="5"/>
          <w:w w:val="105"/>
          <w:sz w:val="13"/>
        </w:rPr>
        <w:t> </w:t>
      </w:r>
      <w:r>
        <w:rPr>
          <w:w w:val="105"/>
          <w:sz w:val="13"/>
        </w:rPr>
        <w:t>is</w:t>
      </w:r>
      <w:r>
        <w:rPr>
          <w:spacing w:val="6"/>
          <w:w w:val="105"/>
          <w:sz w:val="13"/>
        </w:rPr>
        <w:t> </w:t>
      </w:r>
      <w:r>
        <w:rPr>
          <w:w w:val="105"/>
          <w:sz w:val="13"/>
        </w:rPr>
        <w:t>independent</w:t>
      </w:r>
      <w:r>
        <w:rPr>
          <w:spacing w:val="6"/>
          <w:w w:val="105"/>
          <w:sz w:val="13"/>
        </w:rPr>
        <w:t> </w:t>
      </w:r>
      <w:r>
        <w:rPr>
          <w:w w:val="105"/>
          <w:sz w:val="13"/>
        </w:rPr>
        <w:t>of</w:t>
      </w:r>
      <w:r>
        <w:rPr>
          <w:spacing w:val="6"/>
          <w:w w:val="105"/>
          <w:sz w:val="13"/>
        </w:rPr>
        <w:t> </w:t>
      </w:r>
      <w:r>
        <w:rPr>
          <w:w w:val="105"/>
          <w:sz w:val="13"/>
        </w:rPr>
        <w:t>the</w:t>
      </w:r>
      <w:r>
        <w:rPr>
          <w:spacing w:val="6"/>
          <w:w w:val="105"/>
          <w:sz w:val="13"/>
        </w:rPr>
        <w:t> </w:t>
      </w:r>
      <w:r>
        <w:rPr>
          <w:w w:val="105"/>
          <w:sz w:val="13"/>
        </w:rPr>
        <w:t>crime:</w:t>
      </w:r>
      <w:r>
        <w:rPr>
          <w:spacing w:val="6"/>
          <w:w w:val="105"/>
          <w:sz w:val="13"/>
        </w:rPr>
        <w:t> </w:t>
      </w:r>
      <w:r>
        <w:rPr>
          <w:w w:val="105"/>
          <w:sz w:val="13"/>
        </w:rPr>
        <w:t>Thomson</w:t>
      </w:r>
      <w:r>
        <w:rPr>
          <w:spacing w:val="6"/>
          <w:w w:val="105"/>
          <w:sz w:val="13"/>
        </w:rPr>
        <w:t> </w:t>
      </w:r>
      <w:r>
        <w:rPr>
          <w:w w:val="105"/>
          <w:sz w:val="13"/>
        </w:rPr>
        <w:t>Reuters,</w:t>
      </w:r>
      <w:r>
        <w:rPr>
          <w:spacing w:val="6"/>
          <w:w w:val="105"/>
          <w:sz w:val="13"/>
        </w:rPr>
        <w:t> </w:t>
      </w:r>
      <w:r>
        <w:rPr>
          <w:i/>
          <w:w w:val="105"/>
          <w:sz w:val="13"/>
        </w:rPr>
        <w:t>The</w:t>
      </w:r>
      <w:r>
        <w:rPr>
          <w:i/>
          <w:spacing w:val="6"/>
          <w:w w:val="105"/>
          <w:sz w:val="13"/>
        </w:rPr>
        <w:t> </w:t>
      </w:r>
      <w:r>
        <w:rPr>
          <w:i/>
          <w:w w:val="105"/>
          <w:sz w:val="13"/>
        </w:rPr>
        <w:t>Laws</w:t>
      </w:r>
      <w:r>
        <w:rPr>
          <w:i/>
          <w:spacing w:val="6"/>
          <w:w w:val="105"/>
          <w:sz w:val="13"/>
        </w:rPr>
        <w:t> </w:t>
      </w:r>
      <w:r>
        <w:rPr>
          <w:i/>
          <w:w w:val="105"/>
          <w:sz w:val="13"/>
        </w:rPr>
        <w:t>of</w:t>
      </w:r>
      <w:r>
        <w:rPr>
          <w:i/>
          <w:spacing w:val="6"/>
          <w:w w:val="105"/>
          <w:sz w:val="13"/>
        </w:rPr>
        <w:t> </w:t>
      </w:r>
      <w:r>
        <w:rPr>
          <w:i/>
          <w:w w:val="105"/>
          <w:sz w:val="13"/>
        </w:rPr>
        <w:t>Australia</w:t>
      </w:r>
      <w:r>
        <w:rPr>
          <w:i/>
          <w:spacing w:val="6"/>
          <w:w w:val="105"/>
          <w:sz w:val="13"/>
        </w:rPr>
        <w:t> </w:t>
      </w:r>
      <w:r>
        <w:rPr>
          <w:w w:val="105"/>
          <w:sz w:val="13"/>
        </w:rPr>
        <w:t>(at</w:t>
      </w:r>
      <w:r>
        <w:rPr>
          <w:spacing w:val="6"/>
          <w:w w:val="105"/>
          <w:sz w:val="13"/>
        </w:rPr>
        <w:t> </w:t>
      </w:r>
      <w:r>
        <w:rPr>
          <w:w w:val="105"/>
          <w:sz w:val="13"/>
        </w:rPr>
        <w:t>27</w:t>
      </w:r>
      <w:r>
        <w:rPr>
          <w:spacing w:val="6"/>
          <w:w w:val="105"/>
          <w:sz w:val="13"/>
        </w:rPr>
        <w:t> </w:t>
      </w:r>
      <w:r>
        <w:rPr>
          <w:w w:val="105"/>
          <w:sz w:val="13"/>
        </w:rPr>
        <w:t>May</w:t>
      </w:r>
      <w:r>
        <w:rPr>
          <w:spacing w:val="6"/>
          <w:w w:val="105"/>
          <w:sz w:val="13"/>
        </w:rPr>
        <w:t> </w:t>
      </w:r>
      <w:r>
        <w:rPr>
          <w:w w:val="105"/>
          <w:sz w:val="13"/>
        </w:rPr>
        <w:t>2016)</w:t>
      </w:r>
      <w:r>
        <w:rPr>
          <w:spacing w:val="6"/>
          <w:w w:val="105"/>
          <w:sz w:val="13"/>
        </w:rPr>
        <w:t> </w:t>
      </w:r>
      <w:r>
        <w:rPr>
          <w:w w:val="105"/>
          <w:sz w:val="13"/>
        </w:rPr>
        <w:t>33</w:t>
      </w:r>
      <w:r>
        <w:rPr>
          <w:spacing w:val="6"/>
          <w:w w:val="105"/>
          <w:sz w:val="13"/>
        </w:rPr>
        <w:t> </w:t>
      </w:r>
      <w:r>
        <w:rPr>
          <w:w w:val="105"/>
          <w:sz w:val="13"/>
        </w:rPr>
        <w:t>Torts,</w:t>
      </w:r>
      <w:r>
        <w:rPr>
          <w:spacing w:val="6"/>
          <w:w w:val="105"/>
          <w:sz w:val="13"/>
        </w:rPr>
        <w:t> </w:t>
      </w:r>
      <w:r>
        <w:rPr>
          <w:w w:val="105"/>
          <w:sz w:val="13"/>
        </w:rPr>
        <w:t>‘9</w:t>
      </w:r>
      <w:r>
        <w:rPr>
          <w:spacing w:val="6"/>
          <w:w w:val="105"/>
          <w:sz w:val="13"/>
        </w:rPr>
        <w:t> </w:t>
      </w:r>
      <w:r>
        <w:rPr>
          <w:w w:val="105"/>
          <w:sz w:val="13"/>
        </w:rPr>
        <w:t>Defences’</w:t>
      </w:r>
      <w:r>
        <w:rPr>
          <w:spacing w:val="6"/>
          <w:w w:val="105"/>
          <w:sz w:val="13"/>
        </w:rPr>
        <w:t> </w:t>
      </w:r>
      <w:r>
        <w:rPr>
          <w:w w:val="105"/>
          <w:sz w:val="13"/>
        </w:rPr>
        <w:t>[33.9.990].</w:t>
      </w:r>
    </w:p>
    <w:p>
      <w:pPr>
        <w:pStyle w:val="ListParagraph"/>
        <w:numPr>
          <w:ilvl w:val="0"/>
          <w:numId w:val="28"/>
        </w:numPr>
        <w:tabs>
          <w:tab w:pos="2380" w:val="left" w:leader="none"/>
          <w:tab w:pos="2382" w:val="left" w:leader="none"/>
        </w:tabs>
        <w:spacing w:line="240" w:lineRule="auto" w:before="4" w:after="0"/>
        <w:ind w:left="2381" w:right="1817" w:hanging="794"/>
        <w:jc w:val="left"/>
        <w:rPr>
          <w:sz w:val="13"/>
        </w:rPr>
      </w:pPr>
      <w:r>
        <w:rPr>
          <w:i/>
          <w:w w:val="105"/>
          <w:sz w:val="13"/>
        </w:rPr>
        <w:t>Wrongs Act 1958 </w:t>
      </w:r>
      <w:r>
        <w:rPr>
          <w:spacing w:val="2"/>
          <w:w w:val="105"/>
          <w:sz w:val="13"/>
        </w:rPr>
        <w:t>(Vic) </w:t>
      </w:r>
      <w:r>
        <w:rPr>
          <w:w w:val="105"/>
          <w:sz w:val="13"/>
        </w:rPr>
        <w:t>s 14G; Kit Barker, Peter Cane, Mark Lunney and Francis Trindade, </w:t>
      </w:r>
      <w:r>
        <w:rPr>
          <w:i/>
          <w:w w:val="105"/>
          <w:sz w:val="13"/>
        </w:rPr>
        <w:t>The Law of Torts in Australia </w:t>
      </w:r>
      <w:r>
        <w:rPr>
          <w:spacing w:val="2"/>
          <w:w w:val="105"/>
          <w:sz w:val="13"/>
        </w:rPr>
        <w:t>(Oxford </w:t>
      </w:r>
      <w:r>
        <w:rPr>
          <w:w w:val="105"/>
          <w:sz w:val="13"/>
        </w:rPr>
        <w:t>University Press, 5th ed, 2012) 624; James Goudkamp, ‘Defences to Negligence’ in Carolyn Sappideen and Prue Vines </w:t>
      </w:r>
      <w:r>
        <w:rPr>
          <w:spacing w:val="2"/>
          <w:w w:val="105"/>
          <w:sz w:val="13"/>
        </w:rPr>
        <w:t>(eds), </w:t>
      </w:r>
      <w:r>
        <w:rPr>
          <w:i/>
          <w:w w:val="105"/>
          <w:sz w:val="13"/>
        </w:rPr>
        <w:t>Fleming’s The Law of </w:t>
      </w:r>
      <w:r>
        <w:rPr>
          <w:i/>
          <w:w w:val="105"/>
          <w:sz w:val="13"/>
        </w:rPr>
        <w:t>Torts </w:t>
      </w:r>
      <w:r>
        <w:rPr>
          <w:spacing w:val="2"/>
          <w:w w:val="105"/>
          <w:sz w:val="13"/>
        </w:rPr>
        <w:t>(Lawbook </w:t>
      </w:r>
      <w:r>
        <w:rPr>
          <w:w w:val="105"/>
          <w:sz w:val="13"/>
        </w:rPr>
        <w:t>Co, 10th ed, </w:t>
      </w:r>
      <w:r>
        <w:rPr>
          <w:spacing w:val="-2"/>
          <w:w w:val="105"/>
          <w:sz w:val="13"/>
        </w:rPr>
        <w:t>2011), </w:t>
      </w:r>
      <w:r>
        <w:rPr>
          <w:spacing w:val="-6"/>
          <w:w w:val="105"/>
          <w:sz w:val="13"/>
        </w:rPr>
        <w:t>317,</w:t>
      </w:r>
      <w:r>
        <w:rPr>
          <w:spacing w:val="10"/>
          <w:w w:val="105"/>
          <w:sz w:val="13"/>
        </w:rPr>
        <w:t> </w:t>
      </w:r>
      <w:r>
        <w:rPr>
          <w:w w:val="105"/>
          <w:sz w:val="13"/>
        </w:rPr>
        <w:t>[12.440].</w:t>
      </w:r>
    </w:p>
    <w:p>
      <w:pPr>
        <w:pStyle w:val="ListParagraph"/>
        <w:numPr>
          <w:ilvl w:val="0"/>
          <w:numId w:val="28"/>
        </w:numPr>
        <w:tabs>
          <w:tab w:pos="2380" w:val="left" w:leader="none"/>
          <w:tab w:pos="2382" w:val="left" w:leader="none"/>
        </w:tabs>
        <w:spacing w:line="240" w:lineRule="auto" w:before="4" w:after="0"/>
        <w:ind w:left="2381" w:right="0" w:hanging="794"/>
        <w:jc w:val="left"/>
        <w:rPr>
          <w:sz w:val="13"/>
        </w:rPr>
      </w:pPr>
      <w:r>
        <w:rPr>
          <w:w w:val="105"/>
          <w:sz w:val="13"/>
        </w:rPr>
        <w:t>James</w:t>
      </w:r>
      <w:r>
        <w:rPr>
          <w:spacing w:val="5"/>
          <w:w w:val="105"/>
          <w:sz w:val="13"/>
        </w:rPr>
        <w:t> </w:t>
      </w:r>
      <w:r>
        <w:rPr>
          <w:w w:val="105"/>
          <w:sz w:val="13"/>
        </w:rPr>
        <w:t>Goudkamp,</w:t>
      </w:r>
      <w:r>
        <w:rPr>
          <w:spacing w:val="5"/>
          <w:w w:val="105"/>
          <w:sz w:val="13"/>
        </w:rPr>
        <w:t> </w:t>
      </w:r>
      <w:r>
        <w:rPr>
          <w:w w:val="105"/>
          <w:sz w:val="13"/>
        </w:rPr>
        <w:t>‘Defences</w:t>
      </w:r>
      <w:r>
        <w:rPr>
          <w:spacing w:val="6"/>
          <w:w w:val="105"/>
          <w:sz w:val="13"/>
        </w:rPr>
        <w:t> </w:t>
      </w:r>
      <w:r>
        <w:rPr>
          <w:w w:val="105"/>
          <w:sz w:val="13"/>
        </w:rPr>
        <w:t>to</w:t>
      </w:r>
      <w:r>
        <w:rPr>
          <w:spacing w:val="5"/>
          <w:w w:val="105"/>
          <w:sz w:val="13"/>
        </w:rPr>
        <w:t> </w:t>
      </w:r>
      <w:r>
        <w:rPr>
          <w:w w:val="105"/>
          <w:sz w:val="13"/>
        </w:rPr>
        <w:t>Negligence’</w:t>
      </w:r>
      <w:r>
        <w:rPr>
          <w:spacing w:val="6"/>
          <w:w w:val="105"/>
          <w:sz w:val="13"/>
        </w:rPr>
        <w:t> </w:t>
      </w:r>
      <w:r>
        <w:rPr>
          <w:w w:val="105"/>
          <w:sz w:val="13"/>
        </w:rPr>
        <w:t>in</w:t>
      </w:r>
      <w:r>
        <w:rPr>
          <w:spacing w:val="5"/>
          <w:w w:val="105"/>
          <w:sz w:val="13"/>
        </w:rPr>
        <w:t> </w:t>
      </w:r>
      <w:r>
        <w:rPr>
          <w:w w:val="105"/>
          <w:sz w:val="13"/>
        </w:rPr>
        <w:t>Carolyn</w:t>
      </w:r>
      <w:r>
        <w:rPr>
          <w:spacing w:val="6"/>
          <w:w w:val="105"/>
          <w:sz w:val="13"/>
        </w:rPr>
        <w:t> </w:t>
      </w:r>
      <w:r>
        <w:rPr>
          <w:w w:val="105"/>
          <w:sz w:val="13"/>
        </w:rPr>
        <w:t>Sappideen</w:t>
      </w:r>
      <w:r>
        <w:rPr>
          <w:spacing w:val="5"/>
          <w:w w:val="105"/>
          <w:sz w:val="13"/>
        </w:rPr>
        <w:t> </w:t>
      </w:r>
      <w:r>
        <w:rPr>
          <w:w w:val="105"/>
          <w:sz w:val="13"/>
        </w:rPr>
        <w:t>and</w:t>
      </w:r>
      <w:r>
        <w:rPr>
          <w:spacing w:val="5"/>
          <w:w w:val="105"/>
          <w:sz w:val="13"/>
        </w:rPr>
        <w:t> </w:t>
      </w:r>
      <w:r>
        <w:rPr>
          <w:w w:val="105"/>
          <w:sz w:val="13"/>
        </w:rPr>
        <w:t>Prue</w:t>
      </w:r>
      <w:r>
        <w:rPr>
          <w:spacing w:val="6"/>
          <w:w w:val="105"/>
          <w:sz w:val="13"/>
        </w:rPr>
        <w:t> </w:t>
      </w:r>
      <w:r>
        <w:rPr>
          <w:w w:val="105"/>
          <w:sz w:val="13"/>
        </w:rPr>
        <w:t>Vines</w:t>
      </w:r>
      <w:r>
        <w:rPr>
          <w:spacing w:val="5"/>
          <w:w w:val="105"/>
          <w:sz w:val="13"/>
        </w:rPr>
        <w:t> </w:t>
      </w:r>
      <w:r>
        <w:rPr>
          <w:spacing w:val="2"/>
          <w:w w:val="105"/>
          <w:sz w:val="13"/>
        </w:rPr>
        <w:t>(eds),</w:t>
      </w:r>
      <w:r>
        <w:rPr>
          <w:spacing w:val="6"/>
          <w:w w:val="105"/>
          <w:sz w:val="13"/>
        </w:rPr>
        <w:t> </w:t>
      </w:r>
      <w:r>
        <w:rPr>
          <w:i/>
          <w:w w:val="105"/>
          <w:sz w:val="13"/>
        </w:rPr>
        <w:t>Fleming’s</w:t>
      </w:r>
      <w:r>
        <w:rPr>
          <w:i/>
          <w:spacing w:val="5"/>
          <w:w w:val="105"/>
          <w:sz w:val="13"/>
        </w:rPr>
        <w:t> </w:t>
      </w:r>
      <w:r>
        <w:rPr>
          <w:i/>
          <w:w w:val="105"/>
          <w:sz w:val="13"/>
        </w:rPr>
        <w:t>The</w:t>
      </w:r>
      <w:r>
        <w:rPr>
          <w:i/>
          <w:spacing w:val="6"/>
          <w:w w:val="105"/>
          <w:sz w:val="13"/>
        </w:rPr>
        <w:t> </w:t>
      </w:r>
      <w:r>
        <w:rPr>
          <w:i/>
          <w:w w:val="105"/>
          <w:sz w:val="13"/>
        </w:rPr>
        <w:t>Law</w:t>
      </w:r>
      <w:r>
        <w:rPr>
          <w:i/>
          <w:spacing w:val="5"/>
          <w:w w:val="105"/>
          <w:sz w:val="13"/>
        </w:rPr>
        <w:t> </w:t>
      </w:r>
      <w:r>
        <w:rPr>
          <w:i/>
          <w:w w:val="105"/>
          <w:sz w:val="13"/>
        </w:rPr>
        <w:t>of</w:t>
      </w:r>
      <w:r>
        <w:rPr>
          <w:i/>
          <w:spacing w:val="5"/>
          <w:w w:val="105"/>
          <w:sz w:val="13"/>
        </w:rPr>
        <w:t> </w:t>
      </w:r>
      <w:r>
        <w:rPr>
          <w:i/>
          <w:w w:val="105"/>
          <w:sz w:val="13"/>
        </w:rPr>
        <w:t>Torts</w:t>
      </w:r>
      <w:r>
        <w:rPr>
          <w:i/>
          <w:spacing w:val="6"/>
          <w:w w:val="105"/>
          <w:sz w:val="13"/>
        </w:rPr>
        <w:t> </w:t>
      </w:r>
      <w:r>
        <w:rPr>
          <w:spacing w:val="2"/>
          <w:w w:val="105"/>
          <w:sz w:val="13"/>
        </w:rPr>
        <w:t>(Lawbook</w:t>
      </w:r>
      <w:r>
        <w:rPr>
          <w:spacing w:val="5"/>
          <w:w w:val="105"/>
          <w:sz w:val="13"/>
        </w:rPr>
        <w:t> </w:t>
      </w:r>
      <w:r>
        <w:rPr>
          <w:w w:val="105"/>
          <w:sz w:val="13"/>
        </w:rPr>
        <w:t>Co,</w:t>
      </w:r>
    </w:p>
    <w:p>
      <w:pPr>
        <w:spacing w:before="2"/>
        <w:ind w:left="2381" w:right="1709" w:firstLine="0"/>
        <w:jc w:val="both"/>
        <w:rPr>
          <w:sz w:val="13"/>
        </w:rPr>
      </w:pPr>
      <w:r>
        <w:rPr>
          <w:sz w:val="13"/>
        </w:rPr>
        <w:t>10th ed, </w:t>
      </w:r>
      <w:r>
        <w:rPr>
          <w:spacing w:val="-2"/>
          <w:sz w:val="13"/>
        </w:rPr>
        <w:t>2011), </w:t>
      </w:r>
      <w:r>
        <w:rPr>
          <w:spacing w:val="-6"/>
          <w:sz w:val="13"/>
        </w:rPr>
        <w:t>317, </w:t>
      </w:r>
      <w:r>
        <w:rPr>
          <w:sz w:val="13"/>
        </w:rPr>
        <w:t>[12.30]; see also </w:t>
      </w:r>
      <w:r>
        <w:rPr>
          <w:i/>
          <w:sz w:val="13"/>
        </w:rPr>
        <w:t>Wrongs Act 1958 </w:t>
      </w:r>
      <w:r>
        <w:rPr>
          <w:spacing w:val="2"/>
          <w:sz w:val="13"/>
        </w:rPr>
        <w:t>(Vic) </w:t>
      </w:r>
      <w:r>
        <w:rPr>
          <w:sz w:val="13"/>
        </w:rPr>
        <w:t>s 62. However, unlike contributory negligence in a nuisance claim, liability for negligence</w:t>
      </w:r>
      <w:r>
        <w:rPr>
          <w:spacing w:val="18"/>
          <w:sz w:val="13"/>
        </w:rPr>
        <w:t> </w:t>
      </w:r>
      <w:r>
        <w:rPr>
          <w:sz w:val="13"/>
        </w:rPr>
        <w:t>can</w:t>
      </w:r>
      <w:r>
        <w:rPr>
          <w:spacing w:val="19"/>
          <w:sz w:val="13"/>
        </w:rPr>
        <w:t> </w:t>
      </w:r>
      <w:r>
        <w:rPr>
          <w:sz w:val="13"/>
        </w:rPr>
        <w:t>also</w:t>
      </w:r>
      <w:r>
        <w:rPr>
          <w:spacing w:val="19"/>
          <w:sz w:val="13"/>
        </w:rPr>
        <w:t> </w:t>
      </w:r>
      <w:r>
        <w:rPr>
          <w:sz w:val="13"/>
        </w:rPr>
        <w:t>be</w:t>
      </w:r>
      <w:r>
        <w:rPr>
          <w:spacing w:val="19"/>
          <w:sz w:val="13"/>
        </w:rPr>
        <w:t> </w:t>
      </w:r>
      <w:r>
        <w:rPr>
          <w:sz w:val="13"/>
        </w:rPr>
        <w:t>fully</w:t>
      </w:r>
      <w:r>
        <w:rPr>
          <w:spacing w:val="19"/>
          <w:sz w:val="13"/>
        </w:rPr>
        <w:t> </w:t>
      </w:r>
      <w:r>
        <w:rPr>
          <w:sz w:val="13"/>
        </w:rPr>
        <w:t>defeated</w:t>
      </w:r>
      <w:r>
        <w:rPr>
          <w:spacing w:val="19"/>
          <w:sz w:val="13"/>
        </w:rPr>
        <w:t> </w:t>
      </w:r>
      <w:r>
        <w:rPr>
          <w:sz w:val="13"/>
        </w:rPr>
        <w:t>by</w:t>
      </w:r>
      <w:r>
        <w:rPr>
          <w:spacing w:val="19"/>
          <w:sz w:val="13"/>
        </w:rPr>
        <w:t> </w:t>
      </w:r>
      <w:r>
        <w:rPr>
          <w:sz w:val="13"/>
        </w:rPr>
        <w:t>contributory</w:t>
      </w:r>
      <w:r>
        <w:rPr>
          <w:spacing w:val="19"/>
          <w:sz w:val="13"/>
        </w:rPr>
        <w:t> </w:t>
      </w:r>
      <w:r>
        <w:rPr>
          <w:sz w:val="13"/>
        </w:rPr>
        <w:t>negligence</w:t>
      </w:r>
      <w:r>
        <w:rPr>
          <w:spacing w:val="19"/>
          <w:sz w:val="13"/>
        </w:rPr>
        <w:t> </w:t>
      </w:r>
      <w:r>
        <w:rPr>
          <w:sz w:val="13"/>
        </w:rPr>
        <w:t>if</w:t>
      </w:r>
      <w:r>
        <w:rPr>
          <w:spacing w:val="19"/>
          <w:sz w:val="13"/>
        </w:rPr>
        <w:t> </w:t>
      </w:r>
      <w:r>
        <w:rPr>
          <w:sz w:val="13"/>
        </w:rPr>
        <w:t>the</w:t>
      </w:r>
      <w:r>
        <w:rPr>
          <w:spacing w:val="19"/>
          <w:sz w:val="13"/>
        </w:rPr>
        <w:t> </w:t>
      </w:r>
      <w:r>
        <w:rPr>
          <w:sz w:val="13"/>
        </w:rPr>
        <w:t>court</w:t>
      </w:r>
      <w:r>
        <w:rPr>
          <w:spacing w:val="19"/>
          <w:sz w:val="13"/>
        </w:rPr>
        <w:t> </w:t>
      </w:r>
      <w:r>
        <w:rPr>
          <w:sz w:val="13"/>
        </w:rPr>
        <w:t>thinks</w:t>
      </w:r>
      <w:r>
        <w:rPr>
          <w:spacing w:val="19"/>
          <w:sz w:val="13"/>
        </w:rPr>
        <w:t> </w:t>
      </w:r>
      <w:r>
        <w:rPr>
          <w:sz w:val="13"/>
        </w:rPr>
        <w:t>it</w:t>
      </w:r>
      <w:r>
        <w:rPr>
          <w:spacing w:val="19"/>
          <w:sz w:val="13"/>
        </w:rPr>
        <w:t> </w:t>
      </w:r>
      <w:r>
        <w:rPr>
          <w:sz w:val="13"/>
        </w:rPr>
        <w:t>just</w:t>
      </w:r>
      <w:r>
        <w:rPr>
          <w:spacing w:val="19"/>
          <w:sz w:val="13"/>
        </w:rPr>
        <w:t> </w:t>
      </w:r>
      <w:r>
        <w:rPr>
          <w:sz w:val="13"/>
        </w:rPr>
        <w:t>and</w:t>
      </w:r>
      <w:r>
        <w:rPr>
          <w:spacing w:val="19"/>
          <w:sz w:val="13"/>
        </w:rPr>
        <w:t> </w:t>
      </w:r>
      <w:r>
        <w:rPr>
          <w:sz w:val="13"/>
        </w:rPr>
        <w:t>equitable</w:t>
      </w:r>
      <w:r>
        <w:rPr>
          <w:spacing w:val="18"/>
          <w:sz w:val="13"/>
        </w:rPr>
        <w:t> </w:t>
      </w:r>
      <w:r>
        <w:rPr>
          <w:sz w:val="13"/>
        </w:rPr>
        <w:t>to</w:t>
      </w:r>
      <w:r>
        <w:rPr>
          <w:spacing w:val="19"/>
          <w:sz w:val="13"/>
        </w:rPr>
        <w:t> </w:t>
      </w:r>
      <w:r>
        <w:rPr>
          <w:sz w:val="13"/>
        </w:rPr>
        <w:t>do</w:t>
      </w:r>
      <w:r>
        <w:rPr>
          <w:spacing w:val="19"/>
          <w:sz w:val="13"/>
        </w:rPr>
        <w:t> </w:t>
      </w:r>
      <w:r>
        <w:rPr>
          <w:spacing w:val="2"/>
          <w:sz w:val="13"/>
        </w:rPr>
        <w:t>so:</w:t>
      </w:r>
      <w:r>
        <w:rPr>
          <w:spacing w:val="19"/>
          <w:sz w:val="13"/>
        </w:rPr>
        <w:t> </w:t>
      </w:r>
      <w:r>
        <w:rPr>
          <w:i/>
          <w:sz w:val="13"/>
        </w:rPr>
        <w:t>Wrongs</w:t>
      </w:r>
      <w:r>
        <w:rPr>
          <w:i/>
          <w:spacing w:val="19"/>
          <w:sz w:val="13"/>
        </w:rPr>
        <w:t> </w:t>
      </w:r>
      <w:r>
        <w:rPr>
          <w:i/>
          <w:sz w:val="13"/>
        </w:rPr>
        <w:t>Act</w:t>
      </w:r>
      <w:r>
        <w:rPr>
          <w:i/>
          <w:spacing w:val="19"/>
          <w:sz w:val="13"/>
        </w:rPr>
        <w:t> </w:t>
      </w:r>
      <w:r>
        <w:rPr>
          <w:i/>
          <w:sz w:val="13"/>
        </w:rPr>
        <w:t>1958</w:t>
      </w:r>
      <w:r>
        <w:rPr>
          <w:i/>
          <w:spacing w:val="19"/>
          <w:sz w:val="13"/>
        </w:rPr>
        <w:t> </w:t>
      </w:r>
      <w:r>
        <w:rPr>
          <w:spacing w:val="2"/>
          <w:sz w:val="13"/>
        </w:rPr>
        <w:t>(Vic)</w:t>
      </w:r>
    </w:p>
    <w:p>
      <w:pPr>
        <w:spacing w:before="2"/>
        <w:ind w:left="2381" w:right="0" w:firstLine="0"/>
        <w:jc w:val="left"/>
        <w:rPr>
          <w:sz w:val="13"/>
        </w:rPr>
      </w:pPr>
      <w:r>
        <w:rPr>
          <w:w w:val="105"/>
          <w:sz w:val="13"/>
        </w:rPr>
        <w:t>s 63.</w:t>
      </w:r>
    </w:p>
    <w:p>
      <w:pPr>
        <w:pStyle w:val="ListParagraph"/>
        <w:numPr>
          <w:ilvl w:val="0"/>
          <w:numId w:val="28"/>
        </w:numPr>
        <w:tabs>
          <w:tab w:pos="2380" w:val="left" w:leader="none"/>
          <w:tab w:pos="2382" w:val="left" w:leader="none"/>
        </w:tabs>
        <w:spacing w:line="240" w:lineRule="auto" w:before="2" w:after="0"/>
        <w:ind w:left="2381" w:right="0" w:hanging="794"/>
        <w:jc w:val="left"/>
        <w:rPr>
          <w:sz w:val="13"/>
        </w:rPr>
      </w:pPr>
      <w:r>
        <w:rPr>
          <w:i/>
          <w:w w:val="105"/>
          <w:sz w:val="13"/>
        </w:rPr>
        <w:t>Limitations of Actions Act 1958 </w:t>
      </w:r>
      <w:r>
        <w:rPr>
          <w:spacing w:val="2"/>
          <w:w w:val="105"/>
          <w:sz w:val="13"/>
        </w:rPr>
        <w:t>(Vic) </w:t>
      </w:r>
      <w:r>
        <w:rPr>
          <w:w w:val="105"/>
          <w:sz w:val="13"/>
        </w:rPr>
        <w:t>s</w:t>
      </w:r>
      <w:r>
        <w:rPr>
          <w:spacing w:val="30"/>
          <w:w w:val="105"/>
          <w:sz w:val="13"/>
        </w:rPr>
        <w:t> </w:t>
      </w:r>
      <w:r>
        <w:rPr>
          <w:w w:val="105"/>
          <w:sz w:val="13"/>
        </w:rPr>
        <w:t>27D.</w:t>
      </w:r>
    </w:p>
    <w:p>
      <w:pPr>
        <w:tabs>
          <w:tab w:pos="2380" w:val="left" w:leader="none"/>
        </w:tabs>
        <w:spacing w:before="1"/>
        <w:ind w:left="1587" w:right="0" w:firstLine="0"/>
        <w:jc w:val="left"/>
        <w:rPr>
          <w:sz w:val="13"/>
        </w:rPr>
      </w:pPr>
      <w:r>
        <w:rPr>
          <w:spacing w:val="-5"/>
          <w:sz w:val="13"/>
        </w:rPr>
        <w:t>118</w:t>
        <w:tab/>
      </w:r>
      <w:r>
        <w:rPr>
          <w:sz w:val="13"/>
        </w:rPr>
        <w:t>Ibid s</w:t>
      </w:r>
      <w:r>
        <w:rPr>
          <w:spacing w:val="12"/>
          <w:sz w:val="13"/>
        </w:rPr>
        <w:t> </w:t>
      </w:r>
      <w:r>
        <w:rPr>
          <w:spacing w:val="2"/>
          <w:sz w:val="13"/>
        </w:rPr>
        <w:t>5(1)(a).</w:t>
      </w:r>
    </w:p>
    <w:p>
      <w:pPr>
        <w:pStyle w:val="ListParagraph"/>
        <w:numPr>
          <w:ilvl w:val="0"/>
          <w:numId w:val="29"/>
        </w:numPr>
        <w:tabs>
          <w:tab w:pos="2381" w:val="left" w:leader="none"/>
          <w:tab w:pos="2382" w:val="left" w:leader="none"/>
        </w:tabs>
        <w:spacing w:line="240" w:lineRule="auto" w:before="1" w:after="0"/>
        <w:ind w:left="2381" w:right="1701" w:hanging="794"/>
        <w:jc w:val="left"/>
        <w:rPr>
          <w:sz w:val="13"/>
        </w:rPr>
      </w:pPr>
      <w:r>
        <w:rPr>
          <w:w w:val="105"/>
          <w:sz w:val="13"/>
        </w:rPr>
        <w:t>For example, ‘in Victoria the threshold for non-economic loss requires the plaintiff to have suffered a “significant injury”. Significant injury    is defined in s 28LF of the </w:t>
      </w:r>
      <w:r>
        <w:rPr>
          <w:i/>
          <w:w w:val="105"/>
          <w:sz w:val="13"/>
        </w:rPr>
        <w:t>Wrongs Act 1958 </w:t>
      </w:r>
      <w:r>
        <w:rPr>
          <w:spacing w:val="2"/>
          <w:w w:val="105"/>
          <w:sz w:val="13"/>
        </w:rPr>
        <w:t>(Vic) </w:t>
      </w:r>
      <w:r>
        <w:rPr>
          <w:w w:val="105"/>
          <w:sz w:val="13"/>
        </w:rPr>
        <w:t>and depends on assessment of the degree of impairment, according to a procedure laid down, by an approved medical practitioner or a medical panel.’: Loane Skene and Harold Luntz, ‘Effects of Tort Law Reform on Medical Liability’</w:t>
      </w:r>
      <w:r>
        <w:rPr>
          <w:spacing w:val="6"/>
          <w:w w:val="105"/>
          <w:sz w:val="13"/>
        </w:rPr>
        <w:t> </w:t>
      </w:r>
      <w:r>
        <w:rPr>
          <w:w w:val="105"/>
          <w:sz w:val="13"/>
        </w:rPr>
        <w:t>(2005)</w:t>
      </w:r>
      <w:r>
        <w:rPr>
          <w:spacing w:val="7"/>
          <w:w w:val="105"/>
          <w:sz w:val="13"/>
        </w:rPr>
        <w:t> </w:t>
      </w:r>
      <w:r>
        <w:rPr>
          <w:w w:val="105"/>
          <w:sz w:val="13"/>
        </w:rPr>
        <w:t>79</w:t>
      </w:r>
      <w:r>
        <w:rPr>
          <w:spacing w:val="7"/>
          <w:w w:val="105"/>
          <w:sz w:val="13"/>
        </w:rPr>
        <w:t> </w:t>
      </w:r>
      <w:r>
        <w:rPr>
          <w:i/>
          <w:w w:val="105"/>
          <w:sz w:val="13"/>
        </w:rPr>
        <w:t>Australian</w:t>
      </w:r>
      <w:r>
        <w:rPr>
          <w:i/>
          <w:spacing w:val="6"/>
          <w:w w:val="105"/>
          <w:sz w:val="13"/>
        </w:rPr>
        <w:t> </w:t>
      </w:r>
      <w:r>
        <w:rPr>
          <w:i/>
          <w:w w:val="105"/>
          <w:sz w:val="13"/>
        </w:rPr>
        <w:t>Law</w:t>
      </w:r>
      <w:r>
        <w:rPr>
          <w:i/>
          <w:spacing w:val="7"/>
          <w:w w:val="105"/>
          <w:sz w:val="13"/>
        </w:rPr>
        <w:t> </w:t>
      </w:r>
      <w:r>
        <w:rPr>
          <w:i/>
          <w:w w:val="105"/>
          <w:sz w:val="13"/>
        </w:rPr>
        <w:t>Journal</w:t>
      </w:r>
      <w:r>
        <w:rPr>
          <w:i/>
          <w:spacing w:val="7"/>
          <w:w w:val="105"/>
          <w:sz w:val="13"/>
        </w:rPr>
        <w:t> </w:t>
      </w:r>
      <w:r>
        <w:rPr>
          <w:spacing w:val="3"/>
          <w:w w:val="105"/>
          <w:sz w:val="13"/>
        </w:rPr>
        <w:t>345–63,</w:t>
      </w:r>
      <w:r>
        <w:rPr>
          <w:spacing w:val="6"/>
          <w:w w:val="105"/>
          <w:sz w:val="13"/>
        </w:rPr>
        <w:t> </w:t>
      </w:r>
      <w:r>
        <w:rPr>
          <w:spacing w:val="3"/>
          <w:w w:val="105"/>
          <w:sz w:val="13"/>
        </w:rPr>
        <w:t>358–9;</w:t>
      </w:r>
      <w:r>
        <w:rPr>
          <w:spacing w:val="7"/>
          <w:w w:val="105"/>
          <w:sz w:val="13"/>
        </w:rPr>
        <w:t> </w:t>
      </w:r>
      <w:r>
        <w:rPr>
          <w:w w:val="105"/>
          <w:sz w:val="13"/>
        </w:rPr>
        <w:t>see</w:t>
      </w:r>
      <w:r>
        <w:rPr>
          <w:spacing w:val="7"/>
          <w:w w:val="105"/>
          <w:sz w:val="13"/>
        </w:rPr>
        <w:t> </w:t>
      </w:r>
      <w:r>
        <w:rPr>
          <w:w w:val="105"/>
          <w:sz w:val="13"/>
        </w:rPr>
        <w:t>also</w:t>
      </w:r>
      <w:r>
        <w:rPr>
          <w:spacing w:val="6"/>
          <w:w w:val="105"/>
          <w:sz w:val="13"/>
        </w:rPr>
        <w:t> </w:t>
      </w:r>
      <w:r>
        <w:rPr>
          <w:i/>
          <w:w w:val="105"/>
          <w:sz w:val="13"/>
        </w:rPr>
        <w:t>Wrongs</w:t>
      </w:r>
      <w:r>
        <w:rPr>
          <w:i/>
          <w:spacing w:val="7"/>
          <w:w w:val="105"/>
          <w:sz w:val="13"/>
        </w:rPr>
        <w:t> </w:t>
      </w:r>
      <w:r>
        <w:rPr>
          <w:i/>
          <w:w w:val="105"/>
          <w:sz w:val="13"/>
        </w:rPr>
        <w:t>Act</w:t>
      </w:r>
      <w:r>
        <w:rPr>
          <w:i/>
          <w:spacing w:val="7"/>
          <w:w w:val="105"/>
          <w:sz w:val="13"/>
        </w:rPr>
        <w:t> </w:t>
      </w:r>
      <w:r>
        <w:rPr>
          <w:i/>
          <w:w w:val="105"/>
          <w:sz w:val="13"/>
        </w:rPr>
        <w:t>1958</w:t>
      </w:r>
      <w:r>
        <w:rPr>
          <w:i/>
          <w:spacing w:val="7"/>
          <w:w w:val="105"/>
          <w:sz w:val="13"/>
        </w:rPr>
        <w:t> </w:t>
      </w:r>
      <w:r>
        <w:rPr>
          <w:spacing w:val="2"/>
          <w:w w:val="105"/>
          <w:sz w:val="13"/>
        </w:rPr>
        <w:t>(Vic)</w:t>
      </w:r>
      <w:r>
        <w:rPr>
          <w:spacing w:val="6"/>
          <w:w w:val="105"/>
          <w:sz w:val="13"/>
        </w:rPr>
        <w:t> </w:t>
      </w:r>
      <w:r>
        <w:rPr>
          <w:spacing w:val="2"/>
          <w:w w:val="105"/>
          <w:sz w:val="13"/>
        </w:rPr>
        <w:t>parts</w:t>
      </w:r>
      <w:r>
        <w:rPr>
          <w:spacing w:val="7"/>
          <w:w w:val="105"/>
          <w:sz w:val="13"/>
        </w:rPr>
        <w:t> </w:t>
      </w:r>
      <w:r>
        <w:rPr>
          <w:w w:val="105"/>
          <w:sz w:val="13"/>
        </w:rPr>
        <w:t>VA,</w:t>
      </w:r>
      <w:r>
        <w:rPr>
          <w:spacing w:val="7"/>
          <w:w w:val="105"/>
          <w:sz w:val="13"/>
        </w:rPr>
        <w:t> </w:t>
      </w:r>
      <w:r>
        <w:rPr>
          <w:w w:val="105"/>
          <w:sz w:val="13"/>
        </w:rPr>
        <w:t>VB,</w:t>
      </w:r>
      <w:r>
        <w:rPr>
          <w:spacing w:val="6"/>
          <w:w w:val="105"/>
          <w:sz w:val="13"/>
        </w:rPr>
        <w:t> </w:t>
      </w:r>
      <w:r>
        <w:rPr>
          <w:spacing w:val="3"/>
          <w:w w:val="105"/>
          <w:sz w:val="13"/>
        </w:rPr>
        <w:t>VBAA</w:t>
      </w:r>
      <w:r>
        <w:rPr>
          <w:spacing w:val="7"/>
          <w:w w:val="105"/>
          <w:sz w:val="13"/>
        </w:rPr>
        <w:t> </w:t>
      </w:r>
      <w:r>
        <w:rPr>
          <w:w w:val="105"/>
          <w:sz w:val="13"/>
        </w:rPr>
        <w:t>and</w:t>
      </w:r>
      <w:r>
        <w:rPr>
          <w:spacing w:val="7"/>
          <w:w w:val="105"/>
          <w:sz w:val="13"/>
        </w:rPr>
        <w:t> </w:t>
      </w:r>
      <w:r>
        <w:rPr>
          <w:spacing w:val="2"/>
          <w:w w:val="105"/>
          <w:sz w:val="13"/>
        </w:rPr>
        <w:t>VBA.</w:t>
      </w:r>
    </w:p>
    <w:p>
      <w:pPr>
        <w:pStyle w:val="ListParagraph"/>
        <w:numPr>
          <w:ilvl w:val="0"/>
          <w:numId w:val="29"/>
        </w:numPr>
        <w:tabs>
          <w:tab w:pos="2381" w:val="left" w:leader="none"/>
          <w:tab w:pos="2382" w:val="left" w:leader="none"/>
        </w:tabs>
        <w:spacing w:line="240" w:lineRule="auto" w:before="6" w:after="0"/>
        <w:ind w:left="2381" w:right="1821" w:hanging="794"/>
        <w:jc w:val="left"/>
        <w:rPr>
          <w:sz w:val="13"/>
        </w:rPr>
      </w:pPr>
      <w:r>
        <w:rPr/>
        <w:pict>
          <v:shape style="position:absolute;margin-left:548.999512pt;margin-top:11.222163pt;width:13.2pt;height:14.25pt;mso-position-horizontal-relative:page;mso-position-vertical-relative:paragraph;z-index:3448" type="#_x0000_t202" filled="false" stroked="false">
            <v:textbox inset="0,0,0,0">
              <w:txbxContent>
                <w:p>
                  <w:pPr>
                    <w:spacing w:line="284" w:lineRule="exact" w:before="0"/>
                    <w:ind w:left="0" w:right="0" w:firstLine="0"/>
                    <w:jc w:val="left"/>
                    <w:rPr>
                      <w:b/>
                      <w:sz w:val="24"/>
                    </w:rPr>
                  </w:pPr>
                  <w:r>
                    <w:rPr>
                      <w:b/>
                      <w:color w:val="658464"/>
                      <w:spacing w:val="-2"/>
                      <w:w w:val="110"/>
                      <w:sz w:val="24"/>
                    </w:rPr>
                    <w:t>37</w:t>
                  </w:r>
                </w:p>
              </w:txbxContent>
            </v:textbox>
            <w10:wrap type="none"/>
          </v:shape>
        </w:pict>
      </w:r>
      <w:r>
        <w:rPr>
          <w:w w:val="105"/>
          <w:sz w:val="13"/>
        </w:rPr>
        <w:t>Stephen Sugarman, ‘Damages’ in Carolyn Sappideen and Prue Vines </w:t>
      </w:r>
      <w:r>
        <w:rPr>
          <w:spacing w:val="2"/>
          <w:w w:val="105"/>
          <w:sz w:val="13"/>
        </w:rPr>
        <w:t>(eds), </w:t>
      </w:r>
      <w:r>
        <w:rPr>
          <w:i/>
          <w:w w:val="105"/>
          <w:sz w:val="13"/>
        </w:rPr>
        <w:t>Fleming’s The Law of Torts </w:t>
      </w:r>
      <w:r>
        <w:rPr>
          <w:spacing w:val="2"/>
          <w:w w:val="105"/>
          <w:sz w:val="13"/>
        </w:rPr>
        <w:t>(Lawbook </w:t>
      </w:r>
      <w:r>
        <w:rPr>
          <w:w w:val="105"/>
          <w:sz w:val="13"/>
        </w:rPr>
        <w:t>Co, 10th ed, </w:t>
      </w:r>
      <w:r>
        <w:rPr>
          <w:spacing w:val="-4"/>
          <w:w w:val="105"/>
          <w:sz w:val="13"/>
        </w:rPr>
        <w:t>2011) </w:t>
      </w:r>
      <w:r>
        <w:rPr>
          <w:w w:val="105"/>
          <w:sz w:val="13"/>
        </w:rPr>
        <w:t>261 [10.10].</w:t>
      </w:r>
    </w:p>
    <w:p>
      <w:pPr>
        <w:pStyle w:val="ListParagraph"/>
        <w:numPr>
          <w:ilvl w:val="0"/>
          <w:numId w:val="29"/>
        </w:numPr>
        <w:tabs>
          <w:tab w:pos="2381" w:val="left" w:leader="none"/>
          <w:tab w:pos="2382" w:val="left" w:leader="none"/>
        </w:tabs>
        <w:spacing w:line="240" w:lineRule="auto" w:before="2" w:after="0"/>
        <w:ind w:left="2381" w:right="0" w:hanging="794"/>
        <w:jc w:val="left"/>
        <w:rPr>
          <w:sz w:val="13"/>
        </w:rPr>
      </w:pPr>
      <w:r>
        <w:rPr>
          <w:w w:val="105"/>
          <w:sz w:val="13"/>
        </w:rPr>
        <w:t>See,</w:t>
      </w:r>
      <w:r>
        <w:rPr>
          <w:spacing w:val="5"/>
          <w:w w:val="105"/>
          <w:sz w:val="13"/>
        </w:rPr>
        <w:t> </w:t>
      </w:r>
      <w:r>
        <w:rPr>
          <w:w w:val="105"/>
          <w:sz w:val="13"/>
        </w:rPr>
        <w:t>eg,</w:t>
      </w:r>
      <w:r>
        <w:rPr>
          <w:spacing w:val="5"/>
          <w:w w:val="105"/>
          <w:sz w:val="13"/>
        </w:rPr>
        <w:t> </w:t>
      </w:r>
      <w:r>
        <w:rPr>
          <w:i/>
          <w:w w:val="105"/>
          <w:sz w:val="13"/>
        </w:rPr>
        <w:t>Timbs</w:t>
      </w:r>
      <w:r>
        <w:rPr>
          <w:i/>
          <w:spacing w:val="5"/>
          <w:w w:val="105"/>
          <w:sz w:val="13"/>
        </w:rPr>
        <w:t> </w:t>
      </w:r>
      <w:r>
        <w:rPr>
          <w:i/>
          <w:w w:val="105"/>
          <w:sz w:val="13"/>
        </w:rPr>
        <w:t>v</w:t>
      </w:r>
      <w:r>
        <w:rPr>
          <w:i/>
          <w:spacing w:val="6"/>
          <w:w w:val="105"/>
          <w:sz w:val="13"/>
        </w:rPr>
        <w:t> </w:t>
      </w:r>
      <w:r>
        <w:rPr>
          <w:i/>
          <w:w w:val="105"/>
          <w:sz w:val="13"/>
        </w:rPr>
        <w:t>Shoalhaven</w:t>
      </w:r>
      <w:r>
        <w:rPr>
          <w:i/>
          <w:spacing w:val="5"/>
          <w:w w:val="105"/>
          <w:sz w:val="13"/>
        </w:rPr>
        <w:t> </w:t>
      </w:r>
      <w:r>
        <w:rPr>
          <w:i/>
          <w:w w:val="105"/>
          <w:sz w:val="13"/>
        </w:rPr>
        <w:t>City</w:t>
      </w:r>
      <w:r>
        <w:rPr>
          <w:i/>
          <w:spacing w:val="5"/>
          <w:w w:val="105"/>
          <w:sz w:val="13"/>
        </w:rPr>
        <w:t> </w:t>
      </w:r>
      <w:r>
        <w:rPr>
          <w:i/>
          <w:w w:val="105"/>
          <w:sz w:val="13"/>
        </w:rPr>
        <w:t>Council</w:t>
      </w:r>
      <w:r>
        <w:rPr>
          <w:i/>
          <w:spacing w:val="6"/>
          <w:w w:val="105"/>
          <w:sz w:val="13"/>
        </w:rPr>
        <w:t> </w:t>
      </w:r>
      <w:r>
        <w:rPr>
          <w:spacing w:val="2"/>
          <w:w w:val="105"/>
          <w:sz w:val="13"/>
        </w:rPr>
        <w:t>(2004)</w:t>
      </w:r>
      <w:r>
        <w:rPr>
          <w:spacing w:val="5"/>
          <w:w w:val="105"/>
          <w:sz w:val="13"/>
        </w:rPr>
        <w:t> </w:t>
      </w:r>
      <w:r>
        <w:rPr>
          <w:spacing w:val="-3"/>
          <w:w w:val="105"/>
          <w:sz w:val="13"/>
        </w:rPr>
        <w:t>132</w:t>
      </w:r>
      <w:r>
        <w:rPr>
          <w:spacing w:val="5"/>
          <w:w w:val="105"/>
          <w:sz w:val="13"/>
        </w:rPr>
        <w:t> </w:t>
      </w:r>
      <w:r>
        <w:rPr>
          <w:w w:val="105"/>
          <w:sz w:val="13"/>
        </w:rPr>
        <w:t>LGERA</w:t>
      </w:r>
      <w:r>
        <w:rPr>
          <w:spacing w:val="5"/>
          <w:w w:val="105"/>
          <w:sz w:val="13"/>
        </w:rPr>
        <w:t> </w:t>
      </w:r>
      <w:r>
        <w:rPr>
          <w:spacing w:val="-3"/>
          <w:w w:val="105"/>
          <w:sz w:val="13"/>
        </w:rPr>
        <w:t>397,</w:t>
      </w:r>
      <w:r>
        <w:rPr>
          <w:spacing w:val="6"/>
          <w:w w:val="105"/>
          <w:sz w:val="13"/>
        </w:rPr>
        <w:t> </w:t>
      </w:r>
      <w:r>
        <w:rPr>
          <w:w w:val="105"/>
          <w:sz w:val="13"/>
        </w:rPr>
        <w:t>but</w:t>
      </w:r>
      <w:r>
        <w:rPr>
          <w:spacing w:val="5"/>
          <w:w w:val="105"/>
          <w:sz w:val="13"/>
        </w:rPr>
        <w:t> </w:t>
      </w:r>
      <w:r>
        <w:rPr>
          <w:w w:val="105"/>
          <w:sz w:val="13"/>
        </w:rPr>
        <w:t>note</w:t>
      </w:r>
      <w:r>
        <w:rPr>
          <w:spacing w:val="5"/>
          <w:w w:val="105"/>
          <w:sz w:val="13"/>
        </w:rPr>
        <w:t> </w:t>
      </w:r>
      <w:r>
        <w:rPr>
          <w:w w:val="105"/>
          <w:sz w:val="13"/>
        </w:rPr>
        <w:t>that</w:t>
      </w:r>
      <w:r>
        <w:rPr>
          <w:spacing w:val="6"/>
          <w:w w:val="105"/>
          <w:sz w:val="13"/>
        </w:rPr>
        <w:t> </w:t>
      </w:r>
      <w:r>
        <w:rPr>
          <w:w w:val="105"/>
          <w:sz w:val="13"/>
        </w:rPr>
        <w:t>the</w:t>
      </w:r>
      <w:r>
        <w:rPr>
          <w:spacing w:val="5"/>
          <w:w w:val="105"/>
          <w:sz w:val="13"/>
        </w:rPr>
        <w:t> </w:t>
      </w:r>
      <w:r>
        <w:rPr>
          <w:w w:val="105"/>
          <w:sz w:val="13"/>
        </w:rPr>
        <w:t>subject</w:t>
      </w:r>
      <w:r>
        <w:rPr>
          <w:spacing w:val="5"/>
          <w:w w:val="105"/>
          <w:sz w:val="13"/>
        </w:rPr>
        <w:t> </w:t>
      </w:r>
      <w:r>
        <w:rPr>
          <w:w w:val="105"/>
          <w:sz w:val="13"/>
        </w:rPr>
        <w:t>tree</w:t>
      </w:r>
      <w:r>
        <w:rPr>
          <w:spacing w:val="6"/>
          <w:w w:val="105"/>
          <w:sz w:val="13"/>
        </w:rPr>
        <w:t> </w:t>
      </w:r>
      <w:r>
        <w:rPr>
          <w:w w:val="105"/>
          <w:sz w:val="13"/>
        </w:rPr>
        <w:t>was</w:t>
      </w:r>
      <w:r>
        <w:rPr>
          <w:spacing w:val="5"/>
          <w:w w:val="105"/>
          <w:sz w:val="13"/>
        </w:rPr>
        <w:t> </w:t>
      </w:r>
      <w:r>
        <w:rPr>
          <w:w w:val="105"/>
          <w:sz w:val="13"/>
        </w:rPr>
        <w:t>on</w:t>
      </w:r>
      <w:r>
        <w:rPr>
          <w:spacing w:val="5"/>
          <w:w w:val="105"/>
          <w:sz w:val="13"/>
        </w:rPr>
        <w:t> </w:t>
      </w:r>
      <w:r>
        <w:rPr>
          <w:w w:val="105"/>
          <w:sz w:val="13"/>
        </w:rPr>
        <w:t>council</w:t>
      </w:r>
      <w:r>
        <w:rPr>
          <w:spacing w:val="5"/>
          <w:w w:val="105"/>
          <w:sz w:val="13"/>
        </w:rPr>
        <w:t> </w:t>
      </w:r>
      <w:r>
        <w:rPr>
          <w:w w:val="105"/>
          <w:sz w:val="13"/>
        </w:rPr>
        <w:t>land.</w:t>
      </w:r>
    </w:p>
    <w:p>
      <w:pPr>
        <w:spacing w:after="0" w:line="240" w:lineRule="auto"/>
        <w:jc w:val="left"/>
        <w:rPr>
          <w:sz w:val="13"/>
        </w:rPr>
        <w:sectPr>
          <w:pgSz w:w="11910" w:h="16840"/>
          <w:pgMar w:header="808" w:footer="0" w:top="1360" w:bottom="280" w:left="0" w:right="0"/>
        </w:sectPr>
      </w:pPr>
    </w:p>
    <w:p>
      <w:pPr>
        <w:pStyle w:val="BodyText"/>
        <w:spacing w:before="11"/>
      </w:pPr>
    </w:p>
    <w:p>
      <w:pPr>
        <w:pStyle w:val="Heading5"/>
        <w:spacing w:before="96"/>
      </w:pPr>
      <w:bookmarkStart w:name="_bookmark28" w:id="76"/>
      <w:bookmarkEnd w:id="76"/>
      <w:r>
        <w:rPr>
          <w:b w:val="0"/>
        </w:rPr>
      </w:r>
      <w:r>
        <w:rPr>
          <w:w w:val="110"/>
        </w:rPr>
        <w:t>Trespass</w:t>
      </w:r>
    </w:p>
    <w:p>
      <w:pPr>
        <w:pStyle w:val="ListParagraph"/>
        <w:numPr>
          <w:ilvl w:val="1"/>
          <w:numId w:val="16"/>
        </w:numPr>
        <w:tabs>
          <w:tab w:pos="2381" w:val="left" w:leader="none"/>
          <w:tab w:pos="2382" w:val="left" w:leader="none"/>
        </w:tabs>
        <w:spacing w:line="242" w:lineRule="auto" w:before="137" w:after="0"/>
        <w:ind w:left="2381" w:right="1705" w:hanging="794"/>
        <w:jc w:val="left"/>
        <w:rPr>
          <w:sz w:val="21"/>
        </w:rPr>
      </w:pPr>
      <w:r>
        <w:rPr>
          <w:spacing w:val="-4"/>
          <w:w w:val="105"/>
          <w:sz w:val="21"/>
        </w:rPr>
        <w:t>Trespass </w:t>
      </w:r>
      <w:r>
        <w:rPr>
          <w:spacing w:val="-3"/>
          <w:w w:val="105"/>
          <w:sz w:val="21"/>
        </w:rPr>
        <w:t>to </w:t>
      </w:r>
      <w:r>
        <w:rPr>
          <w:spacing w:val="-4"/>
          <w:w w:val="105"/>
          <w:sz w:val="21"/>
        </w:rPr>
        <w:t>land</w:t>
      </w:r>
      <w:r>
        <w:rPr>
          <w:spacing w:val="-4"/>
          <w:w w:val="105"/>
          <w:position w:val="7"/>
          <w:sz w:val="12"/>
        </w:rPr>
        <w:t>122 </w:t>
      </w:r>
      <w:r>
        <w:rPr>
          <w:w w:val="105"/>
          <w:sz w:val="21"/>
        </w:rPr>
        <w:t>(trespass) is </w:t>
      </w:r>
      <w:r>
        <w:rPr>
          <w:spacing w:val="-3"/>
          <w:w w:val="105"/>
          <w:sz w:val="21"/>
        </w:rPr>
        <w:t>unauthorised </w:t>
      </w:r>
      <w:r>
        <w:rPr>
          <w:w w:val="105"/>
          <w:sz w:val="21"/>
        </w:rPr>
        <w:t>entry </w:t>
      </w:r>
      <w:r>
        <w:rPr>
          <w:spacing w:val="-3"/>
          <w:w w:val="105"/>
          <w:sz w:val="21"/>
        </w:rPr>
        <w:t>onto </w:t>
      </w:r>
      <w:r>
        <w:rPr>
          <w:spacing w:val="-5"/>
          <w:w w:val="105"/>
          <w:sz w:val="21"/>
        </w:rPr>
        <w:t>land.</w:t>
      </w:r>
      <w:r>
        <w:rPr>
          <w:spacing w:val="-5"/>
          <w:w w:val="105"/>
          <w:position w:val="7"/>
          <w:sz w:val="12"/>
        </w:rPr>
        <w:t>123 </w:t>
      </w:r>
      <w:r>
        <w:rPr>
          <w:w w:val="105"/>
          <w:sz w:val="21"/>
        </w:rPr>
        <w:t>Legal action can be </w:t>
      </w:r>
      <w:r>
        <w:rPr>
          <w:spacing w:val="-3"/>
          <w:w w:val="105"/>
          <w:sz w:val="21"/>
        </w:rPr>
        <w:t>taken against </w:t>
      </w:r>
      <w:r>
        <w:rPr>
          <w:w w:val="105"/>
          <w:sz w:val="21"/>
        </w:rPr>
        <w:t>the person </w:t>
      </w:r>
      <w:r>
        <w:rPr>
          <w:spacing w:val="-3"/>
          <w:w w:val="105"/>
          <w:sz w:val="21"/>
        </w:rPr>
        <w:t>entering </w:t>
      </w:r>
      <w:r>
        <w:rPr>
          <w:w w:val="105"/>
          <w:sz w:val="21"/>
        </w:rPr>
        <w:t>without</w:t>
      </w:r>
      <w:r>
        <w:rPr>
          <w:spacing w:val="30"/>
          <w:w w:val="105"/>
          <w:sz w:val="21"/>
        </w:rPr>
        <w:t> </w:t>
      </w:r>
      <w:r>
        <w:rPr>
          <w:spacing w:val="-5"/>
          <w:w w:val="105"/>
          <w:sz w:val="21"/>
        </w:rPr>
        <w:t>authority.</w:t>
      </w:r>
      <w:r>
        <w:rPr>
          <w:spacing w:val="-5"/>
          <w:w w:val="105"/>
          <w:position w:val="7"/>
          <w:sz w:val="12"/>
        </w:rPr>
        <w:t>124</w:t>
      </w:r>
    </w:p>
    <w:p>
      <w:pPr>
        <w:pStyle w:val="ListParagraph"/>
        <w:numPr>
          <w:ilvl w:val="1"/>
          <w:numId w:val="16"/>
        </w:numPr>
        <w:tabs>
          <w:tab w:pos="2381" w:val="left" w:leader="none"/>
          <w:tab w:pos="2382" w:val="left" w:leader="none"/>
        </w:tabs>
        <w:spacing w:line="242" w:lineRule="auto" w:before="122" w:after="0"/>
        <w:ind w:left="2381" w:right="1740" w:hanging="794"/>
        <w:jc w:val="left"/>
        <w:rPr>
          <w:sz w:val="21"/>
        </w:rPr>
      </w:pPr>
      <w:r>
        <w:rPr>
          <w:sz w:val="21"/>
        </w:rPr>
        <w:t>In the context of tree </w:t>
      </w:r>
      <w:r>
        <w:rPr>
          <w:spacing w:val="-3"/>
          <w:sz w:val="21"/>
        </w:rPr>
        <w:t>disputes,  </w:t>
      </w:r>
      <w:r>
        <w:rPr>
          <w:sz w:val="21"/>
        </w:rPr>
        <w:t>trespass </w:t>
      </w:r>
      <w:r>
        <w:rPr>
          <w:spacing w:val="-3"/>
          <w:sz w:val="21"/>
        </w:rPr>
        <w:t>may</w:t>
      </w:r>
      <w:r>
        <w:rPr>
          <w:spacing w:val="41"/>
          <w:sz w:val="21"/>
        </w:rPr>
        <w:t> </w:t>
      </w:r>
      <w:r>
        <w:rPr>
          <w:sz w:val="21"/>
        </w:rPr>
        <w:t>be </w:t>
      </w:r>
      <w:r>
        <w:rPr>
          <w:spacing w:val="-3"/>
          <w:sz w:val="21"/>
        </w:rPr>
        <w:t>claimed  </w:t>
      </w:r>
      <w:r>
        <w:rPr>
          <w:sz w:val="21"/>
        </w:rPr>
        <w:t>by the tree owner </w:t>
      </w:r>
      <w:r>
        <w:rPr>
          <w:spacing w:val="-3"/>
          <w:sz w:val="21"/>
        </w:rPr>
        <w:t>for </w:t>
      </w:r>
      <w:r>
        <w:rPr>
          <w:sz w:val="21"/>
        </w:rPr>
        <w:t>unpermitted entry </w:t>
      </w:r>
      <w:r>
        <w:rPr>
          <w:spacing w:val="-3"/>
          <w:sz w:val="21"/>
        </w:rPr>
        <w:t>to land </w:t>
      </w:r>
      <w:r>
        <w:rPr>
          <w:sz w:val="21"/>
        </w:rPr>
        <w:t>by the affected </w:t>
      </w:r>
      <w:r>
        <w:rPr>
          <w:spacing w:val="-3"/>
          <w:sz w:val="21"/>
        </w:rPr>
        <w:t>neighbour </w:t>
      </w:r>
      <w:r>
        <w:rPr>
          <w:sz w:val="21"/>
        </w:rPr>
        <w:t>in two </w:t>
      </w:r>
      <w:r>
        <w:rPr>
          <w:spacing w:val="-3"/>
          <w:sz w:val="21"/>
        </w:rPr>
        <w:t>situations. </w:t>
      </w:r>
      <w:r>
        <w:rPr>
          <w:sz w:val="21"/>
        </w:rPr>
        <w:t>First, where the affected </w:t>
      </w:r>
      <w:r>
        <w:rPr>
          <w:spacing w:val="-3"/>
          <w:sz w:val="21"/>
        </w:rPr>
        <w:t>neighbour </w:t>
      </w:r>
      <w:r>
        <w:rPr>
          <w:spacing w:val="-2"/>
          <w:sz w:val="21"/>
        </w:rPr>
        <w:t>abates </w:t>
      </w:r>
      <w:r>
        <w:rPr>
          <w:sz w:val="21"/>
        </w:rPr>
        <w:t>(cuts back  </w:t>
      </w:r>
      <w:r>
        <w:rPr>
          <w:spacing w:val="-3"/>
          <w:sz w:val="21"/>
        </w:rPr>
        <w:t>overhanging  </w:t>
      </w:r>
      <w:r>
        <w:rPr>
          <w:sz w:val="21"/>
        </w:rPr>
        <w:t>vegetation)  beyond  their  boundary </w:t>
      </w:r>
      <w:r>
        <w:rPr>
          <w:spacing w:val="-3"/>
          <w:sz w:val="21"/>
        </w:rPr>
        <w:t>line from </w:t>
      </w:r>
      <w:r>
        <w:rPr>
          <w:sz w:val="21"/>
        </w:rPr>
        <w:t>their own </w:t>
      </w:r>
      <w:r>
        <w:rPr>
          <w:spacing w:val="-3"/>
          <w:sz w:val="21"/>
        </w:rPr>
        <w:t>land </w:t>
      </w:r>
      <w:r>
        <w:rPr>
          <w:sz w:val="21"/>
        </w:rPr>
        <w:t>and </w:t>
      </w:r>
      <w:r>
        <w:rPr>
          <w:spacing w:val="-3"/>
          <w:sz w:val="21"/>
        </w:rPr>
        <w:t>onto </w:t>
      </w:r>
      <w:r>
        <w:rPr>
          <w:sz w:val="21"/>
        </w:rPr>
        <w:t>the tree </w:t>
      </w:r>
      <w:r>
        <w:rPr>
          <w:spacing w:val="-3"/>
          <w:sz w:val="21"/>
        </w:rPr>
        <w:t>owner’s </w:t>
      </w:r>
      <w:r>
        <w:rPr>
          <w:spacing w:val="-6"/>
          <w:sz w:val="21"/>
        </w:rPr>
        <w:t>land.</w:t>
      </w:r>
      <w:r>
        <w:rPr>
          <w:spacing w:val="-6"/>
          <w:position w:val="7"/>
          <w:sz w:val="12"/>
        </w:rPr>
        <w:t>125 </w:t>
      </w:r>
      <w:r>
        <w:rPr>
          <w:spacing w:val="-3"/>
          <w:sz w:val="21"/>
        </w:rPr>
        <w:t>Secondly, </w:t>
      </w:r>
      <w:r>
        <w:rPr>
          <w:sz w:val="21"/>
        </w:rPr>
        <w:t>where the affected </w:t>
      </w:r>
      <w:r>
        <w:rPr>
          <w:spacing w:val="-3"/>
          <w:sz w:val="21"/>
        </w:rPr>
        <w:t>neighbour</w:t>
      </w:r>
      <w:r>
        <w:rPr>
          <w:spacing w:val="11"/>
          <w:sz w:val="21"/>
        </w:rPr>
        <w:t> </w:t>
      </w:r>
      <w:r>
        <w:rPr>
          <w:spacing w:val="-3"/>
          <w:sz w:val="21"/>
        </w:rPr>
        <w:t>physically</w:t>
      </w:r>
      <w:r>
        <w:rPr>
          <w:spacing w:val="11"/>
          <w:sz w:val="21"/>
        </w:rPr>
        <w:t> </w:t>
      </w:r>
      <w:r>
        <w:rPr>
          <w:sz w:val="21"/>
        </w:rPr>
        <w:t>enters</w:t>
      </w:r>
      <w:r>
        <w:rPr>
          <w:spacing w:val="12"/>
          <w:sz w:val="21"/>
        </w:rPr>
        <w:t> </w:t>
      </w:r>
      <w:r>
        <w:rPr>
          <w:sz w:val="21"/>
        </w:rPr>
        <w:t>the</w:t>
      </w:r>
      <w:r>
        <w:rPr>
          <w:spacing w:val="11"/>
          <w:sz w:val="21"/>
        </w:rPr>
        <w:t> </w:t>
      </w:r>
      <w:r>
        <w:rPr>
          <w:sz w:val="21"/>
        </w:rPr>
        <w:t>tree</w:t>
      </w:r>
      <w:r>
        <w:rPr>
          <w:spacing w:val="12"/>
          <w:sz w:val="21"/>
        </w:rPr>
        <w:t> </w:t>
      </w:r>
      <w:r>
        <w:rPr>
          <w:spacing w:val="-3"/>
          <w:sz w:val="21"/>
        </w:rPr>
        <w:t>owner’s</w:t>
      </w:r>
      <w:r>
        <w:rPr>
          <w:spacing w:val="11"/>
          <w:sz w:val="21"/>
        </w:rPr>
        <w:t> </w:t>
      </w:r>
      <w:r>
        <w:rPr>
          <w:spacing w:val="-3"/>
          <w:sz w:val="21"/>
        </w:rPr>
        <w:t>land</w:t>
      </w:r>
      <w:r>
        <w:rPr>
          <w:spacing w:val="12"/>
          <w:sz w:val="21"/>
        </w:rPr>
        <w:t> </w:t>
      </w:r>
      <w:r>
        <w:rPr>
          <w:sz w:val="21"/>
        </w:rPr>
        <w:t>without</w:t>
      </w:r>
      <w:r>
        <w:rPr>
          <w:spacing w:val="11"/>
          <w:sz w:val="21"/>
        </w:rPr>
        <w:t> </w:t>
      </w:r>
      <w:r>
        <w:rPr>
          <w:sz w:val="21"/>
        </w:rPr>
        <w:t>permission.</w:t>
      </w:r>
    </w:p>
    <w:p>
      <w:pPr>
        <w:pStyle w:val="ListParagraph"/>
        <w:numPr>
          <w:ilvl w:val="1"/>
          <w:numId w:val="16"/>
        </w:numPr>
        <w:tabs>
          <w:tab w:pos="2381" w:val="left" w:leader="none"/>
        </w:tabs>
        <w:spacing w:line="242" w:lineRule="auto" w:before="126" w:after="0"/>
        <w:ind w:left="2380" w:right="1651" w:hanging="793"/>
        <w:jc w:val="both"/>
        <w:rPr>
          <w:sz w:val="21"/>
        </w:rPr>
      </w:pPr>
      <w:r>
        <w:rPr>
          <w:w w:val="105"/>
          <w:sz w:val="21"/>
        </w:rPr>
        <w:t>Land </w:t>
      </w:r>
      <w:r>
        <w:rPr>
          <w:spacing w:val="-3"/>
          <w:w w:val="105"/>
          <w:sz w:val="21"/>
        </w:rPr>
        <w:t>relates </w:t>
      </w:r>
      <w:r>
        <w:rPr>
          <w:spacing w:val="-2"/>
          <w:w w:val="105"/>
          <w:sz w:val="21"/>
        </w:rPr>
        <w:t>not </w:t>
      </w:r>
      <w:r>
        <w:rPr>
          <w:w w:val="105"/>
          <w:sz w:val="21"/>
        </w:rPr>
        <w:t>only </w:t>
      </w:r>
      <w:r>
        <w:rPr>
          <w:spacing w:val="-3"/>
          <w:w w:val="105"/>
          <w:sz w:val="21"/>
        </w:rPr>
        <w:t>to </w:t>
      </w:r>
      <w:r>
        <w:rPr>
          <w:w w:val="105"/>
          <w:sz w:val="21"/>
        </w:rPr>
        <w:t>‘the </w:t>
      </w:r>
      <w:r>
        <w:rPr>
          <w:spacing w:val="-3"/>
          <w:w w:val="105"/>
          <w:sz w:val="21"/>
        </w:rPr>
        <w:t>surface </w:t>
      </w:r>
      <w:r>
        <w:rPr>
          <w:w w:val="105"/>
          <w:sz w:val="21"/>
        </w:rPr>
        <w:t>of </w:t>
      </w:r>
      <w:r>
        <w:rPr>
          <w:spacing w:val="-3"/>
          <w:w w:val="105"/>
          <w:sz w:val="21"/>
        </w:rPr>
        <w:t>any ground, </w:t>
      </w:r>
      <w:r>
        <w:rPr>
          <w:w w:val="105"/>
          <w:sz w:val="21"/>
        </w:rPr>
        <w:t>soil or earth but also </w:t>
      </w:r>
      <w:r>
        <w:rPr>
          <w:spacing w:val="-3"/>
          <w:w w:val="105"/>
          <w:sz w:val="21"/>
        </w:rPr>
        <w:t>any buildings </w:t>
      </w:r>
      <w:r>
        <w:rPr>
          <w:w w:val="105"/>
          <w:sz w:val="21"/>
        </w:rPr>
        <w:t>or structures </w:t>
      </w:r>
      <w:r>
        <w:rPr>
          <w:spacing w:val="-3"/>
          <w:w w:val="105"/>
          <w:sz w:val="21"/>
        </w:rPr>
        <w:t>that might </w:t>
      </w:r>
      <w:r>
        <w:rPr>
          <w:w w:val="105"/>
          <w:sz w:val="21"/>
        </w:rPr>
        <w:t>be affixed </w:t>
      </w:r>
      <w:r>
        <w:rPr>
          <w:spacing w:val="-3"/>
          <w:w w:val="105"/>
          <w:sz w:val="21"/>
        </w:rPr>
        <w:t>to </w:t>
      </w:r>
      <w:r>
        <w:rPr>
          <w:w w:val="105"/>
          <w:sz w:val="21"/>
        </w:rPr>
        <w:t>it </w:t>
      </w:r>
      <w:r>
        <w:rPr>
          <w:w w:val="115"/>
          <w:sz w:val="21"/>
        </w:rPr>
        <w:t>… </w:t>
      </w:r>
      <w:r>
        <w:rPr>
          <w:w w:val="105"/>
          <w:sz w:val="21"/>
        </w:rPr>
        <w:t>both </w:t>
      </w:r>
      <w:r>
        <w:rPr>
          <w:spacing w:val="-3"/>
          <w:w w:val="105"/>
          <w:sz w:val="21"/>
        </w:rPr>
        <w:t>things growing </w:t>
      </w:r>
      <w:r>
        <w:rPr>
          <w:w w:val="105"/>
          <w:sz w:val="21"/>
        </w:rPr>
        <w:t>on the </w:t>
      </w:r>
      <w:r>
        <w:rPr>
          <w:spacing w:val="-3"/>
          <w:w w:val="105"/>
          <w:sz w:val="21"/>
        </w:rPr>
        <w:t>surface </w:t>
      </w:r>
      <w:r>
        <w:rPr>
          <w:w w:val="105"/>
          <w:sz w:val="21"/>
        </w:rPr>
        <w:t>(such as trees and grass) and </w:t>
      </w:r>
      <w:r>
        <w:rPr>
          <w:spacing w:val="-3"/>
          <w:w w:val="105"/>
          <w:sz w:val="21"/>
        </w:rPr>
        <w:t>minerals </w:t>
      </w:r>
      <w:r>
        <w:rPr>
          <w:w w:val="105"/>
          <w:sz w:val="21"/>
        </w:rPr>
        <w:t>under the</w:t>
      </w:r>
      <w:r>
        <w:rPr>
          <w:spacing w:val="31"/>
          <w:w w:val="105"/>
          <w:sz w:val="21"/>
        </w:rPr>
        <w:t> </w:t>
      </w:r>
      <w:r>
        <w:rPr>
          <w:spacing w:val="-6"/>
          <w:w w:val="105"/>
          <w:sz w:val="21"/>
        </w:rPr>
        <w:t>surface’.</w:t>
      </w:r>
      <w:r>
        <w:rPr>
          <w:spacing w:val="-6"/>
          <w:w w:val="105"/>
          <w:position w:val="7"/>
          <w:sz w:val="12"/>
        </w:rPr>
        <w:t>126</w:t>
      </w:r>
    </w:p>
    <w:p>
      <w:pPr>
        <w:pStyle w:val="ListParagraph"/>
        <w:numPr>
          <w:ilvl w:val="1"/>
          <w:numId w:val="16"/>
        </w:numPr>
        <w:tabs>
          <w:tab w:pos="2381" w:val="left" w:leader="none"/>
          <w:tab w:pos="2382" w:val="left" w:leader="none"/>
        </w:tabs>
        <w:spacing w:line="242" w:lineRule="auto" w:before="123" w:after="0"/>
        <w:ind w:left="2381" w:right="1634" w:hanging="794"/>
        <w:jc w:val="left"/>
        <w:rPr>
          <w:sz w:val="21"/>
        </w:rPr>
      </w:pPr>
      <w:r>
        <w:rPr>
          <w:w w:val="105"/>
          <w:sz w:val="21"/>
        </w:rPr>
        <w:t>Every</w:t>
      </w:r>
      <w:r>
        <w:rPr>
          <w:spacing w:val="-9"/>
          <w:w w:val="105"/>
          <w:sz w:val="21"/>
        </w:rPr>
        <w:t> </w:t>
      </w:r>
      <w:r>
        <w:rPr>
          <w:w w:val="105"/>
          <w:sz w:val="21"/>
        </w:rPr>
        <w:t>unpermitted</w:t>
      </w:r>
      <w:r>
        <w:rPr>
          <w:spacing w:val="-8"/>
          <w:w w:val="105"/>
          <w:sz w:val="21"/>
        </w:rPr>
        <w:t> </w:t>
      </w:r>
      <w:r>
        <w:rPr>
          <w:w w:val="105"/>
          <w:sz w:val="21"/>
        </w:rPr>
        <w:t>entry</w:t>
      </w:r>
      <w:r>
        <w:rPr>
          <w:spacing w:val="-8"/>
          <w:w w:val="105"/>
          <w:sz w:val="21"/>
        </w:rPr>
        <w:t> </w:t>
      </w:r>
      <w:r>
        <w:rPr>
          <w:spacing w:val="-3"/>
          <w:w w:val="105"/>
          <w:sz w:val="21"/>
        </w:rPr>
        <w:t>onto</w:t>
      </w:r>
      <w:r>
        <w:rPr>
          <w:spacing w:val="-8"/>
          <w:w w:val="105"/>
          <w:sz w:val="21"/>
        </w:rPr>
        <w:t> </w:t>
      </w:r>
      <w:r>
        <w:rPr>
          <w:spacing w:val="-3"/>
          <w:w w:val="105"/>
          <w:sz w:val="21"/>
        </w:rPr>
        <w:t>land,</w:t>
      </w:r>
      <w:r>
        <w:rPr>
          <w:spacing w:val="-8"/>
          <w:w w:val="105"/>
          <w:sz w:val="21"/>
        </w:rPr>
        <w:t> </w:t>
      </w:r>
      <w:r>
        <w:rPr>
          <w:w w:val="105"/>
          <w:sz w:val="21"/>
        </w:rPr>
        <w:t>no</w:t>
      </w:r>
      <w:r>
        <w:rPr>
          <w:spacing w:val="-8"/>
          <w:w w:val="105"/>
          <w:sz w:val="21"/>
        </w:rPr>
        <w:t> </w:t>
      </w:r>
      <w:r>
        <w:rPr>
          <w:w w:val="105"/>
          <w:sz w:val="21"/>
        </w:rPr>
        <w:t>matter</w:t>
      </w:r>
      <w:r>
        <w:rPr>
          <w:spacing w:val="-8"/>
          <w:w w:val="105"/>
          <w:sz w:val="21"/>
        </w:rPr>
        <w:t> </w:t>
      </w:r>
      <w:r>
        <w:rPr>
          <w:w w:val="105"/>
          <w:sz w:val="21"/>
        </w:rPr>
        <w:t>how</w:t>
      </w:r>
      <w:r>
        <w:rPr>
          <w:spacing w:val="-9"/>
          <w:w w:val="105"/>
          <w:sz w:val="21"/>
        </w:rPr>
        <w:t> </w:t>
      </w:r>
      <w:r>
        <w:rPr>
          <w:spacing w:val="-5"/>
          <w:w w:val="105"/>
          <w:sz w:val="21"/>
        </w:rPr>
        <w:t>minor,</w:t>
      </w:r>
      <w:r>
        <w:rPr>
          <w:spacing w:val="-8"/>
          <w:w w:val="105"/>
          <w:sz w:val="21"/>
        </w:rPr>
        <w:t> </w:t>
      </w:r>
      <w:r>
        <w:rPr>
          <w:w w:val="105"/>
          <w:sz w:val="21"/>
        </w:rPr>
        <w:t>is</w:t>
      </w:r>
      <w:r>
        <w:rPr>
          <w:spacing w:val="-8"/>
          <w:w w:val="105"/>
          <w:sz w:val="21"/>
        </w:rPr>
        <w:t> </w:t>
      </w:r>
      <w:r>
        <w:rPr>
          <w:spacing w:val="-3"/>
          <w:w w:val="105"/>
          <w:sz w:val="21"/>
        </w:rPr>
        <w:t>considered</w:t>
      </w:r>
      <w:r>
        <w:rPr>
          <w:spacing w:val="-8"/>
          <w:w w:val="105"/>
          <w:sz w:val="21"/>
        </w:rPr>
        <w:t> </w:t>
      </w:r>
      <w:r>
        <w:rPr>
          <w:w w:val="105"/>
          <w:sz w:val="21"/>
        </w:rPr>
        <w:t>a</w:t>
      </w:r>
      <w:r>
        <w:rPr>
          <w:spacing w:val="-8"/>
          <w:w w:val="105"/>
          <w:sz w:val="21"/>
        </w:rPr>
        <w:t> </w:t>
      </w:r>
      <w:r>
        <w:rPr>
          <w:spacing w:val="-4"/>
          <w:w w:val="105"/>
          <w:sz w:val="21"/>
        </w:rPr>
        <w:t>trespass,</w:t>
      </w:r>
      <w:r>
        <w:rPr>
          <w:spacing w:val="-4"/>
          <w:w w:val="105"/>
          <w:position w:val="7"/>
          <w:sz w:val="12"/>
        </w:rPr>
        <w:t>127</w:t>
      </w:r>
      <w:r>
        <w:rPr>
          <w:spacing w:val="14"/>
          <w:w w:val="105"/>
          <w:position w:val="7"/>
          <w:sz w:val="12"/>
        </w:rPr>
        <w:t> </w:t>
      </w:r>
      <w:r>
        <w:rPr>
          <w:w w:val="105"/>
          <w:sz w:val="21"/>
        </w:rPr>
        <w:t>even if the trespass does </w:t>
      </w:r>
      <w:r>
        <w:rPr>
          <w:spacing w:val="-2"/>
          <w:w w:val="105"/>
          <w:sz w:val="21"/>
        </w:rPr>
        <w:t>not </w:t>
      </w:r>
      <w:r>
        <w:rPr>
          <w:w w:val="105"/>
          <w:sz w:val="21"/>
        </w:rPr>
        <w:t>cause </w:t>
      </w:r>
      <w:r>
        <w:rPr>
          <w:spacing w:val="-3"/>
          <w:w w:val="105"/>
          <w:sz w:val="21"/>
        </w:rPr>
        <w:t>any material</w:t>
      </w:r>
      <w:r>
        <w:rPr>
          <w:spacing w:val="39"/>
          <w:w w:val="105"/>
          <w:sz w:val="21"/>
        </w:rPr>
        <w:t> </w:t>
      </w:r>
      <w:r>
        <w:rPr>
          <w:spacing w:val="-5"/>
          <w:w w:val="105"/>
          <w:sz w:val="21"/>
        </w:rPr>
        <w:t>damage.</w:t>
      </w:r>
      <w:r>
        <w:rPr>
          <w:spacing w:val="-5"/>
          <w:w w:val="105"/>
          <w:position w:val="7"/>
          <w:sz w:val="12"/>
        </w:rPr>
        <w:t>128</w:t>
      </w:r>
    </w:p>
    <w:p>
      <w:pPr>
        <w:pStyle w:val="ListParagraph"/>
        <w:numPr>
          <w:ilvl w:val="1"/>
          <w:numId w:val="16"/>
        </w:numPr>
        <w:tabs>
          <w:tab w:pos="2380" w:val="left" w:leader="none"/>
          <w:tab w:pos="2381" w:val="left" w:leader="none"/>
        </w:tabs>
        <w:spacing w:line="242" w:lineRule="auto" w:before="122" w:after="0"/>
        <w:ind w:left="2381" w:right="1624" w:hanging="794"/>
        <w:jc w:val="left"/>
        <w:rPr>
          <w:sz w:val="21"/>
        </w:rPr>
      </w:pPr>
      <w:r>
        <w:rPr>
          <w:w w:val="105"/>
          <w:sz w:val="21"/>
        </w:rPr>
        <w:t>The</w:t>
      </w:r>
      <w:r>
        <w:rPr>
          <w:spacing w:val="-4"/>
          <w:w w:val="105"/>
          <w:sz w:val="21"/>
        </w:rPr>
        <w:t> </w:t>
      </w:r>
      <w:r>
        <w:rPr>
          <w:w w:val="105"/>
          <w:sz w:val="21"/>
        </w:rPr>
        <w:t>owner</w:t>
      </w:r>
      <w:r>
        <w:rPr>
          <w:spacing w:val="-3"/>
          <w:w w:val="105"/>
          <w:sz w:val="21"/>
        </w:rPr>
        <w:t> </w:t>
      </w:r>
      <w:r>
        <w:rPr>
          <w:w w:val="105"/>
          <w:sz w:val="21"/>
        </w:rPr>
        <w:t>of</w:t>
      </w:r>
      <w:r>
        <w:rPr>
          <w:spacing w:val="-4"/>
          <w:w w:val="105"/>
          <w:sz w:val="21"/>
        </w:rPr>
        <w:t> </w:t>
      </w:r>
      <w:r>
        <w:rPr>
          <w:spacing w:val="-3"/>
          <w:w w:val="105"/>
          <w:sz w:val="21"/>
        </w:rPr>
        <w:t>land </w:t>
      </w:r>
      <w:r>
        <w:rPr>
          <w:w w:val="105"/>
          <w:sz w:val="21"/>
        </w:rPr>
        <w:t>affected</w:t>
      </w:r>
      <w:r>
        <w:rPr>
          <w:spacing w:val="-3"/>
          <w:w w:val="105"/>
          <w:sz w:val="21"/>
        </w:rPr>
        <w:t> </w:t>
      </w:r>
      <w:r>
        <w:rPr>
          <w:w w:val="105"/>
          <w:sz w:val="21"/>
        </w:rPr>
        <w:t>must</w:t>
      </w:r>
      <w:r>
        <w:rPr>
          <w:spacing w:val="-4"/>
          <w:w w:val="105"/>
          <w:sz w:val="21"/>
        </w:rPr>
        <w:t> </w:t>
      </w:r>
      <w:r>
        <w:rPr>
          <w:w w:val="105"/>
          <w:sz w:val="21"/>
        </w:rPr>
        <w:t>be</w:t>
      </w:r>
      <w:r>
        <w:rPr>
          <w:spacing w:val="-3"/>
          <w:w w:val="105"/>
          <w:sz w:val="21"/>
        </w:rPr>
        <w:t> </w:t>
      </w:r>
      <w:r>
        <w:rPr>
          <w:w w:val="105"/>
          <w:sz w:val="21"/>
        </w:rPr>
        <w:t>in</w:t>
      </w:r>
      <w:r>
        <w:rPr>
          <w:spacing w:val="-4"/>
          <w:w w:val="105"/>
          <w:sz w:val="21"/>
        </w:rPr>
        <w:t> </w:t>
      </w:r>
      <w:r>
        <w:rPr>
          <w:w w:val="105"/>
          <w:sz w:val="21"/>
        </w:rPr>
        <w:t>actual,</w:t>
      </w:r>
      <w:r>
        <w:rPr>
          <w:spacing w:val="-3"/>
          <w:w w:val="105"/>
          <w:sz w:val="21"/>
        </w:rPr>
        <w:t> exclusive </w:t>
      </w:r>
      <w:r>
        <w:rPr>
          <w:w w:val="105"/>
          <w:sz w:val="21"/>
        </w:rPr>
        <w:t>possession</w:t>
      </w:r>
      <w:r>
        <w:rPr>
          <w:spacing w:val="-4"/>
          <w:w w:val="105"/>
          <w:sz w:val="21"/>
        </w:rPr>
        <w:t> </w:t>
      </w:r>
      <w:r>
        <w:rPr>
          <w:w w:val="105"/>
          <w:sz w:val="21"/>
        </w:rPr>
        <w:t>of</w:t>
      </w:r>
      <w:r>
        <w:rPr>
          <w:spacing w:val="-3"/>
          <w:w w:val="105"/>
          <w:sz w:val="21"/>
        </w:rPr>
        <w:t> </w:t>
      </w:r>
      <w:r>
        <w:rPr>
          <w:w w:val="105"/>
          <w:sz w:val="21"/>
        </w:rPr>
        <w:t>the</w:t>
      </w:r>
      <w:r>
        <w:rPr>
          <w:spacing w:val="-4"/>
          <w:w w:val="105"/>
          <w:sz w:val="21"/>
        </w:rPr>
        <w:t> </w:t>
      </w:r>
      <w:r>
        <w:rPr>
          <w:spacing w:val="-3"/>
          <w:w w:val="105"/>
          <w:sz w:val="21"/>
        </w:rPr>
        <w:t>land to bring</w:t>
      </w:r>
      <w:r>
        <w:rPr>
          <w:spacing w:val="-4"/>
          <w:w w:val="105"/>
          <w:sz w:val="21"/>
        </w:rPr>
        <w:t> </w:t>
      </w:r>
      <w:r>
        <w:rPr>
          <w:w w:val="105"/>
          <w:sz w:val="21"/>
        </w:rPr>
        <w:t>an action </w:t>
      </w:r>
      <w:r>
        <w:rPr>
          <w:spacing w:val="-3"/>
          <w:w w:val="105"/>
          <w:sz w:val="21"/>
        </w:rPr>
        <w:t>for </w:t>
      </w:r>
      <w:r>
        <w:rPr>
          <w:spacing w:val="-4"/>
          <w:w w:val="105"/>
          <w:sz w:val="21"/>
        </w:rPr>
        <w:t>trespass.</w:t>
      </w:r>
      <w:r>
        <w:rPr>
          <w:spacing w:val="-4"/>
          <w:w w:val="105"/>
          <w:position w:val="7"/>
          <w:sz w:val="12"/>
        </w:rPr>
        <w:t>129 </w:t>
      </w:r>
      <w:r>
        <w:rPr>
          <w:w w:val="105"/>
          <w:sz w:val="21"/>
        </w:rPr>
        <w:t>The trespasser must </w:t>
      </w:r>
      <w:r>
        <w:rPr>
          <w:spacing w:val="-3"/>
          <w:w w:val="105"/>
          <w:sz w:val="21"/>
        </w:rPr>
        <w:t>intend </w:t>
      </w:r>
      <w:r>
        <w:rPr>
          <w:w w:val="105"/>
          <w:sz w:val="21"/>
        </w:rPr>
        <w:t>the trespass; </w:t>
      </w:r>
      <w:r>
        <w:rPr>
          <w:spacing w:val="-3"/>
          <w:w w:val="105"/>
          <w:sz w:val="21"/>
        </w:rPr>
        <w:t>that </w:t>
      </w:r>
      <w:r>
        <w:rPr>
          <w:w w:val="105"/>
          <w:sz w:val="21"/>
        </w:rPr>
        <w:t>is, they </w:t>
      </w:r>
      <w:r>
        <w:rPr>
          <w:spacing w:val="-3"/>
          <w:w w:val="105"/>
          <w:sz w:val="21"/>
        </w:rPr>
        <w:t>‘deliberately </w:t>
      </w:r>
      <w:r>
        <w:rPr>
          <w:w w:val="105"/>
          <w:sz w:val="21"/>
        </w:rPr>
        <w:t>and </w:t>
      </w:r>
      <w:r>
        <w:rPr>
          <w:spacing w:val="-3"/>
          <w:w w:val="105"/>
          <w:sz w:val="21"/>
        </w:rPr>
        <w:t>wilfully’ interfered </w:t>
      </w:r>
      <w:r>
        <w:rPr>
          <w:w w:val="105"/>
          <w:sz w:val="21"/>
        </w:rPr>
        <w:t>with the tree </w:t>
      </w:r>
      <w:r>
        <w:rPr>
          <w:spacing w:val="-3"/>
          <w:w w:val="105"/>
          <w:sz w:val="21"/>
        </w:rPr>
        <w:t>owner’s exclusive</w:t>
      </w:r>
      <w:r>
        <w:rPr>
          <w:spacing w:val="33"/>
          <w:w w:val="105"/>
          <w:sz w:val="21"/>
        </w:rPr>
        <w:t> </w:t>
      </w:r>
      <w:r>
        <w:rPr>
          <w:spacing w:val="-3"/>
          <w:w w:val="105"/>
          <w:sz w:val="21"/>
        </w:rPr>
        <w:t>possession.</w:t>
      </w:r>
      <w:r>
        <w:rPr>
          <w:spacing w:val="-3"/>
          <w:w w:val="105"/>
          <w:position w:val="7"/>
          <w:sz w:val="12"/>
        </w:rPr>
        <w:t>130</w:t>
      </w:r>
    </w:p>
    <w:p>
      <w:pPr>
        <w:pStyle w:val="ListParagraph"/>
        <w:numPr>
          <w:ilvl w:val="1"/>
          <w:numId w:val="16"/>
        </w:numPr>
        <w:tabs>
          <w:tab w:pos="2380" w:val="left" w:leader="none"/>
          <w:tab w:pos="2381" w:val="left" w:leader="none"/>
        </w:tabs>
        <w:spacing w:line="242" w:lineRule="auto" w:before="123" w:after="0"/>
        <w:ind w:left="2381" w:right="1677" w:hanging="794"/>
        <w:jc w:val="left"/>
        <w:rPr>
          <w:sz w:val="21"/>
        </w:rPr>
      </w:pPr>
      <w:r>
        <w:rPr>
          <w:w w:val="105"/>
          <w:sz w:val="21"/>
        </w:rPr>
        <w:t>The</w:t>
      </w:r>
      <w:r>
        <w:rPr>
          <w:spacing w:val="-10"/>
          <w:w w:val="105"/>
          <w:sz w:val="21"/>
        </w:rPr>
        <w:t> </w:t>
      </w:r>
      <w:r>
        <w:rPr>
          <w:w w:val="105"/>
          <w:sz w:val="21"/>
        </w:rPr>
        <w:t>most</w:t>
      </w:r>
      <w:r>
        <w:rPr>
          <w:spacing w:val="-10"/>
          <w:w w:val="105"/>
          <w:sz w:val="21"/>
        </w:rPr>
        <w:t> </w:t>
      </w:r>
      <w:r>
        <w:rPr>
          <w:w w:val="105"/>
          <w:sz w:val="21"/>
        </w:rPr>
        <w:t>obvious</w:t>
      </w:r>
      <w:r>
        <w:rPr>
          <w:spacing w:val="-10"/>
          <w:w w:val="105"/>
          <w:sz w:val="21"/>
        </w:rPr>
        <w:t> </w:t>
      </w:r>
      <w:r>
        <w:rPr>
          <w:spacing w:val="-3"/>
          <w:w w:val="105"/>
          <w:sz w:val="21"/>
        </w:rPr>
        <w:t>form</w:t>
      </w:r>
      <w:r>
        <w:rPr>
          <w:spacing w:val="-10"/>
          <w:w w:val="105"/>
          <w:sz w:val="21"/>
        </w:rPr>
        <w:t> </w:t>
      </w:r>
      <w:r>
        <w:rPr>
          <w:w w:val="105"/>
          <w:sz w:val="21"/>
        </w:rPr>
        <w:t>of</w:t>
      </w:r>
      <w:r>
        <w:rPr>
          <w:spacing w:val="-9"/>
          <w:w w:val="105"/>
          <w:sz w:val="21"/>
        </w:rPr>
        <w:t> </w:t>
      </w:r>
      <w:r>
        <w:rPr>
          <w:w w:val="105"/>
          <w:sz w:val="21"/>
        </w:rPr>
        <w:t>trespass</w:t>
      </w:r>
      <w:r>
        <w:rPr>
          <w:spacing w:val="-10"/>
          <w:w w:val="105"/>
          <w:sz w:val="21"/>
        </w:rPr>
        <w:t> </w:t>
      </w:r>
      <w:r>
        <w:rPr>
          <w:w w:val="105"/>
          <w:sz w:val="21"/>
        </w:rPr>
        <w:t>is</w:t>
      </w:r>
      <w:r>
        <w:rPr>
          <w:spacing w:val="-10"/>
          <w:w w:val="105"/>
          <w:sz w:val="21"/>
        </w:rPr>
        <w:t> </w:t>
      </w:r>
      <w:r>
        <w:rPr>
          <w:spacing w:val="-3"/>
          <w:w w:val="105"/>
          <w:sz w:val="21"/>
        </w:rPr>
        <w:t>entering</w:t>
      </w:r>
      <w:r>
        <w:rPr>
          <w:spacing w:val="-10"/>
          <w:w w:val="105"/>
          <w:sz w:val="21"/>
        </w:rPr>
        <w:t> </w:t>
      </w:r>
      <w:r>
        <w:rPr>
          <w:spacing w:val="-3"/>
          <w:w w:val="105"/>
          <w:sz w:val="21"/>
        </w:rPr>
        <w:t>land</w:t>
      </w:r>
      <w:r>
        <w:rPr>
          <w:spacing w:val="-10"/>
          <w:w w:val="105"/>
          <w:sz w:val="21"/>
        </w:rPr>
        <w:t> </w:t>
      </w:r>
      <w:r>
        <w:rPr>
          <w:w w:val="105"/>
          <w:sz w:val="21"/>
        </w:rPr>
        <w:t>without</w:t>
      </w:r>
      <w:r>
        <w:rPr>
          <w:spacing w:val="-9"/>
          <w:w w:val="105"/>
          <w:sz w:val="21"/>
        </w:rPr>
        <w:t> </w:t>
      </w:r>
      <w:r>
        <w:rPr>
          <w:w w:val="105"/>
          <w:sz w:val="21"/>
        </w:rPr>
        <w:t>permission.</w:t>
      </w:r>
      <w:r>
        <w:rPr>
          <w:spacing w:val="-10"/>
          <w:w w:val="105"/>
          <w:sz w:val="21"/>
        </w:rPr>
        <w:t> </w:t>
      </w:r>
      <w:r>
        <w:rPr>
          <w:spacing w:val="-4"/>
          <w:w w:val="105"/>
          <w:sz w:val="21"/>
        </w:rPr>
        <w:t>Trespass</w:t>
      </w:r>
      <w:r>
        <w:rPr>
          <w:spacing w:val="-10"/>
          <w:w w:val="105"/>
          <w:sz w:val="21"/>
        </w:rPr>
        <w:t> </w:t>
      </w:r>
      <w:r>
        <w:rPr>
          <w:spacing w:val="-3"/>
          <w:w w:val="105"/>
          <w:sz w:val="21"/>
        </w:rPr>
        <w:t>may</w:t>
      </w:r>
      <w:r>
        <w:rPr>
          <w:spacing w:val="-10"/>
          <w:w w:val="105"/>
          <w:sz w:val="21"/>
        </w:rPr>
        <w:t> </w:t>
      </w:r>
      <w:r>
        <w:rPr>
          <w:w w:val="105"/>
          <w:sz w:val="21"/>
        </w:rPr>
        <w:t>also </w:t>
      </w:r>
      <w:r>
        <w:rPr>
          <w:spacing w:val="-3"/>
          <w:w w:val="105"/>
          <w:sz w:val="21"/>
        </w:rPr>
        <w:t>occur </w:t>
      </w:r>
      <w:r>
        <w:rPr>
          <w:w w:val="105"/>
          <w:sz w:val="21"/>
        </w:rPr>
        <w:t>when, </w:t>
      </w:r>
      <w:r>
        <w:rPr>
          <w:spacing w:val="-3"/>
          <w:w w:val="105"/>
          <w:sz w:val="21"/>
        </w:rPr>
        <w:t>for example, </w:t>
      </w:r>
      <w:r>
        <w:rPr>
          <w:w w:val="105"/>
          <w:sz w:val="21"/>
        </w:rPr>
        <w:t>objects </w:t>
      </w:r>
      <w:r>
        <w:rPr>
          <w:spacing w:val="-3"/>
          <w:w w:val="105"/>
          <w:sz w:val="21"/>
        </w:rPr>
        <w:t>are </w:t>
      </w:r>
      <w:r>
        <w:rPr>
          <w:spacing w:val="-2"/>
          <w:w w:val="105"/>
          <w:sz w:val="21"/>
        </w:rPr>
        <w:t>placed </w:t>
      </w:r>
      <w:r>
        <w:rPr>
          <w:w w:val="105"/>
          <w:sz w:val="21"/>
        </w:rPr>
        <w:t>over boundary </w:t>
      </w:r>
      <w:r>
        <w:rPr>
          <w:spacing w:val="-3"/>
          <w:w w:val="105"/>
          <w:sz w:val="21"/>
        </w:rPr>
        <w:t>lines </w:t>
      </w:r>
      <w:r>
        <w:rPr>
          <w:w w:val="105"/>
          <w:sz w:val="21"/>
        </w:rPr>
        <w:t>and left on the </w:t>
      </w:r>
      <w:r>
        <w:rPr>
          <w:spacing w:val="-6"/>
          <w:w w:val="105"/>
          <w:sz w:val="21"/>
        </w:rPr>
        <w:t>land.</w:t>
      </w:r>
      <w:r>
        <w:rPr>
          <w:spacing w:val="-6"/>
          <w:w w:val="105"/>
          <w:position w:val="7"/>
          <w:sz w:val="12"/>
        </w:rPr>
        <w:t>131</w:t>
      </w:r>
      <w:r>
        <w:rPr>
          <w:spacing w:val="-6"/>
          <w:w w:val="105"/>
          <w:sz w:val="12"/>
        </w:rPr>
        <w:t> </w:t>
      </w:r>
      <w:r>
        <w:rPr>
          <w:w w:val="105"/>
          <w:sz w:val="21"/>
        </w:rPr>
        <w:t>As Justice Bollen explained in the South </w:t>
      </w:r>
      <w:r>
        <w:rPr>
          <w:spacing w:val="-3"/>
          <w:w w:val="105"/>
          <w:sz w:val="21"/>
        </w:rPr>
        <w:t>Australian </w:t>
      </w:r>
      <w:r>
        <w:rPr>
          <w:w w:val="105"/>
          <w:sz w:val="21"/>
        </w:rPr>
        <w:t>case of </w:t>
      </w:r>
      <w:r>
        <w:rPr>
          <w:i/>
          <w:w w:val="105"/>
          <w:sz w:val="21"/>
        </w:rPr>
        <w:t>Gazzard v </w:t>
      </w:r>
      <w:r>
        <w:rPr>
          <w:i/>
          <w:spacing w:val="-5"/>
          <w:w w:val="105"/>
          <w:sz w:val="21"/>
        </w:rPr>
        <w:t>Hutchesson</w:t>
      </w:r>
      <w:r>
        <w:rPr>
          <w:spacing w:val="-5"/>
          <w:w w:val="105"/>
          <w:sz w:val="21"/>
        </w:rPr>
        <w:t>,</w:t>
      </w:r>
      <w:r>
        <w:rPr>
          <w:spacing w:val="-5"/>
          <w:w w:val="105"/>
          <w:position w:val="7"/>
          <w:sz w:val="12"/>
        </w:rPr>
        <w:t>132</w:t>
      </w:r>
      <w:r>
        <w:rPr>
          <w:spacing w:val="-5"/>
          <w:w w:val="105"/>
          <w:sz w:val="12"/>
        </w:rPr>
        <w:t> </w:t>
      </w:r>
      <w:r>
        <w:rPr>
          <w:w w:val="105"/>
          <w:sz w:val="21"/>
        </w:rPr>
        <w:t>trespass can be </w:t>
      </w:r>
      <w:r>
        <w:rPr>
          <w:spacing w:val="-3"/>
          <w:w w:val="105"/>
          <w:sz w:val="21"/>
        </w:rPr>
        <w:t>found </w:t>
      </w:r>
      <w:r>
        <w:rPr>
          <w:w w:val="105"/>
          <w:sz w:val="21"/>
        </w:rPr>
        <w:t>without entry </w:t>
      </w:r>
      <w:r>
        <w:rPr>
          <w:spacing w:val="-3"/>
          <w:w w:val="105"/>
          <w:sz w:val="21"/>
        </w:rPr>
        <w:t>onto another’s land </w:t>
      </w:r>
      <w:r>
        <w:rPr>
          <w:w w:val="105"/>
          <w:sz w:val="21"/>
        </w:rPr>
        <w:t>when an affected </w:t>
      </w:r>
      <w:r>
        <w:rPr>
          <w:spacing w:val="-3"/>
          <w:w w:val="105"/>
          <w:sz w:val="21"/>
        </w:rPr>
        <w:t>neighbour </w:t>
      </w:r>
      <w:r>
        <w:rPr>
          <w:w w:val="105"/>
          <w:sz w:val="21"/>
        </w:rPr>
        <w:t>uses a stepladder </w:t>
      </w:r>
      <w:r>
        <w:rPr>
          <w:spacing w:val="-3"/>
          <w:w w:val="105"/>
          <w:sz w:val="21"/>
        </w:rPr>
        <w:t>to </w:t>
      </w:r>
      <w:r>
        <w:rPr>
          <w:w w:val="105"/>
          <w:sz w:val="21"/>
        </w:rPr>
        <w:t>lean over a boundary </w:t>
      </w:r>
      <w:r>
        <w:rPr>
          <w:spacing w:val="-3"/>
          <w:w w:val="105"/>
          <w:sz w:val="21"/>
        </w:rPr>
        <w:t>line </w:t>
      </w:r>
      <w:r>
        <w:rPr>
          <w:w w:val="105"/>
          <w:sz w:val="21"/>
        </w:rPr>
        <w:t>and cut their </w:t>
      </w:r>
      <w:r>
        <w:rPr>
          <w:spacing w:val="-3"/>
          <w:w w:val="105"/>
          <w:sz w:val="21"/>
        </w:rPr>
        <w:t>neighbour’s </w:t>
      </w:r>
      <w:r>
        <w:rPr>
          <w:w w:val="105"/>
          <w:sz w:val="21"/>
        </w:rPr>
        <w:t>roses. The trespass </w:t>
      </w:r>
      <w:r>
        <w:rPr>
          <w:spacing w:val="-3"/>
          <w:w w:val="105"/>
          <w:sz w:val="21"/>
        </w:rPr>
        <w:t>will continue for </w:t>
      </w:r>
      <w:r>
        <w:rPr>
          <w:w w:val="105"/>
          <w:sz w:val="21"/>
        </w:rPr>
        <w:t>as long as the </w:t>
      </w:r>
      <w:r>
        <w:rPr>
          <w:spacing w:val="-3"/>
          <w:w w:val="105"/>
          <w:sz w:val="21"/>
        </w:rPr>
        <w:t>intrusion</w:t>
      </w:r>
      <w:r>
        <w:rPr>
          <w:spacing w:val="-2"/>
          <w:w w:val="105"/>
          <w:sz w:val="21"/>
        </w:rPr>
        <w:t> </w:t>
      </w:r>
      <w:r>
        <w:rPr>
          <w:spacing w:val="-5"/>
          <w:w w:val="105"/>
          <w:sz w:val="21"/>
        </w:rPr>
        <w:t>remains.</w:t>
      </w:r>
      <w:r>
        <w:rPr>
          <w:spacing w:val="-5"/>
          <w:w w:val="105"/>
          <w:position w:val="7"/>
          <w:sz w:val="12"/>
        </w:rPr>
        <w:t>133</w:t>
      </w:r>
    </w:p>
    <w:p>
      <w:pPr>
        <w:pStyle w:val="ListParagraph"/>
        <w:numPr>
          <w:ilvl w:val="1"/>
          <w:numId w:val="16"/>
        </w:numPr>
        <w:tabs>
          <w:tab w:pos="2380" w:val="left" w:leader="none"/>
          <w:tab w:pos="2381" w:val="left" w:leader="none"/>
        </w:tabs>
        <w:spacing w:line="242" w:lineRule="auto" w:before="127" w:after="0"/>
        <w:ind w:left="2381" w:right="1615" w:hanging="794"/>
        <w:jc w:val="left"/>
        <w:rPr>
          <w:sz w:val="21"/>
        </w:rPr>
      </w:pPr>
      <w:r>
        <w:rPr>
          <w:w w:val="105"/>
          <w:sz w:val="21"/>
        </w:rPr>
        <w:t>The </w:t>
      </w:r>
      <w:r>
        <w:rPr>
          <w:spacing w:val="-3"/>
          <w:w w:val="105"/>
          <w:sz w:val="21"/>
        </w:rPr>
        <w:t>encroachment </w:t>
      </w:r>
      <w:r>
        <w:rPr>
          <w:w w:val="105"/>
          <w:sz w:val="21"/>
        </w:rPr>
        <w:t>of roots or </w:t>
      </w:r>
      <w:r>
        <w:rPr>
          <w:spacing w:val="-3"/>
          <w:w w:val="105"/>
          <w:sz w:val="21"/>
        </w:rPr>
        <w:t>branches </w:t>
      </w:r>
      <w:r>
        <w:rPr>
          <w:w w:val="105"/>
          <w:sz w:val="21"/>
        </w:rPr>
        <w:t>over boundary </w:t>
      </w:r>
      <w:r>
        <w:rPr>
          <w:spacing w:val="-3"/>
          <w:w w:val="105"/>
          <w:sz w:val="21"/>
        </w:rPr>
        <w:t>lines, </w:t>
      </w:r>
      <w:r>
        <w:rPr>
          <w:spacing w:val="-4"/>
          <w:w w:val="105"/>
          <w:sz w:val="21"/>
        </w:rPr>
        <w:t>however, </w:t>
      </w:r>
      <w:r>
        <w:rPr>
          <w:spacing w:val="-3"/>
          <w:w w:val="105"/>
          <w:sz w:val="21"/>
        </w:rPr>
        <w:t>will </w:t>
      </w:r>
      <w:r>
        <w:rPr>
          <w:spacing w:val="-2"/>
          <w:w w:val="105"/>
          <w:sz w:val="21"/>
        </w:rPr>
        <w:t>not </w:t>
      </w:r>
      <w:r>
        <w:rPr>
          <w:spacing w:val="-3"/>
          <w:w w:val="105"/>
          <w:sz w:val="21"/>
        </w:rPr>
        <w:t>constitute </w:t>
      </w:r>
      <w:r>
        <w:rPr>
          <w:w w:val="105"/>
          <w:sz w:val="21"/>
        </w:rPr>
        <w:t>trespass</w:t>
      </w:r>
      <w:r>
        <w:rPr>
          <w:spacing w:val="-6"/>
          <w:w w:val="105"/>
          <w:sz w:val="21"/>
        </w:rPr>
        <w:t> </w:t>
      </w:r>
      <w:r>
        <w:rPr>
          <w:w w:val="105"/>
          <w:sz w:val="21"/>
        </w:rPr>
        <w:t>because</w:t>
      </w:r>
      <w:r>
        <w:rPr>
          <w:spacing w:val="-6"/>
          <w:w w:val="105"/>
          <w:sz w:val="21"/>
        </w:rPr>
        <w:t> </w:t>
      </w:r>
      <w:r>
        <w:rPr>
          <w:w w:val="105"/>
          <w:sz w:val="21"/>
        </w:rPr>
        <w:t>it</w:t>
      </w:r>
      <w:r>
        <w:rPr>
          <w:spacing w:val="-6"/>
          <w:w w:val="105"/>
          <w:sz w:val="21"/>
        </w:rPr>
        <w:t> </w:t>
      </w:r>
      <w:r>
        <w:rPr>
          <w:w w:val="105"/>
          <w:sz w:val="21"/>
        </w:rPr>
        <w:t>is</w:t>
      </w:r>
      <w:r>
        <w:rPr>
          <w:spacing w:val="-5"/>
          <w:w w:val="105"/>
          <w:sz w:val="21"/>
        </w:rPr>
        <w:t> </w:t>
      </w:r>
      <w:r>
        <w:rPr>
          <w:spacing w:val="-4"/>
          <w:w w:val="105"/>
          <w:sz w:val="21"/>
        </w:rPr>
        <w:t>unintended.</w:t>
      </w:r>
      <w:r>
        <w:rPr>
          <w:spacing w:val="-4"/>
          <w:w w:val="105"/>
          <w:position w:val="7"/>
          <w:sz w:val="12"/>
        </w:rPr>
        <w:t>134</w:t>
      </w:r>
      <w:r>
        <w:rPr>
          <w:spacing w:val="17"/>
          <w:w w:val="105"/>
          <w:position w:val="7"/>
          <w:sz w:val="12"/>
        </w:rPr>
        <w:t> </w:t>
      </w:r>
      <w:r>
        <w:rPr>
          <w:w w:val="105"/>
          <w:sz w:val="21"/>
        </w:rPr>
        <w:t>An</w:t>
      </w:r>
      <w:r>
        <w:rPr>
          <w:spacing w:val="-6"/>
          <w:w w:val="105"/>
          <w:sz w:val="21"/>
        </w:rPr>
        <w:t> </w:t>
      </w:r>
      <w:r>
        <w:rPr>
          <w:w w:val="105"/>
          <w:sz w:val="21"/>
        </w:rPr>
        <w:t>action</w:t>
      </w:r>
      <w:r>
        <w:rPr>
          <w:spacing w:val="-6"/>
          <w:w w:val="105"/>
          <w:sz w:val="21"/>
        </w:rPr>
        <w:t> </w:t>
      </w:r>
      <w:r>
        <w:rPr>
          <w:w w:val="105"/>
          <w:sz w:val="21"/>
        </w:rPr>
        <w:t>in</w:t>
      </w:r>
      <w:r>
        <w:rPr>
          <w:spacing w:val="-5"/>
          <w:w w:val="105"/>
          <w:sz w:val="21"/>
        </w:rPr>
        <w:t> </w:t>
      </w:r>
      <w:r>
        <w:rPr>
          <w:spacing w:val="-3"/>
          <w:w w:val="105"/>
          <w:sz w:val="21"/>
        </w:rPr>
        <w:t>nuisance</w:t>
      </w:r>
      <w:r>
        <w:rPr>
          <w:spacing w:val="-6"/>
          <w:w w:val="105"/>
          <w:sz w:val="21"/>
        </w:rPr>
        <w:t> </w:t>
      </w:r>
      <w:r>
        <w:rPr>
          <w:w w:val="105"/>
          <w:sz w:val="21"/>
        </w:rPr>
        <w:t>would</w:t>
      </w:r>
      <w:r>
        <w:rPr>
          <w:spacing w:val="-6"/>
          <w:w w:val="105"/>
          <w:sz w:val="21"/>
        </w:rPr>
        <w:t> </w:t>
      </w:r>
      <w:r>
        <w:rPr>
          <w:w w:val="105"/>
          <w:sz w:val="21"/>
        </w:rPr>
        <w:t>be</w:t>
      </w:r>
      <w:r>
        <w:rPr>
          <w:spacing w:val="-5"/>
          <w:w w:val="105"/>
          <w:sz w:val="21"/>
        </w:rPr>
        <w:t> </w:t>
      </w:r>
      <w:r>
        <w:rPr>
          <w:w w:val="105"/>
          <w:sz w:val="21"/>
        </w:rPr>
        <w:t>better</w:t>
      </w:r>
      <w:r>
        <w:rPr>
          <w:spacing w:val="-6"/>
          <w:w w:val="105"/>
          <w:sz w:val="21"/>
        </w:rPr>
        <w:t> </w:t>
      </w:r>
      <w:r>
        <w:rPr>
          <w:spacing w:val="-3"/>
          <w:w w:val="105"/>
          <w:sz w:val="21"/>
        </w:rPr>
        <w:t>suited</w:t>
      </w:r>
      <w:r>
        <w:rPr>
          <w:spacing w:val="-6"/>
          <w:w w:val="105"/>
          <w:sz w:val="21"/>
        </w:rPr>
        <w:t> </w:t>
      </w:r>
      <w:r>
        <w:rPr>
          <w:spacing w:val="-3"/>
          <w:w w:val="105"/>
          <w:sz w:val="21"/>
        </w:rPr>
        <w:t>to</w:t>
      </w:r>
      <w:r>
        <w:rPr>
          <w:spacing w:val="-6"/>
          <w:w w:val="105"/>
          <w:sz w:val="21"/>
        </w:rPr>
        <w:t> </w:t>
      </w:r>
      <w:r>
        <w:rPr>
          <w:w w:val="105"/>
          <w:sz w:val="21"/>
        </w:rPr>
        <w:t>these </w:t>
      </w:r>
      <w:r>
        <w:rPr>
          <w:spacing w:val="-4"/>
          <w:w w:val="105"/>
          <w:sz w:val="21"/>
        </w:rPr>
        <w:t>situations.</w:t>
      </w:r>
      <w:r>
        <w:rPr>
          <w:spacing w:val="-4"/>
          <w:w w:val="105"/>
          <w:position w:val="7"/>
          <w:sz w:val="12"/>
        </w:rPr>
        <w:t>135</w:t>
      </w:r>
    </w:p>
    <w:p>
      <w:pPr>
        <w:pStyle w:val="Heading7"/>
      </w:pPr>
      <w:r>
        <w:rPr>
          <w:w w:val="115"/>
        </w:rPr>
        <w:t>Defences</w:t>
      </w:r>
    </w:p>
    <w:p>
      <w:pPr>
        <w:pStyle w:val="ListParagraph"/>
        <w:numPr>
          <w:ilvl w:val="1"/>
          <w:numId w:val="16"/>
        </w:numPr>
        <w:tabs>
          <w:tab w:pos="2381" w:val="left" w:leader="none"/>
          <w:tab w:pos="2382" w:val="left" w:leader="none"/>
        </w:tabs>
        <w:spacing w:line="240" w:lineRule="auto" w:before="142" w:after="0"/>
        <w:ind w:left="2381" w:right="0" w:hanging="794"/>
        <w:jc w:val="left"/>
        <w:rPr>
          <w:sz w:val="21"/>
        </w:rPr>
      </w:pPr>
      <w:r>
        <w:rPr>
          <w:w w:val="105"/>
          <w:sz w:val="21"/>
        </w:rPr>
        <w:t>An</w:t>
      </w:r>
      <w:r>
        <w:rPr>
          <w:spacing w:val="5"/>
          <w:w w:val="105"/>
          <w:sz w:val="21"/>
        </w:rPr>
        <w:t> </w:t>
      </w:r>
      <w:r>
        <w:rPr>
          <w:w w:val="105"/>
          <w:sz w:val="21"/>
        </w:rPr>
        <w:t>affected</w:t>
      </w:r>
      <w:r>
        <w:rPr>
          <w:spacing w:val="4"/>
          <w:w w:val="105"/>
          <w:sz w:val="21"/>
        </w:rPr>
        <w:t> </w:t>
      </w:r>
      <w:r>
        <w:rPr>
          <w:spacing w:val="-3"/>
          <w:w w:val="105"/>
          <w:sz w:val="21"/>
        </w:rPr>
        <w:t>neighbour</w:t>
      </w:r>
      <w:r>
        <w:rPr>
          <w:spacing w:val="5"/>
          <w:w w:val="105"/>
          <w:sz w:val="21"/>
        </w:rPr>
        <w:t> </w:t>
      </w:r>
      <w:r>
        <w:rPr>
          <w:spacing w:val="-3"/>
          <w:w w:val="105"/>
          <w:sz w:val="21"/>
        </w:rPr>
        <w:t>may</w:t>
      </w:r>
      <w:r>
        <w:rPr>
          <w:spacing w:val="5"/>
          <w:w w:val="105"/>
          <w:sz w:val="21"/>
        </w:rPr>
        <w:t> </w:t>
      </w:r>
      <w:r>
        <w:rPr>
          <w:w w:val="105"/>
          <w:sz w:val="21"/>
        </w:rPr>
        <w:t>rely</w:t>
      </w:r>
      <w:r>
        <w:rPr>
          <w:spacing w:val="5"/>
          <w:w w:val="105"/>
          <w:sz w:val="21"/>
        </w:rPr>
        <w:t> </w:t>
      </w:r>
      <w:r>
        <w:rPr>
          <w:w w:val="105"/>
          <w:sz w:val="21"/>
        </w:rPr>
        <w:t>on</w:t>
      </w:r>
      <w:r>
        <w:rPr>
          <w:spacing w:val="5"/>
          <w:w w:val="105"/>
          <w:sz w:val="21"/>
        </w:rPr>
        <w:t> </w:t>
      </w:r>
      <w:r>
        <w:rPr>
          <w:w w:val="105"/>
          <w:sz w:val="21"/>
        </w:rPr>
        <w:t>the</w:t>
      </w:r>
      <w:r>
        <w:rPr>
          <w:spacing w:val="5"/>
          <w:w w:val="105"/>
          <w:sz w:val="21"/>
        </w:rPr>
        <w:t> </w:t>
      </w:r>
      <w:r>
        <w:rPr>
          <w:spacing w:val="-3"/>
          <w:w w:val="105"/>
          <w:sz w:val="21"/>
        </w:rPr>
        <w:t>following</w:t>
      </w:r>
      <w:r>
        <w:rPr>
          <w:spacing w:val="5"/>
          <w:w w:val="105"/>
          <w:sz w:val="21"/>
        </w:rPr>
        <w:t> </w:t>
      </w:r>
      <w:r>
        <w:rPr>
          <w:spacing w:val="-3"/>
          <w:w w:val="105"/>
          <w:sz w:val="21"/>
        </w:rPr>
        <w:t>defences</w:t>
      </w:r>
      <w:r>
        <w:rPr>
          <w:spacing w:val="5"/>
          <w:w w:val="105"/>
          <w:sz w:val="21"/>
        </w:rPr>
        <w:t> </w:t>
      </w:r>
      <w:r>
        <w:rPr>
          <w:spacing w:val="-3"/>
          <w:w w:val="105"/>
          <w:sz w:val="21"/>
        </w:rPr>
        <w:t>against</w:t>
      </w:r>
      <w:r>
        <w:rPr>
          <w:spacing w:val="5"/>
          <w:w w:val="105"/>
          <w:sz w:val="21"/>
        </w:rPr>
        <w:t> </w:t>
      </w:r>
      <w:r>
        <w:rPr>
          <w:spacing w:val="-3"/>
          <w:w w:val="105"/>
          <w:sz w:val="21"/>
        </w:rPr>
        <w:t>trespass:</w:t>
      </w:r>
      <w:r>
        <w:rPr>
          <w:spacing w:val="-3"/>
          <w:w w:val="105"/>
          <w:position w:val="7"/>
          <w:sz w:val="12"/>
        </w:rPr>
        <w:t>136</w:t>
      </w:r>
    </w:p>
    <w:p>
      <w:pPr>
        <w:pStyle w:val="ListParagraph"/>
        <w:numPr>
          <w:ilvl w:val="2"/>
          <w:numId w:val="16"/>
        </w:numPr>
        <w:tabs>
          <w:tab w:pos="2721" w:val="left" w:leader="none"/>
          <w:tab w:pos="2722" w:val="left" w:leader="none"/>
        </w:tabs>
        <w:spacing w:line="242" w:lineRule="auto" w:before="124" w:after="0"/>
        <w:ind w:left="2721" w:right="2097" w:hanging="340"/>
        <w:jc w:val="left"/>
        <w:rPr>
          <w:sz w:val="12"/>
        </w:rPr>
      </w:pPr>
      <w:r>
        <w:rPr>
          <w:sz w:val="21"/>
        </w:rPr>
        <w:t>Necessity—a belief </w:t>
      </w:r>
      <w:r>
        <w:rPr>
          <w:spacing w:val="-3"/>
          <w:sz w:val="21"/>
        </w:rPr>
        <w:t>that </w:t>
      </w:r>
      <w:r>
        <w:rPr>
          <w:sz w:val="21"/>
        </w:rPr>
        <w:t>the trespass was </w:t>
      </w:r>
      <w:r>
        <w:rPr>
          <w:spacing w:val="-3"/>
          <w:sz w:val="21"/>
        </w:rPr>
        <w:t>reasonably </w:t>
      </w:r>
      <w:r>
        <w:rPr>
          <w:sz w:val="21"/>
        </w:rPr>
        <w:t>necessary </w:t>
      </w:r>
      <w:r>
        <w:rPr>
          <w:spacing w:val="-3"/>
          <w:sz w:val="21"/>
        </w:rPr>
        <w:t>to </w:t>
      </w:r>
      <w:r>
        <w:rPr>
          <w:sz w:val="21"/>
        </w:rPr>
        <w:t>preserve </w:t>
      </w:r>
      <w:r>
        <w:rPr>
          <w:spacing w:val="-3"/>
          <w:sz w:val="21"/>
        </w:rPr>
        <w:t>life </w:t>
      </w:r>
      <w:r>
        <w:rPr>
          <w:sz w:val="21"/>
        </w:rPr>
        <w:t>or protect property </w:t>
      </w:r>
      <w:r>
        <w:rPr>
          <w:spacing w:val="-3"/>
          <w:sz w:val="21"/>
        </w:rPr>
        <w:t>from real </w:t>
      </w:r>
      <w:r>
        <w:rPr>
          <w:sz w:val="21"/>
        </w:rPr>
        <w:t>and </w:t>
      </w:r>
      <w:r>
        <w:rPr>
          <w:spacing w:val="-3"/>
          <w:sz w:val="21"/>
        </w:rPr>
        <w:t>imminent</w:t>
      </w:r>
      <w:r>
        <w:rPr>
          <w:spacing w:val="21"/>
          <w:sz w:val="21"/>
        </w:rPr>
        <w:t> </w:t>
      </w:r>
      <w:r>
        <w:rPr>
          <w:spacing w:val="-5"/>
          <w:sz w:val="21"/>
        </w:rPr>
        <w:t>harm.</w:t>
      </w:r>
      <w:r>
        <w:rPr>
          <w:spacing w:val="-5"/>
          <w:position w:val="7"/>
          <w:sz w:val="12"/>
        </w:rPr>
        <w:t>137</w:t>
      </w:r>
    </w:p>
    <w:p>
      <w:pPr>
        <w:pStyle w:val="BodyText"/>
        <w:rPr>
          <w:sz w:val="20"/>
        </w:rPr>
      </w:pPr>
    </w:p>
    <w:p>
      <w:pPr>
        <w:pStyle w:val="BodyText"/>
        <w:spacing w:before="3"/>
        <w:rPr>
          <w:sz w:val="22"/>
        </w:rPr>
      </w:pPr>
      <w:r>
        <w:rPr/>
        <w:pict>
          <v:line style="position:absolute;mso-position-horizontal-relative:page;mso-position-vertical-relative:paragraph;z-index:1424;mso-wrap-distance-left:0;mso-wrap-distance-right:0" from="79.370102pt,16.074558pt" to="515.905102pt,16.074558pt" stroked="true" strokeweight="1pt" strokecolor="#c9d2cb">
            <v:stroke dashstyle="solid"/>
            <w10:wrap type="topAndBottom"/>
          </v:line>
        </w:pict>
      </w:r>
    </w:p>
    <w:p>
      <w:pPr>
        <w:pStyle w:val="ListParagraph"/>
        <w:numPr>
          <w:ilvl w:val="0"/>
          <w:numId w:val="29"/>
        </w:numPr>
        <w:tabs>
          <w:tab w:pos="2380" w:val="left" w:leader="none"/>
          <w:tab w:pos="2382" w:val="left" w:leader="none"/>
        </w:tabs>
        <w:spacing w:line="240" w:lineRule="auto" w:before="117" w:after="0"/>
        <w:ind w:left="2381" w:right="1719" w:hanging="794"/>
        <w:jc w:val="left"/>
        <w:rPr>
          <w:sz w:val="13"/>
        </w:rPr>
      </w:pPr>
      <w:r>
        <w:rPr>
          <w:sz w:val="13"/>
        </w:rPr>
        <w:t>A number of forms of trespass exist, including to land, </w:t>
      </w:r>
      <w:r>
        <w:rPr>
          <w:spacing w:val="2"/>
          <w:sz w:val="13"/>
        </w:rPr>
        <w:t>property </w:t>
      </w:r>
      <w:r>
        <w:rPr>
          <w:sz w:val="13"/>
        </w:rPr>
        <w:t>and to the person. For the purposes of this report, and unless the context   indicates</w:t>
      </w:r>
      <w:r>
        <w:rPr>
          <w:spacing w:val="8"/>
          <w:sz w:val="13"/>
        </w:rPr>
        <w:t> </w:t>
      </w:r>
      <w:r>
        <w:rPr>
          <w:sz w:val="13"/>
        </w:rPr>
        <w:t>otherwise,</w:t>
      </w:r>
      <w:r>
        <w:rPr>
          <w:spacing w:val="9"/>
          <w:sz w:val="13"/>
        </w:rPr>
        <w:t> </w:t>
      </w:r>
      <w:r>
        <w:rPr>
          <w:sz w:val="13"/>
        </w:rPr>
        <w:t>all</w:t>
      </w:r>
      <w:r>
        <w:rPr>
          <w:spacing w:val="8"/>
          <w:sz w:val="13"/>
        </w:rPr>
        <w:t> </w:t>
      </w:r>
      <w:r>
        <w:rPr>
          <w:sz w:val="13"/>
        </w:rPr>
        <w:t>references</w:t>
      </w:r>
      <w:r>
        <w:rPr>
          <w:spacing w:val="9"/>
          <w:sz w:val="13"/>
        </w:rPr>
        <w:t> </w:t>
      </w:r>
      <w:r>
        <w:rPr>
          <w:sz w:val="13"/>
        </w:rPr>
        <w:t>to</w:t>
      </w:r>
      <w:r>
        <w:rPr>
          <w:spacing w:val="8"/>
          <w:sz w:val="13"/>
        </w:rPr>
        <w:t> </w:t>
      </w:r>
      <w:r>
        <w:rPr>
          <w:sz w:val="13"/>
        </w:rPr>
        <w:t>‘trespass’</w:t>
      </w:r>
      <w:r>
        <w:rPr>
          <w:spacing w:val="9"/>
          <w:sz w:val="13"/>
        </w:rPr>
        <w:t> </w:t>
      </w:r>
      <w:r>
        <w:rPr>
          <w:sz w:val="13"/>
        </w:rPr>
        <w:t>should</w:t>
      </w:r>
      <w:r>
        <w:rPr>
          <w:spacing w:val="8"/>
          <w:sz w:val="13"/>
        </w:rPr>
        <w:t> </w:t>
      </w:r>
      <w:r>
        <w:rPr>
          <w:sz w:val="13"/>
        </w:rPr>
        <w:t>be</w:t>
      </w:r>
      <w:r>
        <w:rPr>
          <w:spacing w:val="9"/>
          <w:sz w:val="13"/>
        </w:rPr>
        <w:t> </w:t>
      </w:r>
      <w:r>
        <w:rPr>
          <w:sz w:val="13"/>
        </w:rPr>
        <w:t>considered</w:t>
      </w:r>
      <w:r>
        <w:rPr>
          <w:spacing w:val="8"/>
          <w:sz w:val="13"/>
        </w:rPr>
        <w:t> </w:t>
      </w:r>
      <w:r>
        <w:rPr>
          <w:sz w:val="13"/>
        </w:rPr>
        <w:t>to</w:t>
      </w:r>
      <w:r>
        <w:rPr>
          <w:spacing w:val="9"/>
          <w:sz w:val="13"/>
        </w:rPr>
        <w:t> </w:t>
      </w:r>
      <w:r>
        <w:rPr>
          <w:sz w:val="13"/>
        </w:rPr>
        <w:t>mean</w:t>
      </w:r>
      <w:r>
        <w:rPr>
          <w:spacing w:val="8"/>
          <w:sz w:val="13"/>
        </w:rPr>
        <w:t> </w:t>
      </w:r>
      <w:r>
        <w:rPr>
          <w:sz w:val="13"/>
        </w:rPr>
        <w:t>‘trespass</w:t>
      </w:r>
      <w:r>
        <w:rPr>
          <w:spacing w:val="9"/>
          <w:sz w:val="13"/>
        </w:rPr>
        <w:t> </w:t>
      </w:r>
      <w:r>
        <w:rPr>
          <w:sz w:val="13"/>
        </w:rPr>
        <w:t>to</w:t>
      </w:r>
      <w:r>
        <w:rPr>
          <w:spacing w:val="9"/>
          <w:sz w:val="13"/>
        </w:rPr>
        <w:t> </w:t>
      </w:r>
      <w:r>
        <w:rPr>
          <w:sz w:val="13"/>
        </w:rPr>
        <w:t>land’.</w:t>
      </w:r>
    </w:p>
    <w:p>
      <w:pPr>
        <w:pStyle w:val="ListParagraph"/>
        <w:numPr>
          <w:ilvl w:val="0"/>
          <w:numId w:val="29"/>
        </w:numPr>
        <w:tabs>
          <w:tab w:pos="2380" w:val="left" w:leader="none"/>
          <w:tab w:pos="2382" w:val="left" w:leader="none"/>
        </w:tabs>
        <w:spacing w:line="240" w:lineRule="auto" w:before="3" w:after="0"/>
        <w:ind w:left="2381" w:right="1791" w:hanging="794"/>
        <w:jc w:val="left"/>
        <w:rPr>
          <w:sz w:val="13"/>
        </w:rPr>
      </w:pPr>
      <w:r>
        <w:rPr>
          <w:w w:val="105"/>
          <w:sz w:val="13"/>
        </w:rPr>
        <w:t>See generally </w:t>
      </w:r>
      <w:r>
        <w:rPr>
          <w:i/>
          <w:w w:val="105"/>
          <w:sz w:val="13"/>
        </w:rPr>
        <w:t>Plenty v Dillon </w:t>
      </w:r>
      <w:r>
        <w:rPr>
          <w:w w:val="105"/>
          <w:sz w:val="13"/>
        </w:rPr>
        <w:t>(1991) </w:t>
      </w:r>
      <w:r>
        <w:rPr>
          <w:spacing w:val="-4"/>
          <w:w w:val="105"/>
          <w:sz w:val="13"/>
        </w:rPr>
        <w:t>171 </w:t>
      </w:r>
      <w:r>
        <w:rPr>
          <w:w w:val="105"/>
          <w:sz w:val="13"/>
        </w:rPr>
        <w:t>CLR 635; see also LexisNexis, </w:t>
      </w:r>
      <w:r>
        <w:rPr>
          <w:i/>
          <w:w w:val="105"/>
          <w:sz w:val="13"/>
        </w:rPr>
        <w:t>Halsbury’s Laws of Australia </w:t>
      </w:r>
      <w:r>
        <w:rPr>
          <w:w w:val="105"/>
          <w:sz w:val="13"/>
        </w:rPr>
        <w:t>(at 21 March 2018) </w:t>
      </w:r>
      <w:r>
        <w:rPr>
          <w:spacing w:val="-3"/>
          <w:w w:val="105"/>
          <w:sz w:val="13"/>
        </w:rPr>
        <w:t>[415 </w:t>
      </w:r>
      <w:r>
        <w:rPr>
          <w:spacing w:val="2"/>
          <w:w w:val="105"/>
          <w:sz w:val="13"/>
        </w:rPr>
        <w:t>Tort], </w:t>
      </w:r>
      <w:r>
        <w:rPr>
          <w:w w:val="105"/>
          <w:sz w:val="13"/>
        </w:rPr>
        <w:t>‘2 Torts Derived from Trespass’</w:t>
      </w:r>
      <w:r>
        <w:rPr>
          <w:spacing w:val="13"/>
          <w:w w:val="105"/>
          <w:sz w:val="13"/>
        </w:rPr>
        <w:t> </w:t>
      </w:r>
      <w:r>
        <w:rPr>
          <w:spacing w:val="2"/>
          <w:w w:val="105"/>
          <w:sz w:val="13"/>
        </w:rPr>
        <w:t>[415-480].</w:t>
      </w:r>
    </w:p>
    <w:p>
      <w:pPr>
        <w:pStyle w:val="ListParagraph"/>
        <w:numPr>
          <w:ilvl w:val="0"/>
          <w:numId w:val="29"/>
        </w:numPr>
        <w:tabs>
          <w:tab w:pos="2380" w:val="left" w:leader="none"/>
          <w:tab w:pos="2382" w:val="left" w:leader="none"/>
        </w:tabs>
        <w:spacing w:line="240" w:lineRule="auto" w:before="2" w:after="0"/>
        <w:ind w:left="2381" w:right="1639" w:hanging="794"/>
        <w:jc w:val="left"/>
        <w:rPr>
          <w:sz w:val="13"/>
        </w:rPr>
      </w:pPr>
      <w:r>
        <w:rPr>
          <w:w w:val="105"/>
          <w:sz w:val="13"/>
        </w:rPr>
        <w:t>See LexisNexis, </w:t>
      </w:r>
      <w:r>
        <w:rPr>
          <w:i/>
          <w:w w:val="105"/>
          <w:sz w:val="13"/>
        </w:rPr>
        <w:t>Halsbury’s The Laws of Australia </w:t>
      </w:r>
      <w:r>
        <w:rPr>
          <w:w w:val="105"/>
          <w:sz w:val="13"/>
        </w:rPr>
        <w:t>(at 21 March 2018) </w:t>
      </w:r>
      <w:r>
        <w:rPr>
          <w:spacing w:val="-4"/>
          <w:w w:val="105"/>
          <w:sz w:val="13"/>
        </w:rPr>
        <w:t>415  </w:t>
      </w:r>
      <w:r>
        <w:rPr>
          <w:w w:val="105"/>
          <w:sz w:val="13"/>
        </w:rPr>
        <w:t>Tort, ‘Unjustified Entry’ </w:t>
      </w:r>
      <w:r>
        <w:rPr>
          <w:spacing w:val="2"/>
          <w:w w:val="105"/>
          <w:sz w:val="13"/>
        </w:rPr>
        <w:t>[415-480] </w:t>
      </w:r>
      <w:r>
        <w:rPr>
          <w:w w:val="105"/>
          <w:sz w:val="13"/>
        </w:rPr>
        <w:t>citing </w:t>
      </w:r>
      <w:r>
        <w:rPr>
          <w:i/>
          <w:w w:val="105"/>
          <w:sz w:val="13"/>
        </w:rPr>
        <w:t>Entick v Carrington </w:t>
      </w:r>
      <w:r>
        <w:rPr>
          <w:w w:val="105"/>
          <w:sz w:val="13"/>
        </w:rPr>
        <w:t>(1765)</w:t>
      </w:r>
      <w:r>
        <w:rPr>
          <w:spacing w:val="30"/>
          <w:w w:val="105"/>
          <w:sz w:val="13"/>
        </w:rPr>
        <w:t> </w:t>
      </w:r>
      <w:r>
        <w:rPr>
          <w:spacing w:val="-3"/>
          <w:w w:val="105"/>
          <w:sz w:val="13"/>
        </w:rPr>
        <w:t>19  </w:t>
      </w:r>
      <w:r>
        <w:rPr>
          <w:w w:val="105"/>
          <w:sz w:val="13"/>
        </w:rPr>
        <w:t>St. </w:t>
      </w:r>
      <w:r>
        <w:rPr>
          <w:spacing w:val="-4"/>
          <w:w w:val="105"/>
          <w:sz w:val="13"/>
        </w:rPr>
        <w:t>Tr.  </w:t>
      </w:r>
      <w:r>
        <w:rPr>
          <w:w w:val="105"/>
          <w:sz w:val="13"/>
        </w:rPr>
        <w:t>1030; 95 ER 807; </w:t>
      </w:r>
      <w:r>
        <w:rPr>
          <w:i/>
          <w:w w:val="105"/>
          <w:sz w:val="13"/>
        </w:rPr>
        <w:t>Dumont v Miller </w:t>
      </w:r>
      <w:r>
        <w:rPr>
          <w:w w:val="105"/>
          <w:sz w:val="13"/>
        </w:rPr>
        <w:t>(1873) 4 </w:t>
      </w:r>
      <w:r>
        <w:rPr>
          <w:spacing w:val="3"/>
          <w:w w:val="105"/>
          <w:sz w:val="13"/>
        </w:rPr>
        <w:t>AJR </w:t>
      </w:r>
      <w:r>
        <w:rPr>
          <w:w w:val="105"/>
          <w:sz w:val="13"/>
        </w:rPr>
        <w:t>152; </w:t>
      </w:r>
      <w:r>
        <w:rPr>
          <w:i/>
          <w:w w:val="105"/>
          <w:sz w:val="13"/>
        </w:rPr>
        <w:t>Plenty v Dillon </w:t>
      </w:r>
      <w:r>
        <w:rPr>
          <w:w w:val="105"/>
          <w:sz w:val="13"/>
        </w:rPr>
        <w:t>(1991) </w:t>
      </w:r>
      <w:r>
        <w:rPr>
          <w:spacing w:val="-4"/>
          <w:w w:val="105"/>
          <w:sz w:val="13"/>
        </w:rPr>
        <w:t>171  </w:t>
      </w:r>
      <w:r>
        <w:rPr>
          <w:w w:val="105"/>
          <w:sz w:val="13"/>
        </w:rPr>
        <w:t>CLR 635 at 639; see also </w:t>
      </w:r>
      <w:r>
        <w:rPr>
          <w:i/>
          <w:w w:val="105"/>
          <w:sz w:val="13"/>
        </w:rPr>
        <w:t>Summary Offences Act    </w:t>
      </w:r>
      <w:r>
        <w:rPr>
          <w:i/>
          <w:w w:val="105"/>
          <w:sz w:val="13"/>
        </w:rPr>
        <w:t>1966 </w:t>
      </w:r>
      <w:r>
        <w:rPr>
          <w:spacing w:val="2"/>
          <w:w w:val="105"/>
          <w:sz w:val="13"/>
        </w:rPr>
        <w:t>(Vic) </w:t>
      </w:r>
      <w:r>
        <w:rPr>
          <w:w w:val="105"/>
          <w:sz w:val="13"/>
        </w:rPr>
        <w:t>s</w:t>
      </w:r>
      <w:r>
        <w:rPr>
          <w:spacing w:val="11"/>
          <w:w w:val="105"/>
          <w:sz w:val="13"/>
        </w:rPr>
        <w:t> </w:t>
      </w:r>
      <w:r>
        <w:rPr>
          <w:spacing w:val="3"/>
          <w:w w:val="105"/>
          <w:sz w:val="13"/>
        </w:rPr>
        <w:t>9(1)(e).</w:t>
      </w:r>
    </w:p>
    <w:p>
      <w:pPr>
        <w:pStyle w:val="ListParagraph"/>
        <w:numPr>
          <w:ilvl w:val="0"/>
          <w:numId w:val="29"/>
        </w:numPr>
        <w:tabs>
          <w:tab w:pos="2380" w:val="left" w:leader="none"/>
          <w:tab w:pos="2382" w:val="left" w:leader="none"/>
        </w:tabs>
        <w:spacing w:line="240" w:lineRule="auto" w:before="4" w:after="0"/>
        <w:ind w:left="2381" w:right="0" w:hanging="794"/>
        <w:jc w:val="left"/>
        <w:rPr>
          <w:sz w:val="13"/>
        </w:rPr>
      </w:pPr>
      <w:r>
        <w:rPr>
          <w:w w:val="105"/>
          <w:sz w:val="13"/>
        </w:rPr>
        <w:t>See,</w:t>
      </w:r>
      <w:r>
        <w:rPr>
          <w:spacing w:val="5"/>
          <w:w w:val="105"/>
          <w:sz w:val="13"/>
        </w:rPr>
        <w:t> </w:t>
      </w:r>
      <w:r>
        <w:rPr>
          <w:w w:val="105"/>
          <w:sz w:val="13"/>
        </w:rPr>
        <w:t>eg,</w:t>
      </w:r>
      <w:r>
        <w:rPr>
          <w:spacing w:val="5"/>
          <w:w w:val="105"/>
          <w:sz w:val="13"/>
        </w:rPr>
        <w:t> </w:t>
      </w:r>
      <w:r>
        <w:rPr>
          <w:i/>
          <w:w w:val="105"/>
          <w:sz w:val="13"/>
        </w:rPr>
        <w:t>Gazzard</w:t>
      </w:r>
      <w:r>
        <w:rPr>
          <w:i/>
          <w:spacing w:val="5"/>
          <w:w w:val="105"/>
          <w:sz w:val="13"/>
        </w:rPr>
        <w:t> </w:t>
      </w:r>
      <w:r>
        <w:rPr>
          <w:i/>
          <w:w w:val="105"/>
          <w:sz w:val="13"/>
        </w:rPr>
        <w:t>v</w:t>
      </w:r>
      <w:r>
        <w:rPr>
          <w:i/>
          <w:spacing w:val="5"/>
          <w:w w:val="105"/>
          <w:sz w:val="13"/>
        </w:rPr>
        <w:t> </w:t>
      </w:r>
      <w:r>
        <w:rPr>
          <w:i/>
          <w:w w:val="105"/>
          <w:sz w:val="13"/>
        </w:rPr>
        <w:t>Hutchesson</w:t>
      </w:r>
      <w:r>
        <w:rPr>
          <w:i/>
          <w:spacing w:val="5"/>
          <w:w w:val="105"/>
          <w:sz w:val="13"/>
        </w:rPr>
        <w:t> </w:t>
      </w:r>
      <w:r>
        <w:rPr>
          <w:w w:val="105"/>
          <w:sz w:val="13"/>
        </w:rPr>
        <w:t>(1995)</w:t>
      </w:r>
      <w:r>
        <w:rPr>
          <w:spacing w:val="5"/>
          <w:w w:val="105"/>
          <w:sz w:val="13"/>
        </w:rPr>
        <w:t> </w:t>
      </w:r>
      <w:r>
        <w:rPr>
          <w:w w:val="105"/>
          <w:sz w:val="13"/>
        </w:rPr>
        <w:t>Aust</w:t>
      </w:r>
      <w:r>
        <w:rPr>
          <w:spacing w:val="5"/>
          <w:w w:val="105"/>
          <w:sz w:val="13"/>
        </w:rPr>
        <w:t> </w:t>
      </w:r>
      <w:r>
        <w:rPr>
          <w:w w:val="105"/>
          <w:sz w:val="13"/>
        </w:rPr>
        <w:t>Torts</w:t>
      </w:r>
      <w:r>
        <w:rPr>
          <w:spacing w:val="5"/>
          <w:w w:val="105"/>
          <w:sz w:val="13"/>
        </w:rPr>
        <w:t> </w:t>
      </w:r>
      <w:r>
        <w:rPr>
          <w:spacing w:val="2"/>
          <w:w w:val="105"/>
          <w:sz w:val="13"/>
        </w:rPr>
        <w:t>Reports</w:t>
      </w:r>
      <w:r>
        <w:rPr>
          <w:spacing w:val="5"/>
          <w:w w:val="105"/>
          <w:sz w:val="13"/>
        </w:rPr>
        <w:t> </w:t>
      </w:r>
      <w:r>
        <w:rPr>
          <w:spacing w:val="-3"/>
          <w:w w:val="105"/>
          <w:sz w:val="13"/>
        </w:rPr>
        <w:t>81–337,</w:t>
      </w:r>
      <w:r>
        <w:rPr>
          <w:spacing w:val="5"/>
          <w:w w:val="105"/>
          <w:sz w:val="13"/>
        </w:rPr>
        <w:t> </w:t>
      </w:r>
      <w:r>
        <w:rPr>
          <w:w w:val="105"/>
          <w:sz w:val="13"/>
        </w:rPr>
        <w:t>62,360.</w:t>
      </w:r>
    </w:p>
    <w:p>
      <w:pPr>
        <w:pStyle w:val="ListParagraph"/>
        <w:numPr>
          <w:ilvl w:val="0"/>
          <w:numId w:val="29"/>
        </w:numPr>
        <w:tabs>
          <w:tab w:pos="2380" w:val="left" w:leader="none"/>
          <w:tab w:pos="2382" w:val="left" w:leader="none"/>
        </w:tabs>
        <w:spacing w:line="240" w:lineRule="auto" w:before="2" w:after="0"/>
        <w:ind w:left="2381" w:right="0" w:hanging="794"/>
        <w:jc w:val="left"/>
        <w:rPr>
          <w:sz w:val="13"/>
        </w:rPr>
      </w:pPr>
      <w:r>
        <w:rPr>
          <w:w w:val="105"/>
          <w:sz w:val="13"/>
        </w:rPr>
        <w:t>Kit</w:t>
      </w:r>
      <w:r>
        <w:rPr>
          <w:spacing w:val="4"/>
          <w:w w:val="105"/>
          <w:sz w:val="13"/>
        </w:rPr>
        <w:t> </w:t>
      </w:r>
      <w:r>
        <w:rPr>
          <w:w w:val="105"/>
          <w:sz w:val="13"/>
        </w:rPr>
        <w:t>Barker,</w:t>
      </w:r>
      <w:r>
        <w:rPr>
          <w:spacing w:val="4"/>
          <w:w w:val="105"/>
          <w:sz w:val="13"/>
        </w:rPr>
        <w:t> </w:t>
      </w:r>
      <w:r>
        <w:rPr>
          <w:w w:val="105"/>
          <w:sz w:val="13"/>
        </w:rPr>
        <w:t>Peter</w:t>
      </w:r>
      <w:r>
        <w:rPr>
          <w:spacing w:val="4"/>
          <w:w w:val="105"/>
          <w:sz w:val="13"/>
        </w:rPr>
        <w:t> </w:t>
      </w:r>
      <w:r>
        <w:rPr>
          <w:w w:val="105"/>
          <w:sz w:val="13"/>
        </w:rPr>
        <w:t>Cane,</w:t>
      </w:r>
      <w:r>
        <w:rPr>
          <w:spacing w:val="4"/>
          <w:w w:val="105"/>
          <w:sz w:val="13"/>
        </w:rPr>
        <w:t> </w:t>
      </w:r>
      <w:r>
        <w:rPr>
          <w:w w:val="105"/>
          <w:sz w:val="13"/>
        </w:rPr>
        <w:t>Mark</w:t>
      </w:r>
      <w:r>
        <w:rPr>
          <w:spacing w:val="5"/>
          <w:w w:val="105"/>
          <w:sz w:val="13"/>
        </w:rPr>
        <w:t> </w:t>
      </w:r>
      <w:r>
        <w:rPr>
          <w:w w:val="105"/>
          <w:sz w:val="13"/>
        </w:rPr>
        <w:t>Lunney</w:t>
      </w:r>
      <w:r>
        <w:rPr>
          <w:spacing w:val="4"/>
          <w:w w:val="105"/>
          <w:sz w:val="13"/>
        </w:rPr>
        <w:t> </w:t>
      </w:r>
      <w:r>
        <w:rPr>
          <w:w w:val="105"/>
          <w:sz w:val="13"/>
        </w:rPr>
        <w:t>and</w:t>
      </w:r>
      <w:r>
        <w:rPr>
          <w:spacing w:val="4"/>
          <w:w w:val="105"/>
          <w:sz w:val="13"/>
        </w:rPr>
        <w:t> </w:t>
      </w:r>
      <w:r>
        <w:rPr>
          <w:w w:val="105"/>
          <w:sz w:val="13"/>
        </w:rPr>
        <w:t>Francis</w:t>
      </w:r>
      <w:r>
        <w:rPr>
          <w:spacing w:val="4"/>
          <w:w w:val="105"/>
          <w:sz w:val="13"/>
        </w:rPr>
        <w:t> </w:t>
      </w:r>
      <w:r>
        <w:rPr>
          <w:w w:val="105"/>
          <w:sz w:val="13"/>
        </w:rPr>
        <w:t>Trindade,</w:t>
      </w:r>
      <w:r>
        <w:rPr>
          <w:spacing w:val="5"/>
          <w:w w:val="105"/>
          <w:sz w:val="13"/>
        </w:rPr>
        <w:t> </w:t>
      </w:r>
      <w:r>
        <w:rPr>
          <w:i/>
          <w:w w:val="105"/>
          <w:sz w:val="13"/>
        </w:rPr>
        <w:t>The</w:t>
      </w:r>
      <w:r>
        <w:rPr>
          <w:i/>
          <w:spacing w:val="4"/>
          <w:w w:val="105"/>
          <w:sz w:val="13"/>
        </w:rPr>
        <w:t> </w:t>
      </w:r>
      <w:r>
        <w:rPr>
          <w:i/>
          <w:w w:val="105"/>
          <w:sz w:val="13"/>
        </w:rPr>
        <w:t>Law</w:t>
      </w:r>
      <w:r>
        <w:rPr>
          <w:i/>
          <w:spacing w:val="4"/>
          <w:w w:val="105"/>
          <w:sz w:val="13"/>
        </w:rPr>
        <w:t> </w:t>
      </w:r>
      <w:r>
        <w:rPr>
          <w:i/>
          <w:w w:val="105"/>
          <w:sz w:val="13"/>
        </w:rPr>
        <w:t>of</w:t>
      </w:r>
      <w:r>
        <w:rPr>
          <w:i/>
          <w:spacing w:val="4"/>
          <w:w w:val="105"/>
          <w:sz w:val="13"/>
        </w:rPr>
        <w:t> </w:t>
      </w:r>
      <w:r>
        <w:rPr>
          <w:i/>
          <w:w w:val="105"/>
          <w:sz w:val="13"/>
        </w:rPr>
        <w:t>Torts</w:t>
      </w:r>
      <w:r>
        <w:rPr>
          <w:i/>
          <w:spacing w:val="5"/>
          <w:w w:val="105"/>
          <w:sz w:val="13"/>
        </w:rPr>
        <w:t> </w:t>
      </w:r>
      <w:r>
        <w:rPr>
          <w:i/>
          <w:w w:val="105"/>
          <w:sz w:val="13"/>
        </w:rPr>
        <w:t>in</w:t>
      </w:r>
      <w:r>
        <w:rPr>
          <w:i/>
          <w:spacing w:val="4"/>
          <w:w w:val="105"/>
          <w:sz w:val="13"/>
        </w:rPr>
        <w:t> </w:t>
      </w:r>
      <w:r>
        <w:rPr>
          <w:i/>
          <w:w w:val="105"/>
          <w:sz w:val="13"/>
        </w:rPr>
        <w:t>Australia</w:t>
      </w:r>
      <w:r>
        <w:rPr>
          <w:i/>
          <w:spacing w:val="4"/>
          <w:w w:val="105"/>
          <w:sz w:val="13"/>
        </w:rPr>
        <w:t> </w:t>
      </w:r>
      <w:r>
        <w:rPr>
          <w:spacing w:val="2"/>
          <w:w w:val="105"/>
          <w:sz w:val="13"/>
        </w:rPr>
        <w:t>(Oxford</w:t>
      </w:r>
      <w:r>
        <w:rPr>
          <w:spacing w:val="4"/>
          <w:w w:val="105"/>
          <w:sz w:val="13"/>
        </w:rPr>
        <w:t> </w:t>
      </w:r>
      <w:r>
        <w:rPr>
          <w:w w:val="105"/>
          <w:sz w:val="13"/>
        </w:rPr>
        <w:t>University</w:t>
      </w:r>
      <w:r>
        <w:rPr>
          <w:spacing w:val="4"/>
          <w:w w:val="105"/>
          <w:sz w:val="13"/>
        </w:rPr>
        <w:t> </w:t>
      </w:r>
      <w:r>
        <w:rPr>
          <w:w w:val="105"/>
          <w:sz w:val="13"/>
        </w:rPr>
        <w:t>Press,</w:t>
      </w:r>
      <w:r>
        <w:rPr>
          <w:spacing w:val="5"/>
          <w:w w:val="105"/>
          <w:sz w:val="13"/>
        </w:rPr>
        <w:t> </w:t>
      </w:r>
      <w:r>
        <w:rPr>
          <w:w w:val="105"/>
          <w:sz w:val="13"/>
        </w:rPr>
        <w:t>5th</w:t>
      </w:r>
      <w:r>
        <w:rPr>
          <w:spacing w:val="4"/>
          <w:w w:val="105"/>
          <w:sz w:val="13"/>
        </w:rPr>
        <w:t> </w:t>
      </w:r>
      <w:r>
        <w:rPr>
          <w:w w:val="105"/>
          <w:sz w:val="13"/>
        </w:rPr>
        <w:t>ed,</w:t>
      </w:r>
      <w:r>
        <w:rPr>
          <w:spacing w:val="4"/>
          <w:w w:val="105"/>
          <w:sz w:val="13"/>
        </w:rPr>
        <w:t> </w:t>
      </w:r>
      <w:r>
        <w:rPr>
          <w:w w:val="105"/>
          <w:sz w:val="13"/>
        </w:rPr>
        <w:t>2012)</w:t>
      </w:r>
      <w:r>
        <w:rPr>
          <w:spacing w:val="4"/>
          <w:w w:val="105"/>
          <w:sz w:val="13"/>
        </w:rPr>
        <w:t> </w:t>
      </w:r>
      <w:r>
        <w:rPr>
          <w:w w:val="105"/>
          <w:sz w:val="13"/>
        </w:rPr>
        <w:t>[4.2.1].</w:t>
      </w:r>
    </w:p>
    <w:p>
      <w:pPr>
        <w:pStyle w:val="ListParagraph"/>
        <w:numPr>
          <w:ilvl w:val="0"/>
          <w:numId w:val="29"/>
        </w:numPr>
        <w:tabs>
          <w:tab w:pos="2380" w:val="left" w:leader="none"/>
          <w:tab w:pos="2382" w:val="left" w:leader="none"/>
        </w:tabs>
        <w:spacing w:line="240" w:lineRule="auto" w:before="1" w:after="0"/>
        <w:ind w:left="2381" w:right="0" w:hanging="794"/>
        <w:jc w:val="left"/>
        <w:rPr>
          <w:sz w:val="13"/>
        </w:rPr>
      </w:pPr>
      <w:r>
        <w:rPr>
          <w:i/>
          <w:w w:val="105"/>
          <w:sz w:val="13"/>
        </w:rPr>
        <w:t>Plenty</w:t>
      </w:r>
      <w:r>
        <w:rPr>
          <w:i/>
          <w:spacing w:val="5"/>
          <w:w w:val="105"/>
          <w:sz w:val="13"/>
        </w:rPr>
        <w:t> </w:t>
      </w:r>
      <w:r>
        <w:rPr>
          <w:i/>
          <w:w w:val="105"/>
          <w:sz w:val="13"/>
        </w:rPr>
        <w:t>v</w:t>
      </w:r>
      <w:r>
        <w:rPr>
          <w:i/>
          <w:spacing w:val="6"/>
          <w:w w:val="105"/>
          <w:sz w:val="13"/>
        </w:rPr>
        <w:t> </w:t>
      </w:r>
      <w:r>
        <w:rPr>
          <w:i/>
          <w:w w:val="105"/>
          <w:sz w:val="13"/>
        </w:rPr>
        <w:t>Dillon</w:t>
      </w:r>
      <w:r>
        <w:rPr>
          <w:i/>
          <w:spacing w:val="5"/>
          <w:w w:val="105"/>
          <w:sz w:val="13"/>
        </w:rPr>
        <w:t> </w:t>
      </w:r>
      <w:r>
        <w:rPr>
          <w:w w:val="105"/>
          <w:sz w:val="13"/>
        </w:rPr>
        <w:t>(1991)</w:t>
      </w:r>
      <w:r>
        <w:rPr>
          <w:spacing w:val="6"/>
          <w:w w:val="105"/>
          <w:sz w:val="13"/>
        </w:rPr>
        <w:t> </w:t>
      </w:r>
      <w:r>
        <w:rPr>
          <w:spacing w:val="-4"/>
          <w:w w:val="105"/>
          <w:sz w:val="13"/>
        </w:rPr>
        <w:t>171</w:t>
      </w:r>
      <w:r>
        <w:rPr>
          <w:spacing w:val="6"/>
          <w:w w:val="105"/>
          <w:sz w:val="13"/>
        </w:rPr>
        <w:t> </w:t>
      </w:r>
      <w:r>
        <w:rPr>
          <w:w w:val="105"/>
          <w:sz w:val="13"/>
        </w:rPr>
        <w:t>CLR</w:t>
      </w:r>
      <w:r>
        <w:rPr>
          <w:spacing w:val="5"/>
          <w:w w:val="105"/>
          <w:sz w:val="13"/>
        </w:rPr>
        <w:t> </w:t>
      </w:r>
      <w:r>
        <w:rPr>
          <w:w w:val="105"/>
          <w:sz w:val="13"/>
        </w:rPr>
        <w:t>635,</w:t>
      </w:r>
      <w:r>
        <w:rPr>
          <w:spacing w:val="6"/>
          <w:w w:val="105"/>
          <w:sz w:val="13"/>
        </w:rPr>
        <w:t> </w:t>
      </w:r>
      <w:r>
        <w:rPr>
          <w:w w:val="105"/>
          <w:sz w:val="13"/>
        </w:rPr>
        <w:t>639</w:t>
      </w:r>
      <w:r>
        <w:rPr>
          <w:spacing w:val="5"/>
          <w:w w:val="105"/>
          <w:sz w:val="13"/>
        </w:rPr>
        <w:t> </w:t>
      </w:r>
      <w:r>
        <w:rPr>
          <w:w w:val="105"/>
          <w:sz w:val="13"/>
        </w:rPr>
        <w:t>citing</w:t>
      </w:r>
      <w:r>
        <w:rPr>
          <w:spacing w:val="6"/>
          <w:w w:val="105"/>
          <w:sz w:val="13"/>
        </w:rPr>
        <w:t> </w:t>
      </w:r>
      <w:r>
        <w:rPr>
          <w:i/>
          <w:w w:val="105"/>
          <w:sz w:val="13"/>
        </w:rPr>
        <w:t>Lord</w:t>
      </w:r>
      <w:r>
        <w:rPr>
          <w:i/>
          <w:spacing w:val="6"/>
          <w:w w:val="105"/>
          <w:sz w:val="13"/>
        </w:rPr>
        <w:t> </w:t>
      </w:r>
      <w:r>
        <w:rPr>
          <w:i/>
          <w:w w:val="105"/>
          <w:sz w:val="13"/>
        </w:rPr>
        <w:t>Camden</w:t>
      </w:r>
      <w:r>
        <w:rPr>
          <w:i/>
          <w:spacing w:val="5"/>
          <w:w w:val="105"/>
          <w:sz w:val="13"/>
        </w:rPr>
        <w:t> </w:t>
      </w:r>
      <w:r>
        <w:rPr>
          <w:i/>
          <w:w w:val="105"/>
          <w:sz w:val="13"/>
        </w:rPr>
        <w:t>LCJ</w:t>
      </w:r>
      <w:r>
        <w:rPr>
          <w:i/>
          <w:spacing w:val="6"/>
          <w:w w:val="105"/>
          <w:sz w:val="13"/>
        </w:rPr>
        <w:t> </w:t>
      </w:r>
      <w:r>
        <w:rPr>
          <w:i/>
          <w:w w:val="105"/>
          <w:sz w:val="13"/>
        </w:rPr>
        <w:t>in</w:t>
      </w:r>
      <w:r>
        <w:rPr>
          <w:i/>
          <w:spacing w:val="5"/>
          <w:w w:val="105"/>
          <w:sz w:val="13"/>
        </w:rPr>
        <w:t> </w:t>
      </w:r>
      <w:r>
        <w:rPr>
          <w:i/>
          <w:w w:val="105"/>
          <w:sz w:val="13"/>
        </w:rPr>
        <w:t>Entick</w:t>
      </w:r>
      <w:r>
        <w:rPr>
          <w:i/>
          <w:spacing w:val="6"/>
          <w:w w:val="105"/>
          <w:sz w:val="13"/>
        </w:rPr>
        <w:t> </w:t>
      </w:r>
      <w:r>
        <w:rPr>
          <w:i/>
          <w:w w:val="105"/>
          <w:sz w:val="13"/>
        </w:rPr>
        <w:t>v</w:t>
      </w:r>
      <w:r>
        <w:rPr>
          <w:i/>
          <w:spacing w:val="6"/>
          <w:w w:val="105"/>
          <w:sz w:val="13"/>
        </w:rPr>
        <w:t> </w:t>
      </w:r>
      <w:r>
        <w:rPr>
          <w:i/>
          <w:w w:val="105"/>
          <w:sz w:val="13"/>
        </w:rPr>
        <w:t>Carrington</w:t>
      </w:r>
      <w:r>
        <w:rPr>
          <w:i/>
          <w:spacing w:val="5"/>
          <w:w w:val="105"/>
          <w:sz w:val="13"/>
        </w:rPr>
        <w:t> </w:t>
      </w:r>
      <w:r>
        <w:rPr>
          <w:w w:val="105"/>
          <w:sz w:val="13"/>
        </w:rPr>
        <w:t>(1765)</w:t>
      </w:r>
      <w:r>
        <w:rPr>
          <w:spacing w:val="6"/>
          <w:w w:val="105"/>
          <w:sz w:val="13"/>
        </w:rPr>
        <w:t> </w:t>
      </w:r>
      <w:r>
        <w:rPr>
          <w:spacing w:val="-3"/>
          <w:w w:val="105"/>
          <w:sz w:val="13"/>
        </w:rPr>
        <w:t>19</w:t>
      </w:r>
      <w:r>
        <w:rPr>
          <w:spacing w:val="6"/>
          <w:w w:val="105"/>
          <w:sz w:val="13"/>
        </w:rPr>
        <w:t> </w:t>
      </w:r>
      <w:r>
        <w:rPr>
          <w:w w:val="105"/>
          <w:sz w:val="13"/>
        </w:rPr>
        <w:t>St.</w:t>
      </w:r>
      <w:r>
        <w:rPr>
          <w:spacing w:val="5"/>
          <w:w w:val="105"/>
          <w:sz w:val="13"/>
        </w:rPr>
        <w:t> </w:t>
      </w:r>
      <w:r>
        <w:rPr>
          <w:spacing w:val="-4"/>
          <w:w w:val="105"/>
          <w:sz w:val="13"/>
        </w:rPr>
        <w:t>Tr.</w:t>
      </w:r>
      <w:r>
        <w:rPr>
          <w:spacing w:val="6"/>
          <w:w w:val="105"/>
          <w:sz w:val="13"/>
        </w:rPr>
        <w:t> </w:t>
      </w:r>
      <w:r>
        <w:rPr>
          <w:w w:val="105"/>
          <w:sz w:val="13"/>
        </w:rPr>
        <w:t>1030;</w:t>
      </w:r>
      <w:r>
        <w:rPr>
          <w:spacing w:val="5"/>
          <w:w w:val="105"/>
          <w:sz w:val="13"/>
        </w:rPr>
        <w:t> </w:t>
      </w:r>
      <w:r>
        <w:rPr>
          <w:w w:val="105"/>
          <w:sz w:val="13"/>
        </w:rPr>
        <w:t>95</w:t>
      </w:r>
      <w:r>
        <w:rPr>
          <w:spacing w:val="6"/>
          <w:w w:val="105"/>
          <w:sz w:val="13"/>
        </w:rPr>
        <w:t> </w:t>
      </w:r>
      <w:r>
        <w:rPr>
          <w:w w:val="105"/>
          <w:sz w:val="13"/>
        </w:rPr>
        <w:t>ER</w:t>
      </w:r>
      <w:r>
        <w:rPr>
          <w:spacing w:val="6"/>
          <w:w w:val="105"/>
          <w:sz w:val="13"/>
        </w:rPr>
        <w:t> </w:t>
      </w:r>
      <w:r>
        <w:rPr>
          <w:w w:val="105"/>
          <w:sz w:val="13"/>
        </w:rPr>
        <w:t>807.</w:t>
      </w:r>
    </w:p>
    <w:p>
      <w:pPr>
        <w:pStyle w:val="ListParagraph"/>
        <w:numPr>
          <w:ilvl w:val="0"/>
          <w:numId w:val="29"/>
        </w:numPr>
        <w:tabs>
          <w:tab w:pos="2381" w:val="left" w:leader="none"/>
          <w:tab w:pos="2382" w:val="left" w:leader="none"/>
        </w:tabs>
        <w:spacing w:line="240" w:lineRule="auto" w:before="1" w:after="0"/>
        <w:ind w:left="2381" w:right="0" w:hanging="794"/>
        <w:jc w:val="left"/>
        <w:rPr>
          <w:i/>
          <w:sz w:val="13"/>
        </w:rPr>
      </w:pPr>
      <w:r>
        <w:rPr>
          <w:i/>
          <w:w w:val="105"/>
          <w:sz w:val="13"/>
        </w:rPr>
        <w:t>Plenty</w:t>
      </w:r>
      <w:r>
        <w:rPr>
          <w:i/>
          <w:spacing w:val="5"/>
          <w:w w:val="105"/>
          <w:sz w:val="13"/>
        </w:rPr>
        <w:t> </w:t>
      </w:r>
      <w:r>
        <w:rPr>
          <w:i/>
          <w:w w:val="105"/>
          <w:sz w:val="13"/>
        </w:rPr>
        <w:t>v</w:t>
      </w:r>
      <w:r>
        <w:rPr>
          <w:i/>
          <w:spacing w:val="5"/>
          <w:w w:val="105"/>
          <w:sz w:val="13"/>
        </w:rPr>
        <w:t> </w:t>
      </w:r>
      <w:r>
        <w:rPr>
          <w:i/>
          <w:w w:val="105"/>
          <w:sz w:val="13"/>
        </w:rPr>
        <w:t>Dillon</w:t>
      </w:r>
      <w:r>
        <w:rPr>
          <w:i/>
          <w:spacing w:val="5"/>
          <w:w w:val="105"/>
          <w:sz w:val="13"/>
        </w:rPr>
        <w:t> </w:t>
      </w:r>
      <w:r>
        <w:rPr>
          <w:w w:val="105"/>
          <w:sz w:val="13"/>
        </w:rPr>
        <w:t>(1991)</w:t>
      </w:r>
      <w:r>
        <w:rPr>
          <w:spacing w:val="6"/>
          <w:w w:val="105"/>
          <w:sz w:val="13"/>
        </w:rPr>
        <w:t> </w:t>
      </w:r>
      <w:r>
        <w:rPr>
          <w:spacing w:val="-4"/>
          <w:w w:val="105"/>
          <w:sz w:val="13"/>
        </w:rPr>
        <w:t>171</w:t>
      </w:r>
      <w:r>
        <w:rPr>
          <w:spacing w:val="5"/>
          <w:w w:val="105"/>
          <w:sz w:val="13"/>
        </w:rPr>
        <w:t> </w:t>
      </w:r>
      <w:r>
        <w:rPr>
          <w:w w:val="105"/>
          <w:sz w:val="13"/>
        </w:rPr>
        <w:t>CLR</w:t>
      </w:r>
      <w:r>
        <w:rPr>
          <w:spacing w:val="5"/>
          <w:w w:val="105"/>
          <w:sz w:val="13"/>
        </w:rPr>
        <w:t> </w:t>
      </w:r>
      <w:r>
        <w:rPr>
          <w:w w:val="105"/>
          <w:sz w:val="13"/>
        </w:rPr>
        <w:t>635,</w:t>
      </w:r>
      <w:r>
        <w:rPr>
          <w:spacing w:val="5"/>
          <w:w w:val="105"/>
          <w:sz w:val="13"/>
        </w:rPr>
        <w:t> </w:t>
      </w:r>
      <w:r>
        <w:rPr>
          <w:w w:val="105"/>
          <w:sz w:val="13"/>
        </w:rPr>
        <w:t>645,</w:t>
      </w:r>
      <w:r>
        <w:rPr>
          <w:spacing w:val="6"/>
          <w:w w:val="105"/>
          <w:sz w:val="13"/>
        </w:rPr>
        <w:t> </w:t>
      </w:r>
      <w:r>
        <w:rPr>
          <w:spacing w:val="2"/>
          <w:w w:val="105"/>
          <w:sz w:val="13"/>
        </w:rPr>
        <w:t>654–55;</w:t>
      </w:r>
      <w:r>
        <w:rPr>
          <w:spacing w:val="5"/>
          <w:w w:val="105"/>
          <w:sz w:val="13"/>
        </w:rPr>
        <w:t> </w:t>
      </w:r>
      <w:r>
        <w:rPr>
          <w:w w:val="105"/>
          <w:sz w:val="13"/>
        </w:rPr>
        <w:t>Kit</w:t>
      </w:r>
      <w:r>
        <w:rPr>
          <w:spacing w:val="5"/>
          <w:w w:val="105"/>
          <w:sz w:val="13"/>
        </w:rPr>
        <w:t> </w:t>
      </w:r>
      <w:r>
        <w:rPr>
          <w:w w:val="105"/>
          <w:sz w:val="13"/>
        </w:rPr>
        <w:t>Barker,</w:t>
      </w:r>
      <w:r>
        <w:rPr>
          <w:spacing w:val="5"/>
          <w:w w:val="105"/>
          <w:sz w:val="13"/>
        </w:rPr>
        <w:t> </w:t>
      </w:r>
      <w:r>
        <w:rPr>
          <w:w w:val="105"/>
          <w:sz w:val="13"/>
        </w:rPr>
        <w:t>Peter</w:t>
      </w:r>
      <w:r>
        <w:rPr>
          <w:spacing w:val="6"/>
          <w:w w:val="105"/>
          <w:sz w:val="13"/>
        </w:rPr>
        <w:t> </w:t>
      </w:r>
      <w:r>
        <w:rPr>
          <w:w w:val="105"/>
          <w:sz w:val="13"/>
        </w:rPr>
        <w:t>Cane,</w:t>
      </w:r>
      <w:r>
        <w:rPr>
          <w:spacing w:val="5"/>
          <w:w w:val="105"/>
          <w:sz w:val="13"/>
        </w:rPr>
        <w:t> </w:t>
      </w:r>
      <w:r>
        <w:rPr>
          <w:w w:val="105"/>
          <w:sz w:val="13"/>
        </w:rPr>
        <w:t>Mark</w:t>
      </w:r>
      <w:r>
        <w:rPr>
          <w:spacing w:val="5"/>
          <w:w w:val="105"/>
          <w:sz w:val="13"/>
        </w:rPr>
        <w:t> </w:t>
      </w:r>
      <w:r>
        <w:rPr>
          <w:w w:val="105"/>
          <w:sz w:val="13"/>
        </w:rPr>
        <w:t>Lunney</w:t>
      </w:r>
      <w:r>
        <w:rPr>
          <w:spacing w:val="5"/>
          <w:w w:val="105"/>
          <w:sz w:val="13"/>
        </w:rPr>
        <w:t> </w:t>
      </w:r>
      <w:r>
        <w:rPr>
          <w:w w:val="105"/>
          <w:sz w:val="13"/>
        </w:rPr>
        <w:t>and</w:t>
      </w:r>
      <w:r>
        <w:rPr>
          <w:spacing w:val="5"/>
          <w:w w:val="105"/>
          <w:sz w:val="13"/>
        </w:rPr>
        <w:t> </w:t>
      </w:r>
      <w:r>
        <w:rPr>
          <w:w w:val="105"/>
          <w:sz w:val="13"/>
        </w:rPr>
        <w:t>Francis</w:t>
      </w:r>
      <w:r>
        <w:rPr>
          <w:spacing w:val="6"/>
          <w:w w:val="105"/>
          <w:sz w:val="13"/>
        </w:rPr>
        <w:t> </w:t>
      </w:r>
      <w:r>
        <w:rPr>
          <w:w w:val="105"/>
          <w:sz w:val="13"/>
        </w:rPr>
        <w:t>Trindade,</w:t>
      </w:r>
      <w:r>
        <w:rPr>
          <w:spacing w:val="5"/>
          <w:w w:val="105"/>
          <w:sz w:val="13"/>
        </w:rPr>
        <w:t> </w:t>
      </w:r>
      <w:r>
        <w:rPr>
          <w:i/>
          <w:w w:val="105"/>
          <w:sz w:val="13"/>
        </w:rPr>
        <w:t>The</w:t>
      </w:r>
      <w:r>
        <w:rPr>
          <w:i/>
          <w:spacing w:val="5"/>
          <w:w w:val="105"/>
          <w:sz w:val="13"/>
        </w:rPr>
        <w:t> </w:t>
      </w:r>
      <w:r>
        <w:rPr>
          <w:i/>
          <w:w w:val="105"/>
          <w:sz w:val="13"/>
        </w:rPr>
        <w:t>Law</w:t>
      </w:r>
      <w:r>
        <w:rPr>
          <w:i/>
          <w:spacing w:val="5"/>
          <w:w w:val="105"/>
          <w:sz w:val="13"/>
        </w:rPr>
        <w:t> </w:t>
      </w:r>
      <w:r>
        <w:rPr>
          <w:i/>
          <w:w w:val="105"/>
          <w:sz w:val="13"/>
        </w:rPr>
        <w:t>of</w:t>
      </w:r>
      <w:r>
        <w:rPr>
          <w:i/>
          <w:spacing w:val="6"/>
          <w:w w:val="105"/>
          <w:sz w:val="13"/>
        </w:rPr>
        <w:t> </w:t>
      </w:r>
      <w:r>
        <w:rPr>
          <w:i/>
          <w:w w:val="105"/>
          <w:sz w:val="13"/>
        </w:rPr>
        <w:t>Torts</w:t>
      </w:r>
      <w:r>
        <w:rPr>
          <w:i/>
          <w:spacing w:val="5"/>
          <w:w w:val="105"/>
          <w:sz w:val="13"/>
        </w:rPr>
        <w:t> </w:t>
      </w:r>
      <w:r>
        <w:rPr>
          <w:i/>
          <w:w w:val="105"/>
          <w:sz w:val="13"/>
        </w:rPr>
        <w:t>in</w:t>
      </w:r>
      <w:r>
        <w:rPr>
          <w:i/>
          <w:spacing w:val="5"/>
          <w:w w:val="105"/>
          <w:sz w:val="13"/>
        </w:rPr>
        <w:t> </w:t>
      </w:r>
      <w:r>
        <w:rPr>
          <w:i/>
          <w:w w:val="105"/>
          <w:sz w:val="13"/>
        </w:rPr>
        <w:t>Australia</w:t>
      </w:r>
    </w:p>
    <w:p>
      <w:pPr>
        <w:spacing w:before="2"/>
        <w:ind w:left="2381" w:right="0" w:firstLine="0"/>
        <w:jc w:val="left"/>
        <w:rPr>
          <w:sz w:val="13"/>
        </w:rPr>
      </w:pPr>
      <w:r>
        <w:rPr>
          <w:w w:val="105"/>
          <w:sz w:val="13"/>
        </w:rPr>
        <w:t>(Oxford University Press, 5th ed, 2012) [4.2.2].</w:t>
      </w:r>
    </w:p>
    <w:p>
      <w:pPr>
        <w:pStyle w:val="ListParagraph"/>
        <w:numPr>
          <w:ilvl w:val="0"/>
          <w:numId w:val="29"/>
        </w:numPr>
        <w:tabs>
          <w:tab w:pos="2381" w:val="left" w:leader="none"/>
          <w:tab w:pos="2382" w:val="left" w:leader="none"/>
        </w:tabs>
        <w:spacing w:line="240" w:lineRule="auto" w:before="1" w:after="0"/>
        <w:ind w:left="2381" w:right="1606" w:hanging="794"/>
        <w:jc w:val="left"/>
        <w:rPr>
          <w:sz w:val="13"/>
        </w:rPr>
      </w:pPr>
      <w:r>
        <w:rPr>
          <w:sz w:val="13"/>
        </w:rPr>
        <w:t>Where a </w:t>
      </w:r>
      <w:r>
        <w:rPr>
          <w:spacing w:val="2"/>
          <w:sz w:val="13"/>
        </w:rPr>
        <w:t>property </w:t>
      </w:r>
      <w:r>
        <w:rPr>
          <w:sz w:val="13"/>
        </w:rPr>
        <w:t>is being rented, only a tenant with exclusive  possession  can  bring  an  action  for  trespass.  A  licensee  (someone  with permission to be on the land but without a tenancy agreement) may also be able to sue third parties for trespass in certain circumstances:              </w:t>
      </w:r>
      <w:r>
        <w:rPr>
          <w:i/>
          <w:sz w:val="13"/>
        </w:rPr>
        <w:t>New South Wales v </w:t>
      </w:r>
      <w:r>
        <w:rPr>
          <w:i/>
          <w:spacing w:val="2"/>
          <w:sz w:val="13"/>
        </w:rPr>
        <w:t>Ibbett </w:t>
      </w:r>
      <w:r>
        <w:rPr>
          <w:spacing w:val="2"/>
          <w:sz w:val="13"/>
        </w:rPr>
        <w:t>(2006) </w:t>
      </w:r>
      <w:r>
        <w:rPr>
          <w:sz w:val="13"/>
        </w:rPr>
        <w:t>229 CLR 638 </w:t>
      </w:r>
      <w:r>
        <w:rPr>
          <w:spacing w:val="2"/>
          <w:sz w:val="13"/>
        </w:rPr>
        <w:t>[29]; </w:t>
      </w:r>
      <w:r>
        <w:rPr>
          <w:sz w:val="13"/>
        </w:rPr>
        <w:t>Kit Barker, Peter Cane, Mark Lunney and Francis Trindade, </w:t>
      </w:r>
      <w:r>
        <w:rPr>
          <w:i/>
          <w:sz w:val="13"/>
        </w:rPr>
        <w:t>The Law of Torts in Australia      </w:t>
      </w:r>
      <w:r>
        <w:rPr>
          <w:spacing w:val="2"/>
          <w:sz w:val="13"/>
        </w:rPr>
        <w:t>(Oxford </w:t>
      </w:r>
      <w:r>
        <w:rPr>
          <w:sz w:val="13"/>
        </w:rPr>
        <w:t>University Press, 5th ed, 2012)</w:t>
      </w:r>
      <w:r>
        <w:rPr>
          <w:spacing w:val="8"/>
          <w:sz w:val="13"/>
        </w:rPr>
        <w:t> </w:t>
      </w:r>
      <w:r>
        <w:rPr>
          <w:spacing w:val="2"/>
          <w:sz w:val="13"/>
        </w:rPr>
        <w:t>[4.2.2].</w:t>
      </w:r>
    </w:p>
    <w:p>
      <w:pPr>
        <w:pStyle w:val="ListParagraph"/>
        <w:numPr>
          <w:ilvl w:val="0"/>
          <w:numId w:val="29"/>
        </w:numPr>
        <w:tabs>
          <w:tab w:pos="2381" w:val="left" w:leader="none"/>
          <w:tab w:pos="2382" w:val="left" w:leader="none"/>
        </w:tabs>
        <w:spacing w:line="240" w:lineRule="auto" w:before="5" w:after="0"/>
        <w:ind w:left="2381" w:right="1602" w:hanging="794"/>
        <w:jc w:val="left"/>
        <w:rPr>
          <w:sz w:val="13"/>
        </w:rPr>
      </w:pPr>
      <w:r>
        <w:rPr>
          <w:w w:val="105"/>
          <w:sz w:val="13"/>
        </w:rPr>
        <w:t>The affected neighbour may also be deemed to have intended trespass where they are reckless as to the consequences or negligent: see LexisNexis, </w:t>
      </w:r>
      <w:r>
        <w:rPr>
          <w:i/>
          <w:w w:val="105"/>
          <w:sz w:val="13"/>
        </w:rPr>
        <w:t>Halsbury’s The Laws of Australia </w:t>
      </w:r>
      <w:r>
        <w:rPr>
          <w:w w:val="105"/>
          <w:sz w:val="13"/>
        </w:rPr>
        <w:t>(at 21 March 2018) </w:t>
      </w:r>
      <w:r>
        <w:rPr>
          <w:spacing w:val="-4"/>
          <w:w w:val="105"/>
          <w:sz w:val="13"/>
        </w:rPr>
        <w:t>415 </w:t>
      </w:r>
      <w:r>
        <w:rPr>
          <w:w w:val="105"/>
          <w:sz w:val="13"/>
        </w:rPr>
        <w:t>Tort, ‘Unjustified Entry’ </w:t>
      </w:r>
      <w:r>
        <w:rPr>
          <w:spacing w:val="2"/>
          <w:w w:val="105"/>
          <w:sz w:val="13"/>
        </w:rPr>
        <w:t>[415-480]; </w:t>
      </w:r>
      <w:r>
        <w:rPr>
          <w:w w:val="105"/>
          <w:sz w:val="13"/>
        </w:rPr>
        <w:t>Kit Barker, Peter Cane, Mark Lunney and</w:t>
      </w:r>
      <w:r>
        <w:rPr>
          <w:spacing w:val="4"/>
          <w:w w:val="105"/>
          <w:sz w:val="13"/>
        </w:rPr>
        <w:t> </w:t>
      </w:r>
      <w:r>
        <w:rPr>
          <w:w w:val="105"/>
          <w:sz w:val="13"/>
        </w:rPr>
        <w:t>Francis</w:t>
      </w:r>
      <w:r>
        <w:rPr>
          <w:spacing w:val="4"/>
          <w:w w:val="105"/>
          <w:sz w:val="13"/>
        </w:rPr>
        <w:t> </w:t>
      </w:r>
      <w:r>
        <w:rPr>
          <w:w w:val="105"/>
          <w:sz w:val="13"/>
        </w:rPr>
        <w:t>Trindade,</w:t>
      </w:r>
      <w:r>
        <w:rPr>
          <w:spacing w:val="4"/>
          <w:w w:val="105"/>
          <w:sz w:val="13"/>
        </w:rPr>
        <w:t> </w:t>
      </w:r>
      <w:r>
        <w:rPr>
          <w:i/>
          <w:w w:val="105"/>
          <w:sz w:val="13"/>
        </w:rPr>
        <w:t>The</w:t>
      </w:r>
      <w:r>
        <w:rPr>
          <w:i/>
          <w:spacing w:val="5"/>
          <w:w w:val="105"/>
          <w:sz w:val="13"/>
        </w:rPr>
        <w:t> </w:t>
      </w:r>
      <w:r>
        <w:rPr>
          <w:i/>
          <w:w w:val="105"/>
          <w:sz w:val="13"/>
        </w:rPr>
        <w:t>Law</w:t>
      </w:r>
      <w:r>
        <w:rPr>
          <w:i/>
          <w:spacing w:val="4"/>
          <w:w w:val="105"/>
          <w:sz w:val="13"/>
        </w:rPr>
        <w:t> </w:t>
      </w:r>
      <w:r>
        <w:rPr>
          <w:i/>
          <w:w w:val="105"/>
          <w:sz w:val="13"/>
        </w:rPr>
        <w:t>of</w:t>
      </w:r>
      <w:r>
        <w:rPr>
          <w:i/>
          <w:spacing w:val="4"/>
          <w:w w:val="105"/>
          <w:sz w:val="13"/>
        </w:rPr>
        <w:t> </w:t>
      </w:r>
      <w:r>
        <w:rPr>
          <w:i/>
          <w:w w:val="105"/>
          <w:sz w:val="13"/>
        </w:rPr>
        <w:t>Torts</w:t>
      </w:r>
      <w:r>
        <w:rPr>
          <w:i/>
          <w:spacing w:val="4"/>
          <w:w w:val="105"/>
          <w:sz w:val="13"/>
        </w:rPr>
        <w:t> </w:t>
      </w:r>
      <w:r>
        <w:rPr>
          <w:i/>
          <w:w w:val="105"/>
          <w:sz w:val="13"/>
        </w:rPr>
        <w:t>in</w:t>
      </w:r>
      <w:r>
        <w:rPr>
          <w:i/>
          <w:spacing w:val="5"/>
          <w:w w:val="105"/>
          <w:sz w:val="13"/>
        </w:rPr>
        <w:t> </w:t>
      </w:r>
      <w:r>
        <w:rPr>
          <w:i/>
          <w:w w:val="105"/>
          <w:sz w:val="13"/>
        </w:rPr>
        <w:t>Australia</w:t>
      </w:r>
      <w:r>
        <w:rPr>
          <w:i/>
          <w:spacing w:val="4"/>
          <w:w w:val="105"/>
          <w:sz w:val="13"/>
        </w:rPr>
        <w:t> </w:t>
      </w:r>
      <w:r>
        <w:rPr>
          <w:spacing w:val="2"/>
          <w:w w:val="105"/>
          <w:sz w:val="13"/>
        </w:rPr>
        <w:t>(Oxford</w:t>
      </w:r>
      <w:r>
        <w:rPr>
          <w:spacing w:val="4"/>
          <w:w w:val="105"/>
          <w:sz w:val="13"/>
        </w:rPr>
        <w:t> </w:t>
      </w:r>
      <w:r>
        <w:rPr>
          <w:w w:val="105"/>
          <w:sz w:val="13"/>
        </w:rPr>
        <w:t>University</w:t>
      </w:r>
      <w:r>
        <w:rPr>
          <w:spacing w:val="4"/>
          <w:w w:val="105"/>
          <w:sz w:val="13"/>
        </w:rPr>
        <w:t> </w:t>
      </w:r>
      <w:r>
        <w:rPr>
          <w:w w:val="105"/>
          <w:sz w:val="13"/>
        </w:rPr>
        <w:t>Press,</w:t>
      </w:r>
      <w:r>
        <w:rPr>
          <w:spacing w:val="5"/>
          <w:w w:val="105"/>
          <w:sz w:val="13"/>
        </w:rPr>
        <w:t> </w:t>
      </w:r>
      <w:r>
        <w:rPr>
          <w:w w:val="105"/>
          <w:sz w:val="13"/>
        </w:rPr>
        <w:t>5th</w:t>
      </w:r>
      <w:r>
        <w:rPr>
          <w:spacing w:val="4"/>
          <w:w w:val="105"/>
          <w:sz w:val="13"/>
        </w:rPr>
        <w:t> </w:t>
      </w:r>
      <w:r>
        <w:rPr>
          <w:w w:val="105"/>
          <w:sz w:val="13"/>
        </w:rPr>
        <w:t>ed,</w:t>
      </w:r>
      <w:r>
        <w:rPr>
          <w:spacing w:val="4"/>
          <w:w w:val="105"/>
          <w:sz w:val="13"/>
        </w:rPr>
        <w:t> </w:t>
      </w:r>
      <w:r>
        <w:rPr>
          <w:w w:val="105"/>
          <w:sz w:val="13"/>
        </w:rPr>
        <w:t>2012)</w:t>
      </w:r>
      <w:r>
        <w:rPr>
          <w:spacing w:val="4"/>
          <w:w w:val="105"/>
          <w:sz w:val="13"/>
        </w:rPr>
        <w:t> </w:t>
      </w:r>
      <w:r>
        <w:rPr>
          <w:spacing w:val="2"/>
          <w:w w:val="105"/>
          <w:sz w:val="13"/>
        </w:rPr>
        <w:t>[4.2.2].</w:t>
      </w:r>
    </w:p>
    <w:p>
      <w:pPr>
        <w:pStyle w:val="ListParagraph"/>
        <w:numPr>
          <w:ilvl w:val="0"/>
          <w:numId w:val="29"/>
        </w:numPr>
        <w:tabs>
          <w:tab w:pos="2381" w:val="left" w:leader="none"/>
          <w:tab w:pos="2382" w:val="left" w:leader="none"/>
        </w:tabs>
        <w:spacing w:line="240" w:lineRule="auto" w:before="4" w:after="0"/>
        <w:ind w:left="1587" w:right="1817" w:firstLine="0"/>
        <w:jc w:val="left"/>
        <w:rPr>
          <w:sz w:val="13"/>
        </w:rPr>
      </w:pPr>
      <w:r>
        <w:rPr>
          <w:w w:val="105"/>
          <w:sz w:val="13"/>
        </w:rPr>
        <w:t>Kit Barker, Peter Cane, Mark Lunney and Francis Trindade, </w:t>
      </w:r>
      <w:r>
        <w:rPr>
          <w:i/>
          <w:w w:val="105"/>
          <w:sz w:val="13"/>
        </w:rPr>
        <w:t>The Law of Torts in Australia </w:t>
      </w:r>
      <w:r>
        <w:rPr>
          <w:spacing w:val="2"/>
          <w:w w:val="105"/>
          <w:sz w:val="13"/>
        </w:rPr>
        <w:t>(Oxford </w:t>
      </w:r>
      <w:r>
        <w:rPr>
          <w:w w:val="105"/>
          <w:sz w:val="13"/>
        </w:rPr>
        <w:t>University Press, 5th ed, 2012) [4.2.5.3]. </w:t>
      </w:r>
      <w:r>
        <w:rPr>
          <w:spacing w:val="-3"/>
          <w:w w:val="105"/>
          <w:sz w:val="13"/>
        </w:rPr>
        <w:t>132</w:t>
        <w:tab/>
      </w:r>
      <w:r>
        <w:rPr>
          <w:w w:val="105"/>
          <w:sz w:val="13"/>
        </w:rPr>
        <w:t>(1995) Aust Torts </w:t>
      </w:r>
      <w:r>
        <w:rPr>
          <w:spacing w:val="2"/>
          <w:w w:val="105"/>
          <w:sz w:val="13"/>
        </w:rPr>
        <w:t>Reports </w:t>
      </w:r>
      <w:r>
        <w:rPr>
          <w:spacing w:val="-3"/>
          <w:w w:val="105"/>
          <w:sz w:val="13"/>
        </w:rPr>
        <w:t>81–337,</w:t>
      </w:r>
      <w:r>
        <w:rPr>
          <w:spacing w:val="22"/>
          <w:w w:val="105"/>
          <w:sz w:val="13"/>
        </w:rPr>
        <w:t> </w:t>
      </w:r>
      <w:r>
        <w:rPr>
          <w:w w:val="105"/>
          <w:sz w:val="13"/>
        </w:rPr>
        <w:t>62,360.</w:t>
      </w:r>
    </w:p>
    <w:p>
      <w:pPr>
        <w:tabs>
          <w:tab w:pos="2381" w:val="left" w:leader="none"/>
        </w:tabs>
        <w:spacing w:before="3"/>
        <w:ind w:left="1587" w:right="1750" w:hanging="1"/>
        <w:jc w:val="left"/>
        <w:rPr>
          <w:sz w:val="13"/>
        </w:rPr>
      </w:pPr>
      <w:r>
        <w:rPr>
          <w:spacing w:val="-3"/>
          <w:w w:val="105"/>
          <w:sz w:val="13"/>
        </w:rPr>
        <w:t>133</w:t>
        <w:tab/>
      </w:r>
      <w:r>
        <w:rPr>
          <w:w w:val="105"/>
          <w:sz w:val="13"/>
        </w:rPr>
        <w:t>Kit Barker, Peter Cane, Mark Lunney and Francis Trindade, </w:t>
      </w:r>
      <w:r>
        <w:rPr>
          <w:i/>
          <w:w w:val="105"/>
          <w:sz w:val="13"/>
        </w:rPr>
        <w:t>The Law of Torts in Australia </w:t>
      </w:r>
      <w:r>
        <w:rPr>
          <w:spacing w:val="2"/>
          <w:w w:val="105"/>
          <w:sz w:val="13"/>
        </w:rPr>
        <w:t>(Oxford </w:t>
      </w:r>
      <w:r>
        <w:rPr>
          <w:w w:val="105"/>
          <w:sz w:val="13"/>
        </w:rPr>
        <w:t>University Press, 5th ed, 2012) [4.2.5.3].</w:t>
      </w:r>
      <w:r>
        <w:rPr>
          <w:spacing w:val="30"/>
          <w:w w:val="105"/>
          <w:sz w:val="13"/>
        </w:rPr>
        <w:t> </w:t>
      </w:r>
      <w:r>
        <w:rPr>
          <w:w w:val="105"/>
          <w:sz w:val="13"/>
        </w:rPr>
        <w:t>134</w:t>
        <w:tab/>
        <w:t>See,</w:t>
      </w:r>
      <w:r>
        <w:rPr>
          <w:spacing w:val="9"/>
          <w:w w:val="105"/>
          <w:sz w:val="13"/>
        </w:rPr>
        <w:t> </w:t>
      </w:r>
      <w:r>
        <w:rPr>
          <w:w w:val="105"/>
          <w:sz w:val="13"/>
        </w:rPr>
        <w:t>eg,</w:t>
      </w:r>
      <w:r>
        <w:rPr>
          <w:spacing w:val="9"/>
          <w:w w:val="105"/>
          <w:sz w:val="13"/>
        </w:rPr>
        <w:t> </w:t>
      </w:r>
      <w:r>
        <w:rPr>
          <w:i/>
          <w:w w:val="105"/>
          <w:sz w:val="13"/>
        </w:rPr>
        <w:t>Lemmon</w:t>
      </w:r>
      <w:r>
        <w:rPr>
          <w:i/>
          <w:spacing w:val="9"/>
          <w:w w:val="105"/>
          <w:sz w:val="13"/>
        </w:rPr>
        <w:t> </w:t>
      </w:r>
      <w:r>
        <w:rPr>
          <w:i/>
          <w:w w:val="105"/>
          <w:sz w:val="13"/>
        </w:rPr>
        <w:t>v</w:t>
      </w:r>
      <w:r>
        <w:rPr>
          <w:i/>
          <w:spacing w:val="9"/>
          <w:w w:val="105"/>
          <w:sz w:val="13"/>
        </w:rPr>
        <w:t> </w:t>
      </w:r>
      <w:r>
        <w:rPr>
          <w:i/>
          <w:w w:val="105"/>
          <w:sz w:val="13"/>
        </w:rPr>
        <w:t>Webb</w:t>
      </w:r>
      <w:r>
        <w:rPr>
          <w:i/>
          <w:spacing w:val="10"/>
          <w:w w:val="105"/>
          <w:sz w:val="13"/>
        </w:rPr>
        <w:t> </w:t>
      </w:r>
      <w:r>
        <w:rPr>
          <w:w w:val="105"/>
          <w:sz w:val="13"/>
        </w:rPr>
        <w:t>[1894]</w:t>
      </w:r>
      <w:r>
        <w:rPr>
          <w:spacing w:val="9"/>
          <w:w w:val="105"/>
          <w:sz w:val="13"/>
        </w:rPr>
        <w:t> </w:t>
      </w:r>
      <w:r>
        <w:rPr>
          <w:w w:val="105"/>
          <w:sz w:val="13"/>
        </w:rPr>
        <w:t>3</w:t>
      </w:r>
      <w:r>
        <w:rPr>
          <w:spacing w:val="9"/>
          <w:w w:val="105"/>
          <w:sz w:val="13"/>
        </w:rPr>
        <w:t> </w:t>
      </w:r>
      <w:r>
        <w:rPr>
          <w:w w:val="105"/>
          <w:sz w:val="13"/>
        </w:rPr>
        <w:t>Ch</w:t>
      </w:r>
      <w:r>
        <w:rPr>
          <w:spacing w:val="9"/>
          <w:w w:val="105"/>
          <w:sz w:val="13"/>
        </w:rPr>
        <w:t> </w:t>
      </w:r>
      <w:r>
        <w:rPr>
          <w:spacing w:val="-3"/>
          <w:w w:val="105"/>
          <w:sz w:val="13"/>
        </w:rPr>
        <w:t>1,</w:t>
      </w:r>
      <w:r>
        <w:rPr>
          <w:spacing w:val="9"/>
          <w:w w:val="105"/>
          <w:sz w:val="13"/>
        </w:rPr>
        <w:t> </w:t>
      </w:r>
      <w:r>
        <w:rPr>
          <w:w w:val="105"/>
          <w:sz w:val="13"/>
        </w:rPr>
        <w:t>24</w:t>
      </w:r>
      <w:r>
        <w:rPr>
          <w:spacing w:val="10"/>
          <w:w w:val="105"/>
          <w:sz w:val="13"/>
        </w:rPr>
        <w:t> </w:t>
      </w:r>
      <w:r>
        <w:rPr>
          <w:w w:val="105"/>
          <w:sz w:val="13"/>
        </w:rPr>
        <w:t>affirmed</w:t>
      </w:r>
      <w:r>
        <w:rPr>
          <w:spacing w:val="9"/>
          <w:w w:val="105"/>
          <w:sz w:val="13"/>
        </w:rPr>
        <w:t> </w:t>
      </w:r>
      <w:r>
        <w:rPr>
          <w:w w:val="105"/>
          <w:sz w:val="13"/>
        </w:rPr>
        <w:t>on</w:t>
      </w:r>
      <w:r>
        <w:rPr>
          <w:spacing w:val="9"/>
          <w:w w:val="105"/>
          <w:sz w:val="13"/>
        </w:rPr>
        <w:t> </w:t>
      </w:r>
      <w:r>
        <w:rPr>
          <w:w w:val="105"/>
          <w:sz w:val="13"/>
        </w:rPr>
        <w:t>other</w:t>
      </w:r>
      <w:r>
        <w:rPr>
          <w:spacing w:val="9"/>
          <w:w w:val="105"/>
          <w:sz w:val="13"/>
        </w:rPr>
        <w:t> </w:t>
      </w:r>
      <w:r>
        <w:rPr>
          <w:w w:val="105"/>
          <w:sz w:val="13"/>
        </w:rPr>
        <w:t>grounds</w:t>
      </w:r>
      <w:r>
        <w:rPr>
          <w:spacing w:val="9"/>
          <w:w w:val="105"/>
          <w:sz w:val="13"/>
        </w:rPr>
        <w:t> </w:t>
      </w:r>
      <w:r>
        <w:rPr>
          <w:w w:val="105"/>
          <w:sz w:val="13"/>
        </w:rPr>
        <w:t>in</w:t>
      </w:r>
      <w:r>
        <w:rPr>
          <w:spacing w:val="10"/>
          <w:w w:val="105"/>
          <w:sz w:val="13"/>
        </w:rPr>
        <w:t> </w:t>
      </w:r>
      <w:r>
        <w:rPr>
          <w:i/>
          <w:w w:val="105"/>
          <w:sz w:val="13"/>
        </w:rPr>
        <w:t>Lemmon</w:t>
      </w:r>
      <w:r>
        <w:rPr>
          <w:i/>
          <w:spacing w:val="9"/>
          <w:w w:val="105"/>
          <w:sz w:val="13"/>
        </w:rPr>
        <w:t> </w:t>
      </w:r>
      <w:r>
        <w:rPr>
          <w:i/>
          <w:w w:val="105"/>
          <w:sz w:val="13"/>
        </w:rPr>
        <w:t>v</w:t>
      </w:r>
      <w:r>
        <w:rPr>
          <w:i/>
          <w:spacing w:val="9"/>
          <w:w w:val="105"/>
          <w:sz w:val="13"/>
        </w:rPr>
        <w:t> </w:t>
      </w:r>
      <w:r>
        <w:rPr>
          <w:i/>
          <w:w w:val="105"/>
          <w:sz w:val="13"/>
        </w:rPr>
        <w:t>Webb</w:t>
      </w:r>
      <w:r>
        <w:rPr>
          <w:i/>
          <w:spacing w:val="9"/>
          <w:w w:val="105"/>
          <w:sz w:val="13"/>
        </w:rPr>
        <w:t> </w:t>
      </w:r>
      <w:r>
        <w:rPr>
          <w:w w:val="105"/>
          <w:sz w:val="13"/>
        </w:rPr>
        <w:t>[1895]</w:t>
      </w:r>
      <w:r>
        <w:rPr>
          <w:spacing w:val="10"/>
          <w:w w:val="105"/>
          <w:sz w:val="13"/>
        </w:rPr>
        <w:t> </w:t>
      </w:r>
      <w:r>
        <w:rPr>
          <w:w w:val="105"/>
          <w:sz w:val="13"/>
        </w:rPr>
        <w:t>AC</w:t>
      </w:r>
      <w:r>
        <w:rPr>
          <w:spacing w:val="9"/>
          <w:w w:val="105"/>
          <w:sz w:val="13"/>
        </w:rPr>
        <w:t> </w:t>
      </w:r>
      <w:r>
        <w:rPr>
          <w:w w:val="105"/>
          <w:sz w:val="13"/>
        </w:rPr>
        <w:t>1</w:t>
      </w:r>
      <w:r>
        <w:rPr>
          <w:spacing w:val="9"/>
          <w:w w:val="105"/>
          <w:sz w:val="13"/>
        </w:rPr>
        <w:t> </w:t>
      </w:r>
      <w:r>
        <w:rPr>
          <w:w w:val="105"/>
          <w:sz w:val="13"/>
        </w:rPr>
        <w:t>cited</w:t>
      </w:r>
      <w:r>
        <w:rPr>
          <w:spacing w:val="9"/>
          <w:w w:val="105"/>
          <w:sz w:val="13"/>
        </w:rPr>
        <w:t> </w:t>
      </w:r>
      <w:r>
        <w:rPr>
          <w:w w:val="105"/>
          <w:sz w:val="13"/>
        </w:rPr>
        <w:t>in</w:t>
      </w:r>
      <w:r>
        <w:rPr>
          <w:spacing w:val="9"/>
          <w:w w:val="105"/>
          <w:sz w:val="13"/>
        </w:rPr>
        <w:t> </w:t>
      </w:r>
      <w:r>
        <w:rPr>
          <w:i/>
          <w:w w:val="105"/>
          <w:sz w:val="13"/>
        </w:rPr>
        <w:t>Robson</w:t>
      </w:r>
      <w:r>
        <w:rPr>
          <w:i/>
          <w:spacing w:val="10"/>
          <w:w w:val="105"/>
          <w:sz w:val="13"/>
        </w:rPr>
        <w:t> </w:t>
      </w:r>
      <w:r>
        <w:rPr>
          <w:i/>
          <w:w w:val="105"/>
          <w:sz w:val="13"/>
        </w:rPr>
        <w:t>v</w:t>
      </w:r>
      <w:r>
        <w:rPr>
          <w:i/>
          <w:spacing w:val="9"/>
          <w:w w:val="105"/>
          <w:sz w:val="13"/>
        </w:rPr>
        <w:t> </w:t>
      </w:r>
      <w:r>
        <w:rPr>
          <w:i/>
          <w:w w:val="105"/>
          <w:sz w:val="13"/>
        </w:rPr>
        <w:t>Leischke</w:t>
      </w:r>
      <w:r>
        <w:rPr>
          <w:i/>
          <w:spacing w:val="9"/>
          <w:w w:val="105"/>
          <w:sz w:val="13"/>
        </w:rPr>
        <w:t> </w:t>
      </w:r>
      <w:r>
        <w:rPr>
          <w:spacing w:val="2"/>
          <w:w w:val="105"/>
          <w:sz w:val="13"/>
        </w:rPr>
        <w:t>(2008)</w:t>
      </w:r>
    </w:p>
    <w:p>
      <w:pPr>
        <w:spacing w:before="3"/>
        <w:ind w:left="2381" w:right="0" w:firstLine="0"/>
        <w:jc w:val="left"/>
        <w:rPr>
          <w:sz w:val="13"/>
        </w:rPr>
      </w:pPr>
      <w:r>
        <w:rPr>
          <w:w w:val="105"/>
          <w:sz w:val="13"/>
        </w:rPr>
        <w:t>72 NSWLR 98 [40].</w:t>
      </w:r>
    </w:p>
    <w:p>
      <w:pPr>
        <w:pStyle w:val="ListParagraph"/>
        <w:numPr>
          <w:ilvl w:val="0"/>
          <w:numId w:val="30"/>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30"/>
        </w:numPr>
        <w:tabs>
          <w:tab w:pos="2381" w:val="left" w:leader="none"/>
          <w:tab w:pos="2382" w:val="left" w:leader="none"/>
        </w:tabs>
        <w:spacing w:line="240" w:lineRule="auto" w:before="1" w:after="0"/>
        <w:ind w:left="2381" w:right="0" w:hanging="794"/>
        <w:jc w:val="left"/>
        <w:rPr>
          <w:sz w:val="13"/>
        </w:rPr>
      </w:pPr>
      <w:r>
        <w:rPr>
          <w:spacing w:val="2"/>
          <w:sz w:val="13"/>
        </w:rPr>
        <w:t>Re-entry</w:t>
      </w:r>
      <w:r>
        <w:rPr>
          <w:spacing w:val="7"/>
          <w:sz w:val="13"/>
        </w:rPr>
        <w:t> </w:t>
      </w:r>
      <w:r>
        <w:rPr>
          <w:sz w:val="13"/>
        </w:rPr>
        <w:t>onto</w:t>
      </w:r>
      <w:r>
        <w:rPr>
          <w:spacing w:val="8"/>
          <w:sz w:val="13"/>
        </w:rPr>
        <w:t> </w:t>
      </w:r>
      <w:r>
        <w:rPr>
          <w:sz w:val="13"/>
        </w:rPr>
        <w:t>land</w:t>
      </w:r>
      <w:r>
        <w:rPr>
          <w:spacing w:val="8"/>
          <w:sz w:val="13"/>
        </w:rPr>
        <w:t> </w:t>
      </w:r>
      <w:r>
        <w:rPr>
          <w:sz w:val="13"/>
        </w:rPr>
        <w:t>and</w:t>
      </w:r>
      <w:r>
        <w:rPr>
          <w:spacing w:val="8"/>
          <w:sz w:val="13"/>
        </w:rPr>
        <w:t> </w:t>
      </w:r>
      <w:r>
        <w:rPr>
          <w:sz w:val="13"/>
        </w:rPr>
        <w:t>lawful</w:t>
      </w:r>
      <w:r>
        <w:rPr>
          <w:spacing w:val="8"/>
          <w:sz w:val="13"/>
        </w:rPr>
        <w:t> </w:t>
      </w:r>
      <w:r>
        <w:rPr>
          <w:sz w:val="13"/>
        </w:rPr>
        <w:t>authority</w:t>
      </w:r>
      <w:r>
        <w:rPr>
          <w:spacing w:val="8"/>
          <w:sz w:val="13"/>
        </w:rPr>
        <w:t> </w:t>
      </w:r>
      <w:r>
        <w:rPr>
          <w:sz w:val="13"/>
        </w:rPr>
        <w:t>are</w:t>
      </w:r>
      <w:r>
        <w:rPr>
          <w:spacing w:val="8"/>
          <w:sz w:val="13"/>
        </w:rPr>
        <w:t> </w:t>
      </w:r>
      <w:r>
        <w:rPr>
          <w:sz w:val="13"/>
        </w:rPr>
        <w:t>also</w:t>
      </w:r>
      <w:r>
        <w:rPr>
          <w:spacing w:val="8"/>
          <w:sz w:val="13"/>
        </w:rPr>
        <w:t> </w:t>
      </w:r>
      <w:r>
        <w:rPr>
          <w:sz w:val="13"/>
        </w:rPr>
        <w:t>defences</w:t>
      </w:r>
      <w:r>
        <w:rPr>
          <w:spacing w:val="7"/>
          <w:sz w:val="13"/>
        </w:rPr>
        <w:t> </w:t>
      </w:r>
      <w:r>
        <w:rPr>
          <w:sz w:val="13"/>
        </w:rPr>
        <w:t>to</w:t>
      </w:r>
      <w:r>
        <w:rPr>
          <w:spacing w:val="8"/>
          <w:sz w:val="13"/>
        </w:rPr>
        <w:t> </w:t>
      </w:r>
      <w:r>
        <w:rPr>
          <w:sz w:val="13"/>
        </w:rPr>
        <w:t>trespass</w:t>
      </w:r>
      <w:r>
        <w:rPr>
          <w:spacing w:val="8"/>
          <w:sz w:val="13"/>
        </w:rPr>
        <w:t> </w:t>
      </w:r>
      <w:r>
        <w:rPr>
          <w:sz w:val="13"/>
        </w:rPr>
        <w:t>to</w:t>
      </w:r>
      <w:r>
        <w:rPr>
          <w:spacing w:val="8"/>
          <w:sz w:val="13"/>
        </w:rPr>
        <w:t> </w:t>
      </w:r>
      <w:r>
        <w:rPr>
          <w:sz w:val="13"/>
        </w:rPr>
        <w:t>land</w:t>
      </w:r>
      <w:r>
        <w:rPr>
          <w:spacing w:val="8"/>
          <w:sz w:val="13"/>
        </w:rPr>
        <w:t> </w:t>
      </w:r>
      <w:r>
        <w:rPr>
          <w:sz w:val="13"/>
        </w:rPr>
        <w:t>but</w:t>
      </w:r>
      <w:r>
        <w:rPr>
          <w:spacing w:val="8"/>
          <w:sz w:val="13"/>
        </w:rPr>
        <w:t> </w:t>
      </w:r>
      <w:r>
        <w:rPr>
          <w:sz w:val="13"/>
        </w:rPr>
        <w:t>are</w:t>
      </w:r>
      <w:r>
        <w:rPr>
          <w:spacing w:val="8"/>
          <w:sz w:val="13"/>
        </w:rPr>
        <w:t> </w:t>
      </w:r>
      <w:r>
        <w:rPr>
          <w:sz w:val="13"/>
        </w:rPr>
        <w:t>not</w:t>
      </w:r>
      <w:r>
        <w:rPr>
          <w:spacing w:val="8"/>
          <w:sz w:val="13"/>
        </w:rPr>
        <w:t> </w:t>
      </w:r>
      <w:r>
        <w:rPr>
          <w:sz w:val="13"/>
        </w:rPr>
        <w:t>discussed</w:t>
      </w:r>
      <w:r>
        <w:rPr>
          <w:spacing w:val="7"/>
          <w:sz w:val="13"/>
        </w:rPr>
        <w:t> </w:t>
      </w:r>
      <w:r>
        <w:rPr>
          <w:sz w:val="13"/>
        </w:rPr>
        <w:t>here.</w:t>
      </w:r>
    </w:p>
    <w:p>
      <w:pPr>
        <w:pStyle w:val="ListParagraph"/>
        <w:numPr>
          <w:ilvl w:val="0"/>
          <w:numId w:val="30"/>
        </w:numPr>
        <w:tabs>
          <w:tab w:pos="2381" w:val="left" w:leader="none"/>
          <w:tab w:pos="2382" w:val="left" w:leader="none"/>
        </w:tabs>
        <w:spacing w:line="240" w:lineRule="auto" w:before="2" w:after="0"/>
        <w:ind w:left="2381" w:right="1662" w:hanging="794"/>
        <w:jc w:val="both"/>
        <w:rPr>
          <w:sz w:val="13"/>
        </w:rPr>
      </w:pPr>
      <w:r>
        <w:rPr/>
        <w:pict>
          <v:shape style="position:absolute;margin-left:36pt;margin-top:19.031563pt;width:13.55pt;height:14.25pt;mso-position-horizontal-relative:page;mso-position-vertical-relative:paragraph;z-index:3496" type="#_x0000_t202" filled="false" stroked="false">
            <v:textbox inset="0,0,0,0">
              <w:txbxContent>
                <w:p>
                  <w:pPr>
                    <w:spacing w:line="284" w:lineRule="exact" w:before="0"/>
                    <w:ind w:left="0" w:right="0" w:firstLine="0"/>
                    <w:jc w:val="left"/>
                    <w:rPr>
                      <w:b/>
                      <w:sz w:val="24"/>
                    </w:rPr>
                  </w:pPr>
                  <w:r>
                    <w:rPr>
                      <w:b/>
                      <w:color w:val="658464"/>
                      <w:w w:val="110"/>
                      <w:sz w:val="24"/>
                    </w:rPr>
                    <w:t>38</w:t>
                  </w:r>
                </w:p>
              </w:txbxContent>
            </v:textbox>
            <w10:wrap type="none"/>
          </v:shape>
        </w:pict>
      </w:r>
      <w:r>
        <w:rPr>
          <w:w w:val="105"/>
          <w:sz w:val="13"/>
        </w:rPr>
        <w:t>Kit Barker, Peter Cane, Mark Lunney and Francis Trindade, </w:t>
      </w:r>
      <w:r>
        <w:rPr>
          <w:i/>
          <w:w w:val="105"/>
          <w:sz w:val="13"/>
        </w:rPr>
        <w:t>The Law of Torts in Australia </w:t>
      </w:r>
      <w:r>
        <w:rPr>
          <w:spacing w:val="2"/>
          <w:w w:val="105"/>
          <w:sz w:val="13"/>
        </w:rPr>
        <w:t>(Oxford </w:t>
      </w:r>
      <w:r>
        <w:rPr>
          <w:w w:val="105"/>
          <w:sz w:val="13"/>
        </w:rPr>
        <w:t>University Press, 5th ed, 2012) [4.4.1]. The situation believed by the affected neighbour to compel them to </w:t>
      </w:r>
      <w:r>
        <w:rPr>
          <w:spacing w:val="2"/>
          <w:w w:val="105"/>
          <w:sz w:val="13"/>
        </w:rPr>
        <w:t>act </w:t>
      </w:r>
      <w:r>
        <w:rPr>
          <w:w w:val="105"/>
          <w:sz w:val="13"/>
        </w:rPr>
        <w:t>to preserve life and </w:t>
      </w:r>
      <w:r>
        <w:rPr>
          <w:spacing w:val="2"/>
          <w:w w:val="105"/>
          <w:sz w:val="13"/>
        </w:rPr>
        <w:t>property </w:t>
      </w:r>
      <w:r>
        <w:rPr>
          <w:w w:val="105"/>
          <w:sz w:val="13"/>
        </w:rPr>
        <w:t>must be ‘an urgent situation of imminent peril’ that ‘existed actually, and not merely in the belief of the [affected neighbour]’: </w:t>
      </w:r>
      <w:r>
        <w:rPr>
          <w:i/>
          <w:w w:val="105"/>
          <w:sz w:val="13"/>
        </w:rPr>
        <w:t>Southwark London Borough Council v Williams </w:t>
      </w:r>
      <w:r>
        <w:rPr>
          <w:spacing w:val="-3"/>
          <w:w w:val="105"/>
          <w:sz w:val="13"/>
        </w:rPr>
        <w:t>(1971)      </w:t>
      </w:r>
      <w:r>
        <w:rPr>
          <w:w w:val="105"/>
          <w:sz w:val="13"/>
        </w:rPr>
        <w:t>1</w:t>
      </w:r>
      <w:r>
        <w:rPr>
          <w:spacing w:val="5"/>
          <w:w w:val="105"/>
          <w:sz w:val="13"/>
        </w:rPr>
        <w:t> </w:t>
      </w:r>
      <w:r>
        <w:rPr>
          <w:w w:val="105"/>
          <w:sz w:val="13"/>
        </w:rPr>
        <w:t>Ch</w:t>
      </w:r>
      <w:r>
        <w:rPr>
          <w:spacing w:val="5"/>
          <w:w w:val="105"/>
          <w:sz w:val="13"/>
        </w:rPr>
        <w:t> </w:t>
      </w:r>
      <w:r>
        <w:rPr>
          <w:w w:val="105"/>
          <w:sz w:val="13"/>
        </w:rPr>
        <w:t>734,</w:t>
      </w:r>
      <w:r>
        <w:rPr>
          <w:spacing w:val="5"/>
          <w:w w:val="105"/>
          <w:sz w:val="13"/>
        </w:rPr>
        <w:t> </w:t>
      </w:r>
      <w:r>
        <w:rPr>
          <w:w w:val="105"/>
          <w:sz w:val="13"/>
        </w:rPr>
        <w:t>746;</w:t>
      </w:r>
      <w:r>
        <w:rPr>
          <w:spacing w:val="5"/>
          <w:w w:val="105"/>
          <w:sz w:val="13"/>
        </w:rPr>
        <w:t> </w:t>
      </w:r>
      <w:r>
        <w:rPr>
          <w:i/>
          <w:w w:val="105"/>
          <w:sz w:val="13"/>
        </w:rPr>
        <w:t>Cope</w:t>
      </w:r>
      <w:r>
        <w:rPr>
          <w:i/>
          <w:spacing w:val="6"/>
          <w:w w:val="105"/>
          <w:sz w:val="13"/>
        </w:rPr>
        <w:t> </w:t>
      </w:r>
      <w:r>
        <w:rPr>
          <w:i/>
          <w:w w:val="105"/>
          <w:sz w:val="13"/>
        </w:rPr>
        <w:t>v</w:t>
      </w:r>
      <w:r>
        <w:rPr>
          <w:i/>
          <w:spacing w:val="5"/>
          <w:w w:val="105"/>
          <w:sz w:val="13"/>
        </w:rPr>
        <w:t> </w:t>
      </w:r>
      <w:r>
        <w:rPr>
          <w:i/>
          <w:w w:val="105"/>
          <w:sz w:val="13"/>
        </w:rPr>
        <w:t>Sharpe</w:t>
      </w:r>
      <w:r>
        <w:rPr>
          <w:i/>
          <w:spacing w:val="5"/>
          <w:w w:val="105"/>
          <w:sz w:val="13"/>
        </w:rPr>
        <w:t> </w:t>
      </w:r>
      <w:r>
        <w:rPr>
          <w:spacing w:val="3"/>
          <w:w w:val="105"/>
          <w:sz w:val="13"/>
        </w:rPr>
        <w:t>(No</w:t>
      </w:r>
      <w:r>
        <w:rPr>
          <w:spacing w:val="5"/>
          <w:w w:val="105"/>
          <w:sz w:val="13"/>
        </w:rPr>
        <w:t> </w:t>
      </w:r>
      <w:r>
        <w:rPr>
          <w:w w:val="105"/>
          <w:sz w:val="13"/>
        </w:rPr>
        <w:t>2)</w:t>
      </w:r>
      <w:r>
        <w:rPr>
          <w:spacing w:val="6"/>
          <w:w w:val="105"/>
          <w:sz w:val="13"/>
        </w:rPr>
        <w:t> </w:t>
      </w:r>
      <w:r>
        <w:rPr>
          <w:spacing w:val="-3"/>
          <w:w w:val="105"/>
          <w:sz w:val="13"/>
        </w:rPr>
        <w:t>[1912]</w:t>
      </w:r>
      <w:r>
        <w:rPr>
          <w:spacing w:val="5"/>
          <w:w w:val="105"/>
          <w:sz w:val="13"/>
        </w:rPr>
        <w:t> </w:t>
      </w:r>
      <w:r>
        <w:rPr>
          <w:w w:val="105"/>
          <w:sz w:val="13"/>
        </w:rPr>
        <w:t>1</w:t>
      </w:r>
      <w:r>
        <w:rPr>
          <w:spacing w:val="5"/>
          <w:w w:val="105"/>
          <w:sz w:val="13"/>
        </w:rPr>
        <w:t> </w:t>
      </w:r>
      <w:r>
        <w:rPr>
          <w:w w:val="105"/>
          <w:sz w:val="13"/>
        </w:rPr>
        <w:t>KB</w:t>
      </w:r>
      <w:r>
        <w:rPr>
          <w:spacing w:val="5"/>
          <w:w w:val="105"/>
          <w:sz w:val="13"/>
        </w:rPr>
        <w:t> </w:t>
      </w:r>
      <w:r>
        <w:rPr>
          <w:w w:val="105"/>
          <w:sz w:val="13"/>
        </w:rPr>
        <w:t>496,</w:t>
      </w:r>
      <w:r>
        <w:rPr>
          <w:spacing w:val="6"/>
          <w:w w:val="105"/>
          <w:sz w:val="13"/>
        </w:rPr>
        <w:t> </w:t>
      </w:r>
      <w:r>
        <w:rPr>
          <w:spacing w:val="2"/>
          <w:w w:val="105"/>
          <w:sz w:val="13"/>
        </w:rPr>
        <w:t>508.</w:t>
      </w:r>
    </w:p>
    <w:p>
      <w:pPr>
        <w:spacing w:after="0" w:line="240" w:lineRule="auto"/>
        <w:jc w:val="both"/>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30"/>
        </w:numPr>
        <w:tabs>
          <w:tab w:pos="2721" w:val="left" w:leader="none"/>
          <w:tab w:pos="2722" w:val="left" w:leader="none"/>
        </w:tabs>
        <w:spacing w:line="242" w:lineRule="auto" w:before="91" w:after="0"/>
        <w:ind w:left="2721" w:right="2275" w:hanging="340"/>
        <w:jc w:val="left"/>
        <w:rPr>
          <w:sz w:val="12"/>
        </w:rPr>
      </w:pPr>
      <w:bookmarkStart w:name="Other laws affecting tree management" w:id="77"/>
      <w:bookmarkEnd w:id="77"/>
      <w:r>
        <w:rPr/>
      </w:r>
      <w:bookmarkStart w:name="_bookmark29" w:id="78"/>
      <w:bookmarkEnd w:id="78"/>
      <w:r>
        <w:rPr/>
      </w:r>
      <w:bookmarkStart w:name="_bookmark29" w:id="79"/>
      <w:bookmarkEnd w:id="79"/>
      <w:r>
        <w:rPr>
          <w:spacing w:val="-3"/>
          <w:w w:val="105"/>
          <w:sz w:val="21"/>
        </w:rPr>
        <w:t>C</w:t>
      </w:r>
      <w:r>
        <w:rPr>
          <w:spacing w:val="-3"/>
          <w:w w:val="105"/>
          <w:sz w:val="21"/>
        </w:rPr>
        <w:t>onsent—an </w:t>
      </w:r>
      <w:r>
        <w:rPr>
          <w:w w:val="105"/>
          <w:sz w:val="21"/>
        </w:rPr>
        <w:t>affected </w:t>
      </w:r>
      <w:r>
        <w:rPr>
          <w:spacing w:val="-3"/>
          <w:w w:val="105"/>
          <w:sz w:val="21"/>
        </w:rPr>
        <w:t>neighbour will </w:t>
      </w:r>
      <w:r>
        <w:rPr>
          <w:spacing w:val="-2"/>
          <w:w w:val="105"/>
          <w:sz w:val="21"/>
        </w:rPr>
        <w:t>not </w:t>
      </w:r>
      <w:r>
        <w:rPr>
          <w:w w:val="105"/>
          <w:sz w:val="21"/>
        </w:rPr>
        <w:t>be </w:t>
      </w:r>
      <w:r>
        <w:rPr>
          <w:spacing w:val="-3"/>
          <w:w w:val="105"/>
          <w:sz w:val="21"/>
        </w:rPr>
        <w:t>liable for </w:t>
      </w:r>
      <w:r>
        <w:rPr>
          <w:w w:val="105"/>
          <w:sz w:val="21"/>
        </w:rPr>
        <w:t>trespass where they </w:t>
      </w:r>
      <w:r>
        <w:rPr>
          <w:spacing w:val="-2"/>
          <w:w w:val="105"/>
          <w:sz w:val="21"/>
        </w:rPr>
        <w:t>had </w:t>
      </w:r>
      <w:r>
        <w:rPr>
          <w:spacing w:val="-3"/>
          <w:w w:val="105"/>
          <w:sz w:val="21"/>
        </w:rPr>
        <w:t>consent to </w:t>
      </w:r>
      <w:r>
        <w:rPr>
          <w:w w:val="105"/>
          <w:sz w:val="21"/>
        </w:rPr>
        <w:t>act in the </w:t>
      </w:r>
      <w:r>
        <w:rPr>
          <w:spacing w:val="-3"/>
          <w:w w:val="105"/>
          <w:sz w:val="21"/>
        </w:rPr>
        <w:t>way that </w:t>
      </w:r>
      <w:r>
        <w:rPr>
          <w:w w:val="105"/>
          <w:sz w:val="21"/>
        </w:rPr>
        <w:t>they</w:t>
      </w:r>
      <w:r>
        <w:rPr>
          <w:spacing w:val="2"/>
          <w:w w:val="105"/>
          <w:sz w:val="21"/>
        </w:rPr>
        <w:t> </w:t>
      </w:r>
      <w:r>
        <w:rPr>
          <w:spacing w:val="-5"/>
          <w:w w:val="105"/>
          <w:sz w:val="21"/>
        </w:rPr>
        <w:t>did.</w:t>
      </w:r>
      <w:r>
        <w:rPr>
          <w:spacing w:val="-5"/>
          <w:w w:val="105"/>
          <w:position w:val="7"/>
          <w:sz w:val="12"/>
        </w:rPr>
        <w:t>138</w:t>
      </w:r>
    </w:p>
    <w:p>
      <w:pPr>
        <w:pStyle w:val="ListParagraph"/>
        <w:numPr>
          <w:ilvl w:val="1"/>
          <w:numId w:val="16"/>
        </w:numPr>
        <w:tabs>
          <w:tab w:pos="2381" w:val="left" w:leader="none"/>
          <w:tab w:pos="2382" w:val="left" w:leader="none"/>
        </w:tabs>
        <w:spacing w:line="240" w:lineRule="auto" w:before="88" w:after="0"/>
        <w:ind w:left="2381" w:right="0" w:hanging="794"/>
        <w:jc w:val="left"/>
        <w:rPr>
          <w:sz w:val="21"/>
        </w:rPr>
      </w:pPr>
      <w:r>
        <w:rPr>
          <w:spacing w:val="-3"/>
          <w:w w:val="105"/>
          <w:sz w:val="21"/>
        </w:rPr>
        <w:t>Mistake </w:t>
      </w:r>
      <w:r>
        <w:rPr>
          <w:w w:val="105"/>
          <w:sz w:val="21"/>
        </w:rPr>
        <w:t>which results in trespass, </w:t>
      </w:r>
      <w:r>
        <w:rPr>
          <w:spacing w:val="-3"/>
          <w:w w:val="105"/>
          <w:sz w:val="21"/>
        </w:rPr>
        <w:t>however reasonable, will </w:t>
      </w:r>
      <w:r>
        <w:rPr>
          <w:spacing w:val="-2"/>
          <w:w w:val="105"/>
          <w:sz w:val="21"/>
        </w:rPr>
        <w:t>not </w:t>
      </w:r>
      <w:r>
        <w:rPr>
          <w:w w:val="105"/>
          <w:sz w:val="21"/>
        </w:rPr>
        <w:t>be a</w:t>
      </w:r>
      <w:r>
        <w:rPr>
          <w:spacing w:val="1"/>
          <w:w w:val="105"/>
          <w:sz w:val="21"/>
        </w:rPr>
        <w:t> </w:t>
      </w:r>
      <w:r>
        <w:rPr>
          <w:spacing w:val="-5"/>
          <w:w w:val="105"/>
          <w:sz w:val="21"/>
        </w:rPr>
        <w:t>defence.</w:t>
      </w:r>
      <w:r>
        <w:rPr>
          <w:spacing w:val="-5"/>
          <w:w w:val="105"/>
          <w:position w:val="7"/>
          <w:sz w:val="12"/>
        </w:rPr>
        <w:t>139</w:t>
      </w:r>
    </w:p>
    <w:p>
      <w:pPr>
        <w:pStyle w:val="Heading7"/>
      </w:pPr>
      <w:r>
        <w:rPr>
          <w:w w:val="110"/>
        </w:rPr>
        <w:t>Remedies</w:t>
      </w:r>
    </w:p>
    <w:p>
      <w:pPr>
        <w:pStyle w:val="ListParagraph"/>
        <w:numPr>
          <w:ilvl w:val="1"/>
          <w:numId w:val="16"/>
        </w:numPr>
        <w:tabs>
          <w:tab w:pos="2380" w:val="left" w:leader="none"/>
          <w:tab w:pos="2381" w:val="left" w:leader="none"/>
        </w:tabs>
        <w:spacing w:line="240" w:lineRule="auto" w:before="143" w:after="0"/>
        <w:ind w:left="2381" w:right="0" w:hanging="794"/>
        <w:jc w:val="left"/>
        <w:rPr>
          <w:sz w:val="21"/>
        </w:rPr>
      </w:pPr>
      <w:r>
        <w:rPr>
          <w:w w:val="105"/>
          <w:sz w:val="21"/>
        </w:rPr>
        <w:t>A person must </w:t>
      </w:r>
      <w:r>
        <w:rPr>
          <w:spacing w:val="-3"/>
          <w:w w:val="105"/>
          <w:sz w:val="21"/>
        </w:rPr>
        <w:t>bring </w:t>
      </w:r>
      <w:r>
        <w:rPr>
          <w:w w:val="105"/>
          <w:sz w:val="21"/>
        </w:rPr>
        <w:t>legal action </w:t>
      </w:r>
      <w:r>
        <w:rPr>
          <w:spacing w:val="-3"/>
          <w:w w:val="105"/>
          <w:sz w:val="21"/>
        </w:rPr>
        <w:t>within </w:t>
      </w:r>
      <w:r>
        <w:rPr>
          <w:w w:val="105"/>
          <w:sz w:val="21"/>
        </w:rPr>
        <w:t>six years of the </w:t>
      </w:r>
      <w:r>
        <w:rPr>
          <w:spacing w:val="-3"/>
          <w:w w:val="105"/>
          <w:sz w:val="21"/>
        </w:rPr>
        <w:t>date </w:t>
      </w:r>
      <w:r>
        <w:rPr>
          <w:w w:val="105"/>
          <w:sz w:val="21"/>
        </w:rPr>
        <w:t>the trespass</w:t>
      </w:r>
      <w:r>
        <w:rPr>
          <w:spacing w:val="47"/>
          <w:w w:val="105"/>
          <w:sz w:val="21"/>
        </w:rPr>
        <w:t> </w:t>
      </w:r>
      <w:r>
        <w:rPr>
          <w:spacing w:val="-4"/>
          <w:w w:val="105"/>
          <w:sz w:val="21"/>
        </w:rPr>
        <w:t>occurred.</w:t>
      </w:r>
      <w:r>
        <w:rPr>
          <w:spacing w:val="-4"/>
          <w:w w:val="105"/>
          <w:position w:val="7"/>
          <w:sz w:val="12"/>
        </w:rPr>
        <w:t>140</w:t>
      </w:r>
    </w:p>
    <w:p>
      <w:pPr>
        <w:pStyle w:val="ListParagraph"/>
        <w:numPr>
          <w:ilvl w:val="1"/>
          <w:numId w:val="16"/>
        </w:numPr>
        <w:tabs>
          <w:tab w:pos="2380" w:val="left" w:leader="none"/>
          <w:tab w:pos="2381" w:val="left" w:leader="none"/>
        </w:tabs>
        <w:spacing w:line="242" w:lineRule="auto" w:before="123" w:after="0"/>
        <w:ind w:left="2380" w:right="1705" w:hanging="793"/>
        <w:jc w:val="left"/>
        <w:rPr>
          <w:sz w:val="21"/>
        </w:rPr>
      </w:pPr>
      <w:r>
        <w:rPr>
          <w:w w:val="105"/>
          <w:sz w:val="21"/>
        </w:rPr>
        <w:t>A</w:t>
      </w:r>
      <w:r>
        <w:rPr>
          <w:spacing w:val="-8"/>
          <w:w w:val="105"/>
          <w:sz w:val="21"/>
        </w:rPr>
        <w:t> </w:t>
      </w:r>
      <w:r>
        <w:rPr>
          <w:w w:val="105"/>
          <w:sz w:val="21"/>
        </w:rPr>
        <w:t>tree</w:t>
      </w:r>
      <w:r>
        <w:rPr>
          <w:spacing w:val="-7"/>
          <w:w w:val="105"/>
          <w:sz w:val="21"/>
        </w:rPr>
        <w:t> </w:t>
      </w:r>
      <w:r>
        <w:rPr>
          <w:w w:val="105"/>
          <w:sz w:val="21"/>
        </w:rPr>
        <w:t>owner</w:t>
      </w:r>
      <w:r>
        <w:rPr>
          <w:spacing w:val="-7"/>
          <w:w w:val="105"/>
          <w:sz w:val="21"/>
        </w:rPr>
        <w:t> </w:t>
      </w:r>
      <w:r>
        <w:rPr>
          <w:spacing w:val="-3"/>
          <w:w w:val="105"/>
          <w:sz w:val="21"/>
        </w:rPr>
        <w:t>may</w:t>
      </w:r>
      <w:r>
        <w:rPr>
          <w:spacing w:val="-7"/>
          <w:w w:val="105"/>
          <w:sz w:val="21"/>
        </w:rPr>
        <w:t> </w:t>
      </w:r>
      <w:r>
        <w:rPr>
          <w:w w:val="105"/>
          <w:sz w:val="21"/>
        </w:rPr>
        <w:t>seek</w:t>
      </w:r>
      <w:r>
        <w:rPr>
          <w:spacing w:val="-7"/>
          <w:w w:val="105"/>
          <w:sz w:val="21"/>
        </w:rPr>
        <w:t> </w:t>
      </w:r>
      <w:r>
        <w:rPr>
          <w:w w:val="105"/>
          <w:sz w:val="21"/>
        </w:rPr>
        <w:t>an</w:t>
      </w:r>
      <w:r>
        <w:rPr>
          <w:spacing w:val="-7"/>
          <w:w w:val="105"/>
          <w:sz w:val="21"/>
        </w:rPr>
        <w:t> </w:t>
      </w:r>
      <w:r>
        <w:rPr>
          <w:w w:val="105"/>
          <w:sz w:val="21"/>
        </w:rPr>
        <w:t>injunction</w:t>
      </w:r>
      <w:r>
        <w:rPr>
          <w:spacing w:val="-7"/>
          <w:w w:val="105"/>
          <w:sz w:val="21"/>
        </w:rPr>
        <w:t> </w:t>
      </w:r>
      <w:r>
        <w:rPr>
          <w:w w:val="105"/>
          <w:sz w:val="21"/>
        </w:rPr>
        <w:t>or</w:t>
      </w:r>
      <w:r>
        <w:rPr>
          <w:spacing w:val="-7"/>
          <w:w w:val="105"/>
          <w:sz w:val="21"/>
        </w:rPr>
        <w:t> </w:t>
      </w:r>
      <w:r>
        <w:rPr>
          <w:w w:val="105"/>
          <w:sz w:val="21"/>
        </w:rPr>
        <w:t>damages</w:t>
      </w:r>
      <w:r>
        <w:rPr>
          <w:spacing w:val="-7"/>
          <w:w w:val="105"/>
          <w:sz w:val="21"/>
        </w:rPr>
        <w:t> </w:t>
      </w:r>
      <w:r>
        <w:rPr>
          <w:w w:val="105"/>
          <w:sz w:val="21"/>
        </w:rPr>
        <w:t>as</w:t>
      </w:r>
      <w:r>
        <w:rPr>
          <w:spacing w:val="-7"/>
          <w:w w:val="105"/>
          <w:sz w:val="21"/>
        </w:rPr>
        <w:t> </w:t>
      </w:r>
      <w:r>
        <w:rPr>
          <w:w w:val="105"/>
          <w:sz w:val="21"/>
        </w:rPr>
        <w:t>a</w:t>
      </w:r>
      <w:r>
        <w:rPr>
          <w:spacing w:val="-7"/>
          <w:w w:val="105"/>
          <w:sz w:val="21"/>
        </w:rPr>
        <w:t> </w:t>
      </w:r>
      <w:r>
        <w:rPr>
          <w:w w:val="105"/>
          <w:sz w:val="21"/>
        </w:rPr>
        <w:t>remedy</w:t>
      </w:r>
      <w:r>
        <w:rPr>
          <w:spacing w:val="-7"/>
          <w:w w:val="105"/>
          <w:sz w:val="21"/>
        </w:rPr>
        <w:t> </w:t>
      </w:r>
      <w:r>
        <w:rPr>
          <w:spacing w:val="-3"/>
          <w:w w:val="105"/>
          <w:sz w:val="21"/>
        </w:rPr>
        <w:t>for</w:t>
      </w:r>
      <w:r>
        <w:rPr>
          <w:spacing w:val="-7"/>
          <w:w w:val="105"/>
          <w:sz w:val="21"/>
        </w:rPr>
        <w:t> </w:t>
      </w:r>
      <w:r>
        <w:rPr>
          <w:w w:val="105"/>
          <w:sz w:val="21"/>
        </w:rPr>
        <w:t>trespass.</w:t>
      </w:r>
      <w:r>
        <w:rPr>
          <w:spacing w:val="-7"/>
          <w:w w:val="105"/>
          <w:sz w:val="21"/>
        </w:rPr>
        <w:t> </w:t>
      </w:r>
      <w:r>
        <w:rPr>
          <w:w w:val="105"/>
          <w:sz w:val="21"/>
        </w:rPr>
        <w:t>An</w:t>
      </w:r>
      <w:r>
        <w:rPr>
          <w:spacing w:val="-7"/>
          <w:w w:val="105"/>
          <w:sz w:val="21"/>
        </w:rPr>
        <w:t> </w:t>
      </w:r>
      <w:r>
        <w:rPr>
          <w:w w:val="105"/>
          <w:sz w:val="21"/>
        </w:rPr>
        <w:t>injunction </w:t>
      </w:r>
      <w:r>
        <w:rPr>
          <w:spacing w:val="-3"/>
          <w:w w:val="105"/>
          <w:sz w:val="21"/>
        </w:rPr>
        <w:t>may</w:t>
      </w:r>
      <w:r>
        <w:rPr>
          <w:spacing w:val="4"/>
          <w:w w:val="105"/>
          <w:sz w:val="21"/>
        </w:rPr>
        <w:t> </w:t>
      </w:r>
      <w:r>
        <w:rPr>
          <w:w w:val="105"/>
          <w:sz w:val="21"/>
        </w:rPr>
        <w:t>be</w:t>
      </w:r>
      <w:r>
        <w:rPr>
          <w:spacing w:val="4"/>
          <w:w w:val="105"/>
          <w:sz w:val="21"/>
        </w:rPr>
        <w:t> </w:t>
      </w:r>
      <w:r>
        <w:rPr>
          <w:spacing w:val="-3"/>
          <w:w w:val="105"/>
          <w:sz w:val="21"/>
        </w:rPr>
        <w:t>sought</w:t>
      </w:r>
      <w:r>
        <w:rPr>
          <w:spacing w:val="5"/>
          <w:w w:val="105"/>
          <w:sz w:val="21"/>
        </w:rPr>
        <w:t> </w:t>
      </w:r>
      <w:r>
        <w:rPr>
          <w:spacing w:val="-3"/>
          <w:w w:val="105"/>
          <w:sz w:val="21"/>
        </w:rPr>
        <w:t>to</w:t>
      </w:r>
      <w:r>
        <w:rPr>
          <w:spacing w:val="4"/>
          <w:w w:val="105"/>
          <w:sz w:val="21"/>
        </w:rPr>
        <w:t> </w:t>
      </w:r>
      <w:r>
        <w:rPr>
          <w:spacing w:val="-3"/>
          <w:w w:val="105"/>
          <w:sz w:val="21"/>
        </w:rPr>
        <w:t>restrain</w:t>
      </w:r>
      <w:r>
        <w:rPr>
          <w:spacing w:val="5"/>
          <w:w w:val="105"/>
          <w:sz w:val="21"/>
        </w:rPr>
        <w:t> </w:t>
      </w:r>
      <w:r>
        <w:rPr>
          <w:w w:val="105"/>
          <w:sz w:val="21"/>
        </w:rPr>
        <w:t>a</w:t>
      </w:r>
      <w:r>
        <w:rPr>
          <w:spacing w:val="4"/>
          <w:w w:val="105"/>
          <w:sz w:val="21"/>
        </w:rPr>
        <w:t> </w:t>
      </w:r>
      <w:r>
        <w:rPr>
          <w:w w:val="105"/>
          <w:sz w:val="21"/>
        </w:rPr>
        <w:t>person</w:t>
      </w:r>
      <w:r>
        <w:rPr>
          <w:spacing w:val="5"/>
          <w:w w:val="105"/>
          <w:sz w:val="21"/>
        </w:rPr>
        <w:t> </w:t>
      </w:r>
      <w:r>
        <w:rPr>
          <w:spacing w:val="-3"/>
          <w:w w:val="105"/>
          <w:sz w:val="21"/>
        </w:rPr>
        <w:t>from</w:t>
      </w:r>
      <w:r>
        <w:rPr>
          <w:spacing w:val="4"/>
          <w:w w:val="105"/>
          <w:sz w:val="21"/>
        </w:rPr>
        <w:t> </w:t>
      </w:r>
      <w:r>
        <w:rPr>
          <w:spacing w:val="-3"/>
          <w:w w:val="105"/>
          <w:sz w:val="21"/>
        </w:rPr>
        <w:t>continuing</w:t>
      </w:r>
      <w:r>
        <w:rPr>
          <w:spacing w:val="5"/>
          <w:w w:val="105"/>
          <w:sz w:val="21"/>
        </w:rPr>
        <w:t> </w:t>
      </w:r>
      <w:r>
        <w:rPr>
          <w:spacing w:val="-3"/>
          <w:w w:val="105"/>
          <w:sz w:val="21"/>
        </w:rPr>
        <w:t>to</w:t>
      </w:r>
      <w:r>
        <w:rPr>
          <w:spacing w:val="4"/>
          <w:w w:val="105"/>
          <w:sz w:val="21"/>
        </w:rPr>
        <w:t> </w:t>
      </w:r>
      <w:r>
        <w:rPr>
          <w:spacing w:val="-4"/>
          <w:w w:val="105"/>
          <w:sz w:val="21"/>
        </w:rPr>
        <w:t>trespass.</w:t>
      </w:r>
      <w:r>
        <w:rPr>
          <w:spacing w:val="-4"/>
          <w:w w:val="105"/>
          <w:position w:val="7"/>
          <w:sz w:val="12"/>
        </w:rPr>
        <w:t>141</w:t>
      </w:r>
    </w:p>
    <w:p>
      <w:pPr>
        <w:pStyle w:val="ListParagraph"/>
        <w:numPr>
          <w:ilvl w:val="1"/>
          <w:numId w:val="16"/>
        </w:numPr>
        <w:tabs>
          <w:tab w:pos="2380" w:val="left" w:leader="none"/>
          <w:tab w:pos="2381" w:val="left" w:leader="none"/>
        </w:tabs>
        <w:spacing w:line="242" w:lineRule="auto" w:before="122" w:after="0"/>
        <w:ind w:left="2381" w:right="1734" w:hanging="794"/>
        <w:jc w:val="left"/>
        <w:rPr>
          <w:sz w:val="21"/>
        </w:rPr>
      </w:pPr>
      <w:r>
        <w:rPr>
          <w:spacing w:val="-3"/>
          <w:w w:val="105"/>
          <w:sz w:val="21"/>
        </w:rPr>
        <w:t>Damages may </w:t>
      </w:r>
      <w:r>
        <w:rPr>
          <w:w w:val="105"/>
          <w:sz w:val="21"/>
        </w:rPr>
        <w:t>be </w:t>
      </w:r>
      <w:r>
        <w:rPr>
          <w:spacing w:val="-3"/>
          <w:w w:val="105"/>
          <w:sz w:val="21"/>
        </w:rPr>
        <w:t>sought </w:t>
      </w:r>
      <w:r>
        <w:rPr>
          <w:w w:val="105"/>
          <w:sz w:val="21"/>
        </w:rPr>
        <w:t>even if the trespass does </w:t>
      </w:r>
      <w:r>
        <w:rPr>
          <w:spacing w:val="-2"/>
          <w:w w:val="105"/>
          <w:sz w:val="21"/>
        </w:rPr>
        <w:t>not </w:t>
      </w:r>
      <w:r>
        <w:rPr>
          <w:w w:val="105"/>
          <w:sz w:val="21"/>
        </w:rPr>
        <w:t>cause </w:t>
      </w:r>
      <w:r>
        <w:rPr>
          <w:spacing w:val="-3"/>
          <w:w w:val="105"/>
          <w:sz w:val="21"/>
        </w:rPr>
        <w:t>any material </w:t>
      </w:r>
      <w:r>
        <w:rPr>
          <w:w w:val="105"/>
          <w:sz w:val="21"/>
        </w:rPr>
        <w:t>damage </w:t>
      </w:r>
      <w:r>
        <w:rPr>
          <w:spacing w:val="-3"/>
          <w:w w:val="105"/>
          <w:sz w:val="21"/>
        </w:rPr>
        <w:t>to </w:t>
      </w:r>
      <w:r>
        <w:rPr>
          <w:w w:val="105"/>
          <w:sz w:val="21"/>
        </w:rPr>
        <w:t>the </w:t>
      </w:r>
      <w:r>
        <w:rPr>
          <w:spacing w:val="-3"/>
          <w:w w:val="105"/>
          <w:sz w:val="21"/>
        </w:rPr>
        <w:t>land </w:t>
      </w:r>
      <w:r>
        <w:rPr>
          <w:w w:val="105"/>
          <w:sz w:val="21"/>
        </w:rPr>
        <w:t>or property on the </w:t>
      </w:r>
      <w:r>
        <w:rPr>
          <w:spacing w:val="-5"/>
          <w:w w:val="105"/>
          <w:sz w:val="21"/>
        </w:rPr>
        <w:t>land.</w:t>
      </w:r>
      <w:r>
        <w:rPr>
          <w:spacing w:val="-5"/>
          <w:w w:val="105"/>
          <w:position w:val="7"/>
          <w:sz w:val="12"/>
        </w:rPr>
        <w:t>142 </w:t>
      </w:r>
      <w:r>
        <w:rPr>
          <w:w w:val="105"/>
          <w:sz w:val="21"/>
        </w:rPr>
        <w:t>This is</w:t>
      </w:r>
      <w:r>
        <w:rPr>
          <w:spacing w:val="20"/>
          <w:w w:val="105"/>
          <w:sz w:val="21"/>
        </w:rPr>
        <w:t> </w:t>
      </w:r>
      <w:r>
        <w:rPr>
          <w:w w:val="105"/>
          <w:sz w:val="21"/>
        </w:rPr>
        <w:t>because:</w:t>
      </w:r>
    </w:p>
    <w:p>
      <w:pPr>
        <w:spacing w:line="254" w:lineRule="auto" w:before="132"/>
        <w:ind w:left="2834" w:right="1601" w:firstLine="0"/>
        <w:jc w:val="left"/>
        <w:rPr>
          <w:sz w:val="11"/>
        </w:rPr>
      </w:pPr>
      <w:r>
        <w:rPr>
          <w:w w:val="105"/>
          <w:sz w:val="20"/>
        </w:rPr>
        <w:t>the purpose of an action for trespass to land is not merely to compensate the plaintiff for damage to the land. That action also serves the purpose of vindicating the plaintiff’s right to the exclusive use and occupation of [their] land.</w:t>
      </w:r>
      <w:r>
        <w:rPr>
          <w:w w:val="105"/>
          <w:position w:val="7"/>
          <w:sz w:val="11"/>
        </w:rPr>
        <w:t>143</w:t>
      </w:r>
    </w:p>
    <w:p>
      <w:pPr>
        <w:pStyle w:val="ListParagraph"/>
        <w:numPr>
          <w:ilvl w:val="1"/>
          <w:numId w:val="16"/>
        </w:numPr>
        <w:tabs>
          <w:tab w:pos="2380" w:val="left" w:leader="none"/>
          <w:tab w:pos="2381" w:val="left" w:leader="none"/>
        </w:tabs>
        <w:spacing w:line="242" w:lineRule="auto" w:before="114" w:after="0"/>
        <w:ind w:left="2381" w:right="1769" w:hanging="794"/>
        <w:jc w:val="left"/>
        <w:rPr>
          <w:sz w:val="21"/>
        </w:rPr>
      </w:pPr>
      <w:r>
        <w:rPr>
          <w:w w:val="105"/>
          <w:sz w:val="21"/>
        </w:rPr>
        <w:t>Where</w:t>
      </w:r>
      <w:r>
        <w:rPr>
          <w:spacing w:val="-8"/>
          <w:w w:val="105"/>
          <w:sz w:val="21"/>
        </w:rPr>
        <w:t> </w:t>
      </w:r>
      <w:r>
        <w:rPr>
          <w:w w:val="105"/>
          <w:sz w:val="21"/>
        </w:rPr>
        <w:t>no</w:t>
      </w:r>
      <w:r>
        <w:rPr>
          <w:spacing w:val="-8"/>
          <w:w w:val="105"/>
          <w:sz w:val="21"/>
        </w:rPr>
        <w:t> </w:t>
      </w:r>
      <w:r>
        <w:rPr>
          <w:w w:val="105"/>
          <w:sz w:val="21"/>
        </w:rPr>
        <w:t>damage</w:t>
      </w:r>
      <w:r>
        <w:rPr>
          <w:spacing w:val="-8"/>
          <w:w w:val="105"/>
          <w:sz w:val="21"/>
        </w:rPr>
        <w:t> </w:t>
      </w:r>
      <w:r>
        <w:rPr>
          <w:w w:val="105"/>
          <w:sz w:val="21"/>
        </w:rPr>
        <w:t>results,</w:t>
      </w:r>
      <w:r>
        <w:rPr>
          <w:spacing w:val="-7"/>
          <w:w w:val="105"/>
          <w:sz w:val="21"/>
        </w:rPr>
        <w:t> </w:t>
      </w:r>
      <w:r>
        <w:rPr>
          <w:w w:val="105"/>
          <w:sz w:val="21"/>
        </w:rPr>
        <w:t>the</w:t>
      </w:r>
      <w:r>
        <w:rPr>
          <w:spacing w:val="-8"/>
          <w:w w:val="105"/>
          <w:sz w:val="21"/>
        </w:rPr>
        <w:t> </w:t>
      </w:r>
      <w:r>
        <w:rPr>
          <w:w w:val="105"/>
          <w:sz w:val="21"/>
        </w:rPr>
        <w:t>tree</w:t>
      </w:r>
      <w:r>
        <w:rPr>
          <w:spacing w:val="-8"/>
          <w:w w:val="105"/>
          <w:sz w:val="21"/>
        </w:rPr>
        <w:t> </w:t>
      </w:r>
      <w:r>
        <w:rPr>
          <w:w w:val="105"/>
          <w:sz w:val="21"/>
        </w:rPr>
        <w:t>owner</w:t>
      </w:r>
      <w:r>
        <w:rPr>
          <w:spacing w:val="-8"/>
          <w:w w:val="105"/>
          <w:sz w:val="21"/>
        </w:rPr>
        <w:t> </w:t>
      </w:r>
      <w:r>
        <w:rPr>
          <w:spacing w:val="-3"/>
          <w:w w:val="105"/>
          <w:sz w:val="21"/>
        </w:rPr>
        <w:t>may</w:t>
      </w:r>
      <w:r>
        <w:rPr>
          <w:spacing w:val="-7"/>
          <w:w w:val="105"/>
          <w:sz w:val="21"/>
        </w:rPr>
        <w:t> </w:t>
      </w:r>
      <w:r>
        <w:rPr>
          <w:w w:val="105"/>
          <w:sz w:val="21"/>
        </w:rPr>
        <w:t>be</w:t>
      </w:r>
      <w:r>
        <w:rPr>
          <w:spacing w:val="-8"/>
          <w:w w:val="105"/>
          <w:sz w:val="21"/>
        </w:rPr>
        <w:t> </w:t>
      </w:r>
      <w:r>
        <w:rPr>
          <w:w w:val="105"/>
          <w:sz w:val="21"/>
        </w:rPr>
        <w:t>awarded</w:t>
      </w:r>
      <w:r>
        <w:rPr>
          <w:spacing w:val="-8"/>
          <w:w w:val="105"/>
          <w:sz w:val="21"/>
        </w:rPr>
        <w:t> </w:t>
      </w:r>
      <w:r>
        <w:rPr>
          <w:w w:val="105"/>
          <w:sz w:val="21"/>
        </w:rPr>
        <w:t>a</w:t>
      </w:r>
      <w:r>
        <w:rPr>
          <w:spacing w:val="-7"/>
          <w:w w:val="105"/>
          <w:sz w:val="21"/>
        </w:rPr>
        <w:t> </w:t>
      </w:r>
      <w:r>
        <w:rPr>
          <w:spacing w:val="-3"/>
          <w:w w:val="105"/>
          <w:sz w:val="21"/>
        </w:rPr>
        <w:t>small</w:t>
      </w:r>
      <w:r>
        <w:rPr>
          <w:spacing w:val="-8"/>
          <w:w w:val="105"/>
          <w:sz w:val="21"/>
        </w:rPr>
        <w:t> </w:t>
      </w:r>
      <w:r>
        <w:rPr>
          <w:w w:val="105"/>
          <w:sz w:val="21"/>
        </w:rPr>
        <w:t>(nominal)</w:t>
      </w:r>
      <w:r>
        <w:rPr>
          <w:spacing w:val="-8"/>
          <w:w w:val="105"/>
          <w:sz w:val="21"/>
        </w:rPr>
        <w:t> </w:t>
      </w:r>
      <w:r>
        <w:rPr>
          <w:spacing w:val="-3"/>
          <w:w w:val="105"/>
          <w:sz w:val="21"/>
        </w:rPr>
        <w:t>amount</w:t>
      </w:r>
      <w:r>
        <w:rPr>
          <w:spacing w:val="-8"/>
          <w:w w:val="105"/>
          <w:sz w:val="21"/>
        </w:rPr>
        <w:t> </w:t>
      </w:r>
      <w:r>
        <w:rPr>
          <w:w w:val="105"/>
          <w:sz w:val="21"/>
        </w:rPr>
        <w:t>of </w:t>
      </w:r>
      <w:r>
        <w:rPr>
          <w:spacing w:val="-4"/>
          <w:w w:val="105"/>
          <w:sz w:val="21"/>
        </w:rPr>
        <w:t>damages.</w:t>
      </w:r>
      <w:r>
        <w:rPr>
          <w:spacing w:val="-4"/>
          <w:w w:val="105"/>
          <w:position w:val="7"/>
          <w:sz w:val="12"/>
        </w:rPr>
        <w:t>144</w:t>
      </w:r>
    </w:p>
    <w:p>
      <w:pPr>
        <w:pStyle w:val="ListParagraph"/>
        <w:numPr>
          <w:ilvl w:val="1"/>
          <w:numId w:val="16"/>
        </w:numPr>
        <w:tabs>
          <w:tab w:pos="2381" w:val="left" w:leader="none"/>
          <w:tab w:pos="2382" w:val="left" w:leader="none"/>
        </w:tabs>
        <w:spacing w:line="242" w:lineRule="auto" w:before="122" w:after="0"/>
        <w:ind w:left="2381" w:right="1640" w:hanging="794"/>
        <w:jc w:val="left"/>
        <w:rPr>
          <w:sz w:val="21"/>
        </w:rPr>
      </w:pPr>
      <w:r>
        <w:rPr>
          <w:w w:val="105"/>
          <w:sz w:val="21"/>
        </w:rPr>
        <w:t>Exemplary</w:t>
      </w:r>
      <w:r>
        <w:rPr>
          <w:spacing w:val="-8"/>
          <w:w w:val="105"/>
          <w:sz w:val="21"/>
        </w:rPr>
        <w:t> </w:t>
      </w:r>
      <w:r>
        <w:rPr>
          <w:w w:val="105"/>
          <w:sz w:val="21"/>
        </w:rPr>
        <w:t>or</w:t>
      </w:r>
      <w:r>
        <w:rPr>
          <w:spacing w:val="-7"/>
          <w:w w:val="105"/>
          <w:sz w:val="21"/>
        </w:rPr>
        <w:t> </w:t>
      </w:r>
      <w:r>
        <w:rPr>
          <w:spacing w:val="-3"/>
          <w:w w:val="105"/>
          <w:sz w:val="21"/>
        </w:rPr>
        <w:t>aggravated</w:t>
      </w:r>
      <w:r>
        <w:rPr>
          <w:spacing w:val="-7"/>
          <w:w w:val="105"/>
          <w:sz w:val="21"/>
        </w:rPr>
        <w:t> </w:t>
      </w:r>
      <w:r>
        <w:rPr>
          <w:w w:val="105"/>
          <w:sz w:val="21"/>
        </w:rPr>
        <w:t>damages</w:t>
      </w:r>
      <w:r>
        <w:rPr>
          <w:spacing w:val="-7"/>
          <w:w w:val="105"/>
          <w:sz w:val="21"/>
        </w:rPr>
        <w:t> </w:t>
      </w:r>
      <w:r>
        <w:rPr>
          <w:spacing w:val="-3"/>
          <w:w w:val="105"/>
          <w:sz w:val="21"/>
        </w:rPr>
        <w:t>may</w:t>
      </w:r>
      <w:r>
        <w:rPr>
          <w:spacing w:val="-8"/>
          <w:w w:val="105"/>
          <w:sz w:val="21"/>
        </w:rPr>
        <w:t> </w:t>
      </w:r>
      <w:r>
        <w:rPr>
          <w:w w:val="105"/>
          <w:sz w:val="21"/>
        </w:rPr>
        <w:t>be</w:t>
      </w:r>
      <w:r>
        <w:rPr>
          <w:spacing w:val="-7"/>
          <w:w w:val="105"/>
          <w:sz w:val="21"/>
        </w:rPr>
        <w:t> </w:t>
      </w:r>
      <w:r>
        <w:rPr>
          <w:w w:val="105"/>
          <w:sz w:val="21"/>
        </w:rPr>
        <w:t>awarded</w:t>
      </w:r>
      <w:r>
        <w:rPr>
          <w:spacing w:val="-7"/>
          <w:w w:val="105"/>
          <w:sz w:val="21"/>
        </w:rPr>
        <w:t> </w:t>
      </w:r>
      <w:r>
        <w:rPr>
          <w:w w:val="105"/>
          <w:sz w:val="21"/>
        </w:rPr>
        <w:t>where</w:t>
      </w:r>
      <w:r>
        <w:rPr>
          <w:spacing w:val="-7"/>
          <w:w w:val="105"/>
          <w:sz w:val="21"/>
        </w:rPr>
        <w:t> </w:t>
      </w:r>
      <w:r>
        <w:rPr>
          <w:spacing w:val="-3"/>
          <w:w w:val="105"/>
          <w:sz w:val="21"/>
        </w:rPr>
        <w:t>significant</w:t>
      </w:r>
      <w:r>
        <w:rPr>
          <w:spacing w:val="-8"/>
          <w:w w:val="105"/>
          <w:sz w:val="21"/>
        </w:rPr>
        <w:t> </w:t>
      </w:r>
      <w:r>
        <w:rPr>
          <w:w w:val="105"/>
          <w:sz w:val="21"/>
        </w:rPr>
        <w:t>disrespect</w:t>
      </w:r>
      <w:r>
        <w:rPr>
          <w:spacing w:val="-7"/>
          <w:w w:val="105"/>
          <w:sz w:val="21"/>
        </w:rPr>
        <w:t> </w:t>
      </w:r>
      <w:r>
        <w:rPr>
          <w:w w:val="105"/>
          <w:sz w:val="21"/>
        </w:rPr>
        <w:t>is</w:t>
      </w:r>
      <w:r>
        <w:rPr>
          <w:spacing w:val="-7"/>
          <w:w w:val="105"/>
          <w:sz w:val="21"/>
        </w:rPr>
        <w:t> </w:t>
      </w:r>
      <w:r>
        <w:rPr>
          <w:w w:val="105"/>
          <w:sz w:val="21"/>
        </w:rPr>
        <w:t>shown </w:t>
      </w:r>
      <w:r>
        <w:rPr>
          <w:spacing w:val="-3"/>
          <w:w w:val="105"/>
          <w:sz w:val="21"/>
        </w:rPr>
        <w:t>for </w:t>
      </w:r>
      <w:r>
        <w:rPr>
          <w:w w:val="105"/>
          <w:sz w:val="21"/>
        </w:rPr>
        <w:t>the tree </w:t>
      </w:r>
      <w:r>
        <w:rPr>
          <w:spacing w:val="-3"/>
          <w:w w:val="105"/>
          <w:sz w:val="21"/>
        </w:rPr>
        <w:t>owner’s </w:t>
      </w:r>
      <w:r>
        <w:rPr>
          <w:w w:val="105"/>
          <w:sz w:val="21"/>
        </w:rPr>
        <w:t>rights—for </w:t>
      </w:r>
      <w:r>
        <w:rPr>
          <w:spacing w:val="-3"/>
          <w:w w:val="105"/>
          <w:sz w:val="21"/>
        </w:rPr>
        <w:t>example, </w:t>
      </w:r>
      <w:r>
        <w:rPr>
          <w:w w:val="105"/>
          <w:sz w:val="21"/>
        </w:rPr>
        <w:t>by cutting down a </w:t>
      </w:r>
      <w:r>
        <w:rPr>
          <w:spacing w:val="-3"/>
          <w:w w:val="105"/>
          <w:sz w:val="21"/>
        </w:rPr>
        <w:t>neighbour’s </w:t>
      </w:r>
      <w:r>
        <w:rPr>
          <w:w w:val="105"/>
          <w:sz w:val="21"/>
        </w:rPr>
        <w:t>tree</w:t>
      </w:r>
      <w:r>
        <w:rPr>
          <w:spacing w:val="26"/>
          <w:w w:val="105"/>
          <w:sz w:val="21"/>
        </w:rPr>
        <w:t> </w:t>
      </w:r>
      <w:r>
        <w:rPr>
          <w:w w:val="105"/>
          <w:sz w:val="21"/>
        </w:rPr>
        <w:t>when</w:t>
      </w:r>
    </w:p>
    <w:p>
      <w:pPr>
        <w:pStyle w:val="BodyText"/>
        <w:spacing w:line="242" w:lineRule="auto" w:before="2"/>
        <w:ind w:left="2381" w:right="1933"/>
        <w:rPr>
          <w:sz w:val="12"/>
        </w:rPr>
      </w:pPr>
      <w:r>
        <w:rPr>
          <w:w w:val="105"/>
        </w:rPr>
        <w:t>they </w:t>
      </w:r>
      <w:r>
        <w:rPr>
          <w:spacing w:val="-3"/>
          <w:w w:val="105"/>
        </w:rPr>
        <w:t>are </w:t>
      </w:r>
      <w:r>
        <w:rPr>
          <w:w w:val="105"/>
        </w:rPr>
        <w:t>absent </w:t>
      </w:r>
      <w:r>
        <w:rPr>
          <w:spacing w:val="-3"/>
          <w:w w:val="105"/>
        </w:rPr>
        <w:t>from </w:t>
      </w:r>
      <w:r>
        <w:rPr>
          <w:w w:val="105"/>
        </w:rPr>
        <w:t>their </w:t>
      </w:r>
      <w:r>
        <w:rPr>
          <w:spacing w:val="-3"/>
          <w:w w:val="105"/>
        </w:rPr>
        <w:t>land, </w:t>
      </w:r>
      <w:r>
        <w:rPr>
          <w:w w:val="105"/>
        </w:rPr>
        <w:t>without </w:t>
      </w:r>
      <w:r>
        <w:rPr>
          <w:spacing w:val="-3"/>
          <w:w w:val="105"/>
        </w:rPr>
        <w:t>informing </w:t>
      </w:r>
      <w:r>
        <w:rPr>
          <w:w w:val="105"/>
        </w:rPr>
        <w:t>them or </w:t>
      </w:r>
      <w:r>
        <w:rPr>
          <w:spacing w:val="-3"/>
          <w:w w:val="105"/>
        </w:rPr>
        <w:t>allowing </w:t>
      </w:r>
      <w:r>
        <w:rPr>
          <w:w w:val="105"/>
        </w:rPr>
        <w:t>them a </w:t>
      </w:r>
      <w:r>
        <w:rPr>
          <w:spacing w:val="-3"/>
          <w:w w:val="105"/>
        </w:rPr>
        <w:t>chance to have </w:t>
      </w:r>
      <w:r>
        <w:rPr>
          <w:w w:val="105"/>
        </w:rPr>
        <w:t>their say about what should happen </w:t>
      </w:r>
      <w:r>
        <w:rPr>
          <w:spacing w:val="-3"/>
          <w:w w:val="105"/>
        </w:rPr>
        <w:t>to </w:t>
      </w:r>
      <w:r>
        <w:rPr>
          <w:w w:val="105"/>
        </w:rPr>
        <w:t>their tree—and the court considers </w:t>
      </w:r>
      <w:r>
        <w:rPr>
          <w:spacing w:val="-3"/>
          <w:w w:val="105"/>
        </w:rPr>
        <w:t>that punishment </w:t>
      </w:r>
      <w:r>
        <w:rPr>
          <w:w w:val="105"/>
        </w:rPr>
        <w:t>is </w:t>
      </w:r>
      <w:r>
        <w:rPr>
          <w:spacing w:val="-5"/>
          <w:w w:val="105"/>
        </w:rPr>
        <w:t>warranted.</w:t>
      </w:r>
      <w:r>
        <w:rPr>
          <w:spacing w:val="-5"/>
          <w:w w:val="105"/>
          <w:position w:val="7"/>
          <w:sz w:val="12"/>
        </w:rPr>
        <w:t>145</w:t>
      </w:r>
    </w:p>
    <w:p>
      <w:pPr>
        <w:pStyle w:val="BodyText"/>
        <w:spacing w:before="11"/>
      </w:pPr>
    </w:p>
    <w:p>
      <w:pPr>
        <w:pStyle w:val="Heading4"/>
      </w:pPr>
      <w:r>
        <w:rPr>
          <w:color w:val="658464"/>
          <w:w w:val="115"/>
        </w:rPr>
        <w:t>Other laws affecting tree management</w:t>
      </w:r>
    </w:p>
    <w:p>
      <w:pPr>
        <w:pStyle w:val="ListParagraph"/>
        <w:numPr>
          <w:ilvl w:val="1"/>
          <w:numId w:val="16"/>
        </w:numPr>
        <w:tabs>
          <w:tab w:pos="2380" w:val="left" w:leader="none"/>
          <w:tab w:pos="2381" w:val="left" w:leader="none"/>
        </w:tabs>
        <w:spacing w:line="242" w:lineRule="auto" w:before="155" w:after="0"/>
        <w:ind w:left="2381" w:right="1721" w:hanging="794"/>
        <w:jc w:val="left"/>
        <w:rPr>
          <w:sz w:val="21"/>
        </w:rPr>
      </w:pPr>
      <w:r>
        <w:rPr>
          <w:sz w:val="21"/>
        </w:rPr>
        <w:t>In Victoria, the </w:t>
      </w:r>
      <w:r>
        <w:rPr>
          <w:spacing w:val="-3"/>
          <w:sz w:val="21"/>
        </w:rPr>
        <w:t>management </w:t>
      </w:r>
      <w:r>
        <w:rPr>
          <w:sz w:val="21"/>
        </w:rPr>
        <w:t>and </w:t>
      </w:r>
      <w:r>
        <w:rPr>
          <w:spacing w:val="-3"/>
          <w:sz w:val="21"/>
        </w:rPr>
        <w:t>removal </w:t>
      </w:r>
      <w:r>
        <w:rPr>
          <w:sz w:val="21"/>
        </w:rPr>
        <w:t>of trees on </w:t>
      </w:r>
      <w:r>
        <w:rPr>
          <w:spacing w:val="-3"/>
          <w:sz w:val="21"/>
        </w:rPr>
        <w:t>private land  </w:t>
      </w:r>
      <w:r>
        <w:rPr>
          <w:sz w:val="21"/>
        </w:rPr>
        <w:t>can  be  affected  by other </w:t>
      </w:r>
      <w:r>
        <w:rPr>
          <w:spacing w:val="-3"/>
          <w:sz w:val="21"/>
        </w:rPr>
        <w:t>legislation. </w:t>
      </w:r>
      <w:r>
        <w:rPr>
          <w:sz w:val="21"/>
        </w:rPr>
        <w:t>These laws </w:t>
      </w:r>
      <w:r>
        <w:rPr>
          <w:spacing w:val="-3"/>
          <w:sz w:val="21"/>
        </w:rPr>
        <w:t>may stipulate </w:t>
      </w:r>
      <w:r>
        <w:rPr>
          <w:sz w:val="21"/>
        </w:rPr>
        <w:t>in what </w:t>
      </w:r>
      <w:r>
        <w:rPr>
          <w:spacing w:val="-3"/>
          <w:sz w:val="21"/>
        </w:rPr>
        <w:t>circumstances </w:t>
      </w:r>
      <w:r>
        <w:rPr>
          <w:sz w:val="21"/>
        </w:rPr>
        <w:t>and in </w:t>
      </w:r>
      <w:r>
        <w:rPr>
          <w:spacing w:val="-3"/>
          <w:sz w:val="21"/>
        </w:rPr>
        <w:t>accordance </w:t>
      </w:r>
      <w:r>
        <w:rPr>
          <w:sz w:val="21"/>
        </w:rPr>
        <w:t>with what process works </w:t>
      </w:r>
      <w:r>
        <w:rPr>
          <w:spacing w:val="-3"/>
          <w:sz w:val="21"/>
        </w:rPr>
        <w:t>may </w:t>
      </w:r>
      <w:r>
        <w:rPr>
          <w:sz w:val="21"/>
        </w:rPr>
        <w:t>be carried out on specified trees or on specified </w:t>
      </w:r>
      <w:r>
        <w:rPr>
          <w:spacing w:val="-3"/>
          <w:sz w:val="21"/>
        </w:rPr>
        <w:t>private land </w:t>
      </w:r>
      <w:r>
        <w:rPr>
          <w:sz w:val="21"/>
        </w:rPr>
        <w:t>in Victoria.</w:t>
      </w:r>
    </w:p>
    <w:p>
      <w:pPr>
        <w:pStyle w:val="ListParagraph"/>
        <w:numPr>
          <w:ilvl w:val="1"/>
          <w:numId w:val="16"/>
        </w:numPr>
        <w:tabs>
          <w:tab w:pos="2380" w:val="left" w:leader="none"/>
          <w:tab w:pos="2381" w:val="left" w:leader="none"/>
        </w:tabs>
        <w:spacing w:line="240" w:lineRule="auto" w:before="124" w:after="0"/>
        <w:ind w:left="2381" w:right="0" w:hanging="794"/>
        <w:jc w:val="left"/>
        <w:rPr>
          <w:sz w:val="21"/>
        </w:rPr>
      </w:pPr>
      <w:r>
        <w:rPr>
          <w:sz w:val="21"/>
        </w:rPr>
        <w:t>Private</w:t>
      </w:r>
      <w:r>
        <w:rPr>
          <w:spacing w:val="9"/>
          <w:sz w:val="21"/>
        </w:rPr>
        <w:t> </w:t>
      </w:r>
      <w:r>
        <w:rPr>
          <w:sz w:val="21"/>
        </w:rPr>
        <w:t>tree</w:t>
      </w:r>
      <w:r>
        <w:rPr>
          <w:spacing w:val="9"/>
          <w:sz w:val="21"/>
        </w:rPr>
        <w:t> </w:t>
      </w:r>
      <w:r>
        <w:rPr>
          <w:spacing w:val="-3"/>
          <w:sz w:val="21"/>
        </w:rPr>
        <w:t>disputes</w:t>
      </w:r>
      <w:r>
        <w:rPr>
          <w:spacing w:val="9"/>
          <w:sz w:val="21"/>
        </w:rPr>
        <w:t> </w:t>
      </w:r>
      <w:r>
        <w:rPr>
          <w:spacing w:val="-3"/>
          <w:sz w:val="21"/>
        </w:rPr>
        <w:t>may</w:t>
      </w:r>
      <w:r>
        <w:rPr>
          <w:spacing w:val="9"/>
          <w:sz w:val="21"/>
        </w:rPr>
        <w:t> </w:t>
      </w:r>
      <w:r>
        <w:rPr>
          <w:sz w:val="21"/>
        </w:rPr>
        <w:t>intersect</w:t>
      </w:r>
      <w:r>
        <w:rPr>
          <w:spacing w:val="9"/>
          <w:sz w:val="21"/>
        </w:rPr>
        <w:t> </w:t>
      </w:r>
      <w:r>
        <w:rPr>
          <w:sz w:val="21"/>
        </w:rPr>
        <w:t>with</w:t>
      </w:r>
      <w:r>
        <w:rPr>
          <w:spacing w:val="9"/>
          <w:sz w:val="21"/>
        </w:rPr>
        <w:t> </w:t>
      </w:r>
      <w:r>
        <w:rPr>
          <w:sz w:val="21"/>
        </w:rPr>
        <w:t>the</w:t>
      </w:r>
      <w:r>
        <w:rPr>
          <w:spacing w:val="9"/>
          <w:sz w:val="21"/>
        </w:rPr>
        <w:t> </w:t>
      </w:r>
      <w:r>
        <w:rPr>
          <w:spacing w:val="-3"/>
          <w:sz w:val="21"/>
        </w:rPr>
        <w:t>following</w:t>
      </w:r>
      <w:r>
        <w:rPr>
          <w:spacing w:val="9"/>
          <w:sz w:val="21"/>
        </w:rPr>
        <w:t> </w:t>
      </w:r>
      <w:r>
        <w:rPr>
          <w:sz w:val="21"/>
        </w:rPr>
        <w:t>legislation:</w:t>
      </w:r>
    </w:p>
    <w:p>
      <w:pPr>
        <w:pStyle w:val="ListParagraph"/>
        <w:numPr>
          <w:ilvl w:val="2"/>
          <w:numId w:val="16"/>
        </w:numPr>
        <w:tabs>
          <w:tab w:pos="2721" w:val="left" w:leader="none"/>
          <w:tab w:pos="2722" w:val="left" w:leader="none"/>
        </w:tabs>
        <w:spacing w:line="240" w:lineRule="auto" w:before="124" w:after="0"/>
        <w:ind w:left="2721" w:right="0" w:hanging="340"/>
        <w:jc w:val="left"/>
        <w:rPr>
          <w:sz w:val="21"/>
        </w:rPr>
      </w:pPr>
      <w:r>
        <w:rPr>
          <w:i/>
          <w:w w:val="105"/>
          <w:sz w:val="21"/>
        </w:rPr>
        <w:t>the </w:t>
      </w:r>
      <w:r>
        <w:rPr>
          <w:i/>
          <w:spacing w:val="-3"/>
          <w:w w:val="105"/>
          <w:sz w:val="21"/>
        </w:rPr>
        <w:t>Planning </w:t>
      </w:r>
      <w:r>
        <w:rPr>
          <w:i/>
          <w:w w:val="105"/>
          <w:sz w:val="21"/>
        </w:rPr>
        <w:t>and </w:t>
      </w:r>
      <w:r>
        <w:rPr>
          <w:i/>
          <w:spacing w:val="-3"/>
          <w:w w:val="105"/>
          <w:sz w:val="21"/>
        </w:rPr>
        <w:t>Environment </w:t>
      </w:r>
      <w:r>
        <w:rPr>
          <w:i/>
          <w:w w:val="105"/>
          <w:sz w:val="21"/>
        </w:rPr>
        <w:t>Act </w:t>
      </w:r>
      <w:r>
        <w:rPr>
          <w:i/>
          <w:spacing w:val="-6"/>
          <w:w w:val="105"/>
          <w:sz w:val="21"/>
        </w:rPr>
        <w:t>1987</w:t>
      </w:r>
      <w:r>
        <w:rPr>
          <w:i/>
          <w:spacing w:val="-5"/>
          <w:w w:val="105"/>
          <w:sz w:val="21"/>
        </w:rPr>
        <w:t> </w:t>
      </w:r>
      <w:r>
        <w:rPr>
          <w:w w:val="105"/>
          <w:sz w:val="21"/>
        </w:rPr>
        <w:t>(Vic)</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local laws made </w:t>
      </w:r>
      <w:r>
        <w:rPr>
          <w:spacing w:val="-3"/>
          <w:w w:val="105"/>
          <w:sz w:val="21"/>
        </w:rPr>
        <w:t>pursuant to </w:t>
      </w:r>
      <w:r>
        <w:rPr>
          <w:w w:val="105"/>
          <w:sz w:val="21"/>
        </w:rPr>
        <w:t>the </w:t>
      </w:r>
      <w:r>
        <w:rPr>
          <w:i/>
          <w:w w:val="105"/>
          <w:sz w:val="21"/>
        </w:rPr>
        <w:t>Local </w:t>
      </w:r>
      <w:r>
        <w:rPr>
          <w:i/>
          <w:spacing w:val="-3"/>
          <w:w w:val="105"/>
          <w:sz w:val="21"/>
        </w:rPr>
        <w:t>Government </w:t>
      </w:r>
      <w:r>
        <w:rPr>
          <w:i/>
          <w:w w:val="105"/>
          <w:sz w:val="21"/>
        </w:rPr>
        <w:t>Act </w:t>
      </w:r>
      <w:r>
        <w:rPr>
          <w:i/>
          <w:spacing w:val="-5"/>
          <w:w w:val="105"/>
          <w:sz w:val="21"/>
        </w:rPr>
        <w:t>1989</w:t>
      </w:r>
      <w:r>
        <w:rPr>
          <w:i/>
          <w:spacing w:val="14"/>
          <w:w w:val="105"/>
          <w:sz w:val="21"/>
        </w:rPr>
        <w:t> </w:t>
      </w:r>
      <w:r>
        <w:rPr>
          <w:w w:val="105"/>
          <w:sz w:val="21"/>
        </w:rPr>
        <w:t>(Vic)</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w w:val="105"/>
          <w:sz w:val="21"/>
        </w:rPr>
        <w:t>the </w:t>
      </w:r>
      <w:r>
        <w:rPr>
          <w:i/>
          <w:w w:val="105"/>
          <w:sz w:val="21"/>
        </w:rPr>
        <w:t>Heritage Act </w:t>
      </w:r>
      <w:r>
        <w:rPr>
          <w:i/>
          <w:spacing w:val="-10"/>
          <w:w w:val="105"/>
          <w:sz w:val="21"/>
        </w:rPr>
        <w:t>2017</w:t>
      </w:r>
      <w:r>
        <w:rPr>
          <w:i/>
          <w:spacing w:val="21"/>
          <w:w w:val="105"/>
          <w:sz w:val="21"/>
        </w:rPr>
        <w:t> </w:t>
      </w:r>
      <w:r>
        <w:rPr>
          <w:w w:val="105"/>
          <w:sz w:val="21"/>
        </w:rPr>
        <w:t>(Vic)</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the </w:t>
      </w:r>
      <w:r>
        <w:rPr>
          <w:i/>
          <w:w w:val="105"/>
          <w:sz w:val="21"/>
        </w:rPr>
        <w:t>Aboriginal Heritage Act 2006</w:t>
      </w:r>
      <w:r>
        <w:rPr>
          <w:i/>
          <w:spacing w:val="26"/>
          <w:w w:val="105"/>
          <w:sz w:val="21"/>
        </w:rPr>
        <w:t> </w:t>
      </w:r>
      <w:r>
        <w:rPr>
          <w:i/>
          <w:w w:val="105"/>
          <w:sz w:val="21"/>
        </w:rPr>
        <w:t>(</w:t>
      </w:r>
      <w:r>
        <w:rPr>
          <w:w w:val="105"/>
          <w:sz w:val="21"/>
        </w:rPr>
        <w:t>Vic)</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the </w:t>
      </w:r>
      <w:r>
        <w:rPr>
          <w:i/>
          <w:w w:val="105"/>
          <w:sz w:val="21"/>
        </w:rPr>
        <w:t>Fences Act </w:t>
      </w:r>
      <w:r>
        <w:rPr>
          <w:i/>
          <w:spacing w:val="-4"/>
          <w:w w:val="105"/>
          <w:sz w:val="21"/>
        </w:rPr>
        <w:t>1968</w:t>
      </w:r>
      <w:r>
        <w:rPr>
          <w:i/>
          <w:spacing w:val="21"/>
          <w:w w:val="105"/>
          <w:sz w:val="21"/>
        </w:rPr>
        <w:t> </w:t>
      </w:r>
      <w:r>
        <w:rPr>
          <w:w w:val="105"/>
          <w:sz w:val="21"/>
        </w:rPr>
        <w:t>(Vic)</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w w:val="105"/>
          <w:sz w:val="21"/>
        </w:rPr>
        <w:t>the </w:t>
      </w:r>
      <w:r>
        <w:rPr>
          <w:i/>
          <w:spacing w:val="-3"/>
          <w:w w:val="105"/>
          <w:sz w:val="21"/>
        </w:rPr>
        <w:t>Catchment </w:t>
      </w:r>
      <w:r>
        <w:rPr>
          <w:i/>
          <w:w w:val="105"/>
          <w:sz w:val="21"/>
        </w:rPr>
        <w:t>and Land Protection Act </w:t>
      </w:r>
      <w:r>
        <w:rPr>
          <w:i/>
          <w:spacing w:val="-4"/>
          <w:w w:val="105"/>
          <w:sz w:val="21"/>
        </w:rPr>
        <w:t>1994</w:t>
      </w:r>
      <w:r>
        <w:rPr>
          <w:i/>
          <w:spacing w:val="39"/>
          <w:w w:val="105"/>
          <w:sz w:val="21"/>
        </w:rPr>
        <w:t> </w:t>
      </w:r>
      <w:r>
        <w:rPr>
          <w:w w:val="105"/>
          <w:sz w:val="21"/>
        </w:rPr>
        <w:t>(Vic)</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the </w:t>
      </w:r>
      <w:r>
        <w:rPr>
          <w:i/>
          <w:spacing w:val="-3"/>
          <w:w w:val="105"/>
          <w:sz w:val="21"/>
        </w:rPr>
        <w:t>Environmental </w:t>
      </w:r>
      <w:r>
        <w:rPr>
          <w:i/>
          <w:w w:val="105"/>
          <w:sz w:val="21"/>
        </w:rPr>
        <w:t>Protection and Biodiversity </w:t>
      </w:r>
      <w:r>
        <w:rPr>
          <w:i/>
          <w:spacing w:val="-3"/>
          <w:w w:val="105"/>
          <w:sz w:val="21"/>
        </w:rPr>
        <w:t>Conservation </w:t>
      </w:r>
      <w:r>
        <w:rPr>
          <w:i/>
          <w:w w:val="105"/>
          <w:sz w:val="21"/>
        </w:rPr>
        <w:t>Act </w:t>
      </w:r>
      <w:r>
        <w:rPr>
          <w:i/>
          <w:spacing w:val="-5"/>
          <w:w w:val="105"/>
          <w:sz w:val="21"/>
        </w:rPr>
        <w:t>1999</w:t>
      </w:r>
      <w:r>
        <w:rPr>
          <w:i/>
          <w:spacing w:val="39"/>
          <w:w w:val="105"/>
          <w:sz w:val="21"/>
        </w:rPr>
        <w:t> </w:t>
      </w:r>
      <w:r>
        <w:rPr>
          <w:w w:val="105"/>
          <w:sz w:val="21"/>
        </w:rPr>
        <w:t>(Cth).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1"/>
        </w:rPr>
      </w:pPr>
      <w:r>
        <w:rPr/>
        <w:pict>
          <v:line style="position:absolute;mso-position-horizontal-relative:page;mso-position-vertical-relative:paragraph;z-index:1472;mso-wrap-distance-left:0;mso-wrap-distance-right:0" from="79.370003pt,9.753373pt" to="515.905003pt,9.753373pt" stroked="true" strokeweight="1pt" strokecolor="#c9d2cb">
            <v:stroke dashstyle="solid"/>
            <w10:wrap type="topAndBottom"/>
          </v:line>
        </w:pict>
      </w:r>
    </w:p>
    <w:p>
      <w:pPr>
        <w:pStyle w:val="ListParagraph"/>
        <w:numPr>
          <w:ilvl w:val="0"/>
          <w:numId w:val="30"/>
        </w:numPr>
        <w:tabs>
          <w:tab w:pos="2380" w:val="left" w:leader="none"/>
          <w:tab w:pos="2382" w:val="left" w:leader="none"/>
        </w:tabs>
        <w:spacing w:line="240" w:lineRule="auto" w:before="117" w:after="0"/>
        <w:ind w:left="2381" w:right="1718" w:hanging="794"/>
        <w:jc w:val="left"/>
        <w:rPr>
          <w:sz w:val="13"/>
        </w:rPr>
      </w:pPr>
      <w:r>
        <w:rPr>
          <w:w w:val="105"/>
          <w:sz w:val="13"/>
        </w:rPr>
        <w:t>Consent can be express or implied. Common examples of implied consent are entering a driveway and knocking on a neighbour’s door to speak to them: Kit Barker, Peter Cane, Mark Lunney and Francis Trindade, </w:t>
      </w:r>
      <w:r>
        <w:rPr>
          <w:i/>
          <w:w w:val="105"/>
          <w:sz w:val="13"/>
        </w:rPr>
        <w:t>The Law of Torts in Australia </w:t>
      </w:r>
      <w:r>
        <w:rPr>
          <w:spacing w:val="2"/>
          <w:w w:val="105"/>
          <w:sz w:val="13"/>
        </w:rPr>
        <w:t>(Oxford </w:t>
      </w:r>
      <w:r>
        <w:rPr>
          <w:w w:val="105"/>
          <w:sz w:val="13"/>
        </w:rPr>
        <w:t>University Press, 5th ed, 2012)</w:t>
      </w:r>
      <w:r>
        <w:rPr>
          <w:spacing w:val="4"/>
          <w:w w:val="105"/>
          <w:sz w:val="13"/>
        </w:rPr>
        <w:t> </w:t>
      </w:r>
      <w:r>
        <w:rPr>
          <w:spacing w:val="2"/>
          <w:w w:val="105"/>
          <w:sz w:val="13"/>
        </w:rPr>
        <w:t>[4.4.2].</w:t>
      </w:r>
    </w:p>
    <w:p>
      <w:pPr>
        <w:pStyle w:val="ListParagraph"/>
        <w:numPr>
          <w:ilvl w:val="0"/>
          <w:numId w:val="30"/>
        </w:numPr>
        <w:tabs>
          <w:tab w:pos="2380" w:val="left" w:leader="none"/>
          <w:tab w:pos="2382" w:val="left" w:leader="none"/>
        </w:tabs>
        <w:spacing w:line="240" w:lineRule="auto" w:before="4" w:after="0"/>
        <w:ind w:left="1587" w:right="2514" w:firstLine="0"/>
        <w:jc w:val="left"/>
        <w:rPr>
          <w:sz w:val="13"/>
        </w:rPr>
      </w:pPr>
      <w:r>
        <w:rPr>
          <w:w w:val="105"/>
          <w:sz w:val="13"/>
        </w:rPr>
        <w:t>Thomson Reuters, </w:t>
      </w:r>
      <w:r>
        <w:rPr>
          <w:i/>
          <w:w w:val="105"/>
          <w:sz w:val="13"/>
        </w:rPr>
        <w:t>The Laws of Australia </w:t>
      </w:r>
      <w:r>
        <w:rPr>
          <w:w w:val="105"/>
          <w:sz w:val="13"/>
        </w:rPr>
        <w:t>(at 1 June 2016) 33 Torts, ‘8 Trespass and Intentional Torts’ </w:t>
      </w:r>
      <w:r>
        <w:rPr>
          <w:spacing w:val="2"/>
          <w:w w:val="105"/>
          <w:sz w:val="13"/>
        </w:rPr>
        <w:t>[33.8.330], </w:t>
      </w:r>
      <w:r>
        <w:rPr>
          <w:w w:val="105"/>
          <w:sz w:val="13"/>
        </w:rPr>
        <w:t>[33.8.470]. 140</w:t>
        <w:tab/>
      </w:r>
      <w:r>
        <w:rPr>
          <w:i/>
          <w:w w:val="105"/>
          <w:sz w:val="13"/>
        </w:rPr>
        <w:t>Limitation of Actions Act 1958 </w:t>
      </w:r>
      <w:r>
        <w:rPr>
          <w:spacing w:val="2"/>
          <w:w w:val="105"/>
          <w:sz w:val="13"/>
        </w:rPr>
        <w:t>(Vic) </w:t>
      </w:r>
      <w:r>
        <w:rPr>
          <w:w w:val="105"/>
          <w:sz w:val="13"/>
        </w:rPr>
        <w:t>s</w:t>
      </w:r>
      <w:r>
        <w:rPr>
          <w:spacing w:val="30"/>
          <w:w w:val="105"/>
          <w:sz w:val="13"/>
        </w:rPr>
        <w:t> </w:t>
      </w:r>
      <w:r>
        <w:rPr>
          <w:spacing w:val="2"/>
          <w:w w:val="105"/>
          <w:sz w:val="13"/>
        </w:rPr>
        <w:t>5(1)(a).</w:t>
      </w:r>
    </w:p>
    <w:p>
      <w:pPr>
        <w:tabs>
          <w:tab w:pos="2380" w:val="left" w:leader="none"/>
        </w:tabs>
        <w:spacing w:before="3"/>
        <w:ind w:left="2381" w:right="1690" w:hanging="794"/>
        <w:jc w:val="both"/>
        <w:rPr>
          <w:i/>
          <w:sz w:val="13"/>
        </w:rPr>
      </w:pPr>
      <w:r>
        <w:rPr>
          <w:spacing w:val="-4"/>
          <w:w w:val="105"/>
          <w:sz w:val="13"/>
        </w:rPr>
        <w:t>141</w:t>
        <w:tab/>
      </w:r>
      <w:r>
        <w:rPr>
          <w:w w:val="105"/>
          <w:sz w:val="13"/>
        </w:rPr>
        <w:t>For example, this may occur when a person remains on the land after entry and refuses to leave, places </w:t>
      </w:r>
      <w:r>
        <w:rPr>
          <w:spacing w:val="2"/>
          <w:w w:val="105"/>
          <w:sz w:val="13"/>
        </w:rPr>
        <w:t>objects </w:t>
      </w:r>
      <w:r>
        <w:rPr>
          <w:w w:val="105"/>
          <w:sz w:val="13"/>
        </w:rPr>
        <w:t>on the land and refuses to remove them, or builds a wall on the land: Kit Barker, Peter Cane, Mark Lunney and Francis Trindade, </w:t>
      </w:r>
      <w:r>
        <w:rPr>
          <w:i/>
          <w:w w:val="105"/>
          <w:sz w:val="13"/>
        </w:rPr>
        <w:t>The Law of Torts in Australia </w:t>
      </w:r>
      <w:r>
        <w:rPr>
          <w:spacing w:val="2"/>
          <w:w w:val="105"/>
          <w:sz w:val="13"/>
        </w:rPr>
        <w:t>(Oxford </w:t>
      </w:r>
      <w:r>
        <w:rPr>
          <w:w w:val="105"/>
          <w:sz w:val="13"/>
        </w:rPr>
        <w:t>University Press, 5th ed, 2012)</w:t>
      </w:r>
      <w:r>
        <w:rPr>
          <w:spacing w:val="23"/>
          <w:w w:val="105"/>
          <w:sz w:val="13"/>
        </w:rPr>
        <w:t> </w:t>
      </w:r>
      <w:r>
        <w:rPr>
          <w:w w:val="105"/>
          <w:sz w:val="13"/>
        </w:rPr>
        <w:t>[4.2.5.3]</w:t>
      </w:r>
      <w:r>
        <w:rPr>
          <w:i/>
          <w:w w:val="105"/>
          <w:sz w:val="13"/>
        </w:rPr>
        <w:t>.</w:t>
      </w:r>
    </w:p>
    <w:p>
      <w:pPr>
        <w:tabs>
          <w:tab w:pos="2380" w:val="left" w:leader="none"/>
        </w:tabs>
        <w:spacing w:before="4"/>
        <w:ind w:left="1587" w:right="0" w:firstLine="0"/>
        <w:jc w:val="left"/>
        <w:rPr>
          <w:sz w:val="13"/>
        </w:rPr>
      </w:pPr>
      <w:r>
        <w:rPr>
          <w:w w:val="105"/>
          <w:sz w:val="13"/>
        </w:rPr>
        <w:t>142</w:t>
        <w:tab/>
        <w:t>Ibid</w:t>
      </w:r>
      <w:r>
        <w:rPr>
          <w:spacing w:val="4"/>
          <w:w w:val="105"/>
          <w:sz w:val="13"/>
        </w:rPr>
        <w:t> </w:t>
      </w:r>
      <w:r>
        <w:rPr>
          <w:w w:val="105"/>
          <w:sz w:val="13"/>
        </w:rPr>
        <w:t>[4.5.1].</w:t>
      </w:r>
    </w:p>
    <w:p>
      <w:pPr>
        <w:tabs>
          <w:tab w:pos="2380" w:val="left" w:leader="none"/>
        </w:tabs>
        <w:spacing w:before="1"/>
        <w:ind w:left="1587" w:right="0" w:firstLine="0"/>
        <w:jc w:val="left"/>
        <w:rPr>
          <w:sz w:val="13"/>
        </w:rPr>
      </w:pPr>
      <w:r>
        <w:rPr>
          <w:w w:val="105"/>
          <w:sz w:val="13"/>
        </w:rPr>
        <w:t>143</w:t>
        <w:tab/>
      </w:r>
      <w:r>
        <w:rPr>
          <w:i/>
          <w:w w:val="105"/>
          <w:sz w:val="13"/>
        </w:rPr>
        <w:t>Plenty v Dillon </w:t>
      </w:r>
      <w:r>
        <w:rPr>
          <w:w w:val="105"/>
          <w:sz w:val="13"/>
        </w:rPr>
        <w:t>(1991) </w:t>
      </w:r>
      <w:r>
        <w:rPr>
          <w:spacing w:val="-4"/>
          <w:w w:val="105"/>
          <w:sz w:val="13"/>
        </w:rPr>
        <w:t>171 </w:t>
      </w:r>
      <w:r>
        <w:rPr>
          <w:w w:val="105"/>
          <w:sz w:val="13"/>
        </w:rPr>
        <w:t>CLR 635,</w:t>
      </w:r>
      <w:r>
        <w:rPr>
          <w:spacing w:val="10"/>
          <w:w w:val="105"/>
          <w:sz w:val="13"/>
        </w:rPr>
        <w:t> </w:t>
      </w:r>
      <w:r>
        <w:rPr>
          <w:w w:val="105"/>
          <w:sz w:val="13"/>
        </w:rPr>
        <w:t>655.</w:t>
      </w:r>
    </w:p>
    <w:p>
      <w:pPr>
        <w:pStyle w:val="ListParagraph"/>
        <w:numPr>
          <w:ilvl w:val="0"/>
          <w:numId w:val="31"/>
        </w:numPr>
        <w:tabs>
          <w:tab w:pos="2380" w:val="left" w:leader="none"/>
          <w:tab w:pos="2381" w:val="left" w:leader="none"/>
        </w:tabs>
        <w:spacing w:line="240" w:lineRule="auto" w:before="1" w:after="0"/>
        <w:ind w:left="2380" w:right="0" w:hanging="793"/>
        <w:jc w:val="left"/>
        <w:rPr>
          <w:sz w:val="13"/>
        </w:rPr>
      </w:pPr>
      <w:r>
        <w:rPr>
          <w:w w:val="105"/>
          <w:sz w:val="13"/>
        </w:rPr>
        <w:t>Kit</w:t>
      </w:r>
      <w:r>
        <w:rPr>
          <w:spacing w:val="4"/>
          <w:w w:val="105"/>
          <w:sz w:val="13"/>
        </w:rPr>
        <w:t> </w:t>
      </w:r>
      <w:r>
        <w:rPr>
          <w:w w:val="105"/>
          <w:sz w:val="13"/>
        </w:rPr>
        <w:t>Barker,</w:t>
      </w:r>
      <w:r>
        <w:rPr>
          <w:spacing w:val="4"/>
          <w:w w:val="105"/>
          <w:sz w:val="13"/>
        </w:rPr>
        <w:t> </w:t>
      </w:r>
      <w:r>
        <w:rPr>
          <w:w w:val="105"/>
          <w:sz w:val="13"/>
        </w:rPr>
        <w:t>Peter</w:t>
      </w:r>
      <w:r>
        <w:rPr>
          <w:spacing w:val="4"/>
          <w:w w:val="105"/>
          <w:sz w:val="13"/>
        </w:rPr>
        <w:t> </w:t>
      </w:r>
      <w:r>
        <w:rPr>
          <w:w w:val="105"/>
          <w:sz w:val="13"/>
        </w:rPr>
        <w:t>Cane,</w:t>
      </w:r>
      <w:r>
        <w:rPr>
          <w:spacing w:val="4"/>
          <w:w w:val="105"/>
          <w:sz w:val="13"/>
        </w:rPr>
        <w:t> </w:t>
      </w:r>
      <w:r>
        <w:rPr>
          <w:w w:val="105"/>
          <w:sz w:val="13"/>
        </w:rPr>
        <w:t>Mark</w:t>
      </w:r>
      <w:r>
        <w:rPr>
          <w:spacing w:val="5"/>
          <w:w w:val="105"/>
          <w:sz w:val="13"/>
        </w:rPr>
        <w:t> </w:t>
      </w:r>
      <w:r>
        <w:rPr>
          <w:w w:val="105"/>
          <w:sz w:val="13"/>
        </w:rPr>
        <w:t>Lunney</w:t>
      </w:r>
      <w:r>
        <w:rPr>
          <w:spacing w:val="4"/>
          <w:w w:val="105"/>
          <w:sz w:val="13"/>
        </w:rPr>
        <w:t> </w:t>
      </w:r>
      <w:r>
        <w:rPr>
          <w:w w:val="105"/>
          <w:sz w:val="13"/>
        </w:rPr>
        <w:t>and</w:t>
      </w:r>
      <w:r>
        <w:rPr>
          <w:spacing w:val="4"/>
          <w:w w:val="105"/>
          <w:sz w:val="13"/>
        </w:rPr>
        <w:t> </w:t>
      </w:r>
      <w:r>
        <w:rPr>
          <w:w w:val="105"/>
          <w:sz w:val="13"/>
        </w:rPr>
        <w:t>Francis</w:t>
      </w:r>
      <w:r>
        <w:rPr>
          <w:spacing w:val="4"/>
          <w:w w:val="105"/>
          <w:sz w:val="13"/>
        </w:rPr>
        <w:t> </w:t>
      </w:r>
      <w:r>
        <w:rPr>
          <w:w w:val="105"/>
          <w:sz w:val="13"/>
        </w:rPr>
        <w:t>Trindade,</w:t>
      </w:r>
      <w:r>
        <w:rPr>
          <w:spacing w:val="4"/>
          <w:w w:val="105"/>
          <w:sz w:val="13"/>
        </w:rPr>
        <w:t> </w:t>
      </w:r>
      <w:r>
        <w:rPr>
          <w:i/>
          <w:w w:val="105"/>
          <w:sz w:val="13"/>
        </w:rPr>
        <w:t>The</w:t>
      </w:r>
      <w:r>
        <w:rPr>
          <w:i/>
          <w:spacing w:val="5"/>
          <w:w w:val="105"/>
          <w:sz w:val="13"/>
        </w:rPr>
        <w:t> </w:t>
      </w:r>
      <w:r>
        <w:rPr>
          <w:i/>
          <w:w w:val="105"/>
          <w:sz w:val="13"/>
        </w:rPr>
        <w:t>Law</w:t>
      </w:r>
      <w:r>
        <w:rPr>
          <w:i/>
          <w:spacing w:val="4"/>
          <w:w w:val="105"/>
          <w:sz w:val="13"/>
        </w:rPr>
        <w:t> </w:t>
      </w:r>
      <w:r>
        <w:rPr>
          <w:i/>
          <w:w w:val="105"/>
          <w:sz w:val="13"/>
        </w:rPr>
        <w:t>of</w:t>
      </w:r>
      <w:r>
        <w:rPr>
          <w:i/>
          <w:spacing w:val="4"/>
          <w:w w:val="105"/>
          <w:sz w:val="13"/>
        </w:rPr>
        <w:t> </w:t>
      </w:r>
      <w:r>
        <w:rPr>
          <w:i/>
          <w:w w:val="105"/>
          <w:sz w:val="13"/>
        </w:rPr>
        <w:t>Torts</w:t>
      </w:r>
      <w:r>
        <w:rPr>
          <w:i/>
          <w:spacing w:val="4"/>
          <w:w w:val="105"/>
          <w:sz w:val="13"/>
        </w:rPr>
        <w:t> </w:t>
      </w:r>
      <w:r>
        <w:rPr>
          <w:i/>
          <w:w w:val="105"/>
          <w:sz w:val="13"/>
        </w:rPr>
        <w:t>in</w:t>
      </w:r>
      <w:r>
        <w:rPr>
          <w:i/>
          <w:spacing w:val="5"/>
          <w:w w:val="105"/>
          <w:sz w:val="13"/>
        </w:rPr>
        <w:t> </w:t>
      </w:r>
      <w:r>
        <w:rPr>
          <w:i/>
          <w:w w:val="105"/>
          <w:sz w:val="13"/>
        </w:rPr>
        <w:t>Australia</w:t>
      </w:r>
      <w:r>
        <w:rPr>
          <w:i/>
          <w:spacing w:val="4"/>
          <w:w w:val="105"/>
          <w:sz w:val="13"/>
        </w:rPr>
        <w:t> </w:t>
      </w:r>
      <w:r>
        <w:rPr>
          <w:spacing w:val="2"/>
          <w:w w:val="105"/>
          <w:sz w:val="13"/>
        </w:rPr>
        <w:t>(Oxford</w:t>
      </w:r>
      <w:r>
        <w:rPr>
          <w:spacing w:val="4"/>
          <w:w w:val="105"/>
          <w:sz w:val="13"/>
        </w:rPr>
        <w:t> </w:t>
      </w:r>
      <w:r>
        <w:rPr>
          <w:w w:val="105"/>
          <w:sz w:val="13"/>
        </w:rPr>
        <w:t>University</w:t>
      </w:r>
      <w:r>
        <w:rPr>
          <w:spacing w:val="4"/>
          <w:w w:val="105"/>
          <w:sz w:val="13"/>
        </w:rPr>
        <w:t> </w:t>
      </w:r>
      <w:r>
        <w:rPr>
          <w:w w:val="105"/>
          <w:sz w:val="13"/>
        </w:rPr>
        <w:t>Press,</w:t>
      </w:r>
      <w:r>
        <w:rPr>
          <w:spacing w:val="4"/>
          <w:w w:val="105"/>
          <w:sz w:val="13"/>
        </w:rPr>
        <w:t> </w:t>
      </w:r>
      <w:r>
        <w:rPr>
          <w:w w:val="105"/>
          <w:sz w:val="13"/>
        </w:rPr>
        <w:t>5th</w:t>
      </w:r>
      <w:r>
        <w:rPr>
          <w:spacing w:val="5"/>
          <w:w w:val="105"/>
          <w:sz w:val="13"/>
        </w:rPr>
        <w:t> </w:t>
      </w:r>
      <w:r>
        <w:rPr>
          <w:w w:val="105"/>
          <w:sz w:val="13"/>
        </w:rPr>
        <w:t>ed,</w:t>
      </w:r>
      <w:r>
        <w:rPr>
          <w:spacing w:val="4"/>
          <w:w w:val="105"/>
          <w:sz w:val="13"/>
        </w:rPr>
        <w:t> </w:t>
      </w:r>
      <w:r>
        <w:rPr>
          <w:w w:val="105"/>
          <w:sz w:val="13"/>
        </w:rPr>
        <w:t>2012)</w:t>
      </w:r>
      <w:r>
        <w:rPr>
          <w:spacing w:val="4"/>
          <w:w w:val="105"/>
          <w:sz w:val="13"/>
        </w:rPr>
        <w:t> </w:t>
      </w:r>
      <w:r>
        <w:rPr>
          <w:w w:val="105"/>
          <w:sz w:val="13"/>
        </w:rPr>
        <w:t>[4.5.1].</w:t>
      </w:r>
    </w:p>
    <w:p>
      <w:pPr>
        <w:pStyle w:val="ListParagraph"/>
        <w:numPr>
          <w:ilvl w:val="0"/>
          <w:numId w:val="31"/>
        </w:numPr>
        <w:tabs>
          <w:tab w:pos="2380" w:val="left" w:leader="none"/>
          <w:tab w:pos="2381" w:val="left" w:leader="none"/>
        </w:tabs>
        <w:spacing w:line="240" w:lineRule="auto" w:before="2" w:after="0"/>
        <w:ind w:left="2380" w:right="1742" w:hanging="793"/>
        <w:jc w:val="left"/>
        <w:rPr>
          <w:sz w:val="13"/>
        </w:rPr>
      </w:pPr>
      <w:r>
        <w:rPr/>
        <w:pict>
          <v:shape style="position:absolute;margin-left:548.941895pt;margin-top:11.053265pt;width:13.25pt;height:14.25pt;mso-position-horizontal-relative:page;mso-position-vertical-relative:paragraph;z-index:3544" type="#_x0000_t202" filled="false" stroked="false">
            <v:textbox inset="0,0,0,0">
              <w:txbxContent>
                <w:p>
                  <w:pPr>
                    <w:spacing w:line="284" w:lineRule="exact" w:before="0"/>
                    <w:ind w:left="0" w:right="0" w:firstLine="0"/>
                    <w:jc w:val="left"/>
                    <w:rPr>
                      <w:b/>
                      <w:sz w:val="24"/>
                    </w:rPr>
                  </w:pPr>
                  <w:r>
                    <w:rPr>
                      <w:b/>
                      <w:color w:val="658464"/>
                      <w:w w:val="105"/>
                      <w:sz w:val="24"/>
                    </w:rPr>
                    <w:t>39</w:t>
                  </w:r>
                </w:p>
              </w:txbxContent>
            </v:textbox>
            <w10:wrap type="none"/>
          </v:shape>
        </w:pict>
      </w:r>
      <w:r>
        <w:rPr>
          <w:i/>
          <w:w w:val="105"/>
          <w:sz w:val="13"/>
        </w:rPr>
        <w:t>Gazzard v Hutchesson </w:t>
      </w:r>
      <w:r>
        <w:rPr>
          <w:w w:val="105"/>
          <w:sz w:val="13"/>
        </w:rPr>
        <w:t>(1995) Aust Torts </w:t>
      </w:r>
      <w:r>
        <w:rPr>
          <w:spacing w:val="2"/>
          <w:w w:val="105"/>
          <w:sz w:val="13"/>
        </w:rPr>
        <w:t>Reports </w:t>
      </w:r>
      <w:r>
        <w:rPr>
          <w:spacing w:val="-3"/>
          <w:w w:val="105"/>
          <w:sz w:val="13"/>
        </w:rPr>
        <w:t>81–337, </w:t>
      </w:r>
      <w:r>
        <w:rPr>
          <w:w w:val="105"/>
          <w:sz w:val="13"/>
        </w:rPr>
        <w:t>62,360: ‘contumelious disrespect for the rights of the enjoyment by the [tree owner]’; see also Kit Barker, Peter Cane, Mark Lunney and Francis Trindade, </w:t>
      </w:r>
      <w:r>
        <w:rPr>
          <w:i/>
          <w:w w:val="105"/>
          <w:sz w:val="13"/>
        </w:rPr>
        <w:t>The Law of Torts in Australia </w:t>
      </w:r>
      <w:r>
        <w:rPr>
          <w:spacing w:val="2"/>
          <w:w w:val="105"/>
          <w:sz w:val="13"/>
        </w:rPr>
        <w:t>(Oxford </w:t>
      </w:r>
      <w:r>
        <w:rPr>
          <w:w w:val="105"/>
          <w:sz w:val="13"/>
        </w:rPr>
        <w:t>University Press, 5th ed, 2012)</w:t>
      </w:r>
      <w:r>
        <w:rPr>
          <w:spacing w:val="4"/>
          <w:w w:val="105"/>
          <w:sz w:val="13"/>
        </w:rPr>
        <w:t> </w:t>
      </w:r>
      <w:r>
        <w:rPr>
          <w:w w:val="105"/>
          <w:sz w:val="13"/>
        </w:rPr>
        <w:t>[4.5.1].</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16"/>
        </w:numPr>
        <w:tabs>
          <w:tab w:pos="2381" w:val="left" w:leader="none"/>
          <w:tab w:pos="2382" w:val="left" w:leader="none"/>
        </w:tabs>
        <w:spacing w:line="242" w:lineRule="auto" w:before="92" w:after="0"/>
        <w:ind w:left="2381" w:right="1809" w:hanging="794"/>
        <w:jc w:val="left"/>
        <w:rPr>
          <w:sz w:val="21"/>
        </w:rPr>
      </w:pPr>
      <w:bookmarkStart w:name="_bookmark30" w:id="80"/>
      <w:bookmarkEnd w:id="80"/>
      <w:r>
        <w:rPr/>
      </w:r>
      <w:bookmarkStart w:name="_bookmark30" w:id="81"/>
      <w:bookmarkEnd w:id="81"/>
      <w:r>
        <w:rPr>
          <w:w w:val="105"/>
          <w:sz w:val="21"/>
        </w:rPr>
        <w:t>O</w:t>
      </w:r>
      <w:r>
        <w:rPr>
          <w:w w:val="105"/>
          <w:sz w:val="21"/>
        </w:rPr>
        <w:t>ther</w:t>
      </w:r>
      <w:r>
        <w:rPr>
          <w:spacing w:val="-6"/>
          <w:w w:val="105"/>
          <w:sz w:val="21"/>
        </w:rPr>
        <w:t> </w:t>
      </w:r>
      <w:r>
        <w:rPr>
          <w:w w:val="105"/>
          <w:sz w:val="21"/>
        </w:rPr>
        <w:t>Acts</w:t>
      </w:r>
      <w:r>
        <w:rPr>
          <w:spacing w:val="-5"/>
          <w:w w:val="105"/>
          <w:sz w:val="21"/>
        </w:rPr>
        <w:t> </w:t>
      </w:r>
      <w:r>
        <w:rPr>
          <w:w w:val="105"/>
          <w:sz w:val="21"/>
        </w:rPr>
        <w:t>also</w:t>
      </w:r>
      <w:r>
        <w:rPr>
          <w:spacing w:val="-5"/>
          <w:w w:val="105"/>
          <w:sz w:val="21"/>
        </w:rPr>
        <w:t> </w:t>
      </w:r>
      <w:r>
        <w:rPr>
          <w:spacing w:val="-3"/>
          <w:w w:val="105"/>
          <w:sz w:val="21"/>
        </w:rPr>
        <w:t>relate</w:t>
      </w:r>
      <w:r>
        <w:rPr>
          <w:spacing w:val="-5"/>
          <w:w w:val="105"/>
          <w:sz w:val="21"/>
        </w:rPr>
        <w:t> </w:t>
      </w:r>
      <w:r>
        <w:rPr>
          <w:spacing w:val="-3"/>
          <w:w w:val="105"/>
          <w:sz w:val="21"/>
        </w:rPr>
        <w:t>to</w:t>
      </w:r>
      <w:r>
        <w:rPr>
          <w:spacing w:val="-5"/>
          <w:w w:val="105"/>
          <w:sz w:val="21"/>
        </w:rPr>
        <w:t> </w:t>
      </w:r>
      <w:r>
        <w:rPr>
          <w:w w:val="105"/>
          <w:sz w:val="21"/>
        </w:rPr>
        <w:t>the</w:t>
      </w:r>
      <w:r>
        <w:rPr>
          <w:spacing w:val="-5"/>
          <w:w w:val="105"/>
          <w:sz w:val="21"/>
        </w:rPr>
        <w:t> </w:t>
      </w:r>
      <w:r>
        <w:rPr>
          <w:spacing w:val="-3"/>
          <w:w w:val="105"/>
          <w:sz w:val="21"/>
        </w:rPr>
        <w:t>management</w:t>
      </w:r>
      <w:r>
        <w:rPr>
          <w:spacing w:val="-5"/>
          <w:w w:val="105"/>
          <w:sz w:val="21"/>
        </w:rPr>
        <w:t> </w:t>
      </w:r>
      <w:r>
        <w:rPr>
          <w:w w:val="105"/>
          <w:sz w:val="21"/>
        </w:rPr>
        <w:t>of</w:t>
      </w:r>
      <w:r>
        <w:rPr>
          <w:spacing w:val="-5"/>
          <w:w w:val="105"/>
          <w:sz w:val="21"/>
        </w:rPr>
        <w:t> </w:t>
      </w:r>
      <w:r>
        <w:rPr>
          <w:w w:val="105"/>
          <w:sz w:val="21"/>
        </w:rPr>
        <w:t>vegetation</w:t>
      </w:r>
      <w:r>
        <w:rPr>
          <w:spacing w:val="-5"/>
          <w:w w:val="105"/>
          <w:sz w:val="21"/>
        </w:rPr>
        <w:t> </w:t>
      </w:r>
      <w:r>
        <w:rPr>
          <w:spacing w:val="-3"/>
          <w:w w:val="105"/>
          <w:sz w:val="21"/>
        </w:rPr>
        <w:t>for</w:t>
      </w:r>
      <w:r>
        <w:rPr>
          <w:spacing w:val="-6"/>
          <w:w w:val="105"/>
          <w:sz w:val="21"/>
        </w:rPr>
        <w:t> </w:t>
      </w:r>
      <w:r>
        <w:rPr>
          <w:w w:val="105"/>
          <w:sz w:val="21"/>
        </w:rPr>
        <w:t>fire</w:t>
      </w:r>
      <w:r>
        <w:rPr>
          <w:spacing w:val="-5"/>
          <w:w w:val="105"/>
          <w:sz w:val="21"/>
        </w:rPr>
        <w:t> </w:t>
      </w:r>
      <w:r>
        <w:rPr>
          <w:spacing w:val="-3"/>
          <w:w w:val="105"/>
          <w:sz w:val="21"/>
        </w:rPr>
        <w:t>prevention;</w:t>
      </w:r>
      <w:r>
        <w:rPr>
          <w:spacing w:val="-5"/>
          <w:w w:val="105"/>
          <w:sz w:val="21"/>
        </w:rPr>
        <w:t> </w:t>
      </w:r>
      <w:r>
        <w:rPr>
          <w:spacing w:val="-3"/>
          <w:w w:val="105"/>
          <w:sz w:val="21"/>
        </w:rPr>
        <w:t>to</w:t>
      </w:r>
      <w:r>
        <w:rPr>
          <w:spacing w:val="-5"/>
          <w:w w:val="105"/>
          <w:sz w:val="21"/>
        </w:rPr>
        <w:t> </w:t>
      </w:r>
      <w:r>
        <w:rPr>
          <w:spacing w:val="-3"/>
          <w:w w:val="105"/>
          <w:sz w:val="21"/>
        </w:rPr>
        <w:t>minimise interference </w:t>
      </w:r>
      <w:r>
        <w:rPr>
          <w:w w:val="105"/>
          <w:sz w:val="21"/>
        </w:rPr>
        <w:t>with powerlines; and </w:t>
      </w:r>
      <w:r>
        <w:rPr>
          <w:spacing w:val="-3"/>
          <w:w w:val="105"/>
          <w:sz w:val="21"/>
        </w:rPr>
        <w:t>to </w:t>
      </w:r>
      <w:r>
        <w:rPr>
          <w:w w:val="105"/>
          <w:sz w:val="21"/>
        </w:rPr>
        <w:t>protect </w:t>
      </w:r>
      <w:r>
        <w:rPr>
          <w:spacing w:val="-3"/>
          <w:w w:val="105"/>
          <w:sz w:val="21"/>
        </w:rPr>
        <w:t>public health </w:t>
      </w:r>
      <w:r>
        <w:rPr>
          <w:w w:val="105"/>
          <w:sz w:val="21"/>
        </w:rPr>
        <w:t>and </w:t>
      </w:r>
      <w:r>
        <w:rPr>
          <w:spacing w:val="-3"/>
          <w:w w:val="105"/>
          <w:sz w:val="21"/>
        </w:rPr>
        <w:t>wellbeing, </w:t>
      </w:r>
      <w:r>
        <w:rPr>
          <w:w w:val="105"/>
          <w:sz w:val="21"/>
        </w:rPr>
        <w:t>and the </w:t>
      </w:r>
      <w:r>
        <w:rPr>
          <w:spacing w:val="-4"/>
          <w:w w:val="105"/>
          <w:sz w:val="21"/>
        </w:rPr>
        <w:t>environment.</w:t>
      </w:r>
      <w:r>
        <w:rPr>
          <w:spacing w:val="-4"/>
          <w:w w:val="105"/>
          <w:position w:val="7"/>
          <w:sz w:val="12"/>
        </w:rPr>
        <w:t>146 </w:t>
      </w:r>
      <w:r>
        <w:rPr>
          <w:w w:val="105"/>
          <w:sz w:val="21"/>
        </w:rPr>
        <w:t>See </w:t>
      </w:r>
      <w:r>
        <w:rPr>
          <w:spacing w:val="-4"/>
          <w:w w:val="105"/>
          <w:sz w:val="21"/>
        </w:rPr>
        <w:t>Chapter</w:t>
      </w:r>
      <w:r>
        <w:rPr>
          <w:spacing w:val="-5"/>
          <w:w w:val="105"/>
          <w:sz w:val="21"/>
        </w:rPr>
        <w:t> 10.</w:t>
      </w:r>
    </w:p>
    <w:p>
      <w:pPr>
        <w:pStyle w:val="BodyText"/>
        <w:spacing w:before="10"/>
      </w:pPr>
    </w:p>
    <w:p>
      <w:pPr>
        <w:pStyle w:val="Heading4"/>
      </w:pPr>
      <w:r>
        <w:rPr>
          <w:color w:val="658464"/>
          <w:w w:val="115"/>
        </w:rPr>
        <w:t>Community responses—the current law</w:t>
      </w:r>
    </w:p>
    <w:p>
      <w:pPr>
        <w:pStyle w:val="ListParagraph"/>
        <w:numPr>
          <w:ilvl w:val="1"/>
          <w:numId w:val="16"/>
        </w:numPr>
        <w:tabs>
          <w:tab w:pos="2380" w:val="left" w:leader="none"/>
          <w:tab w:pos="2381" w:val="left" w:leader="none"/>
        </w:tabs>
        <w:spacing w:line="242" w:lineRule="auto" w:before="155" w:after="0"/>
        <w:ind w:left="2381" w:right="1952" w:hanging="794"/>
        <w:jc w:val="left"/>
        <w:rPr>
          <w:sz w:val="21"/>
        </w:rPr>
      </w:pPr>
      <w:r>
        <w:rPr>
          <w:w w:val="105"/>
          <w:sz w:val="21"/>
        </w:rPr>
        <w:t>Only</w:t>
      </w:r>
      <w:r>
        <w:rPr>
          <w:spacing w:val="-6"/>
          <w:w w:val="105"/>
          <w:sz w:val="21"/>
        </w:rPr>
        <w:t> </w:t>
      </w:r>
      <w:r>
        <w:rPr>
          <w:w w:val="105"/>
          <w:sz w:val="21"/>
        </w:rPr>
        <w:t>a</w:t>
      </w:r>
      <w:r>
        <w:rPr>
          <w:spacing w:val="-5"/>
          <w:w w:val="105"/>
          <w:sz w:val="21"/>
        </w:rPr>
        <w:t> </w:t>
      </w:r>
      <w:r>
        <w:rPr>
          <w:spacing w:val="-3"/>
          <w:w w:val="105"/>
          <w:sz w:val="21"/>
        </w:rPr>
        <w:t>small</w:t>
      </w:r>
      <w:r>
        <w:rPr>
          <w:spacing w:val="-5"/>
          <w:w w:val="105"/>
          <w:sz w:val="21"/>
        </w:rPr>
        <w:t> </w:t>
      </w:r>
      <w:r>
        <w:rPr>
          <w:w w:val="105"/>
          <w:sz w:val="21"/>
        </w:rPr>
        <w:t>number</w:t>
      </w:r>
      <w:r>
        <w:rPr>
          <w:spacing w:val="-5"/>
          <w:w w:val="105"/>
          <w:sz w:val="21"/>
        </w:rPr>
        <w:t> </w:t>
      </w:r>
      <w:r>
        <w:rPr>
          <w:w w:val="105"/>
          <w:sz w:val="21"/>
        </w:rPr>
        <w:t>of</w:t>
      </w:r>
      <w:r>
        <w:rPr>
          <w:spacing w:val="-5"/>
          <w:w w:val="105"/>
          <w:sz w:val="21"/>
        </w:rPr>
        <w:t> </w:t>
      </w:r>
      <w:r>
        <w:rPr>
          <w:w w:val="105"/>
          <w:sz w:val="21"/>
        </w:rPr>
        <w:t>people</w:t>
      </w:r>
      <w:r>
        <w:rPr>
          <w:spacing w:val="-5"/>
          <w:w w:val="105"/>
          <w:sz w:val="21"/>
        </w:rPr>
        <w:t> </w:t>
      </w:r>
      <w:r>
        <w:rPr>
          <w:w w:val="105"/>
          <w:sz w:val="21"/>
        </w:rPr>
        <w:t>reporting</w:t>
      </w:r>
      <w:r>
        <w:rPr>
          <w:spacing w:val="-5"/>
          <w:w w:val="105"/>
          <w:sz w:val="21"/>
        </w:rPr>
        <w:t> </w:t>
      </w:r>
      <w:r>
        <w:rPr>
          <w:w w:val="105"/>
          <w:sz w:val="21"/>
        </w:rPr>
        <w:t>a</w:t>
      </w:r>
      <w:r>
        <w:rPr>
          <w:spacing w:val="-5"/>
          <w:w w:val="105"/>
          <w:sz w:val="21"/>
        </w:rPr>
        <w:t> </w:t>
      </w:r>
      <w:r>
        <w:rPr>
          <w:w w:val="105"/>
          <w:sz w:val="21"/>
        </w:rPr>
        <w:t>tree</w:t>
      </w:r>
      <w:r>
        <w:rPr>
          <w:spacing w:val="-5"/>
          <w:w w:val="105"/>
          <w:sz w:val="21"/>
        </w:rPr>
        <w:t> </w:t>
      </w:r>
      <w:r>
        <w:rPr>
          <w:spacing w:val="-3"/>
          <w:w w:val="105"/>
          <w:sz w:val="21"/>
        </w:rPr>
        <w:t>dispute</w:t>
      </w:r>
      <w:r>
        <w:rPr>
          <w:spacing w:val="-5"/>
          <w:w w:val="105"/>
          <w:sz w:val="21"/>
        </w:rPr>
        <w:t> </w:t>
      </w:r>
      <w:r>
        <w:rPr>
          <w:spacing w:val="-3"/>
          <w:w w:val="105"/>
          <w:sz w:val="21"/>
        </w:rPr>
        <w:t>to</w:t>
      </w:r>
      <w:r>
        <w:rPr>
          <w:spacing w:val="-5"/>
          <w:w w:val="105"/>
          <w:sz w:val="21"/>
        </w:rPr>
        <w:t> </w:t>
      </w:r>
      <w:r>
        <w:rPr>
          <w:w w:val="105"/>
          <w:sz w:val="21"/>
        </w:rPr>
        <w:t>the</w:t>
      </w:r>
      <w:r>
        <w:rPr>
          <w:spacing w:val="-5"/>
          <w:w w:val="105"/>
          <w:sz w:val="21"/>
        </w:rPr>
        <w:t> </w:t>
      </w:r>
      <w:r>
        <w:rPr>
          <w:spacing w:val="-3"/>
          <w:w w:val="105"/>
          <w:sz w:val="21"/>
        </w:rPr>
        <w:t>Commission</w:t>
      </w:r>
      <w:r>
        <w:rPr>
          <w:spacing w:val="-5"/>
          <w:w w:val="105"/>
          <w:sz w:val="21"/>
        </w:rPr>
        <w:t> </w:t>
      </w:r>
      <w:r>
        <w:rPr>
          <w:w w:val="105"/>
          <w:sz w:val="21"/>
        </w:rPr>
        <w:t>stated</w:t>
      </w:r>
      <w:r>
        <w:rPr>
          <w:spacing w:val="-5"/>
          <w:w w:val="105"/>
          <w:sz w:val="21"/>
        </w:rPr>
        <w:t> </w:t>
      </w:r>
      <w:r>
        <w:rPr>
          <w:spacing w:val="-3"/>
          <w:w w:val="105"/>
          <w:sz w:val="21"/>
        </w:rPr>
        <w:t>that </w:t>
      </w:r>
      <w:r>
        <w:rPr>
          <w:w w:val="105"/>
          <w:sz w:val="21"/>
        </w:rPr>
        <w:t>they </w:t>
      </w:r>
      <w:r>
        <w:rPr>
          <w:spacing w:val="-2"/>
          <w:w w:val="105"/>
          <w:sz w:val="21"/>
        </w:rPr>
        <w:t>had </w:t>
      </w:r>
      <w:r>
        <w:rPr>
          <w:w w:val="105"/>
          <w:sz w:val="21"/>
        </w:rPr>
        <w:t>been able </w:t>
      </w:r>
      <w:r>
        <w:rPr>
          <w:spacing w:val="-3"/>
          <w:w w:val="105"/>
          <w:sz w:val="21"/>
        </w:rPr>
        <w:t>to </w:t>
      </w:r>
      <w:r>
        <w:rPr>
          <w:w w:val="105"/>
          <w:sz w:val="21"/>
        </w:rPr>
        <w:t>resolve</w:t>
      </w:r>
      <w:r>
        <w:rPr>
          <w:spacing w:val="33"/>
          <w:w w:val="105"/>
          <w:sz w:val="21"/>
        </w:rPr>
        <w:t> </w:t>
      </w:r>
      <w:r>
        <w:rPr>
          <w:spacing w:val="-6"/>
          <w:w w:val="105"/>
          <w:sz w:val="21"/>
        </w:rPr>
        <w:t>it.</w:t>
      </w:r>
      <w:r>
        <w:rPr>
          <w:spacing w:val="-6"/>
          <w:w w:val="105"/>
          <w:position w:val="7"/>
          <w:sz w:val="12"/>
        </w:rPr>
        <w:t>147</w:t>
      </w:r>
    </w:p>
    <w:p>
      <w:pPr>
        <w:pStyle w:val="ListParagraph"/>
        <w:numPr>
          <w:ilvl w:val="1"/>
          <w:numId w:val="16"/>
        </w:numPr>
        <w:tabs>
          <w:tab w:pos="2381" w:val="left" w:leader="none"/>
          <w:tab w:pos="2382" w:val="left" w:leader="none"/>
        </w:tabs>
        <w:spacing w:line="242" w:lineRule="auto" w:before="122" w:after="0"/>
        <w:ind w:left="2381" w:right="1731" w:hanging="794"/>
        <w:jc w:val="left"/>
        <w:rPr>
          <w:sz w:val="21"/>
        </w:rPr>
      </w:pPr>
      <w:r>
        <w:rPr>
          <w:w w:val="105"/>
          <w:sz w:val="21"/>
        </w:rPr>
        <w:t>The most </w:t>
      </w:r>
      <w:r>
        <w:rPr>
          <w:spacing w:val="-2"/>
          <w:w w:val="105"/>
          <w:sz w:val="21"/>
        </w:rPr>
        <w:t>common </w:t>
      </w:r>
      <w:r>
        <w:rPr>
          <w:w w:val="105"/>
          <w:sz w:val="21"/>
        </w:rPr>
        <w:t>ways </w:t>
      </w:r>
      <w:r>
        <w:rPr>
          <w:spacing w:val="-3"/>
          <w:w w:val="105"/>
          <w:sz w:val="21"/>
        </w:rPr>
        <w:t>that </w:t>
      </w:r>
      <w:r>
        <w:rPr>
          <w:w w:val="105"/>
          <w:sz w:val="21"/>
        </w:rPr>
        <w:t>neighbours tried </w:t>
      </w:r>
      <w:r>
        <w:rPr>
          <w:spacing w:val="-3"/>
          <w:w w:val="105"/>
          <w:sz w:val="21"/>
        </w:rPr>
        <w:t>to </w:t>
      </w:r>
      <w:r>
        <w:rPr>
          <w:w w:val="105"/>
          <w:sz w:val="21"/>
        </w:rPr>
        <w:t>resolve their tree </w:t>
      </w:r>
      <w:r>
        <w:rPr>
          <w:spacing w:val="-3"/>
          <w:w w:val="105"/>
          <w:sz w:val="21"/>
        </w:rPr>
        <w:t>dispute were </w:t>
      </w:r>
      <w:r>
        <w:rPr>
          <w:w w:val="105"/>
          <w:sz w:val="21"/>
        </w:rPr>
        <w:t>by </w:t>
      </w:r>
      <w:r>
        <w:rPr>
          <w:spacing w:val="-3"/>
          <w:w w:val="105"/>
          <w:sz w:val="21"/>
        </w:rPr>
        <w:t>exercising </w:t>
      </w:r>
      <w:r>
        <w:rPr>
          <w:w w:val="105"/>
          <w:sz w:val="21"/>
        </w:rPr>
        <w:t>the self-help </w:t>
      </w:r>
      <w:r>
        <w:rPr>
          <w:spacing w:val="-3"/>
          <w:w w:val="105"/>
          <w:sz w:val="21"/>
        </w:rPr>
        <w:t>right to abatement </w:t>
      </w:r>
      <w:r>
        <w:rPr>
          <w:w w:val="105"/>
          <w:sz w:val="21"/>
        </w:rPr>
        <w:t>or by </w:t>
      </w:r>
      <w:r>
        <w:rPr>
          <w:spacing w:val="-3"/>
          <w:w w:val="105"/>
          <w:sz w:val="21"/>
        </w:rPr>
        <w:t>attempting neighbour-led dispute </w:t>
      </w:r>
      <w:r>
        <w:rPr>
          <w:spacing w:val="-4"/>
          <w:w w:val="105"/>
          <w:sz w:val="21"/>
        </w:rPr>
        <w:t>resolution.</w:t>
      </w:r>
      <w:r>
        <w:rPr>
          <w:spacing w:val="-4"/>
          <w:w w:val="105"/>
          <w:position w:val="7"/>
          <w:sz w:val="12"/>
        </w:rPr>
        <w:t>148 </w:t>
      </w:r>
      <w:r>
        <w:rPr>
          <w:w w:val="105"/>
          <w:sz w:val="21"/>
        </w:rPr>
        <w:t>A </w:t>
      </w:r>
      <w:r>
        <w:rPr>
          <w:spacing w:val="-3"/>
          <w:w w:val="105"/>
          <w:sz w:val="21"/>
        </w:rPr>
        <w:t>smaller </w:t>
      </w:r>
      <w:r>
        <w:rPr>
          <w:w w:val="105"/>
          <w:sz w:val="21"/>
        </w:rPr>
        <w:t>number of people reported </w:t>
      </w:r>
      <w:r>
        <w:rPr>
          <w:spacing w:val="-3"/>
          <w:w w:val="105"/>
          <w:sz w:val="21"/>
        </w:rPr>
        <w:t>that </w:t>
      </w:r>
      <w:r>
        <w:rPr>
          <w:w w:val="105"/>
          <w:sz w:val="21"/>
        </w:rPr>
        <w:t>they contacted DSCV </w:t>
      </w:r>
      <w:r>
        <w:rPr>
          <w:spacing w:val="-3"/>
          <w:w w:val="105"/>
          <w:sz w:val="21"/>
        </w:rPr>
        <w:t>for </w:t>
      </w:r>
      <w:r>
        <w:rPr>
          <w:w w:val="105"/>
          <w:sz w:val="21"/>
        </w:rPr>
        <w:t>varying degrees of</w:t>
      </w:r>
      <w:r>
        <w:rPr>
          <w:spacing w:val="10"/>
          <w:w w:val="105"/>
          <w:sz w:val="21"/>
        </w:rPr>
        <w:t> </w:t>
      </w:r>
      <w:r>
        <w:rPr>
          <w:spacing w:val="-4"/>
          <w:w w:val="105"/>
          <w:sz w:val="21"/>
        </w:rPr>
        <w:t>assistance.</w:t>
      </w:r>
      <w:r>
        <w:rPr>
          <w:spacing w:val="-4"/>
          <w:w w:val="105"/>
          <w:position w:val="7"/>
          <w:sz w:val="12"/>
        </w:rPr>
        <w:t>149</w:t>
      </w:r>
    </w:p>
    <w:p>
      <w:pPr>
        <w:pStyle w:val="ListParagraph"/>
        <w:numPr>
          <w:ilvl w:val="1"/>
          <w:numId w:val="16"/>
        </w:numPr>
        <w:tabs>
          <w:tab w:pos="2380" w:val="left" w:leader="none"/>
          <w:tab w:pos="2381" w:val="left" w:leader="none"/>
        </w:tabs>
        <w:spacing w:line="242" w:lineRule="auto" w:before="125" w:after="0"/>
        <w:ind w:left="2380" w:right="1918" w:hanging="793"/>
        <w:jc w:val="left"/>
        <w:rPr>
          <w:sz w:val="21"/>
        </w:rPr>
      </w:pPr>
      <w:r>
        <w:rPr>
          <w:sz w:val="21"/>
        </w:rPr>
        <w:t>The three </w:t>
      </w:r>
      <w:r>
        <w:rPr>
          <w:spacing w:val="-3"/>
          <w:sz w:val="21"/>
        </w:rPr>
        <w:t>main reasons </w:t>
      </w:r>
      <w:r>
        <w:rPr>
          <w:sz w:val="21"/>
        </w:rPr>
        <w:t>given by community members </w:t>
      </w:r>
      <w:r>
        <w:rPr>
          <w:spacing w:val="-3"/>
          <w:sz w:val="21"/>
        </w:rPr>
        <w:t>for </w:t>
      </w:r>
      <w:r>
        <w:rPr>
          <w:sz w:val="21"/>
        </w:rPr>
        <w:t>why neighbours </w:t>
      </w:r>
      <w:r>
        <w:rPr>
          <w:spacing w:val="-3"/>
          <w:sz w:val="21"/>
        </w:rPr>
        <w:t>may </w:t>
      </w:r>
      <w:r>
        <w:rPr>
          <w:spacing w:val="-2"/>
          <w:sz w:val="21"/>
        </w:rPr>
        <w:t>not </w:t>
      </w:r>
      <w:r>
        <w:rPr>
          <w:sz w:val="21"/>
        </w:rPr>
        <w:t>be </w:t>
      </w:r>
      <w:r>
        <w:rPr>
          <w:spacing w:val="-3"/>
          <w:sz w:val="21"/>
        </w:rPr>
        <w:t>successful </w:t>
      </w:r>
      <w:r>
        <w:rPr>
          <w:sz w:val="21"/>
        </w:rPr>
        <w:t>in resolving their tree </w:t>
      </w:r>
      <w:r>
        <w:rPr>
          <w:spacing w:val="-3"/>
          <w:sz w:val="21"/>
        </w:rPr>
        <w:t>dispute</w:t>
      </w:r>
      <w:r>
        <w:rPr>
          <w:spacing w:val="10"/>
          <w:sz w:val="21"/>
        </w:rPr>
        <w:t> </w:t>
      </w:r>
      <w:r>
        <w:rPr>
          <w:sz w:val="21"/>
        </w:rPr>
        <w:t>were:</w:t>
      </w:r>
    </w:p>
    <w:p>
      <w:pPr>
        <w:pStyle w:val="ListParagraph"/>
        <w:numPr>
          <w:ilvl w:val="2"/>
          <w:numId w:val="16"/>
        </w:numPr>
        <w:tabs>
          <w:tab w:pos="2721" w:val="left" w:leader="none"/>
          <w:tab w:pos="2722" w:val="left" w:leader="none"/>
        </w:tabs>
        <w:spacing w:line="240" w:lineRule="auto" w:before="122" w:after="0"/>
        <w:ind w:left="2721" w:right="0" w:hanging="341"/>
        <w:jc w:val="left"/>
        <w:rPr>
          <w:sz w:val="21"/>
        </w:rPr>
      </w:pPr>
      <w:r>
        <w:rPr>
          <w:w w:val="105"/>
          <w:sz w:val="21"/>
        </w:rPr>
        <w:t>a lack of clarity about the law and </w:t>
      </w:r>
      <w:r>
        <w:rPr>
          <w:spacing w:val="-3"/>
          <w:w w:val="105"/>
          <w:sz w:val="21"/>
        </w:rPr>
        <w:t>information</w:t>
      </w:r>
      <w:r>
        <w:rPr>
          <w:spacing w:val="40"/>
          <w:w w:val="105"/>
          <w:sz w:val="21"/>
        </w:rPr>
        <w:t> </w:t>
      </w:r>
      <w:r>
        <w:rPr>
          <w:spacing w:val="-3"/>
          <w:w w:val="105"/>
          <w:sz w:val="21"/>
        </w:rPr>
        <w:t>sources</w:t>
      </w:r>
    </w:p>
    <w:p>
      <w:pPr>
        <w:pStyle w:val="ListParagraph"/>
        <w:numPr>
          <w:ilvl w:val="2"/>
          <w:numId w:val="16"/>
        </w:numPr>
        <w:tabs>
          <w:tab w:pos="2721" w:val="left" w:leader="none"/>
          <w:tab w:pos="2722" w:val="left" w:leader="none"/>
        </w:tabs>
        <w:spacing w:line="242" w:lineRule="auto" w:before="89" w:after="0"/>
        <w:ind w:left="2721" w:right="2331" w:hanging="341"/>
        <w:jc w:val="left"/>
        <w:rPr>
          <w:sz w:val="21"/>
        </w:rPr>
      </w:pPr>
      <w:r>
        <w:rPr>
          <w:w w:val="105"/>
          <w:sz w:val="21"/>
        </w:rPr>
        <w:t>an</w:t>
      </w:r>
      <w:r>
        <w:rPr>
          <w:spacing w:val="-6"/>
          <w:w w:val="105"/>
          <w:sz w:val="21"/>
        </w:rPr>
        <w:t> </w:t>
      </w:r>
      <w:r>
        <w:rPr>
          <w:spacing w:val="-3"/>
          <w:w w:val="105"/>
          <w:sz w:val="21"/>
        </w:rPr>
        <w:t>inadequate</w:t>
      </w:r>
      <w:r>
        <w:rPr>
          <w:spacing w:val="-6"/>
          <w:w w:val="105"/>
          <w:sz w:val="21"/>
        </w:rPr>
        <w:t> </w:t>
      </w:r>
      <w:r>
        <w:rPr>
          <w:spacing w:val="-3"/>
          <w:w w:val="105"/>
          <w:sz w:val="21"/>
        </w:rPr>
        <w:t>balance</w:t>
      </w:r>
      <w:r>
        <w:rPr>
          <w:spacing w:val="-5"/>
          <w:w w:val="105"/>
          <w:sz w:val="21"/>
        </w:rPr>
        <w:t> </w:t>
      </w:r>
      <w:r>
        <w:rPr>
          <w:w w:val="105"/>
          <w:sz w:val="21"/>
        </w:rPr>
        <w:t>between</w:t>
      </w:r>
      <w:r>
        <w:rPr>
          <w:spacing w:val="-6"/>
          <w:w w:val="105"/>
          <w:sz w:val="21"/>
        </w:rPr>
        <w:t> </w:t>
      </w:r>
      <w:r>
        <w:rPr>
          <w:w w:val="105"/>
          <w:sz w:val="21"/>
        </w:rPr>
        <w:t>the</w:t>
      </w:r>
      <w:r>
        <w:rPr>
          <w:spacing w:val="-5"/>
          <w:w w:val="105"/>
          <w:sz w:val="21"/>
        </w:rPr>
        <w:t> </w:t>
      </w:r>
      <w:r>
        <w:rPr>
          <w:w w:val="105"/>
          <w:sz w:val="21"/>
        </w:rPr>
        <w:t>rights</w:t>
      </w:r>
      <w:r>
        <w:rPr>
          <w:spacing w:val="-6"/>
          <w:w w:val="105"/>
          <w:sz w:val="21"/>
        </w:rPr>
        <w:t> </w:t>
      </w:r>
      <w:r>
        <w:rPr>
          <w:w w:val="105"/>
          <w:sz w:val="21"/>
        </w:rPr>
        <w:t>of</w:t>
      </w:r>
      <w:r>
        <w:rPr>
          <w:spacing w:val="-5"/>
          <w:w w:val="105"/>
          <w:sz w:val="21"/>
        </w:rPr>
        <w:t> </w:t>
      </w:r>
      <w:r>
        <w:rPr>
          <w:w w:val="105"/>
          <w:sz w:val="21"/>
        </w:rPr>
        <w:t>the</w:t>
      </w:r>
      <w:r>
        <w:rPr>
          <w:spacing w:val="-6"/>
          <w:w w:val="105"/>
          <w:sz w:val="21"/>
        </w:rPr>
        <w:t> </w:t>
      </w:r>
      <w:r>
        <w:rPr>
          <w:w w:val="105"/>
          <w:sz w:val="21"/>
        </w:rPr>
        <w:t>tree</w:t>
      </w:r>
      <w:r>
        <w:rPr>
          <w:spacing w:val="-5"/>
          <w:w w:val="105"/>
          <w:sz w:val="21"/>
        </w:rPr>
        <w:t> </w:t>
      </w:r>
      <w:r>
        <w:rPr>
          <w:w w:val="105"/>
          <w:sz w:val="21"/>
        </w:rPr>
        <w:t>owner</w:t>
      </w:r>
      <w:r>
        <w:rPr>
          <w:spacing w:val="-6"/>
          <w:w w:val="105"/>
          <w:sz w:val="21"/>
        </w:rPr>
        <w:t> </w:t>
      </w:r>
      <w:r>
        <w:rPr>
          <w:w w:val="105"/>
          <w:sz w:val="21"/>
        </w:rPr>
        <w:t>and</w:t>
      </w:r>
      <w:r>
        <w:rPr>
          <w:spacing w:val="-5"/>
          <w:w w:val="105"/>
          <w:sz w:val="21"/>
        </w:rPr>
        <w:t> </w:t>
      </w:r>
      <w:r>
        <w:rPr>
          <w:w w:val="105"/>
          <w:sz w:val="21"/>
        </w:rPr>
        <w:t>the</w:t>
      </w:r>
      <w:r>
        <w:rPr>
          <w:spacing w:val="-6"/>
          <w:w w:val="105"/>
          <w:sz w:val="21"/>
        </w:rPr>
        <w:t> </w:t>
      </w:r>
      <w:r>
        <w:rPr>
          <w:w w:val="105"/>
          <w:sz w:val="21"/>
        </w:rPr>
        <w:t>affected </w:t>
      </w:r>
      <w:r>
        <w:rPr>
          <w:spacing w:val="-3"/>
          <w:w w:val="105"/>
          <w:sz w:val="21"/>
        </w:rPr>
        <w:t>neighbour</w:t>
      </w:r>
    </w:p>
    <w:p>
      <w:pPr>
        <w:pStyle w:val="ListParagraph"/>
        <w:numPr>
          <w:ilvl w:val="2"/>
          <w:numId w:val="16"/>
        </w:numPr>
        <w:tabs>
          <w:tab w:pos="2721" w:val="left" w:leader="none"/>
          <w:tab w:pos="2722" w:val="left" w:leader="none"/>
        </w:tabs>
        <w:spacing w:line="240" w:lineRule="auto" w:before="87" w:after="0"/>
        <w:ind w:left="2721" w:right="0" w:hanging="341"/>
        <w:jc w:val="left"/>
        <w:rPr>
          <w:sz w:val="21"/>
        </w:rPr>
      </w:pPr>
      <w:r>
        <w:rPr>
          <w:sz w:val="21"/>
        </w:rPr>
        <w:t>the </w:t>
      </w:r>
      <w:r>
        <w:rPr>
          <w:spacing w:val="-3"/>
          <w:sz w:val="21"/>
        </w:rPr>
        <w:t>limited avenues </w:t>
      </w:r>
      <w:r>
        <w:rPr>
          <w:sz w:val="21"/>
        </w:rPr>
        <w:t>of recourse</w:t>
      </w:r>
      <w:r>
        <w:rPr>
          <w:spacing w:val="1"/>
          <w:sz w:val="21"/>
        </w:rPr>
        <w:t> </w:t>
      </w:r>
      <w:r>
        <w:rPr>
          <w:spacing w:val="-3"/>
          <w:sz w:val="21"/>
        </w:rPr>
        <w:t>available.</w:t>
      </w:r>
    </w:p>
    <w:p>
      <w:pPr>
        <w:pStyle w:val="Heading5"/>
        <w:spacing w:before="213"/>
      </w:pPr>
      <w:r>
        <w:rPr>
          <w:w w:val="115"/>
        </w:rPr>
        <w:t>Lack of clarity</w:t>
      </w:r>
    </w:p>
    <w:p>
      <w:pPr>
        <w:pStyle w:val="ListParagraph"/>
        <w:numPr>
          <w:ilvl w:val="1"/>
          <w:numId w:val="16"/>
        </w:numPr>
        <w:tabs>
          <w:tab w:pos="2381" w:val="left" w:leader="none"/>
          <w:tab w:pos="2382" w:val="left" w:leader="none"/>
        </w:tabs>
        <w:spacing w:line="242" w:lineRule="auto" w:before="137" w:after="0"/>
        <w:ind w:left="2381" w:right="1930" w:hanging="794"/>
        <w:jc w:val="left"/>
        <w:rPr>
          <w:sz w:val="21"/>
        </w:rPr>
      </w:pPr>
      <w:r>
        <w:rPr>
          <w:spacing w:val="-3"/>
          <w:sz w:val="21"/>
        </w:rPr>
        <w:t>Many </w:t>
      </w:r>
      <w:r>
        <w:rPr>
          <w:sz w:val="21"/>
        </w:rPr>
        <w:t>community responses identified </w:t>
      </w:r>
      <w:r>
        <w:rPr>
          <w:spacing w:val="-3"/>
          <w:sz w:val="21"/>
        </w:rPr>
        <w:t>that </w:t>
      </w:r>
      <w:r>
        <w:rPr>
          <w:sz w:val="21"/>
        </w:rPr>
        <w:t>the law lacks </w:t>
      </w:r>
      <w:r>
        <w:rPr>
          <w:spacing w:val="-3"/>
          <w:sz w:val="21"/>
        </w:rPr>
        <w:t>clarity, </w:t>
      </w:r>
      <w:r>
        <w:rPr>
          <w:sz w:val="21"/>
        </w:rPr>
        <w:t>particularly in </w:t>
      </w:r>
      <w:r>
        <w:rPr>
          <w:spacing w:val="-3"/>
          <w:sz w:val="21"/>
        </w:rPr>
        <w:t>terms </w:t>
      </w:r>
      <w:r>
        <w:rPr>
          <w:sz w:val="21"/>
        </w:rPr>
        <w:t>of </w:t>
      </w:r>
      <w:r>
        <w:rPr>
          <w:spacing w:val="-3"/>
          <w:sz w:val="21"/>
        </w:rPr>
        <w:t>making </w:t>
      </w:r>
      <w:r>
        <w:rPr>
          <w:sz w:val="21"/>
        </w:rPr>
        <w:t>it easy </w:t>
      </w:r>
      <w:r>
        <w:rPr>
          <w:spacing w:val="-3"/>
          <w:sz w:val="21"/>
        </w:rPr>
        <w:t>for </w:t>
      </w:r>
      <w:r>
        <w:rPr>
          <w:sz w:val="21"/>
        </w:rPr>
        <w:t>neighbours </w:t>
      </w:r>
      <w:r>
        <w:rPr>
          <w:spacing w:val="-3"/>
          <w:sz w:val="21"/>
        </w:rPr>
        <w:t>to </w:t>
      </w:r>
      <w:r>
        <w:rPr>
          <w:sz w:val="21"/>
        </w:rPr>
        <w:t>apply legal rules </w:t>
      </w:r>
      <w:r>
        <w:rPr>
          <w:spacing w:val="-3"/>
          <w:sz w:val="21"/>
        </w:rPr>
        <w:t>to </w:t>
      </w:r>
      <w:r>
        <w:rPr>
          <w:sz w:val="21"/>
        </w:rPr>
        <w:t>their tree</w:t>
      </w:r>
      <w:r>
        <w:rPr>
          <w:spacing w:val="-24"/>
          <w:sz w:val="21"/>
        </w:rPr>
        <w:t> </w:t>
      </w:r>
      <w:r>
        <w:rPr>
          <w:spacing w:val="-5"/>
          <w:sz w:val="21"/>
        </w:rPr>
        <w:t>dispute.</w:t>
      </w:r>
      <w:r>
        <w:rPr>
          <w:spacing w:val="-5"/>
          <w:position w:val="7"/>
          <w:sz w:val="12"/>
        </w:rPr>
        <w:t>150</w:t>
      </w:r>
    </w:p>
    <w:p>
      <w:pPr>
        <w:pStyle w:val="ListParagraph"/>
        <w:numPr>
          <w:ilvl w:val="1"/>
          <w:numId w:val="16"/>
        </w:numPr>
        <w:tabs>
          <w:tab w:pos="2381" w:val="left" w:leader="none"/>
        </w:tabs>
        <w:spacing w:line="242" w:lineRule="auto" w:before="123" w:after="0"/>
        <w:ind w:left="2381" w:right="1706" w:hanging="794"/>
        <w:jc w:val="both"/>
        <w:rPr>
          <w:sz w:val="21"/>
        </w:rPr>
      </w:pPr>
      <w:r>
        <w:rPr>
          <w:w w:val="105"/>
          <w:sz w:val="21"/>
        </w:rPr>
        <w:t>The </w:t>
      </w:r>
      <w:r>
        <w:rPr>
          <w:spacing w:val="-3"/>
          <w:w w:val="105"/>
          <w:sz w:val="21"/>
        </w:rPr>
        <w:t>Commission </w:t>
      </w:r>
      <w:r>
        <w:rPr>
          <w:spacing w:val="-2"/>
          <w:w w:val="105"/>
          <w:sz w:val="21"/>
        </w:rPr>
        <w:t>has </w:t>
      </w:r>
      <w:r>
        <w:rPr>
          <w:w w:val="105"/>
          <w:sz w:val="21"/>
        </w:rPr>
        <w:t>been told </w:t>
      </w:r>
      <w:r>
        <w:rPr>
          <w:spacing w:val="-3"/>
          <w:w w:val="105"/>
          <w:sz w:val="21"/>
        </w:rPr>
        <w:t>that </w:t>
      </w:r>
      <w:r>
        <w:rPr>
          <w:w w:val="105"/>
          <w:sz w:val="21"/>
        </w:rPr>
        <w:t>the </w:t>
      </w:r>
      <w:r>
        <w:rPr>
          <w:spacing w:val="-3"/>
          <w:w w:val="105"/>
          <w:sz w:val="21"/>
        </w:rPr>
        <w:t>available </w:t>
      </w:r>
      <w:r>
        <w:rPr>
          <w:spacing w:val="-2"/>
          <w:w w:val="105"/>
          <w:sz w:val="21"/>
        </w:rPr>
        <w:t>common </w:t>
      </w:r>
      <w:r>
        <w:rPr>
          <w:w w:val="105"/>
          <w:sz w:val="21"/>
        </w:rPr>
        <w:t>law causes of action </w:t>
      </w:r>
      <w:r>
        <w:rPr>
          <w:spacing w:val="-3"/>
          <w:w w:val="105"/>
          <w:sz w:val="21"/>
        </w:rPr>
        <w:t>are hard to navigate </w:t>
      </w:r>
      <w:r>
        <w:rPr>
          <w:w w:val="105"/>
          <w:sz w:val="21"/>
        </w:rPr>
        <w:t>and </w:t>
      </w:r>
      <w:r>
        <w:rPr>
          <w:spacing w:val="-3"/>
          <w:w w:val="105"/>
          <w:sz w:val="21"/>
        </w:rPr>
        <w:t>are </w:t>
      </w:r>
      <w:r>
        <w:rPr>
          <w:w w:val="105"/>
          <w:sz w:val="21"/>
        </w:rPr>
        <w:t>complex, and the rights of neighbours at </w:t>
      </w:r>
      <w:r>
        <w:rPr>
          <w:spacing w:val="-2"/>
          <w:w w:val="105"/>
          <w:sz w:val="21"/>
        </w:rPr>
        <w:t>common </w:t>
      </w:r>
      <w:r>
        <w:rPr>
          <w:w w:val="105"/>
          <w:sz w:val="21"/>
        </w:rPr>
        <w:t>law </w:t>
      </w:r>
      <w:r>
        <w:rPr>
          <w:spacing w:val="-3"/>
          <w:w w:val="105"/>
          <w:sz w:val="21"/>
        </w:rPr>
        <w:t>are </w:t>
      </w:r>
      <w:r>
        <w:rPr>
          <w:spacing w:val="-7"/>
          <w:w w:val="105"/>
          <w:sz w:val="21"/>
        </w:rPr>
        <w:t>unclear.</w:t>
      </w:r>
      <w:r>
        <w:rPr>
          <w:spacing w:val="-7"/>
          <w:w w:val="105"/>
          <w:position w:val="7"/>
          <w:sz w:val="12"/>
        </w:rPr>
        <w:t>151</w:t>
      </w:r>
      <w:r>
        <w:rPr>
          <w:spacing w:val="-7"/>
          <w:w w:val="105"/>
          <w:sz w:val="12"/>
        </w:rPr>
        <w:t> </w:t>
      </w:r>
      <w:r>
        <w:rPr>
          <w:w w:val="105"/>
          <w:sz w:val="21"/>
        </w:rPr>
        <w:t>This </w:t>
      </w:r>
      <w:r>
        <w:rPr>
          <w:spacing w:val="-3"/>
          <w:w w:val="105"/>
          <w:sz w:val="21"/>
        </w:rPr>
        <w:t>means that </w:t>
      </w:r>
      <w:r>
        <w:rPr>
          <w:w w:val="105"/>
          <w:sz w:val="21"/>
        </w:rPr>
        <w:t>neighbours </w:t>
      </w:r>
      <w:r>
        <w:rPr>
          <w:spacing w:val="-3"/>
          <w:w w:val="105"/>
          <w:sz w:val="21"/>
        </w:rPr>
        <w:t>are unable to </w:t>
      </w:r>
      <w:r>
        <w:rPr>
          <w:w w:val="105"/>
          <w:sz w:val="21"/>
        </w:rPr>
        <w:t>point </w:t>
      </w:r>
      <w:r>
        <w:rPr>
          <w:spacing w:val="-3"/>
          <w:w w:val="105"/>
          <w:sz w:val="21"/>
        </w:rPr>
        <w:t>to any clear </w:t>
      </w:r>
      <w:r>
        <w:rPr>
          <w:w w:val="105"/>
          <w:sz w:val="21"/>
        </w:rPr>
        <w:t>legal duty </w:t>
      </w:r>
      <w:r>
        <w:rPr>
          <w:spacing w:val="-3"/>
          <w:w w:val="105"/>
          <w:sz w:val="21"/>
        </w:rPr>
        <w:t>to encourage </w:t>
      </w:r>
      <w:r>
        <w:rPr>
          <w:w w:val="105"/>
          <w:sz w:val="21"/>
        </w:rPr>
        <w:t>the resolution</w:t>
      </w:r>
      <w:r>
        <w:rPr>
          <w:spacing w:val="-5"/>
          <w:w w:val="105"/>
          <w:sz w:val="21"/>
        </w:rPr>
        <w:t> </w:t>
      </w:r>
      <w:r>
        <w:rPr>
          <w:w w:val="105"/>
          <w:sz w:val="21"/>
        </w:rPr>
        <w:t>of</w:t>
      </w:r>
      <w:r>
        <w:rPr>
          <w:spacing w:val="-4"/>
          <w:w w:val="105"/>
          <w:sz w:val="21"/>
        </w:rPr>
        <w:t> </w:t>
      </w:r>
      <w:r>
        <w:rPr>
          <w:w w:val="105"/>
          <w:sz w:val="21"/>
        </w:rPr>
        <w:t>a</w:t>
      </w:r>
      <w:r>
        <w:rPr>
          <w:spacing w:val="-5"/>
          <w:w w:val="105"/>
          <w:sz w:val="21"/>
        </w:rPr>
        <w:t> </w:t>
      </w:r>
      <w:r>
        <w:rPr>
          <w:spacing w:val="-3"/>
          <w:w w:val="105"/>
          <w:sz w:val="21"/>
        </w:rPr>
        <w:t>dispute</w:t>
      </w:r>
      <w:r>
        <w:rPr>
          <w:spacing w:val="-4"/>
          <w:w w:val="105"/>
          <w:sz w:val="21"/>
        </w:rPr>
        <w:t> </w:t>
      </w:r>
      <w:r>
        <w:rPr>
          <w:w w:val="105"/>
          <w:sz w:val="21"/>
        </w:rPr>
        <w:t>or</w:t>
      </w:r>
      <w:r>
        <w:rPr>
          <w:spacing w:val="-4"/>
          <w:w w:val="105"/>
          <w:sz w:val="21"/>
        </w:rPr>
        <w:t> </w:t>
      </w:r>
      <w:r>
        <w:rPr>
          <w:w w:val="105"/>
          <w:sz w:val="21"/>
        </w:rPr>
        <w:t>even</w:t>
      </w:r>
      <w:r>
        <w:rPr>
          <w:spacing w:val="-5"/>
          <w:w w:val="105"/>
          <w:sz w:val="21"/>
        </w:rPr>
        <w:t> </w:t>
      </w:r>
      <w:r>
        <w:rPr>
          <w:spacing w:val="-3"/>
          <w:w w:val="105"/>
          <w:sz w:val="21"/>
        </w:rPr>
        <w:t>encourage</w:t>
      </w:r>
      <w:r>
        <w:rPr>
          <w:spacing w:val="-4"/>
          <w:w w:val="105"/>
          <w:sz w:val="21"/>
        </w:rPr>
        <w:t> </w:t>
      </w:r>
      <w:r>
        <w:rPr>
          <w:w w:val="105"/>
          <w:sz w:val="21"/>
        </w:rPr>
        <w:t>their</w:t>
      </w:r>
      <w:r>
        <w:rPr>
          <w:spacing w:val="-4"/>
          <w:w w:val="105"/>
          <w:sz w:val="21"/>
        </w:rPr>
        <w:t> </w:t>
      </w:r>
      <w:r>
        <w:rPr>
          <w:spacing w:val="-3"/>
          <w:w w:val="105"/>
          <w:sz w:val="21"/>
        </w:rPr>
        <w:t>neighbour</w:t>
      </w:r>
      <w:r>
        <w:rPr>
          <w:spacing w:val="-5"/>
          <w:w w:val="105"/>
          <w:sz w:val="21"/>
        </w:rPr>
        <w:t> </w:t>
      </w:r>
      <w:r>
        <w:rPr>
          <w:spacing w:val="-3"/>
          <w:w w:val="105"/>
          <w:sz w:val="21"/>
        </w:rPr>
        <w:t>to</w:t>
      </w:r>
      <w:r>
        <w:rPr>
          <w:spacing w:val="-4"/>
          <w:w w:val="105"/>
          <w:sz w:val="21"/>
        </w:rPr>
        <w:t> </w:t>
      </w:r>
      <w:r>
        <w:rPr>
          <w:w w:val="105"/>
          <w:sz w:val="21"/>
        </w:rPr>
        <w:t>engage</w:t>
      </w:r>
      <w:r>
        <w:rPr>
          <w:spacing w:val="-4"/>
          <w:w w:val="105"/>
          <w:sz w:val="21"/>
        </w:rPr>
        <w:t> </w:t>
      </w:r>
      <w:r>
        <w:rPr>
          <w:w w:val="105"/>
          <w:sz w:val="21"/>
        </w:rPr>
        <w:t>with</w:t>
      </w:r>
      <w:r>
        <w:rPr>
          <w:spacing w:val="-5"/>
          <w:w w:val="105"/>
          <w:sz w:val="21"/>
        </w:rPr>
        <w:t> </w:t>
      </w:r>
      <w:r>
        <w:rPr>
          <w:w w:val="105"/>
          <w:sz w:val="21"/>
        </w:rPr>
        <w:t>them</w:t>
      </w:r>
      <w:r>
        <w:rPr>
          <w:spacing w:val="-4"/>
          <w:w w:val="105"/>
          <w:sz w:val="21"/>
        </w:rPr>
        <w:t> </w:t>
      </w:r>
      <w:r>
        <w:rPr>
          <w:w w:val="105"/>
          <w:sz w:val="21"/>
        </w:rPr>
        <w:t>early</w:t>
      </w:r>
      <w:r>
        <w:rPr>
          <w:spacing w:val="-4"/>
          <w:w w:val="105"/>
          <w:sz w:val="21"/>
        </w:rPr>
        <w:t> </w:t>
      </w:r>
      <w:r>
        <w:rPr>
          <w:spacing w:val="-2"/>
          <w:w w:val="105"/>
          <w:sz w:val="21"/>
        </w:rPr>
        <w:t>on. </w:t>
      </w:r>
      <w:r>
        <w:rPr>
          <w:w w:val="105"/>
          <w:sz w:val="21"/>
        </w:rPr>
        <w:t>This is </w:t>
      </w:r>
      <w:r>
        <w:rPr>
          <w:spacing w:val="-3"/>
          <w:w w:val="105"/>
          <w:sz w:val="21"/>
        </w:rPr>
        <w:t>exacerbated </w:t>
      </w:r>
      <w:r>
        <w:rPr>
          <w:w w:val="105"/>
          <w:sz w:val="21"/>
        </w:rPr>
        <w:t>when the </w:t>
      </w:r>
      <w:r>
        <w:rPr>
          <w:spacing w:val="-3"/>
          <w:w w:val="105"/>
          <w:sz w:val="21"/>
        </w:rPr>
        <w:t>neighbour </w:t>
      </w:r>
      <w:r>
        <w:rPr>
          <w:w w:val="105"/>
          <w:sz w:val="21"/>
        </w:rPr>
        <w:t>is uncooperative or</w:t>
      </w:r>
      <w:r>
        <w:rPr>
          <w:spacing w:val="30"/>
          <w:w w:val="105"/>
          <w:sz w:val="21"/>
        </w:rPr>
        <w:t> </w:t>
      </w:r>
      <w:r>
        <w:rPr>
          <w:spacing w:val="-5"/>
          <w:w w:val="105"/>
          <w:sz w:val="21"/>
        </w:rPr>
        <w:t>hostile.</w:t>
      </w:r>
      <w:r>
        <w:rPr>
          <w:spacing w:val="-5"/>
          <w:w w:val="105"/>
          <w:position w:val="7"/>
          <w:sz w:val="12"/>
        </w:rPr>
        <w:t>152</w:t>
      </w:r>
    </w:p>
    <w:p>
      <w:pPr>
        <w:pStyle w:val="ListParagraph"/>
        <w:numPr>
          <w:ilvl w:val="1"/>
          <w:numId w:val="16"/>
        </w:numPr>
        <w:tabs>
          <w:tab w:pos="2381" w:val="left" w:leader="none"/>
          <w:tab w:pos="2382" w:val="left" w:leader="none"/>
        </w:tabs>
        <w:spacing w:line="240" w:lineRule="auto" w:before="125" w:after="0"/>
        <w:ind w:left="2381" w:right="0" w:hanging="794"/>
        <w:jc w:val="left"/>
        <w:rPr>
          <w:sz w:val="21"/>
        </w:rPr>
      </w:pPr>
      <w:r>
        <w:rPr>
          <w:sz w:val="21"/>
        </w:rPr>
        <w:t>The Law </w:t>
      </w:r>
      <w:r>
        <w:rPr>
          <w:spacing w:val="-3"/>
          <w:sz w:val="21"/>
        </w:rPr>
        <w:t>Institute </w:t>
      </w:r>
      <w:r>
        <w:rPr>
          <w:sz w:val="21"/>
        </w:rPr>
        <w:t>of Victoria</w:t>
      </w:r>
      <w:r>
        <w:rPr>
          <w:spacing w:val="45"/>
          <w:sz w:val="21"/>
        </w:rPr>
        <w:t> </w:t>
      </w:r>
      <w:r>
        <w:rPr>
          <w:sz w:val="21"/>
        </w:rPr>
        <w:t>stated:</w:t>
      </w:r>
    </w:p>
    <w:p>
      <w:pPr>
        <w:spacing w:line="254" w:lineRule="auto" w:before="133"/>
        <w:ind w:left="2834" w:right="1604" w:firstLine="0"/>
        <w:jc w:val="both"/>
        <w:rPr>
          <w:sz w:val="11"/>
        </w:rPr>
      </w:pPr>
      <w:r>
        <w:rPr>
          <w:w w:val="105"/>
          <w:sz w:val="20"/>
        </w:rPr>
        <w:t>Disputes</w:t>
      </w:r>
      <w:r>
        <w:rPr>
          <w:spacing w:val="-7"/>
          <w:w w:val="105"/>
          <w:sz w:val="20"/>
        </w:rPr>
        <w:t> </w:t>
      </w:r>
      <w:r>
        <w:rPr>
          <w:w w:val="105"/>
          <w:sz w:val="20"/>
        </w:rPr>
        <w:t>about</w:t>
      </w:r>
      <w:r>
        <w:rPr>
          <w:spacing w:val="-6"/>
          <w:w w:val="105"/>
          <w:sz w:val="20"/>
        </w:rPr>
        <w:t> </w:t>
      </w:r>
      <w:r>
        <w:rPr>
          <w:w w:val="105"/>
          <w:sz w:val="20"/>
        </w:rPr>
        <w:t>trees</w:t>
      </w:r>
      <w:r>
        <w:rPr>
          <w:spacing w:val="-7"/>
          <w:w w:val="105"/>
          <w:sz w:val="20"/>
        </w:rPr>
        <w:t> </w:t>
      </w:r>
      <w:r>
        <w:rPr>
          <w:w w:val="105"/>
          <w:sz w:val="20"/>
        </w:rPr>
        <w:t>are</w:t>
      </w:r>
      <w:r>
        <w:rPr>
          <w:spacing w:val="-6"/>
          <w:w w:val="105"/>
          <w:sz w:val="20"/>
        </w:rPr>
        <w:t> </w:t>
      </w:r>
      <w:r>
        <w:rPr>
          <w:w w:val="105"/>
          <w:sz w:val="20"/>
        </w:rPr>
        <w:t>governed</w:t>
      </w:r>
      <w:r>
        <w:rPr>
          <w:spacing w:val="-6"/>
          <w:w w:val="105"/>
          <w:sz w:val="20"/>
        </w:rPr>
        <w:t> </w:t>
      </w:r>
      <w:r>
        <w:rPr>
          <w:w w:val="105"/>
          <w:sz w:val="20"/>
        </w:rPr>
        <w:t>by</w:t>
      </w:r>
      <w:r>
        <w:rPr>
          <w:spacing w:val="-7"/>
          <w:w w:val="105"/>
          <w:sz w:val="20"/>
        </w:rPr>
        <w:t> </w:t>
      </w:r>
      <w:r>
        <w:rPr>
          <w:w w:val="105"/>
          <w:sz w:val="20"/>
        </w:rPr>
        <w:t>the</w:t>
      </w:r>
      <w:r>
        <w:rPr>
          <w:spacing w:val="-6"/>
          <w:w w:val="105"/>
          <w:sz w:val="20"/>
        </w:rPr>
        <w:t> </w:t>
      </w:r>
      <w:r>
        <w:rPr>
          <w:w w:val="105"/>
          <w:sz w:val="20"/>
        </w:rPr>
        <w:t>common</w:t>
      </w:r>
      <w:r>
        <w:rPr>
          <w:spacing w:val="-6"/>
          <w:w w:val="105"/>
          <w:sz w:val="20"/>
        </w:rPr>
        <w:t> </w:t>
      </w:r>
      <w:r>
        <w:rPr>
          <w:w w:val="105"/>
          <w:sz w:val="20"/>
        </w:rPr>
        <w:t>law</w:t>
      </w:r>
      <w:r>
        <w:rPr>
          <w:spacing w:val="-7"/>
          <w:w w:val="105"/>
          <w:sz w:val="20"/>
        </w:rPr>
        <w:t> </w:t>
      </w:r>
      <w:r>
        <w:rPr>
          <w:w w:val="105"/>
          <w:sz w:val="20"/>
        </w:rPr>
        <w:t>torts</w:t>
      </w:r>
      <w:r>
        <w:rPr>
          <w:spacing w:val="-6"/>
          <w:w w:val="105"/>
          <w:sz w:val="20"/>
        </w:rPr>
        <w:t> </w:t>
      </w:r>
      <w:r>
        <w:rPr>
          <w:w w:val="105"/>
          <w:sz w:val="20"/>
        </w:rPr>
        <w:t>of</w:t>
      </w:r>
      <w:r>
        <w:rPr>
          <w:spacing w:val="-6"/>
          <w:w w:val="105"/>
          <w:sz w:val="20"/>
        </w:rPr>
        <w:t> </w:t>
      </w:r>
      <w:r>
        <w:rPr>
          <w:w w:val="105"/>
          <w:sz w:val="20"/>
        </w:rPr>
        <w:t>negligence</w:t>
      </w:r>
      <w:r>
        <w:rPr>
          <w:spacing w:val="-7"/>
          <w:w w:val="105"/>
          <w:sz w:val="20"/>
        </w:rPr>
        <w:t> </w:t>
      </w:r>
      <w:r>
        <w:rPr>
          <w:w w:val="105"/>
          <w:sz w:val="20"/>
        </w:rPr>
        <w:t>and</w:t>
      </w:r>
      <w:r>
        <w:rPr>
          <w:spacing w:val="-6"/>
          <w:w w:val="105"/>
          <w:sz w:val="20"/>
        </w:rPr>
        <w:t> </w:t>
      </w:r>
      <w:r>
        <w:rPr>
          <w:spacing w:val="-3"/>
          <w:w w:val="105"/>
          <w:sz w:val="20"/>
        </w:rPr>
        <w:t>nuisance, </w:t>
      </w:r>
      <w:r>
        <w:rPr>
          <w:w w:val="105"/>
          <w:sz w:val="20"/>
        </w:rPr>
        <w:t>which</w:t>
      </w:r>
      <w:r>
        <w:rPr>
          <w:spacing w:val="-8"/>
          <w:w w:val="105"/>
          <w:sz w:val="20"/>
        </w:rPr>
        <w:t> </w:t>
      </w:r>
      <w:r>
        <w:rPr>
          <w:w w:val="105"/>
          <w:sz w:val="20"/>
        </w:rPr>
        <w:t>are</w:t>
      </w:r>
      <w:r>
        <w:rPr>
          <w:spacing w:val="-8"/>
          <w:w w:val="105"/>
          <w:sz w:val="20"/>
        </w:rPr>
        <w:t> </w:t>
      </w:r>
      <w:r>
        <w:rPr>
          <w:spacing w:val="-3"/>
          <w:w w:val="105"/>
          <w:sz w:val="20"/>
        </w:rPr>
        <w:t>inherently</w:t>
      </w:r>
      <w:r>
        <w:rPr>
          <w:spacing w:val="-8"/>
          <w:w w:val="105"/>
          <w:sz w:val="20"/>
        </w:rPr>
        <w:t> </w:t>
      </w:r>
      <w:r>
        <w:rPr>
          <w:w w:val="105"/>
          <w:sz w:val="20"/>
        </w:rPr>
        <w:t>complex.</w:t>
      </w:r>
      <w:r>
        <w:rPr>
          <w:spacing w:val="-8"/>
          <w:w w:val="105"/>
          <w:sz w:val="20"/>
        </w:rPr>
        <w:t> </w:t>
      </w:r>
      <w:r>
        <w:rPr>
          <w:w w:val="105"/>
          <w:sz w:val="20"/>
        </w:rPr>
        <w:t>Parties</w:t>
      </w:r>
      <w:r>
        <w:rPr>
          <w:spacing w:val="-8"/>
          <w:w w:val="105"/>
          <w:sz w:val="20"/>
        </w:rPr>
        <w:t> </w:t>
      </w:r>
      <w:r>
        <w:rPr>
          <w:w w:val="105"/>
          <w:sz w:val="20"/>
        </w:rPr>
        <w:t>may</w:t>
      </w:r>
      <w:r>
        <w:rPr>
          <w:spacing w:val="-7"/>
          <w:w w:val="105"/>
          <w:sz w:val="20"/>
        </w:rPr>
        <w:t> </w:t>
      </w:r>
      <w:r>
        <w:rPr>
          <w:w w:val="105"/>
          <w:sz w:val="20"/>
        </w:rPr>
        <w:t>view</w:t>
      </w:r>
      <w:r>
        <w:rPr>
          <w:spacing w:val="-8"/>
          <w:w w:val="105"/>
          <w:sz w:val="20"/>
        </w:rPr>
        <w:t> </w:t>
      </w:r>
      <w:r>
        <w:rPr>
          <w:w w:val="105"/>
          <w:sz w:val="20"/>
        </w:rPr>
        <w:t>the</w:t>
      </w:r>
      <w:r>
        <w:rPr>
          <w:spacing w:val="-8"/>
          <w:w w:val="105"/>
          <w:sz w:val="20"/>
        </w:rPr>
        <w:t> </w:t>
      </w:r>
      <w:r>
        <w:rPr>
          <w:spacing w:val="-3"/>
          <w:w w:val="105"/>
          <w:sz w:val="20"/>
        </w:rPr>
        <w:t>current</w:t>
      </w:r>
      <w:r>
        <w:rPr>
          <w:spacing w:val="-8"/>
          <w:w w:val="105"/>
          <w:sz w:val="20"/>
        </w:rPr>
        <w:t> </w:t>
      </w:r>
      <w:r>
        <w:rPr>
          <w:w w:val="105"/>
          <w:sz w:val="20"/>
        </w:rPr>
        <w:t>law</w:t>
      </w:r>
      <w:r>
        <w:rPr>
          <w:spacing w:val="-8"/>
          <w:w w:val="105"/>
          <w:sz w:val="20"/>
        </w:rPr>
        <w:t> </w:t>
      </w:r>
      <w:r>
        <w:rPr>
          <w:w w:val="105"/>
          <w:sz w:val="20"/>
        </w:rPr>
        <w:t>as</w:t>
      </w:r>
      <w:r>
        <w:rPr>
          <w:spacing w:val="-8"/>
          <w:w w:val="105"/>
          <w:sz w:val="20"/>
        </w:rPr>
        <w:t> </w:t>
      </w:r>
      <w:r>
        <w:rPr>
          <w:w w:val="105"/>
          <w:sz w:val="20"/>
        </w:rPr>
        <w:t>complex,</w:t>
      </w:r>
      <w:r>
        <w:rPr>
          <w:spacing w:val="-7"/>
          <w:w w:val="105"/>
          <w:sz w:val="20"/>
        </w:rPr>
        <w:t> </w:t>
      </w:r>
      <w:r>
        <w:rPr>
          <w:w w:val="105"/>
          <w:sz w:val="20"/>
        </w:rPr>
        <w:t>and</w:t>
      </w:r>
      <w:r>
        <w:rPr>
          <w:spacing w:val="-8"/>
          <w:w w:val="105"/>
          <w:sz w:val="20"/>
        </w:rPr>
        <w:t> </w:t>
      </w:r>
      <w:r>
        <w:rPr>
          <w:w w:val="105"/>
          <w:sz w:val="20"/>
        </w:rPr>
        <w:t>may</w:t>
      </w:r>
      <w:r>
        <w:rPr>
          <w:spacing w:val="-8"/>
          <w:w w:val="105"/>
          <w:sz w:val="20"/>
        </w:rPr>
        <w:t> </w:t>
      </w:r>
      <w:r>
        <w:rPr>
          <w:w w:val="105"/>
          <w:sz w:val="20"/>
        </w:rPr>
        <w:t>not </w:t>
      </w:r>
      <w:r>
        <w:rPr>
          <w:spacing w:val="-3"/>
          <w:w w:val="105"/>
          <w:sz w:val="20"/>
        </w:rPr>
        <w:t>have </w:t>
      </w:r>
      <w:r>
        <w:rPr>
          <w:w w:val="105"/>
          <w:sz w:val="20"/>
        </w:rPr>
        <w:t>a clear understanding of their rights and duties under the common</w:t>
      </w:r>
      <w:r>
        <w:rPr>
          <w:spacing w:val="17"/>
          <w:w w:val="105"/>
          <w:sz w:val="20"/>
        </w:rPr>
        <w:t> </w:t>
      </w:r>
      <w:r>
        <w:rPr>
          <w:spacing w:val="-6"/>
          <w:w w:val="105"/>
          <w:sz w:val="20"/>
        </w:rPr>
        <w:t>law.</w:t>
      </w:r>
      <w:r>
        <w:rPr>
          <w:spacing w:val="-6"/>
          <w:w w:val="105"/>
          <w:position w:val="7"/>
          <w:sz w:val="11"/>
        </w:rPr>
        <w:t>153</w:t>
      </w:r>
    </w:p>
    <w:p>
      <w:pPr>
        <w:pStyle w:val="ListParagraph"/>
        <w:numPr>
          <w:ilvl w:val="1"/>
          <w:numId w:val="16"/>
        </w:numPr>
        <w:tabs>
          <w:tab w:pos="2380" w:val="left" w:leader="none"/>
          <w:tab w:pos="2381" w:val="left" w:leader="none"/>
        </w:tabs>
        <w:spacing w:line="242" w:lineRule="auto" w:before="114" w:after="0"/>
        <w:ind w:left="2381" w:right="1756" w:hanging="794"/>
        <w:jc w:val="left"/>
        <w:rPr>
          <w:sz w:val="21"/>
        </w:rPr>
      </w:pPr>
      <w:r>
        <w:rPr>
          <w:w w:val="105"/>
          <w:sz w:val="21"/>
        </w:rPr>
        <w:t>DSCV suggested </w:t>
      </w:r>
      <w:r>
        <w:rPr>
          <w:spacing w:val="-3"/>
          <w:w w:val="105"/>
          <w:sz w:val="21"/>
        </w:rPr>
        <w:t>that </w:t>
      </w:r>
      <w:r>
        <w:rPr>
          <w:w w:val="105"/>
          <w:sz w:val="21"/>
        </w:rPr>
        <w:t>there </w:t>
      </w:r>
      <w:r>
        <w:rPr>
          <w:spacing w:val="-3"/>
          <w:w w:val="105"/>
          <w:sz w:val="21"/>
        </w:rPr>
        <w:t>are </w:t>
      </w:r>
      <w:r>
        <w:rPr>
          <w:w w:val="105"/>
          <w:sz w:val="21"/>
        </w:rPr>
        <w:t>a </w:t>
      </w:r>
      <w:r>
        <w:rPr>
          <w:spacing w:val="-3"/>
          <w:w w:val="105"/>
          <w:sz w:val="21"/>
        </w:rPr>
        <w:t>range </w:t>
      </w:r>
      <w:r>
        <w:rPr>
          <w:w w:val="105"/>
          <w:sz w:val="21"/>
        </w:rPr>
        <w:t>of </w:t>
      </w:r>
      <w:r>
        <w:rPr>
          <w:spacing w:val="-3"/>
          <w:w w:val="105"/>
          <w:sz w:val="21"/>
        </w:rPr>
        <w:t>reasons for </w:t>
      </w:r>
      <w:r>
        <w:rPr>
          <w:w w:val="105"/>
          <w:sz w:val="21"/>
        </w:rPr>
        <w:t>the lower </w:t>
      </w:r>
      <w:r>
        <w:rPr>
          <w:spacing w:val="-3"/>
          <w:w w:val="105"/>
          <w:sz w:val="21"/>
        </w:rPr>
        <w:t>rates </w:t>
      </w:r>
      <w:r>
        <w:rPr>
          <w:w w:val="105"/>
          <w:sz w:val="21"/>
        </w:rPr>
        <w:t>of </w:t>
      </w:r>
      <w:r>
        <w:rPr>
          <w:spacing w:val="-3"/>
          <w:w w:val="105"/>
          <w:sz w:val="21"/>
        </w:rPr>
        <w:t>dispute </w:t>
      </w:r>
      <w:r>
        <w:rPr>
          <w:w w:val="105"/>
          <w:sz w:val="21"/>
        </w:rPr>
        <w:t>resolution</w:t>
      </w:r>
      <w:r>
        <w:rPr>
          <w:spacing w:val="-8"/>
          <w:w w:val="105"/>
          <w:sz w:val="21"/>
        </w:rPr>
        <w:t> </w:t>
      </w:r>
      <w:r>
        <w:rPr>
          <w:spacing w:val="-3"/>
          <w:w w:val="105"/>
          <w:sz w:val="21"/>
        </w:rPr>
        <w:t>outcomes</w:t>
      </w:r>
      <w:r>
        <w:rPr>
          <w:spacing w:val="-7"/>
          <w:w w:val="105"/>
          <w:sz w:val="21"/>
        </w:rPr>
        <w:t> </w:t>
      </w:r>
      <w:r>
        <w:rPr>
          <w:spacing w:val="-3"/>
          <w:w w:val="105"/>
          <w:sz w:val="21"/>
        </w:rPr>
        <w:t>for</w:t>
      </w:r>
      <w:r>
        <w:rPr>
          <w:spacing w:val="-7"/>
          <w:w w:val="105"/>
          <w:sz w:val="21"/>
        </w:rPr>
        <w:t> </w:t>
      </w:r>
      <w:r>
        <w:rPr>
          <w:w w:val="105"/>
          <w:sz w:val="21"/>
        </w:rPr>
        <w:t>tree</w:t>
      </w:r>
      <w:r>
        <w:rPr>
          <w:spacing w:val="-8"/>
          <w:w w:val="105"/>
          <w:sz w:val="21"/>
        </w:rPr>
        <w:t> </w:t>
      </w:r>
      <w:r>
        <w:rPr>
          <w:w w:val="105"/>
          <w:sz w:val="21"/>
        </w:rPr>
        <w:t>matters.</w:t>
      </w:r>
      <w:r>
        <w:rPr>
          <w:spacing w:val="-7"/>
          <w:w w:val="105"/>
          <w:sz w:val="21"/>
        </w:rPr>
        <w:t> </w:t>
      </w:r>
      <w:r>
        <w:rPr>
          <w:w w:val="105"/>
          <w:sz w:val="21"/>
        </w:rPr>
        <w:t>Some</w:t>
      </w:r>
      <w:r>
        <w:rPr>
          <w:spacing w:val="-7"/>
          <w:w w:val="105"/>
          <w:sz w:val="21"/>
        </w:rPr>
        <w:t> </w:t>
      </w:r>
      <w:r>
        <w:rPr>
          <w:w w:val="105"/>
          <w:sz w:val="21"/>
        </w:rPr>
        <w:t>of</w:t>
      </w:r>
      <w:r>
        <w:rPr>
          <w:spacing w:val="-7"/>
          <w:w w:val="105"/>
          <w:sz w:val="21"/>
        </w:rPr>
        <w:t> </w:t>
      </w:r>
      <w:r>
        <w:rPr>
          <w:w w:val="105"/>
          <w:sz w:val="21"/>
        </w:rPr>
        <w:t>those</w:t>
      </w:r>
      <w:r>
        <w:rPr>
          <w:spacing w:val="-8"/>
          <w:w w:val="105"/>
          <w:sz w:val="21"/>
        </w:rPr>
        <w:t> </w:t>
      </w:r>
      <w:r>
        <w:rPr>
          <w:spacing w:val="-3"/>
          <w:w w:val="105"/>
          <w:sz w:val="21"/>
        </w:rPr>
        <w:t>relate</w:t>
      </w:r>
      <w:r>
        <w:rPr>
          <w:spacing w:val="-7"/>
          <w:w w:val="105"/>
          <w:sz w:val="21"/>
        </w:rPr>
        <w:t> </w:t>
      </w:r>
      <w:r>
        <w:rPr>
          <w:spacing w:val="-3"/>
          <w:w w:val="105"/>
          <w:sz w:val="21"/>
        </w:rPr>
        <w:t>to</w:t>
      </w:r>
      <w:r>
        <w:rPr>
          <w:spacing w:val="-7"/>
          <w:w w:val="105"/>
          <w:sz w:val="21"/>
        </w:rPr>
        <w:t> </w:t>
      </w:r>
      <w:r>
        <w:rPr>
          <w:w w:val="105"/>
          <w:sz w:val="21"/>
        </w:rPr>
        <w:t>a</w:t>
      </w:r>
      <w:r>
        <w:rPr>
          <w:spacing w:val="-7"/>
          <w:w w:val="105"/>
          <w:sz w:val="21"/>
        </w:rPr>
        <w:t> </w:t>
      </w:r>
      <w:r>
        <w:rPr>
          <w:w w:val="105"/>
          <w:sz w:val="21"/>
        </w:rPr>
        <w:t>lack</w:t>
      </w:r>
      <w:r>
        <w:rPr>
          <w:spacing w:val="-8"/>
          <w:w w:val="105"/>
          <w:sz w:val="21"/>
        </w:rPr>
        <w:t> </w:t>
      </w:r>
      <w:r>
        <w:rPr>
          <w:w w:val="105"/>
          <w:sz w:val="21"/>
        </w:rPr>
        <w:t>of</w:t>
      </w:r>
      <w:r>
        <w:rPr>
          <w:spacing w:val="-7"/>
          <w:w w:val="105"/>
          <w:sz w:val="21"/>
        </w:rPr>
        <w:t> </w:t>
      </w:r>
      <w:r>
        <w:rPr>
          <w:w w:val="105"/>
          <w:sz w:val="21"/>
        </w:rPr>
        <w:t>clarity</w:t>
      </w:r>
      <w:r>
        <w:rPr>
          <w:spacing w:val="-7"/>
          <w:w w:val="105"/>
          <w:sz w:val="21"/>
        </w:rPr>
        <w:t> </w:t>
      </w:r>
      <w:r>
        <w:rPr>
          <w:w w:val="105"/>
          <w:sz w:val="21"/>
        </w:rPr>
        <w:t>in</w:t>
      </w:r>
      <w:r>
        <w:rPr>
          <w:spacing w:val="-7"/>
          <w:w w:val="105"/>
          <w:sz w:val="21"/>
        </w:rPr>
        <w:t> </w:t>
      </w:r>
      <w:r>
        <w:rPr>
          <w:w w:val="105"/>
          <w:sz w:val="21"/>
        </w:rPr>
        <w:t>the</w:t>
      </w:r>
      <w:r>
        <w:rPr>
          <w:spacing w:val="-8"/>
          <w:w w:val="105"/>
          <w:sz w:val="21"/>
        </w:rPr>
        <w:t> </w:t>
      </w:r>
      <w:r>
        <w:rPr>
          <w:spacing w:val="-5"/>
          <w:w w:val="105"/>
          <w:sz w:val="21"/>
        </w:rPr>
        <w:t>law. </w:t>
      </w:r>
      <w:r>
        <w:rPr>
          <w:w w:val="105"/>
          <w:sz w:val="21"/>
        </w:rPr>
        <w:t>It suggested </w:t>
      </w:r>
      <w:r>
        <w:rPr>
          <w:spacing w:val="-3"/>
          <w:w w:val="105"/>
          <w:sz w:val="21"/>
        </w:rPr>
        <w:t>that many </w:t>
      </w:r>
      <w:r>
        <w:rPr>
          <w:w w:val="105"/>
          <w:sz w:val="21"/>
        </w:rPr>
        <w:t>people who contact the </w:t>
      </w:r>
      <w:r>
        <w:rPr>
          <w:spacing w:val="-3"/>
          <w:w w:val="105"/>
          <w:sz w:val="21"/>
        </w:rPr>
        <w:t>centre </w:t>
      </w:r>
      <w:r>
        <w:rPr>
          <w:w w:val="105"/>
          <w:sz w:val="21"/>
        </w:rPr>
        <w:t>incorrectly expect a local </w:t>
      </w:r>
      <w:r>
        <w:rPr>
          <w:spacing w:val="-3"/>
          <w:w w:val="105"/>
          <w:sz w:val="21"/>
        </w:rPr>
        <w:t>council </w:t>
      </w:r>
      <w:r>
        <w:rPr>
          <w:w w:val="105"/>
          <w:sz w:val="21"/>
        </w:rPr>
        <w:t>or </w:t>
      </w:r>
      <w:r>
        <w:rPr>
          <w:spacing w:val="-3"/>
          <w:w w:val="105"/>
          <w:sz w:val="21"/>
        </w:rPr>
        <w:t>government </w:t>
      </w:r>
      <w:r>
        <w:rPr>
          <w:w w:val="105"/>
          <w:sz w:val="21"/>
        </w:rPr>
        <w:t>agency </w:t>
      </w:r>
      <w:r>
        <w:rPr>
          <w:spacing w:val="-3"/>
          <w:w w:val="105"/>
          <w:sz w:val="21"/>
        </w:rPr>
        <w:t>to enforce </w:t>
      </w:r>
      <w:r>
        <w:rPr>
          <w:w w:val="105"/>
          <w:sz w:val="21"/>
        </w:rPr>
        <w:t>an </w:t>
      </w:r>
      <w:r>
        <w:rPr>
          <w:spacing w:val="-3"/>
          <w:w w:val="105"/>
          <w:sz w:val="21"/>
        </w:rPr>
        <w:t>outcome that </w:t>
      </w:r>
      <w:r>
        <w:rPr>
          <w:w w:val="105"/>
          <w:sz w:val="21"/>
        </w:rPr>
        <w:t>is </w:t>
      </w:r>
      <w:r>
        <w:rPr>
          <w:spacing w:val="-3"/>
          <w:w w:val="105"/>
          <w:sz w:val="21"/>
        </w:rPr>
        <w:t>inconsistent </w:t>
      </w:r>
      <w:r>
        <w:rPr>
          <w:w w:val="105"/>
          <w:sz w:val="21"/>
        </w:rPr>
        <w:t>with case </w:t>
      </w:r>
      <w:r>
        <w:rPr>
          <w:spacing w:val="-6"/>
          <w:w w:val="105"/>
          <w:sz w:val="21"/>
        </w:rPr>
        <w:t>law.</w:t>
      </w:r>
      <w:r>
        <w:rPr>
          <w:spacing w:val="-6"/>
          <w:w w:val="105"/>
          <w:position w:val="7"/>
          <w:sz w:val="12"/>
        </w:rPr>
        <w:t>154 </w:t>
      </w:r>
      <w:r>
        <w:rPr>
          <w:w w:val="105"/>
          <w:sz w:val="21"/>
        </w:rPr>
        <w:t>Other </w:t>
      </w:r>
      <w:r>
        <w:rPr>
          <w:spacing w:val="-3"/>
          <w:w w:val="105"/>
          <w:sz w:val="21"/>
        </w:rPr>
        <w:t>reasons relate to unclear </w:t>
      </w:r>
      <w:r>
        <w:rPr>
          <w:w w:val="105"/>
          <w:sz w:val="21"/>
        </w:rPr>
        <w:t>rights and </w:t>
      </w:r>
      <w:r>
        <w:rPr>
          <w:spacing w:val="-3"/>
          <w:w w:val="105"/>
          <w:sz w:val="21"/>
        </w:rPr>
        <w:t>obligations. </w:t>
      </w:r>
      <w:r>
        <w:rPr>
          <w:w w:val="105"/>
          <w:sz w:val="21"/>
        </w:rPr>
        <w:t>DSCV suggested that:</w:t>
      </w:r>
    </w:p>
    <w:p>
      <w:pPr>
        <w:spacing w:line="254" w:lineRule="auto" w:before="135"/>
        <w:ind w:left="2834" w:right="1603" w:firstLine="0"/>
        <w:jc w:val="both"/>
        <w:rPr>
          <w:sz w:val="20"/>
        </w:rPr>
      </w:pPr>
      <w:r>
        <w:rPr>
          <w:w w:val="105"/>
          <w:sz w:val="20"/>
        </w:rPr>
        <w:t>[DSCV staff find it] difficult to explain exactly what customers can and can’t do without going</w:t>
      </w:r>
      <w:r>
        <w:rPr>
          <w:spacing w:val="-5"/>
          <w:w w:val="105"/>
          <w:sz w:val="20"/>
        </w:rPr>
        <w:t> </w:t>
      </w:r>
      <w:r>
        <w:rPr>
          <w:w w:val="105"/>
          <w:sz w:val="20"/>
        </w:rPr>
        <w:t>to</w:t>
      </w:r>
      <w:r>
        <w:rPr>
          <w:spacing w:val="-5"/>
          <w:w w:val="105"/>
          <w:sz w:val="20"/>
        </w:rPr>
        <w:t> </w:t>
      </w:r>
      <w:r>
        <w:rPr>
          <w:w w:val="105"/>
          <w:sz w:val="20"/>
        </w:rPr>
        <w:t>Court</w:t>
      </w:r>
      <w:r>
        <w:rPr>
          <w:spacing w:val="-4"/>
          <w:w w:val="105"/>
          <w:sz w:val="20"/>
        </w:rPr>
        <w:t> </w:t>
      </w:r>
      <w:r>
        <w:rPr>
          <w:w w:val="105"/>
          <w:sz w:val="20"/>
        </w:rPr>
        <w:t>to</w:t>
      </w:r>
      <w:r>
        <w:rPr>
          <w:spacing w:val="-5"/>
          <w:w w:val="105"/>
          <w:sz w:val="20"/>
        </w:rPr>
        <w:t> </w:t>
      </w:r>
      <w:r>
        <w:rPr>
          <w:spacing w:val="-3"/>
          <w:w w:val="105"/>
          <w:sz w:val="20"/>
        </w:rPr>
        <w:t>have</w:t>
      </w:r>
      <w:r>
        <w:rPr>
          <w:spacing w:val="-4"/>
          <w:w w:val="105"/>
          <w:sz w:val="20"/>
        </w:rPr>
        <w:t> </w:t>
      </w:r>
      <w:r>
        <w:rPr>
          <w:w w:val="105"/>
          <w:sz w:val="20"/>
        </w:rPr>
        <w:t>a</w:t>
      </w:r>
      <w:r>
        <w:rPr>
          <w:spacing w:val="-5"/>
          <w:w w:val="105"/>
          <w:sz w:val="20"/>
        </w:rPr>
        <w:t> </w:t>
      </w:r>
      <w:r>
        <w:rPr>
          <w:w w:val="105"/>
          <w:sz w:val="20"/>
        </w:rPr>
        <w:t>Magistrate</w:t>
      </w:r>
      <w:r>
        <w:rPr>
          <w:spacing w:val="-4"/>
          <w:w w:val="105"/>
          <w:sz w:val="20"/>
        </w:rPr>
        <w:t> </w:t>
      </w:r>
      <w:r>
        <w:rPr>
          <w:w w:val="105"/>
          <w:sz w:val="20"/>
        </w:rPr>
        <w:t>decide.</w:t>
      </w:r>
      <w:r>
        <w:rPr>
          <w:spacing w:val="-5"/>
          <w:w w:val="105"/>
          <w:sz w:val="20"/>
        </w:rPr>
        <w:t> </w:t>
      </w:r>
      <w:r>
        <w:rPr>
          <w:w w:val="105"/>
          <w:sz w:val="20"/>
        </w:rPr>
        <w:t>For</w:t>
      </w:r>
      <w:r>
        <w:rPr>
          <w:spacing w:val="-4"/>
          <w:w w:val="105"/>
          <w:sz w:val="20"/>
        </w:rPr>
        <w:t> </w:t>
      </w:r>
      <w:r>
        <w:rPr>
          <w:spacing w:val="-3"/>
          <w:w w:val="105"/>
          <w:sz w:val="20"/>
        </w:rPr>
        <w:t>instance,</w:t>
      </w:r>
      <w:r>
        <w:rPr>
          <w:spacing w:val="-5"/>
          <w:w w:val="105"/>
          <w:sz w:val="20"/>
        </w:rPr>
        <w:t> </w:t>
      </w:r>
      <w:r>
        <w:rPr>
          <w:w w:val="105"/>
          <w:sz w:val="20"/>
        </w:rPr>
        <w:t>for</w:t>
      </w:r>
      <w:r>
        <w:rPr>
          <w:spacing w:val="-4"/>
          <w:w w:val="105"/>
          <w:sz w:val="20"/>
        </w:rPr>
        <w:t> </w:t>
      </w:r>
      <w:r>
        <w:rPr>
          <w:w w:val="105"/>
          <w:sz w:val="20"/>
        </w:rPr>
        <w:t>a</w:t>
      </w:r>
      <w:r>
        <w:rPr>
          <w:spacing w:val="-5"/>
          <w:w w:val="105"/>
          <w:sz w:val="20"/>
        </w:rPr>
        <w:t> </w:t>
      </w:r>
      <w:r>
        <w:rPr>
          <w:w w:val="105"/>
          <w:sz w:val="20"/>
        </w:rPr>
        <w:t>customer</w:t>
      </w:r>
      <w:r>
        <w:rPr>
          <w:spacing w:val="-4"/>
          <w:w w:val="105"/>
          <w:sz w:val="20"/>
        </w:rPr>
        <w:t> </w:t>
      </w:r>
      <w:r>
        <w:rPr>
          <w:w w:val="105"/>
          <w:sz w:val="20"/>
        </w:rPr>
        <w:t>whose</w:t>
      </w:r>
      <w:r>
        <w:rPr>
          <w:spacing w:val="-5"/>
          <w:w w:val="105"/>
          <w:sz w:val="20"/>
        </w:rPr>
        <w:t> </w:t>
      </w:r>
      <w:r>
        <w:rPr>
          <w:w w:val="105"/>
          <w:sz w:val="20"/>
        </w:rPr>
        <w:t>property</w:t>
      </w:r>
    </w:p>
    <w:p>
      <w:pPr>
        <w:pStyle w:val="BodyText"/>
        <w:spacing w:before="5"/>
        <w:rPr>
          <w:sz w:val="26"/>
        </w:rPr>
      </w:pPr>
      <w:r>
        <w:rPr/>
        <w:pict>
          <v:line style="position:absolute;mso-position-horizontal-relative:page;mso-position-vertical-relative:paragraph;z-index:1520;mso-wrap-distance-left:0;mso-wrap-distance-right:0" from="79.370102pt,18.605972pt" to="515.905102pt,18.605972pt" stroked="true" strokeweight="1pt" strokecolor="#c9d2cb">
            <v:stroke dashstyle="solid"/>
            <w10:wrap type="topAndBottom"/>
          </v:line>
        </w:pict>
      </w:r>
    </w:p>
    <w:p>
      <w:pPr>
        <w:pStyle w:val="ListParagraph"/>
        <w:numPr>
          <w:ilvl w:val="0"/>
          <w:numId w:val="31"/>
        </w:numPr>
        <w:tabs>
          <w:tab w:pos="2380" w:val="left" w:leader="none"/>
          <w:tab w:pos="2382" w:val="left" w:leader="none"/>
        </w:tabs>
        <w:spacing w:line="240" w:lineRule="auto" w:before="117" w:after="0"/>
        <w:ind w:left="2381" w:right="1594" w:hanging="794"/>
        <w:jc w:val="left"/>
        <w:rPr>
          <w:sz w:val="13"/>
        </w:rPr>
      </w:pPr>
      <w:r>
        <w:rPr>
          <w:i/>
          <w:w w:val="105"/>
          <w:sz w:val="13"/>
        </w:rPr>
        <w:t>Country Fire Authority Act 1958 </w:t>
      </w:r>
      <w:r>
        <w:rPr>
          <w:spacing w:val="2"/>
          <w:w w:val="105"/>
          <w:sz w:val="13"/>
        </w:rPr>
        <w:t>(Vic); </w:t>
      </w:r>
      <w:r>
        <w:rPr>
          <w:i/>
          <w:w w:val="105"/>
          <w:sz w:val="13"/>
        </w:rPr>
        <w:t>Metropolitan Fire Brigades Act 1958 </w:t>
      </w:r>
      <w:r>
        <w:rPr>
          <w:spacing w:val="2"/>
          <w:w w:val="105"/>
          <w:sz w:val="13"/>
        </w:rPr>
        <w:t>(Vic); </w:t>
      </w:r>
      <w:r>
        <w:rPr>
          <w:i/>
          <w:w w:val="105"/>
          <w:sz w:val="13"/>
        </w:rPr>
        <w:t>Electrical Safety Act 1998 </w:t>
      </w:r>
      <w:r>
        <w:rPr>
          <w:spacing w:val="2"/>
          <w:w w:val="105"/>
          <w:sz w:val="13"/>
        </w:rPr>
        <w:t>(Vic); </w:t>
      </w:r>
      <w:r>
        <w:rPr>
          <w:i/>
          <w:w w:val="105"/>
          <w:sz w:val="13"/>
        </w:rPr>
        <w:t>Flora and Fauna Guarantee </w:t>
      </w:r>
      <w:r>
        <w:rPr>
          <w:i/>
          <w:w w:val="105"/>
          <w:sz w:val="13"/>
        </w:rPr>
        <w:t>Act 1988 </w:t>
      </w:r>
      <w:r>
        <w:rPr>
          <w:spacing w:val="2"/>
          <w:w w:val="105"/>
          <w:sz w:val="13"/>
        </w:rPr>
        <w:t>(Vic); </w:t>
      </w:r>
      <w:r>
        <w:rPr>
          <w:i/>
          <w:w w:val="105"/>
          <w:sz w:val="13"/>
        </w:rPr>
        <w:t>Public Health and Wellbeing Act 2008 </w:t>
      </w:r>
      <w:r>
        <w:rPr>
          <w:spacing w:val="2"/>
          <w:w w:val="105"/>
          <w:sz w:val="13"/>
        </w:rPr>
        <w:t>(Vic); </w:t>
      </w:r>
      <w:r>
        <w:rPr>
          <w:i/>
          <w:w w:val="105"/>
          <w:sz w:val="13"/>
        </w:rPr>
        <w:t>Road Management Act 2004 </w:t>
      </w:r>
      <w:r>
        <w:rPr>
          <w:spacing w:val="2"/>
          <w:w w:val="105"/>
          <w:sz w:val="13"/>
        </w:rPr>
        <w:t>(Vic); </w:t>
      </w:r>
      <w:r>
        <w:rPr>
          <w:i/>
          <w:w w:val="105"/>
          <w:sz w:val="13"/>
        </w:rPr>
        <w:t>Rail Management Act 1996 </w:t>
      </w:r>
      <w:r>
        <w:rPr>
          <w:spacing w:val="2"/>
          <w:w w:val="105"/>
          <w:sz w:val="13"/>
        </w:rPr>
        <w:t>(Vic); </w:t>
      </w:r>
      <w:r>
        <w:rPr>
          <w:i/>
          <w:w w:val="105"/>
          <w:sz w:val="13"/>
        </w:rPr>
        <w:t>Victorian </w:t>
      </w:r>
      <w:r>
        <w:rPr>
          <w:i/>
          <w:w w:val="105"/>
          <w:sz w:val="13"/>
        </w:rPr>
        <w:t>Conservation</w:t>
      </w:r>
      <w:r>
        <w:rPr>
          <w:i/>
          <w:spacing w:val="4"/>
          <w:w w:val="105"/>
          <w:sz w:val="13"/>
        </w:rPr>
        <w:t> </w:t>
      </w:r>
      <w:r>
        <w:rPr>
          <w:i/>
          <w:w w:val="105"/>
          <w:sz w:val="13"/>
        </w:rPr>
        <w:t>Trust</w:t>
      </w:r>
      <w:r>
        <w:rPr>
          <w:i/>
          <w:spacing w:val="5"/>
          <w:w w:val="105"/>
          <w:sz w:val="13"/>
        </w:rPr>
        <w:t> </w:t>
      </w:r>
      <w:r>
        <w:rPr>
          <w:i/>
          <w:w w:val="105"/>
          <w:sz w:val="13"/>
        </w:rPr>
        <w:t>Act</w:t>
      </w:r>
      <w:r>
        <w:rPr>
          <w:i/>
          <w:spacing w:val="5"/>
          <w:w w:val="105"/>
          <w:sz w:val="13"/>
        </w:rPr>
        <w:t> </w:t>
      </w:r>
      <w:r>
        <w:rPr>
          <w:i/>
          <w:spacing w:val="-3"/>
          <w:w w:val="105"/>
          <w:sz w:val="13"/>
        </w:rPr>
        <w:t>1972</w:t>
      </w:r>
      <w:r>
        <w:rPr>
          <w:i/>
          <w:spacing w:val="5"/>
          <w:w w:val="105"/>
          <w:sz w:val="13"/>
        </w:rPr>
        <w:t> </w:t>
      </w:r>
      <w:r>
        <w:rPr>
          <w:spacing w:val="2"/>
          <w:w w:val="105"/>
          <w:sz w:val="13"/>
        </w:rPr>
        <w:t>(Vic);</w:t>
      </w:r>
      <w:r>
        <w:rPr>
          <w:spacing w:val="5"/>
          <w:w w:val="105"/>
          <w:sz w:val="13"/>
        </w:rPr>
        <w:t> </w:t>
      </w:r>
      <w:r>
        <w:rPr>
          <w:i/>
          <w:w w:val="105"/>
          <w:sz w:val="13"/>
        </w:rPr>
        <w:t>Conservation,</w:t>
      </w:r>
      <w:r>
        <w:rPr>
          <w:i/>
          <w:spacing w:val="5"/>
          <w:w w:val="105"/>
          <w:sz w:val="13"/>
        </w:rPr>
        <w:t> </w:t>
      </w:r>
      <w:r>
        <w:rPr>
          <w:i/>
          <w:spacing w:val="2"/>
          <w:w w:val="105"/>
          <w:sz w:val="13"/>
        </w:rPr>
        <w:t>Forests</w:t>
      </w:r>
      <w:r>
        <w:rPr>
          <w:i/>
          <w:spacing w:val="5"/>
          <w:w w:val="105"/>
          <w:sz w:val="13"/>
        </w:rPr>
        <w:t> </w:t>
      </w:r>
      <w:r>
        <w:rPr>
          <w:i/>
          <w:w w:val="105"/>
          <w:sz w:val="13"/>
        </w:rPr>
        <w:t>and</w:t>
      </w:r>
      <w:r>
        <w:rPr>
          <w:i/>
          <w:spacing w:val="5"/>
          <w:w w:val="105"/>
          <w:sz w:val="13"/>
        </w:rPr>
        <w:t> </w:t>
      </w:r>
      <w:r>
        <w:rPr>
          <w:i/>
          <w:w w:val="105"/>
          <w:sz w:val="13"/>
        </w:rPr>
        <w:t>Lands</w:t>
      </w:r>
      <w:r>
        <w:rPr>
          <w:i/>
          <w:spacing w:val="4"/>
          <w:w w:val="105"/>
          <w:sz w:val="13"/>
        </w:rPr>
        <w:t> </w:t>
      </w:r>
      <w:r>
        <w:rPr>
          <w:i/>
          <w:w w:val="105"/>
          <w:sz w:val="13"/>
        </w:rPr>
        <w:t>Act</w:t>
      </w:r>
      <w:r>
        <w:rPr>
          <w:i/>
          <w:spacing w:val="5"/>
          <w:w w:val="105"/>
          <w:sz w:val="13"/>
        </w:rPr>
        <w:t> </w:t>
      </w:r>
      <w:r>
        <w:rPr>
          <w:i/>
          <w:w w:val="105"/>
          <w:sz w:val="13"/>
        </w:rPr>
        <w:t>1987</w:t>
      </w:r>
      <w:r>
        <w:rPr>
          <w:i/>
          <w:spacing w:val="5"/>
          <w:w w:val="105"/>
          <w:sz w:val="13"/>
        </w:rPr>
        <w:t> </w:t>
      </w:r>
      <w:r>
        <w:rPr>
          <w:spacing w:val="2"/>
          <w:w w:val="105"/>
          <w:sz w:val="13"/>
        </w:rPr>
        <w:t>(Vic).</w:t>
      </w:r>
    </w:p>
    <w:p>
      <w:pPr>
        <w:pStyle w:val="ListParagraph"/>
        <w:numPr>
          <w:ilvl w:val="0"/>
          <w:numId w:val="31"/>
        </w:numPr>
        <w:tabs>
          <w:tab w:pos="2381" w:val="left" w:leader="none"/>
          <w:tab w:pos="2382" w:val="left" w:leader="none"/>
        </w:tabs>
        <w:spacing w:line="240" w:lineRule="auto" w:before="4" w:after="0"/>
        <w:ind w:left="2381" w:right="2235" w:hanging="794"/>
        <w:jc w:val="both"/>
        <w:rPr>
          <w:sz w:val="13"/>
        </w:rPr>
      </w:pPr>
      <w:r>
        <w:rPr>
          <w:w w:val="105"/>
          <w:sz w:val="13"/>
        </w:rPr>
        <w:t>Only 22.86% of survey respondents reported that they were able to resolve their tree dispute successfully: Victorian Law Reform Commission, </w:t>
      </w:r>
      <w:r>
        <w:rPr>
          <w:i/>
          <w:w w:val="105"/>
          <w:sz w:val="13"/>
        </w:rPr>
        <w:t>Neighbourhood Tree Disputes Survey </w:t>
      </w:r>
      <w:r>
        <w:rPr>
          <w:w w:val="105"/>
          <w:sz w:val="13"/>
        </w:rPr>
        <w:t>(2018). However, the Commission acknowledges that people who have been unsuccessful</w:t>
      </w:r>
      <w:r>
        <w:rPr>
          <w:spacing w:val="4"/>
          <w:w w:val="105"/>
          <w:sz w:val="13"/>
        </w:rPr>
        <w:t> </w:t>
      </w:r>
      <w:r>
        <w:rPr>
          <w:w w:val="105"/>
          <w:sz w:val="13"/>
        </w:rPr>
        <w:t>in</w:t>
      </w:r>
      <w:r>
        <w:rPr>
          <w:spacing w:val="3"/>
          <w:w w:val="105"/>
          <w:sz w:val="13"/>
        </w:rPr>
        <w:t> </w:t>
      </w:r>
      <w:r>
        <w:rPr>
          <w:w w:val="105"/>
          <w:sz w:val="13"/>
        </w:rPr>
        <w:t>resolving</w:t>
      </w:r>
      <w:r>
        <w:rPr>
          <w:spacing w:val="4"/>
          <w:w w:val="105"/>
          <w:sz w:val="13"/>
        </w:rPr>
        <w:t> </w:t>
      </w:r>
      <w:r>
        <w:rPr>
          <w:w w:val="105"/>
          <w:sz w:val="13"/>
        </w:rPr>
        <w:t>their</w:t>
      </w:r>
      <w:r>
        <w:rPr>
          <w:spacing w:val="4"/>
          <w:w w:val="105"/>
          <w:sz w:val="13"/>
        </w:rPr>
        <w:t> </w:t>
      </w:r>
      <w:r>
        <w:rPr>
          <w:w w:val="105"/>
          <w:sz w:val="13"/>
        </w:rPr>
        <w:t>tree</w:t>
      </w:r>
      <w:r>
        <w:rPr>
          <w:spacing w:val="4"/>
          <w:w w:val="105"/>
          <w:sz w:val="13"/>
        </w:rPr>
        <w:t> </w:t>
      </w:r>
      <w:r>
        <w:rPr>
          <w:w w:val="105"/>
          <w:sz w:val="13"/>
        </w:rPr>
        <w:t>dispute</w:t>
      </w:r>
      <w:r>
        <w:rPr>
          <w:spacing w:val="4"/>
          <w:w w:val="105"/>
          <w:sz w:val="13"/>
        </w:rPr>
        <w:t> </w:t>
      </w:r>
      <w:r>
        <w:rPr>
          <w:w w:val="105"/>
          <w:sz w:val="13"/>
        </w:rPr>
        <w:t>are</w:t>
      </w:r>
      <w:r>
        <w:rPr>
          <w:spacing w:val="4"/>
          <w:w w:val="105"/>
          <w:sz w:val="13"/>
        </w:rPr>
        <w:t> </w:t>
      </w:r>
      <w:r>
        <w:rPr>
          <w:w w:val="105"/>
          <w:sz w:val="13"/>
        </w:rPr>
        <w:t>more</w:t>
      </w:r>
      <w:r>
        <w:rPr>
          <w:spacing w:val="4"/>
          <w:w w:val="105"/>
          <w:sz w:val="13"/>
        </w:rPr>
        <w:t> </w:t>
      </w:r>
      <w:r>
        <w:rPr>
          <w:w w:val="105"/>
          <w:sz w:val="13"/>
        </w:rPr>
        <w:t>likely</w:t>
      </w:r>
      <w:r>
        <w:rPr>
          <w:spacing w:val="4"/>
          <w:w w:val="105"/>
          <w:sz w:val="13"/>
        </w:rPr>
        <w:t> </w:t>
      </w:r>
      <w:r>
        <w:rPr>
          <w:w w:val="105"/>
          <w:sz w:val="13"/>
        </w:rPr>
        <w:t>to</w:t>
      </w:r>
      <w:r>
        <w:rPr>
          <w:spacing w:val="4"/>
          <w:w w:val="105"/>
          <w:sz w:val="13"/>
        </w:rPr>
        <w:t> </w:t>
      </w:r>
      <w:r>
        <w:rPr>
          <w:w w:val="105"/>
          <w:sz w:val="13"/>
        </w:rPr>
        <w:t>contribute</w:t>
      </w:r>
      <w:r>
        <w:rPr>
          <w:spacing w:val="4"/>
          <w:w w:val="105"/>
          <w:sz w:val="13"/>
        </w:rPr>
        <w:t> </w:t>
      </w:r>
      <w:r>
        <w:rPr>
          <w:w w:val="105"/>
          <w:sz w:val="13"/>
        </w:rPr>
        <w:t>to</w:t>
      </w:r>
      <w:r>
        <w:rPr>
          <w:spacing w:val="4"/>
          <w:w w:val="105"/>
          <w:sz w:val="13"/>
        </w:rPr>
        <w:t> </w:t>
      </w:r>
      <w:r>
        <w:rPr>
          <w:w w:val="105"/>
          <w:sz w:val="13"/>
        </w:rPr>
        <w:t>this</w:t>
      </w:r>
      <w:r>
        <w:rPr>
          <w:spacing w:val="4"/>
          <w:w w:val="105"/>
          <w:sz w:val="13"/>
        </w:rPr>
        <w:t> </w:t>
      </w:r>
      <w:r>
        <w:rPr>
          <w:w w:val="105"/>
          <w:sz w:val="13"/>
        </w:rPr>
        <w:t>inquiry.</w:t>
      </w:r>
    </w:p>
    <w:p>
      <w:pPr>
        <w:pStyle w:val="ListParagraph"/>
        <w:numPr>
          <w:ilvl w:val="0"/>
          <w:numId w:val="31"/>
        </w:numPr>
        <w:tabs>
          <w:tab w:pos="2381" w:val="left" w:leader="none"/>
          <w:tab w:pos="2382" w:val="left" w:leader="none"/>
        </w:tabs>
        <w:spacing w:line="240" w:lineRule="auto" w:before="4" w:after="0"/>
        <w:ind w:left="2381" w:right="0" w:hanging="794"/>
        <w:jc w:val="left"/>
        <w:rPr>
          <w:sz w:val="13"/>
        </w:rPr>
      </w:pPr>
      <w:r>
        <w:rPr>
          <w:w w:val="105"/>
          <w:sz w:val="13"/>
        </w:rPr>
        <w:t>Submissions</w:t>
      </w:r>
      <w:r>
        <w:rPr>
          <w:spacing w:val="4"/>
          <w:w w:val="105"/>
          <w:sz w:val="13"/>
        </w:rPr>
        <w:t> </w:t>
      </w:r>
      <w:r>
        <w:rPr>
          <w:w w:val="105"/>
          <w:sz w:val="13"/>
        </w:rPr>
        <w:t>1</w:t>
      </w:r>
      <w:r>
        <w:rPr>
          <w:spacing w:val="5"/>
          <w:w w:val="105"/>
          <w:sz w:val="13"/>
        </w:rPr>
        <w:t> </w:t>
      </w:r>
      <w:r>
        <w:rPr>
          <w:spacing w:val="2"/>
          <w:w w:val="105"/>
          <w:sz w:val="13"/>
        </w:rPr>
        <w:t>(Ian</w:t>
      </w:r>
      <w:r>
        <w:rPr>
          <w:spacing w:val="5"/>
          <w:w w:val="105"/>
          <w:sz w:val="13"/>
        </w:rPr>
        <w:t> </w:t>
      </w:r>
      <w:r>
        <w:rPr>
          <w:w w:val="105"/>
          <w:sz w:val="13"/>
        </w:rPr>
        <w:t>Collier),</w:t>
      </w:r>
      <w:r>
        <w:rPr>
          <w:spacing w:val="5"/>
          <w:w w:val="105"/>
          <w:sz w:val="13"/>
        </w:rPr>
        <w:t> </w:t>
      </w:r>
      <w:r>
        <w:rPr>
          <w:w w:val="105"/>
          <w:sz w:val="13"/>
        </w:rPr>
        <w:t>5</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6</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spacing w:val="-3"/>
          <w:w w:val="105"/>
          <w:sz w:val="13"/>
        </w:rPr>
        <w:t>19</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22</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36</w:t>
      </w:r>
      <w:r>
        <w:rPr>
          <w:spacing w:val="5"/>
          <w:w w:val="105"/>
          <w:sz w:val="13"/>
        </w:rPr>
        <w:t> </w:t>
      </w:r>
      <w:r>
        <w:rPr>
          <w:w w:val="105"/>
          <w:sz w:val="13"/>
        </w:rPr>
        <w:t>(Monique</w:t>
      </w:r>
      <w:r>
        <w:rPr>
          <w:spacing w:val="5"/>
          <w:w w:val="105"/>
          <w:sz w:val="13"/>
        </w:rPr>
        <w:t> </w:t>
      </w:r>
      <w:r>
        <w:rPr>
          <w:spacing w:val="2"/>
          <w:w w:val="105"/>
          <w:sz w:val="13"/>
        </w:rPr>
        <w:t>Onezime);</w:t>
      </w:r>
    </w:p>
    <w:p>
      <w:pPr>
        <w:spacing w:before="1"/>
        <w:ind w:left="2381" w:right="1636" w:firstLine="0"/>
        <w:jc w:val="left"/>
        <w:rPr>
          <w:sz w:val="13"/>
        </w:rPr>
      </w:pPr>
      <w:r>
        <w:rPr>
          <w:w w:val="105"/>
          <w:sz w:val="13"/>
        </w:rPr>
        <w:t>38 (L. Barry Wollmer); Consultation 1 (Aldo Taranto). 51.67% of survey respondents reported that they trimmed back the tree/plant to the boundary line to remedy the issue (abatement): Victorian Law Reform Commission, </w:t>
      </w:r>
      <w:r>
        <w:rPr>
          <w:i/>
          <w:w w:val="105"/>
          <w:sz w:val="13"/>
        </w:rPr>
        <w:t>Neighbourhood Tree Disputes Survey </w:t>
      </w:r>
      <w:r>
        <w:rPr>
          <w:w w:val="105"/>
          <w:sz w:val="13"/>
        </w:rPr>
        <w:t>(2018).</w:t>
      </w:r>
    </w:p>
    <w:p>
      <w:pPr>
        <w:pStyle w:val="ListParagraph"/>
        <w:numPr>
          <w:ilvl w:val="0"/>
          <w:numId w:val="31"/>
        </w:numPr>
        <w:tabs>
          <w:tab w:pos="2381" w:val="left" w:leader="none"/>
          <w:tab w:pos="2382" w:val="left" w:leader="none"/>
        </w:tabs>
        <w:spacing w:line="240" w:lineRule="auto" w:before="3" w:after="0"/>
        <w:ind w:left="2381" w:right="0" w:hanging="794"/>
        <w:jc w:val="left"/>
        <w:rPr>
          <w:sz w:val="13"/>
        </w:rPr>
      </w:pPr>
      <w:r>
        <w:rPr>
          <w:w w:val="105"/>
          <w:sz w:val="13"/>
        </w:rPr>
        <w:t>Submissions</w:t>
      </w:r>
      <w:r>
        <w:rPr>
          <w:spacing w:val="4"/>
          <w:w w:val="105"/>
          <w:sz w:val="13"/>
        </w:rPr>
        <w:t> </w:t>
      </w:r>
      <w:r>
        <w:rPr>
          <w:w w:val="105"/>
          <w:sz w:val="13"/>
        </w:rPr>
        <w:t>5</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6</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23</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38</w:t>
      </w:r>
      <w:r>
        <w:rPr>
          <w:spacing w:val="5"/>
          <w:w w:val="105"/>
          <w:sz w:val="13"/>
        </w:rPr>
        <w:t> </w:t>
      </w:r>
      <w:r>
        <w:rPr>
          <w:spacing w:val="3"/>
          <w:w w:val="105"/>
          <w:sz w:val="13"/>
        </w:rPr>
        <w:t>(L.</w:t>
      </w:r>
      <w:r>
        <w:rPr>
          <w:spacing w:val="5"/>
          <w:w w:val="105"/>
          <w:sz w:val="13"/>
        </w:rPr>
        <w:t> </w:t>
      </w:r>
      <w:r>
        <w:rPr>
          <w:spacing w:val="2"/>
          <w:w w:val="105"/>
          <w:sz w:val="13"/>
        </w:rPr>
        <w:t>Barry</w:t>
      </w:r>
      <w:r>
        <w:rPr>
          <w:spacing w:val="5"/>
          <w:w w:val="105"/>
          <w:sz w:val="13"/>
        </w:rPr>
        <w:t> </w:t>
      </w:r>
      <w:r>
        <w:rPr>
          <w:w w:val="105"/>
          <w:sz w:val="13"/>
        </w:rPr>
        <w:t>Wollmer);</w:t>
      </w:r>
      <w:r>
        <w:rPr>
          <w:spacing w:val="5"/>
          <w:w w:val="105"/>
          <w:sz w:val="13"/>
        </w:rPr>
        <w:t> </w:t>
      </w:r>
      <w:r>
        <w:rPr>
          <w:w w:val="105"/>
          <w:sz w:val="13"/>
        </w:rPr>
        <w:t>Survey</w:t>
      </w:r>
      <w:r>
        <w:rPr>
          <w:spacing w:val="5"/>
          <w:w w:val="105"/>
          <w:sz w:val="13"/>
        </w:rPr>
        <w:t> </w:t>
      </w:r>
      <w:r>
        <w:rPr>
          <w:w w:val="105"/>
          <w:sz w:val="13"/>
        </w:rPr>
        <w:t>Respondents</w:t>
      </w:r>
      <w:r>
        <w:rPr>
          <w:spacing w:val="5"/>
          <w:w w:val="105"/>
          <w:sz w:val="13"/>
        </w:rPr>
        <w:t> </w:t>
      </w:r>
      <w:r>
        <w:rPr>
          <w:w w:val="105"/>
          <w:sz w:val="13"/>
        </w:rPr>
        <w:t>60,</w:t>
      </w:r>
      <w:r>
        <w:rPr>
          <w:spacing w:val="5"/>
          <w:w w:val="105"/>
          <w:sz w:val="13"/>
        </w:rPr>
        <w:t> </w:t>
      </w:r>
      <w:r>
        <w:rPr>
          <w:w w:val="105"/>
          <w:sz w:val="13"/>
        </w:rPr>
        <w:t>82,</w:t>
      </w:r>
      <w:r>
        <w:rPr>
          <w:spacing w:val="5"/>
          <w:w w:val="105"/>
          <w:sz w:val="13"/>
        </w:rPr>
        <w:t> </w:t>
      </w:r>
      <w:r>
        <w:rPr>
          <w:spacing w:val="-7"/>
          <w:w w:val="105"/>
          <w:sz w:val="13"/>
        </w:rPr>
        <w:t>117.</w:t>
      </w:r>
    </w:p>
    <w:p>
      <w:pPr>
        <w:pStyle w:val="ListParagraph"/>
        <w:numPr>
          <w:ilvl w:val="0"/>
          <w:numId w:val="31"/>
        </w:numPr>
        <w:tabs>
          <w:tab w:pos="2381" w:val="left" w:leader="none"/>
          <w:tab w:pos="2382" w:val="left" w:leader="none"/>
        </w:tabs>
        <w:spacing w:line="240" w:lineRule="auto" w:before="1" w:after="0"/>
        <w:ind w:left="2381" w:right="1857" w:hanging="794"/>
        <w:jc w:val="left"/>
        <w:rPr>
          <w:sz w:val="13"/>
        </w:rPr>
      </w:pPr>
      <w:r>
        <w:rPr>
          <w:w w:val="105"/>
          <w:sz w:val="13"/>
        </w:rPr>
        <w:t>Submissions 7 </w:t>
      </w:r>
      <w:r>
        <w:rPr>
          <w:spacing w:val="2"/>
          <w:w w:val="105"/>
          <w:sz w:val="13"/>
        </w:rPr>
        <w:t>(Ben </w:t>
      </w:r>
      <w:r>
        <w:rPr>
          <w:w w:val="105"/>
          <w:sz w:val="13"/>
        </w:rPr>
        <w:t>Kenyon), 9 </w:t>
      </w:r>
      <w:r>
        <w:rPr>
          <w:spacing w:val="3"/>
          <w:w w:val="105"/>
          <w:sz w:val="13"/>
        </w:rPr>
        <w:t>(Dr </w:t>
      </w:r>
      <w:r>
        <w:rPr>
          <w:w w:val="105"/>
          <w:sz w:val="13"/>
        </w:rPr>
        <w:t>Karen Smith), 25 (City of Boorondara), 28 </w:t>
      </w:r>
      <w:r>
        <w:rPr>
          <w:spacing w:val="3"/>
          <w:w w:val="105"/>
          <w:sz w:val="13"/>
        </w:rPr>
        <w:t>(HVP </w:t>
      </w:r>
      <w:r>
        <w:rPr>
          <w:w w:val="105"/>
          <w:sz w:val="13"/>
        </w:rPr>
        <w:t>Plantations), 30 </w:t>
      </w:r>
      <w:r>
        <w:rPr>
          <w:spacing w:val="3"/>
          <w:w w:val="105"/>
          <w:sz w:val="13"/>
        </w:rPr>
        <w:t>(Law </w:t>
      </w:r>
      <w:r>
        <w:rPr>
          <w:w w:val="105"/>
          <w:sz w:val="13"/>
        </w:rPr>
        <w:t>Institute of </w:t>
      </w:r>
      <w:r>
        <w:rPr>
          <w:spacing w:val="2"/>
          <w:w w:val="105"/>
          <w:sz w:val="13"/>
        </w:rPr>
        <w:t>Victoria), </w:t>
      </w:r>
      <w:r>
        <w:rPr>
          <w:w w:val="105"/>
          <w:sz w:val="13"/>
        </w:rPr>
        <w:t>34 (Allan Day); Consultations 3 </w:t>
      </w:r>
      <w:r>
        <w:rPr>
          <w:spacing w:val="3"/>
          <w:w w:val="105"/>
          <w:sz w:val="13"/>
        </w:rPr>
        <w:t>(HVP </w:t>
      </w:r>
      <w:r>
        <w:rPr>
          <w:w w:val="105"/>
          <w:sz w:val="13"/>
        </w:rPr>
        <w:t>Plantations), 4 (Participants in facilitated discussion at </w:t>
      </w:r>
      <w:r>
        <w:rPr>
          <w:spacing w:val="4"/>
          <w:w w:val="105"/>
          <w:sz w:val="13"/>
        </w:rPr>
        <w:t>VTIO </w:t>
      </w:r>
      <w:r>
        <w:rPr>
          <w:w w:val="105"/>
          <w:sz w:val="13"/>
        </w:rPr>
        <w:t>ArborCamp2018), 6 </w:t>
      </w:r>
      <w:r>
        <w:rPr>
          <w:spacing w:val="2"/>
          <w:w w:val="105"/>
          <w:sz w:val="13"/>
        </w:rPr>
        <w:t>(Ben </w:t>
      </w:r>
      <w:r>
        <w:rPr>
          <w:w w:val="105"/>
          <w:sz w:val="13"/>
        </w:rPr>
        <w:t>Kenyon); Survey Respondents 3, 43, </w:t>
      </w:r>
      <w:r>
        <w:rPr>
          <w:spacing w:val="-4"/>
          <w:w w:val="105"/>
          <w:sz w:val="13"/>
        </w:rPr>
        <w:t>57, </w:t>
      </w:r>
      <w:r>
        <w:rPr>
          <w:w w:val="105"/>
          <w:sz w:val="13"/>
        </w:rPr>
        <w:t>82,</w:t>
      </w:r>
      <w:r>
        <w:rPr>
          <w:spacing w:val="1"/>
          <w:w w:val="105"/>
          <w:sz w:val="13"/>
        </w:rPr>
        <w:t> </w:t>
      </w:r>
      <w:r>
        <w:rPr>
          <w:spacing w:val="2"/>
          <w:w w:val="105"/>
          <w:sz w:val="13"/>
        </w:rPr>
        <w:t>88.</w:t>
      </w:r>
    </w:p>
    <w:p>
      <w:pPr>
        <w:pStyle w:val="ListParagraph"/>
        <w:numPr>
          <w:ilvl w:val="0"/>
          <w:numId w:val="31"/>
        </w:numPr>
        <w:tabs>
          <w:tab w:pos="2381" w:val="left" w:leader="none"/>
          <w:tab w:pos="2382" w:val="left" w:leader="none"/>
        </w:tabs>
        <w:spacing w:line="240" w:lineRule="auto" w:before="4" w:after="0"/>
        <w:ind w:left="2381" w:right="0" w:hanging="794"/>
        <w:jc w:val="left"/>
        <w:rPr>
          <w:sz w:val="13"/>
        </w:rPr>
      </w:pPr>
      <w:r>
        <w:rPr>
          <w:w w:val="105"/>
          <w:sz w:val="13"/>
        </w:rPr>
        <w:t>Submission</w:t>
      </w:r>
      <w:r>
        <w:rPr>
          <w:spacing w:val="4"/>
          <w:w w:val="105"/>
          <w:sz w:val="13"/>
        </w:rPr>
        <w:t> </w:t>
      </w:r>
      <w:r>
        <w:rPr>
          <w:w w:val="105"/>
          <w:sz w:val="13"/>
        </w:rPr>
        <w:t>30</w:t>
      </w:r>
      <w:r>
        <w:rPr>
          <w:spacing w:val="5"/>
          <w:w w:val="105"/>
          <w:sz w:val="13"/>
        </w:rPr>
        <w:t> </w:t>
      </w:r>
      <w:r>
        <w:rPr>
          <w:spacing w:val="3"/>
          <w:w w:val="105"/>
          <w:sz w:val="13"/>
        </w:rPr>
        <w:t>(Law</w:t>
      </w:r>
      <w:r>
        <w:rPr>
          <w:spacing w:val="4"/>
          <w:w w:val="105"/>
          <w:sz w:val="13"/>
        </w:rPr>
        <w:t> </w:t>
      </w:r>
      <w:r>
        <w:rPr>
          <w:w w:val="105"/>
          <w:sz w:val="13"/>
        </w:rPr>
        <w:t>Institute</w:t>
      </w:r>
      <w:r>
        <w:rPr>
          <w:spacing w:val="5"/>
          <w:w w:val="105"/>
          <w:sz w:val="13"/>
        </w:rPr>
        <w:t> </w:t>
      </w:r>
      <w:r>
        <w:rPr>
          <w:w w:val="105"/>
          <w:sz w:val="13"/>
        </w:rPr>
        <w:t>of</w:t>
      </w:r>
      <w:r>
        <w:rPr>
          <w:spacing w:val="5"/>
          <w:w w:val="105"/>
          <w:sz w:val="13"/>
        </w:rPr>
        <w:t> </w:t>
      </w:r>
      <w:r>
        <w:rPr>
          <w:spacing w:val="2"/>
          <w:w w:val="105"/>
          <w:sz w:val="13"/>
        </w:rPr>
        <w:t>Victoria);</w:t>
      </w:r>
      <w:r>
        <w:rPr>
          <w:spacing w:val="4"/>
          <w:w w:val="105"/>
          <w:sz w:val="13"/>
        </w:rPr>
        <w:t> </w:t>
      </w:r>
      <w:r>
        <w:rPr>
          <w:w w:val="105"/>
          <w:sz w:val="13"/>
        </w:rPr>
        <w:t>Consultation</w:t>
      </w:r>
      <w:r>
        <w:rPr>
          <w:spacing w:val="5"/>
          <w:w w:val="105"/>
          <w:sz w:val="13"/>
        </w:rPr>
        <w:t> </w:t>
      </w:r>
      <w:r>
        <w:rPr>
          <w:w w:val="105"/>
          <w:sz w:val="13"/>
        </w:rPr>
        <w:t>3</w:t>
      </w:r>
      <w:r>
        <w:rPr>
          <w:spacing w:val="5"/>
          <w:w w:val="105"/>
          <w:sz w:val="13"/>
        </w:rPr>
        <w:t> </w:t>
      </w:r>
      <w:r>
        <w:rPr>
          <w:spacing w:val="3"/>
          <w:w w:val="105"/>
          <w:sz w:val="13"/>
        </w:rPr>
        <w:t>(HVP</w:t>
      </w:r>
      <w:r>
        <w:rPr>
          <w:spacing w:val="4"/>
          <w:w w:val="105"/>
          <w:sz w:val="13"/>
        </w:rPr>
        <w:t> </w:t>
      </w:r>
      <w:r>
        <w:rPr>
          <w:w w:val="105"/>
          <w:sz w:val="13"/>
        </w:rPr>
        <w:t>Plantations);</w:t>
      </w:r>
      <w:r>
        <w:rPr>
          <w:spacing w:val="5"/>
          <w:w w:val="105"/>
          <w:sz w:val="13"/>
        </w:rPr>
        <w:t> </w:t>
      </w:r>
      <w:r>
        <w:rPr>
          <w:w w:val="105"/>
          <w:sz w:val="13"/>
        </w:rPr>
        <w:t>Survey</w:t>
      </w:r>
      <w:r>
        <w:rPr>
          <w:spacing w:val="5"/>
          <w:w w:val="105"/>
          <w:sz w:val="13"/>
        </w:rPr>
        <w:t> </w:t>
      </w:r>
      <w:r>
        <w:rPr>
          <w:w w:val="105"/>
          <w:sz w:val="13"/>
        </w:rPr>
        <w:t>Respondent</w:t>
      </w:r>
      <w:r>
        <w:rPr>
          <w:spacing w:val="4"/>
          <w:w w:val="105"/>
          <w:sz w:val="13"/>
        </w:rPr>
        <w:t> </w:t>
      </w:r>
      <w:r>
        <w:rPr>
          <w:spacing w:val="-7"/>
          <w:w w:val="105"/>
          <w:sz w:val="13"/>
        </w:rPr>
        <w:t>117.</w:t>
      </w:r>
    </w:p>
    <w:p>
      <w:pPr>
        <w:pStyle w:val="ListParagraph"/>
        <w:numPr>
          <w:ilvl w:val="0"/>
          <w:numId w:val="31"/>
        </w:numPr>
        <w:tabs>
          <w:tab w:pos="2381" w:val="left" w:leader="none"/>
          <w:tab w:pos="2382" w:val="left" w:leader="none"/>
        </w:tabs>
        <w:spacing w:line="240" w:lineRule="auto" w:before="2" w:after="0"/>
        <w:ind w:left="2381" w:right="0" w:hanging="794"/>
        <w:jc w:val="left"/>
        <w:rPr>
          <w:sz w:val="13"/>
        </w:rPr>
      </w:pPr>
      <w:r>
        <w:rPr>
          <w:w w:val="105"/>
          <w:sz w:val="13"/>
        </w:rPr>
        <w:t>Submissions</w:t>
      </w:r>
      <w:r>
        <w:rPr>
          <w:spacing w:val="5"/>
          <w:w w:val="105"/>
          <w:sz w:val="13"/>
        </w:rPr>
        <w:t> </w:t>
      </w:r>
      <w:r>
        <w:rPr>
          <w:w w:val="105"/>
          <w:sz w:val="13"/>
        </w:rPr>
        <w:t>6</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36</w:t>
      </w:r>
      <w:r>
        <w:rPr>
          <w:spacing w:val="6"/>
          <w:w w:val="105"/>
          <w:sz w:val="13"/>
        </w:rPr>
        <w:t> </w:t>
      </w:r>
      <w:r>
        <w:rPr>
          <w:w w:val="105"/>
          <w:sz w:val="13"/>
        </w:rPr>
        <w:t>(Monique</w:t>
      </w:r>
      <w:r>
        <w:rPr>
          <w:spacing w:val="5"/>
          <w:w w:val="105"/>
          <w:sz w:val="13"/>
        </w:rPr>
        <w:t> </w:t>
      </w:r>
      <w:r>
        <w:rPr>
          <w:w w:val="105"/>
          <w:sz w:val="13"/>
        </w:rPr>
        <w:t>Onezime),</w:t>
      </w:r>
      <w:r>
        <w:rPr>
          <w:spacing w:val="5"/>
          <w:w w:val="105"/>
          <w:sz w:val="13"/>
        </w:rPr>
        <w:t> </w:t>
      </w:r>
      <w:r>
        <w:rPr>
          <w:w w:val="105"/>
          <w:sz w:val="13"/>
        </w:rPr>
        <w:t>38</w:t>
      </w:r>
      <w:r>
        <w:rPr>
          <w:spacing w:val="5"/>
          <w:w w:val="105"/>
          <w:sz w:val="13"/>
        </w:rPr>
        <w:t> </w:t>
      </w:r>
      <w:r>
        <w:rPr>
          <w:spacing w:val="3"/>
          <w:w w:val="105"/>
          <w:sz w:val="13"/>
        </w:rPr>
        <w:t>(L.</w:t>
      </w:r>
      <w:r>
        <w:rPr>
          <w:spacing w:val="5"/>
          <w:w w:val="105"/>
          <w:sz w:val="13"/>
        </w:rPr>
        <w:t> </w:t>
      </w:r>
      <w:r>
        <w:rPr>
          <w:spacing w:val="2"/>
          <w:w w:val="105"/>
          <w:sz w:val="13"/>
        </w:rPr>
        <w:t>Barry</w:t>
      </w:r>
      <w:r>
        <w:rPr>
          <w:spacing w:val="5"/>
          <w:w w:val="105"/>
          <w:sz w:val="13"/>
        </w:rPr>
        <w:t> </w:t>
      </w:r>
      <w:r>
        <w:rPr>
          <w:w w:val="105"/>
          <w:sz w:val="13"/>
        </w:rPr>
        <w:t>Wollmer);</w:t>
      </w:r>
      <w:r>
        <w:rPr>
          <w:spacing w:val="6"/>
          <w:w w:val="105"/>
          <w:sz w:val="13"/>
        </w:rPr>
        <w:t> </w:t>
      </w:r>
      <w:r>
        <w:rPr>
          <w:w w:val="105"/>
          <w:sz w:val="13"/>
        </w:rPr>
        <w:t>Consultation</w:t>
      </w:r>
      <w:r>
        <w:rPr>
          <w:spacing w:val="5"/>
          <w:w w:val="105"/>
          <w:sz w:val="13"/>
        </w:rPr>
        <w:t> </w:t>
      </w:r>
      <w:r>
        <w:rPr>
          <w:w w:val="105"/>
          <w:sz w:val="13"/>
        </w:rPr>
        <w:t>1</w:t>
      </w:r>
      <w:r>
        <w:rPr>
          <w:spacing w:val="5"/>
          <w:w w:val="105"/>
          <w:sz w:val="13"/>
        </w:rPr>
        <w:t> </w:t>
      </w:r>
      <w:r>
        <w:rPr>
          <w:w w:val="105"/>
          <w:sz w:val="13"/>
        </w:rPr>
        <w:t>(Aldo</w:t>
      </w:r>
      <w:r>
        <w:rPr>
          <w:spacing w:val="5"/>
          <w:w w:val="105"/>
          <w:sz w:val="13"/>
        </w:rPr>
        <w:t> </w:t>
      </w:r>
      <w:r>
        <w:rPr>
          <w:w w:val="105"/>
          <w:sz w:val="13"/>
        </w:rPr>
        <w:t>Taranto);</w:t>
      </w:r>
      <w:r>
        <w:rPr>
          <w:spacing w:val="5"/>
          <w:w w:val="105"/>
          <w:sz w:val="13"/>
        </w:rPr>
        <w:t> </w:t>
      </w:r>
      <w:r>
        <w:rPr>
          <w:w w:val="105"/>
          <w:sz w:val="13"/>
        </w:rPr>
        <w:t>Survey</w:t>
      </w:r>
      <w:r>
        <w:rPr>
          <w:spacing w:val="6"/>
          <w:w w:val="105"/>
          <w:sz w:val="13"/>
        </w:rPr>
        <w:t> </w:t>
      </w:r>
      <w:r>
        <w:rPr>
          <w:w w:val="105"/>
          <w:sz w:val="13"/>
        </w:rPr>
        <w:t>Respondent</w:t>
      </w:r>
      <w:r>
        <w:rPr>
          <w:spacing w:val="5"/>
          <w:w w:val="105"/>
          <w:sz w:val="13"/>
        </w:rPr>
        <w:t> </w:t>
      </w:r>
      <w:r>
        <w:rPr>
          <w:w w:val="105"/>
          <w:sz w:val="13"/>
        </w:rPr>
        <w:t>60.</w:t>
      </w:r>
    </w:p>
    <w:p>
      <w:pPr>
        <w:pStyle w:val="ListParagraph"/>
        <w:numPr>
          <w:ilvl w:val="0"/>
          <w:numId w:val="31"/>
        </w:numPr>
        <w:tabs>
          <w:tab w:pos="2381" w:val="left" w:leader="none"/>
          <w:tab w:pos="2382" w:val="left" w:leader="none"/>
        </w:tabs>
        <w:spacing w:line="240" w:lineRule="auto" w:before="1" w:after="0"/>
        <w:ind w:left="2381" w:right="0" w:hanging="794"/>
        <w:jc w:val="left"/>
        <w:rPr>
          <w:sz w:val="13"/>
        </w:rPr>
      </w:pPr>
      <w:r>
        <w:rPr/>
        <w:pict>
          <v:shape style="position:absolute;margin-left:36pt;margin-top:2.997363pt;width:13.8pt;height:14.25pt;mso-position-horizontal-relative:page;mso-position-vertical-relative:paragraph;z-index:3592" type="#_x0000_t202" filled="false" stroked="false">
            <v:textbox inset="0,0,0,0">
              <w:txbxContent>
                <w:p>
                  <w:pPr>
                    <w:spacing w:line="284" w:lineRule="exact" w:before="0"/>
                    <w:ind w:left="0" w:right="0" w:firstLine="0"/>
                    <w:jc w:val="left"/>
                    <w:rPr>
                      <w:b/>
                      <w:sz w:val="24"/>
                    </w:rPr>
                  </w:pPr>
                  <w:r>
                    <w:rPr>
                      <w:b/>
                      <w:color w:val="658464"/>
                      <w:w w:val="110"/>
                      <w:sz w:val="24"/>
                    </w:rPr>
                    <w:t>40</w:t>
                  </w:r>
                </w:p>
              </w:txbxContent>
            </v:textbox>
            <w10:wrap type="none"/>
          </v:shape>
        </w:pict>
      </w:r>
      <w:r>
        <w:rPr>
          <w:w w:val="105"/>
          <w:sz w:val="13"/>
        </w:rPr>
        <w:t>Submission 30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31"/>
        </w:numPr>
        <w:tabs>
          <w:tab w:pos="2381" w:val="left" w:leader="none"/>
          <w:tab w:pos="2382" w:val="left" w:leader="none"/>
        </w:tabs>
        <w:spacing w:line="240" w:lineRule="auto" w:before="1" w:after="0"/>
        <w:ind w:left="2381" w:right="0" w:hanging="794"/>
        <w:jc w:val="left"/>
        <w:rPr>
          <w:sz w:val="13"/>
        </w:rPr>
      </w:pPr>
      <w:r>
        <w:rPr>
          <w:w w:val="105"/>
          <w:sz w:val="13"/>
        </w:rPr>
        <w:t>Information</w:t>
      </w:r>
      <w:r>
        <w:rPr>
          <w:spacing w:val="5"/>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DSCV</w:t>
      </w:r>
      <w:r>
        <w:rPr>
          <w:spacing w:val="5"/>
          <w:w w:val="105"/>
          <w:sz w:val="13"/>
        </w:rPr>
        <w:t> </w:t>
      </w:r>
      <w:r>
        <w:rPr>
          <w:w w:val="105"/>
          <w:sz w:val="13"/>
        </w:rPr>
        <w:t>as</w:t>
      </w:r>
      <w:r>
        <w:rPr>
          <w:spacing w:val="5"/>
          <w:w w:val="105"/>
          <w:sz w:val="13"/>
        </w:rPr>
        <w:t> </w:t>
      </w:r>
      <w:r>
        <w:rPr>
          <w:w w:val="105"/>
          <w:sz w:val="13"/>
        </w:rPr>
        <w:t>part</w:t>
      </w:r>
      <w:r>
        <w:rPr>
          <w:spacing w:val="5"/>
          <w:w w:val="105"/>
          <w:sz w:val="13"/>
        </w:rPr>
        <w:t> </w:t>
      </w:r>
      <w:r>
        <w:rPr>
          <w:w w:val="105"/>
          <w:sz w:val="13"/>
        </w:rPr>
        <w:t>of</w:t>
      </w:r>
      <w:r>
        <w:rPr>
          <w:spacing w:val="5"/>
          <w:w w:val="105"/>
          <w:sz w:val="13"/>
        </w:rPr>
        <w:t> </w:t>
      </w:r>
      <w:r>
        <w:rPr>
          <w:w w:val="105"/>
          <w:sz w:val="13"/>
        </w:rPr>
        <w:t>a</w:t>
      </w:r>
      <w:r>
        <w:rPr>
          <w:spacing w:val="5"/>
          <w:w w:val="105"/>
          <w:sz w:val="13"/>
        </w:rPr>
        <w:t> </w:t>
      </w:r>
      <w:r>
        <w:rPr>
          <w:w w:val="105"/>
          <w:sz w:val="13"/>
        </w:rPr>
        <w:t>data</w:t>
      </w:r>
      <w:r>
        <w:rPr>
          <w:spacing w:val="5"/>
          <w:w w:val="105"/>
          <w:sz w:val="13"/>
        </w:rPr>
        <w:t> </w:t>
      </w:r>
      <w:r>
        <w:rPr>
          <w:w w:val="105"/>
          <w:sz w:val="13"/>
        </w:rPr>
        <w:t>request</w:t>
      </w:r>
      <w:r>
        <w:rPr>
          <w:spacing w:val="5"/>
          <w:w w:val="105"/>
          <w:sz w:val="13"/>
        </w:rPr>
        <w:t> </w:t>
      </w:r>
      <w:r>
        <w:rPr>
          <w:w w:val="105"/>
          <w:sz w:val="13"/>
        </w:rPr>
        <w:t>from</w:t>
      </w:r>
      <w:r>
        <w:rPr>
          <w:spacing w:val="5"/>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August</w:t>
      </w:r>
      <w:r>
        <w:rPr>
          <w:spacing w:val="6"/>
          <w:w w:val="105"/>
          <w:sz w:val="13"/>
        </w:rPr>
        <w:t> </w:t>
      </w:r>
      <w:r>
        <w:rPr>
          <w:spacing w:val="-5"/>
          <w:w w:val="105"/>
          <w:sz w:val="13"/>
        </w:rPr>
        <w:t>2017.</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11"/>
        <w:rPr>
          <w:sz w:val="18"/>
        </w:rPr>
      </w:pPr>
    </w:p>
    <w:p>
      <w:pPr>
        <w:spacing w:line="254" w:lineRule="auto" w:before="91"/>
        <w:ind w:left="2834" w:right="1795" w:firstLine="0"/>
        <w:jc w:val="left"/>
        <w:rPr>
          <w:sz w:val="11"/>
        </w:rPr>
      </w:pPr>
      <w:bookmarkStart w:name="_bookmark31" w:id="82"/>
      <w:bookmarkEnd w:id="82"/>
      <w:r>
        <w:rPr/>
      </w:r>
      <w:r>
        <w:rPr>
          <w:w w:val="105"/>
          <w:sz w:val="20"/>
        </w:rPr>
        <w:t>is threatened or damaged by tree roots, it is difficult to actually do anything from a practical stand-point; they can cut the roots back to the </w:t>
      </w:r>
      <w:r>
        <w:rPr>
          <w:spacing w:val="-3"/>
          <w:w w:val="105"/>
          <w:sz w:val="20"/>
        </w:rPr>
        <w:t>fenceline, </w:t>
      </w:r>
      <w:r>
        <w:rPr>
          <w:w w:val="105"/>
          <w:sz w:val="20"/>
        </w:rPr>
        <w:t>but this will almost certainly</w:t>
      </w:r>
      <w:r>
        <w:rPr>
          <w:spacing w:val="-9"/>
          <w:w w:val="105"/>
          <w:sz w:val="20"/>
        </w:rPr>
        <w:t> </w:t>
      </w:r>
      <w:r>
        <w:rPr>
          <w:w w:val="105"/>
          <w:sz w:val="20"/>
        </w:rPr>
        <w:t>result</w:t>
      </w:r>
      <w:r>
        <w:rPr>
          <w:spacing w:val="-9"/>
          <w:w w:val="105"/>
          <w:sz w:val="20"/>
        </w:rPr>
        <w:t> </w:t>
      </w:r>
      <w:r>
        <w:rPr>
          <w:w w:val="105"/>
          <w:sz w:val="20"/>
        </w:rPr>
        <w:t>in</w:t>
      </w:r>
      <w:r>
        <w:rPr>
          <w:spacing w:val="-10"/>
          <w:w w:val="105"/>
          <w:sz w:val="20"/>
        </w:rPr>
        <w:t> </w:t>
      </w:r>
      <w:r>
        <w:rPr>
          <w:w w:val="105"/>
          <w:sz w:val="20"/>
        </w:rPr>
        <w:t>damage</w:t>
      </w:r>
      <w:r>
        <w:rPr>
          <w:spacing w:val="-9"/>
          <w:w w:val="105"/>
          <w:sz w:val="20"/>
        </w:rPr>
        <w:t> </w:t>
      </w:r>
      <w:r>
        <w:rPr>
          <w:w w:val="105"/>
          <w:sz w:val="20"/>
        </w:rPr>
        <w:t>to</w:t>
      </w:r>
      <w:r>
        <w:rPr>
          <w:spacing w:val="-9"/>
          <w:w w:val="105"/>
          <w:sz w:val="20"/>
        </w:rPr>
        <w:t> </w:t>
      </w:r>
      <w:r>
        <w:rPr>
          <w:w w:val="105"/>
          <w:sz w:val="20"/>
        </w:rPr>
        <w:t>the</w:t>
      </w:r>
      <w:r>
        <w:rPr>
          <w:spacing w:val="-9"/>
          <w:w w:val="105"/>
          <w:sz w:val="20"/>
        </w:rPr>
        <w:t> </w:t>
      </w:r>
      <w:r>
        <w:rPr>
          <w:spacing w:val="-3"/>
          <w:w w:val="105"/>
          <w:sz w:val="20"/>
        </w:rPr>
        <w:t>tree,</w:t>
      </w:r>
      <w:r>
        <w:rPr>
          <w:spacing w:val="-9"/>
          <w:w w:val="105"/>
          <w:sz w:val="20"/>
        </w:rPr>
        <w:t> </w:t>
      </w:r>
      <w:r>
        <w:rPr>
          <w:w w:val="105"/>
          <w:sz w:val="20"/>
        </w:rPr>
        <w:t>which</w:t>
      </w:r>
      <w:r>
        <w:rPr>
          <w:spacing w:val="-9"/>
          <w:w w:val="105"/>
          <w:sz w:val="20"/>
        </w:rPr>
        <w:t> </w:t>
      </w:r>
      <w:r>
        <w:rPr>
          <w:spacing w:val="-3"/>
          <w:w w:val="105"/>
          <w:sz w:val="20"/>
        </w:rPr>
        <w:t>could</w:t>
      </w:r>
      <w:r>
        <w:rPr>
          <w:spacing w:val="-9"/>
          <w:w w:val="105"/>
          <w:sz w:val="20"/>
        </w:rPr>
        <w:t> </w:t>
      </w:r>
      <w:r>
        <w:rPr>
          <w:w w:val="105"/>
          <w:sz w:val="20"/>
        </w:rPr>
        <w:t>in</w:t>
      </w:r>
      <w:r>
        <w:rPr>
          <w:spacing w:val="-9"/>
          <w:w w:val="105"/>
          <w:sz w:val="20"/>
        </w:rPr>
        <w:t> </w:t>
      </w:r>
      <w:r>
        <w:rPr>
          <w:w w:val="105"/>
          <w:sz w:val="20"/>
        </w:rPr>
        <w:t>turn</w:t>
      </w:r>
      <w:r>
        <w:rPr>
          <w:spacing w:val="-9"/>
          <w:w w:val="105"/>
          <w:sz w:val="20"/>
        </w:rPr>
        <w:t> </w:t>
      </w:r>
      <w:r>
        <w:rPr>
          <w:w w:val="105"/>
          <w:sz w:val="20"/>
        </w:rPr>
        <w:t>destabilise</w:t>
      </w:r>
      <w:r>
        <w:rPr>
          <w:spacing w:val="-9"/>
          <w:w w:val="105"/>
          <w:sz w:val="20"/>
        </w:rPr>
        <w:t> </w:t>
      </w:r>
      <w:r>
        <w:rPr>
          <w:w w:val="105"/>
          <w:sz w:val="20"/>
        </w:rPr>
        <w:t>it</w:t>
      </w:r>
      <w:r>
        <w:rPr>
          <w:spacing w:val="-9"/>
          <w:w w:val="105"/>
          <w:sz w:val="20"/>
        </w:rPr>
        <w:t> </w:t>
      </w:r>
      <w:r>
        <w:rPr>
          <w:w w:val="105"/>
          <w:sz w:val="20"/>
        </w:rPr>
        <w:t>and</w:t>
      </w:r>
      <w:r>
        <w:rPr>
          <w:spacing w:val="-9"/>
          <w:w w:val="105"/>
          <w:sz w:val="20"/>
        </w:rPr>
        <w:t> </w:t>
      </w:r>
      <w:r>
        <w:rPr>
          <w:w w:val="105"/>
          <w:sz w:val="20"/>
        </w:rPr>
        <w:t>leave</w:t>
      </w:r>
      <w:r>
        <w:rPr>
          <w:spacing w:val="-9"/>
          <w:w w:val="105"/>
          <w:sz w:val="20"/>
        </w:rPr>
        <w:t> </w:t>
      </w:r>
      <w:r>
        <w:rPr>
          <w:w w:val="105"/>
          <w:sz w:val="20"/>
        </w:rPr>
        <w:t>them liable for property</w:t>
      </w:r>
      <w:r>
        <w:rPr>
          <w:spacing w:val="16"/>
          <w:w w:val="105"/>
          <w:sz w:val="20"/>
        </w:rPr>
        <w:t> </w:t>
      </w:r>
      <w:r>
        <w:rPr>
          <w:spacing w:val="-4"/>
          <w:w w:val="105"/>
          <w:sz w:val="20"/>
        </w:rPr>
        <w:t>damage.</w:t>
      </w:r>
      <w:r>
        <w:rPr>
          <w:spacing w:val="-4"/>
          <w:w w:val="105"/>
          <w:position w:val="7"/>
          <w:sz w:val="11"/>
        </w:rPr>
        <w:t>155</w:t>
      </w:r>
    </w:p>
    <w:p>
      <w:pPr>
        <w:pStyle w:val="ListParagraph"/>
        <w:numPr>
          <w:ilvl w:val="1"/>
          <w:numId w:val="16"/>
        </w:numPr>
        <w:tabs>
          <w:tab w:pos="2381" w:val="left" w:leader="none"/>
          <w:tab w:pos="2382" w:val="left" w:leader="none"/>
        </w:tabs>
        <w:spacing w:line="242" w:lineRule="auto" w:before="116" w:after="0"/>
        <w:ind w:left="2381" w:right="2012" w:hanging="794"/>
        <w:jc w:val="left"/>
        <w:rPr>
          <w:sz w:val="21"/>
        </w:rPr>
      </w:pPr>
      <w:r>
        <w:rPr>
          <w:sz w:val="21"/>
        </w:rPr>
        <w:t>Whilst it is </w:t>
      </w:r>
      <w:r>
        <w:rPr>
          <w:spacing w:val="-2"/>
          <w:sz w:val="21"/>
        </w:rPr>
        <w:t>not </w:t>
      </w:r>
      <w:r>
        <w:rPr>
          <w:sz w:val="21"/>
        </w:rPr>
        <w:t>a function of DSCV </w:t>
      </w:r>
      <w:r>
        <w:rPr>
          <w:spacing w:val="-3"/>
          <w:sz w:val="21"/>
        </w:rPr>
        <w:t>to </w:t>
      </w:r>
      <w:r>
        <w:rPr>
          <w:sz w:val="21"/>
        </w:rPr>
        <w:t>provide legal advice </w:t>
      </w:r>
      <w:r>
        <w:rPr>
          <w:spacing w:val="-3"/>
          <w:sz w:val="21"/>
        </w:rPr>
        <w:t>to </w:t>
      </w:r>
      <w:r>
        <w:rPr>
          <w:sz w:val="21"/>
        </w:rPr>
        <w:t>its clients, DSCV also observes </w:t>
      </w:r>
      <w:r>
        <w:rPr>
          <w:spacing w:val="-3"/>
          <w:sz w:val="21"/>
        </w:rPr>
        <w:t>that many </w:t>
      </w:r>
      <w:r>
        <w:rPr>
          <w:sz w:val="21"/>
        </w:rPr>
        <w:t>tree issues </w:t>
      </w:r>
      <w:r>
        <w:rPr>
          <w:spacing w:val="-3"/>
          <w:sz w:val="21"/>
        </w:rPr>
        <w:t>that </w:t>
      </w:r>
      <w:r>
        <w:rPr>
          <w:sz w:val="21"/>
        </w:rPr>
        <w:t>people decide </w:t>
      </w:r>
      <w:r>
        <w:rPr>
          <w:spacing w:val="-3"/>
          <w:sz w:val="21"/>
        </w:rPr>
        <w:t>to </w:t>
      </w:r>
      <w:r>
        <w:rPr>
          <w:sz w:val="21"/>
        </w:rPr>
        <w:t>contact DSCV about </w:t>
      </w:r>
      <w:r>
        <w:rPr>
          <w:spacing w:val="-3"/>
          <w:sz w:val="21"/>
        </w:rPr>
        <w:t>‘would </w:t>
      </w:r>
      <w:r>
        <w:rPr>
          <w:spacing w:val="-2"/>
          <w:sz w:val="21"/>
        </w:rPr>
        <w:t>not </w:t>
      </w:r>
      <w:r>
        <w:rPr>
          <w:sz w:val="21"/>
        </w:rPr>
        <w:t>meet the standard </w:t>
      </w:r>
      <w:r>
        <w:rPr>
          <w:spacing w:val="-3"/>
          <w:sz w:val="21"/>
        </w:rPr>
        <w:t>for private </w:t>
      </w:r>
      <w:r>
        <w:rPr>
          <w:spacing w:val="-5"/>
          <w:sz w:val="21"/>
        </w:rPr>
        <w:t>nuisance’. </w:t>
      </w:r>
      <w:r>
        <w:rPr>
          <w:sz w:val="21"/>
        </w:rPr>
        <w:t>It suggested </w:t>
      </w:r>
      <w:r>
        <w:rPr>
          <w:spacing w:val="-3"/>
          <w:sz w:val="21"/>
        </w:rPr>
        <w:t>that for </w:t>
      </w:r>
      <w:r>
        <w:rPr>
          <w:sz w:val="21"/>
        </w:rPr>
        <w:t>these low level </w:t>
      </w:r>
      <w:r>
        <w:rPr>
          <w:spacing w:val="-3"/>
          <w:sz w:val="21"/>
        </w:rPr>
        <w:t>dispute </w:t>
      </w:r>
      <w:r>
        <w:rPr>
          <w:sz w:val="21"/>
        </w:rPr>
        <w:t>matters there is no </w:t>
      </w:r>
      <w:r>
        <w:rPr>
          <w:spacing w:val="-3"/>
          <w:sz w:val="21"/>
        </w:rPr>
        <w:t>clear pathway for </w:t>
      </w:r>
      <w:r>
        <w:rPr>
          <w:sz w:val="21"/>
        </w:rPr>
        <w:t>resolution and without this </w:t>
      </w:r>
      <w:r>
        <w:rPr>
          <w:spacing w:val="-4"/>
          <w:sz w:val="21"/>
        </w:rPr>
        <w:t>‘clients </w:t>
      </w:r>
      <w:r>
        <w:rPr>
          <w:spacing w:val="-3"/>
          <w:sz w:val="21"/>
        </w:rPr>
        <w:t>may </w:t>
      </w:r>
      <w:r>
        <w:rPr>
          <w:sz w:val="21"/>
        </w:rPr>
        <w:t>become </w:t>
      </w:r>
      <w:r>
        <w:rPr>
          <w:spacing w:val="-3"/>
          <w:sz w:val="21"/>
        </w:rPr>
        <w:t>disillusioned </w:t>
      </w:r>
      <w:r>
        <w:rPr>
          <w:sz w:val="21"/>
        </w:rPr>
        <w:t>and </w:t>
      </w:r>
      <w:r>
        <w:rPr>
          <w:spacing w:val="-3"/>
          <w:sz w:val="21"/>
        </w:rPr>
        <w:t>withdraw from</w:t>
      </w:r>
      <w:r>
        <w:rPr>
          <w:spacing w:val="9"/>
          <w:sz w:val="21"/>
        </w:rPr>
        <w:t> </w:t>
      </w:r>
      <w:r>
        <w:rPr>
          <w:sz w:val="21"/>
        </w:rPr>
        <w:t>contact with external </w:t>
      </w:r>
      <w:r>
        <w:rPr>
          <w:spacing w:val="-5"/>
          <w:sz w:val="21"/>
        </w:rPr>
        <w:t>agencies’.</w:t>
      </w:r>
      <w:r>
        <w:rPr>
          <w:spacing w:val="-5"/>
          <w:position w:val="7"/>
          <w:sz w:val="12"/>
        </w:rPr>
        <w:t>156</w:t>
      </w:r>
    </w:p>
    <w:p>
      <w:pPr>
        <w:pStyle w:val="ListParagraph"/>
        <w:numPr>
          <w:ilvl w:val="1"/>
          <w:numId w:val="16"/>
        </w:numPr>
        <w:tabs>
          <w:tab w:pos="2381" w:val="left" w:leader="none"/>
          <w:tab w:pos="2382" w:val="left" w:leader="none"/>
        </w:tabs>
        <w:spacing w:line="242" w:lineRule="auto" w:before="125" w:after="0"/>
        <w:ind w:left="2381" w:right="1709" w:hanging="794"/>
        <w:jc w:val="left"/>
        <w:rPr>
          <w:sz w:val="21"/>
        </w:rPr>
      </w:pPr>
      <w:r>
        <w:rPr>
          <w:sz w:val="21"/>
        </w:rPr>
        <w:t>HVP </w:t>
      </w:r>
      <w:r>
        <w:rPr>
          <w:spacing w:val="-3"/>
          <w:sz w:val="21"/>
        </w:rPr>
        <w:t>Plantations </w:t>
      </w:r>
      <w:r>
        <w:rPr>
          <w:sz w:val="21"/>
        </w:rPr>
        <w:t>stated </w:t>
      </w:r>
      <w:r>
        <w:rPr>
          <w:spacing w:val="-3"/>
          <w:sz w:val="21"/>
        </w:rPr>
        <w:t>that </w:t>
      </w:r>
      <w:r>
        <w:rPr>
          <w:sz w:val="21"/>
        </w:rPr>
        <w:t>it is difficult </w:t>
      </w:r>
      <w:r>
        <w:rPr>
          <w:spacing w:val="-3"/>
          <w:sz w:val="21"/>
        </w:rPr>
        <w:t>to </w:t>
      </w:r>
      <w:r>
        <w:rPr>
          <w:sz w:val="21"/>
        </w:rPr>
        <w:t>know how </w:t>
      </w:r>
      <w:r>
        <w:rPr>
          <w:spacing w:val="-3"/>
          <w:sz w:val="21"/>
        </w:rPr>
        <w:t>to  interpret  </w:t>
      </w:r>
      <w:r>
        <w:rPr>
          <w:sz w:val="21"/>
        </w:rPr>
        <w:t>and apply the </w:t>
      </w:r>
      <w:r>
        <w:rPr>
          <w:spacing w:val="-3"/>
          <w:sz w:val="21"/>
        </w:rPr>
        <w:t>current</w:t>
      </w:r>
      <w:r>
        <w:rPr>
          <w:spacing w:val="41"/>
          <w:sz w:val="21"/>
        </w:rPr>
        <w:t> </w:t>
      </w:r>
      <w:r>
        <w:rPr>
          <w:sz w:val="21"/>
        </w:rPr>
        <w:t>law </w:t>
      </w:r>
      <w:r>
        <w:rPr>
          <w:spacing w:val="-3"/>
          <w:sz w:val="21"/>
        </w:rPr>
        <w:t>to </w:t>
      </w:r>
      <w:r>
        <w:rPr>
          <w:sz w:val="21"/>
        </w:rPr>
        <w:t>a tree </w:t>
      </w:r>
      <w:r>
        <w:rPr>
          <w:spacing w:val="-3"/>
          <w:sz w:val="21"/>
        </w:rPr>
        <w:t>dispute </w:t>
      </w:r>
      <w:r>
        <w:rPr>
          <w:sz w:val="21"/>
        </w:rPr>
        <w:t>without a </w:t>
      </w:r>
      <w:r>
        <w:rPr>
          <w:spacing w:val="-3"/>
          <w:sz w:val="21"/>
        </w:rPr>
        <w:t>determination </w:t>
      </w:r>
      <w:r>
        <w:rPr>
          <w:sz w:val="21"/>
        </w:rPr>
        <w:t>by a </w:t>
      </w:r>
      <w:r>
        <w:rPr>
          <w:spacing w:val="-4"/>
          <w:sz w:val="21"/>
        </w:rPr>
        <w:t>court.</w:t>
      </w:r>
      <w:r>
        <w:rPr>
          <w:spacing w:val="-4"/>
          <w:position w:val="7"/>
          <w:sz w:val="12"/>
        </w:rPr>
        <w:t>157 </w:t>
      </w:r>
      <w:r>
        <w:rPr>
          <w:sz w:val="21"/>
        </w:rPr>
        <w:t>It observed </w:t>
      </w:r>
      <w:r>
        <w:rPr>
          <w:spacing w:val="-3"/>
          <w:sz w:val="21"/>
        </w:rPr>
        <w:t>that  </w:t>
      </w:r>
      <w:r>
        <w:rPr>
          <w:sz w:val="21"/>
        </w:rPr>
        <w:t>the </w:t>
      </w:r>
      <w:r>
        <w:rPr>
          <w:spacing w:val="-2"/>
          <w:sz w:val="21"/>
        </w:rPr>
        <w:t>common</w:t>
      </w:r>
      <w:r>
        <w:rPr>
          <w:spacing w:val="43"/>
          <w:sz w:val="21"/>
        </w:rPr>
        <w:t> </w:t>
      </w:r>
      <w:r>
        <w:rPr>
          <w:sz w:val="21"/>
        </w:rPr>
        <w:t>law with respect </w:t>
      </w:r>
      <w:r>
        <w:rPr>
          <w:spacing w:val="-3"/>
          <w:sz w:val="21"/>
        </w:rPr>
        <w:t>to </w:t>
      </w:r>
      <w:r>
        <w:rPr>
          <w:sz w:val="21"/>
        </w:rPr>
        <w:t>tree </w:t>
      </w:r>
      <w:r>
        <w:rPr>
          <w:spacing w:val="-3"/>
          <w:sz w:val="21"/>
        </w:rPr>
        <w:t>disputes </w:t>
      </w:r>
      <w:r>
        <w:rPr>
          <w:spacing w:val="-2"/>
          <w:sz w:val="21"/>
        </w:rPr>
        <w:t>has not </w:t>
      </w:r>
      <w:r>
        <w:rPr>
          <w:sz w:val="21"/>
        </w:rPr>
        <w:t>been as extensively developed as other matters </w:t>
      </w:r>
      <w:r>
        <w:rPr>
          <w:spacing w:val="-3"/>
          <w:sz w:val="21"/>
        </w:rPr>
        <w:t>that involve nuisance, negligence </w:t>
      </w:r>
      <w:r>
        <w:rPr>
          <w:sz w:val="21"/>
        </w:rPr>
        <w:t>or</w:t>
      </w:r>
      <w:r>
        <w:rPr>
          <w:spacing w:val="12"/>
          <w:sz w:val="21"/>
        </w:rPr>
        <w:t> </w:t>
      </w:r>
      <w:r>
        <w:rPr>
          <w:sz w:val="21"/>
        </w:rPr>
        <w:t>trespass.</w:t>
      </w:r>
    </w:p>
    <w:p>
      <w:pPr>
        <w:pStyle w:val="ListParagraph"/>
        <w:numPr>
          <w:ilvl w:val="1"/>
          <w:numId w:val="16"/>
        </w:numPr>
        <w:tabs>
          <w:tab w:pos="2380" w:val="left" w:leader="none"/>
          <w:tab w:pos="2382" w:val="left" w:leader="none"/>
        </w:tabs>
        <w:spacing w:line="242" w:lineRule="auto" w:before="125" w:after="0"/>
        <w:ind w:left="2381" w:right="1883" w:hanging="794"/>
        <w:jc w:val="left"/>
        <w:rPr>
          <w:sz w:val="21"/>
        </w:rPr>
      </w:pPr>
      <w:r>
        <w:rPr>
          <w:sz w:val="21"/>
        </w:rPr>
        <w:t>HVP </w:t>
      </w:r>
      <w:r>
        <w:rPr>
          <w:spacing w:val="-3"/>
          <w:sz w:val="21"/>
        </w:rPr>
        <w:t>Plantations </w:t>
      </w:r>
      <w:r>
        <w:rPr>
          <w:sz w:val="21"/>
        </w:rPr>
        <w:t>further </w:t>
      </w:r>
      <w:r>
        <w:rPr>
          <w:spacing w:val="-3"/>
          <w:sz w:val="21"/>
        </w:rPr>
        <w:t>noted available </w:t>
      </w:r>
      <w:r>
        <w:rPr>
          <w:sz w:val="21"/>
        </w:rPr>
        <w:t>case law focuses </w:t>
      </w:r>
      <w:r>
        <w:rPr>
          <w:spacing w:val="-3"/>
          <w:sz w:val="21"/>
        </w:rPr>
        <w:t>mainly </w:t>
      </w:r>
      <w:r>
        <w:rPr>
          <w:sz w:val="21"/>
        </w:rPr>
        <w:t>on urban trees in close settings,</w:t>
      </w:r>
      <w:r>
        <w:rPr>
          <w:spacing w:val="9"/>
          <w:sz w:val="21"/>
        </w:rPr>
        <w:t> </w:t>
      </w:r>
      <w:r>
        <w:rPr>
          <w:sz w:val="21"/>
        </w:rPr>
        <w:t>which</w:t>
      </w:r>
      <w:r>
        <w:rPr>
          <w:spacing w:val="10"/>
          <w:sz w:val="21"/>
        </w:rPr>
        <w:t> </w:t>
      </w:r>
      <w:r>
        <w:rPr>
          <w:spacing w:val="-3"/>
          <w:sz w:val="21"/>
        </w:rPr>
        <w:t>cannot</w:t>
      </w:r>
      <w:r>
        <w:rPr>
          <w:spacing w:val="10"/>
          <w:sz w:val="21"/>
        </w:rPr>
        <w:t> </w:t>
      </w:r>
      <w:r>
        <w:rPr>
          <w:sz w:val="21"/>
        </w:rPr>
        <w:t>be</w:t>
      </w:r>
      <w:r>
        <w:rPr>
          <w:spacing w:val="10"/>
          <w:sz w:val="21"/>
        </w:rPr>
        <w:t> </w:t>
      </w:r>
      <w:r>
        <w:rPr>
          <w:spacing w:val="-3"/>
          <w:sz w:val="21"/>
        </w:rPr>
        <w:t>easily</w:t>
      </w:r>
      <w:r>
        <w:rPr>
          <w:spacing w:val="10"/>
          <w:sz w:val="21"/>
        </w:rPr>
        <w:t> </w:t>
      </w:r>
      <w:r>
        <w:rPr>
          <w:sz w:val="21"/>
        </w:rPr>
        <w:t>applied</w:t>
      </w:r>
      <w:r>
        <w:rPr>
          <w:spacing w:val="10"/>
          <w:sz w:val="21"/>
        </w:rPr>
        <w:t> </w:t>
      </w:r>
      <w:r>
        <w:rPr>
          <w:spacing w:val="-3"/>
          <w:sz w:val="21"/>
        </w:rPr>
        <w:t>to</w:t>
      </w:r>
      <w:r>
        <w:rPr>
          <w:spacing w:val="10"/>
          <w:sz w:val="21"/>
        </w:rPr>
        <w:t> </w:t>
      </w:r>
      <w:r>
        <w:rPr>
          <w:spacing w:val="-3"/>
          <w:sz w:val="21"/>
        </w:rPr>
        <w:t>rural</w:t>
      </w:r>
      <w:r>
        <w:rPr>
          <w:spacing w:val="9"/>
          <w:sz w:val="21"/>
        </w:rPr>
        <w:t> </w:t>
      </w:r>
      <w:r>
        <w:rPr>
          <w:sz w:val="21"/>
        </w:rPr>
        <w:t>settings:</w:t>
      </w:r>
    </w:p>
    <w:p>
      <w:pPr>
        <w:spacing w:line="254" w:lineRule="auto" w:before="131"/>
        <w:ind w:left="2834" w:right="1636" w:firstLine="0"/>
        <w:jc w:val="left"/>
        <w:rPr>
          <w:sz w:val="11"/>
        </w:rPr>
      </w:pPr>
      <w:r>
        <w:rPr>
          <w:sz w:val="20"/>
        </w:rPr>
        <w:t>the current state of the law can only be estimated by extrapolation from cases that have considered boundary trees in urban settings. These cases tend not to provide a useful consideration of the issues in a rural setting.</w:t>
      </w:r>
      <w:r>
        <w:rPr>
          <w:position w:val="7"/>
          <w:sz w:val="11"/>
        </w:rPr>
        <w:t>158</w:t>
      </w:r>
    </w:p>
    <w:p>
      <w:pPr>
        <w:pStyle w:val="ListParagraph"/>
        <w:numPr>
          <w:ilvl w:val="1"/>
          <w:numId w:val="16"/>
        </w:numPr>
        <w:tabs>
          <w:tab w:pos="2381" w:val="left" w:leader="none"/>
          <w:tab w:pos="2382" w:val="left" w:leader="none"/>
        </w:tabs>
        <w:spacing w:line="242" w:lineRule="auto" w:before="114" w:after="0"/>
        <w:ind w:left="2381" w:right="1947" w:hanging="794"/>
        <w:jc w:val="left"/>
        <w:rPr>
          <w:sz w:val="21"/>
        </w:rPr>
      </w:pPr>
      <w:r>
        <w:rPr>
          <w:w w:val="105"/>
          <w:sz w:val="21"/>
        </w:rPr>
        <w:t>Arborist</w:t>
      </w:r>
      <w:r>
        <w:rPr>
          <w:spacing w:val="-10"/>
          <w:w w:val="105"/>
          <w:sz w:val="21"/>
        </w:rPr>
        <w:t> </w:t>
      </w:r>
      <w:r>
        <w:rPr>
          <w:w w:val="105"/>
          <w:sz w:val="21"/>
        </w:rPr>
        <w:t>Ben</w:t>
      </w:r>
      <w:r>
        <w:rPr>
          <w:spacing w:val="-9"/>
          <w:w w:val="105"/>
          <w:sz w:val="21"/>
        </w:rPr>
        <w:t> </w:t>
      </w:r>
      <w:r>
        <w:rPr>
          <w:spacing w:val="-3"/>
          <w:w w:val="105"/>
          <w:sz w:val="21"/>
        </w:rPr>
        <w:t>Kenyon</w:t>
      </w:r>
      <w:r>
        <w:rPr>
          <w:spacing w:val="-9"/>
          <w:w w:val="105"/>
          <w:sz w:val="21"/>
        </w:rPr>
        <w:t> </w:t>
      </w:r>
      <w:r>
        <w:rPr>
          <w:w w:val="105"/>
          <w:sz w:val="21"/>
        </w:rPr>
        <w:t>further</w:t>
      </w:r>
      <w:r>
        <w:rPr>
          <w:spacing w:val="-9"/>
          <w:w w:val="105"/>
          <w:sz w:val="21"/>
        </w:rPr>
        <w:t> </w:t>
      </w:r>
      <w:r>
        <w:rPr>
          <w:w w:val="105"/>
          <w:sz w:val="21"/>
        </w:rPr>
        <w:t>identified</w:t>
      </w:r>
      <w:r>
        <w:rPr>
          <w:spacing w:val="-9"/>
          <w:w w:val="105"/>
          <w:sz w:val="21"/>
        </w:rPr>
        <w:t> </w:t>
      </w:r>
      <w:r>
        <w:rPr>
          <w:spacing w:val="-3"/>
          <w:w w:val="105"/>
          <w:sz w:val="21"/>
        </w:rPr>
        <w:t>that</w:t>
      </w:r>
      <w:r>
        <w:rPr>
          <w:spacing w:val="-10"/>
          <w:w w:val="105"/>
          <w:sz w:val="21"/>
        </w:rPr>
        <w:t> </w:t>
      </w:r>
      <w:r>
        <w:rPr>
          <w:w w:val="105"/>
          <w:sz w:val="21"/>
        </w:rPr>
        <w:t>the</w:t>
      </w:r>
      <w:r>
        <w:rPr>
          <w:spacing w:val="-9"/>
          <w:w w:val="105"/>
          <w:sz w:val="21"/>
        </w:rPr>
        <w:t> </w:t>
      </w:r>
      <w:r>
        <w:rPr>
          <w:w w:val="105"/>
          <w:sz w:val="21"/>
        </w:rPr>
        <w:t>law</w:t>
      </w:r>
      <w:r>
        <w:rPr>
          <w:spacing w:val="-9"/>
          <w:w w:val="105"/>
          <w:sz w:val="21"/>
        </w:rPr>
        <w:t> </w:t>
      </w:r>
      <w:r>
        <w:rPr>
          <w:w w:val="105"/>
          <w:sz w:val="21"/>
        </w:rPr>
        <w:t>lacks</w:t>
      </w:r>
      <w:r>
        <w:rPr>
          <w:spacing w:val="-9"/>
          <w:w w:val="105"/>
          <w:sz w:val="21"/>
        </w:rPr>
        <w:t> </w:t>
      </w:r>
      <w:r>
        <w:rPr>
          <w:spacing w:val="-3"/>
          <w:w w:val="105"/>
          <w:sz w:val="21"/>
        </w:rPr>
        <w:t>additional</w:t>
      </w:r>
      <w:r>
        <w:rPr>
          <w:spacing w:val="-9"/>
          <w:w w:val="105"/>
          <w:sz w:val="21"/>
        </w:rPr>
        <w:t> </w:t>
      </w:r>
      <w:r>
        <w:rPr>
          <w:w w:val="105"/>
          <w:sz w:val="21"/>
        </w:rPr>
        <w:t>clarity</w:t>
      </w:r>
      <w:r>
        <w:rPr>
          <w:spacing w:val="-9"/>
          <w:w w:val="105"/>
          <w:sz w:val="21"/>
        </w:rPr>
        <w:t> </w:t>
      </w:r>
      <w:r>
        <w:rPr>
          <w:w w:val="105"/>
          <w:sz w:val="21"/>
        </w:rPr>
        <w:t>in</w:t>
      </w:r>
      <w:r>
        <w:rPr>
          <w:spacing w:val="-10"/>
          <w:w w:val="105"/>
          <w:sz w:val="21"/>
        </w:rPr>
        <w:t> </w:t>
      </w:r>
      <w:r>
        <w:rPr>
          <w:spacing w:val="-3"/>
          <w:w w:val="105"/>
          <w:sz w:val="21"/>
        </w:rPr>
        <w:t>situations </w:t>
      </w:r>
      <w:r>
        <w:rPr>
          <w:w w:val="105"/>
          <w:sz w:val="21"/>
        </w:rPr>
        <w:t>where neighbours experience </w:t>
      </w:r>
      <w:r>
        <w:rPr>
          <w:spacing w:val="-3"/>
          <w:w w:val="105"/>
          <w:sz w:val="21"/>
        </w:rPr>
        <w:t>allergies </w:t>
      </w:r>
      <w:r>
        <w:rPr>
          <w:w w:val="105"/>
          <w:sz w:val="21"/>
        </w:rPr>
        <w:t>due </w:t>
      </w:r>
      <w:r>
        <w:rPr>
          <w:spacing w:val="-3"/>
          <w:w w:val="105"/>
          <w:sz w:val="21"/>
        </w:rPr>
        <w:t>to neighbouring</w:t>
      </w:r>
      <w:r>
        <w:rPr>
          <w:spacing w:val="26"/>
          <w:w w:val="105"/>
          <w:sz w:val="21"/>
        </w:rPr>
        <w:t> </w:t>
      </w:r>
      <w:r>
        <w:rPr>
          <w:spacing w:val="-4"/>
          <w:w w:val="105"/>
          <w:sz w:val="21"/>
        </w:rPr>
        <w:t>trees.</w:t>
      </w:r>
      <w:r>
        <w:rPr>
          <w:spacing w:val="-4"/>
          <w:w w:val="105"/>
          <w:position w:val="7"/>
          <w:sz w:val="12"/>
        </w:rPr>
        <w:t>159</w:t>
      </w:r>
    </w:p>
    <w:p>
      <w:pPr>
        <w:pStyle w:val="BodyText"/>
        <w:spacing w:before="3"/>
        <w:rPr>
          <w:sz w:val="20"/>
        </w:rPr>
      </w:pPr>
    </w:p>
    <w:p>
      <w:pPr>
        <w:pStyle w:val="Heading5"/>
      </w:pPr>
      <w:r>
        <w:rPr>
          <w:w w:val="115"/>
        </w:rPr>
        <w:t>Other laws add complexity</w:t>
      </w:r>
    </w:p>
    <w:p>
      <w:pPr>
        <w:pStyle w:val="ListParagraph"/>
        <w:numPr>
          <w:ilvl w:val="1"/>
          <w:numId w:val="16"/>
        </w:numPr>
        <w:tabs>
          <w:tab w:pos="2380" w:val="left" w:leader="none"/>
          <w:tab w:pos="2381" w:val="left" w:leader="none"/>
        </w:tabs>
        <w:spacing w:line="242" w:lineRule="auto" w:before="138" w:after="0"/>
        <w:ind w:left="2381" w:right="1801" w:hanging="794"/>
        <w:jc w:val="left"/>
        <w:rPr>
          <w:sz w:val="21"/>
        </w:rPr>
      </w:pPr>
      <w:r>
        <w:rPr>
          <w:sz w:val="21"/>
        </w:rPr>
        <w:t>It was also identified </w:t>
      </w:r>
      <w:r>
        <w:rPr>
          <w:spacing w:val="-3"/>
          <w:sz w:val="21"/>
        </w:rPr>
        <w:t>that </w:t>
      </w:r>
      <w:r>
        <w:rPr>
          <w:sz w:val="21"/>
        </w:rPr>
        <w:t>the </w:t>
      </w:r>
      <w:r>
        <w:rPr>
          <w:spacing w:val="-3"/>
          <w:sz w:val="21"/>
        </w:rPr>
        <w:t>additional </w:t>
      </w:r>
      <w:r>
        <w:rPr>
          <w:sz w:val="21"/>
        </w:rPr>
        <w:t>layers of </w:t>
      </w:r>
      <w:r>
        <w:rPr>
          <w:spacing w:val="-3"/>
          <w:sz w:val="21"/>
        </w:rPr>
        <w:t>planning, </w:t>
      </w:r>
      <w:r>
        <w:rPr>
          <w:sz w:val="21"/>
        </w:rPr>
        <w:t>local laws and other statutes add complexity and </w:t>
      </w:r>
      <w:r>
        <w:rPr>
          <w:spacing w:val="-3"/>
          <w:sz w:val="21"/>
        </w:rPr>
        <w:t>confusion to </w:t>
      </w:r>
      <w:r>
        <w:rPr>
          <w:sz w:val="21"/>
        </w:rPr>
        <w:t>the resolution of these </w:t>
      </w:r>
      <w:r>
        <w:rPr>
          <w:spacing w:val="-4"/>
          <w:sz w:val="21"/>
        </w:rPr>
        <w:t>disputes.</w:t>
      </w:r>
      <w:r>
        <w:rPr>
          <w:spacing w:val="-4"/>
          <w:position w:val="7"/>
          <w:sz w:val="12"/>
        </w:rPr>
        <w:t>160 </w:t>
      </w:r>
      <w:r>
        <w:rPr>
          <w:sz w:val="21"/>
        </w:rPr>
        <w:t>Arborist Dr Karen  </w:t>
      </w:r>
      <w:r>
        <w:rPr>
          <w:spacing w:val="-3"/>
          <w:sz w:val="21"/>
        </w:rPr>
        <w:t>Smith </w:t>
      </w:r>
      <w:r>
        <w:rPr>
          <w:sz w:val="21"/>
        </w:rPr>
        <w:t>stated </w:t>
      </w:r>
      <w:r>
        <w:rPr>
          <w:spacing w:val="-3"/>
          <w:sz w:val="21"/>
        </w:rPr>
        <w:t>that  </w:t>
      </w:r>
      <w:r>
        <w:rPr>
          <w:sz w:val="21"/>
        </w:rPr>
        <w:t>even if the law was </w:t>
      </w:r>
      <w:r>
        <w:rPr>
          <w:spacing w:val="-3"/>
          <w:sz w:val="21"/>
        </w:rPr>
        <w:t>considered</w:t>
      </w:r>
      <w:r>
        <w:rPr>
          <w:spacing w:val="41"/>
          <w:sz w:val="21"/>
        </w:rPr>
        <w:t> </w:t>
      </w:r>
      <w:r>
        <w:rPr>
          <w:spacing w:val="-3"/>
          <w:sz w:val="21"/>
        </w:rPr>
        <w:t>to  </w:t>
      </w:r>
      <w:r>
        <w:rPr>
          <w:sz w:val="21"/>
        </w:rPr>
        <w:t>be </w:t>
      </w:r>
      <w:r>
        <w:rPr>
          <w:spacing w:val="-3"/>
          <w:sz w:val="21"/>
        </w:rPr>
        <w:t>satisfactory,  </w:t>
      </w:r>
      <w:r>
        <w:rPr>
          <w:sz w:val="21"/>
        </w:rPr>
        <w:t>it </w:t>
      </w:r>
      <w:r>
        <w:rPr>
          <w:spacing w:val="-3"/>
          <w:sz w:val="21"/>
        </w:rPr>
        <w:t>may  </w:t>
      </w:r>
      <w:r>
        <w:rPr>
          <w:sz w:val="21"/>
        </w:rPr>
        <w:t>be </w:t>
      </w:r>
      <w:r>
        <w:rPr>
          <w:spacing w:val="-3"/>
          <w:sz w:val="21"/>
        </w:rPr>
        <w:t>confusing  to navigate </w:t>
      </w:r>
      <w:r>
        <w:rPr>
          <w:sz w:val="21"/>
        </w:rPr>
        <w:t>because ‘there </w:t>
      </w:r>
      <w:r>
        <w:rPr>
          <w:spacing w:val="-3"/>
          <w:sz w:val="21"/>
        </w:rPr>
        <w:t>are </w:t>
      </w:r>
      <w:r>
        <w:rPr>
          <w:sz w:val="21"/>
        </w:rPr>
        <w:t>so </w:t>
      </w:r>
      <w:r>
        <w:rPr>
          <w:spacing w:val="-3"/>
          <w:sz w:val="21"/>
        </w:rPr>
        <w:t>many different </w:t>
      </w:r>
      <w:r>
        <w:rPr>
          <w:sz w:val="21"/>
        </w:rPr>
        <w:t>laws </w:t>
      </w:r>
      <w:r>
        <w:rPr>
          <w:spacing w:val="-3"/>
          <w:sz w:val="21"/>
        </w:rPr>
        <w:t>relevant to </w:t>
      </w:r>
      <w:r>
        <w:rPr>
          <w:sz w:val="21"/>
        </w:rPr>
        <w:t>tree </w:t>
      </w:r>
      <w:r>
        <w:rPr>
          <w:spacing w:val="-3"/>
          <w:sz w:val="21"/>
        </w:rPr>
        <w:t>disputes, </w:t>
      </w:r>
      <w:r>
        <w:rPr>
          <w:sz w:val="21"/>
        </w:rPr>
        <w:t>and also </w:t>
      </w:r>
      <w:r>
        <w:rPr>
          <w:spacing w:val="-3"/>
          <w:sz w:val="21"/>
        </w:rPr>
        <w:t>different </w:t>
      </w:r>
      <w:r>
        <w:rPr>
          <w:sz w:val="21"/>
        </w:rPr>
        <w:t>codes of practices. And they </w:t>
      </w:r>
      <w:r>
        <w:rPr>
          <w:spacing w:val="-3"/>
          <w:sz w:val="21"/>
        </w:rPr>
        <w:t>are all </w:t>
      </w:r>
      <w:r>
        <w:rPr>
          <w:sz w:val="21"/>
        </w:rPr>
        <w:t>in </w:t>
      </w:r>
      <w:r>
        <w:rPr>
          <w:spacing w:val="-3"/>
          <w:sz w:val="21"/>
        </w:rPr>
        <w:t>different</w:t>
      </w:r>
      <w:r>
        <w:rPr>
          <w:spacing w:val="-10"/>
          <w:sz w:val="21"/>
        </w:rPr>
        <w:t> </w:t>
      </w:r>
      <w:r>
        <w:rPr>
          <w:spacing w:val="-5"/>
          <w:sz w:val="21"/>
        </w:rPr>
        <w:t>places.’</w:t>
      </w:r>
      <w:r>
        <w:rPr>
          <w:spacing w:val="-5"/>
          <w:position w:val="7"/>
          <w:sz w:val="12"/>
        </w:rPr>
        <w:t>161</w:t>
      </w:r>
    </w:p>
    <w:p>
      <w:pPr>
        <w:pStyle w:val="ListParagraph"/>
        <w:numPr>
          <w:ilvl w:val="1"/>
          <w:numId w:val="16"/>
        </w:numPr>
        <w:tabs>
          <w:tab w:pos="2381" w:val="left" w:leader="none"/>
          <w:tab w:pos="2382" w:val="left" w:leader="none"/>
        </w:tabs>
        <w:spacing w:line="242" w:lineRule="auto" w:before="125" w:after="0"/>
        <w:ind w:left="2381" w:right="1936" w:hanging="794"/>
        <w:jc w:val="left"/>
        <w:rPr>
          <w:sz w:val="21"/>
        </w:rPr>
      </w:pPr>
      <w:r>
        <w:rPr>
          <w:sz w:val="21"/>
        </w:rPr>
        <w:t>As one survey respondent </w:t>
      </w:r>
      <w:r>
        <w:rPr>
          <w:spacing w:val="-3"/>
          <w:sz w:val="21"/>
        </w:rPr>
        <w:t>noted, </w:t>
      </w:r>
      <w:r>
        <w:rPr>
          <w:sz w:val="21"/>
        </w:rPr>
        <w:t>‘It is </w:t>
      </w:r>
      <w:r>
        <w:rPr>
          <w:spacing w:val="-2"/>
          <w:sz w:val="21"/>
        </w:rPr>
        <w:t>not </w:t>
      </w:r>
      <w:r>
        <w:rPr>
          <w:sz w:val="21"/>
        </w:rPr>
        <w:t>always obvious </w:t>
      </w:r>
      <w:r>
        <w:rPr>
          <w:spacing w:val="-3"/>
          <w:sz w:val="21"/>
        </w:rPr>
        <w:t>to </w:t>
      </w:r>
      <w:r>
        <w:rPr>
          <w:sz w:val="21"/>
        </w:rPr>
        <w:t>neighbours when a tree enjoys </w:t>
      </w:r>
      <w:r>
        <w:rPr>
          <w:spacing w:val="-5"/>
          <w:sz w:val="21"/>
        </w:rPr>
        <w:t>“extra” </w:t>
      </w:r>
      <w:r>
        <w:rPr>
          <w:sz w:val="21"/>
        </w:rPr>
        <w:t>protective status, </w:t>
      </w:r>
      <w:r>
        <w:rPr>
          <w:spacing w:val="-3"/>
          <w:sz w:val="21"/>
        </w:rPr>
        <w:t>such </w:t>
      </w:r>
      <w:r>
        <w:rPr>
          <w:sz w:val="21"/>
        </w:rPr>
        <w:t>as heritage status as deemed by </w:t>
      </w:r>
      <w:r>
        <w:rPr>
          <w:spacing w:val="-3"/>
          <w:sz w:val="21"/>
        </w:rPr>
        <w:t>council </w:t>
      </w:r>
      <w:r>
        <w:rPr>
          <w:sz w:val="21"/>
        </w:rPr>
        <w:t>or </w:t>
      </w:r>
      <w:r>
        <w:rPr>
          <w:spacing w:val="-3"/>
          <w:sz w:val="21"/>
        </w:rPr>
        <w:t>other such </w:t>
      </w:r>
      <w:r>
        <w:rPr>
          <w:spacing w:val="-4"/>
          <w:sz w:val="21"/>
        </w:rPr>
        <w:t>bodies.’</w:t>
      </w:r>
      <w:r>
        <w:rPr>
          <w:spacing w:val="-4"/>
          <w:position w:val="7"/>
          <w:sz w:val="12"/>
        </w:rPr>
        <w:t>162 </w:t>
      </w:r>
      <w:r>
        <w:rPr>
          <w:sz w:val="21"/>
        </w:rPr>
        <w:t>It was further</w:t>
      </w:r>
      <w:r>
        <w:rPr>
          <w:spacing w:val="30"/>
          <w:sz w:val="21"/>
        </w:rPr>
        <w:t> </w:t>
      </w:r>
      <w:r>
        <w:rPr>
          <w:sz w:val="21"/>
        </w:rPr>
        <w:t>suggested:</w:t>
      </w:r>
    </w:p>
    <w:p>
      <w:pPr>
        <w:spacing w:line="254" w:lineRule="auto" w:before="133"/>
        <w:ind w:left="2834" w:right="1752" w:firstLine="0"/>
        <w:jc w:val="left"/>
        <w:rPr>
          <w:sz w:val="11"/>
        </w:rPr>
      </w:pPr>
      <w:r>
        <w:rPr>
          <w:w w:val="105"/>
          <w:sz w:val="20"/>
        </w:rPr>
        <w:t>It is not easy to understand the ‘rights’ of both parties. Also the law or laws governing this area are spread over what seems to be a number of acts </w:t>
      </w:r>
      <w:r>
        <w:rPr>
          <w:w w:val="115"/>
          <w:sz w:val="20"/>
        </w:rPr>
        <w:t>… </w:t>
      </w:r>
      <w:r>
        <w:rPr>
          <w:w w:val="105"/>
          <w:sz w:val="20"/>
        </w:rPr>
        <w:t>understanding the implications of such laws then becomes quite cumbersome.</w:t>
      </w:r>
      <w:r>
        <w:rPr>
          <w:w w:val="105"/>
          <w:position w:val="7"/>
          <w:sz w:val="11"/>
        </w:rPr>
        <w:t>163</w:t>
      </w:r>
    </w:p>
    <w:p>
      <w:pPr>
        <w:pStyle w:val="BodyText"/>
        <w:spacing w:before="7"/>
        <w:rPr>
          <w:sz w:val="19"/>
        </w:rPr>
      </w:pPr>
    </w:p>
    <w:p>
      <w:pPr>
        <w:pStyle w:val="Heading5"/>
      </w:pPr>
      <w:r>
        <w:rPr>
          <w:w w:val="115"/>
        </w:rPr>
        <w:t>Existing remedies are limited in value</w:t>
      </w:r>
    </w:p>
    <w:p>
      <w:pPr>
        <w:pStyle w:val="ListParagraph"/>
        <w:numPr>
          <w:ilvl w:val="1"/>
          <w:numId w:val="16"/>
        </w:numPr>
        <w:tabs>
          <w:tab w:pos="2380" w:val="left" w:leader="none"/>
          <w:tab w:pos="2381" w:val="left" w:leader="none"/>
        </w:tabs>
        <w:spacing w:line="242" w:lineRule="auto" w:before="137" w:after="0"/>
        <w:ind w:left="2381" w:right="1828" w:hanging="794"/>
        <w:jc w:val="left"/>
        <w:rPr>
          <w:sz w:val="21"/>
        </w:rPr>
      </w:pPr>
      <w:r>
        <w:rPr>
          <w:w w:val="105"/>
          <w:sz w:val="21"/>
        </w:rPr>
        <w:t>An</w:t>
      </w:r>
      <w:r>
        <w:rPr>
          <w:spacing w:val="-8"/>
          <w:w w:val="105"/>
          <w:sz w:val="21"/>
        </w:rPr>
        <w:t> </w:t>
      </w:r>
      <w:r>
        <w:rPr>
          <w:w w:val="105"/>
          <w:sz w:val="21"/>
        </w:rPr>
        <w:t>overwhelming</w:t>
      </w:r>
      <w:r>
        <w:rPr>
          <w:spacing w:val="-8"/>
          <w:w w:val="105"/>
          <w:sz w:val="21"/>
        </w:rPr>
        <w:t> </w:t>
      </w:r>
      <w:r>
        <w:rPr>
          <w:w w:val="105"/>
          <w:sz w:val="21"/>
        </w:rPr>
        <w:t>majority</w:t>
      </w:r>
      <w:r>
        <w:rPr>
          <w:spacing w:val="-7"/>
          <w:w w:val="105"/>
          <w:sz w:val="21"/>
        </w:rPr>
        <w:t> </w:t>
      </w:r>
      <w:r>
        <w:rPr>
          <w:w w:val="105"/>
          <w:sz w:val="21"/>
        </w:rPr>
        <w:t>of</w:t>
      </w:r>
      <w:r>
        <w:rPr>
          <w:spacing w:val="-8"/>
          <w:w w:val="105"/>
          <w:sz w:val="21"/>
        </w:rPr>
        <w:t> </w:t>
      </w:r>
      <w:r>
        <w:rPr>
          <w:w w:val="105"/>
          <w:sz w:val="21"/>
        </w:rPr>
        <w:t>responses</w:t>
      </w:r>
      <w:r>
        <w:rPr>
          <w:spacing w:val="-8"/>
          <w:w w:val="105"/>
          <w:sz w:val="21"/>
        </w:rPr>
        <w:t> </w:t>
      </w:r>
      <w:r>
        <w:rPr>
          <w:w w:val="105"/>
          <w:sz w:val="21"/>
        </w:rPr>
        <w:t>suggested</w:t>
      </w:r>
      <w:r>
        <w:rPr>
          <w:spacing w:val="-7"/>
          <w:w w:val="105"/>
          <w:sz w:val="21"/>
        </w:rPr>
        <w:t> </w:t>
      </w:r>
      <w:r>
        <w:rPr>
          <w:spacing w:val="-3"/>
          <w:w w:val="105"/>
          <w:sz w:val="21"/>
        </w:rPr>
        <w:t>that</w:t>
      </w:r>
      <w:r>
        <w:rPr>
          <w:spacing w:val="-8"/>
          <w:w w:val="105"/>
          <w:sz w:val="21"/>
        </w:rPr>
        <w:t> </w:t>
      </w:r>
      <w:r>
        <w:rPr>
          <w:w w:val="105"/>
          <w:sz w:val="21"/>
        </w:rPr>
        <w:t>people</w:t>
      </w:r>
      <w:r>
        <w:rPr>
          <w:spacing w:val="-8"/>
          <w:w w:val="105"/>
          <w:sz w:val="21"/>
        </w:rPr>
        <w:t> </w:t>
      </w:r>
      <w:r>
        <w:rPr>
          <w:spacing w:val="-2"/>
          <w:w w:val="105"/>
          <w:sz w:val="21"/>
        </w:rPr>
        <w:t>had</w:t>
      </w:r>
      <w:r>
        <w:rPr>
          <w:spacing w:val="-7"/>
          <w:w w:val="105"/>
          <w:sz w:val="21"/>
        </w:rPr>
        <w:t> </w:t>
      </w:r>
      <w:r>
        <w:rPr>
          <w:spacing w:val="-2"/>
          <w:w w:val="105"/>
          <w:sz w:val="21"/>
        </w:rPr>
        <w:t>not</w:t>
      </w:r>
      <w:r>
        <w:rPr>
          <w:spacing w:val="-8"/>
          <w:w w:val="105"/>
          <w:sz w:val="21"/>
        </w:rPr>
        <w:t> </w:t>
      </w:r>
      <w:r>
        <w:rPr>
          <w:w w:val="105"/>
          <w:sz w:val="21"/>
        </w:rPr>
        <w:t>been</w:t>
      </w:r>
      <w:r>
        <w:rPr>
          <w:spacing w:val="-8"/>
          <w:w w:val="105"/>
          <w:sz w:val="21"/>
        </w:rPr>
        <w:t> </w:t>
      </w:r>
      <w:r>
        <w:rPr>
          <w:spacing w:val="-3"/>
          <w:w w:val="105"/>
          <w:sz w:val="21"/>
        </w:rPr>
        <w:t>successful </w:t>
      </w:r>
      <w:r>
        <w:rPr>
          <w:w w:val="105"/>
          <w:sz w:val="21"/>
        </w:rPr>
        <w:t>in resolving their tree </w:t>
      </w:r>
      <w:r>
        <w:rPr>
          <w:spacing w:val="-3"/>
          <w:w w:val="105"/>
          <w:sz w:val="21"/>
        </w:rPr>
        <w:t>dispute </w:t>
      </w:r>
      <w:r>
        <w:rPr>
          <w:w w:val="105"/>
          <w:sz w:val="21"/>
        </w:rPr>
        <w:t>regardless of what </w:t>
      </w:r>
      <w:r>
        <w:rPr>
          <w:spacing w:val="-3"/>
          <w:w w:val="105"/>
          <w:sz w:val="21"/>
        </w:rPr>
        <w:t>form </w:t>
      </w:r>
      <w:r>
        <w:rPr>
          <w:w w:val="105"/>
          <w:sz w:val="21"/>
        </w:rPr>
        <w:t>of </w:t>
      </w:r>
      <w:r>
        <w:rPr>
          <w:spacing w:val="-3"/>
          <w:w w:val="105"/>
          <w:sz w:val="21"/>
        </w:rPr>
        <w:t>informal </w:t>
      </w:r>
      <w:r>
        <w:rPr>
          <w:w w:val="105"/>
          <w:sz w:val="21"/>
        </w:rPr>
        <w:t>resolution they </w:t>
      </w:r>
      <w:r>
        <w:rPr>
          <w:spacing w:val="-4"/>
          <w:w w:val="105"/>
          <w:sz w:val="21"/>
        </w:rPr>
        <w:t>attempted.</w:t>
      </w:r>
      <w:r>
        <w:rPr>
          <w:spacing w:val="-4"/>
          <w:w w:val="105"/>
          <w:position w:val="7"/>
          <w:sz w:val="12"/>
        </w:rPr>
        <w:t>164 </w:t>
      </w:r>
      <w:r>
        <w:rPr>
          <w:w w:val="105"/>
          <w:sz w:val="21"/>
        </w:rPr>
        <w:t>Despite this, the majority of people reported </w:t>
      </w:r>
      <w:r>
        <w:rPr>
          <w:spacing w:val="-3"/>
          <w:w w:val="105"/>
          <w:sz w:val="21"/>
        </w:rPr>
        <w:t>that </w:t>
      </w:r>
      <w:r>
        <w:rPr>
          <w:w w:val="105"/>
          <w:sz w:val="21"/>
        </w:rPr>
        <w:t>they did </w:t>
      </w:r>
      <w:r>
        <w:rPr>
          <w:spacing w:val="-2"/>
          <w:w w:val="105"/>
          <w:sz w:val="21"/>
        </w:rPr>
        <w:t>not </w:t>
      </w:r>
      <w:r>
        <w:rPr>
          <w:spacing w:val="-3"/>
          <w:w w:val="105"/>
          <w:sz w:val="21"/>
        </w:rPr>
        <w:t>take </w:t>
      </w:r>
      <w:r>
        <w:rPr>
          <w:w w:val="105"/>
          <w:sz w:val="21"/>
        </w:rPr>
        <w:t>legal action, even after </w:t>
      </w:r>
      <w:r>
        <w:rPr>
          <w:spacing w:val="-3"/>
          <w:w w:val="105"/>
          <w:sz w:val="21"/>
        </w:rPr>
        <w:t>exhausting all </w:t>
      </w:r>
      <w:r>
        <w:rPr>
          <w:w w:val="105"/>
          <w:sz w:val="21"/>
        </w:rPr>
        <w:t>other</w:t>
      </w:r>
      <w:r>
        <w:rPr>
          <w:spacing w:val="33"/>
          <w:w w:val="105"/>
          <w:sz w:val="21"/>
        </w:rPr>
        <w:t> </w:t>
      </w:r>
      <w:r>
        <w:rPr>
          <w:spacing w:val="-4"/>
          <w:w w:val="105"/>
          <w:sz w:val="21"/>
        </w:rPr>
        <w:t>options.</w:t>
      </w:r>
      <w:r>
        <w:rPr>
          <w:spacing w:val="-4"/>
          <w:w w:val="105"/>
          <w:position w:val="7"/>
          <w:sz w:val="12"/>
        </w:rPr>
        <w:t>165</w:t>
      </w:r>
    </w:p>
    <w:p>
      <w:pPr>
        <w:pStyle w:val="BodyText"/>
        <w:rPr>
          <w:sz w:val="20"/>
        </w:rPr>
      </w:pPr>
    </w:p>
    <w:p>
      <w:pPr>
        <w:pStyle w:val="BodyText"/>
        <w:spacing w:before="6"/>
        <w:rPr>
          <w:sz w:val="19"/>
        </w:rPr>
      </w:pPr>
      <w:r>
        <w:rPr/>
        <w:pict>
          <v:line style="position:absolute;mso-position-horizontal-relative:page;mso-position-vertical-relative:paragraph;z-index:1568;mso-wrap-distance-left:0;mso-wrap-distance-right:0" from="79.370102pt,14.348776pt" to="515.905102pt,14.348776pt" stroked="true" strokeweight="1pt" strokecolor="#c9d2cb">
            <v:stroke dashstyle="solid"/>
            <w10:wrap type="topAndBottom"/>
          </v:line>
        </w:pict>
      </w:r>
    </w:p>
    <w:p>
      <w:pPr>
        <w:pStyle w:val="ListParagraph"/>
        <w:numPr>
          <w:ilvl w:val="0"/>
          <w:numId w:val="31"/>
        </w:numPr>
        <w:tabs>
          <w:tab w:pos="2381" w:val="left" w:leader="none"/>
          <w:tab w:pos="2382" w:val="left" w:leader="none"/>
        </w:tabs>
        <w:spacing w:line="240" w:lineRule="auto" w:before="117" w:after="0"/>
        <w:ind w:left="2381" w:right="0" w:hanging="794"/>
        <w:jc w:val="left"/>
        <w:rPr>
          <w:sz w:val="13"/>
        </w:rPr>
      </w:pPr>
      <w:r>
        <w:rPr>
          <w:w w:val="105"/>
          <w:sz w:val="13"/>
        </w:rPr>
        <w:t>Information</w:t>
      </w:r>
      <w:r>
        <w:rPr>
          <w:spacing w:val="5"/>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DSCV</w:t>
      </w:r>
      <w:r>
        <w:rPr>
          <w:spacing w:val="5"/>
          <w:w w:val="105"/>
          <w:sz w:val="13"/>
        </w:rPr>
        <w:t> </w:t>
      </w:r>
      <w:r>
        <w:rPr>
          <w:w w:val="105"/>
          <w:sz w:val="13"/>
        </w:rPr>
        <w:t>as</w:t>
      </w:r>
      <w:r>
        <w:rPr>
          <w:spacing w:val="5"/>
          <w:w w:val="105"/>
          <w:sz w:val="13"/>
        </w:rPr>
        <w:t> </w:t>
      </w:r>
      <w:r>
        <w:rPr>
          <w:w w:val="105"/>
          <w:sz w:val="13"/>
        </w:rPr>
        <w:t>part</w:t>
      </w:r>
      <w:r>
        <w:rPr>
          <w:spacing w:val="5"/>
          <w:w w:val="105"/>
          <w:sz w:val="13"/>
        </w:rPr>
        <w:t> </w:t>
      </w:r>
      <w:r>
        <w:rPr>
          <w:w w:val="105"/>
          <w:sz w:val="13"/>
        </w:rPr>
        <w:t>of</w:t>
      </w:r>
      <w:r>
        <w:rPr>
          <w:spacing w:val="5"/>
          <w:w w:val="105"/>
          <w:sz w:val="13"/>
        </w:rPr>
        <w:t> </w:t>
      </w:r>
      <w:r>
        <w:rPr>
          <w:w w:val="105"/>
          <w:sz w:val="13"/>
        </w:rPr>
        <w:t>a</w:t>
      </w:r>
      <w:r>
        <w:rPr>
          <w:spacing w:val="5"/>
          <w:w w:val="105"/>
          <w:sz w:val="13"/>
        </w:rPr>
        <w:t> </w:t>
      </w:r>
      <w:r>
        <w:rPr>
          <w:w w:val="105"/>
          <w:sz w:val="13"/>
        </w:rPr>
        <w:t>data</w:t>
      </w:r>
      <w:r>
        <w:rPr>
          <w:spacing w:val="5"/>
          <w:w w:val="105"/>
          <w:sz w:val="13"/>
        </w:rPr>
        <w:t> </w:t>
      </w:r>
      <w:r>
        <w:rPr>
          <w:w w:val="105"/>
          <w:sz w:val="13"/>
        </w:rPr>
        <w:t>request</w:t>
      </w:r>
      <w:r>
        <w:rPr>
          <w:spacing w:val="5"/>
          <w:w w:val="105"/>
          <w:sz w:val="13"/>
        </w:rPr>
        <w:t> </w:t>
      </w:r>
      <w:r>
        <w:rPr>
          <w:w w:val="105"/>
          <w:sz w:val="13"/>
        </w:rPr>
        <w:t>from</w:t>
      </w:r>
      <w:r>
        <w:rPr>
          <w:spacing w:val="5"/>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August</w:t>
      </w:r>
      <w:r>
        <w:rPr>
          <w:spacing w:val="6"/>
          <w:w w:val="105"/>
          <w:sz w:val="13"/>
        </w:rPr>
        <w:t> </w:t>
      </w:r>
      <w:r>
        <w:rPr>
          <w:spacing w:val="-5"/>
          <w:w w:val="105"/>
          <w:sz w:val="13"/>
        </w:rPr>
        <w:t>2017.</w:t>
      </w:r>
    </w:p>
    <w:p>
      <w:pPr>
        <w:pStyle w:val="ListParagraph"/>
        <w:numPr>
          <w:ilvl w:val="0"/>
          <w:numId w:val="31"/>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31"/>
        </w:numPr>
        <w:tabs>
          <w:tab w:pos="2381" w:val="left" w:leader="none"/>
          <w:tab w:pos="2382" w:val="left" w:leader="none"/>
        </w:tabs>
        <w:spacing w:line="240" w:lineRule="auto" w:before="2" w:after="0"/>
        <w:ind w:left="2381" w:right="0" w:hanging="794"/>
        <w:jc w:val="left"/>
        <w:rPr>
          <w:sz w:val="13"/>
        </w:rPr>
      </w:pPr>
      <w:r>
        <w:rPr>
          <w:w w:val="105"/>
          <w:sz w:val="13"/>
        </w:rPr>
        <w:t>Consultation 3 </w:t>
      </w:r>
      <w:r>
        <w:rPr>
          <w:spacing w:val="3"/>
          <w:w w:val="105"/>
          <w:sz w:val="13"/>
        </w:rPr>
        <w:t>(HVP</w:t>
      </w:r>
      <w:r>
        <w:rPr>
          <w:spacing w:val="24"/>
          <w:w w:val="105"/>
          <w:sz w:val="13"/>
        </w:rPr>
        <w:t> </w:t>
      </w:r>
      <w:r>
        <w:rPr>
          <w:w w:val="105"/>
          <w:sz w:val="13"/>
        </w:rPr>
        <w:t>Plantations).</w:t>
      </w:r>
    </w:p>
    <w:p>
      <w:pPr>
        <w:pStyle w:val="ListParagraph"/>
        <w:numPr>
          <w:ilvl w:val="0"/>
          <w:numId w:val="31"/>
        </w:numPr>
        <w:tabs>
          <w:tab w:pos="2381" w:val="left" w:leader="none"/>
          <w:tab w:pos="2382" w:val="left" w:leader="none"/>
        </w:tabs>
        <w:spacing w:line="240" w:lineRule="auto" w:before="1" w:after="0"/>
        <w:ind w:left="2381" w:right="0" w:hanging="794"/>
        <w:jc w:val="left"/>
        <w:rPr>
          <w:sz w:val="13"/>
        </w:rPr>
      </w:pPr>
      <w:r>
        <w:rPr>
          <w:w w:val="105"/>
          <w:sz w:val="13"/>
        </w:rPr>
        <w:t>Submission 28 </w:t>
      </w:r>
      <w:r>
        <w:rPr>
          <w:spacing w:val="3"/>
          <w:w w:val="105"/>
          <w:sz w:val="13"/>
        </w:rPr>
        <w:t>(HVP</w:t>
      </w:r>
      <w:r>
        <w:rPr>
          <w:spacing w:val="17"/>
          <w:w w:val="105"/>
          <w:sz w:val="13"/>
        </w:rPr>
        <w:t> </w:t>
      </w:r>
      <w:r>
        <w:rPr>
          <w:w w:val="105"/>
          <w:sz w:val="13"/>
        </w:rPr>
        <w:t>Plantations).</w:t>
      </w:r>
    </w:p>
    <w:p>
      <w:pPr>
        <w:pStyle w:val="ListParagraph"/>
        <w:numPr>
          <w:ilvl w:val="0"/>
          <w:numId w:val="31"/>
        </w:numPr>
        <w:tabs>
          <w:tab w:pos="2381" w:val="left" w:leader="none"/>
          <w:tab w:pos="2382" w:val="left" w:leader="none"/>
        </w:tabs>
        <w:spacing w:line="240" w:lineRule="auto" w:before="1" w:after="0"/>
        <w:ind w:left="2381" w:right="0" w:hanging="794"/>
        <w:jc w:val="left"/>
        <w:rPr>
          <w:sz w:val="13"/>
        </w:rPr>
      </w:pPr>
      <w:r>
        <w:rPr>
          <w:w w:val="105"/>
          <w:sz w:val="13"/>
        </w:rPr>
        <w:t>Consultation 6 </w:t>
      </w:r>
      <w:r>
        <w:rPr>
          <w:spacing w:val="2"/>
          <w:w w:val="105"/>
          <w:sz w:val="13"/>
        </w:rPr>
        <w:t>(Ben</w:t>
      </w:r>
      <w:r>
        <w:rPr>
          <w:spacing w:val="13"/>
          <w:w w:val="105"/>
          <w:sz w:val="13"/>
        </w:rPr>
        <w:t> </w:t>
      </w:r>
      <w:r>
        <w:rPr>
          <w:w w:val="105"/>
          <w:sz w:val="13"/>
        </w:rPr>
        <w:t>Kenyon).</w:t>
      </w:r>
    </w:p>
    <w:p>
      <w:pPr>
        <w:pStyle w:val="ListParagraph"/>
        <w:numPr>
          <w:ilvl w:val="0"/>
          <w:numId w:val="31"/>
        </w:numPr>
        <w:tabs>
          <w:tab w:pos="2381" w:val="left" w:leader="none"/>
          <w:tab w:pos="2382" w:val="left" w:leader="none"/>
        </w:tabs>
        <w:spacing w:line="240" w:lineRule="auto" w:before="2" w:after="0"/>
        <w:ind w:left="2381" w:right="0" w:hanging="794"/>
        <w:jc w:val="left"/>
        <w:rPr>
          <w:sz w:val="13"/>
        </w:rPr>
      </w:pPr>
      <w:r>
        <w:rPr>
          <w:w w:val="105"/>
          <w:sz w:val="13"/>
        </w:rPr>
        <w:t>Submission 9 </w:t>
      </w:r>
      <w:r>
        <w:rPr>
          <w:spacing w:val="3"/>
          <w:w w:val="105"/>
          <w:sz w:val="13"/>
        </w:rPr>
        <w:t>(Dr </w:t>
      </w:r>
      <w:r>
        <w:rPr>
          <w:w w:val="105"/>
          <w:sz w:val="13"/>
        </w:rPr>
        <w:t>Karen Smith); Survey Respondents 3, 19, </w:t>
      </w:r>
      <w:r>
        <w:rPr>
          <w:spacing w:val="-4"/>
          <w:w w:val="105"/>
          <w:sz w:val="13"/>
        </w:rPr>
        <w:t>57, </w:t>
      </w:r>
      <w:r>
        <w:rPr>
          <w:w w:val="105"/>
          <w:sz w:val="13"/>
        </w:rPr>
        <w:t>83, </w:t>
      </w:r>
      <w:r>
        <w:rPr>
          <w:spacing w:val="2"/>
          <w:w w:val="105"/>
          <w:sz w:val="13"/>
        </w:rPr>
        <w:t>88,</w:t>
      </w:r>
      <w:r>
        <w:rPr>
          <w:spacing w:val="32"/>
          <w:w w:val="105"/>
          <w:sz w:val="13"/>
        </w:rPr>
        <w:t> </w:t>
      </w:r>
      <w:r>
        <w:rPr>
          <w:spacing w:val="-4"/>
          <w:w w:val="105"/>
          <w:sz w:val="13"/>
        </w:rPr>
        <w:t>110.</w:t>
      </w:r>
    </w:p>
    <w:p>
      <w:pPr>
        <w:pStyle w:val="ListParagraph"/>
        <w:numPr>
          <w:ilvl w:val="0"/>
          <w:numId w:val="31"/>
        </w:numPr>
        <w:tabs>
          <w:tab w:pos="2381" w:val="left" w:leader="none"/>
          <w:tab w:pos="2382" w:val="left" w:leader="none"/>
        </w:tabs>
        <w:spacing w:line="240" w:lineRule="auto" w:before="1" w:after="0"/>
        <w:ind w:left="2381" w:right="0" w:hanging="794"/>
        <w:jc w:val="left"/>
        <w:rPr>
          <w:sz w:val="13"/>
        </w:rPr>
      </w:pPr>
      <w:r>
        <w:rPr>
          <w:w w:val="105"/>
          <w:sz w:val="13"/>
        </w:rPr>
        <w:t>Submission 9 </w:t>
      </w:r>
      <w:r>
        <w:rPr>
          <w:spacing w:val="3"/>
          <w:w w:val="105"/>
          <w:sz w:val="13"/>
        </w:rPr>
        <w:t>(Dr </w:t>
      </w:r>
      <w:r>
        <w:rPr>
          <w:w w:val="105"/>
          <w:sz w:val="13"/>
        </w:rPr>
        <w:t>Karen</w:t>
      </w:r>
      <w:r>
        <w:rPr>
          <w:spacing w:val="15"/>
          <w:w w:val="105"/>
          <w:sz w:val="13"/>
        </w:rPr>
        <w:t> </w:t>
      </w:r>
      <w:r>
        <w:rPr>
          <w:w w:val="105"/>
          <w:sz w:val="13"/>
        </w:rPr>
        <w:t>Smith).</w:t>
      </w:r>
    </w:p>
    <w:p>
      <w:pPr>
        <w:pStyle w:val="ListParagraph"/>
        <w:numPr>
          <w:ilvl w:val="0"/>
          <w:numId w:val="31"/>
        </w:numPr>
        <w:tabs>
          <w:tab w:pos="2381" w:val="left" w:leader="none"/>
          <w:tab w:pos="2382" w:val="left" w:leader="none"/>
        </w:tabs>
        <w:spacing w:line="240" w:lineRule="auto" w:before="1" w:after="0"/>
        <w:ind w:left="2381" w:right="0" w:hanging="794"/>
        <w:jc w:val="left"/>
        <w:rPr>
          <w:sz w:val="13"/>
        </w:rPr>
      </w:pPr>
      <w:r>
        <w:rPr>
          <w:w w:val="105"/>
          <w:sz w:val="13"/>
        </w:rPr>
        <w:t>Survey Respondent</w:t>
      </w:r>
      <w:r>
        <w:rPr>
          <w:spacing w:val="9"/>
          <w:w w:val="105"/>
          <w:sz w:val="13"/>
        </w:rPr>
        <w:t> </w:t>
      </w:r>
      <w:r>
        <w:rPr>
          <w:spacing w:val="-4"/>
          <w:w w:val="105"/>
          <w:sz w:val="13"/>
        </w:rPr>
        <w:t>57.</w:t>
      </w:r>
    </w:p>
    <w:p>
      <w:pPr>
        <w:pStyle w:val="ListParagraph"/>
        <w:numPr>
          <w:ilvl w:val="0"/>
          <w:numId w:val="31"/>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31"/>
        </w:numPr>
        <w:tabs>
          <w:tab w:pos="2381" w:val="left" w:leader="none"/>
          <w:tab w:pos="2382" w:val="left" w:leader="none"/>
        </w:tabs>
        <w:spacing w:line="240" w:lineRule="auto" w:before="1" w:after="0"/>
        <w:ind w:left="2381" w:right="1924" w:hanging="794"/>
        <w:jc w:val="both"/>
        <w:rPr>
          <w:sz w:val="13"/>
        </w:rPr>
      </w:pPr>
      <w:r>
        <w:rPr>
          <w:w w:val="105"/>
          <w:sz w:val="13"/>
        </w:rPr>
        <w:t>Submissions 1 </w:t>
      </w:r>
      <w:r>
        <w:rPr>
          <w:spacing w:val="2"/>
          <w:w w:val="105"/>
          <w:sz w:val="13"/>
        </w:rPr>
        <w:t>(Ian </w:t>
      </w:r>
      <w:r>
        <w:rPr>
          <w:w w:val="105"/>
          <w:sz w:val="13"/>
        </w:rPr>
        <w:t>Collier), 5 </w:t>
      </w:r>
      <w:r>
        <w:rPr>
          <w:spacing w:val="2"/>
          <w:w w:val="105"/>
          <w:sz w:val="13"/>
        </w:rPr>
        <w:t>(Name </w:t>
      </w:r>
      <w:r>
        <w:rPr>
          <w:w w:val="105"/>
          <w:sz w:val="13"/>
        </w:rPr>
        <w:t>withheld), 6 </w:t>
      </w:r>
      <w:r>
        <w:rPr>
          <w:spacing w:val="2"/>
          <w:w w:val="105"/>
          <w:sz w:val="13"/>
        </w:rPr>
        <w:t>(Name </w:t>
      </w:r>
      <w:r>
        <w:rPr>
          <w:w w:val="105"/>
          <w:sz w:val="13"/>
        </w:rPr>
        <w:t>withheld), </w:t>
      </w:r>
      <w:r>
        <w:rPr>
          <w:spacing w:val="-3"/>
          <w:w w:val="105"/>
          <w:sz w:val="13"/>
        </w:rPr>
        <w:t>19 </w:t>
      </w:r>
      <w:r>
        <w:rPr>
          <w:spacing w:val="2"/>
          <w:w w:val="105"/>
          <w:sz w:val="13"/>
        </w:rPr>
        <w:t>(Name </w:t>
      </w:r>
      <w:r>
        <w:rPr>
          <w:w w:val="105"/>
          <w:sz w:val="13"/>
        </w:rPr>
        <w:t>withheld), 22 </w:t>
      </w:r>
      <w:r>
        <w:rPr>
          <w:spacing w:val="2"/>
          <w:w w:val="105"/>
          <w:sz w:val="13"/>
        </w:rPr>
        <w:t>(Name </w:t>
      </w:r>
      <w:r>
        <w:rPr>
          <w:w w:val="105"/>
          <w:sz w:val="13"/>
        </w:rPr>
        <w:t>withheld), 36 (Monique Onezime),</w:t>
      </w:r>
      <w:r>
        <w:rPr>
          <w:spacing w:val="30"/>
          <w:w w:val="105"/>
          <w:sz w:val="13"/>
        </w:rPr>
        <w:t> </w:t>
      </w:r>
      <w:r>
        <w:rPr>
          <w:w w:val="105"/>
          <w:sz w:val="13"/>
        </w:rPr>
        <w:t>38 </w:t>
      </w:r>
      <w:r>
        <w:rPr>
          <w:spacing w:val="3"/>
          <w:w w:val="105"/>
          <w:sz w:val="13"/>
        </w:rPr>
        <w:t>(L. </w:t>
      </w:r>
      <w:r>
        <w:rPr>
          <w:spacing w:val="2"/>
          <w:w w:val="105"/>
          <w:sz w:val="13"/>
        </w:rPr>
        <w:t>Barry </w:t>
      </w:r>
      <w:r>
        <w:rPr>
          <w:w w:val="105"/>
          <w:sz w:val="13"/>
        </w:rPr>
        <w:t>Wollmer); Consultation 1 (Aldo Taranto). Only 22.86% of survey respondents reported that they were able to successfully resolve</w:t>
      </w:r>
      <w:r>
        <w:rPr>
          <w:spacing w:val="5"/>
          <w:w w:val="105"/>
          <w:sz w:val="13"/>
        </w:rPr>
        <w:t> </w:t>
      </w:r>
      <w:r>
        <w:rPr>
          <w:w w:val="105"/>
          <w:sz w:val="13"/>
        </w:rPr>
        <w:t>the</w:t>
      </w:r>
      <w:r>
        <w:rPr>
          <w:spacing w:val="6"/>
          <w:w w:val="105"/>
          <w:sz w:val="13"/>
        </w:rPr>
        <w:t> </w:t>
      </w:r>
      <w:r>
        <w:rPr>
          <w:w w:val="105"/>
          <w:sz w:val="13"/>
        </w:rPr>
        <w:t>dispute</w:t>
      </w:r>
      <w:r>
        <w:rPr>
          <w:spacing w:val="5"/>
          <w:w w:val="105"/>
          <w:sz w:val="13"/>
        </w:rPr>
        <w:t> </w:t>
      </w:r>
      <w:r>
        <w:rPr>
          <w:w w:val="105"/>
          <w:sz w:val="13"/>
        </w:rPr>
        <w:t>themselves:</w:t>
      </w:r>
      <w:r>
        <w:rPr>
          <w:spacing w:val="6"/>
          <w:w w:val="105"/>
          <w:sz w:val="13"/>
        </w:rPr>
        <w:t> </w:t>
      </w:r>
      <w:r>
        <w:rPr>
          <w:w w:val="105"/>
          <w:sz w:val="13"/>
        </w:rPr>
        <w:t>Victorian</w:t>
      </w:r>
      <w:r>
        <w:rPr>
          <w:spacing w:val="5"/>
          <w:w w:val="105"/>
          <w:sz w:val="13"/>
        </w:rPr>
        <w:t> </w:t>
      </w:r>
      <w:r>
        <w:rPr>
          <w:w w:val="105"/>
          <w:sz w:val="13"/>
        </w:rPr>
        <w:t>Law</w:t>
      </w:r>
      <w:r>
        <w:rPr>
          <w:spacing w:val="6"/>
          <w:w w:val="105"/>
          <w:sz w:val="13"/>
        </w:rPr>
        <w:t> </w:t>
      </w:r>
      <w:r>
        <w:rPr>
          <w:w w:val="105"/>
          <w:sz w:val="13"/>
        </w:rPr>
        <w:t>Reform</w:t>
      </w:r>
      <w:r>
        <w:rPr>
          <w:spacing w:val="5"/>
          <w:w w:val="105"/>
          <w:sz w:val="13"/>
        </w:rPr>
        <w:t> </w:t>
      </w:r>
      <w:r>
        <w:rPr>
          <w:w w:val="105"/>
          <w:sz w:val="13"/>
        </w:rPr>
        <w:t>Commission,</w:t>
      </w:r>
      <w:r>
        <w:rPr>
          <w:spacing w:val="6"/>
          <w:w w:val="105"/>
          <w:sz w:val="13"/>
        </w:rPr>
        <w:t> </w:t>
      </w:r>
      <w:r>
        <w:rPr>
          <w:i/>
          <w:w w:val="105"/>
          <w:sz w:val="13"/>
        </w:rPr>
        <w:t>Neighbourhood</w:t>
      </w:r>
      <w:r>
        <w:rPr>
          <w:i/>
          <w:spacing w:val="5"/>
          <w:w w:val="105"/>
          <w:sz w:val="13"/>
        </w:rPr>
        <w:t> </w:t>
      </w:r>
      <w:r>
        <w:rPr>
          <w:i/>
          <w:w w:val="105"/>
          <w:sz w:val="13"/>
        </w:rPr>
        <w:t>Tree</w:t>
      </w:r>
      <w:r>
        <w:rPr>
          <w:i/>
          <w:spacing w:val="6"/>
          <w:w w:val="105"/>
          <w:sz w:val="13"/>
        </w:rPr>
        <w:t> </w:t>
      </w:r>
      <w:r>
        <w:rPr>
          <w:i/>
          <w:w w:val="105"/>
          <w:sz w:val="13"/>
        </w:rPr>
        <w:t>Disputes</w:t>
      </w:r>
      <w:r>
        <w:rPr>
          <w:i/>
          <w:spacing w:val="6"/>
          <w:w w:val="105"/>
          <w:sz w:val="13"/>
        </w:rPr>
        <w:t> </w:t>
      </w:r>
      <w:r>
        <w:rPr>
          <w:i/>
          <w:w w:val="105"/>
          <w:sz w:val="13"/>
        </w:rPr>
        <w:t>Survey</w:t>
      </w:r>
      <w:r>
        <w:rPr>
          <w:i/>
          <w:spacing w:val="5"/>
          <w:w w:val="105"/>
          <w:sz w:val="13"/>
        </w:rPr>
        <w:t> </w:t>
      </w:r>
      <w:r>
        <w:rPr>
          <w:w w:val="105"/>
          <w:sz w:val="13"/>
        </w:rPr>
        <w:t>(2018).</w:t>
      </w:r>
    </w:p>
    <w:p>
      <w:pPr>
        <w:pStyle w:val="ListParagraph"/>
        <w:numPr>
          <w:ilvl w:val="0"/>
          <w:numId w:val="31"/>
        </w:numPr>
        <w:tabs>
          <w:tab w:pos="2381" w:val="left" w:leader="none"/>
          <w:tab w:pos="2382" w:val="left" w:leader="none"/>
        </w:tabs>
        <w:spacing w:line="240" w:lineRule="auto" w:before="4" w:after="0"/>
        <w:ind w:left="2381" w:right="1730" w:hanging="794"/>
        <w:jc w:val="both"/>
        <w:rPr>
          <w:sz w:val="13"/>
        </w:rPr>
      </w:pPr>
      <w:r>
        <w:rPr/>
        <w:pict>
          <v:shape style="position:absolute;margin-left:549.194519pt;margin-top:11.152063pt;width:12.25pt;height:14.25pt;mso-position-horizontal-relative:page;mso-position-vertical-relative:paragraph;z-index:3640" type="#_x0000_t202" filled="false" stroked="false">
            <v:textbox inset="0,0,0,0">
              <w:txbxContent>
                <w:p>
                  <w:pPr>
                    <w:spacing w:line="284" w:lineRule="exact" w:before="0"/>
                    <w:ind w:left="0" w:right="0" w:firstLine="0"/>
                    <w:jc w:val="left"/>
                    <w:rPr>
                      <w:b/>
                      <w:sz w:val="24"/>
                    </w:rPr>
                  </w:pPr>
                  <w:r>
                    <w:rPr>
                      <w:b/>
                      <w:color w:val="658464"/>
                      <w:spacing w:val="-12"/>
                      <w:w w:val="110"/>
                      <w:sz w:val="24"/>
                    </w:rPr>
                    <w:t>41</w:t>
                  </w:r>
                </w:p>
              </w:txbxContent>
            </v:textbox>
            <w10:wrap type="none"/>
          </v:shape>
        </w:pict>
      </w:r>
      <w:r>
        <w:rPr>
          <w:w w:val="105"/>
          <w:sz w:val="13"/>
        </w:rPr>
        <w:t>Submissions 2 </w:t>
      </w:r>
      <w:r>
        <w:rPr>
          <w:spacing w:val="2"/>
          <w:w w:val="105"/>
          <w:sz w:val="13"/>
        </w:rPr>
        <w:t>(Name </w:t>
      </w:r>
      <w:r>
        <w:rPr>
          <w:w w:val="105"/>
          <w:sz w:val="13"/>
        </w:rPr>
        <w:t>withheld), 5 </w:t>
      </w:r>
      <w:r>
        <w:rPr>
          <w:spacing w:val="2"/>
          <w:w w:val="105"/>
          <w:sz w:val="13"/>
        </w:rPr>
        <w:t>(Name </w:t>
      </w:r>
      <w:r>
        <w:rPr>
          <w:w w:val="105"/>
          <w:sz w:val="13"/>
        </w:rPr>
        <w:t>withheld), 6 </w:t>
      </w:r>
      <w:r>
        <w:rPr>
          <w:spacing w:val="2"/>
          <w:w w:val="105"/>
          <w:sz w:val="13"/>
        </w:rPr>
        <w:t>(Name </w:t>
      </w:r>
      <w:r>
        <w:rPr>
          <w:w w:val="105"/>
          <w:sz w:val="13"/>
        </w:rPr>
        <w:t>withheld), </w:t>
      </w:r>
      <w:r>
        <w:rPr>
          <w:spacing w:val="-3"/>
          <w:w w:val="105"/>
          <w:sz w:val="13"/>
        </w:rPr>
        <w:t>19 </w:t>
      </w:r>
      <w:r>
        <w:rPr>
          <w:spacing w:val="2"/>
          <w:w w:val="105"/>
          <w:sz w:val="13"/>
        </w:rPr>
        <w:t>(Name </w:t>
      </w:r>
      <w:r>
        <w:rPr>
          <w:w w:val="105"/>
          <w:sz w:val="13"/>
        </w:rPr>
        <w:t>withheld), 38 </w:t>
      </w:r>
      <w:r>
        <w:rPr>
          <w:spacing w:val="3"/>
          <w:w w:val="105"/>
          <w:sz w:val="13"/>
        </w:rPr>
        <w:t>(L. </w:t>
      </w:r>
      <w:r>
        <w:rPr>
          <w:spacing w:val="2"/>
          <w:w w:val="105"/>
          <w:sz w:val="13"/>
        </w:rPr>
        <w:t>Barry </w:t>
      </w:r>
      <w:r>
        <w:rPr>
          <w:w w:val="105"/>
          <w:sz w:val="13"/>
        </w:rPr>
        <w:t>Wollmer); Consultation 1 (Aldo Taranto). 93.62% of survey respondents reported that they did not take legal </w:t>
      </w:r>
      <w:r>
        <w:rPr>
          <w:spacing w:val="2"/>
          <w:w w:val="105"/>
          <w:sz w:val="13"/>
        </w:rPr>
        <w:t>action: </w:t>
      </w:r>
      <w:r>
        <w:rPr>
          <w:w w:val="105"/>
          <w:sz w:val="13"/>
        </w:rPr>
        <w:t>Victorian Law Reform Commission, </w:t>
      </w:r>
      <w:r>
        <w:rPr>
          <w:i/>
          <w:w w:val="105"/>
          <w:sz w:val="13"/>
        </w:rPr>
        <w:t>Neighbourhood </w:t>
      </w:r>
      <w:r>
        <w:rPr>
          <w:i/>
          <w:w w:val="105"/>
          <w:sz w:val="13"/>
        </w:rPr>
        <w:t>Tree Disputes Survey</w:t>
      </w:r>
      <w:r>
        <w:rPr>
          <w:i/>
          <w:spacing w:val="13"/>
          <w:w w:val="105"/>
          <w:sz w:val="13"/>
        </w:rPr>
        <w:t> </w:t>
      </w:r>
      <w:r>
        <w:rPr>
          <w:w w:val="105"/>
          <w:sz w:val="13"/>
        </w:rPr>
        <w:t>(2018).</w:t>
      </w:r>
    </w:p>
    <w:p>
      <w:pPr>
        <w:spacing w:after="0" w:line="240" w:lineRule="auto"/>
        <w:jc w:val="both"/>
        <w:rPr>
          <w:sz w:val="13"/>
        </w:rPr>
        <w:sectPr>
          <w:pgSz w:w="11910" w:h="16840"/>
          <w:pgMar w:header="808" w:footer="0" w:top="1360" w:bottom="280" w:left="0" w:right="0"/>
        </w:sectPr>
      </w:pPr>
    </w:p>
    <w:p>
      <w:pPr>
        <w:pStyle w:val="BodyText"/>
        <w:spacing w:before="9"/>
        <w:rPr>
          <w:sz w:val="22"/>
        </w:rPr>
      </w:pPr>
    </w:p>
    <w:p>
      <w:pPr>
        <w:pStyle w:val="ListParagraph"/>
        <w:numPr>
          <w:ilvl w:val="1"/>
          <w:numId w:val="16"/>
        </w:numPr>
        <w:tabs>
          <w:tab w:pos="2381" w:val="left" w:leader="none"/>
          <w:tab w:pos="2382" w:val="left" w:leader="none"/>
        </w:tabs>
        <w:spacing w:line="242" w:lineRule="auto" w:before="92" w:after="0"/>
        <w:ind w:left="2381" w:right="1725" w:hanging="794"/>
        <w:jc w:val="left"/>
        <w:rPr>
          <w:sz w:val="21"/>
        </w:rPr>
      </w:pPr>
      <w:r>
        <w:rPr>
          <w:w w:val="105"/>
          <w:sz w:val="21"/>
        </w:rPr>
        <w:t>Some stated </w:t>
      </w:r>
      <w:r>
        <w:rPr>
          <w:spacing w:val="-3"/>
          <w:w w:val="105"/>
          <w:sz w:val="21"/>
        </w:rPr>
        <w:t>that </w:t>
      </w:r>
      <w:r>
        <w:rPr>
          <w:w w:val="105"/>
          <w:sz w:val="21"/>
        </w:rPr>
        <w:t>they </w:t>
      </w:r>
      <w:r>
        <w:rPr>
          <w:spacing w:val="-2"/>
          <w:w w:val="105"/>
          <w:sz w:val="21"/>
        </w:rPr>
        <w:t>had </w:t>
      </w:r>
      <w:r>
        <w:rPr>
          <w:w w:val="105"/>
          <w:sz w:val="21"/>
        </w:rPr>
        <w:t>only </w:t>
      </w:r>
      <w:r>
        <w:rPr>
          <w:spacing w:val="-3"/>
          <w:w w:val="105"/>
          <w:sz w:val="21"/>
        </w:rPr>
        <w:t>achieved </w:t>
      </w:r>
      <w:r>
        <w:rPr>
          <w:w w:val="105"/>
          <w:sz w:val="21"/>
        </w:rPr>
        <w:t>partial </w:t>
      </w:r>
      <w:r>
        <w:rPr>
          <w:spacing w:val="-4"/>
          <w:w w:val="105"/>
          <w:sz w:val="21"/>
        </w:rPr>
        <w:t>resolution,</w:t>
      </w:r>
      <w:r>
        <w:rPr>
          <w:spacing w:val="-4"/>
          <w:w w:val="105"/>
          <w:position w:val="7"/>
          <w:sz w:val="12"/>
        </w:rPr>
        <w:t>166 </w:t>
      </w:r>
      <w:r>
        <w:rPr>
          <w:spacing w:val="-3"/>
          <w:w w:val="105"/>
          <w:sz w:val="21"/>
        </w:rPr>
        <w:t>such </w:t>
      </w:r>
      <w:r>
        <w:rPr>
          <w:w w:val="105"/>
          <w:sz w:val="21"/>
        </w:rPr>
        <w:t>as when a tree owner agreed </w:t>
      </w:r>
      <w:r>
        <w:rPr>
          <w:spacing w:val="-3"/>
          <w:w w:val="105"/>
          <w:sz w:val="21"/>
        </w:rPr>
        <w:t>to remove </w:t>
      </w:r>
      <w:r>
        <w:rPr>
          <w:w w:val="105"/>
          <w:sz w:val="21"/>
        </w:rPr>
        <w:t>the tree but </w:t>
      </w:r>
      <w:r>
        <w:rPr>
          <w:spacing w:val="-3"/>
          <w:w w:val="105"/>
          <w:sz w:val="21"/>
        </w:rPr>
        <w:t>refused to </w:t>
      </w:r>
      <w:r>
        <w:rPr>
          <w:spacing w:val="-2"/>
          <w:w w:val="105"/>
          <w:sz w:val="21"/>
        </w:rPr>
        <w:t>pay </w:t>
      </w:r>
      <w:r>
        <w:rPr>
          <w:w w:val="105"/>
          <w:sz w:val="21"/>
        </w:rPr>
        <w:t>the cost of repairs. Others explained </w:t>
      </w:r>
      <w:r>
        <w:rPr>
          <w:spacing w:val="-3"/>
          <w:w w:val="105"/>
          <w:sz w:val="21"/>
        </w:rPr>
        <w:t>that although </w:t>
      </w:r>
      <w:r>
        <w:rPr>
          <w:w w:val="105"/>
          <w:sz w:val="21"/>
        </w:rPr>
        <w:t>their tree </w:t>
      </w:r>
      <w:r>
        <w:rPr>
          <w:spacing w:val="-3"/>
          <w:w w:val="105"/>
          <w:sz w:val="21"/>
        </w:rPr>
        <w:t>dispute </w:t>
      </w:r>
      <w:r>
        <w:rPr>
          <w:spacing w:val="-2"/>
          <w:w w:val="105"/>
          <w:sz w:val="21"/>
        </w:rPr>
        <w:t>had </w:t>
      </w:r>
      <w:r>
        <w:rPr>
          <w:w w:val="105"/>
          <w:sz w:val="21"/>
        </w:rPr>
        <w:t>been resolved, this </w:t>
      </w:r>
      <w:r>
        <w:rPr>
          <w:spacing w:val="-2"/>
          <w:w w:val="105"/>
          <w:sz w:val="21"/>
        </w:rPr>
        <w:t>had not </w:t>
      </w:r>
      <w:r>
        <w:rPr>
          <w:spacing w:val="-3"/>
          <w:w w:val="105"/>
          <w:sz w:val="21"/>
        </w:rPr>
        <w:t>occurred </w:t>
      </w:r>
      <w:r>
        <w:rPr>
          <w:w w:val="105"/>
          <w:sz w:val="21"/>
        </w:rPr>
        <w:t>because of existing law and process. </w:t>
      </w:r>
      <w:r>
        <w:rPr>
          <w:spacing w:val="-3"/>
          <w:w w:val="105"/>
          <w:sz w:val="21"/>
        </w:rPr>
        <w:t>Instead, </w:t>
      </w:r>
      <w:r>
        <w:rPr>
          <w:w w:val="105"/>
          <w:sz w:val="21"/>
        </w:rPr>
        <w:t>the </w:t>
      </w:r>
      <w:r>
        <w:rPr>
          <w:spacing w:val="-3"/>
          <w:w w:val="105"/>
          <w:sz w:val="21"/>
        </w:rPr>
        <w:t>dispute </w:t>
      </w:r>
      <w:r>
        <w:rPr>
          <w:spacing w:val="-2"/>
          <w:w w:val="105"/>
          <w:sz w:val="21"/>
        </w:rPr>
        <w:t>had </w:t>
      </w:r>
      <w:r>
        <w:rPr>
          <w:w w:val="105"/>
          <w:sz w:val="21"/>
        </w:rPr>
        <w:t>ended because they moved </w:t>
      </w:r>
      <w:r>
        <w:rPr>
          <w:spacing w:val="-3"/>
          <w:w w:val="105"/>
          <w:sz w:val="21"/>
        </w:rPr>
        <w:t>away </w:t>
      </w:r>
      <w:r>
        <w:rPr>
          <w:w w:val="105"/>
          <w:sz w:val="21"/>
        </w:rPr>
        <w:t>and </w:t>
      </w:r>
      <w:r>
        <w:rPr>
          <w:spacing w:val="-3"/>
          <w:w w:val="105"/>
          <w:sz w:val="21"/>
        </w:rPr>
        <w:t>were </w:t>
      </w:r>
      <w:r>
        <w:rPr>
          <w:w w:val="105"/>
          <w:sz w:val="21"/>
        </w:rPr>
        <w:t>no longer affected or the risk they perceived </w:t>
      </w:r>
      <w:r>
        <w:rPr>
          <w:spacing w:val="-3"/>
          <w:w w:val="105"/>
          <w:sz w:val="21"/>
        </w:rPr>
        <w:t>(for example, </w:t>
      </w:r>
      <w:r>
        <w:rPr>
          <w:w w:val="105"/>
          <w:sz w:val="21"/>
        </w:rPr>
        <w:t>a </w:t>
      </w:r>
      <w:r>
        <w:rPr>
          <w:spacing w:val="-4"/>
          <w:w w:val="105"/>
          <w:sz w:val="21"/>
        </w:rPr>
        <w:t>falling </w:t>
      </w:r>
      <w:r>
        <w:rPr>
          <w:spacing w:val="-3"/>
          <w:w w:val="105"/>
          <w:sz w:val="21"/>
        </w:rPr>
        <w:t>branch </w:t>
      </w:r>
      <w:r>
        <w:rPr>
          <w:w w:val="105"/>
          <w:sz w:val="21"/>
        </w:rPr>
        <w:t>or tree) </w:t>
      </w:r>
      <w:r>
        <w:rPr>
          <w:spacing w:val="-2"/>
          <w:w w:val="105"/>
          <w:sz w:val="21"/>
        </w:rPr>
        <w:t>had </w:t>
      </w:r>
      <w:r>
        <w:rPr>
          <w:spacing w:val="-3"/>
          <w:w w:val="105"/>
          <w:sz w:val="21"/>
        </w:rPr>
        <w:t>eventuated, ending </w:t>
      </w:r>
      <w:r>
        <w:rPr>
          <w:w w:val="105"/>
          <w:sz w:val="21"/>
        </w:rPr>
        <w:t>the </w:t>
      </w:r>
      <w:r>
        <w:rPr>
          <w:spacing w:val="-3"/>
          <w:w w:val="105"/>
          <w:sz w:val="21"/>
        </w:rPr>
        <w:t>immediate</w:t>
      </w:r>
      <w:r>
        <w:rPr>
          <w:spacing w:val="26"/>
          <w:w w:val="105"/>
          <w:sz w:val="21"/>
        </w:rPr>
        <w:t> </w:t>
      </w:r>
      <w:r>
        <w:rPr>
          <w:spacing w:val="-5"/>
          <w:w w:val="105"/>
          <w:sz w:val="21"/>
        </w:rPr>
        <w:t>tension.</w:t>
      </w:r>
      <w:r>
        <w:rPr>
          <w:spacing w:val="-5"/>
          <w:w w:val="105"/>
          <w:position w:val="7"/>
          <w:sz w:val="12"/>
        </w:rPr>
        <w:t>167</w:t>
      </w:r>
    </w:p>
    <w:p>
      <w:pPr>
        <w:pStyle w:val="ListParagraph"/>
        <w:numPr>
          <w:ilvl w:val="1"/>
          <w:numId w:val="16"/>
        </w:numPr>
        <w:tabs>
          <w:tab w:pos="2380" w:val="left" w:leader="none"/>
          <w:tab w:pos="2382" w:val="left" w:leader="none"/>
        </w:tabs>
        <w:spacing w:line="242" w:lineRule="auto" w:before="126" w:after="0"/>
        <w:ind w:left="2381" w:right="2120" w:hanging="794"/>
        <w:jc w:val="left"/>
        <w:rPr>
          <w:sz w:val="21"/>
        </w:rPr>
      </w:pPr>
      <w:r>
        <w:rPr>
          <w:w w:val="105"/>
          <w:sz w:val="21"/>
        </w:rPr>
        <w:t>A large number of responses reported </w:t>
      </w:r>
      <w:r>
        <w:rPr>
          <w:spacing w:val="-3"/>
          <w:w w:val="105"/>
          <w:sz w:val="21"/>
        </w:rPr>
        <w:t>that </w:t>
      </w:r>
      <w:r>
        <w:rPr>
          <w:w w:val="105"/>
          <w:sz w:val="21"/>
        </w:rPr>
        <w:t>existing remedies </w:t>
      </w:r>
      <w:r>
        <w:rPr>
          <w:spacing w:val="-3"/>
          <w:w w:val="105"/>
          <w:sz w:val="21"/>
        </w:rPr>
        <w:t>were limited </w:t>
      </w:r>
      <w:r>
        <w:rPr>
          <w:w w:val="105"/>
          <w:sz w:val="21"/>
        </w:rPr>
        <w:t>in their application and often </w:t>
      </w:r>
      <w:r>
        <w:rPr>
          <w:spacing w:val="-4"/>
          <w:w w:val="105"/>
          <w:sz w:val="21"/>
        </w:rPr>
        <w:t>inaccessible.</w:t>
      </w:r>
      <w:r>
        <w:rPr>
          <w:spacing w:val="-4"/>
          <w:w w:val="105"/>
          <w:position w:val="7"/>
          <w:sz w:val="12"/>
        </w:rPr>
        <w:t>168 </w:t>
      </w:r>
      <w:r>
        <w:rPr>
          <w:w w:val="105"/>
          <w:sz w:val="21"/>
        </w:rPr>
        <w:t>For </w:t>
      </w:r>
      <w:r>
        <w:rPr>
          <w:spacing w:val="-3"/>
          <w:w w:val="105"/>
          <w:sz w:val="21"/>
        </w:rPr>
        <w:t>example, </w:t>
      </w:r>
      <w:r>
        <w:rPr>
          <w:w w:val="105"/>
          <w:sz w:val="21"/>
        </w:rPr>
        <w:t>one </w:t>
      </w:r>
      <w:r>
        <w:rPr>
          <w:spacing w:val="-3"/>
          <w:w w:val="105"/>
          <w:sz w:val="21"/>
        </w:rPr>
        <w:t>submission noted </w:t>
      </w:r>
      <w:r>
        <w:rPr>
          <w:w w:val="105"/>
          <w:sz w:val="21"/>
        </w:rPr>
        <w:t>in </w:t>
      </w:r>
      <w:r>
        <w:rPr>
          <w:spacing w:val="-3"/>
          <w:w w:val="105"/>
          <w:sz w:val="21"/>
        </w:rPr>
        <w:t>relation to</w:t>
      </w:r>
      <w:r>
        <w:rPr>
          <w:spacing w:val="-8"/>
          <w:w w:val="105"/>
          <w:sz w:val="21"/>
        </w:rPr>
        <w:t> </w:t>
      </w:r>
      <w:r>
        <w:rPr>
          <w:spacing w:val="-4"/>
          <w:w w:val="105"/>
          <w:sz w:val="21"/>
        </w:rPr>
        <w:t>insurance</w:t>
      </w:r>
      <w:r>
        <w:rPr>
          <w:spacing w:val="-7"/>
          <w:w w:val="105"/>
          <w:sz w:val="21"/>
        </w:rPr>
        <w:t> </w:t>
      </w:r>
      <w:r>
        <w:rPr>
          <w:spacing w:val="-3"/>
          <w:w w:val="105"/>
          <w:sz w:val="21"/>
        </w:rPr>
        <w:t>that</w:t>
      </w:r>
      <w:r>
        <w:rPr>
          <w:spacing w:val="-7"/>
          <w:w w:val="105"/>
          <w:sz w:val="21"/>
        </w:rPr>
        <w:t> </w:t>
      </w:r>
      <w:r>
        <w:rPr>
          <w:spacing w:val="-4"/>
          <w:w w:val="105"/>
          <w:sz w:val="21"/>
        </w:rPr>
        <w:t>‘not</w:t>
      </w:r>
      <w:r>
        <w:rPr>
          <w:spacing w:val="-8"/>
          <w:w w:val="105"/>
          <w:sz w:val="21"/>
        </w:rPr>
        <w:t> </w:t>
      </w:r>
      <w:r>
        <w:rPr>
          <w:w w:val="105"/>
          <w:sz w:val="21"/>
        </w:rPr>
        <w:t>everybody</w:t>
      </w:r>
      <w:r>
        <w:rPr>
          <w:spacing w:val="-7"/>
          <w:w w:val="105"/>
          <w:sz w:val="21"/>
        </w:rPr>
        <w:t> </w:t>
      </w:r>
      <w:r>
        <w:rPr>
          <w:spacing w:val="-2"/>
          <w:w w:val="105"/>
          <w:sz w:val="21"/>
        </w:rPr>
        <w:t>has</w:t>
      </w:r>
      <w:r>
        <w:rPr>
          <w:spacing w:val="-7"/>
          <w:w w:val="105"/>
          <w:sz w:val="21"/>
        </w:rPr>
        <w:t> </w:t>
      </w:r>
      <w:r>
        <w:rPr>
          <w:spacing w:val="-4"/>
          <w:w w:val="105"/>
          <w:sz w:val="21"/>
        </w:rPr>
        <w:t>insurance</w:t>
      </w:r>
      <w:r>
        <w:rPr>
          <w:spacing w:val="-8"/>
          <w:w w:val="105"/>
          <w:sz w:val="21"/>
        </w:rPr>
        <w:t> </w:t>
      </w:r>
      <w:r>
        <w:rPr>
          <w:w w:val="105"/>
          <w:sz w:val="21"/>
        </w:rPr>
        <w:t>cover’</w:t>
      </w:r>
      <w:r>
        <w:rPr>
          <w:spacing w:val="-7"/>
          <w:w w:val="105"/>
          <w:sz w:val="21"/>
        </w:rPr>
        <w:t> </w:t>
      </w:r>
      <w:r>
        <w:rPr>
          <w:w w:val="105"/>
          <w:sz w:val="21"/>
        </w:rPr>
        <w:t>and</w:t>
      </w:r>
      <w:r>
        <w:rPr>
          <w:spacing w:val="-7"/>
          <w:w w:val="105"/>
          <w:sz w:val="21"/>
        </w:rPr>
        <w:t> </w:t>
      </w:r>
      <w:r>
        <w:rPr>
          <w:w w:val="105"/>
          <w:sz w:val="21"/>
        </w:rPr>
        <w:t>some</w:t>
      </w:r>
      <w:r>
        <w:rPr>
          <w:spacing w:val="-8"/>
          <w:w w:val="105"/>
          <w:sz w:val="21"/>
        </w:rPr>
        <w:t> </w:t>
      </w:r>
      <w:r>
        <w:rPr>
          <w:w w:val="105"/>
          <w:sz w:val="21"/>
        </w:rPr>
        <w:t>people,</w:t>
      </w:r>
      <w:r>
        <w:rPr>
          <w:spacing w:val="-7"/>
          <w:w w:val="105"/>
          <w:sz w:val="21"/>
        </w:rPr>
        <w:t> </w:t>
      </w:r>
      <w:r>
        <w:rPr>
          <w:spacing w:val="-3"/>
          <w:w w:val="105"/>
          <w:sz w:val="21"/>
        </w:rPr>
        <w:t>for</w:t>
      </w:r>
      <w:r>
        <w:rPr>
          <w:spacing w:val="-7"/>
          <w:w w:val="105"/>
          <w:sz w:val="21"/>
        </w:rPr>
        <w:t> </w:t>
      </w:r>
      <w:r>
        <w:rPr>
          <w:w w:val="105"/>
          <w:sz w:val="21"/>
        </w:rPr>
        <w:t>example</w:t>
      </w:r>
    </w:p>
    <w:p>
      <w:pPr>
        <w:pStyle w:val="BodyText"/>
        <w:spacing w:line="242" w:lineRule="auto" w:before="3"/>
        <w:ind w:left="2381" w:right="1636"/>
        <w:rPr>
          <w:sz w:val="12"/>
        </w:rPr>
      </w:pPr>
      <w:r>
        <w:rPr>
          <w:w w:val="105"/>
        </w:rPr>
        <w:t>pensioners, </w:t>
      </w:r>
      <w:r>
        <w:rPr>
          <w:spacing w:val="-6"/>
          <w:w w:val="105"/>
        </w:rPr>
        <w:t>‘are </w:t>
      </w:r>
      <w:r>
        <w:rPr>
          <w:spacing w:val="-3"/>
          <w:w w:val="105"/>
        </w:rPr>
        <w:t>unable to </w:t>
      </w:r>
      <w:r>
        <w:rPr>
          <w:w w:val="105"/>
        </w:rPr>
        <w:t>afford </w:t>
      </w:r>
      <w:r>
        <w:rPr>
          <w:spacing w:val="-6"/>
          <w:w w:val="105"/>
        </w:rPr>
        <w:t>insurance’…’I </w:t>
      </w:r>
      <w:r>
        <w:rPr>
          <w:w w:val="105"/>
        </w:rPr>
        <w:t>am a pensioner and while I can </w:t>
      </w:r>
      <w:r>
        <w:rPr>
          <w:spacing w:val="-3"/>
          <w:w w:val="105"/>
        </w:rPr>
        <w:t>manage to </w:t>
      </w:r>
      <w:r>
        <w:rPr>
          <w:w w:val="105"/>
        </w:rPr>
        <w:t>scrape together enough </w:t>
      </w:r>
      <w:r>
        <w:rPr>
          <w:spacing w:val="-3"/>
          <w:w w:val="105"/>
        </w:rPr>
        <w:t>to </w:t>
      </w:r>
      <w:r>
        <w:rPr>
          <w:spacing w:val="-2"/>
          <w:w w:val="105"/>
        </w:rPr>
        <w:t>pay </w:t>
      </w:r>
      <w:r>
        <w:rPr>
          <w:w w:val="105"/>
        </w:rPr>
        <w:t>an </w:t>
      </w:r>
      <w:r>
        <w:rPr>
          <w:spacing w:val="-4"/>
          <w:w w:val="105"/>
        </w:rPr>
        <w:t>insurance </w:t>
      </w:r>
      <w:r>
        <w:rPr>
          <w:spacing w:val="-3"/>
          <w:w w:val="105"/>
        </w:rPr>
        <w:t>premium, </w:t>
      </w:r>
      <w:r>
        <w:rPr>
          <w:w w:val="105"/>
        </w:rPr>
        <w:t>I </w:t>
      </w:r>
      <w:r>
        <w:rPr>
          <w:spacing w:val="-3"/>
          <w:w w:val="105"/>
        </w:rPr>
        <w:t>cannot </w:t>
      </w:r>
      <w:r>
        <w:rPr>
          <w:w w:val="105"/>
        </w:rPr>
        <w:t>possibly afford the risky business of </w:t>
      </w:r>
      <w:r>
        <w:rPr>
          <w:spacing w:val="-3"/>
          <w:w w:val="105"/>
        </w:rPr>
        <w:t>mounting </w:t>
      </w:r>
      <w:r>
        <w:rPr>
          <w:w w:val="105"/>
        </w:rPr>
        <w:t>a legal </w:t>
      </w:r>
      <w:r>
        <w:rPr>
          <w:spacing w:val="-6"/>
          <w:w w:val="105"/>
        </w:rPr>
        <w:t>case’.</w:t>
      </w:r>
      <w:r>
        <w:rPr>
          <w:spacing w:val="-6"/>
          <w:w w:val="105"/>
          <w:position w:val="7"/>
          <w:sz w:val="12"/>
        </w:rPr>
        <w:t>169</w:t>
      </w:r>
    </w:p>
    <w:p>
      <w:pPr>
        <w:pStyle w:val="Heading7"/>
      </w:pPr>
      <w:r>
        <w:rPr>
          <w:w w:val="115"/>
        </w:rPr>
        <w:t>Abatement is sometimes impractical or inappropriate</w:t>
      </w:r>
    </w:p>
    <w:p>
      <w:pPr>
        <w:pStyle w:val="ListParagraph"/>
        <w:numPr>
          <w:ilvl w:val="1"/>
          <w:numId w:val="16"/>
        </w:numPr>
        <w:tabs>
          <w:tab w:pos="2381" w:val="left" w:leader="none"/>
          <w:tab w:pos="2382" w:val="left" w:leader="none"/>
        </w:tabs>
        <w:spacing w:line="242" w:lineRule="auto" w:before="143" w:after="0"/>
        <w:ind w:left="2381" w:right="1691" w:hanging="794"/>
        <w:jc w:val="left"/>
        <w:rPr>
          <w:sz w:val="21"/>
        </w:rPr>
      </w:pPr>
      <w:r>
        <w:rPr>
          <w:w w:val="105"/>
          <w:sz w:val="21"/>
        </w:rPr>
        <w:t>The legal </w:t>
      </w:r>
      <w:r>
        <w:rPr>
          <w:spacing w:val="-3"/>
          <w:w w:val="105"/>
          <w:sz w:val="21"/>
        </w:rPr>
        <w:t>requirement to return </w:t>
      </w:r>
      <w:r>
        <w:rPr>
          <w:spacing w:val="-2"/>
          <w:w w:val="105"/>
          <w:sz w:val="21"/>
        </w:rPr>
        <w:t>abated </w:t>
      </w:r>
      <w:r>
        <w:rPr>
          <w:spacing w:val="-3"/>
          <w:w w:val="105"/>
          <w:sz w:val="21"/>
        </w:rPr>
        <w:t>branches to </w:t>
      </w:r>
      <w:r>
        <w:rPr>
          <w:w w:val="105"/>
          <w:sz w:val="21"/>
        </w:rPr>
        <w:t>the tree owner was identified as a </w:t>
      </w:r>
      <w:r>
        <w:rPr>
          <w:spacing w:val="-3"/>
          <w:w w:val="105"/>
          <w:sz w:val="21"/>
        </w:rPr>
        <w:t>confusing </w:t>
      </w:r>
      <w:r>
        <w:rPr>
          <w:w w:val="105"/>
          <w:sz w:val="21"/>
        </w:rPr>
        <w:t>and </w:t>
      </w:r>
      <w:r>
        <w:rPr>
          <w:spacing w:val="-4"/>
          <w:w w:val="105"/>
          <w:sz w:val="21"/>
        </w:rPr>
        <w:t>unfair </w:t>
      </w:r>
      <w:r>
        <w:rPr>
          <w:w w:val="105"/>
          <w:sz w:val="21"/>
        </w:rPr>
        <w:t>aspect of the </w:t>
      </w:r>
      <w:r>
        <w:rPr>
          <w:spacing w:val="-7"/>
          <w:w w:val="105"/>
          <w:sz w:val="21"/>
        </w:rPr>
        <w:t>law.</w:t>
      </w:r>
      <w:r>
        <w:rPr>
          <w:spacing w:val="-7"/>
          <w:w w:val="105"/>
          <w:position w:val="7"/>
          <w:sz w:val="12"/>
        </w:rPr>
        <w:t>170 </w:t>
      </w:r>
      <w:r>
        <w:rPr>
          <w:w w:val="105"/>
          <w:sz w:val="21"/>
        </w:rPr>
        <w:t>For </w:t>
      </w:r>
      <w:r>
        <w:rPr>
          <w:spacing w:val="-3"/>
          <w:w w:val="105"/>
          <w:sz w:val="21"/>
        </w:rPr>
        <w:t>example, </w:t>
      </w:r>
      <w:r>
        <w:rPr>
          <w:w w:val="105"/>
          <w:sz w:val="21"/>
        </w:rPr>
        <w:t>one person expressed </w:t>
      </w:r>
      <w:r>
        <w:rPr>
          <w:spacing w:val="-3"/>
          <w:w w:val="105"/>
          <w:sz w:val="21"/>
        </w:rPr>
        <w:t>frustration that </w:t>
      </w:r>
      <w:r>
        <w:rPr>
          <w:w w:val="105"/>
          <w:sz w:val="21"/>
        </w:rPr>
        <w:t>their neighbours </w:t>
      </w:r>
      <w:r>
        <w:rPr>
          <w:spacing w:val="-2"/>
          <w:w w:val="105"/>
          <w:sz w:val="21"/>
        </w:rPr>
        <w:t>had </w:t>
      </w:r>
      <w:r>
        <w:rPr>
          <w:spacing w:val="-4"/>
          <w:w w:val="105"/>
          <w:sz w:val="21"/>
        </w:rPr>
        <w:t>‘dumped </w:t>
      </w:r>
      <w:r>
        <w:rPr>
          <w:w w:val="105"/>
          <w:sz w:val="21"/>
        </w:rPr>
        <w:t>the pruned </w:t>
      </w:r>
      <w:r>
        <w:rPr>
          <w:spacing w:val="-3"/>
          <w:w w:val="105"/>
          <w:sz w:val="21"/>
        </w:rPr>
        <w:t>branches’ onto </w:t>
      </w:r>
      <w:r>
        <w:rPr>
          <w:w w:val="105"/>
          <w:sz w:val="21"/>
        </w:rPr>
        <w:t>their </w:t>
      </w:r>
      <w:r>
        <w:rPr>
          <w:spacing w:val="-3"/>
          <w:w w:val="105"/>
          <w:sz w:val="21"/>
        </w:rPr>
        <w:t>land </w:t>
      </w:r>
      <w:r>
        <w:rPr>
          <w:w w:val="105"/>
          <w:sz w:val="21"/>
        </w:rPr>
        <w:t>‘without </w:t>
      </w:r>
      <w:r>
        <w:rPr>
          <w:spacing w:val="-3"/>
          <w:w w:val="105"/>
          <w:sz w:val="21"/>
        </w:rPr>
        <w:t>notice </w:t>
      </w:r>
      <w:r>
        <w:rPr>
          <w:w w:val="105"/>
          <w:sz w:val="21"/>
        </w:rPr>
        <w:t>or</w:t>
      </w:r>
      <w:r>
        <w:rPr>
          <w:spacing w:val="-5"/>
          <w:w w:val="105"/>
          <w:sz w:val="21"/>
        </w:rPr>
        <w:t> </w:t>
      </w:r>
      <w:r>
        <w:rPr>
          <w:w w:val="105"/>
          <w:sz w:val="21"/>
        </w:rPr>
        <w:t>prior</w:t>
      </w:r>
      <w:r>
        <w:rPr>
          <w:spacing w:val="-5"/>
          <w:w w:val="105"/>
          <w:sz w:val="21"/>
        </w:rPr>
        <w:t> </w:t>
      </w:r>
      <w:r>
        <w:rPr>
          <w:spacing w:val="-6"/>
          <w:w w:val="105"/>
          <w:sz w:val="21"/>
        </w:rPr>
        <w:t>discussion’.</w:t>
      </w:r>
      <w:r>
        <w:rPr>
          <w:spacing w:val="-6"/>
          <w:w w:val="105"/>
          <w:position w:val="7"/>
          <w:sz w:val="12"/>
        </w:rPr>
        <w:t>171</w:t>
      </w:r>
      <w:r>
        <w:rPr>
          <w:spacing w:val="-4"/>
          <w:w w:val="105"/>
          <w:position w:val="7"/>
          <w:sz w:val="12"/>
        </w:rPr>
        <w:t> </w:t>
      </w:r>
      <w:r>
        <w:rPr>
          <w:w w:val="105"/>
          <w:sz w:val="21"/>
        </w:rPr>
        <w:t>Some</w:t>
      </w:r>
      <w:r>
        <w:rPr>
          <w:spacing w:val="-5"/>
          <w:w w:val="105"/>
          <w:sz w:val="21"/>
        </w:rPr>
        <w:t> </w:t>
      </w:r>
      <w:r>
        <w:rPr>
          <w:w w:val="105"/>
          <w:sz w:val="21"/>
        </w:rPr>
        <w:t>suggested</w:t>
      </w:r>
      <w:r>
        <w:rPr>
          <w:spacing w:val="-5"/>
          <w:w w:val="105"/>
          <w:sz w:val="21"/>
        </w:rPr>
        <w:t> </w:t>
      </w:r>
      <w:r>
        <w:rPr>
          <w:spacing w:val="-3"/>
          <w:w w:val="105"/>
          <w:sz w:val="21"/>
        </w:rPr>
        <w:t>that</w:t>
      </w:r>
      <w:r>
        <w:rPr>
          <w:spacing w:val="-4"/>
          <w:w w:val="105"/>
          <w:sz w:val="21"/>
        </w:rPr>
        <w:t> </w:t>
      </w:r>
      <w:r>
        <w:rPr>
          <w:w w:val="105"/>
          <w:sz w:val="21"/>
        </w:rPr>
        <w:t>this</w:t>
      </w:r>
      <w:r>
        <w:rPr>
          <w:spacing w:val="-5"/>
          <w:w w:val="105"/>
          <w:sz w:val="21"/>
        </w:rPr>
        <w:t> </w:t>
      </w:r>
      <w:r>
        <w:rPr>
          <w:spacing w:val="-3"/>
          <w:w w:val="105"/>
          <w:sz w:val="21"/>
        </w:rPr>
        <w:t>requirement</w:t>
      </w:r>
      <w:r>
        <w:rPr>
          <w:spacing w:val="-5"/>
          <w:w w:val="105"/>
          <w:sz w:val="21"/>
        </w:rPr>
        <w:t> </w:t>
      </w:r>
      <w:r>
        <w:rPr>
          <w:w w:val="105"/>
          <w:sz w:val="21"/>
        </w:rPr>
        <w:t>in</w:t>
      </w:r>
      <w:r>
        <w:rPr>
          <w:spacing w:val="-4"/>
          <w:w w:val="105"/>
          <w:sz w:val="21"/>
        </w:rPr>
        <w:t> </w:t>
      </w:r>
      <w:r>
        <w:rPr>
          <w:w w:val="105"/>
          <w:sz w:val="21"/>
        </w:rPr>
        <w:t>and</w:t>
      </w:r>
      <w:r>
        <w:rPr>
          <w:spacing w:val="-5"/>
          <w:w w:val="105"/>
          <w:sz w:val="21"/>
        </w:rPr>
        <w:t> </w:t>
      </w:r>
      <w:r>
        <w:rPr>
          <w:w w:val="105"/>
          <w:sz w:val="21"/>
        </w:rPr>
        <w:t>of</w:t>
      </w:r>
      <w:r>
        <w:rPr>
          <w:spacing w:val="-5"/>
          <w:w w:val="105"/>
          <w:sz w:val="21"/>
        </w:rPr>
        <w:t> </w:t>
      </w:r>
      <w:r>
        <w:rPr>
          <w:w w:val="105"/>
          <w:sz w:val="21"/>
        </w:rPr>
        <w:t>itself</w:t>
      </w:r>
      <w:r>
        <w:rPr>
          <w:spacing w:val="-5"/>
          <w:w w:val="105"/>
          <w:sz w:val="21"/>
        </w:rPr>
        <w:t> </w:t>
      </w:r>
      <w:r>
        <w:rPr>
          <w:spacing w:val="-3"/>
          <w:w w:val="105"/>
          <w:sz w:val="21"/>
        </w:rPr>
        <w:t>may</w:t>
      </w:r>
      <w:r>
        <w:rPr>
          <w:spacing w:val="-4"/>
          <w:w w:val="105"/>
          <w:sz w:val="21"/>
        </w:rPr>
        <w:t> </w:t>
      </w:r>
      <w:r>
        <w:rPr>
          <w:spacing w:val="-3"/>
          <w:w w:val="105"/>
          <w:sz w:val="21"/>
        </w:rPr>
        <w:t>have</w:t>
      </w:r>
      <w:r>
        <w:rPr>
          <w:spacing w:val="-5"/>
          <w:w w:val="105"/>
          <w:sz w:val="21"/>
        </w:rPr>
        <w:t> </w:t>
      </w:r>
      <w:r>
        <w:rPr>
          <w:w w:val="105"/>
          <w:sz w:val="21"/>
        </w:rPr>
        <w:t>the </w:t>
      </w:r>
      <w:r>
        <w:rPr>
          <w:spacing w:val="-3"/>
          <w:w w:val="105"/>
          <w:sz w:val="21"/>
        </w:rPr>
        <w:t>potential to </w:t>
      </w:r>
      <w:r>
        <w:rPr>
          <w:w w:val="105"/>
          <w:sz w:val="21"/>
        </w:rPr>
        <w:t>cause or </w:t>
      </w:r>
      <w:r>
        <w:rPr>
          <w:spacing w:val="-3"/>
          <w:w w:val="105"/>
          <w:sz w:val="21"/>
        </w:rPr>
        <w:t>exacerbate </w:t>
      </w:r>
      <w:r>
        <w:rPr>
          <w:w w:val="105"/>
          <w:sz w:val="21"/>
        </w:rPr>
        <w:t>a </w:t>
      </w:r>
      <w:r>
        <w:rPr>
          <w:spacing w:val="-3"/>
          <w:w w:val="105"/>
          <w:sz w:val="21"/>
        </w:rPr>
        <w:t>dispute </w:t>
      </w:r>
      <w:r>
        <w:rPr>
          <w:w w:val="105"/>
          <w:sz w:val="21"/>
        </w:rPr>
        <w:t>with their </w:t>
      </w:r>
      <w:r>
        <w:rPr>
          <w:spacing w:val="-3"/>
          <w:w w:val="105"/>
          <w:sz w:val="21"/>
        </w:rPr>
        <w:t>neighbour </w:t>
      </w:r>
      <w:r>
        <w:rPr>
          <w:w w:val="105"/>
          <w:sz w:val="21"/>
        </w:rPr>
        <w:t>about who is </w:t>
      </w:r>
      <w:r>
        <w:rPr>
          <w:spacing w:val="-3"/>
          <w:w w:val="105"/>
          <w:sz w:val="21"/>
        </w:rPr>
        <w:t>responsible for disposing </w:t>
      </w:r>
      <w:r>
        <w:rPr>
          <w:w w:val="105"/>
          <w:sz w:val="21"/>
        </w:rPr>
        <w:t>of the</w:t>
      </w:r>
      <w:r>
        <w:rPr>
          <w:spacing w:val="28"/>
          <w:w w:val="105"/>
          <w:sz w:val="21"/>
        </w:rPr>
        <w:t> </w:t>
      </w:r>
      <w:r>
        <w:rPr>
          <w:spacing w:val="-4"/>
          <w:w w:val="105"/>
          <w:sz w:val="21"/>
        </w:rPr>
        <w:t>branches.</w:t>
      </w:r>
      <w:r>
        <w:rPr>
          <w:spacing w:val="-4"/>
          <w:w w:val="105"/>
          <w:position w:val="7"/>
          <w:sz w:val="12"/>
        </w:rPr>
        <w:t>172</w:t>
      </w:r>
    </w:p>
    <w:p>
      <w:pPr>
        <w:pStyle w:val="ListParagraph"/>
        <w:numPr>
          <w:ilvl w:val="1"/>
          <w:numId w:val="16"/>
        </w:numPr>
        <w:tabs>
          <w:tab w:pos="2380" w:val="left" w:leader="none"/>
          <w:tab w:pos="2381" w:val="left" w:leader="none"/>
        </w:tabs>
        <w:spacing w:line="242" w:lineRule="auto" w:before="127" w:after="0"/>
        <w:ind w:left="2380" w:right="1586" w:hanging="793"/>
        <w:jc w:val="left"/>
        <w:rPr>
          <w:sz w:val="21"/>
        </w:rPr>
      </w:pPr>
      <w:r>
        <w:rPr>
          <w:sz w:val="21"/>
        </w:rPr>
        <w:t>Some </w:t>
      </w:r>
      <w:r>
        <w:rPr>
          <w:spacing w:val="-3"/>
          <w:sz w:val="21"/>
        </w:rPr>
        <w:t>submissions </w:t>
      </w:r>
      <w:r>
        <w:rPr>
          <w:spacing w:val="-2"/>
          <w:sz w:val="21"/>
        </w:rPr>
        <w:t>raised </w:t>
      </w:r>
      <w:r>
        <w:rPr>
          <w:spacing w:val="-3"/>
          <w:sz w:val="21"/>
        </w:rPr>
        <w:t>concerns that </w:t>
      </w:r>
      <w:r>
        <w:rPr>
          <w:sz w:val="21"/>
        </w:rPr>
        <w:t>the affected </w:t>
      </w:r>
      <w:r>
        <w:rPr>
          <w:spacing w:val="-3"/>
          <w:sz w:val="21"/>
        </w:rPr>
        <w:t>neighbour </w:t>
      </w:r>
      <w:r>
        <w:rPr>
          <w:sz w:val="21"/>
        </w:rPr>
        <w:t>is </w:t>
      </w:r>
      <w:r>
        <w:rPr>
          <w:spacing w:val="-3"/>
          <w:sz w:val="21"/>
        </w:rPr>
        <w:t>entirely responsible for abating. </w:t>
      </w:r>
      <w:r>
        <w:rPr>
          <w:sz w:val="21"/>
        </w:rPr>
        <w:t>As a </w:t>
      </w:r>
      <w:r>
        <w:rPr>
          <w:spacing w:val="-3"/>
          <w:sz w:val="21"/>
        </w:rPr>
        <w:t>result </w:t>
      </w:r>
      <w:r>
        <w:rPr>
          <w:sz w:val="21"/>
        </w:rPr>
        <w:t>they </w:t>
      </w:r>
      <w:r>
        <w:rPr>
          <w:spacing w:val="-3"/>
          <w:sz w:val="21"/>
        </w:rPr>
        <w:t>may incur </w:t>
      </w:r>
      <w:r>
        <w:rPr>
          <w:sz w:val="21"/>
        </w:rPr>
        <w:t>a </w:t>
      </w:r>
      <w:r>
        <w:rPr>
          <w:spacing w:val="-3"/>
          <w:sz w:val="21"/>
        </w:rPr>
        <w:t>substantial </w:t>
      </w:r>
      <w:r>
        <w:rPr>
          <w:sz w:val="21"/>
        </w:rPr>
        <w:t>debt </w:t>
      </w:r>
      <w:r>
        <w:rPr>
          <w:spacing w:val="-3"/>
          <w:sz w:val="21"/>
        </w:rPr>
        <w:t>(for example, </w:t>
      </w:r>
      <w:r>
        <w:rPr>
          <w:sz w:val="21"/>
        </w:rPr>
        <w:t>arborist’s fees) with no physical assistance or monetary </w:t>
      </w:r>
      <w:r>
        <w:rPr>
          <w:spacing w:val="-3"/>
          <w:sz w:val="21"/>
        </w:rPr>
        <w:t>contribution required  </w:t>
      </w:r>
      <w:r>
        <w:rPr>
          <w:sz w:val="21"/>
        </w:rPr>
        <w:t>at law </w:t>
      </w:r>
      <w:r>
        <w:rPr>
          <w:spacing w:val="-3"/>
          <w:sz w:val="21"/>
        </w:rPr>
        <w:t>from</w:t>
      </w:r>
      <w:r>
        <w:rPr>
          <w:spacing w:val="41"/>
          <w:sz w:val="21"/>
        </w:rPr>
        <w:t> </w:t>
      </w:r>
      <w:r>
        <w:rPr>
          <w:sz w:val="21"/>
        </w:rPr>
        <w:t>the tree </w:t>
      </w:r>
      <w:r>
        <w:rPr>
          <w:spacing w:val="-6"/>
          <w:sz w:val="21"/>
        </w:rPr>
        <w:t>owner.</w:t>
      </w:r>
      <w:r>
        <w:rPr>
          <w:spacing w:val="-6"/>
          <w:position w:val="7"/>
          <w:sz w:val="12"/>
        </w:rPr>
        <w:t>173  </w:t>
      </w:r>
      <w:r>
        <w:rPr>
          <w:sz w:val="21"/>
        </w:rPr>
        <w:t>This  </w:t>
      </w:r>
      <w:r>
        <w:rPr>
          <w:spacing w:val="-3"/>
          <w:sz w:val="21"/>
        </w:rPr>
        <w:t>may </w:t>
      </w:r>
      <w:r>
        <w:rPr>
          <w:sz w:val="21"/>
        </w:rPr>
        <w:t>be particularly </w:t>
      </w:r>
      <w:r>
        <w:rPr>
          <w:spacing w:val="-3"/>
          <w:sz w:val="21"/>
        </w:rPr>
        <w:t>problematic for </w:t>
      </w:r>
      <w:r>
        <w:rPr>
          <w:sz w:val="21"/>
        </w:rPr>
        <w:t>people who </w:t>
      </w:r>
      <w:r>
        <w:rPr>
          <w:spacing w:val="-3"/>
          <w:sz w:val="21"/>
        </w:rPr>
        <w:t>cannot physically </w:t>
      </w:r>
      <w:r>
        <w:rPr>
          <w:sz w:val="21"/>
        </w:rPr>
        <w:t>or  </w:t>
      </w:r>
      <w:r>
        <w:rPr>
          <w:spacing w:val="-3"/>
          <w:sz w:val="21"/>
        </w:rPr>
        <w:t>financially  </w:t>
      </w:r>
      <w:r>
        <w:rPr>
          <w:sz w:val="21"/>
        </w:rPr>
        <w:t>afford  </w:t>
      </w:r>
      <w:r>
        <w:rPr>
          <w:spacing w:val="-3"/>
          <w:sz w:val="21"/>
        </w:rPr>
        <w:t>to </w:t>
      </w:r>
      <w:r>
        <w:rPr>
          <w:sz w:val="21"/>
        </w:rPr>
        <w:t>carry out or </w:t>
      </w:r>
      <w:r>
        <w:rPr>
          <w:spacing w:val="-3"/>
          <w:sz w:val="21"/>
        </w:rPr>
        <w:t>arrange </w:t>
      </w:r>
      <w:r>
        <w:rPr>
          <w:sz w:val="21"/>
        </w:rPr>
        <w:t>tree </w:t>
      </w:r>
      <w:r>
        <w:rPr>
          <w:spacing w:val="-5"/>
          <w:sz w:val="21"/>
        </w:rPr>
        <w:t>works.</w:t>
      </w:r>
      <w:r>
        <w:rPr>
          <w:spacing w:val="-5"/>
          <w:position w:val="7"/>
          <w:sz w:val="12"/>
        </w:rPr>
        <w:t>174</w:t>
      </w:r>
    </w:p>
    <w:p>
      <w:pPr>
        <w:pStyle w:val="ListParagraph"/>
        <w:numPr>
          <w:ilvl w:val="1"/>
          <w:numId w:val="16"/>
        </w:numPr>
        <w:tabs>
          <w:tab w:pos="2381" w:val="left" w:leader="none"/>
          <w:tab w:pos="2382" w:val="left" w:leader="none"/>
        </w:tabs>
        <w:spacing w:line="242" w:lineRule="auto" w:before="125" w:after="0"/>
        <w:ind w:left="2381" w:right="1680" w:hanging="794"/>
        <w:jc w:val="left"/>
        <w:rPr>
          <w:sz w:val="21"/>
        </w:rPr>
      </w:pPr>
      <w:r>
        <w:rPr>
          <w:sz w:val="21"/>
        </w:rPr>
        <w:t>Another </w:t>
      </w:r>
      <w:r>
        <w:rPr>
          <w:spacing w:val="-3"/>
          <w:sz w:val="21"/>
        </w:rPr>
        <w:t>criticism </w:t>
      </w:r>
      <w:r>
        <w:rPr>
          <w:sz w:val="21"/>
        </w:rPr>
        <w:t>is </w:t>
      </w:r>
      <w:r>
        <w:rPr>
          <w:spacing w:val="-3"/>
          <w:sz w:val="21"/>
        </w:rPr>
        <w:t>that abatement </w:t>
      </w:r>
      <w:r>
        <w:rPr>
          <w:sz w:val="21"/>
        </w:rPr>
        <w:t>is </w:t>
      </w:r>
      <w:r>
        <w:rPr>
          <w:spacing w:val="-2"/>
          <w:sz w:val="21"/>
        </w:rPr>
        <w:t>not </w:t>
      </w:r>
      <w:r>
        <w:rPr>
          <w:sz w:val="21"/>
        </w:rPr>
        <w:t>always practical </w:t>
      </w:r>
      <w:r>
        <w:rPr>
          <w:spacing w:val="-3"/>
          <w:sz w:val="21"/>
        </w:rPr>
        <w:t>such </w:t>
      </w:r>
      <w:r>
        <w:rPr>
          <w:sz w:val="21"/>
        </w:rPr>
        <w:t>as where the </w:t>
      </w:r>
      <w:r>
        <w:rPr>
          <w:spacing w:val="-3"/>
          <w:sz w:val="21"/>
        </w:rPr>
        <w:t>encroaching </w:t>
      </w:r>
      <w:r>
        <w:rPr>
          <w:sz w:val="21"/>
        </w:rPr>
        <w:t>tree is very large or where </w:t>
      </w:r>
      <w:r>
        <w:rPr>
          <w:spacing w:val="-3"/>
          <w:sz w:val="21"/>
        </w:rPr>
        <w:t>overhanging branches are many </w:t>
      </w:r>
      <w:r>
        <w:rPr>
          <w:sz w:val="21"/>
        </w:rPr>
        <w:t>metres above the </w:t>
      </w:r>
      <w:r>
        <w:rPr>
          <w:spacing w:val="-3"/>
          <w:sz w:val="21"/>
        </w:rPr>
        <w:t>ground, </w:t>
      </w:r>
      <w:r>
        <w:rPr>
          <w:sz w:val="21"/>
        </w:rPr>
        <w:t>possibly </w:t>
      </w:r>
      <w:r>
        <w:rPr>
          <w:spacing w:val="-3"/>
          <w:sz w:val="21"/>
        </w:rPr>
        <w:t>requiring </w:t>
      </w:r>
      <w:r>
        <w:rPr>
          <w:sz w:val="21"/>
        </w:rPr>
        <w:t>a cherry </w:t>
      </w:r>
      <w:r>
        <w:rPr>
          <w:spacing w:val="-7"/>
          <w:sz w:val="21"/>
        </w:rPr>
        <w:t>picker.</w:t>
      </w:r>
      <w:r>
        <w:rPr>
          <w:spacing w:val="-7"/>
          <w:position w:val="7"/>
          <w:sz w:val="12"/>
        </w:rPr>
        <w:t>175 </w:t>
      </w:r>
      <w:r>
        <w:rPr>
          <w:spacing w:val="-4"/>
          <w:sz w:val="21"/>
        </w:rPr>
        <w:t>Similarly, </w:t>
      </w:r>
      <w:r>
        <w:rPr>
          <w:spacing w:val="-3"/>
          <w:sz w:val="21"/>
        </w:rPr>
        <w:t>abatement may </w:t>
      </w:r>
      <w:r>
        <w:rPr>
          <w:sz w:val="21"/>
        </w:rPr>
        <w:t>be </w:t>
      </w:r>
      <w:r>
        <w:rPr>
          <w:spacing w:val="-3"/>
          <w:sz w:val="21"/>
        </w:rPr>
        <w:t>inappropriate to </w:t>
      </w:r>
      <w:r>
        <w:rPr>
          <w:sz w:val="21"/>
        </w:rPr>
        <w:t>use in confined spaces and </w:t>
      </w:r>
      <w:r>
        <w:rPr>
          <w:spacing w:val="-3"/>
          <w:sz w:val="21"/>
        </w:rPr>
        <w:t>narrow </w:t>
      </w:r>
      <w:r>
        <w:rPr>
          <w:sz w:val="21"/>
        </w:rPr>
        <w:t>side</w:t>
      </w:r>
      <w:r>
        <w:rPr>
          <w:spacing w:val="1"/>
          <w:sz w:val="21"/>
        </w:rPr>
        <w:t> </w:t>
      </w:r>
      <w:r>
        <w:rPr>
          <w:spacing w:val="-4"/>
          <w:sz w:val="21"/>
        </w:rPr>
        <w:t>streets.</w:t>
      </w:r>
      <w:r>
        <w:rPr>
          <w:spacing w:val="-4"/>
          <w:position w:val="7"/>
          <w:sz w:val="12"/>
        </w:rPr>
        <w:t>176</w:t>
      </w:r>
    </w:p>
    <w:p>
      <w:pPr>
        <w:pStyle w:val="ListParagraph"/>
        <w:numPr>
          <w:ilvl w:val="1"/>
          <w:numId w:val="16"/>
        </w:numPr>
        <w:tabs>
          <w:tab w:pos="2380" w:val="left" w:leader="none"/>
          <w:tab w:pos="2381" w:val="left" w:leader="none"/>
        </w:tabs>
        <w:spacing w:line="242" w:lineRule="auto" w:before="124" w:after="0"/>
        <w:ind w:left="2381" w:right="1829" w:hanging="794"/>
        <w:jc w:val="left"/>
        <w:rPr>
          <w:sz w:val="21"/>
        </w:rPr>
      </w:pPr>
      <w:r>
        <w:rPr>
          <w:w w:val="105"/>
          <w:sz w:val="21"/>
        </w:rPr>
        <w:t>The cutting of </w:t>
      </w:r>
      <w:r>
        <w:rPr>
          <w:spacing w:val="-3"/>
          <w:w w:val="105"/>
          <w:sz w:val="21"/>
        </w:rPr>
        <w:t>encroaching </w:t>
      </w:r>
      <w:r>
        <w:rPr>
          <w:w w:val="105"/>
          <w:sz w:val="21"/>
        </w:rPr>
        <w:t>roots or </w:t>
      </w:r>
      <w:r>
        <w:rPr>
          <w:spacing w:val="-3"/>
          <w:w w:val="105"/>
          <w:sz w:val="21"/>
        </w:rPr>
        <w:t>pruning </w:t>
      </w:r>
      <w:r>
        <w:rPr>
          <w:w w:val="105"/>
          <w:sz w:val="21"/>
        </w:rPr>
        <w:t>of </w:t>
      </w:r>
      <w:r>
        <w:rPr>
          <w:spacing w:val="-3"/>
          <w:w w:val="105"/>
          <w:sz w:val="21"/>
        </w:rPr>
        <w:t>overhanging branches may </w:t>
      </w:r>
      <w:r>
        <w:rPr>
          <w:w w:val="105"/>
          <w:sz w:val="21"/>
        </w:rPr>
        <w:t>also </w:t>
      </w:r>
      <w:r>
        <w:rPr>
          <w:spacing w:val="-3"/>
          <w:w w:val="105"/>
          <w:sz w:val="21"/>
        </w:rPr>
        <w:t>require </w:t>
      </w:r>
      <w:r>
        <w:rPr>
          <w:w w:val="105"/>
          <w:sz w:val="21"/>
        </w:rPr>
        <w:t>the</w:t>
      </w:r>
      <w:r>
        <w:rPr>
          <w:spacing w:val="-4"/>
          <w:w w:val="105"/>
          <w:sz w:val="21"/>
        </w:rPr>
        <w:t> </w:t>
      </w:r>
      <w:r>
        <w:rPr>
          <w:w w:val="105"/>
          <w:sz w:val="21"/>
        </w:rPr>
        <w:t>expertise</w:t>
      </w:r>
      <w:r>
        <w:rPr>
          <w:spacing w:val="-4"/>
          <w:w w:val="105"/>
          <w:sz w:val="21"/>
        </w:rPr>
        <w:t> </w:t>
      </w:r>
      <w:r>
        <w:rPr>
          <w:w w:val="105"/>
          <w:sz w:val="21"/>
        </w:rPr>
        <w:t>of</w:t>
      </w:r>
      <w:r>
        <w:rPr>
          <w:spacing w:val="-3"/>
          <w:w w:val="105"/>
          <w:sz w:val="21"/>
        </w:rPr>
        <w:t> </w:t>
      </w:r>
      <w:r>
        <w:rPr>
          <w:w w:val="105"/>
          <w:sz w:val="21"/>
        </w:rPr>
        <w:t>an</w:t>
      </w:r>
      <w:r>
        <w:rPr>
          <w:spacing w:val="-4"/>
          <w:w w:val="105"/>
          <w:sz w:val="21"/>
        </w:rPr>
        <w:t> </w:t>
      </w:r>
      <w:r>
        <w:rPr>
          <w:w w:val="105"/>
          <w:sz w:val="21"/>
        </w:rPr>
        <w:t>arborist,</w:t>
      </w:r>
      <w:r>
        <w:rPr>
          <w:spacing w:val="-3"/>
          <w:w w:val="105"/>
          <w:sz w:val="21"/>
        </w:rPr>
        <w:t> </w:t>
      </w:r>
      <w:r>
        <w:rPr>
          <w:w w:val="105"/>
          <w:sz w:val="21"/>
        </w:rPr>
        <w:t>which</w:t>
      </w:r>
      <w:r>
        <w:rPr>
          <w:spacing w:val="-4"/>
          <w:w w:val="105"/>
          <w:sz w:val="21"/>
        </w:rPr>
        <w:t> </w:t>
      </w:r>
      <w:r>
        <w:rPr>
          <w:w w:val="105"/>
          <w:sz w:val="21"/>
        </w:rPr>
        <w:t>can</w:t>
      </w:r>
      <w:r>
        <w:rPr>
          <w:spacing w:val="-3"/>
          <w:w w:val="105"/>
          <w:sz w:val="21"/>
        </w:rPr>
        <w:t> </w:t>
      </w:r>
      <w:r>
        <w:rPr>
          <w:w w:val="105"/>
          <w:sz w:val="21"/>
        </w:rPr>
        <w:t>be</w:t>
      </w:r>
      <w:r>
        <w:rPr>
          <w:spacing w:val="-4"/>
          <w:w w:val="105"/>
          <w:sz w:val="21"/>
        </w:rPr>
        <w:t> </w:t>
      </w:r>
      <w:r>
        <w:rPr>
          <w:w w:val="105"/>
          <w:sz w:val="21"/>
        </w:rPr>
        <w:t>a</w:t>
      </w:r>
      <w:r>
        <w:rPr>
          <w:spacing w:val="-3"/>
          <w:w w:val="105"/>
          <w:sz w:val="21"/>
        </w:rPr>
        <w:t> significant</w:t>
      </w:r>
      <w:r>
        <w:rPr>
          <w:spacing w:val="-4"/>
          <w:w w:val="105"/>
          <w:sz w:val="21"/>
        </w:rPr>
        <w:t> </w:t>
      </w:r>
      <w:r>
        <w:rPr>
          <w:w w:val="105"/>
          <w:sz w:val="21"/>
        </w:rPr>
        <w:t>cost</w:t>
      </w:r>
      <w:r>
        <w:rPr>
          <w:spacing w:val="-3"/>
          <w:w w:val="105"/>
          <w:sz w:val="21"/>
        </w:rPr>
        <w:t> that</w:t>
      </w:r>
      <w:r>
        <w:rPr>
          <w:spacing w:val="-4"/>
          <w:w w:val="105"/>
          <w:sz w:val="21"/>
        </w:rPr>
        <w:t> </w:t>
      </w:r>
      <w:r>
        <w:rPr>
          <w:w w:val="105"/>
          <w:sz w:val="21"/>
        </w:rPr>
        <w:t>the</w:t>
      </w:r>
      <w:r>
        <w:rPr>
          <w:spacing w:val="-3"/>
          <w:w w:val="105"/>
          <w:sz w:val="21"/>
        </w:rPr>
        <w:t> </w:t>
      </w:r>
      <w:r>
        <w:rPr>
          <w:w w:val="105"/>
          <w:sz w:val="21"/>
        </w:rPr>
        <w:t>affected</w:t>
      </w:r>
      <w:r>
        <w:rPr>
          <w:spacing w:val="-4"/>
          <w:w w:val="105"/>
          <w:sz w:val="21"/>
        </w:rPr>
        <w:t> </w:t>
      </w:r>
      <w:r>
        <w:rPr>
          <w:spacing w:val="-3"/>
          <w:w w:val="105"/>
          <w:sz w:val="21"/>
        </w:rPr>
        <w:t>neighbour may</w:t>
      </w:r>
      <w:r>
        <w:rPr>
          <w:spacing w:val="4"/>
          <w:w w:val="105"/>
          <w:sz w:val="21"/>
        </w:rPr>
        <w:t> </w:t>
      </w:r>
      <w:r>
        <w:rPr>
          <w:w w:val="105"/>
          <w:sz w:val="21"/>
        </w:rPr>
        <w:t>be</w:t>
      </w:r>
      <w:r>
        <w:rPr>
          <w:spacing w:val="4"/>
          <w:w w:val="105"/>
          <w:sz w:val="21"/>
        </w:rPr>
        <w:t> </w:t>
      </w:r>
      <w:r>
        <w:rPr>
          <w:spacing w:val="-3"/>
          <w:w w:val="105"/>
          <w:sz w:val="21"/>
        </w:rPr>
        <w:t>unable</w:t>
      </w:r>
      <w:r>
        <w:rPr>
          <w:spacing w:val="5"/>
          <w:w w:val="105"/>
          <w:sz w:val="21"/>
        </w:rPr>
        <w:t> </w:t>
      </w:r>
      <w:r>
        <w:rPr>
          <w:spacing w:val="-3"/>
          <w:w w:val="105"/>
          <w:sz w:val="21"/>
        </w:rPr>
        <w:t>to</w:t>
      </w:r>
      <w:r>
        <w:rPr>
          <w:spacing w:val="4"/>
          <w:w w:val="105"/>
          <w:sz w:val="21"/>
        </w:rPr>
        <w:t> </w:t>
      </w:r>
      <w:r>
        <w:rPr>
          <w:spacing w:val="-3"/>
          <w:w w:val="105"/>
          <w:sz w:val="21"/>
        </w:rPr>
        <w:t>fund</w:t>
      </w:r>
      <w:r>
        <w:rPr>
          <w:spacing w:val="4"/>
          <w:w w:val="105"/>
          <w:sz w:val="21"/>
        </w:rPr>
        <w:t> </w:t>
      </w:r>
      <w:r>
        <w:rPr>
          <w:w w:val="105"/>
          <w:sz w:val="21"/>
        </w:rPr>
        <w:t>and</w:t>
      </w:r>
      <w:r>
        <w:rPr>
          <w:spacing w:val="5"/>
          <w:w w:val="105"/>
          <w:sz w:val="21"/>
        </w:rPr>
        <w:t> </w:t>
      </w:r>
      <w:r>
        <w:rPr>
          <w:spacing w:val="-2"/>
          <w:w w:val="105"/>
          <w:sz w:val="21"/>
        </w:rPr>
        <w:t>has</w:t>
      </w:r>
      <w:r>
        <w:rPr>
          <w:spacing w:val="4"/>
          <w:w w:val="105"/>
          <w:sz w:val="21"/>
        </w:rPr>
        <w:t> </w:t>
      </w:r>
      <w:r>
        <w:rPr>
          <w:w w:val="105"/>
          <w:sz w:val="21"/>
        </w:rPr>
        <w:t>no</w:t>
      </w:r>
      <w:r>
        <w:rPr>
          <w:spacing w:val="4"/>
          <w:w w:val="105"/>
          <w:sz w:val="21"/>
        </w:rPr>
        <w:t> </w:t>
      </w:r>
      <w:r>
        <w:rPr>
          <w:spacing w:val="-3"/>
          <w:w w:val="105"/>
          <w:sz w:val="21"/>
        </w:rPr>
        <w:t>right</w:t>
      </w:r>
      <w:r>
        <w:rPr>
          <w:spacing w:val="5"/>
          <w:w w:val="105"/>
          <w:sz w:val="21"/>
        </w:rPr>
        <w:t> </w:t>
      </w:r>
      <w:r>
        <w:rPr>
          <w:spacing w:val="-3"/>
          <w:w w:val="105"/>
          <w:sz w:val="21"/>
        </w:rPr>
        <w:t>to</w:t>
      </w:r>
      <w:r>
        <w:rPr>
          <w:spacing w:val="4"/>
          <w:w w:val="105"/>
          <w:sz w:val="21"/>
        </w:rPr>
        <w:t> </w:t>
      </w:r>
      <w:r>
        <w:rPr>
          <w:spacing w:val="-3"/>
          <w:w w:val="105"/>
          <w:sz w:val="21"/>
        </w:rPr>
        <w:t>recoup</w:t>
      </w:r>
      <w:r>
        <w:rPr>
          <w:spacing w:val="4"/>
          <w:w w:val="105"/>
          <w:sz w:val="21"/>
        </w:rPr>
        <w:t> </w:t>
      </w:r>
      <w:r>
        <w:rPr>
          <w:spacing w:val="-3"/>
          <w:w w:val="105"/>
          <w:sz w:val="21"/>
        </w:rPr>
        <w:t>from</w:t>
      </w:r>
      <w:r>
        <w:rPr>
          <w:spacing w:val="5"/>
          <w:w w:val="105"/>
          <w:sz w:val="21"/>
        </w:rPr>
        <w:t> </w:t>
      </w:r>
      <w:r>
        <w:rPr>
          <w:w w:val="105"/>
          <w:sz w:val="21"/>
        </w:rPr>
        <w:t>the</w:t>
      </w:r>
      <w:r>
        <w:rPr>
          <w:spacing w:val="4"/>
          <w:w w:val="105"/>
          <w:sz w:val="21"/>
        </w:rPr>
        <w:t> </w:t>
      </w:r>
      <w:r>
        <w:rPr>
          <w:w w:val="105"/>
          <w:sz w:val="21"/>
        </w:rPr>
        <w:t>tree</w:t>
      </w:r>
      <w:r>
        <w:rPr>
          <w:spacing w:val="4"/>
          <w:w w:val="105"/>
          <w:sz w:val="21"/>
        </w:rPr>
        <w:t> </w:t>
      </w:r>
      <w:r>
        <w:rPr>
          <w:spacing w:val="-6"/>
          <w:w w:val="105"/>
          <w:sz w:val="21"/>
        </w:rPr>
        <w:t>owner.</w:t>
      </w:r>
      <w:r>
        <w:rPr>
          <w:spacing w:val="-6"/>
          <w:w w:val="105"/>
          <w:position w:val="7"/>
          <w:sz w:val="12"/>
        </w:rPr>
        <w:t>177</w:t>
      </w:r>
    </w:p>
    <w:p>
      <w:pPr>
        <w:pStyle w:val="ListParagraph"/>
        <w:numPr>
          <w:ilvl w:val="1"/>
          <w:numId w:val="16"/>
        </w:numPr>
        <w:tabs>
          <w:tab w:pos="2380" w:val="left" w:leader="none"/>
          <w:tab w:pos="2382" w:val="left" w:leader="none"/>
        </w:tabs>
        <w:spacing w:line="242" w:lineRule="auto" w:before="124" w:after="0"/>
        <w:ind w:left="2381" w:right="1778" w:hanging="794"/>
        <w:jc w:val="left"/>
        <w:rPr>
          <w:sz w:val="21"/>
        </w:rPr>
      </w:pPr>
      <w:r>
        <w:rPr>
          <w:w w:val="105"/>
          <w:sz w:val="21"/>
        </w:rPr>
        <w:t>Some arborists </w:t>
      </w:r>
      <w:r>
        <w:rPr>
          <w:spacing w:val="-3"/>
          <w:w w:val="105"/>
          <w:sz w:val="21"/>
        </w:rPr>
        <w:t>noted that </w:t>
      </w:r>
      <w:r>
        <w:rPr>
          <w:w w:val="105"/>
          <w:sz w:val="21"/>
        </w:rPr>
        <w:t>when they </w:t>
      </w:r>
      <w:r>
        <w:rPr>
          <w:spacing w:val="-3"/>
          <w:w w:val="105"/>
          <w:sz w:val="21"/>
        </w:rPr>
        <w:t>are </w:t>
      </w:r>
      <w:r>
        <w:rPr>
          <w:w w:val="105"/>
          <w:sz w:val="21"/>
        </w:rPr>
        <w:t>engaged by an affected </w:t>
      </w:r>
      <w:r>
        <w:rPr>
          <w:spacing w:val="-3"/>
          <w:w w:val="105"/>
          <w:sz w:val="21"/>
        </w:rPr>
        <w:t>neighbour to </w:t>
      </w:r>
      <w:r>
        <w:rPr>
          <w:w w:val="105"/>
          <w:sz w:val="21"/>
        </w:rPr>
        <w:t>perform an assessment of a </w:t>
      </w:r>
      <w:r>
        <w:rPr>
          <w:spacing w:val="-3"/>
          <w:w w:val="105"/>
          <w:sz w:val="21"/>
        </w:rPr>
        <w:t>neighbouring tree, </w:t>
      </w:r>
      <w:r>
        <w:rPr>
          <w:w w:val="105"/>
          <w:sz w:val="21"/>
        </w:rPr>
        <w:t>they </w:t>
      </w:r>
      <w:r>
        <w:rPr>
          <w:spacing w:val="-3"/>
          <w:w w:val="105"/>
          <w:sz w:val="21"/>
        </w:rPr>
        <w:t>are </w:t>
      </w:r>
      <w:r>
        <w:rPr>
          <w:w w:val="105"/>
          <w:sz w:val="21"/>
        </w:rPr>
        <w:t>often </w:t>
      </w:r>
      <w:r>
        <w:rPr>
          <w:spacing w:val="-3"/>
          <w:w w:val="105"/>
          <w:sz w:val="21"/>
        </w:rPr>
        <w:t>unable to complete </w:t>
      </w:r>
      <w:r>
        <w:rPr>
          <w:w w:val="105"/>
          <w:sz w:val="21"/>
        </w:rPr>
        <w:t>a </w:t>
      </w:r>
      <w:r>
        <w:rPr>
          <w:spacing w:val="-3"/>
          <w:w w:val="105"/>
          <w:sz w:val="21"/>
        </w:rPr>
        <w:t>thorough </w:t>
      </w:r>
      <w:r>
        <w:rPr>
          <w:w w:val="105"/>
          <w:sz w:val="21"/>
        </w:rPr>
        <w:t>assessment because they </w:t>
      </w:r>
      <w:r>
        <w:rPr>
          <w:spacing w:val="-3"/>
          <w:w w:val="105"/>
          <w:sz w:val="21"/>
        </w:rPr>
        <w:t>are prevented from </w:t>
      </w:r>
      <w:r>
        <w:rPr>
          <w:w w:val="105"/>
          <w:sz w:val="21"/>
        </w:rPr>
        <w:t>viewing the tree </w:t>
      </w:r>
      <w:r>
        <w:rPr>
          <w:spacing w:val="-3"/>
          <w:w w:val="105"/>
          <w:sz w:val="21"/>
        </w:rPr>
        <w:t>from all </w:t>
      </w:r>
      <w:r>
        <w:rPr>
          <w:w w:val="105"/>
          <w:sz w:val="21"/>
        </w:rPr>
        <w:t>angles without permission </w:t>
      </w:r>
      <w:r>
        <w:rPr>
          <w:spacing w:val="-3"/>
          <w:w w:val="105"/>
          <w:sz w:val="21"/>
        </w:rPr>
        <w:t>to enter </w:t>
      </w:r>
      <w:r>
        <w:rPr>
          <w:w w:val="105"/>
          <w:sz w:val="21"/>
        </w:rPr>
        <w:t>the tree </w:t>
      </w:r>
      <w:r>
        <w:rPr>
          <w:spacing w:val="-3"/>
          <w:w w:val="105"/>
          <w:sz w:val="21"/>
        </w:rPr>
        <w:t>owner’s</w:t>
      </w:r>
      <w:r>
        <w:rPr>
          <w:spacing w:val="32"/>
          <w:w w:val="105"/>
          <w:sz w:val="21"/>
        </w:rPr>
        <w:t> </w:t>
      </w:r>
      <w:r>
        <w:rPr>
          <w:spacing w:val="-5"/>
          <w:w w:val="105"/>
          <w:sz w:val="21"/>
        </w:rPr>
        <w:t>land.</w:t>
      </w:r>
      <w:r>
        <w:rPr>
          <w:spacing w:val="-5"/>
          <w:w w:val="105"/>
          <w:position w:val="7"/>
          <w:sz w:val="12"/>
        </w:rPr>
        <w:t>178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r>
        <w:rPr/>
        <w:pict>
          <v:line style="position:absolute;mso-position-horizontal-relative:page;mso-position-vertical-relative:paragraph;z-index:1616;mso-wrap-distance-left:0;mso-wrap-distance-right:0" from="79.370102pt,17.744881pt" to="515.905102pt,17.744881pt" stroked="true" strokeweight="1pt" strokecolor="#c9d2cb">
            <v:stroke dashstyle="solid"/>
            <w10:wrap type="topAndBottom"/>
          </v:line>
        </w:pict>
      </w:r>
    </w:p>
    <w:p>
      <w:pPr>
        <w:pStyle w:val="ListParagraph"/>
        <w:numPr>
          <w:ilvl w:val="0"/>
          <w:numId w:val="31"/>
        </w:numPr>
        <w:tabs>
          <w:tab w:pos="2380" w:val="left" w:leader="none"/>
          <w:tab w:pos="2382" w:val="left" w:leader="none"/>
        </w:tabs>
        <w:spacing w:line="240" w:lineRule="auto" w:before="117" w:after="0"/>
        <w:ind w:left="2381" w:right="1969" w:hanging="794"/>
        <w:jc w:val="left"/>
        <w:rPr>
          <w:sz w:val="13"/>
        </w:rPr>
      </w:pPr>
      <w:r>
        <w:rPr>
          <w:spacing w:val="2"/>
          <w:w w:val="105"/>
          <w:sz w:val="13"/>
        </w:rPr>
        <w:t>30% </w:t>
      </w:r>
      <w:r>
        <w:rPr>
          <w:w w:val="105"/>
          <w:sz w:val="13"/>
        </w:rPr>
        <w:t>of survey respondents reported that they achieved a partial resolution: Victorian Law Reform Commission, </w:t>
      </w:r>
      <w:r>
        <w:rPr>
          <w:i/>
          <w:w w:val="105"/>
          <w:sz w:val="13"/>
        </w:rPr>
        <w:t>Neighbourhood Tree </w:t>
      </w:r>
      <w:r>
        <w:rPr>
          <w:i/>
          <w:w w:val="105"/>
          <w:sz w:val="13"/>
        </w:rPr>
        <w:t>Disputes Survey</w:t>
      </w:r>
      <w:r>
        <w:rPr>
          <w:i/>
          <w:spacing w:val="9"/>
          <w:w w:val="105"/>
          <w:sz w:val="13"/>
        </w:rPr>
        <w:t> </w:t>
      </w:r>
      <w:r>
        <w:rPr>
          <w:w w:val="105"/>
          <w:sz w:val="13"/>
        </w:rPr>
        <w:t>(2018).</w:t>
      </w:r>
    </w:p>
    <w:p>
      <w:pPr>
        <w:pStyle w:val="ListParagraph"/>
        <w:numPr>
          <w:ilvl w:val="0"/>
          <w:numId w:val="31"/>
        </w:numPr>
        <w:tabs>
          <w:tab w:pos="2380" w:val="left" w:leader="none"/>
          <w:tab w:pos="2381" w:val="left" w:leader="none"/>
        </w:tabs>
        <w:spacing w:line="240" w:lineRule="auto" w:before="3" w:after="0"/>
        <w:ind w:left="2380" w:right="0" w:hanging="793"/>
        <w:jc w:val="left"/>
        <w:rPr>
          <w:sz w:val="13"/>
        </w:rPr>
      </w:pPr>
      <w:r>
        <w:rPr>
          <w:w w:val="105"/>
          <w:sz w:val="13"/>
        </w:rPr>
        <w:t>Consultation 1 (Aldo Taranto); Survey Respondents </w:t>
      </w:r>
      <w:r>
        <w:rPr>
          <w:spacing w:val="-6"/>
          <w:w w:val="105"/>
          <w:sz w:val="13"/>
        </w:rPr>
        <w:t>17, </w:t>
      </w:r>
      <w:r>
        <w:rPr>
          <w:spacing w:val="-3"/>
          <w:w w:val="105"/>
          <w:sz w:val="13"/>
        </w:rPr>
        <w:t>31, </w:t>
      </w:r>
      <w:r>
        <w:rPr>
          <w:spacing w:val="-4"/>
          <w:w w:val="105"/>
          <w:sz w:val="13"/>
        </w:rPr>
        <w:t>61, </w:t>
      </w:r>
      <w:r>
        <w:rPr>
          <w:w w:val="105"/>
          <w:sz w:val="13"/>
        </w:rPr>
        <w:t>74,</w:t>
      </w:r>
      <w:r>
        <w:rPr>
          <w:spacing w:val="10"/>
          <w:w w:val="105"/>
          <w:sz w:val="13"/>
        </w:rPr>
        <w:t> </w:t>
      </w:r>
      <w:r>
        <w:rPr>
          <w:w w:val="105"/>
          <w:sz w:val="13"/>
        </w:rPr>
        <w:t>106.</w:t>
      </w:r>
    </w:p>
    <w:p>
      <w:pPr>
        <w:pStyle w:val="ListParagraph"/>
        <w:numPr>
          <w:ilvl w:val="0"/>
          <w:numId w:val="31"/>
        </w:numPr>
        <w:tabs>
          <w:tab w:pos="2380" w:val="left" w:leader="none"/>
          <w:tab w:pos="2381" w:val="left" w:leader="none"/>
        </w:tabs>
        <w:spacing w:line="240" w:lineRule="auto" w:before="1" w:after="0"/>
        <w:ind w:left="2380" w:right="1757" w:hanging="793"/>
        <w:jc w:val="left"/>
        <w:rPr>
          <w:sz w:val="13"/>
        </w:rPr>
      </w:pPr>
      <w:r>
        <w:rPr>
          <w:w w:val="105"/>
          <w:sz w:val="13"/>
        </w:rPr>
        <w:t>Submissions 2 </w:t>
      </w:r>
      <w:r>
        <w:rPr>
          <w:spacing w:val="2"/>
          <w:w w:val="105"/>
          <w:sz w:val="13"/>
        </w:rPr>
        <w:t>(Name </w:t>
      </w:r>
      <w:r>
        <w:rPr>
          <w:w w:val="105"/>
          <w:sz w:val="13"/>
        </w:rPr>
        <w:t>withheld), 4 </w:t>
      </w:r>
      <w:r>
        <w:rPr>
          <w:spacing w:val="2"/>
          <w:w w:val="105"/>
          <w:sz w:val="13"/>
        </w:rPr>
        <w:t>(Name </w:t>
      </w:r>
      <w:r>
        <w:rPr>
          <w:w w:val="105"/>
          <w:sz w:val="13"/>
        </w:rPr>
        <w:t>withheld), 5 </w:t>
      </w:r>
      <w:r>
        <w:rPr>
          <w:spacing w:val="2"/>
          <w:w w:val="105"/>
          <w:sz w:val="13"/>
        </w:rPr>
        <w:t>(Name </w:t>
      </w:r>
      <w:r>
        <w:rPr>
          <w:w w:val="105"/>
          <w:sz w:val="13"/>
        </w:rPr>
        <w:t>withheld), 6 </w:t>
      </w:r>
      <w:r>
        <w:rPr>
          <w:spacing w:val="2"/>
          <w:w w:val="105"/>
          <w:sz w:val="13"/>
        </w:rPr>
        <w:t>(Name </w:t>
      </w:r>
      <w:r>
        <w:rPr>
          <w:w w:val="105"/>
          <w:sz w:val="13"/>
        </w:rPr>
        <w:t>withheld), 9 </w:t>
      </w:r>
      <w:r>
        <w:rPr>
          <w:spacing w:val="3"/>
          <w:w w:val="105"/>
          <w:sz w:val="13"/>
        </w:rPr>
        <w:t>(Dr </w:t>
      </w:r>
      <w:r>
        <w:rPr>
          <w:w w:val="105"/>
          <w:sz w:val="13"/>
        </w:rPr>
        <w:t>Karen Smith), 21 (Pointon Partner </w:t>
      </w:r>
      <w:r>
        <w:rPr>
          <w:spacing w:val="2"/>
          <w:w w:val="105"/>
          <w:sz w:val="13"/>
        </w:rPr>
        <w:t>Lawyers), </w:t>
      </w:r>
      <w:r>
        <w:rPr>
          <w:w w:val="105"/>
          <w:sz w:val="13"/>
        </w:rPr>
        <w:t>22 </w:t>
      </w:r>
      <w:r>
        <w:rPr>
          <w:spacing w:val="2"/>
          <w:w w:val="105"/>
          <w:sz w:val="13"/>
        </w:rPr>
        <w:t>(Name </w:t>
      </w:r>
      <w:r>
        <w:rPr>
          <w:w w:val="105"/>
          <w:sz w:val="13"/>
        </w:rPr>
        <w:t>withheld), 23 </w:t>
      </w:r>
      <w:r>
        <w:rPr>
          <w:spacing w:val="2"/>
          <w:w w:val="105"/>
          <w:sz w:val="13"/>
        </w:rPr>
        <w:t>(Name </w:t>
      </w:r>
      <w:r>
        <w:rPr>
          <w:w w:val="105"/>
          <w:sz w:val="13"/>
        </w:rPr>
        <w:t>withheld), 24 </w:t>
      </w:r>
      <w:r>
        <w:rPr>
          <w:spacing w:val="2"/>
          <w:w w:val="105"/>
          <w:sz w:val="13"/>
        </w:rPr>
        <w:t>(Name </w:t>
      </w:r>
      <w:r>
        <w:rPr>
          <w:w w:val="105"/>
          <w:sz w:val="13"/>
        </w:rPr>
        <w:t>withheld), 27 </w:t>
      </w:r>
      <w:r>
        <w:rPr>
          <w:spacing w:val="2"/>
          <w:w w:val="105"/>
          <w:sz w:val="13"/>
        </w:rPr>
        <w:t>(Name </w:t>
      </w:r>
      <w:r>
        <w:rPr>
          <w:w w:val="105"/>
          <w:sz w:val="13"/>
        </w:rPr>
        <w:t>withheld), 30 </w:t>
      </w:r>
      <w:r>
        <w:rPr>
          <w:spacing w:val="3"/>
          <w:w w:val="105"/>
          <w:sz w:val="13"/>
        </w:rPr>
        <w:t>(Law </w:t>
      </w:r>
      <w:r>
        <w:rPr>
          <w:w w:val="105"/>
          <w:sz w:val="13"/>
        </w:rPr>
        <w:t>Institute of </w:t>
      </w:r>
      <w:r>
        <w:rPr>
          <w:spacing w:val="2"/>
          <w:w w:val="105"/>
          <w:sz w:val="13"/>
        </w:rPr>
        <w:t>Victoria), </w:t>
      </w:r>
      <w:r>
        <w:rPr>
          <w:w w:val="105"/>
          <w:sz w:val="13"/>
        </w:rPr>
        <w:t>31 </w:t>
      </w:r>
      <w:r>
        <w:rPr>
          <w:spacing w:val="2"/>
          <w:w w:val="105"/>
          <w:sz w:val="13"/>
        </w:rPr>
        <w:t>(Barwon </w:t>
      </w:r>
      <w:r>
        <w:rPr>
          <w:w w:val="105"/>
          <w:sz w:val="13"/>
        </w:rPr>
        <w:t>Community Legal </w:t>
      </w:r>
      <w:r>
        <w:rPr>
          <w:spacing w:val="2"/>
          <w:w w:val="105"/>
          <w:sz w:val="13"/>
        </w:rPr>
        <w:t>Service), </w:t>
      </w:r>
      <w:r>
        <w:rPr>
          <w:w w:val="105"/>
          <w:sz w:val="13"/>
        </w:rPr>
        <w:t>34 (Allan Day), 36 (Monique Onezime), 38 </w:t>
      </w:r>
      <w:r>
        <w:rPr>
          <w:spacing w:val="3"/>
          <w:w w:val="105"/>
          <w:sz w:val="13"/>
        </w:rPr>
        <w:t>(L. </w:t>
      </w:r>
      <w:r>
        <w:rPr>
          <w:spacing w:val="2"/>
          <w:w w:val="105"/>
          <w:sz w:val="13"/>
        </w:rPr>
        <w:t>Barry </w:t>
      </w:r>
      <w:r>
        <w:rPr>
          <w:w w:val="105"/>
          <w:sz w:val="13"/>
        </w:rPr>
        <w:t>Wollmer); Consultations 1 (Aldo Taranto), 3 </w:t>
      </w:r>
      <w:r>
        <w:rPr>
          <w:spacing w:val="3"/>
          <w:w w:val="105"/>
          <w:sz w:val="13"/>
        </w:rPr>
        <w:t>(HVP </w:t>
      </w:r>
      <w:r>
        <w:rPr>
          <w:w w:val="105"/>
          <w:sz w:val="13"/>
        </w:rPr>
        <w:t>Plantations),</w:t>
      </w:r>
      <w:r>
        <w:rPr>
          <w:spacing w:val="5"/>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5"/>
          <w:w w:val="105"/>
          <w:sz w:val="13"/>
        </w:rPr>
        <w:t> </w:t>
      </w:r>
      <w:r>
        <w:rPr>
          <w:w w:val="105"/>
          <w:sz w:val="13"/>
        </w:rPr>
        <w:t>at</w:t>
      </w:r>
      <w:r>
        <w:rPr>
          <w:spacing w:val="6"/>
          <w:w w:val="105"/>
          <w:sz w:val="13"/>
        </w:rPr>
        <w:t> </w:t>
      </w:r>
      <w:r>
        <w:rPr>
          <w:spacing w:val="4"/>
          <w:w w:val="105"/>
          <w:sz w:val="13"/>
        </w:rPr>
        <w:t>VTIO</w:t>
      </w:r>
      <w:r>
        <w:rPr>
          <w:spacing w:val="5"/>
          <w:w w:val="105"/>
          <w:sz w:val="13"/>
        </w:rPr>
        <w:t> </w:t>
      </w:r>
      <w:r>
        <w:rPr>
          <w:w w:val="105"/>
          <w:sz w:val="13"/>
        </w:rPr>
        <w:t>ArborCamp2018);</w:t>
      </w:r>
      <w:r>
        <w:rPr>
          <w:spacing w:val="5"/>
          <w:w w:val="105"/>
          <w:sz w:val="13"/>
        </w:rPr>
        <w:t> </w:t>
      </w:r>
      <w:r>
        <w:rPr>
          <w:w w:val="105"/>
          <w:sz w:val="13"/>
        </w:rPr>
        <w:t>Survey</w:t>
      </w:r>
      <w:r>
        <w:rPr>
          <w:spacing w:val="5"/>
          <w:w w:val="105"/>
          <w:sz w:val="13"/>
        </w:rPr>
        <w:t> </w:t>
      </w:r>
      <w:r>
        <w:rPr>
          <w:w w:val="105"/>
          <w:sz w:val="13"/>
        </w:rPr>
        <w:t>Respondent</w:t>
      </w:r>
      <w:r>
        <w:rPr>
          <w:spacing w:val="5"/>
          <w:w w:val="105"/>
          <w:sz w:val="13"/>
        </w:rPr>
        <w:t> </w:t>
      </w:r>
      <w:r>
        <w:rPr>
          <w:w w:val="105"/>
          <w:sz w:val="13"/>
        </w:rPr>
        <w:t>99.</w:t>
      </w:r>
    </w:p>
    <w:p>
      <w:pPr>
        <w:pStyle w:val="ListParagraph"/>
        <w:numPr>
          <w:ilvl w:val="0"/>
          <w:numId w:val="31"/>
        </w:numPr>
        <w:tabs>
          <w:tab w:pos="2380" w:val="left" w:leader="none"/>
          <w:tab w:pos="2381" w:val="left" w:leader="none"/>
        </w:tabs>
        <w:spacing w:line="240" w:lineRule="auto" w:before="5" w:after="0"/>
        <w:ind w:left="2380" w:right="0" w:hanging="793"/>
        <w:jc w:val="left"/>
        <w:rPr>
          <w:sz w:val="13"/>
        </w:rPr>
      </w:pPr>
      <w:r>
        <w:rPr>
          <w:w w:val="105"/>
          <w:sz w:val="13"/>
        </w:rPr>
        <w:t>Submission 38 </w:t>
      </w:r>
      <w:r>
        <w:rPr>
          <w:spacing w:val="3"/>
          <w:w w:val="105"/>
          <w:sz w:val="13"/>
        </w:rPr>
        <w:t>(L. </w:t>
      </w:r>
      <w:r>
        <w:rPr>
          <w:spacing w:val="2"/>
          <w:w w:val="105"/>
          <w:sz w:val="13"/>
        </w:rPr>
        <w:t>Barry</w:t>
      </w:r>
      <w:r>
        <w:rPr>
          <w:spacing w:val="14"/>
          <w:w w:val="105"/>
          <w:sz w:val="13"/>
        </w:rPr>
        <w:t> </w:t>
      </w:r>
      <w:r>
        <w:rPr>
          <w:w w:val="105"/>
          <w:sz w:val="13"/>
        </w:rPr>
        <w:t>Wollmer).</w:t>
      </w:r>
    </w:p>
    <w:p>
      <w:pPr>
        <w:pStyle w:val="ListParagraph"/>
        <w:numPr>
          <w:ilvl w:val="0"/>
          <w:numId w:val="31"/>
        </w:numPr>
        <w:tabs>
          <w:tab w:pos="2380" w:val="left" w:leader="none"/>
          <w:tab w:pos="2382" w:val="left" w:leader="none"/>
        </w:tabs>
        <w:spacing w:line="240" w:lineRule="auto" w:before="2" w:after="0"/>
        <w:ind w:left="2381" w:right="0" w:hanging="794"/>
        <w:jc w:val="left"/>
        <w:rPr>
          <w:sz w:val="13"/>
        </w:rPr>
      </w:pPr>
      <w:r>
        <w:rPr>
          <w:w w:val="105"/>
          <w:sz w:val="13"/>
        </w:rPr>
        <w:t>Submission 7 </w:t>
      </w:r>
      <w:r>
        <w:rPr>
          <w:spacing w:val="2"/>
          <w:w w:val="105"/>
          <w:sz w:val="13"/>
        </w:rPr>
        <w:t>(Ben </w:t>
      </w:r>
      <w:r>
        <w:rPr>
          <w:w w:val="105"/>
          <w:sz w:val="13"/>
        </w:rPr>
        <w:t>Kenyon); Survey Respondents </w:t>
      </w:r>
      <w:r>
        <w:rPr>
          <w:spacing w:val="2"/>
          <w:w w:val="105"/>
          <w:sz w:val="13"/>
        </w:rPr>
        <w:t>44, </w:t>
      </w:r>
      <w:r>
        <w:rPr>
          <w:w w:val="105"/>
          <w:sz w:val="13"/>
        </w:rPr>
        <w:t>95, 96,</w:t>
      </w:r>
      <w:r>
        <w:rPr>
          <w:spacing w:val="8"/>
          <w:w w:val="105"/>
          <w:sz w:val="13"/>
        </w:rPr>
        <w:t> </w:t>
      </w:r>
      <w:r>
        <w:rPr>
          <w:w w:val="105"/>
          <w:sz w:val="13"/>
        </w:rPr>
        <w:t>103.</w:t>
      </w:r>
    </w:p>
    <w:p>
      <w:pPr>
        <w:pStyle w:val="ListParagraph"/>
        <w:numPr>
          <w:ilvl w:val="0"/>
          <w:numId w:val="31"/>
        </w:numPr>
        <w:tabs>
          <w:tab w:pos="2380" w:val="left" w:leader="none"/>
          <w:tab w:pos="2382" w:val="left" w:leader="none"/>
        </w:tabs>
        <w:spacing w:line="240" w:lineRule="auto" w:before="1" w:after="0"/>
        <w:ind w:left="2381" w:right="0" w:hanging="794"/>
        <w:jc w:val="left"/>
        <w:rPr>
          <w:sz w:val="13"/>
        </w:rPr>
      </w:pPr>
      <w:r>
        <w:rPr>
          <w:w w:val="105"/>
          <w:sz w:val="13"/>
        </w:rPr>
        <w:t>Survey Respondent</w:t>
      </w:r>
      <w:r>
        <w:rPr>
          <w:spacing w:val="9"/>
          <w:w w:val="105"/>
          <w:sz w:val="13"/>
        </w:rPr>
        <w:t> </w:t>
      </w:r>
      <w:r>
        <w:rPr>
          <w:w w:val="105"/>
          <w:sz w:val="13"/>
        </w:rPr>
        <w:t>95.</w:t>
      </w:r>
    </w:p>
    <w:p>
      <w:pPr>
        <w:pStyle w:val="ListParagraph"/>
        <w:numPr>
          <w:ilvl w:val="0"/>
          <w:numId w:val="31"/>
        </w:numPr>
        <w:tabs>
          <w:tab w:pos="2381" w:val="left" w:leader="none"/>
          <w:tab w:pos="2382" w:val="left" w:leader="none"/>
        </w:tabs>
        <w:spacing w:line="240" w:lineRule="auto" w:before="1" w:after="0"/>
        <w:ind w:left="2381" w:right="0" w:hanging="794"/>
        <w:jc w:val="left"/>
        <w:rPr>
          <w:sz w:val="13"/>
        </w:rPr>
      </w:pPr>
      <w:r>
        <w:rPr>
          <w:w w:val="105"/>
          <w:sz w:val="13"/>
        </w:rPr>
        <w:t>Submission 10 (Professor Phillip Hamilton); Survey Respondents </w:t>
      </w:r>
      <w:r>
        <w:rPr>
          <w:spacing w:val="-6"/>
          <w:w w:val="105"/>
          <w:sz w:val="13"/>
        </w:rPr>
        <w:t>7,</w:t>
      </w:r>
      <w:r>
        <w:rPr>
          <w:spacing w:val="12"/>
          <w:w w:val="105"/>
          <w:sz w:val="13"/>
        </w:rPr>
        <w:t> </w:t>
      </w:r>
      <w:r>
        <w:rPr>
          <w:spacing w:val="2"/>
          <w:w w:val="105"/>
          <w:sz w:val="13"/>
        </w:rPr>
        <w:t>44.</w:t>
      </w:r>
    </w:p>
    <w:p>
      <w:pPr>
        <w:pStyle w:val="ListParagraph"/>
        <w:numPr>
          <w:ilvl w:val="0"/>
          <w:numId w:val="31"/>
        </w:numPr>
        <w:tabs>
          <w:tab w:pos="2381" w:val="left" w:leader="none"/>
          <w:tab w:pos="2382" w:val="left" w:leader="none"/>
        </w:tabs>
        <w:spacing w:line="240" w:lineRule="auto" w:before="2" w:after="0"/>
        <w:ind w:left="2381" w:right="0" w:hanging="794"/>
        <w:jc w:val="left"/>
        <w:rPr>
          <w:sz w:val="13"/>
        </w:rPr>
      </w:pPr>
      <w:r>
        <w:rPr>
          <w:w w:val="105"/>
          <w:sz w:val="13"/>
        </w:rPr>
        <w:t>Submissions </w:t>
      </w:r>
      <w:r>
        <w:rPr>
          <w:spacing w:val="-3"/>
          <w:w w:val="105"/>
          <w:sz w:val="13"/>
        </w:rPr>
        <w:t>19 </w:t>
      </w:r>
      <w:r>
        <w:rPr>
          <w:spacing w:val="2"/>
          <w:w w:val="105"/>
          <w:sz w:val="13"/>
        </w:rPr>
        <w:t>(Name </w:t>
      </w:r>
      <w:r>
        <w:rPr>
          <w:w w:val="105"/>
          <w:sz w:val="13"/>
        </w:rPr>
        <w:t>withheld), 36 (Monique</w:t>
      </w:r>
      <w:r>
        <w:rPr>
          <w:spacing w:val="29"/>
          <w:w w:val="105"/>
          <w:sz w:val="13"/>
        </w:rPr>
        <w:t> </w:t>
      </w:r>
      <w:r>
        <w:rPr>
          <w:w w:val="105"/>
          <w:sz w:val="13"/>
        </w:rPr>
        <w:t>Onezime).</w:t>
      </w:r>
    </w:p>
    <w:p>
      <w:pPr>
        <w:pStyle w:val="ListParagraph"/>
        <w:numPr>
          <w:ilvl w:val="0"/>
          <w:numId w:val="31"/>
        </w:numPr>
        <w:tabs>
          <w:tab w:pos="2381" w:val="left" w:leader="none"/>
          <w:tab w:pos="2382" w:val="left" w:leader="none"/>
        </w:tabs>
        <w:spacing w:line="240" w:lineRule="auto" w:before="1" w:after="0"/>
        <w:ind w:left="2381" w:right="1973" w:hanging="794"/>
        <w:jc w:val="left"/>
        <w:rPr>
          <w:sz w:val="13"/>
        </w:rPr>
      </w:pPr>
      <w:r>
        <w:rPr>
          <w:w w:val="105"/>
          <w:sz w:val="13"/>
        </w:rPr>
        <w:t>Submissions 6 </w:t>
      </w:r>
      <w:r>
        <w:rPr>
          <w:spacing w:val="2"/>
          <w:w w:val="105"/>
          <w:sz w:val="13"/>
        </w:rPr>
        <w:t>(Name </w:t>
      </w:r>
      <w:r>
        <w:rPr>
          <w:w w:val="105"/>
          <w:sz w:val="13"/>
        </w:rPr>
        <w:t>withheld), 31 </w:t>
      </w:r>
      <w:r>
        <w:rPr>
          <w:spacing w:val="2"/>
          <w:w w:val="105"/>
          <w:sz w:val="13"/>
        </w:rPr>
        <w:t>(Barwon </w:t>
      </w:r>
      <w:r>
        <w:rPr>
          <w:w w:val="105"/>
          <w:sz w:val="13"/>
        </w:rPr>
        <w:t>Community Legal </w:t>
      </w:r>
      <w:r>
        <w:rPr>
          <w:spacing w:val="2"/>
          <w:w w:val="105"/>
          <w:sz w:val="13"/>
        </w:rPr>
        <w:t>Service), </w:t>
      </w:r>
      <w:r>
        <w:rPr>
          <w:w w:val="105"/>
          <w:sz w:val="13"/>
        </w:rPr>
        <w:t>36 (Monique </w:t>
      </w:r>
      <w:r>
        <w:rPr>
          <w:spacing w:val="2"/>
          <w:w w:val="105"/>
          <w:sz w:val="13"/>
        </w:rPr>
        <w:t>Onezime); </w:t>
      </w:r>
      <w:r>
        <w:rPr>
          <w:w w:val="105"/>
          <w:sz w:val="13"/>
        </w:rPr>
        <w:t>Consultations 7 (Dispute Settlement Centre</w:t>
      </w:r>
      <w:r>
        <w:rPr>
          <w:spacing w:val="4"/>
          <w:w w:val="105"/>
          <w:sz w:val="13"/>
        </w:rPr>
        <w:t> </w:t>
      </w:r>
      <w:r>
        <w:rPr>
          <w:w w:val="105"/>
          <w:sz w:val="13"/>
        </w:rPr>
        <w:t>of</w:t>
      </w:r>
      <w:r>
        <w:rPr>
          <w:spacing w:val="5"/>
          <w:w w:val="105"/>
          <w:sz w:val="13"/>
        </w:rPr>
        <w:t> </w:t>
      </w:r>
      <w:r>
        <w:rPr>
          <w:spacing w:val="2"/>
          <w:w w:val="105"/>
          <w:sz w:val="13"/>
        </w:rPr>
        <w:t>Victoria),</w:t>
      </w:r>
      <w:r>
        <w:rPr>
          <w:spacing w:val="4"/>
          <w:w w:val="105"/>
          <w:sz w:val="13"/>
        </w:rPr>
        <w:t> </w:t>
      </w:r>
      <w:r>
        <w:rPr>
          <w:spacing w:val="-3"/>
          <w:w w:val="105"/>
          <w:sz w:val="13"/>
        </w:rPr>
        <w:t>14</w:t>
      </w:r>
      <w:r>
        <w:rPr>
          <w:spacing w:val="5"/>
          <w:w w:val="105"/>
          <w:sz w:val="13"/>
        </w:rPr>
        <w:t> </w:t>
      </w:r>
      <w:r>
        <w:rPr>
          <w:spacing w:val="2"/>
          <w:w w:val="105"/>
          <w:sz w:val="13"/>
        </w:rPr>
        <w:t>(Robert</w:t>
      </w:r>
      <w:r>
        <w:rPr>
          <w:spacing w:val="5"/>
          <w:w w:val="105"/>
          <w:sz w:val="13"/>
        </w:rPr>
        <w:t> </w:t>
      </w:r>
      <w:r>
        <w:rPr>
          <w:spacing w:val="2"/>
          <w:w w:val="105"/>
          <w:sz w:val="13"/>
        </w:rPr>
        <w:t>Mineo);</w:t>
      </w:r>
      <w:r>
        <w:rPr>
          <w:spacing w:val="4"/>
          <w:w w:val="105"/>
          <w:sz w:val="13"/>
        </w:rPr>
        <w:t> </w:t>
      </w:r>
      <w:r>
        <w:rPr>
          <w:w w:val="105"/>
          <w:sz w:val="13"/>
        </w:rPr>
        <w:t>Survey</w:t>
      </w:r>
      <w:r>
        <w:rPr>
          <w:spacing w:val="5"/>
          <w:w w:val="105"/>
          <w:sz w:val="13"/>
        </w:rPr>
        <w:t> </w:t>
      </w:r>
      <w:r>
        <w:rPr>
          <w:w w:val="105"/>
          <w:sz w:val="13"/>
        </w:rPr>
        <w:t>Respondents</w:t>
      </w:r>
      <w:r>
        <w:rPr>
          <w:spacing w:val="4"/>
          <w:w w:val="105"/>
          <w:sz w:val="13"/>
        </w:rPr>
        <w:t> </w:t>
      </w:r>
      <w:r>
        <w:rPr>
          <w:w w:val="105"/>
          <w:sz w:val="13"/>
        </w:rPr>
        <w:t>6,</w:t>
      </w:r>
      <w:r>
        <w:rPr>
          <w:spacing w:val="5"/>
          <w:w w:val="105"/>
          <w:sz w:val="13"/>
        </w:rPr>
        <w:t> </w:t>
      </w:r>
      <w:r>
        <w:rPr>
          <w:w w:val="105"/>
          <w:sz w:val="13"/>
        </w:rPr>
        <w:t>82,</w:t>
      </w:r>
      <w:r>
        <w:rPr>
          <w:spacing w:val="5"/>
          <w:w w:val="105"/>
          <w:sz w:val="13"/>
        </w:rPr>
        <w:t> </w:t>
      </w:r>
      <w:r>
        <w:rPr>
          <w:spacing w:val="-4"/>
          <w:w w:val="105"/>
          <w:sz w:val="13"/>
        </w:rPr>
        <w:t>114.</w:t>
      </w:r>
    </w:p>
    <w:p>
      <w:pPr>
        <w:pStyle w:val="ListParagraph"/>
        <w:numPr>
          <w:ilvl w:val="0"/>
          <w:numId w:val="31"/>
        </w:numPr>
        <w:tabs>
          <w:tab w:pos="2381" w:val="left" w:leader="none"/>
          <w:tab w:pos="2382" w:val="left" w:leader="none"/>
        </w:tabs>
        <w:spacing w:line="240" w:lineRule="auto" w:before="3" w:after="0"/>
        <w:ind w:left="2381" w:right="0" w:hanging="794"/>
        <w:jc w:val="left"/>
        <w:rPr>
          <w:sz w:val="13"/>
        </w:rPr>
      </w:pPr>
      <w:r>
        <w:rPr>
          <w:w w:val="105"/>
          <w:sz w:val="13"/>
        </w:rPr>
        <w:t>Submission </w:t>
      </w:r>
      <w:r>
        <w:rPr>
          <w:spacing w:val="-3"/>
          <w:w w:val="105"/>
          <w:sz w:val="13"/>
        </w:rPr>
        <w:t>19 </w:t>
      </w:r>
      <w:r>
        <w:rPr>
          <w:spacing w:val="2"/>
          <w:w w:val="105"/>
          <w:sz w:val="13"/>
        </w:rPr>
        <w:t>(Name </w:t>
      </w:r>
      <w:r>
        <w:rPr>
          <w:w w:val="105"/>
          <w:sz w:val="13"/>
        </w:rPr>
        <w:t>withheld); Survey Respondents 24,</w:t>
      </w:r>
      <w:r>
        <w:rPr>
          <w:spacing w:val="3"/>
          <w:w w:val="105"/>
          <w:sz w:val="13"/>
        </w:rPr>
        <w:t> </w:t>
      </w:r>
      <w:r>
        <w:rPr>
          <w:spacing w:val="-4"/>
          <w:w w:val="105"/>
          <w:sz w:val="13"/>
        </w:rPr>
        <w:t>114.</w:t>
      </w:r>
    </w:p>
    <w:p>
      <w:pPr>
        <w:pStyle w:val="ListParagraph"/>
        <w:numPr>
          <w:ilvl w:val="0"/>
          <w:numId w:val="31"/>
        </w:numPr>
        <w:tabs>
          <w:tab w:pos="2381" w:val="left" w:leader="none"/>
          <w:tab w:pos="2382" w:val="left" w:leader="none"/>
        </w:tabs>
        <w:spacing w:line="240" w:lineRule="auto" w:before="1" w:after="0"/>
        <w:ind w:left="2381" w:right="0" w:hanging="794"/>
        <w:jc w:val="left"/>
        <w:rPr>
          <w:sz w:val="13"/>
        </w:rPr>
      </w:pPr>
      <w:r>
        <w:rPr>
          <w:w w:val="105"/>
          <w:sz w:val="13"/>
        </w:rPr>
        <w:t>Submission 23 </w:t>
      </w:r>
      <w:r>
        <w:rPr>
          <w:spacing w:val="2"/>
          <w:w w:val="105"/>
          <w:sz w:val="13"/>
        </w:rPr>
        <w:t>(Name</w:t>
      </w:r>
      <w:r>
        <w:rPr>
          <w:spacing w:val="25"/>
          <w:w w:val="105"/>
          <w:sz w:val="13"/>
        </w:rPr>
        <w:t> </w:t>
      </w:r>
      <w:r>
        <w:rPr>
          <w:w w:val="105"/>
          <w:sz w:val="13"/>
        </w:rPr>
        <w:t>withheld).</w:t>
      </w:r>
    </w:p>
    <w:p>
      <w:pPr>
        <w:pStyle w:val="ListParagraph"/>
        <w:numPr>
          <w:ilvl w:val="0"/>
          <w:numId w:val="31"/>
        </w:numPr>
        <w:tabs>
          <w:tab w:pos="2381" w:val="left" w:leader="none"/>
          <w:tab w:pos="2382" w:val="left" w:leader="none"/>
        </w:tabs>
        <w:spacing w:line="240" w:lineRule="auto" w:before="1" w:after="0"/>
        <w:ind w:left="2381" w:right="0" w:hanging="794"/>
        <w:jc w:val="left"/>
        <w:rPr>
          <w:sz w:val="13"/>
        </w:rPr>
      </w:pPr>
      <w:r>
        <w:rPr/>
        <w:pict>
          <v:shape style="position:absolute;margin-left:36pt;margin-top:2.996265pt;width:13.65pt;height:14.25pt;mso-position-horizontal-relative:page;mso-position-vertical-relative:paragraph;z-index:3688" type="#_x0000_t202" filled="false" stroked="false">
            <v:textbox inset="0,0,0,0">
              <w:txbxContent>
                <w:p>
                  <w:pPr>
                    <w:spacing w:line="284" w:lineRule="exact" w:before="0"/>
                    <w:ind w:left="0" w:right="0" w:firstLine="0"/>
                    <w:jc w:val="left"/>
                    <w:rPr>
                      <w:b/>
                      <w:sz w:val="24"/>
                    </w:rPr>
                  </w:pPr>
                  <w:r>
                    <w:rPr>
                      <w:b/>
                      <w:color w:val="658464"/>
                      <w:w w:val="110"/>
                      <w:sz w:val="24"/>
                    </w:rPr>
                    <w:t>42</w:t>
                  </w:r>
                </w:p>
              </w:txbxContent>
            </v:textbox>
            <w10:wrap type="none"/>
          </v:shape>
        </w:pict>
      </w:r>
      <w:r>
        <w:rPr>
          <w:w w:val="105"/>
          <w:sz w:val="13"/>
        </w:rPr>
        <w:t>Submission 24 </w:t>
      </w:r>
      <w:r>
        <w:rPr>
          <w:spacing w:val="2"/>
          <w:w w:val="105"/>
          <w:sz w:val="13"/>
        </w:rPr>
        <w:t>(Name</w:t>
      </w:r>
      <w:r>
        <w:rPr>
          <w:spacing w:val="22"/>
          <w:w w:val="105"/>
          <w:sz w:val="13"/>
        </w:rPr>
        <w:t> </w:t>
      </w:r>
      <w:r>
        <w:rPr>
          <w:w w:val="105"/>
          <w:sz w:val="13"/>
        </w:rPr>
        <w:t>withheld).</w:t>
      </w:r>
    </w:p>
    <w:p>
      <w:pPr>
        <w:pStyle w:val="ListParagraph"/>
        <w:numPr>
          <w:ilvl w:val="0"/>
          <w:numId w:val="31"/>
        </w:numPr>
        <w:tabs>
          <w:tab w:pos="2381" w:val="left" w:leader="none"/>
          <w:tab w:pos="2382" w:val="left" w:leader="none"/>
        </w:tabs>
        <w:spacing w:line="240" w:lineRule="auto" w:before="2" w:after="0"/>
        <w:ind w:left="2381" w:right="0" w:hanging="794"/>
        <w:jc w:val="left"/>
        <w:rPr>
          <w:sz w:val="13"/>
        </w:rPr>
      </w:pPr>
      <w:r>
        <w:rPr>
          <w:w w:val="105"/>
          <w:sz w:val="13"/>
        </w:rPr>
        <w:t>Consultations</w:t>
      </w:r>
      <w:r>
        <w:rPr>
          <w:spacing w:val="4"/>
          <w:w w:val="105"/>
          <w:sz w:val="13"/>
        </w:rPr>
        <w:t> </w:t>
      </w:r>
      <w:r>
        <w:rPr>
          <w:w w:val="105"/>
          <w:sz w:val="13"/>
        </w:rPr>
        <w:t>1</w:t>
      </w:r>
      <w:r>
        <w:rPr>
          <w:spacing w:val="5"/>
          <w:w w:val="105"/>
          <w:sz w:val="13"/>
        </w:rPr>
        <w:t> </w:t>
      </w:r>
      <w:r>
        <w:rPr>
          <w:w w:val="105"/>
          <w:sz w:val="13"/>
        </w:rPr>
        <w:t>(Aldo</w:t>
      </w:r>
      <w:r>
        <w:rPr>
          <w:spacing w:val="5"/>
          <w:w w:val="105"/>
          <w:sz w:val="13"/>
        </w:rPr>
        <w:t> </w:t>
      </w:r>
      <w:r>
        <w:rPr>
          <w:w w:val="105"/>
          <w:sz w:val="13"/>
        </w:rPr>
        <w:t>Taranto),</w:t>
      </w:r>
      <w:r>
        <w:rPr>
          <w:spacing w:val="5"/>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5"/>
          <w:w w:val="105"/>
          <w:sz w:val="13"/>
        </w:rPr>
        <w:t> </w:t>
      </w:r>
      <w:r>
        <w:rPr>
          <w:w w:val="105"/>
          <w:sz w:val="13"/>
        </w:rPr>
        <w:t>at</w:t>
      </w:r>
      <w:r>
        <w:rPr>
          <w:spacing w:val="5"/>
          <w:w w:val="105"/>
          <w:sz w:val="13"/>
        </w:rPr>
        <w:t> </w:t>
      </w:r>
      <w:r>
        <w:rPr>
          <w:spacing w:val="4"/>
          <w:w w:val="105"/>
          <w:sz w:val="13"/>
        </w:rPr>
        <w:t>VTIO</w:t>
      </w:r>
      <w:r>
        <w:rPr>
          <w:spacing w:val="5"/>
          <w:w w:val="105"/>
          <w:sz w:val="13"/>
        </w:rPr>
        <w:t> </w:t>
      </w:r>
      <w:r>
        <w:rPr>
          <w:w w:val="105"/>
          <w:sz w:val="13"/>
        </w:rPr>
        <w:t>ArborCamp2018),</w:t>
      </w:r>
      <w:r>
        <w:rPr>
          <w:spacing w:val="5"/>
          <w:w w:val="105"/>
          <w:sz w:val="13"/>
        </w:rPr>
        <w:t> </w:t>
      </w:r>
      <w:r>
        <w:rPr>
          <w:spacing w:val="-3"/>
          <w:w w:val="105"/>
          <w:sz w:val="13"/>
        </w:rPr>
        <w:t>14</w:t>
      </w:r>
      <w:r>
        <w:rPr>
          <w:spacing w:val="4"/>
          <w:w w:val="105"/>
          <w:sz w:val="13"/>
        </w:rPr>
        <w:t> </w:t>
      </w:r>
      <w:r>
        <w:rPr>
          <w:spacing w:val="2"/>
          <w:w w:val="105"/>
          <w:sz w:val="13"/>
        </w:rPr>
        <w:t>(Robert</w:t>
      </w:r>
      <w:r>
        <w:rPr>
          <w:spacing w:val="5"/>
          <w:w w:val="105"/>
          <w:sz w:val="13"/>
        </w:rPr>
        <w:t> </w:t>
      </w:r>
      <w:r>
        <w:rPr>
          <w:spacing w:val="2"/>
          <w:w w:val="105"/>
          <w:sz w:val="13"/>
        </w:rPr>
        <w:t>Mineo).</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2"/>
        <w:rPr>
          <w:sz w:val="18"/>
        </w:rPr>
      </w:pPr>
    </w:p>
    <w:p>
      <w:pPr>
        <w:pStyle w:val="Heading7"/>
        <w:spacing w:before="96"/>
      </w:pPr>
      <w:r>
        <w:rPr>
          <w:w w:val="115"/>
        </w:rPr>
        <w:t>Disconnect with arboricultural standards</w:t>
      </w:r>
    </w:p>
    <w:p>
      <w:pPr>
        <w:pStyle w:val="ListParagraph"/>
        <w:numPr>
          <w:ilvl w:val="1"/>
          <w:numId w:val="16"/>
        </w:numPr>
        <w:tabs>
          <w:tab w:pos="2381" w:val="left" w:leader="none"/>
          <w:tab w:pos="2382" w:val="left" w:leader="none"/>
        </w:tabs>
        <w:spacing w:line="242" w:lineRule="auto" w:before="143" w:after="0"/>
        <w:ind w:left="2381" w:right="1802" w:hanging="794"/>
        <w:jc w:val="left"/>
        <w:rPr>
          <w:sz w:val="21"/>
        </w:rPr>
      </w:pPr>
      <w:r>
        <w:rPr>
          <w:sz w:val="21"/>
        </w:rPr>
        <w:t>Some arborists also identified </w:t>
      </w:r>
      <w:r>
        <w:rPr>
          <w:spacing w:val="-3"/>
          <w:sz w:val="21"/>
        </w:rPr>
        <w:t>that </w:t>
      </w:r>
      <w:r>
        <w:rPr>
          <w:sz w:val="21"/>
        </w:rPr>
        <w:t>the </w:t>
      </w:r>
      <w:r>
        <w:rPr>
          <w:spacing w:val="-2"/>
          <w:sz w:val="21"/>
        </w:rPr>
        <w:t>common </w:t>
      </w:r>
      <w:r>
        <w:rPr>
          <w:sz w:val="21"/>
        </w:rPr>
        <w:t>law </w:t>
      </w:r>
      <w:r>
        <w:rPr>
          <w:spacing w:val="-3"/>
          <w:sz w:val="21"/>
        </w:rPr>
        <w:t>governing </w:t>
      </w:r>
      <w:r>
        <w:rPr>
          <w:sz w:val="21"/>
        </w:rPr>
        <w:t>the resolution of tree </w:t>
      </w:r>
      <w:r>
        <w:rPr>
          <w:spacing w:val="-3"/>
          <w:sz w:val="21"/>
        </w:rPr>
        <w:t>disputes </w:t>
      </w:r>
      <w:r>
        <w:rPr>
          <w:sz w:val="21"/>
        </w:rPr>
        <w:t>is sometimes at odds with </w:t>
      </w:r>
      <w:r>
        <w:rPr>
          <w:spacing w:val="-3"/>
          <w:sz w:val="21"/>
        </w:rPr>
        <w:t>arboricultural </w:t>
      </w:r>
      <w:r>
        <w:rPr>
          <w:sz w:val="21"/>
        </w:rPr>
        <w:t>science and the </w:t>
      </w:r>
      <w:r>
        <w:rPr>
          <w:spacing w:val="-3"/>
          <w:sz w:val="21"/>
        </w:rPr>
        <w:t>professional </w:t>
      </w:r>
      <w:r>
        <w:rPr>
          <w:sz w:val="21"/>
        </w:rPr>
        <w:t>standards </w:t>
      </w:r>
      <w:r>
        <w:rPr>
          <w:spacing w:val="-3"/>
          <w:sz w:val="21"/>
        </w:rPr>
        <w:t>that </w:t>
      </w:r>
      <w:r>
        <w:rPr>
          <w:sz w:val="21"/>
        </w:rPr>
        <w:t>arborists </w:t>
      </w:r>
      <w:r>
        <w:rPr>
          <w:spacing w:val="-3"/>
          <w:sz w:val="21"/>
        </w:rPr>
        <w:t>are trained to</w:t>
      </w:r>
      <w:r>
        <w:rPr>
          <w:spacing w:val="10"/>
          <w:sz w:val="21"/>
        </w:rPr>
        <w:t> </w:t>
      </w:r>
      <w:r>
        <w:rPr>
          <w:spacing w:val="-6"/>
          <w:sz w:val="21"/>
        </w:rPr>
        <w:t>follow.</w:t>
      </w:r>
      <w:r>
        <w:rPr>
          <w:spacing w:val="-6"/>
          <w:position w:val="7"/>
          <w:sz w:val="12"/>
        </w:rPr>
        <w:t>179</w:t>
      </w:r>
    </w:p>
    <w:p>
      <w:pPr>
        <w:pStyle w:val="ListParagraph"/>
        <w:numPr>
          <w:ilvl w:val="1"/>
          <w:numId w:val="16"/>
        </w:numPr>
        <w:tabs>
          <w:tab w:pos="2380" w:val="left" w:leader="none"/>
          <w:tab w:pos="2381" w:val="left" w:leader="none"/>
        </w:tabs>
        <w:spacing w:line="240" w:lineRule="auto" w:before="123" w:after="0"/>
        <w:ind w:left="2381" w:right="0" w:hanging="794"/>
        <w:jc w:val="left"/>
        <w:rPr>
          <w:sz w:val="21"/>
        </w:rPr>
      </w:pPr>
      <w:r>
        <w:rPr>
          <w:w w:val="105"/>
          <w:sz w:val="21"/>
        </w:rPr>
        <w:t>Dr Gregory Moore OAM</w:t>
      </w:r>
      <w:r>
        <w:rPr>
          <w:spacing w:val="21"/>
          <w:w w:val="105"/>
          <w:sz w:val="21"/>
        </w:rPr>
        <w:t> </w:t>
      </w:r>
      <w:r>
        <w:rPr>
          <w:w w:val="105"/>
          <w:sz w:val="21"/>
        </w:rPr>
        <w:t>noted:</w:t>
      </w:r>
    </w:p>
    <w:p>
      <w:pPr>
        <w:spacing w:line="254" w:lineRule="auto" w:before="134"/>
        <w:ind w:left="2834" w:right="2139" w:firstLine="0"/>
        <w:jc w:val="both"/>
        <w:rPr>
          <w:sz w:val="11"/>
        </w:rPr>
      </w:pPr>
      <w:r>
        <w:rPr>
          <w:sz w:val="20"/>
        </w:rPr>
        <w:t>Matters that arise can be many and varied and the system that deals with disputes seems to be very complex and often appears to display a lack of knowledge of the biology and arboriculture of urban trees.</w:t>
      </w:r>
      <w:r>
        <w:rPr>
          <w:position w:val="7"/>
          <w:sz w:val="11"/>
        </w:rPr>
        <w:t>180</w:t>
      </w:r>
    </w:p>
    <w:p>
      <w:pPr>
        <w:pStyle w:val="ListParagraph"/>
        <w:numPr>
          <w:ilvl w:val="1"/>
          <w:numId w:val="16"/>
        </w:numPr>
        <w:tabs>
          <w:tab w:pos="2381" w:val="left" w:leader="none"/>
          <w:tab w:pos="2382" w:val="left" w:leader="none"/>
        </w:tabs>
        <w:spacing w:line="242" w:lineRule="auto" w:before="114" w:after="0"/>
        <w:ind w:left="2381" w:right="1594" w:hanging="794"/>
        <w:jc w:val="left"/>
        <w:rPr>
          <w:i/>
          <w:sz w:val="21"/>
        </w:rPr>
      </w:pPr>
      <w:r>
        <w:rPr>
          <w:w w:val="105"/>
          <w:sz w:val="21"/>
        </w:rPr>
        <w:t>An</w:t>
      </w:r>
      <w:r>
        <w:rPr>
          <w:spacing w:val="-8"/>
          <w:w w:val="105"/>
          <w:sz w:val="21"/>
        </w:rPr>
        <w:t> </w:t>
      </w:r>
      <w:r>
        <w:rPr>
          <w:w w:val="105"/>
          <w:sz w:val="21"/>
        </w:rPr>
        <w:t>example</w:t>
      </w:r>
      <w:r>
        <w:rPr>
          <w:spacing w:val="-8"/>
          <w:w w:val="105"/>
          <w:sz w:val="21"/>
        </w:rPr>
        <w:t> </w:t>
      </w:r>
      <w:r>
        <w:rPr>
          <w:spacing w:val="-2"/>
          <w:w w:val="105"/>
          <w:sz w:val="21"/>
        </w:rPr>
        <w:t>commonly</w:t>
      </w:r>
      <w:r>
        <w:rPr>
          <w:spacing w:val="-8"/>
          <w:w w:val="105"/>
          <w:sz w:val="21"/>
        </w:rPr>
        <w:t> </w:t>
      </w:r>
      <w:r>
        <w:rPr>
          <w:w w:val="105"/>
          <w:sz w:val="21"/>
        </w:rPr>
        <w:t>provided</w:t>
      </w:r>
      <w:r>
        <w:rPr>
          <w:spacing w:val="-8"/>
          <w:w w:val="105"/>
          <w:sz w:val="21"/>
        </w:rPr>
        <w:t> </w:t>
      </w:r>
      <w:r>
        <w:rPr>
          <w:w w:val="105"/>
          <w:sz w:val="21"/>
        </w:rPr>
        <w:t>by</w:t>
      </w:r>
      <w:r>
        <w:rPr>
          <w:spacing w:val="-8"/>
          <w:w w:val="105"/>
          <w:sz w:val="21"/>
        </w:rPr>
        <w:t> </w:t>
      </w:r>
      <w:r>
        <w:rPr>
          <w:w w:val="105"/>
          <w:sz w:val="21"/>
        </w:rPr>
        <w:t>arborists</w:t>
      </w:r>
      <w:r>
        <w:rPr>
          <w:spacing w:val="-8"/>
          <w:w w:val="105"/>
          <w:sz w:val="21"/>
        </w:rPr>
        <w:t> </w:t>
      </w:r>
      <w:r>
        <w:rPr>
          <w:w w:val="105"/>
          <w:sz w:val="21"/>
        </w:rPr>
        <w:t>was</w:t>
      </w:r>
      <w:r>
        <w:rPr>
          <w:spacing w:val="-8"/>
          <w:w w:val="105"/>
          <w:sz w:val="21"/>
        </w:rPr>
        <w:t> </w:t>
      </w:r>
      <w:r>
        <w:rPr>
          <w:w w:val="105"/>
          <w:sz w:val="21"/>
        </w:rPr>
        <w:t>the</w:t>
      </w:r>
      <w:r>
        <w:rPr>
          <w:spacing w:val="-8"/>
          <w:w w:val="105"/>
          <w:sz w:val="21"/>
        </w:rPr>
        <w:t> </w:t>
      </w:r>
      <w:r>
        <w:rPr>
          <w:spacing w:val="-3"/>
          <w:w w:val="105"/>
          <w:sz w:val="21"/>
        </w:rPr>
        <w:t>misalignment</w:t>
      </w:r>
      <w:r>
        <w:rPr>
          <w:spacing w:val="-8"/>
          <w:w w:val="105"/>
          <w:sz w:val="21"/>
        </w:rPr>
        <w:t> </w:t>
      </w:r>
      <w:r>
        <w:rPr>
          <w:w w:val="105"/>
          <w:sz w:val="21"/>
        </w:rPr>
        <w:t>between</w:t>
      </w:r>
      <w:r>
        <w:rPr>
          <w:spacing w:val="-8"/>
          <w:w w:val="105"/>
          <w:sz w:val="21"/>
        </w:rPr>
        <w:t> </w:t>
      </w:r>
      <w:r>
        <w:rPr>
          <w:w w:val="105"/>
          <w:sz w:val="21"/>
        </w:rPr>
        <w:t>the</w:t>
      </w:r>
      <w:r>
        <w:rPr>
          <w:spacing w:val="-8"/>
          <w:w w:val="105"/>
          <w:sz w:val="21"/>
        </w:rPr>
        <w:t> </w:t>
      </w:r>
      <w:r>
        <w:rPr>
          <w:spacing w:val="-2"/>
          <w:w w:val="105"/>
          <w:sz w:val="21"/>
        </w:rPr>
        <w:t>common </w:t>
      </w:r>
      <w:r>
        <w:rPr>
          <w:w w:val="105"/>
          <w:sz w:val="21"/>
        </w:rPr>
        <w:t>law </w:t>
      </w:r>
      <w:r>
        <w:rPr>
          <w:spacing w:val="-3"/>
          <w:w w:val="105"/>
          <w:sz w:val="21"/>
        </w:rPr>
        <w:t>right to abate </w:t>
      </w:r>
      <w:r>
        <w:rPr>
          <w:w w:val="105"/>
          <w:sz w:val="21"/>
        </w:rPr>
        <w:t>and the two </w:t>
      </w:r>
      <w:r>
        <w:rPr>
          <w:spacing w:val="-3"/>
          <w:w w:val="105"/>
          <w:sz w:val="21"/>
        </w:rPr>
        <w:t>main Australian Standards that </w:t>
      </w:r>
      <w:r>
        <w:rPr>
          <w:w w:val="105"/>
          <w:sz w:val="21"/>
        </w:rPr>
        <w:t>arborists </w:t>
      </w:r>
      <w:r>
        <w:rPr>
          <w:spacing w:val="-3"/>
          <w:w w:val="105"/>
          <w:sz w:val="21"/>
        </w:rPr>
        <w:t>are trained to follow </w:t>
      </w:r>
      <w:r>
        <w:rPr>
          <w:w w:val="105"/>
          <w:sz w:val="21"/>
        </w:rPr>
        <w:t>when </w:t>
      </w:r>
      <w:r>
        <w:rPr>
          <w:spacing w:val="-3"/>
          <w:w w:val="105"/>
          <w:sz w:val="21"/>
        </w:rPr>
        <w:t>pruning branches </w:t>
      </w:r>
      <w:r>
        <w:rPr>
          <w:w w:val="105"/>
          <w:sz w:val="21"/>
        </w:rPr>
        <w:t>and cutting </w:t>
      </w:r>
      <w:r>
        <w:rPr>
          <w:spacing w:val="-4"/>
          <w:w w:val="105"/>
          <w:sz w:val="21"/>
        </w:rPr>
        <w:t>roots.</w:t>
      </w:r>
      <w:r>
        <w:rPr>
          <w:spacing w:val="-4"/>
          <w:w w:val="105"/>
          <w:position w:val="7"/>
          <w:sz w:val="12"/>
        </w:rPr>
        <w:t>181 </w:t>
      </w:r>
      <w:r>
        <w:rPr>
          <w:w w:val="105"/>
          <w:sz w:val="21"/>
        </w:rPr>
        <w:t>These two standards </w:t>
      </w:r>
      <w:r>
        <w:rPr>
          <w:spacing w:val="-3"/>
          <w:w w:val="105"/>
          <w:sz w:val="21"/>
        </w:rPr>
        <w:t>are </w:t>
      </w:r>
      <w:r>
        <w:rPr>
          <w:w w:val="105"/>
          <w:sz w:val="21"/>
        </w:rPr>
        <w:t>the</w:t>
      </w:r>
      <w:r>
        <w:rPr>
          <w:spacing w:val="49"/>
          <w:w w:val="105"/>
          <w:sz w:val="21"/>
        </w:rPr>
        <w:t> </w:t>
      </w:r>
      <w:r>
        <w:rPr>
          <w:i/>
          <w:w w:val="105"/>
          <w:sz w:val="21"/>
        </w:rPr>
        <w:t>AS</w:t>
      </w:r>
    </w:p>
    <w:p>
      <w:pPr>
        <w:spacing w:line="242" w:lineRule="auto" w:before="3"/>
        <w:ind w:left="2381" w:right="1636" w:firstLine="0"/>
        <w:jc w:val="left"/>
        <w:rPr>
          <w:sz w:val="21"/>
        </w:rPr>
      </w:pPr>
      <w:r>
        <w:rPr>
          <w:i/>
          <w:w w:val="105"/>
          <w:sz w:val="21"/>
        </w:rPr>
        <w:t>4373-2007—Pruning of Amenity Trees </w:t>
      </w:r>
      <w:r>
        <w:rPr>
          <w:w w:val="105"/>
          <w:sz w:val="21"/>
        </w:rPr>
        <w:t>and the </w:t>
      </w:r>
      <w:r>
        <w:rPr>
          <w:i/>
          <w:w w:val="105"/>
          <w:sz w:val="21"/>
        </w:rPr>
        <w:t>AS 4970-2009—Protection of Trees on </w:t>
      </w:r>
      <w:r>
        <w:rPr>
          <w:i/>
          <w:w w:val="105"/>
          <w:sz w:val="21"/>
        </w:rPr>
        <w:t>Development Sites</w:t>
      </w:r>
      <w:r>
        <w:rPr>
          <w:w w:val="105"/>
          <w:sz w:val="21"/>
        </w:rPr>
        <w:t>.</w:t>
      </w:r>
    </w:p>
    <w:p>
      <w:pPr>
        <w:pStyle w:val="ListParagraph"/>
        <w:numPr>
          <w:ilvl w:val="1"/>
          <w:numId w:val="16"/>
        </w:numPr>
        <w:tabs>
          <w:tab w:pos="2381" w:val="left" w:leader="none"/>
          <w:tab w:pos="2382" w:val="left" w:leader="none"/>
        </w:tabs>
        <w:spacing w:line="242" w:lineRule="auto" w:before="122" w:after="0"/>
        <w:ind w:left="2381" w:right="1629" w:hanging="794"/>
        <w:jc w:val="left"/>
        <w:rPr>
          <w:sz w:val="21"/>
        </w:rPr>
      </w:pPr>
      <w:r>
        <w:rPr>
          <w:w w:val="105"/>
          <w:sz w:val="21"/>
        </w:rPr>
        <w:t>An arborist applying </w:t>
      </w:r>
      <w:r>
        <w:rPr>
          <w:i/>
          <w:w w:val="105"/>
          <w:sz w:val="21"/>
        </w:rPr>
        <w:t>AS </w:t>
      </w:r>
      <w:r>
        <w:rPr>
          <w:i/>
          <w:spacing w:val="-4"/>
          <w:w w:val="105"/>
          <w:sz w:val="21"/>
        </w:rPr>
        <w:t>4373-2007—Pruning </w:t>
      </w:r>
      <w:r>
        <w:rPr>
          <w:i/>
          <w:spacing w:val="-3"/>
          <w:w w:val="105"/>
          <w:sz w:val="21"/>
        </w:rPr>
        <w:t>of </w:t>
      </w:r>
      <w:r>
        <w:rPr>
          <w:i/>
          <w:w w:val="105"/>
          <w:sz w:val="21"/>
        </w:rPr>
        <w:t>Amenity </w:t>
      </w:r>
      <w:r>
        <w:rPr>
          <w:i/>
          <w:spacing w:val="-4"/>
          <w:w w:val="105"/>
          <w:sz w:val="21"/>
        </w:rPr>
        <w:t>Trees </w:t>
      </w:r>
      <w:r>
        <w:rPr>
          <w:w w:val="105"/>
          <w:sz w:val="21"/>
        </w:rPr>
        <w:t>(the </w:t>
      </w:r>
      <w:r>
        <w:rPr>
          <w:spacing w:val="-3"/>
          <w:w w:val="105"/>
          <w:sz w:val="21"/>
        </w:rPr>
        <w:t>Australian Standard) may determine that, </w:t>
      </w:r>
      <w:r>
        <w:rPr>
          <w:w w:val="105"/>
          <w:sz w:val="21"/>
        </w:rPr>
        <w:t>in order </w:t>
      </w:r>
      <w:r>
        <w:rPr>
          <w:spacing w:val="-3"/>
          <w:w w:val="105"/>
          <w:sz w:val="21"/>
        </w:rPr>
        <w:t>to maintain </w:t>
      </w:r>
      <w:r>
        <w:rPr>
          <w:w w:val="105"/>
          <w:sz w:val="21"/>
        </w:rPr>
        <w:t>the </w:t>
      </w:r>
      <w:r>
        <w:rPr>
          <w:spacing w:val="-4"/>
          <w:w w:val="105"/>
          <w:sz w:val="21"/>
        </w:rPr>
        <w:t>tree’s </w:t>
      </w:r>
      <w:r>
        <w:rPr>
          <w:spacing w:val="-3"/>
          <w:w w:val="105"/>
          <w:sz w:val="21"/>
        </w:rPr>
        <w:t>health </w:t>
      </w:r>
      <w:r>
        <w:rPr>
          <w:w w:val="105"/>
          <w:sz w:val="21"/>
        </w:rPr>
        <w:t>and structural </w:t>
      </w:r>
      <w:r>
        <w:rPr>
          <w:spacing w:val="-4"/>
          <w:w w:val="105"/>
          <w:sz w:val="21"/>
        </w:rPr>
        <w:t>integrity, </w:t>
      </w:r>
      <w:r>
        <w:rPr>
          <w:w w:val="105"/>
          <w:sz w:val="21"/>
        </w:rPr>
        <w:t>the </w:t>
      </w:r>
      <w:r>
        <w:rPr>
          <w:spacing w:val="-3"/>
          <w:w w:val="105"/>
          <w:sz w:val="21"/>
        </w:rPr>
        <w:t>branches </w:t>
      </w:r>
      <w:r>
        <w:rPr>
          <w:w w:val="105"/>
          <w:sz w:val="21"/>
        </w:rPr>
        <w:t>should be pruned </w:t>
      </w:r>
      <w:r>
        <w:rPr>
          <w:spacing w:val="-3"/>
          <w:w w:val="105"/>
          <w:sz w:val="21"/>
        </w:rPr>
        <w:t>to </w:t>
      </w:r>
      <w:r>
        <w:rPr>
          <w:w w:val="105"/>
          <w:sz w:val="21"/>
        </w:rPr>
        <w:t>the trunk of the </w:t>
      </w:r>
      <w:r>
        <w:rPr>
          <w:spacing w:val="-3"/>
          <w:w w:val="105"/>
          <w:sz w:val="21"/>
        </w:rPr>
        <w:t>tree, </w:t>
      </w:r>
      <w:r>
        <w:rPr>
          <w:w w:val="105"/>
          <w:sz w:val="21"/>
        </w:rPr>
        <w:t>which </w:t>
      </w:r>
      <w:r>
        <w:rPr>
          <w:spacing w:val="-3"/>
          <w:w w:val="105"/>
          <w:sz w:val="21"/>
        </w:rPr>
        <w:t>could </w:t>
      </w:r>
      <w:r>
        <w:rPr>
          <w:w w:val="105"/>
          <w:sz w:val="21"/>
        </w:rPr>
        <w:t>be located across boundary</w:t>
      </w:r>
      <w:r>
        <w:rPr>
          <w:spacing w:val="-7"/>
          <w:w w:val="105"/>
          <w:sz w:val="21"/>
        </w:rPr>
        <w:t> </w:t>
      </w:r>
      <w:r>
        <w:rPr>
          <w:spacing w:val="-3"/>
          <w:w w:val="105"/>
          <w:sz w:val="21"/>
        </w:rPr>
        <w:t>lines.</w:t>
      </w:r>
      <w:r>
        <w:rPr>
          <w:spacing w:val="-6"/>
          <w:w w:val="105"/>
          <w:sz w:val="21"/>
        </w:rPr>
        <w:t> </w:t>
      </w:r>
      <w:r>
        <w:rPr>
          <w:w w:val="105"/>
          <w:sz w:val="21"/>
        </w:rPr>
        <w:t>If</w:t>
      </w:r>
      <w:r>
        <w:rPr>
          <w:spacing w:val="-6"/>
          <w:w w:val="105"/>
          <w:sz w:val="21"/>
        </w:rPr>
        <w:t> </w:t>
      </w:r>
      <w:r>
        <w:rPr>
          <w:w w:val="105"/>
          <w:sz w:val="21"/>
        </w:rPr>
        <w:t>done</w:t>
      </w:r>
      <w:r>
        <w:rPr>
          <w:spacing w:val="-6"/>
          <w:w w:val="105"/>
          <w:sz w:val="21"/>
        </w:rPr>
        <w:t> </w:t>
      </w:r>
      <w:r>
        <w:rPr>
          <w:w w:val="105"/>
          <w:sz w:val="21"/>
        </w:rPr>
        <w:t>without</w:t>
      </w:r>
      <w:r>
        <w:rPr>
          <w:spacing w:val="-6"/>
          <w:w w:val="105"/>
          <w:sz w:val="21"/>
        </w:rPr>
        <w:t> </w:t>
      </w:r>
      <w:r>
        <w:rPr>
          <w:w w:val="105"/>
          <w:sz w:val="21"/>
        </w:rPr>
        <w:t>the</w:t>
      </w:r>
      <w:r>
        <w:rPr>
          <w:spacing w:val="-6"/>
          <w:w w:val="105"/>
          <w:sz w:val="21"/>
        </w:rPr>
        <w:t> </w:t>
      </w:r>
      <w:r>
        <w:rPr>
          <w:spacing w:val="-3"/>
          <w:w w:val="105"/>
          <w:sz w:val="21"/>
        </w:rPr>
        <w:t>consent</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w w:val="105"/>
          <w:sz w:val="21"/>
        </w:rPr>
        <w:t>tree</w:t>
      </w:r>
      <w:r>
        <w:rPr>
          <w:spacing w:val="-6"/>
          <w:w w:val="105"/>
          <w:sz w:val="21"/>
        </w:rPr>
        <w:t> </w:t>
      </w:r>
      <w:r>
        <w:rPr>
          <w:spacing w:val="-4"/>
          <w:w w:val="105"/>
          <w:sz w:val="21"/>
        </w:rPr>
        <w:t>owner,</w:t>
      </w:r>
      <w:r>
        <w:rPr>
          <w:spacing w:val="-6"/>
          <w:w w:val="105"/>
          <w:sz w:val="21"/>
        </w:rPr>
        <w:t> </w:t>
      </w:r>
      <w:r>
        <w:rPr>
          <w:w w:val="105"/>
          <w:sz w:val="21"/>
        </w:rPr>
        <w:t>this</w:t>
      </w:r>
      <w:r>
        <w:rPr>
          <w:spacing w:val="-6"/>
          <w:w w:val="105"/>
          <w:sz w:val="21"/>
        </w:rPr>
        <w:t> </w:t>
      </w:r>
      <w:r>
        <w:rPr>
          <w:w w:val="105"/>
          <w:sz w:val="21"/>
        </w:rPr>
        <w:t>would</w:t>
      </w:r>
      <w:r>
        <w:rPr>
          <w:spacing w:val="-6"/>
          <w:w w:val="105"/>
          <w:sz w:val="21"/>
        </w:rPr>
        <w:t> </w:t>
      </w:r>
      <w:r>
        <w:rPr>
          <w:spacing w:val="-4"/>
          <w:w w:val="105"/>
          <w:sz w:val="21"/>
        </w:rPr>
        <w:t>likely</w:t>
      </w:r>
      <w:r>
        <w:rPr>
          <w:spacing w:val="-6"/>
          <w:w w:val="105"/>
          <w:sz w:val="21"/>
        </w:rPr>
        <w:t> </w:t>
      </w:r>
      <w:r>
        <w:rPr>
          <w:spacing w:val="-3"/>
          <w:w w:val="105"/>
          <w:sz w:val="21"/>
        </w:rPr>
        <w:t>constitute </w:t>
      </w:r>
      <w:r>
        <w:rPr>
          <w:w w:val="105"/>
          <w:sz w:val="21"/>
        </w:rPr>
        <w:t>a</w:t>
      </w:r>
      <w:r>
        <w:rPr>
          <w:spacing w:val="5"/>
          <w:w w:val="105"/>
          <w:sz w:val="21"/>
        </w:rPr>
        <w:t> </w:t>
      </w:r>
      <w:r>
        <w:rPr>
          <w:spacing w:val="-4"/>
          <w:w w:val="105"/>
          <w:sz w:val="21"/>
        </w:rPr>
        <w:t>trespass.</w:t>
      </w:r>
      <w:r>
        <w:rPr>
          <w:spacing w:val="-4"/>
          <w:w w:val="105"/>
          <w:position w:val="7"/>
          <w:sz w:val="12"/>
        </w:rPr>
        <w:t>182</w:t>
      </w:r>
    </w:p>
    <w:p>
      <w:pPr>
        <w:pStyle w:val="ListParagraph"/>
        <w:numPr>
          <w:ilvl w:val="1"/>
          <w:numId w:val="16"/>
        </w:numPr>
        <w:tabs>
          <w:tab w:pos="2381" w:val="left" w:leader="none"/>
          <w:tab w:pos="2382" w:val="left" w:leader="none"/>
        </w:tabs>
        <w:spacing w:line="242" w:lineRule="auto" w:before="126" w:after="0"/>
        <w:ind w:left="2381" w:right="1748" w:hanging="794"/>
        <w:jc w:val="left"/>
        <w:rPr>
          <w:sz w:val="21"/>
        </w:rPr>
      </w:pPr>
      <w:r>
        <w:rPr>
          <w:spacing w:val="-3"/>
          <w:sz w:val="21"/>
        </w:rPr>
        <w:t>Alternatively, </w:t>
      </w:r>
      <w:r>
        <w:rPr>
          <w:sz w:val="21"/>
        </w:rPr>
        <w:t>an arborist </w:t>
      </w:r>
      <w:r>
        <w:rPr>
          <w:spacing w:val="-3"/>
          <w:sz w:val="21"/>
        </w:rPr>
        <w:t>may determine that </w:t>
      </w:r>
      <w:r>
        <w:rPr>
          <w:sz w:val="21"/>
        </w:rPr>
        <w:t>applying the </w:t>
      </w:r>
      <w:r>
        <w:rPr>
          <w:spacing w:val="-3"/>
          <w:sz w:val="21"/>
        </w:rPr>
        <w:t>Australian Standard  </w:t>
      </w:r>
      <w:r>
        <w:rPr>
          <w:sz w:val="21"/>
        </w:rPr>
        <w:t>would </w:t>
      </w:r>
      <w:r>
        <w:rPr>
          <w:spacing w:val="-3"/>
          <w:sz w:val="21"/>
        </w:rPr>
        <w:t>require that overhanging branches  </w:t>
      </w:r>
      <w:r>
        <w:rPr>
          <w:sz w:val="21"/>
        </w:rPr>
        <w:t>should only be </w:t>
      </w:r>
      <w:r>
        <w:rPr>
          <w:spacing w:val="-3"/>
          <w:sz w:val="21"/>
        </w:rPr>
        <w:t>lightly</w:t>
      </w:r>
      <w:r>
        <w:rPr>
          <w:spacing w:val="41"/>
          <w:sz w:val="21"/>
        </w:rPr>
        <w:t> </w:t>
      </w:r>
      <w:r>
        <w:rPr>
          <w:sz w:val="21"/>
        </w:rPr>
        <w:t>pruned </w:t>
      </w:r>
      <w:r>
        <w:rPr>
          <w:spacing w:val="-3"/>
          <w:sz w:val="21"/>
        </w:rPr>
        <w:t>to  maintain  </w:t>
      </w:r>
      <w:r>
        <w:rPr>
          <w:sz w:val="21"/>
        </w:rPr>
        <w:t>the </w:t>
      </w:r>
      <w:r>
        <w:rPr>
          <w:spacing w:val="-3"/>
          <w:sz w:val="21"/>
        </w:rPr>
        <w:t>health </w:t>
      </w:r>
      <w:r>
        <w:rPr>
          <w:sz w:val="21"/>
        </w:rPr>
        <w:t>and structural integrity of the </w:t>
      </w:r>
      <w:r>
        <w:rPr>
          <w:spacing w:val="-3"/>
          <w:sz w:val="21"/>
        </w:rPr>
        <w:t>tree. </w:t>
      </w:r>
      <w:r>
        <w:rPr>
          <w:sz w:val="21"/>
        </w:rPr>
        <w:t>Some arborists reported </w:t>
      </w:r>
      <w:r>
        <w:rPr>
          <w:spacing w:val="-3"/>
          <w:sz w:val="21"/>
        </w:rPr>
        <w:t>that </w:t>
      </w:r>
      <w:r>
        <w:rPr>
          <w:sz w:val="21"/>
        </w:rPr>
        <w:t>clients </w:t>
      </w:r>
      <w:r>
        <w:rPr>
          <w:spacing w:val="-3"/>
          <w:sz w:val="21"/>
        </w:rPr>
        <w:t>may prefer </w:t>
      </w:r>
      <w:r>
        <w:rPr>
          <w:sz w:val="21"/>
        </w:rPr>
        <w:t>their arborist </w:t>
      </w:r>
      <w:r>
        <w:rPr>
          <w:spacing w:val="-3"/>
          <w:sz w:val="21"/>
        </w:rPr>
        <w:t>to </w:t>
      </w:r>
      <w:r>
        <w:rPr>
          <w:sz w:val="21"/>
        </w:rPr>
        <w:t>perform tree works up </w:t>
      </w:r>
      <w:r>
        <w:rPr>
          <w:spacing w:val="-3"/>
          <w:sz w:val="21"/>
        </w:rPr>
        <w:t>to </w:t>
      </w:r>
      <w:r>
        <w:rPr>
          <w:sz w:val="21"/>
        </w:rPr>
        <w:t>the boundary </w:t>
      </w:r>
      <w:r>
        <w:rPr>
          <w:spacing w:val="-3"/>
          <w:sz w:val="21"/>
        </w:rPr>
        <w:t>line </w:t>
      </w:r>
      <w:r>
        <w:rPr>
          <w:sz w:val="21"/>
        </w:rPr>
        <w:t>regardless of what the </w:t>
      </w:r>
      <w:r>
        <w:rPr>
          <w:spacing w:val="-3"/>
          <w:sz w:val="21"/>
        </w:rPr>
        <w:t>Australian Standard may </w:t>
      </w:r>
      <w:r>
        <w:rPr>
          <w:sz w:val="21"/>
        </w:rPr>
        <w:t>dictate in their </w:t>
      </w:r>
      <w:r>
        <w:rPr>
          <w:spacing w:val="-4"/>
          <w:sz w:val="21"/>
        </w:rPr>
        <w:t>situation.</w:t>
      </w:r>
      <w:r>
        <w:rPr>
          <w:spacing w:val="-4"/>
          <w:position w:val="7"/>
          <w:sz w:val="12"/>
        </w:rPr>
        <w:t>183 </w:t>
      </w:r>
      <w:r>
        <w:rPr>
          <w:sz w:val="21"/>
        </w:rPr>
        <w:t>Dr Gregory Moore OAM also stated </w:t>
      </w:r>
      <w:r>
        <w:rPr>
          <w:spacing w:val="-3"/>
          <w:sz w:val="21"/>
        </w:rPr>
        <w:t>that </w:t>
      </w:r>
      <w:r>
        <w:rPr>
          <w:sz w:val="21"/>
        </w:rPr>
        <w:t>some arborists with less </w:t>
      </w:r>
      <w:r>
        <w:rPr>
          <w:spacing w:val="-3"/>
          <w:sz w:val="21"/>
        </w:rPr>
        <w:t>training </w:t>
      </w:r>
      <w:r>
        <w:rPr>
          <w:sz w:val="21"/>
        </w:rPr>
        <w:t>and experience </w:t>
      </w:r>
      <w:r>
        <w:rPr>
          <w:spacing w:val="-3"/>
          <w:sz w:val="21"/>
        </w:rPr>
        <w:t>may </w:t>
      </w:r>
      <w:r>
        <w:rPr>
          <w:sz w:val="21"/>
        </w:rPr>
        <w:t>be more </w:t>
      </w:r>
      <w:r>
        <w:rPr>
          <w:spacing w:val="-4"/>
          <w:sz w:val="21"/>
        </w:rPr>
        <w:t>likely </w:t>
      </w:r>
      <w:r>
        <w:rPr>
          <w:spacing w:val="-3"/>
          <w:sz w:val="21"/>
        </w:rPr>
        <w:t>to </w:t>
      </w:r>
      <w:r>
        <w:rPr>
          <w:sz w:val="21"/>
        </w:rPr>
        <w:t>agree </w:t>
      </w:r>
      <w:r>
        <w:rPr>
          <w:spacing w:val="-3"/>
          <w:sz w:val="21"/>
        </w:rPr>
        <w:t>to </w:t>
      </w:r>
      <w:r>
        <w:rPr>
          <w:sz w:val="21"/>
        </w:rPr>
        <w:t>their </w:t>
      </w:r>
      <w:r>
        <w:rPr>
          <w:spacing w:val="-3"/>
          <w:sz w:val="21"/>
        </w:rPr>
        <w:t>client’s </w:t>
      </w:r>
      <w:r>
        <w:rPr>
          <w:spacing w:val="-4"/>
          <w:sz w:val="21"/>
        </w:rPr>
        <w:t>wishes.</w:t>
      </w:r>
      <w:r>
        <w:rPr>
          <w:spacing w:val="-4"/>
          <w:position w:val="7"/>
          <w:sz w:val="12"/>
        </w:rPr>
        <w:t>184</w:t>
      </w:r>
    </w:p>
    <w:p>
      <w:pPr>
        <w:pStyle w:val="ListParagraph"/>
        <w:numPr>
          <w:ilvl w:val="1"/>
          <w:numId w:val="16"/>
        </w:numPr>
        <w:tabs>
          <w:tab w:pos="2381" w:val="left" w:leader="none"/>
        </w:tabs>
        <w:spacing w:line="242" w:lineRule="auto" w:before="127" w:after="0"/>
        <w:ind w:left="2381" w:right="1695" w:hanging="794"/>
        <w:jc w:val="both"/>
        <w:rPr>
          <w:sz w:val="21"/>
        </w:rPr>
      </w:pPr>
      <w:r>
        <w:rPr>
          <w:w w:val="105"/>
          <w:sz w:val="21"/>
        </w:rPr>
        <w:t>Arborists reported </w:t>
      </w:r>
      <w:r>
        <w:rPr>
          <w:spacing w:val="-3"/>
          <w:w w:val="105"/>
          <w:sz w:val="21"/>
        </w:rPr>
        <w:t>feeling concerned </w:t>
      </w:r>
      <w:r>
        <w:rPr>
          <w:w w:val="105"/>
          <w:sz w:val="21"/>
        </w:rPr>
        <w:t>about the legal </w:t>
      </w:r>
      <w:r>
        <w:rPr>
          <w:spacing w:val="-3"/>
          <w:w w:val="105"/>
          <w:sz w:val="21"/>
        </w:rPr>
        <w:t>repercussions </w:t>
      </w:r>
      <w:r>
        <w:rPr>
          <w:w w:val="105"/>
          <w:sz w:val="21"/>
        </w:rPr>
        <w:t>of </w:t>
      </w:r>
      <w:r>
        <w:rPr>
          <w:spacing w:val="-3"/>
          <w:w w:val="105"/>
          <w:sz w:val="21"/>
        </w:rPr>
        <w:t>causing </w:t>
      </w:r>
      <w:r>
        <w:rPr>
          <w:w w:val="105"/>
          <w:sz w:val="21"/>
        </w:rPr>
        <w:t>damage </w:t>
      </w:r>
      <w:r>
        <w:rPr>
          <w:spacing w:val="-3"/>
          <w:w w:val="105"/>
          <w:sz w:val="21"/>
        </w:rPr>
        <w:t>to </w:t>
      </w:r>
      <w:r>
        <w:rPr>
          <w:w w:val="105"/>
          <w:sz w:val="21"/>
        </w:rPr>
        <w:t>a tree by </w:t>
      </w:r>
      <w:r>
        <w:rPr>
          <w:spacing w:val="-2"/>
          <w:w w:val="105"/>
          <w:sz w:val="21"/>
        </w:rPr>
        <w:t>not </w:t>
      </w:r>
      <w:r>
        <w:rPr>
          <w:spacing w:val="-3"/>
          <w:w w:val="105"/>
          <w:sz w:val="21"/>
        </w:rPr>
        <w:t>following </w:t>
      </w:r>
      <w:r>
        <w:rPr>
          <w:w w:val="105"/>
          <w:sz w:val="21"/>
        </w:rPr>
        <w:t>the </w:t>
      </w:r>
      <w:r>
        <w:rPr>
          <w:spacing w:val="-3"/>
          <w:w w:val="105"/>
          <w:sz w:val="21"/>
        </w:rPr>
        <w:t>Australian Standard </w:t>
      </w:r>
      <w:r>
        <w:rPr>
          <w:w w:val="105"/>
          <w:sz w:val="21"/>
        </w:rPr>
        <w:t>and expressed </w:t>
      </w:r>
      <w:r>
        <w:rPr>
          <w:spacing w:val="-3"/>
          <w:w w:val="105"/>
          <w:sz w:val="21"/>
        </w:rPr>
        <w:t>confusion </w:t>
      </w:r>
      <w:r>
        <w:rPr>
          <w:w w:val="105"/>
          <w:sz w:val="21"/>
        </w:rPr>
        <w:t>about </w:t>
      </w:r>
      <w:r>
        <w:rPr>
          <w:spacing w:val="-3"/>
          <w:w w:val="105"/>
          <w:sz w:val="21"/>
        </w:rPr>
        <w:t>balancing </w:t>
      </w:r>
      <w:r>
        <w:rPr>
          <w:w w:val="105"/>
          <w:sz w:val="21"/>
        </w:rPr>
        <w:t>their </w:t>
      </w:r>
      <w:r>
        <w:rPr>
          <w:spacing w:val="-3"/>
          <w:w w:val="105"/>
          <w:sz w:val="21"/>
        </w:rPr>
        <w:t>obligations </w:t>
      </w:r>
      <w:r>
        <w:rPr>
          <w:w w:val="105"/>
          <w:sz w:val="21"/>
        </w:rPr>
        <w:t>in this</w:t>
      </w:r>
      <w:r>
        <w:rPr>
          <w:spacing w:val="24"/>
          <w:w w:val="105"/>
          <w:sz w:val="21"/>
        </w:rPr>
        <w:t> </w:t>
      </w:r>
      <w:r>
        <w:rPr>
          <w:spacing w:val="-5"/>
          <w:w w:val="105"/>
          <w:sz w:val="21"/>
        </w:rPr>
        <w:t>regard.</w:t>
      </w:r>
      <w:r>
        <w:rPr>
          <w:spacing w:val="-5"/>
          <w:w w:val="105"/>
          <w:position w:val="7"/>
          <w:sz w:val="12"/>
        </w:rPr>
        <w:t>185</w:t>
      </w:r>
    </w:p>
    <w:p>
      <w:pPr>
        <w:pStyle w:val="Heading7"/>
      </w:pPr>
      <w:r>
        <w:rPr>
          <w:w w:val="115"/>
        </w:rPr>
        <w:t>Limitations of alternative dispute resolution</w:t>
      </w:r>
    </w:p>
    <w:p>
      <w:pPr>
        <w:pStyle w:val="ListParagraph"/>
        <w:numPr>
          <w:ilvl w:val="1"/>
          <w:numId w:val="16"/>
        </w:numPr>
        <w:tabs>
          <w:tab w:pos="2381" w:val="left" w:leader="none"/>
          <w:tab w:pos="2382" w:val="left" w:leader="none"/>
        </w:tabs>
        <w:spacing w:line="242" w:lineRule="auto" w:before="143" w:after="0"/>
        <w:ind w:left="2381" w:right="1588" w:hanging="794"/>
        <w:jc w:val="left"/>
        <w:rPr>
          <w:sz w:val="21"/>
        </w:rPr>
      </w:pPr>
      <w:r>
        <w:rPr>
          <w:sz w:val="21"/>
        </w:rPr>
        <w:t>Data provided by DSCV and responses </w:t>
      </w:r>
      <w:r>
        <w:rPr>
          <w:spacing w:val="-3"/>
          <w:sz w:val="21"/>
        </w:rPr>
        <w:t>from  </w:t>
      </w:r>
      <w:r>
        <w:rPr>
          <w:sz w:val="21"/>
        </w:rPr>
        <w:t>the  community  suggest  </w:t>
      </w:r>
      <w:r>
        <w:rPr>
          <w:spacing w:val="-3"/>
          <w:sz w:val="21"/>
        </w:rPr>
        <w:t>that  </w:t>
      </w:r>
      <w:r>
        <w:rPr>
          <w:sz w:val="21"/>
        </w:rPr>
        <w:t>mediation  </w:t>
      </w:r>
      <w:r>
        <w:rPr>
          <w:spacing w:val="-3"/>
          <w:sz w:val="21"/>
        </w:rPr>
        <w:t>will </w:t>
      </w:r>
      <w:r>
        <w:rPr>
          <w:spacing w:val="-2"/>
          <w:sz w:val="21"/>
        </w:rPr>
        <w:t>not </w:t>
      </w:r>
      <w:r>
        <w:rPr>
          <w:sz w:val="21"/>
        </w:rPr>
        <w:t>always be effective in tree </w:t>
      </w:r>
      <w:r>
        <w:rPr>
          <w:spacing w:val="-3"/>
          <w:sz w:val="21"/>
        </w:rPr>
        <w:t>disputes. From </w:t>
      </w:r>
      <w:r>
        <w:rPr>
          <w:sz w:val="21"/>
        </w:rPr>
        <w:t>December </w:t>
      </w:r>
      <w:r>
        <w:rPr>
          <w:spacing w:val="-10"/>
          <w:sz w:val="21"/>
        </w:rPr>
        <w:t>2011 </w:t>
      </w:r>
      <w:r>
        <w:rPr>
          <w:spacing w:val="-3"/>
          <w:sz w:val="21"/>
        </w:rPr>
        <w:t>to  </w:t>
      </w:r>
      <w:r>
        <w:rPr>
          <w:spacing w:val="-2"/>
          <w:sz w:val="21"/>
        </w:rPr>
        <w:t>May  </w:t>
      </w:r>
      <w:r>
        <w:rPr>
          <w:spacing w:val="-9"/>
          <w:sz w:val="21"/>
        </w:rPr>
        <w:t>2017  </w:t>
      </w:r>
      <w:r>
        <w:rPr>
          <w:sz w:val="21"/>
        </w:rPr>
        <w:t>DSCV reports </w:t>
      </w:r>
      <w:r>
        <w:rPr>
          <w:spacing w:val="-3"/>
          <w:sz w:val="21"/>
        </w:rPr>
        <w:t>that </w:t>
      </w:r>
      <w:r>
        <w:rPr>
          <w:sz w:val="21"/>
        </w:rPr>
        <w:t>in </w:t>
      </w:r>
      <w:r>
        <w:rPr>
          <w:spacing w:val="-11"/>
          <w:sz w:val="21"/>
        </w:rPr>
        <w:t>11.3 </w:t>
      </w:r>
      <w:r>
        <w:rPr>
          <w:sz w:val="21"/>
        </w:rPr>
        <w:t>per </w:t>
      </w:r>
      <w:r>
        <w:rPr>
          <w:spacing w:val="-3"/>
          <w:sz w:val="21"/>
        </w:rPr>
        <w:t>cent </w:t>
      </w:r>
      <w:r>
        <w:rPr>
          <w:sz w:val="21"/>
        </w:rPr>
        <w:t>of tree-related </w:t>
      </w:r>
      <w:r>
        <w:rPr>
          <w:spacing w:val="-3"/>
          <w:sz w:val="21"/>
        </w:rPr>
        <w:t>enquiries, </w:t>
      </w:r>
      <w:r>
        <w:rPr>
          <w:sz w:val="21"/>
        </w:rPr>
        <w:t>it </w:t>
      </w:r>
      <w:r>
        <w:rPr>
          <w:spacing w:val="-3"/>
          <w:sz w:val="21"/>
        </w:rPr>
        <w:t>invited </w:t>
      </w:r>
      <w:r>
        <w:rPr>
          <w:sz w:val="21"/>
        </w:rPr>
        <w:t>parties </w:t>
      </w:r>
      <w:r>
        <w:rPr>
          <w:spacing w:val="-3"/>
          <w:sz w:val="21"/>
        </w:rPr>
        <w:t>to </w:t>
      </w:r>
      <w:r>
        <w:rPr>
          <w:sz w:val="21"/>
        </w:rPr>
        <w:t>participate in </w:t>
      </w:r>
      <w:r>
        <w:rPr>
          <w:spacing w:val="-3"/>
          <w:sz w:val="21"/>
        </w:rPr>
        <w:t>mediation. </w:t>
      </w:r>
      <w:r>
        <w:rPr>
          <w:spacing w:val="-4"/>
          <w:sz w:val="21"/>
        </w:rPr>
        <w:t>However, </w:t>
      </w:r>
      <w:r>
        <w:rPr>
          <w:sz w:val="21"/>
        </w:rPr>
        <w:t>mediation was only conducted in </w:t>
      </w:r>
      <w:r>
        <w:rPr>
          <w:spacing w:val="-5"/>
          <w:sz w:val="21"/>
        </w:rPr>
        <w:t>1.2 </w:t>
      </w:r>
      <w:r>
        <w:rPr>
          <w:sz w:val="21"/>
        </w:rPr>
        <w:t>per </w:t>
      </w:r>
      <w:r>
        <w:rPr>
          <w:spacing w:val="-3"/>
          <w:sz w:val="21"/>
        </w:rPr>
        <w:t>cent  </w:t>
      </w:r>
      <w:r>
        <w:rPr>
          <w:sz w:val="21"/>
        </w:rPr>
        <w:t>of these matters. DSCV suggests  </w:t>
      </w:r>
      <w:r>
        <w:rPr>
          <w:spacing w:val="-3"/>
          <w:sz w:val="21"/>
        </w:rPr>
        <w:t>that 5.3 </w:t>
      </w:r>
      <w:r>
        <w:rPr>
          <w:sz w:val="21"/>
        </w:rPr>
        <w:t>per </w:t>
      </w:r>
      <w:r>
        <w:rPr>
          <w:spacing w:val="-3"/>
          <w:sz w:val="21"/>
        </w:rPr>
        <w:t>cent </w:t>
      </w:r>
      <w:r>
        <w:rPr>
          <w:sz w:val="21"/>
        </w:rPr>
        <w:t>of tree </w:t>
      </w:r>
      <w:r>
        <w:rPr>
          <w:spacing w:val="-3"/>
          <w:sz w:val="21"/>
        </w:rPr>
        <w:t>related enquiries resulted </w:t>
      </w:r>
      <w:r>
        <w:rPr>
          <w:sz w:val="21"/>
        </w:rPr>
        <w:t>in a </w:t>
      </w:r>
      <w:r>
        <w:rPr>
          <w:spacing w:val="-3"/>
          <w:sz w:val="21"/>
        </w:rPr>
        <w:t>dispute </w:t>
      </w:r>
      <w:r>
        <w:rPr>
          <w:sz w:val="21"/>
        </w:rPr>
        <w:t>resolution </w:t>
      </w:r>
      <w:r>
        <w:rPr>
          <w:spacing w:val="-3"/>
          <w:sz w:val="21"/>
        </w:rPr>
        <w:t>outcome </w:t>
      </w:r>
      <w:r>
        <w:rPr>
          <w:sz w:val="21"/>
        </w:rPr>
        <w:t>– either </w:t>
      </w:r>
      <w:r>
        <w:rPr>
          <w:spacing w:val="-3"/>
          <w:sz w:val="21"/>
        </w:rPr>
        <w:t>through </w:t>
      </w:r>
      <w:r>
        <w:rPr>
          <w:sz w:val="21"/>
        </w:rPr>
        <w:t>mediation or where DSCV </w:t>
      </w:r>
      <w:r>
        <w:rPr>
          <w:spacing w:val="-3"/>
          <w:sz w:val="21"/>
        </w:rPr>
        <w:t>facilitated </w:t>
      </w:r>
      <w:r>
        <w:rPr>
          <w:sz w:val="21"/>
        </w:rPr>
        <w:t>an </w:t>
      </w:r>
      <w:r>
        <w:rPr>
          <w:spacing w:val="-3"/>
          <w:sz w:val="21"/>
        </w:rPr>
        <w:t>outcome for </w:t>
      </w:r>
      <w:r>
        <w:rPr>
          <w:sz w:val="21"/>
        </w:rPr>
        <w:t>parties </w:t>
      </w:r>
      <w:r>
        <w:rPr>
          <w:spacing w:val="-3"/>
          <w:sz w:val="21"/>
        </w:rPr>
        <w:t>directly, </w:t>
      </w:r>
      <w:r>
        <w:rPr>
          <w:sz w:val="21"/>
        </w:rPr>
        <w:t>or provided advice </w:t>
      </w:r>
      <w:r>
        <w:rPr>
          <w:spacing w:val="-3"/>
          <w:sz w:val="21"/>
        </w:rPr>
        <w:t>to </w:t>
      </w:r>
      <w:r>
        <w:rPr>
          <w:sz w:val="21"/>
        </w:rPr>
        <w:t>enable parties </w:t>
      </w:r>
      <w:r>
        <w:rPr>
          <w:spacing w:val="-3"/>
          <w:sz w:val="21"/>
        </w:rPr>
        <w:t>to </w:t>
      </w:r>
      <w:r>
        <w:rPr>
          <w:sz w:val="21"/>
        </w:rPr>
        <w:t>resolve their </w:t>
      </w:r>
      <w:r>
        <w:rPr>
          <w:spacing w:val="-4"/>
          <w:sz w:val="21"/>
        </w:rPr>
        <w:t>matter. </w:t>
      </w:r>
      <w:r>
        <w:rPr>
          <w:sz w:val="21"/>
        </w:rPr>
        <w:t>DSCV </w:t>
      </w:r>
      <w:r>
        <w:rPr>
          <w:spacing w:val="-2"/>
          <w:sz w:val="21"/>
        </w:rPr>
        <w:t>has  </w:t>
      </w:r>
      <w:r>
        <w:rPr>
          <w:sz w:val="21"/>
        </w:rPr>
        <w:t>advised  </w:t>
      </w:r>
      <w:r>
        <w:rPr>
          <w:spacing w:val="-3"/>
          <w:sz w:val="21"/>
        </w:rPr>
        <w:t>that  </w:t>
      </w:r>
      <w:r>
        <w:rPr>
          <w:sz w:val="21"/>
        </w:rPr>
        <w:t>this  </w:t>
      </w:r>
      <w:r>
        <w:rPr>
          <w:spacing w:val="-3"/>
          <w:sz w:val="21"/>
        </w:rPr>
        <w:t>rate  </w:t>
      </w:r>
      <w:r>
        <w:rPr>
          <w:sz w:val="21"/>
        </w:rPr>
        <w:t>differs </w:t>
      </w:r>
      <w:r>
        <w:rPr>
          <w:spacing w:val="-3"/>
          <w:sz w:val="21"/>
        </w:rPr>
        <w:t>from </w:t>
      </w:r>
      <w:r>
        <w:rPr>
          <w:sz w:val="21"/>
        </w:rPr>
        <w:t>the </w:t>
      </w:r>
      <w:r>
        <w:rPr>
          <w:spacing w:val="-3"/>
          <w:sz w:val="21"/>
        </w:rPr>
        <w:t>average  dispute  </w:t>
      </w:r>
      <w:r>
        <w:rPr>
          <w:sz w:val="21"/>
        </w:rPr>
        <w:t>resolution </w:t>
      </w:r>
      <w:r>
        <w:rPr>
          <w:spacing w:val="-3"/>
          <w:sz w:val="21"/>
        </w:rPr>
        <w:t>outcome</w:t>
      </w:r>
      <w:r>
        <w:rPr>
          <w:spacing w:val="41"/>
          <w:sz w:val="21"/>
        </w:rPr>
        <w:t> </w:t>
      </w:r>
      <w:r>
        <w:rPr>
          <w:spacing w:val="-3"/>
          <w:sz w:val="21"/>
        </w:rPr>
        <w:t>rate  for  </w:t>
      </w:r>
      <w:r>
        <w:rPr>
          <w:sz w:val="21"/>
        </w:rPr>
        <w:t>other matters which is much </w:t>
      </w:r>
      <w:r>
        <w:rPr>
          <w:spacing w:val="-3"/>
          <w:sz w:val="21"/>
        </w:rPr>
        <w:t>higher </w:t>
      </w:r>
      <w:r>
        <w:rPr>
          <w:sz w:val="21"/>
        </w:rPr>
        <w:t>at </w:t>
      </w:r>
      <w:r>
        <w:rPr>
          <w:spacing w:val="-7"/>
          <w:sz w:val="21"/>
        </w:rPr>
        <w:t>15–16 </w:t>
      </w:r>
      <w:r>
        <w:rPr>
          <w:sz w:val="21"/>
        </w:rPr>
        <w:t>per </w:t>
      </w:r>
      <w:r>
        <w:rPr>
          <w:spacing w:val="-3"/>
          <w:sz w:val="21"/>
        </w:rPr>
        <w:t>cent. </w:t>
      </w:r>
      <w:r>
        <w:rPr>
          <w:sz w:val="21"/>
        </w:rPr>
        <w:t>This </w:t>
      </w:r>
      <w:r>
        <w:rPr>
          <w:spacing w:val="-3"/>
          <w:sz w:val="21"/>
        </w:rPr>
        <w:t>information indicates that </w:t>
      </w:r>
      <w:r>
        <w:rPr>
          <w:sz w:val="21"/>
        </w:rPr>
        <w:t>tree </w:t>
      </w:r>
      <w:r>
        <w:rPr>
          <w:spacing w:val="-3"/>
          <w:sz w:val="21"/>
        </w:rPr>
        <w:t>enquiries are </w:t>
      </w:r>
      <w:r>
        <w:rPr>
          <w:sz w:val="21"/>
        </w:rPr>
        <w:t>less </w:t>
      </w:r>
      <w:r>
        <w:rPr>
          <w:spacing w:val="-4"/>
          <w:sz w:val="21"/>
        </w:rPr>
        <w:t>likely </w:t>
      </w:r>
      <w:r>
        <w:rPr>
          <w:spacing w:val="-3"/>
          <w:sz w:val="21"/>
        </w:rPr>
        <w:t>than </w:t>
      </w:r>
      <w:r>
        <w:rPr>
          <w:sz w:val="21"/>
        </w:rPr>
        <w:t>other matters</w:t>
      </w:r>
      <w:r>
        <w:rPr>
          <w:spacing w:val="9"/>
          <w:sz w:val="21"/>
        </w:rPr>
        <w:t> </w:t>
      </w:r>
      <w:r>
        <w:rPr>
          <w:spacing w:val="-3"/>
          <w:sz w:val="21"/>
        </w:rPr>
        <w:t>to</w:t>
      </w:r>
      <w:r>
        <w:rPr>
          <w:spacing w:val="10"/>
          <w:sz w:val="21"/>
        </w:rPr>
        <w:t> </w:t>
      </w:r>
      <w:r>
        <w:rPr>
          <w:sz w:val="21"/>
        </w:rPr>
        <w:t>progress</w:t>
      </w:r>
      <w:r>
        <w:rPr>
          <w:spacing w:val="10"/>
          <w:sz w:val="21"/>
        </w:rPr>
        <w:t> </w:t>
      </w:r>
      <w:r>
        <w:rPr>
          <w:spacing w:val="-3"/>
          <w:sz w:val="21"/>
        </w:rPr>
        <w:t>to</w:t>
      </w:r>
      <w:r>
        <w:rPr>
          <w:spacing w:val="10"/>
          <w:sz w:val="21"/>
        </w:rPr>
        <w:t> </w:t>
      </w:r>
      <w:r>
        <w:rPr>
          <w:sz w:val="21"/>
        </w:rPr>
        <w:t>a</w:t>
      </w:r>
      <w:r>
        <w:rPr>
          <w:spacing w:val="9"/>
          <w:sz w:val="21"/>
        </w:rPr>
        <w:t> </w:t>
      </w:r>
      <w:r>
        <w:rPr>
          <w:spacing w:val="-3"/>
          <w:sz w:val="21"/>
        </w:rPr>
        <w:t>dispute</w:t>
      </w:r>
      <w:r>
        <w:rPr>
          <w:spacing w:val="10"/>
          <w:sz w:val="21"/>
        </w:rPr>
        <w:t> </w:t>
      </w:r>
      <w:r>
        <w:rPr>
          <w:sz w:val="21"/>
        </w:rPr>
        <w:t>resolution</w:t>
      </w:r>
      <w:r>
        <w:rPr>
          <w:spacing w:val="10"/>
          <w:sz w:val="21"/>
        </w:rPr>
        <w:t> </w:t>
      </w:r>
      <w:r>
        <w:rPr>
          <w:spacing w:val="-5"/>
          <w:sz w:val="21"/>
        </w:rPr>
        <w:t>outcome.</w:t>
      </w:r>
      <w:r>
        <w:rPr>
          <w:spacing w:val="-5"/>
          <w:position w:val="7"/>
          <w:sz w:val="12"/>
        </w:rPr>
        <w:t>186</w:t>
      </w:r>
    </w:p>
    <w:p>
      <w:pPr>
        <w:pStyle w:val="ListParagraph"/>
        <w:numPr>
          <w:ilvl w:val="1"/>
          <w:numId w:val="16"/>
        </w:numPr>
        <w:tabs>
          <w:tab w:pos="2381" w:val="left" w:leader="none"/>
          <w:tab w:pos="2382" w:val="left" w:leader="none"/>
        </w:tabs>
        <w:spacing w:line="242" w:lineRule="auto" w:before="131" w:after="0"/>
        <w:ind w:left="2381" w:right="1725" w:hanging="794"/>
        <w:jc w:val="left"/>
        <w:rPr>
          <w:sz w:val="21"/>
        </w:rPr>
      </w:pPr>
      <w:r>
        <w:rPr>
          <w:w w:val="105"/>
          <w:sz w:val="21"/>
        </w:rPr>
        <w:t>Ben</w:t>
      </w:r>
      <w:r>
        <w:rPr>
          <w:spacing w:val="-5"/>
          <w:w w:val="105"/>
          <w:sz w:val="21"/>
        </w:rPr>
        <w:t> </w:t>
      </w:r>
      <w:r>
        <w:rPr>
          <w:spacing w:val="-3"/>
          <w:w w:val="105"/>
          <w:sz w:val="21"/>
        </w:rPr>
        <w:t>Kenyon</w:t>
      </w:r>
      <w:r>
        <w:rPr>
          <w:spacing w:val="-4"/>
          <w:w w:val="105"/>
          <w:sz w:val="21"/>
        </w:rPr>
        <w:t> </w:t>
      </w:r>
      <w:r>
        <w:rPr>
          <w:w w:val="105"/>
          <w:sz w:val="21"/>
        </w:rPr>
        <w:t>also</w:t>
      </w:r>
      <w:r>
        <w:rPr>
          <w:spacing w:val="-4"/>
          <w:w w:val="105"/>
          <w:sz w:val="21"/>
        </w:rPr>
        <w:t> </w:t>
      </w:r>
      <w:r>
        <w:rPr>
          <w:spacing w:val="-3"/>
          <w:w w:val="105"/>
          <w:sz w:val="21"/>
        </w:rPr>
        <w:t>noted</w:t>
      </w:r>
      <w:r>
        <w:rPr>
          <w:spacing w:val="-5"/>
          <w:w w:val="105"/>
          <w:sz w:val="21"/>
        </w:rPr>
        <w:t> </w:t>
      </w:r>
      <w:r>
        <w:rPr>
          <w:spacing w:val="-3"/>
          <w:w w:val="105"/>
          <w:sz w:val="21"/>
        </w:rPr>
        <w:t>that</w:t>
      </w:r>
      <w:r>
        <w:rPr>
          <w:spacing w:val="-4"/>
          <w:w w:val="105"/>
          <w:sz w:val="21"/>
        </w:rPr>
        <w:t> </w:t>
      </w:r>
      <w:r>
        <w:rPr>
          <w:spacing w:val="2"/>
          <w:w w:val="105"/>
          <w:sz w:val="21"/>
        </w:rPr>
        <w:t>‘[m]ost</w:t>
      </w:r>
      <w:r>
        <w:rPr>
          <w:spacing w:val="-4"/>
          <w:w w:val="105"/>
          <w:sz w:val="21"/>
        </w:rPr>
        <w:t> </w:t>
      </w:r>
      <w:r>
        <w:rPr>
          <w:spacing w:val="-3"/>
          <w:w w:val="105"/>
          <w:sz w:val="21"/>
        </w:rPr>
        <w:t>situations</w:t>
      </w:r>
      <w:r>
        <w:rPr>
          <w:spacing w:val="-4"/>
          <w:w w:val="105"/>
          <w:sz w:val="21"/>
        </w:rPr>
        <w:t> </w:t>
      </w:r>
      <w:r>
        <w:rPr>
          <w:spacing w:val="-3"/>
          <w:w w:val="105"/>
          <w:sz w:val="21"/>
        </w:rPr>
        <w:t>rarely</w:t>
      </w:r>
      <w:r>
        <w:rPr>
          <w:spacing w:val="-5"/>
          <w:w w:val="105"/>
          <w:sz w:val="21"/>
        </w:rPr>
        <w:t> </w:t>
      </w:r>
      <w:r>
        <w:rPr>
          <w:w w:val="105"/>
          <w:sz w:val="21"/>
        </w:rPr>
        <w:t>end</w:t>
      </w:r>
      <w:r>
        <w:rPr>
          <w:spacing w:val="-4"/>
          <w:w w:val="105"/>
          <w:sz w:val="21"/>
        </w:rPr>
        <w:t> </w:t>
      </w:r>
      <w:r>
        <w:rPr>
          <w:w w:val="105"/>
          <w:sz w:val="21"/>
        </w:rPr>
        <w:t>with</w:t>
      </w:r>
      <w:r>
        <w:rPr>
          <w:spacing w:val="-4"/>
          <w:w w:val="105"/>
          <w:sz w:val="21"/>
        </w:rPr>
        <w:t> </w:t>
      </w:r>
      <w:r>
        <w:rPr>
          <w:spacing w:val="-3"/>
          <w:w w:val="105"/>
          <w:sz w:val="21"/>
        </w:rPr>
        <w:t>mediation’</w:t>
      </w:r>
      <w:r>
        <w:rPr>
          <w:spacing w:val="-4"/>
          <w:w w:val="105"/>
          <w:sz w:val="21"/>
        </w:rPr>
        <w:t> </w:t>
      </w:r>
      <w:r>
        <w:rPr>
          <w:w w:val="105"/>
          <w:sz w:val="21"/>
        </w:rPr>
        <w:t>and</w:t>
      </w:r>
      <w:r>
        <w:rPr>
          <w:spacing w:val="-5"/>
          <w:w w:val="105"/>
          <w:sz w:val="21"/>
        </w:rPr>
        <w:t> </w:t>
      </w:r>
      <w:r>
        <w:rPr>
          <w:spacing w:val="-3"/>
          <w:w w:val="105"/>
          <w:sz w:val="21"/>
        </w:rPr>
        <w:t>that</w:t>
      </w:r>
      <w:r>
        <w:rPr>
          <w:spacing w:val="-4"/>
          <w:w w:val="105"/>
          <w:sz w:val="21"/>
        </w:rPr>
        <w:t> </w:t>
      </w:r>
      <w:r>
        <w:rPr>
          <w:w w:val="105"/>
          <w:sz w:val="21"/>
        </w:rPr>
        <w:t>if</w:t>
      </w:r>
      <w:r>
        <w:rPr>
          <w:spacing w:val="-4"/>
          <w:w w:val="105"/>
          <w:sz w:val="21"/>
        </w:rPr>
        <w:t> </w:t>
      </w:r>
      <w:r>
        <w:rPr>
          <w:w w:val="105"/>
          <w:sz w:val="21"/>
        </w:rPr>
        <w:t>they </w:t>
      </w:r>
      <w:r>
        <w:rPr>
          <w:spacing w:val="-3"/>
          <w:w w:val="105"/>
          <w:sz w:val="21"/>
        </w:rPr>
        <w:t>remain </w:t>
      </w:r>
      <w:r>
        <w:rPr>
          <w:w w:val="105"/>
          <w:sz w:val="21"/>
        </w:rPr>
        <w:t>unresolved then the </w:t>
      </w:r>
      <w:r>
        <w:rPr>
          <w:spacing w:val="-3"/>
          <w:w w:val="105"/>
          <w:sz w:val="21"/>
        </w:rPr>
        <w:t>disputes are </w:t>
      </w:r>
      <w:r>
        <w:rPr>
          <w:spacing w:val="-4"/>
          <w:w w:val="105"/>
          <w:sz w:val="21"/>
        </w:rPr>
        <w:t>likely </w:t>
      </w:r>
      <w:r>
        <w:rPr>
          <w:spacing w:val="-3"/>
          <w:w w:val="105"/>
          <w:sz w:val="21"/>
        </w:rPr>
        <w:t>to ‘head straight through to</w:t>
      </w:r>
      <w:r>
        <w:rPr>
          <w:spacing w:val="30"/>
          <w:w w:val="105"/>
          <w:sz w:val="21"/>
        </w:rPr>
        <w:t> </w:t>
      </w:r>
      <w:r>
        <w:rPr>
          <w:spacing w:val="-5"/>
          <w:w w:val="105"/>
          <w:sz w:val="21"/>
        </w:rPr>
        <w:t>court’.</w:t>
      </w:r>
      <w:r>
        <w:rPr>
          <w:spacing w:val="-5"/>
          <w:w w:val="105"/>
          <w:position w:val="7"/>
          <w:sz w:val="12"/>
        </w:rPr>
        <w:t>187</w:t>
      </w:r>
    </w:p>
    <w:p>
      <w:pPr>
        <w:pStyle w:val="BodyText"/>
        <w:rPr>
          <w:sz w:val="20"/>
        </w:rPr>
      </w:pPr>
    </w:p>
    <w:p>
      <w:pPr>
        <w:pStyle w:val="BodyText"/>
        <w:rPr>
          <w:sz w:val="20"/>
        </w:rPr>
      </w:pPr>
    </w:p>
    <w:p>
      <w:pPr>
        <w:pStyle w:val="BodyText"/>
        <w:spacing w:before="2"/>
        <w:rPr>
          <w:sz w:val="23"/>
        </w:rPr>
      </w:pPr>
      <w:r>
        <w:rPr/>
        <w:pict>
          <v:line style="position:absolute;mso-position-horizontal-relative:page;mso-position-vertical-relative:paragraph;z-index:1664;mso-wrap-distance-left:0;mso-wrap-distance-right:0" from="79.370003pt,16.590185pt" to="515.905003pt,16.590185pt" stroked="true" strokeweight="1pt" strokecolor="#c9d2cb">
            <v:stroke dashstyle="solid"/>
            <w10:wrap type="topAndBottom"/>
          </v:line>
        </w:pict>
      </w:r>
    </w:p>
    <w:p>
      <w:pPr>
        <w:pStyle w:val="ListParagraph"/>
        <w:numPr>
          <w:ilvl w:val="0"/>
          <w:numId w:val="31"/>
        </w:numPr>
        <w:tabs>
          <w:tab w:pos="2380" w:val="left" w:leader="none"/>
          <w:tab w:pos="2382" w:val="left" w:leader="none"/>
        </w:tabs>
        <w:spacing w:line="240" w:lineRule="auto" w:before="117" w:after="0"/>
        <w:ind w:left="2381" w:right="0" w:hanging="794"/>
        <w:jc w:val="left"/>
        <w:rPr>
          <w:sz w:val="13"/>
        </w:rPr>
      </w:pPr>
      <w:r>
        <w:rPr>
          <w:w w:val="105"/>
          <w:sz w:val="13"/>
        </w:rPr>
        <w:t>Submission</w:t>
      </w:r>
      <w:r>
        <w:rPr>
          <w:spacing w:val="5"/>
          <w:w w:val="105"/>
          <w:sz w:val="13"/>
        </w:rPr>
        <w:t> </w:t>
      </w:r>
      <w:r>
        <w:rPr>
          <w:w w:val="105"/>
          <w:sz w:val="13"/>
        </w:rPr>
        <w:t>7</w:t>
      </w:r>
      <w:r>
        <w:rPr>
          <w:spacing w:val="5"/>
          <w:w w:val="105"/>
          <w:sz w:val="13"/>
        </w:rPr>
        <w:t> </w:t>
      </w:r>
      <w:r>
        <w:rPr>
          <w:spacing w:val="2"/>
          <w:w w:val="105"/>
          <w:sz w:val="13"/>
        </w:rPr>
        <w:t>(Ben</w:t>
      </w:r>
      <w:r>
        <w:rPr>
          <w:spacing w:val="5"/>
          <w:w w:val="105"/>
          <w:sz w:val="13"/>
        </w:rPr>
        <w:t> </w:t>
      </w:r>
      <w:r>
        <w:rPr>
          <w:w w:val="105"/>
          <w:sz w:val="13"/>
        </w:rPr>
        <w:t>Kenyon);</w:t>
      </w:r>
      <w:r>
        <w:rPr>
          <w:spacing w:val="6"/>
          <w:w w:val="105"/>
          <w:sz w:val="13"/>
        </w:rPr>
        <w:t> </w:t>
      </w:r>
      <w:r>
        <w:rPr>
          <w:w w:val="105"/>
          <w:sz w:val="13"/>
        </w:rPr>
        <w:t>Consultations</w:t>
      </w:r>
      <w:r>
        <w:rPr>
          <w:spacing w:val="5"/>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6"/>
          <w:w w:val="105"/>
          <w:sz w:val="13"/>
        </w:rPr>
        <w:t> </w:t>
      </w:r>
      <w:r>
        <w:rPr>
          <w:w w:val="105"/>
          <w:sz w:val="13"/>
        </w:rPr>
        <w:t>facilitated</w:t>
      </w:r>
      <w:r>
        <w:rPr>
          <w:spacing w:val="5"/>
          <w:w w:val="105"/>
          <w:sz w:val="13"/>
        </w:rPr>
        <w:t> </w:t>
      </w:r>
      <w:r>
        <w:rPr>
          <w:w w:val="105"/>
          <w:sz w:val="13"/>
        </w:rPr>
        <w:t>discussion</w:t>
      </w:r>
      <w:r>
        <w:rPr>
          <w:spacing w:val="5"/>
          <w:w w:val="105"/>
          <w:sz w:val="13"/>
        </w:rPr>
        <w:t> </w:t>
      </w:r>
      <w:r>
        <w:rPr>
          <w:w w:val="105"/>
          <w:sz w:val="13"/>
        </w:rPr>
        <w:t>at</w:t>
      </w:r>
      <w:r>
        <w:rPr>
          <w:spacing w:val="5"/>
          <w:w w:val="105"/>
          <w:sz w:val="13"/>
        </w:rPr>
        <w:t> </w:t>
      </w:r>
      <w:r>
        <w:rPr>
          <w:spacing w:val="4"/>
          <w:w w:val="105"/>
          <w:sz w:val="13"/>
        </w:rPr>
        <w:t>VTIO</w:t>
      </w:r>
      <w:r>
        <w:rPr>
          <w:spacing w:val="6"/>
          <w:w w:val="105"/>
          <w:sz w:val="13"/>
        </w:rPr>
        <w:t> </w:t>
      </w:r>
      <w:r>
        <w:rPr>
          <w:w w:val="105"/>
          <w:sz w:val="13"/>
        </w:rPr>
        <w:t>ArborCamp2018),</w:t>
      </w:r>
      <w:r>
        <w:rPr>
          <w:spacing w:val="5"/>
          <w:w w:val="105"/>
          <w:sz w:val="13"/>
        </w:rPr>
        <w:t> </w:t>
      </w:r>
      <w:r>
        <w:rPr>
          <w:w w:val="105"/>
          <w:sz w:val="13"/>
        </w:rPr>
        <w:t>6</w:t>
      </w:r>
      <w:r>
        <w:rPr>
          <w:spacing w:val="5"/>
          <w:w w:val="105"/>
          <w:sz w:val="13"/>
        </w:rPr>
        <w:t> </w:t>
      </w:r>
      <w:r>
        <w:rPr>
          <w:spacing w:val="2"/>
          <w:w w:val="105"/>
          <w:sz w:val="13"/>
        </w:rPr>
        <w:t>(Ben</w:t>
      </w:r>
      <w:r>
        <w:rPr>
          <w:spacing w:val="5"/>
          <w:w w:val="105"/>
          <w:sz w:val="13"/>
        </w:rPr>
        <w:t> </w:t>
      </w:r>
      <w:r>
        <w:rPr>
          <w:w w:val="105"/>
          <w:sz w:val="13"/>
        </w:rPr>
        <w:t>Kenyon).</w:t>
      </w:r>
    </w:p>
    <w:p>
      <w:pPr>
        <w:pStyle w:val="ListParagraph"/>
        <w:numPr>
          <w:ilvl w:val="0"/>
          <w:numId w:val="31"/>
        </w:numPr>
        <w:tabs>
          <w:tab w:pos="2380" w:val="left" w:leader="none"/>
          <w:tab w:pos="2382" w:val="left" w:leader="none"/>
        </w:tabs>
        <w:spacing w:line="240" w:lineRule="auto" w:before="1" w:after="0"/>
        <w:ind w:left="2381" w:right="0" w:hanging="794"/>
        <w:jc w:val="left"/>
        <w:rPr>
          <w:sz w:val="13"/>
        </w:rPr>
      </w:pPr>
      <w:r>
        <w:rPr>
          <w:w w:val="105"/>
          <w:sz w:val="13"/>
        </w:rPr>
        <w:t>Submission </w:t>
      </w:r>
      <w:r>
        <w:rPr>
          <w:spacing w:val="-4"/>
          <w:w w:val="105"/>
          <w:sz w:val="13"/>
        </w:rPr>
        <w:t>12 </w:t>
      </w:r>
      <w:r>
        <w:rPr>
          <w:spacing w:val="3"/>
          <w:w w:val="105"/>
          <w:sz w:val="13"/>
        </w:rPr>
        <w:t>(Dr </w:t>
      </w:r>
      <w:r>
        <w:rPr>
          <w:w w:val="105"/>
          <w:sz w:val="13"/>
        </w:rPr>
        <w:t>Gregory Moore</w:t>
      </w:r>
      <w:r>
        <w:rPr>
          <w:spacing w:val="-3"/>
          <w:w w:val="105"/>
          <w:sz w:val="13"/>
        </w:rPr>
        <w:t> </w:t>
      </w:r>
      <w:r>
        <w:rPr>
          <w:spacing w:val="2"/>
          <w:w w:val="105"/>
          <w:sz w:val="13"/>
        </w:rPr>
        <w:t>OAM).</w:t>
      </w:r>
    </w:p>
    <w:p>
      <w:pPr>
        <w:pStyle w:val="ListParagraph"/>
        <w:numPr>
          <w:ilvl w:val="0"/>
          <w:numId w:val="31"/>
        </w:numPr>
        <w:tabs>
          <w:tab w:pos="2380" w:val="left" w:leader="none"/>
          <w:tab w:pos="2382" w:val="left" w:leader="none"/>
        </w:tabs>
        <w:spacing w:line="240" w:lineRule="auto" w:before="2" w:after="0"/>
        <w:ind w:left="2381" w:right="0" w:hanging="794"/>
        <w:jc w:val="left"/>
        <w:rPr>
          <w:sz w:val="13"/>
        </w:rPr>
      </w:pPr>
      <w:r>
        <w:rPr>
          <w:w w:val="105"/>
          <w:sz w:val="13"/>
        </w:rPr>
        <w:t>Submission</w:t>
      </w:r>
      <w:r>
        <w:rPr>
          <w:spacing w:val="5"/>
          <w:w w:val="105"/>
          <w:sz w:val="13"/>
        </w:rPr>
        <w:t> </w:t>
      </w:r>
      <w:r>
        <w:rPr>
          <w:w w:val="105"/>
          <w:sz w:val="13"/>
        </w:rPr>
        <w:t>7</w:t>
      </w:r>
      <w:r>
        <w:rPr>
          <w:spacing w:val="5"/>
          <w:w w:val="105"/>
          <w:sz w:val="13"/>
        </w:rPr>
        <w:t> </w:t>
      </w:r>
      <w:r>
        <w:rPr>
          <w:spacing w:val="2"/>
          <w:w w:val="105"/>
          <w:sz w:val="13"/>
        </w:rPr>
        <w:t>(Ben</w:t>
      </w:r>
      <w:r>
        <w:rPr>
          <w:spacing w:val="5"/>
          <w:w w:val="105"/>
          <w:sz w:val="13"/>
        </w:rPr>
        <w:t> </w:t>
      </w:r>
      <w:r>
        <w:rPr>
          <w:w w:val="105"/>
          <w:sz w:val="13"/>
        </w:rPr>
        <w:t>Kenyon);</w:t>
      </w:r>
      <w:r>
        <w:rPr>
          <w:spacing w:val="6"/>
          <w:w w:val="105"/>
          <w:sz w:val="13"/>
        </w:rPr>
        <w:t> </w:t>
      </w:r>
      <w:r>
        <w:rPr>
          <w:w w:val="105"/>
          <w:sz w:val="13"/>
        </w:rPr>
        <w:t>Consultations</w:t>
      </w:r>
      <w:r>
        <w:rPr>
          <w:spacing w:val="5"/>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6"/>
          <w:w w:val="105"/>
          <w:sz w:val="13"/>
        </w:rPr>
        <w:t> </w:t>
      </w:r>
      <w:r>
        <w:rPr>
          <w:w w:val="105"/>
          <w:sz w:val="13"/>
        </w:rPr>
        <w:t>facilitated</w:t>
      </w:r>
      <w:r>
        <w:rPr>
          <w:spacing w:val="5"/>
          <w:w w:val="105"/>
          <w:sz w:val="13"/>
        </w:rPr>
        <w:t> </w:t>
      </w:r>
      <w:r>
        <w:rPr>
          <w:w w:val="105"/>
          <w:sz w:val="13"/>
        </w:rPr>
        <w:t>discussion</w:t>
      </w:r>
      <w:r>
        <w:rPr>
          <w:spacing w:val="5"/>
          <w:w w:val="105"/>
          <w:sz w:val="13"/>
        </w:rPr>
        <w:t> </w:t>
      </w:r>
      <w:r>
        <w:rPr>
          <w:w w:val="105"/>
          <w:sz w:val="13"/>
        </w:rPr>
        <w:t>at</w:t>
      </w:r>
      <w:r>
        <w:rPr>
          <w:spacing w:val="5"/>
          <w:w w:val="105"/>
          <w:sz w:val="13"/>
        </w:rPr>
        <w:t> </w:t>
      </w:r>
      <w:r>
        <w:rPr>
          <w:spacing w:val="4"/>
          <w:w w:val="105"/>
          <w:sz w:val="13"/>
        </w:rPr>
        <w:t>VTIO</w:t>
      </w:r>
      <w:r>
        <w:rPr>
          <w:spacing w:val="6"/>
          <w:w w:val="105"/>
          <w:sz w:val="13"/>
        </w:rPr>
        <w:t> </w:t>
      </w:r>
      <w:r>
        <w:rPr>
          <w:w w:val="105"/>
          <w:sz w:val="13"/>
        </w:rPr>
        <w:t>ArborCamp2018),</w:t>
      </w:r>
      <w:r>
        <w:rPr>
          <w:spacing w:val="5"/>
          <w:w w:val="105"/>
          <w:sz w:val="13"/>
        </w:rPr>
        <w:t> </w:t>
      </w:r>
      <w:r>
        <w:rPr>
          <w:w w:val="105"/>
          <w:sz w:val="13"/>
        </w:rPr>
        <w:t>6</w:t>
      </w:r>
      <w:r>
        <w:rPr>
          <w:spacing w:val="5"/>
          <w:w w:val="105"/>
          <w:sz w:val="13"/>
        </w:rPr>
        <w:t> </w:t>
      </w:r>
      <w:r>
        <w:rPr>
          <w:spacing w:val="2"/>
          <w:w w:val="105"/>
          <w:sz w:val="13"/>
        </w:rPr>
        <w:t>(Ben</w:t>
      </w:r>
      <w:r>
        <w:rPr>
          <w:spacing w:val="5"/>
          <w:w w:val="105"/>
          <w:sz w:val="13"/>
        </w:rPr>
        <w:t> </w:t>
      </w:r>
      <w:r>
        <w:rPr>
          <w:w w:val="105"/>
          <w:sz w:val="13"/>
        </w:rPr>
        <w:t>Kenyon).</w:t>
      </w:r>
    </w:p>
    <w:p>
      <w:pPr>
        <w:pStyle w:val="ListParagraph"/>
        <w:numPr>
          <w:ilvl w:val="0"/>
          <w:numId w:val="31"/>
        </w:numPr>
        <w:tabs>
          <w:tab w:pos="2380" w:val="left" w:leader="none"/>
          <w:tab w:pos="2382" w:val="left" w:leader="none"/>
        </w:tabs>
        <w:spacing w:line="240" w:lineRule="auto" w:before="1" w:after="0"/>
        <w:ind w:left="2381" w:right="0" w:hanging="794"/>
        <w:jc w:val="left"/>
        <w:rPr>
          <w:sz w:val="13"/>
        </w:rPr>
      </w:pPr>
      <w:r>
        <w:rPr>
          <w:w w:val="105"/>
          <w:sz w:val="13"/>
        </w:rPr>
        <w:t>Submission 23 </w:t>
      </w:r>
      <w:r>
        <w:rPr>
          <w:spacing w:val="2"/>
          <w:w w:val="105"/>
          <w:sz w:val="13"/>
        </w:rPr>
        <w:t>(Name</w:t>
      </w:r>
      <w:r>
        <w:rPr>
          <w:spacing w:val="13"/>
          <w:w w:val="105"/>
          <w:sz w:val="13"/>
        </w:rPr>
        <w:t> </w:t>
      </w:r>
      <w:r>
        <w:rPr>
          <w:w w:val="105"/>
          <w:sz w:val="13"/>
        </w:rPr>
        <w:t>withheld).</w:t>
      </w:r>
    </w:p>
    <w:p>
      <w:pPr>
        <w:pStyle w:val="ListParagraph"/>
        <w:numPr>
          <w:ilvl w:val="0"/>
          <w:numId w:val="31"/>
        </w:numPr>
        <w:tabs>
          <w:tab w:pos="2381" w:val="left" w:leader="none"/>
          <w:tab w:pos="2382" w:val="left" w:leader="none"/>
        </w:tabs>
        <w:spacing w:line="240" w:lineRule="auto" w:before="1" w:after="0"/>
        <w:ind w:left="1587" w:right="5074" w:firstLine="0"/>
        <w:jc w:val="left"/>
        <w:rPr>
          <w:sz w:val="13"/>
        </w:rPr>
      </w:pPr>
      <w:r>
        <w:rPr>
          <w:w w:val="105"/>
          <w:sz w:val="13"/>
        </w:rPr>
        <w:t>Consultation 4 (Participants in facilitated discussion at </w:t>
      </w:r>
      <w:r>
        <w:rPr>
          <w:spacing w:val="4"/>
          <w:w w:val="105"/>
          <w:sz w:val="13"/>
        </w:rPr>
        <w:t>VTIO </w:t>
      </w:r>
      <w:r>
        <w:rPr>
          <w:w w:val="105"/>
          <w:sz w:val="13"/>
        </w:rPr>
        <w:t>ArborCamp2018). 184</w:t>
        <w:tab/>
        <w:t>Consultation 2 </w:t>
      </w:r>
      <w:r>
        <w:rPr>
          <w:spacing w:val="3"/>
          <w:w w:val="105"/>
          <w:sz w:val="13"/>
        </w:rPr>
        <w:t>(Dr </w:t>
      </w:r>
      <w:r>
        <w:rPr>
          <w:w w:val="105"/>
          <w:sz w:val="13"/>
        </w:rPr>
        <w:t>Gregory Moore</w:t>
      </w:r>
      <w:r>
        <w:rPr>
          <w:spacing w:val="22"/>
          <w:w w:val="105"/>
          <w:sz w:val="13"/>
        </w:rPr>
        <w:t> </w:t>
      </w:r>
      <w:r>
        <w:rPr>
          <w:spacing w:val="2"/>
          <w:w w:val="105"/>
          <w:sz w:val="13"/>
        </w:rPr>
        <w:t>OAM).</w:t>
      </w:r>
    </w:p>
    <w:p>
      <w:pPr>
        <w:pStyle w:val="ListParagraph"/>
        <w:numPr>
          <w:ilvl w:val="0"/>
          <w:numId w:val="32"/>
        </w:numPr>
        <w:tabs>
          <w:tab w:pos="2381" w:val="left" w:leader="none"/>
          <w:tab w:pos="2382" w:val="left" w:leader="none"/>
        </w:tabs>
        <w:spacing w:line="240" w:lineRule="auto" w:before="3" w:after="0"/>
        <w:ind w:left="2381" w:right="0" w:hanging="794"/>
        <w:jc w:val="left"/>
        <w:rPr>
          <w:sz w:val="13"/>
        </w:rPr>
      </w:pPr>
      <w:r>
        <w:rPr>
          <w:w w:val="105"/>
          <w:sz w:val="13"/>
        </w:rPr>
        <w:t>Consultation 4 (Participants in facilitated discussion at </w:t>
      </w:r>
      <w:r>
        <w:rPr>
          <w:spacing w:val="4"/>
          <w:w w:val="105"/>
          <w:sz w:val="13"/>
        </w:rPr>
        <w:t>VTIO</w:t>
      </w:r>
      <w:r>
        <w:rPr>
          <w:spacing w:val="38"/>
          <w:w w:val="105"/>
          <w:sz w:val="13"/>
        </w:rPr>
        <w:t> </w:t>
      </w:r>
      <w:r>
        <w:rPr>
          <w:w w:val="105"/>
          <w:sz w:val="13"/>
        </w:rPr>
        <w:t>ArborCamp2018).</w:t>
      </w:r>
    </w:p>
    <w:p>
      <w:pPr>
        <w:pStyle w:val="ListParagraph"/>
        <w:numPr>
          <w:ilvl w:val="0"/>
          <w:numId w:val="32"/>
        </w:numPr>
        <w:tabs>
          <w:tab w:pos="2381" w:val="left" w:leader="none"/>
          <w:tab w:pos="2382" w:val="left" w:leader="none"/>
        </w:tabs>
        <w:spacing w:line="240" w:lineRule="auto" w:before="1" w:after="0"/>
        <w:ind w:left="2381" w:right="0" w:hanging="794"/>
        <w:jc w:val="left"/>
        <w:rPr>
          <w:sz w:val="13"/>
        </w:rPr>
      </w:pPr>
      <w:r>
        <w:rPr/>
        <w:pict>
          <v:shape style="position:absolute;margin-left:548.849487pt;margin-top:3.009364pt;width:13.5pt;height:14.25pt;mso-position-horizontal-relative:page;mso-position-vertical-relative:paragraph;z-index:3736" type="#_x0000_t202" filled="false" stroked="false">
            <v:textbox inset="0,0,0,0">
              <w:txbxContent>
                <w:p>
                  <w:pPr>
                    <w:spacing w:line="284" w:lineRule="exact" w:before="0"/>
                    <w:ind w:left="0" w:right="0" w:firstLine="0"/>
                    <w:jc w:val="left"/>
                    <w:rPr>
                      <w:b/>
                      <w:sz w:val="24"/>
                    </w:rPr>
                  </w:pPr>
                  <w:r>
                    <w:rPr>
                      <w:b/>
                      <w:color w:val="658464"/>
                      <w:w w:val="110"/>
                      <w:sz w:val="24"/>
                    </w:rPr>
                    <w:t>43</w:t>
                  </w:r>
                </w:p>
              </w:txbxContent>
            </v:textbox>
            <w10:wrap type="none"/>
          </v:shape>
        </w:pict>
      </w:r>
      <w:r>
        <w:rPr>
          <w:w w:val="105"/>
          <w:sz w:val="13"/>
        </w:rPr>
        <w:t>Information</w:t>
      </w:r>
      <w:r>
        <w:rPr>
          <w:spacing w:val="5"/>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DSCV</w:t>
      </w:r>
      <w:r>
        <w:rPr>
          <w:spacing w:val="5"/>
          <w:w w:val="105"/>
          <w:sz w:val="13"/>
        </w:rPr>
        <w:t> </w:t>
      </w:r>
      <w:r>
        <w:rPr>
          <w:w w:val="105"/>
          <w:sz w:val="13"/>
        </w:rPr>
        <w:t>as</w:t>
      </w:r>
      <w:r>
        <w:rPr>
          <w:spacing w:val="5"/>
          <w:w w:val="105"/>
          <w:sz w:val="13"/>
        </w:rPr>
        <w:t> </w:t>
      </w:r>
      <w:r>
        <w:rPr>
          <w:w w:val="105"/>
          <w:sz w:val="13"/>
        </w:rPr>
        <w:t>part</w:t>
      </w:r>
      <w:r>
        <w:rPr>
          <w:spacing w:val="5"/>
          <w:w w:val="105"/>
          <w:sz w:val="13"/>
        </w:rPr>
        <w:t> </w:t>
      </w:r>
      <w:r>
        <w:rPr>
          <w:w w:val="105"/>
          <w:sz w:val="13"/>
        </w:rPr>
        <w:t>of</w:t>
      </w:r>
      <w:r>
        <w:rPr>
          <w:spacing w:val="5"/>
          <w:w w:val="105"/>
          <w:sz w:val="13"/>
        </w:rPr>
        <w:t> </w:t>
      </w:r>
      <w:r>
        <w:rPr>
          <w:w w:val="105"/>
          <w:sz w:val="13"/>
        </w:rPr>
        <w:t>a</w:t>
      </w:r>
      <w:r>
        <w:rPr>
          <w:spacing w:val="5"/>
          <w:w w:val="105"/>
          <w:sz w:val="13"/>
        </w:rPr>
        <w:t> </w:t>
      </w:r>
      <w:r>
        <w:rPr>
          <w:w w:val="105"/>
          <w:sz w:val="13"/>
        </w:rPr>
        <w:t>data</w:t>
      </w:r>
      <w:r>
        <w:rPr>
          <w:spacing w:val="5"/>
          <w:w w:val="105"/>
          <w:sz w:val="13"/>
        </w:rPr>
        <w:t> </w:t>
      </w:r>
      <w:r>
        <w:rPr>
          <w:w w:val="105"/>
          <w:sz w:val="13"/>
        </w:rPr>
        <w:t>request</w:t>
      </w:r>
      <w:r>
        <w:rPr>
          <w:spacing w:val="5"/>
          <w:w w:val="105"/>
          <w:sz w:val="13"/>
        </w:rPr>
        <w:t> </w:t>
      </w:r>
      <w:r>
        <w:rPr>
          <w:w w:val="105"/>
          <w:sz w:val="13"/>
        </w:rPr>
        <w:t>from</w:t>
      </w:r>
      <w:r>
        <w:rPr>
          <w:spacing w:val="5"/>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August</w:t>
      </w:r>
      <w:r>
        <w:rPr>
          <w:spacing w:val="6"/>
          <w:w w:val="105"/>
          <w:sz w:val="13"/>
        </w:rPr>
        <w:t> </w:t>
      </w:r>
      <w:r>
        <w:rPr>
          <w:spacing w:val="-5"/>
          <w:w w:val="105"/>
          <w:sz w:val="13"/>
        </w:rPr>
        <w:t>2017.</w:t>
      </w:r>
    </w:p>
    <w:p>
      <w:pPr>
        <w:pStyle w:val="ListParagraph"/>
        <w:numPr>
          <w:ilvl w:val="0"/>
          <w:numId w:val="32"/>
        </w:numPr>
        <w:tabs>
          <w:tab w:pos="2381" w:val="left" w:leader="none"/>
          <w:tab w:pos="2382" w:val="left" w:leader="none"/>
        </w:tabs>
        <w:spacing w:line="240" w:lineRule="auto" w:before="2" w:after="0"/>
        <w:ind w:left="2381" w:right="0" w:hanging="794"/>
        <w:jc w:val="left"/>
        <w:rPr>
          <w:sz w:val="13"/>
        </w:rPr>
      </w:pPr>
      <w:r>
        <w:rPr>
          <w:w w:val="105"/>
          <w:sz w:val="13"/>
        </w:rPr>
        <w:t>Submission 7 </w:t>
      </w:r>
      <w:r>
        <w:rPr>
          <w:spacing w:val="2"/>
          <w:w w:val="105"/>
          <w:sz w:val="13"/>
        </w:rPr>
        <w:t>(Ben</w:t>
      </w:r>
      <w:r>
        <w:rPr>
          <w:spacing w:val="13"/>
          <w:w w:val="105"/>
          <w:sz w:val="13"/>
        </w:rPr>
        <w:t> </w:t>
      </w:r>
      <w:r>
        <w:rPr>
          <w:w w:val="105"/>
          <w:sz w:val="13"/>
        </w:rPr>
        <w:t>Kenyon).</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16"/>
        </w:numPr>
        <w:tabs>
          <w:tab w:pos="2381" w:val="left" w:leader="none"/>
          <w:tab w:pos="2382" w:val="left" w:leader="none"/>
        </w:tabs>
        <w:spacing w:line="242" w:lineRule="auto" w:before="92" w:after="0"/>
        <w:ind w:left="2381" w:right="2205" w:hanging="794"/>
        <w:jc w:val="left"/>
        <w:rPr>
          <w:sz w:val="21"/>
        </w:rPr>
      </w:pPr>
      <w:r>
        <w:rPr>
          <w:sz w:val="21"/>
        </w:rPr>
        <w:t>Mediation is a voluntary process. Nearly </w:t>
      </w:r>
      <w:r>
        <w:rPr>
          <w:spacing w:val="-3"/>
          <w:sz w:val="21"/>
        </w:rPr>
        <w:t>all </w:t>
      </w:r>
      <w:r>
        <w:rPr>
          <w:sz w:val="21"/>
        </w:rPr>
        <w:t>community members who told the </w:t>
      </w:r>
      <w:r>
        <w:rPr>
          <w:spacing w:val="-3"/>
          <w:sz w:val="21"/>
        </w:rPr>
        <w:t>Commission that </w:t>
      </w:r>
      <w:r>
        <w:rPr>
          <w:sz w:val="21"/>
        </w:rPr>
        <w:t>they contacted DSCV </w:t>
      </w:r>
      <w:r>
        <w:rPr>
          <w:spacing w:val="-3"/>
          <w:sz w:val="21"/>
        </w:rPr>
        <w:t>for  </w:t>
      </w:r>
      <w:r>
        <w:rPr>
          <w:sz w:val="21"/>
        </w:rPr>
        <w:t>help  with  their  tree  </w:t>
      </w:r>
      <w:r>
        <w:rPr>
          <w:spacing w:val="-3"/>
          <w:sz w:val="21"/>
        </w:rPr>
        <w:t>dispute  </w:t>
      </w:r>
      <w:r>
        <w:rPr>
          <w:sz w:val="21"/>
        </w:rPr>
        <w:t>reported </w:t>
      </w:r>
      <w:r>
        <w:rPr>
          <w:spacing w:val="-3"/>
          <w:sz w:val="21"/>
        </w:rPr>
        <w:t>that </w:t>
      </w:r>
      <w:r>
        <w:rPr>
          <w:sz w:val="21"/>
        </w:rPr>
        <w:t>mediation </w:t>
      </w:r>
      <w:r>
        <w:rPr>
          <w:spacing w:val="-3"/>
          <w:sz w:val="21"/>
        </w:rPr>
        <w:t>could </w:t>
      </w:r>
      <w:r>
        <w:rPr>
          <w:spacing w:val="-2"/>
          <w:sz w:val="21"/>
        </w:rPr>
        <w:t>not </w:t>
      </w:r>
      <w:r>
        <w:rPr>
          <w:sz w:val="21"/>
        </w:rPr>
        <w:t>be </w:t>
      </w:r>
      <w:r>
        <w:rPr>
          <w:spacing w:val="-3"/>
          <w:sz w:val="21"/>
        </w:rPr>
        <w:t>arranged </w:t>
      </w:r>
      <w:r>
        <w:rPr>
          <w:sz w:val="21"/>
        </w:rPr>
        <w:t>because the other party was </w:t>
      </w:r>
      <w:r>
        <w:rPr>
          <w:spacing w:val="-3"/>
          <w:sz w:val="21"/>
        </w:rPr>
        <w:t>unresponsive </w:t>
      </w:r>
      <w:r>
        <w:rPr>
          <w:sz w:val="21"/>
        </w:rPr>
        <w:t>or </w:t>
      </w:r>
      <w:r>
        <w:rPr>
          <w:spacing w:val="-5"/>
          <w:sz w:val="21"/>
        </w:rPr>
        <w:t>unwilling.</w:t>
      </w:r>
      <w:r>
        <w:rPr>
          <w:spacing w:val="-5"/>
          <w:position w:val="7"/>
          <w:sz w:val="12"/>
        </w:rPr>
        <w:t>188 </w:t>
      </w:r>
      <w:r>
        <w:rPr>
          <w:sz w:val="21"/>
        </w:rPr>
        <w:t>One person</w:t>
      </w:r>
      <w:r>
        <w:rPr>
          <w:spacing w:val="11"/>
          <w:sz w:val="21"/>
        </w:rPr>
        <w:t> </w:t>
      </w:r>
      <w:r>
        <w:rPr>
          <w:sz w:val="21"/>
        </w:rPr>
        <w:t>explained:</w:t>
      </w:r>
    </w:p>
    <w:p>
      <w:pPr>
        <w:spacing w:line="254" w:lineRule="auto" w:before="134"/>
        <w:ind w:left="2834" w:right="1636" w:firstLine="0"/>
        <w:jc w:val="left"/>
        <w:rPr>
          <w:sz w:val="11"/>
        </w:rPr>
      </w:pPr>
      <w:r>
        <w:rPr>
          <w:w w:val="105"/>
          <w:sz w:val="20"/>
        </w:rPr>
        <w:t>I was hoping to </w:t>
      </w:r>
      <w:r>
        <w:rPr>
          <w:spacing w:val="-3"/>
          <w:w w:val="105"/>
          <w:sz w:val="20"/>
        </w:rPr>
        <w:t>initiate </w:t>
      </w:r>
      <w:r>
        <w:rPr>
          <w:w w:val="105"/>
          <w:sz w:val="20"/>
        </w:rPr>
        <w:t>mediation through the [Dispute Settlement </w:t>
      </w:r>
      <w:r>
        <w:rPr>
          <w:spacing w:val="-4"/>
          <w:w w:val="105"/>
          <w:sz w:val="20"/>
        </w:rPr>
        <w:t>Centre </w:t>
      </w:r>
      <w:r>
        <w:rPr>
          <w:w w:val="105"/>
          <w:sz w:val="20"/>
        </w:rPr>
        <w:t>of Victoria], so I provided them with my neighbours’ details (name and address). The </w:t>
      </w:r>
      <w:r>
        <w:rPr>
          <w:spacing w:val="-4"/>
          <w:w w:val="105"/>
          <w:sz w:val="20"/>
        </w:rPr>
        <w:t>Centre </w:t>
      </w:r>
      <w:r>
        <w:rPr>
          <w:w w:val="105"/>
          <w:sz w:val="20"/>
        </w:rPr>
        <w:t>sent correspondence to my </w:t>
      </w:r>
      <w:r>
        <w:rPr>
          <w:spacing w:val="-3"/>
          <w:w w:val="105"/>
          <w:sz w:val="20"/>
        </w:rPr>
        <w:t>neighbour, </w:t>
      </w:r>
      <w:r>
        <w:rPr>
          <w:w w:val="105"/>
          <w:sz w:val="20"/>
        </w:rPr>
        <w:t>but my neighbour refused to attend and therefore we</w:t>
      </w:r>
      <w:r>
        <w:rPr>
          <w:spacing w:val="-4"/>
          <w:w w:val="105"/>
          <w:sz w:val="20"/>
        </w:rPr>
        <w:t> </w:t>
      </w:r>
      <w:r>
        <w:rPr>
          <w:w w:val="105"/>
          <w:sz w:val="20"/>
        </w:rPr>
        <w:t>did</w:t>
      </w:r>
      <w:r>
        <w:rPr>
          <w:spacing w:val="-3"/>
          <w:w w:val="105"/>
          <w:sz w:val="20"/>
        </w:rPr>
        <w:t> </w:t>
      </w:r>
      <w:r>
        <w:rPr>
          <w:w w:val="105"/>
          <w:sz w:val="20"/>
        </w:rPr>
        <w:t>not</w:t>
      </w:r>
      <w:r>
        <w:rPr>
          <w:spacing w:val="-3"/>
          <w:w w:val="105"/>
          <w:sz w:val="20"/>
        </w:rPr>
        <w:t> have </w:t>
      </w:r>
      <w:r>
        <w:rPr>
          <w:w w:val="105"/>
          <w:sz w:val="20"/>
        </w:rPr>
        <w:t>a</w:t>
      </w:r>
      <w:r>
        <w:rPr>
          <w:spacing w:val="-3"/>
          <w:w w:val="105"/>
          <w:sz w:val="20"/>
        </w:rPr>
        <w:t> </w:t>
      </w:r>
      <w:r>
        <w:rPr>
          <w:w w:val="105"/>
          <w:sz w:val="20"/>
        </w:rPr>
        <w:t>meeting</w:t>
      </w:r>
      <w:r>
        <w:rPr>
          <w:spacing w:val="-3"/>
          <w:w w:val="105"/>
          <w:sz w:val="20"/>
        </w:rPr>
        <w:t> </w:t>
      </w:r>
      <w:r>
        <w:rPr>
          <w:w w:val="105"/>
          <w:sz w:val="20"/>
        </w:rPr>
        <w:t>to</w:t>
      </w:r>
      <w:r>
        <w:rPr>
          <w:spacing w:val="-4"/>
          <w:w w:val="105"/>
          <w:sz w:val="20"/>
        </w:rPr>
        <w:t> </w:t>
      </w:r>
      <w:r>
        <w:rPr>
          <w:w w:val="105"/>
          <w:sz w:val="20"/>
        </w:rPr>
        <w:t>negotiate</w:t>
      </w:r>
      <w:r>
        <w:rPr>
          <w:spacing w:val="-3"/>
          <w:w w:val="105"/>
          <w:sz w:val="20"/>
        </w:rPr>
        <w:t> </w:t>
      </w:r>
      <w:r>
        <w:rPr>
          <w:w w:val="105"/>
          <w:sz w:val="20"/>
        </w:rPr>
        <w:t>an</w:t>
      </w:r>
      <w:r>
        <w:rPr>
          <w:spacing w:val="-3"/>
          <w:w w:val="105"/>
          <w:sz w:val="20"/>
        </w:rPr>
        <w:t> outcome. </w:t>
      </w:r>
      <w:r>
        <w:rPr>
          <w:w w:val="105"/>
          <w:sz w:val="20"/>
        </w:rPr>
        <w:t>The</w:t>
      </w:r>
      <w:r>
        <w:rPr>
          <w:spacing w:val="-3"/>
          <w:w w:val="105"/>
          <w:sz w:val="20"/>
        </w:rPr>
        <w:t> </w:t>
      </w:r>
      <w:r>
        <w:rPr>
          <w:w w:val="105"/>
          <w:sz w:val="20"/>
        </w:rPr>
        <w:t>[Dispute</w:t>
      </w:r>
      <w:r>
        <w:rPr>
          <w:spacing w:val="-3"/>
          <w:w w:val="105"/>
          <w:sz w:val="20"/>
        </w:rPr>
        <w:t> </w:t>
      </w:r>
      <w:r>
        <w:rPr>
          <w:w w:val="105"/>
          <w:sz w:val="20"/>
        </w:rPr>
        <w:t>Settlement</w:t>
      </w:r>
      <w:r>
        <w:rPr>
          <w:spacing w:val="-4"/>
          <w:w w:val="105"/>
          <w:sz w:val="20"/>
        </w:rPr>
        <w:t> Centre</w:t>
      </w:r>
      <w:r>
        <w:rPr>
          <w:spacing w:val="-3"/>
          <w:w w:val="105"/>
          <w:sz w:val="20"/>
        </w:rPr>
        <w:t> </w:t>
      </w:r>
      <w:r>
        <w:rPr>
          <w:w w:val="105"/>
          <w:sz w:val="20"/>
        </w:rPr>
        <w:t>of Victoria]</w:t>
      </w:r>
      <w:r>
        <w:rPr>
          <w:spacing w:val="-9"/>
          <w:w w:val="105"/>
          <w:sz w:val="20"/>
        </w:rPr>
        <w:t> </w:t>
      </w:r>
      <w:r>
        <w:rPr>
          <w:w w:val="105"/>
          <w:sz w:val="20"/>
        </w:rPr>
        <w:t>told</w:t>
      </w:r>
      <w:r>
        <w:rPr>
          <w:spacing w:val="-8"/>
          <w:w w:val="105"/>
          <w:sz w:val="20"/>
        </w:rPr>
        <w:t> </w:t>
      </w:r>
      <w:r>
        <w:rPr>
          <w:w w:val="105"/>
          <w:sz w:val="20"/>
        </w:rPr>
        <w:t>me</w:t>
      </w:r>
      <w:r>
        <w:rPr>
          <w:spacing w:val="-8"/>
          <w:w w:val="105"/>
          <w:sz w:val="20"/>
        </w:rPr>
        <w:t> </w:t>
      </w:r>
      <w:r>
        <w:rPr>
          <w:w w:val="105"/>
          <w:sz w:val="20"/>
        </w:rPr>
        <w:t>that</w:t>
      </w:r>
      <w:r>
        <w:rPr>
          <w:spacing w:val="-9"/>
          <w:w w:val="105"/>
          <w:sz w:val="20"/>
        </w:rPr>
        <w:t> </w:t>
      </w:r>
      <w:r>
        <w:rPr>
          <w:w w:val="105"/>
          <w:sz w:val="20"/>
        </w:rPr>
        <w:t>attendance</w:t>
      </w:r>
      <w:r>
        <w:rPr>
          <w:spacing w:val="-8"/>
          <w:w w:val="105"/>
          <w:sz w:val="20"/>
        </w:rPr>
        <w:t> </w:t>
      </w:r>
      <w:r>
        <w:rPr>
          <w:w w:val="105"/>
          <w:sz w:val="20"/>
        </w:rPr>
        <w:t>is</w:t>
      </w:r>
      <w:r>
        <w:rPr>
          <w:spacing w:val="-8"/>
          <w:w w:val="105"/>
          <w:sz w:val="20"/>
        </w:rPr>
        <w:t> </w:t>
      </w:r>
      <w:r>
        <w:rPr>
          <w:w w:val="105"/>
          <w:sz w:val="20"/>
        </w:rPr>
        <w:t>purely</w:t>
      </w:r>
      <w:r>
        <w:rPr>
          <w:spacing w:val="-9"/>
          <w:w w:val="105"/>
          <w:sz w:val="20"/>
        </w:rPr>
        <w:t> </w:t>
      </w:r>
      <w:r>
        <w:rPr>
          <w:w w:val="105"/>
          <w:sz w:val="20"/>
        </w:rPr>
        <w:t>on</w:t>
      </w:r>
      <w:r>
        <w:rPr>
          <w:spacing w:val="-8"/>
          <w:w w:val="105"/>
          <w:sz w:val="20"/>
        </w:rPr>
        <w:t> </w:t>
      </w:r>
      <w:r>
        <w:rPr>
          <w:w w:val="105"/>
          <w:sz w:val="20"/>
        </w:rPr>
        <w:t>a</w:t>
      </w:r>
      <w:r>
        <w:rPr>
          <w:spacing w:val="-8"/>
          <w:w w:val="105"/>
          <w:sz w:val="20"/>
        </w:rPr>
        <w:t> </w:t>
      </w:r>
      <w:r>
        <w:rPr>
          <w:w w:val="105"/>
          <w:sz w:val="20"/>
        </w:rPr>
        <w:t>voluntary</w:t>
      </w:r>
      <w:r>
        <w:rPr>
          <w:spacing w:val="-9"/>
          <w:w w:val="105"/>
          <w:sz w:val="20"/>
        </w:rPr>
        <w:t> </w:t>
      </w:r>
      <w:r>
        <w:rPr>
          <w:w w:val="105"/>
          <w:sz w:val="20"/>
        </w:rPr>
        <w:t>basis</w:t>
      </w:r>
      <w:r>
        <w:rPr>
          <w:spacing w:val="-8"/>
          <w:w w:val="105"/>
          <w:sz w:val="20"/>
        </w:rPr>
        <w:t> </w:t>
      </w:r>
      <w:r>
        <w:rPr>
          <w:w w:val="105"/>
          <w:sz w:val="20"/>
        </w:rPr>
        <w:t>and</w:t>
      </w:r>
      <w:r>
        <w:rPr>
          <w:spacing w:val="-8"/>
          <w:w w:val="105"/>
          <w:sz w:val="20"/>
        </w:rPr>
        <w:t> </w:t>
      </w:r>
      <w:r>
        <w:rPr>
          <w:w w:val="105"/>
          <w:sz w:val="20"/>
        </w:rPr>
        <w:t>they</w:t>
      </w:r>
      <w:r>
        <w:rPr>
          <w:spacing w:val="-9"/>
          <w:w w:val="105"/>
          <w:sz w:val="20"/>
        </w:rPr>
        <w:t> </w:t>
      </w:r>
      <w:r>
        <w:rPr>
          <w:spacing w:val="-3"/>
          <w:w w:val="105"/>
          <w:sz w:val="20"/>
        </w:rPr>
        <w:t>could</w:t>
      </w:r>
      <w:r>
        <w:rPr>
          <w:spacing w:val="-8"/>
          <w:w w:val="105"/>
          <w:sz w:val="20"/>
        </w:rPr>
        <w:t> </w:t>
      </w:r>
      <w:r>
        <w:rPr>
          <w:w w:val="105"/>
          <w:sz w:val="20"/>
        </w:rPr>
        <w:t>not</w:t>
      </w:r>
      <w:r>
        <w:rPr>
          <w:spacing w:val="-8"/>
          <w:w w:val="105"/>
          <w:sz w:val="20"/>
        </w:rPr>
        <w:t> </w:t>
      </w:r>
      <w:r>
        <w:rPr>
          <w:spacing w:val="-3"/>
          <w:w w:val="105"/>
          <w:sz w:val="20"/>
        </w:rPr>
        <w:t>force </w:t>
      </w:r>
      <w:r>
        <w:rPr>
          <w:w w:val="105"/>
          <w:sz w:val="20"/>
        </w:rPr>
        <w:t>my neighbour to attend if [they] </w:t>
      </w:r>
      <w:r>
        <w:rPr>
          <w:spacing w:val="-3"/>
          <w:w w:val="105"/>
          <w:sz w:val="20"/>
        </w:rPr>
        <w:t>didn’t</w:t>
      </w:r>
      <w:r>
        <w:rPr>
          <w:spacing w:val="34"/>
          <w:w w:val="105"/>
          <w:sz w:val="20"/>
        </w:rPr>
        <w:t> </w:t>
      </w:r>
      <w:r>
        <w:rPr>
          <w:spacing w:val="-4"/>
          <w:w w:val="105"/>
          <w:sz w:val="20"/>
        </w:rPr>
        <w:t>want.</w:t>
      </w:r>
      <w:r>
        <w:rPr>
          <w:spacing w:val="-4"/>
          <w:w w:val="105"/>
          <w:position w:val="7"/>
          <w:sz w:val="11"/>
        </w:rPr>
        <w:t>189</w:t>
      </w:r>
    </w:p>
    <w:p>
      <w:pPr>
        <w:pStyle w:val="ListParagraph"/>
        <w:numPr>
          <w:ilvl w:val="1"/>
          <w:numId w:val="16"/>
        </w:numPr>
        <w:tabs>
          <w:tab w:pos="2380" w:val="left" w:leader="none"/>
          <w:tab w:pos="2381" w:val="left" w:leader="none"/>
        </w:tabs>
        <w:spacing w:line="242" w:lineRule="auto" w:before="117" w:after="0"/>
        <w:ind w:left="2381" w:right="1949" w:hanging="794"/>
        <w:jc w:val="left"/>
        <w:rPr>
          <w:sz w:val="21"/>
        </w:rPr>
      </w:pPr>
      <w:r>
        <w:rPr>
          <w:w w:val="105"/>
          <w:sz w:val="21"/>
        </w:rPr>
        <w:t>A further </w:t>
      </w:r>
      <w:r>
        <w:rPr>
          <w:spacing w:val="-3"/>
          <w:w w:val="105"/>
          <w:sz w:val="21"/>
        </w:rPr>
        <w:t>limitation may </w:t>
      </w:r>
      <w:r>
        <w:rPr>
          <w:w w:val="105"/>
          <w:sz w:val="21"/>
        </w:rPr>
        <w:t>arise when a </w:t>
      </w:r>
      <w:r>
        <w:rPr>
          <w:spacing w:val="-3"/>
          <w:w w:val="105"/>
          <w:sz w:val="21"/>
        </w:rPr>
        <w:t>neighbour </w:t>
      </w:r>
      <w:r>
        <w:rPr>
          <w:w w:val="105"/>
          <w:sz w:val="21"/>
        </w:rPr>
        <w:t>seeking </w:t>
      </w:r>
      <w:r>
        <w:rPr>
          <w:spacing w:val="-3"/>
          <w:w w:val="105"/>
          <w:sz w:val="21"/>
        </w:rPr>
        <w:t>to mediate cannot </w:t>
      </w:r>
      <w:r>
        <w:rPr>
          <w:w w:val="105"/>
          <w:sz w:val="21"/>
        </w:rPr>
        <w:t>locate the tree owner or obtain their contact details. This can happen where a </w:t>
      </w:r>
      <w:r>
        <w:rPr>
          <w:spacing w:val="-3"/>
          <w:w w:val="105"/>
          <w:sz w:val="21"/>
        </w:rPr>
        <w:t>holiday </w:t>
      </w:r>
      <w:r>
        <w:rPr>
          <w:w w:val="105"/>
          <w:sz w:val="21"/>
        </w:rPr>
        <w:t>home is occupied only</w:t>
      </w:r>
      <w:r>
        <w:rPr>
          <w:spacing w:val="10"/>
          <w:w w:val="105"/>
          <w:sz w:val="21"/>
        </w:rPr>
        <w:t> </w:t>
      </w:r>
      <w:r>
        <w:rPr>
          <w:spacing w:val="-4"/>
          <w:w w:val="105"/>
          <w:sz w:val="21"/>
        </w:rPr>
        <w:t>periodically.</w:t>
      </w:r>
      <w:r>
        <w:rPr>
          <w:spacing w:val="-4"/>
          <w:w w:val="105"/>
          <w:position w:val="7"/>
          <w:sz w:val="12"/>
        </w:rPr>
        <w:t>190</w:t>
      </w:r>
    </w:p>
    <w:p>
      <w:pPr>
        <w:pStyle w:val="ListParagraph"/>
        <w:numPr>
          <w:ilvl w:val="1"/>
          <w:numId w:val="16"/>
        </w:numPr>
        <w:tabs>
          <w:tab w:pos="2380" w:val="left" w:leader="none"/>
          <w:tab w:pos="2381" w:val="left" w:leader="none"/>
        </w:tabs>
        <w:spacing w:line="242" w:lineRule="auto" w:before="124" w:after="0"/>
        <w:ind w:left="2380" w:right="1844" w:hanging="793"/>
        <w:jc w:val="left"/>
        <w:rPr>
          <w:sz w:val="21"/>
        </w:rPr>
      </w:pPr>
      <w:r>
        <w:rPr>
          <w:w w:val="105"/>
          <w:sz w:val="21"/>
        </w:rPr>
        <w:t>The</w:t>
      </w:r>
      <w:r>
        <w:rPr>
          <w:spacing w:val="-9"/>
          <w:w w:val="105"/>
          <w:sz w:val="21"/>
        </w:rPr>
        <w:t> </w:t>
      </w:r>
      <w:r>
        <w:rPr>
          <w:w w:val="105"/>
          <w:sz w:val="21"/>
        </w:rPr>
        <w:t>Law</w:t>
      </w:r>
      <w:r>
        <w:rPr>
          <w:spacing w:val="-9"/>
          <w:w w:val="105"/>
          <w:sz w:val="21"/>
        </w:rPr>
        <w:t> </w:t>
      </w:r>
      <w:r>
        <w:rPr>
          <w:spacing w:val="-3"/>
          <w:w w:val="105"/>
          <w:sz w:val="21"/>
        </w:rPr>
        <w:t>Institute</w:t>
      </w:r>
      <w:r>
        <w:rPr>
          <w:spacing w:val="-9"/>
          <w:w w:val="105"/>
          <w:sz w:val="21"/>
        </w:rPr>
        <w:t> </w:t>
      </w:r>
      <w:r>
        <w:rPr>
          <w:w w:val="105"/>
          <w:sz w:val="21"/>
        </w:rPr>
        <w:t>of</w:t>
      </w:r>
      <w:r>
        <w:rPr>
          <w:spacing w:val="-9"/>
          <w:w w:val="105"/>
          <w:sz w:val="21"/>
        </w:rPr>
        <w:t> </w:t>
      </w:r>
      <w:r>
        <w:rPr>
          <w:w w:val="105"/>
          <w:sz w:val="21"/>
        </w:rPr>
        <w:t>Victoria</w:t>
      </w:r>
      <w:r>
        <w:rPr>
          <w:spacing w:val="-9"/>
          <w:w w:val="105"/>
          <w:sz w:val="21"/>
        </w:rPr>
        <w:t> </w:t>
      </w:r>
      <w:r>
        <w:rPr>
          <w:spacing w:val="-3"/>
          <w:w w:val="105"/>
          <w:sz w:val="21"/>
        </w:rPr>
        <w:t>noted</w:t>
      </w:r>
      <w:r>
        <w:rPr>
          <w:spacing w:val="-8"/>
          <w:w w:val="105"/>
          <w:sz w:val="21"/>
        </w:rPr>
        <w:t> </w:t>
      </w:r>
      <w:r>
        <w:rPr>
          <w:spacing w:val="-3"/>
          <w:w w:val="105"/>
          <w:sz w:val="21"/>
        </w:rPr>
        <w:t>that</w:t>
      </w:r>
      <w:r>
        <w:rPr>
          <w:spacing w:val="-9"/>
          <w:w w:val="105"/>
          <w:sz w:val="21"/>
        </w:rPr>
        <w:t> </w:t>
      </w:r>
      <w:r>
        <w:rPr>
          <w:w w:val="105"/>
          <w:sz w:val="21"/>
        </w:rPr>
        <w:t>even</w:t>
      </w:r>
      <w:r>
        <w:rPr>
          <w:spacing w:val="-9"/>
          <w:w w:val="105"/>
          <w:sz w:val="21"/>
        </w:rPr>
        <w:t> </w:t>
      </w:r>
      <w:r>
        <w:rPr>
          <w:w w:val="105"/>
          <w:sz w:val="21"/>
        </w:rPr>
        <w:t>if</w:t>
      </w:r>
      <w:r>
        <w:rPr>
          <w:spacing w:val="-9"/>
          <w:w w:val="105"/>
          <w:sz w:val="21"/>
        </w:rPr>
        <w:t> </w:t>
      </w:r>
      <w:r>
        <w:rPr>
          <w:w w:val="105"/>
          <w:sz w:val="21"/>
        </w:rPr>
        <w:t>neighbours</w:t>
      </w:r>
      <w:r>
        <w:rPr>
          <w:spacing w:val="-9"/>
          <w:w w:val="105"/>
          <w:sz w:val="21"/>
        </w:rPr>
        <w:t> </w:t>
      </w:r>
      <w:r>
        <w:rPr>
          <w:w w:val="105"/>
          <w:sz w:val="21"/>
        </w:rPr>
        <w:t>participate</w:t>
      </w:r>
      <w:r>
        <w:rPr>
          <w:spacing w:val="-8"/>
          <w:w w:val="105"/>
          <w:sz w:val="21"/>
        </w:rPr>
        <w:t> </w:t>
      </w:r>
      <w:r>
        <w:rPr>
          <w:w w:val="105"/>
          <w:sz w:val="21"/>
        </w:rPr>
        <w:t>in</w:t>
      </w:r>
      <w:r>
        <w:rPr>
          <w:spacing w:val="-9"/>
          <w:w w:val="105"/>
          <w:sz w:val="21"/>
        </w:rPr>
        <w:t> </w:t>
      </w:r>
      <w:r>
        <w:rPr>
          <w:w w:val="105"/>
          <w:sz w:val="21"/>
        </w:rPr>
        <w:t>mediation</w:t>
      </w:r>
      <w:r>
        <w:rPr>
          <w:spacing w:val="-9"/>
          <w:w w:val="105"/>
          <w:sz w:val="21"/>
        </w:rPr>
        <w:t> </w:t>
      </w:r>
      <w:r>
        <w:rPr>
          <w:w w:val="105"/>
          <w:sz w:val="21"/>
        </w:rPr>
        <w:t>and agree on a </w:t>
      </w:r>
      <w:r>
        <w:rPr>
          <w:spacing w:val="-3"/>
          <w:w w:val="105"/>
          <w:sz w:val="21"/>
        </w:rPr>
        <w:t>form </w:t>
      </w:r>
      <w:r>
        <w:rPr>
          <w:w w:val="105"/>
          <w:sz w:val="21"/>
        </w:rPr>
        <w:t>of </w:t>
      </w:r>
      <w:r>
        <w:rPr>
          <w:spacing w:val="-3"/>
          <w:w w:val="105"/>
          <w:sz w:val="21"/>
        </w:rPr>
        <w:t>resolution, </w:t>
      </w:r>
      <w:r>
        <w:rPr>
          <w:w w:val="105"/>
          <w:sz w:val="21"/>
        </w:rPr>
        <w:t>the </w:t>
      </w:r>
      <w:r>
        <w:rPr>
          <w:spacing w:val="-3"/>
          <w:w w:val="105"/>
          <w:sz w:val="21"/>
        </w:rPr>
        <w:t>outcomes </w:t>
      </w:r>
      <w:r>
        <w:rPr>
          <w:w w:val="105"/>
          <w:sz w:val="21"/>
        </w:rPr>
        <w:t>or agreements </w:t>
      </w:r>
      <w:r>
        <w:rPr>
          <w:spacing w:val="-3"/>
          <w:w w:val="105"/>
          <w:sz w:val="21"/>
        </w:rPr>
        <w:t>reached may </w:t>
      </w:r>
      <w:r>
        <w:rPr>
          <w:spacing w:val="-2"/>
          <w:w w:val="105"/>
          <w:sz w:val="21"/>
        </w:rPr>
        <w:t>not </w:t>
      </w:r>
      <w:r>
        <w:rPr>
          <w:w w:val="105"/>
          <w:sz w:val="21"/>
        </w:rPr>
        <w:t>be </w:t>
      </w:r>
      <w:r>
        <w:rPr>
          <w:spacing w:val="-3"/>
          <w:w w:val="105"/>
          <w:sz w:val="21"/>
        </w:rPr>
        <w:t>easily enforceable </w:t>
      </w:r>
      <w:r>
        <w:rPr>
          <w:w w:val="105"/>
          <w:sz w:val="21"/>
        </w:rPr>
        <w:t>if the </w:t>
      </w:r>
      <w:r>
        <w:rPr>
          <w:spacing w:val="-3"/>
          <w:w w:val="105"/>
          <w:sz w:val="21"/>
        </w:rPr>
        <w:t>neighbour later changes </w:t>
      </w:r>
      <w:r>
        <w:rPr>
          <w:w w:val="105"/>
          <w:sz w:val="21"/>
        </w:rPr>
        <w:t>their </w:t>
      </w:r>
      <w:r>
        <w:rPr>
          <w:spacing w:val="-3"/>
          <w:w w:val="105"/>
          <w:sz w:val="21"/>
        </w:rPr>
        <w:t>mind </w:t>
      </w:r>
      <w:r>
        <w:rPr>
          <w:w w:val="105"/>
          <w:sz w:val="21"/>
        </w:rPr>
        <w:t>or otherwise </w:t>
      </w:r>
      <w:r>
        <w:rPr>
          <w:spacing w:val="-4"/>
          <w:w w:val="105"/>
          <w:sz w:val="21"/>
        </w:rPr>
        <w:t>fails </w:t>
      </w:r>
      <w:r>
        <w:rPr>
          <w:spacing w:val="-3"/>
          <w:w w:val="105"/>
          <w:sz w:val="21"/>
        </w:rPr>
        <w:t>to </w:t>
      </w:r>
      <w:r>
        <w:rPr>
          <w:w w:val="105"/>
          <w:sz w:val="21"/>
        </w:rPr>
        <w:t>comply with the</w:t>
      </w:r>
      <w:r>
        <w:rPr>
          <w:spacing w:val="5"/>
          <w:w w:val="105"/>
          <w:sz w:val="21"/>
        </w:rPr>
        <w:t> </w:t>
      </w:r>
      <w:r>
        <w:rPr>
          <w:spacing w:val="-4"/>
          <w:w w:val="105"/>
          <w:sz w:val="21"/>
        </w:rPr>
        <w:t>agreement.</w:t>
      </w:r>
      <w:r>
        <w:rPr>
          <w:spacing w:val="-4"/>
          <w:w w:val="105"/>
          <w:position w:val="7"/>
          <w:sz w:val="12"/>
        </w:rPr>
        <w:t>191</w:t>
      </w:r>
    </w:p>
    <w:p>
      <w:pPr>
        <w:pStyle w:val="ListParagraph"/>
        <w:numPr>
          <w:ilvl w:val="1"/>
          <w:numId w:val="16"/>
        </w:numPr>
        <w:tabs>
          <w:tab w:pos="2381" w:val="left" w:leader="none"/>
          <w:tab w:pos="2382" w:val="left" w:leader="none"/>
        </w:tabs>
        <w:spacing w:line="242" w:lineRule="auto" w:before="124" w:after="0"/>
        <w:ind w:left="2381" w:right="1793" w:hanging="794"/>
        <w:jc w:val="left"/>
        <w:rPr>
          <w:sz w:val="21"/>
        </w:rPr>
      </w:pPr>
      <w:r>
        <w:rPr>
          <w:w w:val="105"/>
          <w:sz w:val="21"/>
        </w:rPr>
        <w:t>Private mediation is also </w:t>
      </w:r>
      <w:r>
        <w:rPr>
          <w:spacing w:val="-3"/>
          <w:w w:val="105"/>
          <w:sz w:val="21"/>
        </w:rPr>
        <w:t>available for </w:t>
      </w:r>
      <w:r>
        <w:rPr>
          <w:w w:val="105"/>
          <w:sz w:val="21"/>
        </w:rPr>
        <w:t>neighbours </w:t>
      </w:r>
      <w:r>
        <w:rPr>
          <w:spacing w:val="-3"/>
          <w:w w:val="105"/>
          <w:sz w:val="21"/>
        </w:rPr>
        <w:t>willing to </w:t>
      </w:r>
      <w:r>
        <w:rPr>
          <w:w w:val="105"/>
          <w:sz w:val="21"/>
        </w:rPr>
        <w:t>participate in this process but the cost of </w:t>
      </w:r>
      <w:r>
        <w:rPr>
          <w:spacing w:val="-3"/>
          <w:w w:val="105"/>
          <w:sz w:val="21"/>
        </w:rPr>
        <w:t>private </w:t>
      </w:r>
      <w:r>
        <w:rPr>
          <w:w w:val="105"/>
          <w:sz w:val="21"/>
        </w:rPr>
        <w:t>mediation </w:t>
      </w:r>
      <w:r>
        <w:rPr>
          <w:spacing w:val="-3"/>
          <w:w w:val="105"/>
          <w:sz w:val="21"/>
        </w:rPr>
        <w:t>may </w:t>
      </w:r>
      <w:r>
        <w:rPr>
          <w:w w:val="105"/>
          <w:sz w:val="21"/>
        </w:rPr>
        <w:t>be </w:t>
      </w:r>
      <w:r>
        <w:rPr>
          <w:spacing w:val="-3"/>
          <w:w w:val="105"/>
          <w:sz w:val="21"/>
        </w:rPr>
        <w:t>prohibitive for many </w:t>
      </w:r>
      <w:r>
        <w:rPr>
          <w:w w:val="105"/>
          <w:sz w:val="21"/>
        </w:rPr>
        <w:t>community members. One</w:t>
      </w:r>
      <w:r>
        <w:rPr>
          <w:spacing w:val="-9"/>
          <w:w w:val="105"/>
          <w:sz w:val="21"/>
        </w:rPr>
        <w:t> </w:t>
      </w:r>
      <w:r>
        <w:rPr>
          <w:w w:val="105"/>
          <w:sz w:val="21"/>
        </w:rPr>
        <w:t>person</w:t>
      </w:r>
      <w:r>
        <w:rPr>
          <w:spacing w:val="-9"/>
          <w:w w:val="105"/>
          <w:sz w:val="21"/>
        </w:rPr>
        <w:t> </w:t>
      </w:r>
      <w:r>
        <w:rPr>
          <w:w w:val="105"/>
          <w:sz w:val="21"/>
        </w:rPr>
        <w:t>suggested</w:t>
      </w:r>
      <w:r>
        <w:rPr>
          <w:spacing w:val="-8"/>
          <w:w w:val="105"/>
          <w:sz w:val="21"/>
        </w:rPr>
        <w:t> </w:t>
      </w:r>
      <w:r>
        <w:rPr>
          <w:spacing w:val="-3"/>
          <w:w w:val="105"/>
          <w:sz w:val="21"/>
        </w:rPr>
        <w:t>that</w:t>
      </w:r>
      <w:r>
        <w:rPr>
          <w:spacing w:val="-9"/>
          <w:w w:val="105"/>
          <w:sz w:val="21"/>
        </w:rPr>
        <w:t> </w:t>
      </w:r>
      <w:r>
        <w:rPr>
          <w:w w:val="105"/>
          <w:sz w:val="21"/>
        </w:rPr>
        <w:t>the</w:t>
      </w:r>
      <w:r>
        <w:rPr>
          <w:spacing w:val="-9"/>
          <w:w w:val="105"/>
          <w:sz w:val="21"/>
        </w:rPr>
        <w:t> </w:t>
      </w:r>
      <w:r>
        <w:rPr>
          <w:spacing w:val="-3"/>
          <w:w w:val="105"/>
          <w:sz w:val="21"/>
        </w:rPr>
        <w:t>total</w:t>
      </w:r>
      <w:r>
        <w:rPr>
          <w:spacing w:val="-8"/>
          <w:w w:val="105"/>
          <w:sz w:val="21"/>
        </w:rPr>
        <w:t> </w:t>
      </w:r>
      <w:r>
        <w:rPr>
          <w:w w:val="105"/>
          <w:sz w:val="21"/>
        </w:rPr>
        <w:t>cost</w:t>
      </w:r>
      <w:r>
        <w:rPr>
          <w:spacing w:val="-9"/>
          <w:w w:val="105"/>
          <w:sz w:val="21"/>
        </w:rPr>
        <w:t> </w:t>
      </w:r>
      <w:r>
        <w:rPr>
          <w:w w:val="105"/>
          <w:sz w:val="21"/>
        </w:rPr>
        <w:t>of</w:t>
      </w:r>
      <w:r>
        <w:rPr>
          <w:spacing w:val="-9"/>
          <w:w w:val="105"/>
          <w:sz w:val="21"/>
        </w:rPr>
        <w:t> </w:t>
      </w:r>
      <w:r>
        <w:rPr>
          <w:spacing w:val="-3"/>
          <w:w w:val="105"/>
          <w:sz w:val="21"/>
        </w:rPr>
        <w:t>using</w:t>
      </w:r>
      <w:r>
        <w:rPr>
          <w:spacing w:val="-8"/>
          <w:w w:val="105"/>
          <w:sz w:val="21"/>
        </w:rPr>
        <w:t> </w:t>
      </w:r>
      <w:r>
        <w:rPr>
          <w:spacing w:val="-3"/>
          <w:w w:val="105"/>
          <w:sz w:val="21"/>
        </w:rPr>
        <w:t>private</w:t>
      </w:r>
      <w:r>
        <w:rPr>
          <w:spacing w:val="-9"/>
          <w:w w:val="105"/>
          <w:sz w:val="21"/>
        </w:rPr>
        <w:t> </w:t>
      </w:r>
      <w:r>
        <w:rPr>
          <w:w w:val="105"/>
          <w:sz w:val="21"/>
        </w:rPr>
        <w:t>mediation</w:t>
      </w:r>
      <w:r>
        <w:rPr>
          <w:spacing w:val="-9"/>
          <w:w w:val="105"/>
          <w:sz w:val="21"/>
        </w:rPr>
        <w:t> </w:t>
      </w:r>
      <w:r>
        <w:rPr>
          <w:spacing w:val="-3"/>
          <w:w w:val="105"/>
          <w:sz w:val="21"/>
        </w:rPr>
        <w:t>to</w:t>
      </w:r>
      <w:r>
        <w:rPr>
          <w:spacing w:val="-8"/>
          <w:w w:val="105"/>
          <w:sz w:val="21"/>
        </w:rPr>
        <w:t> </w:t>
      </w:r>
      <w:r>
        <w:rPr>
          <w:w w:val="105"/>
          <w:sz w:val="21"/>
        </w:rPr>
        <w:t>resolve</w:t>
      </w:r>
      <w:r>
        <w:rPr>
          <w:spacing w:val="-9"/>
          <w:w w:val="105"/>
          <w:sz w:val="21"/>
        </w:rPr>
        <w:t> </w:t>
      </w:r>
      <w:r>
        <w:rPr>
          <w:w w:val="105"/>
          <w:sz w:val="21"/>
        </w:rPr>
        <w:t>their</w:t>
      </w:r>
      <w:r>
        <w:rPr>
          <w:spacing w:val="-9"/>
          <w:w w:val="105"/>
          <w:sz w:val="21"/>
        </w:rPr>
        <w:t> </w:t>
      </w:r>
      <w:r>
        <w:rPr>
          <w:w w:val="105"/>
          <w:sz w:val="21"/>
        </w:rPr>
        <w:t>tree </w:t>
      </w:r>
      <w:r>
        <w:rPr>
          <w:spacing w:val="-3"/>
          <w:w w:val="105"/>
          <w:sz w:val="21"/>
        </w:rPr>
        <w:t>dispute </w:t>
      </w:r>
      <w:r>
        <w:rPr>
          <w:w w:val="105"/>
          <w:sz w:val="21"/>
        </w:rPr>
        <w:t>was almost </w:t>
      </w:r>
      <w:r>
        <w:rPr>
          <w:spacing w:val="-4"/>
          <w:w w:val="105"/>
          <w:sz w:val="21"/>
        </w:rPr>
        <w:t>$10,000 </w:t>
      </w:r>
      <w:r>
        <w:rPr>
          <w:spacing w:val="-3"/>
          <w:w w:val="105"/>
          <w:sz w:val="21"/>
        </w:rPr>
        <w:t>for </w:t>
      </w:r>
      <w:r>
        <w:rPr>
          <w:w w:val="105"/>
          <w:sz w:val="21"/>
        </w:rPr>
        <w:t>one </w:t>
      </w:r>
      <w:r>
        <w:rPr>
          <w:spacing w:val="-5"/>
          <w:w w:val="105"/>
          <w:sz w:val="21"/>
        </w:rPr>
        <w:t>day, </w:t>
      </w:r>
      <w:r>
        <w:rPr>
          <w:w w:val="105"/>
          <w:sz w:val="21"/>
        </w:rPr>
        <w:t>and </w:t>
      </w:r>
      <w:r>
        <w:rPr>
          <w:spacing w:val="-3"/>
          <w:w w:val="105"/>
          <w:sz w:val="21"/>
        </w:rPr>
        <w:t>that </w:t>
      </w:r>
      <w:r>
        <w:rPr>
          <w:w w:val="105"/>
          <w:sz w:val="21"/>
        </w:rPr>
        <w:t>this </w:t>
      </w:r>
      <w:r>
        <w:rPr>
          <w:spacing w:val="-3"/>
          <w:w w:val="105"/>
          <w:sz w:val="21"/>
        </w:rPr>
        <w:t>excluded </w:t>
      </w:r>
      <w:r>
        <w:rPr>
          <w:w w:val="105"/>
          <w:sz w:val="21"/>
        </w:rPr>
        <w:t>the cost of</w:t>
      </w:r>
      <w:r>
        <w:rPr>
          <w:spacing w:val="15"/>
          <w:w w:val="105"/>
          <w:sz w:val="21"/>
        </w:rPr>
        <w:t> </w:t>
      </w:r>
      <w:r>
        <w:rPr>
          <w:spacing w:val="-3"/>
          <w:w w:val="105"/>
          <w:sz w:val="21"/>
        </w:rPr>
        <w:t>preparation.</w:t>
      </w:r>
    </w:p>
    <w:p>
      <w:pPr>
        <w:pStyle w:val="BodyText"/>
        <w:spacing w:line="242" w:lineRule="auto" w:before="4"/>
        <w:ind w:left="2381" w:right="1569"/>
        <w:rPr>
          <w:sz w:val="12"/>
        </w:rPr>
      </w:pPr>
      <w:r>
        <w:rPr>
          <w:w w:val="105"/>
        </w:rPr>
        <w:t>The mediation session did </w:t>
      </w:r>
      <w:r>
        <w:rPr>
          <w:spacing w:val="-2"/>
          <w:w w:val="105"/>
        </w:rPr>
        <w:t>not </w:t>
      </w:r>
      <w:r>
        <w:rPr>
          <w:spacing w:val="-3"/>
          <w:w w:val="105"/>
        </w:rPr>
        <w:t>result </w:t>
      </w:r>
      <w:r>
        <w:rPr>
          <w:w w:val="105"/>
        </w:rPr>
        <w:t>in a </w:t>
      </w:r>
      <w:r>
        <w:rPr>
          <w:spacing w:val="-3"/>
          <w:w w:val="105"/>
        </w:rPr>
        <w:t>successful outcome </w:t>
      </w:r>
      <w:r>
        <w:rPr>
          <w:w w:val="105"/>
        </w:rPr>
        <w:t>because the other party was </w:t>
      </w:r>
      <w:r>
        <w:rPr>
          <w:spacing w:val="-4"/>
          <w:w w:val="105"/>
        </w:rPr>
        <w:t>unwilling </w:t>
      </w:r>
      <w:r>
        <w:rPr>
          <w:spacing w:val="-3"/>
          <w:w w:val="105"/>
        </w:rPr>
        <w:t>to </w:t>
      </w:r>
      <w:r>
        <w:rPr>
          <w:w w:val="105"/>
        </w:rPr>
        <w:t>come </w:t>
      </w:r>
      <w:r>
        <w:rPr>
          <w:spacing w:val="-3"/>
          <w:w w:val="105"/>
        </w:rPr>
        <w:t>to </w:t>
      </w:r>
      <w:r>
        <w:rPr>
          <w:w w:val="105"/>
        </w:rPr>
        <w:t>an </w:t>
      </w:r>
      <w:r>
        <w:rPr>
          <w:spacing w:val="-4"/>
          <w:w w:val="105"/>
        </w:rPr>
        <w:t>agreement.</w:t>
      </w:r>
      <w:r>
        <w:rPr>
          <w:spacing w:val="-4"/>
          <w:w w:val="105"/>
          <w:position w:val="7"/>
          <w:sz w:val="12"/>
        </w:rPr>
        <w:t>192</w:t>
      </w:r>
    </w:p>
    <w:p>
      <w:pPr>
        <w:pStyle w:val="ListParagraph"/>
        <w:numPr>
          <w:ilvl w:val="1"/>
          <w:numId w:val="16"/>
        </w:numPr>
        <w:tabs>
          <w:tab w:pos="2380" w:val="left" w:leader="none"/>
          <w:tab w:pos="2382" w:val="left" w:leader="none"/>
        </w:tabs>
        <w:spacing w:line="242" w:lineRule="auto" w:before="123" w:after="0"/>
        <w:ind w:left="2381" w:right="1864" w:hanging="794"/>
        <w:jc w:val="left"/>
        <w:rPr>
          <w:sz w:val="21"/>
        </w:rPr>
      </w:pPr>
      <w:r>
        <w:rPr>
          <w:w w:val="105"/>
          <w:sz w:val="21"/>
        </w:rPr>
        <w:t>DSCV</w:t>
      </w:r>
      <w:r>
        <w:rPr>
          <w:spacing w:val="-6"/>
          <w:w w:val="105"/>
          <w:sz w:val="21"/>
        </w:rPr>
        <w:t> </w:t>
      </w:r>
      <w:r>
        <w:rPr>
          <w:spacing w:val="-2"/>
          <w:w w:val="105"/>
          <w:sz w:val="21"/>
        </w:rPr>
        <w:t>has</w:t>
      </w:r>
      <w:r>
        <w:rPr>
          <w:spacing w:val="-5"/>
          <w:w w:val="105"/>
          <w:sz w:val="21"/>
        </w:rPr>
        <w:t> </w:t>
      </w:r>
      <w:r>
        <w:rPr>
          <w:w w:val="105"/>
          <w:sz w:val="21"/>
        </w:rPr>
        <w:t>suggested</w:t>
      </w:r>
      <w:r>
        <w:rPr>
          <w:spacing w:val="-6"/>
          <w:w w:val="105"/>
          <w:sz w:val="21"/>
        </w:rPr>
        <w:t> </w:t>
      </w:r>
      <w:r>
        <w:rPr>
          <w:spacing w:val="-3"/>
          <w:w w:val="105"/>
          <w:sz w:val="21"/>
        </w:rPr>
        <w:t>that</w:t>
      </w:r>
      <w:r>
        <w:rPr>
          <w:spacing w:val="-5"/>
          <w:w w:val="105"/>
          <w:sz w:val="21"/>
        </w:rPr>
        <w:t> </w:t>
      </w:r>
      <w:r>
        <w:rPr>
          <w:w w:val="105"/>
          <w:sz w:val="21"/>
        </w:rPr>
        <w:t>the</w:t>
      </w:r>
      <w:r>
        <w:rPr>
          <w:spacing w:val="-5"/>
          <w:w w:val="105"/>
          <w:sz w:val="21"/>
        </w:rPr>
        <w:t> </w:t>
      </w:r>
      <w:r>
        <w:rPr>
          <w:w w:val="105"/>
          <w:sz w:val="21"/>
        </w:rPr>
        <w:t>low</w:t>
      </w:r>
      <w:r>
        <w:rPr>
          <w:spacing w:val="-6"/>
          <w:w w:val="105"/>
          <w:sz w:val="21"/>
        </w:rPr>
        <w:t> </w:t>
      </w:r>
      <w:r>
        <w:rPr>
          <w:w w:val="105"/>
          <w:sz w:val="21"/>
        </w:rPr>
        <w:t>resolution</w:t>
      </w:r>
      <w:r>
        <w:rPr>
          <w:spacing w:val="-5"/>
          <w:w w:val="105"/>
          <w:sz w:val="21"/>
        </w:rPr>
        <w:t> </w:t>
      </w:r>
      <w:r>
        <w:rPr>
          <w:spacing w:val="-3"/>
          <w:w w:val="105"/>
          <w:sz w:val="21"/>
        </w:rPr>
        <w:t>rates</w:t>
      </w:r>
      <w:r>
        <w:rPr>
          <w:spacing w:val="-5"/>
          <w:w w:val="105"/>
          <w:sz w:val="21"/>
        </w:rPr>
        <w:t> </w:t>
      </w:r>
      <w:r>
        <w:rPr>
          <w:spacing w:val="-3"/>
          <w:w w:val="105"/>
          <w:sz w:val="21"/>
        </w:rPr>
        <w:t>for</w:t>
      </w:r>
      <w:r>
        <w:rPr>
          <w:spacing w:val="-6"/>
          <w:w w:val="105"/>
          <w:sz w:val="21"/>
        </w:rPr>
        <w:t> </w:t>
      </w:r>
      <w:r>
        <w:rPr>
          <w:w w:val="105"/>
          <w:sz w:val="21"/>
        </w:rPr>
        <w:t>tree</w:t>
      </w:r>
      <w:r>
        <w:rPr>
          <w:spacing w:val="-5"/>
          <w:w w:val="105"/>
          <w:sz w:val="21"/>
        </w:rPr>
        <w:t> </w:t>
      </w:r>
      <w:r>
        <w:rPr>
          <w:spacing w:val="-3"/>
          <w:w w:val="105"/>
          <w:sz w:val="21"/>
        </w:rPr>
        <w:t>disputes</w:t>
      </w:r>
      <w:r>
        <w:rPr>
          <w:spacing w:val="-5"/>
          <w:w w:val="105"/>
          <w:sz w:val="21"/>
        </w:rPr>
        <w:t> </w:t>
      </w:r>
      <w:r>
        <w:rPr>
          <w:w w:val="105"/>
          <w:sz w:val="21"/>
        </w:rPr>
        <w:t>can</w:t>
      </w:r>
      <w:r>
        <w:rPr>
          <w:spacing w:val="-6"/>
          <w:w w:val="105"/>
          <w:sz w:val="21"/>
        </w:rPr>
        <w:t> </w:t>
      </w:r>
      <w:r>
        <w:rPr>
          <w:w w:val="105"/>
          <w:sz w:val="21"/>
        </w:rPr>
        <w:t>be</w:t>
      </w:r>
      <w:r>
        <w:rPr>
          <w:spacing w:val="-5"/>
          <w:w w:val="105"/>
          <w:sz w:val="21"/>
        </w:rPr>
        <w:t> </w:t>
      </w:r>
      <w:r>
        <w:rPr>
          <w:w w:val="105"/>
          <w:sz w:val="21"/>
        </w:rPr>
        <w:t>attributed</w:t>
      </w:r>
      <w:r>
        <w:rPr>
          <w:spacing w:val="-5"/>
          <w:w w:val="105"/>
          <w:sz w:val="21"/>
        </w:rPr>
        <w:t> </w:t>
      </w:r>
      <w:r>
        <w:rPr>
          <w:spacing w:val="-3"/>
          <w:w w:val="105"/>
          <w:sz w:val="21"/>
        </w:rPr>
        <w:t>to </w:t>
      </w:r>
      <w:r>
        <w:rPr>
          <w:w w:val="105"/>
          <w:sz w:val="21"/>
        </w:rPr>
        <w:t>factors,</w:t>
      </w:r>
      <w:r>
        <w:rPr>
          <w:spacing w:val="5"/>
          <w:w w:val="105"/>
          <w:sz w:val="21"/>
        </w:rPr>
        <w:t> </w:t>
      </w:r>
      <w:r>
        <w:rPr>
          <w:spacing w:val="-3"/>
          <w:w w:val="105"/>
          <w:sz w:val="21"/>
        </w:rPr>
        <w:t>including:</w:t>
      </w:r>
    </w:p>
    <w:p>
      <w:pPr>
        <w:pStyle w:val="ListParagraph"/>
        <w:numPr>
          <w:ilvl w:val="2"/>
          <w:numId w:val="16"/>
        </w:numPr>
        <w:tabs>
          <w:tab w:pos="2721" w:val="left" w:leader="none"/>
          <w:tab w:pos="2722" w:val="left" w:leader="none"/>
        </w:tabs>
        <w:spacing w:line="240" w:lineRule="auto" w:before="122" w:after="0"/>
        <w:ind w:left="2721" w:right="0" w:hanging="340"/>
        <w:jc w:val="left"/>
        <w:rPr>
          <w:sz w:val="21"/>
        </w:rPr>
      </w:pPr>
      <w:r>
        <w:rPr>
          <w:sz w:val="21"/>
        </w:rPr>
        <w:t>low awareness in the community of</w:t>
      </w:r>
      <w:r>
        <w:rPr>
          <w:spacing w:val="4"/>
          <w:sz w:val="21"/>
        </w:rPr>
        <w:t> </w:t>
      </w:r>
      <w:r>
        <w:rPr>
          <w:sz w:val="21"/>
        </w:rPr>
        <w:t>rights/obligations</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w w:val="105"/>
          <w:sz w:val="21"/>
        </w:rPr>
        <w:t>incorrect </w:t>
      </w:r>
      <w:r>
        <w:rPr>
          <w:spacing w:val="-3"/>
          <w:w w:val="105"/>
          <w:sz w:val="21"/>
        </w:rPr>
        <w:t>assumptions </w:t>
      </w:r>
      <w:r>
        <w:rPr>
          <w:w w:val="105"/>
          <w:sz w:val="21"/>
        </w:rPr>
        <w:t>or expectations at point of</w:t>
      </w:r>
      <w:r>
        <w:rPr>
          <w:spacing w:val="30"/>
          <w:w w:val="105"/>
          <w:sz w:val="21"/>
        </w:rPr>
        <w:t> </w:t>
      </w:r>
      <w:r>
        <w:rPr>
          <w:w w:val="105"/>
          <w:sz w:val="21"/>
        </w:rPr>
        <w:t>contact</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lack of a defined process </w:t>
      </w:r>
      <w:r>
        <w:rPr>
          <w:spacing w:val="-3"/>
          <w:w w:val="105"/>
          <w:sz w:val="21"/>
        </w:rPr>
        <w:t>for </w:t>
      </w:r>
      <w:r>
        <w:rPr>
          <w:w w:val="105"/>
          <w:sz w:val="21"/>
        </w:rPr>
        <w:t>resolving</w:t>
      </w:r>
      <w:r>
        <w:rPr>
          <w:spacing w:val="35"/>
          <w:w w:val="105"/>
          <w:sz w:val="21"/>
        </w:rPr>
        <w:t> </w:t>
      </w:r>
      <w:r>
        <w:rPr>
          <w:spacing w:val="-3"/>
          <w:w w:val="105"/>
          <w:sz w:val="21"/>
        </w:rPr>
        <w:t>disputes</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w w:val="105"/>
          <w:sz w:val="21"/>
        </w:rPr>
        <w:t>unclear </w:t>
      </w:r>
      <w:r>
        <w:rPr>
          <w:w w:val="105"/>
          <w:sz w:val="21"/>
        </w:rPr>
        <w:t>rights and</w:t>
      </w:r>
      <w:r>
        <w:rPr>
          <w:spacing w:val="19"/>
          <w:w w:val="105"/>
          <w:sz w:val="21"/>
        </w:rPr>
        <w:t> </w:t>
      </w:r>
      <w:r>
        <w:rPr>
          <w:spacing w:val="-3"/>
          <w:w w:val="105"/>
          <w:sz w:val="21"/>
        </w:rPr>
        <w:t>obligations</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z w:val="21"/>
        </w:rPr>
        <w:t>more </w:t>
      </w:r>
      <w:r>
        <w:rPr>
          <w:spacing w:val="-3"/>
          <w:sz w:val="21"/>
        </w:rPr>
        <w:t>frequent </w:t>
      </w:r>
      <w:r>
        <w:rPr>
          <w:sz w:val="21"/>
        </w:rPr>
        <w:t>low-level</w:t>
      </w:r>
      <w:r>
        <w:rPr>
          <w:spacing w:val="28"/>
          <w:sz w:val="21"/>
        </w:rPr>
        <w:t> </w:t>
      </w:r>
      <w:r>
        <w:rPr>
          <w:spacing w:val="-3"/>
          <w:sz w:val="21"/>
        </w:rPr>
        <w:t>disputes</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pacing w:val="-3"/>
          <w:w w:val="105"/>
          <w:sz w:val="21"/>
        </w:rPr>
        <w:t>minimal </w:t>
      </w:r>
      <w:r>
        <w:rPr>
          <w:w w:val="105"/>
          <w:sz w:val="21"/>
        </w:rPr>
        <w:t>scope </w:t>
      </w:r>
      <w:r>
        <w:rPr>
          <w:spacing w:val="-3"/>
          <w:w w:val="105"/>
          <w:sz w:val="21"/>
        </w:rPr>
        <w:t>for</w:t>
      </w:r>
      <w:r>
        <w:rPr>
          <w:spacing w:val="18"/>
          <w:w w:val="105"/>
          <w:sz w:val="21"/>
        </w:rPr>
        <w:t> </w:t>
      </w:r>
      <w:r>
        <w:rPr>
          <w:w w:val="105"/>
          <w:sz w:val="21"/>
        </w:rPr>
        <w:t>negotiation</w:t>
      </w:r>
    </w:p>
    <w:p>
      <w:pPr>
        <w:pStyle w:val="ListParagraph"/>
        <w:numPr>
          <w:ilvl w:val="2"/>
          <w:numId w:val="16"/>
        </w:numPr>
        <w:tabs>
          <w:tab w:pos="2721" w:val="left" w:leader="none"/>
          <w:tab w:pos="2722" w:val="left" w:leader="none"/>
        </w:tabs>
        <w:spacing w:line="240" w:lineRule="auto" w:before="89" w:after="0"/>
        <w:ind w:left="2721" w:right="0" w:hanging="340"/>
        <w:jc w:val="left"/>
        <w:rPr>
          <w:sz w:val="12"/>
        </w:rPr>
      </w:pPr>
      <w:r>
        <w:rPr>
          <w:spacing w:val="-3"/>
          <w:w w:val="105"/>
          <w:sz w:val="21"/>
        </w:rPr>
        <w:t>considerable </w:t>
      </w:r>
      <w:r>
        <w:rPr>
          <w:w w:val="105"/>
          <w:sz w:val="21"/>
        </w:rPr>
        <w:t>barriers </w:t>
      </w:r>
      <w:r>
        <w:rPr>
          <w:spacing w:val="-3"/>
          <w:w w:val="105"/>
          <w:sz w:val="21"/>
        </w:rPr>
        <w:t>to </w:t>
      </w:r>
      <w:r>
        <w:rPr>
          <w:w w:val="105"/>
          <w:sz w:val="21"/>
        </w:rPr>
        <w:t>resolving the </w:t>
      </w:r>
      <w:r>
        <w:rPr>
          <w:spacing w:val="-3"/>
          <w:w w:val="105"/>
          <w:sz w:val="21"/>
        </w:rPr>
        <w:t>dispute through</w:t>
      </w:r>
      <w:r>
        <w:rPr>
          <w:spacing w:val="38"/>
          <w:w w:val="105"/>
          <w:sz w:val="21"/>
        </w:rPr>
        <w:t> </w:t>
      </w:r>
      <w:r>
        <w:rPr>
          <w:spacing w:val="-4"/>
          <w:w w:val="105"/>
          <w:sz w:val="21"/>
        </w:rPr>
        <w:t>court.</w:t>
      </w:r>
      <w:r>
        <w:rPr>
          <w:spacing w:val="-4"/>
          <w:w w:val="105"/>
          <w:position w:val="7"/>
          <w:sz w:val="12"/>
        </w:rPr>
        <w:t>193</w:t>
      </w:r>
    </w:p>
    <w:p>
      <w:pPr>
        <w:pStyle w:val="ListParagraph"/>
        <w:numPr>
          <w:ilvl w:val="1"/>
          <w:numId w:val="16"/>
        </w:numPr>
        <w:tabs>
          <w:tab w:pos="2380" w:val="left" w:leader="none"/>
          <w:tab w:pos="2381" w:val="left" w:leader="none"/>
        </w:tabs>
        <w:spacing w:line="242" w:lineRule="auto" w:before="88" w:after="0"/>
        <w:ind w:left="2381" w:right="1824" w:hanging="794"/>
        <w:jc w:val="left"/>
        <w:rPr>
          <w:sz w:val="21"/>
        </w:rPr>
      </w:pPr>
      <w:r>
        <w:rPr>
          <w:w w:val="105"/>
          <w:sz w:val="21"/>
        </w:rPr>
        <w:t>DSCV observed </w:t>
      </w:r>
      <w:r>
        <w:rPr>
          <w:spacing w:val="-3"/>
          <w:w w:val="105"/>
          <w:sz w:val="21"/>
        </w:rPr>
        <w:t>that, </w:t>
      </w:r>
      <w:r>
        <w:rPr>
          <w:spacing w:val="-4"/>
          <w:w w:val="105"/>
          <w:sz w:val="21"/>
        </w:rPr>
        <w:t>unlike </w:t>
      </w:r>
      <w:r>
        <w:rPr>
          <w:spacing w:val="-3"/>
          <w:w w:val="105"/>
          <w:sz w:val="21"/>
        </w:rPr>
        <w:t>fencing disputes involving shared </w:t>
      </w:r>
      <w:r>
        <w:rPr>
          <w:w w:val="105"/>
          <w:sz w:val="21"/>
        </w:rPr>
        <w:t>property, in a tree </w:t>
      </w:r>
      <w:r>
        <w:rPr>
          <w:spacing w:val="-3"/>
          <w:w w:val="105"/>
          <w:sz w:val="21"/>
        </w:rPr>
        <w:t>dispute </w:t>
      </w:r>
      <w:r>
        <w:rPr>
          <w:w w:val="105"/>
          <w:sz w:val="21"/>
        </w:rPr>
        <w:t>the primary cost associated with a tree typically </w:t>
      </w:r>
      <w:r>
        <w:rPr>
          <w:spacing w:val="-4"/>
          <w:w w:val="105"/>
          <w:sz w:val="21"/>
        </w:rPr>
        <w:t>falls </w:t>
      </w:r>
      <w:r>
        <w:rPr>
          <w:spacing w:val="-3"/>
          <w:w w:val="105"/>
          <w:sz w:val="21"/>
        </w:rPr>
        <w:t>to </w:t>
      </w:r>
      <w:r>
        <w:rPr>
          <w:w w:val="105"/>
          <w:sz w:val="21"/>
        </w:rPr>
        <w:t>one </w:t>
      </w:r>
      <w:r>
        <w:rPr>
          <w:spacing w:val="-4"/>
          <w:w w:val="105"/>
          <w:sz w:val="21"/>
        </w:rPr>
        <w:t>party.</w:t>
      </w:r>
      <w:r>
        <w:rPr>
          <w:spacing w:val="-4"/>
          <w:w w:val="105"/>
          <w:position w:val="7"/>
          <w:sz w:val="12"/>
        </w:rPr>
        <w:t>194 </w:t>
      </w:r>
      <w:r>
        <w:rPr>
          <w:w w:val="105"/>
          <w:sz w:val="21"/>
        </w:rPr>
        <w:t>In tree </w:t>
      </w:r>
      <w:r>
        <w:rPr>
          <w:spacing w:val="-3"/>
          <w:w w:val="105"/>
          <w:sz w:val="21"/>
        </w:rPr>
        <w:t>disputes ‘neighbours are </w:t>
      </w:r>
      <w:r>
        <w:rPr>
          <w:spacing w:val="-2"/>
          <w:w w:val="105"/>
          <w:sz w:val="21"/>
        </w:rPr>
        <w:t>not </w:t>
      </w:r>
      <w:r>
        <w:rPr>
          <w:w w:val="105"/>
          <w:sz w:val="21"/>
        </w:rPr>
        <w:t>explicitly </w:t>
      </w:r>
      <w:r>
        <w:rPr>
          <w:spacing w:val="-3"/>
          <w:w w:val="105"/>
          <w:sz w:val="21"/>
        </w:rPr>
        <w:t>required to negotiate </w:t>
      </w:r>
      <w:r>
        <w:rPr>
          <w:w w:val="105"/>
          <w:sz w:val="21"/>
        </w:rPr>
        <w:t>by </w:t>
      </w:r>
      <w:r>
        <w:rPr>
          <w:spacing w:val="-3"/>
          <w:w w:val="105"/>
          <w:sz w:val="21"/>
        </w:rPr>
        <w:t>legislation </w:t>
      </w:r>
      <w:r>
        <w:rPr>
          <w:w w:val="105"/>
          <w:sz w:val="21"/>
        </w:rPr>
        <w:t>or case law and </w:t>
      </w:r>
      <w:r>
        <w:rPr>
          <w:spacing w:val="-3"/>
          <w:w w:val="105"/>
          <w:sz w:val="21"/>
        </w:rPr>
        <w:t>thus many </w:t>
      </w:r>
      <w:r>
        <w:rPr>
          <w:w w:val="105"/>
          <w:sz w:val="21"/>
        </w:rPr>
        <w:t>self-select out of the DSCV mediation </w:t>
      </w:r>
      <w:r>
        <w:rPr>
          <w:spacing w:val="-4"/>
          <w:w w:val="105"/>
          <w:sz w:val="21"/>
        </w:rPr>
        <w:t>process.’</w:t>
      </w:r>
      <w:r>
        <w:rPr>
          <w:spacing w:val="15"/>
          <w:w w:val="105"/>
          <w:sz w:val="21"/>
        </w:rPr>
        <w:t> </w:t>
      </w:r>
      <w:r>
        <w:rPr>
          <w:w w:val="105"/>
          <w:position w:val="7"/>
          <w:sz w:val="12"/>
        </w:rPr>
        <w:t>195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r>
        <w:rPr/>
        <w:pict>
          <v:line style="position:absolute;mso-position-horizontal-relative:page;mso-position-vertical-relative:paragraph;z-index:1712;mso-wrap-distance-left:0;mso-wrap-distance-right:0" from="79.370102pt,19.494745pt" to="515.905102pt,19.494745pt" stroked="true" strokeweight="1pt" strokecolor="#c9d2cb">
            <v:stroke dashstyle="solid"/>
            <w10:wrap type="topAndBottom"/>
          </v:line>
        </w:pict>
      </w:r>
    </w:p>
    <w:p>
      <w:pPr>
        <w:pStyle w:val="ListParagraph"/>
        <w:numPr>
          <w:ilvl w:val="0"/>
          <w:numId w:val="32"/>
        </w:numPr>
        <w:tabs>
          <w:tab w:pos="2380" w:val="left" w:leader="none"/>
          <w:tab w:pos="2382" w:val="left" w:leader="none"/>
        </w:tabs>
        <w:spacing w:line="240" w:lineRule="auto" w:before="117" w:after="0"/>
        <w:ind w:left="2381" w:right="1718" w:hanging="794"/>
        <w:jc w:val="left"/>
        <w:rPr>
          <w:sz w:val="13"/>
        </w:rPr>
      </w:pPr>
      <w:r>
        <w:rPr>
          <w:w w:val="105"/>
          <w:sz w:val="13"/>
        </w:rPr>
        <w:t>Submissions 5 </w:t>
      </w:r>
      <w:r>
        <w:rPr>
          <w:spacing w:val="2"/>
          <w:w w:val="105"/>
          <w:sz w:val="13"/>
        </w:rPr>
        <w:t>(Name </w:t>
      </w:r>
      <w:r>
        <w:rPr>
          <w:w w:val="105"/>
          <w:sz w:val="13"/>
        </w:rPr>
        <w:t>withheld), 6 </w:t>
      </w:r>
      <w:r>
        <w:rPr>
          <w:spacing w:val="2"/>
          <w:w w:val="105"/>
          <w:sz w:val="13"/>
        </w:rPr>
        <w:t>(Name </w:t>
      </w:r>
      <w:r>
        <w:rPr>
          <w:w w:val="105"/>
          <w:sz w:val="13"/>
        </w:rPr>
        <w:t>withheld), 38 </w:t>
      </w:r>
      <w:r>
        <w:rPr>
          <w:spacing w:val="3"/>
          <w:w w:val="105"/>
          <w:sz w:val="13"/>
        </w:rPr>
        <w:t>(L. </w:t>
      </w:r>
      <w:r>
        <w:rPr>
          <w:spacing w:val="2"/>
          <w:w w:val="105"/>
          <w:sz w:val="13"/>
        </w:rPr>
        <w:t>Barry </w:t>
      </w:r>
      <w:r>
        <w:rPr>
          <w:w w:val="105"/>
          <w:sz w:val="13"/>
        </w:rPr>
        <w:t>Wollmer); Consultation 7 (Dispute Settlement Centre of </w:t>
      </w:r>
      <w:r>
        <w:rPr>
          <w:spacing w:val="2"/>
          <w:w w:val="105"/>
          <w:sz w:val="13"/>
        </w:rPr>
        <w:t>Victoria); </w:t>
      </w:r>
      <w:r>
        <w:rPr>
          <w:w w:val="105"/>
          <w:sz w:val="13"/>
        </w:rPr>
        <w:t>Survey Respondents 60, 82, 104,</w:t>
      </w:r>
      <w:r>
        <w:rPr>
          <w:spacing w:val="19"/>
          <w:w w:val="105"/>
          <w:sz w:val="13"/>
        </w:rPr>
        <w:t> </w:t>
      </w:r>
      <w:r>
        <w:rPr>
          <w:spacing w:val="-7"/>
          <w:w w:val="105"/>
          <w:sz w:val="13"/>
        </w:rPr>
        <w:t>117.</w:t>
      </w:r>
    </w:p>
    <w:p>
      <w:pPr>
        <w:pStyle w:val="ListParagraph"/>
        <w:numPr>
          <w:ilvl w:val="0"/>
          <w:numId w:val="32"/>
        </w:numPr>
        <w:tabs>
          <w:tab w:pos="2381" w:val="left" w:leader="none"/>
          <w:tab w:pos="2382" w:val="left" w:leader="none"/>
        </w:tabs>
        <w:spacing w:line="240" w:lineRule="auto" w:before="3" w:after="0"/>
        <w:ind w:left="2381" w:right="0" w:hanging="794"/>
        <w:jc w:val="left"/>
        <w:rPr>
          <w:sz w:val="13"/>
        </w:rPr>
      </w:pPr>
      <w:r>
        <w:rPr>
          <w:w w:val="105"/>
          <w:sz w:val="13"/>
        </w:rPr>
        <w:t>Submission 5 </w:t>
      </w:r>
      <w:r>
        <w:rPr>
          <w:spacing w:val="2"/>
          <w:w w:val="105"/>
          <w:sz w:val="13"/>
        </w:rPr>
        <w:t>(Name</w:t>
      </w:r>
      <w:r>
        <w:rPr>
          <w:spacing w:val="13"/>
          <w:w w:val="105"/>
          <w:sz w:val="13"/>
        </w:rPr>
        <w:t> </w:t>
      </w:r>
      <w:r>
        <w:rPr>
          <w:w w:val="105"/>
          <w:sz w:val="13"/>
        </w:rPr>
        <w:t>withheld).</w:t>
      </w:r>
    </w:p>
    <w:p>
      <w:pPr>
        <w:pStyle w:val="ListParagraph"/>
        <w:numPr>
          <w:ilvl w:val="0"/>
          <w:numId w:val="32"/>
        </w:numPr>
        <w:tabs>
          <w:tab w:pos="2381" w:val="left" w:leader="none"/>
          <w:tab w:pos="2382" w:val="left" w:leader="none"/>
        </w:tabs>
        <w:spacing w:line="240" w:lineRule="auto" w:before="1" w:after="0"/>
        <w:ind w:left="2381" w:right="0" w:hanging="794"/>
        <w:jc w:val="left"/>
        <w:rPr>
          <w:sz w:val="13"/>
        </w:rPr>
      </w:pPr>
      <w:r>
        <w:rPr>
          <w:w w:val="105"/>
          <w:sz w:val="13"/>
        </w:rPr>
        <w:t>Consultation 7 (Dispute Settlement Centre of</w:t>
      </w:r>
      <w:r>
        <w:rPr>
          <w:spacing w:val="28"/>
          <w:w w:val="105"/>
          <w:sz w:val="13"/>
        </w:rPr>
        <w:t> </w:t>
      </w:r>
      <w:r>
        <w:rPr>
          <w:w w:val="105"/>
          <w:sz w:val="13"/>
        </w:rPr>
        <w:t>Victoria).</w:t>
      </w:r>
    </w:p>
    <w:p>
      <w:pPr>
        <w:pStyle w:val="ListParagraph"/>
        <w:numPr>
          <w:ilvl w:val="0"/>
          <w:numId w:val="32"/>
        </w:numPr>
        <w:tabs>
          <w:tab w:pos="2381" w:val="left" w:leader="none"/>
          <w:tab w:pos="2382" w:val="left" w:leader="none"/>
        </w:tabs>
        <w:spacing w:line="240" w:lineRule="auto" w:before="1" w:after="0"/>
        <w:ind w:left="2381" w:right="0" w:hanging="794"/>
        <w:jc w:val="left"/>
        <w:rPr>
          <w:sz w:val="13"/>
        </w:rPr>
      </w:pPr>
      <w:r>
        <w:rPr>
          <w:w w:val="105"/>
          <w:sz w:val="13"/>
        </w:rPr>
        <w:t>Submission 30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32"/>
        </w:numPr>
        <w:tabs>
          <w:tab w:pos="2381" w:val="left" w:leader="none"/>
          <w:tab w:pos="2382" w:val="left" w:leader="none"/>
        </w:tabs>
        <w:spacing w:line="240" w:lineRule="auto" w:before="2" w:after="0"/>
        <w:ind w:left="2381" w:right="0" w:hanging="794"/>
        <w:jc w:val="left"/>
        <w:rPr>
          <w:sz w:val="13"/>
        </w:rPr>
      </w:pPr>
      <w:r>
        <w:rPr>
          <w:w w:val="105"/>
          <w:sz w:val="13"/>
        </w:rPr>
        <w:t>Submission </w:t>
      </w:r>
      <w:r>
        <w:rPr>
          <w:spacing w:val="-4"/>
          <w:w w:val="105"/>
          <w:sz w:val="13"/>
        </w:rPr>
        <w:t>17 </w:t>
      </w:r>
      <w:r>
        <w:rPr>
          <w:spacing w:val="2"/>
          <w:w w:val="105"/>
          <w:sz w:val="13"/>
        </w:rPr>
        <w:t>(Name</w:t>
      </w:r>
      <w:r>
        <w:rPr>
          <w:spacing w:val="-10"/>
          <w:w w:val="105"/>
          <w:sz w:val="13"/>
        </w:rPr>
        <w:t> </w:t>
      </w:r>
      <w:r>
        <w:rPr>
          <w:w w:val="105"/>
          <w:sz w:val="13"/>
        </w:rPr>
        <w:t>withheld).</w:t>
      </w:r>
    </w:p>
    <w:p>
      <w:pPr>
        <w:pStyle w:val="ListParagraph"/>
        <w:numPr>
          <w:ilvl w:val="0"/>
          <w:numId w:val="32"/>
        </w:numPr>
        <w:tabs>
          <w:tab w:pos="2381" w:val="left" w:leader="none"/>
          <w:tab w:pos="2382" w:val="left" w:leader="none"/>
        </w:tabs>
        <w:spacing w:line="240" w:lineRule="auto" w:before="1" w:after="0"/>
        <w:ind w:left="1587" w:right="4288" w:firstLine="0"/>
        <w:jc w:val="left"/>
        <w:rPr>
          <w:sz w:val="13"/>
        </w:rPr>
      </w:pPr>
      <w:r>
        <w:rPr/>
        <w:pict>
          <v:shape style="position:absolute;margin-left:36pt;margin-top:11.010764pt;width:14.1pt;height:14.25pt;mso-position-horizontal-relative:page;mso-position-vertical-relative:paragraph;z-index:3784" type="#_x0000_t202" filled="false" stroked="false">
            <v:textbox inset="0,0,0,0">
              <w:txbxContent>
                <w:p>
                  <w:pPr>
                    <w:spacing w:line="284" w:lineRule="exact" w:before="0"/>
                    <w:ind w:left="0" w:right="0" w:firstLine="0"/>
                    <w:jc w:val="left"/>
                    <w:rPr>
                      <w:b/>
                      <w:sz w:val="24"/>
                    </w:rPr>
                  </w:pPr>
                  <w:r>
                    <w:rPr>
                      <w:b/>
                      <w:color w:val="658464"/>
                      <w:w w:val="110"/>
                      <w:sz w:val="24"/>
                    </w:rPr>
                    <w:t>44</w:t>
                  </w:r>
                </w:p>
              </w:txbxContent>
            </v:textbox>
            <w10:wrap type="none"/>
          </v:shape>
        </w:pict>
      </w:r>
      <w:r>
        <w:rPr>
          <w:w w:val="105"/>
          <w:sz w:val="13"/>
        </w:rPr>
        <w:t>Information provided by DSCV as part of a data request from the Commission, August </w:t>
      </w:r>
      <w:r>
        <w:rPr>
          <w:spacing w:val="-5"/>
          <w:w w:val="105"/>
          <w:sz w:val="13"/>
        </w:rPr>
        <w:t>2017. </w:t>
      </w:r>
      <w:r>
        <w:rPr>
          <w:w w:val="105"/>
          <w:sz w:val="13"/>
        </w:rPr>
        <w:t>194</w:t>
        <w:tab/>
        <w:t>Ibid.</w:t>
      </w:r>
    </w:p>
    <w:p>
      <w:pPr>
        <w:pStyle w:val="ListParagraph"/>
        <w:numPr>
          <w:ilvl w:val="0"/>
          <w:numId w:val="33"/>
        </w:numPr>
        <w:tabs>
          <w:tab w:pos="2381" w:val="left" w:leader="none"/>
          <w:tab w:pos="2382" w:val="left" w:leader="none"/>
        </w:tabs>
        <w:spacing w:line="240" w:lineRule="auto" w:before="3" w:after="0"/>
        <w:ind w:left="2381" w:right="0" w:hanging="794"/>
        <w:jc w:val="left"/>
        <w:rPr>
          <w:sz w:val="13"/>
        </w:rPr>
      </w:pPr>
      <w:r>
        <w:rPr>
          <w:sz w:val="13"/>
        </w:rPr>
        <w:t>Ibid.</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11"/>
        <w:rPr>
          <w:sz w:val="17"/>
        </w:rPr>
      </w:pPr>
    </w:p>
    <w:p>
      <w:pPr>
        <w:pStyle w:val="Heading5"/>
        <w:spacing w:before="96"/>
      </w:pPr>
      <w:bookmarkStart w:name="_bookmark32" w:id="83"/>
      <w:bookmarkEnd w:id="83"/>
      <w:r>
        <w:rPr>
          <w:b w:val="0"/>
        </w:rPr>
      </w:r>
      <w:r>
        <w:rPr>
          <w:w w:val="115"/>
        </w:rPr>
        <w:t>Litigation is difficult and costly</w:t>
      </w:r>
    </w:p>
    <w:p>
      <w:pPr>
        <w:pStyle w:val="ListParagraph"/>
        <w:numPr>
          <w:ilvl w:val="1"/>
          <w:numId w:val="16"/>
        </w:numPr>
        <w:tabs>
          <w:tab w:pos="2380" w:val="left" w:leader="none"/>
          <w:tab w:pos="2381" w:val="left" w:leader="none"/>
        </w:tabs>
        <w:spacing w:line="242" w:lineRule="auto" w:before="137" w:after="0"/>
        <w:ind w:left="2381" w:right="1658" w:hanging="794"/>
        <w:jc w:val="left"/>
        <w:rPr>
          <w:sz w:val="21"/>
        </w:rPr>
      </w:pPr>
      <w:r>
        <w:rPr>
          <w:sz w:val="21"/>
        </w:rPr>
        <w:t>Nearly </w:t>
      </w:r>
      <w:r>
        <w:rPr>
          <w:spacing w:val="-3"/>
          <w:sz w:val="21"/>
        </w:rPr>
        <w:t>all </w:t>
      </w:r>
      <w:r>
        <w:rPr>
          <w:sz w:val="21"/>
        </w:rPr>
        <w:t>people </w:t>
      </w:r>
      <w:r>
        <w:rPr>
          <w:spacing w:val="-3"/>
          <w:sz w:val="21"/>
        </w:rPr>
        <w:t>involved </w:t>
      </w:r>
      <w:r>
        <w:rPr>
          <w:sz w:val="21"/>
        </w:rPr>
        <w:t>in tree </w:t>
      </w:r>
      <w:r>
        <w:rPr>
          <w:spacing w:val="-3"/>
          <w:sz w:val="21"/>
        </w:rPr>
        <w:t>disputes </w:t>
      </w:r>
      <w:r>
        <w:rPr>
          <w:sz w:val="21"/>
        </w:rPr>
        <w:t>who made </w:t>
      </w:r>
      <w:r>
        <w:rPr>
          <w:spacing w:val="-3"/>
          <w:sz w:val="21"/>
        </w:rPr>
        <w:t>submissions </w:t>
      </w:r>
      <w:r>
        <w:rPr>
          <w:sz w:val="21"/>
        </w:rPr>
        <w:t>or </w:t>
      </w:r>
      <w:r>
        <w:rPr>
          <w:spacing w:val="-3"/>
          <w:sz w:val="21"/>
        </w:rPr>
        <w:t>consulted </w:t>
      </w:r>
      <w:r>
        <w:rPr>
          <w:sz w:val="21"/>
        </w:rPr>
        <w:t>with the </w:t>
      </w:r>
      <w:r>
        <w:rPr>
          <w:spacing w:val="-3"/>
          <w:sz w:val="21"/>
        </w:rPr>
        <w:t>Commission </w:t>
      </w:r>
      <w:r>
        <w:rPr>
          <w:sz w:val="21"/>
        </w:rPr>
        <w:t>reported </w:t>
      </w:r>
      <w:r>
        <w:rPr>
          <w:spacing w:val="-3"/>
          <w:sz w:val="21"/>
        </w:rPr>
        <w:t>that </w:t>
      </w:r>
      <w:r>
        <w:rPr>
          <w:sz w:val="21"/>
        </w:rPr>
        <w:t>they </w:t>
      </w:r>
      <w:r>
        <w:rPr>
          <w:spacing w:val="-2"/>
          <w:sz w:val="21"/>
        </w:rPr>
        <w:t>had not </w:t>
      </w:r>
      <w:r>
        <w:rPr>
          <w:spacing w:val="-3"/>
          <w:sz w:val="21"/>
        </w:rPr>
        <w:t>taken </w:t>
      </w:r>
      <w:r>
        <w:rPr>
          <w:sz w:val="21"/>
        </w:rPr>
        <w:t>legal </w:t>
      </w:r>
      <w:r>
        <w:rPr>
          <w:spacing w:val="-3"/>
          <w:sz w:val="21"/>
        </w:rPr>
        <w:t>action.</w:t>
      </w:r>
      <w:r>
        <w:rPr>
          <w:spacing w:val="-3"/>
          <w:position w:val="7"/>
          <w:sz w:val="12"/>
        </w:rPr>
        <w:t>196 </w:t>
      </w:r>
      <w:r>
        <w:rPr>
          <w:sz w:val="21"/>
        </w:rPr>
        <w:t>Over 90 per </w:t>
      </w:r>
      <w:r>
        <w:rPr>
          <w:spacing w:val="-3"/>
          <w:sz w:val="21"/>
        </w:rPr>
        <w:t>cent </w:t>
      </w:r>
      <w:r>
        <w:rPr>
          <w:sz w:val="21"/>
        </w:rPr>
        <w:t>of survey respondents also </w:t>
      </w:r>
      <w:r>
        <w:rPr>
          <w:spacing w:val="-3"/>
          <w:sz w:val="21"/>
        </w:rPr>
        <w:t>indicated that </w:t>
      </w:r>
      <w:r>
        <w:rPr>
          <w:sz w:val="21"/>
        </w:rPr>
        <w:t>they </w:t>
      </w:r>
      <w:r>
        <w:rPr>
          <w:spacing w:val="-2"/>
          <w:sz w:val="21"/>
        </w:rPr>
        <w:t>had not </w:t>
      </w:r>
      <w:r>
        <w:rPr>
          <w:spacing w:val="-3"/>
          <w:sz w:val="21"/>
        </w:rPr>
        <w:t>taken </w:t>
      </w:r>
      <w:r>
        <w:rPr>
          <w:sz w:val="21"/>
        </w:rPr>
        <w:t>legal </w:t>
      </w:r>
      <w:r>
        <w:rPr>
          <w:spacing w:val="-4"/>
          <w:sz w:val="21"/>
        </w:rPr>
        <w:t>action.</w:t>
      </w:r>
      <w:r>
        <w:rPr>
          <w:spacing w:val="-4"/>
          <w:position w:val="7"/>
          <w:sz w:val="12"/>
        </w:rPr>
        <w:t>197 </w:t>
      </w:r>
      <w:r>
        <w:rPr>
          <w:sz w:val="21"/>
        </w:rPr>
        <w:t>Only one person </w:t>
      </w:r>
      <w:r>
        <w:rPr>
          <w:spacing w:val="-3"/>
          <w:sz w:val="21"/>
        </w:rPr>
        <w:t>had commenced </w:t>
      </w:r>
      <w:r>
        <w:rPr>
          <w:sz w:val="21"/>
        </w:rPr>
        <w:t>legal action and </w:t>
      </w:r>
      <w:r>
        <w:rPr>
          <w:spacing w:val="-3"/>
          <w:sz w:val="21"/>
        </w:rPr>
        <w:t>taken </w:t>
      </w:r>
      <w:r>
        <w:rPr>
          <w:sz w:val="21"/>
        </w:rPr>
        <w:t>their matter </w:t>
      </w:r>
      <w:r>
        <w:rPr>
          <w:spacing w:val="-3"/>
          <w:sz w:val="21"/>
        </w:rPr>
        <w:t>to  </w:t>
      </w:r>
      <w:r>
        <w:rPr>
          <w:sz w:val="21"/>
        </w:rPr>
        <w:t>court </w:t>
      </w:r>
      <w:r>
        <w:rPr>
          <w:spacing w:val="-3"/>
          <w:sz w:val="21"/>
        </w:rPr>
        <w:t>regarding</w:t>
      </w:r>
      <w:r>
        <w:rPr>
          <w:spacing w:val="41"/>
          <w:sz w:val="21"/>
        </w:rPr>
        <w:t> </w:t>
      </w:r>
      <w:r>
        <w:rPr>
          <w:sz w:val="21"/>
        </w:rPr>
        <w:t>damage caused </w:t>
      </w:r>
      <w:r>
        <w:rPr>
          <w:spacing w:val="-3"/>
          <w:sz w:val="21"/>
        </w:rPr>
        <w:t>to  </w:t>
      </w:r>
      <w:r>
        <w:rPr>
          <w:sz w:val="21"/>
        </w:rPr>
        <w:t>a  tree </w:t>
      </w:r>
      <w:r>
        <w:rPr>
          <w:spacing w:val="-3"/>
          <w:sz w:val="21"/>
        </w:rPr>
        <w:t>that </w:t>
      </w:r>
      <w:r>
        <w:rPr>
          <w:sz w:val="21"/>
        </w:rPr>
        <w:t>they </w:t>
      </w:r>
      <w:r>
        <w:rPr>
          <w:spacing w:val="-4"/>
          <w:sz w:val="21"/>
        </w:rPr>
        <w:t>owned.</w:t>
      </w:r>
      <w:r>
        <w:rPr>
          <w:spacing w:val="-4"/>
          <w:position w:val="7"/>
          <w:sz w:val="12"/>
        </w:rPr>
        <w:t>198 </w:t>
      </w:r>
      <w:r>
        <w:rPr>
          <w:sz w:val="21"/>
        </w:rPr>
        <w:t>This person stated </w:t>
      </w:r>
      <w:r>
        <w:rPr>
          <w:spacing w:val="-3"/>
          <w:sz w:val="21"/>
        </w:rPr>
        <w:t>that </w:t>
      </w:r>
      <w:r>
        <w:rPr>
          <w:spacing w:val="-4"/>
          <w:sz w:val="21"/>
        </w:rPr>
        <w:t>‘after </w:t>
      </w:r>
      <w:r>
        <w:rPr>
          <w:spacing w:val="-3"/>
          <w:sz w:val="21"/>
        </w:rPr>
        <w:t>substantial </w:t>
      </w:r>
      <w:r>
        <w:rPr>
          <w:sz w:val="21"/>
        </w:rPr>
        <w:t>costs </w:t>
      </w:r>
      <w:r>
        <w:rPr>
          <w:spacing w:val="-3"/>
          <w:sz w:val="21"/>
        </w:rPr>
        <w:t>were incurred </w:t>
      </w:r>
      <w:r>
        <w:rPr>
          <w:sz w:val="21"/>
        </w:rPr>
        <w:t>and </w:t>
      </w:r>
      <w:r>
        <w:rPr>
          <w:spacing w:val="-3"/>
          <w:sz w:val="21"/>
        </w:rPr>
        <w:t>multiple </w:t>
      </w:r>
      <w:r>
        <w:rPr>
          <w:sz w:val="21"/>
        </w:rPr>
        <w:t>delay tactics by the neighbours, an </w:t>
      </w:r>
      <w:r>
        <w:rPr>
          <w:spacing w:val="-2"/>
          <w:sz w:val="21"/>
        </w:rPr>
        <w:t>agreement  </w:t>
      </w:r>
      <w:r>
        <w:rPr>
          <w:sz w:val="21"/>
        </w:rPr>
        <w:t>was </w:t>
      </w:r>
      <w:r>
        <w:rPr>
          <w:spacing w:val="-3"/>
          <w:sz w:val="21"/>
        </w:rPr>
        <w:t>negotiated,  </w:t>
      </w:r>
      <w:r>
        <w:rPr>
          <w:sz w:val="21"/>
        </w:rPr>
        <w:t>largely in </w:t>
      </w:r>
      <w:r>
        <w:rPr>
          <w:spacing w:val="-3"/>
          <w:sz w:val="21"/>
        </w:rPr>
        <w:t>relation  to </w:t>
      </w:r>
      <w:r>
        <w:rPr>
          <w:sz w:val="21"/>
        </w:rPr>
        <w:t>the damaged </w:t>
      </w:r>
      <w:r>
        <w:rPr>
          <w:spacing w:val="-6"/>
          <w:sz w:val="21"/>
        </w:rPr>
        <w:t>fence’. </w:t>
      </w:r>
      <w:r>
        <w:rPr>
          <w:sz w:val="21"/>
        </w:rPr>
        <w:t>They </w:t>
      </w:r>
      <w:r>
        <w:rPr>
          <w:spacing w:val="-2"/>
          <w:sz w:val="21"/>
        </w:rPr>
        <w:t>had </w:t>
      </w:r>
      <w:r>
        <w:rPr>
          <w:sz w:val="21"/>
        </w:rPr>
        <w:t>received legal advice </w:t>
      </w:r>
      <w:r>
        <w:rPr>
          <w:spacing w:val="-3"/>
          <w:sz w:val="21"/>
        </w:rPr>
        <w:t>that </w:t>
      </w:r>
      <w:r>
        <w:rPr>
          <w:spacing w:val="-4"/>
          <w:sz w:val="21"/>
        </w:rPr>
        <w:t>‘no </w:t>
      </w:r>
      <w:r>
        <w:rPr>
          <w:sz w:val="21"/>
        </w:rPr>
        <w:t>action </w:t>
      </w:r>
      <w:r>
        <w:rPr>
          <w:spacing w:val="-3"/>
          <w:sz w:val="21"/>
        </w:rPr>
        <w:t>could </w:t>
      </w:r>
      <w:r>
        <w:rPr>
          <w:sz w:val="21"/>
        </w:rPr>
        <w:t>be </w:t>
      </w:r>
      <w:r>
        <w:rPr>
          <w:spacing w:val="-3"/>
          <w:sz w:val="21"/>
        </w:rPr>
        <w:t>taken </w:t>
      </w:r>
      <w:r>
        <w:rPr>
          <w:sz w:val="21"/>
        </w:rPr>
        <w:t>in </w:t>
      </w:r>
      <w:r>
        <w:rPr>
          <w:spacing w:val="-3"/>
          <w:sz w:val="21"/>
        </w:rPr>
        <w:t>relation to </w:t>
      </w:r>
      <w:r>
        <w:rPr>
          <w:sz w:val="21"/>
        </w:rPr>
        <w:t>the damage caused </w:t>
      </w:r>
      <w:r>
        <w:rPr>
          <w:spacing w:val="-3"/>
          <w:sz w:val="21"/>
        </w:rPr>
        <w:t>to </w:t>
      </w:r>
      <w:r>
        <w:rPr>
          <w:sz w:val="21"/>
        </w:rPr>
        <w:t>the tree because it </w:t>
      </w:r>
      <w:r>
        <w:rPr>
          <w:spacing w:val="-2"/>
          <w:sz w:val="21"/>
        </w:rPr>
        <w:t>had not</w:t>
      </w:r>
      <w:r>
        <w:rPr>
          <w:spacing w:val="-1"/>
          <w:sz w:val="21"/>
        </w:rPr>
        <w:t> </w:t>
      </w:r>
      <w:r>
        <w:rPr>
          <w:sz w:val="21"/>
        </w:rPr>
        <w:t>been </w:t>
      </w:r>
      <w:r>
        <w:rPr>
          <w:spacing w:val="-6"/>
          <w:sz w:val="21"/>
        </w:rPr>
        <w:t>killed’.</w:t>
      </w:r>
      <w:r>
        <w:rPr>
          <w:spacing w:val="-6"/>
          <w:position w:val="7"/>
          <w:sz w:val="12"/>
        </w:rPr>
        <w:t>199</w:t>
      </w:r>
    </w:p>
    <w:p>
      <w:pPr>
        <w:pStyle w:val="ListParagraph"/>
        <w:numPr>
          <w:ilvl w:val="1"/>
          <w:numId w:val="16"/>
        </w:numPr>
        <w:tabs>
          <w:tab w:pos="2382" w:val="left" w:leader="none"/>
        </w:tabs>
        <w:spacing w:line="242" w:lineRule="auto" w:before="129" w:after="0"/>
        <w:ind w:left="2381" w:right="2230" w:hanging="794"/>
        <w:jc w:val="both"/>
        <w:rPr>
          <w:sz w:val="21"/>
        </w:rPr>
      </w:pPr>
      <w:r>
        <w:rPr>
          <w:spacing w:val="-3"/>
          <w:sz w:val="21"/>
        </w:rPr>
        <w:t>Community </w:t>
      </w:r>
      <w:r>
        <w:rPr>
          <w:sz w:val="21"/>
        </w:rPr>
        <w:t>responses suggest </w:t>
      </w:r>
      <w:r>
        <w:rPr>
          <w:spacing w:val="-3"/>
          <w:sz w:val="21"/>
        </w:rPr>
        <w:t>that </w:t>
      </w:r>
      <w:r>
        <w:rPr>
          <w:sz w:val="21"/>
        </w:rPr>
        <w:t>legal action is very </w:t>
      </w:r>
      <w:r>
        <w:rPr>
          <w:spacing w:val="-3"/>
          <w:sz w:val="21"/>
        </w:rPr>
        <w:t>rarely </w:t>
      </w:r>
      <w:r>
        <w:rPr>
          <w:sz w:val="21"/>
        </w:rPr>
        <w:t>pursued </w:t>
      </w:r>
      <w:r>
        <w:rPr>
          <w:spacing w:val="-3"/>
          <w:sz w:val="21"/>
        </w:rPr>
        <w:t>for  </w:t>
      </w:r>
      <w:r>
        <w:rPr>
          <w:sz w:val="21"/>
        </w:rPr>
        <w:t>a number  of </w:t>
      </w:r>
      <w:r>
        <w:rPr>
          <w:spacing w:val="-3"/>
          <w:sz w:val="21"/>
        </w:rPr>
        <w:t>reasons, </w:t>
      </w:r>
      <w:r>
        <w:rPr>
          <w:sz w:val="21"/>
        </w:rPr>
        <w:t>the most </w:t>
      </w:r>
      <w:r>
        <w:rPr>
          <w:spacing w:val="-3"/>
          <w:sz w:val="21"/>
        </w:rPr>
        <w:t>significant </w:t>
      </w:r>
      <w:r>
        <w:rPr>
          <w:sz w:val="21"/>
        </w:rPr>
        <w:t>of which is the </w:t>
      </w:r>
      <w:r>
        <w:rPr>
          <w:spacing w:val="-3"/>
          <w:sz w:val="21"/>
        </w:rPr>
        <w:t>prohibitive </w:t>
      </w:r>
      <w:r>
        <w:rPr>
          <w:sz w:val="21"/>
        </w:rPr>
        <w:t>cost.</w:t>
      </w:r>
      <w:r>
        <w:rPr>
          <w:position w:val="7"/>
          <w:sz w:val="12"/>
        </w:rPr>
        <w:t>200 </w:t>
      </w:r>
      <w:r>
        <w:rPr>
          <w:spacing w:val="-3"/>
          <w:sz w:val="21"/>
        </w:rPr>
        <w:t>Pointon </w:t>
      </w:r>
      <w:r>
        <w:rPr>
          <w:sz w:val="21"/>
        </w:rPr>
        <w:t>Partners explained:</w:t>
      </w:r>
    </w:p>
    <w:p>
      <w:pPr>
        <w:spacing w:line="254" w:lineRule="auto" w:before="132"/>
        <w:ind w:left="2834" w:right="1931" w:firstLine="0"/>
        <w:jc w:val="left"/>
        <w:rPr>
          <w:sz w:val="11"/>
        </w:rPr>
      </w:pPr>
      <w:r>
        <w:rPr>
          <w:spacing w:val="-3"/>
          <w:w w:val="105"/>
          <w:sz w:val="20"/>
        </w:rPr>
        <w:t>Occasionally, </w:t>
      </w:r>
      <w:r>
        <w:rPr>
          <w:w w:val="105"/>
          <w:sz w:val="20"/>
        </w:rPr>
        <w:t>matters do proceed to litigation in either the Magistrates’ Court or sometimes the </w:t>
      </w:r>
      <w:r>
        <w:rPr>
          <w:spacing w:val="-3"/>
          <w:w w:val="105"/>
          <w:sz w:val="20"/>
        </w:rPr>
        <w:t>County </w:t>
      </w:r>
      <w:r>
        <w:rPr>
          <w:w w:val="105"/>
          <w:sz w:val="20"/>
        </w:rPr>
        <w:t>Court. </w:t>
      </w:r>
      <w:r>
        <w:rPr>
          <w:spacing w:val="-4"/>
          <w:w w:val="105"/>
          <w:sz w:val="20"/>
        </w:rPr>
        <w:t>However, </w:t>
      </w:r>
      <w:r>
        <w:rPr>
          <w:w w:val="105"/>
          <w:sz w:val="20"/>
        </w:rPr>
        <w:t>in my experience a great number of matters are</w:t>
      </w:r>
      <w:r>
        <w:rPr>
          <w:spacing w:val="-12"/>
          <w:w w:val="105"/>
          <w:sz w:val="20"/>
        </w:rPr>
        <w:t> </w:t>
      </w:r>
      <w:r>
        <w:rPr>
          <w:w w:val="105"/>
          <w:sz w:val="20"/>
        </w:rPr>
        <w:t>abandoned,</w:t>
      </w:r>
      <w:r>
        <w:rPr>
          <w:spacing w:val="-12"/>
          <w:w w:val="105"/>
          <w:sz w:val="20"/>
        </w:rPr>
        <w:t> </w:t>
      </w:r>
      <w:r>
        <w:rPr>
          <w:w w:val="105"/>
          <w:sz w:val="20"/>
        </w:rPr>
        <w:t>unresolved,</w:t>
      </w:r>
      <w:r>
        <w:rPr>
          <w:spacing w:val="-12"/>
          <w:w w:val="105"/>
          <w:sz w:val="20"/>
        </w:rPr>
        <w:t> </w:t>
      </w:r>
      <w:r>
        <w:rPr>
          <w:w w:val="105"/>
          <w:sz w:val="20"/>
        </w:rPr>
        <w:t>because</w:t>
      </w:r>
      <w:r>
        <w:rPr>
          <w:spacing w:val="-12"/>
          <w:w w:val="105"/>
          <w:sz w:val="20"/>
        </w:rPr>
        <w:t> </w:t>
      </w:r>
      <w:r>
        <w:rPr>
          <w:w w:val="105"/>
          <w:sz w:val="20"/>
        </w:rPr>
        <w:t>parties</w:t>
      </w:r>
      <w:r>
        <w:rPr>
          <w:spacing w:val="-12"/>
          <w:w w:val="105"/>
          <w:sz w:val="20"/>
        </w:rPr>
        <w:t> </w:t>
      </w:r>
      <w:r>
        <w:rPr>
          <w:w w:val="105"/>
          <w:sz w:val="20"/>
        </w:rPr>
        <w:t>do</w:t>
      </w:r>
      <w:r>
        <w:rPr>
          <w:spacing w:val="-11"/>
          <w:w w:val="105"/>
          <w:sz w:val="20"/>
        </w:rPr>
        <w:t> </w:t>
      </w:r>
      <w:r>
        <w:rPr>
          <w:w w:val="105"/>
          <w:sz w:val="20"/>
        </w:rPr>
        <w:t>not</w:t>
      </w:r>
      <w:r>
        <w:rPr>
          <w:spacing w:val="-12"/>
          <w:w w:val="105"/>
          <w:sz w:val="20"/>
        </w:rPr>
        <w:t> </w:t>
      </w:r>
      <w:r>
        <w:rPr>
          <w:spacing w:val="-3"/>
          <w:w w:val="105"/>
          <w:sz w:val="20"/>
        </w:rPr>
        <w:t>have</w:t>
      </w:r>
      <w:r>
        <w:rPr>
          <w:spacing w:val="-12"/>
          <w:w w:val="105"/>
          <w:sz w:val="20"/>
        </w:rPr>
        <w:t> </w:t>
      </w:r>
      <w:r>
        <w:rPr>
          <w:w w:val="105"/>
          <w:sz w:val="20"/>
        </w:rPr>
        <w:t>the</w:t>
      </w:r>
      <w:r>
        <w:rPr>
          <w:spacing w:val="-12"/>
          <w:w w:val="105"/>
          <w:sz w:val="20"/>
        </w:rPr>
        <w:t> </w:t>
      </w:r>
      <w:r>
        <w:rPr>
          <w:w w:val="105"/>
          <w:sz w:val="20"/>
        </w:rPr>
        <w:t>resources</w:t>
      </w:r>
      <w:r>
        <w:rPr>
          <w:spacing w:val="-12"/>
          <w:w w:val="105"/>
          <w:sz w:val="20"/>
        </w:rPr>
        <w:t> </w:t>
      </w:r>
      <w:r>
        <w:rPr>
          <w:w w:val="105"/>
          <w:sz w:val="20"/>
        </w:rPr>
        <w:t>to</w:t>
      </w:r>
      <w:r>
        <w:rPr>
          <w:spacing w:val="-11"/>
          <w:w w:val="105"/>
          <w:sz w:val="20"/>
        </w:rPr>
        <w:t> </w:t>
      </w:r>
      <w:r>
        <w:rPr>
          <w:w w:val="105"/>
          <w:sz w:val="20"/>
        </w:rPr>
        <w:t>proceed</w:t>
      </w:r>
      <w:r>
        <w:rPr>
          <w:spacing w:val="-12"/>
          <w:w w:val="105"/>
          <w:sz w:val="20"/>
        </w:rPr>
        <w:t> </w:t>
      </w:r>
      <w:r>
        <w:rPr>
          <w:w w:val="105"/>
          <w:sz w:val="20"/>
        </w:rPr>
        <w:t>to Court.</w:t>
      </w:r>
      <w:r>
        <w:rPr>
          <w:w w:val="105"/>
          <w:position w:val="7"/>
          <w:sz w:val="11"/>
        </w:rPr>
        <w:t>201</w:t>
      </w:r>
    </w:p>
    <w:p>
      <w:pPr>
        <w:pStyle w:val="ListParagraph"/>
        <w:numPr>
          <w:ilvl w:val="1"/>
          <w:numId w:val="16"/>
        </w:numPr>
        <w:tabs>
          <w:tab w:pos="2380" w:val="left" w:leader="none"/>
          <w:tab w:pos="2381" w:val="left" w:leader="none"/>
        </w:tabs>
        <w:spacing w:line="242" w:lineRule="auto" w:before="116" w:after="0"/>
        <w:ind w:left="2381" w:right="1605" w:hanging="794"/>
        <w:jc w:val="left"/>
        <w:rPr>
          <w:sz w:val="21"/>
        </w:rPr>
      </w:pPr>
      <w:r>
        <w:rPr>
          <w:spacing w:val="-3"/>
          <w:w w:val="105"/>
          <w:sz w:val="21"/>
        </w:rPr>
        <w:t>Pointon</w:t>
      </w:r>
      <w:r>
        <w:rPr>
          <w:spacing w:val="-5"/>
          <w:w w:val="105"/>
          <w:sz w:val="21"/>
        </w:rPr>
        <w:t> </w:t>
      </w:r>
      <w:r>
        <w:rPr>
          <w:w w:val="105"/>
          <w:sz w:val="21"/>
        </w:rPr>
        <w:t>Partners</w:t>
      </w:r>
      <w:r>
        <w:rPr>
          <w:spacing w:val="-5"/>
          <w:w w:val="105"/>
          <w:sz w:val="21"/>
        </w:rPr>
        <w:t> </w:t>
      </w:r>
      <w:r>
        <w:rPr>
          <w:w w:val="105"/>
          <w:sz w:val="21"/>
        </w:rPr>
        <w:t>suggested</w:t>
      </w:r>
      <w:r>
        <w:rPr>
          <w:spacing w:val="-5"/>
          <w:w w:val="105"/>
          <w:sz w:val="21"/>
        </w:rPr>
        <w:t> </w:t>
      </w:r>
      <w:r>
        <w:rPr>
          <w:spacing w:val="-3"/>
          <w:w w:val="105"/>
          <w:sz w:val="21"/>
        </w:rPr>
        <w:t>that</w:t>
      </w:r>
      <w:r>
        <w:rPr>
          <w:spacing w:val="-4"/>
          <w:w w:val="105"/>
          <w:sz w:val="21"/>
        </w:rPr>
        <w:t> </w:t>
      </w:r>
      <w:r>
        <w:rPr>
          <w:w w:val="105"/>
          <w:sz w:val="21"/>
        </w:rPr>
        <w:t>‘Simple</w:t>
      </w:r>
      <w:r>
        <w:rPr>
          <w:spacing w:val="-5"/>
          <w:w w:val="105"/>
          <w:sz w:val="21"/>
        </w:rPr>
        <w:t> </w:t>
      </w:r>
      <w:r>
        <w:rPr>
          <w:w w:val="105"/>
          <w:sz w:val="21"/>
        </w:rPr>
        <w:t>matters</w:t>
      </w:r>
      <w:r>
        <w:rPr>
          <w:spacing w:val="-5"/>
          <w:w w:val="105"/>
          <w:sz w:val="21"/>
        </w:rPr>
        <w:t> </w:t>
      </w:r>
      <w:r>
        <w:rPr>
          <w:w w:val="105"/>
          <w:sz w:val="21"/>
        </w:rPr>
        <w:t>can</w:t>
      </w:r>
      <w:r>
        <w:rPr>
          <w:spacing w:val="-5"/>
          <w:w w:val="105"/>
          <w:sz w:val="21"/>
        </w:rPr>
        <w:t> </w:t>
      </w:r>
      <w:r>
        <w:rPr>
          <w:w w:val="105"/>
          <w:sz w:val="21"/>
        </w:rPr>
        <w:t>cost</w:t>
      </w:r>
      <w:r>
        <w:rPr>
          <w:spacing w:val="-4"/>
          <w:w w:val="105"/>
          <w:sz w:val="21"/>
        </w:rPr>
        <w:t> </w:t>
      </w:r>
      <w:r>
        <w:rPr>
          <w:w w:val="105"/>
          <w:sz w:val="21"/>
        </w:rPr>
        <w:t>in</w:t>
      </w:r>
      <w:r>
        <w:rPr>
          <w:spacing w:val="-5"/>
          <w:w w:val="105"/>
          <w:sz w:val="21"/>
        </w:rPr>
        <w:t> </w:t>
      </w:r>
      <w:r>
        <w:rPr>
          <w:w w:val="105"/>
          <w:sz w:val="21"/>
        </w:rPr>
        <w:t>the</w:t>
      </w:r>
      <w:r>
        <w:rPr>
          <w:spacing w:val="-5"/>
          <w:w w:val="105"/>
          <w:sz w:val="21"/>
        </w:rPr>
        <w:t> </w:t>
      </w:r>
      <w:r>
        <w:rPr>
          <w:w w:val="105"/>
          <w:sz w:val="21"/>
        </w:rPr>
        <w:t>order</w:t>
      </w:r>
      <w:r>
        <w:rPr>
          <w:spacing w:val="-5"/>
          <w:w w:val="105"/>
          <w:sz w:val="21"/>
        </w:rPr>
        <w:t> </w:t>
      </w:r>
      <w:r>
        <w:rPr>
          <w:w w:val="105"/>
          <w:sz w:val="21"/>
        </w:rPr>
        <w:t>of</w:t>
      </w:r>
      <w:r>
        <w:rPr>
          <w:spacing w:val="-4"/>
          <w:w w:val="105"/>
          <w:sz w:val="21"/>
        </w:rPr>
        <w:t> </w:t>
      </w:r>
      <w:r>
        <w:rPr>
          <w:w w:val="105"/>
          <w:sz w:val="21"/>
        </w:rPr>
        <w:t>$30,000</w:t>
      </w:r>
      <w:r>
        <w:rPr>
          <w:spacing w:val="-5"/>
          <w:w w:val="105"/>
          <w:sz w:val="21"/>
        </w:rPr>
        <w:t> </w:t>
      </w:r>
      <w:r>
        <w:rPr>
          <w:spacing w:val="-3"/>
          <w:w w:val="105"/>
          <w:sz w:val="21"/>
        </w:rPr>
        <w:t>to</w:t>
      </w:r>
      <w:r>
        <w:rPr>
          <w:spacing w:val="-5"/>
          <w:w w:val="105"/>
          <w:sz w:val="21"/>
        </w:rPr>
        <w:t> </w:t>
      </w:r>
      <w:r>
        <w:rPr>
          <w:spacing w:val="-3"/>
          <w:w w:val="105"/>
          <w:sz w:val="21"/>
        </w:rPr>
        <w:t>bring to trial. </w:t>
      </w:r>
      <w:r>
        <w:rPr>
          <w:w w:val="105"/>
          <w:sz w:val="21"/>
        </w:rPr>
        <w:t>More </w:t>
      </w:r>
      <w:r>
        <w:rPr>
          <w:spacing w:val="-3"/>
          <w:w w:val="105"/>
          <w:sz w:val="21"/>
        </w:rPr>
        <w:t>complicated </w:t>
      </w:r>
      <w:r>
        <w:rPr>
          <w:w w:val="105"/>
          <w:sz w:val="21"/>
        </w:rPr>
        <w:t>matters </w:t>
      </w:r>
      <w:r>
        <w:rPr>
          <w:spacing w:val="-3"/>
          <w:w w:val="105"/>
          <w:sz w:val="21"/>
        </w:rPr>
        <w:t>can, </w:t>
      </w:r>
      <w:r>
        <w:rPr>
          <w:w w:val="105"/>
          <w:sz w:val="21"/>
        </w:rPr>
        <w:t>and </w:t>
      </w:r>
      <w:r>
        <w:rPr>
          <w:spacing w:val="-3"/>
          <w:w w:val="105"/>
          <w:sz w:val="21"/>
        </w:rPr>
        <w:t>do, </w:t>
      </w:r>
      <w:r>
        <w:rPr>
          <w:w w:val="105"/>
          <w:sz w:val="21"/>
        </w:rPr>
        <w:t>cost in excess of </w:t>
      </w:r>
      <w:r>
        <w:rPr>
          <w:spacing w:val="-5"/>
          <w:w w:val="105"/>
          <w:sz w:val="21"/>
        </w:rPr>
        <w:t>$100,000.’ </w:t>
      </w:r>
      <w:r>
        <w:rPr>
          <w:w w:val="105"/>
          <w:sz w:val="21"/>
        </w:rPr>
        <w:t>Costs</w:t>
      </w:r>
      <w:r>
        <w:rPr>
          <w:spacing w:val="45"/>
          <w:w w:val="105"/>
          <w:sz w:val="21"/>
        </w:rPr>
        <w:t> </w:t>
      </w:r>
      <w:r>
        <w:rPr>
          <w:spacing w:val="-3"/>
          <w:w w:val="105"/>
          <w:sz w:val="21"/>
        </w:rPr>
        <w:t>may</w:t>
      </w:r>
    </w:p>
    <w:p>
      <w:pPr>
        <w:pStyle w:val="BodyText"/>
        <w:spacing w:line="242" w:lineRule="auto" w:before="2"/>
        <w:ind w:left="2380" w:right="1750"/>
        <w:rPr>
          <w:sz w:val="12"/>
        </w:rPr>
      </w:pPr>
      <w:r>
        <w:rPr>
          <w:w w:val="105"/>
        </w:rPr>
        <w:t>be </w:t>
      </w:r>
      <w:r>
        <w:rPr>
          <w:spacing w:val="-3"/>
          <w:w w:val="105"/>
        </w:rPr>
        <w:t>incurred during </w:t>
      </w:r>
      <w:r>
        <w:rPr>
          <w:w w:val="105"/>
        </w:rPr>
        <w:t>the course of </w:t>
      </w:r>
      <w:r>
        <w:rPr>
          <w:spacing w:val="-3"/>
          <w:w w:val="105"/>
        </w:rPr>
        <w:t>obtaining </w:t>
      </w:r>
      <w:r>
        <w:rPr>
          <w:w w:val="105"/>
        </w:rPr>
        <w:t>legal </w:t>
      </w:r>
      <w:r>
        <w:rPr>
          <w:spacing w:val="-3"/>
          <w:w w:val="105"/>
        </w:rPr>
        <w:t>advice, paying </w:t>
      </w:r>
      <w:r>
        <w:rPr>
          <w:w w:val="105"/>
        </w:rPr>
        <w:t>court </w:t>
      </w:r>
      <w:r>
        <w:rPr>
          <w:spacing w:val="-3"/>
          <w:w w:val="105"/>
        </w:rPr>
        <w:t>filing </w:t>
      </w:r>
      <w:r>
        <w:rPr>
          <w:w w:val="105"/>
        </w:rPr>
        <w:t>fees and the </w:t>
      </w:r>
      <w:r>
        <w:rPr>
          <w:spacing w:val="-3"/>
          <w:w w:val="105"/>
        </w:rPr>
        <w:t>additional </w:t>
      </w:r>
      <w:r>
        <w:rPr>
          <w:w w:val="105"/>
        </w:rPr>
        <w:t>cost of </w:t>
      </w:r>
      <w:r>
        <w:rPr>
          <w:spacing w:val="-3"/>
          <w:w w:val="105"/>
        </w:rPr>
        <w:t>retaining </w:t>
      </w:r>
      <w:r>
        <w:rPr>
          <w:w w:val="105"/>
        </w:rPr>
        <w:t>legal </w:t>
      </w:r>
      <w:r>
        <w:rPr>
          <w:spacing w:val="-3"/>
          <w:w w:val="105"/>
        </w:rPr>
        <w:t>counsel </w:t>
      </w:r>
      <w:r>
        <w:rPr>
          <w:w w:val="105"/>
        </w:rPr>
        <w:t>in </w:t>
      </w:r>
      <w:r>
        <w:rPr>
          <w:spacing w:val="-3"/>
          <w:w w:val="105"/>
        </w:rPr>
        <w:t>higher </w:t>
      </w:r>
      <w:r>
        <w:rPr>
          <w:w w:val="105"/>
        </w:rPr>
        <w:t>courts.</w:t>
      </w:r>
      <w:r>
        <w:rPr>
          <w:w w:val="105"/>
          <w:position w:val="7"/>
          <w:sz w:val="12"/>
        </w:rPr>
        <w:t>202 </w:t>
      </w:r>
      <w:r>
        <w:rPr>
          <w:w w:val="105"/>
        </w:rPr>
        <w:t>These costs </w:t>
      </w:r>
      <w:r>
        <w:rPr>
          <w:spacing w:val="-3"/>
          <w:w w:val="105"/>
        </w:rPr>
        <w:t>were </w:t>
      </w:r>
      <w:r>
        <w:rPr>
          <w:w w:val="105"/>
        </w:rPr>
        <w:t>described as </w:t>
      </w:r>
      <w:r>
        <w:rPr>
          <w:spacing w:val="-7"/>
          <w:w w:val="105"/>
        </w:rPr>
        <w:t>‘a </w:t>
      </w:r>
      <w:r>
        <w:rPr>
          <w:spacing w:val="-3"/>
          <w:w w:val="105"/>
        </w:rPr>
        <w:t>significant impediment to </w:t>
      </w:r>
      <w:r>
        <w:rPr>
          <w:w w:val="105"/>
        </w:rPr>
        <w:t>parties </w:t>
      </w:r>
      <w:r>
        <w:rPr>
          <w:spacing w:val="-3"/>
          <w:w w:val="105"/>
        </w:rPr>
        <w:t>wishing to </w:t>
      </w:r>
      <w:r>
        <w:rPr>
          <w:spacing w:val="-4"/>
          <w:w w:val="105"/>
        </w:rPr>
        <w:t>litigate’.</w:t>
      </w:r>
      <w:r>
        <w:rPr>
          <w:spacing w:val="-4"/>
          <w:w w:val="105"/>
          <w:position w:val="7"/>
          <w:sz w:val="12"/>
        </w:rPr>
        <w:t>203 </w:t>
      </w:r>
      <w:r>
        <w:rPr>
          <w:w w:val="105"/>
        </w:rPr>
        <w:t>One person suggested </w:t>
      </w:r>
      <w:r>
        <w:rPr>
          <w:spacing w:val="-3"/>
          <w:w w:val="105"/>
        </w:rPr>
        <w:t>that, </w:t>
      </w:r>
      <w:r>
        <w:rPr>
          <w:w w:val="105"/>
        </w:rPr>
        <w:t>as a </w:t>
      </w:r>
      <w:r>
        <w:rPr>
          <w:spacing w:val="-4"/>
          <w:w w:val="105"/>
        </w:rPr>
        <w:t>pensioner, </w:t>
      </w:r>
      <w:r>
        <w:rPr>
          <w:w w:val="105"/>
        </w:rPr>
        <w:t>he </w:t>
      </w:r>
      <w:r>
        <w:rPr>
          <w:spacing w:val="-3"/>
          <w:w w:val="105"/>
        </w:rPr>
        <w:t>could </w:t>
      </w:r>
      <w:r>
        <w:rPr>
          <w:spacing w:val="-2"/>
          <w:w w:val="105"/>
        </w:rPr>
        <w:t>not </w:t>
      </w:r>
      <w:r>
        <w:rPr>
          <w:w w:val="105"/>
        </w:rPr>
        <w:t>afford </w:t>
      </w:r>
      <w:r>
        <w:rPr>
          <w:spacing w:val="-3"/>
          <w:w w:val="105"/>
        </w:rPr>
        <w:t>to </w:t>
      </w:r>
      <w:r>
        <w:rPr>
          <w:w w:val="105"/>
        </w:rPr>
        <w:t>go </w:t>
      </w:r>
      <w:r>
        <w:rPr>
          <w:spacing w:val="-3"/>
          <w:w w:val="105"/>
        </w:rPr>
        <w:t>to </w:t>
      </w:r>
      <w:r>
        <w:rPr>
          <w:w w:val="105"/>
        </w:rPr>
        <w:t>court and stated </w:t>
      </w:r>
      <w:r>
        <w:rPr>
          <w:spacing w:val="-3"/>
          <w:w w:val="105"/>
        </w:rPr>
        <w:t>that ‘most </w:t>
      </w:r>
      <w:r>
        <w:rPr>
          <w:w w:val="105"/>
        </w:rPr>
        <w:t>pensioners </w:t>
      </w:r>
      <w:r>
        <w:rPr>
          <w:spacing w:val="-3"/>
          <w:w w:val="105"/>
        </w:rPr>
        <w:t>cannot’.</w:t>
      </w:r>
      <w:r>
        <w:rPr>
          <w:spacing w:val="-3"/>
          <w:w w:val="105"/>
          <w:position w:val="7"/>
          <w:sz w:val="12"/>
        </w:rPr>
        <w:t>204</w:t>
      </w:r>
    </w:p>
    <w:p>
      <w:pPr>
        <w:pStyle w:val="ListParagraph"/>
        <w:numPr>
          <w:ilvl w:val="1"/>
          <w:numId w:val="16"/>
        </w:numPr>
        <w:tabs>
          <w:tab w:pos="2381" w:val="left" w:leader="none"/>
          <w:tab w:pos="2382" w:val="left" w:leader="none"/>
        </w:tabs>
        <w:spacing w:line="242" w:lineRule="auto" w:before="125" w:after="0"/>
        <w:ind w:left="2381" w:right="1683" w:hanging="794"/>
        <w:jc w:val="left"/>
        <w:rPr>
          <w:sz w:val="21"/>
        </w:rPr>
      </w:pPr>
      <w:r>
        <w:rPr>
          <w:spacing w:val="-3"/>
          <w:w w:val="105"/>
          <w:sz w:val="21"/>
        </w:rPr>
        <w:t>Community</w:t>
      </w:r>
      <w:r>
        <w:rPr>
          <w:spacing w:val="-8"/>
          <w:w w:val="105"/>
          <w:sz w:val="21"/>
        </w:rPr>
        <w:t> </w:t>
      </w:r>
      <w:r>
        <w:rPr>
          <w:w w:val="105"/>
          <w:sz w:val="21"/>
        </w:rPr>
        <w:t>Legal</w:t>
      </w:r>
      <w:r>
        <w:rPr>
          <w:spacing w:val="-7"/>
          <w:w w:val="105"/>
          <w:sz w:val="21"/>
        </w:rPr>
        <w:t> </w:t>
      </w:r>
      <w:r>
        <w:rPr>
          <w:spacing w:val="-3"/>
          <w:w w:val="105"/>
          <w:sz w:val="21"/>
        </w:rPr>
        <w:t>Centres,</w:t>
      </w:r>
      <w:r>
        <w:rPr>
          <w:spacing w:val="-8"/>
          <w:w w:val="105"/>
          <w:sz w:val="21"/>
        </w:rPr>
        <w:t> </w:t>
      </w:r>
      <w:r>
        <w:rPr>
          <w:w w:val="105"/>
          <w:sz w:val="21"/>
        </w:rPr>
        <w:t>which</w:t>
      </w:r>
      <w:r>
        <w:rPr>
          <w:spacing w:val="-7"/>
          <w:w w:val="105"/>
          <w:sz w:val="21"/>
        </w:rPr>
        <w:t> </w:t>
      </w:r>
      <w:r>
        <w:rPr>
          <w:w w:val="105"/>
          <w:sz w:val="21"/>
        </w:rPr>
        <w:t>offer</w:t>
      </w:r>
      <w:r>
        <w:rPr>
          <w:spacing w:val="-8"/>
          <w:w w:val="105"/>
          <w:sz w:val="21"/>
        </w:rPr>
        <w:t> </w:t>
      </w:r>
      <w:r>
        <w:rPr>
          <w:w w:val="105"/>
          <w:sz w:val="21"/>
        </w:rPr>
        <w:t>free</w:t>
      </w:r>
      <w:r>
        <w:rPr>
          <w:spacing w:val="-7"/>
          <w:w w:val="105"/>
          <w:sz w:val="21"/>
        </w:rPr>
        <w:t> </w:t>
      </w:r>
      <w:r>
        <w:rPr>
          <w:w w:val="105"/>
          <w:sz w:val="21"/>
        </w:rPr>
        <w:t>legal</w:t>
      </w:r>
      <w:r>
        <w:rPr>
          <w:spacing w:val="-7"/>
          <w:w w:val="105"/>
          <w:sz w:val="21"/>
        </w:rPr>
        <w:t> </w:t>
      </w:r>
      <w:r>
        <w:rPr>
          <w:w w:val="105"/>
          <w:sz w:val="21"/>
        </w:rPr>
        <w:t>assistance</w:t>
      </w:r>
      <w:r>
        <w:rPr>
          <w:spacing w:val="-8"/>
          <w:w w:val="105"/>
          <w:sz w:val="21"/>
        </w:rPr>
        <w:t> </w:t>
      </w:r>
      <w:r>
        <w:rPr>
          <w:spacing w:val="-3"/>
          <w:w w:val="105"/>
          <w:sz w:val="21"/>
        </w:rPr>
        <w:t>to</w:t>
      </w:r>
      <w:r>
        <w:rPr>
          <w:spacing w:val="-7"/>
          <w:w w:val="105"/>
          <w:sz w:val="21"/>
        </w:rPr>
        <w:t> </w:t>
      </w:r>
      <w:r>
        <w:rPr>
          <w:w w:val="105"/>
          <w:sz w:val="21"/>
        </w:rPr>
        <w:t>community</w:t>
      </w:r>
      <w:r>
        <w:rPr>
          <w:spacing w:val="-8"/>
          <w:w w:val="105"/>
          <w:sz w:val="21"/>
        </w:rPr>
        <w:t> </w:t>
      </w:r>
      <w:r>
        <w:rPr>
          <w:w w:val="105"/>
          <w:sz w:val="21"/>
        </w:rPr>
        <w:t>members,</w:t>
      </w:r>
      <w:r>
        <w:rPr>
          <w:spacing w:val="-7"/>
          <w:w w:val="105"/>
          <w:sz w:val="21"/>
        </w:rPr>
        <w:t> </w:t>
      </w:r>
      <w:r>
        <w:rPr>
          <w:spacing w:val="-3"/>
          <w:w w:val="105"/>
          <w:sz w:val="21"/>
        </w:rPr>
        <w:t>may </w:t>
      </w:r>
      <w:r>
        <w:rPr>
          <w:w w:val="105"/>
          <w:sz w:val="21"/>
        </w:rPr>
        <w:t>be </w:t>
      </w:r>
      <w:r>
        <w:rPr>
          <w:spacing w:val="-3"/>
          <w:w w:val="105"/>
          <w:sz w:val="21"/>
        </w:rPr>
        <w:t>limited </w:t>
      </w:r>
      <w:r>
        <w:rPr>
          <w:w w:val="105"/>
          <w:sz w:val="21"/>
        </w:rPr>
        <w:t>in the legal assistance they can provide </w:t>
      </w:r>
      <w:r>
        <w:rPr>
          <w:spacing w:val="-3"/>
          <w:w w:val="105"/>
          <w:sz w:val="21"/>
        </w:rPr>
        <w:t>for </w:t>
      </w:r>
      <w:r>
        <w:rPr>
          <w:w w:val="105"/>
          <w:sz w:val="21"/>
        </w:rPr>
        <w:t>tree </w:t>
      </w:r>
      <w:r>
        <w:rPr>
          <w:spacing w:val="-3"/>
          <w:w w:val="105"/>
          <w:sz w:val="21"/>
        </w:rPr>
        <w:t>dispute </w:t>
      </w:r>
      <w:r>
        <w:rPr>
          <w:w w:val="105"/>
          <w:sz w:val="21"/>
        </w:rPr>
        <w:t>matters. As Barwon </w:t>
      </w:r>
      <w:r>
        <w:rPr>
          <w:spacing w:val="-3"/>
          <w:w w:val="105"/>
          <w:sz w:val="21"/>
        </w:rPr>
        <w:t>Community </w:t>
      </w:r>
      <w:r>
        <w:rPr>
          <w:w w:val="105"/>
          <w:sz w:val="21"/>
        </w:rPr>
        <w:t>Legal Service</w:t>
      </w:r>
      <w:r>
        <w:rPr>
          <w:spacing w:val="18"/>
          <w:w w:val="105"/>
          <w:sz w:val="21"/>
        </w:rPr>
        <w:t> </w:t>
      </w:r>
      <w:r>
        <w:rPr>
          <w:w w:val="105"/>
          <w:sz w:val="21"/>
        </w:rPr>
        <w:t>noted:</w:t>
      </w:r>
    </w:p>
    <w:p>
      <w:pPr>
        <w:spacing w:line="254" w:lineRule="auto" w:before="133"/>
        <w:ind w:left="2834" w:right="1636" w:firstLine="0"/>
        <w:jc w:val="left"/>
        <w:rPr>
          <w:sz w:val="11"/>
        </w:rPr>
      </w:pPr>
      <w:r>
        <w:rPr>
          <w:w w:val="105"/>
          <w:sz w:val="20"/>
        </w:rPr>
        <w:t>Refusal to participate or unsuccessful mediation with neighbours, in the </w:t>
      </w:r>
      <w:r>
        <w:rPr>
          <w:spacing w:val="-3"/>
          <w:w w:val="105"/>
          <w:sz w:val="20"/>
        </w:rPr>
        <w:t>current </w:t>
      </w:r>
      <w:r>
        <w:rPr>
          <w:w w:val="105"/>
          <w:sz w:val="20"/>
        </w:rPr>
        <w:t>legal framework</w:t>
      </w:r>
      <w:r>
        <w:rPr>
          <w:spacing w:val="-9"/>
          <w:w w:val="105"/>
          <w:sz w:val="20"/>
        </w:rPr>
        <w:t> </w:t>
      </w:r>
      <w:r>
        <w:rPr>
          <w:w w:val="105"/>
          <w:sz w:val="20"/>
        </w:rPr>
        <w:t>leaves</w:t>
      </w:r>
      <w:r>
        <w:rPr>
          <w:spacing w:val="-9"/>
          <w:w w:val="105"/>
          <w:sz w:val="20"/>
        </w:rPr>
        <w:t> </w:t>
      </w:r>
      <w:r>
        <w:rPr>
          <w:w w:val="105"/>
          <w:sz w:val="20"/>
        </w:rPr>
        <w:t>clients</w:t>
      </w:r>
      <w:r>
        <w:rPr>
          <w:spacing w:val="-8"/>
          <w:w w:val="105"/>
          <w:sz w:val="20"/>
        </w:rPr>
        <w:t> </w:t>
      </w:r>
      <w:r>
        <w:rPr>
          <w:w w:val="105"/>
          <w:sz w:val="20"/>
        </w:rPr>
        <w:t>with</w:t>
      </w:r>
      <w:r>
        <w:rPr>
          <w:spacing w:val="-9"/>
          <w:w w:val="105"/>
          <w:sz w:val="20"/>
        </w:rPr>
        <w:t> </w:t>
      </w:r>
      <w:r>
        <w:rPr>
          <w:w w:val="105"/>
          <w:sz w:val="20"/>
        </w:rPr>
        <w:t>only</w:t>
      </w:r>
      <w:r>
        <w:rPr>
          <w:spacing w:val="-9"/>
          <w:w w:val="105"/>
          <w:sz w:val="20"/>
        </w:rPr>
        <w:t> </w:t>
      </w:r>
      <w:r>
        <w:rPr>
          <w:w w:val="105"/>
          <w:sz w:val="20"/>
        </w:rPr>
        <w:t>one</w:t>
      </w:r>
      <w:r>
        <w:rPr>
          <w:spacing w:val="-8"/>
          <w:w w:val="105"/>
          <w:sz w:val="20"/>
        </w:rPr>
        <w:t> </w:t>
      </w:r>
      <w:r>
        <w:rPr>
          <w:w w:val="105"/>
          <w:sz w:val="20"/>
        </w:rPr>
        <w:t>option,</w:t>
      </w:r>
      <w:r>
        <w:rPr>
          <w:spacing w:val="-9"/>
          <w:w w:val="105"/>
          <w:sz w:val="20"/>
        </w:rPr>
        <w:t> </w:t>
      </w:r>
      <w:r>
        <w:rPr>
          <w:spacing w:val="-3"/>
          <w:w w:val="105"/>
          <w:sz w:val="20"/>
        </w:rPr>
        <w:t>initiating</w:t>
      </w:r>
      <w:r>
        <w:rPr>
          <w:spacing w:val="-9"/>
          <w:w w:val="105"/>
          <w:sz w:val="20"/>
        </w:rPr>
        <w:t> </w:t>
      </w:r>
      <w:r>
        <w:rPr>
          <w:w w:val="105"/>
          <w:sz w:val="20"/>
        </w:rPr>
        <w:t>Court</w:t>
      </w:r>
      <w:r>
        <w:rPr>
          <w:spacing w:val="-8"/>
          <w:w w:val="105"/>
          <w:sz w:val="20"/>
        </w:rPr>
        <w:t> </w:t>
      </w:r>
      <w:r>
        <w:rPr>
          <w:w w:val="105"/>
          <w:sz w:val="20"/>
        </w:rPr>
        <w:t>proceedings.</w:t>
      </w:r>
      <w:r>
        <w:rPr>
          <w:spacing w:val="-9"/>
          <w:w w:val="105"/>
          <w:sz w:val="20"/>
        </w:rPr>
        <w:t> </w:t>
      </w:r>
      <w:r>
        <w:rPr>
          <w:w w:val="105"/>
          <w:sz w:val="20"/>
        </w:rPr>
        <w:t>Our</w:t>
      </w:r>
      <w:r>
        <w:rPr>
          <w:spacing w:val="-9"/>
          <w:w w:val="105"/>
          <w:sz w:val="20"/>
        </w:rPr>
        <w:t> </w:t>
      </w:r>
      <w:r>
        <w:rPr>
          <w:w w:val="105"/>
          <w:sz w:val="20"/>
        </w:rPr>
        <w:t>service does not </w:t>
      </w:r>
      <w:r>
        <w:rPr>
          <w:spacing w:val="-3"/>
          <w:w w:val="105"/>
          <w:sz w:val="20"/>
        </w:rPr>
        <w:t>have </w:t>
      </w:r>
      <w:r>
        <w:rPr>
          <w:w w:val="105"/>
          <w:sz w:val="20"/>
        </w:rPr>
        <w:t>capacity to assist clients taking these matters to Court. </w:t>
      </w:r>
      <w:r>
        <w:rPr>
          <w:spacing w:val="2"/>
          <w:w w:val="105"/>
          <w:sz w:val="20"/>
        </w:rPr>
        <w:t>As </w:t>
      </w:r>
      <w:r>
        <w:rPr>
          <w:w w:val="105"/>
          <w:sz w:val="20"/>
        </w:rPr>
        <w:t>a result, our service is left to </w:t>
      </w:r>
      <w:r>
        <w:rPr>
          <w:spacing w:val="-3"/>
          <w:w w:val="105"/>
          <w:sz w:val="20"/>
        </w:rPr>
        <w:t>refer </w:t>
      </w:r>
      <w:r>
        <w:rPr>
          <w:w w:val="105"/>
          <w:sz w:val="20"/>
        </w:rPr>
        <w:t>clients to </w:t>
      </w:r>
      <w:r>
        <w:rPr>
          <w:spacing w:val="-3"/>
          <w:w w:val="105"/>
          <w:sz w:val="20"/>
        </w:rPr>
        <w:t>potentially </w:t>
      </w:r>
      <w:r>
        <w:rPr>
          <w:w w:val="105"/>
          <w:sz w:val="20"/>
        </w:rPr>
        <w:t>expensive litigation lawyers to engage in a lengthy</w:t>
      </w:r>
      <w:r>
        <w:rPr>
          <w:spacing w:val="-11"/>
          <w:w w:val="105"/>
          <w:sz w:val="20"/>
        </w:rPr>
        <w:t> </w:t>
      </w:r>
      <w:r>
        <w:rPr>
          <w:w w:val="105"/>
          <w:sz w:val="20"/>
        </w:rPr>
        <w:t>Court</w:t>
      </w:r>
      <w:r>
        <w:rPr>
          <w:spacing w:val="-11"/>
          <w:w w:val="105"/>
          <w:sz w:val="20"/>
        </w:rPr>
        <w:t> </w:t>
      </w:r>
      <w:r>
        <w:rPr>
          <w:w w:val="105"/>
          <w:sz w:val="20"/>
        </w:rPr>
        <w:t>action</w:t>
      </w:r>
      <w:r>
        <w:rPr>
          <w:spacing w:val="-10"/>
          <w:w w:val="105"/>
          <w:sz w:val="20"/>
        </w:rPr>
        <w:t> </w:t>
      </w:r>
      <w:r>
        <w:rPr>
          <w:w w:val="105"/>
          <w:sz w:val="20"/>
        </w:rPr>
        <w:t>for</w:t>
      </w:r>
      <w:r>
        <w:rPr>
          <w:spacing w:val="-11"/>
          <w:w w:val="105"/>
          <w:sz w:val="20"/>
        </w:rPr>
        <w:t> </w:t>
      </w:r>
      <w:r>
        <w:rPr>
          <w:w w:val="105"/>
          <w:sz w:val="20"/>
        </w:rPr>
        <w:t>nuisance</w:t>
      </w:r>
      <w:r>
        <w:rPr>
          <w:spacing w:val="-11"/>
          <w:w w:val="105"/>
          <w:sz w:val="20"/>
        </w:rPr>
        <w:t> </w:t>
      </w:r>
      <w:r>
        <w:rPr>
          <w:w w:val="105"/>
          <w:sz w:val="20"/>
        </w:rPr>
        <w:t>while</w:t>
      </w:r>
      <w:r>
        <w:rPr>
          <w:spacing w:val="-10"/>
          <w:w w:val="105"/>
          <w:sz w:val="20"/>
        </w:rPr>
        <w:t> </w:t>
      </w:r>
      <w:r>
        <w:rPr>
          <w:w w:val="105"/>
          <w:sz w:val="20"/>
        </w:rPr>
        <w:t>the</w:t>
      </w:r>
      <w:r>
        <w:rPr>
          <w:spacing w:val="-11"/>
          <w:w w:val="105"/>
          <w:sz w:val="20"/>
        </w:rPr>
        <w:t> </w:t>
      </w:r>
      <w:r>
        <w:rPr>
          <w:w w:val="105"/>
          <w:sz w:val="20"/>
        </w:rPr>
        <w:t>health</w:t>
      </w:r>
      <w:r>
        <w:rPr>
          <w:spacing w:val="-11"/>
          <w:w w:val="105"/>
          <w:sz w:val="20"/>
        </w:rPr>
        <w:t> </w:t>
      </w:r>
      <w:r>
        <w:rPr>
          <w:w w:val="105"/>
          <w:sz w:val="20"/>
        </w:rPr>
        <w:t>of</w:t>
      </w:r>
      <w:r>
        <w:rPr>
          <w:spacing w:val="-10"/>
          <w:w w:val="105"/>
          <w:sz w:val="20"/>
        </w:rPr>
        <w:t> </w:t>
      </w:r>
      <w:r>
        <w:rPr>
          <w:w w:val="105"/>
          <w:sz w:val="20"/>
        </w:rPr>
        <w:t>their</w:t>
      </w:r>
      <w:r>
        <w:rPr>
          <w:spacing w:val="-11"/>
          <w:w w:val="105"/>
          <w:sz w:val="20"/>
        </w:rPr>
        <w:t> </w:t>
      </w:r>
      <w:r>
        <w:rPr>
          <w:w w:val="105"/>
          <w:sz w:val="20"/>
        </w:rPr>
        <w:t>trees</w:t>
      </w:r>
      <w:r>
        <w:rPr>
          <w:spacing w:val="-11"/>
          <w:w w:val="105"/>
          <w:sz w:val="20"/>
        </w:rPr>
        <w:t> </w:t>
      </w:r>
      <w:r>
        <w:rPr>
          <w:spacing w:val="-3"/>
          <w:w w:val="105"/>
          <w:sz w:val="20"/>
        </w:rPr>
        <w:t>continues</w:t>
      </w:r>
      <w:r>
        <w:rPr>
          <w:spacing w:val="-10"/>
          <w:w w:val="105"/>
          <w:sz w:val="20"/>
        </w:rPr>
        <w:t> </w:t>
      </w:r>
      <w:r>
        <w:rPr>
          <w:w w:val="105"/>
          <w:sz w:val="20"/>
        </w:rPr>
        <w:t>to</w:t>
      </w:r>
      <w:r>
        <w:rPr>
          <w:spacing w:val="-11"/>
          <w:w w:val="105"/>
          <w:sz w:val="20"/>
        </w:rPr>
        <w:t> </w:t>
      </w:r>
      <w:r>
        <w:rPr>
          <w:w w:val="105"/>
          <w:sz w:val="20"/>
        </w:rPr>
        <w:t>deteriorate or further damage is caused to adjoining </w:t>
      </w:r>
      <w:r>
        <w:rPr>
          <w:spacing w:val="-2"/>
          <w:w w:val="105"/>
          <w:sz w:val="20"/>
        </w:rPr>
        <w:t>fences </w:t>
      </w:r>
      <w:r>
        <w:rPr>
          <w:w w:val="105"/>
          <w:sz w:val="20"/>
        </w:rPr>
        <w:t>or other</w:t>
      </w:r>
      <w:r>
        <w:rPr>
          <w:spacing w:val="23"/>
          <w:w w:val="105"/>
          <w:sz w:val="20"/>
        </w:rPr>
        <w:t> </w:t>
      </w:r>
      <w:r>
        <w:rPr>
          <w:w w:val="105"/>
          <w:sz w:val="20"/>
        </w:rPr>
        <w:t>structures.</w:t>
      </w:r>
      <w:r>
        <w:rPr>
          <w:w w:val="105"/>
          <w:position w:val="7"/>
          <w:sz w:val="11"/>
        </w:rPr>
        <w:t>205</w:t>
      </w:r>
    </w:p>
    <w:p>
      <w:pPr>
        <w:pStyle w:val="ListParagraph"/>
        <w:numPr>
          <w:ilvl w:val="1"/>
          <w:numId w:val="16"/>
        </w:numPr>
        <w:tabs>
          <w:tab w:pos="2380" w:val="left" w:leader="none"/>
          <w:tab w:pos="2381" w:val="left" w:leader="none"/>
        </w:tabs>
        <w:spacing w:line="242" w:lineRule="auto" w:before="118" w:after="0"/>
        <w:ind w:left="2381" w:right="1723" w:hanging="794"/>
        <w:jc w:val="left"/>
        <w:rPr>
          <w:sz w:val="21"/>
        </w:rPr>
      </w:pPr>
      <w:r>
        <w:rPr>
          <w:w w:val="105"/>
          <w:sz w:val="21"/>
        </w:rPr>
        <w:t>The LIV also </w:t>
      </w:r>
      <w:r>
        <w:rPr>
          <w:spacing w:val="-3"/>
          <w:w w:val="105"/>
          <w:sz w:val="21"/>
        </w:rPr>
        <w:t>noted that </w:t>
      </w:r>
      <w:r>
        <w:rPr>
          <w:w w:val="105"/>
          <w:sz w:val="21"/>
        </w:rPr>
        <w:t>the ‘time </w:t>
      </w:r>
      <w:r>
        <w:rPr>
          <w:spacing w:val="-3"/>
          <w:w w:val="105"/>
          <w:sz w:val="21"/>
        </w:rPr>
        <w:t>consuming nature </w:t>
      </w:r>
      <w:r>
        <w:rPr>
          <w:w w:val="105"/>
          <w:sz w:val="21"/>
        </w:rPr>
        <w:t>of </w:t>
      </w:r>
      <w:r>
        <w:rPr>
          <w:spacing w:val="-3"/>
          <w:w w:val="105"/>
          <w:sz w:val="21"/>
        </w:rPr>
        <w:t>litigation may discourage </w:t>
      </w:r>
      <w:r>
        <w:rPr>
          <w:w w:val="105"/>
          <w:sz w:val="21"/>
        </w:rPr>
        <w:t>parties </w:t>
      </w:r>
      <w:r>
        <w:rPr>
          <w:spacing w:val="-3"/>
          <w:w w:val="105"/>
          <w:sz w:val="21"/>
        </w:rPr>
        <w:t>from </w:t>
      </w:r>
      <w:r>
        <w:rPr>
          <w:w w:val="105"/>
          <w:sz w:val="21"/>
        </w:rPr>
        <w:t>seeking </w:t>
      </w:r>
      <w:r>
        <w:rPr>
          <w:spacing w:val="-3"/>
          <w:w w:val="105"/>
          <w:sz w:val="21"/>
        </w:rPr>
        <w:t>formal resolution’.</w:t>
      </w:r>
      <w:r>
        <w:rPr>
          <w:spacing w:val="-3"/>
          <w:w w:val="105"/>
          <w:position w:val="7"/>
          <w:sz w:val="12"/>
        </w:rPr>
        <w:t>206 </w:t>
      </w:r>
      <w:r>
        <w:rPr>
          <w:w w:val="105"/>
          <w:sz w:val="21"/>
        </w:rPr>
        <w:t>DSCV </w:t>
      </w:r>
      <w:r>
        <w:rPr>
          <w:spacing w:val="-3"/>
          <w:w w:val="105"/>
          <w:sz w:val="21"/>
        </w:rPr>
        <w:t>noted that Magistrates’ Court </w:t>
      </w:r>
      <w:r>
        <w:rPr>
          <w:w w:val="105"/>
          <w:sz w:val="21"/>
        </w:rPr>
        <w:t>action is </w:t>
      </w:r>
      <w:r>
        <w:rPr>
          <w:spacing w:val="-2"/>
          <w:w w:val="105"/>
          <w:sz w:val="21"/>
        </w:rPr>
        <w:t>not </w:t>
      </w:r>
      <w:r>
        <w:rPr>
          <w:spacing w:val="-3"/>
          <w:w w:val="105"/>
          <w:sz w:val="21"/>
        </w:rPr>
        <w:t>generally</w:t>
      </w:r>
      <w:r>
        <w:rPr>
          <w:spacing w:val="-6"/>
          <w:w w:val="105"/>
          <w:sz w:val="21"/>
        </w:rPr>
        <w:t> </w:t>
      </w:r>
      <w:r>
        <w:rPr>
          <w:spacing w:val="-3"/>
          <w:w w:val="105"/>
          <w:sz w:val="21"/>
        </w:rPr>
        <w:t>considered</w:t>
      </w:r>
      <w:r>
        <w:rPr>
          <w:spacing w:val="-6"/>
          <w:w w:val="105"/>
          <w:sz w:val="21"/>
        </w:rPr>
        <w:t> </w:t>
      </w:r>
      <w:r>
        <w:rPr>
          <w:w w:val="105"/>
          <w:sz w:val="21"/>
        </w:rPr>
        <w:t>by</w:t>
      </w:r>
      <w:r>
        <w:rPr>
          <w:spacing w:val="-6"/>
          <w:w w:val="105"/>
          <w:sz w:val="21"/>
        </w:rPr>
        <w:t> </w:t>
      </w:r>
      <w:r>
        <w:rPr>
          <w:w w:val="105"/>
          <w:sz w:val="21"/>
        </w:rPr>
        <w:t>parties</w:t>
      </w:r>
      <w:r>
        <w:rPr>
          <w:spacing w:val="-6"/>
          <w:w w:val="105"/>
          <w:sz w:val="21"/>
        </w:rPr>
        <w:t> </w:t>
      </w:r>
      <w:r>
        <w:rPr>
          <w:w w:val="105"/>
          <w:sz w:val="21"/>
        </w:rPr>
        <w:t>because</w:t>
      </w:r>
      <w:r>
        <w:rPr>
          <w:spacing w:val="-6"/>
          <w:w w:val="105"/>
          <w:sz w:val="21"/>
        </w:rPr>
        <w:t> </w:t>
      </w:r>
      <w:r>
        <w:rPr>
          <w:w w:val="105"/>
          <w:sz w:val="21"/>
        </w:rPr>
        <w:t>‘the</w:t>
      </w:r>
      <w:r>
        <w:rPr>
          <w:spacing w:val="-5"/>
          <w:w w:val="105"/>
          <w:sz w:val="21"/>
        </w:rPr>
        <w:t> </w:t>
      </w:r>
      <w:r>
        <w:rPr>
          <w:w w:val="105"/>
          <w:sz w:val="21"/>
        </w:rPr>
        <w:t>process</w:t>
      </w:r>
      <w:r>
        <w:rPr>
          <w:spacing w:val="-6"/>
          <w:w w:val="105"/>
          <w:sz w:val="21"/>
        </w:rPr>
        <w:t> </w:t>
      </w:r>
      <w:r>
        <w:rPr>
          <w:spacing w:val="-3"/>
          <w:w w:val="105"/>
          <w:sz w:val="21"/>
        </w:rPr>
        <w:t>takes</w:t>
      </w:r>
      <w:r>
        <w:rPr>
          <w:spacing w:val="-6"/>
          <w:w w:val="105"/>
          <w:sz w:val="21"/>
        </w:rPr>
        <w:t> </w:t>
      </w:r>
      <w:r>
        <w:rPr>
          <w:w w:val="105"/>
          <w:sz w:val="21"/>
        </w:rPr>
        <w:t>a</w:t>
      </w:r>
      <w:r>
        <w:rPr>
          <w:spacing w:val="-6"/>
          <w:w w:val="105"/>
          <w:sz w:val="21"/>
        </w:rPr>
        <w:t> </w:t>
      </w:r>
      <w:r>
        <w:rPr>
          <w:w w:val="105"/>
          <w:sz w:val="21"/>
        </w:rPr>
        <w:t>long</w:t>
      </w:r>
      <w:r>
        <w:rPr>
          <w:spacing w:val="-6"/>
          <w:w w:val="105"/>
          <w:sz w:val="21"/>
        </w:rPr>
        <w:t> </w:t>
      </w:r>
      <w:r>
        <w:rPr>
          <w:w w:val="105"/>
          <w:sz w:val="21"/>
        </w:rPr>
        <w:t>time</w:t>
      </w:r>
      <w:r>
        <w:rPr>
          <w:spacing w:val="-6"/>
          <w:w w:val="105"/>
          <w:sz w:val="21"/>
        </w:rPr>
        <w:t> </w:t>
      </w:r>
      <w:r>
        <w:rPr>
          <w:w w:val="105"/>
          <w:sz w:val="21"/>
        </w:rPr>
        <w:t>and</w:t>
      </w:r>
      <w:r>
        <w:rPr>
          <w:spacing w:val="-5"/>
          <w:w w:val="105"/>
          <w:sz w:val="21"/>
        </w:rPr>
        <w:t> </w:t>
      </w:r>
      <w:r>
        <w:rPr>
          <w:w w:val="105"/>
          <w:sz w:val="21"/>
        </w:rPr>
        <w:t>can</w:t>
      </w:r>
      <w:r>
        <w:rPr>
          <w:spacing w:val="-6"/>
          <w:w w:val="105"/>
          <w:sz w:val="21"/>
        </w:rPr>
        <w:t> </w:t>
      </w:r>
      <w:r>
        <w:rPr>
          <w:w w:val="105"/>
          <w:sz w:val="21"/>
        </w:rPr>
        <w:t>be</w:t>
      </w:r>
      <w:r>
        <w:rPr>
          <w:spacing w:val="-6"/>
          <w:w w:val="105"/>
          <w:sz w:val="21"/>
        </w:rPr>
        <w:t> </w:t>
      </w:r>
      <w:r>
        <w:rPr>
          <w:spacing w:val="-4"/>
          <w:w w:val="105"/>
          <w:sz w:val="21"/>
        </w:rPr>
        <w:t>costly, </w:t>
      </w:r>
      <w:r>
        <w:rPr>
          <w:w w:val="105"/>
          <w:sz w:val="21"/>
        </w:rPr>
        <w:t>particularly in </w:t>
      </w:r>
      <w:r>
        <w:rPr>
          <w:spacing w:val="-3"/>
          <w:w w:val="105"/>
          <w:sz w:val="21"/>
        </w:rPr>
        <w:t>relation to </w:t>
      </w:r>
      <w:r>
        <w:rPr>
          <w:w w:val="105"/>
          <w:sz w:val="21"/>
        </w:rPr>
        <w:t>the amounts </w:t>
      </w:r>
      <w:r>
        <w:rPr>
          <w:spacing w:val="-3"/>
          <w:w w:val="105"/>
          <w:sz w:val="21"/>
        </w:rPr>
        <w:t>that are </w:t>
      </w:r>
      <w:r>
        <w:rPr>
          <w:w w:val="105"/>
          <w:sz w:val="21"/>
        </w:rPr>
        <w:t>typically in </w:t>
      </w:r>
      <w:r>
        <w:rPr>
          <w:spacing w:val="-3"/>
          <w:w w:val="105"/>
          <w:sz w:val="21"/>
        </w:rPr>
        <w:t>dispute. </w:t>
      </w:r>
      <w:r>
        <w:rPr>
          <w:w w:val="105"/>
          <w:sz w:val="21"/>
        </w:rPr>
        <w:t>As </w:t>
      </w:r>
      <w:r>
        <w:rPr>
          <w:spacing w:val="-3"/>
          <w:w w:val="105"/>
          <w:sz w:val="21"/>
        </w:rPr>
        <w:t>such many </w:t>
      </w:r>
      <w:r>
        <w:rPr>
          <w:w w:val="105"/>
          <w:sz w:val="21"/>
        </w:rPr>
        <w:t>clients simply </w:t>
      </w:r>
      <w:r>
        <w:rPr>
          <w:spacing w:val="-5"/>
          <w:w w:val="105"/>
          <w:sz w:val="21"/>
        </w:rPr>
        <w:t>“give up” </w:t>
      </w:r>
      <w:r>
        <w:rPr>
          <w:w w:val="105"/>
          <w:sz w:val="21"/>
        </w:rPr>
        <w:t>and decide </w:t>
      </w:r>
      <w:r>
        <w:rPr>
          <w:spacing w:val="-2"/>
          <w:w w:val="105"/>
          <w:sz w:val="21"/>
        </w:rPr>
        <w:t>not </w:t>
      </w:r>
      <w:r>
        <w:rPr>
          <w:spacing w:val="-3"/>
          <w:w w:val="105"/>
          <w:sz w:val="21"/>
        </w:rPr>
        <w:t>to </w:t>
      </w:r>
      <w:r>
        <w:rPr>
          <w:w w:val="105"/>
          <w:sz w:val="21"/>
        </w:rPr>
        <w:t>bother taking the matter </w:t>
      </w:r>
      <w:r>
        <w:rPr>
          <w:spacing w:val="-5"/>
          <w:w w:val="105"/>
          <w:sz w:val="21"/>
        </w:rPr>
        <w:t>further.’</w:t>
      </w:r>
      <w:r>
        <w:rPr>
          <w:spacing w:val="38"/>
          <w:w w:val="105"/>
          <w:sz w:val="21"/>
        </w:rPr>
        <w:t> </w:t>
      </w:r>
      <w:r>
        <w:rPr>
          <w:w w:val="105"/>
          <w:position w:val="7"/>
          <w:sz w:val="12"/>
        </w:rPr>
        <w:t>207</w:t>
      </w:r>
    </w:p>
    <w:p>
      <w:pPr>
        <w:pStyle w:val="ListParagraph"/>
        <w:numPr>
          <w:ilvl w:val="1"/>
          <w:numId w:val="16"/>
        </w:numPr>
        <w:tabs>
          <w:tab w:pos="2381" w:val="left" w:leader="none"/>
          <w:tab w:pos="2382" w:val="left" w:leader="none"/>
        </w:tabs>
        <w:spacing w:line="242" w:lineRule="auto" w:before="125" w:after="0"/>
        <w:ind w:left="2381" w:right="2259" w:hanging="794"/>
        <w:jc w:val="left"/>
        <w:rPr>
          <w:sz w:val="21"/>
        </w:rPr>
      </w:pPr>
      <w:r>
        <w:rPr>
          <w:w w:val="105"/>
          <w:sz w:val="21"/>
        </w:rPr>
        <w:t>Some people reported </w:t>
      </w:r>
      <w:r>
        <w:rPr>
          <w:spacing w:val="-3"/>
          <w:w w:val="105"/>
          <w:sz w:val="21"/>
        </w:rPr>
        <w:t>that another </w:t>
      </w:r>
      <w:r>
        <w:rPr>
          <w:w w:val="105"/>
          <w:sz w:val="21"/>
        </w:rPr>
        <w:t>reason why they did </w:t>
      </w:r>
      <w:r>
        <w:rPr>
          <w:spacing w:val="-2"/>
          <w:w w:val="105"/>
          <w:sz w:val="21"/>
        </w:rPr>
        <w:t>not </w:t>
      </w:r>
      <w:r>
        <w:rPr>
          <w:w w:val="105"/>
          <w:sz w:val="21"/>
        </w:rPr>
        <w:t>pursue legal action was</w:t>
      </w:r>
      <w:r>
        <w:rPr>
          <w:spacing w:val="-8"/>
          <w:w w:val="105"/>
          <w:sz w:val="21"/>
        </w:rPr>
        <w:t> </w:t>
      </w:r>
      <w:r>
        <w:rPr>
          <w:w w:val="105"/>
          <w:sz w:val="21"/>
        </w:rPr>
        <w:t>because</w:t>
      </w:r>
      <w:r>
        <w:rPr>
          <w:spacing w:val="-7"/>
          <w:w w:val="105"/>
          <w:sz w:val="21"/>
        </w:rPr>
        <w:t> </w:t>
      </w:r>
      <w:r>
        <w:rPr>
          <w:w w:val="105"/>
          <w:sz w:val="21"/>
        </w:rPr>
        <w:t>they</w:t>
      </w:r>
      <w:r>
        <w:rPr>
          <w:spacing w:val="-8"/>
          <w:w w:val="105"/>
          <w:sz w:val="21"/>
        </w:rPr>
        <w:t> </w:t>
      </w:r>
      <w:r>
        <w:rPr>
          <w:w w:val="105"/>
          <w:sz w:val="21"/>
        </w:rPr>
        <w:t>did</w:t>
      </w:r>
      <w:r>
        <w:rPr>
          <w:spacing w:val="-7"/>
          <w:w w:val="105"/>
          <w:sz w:val="21"/>
        </w:rPr>
        <w:t> </w:t>
      </w:r>
      <w:r>
        <w:rPr>
          <w:spacing w:val="-2"/>
          <w:w w:val="105"/>
          <w:sz w:val="21"/>
        </w:rPr>
        <w:t>not</w:t>
      </w:r>
      <w:r>
        <w:rPr>
          <w:spacing w:val="-7"/>
          <w:w w:val="105"/>
          <w:sz w:val="21"/>
        </w:rPr>
        <w:t> </w:t>
      </w:r>
      <w:r>
        <w:rPr>
          <w:spacing w:val="-3"/>
          <w:w w:val="105"/>
          <w:sz w:val="21"/>
        </w:rPr>
        <w:t>want</w:t>
      </w:r>
      <w:r>
        <w:rPr>
          <w:spacing w:val="-8"/>
          <w:w w:val="105"/>
          <w:sz w:val="21"/>
        </w:rPr>
        <w:t> </w:t>
      </w:r>
      <w:r>
        <w:rPr>
          <w:spacing w:val="-3"/>
          <w:w w:val="105"/>
          <w:sz w:val="21"/>
        </w:rPr>
        <w:t>to</w:t>
      </w:r>
      <w:r>
        <w:rPr>
          <w:spacing w:val="-7"/>
          <w:w w:val="105"/>
          <w:sz w:val="21"/>
        </w:rPr>
        <w:t> </w:t>
      </w:r>
      <w:r>
        <w:rPr>
          <w:w w:val="105"/>
          <w:sz w:val="21"/>
        </w:rPr>
        <w:t>put</w:t>
      </w:r>
      <w:r>
        <w:rPr>
          <w:spacing w:val="-7"/>
          <w:w w:val="105"/>
          <w:sz w:val="21"/>
        </w:rPr>
        <w:t> </w:t>
      </w:r>
      <w:r>
        <w:rPr>
          <w:w w:val="105"/>
          <w:sz w:val="21"/>
        </w:rPr>
        <w:t>further</w:t>
      </w:r>
      <w:r>
        <w:rPr>
          <w:spacing w:val="-8"/>
          <w:w w:val="105"/>
          <w:sz w:val="21"/>
        </w:rPr>
        <w:t> </w:t>
      </w:r>
      <w:r>
        <w:rPr>
          <w:spacing w:val="-3"/>
          <w:w w:val="105"/>
          <w:sz w:val="21"/>
        </w:rPr>
        <w:t>strain</w:t>
      </w:r>
      <w:r>
        <w:rPr>
          <w:spacing w:val="-7"/>
          <w:w w:val="105"/>
          <w:sz w:val="21"/>
        </w:rPr>
        <w:t> </w:t>
      </w:r>
      <w:r>
        <w:rPr>
          <w:w w:val="105"/>
          <w:sz w:val="21"/>
        </w:rPr>
        <w:t>on</w:t>
      </w:r>
      <w:r>
        <w:rPr>
          <w:spacing w:val="-8"/>
          <w:w w:val="105"/>
          <w:sz w:val="21"/>
        </w:rPr>
        <w:t> </w:t>
      </w:r>
      <w:r>
        <w:rPr>
          <w:w w:val="105"/>
          <w:sz w:val="21"/>
        </w:rPr>
        <w:t>their</w:t>
      </w:r>
      <w:r>
        <w:rPr>
          <w:spacing w:val="-7"/>
          <w:w w:val="105"/>
          <w:sz w:val="21"/>
        </w:rPr>
        <w:t> </w:t>
      </w:r>
      <w:r>
        <w:rPr>
          <w:spacing w:val="-3"/>
          <w:w w:val="105"/>
          <w:sz w:val="21"/>
        </w:rPr>
        <w:t>relationship</w:t>
      </w:r>
      <w:r>
        <w:rPr>
          <w:spacing w:val="-7"/>
          <w:w w:val="105"/>
          <w:sz w:val="21"/>
        </w:rPr>
        <w:t> </w:t>
      </w:r>
      <w:r>
        <w:rPr>
          <w:w w:val="105"/>
          <w:sz w:val="21"/>
        </w:rPr>
        <w:t>with</w:t>
      </w:r>
      <w:r>
        <w:rPr>
          <w:spacing w:val="-8"/>
          <w:w w:val="105"/>
          <w:sz w:val="21"/>
        </w:rPr>
        <w:t> </w:t>
      </w:r>
      <w:r>
        <w:rPr>
          <w:w w:val="105"/>
          <w:sz w:val="21"/>
        </w:rPr>
        <w:t>their </w:t>
      </w:r>
      <w:r>
        <w:rPr>
          <w:spacing w:val="-3"/>
          <w:w w:val="105"/>
          <w:sz w:val="21"/>
        </w:rPr>
        <w:t>neighbour.</w:t>
      </w:r>
      <w:r>
        <w:rPr>
          <w:spacing w:val="-3"/>
          <w:w w:val="105"/>
          <w:position w:val="7"/>
          <w:sz w:val="12"/>
        </w:rPr>
        <w:t>208</w:t>
      </w:r>
    </w:p>
    <w:p>
      <w:pPr>
        <w:pStyle w:val="BodyText"/>
        <w:spacing w:before="5"/>
        <w:rPr>
          <w:sz w:val="29"/>
        </w:rPr>
      </w:pPr>
      <w:r>
        <w:rPr/>
        <w:pict>
          <v:line style="position:absolute;mso-position-horizontal-relative:page;mso-position-vertical-relative:paragraph;z-index:1760;mso-wrap-distance-left:0;mso-wrap-distance-right:0" from="79.370102pt,20.435881pt" to="515.905102pt,20.435881pt" stroked="true" strokeweight="1pt" strokecolor="#c9d2cb">
            <v:stroke dashstyle="solid"/>
            <w10:wrap type="topAndBottom"/>
          </v:line>
        </w:pict>
      </w:r>
    </w:p>
    <w:p>
      <w:pPr>
        <w:pStyle w:val="ListParagraph"/>
        <w:numPr>
          <w:ilvl w:val="0"/>
          <w:numId w:val="33"/>
        </w:numPr>
        <w:tabs>
          <w:tab w:pos="2380" w:val="left" w:leader="none"/>
          <w:tab w:pos="2382" w:val="left" w:leader="none"/>
        </w:tabs>
        <w:spacing w:line="240" w:lineRule="auto" w:before="117" w:after="0"/>
        <w:ind w:left="2381" w:right="1744" w:hanging="794"/>
        <w:jc w:val="left"/>
        <w:rPr>
          <w:sz w:val="13"/>
        </w:rPr>
      </w:pPr>
      <w:r>
        <w:rPr>
          <w:w w:val="105"/>
          <w:sz w:val="13"/>
        </w:rPr>
        <w:t>Submissions 6 </w:t>
      </w:r>
      <w:r>
        <w:rPr>
          <w:spacing w:val="2"/>
          <w:w w:val="105"/>
          <w:sz w:val="13"/>
        </w:rPr>
        <w:t>(Name </w:t>
      </w:r>
      <w:r>
        <w:rPr>
          <w:w w:val="105"/>
          <w:sz w:val="13"/>
        </w:rPr>
        <w:t>withheld), </w:t>
      </w:r>
      <w:r>
        <w:rPr>
          <w:spacing w:val="-6"/>
          <w:w w:val="105"/>
          <w:sz w:val="13"/>
        </w:rPr>
        <w:t>11 </w:t>
      </w:r>
      <w:r>
        <w:rPr>
          <w:spacing w:val="2"/>
          <w:w w:val="105"/>
          <w:sz w:val="13"/>
        </w:rPr>
        <w:t>(Name </w:t>
      </w:r>
      <w:r>
        <w:rPr>
          <w:w w:val="105"/>
          <w:sz w:val="13"/>
        </w:rPr>
        <w:t>withheld), </w:t>
      </w:r>
      <w:r>
        <w:rPr>
          <w:spacing w:val="-4"/>
          <w:w w:val="105"/>
          <w:sz w:val="13"/>
        </w:rPr>
        <w:t>13 </w:t>
      </w:r>
      <w:r>
        <w:rPr>
          <w:w w:val="105"/>
          <w:sz w:val="13"/>
        </w:rPr>
        <w:t>(Mandy Collins), </w:t>
      </w:r>
      <w:r>
        <w:rPr>
          <w:spacing w:val="-3"/>
          <w:w w:val="105"/>
          <w:sz w:val="13"/>
        </w:rPr>
        <w:t>19 </w:t>
      </w:r>
      <w:r>
        <w:rPr>
          <w:spacing w:val="2"/>
          <w:w w:val="105"/>
          <w:sz w:val="13"/>
        </w:rPr>
        <w:t>(Name </w:t>
      </w:r>
      <w:r>
        <w:rPr>
          <w:w w:val="105"/>
          <w:sz w:val="13"/>
        </w:rPr>
        <w:t>withheld), 23 </w:t>
      </w:r>
      <w:r>
        <w:rPr>
          <w:spacing w:val="2"/>
          <w:w w:val="105"/>
          <w:sz w:val="13"/>
        </w:rPr>
        <w:t>(Name </w:t>
      </w:r>
      <w:r>
        <w:rPr>
          <w:w w:val="105"/>
          <w:sz w:val="13"/>
        </w:rPr>
        <w:t>withheld), 33 (Annette </w:t>
      </w:r>
      <w:r>
        <w:rPr>
          <w:spacing w:val="2"/>
          <w:w w:val="105"/>
          <w:sz w:val="13"/>
        </w:rPr>
        <w:t>Neville),  </w:t>
      </w:r>
      <w:r>
        <w:rPr>
          <w:w w:val="105"/>
          <w:sz w:val="13"/>
        </w:rPr>
        <w:t>36</w:t>
      </w:r>
      <w:r>
        <w:rPr>
          <w:spacing w:val="4"/>
          <w:w w:val="105"/>
          <w:sz w:val="13"/>
        </w:rPr>
        <w:t> </w:t>
      </w:r>
      <w:r>
        <w:rPr>
          <w:w w:val="105"/>
          <w:sz w:val="13"/>
        </w:rPr>
        <w:t>(Monique</w:t>
      </w:r>
      <w:r>
        <w:rPr>
          <w:spacing w:val="5"/>
          <w:w w:val="105"/>
          <w:sz w:val="13"/>
        </w:rPr>
        <w:t> </w:t>
      </w:r>
      <w:r>
        <w:rPr>
          <w:w w:val="105"/>
          <w:sz w:val="13"/>
        </w:rPr>
        <w:t>Onezime),</w:t>
      </w:r>
      <w:r>
        <w:rPr>
          <w:spacing w:val="5"/>
          <w:w w:val="105"/>
          <w:sz w:val="13"/>
        </w:rPr>
        <w:t> </w:t>
      </w:r>
      <w:r>
        <w:rPr>
          <w:w w:val="105"/>
          <w:sz w:val="13"/>
        </w:rPr>
        <w:t>38</w:t>
      </w:r>
      <w:r>
        <w:rPr>
          <w:spacing w:val="5"/>
          <w:w w:val="105"/>
          <w:sz w:val="13"/>
        </w:rPr>
        <w:t> </w:t>
      </w:r>
      <w:r>
        <w:rPr>
          <w:spacing w:val="3"/>
          <w:w w:val="105"/>
          <w:sz w:val="13"/>
        </w:rPr>
        <w:t>(L.</w:t>
      </w:r>
      <w:r>
        <w:rPr>
          <w:spacing w:val="5"/>
          <w:w w:val="105"/>
          <w:sz w:val="13"/>
        </w:rPr>
        <w:t> </w:t>
      </w:r>
      <w:r>
        <w:rPr>
          <w:spacing w:val="2"/>
          <w:w w:val="105"/>
          <w:sz w:val="13"/>
        </w:rPr>
        <w:t>Barry</w:t>
      </w:r>
      <w:r>
        <w:rPr>
          <w:spacing w:val="5"/>
          <w:w w:val="105"/>
          <w:sz w:val="13"/>
        </w:rPr>
        <w:t> </w:t>
      </w:r>
      <w:r>
        <w:rPr>
          <w:w w:val="105"/>
          <w:sz w:val="13"/>
        </w:rPr>
        <w:t>Wollmer);</w:t>
      </w:r>
      <w:r>
        <w:rPr>
          <w:spacing w:val="4"/>
          <w:w w:val="105"/>
          <w:sz w:val="13"/>
        </w:rPr>
        <w:t> </w:t>
      </w:r>
      <w:r>
        <w:rPr>
          <w:w w:val="105"/>
          <w:sz w:val="13"/>
        </w:rPr>
        <w:t>Consultation</w:t>
      </w:r>
      <w:r>
        <w:rPr>
          <w:spacing w:val="5"/>
          <w:w w:val="105"/>
          <w:sz w:val="13"/>
        </w:rPr>
        <w:t> </w:t>
      </w:r>
      <w:r>
        <w:rPr>
          <w:w w:val="105"/>
          <w:sz w:val="13"/>
        </w:rPr>
        <w:t>1</w:t>
      </w:r>
      <w:r>
        <w:rPr>
          <w:spacing w:val="5"/>
          <w:w w:val="105"/>
          <w:sz w:val="13"/>
        </w:rPr>
        <w:t> </w:t>
      </w:r>
      <w:r>
        <w:rPr>
          <w:w w:val="105"/>
          <w:sz w:val="13"/>
        </w:rPr>
        <w:t>(Aldo</w:t>
      </w:r>
      <w:r>
        <w:rPr>
          <w:spacing w:val="5"/>
          <w:w w:val="105"/>
          <w:sz w:val="13"/>
        </w:rPr>
        <w:t> </w:t>
      </w:r>
      <w:r>
        <w:rPr>
          <w:w w:val="105"/>
          <w:sz w:val="13"/>
        </w:rPr>
        <w:t>Taranto).</w:t>
      </w:r>
    </w:p>
    <w:p>
      <w:pPr>
        <w:pStyle w:val="ListParagraph"/>
        <w:numPr>
          <w:ilvl w:val="0"/>
          <w:numId w:val="33"/>
        </w:numPr>
        <w:tabs>
          <w:tab w:pos="2380" w:val="left" w:leader="none"/>
          <w:tab w:pos="2382" w:val="left" w:leader="none"/>
        </w:tabs>
        <w:spacing w:line="240" w:lineRule="auto" w:before="3" w:after="0"/>
        <w:ind w:left="1587" w:right="4954" w:firstLine="0"/>
        <w:jc w:val="left"/>
        <w:rPr>
          <w:sz w:val="13"/>
        </w:rPr>
      </w:pPr>
      <w:r>
        <w:rPr>
          <w:w w:val="105"/>
          <w:sz w:val="13"/>
        </w:rPr>
        <w:t>Victorian Law Reform Commission, </w:t>
      </w:r>
      <w:r>
        <w:rPr>
          <w:i/>
          <w:w w:val="105"/>
          <w:sz w:val="13"/>
        </w:rPr>
        <w:t>Neighbourhood Tree Disputes Survey </w:t>
      </w:r>
      <w:r>
        <w:rPr>
          <w:w w:val="105"/>
          <w:sz w:val="13"/>
        </w:rPr>
        <w:t>(2018). 198</w:t>
        <w:tab/>
        <w:t>Submission </w:t>
      </w:r>
      <w:r>
        <w:rPr>
          <w:spacing w:val="-4"/>
          <w:w w:val="105"/>
          <w:sz w:val="13"/>
        </w:rPr>
        <w:t>17 </w:t>
      </w:r>
      <w:r>
        <w:rPr>
          <w:spacing w:val="2"/>
          <w:w w:val="105"/>
          <w:sz w:val="13"/>
        </w:rPr>
        <w:t>(Name</w:t>
      </w:r>
      <w:r>
        <w:rPr>
          <w:spacing w:val="-9"/>
          <w:w w:val="105"/>
          <w:sz w:val="13"/>
        </w:rPr>
        <w:t> </w:t>
      </w:r>
      <w:r>
        <w:rPr>
          <w:w w:val="105"/>
          <w:sz w:val="13"/>
        </w:rPr>
        <w:t>withheld).</w:t>
      </w:r>
    </w:p>
    <w:p>
      <w:pPr>
        <w:pStyle w:val="ListParagraph"/>
        <w:numPr>
          <w:ilvl w:val="0"/>
          <w:numId w:val="34"/>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34"/>
        </w:numPr>
        <w:tabs>
          <w:tab w:pos="2380" w:val="left" w:leader="none"/>
          <w:tab w:pos="2382" w:val="left" w:leader="none"/>
        </w:tabs>
        <w:spacing w:line="240" w:lineRule="auto" w:before="2" w:after="0"/>
        <w:ind w:left="2381" w:right="1713" w:hanging="794"/>
        <w:jc w:val="left"/>
        <w:rPr>
          <w:sz w:val="13"/>
        </w:rPr>
      </w:pPr>
      <w:r>
        <w:rPr>
          <w:w w:val="105"/>
          <w:sz w:val="13"/>
        </w:rPr>
        <w:t>Submissions 6 </w:t>
      </w:r>
      <w:r>
        <w:rPr>
          <w:spacing w:val="2"/>
          <w:w w:val="105"/>
          <w:sz w:val="13"/>
        </w:rPr>
        <w:t>(Name </w:t>
      </w:r>
      <w:r>
        <w:rPr>
          <w:w w:val="105"/>
          <w:sz w:val="13"/>
        </w:rPr>
        <w:t>withheld), 21 (Pointon Partners </w:t>
      </w:r>
      <w:r>
        <w:rPr>
          <w:spacing w:val="2"/>
          <w:w w:val="105"/>
          <w:sz w:val="13"/>
        </w:rPr>
        <w:t>Lawyers), </w:t>
      </w:r>
      <w:r>
        <w:rPr>
          <w:w w:val="105"/>
          <w:sz w:val="13"/>
        </w:rPr>
        <w:t>30 </w:t>
      </w:r>
      <w:r>
        <w:rPr>
          <w:spacing w:val="3"/>
          <w:w w:val="105"/>
          <w:sz w:val="13"/>
        </w:rPr>
        <w:t>(Law </w:t>
      </w:r>
      <w:r>
        <w:rPr>
          <w:w w:val="105"/>
          <w:sz w:val="13"/>
        </w:rPr>
        <w:t>Institute of </w:t>
      </w:r>
      <w:r>
        <w:rPr>
          <w:spacing w:val="2"/>
          <w:w w:val="105"/>
          <w:sz w:val="13"/>
        </w:rPr>
        <w:t>Victoria), </w:t>
      </w:r>
      <w:r>
        <w:rPr>
          <w:w w:val="105"/>
          <w:sz w:val="13"/>
        </w:rPr>
        <w:t>38 </w:t>
      </w:r>
      <w:r>
        <w:rPr>
          <w:spacing w:val="3"/>
          <w:w w:val="105"/>
          <w:sz w:val="13"/>
        </w:rPr>
        <w:t>(L. </w:t>
      </w:r>
      <w:r>
        <w:rPr>
          <w:spacing w:val="2"/>
          <w:w w:val="105"/>
          <w:sz w:val="13"/>
        </w:rPr>
        <w:t>Barry </w:t>
      </w:r>
      <w:r>
        <w:rPr>
          <w:w w:val="105"/>
          <w:sz w:val="13"/>
        </w:rPr>
        <w:t>Wollmer); information provided by</w:t>
      </w:r>
      <w:r>
        <w:rPr>
          <w:spacing w:val="5"/>
          <w:w w:val="105"/>
          <w:sz w:val="13"/>
        </w:rPr>
        <w:t> </w:t>
      </w:r>
      <w:r>
        <w:rPr>
          <w:w w:val="105"/>
          <w:sz w:val="13"/>
        </w:rPr>
        <w:t>DSCV</w:t>
      </w:r>
      <w:r>
        <w:rPr>
          <w:spacing w:val="5"/>
          <w:w w:val="105"/>
          <w:sz w:val="13"/>
        </w:rPr>
        <w:t> </w:t>
      </w:r>
      <w:r>
        <w:rPr>
          <w:w w:val="105"/>
          <w:sz w:val="13"/>
        </w:rPr>
        <w:t>as</w:t>
      </w:r>
      <w:r>
        <w:rPr>
          <w:spacing w:val="5"/>
          <w:w w:val="105"/>
          <w:sz w:val="13"/>
        </w:rPr>
        <w:t> </w:t>
      </w:r>
      <w:r>
        <w:rPr>
          <w:w w:val="105"/>
          <w:sz w:val="13"/>
        </w:rPr>
        <w:t>part</w:t>
      </w:r>
      <w:r>
        <w:rPr>
          <w:spacing w:val="5"/>
          <w:w w:val="105"/>
          <w:sz w:val="13"/>
        </w:rPr>
        <w:t> </w:t>
      </w:r>
      <w:r>
        <w:rPr>
          <w:w w:val="105"/>
          <w:sz w:val="13"/>
        </w:rPr>
        <w:t>of</w:t>
      </w:r>
      <w:r>
        <w:rPr>
          <w:spacing w:val="5"/>
          <w:w w:val="105"/>
          <w:sz w:val="13"/>
        </w:rPr>
        <w:t> </w:t>
      </w:r>
      <w:r>
        <w:rPr>
          <w:w w:val="105"/>
          <w:sz w:val="13"/>
        </w:rPr>
        <w:t>a</w:t>
      </w:r>
      <w:r>
        <w:rPr>
          <w:spacing w:val="5"/>
          <w:w w:val="105"/>
          <w:sz w:val="13"/>
        </w:rPr>
        <w:t> </w:t>
      </w:r>
      <w:r>
        <w:rPr>
          <w:w w:val="105"/>
          <w:sz w:val="13"/>
        </w:rPr>
        <w:t>data</w:t>
      </w:r>
      <w:r>
        <w:rPr>
          <w:spacing w:val="6"/>
          <w:w w:val="105"/>
          <w:sz w:val="13"/>
        </w:rPr>
        <w:t> </w:t>
      </w:r>
      <w:r>
        <w:rPr>
          <w:w w:val="105"/>
          <w:sz w:val="13"/>
        </w:rPr>
        <w:t>request</w:t>
      </w:r>
      <w:r>
        <w:rPr>
          <w:spacing w:val="5"/>
          <w:w w:val="105"/>
          <w:sz w:val="13"/>
        </w:rPr>
        <w:t> </w:t>
      </w:r>
      <w:r>
        <w:rPr>
          <w:w w:val="105"/>
          <w:sz w:val="13"/>
        </w:rPr>
        <w:t>from</w:t>
      </w:r>
      <w:r>
        <w:rPr>
          <w:spacing w:val="5"/>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August</w:t>
      </w:r>
      <w:r>
        <w:rPr>
          <w:spacing w:val="5"/>
          <w:w w:val="105"/>
          <w:sz w:val="13"/>
        </w:rPr>
        <w:t> </w:t>
      </w:r>
      <w:r>
        <w:rPr>
          <w:spacing w:val="-5"/>
          <w:w w:val="105"/>
          <w:sz w:val="13"/>
        </w:rPr>
        <w:t>2017.</w:t>
      </w:r>
    </w:p>
    <w:p>
      <w:pPr>
        <w:pStyle w:val="ListParagraph"/>
        <w:numPr>
          <w:ilvl w:val="0"/>
          <w:numId w:val="34"/>
        </w:numPr>
        <w:tabs>
          <w:tab w:pos="2381" w:val="left" w:leader="none"/>
          <w:tab w:pos="2382" w:val="left" w:leader="none"/>
        </w:tabs>
        <w:spacing w:line="240" w:lineRule="auto" w:before="2" w:after="0"/>
        <w:ind w:left="2381" w:right="0" w:hanging="794"/>
        <w:jc w:val="left"/>
        <w:rPr>
          <w:sz w:val="13"/>
        </w:rPr>
      </w:pPr>
      <w:r>
        <w:rPr>
          <w:w w:val="105"/>
          <w:sz w:val="13"/>
        </w:rPr>
        <w:t>Submission 21 (Pointon Partners</w:t>
      </w:r>
      <w:r>
        <w:rPr>
          <w:spacing w:val="17"/>
          <w:w w:val="105"/>
          <w:sz w:val="13"/>
        </w:rPr>
        <w:t> </w:t>
      </w:r>
      <w:r>
        <w:rPr>
          <w:spacing w:val="2"/>
          <w:w w:val="105"/>
          <w:sz w:val="13"/>
        </w:rPr>
        <w:t>Lawyers).</w:t>
      </w:r>
    </w:p>
    <w:p>
      <w:pPr>
        <w:pStyle w:val="ListParagraph"/>
        <w:numPr>
          <w:ilvl w:val="0"/>
          <w:numId w:val="34"/>
        </w:numPr>
        <w:tabs>
          <w:tab w:pos="2381" w:val="left" w:leader="none"/>
          <w:tab w:pos="2382" w:val="left" w:leader="none"/>
        </w:tabs>
        <w:spacing w:line="240" w:lineRule="auto" w:before="2" w:after="0"/>
        <w:ind w:left="2381" w:right="0" w:hanging="794"/>
        <w:jc w:val="left"/>
        <w:rPr>
          <w:sz w:val="13"/>
        </w:rPr>
      </w:pPr>
      <w:r>
        <w:rPr>
          <w:w w:val="105"/>
          <w:sz w:val="13"/>
        </w:rPr>
        <w:t>Submissions 21 (Pointon Partners </w:t>
      </w:r>
      <w:r>
        <w:rPr>
          <w:spacing w:val="2"/>
          <w:w w:val="105"/>
          <w:sz w:val="13"/>
        </w:rPr>
        <w:t>Lawyers), </w:t>
      </w:r>
      <w:r>
        <w:rPr>
          <w:w w:val="105"/>
          <w:sz w:val="13"/>
        </w:rPr>
        <w:t>30 </w:t>
      </w:r>
      <w:r>
        <w:rPr>
          <w:spacing w:val="3"/>
          <w:w w:val="105"/>
          <w:sz w:val="13"/>
        </w:rPr>
        <w:t>(Law </w:t>
      </w:r>
      <w:r>
        <w:rPr>
          <w:w w:val="105"/>
          <w:sz w:val="13"/>
        </w:rPr>
        <w:t>Institute of</w:t>
      </w:r>
      <w:r>
        <w:rPr>
          <w:spacing w:val="3"/>
          <w:w w:val="105"/>
          <w:sz w:val="13"/>
        </w:rPr>
        <w:t> </w:t>
      </w:r>
      <w:r>
        <w:rPr>
          <w:spacing w:val="2"/>
          <w:w w:val="105"/>
          <w:sz w:val="13"/>
        </w:rPr>
        <w:t>Victoria).</w:t>
      </w:r>
    </w:p>
    <w:p>
      <w:pPr>
        <w:pStyle w:val="ListParagraph"/>
        <w:numPr>
          <w:ilvl w:val="0"/>
          <w:numId w:val="34"/>
        </w:numPr>
        <w:tabs>
          <w:tab w:pos="2381" w:val="left" w:leader="none"/>
          <w:tab w:pos="2382" w:val="left" w:leader="none"/>
        </w:tabs>
        <w:spacing w:line="240" w:lineRule="auto" w:before="1" w:after="0"/>
        <w:ind w:left="2381" w:right="0" w:hanging="794"/>
        <w:jc w:val="left"/>
        <w:rPr>
          <w:sz w:val="13"/>
        </w:rPr>
      </w:pPr>
      <w:r>
        <w:rPr>
          <w:w w:val="105"/>
          <w:sz w:val="13"/>
        </w:rPr>
        <w:t>Submission 21 (Pointon Partners</w:t>
      </w:r>
      <w:r>
        <w:rPr>
          <w:spacing w:val="17"/>
          <w:w w:val="105"/>
          <w:sz w:val="13"/>
        </w:rPr>
        <w:t> </w:t>
      </w:r>
      <w:r>
        <w:rPr>
          <w:spacing w:val="2"/>
          <w:w w:val="105"/>
          <w:sz w:val="13"/>
        </w:rPr>
        <w:t>Lawyers).</w:t>
      </w:r>
    </w:p>
    <w:p>
      <w:pPr>
        <w:pStyle w:val="ListParagraph"/>
        <w:numPr>
          <w:ilvl w:val="0"/>
          <w:numId w:val="34"/>
        </w:numPr>
        <w:tabs>
          <w:tab w:pos="2381" w:val="left" w:leader="none"/>
          <w:tab w:pos="2382" w:val="left" w:leader="none"/>
        </w:tabs>
        <w:spacing w:line="240" w:lineRule="auto" w:before="1" w:after="0"/>
        <w:ind w:left="2381" w:right="0" w:hanging="794"/>
        <w:jc w:val="left"/>
        <w:rPr>
          <w:sz w:val="13"/>
        </w:rPr>
      </w:pPr>
      <w:r>
        <w:rPr>
          <w:w w:val="105"/>
          <w:sz w:val="13"/>
        </w:rPr>
        <w:t>Submission 38 </w:t>
      </w:r>
      <w:r>
        <w:rPr>
          <w:spacing w:val="3"/>
          <w:w w:val="105"/>
          <w:sz w:val="13"/>
        </w:rPr>
        <w:t>(L. </w:t>
      </w:r>
      <w:r>
        <w:rPr>
          <w:spacing w:val="2"/>
          <w:w w:val="105"/>
          <w:sz w:val="13"/>
        </w:rPr>
        <w:t>Barry</w:t>
      </w:r>
      <w:r>
        <w:rPr>
          <w:spacing w:val="14"/>
          <w:w w:val="105"/>
          <w:sz w:val="13"/>
        </w:rPr>
        <w:t> </w:t>
      </w:r>
      <w:r>
        <w:rPr>
          <w:w w:val="105"/>
          <w:sz w:val="13"/>
        </w:rPr>
        <w:t>Wollmer).</w:t>
      </w:r>
    </w:p>
    <w:p>
      <w:pPr>
        <w:pStyle w:val="ListParagraph"/>
        <w:numPr>
          <w:ilvl w:val="0"/>
          <w:numId w:val="34"/>
        </w:numPr>
        <w:tabs>
          <w:tab w:pos="2381" w:val="left" w:leader="none"/>
          <w:tab w:pos="2382" w:val="left" w:leader="none"/>
        </w:tabs>
        <w:spacing w:line="240" w:lineRule="auto" w:before="2" w:after="0"/>
        <w:ind w:left="2381" w:right="0" w:hanging="794"/>
        <w:jc w:val="left"/>
        <w:rPr>
          <w:sz w:val="13"/>
        </w:rPr>
      </w:pPr>
      <w:r>
        <w:rPr>
          <w:w w:val="105"/>
          <w:sz w:val="13"/>
        </w:rPr>
        <w:t>Submission 31 </w:t>
      </w:r>
      <w:r>
        <w:rPr>
          <w:spacing w:val="2"/>
          <w:w w:val="105"/>
          <w:sz w:val="13"/>
        </w:rPr>
        <w:t>(Barwon </w:t>
      </w:r>
      <w:r>
        <w:rPr>
          <w:w w:val="105"/>
          <w:sz w:val="13"/>
        </w:rPr>
        <w:t>Community Legal</w:t>
      </w:r>
      <w:r>
        <w:rPr>
          <w:spacing w:val="21"/>
          <w:w w:val="105"/>
          <w:sz w:val="13"/>
        </w:rPr>
        <w:t> </w:t>
      </w:r>
      <w:r>
        <w:rPr>
          <w:spacing w:val="2"/>
          <w:w w:val="105"/>
          <w:sz w:val="13"/>
        </w:rPr>
        <w:t>Service).</w:t>
      </w:r>
    </w:p>
    <w:p>
      <w:pPr>
        <w:pStyle w:val="ListParagraph"/>
        <w:numPr>
          <w:ilvl w:val="0"/>
          <w:numId w:val="34"/>
        </w:numPr>
        <w:tabs>
          <w:tab w:pos="2381" w:val="left" w:leader="none"/>
          <w:tab w:pos="2382" w:val="left" w:leader="none"/>
        </w:tabs>
        <w:spacing w:line="240" w:lineRule="auto" w:before="1" w:after="0"/>
        <w:ind w:left="2381" w:right="0" w:hanging="794"/>
        <w:jc w:val="left"/>
        <w:rPr>
          <w:sz w:val="13"/>
        </w:rPr>
      </w:pPr>
      <w:r>
        <w:rPr>
          <w:w w:val="105"/>
          <w:sz w:val="13"/>
        </w:rPr>
        <w:t>Submission 30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34"/>
        </w:numPr>
        <w:tabs>
          <w:tab w:pos="2381" w:val="left" w:leader="none"/>
          <w:tab w:pos="2382" w:val="left" w:leader="none"/>
        </w:tabs>
        <w:spacing w:line="240" w:lineRule="auto" w:before="1" w:after="0"/>
        <w:ind w:left="2381" w:right="0" w:hanging="794"/>
        <w:jc w:val="left"/>
        <w:rPr>
          <w:sz w:val="13"/>
        </w:rPr>
      </w:pPr>
      <w:r>
        <w:rPr/>
        <w:pict>
          <v:shape style="position:absolute;margin-left:548.915527pt;margin-top:3.000766pt;width:13.35pt;height:14.25pt;mso-position-horizontal-relative:page;mso-position-vertical-relative:paragraph;z-index:3832" type="#_x0000_t202" filled="false" stroked="false">
            <v:textbox inset="0,0,0,0">
              <w:txbxContent>
                <w:p>
                  <w:pPr>
                    <w:spacing w:line="284" w:lineRule="exact" w:before="0"/>
                    <w:ind w:left="0" w:right="0" w:firstLine="0"/>
                    <w:jc w:val="left"/>
                    <w:rPr>
                      <w:b/>
                      <w:sz w:val="24"/>
                    </w:rPr>
                  </w:pPr>
                  <w:r>
                    <w:rPr>
                      <w:b/>
                      <w:color w:val="658464"/>
                      <w:w w:val="105"/>
                      <w:sz w:val="24"/>
                    </w:rPr>
                    <w:t>45</w:t>
                  </w:r>
                </w:p>
              </w:txbxContent>
            </v:textbox>
            <w10:wrap type="none"/>
          </v:shape>
        </w:pict>
      </w:r>
      <w:r>
        <w:rPr>
          <w:w w:val="105"/>
          <w:sz w:val="13"/>
        </w:rPr>
        <w:t>Information</w:t>
      </w:r>
      <w:r>
        <w:rPr>
          <w:spacing w:val="5"/>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DSCV</w:t>
      </w:r>
      <w:r>
        <w:rPr>
          <w:spacing w:val="5"/>
          <w:w w:val="105"/>
          <w:sz w:val="13"/>
        </w:rPr>
        <w:t> </w:t>
      </w:r>
      <w:r>
        <w:rPr>
          <w:w w:val="105"/>
          <w:sz w:val="13"/>
        </w:rPr>
        <w:t>as</w:t>
      </w:r>
      <w:r>
        <w:rPr>
          <w:spacing w:val="5"/>
          <w:w w:val="105"/>
          <w:sz w:val="13"/>
        </w:rPr>
        <w:t> </w:t>
      </w:r>
      <w:r>
        <w:rPr>
          <w:w w:val="105"/>
          <w:sz w:val="13"/>
        </w:rPr>
        <w:t>part</w:t>
      </w:r>
      <w:r>
        <w:rPr>
          <w:spacing w:val="5"/>
          <w:w w:val="105"/>
          <w:sz w:val="13"/>
        </w:rPr>
        <w:t> </w:t>
      </w:r>
      <w:r>
        <w:rPr>
          <w:w w:val="105"/>
          <w:sz w:val="13"/>
        </w:rPr>
        <w:t>of</w:t>
      </w:r>
      <w:r>
        <w:rPr>
          <w:spacing w:val="5"/>
          <w:w w:val="105"/>
          <w:sz w:val="13"/>
        </w:rPr>
        <w:t> </w:t>
      </w:r>
      <w:r>
        <w:rPr>
          <w:w w:val="105"/>
          <w:sz w:val="13"/>
        </w:rPr>
        <w:t>a</w:t>
      </w:r>
      <w:r>
        <w:rPr>
          <w:spacing w:val="5"/>
          <w:w w:val="105"/>
          <w:sz w:val="13"/>
        </w:rPr>
        <w:t> </w:t>
      </w:r>
      <w:r>
        <w:rPr>
          <w:w w:val="105"/>
          <w:sz w:val="13"/>
        </w:rPr>
        <w:t>data</w:t>
      </w:r>
      <w:r>
        <w:rPr>
          <w:spacing w:val="5"/>
          <w:w w:val="105"/>
          <w:sz w:val="13"/>
        </w:rPr>
        <w:t> </w:t>
      </w:r>
      <w:r>
        <w:rPr>
          <w:w w:val="105"/>
          <w:sz w:val="13"/>
        </w:rPr>
        <w:t>request</w:t>
      </w:r>
      <w:r>
        <w:rPr>
          <w:spacing w:val="5"/>
          <w:w w:val="105"/>
          <w:sz w:val="13"/>
        </w:rPr>
        <w:t> </w:t>
      </w:r>
      <w:r>
        <w:rPr>
          <w:w w:val="105"/>
          <w:sz w:val="13"/>
        </w:rPr>
        <w:t>from</w:t>
      </w:r>
      <w:r>
        <w:rPr>
          <w:spacing w:val="5"/>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August</w:t>
      </w:r>
      <w:r>
        <w:rPr>
          <w:spacing w:val="6"/>
          <w:w w:val="105"/>
          <w:sz w:val="13"/>
        </w:rPr>
        <w:t> </w:t>
      </w:r>
      <w:r>
        <w:rPr>
          <w:spacing w:val="-5"/>
          <w:w w:val="105"/>
          <w:sz w:val="13"/>
        </w:rPr>
        <w:t>2017.</w:t>
      </w:r>
    </w:p>
    <w:p>
      <w:pPr>
        <w:pStyle w:val="ListParagraph"/>
        <w:numPr>
          <w:ilvl w:val="0"/>
          <w:numId w:val="34"/>
        </w:numPr>
        <w:tabs>
          <w:tab w:pos="2381" w:val="left" w:leader="none"/>
          <w:tab w:pos="2382" w:val="left" w:leader="none"/>
        </w:tabs>
        <w:spacing w:line="240" w:lineRule="auto" w:before="2" w:after="0"/>
        <w:ind w:left="2381" w:right="0" w:hanging="794"/>
        <w:jc w:val="left"/>
        <w:rPr>
          <w:sz w:val="13"/>
        </w:rPr>
      </w:pPr>
      <w:r>
        <w:rPr>
          <w:w w:val="105"/>
          <w:sz w:val="13"/>
        </w:rPr>
        <w:t>Submission 22 </w:t>
      </w:r>
      <w:r>
        <w:rPr>
          <w:spacing w:val="2"/>
          <w:w w:val="105"/>
          <w:sz w:val="13"/>
        </w:rPr>
        <w:t>(Name </w:t>
      </w:r>
      <w:r>
        <w:rPr>
          <w:w w:val="105"/>
          <w:sz w:val="13"/>
        </w:rPr>
        <w:t>withheld); Survey Respondent</w:t>
      </w:r>
      <w:r>
        <w:rPr>
          <w:spacing w:val="25"/>
          <w:w w:val="105"/>
          <w:sz w:val="13"/>
        </w:rPr>
        <w:t> </w:t>
      </w:r>
      <w:r>
        <w:rPr>
          <w:w w:val="105"/>
          <w:sz w:val="13"/>
        </w:rPr>
        <w:t>123.</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16"/>
        </w:numPr>
        <w:tabs>
          <w:tab w:pos="2380" w:val="left" w:leader="none"/>
          <w:tab w:pos="2381" w:val="left" w:leader="none"/>
        </w:tabs>
        <w:spacing w:line="242" w:lineRule="auto" w:before="92" w:after="0"/>
        <w:ind w:left="2381" w:right="1605" w:hanging="794"/>
        <w:jc w:val="left"/>
        <w:rPr>
          <w:sz w:val="21"/>
        </w:rPr>
      </w:pPr>
      <w:bookmarkStart w:name="_bookmark33" w:id="84"/>
      <w:bookmarkEnd w:id="84"/>
      <w:r>
        <w:rPr/>
      </w:r>
      <w:bookmarkStart w:name="_bookmark33" w:id="85"/>
      <w:bookmarkEnd w:id="85"/>
      <w:r>
        <w:rPr>
          <w:w w:val="105"/>
          <w:sz w:val="21"/>
        </w:rPr>
        <w:t>I</w:t>
      </w:r>
      <w:r>
        <w:rPr>
          <w:w w:val="105"/>
          <w:sz w:val="21"/>
        </w:rPr>
        <w:t>t was also </w:t>
      </w:r>
      <w:r>
        <w:rPr>
          <w:spacing w:val="-3"/>
          <w:w w:val="105"/>
          <w:sz w:val="21"/>
        </w:rPr>
        <w:t>lamented that </w:t>
      </w:r>
      <w:r>
        <w:rPr>
          <w:w w:val="105"/>
          <w:sz w:val="21"/>
        </w:rPr>
        <w:t>the option of taking legal action is only </w:t>
      </w:r>
      <w:r>
        <w:rPr>
          <w:spacing w:val="-3"/>
          <w:w w:val="105"/>
          <w:sz w:val="21"/>
        </w:rPr>
        <w:t>available </w:t>
      </w:r>
      <w:r>
        <w:rPr>
          <w:w w:val="105"/>
          <w:sz w:val="21"/>
        </w:rPr>
        <w:t>after damage or </w:t>
      </w:r>
      <w:r>
        <w:rPr>
          <w:spacing w:val="-3"/>
          <w:w w:val="105"/>
          <w:sz w:val="21"/>
        </w:rPr>
        <w:t>harm </w:t>
      </w:r>
      <w:r>
        <w:rPr>
          <w:spacing w:val="-2"/>
          <w:w w:val="105"/>
          <w:sz w:val="21"/>
        </w:rPr>
        <w:t>has </w:t>
      </w:r>
      <w:r>
        <w:rPr>
          <w:w w:val="105"/>
          <w:sz w:val="21"/>
        </w:rPr>
        <w:t>occurred.</w:t>
      </w:r>
      <w:r>
        <w:rPr>
          <w:w w:val="105"/>
          <w:position w:val="7"/>
          <w:sz w:val="12"/>
        </w:rPr>
        <w:t>209 </w:t>
      </w:r>
      <w:r>
        <w:rPr>
          <w:w w:val="105"/>
          <w:sz w:val="21"/>
        </w:rPr>
        <w:t>Where an affected </w:t>
      </w:r>
      <w:r>
        <w:rPr>
          <w:spacing w:val="-3"/>
          <w:w w:val="105"/>
          <w:sz w:val="21"/>
        </w:rPr>
        <w:t>neighbour </w:t>
      </w:r>
      <w:r>
        <w:rPr>
          <w:w w:val="105"/>
          <w:sz w:val="21"/>
        </w:rPr>
        <w:t>is fearful or anxious about a large tree </w:t>
      </w:r>
      <w:r>
        <w:rPr>
          <w:spacing w:val="-4"/>
          <w:w w:val="105"/>
          <w:sz w:val="21"/>
        </w:rPr>
        <w:t>falling </w:t>
      </w:r>
      <w:r>
        <w:rPr>
          <w:w w:val="105"/>
          <w:sz w:val="21"/>
        </w:rPr>
        <w:t>on their </w:t>
      </w:r>
      <w:r>
        <w:rPr>
          <w:spacing w:val="-3"/>
          <w:w w:val="105"/>
          <w:sz w:val="21"/>
        </w:rPr>
        <w:t>house, </w:t>
      </w:r>
      <w:r>
        <w:rPr>
          <w:w w:val="105"/>
          <w:sz w:val="21"/>
        </w:rPr>
        <w:t>they </w:t>
      </w:r>
      <w:r>
        <w:rPr>
          <w:spacing w:val="-3"/>
          <w:w w:val="105"/>
          <w:sz w:val="21"/>
        </w:rPr>
        <w:t>may </w:t>
      </w:r>
      <w:r>
        <w:rPr>
          <w:spacing w:val="-2"/>
          <w:w w:val="105"/>
          <w:sz w:val="21"/>
        </w:rPr>
        <w:t>not </w:t>
      </w:r>
      <w:r>
        <w:rPr>
          <w:w w:val="105"/>
          <w:sz w:val="21"/>
        </w:rPr>
        <w:t>be able </w:t>
      </w:r>
      <w:r>
        <w:rPr>
          <w:spacing w:val="-3"/>
          <w:w w:val="105"/>
          <w:sz w:val="21"/>
        </w:rPr>
        <w:t>to prove nuisance </w:t>
      </w:r>
      <w:r>
        <w:rPr>
          <w:w w:val="105"/>
          <w:sz w:val="21"/>
        </w:rPr>
        <w:t>or </w:t>
      </w:r>
      <w:r>
        <w:rPr>
          <w:spacing w:val="-3"/>
          <w:w w:val="105"/>
          <w:sz w:val="21"/>
        </w:rPr>
        <w:t>negligence </w:t>
      </w:r>
      <w:r>
        <w:rPr>
          <w:w w:val="105"/>
          <w:sz w:val="21"/>
        </w:rPr>
        <w:t>without </w:t>
      </w:r>
      <w:r>
        <w:rPr>
          <w:spacing w:val="-3"/>
          <w:w w:val="105"/>
          <w:sz w:val="21"/>
        </w:rPr>
        <w:t>any </w:t>
      </w:r>
      <w:r>
        <w:rPr>
          <w:w w:val="105"/>
          <w:sz w:val="21"/>
        </w:rPr>
        <w:t>actual </w:t>
      </w:r>
      <w:r>
        <w:rPr>
          <w:spacing w:val="-3"/>
          <w:w w:val="105"/>
          <w:sz w:val="21"/>
        </w:rPr>
        <w:t>interference </w:t>
      </w:r>
      <w:r>
        <w:rPr>
          <w:w w:val="105"/>
          <w:sz w:val="21"/>
        </w:rPr>
        <w:t>or damage </w:t>
      </w:r>
      <w:r>
        <w:rPr>
          <w:spacing w:val="-3"/>
          <w:w w:val="105"/>
          <w:sz w:val="21"/>
        </w:rPr>
        <w:t>having occurred.</w:t>
      </w:r>
      <w:r>
        <w:rPr>
          <w:spacing w:val="-3"/>
          <w:w w:val="105"/>
          <w:position w:val="7"/>
          <w:sz w:val="12"/>
        </w:rPr>
        <w:t>210 </w:t>
      </w:r>
      <w:r>
        <w:rPr>
          <w:w w:val="105"/>
          <w:sz w:val="21"/>
        </w:rPr>
        <w:t>In this </w:t>
      </w:r>
      <w:r>
        <w:rPr>
          <w:spacing w:val="-3"/>
          <w:w w:val="105"/>
          <w:sz w:val="21"/>
        </w:rPr>
        <w:t>sense, </w:t>
      </w:r>
      <w:r>
        <w:rPr>
          <w:w w:val="105"/>
          <w:sz w:val="21"/>
        </w:rPr>
        <w:t>the law was described as </w:t>
      </w:r>
      <w:r>
        <w:rPr>
          <w:spacing w:val="-3"/>
          <w:w w:val="105"/>
          <w:sz w:val="21"/>
        </w:rPr>
        <w:t>reactionary.</w:t>
      </w:r>
      <w:r>
        <w:rPr>
          <w:spacing w:val="-3"/>
          <w:w w:val="105"/>
          <w:position w:val="7"/>
          <w:sz w:val="12"/>
        </w:rPr>
        <w:t>211 </w:t>
      </w:r>
      <w:r>
        <w:rPr>
          <w:w w:val="105"/>
          <w:sz w:val="21"/>
        </w:rPr>
        <w:t>One person</w:t>
      </w:r>
      <w:r>
        <w:rPr>
          <w:spacing w:val="20"/>
          <w:w w:val="105"/>
          <w:sz w:val="21"/>
        </w:rPr>
        <w:t> </w:t>
      </w:r>
      <w:r>
        <w:rPr>
          <w:w w:val="105"/>
          <w:sz w:val="21"/>
        </w:rPr>
        <w:t>stated:</w:t>
      </w:r>
    </w:p>
    <w:p>
      <w:pPr>
        <w:spacing w:line="254" w:lineRule="auto" w:before="135"/>
        <w:ind w:left="2834" w:right="2059" w:firstLine="0"/>
        <w:jc w:val="left"/>
        <w:rPr>
          <w:sz w:val="11"/>
        </w:rPr>
      </w:pPr>
      <w:r>
        <w:rPr>
          <w:sz w:val="20"/>
        </w:rPr>
        <w:t>The laws are not very responsive to immediate or significant hazards. The system requires a lengthy and tedious process to get results at the affected person’s expense both financially/emotionally.</w:t>
      </w:r>
      <w:r>
        <w:rPr>
          <w:position w:val="7"/>
          <w:sz w:val="11"/>
        </w:rPr>
        <w:t>212</w:t>
      </w:r>
    </w:p>
    <w:p>
      <w:pPr>
        <w:pStyle w:val="ListParagraph"/>
        <w:numPr>
          <w:ilvl w:val="1"/>
          <w:numId w:val="16"/>
        </w:numPr>
        <w:tabs>
          <w:tab w:pos="2381" w:val="left" w:leader="none"/>
          <w:tab w:pos="2382" w:val="left" w:leader="none"/>
        </w:tabs>
        <w:spacing w:line="242" w:lineRule="auto" w:before="114" w:after="0"/>
        <w:ind w:left="2381" w:right="1651" w:hanging="794"/>
        <w:jc w:val="left"/>
        <w:rPr>
          <w:sz w:val="21"/>
        </w:rPr>
      </w:pPr>
      <w:r>
        <w:rPr>
          <w:w w:val="105"/>
          <w:sz w:val="21"/>
        </w:rPr>
        <w:t>The </w:t>
      </w:r>
      <w:r>
        <w:rPr>
          <w:spacing w:val="-3"/>
          <w:w w:val="105"/>
          <w:sz w:val="21"/>
        </w:rPr>
        <w:t>City </w:t>
      </w:r>
      <w:r>
        <w:rPr>
          <w:w w:val="105"/>
          <w:sz w:val="21"/>
        </w:rPr>
        <w:t>of </w:t>
      </w:r>
      <w:r>
        <w:rPr>
          <w:spacing w:val="-3"/>
          <w:w w:val="105"/>
          <w:sz w:val="21"/>
        </w:rPr>
        <w:t>Boroondara </w:t>
      </w:r>
      <w:r>
        <w:rPr>
          <w:w w:val="105"/>
          <w:sz w:val="21"/>
        </w:rPr>
        <w:t>stated in </w:t>
      </w:r>
      <w:r>
        <w:rPr>
          <w:spacing w:val="-3"/>
          <w:w w:val="105"/>
          <w:sz w:val="21"/>
        </w:rPr>
        <w:t>summary, </w:t>
      </w:r>
      <w:r>
        <w:rPr>
          <w:w w:val="105"/>
          <w:sz w:val="21"/>
        </w:rPr>
        <w:t>‘The </w:t>
      </w:r>
      <w:r>
        <w:rPr>
          <w:spacing w:val="-3"/>
          <w:w w:val="105"/>
          <w:sz w:val="21"/>
        </w:rPr>
        <w:t>current regime </w:t>
      </w:r>
      <w:r>
        <w:rPr>
          <w:w w:val="105"/>
          <w:sz w:val="21"/>
        </w:rPr>
        <w:t>in Victoria is </w:t>
      </w:r>
      <w:r>
        <w:rPr>
          <w:spacing w:val="-3"/>
          <w:w w:val="105"/>
          <w:sz w:val="21"/>
        </w:rPr>
        <w:t>complicated, </w:t>
      </w:r>
      <w:r>
        <w:rPr>
          <w:w w:val="105"/>
          <w:sz w:val="21"/>
        </w:rPr>
        <w:t>costly and overly</w:t>
      </w:r>
      <w:r>
        <w:rPr>
          <w:spacing w:val="15"/>
          <w:w w:val="105"/>
          <w:sz w:val="21"/>
        </w:rPr>
        <w:t> </w:t>
      </w:r>
      <w:r>
        <w:rPr>
          <w:spacing w:val="-5"/>
          <w:w w:val="105"/>
          <w:sz w:val="21"/>
        </w:rPr>
        <w:t>legalistic.’</w:t>
      </w:r>
      <w:r>
        <w:rPr>
          <w:spacing w:val="-5"/>
          <w:w w:val="105"/>
          <w:position w:val="7"/>
          <w:sz w:val="12"/>
        </w:rPr>
        <w:t>213</w:t>
      </w:r>
    </w:p>
    <w:p>
      <w:pPr>
        <w:pStyle w:val="BodyText"/>
        <w:spacing w:before="2"/>
        <w:rPr>
          <w:sz w:val="20"/>
        </w:rPr>
      </w:pPr>
    </w:p>
    <w:p>
      <w:pPr>
        <w:pStyle w:val="Heading5"/>
        <w:spacing w:before="1"/>
      </w:pPr>
      <w:r>
        <w:rPr>
          <w:w w:val="115"/>
        </w:rPr>
        <w:t>Low awareness and lack of information</w:t>
      </w:r>
    </w:p>
    <w:p>
      <w:pPr>
        <w:pStyle w:val="ListParagraph"/>
        <w:numPr>
          <w:ilvl w:val="1"/>
          <w:numId w:val="16"/>
        </w:numPr>
        <w:tabs>
          <w:tab w:pos="2381" w:val="left" w:leader="none"/>
          <w:tab w:pos="2382" w:val="left" w:leader="none"/>
        </w:tabs>
        <w:spacing w:line="242" w:lineRule="auto" w:before="137" w:after="0"/>
        <w:ind w:left="2381" w:right="1765" w:hanging="794"/>
        <w:jc w:val="left"/>
        <w:rPr>
          <w:sz w:val="21"/>
        </w:rPr>
      </w:pPr>
      <w:r>
        <w:rPr>
          <w:spacing w:val="-3"/>
          <w:w w:val="105"/>
          <w:sz w:val="21"/>
        </w:rPr>
        <w:t>Community </w:t>
      </w:r>
      <w:r>
        <w:rPr>
          <w:w w:val="105"/>
          <w:sz w:val="21"/>
        </w:rPr>
        <w:t>members </w:t>
      </w:r>
      <w:r>
        <w:rPr>
          <w:spacing w:val="-3"/>
          <w:w w:val="105"/>
          <w:sz w:val="21"/>
        </w:rPr>
        <w:t>may </w:t>
      </w:r>
      <w:r>
        <w:rPr>
          <w:spacing w:val="-2"/>
          <w:w w:val="105"/>
          <w:sz w:val="21"/>
        </w:rPr>
        <w:t>not </w:t>
      </w:r>
      <w:r>
        <w:rPr>
          <w:w w:val="105"/>
          <w:sz w:val="21"/>
        </w:rPr>
        <w:t>know where </w:t>
      </w:r>
      <w:r>
        <w:rPr>
          <w:spacing w:val="-3"/>
          <w:w w:val="105"/>
          <w:sz w:val="21"/>
        </w:rPr>
        <w:t>to </w:t>
      </w:r>
      <w:r>
        <w:rPr>
          <w:w w:val="105"/>
          <w:sz w:val="21"/>
        </w:rPr>
        <w:t>find the </w:t>
      </w:r>
      <w:r>
        <w:rPr>
          <w:spacing w:val="-5"/>
          <w:w w:val="105"/>
          <w:sz w:val="21"/>
        </w:rPr>
        <w:t>law, </w:t>
      </w:r>
      <w:r>
        <w:rPr>
          <w:w w:val="105"/>
          <w:sz w:val="21"/>
        </w:rPr>
        <w:t>how </w:t>
      </w:r>
      <w:r>
        <w:rPr>
          <w:spacing w:val="-3"/>
          <w:w w:val="105"/>
          <w:sz w:val="21"/>
        </w:rPr>
        <w:t>to interpret </w:t>
      </w:r>
      <w:r>
        <w:rPr>
          <w:w w:val="105"/>
          <w:sz w:val="21"/>
        </w:rPr>
        <w:t>it and who </w:t>
      </w:r>
      <w:r>
        <w:rPr>
          <w:spacing w:val="-3"/>
          <w:w w:val="105"/>
          <w:sz w:val="21"/>
        </w:rPr>
        <w:t>to </w:t>
      </w:r>
      <w:r>
        <w:rPr>
          <w:w w:val="105"/>
          <w:sz w:val="21"/>
        </w:rPr>
        <w:t>ask </w:t>
      </w:r>
      <w:r>
        <w:rPr>
          <w:spacing w:val="-3"/>
          <w:w w:val="105"/>
          <w:sz w:val="21"/>
        </w:rPr>
        <w:t>for assistance.</w:t>
      </w:r>
      <w:r>
        <w:rPr>
          <w:spacing w:val="-3"/>
          <w:w w:val="105"/>
          <w:position w:val="7"/>
          <w:sz w:val="12"/>
        </w:rPr>
        <w:t>214 </w:t>
      </w:r>
      <w:r>
        <w:rPr>
          <w:w w:val="105"/>
          <w:sz w:val="21"/>
        </w:rPr>
        <w:t>DSCV observed </w:t>
      </w:r>
      <w:r>
        <w:rPr>
          <w:spacing w:val="-3"/>
          <w:w w:val="105"/>
          <w:sz w:val="21"/>
        </w:rPr>
        <w:t>that many </w:t>
      </w:r>
      <w:r>
        <w:rPr>
          <w:w w:val="105"/>
          <w:sz w:val="21"/>
        </w:rPr>
        <w:t>people contact the </w:t>
      </w:r>
      <w:r>
        <w:rPr>
          <w:spacing w:val="-3"/>
          <w:w w:val="105"/>
          <w:sz w:val="21"/>
        </w:rPr>
        <w:t>centre </w:t>
      </w:r>
      <w:r>
        <w:rPr>
          <w:spacing w:val="-4"/>
          <w:w w:val="105"/>
          <w:sz w:val="21"/>
        </w:rPr>
        <w:t>‘purely </w:t>
      </w:r>
      <w:r>
        <w:rPr>
          <w:spacing w:val="-3"/>
          <w:w w:val="105"/>
          <w:sz w:val="21"/>
        </w:rPr>
        <w:t>to enquire </w:t>
      </w:r>
      <w:r>
        <w:rPr>
          <w:w w:val="105"/>
          <w:sz w:val="21"/>
        </w:rPr>
        <w:t>about their rights and </w:t>
      </w:r>
      <w:r>
        <w:rPr>
          <w:spacing w:val="-3"/>
          <w:w w:val="105"/>
          <w:sz w:val="21"/>
        </w:rPr>
        <w:t>obligations </w:t>
      </w:r>
      <w:r>
        <w:rPr>
          <w:w w:val="105"/>
          <w:sz w:val="21"/>
        </w:rPr>
        <w:t>with </w:t>
      </w:r>
      <w:r>
        <w:rPr>
          <w:spacing w:val="-3"/>
          <w:w w:val="105"/>
          <w:sz w:val="21"/>
        </w:rPr>
        <w:t>regards to </w:t>
      </w:r>
      <w:r>
        <w:rPr>
          <w:w w:val="105"/>
          <w:sz w:val="21"/>
        </w:rPr>
        <w:t>tree </w:t>
      </w:r>
      <w:r>
        <w:rPr>
          <w:spacing w:val="-5"/>
          <w:w w:val="105"/>
          <w:sz w:val="21"/>
        </w:rPr>
        <w:t>issues’. </w:t>
      </w:r>
      <w:r>
        <w:rPr>
          <w:w w:val="105"/>
          <w:sz w:val="21"/>
        </w:rPr>
        <w:t>It observed </w:t>
      </w:r>
      <w:r>
        <w:rPr>
          <w:spacing w:val="-3"/>
          <w:w w:val="105"/>
          <w:sz w:val="21"/>
        </w:rPr>
        <w:t>that </w:t>
      </w:r>
      <w:r>
        <w:rPr>
          <w:w w:val="105"/>
          <w:sz w:val="21"/>
        </w:rPr>
        <w:t>there</w:t>
      </w:r>
      <w:r>
        <w:rPr>
          <w:spacing w:val="-3"/>
          <w:w w:val="105"/>
          <w:sz w:val="21"/>
        </w:rPr>
        <w:t> </w:t>
      </w:r>
      <w:r>
        <w:rPr>
          <w:w w:val="105"/>
          <w:sz w:val="21"/>
        </w:rPr>
        <w:t>is</w:t>
      </w:r>
      <w:r>
        <w:rPr>
          <w:spacing w:val="-2"/>
          <w:w w:val="105"/>
          <w:sz w:val="21"/>
        </w:rPr>
        <w:t> </w:t>
      </w:r>
      <w:r>
        <w:rPr>
          <w:w w:val="105"/>
          <w:sz w:val="21"/>
        </w:rPr>
        <w:t>a</w:t>
      </w:r>
      <w:r>
        <w:rPr>
          <w:spacing w:val="-2"/>
          <w:w w:val="105"/>
          <w:sz w:val="21"/>
        </w:rPr>
        <w:t> </w:t>
      </w:r>
      <w:r>
        <w:rPr>
          <w:w w:val="105"/>
          <w:sz w:val="21"/>
        </w:rPr>
        <w:t>low</w:t>
      </w:r>
      <w:r>
        <w:rPr>
          <w:spacing w:val="-2"/>
          <w:w w:val="105"/>
          <w:sz w:val="21"/>
        </w:rPr>
        <w:t> </w:t>
      </w:r>
      <w:r>
        <w:rPr>
          <w:w w:val="105"/>
          <w:sz w:val="21"/>
        </w:rPr>
        <w:t>level</w:t>
      </w:r>
      <w:r>
        <w:rPr>
          <w:spacing w:val="-2"/>
          <w:w w:val="105"/>
          <w:sz w:val="21"/>
        </w:rPr>
        <w:t> </w:t>
      </w:r>
      <w:r>
        <w:rPr>
          <w:w w:val="105"/>
          <w:sz w:val="21"/>
        </w:rPr>
        <w:t>of</w:t>
      </w:r>
      <w:r>
        <w:rPr>
          <w:spacing w:val="-2"/>
          <w:w w:val="105"/>
          <w:sz w:val="21"/>
        </w:rPr>
        <w:t> </w:t>
      </w:r>
      <w:r>
        <w:rPr>
          <w:w w:val="105"/>
          <w:sz w:val="21"/>
        </w:rPr>
        <w:t>awareness</w:t>
      </w:r>
      <w:r>
        <w:rPr>
          <w:spacing w:val="-2"/>
          <w:w w:val="105"/>
          <w:sz w:val="21"/>
        </w:rPr>
        <w:t> </w:t>
      </w:r>
      <w:r>
        <w:rPr>
          <w:w w:val="105"/>
          <w:sz w:val="21"/>
        </w:rPr>
        <w:t>in</w:t>
      </w:r>
      <w:r>
        <w:rPr>
          <w:spacing w:val="-2"/>
          <w:w w:val="105"/>
          <w:sz w:val="21"/>
        </w:rPr>
        <w:t> </w:t>
      </w:r>
      <w:r>
        <w:rPr>
          <w:w w:val="105"/>
          <w:sz w:val="21"/>
        </w:rPr>
        <w:t>the</w:t>
      </w:r>
      <w:r>
        <w:rPr>
          <w:spacing w:val="-2"/>
          <w:w w:val="105"/>
          <w:sz w:val="21"/>
        </w:rPr>
        <w:t> </w:t>
      </w:r>
      <w:r>
        <w:rPr>
          <w:w w:val="105"/>
          <w:sz w:val="21"/>
        </w:rPr>
        <w:t>community</w:t>
      </w:r>
      <w:r>
        <w:rPr>
          <w:spacing w:val="-2"/>
          <w:w w:val="105"/>
          <w:sz w:val="21"/>
        </w:rPr>
        <w:t> </w:t>
      </w:r>
      <w:r>
        <w:rPr>
          <w:w w:val="105"/>
          <w:sz w:val="21"/>
        </w:rPr>
        <w:t>about</w:t>
      </w:r>
      <w:r>
        <w:rPr>
          <w:spacing w:val="-2"/>
          <w:w w:val="105"/>
          <w:sz w:val="21"/>
        </w:rPr>
        <w:t> </w:t>
      </w:r>
      <w:r>
        <w:rPr>
          <w:w w:val="105"/>
          <w:sz w:val="21"/>
        </w:rPr>
        <w:t>rights</w:t>
      </w:r>
      <w:r>
        <w:rPr>
          <w:spacing w:val="-2"/>
          <w:w w:val="105"/>
          <w:sz w:val="21"/>
        </w:rPr>
        <w:t> </w:t>
      </w:r>
      <w:r>
        <w:rPr>
          <w:w w:val="105"/>
          <w:sz w:val="21"/>
        </w:rPr>
        <w:t>and</w:t>
      </w:r>
      <w:r>
        <w:rPr>
          <w:spacing w:val="-2"/>
          <w:w w:val="105"/>
          <w:sz w:val="21"/>
        </w:rPr>
        <w:t> </w:t>
      </w:r>
      <w:r>
        <w:rPr>
          <w:spacing w:val="-3"/>
          <w:w w:val="105"/>
          <w:sz w:val="21"/>
        </w:rPr>
        <w:t>obligations.</w:t>
      </w:r>
      <w:r>
        <w:rPr>
          <w:spacing w:val="-22"/>
          <w:w w:val="105"/>
          <w:sz w:val="21"/>
        </w:rPr>
        <w:t> </w:t>
      </w:r>
      <w:r>
        <w:rPr>
          <w:spacing w:val="-5"/>
          <w:w w:val="105"/>
          <w:position w:val="7"/>
          <w:sz w:val="12"/>
        </w:rPr>
        <w:t>215</w:t>
      </w:r>
    </w:p>
    <w:p>
      <w:pPr>
        <w:pStyle w:val="ListParagraph"/>
        <w:numPr>
          <w:ilvl w:val="1"/>
          <w:numId w:val="16"/>
        </w:numPr>
        <w:tabs>
          <w:tab w:pos="2380" w:val="left" w:leader="none"/>
          <w:tab w:pos="2381" w:val="left" w:leader="none"/>
        </w:tabs>
        <w:spacing w:line="242" w:lineRule="auto" w:before="124" w:after="0"/>
        <w:ind w:left="2381" w:right="1731" w:hanging="794"/>
        <w:jc w:val="left"/>
        <w:rPr>
          <w:sz w:val="21"/>
        </w:rPr>
      </w:pPr>
      <w:r>
        <w:rPr>
          <w:spacing w:val="-3"/>
          <w:w w:val="105"/>
          <w:sz w:val="21"/>
        </w:rPr>
        <w:t>Community</w:t>
      </w:r>
      <w:r>
        <w:rPr>
          <w:spacing w:val="-10"/>
          <w:w w:val="105"/>
          <w:sz w:val="21"/>
        </w:rPr>
        <w:t> </w:t>
      </w:r>
      <w:r>
        <w:rPr>
          <w:w w:val="105"/>
          <w:sz w:val="21"/>
        </w:rPr>
        <w:t>responses</w:t>
      </w:r>
      <w:r>
        <w:rPr>
          <w:spacing w:val="-9"/>
          <w:w w:val="105"/>
          <w:sz w:val="21"/>
        </w:rPr>
        <w:t> </w:t>
      </w:r>
      <w:r>
        <w:rPr>
          <w:w w:val="105"/>
          <w:sz w:val="21"/>
        </w:rPr>
        <w:t>suggest</w:t>
      </w:r>
      <w:r>
        <w:rPr>
          <w:spacing w:val="-9"/>
          <w:w w:val="105"/>
          <w:sz w:val="21"/>
        </w:rPr>
        <w:t> </w:t>
      </w:r>
      <w:r>
        <w:rPr>
          <w:spacing w:val="-3"/>
          <w:w w:val="105"/>
          <w:sz w:val="21"/>
        </w:rPr>
        <w:t>that</w:t>
      </w:r>
      <w:r>
        <w:rPr>
          <w:spacing w:val="-9"/>
          <w:w w:val="105"/>
          <w:sz w:val="21"/>
        </w:rPr>
        <w:t> </w:t>
      </w:r>
      <w:r>
        <w:rPr>
          <w:w w:val="105"/>
          <w:sz w:val="21"/>
        </w:rPr>
        <w:t>people</w:t>
      </w:r>
      <w:r>
        <w:rPr>
          <w:spacing w:val="-10"/>
          <w:w w:val="105"/>
          <w:sz w:val="21"/>
        </w:rPr>
        <w:t> </w:t>
      </w:r>
      <w:r>
        <w:rPr>
          <w:w w:val="105"/>
          <w:sz w:val="21"/>
        </w:rPr>
        <w:t>seeking</w:t>
      </w:r>
      <w:r>
        <w:rPr>
          <w:spacing w:val="-9"/>
          <w:w w:val="105"/>
          <w:sz w:val="21"/>
        </w:rPr>
        <w:t> </w:t>
      </w:r>
      <w:r>
        <w:rPr>
          <w:spacing w:val="-3"/>
          <w:w w:val="105"/>
          <w:sz w:val="21"/>
        </w:rPr>
        <w:t>information</w:t>
      </w:r>
      <w:r>
        <w:rPr>
          <w:spacing w:val="-9"/>
          <w:w w:val="105"/>
          <w:sz w:val="21"/>
        </w:rPr>
        <w:t> </w:t>
      </w:r>
      <w:r>
        <w:rPr>
          <w:w w:val="105"/>
          <w:sz w:val="21"/>
        </w:rPr>
        <w:t>and</w:t>
      </w:r>
      <w:r>
        <w:rPr>
          <w:spacing w:val="-9"/>
          <w:w w:val="105"/>
          <w:sz w:val="21"/>
        </w:rPr>
        <w:t> </w:t>
      </w:r>
      <w:r>
        <w:rPr>
          <w:w w:val="105"/>
          <w:sz w:val="21"/>
        </w:rPr>
        <w:t>assistance</w:t>
      </w:r>
      <w:r>
        <w:rPr>
          <w:spacing w:val="-9"/>
          <w:w w:val="105"/>
          <w:sz w:val="21"/>
        </w:rPr>
        <w:t> </w:t>
      </w:r>
      <w:r>
        <w:rPr>
          <w:w w:val="105"/>
          <w:sz w:val="21"/>
        </w:rPr>
        <w:t>with</w:t>
      </w:r>
      <w:r>
        <w:rPr>
          <w:spacing w:val="-10"/>
          <w:w w:val="105"/>
          <w:sz w:val="21"/>
        </w:rPr>
        <w:t> </w:t>
      </w:r>
      <w:r>
        <w:rPr>
          <w:w w:val="105"/>
          <w:sz w:val="21"/>
        </w:rPr>
        <w:t>their tree </w:t>
      </w:r>
      <w:r>
        <w:rPr>
          <w:spacing w:val="-3"/>
          <w:w w:val="105"/>
          <w:sz w:val="21"/>
        </w:rPr>
        <w:t>dispute are </w:t>
      </w:r>
      <w:r>
        <w:rPr>
          <w:w w:val="105"/>
          <w:sz w:val="21"/>
        </w:rPr>
        <w:t>often </w:t>
      </w:r>
      <w:r>
        <w:rPr>
          <w:spacing w:val="-3"/>
          <w:w w:val="105"/>
          <w:sz w:val="21"/>
        </w:rPr>
        <w:t>referred to multiple </w:t>
      </w:r>
      <w:r>
        <w:rPr>
          <w:w w:val="105"/>
          <w:sz w:val="21"/>
        </w:rPr>
        <w:t>agencies and find </w:t>
      </w:r>
      <w:r>
        <w:rPr>
          <w:spacing w:val="-2"/>
          <w:w w:val="105"/>
          <w:sz w:val="21"/>
        </w:rPr>
        <w:t>not </w:t>
      </w:r>
      <w:r>
        <w:rPr>
          <w:w w:val="105"/>
          <w:sz w:val="21"/>
        </w:rPr>
        <w:t>getting </w:t>
      </w:r>
      <w:r>
        <w:rPr>
          <w:spacing w:val="-3"/>
          <w:w w:val="105"/>
          <w:sz w:val="21"/>
        </w:rPr>
        <w:t>clear </w:t>
      </w:r>
      <w:r>
        <w:rPr>
          <w:w w:val="105"/>
          <w:sz w:val="21"/>
        </w:rPr>
        <w:t>advice </w:t>
      </w:r>
      <w:r>
        <w:rPr>
          <w:spacing w:val="-3"/>
          <w:w w:val="105"/>
          <w:sz w:val="21"/>
        </w:rPr>
        <w:t>frustrating. </w:t>
      </w:r>
      <w:r>
        <w:rPr>
          <w:spacing w:val="-3"/>
          <w:w w:val="105"/>
          <w:position w:val="7"/>
          <w:sz w:val="12"/>
        </w:rPr>
        <w:t>216 </w:t>
      </w:r>
      <w:r>
        <w:rPr>
          <w:w w:val="105"/>
          <w:sz w:val="21"/>
        </w:rPr>
        <w:t>People sometimes find themselves </w:t>
      </w:r>
      <w:r>
        <w:rPr>
          <w:spacing w:val="-3"/>
          <w:w w:val="105"/>
          <w:sz w:val="21"/>
        </w:rPr>
        <w:t>caught </w:t>
      </w:r>
      <w:r>
        <w:rPr>
          <w:w w:val="105"/>
          <w:sz w:val="21"/>
        </w:rPr>
        <w:t>in a cycle of</w:t>
      </w:r>
      <w:r>
        <w:rPr>
          <w:spacing w:val="-19"/>
          <w:w w:val="105"/>
          <w:sz w:val="21"/>
        </w:rPr>
        <w:t> </w:t>
      </w:r>
      <w:r>
        <w:rPr>
          <w:spacing w:val="-4"/>
          <w:w w:val="105"/>
          <w:sz w:val="21"/>
        </w:rPr>
        <w:t>referrals.</w:t>
      </w:r>
      <w:r>
        <w:rPr>
          <w:spacing w:val="-4"/>
          <w:w w:val="105"/>
          <w:position w:val="7"/>
          <w:sz w:val="12"/>
        </w:rPr>
        <w:t>217</w:t>
      </w:r>
    </w:p>
    <w:p>
      <w:pPr>
        <w:pStyle w:val="ListParagraph"/>
        <w:numPr>
          <w:ilvl w:val="1"/>
          <w:numId w:val="16"/>
        </w:numPr>
        <w:tabs>
          <w:tab w:pos="2381" w:val="left" w:leader="none"/>
          <w:tab w:pos="2382" w:val="left" w:leader="none"/>
        </w:tabs>
        <w:spacing w:line="240" w:lineRule="auto" w:before="124" w:after="0"/>
        <w:ind w:left="2381" w:right="0" w:hanging="794"/>
        <w:jc w:val="left"/>
        <w:rPr>
          <w:sz w:val="21"/>
        </w:rPr>
      </w:pPr>
      <w:r>
        <w:rPr>
          <w:w w:val="105"/>
          <w:sz w:val="21"/>
        </w:rPr>
        <w:t>Responses </w:t>
      </w:r>
      <w:r>
        <w:rPr>
          <w:spacing w:val="-3"/>
          <w:w w:val="105"/>
          <w:sz w:val="21"/>
        </w:rPr>
        <w:t>lamented </w:t>
      </w:r>
      <w:r>
        <w:rPr>
          <w:w w:val="105"/>
          <w:sz w:val="21"/>
        </w:rPr>
        <w:t>a lack of a </w:t>
      </w:r>
      <w:r>
        <w:rPr>
          <w:spacing w:val="-3"/>
          <w:w w:val="105"/>
          <w:sz w:val="21"/>
        </w:rPr>
        <w:t>central resource. </w:t>
      </w:r>
      <w:r>
        <w:rPr>
          <w:w w:val="105"/>
          <w:sz w:val="21"/>
        </w:rPr>
        <w:t>Arborist Dr Karen </w:t>
      </w:r>
      <w:r>
        <w:rPr>
          <w:spacing w:val="-3"/>
          <w:w w:val="105"/>
          <w:sz w:val="21"/>
        </w:rPr>
        <w:t>Smith </w:t>
      </w:r>
      <w:r>
        <w:rPr>
          <w:w w:val="105"/>
          <w:sz w:val="21"/>
        </w:rPr>
        <w:t>stated</w:t>
      </w:r>
      <w:r>
        <w:rPr>
          <w:spacing w:val="39"/>
          <w:w w:val="105"/>
          <w:sz w:val="21"/>
        </w:rPr>
        <w:t> </w:t>
      </w:r>
      <w:r>
        <w:rPr>
          <w:w w:val="105"/>
          <w:sz w:val="21"/>
        </w:rPr>
        <w:t>that:</w:t>
      </w:r>
    </w:p>
    <w:p>
      <w:pPr>
        <w:spacing w:line="254" w:lineRule="auto" w:before="133"/>
        <w:ind w:left="2834" w:right="1727" w:firstLine="0"/>
        <w:jc w:val="left"/>
        <w:rPr>
          <w:sz w:val="11"/>
        </w:rPr>
      </w:pPr>
      <w:r>
        <w:rPr/>
        <w:pict>
          <v:shape style="position:absolute;margin-left:79.369202pt;margin-top:51.605988pt;width:436.55pt;height:374.95pt;mso-position-horizontal-relative:page;mso-position-vertical-relative:paragraph;z-index:385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8"/>
                    <w:gridCol w:w="8092"/>
                  </w:tblGrid>
                  <w:tr>
                    <w:trPr>
                      <w:trHeight w:val="251" w:hRule="atLeast"/>
                    </w:trPr>
                    <w:tc>
                      <w:tcPr>
                        <w:tcW w:w="638" w:type="dxa"/>
                      </w:tcPr>
                      <w:p>
                        <w:pPr>
                          <w:pStyle w:val="TableParagraph"/>
                          <w:spacing w:line="232" w:lineRule="exact"/>
                          <w:rPr>
                            <w:sz w:val="21"/>
                          </w:rPr>
                        </w:pPr>
                        <w:r>
                          <w:rPr>
                            <w:w w:val="110"/>
                            <w:sz w:val="21"/>
                          </w:rPr>
                          <w:t>3.135</w:t>
                        </w:r>
                      </w:p>
                    </w:tc>
                    <w:tc>
                      <w:tcPr>
                        <w:tcW w:w="8092" w:type="dxa"/>
                      </w:tcPr>
                      <w:p>
                        <w:pPr>
                          <w:pStyle w:val="TableParagraph"/>
                          <w:spacing w:line="232" w:lineRule="exact"/>
                          <w:ind w:left="155"/>
                          <w:rPr>
                            <w:sz w:val="21"/>
                          </w:rPr>
                        </w:pPr>
                        <w:r>
                          <w:rPr>
                            <w:w w:val="105"/>
                            <w:sz w:val="21"/>
                          </w:rPr>
                          <w:t>Most people approach their local council for information about what to do in a tree</w:t>
                        </w:r>
                      </w:p>
                    </w:tc>
                  </w:tr>
                  <w:tr>
                    <w:trPr>
                      <w:trHeight w:val="260" w:hRule="atLeast"/>
                    </w:trPr>
                    <w:tc>
                      <w:tcPr>
                        <w:tcW w:w="638" w:type="dxa"/>
                      </w:tcPr>
                      <w:p>
                        <w:pPr>
                          <w:pStyle w:val="TableParagraph"/>
                          <w:rPr>
                            <w:rFonts w:ascii="Times New Roman"/>
                            <w:sz w:val="16"/>
                          </w:rPr>
                        </w:pPr>
                      </w:p>
                    </w:tc>
                    <w:tc>
                      <w:tcPr>
                        <w:tcW w:w="8092" w:type="dxa"/>
                      </w:tcPr>
                      <w:p>
                        <w:pPr>
                          <w:pStyle w:val="TableParagraph"/>
                          <w:spacing w:line="240" w:lineRule="exact"/>
                          <w:ind w:left="155" w:right="-15"/>
                          <w:rPr>
                            <w:sz w:val="21"/>
                          </w:rPr>
                        </w:pPr>
                        <w:r>
                          <w:rPr>
                            <w:spacing w:val="-3"/>
                            <w:sz w:val="21"/>
                          </w:rPr>
                          <w:t>dispute.</w:t>
                        </w:r>
                        <w:r>
                          <w:rPr>
                            <w:spacing w:val="-3"/>
                            <w:position w:val="7"/>
                            <w:sz w:val="12"/>
                          </w:rPr>
                          <w:t>219 </w:t>
                        </w:r>
                        <w:r>
                          <w:rPr>
                            <w:sz w:val="21"/>
                          </w:rPr>
                          <w:t>People often </w:t>
                        </w:r>
                        <w:r>
                          <w:rPr>
                            <w:spacing w:val="-3"/>
                            <w:sz w:val="21"/>
                          </w:rPr>
                          <w:t>mistakenly </w:t>
                        </w:r>
                        <w:r>
                          <w:rPr>
                            <w:sz w:val="21"/>
                          </w:rPr>
                          <w:t>believe their local </w:t>
                        </w:r>
                        <w:r>
                          <w:rPr>
                            <w:spacing w:val="-3"/>
                            <w:sz w:val="21"/>
                          </w:rPr>
                          <w:t>council will </w:t>
                        </w:r>
                        <w:r>
                          <w:rPr>
                            <w:sz w:val="21"/>
                          </w:rPr>
                          <w:t>be able </w:t>
                        </w:r>
                        <w:r>
                          <w:rPr>
                            <w:spacing w:val="-3"/>
                            <w:sz w:val="21"/>
                          </w:rPr>
                          <w:t>to </w:t>
                        </w:r>
                        <w:r>
                          <w:rPr>
                            <w:sz w:val="21"/>
                          </w:rPr>
                          <w:t>help with</w:t>
                        </w:r>
                        <w:r>
                          <w:rPr>
                            <w:spacing w:val="4"/>
                            <w:sz w:val="21"/>
                          </w:rPr>
                          <w:t> </w:t>
                        </w:r>
                        <w:r>
                          <w:rPr>
                            <w:sz w:val="21"/>
                          </w:rPr>
                          <w:t>their</w:t>
                        </w:r>
                      </w:p>
                    </w:tc>
                  </w:tr>
                  <w:tr>
                    <w:trPr>
                      <w:trHeight w:val="259" w:hRule="atLeast"/>
                    </w:trPr>
                    <w:tc>
                      <w:tcPr>
                        <w:tcW w:w="638" w:type="dxa"/>
                      </w:tcPr>
                      <w:p>
                        <w:pPr>
                          <w:pStyle w:val="TableParagraph"/>
                          <w:rPr>
                            <w:rFonts w:ascii="Times New Roman"/>
                            <w:sz w:val="16"/>
                          </w:rPr>
                        </w:pPr>
                      </w:p>
                    </w:tc>
                    <w:tc>
                      <w:tcPr>
                        <w:tcW w:w="8092" w:type="dxa"/>
                      </w:tcPr>
                      <w:p>
                        <w:pPr>
                          <w:pStyle w:val="TableParagraph"/>
                          <w:spacing w:line="240" w:lineRule="exact"/>
                          <w:ind w:left="155"/>
                          <w:rPr>
                            <w:sz w:val="21"/>
                          </w:rPr>
                        </w:pPr>
                        <w:r>
                          <w:rPr>
                            <w:w w:val="105"/>
                            <w:sz w:val="21"/>
                          </w:rPr>
                          <w:t>tree </w:t>
                        </w:r>
                        <w:r>
                          <w:rPr>
                            <w:spacing w:val="-3"/>
                            <w:w w:val="105"/>
                            <w:sz w:val="21"/>
                          </w:rPr>
                          <w:t>dispute </w:t>
                        </w:r>
                        <w:r>
                          <w:rPr>
                            <w:w w:val="105"/>
                            <w:sz w:val="21"/>
                          </w:rPr>
                          <w:t>because </w:t>
                        </w:r>
                        <w:r>
                          <w:rPr>
                            <w:spacing w:val="-3"/>
                            <w:w w:val="105"/>
                            <w:sz w:val="21"/>
                          </w:rPr>
                          <w:t>councils manage </w:t>
                        </w:r>
                        <w:r>
                          <w:rPr>
                            <w:w w:val="105"/>
                            <w:sz w:val="21"/>
                          </w:rPr>
                          <w:t>vegetation </w:t>
                        </w:r>
                        <w:r>
                          <w:rPr>
                            <w:spacing w:val="-3"/>
                            <w:w w:val="105"/>
                            <w:sz w:val="21"/>
                          </w:rPr>
                          <w:t>through </w:t>
                        </w:r>
                        <w:r>
                          <w:rPr>
                            <w:w w:val="105"/>
                            <w:sz w:val="21"/>
                          </w:rPr>
                          <w:t>local laws or </w:t>
                        </w:r>
                        <w:r>
                          <w:rPr>
                            <w:spacing w:val="-3"/>
                            <w:w w:val="105"/>
                            <w:sz w:val="21"/>
                          </w:rPr>
                          <w:t>planning </w:t>
                        </w:r>
                        <w:r>
                          <w:rPr>
                            <w:w w:val="105"/>
                            <w:sz w:val="21"/>
                          </w:rPr>
                          <w:t>schemes</w:t>
                        </w:r>
                      </w:p>
                    </w:tc>
                  </w:tr>
                  <w:tr>
                    <w:trPr>
                      <w:trHeight w:val="320" w:hRule="atLeast"/>
                    </w:trPr>
                    <w:tc>
                      <w:tcPr>
                        <w:tcW w:w="638" w:type="dxa"/>
                      </w:tcPr>
                      <w:p>
                        <w:pPr>
                          <w:pStyle w:val="TableParagraph"/>
                          <w:rPr>
                            <w:rFonts w:ascii="Times New Roman"/>
                            <w:sz w:val="16"/>
                          </w:rPr>
                        </w:pPr>
                      </w:p>
                    </w:tc>
                    <w:tc>
                      <w:tcPr>
                        <w:tcW w:w="8092" w:type="dxa"/>
                      </w:tcPr>
                      <w:p>
                        <w:pPr>
                          <w:pStyle w:val="TableParagraph"/>
                          <w:spacing w:line="256" w:lineRule="exact"/>
                          <w:ind w:left="155"/>
                          <w:rPr>
                            <w:sz w:val="12"/>
                          </w:rPr>
                        </w:pPr>
                        <w:r>
                          <w:rPr>
                            <w:w w:val="105"/>
                            <w:sz w:val="21"/>
                          </w:rPr>
                          <w:t>or because they </w:t>
                        </w:r>
                        <w:r>
                          <w:rPr>
                            <w:spacing w:val="-3"/>
                            <w:w w:val="105"/>
                            <w:sz w:val="21"/>
                          </w:rPr>
                          <w:t>handle </w:t>
                        </w:r>
                        <w:r>
                          <w:rPr>
                            <w:w w:val="105"/>
                            <w:sz w:val="21"/>
                          </w:rPr>
                          <w:t>other types of </w:t>
                        </w:r>
                        <w:r>
                          <w:rPr>
                            <w:spacing w:val="-3"/>
                            <w:w w:val="105"/>
                            <w:sz w:val="21"/>
                          </w:rPr>
                          <w:t>nuisance </w:t>
                        </w:r>
                        <w:r>
                          <w:rPr>
                            <w:w w:val="105"/>
                            <w:sz w:val="21"/>
                          </w:rPr>
                          <w:t>or </w:t>
                        </w:r>
                        <w:r>
                          <w:rPr>
                            <w:spacing w:val="-3"/>
                            <w:w w:val="105"/>
                            <w:sz w:val="21"/>
                          </w:rPr>
                          <w:t>public health </w:t>
                        </w:r>
                        <w:r>
                          <w:rPr>
                            <w:w w:val="105"/>
                            <w:sz w:val="21"/>
                          </w:rPr>
                          <w:t>and safety complaints.</w:t>
                        </w:r>
                        <w:r>
                          <w:rPr>
                            <w:w w:val="105"/>
                            <w:position w:val="7"/>
                            <w:sz w:val="12"/>
                          </w:rPr>
                          <w:t>220</w:t>
                        </w:r>
                      </w:p>
                    </w:tc>
                  </w:tr>
                  <w:tr>
                    <w:trPr>
                      <w:trHeight w:val="320" w:hRule="atLeast"/>
                    </w:trPr>
                    <w:tc>
                      <w:tcPr>
                        <w:tcW w:w="638" w:type="dxa"/>
                      </w:tcPr>
                      <w:p>
                        <w:pPr>
                          <w:pStyle w:val="TableParagraph"/>
                          <w:spacing w:line="241" w:lineRule="exact" w:before="59"/>
                          <w:rPr>
                            <w:sz w:val="21"/>
                          </w:rPr>
                        </w:pPr>
                        <w:r>
                          <w:rPr>
                            <w:w w:val="110"/>
                            <w:sz w:val="21"/>
                          </w:rPr>
                          <w:t>3.136</w:t>
                        </w:r>
                      </w:p>
                    </w:tc>
                    <w:tc>
                      <w:tcPr>
                        <w:tcW w:w="8092" w:type="dxa"/>
                      </w:tcPr>
                      <w:p>
                        <w:pPr>
                          <w:pStyle w:val="TableParagraph"/>
                          <w:spacing w:line="241" w:lineRule="exact" w:before="59"/>
                          <w:ind w:left="155"/>
                          <w:rPr>
                            <w:sz w:val="21"/>
                          </w:rPr>
                        </w:pPr>
                        <w:r>
                          <w:rPr>
                            <w:w w:val="105"/>
                            <w:sz w:val="21"/>
                          </w:rPr>
                          <w:t>The Commission undertook consultations with some local councils. All confirmed that</w:t>
                        </w:r>
                      </w:p>
                    </w:tc>
                  </w:tr>
                  <w:tr>
                    <w:trPr>
                      <w:trHeight w:val="259" w:hRule="atLeast"/>
                    </w:trPr>
                    <w:tc>
                      <w:tcPr>
                        <w:tcW w:w="638" w:type="dxa"/>
                      </w:tcPr>
                      <w:p>
                        <w:pPr>
                          <w:pStyle w:val="TableParagraph"/>
                          <w:rPr>
                            <w:rFonts w:ascii="Times New Roman"/>
                            <w:sz w:val="16"/>
                          </w:rPr>
                        </w:pPr>
                      </w:p>
                    </w:tc>
                    <w:tc>
                      <w:tcPr>
                        <w:tcW w:w="8092" w:type="dxa"/>
                      </w:tcPr>
                      <w:p>
                        <w:pPr>
                          <w:pStyle w:val="TableParagraph"/>
                          <w:spacing w:line="240" w:lineRule="exact"/>
                          <w:ind w:left="155"/>
                          <w:rPr>
                            <w:sz w:val="21"/>
                          </w:rPr>
                        </w:pPr>
                        <w:r>
                          <w:rPr>
                            <w:sz w:val="21"/>
                          </w:rPr>
                          <w:t>they view tree disputes as private matters between residents and will not generally</w:t>
                        </w:r>
                      </w:p>
                    </w:tc>
                  </w:tr>
                  <w:tr>
                    <w:trPr>
                      <w:trHeight w:val="259" w:hRule="atLeast"/>
                    </w:trPr>
                    <w:tc>
                      <w:tcPr>
                        <w:tcW w:w="638" w:type="dxa"/>
                      </w:tcPr>
                      <w:p>
                        <w:pPr>
                          <w:pStyle w:val="TableParagraph"/>
                          <w:rPr>
                            <w:rFonts w:ascii="Times New Roman"/>
                            <w:sz w:val="16"/>
                          </w:rPr>
                        </w:pPr>
                      </w:p>
                    </w:tc>
                    <w:tc>
                      <w:tcPr>
                        <w:tcW w:w="8092" w:type="dxa"/>
                      </w:tcPr>
                      <w:p>
                        <w:pPr>
                          <w:pStyle w:val="TableParagraph"/>
                          <w:spacing w:line="240" w:lineRule="exact"/>
                          <w:ind w:left="155"/>
                          <w:rPr>
                            <w:sz w:val="21"/>
                          </w:rPr>
                        </w:pPr>
                        <w:r>
                          <w:rPr>
                            <w:sz w:val="21"/>
                          </w:rPr>
                          <w:t>become involved with these types of dispute unless the tree is regulated pursuant to a</w:t>
                        </w:r>
                      </w:p>
                    </w:tc>
                  </w:tr>
                  <w:tr>
                    <w:trPr>
                      <w:trHeight w:val="259" w:hRule="atLeast"/>
                    </w:trPr>
                    <w:tc>
                      <w:tcPr>
                        <w:tcW w:w="638" w:type="dxa"/>
                      </w:tcPr>
                      <w:p>
                        <w:pPr>
                          <w:pStyle w:val="TableParagraph"/>
                          <w:rPr>
                            <w:rFonts w:ascii="Times New Roman"/>
                            <w:sz w:val="16"/>
                          </w:rPr>
                        </w:pPr>
                      </w:p>
                    </w:tc>
                    <w:tc>
                      <w:tcPr>
                        <w:tcW w:w="8092" w:type="dxa"/>
                      </w:tcPr>
                      <w:p>
                        <w:pPr>
                          <w:pStyle w:val="TableParagraph"/>
                          <w:spacing w:line="240" w:lineRule="exact"/>
                          <w:ind w:left="155"/>
                          <w:rPr>
                            <w:sz w:val="21"/>
                          </w:rPr>
                        </w:pPr>
                        <w:r>
                          <w:rPr>
                            <w:w w:val="105"/>
                            <w:sz w:val="21"/>
                          </w:rPr>
                          <w:t>local law or planning scheme. </w:t>
                        </w:r>
                        <w:r>
                          <w:rPr>
                            <w:w w:val="105"/>
                            <w:position w:val="7"/>
                            <w:sz w:val="12"/>
                          </w:rPr>
                          <w:t>221 </w:t>
                        </w:r>
                        <w:r>
                          <w:rPr>
                            <w:w w:val="105"/>
                            <w:sz w:val="21"/>
                          </w:rPr>
                          <w:t>Councils generally encourage people to resolve their</w:t>
                        </w:r>
                      </w:p>
                    </w:tc>
                  </w:tr>
                  <w:tr>
                    <w:trPr>
                      <w:trHeight w:val="259" w:hRule="atLeast"/>
                    </w:trPr>
                    <w:tc>
                      <w:tcPr>
                        <w:tcW w:w="638" w:type="dxa"/>
                      </w:tcPr>
                      <w:p>
                        <w:pPr>
                          <w:pStyle w:val="TableParagraph"/>
                          <w:rPr>
                            <w:rFonts w:ascii="Times New Roman"/>
                            <w:sz w:val="16"/>
                          </w:rPr>
                        </w:pPr>
                      </w:p>
                    </w:tc>
                    <w:tc>
                      <w:tcPr>
                        <w:tcW w:w="8092" w:type="dxa"/>
                      </w:tcPr>
                      <w:p>
                        <w:pPr>
                          <w:pStyle w:val="TableParagraph"/>
                          <w:spacing w:line="240" w:lineRule="exact"/>
                          <w:ind w:left="155"/>
                          <w:rPr>
                            <w:sz w:val="21"/>
                          </w:rPr>
                        </w:pPr>
                        <w:r>
                          <w:rPr>
                            <w:sz w:val="21"/>
                          </w:rPr>
                          <w:t>dispute informally by communicating with their neighbours or refer them to the free</w:t>
                        </w:r>
                      </w:p>
                    </w:tc>
                  </w:tr>
                  <w:tr>
                    <w:trPr>
                      <w:trHeight w:val="320" w:hRule="atLeast"/>
                    </w:trPr>
                    <w:tc>
                      <w:tcPr>
                        <w:tcW w:w="638" w:type="dxa"/>
                      </w:tcPr>
                      <w:p>
                        <w:pPr>
                          <w:pStyle w:val="TableParagraph"/>
                          <w:rPr>
                            <w:rFonts w:ascii="Times New Roman"/>
                            <w:sz w:val="16"/>
                          </w:rPr>
                        </w:pPr>
                      </w:p>
                    </w:tc>
                    <w:tc>
                      <w:tcPr>
                        <w:tcW w:w="8092" w:type="dxa"/>
                      </w:tcPr>
                      <w:p>
                        <w:pPr>
                          <w:pStyle w:val="TableParagraph"/>
                          <w:spacing w:line="256" w:lineRule="exact"/>
                          <w:ind w:left="155"/>
                          <w:rPr>
                            <w:sz w:val="12"/>
                          </w:rPr>
                        </w:pPr>
                        <w:r>
                          <w:rPr>
                            <w:sz w:val="21"/>
                          </w:rPr>
                          <w:t>mediation services provided by DSCV.</w:t>
                        </w:r>
                        <w:r>
                          <w:rPr>
                            <w:position w:val="7"/>
                            <w:sz w:val="12"/>
                          </w:rPr>
                          <w:t>222</w:t>
                        </w:r>
                      </w:p>
                    </w:tc>
                  </w:tr>
                  <w:tr>
                    <w:trPr>
                      <w:trHeight w:val="320" w:hRule="atLeast"/>
                    </w:trPr>
                    <w:tc>
                      <w:tcPr>
                        <w:tcW w:w="638" w:type="dxa"/>
                      </w:tcPr>
                      <w:p>
                        <w:pPr>
                          <w:pStyle w:val="TableParagraph"/>
                          <w:spacing w:line="241" w:lineRule="exact" w:before="59"/>
                          <w:rPr>
                            <w:sz w:val="21"/>
                          </w:rPr>
                        </w:pPr>
                        <w:r>
                          <w:rPr>
                            <w:w w:val="110"/>
                            <w:sz w:val="21"/>
                          </w:rPr>
                          <w:t>3.137</w:t>
                        </w:r>
                      </w:p>
                    </w:tc>
                    <w:tc>
                      <w:tcPr>
                        <w:tcW w:w="8092" w:type="dxa"/>
                      </w:tcPr>
                      <w:p>
                        <w:pPr>
                          <w:pStyle w:val="TableParagraph"/>
                          <w:spacing w:line="241" w:lineRule="exact" w:before="59"/>
                          <w:ind w:left="155"/>
                          <w:rPr>
                            <w:sz w:val="21"/>
                          </w:rPr>
                        </w:pPr>
                        <w:r>
                          <w:rPr>
                            <w:sz w:val="21"/>
                          </w:rPr>
                          <w:t>Local councils may also take additional, ad hoc steps to help residents resolve their tree</w:t>
                        </w:r>
                      </w:p>
                    </w:tc>
                  </w:tr>
                  <w:tr>
                    <w:trPr>
                      <w:trHeight w:val="259" w:hRule="atLeast"/>
                    </w:trPr>
                    <w:tc>
                      <w:tcPr>
                        <w:tcW w:w="638" w:type="dxa"/>
                      </w:tcPr>
                      <w:p>
                        <w:pPr>
                          <w:pStyle w:val="TableParagraph"/>
                          <w:rPr>
                            <w:rFonts w:ascii="Times New Roman"/>
                            <w:sz w:val="16"/>
                          </w:rPr>
                        </w:pPr>
                      </w:p>
                    </w:tc>
                    <w:tc>
                      <w:tcPr>
                        <w:tcW w:w="8092" w:type="dxa"/>
                      </w:tcPr>
                      <w:p>
                        <w:pPr>
                          <w:pStyle w:val="TableParagraph"/>
                          <w:spacing w:line="240" w:lineRule="exact"/>
                          <w:ind w:left="155"/>
                          <w:rPr>
                            <w:sz w:val="21"/>
                          </w:rPr>
                        </w:pPr>
                        <w:r>
                          <w:rPr>
                            <w:sz w:val="21"/>
                          </w:rPr>
                          <w:t>dispute. For example, Baw Baw Shire Council stated that it may examine an arborist’s</w:t>
                        </w:r>
                      </w:p>
                    </w:tc>
                  </w:tr>
                  <w:tr>
                    <w:trPr>
                      <w:trHeight w:val="259" w:hRule="atLeast"/>
                    </w:trPr>
                    <w:tc>
                      <w:tcPr>
                        <w:tcW w:w="638" w:type="dxa"/>
                      </w:tcPr>
                      <w:p>
                        <w:pPr>
                          <w:pStyle w:val="TableParagraph"/>
                          <w:rPr>
                            <w:rFonts w:ascii="Times New Roman"/>
                            <w:sz w:val="16"/>
                          </w:rPr>
                        </w:pPr>
                      </w:p>
                    </w:tc>
                    <w:tc>
                      <w:tcPr>
                        <w:tcW w:w="8092" w:type="dxa"/>
                      </w:tcPr>
                      <w:p>
                        <w:pPr>
                          <w:pStyle w:val="TableParagraph"/>
                          <w:spacing w:line="240" w:lineRule="exact"/>
                          <w:ind w:left="155"/>
                          <w:rPr>
                            <w:sz w:val="21"/>
                          </w:rPr>
                        </w:pPr>
                        <w:r>
                          <w:rPr>
                            <w:sz w:val="21"/>
                          </w:rPr>
                          <w:t>report regarding certain claims and if the interference is substantial, it might try to assist</w:t>
                        </w:r>
                      </w:p>
                    </w:tc>
                  </w:tr>
                  <w:tr>
                    <w:trPr>
                      <w:trHeight w:val="523" w:hRule="atLeast"/>
                    </w:trPr>
                    <w:tc>
                      <w:tcPr>
                        <w:tcW w:w="638" w:type="dxa"/>
                        <w:tcBorders>
                          <w:bottom w:val="single" w:sz="8" w:space="0" w:color="C9D2CB"/>
                        </w:tcBorders>
                      </w:tcPr>
                      <w:p>
                        <w:pPr>
                          <w:pStyle w:val="TableParagraph"/>
                          <w:rPr>
                            <w:rFonts w:ascii="Times New Roman"/>
                            <w:sz w:val="16"/>
                          </w:rPr>
                        </w:pPr>
                      </w:p>
                    </w:tc>
                    <w:tc>
                      <w:tcPr>
                        <w:tcW w:w="8092" w:type="dxa"/>
                        <w:tcBorders>
                          <w:bottom w:val="single" w:sz="8" w:space="0" w:color="C9D2CB"/>
                        </w:tcBorders>
                      </w:tcPr>
                      <w:p>
                        <w:pPr>
                          <w:pStyle w:val="TableParagraph"/>
                          <w:spacing w:line="256" w:lineRule="exact"/>
                          <w:ind w:left="155"/>
                          <w:rPr>
                            <w:sz w:val="21"/>
                          </w:rPr>
                        </w:pPr>
                        <w:r>
                          <w:rPr>
                            <w:w w:val="105"/>
                            <w:sz w:val="21"/>
                          </w:rPr>
                          <w:t>or support the resident by informing them about the current health of the tree or its</w:t>
                        </w:r>
                      </w:p>
                    </w:tc>
                  </w:tr>
                  <w:tr>
                    <w:trPr>
                      <w:trHeight w:val="307" w:hRule="atLeast"/>
                    </w:trPr>
                    <w:tc>
                      <w:tcPr>
                        <w:tcW w:w="638" w:type="dxa"/>
                        <w:tcBorders>
                          <w:top w:val="single" w:sz="8" w:space="0" w:color="C9D2CB"/>
                        </w:tcBorders>
                      </w:tcPr>
                      <w:p>
                        <w:pPr>
                          <w:pStyle w:val="TableParagraph"/>
                          <w:spacing w:before="11"/>
                          <w:rPr>
                            <w:b/>
                            <w:sz w:val="11"/>
                          </w:rPr>
                        </w:pPr>
                      </w:p>
                      <w:p>
                        <w:pPr>
                          <w:pStyle w:val="TableParagraph"/>
                          <w:spacing w:line="141" w:lineRule="exact" w:before="1"/>
                          <w:rPr>
                            <w:sz w:val="13"/>
                          </w:rPr>
                        </w:pPr>
                        <w:r>
                          <w:rPr>
                            <w:w w:val="110"/>
                            <w:sz w:val="13"/>
                          </w:rPr>
                          <w:t>209</w:t>
                        </w:r>
                      </w:p>
                    </w:tc>
                    <w:tc>
                      <w:tcPr>
                        <w:tcW w:w="8092" w:type="dxa"/>
                        <w:tcBorders>
                          <w:top w:val="single" w:sz="8" w:space="0" w:color="C9D2CB"/>
                        </w:tcBorders>
                      </w:tcPr>
                      <w:p>
                        <w:pPr>
                          <w:pStyle w:val="TableParagraph"/>
                          <w:spacing w:before="11"/>
                          <w:rPr>
                            <w:b/>
                            <w:sz w:val="11"/>
                          </w:rPr>
                        </w:pPr>
                      </w:p>
                      <w:p>
                        <w:pPr>
                          <w:pStyle w:val="TableParagraph"/>
                          <w:spacing w:line="141" w:lineRule="exact" w:before="1"/>
                          <w:ind w:left="155"/>
                          <w:rPr>
                            <w:sz w:val="13"/>
                          </w:rPr>
                        </w:pPr>
                        <w:r>
                          <w:rPr>
                            <w:w w:val="105"/>
                            <w:sz w:val="13"/>
                          </w:rPr>
                          <w:t>Submission 22 (Name withheld).</w:t>
                        </w:r>
                      </w:p>
                    </w:tc>
                  </w:tr>
                  <w:tr>
                    <w:trPr>
                      <w:trHeight w:val="160" w:hRule="atLeast"/>
                    </w:trPr>
                    <w:tc>
                      <w:tcPr>
                        <w:tcW w:w="638" w:type="dxa"/>
                      </w:tcPr>
                      <w:p>
                        <w:pPr>
                          <w:pStyle w:val="TableParagraph"/>
                          <w:spacing w:line="140" w:lineRule="exact"/>
                          <w:rPr>
                            <w:sz w:val="13"/>
                          </w:rPr>
                        </w:pPr>
                        <w:r>
                          <w:rPr>
                            <w:w w:val="110"/>
                            <w:sz w:val="13"/>
                          </w:rPr>
                          <w:t>210</w:t>
                        </w:r>
                      </w:p>
                    </w:tc>
                    <w:tc>
                      <w:tcPr>
                        <w:tcW w:w="8092" w:type="dxa"/>
                      </w:tcPr>
                      <w:p>
                        <w:pPr>
                          <w:pStyle w:val="TableParagraph"/>
                          <w:spacing w:line="140" w:lineRule="exact"/>
                          <w:ind w:left="155"/>
                          <w:rPr>
                            <w:sz w:val="13"/>
                          </w:rPr>
                        </w:pPr>
                        <w:r>
                          <w:rPr>
                            <w:sz w:val="13"/>
                          </w:rPr>
                          <w:t>Ibid.</w:t>
                        </w:r>
                      </w:p>
                    </w:tc>
                  </w:tr>
                  <w:tr>
                    <w:trPr>
                      <w:trHeight w:val="160" w:hRule="atLeast"/>
                    </w:trPr>
                    <w:tc>
                      <w:tcPr>
                        <w:tcW w:w="638" w:type="dxa"/>
                      </w:tcPr>
                      <w:p>
                        <w:pPr>
                          <w:pStyle w:val="TableParagraph"/>
                          <w:spacing w:line="140" w:lineRule="exact"/>
                          <w:rPr>
                            <w:sz w:val="13"/>
                          </w:rPr>
                        </w:pPr>
                        <w:r>
                          <w:rPr>
                            <w:w w:val="110"/>
                            <w:sz w:val="13"/>
                          </w:rPr>
                          <w:t>211</w:t>
                        </w:r>
                      </w:p>
                    </w:tc>
                    <w:tc>
                      <w:tcPr>
                        <w:tcW w:w="8092" w:type="dxa"/>
                      </w:tcPr>
                      <w:p>
                        <w:pPr>
                          <w:pStyle w:val="TableParagraph"/>
                          <w:spacing w:line="140" w:lineRule="exact"/>
                          <w:ind w:left="155"/>
                          <w:rPr>
                            <w:sz w:val="13"/>
                          </w:rPr>
                        </w:pPr>
                        <w:r>
                          <w:rPr>
                            <w:w w:val="105"/>
                            <w:sz w:val="13"/>
                          </w:rPr>
                          <w:t>Submission 31 (Barwon Community Legal Service).</w:t>
                        </w:r>
                      </w:p>
                    </w:tc>
                  </w:tr>
                  <w:tr>
                    <w:trPr>
                      <w:trHeight w:val="160" w:hRule="atLeast"/>
                    </w:trPr>
                    <w:tc>
                      <w:tcPr>
                        <w:tcW w:w="638" w:type="dxa"/>
                      </w:tcPr>
                      <w:p>
                        <w:pPr>
                          <w:pStyle w:val="TableParagraph"/>
                          <w:spacing w:line="140" w:lineRule="exact"/>
                          <w:rPr>
                            <w:sz w:val="13"/>
                          </w:rPr>
                        </w:pPr>
                        <w:r>
                          <w:rPr>
                            <w:w w:val="110"/>
                            <w:sz w:val="13"/>
                          </w:rPr>
                          <w:t>212</w:t>
                        </w:r>
                      </w:p>
                    </w:tc>
                    <w:tc>
                      <w:tcPr>
                        <w:tcW w:w="8092" w:type="dxa"/>
                      </w:tcPr>
                      <w:p>
                        <w:pPr>
                          <w:pStyle w:val="TableParagraph"/>
                          <w:spacing w:line="140" w:lineRule="exact"/>
                          <w:ind w:left="155"/>
                          <w:rPr>
                            <w:sz w:val="13"/>
                          </w:rPr>
                        </w:pPr>
                        <w:r>
                          <w:rPr>
                            <w:w w:val="105"/>
                            <w:sz w:val="13"/>
                          </w:rPr>
                          <w:t>Submission 4 (Name withheld).</w:t>
                        </w:r>
                      </w:p>
                    </w:tc>
                  </w:tr>
                  <w:tr>
                    <w:trPr>
                      <w:trHeight w:val="160" w:hRule="atLeast"/>
                    </w:trPr>
                    <w:tc>
                      <w:tcPr>
                        <w:tcW w:w="638" w:type="dxa"/>
                      </w:tcPr>
                      <w:p>
                        <w:pPr>
                          <w:pStyle w:val="TableParagraph"/>
                          <w:spacing w:line="140" w:lineRule="exact"/>
                          <w:rPr>
                            <w:sz w:val="13"/>
                          </w:rPr>
                        </w:pPr>
                        <w:r>
                          <w:rPr>
                            <w:w w:val="110"/>
                            <w:sz w:val="13"/>
                          </w:rPr>
                          <w:t>213</w:t>
                        </w:r>
                      </w:p>
                    </w:tc>
                    <w:tc>
                      <w:tcPr>
                        <w:tcW w:w="8092" w:type="dxa"/>
                      </w:tcPr>
                      <w:p>
                        <w:pPr>
                          <w:pStyle w:val="TableParagraph"/>
                          <w:spacing w:line="140" w:lineRule="exact"/>
                          <w:ind w:left="155"/>
                          <w:rPr>
                            <w:sz w:val="13"/>
                          </w:rPr>
                        </w:pPr>
                        <w:r>
                          <w:rPr>
                            <w:w w:val="105"/>
                            <w:sz w:val="13"/>
                          </w:rPr>
                          <w:t>Submission 25 (City of Boorondara).</w:t>
                        </w:r>
                      </w:p>
                    </w:tc>
                  </w:tr>
                  <w:tr>
                    <w:trPr>
                      <w:trHeight w:val="160" w:hRule="atLeast"/>
                    </w:trPr>
                    <w:tc>
                      <w:tcPr>
                        <w:tcW w:w="638" w:type="dxa"/>
                      </w:tcPr>
                      <w:p>
                        <w:pPr>
                          <w:pStyle w:val="TableParagraph"/>
                          <w:spacing w:line="140" w:lineRule="exact"/>
                          <w:rPr>
                            <w:sz w:val="13"/>
                          </w:rPr>
                        </w:pPr>
                        <w:r>
                          <w:rPr>
                            <w:w w:val="110"/>
                            <w:sz w:val="13"/>
                          </w:rPr>
                          <w:t>214</w:t>
                        </w:r>
                      </w:p>
                    </w:tc>
                    <w:tc>
                      <w:tcPr>
                        <w:tcW w:w="8092" w:type="dxa"/>
                      </w:tcPr>
                      <w:p>
                        <w:pPr>
                          <w:pStyle w:val="TableParagraph"/>
                          <w:spacing w:line="140" w:lineRule="exact"/>
                          <w:ind w:left="155"/>
                          <w:rPr>
                            <w:sz w:val="13"/>
                          </w:rPr>
                        </w:pPr>
                        <w:r>
                          <w:rPr>
                            <w:w w:val="105"/>
                            <w:sz w:val="13"/>
                          </w:rPr>
                          <w:t>Submissions 9 (Dr Karen Smith), 28 (HVP Plantations), 30 (Law Institute of Victoria), 34 (Allan Day); Consultation 4 (Participants in</w:t>
                        </w:r>
                      </w:p>
                    </w:tc>
                  </w:tr>
                  <w:tr>
                    <w:trPr>
                      <w:trHeight w:val="320" w:hRule="atLeast"/>
                    </w:trPr>
                    <w:tc>
                      <w:tcPr>
                        <w:tcW w:w="638" w:type="dxa"/>
                      </w:tcPr>
                      <w:p>
                        <w:pPr>
                          <w:pStyle w:val="TableParagraph"/>
                          <w:rPr>
                            <w:b/>
                            <w:sz w:val="13"/>
                          </w:rPr>
                        </w:pPr>
                      </w:p>
                      <w:p>
                        <w:pPr>
                          <w:pStyle w:val="TableParagraph"/>
                          <w:spacing w:line="141" w:lineRule="exact"/>
                          <w:rPr>
                            <w:sz w:val="13"/>
                          </w:rPr>
                        </w:pPr>
                        <w:r>
                          <w:rPr>
                            <w:w w:val="110"/>
                            <w:sz w:val="13"/>
                          </w:rPr>
                          <w:t>215</w:t>
                        </w:r>
                      </w:p>
                    </w:tc>
                    <w:tc>
                      <w:tcPr>
                        <w:tcW w:w="8092" w:type="dxa"/>
                      </w:tcPr>
                      <w:p>
                        <w:pPr>
                          <w:pStyle w:val="TableParagraph"/>
                          <w:spacing w:line="158" w:lineRule="exact"/>
                          <w:ind w:left="155"/>
                          <w:rPr>
                            <w:sz w:val="13"/>
                          </w:rPr>
                        </w:pPr>
                        <w:r>
                          <w:rPr>
                            <w:w w:val="105"/>
                            <w:sz w:val="13"/>
                          </w:rPr>
                          <w:t>facilitated discussion at VTIO ArborCamp2018).</w:t>
                        </w:r>
                      </w:p>
                      <w:p>
                        <w:pPr>
                          <w:pStyle w:val="TableParagraph"/>
                          <w:spacing w:line="141" w:lineRule="exact" w:before="1"/>
                          <w:ind w:left="155"/>
                          <w:rPr>
                            <w:sz w:val="13"/>
                          </w:rPr>
                        </w:pPr>
                        <w:r>
                          <w:rPr>
                            <w:w w:val="105"/>
                            <w:sz w:val="13"/>
                          </w:rPr>
                          <w:t>Information provided by DSCV as part of a data request from the Commission, August 2017.</w:t>
                        </w:r>
                      </w:p>
                    </w:tc>
                  </w:tr>
                  <w:tr>
                    <w:trPr>
                      <w:trHeight w:val="640" w:hRule="atLeast"/>
                    </w:trPr>
                    <w:tc>
                      <w:tcPr>
                        <w:tcW w:w="638" w:type="dxa"/>
                      </w:tcPr>
                      <w:p>
                        <w:pPr>
                          <w:pStyle w:val="TableParagraph"/>
                          <w:spacing w:line="158" w:lineRule="exact"/>
                          <w:rPr>
                            <w:sz w:val="13"/>
                          </w:rPr>
                        </w:pPr>
                        <w:r>
                          <w:rPr>
                            <w:spacing w:val="-3"/>
                            <w:w w:val="110"/>
                            <w:sz w:val="13"/>
                          </w:rPr>
                          <w:t>216</w:t>
                        </w:r>
                      </w:p>
                      <w:p>
                        <w:pPr>
                          <w:pStyle w:val="TableParagraph"/>
                          <w:rPr>
                            <w:b/>
                            <w:sz w:val="14"/>
                          </w:rPr>
                        </w:pPr>
                      </w:p>
                      <w:p>
                        <w:pPr>
                          <w:pStyle w:val="TableParagraph"/>
                          <w:spacing w:before="4"/>
                          <w:rPr>
                            <w:b/>
                            <w:sz w:val="12"/>
                          </w:rPr>
                        </w:pPr>
                      </w:p>
                      <w:p>
                        <w:pPr>
                          <w:pStyle w:val="TableParagraph"/>
                          <w:spacing w:line="141" w:lineRule="exact"/>
                          <w:rPr>
                            <w:sz w:val="13"/>
                          </w:rPr>
                        </w:pPr>
                        <w:r>
                          <w:rPr>
                            <w:spacing w:val="-6"/>
                            <w:w w:val="110"/>
                            <w:sz w:val="13"/>
                          </w:rPr>
                          <w:t>217</w:t>
                        </w:r>
                      </w:p>
                    </w:tc>
                    <w:tc>
                      <w:tcPr>
                        <w:tcW w:w="8092" w:type="dxa"/>
                      </w:tcPr>
                      <w:p>
                        <w:pPr>
                          <w:pStyle w:val="TableParagraph"/>
                          <w:ind w:left="155" w:right="213"/>
                          <w:rPr>
                            <w:sz w:val="13"/>
                          </w:rPr>
                        </w:pPr>
                        <w:r>
                          <w:rPr>
                            <w:w w:val="105"/>
                            <w:sz w:val="13"/>
                          </w:rPr>
                          <w:t>Submissions 31 (Barwon Community Legal Service), 34 (Allan Day); Consultation 1 (Aldo Taranto). Most of Barwon Community Legal Service’s clients had contacted their local council before seeking assistance from the Legal Service: Submission 31 (Barwon Community Legal Service).</w:t>
                        </w:r>
                      </w:p>
                      <w:p>
                        <w:pPr>
                          <w:pStyle w:val="TableParagraph"/>
                          <w:spacing w:line="141" w:lineRule="exact" w:before="3"/>
                          <w:ind w:left="155"/>
                          <w:rPr>
                            <w:sz w:val="13"/>
                          </w:rPr>
                        </w:pPr>
                        <w:r>
                          <w:rPr>
                            <w:w w:val="105"/>
                            <w:sz w:val="13"/>
                          </w:rPr>
                          <w:t>Information provided by a community member to the Commission, 1 March 2018.</w:t>
                        </w:r>
                      </w:p>
                    </w:tc>
                  </w:tr>
                  <w:tr>
                    <w:trPr>
                      <w:trHeight w:val="160" w:hRule="atLeast"/>
                    </w:trPr>
                    <w:tc>
                      <w:tcPr>
                        <w:tcW w:w="638" w:type="dxa"/>
                      </w:tcPr>
                      <w:p>
                        <w:pPr>
                          <w:pStyle w:val="TableParagraph"/>
                          <w:spacing w:line="140" w:lineRule="exact"/>
                          <w:rPr>
                            <w:sz w:val="13"/>
                          </w:rPr>
                        </w:pPr>
                        <w:r>
                          <w:rPr>
                            <w:w w:val="110"/>
                            <w:sz w:val="13"/>
                          </w:rPr>
                          <w:t>218</w:t>
                        </w:r>
                      </w:p>
                    </w:tc>
                    <w:tc>
                      <w:tcPr>
                        <w:tcW w:w="8092" w:type="dxa"/>
                      </w:tcPr>
                      <w:p>
                        <w:pPr>
                          <w:pStyle w:val="TableParagraph"/>
                          <w:spacing w:line="140" w:lineRule="exact"/>
                          <w:ind w:left="155"/>
                          <w:rPr>
                            <w:sz w:val="13"/>
                          </w:rPr>
                        </w:pPr>
                        <w:r>
                          <w:rPr>
                            <w:w w:val="105"/>
                            <w:sz w:val="13"/>
                          </w:rPr>
                          <w:t>Submission 9 (Dr Karen Smith).</w:t>
                        </w:r>
                      </w:p>
                    </w:tc>
                  </w:tr>
                  <w:tr>
                    <w:trPr>
                      <w:trHeight w:val="640" w:hRule="atLeast"/>
                    </w:trPr>
                    <w:tc>
                      <w:tcPr>
                        <w:tcW w:w="638" w:type="dxa"/>
                      </w:tcPr>
                      <w:p>
                        <w:pPr>
                          <w:pStyle w:val="TableParagraph"/>
                          <w:spacing w:line="158" w:lineRule="exact"/>
                          <w:rPr>
                            <w:sz w:val="13"/>
                          </w:rPr>
                        </w:pPr>
                        <w:r>
                          <w:rPr>
                            <w:spacing w:val="-5"/>
                            <w:w w:val="110"/>
                            <w:sz w:val="13"/>
                          </w:rPr>
                          <w:t>219</w:t>
                        </w:r>
                      </w:p>
                      <w:p>
                        <w:pPr>
                          <w:pStyle w:val="TableParagraph"/>
                          <w:rPr>
                            <w:b/>
                            <w:sz w:val="14"/>
                          </w:rPr>
                        </w:pPr>
                      </w:p>
                      <w:p>
                        <w:pPr>
                          <w:pStyle w:val="TableParagraph"/>
                          <w:spacing w:before="4"/>
                          <w:rPr>
                            <w:b/>
                            <w:sz w:val="12"/>
                          </w:rPr>
                        </w:pPr>
                      </w:p>
                      <w:p>
                        <w:pPr>
                          <w:pStyle w:val="TableParagraph"/>
                          <w:spacing w:line="141" w:lineRule="exact"/>
                          <w:rPr>
                            <w:sz w:val="13"/>
                          </w:rPr>
                        </w:pPr>
                        <w:r>
                          <w:rPr>
                            <w:w w:val="110"/>
                            <w:sz w:val="13"/>
                          </w:rPr>
                          <w:t>220</w:t>
                        </w:r>
                      </w:p>
                    </w:tc>
                    <w:tc>
                      <w:tcPr>
                        <w:tcW w:w="8092" w:type="dxa"/>
                      </w:tcPr>
                      <w:p>
                        <w:pPr>
                          <w:pStyle w:val="TableParagraph"/>
                          <w:ind w:left="155" w:right="213"/>
                          <w:rPr>
                            <w:sz w:val="13"/>
                          </w:rPr>
                        </w:pPr>
                        <w:r>
                          <w:rPr>
                            <w:w w:val="105"/>
                            <w:sz w:val="13"/>
                          </w:rPr>
                          <w:t>Submissions 4 (Name withheld), 8 (Victoria Thieberger), 17 (Name withheld), 25 (City of Boorondara), 31 (Barwon Community Legal Service), 34 (Allan Day), 36 (Monique Onezime); Consultations 1 (Aldo Taranto), 7 (Dispute Settlement Centre of Victoria), 10 (Baw Baw Shire Council), 12 (City of Port Phillip), 14 (Robert Mineo), 9 (Nillumbik Shire Council); Survey Respondents 76; 114.</w:t>
                        </w:r>
                      </w:p>
                      <w:p>
                        <w:pPr>
                          <w:pStyle w:val="TableParagraph"/>
                          <w:spacing w:line="141" w:lineRule="exact" w:before="3"/>
                          <w:ind w:left="155"/>
                          <w:rPr>
                            <w:sz w:val="13"/>
                          </w:rPr>
                        </w:pPr>
                        <w:r>
                          <w:rPr>
                            <w:w w:val="105"/>
                            <w:sz w:val="13"/>
                          </w:rPr>
                          <w:t>Consultation 8 (City of Boroondara).</w:t>
                        </w:r>
                      </w:p>
                    </w:tc>
                  </w:tr>
                  <w:tr>
                    <w:trPr>
                      <w:trHeight w:val="160" w:hRule="atLeast"/>
                    </w:trPr>
                    <w:tc>
                      <w:tcPr>
                        <w:tcW w:w="638" w:type="dxa"/>
                      </w:tcPr>
                      <w:p>
                        <w:pPr>
                          <w:pStyle w:val="TableParagraph"/>
                          <w:spacing w:line="140" w:lineRule="exact"/>
                          <w:rPr>
                            <w:sz w:val="13"/>
                          </w:rPr>
                        </w:pPr>
                        <w:r>
                          <w:rPr>
                            <w:w w:val="110"/>
                            <w:sz w:val="13"/>
                          </w:rPr>
                          <w:t>221</w:t>
                        </w:r>
                      </w:p>
                    </w:tc>
                    <w:tc>
                      <w:tcPr>
                        <w:tcW w:w="8092" w:type="dxa"/>
                      </w:tcPr>
                      <w:p>
                        <w:pPr>
                          <w:pStyle w:val="TableParagraph"/>
                          <w:spacing w:line="140" w:lineRule="exact"/>
                          <w:ind w:left="155"/>
                          <w:rPr>
                            <w:sz w:val="13"/>
                          </w:rPr>
                        </w:pPr>
                        <w:r>
                          <w:rPr>
                            <w:w w:val="105"/>
                            <w:sz w:val="13"/>
                          </w:rPr>
                          <w:t>Consultations 8 (City of Boroondara), 9 (Nillumbik Shire Council), 10 (Baw Baw Shire Council), 12 (City of Port Phillip).</w:t>
                        </w:r>
                      </w:p>
                    </w:tc>
                  </w:tr>
                  <w:tr>
                    <w:trPr>
                      <w:trHeight w:val="315" w:hRule="atLeast"/>
                    </w:trPr>
                    <w:tc>
                      <w:tcPr>
                        <w:tcW w:w="638" w:type="dxa"/>
                      </w:tcPr>
                      <w:p>
                        <w:pPr>
                          <w:pStyle w:val="TableParagraph"/>
                          <w:spacing w:line="158" w:lineRule="exact"/>
                          <w:rPr>
                            <w:sz w:val="13"/>
                          </w:rPr>
                        </w:pPr>
                        <w:r>
                          <w:rPr>
                            <w:w w:val="110"/>
                            <w:sz w:val="13"/>
                          </w:rPr>
                          <w:t>222</w:t>
                        </w:r>
                      </w:p>
                    </w:tc>
                    <w:tc>
                      <w:tcPr>
                        <w:tcW w:w="8092" w:type="dxa"/>
                      </w:tcPr>
                      <w:p>
                        <w:pPr>
                          <w:pStyle w:val="TableParagraph"/>
                          <w:spacing w:line="158" w:lineRule="exact"/>
                          <w:ind w:left="156"/>
                          <w:rPr>
                            <w:sz w:val="13"/>
                          </w:rPr>
                        </w:pPr>
                        <w:r>
                          <w:rPr>
                            <w:w w:val="105"/>
                            <w:sz w:val="13"/>
                          </w:rPr>
                          <w:t>Consultations 7 (Dispute Settlement Centre of Victoria), 8 (City of Boroondara), 9 (Nillumbik Shire Council), 10 (Baw Baw Shire Council),</w:t>
                        </w:r>
                      </w:p>
                      <w:p>
                        <w:pPr>
                          <w:pStyle w:val="TableParagraph"/>
                          <w:spacing w:line="136" w:lineRule="exact" w:before="1"/>
                          <w:ind w:left="156"/>
                          <w:rPr>
                            <w:sz w:val="13"/>
                          </w:rPr>
                        </w:pPr>
                        <w:r>
                          <w:rPr>
                            <w:sz w:val="13"/>
                          </w:rPr>
                          <w:t>12 (City of Port Phillip).</w:t>
                        </w:r>
                      </w:p>
                    </w:tc>
                  </w:tr>
                </w:tbl>
                <w:p>
                  <w:pPr>
                    <w:pStyle w:val="BodyText"/>
                  </w:pPr>
                </w:p>
              </w:txbxContent>
            </v:textbox>
            <w10:wrap type="none"/>
          </v:shape>
        </w:pict>
      </w:r>
      <w:r>
        <w:rPr>
          <w:w w:val="105"/>
          <w:sz w:val="20"/>
        </w:rPr>
        <w:t>[there] needs to be a </w:t>
      </w:r>
      <w:r>
        <w:rPr>
          <w:spacing w:val="-3"/>
          <w:w w:val="105"/>
          <w:sz w:val="20"/>
        </w:rPr>
        <w:t>centralised </w:t>
      </w:r>
      <w:r>
        <w:rPr>
          <w:w w:val="105"/>
          <w:sz w:val="20"/>
        </w:rPr>
        <w:t>place for people to go for </w:t>
      </w:r>
      <w:r>
        <w:rPr>
          <w:spacing w:val="-3"/>
          <w:w w:val="105"/>
          <w:sz w:val="20"/>
        </w:rPr>
        <w:t>information </w:t>
      </w:r>
      <w:r>
        <w:rPr>
          <w:w w:val="105"/>
          <w:sz w:val="20"/>
        </w:rPr>
        <w:t>regarding trees and the law before they get </w:t>
      </w:r>
      <w:r>
        <w:rPr>
          <w:spacing w:val="-3"/>
          <w:w w:val="105"/>
          <w:sz w:val="20"/>
        </w:rPr>
        <w:t>into </w:t>
      </w:r>
      <w:r>
        <w:rPr>
          <w:w w:val="105"/>
          <w:sz w:val="20"/>
        </w:rPr>
        <w:t>disputes </w:t>
      </w:r>
      <w:r>
        <w:rPr>
          <w:w w:val="115"/>
          <w:sz w:val="20"/>
        </w:rPr>
        <w:t>… </w:t>
      </w:r>
      <w:r>
        <w:rPr>
          <w:spacing w:val="2"/>
          <w:w w:val="105"/>
          <w:sz w:val="20"/>
        </w:rPr>
        <w:t>As </w:t>
      </w:r>
      <w:r>
        <w:rPr>
          <w:w w:val="105"/>
          <w:sz w:val="20"/>
        </w:rPr>
        <w:t>well as a place to access </w:t>
      </w:r>
      <w:r>
        <w:rPr>
          <w:spacing w:val="-3"/>
          <w:w w:val="105"/>
          <w:sz w:val="20"/>
        </w:rPr>
        <w:t>information </w:t>
      </w:r>
      <w:r>
        <w:rPr>
          <w:w w:val="105"/>
          <w:sz w:val="20"/>
        </w:rPr>
        <w:t>about their rights</w:t>
      </w:r>
      <w:r>
        <w:rPr>
          <w:w w:val="105"/>
          <w:position w:val="7"/>
          <w:sz w:val="11"/>
        </w:rPr>
        <w:t>218</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30"/>
        </w:rPr>
      </w:pPr>
    </w:p>
    <w:p>
      <w:pPr>
        <w:spacing w:before="1"/>
        <w:ind w:left="720" w:right="0" w:firstLine="0"/>
        <w:jc w:val="left"/>
        <w:rPr>
          <w:b/>
          <w:sz w:val="24"/>
        </w:rPr>
      </w:pPr>
      <w:r>
        <w:rPr>
          <w:b/>
          <w:color w:val="658464"/>
          <w:w w:val="110"/>
          <w:sz w:val="24"/>
        </w:rPr>
        <w:t>46</w:t>
      </w:r>
    </w:p>
    <w:p>
      <w:pPr>
        <w:spacing w:after="0"/>
        <w:jc w:val="left"/>
        <w:rPr>
          <w:sz w:val="24"/>
        </w:rPr>
        <w:sectPr>
          <w:pgSz w:w="11910" w:h="16840"/>
          <w:pgMar w:header="546" w:footer="0" w:top="1560" w:bottom="280" w:left="0" w:right="0"/>
        </w:sectPr>
      </w:pPr>
    </w:p>
    <w:p>
      <w:pPr>
        <w:pStyle w:val="BodyText"/>
        <w:rPr>
          <w:b/>
          <w:sz w:val="20"/>
        </w:rPr>
      </w:pPr>
    </w:p>
    <w:p>
      <w:pPr>
        <w:pStyle w:val="BodyText"/>
        <w:rPr>
          <w:b/>
          <w:sz w:val="20"/>
        </w:rPr>
      </w:pPr>
    </w:p>
    <w:p>
      <w:pPr>
        <w:pStyle w:val="BodyText"/>
        <w:rPr>
          <w:b/>
          <w:sz w:val="20"/>
        </w:rPr>
      </w:pPr>
    </w:p>
    <w:p>
      <w:pPr>
        <w:pStyle w:val="BodyText"/>
        <w:spacing w:line="242" w:lineRule="auto" w:before="92"/>
        <w:ind w:left="2381" w:right="1636"/>
        <w:rPr>
          <w:sz w:val="12"/>
        </w:rPr>
      </w:pPr>
      <w:bookmarkStart w:name="_bookmark34" w:id="86"/>
      <w:bookmarkEnd w:id="86"/>
      <w:r>
        <w:rPr/>
      </w:r>
      <w:r>
        <w:rPr/>
        <w:t>environmental and amenity benefits. It may also suggest other ways to resolve the matter (for example, moving a sandpit instead of removing the branch that overhangs it).</w:t>
      </w:r>
      <w:r>
        <w:rPr>
          <w:position w:val="7"/>
          <w:sz w:val="12"/>
        </w:rPr>
        <w:t>223</w:t>
      </w:r>
    </w:p>
    <w:p>
      <w:pPr>
        <w:pStyle w:val="ListParagraph"/>
        <w:numPr>
          <w:ilvl w:val="0"/>
          <w:numId w:val="35"/>
        </w:numPr>
        <w:tabs>
          <w:tab w:pos="2380" w:val="left" w:leader="none"/>
          <w:tab w:pos="2382" w:val="left" w:leader="none"/>
        </w:tabs>
        <w:spacing w:line="242" w:lineRule="auto" w:before="122" w:after="0"/>
        <w:ind w:left="2381" w:right="1638" w:hanging="794"/>
        <w:jc w:val="left"/>
        <w:rPr>
          <w:sz w:val="12"/>
        </w:rPr>
      </w:pPr>
      <w:r>
        <w:rPr>
          <w:sz w:val="21"/>
        </w:rPr>
        <w:t>The </w:t>
      </w:r>
      <w:r>
        <w:rPr>
          <w:spacing w:val="-3"/>
          <w:sz w:val="21"/>
        </w:rPr>
        <w:t>City </w:t>
      </w:r>
      <w:r>
        <w:rPr>
          <w:sz w:val="21"/>
        </w:rPr>
        <w:t>of Port </w:t>
      </w:r>
      <w:r>
        <w:rPr>
          <w:spacing w:val="-3"/>
          <w:sz w:val="21"/>
        </w:rPr>
        <w:t>Phillip </w:t>
      </w:r>
      <w:r>
        <w:rPr>
          <w:sz w:val="21"/>
        </w:rPr>
        <w:t>also stated </w:t>
      </w:r>
      <w:r>
        <w:rPr>
          <w:spacing w:val="-3"/>
          <w:sz w:val="21"/>
        </w:rPr>
        <w:t>that </w:t>
      </w:r>
      <w:r>
        <w:rPr>
          <w:sz w:val="21"/>
        </w:rPr>
        <w:t>it </w:t>
      </w:r>
      <w:r>
        <w:rPr>
          <w:spacing w:val="-3"/>
          <w:sz w:val="21"/>
        </w:rPr>
        <w:t>may </w:t>
      </w:r>
      <w:r>
        <w:rPr>
          <w:sz w:val="21"/>
        </w:rPr>
        <w:t>advise residents </w:t>
      </w:r>
      <w:r>
        <w:rPr>
          <w:spacing w:val="-3"/>
          <w:sz w:val="21"/>
        </w:rPr>
        <w:t>to </w:t>
      </w:r>
      <w:r>
        <w:rPr>
          <w:sz w:val="21"/>
        </w:rPr>
        <w:t>seek independent </w:t>
      </w:r>
      <w:r>
        <w:rPr>
          <w:spacing w:val="-3"/>
          <w:sz w:val="21"/>
        </w:rPr>
        <w:t>arboricultural advice. </w:t>
      </w:r>
      <w:r>
        <w:rPr>
          <w:sz w:val="21"/>
        </w:rPr>
        <w:t>Port </w:t>
      </w:r>
      <w:r>
        <w:rPr>
          <w:spacing w:val="-3"/>
          <w:sz w:val="21"/>
        </w:rPr>
        <w:t>Phillip </w:t>
      </w:r>
      <w:r>
        <w:rPr>
          <w:sz w:val="21"/>
        </w:rPr>
        <w:t>stated it </w:t>
      </w:r>
      <w:r>
        <w:rPr>
          <w:spacing w:val="-3"/>
          <w:sz w:val="21"/>
        </w:rPr>
        <w:t>may  </w:t>
      </w:r>
      <w:r>
        <w:rPr>
          <w:sz w:val="21"/>
        </w:rPr>
        <w:t>become more </w:t>
      </w:r>
      <w:r>
        <w:rPr>
          <w:spacing w:val="-3"/>
          <w:sz w:val="21"/>
        </w:rPr>
        <w:t>involved</w:t>
      </w:r>
      <w:r>
        <w:rPr>
          <w:spacing w:val="41"/>
          <w:sz w:val="21"/>
        </w:rPr>
        <w:t> </w:t>
      </w:r>
      <w:r>
        <w:rPr>
          <w:sz w:val="21"/>
        </w:rPr>
        <w:t>in a tree </w:t>
      </w:r>
      <w:r>
        <w:rPr>
          <w:spacing w:val="-3"/>
          <w:sz w:val="21"/>
        </w:rPr>
        <w:t>dispute </w:t>
      </w:r>
      <w:r>
        <w:rPr>
          <w:sz w:val="21"/>
        </w:rPr>
        <w:t>where damage is caused by a </w:t>
      </w:r>
      <w:r>
        <w:rPr>
          <w:spacing w:val="-3"/>
          <w:sz w:val="21"/>
        </w:rPr>
        <w:t>third </w:t>
      </w:r>
      <w:r>
        <w:rPr>
          <w:sz w:val="21"/>
        </w:rPr>
        <w:t>party </w:t>
      </w:r>
      <w:r>
        <w:rPr>
          <w:spacing w:val="-3"/>
          <w:sz w:val="21"/>
        </w:rPr>
        <w:t>to </w:t>
      </w:r>
      <w:r>
        <w:rPr>
          <w:sz w:val="21"/>
        </w:rPr>
        <w:t>a </w:t>
      </w:r>
      <w:r>
        <w:rPr>
          <w:spacing w:val="-3"/>
          <w:sz w:val="21"/>
        </w:rPr>
        <w:t>resident’s </w:t>
      </w:r>
      <w:r>
        <w:rPr>
          <w:sz w:val="21"/>
        </w:rPr>
        <w:t>tree </w:t>
      </w:r>
      <w:r>
        <w:rPr>
          <w:spacing w:val="-3"/>
          <w:sz w:val="21"/>
        </w:rPr>
        <w:t>(for example, </w:t>
      </w:r>
      <w:r>
        <w:rPr>
          <w:sz w:val="21"/>
        </w:rPr>
        <w:t>a plumber who </w:t>
      </w:r>
      <w:r>
        <w:rPr>
          <w:spacing w:val="-3"/>
          <w:sz w:val="21"/>
        </w:rPr>
        <w:t>may</w:t>
      </w:r>
      <w:r>
        <w:rPr>
          <w:spacing w:val="9"/>
          <w:sz w:val="21"/>
        </w:rPr>
        <w:t> </w:t>
      </w:r>
      <w:r>
        <w:rPr>
          <w:sz w:val="21"/>
        </w:rPr>
        <w:t>be</w:t>
      </w:r>
      <w:r>
        <w:rPr>
          <w:spacing w:val="9"/>
          <w:sz w:val="21"/>
        </w:rPr>
        <w:t> </w:t>
      </w:r>
      <w:r>
        <w:rPr>
          <w:spacing w:val="-3"/>
          <w:sz w:val="21"/>
        </w:rPr>
        <w:t>damaging</w:t>
      </w:r>
      <w:r>
        <w:rPr>
          <w:spacing w:val="10"/>
          <w:sz w:val="21"/>
        </w:rPr>
        <w:t> </w:t>
      </w:r>
      <w:r>
        <w:rPr>
          <w:sz w:val="21"/>
        </w:rPr>
        <w:t>the</w:t>
      </w:r>
      <w:r>
        <w:rPr>
          <w:spacing w:val="9"/>
          <w:sz w:val="21"/>
        </w:rPr>
        <w:t> </w:t>
      </w:r>
      <w:r>
        <w:rPr>
          <w:sz w:val="21"/>
        </w:rPr>
        <w:t>roots</w:t>
      </w:r>
      <w:r>
        <w:rPr>
          <w:spacing w:val="9"/>
          <w:sz w:val="21"/>
        </w:rPr>
        <w:t> </w:t>
      </w:r>
      <w:r>
        <w:rPr>
          <w:sz w:val="21"/>
        </w:rPr>
        <w:t>of</w:t>
      </w:r>
      <w:r>
        <w:rPr>
          <w:spacing w:val="10"/>
          <w:sz w:val="21"/>
        </w:rPr>
        <w:t> </w:t>
      </w:r>
      <w:r>
        <w:rPr>
          <w:sz w:val="21"/>
        </w:rPr>
        <w:t>a</w:t>
      </w:r>
      <w:r>
        <w:rPr>
          <w:spacing w:val="9"/>
          <w:sz w:val="21"/>
        </w:rPr>
        <w:t> </w:t>
      </w:r>
      <w:r>
        <w:rPr>
          <w:sz w:val="21"/>
        </w:rPr>
        <w:t>tree).</w:t>
      </w:r>
      <w:r>
        <w:rPr>
          <w:position w:val="7"/>
          <w:sz w:val="12"/>
        </w:rPr>
        <w:t>224</w:t>
      </w:r>
    </w:p>
    <w:p>
      <w:pPr>
        <w:pStyle w:val="ListParagraph"/>
        <w:numPr>
          <w:ilvl w:val="0"/>
          <w:numId w:val="35"/>
        </w:numPr>
        <w:tabs>
          <w:tab w:pos="2381" w:val="left" w:leader="none"/>
          <w:tab w:pos="2382" w:val="left" w:leader="none"/>
        </w:tabs>
        <w:spacing w:line="242" w:lineRule="auto" w:before="125" w:after="0"/>
        <w:ind w:left="2381" w:right="1591" w:hanging="794"/>
        <w:jc w:val="left"/>
        <w:rPr>
          <w:sz w:val="21"/>
        </w:rPr>
      </w:pPr>
      <w:r>
        <w:rPr>
          <w:sz w:val="21"/>
        </w:rPr>
        <w:t>DSCV reported </w:t>
      </w:r>
      <w:r>
        <w:rPr>
          <w:spacing w:val="-3"/>
          <w:sz w:val="21"/>
        </w:rPr>
        <w:t>that </w:t>
      </w:r>
      <w:r>
        <w:rPr>
          <w:sz w:val="21"/>
        </w:rPr>
        <w:t>in some </w:t>
      </w:r>
      <w:r>
        <w:rPr>
          <w:spacing w:val="-2"/>
          <w:sz w:val="21"/>
        </w:rPr>
        <w:t>instances, </w:t>
      </w:r>
      <w:r>
        <w:rPr>
          <w:sz w:val="21"/>
        </w:rPr>
        <w:t>they </w:t>
      </w:r>
      <w:r>
        <w:rPr>
          <w:spacing w:val="-3"/>
          <w:sz w:val="21"/>
        </w:rPr>
        <w:t>may </w:t>
      </w:r>
      <w:r>
        <w:rPr>
          <w:sz w:val="21"/>
        </w:rPr>
        <w:t>need </w:t>
      </w:r>
      <w:r>
        <w:rPr>
          <w:spacing w:val="-3"/>
          <w:sz w:val="21"/>
        </w:rPr>
        <w:t>to refer </w:t>
      </w:r>
      <w:r>
        <w:rPr>
          <w:sz w:val="21"/>
        </w:rPr>
        <w:t>clients back </w:t>
      </w:r>
      <w:r>
        <w:rPr>
          <w:spacing w:val="-3"/>
          <w:sz w:val="21"/>
        </w:rPr>
        <w:t>to </w:t>
      </w:r>
      <w:r>
        <w:rPr>
          <w:sz w:val="21"/>
        </w:rPr>
        <w:t>the </w:t>
      </w:r>
      <w:r>
        <w:rPr>
          <w:spacing w:val="-3"/>
          <w:sz w:val="21"/>
        </w:rPr>
        <w:t>referring </w:t>
      </w:r>
      <w:r>
        <w:rPr>
          <w:sz w:val="21"/>
        </w:rPr>
        <w:t>local </w:t>
      </w:r>
      <w:r>
        <w:rPr>
          <w:spacing w:val="-3"/>
          <w:sz w:val="21"/>
        </w:rPr>
        <w:t>council </w:t>
      </w:r>
      <w:r>
        <w:rPr>
          <w:sz w:val="21"/>
        </w:rPr>
        <w:t>when it is </w:t>
      </w:r>
      <w:r>
        <w:rPr>
          <w:spacing w:val="-3"/>
          <w:sz w:val="21"/>
        </w:rPr>
        <w:t>discovered that </w:t>
      </w:r>
      <w:r>
        <w:rPr>
          <w:sz w:val="21"/>
        </w:rPr>
        <w:t>the tree subject </w:t>
      </w:r>
      <w:r>
        <w:rPr>
          <w:spacing w:val="-3"/>
          <w:sz w:val="21"/>
        </w:rPr>
        <w:t>to </w:t>
      </w:r>
      <w:r>
        <w:rPr>
          <w:sz w:val="21"/>
        </w:rPr>
        <w:t>the </w:t>
      </w:r>
      <w:r>
        <w:rPr>
          <w:spacing w:val="-3"/>
          <w:sz w:val="21"/>
        </w:rPr>
        <w:t>dispute </w:t>
      </w:r>
      <w:r>
        <w:rPr>
          <w:sz w:val="21"/>
        </w:rPr>
        <w:t>is protected</w:t>
      </w:r>
      <w:r>
        <w:rPr>
          <w:spacing w:val="-21"/>
          <w:sz w:val="21"/>
        </w:rPr>
        <w:t> </w:t>
      </w:r>
      <w:r>
        <w:rPr>
          <w:sz w:val="21"/>
        </w:rPr>
        <w:t>by</w:t>
      </w:r>
    </w:p>
    <w:p>
      <w:pPr>
        <w:pStyle w:val="BodyText"/>
        <w:spacing w:line="242" w:lineRule="auto" w:before="2"/>
        <w:ind w:left="2381" w:right="1967"/>
        <w:jc w:val="both"/>
        <w:rPr>
          <w:sz w:val="12"/>
        </w:rPr>
      </w:pPr>
      <w:r>
        <w:rPr>
          <w:w w:val="105"/>
        </w:rPr>
        <w:t>a local law or </w:t>
      </w:r>
      <w:r>
        <w:rPr>
          <w:spacing w:val="-3"/>
          <w:w w:val="105"/>
        </w:rPr>
        <w:t>planning </w:t>
      </w:r>
      <w:r>
        <w:rPr>
          <w:w w:val="105"/>
        </w:rPr>
        <w:t>scheme.</w:t>
      </w:r>
      <w:r>
        <w:rPr>
          <w:w w:val="105"/>
          <w:position w:val="7"/>
          <w:sz w:val="12"/>
        </w:rPr>
        <w:t>225 </w:t>
      </w:r>
      <w:r>
        <w:rPr>
          <w:spacing w:val="-4"/>
          <w:w w:val="105"/>
        </w:rPr>
        <w:t>Moreover, </w:t>
      </w:r>
      <w:r>
        <w:rPr>
          <w:spacing w:val="-3"/>
          <w:w w:val="105"/>
        </w:rPr>
        <w:t>although </w:t>
      </w:r>
      <w:r>
        <w:rPr>
          <w:w w:val="105"/>
        </w:rPr>
        <w:t>DSCV reported </w:t>
      </w:r>
      <w:r>
        <w:rPr>
          <w:spacing w:val="-3"/>
          <w:w w:val="105"/>
        </w:rPr>
        <w:t>that </w:t>
      </w:r>
      <w:r>
        <w:rPr>
          <w:w w:val="105"/>
        </w:rPr>
        <w:t>it received </w:t>
      </w:r>
      <w:r>
        <w:rPr>
          <w:spacing w:val="-3"/>
          <w:w w:val="105"/>
        </w:rPr>
        <w:t>referrals</w:t>
      </w:r>
      <w:r>
        <w:rPr>
          <w:spacing w:val="-13"/>
          <w:w w:val="105"/>
        </w:rPr>
        <w:t> </w:t>
      </w:r>
      <w:r>
        <w:rPr>
          <w:spacing w:val="-3"/>
          <w:w w:val="105"/>
        </w:rPr>
        <w:t>from</w:t>
      </w:r>
      <w:r>
        <w:rPr>
          <w:spacing w:val="-12"/>
          <w:w w:val="105"/>
        </w:rPr>
        <w:t> </w:t>
      </w:r>
      <w:r>
        <w:rPr>
          <w:spacing w:val="-3"/>
          <w:w w:val="105"/>
        </w:rPr>
        <w:t>private</w:t>
      </w:r>
      <w:r>
        <w:rPr>
          <w:spacing w:val="-12"/>
          <w:w w:val="105"/>
        </w:rPr>
        <w:t> </w:t>
      </w:r>
      <w:r>
        <w:rPr>
          <w:w w:val="105"/>
        </w:rPr>
        <w:t>arborists</w:t>
      </w:r>
      <w:r>
        <w:rPr>
          <w:spacing w:val="-12"/>
          <w:w w:val="105"/>
        </w:rPr>
        <w:t> </w:t>
      </w:r>
      <w:r>
        <w:rPr>
          <w:spacing w:val="-3"/>
          <w:w w:val="105"/>
        </w:rPr>
        <w:t>from</w:t>
      </w:r>
      <w:r>
        <w:rPr>
          <w:spacing w:val="-12"/>
          <w:w w:val="105"/>
        </w:rPr>
        <w:t> </w:t>
      </w:r>
      <w:r>
        <w:rPr>
          <w:w w:val="105"/>
        </w:rPr>
        <w:t>time</w:t>
      </w:r>
      <w:r>
        <w:rPr>
          <w:spacing w:val="-13"/>
          <w:w w:val="105"/>
        </w:rPr>
        <w:t> </w:t>
      </w:r>
      <w:r>
        <w:rPr>
          <w:spacing w:val="-3"/>
          <w:w w:val="105"/>
        </w:rPr>
        <w:t>to</w:t>
      </w:r>
      <w:r>
        <w:rPr>
          <w:spacing w:val="-12"/>
          <w:w w:val="105"/>
        </w:rPr>
        <w:t> </w:t>
      </w:r>
      <w:r>
        <w:rPr>
          <w:spacing w:val="-3"/>
          <w:w w:val="105"/>
        </w:rPr>
        <w:t>time,</w:t>
      </w:r>
      <w:r>
        <w:rPr>
          <w:spacing w:val="-12"/>
          <w:w w:val="105"/>
        </w:rPr>
        <w:t> </w:t>
      </w:r>
      <w:r>
        <w:rPr>
          <w:w w:val="105"/>
        </w:rPr>
        <w:t>an</w:t>
      </w:r>
      <w:r>
        <w:rPr>
          <w:spacing w:val="-12"/>
          <w:w w:val="105"/>
        </w:rPr>
        <w:t> </w:t>
      </w:r>
      <w:r>
        <w:rPr>
          <w:w w:val="105"/>
        </w:rPr>
        <w:t>overwhelming</w:t>
      </w:r>
      <w:r>
        <w:rPr>
          <w:spacing w:val="-12"/>
          <w:w w:val="105"/>
        </w:rPr>
        <w:t> </w:t>
      </w:r>
      <w:r>
        <w:rPr>
          <w:w w:val="105"/>
        </w:rPr>
        <w:t>majority</w:t>
      </w:r>
      <w:r>
        <w:rPr>
          <w:spacing w:val="-13"/>
          <w:w w:val="105"/>
        </w:rPr>
        <w:t> </w:t>
      </w:r>
      <w:r>
        <w:rPr>
          <w:w w:val="105"/>
        </w:rPr>
        <w:t>of</w:t>
      </w:r>
      <w:r>
        <w:rPr>
          <w:spacing w:val="-12"/>
          <w:w w:val="105"/>
        </w:rPr>
        <w:t> </w:t>
      </w:r>
      <w:r>
        <w:rPr>
          <w:spacing w:val="-3"/>
          <w:w w:val="105"/>
        </w:rPr>
        <w:t>private </w:t>
      </w:r>
      <w:r>
        <w:rPr>
          <w:w w:val="105"/>
        </w:rPr>
        <w:t>arborists at </w:t>
      </w:r>
      <w:r>
        <w:rPr>
          <w:spacing w:val="-4"/>
          <w:w w:val="105"/>
        </w:rPr>
        <w:t>ArborCamp2018 </w:t>
      </w:r>
      <w:r>
        <w:rPr>
          <w:w w:val="105"/>
        </w:rPr>
        <w:t>advised they </w:t>
      </w:r>
      <w:r>
        <w:rPr>
          <w:spacing w:val="-2"/>
          <w:w w:val="105"/>
        </w:rPr>
        <w:t>had not </w:t>
      </w:r>
      <w:r>
        <w:rPr>
          <w:spacing w:val="-3"/>
          <w:w w:val="105"/>
        </w:rPr>
        <w:t>heard </w:t>
      </w:r>
      <w:r>
        <w:rPr>
          <w:w w:val="105"/>
        </w:rPr>
        <w:t>of</w:t>
      </w:r>
      <w:r>
        <w:rPr>
          <w:spacing w:val="9"/>
          <w:w w:val="105"/>
        </w:rPr>
        <w:t> </w:t>
      </w:r>
      <w:r>
        <w:rPr>
          <w:spacing w:val="-3"/>
          <w:w w:val="105"/>
        </w:rPr>
        <w:t>DSCV.</w:t>
      </w:r>
      <w:r>
        <w:rPr>
          <w:spacing w:val="-3"/>
          <w:w w:val="105"/>
          <w:position w:val="7"/>
          <w:sz w:val="12"/>
        </w:rPr>
        <w:t>226</w:t>
      </w:r>
    </w:p>
    <w:p>
      <w:pPr>
        <w:pStyle w:val="ListParagraph"/>
        <w:numPr>
          <w:ilvl w:val="0"/>
          <w:numId w:val="35"/>
        </w:numPr>
        <w:tabs>
          <w:tab w:pos="2380" w:val="left" w:leader="none"/>
          <w:tab w:pos="2381" w:val="left" w:leader="none"/>
        </w:tabs>
        <w:spacing w:line="242" w:lineRule="auto" w:before="123" w:after="0"/>
        <w:ind w:left="2381" w:right="1634" w:hanging="794"/>
        <w:jc w:val="left"/>
        <w:rPr>
          <w:sz w:val="21"/>
        </w:rPr>
      </w:pPr>
      <w:r>
        <w:rPr>
          <w:sz w:val="21"/>
        </w:rPr>
        <w:t>People seeking </w:t>
      </w:r>
      <w:r>
        <w:rPr>
          <w:spacing w:val="-3"/>
          <w:sz w:val="21"/>
        </w:rPr>
        <w:t>information </w:t>
      </w:r>
      <w:r>
        <w:rPr>
          <w:sz w:val="21"/>
        </w:rPr>
        <w:t>and assistance </w:t>
      </w:r>
      <w:r>
        <w:rPr>
          <w:spacing w:val="-3"/>
          <w:sz w:val="21"/>
        </w:rPr>
        <w:t>may </w:t>
      </w:r>
      <w:r>
        <w:rPr>
          <w:sz w:val="21"/>
        </w:rPr>
        <w:t>also contact </w:t>
      </w:r>
      <w:r>
        <w:rPr>
          <w:spacing w:val="-3"/>
          <w:sz w:val="21"/>
        </w:rPr>
        <w:t>private </w:t>
      </w:r>
      <w:r>
        <w:rPr>
          <w:sz w:val="21"/>
        </w:rPr>
        <w:t>arborists</w:t>
      </w:r>
      <w:r>
        <w:rPr>
          <w:position w:val="7"/>
          <w:sz w:val="12"/>
        </w:rPr>
        <w:t>227 </w:t>
      </w:r>
      <w:r>
        <w:rPr>
          <w:sz w:val="21"/>
        </w:rPr>
        <w:t>and community legal centres.</w:t>
      </w:r>
      <w:r>
        <w:rPr>
          <w:position w:val="7"/>
          <w:sz w:val="12"/>
        </w:rPr>
        <w:t>228 </w:t>
      </w:r>
      <w:r>
        <w:rPr>
          <w:sz w:val="21"/>
        </w:rPr>
        <w:t>A </w:t>
      </w:r>
      <w:r>
        <w:rPr>
          <w:spacing w:val="-3"/>
          <w:sz w:val="21"/>
        </w:rPr>
        <w:t>small </w:t>
      </w:r>
      <w:r>
        <w:rPr>
          <w:sz w:val="21"/>
        </w:rPr>
        <w:t>number of people also reported </w:t>
      </w:r>
      <w:r>
        <w:rPr>
          <w:spacing w:val="-3"/>
          <w:sz w:val="21"/>
        </w:rPr>
        <w:t>that  </w:t>
      </w:r>
      <w:r>
        <w:rPr>
          <w:sz w:val="21"/>
        </w:rPr>
        <w:t>they contacted  </w:t>
      </w:r>
      <w:r>
        <w:rPr>
          <w:spacing w:val="-3"/>
          <w:sz w:val="21"/>
        </w:rPr>
        <w:t>real </w:t>
      </w:r>
      <w:r>
        <w:rPr>
          <w:sz w:val="21"/>
        </w:rPr>
        <w:t>estate agents</w:t>
      </w:r>
      <w:r>
        <w:rPr>
          <w:position w:val="7"/>
          <w:sz w:val="12"/>
        </w:rPr>
        <w:t>229 </w:t>
      </w:r>
      <w:r>
        <w:rPr>
          <w:sz w:val="21"/>
        </w:rPr>
        <w:t>or property managers</w:t>
      </w:r>
      <w:r>
        <w:rPr>
          <w:position w:val="7"/>
          <w:sz w:val="12"/>
        </w:rPr>
        <w:t>230 </w:t>
      </w:r>
      <w:r>
        <w:rPr>
          <w:sz w:val="21"/>
        </w:rPr>
        <w:t>(in the case of tenants) or </w:t>
      </w:r>
      <w:r>
        <w:rPr>
          <w:spacing w:val="-3"/>
          <w:sz w:val="21"/>
        </w:rPr>
        <w:t>water </w:t>
      </w:r>
      <w:r>
        <w:rPr>
          <w:sz w:val="21"/>
        </w:rPr>
        <w:t>utility </w:t>
      </w:r>
      <w:r>
        <w:rPr>
          <w:spacing w:val="-3"/>
          <w:sz w:val="21"/>
        </w:rPr>
        <w:t>companies </w:t>
      </w:r>
      <w:r>
        <w:rPr>
          <w:sz w:val="21"/>
        </w:rPr>
        <w:t>(in the case of roots blocking </w:t>
      </w:r>
      <w:r>
        <w:rPr>
          <w:spacing w:val="-3"/>
          <w:sz w:val="21"/>
        </w:rPr>
        <w:t>drains </w:t>
      </w:r>
      <w:r>
        <w:rPr>
          <w:sz w:val="21"/>
        </w:rPr>
        <w:t>and sewerage),</w:t>
      </w:r>
      <w:r>
        <w:rPr>
          <w:position w:val="7"/>
          <w:sz w:val="12"/>
        </w:rPr>
        <w:t>231 </w:t>
      </w:r>
      <w:r>
        <w:rPr>
          <w:spacing w:val="-4"/>
          <w:sz w:val="21"/>
        </w:rPr>
        <w:t>insurance  </w:t>
      </w:r>
      <w:r>
        <w:rPr>
          <w:sz w:val="21"/>
        </w:rPr>
        <w:t>companies,</w:t>
      </w:r>
      <w:r>
        <w:rPr>
          <w:position w:val="7"/>
          <w:sz w:val="12"/>
        </w:rPr>
        <w:t>232 </w:t>
      </w:r>
      <w:r>
        <w:rPr>
          <w:sz w:val="12"/>
        </w:rPr>
        <w:t> </w:t>
      </w:r>
      <w:r>
        <w:rPr>
          <w:sz w:val="21"/>
        </w:rPr>
        <w:t>and even the </w:t>
      </w:r>
      <w:r>
        <w:rPr>
          <w:spacing w:val="-3"/>
          <w:sz w:val="21"/>
        </w:rPr>
        <w:t>Environmental </w:t>
      </w:r>
      <w:r>
        <w:rPr>
          <w:sz w:val="21"/>
        </w:rPr>
        <w:t>Protection Agency.</w:t>
      </w:r>
      <w:r>
        <w:rPr>
          <w:position w:val="7"/>
          <w:sz w:val="12"/>
        </w:rPr>
        <w:t>233 </w:t>
      </w:r>
      <w:r>
        <w:rPr>
          <w:sz w:val="21"/>
        </w:rPr>
        <w:t>These people reported</w:t>
      </w:r>
      <w:r>
        <w:rPr>
          <w:spacing w:val="7"/>
          <w:sz w:val="21"/>
        </w:rPr>
        <w:t> </w:t>
      </w:r>
      <w:r>
        <w:rPr>
          <w:spacing w:val="-3"/>
          <w:sz w:val="21"/>
        </w:rPr>
        <w:t>that </w:t>
      </w:r>
      <w:r>
        <w:rPr>
          <w:sz w:val="21"/>
        </w:rPr>
        <w:t>they</w:t>
      </w:r>
    </w:p>
    <w:p>
      <w:pPr>
        <w:pStyle w:val="BodyText"/>
        <w:spacing w:line="242" w:lineRule="auto" w:before="5"/>
        <w:ind w:left="2381" w:right="1810"/>
        <w:rPr>
          <w:sz w:val="12"/>
        </w:rPr>
      </w:pPr>
      <w:r>
        <w:rPr/>
        <w:t>were advised that they could not be assisted with this type of dispute or were referred elsewhere. People also contacted private lawyers for legal advice but this was less common, most likely due to expense.</w:t>
      </w:r>
      <w:r>
        <w:rPr>
          <w:position w:val="7"/>
          <w:sz w:val="12"/>
        </w:rPr>
        <w:t>234</w:t>
      </w:r>
    </w:p>
    <w:p>
      <w:pPr>
        <w:pStyle w:val="ListParagraph"/>
        <w:numPr>
          <w:ilvl w:val="0"/>
          <w:numId w:val="35"/>
        </w:numPr>
        <w:tabs>
          <w:tab w:pos="2381" w:val="left" w:leader="none"/>
          <w:tab w:pos="2382" w:val="left" w:leader="none"/>
        </w:tabs>
        <w:spacing w:line="242" w:lineRule="auto" w:before="124" w:after="0"/>
        <w:ind w:left="2381" w:right="1762" w:hanging="794"/>
        <w:jc w:val="left"/>
        <w:rPr>
          <w:sz w:val="12"/>
        </w:rPr>
      </w:pPr>
      <w:r>
        <w:rPr>
          <w:w w:val="105"/>
          <w:sz w:val="21"/>
        </w:rPr>
        <w:t>One affected </w:t>
      </w:r>
      <w:r>
        <w:rPr>
          <w:spacing w:val="-3"/>
          <w:w w:val="105"/>
          <w:sz w:val="21"/>
        </w:rPr>
        <w:t>neighbour recounted </w:t>
      </w:r>
      <w:r>
        <w:rPr>
          <w:w w:val="105"/>
          <w:sz w:val="21"/>
        </w:rPr>
        <w:t>their experience of trying </w:t>
      </w:r>
      <w:r>
        <w:rPr>
          <w:spacing w:val="-3"/>
          <w:w w:val="105"/>
          <w:sz w:val="21"/>
        </w:rPr>
        <w:t>to </w:t>
      </w:r>
      <w:r>
        <w:rPr>
          <w:w w:val="105"/>
          <w:sz w:val="21"/>
        </w:rPr>
        <w:t>get help with their tree </w:t>
      </w:r>
      <w:r>
        <w:rPr>
          <w:spacing w:val="-3"/>
          <w:w w:val="105"/>
          <w:sz w:val="21"/>
        </w:rPr>
        <w:t>dispute </w:t>
      </w:r>
      <w:r>
        <w:rPr>
          <w:w w:val="105"/>
          <w:sz w:val="21"/>
        </w:rPr>
        <w:t>and being </w:t>
      </w:r>
      <w:r>
        <w:rPr>
          <w:spacing w:val="-3"/>
          <w:w w:val="105"/>
          <w:sz w:val="21"/>
        </w:rPr>
        <w:t>referred to </w:t>
      </w:r>
      <w:r>
        <w:rPr>
          <w:w w:val="105"/>
          <w:sz w:val="21"/>
        </w:rPr>
        <w:t>a number of </w:t>
      </w:r>
      <w:r>
        <w:rPr>
          <w:spacing w:val="-3"/>
          <w:w w:val="105"/>
          <w:sz w:val="21"/>
        </w:rPr>
        <w:t>organisations. </w:t>
      </w:r>
      <w:r>
        <w:rPr>
          <w:w w:val="105"/>
          <w:sz w:val="21"/>
        </w:rPr>
        <w:t>This person was </w:t>
      </w:r>
      <w:r>
        <w:rPr>
          <w:spacing w:val="-3"/>
          <w:w w:val="105"/>
          <w:sz w:val="21"/>
        </w:rPr>
        <w:t>concerned </w:t>
      </w:r>
      <w:r>
        <w:rPr>
          <w:w w:val="105"/>
          <w:sz w:val="21"/>
        </w:rPr>
        <w:t>about </w:t>
      </w:r>
      <w:r>
        <w:rPr>
          <w:spacing w:val="-3"/>
          <w:w w:val="105"/>
          <w:sz w:val="21"/>
        </w:rPr>
        <w:t>overhanging </w:t>
      </w:r>
      <w:r>
        <w:rPr>
          <w:w w:val="105"/>
          <w:sz w:val="21"/>
        </w:rPr>
        <w:t>gum trees and the noise of gumnuts </w:t>
      </w:r>
      <w:r>
        <w:rPr>
          <w:spacing w:val="-4"/>
          <w:w w:val="105"/>
          <w:sz w:val="21"/>
        </w:rPr>
        <w:t>falling </w:t>
      </w:r>
      <w:r>
        <w:rPr>
          <w:w w:val="105"/>
          <w:sz w:val="21"/>
        </w:rPr>
        <w:t>on their </w:t>
      </w:r>
      <w:r>
        <w:rPr>
          <w:spacing w:val="-3"/>
          <w:w w:val="105"/>
          <w:sz w:val="21"/>
        </w:rPr>
        <w:t>garage </w:t>
      </w:r>
      <w:r>
        <w:rPr>
          <w:spacing w:val="-4"/>
          <w:w w:val="105"/>
          <w:sz w:val="21"/>
        </w:rPr>
        <w:t>roof. </w:t>
      </w:r>
      <w:r>
        <w:rPr>
          <w:w w:val="105"/>
          <w:sz w:val="21"/>
        </w:rPr>
        <w:t>They contacted the local </w:t>
      </w:r>
      <w:r>
        <w:rPr>
          <w:spacing w:val="-3"/>
          <w:w w:val="105"/>
          <w:sz w:val="21"/>
        </w:rPr>
        <w:t>council </w:t>
      </w:r>
      <w:r>
        <w:rPr>
          <w:w w:val="105"/>
          <w:sz w:val="21"/>
        </w:rPr>
        <w:t>first. The local </w:t>
      </w:r>
      <w:r>
        <w:rPr>
          <w:spacing w:val="-3"/>
          <w:w w:val="105"/>
          <w:sz w:val="21"/>
        </w:rPr>
        <w:t>council </w:t>
      </w:r>
      <w:r>
        <w:rPr>
          <w:w w:val="105"/>
          <w:sz w:val="21"/>
        </w:rPr>
        <w:t>advised them </w:t>
      </w:r>
      <w:r>
        <w:rPr>
          <w:spacing w:val="-3"/>
          <w:w w:val="105"/>
          <w:sz w:val="21"/>
        </w:rPr>
        <w:t>that </w:t>
      </w:r>
      <w:r>
        <w:rPr>
          <w:w w:val="105"/>
          <w:sz w:val="21"/>
        </w:rPr>
        <w:t>it </w:t>
      </w:r>
      <w:r>
        <w:rPr>
          <w:spacing w:val="-3"/>
          <w:w w:val="105"/>
          <w:sz w:val="21"/>
        </w:rPr>
        <w:t>could </w:t>
      </w:r>
      <w:r>
        <w:rPr>
          <w:spacing w:val="-2"/>
          <w:w w:val="105"/>
          <w:sz w:val="21"/>
        </w:rPr>
        <w:t>not </w:t>
      </w:r>
      <w:r>
        <w:rPr>
          <w:w w:val="105"/>
          <w:sz w:val="21"/>
        </w:rPr>
        <w:t>help and </w:t>
      </w:r>
      <w:r>
        <w:rPr>
          <w:spacing w:val="-3"/>
          <w:w w:val="105"/>
          <w:sz w:val="21"/>
        </w:rPr>
        <w:t>referred </w:t>
      </w:r>
      <w:r>
        <w:rPr>
          <w:w w:val="105"/>
          <w:sz w:val="21"/>
        </w:rPr>
        <w:t>them </w:t>
      </w:r>
      <w:r>
        <w:rPr>
          <w:spacing w:val="-3"/>
          <w:w w:val="105"/>
          <w:sz w:val="21"/>
        </w:rPr>
        <w:t>to </w:t>
      </w:r>
      <w:r>
        <w:rPr>
          <w:spacing w:val="-5"/>
          <w:w w:val="105"/>
          <w:sz w:val="21"/>
        </w:rPr>
        <w:t>DSCV. </w:t>
      </w:r>
      <w:r>
        <w:rPr>
          <w:w w:val="105"/>
          <w:sz w:val="21"/>
        </w:rPr>
        <w:t>DSCV advised </w:t>
      </w:r>
      <w:r>
        <w:rPr>
          <w:spacing w:val="-3"/>
          <w:w w:val="105"/>
          <w:sz w:val="21"/>
        </w:rPr>
        <w:t>that </w:t>
      </w:r>
      <w:r>
        <w:rPr>
          <w:w w:val="105"/>
          <w:sz w:val="21"/>
        </w:rPr>
        <w:t>the tree owner would need </w:t>
      </w:r>
      <w:r>
        <w:rPr>
          <w:spacing w:val="-3"/>
          <w:w w:val="105"/>
          <w:sz w:val="21"/>
        </w:rPr>
        <w:t>to </w:t>
      </w:r>
      <w:r>
        <w:rPr>
          <w:w w:val="105"/>
          <w:sz w:val="21"/>
        </w:rPr>
        <w:t>participate in mediation </w:t>
      </w:r>
      <w:r>
        <w:rPr>
          <w:spacing w:val="-4"/>
          <w:w w:val="105"/>
          <w:sz w:val="21"/>
        </w:rPr>
        <w:t>voluntarily, </w:t>
      </w:r>
      <w:r>
        <w:rPr>
          <w:w w:val="105"/>
          <w:sz w:val="21"/>
        </w:rPr>
        <w:t>which the affected </w:t>
      </w:r>
      <w:r>
        <w:rPr>
          <w:spacing w:val="-3"/>
          <w:w w:val="105"/>
          <w:sz w:val="21"/>
        </w:rPr>
        <w:t>neighbour determined </w:t>
      </w:r>
      <w:r>
        <w:rPr>
          <w:w w:val="105"/>
          <w:sz w:val="21"/>
        </w:rPr>
        <w:t>was </w:t>
      </w:r>
      <w:r>
        <w:rPr>
          <w:spacing w:val="-2"/>
          <w:w w:val="105"/>
          <w:sz w:val="21"/>
        </w:rPr>
        <w:t>not </w:t>
      </w:r>
      <w:r>
        <w:rPr>
          <w:w w:val="105"/>
          <w:sz w:val="21"/>
        </w:rPr>
        <w:t>practicable</w:t>
      </w:r>
      <w:r>
        <w:rPr>
          <w:spacing w:val="-9"/>
          <w:w w:val="105"/>
          <w:sz w:val="21"/>
        </w:rPr>
        <w:t> </w:t>
      </w:r>
      <w:r>
        <w:rPr>
          <w:w w:val="105"/>
          <w:sz w:val="21"/>
        </w:rPr>
        <w:t>because</w:t>
      </w:r>
      <w:r>
        <w:rPr>
          <w:spacing w:val="-9"/>
          <w:w w:val="105"/>
          <w:sz w:val="21"/>
        </w:rPr>
        <w:t> </w:t>
      </w:r>
      <w:r>
        <w:rPr>
          <w:w w:val="105"/>
          <w:sz w:val="21"/>
        </w:rPr>
        <w:t>of</w:t>
      </w:r>
      <w:r>
        <w:rPr>
          <w:spacing w:val="-8"/>
          <w:w w:val="105"/>
          <w:sz w:val="21"/>
        </w:rPr>
        <w:t> </w:t>
      </w:r>
      <w:r>
        <w:rPr>
          <w:w w:val="105"/>
          <w:sz w:val="21"/>
        </w:rPr>
        <w:t>a</w:t>
      </w:r>
      <w:r>
        <w:rPr>
          <w:spacing w:val="-9"/>
          <w:w w:val="105"/>
          <w:sz w:val="21"/>
        </w:rPr>
        <w:t> </w:t>
      </w:r>
      <w:r>
        <w:rPr>
          <w:w w:val="105"/>
          <w:sz w:val="21"/>
        </w:rPr>
        <w:t>hostile</w:t>
      </w:r>
      <w:r>
        <w:rPr>
          <w:spacing w:val="-8"/>
          <w:w w:val="105"/>
          <w:sz w:val="21"/>
        </w:rPr>
        <w:t> </w:t>
      </w:r>
      <w:r>
        <w:rPr>
          <w:spacing w:val="-3"/>
          <w:w w:val="105"/>
          <w:sz w:val="21"/>
        </w:rPr>
        <w:t>relationship.</w:t>
      </w:r>
      <w:r>
        <w:rPr>
          <w:spacing w:val="-9"/>
          <w:w w:val="105"/>
          <w:sz w:val="21"/>
        </w:rPr>
        <w:t> </w:t>
      </w:r>
      <w:r>
        <w:rPr>
          <w:w w:val="105"/>
          <w:sz w:val="21"/>
        </w:rPr>
        <w:t>The</w:t>
      </w:r>
      <w:r>
        <w:rPr>
          <w:spacing w:val="-8"/>
          <w:w w:val="105"/>
          <w:sz w:val="21"/>
        </w:rPr>
        <w:t> </w:t>
      </w:r>
      <w:r>
        <w:rPr>
          <w:w w:val="105"/>
          <w:sz w:val="21"/>
        </w:rPr>
        <w:t>affected</w:t>
      </w:r>
      <w:r>
        <w:rPr>
          <w:spacing w:val="-9"/>
          <w:w w:val="105"/>
          <w:sz w:val="21"/>
        </w:rPr>
        <w:t> </w:t>
      </w:r>
      <w:r>
        <w:rPr>
          <w:spacing w:val="-3"/>
          <w:w w:val="105"/>
          <w:sz w:val="21"/>
        </w:rPr>
        <w:t>neighbour</w:t>
      </w:r>
      <w:r>
        <w:rPr>
          <w:spacing w:val="-8"/>
          <w:w w:val="105"/>
          <w:sz w:val="21"/>
        </w:rPr>
        <w:t> </w:t>
      </w:r>
      <w:r>
        <w:rPr>
          <w:w w:val="105"/>
          <w:sz w:val="21"/>
        </w:rPr>
        <w:t>also</w:t>
      </w:r>
      <w:r>
        <w:rPr>
          <w:spacing w:val="-9"/>
          <w:w w:val="105"/>
          <w:sz w:val="21"/>
        </w:rPr>
        <w:t> </w:t>
      </w:r>
      <w:r>
        <w:rPr>
          <w:w w:val="105"/>
          <w:sz w:val="21"/>
        </w:rPr>
        <w:t>contacted</w:t>
      </w:r>
      <w:r>
        <w:rPr>
          <w:spacing w:val="-9"/>
          <w:w w:val="105"/>
          <w:sz w:val="21"/>
        </w:rPr>
        <w:t> </w:t>
      </w:r>
      <w:r>
        <w:rPr>
          <w:w w:val="105"/>
          <w:sz w:val="21"/>
        </w:rPr>
        <w:t>the </w:t>
      </w:r>
      <w:r>
        <w:rPr>
          <w:spacing w:val="-3"/>
          <w:w w:val="105"/>
          <w:sz w:val="21"/>
        </w:rPr>
        <w:t>Environmental</w:t>
      </w:r>
      <w:r>
        <w:rPr>
          <w:spacing w:val="-9"/>
          <w:w w:val="105"/>
          <w:sz w:val="21"/>
        </w:rPr>
        <w:t> </w:t>
      </w:r>
      <w:r>
        <w:rPr>
          <w:w w:val="105"/>
          <w:sz w:val="21"/>
        </w:rPr>
        <w:t>Protection</w:t>
      </w:r>
      <w:r>
        <w:rPr>
          <w:spacing w:val="-10"/>
          <w:w w:val="105"/>
          <w:sz w:val="21"/>
        </w:rPr>
        <w:t> </w:t>
      </w:r>
      <w:r>
        <w:rPr>
          <w:w w:val="105"/>
          <w:sz w:val="21"/>
        </w:rPr>
        <w:t>Agency</w:t>
      </w:r>
      <w:r>
        <w:rPr>
          <w:spacing w:val="-9"/>
          <w:w w:val="105"/>
          <w:sz w:val="21"/>
        </w:rPr>
        <w:t> </w:t>
      </w:r>
      <w:r>
        <w:rPr>
          <w:w w:val="105"/>
          <w:sz w:val="21"/>
        </w:rPr>
        <w:t>(EPA).</w:t>
      </w:r>
      <w:r>
        <w:rPr>
          <w:spacing w:val="-9"/>
          <w:w w:val="105"/>
          <w:sz w:val="21"/>
        </w:rPr>
        <w:t> </w:t>
      </w:r>
      <w:r>
        <w:rPr>
          <w:w w:val="105"/>
          <w:sz w:val="21"/>
        </w:rPr>
        <w:t>The</w:t>
      </w:r>
      <w:r>
        <w:rPr>
          <w:spacing w:val="-9"/>
          <w:w w:val="105"/>
          <w:sz w:val="21"/>
        </w:rPr>
        <w:t> </w:t>
      </w:r>
      <w:r>
        <w:rPr>
          <w:spacing w:val="-6"/>
          <w:w w:val="105"/>
          <w:sz w:val="21"/>
        </w:rPr>
        <w:t>EPA</w:t>
      </w:r>
      <w:r>
        <w:rPr>
          <w:spacing w:val="-9"/>
          <w:w w:val="105"/>
          <w:sz w:val="21"/>
        </w:rPr>
        <w:t> </w:t>
      </w:r>
      <w:r>
        <w:rPr>
          <w:w w:val="105"/>
          <w:sz w:val="21"/>
        </w:rPr>
        <w:t>advised</w:t>
      </w:r>
      <w:r>
        <w:rPr>
          <w:spacing w:val="-9"/>
          <w:w w:val="105"/>
          <w:sz w:val="21"/>
        </w:rPr>
        <w:t> </w:t>
      </w:r>
      <w:r>
        <w:rPr>
          <w:w w:val="105"/>
          <w:sz w:val="21"/>
        </w:rPr>
        <w:t>them</w:t>
      </w:r>
      <w:r>
        <w:rPr>
          <w:spacing w:val="-9"/>
          <w:w w:val="105"/>
          <w:sz w:val="21"/>
        </w:rPr>
        <w:t> </w:t>
      </w:r>
      <w:r>
        <w:rPr>
          <w:spacing w:val="-3"/>
          <w:w w:val="105"/>
          <w:sz w:val="21"/>
        </w:rPr>
        <w:t>that</w:t>
      </w:r>
      <w:r>
        <w:rPr>
          <w:spacing w:val="-9"/>
          <w:w w:val="105"/>
          <w:sz w:val="21"/>
        </w:rPr>
        <w:t> </w:t>
      </w:r>
      <w:r>
        <w:rPr>
          <w:w w:val="105"/>
          <w:sz w:val="21"/>
        </w:rPr>
        <w:t>noise</w:t>
      </w:r>
      <w:r>
        <w:rPr>
          <w:spacing w:val="-9"/>
          <w:w w:val="105"/>
          <w:sz w:val="21"/>
        </w:rPr>
        <w:t> </w:t>
      </w:r>
      <w:r>
        <w:rPr>
          <w:spacing w:val="-3"/>
          <w:w w:val="105"/>
          <w:sz w:val="21"/>
        </w:rPr>
        <w:t>complaints</w:t>
      </w:r>
      <w:r>
        <w:rPr>
          <w:spacing w:val="-9"/>
          <w:w w:val="105"/>
          <w:sz w:val="21"/>
        </w:rPr>
        <w:t> </w:t>
      </w:r>
      <w:r>
        <w:rPr>
          <w:spacing w:val="-3"/>
          <w:w w:val="105"/>
          <w:sz w:val="21"/>
        </w:rPr>
        <w:t>fell within </w:t>
      </w:r>
      <w:r>
        <w:rPr>
          <w:w w:val="105"/>
          <w:sz w:val="21"/>
        </w:rPr>
        <w:t>the </w:t>
      </w:r>
      <w:r>
        <w:rPr>
          <w:spacing w:val="-3"/>
          <w:w w:val="105"/>
          <w:sz w:val="21"/>
        </w:rPr>
        <w:t>remit </w:t>
      </w:r>
      <w:r>
        <w:rPr>
          <w:w w:val="105"/>
          <w:sz w:val="21"/>
        </w:rPr>
        <w:t>of local </w:t>
      </w:r>
      <w:r>
        <w:rPr>
          <w:spacing w:val="-3"/>
          <w:w w:val="105"/>
          <w:sz w:val="21"/>
        </w:rPr>
        <w:t>council </w:t>
      </w:r>
      <w:r>
        <w:rPr>
          <w:w w:val="105"/>
          <w:sz w:val="21"/>
        </w:rPr>
        <w:t>and </w:t>
      </w:r>
      <w:r>
        <w:rPr>
          <w:spacing w:val="-3"/>
          <w:w w:val="105"/>
          <w:sz w:val="21"/>
        </w:rPr>
        <w:t>referred </w:t>
      </w:r>
      <w:r>
        <w:rPr>
          <w:w w:val="105"/>
          <w:sz w:val="21"/>
        </w:rPr>
        <w:t>them back </w:t>
      </w:r>
      <w:r>
        <w:rPr>
          <w:spacing w:val="-3"/>
          <w:w w:val="105"/>
          <w:sz w:val="21"/>
        </w:rPr>
        <w:t>to </w:t>
      </w:r>
      <w:r>
        <w:rPr>
          <w:w w:val="105"/>
          <w:sz w:val="21"/>
        </w:rPr>
        <w:t>their local </w:t>
      </w:r>
      <w:r>
        <w:rPr>
          <w:spacing w:val="-3"/>
          <w:w w:val="105"/>
          <w:sz w:val="21"/>
        </w:rPr>
        <w:t>council. </w:t>
      </w:r>
      <w:r>
        <w:rPr>
          <w:w w:val="105"/>
          <w:sz w:val="21"/>
        </w:rPr>
        <w:t>The local </w:t>
      </w:r>
      <w:r>
        <w:rPr>
          <w:spacing w:val="-3"/>
          <w:w w:val="105"/>
          <w:sz w:val="21"/>
        </w:rPr>
        <w:t>council reiterated that </w:t>
      </w:r>
      <w:r>
        <w:rPr>
          <w:w w:val="105"/>
          <w:sz w:val="21"/>
        </w:rPr>
        <w:t>it was </w:t>
      </w:r>
      <w:r>
        <w:rPr>
          <w:spacing w:val="-3"/>
          <w:w w:val="105"/>
          <w:sz w:val="21"/>
        </w:rPr>
        <w:t>unable to </w:t>
      </w:r>
      <w:r>
        <w:rPr>
          <w:w w:val="105"/>
          <w:sz w:val="21"/>
        </w:rPr>
        <w:t>assist with </w:t>
      </w:r>
      <w:r>
        <w:rPr>
          <w:spacing w:val="-3"/>
          <w:w w:val="105"/>
          <w:sz w:val="21"/>
        </w:rPr>
        <w:t>private </w:t>
      </w:r>
      <w:r>
        <w:rPr>
          <w:w w:val="105"/>
          <w:sz w:val="21"/>
        </w:rPr>
        <w:t>tree </w:t>
      </w:r>
      <w:r>
        <w:rPr>
          <w:spacing w:val="-3"/>
          <w:w w:val="105"/>
          <w:sz w:val="21"/>
        </w:rPr>
        <w:t>disputes </w:t>
      </w:r>
      <w:r>
        <w:rPr>
          <w:w w:val="105"/>
          <w:sz w:val="21"/>
        </w:rPr>
        <w:t>and </w:t>
      </w:r>
      <w:r>
        <w:rPr>
          <w:spacing w:val="-3"/>
          <w:w w:val="105"/>
          <w:sz w:val="21"/>
        </w:rPr>
        <w:t>referred </w:t>
      </w:r>
      <w:r>
        <w:rPr>
          <w:w w:val="105"/>
          <w:sz w:val="21"/>
        </w:rPr>
        <w:t>the person </w:t>
      </w:r>
      <w:r>
        <w:rPr>
          <w:spacing w:val="-3"/>
          <w:w w:val="105"/>
          <w:sz w:val="21"/>
        </w:rPr>
        <w:t>to </w:t>
      </w:r>
      <w:r>
        <w:rPr>
          <w:w w:val="105"/>
          <w:sz w:val="21"/>
        </w:rPr>
        <w:t>DSCV a second</w:t>
      </w:r>
      <w:r>
        <w:rPr>
          <w:spacing w:val="29"/>
          <w:w w:val="105"/>
          <w:sz w:val="21"/>
        </w:rPr>
        <w:t> </w:t>
      </w:r>
      <w:r>
        <w:rPr>
          <w:w w:val="105"/>
          <w:sz w:val="21"/>
        </w:rPr>
        <w:t>time.</w:t>
      </w:r>
      <w:r>
        <w:rPr>
          <w:w w:val="105"/>
          <w:position w:val="7"/>
          <w:sz w:val="12"/>
        </w:rPr>
        <w:t>235</w:t>
      </w:r>
    </w:p>
    <w:p>
      <w:pPr>
        <w:pStyle w:val="BodyText"/>
      </w:pPr>
    </w:p>
    <w:p>
      <w:pPr>
        <w:pStyle w:val="Heading5"/>
      </w:pPr>
      <w:r>
        <w:rPr>
          <w:w w:val="115"/>
        </w:rPr>
        <w:t>The</w:t>
      </w:r>
      <w:r>
        <w:rPr>
          <w:spacing w:val="-15"/>
          <w:w w:val="115"/>
        </w:rPr>
        <w:t> </w:t>
      </w:r>
      <w:r>
        <w:rPr>
          <w:w w:val="115"/>
        </w:rPr>
        <w:t>balance</w:t>
      </w:r>
      <w:r>
        <w:rPr>
          <w:spacing w:val="-15"/>
          <w:w w:val="115"/>
        </w:rPr>
        <w:t> </w:t>
      </w:r>
      <w:r>
        <w:rPr>
          <w:w w:val="115"/>
        </w:rPr>
        <w:t>of</w:t>
      </w:r>
      <w:r>
        <w:rPr>
          <w:spacing w:val="-15"/>
          <w:w w:val="115"/>
        </w:rPr>
        <w:t> </w:t>
      </w:r>
      <w:r>
        <w:rPr>
          <w:w w:val="115"/>
        </w:rPr>
        <w:t>competing</w:t>
      </w:r>
      <w:r>
        <w:rPr>
          <w:spacing w:val="-14"/>
          <w:w w:val="115"/>
        </w:rPr>
        <w:t> </w:t>
      </w:r>
      <w:r>
        <w:rPr>
          <w:w w:val="115"/>
        </w:rPr>
        <w:t>rights</w:t>
      </w:r>
    </w:p>
    <w:p>
      <w:pPr>
        <w:pStyle w:val="Heading7"/>
        <w:spacing w:before="168"/>
      </w:pPr>
      <w:r>
        <w:rPr>
          <w:w w:val="115"/>
        </w:rPr>
        <w:t>Few</w:t>
      </w:r>
      <w:r>
        <w:rPr>
          <w:spacing w:val="-15"/>
          <w:w w:val="115"/>
        </w:rPr>
        <w:t> </w:t>
      </w:r>
      <w:r>
        <w:rPr>
          <w:w w:val="115"/>
        </w:rPr>
        <w:t>responsibilities</w:t>
      </w:r>
      <w:r>
        <w:rPr>
          <w:spacing w:val="-15"/>
          <w:w w:val="115"/>
        </w:rPr>
        <w:t> </w:t>
      </w:r>
      <w:r>
        <w:rPr>
          <w:w w:val="115"/>
        </w:rPr>
        <w:t>for</w:t>
      </w:r>
      <w:r>
        <w:rPr>
          <w:spacing w:val="-14"/>
          <w:w w:val="115"/>
        </w:rPr>
        <w:t> </w:t>
      </w:r>
      <w:r>
        <w:rPr>
          <w:w w:val="115"/>
        </w:rPr>
        <w:t>tree</w:t>
      </w:r>
      <w:r>
        <w:rPr>
          <w:spacing w:val="-15"/>
          <w:w w:val="115"/>
        </w:rPr>
        <w:t> </w:t>
      </w:r>
      <w:r>
        <w:rPr>
          <w:w w:val="115"/>
        </w:rPr>
        <w:t>owners</w:t>
      </w:r>
    </w:p>
    <w:p>
      <w:pPr>
        <w:pStyle w:val="ListParagraph"/>
        <w:numPr>
          <w:ilvl w:val="0"/>
          <w:numId w:val="35"/>
        </w:numPr>
        <w:tabs>
          <w:tab w:pos="2381" w:val="left" w:leader="none"/>
          <w:tab w:pos="2382" w:val="left" w:leader="none"/>
        </w:tabs>
        <w:spacing w:line="242" w:lineRule="auto" w:before="143" w:after="0"/>
        <w:ind w:left="2381" w:right="1752" w:hanging="794"/>
        <w:jc w:val="left"/>
        <w:rPr>
          <w:sz w:val="12"/>
        </w:rPr>
      </w:pPr>
      <w:r>
        <w:rPr>
          <w:spacing w:val="-3"/>
          <w:w w:val="105"/>
          <w:sz w:val="21"/>
        </w:rPr>
        <w:t>Many </w:t>
      </w:r>
      <w:r>
        <w:rPr>
          <w:w w:val="105"/>
          <w:sz w:val="21"/>
        </w:rPr>
        <w:t>people viewed the law as </w:t>
      </w:r>
      <w:r>
        <w:rPr>
          <w:spacing w:val="-4"/>
          <w:w w:val="105"/>
          <w:sz w:val="21"/>
        </w:rPr>
        <w:t>‘unfair’ </w:t>
      </w:r>
      <w:r>
        <w:rPr>
          <w:w w:val="105"/>
          <w:sz w:val="21"/>
        </w:rPr>
        <w:t>or ‘one-sided’</w:t>
      </w:r>
      <w:r>
        <w:rPr>
          <w:w w:val="105"/>
          <w:position w:val="7"/>
          <w:sz w:val="12"/>
        </w:rPr>
        <w:t>236 </w:t>
      </w:r>
      <w:r>
        <w:rPr>
          <w:w w:val="105"/>
          <w:sz w:val="21"/>
        </w:rPr>
        <w:t>because they perceive an </w:t>
      </w:r>
      <w:r>
        <w:rPr>
          <w:spacing w:val="-3"/>
          <w:w w:val="105"/>
          <w:sz w:val="21"/>
        </w:rPr>
        <w:t>inadequate</w:t>
      </w:r>
      <w:r>
        <w:rPr>
          <w:spacing w:val="-5"/>
          <w:w w:val="105"/>
          <w:sz w:val="21"/>
        </w:rPr>
        <w:t> </w:t>
      </w:r>
      <w:r>
        <w:rPr>
          <w:spacing w:val="-3"/>
          <w:w w:val="105"/>
          <w:sz w:val="21"/>
        </w:rPr>
        <w:t>balance</w:t>
      </w:r>
      <w:r>
        <w:rPr>
          <w:spacing w:val="-4"/>
          <w:w w:val="105"/>
          <w:sz w:val="21"/>
        </w:rPr>
        <w:t> </w:t>
      </w:r>
      <w:r>
        <w:rPr>
          <w:w w:val="105"/>
          <w:sz w:val="21"/>
        </w:rPr>
        <w:t>between</w:t>
      </w:r>
      <w:r>
        <w:rPr>
          <w:spacing w:val="-4"/>
          <w:w w:val="105"/>
          <w:sz w:val="21"/>
        </w:rPr>
        <w:t> </w:t>
      </w:r>
      <w:r>
        <w:rPr>
          <w:w w:val="105"/>
          <w:sz w:val="21"/>
        </w:rPr>
        <w:t>the</w:t>
      </w:r>
      <w:r>
        <w:rPr>
          <w:spacing w:val="-4"/>
          <w:w w:val="105"/>
          <w:sz w:val="21"/>
        </w:rPr>
        <w:t> </w:t>
      </w:r>
      <w:r>
        <w:rPr>
          <w:spacing w:val="-3"/>
          <w:w w:val="105"/>
          <w:sz w:val="21"/>
        </w:rPr>
        <w:t>right</w:t>
      </w:r>
      <w:r>
        <w:rPr>
          <w:spacing w:val="-4"/>
          <w:w w:val="105"/>
          <w:sz w:val="21"/>
        </w:rPr>
        <w:t> </w:t>
      </w:r>
      <w:r>
        <w:rPr>
          <w:w w:val="105"/>
          <w:sz w:val="21"/>
        </w:rPr>
        <w:t>of</w:t>
      </w:r>
      <w:r>
        <w:rPr>
          <w:spacing w:val="-4"/>
          <w:w w:val="105"/>
          <w:sz w:val="21"/>
        </w:rPr>
        <w:t> </w:t>
      </w:r>
      <w:r>
        <w:rPr>
          <w:w w:val="105"/>
          <w:sz w:val="21"/>
        </w:rPr>
        <w:t>a</w:t>
      </w:r>
      <w:r>
        <w:rPr>
          <w:spacing w:val="-5"/>
          <w:w w:val="105"/>
          <w:sz w:val="21"/>
        </w:rPr>
        <w:t> </w:t>
      </w:r>
      <w:r>
        <w:rPr>
          <w:w w:val="105"/>
          <w:sz w:val="21"/>
        </w:rPr>
        <w:t>tree</w:t>
      </w:r>
      <w:r>
        <w:rPr>
          <w:spacing w:val="-4"/>
          <w:w w:val="105"/>
          <w:sz w:val="21"/>
        </w:rPr>
        <w:t> </w:t>
      </w:r>
      <w:r>
        <w:rPr>
          <w:w w:val="105"/>
          <w:sz w:val="21"/>
        </w:rPr>
        <w:t>owner</w:t>
      </w:r>
      <w:r>
        <w:rPr>
          <w:spacing w:val="-4"/>
          <w:w w:val="105"/>
          <w:sz w:val="21"/>
        </w:rPr>
        <w:t> </w:t>
      </w:r>
      <w:r>
        <w:rPr>
          <w:spacing w:val="-3"/>
          <w:w w:val="105"/>
          <w:sz w:val="21"/>
        </w:rPr>
        <w:t>to</w:t>
      </w:r>
      <w:r>
        <w:rPr>
          <w:spacing w:val="-4"/>
          <w:w w:val="105"/>
          <w:sz w:val="21"/>
        </w:rPr>
        <w:t> </w:t>
      </w:r>
      <w:r>
        <w:rPr>
          <w:w w:val="105"/>
          <w:sz w:val="21"/>
        </w:rPr>
        <w:t>use</w:t>
      </w:r>
      <w:r>
        <w:rPr>
          <w:spacing w:val="-4"/>
          <w:w w:val="105"/>
          <w:sz w:val="21"/>
        </w:rPr>
        <w:t> </w:t>
      </w:r>
      <w:r>
        <w:rPr>
          <w:w w:val="105"/>
          <w:sz w:val="21"/>
        </w:rPr>
        <w:t>and</w:t>
      </w:r>
      <w:r>
        <w:rPr>
          <w:spacing w:val="-4"/>
          <w:w w:val="105"/>
          <w:sz w:val="21"/>
        </w:rPr>
        <w:t> </w:t>
      </w:r>
      <w:r>
        <w:rPr>
          <w:w w:val="105"/>
          <w:sz w:val="21"/>
        </w:rPr>
        <w:t>enjoy</w:t>
      </w:r>
      <w:r>
        <w:rPr>
          <w:spacing w:val="-5"/>
          <w:w w:val="105"/>
          <w:sz w:val="21"/>
        </w:rPr>
        <w:t> </w:t>
      </w:r>
      <w:r>
        <w:rPr>
          <w:w w:val="105"/>
          <w:sz w:val="21"/>
        </w:rPr>
        <w:t>their</w:t>
      </w:r>
      <w:r>
        <w:rPr>
          <w:spacing w:val="-4"/>
          <w:w w:val="105"/>
          <w:sz w:val="21"/>
        </w:rPr>
        <w:t> </w:t>
      </w:r>
      <w:r>
        <w:rPr>
          <w:spacing w:val="-3"/>
          <w:w w:val="105"/>
          <w:sz w:val="21"/>
        </w:rPr>
        <w:t>land</w:t>
      </w:r>
      <w:r>
        <w:rPr>
          <w:spacing w:val="-4"/>
          <w:w w:val="105"/>
          <w:sz w:val="21"/>
        </w:rPr>
        <w:t> </w:t>
      </w:r>
      <w:r>
        <w:rPr>
          <w:w w:val="105"/>
          <w:sz w:val="21"/>
        </w:rPr>
        <w:t>in</w:t>
      </w:r>
      <w:r>
        <w:rPr>
          <w:spacing w:val="-4"/>
          <w:w w:val="105"/>
          <w:sz w:val="21"/>
        </w:rPr>
        <w:t> </w:t>
      </w:r>
      <w:r>
        <w:rPr>
          <w:spacing w:val="-3"/>
          <w:w w:val="105"/>
          <w:sz w:val="21"/>
        </w:rPr>
        <w:t>any </w:t>
      </w:r>
      <w:r>
        <w:rPr>
          <w:w w:val="105"/>
          <w:sz w:val="21"/>
        </w:rPr>
        <w:t>lawful </w:t>
      </w:r>
      <w:r>
        <w:rPr>
          <w:spacing w:val="-3"/>
          <w:w w:val="105"/>
          <w:sz w:val="21"/>
        </w:rPr>
        <w:t>manner </w:t>
      </w:r>
      <w:r>
        <w:rPr>
          <w:w w:val="105"/>
          <w:sz w:val="21"/>
        </w:rPr>
        <w:t>and the affected </w:t>
      </w:r>
      <w:r>
        <w:rPr>
          <w:spacing w:val="-3"/>
          <w:w w:val="105"/>
          <w:sz w:val="21"/>
        </w:rPr>
        <w:t>neighbour’s right to </w:t>
      </w:r>
      <w:r>
        <w:rPr>
          <w:w w:val="105"/>
          <w:sz w:val="21"/>
        </w:rPr>
        <w:t>use and enjoy their </w:t>
      </w:r>
      <w:r>
        <w:rPr>
          <w:spacing w:val="-3"/>
          <w:w w:val="105"/>
          <w:sz w:val="21"/>
        </w:rPr>
        <w:t>land </w:t>
      </w:r>
      <w:r>
        <w:rPr>
          <w:w w:val="105"/>
          <w:sz w:val="21"/>
        </w:rPr>
        <w:t>without </w:t>
      </w:r>
      <w:r>
        <w:rPr>
          <w:spacing w:val="-3"/>
          <w:w w:val="105"/>
          <w:sz w:val="21"/>
        </w:rPr>
        <w:t>unreasonable</w:t>
      </w:r>
      <w:r>
        <w:rPr>
          <w:spacing w:val="5"/>
          <w:w w:val="105"/>
          <w:sz w:val="21"/>
        </w:rPr>
        <w:t> </w:t>
      </w:r>
      <w:r>
        <w:rPr>
          <w:spacing w:val="-3"/>
          <w:w w:val="105"/>
          <w:sz w:val="21"/>
        </w:rPr>
        <w:t>interference.</w:t>
      </w:r>
      <w:r>
        <w:rPr>
          <w:spacing w:val="-3"/>
          <w:w w:val="105"/>
          <w:position w:val="7"/>
          <w:sz w:val="12"/>
        </w:rPr>
        <w:t>237</w:t>
      </w:r>
    </w:p>
    <w:p>
      <w:pPr>
        <w:pStyle w:val="BodyText"/>
        <w:rPr>
          <w:sz w:val="20"/>
        </w:rPr>
      </w:pPr>
    </w:p>
    <w:p>
      <w:pPr>
        <w:pStyle w:val="BodyText"/>
        <w:rPr>
          <w:sz w:val="20"/>
        </w:rPr>
      </w:pPr>
    </w:p>
    <w:p>
      <w:pPr>
        <w:pStyle w:val="BodyText"/>
        <w:spacing w:before="2"/>
      </w:pPr>
      <w:r>
        <w:rPr/>
        <w:pict>
          <v:line style="position:absolute;mso-position-horizontal-relative:page;mso-position-vertical-relative:paragraph;z-index:1832;mso-wrap-distance-left:0;mso-wrap-distance-right:0" from="79.370102pt,15.405064pt" to="515.905102pt,15.405064pt" stroked="true" strokeweight="1pt" strokecolor="#c9d2cb">
            <v:stroke dashstyle="solid"/>
            <w10:wrap type="topAndBottom"/>
          </v:line>
        </w:pict>
      </w:r>
    </w:p>
    <w:p>
      <w:pPr>
        <w:pStyle w:val="ListParagraph"/>
        <w:numPr>
          <w:ilvl w:val="0"/>
          <w:numId w:val="36"/>
        </w:numPr>
        <w:tabs>
          <w:tab w:pos="2381" w:val="left" w:leader="none"/>
          <w:tab w:pos="2382" w:val="left" w:leader="none"/>
        </w:tabs>
        <w:spacing w:line="240" w:lineRule="auto" w:before="117"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36"/>
        </w:numPr>
        <w:tabs>
          <w:tab w:pos="2381" w:val="left" w:leader="none"/>
          <w:tab w:pos="2382" w:val="left" w:leader="none"/>
        </w:tabs>
        <w:spacing w:line="240" w:lineRule="auto" w:before="1" w:after="0"/>
        <w:ind w:left="2381" w:right="0" w:hanging="794"/>
        <w:jc w:val="left"/>
        <w:rPr>
          <w:sz w:val="13"/>
        </w:rPr>
      </w:pPr>
      <w:r>
        <w:rPr>
          <w:w w:val="105"/>
          <w:sz w:val="13"/>
        </w:rPr>
        <w:t>Consultation </w:t>
      </w:r>
      <w:r>
        <w:rPr>
          <w:spacing w:val="-4"/>
          <w:w w:val="105"/>
          <w:sz w:val="13"/>
        </w:rPr>
        <w:t>12 </w:t>
      </w:r>
      <w:r>
        <w:rPr>
          <w:w w:val="105"/>
          <w:sz w:val="13"/>
        </w:rPr>
        <w:t>(City of Port Phillip).</w:t>
      </w:r>
    </w:p>
    <w:p>
      <w:pPr>
        <w:pStyle w:val="ListParagraph"/>
        <w:numPr>
          <w:ilvl w:val="0"/>
          <w:numId w:val="36"/>
        </w:numPr>
        <w:tabs>
          <w:tab w:pos="2381" w:val="left" w:leader="none"/>
          <w:tab w:pos="2382" w:val="left" w:leader="none"/>
        </w:tabs>
        <w:spacing w:line="240" w:lineRule="auto" w:before="2" w:after="0"/>
        <w:ind w:left="2381" w:right="0" w:hanging="794"/>
        <w:jc w:val="left"/>
        <w:rPr>
          <w:sz w:val="13"/>
        </w:rPr>
      </w:pPr>
      <w:r>
        <w:rPr>
          <w:w w:val="105"/>
          <w:sz w:val="13"/>
        </w:rPr>
        <w:t>Consultation 7 (Dispute Settlement Centre of</w:t>
      </w:r>
      <w:r>
        <w:rPr>
          <w:spacing w:val="28"/>
          <w:w w:val="105"/>
          <w:sz w:val="13"/>
        </w:rPr>
        <w:t> </w:t>
      </w:r>
      <w:r>
        <w:rPr>
          <w:w w:val="105"/>
          <w:sz w:val="13"/>
        </w:rPr>
        <w:t>Victoria).</w:t>
      </w:r>
    </w:p>
    <w:p>
      <w:pPr>
        <w:pStyle w:val="ListParagraph"/>
        <w:numPr>
          <w:ilvl w:val="0"/>
          <w:numId w:val="36"/>
        </w:numPr>
        <w:tabs>
          <w:tab w:pos="2381" w:val="left" w:leader="none"/>
          <w:tab w:pos="2382" w:val="left" w:leader="none"/>
        </w:tabs>
        <w:spacing w:line="240" w:lineRule="auto" w:before="1" w:after="0"/>
        <w:ind w:left="2381" w:right="1894" w:hanging="794"/>
        <w:jc w:val="left"/>
        <w:rPr>
          <w:sz w:val="13"/>
        </w:rPr>
      </w:pPr>
      <w:r>
        <w:rPr>
          <w:sz w:val="13"/>
        </w:rPr>
        <w:t>Consultation 4 (Participants in facilitated discussion at </w:t>
      </w:r>
      <w:r>
        <w:rPr>
          <w:spacing w:val="4"/>
          <w:sz w:val="13"/>
        </w:rPr>
        <w:t>VTIO  </w:t>
      </w:r>
      <w:r>
        <w:rPr>
          <w:sz w:val="13"/>
        </w:rPr>
        <w:t>ArborCamp2018).  Approximately  </w:t>
      </w:r>
      <w:r>
        <w:rPr>
          <w:spacing w:val="4"/>
          <w:sz w:val="13"/>
        </w:rPr>
        <w:t>35–40  </w:t>
      </w:r>
      <w:r>
        <w:rPr>
          <w:sz w:val="13"/>
        </w:rPr>
        <w:t>arborists  from  all  around  Victoria were</w:t>
      </w:r>
      <w:r>
        <w:rPr>
          <w:spacing w:val="7"/>
          <w:sz w:val="13"/>
        </w:rPr>
        <w:t> </w:t>
      </w:r>
      <w:r>
        <w:rPr>
          <w:sz w:val="13"/>
        </w:rPr>
        <w:t>present</w:t>
      </w:r>
      <w:r>
        <w:rPr>
          <w:spacing w:val="8"/>
          <w:sz w:val="13"/>
        </w:rPr>
        <w:t> </w:t>
      </w:r>
      <w:r>
        <w:rPr>
          <w:sz w:val="13"/>
        </w:rPr>
        <w:t>during</w:t>
      </w:r>
      <w:r>
        <w:rPr>
          <w:spacing w:val="8"/>
          <w:sz w:val="13"/>
        </w:rPr>
        <w:t> </w:t>
      </w:r>
      <w:r>
        <w:rPr>
          <w:sz w:val="13"/>
        </w:rPr>
        <w:t>this</w:t>
      </w:r>
      <w:r>
        <w:rPr>
          <w:spacing w:val="7"/>
          <w:sz w:val="13"/>
        </w:rPr>
        <w:t> </w:t>
      </w:r>
      <w:r>
        <w:rPr>
          <w:sz w:val="13"/>
        </w:rPr>
        <w:t>consultation.</w:t>
      </w:r>
      <w:r>
        <w:rPr>
          <w:spacing w:val="8"/>
          <w:sz w:val="13"/>
        </w:rPr>
        <w:t> </w:t>
      </w:r>
      <w:r>
        <w:rPr>
          <w:sz w:val="13"/>
        </w:rPr>
        <w:t>The</w:t>
      </w:r>
      <w:r>
        <w:rPr>
          <w:spacing w:val="8"/>
          <w:sz w:val="13"/>
        </w:rPr>
        <w:t> </w:t>
      </w:r>
      <w:r>
        <w:rPr>
          <w:sz w:val="13"/>
        </w:rPr>
        <w:t>majority</w:t>
      </w:r>
      <w:r>
        <w:rPr>
          <w:spacing w:val="8"/>
          <w:sz w:val="13"/>
        </w:rPr>
        <w:t> </w:t>
      </w:r>
      <w:r>
        <w:rPr>
          <w:sz w:val="13"/>
        </w:rPr>
        <w:t>were</w:t>
      </w:r>
      <w:r>
        <w:rPr>
          <w:spacing w:val="7"/>
          <w:sz w:val="13"/>
        </w:rPr>
        <w:t> </w:t>
      </w:r>
      <w:r>
        <w:rPr>
          <w:sz w:val="13"/>
        </w:rPr>
        <w:t>private</w:t>
      </w:r>
      <w:r>
        <w:rPr>
          <w:spacing w:val="8"/>
          <w:sz w:val="13"/>
        </w:rPr>
        <w:t> </w:t>
      </w:r>
      <w:r>
        <w:rPr>
          <w:sz w:val="13"/>
        </w:rPr>
        <w:t>contractors.</w:t>
      </w:r>
    </w:p>
    <w:p>
      <w:pPr>
        <w:pStyle w:val="ListParagraph"/>
        <w:numPr>
          <w:ilvl w:val="0"/>
          <w:numId w:val="36"/>
        </w:numPr>
        <w:tabs>
          <w:tab w:pos="2381" w:val="left" w:leader="none"/>
          <w:tab w:pos="2382" w:val="left" w:leader="none"/>
        </w:tabs>
        <w:spacing w:line="240" w:lineRule="auto" w:before="3" w:after="0"/>
        <w:ind w:left="2381" w:right="0" w:hanging="794"/>
        <w:jc w:val="left"/>
        <w:rPr>
          <w:sz w:val="13"/>
        </w:rPr>
      </w:pPr>
      <w:r>
        <w:rPr>
          <w:w w:val="105"/>
          <w:sz w:val="13"/>
        </w:rPr>
        <w:t>Consultations</w:t>
      </w:r>
      <w:r>
        <w:rPr>
          <w:spacing w:val="5"/>
          <w:w w:val="105"/>
          <w:sz w:val="13"/>
        </w:rPr>
        <w:t> </w:t>
      </w:r>
      <w:r>
        <w:rPr>
          <w:w w:val="105"/>
          <w:sz w:val="13"/>
        </w:rPr>
        <w:t>2</w:t>
      </w:r>
      <w:r>
        <w:rPr>
          <w:spacing w:val="5"/>
          <w:w w:val="105"/>
          <w:sz w:val="13"/>
        </w:rPr>
        <w:t> </w:t>
      </w:r>
      <w:r>
        <w:rPr>
          <w:spacing w:val="3"/>
          <w:w w:val="105"/>
          <w:sz w:val="13"/>
        </w:rPr>
        <w:t>(Dr</w:t>
      </w:r>
      <w:r>
        <w:rPr>
          <w:spacing w:val="6"/>
          <w:w w:val="105"/>
          <w:sz w:val="13"/>
        </w:rPr>
        <w:t> </w:t>
      </w:r>
      <w:r>
        <w:rPr>
          <w:w w:val="105"/>
          <w:sz w:val="13"/>
        </w:rPr>
        <w:t>Gregory</w:t>
      </w:r>
      <w:r>
        <w:rPr>
          <w:spacing w:val="5"/>
          <w:w w:val="105"/>
          <w:sz w:val="13"/>
        </w:rPr>
        <w:t> </w:t>
      </w:r>
      <w:r>
        <w:rPr>
          <w:w w:val="105"/>
          <w:sz w:val="13"/>
        </w:rPr>
        <w:t>Moore</w:t>
      </w:r>
      <w:r>
        <w:rPr>
          <w:spacing w:val="6"/>
          <w:w w:val="105"/>
          <w:sz w:val="13"/>
        </w:rPr>
        <w:t> </w:t>
      </w:r>
      <w:r>
        <w:rPr>
          <w:spacing w:val="2"/>
          <w:w w:val="105"/>
          <w:sz w:val="13"/>
        </w:rPr>
        <w:t>OAM),</w:t>
      </w:r>
      <w:r>
        <w:rPr>
          <w:spacing w:val="5"/>
          <w:w w:val="105"/>
          <w:sz w:val="13"/>
        </w:rPr>
        <w:t> </w:t>
      </w:r>
      <w:r>
        <w:rPr>
          <w:w w:val="105"/>
          <w:sz w:val="13"/>
        </w:rPr>
        <w:t>4</w:t>
      </w:r>
      <w:r>
        <w:rPr>
          <w:spacing w:val="5"/>
          <w:w w:val="105"/>
          <w:sz w:val="13"/>
        </w:rPr>
        <w:t> </w:t>
      </w:r>
      <w:r>
        <w:rPr>
          <w:w w:val="105"/>
          <w:sz w:val="13"/>
        </w:rPr>
        <w:t>(Participants</w:t>
      </w:r>
      <w:r>
        <w:rPr>
          <w:spacing w:val="6"/>
          <w:w w:val="105"/>
          <w:sz w:val="13"/>
        </w:rPr>
        <w:t> </w:t>
      </w:r>
      <w:r>
        <w:rPr>
          <w:w w:val="105"/>
          <w:sz w:val="13"/>
        </w:rPr>
        <w:t>in</w:t>
      </w:r>
      <w:r>
        <w:rPr>
          <w:spacing w:val="5"/>
          <w:w w:val="105"/>
          <w:sz w:val="13"/>
        </w:rPr>
        <w:t> </w:t>
      </w:r>
      <w:r>
        <w:rPr>
          <w:w w:val="105"/>
          <w:sz w:val="13"/>
        </w:rPr>
        <w:t>facilitated</w:t>
      </w:r>
      <w:r>
        <w:rPr>
          <w:spacing w:val="6"/>
          <w:w w:val="105"/>
          <w:sz w:val="13"/>
        </w:rPr>
        <w:t> </w:t>
      </w:r>
      <w:r>
        <w:rPr>
          <w:w w:val="105"/>
          <w:sz w:val="13"/>
        </w:rPr>
        <w:t>discussion</w:t>
      </w:r>
      <w:r>
        <w:rPr>
          <w:spacing w:val="5"/>
          <w:w w:val="105"/>
          <w:sz w:val="13"/>
        </w:rPr>
        <w:t> </w:t>
      </w:r>
      <w:r>
        <w:rPr>
          <w:w w:val="105"/>
          <w:sz w:val="13"/>
        </w:rPr>
        <w:t>at</w:t>
      </w:r>
      <w:r>
        <w:rPr>
          <w:spacing w:val="5"/>
          <w:w w:val="105"/>
          <w:sz w:val="13"/>
        </w:rPr>
        <w:t> </w:t>
      </w:r>
      <w:r>
        <w:rPr>
          <w:spacing w:val="4"/>
          <w:w w:val="105"/>
          <w:sz w:val="13"/>
        </w:rPr>
        <w:t>VTIO</w:t>
      </w:r>
      <w:r>
        <w:rPr>
          <w:spacing w:val="6"/>
          <w:w w:val="105"/>
          <w:sz w:val="13"/>
        </w:rPr>
        <w:t> </w:t>
      </w:r>
      <w:r>
        <w:rPr>
          <w:w w:val="105"/>
          <w:sz w:val="13"/>
        </w:rPr>
        <w:t>ArborCamp2018),</w:t>
      </w:r>
      <w:r>
        <w:rPr>
          <w:spacing w:val="5"/>
          <w:w w:val="105"/>
          <w:sz w:val="13"/>
        </w:rPr>
        <w:t> </w:t>
      </w:r>
      <w:r>
        <w:rPr>
          <w:w w:val="105"/>
          <w:sz w:val="13"/>
        </w:rPr>
        <w:t>6</w:t>
      </w:r>
      <w:r>
        <w:rPr>
          <w:spacing w:val="6"/>
          <w:w w:val="105"/>
          <w:sz w:val="13"/>
        </w:rPr>
        <w:t> </w:t>
      </w:r>
      <w:r>
        <w:rPr>
          <w:spacing w:val="2"/>
          <w:w w:val="105"/>
          <w:sz w:val="13"/>
        </w:rPr>
        <w:t>(Ben</w:t>
      </w:r>
      <w:r>
        <w:rPr>
          <w:spacing w:val="5"/>
          <w:w w:val="105"/>
          <w:sz w:val="13"/>
        </w:rPr>
        <w:t> </w:t>
      </w:r>
      <w:r>
        <w:rPr>
          <w:w w:val="105"/>
          <w:sz w:val="13"/>
        </w:rPr>
        <w:t>Kenyon).</w:t>
      </w:r>
    </w:p>
    <w:p>
      <w:pPr>
        <w:pStyle w:val="ListParagraph"/>
        <w:numPr>
          <w:ilvl w:val="0"/>
          <w:numId w:val="36"/>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31</w:t>
      </w:r>
      <w:r>
        <w:rPr>
          <w:spacing w:val="5"/>
          <w:w w:val="105"/>
          <w:sz w:val="13"/>
        </w:rPr>
        <w:t> </w:t>
      </w:r>
      <w:r>
        <w:rPr>
          <w:spacing w:val="2"/>
          <w:w w:val="105"/>
          <w:sz w:val="13"/>
        </w:rPr>
        <w:t>(Barwon</w:t>
      </w:r>
      <w:r>
        <w:rPr>
          <w:spacing w:val="5"/>
          <w:w w:val="105"/>
          <w:sz w:val="13"/>
        </w:rPr>
        <w:t> </w:t>
      </w:r>
      <w:r>
        <w:rPr>
          <w:w w:val="105"/>
          <w:sz w:val="13"/>
        </w:rPr>
        <w:t>Community</w:t>
      </w:r>
      <w:r>
        <w:rPr>
          <w:spacing w:val="5"/>
          <w:w w:val="105"/>
          <w:sz w:val="13"/>
        </w:rPr>
        <w:t> </w:t>
      </w:r>
      <w:r>
        <w:rPr>
          <w:w w:val="105"/>
          <w:sz w:val="13"/>
        </w:rPr>
        <w:t>Legal</w:t>
      </w:r>
      <w:r>
        <w:rPr>
          <w:spacing w:val="5"/>
          <w:w w:val="105"/>
          <w:sz w:val="13"/>
        </w:rPr>
        <w:t> </w:t>
      </w:r>
      <w:r>
        <w:rPr>
          <w:spacing w:val="2"/>
          <w:w w:val="105"/>
          <w:sz w:val="13"/>
        </w:rPr>
        <w:t>Service),</w:t>
      </w:r>
      <w:r>
        <w:rPr>
          <w:spacing w:val="5"/>
          <w:w w:val="105"/>
          <w:sz w:val="13"/>
        </w:rPr>
        <w:t> </w:t>
      </w:r>
      <w:r>
        <w:rPr>
          <w:w w:val="105"/>
          <w:sz w:val="13"/>
        </w:rPr>
        <w:t>34</w:t>
      </w:r>
      <w:r>
        <w:rPr>
          <w:spacing w:val="5"/>
          <w:w w:val="105"/>
          <w:sz w:val="13"/>
        </w:rPr>
        <w:t> </w:t>
      </w:r>
      <w:r>
        <w:rPr>
          <w:w w:val="105"/>
          <w:sz w:val="13"/>
        </w:rPr>
        <w:t>(Allan</w:t>
      </w:r>
      <w:r>
        <w:rPr>
          <w:spacing w:val="5"/>
          <w:w w:val="105"/>
          <w:sz w:val="13"/>
        </w:rPr>
        <w:t> </w:t>
      </w:r>
      <w:r>
        <w:rPr>
          <w:w w:val="105"/>
          <w:sz w:val="13"/>
        </w:rPr>
        <w:t>Day);</w:t>
      </w:r>
      <w:r>
        <w:rPr>
          <w:spacing w:val="5"/>
          <w:w w:val="105"/>
          <w:sz w:val="13"/>
        </w:rPr>
        <w:t> </w:t>
      </w:r>
      <w:r>
        <w:rPr>
          <w:w w:val="105"/>
          <w:sz w:val="13"/>
        </w:rPr>
        <w:t>Consultation</w:t>
      </w:r>
      <w:r>
        <w:rPr>
          <w:spacing w:val="4"/>
          <w:w w:val="105"/>
          <w:sz w:val="13"/>
        </w:rPr>
        <w:t> </w:t>
      </w:r>
      <w:r>
        <w:rPr>
          <w:w w:val="105"/>
          <w:sz w:val="13"/>
        </w:rPr>
        <w:t>1</w:t>
      </w:r>
      <w:r>
        <w:rPr>
          <w:spacing w:val="5"/>
          <w:w w:val="105"/>
          <w:sz w:val="13"/>
        </w:rPr>
        <w:t> </w:t>
      </w:r>
      <w:r>
        <w:rPr>
          <w:w w:val="105"/>
          <w:sz w:val="13"/>
        </w:rPr>
        <w:t>(Aldo</w:t>
      </w:r>
      <w:r>
        <w:rPr>
          <w:spacing w:val="5"/>
          <w:w w:val="105"/>
          <w:sz w:val="13"/>
        </w:rPr>
        <w:t> </w:t>
      </w:r>
      <w:r>
        <w:rPr>
          <w:w w:val="105"/>
          <w:sz w:val="13"/>
        </w:rPr>
        <w:t>Taranto).</w:t>
      </w:r>
    </w:p>
    <w:p>
      <w:pPr>
        <w:pStyle w:val="ListParagraph"/>
        <w:numPr>
          <w:ilvl w:val="0"/>
          <w:numId w:val="36"/>
        </w:numPr>
        <w:tabs>
          <w:tab w:pos="2381" w:val="left" w:leader="none"/>
          <w:tab w:pos="2382" w:val="left" w:leader="none"/>
        </w:tabs>
        <w:spacing w:line="240" w:lineRule="auto" w:before="1" w:after="0"/>
        <w:ind w:left="2381" w:right="0" w:hanging="794"/>
        <w:jc w:val="left"/>
        <w:rPr>
          <w:sz w:val="13"/>
        </w:rPr>
      </w:pPr>
      <w:r>
        <w:rPr>
          <w:w w:val="105"/>
          <w:sz w:val="13"/>
        </w:rPr>
        <w:t>Survey Respondents 20,</w:t>
      </w:r>
      <w:r>
        <w:rPr>
          <w:spacing w:val="13"/>
          <w:w w:val="105"/>
          <w:sz w:val="13"/>
        </w:rPr>
        <w:t> </w:t>
      </w:r>
      <w:r>
        <w:rPr>
          <w:spacing w:val="-5"/>
          <w:w w:val="105"/>
          <w:sz w:val="13"/>
        </w:rPr>
        <w:t>113.</w:t>
      </w:r>
    </w:p>
    <w:p>
      <w:pPr>
        <w:pStyle w:val="ListParagraph"/>
        <w:numPr>
          <w:ilvl w:val="0"/>
          <w:numId w:val="36"/>
        </w:numPr>
        <w:tabs>
          <w:tab w:pos="2381" w:val="left" w:leader="none"/>
          <w:tab w:pos="2382" w:val="left" w:leader="none"/>
        </w:tabs>
        <w:spacing w:line="240" w:lineRule="auto" w:before="2" w:after="0"/>
        <w:ind w:left="2381" w:right="0" w:hanging="794"/>
        <w:jc w:val="left"/>
        <w:rPr>
          <w:sz w:val="13"/>
        </w:rPr>
      </w:pPr>
      <w:r>
        <w:rPr>
          <w:w w:val="105"/>
          <w:sz w:val="13"/>
        </w:rPr>
        <w:t>Survey Respondent</w:t>
      </w:r>
      <w:r>
        <w:rPr>
          <w:spacing w:val="17"/>
          <w:w w:val="105"/>
          <w:sz w:val="13"/>
        </w:rPr>
        <w:t> </w:t>
      </w:r>
      <w:r>
        <w:rPr>
          <w:w w:val="105"/>
          <w:sz w:val="13"/>
        </w:rPr>
        <w:t>95.</w:t>
      </w:r>
    </w:p>
    <w:p>
      <w:pPr>
        <w:pStyle w:val="ListParagraph"/>
        <w:numPr>
          <w:ilvl w:val="0"/>
          <w:numId w:val="36"/>
        </w:numPr>
        <w:tabs>
          <w:tab w:pos="2381" w:val="left" w:leader="none"/>
          <w:tab w:pos="2382" w:val="left" w:leader="none"/>
        </w:tabs>
        <w:spacing w:line="240" w:lineRule="auto" w:before="1" w:after="0"/>
        <w:ind w:left="2381" w:right="0" w:hanging="794"/>
        <w:jc w:val="left"/>
        <w:rPr>
          <w:sz w:val="13"/>
        </w:rPr>
      </w:pPr>
      <w:r>
        <w:rPr>
          <w:w w:val="105"/>
          <w:sz w:val="13"/>
        </w:rPr>
        <w:t>Survey  Respondent</w:t>
      </w:r>
      <w:r>
        <w:rPr>
          <w:spacing w:val="-13"/>
          <w:w w:val="105"/>
          <w:sz w:val="13"/>
        </w:rPr>
        <w:t> </w:t>
      </w:r>
      <w:r>
        <w:rPr>
          <w:spacing w:val="-6"/>
          <w:w w:val="105"/>
          <w:sz w:val="13"/>
        </w:rPr>
        <w:t>114</w:t>
      </w:r>
    </w:p>
    <w:p>
      <w:pPr>
        <w:pStyle w:val="ListParagraph"/>
        <w:numPr>
          <w:ilvl w:val="0"/>
          <w:numId w:val="36"/>
        </w:numPr>
        <w:tabs>
          <w:tab w:pos="2381" w:val="left" w:leader="none"/>
          <w:tab w:pos="2382" w:val="left" w:leader="none"/>
        </w:tabs>
        <w:spacing w:line="240" w:lineRule="auto" w:before="1" w:after="0"/>
        <w:ind w:left="2381" w:right="0" w:hanging="794"/>
        <w:jc w:val="left"/>
        <w:rPr>
          <w:sz w:val="13"/>
        </w:rPr>
      </w:pPr>
      <w:r>
        <w:rPr>
          <w:w w:val="105"/>
          <w:sz w:val="13"/>
        </w:rPr>
        <w:t>Submission 34 (Allan</w:t>
      </w:r>
      <w:r>
        <w:rPr>
          <w:spacing w:val="13"/>
          <w:w w:val="105"/>
          <w:sz w:val="13"/>
        </w:rPr>
        <w:t> </w:t>
      </w:r>
      <w:r>
        <w:rPr>
          <w:w w:val="105"/>
          <w:sz w:val="13"/>
        </w:rPr>
        <w:t>Day).</w:t>
      </w:r>
    </w:p>
    <w:p>
      <w:pPr>
        <w:pStyle w:val="ListParagraph"/>
        <w:numPr>
          <w:ilvl w:val="0"/>
          <w:numId w:val="36"/>
        </w:numPr>
        <w:tabs>
          <w:tab w:pos="2381" w:val="left" w:leader="none"/>
          <w:tab w:pos="2382" w:val="left" w:leader="none"/>
        </w:tabs>
        <w:spacing w:line="240" w:lineRule="auto" w:before="2"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by</w:t>
      </w:r>
      <w:r>
        <w:rPr>
          <w:spacing w:val="4"/>
          <w:w w:val="105"/>
          <w:sz w:val="13"/>
        </w:rPr>
        <w:t> </w:t>
      </w:r>
      <w:r>
        <w:rPr>
          <w:w w:val="105"/>
          <w:sz w:val="13"/>
        </w:rPr>
        <w:t>a</w:t>
      </w:r>
      <w:r>
        <w:rPr>
          <w:spacing w:val="5"/>
          <w:w w:val="105"/>
          <w:sz w:val="13"/>
        </w:rPr>
        <w:t> </w:t>
      </w:r>
      <w:r>
        <w:rPr>
          <w:w w:val="105"/>
          <w:sz w:val="13"/>
        </w:rPr>
        <w:t>community</w:t>
      </w:r>
      <w:r>
        <w:rPr>
          <w:spacing w:val="5"/>
          <w:w w:val="105"/>
          <w:sz w:val="13"/>
        </w:rPr>
        <w:t> </w:t>
      </w:r>
      <w:r>
        <w:rPr>
          <w:w w:val="105"/>
          <w:sz w:val="13"/>
        </w:rPr>
        <w:t>member</w:t>
      </w:r>
      <w:r>
        <w:rPr>
          <w:spacing w:val="4"/>
          <w:w w:val="105"/>
          <w:sz w:val="13"/>
        </w:rPr>
        <w:t> </w:t>
      </w:r>
      <w:r>
        <w:rPr>
          <w:w w:val="105"/>
          <w:sz w:val="13"/>
        </w:rPr>
        <w:t>to</w:t>
      </w:r>
      <w:r>
        <w:rPr>
          <w:spacing w:val="5"/>
          <w:w w:val="105"/>
          <w:sz w:val="13"/>
        </w:rPr>
        <w:t> </w:t>
      </w:r>
      <w:r>
        <w:rPr>
          <w:w w:val="105"/>
          <w:sz w:val="13"/>
        </w:rPr>
        <w:t>the</w:t>
      </w:r>
      <w:r>
        <w:rPr>
          <w:spacing w:val="5"/>
          <w:w w:val="105"/>
          <w:sz w:val="13"/>
        </w:rPr>
        <w:t> </w:t>
      </w:r>
      <w:r>
        <w:rPr>
          <w:w w:val="105"/>
          <w:sz w:val="13"/>
        </w:rPr>
        <w:t>Commission,</w:t>
      </w:r>
      <w:r>
        <w:rPr>
          <w:spacing w:val="4"/>
          <w:w w:val="105"/>
          <w:sz w:val="13"/>
        </w:rPr>
        <w:t> </w:t>
      </w:r>
      <w:r>
        <w:rPr>
          <w:w w:val="105"/>
          <w:sz w:val="13"/>
        </w:rPr>
        <w:t>1</w:t>
      </w:r>
      <w:r>
        <w:rPr>
          <w:spacing w:val="5"/>
          <w:w w:val="105"/>
          <w:sz w:val="13"/>
        </w:rPr>
        <w:t> </w:t>
      </w:r>
      <w:r>
        <w:rPr>
          <w:w w:val="105"/>
          <w:sz w:val="13"/>
        </w:rPr>
        <w:t>March</w:t>
      </w:r>
      <w:r>
        <w:rPr>
          <w:spacing w:val="5"/>
          <w:w w:val="105"/>
          <w:sz w:val="13"/>
        </w:rPr>
        <w:t> </w:t>
      </w:r>
      <w:r>
        <w:rPr>
          <w:w w:val="105"/>
          <w:sz w:val="13"/>
        </w:rPr>
        <w:t>2018.</w:t>
      </w:r>
    </w:p>
    <w:p>
      <w:pPr>
        <w:pStyle w:val="ListParagraph"/>
        <w:numPr>
          <w:ilvl w:val="0"/>
          <w:numId w:val="36"/>
        </w:numPr>
        <w:tabs>
          <w:tab w:pos="2381" w:val="left" w:leader="none"/>
          <w:tab w:pos="2382" w:val="left" w:leader="none"/>
        </w:tabs>
        <w:spacing w:line="240" w:lineRule="auto" w:before="1" w:after="0"/>
        <w:ind w:left="2381" w:right="0" w:hanging="794"/>
        <w:jc w:val="left"/>
        <w:rPr>
          <w:sz w:val="13"/>
        </w:rPr>
      </w:pPr>
      <w:r>
        <w:rPr>
          <w:w w:val="105"/>
          <w:sz w:val="13"/>
        </w:rPr>
        <w:t>Submissions </w:t>
      </w:r>
      <w:r>
        <w:rPr>
          <w:spacing w:val="-4"/>
          <w:w w:val="105"/>
          <w:sz w:val="13"/>
        </w:rPr>
        <w:t>17 </w:t>
      </w:r>
      <w:r>
        <w:rPr>
          <w:spacing w:val="2"/>
          <w:w w:val="105"/>
          <w:sz w:val="13"/>
        </w:rPr>
        <w:t>(Name </w:t>
      </w:r>
      <w:r>
        <w:rPr>
          <w:w w:val="105"/>
          <w:sz w:val="13"/>
        </w:rPr>
        <w:t>withheld), 21 (Pointon Partners</w:t>
      </w:r>
      <w:r>
        <w:rPr>
          <w:spacing w:val="6"/>
          <w:w w:val="105"/>
          <w:sz w:val="13"/>
        </w:rPr>
        <w:t> </w:t>
      </w:r>
      <w:r>
        <w:rPr>
          <w:spacing w:val="2"/>
          <w:w w:val="105"/>
          <w:sz w:val="13"/>
        </w:rPr>
        <w:t>Lawyers).</w:t>
      </w:r>
    </w:p>
    <w:p>
      <w:pPr>
        <w:pStyle w:val="ListParagraph"/>
        <w:numPr>
          <w:ilvl w:val="0"/>
          <w:numId w:val="36"/>
        </w:numPr>
        <w:tabs>
          <w:tab w:pos="2381" w:val="left" w:leader="none"/>
          <w:tab w:pos="2382" w:val="left" w:leader="none"/>
        </w:tabs>
        <w:spacing w:line="240" w:lineRule="auto" w:before="1"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by</w:t>
      </w:r>
      <w:r>
        <w:rPr>
          <w:spacing w:val="4"/>
          <w:w w:val="105"/>
          <w:sz w:val="13"/>
        </w:rPr>
        <w:t> </w:t>
      </w:r>
      <w:r>
        <w:rPr>
          <w:w w:val="105"/>
          <w:sz w:val="13"/>
        </w:rPr>
        <w:t>a</w:t>
      </w:r>
      <w:r>
        <w:rPr>
          <w:spacing w:val="5"/>
          <w:w w:val="105"/>
          <w:sz w:val="13"/>
        </w:rPr>
        <w:t> </w:t>
      </w:r>
      <w:r>
        <w:rPr>
          <w:w w:val="105"/>
          <w:sz w:val="13"/>
        </w:rPr>
        <w:t>community</w:t>
      </w:r>
      <w:r>
        <w:rPr>
          <w:spacing w:val="4"/>
          <w:w w:val="105"/>
          <w:sz w:val="13"/>
        </w:rPr>
        <w:t> </w:t>
      </w:r>
      <w:r>
        <w:rPr>
          <w:w w:val="105"/>
          <w:sz w:val="13"/>
        </w:rPr>
        <w:t>member</w:t>
      </w:r>
      <w:r>
        <w:rPr>
          <w:spacing w:val="5"/>
          <w:w w:val="105"/>
          <w:sz w:val="13"/>
        </w:rPr>
        <w:t> </w:t>
      </w:r>
      <w:r>
        <w:rPr>
          <w:w w:val="105"/>
          <w:sz w:val="13"/>
        </w:rPr>
        <w:t>to</w:t>
      </w:r>
      <w:r>
        <w:rPr>
          <w:spacing w:val="5"/>
          <w:w w:val="105"/>
          <w:sz w:val="13"/>
        </w:rPr>
        <w:t> </w:t>
      </w:r>
      <w:r>
        <w:rPr>
          <w:w w:val="105"/>
          <w:sz w:val="13"/>
        </w:rPr>
        <w:t>the</w:t>
      </w:r>
      <w:r>
        <w:rPr>
          <w:spacing w:val="4"/>
          <w:w w:val="105"/>
          <w:sz w:val="13"/>
        </w:rPr>
        <w:t> </w:t>
      </w:r>
      <w:r>
        <w:rPr>
          <w:w w:val="105"/>
          <w:sz w:val="13"/>
        </w:rPr>
        <w:t>Commission,1</w:t>
      </w:r>
      <w:r>
        <w:rPr>
          <w:spacing w:val="5"/>
          <w:w w:val="105"/>
          <w:sz w:val="13"/>
        </w:rPr>
        <w:t> </w:t>
      </w:r>
      <w:r>
        <w:rPr>
          <w:w w:val="105"/>
          <w:sz w:val="13"/>
        </w:rPr>
        <w:t>March</w:t>
      </w:r>
      <w:r>
        <w:rPr>
          <w:spacing w:val="4"/>
          <w:w w:val="105"/>
          <w:sz w:val="13"/>
        </w:rPr>
        <w:t> </w:t>
      </w:r>
      <w:r>
        <w:rPr>
          <w:w w:val="105"/>
          <w:sz w:val="13"/>
        </w:rPr>
        <w:t>2018.</w:t>
      </w:r>
    </w:p>
    <w:p>
      <w:pPr>
        <w:pStyle w:val="ListParagraph"/>
        <w:numPr>
          <w:ilvl w:val="0"/>
          <w:numId w:val="36"/>
        </w:numPr>
        <w:tabs>
          <w:tab w:pos="2381" w:val="left" w:leader="none"/>
          <w:tab w:pos="2382" w:val="left" w:leader="none"/>
        </w:tabs>
        <w:spacing w:line="240" w:lineRule="auto" w:before="2" w:after="0"/>
        <w:ind w:left="2381" w:right="0" w:hanging="794"/>
        <w:jc w:val="left"/>
        <w:rPr>
          <w:sz w:val="13"/>
        </w:rPr>
      </w:pPr>
      <w:r>
        <w:rPr>
          <w:w w:val="105"/>
          <w:sz w:val="13"/>
        </w:rPr>
        <w:t>Submissions</w:t>
      </w:r>
      <w:r>
        <w:rPr>
          <w:spacing w:val="4"/>
          <w:w w:val="105"/>
          <w:sz w:val="13"/>
        </w:rPr>
        <w:t> </w:t>
      </w:r>
      <w:r>
        <w:rPr>
          <w:w w:val="105"/>
          <w:sz w:val="13"/>
        </w:rPr>
        <w:t>6</w:t>
      </w:r>
      <w:r>
        <w:rPr>
          <w:spacing w:val="5"/>
          <w:w w:val="105"/>
          <w:sz w:val="13"/>
        </w:rPr>
        <w:t> </w:t>
      </w:r>
      <w:r>
        <w:rPr>
          <w:spacing w:val="2"/>
          <w:w w:val="105"/>
          <w:sz w:val="13"/>
        </w:rPr>
        <w:t>(Name</w:t>
      </w:r>
      <w:r>
        <w:rPr>
          <w:spacing w:val="5"/>
          <w:w w:val="105"/>
          <w:sz w:val="13"/>
        </w:rPr>
        <w:t> </w:t>
      </w:r>
      <w:r>
        <w:rPr>
          <w:w w:val="105"/>
          <w:sz w:val="13"/>
        </w:rPr>
        <w:t>withheld),</w:t>
      </w:r>
      <w:r>
        <w:rPr>
          <w:spacing w:val="4"/>
          <w:w w:val="105"/>
          <w:sz w:val="13"/>
        </w:rPr>
        <w:t> </w:t>
      </w:r>
      <w:r>
        <w:rPr>
          <w:w w:val="105"/>
          <w:sz w:val="13"/>
        </w:rPr>
        <w:t>34</w:t>
      </w:r>
      <w:r>
        <w:rPr>
          <w:spacing w:val="5"/>
          <w:w w:val="105"/>
          <w:sz w:val="13"/>
        </w:rPr>
        <w:t> </w:t>
      </w:r>
      <w:r>
        <w:rPr>
          <w:w w:val="105"/>
          <w:sz w:val="13"/>
        </w:rPr>
        <w:t>(Allan</w:t>
      </w:r>
      <w:r>
        <w:rPr>
          <w:spacing w:val="5"/>
          <w:w w:val="105"/>
          <w:sz w:val="13"/>
        </w:rPr>
        <w:t> </w:t>
      </w:r>
      <w:r>
        <w:rPr>
          <w:w w:val="105"/>
          <w:sz w:val="13"/>
        </w:rPr>
        <w:t>Day);</w:t>
      </w:r>
      <w:r>
        <w:rPr>
          <w:spacing w:val="4"/>
          <w:w w:val="105"/>
          <w:sz w:val="13"/>
        </w:rPr>
        <w:t> </w:t>
      </w:r>
      <w:r>
        <w:rPr>
          <w:w w:val="105"/>
          <w:sz w:val="13"/>
        </w:rPr>
        <w:t>Survey</w:t>
      </w:r>
      <w:r>
        <w:rPr>
          <w:spacing w:val="5"/>
          <w:w w:val="105"/>
          <w:sz w:val="13"/>
        </w:rPr>
        <w:t> </w:t>
      </w:r>
      <w:r>
        <w:rPr>
          <w:w w:val="105"/>
          <w:sz w:val="13"/>
        </w:rPr>
        <w:t>Respondent</w:t>
      </w:r>
      <w:r>
        <w:rPr>
          <w:spacing w:val="5"/>
          <w:w w:val="105"/>
          <w:sz w:val="13"/>
        </w:rPr>
        <w:t> </w:t>
      </w:r>
      <w:r>
        <w:rPr>
          <w:w w:val="105"/>
          <w:sz w:val="13"/>
        </w:rPr>
        <w:t>72.</w:t>
      </w:r>
    </w:p>
    <w:p>
      <w:pPr>
        <w:pStyle w:val="ListParagraph"/>
        <w:numPr>
          <w:ilvl w:val="0"/>
          <w:numId w:val="36"/>
        </w:numPr>
        <w:tabs>
          <w:tab w:pos="2381" w:val="left" w:leader="none"/>
          <w:tab w:pos="2382" w:val="left" w:leader="none"/>
        </w:tabs>
        <w:spacing w:line="240" w:lineRule="auto" w:before="1" w:after="0"/>
        <w:ind w:left="2381" w:right="1693" w:hanging="794"/>
        <w:jc w:val="left"/>
        <w:rPr>
          <w:sz w:val="13"/>
        </w:rPr>
      </w:pPr>
      <w:r>
        <w:rPr/>
        <w:pict>
          <v:shape style="position:absolute;margin-left:549.107483pt;margin-top:2.997966pt;width:13pt;height:14.25pt;mso-position-horizontal-relative:page;mso-position-vertical-relative:paragraph;z-index:3904" type="#_x0000_t202" filled="false" stroked="false">
            <v:textbox inset="0,0,0,0">
              <w:txbxContent>
                <w:p>
                  <w:pPr>
                    <w:spacing w:line="284" w:lineRule="exact" w:before="0"/>
                    <w:ind w:left="0" w:right="0" w:firstLine="0"/>
                    <w:jc w:val="left"/>
                    <w:rPr>
                      <w:b/>
                      <w:sz w:val="24"/>
                    </w:rPr>
                  </w:pPr>
                  <w:r>
                    <w:rPr>
                      <w:b/>
                      <w:color w:val="658464"/>
                      <w:spacing w:val="-4"/>
                      <w:w w:val="110"/>
                      <w:sz w:val="24"/>
                    </w:rPr>
                    <w:t>47</w:t>
                  </w:r>
                </w:p>
              </w:txbxContent>
            </v:textbox>
            <w10:wrap type="none"/>
          </v:shape>
        </w:pict>
      </w:r>
      <w:r>
        <w:rPr>
          <w:w w:val="105"/>
          <w:sz w:val="13"/>
        </w:rPr>
        <w:t>Submissions 5 </w:t>
      </w:r>
      <w:r>
        <w:rPr>
          <w:spacing w:val="2"/>
          <w:w w:val="105"/>
          <w:sz w:val="13"/>
        </w:rPr>
        <w:t>(Name </w:t>
      </w:r>
      <w:r>
        <w:rPr>
          <w:w w:val="105"/>
          <w:sz w:val="13"/>
        </w:rPr>
        <w:t>withheld), 6 </w:t>
      </w:r>
      <w:r>
        <w:rPr>
          <w:spacing w:val="2"/>
          <w:w w:val="105"/>
          <w:sz w:val="13"/>
        </w:rPr>
        <w:t>(Name </w:t>
      </w:r>
      <w:r>
        <w:rPr>
          <w:w w:val="105"/>
          <w:sz w:val="13"/>
        </w:rPr>
        <w:t>withheld), 34 (Allan Day), 36 (Monique </w:t>
      </w:r>
      <w:r>
        <w:rPr>
          <w:spacing w:val="2"/>
          <w:w w:val="105"/>
          <w:sz w:val="13"/>
        </w:rPr>
        <w:t>Onezime); </w:t>
      </w:r>
      <w:r>
        <w:rPr>
          <w:w w:val="105"/>
          <w:sz w:val="13"/>
        </w:rPr>
        <w:t>Survey Respondents 18, 72, 93, 99, 106, </w:t>
      </w:r>
      <w:r>
        <w:rPr>
          <w:spacing w:val="-7"/>
          <w:w w:val="105"/>
          <w:sz w:val="13"/>
        </w:rPr>
        <w:t>111, </w:t>
      </w:r>
      <w:r>
        <w:rPr>
          <w:spacing w:val="-5"/>
          <w:w w:val="105"/>
          <w:sz w:val="13"/>
        </w:rPr>
        <w:t>112,</w:t>
      </w:r>
      <w:r>
        <w:rPr>
          <w:spacing w:val="4"/>
          <w:w w:val="105"/>
          <w:sz w:val="13"/>
        </w:rPr>
        <w:t> </w:t>
      </w:r>
      <w:r>
        <w:rPr>
          <w:spacing w:val="-4"/>
          <w:w w:val="105"/>
          <w:sz w:val="13"/>
        </w:rPr>
        <w:t>114.</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0"/>
          <w:numId w:val="35"/>
        </w:numPr>
        <w:tabs>
          <w:tab w:pos="2380" w:val="left" w:leader="none"/>
          <w:tab w:pos="2381" w:val="left" w:leader="none"/>
        </w:tabs>
        <w:spacing w:line="242" w:lineRule="auto" w:before="92" w:after="0"/>
        <w:ind w:left="2381" w:right="1668" w:hanging="794"/>
        <w:jc w:val="left"/>
        <w:rPr>
          <w:sz w:val="12"/>
        </w:rPr>
      </w:pPr>
      <w:r>
        <w:rPr>
          <w:sz w:val="21"/>
        </w:rPr>
        <w:t>A </w:t>
      </w:r>
      <w:r>
        <w:rPr>
          <w:spacing w:val="-2"/>
          <w:sz w:val="21"/>
        </w:rPr>
        <w:t>common </w:t>
      </w:r>
      <w:r>
        <w:rPr>
          <w:sz w:val="21"/>
        </w:rPr>
        <w:t>theme in community responses was </w:t>
      </w:r>
      <w:r>
        <w:rPr>
          <w:spacing w:val="-3"/>
          <w:sz w:val="21"/>
        </w:rPr>
        <w:t>that  </w:t>
      </w:r>
      <w:r>
        <w:rPr>
          <w:sz w:val="21"/>
        </w:rPr>
        <w:t>even though the tree is the property  of the owner of the </w:t>
      </w:r>
      <w:r>
        <w:rPr>
          <w:spacing w:val="-3"/>
          <w:sz w:val="21"/>
        </w:rPr>
        <w:t>land </w:t>
      </w:r>
      <w:r>
        <w:rPr>
          <w:sz w:val="21"/>
        </w:rPr>
        <w:t>on which is grows, the affected </w:t>
      </w:r>
      <w:r>
        <w:rPr>
          <w:spacing w:val="-3"/>
          <w:sz w:val="21"/>
        </w:rPr>
        <w:t>neighbour </w:t>
      </w:r>
      <w:r>
        <w:rPr>
          <w:sz w:val="21"/>
        </w:rPr>
        <w:t>is left with the </w:t>
      </w:r>
      <w:r>
        <w:rPr>
          <w:spacing w:val="-3"/>
          <w:sz w:val="21"/>
        </w:rPr>
        <w:t>responsibility </w:t>
      </w:r>
      <w:r>
        <w:rPr>
          <w:sz w:val="21"/>
        </w:rPr>
        <w:t>of </w:t>
      </w:r>
      <w:r>
        <w:rPr>
          <w:spacing w:val="-3"/>
          <w:sz w:val="21"/>
        </w:rPr>
        <w:t>managing </w:t>
      </w:r>
      <w:r>
        <w:rPr>
          <w:sz w:val="21"/>
        </w:rPr>
        <w:t>the growth and effects of </w:t>
      </w:r>
      <w:r>
        <w:rPr>
          <w:spacing w:val="-3"/>
          <w:sz w:val="21"/>
        </w:rPr>
        <w:t>that </w:t>
      </w:r>
      <w:r>
        <w:rPr>
          <w:sz w:val="21"/>
        </w:rPr>
        <w:t>tree as it encroaches over the fence.</w:t>
      </w:r>
      <w:r>
        <w:rPr>
          <w:position w:val="7"/>
          <w:sz w:val="12"/>
        </w:rPr>
        <w:t>238</w:t>
      </w:r>
    </w:p>
    <w:p>
      <w:pPr>
        <w:pStyle w:val="ListParagraph"/>
        <w:numPr>
          <w:ilvl w:val="0"/>
          <w:numId w:val="35"/>
        </w:numPr>
        <w:tabs>
          <w:tab w:pos="2380" w:val="left" w:leader="none"/>
          <w:tab w:pos="2381" w:val="left" w:leader="none"/>
        </w:tabs>
        <w:spacing w:line="242" w:lineRule="auto" w:before="124" w:after="0"/>
        <w:ind w:left="2381" w:right="1637" w:hanging="794"/>
        <w:jc w:val="left"/>
        <w:rPr>
          <w:sz w:val="12"/>
        </w:rPr>
      </w:pPr>
      <w:r>
        <w:rPr>
          <w:spacing w:val="-3"/>
          <w:w w:val="105"/>
          <w:sz w:val="21"/>
        </w:rPr>
        <w:t>Many</w:t>
      </w:r>
      <w:r>
        <w:rPr>
          <w:spacing w:val="-7"/>
          <w:w w:val="105"/>
          <w:sz w:val="21"/>
        </w:rPr>
        <w:t> </w:t>
      </w:r>
      <w:r>
        <w:rPr>
          <w:w w:val="105"/>
          <w:sz w:val="21"/>
        </w:rPr>
        <w:t>affected</w:t>
      </w:r>
      <w:r>
        <w:rPr>
          <w:spacing w:val="-6"/>
          <w:w w:val="105"/>
          <w:sz w:val="21"/>
        </w:rPr>
        <w:t> </w:t>
      </w:r>
      <w:r>
        <w:rPr>
          <w:w w:val="105"/>
          <w:sz w:val="21"/>
        </w:rPr>
        <w:t>neighbours</w:t>
      </w:r>
      <w:r>
        <w:rPr>
          <w:spacing w:val="-6"/>
          <w:w w:val="105"/>
          <w:sz w:val="21"/>
        </w:rPr>
        <w:t> </w:t>
      </w:r>
      <w:r>
        <w:rPr>
          <w:spacing w:val="-3"/>
          <w:w w:val="105"/>
          <w:sz w:val="21"/>
        </w:rPr>
        <w:t>were</w:t>
      </w:r>
      <w:r>
        <w:rPr>
          <w:spacing w:val="-6"/>
          <w:w w:val="105"/>
          <w:sz w:val="21"/>
        </w:rPr>
        <w:t> </w:t>
      </w:r>
      <w:r>
        <w:rPr>
          <w:spacing w:val="-3"/>
          <w:w w:val="105"/>
          <w:sz w:val="21"/>
        </w:rPr>
        <w:t>concerned</w:t>
      </w:r>
      <w:r>
        <w:rPr>
          <w:spacing w:val="-6"/>
          <w:w w:val="105"/>
          <w:sz w:val="21"/>
        </w:rPr>
        <w:t> </w:t>
      </w:r>
      <w:r>
        <w:rPr>
          <w:spacing w:val="-3"/>
          <w:w w:val="105"/>
          <w:sz w:val="21"/>
        </w:rPr>
        <w:t>that</w:t>
      </w:r>
      <w:r>
        <w:rPr>
          <w:spacing w:val="-7"/>
          <w:w w:val="105"/>
          <w:sz w:val="21"/>
        </w:rPr>
        <w:t> </w:t>
      </w:r>
      <w:r>
        <w:rPr>
          <w:w w:val="105"/>
          <w:sz w:val="21"/>
        </w:rPr>
        <w:t>the</w:t>
      </w:r>
      <w:r>
        <w:rPr>
          <w:spacing w:val="-6"/>
          <w:w w:val="105"/>
          <w:sz w:val="21"/>
        </w:rPr>
        <w:t> </w:t>
      </w:r>
      <w:r>
        <w:rPr>
          <w:w w:val="105"/>
          <w:sz w:val="21"/>
        </w:rPr>
        <w:t>law</w:t>
      </w:r>
      <w:r>
        <w:rPr>
          <w:spacing w:val="-6"/>
          <w:w w:val="105"/>
          <w:sz w:val="21"/>
        </w:rPr>
        <w:t> </w:t>
      </w:r>
      <w:r>
        <w:rPr>
          <w:w w:val="105"/>
          <w:sz w:val="21"/>
        </w:rPr>
        <w:t>appears</w:t>
      </w:r>
      <w:r>
        <w:rPr>
          <w:spacing w:val="-6"/>
          <w:w w:val="105"/>
          <w:sz w:val="21"/>
        </w:rPr>
        <w:t> </w:t>
      </w:r>
      <w:r>
        <w:rPr>
          <w:spacing w:val="-3"/>
          <w:w w:val="105"/>
          <w:sz w:val="21"/>
        </w:rPr>
        <w:t>to</w:t>
      </w:r>
      <w:r>
        <w:rPr>
          <w:spacing w:val="-6"/>
          <w:w w:val="105"/>
          <w:sz w:val="21"/>
        </w:rPr>
        <w:t> </w:t>
      </w:r>
      <w:r>
        <w:rPr>
          <w:spacing w:val="-3"/>
          <w:w w:val="105"/>
          <w:sz w:val="21"/>
        </w:rPr>
        <w:t>favour</w:t>
      </w:r>
      <w:r>
        <w:rPr>
          <w:spacing w:val="-7"/>
          <w:w w:val="105"/>
          <w:sz w:val="21"/>
        </w:rPr>
        <w:t> </w:t>
      </w:r>
      <w:r>
        <w:rPr>
          <w:w w:val="105"/>
          <w:sz w:val="21"/>
        </w:rPr>
        <w:t>the</w:t>
      </w:r>
      <w:r>
        <w:rPr>
          <w:spacing w:val="-6"/>
          <w:w w:val="105"/>
          <w:sz w:val="21"/>
        </w:rPr>
        <w:t> </w:t>
      </w:r>
      <w:r>
        <w:rPr>
          <w:w w:val="105"/>
          <w:sz w:val="21"/>
        </w:rPr>
        <w:t>tree</w:t>
      </w:r>
      <w:r>
        <w:rPr>
          <w:spacing w:val="-6"/>
          <w:w w:val="105"/>
          <w:sz w:val="21"/>
        </w:rPr>
        <w:t> </w:t>
      </w:r>
      <w:r>
        <w:rPr>
          <w:w w:val="105"/>
          <w:sz w:val="21"/>
        </w:rPr>
        <w:t>owner because it does </w:t>
      </w:r>
      <w:r>
        <w:rPr>
          <w:spacing w:val="-2"/>
          <w:w w:val="105"/>
          <w:sz w:val="21"/>
        </w:rPr>
        <w:t>not </w:t>
      </w:r>
      <w:r>
        <w:rPr>
          <w:w w:val="105"/>
          <w:sz w:val="21"/>
        </w:rPr>
        <w:t>put </w:t>
      </w:r>
      <w:r>
        <w:rPr>
          <w:spacing w:val="-3"/>
          <w:w w:val="105"/>
          <w:sz w:val="21"/>
        </w:rPr>
        <w:t>any obligations </w:t>
      </w:r>
      <w:r>
        <w:rPr>
          <w:w w:val="105"/>
          <w:sz w:val="21"/>
        </w:rPr>
        <w:t>on the owner </w:t>
      </w:r>
      <w:r>
        <w:rPr>
          <w:spacing w:val="-3"/>
          <w:w w:val="105"/>
          <w:sz w:val="21"/>
        </w:rPr>
        <w:t>to maintain </w:t>
      </w:r>
      <w:r>
        <w:rPr>
          <w:w w:val="105"/>
          <w:sz w:val="21"/>
        </w:rPr>
        <w:t>their </w:t>
      </w:r>
      <w:r>
        <w:rPr>
          <w:spacing w:val="-3"/>
          <w:w w:val="105"/>
          <w:sz w:val="21"/>
        </w:rPr>
        <w:t>tree. </w:t>
      </w:r>
      <w:r>
        <w:rPr>
          <w:w w:val="105"/>
          <w:sz w:val="21"/>
        </w:rPr>
        <w:t>In doing </w:t>
      </w:r>
      <w:r>
        <w:rPr>
          <w:spacing w:val="-3"/>
          <w:w w:val="105"/>
          <w:sz w:val="21"/>
        </w:rPr>
        <w:t>so, </w:t>
      </w:r>
      <w:r>
        <w:rPr>
          <w:w w:val="105"/>
          <w:sz w:val="21"/>
        </w:rPr>
        <w:t>it appears </w:t>
      </w:r>
      <w:r>
        <w:rPr>
          <w:spacing w:val="-3"/>
          <w:w w:val="105"/>
          <w:sz w:val="21"/>
        </w:rPr>
        <w:t>to allow </w:t>
      </w:r>
      <w:r>
        <w:rPr>
          <w:w w:val="105"/>
          <w:sz w:val="21"/>
        </w:rPr>
        <w:t>the owner </w:t>
      </w:r>
      <w:r>
        <w:rPr>
          <w:spacing w:val="-3"/>
          <w:w w:val="105"/>
          <w:sz w:val="21"/>
        </w:rPr>
        <w:t>to ignore </w:t>
      </w:r>
      <w:r>
        <w:rPr>
          <w:w w:val="105"/>
          <w:sz w:val="21"/>
        </w:rPr>
        <w:t>or </w:t>
      </w:r>
      <w:r>
        <w:rPr>
          <w:spacing w:val="-3"/>
          <w:w w:val="105"/>
          <w:sz w:val="21"/>
        </w:rPr>
        <w:t>refuse </w:t>
      </w:r>
      <w:r>
        <w:rPr>
          <w:w w:val="105"/>
          <w:sz w:val="21"/>
        </w:rPr>
        <w:t>even </w:t>
      </w:r>
      <w:r>
        <w:rPr>
          <w:spacing w:val="-3"/>
          <w:w w:val="105"/>
          <w:sz w:val="21"/>
        </w:rPr>
        <w:t>reasonable </w:t>
      </w:r>
      <w:r>
        <w:rPr>
          <w:w w:val="105"/>
          <w:sz w:val="21"/>
        </w:rPr>
        <w:t>requests or </w:t>
      </w:r>
      <w:r>
        <w:rPr>
          <w:spacing w:val="-3"/>
          <w:w w:val="105"/>
          <w:sz w:val="21"/>
        </w:rPr>
        <w:t>genuine </w:t>
      </w:r>
      <w:r>
        <w:rPr>
          <w:w w:val="105"/>
          <w:sz w:val="21"/>
        </w:rPr>
        <w:t>efforts </w:t>
      </w:r>
      <w:r>
        <w:rPr>
          <w:spacing w:val="-3"/>
          <w:w w:val="105"/>
          <w:sz w:val="21"/>
        </w:rPr>
        <w:t>to </w:t>
      </w:r>
      <w:r>
        <w:rPr>
          <w:w w:val="105"/>
          <w:sz w:val="21"/>
        </w:rPr>
        <w:t>resolve the </w:t>
      </w:r>
      <w:r>
        <w:rPr>
          <w:spacing w:val="-3"/>
          <w:w w:val="105"/>
          <w:sz w:val="21"/>
        </w:rPr>
        <w:t>dispute </w:t>
      </w:r>
      <w:r>
        <w:rPr>
          <w:w w:val="105"/>
          <w:sz w:val="21"/>
        </w:rPr>
        <w:t>by their </w:t>
      </w:r>
      <w:r>
        <w:rPr>
          <w:spacing w:val="-3"/>
          <w:w w:val="105"/>
          <w:sz w:val="21"/>
        </w:rPr>
        <w:t>neighbour.</w:t>
      </w:r>
      <w:r>
        <w:rPr>
          <w:spacing w:val="-3"/>
          <w:w w:val="105"/>
          <w:position w:val="7"/>
          <w:sz w:val="12"/>
        </w:rPr>
        <w:t>239 </w:t>
      </w:r>
      <w:r>
        <w:rPr>
          <w:w w:val="105"/>
          <w:sz w:val="21"/>
        </w:rPr>
        <w:t>In </w:t>
      </w:r>
      <w:r>
        <w:rPr>
          <w:spacing w:val="-3"/>
          <w:w w:val="105"/>
          <w:sz w:val="21"/>
        </w:rPr>
        <w:t>addition, concern </w:t>
      </w:r>
      <w:r>
        <w:rPr>
          <w:w w:val="105"/>
          <w:sz w:val="21"/>
        </w:rPr>
        <w:t>was expressed </w:t>
      </w:r>
      <w:r>
        <w:rPr>
          <w:spacing w:val="-3"/>
          <w:w w:val="105"/>
          <w:sz w:val="21"/>
        </w:rPr>
        <w:t>that </w:t>
      </w:r>
      <w:r>
        <w:rPr>
          <w:w w:val="105"/>
          <w:sz w:val="21"/>
        </w:rPr>
        <w:t>an affected </w:t>
      </w:r>
      <w:r>
        <w:rPr>
          <w:spacing w:val="-3"/>
          <w:w w:val="105"/>
          <w:sz w:val="21"/>
        </w:rPr>
        <w:t>neighbour cannot recoup any </w:t>
      </w:r>
      <w:r>
        <w:rPr>
          <w:w w:val="105"/>
          <w:sz w:val="21"/>
        </w:rPr>
        <w:t>costs associated with </w:t>
      </w:r>
      <w:r>
        <w:rPr>
          <w:spacing w:val="-3"/>
          <w:w w:val="105"/>
          <w:sz w:val="21"/>
        </w:rPr>
        <w:t>abatement, such </w:t>
      </w:r>
      <w:r>
        <w:rPr>
          <w:w w:val="105"/>
          <w:sz w:val="21"/>
        </w:rPr>
        <w:t>as the cost of </w:t>
      </w:r>
      <w:r>
        <w:rPr>
          <w:spacing w:val="-3"/>
          <w:w w:val="105"/>
          <w:sz w:val="21"/>
        </w:rPr>
        <w:t>engaging </w:t>
      </w:r>
      <w:r>
        <w:rPr>
          <w:w w:val="105"/>
          <w:sz w:val="21"/>
        </w:rPr>
        <w:t>an arborist </w:t>
      </w:r>
      <w:r>
        <w:rPr>
          <w:spacing w:val="-3"/>
          <w:w w:val="105"/>
          <w:sz w:val="21"/>
        </w:rPr>
        <w:t>to </w:t>
      </w:r>
      <w:r>
        <w:rPr>
          <w:w w:val="105"/>
          <w:sz w:val="21"/>
        </w:rPr>
        <w:t>prune</w:t>
      </w:r>
      <w:r>
        <w:rPr>
          <w:spacing w:val="42"/>
          <w:w w:val="105"/>
          <w:sz w:val="21"/>
        </w:rPr>
        <w:t> </w:t>
      </w:r>
      <w:r>
        <w:rPr>
          <w:w w:val="105"/>
          <w:sz w:val="21"/>
        </w:rPr>
        <w:t>branches.</w:t>
      </w:r>
      <w:r>
        <w:rPr>
          <w:w w:val="105"/>
          <w:position w:val="7"/>
          <w:sz w:val="12"/>
        </w:rPr>
        <w:t>240</w:t>
      </w:r>
    </w:p>
    <w:p>
      <w:pPr>
        <w:pStyle w:val="ListParagraph"/>
        <w:numPr>
          <w:ilvl w:val="0"/>
          <w:numId w:val="35"/>
        </w:numPr>
        <w:tabs>
          <w:tab w:pos="2381" w:val="left" w:leader="none"/>
          <w:tab w:pos="2382" w:val="left" w:leader="none"/>
        </w:tabs>
        <w:spacing w:line="240" w:lineRule="auto" w:before="127" w:after="0"/>
        <w:ind w:left="2381" w:right="0" w:hanging="794"/>
        <w:jc w:val="left"/>
        <w:rPr>
          <w:sz w:val="21"/>
        </w:rPr>
      </w:pPr>
      <w:r>
        <w:rPr>
          <w:spacing w:val="-3"/>
          <w:w w:val="105"/>
          <w:sz w:val="21"/>
        </w:rPr>
        <w:t>Community </w:t>
      </w:r>
      <w:r>
        <w:rPr>
          <w:w w:val="105"/>
          <w:sz w:val="21"/>
        </w:rPr>
        <w:t>responses</w:t>
      </w:r>
      <w:r>
        <w:rPr>
          <w:spacing w:val="13"/>
          <w:w w:val="105"/>
          <w:sz w:val="21"/>
        </w:rPr>
        <w:t> </w:t>
      </w:r>
      <w:r>
        <w:rPr>
          <w:w w:val="105"/>
          <w:sz w:val="21"/>
        </w:rPr>
        <w:t>noted:</w:t>
      </w:r>
    </w:p>
    <w:p>
      <w:pPr>
        <w:spacing w:before="133"/>
        <w:ind w:left="2834" w:right="0" w:firstLine="0"/>
        <w:jc w:val="left"/>
        <w:rPr>
          <w:sz w:val="11"/>
        </w:rPr>
      </w:pPr>
      <w:r>
        <w:rPr>
          <w:sz w:val="20"/>
        </w:rPr>
        <w:t>Your tree, your responsibility. </w:t>
      </w:r>
      <w:r>
        <w:rPr>
          <w:position w:val="7"/>
          <w:sz w:val="11"/>
        </w:rPr>
        <w:t>241</w:t>
      </w:r>
    </w:p>
    <w:p>
      <w:pPr>
        <w:spacing w:line="254" w:lineRule="auto" w:before="136"/>
        <w:ind w:left="2834" w:right="1858" w:firstLine="0"/>
        <w:jc w:val="left"/>
        <w:rPr>
          <w:sz w:val="20"/>
        </w:rPr>
      </w:pPr>
      <w:r>
        <w:rPr>
          <w:sz w:val="20"/>
        </w:rPr>
        <w:t>The law </w:t>
      </w:r>
      <w:r>
        <w:rPr>
          <w:spacing w:val="-3"/>
          <w:sz w:val="20"/>
        </w:rPr>
        <w:t>currently  </w:t>
      </w:r>
      <w:r>
        <w:rPr>
          <w:sz w:val="20"/>
        </w:rPr>
        <w:t>allows me to cut back </w:t>
      </w:r>
      <w:r>
        <w:rPr>
          <w:spacing w:val="-3"/>
          <w:sz w:val="20"/>
        </w:rPr>
        <w:t>overhanging</w:t>
      </w:r>
      <w:r>
        <w:rPr>
          <w:spacing w:val="39"/>
          <w:sz w:val="20"/>
        </w:rPr>
        <w:t> </w:t>
      </w:r>
      <w:r>
        <w:rPr>
          <w:sz w:val="20"/>
        </w:rPr>
        <w:t>tree branches and </w:t>
      </w:r>
      <w:r>
        <w:rPr>
          <w:spacing w:val="-2"/>
          <w:sz w:val="20"/>
        </w:rPr>
        <w:t>return  </w:t>
      </w:r>
      <w:r>
        <w:rPr>
          <w:sz w:val="20"/>
        </w:rPr>
        <w:t>them to   my </w:t>
      </w:r>
      <w:r>
        <w:rPr>
          <w:spacing w:val="-3"/>
          <w:sz w:val="20"/>
        </w:rPr>
        <w:t>neighbour.  </w:t>
      </w:r>
      <w:r>
        <w:rPr>
          <w:sz w:val="20"/>
        </w:rPr>
        <w:t>This is an expensive ongoing issue that is hard work for me as I do not       </w:t>
      </w:r>
      <w:r>
        <w:rPr>
          <w:spacing w:val="-3"/>
          <w:sz w:val="20"/>
        </w:rPr>
        <w:t>hire </w:t>
      </w:r>
      <w:r>
        <w:rPr>
          <w:sz w:val="20"/>
        </w:rPr>
        <w:t>professional companies to do the job for </w:t>
      </w:r>
      <w:r>
        <w:rPr>
          <w:spacing w:val="-3"/>
          <w:sz w:val="20"/>
        </w:rPr>
        <w:t>me. </w:t>
      </w:r>
      <w:r>
        <w:rPr>
          <w:sz w:val="20"/>
        </w:rPr>
        <w:t>I undertake the work to try and reduce the</w:t>
      </w:r>
      <w:r>
        <w:rPr>
          <w:spacing w:val="12"/>
          <w:sz w:val="20"/>
        </w:rPr>
        <w:t> </w:t>
      </w:r>
      <w:r>
        <w:rPr>
          <w:sz w:val="20"/>
        </w:rPr>
        <w:t>cost</w:t>
      </w:r>
      <w:r>
        <w:rPr>
          <w:spacing w:val="13"/>
          <w:sz w:val="20"/>
        </w:rPr>
        <w:t> </w:t>
      </w:r>
      <w:r>
        <w:rPr>
          <w:w w:val="115"/>
          <w:sz w:val="20"/>
        </w:rPr>
        <w:t>…</w:t>
      </w:r>
      <w:r>
        <w:rPr>
          <w:spacing w:val="5"/>
          <w:w w:val="115"/>
          <w:sz w:val="20"/>
        </w:rPr>
        <w:t> </w:t>
      </w:r>
      <w:r>
        <w:rPr>
          <w:sz w:val="20"/>
        </w:rPr>
        <w:t>I</w:t>
      </w:r>
      <w:r>
        <w:rPr>
          <w:spacing w:val="13"/>
          <w:sz w:val="20"/>
        </w:rPr>
        <w:t> </w:t>
      </w:r>
      <w:r>
        <w:rPr>
          <w:sz w:val="20"/>
        </w:rPr>
        <w:t>do</w:t>
      </w:r>
      <w:r>
        <w:rPr>
          <w:spacing w:val="13"/>
          <w:sz w:val="20"/>
        </w:rPr>
        <w:t> </w:t>
      </w:r>
      <w:r>
        <w:rPr>
          <w:sz w:val="20"/>
        </w:rPr>
        <w:t>not</w:t>
      </w:r>
      <w:r>
        <w:rPr>
          <w:spacing w:val="12"/>
          <w:sz w:val="20"/>
        </w:rPr>
        <w:t> </w:t>
      </w:r>
      <w:r>
        <w:rPr>
          <w:sz w:val="20"/>
        </w:rPr>
        <w:t>own</w:t>
      </w:r>
      <w:r>
        <w:rPr>
          <w:spacing w:val="13"/>
          <w:sz w:val="20"/>
        </w:rPr>
        <w:t> </w:t>
      </w:r>
      <w:r>
        <w:rPr>
          <w:sz w:val="20"/>
        </w:rPr>
        <w:t>the</w:t>
      </w:r>
      <w:r>
        <w:rPr>
          <w:spacing w:val="12"/>
          <w:sz w:val="20"/>
        </w:rPr>
        <w:t> </w:t>
      </w:r>
      <w:r>
        <w:rPr>
          <w:sz w:val="20"/>
        </w:rPr>
        <w:t>trees</w:t>
      </w:r>
      <w:r>
        <w:rPr>
          <w:spacing w:val="13"/>
          <w:sz w:val="20"/>
        </w:rPr>
        <w:t> </w:t>
      </w:r>
      <w:r>
        <w:rPr>
          <w:sz w:val="20"/>
        </w:rPr>
        <w:t>therefore</w:t>
      </w:r>
      <w:r>
        <w:rPr>
          <w:spacing w:val="13"/>
          <w:sz w:val="20"/>
        </w:rPr>
        <w:t> </w:t>
      </w:r>
      <w:r>
        <w:rPr>
          <w:sz w:val="20"/>
        </w:rPr>
        <w:t>why</w:t>
      </w:r>
      <w:r>
        <w:rPr>
          <w:spacing w:val="12"/>
          <w:sz w:val="20"/>
        </w:rPr>
        <w:t> </w:t>
      </w:r>
      <w:r>
        <w:rPr>
          <w:sz w:val="20"/>
        </w:rPr>
        <w:t>should</w:t>
      </w:r>
      <w:r>
        <w:rPr>
          <w:spacing w:val="13"/>
          <w:sz w:val="20"/>
        </w:rPr>
        <w:t> </w:t>
      </w:r>
      <w:r>
        <w:rPr>
          <w:sz w:val="20"/>
        </w:rPr>
        <w:t>I</w:t>
      </w:r>
      <w:r>
        <w:rPr>
          <w:spacing w:val="12"/>
          <w:sz w:val="20"/>
        </w:rPr>
        <w:t> </w:t>
      </w:r>
      <w:r>
        <w:rPr>
          <w:spacing w:val="-3"/>
          <w:sz w:val="20"/>
        </w:rPr>
        <w:t>have</w:t>
      </w:r>
      <w:r>
        <w:rPr>
          <w:spacing w:val="13"/>
          <w:sz w:val="20"/>
        </w:rPr>
        <w:t> </w:t>
      </w:r>
      <w:r>
        <w:rPr>
          <w:sz w:val="20"/>
        </w:rPr>
        <w:t>to</w:t>
      </w:r>
      <w:r>
        <w:rPr>
          <w:spacing w:val="13"/>
          <w:sz w:val="20"/>
        </w:rPr>
        <w:t> </w:t>
      </w:r>
      <w:r>
        <w:rPr>
          <w:spacing w:val="-3"/>
          <w:sz w:val="20"/>
        </w:rPr>
        <w:t>take</w:t>
      </w:r>
      <w:r>
        <w:rPr>
          <w:spacing w:val="12"/>
          <w:sz w:val="20"/>
        </w:rPr>
        <w:t> </w:t>
      </w:r>
      <w:r>
        <w:rPr>
          <w:sz w:val="20"/>
        </w:rPr>
        <w:t>responsibility</w:t>
      </w:r>
    </w:p>
    <w:p>
      <w:pPr>
        <w:spacing w:line="254" w:lineRule="auto" w:before="4"/>
        <w:ind w:left="2834" w:right="1636" w:firstLine="0"/>
        <w:jc w:val="left"/>
        <w:rPr>
          <w:sz w:val="11"/>
        </w:rPr>
      </w:pPr>
      <w:r>
        <w:rPr>
          <w:sz w:val="20"/>
        </w:rPr>
        <w:t>to maintain them. Trees grow and spread, it should be the owner’s responsibility to maintain them.</w:t>
      </w:r>
      <w:r>
        <w:rPr>
          <w:position w:val="7"/>
          <w:sz w:val="11"/>
        </w:rPr>
        <w:t>242</w:t>
      </w:r>
    </w:p>
    <w:p>
      <w:pPr>
        <w:spacing w:line="254" w:lineRule="auto" w:before="123"/>
        <w:ind w:left="2834" w:right="2032" w:firstLine="0"/>
        <w:jc w:val="left"/>
        <w:rPr>
          <w:sz w:val="11"/>
        </w:rPr>
      </w:pPr>
      <w:r>
        <w:rPr>
          <w:w w:val="115"/>
          <w:sz w:val="20"/>
        </w:rPr>
        <w:t>… </w:t>
      </w:r>
      <w:r>
        <w:rPr>
          <w:sz w:val="20"/>
        </w:rPr>
        <w:t>[the law is] totally in </w:t>
      </w:r>
      <w:r>
        <w:rPr>
          <w:spacing w:val="-3"/>
          <w:sz w:val="20"/>
        </w:rPr>
        <w:t>favour </w:t>
      </w:r>
      <w:r>
        <w:rPr>
          <w:sz w:val="20"/>
        </w:rPr>
        <w:t>of the person who owns the tree and they are the ones causing the trouble it is very </w:t>
      </w:r>
      <w:r>
        <w:rPr>
          <w:spacing w:val="-5"/>
          <w:sz w:val="20"/>
        </w:rPr>
        <w:t>unfair,  </w:t>
      </w:r>
      <w:r>
        <w:rPr>
          <w:sz w:val="20"/>
        </w:rPr>
        <w:t>I </w:t>
      </w:r>
      <w:r>
        <w:rPr>
          <w:spacing w:val="-3"/>
          <w:sz w:val="20"/>
        </w:rPr>
        <w:t>have  </w:t>
      </w:r>
      <w:r>
        <w:rPr>
          <w:sz w:val="20"/>
        </w:rPr>
        <w:t>done nothing to cause the situation but its  left all to me to deal with the </w:t>
      </w:r>
      <w:r>
        <w:rPr>
          <w:spacing w:val="-3"/>
          <w:sz w:val="20"/>
        </w:rPr>
        <w:t>situation, </w:t>
      </w:r>
      <w:r>
        <w:rPr>
          <w:sz w:val="20"/>
        </w:rPr>
        <w:t>as the laws are ridiculous. The </w:t>
      </w:r>
      <w:r>
        <w:rPr>
          <w:spacing w:val="-3"/>
          <w:sz w:val="20"/>
        </w:rPr>
        <w:t>current </w:t>
      </w:r>
      <w:r>
        <w:rPr>
          <w:sz w:val="20"/>
        </w:rPr>
        <w:t>laws are not </w:t>
      </w:r>
      <w:r>
        <w:rPr>
          <w:spacing w:val="-3"/>
          <w:sz w:val="20"/>
        </w:rPr>
        <w:t>fair  </w:t>
      </w:r>
      <w:r>
        <w:rPr>
          <w:sz w:val="20"/>
        </w:rPr>
        <w:t>it should be the person who owns the tree or is in their property to </w:t>
      </w:r>
      <w:r>
        <w:rPr>
          <w:spacing w:val="-3"/>
          <w:sz w:val="20"/>
        </w:rPr>
        <w:t>take</w:t>
      </w:r>
      <w:r>
        <w:rPr>
          <w:spacing w:val="39"/>
          <w:sz w:val="20"/>
        </w:rPr>
        <w:t> </w:t>
      </w:r>
      <w:r>
        <w:rPr>
          <w:sz w:val="20"/>
        </w:rPr>
        <w:t>care     of them when they are impeding </w:t>
      </w:r>
      <w:r>
        <w:rPr>
          <w:spacing w:val="-3"/>
          <w:sz w:val="20"/>
        </w:rPr>
        <w:t>onto  </w:t>
      </w:r>
      <w:r>
        <w:rPr>
          <w:sz w:val="20"/>
        </w:rPr>
        <w:t>someone </w:t>
      </w:r>
      <w:r>
        <w:rPr>
          <w:spacing w:val="-3"/>
          <w:sz w:val="20"/>
        </w:rPr>
        <w:t>else’s</w:t>
      </w:r>
      <w:r>
        <w:rPr>
          <w:spacing w:val="39"/>
          <w:sz w:val="20"/>
        </w:rPr>
        <w:t> </w:t>
      </w:r>
      <w:r>
        <w:rPr>
          <w:sz w:val="20"/>
        </w:rPr>
        <w:t>property. </w:t>
      </w:r>
      <w:r>
        <w:rPr>
          <w:w w:val="115"/>
          <w:sz w:val="20"/>
        </w:rPr>
        <w:t>… </w:t>
      </w:r>
      <w:r>
        <w:rPr>
          <w:sz w:val="20"/>
        </w:rPr>
        <w:t>[T]he system as it      is does not work at all and treats the [affected neighbour] as though they are the ones   at </w:t>
      </w:r>
      <w:r>
        <w:rPr>
          <w:spacing w:val="-3"/>
          <w:sz w:val="20"/>
        </w:rPr>
        <w:t>fault </w:t>
      </w:r>
      <w:r>
        <w:rPr>
          <w:sz w:val="20"/>
        </w:rPr>
        <w:t>and leaves it up to them which is </w:t>
      </w:r>
      <w:r>
        <w:rPr>
          <w:spacing w:val="-5"/>
          <w:sz w:val="20"/>
        </w:rPr>
        <w:t>unfair, </w:t>
      </w:r>
      <w:r>
        <w:rPr>
          <w:sz w:val="20"/>
        </w:rPr>
        <w:t>people </w:t>
      </w:r>
      <w:r>
        <w:rPr>
          <w:spacing w:val="-3"/>
          <w:sz w:val="20"/>
        </w:rPr>
        <w:t>have </w:t>
      </w:r>
      <w:r>
        <w:rPr>
          <w:sz w:val="20"/>
        </w:rPr>
        <w:t>illnesses and financial </w:t>
      </w:r>
      <w:r>
        <w:rPr>
          <w:spacing w:val="-3"/>
          <w:sz w:val="20"/>
        </w:rPr>
        <w:t>hardships</w:t>
      </w:r>
      <w:r>
        <w:rPr>
          <w:spacing w:val="11"/>
          <w:sz w:val="20"/>
        </w:rPr>
        <w:t> </w:t>
      </w:r>
      <w:r>
        <w:rPr>
          <w:sz w:val="20"/>
        </w:rPr>
        <w:t>they</w:t>
      </w:r>
      <w:r>
        <w:rPr>
          <w:spacing w:val="12"/>
          <w:sz w:val="20"/>
        </w:rPr>
        <w:t> </w:t>
      </w:r>
      <w:r>
        <w:rPr>
          <w:sz w:val="20"/>
        </w:rPr>
        <w:t>should</w:t>
      </w:r>
      <w:r>
        <w:rPr>
          <w:spacing w:val="11"/>
          <w:sz w:val="20"/>
        </w:rPr>
        <w:t> </w:t>
      </w:r>
      <w:r>
        <w:rPr>
          <w:sz w:val="20"/>
        </w:rPr>
        <w:t>not</w:t>
      </w:r>
      <w:r>
        <w:rPr>
          <w:spacing w:val="12"/>
          <w:sz w:val="20"/>
        </w:rPr>
        <w:t> </w:t>
      </w:r>
      <w:r>
        <w:rPr>
          <w:sz w:val="20"/>
        </w:rPr>
        <w:t>be</w:t>
      </w:r>
      <w:r>
        <w:rPr>
          <w:spacing w:val="11"/>
          <w:sz w:val="20"/>
        </w:rPr>
        <w:t> </w:t>
      </w:r>
      <w:r>
        <w:rPr>
          <w:sz w:val="20"/>
        </w:rPr>
        <w:t>expected</w:t>
      </w:r>
      <w:r>
        <w:rPr>
          <w:spacing w:val="12"/>
          <w:sz w:val="20"/>
        </w:rPr>
        <w:t> </w:t>
      </w:r>
      <w:r>
        <w:rPr>
          <w:sz w:val="20"/>
        </w:rPr>
        <w:t>to</w:t>
      </w:r>
      <w:r>
        <w:rPr>
          <w:spacing w:val="11"/>
          <w:sz w:val="20"/>
        </w:rPr>
        <w:t> </w:t>
      </w:r>
      <w:r>
        <w:rPr>
          <w:sz w:val="20"/>
        </w:rPr>
        <w:t>clear</w:t>
      </w:r>
      <w:r>
        <w:rPr>
          <w:spacing w:val="12"/>
          <w:sz w:val="20"/>
        </w:rPr>
        <w:t> </w:t>
      </w:r>
      <w:r>
        <w:rPr>
          <w:sz w:val="20"/>
        </w:rPr>
        <w:t>their</w:t>
      </w:r>
      <w:r>
        <w:rPr>
          <w:spacing w:val="11"/>
          <w:sz w:val="20"/>
        </w:rPr>
        <w:t> </w:t>
      </w:r>
      <w:r>
        <w:rPr>
          <w:sz w:val="20"/>
        </w:rPr>
        <w:t>neighbours</w:t>
      </w:r>
      <w:r>
        <w:rPr>
          <w:spacing w:val="12"/>
          <w:sz w:val="20"/>
        </w:rPr>
        <w:t> </w:t>
      </w:r>
      <w:r>
        <w:rPr>
          <w:sz w:val="20"/>
        </w:rPr>
        <w:t>trees.</w:t>
      </w:r>
      <w:r>
        <w:rPr>
          <w:position w:val="7"/>
          <w:sz w:val="11"/>
        </w:rPr>
        <w:t>243</w:t>
      </w:r>
    </w:p>
    <w:p>
      <w:pPr>
        <w:spacing w:line="254" w:lineRule="auto" w:before="130"/>
        <w:ind w:left="2834" w:right="1866" w:firstLine="0"/>
        <w:jc w:val="left"/>
        <w:rPr>
          <w:sz w:val="11"/>
        </w:rPr>
      </w:pPr>
      <w:r>
        <w:rPr>
          <w:sz w:val="20"/>
        </w:rPr>
        <w:t>The </w:t>
      </w:r>
      <w:r>
        <w:rPr>
          <w:spacing w:val="-3"/>
          <w:sz w:val="20"/>
        </w:rPr>
        <w:t>current  </w:t>
      </w:r>
      <w:r>
        <w:rPr>
          <w:sz w:val="20"/>
        </w:rPr>
        <w:t>law is very </w:t>
      </w:r>
      <w:r>
        <w:rPr>
          <w:spacing w:val="-5"/>
          <w:sz w:val="20"/>
        </w:rPr>
        <w:t>unfair.  </w:t>
      </w:r>
      <w:r>
        <w:rPr>
          <w:sz w:val="20"/>
        </w:rPr>
        <w:t>It is one-sided It will cost over $2,000 dollars to </w:t>
      </w:r>
      <w:r>
        <w:rPr>
          <w:spacing w:val="-3"/>
          <w:sz w:val="20"/>
        </w:rPr>
        <w:t>have  </w:t>
      </w:r>
      <w:r>
        <w:rPr>
          <w:sz w:val="20"/>
        </w:rPr>
        <w:t>it      cut back to the </w:t>
      </w:r>
      <w:r>
        <w:rPr>
          <w:spacing w:val="-3"/>
          <w:sz w:val="20"/>
        </w:rPr>
        <w:t>fence  </w:t>
      </w:r>
      <w:r>
        <w:rPr>
          <w:sz w:val="20"/>
        </w:rPr>
        <w:t>line which </w:t>
      </w:r>
      <w:r>
        <w:rPr>
          <w:spacing w:val="-3"/>
          <w:sz w:val="20"/>
        </w:rPr>
        <w:t>won’t</w:t>
      </w:r>
      <w:r>
        <w:rPr>
          <w:spacing w:val="39"/>
          <w:sz w:val="20"/>
        </w:rPr>
        <w:t> </w:t>
      </w:r>
      <w:r>
        <w:rPr>
          <w:sz w:val="20"/>
        </w:rPr>
        <w:t>even resolve the issues. It is their tree it should     be their responsibility to keep it within their property. We would not be able to build a 4 story property on </w:t>
      </w:r>
      <w:r>
        <w:rPr>
          <w:spacing w:val="-2"/>
          <w:sz w:val="20"/>
        </w:rPr>
        <w:t>any </w:t>
      </w:r>
      <w:r>
        <w:rPr>
          <w:sz w:val="20"/>
        </w:rPr>
        <w:t>part of our land but they can </w:t>
      </w:r>
      <w:r>
        <w:rPr>
          <w:spacing w:val="-3"/>
          <w:sz w:val="20"/>
        </w:rPr>
        <w:t>have </w:t>
      </w:r>
      <w:r>
        <w:rPr>
          <w:sz w:val="20"/>
        </w:rPr>
        <w:t>a tree that high and also with branches</w:t>
      </w:r>
      <w:r>
        <w:rPr>
          <w:spacing w:val="13"/>
          <w:sz w:val="20"/>
        </w:rPr>
        <w:t> </w:t>
      </w:r>
      <w:r>
        <w:rPr>
          <w:sz w:val="20"/>
        </w:rPr>
        <w:t>and</w:t>
      </w:r>
      <w:r>
        <w:rPr>
          <w:spacing w:val="14"/>
          <w:sz w:val="20"/>
        </w:rPr>
        <w:t> </w:t>
      </w:r>
      <w:r>
        <w:rPr>
          <w:sz w:val="20"/>
        </w:rPr>
        <w:t>roots</w:t>
      </w:r>
      <w:r>
        <w:rPr>
          <w:spacing w:val="14"/>
          <w:sz w:val="20"/>
        </w:rPr>
        <w:t> </w:t>
      </w:r>
      <w:r>
        <w:rPr>
          <w:sz w:val="20"/>
        </w:rPr>
        <w:t>coming</w:t>
      </w:r>
      <w:r>
        <w:rPr>
          <w:spacing w:val="14"/>
          <w:sz w:val="20"/>
        </w:rPr>
        <w:t> </w:t>
      </w:r>
      <w:r>
        <w:rPr>
          <w:spacing w:val="-3"/>
          <w:sz w:val="20"/>
        </w:rPr>
        <w:t>onto</w:t>
      </w:r>
      <w:r>
        <w:rPr>
          <w:spacing w:val="14"/>
          <w:sz w:val="20"/>
        </w:rPr>
        <w:t> </w:t>
      </w:r>
      <w:r>
        <w:rPr>
          <w:sz w:val="20"/>
        </w:rPr>
        <w:t>our</w:t>
      </w:r>
      <w:r>
        <w:rPr>
          <w:spacing w:val="14"/>
          <w:sz w:val="20"/>
        </w:rPr>
        <w:t> </w:t>
      </w:r>
      <w:r>
        <w:rPr>
          <w:sz w:val="20"/>
        </w:rPr>
        <w:t>property</w:t>
      </w:r>
      <w:r>
        <w:rPr>
          <w:spacing w:val="14"/>
          <w:sz w:val="20"/>
        </w:rPr>
        <w:t> </w:t>
      </w:r>
      <w:r>
        <w:rPr>
          <w:sz w:val="20"/>
        </w:rPr>
        <w:t>and</w:t>
      </w:r>
      <w:r>
        <w:rPr>
          <w:spacing w:val="14"/>
          <w:sz w:val="20"/>
        </w:rPr>
        <w:t> </w:t>
      </w:r>
      <w:r>
        <w:rPr>
          <w:sz w:val="20"/>
        </w:rPr>
        <w:t>we</w:t>
      </w:r>
      <w:r>
        <w:rPr>
          <w:spacing w:val="14"/>
          <w:sz w:val="20"/>
        </w:rPr>
        <w:t> </w:t>
      </w:r>
      <w:r>
        <w:rPr>
          <w:spacing w:val="-3"/>
          <w:sz w:val="20"/>
        </w:rPr>
        <w:t>have</w:t>
      </w:r>
      <w:r>
        <w:rPr>
          <w:spacing w:val="14"/>
          <w:sz w:val="20"/>
        </w:rPr>
        <w:t> </w:t>
      </w:r>
      <w:r>
        <w:rPr>
          <w:sz w:val="20"/>
        </w:rPr>
        <w:t>no</w:t>
      </w:r>
      <w:r>
        <w:rPr>
          <w:spacing w:val="14"/>
          <w:sz w:val="20"/>
        </w:rPr>
        <w:t> </w:t>
      </w:r>
      <w:r>
        <w:rPr>
          <w:sz w:val="20"/>
        </w:rPr>
        <w:t>say</w:t>
      </w:r>
      <w:r>
        <w:rPr>
          <w:spacing w:val="14"/>
          <w:sz w:val="20"/>
        </w:rPr>
        <w:t> </w:t>
      </w:r>
      <w:r>
        <w:rPr>
          <w:sz w:val="20"/>
        </w:rPr>
        <w:t>about</w:t>
      </w:r>
      <w:r>
        <w:rPr>
          <w:spacing w:val="14"/>
          <w:sz w:val="20"/>
        </w:rPr>
        <w:t> </w:t>
      </w:r>
      <w:r>
        <w:rPr>
          <w:sz w:val="20"/>
        </w:rPr>
        <w:t>it.</w:t>
      </w:r>
      <w:r>
        <w:rPr>
          <w:position w:val="7"/>
          <w:sz w:val="11"/>
        </w:rPr>
        <w:t>244</w:t>
      </w:r>
    </w:p>
    <w:p>
      <w:pPr>
        <w:spacing w:line="254" w:lineRule="auto" w:before="126"/>
        <w:ind w:left="2834" w:right="1933" w:firstLine="0"/>
        <w:jc w:val="left"/>
        <w:rPr>
          <w:sz w:val="11"/>
        </w:rPr>
      </w:pPr>
      <w:r>
        <w:rPr>
          <w:sz w:val="20"/>
        </w:rPr>
        <w:t>It is hard to comprehend that we </w:t>
      </w:r>
      <w:r>
        <w:rPr>
          <w:spacing w:val="-3"/>
          <w:sz w:val="20"/>
        </w:rPr>
        <w:t>have  </w:t>
      </w:r>
      <w:r>
        <w:rPr>
          <w:sz w:val="20"/>
        </w:rPr>
        <w:t>no rights other than requesting empathy from   the neighbour who unfortunately shows no willingness to remove the trees that will   </w:t>
      </w:r>
      <w:r>
        <w:rPr>
          <w:spacing w:val="-3"/>
          <w:sz w:val="20"/>
        </w:rPr>
        <w:t>have </w:t>
      </w:r>
      <w:r>
        <w:rPr>
          <w:sz w:val="20"/>
        </w:rPr>
        <w:t>foreseeable negative impact on our </w:t>
      </w:r>
      <w:r>
        <w:rPr>
          <w:spacing w:val="-3"/>
          <w:sz w:val="20"/>
        </w:rPr>
        <w:t>agricultural </w:t>
      </w:r>
      <w:r>
        <w:rPr>
          <w:sz w:val="20"/>
        </w:rPr>
        <w:t>business </w:t>
      </w:r>
      <w:r>
        <w:rPr>
          <w:spacing w:val="-6"/>
          <w:sz w:val="20"/>
        </w:rPr>
        <w:t>... </w:t>
      </w:r>
      <w:r>
        <w:rPr>
          <w:sz w:val="20"/>
        </w:rPr>
        <w:t>It is bordering on ridiculousness that </w:t>
      </w:r>
      <w:r>
        <w:rPr>
          <w:spacing w:val="-3"/>
          <w:sz w:val="20"/>
        </w:rPr>
        <w:t>currently </w:t>
      </w:r>
      <w:r>
        <w:rPr>
          <w:sz w:val="20"/>
        </w:rPr>
        <w:t>the affected neighbour has to carry the costs for someone </w:t>
      </w:r>
      <w:r>
        <w:rPr>
          <w:spacing w:val="-3"/>
          <w:sz w:val="20"/>
        </w:rPr>
        <w:t>else’s </w:t>
      </w:r>
      <w:r>
        <w:rPr>
          <w:spacing w:val="-2"/>
          <w:sz w:val="20"/>
        </w:rPr>
        <w:t>encroaching </w:t>
      </w:r>
      <w:r>
        <w:rPr>
          <w:sz w:val="20"/>
        </w:rPr>
        <w:t>trees and even </w:t>
      </w:r>
      <w:r>
        <w:rPr>
          <w:spacing w:val="-2"/>
          <w:sz w:val="20"/>
        </w:rPr>
        <w:t>return </w:t>
      </w:r>
      <w:r>
        <w:rPr>
          <w:sz w:val="20"/>
        </w:rPr>
        <w:t>the branches to the</w:t>
      </w:r>
      <w:r>
        <w:rPr>
          <w:spacing w:val="3"/>
          <w:sz w:val="20"/>
        </w:rPr>
        <w:t> </w:t>
      </w:r>
      <w:r>
        <w:rPr>
          <w:sz w:val="20"/>
        </w:rPr>
        <w:t>neighbour!</w:t>
      </w:r>
      <w:r>
        <w:rPr>
          <w:position w:val="7"/>
          <w:sz w:val="11"/>
        </w:rPr>
        <w:t>245</w:t>
      </w:r>
    </w:p>
    <w:p>
      <w:pPr>
        <w:spacing w:line="254" w:lineRule="auto" w:before="126"/>
        <w:ind w:left="2834" w:right="1683" w:firstLine="0"/>
        <w:jc w:val="left"/>
        <w:rPr>
          <w:sz w:val="11"/>
        </w:rPr>
      </w:pPr>
      <w:r>
        <w:rPr>
          <w:w w:val="105"/>
          <w:sz w:val="20"/>
        </w:rPr>
        <w:t>There are no real sanctions—the rights of tree owners are </w:t>
      </w:r>
      <w:r>
        <w:rPr>
          <w:spacing w:val="-3"/>
          <w:w w:val="105"/>
          <w:sz w:val="20"/>
        </w:rPr>
        <w:t>paramount </w:t>
      </w:r>
      <w:r>
        <w:rPr>
          <w:w w:val="105"/>
          <w:sz w:val="20"/>
        </w:rPr>
        <w:t>and the rights of those who suffer from </w:t>
      </w:r>
      <w:r>
        <w:rPr>
          <w:spacing w:val="-3"/>
          <w:w w:val="105"/>
          <w:sz w:val="20"/>
        </w:rPr>
        <w:t>neighbour’s </w:t>
      </w:r>
      <w:r>
        <w:rPr>
          <w:w w:val="105"/>
          <w:sz w:val="20"/>
        </w:rPr>
        <w:t>trees are almost non-existent. The onus and huge cost of removing </w:t>
      </w:r>
      <w:r>
        <w:rPr>
          <w:spacing w:val="-3"/>
          <w:w w:val="105"/>
          <w:sz w:val="20"/>
        </w:rPr>
        <w:t>overhanging </w:t>
      </w:r>
      <w:r>
        <w:rPr>
          <w:w w:val="105"/>
          <w:sz w:val="20"/>
        </w:rPr>
        <w:t>branches and </w:t>
      </w:r>
      <w:r>
        <w:rPr>
          <w:spacing w:val="-3"/>
          <w:w w:val="105"/>
          <w:sz w:val="20"/>
        </w:rPr>
        <w:t>unwanted </w:t>
      </w:r>
      <w:r>
        <w:rPr>
          <w:w w:val="105"/>
          <w:sz w:val="20"/>
        </w:rPr>
        <w:t>roots is on the victim, and not the tree owning </w:t>
      </w:r>
      <w:r>
        <w:rPr>
          <w:spacing w:val="-3"/>
          <w:w w:val="105"/>
          <w:sz w:val="20"/>
        </w:rPr>
        <w:t>perpetrator.</w:t>
      </w:r>
      <w:r>
        <w:rPr>
          <w:spacing w:val="-3"/>
          <w:w w:val="105"/>
          <w:position w:val="7"/>
          <w:sz w:val="11"/>
        </w:rPr>
        <w:t>246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r>
        <w:rPr/>
        <w:pict>
          <v:line style="position:absolute;mso-position-horizontal-relative:page;mso-position-vertical-relative:paragraph;z-index:1880;mso-wrap-distance-left:0;mso-wrap-distance-right:0" from="79.370102pt,13.387173pt" to="515.905102pt,13.387173pt" stroked="true" strokeweight="1pt" strokecolor="#c9d2cb">
            <v:stroke dashstyle="solid"/>
            <w10:wrap type="topAndBottom"/>
          </v:line>
        </w:pict>
      </w:r>
    </w:p>
    <w:p>
      <w:pPr>
        <w:pStyle w:val="ListParagraph"/>
        <w:numPr>
          <w:ilvl w:val="0"/>
          <w:numId w:val="37"/>
        </w:numPr>
        <w:tabs>
          <w:tab w:pos="2381" w:val="left" w:leader="none"/>
          <w:tab w:pos="2382" w:val="left" w:leader="none"/>
        </w:tabs>
        <w:spacing w:line="240" w:lineRule="auto" w:before="117" w:after="0"/>
        <w:ind w:left="2381" w:right="0" w:hanging="794"/>
        <w:jc w:val="left"/>
        <w:rPr>
          <w:sz w:val="13"/>
        </w:rPr>
      </w:pPr>
      <w:r>
        <w:rPr>
          <w:w w:val="105"/>
          <w:sz w:val="13"/>
        </w:rPr>
        <w:t>Submissions 6 </w:t>
      </w:r>
      <w:r>
        <w:rPr>
          <w:spacing w:val="2"/>
          <w:w w:val="105"/>
          <w:sz w:val="13"/>
        </w:rPr>
        <w:t>(Name </w:t>
      </w:r>
      <w:r>
        <w:rPr>
          <w:w w:val="105"/>
          <w:sz w:val="13"/>
        </w:rPr>
        <w:t>withheld), 24 </w:t>
      </w:r>
      <w:r>
        <w:rPr>
          <w:spacing w:val="2"/>
          <w:w w:val="105"/>
          <w:sz w:val="13"/>
        </w:rPr>
        <w:t>(Name </w:t>
      </w:r>
      <w:r>
        <w:rPr>
          <w:w w:val="105"/>
          <w:sz w:val="13"/>
        </w:rPr>
        <w:t>withheld), 34 (Allan</w:t>
      </w:r>
      <w:r>
        <w:rPr>
          <w:spacing w:val="7"/>
          <w:w w:val="105"/>
          <w:sz w:val="13"/>
        </w:rPr>
        <w:t> </w:t>
      </w:r>
      <w:r>
        <w:rPr>
          <w:w w:val="105"/>
          <w:sz w:val="13"/>
        </w:rPr>
        <w:t>Day).</w:t>
      </w:r>
    </w:p>
    <w:p>
      <w:pPr>
        <w:pStyle w:val="ListParagraph"/>
        <w:numPr>
          <w:ilvl w:val="0"/>
          <w:numId w:val="37"/>
        </w:numPr>
        <w:tabs>
          <w:tab w:pos="2381" w:val="left" w:leader="none"/>
          <w:tab w:pos="2382" w:val="left" w:leader="none"/>
        </w:tabs>
        <w:spacing w:line="240" w:lineRule="auto" w:before="1" w:after="0"/>
        <w:ind w:left="2381" w:right="1990" w:hanging="794"/>
        <w:jc w:val="left"/>
        <w:rPr>
          <w:sz w:val="13"/>
        </w:rPr>
      </w:pPr>
      <w:r>
        <w:rPr>
          <w:w w:val="105"/>
          <w:sz w:val="13"/>
        </w:rPr>
        <w:t>Submissions 5 </w:t>
      </w:r>
      <w:r>
        <w:rPr>
          <w:spacing w:val="2"/>
          <w:w w:val="105"/>
          <w:sz w:val="13"/>
        </w:rPr>
        <w:t>(Name </w:t>
      </w:r>
      <w:r>
        <w:rPr>
          <w:w w:val="105"/>
          <w:sz w:val="13"/>
        </w:rPr>
        <w:t>withheld), </w:t>
      </w:r>
      <w:r>
        <w:rPr>
          <w:spacing w:val="-4"/>
          <w:w w:val="105"/>
          <w:sz w:val="13"/>
        </w:rPr>
        <w:t>17 </w:t>
      </w:r>
      <w:r>
        <w:rPr>
          <w:spacing w:val="2"/>
          <w:w w:val="105"/>
          <w:sz w:val="13"/>
        </w:rPr>
        <w:t>(Name </w:t>
      </w:r>
      <w:r>
        <w:rPr>
          <w:w w:val="105"/>
          <w:sz w:val="13"/>
        </w:rPr>
        <w:t>withheld), 22 </w:t>
      </w:r>
      <w:r>
        <w:rPr>
          <w:spacing w:val="2"/>
          <w:w w:val="105"/>
          <w:sz w:val="13"/>
        </w:rPr>
        <w:t>(Name </w:t>
      </w:r>
      <w:r>
        <w:rPr>
          <w:w w:val="105"/>
          <w:sz w:val="13"/>
        </w:rPr>
        <w:t>withheld), 33 (Annette </w:t>
      </w:r>
      <w:r>
        <w:rPr>
          <w:spacing w:val="2"/>
          <w:w w:val="105"/>
          <w:sz w:val="13"/>
        </w:rPr>
        <w:t>Neville), </w:t>
      </w:r>
      <w:r>
        <w:rPr>
          <w:w w:val="105"/>
          <w:sz w:val="13"/>
        </w:rPr>
        <w:t>34 (Allan Day); Consultation 1 (Aldo Taranto); Survey Respondent</w:t>
      </w:r>
      <w:r>
        <w:rPr>
          <w:spacing w:val="13"/>
          <w:w w:val="105"/>
          <w:sz w:val="13"/>
        </w:rPr>
        <w:t> </w:t>
      </w:r>
      <w:r>
        <w:rPr>
          <w:w w:val="105"/>
          <w:sz w:val="13"/>
        </w:rPr>
        <w:t>60.</w:t>
      </w:r>
    </w:p>
    <w:p>
      <w:pPr>
        <w:pStyle w:val="ListParagraph"/>
        <w:numPr>
          <w:ilvl w:val="0"/>
          <w:numId w:val="37"/>
        </w:numPr>
        <w:tabs>
          <w:tab w:pos="2381" w:val="left" w:leader="none"/>
          <w:tab w:pos="2382" w:val="left" w:leader="none"/>
        </w:tabs>
        <w:spacing w:line="240" w:lineRule="auto" w:before="3" w:after="0"/>
        <w:ind w:left="2381" w:right="0" w:hanging="794"/>
        <w:jc w:val="left"/>
        <w:rPr>
          <w:sz w:val="13"/>
        </w:rPr>
      </w:pPr>
      <w:r>
        <w:rPr>
          <w:w w:val="105"/>
          <w:sz w:val="13"/>
        </w:rPr>
        <w:t>Submissions</w:t>
      </w:r>
      <w:r>
        <w:rPr>
          <w:spacing w:val="4"/>
          <w:w w:val="105"/>
          <w:sz w:val="13"/>
        </w:rPr>
        <w:t> </w:t>
      </w:r>
      <w:r>
        <w:rPr>
          <w:w w:val="105"/>
          <w:sz w:val="13"/>
        </w:rPr>
        <w:t>5</w:t>
      </w:r>
      <w:r>
        <w:rPr>
          <w:spacing w:val="5"/>
          <w:w w:val="105"/>
          <w:sz w:val="13"/>
        </w:rPr>
        <w:t> </w:t>
      </w:r>
      <w:r>
        <w:rPr>
          <w:spacing w:val="2"/>
          <w:w w:val="105"/>
          <w:sz w:val="13"/>
        </w:rPr>
        <w:t>(Name</w:t>
      </w:r>
      <w:r>
        <w:rPr>
          <w:spacing w:val="5"/>
          <w:w w:val="105"/>
          <w:sz w:val="13"/>
        </w:rPr>
        <w:t> </w:t>
      </w:r>
      <w:r>
        <w:rPr>
          <w:w w:val="105"/>
          <w:sz w:val="13"/>
        </w:rPr>
        <w:t>withheld),</w:t>
      </w:r>
      <w:r>
        <w:rPr>
          <w:spacing w:val="4"/>
          <w:w w:val="105"/>
          <w:sz w:val="13"/>
        </w:rPr>
        <w:t> </w:t>
      </w:r>
      <w:r>
        <w:rPr>
          <w:w w:val="105"/>
          <w:sz w:val="13"/>
        </w:rPr>
        <w:t>6</w:t>
      </w:r>
      <w:r>
        <w:rPr>
          <w:spacing w:val="5"/>
          <w:w w:val="105"/>
          <w:sz w:val="13"/>
        </w:rPr>
        <w:t> </w:t>
      </w:r>
      <w:r>
        <w:rPr>
          <w:spacing w:val="2"/>
          <w:w w:val="105"/>
          <w:sz w:val="13"/>
        </w:rPr>
        <w:t>(Name</w:t>
      </w:r>
      <w:r>
        <w:rPr>
          <w:spacing w:val="5"/>
          <w:w w:val="105"/>
          <w:sz w:val="13"/>
        </w:rPr>
        <w:t> </w:t>
      </w:r>
      <w:r>
        <w:rPr>
          <w:w w:val="105"/>
          <w:sz w:val="13"/>
        </w:rPr>
        <w:t>withheld),</w:t>
      </w:r>
      <w:r>
        <w:rPr>
          <w:spacing w:val="4"/>
          <w:w w:val="105"/>
          <w:sz w:val="13"/>
        </w:rPr>
        <w:t> </w:t>
      </w:r>
      <w:r>
        <w:rPr>
          <w:spacing w:val="-3"/>
          <w:w w:val="105"/>
          <w:sz w:val="13"/>
        </w:rPr>
        <w:t>19</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23</w:t>
      </w:r>
      <w:r>
        <w:rPr>
          <w:spacing w:val="4"/>
          <w:w w:val="105"/>
          <w:sz w:val="13"/>
        </w:rPr>
        <w:t> </w:t>
      </w:r>
      <w:r>
        <w:rPr>
          <w:spacing w:val="2"/>
          <w:w w:val="105"/>
          <w:sz w:val="13"/>
        </w:rPr>
        <w:t>(Name</w:t>
      </w:r>
      <w:r>
        <w:rPr>
          <w:spacing w:val="5"/>
          <w:w w:val="105"/>
          <w:sz w:val="13"/>
        </w:rPr>
        <w:t> </w:t>
      </w:r>
      <w:r>
        <w:rPr>
          <w:w w:val="105"/>
          <w:sz w:val="13"/>
        </w:rPr>
        <w:t>withheld).</w:t>
      </w:r>
    </w:p>
    <w:p>
      <w:pPr>
        <w:pStyle w:val="ListParagraph"/>
        <w:numPr>
          <w:ilvl w:val="0"/>
          <w:numId w:val="37"/>
        </w:numPr>
        <w:tabs>
          <w:tab w:pos="2381" w:val="left" w:leader="none"/>
          <w:tab w:pos="2382" w:val="left" w:leader="none"/>
        </w:tabs>
        <w:spacing w:line="240" w:lineRule="auto" w:before="1" w:after="0"/>
        <w:ind w:left="2381" w:right="0" w:hanging="794"/>
        <w:jc w:val="left"/>
        <w:rPr>
          <w:sz w:val="13"/>
        </w:rPr>
      </w:pPr>
      <w:r>
        <w:rPr>
          <w:w w:val="105"/>
          <w:sz w:val="13"/>
        </w:rPr>
        <w:t>Submission 38 </w:t>
      </w:r>
      <w:r>
        <w:rPr>
          <w:spacing w:val="3"/>
          <w:w w:val="105"/>
          <w:sz w:val="13"/>
        </w:rPr>
        <w:t>(L. </w:t>
      </w:r>
      <w:r>
        <w:rPr>
          <w:spacing w:val="2"/>
          <w:w w:val="105"/>
          <w:sz w:val="13"/>
        </w:rPr>
        <w:t>Barry</w:t>
      </w:r>
      <w:r>
        <w:rPr>
          <w:spacing w:val="14"/>
          <w:w w:val="105"/>
          <w:sz w:val="13"/>
        </w:rPr>
        <w:t> </w:t>
      </w:r>
      <w:r>
        <w:rPr>
          <w:w w:val="105"/>
          <w:sz w:val="13"/>
        </w:rPr>
        <w:t>Wollmer).</w:t>
      </w:r>
    </w:p>
    <w:p>
      <w:pPr>
        <w:pStyle w:val="ListParagraph"/>
        <w:numPr>
          <w:ilvl w:val="0"/>
          <w:numId w:val="37"/>
        </w:numPr>
        <w:tabs>
          <w:tab w:pos="2381" w:val="left" w:leader="none"/>
          <w:tab w:pos="2382" w:val="left" w:leader="none"/>
        </w:tabs>
        <w:spacing w:line="240" w:lineRule="auto" w:before="2" w:after="0"/>
        <w:ind w:left="2381" w:right="0" w:hanging="794"/>
        <w:jc w:val="left"/>
        <w:rPr>
          <w:sz w:val="13"/>
        </w:rPr>
      </w:pPr>
      <w:r>
        <w:rPr>
          <w:w w:val="105"/>
          <w:sz w:val="13"/>
        </w:rPr>
        <w:t>Submission 5 </w:t>
      </w:r>
      <w:r>
        <w:rPr>
          <w:spacing w:val="2"/>
          <w:w w:val="105"/>
          <w:sz w:val="13"/>
        </w:rPr>
        <w:t>(Name</w:t>
      </w:r>
      <w:r>
        <w:rPr>
          <w:spacing w:val="21"/>
          <w:w w:val="105"/>
          <w:sz w:val="13"/>
        </w:rPr>
        <w:t> </w:t>
      </w:r>
      <w:r>
        <w:rPr>
          <w:w w:val="105"/>
          <w:sz w:val="13"/>
        </w:rPr>
        <w:t>withheld).</w:t>
      </w:r>
    </w:p>
    <w:p>
      <w:pPr>
        <w:pStyle w:val="ListParagraph"/>
        <w:numPr>
          <w:ilvl w:val="0"/>
          <w:numId w:val="37"/>
        </w:numPr>
        <w:tabs>
          <w:tab w:pos="2381" w:val="left" w:leader="none"/>
          <w:tab w:pos="2382" w:val="left" w:leader="none"/>
        </w:tabs>
        <w:spacing w:line="240" w:lineRule="auto" w:before="1" w:after="0"/>
        <w:ind w:left="2381" w:right="0" w:hanging="794"/>
        <w:jc w:val="left"/>
        <w:rPr>
          <w:sz w:val="13"/>
        </w:rPr>
      </w:pPr>
      <w:r>
        <w:rPr>
          <w:w w:val="105"/>
          <w:sz w:val="13"/>
        </w:rPr>
        <w:t>Submission 6 </w:t>
      </w:r>
      <w:r>
        <w:rPr>
          <w:spacing w:val="2"/>
          <w:w w:val="105"/>
          <w:sz w:val="13"/>
        </w:rPr>
        <w:t>(Name</w:t>
      </w:r>
      <w:r>
        <w:rPr>
          <w:spacing w:val="21"/>
          <w:w w:val="105"/>
          <w:sz w:val="13"/>
        </w:rPr>
        <w:t> </w:t>
      </w:r>
      <w:r>
        <w:rPr>
          <w:w w:val="105"/>
          <w:sz w:val="13"/>
        </w:rPr>
        <w:t>withheld).</w:t>
      </w:r>
    </w:p>
    <w:p>
      <w:pPr>
        <w:pStyle w:val="ListParagraph"/>
        <w:numPr>
          <w:ilvl w:val="0"/>
          <w:numId w:val="37"/>
        </w:numPr>
        <w:tabs>
          <w:tab w:pos="2381" w:val="left" w:leader="none"/>
          <w:tab w:pos="2382" w:val="left" w:leader="none"/>
        </w:tabs>
        <w:spacing w:line="240" w:lineRule="auto" w:before="1" w:after="0"/>
        <w:ind w:left="2381" w:right="0" w:hanging="794"/>
        <w:jc w:val="left"/>
        <w:rPr>
          <w:sz w:val="13"/>
        </w:rPr>
      </w:pPr>
      <w:r>
        <w:rPr>
          <w:w w:val="105"/>
          <w:sz w:val="13"/>
        </w:rPr>
        <w:t>Survey Respondent</w:t>
      </w:r>
      <w:r>
        <w:rPr>
          <w:spacing w:val="14"/>
          <w:w w:val="105"/>
          <w:sz w:val="13"/>
        </w:rPr>
        <w:t> </w:t>
      </w:r>
      <w:r>
        <w:rPr>
          <w:w w:val="105"/>
          <w:sz w:val="13"/>
        </w:rPr>
        <w:t>72.</w:t>
      </w:r>
    </w:p>
    <w:p>
      <w:pPr>
        <w:pStyle w:val="ListParagraph"/>
        <w:numPr>
          <w:ilvl w:val="0"/>
          <w:numId w:val="37"/>
        </w:numPr>
        <w:tabs>
          <w:tab w:pos="2381" w:val="left" w:leader="none"/>
          <w:tab w:pos="2382" w:val="left" w:leader="none"/>
        </w:tabs>
        <w:spacing w:line="240" w:lineRule="auto" w:before="2" w:after="0"/>
        <w:ind w:left="2381" w:right="0" w:hanging="794"/>
        <w:jc w:val="left"/>
        <w:rPr>
          <w:sz w:val="13"/>
        </w:rPr>
      </w:pPr>
      <w:r>
        <w:rPr/>
        <w:pict>
          <v:shape style="position:absolute;margin-left:36pt;margin-top:3.057865pt;width:13.6pt;height:14.25pt;mso-position-horizontal-relative:page;mso-position-vertical-relative:paragraph;z-index:3952" type="#_x0000_t202" filled="false" stroked="false">
            <v:textbox inset="0,0,0,0">
              <w:txbxContent>
                <w:p>
                  <w:pPr>
                    <w:spacing w:line="284" w:lineRule="exact" w:before="0"/>
                    <w:ind w:left="0" w:right="0" w:firstLine="0"/>
                    <w:jc w:val="left"/>
                    <w:rPr>
                      <w:b/>
                      <w:sz w:val="24"/>
                    </w:rPr>
                  </w:pPr>
                  <w:r>
                    <w:rPr>
                      <w:b/>
                      <w:color w:val="658464"/>
                      <w:w w:val="110"/>
                      <w:sz w:val="24"/>
                    </w:rPr>
                    <w:t>48</w:t>
                  </w:r>
                </w:p>
              </w:txbxContent>
            </v:textbox>
            <w10:wrap type="none"/>
          </v:shape>
        </w:pict>
      </w:r>
      <w:r>
        <w:rPr>
          <w:w w:val="105"/>
          <w:sz w:val="13"/>
        </w:rPr>
        <w:t>Survey Respondent</w:t>
      </w:r>
      <w:r>
        <w:rPr>
          <w:spacing w:val="17"/>
          <w:w w:val="105"/>
          <w:sz w:val="13"/>
        </w:rPr>
        <w:t> </w:t>
      </w:r>
      <w:r>
        <w:rPr>
          <w:w w:val="105"/>
          <w:sz w:val="13"/>
        </w:rPr>
        <w:t>99.</w:t>
      </w:r>
    </w:p>
    <w:p>
      <w:pPr>
        <w:pStyle w:val="ListParagraph"/>
        <w:numPr>
          <w:ilvl w:val="0"/>
          <w:numId w:val="37"/>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3"/>
          <w:w w:val="105"/>
          <w:sz w:val="13"/>
        </w:rPr>
        <w:t>19 </w:t>
      </w:r>
      <w:r>
        <w:rPr>
          <w:spacing w:val="2"/>
          <w:w w:val="105"/>
          <w:sz w:val="13"/>
        </w:rPr>
        <w:t>(Name</w:t>
      </w:r>
      <w:r>
        <w:rPr>
          <w:spacing w:val="16"/>
          <w:w w:val="105"/>
          <w:sz w:val="13"/>
        </w:rPr>
        <w:t> </w:t>
      </w:r>
      <w:r>
        <w:rPr>
          <w:w w:val="105"/>
          <w:sz w:val="13"/>
        </w:rPr>
        <w:t>withheld).</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2"/>
        <w:rPr>
          <w:sz w:val="18"/>
        </w:rPr>
      </w:pPr>
    </w:p>
    <w:p>
      <w:pPr>
        <w:pStyle w:val="Heading7"/>
        <w:spacing w:before="96"/>
      </w:pPr>
      <w:bookmarkStart w:name="The Commission’s conclusion" w:id="87"/>
      <w:bookmarkEnd w:id="87"/>
      <w:r>
        <w:rPr/>
      </w:r>
      <w:bookmarkStart w:name="_bookmark35" w:id="88"/>
      <w:bookmarkEnd w:id="88"/>
      <w:r>
        <w:rPr/>
      </w:r>
      <w:r>
        <w:rPr>
          <w:w w:val="115"/>
        </w:rPr>
        <w:t>The benefits of trees</w:t>
      </w:r>
    </w:p>
    <w:p>
      <w:pPr>
        <w:pStyle w:val="ListParagraph"/>
        <w:numPr>
          <w:ilvl w:val="0"/>
          <w:numId w:val="35"/>
        </w:numPr>
        <w:tabs>
          <w:tab w:pos="2381" w:val="left" w:leader="none"/>
          <w:tab w:pos="2382" w:val="left" w:leader="none"/>
        </w:tabs>
        <w:spacing w:line="242" w:lineRule="auto" w:before="143" w:after="0"/>
        <w:ind w:left="2381" w:right="1865" w:hanging="794"/>
        <w:jc w:val="left"/>
        <w:rPr>
          <w:sz w:val="12"/>
        </w:rPr>
      </w:pPr>
      <w:r>
        <w:rPr>
          <w:w w:val="105"/>
          <w:sz w:val="21"/>
        </w:rPr>
        <w:t>In </w:t>
      </w:r>
      <w:r>
        <w:rPr>
          <w:spacing w:val="-4"/>
          <w:w w:val="105"/>
          <w:sz w:val="21"/>
        </w:rPr>
        <w:t>Chapter </w:t>
      </w:r>
      <w:r>
        <w:rPr>
          <w:w w:val="105"/>
          <w:sz w:val="21"/>
        </w:rPr>
        <w:t>2 the </w:t>
      </w:r>
      <w:r>
        <w:rPr>
          <w:spacing w:val="-3"/>
          <w:w w:val="105"/>
          <w:sz w:val="21"/>
        </w:rPr>
        <w:t>Commission </w:t>
      </w:r>
      <w:r>
        <w:rPr>
          <w:w w:val="105"/>
          <w:sz w:val="21"/>
        </w:rPr>
        <w:t>identified </w:t>
      </w:r>
      <w:r>
        <w:rPr>
          <w:spacing w:val="-3"/>
          <w:w w:val="105"/>
          <w:sz w:val="21"/>
        </w:rPr>
        <w:t>that </w:t>
      </w:r>
      <w:r>
        <w:rPr>
          <w:w w:val="105"/>
          <w:sz w:val="21"/>
        </w:rPr>
        <w:t>the community is </w:t>
      </w:r>
      <w:r>
        <w:rPr>
          <w:spacing w:val="-2"/>
          <w:w w:val="105"/>
          <w:sz w:val="21"/>
        </w:rPr>
        <w:t>becoming </w:t>
      </w:r>
      <w:r>
        <w:rPr>
          <w:spacing w:val="-3"/>
          <w:w w:val="105"/>
          <w:sz w:val="21"/>
        </w:rPr>
        <w:t>increasingly aware </w:t>
      </w:r>
      <w:r>
        <w:rPr>
          <w:w w:val="105"/>
          <w:sz w:val="21"/>
        </w:rPr>
        <w:t>of the importance of vegetation and the need </w:t>
      </w:r>
      <w:r>
        <w:rPr>
          <w:spacing w:val="-3"/>
          <w:w w:val="105"/>
          <w:sz w:val="21"/>
        </w:rPr>
        <w:t>to retain </w:t>
      </w:r>
      <w:r>
        <w:rPr>
          <w:w w:val="105"/>
          <w:sz w:val="21"/>
        </w:rPr>
        <w:t>it. </w:t>
      </w:r>
      <w:r>
        <w:rPr>
          <w:spacing w:val="-3"/>
          <w:w w:val="105"/>
          <w:sz w:val="21"/>
        </w:rPr>
        <w:t>Disputes </w:t>
      </w:r>
      <w:r>
        <w:rPr>
          <w:w w:val="105"/>
          <w:sz w:val="21"/>
        </w:rPr>
        <w:t>also arise in the</w:t>
      </w:r>
      <w:r>
        <w:rPr>
          <w:spacing w:val="-5"/>
          <w:w w:val="105"/>
          <w:sz w:val="21"/>
        </w:rPr>
        <w:t> </w:t>
      </w:r>
      <w:r>
        <w:rPr>
          <w:w w:val="105"/>
          <w:sz w:val="21"/>
        </w:rPr>
        <w:t>community</w:t>
      </w:r>
      <w:r>
        <w:rPr>
          <w:spacing w:val="-5"/>
          <w:w w:val="105"/>
          <w:sz w:val="21"/>
        </w:rPr>
        <w:t> </w:t>
      </w:r>
      <w:r>
        <w:rPr>
          <w:w w:val="105"/>
          <w:sz w:val="21"/>
        </w:rPr>
        <w:t>about</w:t>
      </w:r>
      <w:r>
        <w:rPr>
          <w:spacing w:val="-5"/>
          <w:w w:val="105"/>
          <w:sz w:val="21"/>
        </w:rPr>
        <w:t> </w:t>
      </w:r>
      <w:r>
        <w:rPr>
          <w:w w:val="105"/>
          <w:sz w:val="21"/>
        </w:rPr>
        <w:t>the</w:t>
      </w:r>
      <w:r>
        <w:rPr>
          <w:spacing w:val="-4"/>
          <w:w w:val="105"/>
          <w:sz w:val="21"/>
        </w:rPr>
        <w:t> </w:t>
      </w:r>
      <w:r>
        <w:rPr>
          <w:spacing w:val="-3"/>
          <w:w w:val="105"/>
          <w:sz w:val="21"/>
        </w:rPr>
        <w:t>removal</w:t>
      </w:r>
      <w:r>
        <w:rPr>
          <w:spacing w:val="-5"/>
          <w:w w:val="105"/>
          <w:sz w:val="21"/>
        </w:rPr>
        <w:t> </w:t>
      </w:r>
      <w:r>
        <w:rPr>
          <w:w w:val="105"/>
          <w:sz w:val="21"/>
        </w:rPr>
        <w:t>of</w:t>
      </w:r>
      <w:r>
        <w:rPr>
          <w:spacing w:val="-5"/>
          <w:w w:val="105"/>
          <w:sz w:val="21"/>
        </w:rPr>
        <w:t> </w:t>
      </w:r>
      <w:r>
        <w:rPr>
          <w:w w:val="105"/>
          <w:sz w:val="21"/>
        </w:rPr>
        <w:t>vegetation</w:t>
      </w:r>
      <w:r>
        <w:rPr>
          <w:spacing w:val="-5"/>
          <w:w w:val="105"/>
          <w:sz w:val="21"/>
        </w:rPr>
        <w:t> </w:t>
      </w:r>
      <w:r>
        <w:rPr>
          <w:spacing w:val="-3"/>
          <w:w w:val="105"/>
          <w:sz w:val="21"/>
        </w:rPr>
        <w:t>from</w:t>
      </w:r>
      <w:r>
        <w:rPr>
          <w:spacing w:val="-4"/>
          <w:w w:val="105"/>
          <w:sz w:val="21"/>
        </w:rPr>
        <w:t> </w:t>
      </w:r>
      <w:r>
        <w:rPr>
          <w:spacing w:val="-3"/>
          <w:w w:val="105"/>
          <w:sz w:val="21"/>
        </w:rPr>
        <w:t>neighbouring</w:t>
      </w:r>
      <w:r>
        <w:rPr>
          <w:spacing w:val="-5"/>
          <w:w w:val="105"/>
          <w:sz w:val="21"/>
        </w:rPr>
        <w:t> </w:t>
      </w:r>
      <w:r>
        <w:rPr>
          <w:spacing w:val="-3"/>
          <w:w w:val="105"/>
          <w:sz w:val="21"/>
        </w:rPr>
        <w:t>land.</w:t>
      </w:r>
      <w:r>
        <w:rPr>
          <w:spacing w:val="-5"/>
          <w:w w:val="105"/>
          <w:sz w:val="21"/>
        </w:rPr>
        <w:t> </w:t>
      </w:r>
      <w:r>
        <w:rPr>
          <w:w w:val="105"/>
          <w:sz w:val="21"/>
        </w:rPr>
        <w:t>In</w:t>
      </w:r>
      <w:r>
        <w:rPr>
          <w:spacing w:val="-5"/>
          <w:w w:val="105"/>
          <w:sz w:val="21"/>
        </w:rPr>
        <w:t> </w:t>
      </w:r>
      <w:r>
        <w:rPr>
          <w:w w:val="105"/>
          <w:sz w:val="21"/>
        </w:rPr>
        <w:t>some</w:t>
      </w:r>
      <w:r>
        <w:rPr>
          <w:spacing w:val="-4"/>
          <w:w w:val="105"/>
          <w:sz w:val="21"/>
        </w:rPr>
        <w:t> </w:t>
      </w:r>
      <w:r>
        <w:rPr>
          <w:w w:val="105"/>
          <w:sz w:val="21"/>
        </w:rPr>
        <w:t>local </w:t>
      </w:r>
      <w:r>
        <w:rPr>
          <w:spacing w:val="-3"/>
          <w:w w:val="105"/>
          <w:sz w:val="21"/>
        </w:rPr>
        <w:t>government areas </w:t>
      </w:r>
      <w:r>
        <w:rPr>
          <w:w w:val="105"/>
          <w:sz w:val="21"/>
        </w:rPr>
        <w:t>it was suggested </w:t>
      </w:r>
      <w:r>
        <w:rPr>
          <w:spacing w:val="-3"/>
          <w:w w:val="105"/>
          <w:sz w:val="21"/>
        </w:rPr>
        <w:t>that </w:t>
      </w:r>
      <w:r>
        <w:rPr>
          <w:w w:val="105"/>
          <w:sz w:val="21"/>
        </w:rPr>
        <w:t>these </w:t>
      </w:r>
      <w:r>
        <w:rPr>
          <w:spacing w:val="-3"/>
          <w:w w:val="105"/>
          <w:sz w:val="21"/>
        </w:rPr>
        <w:t>enquiries equate to half </w:t>
      </w:r>
      <w:r>
        <w:rPr>
          <w:w w:val="105"/>
          <w:sz w:val="21"/>
        </w:rPr>
        <w:t>of the </w:t>
      </w:r>
      <w:r>
        <w:rPr>
          <w:spacing w:val="-3"/>
          <w:w w:val="105"/>
          <w:sz w:val="21"/>
        </w:rPr>
        <w:t>enquiries </w:t>
      </w:r>
      <w:r>
        <w:rPr>
          <w:w w:val="105"/>
          <w:sz w:val="21"/>
        </w:rPr>
        <w:t>received about trees on </w:t>
      </w:r>
      <w:r>
        <w:rPr>
          <w:spacing w:val="-3"/>
          <w:w w:val="105"/>
          <w:sz w:val="21"/>
        </w:rPr>
        <w:t>private</w:t>
      </w:r>
      <w:r>
        <w:rPr>
          <w:spacing w:val="22"/>
          <w:w w:val="105"/>
          <w:sz w:val="21"/>
        </w:rPr>
        <w:t> </w:t>
      </w:r>
      <w:r>
        <w:rPr>
          <w:spacing w:val="-3"/>
          <w:w w:val="105"/>
          <w:sz w:val="21"/>
        </w:rPr>
        <w:t>land.</w:t>
      </w:r>
      <w:r>
        <w:rPr>
          <w:spacing w:val="-3"/>
          <w:w w:val="105"/>
          <w:position w:val="7"/>
          <w:sz w:val="12"/>
        </w:rPr>
        <w:t>247</w:t>
      </w:r>
    </w:p>
    <w:p>
      <w:pPr>
        <w:pStyle w:val="ListParagraph"/>
        <w:numPr>
          <w:ilvl w:val="0"/>
          <w:numId w:val="35"/>
        </w:numPr>
        <w:tabs>
          <w:tab w:pos="2381" w:val="left" w:leader="none"/>
        </w:tabs>
        <w:spacing w:line="242" w:lineRule="auto" w:before="126" w:after="0"/>
        <w:ind w:left="2380" w:right="1547" w:hanging="793"/>
        <w:jc w:val="both"/>
        <w:rPr>
          <w:sz w:val="12"/>
        </w:rPr>
      </w:pPr>
      <w:r>
        <w:rPr>
          <w:sz w:val="21"/>
        </w:rPr>
        <w:t>One arborist also expressed the view </w:t>
      </w:r>
      <w:r>
        <w:rPr>
          <w:spacing w:val="-3"/>
          <w:sz w:val="21"/>
        </w:rPr>
        <w:t>that </w:t>
      </w:r>
      <w:r>
        <w:rPr>
          <w:sz w:val="21"/>
        </w:rPr>
        <w:t>it was </w:t>
      </w:r>
      <w:r>
        <w:rPr>
          <w:spacing w:val="-4"/>
          <w:sz w:val="21"/>
        </w:rPr>
        <w:t>unfair </w:t>
      </w:r>
      <w:r>
        <w:rPr>
          <w:spacing w:val="-3"/>
          <w:sz w:val="21"/>
        </w:rPr>
        <w:t>that </w:t>
      </w:r>
      <w:r>
        <w:rPr>
          <w:sz w:val="21"/>
        </w:rPr>
        <w:t>new owners </w:t>
      </w:r>
      <w:r>
        <w:rPr>
          <w:spacing w:val="-3"/>
          <w:sz w:val="21"/>
        </w:rPr>
        <w:t>have full </w:t>
      </w:r>
      <w:r>
        <w:rPr>
          <w:sz w:val="21"/>
        </w:rPr>
        <w:t>authority over </w:t>
      </w:r>
      <w:r>
        <w:rPr>
          <w:spacing w:val="-3"/>
          <w:sz w:val="21"/>
        </w:rPr>
        <w:t>any </w:t>
      </w:r>
      <w:r>
        <w:rPr>
          <w:sz w:val="21"/>
        </w:rPr>
        <w:t>tree on their </w:t>
      </w:r>
      <w:r>
        <w:rPr>
          <w:spacing w:val="-3"/>
          <w:sz w:val="21"/>
        </w:rPr>
        <w:t>land, </w:t>
      </w:r>
      <w:r>
        <w:rPr>
          <w:sz w:val="21"/>
        </w:rPr>
        <w:t>especially where the tree is decades-or centuries-old and </w:t>
      </w:r>
      <w:r>
        <w:rPr>
          <w:spacing w:val="-3"/>
          <w:sz w:val="21"/>
        </w:rPr>
        <w:t>could  </w:t>
      </w:r>
      <w:r>
        <w:rPr>
          <w:sz w:val="21"/>
        </w:rPr>
        <w:t>be </w:t>
      </w:r>
      <w:r>
        <w:rPr>
          <w:spacing w:val="-3"/>
          <w:sz w:val="21"/>
        </w:rPr>
        <w:t>considered to </w:t>
      </w:r>
      <w:r>
        <w:rPr>
          <w:sz w:val="21"/>
        </w:rPr>
        <w:t>be a community</w:t>
      </w:r>
      <w:r>
        <w:rPr>
          <w:spacing w:val="13"/>
          <w:sz w:val="21"/>
        </w:rPr>
        <w:t> </w:t>
      </w:r>
      <w:r>
        <w:rPr>
          <w:sz w:val="21"/>
        </w:rPr>
        <w:t>asset.</w:t>
      </w:r>
      <w:r>
        <w:rPr>
          <w:position w:val="7"/>
          <w:sz w:val="12"/>
        </w:rPr>
        <w:t>248</w:t>
      </w:r>
    </w:p>
    <w:p>
      <w:pPr>
        <w:pStyle w:val="ListParagraph"/>
        <w:numPr>
          <w:ilvl w:val="0"/>
          <w:numId w:val="35"/>
        </w:numPr>
        <w:tabs>
          <w:tab w:pos="2380" w:val="left" w:leader="none"/>
          <w:tab w:pos="2381" w:val="left" w:leader="none"/>
        </w:tabs>
        <w:spacing w:line="242" w:lineRule="auto" w:before="123" w:after="0"/>
        <w:ind w:left="2380" w:right="1688" w:hanging="793"/>
        <w:jc w:val="left"/>
        <w:rPr>
          <w:sz w:val="12"/>
        </w:rPr>
      </w:pPr>
      <w:r>
        <w:rPr>
          <w:spacing w:val="-3"/>
          <w:w w:val="105"/>
          <w:sz w:val="21"/>
        </w:rPr>
        <w:t>ENSPEC noted that </w:t>
      </w:r>
      <w:r>
        <w:rPr>
          <w:spacing w:val="-6"/>
          <w:w w:val="105"/>
          <w:sz w:val="21"/>
        </w:rPr>
        <w:t>‘any </w:t>
      </w:r>
      <w:r>
        <w:rPr>
          <w:spacing w:val="-3"/>
          <w:w w:val="105"/>
          <w:sz w:val="21"/>
        </w:rPr>
        <w:t>reform </w:t>
      </w:r>
      <w:r>
        <w:rPr>
          <w:w w:val="105"/>
          <w:sz w:val="21"/>
        </w:rPr>
        <w:t>needs </w:t>
      </w:r>
      <w:r>
        <w:rPr>
          <w:spacing w:val="-3"/>
          <w:w w:val="105"/>
          <w:sz w:val="21"/>
        </w:rPr>
        <w:t>to </w:t>
      </w:r>
      <w:r>
        <w:rPr>
          <w:w w:val="105"/>
          <w:sz w:val="21"/>
        </w:rPr>
        <w:t>provide a </w:t>
      </w:r>
      <w:r>
        <w:rPr>
          <w:spacing w:val="-3"/>
          <w:w w:val="105"/>
          <w:sz w:val="21"/>
        </w:rPr>
        <w:t>balance </w:t>
      </w:r>
      <w:r>
        <w:rPr>
          <w:w w:val="105"/>
          <w:sz w:val="21"/>
        </w:rPr>
        <w:t>between </w:t>
      </w:r>
      <w:r>
        <w:rPr>
          <w:spacing w:val="-3"/>
          <w:w w:val="105"/>
          <w:sz w:val="21"/>
        </w:rPr>
        <w:t>genuine harm, </w:t>
      </w:r>
      <w:r>
        <w:rPr>
          <w:w w:val="105"/>
          <w:sz w:val="21"/>
        </w:rPr>
        <w:t>or risk</w:t>
      </w:r>
      <w:r>
        <w:rPr>
          <w:spacing w:val="-6"/>
          <w:w w:val="105"/>
          <w:sz w:val="21"/>
        </w:rPr>
        <w:t> </w:t>
      </w:r>
      <w:r>
        <w:rPr>
          <w:spacing w:val="-4"/>
          <w:w w:val="105"/>
          <w:sz w:val="21"/>
        </w:rPr>
        <w:t>thereof,</w:t>
      </w:r>
      <w:r>
        <w:rPr>
          <w:spacing w:val="-5"/>
          <w:w w:val="105"/>
          <w:sz w:val="21"/>
        </w:rPr>
        <w:t> </w:t>
      </w:r>
      <w:r>
        <w:rPr>
          <w:w w:val="105"/>
          <w:sz w:val="21"/>
        </w:rPr>
        <w:t>and</w:t>
      </w:r>
      <w:r>
        <w:rPr>
          <w:spacing w:val="-5"/>
          <w:w w:val="105"/>
          <w:sz w:val="21"/>
        </w:rPr>
        <w:t> </w:t>
      </w:r>
      <w:r>
        <w:rPr>
          <w:w w:val="105"/>
          <w:sz w:val="21"/>
        </w:rPr>
        <w:t>the</w:t>
      </w:r>
      <w:r>
        <w:rPr>
          <w:spacing w:val="-5"/>
          <w:w w:val="105"/>
          <w:sz w:val="21"/>
        </w:rPr>
        <w:t> </w:t>
      </w:r>
      <w:r>
        <w:rPr>
          <w:spacing w:val="-3"/>
          <w:w w:val="105"/>
          <w:sz w:val="21"/>
        </w:rPr>
        <w:t>unreasonable</w:t>
      </w:r>
      <w:r>
        <w:rPr>
          <w:spacing w:val="-5"/>
          <w:w w:val="105"/>
          <w:sz w:val="21"/>
        </w:rPr>
        <w:t> </w:t>
      </w:r>
      <w:r>
        <w:rPr>
          <w:w w:val="105"/>
          <w:sz w:val="21"/>
        </w:rPr>
        <w:t>expectations</w:t>
      </w:r>
      <w:r>
        <w:rPr>
          <w:spacing w:val="-6"/>
          <w:w w:val="105"/>
          <w:sz w:val="21"/>
        </w:rPr>
        <w:t> </w:t>
      </w:r>
      <w:r>
        <w:rPr>
          <w:w w:val="105"/>
          <w:sz w:val="21"/>
        </w:rPr>
        <w:t>of</w:t>
      </w:r>
      <w:r>
        <w:rPr>
          <w:spacing w:val="-5"/>
          <w:w w:val="105"/>
          <w:sz w:val="21"/>
        </w:rPr>
        <w:t> </w:t>
      </w:r>
      <w:r>
        <w:rPr>
          <w:w w:val="105"/>
          <w:sz w:val="21"/>
        </w:rPr>
        <w:t>some</w:t>
      </w:r>
      <w:r>
        <w:rPr>
          <w:spacing w:val="-5"/>
          <w:w w:val="105"/>
          <w:sz w:val="21"/>
        </w:rPr>
        <w:t> </w:t>
      </w:r>
      <w:r>
        <w:rPr>
          <w:w w:val="105"/>
          <w:sz w:val="21"/>
        </w:rPr>
        <w:t>in</w:t>
      </w:r>
      <w:r>
        <w:rPr>
          <w:spacing w:val="-5"/>
          <w:w w:val="105"/>
          <w:sz w:val="21"/>
        </w:rPr>
        <w:t> </w:t>
      </w:r>
      <w:r>
        <w:rPr>
          <w:w w:val="105"/>
          <w:sz w:val="21"/>
        </w:rPr>
        <w:t>the</w:t>
      </w:r>
      <w:r>
        <w:rPr>
          <w:spacing w:val="-5"/>
          <w:w w:val="105"/>
          <w:sz w:val="21"/>
        </w:rPr>
        <w:t> </w:t>
      </w:r>
      <w:r>
        <w:rPr>
          <w:spacing w:val="-4"/>
          <w:w w:val="105"/>
          <w:sz w:val="21"/>
        </w:rPr>
        <w:t>community,</w:t>
      </w:r>
      <w:r>
        <w:rPr>
          <w:spacing w:val="-5"/>
          <w:w w:val="105"/>
          <w:sz w:val="21"/>
        </w:rPr>
        <w:t> </w:t>
      </w:r>
      <w:r>
        <w:rPr>
          <w:spacing w:val="-3"/>
          <w:w w:val="105"/>
          <w:sz w:val="21"/>
        </w:rPr>
        <w:t>such</w:t>
      </w:r>
      <w:r>
        <w:rPr>
          <w:spacing w:val="-6"/>
          <w:w w:val="105"/>
          <w:sz w:val="21"/>
        </w:rPr>
        <w:t> </w:t>
      </w:r>
      <w:r>
        <w:rPr>
          <w:w w:val="105"/>
          <w:sz w:val="21"/>
        </w:rPr>
        <w:t>as</w:t>
      </w:r>
      <w:r>
        <w:rPr>
          <w:spacing w:val="-5"/>
          <w:w w:val="105"/>
          <w:sz w:val="21"/>
        </w:rPr>
        <w:t> </w:t>
      </w:r>
      <w:r>
        <w:rPr>
          <w:w w:val="105"/>
          <w:sz w:val="21"/>
        </w:rPr>
        <w:t>often occurs with </w:t>
      </w:r>
      <w:r>
        <w:rPr>
          <w:spacing w:val="-3"/>
          <w:w w:val="105"/>
          <w:sz w:val="21"/>
        </w:rPr>
        <w:t>complaints </w:t>
      </w:r>
      <w:r>
        <w:rPr>
          <w:w w:val="105"/>
          <w:sz w:val="21"/>
        </w:rPr>
        <w:t>about </w:t>
      </w:r>
      <w:r>
        <w:rPr>
          <w:spacing w:val="-4"/>
          <w:w w:val="105"/>
          <w:sz w:val="21"/>
        </w:rPr>
        <w:t>falling </w:t>
      </w:r>
      <w:r>
        <w:rPr>
          <w:spacing w:val="-3"/>
          <w:w w:val="105"/>
          <w:sz w:val="21"/>
        </w:rPr>
        <w:t>leaves, </w:t>
      </w:r>
      <w:r>
        <w:rPr>
          <w:w w:val="105"/>
          <w:sz w:val="21"/>
        </w:rPr>
        <w:t>or the propensity </w:t>
      </w:r>
      <w:r>
        <w:rPr>
          <w:spacing w:val="-3"/>
          <w:w w:val="105"/>
          <w:sz w:val="21"/>
        </w:rPr>
        <w:t>to </w:t>
      </w:r>
      <w:r>
        <w:rPr>
          <w:w w:val="105"/>
          <w:sz w:val="21"/>
        </w:rPr>
        <w:t>attribute causation </w:t>
      </w:r>
      <w:r>
        <w:rPr>
          <w:spacing w:val="-3"/>
          <w:w w:val="105"/>
          <w:sz w:val="21"/>
        </w:rPr>
        <w:t>to </w:t>
      </w:r>
      <w:r>
        <w:rPr>
          <w:w w:val="105"/>
          <w:sz w:val="21"/>
        </w:rPr>
        <w:t>trees without proof </w:t>
      </w:r>
      <w:r>
        <w:rPr>
          <w:spacing w:val="-3"/>
          <w:w w:val="105"/>
          <w:sz w:val="21"/>
        </w:rPr>
        <w:t>for </w:t>
      </w:r>
      <w:r>
        <w:rPr>
          <w:w w:val="105"/>
          <w:sz w:val="21"/>
        </w:rPr>
        <w:t>phenomena [such as] soil </w:t>
      </w:r>
      <w:r>
        <w:rPr>
          <w:spacing w:val="-3"/>
          <w:w w:val="105"/>
          <w:sz w:val="21"/>
        </w:rPr>
        <w:t>subsidence </w:t>
      </w:r>
      <w:r>
        <w:rPr>
          <w:w w:val="105"/>
          <w:sz w:val="21"/>
        </w:rPr>
        <w:t>and </w:t>
      </w:r>
      <w:r>
        <w:rPr>
          <w:spacing w:val="-3"/>
          <w:w w:val="105"/>
          <w:sz w:val="21"/>
        </w:rPr>
        <w:t>blocked</w:t>
      </w:r>
      <w:r>
        <w:rPr>
          <w:spacing w:val="-6"/>
          <w:w w:val="105"/>
          <w:sz w:val="21"/>
        </w:rPr>
        <w:t> </w:t>
      </w:r>
      <w:r>
        <w:rPr>
          <w:spacing w:val="-3"/>
          <w:w w:val="105"/>
          <w:sz w:val="21"/>
        </w:rPr>
        <w:t>pipes’.</w:t>
      </w:r>
      <w:r>
        <w:rPr>
          <w:spacing w:val="-3"/>
          <w:w w:val="105"/>
          <w:position w:val="7"/>
          <w:sz w:val="12"/>
        </w:rPr>
        <w:t>249</w:t>
      </w:r>
    </w:p>
    <w:p>
      <w:pPr>
        <w:pStyle w:val="ListParagraph"/>
        <w:numPr>
          <w:ilvl w:val="0"/>
          <w:numId w:val="35"/>
        </w:numPr>
        <w:tabs>
          <w:tab w:pos="2380" w:val="left" w:leader="none"/>
          <w:tab w:pos="2382" w:val="left" w:leader="none"/>
        </w:tabs>
        <w:spacing w:line="242" w:lineRule="auto" w:before="124" w:after="0"/>
        <w:ind w:left="2381" w:right="1591" w:hanging="794"/>
        <w:jc w:val="left"/>
        <w:rPr>
          <w:sz w:val="21"/>
        </w:rPr>
      </w:pPr>
      <w:r>
        <w:rPr>
          <w:sz w:val="21"/>
        </w:rPr>
        <w:t>In addition and as </w:t>
      </w:r>
      <w:r>
        <w:rPr>
          <w:spacing w:val="-3"/>
          <w:sz w:val="21"/>
        </w:rPr>
        <w:t>outlined above, </w:t>
      </w:r>
      <w:r>
        <w:rPr>
          <w:sz w:val="21"/>
        </w:rPr>
        <w:t>the </w:t>
      </w:r>
      <w:r>
        <w:rPr>
          <w:spacing w:val="-3"/>
          <w:sz w:val="21"/>
        </w:rPr>
        <w:t>main </w:t>
      </w:r>
      <w:r>
        <w:rPr>
          <w:sz w:val="21"/>
        </w:rPr>
        <w:t>remedies </w:t>
      </w:r>
      <w:r>
        <w:rPr>
          <w:spacing w:val="-3"/>
          <w:sz w:val="21"/>
        </w:rPr>
        <w:t>for </w:t>
      </w:r>
      <w:r>
        <w:rPr>
          <w:sz w:val="21"/>
        </w:rPr>
        <w:t>tree </w:t>
      </w:r>
      <w:r>
        <w:rPr>
          <w:spacing w:val="-3"/>
          <w:sz w:val="21"/>
        </w:rPr>
        <w:t>disputes  are  </w:t>
      </w:r>
      <w:r>
        <w:rPr>
          <w:sz w:val="21"/>
        </w:rPr>
        <w:t>court orders </w:t>
      </w:r>
      <w:r>
        <w:rPr>
          <w:spacing w:val="-3"/>
          <w:sz w:val="21"/>
        </w:rPr>
        <w:t>for </w:t>
      </w:r>
      <w:r>
        <w:rPr>
          <w:sz w:val="21"/>
        </w:rPr>
        <w:t>an injunction and/or damages. These tortious remedies </w:t>
      </w:r>
      <w:r>
        <w:rPr>
          <w:spacing w:val="-6"/>
          <w:sz w:val="21"/>
        </w:rPr>
        <w:t>‘aim </w:t>
      </w:r>
      <w:r>
        <w:rPr>
          <w:spacing w:val="-3"/>
          <w:sz w:val="21"/>
        </w:rPr>
        <w:t>to </w:t>
      </w:r>
      <w:r>
        <w:rPr>
          <w:sz w:val="21"/>
        </w:rPr>
        <w:t>rectify specific personal losses, but do </w:t>
      </w:r>
      <w:r>
        <w:rPr>
          <w:spacing w:val="-2"/>
          <w:sz w:val="21"/>
        </w:rPr>
        <w:t>not </w:t>
      </w:r>
      <w:r>
        <w:rPr>
          <w:sz w:val="21"/>
        </w:rPr>
        <w:t>address the interests of the </w:t>
      </w:r>
      <w:r>
        <w:rPr>
          <w:spacing w:val="-3"/>
          <w:sz w:val="21"/>
        </w:rPr>
        <w:t>public </w:t>
      </w:r>
      <w:r>
        <w:rPr>
          <w:sz w:val="21"/>
        </w:rPr>
        <w:t>at large in the aesthetic, </w:t>
      </w:r>
      <w:r>
        <w:rPr>
          <w:spacing w:val="-3"/>
          <w:sz w:val="21"/>
        </w:rPr>
        <w:t>historical, cultural </w:t>
      </w:r>
      <w:r>
        <w:rPr>
          <w:sz w:val="21"/>
        </w:rPr>
        <w:t>or </w:t>
      </w:r>
      <w:r>
        <w:rPr>
          <w:spacing w:val="-3"/>
          <w:sz w:val="21"/>
        </w:rPr>
        <w:t>environmental values </w:t>
      </w:r>
      <w:r>
        <w:rPr>
          <w:sz w:val="21"/>
        </w:rPr>
        <w:t>associated with </w:t>
      </w:r>
      <w:r>
        <w:rPr>
          <w:spacing w:val="-3"/>
          <w:sz w:val="21"/>
        </w:rPr>
        <w:t>trees’.</w:t>
      </w:r>
      <w:r>
        <w:rPr>
          <w:spacing w:val="-3"/>
          <w:position w:val="7"/>
          <w:sz w:val="12"/>
        </w:rPr>
        <w:t>250 </w:t>
      </w:r>
      <w:r>
        <w:rPr>
          <w:sz w:val="21"/>
        </w:rPr>
        <w:t>This </w:t>
      </w:r>
      <w:r>
        <w:rPr>
          <w:spacing w:val="-3"/>
          <w:sz w:val="21"/>
        </w:rPr>
        <w:t>may  </w:t>
      </w:r>
      <w:r>
        <w:rPr>
          <w:sz w:val="21"/>
        </w:rPr>
        <w:t>be </w:t>
      </w:r>
      <w:r>
        <w:rPr>
          <w:spacing w:val="-3"/>
          <w:sz w:val="21"/>
        </w:rPr>
        <w:t>considered</w:t>
      </w:r>
      <w:r>
        <w:rPr>
          <w:spacing w:val="41"/>
          <w:sz w:val="21"/>
        </w:rPr>
        <w:t> </w:t>
      </w:r>
      <w:r>
        <w:rPr>
          <w:sz w:val="21"/>
        </w:rPr>
        <w:t>at odds with an </w:t>
      </w:r>
      <w:r>
        <w:rPr>
          <w:spacing w:val="-3"/>
          <w:sz w:val="21"/>
        </w:rPr>
        <w:t>increasing </w:t>
      </w:r>
      <w:r>
        <w:rPr>
          <w:sz w:val="21"/>
        </w:rPr>
        <w:t>awareness about and </w:t>
      </w:r>
      <w:r>
        <w:rPr>
          <w:spacing w:val="-3"/>
          <w:sz w:val="21"/>
        </w:rPr>
        <w:t>emphasis </w:t>
      </w:r>
      <w:r>
        <w:rPr>
          <w:sz w:val="21"/>
        </w:rPr>
        <w:t>on the importance of vegetation, the  need</w:t>
      </w:r>
      <w:r>
        <w:rPr>
          <w:spacing w:val="12"/>
          <w:sz w:val="21"/>
        </w:rPr>
        <w:t> </w:t>
      </w:r>
      <w:r>
        <w:rPr>
          <w:spacing w:val="-3"/>
          <w:sz w:val="21"/>
        </w:rPr>
        <w:t>to</w:t>
      </w:r>
      <w:r>
        <w:rPr>
          <w:spacing w:val="12"/>
          <w:sz w:val="21"/>
        </w:rPr>
        <w:t> </w:t>
      </w:r>
      <w:r>
        <w:rPr>
          <w:spacing w:val="-3"/>
          <w:sz w:val="21"/>
        </w:rPr>
        <w:t>retain</w:t>
      </w:r>
      <w:r>
        <w:rPr>
          <w:spacing w:val="12"/>
          <w:sz w:val="21"/>
        </w:rPr>
        <w:t> </w:t>
      </w:r>
      <w:r>
        <w:rPr>
          <w:sz w:val="21"/>
        </w:rPr>
        <w:t>the</w:t>
      </w:r>
      <w:r>
        <w:rPr>
          <w:spacing w:val="12"/>
          <w:sz w:val="21"/>
        </w:rPr>
        <w:t> </w:t>
      </w:r>
      <w:r>
        <w:rPr>
          <w:sz w:val="21"/>
        </w:rPr>
        <w:t>urban</w:t>
      </w:r>
      <w:r>
        <w:rPr>
          <w:spacing w:val="12"/>
          <w:sz w:val="21"/>
        </w:rPr>
        <w:t> </w:t>
      </w:r>
      <w:r>
        <w:rPr>
          <w:spacing w:val="-2"/>
          <w:sz w:val="21"/>
        </w:rPr>
        <w:t>forest</w:t>
      </w:r>
      <w:r>
        <w:rPr>
          <w:spacing w:val="12"/>
          <w:sz w:val="21"/>
        </w:rPr>
        <w:t> </w:t>
      </w:r>
      <w:r>
        <w:rPr>
          <w:sz w:val="21"/>
        </w:rPr>
        <w:t>and</w:t>
      </w:r>
      <w:r>
        <w:rPr>
          <w:spacing w:val="12"/>
          <w:sz w:val="21"/>
        </w:rPr>
        <w:t> </w:t>
      </w:r>
      <w:r>
        <w:rPr>
          <w:spacing w:val="-3"/>
          <w:sz w:val="21"/>
        </w:rPr>
        <w:t>to</w:t>
      </w:r>
      <w:r>
        <w:rPr>
          <w:spacing w:val="12"/>
          <w:sz w:val="21"/>
        </w:rPr>
        <w:t> </w:t>
      </w:r>
      <w:r>
        <w:rPr>
          <w:spacing w:val="-3"/>
          <w:sz w:val="21"/>
        </w:rPr>
        <w:t>improve</w:t>
      </w:r>
      <w:r>
        <w:rPr>
          <w:spacing w:val="13"/>
          <w:sz w:val="21"/>
        </w:rPr>
        <w:t> </w:t>
      </w:r>
      <w:r>
        <w:rPr>
          <w:sz w:val="21"/>
        </w:rPr>
        <w:t>the</w:t>
      </w:r>
      <w:r>
        <w:rPr>
          <w:spacing w:val="12"/>
          <w:sz w:val="21"/>
        </w:rPr>
        <w:t> </w:t>
      </w:r>
      <w:r>
        <w:rPr>
          <w:spacing w:val="-3"/>
          <w:sz w:val="21"/>
        </w:rPr>
        <w:t>liveability</w:t>
      </w:r>
      <w:r>
        <w:rPr>
          <w:spacing w:val="12"/>
          <w:sz w:val="21"/>
        </w:rPr>
        <w:t> </w:t>
      </w:r>
      <w:r>
        <w:rPr>
          <w:sz w:val="21"/>
        </w:rPr>
        <w:t>of</w:t>
      </w:r>
      <w:r>
        <w:rPr>
          <w:spacing w:val="12"/>
          <w:sz w:val="21"/>
        </w:rPr>
        <w:t> </w:t>
      </w:r>
      <w:r>
        <w:rPr>
          <w:sz w:val="21"/>
        </w:rPr>
        <w:t>urban</w:t>
      </w:r>
      <w:r>
        <w:rPr>
          <w:spacing w:val="12"/>
          <w:sz w:val="21"/>
        </w:rPr>
        <w:t> </w:t>
      </w:r>
      <w:r>
        <w:rPr>
          <w:spacing w:val="-3"/>
          <w:sz w:val="21"/>
        </w:rPr>
        <w:t>spaces.</w:t>
      </w:r>
    </w:p>
    <w:p>
      <w:pPr>
        <w:pStyle w:val="Heading7"/>
        <w:spacing w:before="157"/>
      </w:pPr>
      <w:r>
        <w:rPr>
          <w:w w:val="115"/>
        </w:rPr>
        <w:t>Rural and urban contexts</w:t>
      </w:r>
    </w:p>
    <w:p>
      <w:pPr>
        <w:pStyle w:val="ListParagraph"/>
        <w:numPr>
          <w:ilvl w:val="0"/>
          <w:numId w:val="35"/>
        </w:numPr>
        <w:tabs>
          <w:tab w:pos="2380" w:val="left" w:leader="none"/>
          <w:tab w:pos="2381" w:val="left" w:leader="none"/>
        </w:tabs>
        <w:spacing w:line="242" w:lineRule="auto" w:before="143" w:after="0"/>
        <w:ind w:left="2381" w:right="1629" w:hanging="794"/>
        <w:jc w:val="left"/>
        <w:rPr>
          <w:sz w:val="12"/>
        </w:rPr>
      </w:pPr>
      <w:r>
        <w:rPr>
          <w:w w:val="105"/>
          <w:sz w:val="21"/>
        </w:rPr>
        <w:t>HVP </w:t>
      </w:r>
      <w:r>
        <w:rPr>
          <w:spacing w:val="-3"/>
          <w:w w:val="105"/>
          <w:sz w:val="21"/>
        </w:rPr>
        <w:t>Plantations </w:t>
      </w:r>
      <w:r>
        <w:rPr>
          <w:w w:val="105"/>
          <w:sz w:val="21"/>
        </w:rPr>
        <w:t>identified </w:t>
      </w:r>
      <w:r>
        <w:rPr>
          <w:spacing w:val="-3"/>
          <w:w w:val="105"/>
          <w:sz w:val="21"/>
        </w:rPr>
        <w:t>that </w:t>
      </w:r>
      <w:r>
        <w:rPr>
          <w:spacing w:val="-2"/>
          <w:w w:val="105"/>
          <w:sz w:val="21"/>
        </w:rPr>
        <w:t>common </w:t>
      </w:r>
      <w:r>
        <w:rPr>
          <w:w w:val="105"/>
          <w:sz w:val="21"/>
        </w:rPr>
        <w:t>law </w:t>
      </w:r>
      <w:r>
        <w:rPr>
          <w:spacing w:val="-3"/>
          <w:w w:val="105"/>
          <w:sz w:val="21"/>
        </w:rPr>
        <w:t>principles </w:t>
      </w:r>
      <w:r>
        <w:rPr>
          <w:w w:val="105"/>
          <w:sz w:val="21"/>
        </w:rPr>
        <w:t>in </w:t>
      </w:r>
      <w:r>
        <w:rPr>
          <w:spacing w:val="-3"/>
          <w:w w:val="105"/>
          <w:sz w:val="21"/>
        </w:rPr>
        <w:t>nuisance </w:t>
      </w:r>
      <w:r>
        <w:rPr>
          <w:w w:val="105"/>
          <w:sz w:val="21"/>
        </w:rPr>
        <w:t>and </w:t>
      </w:r>
      <w:r>
        <w:rPr>
          <w:spacing w:val="-3"/>
          <w:w w:val="105"/>
          <w:sz w:val="21"/>
        </w:rPr>
        <w:t>negligence are </w:t>
      </w:r>
      <w:r>
        <w:rPr>
          <w:spacing w:val="-2"/>
          <w:w w:val="105"/>
          <w:sz w:val="21"/>
        </w:rPr>
        <w:t>not </w:t>
      </w:r>
      <w:r>
        <w:rPr>
          <w:spacing w:val="-3"/>
          <w:w w:val="105"/>
          <w:sz w:val="21"/>
        </w:rPr>
        <w:t>easily </w:t>
      </w:r>
      <w:r>
        <w:rPr>
          <w:w w:val="105"/>
          <w:sz w:val="21"/>
        </w:rPr>
        <w:t>applied </w:t>
      </w:r>
      <w:r>
        <w:rPr>
          <w:spacing w:val="-3"/>
          <w:w w:val="105"/>
          <w:sz w:val="21"/>
        </w:rPr>
        <w:t>to </w:t>
      </w:r>
      <w:r>
        <w:rPr>
          <w:w w:val="105"/>
          <w:sz w:val="21"/>
        </w:rPr>
        <w:t>tree issues in </w:t>
      </w:r>
      <w:r>
        <w:rPr>
          <w:spacing w:val="-3"/>
          <w:w w:val="105"/>
          <w:sz w:val="21"/>
        </w:rPr>
        <w:t>rural areas </w:t>
      </w:r>
      <w:r>
        <w:rPr>
          <w:w w:val="105"/>
          <w:sz w:val="21"/>
        </w:rPr>
        <w:t>where there </w:t>
      </w:r>
      <w:r>
        <w:rPr>
          <w:spacing w:val="-3"/>
          <w:w w:val="105"/>
          <w:sz w:val="21"/>
        </w:rPr>
        <w:t>may </w:t>
      </w:r>
      <w:r>
        <w:rPr>
          <w:w w:val="105"/>
          <w:sz w:val="21"/>
        </w:rPr>
        <w:t>be </w:t>
      </w:r>
      <w:r>
        <w:rPr>
          <w:spacing w:val="-3"/>
          <w:w w:val="105"/>
          <w:sz w:val="21"/>
        </w:rPr>
        <w:t>many </w:t>
      </w:r>
      <w:r>
        <w:rPr>
          <w:w w:val="105"/>
          <w:sz w:val="21"/>
        </w:rPr>
        <w:t>trees on extensive boundaries. It was suggested </w:t>
      </w:r>
      <w:r>
        <w:rPr>
          <w:spacing w:val="-3"/>
          <w:w w:val="105"/>
          <w:sz w:val="21"/>
        </w:rPr>
        <w:t>that </w:t>
      </w:r>
      <w:r>
        <w:rPr>
          <w:w w:val="105"/>
          <w:sz w:val="21"/>
        </w:rPr>
        <w:t>it is difficult in practice </w:t>
      </w:r>
      <w:r>
        <w:rPr>
          <w:spacing w:val="-3"/>
          <w:w w:val="105"/>
          <w:sz w:val="21"/>
        </w:rPr>
        <w:t>for rural </w:t>
      </w:r>
      <w:r>
        <w:rPr>
          <w:w w:val="105"/>
          <w:sz w:val="21"/>
        </w:rPr>
        <w:t>landowners </w:t>
      </w:r>
      <w:r>
        <w:rPr>
          <w:spacing w:val="-3"/>
          <w:w w:val="105"/>
          <w:sz w:val="21"/>
        </w:rPr>
        <w:t>to </w:t>
      </w:r>
      <w:r>
        <w:rPr>
          <w:w w:val="105"/>
          <w:sz w:val="21"/>
        </w:rPr>
        <w:t>inspect trees </w:t>
      </w:r>
      <w:r>
        <w:rPr>
          <w:spacing w:val="-3"/>
          <w:w w:val="105"/>
          <w:sz w:val="21"/>
        </w:rPr>
        <w:t>to </w:t>
      </w:r>
      <w:r>
        <w:rPr>
          <w:w w:val="105"/>
          <w:sz w:val="21"/>
        </w:rPr>
        <w:t>protect neighbours </w:t>
      </w:r>
      <w:r>
        <w:rPr>
          <w:spacing w:val="-3"/>
          <w:w w:val="105"/>
          <w:sz w:val="21"/>
        </w:rPr>
        <w:t>from harm </w:t>
      </w:r>
      <w:r>
        <w:rPr>
          <w:w w:val="105"/>
          <w:sz w:val="21"/>
        </w:rPr>
        <w:t>in the context of negligence: ‘Regular inspection of</w:t>
      </w:r>
      <w:r>
        <w:rPr>
          <w:spacing w:val="-6"/>
          <w:w w:val="105"/>
          <w:sz w:val="21"/>
        </w:rPr>
        <w:t> </w:t>
      </w:r>
      <w:r>
        <w:rPr>
          <w:spacing w:val="-3"/>
          <w:w w:val="105"/>
          <w:sz w:val="21"/>
        </w:rPr>
        <w:t>such</w:t>
      </w:r>
      <w:r>
        <w:rPr>
          <w:spacing w:val="-5"/>
          <w:w w:val="105"/>
          <w:sz w:val="21"/>
        </w:rPr>
        <w:t> </w:t>
      </w:r>
      <w:r>
        <w:rPr>
          <w:w w:val="105"/>
          <w:sz w:val="21"/>
        </w:rPr>
        <w:t>trees</w:t>
      </w:r>
      <w:r>
        <w:rPr>
          <w:spacing w:val="-5"/>
          <w:w w:val="105"/>
          <w:sz w:val="21"/>
        </w:rPr>
        <w:t> </w:t>
      </w:r>
      <w:r>
        <w:rPr>
          <w:w w:val="105"/>
          <w:sz w:val="21"/>
        </w:rPr>
        <w:t>is</w:t>
      </w:r>
      <w:r>
        <w:rPr>
          <w:spacing w:val="-5"/>
          <w:w w:val="105"/>
          <w:sz w:val="21"/>
        </w:rPr>
        <w:t> </w:t>
      </w:r>
      <w:r>
        <w:rPr>
          <w:w w:val="105"/>
          <w:sz w:val="21"/>
        </w:rPr>
        <w:t>mostly</w:t>
      </w:r>
      <w:r>
        <w:rPr>
          <w:spacing w:val="-5"/>
          <w:w w:val="105"/>
          <w:sz w:val="21"/>
        </w:rPr>
        <w:t> </w:t>
      </w:r>
      <w:r>
        <w:rPr>
          <w:w w:val="105"/>
          <w:sz w:val="21"/>
        </w:rPr>
        <w:t>impractical</w:t>
      </w:r>
      <w:r>
        <w:rPr>
          <w:spacing w:val="-5"/>
          <w:w w:val="105"/>
          <w:sz w:val="21"/>
        </w:rPr>
        <w:t> </w:t>
      </w:r>
      <w:r>
        <w:rPr>
          <w:w w:val="105"/>
          <w:sz w:val="21"/>
        </w:rPr>
        <w:t>and</w:t>
      </w:r>
      <w:r>
        <w:rPr>
          <w:spacing w:val="-5"/>
          <w:w w:val="105"/>
          <w:sz w:val="21"/>
        </w:rPr>
        <w:t> </w:t>
      </w:r>
      <w:r>
        <w:rPr>
          <w:w w:val="105"/>
          <w:sz w:val="21"/>
        </w:rPr>
        <w:t>a</w:t>
      </w:r>
      <w:r>
        <w:rPr>
          <w:spacing w:val="-6"/>
          <w:w w:val="105"/>
          <w:sz w:val="21"/>
        </w:rPr>
        <w:t> </w:t>
      </w:r>
      <w:r>
        <w:rPr>
          <w:w w:val="105"/>
          <w:sz w:val="21"/>
        </w:rPr>
        <w:t>tree</w:t>
      </w:r>
      <w:r>
        <w:rPr>
          <w:spacing w:val="-5"/>
          <w:w w:val="105"/>
          <w:sz w:val="21"/>
        </w:rPr>
        <w:t> </w:t>
      </w:r>
      <w:r>
        <w:rPr>
          <w:w w:val="105"/>
          <w:sz w:val="21"/>
        </w:rPr>
        <w:t>which</w:t>
      </w:r>
      <w:r>
        <w:rPr>
          <w:spacing w:val="-5"/>
          <w:w w:val="105"/>
          <w:sz w:val="21"/>
        </w:rPr>
        <w:t> </w:t>
      </w:r>
      <w:r>
        <w:rPr>
          <w:w w:val="105"/>
          <w:sz w:val="21"/>
        </w:rPr>
        <w:t>is</w:t>
      </w:r>
      <w:r>
        <w:rPr>
          <w:spacing w:val="-5"/>
          <w:w w:val="105"/>
          <w:sz w:val="21"/>
        </w:rPr>
        <w:t> </w:t>
      </w:r>
      <w:r>
        <w:rPr>
          <w:spacing w:val="-4"/>
          <w:w w:val="105"/>
          <w:sz w:val="21"/>
        </w:rPr>
        <w:t>“defective”</w:t>
      </w:r>
      <w:r>
        <w:rPr>
          <w:spacing w:val="-5"/>
          <w:w w:val="105"/>
          <w:sz w:val="21"/>
        </w:rPr>
        <w:t> </w:t>
      </w:r>
      <w:r>
        <w:rPr>
          <w:w w:val="105"/>
          <w:sz w:val="21"/>
        </w:rPr>
        <w:t>is</w:t>
      </w:r>
      <w:r>
        <w:rPr>
          <w:spacing w:val="-5"/>
          <w:w w:val="105"/>
          <w:sz w:val="21"/>
        </w:rPr>
        <w:t> </w:t>
      </w:r>
      <w:r>
        <w:rPr>
          <w:w w:val="105"/>
          <w:sz w:val="21"/>
        </w:rPr>
        <w:t>also</w:t>
      </w:r>
      <w:r>
        <w:rPr>
          <w:spacing w:val="-5"/>
          <w:w w:val="105"/>
          <w:sz w:val="21"/>
        </w:rPr>
        <w:t> </w:t>
      </w:r>
      <w:r>
        <w:rPr>
          <w:spacing w:val="-4"/>
          <w:w w:val="105"/>
          <w:sz w:val="21"/>
        </w:rPr>
        <w:t>likely</w:t>
      </w:r>
      <w:r>
        <w:rPr>
          <w:spacing w:val="-6"/>
          <w:w w:val="105"/>
          <w:sz w:val="21"/>
        </w:rPr>
        <w:t> </w:t>
      </w:r>
      <w:r>
        <w:rPr>
          <w:spacing w:val="-3"/>
          <w:w w:val="105"/>
          <w:sz w:val="21"/>
        </w:rPr>
        <w:t>to</w:t>
      </w:r>
      <w:r>
        <w:rPr>
          <w:spacing w:val="-5"/>
          <w:w w:val="105"/>
          <w:sz w:val="21"/>
        </w:rPr>
        <w:t> </w:t>
      </w:r>
      <w:r>
        <w:rPr>
          <w:w w:val="105"/>
          <w:sz w:val="21"/>
        </w:rPr>
        <w:t>be</w:t>
      </w:r>
      <w:r>
        <w:rPr>
          <w:spacing w:val="-5"/>
          <w:w w:val="105"/>
          <w:sz w:val="21"/>
        </w:rPr>
        <w:t> </w:t>
      </w:r>
      <w:r>
        <w:rPr>
          <w:w w:val="105"/>
          <w:sz w:val="21"/>
        </w:rPr>
        <w:t>a</w:t>
      </w:r>
      <w:r>
        <w:rPr>
          <w:spacing w:val="-5"/>
          <w:w w:val="105"/>
          <w:sz w:val="21"/>
        </w:rPr>
        <w:t> </w:t>
      </w:r>
      <w:r>
        <w:rPr>
          <w:w w:val="105"/>
          <w:sz w:val="21"/>
        </w:rPr>
        <w:t>tree with </w:t>
      </w:r>
      <w:r>
        <w:rPr>
          <w:spacing w:val="-3"/>
          <w:w w:val="105"/>
          <w:sz w:val="21"/>
        </w:rPr>
        <w:t>significant </w:t>
      </w:r>
      <w:r>
        <w:rPr>
          <w:w w:val="105"/>
          <w:sz w:val="21"/>
        </w:rPr>
        <w:t>habitat </w:t>
      </w:r>
      <w:r>
        <w:rPr>
          <w:spacing w:val="-3"/>
          <w:w w:val="105"/>
          <w:sz w:val="21"/>
        </w:rPr>
        <w:t>value </w:t>
      </w:r>
      <w:r>
        <w:rPr>
          <w:w w:val="105"/>
          <w:sz w:val="21"/>
        </w:rPr>
        <w:t>which is </w:t>
      </w:r>
      <w:r>
        <w:rPr>
          <w:spacing w:val="-3"/>
          <w:w w:val="105"/>
          <w:sz w:val="21"/>
        </w:rPr>
        <w:t>valued </w:t>
      </w:r>
      <w:r>
        <w:rPr>
          <w:w w:val="105"/>
          <w:sz w:val="21"/>
        </w:rPr>
        <w:t>by the</w:t>
      </w:r>
      <w:r>
        <w:rPr>
          <w:spacing w:val="44"/>
          <w:w w:val="105"/>
          <w:sz w:val="21"/>
        </w:rPr>
        <w:t> </w:t>
      </w:r>
      <w:r>
        <w:rPr>
          <w:spacing w:val="-5"/>
          <w:w w:val="105"/>
          <w:sz w:val="21"/>
        </w:rPr>
        <w:t>community.’</w:t>
      </w:r>
      <w:r>
        <w:rPr>
          <w:spacing w:val="-5"/>
          <w:w w:val="105"/>
          <w:position w:val="7"/>
          <w:sz w:val="12"/>
        </w:rPr>
        <w:t>251</w:t>
      </w:r>
    </w:p>
    <w:p>
      <w:pPr>
        <w:pStyle w:val="ListParagraph"/>
        <w:numPr>
          <w:ilvl w:val="0"/>
          <w:numId w:val="35"/>
        </w:numPr>
        <w:tabs>
          <w:tab w:pos="2381" w:val="left" w:leader="none"/>
          <w:tab w:pos="2382" w:val="left" w:leader="none"/>
        </w:tabs>
        <w:spacing w:line="242" w:lineRule="auto" w:before="126" w:after="0"/>
        <w:ind w:left="2381" w:right="1744" w:hanging="794"/>
        <w:jc w:val="left"/>
        <w:rPr>
          <w:sz w:val="21"/>
        </w:rPr>
      </w:pPr>
      <w:r>
        <w:rPr>
          <w:w w:val="105"/>
          <w:sz w:val="21"/>
        </w:rPr>
        <w:t>HVP also identified </w:t>
      </w:r>
      <w:r>
        <w:rPr>
          <w:spacing w:val="-3"/>
          <w:w w:val="105"/>
          <w:sz w:val="21"/>
        </w:rPr>
        <w:t>that nuisance arising from </w:t>
      </w:r>
      <w:r>
        <w:rPr>
          <w:w w:val="105"/>
          <w:sz w:val="21"/>
        </w:rPr>
        <w:t>damage </w:t>
      </w:r>
      <w:r>
        <w:rPr>
          <w:spacing w:val="-3"/>
          <w:w w:val="105"/>
          <w:sz w:val="21"/>
        </w:rPr>
        <w:t>to </w:t>
      </w:r>
      <w:r>
        <w:rPr>
          <w:w w:val="105"/>
          <w:sz w:val="21"/>
        </w:rPr>
        <w:t>property by </w:t>
      </w:r>
      <w:r>
        <w:rPr>
          <w:spacing w:val="-4"/>
          <w:w w:val="105"/>
          <w:sz w:val="21"/>
        </w:rPr>
        <w:t>falling </w:t>
      </w:r>
      <w:r>
        <w:rPr>
          <w:w w:val="105"/>
          <w:sz w:val="21"/>
        </w:rPr>
        <w:t>trees or </w:t>
      </w:r>
      <w:r>
        <w:rPr>
          <w:spacing w:val="-3"/>
          <w:w w:val="105"/>
          <w:sz w:val="21"/>
        </w:rPr>
        <w:t>branches</w:t>
      </w:r>
      <w:r>
        <w:rPr>
          <w:spacing w:val="-10"/>
          <w:w w:val="105"/>
          <w:sz w:val="21"/>
        </w:rPr>
        <w:t> </w:t>
      </w:r>
      <w:r>
        <w:rPr>
          <w:w w:val="105"/>
          <w:sz w:val="21"/>
        </w:rPr>
        <w:t>is</w:t>
      </w:r>
      <w:r>
        <w:rPr>
          <w:spacing w:val="-10"/>
          <w:w w:val="105"/>
          <w:sz w:val="21"/>
        </w:rPr>
        <w:t> </w:t>
      </w:r>
      <w:r>
        <w:rPr>
          <w:w w:val="105"/>
          <w:sz w:val="21"/>
        </w:rPr>
        <w:t>almost</w:t>
      </w:r>
      <w:r>
        <w:rPr>
          <w:spacing w:val="-9"/>
          <w:w w:val="105"/>
          <w:sz w:val="21"/>
        </w:rPr>
        <w:t> </w:t>
      </w:r>
      <w:r>
        <w:rPr>
          <w:w w:val="105"/>
          <w:sz w:val="21"/>
        </w:rPr>
        <w:t>inevitable</w:t>
      </w:r>
      <w:r>
        <w:rPr>
          <w:spacing w:val="-10"/>
          <w:w w:val="105"/>
          <w:sz w:val="21"/>
        </w:rPr>
        <w:t> </w:t>
      </w:r>
      <w:r>
        <w:rPr>
          <w:w w:val="105"/>
          <w:sz w:val="21"/>
        </w:rPr>
        <w:t>in</w:t>
      </w:r>
      <w:r>
        <w:rPr>
          <w:spacing w:val="-10"/>
          <w:w w:val="105"/>
          <w:sz w:val="21"/>
        </w:rPr>
        <w:t> </w:t>
      </w:r>
      <w:r>
        <w:rPr>
          <w:spacing w:val="-3"/>
          <w:w w:val="105"/>
          <w:sz w:val="21"/>
        </w:rPr>
        <w:t>rural</w:t>
      </w:r>
      <w:r>
        <w:rPr>
          <w:spacing w:val="-9"/>
          <w:w w:val="105"/>
          <w:sz w:val="21"/>
        </w:rPr>
        <w:t> </w:t>
      </w:r>
      <w:r>
        <w:rPr>
          <w:spacing w:val="-3"/>
          <w:w w:val="105"/>
          <w:sz w:val="21"/>
        </w:rPr>
        <w:t>areas.</w:t>
      </w:r>
      <w:r>
        <w:rPr>
          <w:spacing w:val="-10"/>
          <w:w w:val="105"/>
          <w:sz w:val="21"/>
        </w:rPr>
        <w:t> </w:t>
      </w:r>
      <w:r>
        <w:rPr>
          <w:w w:val="105"/>
          <w:sz w:val="21"/>
        </w:rPr>
        <w:t>Abating</w:t>
      </w:r>
      <w:r>
        <w:rPr>
          <w:spacing w:val="-10"/>
          <w:w w:val="105"/>
          <w:sz w:val="21"/>
        </w:rPr>
        <w:t> </w:t>
      </w:r>
      <w:r>
        <w:rPr>
          <w:w w:val="105"/>
          <w:sz w:val="21"/>
        </w:rPr>
        <w:t>large</w:t>
      </w:r>
      <w:r>
        <w:rPr>
          <w:spacing w:val="-9"/>
          <w:w w:val="105"/>
          <w:sz w:val="21"/>
        </w:rPr>
        <w:t> </w:t>
      </w:r>
      <w:r>
        <w:rPr>
          <w:w w:val="105"/>
          <w:sz w:val="21"/>
        </w:rPr>
        <w:t>and</w:t>
      </w:r>
      <w:r>
        <w:rPr>
          <w:spacing w:val="-10"/>
          <w:w w:val="105"/>
          <w:sz w:val="21"/>
        </w:rPr>
        <w:t> </w:t>
      </w:r>
      <w:r>
        <w:rPr>
          <w:spacing w:val="-3"/>
          <w:w w:val="105"/>
          <w:sz w:val="21"/>
        </w:rPr>
        <w:t>numerous</w:t>
      </w:r>
      <w:r>
        <w:rPr>
          <w:spacing w:val="-9"/>
          <w:w w:val="105"/>
          <w:sz w:val="21"/>
        </w:rPr>
        <w:t> </w:t>
      </w:r>
      <w:r>
        <w:rPr>
          <w:w w:val="105"/>
          <w:sz w:val="21"/>
        </w:rPr>
        <w:t>trees</w:t>
      </w:r>
      <w:r>
        <w:rPr>
          <w:spacing w:val="-10"/>
          <w:w w:val="105"/>
          <w:sz w:val="21"/>
        </w:rPr>
        <w:t> </w:t>
      </w:r>
      <w:r>
        <w:rPr>
          <w:spacing w:val="-3"/>
          <w:w w:val="105"/>
          <w:sz w:val="21"/>
        </w:rPr>
        <w:t>to</w:t>
      </w:r>
      <w:r>
        <w:rPr>
          <w:spacing w:val="-10"/>
          <w:w w:val="105"/>
          <w:sz w:val="21"/>
        </w:rPr>
        <w:t> </w:t>
      </w:r>
      <w:r>
        <w:rPr>
          <w:w w:val="105"/>
          <w:sz w:val="21"/>
        </w:rPr>
        <w:t>address this issue would </w:t>
      </w:r>
      <w:r>
        <w:rPr>
          <w:spacing w:val="-4"/>
          <w:w w:val="105"/>
          <w:sz w:val="21"/>
        </w:rPr>
        <w:t>‘not </w:t>
      </w:r>
      <w:r>
        <w:rPr>
          <w:w w:val="105"/>
          <w:sz w:val="21"/>
        </w:rPr>
        <w:t>be a </w:t>
      </w:r>
      <w:r>
        <w:rPr>
          <w:spacing w:val="-3"/>
          <w:w w:val="105"/>
          <w:sz w:val="21"/>
        </w:rPr>
        <w:t>desirable </w:t>
      </w:r>
      <w:r>
        <w:rPr>
          <w:spacing w:val="-5"/>
          <w:w w:val="105"/>
          <w:sz w:val="21"/>
        </w:rPr>
        <w:t>outcome’. </w:t>
      </w:r>
      <w:r>
        <w:rPr>
          <w:w w:val="105"/>
          <w:sz w:val="21"/>
        </w:rPr>
        <w:t>It was suggested </w:t>
      </w:r>
      <w:r>
        <w:rPr>
          <w:spacing w:val="-3"/>
          <w:w w:val="105"/>
          <w:sz w:val="21"/>
        </w:rPr>
        <w:t>that ‘most </w:t>
      </w:r>
      <w:r>
        <w:rPr>
          <w:w w:val="105"/>
          <w:sz w:val="21"/>
        </w:rPr>
        <w:t>people would </w:t>
      </w:r>
      <w:r>
        <w:rPr>
          <w:spacing w:val="-3"/>
          <w:w w:val="105"/>
          <w:sz w:val="21"/>
        </w:rPr>
        <w:t>prefer</w:t>
      </w:r>
      <w:r>
        <w:rPr>
          <w:spacing w:val="-5"/>
          <w:w w:val="105"/>
          <w:sz w:val="21"/>
        </w:rPr>
        <w:t> </w:t>
      </w:r>
      <w:r>
        <w:rPr>
          <w:spacing w:val="-3"/>
          <w:w w:val="105"/>
          <w:sz w:val="21"/>
        </w:rPr>
        <w:t>that</w:t>
      </w:r>
      <w:r>
        <w:rPr>
          <w:spacing w:val="-5"/>
          <w:w w:val="105"/>
          <w:sz w:val="21"/>
        </w:rPr>
        <w:t> </w:t>
      </w:r>
      <w:r>
        <w:rPr>
          <w:w w:val="105"/>
          <w:sz w:val="21"/>
        </w:rPr>
        <w:t>the</w:t>
      </w:r>
      <w:r>
        <w:rPr>
          <w:spacing w:val="-5"/>
          <w:w w:val="105"/>
          <w:sz w:val="21"/>
        </w:rPr>
        <w:t> </w:t>
      </w:r>
      <w:r>
        <w:rPr>
          <w:w w:val="105"/>
          <w:sz w:val="21"/>
        </w:rPr>
        <w:t>objective</w:t>
      </w:r>
      <w:r>
        <w:rPr>
          <w:spacing w:val="-5"/>
          <w:w w:val="105"/>
          <w:sz w:val="21"/>
        </w:rPr>
        <w:t> </w:t>
      </w:r>
      <w:r>
        <w:rPr>
          <w:w w:val="105"/>
          <w:sz w:val="21"/>
        </w:rPr>
        <w:t>of</w:t>
      </w:r>
      <w:r>
        <w:rPr>
          <w:spacing w:val="-4"/>
          <w:w w:val="105"/>
          <w:sz w:val="21"/>
        </w:rPr>
        <w:t> </w:t>
      </w:r>
      <w:r>
        <w:rPr>
          <w:spacing w:val="-3"/>
          <w:w w:val="105"/>
          <w:sz w:val="21"/>
        </w:rPr>
        <w:t>total</w:t>
      </w:r>
      <w:r>
        <w:rPr>
          <w:spacing w:val="-5"/>
          <w:w w:val="105"/>
          <w:sz w:val="21"/>
        </w:rPr>
        <w:t> </w:t>
      </w:r>
      <w:r>
        <w:rPr>
          <w:w w:val="105"/>
          <w:sz w:val="21"/>
        </w:rPr>
        <w:t>safety</w:t>
      </w:r>
      <w:r>
        <w:rPr>
          <w:spacing w:val="-5"/>
          <w:w w:val="105"/>
          <w:sz w:val="21"/>
        </w:rPr>
        <w:t> </w:t>
      </w:r>
      <w:r>
        <w:rPr>
          <w:spacing w:val="-3"/>
          <w:w w:val="105"/>
          <w:sz w:val="21"/>
        </w:rPr>
        <w:t>from</w:t>
      </w:r>
      <w:r>
        <w:rPr>
          <w:spacing w:val="-5"/>
          <w:w w:val="105"/>
          <w:sz w:val="21"/>
        </w:rPr>
        <w:t> </w:t>
      </w:r>
      <w:r>
        <w:rPr>
          <w:spacing w:val="-4"/>
          <w:w w:val="105"/>
          <w:sz w:val="21"/>
        </w:rPr>
        <w:t>falling</w:t>
      </w:r>
      <w:r>
        <w:rPr>
          <w:spacing w:val="-5"/>
          <w:w w:val="105"/>
          <w:sz w:val="21"/>
        </w:rPr>
        <w:t> </w:t>
      </w:r>
      <w:r>
        <w:rPr>
          <w:w w:val="105"/>
          <w:sz w:val="21"/>
        </w:rPr>
        <w:t>trees</w:t>
      </w:r>
      <w:r>
        <w:rPr>
          <w:spacing w:val="-4"/>
          <w:w w:val="105"/>
          <w:sz w:val="21"/>
        </w:rPr>
        <w:t> </w:t>
      </w:r>
      <w:r>
        <w:rPr>
          <w:w w:val="105"/>
          <w:sz w:val="21"/>
        </w:rPr>
        <w:t>and</w:t>
      </w:r>
      <w:r>
        <w:rPr>
          <w:spacing w:val="-5"/>
          <w:w w:val="105"/>
          <w:sz w:val="21"/>
        </w:rPr>
        <w:t> </w:t>
      </w:r>
      <w:r>
        <w:rPr>
          <w:spacing w:val="-3"/>
          <w:w w:val="105"/>
          <w:sz w:val="21"/>
        </w:rPr>
        <w:t>branches</w:t>
      </w:r>
      <w:r>
        <w:rPr>
          <w:spacing w:val="-5"/>
          <w:w w:val="105"/>
          <w:sz w:val="21"/>
        </w:rPr>
        <w:t> </w:t>
      </w:r>
      <w:r>
        <w:rPr>
          <w:w w:val="105"/>
          <w:sz w:val="21"/>
        </w:rPr>
        <w:t>be</w:t>
      </w:r>
      <w:r>
        <w:rPr>
          <w:spacing w:val="-5"/>
          <w:w w:val="105"/>
          <w:sz w:val="21"/>
        </w:rPr>
        <w:t> </w:t>
      </w:r>
      <w:r>
        <w:rPr>
          <w:spacing w:val="-3"/>
          <w:w w:val="105"/>
          <w:sz w:val="21"/>
        </w:rPr>
        <w:t>compromised</w:t>
      </w:r>
    </w:p>
    <w:p>
      <w:pPr>
        <w:pStyle w:val="BodyText"/>
        <w:spacing w:line="242" w:lineRule="auto" w:before="5"/>
        <w:ind w:left="2381" w:right="1636"/>
        <w:rPr>
          <w:sz w:val="12"/>
        </w:rPr>
      </w:pPr>
      <w:r>
        <w:rPr>
          <w:spacing w:val="-3"/>
        </w:rPr>
        <w:t>to maintain </w:t>
      </w:r>
      <w:r>
        <w:rPr/>
        <w:t>the </w:t>
      </w:r>
      <w:r>
        <w:rPr>
          <w:spacing w:val="-3"/>
        </w:rPr>
        <w:t>environmental </w:t>
      </w:r>
      <w:r>
        <w:rPr/>
        <w:t>and amenity </w:t>
      </w:r>
      <w:r>
        <w:rPr>
          <w:spacing w:val="-3"/>
        </w:rPr>
        <w:t>value </w:t>
      </w:r>
      <w:r>
        <w:rPr/>
        <w:t>of trees in the </w:t>
      </w:r>
      <w:r>
        <w:rPr>
          <w:spacing w:val="-3"/>
        </w:rPr>
        <w:t>landscape’.</w:t>
      </w:r>
      <w:r>
        <w:rPr>
          <w:spacing w:val="-3"/>
          <w:position w:val="7"/>
          <w:sz w:val="12"/>
        </w:rPr>
        <w:t>252 </w:t>
      </w:r>
      <w:r>
        <w:rPr/>
        <w:t>A distinction  was drawn where there is a </w:t>
      </w:r>
      <w:r>
        <w:rPr>
          <w:spacing w:val="-3"/>
        </w:rPr>
        <w:t>threat </w:t>
      </w:r>
      <w:r>
        <w:rPr/>
        <w:t>of </w:t>
      </w:r>
      <w:r>
        <w:rPr>
          <w:spacing w:val="-3"/>
        </w:rPr>
        <w:t>harm to </w:t>
      </w:r>
      <w:r>
        <w:rPr/>
        <w:t>people  caused  by  a  particular  tree  and action is </w:t>
      </w:r>
      <w:r>
        <w:rPr>
          <w:spacing w:val="-3"/>
        </w:rPr>
        <w:t>therefore</w:t>
      </w:r>
      <w:r>
        <w:rPr>
          <w:spacing w:val="25"/>
        </w:rPr>
        <w:t> </w:t>
      </w:r>
      <w:r>
        <w:rPr/>
        <w:t>required.</w:t>
      </w:r>
      <w:r>
        <w:rPr>
          <w:position w:val="7"/>
          <w:sz w:val="12"/>
        </w:rPr>
        <w:t>253</w:t>
      </w:r>
    </w:p>
    <w:p>
      <w:pPr>
        <w:pStyle w:val="BodyText"/>
        <w:spacing w:before="10"/>
      </w:pPr>
    </w:p>
    <w:p>
      <w:pPr>
        <w:pStyle w:val="Heading4"/>
      </w:pPr>
      <w:r>
        <w:rPr>
          <w:color w:val="658464"/>
          <w:w w:val="110"/>
        </w:rPr>
        <w:t>The Commission’s conclusion</w:t>
      </w:r>
    </w:p>
    <w:p>
      <w:pPr>
        <w:pStyle w:val="ListParagraph"/>
        <w:numPr>
          <w:ilvl w:val="0"/>
          <w:numId w:val="35"/>
        </w:numPr>
        <w:tabs>
          <w:tab w:pos="2381" w:val="left" w:leader="none"/>
          <w:tab w:pos="2382" w:val="left" w:leader="none"/>
        </w:tabs>
        <w:spacing w:line="242" w:lineRule="auto" w:before="155" w:after="0"/>
        <w:ind w:left="2381" w:right="1559" w:hanging="794"/>
        <w:jc w:val="left"/>
        <w:rPr>
          <w:sz w:val="21"/>
        </w:rPr>
      </w:pPr>
      <w:r>
        <w:rPr>
          <w:sz w:val="21"/>
        </w:rPr>
        <w:t>The </w:t>
      </w:r>
      <w:r>
        <w:rPr>
          <w:spacing w:val="-3"/>
          <w:sz w:val="21"/>
        </w:rPr>
        <w:t>Commission </w:t>
      </w:r>
      <w:r>
        <w:rPr>
          <w:sz w:val="21"/>
        </w:rPr>
        <w:t>is of the view </w:t>
      </w:r>
      <w:r>
        <w:rPr>
          <w:spacing w:val="-3"/>
          <w:sz w:val="21"/>
        </w:rPr>
        <w:t>that </w:t>
      </w:r>
      <w:r>
        <w:rPr>
          <w:sz w:val="21"/>
        </w:rPr>
        <w:t>there is </w:t>
      </w:r>
      <w:r>
        <w:rPr>
          <w:spacing w:val="-3"/>
          <w:sz w:val="21"/>
        </w:rPr>
        <w:t>currently </w:t>
      </w:r>
      <w:r>
        <w:rPr>
          <w:sz w:val="21"/>
        </w:rPr>
        <w:t>no </w:t>
      </w:r>
      <w:r>
        <w:rPr>
          <w:spacing w:val="-3"/>
          <w:sz w:val="21"/>
        </w:rPr>
        <w:t>clear  </w:t>
      </w:r>
      <w:r>
        <w:rPr>
          <w:sz w:val="21"/>
        </w:rPr>
        <w:t>process </w:t>
      </w:r>
      <w:r>
        <w:rPr>
          <w:spacing w:val="-3"/>
          <w:sz w:val="21"/>
        </w:rPr>
        <w:t>that</w:t>
      </w:r>
      <w:r>
        <w:rPr>
          <w:spacing w:val="41"/>
          <w:sz w:val="21"/>
        </w:rPr>
        <w:t> </w:t>
      </w:r>
      <w:r>
        <w:rPr>
          <w:sz w:val="21"/>
        </w:rPr>
        <w:t>the community can </w:t>
      </w:r>
      <w:r>
        <w:rPr>
          <w:spacing w:val="-3"/>
          <w:sz w:val="21"/>
        </w:rPr>
        <w:t>easily follow to </w:t>
      </w:r>
      <w:r>
        <w:rPr>
          <w:sz w:val="21"/>
        </w:rPr>
        <w:t>resolve tree </w:t>
      </w:r>
      <w:r>
        <w:rPr>
          <w:spacing w:val="-3"/>
          <w:sz w:val="21"/>
        </w:rPr>
        <w:t>disputes. </w:t>
      </w:r>
      <w:r>
        <w:rPr>
          <w:sz w:val="21"/>
        </w:rPr>
        <w:t>It is </w:t>
      </w:r>
      <w:r>
        <w:rPr>
          <w:spacing w:val="-3"/>
          <w:sz w:val="21"/>
        </w:rPr>
        <w:t>hard to </w:t>
      </w:r>
      <w:r>
        <w:rPr>
          <w:sz w:val="21"/>
        </w:rPr>
        <w:t>find definitive legal statements about the rights of parties </w:t>
      </w:r>
      <w:r>
        <w:rPr>
          <w:spacing w:val="-3"/>
          <w:sz w:val="21"/>
        </w:rPr>
        <w:t>to disputes  </w:t>
      </w:r>
      <w:r>
        <w:rPr>
          <w:sz w:val="21"/>
        </w:rPr>
        <w:t>and </w:t>
      </w:r>
      <w:r>
        <w:rPr>
          <w:spacing w:val="-3"/>
          <w:sz w:val="21"/>
        </w:rPr>
        <w:t>navigating</w:t>
      </w:r>
      <w:r>
        <w:rPr>
          <w:spacing w:val="41"/>
          <w:sz w:val="21"/>
        </w:rPr>
        <w:t> </w:t>
      </w:r>
      <w:r>
        <w:rPr>
          <w:sz w:val="21"/>
        </w:rPr>
        <w:t>the </w:t>
      </w:r>
      <w:r>
        <w:rPr>
          <w:spacing w:val="-3"/>
          <w:sz w:val="21"/>
        </w:rPr>
        <w:t>current  </w:t>
      </w:r>
      <w:r>
        <w:rPr>
          <w:sz w:val="21"/>
        </w:rPr>
        <w:t>law is difficult. There is also a  lack of </w:t>
      </w:r>
      <w:r>
        <w:rPr>
          <w:spacing w:val="-3"/>
          <w:sz w:val="21"/>
        </w:rPr>
        <w:t>centrally available </w:t>
      </w:r>
      <w:r>
        <w:rPr>
          <w:sz w:val="21"/>
        </w:rPr>
        <w:t>community </w:t>
      </w:r>
      <w:r>
        <w:rPr>
          <w:spacing w:val="-3"/>
          <w:sz w:val="21"/>
        </w:rPr>
        <w:t>information </w:t>
      </w:r>
      <w:r>
        <w:rPr>
          <w:sz w:val="21"/>
        </w:rPr>
        <w:t>about how </w:t>
      </w:r>
      <w:r>
        <w:rPr>
          <w:spacing w:val="-3"/>
          <w:sz w:val="21"/>
        </w:rPr>
        <w:t>to </w:t>
      </w:r>
      <w:r>
        <w:rPr>
          <w:sz w:val="21"/>
        </w:rPr>
        <w:t>resolve these</w:t>
      </w:r>
      <w:r>
        <w:rPr>
          <w:spacing w:val="17"/>
          <w:sz w:val="21"/>
        </w:rPr>
        <w:t> </w:t>
      </w:r>
      <w:r>
        <w:rPr>
          <w:spacing w:val="-3"/>
          <w:sz w:val="21"/>
        </w:rPr>
        <w:t>disputes.</w:t>
      </w:r>
    </w:p>
    <w:p>
      <w:pPr>
        <w:pStyle w:val="ListParagraph"/>
        <w:numPr>
          <w:ilvl w:val="0"/>
          <w:numId w:val="35"/>
        </w:numPr>
        <w:tabs>
          <w:tab w:pos="2380" w:val="left" w:leader="none"/>
          <w:tab w:pos="2381" w:val="left" w:leader="none"/>
        </w:tabs>
        <w:spacing w:line="242" w:lineRule="auto" w:before="124" w:after="0"/>
        <w:ind w:left="2381" w:right="1569" w:hanging="794"/>
        <w:jc w:val="left"/>
        <w:rPr>
          <w:sz w:val="21"/>
        </w:rPr>
      </w:pPr>
      <w:r>
        <w:rPr>
          <w:spacing w:val="-3"/>
          <w:w w:val="105"/>
          <w:sz w:val="21"/>
        </w:rPr>
        <w:t>Court proceedings are prohibitively </w:t>
      </w:r>
      <w:r>
        <w:rPr>
          <w:w w:val="105"/>
          <w:sz w:val="21"/>
        </w:rPr>
        <w:t>expensive and remedies provide only </w:t>
      </w:r>
      <w:r>
        <w:rPr>
          <w:spacing w:val="-3"/>
          <w:w w:val="105"/>
          <w:sz w:val="21"/>
        </w:rPr>
        <w:t>limited recourse. </w:t>
      </w:r>
      <w:r>
        <w:rPr>
          <w:w w:val="105"/>
          <w:sz w:val="21"/>
        </w:rPr>
        <w:t>Some remedies </w:t>
      </w:r>
      <w:r>
        <w:rPr>
          <w:spacing w:val="-3"/>
          <w:w w:val="105"/>
          <w:sz w:val="21"/>
        </w:rPr>
        <w:t>are </w:t>
      </w:r>
      <w:r>
        <w:rPr>
          <w:w w:val="105"/>
          <w:sz w:val="21"/>
        </w:rPr>
        <w:t>reactive only and do </w:t>
      </w:r>
      <w:r>
        <w:rPr>
          <w:spacing w:val="-2"/>
          <w:w w:val="105"/>
          <w:sz w:val="21"/>
        </w:rPr>
        <w:t>not </w:t>
      </w:r>
      <w:r>
        <w:rPr>
          <w:spacing w:val="-3"/>
          <w:w w:val="105"/>
          <w:sz w:val="21"/>
        </w:rPr>
        <w:t>allow </w:t>
      </w:r>
      <w:r>
        <w:rPr>
          <w:w w:val="105"/>
          <w:sz w:val="21"/>
        </w:rPr>
        <w:t>much scope </w:t>
      </w:r>
      <w:r>
        <w:rPr>
          <w:spacing w:val="-3"/>
          <w:w w:val="105"/>
          <w:sz w:val="21"/>
        </w:rPr>
        <w:t>for </w:t>
      </w:r>
      <w:r>
        <w:rPr>
          <w:w w:val="105"/>
          <w:sz w:val="21"/>
        </w:rPr>
        <w:t>a person </w:t>
      </w:r>
      <w:r>
        <w:rPr>
          <w:spacing w:val="-3"/>
          <w:w w:val="105"/>
          <w:sz w:val="21"/>
        </w:rPr>
        <w:t>to take </w:t>
      </w:r>
      <w:r>
        <w:rPr>
          <w:w w:val="105"/>
          <w:sz w:val="21"/>
        </w:rPr>
        <w:t>action </w:t>
      </w:r>
      <w:r>
        <w:rPr>
          <w:spacing w:val="-3"/>
          <w:w w:val="105"/>
          <w:sz w:val="21"/>
        </w:rPr>
        <w:t>to prevent </w:t>
      </w:r>
      <w:r>
        <w:rPr>
          <w:w w:val="105"/>
          <w:sz w:val="21"/>
        </w:rPr>
        <w:t>damage or </w:t>
      </w:r>
      <w:r>
        <w:rPr>
          <w:spacing w:val="-3"/>
          <w:w w:val="105"/>
          <w:sz w:val="21"/>
        </w:rPr>
        <w:t>harm, </w:t>
      </w:r>
      <w:r>
        <w:rPr>
          <w:w w:val="105"/>
          <w:sz w:val="21"/>
        </w:rPr>
        <w:t>while others do </w:t>
      </w:r>
      <w:r>
        <w:rPr>
          <w:spacing w:val="-2"/>
          <w:w w:val="105"/>
          <w:sz w:val="21"/>
        </w:rPr>
        <w:t>not </w:t>
      </w:r>
      <w:r>
        <w:rPr>
          <w:spacing w:val="-3"/>
          <w:w w:val="105"/>
          <w:sz w:val="21"/>
        </w:rPr>
        <w:t>take </w:t>
      </w:r>
      <w:r>
        <w:rPr>
          <w:spacing w:val="-4"/>
          <w:w w:val="105"/>
          <w:sz w:val="21"/>
        </w:rPr>
        <w:t>into </w:t>
      </w:r>
      <w:r>
        <w:rPr>
          <w:spacing w:val="-3"/>
          <w:w w:val="105"/>
          <w:sz w:val="21"/>
        </w:rPr>
        <w:t>account </w:t>
      </w:r>
      <w:r>
        <w:rPr>
          <w:w w:val="105"/>
          <w:sz w:val="21"/>
        </w:rPr>
        <w:t>the broader benefits </w:t>
      </w:r>
      <w:r>
        <w:rPr>
          <w:spacing w:val="-3"/>
          <w:w w:val="105"/>
          <w:sz w:val="21"/>
        </w:rPr>
        <w:t>that</w:t>
      </w:r>
      <w:r>
        <w:rPr>
          <w:spacing w:val="-10"/>
          <w:w w:val="105"/>
          <w:sz w:val="21"/>
        </w:rPr>
        <w:t> </w:t>
      </w:r>
      <w:r>
        <w:rPr>
          <w:w w:val="105"/>
          <w:sz w:val="21"/>
        </w:rPr>
        <w:t>trees</w:t>
      </w:r>
      <w:r>
        <w:rPr>
          <w:spacing w:val="-10"/>
          <w:w w:val="105"/>
          <w:sz w:val="21"/>
        </w:rPr>
        <w:t> </w:t>
      </w:r>
      <w:r>
        <w:rPr>
          <w:w w:val="105"/>
          <w:sz w:val="21"/>
        </w:rPr>
        <w:t>provide</w:t>
      </w:r>
      <w:r>
        <w:rPr>
          <w:spacing w:val="-10"/>
          <w:w w:val="105"/>
          <w:sz w:val="21"/>
        </w:rPr>
        <w:t> </w:t>
      </w:r>
      <w:r>
        <w:rPr>
          <w:spacing w:val="-3"/>
          <w:w w:val="105"/>
          <w:sz w:val="21"/>
        </w:rPr>
        <w:t>to</w:t>
      </w:r>
      <w:r>
        <w:rPr>
          <w:spacing w:val="-9"/>
          <w:w w:val="105"/>
          <w:sz w:val="21"/>
        </w:rPr>
        <w:t> </w:t>
      </w:r>
      <w:r>
        <w:rPr>
          <w:w w:val="105"/>
          <w:sz w:val="21"/>
        </w:rPr>
        <w:t>the</w:t>
      </w:r>
      <w:r>
        <w:rPr>
          <w:spacing w:val="-10"/>
          <w:w w:val="105"/>
          <w:sz w:val="21"/>
        </w:rPr>
        <w:t> </w:t>
      </w:r>
      <w:r>
        <w:rPr>
          <w:spacing w:val="-4"/>
          <w:w w:val="105"/>
          <w:sz w:val="21"/>
        </w:rPr>
        <w:t>community.</w:t>
      </w:r>
      <w:r>
        <w:rPr>
          <w:spacing w:val="-10"/>
          <w:w w:val="105"/>
          <w:sz w:val="21"/>
        </w:rPr>
        <w:t> </w:t>
      </w:r>
      <w:r>
        <w:rPr>
          <w:w w:val="105"/>
          <w:sz w:val="21"/>
        </w:rPr>
        <w:t>Some</w:t>
      </w:r>
      <w:r>
        <w:rPr>
          <w:spacing w:val="-9"/>
          <w:w w:val="105"/>
          <w:sz w:val="21"/>
        </w:rPr>
        <w:t> </w:t>
      </w:r>
      <w:r>
        <w:rPr>
          <w:w w:val="105"/>
          <w:sz w:val="21"/>
        </w:rPr>
        <w:t>remedies</w:t>
      </w:r>
      <w:r>
        <w:rPr>
          <w:spacing w:val="-10"/>
          <w:w w:val="105"/>
          <w:sz w:val="21"/>
        </w:rPr>
        <w:t> </w:t>
      </w:r>
      <w:r>
        <w:rPr>
          <w:spacing w:val="-3"/>
          <w:w w:val="105"/>
          <w:sz w:val="21"/>
        </w:rPr>
        <w:t>are</w:t>
      </w:r>
      <w:r>
        <w:rPr>
          <w:spacing w:val="-10"/>
          <w:w w:val="105"/>
          <w:sz w:val="21"/>
        </w:rPr>
        <w:t> </w:t>
      </w:r>
      <w:r>
        <w:rPr>
          <w:spacing w:val="-3"/>
          <w:w w:val="105"/>
          <w:sz w:val="21"/>
        </w:rPr>
        <w:t>outdated</w:t>
      </w:r>
      <w:r>
        <w:rPr>
          <w:spacing w:val="-10"/>
          <w:w w:val="105"/>
          <w:sz w:val="21"/>
        </w:rPr>
        <w:t> </w:t>
      </w:r>
      <w:r>
        <w:rPr>
          <w:w w:val="105"/>
          <w:sz w:val="21"/>
        </w:rPr>
        <w:t>and</w:t>
      </w:r>
      <w:r>
        <w:rPr>
          <w:spacing w:val="-9"/>
          <w:w w:val="105"/>
          <w:sz w:val="21"/>
        </w:rPr>
        <w:t> </w:t>
      </w:r>
      <w:r>
        <w:rPr>
          <w:w w:val="105"/>
          <w:sz w:val="21"/>
        </w:rPr>
        <w:t>can</w:t>
      </w:r>
      <w:r>
        <w:rPr>
          <w:spacing w:val="-10"/>
          <w:w w:val="105"/>
          <w:sz w:val="21"/>
        </w:rPr>
        <w:t> </w:t>
      </w:r>
      <w:r>
        <w:rPr>
          <w:w w:val="105"/>
          <w:sz w:val="21"/>
        </w:rPr>
        <w:t>further</w:t>
      </w:r>
      <w:r>
        <w:rPr>
          <w:spacing w:val="-10"/>
          <w:w w:val="105"/>
          <w:sz w:val="21"/>
        </w:rPr>
        <w:t> </w:t>
      </w:r>
      <w:r>
        <w:rPr>
          <w:w w:val="105"/>
          <w:sz w:val="21"/>
        </w:rPr>
        <w:t>inflame disputes—for </w:t>
      </w:r>
      <w:r>
        <w:rPr>
          <w:spacing w:val="-3"/>
          <w:w w:val="105"/>
          <w:sz w:val="21"/>
        </w:rPr>
        <w:t>example, </w:t>
      </w:r>
      <w:r>
        <w:rPr>
          <w:w w:val="105"/>
          <w:sz w:val="21"/>
        </w:rPr>
        <w:t>the </w:t>
      </w:r>
      <w:r>
        <w:rPr>
          <w:spacing w:val="-3"/>
          <w:w w:val="105"/>
          <w:sz w:val="21"/>
        </w:rPr>
        <w:t>requirement to return </w:t>
      </w:r>
      <w:r>
        <w:rPr>
          <w:spacing w:val="-2"/>
          <w:w w:val="105"/>
          <w:sz w:val="21"/>
        </w:rPr>
        <w:t>abated </w:t>
      </w:r>
      <w:r>
        <w:rPr>
          <w:spacing w:val="-3"/>
          <w:w w:val="105"/>
          <w:sz w:val="21"/>
        </w:rPr>
        <w:t>branches to </w:t>
      </w:r>
      <w:r>
        <w:rPr>
          <w:w w:val="105"/>
          <w:sz w:val="21"/>
        </w:rPr>
        <w:t>the tree</w:t>
      </w:r>
      <w:r>
        <w:rPr>
          <w:spacing w:val="-7"/>
          <w:w w:val="105"/>
          <w:sz w:val="21"/>
        </w:rPr>
        <w:t> </w:t>
      </w:r>
      <w:r>
        <w:rPr>
          <w:spacing w:val="-4"/>
          <w:w w:val="105"/>
          <w:sz w:val="21"/>
        </w:rPr>
        <w:t>owner.</w:t>
      </w:r>
    </w:p>
    <w:p>
      <w:pPr>
        <w:pStyle w:val="BodyText"/>
        <w:spacing w:before="9"/>
        <w:rPr>
          <w:sz w:val="25"/>
        </w:rPr>
      </w:pPr>
      <w:r>
        <w:rPr/>
        <w:pict>
          <v:line style="position:absolute;mso-position-horizontal-relative:page;mso-position-vertical-relative:paragraph;z-index:1928;mso-wrap-distance-left:0;mso-wrap-distance-right:0" from="79.370102pt,18.205179pt" to="519.685102pt,18.205179pt" stroked="true" strokeweight="1pt" strokecolor="#c9d2cb">
            <v:stroke dashstyle="solid"/>
            <w10:wrap type="topAndBottom"/>
          </v:line>
        </w:pict>
      </w:r>
    </w:p>
    <w:p>
      <w:pPr>
        <w:pStyle w:val="ListParagraph"/>
        <w:numPr>
          <w:ilvl w:val="0"/>
          <w:numId w:val="38"/>
        </w:numPr>
        <w:tabs>
          <w:tab w:pos="2381" w:val="left" w:leader="none"/>
          <w:tab w:pos="2382" w:val="left" w:leader="none"/>
        </w:tabs>
        <w:spacing w:line="240" w:lineRule="auto" w:before="117" w:after="0"/>
        <w:ind w:left="2381" w:right="0" w:hanging="794"/>
        <w:jc w:val="left"/>
        <w:rPr>
          <w:sz w:val="13"/>
        </w:rPr>
      </w:pPr>
      <w:r>
        <w:rPr>
          <w:w w:val="105"/>
          <w:sz w:val="13"/>
        </w:rPr>
        <w:t>Consultations</w:t>
      </w:r>
      <w:r>
        <w:rPr>
          <w:spacing w:val="5"/>
          <w:w w:val="105"/>
          <w:sz w:val="13"/>
        </w:rPr>
        <w:t> </w:t>
      </w:r>
      <w:r>
        <w:rPr>
          <w:w w:val="105"/>
          <w:sz w:val="13"/>
        </w:rPr>
        <w:t>9</w:t>
      </w:r>
      <w:r>
        <w:rPr>
          <w:spacing w:val="5"/>
          <w:w w:val="105"/>
          <w:sz w:val="13"/>
        </w:rPr>
        <w:t> </w:t>
      </w:r>
      <w:r>
        <w:rPr>
          <w:w w:val="105"/>
          <w:sz w:val="13"/>
        </w:rPr>
        <w:t>(Nillumbik</w:t>
      </w:r>
      <w:r>
        <w:rPr>
          <w:spacing w:val="5"/>
          <w:w w:val="105"/>
          <w:sz w:val="13"/>
        </w:rPr>
        <w:t> </w:t>
      </w:r>
      <w:r>
        <w:rPr>
          <w:w w:val="105"/>
          <w:sz w:val="13"/>
        </w:rPr>
        <w:t>Shire</w:t>
      </w:r>
      <w:r>
        <w:rPr>
          <w:spacing w:val="5"/>
          <w:w w:val="105"/>
          <w:sz w:val="13"/>
        </w:rPr>
        <w:t> </w:t>
      </w:r>
      <w:r>
        <w:rPr>
          <w:w w:val="105"/>
          <w:sz w:val="13"/>
        </w:rPr>
        <w:t>Council),</w:t>
      </w:r>
      <w:r>
        <w:rPr>
          <w:spacing w:val="5"/>
          <w:w w:val="105"/>
          <w:sz w:val="13"/>
        </w:rPr>
        <w:t> </w:t>
      </w:r>
      <w:r>
        <w:rPr>
          <w:w w:val="105"/>
          <w:sz w:val="13"/>
        </w:rPr>
        <w:t>10</w:t>
      </w:r>
      <w:r>
        <w:rPr>
          <w:spacing w:val="5"/>
          <w:w w:val="105"/>
          <w:sz w:val="13"/>
        </w:rPr>
        <w:t> </w:t>
      </w:r>
      <w:r>
        <w:rPr>
          <w:spacing w:val="2"/>
          <w:w w:val="105"/>
          <w:sz w:val="13"/>
        </w:rPr>
        <w:t>(Baw</w:t>
      </w:r>
      <w:r>
        <w:rPr>
          <w:spacing w:val="5"/>
          <w:w w:val="105"/>
          <w:sz w:val="13"/>
        </w:rPr>
        <w:t> </w:t>
      </w:r>
      <w:r>
        <w:rPr>
          <w:w w:val="105"/>
          <w:sz w:val="13"/>
        </w:rPr>
        <w:t>Baw</w:t>
      </w:r>
      <w:r>
        <w:rPr>
          <w:spacing w:val="5"/>
          <w:w w:val="105"/>
          <w:sz w:val="13"/>
        </w:rPr>
        <w:t> </w:t>
      </w:r>
      <w:r>
        <w:rPr>
          <w:w w:val="105"/>
          <w:sz w:val="13"/>
        </w:rPr>
        <w:t>Shire</w:t>
      </w:r>
      <w:r>
        <w:rPr>
          <w:spacing w:val="5"/>
          <w:w w:val="105"/>
          <w:sz w:val="13"/>
        </w:rPr>
        <w:t> </w:t>
      </w:r>
      <w:r>
        <w:rPr>
          <w:w w:val="105"/>
          <w:sz w:val="13"/>
        </w:rPr>
        <w:t>Council),</w:t>
      </w:r>
      <w:r>
        <w:rPr>
          <w:spacing w:val="5"/>
          <w:w w:val="105"/>
          <w:sz w:val="13"/>
        </w:rPr>
        <w:t> </w:t>
      </w:r>
      <w:r>
        <w:rPr>
          <w:spacing w:val="-4"/>
          <w:w w:val="105"/>
          <w:sz w:val="13"/>
        </w:rPr>
        <w:t>12</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Port</w:t>
      </w:r>
      <w:r>
        <w:rPr>
          <w:spacing w:val="5"/>
          <w:w w:val="105"/>
          <w:sz w:val="13"/>
        </w:rPr>
        <w:t> </w:t>
      </w:r>
      <w:r>
        <w:rPr>
          <w:w w:val="105"/>
          <w:sz w:val="13"/>
        </w:rPr>
        <w:t>Phillip).</w:t>
      </w:r>
    </w:p>
    <w:p>
      <w:pPr>
        <w:pStyle w:val="ListParagraph"/>
        <w:numPr>
          <w:ilvl w:val="0"/>
          <w:numId w:val="38"/>
        </w:numPr>
        <w:tabs>
          <w:tab w:pos="2381" w:val="left" w:leader="none"/>
          <w:tab w:pos="2382" w:val="left" w:leader="none"/>
        </w:tabs>
        <w:spacing w:line="240" w:lineRule="auto" w:before="1" w:after="0"/>
        <w:ind w:left="2381" w:right="0" w:hanging="794"/>
        <w:jc w:val="left"/>
        <w:rPr>
          <w:sz w:val="13"/>
        </w:rPr>
      </w:pPr>
      <w:r>
        <w:rPr>
          <w:w w:val="105"/>
          <w:sz w:val="13"/>
        </w:rPr>
        <w:t>Consultations</w:t>
      </w:r>
      <w:r>
        <w:rPr>
          <w:spacing w:val="4"/>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5"/>
          <w:w w:val="105"/>
          <w:sz w:val="13"/>
        </w:rPr>
        <w:t> </w:t>
      </w:r>
      <w:r>
        <w:rPr>
          <w:w w:val="105"/>
          <w:sz w:val="13"/>
        </w:rPr>
        <w:t>at</w:t>
      </w:r>
      <w:r>
        <w:rPr>
          <w:spacing w:val="5"/>
          <w:w w:val="105"/>
          <w:sz w:val="13"/>
        </w:rPr>
        <w:t> </w:t>
      </w:r>
      <w:r>
        <w:rPr>
          <w:spacing w:val="4"/>
          <w:w w:val="105"/>
          <w:sz w:val="13"/>
        </w:rPr>
        <w:t>VTIO</w:t>
      </w:r>
      <w:r>
        <w:rPr>
          <w:spacing w:val="5"/>
          <w:w w:val="105"/>
          <w:sz w:val="13"/>
        </w:rPr>
        <w:t> </w:t>
      </w:r>
      <w:r>
        <w:rPr>
          <w:w w:val="105"/>
          <w:sz w:val="13"/>
        </w:rPr>
        <w:t>ArborCamp2018),</w:t>
      </w:r>
      <w:r>
        <w:rPr>
          <w:spacing w:val="5"/>
          <w:w w:val="105"/>
          <w:sz w:val="13"/>
        </w:rPr>
        <w:t> </w:t>
      </w:r>
      <w:r>
        <w:rPr>
          <w:w w:val="105"/>
          <w:sz w:val="13"/>
        </w:rPr>
        <w:t>6</w:t>
      </w:r>
      <w:r>
        <w:rPr>
          <w:spacing w:val="5"/>
          <w:w w:val="105"/>
          <w:sz w:val="13"/>
        </w:rPr>
        <w:t> </w:t>
      </w:r>
      <w:r>
        <w:rPr>
          <w:spacing w:val="2"/>
          <w:w w:val="105"/>
          <w:sz w:val="13"/>
        </w:rPr>
        <w:t>(Ben</w:t>
      </w:r>
      <w:r>
        <w:rPr>
          <w:spacing w:val="5"/>
          <w:w w:val="105"/>
          <w:sz w:val="13"/>
        </w:rPr>
        <w:t> </w:t>
      </w:r>
      <w:r>
        <w:rPr>
          <w:w w:val="105"/>
          <w:sz w:val="13"/>
        </w:rPr>
        <w:t>Kenyon).</w:t>
      </w:r>
    </w:p>
    <w:p>
      <w:pPr>
        <w:pStyle w:val="ListParagraph"/>
        <w:numPr>
          <w:ilvl w:val="0"/>
          <w:numId w:val="38"/>
        </w:numPr>
        <w:tabs>
          <w:tab w:pos="2381" w:val="left" w:leader="none"/>
          <w:tab w:pos="2382" w:val="left" w:leader="none"/>
        </w:tabs>
        <w:spacing w:line="240" w:lineRule="auto" w:before="2" w:after="0"/>
        <w:ind w:left="2381" w:right="0" w:hanging="794"/>
        <w:jc w:val="left"/>
        <w:rPr>
          <w:sz w:val="13"/>
        </w:rPr>
      </w:pPr>
      <w:r>
        <w:rPr>
          <w:w w:val="105"/>
          <w:sz w:val="13"/>
        </w:rPr>
        <w:t>Submission 18</w:t>
      </w:r>
      <w:r>
        <w:rPr>
          <w:spacing w:val="9"/>
          <w:w w:val="105"/>
          <w:sz w:val="13"/>
        </w:rPr>
        <w:t> </w:t>
      </w:r>
      <w:r>
        <w:rPr>
          <w:w w:val="105"/>
          <w:sz w:val="13"/>
        </w:rPr>
        <w:t>(ENSPEC).</w:t>
      </w:r>
    </w:p>
    <w:p>
      <w:pPr>
        <w:pStyle w:val="ListParagraph"/>
        <w:numPr>
          <w:ilvl w:val="0"/>
          <w:numId w:val="38"/>
        </w:numPr>
        <w:tabs>
          <w:tab w:pos="2381" w:val="left" w:leader="none"/>
          <w:tab w:pos="2382" w:val="left" w:leader="none"/>
        </w:tabs>
        <w:spacing w:line="240" w:lineRule="auto" w:before="1" w:after="0"/>
        <w:ind w:left="2381" w:right="0" w:hanging="794"/>
        <w:jc w:val="left"/>
        <w:rPr>
          <w:sz w:val="13"/>
        </w:rPr>
      </w:pPr>
      <w:r>
        <w:rPr>
          <w:w w:val="105"/>
          <w:sz w:val="13"/>
        </w:rPr>
        <w:t>Margaret</w:t>
      </w:r>
      <w:r>
        <w:rPr>
          <w:spacing w:val="4"/>
          <w:w w:val="105"/>
          <w:sz w:val="13"/>
        </w:rPr>
        <w:t> </w:t>
      </w:r>
      <w:r>
        <w:rPr>
          <w:w w:val="105"/>
          <w:sz w:val="13"/>
        </w:rPr>
        <w:t>Davies</w:t>
      </w:r>
      <w:r>
        <w:rPr>
          <w:spacing w:val="5"/>
          <w:w w:val="105"/>
          <w:sz w:val="13"/>
        </w:rPr>
        <w:t> </w:t>
      </w:r>
      <w:r>
        <w:rPr>
          <w:w w:val="105"/>
          <w:sz w:val="13"/>
        </w:rPr>
        <w:t>and</w:t>
      </w:r>
      <w:r>
        <w:rPr>
          <w:spacing w:val="4"/>
          <w:w w:val="105"/>
          <w:sz w:val="13"/>
        </w:rPr>
        <w:t> </w:t>
      </w:r>
      <w:r>
        <w:rPr>
          <w:w w:val="105"/>
          <w:sz w:val="13"/>
        </w:rPr>
        <w:t>Kynan</w:t>
      </w:r>
      <w:r>
        <w:rPr>
          <w:spacing w:val="5"/>
          <w:w w:val="105"/>
          <w:sz w:val="13"/>
        </w:rPr>
        <w:t> </w:t>
      </w:r>
      <w:r>
        <w:rPr>
          <w:w w:val="105"/>
          <w:sz w:val="13"/>
        </w:rPr>
        <w:t>Rogers,</w:t>
      </w:r>
      <w:r>
        <w:rPr>
          <w:spacing w:val="5"/>
          <w:w w:val="105"/>
          <w:sz w:val="13"/>
        </w:rPr>
        <w:t> </w:t>
      </w:r>
      <w:r>
        <w:rPr>
          <w:w w:val="105"/>
          <w:sz w:val="13"/>
        </w:rPr>
        <w:t>‘Tale</w:t>
      </w:r>
      <w:r>
        <w:rPr>
          <w:spacing w:val="4"/>
          <w:w w:val="105"/>
          <w:sz w:val="13"/>
        </w:rPr>
        <w:t> </w:t>
      </w:r>
      <w:r>
        <w:rPr>
          <w:w w:val="105"/>
          <w:sz w:val="13"/>
        </w:rPr>
        <w:t>of</w:t>
      </w:r>
      <w:r>
        <w:rPr>
          <w:spacing w:val="5"/>
          <w:w w:val="105"/>
          <w:sz w:val="13"/>
        </w:rPr>
        <w:t> </w:t>
      </w:r>
      <w:r>
        <w:rPr>
          <w:w w:val="105"/>
          <w:sz w:val="13"/>
        </w:rPr>
        <w:t>a</w:t>
      </w:r>
      <w:r>
        <w:rPr>
          <w:spacing w:val="5"/>
          <w:w w:val="105"/>
          <w:sz w:val="13"/>
        </w:rPr>
        <w:t> </w:t>
      </w:r>
      <w:r>
        <w:rPr>
          <w:w w:val="105"/>
          <w:sz w:val="13"/>
        </w:rPr>
        <w:t>Tree’</w:t>
      </w:r>
      <w:r>
        <w:rPr>
          <w:spacing w:val="4"/>
          <w:w w:val="105"/>
          <w:sz w:val="13"/>
        </w:rPr>
        <w:t> </w:t>
      </w:r>
      <w:r>
        <w:rPr>
          <w:w w:val="105"/>
          <w:sz w:val="13"/>
        </w:rPr>
        <w:t>(2014)</w:t>
      </w:r>
      <w:r>
        <w:rPr>
          <w:spacing w:val="5"/>
          <w:w w:val="105"/>
          <w:sz w:val="13"/>
        </w:rPr>
        <w:t> </w:t>
      </w:r>
      <w:r>
        <w:rPr>
          <w:w w:val="105"/>
          <w:sz w:val="13"/>
        </w:rPr>
        <w:t>16</w:t>
      </w:r>
      <w:r>
        <w:rPr>
          <w:spacing w:val="5"/>
          <w:w w:val="105"/>
          <w:sz w:val="13"/>
        </w:rPr>
        <w:t> </w:t>
      </w:r>
      <w:r>
        <w:rPr>
          <w:i/>
          <w:w w:val="105"/>
          <w:sz w:val="13"/>
        </w:rPr>
        <w:t>Flinders</w:t>
      </w:r>
      <w:r>
        <w:rPr>
          <w:i/>
          <w:spacing w:val="4"/>
          <w:w w:val="105"/>
          <w:sz w:val="13"/>
        </w:rPr>
        <w:t> </w:t>
      </w:r>
      <w:r>
        <w:rPr>
          <w:i/>
          <w:w w:val="105"/>
          <w:sz w:val="13"/>
        </w:rPr>
        <w:t>Law</w:t>
      </w:r>
      <w:r>
        <w:rPr>
          <w:i/>
          <w:spacing w:val="5"/>
          <w:w w:val="105"/>
          <w:sz w:val="13"/>
        </w:rPr>
        <w:t> </w:t>
      </w:r>
      <w:r>
        <w:rPr>
          <w:i/>
          <w:w w:val="105"/>
          <w:sz w:val="13"/>
        </w:rPr>
        <w:t>Journal</w:t>
      </w:r>
      <w:r>
        <w:rPr>
          <w:i/>
          <w:spacing w:val="5"/>
          <w:w w:val="105"/>
          <w:sz w:val="13"/>
        </w:rPr>
        <w:t> </w:t>
      </w:r>
      <w:r>
        <w:rPr>
          <w:w w:val="105"/>
          <w:sz w:val="13"/>
        </w:rPr>
        <w:t>43,</w:t>
      </w:r>
      <w:r>
        <w:rPr>
          <w:spacing w:val="4"/>
          <w:w w:val="105"/>
          <w:sz w:val="13"/>
        </w:rPr>
        <w:t> </w:t>
      </w:r>
      <w:r>
        <w:rPr>
          <w:w w:val="105"/>
          <w:sz w:val="13"/>
        </w:rPr>
        <w:t>52.</w:t>
      </w:r>
    </w:p>
    <w:p>
      <w:pPr>
        <w:pStyle w:val="ListParagraph"/>
        <w:numPr>
          <w:ilvl w:val="0"/>
          <w:numId w:val="38"/>
        </w:numPr>
        <w:tabs>
          <w:tab w:pos="2381" w:val="left" w:leader="none"/>
          <w:tab w:pos="2382" w:val="left" w:leader="none"/>
        </w:tabs>
        <w:spacing w:line="240" w:lineRule="auto" w:before="1" w:after="0"/>
        <w:ind w:left="2381" w:right="0" w:hanging="794"/>
        <w:jc w:val="left"/>
        <w:rPr>
          <w:sz w:val="13"/>
        </w:rPr>
      </w:pPr>
      <w:r>
        <w:rPr>
          <w:w w:val="105"/>
          <w:sz w:val="13"/>
        </w:rPr>
        <w:t>Submission 28 </w:t>
      </w:r>
      <w:r>
        <w:rPr>
          <w:spacing w:val="3"/>
          <w:w w:val="105"/>
          <w:sz w:val="13"/>
        </w:rPr>
        <w:t>(HVP</w:t>
      </w:r>
      <w:r>
        <w:rPr>
          <w:spacing w:val="13"/>
          <w:w w:val="105"/>
          <w:sz w:val="13"/>
        </w:rPr>
        <w:t> </w:t>
      </w:r>
      <w:r>
        <w:rPr>
          <w:w w:val="105"/>
          <w:sz w:val="13"/>
        </w:rPr>
        <w:t>Plantations).</w:t>
      </w:r>
    </w:p>
    <w:p>
      <w:pPr>
        <w:pStyle w:val="ListParagraph"/>
        <w:numPr>
          <w:ilvl w:val="0"/>
          <w:numId w:val="38"/>
        </w:numPr>
        <w:tabs>
          <w:tab w:pos="2381" w:val="left" w:leader="none"/>
          <w:tab w:pos="2382" w:val="left" w:leader="none"/>
        </w:tabs>
        <w:spacing w:line="240" w:lineRule="auto" w:before="2" w:after="0"/>
        <w:ind w:left="2381" w:right="0" w:hanging="794"/>
        <w:jc w:val="left"/>
        <w:rPr>
          <w:sz w:val="13"/>
        </w:rPr>
      </w:pPr>
      <w:r>
        <w:rPr/>
        <w:pict>
          <v:shape style="position:absolute;margin-left:548.92749pt;margin-top:3.062165pt;width:13.35pt;height:14.25pt;mso-position-horizontal-relative:page;mso-position-vertical-relative:paragraph;z-index:4000" type="#_x0000_t202" filled="false" stroked="false">
            <v:textbox inset="0,0,0,0">
              <w:txbxContent>
                <w:p>
                  <w:pPr>
                    <w:spacing w:line="284" w:lineRule="exact" w:before="0"/>
                    <w:ind w:left="0" w:right="0" w:firstLine="0"/>
                    <w:jc w:val="left"/>
                    <w:rPr>
                      <w:b/>
                      <w:sz w:val="24"/>
                    </w:rPr>
                  </w:pPr>
                  <w:r>
                    <w:rPr>
                      <w:b/>
                      <w:color w:val="658464"/>
                      <w:spacing w:val="-1"/>
                      <w:w w:val="110"/>
                      <w:sz w:val="24"/>
                    </w:rPr>
                    <w:t>49</w:t>
                  </w:r>
                </w:p>
              </w:txbxContent>
            </v:textbox>
            <w10:wrap type="none"/>
          </v:shape>
        </w:pict>
      </w:r>
      <w:r>
        <w:rPr>
          <w:sz w:val="13"/>
        </w:rPr>
        <w:t>Ibid.</w:t>
      </w:r>
    </w:p>
    <w:p>
      <w:pPr>
        <w:pStyle w:val="ListParagraph"/>
        <w:numPr>
          <w:ilvl w:val="0"/>
          <w:numId w:val="38"/>
        </w:numPr>
        <w:tabs>
          <w:tab w:pos="2381" w:val="left" w:leader="none"/>
          <w:tab w:pos="2382" w:val="left" w:leader="none"/>
        </w:tabs>
        <w:spacing w:line="240" w:lineRule="auto" w:before="1" w:after="0"/>
        <w:ind w:left="2381" w:right="0" w:hanging="794"/>
        <w:jc w:val="left"/>
        <w:rPr>
          <w:sz w:val="13"/>
        </w:rPr>
      </w:pPr>
      <w:r>
        <w:rPr>
          <w:sz w:val="13"/>
        </w:rPr>
        <w:t>Ibid.</w:t>
      </w:r>
    </w:p>
    <w:p>
      <w:pPr>
        <w:spacing w:after="0" w:line="240" w:lineRule="auto"/>
        <w:jc w:val="left"/>
        <w:rPr>
          <w:sz w:val="13"/>
        </w:rPr>
        <w:sectPr>
          <w:pgSz w:w="11910" w:h="16840"/>
          <w:pgMar w:header="808" w:footer="0" w:top="1360" w:bottom="280" w:left="0" w:right="0"/>
        </w:sectPr>
      </w:pPr>
    </w:p>
    <w:p>
      <w:pPr>
        <w:pStyle w:val="BodyText"/>
        <w:rPr>
          <w:sz w:val="20"/>
        </w:rPr>
      </w:pPr>
      <w:r>
        <w:rPr/>
        <w:pict>
          <v:rect style="position:absolute;margin-left:79.370003pt;margin-top:0pt;width:515.906000pt;height:841.890015pt;mso-position-horizontal-relative:page;mso-position-vertical-relative:page;z-index:4024" filled="true" fillcolor="#ecefee"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96"/>
        <w:ind w:left="720" w:right="0" w:firstLine="0"/>
        <w:jc w:val="left"/>
        <w:rPr>
          <w:b/>
          <w:sz w:val="24"/>
        </w:rPr>
      </w:pPr>
      <w:r>
        <w:rPr>
          <w:b/>
          <w:color w:val="658464"/>
          <w:w w:val="110"/>
          <w:sz w:val="24"/>
        </w:rPr>
        <w:t>50</w:t>
      </w:r>
    </w:p>
    <w:p>
      <w:pPr>
        <w:spacing w:after="0"/>
        <w:jc w:val="left"/>
        <w:rPr>
          <w:sz w:val="24"/>
        </w:rPr>
        <w:sectPr>
          <w:headerReference w:type="even" r:id="rId70"/>
          <w:pgSz w:w="11910" w:h="16840"/>
          <w:pgMar w:header="0" w:footer="0" w:top="158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454912" filled="true" fillcolor="#ecefee" stroked="false">
            <v:fill type="solid"/>
            <w10:wrap type="none"/>
          </v:rect>
        </w:pict>
      </w:r>
      <w:bookmarkStart w:name="4. The need for a new Act to resolve nei" w:id="89"/>
      <w:bookmarkEnd w:id="89"/>
      <w:r>
        <w:rPr/>
      </w:r>
      <w:r>
        <w:rPr>
          <w:b/>
          <w:color w:val="FFFFFF"/>
          <w:w w:val="122"/>
          <w:sz w:val="48"/>
          <w:shd w:fill="658464" w:color="auto" w:val="clear"/>
        </w:rPr>
        <w:t> </w:t>
      </w:r>
      <w:r>
        <w:rPr>
          <w:b/>
          <w:color w:val="FFFFFF"/>
          <w:spacing w:val="41"/>
          <w:sz w:val="48"/>
          <w:shd w:fill="658464" w:color="auto" w:val="clear"/>
        </w:rPr>
        <w:t> </w:t>
      </w:r>
      <w:r>
        <w:rPr>
          <w:b/>
          <w:color w:val="FFFFFF"/>
          <w:w w:val="105"/>
          <w:sz w:val="48"/>
          <w:shd w:fill="658464" w:color="auto" w:val="clear"/>
        </w:rPr>
        <w:t>4</w:t>
      </w:r>
      <w:r>
        <w:rPr>
          <w:b/>
          <w:color w:val="FFFFFF"/>
          <w:sz w:val="48"/>
          <w:shd w:fill="658464"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3"/>
        </w:rPr>
      </w:pPr>
      <w:r>
        <w:rPr/>
        <w:pict>
          <v:shape style="position:absolute;margin-left:0pt;margin-top:9.523869pt;width:409.1pt;height:52pt;mso-position-horizontal-relative:page;mso-position-vertical-relative:paragraph;z-index:2000;mso-wrap-distance-left:0;mso-wrap-distance-right:0" type="#_x0000_t202" filled="true" fillcolor="#ffffff" stroked="false">
            <v:textbox inset="0,0,0,0">
              <w:txbxContent>
                <w:p>
                  <w:pPr>
                    <w:spacing w:line="1040" w:lineRule="exact" w:before="0"/>
                    <w:ind w:left="1587" w:right="0" w:firstLine="0"/>
                    <w:jc w:val="left"/>
                    <w:rPr>
                      <w:b/>
                      <w:sz w:val="96"/>
                    </w:rPr>
                  </w:pPr>
                  <w:r>
                    <w:rPr>
                      <w:b/>
                      <w:color w:val="658464"/>
                      <w:spacing w:val="-17"/>
                      <w:w w:val="115"/>
                      <w:sz w:val="96"/>
                    </w:rPr>
                    <w:t>The </w:t>
                  </w:r>
                  <w:r>
                    <w:rPr>
                      <w:b/>
                      <w:color w:val="658464"/>
                      <w:spacing w:val="-18"/>
                      <w:w w:val="115"/>
                      <w:sz w:val="96"/>
                    </w:rPr>
                    <w:t>need </w:t>
                  </w:r>
                  <w:r>
                    <w:rPr>
                      <w:b/>
                      <w:color w:val="658464"/>
                      <w:spacing w:val="-22"/>
                      <w:w w:val="115"/>
                      <w:sz w:val="96"/>
                    </w:rPr>
                    <w:t>for</w:t>
                  </w:r>
                  <w:r>
                    <w:rPr>
                      <w:b/>
                      <w:color w:val="658464"/>
                      <w:spacing w:val="-73"/>
                      <w:w w:val="115"/>
                      <w:sz w:val="96"/>
                    </w:rPr>
                    <w:t> </w:t>
                  </w:r>
                  <w:r>
                    <w:rPr>
                      <w:b/>
                      <w:color w:val="658464"/>
                      <w:w w:val="115"/>
                      <w:sz w:val="96"/>
                    </w:rPr>
                    <w:t>a</w:t>
                  </w:r>
                </w:p>
              </w:txbxContent>
            </v:textbox>
            <v:fill type="solid"/>
            <w10:wrap type="topAndBottom"/>
          </v:shape>
        </w:pict>
      </w:r>
    </w:p>
    <w:p>
      <w:pPr>
        <w:pStyle w:val="BodyText"/>
        <w:spacing w:before="3"/>
        <w:rPr>
          <w:b/>
          <w:sz w:val="5"/>
        </w:rPr>
      </w:pPr>
    </w:p>
    <w:p>
      <w:pPr>
        <w:pStyle w:val="BodyText"/>
        <w:rPr>
          <w:sz w:val="20"/>
        </w:rPr>
      </w:pPr>
      <w:r>
        <w:rPr>
          <w:sz w:val="20"/>
        </w:rPr>
        <w:pict>
          <v:shape style="width:497.95pt;height:52pt;mso-position-horizontal-relative:char;mso-position-vertical-relative:line" type="#_x0000_t202" filled="true" fillcolor="#ffffff" stroked="false">
            <w10:anchorlock/>
            <v:textbox inset="0,0,0,0">
              <w:txbxContent>
                <w:p>
                  <w:pPr>
                    <w:spacing w:line="1040" w:lineRule="exact" w:before="0"/>
                    <w:ind w:left="1587" w:right="0" w:firstLine="0"/>
                    <w:jc w:val="left"/>
                    <w:rPr>
                      <w:b/>
                      <w:sz w:val="96"/>
                    </w:rPr>
                  </w:pPr>
                  <w:r>
                    <w:rPr>
                      <w:b/>
                      <w:color w:val="658464"/>
                      <w:spacing w:val="-22"/>
                      <w:w w:val="115"/>
                      <w:sz w:val="96"/>
                    </w:rPr>
                    <w:t>new </w:t>
                  </w:r>
                  <w:r>
                    <w:rPr>
                      <w:b/>
                      <w:color w:val="658464"/>
                      <w:spacing w:val="-16"/>
                      <w:w w:val="115"/>
                      <w:sz w:val="96"/>
                    </w:rPr>
                    <w:t>Act </w:t>
                  </w:r>
                  <w:r>
                    <w:rPr>
                      <w:b/>
                      <w:color w:val="658464"/>
                      <w:spacing w:val="-17"/>
                      <w:w w:val="115"/>
                      <w:sz w:val="96"/>
                    </w:rPr>
                    <w:t>to</w:t>
                  </w:r>
                  <w:r>
                    <w:rPr>
                      <w:b/>
                      <w:color w:val="658464"/>
                      <w:spacing w:val="-72"/>
                      <w:w w:val="115"/>
                      <w:sz w:val="96"/>
                    </w:rPr>
                    <w:t> </w:t>
                  </w:r>
                  <w:r>
                    <w:rPr>
                      <w:b/>
                      <w:color w:val="658464"/>
                      <w:spacing w:val="-26"/>
                      <w:w w:val="115"/>
                      <w:sz w:val="96"/>
                    </w:rPr>
                    <w:t>resolve</w:t>
                  </w:r>
                </w:p>
              </w:txbxContent>
            </v:textbox>
            <v:fill type="solid"/>
          </v:shape>
        </w:pict>
      </w:r>
      <w:r>
        <w:rPr>
          <w:sz w:val="20"/>
        </w:rPr>
      </w:r>
    </w:p>
    <w:p>
      <w:pPr>
        <w:tabs>
          <w:tab w:pos="1587" w:val="left" w:leader="none"/>
          <w:tab w:pos="10588" w:val="left" w:leader="none"/>
        </w:tabs>
        <w:spacing w:line="230" w:lineRule="auto" w:before="58"/>
        <w:ind w:left="1587" w:right="1315" w:hanging="1588"/>
        <w:jc w:val="left"/>
        <w:rPr>
          <w:b/>
          <w:sz w:val="96"/>
        </w:rPr>
      </w:pPr>
      <w:r>
        <w:rPr/>
        <w:pict>
          <v:rect style="position:absolute;margin-left:0pt;margin-top:58.805973pt;width:274.136pt;height:52pt;mso-position-horizontal-relative:page;mso-position-vertical-relative:paragraph;z-index:-454888" filled="true" fillcolor="#ffffff" stroked="false">
            <v:fill type="solid"/>
            <w10:wrap type="none"/>
          </v:rect>
        </w:pict>
      </w:r>
      <w:r>
        <w:rPr>
          <w:b/>
          <w:color w:val="658464"/>
          <w:w w:val="122"/>
          <w:sz w:val="96"/>
          <w:shd w:fill="FFFFFF" w:color="auto" w:val="clear"/>
        </w:rPr>
        <w:t> </w:t>
      </w:r>
      <w:r>
        <w:rPr>
          <w:b/>
          <w:color w:val="658464"/>
          <w:sz w:val="96"/>
          <w:shd w:fill="FFFFFF" w:color="auto" w:val="clear"/>
        </w:rPr>
        <w:tab/>
      </w:r>
      <w:r>
        <w:rPr>
          <w:b/>
          <w:color w:val="658464"/>
          <w:spacing w:val="-25"/>
          <w:w w:val="115"/>
          <w:sz w:val="96"/>
          <w:shd w:fill="FFFFFF" w:color="auto" w:val="clear"/>
        </w:rPr>
        <w:t>neighbourhood</w:t>
      </w:r>
      <w:r>
        <w:rPr>
          <w:b/>
          <w:color w:val="658464"/>
          <w:spacing w:val="-122"/>
          <w:w w:val="115"/>
          <w:sz w:val="96"/>
          <w:shd w:fill="FFFFFF" w:color="auto" w:val="clear"/>
        </w:rPr>
        <w:t> </w:t>
      </w:r>
      <w:r>
        <w:rPr>
          <w:b/>
          <w:color w:val="658464"/>
          <w:spacing w:val="-18"/>
          <w:w w:val="115"/>
          <w:sz w:val="96"/>
          <w:shd w:fill="FFFFFF" w:color="auto" w:val="clear"/>
        </w:rPr>
        <w:t>tree</w:t>
      </w:r>
      <w:r>
        <w:rPr>
          <w:b/>
          <w:color w:val="658464"/>
          <w:sz w:val="96"/>
          <w:shd w:fill="FFFFFF" w:color="auto" w:val="clear"/>
        </w:rPr>
        <w:tab/>
      </w:r>
      <w:r>
        <w:rPr>
          <w:b/>
          <w:color w:val="658464"/>
          <w:sz w:val="96"/>
        </w:rPr>
        <w:t> </w:t>
      </w:r>
      <w:r>
        <w:rPr>
          <w:b/>
          <w:color w:val="658464"/>
          <w:spacing w:val="-24"/>
          <w:w w:val="115"/>
          <w:sz w:val="96"/>
        </w:rPr>
        <w:t>disputes</w:t>
      </w:r>
    </w:p>
    <w:p>
      <w:pPr>
        <w:pStyle w:val="BodyText"/>
        <w:rPr>
          <w:b/>
          <w:sz w:val="20"/>
        </w:rPr>
      </w:pPr>
    </w:p>
    <w:p>
      <w:pPr>
        <w:pStyle w:val="BodyText"/>
        <w:rPr>
          <w:b/>
          <w:sz w:val="20"/>
        </w:rPr>
      </w:pPr>
    </w:p>
    <w:p>
      <w:pPr>
        <w:pStyle w:val="BodyText"/>
        <w:spacing w:before="5"/>
        <w:rPr>
          <w:b/>
          <w:sz w:val="24"/>
        </w:rPr>
      </w:pPr>
    </w:p>
    <w:p>
      <w:pPr>
        <w:tabs>
          <w:tab w:pos="2154" w:val="left" w:leader="none"/>
        </w:tabs>
        <w:spacing w:before="96"/>
        <w:ind w:left="1587" w:right="0" w:firstLine="0"/>
        <w:jc w:val="left"/>
        <w:rPr>
          <w:b/>
          <w:sz w:val="24"/>
        </w:rPr>
      </w:pPr>
      <w:r>
        <w:rPr/>
        <w:pict>
          <v:line style="position:absolute;mso-position-horizontal-relative:page;mso-position-vertical-relative:paragraph;z-index:2048;mso-wrap-distance-left:0;mso-wrap-distance-right:0" from="79.370102pt,22.89497pt" to="104.882102pt,22.89497pt" stroked="true" strokeweight="2pt" strokecolor="#ffffff">
            <v:stroke dashstyle="solid"/>
            <w10:wrap type="topAndBottom"/>
          </v:line>
        </w:pict>
      </w:r>
      <w:hyperlink w:history="true" w:anchor="_bookmark36">
        <w:r>
          <w:rPr>
            <w:b/>
            <w:w w:val="110"/>
            <w:sz w:val="24"/>
          </w:rPr>
          <w:t>52</w:t>
          <w:tab/>
          <w:t>Approaches to tree disputes in other</w:t>
        </w:r>
        <w:r>
          <w:rPr>
            <w:b/>
            <w:spacing w:val="46"/>
            <w:w w:val="110"/>
            <w:sz w:val="24"/>
          </w:rPr>
          <w:t> </w:t>
        </w:r>
        <w:r>
          <w:rPr>
            <w:b/>
            <w:w w:val="110"/>
            <w:sz w:val="24"/>
          </w:rPr>
          <w:t>jurisdictions</w:t>
        </w:r>
      </w:hyperlink>
    </w:p>
    <w:p>
      <w:pPr>
        <w:tabs>
          <w:tab w:pos="2154" w:val="left" w:leader="none"/>
        </w:tabs>
        <w:spacing w:before="62" w:after="49"/>
        <w:ind w:left="1587" w:right="0" w:firstLine="0"/>
        <w:jc w:val="left"/>
        <w:rPr>
          <w:b/>
          <w:sz w:val="24"/>
        </w:rPr>
      </w:pPr>
      <w:hyperlink w:history="true" w:anchor="_bookmark37">
        <w:r>
          <w:rPr>
            <w:b/>
            <w:w w:val="115"/>
            <w:sz w:val="24"/>
          </w:rPr>
          <w:t>54</w:t>
          <w:tab/>
          <w:t>Community responses on options for</w:t>
        </w:r>
        <w:r>
          <w:rPr>
            <w:b/>
            <w:spacing w:val="11"/>
            <w:w w:val="115"/>
            <w:sz w:val="24"/>
          </w:rPr>
          <w:t> </w:t>
        </w:r>
        <w:r>
          <w:rPr>
            <w:b/>
            <w:w w:val="115"/>
            <w:sz w:val="24"/>
          </w:rPr>
          <w:t>reform</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2154" w:val="left" w:leader="none"/>
        </w:tabs>
        <w:spacing w:before="91"/>
        <w:ind w:left="1587" w:right="0" w:firstLine="0"/>
        <w:jc w:val="left"/>
        <w:rPr>
          <w:b/>
          <w:sz w:val="24"/>
        </w:rPr>
      </w:pPr>
      <w:r>
        <w:rPr/>
        <w:pict>
          <v:line style="position:absolute;mso-position-horizontal-relative:page;mso-position-vertical-relative:paragraph;z-index:2096;mso-wrap-distance-left:0;mso-wrap-distance-right:0" from="79.370102pt,22.655567pt" to="104.882102pt,22.655567pt" stroked="true" strokeweight="2pt" strokecolor="#ffffff">
            <v:stroke dashstyle="solid"/>
            <w10:wrap type="topAndBottom"/>
          </v:line>
        </w:pict>
      </w:r>
      <w:hyperlink w:history="true" w:anchor="_bookmark39">
        <w:r>
          <w:rPr>
            <w:b/>
            <w:w w:val="110"/>
            <w:sz w:val="24"/>
          </w:rPr>
          <w:t>56</w:t>
          <w:tab/>
          <w:t>The Commission’s</w:t>
        </w:r>
        <w:r>
          <w:rPr>
            <w:b/>
            <w:spacing w:val="13"/>
            <w:w w:val="110"/>
            <w:sz w:val="24"/>
          </w:rPr>
          <w:t> </w:t>
        </w:r>
        <w:r>
          <w:rPr>
            <w:b/>
            <w:w w:val="110"/>
            <w:sz w:val="24"/>
          </w:rPr>
          <w:t>conclusions</w:t>
        </w:r>
      </w:hyperlink>
    </w:p>
    <w:p>
      <w:pPr>
        <w:tabs>
          <w:tab w:pos="2154" w:val="left" w:leader="none"/>
        </w:tabs>
        <w:spacing w:before="62" w:after="49"/>
        <w:ind w:left="1587" w:right="0" w:firstLine="0"/>
        <w:jc w:val="left"/>
        <w:rPr>
          <w:b/>
          <w:sz w:val="24"/>
        </w:rPr>
      </w:pPr>
      <w:hyperlink w:history="true" w:anchor="_bookmark42">
        <w:r>
          <w:rPr>
            <w:b/>
            <w:w w:val="110"/>
            <w:sz w:val="24"/>
          </w:rPr>
          <w:t>60</w:t>
          <w:tab/>
          <w:t>Policy themes that should underpin the new</w:t>
        </w:r>
        <w:r>
          <w:rPr>
            <w:b/>
            <w:spacing w:val="54"/>
            <w:w w:val="110"/>
            <w:sz w:val="24"/>
          </w:rPr>
          <w:t> </w:t>
        </w:r>
        <w:r>
          <w:rPr>
            <w:b/>
            <w:w w:val="110"/>
            <w:sz w:val="24"/>
          </w:rPr>
          <w:t>Act</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71"/>
          <w:headerReference w:type="even" r:id="rId72"/>
          <w:pgSz w:w="11910" w:h="16840"/>
          <w:pgMar w:header="0" w:footer="0" w:top="720" w:bottom="280" w:left="0" w:right="0"/>
        </w:sectPr>
      </w:pPr>
    </w:p>
    <w:p>
      <w:pPr>
        <w:pStyle w:val="BodyText"/>
        <w:spacing w:before="10"/>
        <w:rPr>
          <w:b/>
          <w:sz w:val="18"/>
        </w:rPr>
      </w:pPr>
    </w:p>
    <w:p>
      <w:pPr>
        <w:pStyle w:val="Heading2"/>
        <w:numPr>
          <w:ilvl w:val="0"/>
          <w:numId w:val="16"/>
        </w:numPr>
        <w:tabs>
          <w:tab w:pos="1247" w:val="left" w:leader="none"/>
          <w:tab w:pos="1248" w:val="left" w:leader="none"/>
        </w:tabs>
        <w:spacing w:line="232" w:lineRule="auto" w:before="106" w:after="0"/>
        <w:ind w:left="1247" w:right="3690" w:hanging="681"/>
        <w:jc w:val="left"/>
      </w:pPr>
      <w:bookmarkStart w:name="Introduction" w:id="90"/>
      <w:bookmarkEnd w:id="90"/>
      <w:r>
        <w:rPr>
          <w:b w:val="0"/>
        </w:rPr>
      </w:r>
      <w:bookmarkStart w:name="Approaches to tree disputes in other jur" w:id="91"/>
      <w:bookmarkEnd w:id="91"/>
      <w:r>
        <w:rPr>
          <w:b w:val="0"/>
        </w:rPr>
      </w:r>
      <w:bookmarkStart w:name="_bookmark36" w:id="92"/>
      <w:bookmarkEnd w:id="92"/>
      <w:r>
        <w:rPr>
          <w:b w:val="0"/>
        </w:rPr>
      </w:r>
      <w:bookmarkStart w:name="_bookmark36" w:id="93"/>
      <w:bookmarkEnd w:id="93"/>
      <w:r>
        <w:rPr>
          <w:color w:val="658464"/>
          <w:w w:val="115"/>
        </w:rPr>
        <w:t>T</w:t>
      </w:r>
      <w:r>
        <w:rPr>
          <w:color w:val="658464"/>
          <w:w w:val="115"/>
        </w:rPr>
        <w:t>he need </w:t>
      </w:r>
      <w:r>
        <w:rPr>
          <w:color w:val="658464"/>
          <w:spacing w:val="-3"/>
          <w:w w:val="115"/>
        </w:rPr>
        <w:t>for </w:t>
      </w:r>
      <w:r>
        <w:rPr>
          <w:color w:val="658464"/>
          <w:w w:val="115"/>
        </w:rPr>
        <w:t>a </w:t>
      </w:r>
      <w:r>
        <w:rPr>
          <w:color w:val="658464"/>
          <w:spacing w:val="-4"/>
          <w:w w:val="115"/>
        </w:rPr>
        <w:t>new </w:t>
      </w:r>
      <w:r>
        <w:rPr>
          <w:color w:val="658464"/>
          <w:w w:val="115"/>
        </w:rPr>
        <w:t>Act </w:t>
      </w:r>
      <w:r>
        <w:rPr>
          <w:color w:val="658464"/>
          <w:spacing w:val="-3"/>
          <w:w w:val="115"/>
        </w:rPr>
        <w:t>to</w:t>
      </w:r>
      <w:r>
        <w:rPr>
          <w:color w:val="658464"/>
          <w:spacing w:val="-48"/>
          <w:w w:val="115"/>
        </w:rPr>
        <w:t> </w:t>
      </w:r>
      <w:r>
        <w:rPr>
          <w:color w:val="658464"/>
          <w:spacing w:val="-4"/>
          <w:w w:val="115"/>
        </w:rPr>
        <w:t>resolve </w:t>
      </w:r>
      <w:r>
        <w:rPr>
          <w:color w:val="658464"/>
          <w:spacing w:val="-3"/>
          <w:w w:val="115"/>
        </w:rPr>
        <w:t>neighbourhood </w:t>
      </w:r>
      <w:r>
        <w:rPr>
          <w:color w:val="658464"/>
          <w:w w:val="115"/>
        </w:rPr>
        <w:t>tree </w:t>
      </w:r>
      <w:r>
        <w:rPr>
          <w:color w:val="658464"/>
          <w:spacing w:val="-3"/>
          <w:w w:val="115"/>
        </w:rPr>
        <w:t>disputes</w:t>
      </w:r>
    </w:p>
    <w:p>
      <w:pPr>
        <w:pStyle w:val="BodyText"/>
        <w:rPr>
          <w:b/>
          <w:sz w:val="52"/>
        </w:rPr>
      </w:pPr>
    </w:p>
    <w:p>
      <w:pPr>
        <w:pStyle w:val="BodyText"/>
        <w:rPr>
          <w:b/>
          <w:sz w:val="52"/>
        </w:rPr>
      </w:pPr>
    </w:p>
    <w:p>
      <w:pPr>
        <w:pStyle w:val="BodyText"/>
        <w:rPr>
          <w:b/>
          <w:sz w:val="52"/>
        </w:rPr>
      </w:pPr>
    </w:p>
    <w:p>
      <w:pPr>
        <w:pStyle w:val="BodyText"/>
        <w:spacing w:before="5"/>
        <w:rPr>
          <w:b/>
          <w:sz w:val="57"/>
        </w:rPr>
      </w:pPr>
    </w:p>
    <w:p>
      <w:pPr>
        <w:spacing w:before="1"/>
        <w:ind w:left="1587" w:right="0" w:firstLine="0"/>
        <w:jc w:val="left"/>
        <w:rPr>
          <w:b/>
          <w:sz w:val="28"/>
        </w:rPr>
      </w:pPr>
      <w:r>
        <w:rPr>
          <w:b/>
          <w:color w:val="658464"/>
          <w:w w:val="110"/>
          <w:sz w:val="28"/>
        </w:rPr>
        <w:t>Introduction</w:t>
      </w:r>
    </w:p>
    <w:p>
      <w:pPr>
        <w:pStyle w:val="ListParagraph"/>
        <w:numPr>
          <w:ilvl w:val="1"/>
          <w:numId w:val="16"/>
        </w:numPr>
        <w:tabs>
          <w:tab w:pos="2381" w:val="left" w:leader="none"/>
          <w:tab w:pos="2382" w:val="left" w:leader="none"/>
        </w:tabs>
        <w:spacing w:line="242" w:lineRule="auto" w:before="155" w:after="0"/>
        <w:ind w:left="2381" w:right="1623" w:hanging="794"/>
        <w:jc w:val="left"/>
        <w:rPr>
          <w:sz w:val="21"/>
        </w:rPr>
      </w:pPr>
      <w:r>
        <w:rPr>
          <w:spacing w:val="-4"/>
          <w:w w:val="105"/>
          <w:sz w:val="21"/>
        </w:rPr>
        <w:t>Chapter </w:t>
      </w:r>
      <w:r>
        <w:rPr>
          <w:w w:val="105"/>
          <w:sz w:val="21"/>
        </w:rPr>
        <w:t>3 </w:t>
      </w:r>
      <w:r>
        <w:rPr>
          <w:spacing w:val="-2"/>
          <w:w w:val="105"/>
          <w:sz w:val="21"/>
        </w:rPr>
        <w:t>examined </w:t>
      </w:r>
      <w:r>
        <w:rPr>
          <w:w w:val="105"/>
          <w:sz w:val="21"/>
        </w:rPr>
        <w:t>some </w:t>
      </w:r>
      <w:r>
        <w:rPr>
          <w:spacing w:val="-3"/>
          <w:w w:val="105"/>
          <w:sz w:val="21"/>
        </w:rPr>
        <w:t>limitations </w:t>
      </w:r>
      <w:r>
        <w:rPr>
          <w:w w:val="105"/>
          <w:sz w:val="21"/>
        </w:rPr>
        <w:t>with how the </w:t>
      </w:r>
      <w:r>
        <w:rPr>
          <w:spacing w:val="-3"/>
          <w:w w:val="105"/>
          <w:sz w:val="21"/>
        </w:rPr>
        <w:t>current </w:t>
      </w:r>
      <w:r>
        <w:rPr>
          <w:w w:val="105"/>
          <w:sz w:val="21"/>
        </w:rPr>
        <w:t>law helps people </w:t>
      </w:r>
      <w:r>
        <w:rPr>
          <w:spacing w:val="-3"/>
          <w:w w:val="105"/>
          <w:sz w:val="21"/>
        </w:rPr>
        <w:t>to </w:t>
      </w:r>
      <w:r>
        <w:rPr>
          <w:w w:val="105"/>
          <w:sz w:val="21"/>
        </w:rPr>
        <w:t>resolve tree</w:t>
      </w:r>
      <w:r>
        <w:rPr>
          <w:spacing w:val="-10"/>
          <w:w w:val="105"/>
          <w:sz w:val="21"/>
        </w:rPr>
        <w:t> </w:t>
      </w:r>
      <w:r>
        <w:rPr>
          <w:spacing w:val="-3"/>
          <w:w w:val="105"/>
          <w:sz w:val="21"/>
        </w:rPr>
        <w:t>disputes.</w:t>
      </w:r>
      <w:r>
        <w:rPr>
          <w:spacing w:val="-10"/>
          <w:w w:val="105"/>
          <w:sz w:val="21"/>
        </w:rPr>
        <w:t> </w:t>
      </w:r>
      <w:r>
        <w:rPr>
          <w:w w:val="105"/>
          <w:sz w:val="21"/>
        </w:rPr>
        <w:t>This</w:t>
      </w:r>
      <w:r>
        <w:rPr>
          <w:spacing w:val="-10"/>
          <w:w w:val="105"/>
          <w:sz w:val="21"/>
        </w:rPr>
        <w:t> </w:t>
      </w:r>
      <w:r>
        <w:rPr>
          <w:spacing w:val="-3"/>
          <w:w w:val="105"/>
          <w:sz w:val="21"/>
        </w:rPr>
        <w:t>chapter</w:t>
      </w:r>
      <w:r>
        <w:rPr>
          <w:spacing w:val="-10"/>
          <w:w w:val="105"/>
          <w:sz w:val="21"/>
        </w:rPr>
        <w:t> </w:t>
      </w:r>
      <w:r>
        <w:rPr>
          <w:w w:val="105"/>
          <w:sz w:val="21"/>
        </w:rPr>
        <w:t>explores</w:t>
      </w:r>
      <w:r>
        <w:rPr>
          <w:spacing w:val="-10"/>
          <w:w w:val="105"/>
          <w:sz w:val="21"/>
        </w:rPr>
        <w:t> </w:t>
      </w:r>
      <w:r>
        <w:rPr>
          <w:w w:val="105"/>
          <w:sz w:val="21"/>
        </w:rPr>
        <w:t>the</w:t>
      </w:r>
      <w:r>
        <w:rPr>
          <w:spacing w:val="-9"/>
          <w:w w:val="105"/>
          <w:sz w:val="21"/>
        </w:rPr>
        <w:t> </w:t>
      </w:r>
      <w:r>
        <w:rPr>
          <w:w w:val="105"/>
          <w:sz w:val="21"/>
        </w:rPr>
        <w:t>need</w:t>
      </w:r>
      <w:r>
        <w:rPr>
          <w:spacing w:val="-10"/>
          <w:w w:val="105"/>
          <w:sz w:val="21"/>
        </w:rPr>
        <w:t> </w:t>
      </w:r>
      <w:r>
        <w:rPr>
          <w:spacing w:val="-3"/>
          <w:w w:val="105"/>
          <w:sz w:val="21"/>
        </w:rPr>
        <w:t>for</w:t>
      </w:r>
      <w:r>
        <w:rPr>
          <w:spacing w:val="-10"/>
          <w:w w:val="105"/>
          <w:sz w:val="21"/>
        </w:rPr>
        <w:t> </w:t>
      </w:r>
      <w:r>
        <w:rPr>
          <w:spacing w:val="-3"/>
          <w:w w:val="105"/>
          <w:sz w:val="21"/>
        </w:rPr>
        <w:t>change</w:t>
      </w:r>
      <w:r>
        <w:rPr>
          <w:spacing w:val="-10"/>
          <w:w w:val="105"/>
          <w:sz w:val="21"/>
        </w:rPr>
        <w:t> </w:t>
      </w:r>
      <w:r>
        <w:rPr>
          <w:w w:val="105"/>
          <w:sz w:val="21"/>
        </w:rPr>
        <w:t>in</w:t>
      </w:r>
      <w:r>
        <w:rPr>
          <w:spacing w:val="-10"/>
          <w:w w:val="105"/>
          <w:sz w:val="21"/>
        </w:rPr>
        <w:t> </w:t>
      </w:r>
      <w:r>
        <w:rPr>
          <w:w w:val="105"/>
          <w:sz w:val="21"/>
        </w:rPr>
        <w:t>more</w:t>
      </w:r>
      <w:r>
        <w:rPr>
          <w:spacing w:val="-10"/>
          <w:w w:val="105"/>
          <w:sz w:val="21"/>
        </w:rPr>
        <w:t> </w:t>
      </w:r>
      <w:r>
        <w:rPr>
          <w:spacing w:val="-3"/>
          <w:w w:val="105"/>
          <w:sz w:val="21"/>
        </w:rPr>
        <w:t>detail.</w:t>
      </w:r>
      <w:r>
        <w:rPr>
          <w:spacing w:val="-9"/>
          <w:w w:val="105"/>
          <w:sz w:val="21"/>
        </w:rPr>
        <w:t> </w:t>
      </w:r>
      <w:r>
        <w:rPr>
          <w:w w:val="105"/>
          <w:sz w:val="21"/>
        </w:rPr>
        <w:t>It</w:t>
      </w:r>
      <w:r>
        <w:rPr>
          <w:spacing w:val="-10"/>
          <w:w w:val="105"/>
          <w:sz w:val="21"/>
        </w:rPr>
        <w:t> </w:t>
      </w:r>
      <w:r>
        <w:rPr>
          <w:w w:val="105"/>
          <w:sz w:val="21"/>
        </w:rPr>
        <w:t>briefly</w:t>
      </w:r>
      <w:r>
        <w:rPr>
          <w:spacing w:val="-10"/>
          <w:w w:val="105"/>
          <w:sz w:val="21"/>
        </w:rPr>
        <w:t> </w:t>
      </w:r>
      <w:r>
        <w:rPr>
          <w:w w:val="105"/>
          <w:sz w:val="21"/>
        </w:rPr>
        <w:t>considers the interstate Acts </w:t>
      </w:r>
      <w:r>
        <w:rPr>
          <w:spacing w:val="-3"/>
          <w:w w:val="105"/>
          <w:sz w:val="21"/>
        </w:rPr>
        <w:t>that have </w:t>
      </w:r>
      <w:r>
        <w:rPr>
          <w:w w:val="105"/>
          <w:sz w:val="21"/>
        </w:rPr>
        <w:t>been </w:t>
      </w:r>
      <w:r>
        <w:rPr>
          <w:spacing w:val="-3"/>
          <w:w w:val="105"/>
          <w:sz w:val="21"/>
        </w:rPr>
        <w:t>introduced to </w:t>
      </w:r>
      <w:r>
        <w:rPr>
          <w:w w:val="105"/>
          <w:sz w:val="21"/>
        </w:rPr>
        <w:t>resolve tree </w:t>
      </w:r>
      <w:r>
        <w:rPr>
          <w:spacing w:val="-3"/>
          <w:w w:val="105"/>
          <w:sz w:val="21"/>
        </w:rPr>
        <w:t>disputes, </w:t>
      </w:r>
      <w:r>
        <w:rPr>
          <w:w w:val="105"/>
          <w:sz w:val="21"/>
        </w:rPr>
        <w:t>and community responses</w:t>
      </w:r>
      <w:r>
        <w:rPr>
          <w:spacing w:val="-14"/>
          <w:w w:val="105"/>
          <w:sz w:val="21"/>
        </w:rPr>
        <w:t> </w:t>
      </w:r>
      <w:r>
        <w:rPr>
          <w:spacing w:val="-3"/>
          <w:w w:val="105"/>
          <w:sz w:val="21"/>
        </w:rPr>
        <w:t>to</w:t>
      </w:r>
      <w:r>
        <w:rPr>
          <w:spacing w:val="-13"/>
          <w:w w:val="105"/>
          <w:sz w:val="21"/>
        </w:rPr>
        <w:t> </w:t>
      </w:r>
      <w:r>
        <w:rPr>
          <w:w w:val="105"/>
          <w:sz w:val="21"/>
        </w:rPr>
        <w:t>the</w:t>
      </w:r>
      <w:r>
        <w:rPr>
          <w:spacing w:val="-13"/>
          <w:w w:val="105"/>
          <w:sz w:val="21"/>
        </w:rPr>
        <w:t> </w:t>
      </w:r>
      <w:r>
        <w:rPr>
          <w:w w:val="105"/>
          <w:sz w:val="21"/>
        </w:rPr>
        <w:t>possible</w:t>
      </w:r>
      <w:r>
        <w:rPr>
          <w:spacing w:val="-13"/>
          <w:w w:val="105"/>
          <w:sz w:val="21"/>
        </w:rPr>
        <w:t> </w:t>
      </w:r>
      <w:r>
        <w:rPr>
          <w:w w:val="105"/>
          <w:sz w:val="21"/>
        </w:rPr>
        <w:t>direction</w:t>
      </w:r>
      <w:r>
        <w:rPr>
          <w:spacing w:val="-13"/>
          <w:w w:val="105"/>
          <w:sz w:val="21"/>
        </w:rPr>
        <w:t> </w:t>
      </w:r>
      <w:r>
        <w:rPr>
          <w:w w:val="105"/>
          <w:sz w:val="21"/>
        </w:rPr>
        <w:t>of</w:t>
      </w:r>
      <w:r>
        <w:rPr>
          <w:spacing w:val="-13"/>
          <w:w w:val="105"/>
          <w:sz w:val="21"/>
        </w:rPr>
        <w:t> </w:t>
      </w:r>
      <w:r>
        <w:rPr>
          <w:spacing w:val="-3"/>
          <w:w w:val="105"/>
          <w:sz w:val="21"/>
        </w:rPr>
        <w:t>reforms</w:t>
      </w:r>
      <w:r>
        <w:rPr>
          <w:spacing w:val="-13"/>
          <w:w w:val="105"/>
          <w:sz w:val="21"/>
        </w:rPr>
        <w:t> </w:t>
      </w:r>
      <w:r>
        <w:rPr>
          <w:w w:val="105"/>
          <w:sz w:val="21"/>
        </w:rPr>
        <w:t>in</w:t>
      </w:r>
      <w:r>
        <w:rPr>
          <w:spacing w:val="-13"/>
          <w:w w:val="105"/>
          <w:sz w:val="21"/>
        </w:rPr>
        <w:t> </w:t>
      </w:r>
      <w:r>
        <w:rPr>
          <w:w w:val="105"/>
          <w:sz w:val="21"/>
        </w:rPr>
        <w:t>Victoria.</w:t>
      </w:r>
      <w:r>
        <w:rPr>
          <w:spacing w:val="-13"/>
          <w:w w:val="105"/>
          <w:sz w:val="21"/>
        </w:rPr>
        <w:t> </w:t>
      </w:r>
      <w:r>
        <w:rPr>
          <w:w w:val="105"/>
          <w:sz w:val="21"/>
        </w:rPr>
        <w:t>It</w:t>
      </w:r>
      <w:r>
        <w:rPr>
          <w:spacing w:val="-13"/>
          <w:w w:val="105"/>
          <w:sz w:val="21"/>
        </w:rPr>
        <w:t> </w:t>
      </w:r>
      <w:r>
        <w:rPr>
          <w:spacing w:val="-3"/>
          <w:w w:val="105"/>
          <w:sz w:val="21"/>
        </w:rPr>
        <w:t>recommends</w:t>
      </w:r>
      <w:r>
        <w:rPr>
          <w:spacing w:val="-13"/>
          <w:w w:val="105"/>
          <w:sz w:val="21"/>
        </w:rPr>
        <w:t> </w:t>
      </w:r>
      <w:r>
        <w:rPr>
          <w:w w:val="105"/>
          <w:sz w:val="21"/>
        </w:rPr>
        <w:t>the</w:t>
      </w:r>
      <w:r>
        <w:rPr>
          <w:spacing w:val="-13"/>
          <w:w w:val="105"/>
          <w:sz w:val="21"/>
        </w:rPr>
        <w:t> </w:t>
      </w:r>
      <w:r>
        <w:rPr>
          <w:w w:val="105"/>
          <w:sz w:val="21"/>
        </w:rPr>
        <w:t>introduction of a Neighbourhood </w:t>
      </w:r>
      <w:r>
        <w:rPr>
          <w:spacing w:val="-5"/>
          <w:w w:val="105"/>
          <w:sz w:val="21"/>
        </w:rPr>
        <w:t>Tree </w:t>
      </w:r>
      <w:r>
        <w:rPr>
          <w:spacing w:val="-3"/>
          <w:w w:val="105"/>
          <w:sz w:val="21"/>
        </w:rPr>
        <w:t>Disputes </w:t>
      </w:r>
      <w:r>
        <w:rPr>
          <w:w w:val="105"/>
          <w:sz w:val="21"/>
        </w:rPr>
        <w:t>Act in Victoria and identifies the policy themes </w:t>
      </w:r>
      <w:r>
        <w:rPr>
          <w:spacing w:val="-3"/>
          <w:w w:val="105"/>
          <w:sz w:val="21"/>
        </w:rPr>
        <w:t>that </w:t>
      </w:r>
      <w:r>
        <w:rPr>
          <w:w w:val="105"/>
          <w:sz w:val="21"/>
        </w:rPr>
        <w:t>should </w:t>
      </w:r>
      <w:r>
        <w:rPr>
          <w:spacing w:val="-3"/>
          <w:w w:val="105"/>
          <w:sz w:val="21"/>
        </w:rPr>
        <w:t>underpin </w:t>
      </w:r>
      <w:r>
        <w:rPr>
          <w:w w:val="105"/>
          <w:sz w:val="21"/>
        </w:rPr>
        <w:t>this new</w:t>
      </w:r>
      <w:r>
        <w:rPr>
          <w:spacing w:val="24"/>
          <w:w w:val="105"/>
          <w:sz w:val="21"/>
        </w:rPr>
        <w:t> </w:t>
      </w:r>
      <w:r>
        <w:rPr>
          <w:w w:val="105"/>
          <w:sz w:val="21"/>
        </w:rPr>
        <w:t>Act.</w:t>
      </w:r>
    </w:p>
    <w:p>
      <w:pPr>
        <w:pStyle w:val="BodyText"/>
        <w:spacing w:before="1"/>
        <w:rPr>
          <w:sz w:val="22"/>
        </w:rPr>
      </w:pPr>
    </w:p>
    <w:p>
      <w:pPr>
        <w:pStyle w:val="Heading4"/>
      </w:pPr>
      <w:r>
        <w:rPr>
          <w:color w:val="658464"/>
          <w:w w:val="110"/>
        </w:rPr>
        <w:t>Approaches to tree disputes in other</w:t>
      </w:r>
      <w:r>
        <w:rPr>
          <w:color w:val="658464"/>
          <w:spacing w:val="54"/>
          <w:w w:val="110"/>
        </w:rPr>
        <w:t> </w:t>
      </w:r>
      <w:r>
        <w:rPr>
          <w:color w:val="658464"/>
          <w:w w:val="110"/>
        </w:rPr>
        <w:t>jurisdictions</w:t>
      </w:r>
    </w:p>
    <w:p>
      <w:pPr>
        <w:pStyle w:val="ListParagraph"/>
        <w:numPr>
          <w:ilvl w:val="1"/>
          <w:numId w:val="16"/>
        </w:numPr>
        <w:tabs>
          <w:tab w:pos="2381" w:val="left" w:leader="none"/>
          <w:tab w:pos="2382" w:val="left" w:leader="none"/>
        </w:tabs>
        <w:spacing w:line="242" w:lineRule="auto" w:before="155" w:after="0"/>
        <w:ind w:left="2381" w:right="1713" w:hanging="794"/>
        <w:jc w:val="left"/>
        <w:rPr>
          <w:sz w:val="21"/>
        </w:rPr>
      </w:pPr>
      <w:r>
        <w:rPr>
          <w:sz w:val="21"/>
        </w:rPr>
        <w:t>Some </w:t>
      </w:r>
      <w:r>
        <w:rPr>
          <w:spacing w:val="-3"/>
          <w:sz w:val="21"/>
        </w:rPr>
        <w:t>Australian </w:t>
      </w:r>
      <w:r>
        <w:rPr>
          <w:sz w:val="21"/>
        </w:rPr>
        <w:t>jurisdictions </w:t>
      </w:r>
      <w:r>
        <w:rPr>
          <w:spacing w:val="-3"/>
          <w:sz w:val="21"/>
        </w:rPr>
        <w:t>have </w:t>
      </w:r>
      <w:r>
        <w:rPr>
          <w:sz w:val="21"/>
        </w:rPr>
        <w:t>enacted </w:t>
      </w:r>
      <w:r>
        <w:rPr>
          <w:spacing w:val="-3"/>
          <w:sz w:val="21"/>
        </w:rPr>
        <w:t>legislative </w:t>
      </w:r>
      <w:r>
        <w:rPr>
          <w:spacing w:val="-2"/>
          <w:sz w:val="21"/>
        </w:rPr>
        <w:t>regimes </w:t>
      </w:r>
      <w:r>
        <w:rPr>
          <w:spacing w:val="-3"/>
          <w:sz w:val="21"/>
        </w:rPr>
        <w:t>to </w:t>
      </w:r>
      <w:r>
        <w:rPr>
          <w:sz w:val="21"/>
        </w:rPr>
        <w:t>govern the resolution of tree</w:t>
      </w:r>
      <w:r>
        <w:rPr>
          <w:spacing w:val="10"/>
          <w:sz w:val="21"/>
        </w:rPr>
        <w:t> </w:t>
      </w:r>
      <w:r>
        <w:rPr>
          <w:spacing w:val="-3"/>
          <w:sz w:val="21"/>
        </w:rPr>
        <w:t>disputes</w:t>
      </w:r>
      <w:r>
        <w:rPr>
          <w:spacing w:val="10"/>
          <w:sz w:val="21"/>
        </w:rPr>
        <w:t> </w:t>
      </w:r>
      <w:r>
        <w:rPr>
          <w:sz w:val="21"/>
        </w:rPr>
        <w:t>while</w:t>
      </w:r>
      <w:r>
        <w:rPr>
          <w:spacing w:val="10"/>
          <w:sz w:val="21"/>
        </w:rPr>
        <w:t> </w:t>
      </w:r>
      <w:r>
        <w:rPr>
          <w:sz w:val="21"/>
        </w:rPr>
        <w:t>others</w:t>
      </w:r>
      <w:r>
        <w:rPr>
          <w:spacing w:val="10"/>
          <w:sz w:val="21"/>
        </w:rPr>
        <w:t> </w:t>
      </w:r>
      <w:r>
        <w:rPr>
          <w:spacing w:val="-3"/>
          <w:sz w:val="21"/>
        </w:rPr>
        <w:t>have</w:t>
      </w:r>
      <w:r>
        <w:rPr>
          <w:spacing w:val="10"/>
          <w:sz w:val="21"/>
        </w:rPr>
        <w:t> </w:t>
      </w:r>
      <w:r>
        <w:rPr>
          <w:spacing w:val="-3"/>
          <w:sz w:val="21"/>
        </w:rPr>
        <w:t>retained</w:t>
      </w:r>
      <w:r>
        <w:rPr>
          <w:spacing w:val="10"/>
          <w:sz w:val="21"/>
        </w:rPr>
        <w:t> </w:t>
      </w:r>
      <w:r>
        <w:rPr>
          <w:sz w:val="21"/>
        </w:rPr>
        <w:t>the</w:t>
      </w:r>
      <w:r>
        <w:rPr>
          <w:spacing w:val="10"/>
          <w:sz w:val="21"/>
        </w:rPr>
        <w:t> </w:t>
      </w:r>
      <w:r>
        <w:rPr>
          <w:spacing w:val="-2"/>
          <w:sz w:val="21"/>
        </w:rPr>
        <w:t>common</w:t>
      </w:r>
      <w:r>
        <w:rPr>
          <w:spacing w:val="10"/>
          <w:sz w:val="21"/>
        </w:rPr>
        <w:t> </w:t>
      </w:r>
      <w:r>
        <w:rPr>
          <w:spacing w:val="-5"/>
          <w:sz w:val="21"/>
        </w:rPr>
        <w:t>law.</w:t>
      </w:r>
    </w:p>
    <w:p>
      <w:pPr>
        <w:pStyle w:val="ListParagraph"/>
        <w:numPr>
          <w:ilvl w:val="1"/>
          <w:numId w:val="16"/>
        </w:numPr>
        <w:tabs>
          <w:tab w:pos="2381" w:val="left" w:leader="none"/>
          <w:tab w:pos="2382" w:val="left" w:leader="none"/>
        </w:tabs>
        <w:spacing w:line="242" w:lineRule="auto" w:before="122" w:after="0"/>
        <w:ind w:left="2381" w:right="1678" w:hanging="794"/>
        <w:jc w:val="left"/>
        <w:rPr>
          <w:sz w:val="21"/>
        </w:rPr>
      </w:pPr>
      <w:r>
        <w:rPr>
          <w:sz w:val="21"/>
        </w:rPr>
        <w:t>In </w:t>
      </w:r>
      <w:r>
        <w:rPr>
          <w:spacing w:val="-3"/>
          <w:sz w:val="21"/>
        </w:rPr>
        <w:t>the </w:t>
      </w:r>
      <w:r>
        <w:rPr>
          <w:spacing w:val="-5"/>
          <w:sz w:val="21"/>
        </w:rPr>
        <w:t>Australian </w:t>
      </w:r>
      <w:r>
        <w:rPr>
          <w:spacing w:val="-4"/>
          <w:sz w:val="21"/>
        </w:rPr>
        <w:t>Capital </w:t>
      </w:r>
      <w:r>
        <w:rPr>
          <w:spacing w:val="-6"/>
          <w:sz w:val="21"/>
        </w:rPr>
        <w:t>Territory, </w:t>
      </w:r>
      <w:r>
        <w:rPr>
          <w:spacing w:val="-3"/>
          <w:sz w:val="21"/>
        </w:rPr>
        <w:t>the Northern </w:t>
      </w:r>
      <w:r>
        <w:rPr>
          <w:spacing w:val="-6"/>
          <w:sz w:val="21"/>
        </w:rPr>
        <w:t>Territory, </w:t>
      </w:r>
      <w:r>
        <w:rPr>
          <w:spacing w:val="-3"/>
          <w:sz w:val="21"/>
        </w:rPr>
        <w:t>South </w:t>
      </w:r>
      <w:r>
        <w:rPr>
          <w:spacing w:val="-5"/>
          <w:sz w:val="21"/>
        </w:rPr>
        <w:t>Australia </w:t>
      </w:r>
      <w:r>
        <w:rPr>
          <w:spacing w:val="-4"/>
          <w:sz w:val="21"/>
        </w:rPr>
        <w:t>and  Western </w:t>
      </w:r>
      <w:r>
        <w:rPr>
          <w:spacing w:val="-5"/>
          <w:sz w:val="21"/>
        </w:rPr>
        <w:t>Australia, </w:t>
      </w:r>
      <w:r>
        <w:rPr>
          <w:spacing w:val="-4"/>
          <w:sz w:val="21"/>
        </w:rPr>
        <w:t>tree disputes are governed </w:t>
      </w:r>
      <w:r>
        <w:rPr>
          <w:spacing w:val="-3"/>
          <w:sz w:val="21"/>
        </w:rPr>
        <w:t>by </w:t>
      </w:r>
      <w:r>
        <w:rPr>
          <w:spacing w:val="-4"/>
          <w:sz w:val="21"/>
        </w:rPr>
        <w:t>common </w:t>
      </w:r>
      <w:r>
        <w:rPr>
          <w:spacing w:val="-7"/>
          <w:sz w:val="21"/>
        </w:rPr>
        <w:t>law, </w:t>
      </w:r>
      <w:r>
        <w:rPr>
          <w:sz w:val="21"/>
        </w:rPr>
        <w:t>as </w:t>
      </w:r>
      <w:r>
        <w:rPr>
          <w:spacing w:val="-3"/>
          <w:sz w:val="21"/>
        </w:rPr>
        <w:t>in </w:t>
      </w:r>
      <w:r>
        <w:rPr>
          <w:spacing w:val="-4"/>
          <w:sz w:val="21"/>
        </w:rPr>
        <w:t>Victoria. </w:t>
      </w:r>
      <w:r>
        <w:rPr>
          <w:spacing w:val="-2"/>
          <w:sz w:val="21"/>
        </w:rPr>
        <w:t>The </w:t>
      </w:r>
      <w:r>
        <w:rPr>
          <w:spacing w:val="-5"/>
          <w:sz w:val="21"/>
        </w:rPr>
        <w:t>overall  </w:t>
      </w:r>
      <w:r>
        <w:rPr>
          <w:spacing w:val="-4"/>
          <w:sz w:val="21"/>
        </w:rPr>
        <w:t>process </w:t>
      </w:r>
      <w:r>
        <w:rPr>
          <w:spacing w:val="-3"/>
          <w:sz w:val="21"/>
        </w:rPr>
        <w:t>in  </w:t>
      </w:r>
      <w:r>
        <w:rPr>
          <w:spacing w:val="-4"/>
          <w:sz w:val="21"/>
        </w:rPr>
        <w:t>each</w:t>
      </w:r>
      <w:r>
        <w:rPr>
          <w:spacing w:val="17"/>
          <w:sz w:val="21"/>
        </w:rPr>
        <w:t> </w:t>
      </w:r>
      <w:r>
        <w:rPr>
          <w:spacing w:val="-3"/>
          <w:sz w:val="21"/>
        </w:rPr>
        <w:t>of</w:t>
      </w:r>
      <w:r>
        <w:rPr>
          <w:spacing w:val="18"/>
          <w:sz w:val="21"/>
        </w:rPr>
        <w:t> </w:t>
      </w:r>
      <w:r>
        <w:rPr>
          <w:spacing w:val="-3"/>
          <w:sz w:val="21"/>
        </w:rPr>
        <w:t>these</w:t>
      </w:r>
      <w:r>
        <w:rPr>
          <w:spacing w:val="18"/>
          <w:sz w:val="21"/>
        </w:rPr>
        <w:t> </w:t>
      </w:r>
      <w:r>
        <w:rPr>
          <w:spacing w:val="-3"/>
          <w:sz w:val="21"/>
        </w:rPr>
        <w:t>states</w:t>
      </w:r>
      <w:r>
        <w:rPr>
          <w:spacing w:val="18"/>
          <w:sz w:val="21"/>
        </w:rPr>
        <w:t> </w:t>
      </w:r>
      <w:r>
        <w:rPr>
          <w:spacing w:val="-4"/>
          <w:sz w:val="21"/>
        </w:rPr>
        <w:t>and</w:t>
      </w:r>
      <w:r>
        <w:rPr>
          <w:spacing w:val="18"/>
          <w:sz w:val="21"/>
        </w:rPr>
        <w:t> </w:t>
      </w:r>
      <w:r>
        <w:rPr>
          <w:spacing w:val="-5"/>
          <w:sz w:val="21"/>
        </w:rPr>
        <w:t>territories</w:t>
      </w:r>
      <w:r>
        <w:rPr>
          <w:spacing w:val="18"/>
          <w:sz w:val="21"/>
        </w:rPr>
        <w:t> </w:t>
      </w:r>
      <w:r>
        <w:rPr>
          <w:spacing w:val="-3"/>
          <w:sz w:val="21"/>
        </w:rPr>
        <w:t>is</w:t>
      </w:r>
      <w:r>
        <w:rPr>
          <w:spacing w:val="18"/>
          <w:sz w:val="21"/>
        </w:rPr>
        <w:t> </w:t>
      </w:r>
      <w:r>
        <w:rPr>
          <w:spacing w:val="-5"/>
          <w:sz w:val="21"/>
        </w:rPr>
        <w:t>similar</w:t>
      </w:r>
      <w:r>
        <w:rPr>
          <w:spacing w:val="18"/>
          <w:sz w:val="21"/>
        </w:rPr>
        <w:t> </w:t>
      </w:r>
      <w:r>
        <w:rPr>
          <w:spacing w:val="-4"/>
          <w:sz w:val="21"/>
        </w:rPr>
        <w:t>to</w:t>
      </w:r>
      <w:r>
        <w:rPr>
          <w:spacing w:val="18"/>
          <w:sz w:val="21"/>
        </w:rPr>
        <w:t> </w:t>
      </w:r>
      <w:r>
        <w:rPr>
          <w:spacing w:val="-3"/>
          <w:sz w:val="21"/>
        </w:rPr>
        <w:t>the</w:t>
      </w:r>
      <w:r>
        <w:rPr>
          <w:spacing w:val="18"/>
          <w:sz w:val="21"/>
        </w:rPr>
        <w:t> </w:t>
      </w:r>
      <w:r>
        <w:rPr>
          <w:spacing w:val="-4"/>
          <w:sz w:val="21"/>
        </w:rPr>
        <w:t>Victorian</w:t>
      </w:r>
      <w:r>
        <w:rPr>
          <w:spacing w:val="18"/>
          <w:sz w:val="21"/>
        </w:rPr>
        <w:t> </w:t>
      </w:r>
      <w:r>
        <w:rPr>
          <w:spacing w:val="-4"/>
          <w:sz w:val="21"/>
        </w:rPr>
        <w:t>process</w:t>
      </w:r>
      <w:r>
        <w:rPr>
          <w:spacing w:val="17"/>
          <w:sz w:val="21"/>
        </w:rPr>
        <w:t> </w:t>
      </w:r>
      <w:r>
        <w:rPr>
          <w:spacing w:val="-4"/>
          <w:sz w:val="21"/>
        </w:rPr>
        <w:t>discussed</w:t>
      </w:r>
      <w:r>
        <w:rPr>
          <w:spacing w:val="18"/>
          <w:sz w:val="21"/>
        </w:rPr>
        <w:t> </w:t>
      </w:r>
      <w:r>
        <w:rPr>
          <w:spacing w:val="-3"/>
          <w:sz w:val="21"/>
        </w:rPr>
        <w:t>in</w:t>
      </w:r>
      <w:r>
        <w:rPr>
          <w:spacing w:val="18"/>
          <w:sz w:val="21"/>
        </w:rPr>
        <w:t> </w:t>
      </w:r>
      <w:r>
        <w:rPr>
          <w:spacing w:val="-6"/>
          <w:sz w:val="21"/>
        </w:rPr>
        <w:t>Chapter</w:t>
      </w:r>
      <w:r>
        <w:rPr>
          <w:spacing w:val="18"/>
          <w:sz w:val="21"/>
        </w:rPr>
        <w:t> </w:t>
      </w:r>
      <w:r>
        <w:rPr>
          <w:spacing w:val="-4"/>
          <w:sz w:val="21"/>
        </w:rPr>
        <w:t>3.</w:t>
      </w:r>
    </w:p>
    <w:p>
      <w:pPr>
        <w:pStyle w:val="ListParagraph"/>
        <w:numPr>
          <w:ilvl w:val="1"/>
          <w:numId w:val="16"/>
        </w:numPr>
        <w:tabs>
          <w:tab w:pos="2381" w:val="left" w:leader="none"/>
          <w:tab w:pos="2382" w:val="left" w:leader="none"/>
        </w:tabs>
        <w:spacing w:line="242" w:lineRule="auto" w:before="123" w:after="0"/>
        <w:ind w:left="2381" w:right="1979" w:hanging="794"/>
        <w:jc w:val="left"/>
        <w:rPr>
          <w:sz w:val="21"/>
        </w:rPr>
      </w:pPr>
      <w:r>
        <w:rPr>
          <w:sz w:val="21"/>
        </w:rPr>
        <w:t>As in Victoria, each of the states and </w:t>
      </w:r>
      <w:r>
        <w:rPr>
          <w:spacing w:val="-3"/>
          <w:sz w:val="21"/>
        </w:rPr>
        <w:t>territories </w:t>
      </w:r>
      <w:r>
        <w:rPr>
          <w:spacing w:val="-2"/>
          <w:sz w:val="21"/>
        </w:rPr>
        <w:t>has </w:t>
      </w:r>
      <w:r>
        <w:rPr>
          <w:sz w:val="21"/>
        </w:rPr>
        <w:t>its own provider of free mediation </w:t>
      </w:r>
      <w:r>
        <w:rPr>
          <w:spacing w:val="-3"/>
          <w:sz w:val="21"/>
        </w:rPr>
        <w:t>services.</w:t>
      </w:r>
      <w:r>
        <w:rPr>
          <w:spacing w:val="-3"/>
          <w:position w:val="7"/>
          <w:sz w:val="12"/>
        </w:rPr>
        <w:t>1 </w:t>
      </w:r>
      <w:r>
        <w:rPr>
          <w:spacing w:val="-5"/>
          <w:sz w:val="21"/>
        </w:rPr>
        <w:t>Tree </w:t>
      </w:r>
      <w:r>
        <w:rPr>
          <w:spacing w:val="-3"/>
          <w:sz w:val="21"/>
        </w:rPr>
        <w:t>disputes are heard </w:t>
      </w:r>
      <w:r>
        <w:rPr>
          <w:sz w:val="21"/>
        </w:rPr>
        <w:t>in courts or</w:t>
      </w:r>
      <w:r>
        <w:rPr>
          <w:spacing w:val="25"/>
          <w:sz w:val="21"/>
        </w:rPr>
        <w:t> </w:t>
      </w:r>
      <w:r>
        <w:rPr>
          <w:spacing w:val="-3"/>
          <w:sz w:val="21"/>
        </w:rPr>
        <w:t>tribunals:</w:t>
      </w:r>
    </w:p>
    <w:p>
      <w:pPr>
        <w:pStyle w:val="ListParagraph"/>
        <w:numPr>
          <w:ilvl w:val="2"/>
          <w:numId w:val="16"/>
        </w:numPr>
        <w:tabs>
          <w:tab w:pos="2721" w:val="left" w:leader="none"/>
          <w:tab w:pos="2722" w:val="left" w:leader="none"/>
        </w:tabs>
        <w:spacing w:line="242" w:lineRule="auto" w:before="123" w:after="0"/>
        <w:ind w:left="2721" w:right="2080" w:hanging="340"/>
        <w:jc w:val="left"/>
        <w:rPr>
          <w:sz w:val="12"/>
        </w:rPr>
      </w:pPr>
      <w:r>
        <w:rPr>
          <w:sz w:val="21"/>
        </w:rPr>
        <w:t>In South </w:t>
      </w:r>
      <w:r>
        <w:rPr>
          <w:spacing w:val="-3"/>
          <w:sz w:val="21"/>
        </w:rPr>
        <w:t>Australia </w:t>
      </w:r>
      <w:r>
        <w:rPr>
          <w:sz w:val="21"/>
        </w:rPr>
        <w:t>and Western </w:t>
      </w:r>
      <w:r>
        <w:rPr>
          <w:spacing w:val="-3"/>
          <w:sz w:val="21"/>
        </w:rPr>
        <w:t>Australia, smaller claims are heard </w:t>
      </w:r>
      <w:r>
        <w:rPr>
          <w:sz w:val="21"/>
        </w:rPr>
        <w:t>in </w:t>
      </w:r>
      <w:r>
        <w:rPr>
          <w:spacing w:val="-3"/>
          <w:sz w:val="21"/>
        </w:rPr>
        <w:t>magistrates’ </w:t>
      </w:r>
      <w:r>
        <w:rPr>
          <w:sz w:val="21"/>
        </w:rPr>
        <w:t>courts.</w:t>
      </w:r>
      <w:r>
        <w:rPr>
          <w:position w:val="7"/>
          <w:sz w:val="12"/>
        </w:rPr>
        <w:t>2</w:t>
      </w:r>
    </w:p>
    <w:p>
      <w:pPr>
        <w:pStyle w:val="ListParagraph"/>
        <w:numPr>
          <w:ilvl w:val="2"/>
          <w:numId w:val="16"/>
        </w:numPr>
        <w:tabs>
          <w:tab w:pos="2721" w:val="left" w:leader="none"/>
          <w:tab w:pos="2722" w:val="left" w:leader="none"/>
        </w:tabs>
        <w:spacing w:line="242" w:lineRule="auto" w:before="87" w:after="0"/>
        <w:ind w:left="2721" w:right="1895" w:hanging="340"/>
        <w:jc w:val="left"/>
        <w:rPr>
          <w:sz w:val="12"/>
        </w:rPr>
      </w:pPr>
      <w:r>
        <w:rPr>
          <w:sz w:val="21"/>
        </w:rPr>
        <w:t>In the Northern </w:t>
      </w:r>
      <w:r>
        <w:rPr>
          <w:spacing w:val="-4"/>
          <w:sz w:val="21"/>
        </w:rPr>
        <w:t>Territory, </w:t>
      </w:r>
      <w:r>
        <w:rPr>
          <w:spacing w:val="-3"/>
          <w:sz w:val="21"/>
        </w:rPr>
        <w:t>smaller claims </w:t>
      </w:r>
      <w:r>
        <w:rPr>
          <w:sz w:val="21"/>
        </w:rPr>
        <w:t>can be </w:t>
      </w:r>
      <w:r>
        <w:rPr>
          <w:spacing w:val="-3"/>
          <w:sz w:val="21"/>
        </w:rPr>
        <w:t>heard </w:t>
      </w:r>
      <w:r>
        <w:rPr>
          <w:sz w:val="21"/>
        </w:rPr>
        <w:t>in the Northern </w:t>
      </w:r>
      <w:r>
        <w:rPr>
          <w:spacing w:val="-3"/>
          <w:sz w:val="21"/>
        </w:rPr>
        <w:t>Territory Civil </w:t>
      </w:r>
      <w:r>
        <w:rPr>
          <w:sz w:val="21"/>
        </w:rPr>
        <w:t>and </w:t>
      </w:r>
      <w:r>
        <w:rPr>
          <w:spacing w:val="-3"/>
          <w:sz w:val="21"/>
        </w:rPr>
        <w:t>Administrative </w:t>
      </w:r>
      <w:r>
        <w:rPr>
          <w:spacing w:val="-5"/>
          <w:sz w:val="21"/>
        </w:rPr>
        <w:t>Tribunal </w:t>
      </w:r>
      <w:r>
        <w:rPr>
          <w:sz w:val="21"/>
        </w:rPr>
        <w:t>or the Local</w:t>
      </w:r>
      <w:r>
        <w:rPr>
          <w:spacing w:val="-17"/>
          <w:sz w:val="21"/>
        </w:rPr>
        <w:t> </w:t>
      </w:r>
      <w:r>
        <w:rPr>
          <w:spacing w:val="-3"/>
          <w:sz w:val="21"/>
        </w:rPr>
        <w:t>Court.</w:t>
      </w:r>
      <w:r>
        <w:rPr>
          <w:spacing w:val="-3"/>
          <w:position w:val="7"/>
          <w:sz w:val="12"/>
        </w:rPr>
        <w:t>3</w:t>
      </w:r>
    </w:p>
    <w:p>
      <w:pPr>
        <w:pStyle w:val="ListParagraph"/>
        <w:numPr>
          <w:ilvl w:val="2"/>
          <w:numId w:val="16"/>
        </w:numPr>
        <w:tabs>
          <w:tab w:pos="2721" w:val="left" w:leader="none"/>
          <w:tab w:pos="2722" w:val="left" w:leader="none"/>
        </w:tabs>
        <w:spacing w:line="242" w:lineRule="auto" w:before="87" w:after="0"/>
        <w:ind w:left="2721" w:right="1951" w:hanging="340"/>
        <w:jc w:val="left"/>
        <w:rPr>
          <w:sz w:val="12"/>
        </w:rPr>
      </w:pPr>
      <w:r>
        <w:rPr>
          <w:sz w:val="21"/>
        </w:rPr>
        <w:t>In the </w:t>
      </w:r>
      <w:r>
        <w:rPr>
          <w:spacing w:val="-3"/>
          <w:sz w:val="21"/>
        </w:rPr>
        <w:t>Australian Capital </w:t>
      </w:r>
      <w:r>
        <w:rPr>
          <w:spacing w:val="-4"/>
          <w:sz w:val="21"/>
        </w:rPr>
        <w:t>Territory, </w:t>
      </w:r>
      <w:r>
        <w:rPr>
          <w:sz w:val="21"/>
        </w:rPr>
        <w:t>an affected </w:t>
      </w:r>
      <w:r>
        <w:rPr>
          <w:spacing w:val="-3"/>
          <w:sz w:val="21"/>
        </w:rPr>
        <w:t>neighbour </w:t>
      </w:r>
      <w:r>
        <w:rPr>
          <w:sz w:val="21"/>
        </w:rPr>
        <w:t>can </w:t>
      </w:r>
      <w:r>
        <w:rPr>
          <w:spacing w:val="-3"/>
          <w:sz w:val="21"/>
        </w:rPr>
        <w:t>bring </w:t>
      </w:r>
      <w:r>
        <w:rPr>
          <w:sz w:val="21"/>
        </w:rPr>
        <w:t>legal action </w:t>
      </w:r>
      <w:r>
        <w:rPr>
          <w:spacing w:val="-3"/>
          <w:sz w:val="21"/>
        </w:rPr>
        <w:t>for nuisance </w:t>
      </w:r>
      <w:r>
        <w:rPr>
          <w:sz w:val="21"/>
        </w:rPr>
        <w:t>in the </w:t>
      </w:r>
      <w:r>
        <w:rPr>
          <w:spacing w:val="-3"/>
          <w:sz w:val="21"/>
        </w:rPr>
        <w:t>ACT Civil </w:t>
      </w:r>
      <w:r>
        <w:rPr>
          <w:sz w:val="21"/>
        </w:rPr>
        <w:t>and </w:t>
      </w:r>
      <w:r>
        <w:rPr>
          <w:spacing w:val="-3"/>
          <w:sz w:val="21"/>
        </w:rPr>
        <w:t>Administrative </w:t>
      </w:r>
      <w:r>
        <w:rPr>
          <w:spacing w:val="-5"/>
          <w:sz w:val="21"/>
        </w:rPr>
        <w:t>Tribunal </w:t>
      </w:r>
      <w:r>
        <w:rPr>
          <w:spacing w:val="-3"/>
          <w:sz w:val="21"/>
        </w:rPr>
        <w:t>instead </w:t>
      </w:r>
      <w:r>
        <w:rPr>
          <w:sz w:val="21"/>
        </w:rPr>
        <w:t>of going </w:t>
      </w:r>
      <w:r>
        <w:rPr>
          <w:spacing w:val="-3"/>
          <w:sz w:val="21"/>
        </w:rPr>
        <w:t>to </w:t>
      </w:r>
      <w:r>
        <w:rPr>
          <w:sz w:val="21"/>
        </w:rPr>
        <w:t>court, provided their </w:t>
      </w:r>
      <w:r>
        <w:rPr>
          <w:spacing w:val="-3"/>
          <w:sz w:val="21"/>
        </w:rPr>
        <w:t>claim </w:t>
      </w:r>
      <w:r>
        <w:rPr>
          <w:sz w:val="21"/>
        </w:rPr>
        <w:t>is </w:t>
      </w:r>
      <w:r>
        <w:rPr>
          <w:spacing w:val="-3"/>
          <w:sz w:val="21"/>
        </w:rPr>
        <w:t>for </w:t>
      </w:r>
      <w:r>
        <w:rPr>
          <w:sz w:val="21"/>
        </w:rPr>
        <w:t>$25,000 or less.</w:t>
      </w:r>
      <w:r>
        <w:rPr>
          <w:position w:val="7"/>
          <w:sz w:val="12"/>
        </w:rPr>
        <w:t>4 </w:t>
      </w:r>
      <w:r>
        <w:rPr>
          <w:spacing w:val="-4"/>
          <w:sz w:val="21"/>
        </w:rPr>
        <w:t>Claims </w:t>
      </w:r>
      <w:r>
        <w:rPr>
          <w:spacing w:val="-3"/>
          <w:sz w:val="21"/>
        </w:rPr>
        <w:t>exceeding </w:t>
      </w:r>
      <w:r>
        <w:rPr>
          <w:sz w:val="21"/>
        </w:rPr>
        <w:t>this </w:t>
      </w:r>
      <w:r>
        <w:rPr>
          <w:spacing w:val="-3"/>
          <w:sz w:val="21"/>
        </w:rPr>
        <w:t>amount </w:t>
      </w:r>
      <w:r>
        <w:rPr>
          <w:sz w:val="21"/>
        </w:rPr>
        <w:t>must be </w:t>
      </w:r>
      <w:r>
        <w:rPr>
          <w:spacing w:val="-3"/>
          <w:sz w:val="21"/>
        </w:rPr>
        <w:t>brought </w:t>
      </w:r>
      <w:r>
        <w:rPr>
          <w:sz w:val="21"/>
        </w:rPr>
        <w:t>in the </w:t>
      </w:r>
      <w:r>
        <w:rPr>
          <w:spacing w:val="-3"/>
          <w:sz w:val="21"/>
        </w:rPr>
        <w:t>ACT Magistrates</w:t>
      </w:r>
      <w:r>
        <w:rPr>
          <w:spacing w:val="14"/>
          <w:sz w:val="21"/>
        </w:rPr>
        <w:t> </w:t>
      </w:r>
      <w:r>
        <w:rPr>
          <w:spacing w:val="-3"/>
          <w:sz w:val="21"/>
        </w:rPr>
        <w:t>Court.</w:t>
      </w:r>
      <w:r>
        <w:rPr>
          <w:spacing w:val="-3"/>
          <w:position w:val="7"/>
          <w:sz w:val="12"/>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3"/>
        </w:rPr>
      </w:pPr>
      <w:r>
        <w:rPr/>
        <w:pict>
          <v:line style="position:absolute;mso-position-horizontal-relative:page;mso-position-vertical-relative:paragraph;z-index:2192;mso-wrap-distance-left:0;mso-wrap-distance-right:0" from="79.370102pt,10.588112pt" to="515.905102pt,10.588112pt" stroked="true" strokeweight="1pt" strokecolor="#c9d2cb">
            <v:stroke dashstyle="solid"/>
            <w10:wrap type="topAndBottom"/>
          </v:line>
        </w:pict>
      </w:r>
    </w:p>
    <w:p>
      <w:pPr>
        <w:pStyle w:val="ListParagraph"/>
        <w:numPr>
          <w:ilvl w:val="0"/>
          <w:numId w:val="39"/>
        </w:numPr>
        <w:tabs>
          <w:tab w:pos="2380" w:val="left" w:leader="none"/>
          <w:tab w:pos="2382" w:val="left" w:leader="none"/>
        </w:tabs>
        <w:spacing w:line="240" w:lineRule="auto" w:before="117" w:after="0"/>
        <w:ind w:left="2381" w:right="0" w:hanging="794"/>
        <w:jc w:val="left"/>
        <w:rPr>
          <w:sz w:val="13"/>
        </w:rPr>
      </w:pPr>
      <w:r>
        <w:rPr>
          <w:sz w:val="13"/>
        </w:rPr>
        <w:t>These</w:t>
      </w:r>
      <w:r>
        <w:rPr>
          <w:spacing w:val="10"/>
          <w:sz w:val="13"/>
        </w:rPr>
        <w:t> </w:t>
      </w:r>
      <w:r>
        <w:rPr>
          <w:sz w:val="13"/>
        </w:rPr>
        <w:t>include</w:t>
      </w:r>
      <w:r>
        <w:rPr>
          <w:spacing w:val="11"/>
          <w:sz w:val="13"/>
        </w:rPr>
        <w:t> </w:t>
      </w:r>
      <w:r>
        <w:rPr>
          <w:sz w:val="13"/>
        </w:rPr>
        <w:t>the</w:t>
      </w:r>
      <w:r>
        <w:rPr>
          <w:spacing w:val="10"/>
          <w:sz w:val="13"/>
        </w:rPr>
        <w:t> </w:t>
      </w:r>
      <w:r>
        <w:rPr>
          <w:sz w:val="13"/>
        </w:rPr>
        <w:t>Conflict</w:t>
      </w:r>
      <w:r>
        <w:rPr>
          <w:spacing w:val="11"/>
          <w:sz w:val="13"/>
        </w:rPr>
        <w:t> </w:t>
      </w:r>
      <w:r>
        <w:rPr>
          <w:sz w:val="13"/>
        </w:rPr>
        <w:t>Resolution</w:t>
      </w:r>
      <w:r>
        <w:rPr>
          <w:spacing w:val="11"/>
          <w:sz w:val="13"/>
        </w:rPr>
        <w:t> </w:t>
      </w:r>
      <w:r>
        <w:rPr>
          <w:sz w:val="13"/>
        </w:rPr>
        <w:t>Service</w:t>
      </w:r>
      <w:r>
        <w:rPr>
          <w:spacing w:val="10"/>
          <w:sz w:val="13"/>
        </w:rPr>
        <w:t> </w:t>
      </w:r>
      <w:r>
        <w:rPr>
          <w:sz w:val="13"/>
        </w:rPr>
        <w:t>in</w:t>
      </w:r>
      <w:r>
        <w:rPr>
          <w:spacing w:val="11"/>
          <w:sz w:val="13"/>
        </w:rPr>
        <w:t> </w:t>
      </w:r>
      <w:r>
        <w:rPr>
          <w:sz w:val="13"/>
        </w:rPr>
        <w:t>the</w:t>
      </w:r>
      <w:r>
        <w:rPr>
          <w:spacing w:val="11"/>
          <w:sz w:val="13"/>
        </w:rPr>
        <w:t> </w:t>
      </w:r>
      <w:r>
        <w:rPr>
          <w:sz w:val="13"/>
        </w:rPr>
        <w:t>ACT</w:t>
      </w:r>
      <w:r>
        <w:rPr>
          <w:spacing w:val="10"/>
          <w:sz w:val="13"/>
        </w:rPr>
        <w:t> </w:t>
      </w:r>
      <w:r>
        <w:rPr>
          <w:sz w:val="13"/>
        </w:rPr>
        <w:t>(Conflict</w:t>
      </w:r>
      <w:r>
        <w:rPr>
          <w:spacing w:val="11"/>
          <w:sz w:val="13"/>
        </w:rPr>
        <w:t> </w:t>
      </w:r>
      <w:r>
        <w:rPr>
          <w:sz w:val="13"/>
        </w:rPr>
        <w:t>Resolution</w:t>
      </w:r>
      <w:r>
        <w:rPr>
          <w:spacing w:val="11"/>
          <w:sz w:val="13"/>
        </w:rPr>
        <w:t> </w:t>
      </w:r>
      <w:r>
        <w:rPr>
          <w:sz w:val="13"/>
        </w:rPr>
        <w:t>Centre,</w:t>
      </w:r>
      <w:r>
        <w:rPr>
          <w:spacing w:val="10"/>
          <w:sz w:val="13"/>
        </w:rPr>
        <w:t> </w:t>
      </w:r>
      <w:r>
        <w:rPr>
          <w:i/>
          <w:sz w:val="13"/>
        </w:rPr>
        <w:t>Resolving</w:t>
      </w:r>
      <w:r>
        <w:rPr>
          <w:i/>
          <w:spacing w:val="11"/>
          <w:sz w:val="13"/>
        </w:rPr>
        <w:t> </w:t>
      </w:r>
      <w:r>
        <w:rPr>
          <w:i/>
          <w:sz w:val="13"/>
        </w:rPr>
        <w:t>Conflict</w:t>
      </w:r>
      <w:r>
        <w:rPr>
          <w:i/>
          <w:spacing w:val="11"/>
          <w:sz w:val="13"/>
        </w:rPr>
        <w:t> </w:t>
      </w:r>
      <w:r>
        <w:rPr>
          <w:i/>
          <w:sz w:val="13"/>
        </w:rPr>
        <w:t>in</w:t>
      </w:r>
      <w:r>
        <w:rPr>
          <w:i/>
          <w:spacing w:val="10"/>
          <w:sz w:val="13"/>
        </w:rPr>
        <w:t> </w:t>
      </w:r>
      <w:r>
        <w:rPr>
          <w:i/>
          <w:sz w:val="13"/>
        </w:rPr>
        <w:t>Canberra</w:t>
      </w:r>
      <w:r>
        <w:rPr>
          <w:i/>
          <w:spacing w:val="11"/>
          <w:sz w:val="13"/>
        </w:rPr>
        <w:t> </w:t>
      </w:r>
      <w:r>
        <w:rPr>
          <w:sz w:val="13"/>
        </w:rPr>
        <w:t>(Web</w:t>
      </w:r>
      <w:r>
        <w:rPr>
          <w:spacing w:val="11"/>
          <w:sz w:val="13"/>
        </w:rPr>
        <w:t> </w:t>
      </w:r>
      <w:r>
        <w:rPr>
          <w:sz w:val="13"/>
        </w:rPr>
        <w:t>Page)</w:t>
      </w:r>
    </w:p>
    <w:p>
      <w:pPr>
        <w:spacing w:before="1"/>
        <w:ind w:left="2381" w:right="0" w:firstLine="0"/>
        <w:jc w:val="left"/>
        <w:rPr>
          <w:sz w:val="13"/>
        </w:rPr>
      </w:pPr>
      <w:r>
        <w:rPr>
          <w:w w:val="105"/>
          <w:sz w:val="13"/>
        </w:rPr>
        <w:t>&lt;</w:t>
      </w:r>
      <w:hyperlink r:id="rId73">
        <w:r>
          <w:rPr>
            <w:w w:val="105"/>
            <w:sz w:val="13"/>
          </w:rPr>
          <w:t>www.crs.org.au/</w:t>
        </w:r>
      </w:hyperlink>
      <w:r>
        <w:rPr>
          <w:w w:val="105"/>
          <w:sz w:val="13"/>
        </w:rPr>
        <w:t>&gt;); the Community Justice Centre (NT), </w:t>
      </w:r>
      <w:r>
        <w:rPr>
          <w:i/>
          <w:w w:val="105"/>
          <w:sz w:val="13"/>
        </w:rPr>
        <w:t>Resolving Disputes without Going to Court </w:t>
      </w:r>
      <w:r>
        <w:rPr>
          <w:w w:val="105"/>
          <w:sz w:val="13"/>
        </w:rPr>
        <w:t>(Web Page, 2019)</w:t>
      </w:r>
    </w:p>
    <w:p>
      <w:pPr>
        <w:spacing w:before="2"/>
        <w:ind w:left="2381" w:right="1810" w:firstLine="0"/>
        <w:jc w:val="left"/>
        <w:rPr>
          <w:sz w:val="13"/>
        </w:rPr>
      </w:pPr>
      <w:r>
        <w:rPr>
          <w:w w:val="105"/>
          <w:sz w:val="13"/>
        </w:rPr>
        <w:t>&lt;https://nt.gov.au/law/processes/resolving-disputes-without-going-to-court&gt;); the Uniting Communities Mediation Service in South Australia (Uniting Communities, </w:t>
      </w:r>
      <w:r>
        <w:rPr>
          <w:i/>
          <w:w w:val="105"/>
          <w:sz w:val="13"/>
        </w:rPr>
        <w:t>Mediation </w:t>
      </w:r>
      <w:r>
        <w:rPr>
          <w:w w:val="105"/>
          <w:sz w:val="13"/>
        </w:rPr>
        <w:t>(Web Page, 2019) &lt;</w:t>
      </w:r>
      <w:hyperlink r:id="rId74">
        <w:r>
          <w:rPr>
            <w:w w:val="105"/>
            <w:sz w:val="13"/>
          </w:rPr>
          <w:t>www.unitingcommunities.org/services/financial-legal-services/mediation-</w:t>
        </w:r>
      </w:hyperlink>
      <w:r>
        <w:rPr>
          <w:w w:val="105"/>
          <w:sz w:val="13"/>
        </w:rPr>
        <w:t> services/&gt;), and the Citizens Advice Bureau in Western Australia (Citizens Advice Bureau (WA), </w:t>
      </w:r>
      <w:r>
        <w:rPr>
          <w:i/>
          <w:w w:val="105"/>
          <w:sz w:val="13"/>
        </w:rPr>
        <w:t>Mediation Service </w:t>
      </w:r>
      <w:r>
        <w:rPr>
          <w:w w:val="105"/>
          <w:sz w:val="13"/>
        </w:rPr>
        <w:t>(Web Page, 2019)</w:t>
      </w:r>
    </w:p>
    <w:p>
      <w:pPr>
        <w:spacing w:before="4"/>
        <w:ind w:left="2381" w:right="0" w:firstLine="0"/>
        <w:jc w:val="left"/>
        <w:rPr>
          <w:sz w:val="13"/>
        </w:rPr>
      </w:pPr>
      <w:r>
        <w:rPr>
          <w:sz w:val="13"/>
        </w:rPr>
        <w:t>&lt;</w:t>
      </w:r>
      <w:hyperlink r:id="rId75">
        <w:r>
          <w:rPr>
            <w:sz w:val="13"/>
          </w:rPr>
          <w:t>http://www.cabwa.com.au/mediation-service</w:t>
        </w:r>
      </w:hyperlink>
      <w:r>
        <w:rPr>
          <w:sz w:val="13"/>
        </w:rPr>
        <w:t>&gt;).</w:t>
      </w:r>
    </w:p>
    <w:p>
      <w:pPr>
        <w:pStyle w:val="ListParagraph"/>
        <w:numPr>
          <w:ilvl w:val="0"/>
          <w:numId w:val="39"/>
        </w:numPr>
        <w:tabs>
          <w:tab w:pos="2380" w:val="left" w:leader="none"/>
          <w:tab w:pos="2382" w:val="left" w:leader="none"/>
        </w:tabs>
        <w:spacing w:line="240" w:lineRule="auto" w:before="1" w:after="0"/>
        <w:ind w:left="2381" w:right="0" w:hanging="794"/>
        <w:jc w:val="left"/>
        <w:rPr>
          <w:sz w:val="13"/>
        </w:rPr>
      </w:pPr>
      <w:r>
        <w:rPr>
          <w:sz w:val="13"/>
        </w:rPr>
        <w:t>Individual</w:t>
      </w:r>
      <w:r>
        <w:rPr>
          <w:spacing w:val="8"/>
          <w:sz w:val="13"/>
        </w:rPr>
        <w:t> </w:t>
      </w:r>
      <w:r>
        <w:rPr>
          <w:sz w:val="13"/>
        </w:rPr>
        <w:t>jurisdictional</w:t>
      </w:r>
      <w:r>
        <w:rPr>
          <w:spacing w:val="9"/>
          <w:sz w:val="13"/>
        </w:rPr>
        <w:t> </w:t>
      </w:r>
      <w:r>
        <w:rPr>
          <w:sz w:val="13"/>
        </w:rPr>
        <w:t>limits</w:t>
      </w:r>
      <w:r>
        <w:rPr>
          <w:spacing w:val="9"/>
          <w:sz w:val="13"/>
        </w:rPr>
        <w:t> </w:t>
      </w:r>
      <w:r>
        <w:rPr>
          <w:sz w:val="13"/>
        </w:rPr>
        <w:t>of</w:t>
      </w:r>
      <w:r>
        <w:rPr>
          <w:spacing w:val="9"/>
          <w:sz w:val="13"/>
        </w:rPr>
        <w:t> </w:t>
      </w:r>
      <w:r>
        <w:rPr>
          <w:sz w:val="13"/>
        </w:rPr>
        <w:t>each</w:t>
      </w:r>
      <w:r>
        <w:rPr>
          <w:spacing w:val="9"/>
          <w:sz w:val="13"/>
        </w:rPr>
        <w:t> </w:t>
      </w:r>
      <w:r>
        <w:rPr>
          <w:sz w:val="13"/>
        </w:rPr>
        <w:t>state</w:t>
      </w:r>
      <w:r>
        <w:rPr>
          <w:spacing w:val="9"/>
          <w:sz w:val="13"/>
        </w:rPr>
        <w:t> </w:t>
      </w:r>
      <w:r>
        <w:rPr>
          <w:sz w:val="13"/>
        </w:rPr>
        <w:t>and</w:t>
      </w:r>
      <w:r>
        <w:rPr>
          <w:spacing w:val="9"/>
          <w:sz w:val="13"/>
        </w:rPr>
        <w:t> </w:t>
      </w:r>
      <w:r>
        <w:rPr>
          <w:sz w:val="13"/>
        </w:rPr>
        <w:t>territory’s</w:t>
      </w:r>
      <w:r>
        <w:rPr>
          <w:spacing w:val="9"/>
          <w:sz w:val="13"/>
        </w:rPr>
        <w:t> </w:t>
      </w:r>
      <w:r>
        <w:rPr>
          <w:sz w:val="13"/>
        </w:rPr>
        <w:t>courts</w:t>
      </w:r>
      <w:r>
        <w:rPr>
          <w:spacing w:val="9"/>
          <w:sz w:val="13"/>
        </w:rPr>
        <w:t> </w:t>
      </w:r>
      <w:r>
        <w:rPr>
          <w:sz w:val="13"/>
        </w:rPr>
        <w:t>may</w:t>
      </w:r>
      <w:r>
        <w:rPr>
          <w:spacing w:val="9"/>
          <w:sz w:val="13"/>
        </w:rPr>
        <w:t> </w:t>
      </w:r>
      <w:r>
        <w:rPr>
          <w:sz w:val="13"/>
        </w:rPr>
        <w:t>require</w:t>
      </w:r>
      <w:r>
        <w:rPr>
          <w:spacing w:val="9"/>
          <w:sz w:val="13"/>
        </w:rPr>
        <w:t> </w:t>
      </w:r>
      <w:r>
        <w:rPr>
          <w:sz w:val="13"/>
        </w:rPr>
        <w:t>larger</w:t>
      </w:r>
      <w:r>
        <w:rPr>
          <w:spacing w:val="9"/>
          <w:sz w:val="13"/>
        </w:rPr>
        <w:t> </w:t>
      </w:r>
      <w:r>
        <w:rPr>
          <w:sz w:val="13"/>
        </w:rPr>
        <w:t>claims</w:t>
      </w:r>
      <w:r>
        <w:rPr>
          <w:spacing w:val="9"/>
          <w:sz w:val="13"/>
        </w:rPr>
        <w:t> </w:t>
      </w:r>
      <w:r>
        <w:rPr>
          <w:sz w:val="13"/>
        </w:rPr>
        <w:t>to</w:t>
      </w:r>
      <w:r>
        <w:rPr>
          <w:spacing w:val="8"/>
          <w:sz w:val="13"/>
        </w:rPr>
        <w:t> </w:t>
      </w:r>
      <w:r>
        <w:rPr>
          <w:sz w:val="13"/>
        </w:rPr>
        <w:t>be</w:t>
      </w:r>
      <w:r>
        <w:rPr>
          <w:spacing w:val="9"/>
          <w:sz w:val="13"/>
        </w:rPr>
        <w:t> </w:t>
      </w:r>
      <w:r>
        <w:rPr>
          <w:sz w:val="13"/>
        </w:rPr>
        <w:t>brought</w:t>
      </w:r>
      <w:r>
        <w:rPr>
          <w:spacing w:val="9"/>
          <w:sz w:val="13"/>
        </w:rPr>
        <w:t> </w:t>
      </w:r>
      <w:r>
        <w:rPr>
          <w:sz w:val="13"/>
        </w:rPr>
        <w:t>in</w:t>
      </w:r>
      <w:r>
        <w:rPr>
          <w:spacing w:val="9"/>
          <w:sz w:val="13"/>
        </w:rPr>
        <w:t> </w:t>
      </w:r>
      <w:r>
        <w:rPr>
          <w:sz w:val="13"/>
        </w:rPr>
        <w:t>higher</w:t>
      </w:r>
      <w:r>
        <w:rPr>
          <w:spacing w:val="9"/>
          <w:sz w:val="13"/>
        </w:rPr>
        <w:t> </w:t>
      </w:r>
      <w:r>
        <w:rPr>
          <w:sz w:val="13"/>
        </w:rPr>
        <w:t>courts.</w:t>
      </w:r>
    </w:p>
    <w:p>
      <w:pPr>
        <w:pStyle w:val="ListParagraph"/>
        <w:numPr>
          <w:ilvl w:val="0"/>
          <w:numId w:val="39"/>
        </w:numPr>
        <w:tabs>
          <w:tab w:pos="2380" w:val="left" w:leader="none"/>
          <w:tab w:pos="2382" w:val="left" w:leader="none"/>
        </w:tabs>
        <w:spacing w:line="240" w:lineRule="auto" w:before="1" w:after="0"/>
        <w:ind w:left="2381" w:right="1669" w:hanging="794"/>
        <w:jc w:val="both"/>
        <w:rPr>
          <w:sz w:val="13"/>
        </w:rPr>
      </w:pPr>
      <w:r>
        <w:rPr>
          <w:sz w:val="13"/>
        </w:rPr>
        <w:t>The </w:t>
      </w:r>
      <w:r>
        <w:rPr>
          <w:spacing w:val="2"/>
          <w:sz w:val="13"/>
        </w:rPr>
        <w:t>Northern </w:t>
      </w:r>
      <w:r>
        <w:rPr>
          <w:sz w:val="13"/>
        </w:rPr>
        <w:t>Territory Civil and Administrative Tribunal has original jurisdiction to hear claims made pursuant to the </w:t>
      </w:r>
      <w:r>
        <w:rPr>
          <w:i/>
          <w:sz w:val="13"/>
        </w:rPr>
        <w:t>Small Claims Act </w:t>
      </w:r>
      <w:r>
        <w:rPr>
          <w:i/>
          <w:spacing w:val="-3"/>
          <w:sz w:val="13"/>
        </w:rPr>
        <w:t>2016       </w:t>
      </w:r>
      <w:r>
        <w:rPr>
          <w:i/>
          <w:spacing w:val="23"/>
          <w:sz w:val="13"/>
        </w:rPr>
        <w:t> </w:t>
      </w:r>
      <w:r>
        <w:rPr>
          <w:spacing w:val="4"/>
          <w:sz w:val="13"/>
        </w:rPr>
        <w:t>(NT). </w:t>
      </w:r>
      <w:r>
        <w:rPr>
          <w:sz w:val="13"/>
        </w:rPr>
        <w:t>A ‘small claim’ is $25 </w:t>
      </w:r>
      <w:r>
        <w:rPr>
          <w:spacing w:val="3"/>
          <w:sz w:val="13"/>
        </w:rPr>
        <w:t>000 </w:t>
      </w:r>
      <w:r>
        <w:rPr>
          <w:sz w:val="13"/>
        </w:rPr>
        <w:t>or </w:t>
      </w:r>
      <w:r>
        <w:rPr>
          <w:spacing w:val="2"/>
          <w:sz w:val="13"/>
        </w:rPr>
        <w:t>less: </w:t>
      </w:r>
      <w:r>
        <w:rPr>
          <w:i/>
          <w:sz w:val="13"/>
        </w:rPr>
        <w:t>Small Claims Act </w:t>
      </w:r>
      <w:r>
        <w:rPr>
          <w:i/>
          <w:spacing w:val="-3"/>
          <w:sz w:val="13"/>
        </w:rPr>
        <w:t>2016 </w:t>
      </w:r>
      <w:r>
        <w:rPr>
          <w:spacing w:val="4"/>
          <w:sz w:val="13"/>
        </w:rPr>
        <w:t>(NT) </w:t>
      </w:r>
      <w:r>
        <w:rPr>
          <w:sz w:val="13"/>
        </w:rPr>
        <w:t>s 6. Section </w:t>
      </w:r>
      <w:r>
        <w:rPr>
          <w:spacing w:val="-3"/>
          <w:sz w:val="13"/>
        </w:rPr>
        <w:t>13A </w:t>
      </w:r>
      <w:r>
        <w:rPr>
          <w:sz w:val="13"/>
        </w:rPr>
        <w:t>of the Local Court Act </w:t>
      </w:r>
      <w:r>
        <w:rPr>
          <w:spacing w:val="-3"/>
          <w:sz w:val="13"/>
        </w:rPr>
        <w:t>2015 </w:t>
      </w:r>
      <w:r>
        <w:rPr>
          <w:sz w:val="13"/>
        </w:rPr>
        <w:t>confers limited concurrent jurisdiction</w:t>
      </w:r>
      <w:r>
        <w:rPr>
          <w:spacing w:val="7"/>
          <w:sz w:val="13"/>
        </w:rPr>
        <w:t> </w:t>
      </w:r>
      <w:r>
        <w:rPr>
          <w:sz w:val="13"/>
        </w:rPr>
        <w:t>on</w:t>
      </w:r>
      <w:r>
        <w:rPr>
          <w:spacing w:val="7"/>
          <w:sz w:val="13"/>
        </w:rPr>
        <w:t> </w:t>
      </w:r>
      <w:r>
        <w:rPr>
          <w:sz w:val="13"/>
        </w:rPr>
        <w:t>the</w:t>
      </w:r>
      <w:r>
        <w:rPr>
          <w:spacing w:val="7"/>
          <w:sz w:val="13"/>
        </w:rPr>
        <w:t> </w:t>
      </w:r>
      <w:r>
        <w:rPr>
          <w:sz w:val="13"/>
        </w:rPr>
        <w:t>Local</w:t>
      </w:r>
      <w:r>
        <w:rPr>
          <w:spacing w:val="7"/>
          <w:sz w:val="13"/>
        </w:rPr>
        <w:t> </w:t>
      </w:r>
      <w:r>
        <w:rPr>
          <w:sz w:val="13"/>
        </w:rPr>
        <w:t>Court</w:t>
      </w:r>
      <w:r>
        <w:rPr>
          <w:spacing w:val="7"/>
          <w:sz w:val="13"/>
        </w:rPr>
        <w:t> </w:t>
      </w:r>
      <w:r>
        <w:rPr>
          <w:sz w:val="13"/>
        </w:rPr>
        <w:t>in</w:t>
      </w:r>
      <w:r>
        <w:rPr>
          <w:spacing w:val="7"/>
          <w:sz w:val="13"/>
        </w:rPr>
        <w:t> </w:t>
      </w:r>
      <w:r>
        <w:rPr>
          <w:sz w:val="13"/>
        </w:rPr>
        <w:t>relation</w:t>
      </w:r>
      <w:r>
        <w:rPr>
          <w:spacing w:val="7"/>
          <w:sz w:val="13"/>
        </w:rPr>
        <w:t> </w:t>
      </w:r>
      <w:r>
        <w:rPr>
          <w:sz w:val="13"/>
        </w:rPr>
        <w:t>to</w:t>
      </w:r>
      <w:r>
        <w:rPr>
          <w:spacing w:val="7"/>
          <w:sz w:val="13"/>
        </w:rPr>
        <w:t> </w:t>
      </w:r>
      <w:r>
        <w:rPr>
          <w:sz w:val="13"/>
        </w:rPr>
        <w:t>these</w:t>
      </w:r>
      <w:r>
        <w:rPr>
          <w:spacing w:val="7"/>
          <w:sz w:val="13"/>
        </w:rPr>
        <w:t> </w:t>
      </w:r>
      <w:r>
        <w:rPr>
          <w:sz w:val="13"/>
        </w:rPr>
        <w:t>claims.</w:t>
      </w:r>
    </w:p>
    <w:p>
      <w:pPr>
        <w:pStyle w:val="ListParagraph"/>
        <w:numPr>
          <w:ilvl w:val="0"/>
          <w:numId w:val="39"/>
        </w:numPr>
        <w:tabs>
          <w:tab w:pos="2380" w:val="left" w:leader="none"/>
          <w:tab w:pos="2382" w:val="left" w:leader="none"/>
        </w:tabs>
        <w:spacing w:line="240" w:lineRule="auto" w:before="4" w:after="0"/>
        <w:ind w:left="2381" w:right="0" w:hanging="794"/>
        <w:jc w:val="left"/>
        <w:rPr>
          <w:sz w:val="13"/>
        </w:rPr>
      </w:pPr>
      <w:r>
        <w:rPr/>
        <w:pict>
          <v:shape style="position:absolute;margin-left:36pt;margin-top:3.154466pt;width:13.3pt;height:14.25pt;mso-position-horizontal-relative:page;mso-position-vertical-relative:paragraph;z-index:4264" type="#_x0000_t202" filled="false" stroked="false">
            <v:textbox inset="0,0,0,0">
              <w:txbxContent>
                <w:p>
                  <w:pPr>
                    <w:spacing w:line="284" w:lineRule="exact" w:before="0"/>
                    <w:ind w:left="0" w:right="0" w:firstLine="0"/>
                    <w:jc w:val="left"/>
                    <w:rPr>
                      <w:b/>
                      <w:sz w:val="24"/>
                    </w:rPr>
                  </w:pPr>
                  <w:r>
                    <w:rPr>
                      <w:b/>
                      <w:color w:val="658464"/>
                      <w:spacing w:val="-1"/>
                      <w:w w:val="110"/>
                      <w:sz w:val="24"/>
                    </w:rPr>
                    <w:t>52</w:t>
                  </w:r>
                </w:p>
              </w:txbxContent>
            </v:textbox>
            <w10:wrap type="none"/>
          </v:shape>
        </w:pict>
      </w:r>
      <w:r>
        <w:rPr>
          <w:i/>
          <w:w w:val="105"/>
          <w:sz w:val="13"/>
        </w:rPr>
        <w:t>ACT</w:t>
      </w:r>
      <w:r>
        <w:rPr>
          <w:i/>
          <w:spacing w:val="4"/>
          <w:w w:val="105"/>
          <w:sz w:val="13"/>
        </w:rPr>
        <w:t> </w:t>
      </w:r>
      <w:r>
        <w:rPr>
          <w:i/>
          <w:w w:val="105"/>
          <w:sz w:val="13"/>
        </w:rPr>
        <w:t>Civil</w:t>
      </w:r>
      <w:r>
        <w:rPr>
          <w:i/>
          <w:spacing w:val="5"/>
          <w:w w:val="105"/>
          <w:sz w:val="13"/>
        </w:rPr>
        <w:t> </w:t>
      </w:r>
      <w:r>
        <w:rPr>
          <w:i/>
          <w:w w:val="105"/>
          <w:sz w:val="13"/>
        </w:rPr>
        <w:t>and</w:t>
      </w:r>
      <w:r>
        <w:rPr>
          <w:i/>
          <w:spacing w:val="5"/>
          <w:w w:val="105"/>
          <w:sz w:val="13"/>
        </w:rPr>
        <w:t> </w:t>
      </w:r>
      <w:r>
        <w:rPr>
          <w:i/>
          <w:w w:val="105"/>
          <w:sz w:val="13"/>
        </w:rPr>
        <w:t>Administrative</w:t>
      </w:r>
      <w:r>
        <w:rPr>
          <w:i/>
          <w:spacing w:val="5"/>
          <w:w w:val="105"/>
          <w:sz w:val="13"/>
        </w:rPr>
        <w:t> </w:t>
      </w:r>
      <w:r>
        <w:rPr>
          <w:i/>
          <w:w w:val="105"/>
          <w:sz w:val="13"/>
        </w:rPr>
        <w:t>Tribunal</w:t>
      </w:r>
      <w:r>
        <w:rPr>
          <w:i/>
          <w:spacing w:val="4"/>
          <w:w w:val="105"/>
          <w:sz w:val="13"/>
        </w:rPr>
        <w:t> </w:t>
      </w:r>
      <w:r>
        <w:rPr>
          <w:i/>
          <w:w w:val="105"/>
          <w:sz w:val="13"/>
        </w:rPr>
        <w:t>Act</w:t>
      </w:r>
      <w:r>
        <w:rPr>
          <w:i/>
          <w:spacing w:val="5"/>
          <w:w w:val="105"/>
          <w:sz w:val="13"/>
        </w:rPr>
        <w:t> </w:t>
      </w:r>
      <w:r>
        <w:rPr>
          <w:i/>
          <w:w w:val="105"/>
          <w:sz w:val="13"/>
        </w:rPr>
        <w:t>2008</w:t>
      </w:r>
      <w:r>
        <w:rPr>
          <w:i/>
          <w:spacing w:val="5"/>
          <w:w w:val="105"/>
          <w:sz w:val="13"/>
        </w:rPr>
        <w:t> </w:t>
      </w:r>
      <w:r>
        <w:rPr>
          <w:spacing w:val="2"/>
          <w:w w:val="105"/>
          <w:sz w:val="13"/>
        </w:rPr>
        <w:t>(ACT)</w:t>
      </w:r>
      <w:r>
        <w:rPr>
          <w:spacing w:val="5"/>
          <w:w w:val="105"/>
          <w:sz w:val="13"/>
        </w:rPr>
        <w:t> </w:t>
      </w:r>
      <w:r>
        <w:rPr>
          <w:w w:val="105"/>
          <w:sz w:val="13"/>
        </w:rPr>
        <w:t>s</w:t>
      </w:r>
      <w:r>
        <w:rPr>
          <w:spacing w:val="5"/>
          <w:w w:val="105"/>
          <w:sz w:val="13"/>
        </w:rPr>
        <w:t> </w:t>
      </w:r>
      <w:r>
        <w:rPr>
          <w:spacing w:val="3"/>
          <w:w w:val="105"/>
          <w:sz w:val="13"/>
        </w:rPr>
        <w:t>18(2)(a).</w:t>
      </w:r>
    </w:p>
    <w:p>
      <w:pPr>
        <w:pStyle w:val="ListParagraph"/>
        <w:numPr>
          <w:ilvl w:val="0"/>
          <w:numId w:val="39"/>
        </w:numPr>
        <w:tabs>
          <w:tab w:pos="2380" w:val="left" w:leader="none"/>
          <w:tab w:pos="2382" w:val="left" w:leader="none"/>
        </w:tabs>
        <w:spacing w:line="240" w:lineRule="auto" w:before="2" w:after="0"/>
        <w:ind w:left="2381" w:right="0" w:hanging="794"/>
        <w:jc w:val="left"/>
        <w:rPr>
          <w:sz w:val="13"/>
        </w:rPr>
      </w:pPr>
      <w:r>
        <w:rPr>
          <w:sz w:val="13"/>
        </w:rPr>
        <w:t>The</w:t>
      </w:r>
      <w:r>
        <w:rPr>
          <w:spacing w:val="8"/>
          <w:sz w:val="13"/>
        </w:rPr>
        <w:t> </w:t>
      </w:r>
      <w:r>
        <w:rPr>
          <w:sz w:val="13"/>
        </w:rPr>
        <w:t>jurisdictional</w:t>
      </w:r>
      <w:r>
        <w:rPr>
          <w:spacing w:val="9"/>
          <w:sz w:val="13"/>
        </w:rPr>
        <w:t> </w:t>
      </w:r>
      <w:r>
        <w:rPr>
          <w:sz w:val="13"/>
        </w:rPr>
        <w:t>limit</w:t>
      </w:r>
      <w:r>
        <w:rPr>
          <w:spacing w:val="9"/>
          <w:sz w:val="13"/>
        </w:rPr>
        <w:t> </w:t>
      </w:r>
      <w:r>
        <w:rPr>
          <w:sz w:val="13"/>
        </w:rPr>
        <w:t>of</w:t>
      </w:r>
      <w:r>
        <w:rPr>
          <w:spacing w:val="9"/>
          <w:sz w:val="13"/>
        </w:rPr>
        <w:t> </w:t>
      </w:r>
      <w:r>
        <w:rPr>
          <w:sz w:val="13"/>
        </w:rPr>
        <w:t>the</w:t>
      </w:r>
      <w:r>
        <w:rPr>
          <w:spacing w:val="9"/>
          <w:sz w:val="13"/>
        </w:rPr>
        <w:t> </w:t>
      </w:r>
      <w:r>
        <w:rPr>
          <w:sz w:val="13"/>
        </w:rPr>
        <w:t>ACT</w:t>
      </w:r>
      <w:r>
        <w:rPr>
          <w:spacing w:val="9"/>
          <w:sz w:val="13"/>
        </w:rPr>
        <w:t> </w:t>
      </w:r>
      <w:r>
        <w:rPr>
          <w:sz w:val="13"/>
        </w:rPr>
        <w:t>Magistrates</w:t>
      </w:r>
      <w:r>
        <w:rPr>
          <w:spacing w:val="9"/>
          <w:sz w:val="13"/>
        </w:rPr>
        <w:t> </w:t>
      </w:r>
      <w:r>
        <w:rPr>
          <w:sz w:val="13"/>
        </w:rPr>
        <w:t>Court</w:t>
      </w:r>
      <w:r>
        <w:rPr>
          <w:spacing w:val="9"/>
          <w:sz w:val="13"/>
        </w:rPr>
        <w:t> </w:t>
      </w:r>
      <w:r>
        <w:rPr>
          <w:sz w:val="13"/>
        </w:rPr>
        <w:t>is</w:t>
      </w:r>
      <w:r>
        <w:rPr>
          <w:spacing w:val="9"/>
          <w:sz w:val="13"/>
        </w:rPr>
        <w:t> </w:t>
      </w:r>
      <w:r>
        <w:rPr>
          <w:spacing w:val="2"/>
          <w:sz w:val="13"/>
        </w:rPr>
        <w:t>$250,000:</w:t>
      </w:r>
      <w:r>
        <w:rPr>
          <w:spacing w:val="9"/>
          <w:sz w:val="13"/>
        </w:rPr>
        <w:t> </w:t>
      </w:r>
      <w:r>
        <w:rPr>
          <w:i/>
          <w:sz w:val="13"/>
        </w:rPr>
        <w:t>Magistrates</w:t>
      </w:r>
      <w:r>
        <w:rPr>
          <w:i/>
          <w:spacing w:val="9"/>
          <w:sz w:val="13"/>
        </w:rPr>
        <w:t> </w:t>
      </w:r>
      <w:r>
        <w:rPr>
          <w:i/>
          <w:sz w:val="13"/>
        </w:rPr>
        <w:t>Court</w:t>
      </w:r>
      <w:r>
        <w:rPr>
          <w:i/>
          <w:spacing w:val="9"/>
          <w:sz w:val="13"/>
        </w:rPr>
        <w:t> </w:t>
      </w:r>
      <w:r>
        <w:rPr>
          <w:i/>
          <w:sz w:val="13"/>
        </w:rPr>
        <w:t>Act</w:t>
      </w:r>
      <w:r>
        <w:rPr>
          <w:i/>
          <w:spacing w:val="8"/>
          <w:sz w:val="13"/>
        </w:rPr>
        <w:t> </w:t>
      </w:r>
      <w:r>
        <w:rPr>
          <w:i/>
          <w:sz w:val="13"/>
        </w:rPr>
        <w:t>1930</w:t>
      </w:r>
      <w:r>
        <w:rPr>
          <w:i/>
          <w:spacing w:val="9"/>
          <w:sz w:val="13"/>
        </w:rPr>
        <w:t> </w:t>
      </w:r>
      <w:r>
        <w:rPr>
          <w:spacing w:val="2"/>
          <w:sz w:val="13"/>
        </w:rPr>
        <w:t>(ACT)</w:t>
      </w:r>
      <w:r>
        <w:rPr>
          <w:spacing w:val="9"/>
          <w:sz w:val="13"/>
        </w:rPr>
        <w:t> </w:t>
      </w:r>
      <w:r>
        <w:rPr>
          <w:sz w:val="13"/>
        </w:rPr>
        <w:t>s</w:t>
      </w:r>
      <w:r>
        <w:rPr>
          <w:spacing w:val="9"/>
          <w:sz w:val="13"/>
        </w:rPr>
        <w:t> </w:t>
      </w:r>
      <w:r>
        <w:rPr>
          <w:spacing w:val="-3"/>
          <w:sz w:val="13"/>
        </w:rPr>
        <w:t>257.</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11"/>
        <w:rPr>
          <w:sz w:val="17"/>
        </w:rPr>
      </w:pPr>
    </w:p>
    <w:p>
      <w:pPr>
        <w:pStyle w:val="Heading5"/>
        <w:spacing w:before="96"/>
      </w:pPr>
      <w:r>
        <w:rPr>
          <w:w w:val="110"/>
        </w:rPr>
        <w:t>Tree dispute Acts in other states</w:t>
      </w:r>
    </w:p>
    <w:p>
      <w:pPr>
        <w:pStyle w:val="ListParagraph"/>
        <w:numPr>
          <w:ilvl w:val="1"/>
          <w:numId w:val="16"/>
        </w:numPr>
        <w:tabs>
          <w:tab w:pos="2381" w:val="left" w:leader="none"/>
          <w:tab w:pos="2382" w:val="left" w:leader="none"/>
        </w:tabs>
        <w:spacing w:line="242" w:lineRule="auto" w:before="137" w:after="0"/>
        <w:ind w:left="2381" w:right="1946" w:hanging="794"/>
        <w:jc w:val="left"/>
        <w:rPr>
          <w:sz w:val="21"/>
        </w:rPr>
      </w:pPr>
      <w:r>
        <w:rPr>
          <w:w w:val="105"/>
          <w:sz w:val="21"/>
        </w:rPr>
        <w:t>Specific Acts </w:t>
      </w:r>
      <w:r>
        <w:rPr>
          <w:spacing w:val="-3"/>
          <w:w w:val="105"/>
          <w:sz w:val="21"/>
        </w:rPr>
        <w:t>have </w:t>
      </w:r>
      <w:r>
        <w:rPr>
          <w:w w:val="105"/>
          <w:sz w:val="21"/>
        </w:rPr>
        <w:t>been </w:t>
      </w:r>
      <w:r>
        <w:rPr>
          <w:spacing w:val="-3"/>
          <w:w w:val="105"/>
          <w:sz w:val="21"/>
        </w:rPr>
        <w:t>introduced </w:t>
      </w:r>
      <w:r>
        <w:rPr>
          <w:w w:val="105"/>
          <w:sz w:val="21"/>
        </w:rPr>
        <w:t>in New South </w:t>
      </w:r>
      <w:r>
        <w:rPr>
          <w:spacing w:val="-3"/>
          <w:w w:val="105"/>
          <w:sz w:val="21"/>
        </w:rPr>
        <w:t>Wales, Queensland </w:t>
      </w:r>
      <w:r>
        <w:rPr>
          <w:w w:val="105"/>
          <w:sz w:val="21"/>
        </w:rPr>
        <w:t>and </w:t>
      </w:r>
      <w:r>
        <w:rPr>
          <w:spacing w:val="-5"/>
          <w:w w:val="105"/>
          <w:sz w:val="21"/>
        </w:rPr>
        <w:t>Tasmania </w:t>
      </w:r>
      <w:r>
        <w:rPr>
          <w:spacing w:val="-3"/>
          <w:w w:val="105"/>
          <w:sz w:val="21"/>
        </w:rPr>
        <w:t>to </w:t>
      </w:r>
      <w:r>
        <w:rPr>
          <w:w w:val="105"/>
          <w:sz w:val="21"/>
        </w:rPr>
        <w:t>help neighbours on </w:t>
      </w:r>
      <w:r>
        <w:rPr>
          <w:spacing w:val="-3"/>
          <w:w w:val="105"/>
          <w:sz w:val="21"/>
        </w:rPr>
        <w:t>private land </w:t>
      </w:r>
      <w:r>
        <w:rPr>
          <w:w w:val="105"/>
          <w:sz w:val="21"/>
        </w:rPr>
        <w:t>resolve their tree </w:t>
      </w:r>
      <w:r>
        <w:rPr>
          <w:spacing w:val="-3"/>
          <w:w w:val="105"/>
          <w:sz w:val="21"/>
        </w:rPr>
        <w:t>disputes.</w:t>
      </w:r>
      <w:r>
        <w:rPr>
          <w:spacing w:val="-3"/>
          <w:w w:val="105"/>
          <w:position w:val="7"/>
          <w:sz w:val="12"/>
        </w:rPr>
        <w:t>6 </w:t>
      </w:r>
      <w:r>
        <w:rPr>
          <w:w w:val="105"/>
          <w:sz w:val="21"/>
        </w:rPr>
        <w:t>The </w:t>
      </w:r>
      <w:r>
        <w:rPr>
          <w:spacing w:val="-4"/>
          <w:w w:val="105"/>
          <w:sz w:val="21"/>
        </w:rPr>
        <w:t>key </w:t>
      </w:r>
      <w:r>
        <w:rPr>
          <w:spacing w:val="-3"/>
          <w:w w:val="105"/>
          <w:sz w:val="21"/>
        </w:rPr>
        <w:t>features </w:t>
      </w:r>
      <w:r>
        <w:rPr>
          <w:w w:val="105"/>
          <w:sz w:val="21"/>
        </w:rPr>
        <w:t>of these Acts </w:t>
      </w:r>
      <w:r>
        <w:rPr>
          <w:spacing w:val="-3"/>
          <w:w w:val="105"/>
          <w:sz w:val="21"/>
        </w:rPr>
        <w:t>are </w:t>
      </w:r>
      <w:r>
        <w:rPr>
          <w:w w:val="105"/>
          <w:sz w:val="21"/>
        </w:rPr>
        <w:t>discussed </w:t>
      </w:r>
      <w:r>
        <w:rPr>
          <w:spacing w:val="-3"/>
          <w:w w:val="105"/>
          <w:sz w:val="21"/>
        </w:rPr>
        <w:t>throughout </w:t>
      </w:r>
      <w:r>
        <w:rPr>
          <w:w w:val="105"/>
          <w:sz w:val="21"/>
        </w:rPr>
        <w:t>this</w:t>
      </w:r>
      <w:r>
        <w:rPr>
          <w:spacing w:val="29"/>
          <w:w w:val="105"/>
          <w:sz w:val="21"/>
        </w:rPr>
        <w:t> </w:t>
      </w:r>
      <w:r>
        <w:rPr>
          <w:w w:val="105"/>
          <w:sz w:val="21"/>
        </w:rPr>
        <w:t>report.</w:t>
      </w:r>
    </w:p>
    <w:p>
      <w:pPr>
        <w:pStyle w:val="ListParagraph"/>
        <w:numPr>
          <w:ilvl w:val="1"/>
          <w:numId w:val="16"/>
        </w:numPr>
        <w:tabs>
          <w:tab w:pos="2380" w:val="left" w:leader="none"/>
          <w:tab w:pos="2382" w:val="left" w:leader="none"/>
        </w:tabs>
        <w:spacing w:line="242" w:lineRule="auto" w:before="123" w:after="0"/>
        <w:ind w:left="2381" w:right="2049" w:hanging="794"/>
        <w:jc w:val="left"/>
        <w:rPr>
          <w:sz w:val="21"/>
        </w:rPr>
      </w:pPr>
      <w:r>
        <w:rPr>
          <w:w w:val="105"/>
          <w:sz w:val="21"/>
        </w:rPr>
        <w:t>These Acts </w:t>
      </w:r>
      <w:r>
        <w:rPr>
          <w:spacing w:val="-3"/>
          <w:w w:val="105"/>
          <w:sz w:val="21"/>
        </w:rPr>
        <w:t>were introduced following </w:t>
      </w:r>
      <w:r>
        <w:rPr>
          <w:w w:val="105"/>
          <w:sz w:val="21"/>
        </w:rPr>
        <w:t>reviews by law </w:t>
      </w:r>
      <w:r>
        <w:rPr>
          <w:spacing w:val="-3"/>
          <w:w w:val="105"/>
          <w:sz w:val="21"/>
        </w:rPr>
        <w:t>reform </w:t>
      </w:r>
      <w:r>
        <w:rPr>
          <w:w w:val="105"/>
          <w:sz w:val="21"/>
        </w:rPr>
        <w:t>bodies and </w:t>
      </w:r>
      <w:r>
        <w:rPr>
          <w:spacing w:val="-3"/>
          <w:w w:val="105"/>
          <w:sz w:val="21"/>
        </w:rPr>
        <w:t>government agencies</w:t>
      </w:r>
      <w:r>
        <w:rPr>
          <w:spacing w:val="-3"/>
          <w:w w:val="105"/>
          <w:position w:val="7"/>
          <w:sz w:val="12"/>
        </w:rPr>
        <w:t>7 </w:t>
      </w:r>
      <w:r>
        <w:rPr>
          <w:spacing w:val="-3"/>
          <w:w w:val="105"/>
          <w:sz w:val="21"/>
        </w:rPr>
        <w:t>that </w:t>
      </w:r>
      <w:r>
        <w:rPr>
          <w:w w:val="105"/>
          <w:sz w:val="21"/>
        </w:rPr>
        <w:t>recommended new </w:t>
      </w:r>
      <w:r>
        <w:rPr>
          <w:spacing w:val="-3"/>
          <w:w w:val="105"/>
          <w:sz w:val="21"/>
        </w:rPr>
        <w:t>legislation to </w:t>
      </w:r>
      <w:r>
        <w:rPr>
          <w:w w:val="105"/>
          <w:sz w:val="21"/>
        </w:rPr>
        <w:t>provide a </w:t>
      </w:r>
      <w:r>
        <w:rPr>
          <w:spacing w:val="-4"/>
          <w:w w:val="105"/>
          <w:sz w:val="21"/>
        </w:rPr>
        <w:t>‘simple, </w:t>
      </w:r>
      <w:r>
        <w:rPr>
          <w:w w:val="105"/>
          <w:sz w:val="21"/>
        </w:rPr>
        <w:t>inexpensive and </w:t>
      </w:r>
      <w:r>
        <w:rPr>
          <w:spacing w:val="-3"/>
          <w:w w:val="105"/>
          <w:sz w:val="21"/>
        </w:rPr>
        <w:t>accessible </w:t>
      </w:r>
      <w:r>
        <w:rPr>
          <w:w w:val="105"/>
          <w:sz w:val="21"/>
        </w:rPr>
        <w:t>process </w:t>
      </w:r>
      <w:r>
        <w:rPr>
          <w:spacing w:val="-3"/>
          <w:w w:val="105"/>
          <w:sz w:val="21"/>
        </w:rPr>
        <w:t>for </w:t>
      </w:r>
      <w:r>
        <w:rPr>
          <w:w w:val="105"/>
          <w:sz w:val="21"/>
        </w:rPr>
        <w:t>resolving tree</w:t>
      </w:r>
      <w:r>
        <w:rPr>
          <w:spacing w:val="25"/>
          <w:w w:val="105"/>
          <w:sz w:val="21"/>
        </w:rPr>
        <w:t> </w:t>
      </w:r>
      <w:r>
        <w:rPr>
          <w:spacing w:val="-4"/>
          <w:w w:val="105"/>
          <w:sz w:val="21"/>
        </w:rPr>
        <w:t>disputes’.</w:t>
      </w:r>
      <w:r>
        <w:rPr>
          <w:spacing w:val="-4"/>
          <w:w w:val="105"/>
          <w:position w:val="7"/>
          <w:sz w:val="12"/>
        </w:rPr>
        <w:t>8</w:t>
      </w:r>
    </w:p>
    <w:p>
      <w:pPr>
        <w:pStyle w:val="ListParagraph"/>
        <w:numPr>
          <w:ilvl w:val="1"/>
          <w:numId w:val="16"/>
        </w:numPr>
        <w:tabs>
          <w:tab w:pos="2381" w:val="left" w:leader="none"/>
          <w:tab w:pos="2382" w:val="left" w:leader="none"/>
        </w:tabs>
        <w:spacing w:line="240" w:lineRule="auto" w:before="124" w:after="0"/>
        <w:ind w:left="2381" w:right="0" w:hanging="794"/>
        <w:jc w:val="left"/>
        <w:rPr>
          <w:sz w:val="21"/>
        </w:rPr>
      </w:pPr>
      <w:r>
        <w:rPr>
          <w:w w:val="105"/>
          <w:sz w:val="21"/>
        </w:rPr>
        <w:t>These Acts</w:t>
      </w:r>
      <w:r>
        <w:rPr>
          <w:spacing w:val="10"/>
          <w:w w:val="105"/>
          <w:sz w:val="21"/>
        </w:rPr>
        <w:t> </w:t>
      </w:r>
      <w:r>
        <w:rPr>
          <w:w w:val="105"/>
          <w:sz w:val="21"/>
        </w:rPr>
        <w:t>identify:</w:t>
      </w:r>
    </w:p>
    <w:p>
      <w:pPr>
        <w:pStyle w:val="ListParagraph"/>
        <w:numPr>
          <w:ilvl w:val="2"/>
          <w:numId w:val="16"/>
        </w:numPr>
        <w:tabs>
          <w:tab w:pos="2721" w:val="left" w:leader="none"/>
          <w:tab w:pos="2722" w:val="left" w:leader="none"/>
        </w:tabs>
        <w:spacing w:line="240" w:lineRule="auto" w:before="123" w:after="0"/>
        <w:ind w:left="2721" w:right="0" w:hanging="340"/>
        <w:jc w:val="left"/>
        <w:rPr>
          <w:sz w:val="21"/>
        </w:rPr>
      </w:pPr>
      <w:r>
        <w:rPr>
          <w:sz w:val="21"/>
        </w:rPr>
        <w:t>the rights and </w:t>
      </w:r>
      <w:r>
        <w:rPr>
          <w:spacing w:val="-3"/>
          <w:sz w:val="21"/>
        </w:rPr>
        <w:t>responsibilities </w:t>
      </w:r>
      <w:r>
        <w:rPr>
          <w:sz w:val="21"/>
        </w:rPr>
        <w:t>of</w:t>
      </w:r>
      <w:r>
        <w:rPr>
          <w:spacing w:val="45"/>
          <w:sz w:val="21"/>
        </w:rPr>
        <w:t> </w:t>
      </w:r>
      <w:r>
        <w:rPr>
          <w:sz w:val="21"/>
        </w:rPr>
        <w:t>parties</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the</w:t>
      </w:r>
      <w:r>
        <w:rPr>
          <w:spacing w:val="3"/>
          <w:w w:val="105"/>
          <w:sz w:val="21"/>
        </w:rPr>
        <w:t> </w:t>
      </w:r>
      <w:r>
        <w:rPr>
          <w:w w:val="105"/>
          <w:sz w:val="21"/>
        </w:rPr>
        <w:t>specific</w:t>
      </w:r>
      <w:r>
        <w:rPr>
          <w:spacing w:val="4"/>
          <w:w w:val="105"/>
          <w:sz w:val="21"/>
        </w:rPr>
        <w:t> </w:t>
      </w:r>
      <w:r>
        <w:rPr>
          <w:w w:val="105"/>
          <w:sz w:val="21"/>
        </w:rPr>
        <w:t>causes</w:t>
      </w:r>
      <w:r>
        <w:rPr>
          <w:spacing w:val="4"/>
          <w:w w:val="105"/>
          <w:sz w:val="21"/>
        </w:rPr>
        <w:t> </w:t>
      </w:r>
      <w:r>
        <w:rPr>
          <w:w w:val="105"/>
          <w:sz w:val="21"/>
        </w:rPr>
        <w:t>of</w:t>
      </w:r>
      <w:r>
        <w:rPr>
          <w:spacing w:val="4"/>
          <w:w w:val="105"/>
          <w:sz w:val="21"/>
        </w:rPr>
        <w:t> </w:t>
      </w:r>
      <w:r>
        <w:rPr>
          <w:w w:val="105"/>
          <w:sz w:val="21"/>
        </w:rPr>
        <w:t>action</w:t>
      </w:r>
      <w:r>
        <w:rPr>
          <w:spacing w:val="3"/>
          <w:w w:val="105"/>
          <w:sz w:val="21"/>
        </w:rPr>
        <w:t> </w:t>
      </w:r>
      <w:r>
        <w:rPr>
          <w:spacing w:val="-3"/>
          <w:w w:val="105"/>
          <w:sz w:val="21"/>
        </w:rPr>
        <w:t>that</w:t>
      </w:r>
      <w:r>
        <w:rPr>
          <w:spacing w:val="4"/>
          <w:w w:val="105"/>
          <w:sz w:val="21"/>
        </w:rPr>
        <w:t> </w:t>
      </w:r>
      <w:r>
        <w:rPr>
          <w:w w:val="105"/>
          <w:sz w:val="21"/>
        </w:rPr>
        <w:t>can</w:t>
      </w:r>
      <w:r>
        <w:rPr>
          <w:spacing w:val="4"/>
          <w:w w:val="105"/>
          <w:sz w:val="21"/>
        </w:rPr>
        <w:t> </w:t>
      </w:r>
      <w:r>
        <w:rPr>
          <w:w w:val="105"/>
          <w:sz w:val="21"/>
        </w:rPr>
        <w:t>be</w:t>
      </w:r>
      <w:r>
        <w:rPr>
          <w:spacing w:val="4"/>
          <w:w w:val="105"/>
          <w:sz w:val="21"/>
        </w:rPr>
        <w:t> </w:t>
      </w:r>
      <w:r>
        <w:rPr>
          <w:spacing w:val="-3"/>
          <w:w w:val="105"/>
          <w:sz w:val="21"/>
        </w:rPr>
        <w:t>relied</w:t>
      </w:r>
      <w:r>
        <w:rPr>
          <w:spacing w:val="3"/>
          <w:w w:val="105"/>
          <w:sz w:val="21"/>
        </w:rPr>
        <w:t> </w:t>
      </w:r>
      <w:r>
        <w:rPr>
          <w:w w:val="105"/>
          <w:sz w:val="21"/>
        </w:rPr>
        <w:t>upon</w:t>
      </w:r>
      <w:r>
        <w:rPr>
          <w:spacing w:val="4"/>
          <w:w w:val="105"/>
          <w:sz w:val="21"/>
        </w:rPr>
        <w:t> </w:t>
      </w:r>
      <w:r>
        <w:rPr>
          <w:spacing w:val="-3"/>
          <w:w w:val="105"/>
          <w:sz w:val="21"/>
        </w:rPr>
        <w:t>to</w:t>
      </w:r>
      <w:r>
        <w:rPr>
          <w:spacing w:val="4"/>
          <w:w w:val="105"/>
          <w:sz w:val="21"/>
        </w:rPr>
        <w:t> </w:t>
      </w:r>
      <w:r>
        <w:rPr>
          <w:spacing w:val="-3"/>
          <w:w w:val="105"/>
          <w:sz w:val="21"/>
        </w:rPr>
        <w:t>bring</w:t>
      </w:r>
      <w:r>
        <w:rPr>
          <w:spacing w:val="4"/>
          <w:w w:val="105"/>
          <w:sz w:val="21"/>
        </w:rPr>
        <w:t> </w:t>
      </w:r>
      <w:r>
        <w:rPr>
          <w:w w:val="105"/>
          <w:sz w:val="21"/>
        </w:rPr>
        <w:t>legal</w:t>
      </w:r>
      <w:r>
        <w:rPr>
          <w:spacing w:val="4"/>
          <w:w w:val="105"/>
          <w:sz w:val="21"/>
        </w:rPr>
        <w:t> </w:t>
      </w:r>
      <w:r>
        <w:rPr>
          <w:w w:val="105"/>
          <w:sz w:val="21"/>
        </w:rPr>
        <w:t>action</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the decision-making </w:t>
      </w:r>
      <w:r>
        <w:rPr>
          <w:spacing w:val="-3"/>
          <w:w w:val="105"/>
          <w:sz w:val="21"/>
        </w:rPr>
        <w:t>principles that will </w:t>
      </w:r>
      <w:r>
        <w:rPr>
          <w:w w:val="105"/>
          <w:sz w:val="21"/>
        </w:rPr>
        <w:t>guide the decision</w:t>
      </w:r>
      <w:r>
        <w:rPr>
          <w:spacing w:val="41"/>
          <w:w w:val="105"/>
          <w:sz w:val="21"/>
        </w:rPr>
        <w:t> </w:t>
      </w:r>
      <w:r>
        <w:rPr>
          <w:spacing w:val="-4"/>
          <w:w w:val="105"/>
          <w:sz w:val="21"/>
        </w:rPr>
        <w:t>maker</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w w:val="105"/>
          <w:sz w:val="21"/>
        </w:rPr>
        <w:t>the types of orders </w:t>
      </w:r>
      <w:r>
        <w:rPr>
          <w:spacing w:val="-3"/>
          <w:w w:val="105"/>
          <w:sz w:val="21"/>
        </w:rPr>
        <w:t>that </w:t>
      </w:r>
      <w:r>
        <w:rPr>
          <w:w w:val="105"/>
          <w:sz w:val="21"/>
        </w:rPr>
        <w:t>can be</w:t>
      </w:r>
      <w:r>
        <w:rPr>
          <w:spacing w:val="37"/>
          <w:w w:val="105"/>
          <w:sz w:val="21"/>
        </w:rPr>
        <w:t> </w:t>
      </w:r>
      <w:r>
        <w:rPr>
          <w:spacing w:val="-3"/>
          <w:w w:val="105"/>
          <w:sz w:val="21"/>
        </w:rPr>
        <w:t>made.</w:t>
      </w:r>
    </w:p>
    <w:p>
      <w:pPr>
        <w:pStyle w:val="ListParagraph"/>
        <w:numPr>
          <w:ilvl w:val="1"/>
          <w:numId w:val="16"/>
        </w:numPr>
        <w:tabs>
          <w:tab w:pos="2381" w:val="left" w:leader="none"/>
          <w:tab w:pos="2382" w:val="left" w:leader="none"/>
        </w:tabs>
        <w:spacing w:line="242" w:lineRule="auto" w:before="89" w:after="0"/>
        <w:ind w:left="2381" w:right="1816" w:hanging="794"/>
        <w:jc w:val="left"/>
        <w:rPr>
          <w:sz w:val="21"/>
        </w:rPr>
      </w:pPr>
      <w:r>
        <w:rPr>
          <w:w w:val="105"/>
          <w:sz w:val="21"/>
        </w:rPr>
        <w:t>Cases</w:t>
      </w:r>
      <w:r>
        <w:rPr>
          <w:spacing w:val="-9"/>
          <w:w w:val="105"/>
          <w:sz w:val="21"/>
        </w:rPr>
        <w:t> </w:t>
      </w:r>
      <w:r>
        <w:rPr>
          <w:w w:val="105"/>
          <w:sz w:val="21"/>
        </w:rPr>
        <w:t>under</w:t>
      </w:r>
      <w:r>
        <w:rPr>
          <w:spacing w:val="-9"/>
          <w:w w:val="105"/>
          <w:sz w:val="21"/>
        </w:rPr>
        <w:t> </w:t>
      </w:r>
      <w:r>
        <w:rPr>
          <w:w w:val="105"/>
          <w:sz w:val="21"/>
        </w:rPr>
        <w:t>the</w:t>
      </w:r>
      <w:r>
        <w:rPr>
          <w:spacing w:val="-8"/>
          <w:w w:val="105"/>
          <w:sz w:val="21"/>
        </w:rPr>
        <w:t> </w:t>
      </w:r>
      <w:r>
        <w:rPr>
          <w:w w:val="105"/>
          <w:sz w:val="21"/>
        </w:rPr>
        <w:t>interstate</w:t>
      </w:r>
      <w:r>
        <w:rPr>
          <w:spacing w:val="-9"/>
          <w:w w:val="105"/>
          <w:sz w:val="21"/>
        </w:rPr>
        <w:t> </w:t>
      </w:r>
      <w:r>
        <w:rPr>
          <w:w w:val="105"/>
          <w:sz w:val="21"/>
        </w:rPr>
        <w:t>Acts</w:t>
      </w:r>
      <w:r>
        <w:rPr>
          <w:spacing w:val="-8"/>
          <w:w w:val="105"/>
          <w:sz w:val="21"/>
        </w:rPr>
        <w:t> </w:t>
      </w:r>
      <w:r>
        <w:rPr>
          <w:spacing w:val="-3"/>
          <w:w w:val="105"/>
          <w:sz w:val="21"/>
        </w:rPr>
        <w:t>are</w:t>
      </w:r>
      <w:r>
        <w:rPr>
          <w:spacing w:val="-9"/>
          <w:w w:val="105"/>
          <w:sz w:val="21"/>
        </w:rPr>
        <w:t> </w:t>
      </w:r>
      <w:r>
        <w:rPr>
          <w:spacing w:val="-3"/>
          <w:w w:val="105"/>
          <w:sz w:val="21"/>
        </w:rPr>
        <w:t>heard</w:t>
      </w:r>
      <w:r>
        <w:rPr>
          <w:spacing w:val="-8"/>
          <w:w w:val="105"/>
          <w:sz w:val="21"/>
        </w:rPr>
        <w:t> </w:t>
      </w:r>
      <w:r>
        <w:rPr>
          <w:w w:val="105"/>
          <w:sz w:val="21"/>
        </w:rPr>
        <w:t>in</w:t>
      </w:r>
      <w:r>
        <w:rPr>
          <w:spacing w:val="-9"/>
          <w:w w:val="105"/>
          <w:sz w:val="21"/>
        </w:rPr>
        <w:t> </w:t>
      </w:r>
      <w:r>
        <w:rPr>
          <w:w w:val="105"/>
          <w:sz w:val="21"/>
        </w:rPr>
        <w:t>either</w:t>
      </w:r>
      <w:r>
        <w:rPr>
          <w:spacing w:val="-8"/>
          <w:w w:val="105"/>
          <w:sz w:val="21"/>
        </w:rPr>
        <w:t> </w:t>
      </w:r>
      <w:r>
        <w:rPr>
          <w:w w:val="105"/>
          <w:sz w:val="21"/>
        </w:rPr>
        <w:t>in</w:t>
      </w:r>
      <w:r>
        <w:rPr>
          <w:spacing w:val="-9"/>
          <w:w w:val="105"/>
          <w:sz w:val="21"/>
        </w:rPr>
        <w:t> </w:t>
      </w:r>
      <w:r>
        <w:rPr>
          <w:w w:val="105"/>
          <w:sz w:val="21"/>
        </w:rPr>
        <w:t>a</w:t>
      </w:r>
      <w:r>
        <w:rPr>
          <w:spacing w:val="-8"/>
          <w:w w:val="105"/>
          <w:sz w:val="21"/>
        </w:rPr>
        <w:t> </w:t>
      </w:r>
      <w:r>
        <w:rPr>
          <w:spacing w:val="-3"/>
          <w:w w:val="105"/>
          <w:sz w:val="21"/>
        </w:rPr>
        <w:t>tribunal</w:t>
      </w:r>
      <w:r>
        <w:rPr>
          <w:spacing w:val="-9"/>
          <w:w w:val="105"/>
          <w:sz w:val="21"/>
        </w:rPr>
        <w:t> </w:t>
      </w:r>
      <w:r>
        <w:rPr>
          <w:w w:val="105"/>
          <w:sz w:val="21"/>
        </w:rPr>
        <w:t>or</w:t>
      </w:r>
      <w:r>
        <w:rPr>
          <w:spacing w:val="-8"/>
          <w:w w:val="105"/>
          <w:sz w:val="21"/>
        </w:rPr>
        <w:t> </w:t>
      </w:r>
      <w:r>
        <w:rPr>
          <w:w w:val="105"/>
          <w:sz w:val="21"/>
        </w:rPr>
        <w:t>in</w:t>
      </w:r>
      <w:r>
        <w:rPr>
          <w:spacing w:val="-9"/>
          <w:w w:val="105"/>
          <w:sz w:val="21"/>
        </w:rPr>
        <w:t> </w:t>
      </w:r>
      <w:r>
        <w:rPr>
          <w:w w:val="105"/>
          <w:sz w:val="21"/>
        </w:rPr>
        <w:t>a</w:t>
      </w:r>
      <w:r>
        <w:rPr>
          <w:spacing w:val="-8"/>
          <w:w w:val="105"/>
          <w:sz w:val="21"/>
        </w:rPr>
        <w:t> </w:t>
      </w:r>
      <w:r>
        <w:rPr>
          <w:w w:val="105"/>
          <w:sz w:val="21"/>
        </w:rPr>
        <w:t>specialised</w:t>
      </w:r>
      <w:r>
        <w:rPr>
          <w:spacing w:val="-9"/>
          <w:w w:val="105"/>
          <w:sz w:val="21"/>
        </w:rPr>
        <w:t> </w:t>
      </w:r>
      <w:r>
        <w:rPr>
          <w:w w:val="105"/>
          <w:sz w:val="21"/>
        </w:rPr>
        <w:t>court, which each </w:t>
      </w:r>
      <w:r>
        <w:rPr>
          <w:spacing w:val="-3"/>
          <w:w w:val="105"/>
          <w:sz w:val="21"/>
        </w:rPr>
        <w:t>focusing </w:t>
      </w:r>
      <w:r>
        <w:rPr>
          <w:w w:val="105"/>
          <w:sz w:val="21"/>
        </w:rPr>
        <w:t>on </w:t>
      </w:r>
      <w:r>
        <w:rPr>
          <w:spacing w:val="-3"/>
          <w:w w:val="105"/>
          <w:sz w:val="21"/>
        </w:rPr>
        <w:t>quick, </w:t>
      </w:r>
      <w:r>
        <w:rPr>
          <w:w w:val="105"/>
          <w:sz w:val="21"/>
        </w:rPr>
        <w:t>cheap and efficient </w:t>
      </w:r>
      <w:r>
        <w:rPr>
          <w:spacing w:val="-3"/>
          <w:w w:val="105"/>
          <w:sz w:val="21"/>
        </w:rPr>
        <w:t>dispute resolution.</w:t>
      </w:r>
      <w:r>
        <w:rPr>
          <w:spacing w:val="-3"/>
          <w:w w:val="105"/>
          <w:position w:val="7"/>
          <w:sz w:val="12"/>
        </w:rPr>
        <w:t>9 </w:t>
      </w:r>
      <w:r>
        <w:rPr>
          <w:w w:val="105"/>
          <w:sz w:val="21"/>
        </w:rPr>
        <w:t>In New South </w:t>
      </w:r>
      <w:r>
        <w:rPr>
          <w:spacing w:val="-3"/>
          <w:w w:val="105"/>
          <w:sz w:val="21"/>
        </w:rPr>
        <w:t>Wales, </w:t>
      </w:r>
      <w:r>
        <w:rPr>
          <w:w w:val="105"/>
          <w:sz w:val="21"/>
        </w:rPr>
        <w:t>cases </w:t>
      </w:r>
      <w:r>
        <w:rPr>
          <w:spacing w:val="-3"/>
          <w:w w:val="105"/>
          <w:sz w:val="21"/>
        </w:rPr>
        <w:t>are heard </w:t>
      </w:r>
      <w:r>
        <w:rPr>
          <w:w w:val="105"/>
          <w:sz w:val="21"/>
        </w:rPr>
        <w:t>by specialist </w:t>
      </w:r>
      <w:r>
        <w:rPr>
          <w:spacing w:val="-3"/>
          <w:w w:val="105"/>
          <w:sz w:val="21"/>
        </w:rPr>
        <w:t>Commissioners </w:t>
      </w:r>
      <w:r>
        <w:rPr>
          <w:w w:val="105"/>
          <w:sz w:val="21"/>
        </w:rPr>
        <w:t>with </w:t>
      </w:r>
      <w:r>
        <w:rPr>
          <w:spacing w:val="-3"/>
          <w:w w:val="105"/>
          <w:sz w:val="21"/>
        </w:rPr>
        <w:t>arboricultural </w:t>
      </w:r>
      <w:r>
        <w:rPr>
          <w:w w:val="105"/>
          <w:sz w:val="21"/>
        </w:rPr>
        <w:t>experience and </w:t>
      </w:r>
      <w:r>
        <w:rPr>
          <w:spacing w:val="-3"/>
          <w:w w:val="105"/>
          <w:sz w:val="21"/>
        </w:rPr>
        <w:t>hearings are generally </w:t>
      </w:r>
      <w:r>
        <w:rPr>
          <w:w w:val="105"/>
          <w:sz w:val="21"/>
        </w:rPr>
        <w:t>conducted on </w:t>
      </w:r>
      <w:r>
        <w:rPr>
          <w:spacing w:val="-6"/>
          <w:w w:val="105"/>
          <w:sz w:val="21"/>
        </w:rPr>
        <w:t>site.</w:t>
      </w:r>
      <w:r>
        <w:rPr>
          <w:spacing w:val="-6"/>
          <w:w w:val="105"/>
          <w:position w:val="7"/>
          <w:sz w:val="12"/>
        </w:rPr>
        <w:t>10 </w:t>
      </w:r>
      <w:r>
        <w:rPr>
          <w:w w:val="105"/>
          <w:sz w:val="21"/>
        </w:rPr>
        <w:t>In </w:t>
      </w:r>
      <w:r>
        <w:rPr>
          <w:spacing w:val="-3"/>
          <w:w w:val="105"/>
          <w:sz w:val="21"/>
        </w:rPr>
        <w:t>Queensland </w:t>
      </w:r>
      <w:r>
        <w:rPr>
          <w:w w:val="105"/>
          <w:sz w:val="21"/>
        </w:rPr>
        <w:t>the </w:t>
      </w:r>
      <w:r>
        <w:rPr>
          <w:spacing w:val="-3"/>
          <w:w w:val="105"/>
          <w:sz w:val="21"/>
        </w:rPr>
        <w:t>Queensland Civil </w:t>
      </w:r>
      <w:r>
        <w:rPr>
          <w:w w:val="105"/>
          <w:sz w:val="21"/>
        </w:rPr>
        <w:t>and </w:t>
      </w:r>
      <w:r>
        <w:rPr>
          <w:spacing w:val="-3"/>
          <w:w w:val="105"/>
          <w:sz w:val="21"/>
        </w:rPr>
        <w:t>Administrative </w:t>
      </w:r>
      <w:r>
        <w:rPr>
          <w:spacing w:val="-5"/>
          <w:w w:val="105"/>
          <w:sz w:val="21"/>
        </w:rPr>
        <w:t>Tribunal </w:t>
      </w:r>
      <w:r>
        <w:rPr>
          <w:w w:val="105"/>
          <w:sz w:val="21"/>
        </w:rPr>
        <w:t>(QCAT) is assisted by </w:t>
      </w:r>
      <w:r>
        <w:rPr>
          <w:spacing w:val="-5"/>
          <w:w w:val="105"/>
          <w:sz w:val="21"/>
        </w:rPr>
        <w:t>Tribunal </w:t>
      </w:r>
      <w:r>
        <w:rPr>
          <w:spacing w:val="-3"/>
          <w:w w:val="105"/>
          <w:sz w:val="21"/>
        </w:rPr>
        <w:t>appointed </w:t>
      </w:r>
      <w:r>
        <w:rPr>
          <w:w w:val="105"/>
          <w:sz w:val="21"/>
        </w:rPr>
        <w:t>independent tree assessors who provide expert advice </w:t>
      </w:r>
      <w:r>
        <w:rPr>
          <w:spacing w:val="-3"/>
          <w:w w:val="105"/>
          <w:sz w:val="21"/>
        </w:rPr>
        <w:t>to </w:t>
      </w:r>
      <w:r>
        <w:rPr>
          <w:w w:val="105"/>
          <w:sz w:val="21"/>
        </w:rPr>
        <w:t>the</w:t>
      </w:r>
      <w:r>
        <w:rPr>
          <w:spacing w:val="28"/>
          <w:w w:val="105"/>
          <w:sz w:val="21"/>
        </w:rPr>
        <w:t> </w:t>
      </w:r>
      <w:r>
        <w:rPr>
          <w:spacing w:val="-8"/>
          <w:w w:val="105"/>
          <w:sz w:val="21"/>
        </w:rPr>
        <w:t>Tribunal.</w:t>
      </w:r>
      <w:r>
        <w:rPr>
          <w:spacing w:val="-8"/>
          <w:w w:val="105"/>
          <w:position w:val="7"/>
          <w:sz w:val="12"/>
        </w:rPr>
        <w:t>11</w:t>
      </w:r>
    </w:p>
    <w:p>
      <w:pPr>
        <w:pStyle w:val="ListParagraph"/>
        <w:numPr>
          <w:ilvl w:val="1"/>
          <w:numId w:val="16"/>
        </w:numPr>
        <w:tabs>
          <w:tab w:pos="2381" w:val="left" w:leader="none"/>
          <w:tab w:pos="2382" w:val="left" w:leader="none"/>
        </w:tabs>
        <w:spacing w:line="242" w:lineRule="auto" w:before="126" w:after="0"/>
        <w:ind w:left="2381" w:right="1907" w:hanging="794"/>
        <w:jc w:val="left"/>
        <w:rPr>
          <w:sz w:val="21"/>
        </w:rPr>
      </w:pPr>
      <w:r>
        <w:rPr>
          <w:w w:val="105"/>
          <w:sz w:val="21"/>
        </w:rPr>
        <w:t>In addition </w:t>
      </w:r>
      <w:r>
        <w:rPr>
          <w:spacing w:val="-3"/>
          <w:w w:val="105"/>
          <w:sz w:val="21"/>
        </w:rPr>
        <w:t>to </w:t>
      </w:r>
      <w:r>
        <w:rPr>
          <w:w w:val="105"/>
          <w:sz w:val="21"/>
        </w:rPr>
        <w:t>legal action </w:t>
      </w:r>
      <w:r>
        <w:rPr>
          <w:spacing w:val="-3"/>
          <w:w w:val="105"/>
          <w:sz w:val="21"/>
        </w:rPr>
        <w:t>through </w:t>
      </w:r>
      <w:r>
        <w:rPr>
          <w:w w:val="105"/>
          <w:sz w:val="21"/>
        </w:rPr>
        <w:t>a court or </w:t>
      </w:r>
      <w:r>
        <w:rPr>
          <w:spacing w:val="-3"/>
          <w:w w:val="105"/>
          <w:sz w:val="21"/>
        </w:rPr>
        <w:t>tribunal, </w:t>
      </w:r>
      <w:r>
        <w:rPr>
          <w:w w:val="105"/>
          <w:sz w:val="21"/>
        </w:rPr>
        <w:t>the </w:t>
      </w:r>
      <w:r>
        <w:rPr>
          <w:spacing w:val="-3"/>
          <w:w w:val="105"/>
          <w:sz w:val="21"/>
        </w:rPr>
        <w:t>Queensland </w:t>
      </w:r>
      <w:r>
        <w:rPr>
          <w:w w:val="105"/>
          <w:sz w:val="21"/>
        </w:rPr>
        <w:t>and </w:t>
      </w:r>
      <w:r>
        <w:rPr>
          <w:spacing w:val="-4"/>
          <w:w w:val="105"/>
          <w:sz w:val="21"/>
        </w:rPr>
        <w:t>Tasmanian </w:t>
      </w:r>
      <w:r>
        <w:rPr>
          <w:w w:val="105"/>
          <w:sz w:val="21"/>
        </w:rPr>
        <w:t>Acts</w:t>
      </w:r>
      <w:r>
        <w:rPr>
          <w:spacing w:val="-6"/>
          <w:w w:val="105"/>
          <w:sz w:val="21"/>
        </w:rPr>
        <w:t> </w:t>
      </w:r>
      <w:r>
        <w:rPr>
          <w:spacing w:val="-3"/>
          <w:w w:val="105"/>
          <w:sz w:val="21"/>
        </w:rPr>
        <w:t>introduce</w:t>
      </w:r>
      <w:r>
        <w:rPr>
          <w:spacing w:val="-6"/>
          <w:w w:val="105"/>
          <w:sz w:val="21"/>
        </w:rPr>
        <w:t> </w:t>
      </w:r>
      <w:r>
        <w:rPr>
          <w:spacing w:val="-3"/>
          <w:w w:val="105"/>
          <w:sz w:val="21"/>
        </w:rPr>
        <w:t>formal</w:t>
      </w:r>
      <w:r>
        <w:rPr>
          <w:spacing w:val="-6"/>
          <w:w w:val="105"/>
          <w:sz w:val="21"/>
        </w:rPr>
        <w:t> </w:t>
      </w:r>
      <w:r>
        <w:rPr>
          <w:spacing w:val="-3"/>
          <w:w w:val="105"/>
          <w:sz w:val="21"/>
        </w:rPr>
        <w:t>procedures</w:t>
      </w:r>
      <w:r>
        <w:rPr>
          <w:spacing w:val="-6"/>
          <w:w w:val="105"/>
          <w:sz w:val="21"/>
        </w:rPr>
        <w:t> </w:t>
      </w:r>
      <w:r>
        <w:rPr>
          <w:spacing w:val="-3"/>
          <w:w w:val="105"/>
          <w:sz w:val="21"/>
        </w:rPr>
        <w:t>that</w:t>
      </w:r>
      <w:r>
        <w:rPr>
          <w:spacing w:val="-6"/>
          <w:w w:val="105"/>
          <w:sz w:val="21"/>
        </w:rPr>
        <w:t> </w:t>
      </w:r>
      <w:r>
        <w:rPr>
          <w:w w:val="105"/>
          <w:sz w:val="21"/>
        </w:rPr>
        <w:t>help</w:t>
      </w:r>
      <w:r>
        <w:rPr>
          <w:spacing w:val="-6"/>
          <w:w w:val="105"/>
          <w:sz w:val="21"/>
        </w:rPr>
        <w:t> </w:t>
      </w:r>
      <w:r>
        <w:rPr>
          <w:w w:val="105"/>
          <w:sz w:val="21"/>
        </w:rPr>
        <w:t>people</w:t>
      </w:r>
      <w:r>
        <w:rPr>
          <w:spacing w:val="-6"/>
          <w:w w:val="105"/>
          <w:sz w:val="21"/>
        </w:rPr>
        <w:t> </w:t>
      </w:r>
      <w:r>
        <w:rPr>
          <w:w w:val="105"/>
          <w:sz w:val="21"/>
        </w:rPr>
        <w:t>resolve</w:t>
      </w:r>
      <w:r>
        <w:rPr>
          <w:spacing w:val="-5"/>
          <w:w w:val="105"/>
          <w:sz w:val="21"/>
        </w:rPr>
        <w:t> </w:t>
      </w:r>
      <w:r>
        <w:rPr>
          <w:w w:val="105"/>
          <w:sz w:val="21"/>
        </w:rPr>
        <w:t>their</w:t>
      </w:r>
      <w:r>
        <w:rPr>
          <w:spacing w:val="-6"/>
          <w:w w:val="105"/>
          <w:sz w:val="21"/>
        </w:rPr>
        <w:t> </w:t>
      </w:r>
      <w:r>
        <w:rPr>
          <w:spacing w:val="-3"/>
          <w:w w:val="105"/>
          <w:sz w:val="21"/>
        </w:rPr>
        <w:t>disputes</w:t>
      </w:r>
      <w:r>
        <w:rPr>
          <w:spacing w:val="-6"/>
          <w:w w:val="105"/>
          <w:sz w:val="21"/>
        </w:rPr>
        <w:t> </w:t>
      </w:r>
      <w:r>
        <w:rPr>
          <w:w w:val="105"/>
          <w:sz w:val="21"/>
        </w:rPr>
        <w:t>out</w:t>
      </w:r>
      <w:r>
        <w:rPr>
          <w:spacing w:val="-6"/>
          <w:w w:val="105"/>
          <w:sz w:val="21"/>
        </w:rPr>
        <w:t> </w:t>
      </w:r>
      <w:r>
        <w:rPr>
          <w:w w:val="105"/>
          <w:sz w:val="21"/>
        </w:rPr>
        <w:t>of</w:t>
      </w:r>
      <w:r>
        <w:rPr>
          <w:spacing w:val="-6"/>
          <w:w w:val="105"/>
          <w:sz w:val="21"/>
        </w:rPr>
        <w:t> court.</w:t>
      </w:r>
      <w:r>
        <w:rPr>
          <w:spacing w:val="-6"/>
          <w:w w:val="105"/>
          <w:position w:val="7"/>
          <w:sz w:val="12"/>
        </w:rPr>
        <w:t>12</w:t>
      </w:r>
    </w:p>
    <w:p>
      <w:pPr>
        <w:pStyle w:val="ListParagraph"/>
        <w:numPr>
          <w:ilvl w:val="1"/>
          <w:numId w:val="16"/>
        </w:numPr>
        <w:tabs>
          <w:tab w:pos="2381" w:val="left" w:leader="none"/>
          <w:tab w:pos="2382" w:val="left" w:leader="none"/>
        </w:tabs>
        <w:spacing w:line="242" w:lineRule="auto" w:before="123" w:after="0"/>
        <w:ind w:left="2381" w:right="1686" w:hanging="794"/>
        <w:jc w:val="left"/>
        <w:rPr>
          <w:sz w:val="21"/>
        </w:rPr>
      </w:pPr>
      <w:r>
        <w:rPr>
          <w:sz w:val="21"/>
        </w:rPr>
        <w:t>Both NSW and </w:t>
      </w:r>
      <w:r>
        <w:rPr>
          <w:spacing w:val="-3"/>
          <w:sz w:val="21"/>
        </w:rPr>
        <w:t>Queensland handle </w:t>
      </w:r>
      <w:r>
        <w:rPr>
          <w:sz w:val="21"/>
        </w:rPr>
        <w:t>a </w:t>
      </w:r>
      <w:r>
        <w:rPr>
          <w:spacing w:val="-3"/>
          <w:sz w:val="21"/>
        </w:rPr>
        <w:t>relatively </w:t>
      </w:r>
      <w:r>
        <w:rPr>
          <w:sz w:val="21"/>
        </w:rPr>
        <w:t>low number of </w:t>
      </w:r>
      <w:r>
        <w:rPr>
          <w:spacing w:val="-3"/>
          <w:sz w:val="21"/>
        </w:rPr>
        <w:t>applications </w:t>
      </w:r>
      <w:r>
        <w:rPr>
          <w:sz w:val="21"/>
        </w:rPr>
        <w:t>each </w:t>
      </w:r>
      <w:r>
        <w:rPr>
          <w:spacing w:val="-5"/>
          <w:sz w:val="21"/>
        </w:rPr>
        <w:t>year. </w:t>
      </w:r>
      <w:r>
        <w:rPr>
          <w:sz w:val="21"/>
        </w:rPr>
        <w:t>The Land and </w:t>
      </w:r>
      <w:r>
        <w:rPr>
          <w:spacing w:val="-3"/>
          <w:sz w:val="21"/>
        </w:rPr>
        <w:t>Environment Court </w:t>
      </w:r>
      <w:r>
        <w:rPr>
          <w:sz w:val="21"/>
        </w:rPr>
        <w:t>of New South  </w:t>
      </w:r>
      <w:r>
        <w:rPr>
          <w:spacing w:val="-3"/>
          <w:sz w:val="21"/>
        </w:rPr>
        <w:t>Wales  </w:t>
      </w:r>
      <w:r>
        <w:rPr>
          <w:sz w:val="21"/>
        </w:rPr>
        <w:t>(NSWLEC)  </w:t>
      </w:r>
      <w:r>
        <w:rPr>
          <w:spacing w:val="-2"/>
          <w:sz w:val="21"/>
        </w:rPr>
        <w:t>has  </w:t>
      </w:r>
      <w:r>
        <w:rPr>
          <w:spacing w:val="-3"/>
          <w:sz w:val="21"/>
        </w:rPr>
        <w:t>heard  approximately </w:t>
      </w:r>
      <w:r>
        <w:rPr>
          <w:sz w:val="21"/>
        </w:rPr>
        <w:t>1000 cases </w:t>
      </w:r>
      <w:r>
        <w:rPr>
          <w:spacing w:val="-3"/>
          <w:sz w:val="21"/>
        </w:rPr>
        <w:t>since </w:t>
      </w:r>
      <w:r>
        <w:rPr>
          <w:sz w:val="21"/>
        </w:rPr>
        <w:t>the NSW scheme </w:t>
      </w:r>
      <w:r>
        <w:rPr>
          <w:spacing w:val="-3"/>
          <w:sz w:val="21"/>
        </w:rPr>
        <w:t>commenced. </w:t>
      </w:r>
      <w:r>
        <w:rPr>
          <w:sz w:val="21"/>
        </w:rPr>
        <w:t>It now hears </w:t>
      </w:r>
      <w:r>
        <w:rPr>
          <w:spacing w:val="-8"/>
          <w:sz w:val="21"/>
        </w:rPr>
        <w:t>120 </w:t>
      </w:r>
      <w:r>
        <w:rPr>
          <w:spacing w:val="-3"/>
          <w:sz w:val="21"/>
        </w:rPr>
        <w:t>to </w:t>
      </w:r>
      <w:r>
        <w:rPr>
          <w:spacing w:val="-6"/>
          <w:sz w:val="21"/>
        </w:rPr>
        <w:t>156 </w:t>
      </w:r>
      <w:r>
        <w:rPr>
          <w:sz w:val="21"/>
        </w:rPr>
        <w:t>cases per </w:t>
      </w:r>
      <w:r>
        <w:rPr>
          <w:spacing w:val="-9"/>
          <w:sz w:val="21"/>
        </w:rPr>
        <w:t>year.</w:t>
      </w:r>
      <w:r>
        <w:rPr>
          <w:spacing w:val="-9"/>
          <w:position w:val="7"/>
          <w:sz w:val="12"/>
        </w:rPr>
        <w:t>13</w:t>
      </w:r>
      <w:r>
        <w:rPr>
          <w:spacing w:val="-9"/>
          <w:sz w:val="12"/>
        </w:rPr>
        <w:t> </w:t>
      </w:r>
      <w:r>
        <w:rPr>
          <w:spacing w:val="-3"/>
          <w:sz w:val="21"/>
        </w:rPr>
        <w:t>Approximately </w:t>
      </w:r>
      <w:r>
        <w:rPr>
          <w:sz w:val="21"/>
        </w:rPr>
        <w:t>200 tree </w:t>
      </w:r>
      <w:r>
        <w:rPr>
          <w:spacing w:val="-3"/>
          <w:sz w:val="21"/>
        </w:rPr>
        <w:t>dispute applications are  </w:t>
      </w:r>
      <w:r>
        <w:rPr>
          <w:sz w:val="21"/>
        </w:rPr>
        <w:t>filed in </w:t>
      </w:r>
      <w:r>
        <w:rPr>
          <w:spacing w:val="-4"/>
          <w:sz w:val="21"/>
        </w:rPr>
        <w:t>QCAT  </w:t>
      </w:r>
      <w:r>
        <w:rPr>
          <w:sz w:val="21"/>
        </w:rPr>
        <w:t>each </w:t>
      </w:r>
      <w:r>
        <w:rPr>
          <w:spacing w:val="-8"/>
          <w:sz w:val="21"/>
        </w:rPr>
        <w:t>year.</w:t>
      </w:r>
      <w:r>
        <w:rPr>
          <w:spacing w:val="-8"/>
          <w:position w:val="7"/>
          <w:sz w:val="12"/>
        </w:rPr>
        <w:t>14</w:t>
      </w:r>
      <w:r>
        <w:rPr>
          <w:spacing w:val="11"/>
          <w:position w:val="7"/>
          <w:sz w:val="12"/>
        </w:rPr>
        <w:t> </w:t>
      </w:r>
      <w:r>
        <w:rPr>
          <w:sz w:val="21"/>
        </w:rPr>
        <w:t>The </w:t>
      </w:r>
      <w:r>
        <w:rPr>
          <w:spacing w:val="-4"/>
          <w:sz w:val="21"/>
        </w:rPr>
        <w:t>Tasmanian  </w:t>
      </w:r>
      <w:r>
        <w:rPr>
          <w:sz w:val="21"/>
        </w:rPr>
        <w:t>Act came </w:t>
      </w:r>
      <w:r>
        <w:rPr>
          <w:spacing w:val="-4"/>
          <w:sz w:val="21"/>
        </w:rPr>
        <w:t>into </w:t>
      </w:r>
      <w:r>
        <w:rPr>
          <w:sz w:val="21"/>
        </w:rPr>
        <w:t>operation in December </w:t>
      </w:r>
      <w:r>
        <w:rPr>
          <w:spacing w:val="-12"/>
          <w:sz w:val="21"/>
        </w:rPr>
        <w:t>2017, </w:t>
      </w:r>
      <w:r>
        <w:rPr>
          <w:sz w:val="21"/>
        </w:rPr>
        <w:t>with </w:t>
      </w:r>
      <w:r>
        <w:rPr>
          <w:spacing w:val="-9"/>
          <w:sz w:val="21"/>
        </w:rPr>
        <w:t>13  </w:t>
      </w:r>
      <w:r>
        <w:rPr>
          <w:spacing w:val="-3"/>
          <w:sz w:val="21"/>
        </w:rPr>
        <w:t>applications  </w:t>
      </w:r>
      <w:r>
        <w:rPr>
          <w:sz w:val="21"/>
        </w:rPr>
        <w:t>filed in </w:t>
      </w:r>
      <w:r>
        <w:rPr>
          <w:spacing w:val="-7"/>
          <w:sz w:val="21"/>
        </w:rPr>
        <w:t>2018</w:t>
      </w:r>
      <w:r>
        <w:rPr>
          <w:spacing w:val="33"/>
          <w:sz w:val="21"/>
        </w:rPr>
        <w:t> </w:t>
      </w:r>
      <w:r>
        <w:rPr>
          <w:sz w:val="21"/>
        </w:rPr>
        <w:t>and three  filed as at the end of April</w:t>
      </w:r>
      <w:r>
        <w:rPr>
          <w:spacing w:val="15"/>
          <w:sz w:val="21"/>
        </w:rPr>
        <w:t> </w:t>
      </w:r>
      <w:r>
        <w:rPr>
          <w:spacing w:val="-10"/>
          <w:sz w:val="21"/>
        </w:rPr>
        <w:t>2019.</w:t>
      </w:r>
      <w:r>
        <w:rPr>
          <w:spacing w:val="-10"/>
          <w:position w:val="7"/>
          <w:sz w:val="12"/>
        </w:rPr>
        <w:t>15</w:t>
      </w:r>
    </w:p>
    <w:p>
      <w:pPr>
        <w:pStyle w:val="ListParagraph"/>
        <w:numPr>
          <w:ilvl w:val="1"/>
          <w:numId w:val="16"/>
        </w:numPr>
        <w:tabs>
          <w:tab w:pos="2381" w:val="left" w:leader="none"/>
          <w:tab w:pos="2382" w:val="left" w:leader="none"/>
        </w:tabs>
        <w:spacing w:line="242" w:lineRule="auto" w:before="126" w:after="0"/>
        <w:ind w:left="2381" w:right="1663" w:hanging="794"/>
        <w:jc w:val="left"/>
        <w:rPr>
          <w:sz w:val="21"/>
        </w:rPr>
      </w:pPr>
      <w:r>
        <w:rPr>
          <w:w w:val="105"/>
          <w:sz w:val="21"/>
        </w:rPr>
        <w:t>The introduction of these Acts appears </w:t>
      </w:r>
      <w:r>
        <w:rPr>
          <w:spacing w:val="-3"/>
          <w:w w:val="105"/>
          <w:sz w:val="21"/>
        </w:rPr>
        <w:t>to have </w:t>
      </w:r>
      <w:r>
        <w:rPr>
          <w:spacing w:val="-2"/>
          <w:w w:val="105"/>
          <w:sz w:val="21"/>
        </w:rPr>
        <w:t>had </w:t>
      </w:r>
      <w:r>
        <w:rPr>
          <w:w w:val="105"/>
          <w:sz w:val="21"/>
        </w:rPr>
        <w:t>positive </w:t>
      </w:r>
      <w:r>
        <w:rPr>
          <w:spacing w:val="-3"/>
          <w:w w:val="105"/>
          <w:sz w:val="21"/>
        </w:rPr>
        <w:t>outcomes. </w:t>
      </w:r>
      <w:r>
        <w:rPr>
          <w:w w:val="105"/>
          <w:sz w:val="21"/>
        </w:rPr>
        <w:t>Reviews of the Acts</w:t>
      </w:r>
      <w:r>
        <w:rPr>
          <w:spacing w:val="-10"/>
          <w:w w:val="105"/>
          <w:sz w:val="21"/>
        </w:rPr>
        <w:t> </w:t>
      </w:r>
      <w:r>
        <w:rPr>
          <w:spacing w:val="-3"/>
          <w:w w:val="105"/>
          <w:sz w:val="21"/>
        </w:rPr>
        <w:t>have</w:t>
      </w:r>
      <w:r>
        <w:rPr>
          <w:spacing w:val="-9"/>
          <w:w w:val="105"/>
          <w:sz w:val="21"/>
        </w:rPr>
        <w:t> </w:t>
      </w:r>
      <w:r>
        <w:rPr>
          <w:spacing w:val="-3"/>
          <w:w w:val="105"/>
          <w:sz w:val="21"/>
        </w:rPr>
        <w:t>found</w:t>
      </w:r>
      <w:r>
        <w:rPr>
          <w:spacing w:val="-9"/>
          <w:w w:val="105"/>
          <w:sz w:val="21"/>
        </w:rPr>
        <w:t> </w:t>
      </w:r>
      <w:r>
        <w:rPr>
          <w:spacing w:val="-3"/>
          <w:w w:val="105"/>
          <w:sz w:val="21"/>
        </w:rPr>
        <w:t>that</w:t>
      </w:r>
      <w:r>
        <w:rPr>
          <w:spacing w:val="-9"/>
          <w:w w:val="105"/>
          <w:sz w:val="21"/>
        </w:rPr>
        <w:t> </w:t>
      </w:r>
      <w:r>
        <w:rPr>
          <w:w w:val="105"/>
          <w:sz w:val="21"/>
        </w:rPr>
        <w:t>the</w:t>
      </w:r>
      <w:r>
        <w:rPr>
          <w:spacing w:val="-10"/>
          <w:w w:val="105"/>
          <w:sz w:val="21"/>
        </w:rPr>
        <w:t> </w:t>
      </w:r>
      <w:r>
        <w:rPr>
          <w:w w:val="105"/>
          <w:sz w:val="21"/>
        </w:rPr>
        <w:t>policy</w:t>
      </w:r>
      <w:r>
        <w:rPr>
          <w:spacing w:val="-9"/>
          <w:w w:val="105"/>
          <w:sz w:val="21"/>
        </w:rPr>
        <w:t> </w:t>
      </w:r>
      <w:r>
        <w:rPr>
          <w:w w:val="105"/>
          <w:sz w:val="21"/>
        </w:rPr>
        <w:t>objectives</w:t>
      </w:r>
      <w:r>
        <w:rPr>
          <w:spacing w:val="-9"/>
          <w:w w:val="105"/>
          <w:sz w:val="21"/>
        </w:rPr>
        <w:t> </w:t>
      </w:r>
      <w:r>
        <w:rPr>
          <w:w w:val="105"/>
          <w:sz w:val="21"/>
        </w:rPr>
        <w:t>of</w:t>
      </w:r>
      <w:r>
        <w:rPr>
          <w:spacing w:val="-9"/>
          <w:w w:val="105"/>
          <w:sz w:val="21"/>
        </w:rPr>
        <w:t> </w:t>
      </w:r>
      <w:r>
        <w:rPr>
          <w:spacing w:val="-3"/>
          <w:w w:val="105"/>
          <w:sz w:val="21"/>
        </w:rPr>
        <w:t>simplicity,</w:t>
      </w:r>
      <w:r>
        <w:rPr>
          <w:spacing w:val="-10"/>
          <w:w w:val="105"/>
          <w:sz w:val="21"/>
        </w:rPr>
        <w:t> </w:t>
      </w:r>
      <w:r>
        <w:rPr>
          <w:w w:val="105"/>
          <w:sz w:val="21"/>
        </w:rPr>
        <w:t>affordability</w:t>
      </w:r>
      <w:r>
        <w:rPr>
          <w:spacing w:val="-9"/>
          <w:w w:val="105"/>
          <w:sz w:val="21"/>
        </w:rPr>
        <w:t> </w:t>
      </w:r>
      <w:r>
        <w:rPr>
          <w:w w:val="105"/>
          <w:sz w:val="21"/>
        </w:rPr>
        <w:t>and</w:t>
      </w:r>
      <w:r>
        <w:rPr>
          <w:spacing w:val="-9"/>
          <w:w w:val="105"/>
          <w:sz w:val="21"/>
        </w:rPr>
        <w:t> </w:t>
      </w:r>
      <w:r>
        <w:rPr>
          <w:spacing w:val="-3"/>
          <w:w w:val="105"/>
          <w:sz w:val="21"/>
        </w:rPr>
        <w:t>accessibility</w:t>
      </w:r>
      <w:r>
        <w:rPr>
          <w:spacing w:val="-9"/>
          <w:w w:val="105"/>
          <w:sz w:val="21"/>
        </w:rPr>
        <w:t> </w:t>
      </w:r>
      <w:r>
        <w:rPr>
          <w:spacing w:val="-3"/>
          <w:w w:val="105"/>
          <w:sz w:val="21"/>
        </w:rPr>
        <w:t>have </w:t>
      </w:r>
      <w:r>
        <w:rPr>
          <w:w w:val="105"/>
          <w:sz w:val="21"/>
        </w:rPr>
        <w:t>been met by the </w:t>
      </w:r>
      <w:r>
        <w:rPr>
          <w:spacing w:val="-3"/>
          <w:w w:val="105"/>
          <w:sz w:val="21"/>
        </w:rPr>
        <w:t>procedure </w:t>
      </w:r>
      <w:r>
        <w:rPr>
          <w:w w:val="105"/>
          <w:sz w:val="21"/>
        </w:rPr>
        <w:t>established in New South </w:t>
      </w:r>
      <w:r>
        <w:rPr>
          <w:spacing w:val="-3"/>
          <w:w w:val="105"/>
          <w:sz w:val="21"/>
        </w:rPr>
        <w:t>Wales; </w:t>
      </w:r>
      <w:r>
        <w:rPr>
          <w:w w:val="105"/>
          <w:position w:val="7"/>
          <w:sz w:val="12"/>
        </w:rPr>
        <w:t>16 </w:t>
      </w:r>
      <w:r>
        <w:rPr>
          <w:w w:val="105"/>
          <w:sz w:val="21"/>
        </w:rPr>
        <w:t>and </w:t>
      </w:r>
      <w:r>
        <w:rPr>
          <w:spacing w:val="-3"/>
          <w:w w:val="105"/>
          <w:sz w:val="21"/>
        </w:rPr>
        <w:t>that </w:t>
      </w:r>
      <w:r>
        <w:rPr>
          <w:w w:val="105"/>
          <w:sz w:val="21"/>
        </w:rPr>
        <w:t>the </w:t>
      </w:r>
      <w:r>
        <w:rPr>
          <w:spacing w:val="-3"/>
          <w:w w:val="105"/>
          <w:sz w:val="21"/>
        </w:rPr>
        <w:t>Queensland </w:t>
      </w:r>
      <w:r>
        <w:rPr>
          <w:w w:val="105"/>
          <w:sz w:val="21"/>
        </w:rPr>
        <w:t>scheme provides effective resolution of tree</w:t>
      </w:r>
      <w:r>
        <w:rPr>
          <w:spacing w:val="17"/>
          <w:w w:val="105"/>
          <w:sz w:val="21"/>
        </w:rPr>
        <w:t> </w:t>
      </w:r>
      <w:r>
        <w:rPr>
          <w:spacing w:val="-5"/>
          <w:w w:val="105"/>
          <w:sz w:val="21"/>
        </w:rPr>
        <w:t>disputes.</w:t>
      </w:r>
      <w:r>
        <w:rPr>
          <w:spacing w:val="-5"/>
          <w:w w:val="105"/>
          <w:position w:val="7"/>
          <w:sz w:val="12"/>
        </w:rPr>
        <w:t>17</w:t>
      </w:r>
    </w:p>
    <w:p>
      <w:pPr>
        <w:pStyle w:val="BodyText"/>
        <w:rPr>
          <w:sz w:val="20"/>
        </w:rPr>
      </w:pPr>
    </w:p>
    <w:p>
      <w:pPr>
        <w:pStyle w:val="BodyText"/>
        <w:rPr>
          <w:sz w:val="20"/>
        </w:rPr>
      </w:pPr>
    </w:p>
    <w:p>
      <w:pPr>
        <w:pStyle w:val="BodyText"/>
        <w:spacing w:before="1"/>
        <w:rPr>
          <w:sz w:val="14"/>
        </w:rPr>
      </w:pPr>
      <w:r>
        <w:rPr/>
        <w:pict>
          <v:line style="position:absolute;mso-position-horizontal-relative:page;mso-position-vertical-relative:paragraph;z-index:2240;mso-wrap-distance-left:0;mso-wrap-distance-right:0" from="79.370102pt,11.057219pt" to="515.905102pt,11.057219pt" stroked="true" strokeweight="1pt" strokecolor="#c9d2cb">
            <v:stroke dashstyle="solid"/>
            <w10:wrap type="topAndBottom"/>
          </v:line>
        </w:pict>
      </w:r>
    </w:p>
    <w:p>
      <w:pPr>
        <w:pStyle w:val="ListParagraph"/>
        <w:numPr>
          <w:ilvl w:val="0"/>
          <w:numId w:val="39"/>
        </w:numPr>
        <w:tabs>
          <w:tab w:pos="2380" w:val="left" w:leader="none"/>
          <w:tab w:pos="2382" w:val="left" w:leader="none"/>
        </w:tabs>
        <w:spacing w:line="240" w:lineRule="auto" w:before="117" w:after="0"/>
        <w:ind w:left="2381" w:right="0" w:hanging="794"/>
        <w:jc w:val="left"/>
        <w:rPr>
          <w:sz w:val="13"/>
        </w:rPr>
      </w:pPr>
      <w:r>
        <w:rPr>
          <w:w w:val="105"/>
          <w:sz w:val="13"/>
        </w:rPr>
        <w:t>See</w:t>
      </w:r>
      <w:r>
        <w:rPr>
          <w:spacing w:val="6"/>
          <w:w w:val="105"/>
          <w:sz w:val="13"/>
        </w:rPr>
        <w:t> </w:t>
      </w:r>
      <w:r>
        <w:rPr>
          <w:w w:val="105"/>
          <w:sz w:val="13"/>
        </w:rPr>
        <w:t>generally,</w:t>
      </w:r>
      <w:r>
        <w:rPr>
          <w:spacing w:val="6"/>
          <w:w w:val="105"/>
          <w:sz w:val="13"/>
        </w:rPr>
        <w:t> </w:t>
      </w:r>
      <w:r>
        <w:rPr>
          <w:i/>
          <w:w w:val="105"/>
          <w:sz w:val="13"/>
        </w:rPr>
        <w:t>Trees</w:t>
      </w:r>
      <w:r>
        <w:rPr>
          <w:i/>
          <w:spacing w:val="6"/>
          <w:w w:val="105"/>
          <w:sz w:val="13"/>
        </w:rPr>
        <w:t> </w:t>
      </w:r>
      <w:r>
        <w:rPr>
          <w:i/>
          <w:w w:val="105"/>
          <w:sz w:val="13"/>
        </w:rPr>
        <w:t>(Disputes</w:t>
      </w:r>
      <w:r>
        <w:rPr>
          <w:i/>
          <w:spacing w:val="6"/>
          <w:w w:val="105"/>
          <w:sz w:val="13"/>
        </w:rPr>
        <w:t> </w:t>
      </w:r>
      <w:r>
        <w:rPr>
          <w:i/>
          <w:w w:val="105"/>
          <w:sz w:val="13"/>
        </w:rPr>
        <w:t>Between</w:t>
      </w:r>
      <w:r>
        <w:rPr>
          <w:i/>
          <w:spacing w:val="7"/>
          <w:w w:val="105"/>
          <w:sz w:val="13"/>
        </w:rPr>
        <w:t> </w:t>
      </w:r>
      <w:r>
        <w:rPr>
          <w:i/>
          <w:w w:val="105"/>
          <w:sz w:val="13"/>
        </w:rPr>
        <w:t>Neighbours)</w:t>
      </w:r>
      <w:r>
        <w:rPr>
          <w:i/>
          <w:spacing w:val="6"/>
          <w:w w:val="105"/>
          <w:sz w:val="13"/>
        </w:rPr>
        <w:t> </w:t>
      </w:r>
      <w:r>
        <w:rPr>
          <w:i/>
          <w:w w:val="105"/>
          <w:sz w:val="13"/>
        </w:rPr>
        <w:t>Act</w:t>
      </w:r>
      <w:r>
        <w:rPr>
          <w:i/>
          <w:spacing w:val="6"/>
          <w:w w:val="105"/>
          <w:sz w:val="13"/>
        </w:rPr>
        <w:t> </w:t>
      </w:r>
      <w:r>
        <w:rPr>
          <w:i/>
          <w:w w:val="105"/>
          <w:sz w:val="13"/>
        </w:rPr>
        <w:t>2006</w:t>
      </w:r>
      <w:r>
        <w:rPr>
          <w:i/>
          <w:spacing w:val="6"/>
          <w:w w:val="105"/>
          <w:sz w:val="13"/>
        </w:rPr>
        <w:t> </w:t>
      </w:r>
      <w:r>
        <w:rPr>
          <w:spacing w:val="3"/>
          <w:w w:val="105"/>
          <w:sz w:val="13"/>
        </w:rPr>
        <w:t>(NSW);</w:t>
      </w:r>
      <w:r>
        <w:rPr>
          <w:spacing w:val="6"/>
          <w:w w:val="105"/>
          <w:sz w:val="13"/>
        </w:rPr>
        <w:t> </w:t>
      </w:r>
      <w:r>
        <w:rPr>
          <w:i/>
          <w:w w:val="105"/>
          <w:sz w:val="13"/>
        </w:rPr>
        <w:t>Neighbourhood</w:t>
      </w:r>
      <w:r>
        <w:rPr>
          <w:i/>
          <w:spacing w:val="7"/>
          <w:w w:val="105"/>
          <w:sz w:val="13"/>
        </w:rPr>
        <w:t> </w:t>
      </w:r>
      <w:r>
        <w:rPr>
          <w:i/>
          <w:w w:val="105"/>
          <w:sz w:val="13"/>
        </w:rPr>
        <w:t>Disputes</w:t>
      </w:r>
      <w:r>
        <w:rPr>
          <w:i/>
          <w:spacing w:val="6"/>
          <w:w w:val="105"/>
          <w:sz w:val="13"/>
        </w:rPr>
        <w:t> </w:t>
      </w:r>
      <w:r>
        <w:rPr>
          <w:i/>
          <w:w w:val="105"/>
          <w:sz w:val="13"/>
        </w:rPr>
        <w:t>(Dividing</w:t>
      </w:r>
      <w:r>
        <w:rPr>
          <w:i/>
          <w:spacing w:val="6"/>
          <w:w w:val="105"/>
          <w:sz w:val="13"/>
        </w:rPr>
        <w:t> </w:t>
      </w:r>
      <w:r>
        <w:rPr>
          <w:i/>
          <w:w w:val="105"/>
          <w:sz w:val="13"/>
        </w:rPr>
        <w:t>Fences</w:t>
      </w:r>
      <w:r>
        <w:rPr>
          <w:i/>
          <w:spacing w:val="6"/>
          <w:w w:val="105"/>
          <w:sz w:val="13"/>
        </w:rPr>
        <w:t> </w:t>
      </w:r>
      <w:r>
        <w:rPr>
          <w:i/>
          <w:w w:val="105"/>
          <w:sz w:val="13"/>
        </w:rPr>
        <w:t>and</w:t>
      </w:r>
      <w:r>
        <w:rPr>
          <w:i/>
          <w:spacing w:val="6"/>
          <w:w w:val="105"/>
          <w:sz w:val="13"/>
        </w:rPr>
        <w:t> </w:t>
      </w:r>
      <w:r>
        <w:rPr>
          <w:i/>
          <w:w w:val="105"/>
          <w:sz w:val="13"/>
        </w:rPr>
        <w:t>Trees)</w:t>
      </w:r>
      <w:r>
        <w:rPr>
          <w:i/>
          <w:spacing w:val="7"/>
          <w:w w:val="105"/>
          <w:sz w:val="13"/>
        </w:rPr>
        <w:t> </w:t>
      </w:r>
      <w:r>
        <w:rPr>
          <w:i/>
          <w:w w:val="105"/>
          <w:sz w:val="13"/>
        </w:rPr>
        <w:t>Act</w:t>
      </w:r>
      <w:r>
        <w:rPr>
          <w:i/>
          <w:spacing w:val="6"/>
          <w:w w:val="105"/>
          <w:sz w:val="13"/>
        </w:rPr>
        <w:t> </w:t>
      </w:r>
      <w:r>
        <w:rPr>
          <w:i/>
          <w:spacing w:val="-4"/>
          <w:w w:val="105"/>
          <w:sz w:val="13"/>
        </w:rPr>
        <w:t>2011</w:t>
      </w:r>
      <w:r>
        <w:rPr>
          <w:i/>
          <w:spacing w:val="6"/>
          <w:w w:val="105"/>
          <w:sz w:val="13"/>
        </w:rPr>
        <w:t> </w:t>
      </w:r>
      <w:r>
        <w:rPr>
          <w:spacing w:val="3"/>
          <w:w w:val="105"/>
          <w:sz w:val="13"/>
        </w:rPr>
        <w:t>(Qld);</w:t>
      </w:r>
    </w:p>
    <w:p>
      <w:pPr>
        <w:spacing w:before="1"/>
        <w:ind w:left="2381" w:right="0" w:firstLine="0"/>
        <w:jc w:val="left"/>
        <w:rPr>
          <w:sz w:val="13"/>
        </w:rPr>
      </w:pPr>
      <w:r>
        <w:rPr>
          <w:i/>
          <w:w w:val="105"/>
          <w:sz w:val="13"/>
        </w:rPr>
        <w:t>Neighbourhood Disputes About Plants Act 2017 </w:t>
      </w:r>
      <w:r>
        <w:rPr>
          <w:w w:val="105"/>
          <w:sz w:val="13"/>
        </w:rPr>
        <w:t>(Tas).</w:t>
      </w:r>
    </w:p>
    <w:p>
      <w:pPr>
        <w:pStyle w:val="ListParagraph"/>
        <w:numPr>
          <w:ilvl w:val="0"/>
          <w:numId w:val="39"/>
        </w:numPr>
        <w:tabs>
          <w:tab w:pos="2380" w:val="left" w:leader="none"/>
          <w:tab w:pos="2382" w:val="left" w:leader="none"/>
        </w:tabs>
        <w:spacing w:line="240" w:lineRule="auto" w:before="2" w:after="0"/>
        <w:ind w:left="2381" w:right="1715" w:hanging="794"/>
        <w:jc w:val="left"/>
        <w:rPr>
          <w:sz w:val="13"/>
        </w:rPr>
      </w:pPr>
      <w:r>
        <w:rPr>
          <w:w w:val="105"/>
          <w:sz w:val="13"/>
        </w:rPr>
        <w:t>For Queensland see Explanatory Notes, Neighbourhood Disputes Resolution Bill 2010 </w:t>
      </w:r>
      <w:r>
        <w:rPr>
          <w:spacing w:val="2"/>
          <w:w w:val="105"/>
          <w:sz w:val="13"/>
        </w:rPr>
        <w:t>(Qld) </w:t>
      </w:r>
      <w:r>
        <w:rPr>
          <w:w w:val="105"/>
          <w:sz w:val="13"/>
        </w:rPr>
        <w:t>2, </w:t>
      </w:r>
      <w:r>
        <w:rPr>
          <w:spacing w:val="2"/>
          <w:w w:val="105"/>
          <w:sz w:val="13"/>
        </w:rPr>
        <w:t>9; </w:t>
      </w:r>
      <w:r>
        <w:rPr>
          <w:w w:val="105"/>
          <w:sz w:val="13"/>
        </w:rPr>
        <w:t>Department of Justice and Attorney- General </w:t>
      </w:r>
      <w:r>
        <w:rPr>
          <w:spacing w:val="2"/>
          <w:w w:val="105"/>
          <w:sz w:val="13"/>
        </w:rPr>
        <w:t>(Qld), </w:t>
      </w:r>
      <w:r>
        <w:rPr>
          <w:i/>
          <w:w w:val="105"/>
          <w:sz w:val="13"/>
        </w:rPr>
        <w:t>Review of Neighbourly Relations: Trees </w:t>
      </w:r>
      <w:r>
        <w:rPr>
          <w:spacing w:val="2"/>
          <w:w w:val="105"/>
          <w:sz w:val="13"/>
        </w:rPr>
        <w:t>(Discussion </w:t>
      </w:r>
      <w:r>
        <w:rPr>
          <w:w w:val="105"/>
          <w:sz w:val="13"/>
        </w:rPr>
        <w:t>Paper, July </w:t>
      </w:r>
      <w:r>
        <w:rPr>
          <w:spacing w:val="3"/>
          <w:w w:val="105"/>
          <w:sz w:val="13"/>
        </w:rPr>
        <w:t>2008); </w:t>
      </w:r>
      <w:r>
        <w:rPr>
          <w:w w:val="105"/>
          <w:sz w:val="13"/>
        </w:rPr>
        <w:t>Department of Justice and Attorney-General </w:t>
      </w:r>
      <w:r>
        <w:rPr>
          <w:spacing w:val="2"/>
          <w:w w:val="105"/>
          <w:sz w:val="13"/>
        </w:rPr>
        <w:t>(Qld), </w:t>
      </w:r>
      <w:r>
        <w:rPr>
          <w:i/>
          <w:w w:val="105"/>
          <w:sz w:val="13"/>
        </w:rPr>
        <w:t>Review of Neighbourly Relations: Resolving Neighbourhood Disputes </w:t>
      </w:r>
      <w:r>
        <w:rPr>
          <w:spacing w:val="2"/>
          <w:w w:val="105"/>
          <w:sz w:val="13"/>
        </w:rPr>
        <w:t>(Discussion </w:t>
      </w:r>
      <w:r>
        <w:rPr>
          <w:w w:val="105"/>
          <w:sz w:val="13"/>
        </w:rPr>
        <w:t>Paper, July </w:t>
      </w:r>
      <w:r>
        <w:rPr>
          <w:spacing w:val="3"/>
          <w:w w:val="105"/>
          <w:sz w:val="13"/>
        </w:rPr>
        <w:t>2008); </w:t>
      </w: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2015) 1; For Tasmania see Tasmania, Parliamentary Debates, Legislative Council, 22 June </w:t>
      </w:r>
      <w:r>
        <w:rPr>
          <w:spacing w:val="-5"/>
          <w:w w:val="105"/>
          <w:sz w:val="13"/>
        </w:rPr>
        <w:t>2017, </w:t>
      </w:r>
      <w:r>
        <w:rPr>
          <w:w w:val="105"/>
          <w:sz w:val="13"/>
        </w:rPr>
        <w:t>1 </w:t>
      </w:r>
      <w:r>
        <w:rPr>
          <w:spacing w:val="2"/>
          <w:w w:val="105"/>
          <w:sz w:val="13"/>
        </w:rPr>
        <w:t>(Leonie </w:t>
      </w:r>
      <w:r>
        <w:rPr>
          <w:w w:val="105"/>
          <w:sz w:val="13"/>
        </w:rPr>
        <w:t>Hiscuitt); Tasmanian Law Reform Institute, </w:t>
      </w:r>
      <w:r>
        <w:rPr>
          <w:i/>
          <w:w w:val="105"/>
          <w:sz w:val="13"/>
        </w:rPr>
        <w:t>Problem Trees and Hedges: </w:t>
      </w:r>
      <w:r>
        <w:rPr>
          <w:i/>
          <w:w w:val="105"/>
          <w:sz w:val="13"/>
        </w:rPr>
        <w:t>Access to Sunlight and Views </w:t>
      </w:r>
      <w:r>
        <w:rPr>
          <w:spacing w:val="2"/>
          <w:w w:val="105"/>
          <w:sz w:val="13"/>
        </w:rPr>
        <w:t>(Report </w:t>
      </w:r>
      <w:r>
        <w:rPr>
          <w:w w:val="105"/>
          <w:sz w:val="13"/>
        </w:rPr>
        <w:t>No </w:t>
      </w:r>
      <w:r>
        <w:rPr>
          <w:spacing w:val="-4"/>
          <w:w w:val="105"/>
          <w:sz w:val="13"/>
        </w:rPr>
        <w:t>21, </w:t>
      </w:r>
      <w:r>
        <w:rPr>
          <w:w w:val="105"/>
          <w:sz w:val="13"/>
        </w:rPr>
        <w:t>January 2016) 35 (Recommendation </w:t>
      </w:r>
      <w:r>
        <w:rPr>
          <w:spacing w:val="3"/>
          <w:w w:val="105"/>
          <w:sz w:val="13"/>
        </w:rPr>
        <w:t>3); </w:t>
      </w:r>
      <w:r>
        <w:rPr>
          <w:w w:val="105"/>
          <w:sz w:val="13"/>
        </w:rPr>
        <w:t>For New South Wales see New South Wales Law</w:t>
      </w:r>
      <w:r>
        <w:rPr>
          <w:spacing w:val="30"/>
          <w:w w:val="105"/>
          <w:sz w:val="13"/>
        </w:rPr>
        <w:t> </w:t>
      </w:r>
      <w:r>
        <w:rPr>
          <w:w w:val="105"/>
          <w:sz w:val="13"/>
        </w:rPr>
        <w:t>Reform</w:t>
      </w:r>
      <w:r>
        <w:rPr>
          <w:spacing w:val="5"/>
          <w:w w:val="105"/>
          <w:sz w:val="13"/>
        </w:rPr>
        <w:t> </w:t>
      </w:r>
      <w:r>
        <w:rPr>
          <w:w w:val="105"/>
          <w:sz w:val="13"/>
        </w:rPr>
        <w:t>Commission,</w:t>
      </w:r>
      <w:r>
        <w:rPr>
          <w:spacing w:val="5"/>
          <w:w w:val="105"/>
          <w:sz w:val="13"/>
        </w:rPr>
        <w:t> </w:t>
      </w:r>
      <w:r>
        <w:rPr>
          <w:i/>
          <w:w w:val="105"/>
          <w:sz w:val="13"/>
        </w:rPr>
        <w:t>Neighbour</w:t>
      </w:r>
      <w:r>
        <w:rPr>
          <w:i/>
          <w:spacing w:val="5"/>
          <w:w w:val="105"/>
          <w:sz w:val="13"/>
        </w:rPr>
        <w:t> </w:t>
      </w:r>
      <w:r>
        <w:rPr>
          <w:i/>
          <w:w w:val="105"/>
          <w:sz w:val="13"/>
        </w:rPr>
        <w:t>and</w:t>
      </w:r>
      <w:r>
        <w:rPr>
          <w:i/>
          <w:spacing w:val="5"/>
          <w:w w:val="105"/>
          <w:sz w:val="13"/>
        </w:rPr>
        <w:t> </w:t>
      </w:r>
      <w:r>
        <w:rPr>
          <w:i/>
          <w:w w:val="105"/>
          <w:sz w:val="13"/>
        </w:rPr>
        <w:t>Neighbour</w:t>
      </w:r>
      <w:r>
        <w:rPr>
          <w:i/>
          <w:spacing w:val="5"/>
          <w:w w:val="105"/>
          <w:sz w:val="13"/>
        </w:rPr>
        <w:t> </w:t>
      </w:r>
      <w:r>
        <w:rPr>
          <w:i/>
          <w:w w:val="105"/>
          <w:sz w:val="13"/>
        </w:rPr>
        <w:t>Relations</w:t>
      </w:r>
      <w:r>
        <w:rPr>
          <w:i/>
          <w:spacing w:val="5"/>
          <w:w w:val="105"/>
          <w:sz w:val="13"/>
        </w:rPr>
        <w:t> </w:t>
      </w:r>
      <w:r>
        <w:rPr>
          <w:spacing w:val="2"/>
          <w:w w:val="105"/>
          <w:sz w:val="13"/>
        </w:rPr>
        <w:t>(Report</w:t>
      </w:r>
      <w:r>
        <w:rPr>
          <w:spacing w:val="6"/>
          <w:w w:val="105"/>
          <w:sz w:val="13"/>
        </w:rPr>
        <w:t> </w:t>
      </w:r>
      <w:r>
        <w:rPr>
          <w:w w:val="105"/>
          <w:sz w:val="13"/>
        </w:rPr>
        <w:t>No</w:t>
      </w:r>
      <w:r>
        <w:rPr>
          <w:spacing w:val="5"/>
          <w:w w:val="105"/>
          <w:sz w:val="13"/>
        </w:rPr>
        <w:t> </w:t>
      </w:r>
      <w:r>
        <w:rPr>
          <w:spacing w:val="2"/>
          <w:w w:val="105"/>
          <w:sz w:val="13"/>
        </w:rPr>
        <w:t>88,</w:t>
      </w:r>
      <w:r>
        <w:rPr>
          <w:spacing w:val="5"/>
          <w:w w:val="105"/>
          <w:sz w:val="13"/>
        </w:rPr>
        <w:t> </w:t>
      </w:r>
      <w:r>
        <w:rPr>
          <w:w w:val="105"/>
          <w:sz w:val="13"/>
        </w:rPr>
        <w:t>1998).</w:t>
      </w:r>
    </w:p>
    <w:p>
      <w:pPr>
        <w:pStyle w:val="ListParagraph"/>
        <w:numPr>
          <w:ilvl w:val="0"/>
          <w:numId w:val="39"/>
        </w:numPr>
        <w:tabs>
          <w:tab w:pos="2380" w:val="left" w:leader="none"/>
          <w:tab w:pos="2382" w:val="left" w:leader="none"/>
        </w:tabs>
        <w:spacing w:line="240" w:lineRule="auto" w:before="9" w:after="0"/>
        <w:ind w:left="2381" w:right="1666" w:hanging="794"/>
        <w:jc w:val="left"/>
        <w:rPr>
          <w:sz w:val="13"/>
        </w:rPr>
      </w:pPr>
      <w:r>
        <w:rPr>
          <w:w w:val="105"/>
          <w:sz w:val="13"/>
        </w:rPr>
        <w:t>For New South Wales see Law Reform Commission, </w:t>
      </w:r>
      <w:r>
        <w:rPr>
          <w:i/>
          <w:w w:val="105"/>
          <w:sz w:val="13"/>
        </w:rPr>
        <w:t>Neighbour and Neighbour Relations </w:t>
      </w:r>
      <w:r>
        <w:rPr>
          <w:spacing w:val="2"/>
          <w:w w:val="105"/>
          <w:sz w:val="13"/>
        </w:rPr>
        <w:t>(Report </w:t>
      </w:r>
      <w:r>
        <w:rPr>
          <w:w w:val="105"/>
          <w:sz w:val="13"/>
        </w:rPr>
        <w:t>No </w:t>
      </w:r>
      <w:r>
        <w:rPr>
          <w:spacing w:val="2"/>
          <w:w w:val="105"/>
          <w:sz w:val="13"/>
        </w:rPr>
        <w:t>88, </w:t>
      </w:r>
      <w:r>
        <w:rPr>
          <w:w w:val="105"/>
          <w:sz w:val="13"/>
        </w:rPr>
        <w:t>1998) [Recommendation </w:t>
      </w:r>
      <w:r>
        <w:rPr>
          <w:spacing w:val="3"/>
          <w:w w:val="105"/>
          <w:sz w:val="13"/>
        </w:rPr>
        <w:t>5]. </w:t>
      </w:r>
      <w:r>
        <w:rPr>
          <w:spacing w:val="2"/>
          <w:w w:val="105"/>
          <w:sz w:val="13"/>
        </w:rPr>
        <w:t>As </w:t>
      </w:r>
      <w:r>
        <w:rPr>
          <w:w w:val="105"/>
          <w:sz w:val="13"/>
        </w:rPr>
        <w:t>Commissioner Fakes explains, the </w:t>
      </w:r>
      <w:r>
        <w:rPr>
          <w:i/>
          <w:w w:val="105"/>
          <w:sz w:val="13"/>
        </w:rPr>
        <w:t>Trees (Disputes Between Neighbours) Act 2006 </w:t>
      </w:r>
      <w:r>
        <w:rPr>
          <w:spacing w:val="3"/>
          <w:w w:val="105"/>
          <w:sz w:val="13"/>
        </w:rPr>
        <w:t>(NSW) </w:t>
      </w:r>
      <w:r>
        <w:rPr>
          <w:w w:val="105"/>
          <w:sz w:val="13"/>
        </w:rPr>
        <w:t>‘was enacted to provide a relatively simple means   of dealing with disputes between neighbours as a result of trees...These are civil matters that prior to the [statutory scheme] would have required someone to take an action in nuisance or negligence </w:t>
      </w:r>
      <w:r>
        <w:rPr>
          <w:w w:val="115"/>
          <w:sz w:val="13"/>
        </w:rPr>
        <w:t>… </w:t>
      </w:r>
      <w:r>
        <w:rPr>
          <w:w w:val="105"/>
          <w:sz w:val="13"/>
        </w:rPr>
        <w:t>an expensive and time consuming process, and a process more limited in scope</w:t>
      </w:r>
      <w:r>
        <w:rPr>
          <w:spacing w:val="4"/>
          <w:w w:val="105"/>
          <w:sz w:val="13"/>
        </w:rPr>
        <w:t> </w:t>
      </w:r>
      <w:r>
        <w:rPr>
          <w:w w:val="105"/>
          <w:sz w:val="13"/>
        </w:rPr>
        <w:t>than</w:t>
      </w:r>
      <w:r>
        <w:rPr>
          <w:spacing w:val="5"/>
          <w:w w:val="105"/>
          <w:sz w:val="13"/>
        </w:rPr>
        <w:t> </w:t>
      </w:r>
      <w:r>
        <w:rPr>
          <w:w w:val="105"/>
          <w:sz w:val="13"/>
        </w:rPr>
        <w:t>that</w:t>
      </w:r>
      <w:r>
        <w:rPr>
          <w:spacing w:val="5"/>
          <w:w w:val="105"/>
          <w:sz w:val="13"/>
        </w:rPr>
        <w:t> </w:t>
      </w:r>
      <w:r>
        <w:rPr>
          <w:w w:val="105"/>
          <w:sz w:val="13"/>
        </w:rPr>
        <w:t>of</w:t>
      </w:r>
      <w:r>
        <w:rPr>
          <w:spacing w:val="5"/>
          <w:w w:val="105"/>
          <w:sz w:val="13"/>
        </w:rPr>
        <w:t> </w:t>
      </w:r>
      <w:r>
        <w:rPr>
          <w:w w:val="105"/>
          <w:sz w:val="13"/>
        </w:rPr>
        <w:t>the</w:t>
      </w:r>
      <w:r>
        <w:rPr>
          <w:spacing w:val="4"/>
          <w:w w:val="105"/>
          <w:sz w:val="13"/>
        </w:rPr>
        <w:t> </w:t>
      </w:r>
      <w:r>
        <w:rPr>
          <w:w w:val="105"/>
          <w:sz w:val="13"/>
        </w:rPr>
        <w:t>current</w:t>
      </w:r>
      <w:r>
        <w:rPr>
          <w:spacing w:val="5"/>
          <w:w w:val="105"/>
          <w:sz w:val="13"/>
        </w:rPr>
        <w:t> </w:t>
      </w:r>
      <w:r>
        <w:rPr>
          <w:w w:val="105"/>
          <w:sz w:val="13"/>
        </w:rPr>
        <w:t>[statutory</w:t>
      </w:r>
      <w:r>
        <w:rPr>
          <w:spacing w:val="5"/>
          <w:w w:val="105"/>
          <w:sz w:val="13"/>
        </w:rPr>
        <w:t> </w:t>
      </w:r>
      <w:r>
        <w:rPr>
          <w:spacing w:val="2"/>
          <w:w w:val="105"/>
          <w:sz w:val="13"/>
        </w:rPr>
        <w:t>scheme]’:</w:t>
      </w:r>
      <w:r>
        <w:rPr>
          <w:spacing w:val="5"/>
          <w:w w:val="105"/>
          <w:sz w:val="13"/>
        </w:rPr>
        <w:t> </w:t>
      </w:r>
      <w:r>
        <w:rPr>
          <w:i/>
          <w:w w:val="105"/>
          <w:sz w:val="13"/>
        </w:rPr>
        <w:t>Ghazal</w:t>
      </w:r>
      <w:r>
        <w:rPr>
          <w:i/>
          <w:spacing w:val="4"/>
          <w:w w:val="105"/>
          <w:sz w:val="13"/>
        </w:rPr>
        <w:t> </w:t>
      </w:r>
      <w:r>
        <w:rPr>
          <w:i/>
          <w:w w:val="105"/>
          <w:sz w:val="13"/>
        </w:rPr>
        <w:t>v</w:t>
      </w:r>
      <w:r>
        <w:rPr>
          <w:i/>
          <w:spacing w:val="5"/>
          <w:w w:val="105"/>
          <w:sz w:val="13"/>
        </w:rPr>
        <w:t> </w:t>
      </w:r>
      <w:r>
        <w:rPr>
          <w:i/>
          <w:w w:val="105"/>
          <w:sz w:val="13"/>
        </w:rPr>
        <w:t>Vella</w:t>
      </w:r>
      <w:r>
        <w:rPr>
          <w:i/>
          <w:spacing w:val="5"/>
          <w:w w:val="105"/>
          <w:sz w:val="13"/>
        </w:rPr>
        <w:t> </w:t>
      </w:r>
      <w:r>
        <w:rPr>
          <w:spacing w:val="2"/>
          <w:w w:val="105"/>
          <w:sz w:val="13"/>
        </w:rPr>
        <w:t>(No.2)</w:t>
      </w:r>
      <w:r>
        <w:rPr>
          <w:spacing w:val="5"/>
          <w:w w:val="105"/>
          <w:sz w:val="13"/>
        </w:rPr>
        <w:t> </w:t>
      </w:r>
      <w:r>
        <w:rPr>
          <w:spacing w:val="-3"/>
          <w:w w:val="105"/>
          <w:sz w:val="13"/>
        </w:rPr>
        <w:t>[2011]</w:t>
      </w:r>
      <w:r>
        <w:rPr>
          <w:spacing w:val="4"/>
          <w:w w:val="105"/>
          <w:sz w:val="13"/>
        </w:rPr>
        <w:t> </w:t>
      </w:r>
      <w:r>
        <w:rPr>
          <w:w w:val="105"/>
          <w:sz w:val="13"/>
        </w:rPr>
        <w:t>NSWLEC</w:t>
      </w:r>
      <w:r>
        <w:rPr>
          <w:spacing w:val="5"/>
          <w:w w:val="105"/>
          <w:sz w:val="13"/>
        </w:rPr>
        <w:t> </w:t>
      </w:r>
      <w:r>
        <w:rPr>
          <w:w w:val="105"/>
          <w:sz w:val="13"/>
        </w:rPr>
        <w:t>1340.</w:t>
      </w:r>
    </w:p>
    <w:p>
      <w:pPr>
        <w:pStyle w:val="ListParagraph"/>
        <w:numPr>
          <w:ilvl w:val="0"/>
          <w:numId w:val="39"/>
        </w:numPr>
        <w:tabs>
          <w:tab w:pos="2380" w:val="left" w:leader="none"/>
          <w:tab w:pos="2382" w:val="left" w:leader="none"/>
        </w:tabs>
        <w:spacing w:line="240" w:lineRule="auto" w:before="7" w:after="0"/>
        <w:ind w:left="2381" w:right="1866" w:hanging="794"/>
        <w:jc w:val="left"/>
        <w:rPr>
          <w:sz w:val="13"/>
        </w:rPr>
      </w:pPr>
      <w:r>
        <w:rPr>
          <w:w w:val="105"/>
          <w:sz w:val="13"/>
        </w:rPr>
        <w:t>Tree disputes are heard in the Land and Environment Court of NSW, the Queensland Civil and Administrative Tribunal and the Resource Management and Planning Appeal</w:t>
      </w:r>
      <w:r>
        <w:rPr>
          <w:spacing w:val="18"/>
          <w:w w:val="105"/>
          <w:sz w:val="13"/>
        </w:rPr>
        <w:t> </w:t>
      </w:r>
      <w:r>
        <w:rPr>
          <w:w w:val="105"/>
          <w:sz w:val="13"/>
        </w:rPr>
        <w:t>Tribunal.</w:t>
      </w:r>
    </w:p>
    <w:p>
      <w:pPr>
        <w:pStyle w:val="ListParagraph"/>
        <w:numPr>
          <w:ilvl w:val="0"/>
          <w:numId w:val="39"/>
        </w:numPr>
        <w:tabs>
          <w:tab w:pos="2380" w:val="left" w:leader="none"/>
          <w:tab w:pos="2382" w:val="left" w:leader="none"/>
        </w:tabs>
        <w:spacing w:line="240" w:lineRule="auto" w:before="2" w:after="0"/>
        <w:ind w:left="2381" w:right="0" w:hanging="794"/>
        <w:jc w:val="left"/>
        <w:rPr>
          <w:sz w:val="13"/>
        </w:rPr>
      </w:pPr>
      <w:r>
        <w:rPr>
          <w:w w:val="105"/>
          <w:sz w:val="13"/>
        </w:rPr>
        <w:t>Land</w:t>
      </w:r>
      <w:r>
        <w:rPr>
          <w:spacing w:val="4"/>
          <w:w w:val="105"/>
          <w:sz w:val="13"/>
        </w:rPr>
        <w:t> </w:t>
      </w:r>
      <w:r>
        <w:rPr>
          <w:w w:val="105"/>
          <w:sz w:val="13"/>
        </w:rPr>
        <w:t>and</w:t>
      </w:r>
      <w:r>
        <w:rPr>
          <w:spacing w:val="5"/>
          <w:w w:val="105"/>
          <w:sz w:val="13"/>
        </w:rPr>
        <w:t> </w:t>
      </w:r>
      <w:r>
        <w:rPr>
          <w:w w:val="105"/>
          <w:sz w:val="13"/>
        </w:rPr>
        <w:t>Environment</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w w:val="105"/>
          <w:sz w:val="13"/>
        </w:rPr>
        <w:t>New</w:t>
      </w:r>
      <w:r>
        <w:rPr>
          <w:spacing w:val="4"/>
          <w:w w:val="105"/>
          <w:sz w:val="13"/>
        </w:rPr>
        <w:t> </w:t>
      </w:r>
      <w:r>
        <w:rPr>
          <w:w w:val="105"/>
          <w:sz w:val="13"/>
        </w:rPr>
        <w:t>South</w:t>
      </w:r>
      <w:r>
        <w:rPr>
          <w:spacing w:val="5"/>
          <w:w w:val="105"/>
          <w:sz w:val="13"/>
        </w:rPr>
        <w:t> </w:t>
      </w:r>
      <w:r>
        <w:rPr>
          <w:w w:val="105"/>
          <w:sz w:val="13"/>
        </w:rPr>
        <w:t>Wales,</w:t>
      </w:r>
      <w:r>
        <w:rPr>
          <w:spacing w:val="5"/>
          <w:w w:val="105"/>
          <w:sz w:val="13"/>
        </w:rPr>
        <w:t> </w:t>
      </w:r>
      <w:r>
        <w:rPr>
          <w:i/>
          <w:w w:val="105"/>
          <w:sz w:val="13"/>
        </w:rPr>
        <w:t>Practice</w:t>
      </w:r>
      <w:r>
        <w:rPr>
          <w:i/>
          <w:spacing w:val="5"/>
          <w:w w:val="105"/>
          <w:sz w:val="13"/>
        </w:rPr>
        <w:t> </w:t>
      </w:r>
      <w:r>
        <w:rPr>
          <w:i/>
          <w:w w:val="105"/>
          <w:sz w:val="13"/>
        </w:rPr>
        <w:t>Note</w:t>
      </w:r>
      <w:r>
        <w:rPr>
          <w:i/>
          <w:spacing w:val="5"/>
          <w:w w:val="105"/>
          <w:sz w:val="13"/>
        </w:rPr>
        <w:t> </w:t>
      </w:r>
      <w:r>
        <w:rPr>
          <w:i/>
          <w:w w:val="105"/>
          <w:sz w:val="13"/>
        </w:rPr>
        <w:t>Class</w:t>
      </w:r>
      <w:r>
        <w:rPr>
          <w:i/>
          <w:spacing w:val="4"/>
          <w:w w:val="105"/>
          <w:sz w:val="13"/>
        </w:rPr>
        <w:t> </w:t>
      </w:r>
      <w:r>
        <w:rPr>
          <w:i/>
          <w:w w:val="105"/>
          <w:sz w:val="13"/>
        </w:rPr>
        <w:t>2:</w:t>
      </w:r>
      <w:r>
        <w:rPr>
          <w:i/>
          <w:spacing w:val="5"/>
          <w:w w:val="105"/>
          <w:sz w:val="13"/>
        </w:rPr>
        <w:t> </w:t>
      </w:r>
      <w:r>
        <w:rPr>
          <w:i/>
          <w:w w:val="105"/>
          <w:sz w:val="13"/>
        </w:rPr>
        <w:t>Tree</w:t>
      </w:r>
      <w:r>
        <w:rPr>
          <w:i/>
          <w:spacing w:val="5"/>
          <w:w w:val="105"/>
          <w:sz w:val="13"/>
        </w:rPr>
        <w:t> </w:t>
      </w:r>
      <w:r>
        <w:rPr>
          <w:i/>
          <w:w w:val="105"/>
          <w:sz w:val="13"/>
        </w:rPr>
        <w:t>Disputes</w:t>
      </w:r>
      <w:r>
        <w:rPr>
          <w:w w:val="105"/>
          <w:sz w:val="13"/>
        </w:rPr>
        <w:t>,</w:t>
      </w:r>
      <w:r>
        <w:rPr>
          <w:spacing w:val="5"/>
          <w:w w:val="105"/>
          <w:sz w:val="13"/>
        </w:rPr>
        <w:t> </w:t>
      </w:r>
      <w:r>
        <w:rPr>
          <w:w w:val="105"/>
          <w:sz w:val="13"/>
        </w:rPr>
        <w:t>1</w:t>
      </w:r>
      <w:r>
        <w:rPr>
          <w:spacing w:val="5"/>
          <w:w w:val="105"/>
          <w:sz w:val="13"/>
        </w:rPr>
        <w:t> </w:t>
      </w:r>
      <w:r>
        <w:rPr>
          <w:w w:val="105"/>
          <w:sz w:val="13"/>
        </w:rPr>
        <w:t>December</w:t>
      </w:r>
      <w:r>
        <w:rPr>
          <w:spacing w:val="5"/>
          <w:w w:val="105"/>
          <w:sz w:val="13"/>
        </w:rPr>
        <w:t> </w:t>
      </w:r>
      <w:r>
        <w:rPr>
          <w:w w:val="105"/>
          <w:sz w:val="13"/>
        </w:rPr>
        <w:t>2018</w:t>
      </w:r>
      <w:r>
        <w:rPr>
          <w:spacing w:val="4"/>
          <w:w w:val="105"/>
          <w:sz w:val="13"/>
        </w:rPr>
        <w:t> </w:t>
      </w:r>
      <w:r>
        <w:rPr>
          <w:spacing w:val="3"/>
          <w:w w:val="105"/>
          <w:sz w:val="13"/>
        </w:rPr>
        <w:t>[23],</w:t>
      </w:r>
      <w:r>
        <w:rPr>
          <w:spacing w:val="5"/>
          <w:w w:val="105"/>
          <w:sz w:val="13"/>
        </w:rPr>
        <w:t> </w:t>
      </w:r>
      <w:r>
        <w:rPr>
          <w:spacing w:val="2"/>
          <w:w w:val="105"/>
          <w:sz w:val="13"/>
        </w:rPr>
        <w:t>[42].</w:t>
      </w:r>
    </w:p>
    <w:p>
      <w:pPr>
        <w:pStyle w:val="ListParagraph"/>
        <w:numPr>
          <w:ilvl w:val="0"/>
          <w:numId w:val="39"/>
        </w:numPr>
        <w:tabs>
          <w:tab w:pos="2381" w:val="left" w:leader="none"/>
          <w:tab w:pos="2382" w:val="left" w:leader="none"/>
        </w:tabs>
        <w:spacing w:line="240" w:lineRule="auto" w:before="2" w:after="0"/>
        <w:ind w:left="2381" w:right="1735" w:hanging="794"/>
        <w:jc w:val="left"/>
        <w:rPr>
          <w:sz w:val="13"/>
        </w:rPr>
      </w:pPr>
      <w:r>
        <w:rPr>
          <w:w w:val="105"/>
          <w:sz w:val="13"/>
        </w:rPr>
        <w:t>Queensland Civil and Administrative Tribunal, </w:t>
      </w:r>
      <w:r>
        <w:rPr>
          <w:i/>
          <w:w w:val="105"/>
          <w:sz w:val="13"/>
        </w:rPr>
        <w:t>QCAT Practice Direction No 7 of </w:t>
      </w:r>
      <w:r>
        <w:rPr>
          <w:i/>
          <w:spacing w:val="-2"/>
          <w:w w:val="105"/>
          <w:sz w:val="13"/>
        </w:rPr>
        <w:t>2013: </w:t>
      </w:r>
      <w:r>
        <w:rPr>
          <w:i/>
          <w:w w:val="105"/>
          <w:sz w:val="13"/>
        </w:rPr>
        <w:t>Arrangements for Applications for Orders to Resolve </w:t>
      </w:r>
      <w:r>
        <w:rPr>
          <w:i/>
          <w:w w:val="105"/>
          <w:sz w:val="13"/>
        </w:rPr>
        <w:t>Other Issues About Trees, </w:t>
      </w:r>
      <w:r>
        <w:rPr>
          <w:w w:val="105"/>
          <w:sz w:val="13"/>
        </w:rPr>
        <w:t>3 April </w:t>
      </w:r>
      <w:r>
        <w:rPr>
          <w:spacing w:val="-3"/>
          <w:w w:val="105"/>
          <w:sz w:val="13"/>
        </w:rPr>
        <w:t>2014</w:t>
      </w:r>
      <w:r>
        <w:rPr>
          <w:spacing w:val="5"/>
          <w:w w:val="105"/>
          <w:sz w:val="13"/>
        </w:rPr>
        <w:t> </w:t>
      </w:r>
      <w:r>
        <w:rPr>
          <w:spacing w:val="3"/>
          <w:w w:val="105"/>
          <w:sz w:val="13"/>
        </w:rPr>
        <w:t>[5]-[7].</w:t>
      </w:r>
    </w:p>
    <w:p>
      <w:pPr>
        <w:pStyle w:val="ListParagraph"/>
        <w:numPr>
          <w:ilvl w:val="0"/>
          <w:numId w:val="39"/>
        </w:numPr>
        <w:tabs>
          <w:tab w:pos="2381" w:val="left" w:leader="none"/>
          <w:tab w:pos="2382" w:val="left" w:leader="none"/>
        </w:tabs>
        <w:spacing w:line="240" w:lineRule="auto" w:before="2" w:after="0"/>
        <w:ind w:left="2381" w:right="1771"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pt </w:t>
      </w:r>
      <w:r>
        <w:rPr>
          <w:spacing w:val="2"/>
          <w:w w:val="105"/>
          <w:sz w:val="13"/>
        </w:rPr>
        <w:t>4; </w:t>
      </w:r>
      <w:r>
        <w:rPr>
          <w:i/>
          <w:w w:val="105"/>
          <w:sz w:val="13"/>
        </w:rPr>
        <w:t>Neighbourhood Disputes About Plants Act </w:t>
      </w:r>
      <w:r>
        <w:rPr>
          <w:i/>
          <w:spacing w:val="-4"/>
          <w:w w:val="105"/>
          <w:sz w:val="13"/>
        </w:rPr>
        <w:t>2017 </w:t>
      </w:r>
      <w:r>
        <w:rPr>
          <w:w w:val="105"/>
          <w:sz w:val="13"/>
        </w:rPr>
        <w:t>(Tas) ss 20-21. These</w:t>
      </w:r>
      <w:r>
        <w:rPr>
          <w:spacing w:val="4"/>
          <w:w w:val="105"/>
          <w:sz w:val="13"/>
        </w:rPr>
        <w:t> </w:t>
      </w:r>
      <w:r>
        <w:rPr>
          <w:spacing w:val="2"/>
          <w:w w:val="105"/>
          <w:sz w:val="13"/>
        </w:rPr>
        <w:t>parts</w:t>
      </w:r>
      <w:r>
        <w:rPr>
          <w:spacing w:val="5"/>
          <w:w w:val="105"/>
          <w:sz w:val="13"/>
        </w:rPr>
        <w:t> </w:t>
      </w:r>
      <w:r>
        <w:rPr>
          <w:w w:val="105"/>
          <w:sz w:val="13"/>
        </w:rPr>
        <w:t>of</w:t>
      </w:r>
      <w:r>
        <w:rPr>
          <w:spacing w:val="4"/>
          <w:w w:val="105"/>
          <w:sz w:val="13"/>
        </w:rPr>
        <w:t> </w:t>
      </w:r>
      <w:r>
        <w:rPr>
          <w:w w:val="105"/>
          <w:sz w:val="13"/>
        </w:rPr>
        <w:t>the</w:t>
      </w:r>
      <w:r>
        <w:rPr>
          <w:spacing w:val="4"/>
          <w:w w:val="105"/>
          <w:sz w:val="13"/>
        </w:rPr>
        <w:t> </w:t>
      </w:r>
      <w:r>
        <w:rPr>
          <w:spacing w:val="2"/>
          <w:w w:val="105"/>
          <w:sz w:val="13"/>
        </w:rPr>
        <w:t>Acts</w:t>
      </w:r>
      <w:r>
        <w:rPr>
          <w:spacing w:val="5"/>
          <w:w w:val="105"/>
          <w:sz w:val="13"/>
        </w:rPr>
        <w:t> </w:t>
      </w:r>
      <w:r>
        <w:rPr>
          <w:w w:val="105"/>
          <w:sz w:val="13"/>
        </w:rPr>
        <w:t>provide</w:t>
      </w:r>
      <w:r>
        <w:rPr>
          <w:spacing w:val="4"/>
          <w:w w:val="105"/>
          <w:sz w:val="13"/>
        </w:rPr>
        <w:t> </w:t>
      </w:r>
      <w:r>
        <w:rPr>
          <w:w w:val="105"/>
          <w:sz w:val="13"/>
        </w:rPr>
        <w:t>for</w:t>
      </w:r>
      <w:r>
        <w:rPr>
          <w:spacing w:val="5"/>
          <w:w w:val="105"/>
          <w:sz w:val="13"/>
        </w:rPr>
        <w:t> </w:t>
      </w:r>
      <w:r>
        <w:rPr>
          <w:w w:val="105"/>
          <w:sz w:val="13"/>
        </w:rPr>
        <w:t>a</w:t>
      </w:r>
      <w:r>
        <w:rPr>
          <w:spacing w:val="4"/>
          <w:w w:val="105"/>
          <w:sz w:val="13"/>
        </w:rPr>
        <w:t> </w:t>
      </w:r>
      <w:r>
        <w:rPr>
          <w:w w:val="105"/>
          <w:sz w:val="13"/>
        </w:rPr>
        <w:t>formal</w:t>
      </w:r>
      <w:r>
        <w:rPr>
          <w:spacing w:val="5"/>
          <w:w w:val="105"/>
          <w:sz w:val="13"/>
        </w:rPr>
        <w:t> </w:t>
      </w:r>
      <w:r>
        <w:rPr>
          <w:w w:val="105"/>
          <w:sz w:val="13"/>
        </w:rPr>
        <w:t>branch</w:t>
      </w:r>
      <w:r>
        <w:rPr>
          <w:spacing w:val="4"/>
          <w:w w:val="105"/>
          <w:sz w:val="13"/>
        </w:rPr>
        <w:t> </w:t>
      </w:r>
      <w:r>
        <w:rPr>
          <w:w w:val="105"/>
          <w:sz w:val="13"/>
        </w:rPr>
        <w:t>removal</w:t>
      </w:r>
      <w:r>
        <w:rPr>
          <w:spacing w:val="5"/>
          <w:w w:val="105"/>
          <w:sz w:val="13"/>
        </w:rPr>
        <w:t> </w:t>
      </w:r>
      <w:r>
        <w:rPr>
          <w:w w:val="105"/>
          <w:sz w:val="13"/>
        </w:rPr>
        <w:t>notice</w:t>
      </w:r>
      <w:r>
        <w:rPr>
          <w:spacing w:val="4"/>
          <w:w w:val="105"/>
          <w:sz w:val="13"/>
        </w:rPr>
        <w:t> </w:t>
      </w:r>
      <w:r>
        <w:rPr>
          <w:w w:val="105"/>
          <w:sz w:val="13"/>
        </w:rPr>
        <w:t>process.</w:t>
      </w:r>
      <w:r>
        <w:rPr>
          <w:spacing w:val="5"/>
          <w:w w:val="105"/>
          <w:sz w:val="13"/>
        </w:rPr>
        <w:t> </w:t>
      </w:r>
      <w:r>
        <w:rPr>
          <w:w w:val="105"/>
          <w:sz w:val="13"/>
        </w:rPr>
        <w:t>This</w:t>
      </w:r>
      <w:r>
        <w:rPr>
          <w:spacing w:val="4"/>
          <w:w w:val="105"/>
          <w:sz w:val="13"/>
        </w:rPr>
        <w:t> </w:t>
      </w:r>
      <w:r>
        <w:rPr>
          <w:w w:val="105"/>
          <w:sz w:val="13"/>
        </w:rPr>
        <w:t>process</w:t>
      </w:r>
      <w:r>
        <w:rPr>
          <w:spacing w:val="5"/>
          <w:w w:val="105"/>
          <w:sz w:val="13"/>
        </w:rPr>
        <w:t> </w:t>
      </w:r>
      <w:r>
        <w:rPr>
          <w:w w:val="105"/>
          <w:sz w:val="13"/>
        </w:rPr>
        <w:t>is</w:t>
      </w:r>
      <w:r>
        <w:rPr>
          <w:spacing w:val="4"/>
          <w:w w:val="105"/>
          <w:sz w:val="13"/>
        </w:rPr>
        <w:t> </w:t>
      </w:r>
      <w:r>
        <w:rPr>
          <w:w w:val="105"/>
          <w:sz w:val="13"/>
        </w:rPr>
        <w:t>discussed</w:t>
      </w:r>
      <w:r>
        <w:rPr>
          <w:spacing w:val="5"/>
          <w:w w:val="105"/>
          <w:sz w:val="13"/>
        </w:rPr>
        <w:t> </w:t>
      </w:r>
      <w:r>
        <w:rPr>
          <w:w w:val="105"/>
          <w:sz w:val="13"/>
        </w:rPr>
        <w:t>in</w:t>
      </w:r>
      <w:r>
        <w:rPr>
          <w:spacing w:val="4"/>
          <w:w w:val="105"/>
          <w:sz w:val="13"/>
        </w:rPr>
        <w:t> </w:t>
      </w:r>
      <w:r>
        <w:rPr>
          <w:w w:val="105"/>
          <w:sz w:val="13"/>
        </w:rPr>
        <w:t>Ch</w:t>
      </w:r>
      <w:r>
        <w:rPr>
          <w:spacing w:val="5"/>
          <w:w w:val="105"/>
          <w:sz w:val="13"/>
        </w:rPr>
        <w:t> </w:t>
      </w:r>
      <w:r>
        <w:rPr>
          <w:w w:val="105"/>
          <w:sz w:val="13"/>
        </w:rPr>
        <w:t>6.</w:t>
      </w:r>
    </w:p>
    <w:p>
      <w:pPr>
        <w:pStyle w:val="ListParagraph"/>
        <w:numPr>
          <w:ilvl w:val="0"/>
          <w:numId w:val="39"/>
        </w:numPr>
        <w:tabs>
          <w:tab w:pos="2381" w:val="left" w:leader="none"/>
          <w:tab w:pos="2382" w:val="left" w:leader="none"/>
        </w:tabs>
        <w:spacing w:line="240" w:lineRule="auto" w:before="3"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39"/>
        </w:numPr>
        <w:tabs>
          <w:tab w:pos="2381" w:val="left" w:leader="none"/>
          <w:tab w:pos="2382" w:val="left" w:leader="none"/>
        </w:tabs>
        <w:spacing w:line="240" w:lineRule="auto" w:before="1" w:after="0"/>
        <w:ind w:left="2381" w:right="0" w:hanging="794"/>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39"/>
        </w:numPr>
        <w:tabs>
          <w:tab w:pos="2381" w:val="left" w:leader="none"/>
          <w:tab w:pos="2382" w:val="left" w:leader="none"/>
        </w:tabs>
        <w:spacing w:line="240" w:lineRule="auto" w:before="2" w:after="0"/>
        <w:ind w:left="2381" w:right="1688" w:hanging="794"/>
        <w:jc w:val="left"/>
        <w:rPr>
          <w:sz w:val="13"/>
        </w:rPr>
      </w:pPr>
      <w:r>
        <w:rPr>
          <w:w w:val="105"/>
          <w:sz w:val="13"/>
        </w:rPr>
        <w:t>Information provided by the Resource Management and Planning Appeal Tribunal to the Commission, April 2019. The data provided dates   to 26 April</w:t>
      </w:r>
      <w:r>
        <w:rPr>
          <w:spacing w:val="13"/>
          <w:w w:val="105"/>
          <w:sz w:val="13"/>
        </w:rPr>
        <w:t> </w:t>
      </w:r>
      <w:r>
        <w:rPr>
          <w:w w:val="105"/>
          <w:sz w:val="13"/>
        </w:rPr>
        <w:t>2019.</w:t>
      </w:r>
    </w:p>
    <w:p>
      <w:pPr>
        <w:pStyle w:val="ListParagraph"/>
        <w:numPr>
          <w:ilvl w:val="0"/>
          <w:numId w:val="39"/>
        </w:numPr>
        <w:tabs>
          <w:tab w:pos="2381" w:val="left" w:leader="none"/>
          <w:tab w:pos="2382" w:val="left" w:leader="none"/>
        </w:tabs>
        <w:spacing w:line="240" w:lineRule="auto" w:before="2" w:after="0"/>
        <w:ind w:left="2381" w:right="1741" w:hanging="794"/>
        <w:jc w:val="left"/>
        <w:rPr>
          <w:sz w:val="13"/>
        </w:rPr>
      </w:pPr>
      <w:r>
        <w:rPr/>
        <w:pict>
          <v:shape style="position:absolute;margin-left:548.981506pt;margin-top:11.032665pt;width:13.25pt;height:14.25pt;mso-position-horizontal-relative:page;mso-position-vertical-relative:paragraph;z-index:4312" type="#_x0000_t202" filled="false" stroked="false">
            <v:textbox inset="0,0,0,0">
              <w:txbxContent>
                <w:p>
                  <w:pPr>
                    <w:spacing w:line="284" w:lineRule="exact" w:before="0"/>
                    <w:ind w:left="0" w:right="0" w:firstLine="0"/>
                    <w:jc w:val="left"/>
                    <w:rPr>
                      <w:b/>
                      <w:sz w:val="24"/>
                    </w:rPr>
                  </w:pPr>
                  <w:r>
                    <w:rPr>
                      <w:b/>
                      <w:color w:val="658464"/>
                      <w:spacing w:val="-2"/>
                      <w:w w:val="110"/>
                      <w:sz w:val="24"/>
                    </w:rPr>
                    <w:t>53</w:t>
                  </w:r>
                </w:p>
              </w:txbxContent>
            </v:textbox>
            <w10:wrap type="none"/>
          </v:shape>
        </w:pict>
      </w:r>
      <w:r>
        <w:rPr>
          <w:w w:val="105"/>
          <w:sz w:val="13"/>
        </w:rPr>
        <w:t>Department of Justice and Attorney-General </w:t>
      </w:r>
      <w:r>
        <w:rPr>
          <w:spacing w:val="3"/>
          <w:w w:val="105"/>
          <w:sz w:val="13"/>
        </w:rPr>
        <w:t>(NSW), </w:t>
      </w:r>
      <w:r>
        <w:rPr>
          <w:i/>
          <w:w w:val="105"/>
          <w:sz w:val="13"/>
        </w:rPr>
        <w:t>Review of the Trees (Disputes Between Neighbours) Act 2006 </w:t>
      </w:r>
      <w:r>
        <w:rPr>
          <w:spacing w:val="3"/>
          <w:w w:val="105"/>
          <w:sz w:val="13"/>
        </w:rPr>
        <w:t>(NSW) </w:t>
      </w:r>
      <w:r>
        <w:rPr>
          <w:spacing w:val="2"/>
          <w:w w:val="105"/>
          <w:sz w:val="13"/>
        </w:rPr>
        <w:t>(Report, 2009)  </w:t>
      </w:r>
      <w:r>
        <w:rPr>
          <w:w w:val="105"/>
          <w:sz w:val="13"/>
        </w:rPr>
        <w:t>10,</w:t>
      </w:r>
      <w:r>
        <w:rPr>
          <w:spacing w:val="4"/>
          <w:w w:val="105"/>
          <w:sz w:val="13"/>
        </w:rPr>
        <w:t> </w:t>
      </w:r>
      <w:r>
        <w:rPr>
          <w:w w:val="105"/>
          <w:sz w:val="13"/>
        </w:rPr>
        <w:t>15-16.</w:t>
      </w:r>
    </w:p>
    <w:p>
      <w:pPr>
        <w:pStyle w:val="ListParagraph"/>
        <w:numPr>
          <w:ilvl w:val="0"/>
          <w:numId w:val="39"/>
        </w:numPr>
        <w:tabs>
          <w:tab w:pos="2381" w:val="left" w:leader="none"/>
          <w:tab w:pos="2382" w:val="left" w:leader="none"/>
        </w:tabs>
        <w:spacing w:line="240" w:lineRule="auto" w:before="3" w:after="0"/>
        <w:ind w:left="2381" w:right="0" w:hanging="793"/>
        <w:jc w:val="left"/>
        <w:rPr>
          <w:sz w:val="13"/>
        </w:rPr>
      </w:pPr>
      <w:r>
        <w:rPr>
          <w:w w:val="105"/>
          <w:sz w:val="13"/>
        </w:rPr>
        <w:t>Consultation </w:t>
      </w:r>
      <w:r>
        <w:rPr>
          <w:spacing w:val="-3"/>
          <w:w w:val="105"/>
          <w:sz w:val="13"/>
        </w:rPr>
        <w:t>15 </w:t>
      </w:r>
      <w:r>
        <w:rPr>
          <w:w w:val="105"/>
          <w:sz w:val="13"/>
        </w:rPr>
        <w:t>(Queensland Civil and Administrative Tribunal).</w:t>
      </w:r>
    </w:p>
    <w:p>
      <w:pPr>
        <w:spacing w:after="0" w:line="240" w:lineRule="auto"/>
        <w:jc w:val="left"/>
        <w:rPr>
          <w:sz w:val="13"/>
        </w:rPr>
        <w:sectPr>
          <w:headerReference w:type="default" r:id="rId76"/>
          <w:headerReference w:type="even" r:id="rId77"/>
          <w:pgSz w:w="11910" w:h="16840"/>
          <w:pgMar w:header="808" w:footer="0" w:top="1360" w:bottom="280" w:left="0" w:right="0"/>
        </w:sectPr>
      </w:pPr>
    </w:p>
    <w:p>
      <w:pPr>
        <w:pStyle w:val="BodyText"/>
        <w:spacing w:before="9"/>
        <w:rPr>
          <w:sz w:val="22"/>
        </w:rPr>
      </w:pPr>
    </w:p>
    <w:p>
      <w:pPr>
        <w:pStyle w:val="ListParagraph"/>
        <w:numPr>
          <w:ilvl w:val="1"/>
          <w:numId w:val="16"/>
        </w:numPr>
        <w:tabs>
          <w:tab w:pos="2381" w:val="left" w:leader="none"/>
          <w:tab w:pos="2382" w:val="left" w:leader="none"/>
        </w:tabs>
        <w:spacing w:line="240" w:lineRule="auto" w:before="92" w:after="0"/>
        <w:ind w:left="2381" w:right="0" w:hanging="794"/>
        <w:jc w:val="left"/>
        <w:rPr>
          <w:sz w:val="21"/>
        </w:rPr>
      </w:pPr>
      <w:bookmarkStart w:name="Community responses—options for reform" w:id="94"/>
      <w:bookmarkEnd w:id="94"/>
      <w:r>
        <w:rPr/>
      </w:r>
      <w:bookmarkStart w:name="_bookmark37" w:id="95"/>
      <w:bookmarkEnd w:id="95"/>
      <w:r>
        <w:rPr/>
      </w:r>
      <w:bookmarkStart w:name="_bookmark37" w:id="96"/>
      <w:bookmarkEnd w:id="96"/>
      <w:r>
        <w:rPr>
          <w:sz w:val="21"/>
        </w:rPr>
        <w:t>T</w:t>
      </w:r>
      <w:r>
        <w:rPr>
          <w:sz w:val="21"/>
        </w:rPr>
        <w:t>hese</w:t>
      </w:r>
      <w:r>
        <w:rPr>
          <w:spacing w:val="10"/>
          <w:sz w:val="21"/>
        </w:rPr>
        <w:t> </w:t>
      </w:r>
      <w:r>
        <w:rPr>
          <w:sz w:val="21"/>
        </w:rPr>
        <w:t>schemes</w:t>
      </w:r>
      <w:r>
        <w:rPr>
          <w:spacing w:val="10"/>
          <w:sz w:val="21"/>
        </w:rPr>
        <w:t> </w:t>
      </w:r>
      <w:r>
        <w:rPr>
          <w:sz w:val="21"/>
        </w:rPr>
        <w:t>provide</w:t>
      </w:r>
      <w:r>
        <w:rPr>
          <w:spacing w:val="10"/>
          <w:sz w:val="21"/>
        </w:rPr>
        <w:t> </w:t>
      </w:r>
      <w:r>
        <w:rPr>
          <w:sz w:val="21"/>
        </w:rPr>
        <w:t>a</w:t>
      </w:r>
      <w:r>
        <w:rPr>
          <w:spacing w:val="10"/>
          <w:sz w:val="21"/>
        </w:rPr>
        <w:t> </w:t>
      </w:r>
      <w:r>
        <w:rPr>
          <w:sz w:val="21"/>
        </w:rPr>
        <w:t>good</w:t>
      </w:r>
      <w:r>
        <w:rPr>
          <w:spacing w:val="10"/>
          <w:sz w:val="21"/>
        </w:rPr>
        <w:t> </w:t>
      </w:r>
      <w:r>
        <w:rPr>
          <w:sz w:val="21"/>
        </w:rPr>
        <w:t>guide</w:t>
      </w:r>
      <w:r>
        <w:rPr>
          <w:spacing w:val="10"/>
          <w:sz w:val="21"/>
        </w:rPr>
        <w:t> </w:t>
      </w:r>
      <w:r>
        <w:rPr>
          <w:spacing w:val="-3"/>
          <w:sz w:val="21"/>
        </w:rPr>
        <w:t>for</w:t>
      </w:r>
      <w:r>
        <w:rPr>
          <w:spacing w:val="10"/>
          <w:sz w:val="21"/>
        </w:rPr>
        <w:t> </w:t>
      </w:r>
      <w:r>
        <w:rPr>
          <w:sz w:val="21"/>
        </w:rPr>
        <w:t>a</w:t>
      </w:r>
      <w:r>
        <w:rPr>
          <w:spacing w:val="11"/>
          <w:sz w:val="21"/>
        </w:rPr>
        <w:t> </w:t>
      </w:r>
      <w:r>
        <w:rPr>
          <w:spacing w:val="-3"/>
          <w:sz w:val="21"/>
        </w:rPr>
        <w:t>legislative</w:t>
      </w:r>
      <w:r>
        <w:rPr>
          <w:spacing w:val="10"/>
          <w:sz w:val="21"/>
        </w:rPr>
        <w:t> </w:t>
      </w:r>
      <w:r>
        <w:rPr>
          <w:spacing w:val="-3"/>
          <w:sz w:val="21"/>
        </w:rPr>
        <w:t>regime</w:t>
      </w:r>
      <w:r>
        <w:rPr>
          <w:spacing w:val="10"/>
          <w:sz w:val="21"/>
        </w:rPr>
        <w:t> </w:t>
      </w:r>
      <w:r>
        <w:rPr>
          <w:sz w:val="21"/>
        </w:rPr>
        <w:t>in</w:t>
      </w:r>
      <w:r>
        <w:rPr>
          <w:spacing w:val="10"/>
          <w:sz w:val="21"/>
        </w:rPr>
        <w:t> </w:t>
      </w:r>
      <w:r>
        <w:rPr>
          <w:sz w:val="21"/>
        </w:rPr>
        <w:t>Victoria.</w:t>
      </w:r>
    </w:p>
    <w:p>
      <w:pPr>
        <w:pStyle w:val="Heading7"/>
      </w:pPr>
      <w:r>
        <w:rPr>
          <w:w w:val="115"/>
        </w:rPr>
        <w:t>International jurisdictions</w:t>
      </w:r>
    </w:p>
    <w:p>
      <w:pPr>
        <w:pStyle w:val="ListParagraph"/>
        <w:numPr>
          <w:ilvl w:val="1"/>
          <w:numId w:val="16"/>
        </w:numPr>
        <w:tabs>
          <w:tab w:pos="2381" w:val="left" w:leader="none"/>
          <w:tab w:pos="2382" w:val="left" w:leader="none"/>
        </w:tabs>
        <w:spacing w:line="242" w:lineRule="auto" w:before="143" w:after="0"/>
        <w:ind w:left="2381" w:right="1875" w:hanging="794"/>
        <w:jc w:val="left"/>
        <w:rPr>
          <w:sz w:val="21"/>
        </w:rPr>
      </w:pPr>
      <w:r>
        <w:rPr>
          <w:w w:val="105"/>
          <w:sz w:val="21"/>
        </w:rPr>
        <w:t>Some </w:t>
      </w:r>
      <w:r>
        <w:rPr>
          <w:spacing w:val="-3"/>
          <w:w w:val="105"/>
          <w:sz w:val="21"/>
        </w:rPr>
        <w:t>international </w:t>
      </w:r>
      <w:r>
        <w:rPr>
          <w:w w:val="105"/>
          <w:sz w:val="21"/>
        </w:rPr>
        <w:t>jurisdictions </w:t>
      </w:r>
      <w:r>
        <w:rPr>
          <w:spacing w:val="-3"/>
          <w:w w:val="105"/>
          <w:sz w:val="21"/>
        </w:rPr>
        <w:t>have </w:t>
      </w:r>
      <w:r>
        <w:rPr>
          <w:w w:val="105"/>
          <w:sz w:val="21"/>
        </w:rPr>
        <w:t>also developed laws and processes </w:t>
      </w:r>
      <w:r>
        <w:rPr>
          <w:spacing w:val="-3"/>
          <w:w w:val="105"/>
          <w:sz w:val="21"/>
        </w:rPr>
        <w:t>to </w:t>
      </w:r>
      <w:r>
        <w:rPr>
          <w:w w:val="105"/>
          <w:sz w:val="21"/>
        </w:rPr>
        <w:t>help neighbours </w:t>
      </w:r>
      <w:r>
        <w:rPr>
          <w:spacing w:val="-3"/>
          <w:w w:val="105"/>
          <w:sz w:val="21"/>
        </w:rPr>
        <w:t>to </w:t>
      </w:r>
      <w:r>
        <w:rPr>
          <w:w w:val="105"/>
          <w:sz w:val="21"/>
        </w:rPr>
        <w:t>resolve their tree </w:t>
      </w:r>
      <w:r>
        <w:rPr>
          <w:spacing w:val="-3"/>
          <w:w w:val="105"/>
          <w:sz w:val="21"/>
        </w:rPr>
        <w:t>disputes. </w:t>
      </w:r>
      <w:r>
        <w:rPr>
          <w:w w:val="105"/>
          <w:sz w:val="21"/>
        </w:rPr>
        <w:t>They </w:t>
      </w:r>
      <w:r>
        <w:rPr>
          <w:spacing w:val="-3"/>
          <w:w w:val="105"/>
          <w:sz w:val="21"/>
        </w:rPr>
        <w:t>include </w:t>
      </w:r>
      <w:r>
        <w:rPr>
          <w:w w:val="105"/>
          <w:sz w:val="21"/>
        </w:rPr>
        <w:t>New </w:t>
      </w:r>
      <w:r>
        <w:rPr>
          <w:spacing w:val="-3"/>
          <w:w w:val="105"/>
          <w:sz w:val="21"/>
        </w:rPr>
        <w:t>Zealand, Singapore, Canada </w:t>
      </w:r>
      <w:r>
        <w:rPr>
          <w:w w:val="105"/>
          <w:sz w:val="21"/>
        </w:rPr>
        <w:t>and the </w:t>
      </w:r>
      <w:r>
        <w:rPr>
          <w:spacing w:val="-3"/>
          <w:w w:val="105"/>
          <w:sz w:val="21"/>
        </w:rPr>
        <w:t>United States. </w:t>
      </w:r>
      <w:r>
        <w:rPr>
          <w:w w:val="105"/>
          <w:sz w:val="21"/>
        </w:rPr>
        <w:t>Some of these </w:t>
      </w:r>
      <w:r>
        <w:rPr>
          <w:spacing w:val="-3"/>
          <w:w w:val="105"/>
          <w:sz w:val="21"/>
        </w:rPr>
        <w:t>international </w:t>
      </w:r>
      <w:r>
        <w:rPr>
          <w:w w:val="105"/>
          <w:sz w:val="21"/>
        </w:rPr>
        <w:t>schemes </w:t>
      </w:r>
      <w:r>
        <w:rPr>
          <w:spacing w:val="-3"/>
          <w:w w:val="105"/>
          <w:sz w:val="21"/>
        </w:rPr>
        <w:t>have informed </w:t>
      </w:r>
      <w:r>
        <w:rPr>
          <w:w w:val="105"/>
          <w:sz w:val="21"/>
        </w:rPr>
        <w:t>the development of </w:t>
      </w:r>
      <w:r>
        <w:rPr>
          <w:spacing w:val="-3"/>
          <w:w w:val="105"/>
          <w:sz w:val="21"/>
        </w:rPr>
        <w:t>recommendations </w:t>
      </w:r>
      <w:r>
        <w:rPr>
          <w:w w:val="105"/>
          <w:sz w:val="21"/>
        </w:rPr>
        <w:t>in this</w:t>
      </w:r>
      <w:r>
        <w:rPr>
          <w:spacing w:val="22"/>
          <w:w w:val="105"/>
          <w:sz w:val="21"/>
        </w:rPr>
        <w:t> </w:t>
      </w:r>
      <w:r>
        <w:rPr>
          <w:w w:val="105"/>
          <w:sz w:val="21"/>
        </w:rPr>
        <w:t>report.</w:t>
      </w:r>
    </w:p>
    <w:p>
      <w:pPr>
        <w:pStyle w:val="BodyText"/>
        <w:spacing w:before="11"/>
      </w:pPr>
    </w:p>
    <w:p>
      <w:pPr>
        <w:pStyle w:val="Heading4"/>
      </w:pPr>
      <w:r>
        <w:rPr>
          <w:color w:val="658464"/>
          <w:w w:val="115"/>
        </w:rPr>
        <w:t>Community responses—options for reform</w:t>
      </w:r>
    </w:p>
    <w:p>
      <w:pPr>
        <w:pStyle w:val="ListParagraph"/>
        <w:numPr>
          <w:ilvl w:val="1"/>
          <w:numId w:val="16"/>
        </w:numPr>
        <w:tabs>
          <w:tab w:pos="2381" w:val="left" w:leader="none"/>
          <w:tab w:pos="2382" w:val="left" w:leader="none"/>
        </w:tabs>
        <w:spacing w:line="242" w:lineRule="auto" w:before="155" w:after="0"/>
        <w:ind w:left="2381" w:right="1877" w:hanging="794"/>
        <w:jc w:val="left"/>
        <w:rPr>
          <w:sz w:val="21"/>
        </w:rPr>
      </w:pPr>
      <w:r>
        <w:rPr>
          <w:w w:val="105"/>
          <w:sz w:val="21"/>
        </w:rPr>
        <w:t>In</w:t>
      </w:r>
      <w:r>
        <w:rPr>
          <w:spacing w:val="-7"/>
          <w:w w:val="105"/>
          <w:sz w:val="21"/>
        </w:rPr>
        <w:t> </w:t>
      </w:r>
      <w:r>
        <w:rPr>
          <w:w w:val="105"/>
          <w:sz w:val="21"/>
        </w:rPr>
        <w:t>the</w:t>
      </w:r>
      <w:r>
        <w:rPr>
          <w:spacing w:val="-6"/>
          <w:w w:val="105"/>
          <w:sz w:val="21"/>
        </w:rPr>
        <w:t> </w:t>
      </w:r>
      <w:r>
        <w:rPr>
          <w:spacing w:val="-3"/>
          <w:w w:val="105"/>
          <w:sz w:val="21"/>
        </w:rPr>
        <w:t>consultation</w:t>
      </w:r>
      <w:r>
        <w:rPr>
          <w:spacing w:val="-6"/>
          <w:w w:val="105"/>
          <w:sz w:val="21"/>
        </w:rPr>
        <w:t> </w:t>
      </w:r>
      <w:r>
        <w:rPr>
          <w:spacing w:val="-4"/>
          <w:w w:val="105"/>
          <w:sz w:val="21"/>
        </w:rPr>
        <w:t>paper,</w:t>
      </w:r>
      <w:r>
        <w:rPr>
          <w:spacing w:val="-6"/>
          <w:w w:val="105"/>
          <w:sz w:val="21"/>
        </w:rPr>
        <w:t> </w:t>
      </w:r>
      <w:r>
        <w:rPr>
          <w:w w:val="105"/>
          <w:sz w:val="21"/>
        </w:rPr>
        <w:t>the</w:t>
      </w:r>
      <w:r>
        <w:rPr>
          <w:spacing w:val="-6"/>
          <w:w w:val="105"/>
          <w:sz w:val="21"/>
        </w:rPr>
        <w:t> </w:t>
      </w:r>
      <w:r>
        <w:rPr>
          <w:spacing w:val="-3"/>
          <w:w w:val="105"/>
          <w:sz w:val="21"/>
        </w:rPr>
        <w:t>Commission</w:t>
      </w:r>
      <w:r>
        <w:rPr>
          <w:spacing w:val="-6"/>
          <w:w w:val="105"/>
          <w:sz w:val="21"/>
        </w:rPr>
        <w:t> </w:t>
      </w:r>
      <w:r>
        <w:rPr>
          <w:spacing w:val="-3"/>
          <w:w w:val="105"/>
          <w:sz w:val="21"/>
        </w:rPr>
        <w:t>sought</w:t>
      </w:r>
      <w:r>
        <w:rPr>
          <w:spacing w:val="-6"/>
          <w:w w:val="105"/>
          <w:sz w:val="21"/>
        </w:rPr>
        <w:t> </w:t>
      </w:r>
      <w:r>
        <w:rPr>
          <w:w w:val="105"/>
          <w:sz w:val="21"/>
        </w:rPr>
        <w:t>community</w:t>
      </w:r>
      <w:r>
        <w:rPr>
          <w:spacing w:val="-6"/>
          <w:w w:val="105"/>
          <w:sz w:val="21"/>
        </w:rPr>
        <w:t> </w:t>
      </w:r>
      <w:r>
        <w:rPr>
          <w:w w:val="105"/>
          <w:sz w:val="21"/>
        </w:rPr>
        <w:t>responses</w:t>
      </w:r>
      <w:r>
        <w:rPr>
          <w:spacing w:val="-6"/>
          <w:w w:val="105"/>
          <w:sz w:val="21"/>
        </w:rPr>
        <w:t> </w:t>
      </w:r>
      <w:r>
        <w:rPr>
          <w:w w:val="105"/>
          <w:sz w:val="21"/>
        </w:rPr>
        <w:t>on</w:t>
      </w:r>
      <w:r>
        <w:rPr>
          <w:spacing w:val="-6"/>
          <w:w w:val="105"/>
          <w:sz w:val="21"/>
        </w:rPr>
        <w:t> </w:t>
      </w:r>
      <w:r>
        <w:rPr>
          <w:w w:val="105"/>
          <w:sz w:val="21"/>
        </w:rPr>
        <w:t>three</w:t>
      </w:r>
      <w:r>
        <w:rPr>
          <w:spacing w:val="-6"/>
          <w:w w:val="105"/>
          <w:sz w:val="21"/>
        </w:rPr>
        <w:t> </w:t>
      </w:r>
      <w:r>
        <w:rPr>
          <w:spacing w:val="-3"/>
          <w:w w:val="105"/>
          <w:sz w:val="21"/>
        </w:rPr>
        <w:t>main </w:t>
      </w:r>
      <w:r>
        <w:rPr>
          <w:w w:val="105"/>
          <w:sz w:val="21"/>
        </w:rPr>
        <w:t>options </w:t>
      </w:r>
      <w:r>
        <w:rPr>
          <w:spacing w:val="-3"/>
          <w:w w:val="105"/>
          <w:sz w:val="21"/>
        </w:rPr>
        <w:t>for</w:t>
      </w:r>
      <w:r>
        <w:rPr>
          <w:spacing w:val="10"/>
          <w:w w:val="105"/>
          <w:sz w:val="21"/>
        </w:rPr>
        <w:t> </w:t>
      </w:r>
      <w:r>
        <w:rPr>
          <w:w w:val="105"/>
          <w:sz w:val="21"/>
        </w:rPr>
        <w:t>reform:</w:t>
      </w:r>
    </w:p>
    <w:p>
      <w:pPr>
        <w:pStyle w:val="ListParagraph"/>
        <w:numPr>
          <w:ilvl w:val="2"/>
          <w:numId w:val="16"/>
        </w:numPr>
        <w:tabs>
          <w:tab w:pos="2721" w:val="left" w:leader="none"/>
          <w:tab w:pos="2722" w:val="left" w:leader="none"/>
        </w:tabs>
        <w:spacing w:line="240" w:lineRule="auto" w:before="122" w:after="0"/>
        <w:ind w:left="2721" w:right="0" w:hanging="340"/>
        <w:jc w:val="left"/>
        <w:rPr>
          <w:sz w:val="21"/>
        </w:rPr>
      </w:pPr>
      <w:r>
        <w:rPr>
          <w:sz w:val="21"/>
        </w:rPr>
        <w:t>Option </w:t>
      </w:r>
      <w:r>
        <w:rPr>
          <w:spacing w:val="-4"/>
          <w:sz w:val="21"/>
        </w:rPr>
        <w:t>1: </w:t>
      </w:r>
      <w:r>
        <w:rPr>
          <w:spacing w:val="-2"/>
          <w:sz w:val="21"/>
        </w:rPr>
        <w:t>Retain </w:t>
      </w:r>
      <w:r>
        <w:rPr>
          <w:sz w:val="21"/>
        </w:rPr>
        <w:t>the existing system but with specific</w:t>
      </w:r>
      <w:r>
        <w:rPr>
          <w:spacing w:val="3"/>
          <w:sz w:val="21"/>
        </w:rPr>
        <w:t> </w:t>
      </w:r>
      <w:r>
        <w:rPr>
          <w:spacing w:val="-3"/>
          <w:sz w:val="21"/>
        </w:rPr>
        <w:t>improvements</w:t>
      </w:r>
    </w:p>
    <w:p>
      <w:pPr>
        <w:pStyle w:val="ListParagraph"/>
        <w:numPr>
          <w:ilvl w:val="2"/>
          <w:numId w:val="16"/>
        </w:numPr>
        <w:tabs>
          <w:tab w:pos="2721" w:val="left" w:leader="none"/>
          <w:tab w:pos="2722" w:val="left" w:leader="none"/>
        </w:tabs>
        <w:spacing w:line="242" w:lineRule="auto" w:before="89" w:after="0"/>
        <w:ind w:left="2721" w:right="1989" w:hanging="340"/>
        <w:jc w:val="left"/>
        <w:rPr>
          <w:sz w:val="21"/>
        </w:rPr>
      </w:pPr>
      <w:r>
        <w:rPr>
          <w:sz w:val="21"/>
        </w:rPr>
        <w:t>Option 2: </w:t>
      </w:r>
      <w:r>
        <w:rPr>
          <w:spacing w:val="-3"/>
          <w:sz w:val="21"/>
        </w:rPr>
        <w:t>Introduce </w:t>
      </w:r>
      <w:r>
        <w:rPr>
          <w:sz w:val="21"/>
        </w:rPr>
        <w:t>a new statutory scheme (an Act) </w:t>
      </w:r>
      <w:r>
        <w:rPr>
          <w:spacing w:val="-3"/>
          <w:sz w:val="21"/>
        </w:rPr>
        <w:t>for </w:t>
      </w:r>
      <w:r>
        <w:rPr>
          <w:sz w:val="21"/>
        </w:rPr>
        <w:t>resolving tree </w:t>
      </w:r>
      <w:r>
        <w:rPr>
          <w:spacing w:val="-3"/>
          <w:sz w:val="21"/>
        </w:rPr>
        <w:t>disputes </w:t>
      </w:r>
      <w:r>
        <w:rPr>
          <w:sz w:val="21"/>
        </w:rPr>
        <w:t>in Victoria</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w w:val="105"/>
          <w:sz w:val="21"/>
        </w:rPr>
        <w:t>Option 3: </w:t>
      </w:r>
      <w:r>
        <w:rPr>
          <w:spacing w:val="-3"/>
          <w:w w:val="105"/>
          <w:sz w:val="21"/>
        </w:rPr>
        <w:t>Alternative </w:t>
      </w:r>
      <w:r>
        <w:rPr>
          <w:w w:val="105"/>
          <w:sz w:val="21"/>
        </w:rPr>
        <w:t>options </w:t>
      </w:r>
      <w:r>
        <w:rPr>
          <w:spacing w:val="-3"/>
          <w:w w:val="105"/>
          <w:sz w:val="21"/>
        </w:rPr>
        <w:t>for</w:t>
      </w:r>
      <w:r>
        <w:rPr>
          <w:spacing w:val="28"/>
          <w:w w:val="105"/>
          <w:sz w:val="21"/>
        </w:rPr>
        <w:t> </w:t>
      </w:r>
      <w:r>
        <w:rPr>
          <w:spacing w:val="-3"/>
          <w:w w:val="105"/>
          <w:sz w:val="21"/>
        </w:rPr>
        <w:t>reform.</w:t>
      </w:r>
    </w:p>
    <w:p>
      <w:pPr>
        <w:pStyle w:val="ListParagraph"/>
        <w:numPr>
          <w:ilvl w:val="1"/>
          <w:numId w:val="16"/>
        </w:numPr>
        <w:tabs>
          <w:tab w:pos="2381" w:val="left" w:leader="none"/>
          <w:tab w:pos="2382" w:val="left" w:leader="none"/>
        </w:tabs>
        <w:spacing w:line="242" w:lineRule="auto" w:before="89" w:after="0"/>
        <w:ind w:left="2381" w:right="2266" w:hanging="794"/>
        <w:jc w:val="left"/>
        <w:rPr>
          <w:sz w:val="21"/>
        </w:rPr>
      </w:pPr>
      <w:r>
        <w:rPr>
          <w:spacing w:val="-3"/>
          <w:w w:val="105"/>
          <w:sz w:val="21"/>
        </w:rPr>
        <w:t>Community</w:t>
      </w:r>
      <w:r>
        <w:rPr>
          <w:spacing w:val="-10"/>
          <w:w w:val="105"/>
          <w:sz w:val="21"/>
        </w:rPr>
        <w:t> </w:t>
      </w:r>
      <w:r>
        <w:rPr>
          <w:w w:val="105"/>
          <w:sz w:val="21"/>
        </w:rPr>
        <w:t>responses</w:t>
      </w:r>
      <w:r>
        <w:rPr>
          <w:spacing w:val="-10"/>
          <w:w w:val="105"/>
          <w:sz w:val="21"/>
        </w:rPr>
        <w:t> </w:t>
      </w:r>
      <w:r>
        <w:rPr>
          <w:w w:val="105"/>
          <w:sz w:val="21"/>
        </w:rPr>
        <w:t>overwhelmingly</w:t>
      </w:r>
      <w:r>
        <w:rPr>
          <w:spacing w:val="-9"/>
          <w:w w:val="105"/>
          <w:sz w:val="21"/>
        </w:rPr>
        <w:t> </w:t>
      </w:r>
      <w:r>
        <w:rPr>
          <w:w w:val="105"/>
          <w:sz w:val="21"/>
        </w:rPr>
        <w:t>supported</w:t>
      </w:r>
      <w:r>
        <w:rPr>
          <w:spacing w:val="-10"/>
          <w:w w:val="105"/>
          <w:sz w:val="21"/>
        </w:rPr>
        <w:t> </w:t>
      </w:r>
      <w:r>
        <w:rPr>
          <w:w w:val="105"/>
          <w:sz w:val="21"/>
        </w:rPr>
        <w:t>the</w:t>
      </w:r>
      <w:r>
        <w:rPr>
          <w:spacing w:val="-9"/>
          <w:w w:val="105"/>
          <w:sz w:val="21"/>
        </w:rPr>
        <w:t> </w:t>
      </w:r>
      <w:r>
        <w:rPr>
          <w:w w:val="105"/>
          <w:sz w:val="21"/>
        </w:rPr>
        <w:t>introduction</w:t>
      </w:r>
      <w:r>
        <w:rPr>
          <w:spacing w:val="-10"/>
          <w:w w:val="105"/>
          <w:sz w:val="21"/>
        </w:rPr>
        <w:t> </w:t>
      </w:r>
      <w:r>
        <w:rPr>
          <w:w w:val="105"/>
          <w:sz w:val="21"/>
        </w:rPr>
        <w:t>of</w:t>
      </w:r>
      <w:r>
        <w:rPr>
          <w:spacing w:val="-9"/>
          <w:w w:val="105"/>
          <w:sz w:val="21"/>
        </w:rPr>
        <w:t> </w:t>
      </w:r>
      <w:r>
        <w:rPr>
          <w:w w:val="105"/>
          <w:sz w:val="21"/>
        </w:rPr>
        <w:t>a</w:t>
      </w:r>
      <w:r>
        <w:rPr>
          <w:spacing w:val="-10"/>
          <w:w w:val="105"/>
          <w:sz w:val="21"/>
        </w:rPr>
        <w:t> </w:t>
      </w:r>
      <w:r>
        <w:rPr>
          <w:w w:val="105"/>
          <w:sz w:val="21"/>
        </w:rPr>
        <w:t>new</w:t>
      </w:r>
      <w:r>
        <w:rPr>
          <w:spacing w:val="-9"/>
          <w:w w:val="105"/>
          <w:sz w:val="21"/>
        </w:rPr>
        <w:t> </w:t>
      </w:r>
      <w:r>
        <w:rPr>
          <w:w w:val="105"/>
          <w:sz w:val="21"/>
        </w:rPr>
        <w:t>Act</w:t>
      </w:r>
      <w:r>
        <w:rPr>
          <w:spacing w:val="-10"/>
          <w:w w:val="105"/>
          <w:sz w:val="21"/>
        </w:rPr>
        <w:t> </w:t>
      </w:r>
      <w:r>
        <w:rPr>
          <w:w w:val="105"/>
          <w:sz w:val="21"/>
        </w:rPr>
        <w:t>in Victoria.</w:t>
      </w:r>
    </w:p>
    <w:p>
      <w:pPr>
        <w:pStyle w:val="BodyText"/>
        <w:spacing w:before="2"/>
        <w:rPr>
          <w:sz w:val="20"/>
        </w:rPr>
      </w:pPr>
    </w:p>
    <w:p>
      <w:pPr>
        <w:pStyle w:val="Heading5"/>
        <w:spacing w:before="1"/>
      </w:pPr>
      <w:r>
        <w:rPr>
          <w:w w:val="110"/>
        </w:rPr>
        <w:t>Option</w:t>
      </w:r>
      <w:r>
        <w:rPr>
          <w:spacing w:val="21"/>
          <w:w w:val="110"/>
        </w:rPr>
        <w:t> </w:t>
      </w:r>
      <w:r>
        <w:rPr>
          <w:w w:val="110"/>
        </w:rPr>
        <w:t>1:</w:t>
      </w:r>
      <w:r>
        <w:rPr>
          <w:spacing w:val="21"/>
          <w:w w:val="110"/>
        </w:rPr>
        <w:t> </w:t>
      </w:r>
      <w:r>
        <w:rPr>
          <w:w w:val="110"/>
        </w:rPr>
        <w:t>Retain</w:t>
      </w:r>
      <w:r>
        <w:rPr>
          <w:spacing w:val="21"/>
          <w:w w:val="110"/>
        </w:rPr>
        <w:t> </w:t>
      </w:r>
      <w:r>
        <w:rPr>
          <w:w w:val="110"/>
        </w:rPr>
        <w:t>the</w:t>
      </w:r>
      <w:r>
        <w:rPr>
          <w:spacing w:val="22"/>
          <w:w w:val="110"/>
        </w:rPr>
        <w:t> </w:t>
      </w:r>
      <w:r>
        <w:rPr>
          <w:w w:val="110"/>
        </w:rPr>
        <w:t>existing</w:t>
      </w:r>
      <w:r>
        <w:rPr>
          <w:spacing w:val="21"/>
          <w:w w:val="110"/>
        </w:rPr>
        <w:t> </w:t>
      </w:r>
      <w:r>
        <w:rPr>
          <w:w w:val="110"/>
        </w:rPr>
        <w:t>system</w:t>
      </w:r>
    </w:p>
    <w:p>
      <w:pPr>
        <w:pStyle w:val="ListParagraph"/>
        <w:numPr>
          <w:ilvl w:val="1"/>
          <w:numId w:val="16"/>
        </w:numPr>
        <w:tabs>
          <w:tab w:pos="2381" w:val="left" w:leader="none"/>
          <w:tab w:pos="2382" w:val="left" w:leader="none"/>
        </w:tabs>
        <w:spacing w:line="242" w:lineRule="auto" w:before="137" w:after="0"/>
        <w:ind w:left="2381" w:right="1641" w:hanging="794"/>
        <w:jc w:val="left"/>
        <w:rPr>
          <w:sz w:val="21"/>
        </w:rPr>
      </w:pPr>
      <w:r>
        <w:rPr>
          <w:w w:val="105"/>
          <w:sz w:val="21"/>
        </w:rPr>
        <w:t>Only a </w:t>
      </w:r>
      <w:r>
        <w:rPr>
          <w:spacing w:val="-3"/>
          <w:w w:val="105"/>
          <w:sz w:val="21"/>
        </w:rPr>
        <w:t>small </w:t>
      </w:r>
      <w:r>
        <w:rPr>
          <w:w w:val="105"/>
          <w:sz w:val="21"/>
        </w:rPr>
        <w:t>number of people </w:t>
      </w:r>
      <w:r>
        <w:rPr>
          <w:spacing w:val="-3"/>
          <w:w w:val="105"/>
          <w:sz w:val="21"/>
        </w:rPr>
        <w:t>considered </w:t>
      </w:r>
      <w:r>
        <w:rPr>
          <w:w w:val="105"/>
          <w:sz w:val="21"/>
        </w:rPr>
        <w:t>the </w:t>
      </w:r>
      <w:r>
        <w:rPr>
          <w:spacing w:val="-3"/>
          <w:w w:val="105"/>
          <w:sz w:val="21"/>
        </w:rPr>
        <w:t>current </w:t>
      </w:r>
      <w:r>
        <w:rPr>
          <w:w w:val="105"/>
          <w:sz w:val="21"/>
        </w:rPr>
        <w:t>law and process in Victoria </w:t>
      </w:r>
      <w:r>
        <w:rPr>
          <w:spacing w:val="-4"/>
          <w:w w:val="105"/>
          <w:sz w:val="21"/>
        </w:rPr>
        <w:t>satisfactory.</w:t>
      </w:r>
      <w:r>
        <w:rPr>
          <w:spacing w:val="-4"/>
          <w:w w:val="105"/>
          <w:position w:val="7"/>
          <w:sz w:val="12"/>
        </w:rPr>
        <w:t>18</w:t>
      </w:r>
      <w:r>
        <w:rPr>
          <w:spacing w:val="10"/>
          <w:w w:val="105"/>
          <w:position w:val="7"/>
          <w:sz w:val="12"/>
        </w:rPr>
        <w:t> </w:t>
      </w:r>
      <w:r>
        <w:rPr>
          <w:w w:val="105"/>
          <w:sz w:val="21"/>
        </w:rPr>
        <w:t>Most</w:t>
      </w:r>
      <w:r>
        <w:rPr>
          <w:spacing w:val="-12"/>
          <w:w w:val="105"/>
          <w:sz w:val="21"/>
        </w:rPr>
        <w:t> </w:t>
      </w:r>
      <w:r>
        <w:rPr>
          <w:w w:val="105"/>
          <w:sz w:val="21"/>
        </w:rPr>
        <w:t>community</w:t>
      </w:r>
      <w:r>
        <w:rPr>
          <w:spacing w:val="-12"/>
          <w:w w:val="105"/>
          <w:sz w:val="21"/>
        </w:rPr>
        <w:t> </w:t>
      </w:r>
      <w:r>
        <w:rPr>
          <w:w w:val="105"/>
          <w:sz w:val="21"/>
        </w:rPr>
        <w:t>members</w:t>
      </w:r>
      <w:r>
        <w:rPr>
          <w:spacing w:val="-12"/>
          <w:w w:val="105"/>
          <w:sz w:val="21"/>
        </w:rPr>
        <w:t> </w:t>
      </w:r>
      <w:r>
        <w:rPr>
          <w:w w:val="105"/>
          <w:sz w:val="21"/>
        </w:rPr>
        <w:t>who</w:t>
      </w:r>
      <w:r>
        <w:rPr>
          <w:spacing w:val="-12"/>
          <w:w w:val="105"/>
          <w:sz w:val="21"/>
        </w:rPr>
        <w:t> </w:t>
      </w:r>
      <w:r>
        <w:rPr>
          <w:w w:val="105"/>
          <w:sz w:val="21"/>
        </w:rPr>
        <w:t>addressed</w:t>
      </w:r>
      <w:r>
        <w:rPr>
          <w:spacing w:val="-12"/>
          <w:w w:val="105"/>
          <w:sz w:val="21"/>
        </w:rPr>
        <w:t> </w:t>
      </w:r>
      <w:r>
        <w:rPr>
          <w:w w:val="105"/>
          <w:sz w:val="21"/>
        </w:rPr>
        <w:t>this</w:t>
      </w:r>
      <w:r>
        <w:rPr>
          <w:spacing w:val="-12"/>
          <w:w w:val="105"/>
          <w:sz w:val="21"/>
        </w:rPr>
        <w:t> </w:t>
      </w:r>
      <w:r>
        <w:rPr>
          <w:w w:val="105"/>
          <w:sz w:val="21"/>
        </w:rPr>
        <w:t>question</w:t>
      </w:r>
      <w:r>
        <w:rPr>
          <w:spacing w:val="-12"/>
          <w:w w:val="105"/>
          <w:sz w:val="21"/>
        </w:rPr>
        <w:t> </w:t>
      </w:r>
      <w:r>
        <w:rPr>
          <w:w w:val="105"/>
          <w:sz w:val="21"/>
        </w:rPr>
        <w:t>suggested</w:t>
      </w:r>
      <w:r>
        <w:rPr>
          <w:spacing w:val="-12"/>
          <w:w w:val="105"/>
          <w:sz w:val="21"/>
        </w:rPr>
        <w:t> </w:t>
      </w:r>
      <w:r>
        <w:rPr>
          <w:spacing w:val="-3"/>
          <w:w w:val="105"/>
          <w:sz w:val="21"/>
        </w:rPr>
        <w:t>that</w:t>
      </w:r>
      <w:r>
        <w:rPr>
          <w:spacing w:val="-12"/>
          <w:w w:val="105"/>
          <w:sz w:val="21"/>
        </w:rPr>
        <w:t> </w:t>
      </w:r>
      <w:r>
        <w:rPr>
          <w:w w:val="105"/>
          <w:sz w:val="21"/>
        </w:rPr>
        <w:t>the </w:t>
      </w:r>
      <w:r>
        <w:rPr>
          <w:spacing w:val="-3"/>
          <w:w w:val="105"/>
          <w:sz w:val="21"/>
        </w:rPr>
        <w:t>current </w:t>
      </w:r>
      <w:r>
        <w:rPr>
          <w:w w:val="105"/>
          <w:sz w:val="21"/>
        </w:rPr>
        <w:t>law is </w:t>
      </w:r>
      <w:r>
        <w:rPr>
          <w:spacing w:val="-2"/>
          <w:w w:val="105"/>
          <w:sz w:val="21"/>
        </w:rPr>
        <w:t>not </w:t>
      </w:r>
      <w:r>
        <w:rPr>
          <w:spacing w:val="-4"/>
          <w:w w:val="105"/>
          <w:sz w:val="21"/>
        </w:rPr>
        <w:t>satisfactory.</w:t>
      </w:r>
      <w:r>
        <w:rPr>
          <w:spacing w:val="-4"/>
          <w:w w:val="105"/>
          <w:position w:val="7"/>
          <w:sz w:val="12"/>
        </w:rPr>
        <w:t>19 </w:t>
      </w:r>
      <w:r>
        <w:rPr>
          <w:w w:val="105"/>
          <w:sz w:val="21"/>
        </w:rPr>
        <w:t>One </w:t>
      </w:r>
      <w:r>
        <w:rPr>
          <w:spacing w:val="-3"/>
          <w:w w:val="105"/>
          <w:sz w:val="21"/>
        </w:rPr>
        <w:t>submission</w:t>
      </w:r>
      <w:r>
        <w:rPr>
          <w:spacing w:val="38"/>
          <w:w w:val="105"/>
          <w:sz w:val="21"/>
        </w:rPr>
        <w:t> </w:t>
      </w:r>
      <w:r>
        <w:rPr>
          <w:w w:val="105"/>
          <w:sz w:val="21"/>
        </w:rPr>
        <w:t>noted:</w:t>
      </w:r>
    </w:p>
    <w:p>
      <w:pPr>
        <w:spacing w:line="254" w:lineRule="auto" w:before="133"/>
        <w:ind w:left="2834" w:right="1636" w:firstLine="0"/>
        <w:jc w:val="left"/>
        <w:rPr>
          <w:sz w:val="11"/>
        </w:rPr>
      </w:pPr>
      <w:r>
        <w:rPr>
          <w:w w:val="105"/>
          <w:sz w:val="20"/>
        </w:rPr>
        <w:t>the existing system should not be retained </w:t>
      </w:r>
      <w:r>
        <w:rPr>
          <w:w w:val="115"/>
          <w:sz w:val="20"/>
        </w:rPr>
        <w:t>… </w:t>
      </w:r>
      <w:r>
        <w:rPr>
          <w:w w:val="105"/>
          <w:sz w:val="20"/>
        </w:rPr>
        <w:t>Anything that resolves or unifies the multitude</w:t>
      </w:r>
      <w:r>
        <w:rPr>
          <w:spacing w:val="-12"/>
          <w:w w:val="105"/>
          <w:sz w:val="20"/>
        </w:rPr>
        <w:t> </w:t>
      </w:r>
      <w:r>
        <w:rPr>
          <w:w w:val="105"/>
          <w:sz w:val="20"/>
        </w:rPr>
        <w:t>of</w:t>
      </w:r>
      <w:r>
        <w:rPr>
          <w:spacing w:val="-12"/>
          <w:w w:val="105"/>
          <w:sz w:val="20"/>
        </w:rPr>
        <w:t> </w:t>
      </w:r>
      <w:r>
        <w:rPr>
          <w:w w:val="105"/>
          <w:sz w:val="20"/>
        </w:rPr>
        <w:t>legal</w:t>
      </w:r>
      <w:r>
        <w:rPr>
          <w:spacing w:val="-12"/>
          <w:w w:val="105"/>
          <w:sz w:val="20"/>
        </w:rPr>
        <w:t> </w:t>
      </w:r>
      <w:r>
        <w:rPr>
          <w:w w:val="105"/>
          <w:sz w:val="20"/>
        </w:rPr>
        <w:t>considerations</w:t>
      </w:r>
      <w:r>
        <w:rPr>
          <w:spacing w:val="-12"/>
          <w:w w:val="105"/>
          <w:sz w:val="20"/>
        </w:rPr>
        <w:t> </w:t>
      </w:r>
      <w:r>
        <w:rPr>
          <w:spacing w:val="-3"/>
          <w:w w:val="105"/>
          <w:sz w:val="20"/>
        </w:rPr>
        <w:t>surrounding</w:t>
      </w:r>
      <w:r>
        <w:rPr>
          <w:spacing w:val="-12"/>
          <w:w w:val="105"/>
          <w:sz w:val="20"/>
        </w:rPr>
        <w:t> </w:t>
      </w:r>
      <w:r>
        <w:rPr>
          <w:w w:val="105"/>
          <w:sz w:val="20"/>
        </w:rPr>
        <w:t>tree</w:t>
      </w:r>
      <w:r>
        <w:rPr>
          <w:spacing w:val="-12"/>
          <w:w w:val="105"/>
          <w:sz w:val="20"/>
        </w:rPr>
        <w:t> </w:t>
      </w:r>
      <w:r>
        <w:rPr>
          <w:w w:val="105"/>
          <w:sz w:val="20"/>
        </w:rPr>
        <w:t>dispute</w:t>
      </w:r>
      <w:r>
        <w:rPr>
          <w:spacing w:val="-12"/>
          <w:w w:val="105"/>
          <w:sz w:val="20"/>
        </w:rPr>
        <w:t> </w:t>
      </w:r>
      <w:r>
        <w:rPr>
          <w:w w:val="105"/>
          <w:sz w:val="20"/>
        </w:rPr>
        <w:t>laws</w:t>
      </w:r>
      <w:r>
        <w:rPr>
          <w:spacing w:val="-12"/>
          <w:w w:val="105"/>
          <w:sz w:val="20"/>
        </w:rPr>
        <w:t> </w:t>
      </w:r>
      <w:r>
        <w:rPr>
          <w:w w:val="105"/>
          <w:sz w:val="20"/>
        </w:rPr>
        <w:t>and</w:t>
      </w:r>
      <w:r>
        <w:rPr>
          <w:spacing w:val="-12"/>
          <w:w w:val="105"/>
          <w:sz w:val="20"/>
        </w:rPr>
        <w:t> </w:t>
      </w:r>
      <w:r>
        <w:rPr>
          <w:w w:val="105"/>
          <w:sz w:val="20"/>
        </w:rPr>
        <w:t>processes</w:t>
      </w:r>
      <w:r>
        <w:rPr>
          <w:spacing w:val="-12"/>
          <w:w w:val="105"/>
          <w:sz w:val="20"/>
        </w:rPr>
        <w:t> </w:t>
      </w:r>
      <w:r>
        <w:rPr>
          <w:w w:val="105"/>
          <w:sz w:val="20"/>
        </w:rPr>
        <w:t>that</w:t>
      </w:r>
      <w:r>
        <w:rPr>
          <w:spacing w:val="-12"/>
          <w:w w:val="105"/>
          <w:sz w:val="20"/>
        </w:rPr>
        <w:t> </w:t>
      </w:r>
      <w:r>
        <w:rPr>
          <w:w w:val="105"/>
          <w:sz w:val="20"/>
        </w:rPr>
        <w:t>we </w:t>
      </w:r>
      <w:r>
        <w:rPr>
          <w:spacing w:val="-3"/>
          <w:w w:val="105"/>
          <w:sz w:val="20"/>
        </w:rPr>
        <w:t>have </w:t>
      </w:r>
      <w:r>
        <w:rPr>
          <w:w w:val="105"/>
          <w:sz w:val="20"/>
        </w:rPr>
        <w:t>at present should be a great</w:t>
      </w:r>
      <w:r>
        <w:rPr>
          <w:spacing w:val="30"/>
          <w:w w:val="105"/>
          <w:sz w:val="20"/>
        </w:rPr>
        <w:t> </w:t>
      </w:r>
      <w:r>
        <w:rPr>
          <w:w w:val="105"/>
          <w:sz w:val="20"/>
        </w:rPr>
        <w:t>improvement.</w:t>
      </w:r>
      <w:r>
        <w:rPr>
          <w:w w:val="105"/>
          <w:position w:val="7"/>
          <w:sz w:val="11"/>
        </w:rPr>
        <w:t>20</w:t>
      </w:r>
    </w:p>
    <w:p>
      <w:pPr>
        <w:pStyle w:val="ListParagraph"/>
        <w:numPr>
          <w:ilvl w:val="1"/>
          <w:numId w:val="16"/>
        </w:numPr>
        <w:tabs>
          <w:tab w:pos="2381" w:val="left" w:leader="none"/>
          <w:tab w:pos="2382" w:val="left" w:leader="none"/>
        </w:tabs>
        <w:spacing w:line="240" w:lineRule="auto" w:before="114" w:after="0"/>
        <w:ind w:left="2381" w:right="0" w:hanging="794"/>
        <w:jc w:val="left"/>
        <w:rPr>
          <w:sz w:val="21"/>
        </w:rPr>
      </w:pPr>
      <w:r>
        <w:rPr>
          <w:sz w:val="21"/>
        </w:rPr>
        <w:t>Another </w:t>
      </w:r>
      <w:r>
        <w:rPr>
          <w:spacing w:val="-3"/>
          <w:sz w:val="21"/>
        </w:rPr>
        <w:t>commented, </w:t>
      </w:r>
      <w:r>
        <w:rPr>
          <w:sz w:val="21"/>
        </w:rPr>
        <w:t>‘the law in Victoria </w:t>
      </w:r>
      <w:r>
        <w:rPr>
          <w:spacing w:val="-3"/>
          <w:sz w:val="21"/>
        </w:rPr>
        <w:t>relating to </w:t>
      </w:r>
      <w:r>
        <w:rPr>
          <w:sz w:val="21"/>
        </w:rPr>
        <w:t>tree </w:t>
      </w:r>
      <w:r>
        <w:rPr>
          <w:spacing w:val="-3"/>
          <w:sz w:val="21"/>
        </w:rPr>
        <w:t>disputes </w:t>
      </w:r>
      <w:r>
        <w:rPr>
          <w:sz w:val="21"/>
        </w:rPr>
        <w:t>is </w:t>
      </w:r>
      <w:r>
        <w:rPr>
          <w:spacing w:val="-3"/>
          <w:sz w:val="21"/>
        </w:rPr>
        <w:t>totally</w:t>
      </w:r>
      <w:r>
        <w:rPr>
          <w:spacing w:val="-28"/>
          <w:sz w:val="21"/>
        </w:rPr>
        <w:t> </w:t>
      </w:r>
      <w:r>
        <w:rPr>
          <w:sz w:val="21"/>
        </w:rPr>
        <w:t>unsatisfactory</w:t>
      </w:r>
    </w:p>
    <w:p>
      <w:pPr>
        <w:pStyle w:val="BodyText"/>
        <w:spacing w:line="242" w:lineRule="auto" w:before="3"/>
        <w:ind w:left="2381" w:right="1517"/>
        <w:rPr>
          <w:sz w:val="12"/>
        </w:rPr>
      </w:pPr>
      <w:r>
        <w:rPr>
          <w:w w:val="115"/>
        </w:rPr>
        <w:t>… </w:t>
      </w:r>
      <w:r>
        <w:rPr>
          <w:w w:val="105"/>
        </w:rPr>
        <w:t>in reality [it] offers no protection </w:t>
      </w:r>
      <w:r>
        <w:rPr>
          <w:spacing w:val="-3"/>
          <w:w w:val="105"/>
        </w:rPr>
        <w:t>to </w:t>
      </w:r>
      <w:r>
        <w:rPr>
          <w:w w:val="105"/>
        </w:rPr>
        <w:t>persons and property </w:t>
      </w:r>
      <w:r>
        <w:rPr>
          <w:spacing w:val="-3"/>
          <w:w w:val="105"/>
        </w:rPr>
        <w:t>that may </w:t>
      </w:r>
      <w:r>
        <w:rPr>
          <w:w w:val="105"/>
        </w:rPr>
        <w:t>be impacted and or </w:t>
      </w:r>
      <w:r>
        <w:rPr>
          <w:spacing w:val="-3"/>
          <w:w w:val="105"/>
        </w:rPr>
        <w:t>inconvenienced </w:t>
      </w:r>
      <w:r>
        <w:rPr>
          <w:w w:val="105"/>
        </w:rPr>
        <w:t>by a </w:t>
      </w:r>
      <w:r>
        <w:rPr>
          <w:spacing w:val="-3"/>
          <w:w w:val="105"/>
        </w:rPr>
        <w:t>neighbour’s </w:t>
      </w:r>
      <w:r>
        <w:rPr>
          <w:spacing w:val="-6"/>
          <w:w w:val="105"/>
        </w:rPr>
        <w:t>tree.’</w:t>
      </w:r>
      <w:r>
        <w:rPr>
          <w:spacing w:val="-6"/>
          <w:w w:val="105"/>
          <w:position w:val="7"/>
          <w:sz w:val="12"/>
        </w:rPr>
        <w:t>21</w:t>
      </w:r>
    </w:p>
    <w:p>
      <w:pPr>
        <w:pStyle w:val="ListParagraph"/>
        <w:numPr>
          <w:ilvl w:val="1"/>
          <w:numId w:val="16"/>
        </w:numPr>
        <w:tabs>
          <w:tab w:pos="2381" w:val="left" w:leader="none"/>
          <w:tab w:pos="2382" w:val="left" w:leader="none"/>
        </w:tabs>
        <w:spacing w:line="240" w:lineRule="auto" w:before="123" w:after="0"/>
        <w:ind w:left="2381" w:right="0" w:hanging="794"/>
        <w:jc w:val="left"/>
        <w:rPr>
          <w:sz w:val="21"/>
        </w:rPr>
      </w:pPr>
      <w:r>
        <w:rPr>
          <w:w w:val="105"/>
          <w:sz w:val="21"/>
        </w:rPr>
        <w:t>Some community members provided suggestions </w:t>
      </w:r>
      <w:r>
        <w:rPr>
          <w:spacing w:val="-3"/>
          <w:w w:val="105"/>
          <w:sz w:val="21"/>
        </w:rPr>
        <w:t>for </w:t>
      </w:r>
      <w:r>
        <w:rPr>
          <w:w w:val="105"/>
          <w:sz w:val="21"/>
        </w:rPr>
        <w:t>specific</w:t>
      </w:r>
      <w:r>
        <w:rPr>
          <w:spacing w:val="18"/>
          <w:w w:val="105"/>
          <w:sz w:val="21"/>
        </w:rPr>
        <w:t> </w:t>
      </w:r>
      <w:r>
        <w:rPr>
          <w:w w:val="105"/>
          <w:sz w:val="21"/>
        </w:rPr>
        <w:t>improvements:</w:t>
      </w:r>
    </w:p>
    <w:p>
      <w:pPr>
        <w:pStyle w:val="ListParagraph"/>
        <w:numPr>
          <w:ilvl w:val="2"/>
          <w:numId w:val="16"/>
        </w:numPr>
        <w:tabs>
          <w:tab w:pos="2721" w:val="left" w:leader="none"/>
          <w:tab w:pos="2722" w:val="left" w:leader="none"/>
        </w:tabs>
        <w:spacing w:line="240" w:lineRule="auto" w:before="123" w:after="0"/>
        <w:ind w:left="2721" w:right="0" w:hanging="340"/>
        <w:jc w:val="left"/>
        <w:rPr>
          <w:sz w:val="12"/>
        </w:rPr>
      </w:pPr>
      <w:r>
        <w:rPr>
          <w:w w:val="105"/>
          <w:sz w:val="21"/>
        </w:rPr>
        <w:t>modifications </w:t>
      </w:r>
      <w:r>
        <w:rPr>
          <w:spacing w:val="-3"/>
          <w:w w:val="105"/>
          <w:sz w:val="21"/>
        </w:rPr>
        <w:t>to</w:t>
      </w:r>
      <w:r>
        <w:rPr>
          <w:spacing w:val="10"/>
          <w:w w:val="105"/>
          <w:sz w:val="21"/>
        </w:rPr>
        <w:t> </w:t>
      </w:r>
      <w:r>
        <w:rPr>
          <w:w w:val="105"/>
          <w:sz w:val="21"/>
        </w:rPr>
        <w:t>abatement</w:t>
      </w:r>
      <w:r>
        <w:rPr>
          <w:w w:val="105"/>
          <w:position w:val="7"/>
          <w:sz w:val="12"/>
        </w:rPr>
        <w:t>22</w:t>
      </w:r>
    </w:p>
    <w:p>
      <w:pPr>
        <w:pStyle w:val="ListParagraph"/>
        <w:numPr>
          <w:ilvl w:val="2"/>
          <w:numId w:val="16"/>
        </w:numPr>
        <w:tabs>
          <w:tab w:pos="2721" w:val="left" w:leader="none"/>
          <w:tab w:pos="2722" w:val="left" w:leader="none"/>
        </w:tabs>
        <w:spacing w:line="242" w:lineRule="auto" w:before="89" w:after="0"/>
        <w:ind w:left="2721" w:right="2117" w:hanging="340"/>
        <w:jc w:val="left"/>
        <w:rPr>
          <w:sz w:val="12"/>
        </w:rPr>
      </w:pPr>
      <w:r>
        <w:rPr>
          <w:spacing w:val="-3"/>
          <w:w w:val="105"/>
          <w:sz w:val="21"/>
        </w:rPr>
        <w:t>accessible </w:t>
      </w:r>
      <w:r>
        <w:rPr>
          <w:w w:val="105"/>
          <w:sz w:val="21"/>
        </w:rPr>
        <w:t>and </w:t>
      </w:r>
      <w:r>
        <w:rPr>
          <w:spacing w:val="-3"/>
          <w:w w:val="105"/>
          <w:sz w:val="21"/>
        </w:rPr>
        <w:t>centralised information </w:t>
      </w:r>
      <w:r>
        <w:rPr>
          <w:w w:val="105"/>
          <w:sz w:val="21"/>
        </w:rPr>
        <w:t>about </w:t>
      </w:r>
      <w:r>
        <w:rPr>
          <w:spacing w:val="-3"/>
          <w:w w:val="105"/>
          <w:sz w:val="21"/>
        </w:rPr>
        <w:t>available </w:t>
      </w:r>
      <w:r>
        <w:rPr>
          <w:w w:val="105"/>
          <w:sz w:val="21"/>
        </w:rPr>
        <w:t>options and rights and best</w:t>
      </w:r>
      <w:r>
        <w:rPr>
          <w:spacing w:val="-6"/>
          <w:w w:val="105"/>
          <w:sz w:val="21"/>
        </w:rPr>
        <w:t> </w:t>
      </w:r>
      <w:r>
        <w:rPr>
          <w:w w:val="105"/>
          <w:sz w:val="21"/>
        </w:rPr>
        <w:t>practice</w:t>
      </w:r>
      <w:r>
        <w:rPr>
          <w:spacing w:val="-6"/>
          <w:w w:val="105"/>
          <w:sz w:val="21"/>
        </w:rPr>
        <w:t> </w:t>
      </w:r>
      <w:r>
        <w:rPr>
          <w:spacing w:val="-3"/>
          <w:w w:val="105"/>
          <w:sz w:val="21"/>
        </w:rPr>
        <w:t>for</w:t>
      </w:r>
      <w:r>
        <w:rPr>
          <w:spacing w:val="-5"/>
          <w:w w:val="105"/>
          <w:sz w:val="21"/>
        </w:rPr>
        <w:t> </w:t>
      </w:r>
      <w:r>
        <w:rPr>
          <w:spacing w:val="-3"/>
          <w:w w:val="105"/>
          <w:sz w:val="21"/>
        </w:rPr>
        <w:t>pruning</w:t>
      </w:r>
      <w:r>
        <w:rPr>
          <w:spacing w:val="-6"/>
          <w:w w:val="105"/>
          <w:sz w:val="21"/>
        </w:rPr>
        <w:t> </w:t>
      </w:r>
      <w:r>
        <w:rPr>
          <w:spacing w:val="-3"/>
          <w:w w:val="105"/>
          <w:sz w:val="21"/>
        </w:rPr>
        <w:t>(for</w:t>
      </w:r>
      <w:r>
        <w:rPr>
          <w:spacing w:val="-6"/>
          <w:w w:val="105"/>
          <w:sz w:val="21"/>
        </w:rPr>
        <w:t> </w:t>
      </w:r>
      <w:r>
        <w:rPr>
          <w:spacing w:val="-3"/>
          <w:w w:val="105"/>
          <w:sz w:val="21"/>
        </w:rPr>
        <w:t>example,</w:t>
      </w:r>
      <w:r>
        <w:rPr>
          <w:spacing w:val="-5"/>
          <w:w w:val="105"/>
          <w:sz w:val="21"/>
        </w:rPr>
        <w:t> </w:t>
      </w:r>
      <w:r>
        <w:rPr>
          <w:spacing w:val="-3"/>
          <w:w w:val="105"/>
          <w:sz w:val="21"/>
        </w:rPr>
        <w:t>information</w:t>
      </w:r>
      <w:r>
        <w:rPr>
          <w:spacing w:val="-6"/>
          <w:w w:val="105"/>
          <w:sz w:val="21"/>
        </w:rPr>
        <w:t> </w:t>
      </w:r>
      <w:r>
        <w:rPr>
          <w:w w:val="105"/>
          <w:sz w:val="21"/>
        </w:rPr>
        <w:t>about</w:t>
      </w:r>
      <w:r>
        <w:rPr>
          <w:spacing w:val="-5"/>
          <w:w w:val="105"/>
          <w:sz w:val="21"/>
        </w:rPr>
        <w:t> </w:t>
      </w:r>
      <w:r>
        <w:rPr>
          <w:w w:val="105"/>
          <w:sz w:val="21"/>
        </w:rPr>
        <w:t>the</w:t>
      </w:r>
      <w:r>
        <w:rPr>
          <w:spacing w:val="-6"/>
          <w:w w:val="105"/>
          <w:sz w:val="21"/>
        </w:rPr>
        <w:t> </w:t>
      </w:r>
      <w:r>
        <w:rPr>
          <w:spacing w:val="-3"/>
          <w:w w:val="105"/>
          <w:sz w:val="21"/>
        </w:rPr>
        <w:t>relevant</w:t>
      </w:r>
      <w:r>
        <w:rPr>
          <w:spacing w:val="-6"/>
          <w:w w:val="105"/>
          <w:sz w:val="21"/>
        </w:rPr>
        <w:t> </w:t>
      </w:r>
      <w:r>
        <w:rPr>
          <w:spacing w:val="-3"/>
          <w:w w:val="105"/>
          <w:sz w:val="21"/>
        </w:rPr>
        <w:t>Australian </w:t>
      </w:r>
      <w:r>
        <w:rPr>
          <w:w w:val="105"/>
          <w:sz w:val="21"/>
        </w:rPr>
        <w:t>Standards)</w:t>
      </w:r>
      <w:r>
        <w:rPr>
          <w:w w:val="105"/>
          <w:position w:val="7"/>
          <w:sz w:val="12"/>
        </w:rPr>
        <w:t>23</w:t>
      </w:r>
    </w:p>
    <w:p>
      <w:pPr>
        <w:pStyle w:val="ListParagraph"/>
        <w:numPr>
          <w:ilvl w:val="2"/>
          <w:numId w:val="16"/>
        </w:numPr>
        <w:tabs>
          <w:tab w:pos="2722" w:val="left" w:leader="none"/>
        </w:tabs>
        <w:spacing w:line="242" w:lineRule="auto" w:before="88" w:after="0"/>
        <w:ind w:left="2721" w:right="2069" w:hanging="340"/>
        <w:jc w:val="both"/>
        <w:rPr>
          <w:sz w:val="12"/>
        </w:rPr>
      </w:pPr>
      <w:r>
        <w:rPr>
          <w:spacing w:val="-3"/>
          <w:sz w:val="21"/>
        </w:rPr>
        <w:t>compelling </w:t>
      </w:r>
      <w:r>
        <w:rPr>
          <w:sz w:val="21"/>
        </w:rPr>
        <w:t>tree owners </w:t>
      </w:r>
      <w:r>
        <w:rPr>
          <w:spacing w:val="-3"/>
          <w:sz w:val="21"/>
        </w:rPr>
        <w:t>to manage </w:t>
      </w:r>
      <w:r>
        <w:rPr>
          <w:sz w:val="21"/>
        </w:rPr>
        <w:t>or remedy trees in specific </w:t>
      </w:r>
      <w:r>
        <w:rPr>
          <w:spacing w:val="-3"/>
          <w:sz w:val="21"/>
        </w:rPr>
        <w:t>situations </w:t>
      </w:r>
      <w:r>
        <w:rPr>
          <w:sz w:val="21"/>
        </w:rPr>
        <w:t>(such as where the tree hosts pests or is </w:t>
      </w:r>
      <w:r>
        <w:rPr>
          <w:spacing w:val="-2"/>
          <w:sz w:val="21"/>
        </w:rPr>
        <w:t>diseased, </w:t>
      </w:r>
      <w:r>
        <w:rPr>
          <w:sz w:val="21"/>
        </w:rPr>
        <w:t>or where an affected </w:t>
      </w:r>
      <w:r>
        <w:rPr>
          <w:spacing w:val="-3"/>
          <w:sz w:val="21"/>
        </w:rPr>
        <w:t>neighbour makes </w:t>
      </w:r>
      <w:r>
        <w:rPr>
          <w:sz w:val="21"/>
        </w:rPr>
        <w:t>specific requests </w:t>
      </w:r>
      <w:r>
        <w:rPr>
          <w:spacing w:val="-3"/>
          <w:sz w:val="21"/>
        </w:rPr>
        <w:t>for </w:t>
      </w:r>
      <w:r>
        <w:rPr>
          <w:sz w:val="21"/>
        </w:rPr>
        <w:t>works) with </w:t>
      </w:r>
      <w:r>
        <w:rPr>
          <w:spacing w:val="-3"/>
          <w:sz w:val="21"/>
        </w:rPr>
        <w:t>enforcement </w:t>
      </w:r>
      <w:r>
        <w:rPr>
          <w:sz w:val="21"/>
        </w:rPr>
        <w:t>by local</w:t>
      </w:r>
      <w:r>
        <w:rPr>
          <w:spacing w:val="9"/>
          <w:sz w:val="21"/>
        </w:rPr>
        <w:t> </w:t>
      </w:r>
      <w:r>
        <w:rPr>
          <w:spacing w:val="-3"/>
          <w:sz w:val="21"/>
        </w:rPr>
        <w:t>council</w:t>
      </w:r>
      <w:r>
        <w:rPr>
          <w:spacing w:val="-3"/>
          <w:position w:val="7"/>
          <w:sz w:val="12"/>
        </w:rPr>
        <w:t>24</w:t>
      </w:r>
    </w:p>
    <w:p>
      <w:pPr>
        <w:pStyle w:val="BodyText"/>
        <w:rPr>
          <w:sz w:val="20"/>
        </w:rPr>
      </w:pPr>
    </w:p>
    <w:p>
      <w:pPr>
        <w:pStyle w:val="BodyText"/>
        <w:rPr>
          <w:sz w:val="20"/>
        </w:rPr>
      </w:pPr>
    </w:p>
    <w:p>
      <w:pPr>
        <w:pStyle w:val="BodyText"/>
        <w:spacing w:before="11"/>
        <w:rPr>
          <w:sz w:val="10"/>
        </w:rPr>
      </w:pPr>
      <w:r>
        <w:rPr/>
        <w:pict>
          <v:line style="position:absolute;mso-position-horizontal-relative:page;mso-position-vertical-relative:paragraph;z-index:2288;mso-wrap-distance-left:0;mso-wrap-distance-right:0" from="79.370003pt,9.116327pt" to="515.905003pt,9.116327pt" stroked="true" strokeweight="1pt" strokecolor="#c9d2cb">
            <v:stroke dashstyle="solid"/>
            <w10:wrap type="topAndBottom"/>
          </v:line>
        </w:pict>
      </w:r>
    </w:p>
    <w:p>
      <w:pPr>
        <w:pStyle w:val="ListParagraph"/>
        <w:numPr>
          <w:ilvl w:val="0"/>
          <w:numId w:val="39"/>
        </w:numPr>
        <w:tabs>
          <w:tab w:pos="2381" w:val="left" w:leader="none"/>
          <w:tab w:pos="2382" w:val="left" w:leader="none"/>
        </w:tabs>
        <w:spacing w:line="240" w:lineRule="auto" w:before="117" w:after="0"/>
        <w:ind w:left="2381" w:right="1865" w:hanging="794"/>
        <w:jc w:val="left"/>
        <w:rPr>
          <w:i/>
          <w:sz w:val="13"/>
        </w:rPr>
      </w:pPr>
      <w:r>
        <w:rPr>
          <w:w w:val="105"/>
          <w:sz w:val="13"/>
        </w:rPr>
        <w:t>Only 15.31 per cent of survey responses to Question </w:t>
      </w:r>
      <w:r>
        <w:rPr>
          <w:spacing w:val="-4"/>
          <w:w w:val="105"/>
          <w:sz w:val="13"/>
        </w:rPr>
        <w:t>12  </w:t>
      </w:r>
      <w:r>
        <w:rPr>
          <w:w w:val="105"/>
          <w:sz w:val="13"/>
        </w:rPr>
        <w:t>‘Do you think the current law and process for resolving tree disputes in Victoria   is satisfactory as it is?’ said ‘yes’: Victorian Law Reform Commission, </w:t>
      </w:r>
      <w:r>
        <w:rPr>
          <w:i/>
          <w:w w:val="105"/>
          <w:sz w:val="13"/>
        </w:rPr>
        <w:t>Neighbourhood Tree Disputes Survey </w:t>
      </w:r>
      <w:r>
        <w:rPr>
          <w:w w:val="105"/>
          <w:sz w:val="13"/>
        </w:rPr>
        <w:t>(2018); Submissions 9 </w:t>
      </w:r>
      <w:r>
        <w:rPr>
          <w:spacing w:val="3"/>
          <w:w w:val="105"/>
          <w:sz w:val="13"/>
        </w:rPr>
        <w:t>(Dr  </w:t>
      </w:r>
      <w:r>
        <w:rPr>
          <w:w w:val="105"/>
          <w:sz w:val="13"/>
        </w:rPr>
        <w:t>Karen Smith) ‘I think they probably are. However, there are so many different laws relevant to tree disputes, and also different codes of practices. And they are all in different places’; 21 (Pointon Partners </w:t>
      </w:r>
      <w:r>
        <w:rPr>
          <w:spacing w:val="2"/>
          <w:w w:val="105"/>
          <w:sz w:val="13"/>
        </w:rPr>
        <w:t>Lawyers) ‘The </w:t>
      </w:r>
      <w:r>
        <w:rPr>
          <w:w w:val="105"/>
          <w:sz w:val="13"/>
        </w:rPr>
        <w:t>law is satisfactory, however the process for resolving neighbourhood tree disputes is simply not available to those who cannot afford to go to Court. Therefore, the enactment of an </w:t>
      </w:r>
      <w:r>
        <w:rPr>
          <w:spacing w:val="2"/>
          <w:w w:val="105"/>
          <w:sz w:val="13"/>
        </w:rPr>
        <w:t>Expert </w:t>
      </w:r>
      <w:r>
        <w:rPr>
          <w:w w:val="105"/>
          <w:sz w:val="13"/>
        </w:rPr>
        <w:t>Tribunal</w:t>
      </w:r>
      <w:r>
        <w:rPr>
          <w:spacing w:val="3"/>
          <w:w w:val="105"/>
          <w:sz w:val="13"/>
        </w:rPr>
        <w:t> </w:t>
      </w:r>
      <w:r>
        <w:rPr>
          <w:w w:val="105"/>
          <w:sz w:val="13"/>
        </w:rPr>
        <w:t>to</w:t>
      </w:r>
      <w:r>
        <w:rPr>
          <w:spacing w:val="4"/>
          <w:w w:val="105"/>
          <w:sz w:val="13"/>
        </w:rPr>
        <w:t> </w:t>
      </w:r>
      <w:r>
        <w:rPr>
          <w:w w:val="105"/>
          <w:sz w:val="13"/>
        </w:rPr>
        <w:t>resolve</w:t>
      </w:r>
      <w:r>
        <w:rPr>
          <w:spacing w:val="4"/>
          <w:w w:val="105"/>
          <w:sz w:val="13"/>
        </w:rPr>
        <w:t> </w:t>
      </w:r>
      <w:r>
        <w:rPr>
          <w:w w:val="105"/>
          <w:sz w:val="13"/>
        </w:rPr>
        <w:t>simple</w:t>
      </w:r>
      <w:r>
        <w:rPr>
          <w:spacing w:val="4"/>
          <w:w w:val="105"/>
          <w:sz w:val="13"/>
        </w:rPr>
        <w:t> </w:t>
      </w:r>
      <w:r>
        <w:rPr>
          <w:w w:val="105"/>
          <w:sz w:val="13"/>
        </w:rPr>
        <w:t>dispute</w:t>
      </w:r>
      <w:r>
        <w:rPr>
          <w:spacing w:val="4"/>
          <w:w w:val="105"/>
          <w:sz w:val="13"/>
        </w:rPr>
        <w:t> </w:t>
      </w:r>
      <w:r>
        <w:rPr>
          <w:w w:val="105"/>
          <w:sz w:val="13"/>
        </w:rPr>
        <w:t>between</w:t>
      </w:r>
      <w:r>
        <w:rPr>
          <w:spacing w:val="4"/>
          <w:w w:val="105"/>
          <w:sz w:val="13"/>
        </w:rPr>
        <w:t> </w:t>
      </w:r>
      <w:r>
        <w:rPr>
          <w:w w:val="105"/>
          <w:sz w:val="13"/>
        </w:rPr>
        <w:t>neighbours</w:t>
      </w:r>
      <w:r>
        <w:rPr>
          <w:spacing w:val="4"/>
          <w:w w:val="105"/>
          <w:sz w:val="13"/>
        </w:rPr>
        <w:t> </w:t>
      </w:r>
      <w:r>
        <w:rPr>
          <w:w w:val="105"/>
          <w:sz w:val="13"/>
        </w:rPr>
        <w:t>relating</w:t>
      </w:r>
      <w:r>
        <w:rPr>
          <w:spacing w:val="3"/>
          <w:w w:val="105"/>
          <w:sz w:val="13"/>
        </w:rPr>
        <w:t> </w:t>
      </w:r>
      <w:r>
        <w:rPr>
          <w:w w:val="105"/>
          <w:sz w:val="13"/>
        </w:rPr>
        <w:t>to</w:t>
      </w:r>
      <w:r>
        <w:rPr>
          <w:spacing w:val="4"/>
          <w:w w:val="105"/>
          <w:sz w:val="13"/>
        </w:rPr>
        <w:t> </w:t>
      </w:r>
      <w:r>
        <w:rPr>
          <w:w w:val="105"/>
          <w:sz w:val="13"/>
        </w:rPr>
        <w:t>tree</w:t>
      </w:r>
      <w:r>
        <w:rPr>
          <w:spacing w:val="4"/>
          <w:w w:val="105"/>
          <w:sz w:val="13"/>
        </w:rPr>
        <w:t> </w:t>
      </w:r>
      <w:r>
        <w:rPr>
          <w:w w:val="105"/>
          <w:sz w:val="13"/>
        </w:rPr>
        <w:t>would</w:t>
      </w:r>
      <w:r>
        <w:rPr>
          <w:spacing w:val="4"/>
          <w:w w:val="105"/>
          <w:sz w:val="13"/>
        </w:rPr>
        <w:t> </w:t>
      </w:r>
      <w:r>
        <w:rPr>
          <w:w w:val="105"/>
          <w:sz w:val="13"/>
        </w:rPr>
        <w:t>make</w:t>
      </w:r>
      <w:r>
        <w:rPr>
          <w:spacing w:val="4"/>
          <w:w w:val="105"/>
          <w:sz w:val="13"/>
        </w:rPr>
        <w:t> </w:t>
      </w:r>
      <w:r>
        <w:rPr>
          <w:w w:val="105"/>
          <w:sz w:val="13"/>
        </w:rPr>
        <w:t>justice</w:t>
      </w:r>
      <w:r>
        <w:rPr>
          <w:spacing w:val="4"/>
          <w:w w:val="105"/>
          <w:sz w:val="13"/>
        </w:rPr>
        <w:t> </w:t>
      </w:r>
      <w:r>
        <w:rPr>
          <w:w w:val="105"/>
          <w:sz w:val="13"/>
        </w:rPr>
        <w:t>accessible</w:t>
      </w:r>
      <w:r>
        <w:rPr>
          <w:spacing w:val="4"/>
          <w:w w:val="105"/>
          <w:sz w:val="13"/>
        </w:rPr>
        <w:t> </w:t>
      </w:r>
      <w:r>
        <w:rPr>
          <w:w w:val="105"/>
          <w:sz w:val="13"/>
        </w:rPr>
        <w:t>to</w:t>
      </w:r>
      <w:r>
        <w:rPr>
          <w:spacing w:val="4"/>
          <w:w w:val="105"/>
          <w:sz w:val="13"/>
        </w:rPr>
        <w:t> </w:t>
      </w:r>
      <w:r>
        <w:rPr>
          <w:w w:val="105"/>
          <w:sz w:val="13"/>
        </w:rPr>
        <w:t>all</w:t>
      </w:r>
      <w:r>
        <w:rPr>
          <w:spacing w:val="3"/>
          <w:w w:val="105"/>
          <w:sz w:val="13"/>
        </w:rPr>
        <w:t> </w:t>
      </w:r>
      <w:r>
        <w:rPr>
          <w:w w:val="105"/>
          <w:sz w:val="13"/>
        </w:rPr>
        <w:t>Victorians’</w:t>
      </w:r>
      <w:r>
        <w:rPr>
          <w:i/>
          <w:w w:val="105"/>
          <w:sz w:val="13"/>
        </w:rPr>
        <w:t>.</w:t>
      </w:r>
    </w:p>
    <w:p>
      <w:pPr>
        <w:pStyle w:val="ListParagraph"/>
        <w:numPr>
          <w:ilvl w:val="0"/>
          <w:numId w:val="39"/>
        </w:numPr>
        <w:tabs>
          <w:tab w:pos="2380" w:val="left" w:leader="none"/>
          <w:tab w:pos="2382" w:val="left" w:leader="none"/>
        </w:tabs>
        <w:spacing w:line="240" w:lineRule="auto" w:before="8" w:after="0"/>
        <w:ind w:left="2381" w:right="2151" w:hanging="794"/>
        <w:jc w:val="left"/>
        <w:rPr>
          <w:sz w:val="13"/>
        </w:rPr>
      </w:pPr>
      <w:r>
        <w:rPr>
          <w:w w:val="105"/>
          <w:sz w:val="13"/>
        </w:rPr>
        <w:t>Submissions 2 </w:t>
      </w:r>
      <w:r>
        <w:rPr>
          <w:spacing w:val="2"/>
          <w:w w:val="105"/>
          <w:sz w:val="13"/>
        </w:rPr>
        <w:t>(Name </w:t>
      </w:r>
      <w:r>
        <w:rPr>
          <w:w w:val="105"/>
          <w:sz w:val="13"/>
        </w:rPr>
        <w:t>withheld), 4 </w:t>
      </w:r>
      <w:r>
        <w:rPr>
          <w:spacing w:val="2"/>
          <w:w w:val="105"/>
          <w:sz w:val="13"/>
        </w:rPr>
        <w:t>(Name </w:t>
      </w:r>
      <w:r>
        <w:rPr>
          <w:w w:val="105"/>
          <w:sz w:val="13"/>
        </w:rPr>
        <w:t>withheld), 5 </w:t>
      </w:r>
      <w:r>
        <w:rPr>
          <w:spacing w:val="2"/>
          <w:w w:val="105"/>
          <w:sz w:val="13"/>
        </w:rPr>
        <w:t>(Name </w:t>
      </w:r>
      <w:r>
        <w:rPr>
          <w:w w:val="105"/>
          <w:sz w:val="13"/>
        </w:rPr>
        <w:t>withheld), 6 </w:t>
      </w:r>
      <w:r>
        <w:rPr>
          <w:spacing w:val="2"/>
          <w:w w:val="105"/>
          <w:sz w:val="13"/>
        </w:rPr>
        <w:t>(Name </w:t>
      </w:r>
      <w:r>
        <w:rPr>
          <w:w w:val="105"/>
          <w:sz w:val="13"/>
        </w:rPr>
        <w:t>withheld), 7 </w:t>
      </w:r>
      <w:r>
        <w:rPr>
          <w:spacing w:val="2"/>
          <w:w w:val="105"/>
          <w:sz w:val="13"/>
        </w:rPr>
        <w:t>(Ben </w:t>
      </w:r>
      <w:r>
        <w:rPr>
          <w:w w:val="105"/>
          <w:sz w:val="13"/>
        </w:rPr>
        <w:t>Kenyon), </w:t>
      </w:r>
      <w:r>
        <w:rPr>
          <w:spacing w:val="-6"/>
          <w:w w:val="105"/>
          <w:sz w:val="13"/>
        </w:rPr>
        <w:t>11 </w:t>
      </w:r>
      <w:r>
        <w:rPr>
          <w:spacing w:val="2"/>
          <w:w w:val="105"/>
          <w:sz w:val="13"/>
        </w:rPr>
        <w:t>(Name </w:t>
      </w:r>
      <w:r>
        <w:rPr>
          <w:w w:val="105"/>
          <w:sz w:val="13"/>
        </w:rPr>
        <w:t>withheld),</w:t>
      </w:r>
      <w:r>
        <w:rPr>
          <w:spacing w:val="30"/>
          <w:w w:val="105"/>
          <w:sz w:val="13"/>
        </w:rPr>
        <w:t> </w:t>
      </w:r>
      <w:r>
        <w:rPr>
          <w:spacing w:val="-4"/>
          <w:w w:val="105"/>
          <w:sz w:val="13"/>
        </w:rPr>
        <w:t>13 </w:t>
      </w:r>
      <w:r>
        <w:rPr>
          <w:w w:val="105"/>
          <w:sz w:val="13"/>
        </w:rPr>
        <w:t>(Mandy Collins), </w:t>
      </w:r>
      <w:r>
        <w:rPr>
          <w:spacing w:val="-4"/>
          <w:w w:val="105"/>
          <w:sz w:val="13"/>
        </w:rPr>
        <w:t>17 </w:t>
      </w:r>
      <w:r>
        <w:rPr>
          <w:spacing w:val="2"/>
          <w:w w:val="105"/>
          <w:sz w:val="13"/>
        </w:rPr>
        <w:t>(Name </w:t>
      </w:r>
      <w:r>
        <w:rPr>
          <w:w w:val="105"/>
          <w:sz w:val="13"/>
        </w:rPr>
        <w:t>withheld), </w:t>
      </w:r>
      <w:r>
        <w:rPr>
          <w:spacing w:val="-3"/>
          <w:w w:val="105"/>
          <w:sz w:val="13"/>
        </w:rPr>
        <w:t>19 </w:t>
      </w:r>
      <w:r>
        <w:rPr>
          <w:spacing w:val="2"/>
          <w:w w:val="105"/>
          <w:sz w:val="13"/>
        </w:rPr>
        <w:t>(Name </w:t>
      </w:r>
      <w:r>
        <w:rPr>
          <w:w w:val="105"/>
          <w:sz w:val="13"/>
        </w:rPr>
        <w:t>withheld), 22 </w:t>
      </w:r>
      <w:r>
        <w:rPr>
          <w:spacing w:val="2"/>
          <w:w w:val="105"/>
          <w:sz w:val="13"/>
        </w:rPr>
        <w:t>(Name </w:t>
      </w:r>
      <w:r>
        <w:rPr>
          <w:w w:val="105"/>
          <w:sz w:val="13"/>
        </w:rPr>
        <w:t>withheld), 23 </w:t>
      </w:r>
      <w:r>
        <w:rPr>
          <w:spacing w:val="2"/>
          <w:w w:val="105"/>
          <w:sz w:val="13"/>
        </w:rPr>
        <w:t>(Name </w:t>
      </w:r>
      <w:r>
        <w:rPr>
          <w:w w:val="105"/>
          <w:sz w:val="13"/>
        </w:rPr>
        <w:t>withheld), 24 </w:t>
      </w:r>
      <w:r>
        <w:rPr>
          <w:spacing w:val="2"/>
          <w:w w:val="105"/>
          <w:sz w:val="13"/>
        </w:rPr>
        <w:t>(Name</w:t>
      </w:r>
      <w:r>
        <w:rPr>
          <w:spacing w:val="34"/>
          <w:w w:val="105"/>
          <w:sz w:val="13"/>
        </w:rPr>
        <w:t> </w:t>
      </w:r>
      <w:r>
        <w:rPr>
          <w:w w:val="105"/>
          <w:sz w:val="13"/>
        </w:rPr>
        <w:t>withheld),</w:t>
      </w:r>
    </w:p>
    <w:p>
      <w:pPr>
        <w:spacing w:before="3"/>
        <w:ind w:left="2381" w:right="1903" w:firstLine="0"/>
        <w:jc w:val="left"/>
        <w:rPr>
          <w:sz w:val="13"/>
        </w:rPr>
      </w:pPr>
      <w:r>
        <w:rPr>
          <w:w w:val="105"/>
          <w:sz w:val="13"/>
        </w:rPr>
        <w:t>25 (City of Boroondara), 27 </w:t>
      </w:r>
      <w:r>
        <w:rPr>
          <w:spacing w:val="2"/>
          <w:w w:val="105"/>
          <w:sz w:val="13"/>
        </w:rPr>
        <w:t>(Name </w:t>
      </w:r>
      <w:r>
        <w:rPr>
          <w:w w:val="105"/>
          <w:sz w:val="13"/>
        </w:rPr>
        <w:t>withheld), 30 </w:t>
      </w:r>
      <w:r>
        <w:rPr>
          <w:spacing w:val="3"/>
          <w:w w:val="105"/>
          <w:sz w:val="13"/>
        </w:rPr>
        <w:t>(Law </w:t>
      </w:r>
      <w:r>
        <w:rPr>
          <w:w w:val="105"/>
          <w:sz w:val="13"/>
        </w:rPr>
        <w:t>Institute of </w:t>
      </w:r>
      <w:r>
        <w:rPr>
          <w:spacing w:val="2"/>
          <w:w w:val="105"/>
          <w:sz w:val="13"/>
        </w:rPr>
        <w:t>Victoria), </w:t>
      </w:r>
      <w:r>
        <w:rPr>
          <w:w w:val="105"/>
          <w:sz w:val="13"/>
        </w:rPr>
        <w:t>31 </w:t>
      </w:r>
      <w:r>
        <w:rPr>
          <w:spacing w:val="2"/>
          <w:w w:val="105"/>
          <w:sz w:val="13"/>
        </w:rPr>
        <w:t>(Barwon </w:t>
      </w:r>
      <w:r>
        <w:rPr>
          <w:w w:val="105"/>
          <w:sz w:val="13"/>
        </w:rPr>
        <w:t>Community Legal </w:t>
      </w:r>
      <w:r>
        <w:rPr>
          <w:spacing w:val="2"/>
          <w:w w:val="105"/>
          <w:sz w:val="13"/>
        </w:rPr>
        <w:t>Service), </w:t>
      </w:r>
      <w:r>
        <w:rPr>
          <w:w w:val="105"/>
          <w:sz w:val="13"/>
        </w:rPr>
        <w:t>33 (Annette </w:t>
      </w:r>
      <w:r>
        <w:rPr>
          <w:spacing w:val="2"/>
          <w:w w:val="105"/>
          <w:sz w:val="13"/>
        </w:rPr>
        <w:t>Neville), </w:t>
      </w:r>
      <w:r>
        <w:rPr>
          <w:w w:val="105"/>
          <w:sz w:val="13"/>
        </w:rPr>
        <w:t>34 (Allan Day), 36 (Monique Onezime), 38 </w:t>
      </w:r>
      <w:r>
        <w:rPr>
          <w:spacing w:val="3"/>
          <w:w w:val="105"/>
          <w:sz w:val="13"/>
        </w:rPr>
        <w:t>(L. </w:t>
      </w:r>
      <w:r>
        <w:rPr>
          <w:spacing w:val="2"/>
          <w:w w:val="105"/>
          <w:sz w:val="13"/>
        </w:rPr>
        <w:t>Barry </w:t>
      </w:r>
      <w:r>
        <w:rPr>
          <w:w w:val="105"/>
          <w:sz w:val="13"/>
        </w:rPr>
        <w:t>Wollmer); Consultations 3 </w:t>
      </w:r>
      <w:r>
        <w:rPr>
          <w:spacing w:val="3"/>
          <w:w w:val="105"/>
          <w:sz w:val="13"/>
        </w:rPr>
        <w:t>(HVP </w:t>
      </w:r>
      <w:r>
        <w:rPr>
          <w:w w:val="105"/>
          <w:sz w:val="13"/>
        </w:rPr>
        <w:t>Plantations), 4 (Participants in facilitated discussion     at </w:t>
      </w:r>
      <w:r>
        <w:rPr>
          <w:spacing w:val="4"/>
          <w:w w:val="105"/>
          <w:sz w:val="13"/>
        </w:rPr>
        <w:t>VTIO </w:t>
      </w:r>
      <w:r>
        <w:rPr>
          <w:w w:val="105"/>
          <w:sz w:val="13"/>
        </w:rPr>
        <w:t>ArborCamp2018), 6 </w:t>
      </w:r>
      <w:r>
        <w:rPr>
          <w:spacing w:val="2"/>
          <w:w w:val="105"/>
          <w:sz w:val="13"/>
        </w:rPr>
        <w:t>(Ben</w:t>
      </w:r>
      <w:r>
        <w:rPr>
          <w:spacing w:val="19"/>
          <w:w w:val="105"/>
          <w:sz w:val="13"/>
        </w:rPr>
        <w:t> </w:t>
      </w:r>
      <w:r>
        <w:rPr>
          <w:w w:val="105"/>
          <w:sz w:val="13"/>
        </w:rPr>
        <w:t>Kenyon).</w:t>
      </w:r>
    </w:p>
    <w:p>
      <w:pPr>
        <w:pStyle w:val="ListParagraph"/>
        <w:numPr>
          <w:ilvl w:val="0"/>
          <w:numId w:val="39"/>
        </w:numPr>
        <w:tabs>
          <w:tab w:pos="2380" w:val="left" w:leader="none"/>
          <w:tab w:pos="2382" w:val="left" w:leader="none"/>
        </w:tabs>
        <w:spacing w:line="240" w:lineRule="auto" w:before="4" w:after="0"/>
        <w:ind w:left="2381" w:right="0" w:hanging="794"/>
        <w:jc w:val="left"/>
        <w:rPr>
          <w:sz w:val="13"/>
        </w:rPr>
      </w:pPr>
      <w:r>
        <w:rPr>
          <w:w w:val="105"/>
          <w:sz w:val="13"/>
        </w:rPr>
        <w:t>Confidential</w:t>
      </w:r>
      <w:r>
        <w:rPr>
          <w:spacing w:val="4"/>
          <w:w w:val="105"/>
          <w:sz w:val="13"/>
        </w:rPr>
        <w:t> </w:t>
      </w:r>
      <w:r>
        <w:rPr>
          <w:w w:val="105"/>
          <w:sz w:val="13"/>
        </w:rPr>
        <w:t>submission.</w:t>
      </w:r>
    </w:p>
    <w:p>
      <w:pPr>
        <w:pStyle w:val="ListParagraph"/>
        <w:numPr>
          <w:ilvl w:val="0"/>
          <w:numId w:val="39"/>
        </w:numPr>
        <w:tabs>
          <w:tab w:pos="2380" w:val="left" w:leader="none"/>
          <w:tab w:pos="2382" w:val="left" w:leader="none"/>
        </w:tabs>
        <w:spacing w:line="240" w:lineRule="auto" w:before="1" w:after="0"/>
        <w:ind w:left="2381" w:right="0" w:hanging="794"/>
        <w:jc w:val="left"/>
        <w:rPr>
          <w:sz w:val="13"/>
        </w:rPr>
      </w:pPr>
      <w:r>
        <w:rPr>
          <w:w w:val="105"/>
          <w:sz w:val="13"/>
        </w:rPr>
        <w:t>Submission 38 </w:t>
      </w:r>
      <w:r>
        <w:rPr>
          <w:spacing w:val="3"/>
          <w:w w:val="105"/>
          <w:sz w:val="13"/>
        </w:rPr>
        <w:t>(L. </w:t>
      </w:r>
      <w:r>
        <w:rPr>
          <w:spacing w:val="2"/>
          <w:w w:val="105"/>
          <w:sz w:val="13"/>
        </w:rPr>
        <w:t>Barry</w:t>
      </w:r>
      <w:r>
        <w:rPr>
          <w:spacing w:val="14"/>
          <w:w w:val="105"/>
          <w:sz w:val="13"/>
        </w:rPr>
        <w:t> </w:t>
      </w:r>
      <w:r>
        <w:rPr>
          <w:w w:val="105"/>
          <w:sz w:val="13"/>
        </w:rPr>
        <w:t>Wollmer).</w:t>
      </w:r>
    </w:p>
    <w:p>
      <w:pPr>
        <w:pStyle w:val="ListParagraph"/>
        <w:numPr>
          <w:ilvl w:val="0"/>
          <w:numId w:val="39"/>
        </w:numPr>
        <w:tabs>
          <w:tab w:pos="2380" w:val="left" w:leader="none"/>
          <w:tab w:pos="2382" w:val="left" w:leader="none"/>
        </w:tabs>
        <w:spacing w:line="240" w:lineRule="auto" w:before="1" w:after="0"/>
        <w:ind w:left="2381" w:right="0" w:hanging="794"/>
        <w:jc w:val="left"/>
        <w:rPr>
          <w:sz w:val="13"/>
        </w:rPr>
      </w:pPr>
      <w:r>
        <w:rPr>
          <w:w w:val="105"/>
          <w:sz w:val="13"/>
        </w:rPr>
        <w:t>Submission 23 </w:t>
      </w:r>
      <w:r>
        <w:rPr>
          <w:spacing w:val="2"/>
          <w:w w:val="105"/>
          <w:sz w:val="13"/>
        </w:rPr>
        <w:t>(Name</w:t>
      </w:r>
      <w:r>
        <w:rPr>
          <w:spacing w:val="13"/>
          <w:w w:val="105"/>
          <w:sz w:val="13"/>
        </w:rPr>
        <w:t> </w:t>
      </w:r>
      <w:r>
        <w:rPr>
          <w:w w:val="105"/>
          <w:sz w:val="13"/>
        </w:rPr>
        <w:t>withheld).</w:t>
      </w:r>
    </w:p>
    <w:p>
      <w:pPr>
        <w:pStyle w:val="ListParagraph"/>
        <w:numPr>
          <w:ilvl w:val="0"/>
          <w:numId w:val="39"/>
        </w:numPr>
        <w:tabs>
          <w:tab w:pos="2380" w:val="left" w:leader="none"/>
          <w:tab w:pos="2382" w:val="left" w:leader="none"/>
        </w:tabs>
        <w:spacing w:line="240" w:lineRule="auto" w:before="2" w:after="0"/>
        <w:ind w:left="2381" w:right="2077" w:hanging="794"/>
        <w:jc w:val="left"/>
        <w:rPr>
          <w:sz w:val="13"/>
        </w:rPr>
      </w:pPr>
      <w:r>
        <w:rPr/>
        <w:pict>
          <v:shape style="position:absolute;margin-left:36pt;margin-top:11.048664pt;width:13.55pt;height:14.25pt;mso-position-horizontal-relative:page;mso-position-vertical-relative:paragraph;z-index:4360" type="#_x0000_t202" filled="false" stroked="false">
            <v:textbox inset="0,0,0,0">
              <w:txbxContent>
                <w:p>
                  <w:pPr>
                    <w:spacing w:line="284" w:lineRule="exact" w:before="0"/>
                    <w:ind w:left="0" w:right="0" w:firstLine="0"/>
                    <w:jc w:val="left"/>
                    <w:rPr>
                      <w:b/>
                      <w:sz w:val="24"/>
                    </w:rPr>
                  </w:pPr>
                  <w:r>
                    <w:rPr>
                      <w:b/>
                      <w:color w:val="658464"/>
                      <w:w w:val="110"/>
                      <w:sz w:val="24"/>
                    </w:rPr>
                    <w:t>54</w:t>
                  </w:r>
                </w:p>
              </w:txbxContent>
            </v:textbox>
            <w10:wrap type="none"/>
          </v:shape>
        </w:pict>
      </w:r>
      <w:r>
        <w:rPr>
          <w:w w:val="105"/>
          <w:sz w:val="13"/>
        </w:rPr>
        <w:t>Submissions 7 </w:t>
      </w:r>
      <w:r>
        <w:rPr>
          <w:spacing w:val="2"/>
          <w:w w:val="105"/>
          <w:sz w:val="13"/>
        </w:rPr>
        <w:t>(Ben </w:t>
      </w:r>
      <w:r>
        <w:rPr>
          <w:w w:val="105"/>
          <w:sz w:val="13"/>
        </w:rPr>
        <w:t>Kenyon), 9 </w:t>
      </w:r>
      <w:r>
        <w:rPr>
          <w:spacing w:val="3"/>
          <w:w w:val="105"/>
          <w:sz w:val="13"/>
        </w:rPr>
        <w:t>(Dr </w:t>
      </w:r>
      <w:r>
        <w:rPr>
          <w:w w:val="105"/>
          <w:sz w:val="13"/>
        </w:rPr>
        <w:t>Karen Smith), </w:t>
      </w:r>
      <w:r>
        <w:rPr>
          <w:spacing w:val="-6"/>
          <w:w w:val="105"/>
          <w:sz w:val="13"/>
        </w:rPr>
        <w:t>11 </w:t>
      </w:r>
      <w:r>
        <w:rPr>
          <w:spacing w:val="2"/>
          <w:w w:val="105"/>
          <w:sz w:val="13"/>
        </w:rPr>
        <w:t>(Name </w:t>
      </w:r>
      <w:r>
        <w:rPr>
          <w:w w:val="105"/>
          <w:sz w:val="13"/>
        </w:rPr>
        <w:t>withheld), 23 </w:t>
      </w:r>
      <w:r>
        <w:rPr>
          <w:spacing w:val="2"/>
          <w:w w:val="105"/>
          <w:sz w:val="13"/>
        </w:rPr>
        <w:t>(Name </w:t>
      </w:r>
      <w:r>
        <w:rPr>
          <w:w w:val="105"/>
          <w:sz w:val="13"/>
        </w:rPr>
        <w:t>withheld). See, eg, Standards Australia, </w:t>
      </w:r>
      <w:r>
        <w:rPr>
          <w:i/>
          <w:w w:val="105"/>
          <w:sz w:val="13"/>
        </w:rPr>
        <w:t>Pruning of </w:t>
      </w:r>
      <w:r>
        <w:rPr>
          <w:i/>
          <w:w w:val="105"/>
          <w:sz w:val="13"/>
        </w:rPr>
        <w:t>Amenity Trees </w:t>
      </w:r>
      <w:r>
        <w:rPr>
          <w:spacing w:val="2"/>
          <w:w w:val="105"/>
          <w:sz w:val="13"/>
        </w:rPr>
        <w:t>(AS </w:t>
      </w:r>
      <w:r>
        <w:rPr>
          <w:w w:val="105"/>
          <w:sz w:val="13"/>
        </w:rPr>
        <w:t>4373-2007) (Sydney, NSW: Standards Australia,</w:t>
      </w:r>
      <w:r>
        <w:rPr>
          <w:spacing w:val="8"/>
          <w:w w:val="105"/>
          <w:sz w:val="13"/>
        </w:rPr>
        <w:t> </w:t>
      </w:r>
      <w:r>
        <w:rPr>
          <w:w w:val="105"/>
          <w:sz w:val="13"/>
        </w:rPr>
        <w:t>2007).</w:t>
      </w:r>
    </w:p>
    <w:p>
      <w:pPr>
        <w:pStyle w:val="ListParagraph"/>
        <w:numPr>
          <w:ilvl w:val="0"/>
          <w:numId w:val="39"/>
        </w:numPr>
        <w:tabs>
          <w:tab w:pos="2381" w:val="left" w:leader="none"/>
          <w:tab w:pos="2382" w:val="left" w:leader="none"/>
        </w:tabs>
        <w:spacing w:line="240" w:lineRule="auto" w:before="2" w:after="0"/>
        <w:ind w:left="2381" w:right="0" w:hanging="794"/>
        <w:jc w:val="left"/>
        <w:rPr>
          <w:sz w:val="13"/>
        </w:rPr>
      </w:pPr>
      <w:r>
        <w:rPr>
          <w:w w:val="105"/>
          <w:sz w:val="13"/>
        </w:rPr>
        <w:t>Submission 4 </w:t>
      </w:r>
      <w:r>
        <w:rPr>
          <w:spacing w:val="2"/>
          <w:w w:val="105"/>
          <w:sz w:val="13"/>
        </w:rPr>
        <w:t>(Name</w:t>
      </w:r>
      <w:r>
        <w:rPr>
          <w:spacing w:val="13"/>
          <w:w w:val="105"/>
          <w:sz w:val="13"/>
        </w:rPr>
        <w:t> </w:t>
      </w:r>
      <w:r>
        <w:rPr>
          <w:w w:val="105"/>
          <w:sz w:val="13"/>
        </w:rPr>
        <w:t>withheld).</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39"/>
        </w:numPr>
        <w:tabs>
          <w:tab w:pos="2721" w:val="left" w:leader="none"/>
          <w:tab w:pos="2722" w:val="left" w:leader="none"/>
        </w:tabs>
        <w:spacing w:line="242" w:lineRule="auto" w:before="91" w:after="0"/>
        <w:ind w:left="2721" w:right="1585" w:hanging="340"/>
        <w:jc w:val="left"/>
        <w:rPr>
          <w:sz w:val="12"/>
        </w:rPr>
      </w:pPr>
      <w:bookmarkStart w:name="_bookmark38" w:id="97"/>
      <w:bookmarkEnd w:id="97"/>
      <w:r>
        <w:rPr/>
      </w:r>
      <w:bookmarkStart w:name="_bookmark38" w:id="98"/>
      <w:bookmarkEnd w:id="98"/>
      <w:r>
        <w:rPr>
          <w:spacing w:val="-3"/>
          <w:w w:val="105"/>
          <w:sz w:val="21"/>
        </w:rPr>
        <w:t>p</w:t>
      </w:r>
      <w:r>
        <w:rPr>
          <w:spacing w:val="-3"/>
          <w:w w:val="105"/>
          <w:sz w:val="21"/>
        </w:rPr>
        <w:t>reventing </w:t>
      </w:r>
      <w:r>
        <w:rPr>
          <w:w w:val="105"/>
          <w:sz w:val="21"/>
        </w:rPr>
        <w:t>people </w:t>
      </w:r>
      <w:r>
        <w:rPr>
          <w:spacing w:val="-3"/>
          <w:w w:val="105"/>
          <w:sz w:val="21"/>
        </w:rPr>
        <w:t>from planting </w:t>
      </w:r>
      <w:r>
        <w:rPr>
          <w:w w:val="105"/>
          <w:sz w:val="21"/>
        </w:rPr>
        <w:t>trees close </w:t>
      </w:r>
      <w:r>
        <w:rPr>
          <w:spacing w:val="-3"/>
          <w:w w:val="105"/>
          <w:sz w:val="21"/>
        </w:rPr>
        <w:t>to </w:t>
      </w:r>
      <w:r>
        <w:rPr>
          <w:spacing w:val="-2"/>
          <w:w w:val="105"/>
          <w:sz w:val="21"/>
        </w:rPr>
        <w:t>common </w:t>
      </w:r>
      <w:r>
        <w:rPr>
          <w:w w:val="105"/>
          <w:sz w:val="21"/>
        </w:rPr>
        <w:t>boundaries, and giving affected neighbours an </w:t>
      </w:r>
      <w:r>
        <w:rPr>
          <w:spacing w:val="-3"/>
          <w:w w:val="105"/>
          <w:sz w:val="21"/>
        </w:rPr>
        <w:t>automatic right to </w:t>
      </w:r>
      <w:r>
        <w:rPr>
          <w:w w:val="105"/>
          <w:sz w:val="21"/>
        </w:rPr>
        <w:t>cut down trees </w:t>
      </w:r>
      <w:r>
        <w:rPr>
          <w:spacing w:val="-3"/>
          <w:w w:val="105"/>
          <w:sz w:val="21"/>
        </w:rPr>
        <w:t>to </w:t>
      </w:r>
      <w:r>
        <w:rPr>
          <w:w w:val="105"/>
          <w:sz w:val="21"/>
        </w:rPr>
        <w:t>the </w:t>
      </w:r>
      <w:r>
        <w:rPr>
          <w:spacing w:val="-3"/>
          <w:w w:val="105"/>
          <w:sz w:val="21"/>
        </w:rPr>
        <w:t>height </w:t>
      </w:r>
      <w:r>
        <w:rPr>
          <w:w w:val="105"/>
          <w:sz w:val="21"/>
        </w:rPr>
        <w:t>of the </w:t>
      </w:r>
      <w:r>
        <w:rPr>
          <w:spacing w:val="-3"/>
          <w:w w:val="105"/>
          <w:sz w:val="21"/>
        </w:rPr>
        <w:t>dividing fence</w:t>
      </w:r>
      <w:r>
        <w:rPr>
          <w:spacing w:val="-3"/>
          <w:w w:val="105"/>
          <w:position w:val="7"/>
          <w:sz w:val="12"/>
        </w:rPr>
        <w:t>25</w:t>
      </w:r>
    </w:p>
    <w:p>
      <w:pPr>
        <w:pStyle w:val="ListParagraph"/>
        <w:numPr>
          <w:ilvl w:val="1"/>
          <w:numId w:val="39"/>
        </w:numPr>
        <w:tabs>
          <w:tab w:pos="2721" w:val="left" w:leader="none"/>
          <w:tab w:pos="2722" w:val="left" w:leader="none"/>
        </w:tabs>
        <w:spacing w:line="240" w:lineRule="auto" w:before="89" w:after="0"/>
        <w:ind w:left="2721" w:right="0" w:hanging="340"/>
        <w:jc w:val="left"/>
        <w:rPr>
          <w:sz w:val="12"/>
        </w:rPr>
      </w:pPr>
      <w:r>
        <w:rPr>
          <w:spacing w:val="-3"/>
          <w:w w:val="105"/>
          <w:sz w:val="21"/>
        </w:rPr>
        <w:t>compelling </w:t>
      </w:r>
      <w:r>
        <w:rPr>
          <w:w w:val="105"/>
          <w:sz w:val="21"/>
        </w:rPr>
        <w:t>an </w:t>
      </w:r>
      <w:r>
        <w:rPr>
          <w:spacing w:val="-4"/>
          <w:w w:val="105"/>
          <w:sz w:val="21"/>
        </w:rPr>
        <w:t>unwilling </w:t>
      </w:r>
      <w:r>
        <w:rPr>
          <w:w w:val="105"/>
          <w:sz w:val="21"/>
        </w:rPr>
        <w:t>party </w:t>
      </w:r>
      <w:r>
        <w:rPr>
          <w:spacing w:val="-3"/>
          <w:w w:val="105"/>
          <w:sz w:val="21"/>
        </w:rPr>
        <w:t>to </w:t>
      </w:r>
      <w:r>
        <w:rPr>
          <w:w w:val="105"/>
          <w:sz w:val="21"/>
        </w:rPr>
        <w:t>participate in</w:t>
      </w:r>
      <w:r>
        <w:rPr>
          <w:spacing w:val="41"/>
          <w:w w:val="105"/>
          <w:sz w:val="21"/>
        </w:rPr>
        <w:t> </w:t>
      </w:r>
      <w:r>
        <w:rPr>
          <w:w w:val="105"/>
          <w:sz w:val="21"/>
        </w:rPr>
        <w:t>mediation.</w:t>
      </w:r>
      <w:r>
        <w:rPr>
          <w:w w:val="105"/>
          <w:position w:val="7"/>
          <w:sz w:val="12"/>
        </w:rPr>
        <w:t>26</w:t>
      </w:r>
    </w:p>
    <w:p>
      <w:pPr>
        <w:pStyle w:val="Heading5"/>
        <w:spacing w:before="213"/>
      </w:pPr>
      <w:r>
        <w:rPr>
          <w:w w:val="110"/>
        </w:rPr>
        <w:t>Option 2: Introduce a new tree disputes Act</w:t>
      </w:r>
    </w:p>
    <w:p>
      <w:pPr>
        <w:pStyle w:val="ListParagraph"/>
        <w:numPr>
          <w:ilvl w:val="1"/>
          <w:numId w:val="16"/>
        </w:numPr>
        <w:tabs>
          <w:tab w:pos="2381" w:val="left" w:leader="none"/>
          <w:tab w:pos="2382" w:val="left" w:leader="none"/>
        </w:tabs>
        <w:spacing w:line="242" w:lineRule="auto" w:before="138" w:after="0"/>
        <w:ind w:left="2381" w:right="2157" w:hanging="794"/>
        <w:jc w:val="left"/>
        <w:rPr>
          <w:sz w:val="21"/>
        </w:rPr>
      </w:pPr>
      <w:r>
        <w:rPr>
          <w:w w:val="105"/>
          <w:sz w:val="21"/>
        </w:rPr>
        <w:t>The</w:t>
      </w:r>
      <w:r>
        <w:rPr>
          <w:spacing w:val="-15"/>
          <w:w w:val="105"/>
          <w:sz w:val="21"/>
        </w:rPr>
        <w:t> </w:t>
      </w:r>
      <w:r>
        <w:rPr>
          <w:w w:val="105"/>
          <w:sz w:val="21"/>
        </w:rPr>
        <w:t>majority</w:t>
      </w:r>
      <w:r>
        <w:rPr>
          <w:spacing w:val="-14"/>
          <w:w w:val="105"/>
          <w:sz w:val="21"/>
        </w:rPr>
        <w:t> </w:t>
      </w:r>
      <w:r>
        <w:rPr>
          <w:w w:val="105"/>
          <w:sz w:val="21"/>
        </w:rPr>
        <w:t>of</w:t>
      </w:r>
      <w:r>
        <w:rPr>
          <w:spacing w:val="-14"/>
          <w:w w:val="105"/>
          <w:sz w:val="21"/>
        </w:rPr>
        <w:t> </w:t>
      </w:r>
      <w:r>
        <w:rPr>
          <w:w w:val="105"/>
          <w:sz w:val="21"/>
        </w:rPr>
        <w:t>community</w:t>
      </w:r>
      <w:r>
        <w:rPr>
          <w:spacing w:val="-14"/>
          <w:w w:val="105"/>
          <w:sz w:val="21"/>
        </w:rPr>
        <w:t> </w:t>
      </w:r>
      <w:r>
        <w:rPr>
          <w:w w:val="105"/>
          <w:sz w:val="21"/>
        </w:rPr>
        <w:t>members</w:t>
      </w:r>
      <w:r>
        <w:rPr>
          <w:spacing w:val="-14"/>
          <w:w w:val="105"/>
          <w:sz w:val="21"/>
        </w:rPr>
        <w:t> </w:t>
      </w:r>
      <w:r>
        <w:rPr>
          <w:w w:val="105"/>
          <w:sz w:val="21"/>
        </w:rPr>
        <w:t>supported</w:t>
      </w:r>
      <w:r>
        <w:rPr>
          <w:spacing w:val="-14"/>
          <w:w w:val="105"/>
          <w:sz w:val="21"/>
        </w:rPr>
        <w:t> </w:t>
      </w:r>
      <w:r>
        <w:rPr>
          <w:w w:val="105"/>
          <w:sz w:val="21"/>
        </w:rPr>
        <w:t>the</w:t>
      </w:r>
      <w:r>
        <w:rPr>
          <w:spacing w:val="-14"/>
          <w:w w:val="105"/>
          <w:sz w:val="21"/>
        </w:rPr>
        <w:t> </w:t>
      </w:r>
      <w:r>
        <w:rPr>
          <w:w w:val="105"/>
          <w:sz w:val="21"/>
        </w:rPr>
        <w:t>adoption</w:t>
      </w:r>
      <w:r>
        <w:rPr>
          <w:spacing w:val="-14"/>
          <w:w w:val="105"/>
          <w:sz w:val="21"/>
        </w:rPr>
        <w:t> </w:t>
      </w:r>
      <w:r>
        <w:rPr>
          <w:w w:val="105"/>
          <w:sz w:val="21"/>
        </w:rPr>
        <w:t>of</w:t>
      </w:r>
      <w:r>
        <w:rPr>
          <w:spacing w:val="-15"/>
          <w:w w:val="105"/>
          <w:sz w:val="21"/>
        </w:rPr>
        <w:t> </w:t>
      </w:r>
      <w:r>
        <w:rPr>
          <w:w w:val="105"/>
          <w:sz w:val="21"/>
        </w:rPr>
        <w:t>a</w:t>
      </w:r>
      <w:r>
        <w:rPr>
          <w:spacing w:val="-14"/>
          <w:w w:val="105"/>
          <w:sz w:val="21"/>
        </w:rPr>
        <w:t> </w:t>
      </w:r>
      <w:r>
        <w:rPr>
          <w:w w:val="105"/>
          <w:sz w:val="21"/>
        </w:rPr>
        <w:t>specific</w:t>
      </w:r>
      <w:r>
        <w:rPr>
          <w:spacing w:val="-14"/>
          <w:w w:val="105"/>
          <w:sz w:val="21"/>
        </w:rPr>
        <w:t> </w:t>
      </w:r>
      <w:r>
        <w:rPr>
          <w:w w:val="105"/>
          <w:sz w:val="21"/>
        </w:rPr>
        <w:t>statutory scheme in Victoria and </w:t>
      </w:r>
      <w:r>
        <w:rPr>
          <w:spacing w:val="-3"/>
          <w:w w:val="105"/>
          <w:sz w:val="21"/>
        </w:rPr>
        <w:t>noted </w:t>
      </w:r>
      <w:r>
        <w:rPr>
          <w:w w:val="105"/>
          <w:sz w:val="21"/>
        </w:rPr>
        <w:t>it would be a </w:t>
      </w:r>
      <w:r>
        <w:rPr>
          <w:spacing w:val="-3"/>
          <w:w w:val="105"/>
          <w:sz w:val="21"/>
        </w:rPr>
        <w:t>significant</w:t>
      </w:r>
      <w:r>
        <w:rPr>
          <w:spacing w:val="31"/>
          <w:w w:val="105"/>
          <w:sz w:val="21"/>
        </w:rPr>
        <w:t> </w:t>
      </w:r>
      <w:r>
        <w:rPr>
          <w:spacing w:val="-3"/>
          <w:w w:val="105"/>
          <w:sz w:val="21"/>
        </w:rPr>
        <w:t>improvement.</w:t>
      </w:r>
      <w:r>
        <w:rPr>
          <w:spacing w:val="-3"/>
          <w:w w:val="105"/>
          <w:position w:val="7"/>
          <w:sz w:val="12"/>
        </w:rPr>
        <w:t>27</w:t>
      </w:r>
    </w:p>
    <w:p>
      <w:pPr>
        <w:pStyle w:val="ListParagraph"/>
        <w:numPr>
          <w:ilvl w:val="1"/>
          <w:numId w:val="16"/>
        </w:numPr>
        <w:tabs>
          <w:tab w:pos="2381" w:val="left" w:leader="none"/>
          <w:tab w:pos="2382" w:val="left" w:leader="none"/>
        </w:tabs>
        <w:spacing w:line="242" w:lineRule="auto" w:before="122" w:after="0"/>
        <w:ind w:left="2381" w:right="1852" w:hanging="794"/>
        <w:jc w:val="left"/>
        <w:rPr>
          <w:sz w:val="21"/>
        </w:rPr>
      </w:pPr>
      <w:r>
        <w:rPr>
          <w:sz w:val="21"/>
        </w:rPr>
        <w:t>One community member stated ‘there should be a </w:t>
      </w:r>
      <w:r>
        <w:rPr>
          <w:spacing w:val="-4"/>
          <w:sz w:val="21"/>
        </w:rPr>
        <w:t>single, </w:t>
      </w:r>
      <w:r>
        <w:rPr>
          <w:spacing w:val="-3"/>
          <w:sz w:val="21"/>
        </w:rPr>
        <w:t>clear </w:t>
      </w:r>
      <w:r>
        <w:rPr>
          <w:sz w:val="21"/>
        </w:rPr>
        <w:t>Act </w:t>
      </w:r>
      <w:r>
        <w:rPr>
          <w:spacing w:val="-3"/>
          <w:sz w:val="21"/>
        </w:rPr>
        <w:t>that </w:t>
      </w:r>
      <w:r>
        <w:rPr>
          <w:sz w:val="21"/>
        </w:rPr>
        <w:t>sets out neighbours’ rights and duties, and </w:t>
      </w:r>
      <w:r>
        <w:rPr>
          <w:spacing w:val="-3"/>
          <w:sz w:val="21"/>
        </w:rPr>
        <w:t>explains </w:t>
      </w:r>
      <w:r>
        <w:rPr>
          <w:sz w:val="21"/>
        </w:rPr>
        <w:t>where </w:t>
      </w:r>
      <w:r>
        <w:rPr>
          <w:spacing w:val="-3"/>
          <w:sz w:val="21"/>
        </w:rPr>
        <w:t>to </w:t>
      </w:r>
      <w:r>
        <w:rPr>
          <w:sz w:val="21"/>
        </w:rPr>
        <w:t>go </w:t>
      </w:r>
      <w:r>
        <w:rPr>
          <w:spacing w:val="-3"/>
          <w:sz w:val="21"/>
        </w:rPr>
        <w:t>for information </w:t>
      </w:r>
      <w:r>
        <w:rPr>
          <w:sz w:val="21"/>
        </w:rPr>
        <w:t>and </w:t>
      </w:r>
      <w:r>
        <w:rPr>
          <w:spacing w:val="-3"/>
          <w:sz w:val="21"/>
        </w:rPr>
        <w:t>support’.</w:t>
      </w:r>
      <w:r>
        <w:rPr>
          <w:spacing w:val="-3"/>
          <w:position w:val="7"/>
          <w:sz w:val="12"/>
        </w:rPr>
        <w:t>28</w:t>
      </w:r>
      <w:r>
        <w:rPr>
          <w:spacing w:val="-3"/>
          <w:sz w:val="12"/>
        </w:rPr>
        <w:t> </w:t>
      </w:r>
      <w:r>
        <w:rPr>
          <w:sz w:val="21"/>
        </w:rPr>
        <w:t>Arborist Dr Karen </w:t>
      </w:r>
      <w:r>
        <w:rPr>
          <w:spacing w:val="-3"/>
          <w:sz w:val="21"/>
        </w:rPr>
        <w:t>Smith </w:t>
      </w:r>
      <w:r>
        <w:rPr>
          <w:sz w:val="21"/>
        </w:rPr>
        <w:t>stated ‘It would seem </w:t>
      </w:r>
      <w:r>
        <w:rPr>
          <w:spacing w:val="-3"/>
          <w:sz w:val="21"/>
        </w:rPr>
        <w:t>that </w:t>
      </w:r>
      <w:r>
        <w:rPr>
          <w:sz w:val="21"/>
        </w:rPr>
        <w:t>this </w:t>
      </w:r>
      <w:r>
        <w:rPr>
          <w:spacing w:val="-2"/>
          <w:sz w:val="21"/>
        </w:rPr>
        <w:t>has </w:t>
      </w:r>
      <w:r>
        <w:rPr>
          <w:sz w:val="21"/>
        </w:rPr>
        <w:t>merit </w:t>
      </w:r>
      <w:r>
        <w:rPr>
          <w:spacing w:val="-3"/>
          <w:sz w:val="21"/>
        </w:rPr>
        <w:t>since </w:t>
      </w:r>
      <w:r>
        <w:rPr>
          <w:sz w:val="21"/>
        </w:rPr>
        <w:t>self-help and mediation is </w:t>
      </w:r>
      <w:r>
        <w:rPr>
          <w:spacing w:val="-2"/>
          <w:sz w:val="21"/>
        </w:rPr>
        <w:t>not </w:t>
      </w:r>
      <w:r>
        <w:rPr>
          <w:spacing w:val="-3"/>
          <w:sz w:val="21"/>
        </w:rPr>
        <w:t>proving </w:t>
      </w:r>
      <w:r>
        <w:rPr>
          <w:sz w:val="21"/>
        </w:rPr>
        <w:t>satisfactory </w:t>
      </w:r>
      <w:r>
        <w:rPr>
          <w:spacing w:val="-3"/>
          <w:sz w:val="21"/>
        </w:rPr>
        <w:t>to </w:t>
      </w:r>
      <w:r>
        <w:rPr>
          <w:spacing w:val="-6"/>
          <w:sz w:val="21"/>
        </w:rPr>
        <w:t>many.’</w:t>
      </w:r>
      <w:r>
        <w:rPr>
          <w:spacing w:val="-6"/>
          <w:position w:val="7"/>
          <w:sz w:val="12"/>
        </w:rPr>
        <w:t>29 </w:t>
      </w:r>
      <w:r>
        <w:rPr>
          <w:sz w:val="21"/>
        </w:rPr>
        <w:t>Another</w:t>
      </w:r>
      <w:r>
        <w:rPr>
          <w:spacing w:val="47"/>
          <w:sz w:val="21"/>
        </w:rPr>
        <w:t> </w:t>
      </w:r>
      <w:r>
        <w:rPr>
          <w:sz w:val="21"/>
        </w:rPr>
        <w:t>community  member  </w:t>
      </w:r>
      <w:r>
        <w:rPr>
          <w:spacing w:val="-3"/>
          <w:sz w:val="21"/>
        </w:rPr>
        <w:t>pointed </w:t>
      </w:r>
      <w:r>
        <w:rPr>
          <w:sz w:val="21"/>
        </w:rPr>
        <w:t>out</w:t>
      </w:r>
      <w:r>
        <w:rPr>
          <w:spacing w:val="8"/>
          <w:sz w:val="21"/>
        </w:rPr>
        <w:t> </w:t>
      </w:r>
      <w:r>
        <w:rPr>
          <w:sz w:val="21"/>
        </w:rPr>
        <w:t>that:</w:t>
      </w:r>
    </w:p>
    <w:p>
      <w:pPr>
        <w:spacing w:line="254" w:lineRule="auto" w:before="135"/>
        <w:ind w:left="2834" w:right="1558" w:firstLine="0"/>
        <w:jc w:val="left"/>
        <w:rPr>
          <w:sz w:val="11"/>
        </w:rPr>
      </w:pPr>
      <w:r>
        <w:rPr>
          <w:w w:val="105"/>
          <w:sz w:val="20"/>
        </w:rPr>
        <w:t>A statutory scheme for resolving tree disputes has the primary function of providing a level</w:t>
      </w:r>
      <w:r>
        <w:rPr>
          <w:spacing w:val="-12"/>
          <w:w w:val="105"/>
          <w:sz w:val="20"/>
        </w:rPr>
        <w:t> </w:t>
      </w:r>
      <w:r>
        <w:rPr>
          <w:w w:val="105"/>
          <w:sz w:val="20"/>
        </w:rPr>
        <w:t>of</w:t>
      </w:r>
      <w:r>
        <w:rPr>
          <w:spacing w:val="-12"/>
          <w:w w:val="105"/>
          <w:sz w:val="20"/>
        </w:rPr>
        <w:t> </w:t>
      </w:r>
      <w:r>
        <w:rPr>
          <w:w w:val="105"/>
          <w:sz w:val="20"/>
        </w:rPr>
        <w:t>certainty</w:t>
      </w:r>
      <w:r>
        <w:rPr>
          <w:spacing w:val="-11"/>
          <w:w w:val="105"/>
          <w:sz w:val="20"/>
        </w:rPr>
        <w:t> </w:t>
      </w:r>
      <w:r>
        <w:rPr>
          <w:w w:val="105"/>
          <w:sz w:val="20"/>
        </w:rPr>
        <w:t>for</w:t>
      </w:r>
      <w:r>
        <w:rPr>
          <w:spacing w:val="-12"/>
          <w:w w:val="105"/>
          <w:sz w:val="20"/>
        </w:rPr>
        <w:t> </w:t>
      </w:r>
      <w:r>
        <w:rPr>
          <w:w w:val="105"/>
          <w:sz w:val="20"/>
        </w:rPr>
        <w:t>disputants</w:t>
      </w:r>
      <w:r>
        <w:rPr>
          <w:spacing w:val="-12"/>
          <w:w w:val="105"/>
          <w:sz w:val="20"/>
        </w:rPr>
        <w:t> </w:t>
      </w:r>
      <w:r>
        <w:rPr>
          <w:w w:val="105"/>
          <w:sz w:val="20"/>
        </w:rPr>
        <w:t>who</w:t>
      </w:r>
      <w:r>
        <w:rPr>
          <w:spacing w:val="-11"/>
          <w:w w:val="105"/>
          <w:sz w:val="20"/>
        </w:rPr>
        <w:t> </w:t>
      </w:r>
      <w:r>
        <w:rPr>
          <w:w w:val="105"/>
          <w:sz w:val="20"/>
        </w:rPr>
        <w:t>are</w:t>
      </w:r>
      <w:r>
        <w:rPr>
          <w:spacing w:val="-12"/>
          <w:w w:val="105"/>
          <w:sz w:val="20"/>
        </w:rPr>
        <w:t> </w:t>
      </w:r>
      <w:r>
        <w:rPr>
          <w:w w:val="105"/>
          <w:sz w:val="20"/>
        </w:rPr>
        <w:t>seeking</w:t>
      </w:r>
      <w:r>
        <w:rPr>
          <w:spacing w:val="-12"/>
          <w:w w:val="105"/>
          <w:sz w:val="20"/>
        </w:rPr>
        <w:t> </w:t>
      </w:r>
      <w:r>
        <w:rPr>
          <w:w w:val="105"/>
          <w:sz w:val="20"/>
        </w:rPr>
        <w:t>the</w:t>
      </w:r>
      <w:r>
        <w:rPr>
          <w:spacing w:val="-11"/>
          <w:w w:val="105"/>
          <w:sz w:val="20"/>
        </w:rPr>
        <w:t> </w:t>
      </w:r>
      <w:r>
        <w:rPr>
          <w:w w:val="105"/>
          <w:sz w:val="20"/>
        </w:rPr>
        <w:t>resolution</w:t>
      </w:r>
      <w:r>
        <w:rPr>
          <w:spacing w:val="-12"/>
          <w:w w:val="105"/>
          <w:sz w:val="20"/>
        </w:rPr>
        <w:t> </w:t>
      </w:r>
      <w:r>
        <w:rPr>
          <w:w w:val="105"/>
          <w:sz w:val="20"/>
        </w:rPr>
        <w:t>of</w:t>
      </w:r>
      <w:r>
        <w:rPr>
          <w:spacing w:val="-12"/>
          <w:w w:val="105"/>
          <w:sz w:val="20"/>
        </w:rPr>
        <w:t> </w:t>
      </w:r>
      <w:r>
        <w:rPr>
          <w:w w:val="105"/>
          <w:sz w:val="20"/>
        </w:rPr>
        <w:t>a</w:t>
      </w:r>
      <w:r>
        <w:rPr>
          <w:spacing w:val="-11"/>
          <w:w w:val="105"/>
          <w:sz w:val="20"/>
        </w:rPr>
        <w:t> </w:t>
      </w:r>
      <w:r>
        <w:rPr>
          <w:w w:val="105"/>
          <w:sz w:val="20"/>
        </w:rPr>
        <w:t>seemingly</w:t>
      </w:r>
      <w:r>
        <w:rPr>
          <w:spacing w:val="-12"/>
          <w:w w:val="105"/>
          <w:sz w:val="20"/>
        </w:rPr>
        <w:t> </w:t>
      </w:r>
      <w:r>
        <w:rPr>
          <w:w w:val="105"/>
          <w:sz w:val="20"/>
        </w:rPr>
        <w:t>intractable conflict by way [of] accessible legislation and</w:t>
      </w:r>
      <w:r>
        <w:rPr>
          <w:spacing w:val="21"/>
          <w:w w:val="105"/>
          <w:sz w:val="20"/>
        </w:rPr>
        <w:t> </w:t>
      </w:r>
      <w:r>
        <w:rPr>
          <w:w w:val="105"/>
          <w:sz w:val="20"/>
        </w:rPr>
        <w:t>adjudication.</w:t>
      </w:r>
      <w:r>
        <w:rPr>
          <w:w w:val="105"/>
          <w:position w:val="7"/>
          <w:sz w:val="11"/>
        </w:rPr>
        <w:t>30</w:t>
      </w:r>
    </w:p>
    <w:p>
      <w:pPr>
        <w:pStyle w:val="ListParagraph"/>
        <w:numPr>
          <w:ilvl w:val="1"/>
          <w:numId w:val="16"/>
        </w:numPr>
        <w:tabs>
          <w:tab w:pos="2381" w:val="left" w:leader="none"/>
          <w:tab w:pos="2382" w:val="left" w:leader="none"/>
        </w:tabs>
        <w:spacing w:line="242" w:lineRule="auto" w:before="114" w:after="0"/>
        <w:ind w:left="2381" w:right="2157" w:hanging="794"/>
        <w:jc w:val="left"/>
        <w:rPr>
          <w:sz w:val="21"/>
        </w:rPr>
      </w:pPr>
      <w:r>
        <w:rPr>
          <w:spacing w:val="-3"/>
          <w:w w:val="105"/>
          <w:sz w:val="21"/>
        </w:rPr>
        <w:t>Many</w:t>
      </w:r>
      <w:r>
        <w:rPr>
          <w:spacing w:val="-9"/>
          <w:w w:val="105"/>
          <w:sz w:val="21"/>
        </w:rPr>
        <w:t> </w:t>
      </w:r>
      <w:r>
        <w:rPr>
          <w:w w:val="105"/>
          <w:sz w:val="21"/>
        </w:rPr>
        <w:t>community</w:t>
      </w:r>
      <w:r>
        <w:rPr>
          <w:spacing w:val="-9"/>
          <w:w w:val="105"/>
          <w:sz w:val="21"/>
        </w:rPr>
        <w:t> </w:t>
      </w:r>
      <w:r>
        <w:rPr>
          <w:w w:val="105"/>
          <w:sz w:val="21"/>
        </w:rPr>
        <w:t>members</w:t>
      </w:r>
      <w:r>
        <w:rPr>
          <w:spacing w:val="-9"/>
          <w:w w:val="105"/>
          <w:sz w:val="21"/>
        </w:rPr>
        <w:t> </w:t>
      </w:r>
      <w:r>
        <w:rPr>
          <w:w w:val="105"/>
          <w:sz w:val="21"/>
        </w:rPr>
        <w:t>viewed</w:t>
      </w:r>
      <w:r>
        <w:rPr>
          <w:spacing w:val="-9"/>
          <w:w w:val="105"/>
          <w:sz w:val="21"/>
        </w:rPr>
        <w:t> </w:t>
      </w:r>
      <w:r>
        <w:rPr>
          <w:w w:val="105"/>
          <w:sz w:val="21"/>
        </w:rPr>
        <w:t>the</w:t>
      </w:r>
      <w:r>
        <w:rPr>
          <w:spacing w:val="-9"/>
          <w:w w:val="105"/>
          <w:sz w:val="21"/>
        </w:rPr>
        <w:t> </w:t>
      </w:r>
      <w:r>
        <w:rPr>
          <w:w w:val="105"/>
          <w:sz w:val="21"/>
        </w:rPr>
        <w:t>scheme</w:t>
      </w:r>
      <w:r>
        <w:rPr>
          <w:spacing w:val="-9"/>
          <w:w w:val="105"/>
          <w:sz w:val="21"/>
        </w:rPr>
        <w:t> </w:t>
      </w:r>
      <w:r>
        <w:rPr>
          <w:w w:val="105"/>
          <w:sz w:val="21"/>
        </w:rPr>
        <w:t>in</w:t>
      </w:r>
      <w:r>
        <w:rPr>
          <w:spacing w:val="-9"/>
          <w:w w:val="105"/>
          <w:sz w:val="21"/>
        </w:rPr>
        <w:t> </w:t>
      </w:r>
      <w:r>
        <w:rPr>
          <w:w w:val="105"/>
          <w:sz w:val="21"/>
        </w:rPr>
        <w:t>New</w:t>
      </w:r>
      <w:r>
        <w:rPr>
          <w:spacing w:val="-9"/>
          <w:w w:val="105"/>
          <w:sz w:val="21"/>
        </w:rPr>
        <w:t> </w:t>
      </w:r>
      <w:r>
        <w:rPr>
          <w:w w:val="105"/>
          <w:sz w:val="21"/>
        </w:rPr>
        <w:t>South</w:t>
      </w:r>
      <w:r>
        <w:rPr>
          <w:spacing w:val="-9"/>
          <w:w w:val="105"/>
          <w:sz w:val="21"/>
        </w:rPr>
        <w:t> </w:t>
      </w:r>
      <w:r>
        <w:rPr>
          <w:spacing w:val="-3"/>
          <w:w w:val="105"/>
          <w:sz w:val="21"/>
        </w:rPr>
        <w:t>Wales</w:t>
      </w:r>
      <w:r>
        <w:rPr>
          <w:spacing w:val="-9"/>
          <w:w w:val="105"/>
          <w:sz w:val="21"/>
        </w:rPr>
        <w:t> </w:t>
      </w:r>
      <w:r>
        <w:rPr>
          <w:spacing w:val="-3"/>
          <w:w w:val="105"/>
          <w:sz w:val="21"/>
        </w:rPr>
        <w:t>favourably</w:t>
      </w:r>
      <w:r>
        <w:rPr>
          <w:spacing w:val="-9"/>
          <w:w w:val="105"/>
          <w:sz w:val="21"/>
        </w:rPr>
        <w:t> </w:t>
      </w:r>
      <w:r>
        <w:rPr>
          <w:w w:val="105"/>
          <w:sz w:val="21"/>
        </w:rPr>
        <w:t>and </w:t>
      </w:r>
      <w:r>
        <w:rPr>
          <w:spacing w:val="-3"/>
          <w:w w:val="105"/>
          <w:sz w:val="21"/>
        </w:rPr>
        <w:t>considered </w:t>
      </w:r>
      <w:r>
        <w:rPr>
          <w:w w:val="105"/>
          <w:sz w:val="21"/>
        </w:rPr>
        <w:t>a </w:t>
      </w:r>
      <w:r>
        <w:rPr>
          <w:spacing w:val="-3"/>
          <w:w w:val="105"/>
          <w:sz w:val="21"/>
        </w:rPr>
        <w:t>similar </w:t>
      </w:r>
      <w:r>
        <w:rPr>
          <w:w w:val="105"/>
          <w:sz w:val="21"/>
        </w:rPr>
        <w:t>Victorian statutory scheme</w:t>
      </w:r>
      <w:r>
        <w:rPr>
          <w:spacing w:val="20"/>
          <w:w w:val="105"/>
          <w:sz w:val="21"/>
        </w:rPr>
        <w:t> </w:t>
      </w:r>
      <w:r>
        <w:rPr>
          <w:spacing w:val="-3"/>
          <w:w w:val="105"/>
          <w:sz w:val="21"/>
        </w:rPr>
        <w:t>appropriate</w:t>
      </w:r>
      <w:r>
        <w:rPr>
          <w:spacing w:val="-3"/>
          <w:w w:val="105"/>
          <w:position w:val="7"/>
          <w:sz w:val="12"/>
        </w:rPr>
        <w:t>31</w:t>
      </w:r>
      <w:r>
        <w:rPr>
          <w:spacing w:val="-3"/>
          <w:w w:val="105"/>
          <w:sz w:val="21"/>
        </w:rPr>
        <w:t>:</w:t>
      </w:r>
    </w:p>
    <w:p>
      <w:pPr>
        <w:spacing w:line="254" w:lineRule="auto" w:before="132"/>
        <w:ind w:left="2834" w:right="1810" w:firstLine="0"/>
        <w:jc w:val="left"/>
        <w:rPr>
          <w:sz w:val="11"/>
        </w:rPr>
      </w:pPr>
      <w:r>
        <w:rPr>
          <w:sz w:val="20"/>
        </w:rPr>
        <w:t>Other states in </w:t>
      </w:r>
      <w:r>
        <w:rPr>
          <w:spacing w:val="-3"/>
          <w:sz w:val="20"/>
        </w:rPr>
        <w:t>Australia have  </w:t>
      </w:r>
      <w:r>
        <w:rPr>
          <w:sz w:val="20"/>
        </w:rPr>
        <w:t>much more rigorous laws and also specialised courts to  deal with these problems </w:t>
      </w:r>
      <w:r>
        <w:rPr>
          <w:spacing w:val="-6"/>
          <w:sz w:val="20"/>
        </w:rPr>
        <w:t>... </w:t>
      </w:r>
      <w:r>
        <w:rPr>
          <w:sz w:val="20"/>
        </w:rPr>
        <w:t>We need a new act of parliament. Other states </w:t>
      </w:r>
      <w:r>
        <w:rPr>
          <w:spacing w:val="-3"/>
          <w:sz w:val="20"/>
        </w:rPr>
        <w:t>have </w:t>
      </w:r>
      <w:r>
        <w:rPr>
          <w:sz w:val="20"/>
        </w:rPr>
        <w:t>useful legislation, why not</w:t>
      </w:r>
      <w:r>
        <w:rPr>
          <w:spacing w:val="25"/>
          <w:sz w:val="20"/>
        </w:rPr>
        <w:t> </w:t>
      </w:r>
      <w:r>
        <w:rPr>
          <w:sz w:val="20"/>
        </w:rPr>
        <w:t>Victoria?</w:t>
      </w:r>
      <w:r>
        <w:rPr>
          <w:position w:val="7"/>
          <w:sz w:val="11"/>
        </w:rPr>
        <w:t>32</w:t>
      </w:r>
    </w:p>
    <w:p>
      <w:pPr>
        <w:pStyle w:val="ListParagraph"/>
        <w:numPr>
          <w:ilvl w:val="1"/>
          <w:numId w:val="16"/>
        </w:numPr>
        <w:tabs>
          <w:tab w:pos="2381" w:val="left" w:leader="none"/>
          <w:tab w:pos="2382" w:val="left" w:leader="none"/>
        </w:tabs>
        <w:spacing w:line="242" w:lineRule="auto" w:before="114" w:after="0"/>
        <w:ind w:left="2381" w:right="1825" w:hanging="794"/>
        <w:jc w:val="left"/>
        <w:rPr>
          <w:sz w:val="21"/>
        </w:rPr>
      </w:pPr>
      <w:r>
        <w:rPr>
          <w:sz w:val="21"/>
        </w:rPr>
        <w:t>As one survey respondent </w:t>
      </w:r>
      <w:r>
        <w:rPr>
          <w:spacing w:val="-2"/>
          <w:sz w:val="21"/>
        </w:rPr>
        <w:t>succinctly  </w:t>
      </w:r>
      <w:r>
        <w:rPr>
          <w:sz w:val="21"/>
        </w:rPr>
        <w:t>explained: ‘The law </w:t>
      </w:r>
      <w:r>
        <w:rPr>
          <w:spacing w:val="-3"/>
          <w:sz w:val="21"/>
        </w:rPr>
        <w:t>requires  immediate  reform.  </w:t>
      </w:r>
      <w:r>
        <w:rPr>
          <w:sz w:val="21"/>
        </w:rPr>
        <w:t>It   is </w:t>
      </w:r>
      <w:r>
        <w:rPr>
          <w:spacing w:val="-3"/>
          <w:sz w:val="21"/>
        </w:rPr>
        <w:t>currently </w:t>
      </w:r>
      <w:r>
        <w:rPr>
          <w:spacing w:val="-6"/>
          <w:sz w:val="21"/>
        </w:rPr>
        <w:t>unfair. </w:t>
      </w:r>
      <w:r>
        <w:rPr>
          <w:sz w:val="21"/>
        </w:rPr>
        <w:t>The NSW tree law is a good example </w:t>
      </w:r>
      <w:r>
        <w:rPr>
          <w:spacing w:val="-3"/>
          <w:sz w:val="21"/>
        </w:rPr>
        <w:t>to </w:t>
      </w:r>
      <w:r>
        <w:rPr>
          <w:sz w:val="21"/>
        </w:rPr>
        <w:t>use </w:t>
      </w:r>
      <w:r>
        <w:rPr>
          <w:spacing w:val="-3"/>
          <w:sz w:val="21"/>
        </w:rPr>
        <w:t>for reforming </w:t>
      </w:r>
      <w:r>
        <w:rPr>
          <w:sz w:val="21"/>
        </w:rPr>
        <w:t>the laws in </w:t>
      </w:r>
      <w:r>
        <w:rPr>
          <w:spacing w:val="-3"/>
          <w:sz w:val="21"/>
        </w:rPr>
        <w:t>relation to </w:t>
      </w:r>
      <w:r>
        <w:rPr>
          <w:sz w:val="21"/>
        </w:rPr>
        <w:t>trees in</w:t>
      </w:r>
      <w:r>
        <w:rPr>
          <w:spacing w:val="40"/>
          <w:sz w:val="21"/>
        </w:rPr>
        <w:t> </w:t>
      </w:r>
      <w:r>
        <w:rPr>
          <w:spacing w:val="-3"/>
          <w:sz w:val="21"/>
        </w:rPr>
        <w:t>Victoria.’</w:t>
      </w:r>
      <w:r>
        <w:rPr>
          <w:spacing w:val="-3"/>
          <w:position w:val="7"/>
          <w:sz w:val="12"/>
        </w:rPr>
        <w:t>33</w:t>
      </w:r>
    </w:p>
    <w:p>
      <w:pPr>
        <w:pStyle w:val="ListParagraph"/>
        <w:numPr>
          <w:ilvl w:val="1"/>
          <w:numId w:val="16"/>
        </w:numPr>
        <w:tabs>
          <w:tab w:pos="2381" w:val="left" w:leader="none"/>
          <w:tab w:pos="2382" w:val="left" w:leader="none"/>
        </w:tabs>
        <w:spacing w:line="242" w:lineRule="auto" w:before="123" w:after="0"/>
        <w:ind w:left="2381" w:right="2459" w:hanging="794"/>
        <w:jc w:val="left"/>
        <w:rPr>
          <w:sz w:val="21"/>
        </w:rPr>
      </w:pPr>
      <w:r>
        <w:rPr>
          <w:w w:val="105"/>
          <w:sz w:val="21"/>
        </w:rPr>
        <w:t>Dr</w:t>
      </w:r>
      <w:r>
        <w:rPr>
          <w:spacing w:val="-6"/>
          <w:w w:val="105"/>
          <w:sz w:val="21"/>
        </w:rPr>
        <w:t> </w:t>
      </w:r>
      <w:r>
        <w:rPr>
          <w:w w:val="105"/>
          <w:sz w:val="21"/>
        </w:rPr>
        <w:t>Gregory</w:t>
      </w:r>
      <w:r>
        <w:rPr>
          <w:spacing w:val="-6"/>
          <w:w w:val="105"/>
          <w:sz w:val="21"/>
        </w:rPr>
        <w:t> </w:t>
      </w:r>
      <w:r>
        <w:rPr>
          <w:w w:val="105"/>
          <w:sz w:val="21"/>
        </w:rPr>
        <w:t>Moore</w:t>
      </w:r>
      <w:r>
        <w:rPr>
          <w:spacing w:val="-6"/>
          <w:w w:val="105"/>
          <w:sz w:val="21"/>
        </w:rPr>
        <w:t> </w:t>
      </w:r>
      <w:r>
        <w:rPr>
          <w:w w:val="105"/>
          <w:sz w:val="21"/>
        </w:rPr>
        <w:t>OAM</w:t>
      </w:r>
      <w:r>
        <w:rPr>
          <w:spacing w:val="-6"/>
          <w:w w:val="105"/>
          <w:sz w:val="21"/>
        </w:rPr>
        <w:t> </w:t>
      </w:r>
      <w:r>
        <w:rPr>
          <w:w w:val="105"/>
          <w:sz w:val="21"/>
        </w:rPr>
        <w:t>stated</w:t>
      </w:r>
      <w:r>
        <w:rPr>
          <w:spacing w:val="-6"/>
          <w:w w:val="105"/>
          <w:sz w:val="21"/>
        </w:rPr>
        <w:t> </w:t>
      </w:r>
      <w:r>
        <w:rPr>
          <w:spacing w:val="-3"/>
          <w:w w:val="105"/>
          <w:sz w:val="21"/>
        </w:rPr>
        <w:t>that</w:t>
      </w:r>
      <w:r>
        <w:rPr>
          <w:spacing w:val="-6"/>
          <w:w w:val="105"/>
          <w:sz w:val="21"/>
        </w:rPr>
        <w:t> </w:t>
      </w:r>
      <w:r>
        <w:rPr>
          <w:w w:val="105"/>
          <w:sz w:val="21"/>
        </w:rPr>
        <w:t>the</w:t>
      </w:r>
      <w:r>
        <w:rPr>
          <w:spacing w:val="-6"/>
          <w:w w:val="105"/>
          <w:sz w:val="21"/>
        </w:rPr>
        <w:t> </w:t>
      </w:r>
      <w:r>
        <w:rPr>
          <w:w w:val="105"/>
          <w:sz w:val="21"/>
        </w:rPr>
        <w:t>statutory</w:t>
      </w:r>
      <w:r>
        <w:rPr>
          <w:spacing w:val="-6"/>
          <w:w w:val="105"/>
          <w:sz w:val="21"/>
        </w:rPr>
        <w:t> </w:t>
      </w:r>
      <w:r>
        <w:rPr>
          <w:w w:val="105"/>
          <w:sz w:val="21"/>
        </w:rPr>
        <w:t>schemes</w:t>
      </w:r>
      <w:r>
        <w:rPr>
          <w:spacing w:val="-6"/>
          <w:w w:val="105"/>
          <w:sz w:val="21"/>
        </w:rPr>
        <w:t> </w:t>
      </w:r>
      <w:r>
        <w:rPr>
          <w:w w:val="105"/>
          <w:sz w:val="21"/>
        </w:rPr>
        <w:t>in</w:t>
      </w:r>
      <w:r>
        <w:rPr>
          <w:spacing w:val="-6"/>
          <w:w w:val="105"/>
          <w:sz w:val="21"/>
        </w:rPr>
        <w:t> </w:t>
      </w:r>
      <w:r>
        <w:rPr>
          <w:w w:val="105"/>
          <w:sz w:val="21"/>
        </w:rPr>
        <w:t>New</w:t>
      </w:r>
      <w:r>
        <w:rPr>
          <w:spacing w:val="-6"/>
          <w:w w:val="105"/>
          <w:sz w:val="21"/>
        </w:rPr>
        <w:t> </w:t>
      </w:r>
      <w:r>
        <w:rPr>
          <w:w w:val="105"/>
          <w:sz w:val="21"/>
        </w:rPr>
        <w:t>South</w:t>
      </w:r>
      <w:r>
        <w:rPr>
          <w:spacing w:val="-6"/>
          <w:w w:val="105"/>
          <w:sz w:val="21"/>
        </w:rPr>
        <w:t> </w:t>
      </w:r>
      <w:r>
        <w:rPr>
          <w:spacing w:val="-3"/>
          <w:w w:val="105"/>
          <w:sz w:val="21"/>
        </w:rPr>
        <w:t>Wales, Queensland </w:t>
      </w:r>
      <w:r>
        <w:rPr>
          <w:w w:val="105"/>
          <w:sz w:val="21"/>
        </w:rPr>
        <w:t>and </w:t>
      </w:r>
      <w:r>
        <w:rPr>
          <w:spacing w:val="-5"/>
          <w:w w:val="105"/>
          <w:sz w:val="21"/>
        </w:rPr>
        <w:t>Tasmania </w:t>
      </w:r>
      <w:r>
        <w:rPr>
          <w:w w:val="105"/>
          <w:sz w:val="21"/>
        </w:rPr>
        <w:t>appear </w:t>
      </w:r>
      <w:r>
        <w:rPr>
          <w:spacing w:val="-3"/>
          <w:w w:val="105"/>
          <w:sz w:val="21"/>
        </w:rPr>
        <w:t>to </w:t>
      </w:r>
      <w:r>
        <w:rPr>
          <w:w w:val="105"/>
          <w:sz w:val="21"/>
        </w:rPr>
        <w:t>be</w:t>
      </w:r>
      <w:r>
        <w:rPr>
          <w:spacing w:val="36"/>
          <w:w w:val="105"/>
          <w:sz w:val="21"/>
        </w:rPr>
        <w:t> </w:t>
      </w:r>
      <w:r>
        <w:rPr>
          <w:w w:val="105"/>
          <w:sz w:val="21"/>
        </w:rPr>
        <w:t>sensible.</w:t>
      </w:r>
      <w:r>
        <w:rPr>
          <w:w w:val="105"/>
          <w:position w:val="7"/>
          <w:sz w:val="12"/>
        </w:rPr>
        <w:t>34</w:t>
      </w:r>
    </w:p>
    <w:p>
      <w:pPr>
        <w:pStyle w:val="ListParagraph"/>
        <w:numPr>
          <w:ilvl w:val="1"/>
          <w:numId w:val="16"/>
        </w:numPr>
        <w:tabs>
          <w:tab w:pos="2381" w:val="left" w:leader="none"/>
          <w:tab w:pos="2382" w:val="left" w:leader="none"/>
        </w:tabs>
        <w:spacing w:line="242" w:lineRule="auto" w:before="122" w:after="0"/>
        <w:ind w:left="2381" w:right="1831" w:hanging="794"/>
        <w:jc w:val="left"/>
        <w:rPr>
          <w:sz w:val="21"/>
        </w:rPr>
      </w:pPr>
      <w:r>
        <w:rPr>
          <w:spacing w:val="-4"/>
          <w:w w:val="105"/>
          <w:sz w:val="21"/>
        </w:rPr>
        <w:t>QCAT </w:t>
      </w:r>
      <w:r>
        <w:rPr>
          <w:w w:val="105"/>
          <w:sz w:val="21"/>
        </w:rPr>
        <w:t>reported </w:t>
      </w:r>
      <w:r>
        <w:rPr>
          <w:spacing w:val="-3"/>
          <w:w w:val="105"/>
          <w:sz w:val="21"/>
        </w:rPr>
        <w:t>that </w:t>
      </w:r>
      <w:r>
        <w:rPr>
          <w:w w:val="105"/>
          <w:sz w:val="21"/>
        </w:rPr>
        <w:t>the </w:t>
      </w:r>
      <w:r>
        <w:rPr>
          <w:spacing w:val="-3"/>
          <w:w w:val="105"/>
          <w:sz w:val="21"/>
        </w:rPr>
        <w:t>Queensland </w:t>
      </w:r>
      <w:r>
        <w:rPr>
          <w:w w:val="105"/>
          <w:sz w:val="21"/>
        </w:rPr>
        <w:t>scheme appears </w:t>
      </w:r>
      <w:r>
        <w:rPr>
          <w:spacing w:val="-3"/>
          <w:w w:val="105"/>
          <w:sz w:val="21"/>
        </w:rPr>
        <w:t>to </w:t>
      </w:r>
      <w:r>
        <w:rPr>
          <w:w w:val="105"/>
          <w:sz w:val="21"/>
        </w:rPr>
        <w:t>be </w:t>
      </w:r>
      <w:r>
        <w:rPr>
          <w:spacing w:val="-3"/>
          <w:w w:val="105"/>
          <w:sz w:val="21"/>
        </w:rPr>
        <w:t>working well to </w:t>
      </w:r>
      <w:r>
        <w:rPr>
          <w:w w:val="105"/>
          <w:sz w:val="21"/>
        </w:rPr>
        <w:t>resolve tree </w:t>
      </w:r>
      <w:r>
        <w:rPr>
          <w:spacing w:val="-3"/>
          <w:w w:val="105"/>
          <w:sz w:val="21"/>
        </w:rPr>
        <w:t>disputes.</w:t>
      </w:r>
      <w:r>
        <w:rPr>
          <w:spacing w:val="-3"/>
          <w:w w:val="105"/>
          <w:position w:val="7"/>
          <w:sz w:val="12"/>
        </w:rPr>
        <w:t>35 </w:t>
      </w:r>
      <w:r>
        <w:rPr>
          <w:w w:val="105"/>
          <w:sz w:val="21"/>
        </w:rPr>
        <w:t>Acting </w:t>
      </w:r>
      <w:r>
        <w:rPr>
          <w:spacing w:val="-3"/>
          <w:w w:val="105"/>
          <w:sz w:val="21"/>
        </w:rPr>
        <w:t>Commissioner David Galwey </w:t>
      </w:r>
      <w:r>
        <w:rPr>
          <w:w w:val="105"/>
          <w:sz w:val="21"/>
        </w:rPr>
        <w:t>of the NSWLEC and a tree </w:t>
      </w:r>
      <w:r>
        <w:rPr>
          <w:spacing w:val="-3"/>
          <w:w w:val="105"/>
          <w:sz w:val="21"/>
        </w:rPr>
        <w:t>disputes consultant working </w:t>
      </w:r>
      <w:r>
        <w:rPr>
          <w:w w:val="105"/>
          <w:sz w:val="21"/>
        </w:rPr>
        <w:t>in both New South </w:t>
      </w:r>
      <w:r>
        <w:rPr>
          <w:spacing w:val="-3"/>
          <w:w w:val="105"/>
          <w:sz w:val="21"/>
        </w:rPr>
        <w:t>Wales </w:t>
      </w:r>
      <w:r>
        <w:rPr>
          <w:w w:val="105"/>
          <w:sz w:val="21"/>
        </w:rPr>
        <w:t>and Victoria </w:t>
      </w:r>
      <w:r>
        <w:rPr>
          <w:spacing w:val="-2"/>
          <w:w w:val="105"/>
          <w:sz w:val="21"/>
        </w:rPr>
        <w:t>submitted </w:t>
      </w:r>
      <w:r>
        <w:rPr>
          <w:spacing w:val="-3"/>
          <w:w w:val="105"/>
          <w:sz w:val="21"/>
        </w:rPr>
        <w:t>that </w:t>
      </w:r>
      <w:r>
        <w:rPr>
          <w:w w:val="105"/>
          <w:sz w:val="21"/>
        </w:rPr>
        <w:t>the New South</w:t>
      </w:r>
      <w:r>
        <w:rPr>
          <w:spacing w:val="-9"/>
          <w:w w:val="105"/>
          <w:sz w:val="21"/>
        </w:rPr>
        <w:t> </w:t>
      </w:r>
      <w:r>
        <w:rPr>
          <w:spacing w:val="-3"/>
          <w:w w:val="105"/>
          <w:sz w:val="21"/>
        </w:rPr>
        <w:t>Wales</w:t>
      </w:r>
      <w:r>
        <w:rPr>
          <w:spacing w:val="-8"/>
          <w:w w:val="105"/>
          <w:sz w:val="21"/>
        </w:rPr>
        <w:t> </w:t>
      </w:r>
      <w:r>
        <w:rPr>
          <w:w w:val="105"/>
          <w:sz w:val="21"/>
        </w:rPr>
        <w:t>scheme</w:t>
      </w:r>
      <w:r>
        <w:rPr>
          <w:spacing w:val="-8"/>
          <w:w w:val="105"/>
          <w:sz w:val="21"/>
        </w:rPr>
        <w:t> </w:t>
      </w:r>
      <w:r>
        <w:rPr>
          <w:w w:val="105"/>
          <w:sz w:val="21"/>
        </w:rPr>
        <w:t>provides</w:t>
      </w:r>
      <w:r>
        <w:rPr>
          <w:spacing w:val="-8"/>
          <w:w w:val="105"/>
          <w:sz w:val="21"/>
        </w:rPr>
        <w:t> </w:t>
      </w:r>
      <w:r>
        <w:rPr>
          <w:w w:val="105"/>
          <w:sz w:val="21"/>
        </w:rPr>
        <w:t>a</w:t>
      </w:r>
      <w:r>
        <w:rPr>
          <w:spacing w:val="-8"/>
          <w:w w:val="105"/>
          <w:sz w:val="21"/>
        </w:rPr>
        <w:t> </w:t>
      </w:r>
      <w:r>
        <w:rPr>
          <w:w w:val="105"/>
          <w:sz w:val="21"/>
        </w:rPr>
        <w:t>good</w:t>
      </w:r>
      <w:r>
        <w:rPr>
          <w:spacing w:val="-8"/>
          <w:w w:val="105"/>
          <w:sz w:val="21"/>
        </w:rPr>
        <w:t> </w:t>
      </w:r>
      <w:r>
        <w:rPr>
          <w:w w:val="105"/>
          <w:sz w:val="21"/>
        </w:rPr>
        <w:t>example</w:t>
      </w:r>
      <w:r>
        <w:rPr>
          <w:spacing w:val="-8"/>
          <w:w w:val="105"/>
          <w:sz w:val="21"/>
        </w:rPr>
        <w:t> </w:t>
      </w:r>
      <w:r>
        <w:rPr>
          <w:w w:val="105"/>
          <w:sz w:val="21"/>
        </w:rPr>
        <w:t>of</w:t>
      </w:r>
      <w:r>
        <w:rPr>
          <w:spacing w:val="-8"/>
          <w:w w:val="105"/>
          <w:sz w:val="21"/>
        </w:rPr>
        <w:t> </w:t>
      </w:r>
      <w:r>
        <w:rPr>
          <w:w w:val="105"/>
          <w:sz w:val="21"/>
        </w:rPr>
        <w:t>effective</w:t>
      </w:r>
      <w:r>
        <w:rPr>
          <w:spacing w:val="-8"/>
          <w:w w:val="105"/>
          <w:sz w:val="21"/>
        </w:rPr>
        <w:t> </w:t>
      </w:r>
      <w:r>
        <w:rPr>
          <w:spacing w:val="-3"/>
          <w:w w:val="105"/>
          <w:sz w:val="21"/>
        </w:rPr>
        <w:t>legislation</w:t>
      </w:r>
      <w:r>
        <w:rPr>
          <w:spacing w:val="-8"/>
          <w:w w:val="105"/>
          <w:sz w:val="21"/>
        </w:rPr>
        <w:t> </w:t>
      </w:r>
      <w:r>
        <w:rPr>
          <w:spacing w:val="-3"/>
          <w:w w:val="105"/>
          <w:sz w:val="21"/>
        </w:rPr>
        <w:t>for</w:t>
      </w:r>
      <w:r>
        <w:rPr>
          <w:spacing w:val="-9"/>
          <w:w w:val="105"/>
          <w:sz w:val="21"/>
        </w:rPr>
        <w:t> </w:t>
      </w:r>
      <w:r>
        <w:rPr>
          <w:w w:val="105"/>
          <w:sz w:val="21"/>
        </w:rPr>
        <w:t>resolving</w:t>
      </w:r>
      <w:r>
        <w:rPr>
          <w:spacing w:val="-8"/>
          <w:w w:val="105"/>
          <w:sz w:val="21"/>
        </w:rPr>
        <w:t> </w:t>
      </w:r>
      <w:r>
        <w:rPr>
          <w:w w:val="105"/>
          <w:sz w:val="21"/>
        </w:rPr>
        <w:t>tree disputes.</w:t>
      </w:r>
      <w:r>
        <w:rPr>
          <w:w w:val="105"/>
          <w:position w:val="7"/>
          <w:sz w:val="12"/>
        </w:rPr>
        <w:t>36</w:t>
      </w:r>
    </w:p>
    <w:p>
      <w:pPr>
        <w:pStyle w:val="ListParagraph"/>
        <w:numPr>
          <w:ilvl w:val="1"/>
          <w:numId w:val="16"/>
        </w:numPr>
        <w:tabs>
          <w:tab w:pos="2381" w:val="left" w:leader="none"/>
          <w:tab w:pos="2382" w:val="left" w:leader="none"/>
        </w:tabs>
        <w:spacing w:line="242" w:lineRule="auto" w:before="126" w:after="0"/>
        <w:ind w:left="2381" w:right="1943" w:hanging="794"/>
        <w:jc w:val="left"/>
        <w:rPr>
          <w:sz w:val="21"/>
        </w:rPr>
      </w:pPr>
      <w:r>
        <w:rPr>
          <w:w w:val="105"/>
          <w:sz w:val="21"/>
        </w:rPr>
        <w:t>Some </w:t>
      </w:r>
      <w:r>
        <w:rPr>
          <w:spacing w:val="-3"/>
          <w:w w:val="105"/>
          <w:sz w:val="21"/>
        </w:rPr>
        <w:t>commented that </w:t>
      </w:r>
      <w:r>
        <w:rPr>
          <w:w w:val="105"/>
          <w:sz w:val="21"/>
        </w:rPr>
        <w:t>a </w:t>
      </w:r>
      <w:r>
        <w:rPr>
          <w:spacing w:val="-3"/>
          <w:w w:val="105"/>
          <w:sz w:val="21"/>
        </w:rPr>
        <w:t>clear </w:t>
      </w:r>
      <w:r>
        <w:rPr>
          <w:w w:val="105"/>
          <w:sz w:val="21"/>
        </w:rPr>
        <w:t>statutory </w:t>
      </w:r>
      <w:r>
        <w:rPr>
          <w:spacing w:val="-3"/>
          <w:w w:val="105"/>
          <w:sz w:val="21"/>
        </w:rPr>
        <w:t>scheme, such </w:t>
      </w:r>
      <w:r>
        <w:rPr>
          <w:w w:val="105"/>
          <w:sz w:val="21"/>
        </w:rPr>
        <w:t>as the </w:t>
      </w:r>
      <w:r>
        <w:rPr>
          <w:i/>
          <w:w w:val="105"/>
          <w:sz w:val="21"/>
        </w:rPr>
        <w:t>Fences Act </w:t>
      </w:r>
      <w:r>
        <w:rPr>
          <w:i/>
          <w:spacing w:val="-4"/>
          <w:w w:val="105"/>
          <w:sz w:val="21"/>
        </w:rPr>
        <w:t>1968 </w:t>
      </w:r>
      <w:r>
        <w:rPr>
          <w:w w:val="105"/>
          <w:sz w:val="21"/>
        </w:rPr>
        <w:t>(Vic) </w:t>
      </w:r>
      <w:r>
        <w:rPr>
          <w:spacing w:val="-3"/>
          <w:w w:val="105"/>
          <w:sz w:val="21"/>
        </w:rPr>
        <w:t>for fence disputes, </w:t>
      </w:r>
      <w:r>
        <w:rPr>
          <w:w w:val="105"/>
          <w:sz w:val="21"/>
        </w:rPr>
        <w:t>should be </w:t>
      </w:r>
      <w:r>
        <w:rPr>
          <w:spacing w:val="-3"/>
          <w:w w:val="105"/>
          <w:sz w:val="21"/>
        </w:rPr>
        <w:t>replicated for </w:t>
      </w:r>
      <w:r>
        <w:rPr>
          <w:w w:val="105"/>
          <w:sz w:val="21"/>
        </w:rPr>
        <w:t>tree</w:t>
      </w:r>
      <w:r>
        <w:rPr>
          <w:spacing w:val="41"/>
          <w:w w:val="105"/>
          <w:sz w:val="21"/>
        </w:rPr>
        <w:t> </w:t>
      </w:r>
      <w:r>
        <w:rPr>
          <w:spacing w:val="-3"/>
          <w:w w:val="105"/>
          <w:sz w:val="21"/>
        </w:rPr>
        <w:t>disputes.</w:t>
      </w:r>
      <w:r>
        <w:rPr>
          <w:spacing w:val="-3"/>
          <w:w w:val="105"/>
          <w:position w:val="7"/>
          <w:sz w:val="12"/>
        </w:rPr>
        <w:t>37</w:t>
      </w:r>
    </w:p>
    <w:p>
      <w:pPr>
        <w:pStyle w:val="ListParagraph"/>
        <w:numPr>
          <w:ilvl w:val="1"/>
          <w:numId w:val="16"/>
        </w:numPr>
        <w:tabs>
          <w:tab w:pos="2381" w:val="left" w:leader="none"/>
          <w:tab w:pos="2382" w:val="left" w:leader="none"/>
        </w:tabs>
        <w:spacing w:line="242" w:lineRule="auto" w:before="122" w:after="0"/>
        <w:ind w:left="2381" w:right="1615" w:hanging="794"/>
        <w:jc w:val="left"/>
        <w:rPr>
          <w:sz w:val="21"/>
        </w:rPr>
      </w:pPr>
      <w:r>
        <w:rPr>
          <w:w w:val="105"/>
          <w:sz w:val="21"/>
        </w:rPr>
        <w:t>Although no one objected </w:t>
      </w:r>
      <w:r>
        <w:rPr>
          <w:spacing w:val="-3"/>
          <w:w w:val="105"/>
          <w:sz w:val="21"/>
        </w:rPr>
        <w:t>to </w:t>
      </w:r>
      <w:r>
        <w:rPr>
          <w:w w:val="105"/>
          <w:sz w:val="21"/>
        </w:rPr>
        <w:t>the idea of a new Act, there </w:t>
      </w:r>
      <w:r>
        <w:rPr>
          <w:spacing w:val="-3"/>
          <w:w w:val="105"/>
          <w:sz w:val="21"/>
        </w:rPr>
        <w:t>were </w:t>
      </w:r>
      <w:r>
        <w:rPr>
          <w:w w:val="105"/>
          <w:sz w:val="21"/>
        </w:rPr>
        <w:t>reservations about the </w:t>
      </w:r>
      <w:r>
        <w:rPr>
          <w:spacing w:val="-3"/>
          <w:w w:val="105"/>
          <w:sz w:val="21"/>
        </w:rPr>
        <w:t>potential for any </w:t>
      </w:r>
      <w:r>
        <w:rPr>
          <w:w w:val="105"/>
          <w:sz w:val="21"/>
        </w:rPr>
        <w:t>new scheme </w:t>
      </w:r>
      <w:r>
        <w:rPr>
          <w:spacing w:val="-3"/>
          <w:w w:val="105"/>
          <w:sz w:val="21"/>
        </w:rPr>
        <w:t>to </w:t>
      </w:r>
      <w:r>
        <w:rPr>
          <w:w w:val="105"/>
          <w:sz w:val="21"/>
        </w:rPr>
        <w:t>lead </w:t>
      </w:r>
      <w:r>
        <w:rPr>
          <w:spacing w:val="-3"/>
          <w:w w:val="105"/>
          <w:sz w:val="21"/>
        </w:rPr>
        <w:t>to </w:t>
      </w:r>
      <w:r>
        <w:rPr>
          <w:w w:val="105"/>
          <w:sz w:val="21"/>
        </w:rPr>
        <w:t>an </w:t>
      </w:r>
      <w:r>
        <w:rPr>
          <w:spacing w:val="-3"/>
          <w:w w:val="105"/>
          <w:sz w:val="21"/>
        </w:rPr>
        <w:t>increase </w:t>
      </w:r>
      <w:r>
        <w:rPr>
          <w:w w:val="105"/>
          <w:sz w:val="21"/>
        </w:rPr>
        <w:t>in </w:t>
      </w:r>
      <w:r>
        <w:rPr>
          <w:spacing w:val="-3"/>
          <w:w w:val="105"/>
          <w:sz w:val="21"/>
        </w:rPr>
        <w:t>disputes </w:t>
      </w:r>
      <w:r>
        <w:rPr>
          <w:w w:val="105"/>
          <w:sz w:val="21"/>
        </w:rPr>
        <w:t>and </w:t>
      </w:r>
      <w:r>
        <w:rPr>
          <w:spacing w:val="-3"/>
          <w:w w:val="105"/>
          <w:sz w:val="21"/>
        </w:rPr>
        <w:t>have </w:t>
      </w:r>
      <w:r>
        <w:rPr>
          <w:w w:val="105"/>
          <w:sz w:val="21"/>
        </w:rPr>
        <w:t>a </w:t>
      </w:r>
      <w:r>
        <w:rPr>
          <w:spacing w:val="-3"/>
          <w:w w:val="105"/>
          <w:sz w:val="21"/>
        </w:rPr>
        <w:t>greater </w:t>
      </w:r>
      <w:r>
        <w:rPr>
          <w:w w:val="105"/>
          <w:sz w:val="21"/>
        </w:rPr>
        <w:t>impact on</w:t>
      </w:r>
      <w:r>
        <w:rPr>
          <w:spacing w:val="5"/>
          <w:w w:val="105"/>
          <w:sz w:val="21"/>
        </w:rPr>
        <w:t> </w:t>
      </w:r>
      <w:r>
        <w:rPr>
          <w:w w:val="105"/>
          <w:sz w:val="21"/>
        </w:rPr>
        <w:t>vegetation.</w:t>
      </w:r>
      <w:r>
        <w:rPr>
          <w:w w:val="105"/>
          <w:position w:val="7"/>
          <w:sz w:val="12"/>
        </w:rPr>
        <w:t>38</w:t>
      </w:r>
    </w:p>
    <w:p>
      <w:pPr>
        <w:pStyle w:val="BodyText"/>
        <w:rPr>
          <w:sz w:val="20"/>
        </w:rPr>
      </w:pPr>
    </w:p>
    <w:p>
      <w:pPr>
        <w:pStyle w:val="BodyText"/>
        <w:rPr>
          <w:sz w:val="20"/>
        </w:rPr>
      </w:pPr>
    </w:p>
    <w:p>
      <w:pPr>
        <w:pStyle w:val="BodyText"/>
        <w:spacing w:before="4"/>
        <w:rPr>
          <w:sz w:val="25"/>
        </w:rPr>
      </w:pPr>
      <w:r>
        <w:rPr/>
        <w:pict>
          <v:line style="position:absolute;mso-position-horizontal-relative:page;mso-position-vertical-relative:paragraph;z-index:2336;mso-wrap-distance-left:0;mso-wrap-distance-right:0" from="79.370102pt,17.942810pt" to="515.905102pt,17.942810pt" stroked="true" strokeweight="1pt" strokecolor="#c9d2cb">
            <v:stroke dashstyle="solid"/>
            <w10:wrap type="topAndBottom"/>
          </v:line>
        </w:pict>
      </w:r>
    </w:p>
    <w:p>
      <w:pPr>
        <w:pStyle w:val="ListParagraph"/>
        <w:numPr>
          <w:ilvl w:val="0"/>
          <w:numId w:val="39"/>
        </w:numPr>
        <w:tabs>
          <w:tab w:pos="2380" w:val="left" w:leader="none"/>
          <w:tab w:pos="2382" w:val="left" w:leader="none"/>
        </w:tabs>
        <w:spacing w:line="240" w:lineRule="auto" w:before="117" w:after="0"/>
        <w:ind w:left="2381" w:right="0" w:hanging="794"/>
        <w:jc w:val="left"/>
        <w:rPr>
          <w:sz w:val="13"/>
        </w:rPr>
      </w:pPr>
      <w:r>
        <w:rPr>
          <w:w w:val="105"/>
          <w:sz w:val="13"/>
        </w:rPr>
        <w:t>Submission 33 (Annette</w:t>
      </w:r>
      <w:r>
        <w:rPr>
          <w:spacing w:val="13"/>
          <w:w w:val="105"/>
          <w:sz w:val="13"/>
        </w:rPr>
        <w:t> </w:t>
      </w:r>
      <w:r>
        <w:rPr>
          <w:spacing w:val="2"/>
          <w:w w:val="105"/>
          <w:sz w:val="13"/>
        </w:rPr>
        <w:t>Neville).</w:t>
      </w:r>
    </w:p>
    <w:p>
      <w:pPr>
        <w:pStyle w:val="ListParagraph"/>
        <w:numPr>
          <w:ilvl w:val="0"/>
          <w:numId w:val="39"/>
        </w:numPr>
        <w:tabs>
          <w:tab w:pos="2381" w:val="left" w:leader="none"/>
          <w:tab w:pos="2382" w:val="left" w:leader="none"/>
        </w:tabs>
        <w:spacing w:line="240" w:lineRule="auto" w:before="1" w:after="0"/>
        <w:ind w:left="2381" w:right="0" w:hanging="794"/>
        <w:jc w:val="left"/>
        <w:rPr>
          <w:sz w:val="13"/>
        </w:rPr>
      </w:pPr>
      <w:r>
        <w:rPr>
          <w:w w:val="105"/>
          <w:sz w:val="13"/>
        </w:rPr>
        <w:t>Submission 10 (Professor Phillip Hamilton); Survey respondents 72,</w:t>
      </w:r>
      <w:r>
        <w:rPr>
          <w:spacing w:val="6"/>
          <w:w w:val="105"/>
          <w:sz w:val="13"/>
        </w:rPr>
        <w:t> </w:t>
      </w:r>
      <w:r>
        <w:rPr>
          <w:spacing w:val="-7"/>
          <w:w w:val="105"/>
          <w:sz w:val="13"/>
        </w:rPr>
        <w:t>117.</w:t>
      </w:r>
    </w:p>
    <w:p>
      <w:pPr>
        <w:pStyle w:val="ListParagraph"/>
        <w:numPr>
          <w:ilvl w:val="0"/>
          <w:numId w:val="39"/>
        </w:numPr>
        <w:tabs>
          <w:tab w:pos="2381" w:val="left" w:leader="none"/>
          <w:tab w:pos="2382" w:val="left" w:leader="none"/>
        </w:tabs>
        <w:spacing w:line="240" w:lineRule="auto" w:before="2" w:after="0"/>
        <w:ind w:left="2381" w:right="2157" w:hanging="794"/>
        <w:jc w:val="left"/>
        <w:rPr>
          <w:sz w:val="13"/>
        </w:rPr>
      </w:pPr>
      <w:r>
        <w:rPr>
          <w:w w:val="105"/>
          <w:sz w:val="13"/>
        </w:rPr>
        <w:t>Submissions 2 </w:t>
      </w:r>
      <w:r>
        <w:rPr>
          <w:spacing w:val="2"/>
          <w:w w:val="105"/>
          <w:sz w:val="13"/>
        </w:rPr>
        <w:t>(Name </w:t>
      </w:r>
      <w:r>
        <w:rPr>
          <w:w w:val="105"/>
          <w:sz w:val="13"/>
        </w:rPr>
        <w:t>withheld), 4 </w:t>
      </w:r>
      <w:r>
        <w:rPr>
          <w:spacing w:val="2"/>
          <w:w w:val="105"/>
          <w:sz w:val="13"/>
        </w:rPr>
        <w:t>(Name </w:t>
      </w:r>
      <w:r>
        <w:rPr>
          <w:w w:val="105"/>
          <w:sz w:val="13"/>
        </w:rPr>
        <w:t>withheld), 6 </w:t>
      </w:r>
      <w:r>
        <w:rPr>
          <w:spacing w:val="2"/>
          <w:w w:val="105"/>
          <w:sz w:val="13"/>
        </w:rPr>
        <w:t>(Name </w:t>
      </w:r>
      <w:r>
        <w:rPr>
          <w:w w:val="105"/>
          <w:sz w:val="13"/>
        </w:rPr>
        <w:t>withheld), 7 </w:t>
      </w:r>
      <w:r>
        <w:rPr>
          <w:spacing w:val="2"/>
          <w:w w:val="105"/>
          <w:sz w:val="13"/>
        </w:rPr>
        <w:t>(Ben </w:t>
      </w:r>
      <w:r>
        <w:rPr>
          <w:w w:val="105"/>
          <w:sz w:val="13"/>
        </w:rPr>
        <w:t>Kenyon), 9 </w:t>
      </w:r>
      <w:r>
        <w:rPr>
          <w:spacing w:val="3"/>
          <w:w w:val="105"/>
          <w:sz w:val="13"/>
        </w:rPr>
        <w:t>(Dr </w:t>
      </w:r>
      <w:r>
        <w:rPr>
          <w:w w:val="105"/>
          <w:sz w:val="13"/>
        </w:rPr>
        <w:t>Karen Smith), </w:t>
      </w:r>
      <w:r>
        <w:rPr>
          <w:spacing w:val="-6"/>
          <w:w w:val="105"/>
          <w:sz w:val="13"/>
        </w:rPr>
        <w:t>11 </w:t>
      </w:r>
      <w:r>
        <w:rPr>
          <w:spacing w:val="2"/>
          <w:w w:val="105"/>
          <w:sz w:val="13"/>
        </w:rPr>
        <w:t>(Name </w:t>
      </w:r>
      <w:r>
        <w:rPr>
          <w:w w:val="105"/>
          <w:sz w:val="13"/>
        </w:rPr>
        <w:t>withheld),</w:t>
      </w:r>
      <w:r>
        <w:rPr>
          <w:spacing w:val="30"/>
          <w:w w:val="105"/>
          <w:sz w:val="13"/>
        </w:rPr>
        <w:t> </w:t>
      </w:r>
      <w:r>
        <w:rPr>
          <w:spacing w:val="-4"/>
          <w:w w:val="105"/>
          <w:sz w:val="13"/>
        </w:rPr>
        <w:t>13</w:t>
      </w:r>
      <w:r>
        <w:rPr>
          <w:spacing w:val="7"/>
          <w:w w:val="105"/>
          <w:sz w:val="13"/>
        </w:rPr>
        <w:t> </w:t>
      </w:r>
      <w:r>
        <w:rPr>
          <w:w w:val="105"/>
          <w:sz w:val="13"/>
        </w:rPr>
        <w:t>(Mandy</w:t>
      </w:r>
      <w:r>
        <w:rPr>
          <w:spacing w:val="8"/>
          <w:w w:val="105"/>
          <w:sz w:val="13"/>
        </w:rPr>
        <w:t> </w:t>
      </w:r>
      <w:r>
        <w:rPr>
          <w:w w:val="105"/>
          <w:sz w:val="13"/>
        </w:rPr>
        <w:t>Collins),</w:t>
      </w:r>
      <w:r>
        <w:rPr>
          <w:spacing w:val="8"/>
          <w:w w:val="105"/>
          <w:sz w:val="13"/>
        </w:rPr>
        <w:t> </w:t>
      </w:r>
      <w:r>
        <w:rPr>
          <w:spacing w:val="-3"/>
          <w:w w:val="105"/>
          <w:sz w:val="13"/>
        </w:rPr>
        <w:t>19</w:t>
      </w:r>
      <w:r>
        <w:rPr>
          <w:spacing w:val="8"/>
          <w:w w:val="105"/>
          <w:sz w:val="13"/>
        </w:rPr>
        <w:t> </w:t>
      </w:r>
      <w:r>
        <w:rPr>
          <w:spacing w:val="2"/>
          <w:w w:val="105"/>
          <w:sz w:val="13"/>
        </w:rPr>
        <w:t>(Name</w:t>
      </w:r>
      <w:r>
        <w:rPr>
          <w:spacing w:val="8"/>
          <w:w w:val="105"/>
          <w:sz w:val="13"/>
        </w:rPr>
        <w:t> </w:t>
      </w:r>
      <w:r>
        <w:rPr>
          <w:w w:val="105"/>
          <w:sz w:val="13"/>
        </w:rPr>
        <w:t>withheld),</w:t>
      </w:r>
      <w:r>
        <w:rPr>
          <w:spacing w:val="8"/>
          <w:w w:val="105"/>
          <w:sz w:val="13"/>
        </w:rPr>
        <w:t> </w:t>
      </w:r>
      <w:r>
        <w:rPr>
          <w:w w:val="105"/>
          <w:sz w:val="13"/>
        </w:rPr>
        <w:t>20</w:t>
      </w:r>
      <w:r>
        <w:rPr>
          <w:spacing w:val="8"/>
          <w:w w:val="105"/>
          <w:sz w:val="13"/>
        </w:rPr>
        <w:t> </w:t>
      </w:r>
      <w:r>
        <w:rPr>
          <w:spacing w:val="2"/>
          <w:w w:val="105"/>
          <w:sz w:val="13"/>
        </w:rPr>
        <w:t>(Name</w:t>
      </w:r>
      <w:r>
        <w:rPr>
          <w:spacing w:val="8"/>
          <w:w w:val="105"/>
          <w:sz w:val="13"/>
        </w:rPr>
        <w:t> </w:t>
      </w:r>
      <w:r>
        <w:rPr>
          <w:w w:val="105"/>
          <w:sz w:val="13"/>
        </w:rPr>
        <w:t>withheld),</w:t>
      </w:r>
      <w:r>
        <w:rPr>
          <w:spacing w:val="8"/>
          <w:w w:val="105"/>
          <w:sz w:val="13"/>
        </w:rPr>
        <w:t> </w:t>
      </w:r>
      <w:r>
        <w:rPr>
          <w:w w:val="105"/>
          <w:sz w:val="13"/>
        </w:rPr>
        <w:t>23</w:t>
      </w:r>
      <w:r>
        <w:rPr>
          <w:spacing w:val="8"/>
          <w:w w:val="105"/>
          <w:sz w:val="13"/>
        </w:rPr>
        <w:t> </w:t>
      </w:r>
      <w:r>
        <w:rPr>
          <w:spacing w:val="2"/>
          <w:w w:val="105"/>
          <w:sz w:val="13"/>
        </w:rPr>
        <w:t>(Name</w:t>
      </w:r>
      <w:r>
        <w:rPr>
          <w:spacing w:val="8"/>
          <w:w w:val="105"/>
          <w:sz w:val="13"/>
        </w:rPr>
        <w:t> </w:t>
      </w:r>
      <w:r>
        <w:rPr>
          <w:w w:val="105"/>
          <w:sz w:val="13"/>
        </w:rPr>
        <w:t>withheld),</w:t>
      </w:r>
      <w:r>
        <w:rPr>
          <w:spacing w:val="8"/>
          <w:w w:val="105"/>
          <w:sz w:val="13"/>
        </w:rPr>
        <w:t> </w:t>
      </w:r>
      <w:r>
        <w:rPr>
          <w:w w:val="105"/>
          <w:sz w:val="13"/>
        </w:rPr>
        <w:t>25</w:t>
      </w:r>
      <w:r>
        <w:rPr>
          <w:spacing w:val="8"/>
          <w:w w:val="105"/>
          <w:sz w:val="13"/>
        </w:rPr>
        <w:t> </w:t>
      </w:r>
      <w:r>
        <w:rPr>
          <w:w w:val="105"/>
          <w:sz w:val="13"/>
        </w:rPr>
        <w:t>(City</w:t>
      </w:r>
      <w:r>
        <w:rPr>
          <w:spacing w:val="8"/>
          <w:w w:val="105"/>
          <w:sz w:val="13"/>
        </w:rPr>
        <w:t> </w:t>
      </w:r>
      <w:r>
        <w:rPr>
          <w:w w:val="105"/>
          <w:sz w:val="13"/>
        </w:rPr>
        <w:t>of</w:t>
      </w:r>
      <w:r>
        <w:rPr>
          <w:spacing w:val="8"/>
          <w:w w:val="105"/>
          <w:sz w:val="13"/>
        </w:rPr>
        <w:t> </w:t>
      </w:r>
      <w:r>
        <w:rPr>
          <w:w w:val="105"/>
          <w:sz w:val="13"/>
        </w:rPr>
        <w:t>Boorondara),</w:t>
      </w:r>
      <w:r>
        <w:rPr>
          <w:spacing w:val="8"/>
          <w:w w:val="105"/>
          <w:sz w:val="13"/>
        </w:rPr>
        <w:t> </w:t>
      </w:r>
      <w:r>
        <w:rPr>
          <w:w w:val="105"/>
          <w:sz w:val="13"/>
        </w:rPr>
        <w:t>27</w:t>
      </w:r>
      <w:r>
        <w:rPr>
          <w:spacing w:val="8"/>
          <w:w w:val="105"/>
          <w:sz w:val="13"/>
        </w:rPr>
        <w:t> </w:t>
      </w:r>
      <w:r>
        <w:rPr>
          <w:spacing w:val="2"/>
          <w:w w:val="105"/>
          <w:sz w:val="13"/>
        </w:rPr>
        <w:t>(Name</w:t>
      </w:r>
      <w:r>
        <w:rPr>
          <w:spacing w:val="7"/>
          <w:w w:val="105"/>
          <w:sz w:val="13"/>
        </w:rPr>
        <w:t> </w:t>
      </w:r>
      <w:r>
        <w:rPr>
          <w:w w:val="105"/>
          <w:sz w:val="13"/>
        </w:rPr>
        <w:t>withheld),</w:t>
      </w:r>
    </w:p>
    <w:p>
      <w:pPr>
        <w:pStyle w:val="ListParagraph"/>
        <w:numPr>
          <w:ilvl w:val="0"/>
          <w:numId w:val="39"/>
        </w:numPr>
        <w:tabs>
          <w:tab w:pos="2562" w:val="left" w:leader="none"/>
        </w:tabs>
        <w:spacing w:line="240" w:lineRule="auto" w:before="2" w:after="0"/>
        <w:ind w:left="2561" w:right="0" w:hanging="180"/>
        <w:jc w:val="left"/>
        <w:rPr>
          <w:sz w:val="13"/>
        </w:rPr>
      </w:pPr>
      <w:r>
        <w:rPr>
          <w:spacing w:val="3"/>
          <w:w w:val="105"/>
          <w:sz w:val="13"/>
        </w:rPr>
        <w:t>(HVP</w:t>
      </w:r>
      <w:r>
        <w:rPr>
          <w:spacing w:val="4"/>
          <w:w w:val="105"/>
          <w:sz w:val="13"/>
        </w:rPr>
        <w:t> </w:t>
      </w:r>
      <w:r>
        <w:rPr>
          <w:w w:val="105"/>
          <w:sz w:val="13"/>
        </w:rPr>
        <w:t>Plantations),</w:t>
      </w:r>
      <w:r>
        <w:rPr>
          <w:spacing w:val="5"/>
          <w:w w:val="105"/>
          <w:sz w:val="13"/>
        </w:rPr>
        <w:t> </w:t>
      </w:r>
      <w:r>
        <w:rPr>
          <w:w w:val="105"/>
          <w:sz w:val="13"/>
        </w:rPr>
        <w:t>31</w:t>
      </w:r>
      <w:r>
        <w:rPr>
          <w:spacing w:val="4"/>
          <w:w w:val="105"/>
          <w:sz w:val="13"/>
        </w:rPr>
        <w:t> </w:t>
      </w:r>
      <w:r>
        <w:rPr>
          <w:spacing w:val="2"/>
          <w:w w:val="105"/>
          <w:sz w:val="13"/>
        </w:rPr>
        <w:t>(Barwon</w:t>
      </w:r>
      <w:r>
        <w:rPr>
          <w:spacing w:val="5"/>
          <w:w w:val="105"/>
          <w:sz w:val="13"/>
        </w:rPr>
        <w:t> </w:t>
      </w:r>
      <w:r>
        <w:rPr>
          <w:w w:val="105"/>
          <w:sz w:val="13"/>
        </w:rPr>
        <w:t>Community</w:t>
      </w:r>
      <w:r>
        <w:rPr>
          <w:spacing w:val="5"/>
          <w:w w:val="105"/>
          <w:sz w:val="13"/>
        </w:rPr>
        <w:t> </w:t>
      </w:r>
      <w:r>
        <w:rPr>
          <w:w w:val="105"/>
          <w:sz w:val="13"/>
        </w:rPr>
        <w:t>Legal</w:t>
      </w:r>
      <w:r>
        <w:rPr>
          <w:spacing w:val="4"/>
          <w:w w:val="105"/>
          <w:sz w:val="13"/>
        </w:rPr>
        <w:t> </w:t>
      </w:r>
      <w:r>
        <w:rPr>
          <w:spacing w:val="2"/>
          <w:w w:val="105"/>
          <w:sz w:val="13"/>
        </w:rPr>
        <w:t>Service),</w:t>
      </w:r>
      <w:r>
        <w:rPr>
          <w:spacing w:val="5"/>
          <w:w w:val="105"/>
          <w:sz w:val="13"/>
        </w:rPr>
        <w:t> </w:t>
      </w:r>
      <w:r>
        <w:rPr>
          <w:w w:val="105"/>
          <w:sz w:val="13"/>
        </w:rPr>
        <w:t>33</w:t>
      </w:r>
      <w:r>
        <w:rPr>
          <w:spacing w:val="5"/>
          <w:w w:val="105"/>
          <w:sz w:val="13"/>
        </w:rPr>
        <w:t> </w:t>
      </w:r>
      <w:r>
        <w:rPr>
          <w:w w:val="105"/>
          <w:sz w:val="13"/>
        </w:rPr>
        <w:t>(Annette</w:t>
      </w:r>
      <w:r>
        <w:rPr>
          <w:spacing w:val="4"/>
          <w:w w:val="105"/>
          <w:sz w:val="13"/>
        </w:rPr>
        <w:t> </w:t>
      </w:r>
      <w:r>
        <w:rPr>
          <w:spacing w:val="2"/>
          <w:w w:val="105"/>
          <w:sz w:val="13"/>
        </w:rPr>
        <w:t>Neville);</w:t>
      </w:r>
      <w:r>
        <w:rPr>
          <w:spacing w:val="5"/>
          <w:w w:val="105"/>
          <w:sz w:val="13"/>
        </w:rPr>
        <w:t> </w:t>
      </w:r>
      <w:r>
        <w:rPr>
          <w:w w:val="105"/>
          <w:sz w:val="13"/>
        </w:rPr>
        <w:t>Consultations</w:t>
      </w:r>
      <w:r>
        <w:rPr>
          <w:spacing w:val="5"/>
          <w:w w:val="105"/>
          <w:sz w:val="13"/>
        </w:rPr>
        <w:t> </w:t>
      </w:r>
      <w:r>
        <w:rPr>
          <w:w w:val="105"/>
          <w:sz w:val="13"/>
        </w:rPr>
        <w:t>1</w:t>
      </w:r>
      <w:r>
        <w:rPr>
          <w:spacing w:val="4"/>
          <w:w w:val="105"/>
          <w:sz w:val="13"/>
        </w:rPr>
        <w:t> </w:t>
      </w:r>
      <w:r>
        <w:rPr>
          <w:w w:val="105"/>
          <w:sz w:val="13"/>
        </w:rPr>
        <w:t>(Aldo</w:t>
      </w:r>
      <w:r>
        <w:rPr>
          <w:spacing w:val="5"/>
          <w:w w:val="105"/>
          <w:sz w:val="13"/>
        </w:rPr>
        <w:t> </w:t>
      </w:r>
      <w:r>
        <w:rPr>
          <w:w w:val="105"/>
          <w:sz w:val="13"/>
        </w:rPr>
        <w:t>Taranto),</w:t>
      </w:r>
      <w:r>
        <w:rPr>
          <w:spacing w:val="4"/>
          <w:w w:val="105"/>
          <w:sz w:val="13"/>
        </w:rPr>
        <w:t> </w:t>
      </w:r>
      <w:r>
        <w:rPr>
          <w:w w:val="105"/>
          <w:sz w:val="13"/>
        </w:rPr>
        <w:t>3</w:t>
      </w:r>
      <w:r>
        <w:rPr>
          <w:spacing w:val="5"/>
          <w:w w:val="105"/>
          <w:sz w:val="13"/>
        </w:rPr>
        <w:t> </w:t>
      </w:r>
      <w:r>
        <w:rPr>
          <w:spacing w:val="3"/>
          <w:w w:val="105"/>
          <w:sz w:val="13"/>
        </w:rPr>
        <w:t>(HVP</w:t>
      </w:r>
      <w:r>
        <w:rPr>
          <w:spacing w:val="5"/>
          <w:w w:val="105"/>
          <w:sz w:val="13"/>
        </w:rPr>
        <w:t> </w:t>
      </w:r>
      <w:r>
        <w:rPr>
          <w:w w:val="105"/>
          <w:sz w:val="13"/>
        </w:rPr>
        <w:t>Plantations).</w:t>
      </w:r>
    </w:p>
    <w:p>
      <w:pPr>
        <w:pStyle w:val="ListParagraph"/>
        <w:numPr>
          <w:ilvl w:val="0"/>
          <w:numId w:val="40"/>
        </w:numPr>
        <w:tabs>
          <w:tab w:pos="2381" w:val="left" w:leader="none"/>
          <w:tab w:pos="2382" w:val="left" w:leader="none"/>
        </w:tabs>
        <w:spacing w:line="240" w:lineRule="auto" w:before="2" w:after="0"/>
        <w:ind w:left="2381" w:right="0" w:hanging="794"/>
        <w:jc w:val="left"/>
        <w:rPr>
          <w:sz w:val="13"/>
        </w:rPr>
      </w:pPr>
      <w:r>
        <w:rPr>
          <w:w w:val="105"/>
          <w:sz w:val="13"/>
        </w:rPr>
        <w:t>Consultation 1 (Aldo</w:t>
      </w:r>
      <w:r>
        <w:rPr>
          <w:spacing w:val="13"/>
          <w:w w:val="105"/>
          <w:sz w:val="13"/>
        </w:rPr>
        <w:t> </w:t>
      </w:r>
      <w:r>
        <w:rPr>
          <w:w w:val="105"/>
          <w:sz w:val="13"/>
        </w:rPr>
        <w:t>Taranto).</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w w:val="105"/>
          <w:sz w:val="13"/>
        </w:rPr>
        <w:t>Submission 9 </w:t>
      </w:r>
      <w:r>
        <w:rPr>
          <w:spacing w:val="3"/>
          <w:w w:val="105"/>
          <w:sz w:val="13"/>
        </w:rPr>
        <w:t>(Dr </w:t>
      </w:r>
      <w:r>
        <w:rPr>
          <w:w w:val="105"/>
          <w:sz w:val="13"/>
        </w:rPr>
        <w:t>Karen</w:t>
      </w:r>
      <w:r>
        <w:rPr>
          <w:spacing w:val="15"/>
          <w:w w:val="105"/>
          <w:sz w:val="13"/>
        </w:rPr>
        <w:t> </w:t>
      </w:r>
      <w:r>
        <w:rPr>
          <w:w w:val="105"/>
          <w:sz w:val="13"/>
        </w:rPr>
        <w:t>Smith).</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w w:val="105"/>
          <w:sz w:val="13"/>
        </w:rPr>
        <w:t>Submission 20 </w:t>
      </w:r>
      <w:r>
        <w:rPr>
          <w:spacing w:val="2"/>
          <w:w w:val="105"/>
          <w:sz w:val="13"/>
        </w:rPr>
        <w:t>(Name</w:t>
      </w:r>
      <w:r>
        <w:rPr>
          <w:spacing w:val="13"/>
          <w:w w:val="105"/>
          <w:sz w:val="13"/>
        </w:rPr>
        <w:t> </w:t>
      </w:r>
      <w:r>
        <w:rPr>
          <w:w w:val="105"/>
          <w:sz w:val="13"/>
        </w:rPr>
        <w:t>withheld).</w:t>
      </w:r>
    </w:p>
    <w:p>
      <w:pPr>
        <w:pStyle w:val="ListParagraph"/>
        <w:numPr>
          <w:ilvl w:val="0"/>
          <w:numId w:val="40"/>
        </w:numPr>
        <w:tabs>
          <w:tab w:pos="2381" w:val="left" w:leader="none"/>
          <w:tab w:pos="2382" w:val="left" w:leader="none"/>
        </w:tabs>
        <w:spacing w:line="240" w:lineRule="auto" w:before="2" w:after="0"/>
        <w:ind w:left="2381" w:right="2094" w:hanging="794"/>
        <w:jc w:val="left"/>
        <w:rPr>
          <w:sz w:val="13"/>
        </w:rPr>
      </w:pPr>
      <w:r>
        <w:rPr>
          <w:w w:val="105"/>
          <w:sz w:val="13"/>
        </w:rPr>
        <w:t>Submissions 7 </w:t>
      </w:r>
      <w:r>
        <w:rPr>
          <w:spacing w:val="2"/>
          <w:w w:val="105"/>
          <w:sz w:val="13"/>
        </w:rPr>
        <w:t>(Ben </w:t>
      </w:r>
      <w:r>
        <w:rPr>
          <w:w w:val="105"/>
          <w:sz w:val="13"/>
        </w:rPr>
        <w:t>Kenyon), 9 </w:t>
      </w:r>
      <w:r>
        <w:rPr>
          <w:spacing w:val="3"/>
          <w:w w:val="105"/>
          <w:sz w:val="13"/>
        </w:rPr>
        <w:t>(Dr </w:t>
      </w:r>
      <w:r>
        <w:rPr>
          <w:w w:val="105"/>
          <w:sz w:val="13"/>
        </w:rPr>
        <w:t>Karen Smith), 20 </w:t>
      </w:r>
      <w:r>
        <w:rPr>
          <w:spacing w:val="2"/>
          <w:w w:val="105"/>
          <w:sz w:val="13"/>
        </w:rPr>
        <w:t>(Name </w:t>
      </w:r>
      <w:r>
        <w:rPr>
          <w:w w:val="105"/>
          <w:sz w:val="13"/>
        </w:rPr>
        <w:t>withheld), 31 </w:t>
      </w:r>
      <w:r>
        <w:rPr>
          <w:spacing w:val="2"/>
          <w:w w:val="105"/>
          <w:sz w:val="13"/>
        </w:rPr>
        <w:t>(Barwon </w:t>
      </w:r>
      <w:r>
        <w:rPr>
          <w:w w:val="105"/>
          <w:sz w:val="13"/>
        </w:rPr>
        <w:t>Community Legal </w:t>
      </w:r>
      <w:r>
        <w:rPr>
          <w:spacing w:val="2"/>
          <w:w w:val="105"/>
          <w:sz w:val="13"/>
        </w:rPr>
        <w:t>Service); </w:t>
      </w:r>
      <w:r>
        <w:rPr>
          <w:w w:val="105"/>
          <w:sz w:val="13"/>
        </w:rPr>
        <w:t>Consultation 1 (Aldo Taranto).</w:t>
      </w:r>
    </w:p>
    <w:p>
      <w:pPr>
        <w:pStyle w:val="ListParagraph"/>
        <w:numPr>
          <w:ilvl w:val="0"/>
          <w:numId w:val="40"/>
        </w:numPr>
        <w:tabs>
          <w:tab w:pos="2381" w:val="left" w:leader="none"/>
          <w:tab w:pos="2382" w:val="left" w:leader="none"/>
        </w:tabs>
        <w:spacing w:line="240" w:lineRule="auto" w:before="2" w:after="0"/>
        <w:ind w:left="2381" w:right="0" w:hanging="794"/>
        <w:jc w:val="left"/>
        <w:rPr>
          <w:sz w:val="13"/>
        </w:rPr>
      </w:pPr>
      <w:r>
        <w:rPr>
          <w:w w:val="105"/>
          <w:sz w:val="13"/>
        </w:rPr>
        <w:t>Submission </w:t>
      </w:r>
      <w:r>
        <w:rPr>
          <w:spacing w:val="-3"/>
          <w:w w:val="105"/>
          <w:sz w:val="13"/>
        </w:rPr>
        <w:t>19 </w:t>
      </w:r>
      <w:r>
        <w:rPr>
          <w:spacing w:val="2"/>
          <w:w w:val="105"/>
          <w:sz w:val="13"/>
        </w:rPr>
        <w:t>(Name</w:t>
      </w:r>
      <w:r>
        <w:rPr>
          <w:spacing w:val="16"/>
          <w:w w:val="105"/>
          <w:sz w:val="13"/>
        </w:rPr>
        <w:t> </w:t>
      </w:r>
      <w:r>
        <w:rPr>
          <w:w w:val="105"/>
          <w:sz w:val="13"/>
        </w:rPr>
        <w:t>withheld).</w:t>
      </w:r>
    </w:p>
    <w:p>
      <w:pPr>
        <w:pStyle w:val="ListParagraph"/>
        <w:numPr>
          <w:ilvl w:val="0"/>
          <w:numId w:val="40"/>
        </w:numPr>
        <w:tabs>
          <w:tab w:pos="2381" w:val="left" w:leader="none"/>
          <w:tab w:pos="2382" w:val="left" w:leader="none"/>
        </w:tabs>
        <w:spacing w:line="240" w:lineRule="auto" w:before="2" w:after="0"/>
        <w:ind w:left="2381" w:right="0" w:hanging="794"/>
        <w:jc w:val="left"/>
        <w:rPr>
          <w:sz w:val="13"/>
        </w:rPr>
      </w:pPr>
      <w:r>
        <w:rPr>
          <w:w w:val="105"/>
          <w:sz w:val="13"/>
        </w:rPr>
        <w:t>Survey respondent</w:t>
      </w:r>
      <w:r>
        <w:rPr>
          <w:spacing w:val="9"/>
          <w:w w:val="105"/>
          <w:sz w:val="13"/>
        </w:rPr>
        <w:t> </w:t>
      </w:r>
      <w:r>
        <w:rPr>
          <w:w w:val="105"/>
          <w:sz w:val="13"/>
        </w:rPr>
        <w:t>99.</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w w:val="105"/>
          <w:sz w:val="13"/>
        </w:rPr>
        <w:t>Consultation 2 </w:t>
      </w:r>
      <w:r>
        <w:rPr>
          <w:spacing w:val="3"/>
          <w:w w:val="105"/>
          <w:sz w:val="13"/>
        </w:rPr>
        <w:t>(Dr </w:t>
      </w:r>
      <w:r>
        <w:rPr>
          <w:w w:val="105"/>
          <w:sz w:val="13"/>
        </w:rPr>
        <w:t>Gregory Moore</w:t>
      </w:r>
      <w:r>
        <w:rPr>
          <w:spacing w:val="20"/>
          <w:w w:val="105"/>
          <w:sz w:val="13"/>
        </w:rPr>
        <w:t> </w:t>
      </w:r>
      <w:r>
        <w:rPr>
          <w:spacing w:val="2"/>
          <w:w w:val="105"/>
          <w:sz w:val="13"/>
        </w:rPr>
        <w:t>OAM).</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40"/>
        </w:numPr>
        <w:tabs>
          <w:tab w:pos="2381" w:val="left" w:leader="none"/>
          <w:tab w:pos="2382" w:val="left" w:leader="none"/>
        </w:tabs>
        <w:spacing w:line="240" w:lineRule="auto" w:before="2" w:after="0"/>
        <w:ind w:left="2381" w:right="0" w:hanging="794"/>
        <w:jc w:val="left"/>
        <w:rPr>
          <w:sz w:val="13"/>
        </w:rPr>
      </w:pPr>
      <w:r>
        <w:rPr>
          <w:w w:val="105"/>
          <w:sz w:val="13"/>
        </w:rPr>
        <w:t>Submissions 20 </w:t>
      </w:r>
      <w:r>
        <w:rPr>
          <w:spacing w:val="2"/>
          <w:w w:val="105"/>
          <w:sz w:val="13"/>
        </w:rPr>
        <w:t>(Name </w:t>
      </w:r>
      <w:r>
        <w:rPr>
          <w:w w:val="105"/>
          <w:sz w:val="13"/>
        </w:rPr>
        <w:t>withheld), 29 (David</w:t>
      </w:r>
      <w:r>
        <w:rPr>
          <w:spacing w:val="26"/>
          <w:w w:val="105"/>
          <w:sz w:val="13"/>
        </w:rPr>
        <w:t> </w:t>
      </w:r>
      <w:r>
        <w:rPr>
          <w:w w:val="105"/>
          <w:sz w:val="13"/>
        </w:rPr>
        <w:t>Galwey).</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pict>
          <v:shape style="position:absolute;margin-left:548.989929pt;margin-top:2.997863pt;width:13.1pt;height:14.25pt;mso-position-horizontal-relative:page;mso-position-vertical-relative:paragraph;z-index:4408" type="#_x0000_t202" filled="false" stroked="false">
            <v:textbox inset="0,0,0,0">
              <w:txbxContent>
                <w:p>
                  <w:pPr>
                    <w:spacing w:line="284" w:lineRule="exact" w:before="0"/>
                    <w:ind w:left="0" w:right="0" w:firstLine="0"/>
                    <w:jc w:val="left"/>
                    <w:rPr>
                      <w:b/>
                      <w:sz w:val="24"/>
                    </w:rPr>
                  </w:pPr>
                  <w:r>
                    <w:rPr>
                      <w:b/>
                      <w:color w:val="658464"/>
                      <w:spacing w:val="-3"/>
                      <w:w w:val="110"/>
                      <w:sz w:val="24"/>
                    </w:rPr>
                    <w:t>55</w:t>
                  </w:r>
                </w:p>
              </w:txbxContent>
            </v:textbox>
            <w10:wrap type="none"/>
          </v:shape>
        </w:pict>
      </w:r>
      <w:r>
        <w:rPr>
          <w:w w:val="105"/>
          <w:sz w:val="13"/>
        </w:rPr>
        <w:t>See, eg, Consultation 3 </w:t>
      </w:r>
      <w:r>
        <w:rPr>
          <w:spacing w:val="3"/>
          <w:w w:val="105"/>
          <w:sz w:val="13"/>
        </w:rPr>
        <w:t>(HVP</w:t>
      </w:r>
      <w:r>
        <w:rPr>
          <w:spacing w:val="23"/>
          <w:w w:val="105"/>
          <w:sz w:val="13"/>
        </w:rPr>
        <w:t> </w:t>
      </w:r>
      <w:r>
        <w:rPr>
          <w:w w:val="105"/>
          <w:sz w:val="13"/>
        </w:rPr>
        <w:t>Plantations).</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5"/>
          <w:w w:val="105"/>
          <w:sz w:val="13"/>
        </w:rPr>
        <w:t> </w:t>
      </w:r>
      <w:r>
        <w:rPr>
          <w:w w:val="105"/>
          <w:sz w:val="13"/>
        </w:rPr>
        <w:t>18</w:t>
      </w:r>
      <w:r>
        <w:rPr>
          <w:spacing w:val="5"/>
          <w:w w:val="105"/>
          <w:sz w:val="13"/>
        </w:rPr>
        <w:t> </w:t>
      </w:r>
      <w:r>
        <w:rPr>
          <w:w w:val="105"/>
          <w:sz w:val="13"/>
        </w:rPr>
        <w:t>(ENSPEC),</w:t>
      </w:r>
      <w:r>
        <w:rPr>
          <w:spacing w:val="6"/>
          <w:w w:val="105"/>
          <w:sz w:val="13"/>
        </w:rPr>
        <w:t> </w:t>
      </w:r>
      <w:r>
        <w:rPr>
          <w:w w:val="105"/>
          <w:sz w:val="13"/>
        </w:rPr>
        <w:t>28</w:t>
      </w:r>
      <w:r>
        <w:rPr>
          <w:spacing w:val="5"/>
          <w:w w:val="105"/>
          <w:sz w:val="13"/>
        </w:rPr>
        <w:t> </w:t>
      </w:r>
      <w:r>
        <w:rPr>
          <w:spacing w:val="3"/>
          <w:w w:val="105"/>
          <w:sz w:val="13"/>
        </w:rPr>
        <w:t>(HVP</w:t>
      </w:r>
      <w:r>
        <w:rPr>
          <w:spacing w:val="5"/>
          <w:w w:val="105"/>
          <w:sz w:val="13"/>
        </w:rPr>
        <w:t> </w:t>
      </w:r>
      <w:r>
        <w:rPr>
          <w:w w:val="105"/>
          <w:sz w:val="13"/>
        </w:rPr>
        <w:t>Plantations);</w:t>
      </w:r>
      <w:r>
        <w:rPr>
          <w:spacing w:val="6"/>
          <w:w w:val="105"/>
          <w:sz w:val="13"/>
        </w:rPr>
        <w:t> </w:t>
      </w:r>
      <w:r>
        <w:rPr>
          <w:w w:val="105"/>
          <w:sz w:val="13"/>
        </w:rPr>
        <w:t>Consultation</w:t>
      </w:r>
      <w:r>
        <w:rPr>
          <w:spacing w:val="5"/>
          <w:w w:val="105"/>
          <w:sz w:val="13"/>
        </w:rPr>
        <w:t> </w:t>
      </w:r>
      <w:r>
        <w:rPr>
          <w:w w:val="105"/>
          <w:sz w:val="13"/>
        </w:rPr>
        <w:t>4</w:t>
      </w:r>
      <w:r>
        <w:rPr>
          <w:spacing w:val="5"/>
          <w:w w:val="105"/>
          <w:sz w:val="13"/>
        </w:rPr>
        <w:t> </w:t>
      </w:r>
      <w:r>
        <w:rPr>
          <w:w w:val="105"/>
          <w:sz w:val="13"/>
        </w:rPr>
        <w:t>(Participants</w:t>
      </w:r>
      <w:r>
        <w:rPr>
          <w:spacing w:val="6"/>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6"/>
          <w:w w:val="105"/>
          <w:sz w:val="13"/>
        </w:rPr>
        <w:t> </w:t>
      </w:r>
      <w:r>
        <w:rPr>
          <w:w w:val="105"/>
          <w:sz w:val="13"/>
        </w:rPr>
        <w:t>at</w:t>
      </w:r>
      <w:r>
        <w:rPr>
          <w:spacing w:val="5"/>
          <w:w w:val="105"/>
          <w:sz w:val="13"/>
        </w:rPr>
        <w:t> </w:t>
      </w:r>
      <w:r>
        <w:rPr>
          <w:spacing w:val="4"/>
          <w:w w:val="105"/>
          <w:sz w:val="13"/>
        </w:rPr>
        <w:t>VTIO</w:t>
      </w:r>
      <w:r>
        <w:rPr>
          <w:spacing w:val="5"/>
          <w:w w:val="105"/>
          <w:sz w:val="13"/>
        </w:rPr>
        <w:t> </w:t>
      </w:r>
      <w:r>
        <w:rPr>
          <w:w w:val="105"/>
          <w:sz w:val="13"/>
        </w:rPr>
        <w:t>ArborCamp2018).</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16"/>
        </w:numPr>
        <w:tabs>
          <w:tab w:pos="2381" w:val="left" w:leader="none"/>
          <w:tab w:pos="2382" w:val="left" w:leader="none"/>
        </w:tabs>
        <w:spacing w:line="242" w:lineRule="auto" w:before="92" w:after="0"/>
        <w:ind w:left="2381" w:right="1588" w:hanging="794"/>
        <w:jc w:val="left"/>
        <w:rPr>
          <w:sz w:val="21"/>
        </w:rPr>
      </w:pPr>
      <w:bookmarkStart w:name="_bookmark39" w:id="99"/>
      <w:bookmarkEnd w:id="99"/>
      <w:r>
        <w:rPr/>
      </w:r>
      <w:bookmarkStart w:name="_bookmark39" w:id="100"/>
      <w:bookmarkEnd w:id="100"/>
      <w:r>
        <w:rPr>
          <w:sz w:val="21"/>
        </w:rPr>
        <w:t>A</w:t>
      </w:r>
      <w:r>
        <w:rPr>
          <w:sz w:val="21"/>
        </w:rPr>
        <w:t>n arborist expressed </w:t>
      </w:r>
      <w:r>
        <w:rPr>
          <w:spacing w:val="-3"/>
          <w:sz w:val="21"/>
        </w:rPr>
        <w:t>concern that </w:t>
      </w:r>
      <w:r>
        <w:rPr>
          <w:sz w:val="21"/>
        </w:rPr>
        <w:t>a statutory scheme </w:t>
      </w:r>
      <w:r>
        <w:rPr>
          <w:spacing w:val="-3"/>
          <w:sz w:val="21"/>
        </w:rPr>
        <w:t>will increase </w:t>
      </w:r>
      <w:r>
        <w:rPr>
          <w:sz w:val="21"/>
        </w:rPr>
        <w:t>the </w:t>
      </w:r>
      <w:r>
        <w:rPr>
          <w:spacing w:val="-3"/>
          <w:sz w:val="21"/>
        </w:rPr>
        <w:t>removal  </w:t>
      </w:r>
      <w:r>
        <w:rPr>
          <w:sz w:val="21"/>
        </w:rPr>
        <w:t>of trees, </w:t>
      </w:r>
      <w:r>
        <w:rPr>
          <w:spacing w:val="-3"/>
          <w:sz w:val="21"/>
        </w:rPr>
        <w:t>thus reducing </w:t>
      </w:r>
      <w:r>
        <w:rPr>
          <w:sz w:val="21"/>
        </w:rPr>
        <w:t>the urban </w:t>
      </w:r>
      <w:r>
        <w:rPr>
          <w:spacing w:val="-2"/>
          <w:sz w:val="21"/>
        </w:rPr>
        <w:t>forest </w:t>
      </w:r>
      <w:r>
        <w:rPr>
          <w:sz w:val="21"/>
        </w:rPr>
        <w:t>and benefits </w:t>
      </w:r>
      <w:r>
        <w:rPr>
          <w:spacing w:val="-3"/>
          <w:sz w:val="21"/>
        </w:rPr>
        <w:t>to </w:t>
      </w:r>
      <w:r>
        <w:rPr>
          <w:sz w:val="21"/>
        </w:rPr>
        <w:t>the </w:t>
      </w:r>
      <w:r>
        <w:rPr>
          <w:spacing w:val="-3"/>
          <w:sz w:val="21"/>
        </w:rPr>
        <w:t>community.</w:t>
      </w:r>
      <w:r>
        <w:rPr>
          <w:spacing w:val="-3"/>
          <w:position w:val="7"/>
          <w:sz w:val="12"/>
        </w:rPr>
        <w:t>39 </w:t>
      </w:r>
      <w:r>
        <w:rPr>
          <w:spacing w:val="-4"/>
          <w:sz w:val="21"/>
        </w:rPr>
        <w:t>ENSPEC, </w:t>
      </w:r>
      <w:r>
        <w:rPr>
          <w:sz w:val="21"/>
        </w:rPr>
        <w:t>an </w:t>
      </w:r>
      <w:r>
        <w:rPr>
          <w:spacing w:val="-3"/>
          <w:sz w:val="21"/>
        </w:rPr>
        <w:t>arboricultural consulting  </w:t>
      </w:r>
      <w:r>
        <w:rPr>
          <w:sz w:val="21"/>
        </w:rPr>
        <w:t>firm, supported </w:t>
      </w:r>
      <w:r>
        <w:rPr>
          <w:spacing w:val="-3"/>
          <w:sz w:val="21"/>
        </w:rPr>
        <w:t>reforms</w:t>
      </w:r>
      <w:r>
        <w:rPr>
          <w:spacing w:val="41"/>
          <w:sz w:val="21"/>
        </w:rPr>
        <w:t> </w:t>
      </w:r>
      <w:r>
        <w:rPr>
          <w:spacing w:val="-3"/>
          <w:sz w:val="21"/>
        </w:rPr>
        <w:t>to  </w:t>
      </w:r>
      <w:r>
        <w:rPr>
          <w:sz w:val="21"/>
        </w:rPr>
        <w:t>clarify and simplify the resolution of tree </w:t>
      </w:r>
      <w:r>
        <w:rPr>
          <w:spacing w:val="-3"/>
          <w:sz w:val="21"/>
        </w:rPr>
        <w:t>disputes   </w:t>
      </w:r>
      <w:r>
        <w:rPr>
          <w:sz w:val="21"/>
        </w:rPr>
        <w:t>but</w:t>
      </w:r>
      <w:r>
        <w:rPr>
          <w:spacing w:val="8"/>
          <w:sz w:val="21"/>
        </w:rPr>
        <w:t> </w:t>
      </w:r>
      <w:r>
        <w:rPr>
          <w:sz w:val="21"/>
        </w:rPr>
        <w:t>noted:</w:t>
      </w:r>
    </w:p>
    <w:p>
      <w:pPr>
        <w:spacing w:line="254" w:lineRule="auto" w:before="134"/>
        <w:ind w:left="2834" w:right="1784" w:firstLine="0"/>
        <w:jc w:val="both"/>
        <w:rPr>
          <w:sz w:val="20"/>
        </w:rPr>
      </w:pPr>
      <w:r>
        <w:rPr>
          <w:w w:val="105"/>
          <w:sz w:val="20"/>
        </w:rPr>
        <w:t>we</w:t>
      </w:r>
      <w:r>
        <w:rPr>
          <w:spacing w:val="-8"/>
          <w:w w:val="105"/>
          <w:sz w:val="20"/>
        </w:rPr>
        <w:t> </w:t>
      </w:r>
      <w:r>
        <w:rPr>
          <w:w w:val="105"/>
          <w:sz w:val="20"/>
        </w:rPr>
        <w:t>harbour</w:t>
      </w:r>
      <w:r>
        <w:rPr>
          <w:spacing w:val="-7"/>
          <w:w w:val="105"/>
          <w:sz w:val="20"/>
        </w:rPr>
        <w:t> </w:t>
      </w:r>
      <w:r>
        <w:rPr>
          <w:w w:val="105"/>
          <w:sz w:val="20"/>
        </w:rPr>
        <w:t>some</w:t>
      </w:r>
      <w:r>
        <w:rPr>
          <w:spacing w:val="-7"/>
          <w:w w:val="105"/>
          <w:sz w:val="20"/>
        </w:rPr>
        <w:t> </w:t>
      </w:r>
      <w:r>
        <w:rPr>
          <w:w w:val="105"/>
          <w:sz w:val="20"/>
        </w:rPr>
        <w:t>strong</w:t>
      </w:r>
      <w:r>
        <w:rPr>
          <w:spacing w:val="-7"/>
          <w:w w:val="105"/>
          <w:sz w:val="20"/>
        </w:rPr>
        <w:t> </w:t>
      </w:r>
      <w:r>
        <w:rPr>
          <w:w w:val="105"/>
          <w:sz w:val="20"/>
        </w:rPr>
        <w:t>reservations</w:t>
      </w:r>
      <w:r>
        <w:rPr>
          <w:spacing w:val="-7"/>
          <w:w w:val="105"/>
          <w:sz w:val="20"/>
        </w:rPr>
        <w:t> </w:t>
      </w:r>
      <w:r>
        <w:rPr>
          <w:w w:val="105"/>
          <w:sz w:val="20"/>
        </w:rPr>
        <w:t>about</w:t>
      </w:r>
      <w:r>
        <w:rPr>
          <w:spacing w:val="-7"/>
          <w:w w:val="105"/>
          <w:sz w:val="20"/>
        </w:rPr>
        <w:t> </w:t>
      </w:r>
      <w:r>
        <w:rPr>
          <w:w w:val="105"/>
          <w:sz w:val="20"/>
        </w:rPr>
        <w:t>the</w:t>
      </w:r>
      <w:r>
        <w:rPr>
          <w:spacing w:val="-7"/>
          <w:w w:val="105"/>
          <w:sz w:val="20"/>
        </w:rPr>
        <w:t> </w:t>
      </w:r>
      <w:r>
        <w:rPr>
          <w:w w:val="105"/>
          <w:sz w:val="20"/>
        </w:rPr>
        <w:t>form</w:t>
      </w:r>
      <w:r>
        <w:rPr>
          <w:spacing w:val="-8"/>
          <w:w w:val="105"/>
          <w:sz w:val="20"/>
        </w:rPr>
        <w:t> </w:t>
      </w:r>
      <w:r>
        <w:rPr>
          <w:w w:val="105"/>
          <w:sz w:val="20"/>
        </w:rPr>
        <w:t>this</w:t>
      </w:r>
      <w:r>
        <w:rPr>
          <w:spacing w:val="-7"/>
          <w:w w:val="105"/>
          <w:sz w:val="20"/>
        </w:rPr>
        <w:t> </w:t>
      </w:r>
      <w:r>
        <w:rPr>
          <w:w w:val="105"/>
          <w:sz w:val="20"/>
        </w:rPr>
        <w:t>might</w:t>
      </w:r>
      <w:r>
        <w:rPr>
          <w:spacing w:val="-7"/>
          <w:w w:val="105"/>
          <w:sz w:val="20"/>
        </w:rPr>
        <w:t> </w:t>
      </w:r>
      <w:r>
        <w:rPr>
          <w:spacing w:val="-3"/>
          <w:w w:val="105"/>
          <w:sz w:val="20"/>
        </w:rPr>
        <w:t>take</w:t>
      </w:r>
      <w:r>
        <w:rPr>
          <w:spacing w:val="-7"/>
          <w:w w:val="105"/>
          <w:sz w:val="20"/>
        </w:rPr>
        <w:t> </w:t>
      </w:r>
      <w:r>
        <w:rPr>
          <w:w w:val="105"/>
          <w:sz w:val="20"/>
        </w:rPr>
        <w:t>and</w:t>
      </w:r>
      <w:r>
        <w:rPr>
          <w:spacing w:val="-7"/>
          <w:w w:val="105"/>
          <w:sz w:val="20"/>
        </w:rPr>
        <w:t> </w:t>
      </w:r>
      <w:r>
        <w:rPr>
          <w:w w:val="105"/>
          <w:sz w:val="20"/>
        </w:rPr>
        <w:t>the</w:t>
      </w:r>
      <w:r>
        <w:rPr>
          <w:spacing w:val="-7"/>
          <w:w w:val="105"/>
          <w:sz w:val="20"/>
        </w:rPr>
        <w:t> </w:t>
      </w:r>
      <w:r>
        <w:rPr>
          <w:spacing w:val="-3"/>
          <w:w w:val="105"/>
          <w:sz w:val="20"/>
        </w:rPr>
        <w:t>potential </w:t>
      </w:r>
      <w:r>
        <w:rPr>
          <w:w w:val="105"/>
          <w:sz w:val="20"/>
        </w:rPr>
        <w:t>for</w:t>
      </w:r>
      <w:r>
        <w:rPr>
          <w:spacing w:val="-8"/>
          <w:w w:val="105"/>
          <w:sz w:val="20"/>
        </w:rPr>
        <w:t> </w:t>
      </w:r>
      <w:r>
        <w:rPr>
          <w:w w:val="105"/>
          <w:sz w:val="20"/>
        </w:rPr>
        <w:t>an</w:t>
      </w:r>
      <w:r>
        <w:rPr>
          <w:spacing w:val="-7"/>
          <w:w w:val="105"/>
          <w:sz w:val="20"/>
        </w:rPr>
        <w:t> </w:t>
      </w:r>
      <w:r>
        <w:rPr>
          <w:w w:val="105"/>
          <w:sz w:val="20"/>
        </w:rPr>
        <w:t>increase</w:t>
      </w:r>
      <w:r>
        <w:rPr>
          <w:spacing w:val="-8"/>
          <w:w w:val="105"/>
          <w:sz w:val="20"/>
        </w:rPr>
        <w:t> </w:t>
      </w:r>
      <w:r>
        <w:rPr>
          <w:w w:val="105"/>
          <w:sz w:val="20"/>
        </w:rPr>
        <w:t>in</w:t>
      </w:r>
      <w:r>
        <w:rPr>
          <w:spacing w:val="-7"/>
          <w:w w:val="105"/>
          <w:sz w:val="20"/>
        </w:rPr>
        <w:t> </w:t>
      </w:r>
      <w:r>
        <w:rPr>
          <w:w w:val="105"/>
          <w:sz w:val="20"/>
        </w:rPr>
        <w:t>disputes</w:t>
      </w:r>
      <w:r>
        <w:rPr>
          <w:spacing w:val="-7"/>
          <w:w w:val="105"/>
          <w:sz w:val="20"/>
        </w:rPr>
        <w:t> </w:t>
      </w:r>
      <w:r>
        <w:rPr>
          <w:w w:val="105"/>
          <w:sz w:val="20"/>
        </w:rPr>
        <w:t>as</w:t>
      </w:r>
      <w:r>
        <w:rPr>
          <w:spacing w:val="-8"/>
          <w:w w:val="105"/>
          <w:sz w:val="20"/>
        </w:rPr>
        <w:t> </w:t>
      </w:r>
      <w:r>
        <w:rPr>
          <w:w w:val="105"/>
          <w:sz w:val="20"/>
        </w:rPr>
        <w:t>a</w:t>
      </w:r>
      <w:r>
        <w:rPr>
          <w:spacing w:val="-7"/>
          <w:w w:val="105"/>
          <w:sz w:val="20"/>
        </w:rPr>
        <w:t> </w:t>
      </w:r>
      <w:r>
        <w:rPr>
          <w:w w:val="105"/>
          <w:sz w:val="20"/>
        </w:rPr>
        <w:t>result</w:t>
      </w:r>
      <w:r>
        <w:rPr>
          <w:spacing w:val="-7"/>
          <w:w w:val="105"/>
          <w:sz w:val="20"/>
        </w:rPr>
        <w:t> </w:t>
      </w:r>
      <w:r>
        <w:rPr>
          <w:w w:val="115"/>
          <w:sz w:val="20"/>
        </w:rPr>
        <w:t>…</w:t>
      </w:r>
      <w:r>
        <w:rPr>
          <w:spacing w:val="-12"/>
          <w:w w:val="115"/>
          <w:sz w:val="20"/>
        </w:rPr>
        <w:t> </w:t>
      </w:r>
      <w:r>
        <w:rPr>
          <w:w w:val="105"/>
          <w:sz w:val="20"/>
        </w:rPr>
        <w:t>Is</w:t>
      </w:r>
      <w:r>
        <w:rPr>
          <w:spacing w:val="-8"/>
          <w:w w:val="105"/>
          <w:sz w:val="20"/>
        </w:rPr>
        <w:t> </w:t>
      </w:r>
      <w:r>
        <w:rPr>
          <w:w w:val="105"/>
          <w:sz w:val="20"/>
        </w:rPr>
        <w:t>the</w:t>
      </w:r>
      <w:r>
        <w:rPr>
          <w:spacing w:val="-7"/>
          <w:w w:val="105"/>
          <w:sz w:val="20"/>
        </w:rPr>
        <w:t> </w:t>
      </w:r>
      <w:r>
        <w:rPr>
          <w:spacing w:val="-3"/>
          <w:w w:val="105"/>
          <w:sz w:val="20"/>
        </w:rPr>
        <w:t>current</w:t>
      </w:r>
      <w:r>
        <w:rPr>
          <w:spacing w:val="-7"/>
          <w:w w:val="105"/>
          <w:sz w:val="20"/>
        </w:rPr>
        <w:t> </w:t>
      </w:r>
      <w:r>
        <w:rPr>
          <w:w w:val="105"/>
          <w:sz w:val="20"/>
        </w:rPr>
        <w:t>number</w:t>
      </w:r>
      <w:r>
        <w:rPr>
          <w:spacing w:val="-8"/>
          <w:w w:val="105"/>
          <w:sz w:val="20"/>
        </w:rPr>
        <w:t> </w:t>
      </w:r>
      <w:r>
        <w:rPr>
          <w:w w:val="105"/>
          <w:sz w:val="20"/>
        </w:rPr>
        <w:t>of</w:t>
      </w:r>
      <w:r>
        <w:rPr>
          <w:spacing w:val="-7"/>
          <w:w w:val="105"/>
          <w:sz w:val="20"/>
        </w:rPr>
        <w:t> </w:t>
      </w:r>
      <w:r>
        <w:rPr>
          <w:w w:val="105"/>
          <w:sz w:val="20"/>
        </w:rPr>
        <w:t>enquiries</w:t>
      </w:r>
      <w:r>
        <w:rPr>
          <w:spacing w:val="-8"/>
          <w:w w:val="105"/>
          <w:sz w:val="20"/>
        </w:rPr>
        <w:t> </w:t>
      </w:r>
      <w:r>
        <w:rPr>
          <w:w w:val="105"/>
          <w:sz w:val="20"/>
        </w:rPr>
        <w:t>unexpected or unreasonable given the millions of trees in our</w:t>
      </w:r>
      <w:r>
        <w:rPr>
          <w:spacing w:val="23"/>
          <w:w w:val="105"/>
          <w:sz w:val="20"/>
        </w:rPr>
        <w:t> </w:t>
      </w:r>
      <w:r>
        <w:rPr>
          <w:spacing w:val="-3"/>
          <w:w w:val="105"/>
          <w:sz w:val="20"/>
        </w:rPr>
        <w:t>community?</w:t>
      </w:r>
    </w:p>
    <w:p>
      <w:pPr>
        <w:spacing w:line="254" w:lineRule="auto" w:before="123"/>
        <w:ind w:left="2834" w:right="1912" w:firstLine="0"/>
        <w:jc w:val="left"/>
        <w:rPr>
          <w:sz w:val="20"/>
        </w:rPr>
      </w:pPr>
      <w:r>
        <w:rPr>
          <w:spacing w:val="-4"/>
          <w:w w:val="105"/>
          <w:sz w:val="20"/>
        </w:rPr>
        <w:t>Could </w:t>
      </w:r>
      <w:r>
        <w:rPr>
          <w:w w:val="105"/>
          <w:sz w:val="20"/>
        </w:rPr>
        <w:t>the number of enquiries/disputes be reduced through public education about reasonable expectations of living in a </w:t>
      </w:r>
      <w:r>
        <w:rPr>
          <w:spacing w:val="-3"/>
          <w:w w:val="105"/>
          <w:sz w:val="20"/>
        </w:rPr>
        <w:t>community?</w:t>
      </w:r>
    </w:p>
    <w:p>
      <w:pPr>
        <w:spacing w:line="254" w:lineRule="auto" w:before="123"/>
        <w:ind w:left="2834" w:right="1630" w:firstLine="0"/>
        <w:jc w:val="both"/>
        <w:rPr>
          <w:sz w:val="11"/>
        </w:rPr>
      </w:pPr>
      <w:r>
        <w:rPr>
          <w:spacing w:val="-3"/>
          <w:w w:val="105"/>
          <w:sz w:val="20"/>
        </w:rPr>
        <w:t>Would</w:t>
      </w:r>
      <w:r>
        <w:rPr>
          <w:spacing w:val="-13"/>
          <w:w w:val="105"/>
          <w:sz w:val="20"/>
        </w:rPr>
        <w:t> </w:t>
      </w:r>
      <w:r>
        <w:rPr>
          <w:w w:val="105"/>
          <w:sz w:val="20"/>
        </w:rPr>
        <w:t>providing</w:t>
      </w:r>
      <w:r>
        <w:rPr>
          <w:spacing w:val="-12"/>
          <w:w w:val="105"/>
          <w:sz w:val="20"/>
        </w:rPr>
        <w:t> </w:t>
      </w:r>
      <w:r>
        <w:rPr>
          <w:w w:val="105"/>
          <w:sz w:val="20"/>
        </w:rPr>
        <w:t>an</w:t>
      </w:r>
      <w:r>
        <w:rPr>
          <w:spacing w:val="-12"/>
          <w:w w:val="105"/>
          <w:sz w:val="20"/>
        </w:rPr>
        <w:t> </w:t>
      </w:r>
      <w:r>
        <w:rPr>
          <w:w w:val="105"/>
          <w:sz w:val="20"/>
        </w:rPr>
        <w:t>easily</w:t>
      </w:r>
      <w:r>
        <w:rPr>
          <w:spacing w:val="-13"/>
          <w:w w:val="105"/>
          <w:sz w:val="20"/>
        </w:rPr>
        <w:t> </w:t>
      </w:r>
      <w:r>
        <w:rPr>
          <w:w w:val="105"/>
          <w:sz w:val="20"/>
        </w:rPr>
        <w:t>accessible</w:t>
      </w:r>
      <w:r>
        <w:rPr>
          <w:spacing w:val="-12"/>
          <w:w w:val="105"/>
          <w:sz w:val="20"/>
        </w:rPr>
        <w:t> </w:t>
      </w:r>
      <w:r>
        <w:rPr>
          <w:w w:val="105"/>
          <w:sz w:val="20"/>
        </w:rPr>
        <w:t>system</w:t>
      </w:r>
      <w:r>
        <w:rPr>
          <w:spacing w:val="-12"/>
          <w:w w:val="105"/>
          <w:sz w:val="20"/>
        </w:rPr>
        <w:t> </w:t>
      </w:r>
      <w:r>
        <w:rPr>
          <w:w w:val="105"/>
          <w:sz w:val="20"/>
        </w:rPr>
        <w:t>actually</w:t>
      </w:r>
      <w:r>
        <w:rPr>
          <w:spacing w:val="-13"/>
          <w:w w:val="105"/>
          <w:sz w:val="20"/>
        </w:rPr>
        <w:t> </w:t>
      </w:r>
      <w:r>
        <w:rPr>
          <w:w w:val="105"/>
          <w:sz w:val="20"/>
        </w:rPr>
        <w:t>increase</w:t>
      </w:r>
      <w:r>
        <w:rPr>
          <w:spacing w:val="-12"/>
          <w:w w:val="105"/>
          <w:sz w:val="20"/>
        </w:rPr>
        <w:t> </w:t>
      </w:r>
      <w:r>
        <w:rPr>
          <w:w w:val="105"/>
          <w:sz w:val="20"/>
        </w:rPr>
        <w:t>the</w:t>
      </w:r>
      <w:r>
        <w:rPr>
          <w:spacing w:val="-12"/>
          <w:w w:val="105"/>
          <w:sz w:val="20"/>
        </w:rPr>
        <w:t> </w:t>
      </w:r>
      <w:r>
        <w:rPr>
          <w:spacing w:val="-3"/>
          <w:w w:val="105"/>
          <w:sz w:val="20"/>
        </w:rPr>
        <w:t>overall</w:t>
      </w:r>
      <w:r>
        <w:rPr>
          <w:spacing w:val="-13"/>
          <w:w w:val="105"/>
          <w:sz w:val="20"/>
        </w:rPr>
        <w:t> </w:t>
      </w:r>
      <w:r>
        <w:rPr>
          <w:w w:val="105"/>
          <w:sz w:val="20"/>
        </w:rPr>
        <w:t>workload</w:t>
      </w:r>
      <w:r>
        <w:rPr>
          <w:spacing w:val="-12"/>
          <w:w w:val="105"/>
          <w:sz w:val="20"/>
        </w:rPr>
        <w:t> </w:t>
      </w:r>
      <w:r>
        <w:rPr>
          <w:w w:val="105"/>
          <w:sz w:val="20"/>
        </w:rPr>
        <w:t>in</w:t>
      </w:r>
      <w:r>
        <w:rPr>
          <w:spacing w:val="-12"/>
          <w:w w:val="105"/>
          <w:sz w:val="20"/>
        </w:rPr>
        <w:t> </w:t>
      </w:r>
      <w:r>
        <w:rPr>
          <w:w w:val="105"/>
          <w:sz w:val="20"/>
        </w:rPr>
        <w:t>the system</w:t>
      </w:r>
      <w:r>
        <w:rPr>
          <w:spacing w:val="-7"/>
          <w:w w:val="105"/>
          <w:sz w:val="20"/>
        </w:rPr>
        <w:t> </w:t>
      </w:r>
      <w:r>
        <w:rPr>
          <w:w w:val="105"/>
          <w:sz w:val="20"/>
        </w:rPr>
        <w:t>and</w:t>
      </w:r>
      <w:r>
        <w:rPr>
          <w:spacing w:val="-7"/>
          <w:w w:val="105"/>
          <w:sz w:val="20"/>
        </w:rPr>
        <w:t> </w:t>
      </w:r>
      <w:r>
        <w:rPr>
          <w:w w:val="105"/>
          <w:sz w:val="20"/>
        </w:rPr>
        <w:t>burden</w:t>
      </w:r>
      <w:r>
        <w:rPr>
          <w:spacing w:val="-7"/>
          <w:w w:val="105"/>
          <w:sz w:val="20"/>
        </w:rPr>
        <w:t> </w:t>
      </w:r>
      <w:r>
        <w:rPr>
          <w:w w:val="105"/>
          <w:sz w:val="20"/>
        </w:rPr>
        <w:t>on</w:t>
      </w:r>
      <w:r>
        <w:rPr>
          <w:spacing w:val="-7"/>
          <w:w w:val="105"/>
          <w:sz w:val="20"/>
        </w:rPr>
        <w:t> </w:t>
      </w:r>
      <w:r>
        <w:rPr>
          <w:w w:val="105"/>
          <w:sz w:val="20"/>
        </w:rPr>
        <w:t>the</w:t>
      </w:r>
      <w:r>
        <w:rPr>
          <w:spacing w:val="-7"/>
          <w:w w:val="105"/>
          <w:sz w:val="20"/>
        </w:rPr>
        <w:t> </w:t>
      </w:r>
      <w:r>
        <w:rPr>
          <w:w w:val="105"/>
          <w:sz w:val="20"/>
        </w:rPr>
        <w:t>community</w:t>
      </w:r>
      <w:r>
        <w:rPr>
          <w:spacing w:val="-6"/>
          <w:w w:val="105"/>
          <w:sz w:val="20"/>
        </w:rPr>
        <w:t> </w:t>
      </w:r>
      <w:r>
        <w:rPr>
          <w:w w:val="105"/>
          <w:sz w:val="20"/>
        </w:rPr>
        <w:t>by</w:t>
      </w:r>
      <w:r>
        <w:rPr>
          <w:spacing w:val="-7"/>
          <w:w w:val="105"/>
          <w:sz w:val="20"/>
        </w:rPr>
        <w:t> </w:t>
      </w:r>
      <w:r>
        <w:rPr>
          <w:spacing w:val="-3"/>
          <w:w w:val="105"/>
          <w:sz w:val="20"/>
        </w:rPr>
        <w:t>facilitating</w:t>
      </w:r>
      <w:r>
        <w:rPr>
          <w:spacing w:val="-7"/>
          <w:w w:val="105"/>
          <w:sz w:val="20"/>
        </w:rPr>
        <w:t> </w:t>
      </w:r>
      <w:r>
        <w:rPr>
          <w:w w:val="105"/>
          <w:sz w:val="20"/>
        </w:rPr>
        <w:t>more</w:t>
      </w:r>
      <w:r>
        <w:rPr>
          <w:spacing w:val="-7"/>
          <w:w w:val="105"/>
          <w:sz w:val="20"/>
        </w:rPr>
        <w:t> </w:t>
      </w:r>
      <w:r>
        <w:rPr>
          <w:w w:val="105"/>
          <w:sz w:val="20"/>
        </w:rPr>
        <w:t>unreasonable</w:t>
      </w:r>
      <w:r>
        <w:rPr>
          <w:spacing w:val="-7"/>
          <w:w w:val="105"/>
          <w:sz w:val="20"/>
        </w:rPr>
        <w:t> </w:t>
      </w:r>
      <w:r>
        <w:rPr>
          <w:spacing w:val="-3"/>
          <w:w w:val="105"/>
          <w:sz w:val="20"/>
        </w:rPr>
        <w:t>‘disputes’</w:t>
      </w:r>
      <w:r>
        <w:rPr>
          <w:spacing w:val="-7"/>
          <w:w w:val="105"/>
          <w:sz w:val="20"/>
        </w:rPr>
        <w:t> </w:t>
      </w:r>
      <w:r>
        <w:rPr>
          <w:w w:val="105"/>
          <w:sz w:val="20"/>
        </w:rPr>
        <w:t>going further than an enquiry to DSCV [Dispute Settlement </w:t>
      </w:r>
      <w:r>
        <w:rPr>
          <w:spacing w:val="-4"/>
          <w:w w:val="105"/>
          <w:sz w:val="20"/>
        </w:rPr>
        <w:t>Centre </w:t>
      </w:r>
      <w:r>
        <w:rPr>
          <w:w w:val="105"/>
          <w:sz w:val="20"/>
        </w:rPr>
        <w:t>of</w:t>
      </w:r>
      <w:r>
        <w:rPr>
          <w:spacing w:val="27"/>
          <w:w w:val="105"/>
          <w:sz w:val="20"/>
        </w:rPr>
        <w:t> </w:t>
      </w:r>
      <w:r>
        <w:rPr>
          <w:w w:val="105"/>
          <w:sz w:val="20"/>
        </w:rPr>
        <w:t>Victoria]?</w:t>
      </w:r>
      <w:r>
        <w:rPr>
          <w:w w:val="105"/>
          <w:position w:val="7"/>
          <w:sz w:val="11"/>
        </w:rPr>
        <w:t>40</w:t>
      </w:r>
    </w:p>
    <w:p>
      <w:pPr>
        <w:pStyle w:val="ListParagraph"/>
        <w:numPr>
          <w:ilvl w:val="1"/>
          <w:numId w:val="16"/>
        </w:numPr>
        <w:tabs>
          <w:tab w:pos="2381" w:val="left" w:leader="none"/>
          <w:tab w:pos="2382" w:val="left" w:leader="none"/>
        </w:tabs>
        <w:spacing w:line="242" w:lineRule="auto" w:before="114" w:after="0"/>
        <w:ind w:left="2381" w:right="1943" w:hanging="794"/>
        <w:jc w:val="left"/>
        <w:rPr>
          <w:sz w:val="21"/>
        </w:rPr>
      </w:pPr>
      <w:r>
        <w:rPr>
          <w:sz w:val="21"/>
        </w:rPr>
        <w:t>HVP </w:t>
      </w:r>
      <w:r>
        <w:rPr>
          <w:spacing w:val="-3"/>
          <w:sz w:val="21"/>
        </w:rPr>
        <w:t>Plantations </w:t>
      </w:r>
      <w:r>
        <w:rPr>
          <w:sz w:val="21"/>
        </w:rPr>
        <w:t>cautioned </w:t>
      </w:r>
      <w:r>
        <w:rPr>
          <w:spacing w:val="-3"/>
          <w:sz w:val="21"/>
        </w:rPr>
        <w:t>against placing  unreasonable  burdens  </w:t>
      </w:r>
      <w:r>
        <w:rPr>
          <w:sz w:val="21"/>
        </w:rPr>
        <w:t>on  </w:t>
      </w:r>
      <w:r>
        <w:rPr>
          <w:spacing w:val="-3"/>
          <w:sz w:val="21"/>
        </w:rPr>
        <w:t>rural  </w:t>
      </w:r>
      <w:r>
        <w:rPr>
          <w:sz w:val="21"/>
        </w:rPr>
        <w:t>landowners </w:t>
      </w:r>
      <w:r>
        <w:rPr>
          <w:spacing w:val="-3"/>
          <w:sz w:val="21"/>
        </w:rPr>
        <w:t>to manage </w:t>
      </w:r>
      <w:r>
        <w:rPr>
          <w:sz w:val="21"/>
        </w:rPr>
        <w:t>trees. It </w:t>
      </w:r>
      <w:r>
        <w:rPr>
          <w:spacing w:val="-2"/>
          <w:sz w:val="21"/>
        </w:rPr>
        <w:t>submitted </w:t>
      </w:r>
      <w:r>
        <w:rPr>
          <w:spacing w:val="-3"/>
          <w:sz w:val="21"/>
        </w:rPr>
        <w:t>that </w:t>
      </w:r>
      <w:r>
        <w:rPr>
          <w:sz w:val="21"/>
        </w:rPr>
        <w:t>‘there is a case </w:t>
      </w:r>
      <w:r>
        <w:rPr>
          <w:spacing w:val="-3"/>
          <w:sz w:val="21"/>
        </w:rPr>
        <w:t>for </w:t>
      </w:r>
      <w:r>
        <w:rPr>
          <w:sz w:val="21"/>
        </w:rPr>
        <w:t>statutory </w:t>
      </w:r>
      <w:r>
        <w:rPr>
          <w:spacing w:val="-2"/>
          <w:sz w:val="21"/>
        </w:rPr>
        <w:t>intervention </w:t>
      </w:r>
      <w:r>
        <w:rPr>
          <w:spacing w:val="-3"/>
          <w:sz w:val="21"/>
        </w:rPr>
        <w:t>to </w:t>
      </w:r>
      <w:r>
        <w:rPr>
          <w:sz w:val="21"/>
        </w:rPr>
        <w:t>provide </w:t>
      </w:r>
      <w:r>
        <w:rPr>
          <w:spacing w:val="-3"/>
          <w:sz w:val="21"/>
        </w:rPr>
        <w:t>guidance to rural </w:t>
      </w:r>
      <w:r>
        <w:rPr>
          <w:sz w:val="21"/>
        </w:rPr>
        <w:t>landowners in treed </w:t>
      </w:r>
      <w:r>
        <w:rPr>
          <w:spacing w:val="-3"/>
          <w:sz w:val="21"/>
        </w:rPr>
        <w:t>environments, </w:t>
      </w:r>
      <w:r>
        <w:rPr>
          <w:sz w:val="21"/>
        </w:rPr>
        <w:t>and </w:t>
      </w:r>
      <w:r>
        <w:rPr>
          <w:spacing w:val="-3"/>
          <w:sz w:val="21"/>
        </w:rPr>
        <w:t>to draw </w:t>
      </w:r>
      <w:r>
        <w:rPr>
          <w:sz w:val="21"/>
        </w:rPr>
        <w:t>a contemporary </w:t>
      </w:r>
      <w:r>
        <w:rPr>
          <w:spacing w:val="-3"/>
          <w:sz w:val="21"/>
        </w:rPr>
        <w:t>compromise </w:t>
      </w:r>
      <w:r>
        <w:rPr>
          <w:sz w:val="21"/>
        </w:rPr>
        <w:t>between the benefits and risks </w:t>
      </w:r>
      <w:r>
        <w:rPr>
          <w:spacing w:val="-3"/>
          <w:sz w:val="21"/>
        </w:rPr>
        <w:t>that </w:t>
      </w:r>
      <w:r>
        <w:rPr>
          <w:sz w:val="21"/>
        </w:rPr>
        <w:t>trees </w:t>
      </w:r>
      <w:r>
        <w:rPr>
          <w:spacing w:val="-3"/>
          <w:sz w:val="21"/>
        </w:rPr>
        <w:t>bring to</w:t>
      </w:r>
      <w:r>
        <w:rPr>
          <w:spacing w:val="36"/>
          <w:sz w:val="21"/>
        </w:rPr>
        <w:t> </w:t>
      </w:r>
      <w:r>
        <w:rPr>
          <w:spacing w:val="-4"/>
          <w:sz w:val="21"/>
        </w:rPr>
        <w:t>neighbours’.</w:t>
      </w:r>
      <w:r>
        <w:rPr>
          <w:spacing w:val="-4"/>
          <w:position w:val="7"/>
          <w:sz w:val="12"/>
        </w:rPr>
        <w:t>41</w:t>
      </w:r>
    </w:p>
    <w:p>
      <w:pPr>
        <w:pStyle w:val="BodyText"/>
        <w:spacing w:before="5"/>
        <w:rPr>
          <w:sz w:val="20"/>
        </w:rPr>
      </w:pPr>
    </w:p>
    <w:p>
      <w:pPr>
        <w:pStyle w:val="Heading5"/>
      </w:pPr>
      <w:r>
        <w:rPr>
          <w:w w:val="110"/>
        </w:rPr>
        <w:t>Option 3: Alternative options</w:t>
      </w:r>
    </w:p>
    <w:p>
      <w:pPr>
        <w:pStyle w:val="ListParagraph"/>
        <w:numPr>
          <w:ilvl w:val="1"/>
          <w:numId w:val="16"/>
        </w:numPr>
        <w:tabs>
          <w:tab w:pos="2381" w:val="left" w:leader="none"/>
          <w:tab w:pos="2382" w:val="left" w:leader="none"/>
        </w:tabs>
        <w:spacing w:line="242" w:lineRule="auto" w:before="137" w:after="0"/>
        <w:ind w:left="2381" w:right="1880" w:hanging="794"/>
        <w:jc w:val="left"/>
        <w:rPr>
          <w:sz w:val="21"/>
        </w:rPr>
      </w:pPr>
      <w:r>
        <w:rPr>
          <w:w w:val="105"/>
          <w:sz w:val="21"/>
        </w:rPr>
        <w:t>The community was also </w:t>
      </w:r>
      <w:r>
        <w:rPr>
          <w:spacing w:val="-3"/>
          <w:w w:val="105"/>
          <w:sz w:val="21"/>
        </w:rPr>
        <w:t>asked to submit </w:t>
      </w:r>
      <w:r>
        <w:rPr>
          <w:w w:val="105"/>
          <w:sz w:val="21"/>
        </w:rPr>
        <w:t>proposals </w:t>
      </w:r>
      <w:r>
        <w:rPr>
          <w:spacing w:val="-3"/>
          <w:w w:val="105"/>
          <w:sz w:val="21"/>
        </w:rPr>
        <w:t>for alternative </w:t>
      </w:r>
      <w:r>
        <w:rPr>
          <w:w w:val="105"/>
          <w:sz w:val="21"/>
        </w:rPr>
        <w:t>options </w:t>
      </w:r>
      <w:r>
        <w:rPr>
          <w:spacing w:val="-3"/>
          <w:w w:val="105"/>
          <w:sz w:val="21"/>
        </w:rPr>
        <w:t>for reform. </w:t>
      </w:r>
      <w:r>
        <w:rPr>
          <w:w w:val="105"/>
          <w:sz w:val="21"/>
        </w:rPr>
        <w:t>Some</w:t>
      </w:r>
      <w:r>
        <w:rPr>
          <w:spacing w:val="-6"/>
          <w:w w:val="105"/>
          <w:sz w:val="21"/>
        </w:rPr>
        <w:t> </w:t>
      </w:r>
      <w:r>
        <w:rPr>
          <w:w w:val="105"/>
          <w:sz w:val="21"/>
        </w:rPr>
        <w:t>of</w:t>
      </w:r>
      <w:r>
        <w:rPr>
          <w:spacing w:val="-6"/>
          <w:w w:val="105"/>
          <w:sz w:val="21"/>
        </w:rPr>
        <w:t> </w:t>
      </w:r>
      <w:r>
        <w:rPr>
          <w:w w:val="105"/>
          <w:sz w:val="21"/>
        </w:rPr>
        <w:t>these</w:t>
      </w:r>
      <w:r>
        <w:rPr>
          <w:spacing w:val="-5"/>
          <w:w w:val="105"/>
          <w:sz w:val="21"/>
        </w:rPr>
        <w:t> </w:t>
      </w:r>
      <w:r>
        <w:rPr>
          <w:w w:val="105"/>
          <w:sz w:val="21"/>
        </w:rPr>
        <w:t>ideas</w:t>
      </w:r>
      <w:r>
        <w:rPr>
          <w:spacing w:val="-6"/>
          <w:w w:val="105"/>
          <w:sz w:val="21"/>
        </w:rPr>
        <w:t> </w:t>
      </w:r>
      <w:r>
        <w:rPr>
          <w:spacing w:val="-3"/>
          <w:w w:val="105"/>
          <w:sz w:val="21"/>
        </w:rPr>
        <w:t>are</w:t>
      </w:r>
      <w:r>
        <w:rPr>
          <w:spacing w:val="-5"/>
          <w:w w:val="105"/>
          <w:sz w:val="21"/>
        </w:rPr>
        <w:t> </w:t>
      </w:r>
      <w:r>
        <w:rPr>
          <w:w w:val="105"/>
          <w:sz w:val="21"/>
        </w:rPr>
        <w:t>discussed</w:t>
      </w:r>
      <w:r>
        <w:rPr>
          <w:spacing w:val="-6"/>
          <w:w w:val="105"/>
          <w:sz w:val="21"/>
        </w:rPr>
        <w:t> </w:t>
      </w:r>
      <w:r>
        <w:rPr>
          <w:w w:val="105"/>
          <w:sz w:val="21"/>
        </w:rPr>
        <w:t>in</w:t>
      </w:r>
      <w:r>
        <w:rPr>
          <w:spacing w:val="-6"/>
          <w:w w:val="105"/>
          <w:sz w:val="21"/>
        </w:rPr>
        <w:t> </w:t>
      </w:r>
      <w:r>
        <w:rPr>
          <w:spacing w:val="-4"/>
          <w:w w:val="105"/>
          <w:sz w:val="21"/>
        </w:rPr>
        <w:t>Chapter</w:t>
      </w:r>
      <w:r>
        <w:rPr>
          <w:spacing w:val="-5"/>
          <w:w w:val="105"/>
          <w:sz w:val="21"/>
        </w:rPr>
        <w:t> </w:t>
      </w:r>
      <w:r>
        <w:rPr>
          <w:spacing w:val="-9"/>
          <w:w w:val="105"/>
          <w:sz w:val="21"/>
        </w:rPr>
        <w:t>13</w:t>
      </w:r>
      <w:r>
        <w:rPr>
          <w:spacing w:val="-6"/>
          <w:w w:val="105"/>
          <w:sz w:val="21"/>
        </w:rPr>
        <w:t> </w:t>
      </w:r>
      <w:r>
        <w:rPr>
          <w:w w:val="105"/>
          <w:sz w:val="21"/>
        </w:rPr>
        <w:t>because</w:t>
      </w:r>
      <w:r>
        <w:rPr>
          <w:spacing w:val="-5"/>
          <w:w w:val="105"/>
          <w:sz w:val="21"/>
        </w:rPr>
        <w:t> </w:t>
      </w:r>
      <w:r>
        <w:rPr>
          <w:w w:val="105"/>
          <w:sz w:val="21"/>
        </w:rPr>
        <w:t>they</w:t>
      </w:r>
      <w:r>
        <w:rPr>
          <w:spacing w:val="-6"/>
          <w:w w:val="105"/>
          <w:sz w:val="21"/>
        </w:rPr>
        <w:t> </w:t>
      </w:r>
      <w:r>
        <w:rPr>
          <w:spacing w:val="-3"/>
          <w:w w:val="105"/>
          <w:sz w:val="21"/>
        </w:rPr>
        <w:t>are</w:t>
      </w:r>
      <w:r>
        <w:rPr>
          <w:spacing w:val="-6"/>
          <w:w w:val="105"/>
          <w:sz w:val="21"/>
        </w:rPr>
        <w:t> </w:t>
      </w:r>
      <w:r>
        <w:rPr>
          <w:w w:val="105"/>
          <w:sz w:val="21"/>
        </w:rPr>
        <w:t>beyond</w:t>
      </w:r>
      <w:r>
        <w:rPr>
          <w:spacing w:val="-5"/>
          <w:w w:val="105"/>
          <w:sz w:val="21"/>
        </w:rPr>
        <w:t> </w:t>
      </w:r>
      <w:r>
        <w:rPr>
          <w:w w:val="105"/>
          <w:sz w:val="21"/>
        </w:rPr>
        <w:t>the</w:t>
      </w:r>
      <w:r>
        <w:rPr>
          <w:spacing w:val="-6"/>
          <w:w w:val="105"/>
          <w:sz w:val="21"/>
        </w:rPr>
        <w:t> </w:t>
      </w:r>
      <w:r>
        <w:rPr>
          <w:w w:val="105"/>
          <w:sz w:val="21"/>
        </w:rPr>
        <w:t>scope</w:t>
      </w:r>
      <w:r>
        <w:rPr>
          <w:spacing w:val="-5"/>
          <w:w w:val="105"/>
          <w:sz w:val="21"/>
        </w:rPr>
        <w:t> </w:t>
      </w:r>
      <w:r>
        <w:rPr>
          <w:w w:val="105"/>
          <w:sz w:val="21"/>
        </w:rPr>
        <w:t>of this </w:t>
      </w:r>
      <w:r>
        <w:rPr>
          <w:spacing w:val="-3"/>
          <w:w w:val="105"/>
          <w:sz w:val="21"/>
        </w:rPr>
        <w:t>Community </w:t>
      </w:r>
      <w:r>
        <w:rPr>
          <w:w w:val="105"/>
          <w:sz w:val="21"/>
        </w:rPr>
        <w:t>Law </w:t>
      </w:r>
      <w:r>
        <w:rPr>
          <w:spacing w:val="-3"/>
          <w:w w:val="105"/>
          <w:sz w:val="21"/>
        </w:rPr>
        <w:t>Reform</w:t>
      </w:r>
      <w:r>
        <w:rPr>
          <w:spacing w:val="24"/>
          <w:w w:val="105"/>
          <w:sz w:val="21"/>
        </w:rPr>
        <w:t> </w:t>
      </w:r>
      <w:r>
        <w:rPr>
          <w:spacing w:val="-3"/>
          <w:w w:val="105"/>
          <w:sz w:val="21"/>
        </w:rPr>
        <w:t>Inquiry.</w:t>
      </w:r>
    </w:p>
    <w:p>
      <w:pPr>
        <w:pStyle w:val="ListParagraph"/>
        <w:numPr>
          <w:ilvl w:val="1"/>
          <w:numId w:val="16"/>
        </w:numPr>
        <w:tabs>
          <w:tab w:pos="2381" w:val="left" w:leader="none"/>
          <w:tab w:pos="2382" w:val="left" w:leader="none"/>
        </w:tabs>
        <w:spacing w:line="242" w:lineRule="auto" w:before="123" w:after="0"/>
        <w:ind w:left="2381" w:right="1793" w:hanging="794"/>
        <w:jc w:val="left"/>
        <w:rPr>
          <w:sz w:val="21"/>
        </w:rPr>
      </w:pPr>
      <w:r>
        <w:rPr>
          <w:sz w:val="21"/>
        </w:rPr>
        <w:t>Dr Gregory Moore OAM suggested </w:t>
      </w:r>
      <w:r>
        <w:rPr>
          <w:spacing w:val="-3"/>
          <w:sz w:val="21"/>
        </w:rPr>
        <w:t>establishing </w:t>
      </w:r>
      <w:r>
        <w:rPr>
          <w:sz w:val="21"/>
        </w:rPr>
        <w:t>an office of the  </w:t>
      </w:r>
      <w:r>
        <w:rPr>
          <w:spacing w:val="-3"/>
          <w:sz w:val="21"/>
        </w:rPr>
        <w:t>State  </w:t>
      </w:r>
      <w:r>
        <w:rPr>
          <w:sz w:val="21"/>
        </w:rPr>
        <w:t>Arborist.  This person would </w:t>
      </w:r>
      <w:r>
        <w:rPr>
          <w:spacing w:val="-3"/>
          <w:sz w:val="21"/>
        </w:rPr>
        <w:t>have significant arboricultural </w:t>
      </w:r>
      <w:r>
        <w:rPr>
          <w:sz w:val="21"/>
        </w:rPr>
        <w:t>experience and would provide independent and</w:t>
      </w:r>
      <w:r>
        <w:rPr>
          <w:spacing w:val="17"/>
          <w:sz w:val="21"/>
        </w:rPr>
        <w:t> </w:t>
      </w:r>
      <w:r>
        <w:rPr>
          <w:sz w:val="21"/>
        </w:rPr>
        <w:t>impartial</w:t>
      </w:r>
      <w:r>
        <w:rPr>
          <w:spacing w:val="18"/>
          <w:sz w:val="21"/>
        </w:rPr>
        <w:t> </w:t>
      </w:r>
      <w:r>
        <w:rPr>
          <w:sz w:val="21"/>
        </w:rPr>
        <w:t>advice</w:t>
      </w:r>
      <w:r>
        <w:rPr>
          <w:spacing w:val="18"/>
          <w:sz w:val="21"/>
        </w:rPr>
        <w:t> </w:t>
      </w:r>
      <w:r>
        <w:rPr>
          <w:sz w:val="21"/>
        </w:rPr>
        <w:t>in</w:t>
      </w:r>
      <w:r>
        <w:rPr>
          <w:spacing w:val="18"/>
          <w:sz w:val="21"/>
        </w:rPr>
        <w:t> </w:t>
      </w:r>
      <w:r>
        <w:rPr>
          <w:spacing w:val="-3"/>
          <w:sz w:val="21"/>
        </w:rPr>
        <w:t>disputes.</w:t>
      </w:r>
      <w:r>
        <w:rPr>
          <w:spacing w:val="18"/>
          <w:sz w:val="21"/>
        </w:rPr>
        <w:t> </w:t>
      </w:r>
      <w:r>
        <w:rPr>
          <w:sz w:val="21"/>
        </w:rPr>
        <w:t>Parties</w:t>
      </w:r>
      <w:r>
        <w:rPr>
          <w:spacing w:val="18"/>
          <w:sz w:val="21"/>
        </w:rPr>
        <w:t> </w:t>
      </w:r>
      <w:r>
        <w:rPr>
          <w:spacing w:val="-3"/>
          <w:sz w:val="21"/>
        </w:rPr>
        <w:t>could</w:t>
      </w:r>
      <w:r>
        <w:rPr>
          <w:spacing w:val="17"/>
          <w:sz w:val="21"/>
        </w:rPr>
        <w:t> </w:t>
      </w:r>
      <w:r>
        <w:rPr>
          <w:spacing w:val="-2"/>
          <w:sz w:val="21"/>
        </w:rPr>
        <w:t>pay</w:t>
      </w:r>
      <w:r>
        <w:rPr>
          <w:spacing w:val="18"/>
          <w:sz w:val="21"/>
        </w:rPr>
        <w:t> </w:t>
      </w:r>
      <w:r>
        <w:rPr>
          <w:sz w:val="21"/>
        </w:rPr>
        <w:t>a</w:t>
      </w:r>
      <w:r>
        <w:rPr>
          <w:spacing w:val="18"/>
          <w:sz w:val="21"/>
        </w:rPr>
        <w:t> </w:t>
      </w:r>
      <w:r>
        <w:rPr>
          <w:sz w:val="21"/>
        </w:rPr>
        <w:t>fee</w:t>
      </w:r>
      <w:r>
        <w:rPr>
          <w:spacing w:val="18"/>
          <w:sz w:val="21"/>
        </w:rPr>
        <w:t> </w:t>
      </w:r>
      <w:r>
        <w:rPr>
          <w:sz w:val="21"/>
        </w:rPr>
        <w:t>which</w:t>
      </w:r>
      <w:r>
        <w:rPr>
          <w:spacing w:val="18"/>
          <w:sz w:val="21"/>
        </w:rPr>
        <w:t> </w:t>
      </w:r>
      <w:r>
        <w:rPr>
          <w:sz w:val="21"/>
        </w:rPr>
        <w:t>would</w:t>
      </w:r>
      <w:r>
        <w:rPr>
          <w:spacing w:val="18"/>
          <w:sz w:val="21"/>
        </w:rPr>
        <w:t> </w:t>
      </w:r>
      <w:r>
        <w:rPr>
          <w:spacing w:val="-3"/>
          <w:sz w:val="21"/>
        </w:rPr>
        <w:t>fund</w:t>
      </w:r>
      <w:r>
        <w:rPr>
          <w:spacing w:val="18"/>
          <w:sz w:val="21"/>
        </w:rPr>
        <w:t> </w:t>
      </w:r>
      <w:r>
        <w:rPr>
          <w:sz w:val="21"/>
        </w:rPr>
        <w:t>the</w:t>
      </w:r>
      <w:r>
        <w:rPr>
          <w:spacing w:val="17"/>
          <w:sz w:val="21"/>
        </w:rPr>
        <w:t> </w:t>
      </w:r>
      <w:r>
        <w:rPr>
          <w:sz w:val="21"/>
        </w:rPr>
        <w:t>office.</w:t>
      </w:r>
      <w:r>
        <w:rPr>
          <w:position w:val="7"/>
          <w:sz w:val="12"/>
        </w:rPr>
        <w:t>42</w:t>
      </w:r>
    </w:p>
    <w:p>
      <w:pPr>
        <w:pStyle w:val="ListParagraph"/>
        <w:numPr>
          <w:ilvl w:val="1"/>
          <w:numId w:val="16"/>
        </w:numPr>
        <w:tabs>
          <w:tab w:pos="2381" w:val="left" w:leader="none"/>
          <w:tab w:pos="2382" w:val="left" w:leader="none"/>
        </w:tabs>
        <w:spacing w:line="242" w:lineRule="auto" w:before="124" w:after="0"/>
        <w:ind w:left="2381" w:right="1934" w:hanging="794"/>
        <w:jc w:val="left"/>
        <w:rPr>
          <w:sz w:val="21"/>
        </w:rPr>
      </w:pPr>
      <w:r>
        <w:rPr>
          <w:w w:val="105"/>
          <w:sz w:val="21"/>
        </w:rPr>
        <w:t>Some</w:t>
      </w:r>
      <w:r>
        <w:rPr>
          <w:spacing w:val="-10"/>
          <w:w w:val="105"/>
          <w:sz w:val="21"/>
        </w:rPr>
        <w:t> </w:t>
      </w:r>
      <w:r>
        <w:rPr>
          <w:w w:val="105"/>
          <w:sz w:val="21"/>
        </w:rPr>
        <w:t>responses</w:t>
      </w:r>
      <w:r>
        <w:rPr>
          <w:spacing w:val="-9"/>
          <w:w w:val="105"/>
          <w:sz w:val="21"/>
        </w:rPr>
        <w:t> </w:t>
      </w:r>
      <w:r>
        <w:rPr>
          <w:w w:val="105"/>
          <w:sz w:val="21"/>
        </w:rPr>
        <w:t>proposed</w:t>
      </w:r>
      <w:r>
        <w:rPr>
          <w:spacing w:val="-10"/>
          <w:w w:val="105"/>
          <w:sz w:val="21"/>
        </w:rPr>
        <w:t> </w:t>
      </w:r>
      <w:r>
        <w:rPr>
          <w:w w:val="105"/>
          <w:sz w:val="21"/>
        </w:rPr>
        <w:t>a</w:t>
      </w:r>
      <w:r>
        <w:rPr>
          <w:spacing w:val="-9"/>
          <w:w w:val="105"/>
          <w:sz w:val="21"/>
        </w:rPr>
        <w:t> </w:t>
      </w:r>
      <w:r>
        <w:rPr>
          <w:w w:val="105"/>
          <w:sz w:val="21"/>
        </w:rPr>
        <w:t>role</w:t>
      </w:r>
      <w:r>
        <w:rPr>
          <w:spacing w:val="-10"/>
          <w:w w:val="105"/>
          <w:sz w:val="21"/>
        </w:rPr>
        <w:t> </w:t>
      </w:r>
      <w:r>
        <w:rPr>
          <w:spacing w:val="-3"/>
          <w:w w:val="105"/>
          <w:sz w:val="21"/>
        </w:rPr>
        <w:t>for</w:t>
      </w:r>
      <w:r>
        <w:rPr>
          <w:spacing w:val="-9"/>
          <w:w w:val="105"/>
          <w:sz w:val="21"/>
        </w:rPr>
        <w:t> </w:t>
      </w:r>
      <w:r>
        <w:rPr>
          <w:w w:val="105"/>
          <w:sz w:val="21"/>
        </w:rPr>
        <w:t>local</w:t>
      </w:r>
      <w:r>
        <w:rPr>
          <w:spacing w:val="-10"/>
          <w:w w:val="105"/>
          <w:sz w:val="21"/>
        </w:rPr>
        <w:t> </w:t>
      </w:r>
      <w:r>
        <w:rPr>
          <w:spacing w:val="-3"/>
          <w:w w:val="105"/>
          <w:sz w:val="21"/>
        </w:rPr>
        <w:t>councils</w:t>
      </w:r>
      <w:r>
        <w:rPr>
          <w:spacing w:val="-9"/>
          <w:w w:val="105"/>
          <w:sz w:val="21"/>
        </w:rPr>
        <w:t> </w:t>
      </w:r>
      <w:r>
        <w:rPr>
          <w:spacing w:val="-3"/>
          <w:w w:val="105"/>
          <w:sz w:val="21"/>
        </w:rPr>
        <w:t>to</w:t>
      </w:r>
      <w:r>
        <w:rPr>
          <w:spacing w:val="-10"/>
          <w:w w:val="105"/>
          <w:sz w:val="21"/>
        </w:rPr>
        <w:t> </w:t>
      </w:r>
      <w:r>
        <w:rPr>
          <w:w w:val="105"/>
          <w:sz w:val="21"/>
        </w:rPr>
        <w:t>inspect</w:t>
      </w:r>
      <w:r>
        <w:rPr>
          <w:spacing w:val="-9"/>
          <w:w w:val="105"/>
          <w:sz w:val="21"/>
        </w:rPr>
        <w:t> </w:t>
      </w:r>
      <w:r>
        <w:rPr>
          <w:w w:val="105"/>
          <w:sz w:val="21"/>
        </w:rPr>
        <w:t>trees,</w:t>
      </w:r>
      <w:r>
        <w:rPr>
          <w:spacing w:val="-10"/>
          <w:w w:val="105"/>
          <w:sz w:val="21"/>
        </w:rPr>
        <w:t> </w:t>
      </w:r>
      <w:r>
        <w:rPr>
          <w:w w:val="105"/>
          <w:sz w:val="21"/>
        </w:rPr>
        <w:t>put</w:t>
      </w:r>
      <w:r>
        <w:rPr>
          <w:spacing w:val="-9"/>
          <w:w w:val="105"/>
          <w:sz w:val="21"/>
        </w:rPr>
        <w:t> </w:t>
      </w:r>
      <w:r>
        <w:rPr>
          <w:w w:val="105"/>
          <w:sz w:val="21"/>
        </w:rPr>
        <w:t>tree</w:t>
      </w:r>
      <w:r>
        <w:rPr>
          <w:spacing w:val="-10"/>
          <w:w w:val="105"/>
          <w:sz w:val="21"/>
        </w:rPr>
        <w:t> </w:t>
      </w:r>
      <w:r>
        <w:rPr>
          <w:w w:val="105"/>
          <w:sz w:val="21"/>
        </w:rPr>
        <w:t>owners</w:t>
      </w:r>
      <w:r>
        <w:rPr>
          <w:spacing w:val="-9"/>
          <w:w w:val="105"/>
          <w:sz w:val="21"/>
        </w:rPr>
        <w:t> </w:t>
      </w:r>
      <w:r>
        <w:rPr>
          <w:w w:val="105"/>
          <w:sz w:val="21"/>
        </w:rPr>
        <w:t>on </w:t>
      </w:r>
      <w:r>
        <w:rPr>
          <w:spacing w:val="-3"/>
          <w:w w:val="105"/>
          <w:sz w:val="21"/>
        </w:rPr>
        <w:t>notice, </w:t>
      </w:r>
      <w:r>
        <w:rPr>
          <w:w w:val="105"/>
          <w:sz w:val="21"/>
        </w:rPr>
        <w:t>and fine those who do </w:t>
      </w:r>
      <w:r>
        <w:rPr>
          <w:spacing w:val="-2"/>
          <w:w w:val="105"/>
          <w:sz w:val="21"/>
        </w:rPr>
        <w:t>not</w:t>
      </w:r>
      <w:r>
        <w:rPr>
          <w:spacing w:val="38"/>
          <w:w w:val="105"/>
          <w:sz w:val="21"/>
        </w:rPr>
        <w:t> </w:t>
      </w:r>
      <w:r>
        <w:rPr>
          <w:spacing w:val="-3"/>
          <w:w w:val="105"/>
          <w:sz w:val="21"/>
        </w:rPr>
        <w:t>comply.</w:t>
      </w:r>
      <w:r>
        <w:rPr>
          <w:spacing w:val="-3"/>
          <w:w w:val="105"/>
          <w:position w:val="7"/>
          <w:sz w:val="12"/>
        </w:rPr>
        <w:t>43</w:t>
      </w:r>
    </w:p>
    <w:p>
      <w:pPr>
        <w:pStyle w:val="BodyText"/>
        <w:spacing w:before="9"/>
      </w:pPr>
    </w:p>
    <w:p>
      <w:pPr>
        <w:pStyle w:val="Heading4"/>
      </w:pPr>
      <w:r>
        <w:rPr>
          <w:color w:val="658464"/>
          <w:w w:val="115"/>
        </w:rPr>
        <w:t>The Commission’s conclusions—options for reform</w:t>
      </w:r>
    </w:p>
    <w:p>
      <w:pPr>
        <w:pStyle w:val="ListParagraph"/>
        <w:numPr>
          <w:ilvl w:val="1"/>
          <w:numId w:val="16"/>
        </w:numPr>
        <w:tabs>
          <w:tab w:pos="2381" w:val="left" w:leader="none"/>
          <w:tab w:pos="2382" w:val="left" w:leader="none"/>
        </w:tabs>
        <w:spacing w:line="242" w:lineRule="auto" w:before="155" w:after="0"/>
        <w:ind w:left="2381" w:right="1808" w:hanging="794"/>
        <w:jc w:val="left"/>
        <w:rPr>
          <w:sz w:val="21"/>
        </w:rPr>
      </w:pPr>
      <w:r>
        <w:rPr>
          <w:spacing w:val="-5"/>
          <w:sz w:val="21"/>
        </w:rPr>
        <w:t>Tree </w:t>
      </w:r>
      <w:r>
        <w:rPr>
          <w:sz w:val="21"/>
        </w:rPr>
        <w:t>issues arise </w:t>
      </w:r>
      <w:r>
        <w:rPr>
          <w:spacing w:val="-3"/>
          <w:sz w:val="21"/>
        </w:rPr>
        <w:t>frequently </w:t>
      </w:r>
      <w:r>
        <w:rPr>
          <w:sz w:val="21"/>
        </w:rPr>
        <w:t>in the community (whether or </w:t>
      </w:r>
      <w:r>
        <w:rPr>
          <w:spacing w:val="-2"/>
          <w:sz w:val="21"/>
        </w:rPr>
        <w:t>not </w:t>
      </w:r>
      <w:r>
        <w:rPr>
          <w:sz w:val="21"/>
        </w:rPr>
        <w:t>they become </w:t>
      </w:r>
      <w:r>
        <w:rPr>
          <w:spacing w:val="-3"/>
          <w:sz w:val="21"/>
        </w:rPr>
        <w:t>disputes handled </w:t>
      </w:r>
      <w:r>
        <w:rPr>
          <w:sz w:val="21"/>
        </w:rPr>
        <w:t>by DSCV) and those issues would </w:t>
      </w:r>
      <w:r>
        <w:rPr>
          <w:spacing w:val="-3"/>
          <w:sz w:val="21"/>
        </w:rPr>
        <w:t>usefully </w:t>
      </w:r>
      <w:r>
        <w:rPr>
          <w:sz w:val="21"/>
        </w:rPr>
        <w:t>be </w:t>
      </w:r>
      <w:r>
        <w:rPr>
          <w:spacing w:val="-3"/>
          <w:sz w:val="21"/>
        </w:rPr>
        <w:t>ameliorated </w:t>
      </w:r>
      <w:r>
        <w:rPr>
          <w:sz w:val="21"/>
        </w:rPr>
        <w:t>by more clarity in the </w:t>
      </w:r>
      <w:r>
        <w:rPr>
          <w:spacing w:val="-5"/>
          <w:sz w:val="21"/>
        </w:rPr>
        <w:t>law.</w:t>
      </w:r>
    </w:p>
    <w:p>
      <w:pPr>
        <w:pStyle w:val="ListParagraph"/>
        <w:numPr>
          <w:ilvl w:val="1"/>
          <w:numId w:val="16"/>
        </w:numPr>
        <w:tabs>
          <w:tab w:pos="2381" w:val="left" w:leader="none"/>
          <w:tab w:pos="2382" w:val="left" w:leader="none"/>
        </w:tabs>
        <w:spacing w:line="242" w:lineRule="auto" w:before="123" w:after="0"/>
        <w:ind w:left="2381" w:right="1684" w:hanging="794"/>
        <w:jc w:val="left"/>
        <w:rPr>
          <w:sz w:val="21"/>
        </w:rPr>
      </w:pPr>
      <w:r>
        <w:rPr>
          <w:sz w:val="21"/>
        </w:rPr>
        <w:t>For most people, the </w:t>
      </w:r>
      <w:r>
        <w:rPr>
          <w:spacing w:val="-3"/>
          <w:sz w:val="21"/>
        </w:rPr>
        <w:t>current </w:t>
      </w:r>
      <w:r>
        <w:rPr>
          <w:sz w:val="21"/>
        </w:rPr>
        <w:t>law and process </w:t>
      </w:r>
      <w:r>
        <w:rPr>
          <w:spacing w:val="-3"/>
          <w:sz w:val="21"/>
        </w:rPr>
        <w:t>are unclear </w:t>
      </w:r>
      <w:r>
        <w:rPr>
          <w:sz w:val="21"/>
        </w:rPr>
        <w:t>and provide </w:t>
      </w:r>
      <w:r>
        <w:rPr>
          <w:spacing w:val="-3"/>
          <w:sz w:val="21"/>
        </w:rPr>
        <w:t>limited recourse. </w:t>
      </w:r>
      <w:r>
        <w:rPr>
          <w:sz w:val="21"/>
        </w:rPr>
        <w:t>Because courts </w:t>
      </w:r>
      <w:r>
        <w:rPr>
          <w:spacing w:val="-3"/>
          <w:sz w:val="21"/>
        </w:rPr>
        <w:t>are inaccessible to </w:t>
      </w:r>
      <w:r>
        <w:rPr>
          <w:sz w:val="21"/>
        </w:rPr>
        <w:t>most people, the community must rely on the </w:t>
      </w:r>
      <w:r>
        <w:rPr>
          <w:spacing w:val="-3"/>
          <w:sz w:val="21"/>
        </w:rPr>
        <w:t>informal dispute </w:t>
      </w:r>
      <w:r>
        <w:rPr>
          <w:sz w:val="21"/>
        </w:rPr>
        <w:t>resolution </w:t>
      </w:r>
      <w:r>
        <w:rPr>
          <w:spacing w:val="-3"/>
          <w:sz w:val="21"/>
        </w:rPr>
        <w:t>framework. </w:t>
      </w:r>
      <w:r>
        <w:rPr>
          <w:sz w:val="21"/>
        </w:rPr>
        <w:t>Without </w:t>
      </w:r>
      <w:r>
        <w:rPr>
          <w:spacing w:val="-3"/>
          <w:sz w:val="21"/>
        </w:rPr>
        <w:t>clear guidance from </w:t>
      </w:r>
      <w:r>
        <w:rPr>
          <w:sz w:val="21"/>
        </w:rPr>
        <w:t>the </w:t>
      </w:r>
      <w:r>
        <w:rPr>
          <w:spacing w:val="-5"/>
          <w:sz w:val="21"/>
        </w:rPr>
        <w:t>law, </w:t>
      </w:r>
      <w:r>
        <w:rPr>
          <w:sz w:val="21"/>
        </w:rPr>
        <w:t>this approach </w:t>
      </w:r>
      <w:r>
        <w:rPr>
          <w:spacing w:val="-2"/>
          <w:sz w:val="21"/>
        </w:rPr>
        <w:t>has </w:t>
      </w:r>
      <w:r>
        <w:rPr>
          <w:spacing w:val="-3"/>
          <w:sz w:val="21"/>
        </w:rPr>
        <w:t>limitations.</w:t>
      </w:r>
    </w:p>
    <w:p>
      <w:pPr>
        <w:pStyle w:val="BodyText"/>
        <w:spacing w:before="5"/>
        <w:rPr>
          <w:sz w:val="20"/>
        </w:rPr>
      </w:pPr>
    </w:p>
    <w:p>
      <w:pPr>
        <w:pStyle w:val="Heading5"/>
      </w:pPr>
      <w:r>
        <w:rPr>
          <w:w w:val="115"/>
        </w:rPr>
        <w:t>The limitations of only focusing on informal resolution</w:t>
      </w:r>
    </w:p>
    <w:p>
      <w:pPr>
        <w:pStyle w:val="ListParagraph"/>
        <w:numPr>
          <w:ilvl w:val="1"/>
          <w:numId w:val="16"/>
        </w:numPr>
        <w:tabs>
          <w:tab w:pos="2381" w:val="left" w:leader="none"/>
          <w:tab w:pos="2382" w:val="left" w:leader="none"/>
        </w:tabs>
        <w:spacing w:line="242" w:lineRule="auto" w:before="137" w:after="0"/>
        <w:ind w:left="2381" w:right="1639" w:hanging="794"/>
        <w:jc w:val="left"/>
        <w:rPr>
          <w:sz w:val="21"/>
        </w:rPr>
      </w:pPr>
      <w:r>
        <w:rPr>
          <w:spacing w:val="-3"/>
          <w:w w:val="105"/>
          <w:sz w:val="21"/>
        </w:rPr>
        <w:t>Informal neighbour-led </w:t>
      </w:r>
      <w:r>
        <w:rPr>
          <w:w w:val="105"/>
          <w:sz w:val="21"/>
        </w:rPr>
        <w:t>negotiation </w:t>
      </w:r>
      <w:r>
        <w:rPr>
          <w:spacing w:val="-3"/>
          <w:w w:val="105"/>
          <w:sz w:val="21"/>
        </w:rPr>
        <w:t>may </w:t>
      </w:r>
      <w:r>
        <w:rPr>
          <w:spacing w:val="-2"/>
          <w:w w:val="105"/>
          <w:sz w:val="21"/>
        </w:rPr>
        <w:t>not </w:t>
      </w:r>
      <w:r>
        <w:rPr>
          <w:w w:val="105"/>
          <w:sz w:val="21"/>
        </w:rPr>
        <w:t>be possible when a tree owner </w:t>
      </w:r>
      <w:r>
        <w:rPr>
          <w:spacing w:val="-3"/>
          <w:w w:val="105"/>
          <w:sz w:val="21"/>
        </w:rPr>
        <w:t>ignores </w:t>
      </w:r>
      <w:r>
        <w:rPr>
          <w:w w:val="105"/>
          <w:sz w:val="21"/>
        </w:rPr>
        <w:t>an affected</w:t>
      </w:r>
      <w:r>
        <w:rPr>
          <w:spacing w:val="-8"/>
          <w:w w:val="105"/>
          <w:sz w:val="21"/>
        </w:rPr>
        <w:t> </w:t>
      </w:r>
      <w:r>
        <w:rPr>
          <w:spacing w:val="-3"/>
          <w:w w:val="105"/>
          <w:sz w:val="21"/>
        </w:rPr>
        <w:t>neighbour’s</w:t>
      </w:r>
      <w:r>
        <w:rPr>
          <w:spacing w:val="-7"/>
          <w:w w:val="105"/>
          <w:sz w:val="21"/>
        </w:rPr>
        <w:t> </w:t>
      </w:r>
      <w:r>
        <w:rPr>
          <w:spacing w:val="-3"/>
          <w:w w:val="105"/>
          <w:sz w:val="21"/>
        </w:rPr>
        <w:t>concerns</w:t>
      </w:r>
      <w:r>
        <w:rPr>
          <w:spacing w:val="-8"/>
          <w:w w:val="105"/>
          <w:sz w:val="21"/>
        </w:rPr>
        <w:t> </w:t>
      </w:r>
      <w:r>
        <w:rPr>
          <w:w w:val="105"/>
          <w:sz w:val="21"/>
        </w:rPr>
        <w:t>or</w:t>
      </w:r>
      <w:r>
        <w:rPr>
          <w:spacing w:val="-7"/>
          <w:w w:val="105"/>
          <w:sz w:val="21"/>
        </w:rPr>
        <w:t> </w:t>
      </w:r>
      <w:r>
        <w:rPr>
          <w:spacing w:val="-3"/>
          <w:w w:val="105"/>
          <w:sz w:val="21"/>
        </w:rPr>
        <w:t>refuses</w:t>
      </w:r>
      <w:r>
        <w:rPr>
          <w:spacing w:val="-7"/>
          <w:w w:val="105"/>
          <w:sz w:val="21"/>
        </w:rPr>
        <w:t> </w:t>
      </w:r>
      <w:r>
        <w:rPr>
          <w:spacing w:val="-3"/>
          <w:w w:val="105"/>
          <w:sz w:val="21"/>
        </w:rPr>
        <w:t>to</w:t>
      </w:r>
      <w:r>
        <w:rPr>
          <w:spacing w:val="-8"/>
          <w:w w:val="105"/>
          <w:sz w:val="21"/>
        </w:rPr>
        <w:t> </w:t>
      </w:r>
      <w:r>
        <w:rPr>
          <w:spacing w:val="-3"/>
          <w:w w:val="105"/>
          <w:sz w:val="21"/>
        </w:rPr>
        <w:t>negotiate.</w:t>
      </w:r>
      <w:r>
        <w:rPr>
          <w:spacing w:val="-7"/>
          <w:w w:val="105"/>
          <w:sz w:val="21"/>
        </w:rPr>
        <w:t> </w:t>
      </w:r>
      <w:r>
        <w:rPr>
          <w:w w:val="105"/>
          <w:sz w:val="21"/>
        </w:rPr>
        <w:t>There</w:t>
      </w:r>
      <w:r>
        <w:rPr>
          <w:spacing w:val="-8"/>
          <w:w w:val="105"/>
          <w:sz w:val="21"/>
        </w:rPr>
        <w:t> </w:t>
      </w:r>
      <w:r>
        <w:rPr>
          <w:w w:val="105"/>
          <w:sz w:val="21"/>
        </w:rPr>
        <w:t>is</w:t>
      </w:r>
      <w:r>
        <w:rPr>
          <w:spacing w:val="-7"/>
          <w:w w:val="105"/>
          <w:sz w:val="21"/>
        </w:rPr>
        <w:t> </w:t>
      </w:r>
      <w:r>
        <w:rPr>
          <w:spacing w:val="-3"/>
          <w:w w:val="105"/>
          <w:sz w:val="21"/>
        </w:rPr>
        <w:t>currently</w:t>
      </w:r>
      <w:r>
        <w:rPr>
          <w:spacing w:val="-7"/>
          <w:w w:val="105"/>
          <w:sz w:val="21"/>
        </w:rPr>
        <w:t> </w:t>
      </w:r>
      <w:r>
        <w:rPr>
          <w:w w:val="105"/>
          <w:sz w:val="21"/>
        </w:rPr>
        <w:t>little</w:t>
      </w:r>
      <w:r>
        <w:rPr>
          <w:spacing w:val="-8"/>
          <w:w w:val="105"/>
          <w:sz w:val="21"/>
        </w:rPr>
        <w:t> </w:t>
      </w:r>
      <w:r>
        <w:rPr>
          <w:spacing w:val="-3"/>
          <w:w w:val="105"/>
          <w:sz w:val="21"/>
        </w:rPr>
        <w:t>incentive</w:t>
      </w:r>
      <w:r>
        <w:rPr>
          <w:spacing w:val="-7"/>
          <w:w w:val="105"/>
          <w:sz w:val="21"/>
        </w:rPr>
        <w:t> </w:t>
      </w:r>
      <w:r>
        <w:rPr>
          <w:spacing w:val="-3"/>
          <w:w w:val="105"/>
          <w:sz w:val="21"/>
        </w:rPr>
        <w:t>for </w:t>
      </w:r>
      <w:r>
        <w:rPr>
          <w:w w:val="105"/>
          <w:sz w:val="21"/>
        </w:rPr>
        <w:t>a tree owner </w:t>
      </w:r>
      <w:r>
        <w:rPr>
          <w:spacing w:val="-3"/>
          <w:w w:val="105"/>
          <w:sz w:val="21"/>
        </w:rPr>
        <w:t>to negotiate </w:t>
      </w:r>
      <w:r>
        <w:rPr>
          <w:w w:val="105"/>
          <w:sz w:val="21"/>
        </w:rPr>
        <w:t>with an affected </w:t>
      </w:r>
      <w:r>
        <w:rPr>
          <w:spacing w:val="-3"/>
          <w:w w:val="105"/>
          <w:sz w:val="21"/>
        </w:rPr>
        <w:t>neighbour </w:t>
      </w:r>
      <w:r>
        <w:rPr>
          <w:w w:val="105"/>
          <w:sz w:val="21"/>
        </w:rPr>
        <w:t>because the law is </w:t>
      </w:r>
      <w:r>
        <w:rPr>
          <w:spacing w:val="-3"/>
          <w:w w:val="105"/>
          <w:sz w:val="21"/>
        </w:rPr>
        <w:t>hard to </w:t>
      </w:r>
      <w:r>
        <w:rPr>
          <w:w w:val="105"/>
          <w:sz w:val="21"/>
        </w:rPr>
        <w:t>identify and there is no </w:t>
      </w:r>
      <w:r>
        <w:rPr>
          <w:spacing w:val="-3"/>
          <w:w w:val="105"/>
          <w:sz w:val="21"/>
        </w:rPr>
        <w:t>clear </w:t>
      </w:r>
      <w:r>
        <w:rPr>
          <w:w w:val="105"/>
          <w:sz w:val="21"/>
        </w:rPr>
        <w:t>resolution</w:t>
      </w:r>
      <w:r>
        <w:rPr>
          <w:spacing w:val="29"/>
          <w:w w:val="105"/>
          <w:sz w:val="21"/>
        </w:rPr>
        <w:t> </w:t>
      </w:r>
      <w:r>
        <w:rPr>
          <w:spacing w:val="-3"/>
          <w:w w:val="105"/>
          <w:sz w:val="21"/>
        </w:rPr>
        <w:t>framework.</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r>
        <w:rPr/>
        <w:pict>
          <v:line style="position:absolute;mso-position-horizontal-relative:page;mso-position-vertical-relative:paragraph;z-index:2384;mso-wrap-distance-left:0;mso-wrap-distance-right:0" from="79.370102pt,19.358522pt" to="515.905102pt,19.358522pt" stroked="true" strokeweight="1pt" strokecolor="#c9d2cb">
            <v:stroke dashstyle="solid"/>
            <w10:wrap type="topAndBottom"/>
          </v:line>
        </w:pict>
      </w:r>
    </w:p>
    <w:p>
      <w:pPr>
        <w:pStyle w:val="ListParagraph"/>
        <w:numPr>
          <w:ilvl w:val="0"/>
          <w:numId w:val="40"/>
        </w:numPr>
        <w:tabs>
          <w:tab w:pos="2381" w:val="left" w:leader="none"/>
          <w:tab w:pos="2382" w:val="left" w:leader="none"/>
        </w:tabs>
        <w:spacing w:line="240" w:lineRule="auto" w:before="117" w:after="0"/>
        <w:ind w:left="2381" w:right="0" w:hanging="794"/>
        <w:jc w:val="left"/>
        <w:rPr>
          <w:sz w:val="13"/>
        </w:rPr>
      </w:pPr>
      <w:r>
        <w:rPr>
          <w:w w:val="105"/>
          <w:sz w:val="13"/>
        </w:rPr>
        <w:t>Consultation 4 (Participants in facilitated discussion at </w:t>
      </w:r>
      <w:r>
        <w:rPr>
          <w:spacing w:val="4"/>
          <w:w w:val="105"/>
          <w:sz w:val="13"/>
        </w:rPr>
        <w:t>VTIO</w:t>
      </w:r>
      <w:r>
        <w:rPr>
          <w:spacing w:val="38"/>
          <w:w w:val="105"/>
          <w:sz w:val="13"/>
        </w:rPr>
        <w:t> </w:t>
      </w:r>
      <w:r>
        <w:rPr>
          <w:w w:val="105"/>
          <w:sz w:val="13"/>
        </w:rPr>
        <w:t>ArborCamp2018).</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w w:val="105"/>
          <w:sz w:val="13"/>
        </w:rPr>
        <w:t>Submission 18</w:t>
      </w:r>
      <w:r>
        <w:rPr>
          <w:spacing w:val="9"/>
          <w:w w:val="105"/>
          <w:sz w:val="13"/>
        </w:rPr>
        <w:t> </w:t>
      </w:r>
      <w:r>
        <w:rPr>
          <w:w w:val="105"/>
          <w:sz w:val="13"/>
        </w:rPr>
        <w:t>(ENSPEC).</w:t>
      </w:r>
    </w:p>
    <w:p>
      <w:pPr>
        <w:pStyle w:val="ListParagraph"/>
        <w:numPr>
          <w:ilvl w:val="0"/>
          <w:numId w:val="40"/>
        </w:numPr>
        <w:tabs>
          <w:tab w:pos="2381" w:val="left" w:leader="none"/>
          <w:tab w:pos="2382" w:val="left" w:leader="none"/>
        </w:tabs>
        <w:spacing w:line="240" w:lineRule="auto" w:before="2" w:after="0"/>
        <w:ind w:left="2381" w:right="0" w:hanging="794"/>
        <w:jc w:val="left"/>
        <w:rPr>
          <w:sz w:val="13"/>
        </w:rPr>
      </w:pPr>
      <w:r>
        <w:rPr>
          <w:w w:val="105"/>
          <w:sz w:val="13"/>
        </w:rPr>
        <w:t>Submission 28 </w:t>
      </w:r>
      <w:r>
        <w:rPr>
          <w:spacing w:val="3"/>
          <w:w w:val="105"/>
          <w:sz w:val="13"/>
        </w:rPr>
        <w:t>(HVP</w:t>
      </w:r>
      <w:r>
        <w:rPr>
          <w:spacing w:val="13"/>
          <w:w w:val="105"/>
          <w:sz w:val="13"/>
        </w:rPr>
        <w:t> </w:t>
      </w:r>
      <w:r>
        <w:rPr>
          <w:w w:val="105"/>
          <w:sz w:val="13"/>
        </w:rPr>
        <w:t>Plantations).</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pict>
          <v:shape style="position:absolute;margin-left:36pt;margin-top:3.014964pt;width:13.35pt;height:14.25pt;mso-position-horizontal-relative:page;mso-position-vertical-relative:paragraph;z-index:4456" type="#_x0000_t202" filled="false" stroked="false">
            <v:textbox inset="0,0,0,0">
              <w:txbxContent>
                <w:p>
                  <w:pPr>
                    <w:spacing w:line="284" w:lineRule="exact" w:before="0"/>
                    <w:ind w:left="0" w:right="0" w:firstLine="0"/>
                    <w:jc w:val="left"/>
                    <w:rPr>
                      <w:b/>
                      <w:sz w:val="24"/>
                    </w:rPr>
                  </w:pPr>
                  <w:r>
                    <w:rPr>
                      <w:b/>
                      <w:color w:val="658464"/>
                      <w:spacing w:val="-1"/>
                      <w:w w:val="110"/>
                      <w:sz w:val="24"/>
                    </w:rPr>
                    <w:t>56</w:t>
                  </w:r>
                </w:p>
              </w:txbxContent>
            </v:textbox>
            <w10:wrap type="none"/>
          </v:shape>
        </w:pict>
      </w:r>
      <w:r>
        <w:rPr>
          <w:w w:val="105"/>
          <w:sz w:val="13"/>
        </w:rPr>
        <w:t>Consultation 2 </w:t>
      </w:r>
      <w:r>
        <w:rPr>
          <w:spacing w:val="3"/>
          <w:w w:val="105"/>
          <w:sz w:val="13"/>
        </w:rPr>
        <w:t>(Dr </w:t>
      </w:r>
      <w:r>
        <w:rPr>
          <w:w w:val="105"/>
          <w:sz w:val="13"/>
        </w:rPr>
        <w:t>Gregory Moore</w:t>
      </w:r>
      <w:r>
        <w:rPr>
          <w:spacing w:val="20"/>
          <w:w w:val="105"/>
          <w:sz w:val="13"/>
        </w:rPr>
        <w:t> </w:t>
      </w:r>
      <w:r>
        <w:rPr>
          <w:spacing w:val="2"/>
          <w:w w:val="105"/>
          <w:sz w:val="13"/>
        </w:rPr>
        <w:t>OAM).</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w w:val="105"/>
          <w:sz w:val="13"/>
        </w:rPr>
        <w:t>Submissions 5 </w:t>
      </w:r>
      <w:r>
        <w:rPr>
          <w:spacing w:val="2"/>
          <w:w w:val="105"/>
          <w:sz w:val="13"/>
        </w:rPr>
        <w:t>(Name </w:t>
      </w:r>
      <w:r>
        <w:rPr>
          <w:w w:val="105"/>
          <w:sz w:val="13"/>
        </w:rPr>
        <w:t>withheld), 6 </w:t>
      </w:r>
      <w:r>
        <w:rPr>
          <w:spacing w:val="2"/>
          <w:w w:val="105"/>
          <w:sz w:val="13"/>
        </w:rPr>
        <w:t>(Name</w:t>
      </w:r>
      <w:r>
        <w:rPr>
          <w:spacing w:val="25"/>
          <w:w w:val="105"/>
          <w:sz w:val="13"/>
        </w:rPr>
        <w:t> </w:t>
      </w:r>
      <w:r>
        <w:rPr>
          <w:w w:val="105"/>
          <w:sz w:val="13"/>
        </w:rPr>
        <w:t>withheld).</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950" w:hanging="794"/>
        <w:jc w:val="left"/>
        <w:rPr>
          <w:sz w:val="21"/>
        </w:rPr>
      </w:pPr>
      <w:r>
        <w:rPr>
          <w:sz w:val="21"/>
        </w:rPr>
        <w:t>It </w:t>
      </w:r>
      <w:r>
        <w:rPr>
          <w:spacing w:val="-3"/>
          <w:sz w:val="21"/>
        </w:rPr>
        <w:t>may </w:t>
      </w:r>
      <w:r>
        <w:rPr>
          <w:sz w:val="21"/>
        </w:rPr>
        <w:t>be inadvisable </w:t>
      </w:r>
      <w:r>
        <w:rPr>
          <w:spacing w:val="-3"/>
          <w:sz w:val="21"/>
        </w:rPr>
        <w:t>to </w:t>
      </w:r>
      <w:r>
        <w:rPr>
          <w:sz w:val="21"/>
        </w:rPr>
        <w:t>approach a tree owner where the </w:t>
      </w:r>
      <w:r>
        <w:rPr>
          <w:spacing w:val="-3"/>
          <w:sz w:val="21"/>
        </w:rPr>
        <w:t>relationship </w:t>
      </w:r>
      <w:r>
        <w:rPr>
          <w:sz w:val="21"/>
        </w:rPr>
        <w:t>between neighbours is </w:t>
      </w:r>
      <w:r>
        <w:rPr>
          <w:spacing w:val="-3"/>
          <w:sz w:val="21"/>
        </w:rPr>
        <w:t>acrimonious. </w:t>
      </w:r>
      <w:r>
        <w:rPr>
          <w:sz w:val="21"/>
        </w:rPr>
        <w:t>The close </w:t>
      </w:r>
      <w:r>
        <w:rPr>
          <w:spacing w:val="-3"/>
          <w:sz w:val="21"/>
        </w:rPr>
        <w:t>proximity </w:t>
      </w:r>
      <w:r>
        <w:rPr>
          <w:sz w:val="21"/>
        </w:rPr>
        <w:t>of neighbours </w:t>
      </w:r>
      <w:r>
        <w:rPr>
          <w:spacing w:val="-3"/>
          <w:sz w:val="21"/>
        </w:rPr>
        <w:t>increases </w:t>
      </w:r>
      <w:r>
        <w:rPr>
          <w:sz w:val="21"/>
        </w:rPr>
        <w:t>the </w:t>
      </w:r>
      <w:r>
        <w:rPr>
          <w:spacing w:val="-3"/>
          <w:sz w:val="21"/>
        </w:rPr>
        <w:t>chances </w:t>
      </w:r>
      <w:r>
        <w:rPr>
          <w:sz w:val="21"/>
        </w:rPr>
        <w:t>of conflict. </w:t>
      </w:r>
      <w:r>
        <w:rPr>
          <w:spacing w:val="-5"/>
          <w:sz w:val="21"/>
        </w:rPr>
        <w:t>Tree </w:t>
      </w:r>
      <w:r>
        <w:rPr>
          <w:spacing w:val="-3"/>
          <w:sz w:val="21"/>
        </w:rPr>
        <w:t>disputes </w:t>
      </w:r>
      <w:r>
        <w:rPr>
          <w:sz w:val="21"/>
        </w:rPr>
        <w:t>can escalate </w:t>
      </w:r>
      <w:r>
        <w:rPr>
          <w:spacing w:val="-4"/>
          <w:sz w:val="21"/>
        </w:rPr>
        <w:t>into </w:t>
      </w:r>
      <w:r>
        <w:rPr>
          <w:sz w:val="21"/>
        </w:rPr>
        <w:t>trespass, </w:t>
      </w:r>
      <w:r>
        <w:rPr>
          <w:spacing w:val="-3"/>
          <w:sz w:val="21"/>
        </w:rPr>
        <w:t>vandalism </w:t>
      </w:r>
      <w:r>
        <w:rPr>
          <w:sz w:val="21"/>
        </w:rPr>
        <w:t>or </w:t>
      </w:r>
      <w:r>
        <w:rPr>
          <w:spacing w:val="-3"/>
          <w:sz w:val="21"/>
        </w:rPr>
        <w:t>criminal</w:t>
      </w:r>
      <w:r>
        <w:rPr>
          <w:spacing w:val="-21"/>
          <w:sz w:val="21"/>
        </w:rPr>
        <w:t> </w:t>
      </w:r>
      <w:r>
        <w:rPr>
          <w:sz w:val="21"/>
        </w:rPr>
        <w:t>matters.</w:t>
      </w:r>
      <w:r>
        <w:rPr>
          <w:position w:val="7"/>
          <w:sz w:val="12"/>
        </w:rPr>
        <w:t>44</w:t>
      </w:r>
    </w:p>
    <w:p>
      <w:pPr>
        <w:pStyle w:val="ListParagraph"/>
        <w:numPr>
          <w:ilvl w:val="1"/>
          <w:numId w:val="16"/>
        </w:numPr>
        <w:tabs>
          <w:tab w:pos="2381" w:val="left" w:leader="none"/>
          <w:tab w:pos="2382" w:val="left" w:leader="none"/>
        </w:tabs>
        <w:spacing w:line="242" w:lineRule="auto" w:before="124" w:after="0"/>
        <w:ind w:left="2381" w:right="1585" w:hanging="794"/>
        <w:jc w:val="left"/>
        <w:rPr>
          <w:sz w:val="21"/>
        </w:rPr>
      </w:pPr>
      <w:r>
        <w:rPr>
          <w:spacing w:val="-2"/>
          <w:sz w:val="21"/>
        </w:rPr>
        <w:t>Abatement </w:t>
      </w:r>
      <w:r>
        <w:rPr>
          <w:sz w:val="21"/>
        </w:rPr>
        <w:t>is a </w:t>
      </w:r>
      <w:r>
        <w:rPr>
          <w:spacing w:val="-3"/>
          <w:sz w:val="21"/>
        </w:rPr>
        <w:t>‘self-help’ </w:t>
      </w:r>
      <w:r>
        <w:rPr>
          <w:sz w:val="21"/>
        </w:rPr>
        <w:t>remedy and so does </w:t>
      </w:r>
      <w:r>
        <w:rPr>
          <w:spacing w:val="-2"/>
          <w:sz w:val="21"/>
        </w:rPr>
        <w:t>not </w:t>
      </w:r>
      <w:r>
        <w:rPr>
          <w:spacing w:val="-3"/>
          <w:sz w:val="21"/>
        </w:rPr>
        <w:t>require any contribution </w:t>
      </w:r>
      <w:r>
        <w:rPr>
          <w:sz w:val="21"/>
        </w:rPr>
        <w:t>or cooperation </w:t>
      </w:r>
      <w:r>
        <w:rPr>
          <w:spacing w:val="-3"/>
          <w:sz w:val="21"/>
        </w:rPr>
        <w:t>from </w:t>
      </w:r>
      <w:r>
        <w:rPr>
          <w:sz w:val="21"/>
        </w:rPr>
        <w:t>the tree </w:t>
      </w:r>
      <w:r>
        <w:rPr>
          <w:spacing w:val="-4"/>
          <w:sz w:val="21"/>
        </w:rPr>
        <w:t>owner, </w:t>
      </w:r>
      <w:r>
        <w:rPr>
          <w:sz w:val="21"/>
        </w:rPr>
        <w:t>but it </w:t>
      </w:r>
      <w:r>
        <w:rPr>
          <w:spacing w:val="-3"/>
          <w:sz w:val="21"/>
        </w:rPr>
        <w:t>may </w:t>
      </w:r>
      <w:r>
        <w:rPr>
          <w:sz w:val="21"/>
        </w:rPr>
        <w:t>be of </w:t>
      </w:r>
      <w:r>
        <w:rPr>
          <w:spacing w:val="-3"/>
          <w:sz w:val="21"/>
        </w:rPr>
        <w:t>limited </w:t>
      </w:r>
      <w:r>
        <w:rPr>
          <w:sz w:val="21"/>
        </w:rPr>
        <w:t>use  </w:t>
      </w:r>
      <w:r>
        <w:rPr>
          <w:spacing w:val="-3"/>
          <w:sz w:val="21"/>
        </w:rPr>
        <w:t>for  </w:t>
      </w:r>
      <w:r>
        <w:rPr>
          <w:sz w:val="21"/>
        </w:rPr>
        <w:t>affected  neighbours  who  </w:t>
      </w:r>
      <w:r>
        <w:rPr>
          <w:spacing w:val="-3"/>
          <w:sz w:val="21"/>
        </w:rPr>
        <w:t>are physically </w:t>
      </w:r>
      <w:r>
        <w:rPr>
          <w:sz w:val="21"/>
        </w:rPr>
        <w:t>or </w:t>
      </w:r>
      <w:r>
        <w:rPr>
          <w:spacing w:val="-3"/>
          <w:sz w:val="21"/>
        </w:rPr>
        <w:t>financially unable to </w:t>
      </w:r>
      <w:r>
        <w:rPr>
          <w:sz w:val="21"/>
        </w:rPr>
        <w:t>do it. </w:t>
      </w:r>
      <w:r>
        <w:rPr>
          <w:spacing w:val="-2"/>
          <w:sz w:val="21"/>
        </w:rPr>
        <w:t>Abatement </w:t>
      </w:r>
      <w:r>
        <w:rPr>
          <w:spacing w:val="-3"/>
          <w:sz w:val="21"/>
        </w:rPr>
        <w:t>may </w:t>
      </w:r>
      <w:r>
        <w:rPr>
          <w:spacing w:val="-2"/>
          <w:sz w:val="21"/>
        </w:rPr>
        <w:t>not </w:t>
      </w:r>
      <w:r>
        <w:rPr>
          <w:sz w:val="21"/>
        </w:rPr>
        <w:t>be practicable in </w:t>
      </w:r>
      <w:r>
        <w:rPr>
          <w:spacing w:val="-3"/>
          <w:sz w:val="21"/>
        </w:rPr>
        <w:t>situations involving </w:t>
      </w:r>
      <w:r>
        <w:rPr>
          <w:sz w:val="21"/>
        </w:rPr>
        <w:t>large trees or confined spaces. </w:t>
      </w:r>
      <w:r>
        <w:rPr>
          <w:spacing w:val="-4"/>
          <w:sz w:val="21"/>
        </w:rPr>
        <w:t>Further, </w:t>
      </w:r>
      <w:r>
        <w:rPr>
          <w:sz w:val="21"/>
        </w:rPr>
        <w:t>the </w:t>
      </w:r>
      <w:r>
        <w:rPr>
          <w:spacing w:val="-3"/>
          <w:sz w:val="21"/>
        </w:rPr>
        <w:t>requirement </w:t>
      </w:r>
      <w:r>
        <w:rPr>
          <w:sz w:val="21"/>
        </w:rPr>
        <w:t>at law </w:t>
      </w:r>
      <w:r>
        <w:rPr>
          <w:spacing w:val="-3"/>
          <w:sz w:val="21"/>
        </w:rPr>
        <w:t>to return </w:t>
      </w:r>
      <w:r>
        <w:rPr>
          <w:spacing w:val="-2"/>
          <w:sz w:val="21"/>
        </w:rPr>
        <w:t>abated </w:t>
      </w:r>
      <w:r>
        <w:rPr>
          <w:spacing w:val="-3"/>
          <w:sz w:val="21"/>
        </w:rPr>
        <w:t>branches to </w:t>
      </w:r>
      <w:r>
        <w:rPr>
          <w:sz w:val="21"/>
        </w:rPr>
        <w:t>the tree owner was identified as </w:t>
      </w:r>
      <w:r>
        <w:rPr>
          <w:spacing w:val="-4"/>
          <w:sz w:val="21"/>
        </w:rPr>
        <w:t>unfair </w:t>
      </w:r>
      <w:r>
        <w:rPr>
          <w:sz w:val="21"/>
        </w:rPr>
        <w:t>and </w:t>
      </w:r>
      <w:r>
        <w:rPr>
          <w:spacing w:val="-3"/>
          <w:sz w:val="21"/>
        </w:rPr>
        <w:t>could </w:t>
      </w:r>
      <w:r>
        <w:rPr>
          <w:spacing w:val="-4"/>
          <w:sz w:val="21"/>
        </w:rPr>
        <w:t>make </w:t>
      </w:r>
      <w:r>
        <w:rPr>
          <w:spacing w:val="-3"/>
          <w:sz w:val="21"/>
        </w:rPr>
        <w:t>things</w:t>
      </w:r>
      <w:r>
        <w:rPr>
          <w:spacing w:val="-8"/>
          <w:sz w:val="21"/>
        </w:rPr>
        <w:t> </w:t>
      </w:r>
      <w:r>
        <w:rPr>
          <w:sz w:val="21"/>
        </w:rPr>
        <w:t>worse.</w:t>
      </w:r>
    </w:p>
    <w:p>
      <w:pPr>
        <w:pStyle w:val="ListParagraph"/>
        <w:numPr>
          <w:ilvl w:val="1"/>
          <w:numId w:val="16"/>
        </w:numPr>
        <w:tabs>
          <w:tab w:pos="2381" w:val="left" w:leader="none"/>
          <w:tab w:pos="2382" w:val="left" w:leader="none"/>
        </w:tabs>
        <w:spacing w:line="242" w:lineRule="auto" w:before="125" w:after="0"/>
        <w:ind w:left="2381" w:right="1739" w:hanging="794"/>
        <w:jc w:val="left"/>
        <w:rPr>
          <w:sz w:val="21"/>
        </w:rPr>
      </w:pPr>
      <w:r>
        <w:rPr>
          <w:w w:val="105"/>
          <w:sz w:val="21"/>
        </w:rPr>
        <w:t>Mediation via DSCV is </w:t>
      </w:r>
      <w:r>
        <w:rPr>
          <w:spacing w:val="-3"/>
          <w:w w:val="105"/>
          <w:sz w:val="21"/>
        </w:rPr>
        <w:t>voluntary, </w:t>
      </w:r>
      <w:r>
        <w:rPr>
          <w:w w:val="105"/>
          <w:sz w:val="21"/>
        </w:rPr>
        <w:t>so if one party </w:t>
      </w:r>
      <w:r>
        <w:rPr>
          <w:spacing w:val="-3"/>
          <w:w w:val="105"/>
          <w:sz w:val="21"/>
        </w:rPr>
        <w:t>refuses to </w:t>
      </w:r>
      <w:r>
        <w:rPr>
          <w:w w:val="105"/>
          <w:sz w:val="21"/>
        </w:rPr>
        <w:t>participate an affected </w:t>
      </w:r>
      <w:r>
        <w:rPr>
          <w:spacing w:val="-3"/>
          <w:w w:val="105"/>
          <w:sz w:val="21"/>
        </w:rPr>
        <w:t>neighbour </w:t>
      </w:r>
      <w:r>
        <w:rPr>
          <w:w w:val="105"/>
          <w:sz w:val="21"/>
        </w:rPr>
        <w:t>is left without </w:t>
      </w:r>
      <w:r>
        <w:rPr>
          <w:spacing w:val="-3"/>
          <w:w w:val="105"/>
          <w:sz w:val="21"/>
        </w:rPr>
        <w:t>any recourse. </w:t>
      </w:r>
      <w:r>
        <w:rPr>
          <w:spacing w:val="-4"/>
          <w:w w:val="105"/>
          <w:sz w:val="21"/>
        </w:rPr>
        <w:t>Moreover, </w:t>
      </w:r>
      <w:r>
        <w:rPr>
          <w:spacing w:val="-3"/>
          <w:w w:val="105"/>
          <w:sz w:val="21"/>
        </w:rPr>
        <w:t>any </w:t>
      </w:r>
      <w:r>
        <w:rPr>
          <w:spacing w:val="-2"/>
          <w:w w:val="105"/>
          <w:sz w:val="21"/>
        </w:rPr>
        <w:t>agreement </w:t>
      </w:r>
      <w:r>
        <w:rPr>
          <w:spacing w:val="-3"/>
          <w:w w:val="105"/>
          <w:sz w:val="21"/>
        </w:rPr>
        <w:t>reached </w:t>
      </w:r>
      <w:r>
        <w:rPr>
          <w:w w:val="105"/>
          <w:sz w:val="21"/>
        </w:rPr>
        <w:t>is </w:t>
      </w:r>
      <w:r>
        <w:rPr>
          <w:spacing w:val="-2"/>
          <w:w w:val="105"/>
          <w:sz w:val="21"/>
        </w:rPr>
        <w:t>not legally </w:t>
      </w:r>
      <w:r>
        <w:rPr>
          <w:spacing w:val="-3"/>
          <w:w w:val="105"/>
          <w:sz w:val="21"/>
        </w:rPr>
        <w:t>binding </w:t>
      </w:r>
      <w:r>
        <w:rPr>
          <w:w w:val="105"/>
          <w:sz w:val="21"/>
        </w:rPr>
        <w:t>and the affected </w:t>
      </w:r>
      <w:r>
        <w:rPr>
          <w:spacing w:val="-3"/>
          <w:w w:val="105"/>
          <w:sz w:val="21"/>
        </w:rPr>
        <w:t>neighbour </w:t>
      </w:r>
      <w:r>
        <w:rPr>
          <w:spacing w:val="-2"/>
          <w:w w:val="105"/>
          <w:sz w:val="21"/>
        </w:rPr>
        <w:t>has </w:t>
      </w:r>
      <w:r>
        <w:rPr>
          <w:w w:val="105"/>
          <w:sz w:val="21"/>
        </w:rPr>
        <w:t>no </w:t>
      </w:r>
      <w:r>
        <w:rPr>
          <w:spacing w:val="-3"/>
          <w:w w:val="105"/>
          <w:sz w:val="21"/>
        </w:rPr>
        <w:t>right </w:t>
      </w:r>
      <w:r>
        <w:rPr>
          <w:w w:val="105"/>
          <w:sz w:val="21"/>
        </w:rPr>
        <w:t>of </w:t>
      </w:r>
      <w:r>
        <w:rPr>
          <w:spacing w:val="-3"/>
          <w:w w:val="105"/>
          <w:sz w:val="21"/>
        </w:rPr>
        <w:t>enforcement </w:t>
      </w:r>
      <w:r>
        <w:rPr>
          <w:w w:val="105"/>
          <w:sz w:val="21"/>
        </w:rPr>
        <w:t>unless the </w:t>
      </w:r>
      <w:r>
        <w:rPr>
          <w:spacing w:val="-2"/>
          <w:w w:val="105"/>
          <w:sz w:val="21"/>
        </w:rPr>
        <w:t>agreement  </w:t>
      </w:r>
      <w:r>
        <w:rPr>
          <w:w w:val="105"/>
          <w:sz w:val="21"/>
        </w:rPr>
        <w:t>is</w:t>
      </w:r>
      <w:r>
        <w:rPr>
          <w:spacing w:val="-12"/>
          <w:w w:val="105"/>
          <w:sz w:val="21"/>
        </w:rPr>
        <w:t> </w:t>
      </w:r>
      <w:r>
        <w:rPr>
          <w:w w:val="105"/>
          <w:sz w:val="21"/>
        </w:rPr>
        <w:t>converted</w:t>
      </w:r>
      <w:r>
        <w:rPr>
          <w:spacing w:val="-12"/>
          <w:w w:val="105"/>
          <w:sz w:val="21"/>
        </w:rPr>
        <w:t> </w:t>
      </w:r>
      <w:r>
        <w:rPr>
          <w:spacing w:val="-4"/>
          <w:w w:val="105"/>
          <w:sz w:val="21"/>
        </w:rPr>
        <w:t>into</w:t>
      </w:r>
      <w:r>
        <w:rPr>
          <w:spacing w:val="-12"/>
          <w:w w:val="105"/>
          <w:sz w:val="21"/>
        </w:rPr>
        <w:t> </w:t>
      </w:r>
      <w:r>
        <w:rPr>
          <w:w w:val="105"/>
          <w:sz w:val="21"/>
        </w:rPr>
        <w:t>a</w:t>
      </w:r>
      <w:r>
        <w:rPr>
          <w:spacing w:val="-11"/>
          <w:w w:val="105"/>
          <w:sz w:val="21"/>
        </w:rPr>
        <w:t> </w:t>
      </w:r>
      <w:r>
        <w:rPr>
          <w:spacing w:val="-3"/>
          <w:w w:val="105"/>
          <w:sz w:val="21"/>
        </w:rPr>
        <w:t>formal</w:t>
      </w:r>
      <w:r>
        <w:rPr>
          <w:spacing w:val="-12"/>
          <w:w w:val="105"/>
          <w:sz w:val="21"/>
        </w:rPr>
        <w:t> </w:t>
      </w:r>
      <w:r>
        <w:rPr>
          <w:w w:val="105"/>
          <w:sz w:val="21"/>
        </w:rPr>
        <w:t>written</w:t>
      </w:r>
      <w:r>
        <w:rPr>
          <w:spacing w:val="-12"/>
          <w:w w:val="105"/>
          <w:sz w:val="21"/>
        </w:rPr>
        <w:t> </w:t>
      </w:r>
      <w:r>
        <w:rPr>
          <w:w w:val="105"/>
          <w:sz w:val="21"/>
        </w:rPr>
        <w:t>contract</w:t>
      </w:r>
      <w:r>
        <w:rPr>
          <w:spacing w:val="-12"/>
          <w:w w:val="105"/>
          <w:sz w:val="21"/>
        </w:rPr>
        <w:t> </w:t>
      </w:r>
      <w:r>
        <w:rPr>
          <w:w w:val="105"/>
          <w:sz w:val="21"/>
        </w:rPr>
        <w:t>by</w:t>
      </w:r>
      <w:r>
        <w:rPr>
          <w:spacing w:val="-11"/>
          <w:w w:val="105"/>
          <w:sz w:val="21"/>
        </w:rPr>
        <w:t> </w:t>
      </w:r>
      <w:r>
        <w:rPr>
          <w:w w:val="105"/>
          <w:sz w:val="21"/>
        </w:rPr>
        <w:t>an</w:t>
      </w:r>
      <w:r>
        <w:rPr>
          <w:spacing w:val="-12"/>
          <w:w w:val="105"/>
          <w:sz w:val="21"/>
        </w:rPr>
        <w:t> </w:t>
      </w:r>
      <w:r>
        <w:rPr>
          <w:w w:val="105"/>
          <w:sz w:val="21"/>
        </w:rPr>
        <w:t>external</w:t>
      </w:r>
      <w:r>
        <w:rPr>
          <w:spacing w:val="-12"/>
          <w:w w:val="105"/>
          <w:sz w:val="21"/>
        </w:rPr>
        <w:t> </w:t>
      </w:r>
      <w:r>
        <w:rPr>
          <w:w w:val="105"/>
          <w:sz w:val="21"/>
        </w:rPr>
        <w:t>legal</w:t>
      </w:r>
      <w:r>
        <w:rPr>
          <w:spacing w:val="-12"/>
          <w:w w:val="105"/>
          <w:sz w:val="21"/>
        </w:rPr>
        <w:t> </w:t>
      </w:r>
      <w:r>
        <w:rPr>
          <w:spacing w:val="-3"/>
          <w:w w:val="105"/>
          <w:sz w:val="21"/>
        </w:rPr>
        <w:t>practitioner.</w:t>
      </w:r>
      <w:r>
        <w:rPr>
          <w:spacing w:val="-3"/>
          <w:w w:val="105"/>
          <w:position w:val="7"/>
          <w:sz w:val="12"/>
        </w:rPr>
        <w:t>45</w:t>
      </w:r>
      <w:r>
        <w:rPr>
          <w:spacing w:val="-5"/>
          <w:w w:val="105"/>
          <w:position w:val="7"/>
          <w:sz w:val="12"/>
        </w:rPr>
        <w:t> </w:t>
      </w:r>
      <w:r>
        <w:rPr>
          <w:w w:val="105"/>
          <w:sz w:val="21"/>
        </w:rPr>
        <w:t>These</w:t>
      </w:r>
      <w:r>
        <w:rPr>
          <w:spacing w:val="-12"/>
          <w:w w:val="105"/>
          <w:sz w:val="21"/>
        </w:rPr>
        <w:t> </w:t>
      </w:r>
      <w:r>
        <w:rPr>
          <w:spacing w:val="-2"/>
          <w:w w:val="105"/>
          <w:sz w:val="21"/>
        </w:rPr>
        <w:t>limits </w:t>
      </w:r>
      <w:r>
        <w:rPr>
          <w:spacing w:val="-3"/>
          <w:w w:val="105"/>
          <w:sz w:val="21"/>
        </w:rPr>
        <w:t>were </w:t>
      </w:r>
      <w:r>
        <w:rPr>
          <w:w w:val="105"/>
          <w:sz w:val="21"/>
        </w:rPr>
        <w:t>also recognised in the context of </w:t>
      </w:r>
      <w:r>
        <w:rPr>
          <w:spacing w:val="-3"/>
          <w:w w:val="105"/>
          <w:sz w:val="21"/>
        </w:rPr>
        <w:t>fence disputes </w:t>
      </w:r>
      <w:r>
        <w:rPr>
          <w:w w:val="105"/>
          <w:sz w:val="21"/>
        </w:rPr>
        <w:t>by the Parliamentary Law </w:t>
      </w:r>
      <w:r>
        <w:rPr>
          <w:spacing w:val="-3"/>
          <w:w w:val="105"/>
          <w:sz w:val="21"/>
        </w:rPr>
        <w:t>Reform Committee</w:t>
      </w:r>
      <w:r>
        <w:rPr>
          <w:spacing w:val="5"/>
          <w:w w:val="105"/>
          <w:sz w:val="21"/>
        </w:rPr>
        <w:t> </w:t>
      </w:r>
      <w:r>
        <w:rPr>
          <w:spacing w:val="-3"/>
          <w:w w:val="105"/>
          <w:sz w:val="21"/>
        </w:rPr>
        <w:t>during</w:t>
      </w:r>
      <w:r>
        <w:rPr>
          <w:spacing w:val="6"/>
          <w:w w:val="105"/>
          <w:sz w:val="21"/>
        </w:rPr>
        <w:t> </w:t>
      </w:r>
      <w:r>
        <w:rPr>
          <w:w w:val="105"/>
          <w:sz w:val="21"/>
        </w:rPr>
        <w:t>its</w:t>
      </w:r>
      <w:r>
        <w:rPr>
          <w:spacing w:val="5"/>
          <w:w w:val="105"/>
          <w:sz w:val="21"/>
        </w:rPr>
        <w:t> </w:t>
      </w:r>
      <w:r>
        <w:rPr>
          <w:spacing w:val="-4"/>
          <w:w w:val="105"/>
          <w:sz w:val="21"/>
        </w:rPr>
        <w:t>1998</w:t>
      </w:r>
      <w:r>
        <w:rPr>
          <w:spacing w:val="6"/>
          <w:w w:val="105"/>
          <w:sz w:val="21"/>
        </w:rPr>
        <w:t> </w:t>
      </w:r>
      <w:r>
        <w:rPr>
          <w:w w:val="105"/>
          <w:sz w:val="21"/>
        </w:rPr>
        <w:t>review</w:t>
      </w:r>
      <w:r>
        <w:rPr>
          <w:spacing w:val="6"/>
          <w:w w:val="105"/>
          <w:sz w:val="21"/>
        </w:rPr>
        <w:t> </w:t>
      </w:r>
      <w:r>
        <w:rPr>
          <w:i/>
          <w:spacing w:val="-3"/>
          <w:w w:val="105"/>
          <w:sz w:val="21"/>
        </w:rPr>
        <w:t>of</w:t>
      </w:r>
      <w:r>
        <w:rPr>
          <w:i/>
          <w:spacing w:val="5"/>
          <w:w w:val="105"/>
          <w:sz w:val="21"/>
        </w:rPr>
        <w:t> </w:t>
      </w:r>
      <w:r>
        <w:rPr>
          <w:i/>
          <w:w w:val="105"/>
          <w:sz w:val="21"/>
        </w:rPr>
        <w:t>the</w:t>
      </w:r>
      <w:r>
        <w:rPr>
          <w:i/>
          <w:spacing w:val="6"/>
          <w:w w:val="105"/>
          <w:sz w:val="21"/>
        </w:rPr>
        <w:t> </w:t>
      </w:r>
      <w:r>
        <w:rPr>
          <w:i/>
          <w:w w:val="105"/>
          <w:sz w:val="21"/>
        </w:rPr>
        <w:t>Fences</w:t>
      </w:r>
      <w:r>
        <w:rPr>
          <w:i/>
          <w:spacing w:val="6"/>
          <w:w w:val="105"/>
          <w:sz w:val="21"/>
        </w:rPr>
        <w:t> </w:t>
      </w:r>
      <w:r>
        <w:rPr>
          <w:i/>
          <w:w w:val="105"/>
          <w:sz w:val="21"/>
        </w:rPr>
        <w:t>Act</w:t>
      </w:r>
      <w:r>
        <w:rPr>
          <w:i/>
          <w:spacing w:val="5"/>
          <w:w w:val="105"/>
          <w:sz w:val="21"/>
        </w:rPr>
        <w:t> </w:t>
      </w:r>
      <w:r>
        <w:rPr>
          <w:i/>
          <w:spacing w:val="-4"/>
          <w:w w:val="105"/>
          <w:sz w:val="21"/>
        </w:rPr>
        <w:t>1968</w:t>
      </w:r>
      <w:r>
        <w:rPr>
          <w:i/>
          <w:spacing w:val="6"/>
          <w:w w:val="105"/>
          <w:sz w:val="21"/>
        </w:rPr>
        <w:t> </w:t>
      </w:r>
      <w:r>
        <w:rPr>
          <w:i/>
          <w:w w:val="105"/>
          <w:sz w:val="21"/>
        </w:rPr>
        <w:t>(Vic</w:t>
      </w:r>
      <w:r>
        <w:rPr>
          <w:w w:val="105"/>
          <w:sz w:val="21"/>
        </w:rPr>
        <w:t>).</w:t>
      </w:r>
      <w:r>
        <w:rPr>
          <w:w w:val="105"/>
          <w:position w:val="7"/>
          <w:sz w:val="12"/>
        </w:rPr>
        <w:t>46</w:t>
      </w:r>
    </w:p>
    <w:p>
      <w:pPr>
        <w:pStyle w:val="ListParagraph"/>
        <w:numPr>
          <w:ilvl w:val="1"/>
          <w:numId w:val="16"/>
        </w:numPr>
        <w:tabs>
          <w:tab w:pos="2381" w:val="left" w:leader="none"/>
          <w:tab w:pos="2382" w:val="left" w:leader="none"/>
        </w:tabs>
        <w:spacing w:line="242" w:lineRule="auto" w:before="127" w:after="0"/>
        <w:ind w:left="2381" w:right="1933" w:hanging="794"/>
        <w:jc w:val="left"/>
        <w:rPr>
          <w:sz w:val="21"/>
        </w:rPr>
      </w:pPr>
      <w:r>
        <w:rPr>
          <w:sz w:val="21"/>
        </w:rPr>
        <w:t>Mediation </w:t>
      </w:r>
      <w:r>
        <w:rPr>
          <w:spacing w:val="-3"/>
          <w:sz w:val="21"/>
        </w:rPr>
        <w:t>will </w:t>
      </w:r>
      <w:r>
        <w:rPr>
          <w:spacing w:val="-2"/>
          <w:sz w:val="21"/>
        </w:rPr>
        <w:t>not </w:t>
      </w:r>
      <w:r>
        <w:rPr>
          <w:sz w:val="21"/>
        </w:rPr>
        <w:t>be </w:t>
      </w:r>
      <w:r>
        <w:rPr>
          <w:spacing w:val="-3"/>
          <w:sz w:val="21"/>
        </w:rPr>
        <w:t>appropriate </w:t>
      </w:r>
      <w:r>
        <w:rPr>
          <w:sz w:val="21"/>
        </w:rPr>
        <w:t>if either party </w:t>
      </w:r>
      <w:r>
        <w:rPr>
          <w:spacing w:val="-2"/>
          <w:sz w:val="21"/>
        </w:rPr>
        <w:t>has </w:t>
      </w:r>
      <w:r>
        <w:rPr>
          <w:sz w:val="21"/>
        </w:rPr>
        <w:t>expressed </w:t>
      </w:r>
      <w:r>
        <w:rPr>
          <w:spacing w:val="-3"/>
          <w:sz w:val="21"/>
        </w:rPr>
        <w:t>fear </w:t>
      </w:r>
      <w:r>
        <w:rPr>
          <w:sz w:val="21"/>
        </w:rPr>
        <w:t>of the other or </w:t>
      </w:r>
      <w:r>
        <w:rPr>
          <w:spacing w:val="-2"/>
          <w:sz w:val="21"/>
        </w:rPr>
        <w:t>has </w:t>
      </w:r>
      <w:r>
        <w:rPr>
          <w:sz w:val="21"/>
        </w:rPr>
        <w:t>been</w:t>
      </w:r>
      <w:r>
        <w:rPr>
          <w:spacing w:val="10"/>
          <w:sz w:val="21"/>
        </w:rPr>
        <w:t> </w:t>
      </w:r>
      <w:r>
        <w:rPr>
          <w:sz w:val="21"/>
        </w:rPr>
        <w:t>harmed</w:t>
      </w:r>
      <w:r>
        <w:rPr>
          <w:spacing w:val="9"/>
          <w:sz w:val="21"/>
        </w:rPr>
        <w:t> </w:t>
      </w:r>
      <w:r>
        <w:rPr>
          <w:sz w:val="21"/>
        </w:rPr>
        <w:t>or</w:t>
      </w:r>
      <w:r>
        <w:rPr>
          <w:spacing w:val="10"/>
          <w:sz w:val="21"/>
        </w:rPr>
        <w:t> </w:t>
      </w:r>
      <w:r>
        <w:rPr>
          <w:spacing w:val="-3"/>
          <w:sz w:val="21"/>
        </w:rPr>
        <w:t>threatened</w:t>
      </w:r>
      <w:r>
        <w:rPr>
          <w:spacing w:val="10"/>
          <w:sz w:val="21"/>
        </w:rPr>
        <w:t> </w:t>
      </w:r>
      <w:r>
        <w:rPr>
          <w:sz w:val="21"/>
        </w:rPr>
        <w:t>with</w:t>
      </w:r>
      <w:r>
        <w:rPr>
          <w:spacing w:val="10"/>
          <w:sz w:val="21"/>
        </w:rPr>
        <w:t> </w:t>
      </w:r>
      <w:r>
        <w:rPr>
          <w:sz w:val="21"/>
        </w:rPr>
        <w:t>violence</w:t>
      </w:r>
      <w:r>
        <w:rPr>
          <w:spacing w:val="10"/>
          <w:sz w:val="21"/>
        </w:rPr>
        <w:t> </w:t>
      </w:r>
      <w:r>
        <w:rPr>
          <w:sz w:val="21"/>
        </w:rPr>
        <w:t>by</w:t>
      </w:r>
      <w:r>
        <w:rPr>
          <w:spacing w:val="10"/>
          <w:sz w:val="21"/>
        </w:rPr>
        <w:t> </w:t>
      </w:r>
      <w:r>
        <w:rPr>
          <w:sz w:val="21"/>
        </w:rPr>
        <w:t>the</w:t>
      </w:r>
      <w:r>
        <w:rPr>
          <w:spacing w:val="10"/>
          <w:sz w:val="21"/>
        </w:rPr>
        <w:t> </w:t>
      </w:r>
      <w:r>
        <w:rPr>
          <w:sz w:val="21"/>
        </w:rPr>
        <w:t>other</w:t>
      </w:r>
      <w:r>
        <w:rPr>
          <w:spacing w:val="10"/>
          <w:sz w:val="21"/>
        </w:rPr>
        <w:t> </w:t>
      </w:r>
      <w:r>
        <w:rPr>
          <w:spacing w:val="-3"/>
          <w:sz w:val="21"/>
        </w:rPr>
        <w:t>party.</w:t>
      </w:r>
      <w:r>
        <w:rPr>
          <w:spacing w:val="-3"/>
          <w:position w:val="7"/>
          <w:sz w:val="12"/>
        </w:rPr>
        <w:t>47</w:t>
      </w:r>
    </w:p>
    <w:p>
      <w:pPr>
        <w:pStyle w:val="ListParagraph"/>
        <w:numPr>
          <w:ilvl w:val="1"/>
          <w:numId w:val="16"/>
        </w:numPr>
        <w:tabs>
          <w:tab w:pos="2381" w:val="left" w:leader="none"/>
          <w:tab w:pos="2382" w:val="left" w:leader="none"/>
        </w:tabs>
        <w:spacing w:line="242" w:lineRule="auto" w:before="122" w:after="0"/>
        <w:ind w:left="2381" w:right="1627" w:hanging="794"/>
        <w:jc w:val="left"/>
        <w:rPr>
          <w:sz w:val="21"/>
        </w:rPr>
      </w:pPr>
      <w:r>
        <w:rPr>
          <w:w w:val="105"/>
          <w:sz w:val="21"/>
        </w:rPr>
        <w:t>The </w:t>
      </w:r>
      <w:r>
        <w:rPr>
          <w:spacing w:val="-3"/>
          <w:w w:val="105"/>
          <w:sz w:val="21"/>
        </w:rPr>
        <w:t>Commission </w:t>
      </w:r>
      <w:r>
        <w:rPr>
          <w:w w:val="105"/>
          <w:sz w:val="21"/>
        </w:rPr>
        <w:t>agrees with the </w:t>
      </w:r>
      <w:r>
        <w:rPr>
          <w:spacing w:val="-3"/>
          <w:w w:val="105"/>
          <w:sz w:val="21"/>
        </w:rPr>
        <w:t>conclusions </w:t>
      </w:r>
      <w:r>
        <w:rPr>
          <w:w w:val="105"/>
          <w:sz w:val="21"/>
        </w:rPr>
        <w:t>of the </w:t>
      </w:r>
      <w:r>
        <w:rPr>
          <w:spacing w:val="-5"/>
          <w:w w:val="105"/>
          <w:sz w:val="21"/>
        </w:rPr>
        <w:t>Tasmania </w:t>
      </w:r>
      <w:r>
        <w:rPr>
          <w:w w:val="105"/>
          <w:sz w:val="21"/>
        </w:rPr>
        <w:t>Law </w:t>
      </w:r>
      <w:r>
        <w:rPr>
          <w:spacing w:val="-3"/>
          <w:w w:val="105"/>
          <w:sz w:val="21"/>
        </w:rPr>
        <w:t>Reform Institute’s </w:t>
      </w:r>
      <w:r>
        <w:rPr>
          <w:spacing w:val="-7"/>
          <w:w w:val="105"/>
          <w:sz w:val="21"/>
        </w:rPr>
        <w:t>2016 </w:t>
      </w:r>
      <w:r>
        <w:rPr>
          <w:spacing w:val="-4"/>
          <w:w w:val="105"/>
          <w:sz w:val="21"/>
        </w:rPr>
        <w:t>review, </w:t>
      </w:r>
      <w:r>
        <w:rPr>
          <w:i/>
          <w:w w:val="105"/>
          <w:sz w:val="21"/>
        </w:rPr>
        <w:t>Problem </w:t>
      </w:r>
      <w:r>
        <w:rPr>
          <w:i/>
          <w:spacing w:val="-4"/>
          <w:w w:val="105"/>
          <w:sz w:val="21"/>
        </w:rPr>
        <w:t>Trees </w:t>
      </w:r>
      <w:r>
        <w:rPr>
          <w:i/>
          <w:w w:val="105"/>
          <w:sz w:val="21"/>
        </w:rPr>
        <w:t>and Hedges: Access to </w:t>
      </w:r>
      <w:r>
        <w:rPr>
          <w:i/>
          <w:spacing w:val="-3"/>
          <w:w w:val="105"/>
          <w:sz w:val="21"/>
        </w:rPr>
        <w:t>Sunlight </w:t>
      </w:r>
      <w:r>
        <w:rPr>
          <w:i/>
          <w:w w:val="105"/>
          <w:sz w:val="21"/>
        </w:rPr>
        <w:t>and Views</w:t>
      </w:r>
      <w:r>
        <w:rPr>
          <w:w w:val="105"/>
          <w:sz w:val="21"/>
        </w:rPr>
        <w:t>. The review recognised </w:t>
      </w:r>
      <w:r>
        <w:rPr>
          <w:spacing w:val="-3"/>
          <w:w w:val="105"/>
          <w:sz w:val="21"/>
        </w:rPr>
        <w:t>that </w:t>
      </w:r>
      <w:r>
        <w:rPr>
          <w:w w:val="105"/>
          <w:sz w:val="21"/>
        </w:rPr>
        <w:t>the </w:t>
      </w:r>
      <w:r>
        <w:rPr>
          <w:spacing w:val="-3"/>
          <w:w w:val="105"/>
          <w:sz w:val="21"/>
        </w:rPr>
        <w:t>current </w:t>
      </w:r>
      <w:r>
        <w:rPr>
          <w:w w:val="105"/>
          <w:sz w:val="21"/>
        </w:rPr>
        <w:t>Victorian system </w:t>
      </w:r>
      <w:r>
        <w:rPr>
          <w:spacing w:val="-3"/>
          <w:w w:val="105"/>
          <w:sz w:val="21"/>
        </w:rPr>
        <w:t>for </w:t>
      </w:r>
      <w:r>
        <w:rPr>
          <w:w w:val="105"/>
          <w:sz w:val="21"/>
        </w:rPr>
        <w:t>resolving tree </w:t>
      </w:r>
      <w:r>
        <w:rPr>
          <w:spacing w:val="-3"/>
          <w:w w:val="105"/>
          <w:sz w:val="21"/>
        </w:rPr>
        <w:t>disputes </w:t>
      </w:r>
      <w:r>
        <w:rPr>
          <w:w w:val="105"/>
          <w:sz w:val="21"/>
        </w:rPr>
        <w:t>is focused on </w:t>
      </w:r>
      <w:r>
        <w:rPr>
          <w:spacing w:val="-3"/>
          <w:w w:val="105"/>
          <w:sz w:val="21"/>
        </w:rPr>
        <w:t>alternative dispute </w:t>
      </w:r>
      <w:r>
        <w:rPr>
          <w:w w:val="105"/>
          <w:sz w:val="21"/>
        </w:rPr>
        <w:t>resolution (ADR).</w:t>
      </w:r>
      <w:r>
        <w:rPr>
          <w:w w:val="105"/>
          <w:position w:val="7"/>
          <w:sz w:val="12"/>
        </w:rPr>
        <w:t>48 </w:t>
      </w:r>
      <w:r>
        <w:rPr>
          <w:w w:val="105"/>
          <w:sz w:val="21"/>
        </w:rPr>
        <w:t>It</w:t>
      </w:r>
      <w:r>
        <w:rPr>
          <w:spacing w:val="16"/>
          <w:w w:val="105"/>
          <w:sz w:val="21"/>
        </w:rPr>
        <w:t> </w:t>
      </w:r>
      <w:r>
        <w:rPr>
          <w:w w:val="105"/>
          <w:sz w:val="21"/>
        </w:rPr>
        <w:t>concluded:</w:t>
      </w:r>
    </w:p>
    <w:p>
      <w:pPr>
        <w:spacing w:line="254" w:lineRule="auto" w:before="134"/>
        <w:ind w:left="2834" w:right="1810" w:firstLine="0"/>
        <w:jc w:val="left"/>
        <w:rPr>
          <w:sz w:val="20"/>
        </w:rPr>
      </w:pPr>
      <w:r>
        <w:rPr>
          <w:w w:val="105"/>
          <w:sz w:val="20"/>
        </w:rPr>
        <w:t>The Institute is not persuaded that ADR should be used as a stand-alone alternative to</w:t>
      </w:r>
      <w:r>
        <w:rPr>
          <w:spacing w:val="-12"/>
          <w:w w:val="105"/>
          <w:sz w:val="20"/>
        </w:rPr>
        <w:t> </w:t>
      </w:r>
      <w:r>
        <w:rPr>
          <w:spacing w:val="-4"/>
          <w:w w:val="105"/>
          <w:sz w:val="20"/>
        </w:rPr>
        <w:t>other,</w:t>
      </w:r>
      <w:r>
        <w:rPr>
          <w:spacing w:val="-11"/>
          <w:w w:val="105"/>
          <w:sz w:val="20"/>
        </w:rPr>
        <w:t> </w:t>
      </w:r>
      <w:r>
        <w:rPr>
          <w:w w:val="105"/>
          <w:sz w:val="20"/>
        </w:rPr>
        <w:t>more</w:t>
      </w:r>
      <w:r>
        <w:rPr>
          <w:spacing w:val="-12"/>
          <w:w w:val="105"/>
          <w:sz w:val="20"/>
        </w:rPr>
        <w:t> </w:t>
      </w:r>
      <w:r>
        <w:rPr>
          <w:w w:val="105"/>
          <w:sz w:val="20"/>
        </w:rPr>
        <w:t>formal</w:t>
      </w:r>
      <w:r>
        <w:rPr>
          <w:spacing w:val="-11"/>
          <w:w w:val="105"/>
          <w:sz w:val="20"/>
        </w:rPr>
        <w:t> </w:t>
      </w:r>
      <w:r>
        <w:rPr>
          <w:w w:val="105"/>
          <w:sz w:val="20"/>
        </w:rPr>
        <w:t>processes</w:t>
      </w:r>
      <w:r>
        <w:rPr>
          <w:spacing w:val="-11"/>
          <w:w w:val="105"/>
          <w:sz w:val="20"/>
        </w:rPr>
        <w:t> </w:t>
      </w:r>
      <w:r>
        <w:rPr>
          <w:w w:val="105"/>
          <w:sz w:val="20"/>
        </w:rPr>
        <w:t>in</w:t>
      </w:r>
      <w:r>
        <w:rPr>
          <w:spacing w:val="-12"/>
          <w:w w:val="105"/>
          <w:sz w:val="20"/>
        </w:rPr>
        <w:t> </w:t>
      </w:r>
      <w:r>
        <w:rPr>
          <w:w w:val="105"/>
          <w:sz w:val="20"/>
        </w:rPr>
        <w:t>the</w:t>
      </w:r>
      <w:r>
        <w:rPr>
          <w:spacing w:val="-11"/>
          <w:w w:val="105"/>
          <w:sz w:val="20"/>
        </w:rPr>
        <w:t> </w:t>
      </w:r>
      <w:r>
        <w:rPr>
          <w:w w:val="105"/>
          <w:sz w:val="20"/>
        </w:rPr>
        <w:t>resolution</w:t>
      </w:r>
      <w:r>
        <w:rPr>
          <w:spacing w:val="-11"/>
          <w:w w:val="105"/>
          <w:sz w:val="20"/>
        </w:rPr>
        <w:t> </w:t>
      </w:r>
      <w:r>
        <w:rPr>
          <w:w w:val="105"/>
          <w:sz w:val="20"/>
        </w:rPr>
        <w:t>of</w:t>
      </w:r>
      <w:r>
        <w:rPr>
          <w:spacing w:val="-12"/>
          <w:w w:val="105"/>
          <w:sz w:val="20"/>
        </w:rPr>
        <w:t> </w:t>
      </w:r>
      <w:r>
        <w:rPr>
          <w:w w:val="105"/>
          <w:sz w:val="20"/>
        </w:rPr>
        <w:t>neighbour</w:t>
      </w:r>
      <w:r>
        <w:rPr>
          <w:spacing w:val="-11"/>
          <w:w w:val="105"/>
          <w:sz w:val="20"/>
        </w:rPr>
        <w:t> </w:t>
      </w:r>
      <w:r>
        <w:rPr>
          <w:w w:val="105"/>
          <w:sz w:val="20"/>
        </w:rPr>
        <w:t>disputes</w:t>
      </w:r>
      <w:r>
        <w:rPr>
          <w:spacing w:val="-12"/>
          <w:w w:val="105"/>
          <w:sz w:val="20"/>
        </w:rPr>
        <w:t> </w:t>
      </w:r>
      <w:r>
        <w:rPr>
          <w:w w:val="105"/>
          <w:sz w:val="20"/>
        </w:rPr>
        <w:t>about</w:t>
      </w:r>
      <w:r>
        <w:rPr>
          <w:spacing w:val="-11"/>
          <w:w w:val="105"/>
          <w:sz w:val="20"/>
        </w:rPr>
        <w:t> </w:t>
      </w:r>
      <w:r>
        <w:rPr>
          <w:w w:val="105"/>
          <w:sz w:val="20"/>
        </w:rPr>
        <w:t>trees</w:t>
      </w:r>
      <w:r>
        <w:rPr>
          <w:spacing w:val="-11"/>
          <w:w w:val="105"/>
          <w:sz w:val="20"/>
        </w:rPr>
        <w:t> </w:t>
      </w:r>
      <w:r>
        <w:rPr>
          <w:w w:val="105"/>
          <w:sz w:val="20"/>
        </w:rPr>
        <w:t>or hedges.</w:t>
      </w:r>
      <w:r>
        <w:rPr>
          <w:spacing w:val="-7"/>
          <w:w w:val="105"/>
          <w:sz w:val="20"/>
        </w:rPr>
        <w:t> </w:t>
      </w:r>
      <w:r>
        <w:rPr>
          <w:w w:val="105"/>
          <w:sz w:val="20"/>
        </w:rPr>
        <w:t>This</w:t>
      </w:r>
      <w:r>
        <w:rPr>
          <w:spacing w:val="-7"/>
          <w:w w:val="105"/>
          <w:sz w:val="20"/>
        </w:rPr>
        <w:t> </w:t>
      </w:r>
      <w:r>
        <w:rPr>
          <w:w w:val="105"/>
          <w:sz w:val="20"/>
        </w:rPr>
        <w:t>is</w:t>
      </w:r>
      <w:r>
        <w:rPr>
          <w:spacing w:val="-7"/>
          <w:w w:val="105"/>
          <w:sz w:val="20"/>
        </w:rPr>
        <w:t> </w:t>
      </w:r>
      <w:r>
        <w:rPr>
          <w:w w:val="105"/>
          <w:sz w:val="20"/>
        </w:rPr>
        <w:t>due</w:t>
      </w:r>
      <w:r>
        <w:rPr>
          <w:spacing w:val="-7"/>
          <w:w w:val="105"/>
          <w:sz w:val="20"/>
        </w:rPr>
        <w:t> </w:t>
      </w:r>
      <w:r>
        <w:rPr>
          <w:w w:val="105"/>
          <w:sz w:val="20"/>
        </w:rPr>
        <w:t>to</w:t>
      </w:r>
      <w:r>
        <w:rPr>
          <w:spacing w:val="-7"/>
          <w:w w:val="105"/>
          <w:sz w:val="20"/>
        </w:rPr>
        <w:t> </w:t>
      </w:r>
      <w:r>
        <w:rPr>
          <w:spacing w:val="-3"/>
          <w:w w:val="105"/>
          <w:sz w:val="20"/>
        </w:rPr>
        <w:t>potential</w:t>
      </w:r>
      <w:r>
        <w:rPr>
          <w:spacing w:val="-6"/>
          <w:w w:val="105"/>
          <w:sz w:val="20"/>
        </w:rPr>
        <w:t> </w:t>
      </w:r>
      <w:r>
        <w:rPr>
          <w:w w:val="105"/>
          <w:sz w:val="20"/>
        </w:rPr>
        <w:t>difficulties</w:t>
      </w:r>
      <w:r>
        <w:rPr>
          <w:spacing w:val="-7"/>
          <w:w w:val="105"/>
          <w:sz w:val="20"/>
        </w:rPr>
        <w:t> </w:t>
      </w:r>
      <w:r>
        <w:rPr>
          <w:w w:val="105"/>
          <w:sz w:val="20"/>
        </w:rPr>
        <w:t>with</w:t>
      </w:r>
      <w:r>
        <w:rPr>
          <w:spacing w:val="-7"/>
          <w:w w:val="105"/>
          <w:sz w:val="20"/>
        </w:rPr>
        <w:t> </w:t>
      </w:r>
      <w:r>
        <w:rPr>
          <w:w w:val="105"/>
          <w:sz w:val="20"/>
        </w:rPr>
        <w:t>compelling</w:t>
      </w:r>
      <w:r>
        <w:rPr>
          <w:spacing w:val="-7"/>
          <w:w w:val="105"/>
          <w:sz w:val="20"/>
        </w:rPr>
        <w:t> </w:t>
      </w:r>
      <w:r>
        <w:rPr>
          <w:w w:val="105"/>
          <w:sz w:val="20"/>
        </w:rPr>
        <w:t>a</w:t>
      </w:r>
      <w:r>
        <w:rPr>
          <w:spacing w:val="-7"/>
          <w:w w:val="105"/>
          <w:sz w:val="20"/>
        </w:rPr>
        <w:t> </w:t>
      </w:r>
      <w:r>
        <w:rPr>
          <w:w w:val="105"/>
          <w:sz w:val="20"/>
        </w:rPr>
        <w:t>neighbour</w:t>
      </w:r>
      <w:r>
        <w:rPr>
          <w:spacing w:val="-6"/>
          <w:w w:val="105"/>
          <w:sz w:val="20"/>
        </w:rPr>
        <w:t> </w:t>
      </w:r>
      <w:r>
        <w:rPr>
          <w:w w:val="105"/>
          <w:sz w:val="20"/>
        </w:rPr>
        <w:t>to</w:t>
      </w:r>
      <w:r>
        <w:rPr>
          <w:spacing w:val="-7"/>
          <w:w w:val="105"/>
          <w:sz w:val="20"/>
        </w:rPr>
        <w:t> </w:t>
      </w:r>
      <w:r>
        <w:rPr>
          <w:w w:val="105"/>
          <w:sz w:val="20"/>
        </w:rPr>
        <w:t>participate</w:t>
      </w:r>
    </w:p>
    <w:p>
      <w:pPr>
        <w:spacing w:line="254" w:lineRule="auto" w:before="3"/>
        <w:ind w:left="2834" w:right="1810" w:firstLine="0"/>
        <w:jc w:val="left"/>
        <w:rPr>
          <w:sz w:val="11"/>
        </w:rPr>
      </w:pPr>
      <w:r>
        <w:rPr>
          <w:sz w:val="20"/>
        </w:rPr>
        <w:t>in ADR processes—particularly where there is a level of animosity between neighbours that would </w:t>
      </w:r>
      <w:r>
        <w:rPr>
          <w:spacing w:val="-3"/>
          <w:sz w:val="20"/>
        </w:rPr>
        <w:t>make </w:t>
      </w:r>
      <w:r>
        <w:rPr>
          <w:sz w:val="20"/>
        </w:rPr>
        <w:t>voluntary attendance  or  </w:t>
      </w:r>
      <w:r>
        <w:rPr>
          <w:spacing w:val="-3"/>
          <w:sz w:val="20"/>
        </w:rPr>
        <w:t>compliance  unrealistic  </w:t>
      </w:r>
      <w:r>
        <w:rPr>
          <w:sz w:val="20"/>
        </w:rPr>
        <w:t>or  undesirable—and the (potentially) non-binding </w:t>
      </w:r>
      <w:r>
        <w:rPr>
          <w:spacing w:val="-3"/>
          <w:sz w:val="20"/>
        </w:rPr>
        <w:t>nature </w:t>
      </w:r>
      <w:r>
        <w:rPr>
          <w:sz w:val="20"/>
        </w:rPr>
        <w:t>of agreements reached through ADR, making the </w:t>
      </w:r>
      <w:r>
        <w:rPr>
          <w:spacing w:val="-3"/>
          <w:sz w:val="20"/>
        </w:rPr>
        <w:t>enforcement  </w:t>
      </w:r>
      <w:r>
        <w:rPr>
          <w:sz w:val="20"/>
        </w:rPr>
        <w:t>of agreements unworkable in some cases. </w:t>
      </w:r>
      <w:r>
        <w:rPr>
          <w:spacing w:val="-3"/>
          <w:sz w:val="20"/>
        </w:rPr>
        <w:t>Further,</w:t>
      </w:r>
      <w:r>
        <w:rPr>
          <w:spacing w:val="39"/>
          <w:sz w:val="20"/>
        </w:rPr>
        <w:t> </w:t>
      </w:r>
      <w:r>
        <w:rPr>
          <w:sz w:val="20"/>
        </w:rPr>
        <w:t>if ADR </w:t>
      </w:r>
      <w:r>
        <w:rPr>
          <w:spacing w:val="-3"/>
          <w:sz w:val="20"/>
        </w:rPr>
        <w:t>fails  </w:t>
      </w:r>
      <w:r>
        <w:rPr>
          <w:sz w:val="20"/>
        </w:rPr>
        <w:t>to resolve   the dispute recourse would be to the common </w:t>
      </w:r>
      <w:r>
        <w:rPr>
          <w:spacing w:val="-5"/>
          <w:sz w:val="20"/>
        </w:rPr>
        <w:t>law,  </w:t>
      </w:r>
      <w:r>
        <w:rPr>
          <w:sz w:val="20"/>
        </w:rPr>
        <w:t>a situation that is </w:t>
      </w:r>
      <w:r>
        <w:rPr>
          <w:spacing w:val="-3"/>
          <w:sz w:val="20"/>
        </w:rPr>
        <w:t>unlikely  </w:t>
      </w:r>
      <w:r>
        <w:rPr>
          <w:sz w:val="20"/>
        </w:rPr>
        <w:t>to provide   a satisfactory resolution to the</w:t>
      </w:r>
      <w:r>
        <w:rPr>
          <w:spacing w:val="42"/>
          <w:sz w:val="20"/>
        </w:rPr>
        <w:t> </w:t>
      </w:r>
      <w:r>
        <w:rPr>
          <w:sz w:val="20"/>
        </w:rPr>
        <w:t>dispute.</w:t>
      </w:r>
      <w:r>
        <w:rPr>
          <w:position w:val="7"/>
          <w:sz w:val="11"/>
        </w:rPr>
        <w:t>49</w:t>
      </w:r>
    </w:p>
    <w:p>
      <w:pPr>
        <w:pStyle w:val="ListParagraph"/>
        <w:numPr>
          <w:ilvl w:val="1"/>
          <w:numId w:val="16"/>
        </w:numPr>
        <w:tabs>
          <w:tab w:pos="2381" w:val="left" w:leader="none"/>
          <w:tab w:pos="2382" w:val="left" w:leader="none"/>
        </w:tabs>
        <w:spacing w:line="242" w:lineRule="auto" w:before="118" w:after="0"/>
        <w:ind w:left="2381" w:right="1978" w:hanging="794"/>
        <w:jc w:val="left"/>
        <w:rPr>
          <w:sz w:val="21"/>
        </w:rPr>
      </w:pPr>
      <w:r>
        <w:rPr>
          <w:w w:val="105"/>
          <w:sz w:val="21"/>
        </w:rPr>
        <w:t>The</w:t>
      </w:r>
      <w:r>
        <w:rPr>
          <w:spacing w:val="-10"/>
          <w:w w:val="105"/>
          <w:sz w:val="21"/>
        </w:rPr>
        <w:t> </w:t>
      </w:r>
      <w:r>
        <w:rPr>
          <w:spacing w:val="-4"/>
          <w:w w:val="105"/>
          <w:sz w:val="21"/>
        </w:rPr>
        <w:t>Tasmanian</w:t>
      </w:r>
      <w:r>
        <w:rPr>
          <w:spacing w:val="-10"/>
          <w:w w:val="105"/>
          <w:sz w:val="21"/>
        </w:rPr>
        <w:t> </w:t>
      </w:r>
      <w:r>
        <w:rPr>
          <w:w w:val="105"/>
          <w:sz w:val="21"/>
        </w:rPr>
        <w:t>review</w:t>
      </w:r>
      <w:r>
        <w:rPr>
          <w:spacing w:val="-10"/>
          <w:w w:val="105"/>
          <w:sz w:val="21"/>
        </w:rPr>
        <w:t> </w:t>
      </w:r>
      <w:r>
        <w:rPr>
          <w:w w:val="105"/>
          <w:sz w:val="21"/>
        </w:rPr>
        <w:t>recommended</w:t>
      </w:r>
      <w:r>
        <w:rPr>
          <w:spacing w:val="-10"/>
          <w:w w:val="105"/>
          <w:sz w:val="21"/>
        </w:rPr>
        <w:t> </w:t>
      </w:r>
      <w:r>
        <w:rPr>
          <w:spacing w:val="-3"/>
          <w:w w:val="105"/>
          <w:sz w:val="21"/>
        </w:rPr>
        <w:t>that</w:t>
      </w:r>
      <w:r>
        <w:rPr>
          <w:spacing w:val="-10"/>
          <w:w w:val="105"/>
          <w:sz w:val="21"/>
        </w:rPr>
        <w:t> </w:t>
      </w:r>
      <w:r>
        <w:rPr>
          <w:w w:val="105"/>
          <w:sz w:val="21"/>
        </w:rPr>
        <w:t>the</w:t>
      </w:r>
      <w:r>
        <w:rPr>
          <w:spacing w:val="-10"/>
          <w:w w:val="105"/>
          <w:sz w:val="21"/>
        </w:rPr>
        <w:t> </w:t>
      </w:r>
      <w:r>
        <w:rPr>
          <w:w w:val="105"/>
          <w:sz w:val="21"/>
        </w:rPr>
        <w:t>Victorian</w:t>
      </w:r>
      <w:r>
        <w:rPr>
          <w:spacing w:val="-10"/>
          <w:w w:val="105"/>
          <w:sz w:val="21"/>
        </w:rPr>
        <w:t> </w:t>
      </w:r>
      <w:r>
        <w:rPr>
          <w:w w:val="105"/>
          <w:sz w:val="21"/>
        </w:rPr>
        <w:t>model</w:t>
      </w:r>
      <w:r>
        <w:rPr>
          <w:spacing w:val="-10"/>
          <w:w w:val="105"/>
          <w:sz w:val="21"/>
        </w:rPr>
        <w:t> </w:t>
      </w:r>
      <w:r>
        <w:rPr>
          <w:spacing w:val="-2"/>
          <w:w w:val="105"/>
          <w:sz w:val="21"/>
        </w:rPr>
        <w:t>not</w:t>
      </w:r>
      <w:r>
        <w:rPr>
          <w:spacing w:val="-10"/>
          <w:w w:val="105"/>
          <w:sz w:val="21"/>
        </w:rPr>
        <w:t> </w:t>
      </w:r>
      <w:r>
        <w:rPr>
          <w:w w:val="105"/>
          <w:sz w:val="21"/>
        </w:rPr>
        <w:t>be</w:t>
      </w:r>
      <w:r>
        <w:rPr>
          <w:spacing w:val="-10"/>
          <w:w w:val="105"/>
          <w:sz w:val="21"/>
        </w:rPr>
        <w:t> </w:t>
      </w:r>
      <w:r>
        <w:rPr>
          <w:spacing w:val="-3"/>
          <w:w w:val="105"/>
          <w:sz w:val="21"/>
        </w:rPr>
        <w:t>implemented</w:t>
      </w:r>
      <w:r>
        <w:rPr>
          <w:spacing w:val="-9"/>
          <w:w w:val="105"/>
          <w:sz w:val="21"/>
        </w:rPr>
        <w:t> </w:t>
      </w:r>
      <w:r>
        <w:rPr>
          <w:w w:val="105"/>
          <w:sz w:val="21"/>
        </w:rPr>
        <w:t>in </w:t>
      </w:r>
      <w:r>
        <w:rPr>
          <w:spacing w:val="-4"/>
          <w:w w:val="105"/>
          <w:sz w:val="21"/>
        </w:rPr>
        <w:t>Tasmania.</w:t>
      </w:r>
      <w:r>
        <w:rPr>
          <w:spacing w:val="-4"/>
          <w:w w:val="105"/>
          <w:position w:val="7"/>
          <w:sz w:val="12"/>
        </w:rPr>
        <w:t>50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r>
        <w:rPr/>
        <w:pict>
          <v:line style="position:absolute;mso-position-horizontal-relative:page;mso-position-vertical-relative:paragraph;z-index:2432;mso-wrap-distance-left:0;mso-wrap-distance-right:0" from="79.370102pt,13.926566pt" to="515.905102pt,13.926566pt" stroked="true" strokeweight="1pt" strokecolor="#c9d2cb">
            <v:stroke dashstyle="solid"/>
            <w10:wrap type="topAndBottom"/>
          </v:line>
        </w:pict>
      </w:r>
    </w:p>
    <w:p>
      <w:pPr>
        <w:pStyle w:val="ListParagraph"/>
        <w:numPr>
          <w:ilvl w:val="0"/>
          <w:numId w:val="40"/>
        </w:numPr>
        <w:tabs>
          <w:tab w:pos="2380" w:val="left" w:leader="none"/>
          <w:tab w:pos="2382" w:val="left" w:leader="none"/>
        </w:tabs>
        <w:spacing w:line="240" w:lineRule="auto" w:before="117" w:after="0"/>
        <w:ind w:left="2381" w:right="1730" w:hanging="794"/>
        <w:jc w:val="left"/>
        <w:rPr>
          <w:sz w:val="13"/>
        </w:rPr>
      </w:pPr>
      <w:r>
        <w:rPr>
          <w:w w:val="105"/>
          <w:sz w:val="13"/>
        </w:rPr>
        <w:t>See, eg, </w:t>
      </w:r>
      <w:r>
        <w:rPr>
          <w:i/>
          <w:w w:val="105"/>
          <w:sz w:val="13"/>
        </w:rPr>
        <w:t>Miles v Barca </w:t>
      </w:r>
      <w:r>
        <w:rPr>
          <w:w w:val="105"/>
          <w:sz w:val="13"/>
        </w:rPr>
        <w:t>(2003) VSC 376; Gregory Moore, ‘Acts of Arborial Violence: Tree Vandals Deprive Us All’, </w:t>
      </w:r>
      <w:r>
        <w:rPr>
          <w:i/>
          <w:w w:val="105"/>
          <w:sz w:val="13"/>
        </w:rPr>
        <w:t>The Conversation </w:t>
      </w:r>
      <w:r>
        <w:rPr>
          <w:w w:val="105"/>
          <w:sz w:val="13"/>
        </w:rPr>
        <w:t>(online,      2 June 2015, &lt;</w:t>
      </w:r>
      <w:hyperlink r:id="rId78">
        <w:r>
          <w:rPr>
            <w:w w:val="105"/>
            <w:sz w:val="13"/>
          </w:rPr>
          <w:t>http://theconversation.com/acts-of-arborial-violence-tree-vandals-deprive-us-all-41342</w:t>
        </w:r>
      </w:hyperlink>
      <w:r>
        <w:rPr>
          <w:w w:val="105"/>
          <w:sz w:val="13"/>
        </w:rPr>
        <w:t>&gt;; Lynda Cheshire and Robin Fitzgerald, ‘From Private Nuisance to Criminal Behaviour: Neighbour Problems and Neighbourhood Context in an Australian City’ (2015) </w:t>
      </w:r>
      <w:r>
        <w:rPr>
          <w:spacing w:val="4"/>
          <w:w w:val="105"/>
          <w:sz w:val="13"/>
        </w:rPr>
        <w:t>30(3)</w:t>
      </w:r>
      <w:r>
        <w:rPr>
          <w:spacing w:val="6"/>
          <w:w w:val="105"/>
          <w:sz w:val="13"/>
        </w:rPr>
        <w:t> </w:t>
      </w:r>
      <w:r>
        <w:rPr>
          <w:i/>
          <w:w w:val="105"/>
          <w:sz w:val="13"/>
        </w:rPr>
        <w:t>Housing</w:t>
      </w:r>
      <w:r>
        <w:rPr>
          <w:i/>
          <w:spacing w:val="7"/>
          <w:w w:val="105"/>
          <w:sz w:val="13"/>
        </w:rPr>
        <w:t> </w:t>
      </w:r>
      <w:r>
        <w:rPr>
          <w:i/>
          <w:w w:val="105"/>
          <w:sz w:val="13"/>
        </w:rPr>
        <w:t>Studies</w:t>
      </w:r>
      <w:r>
        <w:rPr>
          <w:i/>
          <w:spacing w:val="7"/>
          <w:w w:val="105"/>
          <w:sz w:val="13"/>
        </w:rPr>
        <w:t> </w:t>
      </w:r>
      <w:r>
        <w:rPr>
          <w:w w:val="105"/>
          <w:sz w:val="13"/>
        </w:rPr>
        <w:t>100,</w:t>
      </w:r>
      <w:r>
        <w:rPr>
          <w:spacing w:val="6"/>
          <w:w w:val="105"/>
          <w:sz w:val="13"/>
        </w:rPr>
        <w:t> </w:t>
      </w:r>
      <w:r>
        <w:rPr>
          <w:spacing w:val="-4"/>
          <w:w w:val="105"/>
          <w:sz w:val="13"/>
        </w:rPr>
        <w:t>101,</w:t>
      </w:r>
      <w:r>
        <w:rPr>
          <w:spacing w:val="7"/>
          <w:w w:val="105"/>
          <w:sz w:val="13"/>
        </w:rPr>
        <w:t> </w:t>
      </w:r>
      <w:r>
        <w:rPr>
          <w:w w:val="105"/>
          <w:sz w:val="13"/>
        </w:rPr>
        <w:t>115–6;</w:t>
      </w:r>
      <w:r>
        <w:rPr>
          <w:spacing w:val="7"/>
          <w:w w:val="105"/>
          <w:sz w:val="13"/>
        </w:rPr>
        <w:t> </w:t>
      </w:r>
      <w:r>
        <w:rPr>
          <w:w w:val="105"/>
          <w:sz w:val="13"/>
        </w:rPr>
        <w:t>Victoria</w:t>
      </w:r>
      <w:r>
        <w:rPr>
          <w:spacing w:val="6"/>
          <w:w w:val="105"/>
          <w:sz w:val="13"/>
        </w:rPr>
        <w:t> </w:t>
      </w:r>
      <w:r>
        <w:rPr>
          <w:w w:val="105"/>
          <w:sz w:val="13"/>
        </w:rPr>
        <w:t>Legal</w:t>
      </w:r>
      <w:r>
        <w:rPr>
          <w:spacing w:val="7"/>
          <w:w w:val="105"/>
          <w:sz w:val="13"/>
        </w:rPr>
        <w:t> </w:t>
      </w:r>
      <w:r>
        <w:rPr>
          <w:w w:val="105"/>
          <w:sz w:val="13"/>
        </w:rPr>
        <w:t>Aid,</w:t>
      </w:r>
      <w:r>
        <w:rPr>
          <w:spacing w:val="7"/>
          <w:w w:val="105"/>
          <w:sz w:val="13"/>
        </w:rPr>
        <w:t> </w:t>
      </w:r>
      <w:r>
        <w:rPr>
          <w:i/>
          <w:w w:val="105"/>
          <w:sz w:val="13"/>
        </w:rPr>
        <w:t>Disputes</w:t>
      </w:r>
      <w:r>
        <w:rPr>
          <w:i/>
          <w:spacing w:val="6"/>
          <w:w w:val="105"/>
          <w:sz w:val="13"/>
        </w:rPr>
        <w:t> </w:t>
      </w:r>
      <w:r>
        <w:rPr>
          <w:i/>
          <w:w w:val="105"/>
          <w:sz w:val="13"/>
        </w:rPr>
        <w:t>With</w:t>
      </w:r>
      <w:r>
        <w:rPr>
          <w:i/>
          <w:spacing w:val="7"/>
          <w:w w:val="105"/>
          <w:sz w:val="13"/>
        </w:rPr>
        <w:t> </w:t>
      </w:r>
      <w:r>
        <w:rPr>
          <w:i/>
          <w:w w:val="105"/>
          <w:sz w:val="13"/>
        </w:rPr>
        <w:t>Neighbours</w:t>
      </w:r>
      <w:r>
        <w:rPr>
          <w:i/>
          <w:spacing w:val="7"/>
          <w:w w:val="105"/>
          <w:sz w:val="13"/>
        </w:rPr>
        <w:t> </w:t>
      </w:r>
      <w:r>
        <w:rPr>
          <w:w w:val="105"/>
          <w:sz w:val="13"/>
        </w:rPr>
        <w:t>(Web</w:t>
      </w:r>
      <w:r>
        <w:rPr>
          <w:spacing w:val="6"/>
          <w:w w:val="105"/>
          <w:sz w:val="13"/>
        </w:rPr>
        <w:t> </w:t>
      </w:r>
      <w:r>
        <w:rPr>
          <w:w w:val="105"/>
          <w:sz w:val="13"/>
        </w:rPr>
        <w:t>Page,</w:t>
      </w:r>
      <w:r>
        <w:rPr>
          <w:spacing w:val="7"/>
          <w:w w:val="105"/>
          <w:sz w:val="13"/>
        </w:rPr>
        <w:t> </w:t>
      </w:r>
      <w:r>
        <w:rPr>
          <w:w w:val="105"/>
          <w:sz w:val="13"/>
        </w:rPr>
        <w:t>25</w:t>
      </w:r>
      <w:r>
        <w:rPr>
          <w:spacing w:val="7"/>
          <w:w w:val="105"/>
          <w:sz w:val="13"/>
        </w:rPr>
        <w:t> </w:t>
      </w:r>
      <w:r>
        <w:rPr>
          <w:w w:val="105"/>
          <w:sz w:val="13"/>
        </w:rPr>
        <w:t>March</w:t>
      </w:r>
      <w:r>
        <w:rPr>
          <w:spacing w:val="6"/>
          <w:w w:val="105"/>
          <w:sz w:val="13"/>
        </w:rPr>
        <w:t> </w:t>
      </w:r>
      <w:r>
        <w:rPr>
          <w:w w:val="105"/>
          <w:sz w:val="13"/>
        </w:rPr>
        <w:t>2019)</w:t>
      </w:r>
    </w:p>
    <w:p>
      <w:pPr>
        <w:spacing w:before="5"/>
        <w:ind w:left="2381" w:right="0" w:firstLine="0"/>
        <w:jc w:val="left"/>
        <w:rPr>
          <w:sz w:val="13"/>
        </w:rPr>
      </w:pPr>
      <w:r>
        <w:rPr>
          <w:w w:val="105"/>
          <w:sz w:val="13"/>
        </w:rPr>
        <w:t>&lt;</w:t>
      </w:r>
      <w:hyperlink r:id="rId79">
        <w:r>
          <w:rPr>
            <w:w w:val="105"/>
            <w:sz w:val="13"/>
          </w:rPr>
          <w:t>www.legalaid.vic.gov.au/find-legal-answers/disputes-with-neighbours</w:t>
        </w:r>
      </w:hyperlink>
      <w:r>
        <w:rPr>
          <w:w w:val="105"/>
          <w:sz w:val="13"/>
        </w:rPr>
        <w:t>&gt;.</w:t>
      </w:r>
    </w:p>
    <w:p>
      <w:pPr>
        <w:pStyle w:val="ListParagraph"/>
        <w:numPr>
          <w:ilvl w:val="0"/>
          <w:numId w:val="40"/>
        </w:numPr>
        <w:tabs>
          <w:tab w:pos="2380" w:val="left" w:leader="none"/>
          <w:tab w:pos="2382" w:val="left" w:leader="none"/>
        </w:tabs>
        <w:spacing w:line="240" w:lineRule="auto" w:before="2" w:after="0"/>
        <w:ind w:left="2381" w:right="1692" w:hanging="794"/>
        <w:jc w:val="left"/>
        <w:rPr>
          <w:sz w:val="13"/>
        </w:rPr>
      </w:pPr>
      <w:r>
        <w:rPr>
          <w:w w:val="105"/>
          <w:sz w:val="13"/>
        </w:rPr>
        <w:t>DSCV </w:t>
      </w:r>
      <w:r>
        <w:rPr>
          <w:spacing w:val="2"/>
          <w:w w:val="105"/>
          <w:sz w:val="13"/>
        </w:rPr>
        <w:t>staff </w:t>
      </w:r>
      <w:r>
        <w:rPr>
          <w:w w:val="105"/>
          <w:sz w:val="13"/>
        </w:rPr>
        <w:t>do not have any investigative or enforcement powers. Accordingly, DSCV does not provide any </w:t>
      </w:r>
      <w:r>
        <w:rPr>
          <w:spacing w:val="2"/>
          <w:w w:val="105"/>
          <w:sz w:val="13"/>
        </w:rPr>
        <w:t>location/site </w:t>
      </w:r>
      <w:r>
        <w:rPr>
          <w:w w:val="105"/>
          <w:sz w:val="13"/>
        </w:rPr>
        <w:t>assessment     services and they cannot tell the person you are in dispute with to do anything: Dispute Settlement Centre of Victoria, DSCV FAQS (Web Page, 3 June 2019) &lt;</w:t>
      </w:r>
      <w:hyperlink r:id="rId80">
        <w:r>
          <w:rPr>
            <w:w w:val="105"/>
            <w:sz w:val="13"/>
          </w:rPr>
          <w:t>https://www.disputes.vic.gov.au/information-and-advice/dscv-faqs</w:t>
        </w:r>
      </w:hyperlink>
      <w:r>
        <w:rPr>
          <w:w w:val="105"/>
          <w:sz w:val="13"/>
        </w:rPr>
        <w:t>&gt;. Parties are informed by DSCV that their written mediation agreements may be drawn up into a formal written contract by an external legal practitioner: Information provided by the</w:t>
      </w:r>
      <w:r>
        <w:rPr>
          <w:spacing w:val="30"/>
          <w:w w:val="105"/>
          <w:sz w:val="13"/>
        </w:rPr>
        <w:t> </w:t>
      </w:r>
      <w:r>
        <w:rPr>
          <w:w w:val="105"/>
          <w:sz w:val="13"/>
        </w:rPr>
        <w:t>Dispute</w:t>
      </w:r>
      <w:r>
        <w:rPr>
          <w:spacing w:val="4"/>
          <w:w w:val="105"/>
          <w:sz w:val="13"/>
        </w:rPr>
        <w:t> </w:t>
      </w:r>
      <w:r>
        <w:rPr>
          <w:w w:val="105"/>
          <w:sz w:val="13"/>
        </w:rPr>
        <w:t>Settlement</w:t>
      </w:r>
      <w:r>
        <w:rPr>
          <w:spacing w:val="5"/>
          <w:w w:val="105"/>
          <w:sz w:val="13"/>
        </w:rPr>
        <w:t> </w:t>
      </w:r>
      <w:r>
        <w:rPr>
          <w:w w:val="105"/>
          <w:sz w:val="13"/>
        </w:rPr>
        <w:t>Centre</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w w:val="105"/>
          <w:sz w:val="13"/>
        </w:rPr>
        <w:t>to</w:t>
      </w:r>
      <w:r>
        <w:rPr>
          <w:spacing w:val="5"/>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16</w:t>
      </w:r>
      <w:r>
        <w:rPr>
          <w:spacing w:val="5"/>
          <w:w w:val="105"/>
          <w:sz w:val="13"/>
        </w:rPr>
        <w:t> </w:t>
      </w:r>
      <w:r>
        <w:rPr>
          <w:w w:val="105"/>
          <w:sz w:val="13"/>
        </w:rPr>
        <w:t>October</w:t>
      </w:r>
      <w:r>
        <w:rPr>
          <w:spacing w:val="5"/>
          <w:w w:val="105"/>
          <w:sz w:val="13"/>
        </w:rPr>
        <w:t> </w:t>
      </w:r>
      <w:r>
        <w:rPr>
          <w:spacing w:val="-5"/>
          <w:w w:val="105"/>
          <w:sz w:val="13"/>
        </w:rPr>
        <w:t>2017.</w:t>
      </w:r>
    </w:p>
    <w:p>
      <w:pPr>
        <w:pStyle w:val="ListParagraph"/>
        <w:numPr>
          <w:ilvl w:val="0"/>
          <w:numId w:val="40"/>
        </w:numPr>
        <w:tabs>
          <w:tab w:pos="2380" w:val="left" w:leader="none"/>
          <w:tab w:pos="2382" w:val="left" w:leader="none"/>
        </w:tabs>
        <w:spacing w:line="240" w:lineRule="auto" w:before="6" w:after="0"/>
        <w:ind w:left="2381" w:right="0" w:hanging="794"/>
        <w:jc w:val="left"/>
        <w:rPr>
          <w:sz w:val="13"/>
        </w:rPr>
      </w:pPr>
      <w:r>
        <w:rPr>
          <w:w w:val="105"/>
          <w:sz w:val="13"/>
        </w:rPr>
        <w:t>Law</w:t>
      </w:r>
      <w:r>
        <w:rPr>
          <w:spacing w:val="5"/>
          <w:w w:val="105"/>
          <w:sz w:val="13"/>
        </w:rPr>
        <w:t> </w:t>
      </w:r>
      <w:r>
        <w:rPr>
          <w:w w:val="105"/>
          <w:sz w:val="13"/>
        </w:rPr>
        <w:t>Reform</w:t>
      </w:r>
      <w:r>
        <w:rPr>
          <w:spacing w:val="5"/>
          <w:w w:val="105"/>
          <w:sz w:val="13"/>
        </w:rPr>
        <w:t> </w:t>
      </w:r>
      <w:r>
        <w:rPr>
          <w:w w:val="105"/>
          <w:sz w:val="13"/>
        </w:rPr>
        <w:t>Committee,</w:t>
      </w:r>
      <w:r>
        <w:rPr>
          <w:spacing w:val="5"/>
          <w:w w:val="105"/>
          <w:sz w:val="13"/>
        </w:rPr>
        <w:t> </w:t>
      </w:r>
      <w:r>
        <w:rPr>
          <w:w w:val="105"/>
          <w:sz w:val="13"/>
        </w:rPr>
        <w:t>Parliament</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Review</w:t>
      </w:r>
      <w:r>
        <w:rPr>
          <w:i/>
          <w:spacing w:val="5"/>
          <w:w w:val="105"/>
          <w:sz w:val="13"/>
        </w:rPr>
        <w:t> </w:t>
      </w:r>
      <w:r>
        <w:rPr>
          <w:i/>
          <w:w w:val="105"/>
          <w:sz w:val="13"/>
        </w:rPr>
        <w:t>of</w:t>
      </w:r>
      <w:r>
        <w:rPr>
          <w:i/>
          <w:spacing w:val="5"/>
          <w:w w:val="105"/>
          <w:sz w:val="13"/>
        </w:rPr>
        <w:t> </w:t>
      </w:r>
      <w:r>
        <w:rPr>
          <w:i/>
          <w:w w:val="105"/>
          <w:sz w:val="13"/>
        </w:rPr>
        <w:t>the</w:t>
      </w:r>
      <w:r>
        <w:rPr>
          <w:i/>
          <w:spacing w:val="5"/>
          <w:w w:val="105"/>
          <w:sz w:val="13"/>
        </w:rPr>
        <w:t> </w:t>
      </w:r>
      <w:r>
        <w:rPr>
          <w:i/>
          <w:w w:val="105"/>
          <w:sz w:val="13"/>
        </w:rPr>
        <w:t>Fences</w:t>
      </w:r>
      <w:r>
        <w:rPr>
          <w:i/>
          <w:spacing w:val="5"/>
          <w:w w:val="105"/>
          <w:sz w:val="13"/>
        </w:rPr>
        <w:t> </w:t>
      </w:r>
      <w:r>
        <w:rPr>
          <w:i/>
          <w:w w:val="105"/>
          <w:sz w:val="13"/>
        </w:rPr>
        <w:t>Act</w:t>
      </w:r>
      <w:r>
        <w:rPr>
          <w:i/>
          <w:spacing w:val="5"/>
          <w:w w:val="105"/>
          <w:sz w:val="13"/>
        </w:rPr>
        <w:t> </w:t>
      </w:r>
      <w:r>
        <w:rPr>
          <w:i/>
          <w:w w:val="105"/>
          <w:sz w:val="13"/>
        </w:rPr>
        <w:t>1968</w:t>
      </w:r>
      <w:r>
        <w:rPr>
          <w:i/>
          <w:spacing w:val="5"/>
          <w:w w:val="105"/>
          <w:sz w:val="13"/>
        </w:rPr>
        <w:t> </w:t>
      </w:r>
      <w:r>
        <w:rPr>
          <w:spacing w:val="2"/>
          <w:w w:val="105"/>
          <w:sz w:val="13"/>
        </w:rPr>
        <w:t>(Report,</w:t>
      </w:r>
      <w:r>
        <w:rPr>
          <w:spacing w:val="5"/>
          <w:w w:val="105"/>
          <w:sz w:val="13"/>
        </w:rPr>
        <w:t> </w:t>
      </w:r>
      <w:r>
        <w:rPr>
          <w:w w:val="105"/>
          <w:sz w:val="13"/>
        </w:rPr>
        <w:t>1998)</w:t>
      </w:r>
      <w:r>
        <w:rPr>
          <w:spacing w:val="6"/>
          <w:w w:val="105"/>
          <w:sz w:val="13"/>
        </w:rPr>
        <w:t> </w:t>
      </w:r>
      <w:r>
        <w:rPr>
          <w:spacing w:val="-3"/>
          <w:w w:val="105"/>
          <w:sz w:val="13"/>
        </w:rPr>
        <w:t>[2.17]</w:t>
      </w:r>
      <w:r>
        <w:rPr>
          <w:spacing w:val="-19"/>
          <w:w w:val="105"/>
          <w:sz w:val="13"/>
        </w:rPr>
        <w:t> </w:t>
      </w:r>
      <w:r>
        <w:rPr>
          <w:spacing w:val="3"/>
          <w:w w:val="105"/>
          <w:sz w:val="13"/>
        </w:rPr>
        <w:t>–[2.20].</w:t>
      </w:r>
    </w:p>
    <w:p>
      <w:pPr>
        <w:pStyle w:val="ListParagraph"/>
        <w:numPr>
          <w:ilvl w:val="0"/>
          <w:numId w:val="40"/>
        </w:numPr>
        <w:tabs>
          <w:tab w:pos="2381" w:val="left" w:leader="none"/>
          <w:tab w:pos="2382" w:val="left" w:leader="none"/>
        </w:tabs>
        <w:spacing w:line="240" w:lineRule="auto" w:before="2" w:after="0"/>
        <w:ind w:left="2381" w:right="1683" w:hanging="794"/>
        <w:jc w:val="left"/>
        <w:rPr>
          <w:sz w:val="13"/>
        </w:rPr>
      </w:pPr>
      <w:r>
        <w:rPr>
          <w:sz w:val="13"/>
        </w:rPr>
        <w:t>DSCV considers a  number  of  factors  when  determining  whether  a  matter  is  appropriate  for  mediation.  Considerations  include:  whether both parties genuinely want to resolve  the  dispute;  whether  the  parties  are  able  to  understand  and  participate  in  the  mediation  process; the level of vulnerability of either </w:t>
      </w:r>
      <w:r>
        <w:rPr>
          <w:spacing w:val="2"/>
          <w:sz w:val="13"/>
        </w:rPr>
        <w:t>party </w:t>
      </w:r>
      <w:r>
        <w:rPr>
          <w:sz w:val="13"/>
        </w:rPr>
        <w:t>(eg, mental health issues); whether either </w:t>
      </w:r>
      <w:r>
        <w:rPr>
          <w:spacing w:val="2"/>
          <w:sz w:val="13"/>
        </w:rPr>
        <w:t>party </w:t>
      </w:r>
      <w:r>
        <w:rPr>
          <w:sz w:val="13"/>
        </w:rPr>
        <w:t>has expressed fear of the other party, or has been     harmed or threatened with violence by the other </w:t>
      </w:r>
      <w:r>
        <w:rPr>
          <w:spacing w:val="2"/>
          <w:sz w:val="13"/>
        </w:rPr>
        <w:t>party; </w:t>
      </w:r>
      <w:r>
        <w:rPr>
          <w:sz w:val="13"/>
        </w:rPr>
        <w:t>any previous failed attempts at mediation; whether the issue is substantial enough              to mediate: Dispute Settlement Centre of Victoria, </w:t>
      </w:r>
      <w:r>
        <w:rPr>
          <w:i/>
          <w:sz w:val="13"/>
        </w:rPr>
        <w:t>Mediation </w:t>
      </w:r>
      <w:r>
        <w:rPr>
          <w:sz w:val="13"/>
        </w:rPr>
        <w:t>(Web Page,  3  June  2019)  &lt;https://</w:t>
      </w:r>
      <w:hyperlink r:id="rId81">
        <w:r>
          <w:rPr>
            <w:sz w:val="13"/>
          </w:rPr>
          <w:t>www.disputes.vic.gov.au/about-us/</w:t>
        </w:r>
      </w:hyperlink>
      <w:r>
        <w:rPr>
          <w:sz w:val="13"/>
        </w:rPr>
        <w:t> </w:t>
      </w:r>
      <w:r>
        <w:rPr>
          <w:spacing w:val="2"/>
          <w:sz w:val="13"/>
        </w:rPr>
        <w:t>mediation-0&gt;.</w:t>
      </w:r>
    </w:p>
    <w:p>
      <w:pPr>
        <w:pStyle w:val="ListParagraph"/>
        <w:numPr>
          <w:ilvl w:val="0"/>
          <w:numId w:val="40"/>
        </w:numPr>
        <w:tabs>
          <w:tab w:pos="2381" w:val="left" w:leader="none"/>
          <w:tab w:pos="2382" w:val="left" w:leader="none"/>
        </w:tabs>
        <w:spacing w:line="240" w:lineRule="auto" w:before="8" w:after="0"/>
        <w:ind w:left="1587" w:right="2868" w:firstLine="0"/>
        <w:jc w:val="left"/>
        <w:rPr>
          <w:sz w:val="13"/>
        </w:rPr>
      </w:pPr>
      <w:r>
        <w:rPr/>
        <w:pict>
          <v:shape style="position:absolute;margin-left:548.990479pt;margin-top:11.344167pt;width:13.1pt;height:14.25pt;mso-position-horizontal-relative:page;mso-position-vertical-relative:paragraph;z-index:4504" type="#_x0000_t202" filled="false" stroked="false">
            <v:textbox inset="0,0,0,0">
              <w:txbxContent>
                <w:p>
                  <w:pPr>
                    <w:spacing w:line="284" w:lineRule="exact" w:before="0"/>
                    <w:ind w:left="0" w:right="0" w:firstLine="0"/>
                    <w:jc w:val="left"/>
                    <w:rPr>
                      <w:b/>
                      <w:sz w:val="24"/>
                    </w:rPr>
                  </w:pPr>
                  <w:r>
                    <w:rPr>
                      <w:b/>
                      <w:color w:val="658464"/>
                      <w:spacing w:val="-3"/>
                      <w:w w:val="110"/>
                      <w:sz w:val="24"/>
                    </w:rPr>
                    <w:t>57</w:t>
                  </w:r>
                </w:p>
              </w:txbxContent>
            </v:textbox>
            <w10:wrap type="none"/>
          </v:shape>
        </w:pict>
      </w:r>
      <w:r>
        <w:rPr>
          <w:w w:val="105"/>
          <w:sz w:val="13"/>
        </w:rPr>
        <w:t>Tasmania Law Reform Institute, </w:t>
      </w:r>
      <w:r>
        <w:rPr>
          <w:i/>
          <w:w w:val="105"/>
          <w:sz w:val="13"/>
        </w:rPr>
        <w:t>Problem Trees and Hedge: Access to Sunlight and Views </w:t>
      </w:r>
      <w:r>
        <w:rPr>
          <w:spacing w:val="2"/>
          <w:w w:val="105"/>
          <w:sz w:val="13"/>
        </w:rPr>
        <w:t>(Report </w:t>
      </w:r>
      <w:r>
        <w:rPr>
          <w:w w:val="105"/>
          <w:sz w:val="13"/>
        </w:rPr>
        <w:t>No </w:t>
      </w:r>
      <w:r>
        <w:rPr>
          <w:spacing w:val="-4"/>
          <w:w w:val="105"/>
          <w:sz w:val="13"/>
        </w:rPr>
        <w:t>21, </w:t>
      </w:r>
      <w:r>
        <w:rPr>
          <w:w w:val="105"/>
          <w:sz w:val="13"/>
        </w:rPr>
        <w:t>2016) [5.3.1].</w:t>
      </w:r>
      <w:r>
        <w:rPr>
          <w:spacing w:val="30"/>
          <w:w w:val="105"/>
          <w:sz w:val="13"/>
        </w:rPr>
        <w:t> </w:t>
      </w:r>
      <w:r>
        <w:rPr>
          <w:w w:val="105"/>
          <w:sz w:val="13"/>
        </w:rPr>
        <w:t>49</w:t>
        <w:tab/>
        <w:t>Ibid</w:t>
      </w:r>
      <w:r>
        <w:rPr>
          <w:spacing w:val="4"/>
          <w:w w:val="105"/>
          <w:sz w:val="13"/>
        </w:rPr>
        <w:t> </w:t>
      </w:r>
      <w:r>
        <w:rPr>
          <w:spacing w:val="2"/>
          <w:w w:val="105"/>
          <w:sz w:val="13"/>
        </w:rPr>
        <w:t>[5.3.8].</w:t>
      </w:r>
    </w:p>
    <w:p>
      <w:pPr>
        <w:pStyle w:val="ListParagraph"/>
        <w:numPr>
          <w:ilvl w:val="0"/>
          <w:numId w:val="41"/>
        </w:numPr>
        <w:tabs>
          <w:tab w:pos="2381" w:val="left" w:leader="none"/>
          <w:tab w:pos="2382" w:val="left" w:leader="none"/>
        </w:tabs>
        <w:spacing w:line="240" w:lineRule="auto" w:before="2" w:after="0"/>
        <w:ind w:left="2381" w:right="0" w:hanging="794"/>
        <w:jc w:val="left"/>
        <w:rPr>
          <w:sz w:val="13"/>
        </w:rPr>
      </w:pPr>
      <w:r>
        <w:rPr>
          <w:w w:val="105"/>
          <w:sz w:val="13"/>
        </w:rPr>
        <w:t>Ibid 35, Recommendation</w:t>
      </w:r>
      <w:r>
        <w:rPr>
          <w:spacing w:val="13"/>
          <w:w w:val="105"/>
          <w:sz w:val="13"/>
        </w:rPr>
        <w:t> </w:t>
      </w:r>
      <w:r>
        <w:rPr>
          <w:w w:val="105"/>
          <w:sz w:val="13"/>
        </w:rPr>
        <w:t>3.</w:t>
      </w:r>
    </w:p>
    <w:p>
      <w:pPr>
        <w:spacing w:after="0" w:line="240" w:lineRule="auto"/>
        <w:jc w:val="left"/>
        <w:rPr>
          <w:sz w:val="13"/>
        </w:rPr>
        <w:sectPr>
          <w:pgSz w:w="11910" w:h="16840"/>
          <w:pgMar w:header="808" w:footer="0" w:top="1360" w:bottom="280" w:left="0" w:right="0"/>
        </w:sectPr>
      </w:pPr>
    </w:p>
    <w:p>
      <w:pPr>
        <w:pStyle w:val="BodyText"/>
        <w:spacing w:before="11"/>
      </w:pPr>
    </w:p>
    <w:p>
      <w:pPr>
        <w:pStyle w:val="Heading5"/>
        <w:spacing w:before="96"/>
      </w:pPr>
      <w:bookmarkStart w:name="_bookmark40" w:id="101"/>
      <w:bookmarkEnd w:id="101"/>
      <w:r>
        <w:rPr>
          <w:b w:val="0"/>
        </w:rPr>
      </w:r>
      <w:r>
        <w:rPr>
          <w:w w:val="115"/>
        </w:rPr>
        <w:t>The limitations of going to court</w:t>
      </w:r>
    </w:p>
    <w:p>
      <w:pPr>
        <w:pStyle w:val="ListParagraph"/>
        <w:numPr>
          <w:ilvl w:val="1"/>
          <w:numId w:val="16"/>
        </w:numPr>
        <w:tabs>
          <w:tab w:pos="2381" w:val="left" w:leader="none"/>
          <w:tab w:pos="2382" w:val="left" w:leader="none"/>
        </w:tabs>
        <w:spacing w:line="242" w:lineRule="auto" w:before="137" w:after="0"/>
        <w:ind w:left="2381" w:right="1772" w:hanging="794"/>
        <w:jc w:val="left"/>
        <w:rPr>
          <w:sz w:val="21"/>
        </w:rPr>
      </w:pPr>
      <w:r>
        <w:rPr>
          <w:sz w:val="21"/>
        </w:rPr>
        <w:t>High costs mean </w:t>
      </w:r>
      <w:r>
        <w:rPr>
          <w:spacing w:val="-3"/>
          <w:sz w:val="21"/>
        </w:rPr>
        <w:t>that many </w:t>
      </w:r>
      <w:r>
        <w:rPr>
          <w:sz w:val="21"/>
        </w:rPr>
        <w:t>people do </w:t>
      </w:r>
      <w:r>
        <w:rPr>
          <w:spacing w:val="-2"/>
          <w:sz w:val="21"/>
        </w:rPr>
        <w:t>not </w:t>
      </w:r>
      <w:r>
        <w:rPr>
          <w:spacing w:val="-3"/>
          <w:sz w:val="21"/>
        </w:rPr>
        <w:t>take </w:t>
      </w:r>
      <w:r>
        <w:rPr>
          <w:sz w:val="21"/>
        </w:rPr>
        <w:t>matters </w:t>
      </w:r>
      <w:r>
        <w:rPr>
          <w:spacing w:val="-3"/>
          <w:sz w:val="21"/>
        </w:rPr>
        <w:t>to </w:t>
      </w:r>
      <w:r>
        <w:rPr>
          <w:sz w:val="21"/>
        </w:rPr>
        <w:t>court. </w:t>
      </w:r>
      <w:r>
        <w:rPr>
          <w:spacing w:val="-3"/>
          <w:sz w:val="21"/>
        </w:rPr>
        <w:t>Even  </w:t>
      </w:r>
      <w:r>
        <w:rPr>
          <w:sz w:val="21"/>
        </w:rPr>
        <w:t>if  neighbours choose </w:t>
      </w:r>
      <w:r>
        <w:rPr>
          <w:spacing w:val="-3"/>
          <w:sz w:val="21"/>
        </w:rPr>
        <w:t>to </w:t>
      </w:r>
      <w:r>
        <w:rPr>
          <w:sz w:val="21"/>
        </w:rPr>
        <w:t>pursue legal action, the </w:t>
      </w:r>
      <w:r>
        <w:rPr>
          <w:spacing w:val="-3"/>
          <w:sz w:val="21"/>
        </w:rPr>
        <w:t>outcomes </w:t>
      </w:r>
      <w:r>
        <w:rPr>
          <w:sz w:val="21"/>
        </w:rPr>
        <w:t>can be difficult  </w:t>
      </w:r>
      <w:r>
        <w:rPr>
          <w:spacing w:val="-3"/>
          <w:sz w:val="21"/>
        </w:rPr>
        <w:t>to  </w:t>
      </w:r>
      <w:r>
        <w:rPr>
          <w:sz w:val="21"/>
        </w:rPr>
        <w:t>predict.  </w:t>
      </w:r>
      <w:r>
        <w:rPr>
          <w:spacing w:val="-3"/>
          <w:sz w:val="21"/>
        </w:rPr>
        <w:t>Common  </w:t>
      </w:r>
      <w:r>
        <w:rPr>
          <w:sz w:val="21"/>
        </w:rPr>
        <w:t>law rules in </w:t>
      </w:r>
      <w:r>
        <w:rPr>
          <w:spacing w:val="-3"/>
          <w:sz w:val="21"/>
        </w:rPr>
        <w:t>nuisance, negligence </w:t>
      </w:r>
      <w:r>
        <w:rPr>
          <w:sz w:val="21"/>
        </w:rPr>
        <w:t>and trespass </w:t>
      </w:r>
      <w:r>
        <w:rPr>
          <w:spacing w:val="-3"/>
          <w:sz w:val="21"/>
        </w:rPr>
        <w:t>are </w:t>
      </w:r>
      <w:r>
        <w:rPr>
          <w:sz w:val="21"/>
        </w:rPr>
        <w:t>often complex and it is difficult </w:t>
      </w:r>
      <w:r>
        <w:rPr>
          <w:spacing w:val="-3"/>
          <w:sz w:val="21"/>
        </w:rPr>
        <w:t>to </w:t>
      </w:r>
      <w:r>
        <w:rPr>
          <w:sz w:val="21"/>
        </w:rPr>
        <w:t>identify </w:t>
      </w:r>
      <w:r>
        <w:rPr>
          <w:spacing w:val="-3"/>
          <w:sz w:val="21"/>
        </w:rPr>
        <w:t>clear </w:t>
      </w:r>
      <w:r>
        <w:rPr>
          <w:sz w:val="21"/>
        </w:rPr>
        <w:t>statements of rights and </w:t>
      </w:r>
      <w:r>
        <w:rPr>
          <w:spacing w:val="-3"/>
          <w:sz w:val="21"/>
        </w:rPr>
        <w:t>responsibilities for </w:t>
      </w:r>
      <w:r>
        <w:rPr>
          <w:sz w:val="21"/>
        </w:rPr>
        <w:t>tree owners and affected neighbours.  The torts and their remedies do </w:t>
      </w:r>
      <w:r>
        <w:rPr>
          <w:spacing w:val="-2"/>
          <w:sz w:val="21"/>
        </w:rPr>
        <w:t>not </w:t>
      </w:r>
      <w:r>
        <w:rPr>
          <w:sz w:val="21"/>
        </w:rPr>
        <w:t>address </w:t>
      </w:r>
      <w:r>
        <w:rPr>
          <w:spacing w:val="-3"/>
          <w:sz w:val="21"/>
        </w:rPr>
        <w:t>all </w:t>
      </w:r>
      <w:r>
        <w:rPr>
          <w:sz w:val="21"/>
        </w:rPr>
        <w:t>the </w:t>
      </w:r>
      <w:r>
        <w:rPr>
          <w:spacing w:val="-3"/>
          <w:sz w:val="21"/>
        </w:rPr>
        <w:t>unique circumstances </w:t>
      </w:r>
      <w:r>
        <w:rPr>
          <w:sz w:val="21"/>
        </w:rPr>
        <w:t>and issues </w:t>
      </w:r>
      <w:r>
        <w:rPr>
          <w:spacing w:val="-3"/>
          <w:sz w:val="21"/>
        </w:rPr>
        <w:t>involved </w:t>
      </w:r>
      <w:r>
        <w:rPr>
          <w:sz w:val="21"/>
        </w:rPr>
        <w:t>in tree </w:t>
      </w:r>
      <w:r>
        <w:rPr>
          <w:spacing w:val="-3"/>
          <w:sz w:val="21"/>
        </w:rPr>
        <w:t>disputes, </w:t>
      </w:r>
      <w:r>
        <w:rPr>
          <w:sz w:val="21"/>
        </w:rPr>
        <w:t>and the wider benefits and importance of trees do </w:t>
      </w:r>
      <w:r>
        <w:rPr>
          <w:spacing w:val="-2"/>
          <w:sz w:val="21"/>
        </w:rPr>
        <w:t>not </w:t>
      </w:r>
      <w:r>
        <w:rPr>
          <w:spacing w:val="-3"/>
          <w:sz w:val="21"/>
        </w:rPr>
        <w:t>have  to  </w:t>
      </w:r>
      <w:r>
        <w:rPr>
          <w:sz w:val="21"/>
        </w:rPr>
        <w:t>be</w:t>
      </w:r>
      <w:r>
        <w:rPr>
          <w:spacing w:val="9"/>
          <w:sz w:val="21"/>
        </w:rPr>
        <w:t> </w:t>
      </w:r>
      <w:r>
        <w:rPr>
          <w:spacing w:val="-3"/>
          <w:sz w:val="21"/>
        </w:rPr>
        <w:t>considered.</w:t>
      </w:r>
      <w:r>
        <w:rPr>
          <w:spacing w:val="10"/>
          <w:sz w:val="21"/>
        </w:rPr>
        <w:t> </w:t>
      </w:r>
      <w:r>
        <w:rPr>
          <w:sz w:val="21"/>
        </w:rPr>
        <w:t>It</w:t>
      </w:r>
      <w:r>
        <w:rPr>
          <w:spacing w:val="10"/>
          <w:sz w:val="21"/>
        </w:rPr>
        <w:t> </w:t>
      </w:r>
      <w:r>
        <w:rPr>
          <w:sz w:val="21"/>
        </w:rPr>
        <w:t>is</w:t>
      </w:r>
      <w:r>
        <w:rPr>
          <w:spacing w:val="10"/>
          <w:sz w:val="21"/>
        </w:rPr>
        <w:t> </w:t>
      </w:r>
      <w:r>
        <w:rPr>
          <w:sz w:val="21"/>
        </w:rPr>
        <w:t>also</w:t>
      </w:r>
      <w:r>
        <w:rPr>
          <w:spacing w:val="10"/>
          <w:sz w:val="21"/>
        </w:rPr>
        <w:t> </w:t>
      </w:r>
      <w:r>
        <w:rPr>
          <w:sz w:val="21"/>
        </w:rPr>
        <w:t>difficult</w:t>
      </w:r>
      <w:r>
        <w:rPr>
          <w:spacing w:val="10"/>
          <w:sz w:val="21"/>
        </w:rPr>
        <w:t> </w:t>
      </w:r>
      <w:r>
        <w:rPr>
          <w:spacing w:val="-3"/>
          <w:sz w:val="21"/>
        </w:rPr>
        <w:t>to</w:t>
      </w:r>
      <w:r>
        <w:rPr>
          <w:spacing w:val="10"/>
          <w:sz w:val="21"/>
        </w:rPr>
        <w:t> </w:t>
      </w:r>
      <w:r>
        <w:rPr>
          <w:sz w:val="21"/>
        </w:rPr>
        <w:t>obtain</w:t>
      </w:r>
      <w:r>
        <w:rPr>
          <w:spacing w:val="9"/>
          <w:sz w:val="21"/>
        </w:rPr>
        <w:t> </w:t>
      </w:r>
      <w:r>
        <w:rPr>
          <w:sz w:val="21"/>
        </w:rPr>
        <w:t>a</w:t>
      </w:r>
      <w:r>
        <w:rPr>
          <w:spacing w:val="10"/>
          <w:sz w:val="21"/>
        </w:rPr>
        <w:t> </w:t>
      </w:r>
      <w:r>
        <w:rPr>
          <w:sz w:val="21"/>
        </w:rPr>
        <w:t>pre-emptive</w:t>
      </w:r>
      <w:r>
        <w:rPr>
          <w:spacing w:val="10"/>
          <w:sz w:val="21"/>
        </w:rPr>
        <w:t> </w:t>
      </w:r>
      <w:r>
        <w:rPr>
          <w:spacing w:val="-3"/>
          <w:sz w:val="21"/>
        </w:rPr>
        <w:t>remedy.</w:t>
      </w:r>
    </w:p>
    <w:p>
      <w:pPr>
        <w:pStyle w:val="ListParagraph"/>
        <w:numPr>
          <w:ilvl w:val="1"/>
          <w:numId w:val="16"/>
        </w:numPr>
        <w:tabs>
          <w:tab w:pos="2381" w:val="left" w:leader="none"/>
          <w:tab w:pos="2382" w:val="left" w:leader="none"/>
        </w:tabs>
        <w:spacing w:line="242" w:lineRule="auto" w:before="128" w:after="0"/>
        <w:ind w:left="2381" w:right="2267" w:hanging="794"/>
        <w:jc w:val="left"/>
        <w:rPr>
          <w:sz w:val="21"/>
        </w:rPr>
      </w:pPr>
      <w:r>
        <w:rPr>
          <w:w w:val="105"/>
          <w:sz w:val="21"/>
        </w:rPr>
        <w:t>The </w:t>
      </w:r>
      <w:r>
        <w:rPr>
          <w:spacing w:val="-3"/>
          <w:w w:val="105"/>
          <w:sz w:val="21"/>
        </w:rPr>
        <w:t>Commission </w:t>
      </w:r>
      <w:r>
        <w:rPr>
          <w:w w:val="105"/>
          <w:sz w:val="21"/>
        </w:rPr>
        <w:t>agrees </w:t>
      </w:r>
      <w:r>
        <w:rPr>
          <w:spacing w:val="-3"/>
          <w:w w:val="105"/>
          <w:sz w:val="21"/>
        </w:rPr>
        <w:t>generally </w:t>
      </w:r>
      <w:r>
        <w:rPr>
          <w:w w:val="105"/>
          <w:sz w:val="21"/>
        </w:rPr>
        <w:t>with the comments in interstate reviews on the complexity and </w:t>
      </w:r>
      <w:r>
        <w:rPr>
          <w:spacing w:val="-3"/>
          <w:w w:val="105"/>
          <w:sz w:val="21"/>
        </w:rPr>
        <w:t>limitations </w:t>
      </w:r>
      <w:r>
        <w:rPr>
          <w:w w:val="105"/>
          <w:sz w:val="21"/>
        </w:rPr>
        <w:t>of the </w:t>
      </w:r>
      <w:r>
        <w:rPr>
          <w:spacing w:val="-2"/>
          <w:w w:val="105"/>
          <w:sz w:val="21"/>
        </w:rPr>
        <w:t>common </w:t>
      </w:r>
      <w:r>
        <w:rPr>
          <w:spacing w:val="-5"/>
          <w:w w:val="105"/>
          <w:sz w:val="21"/>
        </w:rPr>
        <w:t>law. </w:t>
      </w:r>
      <w:r>
        <w:rPr>
          <w:w w:val="105"/>
          <w:sz w:val="21"/>
        </w:rPr>
        <w:t>The New South </w:t>
      </w:r>
      <w:r>
        <w:rPr>
          <w:spacing w:val="-3"/>
          <w:w w:val="105"/>
          <w:sz w:val="21"/>
        </w:rPr>
        <w:t>Wales </w:t>
      </w:r>
      <w:r>
        <w:rPr>
          <w:w w:val="105"/>
          <w:sz w:val="21"/>
        </w:rPr>
        <w:t>Law </w:t>
      </w:r>
      <w:r>
        <w:rPr>
          <w:spacing w:val="-3"/>
          <w:w w:val="105"/>
          <w:sz w:val="21"/>
        </w:rPr>
        <w:t>Reform </w:t>
      </w:r>
      <w:r>
        <w:rPr>
          <w:spacing w:val="-4"/>
          <w:w w:val="105"/>
          <w:sz w:val="21"/>
        </w:rPr>
        <w:t>Commission’s 1998 review, </w:t>
      </w:r>
      <w:r>
        <w:rPr>
          <w:i/>
          <w:w w:val="105"/>
          <w:sz w:val="21"/>
        </w:rPr>
        <w:t>Neighbour and Neighbour </w:t>
      </w:r>
      <w:r>
        <w:rPr>
          <w:i/>
          <w:spacing w:val="-3"/>
          <w:w w:val="105"/>
          <w:sz w:val="21"/>
        </w:rPr>
        <w:t>Relations </w:t>
      </w:r>
      <w:r>
        <w:rPr>
          <w:spacing w:val="-3"/>
          <w:w w:val="105"/>
          <w:sz w:val="21"/>
        </w:rPr>
        <w:t>found</w:t>
      </w:r>
      <w:r>
        <w:rPr>
          <w:w w:val="105"/>
          <w:sz w:val="21"/>
        </w:rPr>
        <w:t> that:</w:t>
      </w:r>
    </w:p>
    <w:p>
      <w:pPr>
        <w:spacing w:line="254" w:lineRule="auto" w:before="133"/>
        <w:ind w:left="2834" w:right="1636" w:firstLine="0"/>
        <w:jc w:val="left"/>
        <w:rPr>
          <w:sz w:val="11"/>
        </w:rPr>
      </w:pPr>
      <w:r>
        <w:rPr>
          <w:sz w:val="20"/>
        </w:rPr>
        <w:t>The law of nuisance is only </w:t>
      </w:r>
      <w:r>
        <w:rPr>
          <w:spacing w:val="-3"/>
          <w:sz w:val="20"/>
        </w:rPr>
        <w:t>likely  </w:t>
      </w:r>
      <w:r>
        <w:rPr>
          <w:sz w:val="20"/>
        </w:rPr>
        <w:t>to provide a remedy where a tree actually causes   physical </w:t>
      </w:r>
      <w:r>
        <w:rPr>
          <w:spacing w:val="-3"/>
          <w:sz w:val="20"/>
        </w:rPr>
        <w:t>damage. Common </w:t>
      </w:r>
      <w:r>
        <w:rPr>
          <w:sz w:val="20"/>
        </w:rPr>
        <w:t>law nuisance rights in relation to the less tangible impact of trees on the enjoyment of property are so unclear and uncertain that </w:t>
      </w:r>
      <w:r>
        <w:rPr>
          <w:spacing w:val="-2"/>
          <w:sz w:val="20"/>
        </w:rPr>
        <w:t>few  </w:t>
      </w:r>
      <w:r>
        <w:rPr>
          <w:sz w:val="20"/>
        </w:rPr>
        <w:t>people are   </w:t>
      </w:r>
      <w:r>
        <w:rPr>
          <w:spacing w:val="-3"/>
          <w:sz w:val="20"/>
        </w:rPr>
        <w:t>likely </w:t>
      </w:r>
      <w:r>
        <w:rPr>
          <w:sz w:val="20"/>
        </w:rPr>
        <w:t>to pursue them in a court. People are also </w:t>
      </w:r>
      <w:r>
        <w:rPr>
          <w:spacing w:val="-3"/>
          <w:sz w:val="20"/>
        </w:rPr>
        <w:t>unlikely </w:t>
      </w:r>
      <w:r>
        <w:rPr>
          <w:sz w:val="20"/>
        </w:rPr>
        <w:t>to be able to resolve a dispute between themselves on the basis of such laws </w:t>
      </w:r>
      <w:r>
        <w:rPr>
          <w:spacing w:val="-6"/>
          <w:sz w:val="20"/>
        </w:rPr>
        <w:t>... </w:t>
      </w:r>
      <w:r>
        <w:rPr>
          <w:sz w:val="20"/>
        </w:rPr>
        <w:t>The common law of nuisance is of very little use to a neighbour trying to </w:t>
      </w:r>
      <w:r>
        <w:rPr>
          <w:spacing w:val="-3"/>
          <w:sz w:val="20"/>
        </w:rPr>
        <w:t>prevent  </w:t>
      </w:r>
      <w:r>
        <w:rPr>
          <w:sz w:val="20"/>
        </w:rPr>
        <w:t>a tree from causing </w:t>
      </w:r>
      <w:r>
        <w:rPr>
          <w:spacing w:val="-3"/>
          <w:sz w:val="20"/>
        </w:rPr>
        <w:t>damage.</w:t>
      </w:r>
      <w:r>
        <w:rPr>
          <w:spacing w:val="39"/>
          <w:sz w:val="20"/>
        </w:rPr>
        <w:t> </w:t>
      </w:r>
      <w:r>
        <w:rPr>
          <w:sz w:val="20"/>
        </w:rPr>
        <w:t>This means that      a minor dispute that </w:t>
      </w:r>
      <w:r>
        <w:rPr>
          <w:spacing w:val="-3"/>
          <w:sz w:val="20"/>
        </w:rPr>
        <w:t>could </w:t>
      </w:r>
      <w:r>
        <w:rPr>
          <w:sz w:val="20"/>
        </w:rPr>
        <w:t>be resolved by the inexpensive removal of a </w:t>
      </w:r>
      <w:r>
        <w:rPr>
          <w:spacing w:val="-3"/>
          <w:sz w:val="20"/>
        </w:rPr>
        <w:t>small </w:t>
      </w:r>
      <w:r>
        <w:rPr>
          <w:sz w:val="20"/>
        </w:rPr>
        <w:t>tree is </w:t>
      </w:r>
      <w:r>
        <w:rPr>
          <w:spacing w:val="-3"/>
          <w:sz w:val="20"/>
        </w:rPr>
        <w:t>likely  </w:t>
      </w:r>
      <w:r>
        <w:rPr>
          <w:sz w:val="20"/>
        </w:rPr>
        <w:t>to become a major dispute in which property damage has occurred and will </w:t>
      </w:r>
      <w:r>
        <w:rPr>
          <w:spacing w:val="-3"/>
          <w:sz w:val="20"/>
        </w:rPr>
        <w:t>continue </w:t>
      </w:r>
      <w:r>
        <w:rPr>
          <w:sz w:val="20"/>
        </w:rPr>
        <w:t>to occur</w:t>
      </w:r>
      <w:r>
        <w:rPr>
          <w:spacing w:val="14"/>
          <w:sz w:val="20"/>
        </w:rPr>
        <w:t> </w:t>
      </w:r>
      <w:r>
        <w:rPr>
          <w:sz w:val="20"/>
        </w:rPr>
        <w:t>unless</w:t>
      </w:r>
      <w:r>
        <w:rPr>
          <w:spacing w:val="14"/>
          <w:sz w:val="20"/>
        </w:rPr>
        <w:t> </w:t>
      </w:r>
      <w:r>
        <w:rPr>
          <w:sz w:val="20"/>
        </w:rPr>
        <w:t>huge</w:t>
      </w:r>
      <w:r>
        <w:rPr>
          <w:spacing w:val="14"/>
          <w:sz w:val="20"/>
        </w:rPr>
        <w:t> </w:t>
      </w:r>
      <w:r>
        <w:rPr>
          <w:sz w:val="20"/>
        </w:rPr>
        <w:t>amounts</w:t>
      </w:r>
      <w:r>
        <w:rPr>
          <w:spacing w:val="14"/>
          <w:sz w:val="20"/>
        </w:rPr>
        <w:t> </w:t>
      </w:r>
      <w:r>
        <w:rPr>
          <w:sz w:val="20"/>
        </w:rPr>
        <w:t>are</w:t>
      </w:r>
      <w:r>
        <w:rPr>
          <w:spacing w:val="14"/>
          <w:sz w:val="20"/>
        </w:rPr>
        <w:t> </w:t>
      </w:r>
      <w:r>
        <w:rPr>
          <w:sz w:val="20"/>
        </w:rPr>
        <w:t>spent</w:t>
      </w:r>
      <w:r>
        <w:rPr>
          <w:spacing w:val="14"/>
          <w:sz w:val="20"/>
        </w:rPr>
        <w:t> </w:t>
      </w:r>
      <w:r>
        <w:rPr>
          <w:sz w:val="20"/>
        </w:rPr>
        <w:t>to</w:t>
      </w:r>
      <w:r>
        <w:rPr>
          <w:spacing w:val="14"/>
          <w:sz w:val="20"/>
        </w:rPr>
        <w:t> </w:t>
      </w:r>
      <w:r>
        <w:rPr>
          <w:sz w:val="20"/>
        </w:rPr>
        <w:t>remove</w:t>
      </w:r>
      <w:r>
        <w:rPr>
          <w:spacing w:val="14"/>
          <w:sz w:val="20"/>
        </w:rPr>
        <w:t> </w:t>
      </w:r>
      <w:r>
        <w:rPr>
          <w:sz w:val="20"/>
        </w:rPr>
        <w:t>what</w:t>
      </w:r>
      <w:r>
        <w:rPr>
          <w:spacing w:val="14"/>
          <w:sz w:val="20"/>
        </w:rPr>
        <w:t> </w:t>
      </w:r>
      <w:r>
        <w:rPr>
          <w:sz w:val="20"/>
        </w:rPr>
        <w:t>has</w:t>
      </w:r>
      <w:r>
        <w:rPr>
          <w:spacing w:val="14"/>
          <w:sz w:val="20"/>
        </w:rPr>
        <w:t> </w:t>
      </w:r>
      <w:r>
        <w:rPr>
          <w:sz w:val="20"/>
        </w:rPr>
        <w:t>become</w:t>
      </w:r>
      <w:r>
        <w:rPr>
          <w:spacing w:val="14"/>
          <w:sz w:val="20"/>
        </w:rPr>
        <w:t> </w:t>
      </w:r>
      <w:r>
        <w:rPr>
          <w:sz w:val="20"/>
        </w:rPr>
        <w:t>a</w:t>
      </w:r>
      <w:r>
        <w:rPr>
          <w:spacing w:val="15"/>
          <w:sz w:val="20"/>
        </w:rPr>
        <w:t> </w:t>
      </w:r>
      <w:r>
        <w:rPr>
          <w:sz w:val="20"/>
        </w:rPr>
        <w:t>very</w:t>
      </w:r>
      <w:r>
        <w:rPr>
          <w:spacing w:val="14"/>
          <w:sz w:val="20"/>
        </w:rPr>
        <w:t> </w:t>
      </w:r>
      <w:r>
        <w:rPr>
          <w:sz w:val="20"/>
        </w:rPr>
        <w:t>large</w:t>
      </w:r>
      <w:r>
        <w:rPr>
          <w:spacing w:val="14"/>
          <w:sz w:val="20"/>
        </w:rPr>
        <w:t> </w:t>
      </w:r>
      <w:r>
        <w:rPr>
          <w:spacing w:val="-4"/>
          <w:sz w:val="20"/>
        </w:rPr>
        <w:t>tree.</w:t>
      </w:r>
      <w:r>
        <w:rPr>
          <w:spacing w:val="-4"/>
          <w:position w:val="7"/>
          <w:sz w:val="11"/>
        </w:rPr>
        <w:t>51</w:t>
      </w:r>
    </w:p>
    <w:p>
      <w:pPr>
        <w:pStyle w:val="ListParagraph"/>
        <w:numPr>
          <w:ilvl w:val="1"/>
          <w:numId w:val="16"/>
        </w:numPr>
        <w:tabs>
          <w:tab w:pos="2381" w:val="left" w:leader="none"/>
          <w:tab w:pos="2382" w:val="left" w:leader="none"/>
        </w:tabs>
        <w:spacing w:line="242" w:lineRule="auto" w:before="121" w:after="0"/>
        <w:ind w:left="2381" w:right="1845" w:hanging="794"/>
        <w:jc w:val="left"/>
        <w:rPr>
          <w:sz w:val="21"/>
        </w:rPr>
      </w:pPr>
      <w:r>
        <w:rPr>
          <w:w w:val="105"/>
          <w:sz w:val="21"/>
        </w:rPr>
        <w:t>The Explanatory Notes </w:t>
      </w:r>
      <w:r>
        <w:rPr>
          <w:spacing w:val="-3"/>
          <w:w w:val="105"/>
          <w:sz w:val="21"/>
        </w:rPr>
        <w:t>to </w:t>
      </w:r>
      <w:r>
        <w:rPr>
          <w:w w:val="105"/>
          <w:sz w:val="21"/>
        </w:rPr>
        <w:t>the Neighbourhood </w:t>
      </w:r>
      <w:r>
        <w:rPr>
          <w:spacing w:val="-3"/>
          <w:w w:val="105"/>
          <w:sz w:val="21"/>
        </w:rPr>
        <w:t>Disputes </w:t>
      </w:r>
      <w:r>
        <w:rPr>
          <w:w w:val="105"/>
          <w:sz w:val="21"/>
        </w:rPr>
        <w:t>Resolution </w:t>
      </w:r>
      <w:r>
        <w:rPr>
          <w:spacing w:val="-3"/>
          <w:w w:val="105"/>
          <w:sz w:val="21"/>
        </w:rPr>
        <w:t>Bill </w:t>
      </w:r>
      <w:r>
        <w:rPr>
          <w:spacing w:val="-7"/>
          <w:w w:val="105"/>
          <w:sz w:val="21"/>
        </w:rPr>
        <w:t>2010 </w:t>
      </w:r>
      <w:r>
        <w:rPr>
          <w:w w:val="105"/>
          <w:sz w:val="21"/>
        </w:rPr>
        <w:t>(which became the </w:t>
      </w:r>
      <w:r>
        <w:rPr>
          <w:spacing w:val="-3"/>
          <w:w w:val="105"/>
          <w:sz w:val="21"/>
        </w:rPr>
        <w:t>Queensland </w:t>
      </w:r>
      <w:r>
        <w:rPr>
          <w:w w:val="105"/>
          <w:sz w:val="21"/>
        </w:rPr>
        <w:t>Act) explain </w:t>
      </w:r>
      <w:r>
        <w:rPr>
          <w:spacing w:val="-3"/>
          <w:w w:val="105"/>
          <w:sz w:val="21"/>
        </w:rPr>
        <w:t>that </w:t>
      </w:r>
      <w:r>
        <w:rPr>
          <w:w w:val="105"/>
          <w:sz w:val="21"/>
        </w:rPr>
        <w:t>‘the application of the </w:t>
      </w:r>
      <w:r>
        <w:rPr>
          <w:spacing w:val="-2"/>
          <w:w w:val="105"/>
          <w:sz w:val="21"/>
        </w:rPr>
        <w:t>common </w:t>
      </w:r>
      <w:r>
        <w:rPr>
          <w:w w:val="105"/>
          <w:sz w:val="21"/>
        </w:rPr>
        <w:t>law of </w:t>
      </w:r>
      <w:r>
        <w:rPr>
          <w:spacing w:val="-3"/>
          <w:w w:val="105"/>
          <w:sz w:val="21"/>
        </w:rPr>
        <w:t>nuisance</w:t>
      </w:r>
      <w:r>
        <w:rPr>
          <w:spacing w:val="-8"/>
          <w:w w:val="105"/>
          <w:sz w:val="21"/>
        </w:rPr>
        <w:t> </w:t>
      </w:r>
      <w:r>
        <w:rPr>
          <w:spacing w:val="-3"/>
          <w:w w:val="105"/>
          <w:sz w:val="21"/>
        </w:rPr>
        <w:t>to</w:t>
      </w:r>
      <w:r>
        <w:rPr>
          <w:spacing w:val="-7"/>
          <w:w w:val="105"/>
          <w:sz w:val="21"/>
        </w:rPr>
        <w:t> </w:t>
      </w:r>
      <w:r>
        <w:rPr>
          <w:w w:val="105"/>
          <w:sz w:val="21"/>
        </w:rPr>
        <w:t>a</w:t>
      </w:r>
      <w:r>
        <w:rPr>
          <w:spacing w:val="-7"/>
          <w:w w:val="105"/>
          <w:sz w:val="21"/>
        </w:rPr>
        <w:t> </w:t>
      </w:r>
      <w:r>
        <w:rPr>
          <w:w w:val="105"/>
          <w:sz w:val="21"/>
        </w:rPr>
        <w:t>neighbourhood</w:t>
      </w:r>
      <w:r>
        <w:rPr>
          <w:spacing w:val="-8"/>
          <w:w w:val="105"/>
          <w:sz w:val="21"/>
        </w:rPr>
        <w:t> </w:t>
      </w:r>
      <w:r>
        <w:rPr>
          <w:spacing w:val="-3"/>
          <w:w w:val="105"/>
          <w:sz w:val="21"/>
        </w:rPr>
        <w:t>dispute</w:t>
      </w:r>
      <w:r>
        <w:rPr>
          <w:spacing w:val="-7"/>
          <w:w w:val="105"/>
          <w:sz w:val="21"/>
        </w:rPr>
        <w:t> </w:t>
      </w:r>
      <w:r>
        <w:rPr>
          <w:w w:val="105"/>
          <w:sz w:val="21"/>
        </w:rPr>
        <w:t>about</w:t>
      </w:r>
      <w:r>
        <w:rPr>
          <w:spacing w:val="-7"/>
          <w:w w:val="105"/>
          <w:sz w:val="21"/>
        </w:rPr>
        <w:t> </w:t>
      </w:r>
      <w:r>
        <w:rPr>
          <w:w w:val="105"/>
          <w:sz w:val="21"/>
        </w:rPr>
        <w:t>trees</w:t>
      </w:r>
      <w:r>
        <w:rPr>
          <w:spacing w:val="-8"/>
          <w:w w:val="105"/>
          <w:sz w:val="21"/>
        </w:rPr>
        <w:t> </w:t>
      </w:r>
      <w:r>
        <w:rPr>
          <w:w w:val="105"/>
          <w:sz w:val="21"/>
        </w:rPr>
        <w:t>did</w:t>
      </w:r>
      <w:r>
        <w:rPr>
          <w:spacing w:val="-7"/>
          <w:w w:val="105"/>
          <w:sz w:val="21"/>
        </w:rPr>
        <w:t> </w:t>
      </w:r>
      <w:r>
        <w:rPr>
          <w:spacing w:val="-2"/>
          <w:w w:val="105"/>
          <w:sz w:val="21"/>
        </w:rPr>
        <w:t>not</w:t>
      </w:r>
      <w:r>
        <w:rPr>
          <w:spacing w:val="-7"/>
          <w:w w:val="105"/>
          <w:sz w:val="21"/>
        </w:rPr>
        <w:t> </w:t>
      </w:r>
      <w:r>
        <w:rPr>
          <w:w w:val="105"/>
          <w:sz w:val="21"/>
        </w:rPr>
        <w:t>provide</w:t>
      </w:r>
      <w:r>
        <w:rPr>
          <w:spacing w:val="-8"/>
          <w:w w:val="105"/>
          <w:sz w:val="21"/>
        </w:rPr>
        <w:t> </w:t>
      </w:r>
      <w:r>
        <w:rPr>
          <w:w w:val="105"/>
          <w:sz w:val="21"/>
        </w:rPr>
        <w:t>a</w:t>
      </w:r>
      <w:r>
        <w:rPr>
          <w:spacing w:val="-7"/>
          <w:w w:val="105"/>
          <w:sz w:val="21"/>
        </w:rPr>
        <w:t> </w:t>
      </w:r>
      <w:r>
        <w:rPr>
          <w:spacing w:val="-3"/>
          <w:w w:val="105"/>
          <w:sz w:val="21"/>
        </w:rPr>
        <w:t>realistic</w:t>
      </w:r>
      <w:r>
        <w:rPr>
          <w:spacing w:val="-7"/>
          <w:w w:val="105"/>
          <w:sz w:val="21"/>
        </w:rPr>
        <w:t> </w:t>
      </w:r>
      <w:r>
        <w:rPr>
          <w:w w:val="105"/>
          <w:sz w:val="21"/>
        </w:rPr>
        <w:t>solution</w:t>
      </w:r>
      <w:r>
        <w:rPr>
          <w:spacing w:val="-8"/>
          <w:w w:val="105"/>
          <w:sz w:val="21"/>
        </w:rPr>
        <w:t> </w:t>
      </w:r>
      <w:r>
        <w:rPr>
          <w:spacing w:val="-3"/>
          <w:w w:val="105"/>
          <w:sz w:val="21"/>
        </w:rPr>
        <w:t>for </w:t>
      </w:r>
      <w:r>
        <w:rPr>
          <w:spacing w:val="-4"/>
          <w:w w:val="105"/>
          <w:sz w:val="21"/>
        </w:rPr>
        <w:t>neighbours’.</w:t>
      </w:r>
      <w:r>
        <w:rPr>
          <w:spacing w:val="-4"/>
          <w:w w:val="105"/>
          <w:position w:val="7"/>
          <w:sz w:val="12"/>
        </w:rPr>
        <w:t>52</w:t>
      </w:r>
    </w:p>
    <w:p>
      <w:pPr>
        <w:pStyle w:val="BodyText"/>
        <w:spacing w:before="5"/>
        <w:rPr>
          <w:sz w:val="20"/>
        </w:rPr>
      </w:pPr>
    </w:p>
    <w:p>
      <w:pPr>
        <w:pStyle w:val="Heading5"/>
      </w:pPr>
      <w:r>
        <w:rPr>
          <w:w w:val="115"/>
        </w:rPr>
        <w:t>A new Tree Disputes Act is needed</w:t>
      </w:r>
    </w:p>
    <w:p>
      <w:pPr>
        <w:pStyle w:val="ListParagraph"/>
        <w:numPr>
          <w:ilvl w:val="1"/>
          <w:numId w:val="16"/>
        </w:numPr>
        <w:tabs>
          <w:tab w:pos="2381" w:val="left" w:leader="none"/>
          <w:tab w:pos="2382" w:val="left" w:leader="none"/>
        </w:tabs>
        <w:spacing w:line="242" w:lineRule="auto" w:before="137" w:after="0"/>
        <w:ind w:left="2381" w:right="1898" w:hanging="794"/>
        <w:jc w:val="left"/>
        <w:rPr>
          <w:sz w:val="21"/>
        </w:rPr>
      </w:pPr>
      <w:r>
        <w:rPr>
          <w:w w:val="105"/>
          <w:sz w:val="21"/>
        </w:rPr>
        <w:t>The </w:t>
      </w:r>
      <w:r>
        <w:rPr>
          <w:spacing w:val="-3"/>
          <w:w w:val="105"/>
          <w:sz w:val="21"/>
        </w:rPr>
        <w:t>Commission recommends that </w:t>
      </w:r>
      <w:r>
        <w:rPr>
          <w:w w:val="105"/>
          <w:sz w:val="21"/>
        </w:rPr>
        <w:t>a new Act is </w:t>
      </w:r>
      <w:r>
        <w:rPr>
          <w:spacing w:val="-3"/>
          <w:w w:val="105"/>
          <w:sz w:val="21"/>
        </w:rPr>
        <w:t>introduced to </w:t>
      </w:r>
      <w:r>
        <w:rPr>
          <w:w w:val="105"/>
          <w:sz w:val="21"/>
        </w:rPr>
        <w:t>govern the resolution of tree </w:t>
      </w:r>
      <w:r>
        <w:rPr>
          <w:spacing w:val="-3"/>
          <w:w w:val="105"/>
          <w:sz w:val="21"/>
        </w:rPr>
        <w:t>disputes </w:t>
      </w:r>
      <w:r>
        <w:rPr>
          <w:w w:val="105"/>
          <w:sz w:val="21"/>
        </w:rPr>
        <w:t>between neighbours on </w:t>
      </w:r>
      <w:r>
        <w:rPr>
          <w:spacing w:val="-3"/>
          <w:w w:val="105"/>
          <w:sz w:val="21"/>
        </w:rPr>
        <w:t>private land </w:t>
      </w:r>
      <w:r>
        <w:rPr>
          <w:w w:val="105"/>
          <w:sz w:val="21"/>
        </w:rPr>
        <w:t>in Victoria. This approach received </w:t>
      </w:r>
      <w:r>
        <w:rPr>
          <w:spacing w:val="-3"/>
          <w:w w:val="105"/>
          <w:sz w:val="21"/>
        </w:rPr>
        <w:t>considerable </w:t>
      </w:r>
      <w:r>
        <w:rPr>
          <w:w w:val="105"/>
          <w:sz w:val="21"/>
        </w:rPr>
        <w:t>support </w:t>
      </w:r>
      <w:r>
        <w:rPr>
          <w:spacing w:val="-3"/>
          <w:w w:val="105"/>
          <w:sz w:val="21"/>
        </w:rPr>
        <w:t>from </w:t>
      </w:r>
      <w:r>
        <w:rPr>
          <w:w w:val="105"/>
          <w:sz w:val="21"/>
        </w:rPr>
        <w:t>the</w:t>
      </w:r>
      <w:r>
        <w:rPr>
          <w:spacing w:val="25"/>
          <w:w w:val="105"/>
          <w:sz w:val="21"/>
        </w:rPr>
        <w:t> </w:t>
      </w:r>
      <w:r>
        <w:rPr>
          <w:spacing w:val="-4"/>
          <w:w w:val="105"/>
          <w:sz w:val="21"/>
        </w:rPr>
        <w:t>community.</w:t>
      </w:r>
    </w:p>
    <w:p>
      <w:pPr>
        <w:pStyle w:val="ListParagraph"/>
        <w:numPr>
          <w:ilvl w:val="1"/>
          <w:numId w:val="16"/>
        </w:numPr>
        <w:tabs>
          <w:tab w:pos="2381" w:val="left" w:leader="none"/>
          <w:tab w:pos="2382" w:val="left" w:leader="none"/>
        </w:tabs>
        <w:spacing w:line="242" w:lineRule="auto" w:before="124" w:after="0"/>
        <w:ind w:left="2381" w:right="1662" w:hanging="794"/>
        <w:jc w:val="left"/>
        <w:rPr>
          <w:sz w:val="21"/>
        </w:rPr>
      </w:pPr>
      <w:r>
        <w:rPr>
          <w:w w:val="105"/>
          <w:sz w:val="21"/>
        </w:rPr>
        <w:t>A</w:t>
      </w:r>
      <w:r>
        <w:rPr>
          <w:spacing w:val="-5"/>
          <w:w w:val="105"/>
          <w:sz w:val="21"/>
        </w:rPr>
        <w:t> </w:t>
      </w:r>
      <w:r>
        <w:rPr>
          <w:w w:val="105"/>
          <w:sz w:val="21"/>
        </w:rPr>
        <w:t>new</w:t>
      </w:r>
      <w:r>
        <w:rPr>
          <w:spacing w:val="-4"/>
          <w:w w:val="105"/>
          <w:sz w:val="21"/>
        </w:rPr>
        <w:t> </w:t>
      </w:r>
      <w:r>
        <w:rPr>
          <w:w w:val="105"/>
          <w:sz w:val="21"/>
        </w:rPr>
        <w:t>Act</w:t>
      </w:r>
      <w:r>
        <w:rPr>
          <w:spacing w:val="-5"/>
          <w:w w:val="105"/>
          <w:sz w:val="21"/>
        </w:rPr>
        <w:t> </w:t>
      </w:r>
      <w:r>
        <w:rPr>
          <w:w w:val="105"/>
          <w:sz w:val="21"/>
        </w:rPr>
        <w:t>is</w:t>
      </w:r>
      <w:r>
        <w:rPr>
          <w:spacing w:val="-4"/>
          <w:w w:val="105"/>
          <w:sz w:val="21"/>
        </w:rPr>
        <w:t> </w:t>
      </w:r>
      <w:r>
        <w:rPr>
          <w:w w:val="105"/>
          <w:sz w:val="21"/>
        </w:rPr>
        <w:t>needed</w:t>
      </w:r>
      <w:r>
        <w:rPr>
          <w:spacing w:val="-4"/>
          <w:w w:val="105"/>
          <w:sz w:val="21"/>
        </w:rPr>
        <w:t> </w:t>
      </w:r>
      <w:r>
        <w:rPr>
          <w:w w:val="105"/>
          <w:sz w:val="21"/>
        </w:rPr>
        <w:t>because</w:t>
      </w:r>
      <w:r>
        <w:rPr>
          <w:spacing w:val="-5"/>
          <w:w w:val="105"/>
          <w:sz w:val="21"/>
        </w:rPr>
        <w:t> </w:t>
      </w:r>
      <w:r>
        <w:rPr>
          <w:spacing w:val="-3"/>
          <w:w w:val="105"/>
          <w:sz w:val="21"/>
        </w:rPr>
        <w:t>amending</w:t>
      </w:r>
      <w:r>
        <w:rPr>
          <w:spacing w:val="-4"/>
          <w:w w:val="105"/>
          <w:sz w:val="21"/>
        </w:rPr>
        <w:t> </w:t>
      </w:r>
      <w:r>
        <w:rPr>
          <w:w w:val="105"/>
          <w:sz w:val="21"/>
        </w:rPr>
        <w:t>existing</w:t>
      </w:r>
      <w:r>
        <w:rPr>
          <w:spacing w:val="-5"/>
          <w:w w:val="105"/>
          <w:sz w:val="21"/>
        </w:rPr>
        <w:t> </w:t>
      </w:r>
      <w:r>
        <w:rPr>
          <w:w w:val="105"/>
          <w:sz w:val="21"/>
        </w:rPr>
        <w:t>laws</w:t>
      </w:r>
      <w:r>
        <w:rPr>
          <w:spacing w:val="-4"/>
          <w:w w:val="105"/>
          <w:sz w:val="21"/>
        </w:rPr>
        <w:t> </w:t>
      </w:r>
      <w:r>
        <w:rPr>
          <w:w w:val="105"/>
          <w:sz w:val="21"/>
        </w:rPr>
        <w:t>would</w:t>
      </w:r>
      <w:r>
        <w:rPr>
          <w:spacing w:val="-4"/>
          <w:w w:val="105"/>
          <w:sz w:val="21"/>
        </w:rPr>
        <w:t> </w:t>
      </w:r>
      <w:r>
        <w:rPr>
          <w:spacing w:val="-2"/>
          <w:w w:val="105"/>
          <w:sz w:val="21"/>
        </w:rPr>
        <w:t>not</w:t>
      </w:r>
      <w:r>
        <w:rPr>
          <w:spacing w:val="-5"/>
          <w:w w:val="105"/>
          <w:sz w:val="21"/>
        </w:rPr>
        <w:t> </w:t>
      </w:r>
      <w:r>
        <w:rPr>
          <w:w w:val="105"/>
          <w:sz w:val="21"/>
        </w:rPr>
        <w:t>address</w:t>
      </w:r>
      <w:r>
        <w:rPr>
          <w:spacing w:val="-4"/>
          <w:w w:val="105"/>
          <w:sz w:val="21"/>
        </w:rPr>
        <w:t> </w:t>
      </w:r>
      <w:r>
        <w:rPr>
          <w:spacing w:val="-3"/>
          <w:w w:val="105"/>
          <w:sz w:val="21"/>
        </w:rPr>
        <w:t>all</w:t>
      </w:r>
      <w:r>
        <w:rPr>
          <w:spacing w:val="-5"/>
          <w:w w:val="105"/>
          <w:sz w:val="21"/>
        </w:rPr>
        <w:t> </w:t>
      </w:r>
      <w:r>
        <w:rPr>
          <w:w w:val="105"/>
          <w:sz w:val="21"/>
        </w:rPr>
        <w:t>the</w:t>
      </w:r>
      <w:r>
        <w:rPr>
          <w:spacing w:val="-4"/>
          <w:w w:val="105"/>
          <w:sz w:val="21"/>
        </w:rPr>
        <w:t> </w:t>
      </w:r>
      <w:r>
        <w:rPr>
          <w:w w:val="105"/>
          <w:sz w:val="21"/>
        </w:rPr>
        <w:t>elements </w:t>
      </w:r>
      <w:r>
        <w:rPr>
          <w:spacing w:val="-3"/>
          <w:w w:val="105"/>
          <w:sz w:val="21"/>
        </w:rPr>
        <w:t>that </w:t>
      </w:r>
      <w:r>
        <w:rPr>
          <w:w w:val="105"/>
          <w:sz w:val="21"/>
        </w:rPr>
        <w:t>arise in tree </w:t>
      </w:r>
      <w:r>
        <w:rPr>
          <w:spacing w:val="-3"/>
          <w:w w:val="105"/>
          <w:sz w:val="21"/>
        </w:rPr>
        <w:t>disputes. </w:t>
      </w:r>
      <w:r>
        <w:rPr>
          <w:w w:val="105"/>
          <w:sz w:val="21"/>
        </w:rPr>
        <w:t>A standalone Act would be </w:t>
      </w:r>
      <w:r>
        <w:rPr>
          <w:spacing w:val="-2"/>
          <w:w w:val="105"/>
          <w:sz w:val="21"/>
        </w:rPr>
        <w:t>easier </w:t>
      </w:r>
      <w:r>
        <w:rPr>
          <w:spacing w:val="-3"/>
          <w:w w:val="105"/>
          <w:sz w:val="21"/>
        </w:rPr>
        <w:t>for </w:t>
      </w:r>
      <w:r>
        <w:rPr>
          <w:w w:val="105"/>
          <w:sz w:val="21"/>
        </w:rPr>
        <w:t>the community </w:t>
      </w:r>
      <w:r>
        <w:rPr>
          <w:spacing w:val="-3"/>
          <w:w w:val="105"/>
          <w:sz w:val="21"/>
        </w:rPr>
        <w:t>to </w:t>
      </w:r>
      <w:r>
        <w:rPr>
          <w:w w:val="105"/>
          <w:sz w:val="21"/>
        </w:rPr>
        <w:t>find, </w:t>
      </w:r>
      <w:r>
        <w:rPr>
          <w:spacing w:val="-3"/>
          <w:w w:val="105"/>
          <w:sz w:val="21"/>
        </w:rPr>
        <w:t>navigate </w:t>
      </w:r>
      <w:r>
        <w:rPr>
          <w:w w:val="105"/>
          <w:sz w:val="21"/>
        </w:rPr>
        <w:t>and</w:t>
      </w:r>
      <w:r>
        <w:rPr>
          <w:spacing w:val="13"/>
          <w:w w:val="105"/>
          <w:sz w:val="21"/>
        </w:rPr>
        <w:t> </w:t>
      </w:r>
      <w:r>
        <w:rPr>
          <w:w w:val="105"/>
          <w:sz w:val="21"/>
        </w:rPr>
        <w:t>understand.</w:t>
      </w:r>
    </w:p>
    <w:p>
      <w:pPr>
        <w:pStyle w:val="ListParagraph"/>
        <w:numPr>
          <w:ilvl w:val="1"/>
          <w:numId w:val="16"/>
        </w:numPr>
        <w:tabs>
          <w:tab w:pos="2381" w:val="left" w:leader="none"/>
          <w:tab w:pos="2382" w:val="left" w:leader="none"/>
        </w:tabs>
        <w:spacing w:line="242" w:lineRule="auto" w:before="123" w:after="0"/>
        <w:ind w:left="2381" w:right="1951" w:hanging="794"/>
        <w:jc w:val="left"/>
        <w:rPr>
          <w:sz w:val="21"/>
        </w:rPr>
      </w:pPr>
      <w:r>
        <w:rPr>
          <w:w w:val="105"/>
          <w:sz w:val="21"/>
        </w:rPr>
        <w:t>Certain aspects of the </w:t>
      </w:r>
      <w:r>
        <w:rPr>
          <w:spacing w:val="-3"/>
          <w:w w:val="105"/>
          <w:sz w:val="21"/>
        </w:rPr>
        <w:t>current </w:t>
      </w:r>
      <w:r>
        <w:rPr>
          <w:w w:val="105"/>
          <w:sz w:val="21"/>
        </w:rPr>
        <w:t>legal process should be </w:t>
      </w:r>
      <w:r>
        <w:rPr>
          <w:spacing w:val="-3"/>
          <w:w w:val="105"/>
          <w:sz w:val="21"/>
        </w:rPr>
        <w:t>retained to allow </w:t>
      </w:r>
      <w:r>
        <w:rPr>
          <w:w w:val="105"/>
          <w:sz w:val="21"/>
        </w:rPr>
        <w:t>neighbours </w:t>
      </w:r>
      <w:r>
        <w:rPr>
          <w:spacing w:val="-3"/>
          <w:w w:val="105"/>
          <w:sz w:val="21"/>
        </w:rPr>
        <w:t>different </w:t>
      </w:r>
      <w:r>
        <w:rPr>
          <w:w w:val="105"/>
          <w:sz w:val="21"/>
        </w:rPr>
        <w:t>options. The existing </w:t>
      </w:r>
      <w:r>
        <w:rPr>
          <w:spacing w:val="-3"/>
          <w:w w:val="105"/>
          <w:sz w:val="21"/>
        </w:rPr>
        <w:t>pathways </w:t>
      </w:r>
      <w:r>
        <w:rPr>
          <w:w w:val="105"/>
          <w:sz w:val="21"/>
        </w:rPr>
        <w:t>of </w:t>
      </w:r>
      <w:r>
        <w:rPr>
          <w:spacing w:val="-3"/>
          <w:w w:val="105"/>
          <w:sz w:val="21"/>
        </w:rPr>
        <w:t>abatement, neighbour-led </w:t>
      </w:r>
      <w:r>
        <w:rPr>
          <w:w w:val="105"/>
          <w:sz w:val="21"/>
        </w:rPr>
        <w:t>negotiation and mediation via DSCV </w:t>
      </w:r>
      <w:r>
        <w:rPr>
          <w:spacing w:val="-3"/>
          <w:w w:val="105"/>
          <w:sz w:val="21"/>
        </w:rPr>
        <w:t>may successfully </w:t>
      </w:r>
      <w:r>
        <w:rPr>
          <w:w w:val="105"/>
          <w:sz w:val="21"/>
        </w:rPr>
        <w:t>resolve some tree</w:t>
      </w:r>
      <w:r>
        <w:rPr>
          <w:spacing w:val="24"/>
          <w:w w:val="105"/>
          <w:sz w:val="21"/>
        </w:rPr>
        <w:t> </w:t>
      </w:r>
      <w:r>
        <w:rPr>
          <w:spacing w:val="-3"/>
          <w:w w:val="105"/>
          <w:sz w:val="21"/>
        </w:rPr>
        <w:t>disputes.</w:t>
      </w:r>
    </w:p>
    <w:p>
      <w:pPr>
        <w:pStyle w:val="ListParagraph"/>
        <w:numPr>
          <w:ilvl w:val="1"/>
          <w:numId w:val="16"/>
        </w:numPr>
        <w:tabs>
          <w:tab w:pos="2381" w:val="left" w:leader="none"/>
          <w:tab w:pos="2382" w:val="left" w:leader="none"/>
        </w:tabs>
        <w:spacing w:line="242" w:lineRule="auto" w:before="123" w:after="0"/>
        <w:ind w:left="2381" w:right="1651" w:hanging="794"/>
        <w:jc w:val="left"/>
        <w:rPr>
          <w:sz w:val="21"/>
        </w:rPr>
      </w:pPr>
      <w:r>
        <w:rPr>
          <w:sz w:val="21"/>
        </w:rPr>
        <w:t>The </w:t>
      </w:r>
      <w:r>
        <w:rPr>
          <w:spacing w:val="-3"/>
          <w:sz w:val="21"/>
        </w:rPr>
        <w:t>Commission </w:t>
      </w:r>
      <w:r>
        <w:rPr>
          <w:sz w:val="21"/>
        </w:rPr>
        <w:t>supports </w:t>
      </w:r>
      <w:r>
        <w:rPr>
          <w:spacing w:val="-3"/>
          <w:sz w:val="21"/>
        </w:rPr>
        <w:t>retaining </w:t>
      </w:r>
      <w:r>
        <w:rPr>
          <w:sz w:val="21"/>
        </w:rPr>
        <w:t>these options  and  </w:t>
      </w:r>
      <w:r>
        <w:rPr>
          <w:spacing w:val="-3"/>
          <w:sz w:val="21"/>
        </w:rPr>
        <w:t>encouraging  </w:t>
      </w:r>
      <w:r>
        <w:rPr>
          <w:sz w:val="21"/>
        </w:rPr>
        <w:t>neighbours  </w:t>
      </w:r>
      <w:r>
        <w:rPr>
          <w:spacing w:val="-3"/>
          <w:sz w:val="21"/>
        </w:rPr>
        <w:t>to  </w:t>
      </w:r>
      <w:r>
        <w:rPr>
          <w:sz w:val="21"/>
        </w:rPr>
        <w:t>use them as a first </w:t>
      </w:r>
      <w:r>
        <w:rPr>
          <w:spacing w:val="-3"/>
          <w:sz w:val="21"/>
        </w:rPr>
        <w:t>step. </w:t>
      </w:r>
      <w:r>
        <w:rPr>
          <w:sz w:val="21"/>
        </w:rPr>
        <w:t>Specific suggestions </w:t>
      </w:r>
      <w:r>
        <w:rPr>
          <w:spacing w:val="-3"/>
          <w:sz w:val="21"/>
        </w:rPr>
        <w:t>for improving </w:t>
      </w:r>
      <w:r>
        <w:rPr>
          <w:sz w:val="21"/>
        </w:rPr>
        <w:t>them </w:t>
      </w:r>
      <w:r>
        <w:rPr>
          <w:spacing w:val="-3"/>
          <w:sz w:val="21"/>
        </w:rPr>
        <w:t>are outlined </w:t>
      </w:r>
      <w:r>
        <w:rPr>
          <w:sz w:val="21"/>
        </w:rPr>
        <w:t>in </w:t>
      </w:r>
      <w:r>
        <w:rPr>
          <w:spacing w:val="-3"/>
          <w:sz w:val="21"/>
        </w:rPr>
        <w:t>subsequent chapters.</w:t>
      </w:r>
      <w:r>
        <w:rPr>
          <w:spacing w:val="-3"/>
          <w:position w:val="7"/>
          <w:sz w:val="12"/>
        </w:rPr>
        <w:t>53 </w:t>
      </w:r>
      <w:r>
        <w:rPr>
          <w:sz w:val="21"/>
        </w:rPr>
        <w:t>This is </w:t>
      </w:r>
      <w:r>
        <w:rPr>
          <w:spacing w:val="-3"/>
          <w:sz w:val="21"/>
        </w:rPr>
        <w:t>consistent </w:t>
      </w:r>
      <w:r>
        <w:rPr>
          <w:sz w:val="21"/>
        </w:rPr>
        <w:t>with other </w:t>
      </w:r>
      <w:r>
        <w:rPr>
          <w:spacing w:val="-3"/>
          <w:sz w:val="21"/>
        </w:rPr>
        <w:t>Australian </w:t>
      </w:r>
      <w:r>
        <w:rPr>
          <w:sz w:val="21"/>
        </w:rPr>
        <w:t>and </w:t>
      </w:r>
      <w:r>
        <w:rPr>
          <w:spacing w:val="-3"/>
          <w:sz w:val="21"/>
        </w:rPr>
        <w:t>international </w:t>
      </w:r>
      <w:r>
        <w:rPr>
          <w:sz w:val="21"/>
        </w:rPr>
        <w:t>jurisdictions </w:t>
      </w:r>
      <w:r>
        <w:rPr>
          <w:spacing w:val="-3"/>
          <w:sz w:val="21"/>
        </w:rPr>
        <w:t>that have </w:t>
      </w:r>
      <w:r>
        <w:rPr>
          <w:sz w:val="21"/>
        </w:rPr>
        <w:t>enacted </w:t>
      </w:r>
      <w:r>
        <w:rPr>
          <w:spacing w:val="-3"/>
          <w:sz w:val="21"/>
        </w:rPr>
        <w:t>legislation for </w:t>
      </w:r>
      <w:r>
        <w:rPr>
          <w:sz w:val="21"/>
        </w:rPr>
        <w:t>tree </w:t>
      </w:r>
      <w:r>
        <w:rPr>
          <w:spacing w:val="-3"/>
          <w:sz w:val="21"/>
        </w:rPr>
        <w:t>disputes </w:t>
      </w:r>
      <w:r>
        <w:rPr>
          <w:sz w:val="21"/>
        </w:rPr>
        <w:t>but </w:t>
      </w:r>
      <w:r>
        <w:rPr>
          <w:spacing w:val="-3"/>
          <w:sz w:val="21"/>
        </w:rPr>
        <w:t>have </w:t>
      </w:r>
      <w:r>
        <w:rPr>
          <w:sz w:val="21"/>
        </w:rPr>
        <w:t>also </w:t>
      </w:r>
      <w:r>
        <w:rPr>
          <w:spacing w:val="-3"/>
          <w:sz w:val="21"/>
        </w:rPr>
        <w:t>encouraged </w:t>
      </w:r>
      <w:r>
        <w:rPr>
          <w:sz w:val="21"/>
        </w:rPr>
        <w:t>the options of </w:t>
      </w:r>
      <w:r>
        <w:rPr>
          <w:spacing w:val="-3"/>
          <w:sz w:val="21"/>
        </w:rPr>
        <w:t>negotiation, </w:t>
      </w:r>
      <w:r>
        <w:rPr>
          <w:sz w:val="21"/>
        </w:rPr>
        <w:t>mediation and </w:t>
      </w:r>
      <w:r>
        <w:rPr>
          <w:spacing w:val="-3"/>
          <w:sz w:val="21"/>
        </w:rPr>
        <w:t>abatement. </w:t>
      </w:r>
      <w:r>
        <w:rPr>
          <w:sz w:val="21"/>
        </w:rPr>
        <w:t>See </w:t>
      </w:r>
      <w:r>
        <w:rPr>
          <w:spacing w:val="-4"/>
          <w:sz w:val="21"/>
        </w:rPr>
        <w:t>Chapter</w:t>
      </w:r>
      <w:r>
        <w:rPr>
          <w:spacing w:val="7"/>
          <w:sz w:val="21"/>
        </w:rPr>
        <w:t> </w:t>
      </w:r>
      <w:r>
        <w:rPr>
          <w:sz w:val="21"/>
        </w:rPr>
        <w:t>6.</w:t>
      </w:r>
    </w:p>
    <w:p>
      <w:pPr>
        <w:pStyle w:val="ListParagraph"/>
        <w:numPr>
          <w:ilvl w:val="1"/>
          <w:numId w:val="16"/>
        </w:numPr>
        <w:tabs>
          <w:tab w:pos="2381" w:val="left" w:leader="none"/>
          <w:tab w:pos="2382" w:val="left" w:leader="none"/>
        </w:tabs>
        <w:spacing w:line="242" w:lineRule="auto" w:before="126" w:after="0"/>
        <w:ind w:left="2381" w:right="1840" w:hanging="794"/>
        <w:jc w:val="left"/>
        <w:rPr>
          <w:sz w:val="21"/>
        </w:rPr>
      </w:pPr>
      <w:r>
        <w:rPr>
          <w:w w:val="105"/>
          <w:sz w:val="21"/>
        </w:rPr>
        <w:t>Neighbours who wish </w:t>
      </w:r>
      <w:r>
        <w:rPr>
          <w:spacing w:val="-3"/>
          <w:w w:val="105"/>
          <w:sz w:val="21"/>
        </w:rPr>
        <w:t>to take </w:t>
      </w:r>
      <w:r>
        <w:rPr>
          <w:w w:val="105"/>
          <w:sz w:val="21"/>
        </w:rPr>
        <w:t>legal action should </w:t>
      </w:r>
      <w:r>
        <w:rPr>
          <w:spacing w:val="-2"/>
          <w:w w:val="105"/>
          <w:sz w:val="21"/>
        </w:rPr>
        <w:t>not </w:t>
      </w:r>
      <w:r>
        <w:rPr>
          <w:spacing w:val="-3"/>
          <w:w w:val="105"/>
          <w:sz w:val="21"/>
        </w:rPr>
        <w:t>have to </w:t>
      </w:r>
      <w:r>
        <w:rPr>
          <w:w w:val="105"/>
          <w:sz w:val="21"/>
        </w:rPr>
        <w:t>rely on the </w:t>
      </w:r>
      <w:r>
        <w:rPr>
          <w:spacing w:val="-2"/>
          <w:w w:val="105"/>
          <w:sz w:val="21"/>
        </w:rPr>
        <w:t>common </w:t>
      </w:r>
      <w:r>
        <w:rPr>
          <w:w w:val="105"/>
          <w:sz w:val="21"/>
        </w:rPr>
        <w:t>law tort of </w:t>
      </w:r>
      <w:r>
        <w:rPr>
          <w:spacing w:val="-3"/>
          <w:w w:val="105"/>
          <w:sz w:val="21"/>
        </w:rPr>
        <w:t>nuisance for </w:t>
      </w:r>
      <w:r>
        <w:rPr>
          <w:w w:val="105"/>
          <w:sz w:val="21"/>
        </w:rPr>
        <w:t>tree </w:t>
      </w:r>
      <w:r>
        <w:rPr>
          <w:spacing w:val="-3"/>
          <w:w w:val="105"/>
          <w:sz w:val="21"/>
        </w:rPr>
        <w:t>disputes that </w:t>
      </w:r>
      <w:r>
        <w:rPr>
          <w:spacing w:val="-4"/>
          <w:w w:val="105"/>
          <w:sz w:val="21"/>
        </w:rPr>
        <w:t>fall </w:t>
      </w:r>
      <w:r>
        <w:rPr>
          <w:spacing w:val="-3"/>
          <w:w w:val="105"/>
          <w:sz w:val="21"/>
        </w:rPr>
        <w:t>within </w:t>
      </w:r>
      <w:r>
        <w:rPr>
          <w:w w:val="105"/>
          <w:sz w:val="21"/>
        </w:rPr>
        <w:t>the scope of the new Act. </w:t>
      </w:r>
      <w:r>
        <w:rPr>
          <w:spacing w:val="-3"/>
          <w:w w:val="105"/>
          <w:sz w:val="21"/>
        </w:rPr>
        <w:t>Instead, </w:t>
      </w:r>
      <w:r>
        <w:rPr>
          <w:w w:val="105"/>
          <w:sz w:val="21"/>
        </w:rPr>
        <w:t>neighbours should be able </w:t>
      </w:r>
      <w:r>
        <w:rPr>
          <w:spacing w:val="-3"/>
          <w:w w:val="105"/>
          <w:sz w:val="21"/>
        </w:rPr>
        <w:t>to bring </w:t>
      </w:r>
      <w:r>
        <w:rPr>
          <w:w w:val="105"/>
          <w:sz w:val="21"/>
        </w:rPr>
        <w:t>a </w:t>
      </w:r>
      <w:r>
        <w:rPr>
          <w:spacing w:val="-3"/>
          <w:w w:val="105"/>
          <w:sz w:val="21"/>
        </w:rPr>
        <w:t>claim within </w:t>
      </w:r>
      <w:r>
        <w:rPr>
          <w:w w:val="105"/>
          <w:sz w:val="21"/>
        </w:rPr>
        <w:t>the new Act. </w:t>
      </w:r>
      <w:r>
        <w:rPr>
          <w:spacing w:val="-3"/>
          <w:w w:val="105"/>
          <w:sz w:val="21"/>
        </w:rPr>
        <w:t>Retaining </w:t>
      </w:r>
      <w:r>
        <w:rPr>
          <w:w w:val="105"/>
          <w:sz w:val="21"/>
        </w:rPr>
        <w:t>the </w:t>
      </w:r>
      <w:r>
        <w:rPr>
          <w:spacing w:val="-2"/>
          <w:w w:val="105"/>
          <w:sz w:val="21"/>
        </w:rPr>
        <w:t>common </w:t>
      </w:r>
      <w:r>
        <w:rPr>
          <w:w w:val="105"/>
          <w:sz w:val="21"/>
        </w:rPr>
        <w:t>law </w:t>
      </w:r>
      <w:r>
        <w:rPr>
          <w:spacing w:val="-3"/>
          <w:w w:val="105"/>
          <w:sz w:val="21"/>
        </w:rPr>
        <w:t>right to nuisance may </w:t>
      </w:r>
      <w:r>
        <w:rPr>
          <w:w w:val="105"/>
          <w:sz w:val="21"/>
        </w:rPr>
        <w:t>be </w:t>
      </w:r>
      <w:r>
        <w:rPr>
          <w:spacing w:val="-3"/>
          <w:w w:val="105"/>
          <w:sz w:val="21"/>
        </w:rPr>
        <w:t>helpful for </w:t>
      </w:r>
      <w:r>
        <w:rPr>
          <w:w w:val="105"/>
          <w:sz w:val="21"/>
        </w:rPr>
        <w:t>matters </w:t>
      </w:r>
      <w:r>
        <w:rPr>
          <w:spacing w:val="-3"/>
          <w:w w:val="105"/>
          <w:sz w:val="21"/>
        </w:rPr>
        <w:t>that </w:t>
      </w:r>
      <w:r>
        <w:rPr>
          <w:w w:val="105"/>
          <w:sz w:val="21"/>
        </w:rPr>
        <w:t>would </w:t>
      </w:r>
      <w:r>
        <w:rPr>
          <w:spacing w:val="-4"/>
          <w:w w:val="105"/>
          <w:sz w:val="21"/>
        </w:rPr>
        <w:t>fall </w:t>
      </w:r>
      <w:r>
        <w:rPr>
          <w:w w:val="105"/>
          <w:sz w:val="21"/>
        </w:rPr>
        <w:t>outside the new Act— </w:t>
      </w:r>
      <w:r>
        <w:rPr>
          <w:spacing w:val="-3"/>
          <w:w w:val="105"/>
          <w:sz w:val="21"/>
        </w:rPr>
        <w:t>for example, </w:t>
      </w:r>
      <w:r>
        <w:rPr>
          <w:w w:val="105"/>
          <w:sz w:val="21"/>
        </w:rPr>
        <w:t>a </w:t>
      </w:r>
      <w:r>
        <w:rPr>
          <w:spacing w:val="-3"/>
          <w:w w:val="105"/>
          <w:sz w:val="21"/>
        </w:rPr>
        <w:t>claimant </w:t>
      </w:r>
      <w:r>
        <w:rPr>
          <w:w w:val="105"/>
          <w:sz w:val="21"/>
        </w:rPr>
        <w:t>who wishes </w:t>
      </w:r>
      <w:r>
        <w:rPr>
          <w:spacing w:val="-3"/>
          <w:w w:val="105"/>
          <w:sz w:val="21"/>
        </w:rPr>
        <w:t>to bring </w:t>
      </w:r>
      <w:r>
        <w:rPr>
          <w:w w:val="105"/>
          <w:sz w:val="21"/>
        </w:rPr>
        <w:t>an application </w:t>
      </w:r>
      <w:r>
        <w:rPr>
          <w:spacing w:val="-3"/>
          <w:w w:val="105"/>
          <w:sz w:val="21"/>
        </w:rPr>
        <w:t>alleging interference, </w:t>
      </w:r>
      <w:r>
        <w:rPr>
          <w:w w:val="105"/>
          <w:sz w:val="21"/>
        </w:rPr>
        <w:t>which is </w:t>
      </w:r>
      <w:r>
        <w:rPr>
          <w:spacing w:val="-3"/>
          <w:w w:val="105"/>
          <w:sz w:val="21"/>
        </w:rPr>
        <w:t>excluded from </w:t>
      </w:r>
      <w:r>
        <w:rPr>
          <w:w w:val="105"/>
          <w:sz w:val="21"/>
        </w:rPr>
        <w:t>the ambit of the new Act (see </w:t>
      </w:r>
      <w:r>
        <w:rPr>
          <w:spacing w:val="-4"/>
          <w:w w:val="105"/>
          <w:sz w:val="21"/>
        </w:rPr>
        <w:t>Chapter </w:t>
      </w:r>
      <w:r>
        <w:rPr>
          <w:w w:val="105"/>
          <w:sz w:val="21"/>
        </w:rPr>
        <w:t>5). Neither the </w:t>
      </w:r>
      <w:r>
        <w:rPr>
          <w:spacing w:val="-4"/>
          <w:w w:val="105"/>
          <w:sz w:val="21"/>
        </w:rPr>
        <w:t>Tasmanian</w:t>
      </w:r>
      <w:r>
        <w:rPr>
          <w:spacing w:val="-21"/>
          <w:w w:val="105"/>
          <w:sz w:val="21"/>
        </w:rPr>
        <w:t> </w:t>
      </w:r>
      <w:r>
        <w:rPr>
          <w:w w:val="105"/>
          <w:sz w:val="21"/>
        </w:rPr>
        <w:t>nor</w:t>
      </w:r>
    </w:p>
    <w:p>
      <w:pPr>
        <w:pStyle w:val="BodyText"/>
        <w:rPr>
          <w:sz w:val="20"/>
        </w:rPr>
      </w:pPr>
    </w:p>
    <w:p>
      <w:pPr>
        <w:pStyle w:val="BodyText"/>
        <w:spacing w:before="4"/>
        <w:rPr>
          <w:sz w:val="13"/>
        </w:rPr>
      </w:pPr>
      <w:r>
        <w:rPr/>
        <w:pict>
          <v:line style="position:absolute;mso-position-horizontal-relative:page;mso-position-vertical-relative:paragraph;z-index:2480;mso-wrap-distance-left:0;mso-wrap-distance-right:0" from="79.370102pt,10.595976pt" to="515.905102pt,10.595976pt" stroked="true" strokeweight="1pt" strokecolor="#c9d2cb">
            <v:stroke dashstyle="solid"/>
            <w10:wrap type="topAndBottom"/>
          </v:line>
        </w:pict>
      </w:r>
    </w:p>
    <w:p>
      <w:pPr>
        <w:pStyle w:val="ListParagraph"/>
        <w:numPr>
          <w:ilvl w:val="0"/>
          <w:numId w:val="41"/>
        </w:numPr>
        <w:tabs>
          <w:tab w:pos="2381" w:val="left" w:leader="none"/>
          <w:tab w:pos="2382" w:val="left" w:leader="none"/>
        </w:tabs>
        <w:spacing w:line="240" w:lineRule="auto" w:before="117" w:after="0"/>
        <w:ind w:left="2381" w:right="0" w:hanging="794"/>
        <w:jc w:val="left"/>
        <w:rPr>
          <w:sz w:val="13"/>
        </w:rPr>
      </w:pPr>
      <w:r>
        <w:rPr>
          <w:w w:val="105"/>
          <w:sz w:val="13"/>
        </w:rPr>
        <w:t>New</w:t>
      </w:r>
      <w:r>
        <w:rPr>
          <w:spacing w:val="5"/>
          <w:w w:val="105"/>
          <w:sz w:val="13"/>
        </w:rPr>
        <w:t> </w:t>
      </w:r>
      <w:r>
        <w:rPr>
          <w:w w:val="105"/>
          <w:sz w:val="13"/>
        </w:rPr>
        <w:t>South</w:t>
      </w:r>
      <w:r>
        <w:rPr>
          <w:spacing w:val="5"/>
          <w:w w:val="105"/>
          <w:sz w:val="13"/>
        </w:rPr>
        <w:t> </w:t>
      </w:r>
      <w:r>
        <w:rPr>
          <w:w w:val="105"/>
          <w:sz w:val="13"/>
        </w:rPr>
        <w:t>Wales</w:t>
      </w:r>
      <w:r>
        <w:rPr>
          <w:spacing w:val="6"/>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6"/>
          <w:w w:val="105"/>
          <w:sz w:val="13"/>
        </w:rPr>
        <w:t> </w:t>
      </w:r>
      <w:r>
        <w:rPr>
          <w:i/>
          <w:w w:val="105"/>
          <w:sz w:val="13"/>
        </w:rPr>
        <w:t>Neighbour</w:t>
      </w:r>
      <w:r>
        <w:rPr>
          <w:i/>
          <w:spacing w:val="5"/>
          <w:w w:val="105"/>
          <w:sz w:val="13"/>
        </w:rPr>
        <w:t> </w:t>
      </w:r>
      <w:r>
        <w:rPr>
          <w:i/>
          <w:w w:val="105"/>
          <w:sz w:val="13"/>
        </w:rPr>
        <w:t>and</w:t>
      </w:r>
      <w:r>
        <w:rPr>
          <w:i/>
          <w:spacing w:val="5"/>
          <w:w w:val="105"/>
          <w:sz w:val="13"/>
        </w:rPr>
        <w:t> </w:t>
      </w:r>
      <w:r>
        <w:rPr>
          <w:i/>
          <w:w w:val="105"/>
          <w:sz w:val="13"/>
        </w:rPr>
        <w:t>Neighbour</w:t>
      </w:r>
      <w:r>
        <w:rPr>
          <w:i/>
          <w:spacing w:val="6"/>
          <w:w w:val="105"/>
          <w:sz w:val="13"/>
        </w:rPr>
        <w:t> </w:t>
      </w:r>
      <w:r>
        <w:rPr>
          <w:i/>
          <w:w w:val="105"/>
          <w:sz w:val="13"/>
        </w:rPr>
        <w:t>Relations</w:t>
      </w:r>
      <w:r>
        <w:rPr>
          <w:i/>
          <w:spacing w:val="5"/>
          <w:w w:val="105"/>
          <w:sz w:val="13"/>
        </w:rPr>
        <w:t> </w:t>
      </w:r>
      <w:r>
        <w:rPr>
          <w:spacing w:val="2"/>
          <w:w w:val="105"/>
          <w:sz w:val="13"/>
        </w:rPr>
        <w:t>(Report</w:t>
      </w:r>
      <w:r>
        <w:rPr>
          <w:spacing w:val="6"/>
          <w:w w:val="105"/>
          <w:sz w:val="13"/>
        </w:rPr>
        <w:t> </w:t>
      </w:r>
      <w:r>
        <w:rPr>
          <w:w w:val="105"/>
          <w:sz w:val="13"/>
        </w:rPr>
        <w:t>No</w:t>
      </w:r>
      <w:r>
        <w:rPr>
          <w:spacing w:val="5"/>
          <w:w w:val="105"/>
          <w:sz w:val="13"/>
        </w:rPr>
        <w:t> </w:t>
      </w:r>
      <w:r>
        <w:rPr>
          <w:spacing w:val="2"/>
          <w:w w:val="105"/>
          <w:sz w:val="13"/>
        </w:rPr>
        <w:t>88,</w:t>
      </w:r>
      <w:r>
        <w:rPr>
          <w:spacing w:val="5"/>
          <w:w w:val="105"/>
          <w:sz w:val="13"/>
        </w:rPr>
        <w:t> </w:t>
      </w:r>
      <w:r>
        <w:rPr>
          <w:w w:val="105"/>
          <w:sz w:val="13"/>
        </w:rPr>
        <w:t>1998)</w:t>
      </w:r>
      <w:r>
        <w:rPr>
          <w:spacing w:val="6"/>
          <w:w w:val="105"/>
          <w:sz w:val="13"/>
        </w:rPr>
        <w:t> </w:t>
      </w:r>
      <w:r>
        <w:rPr>
          <w:spacing w:val="2"/>
          <w:w w:val="105"/>
          <w:sz w:val="13"/>
        </w:rPr>
        <w:t>[2.20]-[2.21].</w:t>
      </w:r>
    </w:p>
    <w:p>
      <w:pPr>
        <w:pStyle w:val="ListParagraph"/>
        <w:numPr>
          <w:ilvl w:val="0"/>
          <w:numId w:val="41"/>
        </w:numPr>
        <w:tabs>
          <w:tab w:pos="2381" w:val="left" w:leader="none"/>
          <w:tab w:pos="2382" w:val="left" w:leader="none"/>
        </w:tabs>
        <w:spacing w:line="240" w:lineRule="auto" w:before="1" w:after="0"/>
        <w:ind w:left="2381" w:right="0" w:hanging="794"/>
        <w:jc w:val="left"/>
        <w:rPr>
          <w:sz w:val="13"/>
        </w:rPr>
      </w:pPr>
      <w:r>
        <w:rPr>
          <w:w w:val="105"/>
          <w:sz w:val="13"/>
        </w:rPr>
        <w:t>Explanatory Notes, Neighbourhood Disputes Resolution Bill 2010 </w:t>
      </w:r>
      <w:r>
        <w:rPr>
          <w:spacing w:val="2"/>
          <w:w w:val="105"/>
          <w:sz w:val="13"/>
        </w:rPr>
        <w:t>(Qld),</w:t>
      </w:r>
      <w:r>
        <w:rPr>
          <w:spacing w:val="4"/>
          <w:w w:val="105"/>
          <w:sz w:val="13"/>
        </w:rPr>
        <w:t> </w:t>
      </w:r>
      <w:r>
        <w:rPr>
          <w:w w:val="105"/>
          <w:sz w:val="13"/>
        </w:rPr>
        <w:t>1–2.</w:t>
      </w:r>
    </w:p>
    <w:p>
      <w:pPr>
        <w:pStyle w:val="ListParagraph"/>
        <w:numPr>
          <w:ilvl w:val="0"/>
          <w:numId w:val="41"/>
        </w:numPr>
        <w:tabs>
          <w:tab w:pos="2381" w:val="left" w:leader="none"/>
          <w:tab w:pos="2382" w:val="left" w:leader="none"/>
        </w:tabs>
        <w:spacing w:line="240" w:lineRule="auto" w:before="2" w:after="0"/>
        <w:ind w:left="2381" w:right="1805" w:hanging="794"/>
        <w:jc w:val="left"/>
        <w:rPr>
          <w:sz w:val="13"/>
        </w:rPr>
      </w:pPr>
      <w:r>
        <w:rPr/>
        <w:pict>
          <v:shape style="position:absolute;margin-left:36pt;margin-top:3.066265pt;width:13.45pt;height:14.25pt;mso-position-horizontal-relative:page;mso-position-vertical-relative:paragraph;z-index:4552" type="#_x0000_t202" filled="false" stroked="false">
            <v:textbox inset="0,0,0,0">
              <w:txbxContent>
                <w:p>
                  <w:pPr>
                    <w:spacing w:line="284" w:lineRule="exact" w:before="0"/>
                    <w:ind w:left="0" w:right="0" w:firstLine="0"/>
                    <w:jc w:val="left"/>
                    <w:rPr>
                      <w:b/>
                      <w:sz w:val="24"/>
                    </w:rPr>
                  </w:pPr>
                  <w:r>
                    <w:rPr>
                      <w:b/>
                      <w:color w:val="658464"/>
                      <w:w w:val="110"/>
                      <w:sz w:val="24"/>
                    </w:rPr>
                    <w:t>58</w:t>
                  </w:r>
                </w:p>
              </w:txbxContent>
            </v:textbox>
            <w10:wrap type="none"/>
          </v:shape>
        </w:pict>
      </w:r>
      <w:r>
        <w:rPr>
          <w:w w:val="105"/>
          <w:sz w:val="13"/>
        </w:rPr>
        <w:t>Possible modifications to abatement, and the remedies of neighbour-led informal negotiation and mediation are discussed in Chapter 6. Possible</w:t>
      </w:r>
      <w:r>
        <w:rPr>
          <w:spacing w:val="4"/>
          <w:w w:val="105"/>
          <w:sz w:val="13"/>
        </w:rPr>
        <w:t> </w:t>
      </w:r>
      <w:r>
        <w:rPr>
          <w:w w:val="105"/>
          <w:sz w:val="13"/>
        </w:rPr>
        <w:t>community</w:t>
      </w:r>
      <w:r>
        <w:rPr>
          <w:spacing w:val="5"/>
          <w:w w:val="105"/>
          <w:sz w:val="13"/>
        </w:rPr>
        <w:t> </w:t>
      </w:r>
      <w:r>
        <w:rPr>
          <w:w w:val="105"/>
          <w:sz w:val="13"/>
        </w:rPr>
        <w:t>resources</w:t>
      </w:r>
      <w:r>
        <w:rPr>
          <w:spacing w:val="4"/>
          <w:w w:val="105"/>
          <w:sz w:val="13"/>
        </w:rPr>
        <w:t> </w:t>
      </w:r>
      <w:r>
        <w:rPr>
          <w:w w:val="105"/>
          <w:sz w:val="13"/>
        </w:rPr>
        <w:t>for</w:t>
      </w:r>
      <w:r>
        <w:rPr>
          <w:spacing w:val="5"/>
          <w:w w:val="105"/>
          <w:sz w:val="13"/>
        </w:rPr>
        <w:t> </w:t>
      </w:r>
      <w:r>
        <w:rPr>
          <w:w w:val="105"/>
          <w:sz w:val="13"/>
        </w:rPr>
        <w:t>better</w:t>
      </w:r>
      <w:r>
        <w:rPr>
          <w:spacing w:val="4"/>
          <w:w w:val="105"/>
          <w:sz w:val="13"/>
        </w:rPr>
        <w:t> </w:t>
      </w:r>
      <w:r>
        <w:rPr>
          <w:w w:val="105"/>
          <w:sz w:val="13"/>
        </w:rPr>
        <w:t>information</w:t>
      </w:r>
      <w:r>
        <w:rPr>
          <w:spacing w:val="5"/>
          <w:w w:val="105"/>
          <w:sz w:val="13"/>
        </w:rPr>
        <w:t> </w:t>
      </w:r>
      <w:r>
        <w:rPr>
          <w:w w:val="105"/>
          <w:sz w:val="13"/>
        </w:rPr>
        <w:t>about</w:t>
      </w:r>
      <w:r>
        <w:rPr>
          <w:spacing w:val="4"/>
          <w:w w:val="105"/>
          <w:sz w:val="13"/>
        </w:rPr>
        <w:t> </w:t>
      </w:r>
      <w:r>
        <w:rPr>
          <w:w w:val="105"/>
          <w:sz w:val="13"/>
        </w:rPr>
        <w:t>the</w:t>
      </w:r>
      <w:r>
        <w:rPr>
          <w:spacing w:val="5"/>
          <w:w w:val="105"/>
          <w:sz w:val="13"/>
        </w:rPr>
        <w:t> </w:t>
      </w:r>
      <w:r>
        <w:rPr>
          <w:w w:val="105"/>
          <w:sz w:val="13"/>
        </w:rPr>
        <w:t>law</w:t>
      </w:r>
      <w:r>
        <w:rPr>
          <w:spacing w:val="4"/>
          <w:w w:val="105"/>
          <w:sz w:val="13"/>
        </w:rPr>
        <w:t> </w:t>
      </w:r>
      <w:r>
        <w:rPr>
          <w:w w:val="105"/>
          <w:sz w:val="13"/>
        </w:rPr>
        <w:t>and</w:t>
      </w:r>
      <w:r>
        <w:rPr>
          <w:spacing w:val="5"/>
          <w:w w:val="105"/>
          <w:sz w:val="13"/>
        </w:rPr>
        <w:t> </w:t>
      </w:r>
      <w:r>
        <w:rPr>
          <w:w w:val="105"/>
          <w:sz w:val="13"/>
        </w:rPr>
        <w:t>processes</w:t>
      </w:r>
      <w:r>
        <w:rPr>
          <w:spacing w:val="4"/>
          <w:w w:val="105"/>
          <w:sz w:val="13"/>
        </w:rPr>
        <w:t> </w:t>
      </w:r>
      <w:r>
        <w:rPr>
          <w:w w:val="105"/>
          <w:sz w:val="13"/>
        </w:rPr>
        <w:t>are</w:t>
      </w:r>
      <w:r>
        <w:rPr>
          <w:spacing w:val="5"/>
          <w:w w:val="105"/>
          <w:sz w:val="13"/>
        </w:rPr>
        <w:t> </w:t>
      </w:r>
      <w:r>
        <w:rPr>
          <w:w w:val="105"/>
          <w:sz w:val="13"/>
        </w:rPr>
        <w:t>discussed</w:t>
      </w:r>
      <w:r>
        <w:rPr>
          <w:spacing w:val="4"/>
          <w:w w:val="105"/>
          <w:sz w:val="13"/>
        </w:rPr>
        <w:t> </w:t>
      </w:r>
      <w:r>
        <w:rPr>
          <w:w w:val="105"/>
          <w:sz w:val="13"/>
        </w:rPr>
        <w:t>in</w:t>
      </w:r>
      <w:r>
        <w:rPr>
          <w:spacing w:val="5"/>
          <w:w w:val="105"/>
          <w:sz w:val="13"/>
        </w:rPr>
        <w:t> </w:t>
      </w:r>
      <w:r>
        <w:rPr>
          <w:w w:val="105"/>
          <w:sz w:val="13"/>
        </w:rPr>
        <w:t>Chapter</w:t>
      </w:r>
      <w:r>
        <w:rPr>
          <w:spacing w:val="4"/>
          <w:w w:val="105"/>
          <w:sz w:val="13"/>
        </w:rPr>
        <w:t> </w:t>
      </w:r>
      <w:r>
        <w:rPr>
          <w:spacing w:val="-3"/>
          <w:w w:val="105"/>
          <w:sz w:val="13"/>
        </w:rPr>
        <w:t>12.</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BodyText"/>
        <w:spacing w:line="242" w:lineRule="auto" w:before="91"/>
        <w:ind w:left="2381" w:right="1834" w:hanging="1"/>
      </w:pPr>
      <w:bookmarkStart w:name="_bookmark41" w:id="102"/>
      <w:bookmarkEnd w:id="102"/>
      <w:r>
        <w:rPr/>
      </w:r>
      <w:r>
        <w:rPr>
          <w:w w:val="105"/>
        </w:rPr>
        <w:t>Queensland Acts limit the operation of the common law rights to nuisance,</w:t>
      </w:r>
      <w:r>
        <w:rPr>
          <w:w w:val="105"/>
          <w:position w:val="7"/>
          <w:sz w:val="12"/>
        </w:rPr>
        <w:t>54 </w:t>
      </w:r>
      <w:r>
        <w:rPr>
          <w:w w:val="105"/>
        </w:rPr>
        <w:t>although they do modify the right to abatement (see Chapter 6).</w:t>
      </w:r>
    </w:p>
    <w:p>
      <w:pPr>
        <w:pStyle w:val="ListParagraph"/>
        <w:numPr>
          <w:ilvl w:val="1"/>
          <w:numId w:val="16"/>
        </w:numPr>
        <w:tabs>
          <w:tab w:pos="2381" w:val="left" w:leader="none"/>
          <w:tab w:pos="2382" w:val="left" w:leader="none"/>
        </w:tabs>
        <w:spacing w:line="242" w:lineRule="auto" w:before="123" w:after="0"/>
        <w:ind w:left="2381" w:right="1597" w:hanging="794"/>
        <w:jc w:val="left"/>
        <w:rPr>
          <w:sz w:val="21"/>
        </w:rPr>
      </w:pPr>
      <w:r>
        <w:rPr>
          <w:spacing w:val="-3"/>
          <w:sz w:val="21"/>
        </w:rPr>
        <w:t>Also, negligence </w:t>
      </w:r>
      <w:r>
        <w:rPr>
          <w:sz w:val="21"/>
        </w:rPr>
        <w:t>and trespass offer </w:t>
      </w:r>
      <w:r>
        <w:rPr>
          <w:spacing w:val="-3"/>
          <w:sz w:val="21"/>
        </w:rPr>
        <w:t>unique </w:t>
      </w:r>
      <w:r>
        <w:rPr>
          <w:sz w:val="21"/>
        </w:rPr>
        <w:t>and </w:t>
      </w:r>
      <w:r>
        <w:rPr>
          <w:spacing w:val="-3"/>
          <w:sz w:val="21"/>
        </w:rPr>
        <w:t>relevant </w:t>
      </w:r>
      <w:r>
        <w:rPr>
          <w:sz w:val="21"/>
        </w:rPr>
        <w:t>remedies in certain </w:t>
      </w:r>
      <w:r>
        <w:rPr>
          <w:spacing w:val="-3"/>
          <w:sz w:val="21"/>
        </w:rPr>
        <w:t>circumstances  (for example, </w:t>
      </w:r>
      <w:r>
        <w:rPr>
          <w:sz w:val="21"/>
        </w:rPr>
        <w:t>personal injury or trespass </w:t>
      </w:r>
      <w:r>
        <w:rPr>
          <w:spacing w:val="-3"/>
          <w:sz w:val="21"/>
        </w:rPr>
        <w:t>to  </w:t>
      </w:r>
      <w:r>
        <w:rPr>
          <w:sz w:val="21"/>
        </w:rPr>
        <w:t>land). The new Act should </w:t>
      </w:r>
      <w:r>
        <w:rPr>
          <w:spacing w:val="-2"/>
          <w:sz w:val="21"/>
        </w:rPr>
        <w:t>not</w:t>
      </w:r>
      <w:r>
        <w:rPr>
          <w:spacing w:val="43"/>
          <w:sz w:val="21"/>
        </w:rPr>
        <w:t> </w:t>
      </w:r>
      <w:r>
        <w:rPr>
          <w:spacing w:val="-3"/>
          <w:sz w:val="21"/>
        </w:rPr>
        <w:t>limit  </w:t>
      </w:r>
      <w:r>
        <w:rPr>
          <w:sz w:val="21"/>
        </w:rPr>
        <w:t>a </w:t>
      </w:r>
      <w:r>
        <w:rPr>
          <w:spacing w:val="-3"/>
          <w:sz w:val="21"/>
        </w:rPr>
        <w:t>neighbour’s </w:t>
      </w:r>
      <w:r>
        <w:rPr>
          <w:sz w:val="21"/>
        </w:rPr>
        <w:t>ability </w:t>
      </w:r>
      <w:r>
        <w:rPr>
          <w:spacing w:val="-3"/>
          <w:sz w:val="21"/>
        </w:rPr>
        <w:t>to </w:t>
      </w:r>
      <w:r>
        <w:rPr>
          <w:spacing w:val="-2"/>
          <w:sz w:val="21"/>
        </w:rPr>
        <w:t>sue </w:t>
      </w:r>
      <w:r>
        <w:rPr>
          <w:spacing w:val="-3"/>
          <w:sz w:val="21"/>
        </w:rPr>
        <w:t>for negligence </w:t>
      </w:r>
      <w:r>
        <w:rPr>
          <w:sz w:val="21"/>
        </w:rPr>
        <w:t>or trespass </w:t>
      </w:r>
      <w:r>
        <w:rPr>
          <w:spacing w:val="-3"/>
          <w:sz w:val="21"/>
        </w:rPr>
        <w:t>occurring  </w:t>
      </w:r>
      <w:r>
        <w:rPr>
          <w:sz w:val="21"/>
        </w:rPr>
        <w:t>as a </w:t>
      </w:r>
      <w:r>
        <w:rPr>
          <w:spacing w:val="-3"/>
          <w:sz w:val="21"/>
        </w:rPr>
        <w:t>result</w:t>
      </w:r>
      <w:r>
        <w:rPr>
          <w:spacing w:val="41"/>
          <w:sz w:val="21"/>
        </w:rPr>
        <w:t> </w:t>
      </w:r>
      <w:r>
        <w:rPr>
          <w:sz w:val="21"/>
        </w:rPr>
        <w:t>of a tree </w:t>
      </w:r>
      <w:r>
        <w:rPr>
          <w:spacing w:val="-3"/>
          <w:sz w:val="21"/>
        </w:rPr>
        <w:t>dispute. </w:t>
      </w:r>
      <w:r>
        <w:rPr>
          <w:sz w:val="21"/>
        </w:rPr>
        <w:t>This is </w:t>
      </w:r>
      <w:r>
        <w:rPr>
          <w:spacing w:val="-3"/>
          <w:sz w:val="21"/>
        </w:rPr>
        <w:t>consistent </w:t>
      </w:r>
      <w:r>
        <w:rPr>
          <w:sz w:val="21"/>
        </w:rPr>
        <w:t>with the New South </w:t>
      </w:r>
      <w:r>
        <w:rPr>
          <w:spacing w:val="-3"/>
          <w:sz w:val="21"/>
        </w:rPr>
        <w:t>Wales </w:t>
      </w:r>
      <w:r>
        <w:rPr>
          <w:sz w:val="21"/>
        </w:rPr>
        <w:t>Act, where neighbours </w:t>
      </w:r>
      <w:r>
        <w:rPr>
          <w:spacing w:val="-3"/>
          <w:sz w:val="21"/>
        </w:rPr>
        <w:t>may  </w:t>
      </w:r>
      <w:r>
        <w:rPr>
          <w:sz w:val="21"/>
        </w:rPr>
        <w:t>still wish </w:t>
      </w:r>
      <w:r>
        <w:rPr>
          <w:spacing w:val="-3"/>
          <w:sz w:val="21"/>
        </w:rPr>
        <w:t>to</w:t>
      </w:r>
      <w:r>
        <w:rPr>
          <w:spacing w:val="41"/>
          <w:sz w:val="21"/>
        </w:rPr>
        <w:t> </w:t>
      </w:r>
      <w:r>
        <w:rPr>
          <w:spacing w:val="-3"/>
          <w:sz w:val="21"/>
        </w:rPr>
        <w:t>bring  </w:t>
      </w:r>
      <w:r>
        <w:rPr>
          <w:sz w:val="21"/>
        </w:rPr>
        <w:t>an action </w:t>
      </w:r>
      <w:r>
        <w:rPr>
          <w:spacing w:val="-3"/>
          <w:sz w:val="21"/>
        </w:rPr>
        <w:t>for negligence  </w:t>
      </w:r>
      <w:r>
        <w:rPr>
          <w:sz w:val="21"/>
        </w:rPr>
        <w:t>or  trespass  at  </w:t>
      </w:r>
      <w:r>
        <w:rPr>
          <w:spacing w:val="-2"/>
          <w:sz w:val="21"/>
        </w:rPr>
        <w:t>common  </w:t>
      </w:r>
      <w:r>
        <w:rPr>
          <w:spacing w:val="-4"/>
          <w:sz w:val="21"/>
        </w:rPr>
        <w:t>law.</w:t>
      </w:r>
      <w:r>
        <w:rPr>
          <w:spacing w:val="-4"/>
          <w:position w:val="7"/>
          <w:sz w:val="12"/>
        </w:rPr>
        <w:t>55  </w:t>
      </w:r>
      <w:r>
        <w:rPr>
          <w:sz w:val="21"/>
        </w:rPr>
        <w:t>The  </w:t>
      </w:r>
      <w:r>
        <w:rPr>
          <w:spacing w:val="-4"/>
          <w:sz w:val="21"/>
        </w:rPr>
        <w:t>Tasmanian  </w:t>
      </w:r>
      <w:r>
        <w:rPr>
          <w:sz w:val="21"/>
        </w:rPr>
        <w:t>and  </w:t>
      </w:r>
      <w:r>
        <w:rPr>
          <w:spacing w:val="-3"/>
          <w:sz w:val="21"/>
        </w:rPr>
        <w:t>Queensland </w:t>
      </w:r>
      <w:r>
        <w:rPr>
          <w:sz w:val="21"/>
        </w:rPr>
        <w:t>Acts</w:t>
      </w:r>
      <w:r>
        <w:rPr>
          <w:spacing w:val="9"/>
          <w:sz w:val="21"/>
        </w:rPr>
        <w:t> </w:t>
      </w:r>
      <w:r>
        <w:rPr>
          <w:sz w:val="21"/>
        </w:rPr>
        <w:t>do</w:t>
      </w:r>
      <w:r>
        <w:rPr>
          <w:spacing w:val="10"/>
          <w:sz w:val="21"/>
        </w:rPr>
        <w:t> </w:t>
      </w:r>
      <w:r>
        <w:rPr>
          <w:spacing w:val="-2"/>
          <w:sz w:val="21"/>
        </w:rPr>
        <w:t>not</w:t>
      </w:r>
      <w:r>
        <w:rPr>
          <w:spacing w:val="10"/>
          <w:sz w:val="21"/>
        </w:rPr>
        <w:t> </w:t>
      </w:r>
      <w:r>
        <w:rPr>
          <w:spacing w:val="-3"/>
          <w:sz w:val="21"/>
        </w:rPr>
        <w:t>limit</w:t>
      </w:r>
      <w:r>
        <w:rPr>
          <w:spacing w:val="10"/>
          <w:sz w:val="21"/>
        </w:rPr>
        <w:t> </w:t>
      </w:r>
      <w:r>
        <w:rPr>
          <w:sz w:val="21"/>
        </w:rPr>
        <w:t>the</w:t>
      </w:r>
      <w:r>
        <w:rPr>
          <w:spacing w:val="10"/>
          <w:sz w:val="21"/>
        </w:rPr>
        <w:t> </w:t>
      </w:r>
      <w:r>
        <w:rPr>
          <w:spacing w:val="-3"/>
          <w:sz w:val="21"/>
        </w:rPr>
        <w:t>right</w:t>
      </w:r>
      <w:r>
        <w:rPr>
          <w:spacing w:val="10"/>
          <w:sz w:val="21"/>
        </w:rPr>
        <w:t> </w:t>
      </w:r>
      <w:r>
        <w:rPr>
          <w:spacing w:val="-3"/>
          <w:sz w:val="21"/>
        </w:rPr>
        <w:t>to</w:t>
      </w:r>
      <w:r>
        <w:rPr>
          <w:spacing w:val="10"/>
          <w:sz w:val="21"/>
        </w:rPr>
        <w:t> </w:t>
      </w:r>
      <w:r>
        <w:rPr>
          <w:spacing w:val="-3"/>
          <w:sz w:val="21"/>
        </w:rPr>
        <w:t>negligence</w:t>
      </w:r>
      <w:r>
        <w:rPr>
          <w:spacing w:val="10"/>
          <w:sz w:val="21"/>
        </w:rPr>
        <w:t> </w:t>
      </w:r>
      <w:r>
        <w:rPr>
          <w:sz w:val="21"/>
        </w:rPr>
        <w:t>or</w:t>
      </w:r>
      <w:r>
        <w:rPr>
          <w:spacing w:val="10"/>
          <w:sz w:val="21"/>
        </w:rPr>
        <w:t> </w:t>
      </w:r>
      <w:r>
        <w:rPr>
          <w:sz w:val="21"/>
        </w:rPr>
        <w:t>trespass.</w:t>
      </w:r>
    </w:p>
    <w:p>
      <w:pPr>
        <w:pStyle w:val="ListParagraph"/>
        <w:numPr>
          <w:ilvl w:val="1"/>
          <w:numId w:val="16"/>
        </w:numPr>
        <w:tabs>
          <w:tab w:pos="2381" w:val="left" w:leader="none"/>
          <w:tab w:pos="2382" w:val="left" w:leader="none"/>
        </w:tabs>
        <w:spacing w:line="242" w:lineRule="auto" w:before="126" w:after="0"/>
        <w:ind w:left="2381" w:right="1770" w:hanging="794"/>
        <w:jc w:val="left"/>
        <w:rPr>
          <w:sz w:val="21"/>
        </w:rPr>
      </w:pPr>
      <w:r>
        <w:rPr>
          <w:w w:val="105"/>
          <w:sz w:val="21"/>
        </w:rPr>
        <w:t>The </w:t>
      </w:r>
      <w:r>
        <w:rPr>
          <w:spacing w:val="-3"/>
          <w:w w:val="105"/>
          <w:sz w:val="21"/>
        </w:rPr>
        <w:t>Commission </w:t>
      </w:r>
      <w:r>
        <w:rPr>
          <w:w w:val="105"/>
          <w:sz w:val="21"/>
        </w:rPr>
        <w:t>acknowledges </w:t>
      </w:r>
      <w:r>
        <w:rPr>
          <w:spacing w:val="-3"/>
          <w:w w:val="105"/>
          <w:sz w:val="21"/>
        </w:rPr>
        <w:t>concerns </w:t>
      </w:r>
      <w:r>
        <w:rPr>
          <w:w w:val="105"/>
          <w:sz w:val="21"/>
        </w:rPr>
        <w:t>expressed by </w:t>
      </w:r>
      <w:r>
        <w:rPr>
          <w:spacing w:val="-3"/>
          <w:w w:val="105"/>
          <w:sz w:val="21"/>
        </w:rPr>
        <w:t>ENSPEC that </w:t>
      </w:r>
      <w:r>
        <w:rPr>
          <w:w w:val="105"/>
          <w:sz w:val="21"/>
        </w:rPr>
        <w:t>a new Act </w:t>
      </w:r>
      <w:r>
        <w:rPr>
          <w:spacing w:val="-3"/>
          <w:w w:val="105"/>
          <w:sz w:val="21"/>
        </w:rPr>
        <w:t>could increase </w:t>
      </w:r>
      <w:r>
        <w:rPr>
          <w:w w:val="105"/>
          <w:sz w:val="21"/>
        </w:rPr>
        <w:t>the level of disputation in the community or </w:t>
      </w:r>
      <w:r>
        <w:rPr>
          <w:spacing w:val="-3"/>
          <w:w w:val="105"/>
          <w:sz w:val="21"/>
        </w:rPr>
        <w:t>result </w:t>
      </w:r>
      <w:r>
        <w:rPr>
          <w:w w:val="105"/>
          <w:sz w:val="21"/>
        </w:rPr>
        <w:t>in more </w:t>
      </w:r>
      <w:r>
        <w:rPr>
          <w:spacing w:val="-4"/>
          <w:w w:val="105"/>
          <w:sz w:val="21"/>
        </w:rPr>
        <w:t>‘unreasonable </w:t>
      </w:r>
      <w:r>
        <w:rPr>
          <w:spacing w:val="-3"/>
          <w:w w:val="105"/>
          <w:sz w:val="21"/>
        </w:rPr>
        <w:t>disputes </w:t>
      </w:r>
      <w:r>
        <w:rPr>
          <w:w w:val="105"/>
          <w:sz w:val="21"/>
        </w:rPr>
        <w:t>going further </w:t>
      </w:r>
      <w:r>
        <w:rPr>
          <w:spacing w:val="-3"/>
          <w:w w:val="105"/>
          <w:sz w:val="21"/>
        </w:rPr>
        <w:t>than </w:t>
      </w:r>
      <w:r>
        <w:rPr>
          <w:w w:val="105"/>
          <w:sz w:val="21"/>
        </w:rPr>
        <w:t>an enquiry </w:t>
      </w:r>
      <w:r>
        <w:rPr>
          <w:spacing w:val="-3"/>
          <w:w w:val="105"/>
          <w:sz w:val="21"/>
        </w:rPr>
        <w:t>to </w:t>
      </w:r>
      <w:r>
        <w:rPr>
          <w:spacing w:val="-4"/>
          <w:w w:val="105"/>
          <w:sz w:val="21"/>
        </w:rPr>
        <w:t>DSCV’.</w:t>
      </w:r>
      <w:r>
        <w:rPr>
          <w:spacing w:val="-4"/>
          <w:w w:val="105"/>
          <w:position w:val="7"/>
          <w:sz w:val="12"/>
        </w:rPr>
        <w:t>56 </w:t>
      </w:r>
      <w:r>
        <w:rPr>
          <w:w w:val="105"/>
          <w:sz w:val="21"/>
        </w:rPr>
        <w:t>Others expressed </w:t>
      </w:r>
      <w:r>
        <w:rPr>
          <w:spacing w:val="-3"/>
          <w:w w:val="105"/>
          <w:sz w:val="21"/>
        </w:rPr>
        <w:t>concern that </w:t>
      </w:r>
      <w:r>
        <w:rPr>
          <w:w w:val="105"/>
          <w:sz w:val="21"/>
        </w:rPr>
        <w:t>a new Act </w:t>
      </w:r>
      <w:r>
        <w:rPr>
          <w:spacing w:val="-3"/>
          <w:w w:val="105"/>
          <w:sz w:val="21"/>
        </w:rPr>
        <w:t>may </w:t>
      </w:r>
      <w:r>
        <w:rPr>
          <w:w w:val="105"/>
          <w:sz w:val="21"/>
        </w:rPr>
        <w:t>lead </w:t>
      </w:r>
      <w:r>
        <w:rPr>
          <w:spacing w:val="-3"/>
          <w:w w:val="105"/>
          <w:sz w:val="21"/>
        </w:rPr>
        <w:t>to increased </w:t>
      </w:r>
      <w:r>
        <w:rPr>
          <w:w w:val="105"/>
          <w:sz w:val="21"/>
        </w:rPr>
        <w:t>vegetation</w:t>
      </w:r>
      <w:r>
        <w:rPr>
          <w:spacing w:val="36"/>
          <w:w w:val="105"/>
          <w:sz w:val="21"/>
        </w:rPr>
        <w:t> </w:t>
      </w:r>
      <w:r>
        <w:rPr>
          <w:spacing w:val="-3"/>
          <w:w w:val="105"/>
          <w:sz w:val="21"/>
        </w:rPr>
        <w:t>removal.</w:t>
      </w:r>
      <w:r>
        <w:rPr>
          <w:spacing w:val="-3"/>
          <w:w w:val="105"/>
          <w:position w:val="7"/>
          <w:sz w:val="12"/>
        </w:rPr>
        <w:t>57</w:t>
      </w:r>
    </w:p>
    <w:p>
      <w:pPr>
        <w:pStyle w:val="ListParagraph"/>
        <w:numPr>
          <w:ilvl w:val="1"/>
          <w:numId w:val="16"/>
        </w:numPr>
        <w:tabs>
          <w:tab w:pos="2381" w:val="left" w:leader="none"/>
          <w:tab w:pos="2382" w:val="left" w:leader="none"/>
        </w:tabs>
        <w:spacing w:line="242" w:lineRule="auto" w:before="125" w:after="0"/>
        <w:ind w:left="2381" w:right="1831" w:hanging="794"/>
        <w:jc w:val="left"/>
        <w:rPr>
          <w:sz w:val="21"/>
        </w:rPr>
      </w:pPr>
      <w:r>
        <w:rPr>
          <w:w w:val="105"/>
          <w:sz w:val="21"/>
        </w:rPr>
        <w:t>The </w:t>
      </w:r>
      <w:r>
        <w:rPr>
          <w:spacing w:val="-4"/>
          <w:w w:val="105"/>
          <w:sz w:val="21"/>
        </w:rPr>
        <w:t>Commission’s </w:t>
      </w:r>
      <w:r>
        <w:rPr>
          <w:spacing w:val="-3"/>
          <w:w w:val="105"/>
          <w:sz w:val="21"/>
        </w:rPr>
        <w:t>recommendations, including </w:t>
      </w:r>
      <w:r>
        <w:rPr>
          <w:w w:val="105"/>
          <w:sz w:val="21"/>
        </w:rPr>
        <w:t>mandatory decision-making </w:t>
      </w:r>
      <w:r>
        <w:rPr>
          <w:spacing w:val="-3"/>
          <w:w w:val="105"/>
          <w:sz w:val="21"/>
        </w:rPr>
        <w:t>principles </w:t>
      </w:r>
      <w:r>
        <w:rPr>
          <w:w w:val="105"/>
          <w:sz w:val="21"/>
        </w:rPr>
        <w:t>and a </w:t>
      </w:r>
      <w:r>
        <w:rPr>
          <w:spacing w:val="-3"/>
          <w:w w:val="105"/>
          <w:sz w:val="21"/>
        </w:rPr>
        <w:t>requirement for </w:t>
      </w:r>
      <w:r>
        <w:rPr>
          <w:w w:val="105"/>
          <w:sz w:val="21"/>
        </w:rPr>
        <w:t>expert </w:t>
      </w:r>
      <w:r>
        <w:rPr>
          <w:spacing w:val="-3"/>
          <w:w w:val="105"/>
          <w:sz w:val="21"/>
        </w:rPr>
        <w:t>evidence, aim to ensure that </w:t>
      </w:r>
      <w:r>
        <w:rPr>
          <w:w w:val="105"/>
          <w:sz w:val="21"/>
        </w:rPr>
        <w:t>the matters </w:t>
      </w:r>
      <w:r>
        <w:rPr>
          <w:spacing w:val="-3"/>
          <w:w w:val="105"/>
          <w:sz w:val="21"/>
        </w:rPr>
        <w:t>initiated </w:t>
      </w:r>
      <w:r>
        <w:rPr>
          <w:w w:val="105"/>
          <w:sz w:val="21"/>
        </w:rPr>
        <w:t>in </w:t>
      </w:r>
      <w:r>
        <w:rPr>
          <w:spacing w:val="-5"/>
          <w:w w:val="105"/>
          <w:sz w:val="21"/>
        </w:rPr>
        <w:t>VCAT </w:t>
      </w:r>
      <w:r>
        <w:rPr>
          <w:spacing w:val="-3"/>
          <w:w w:val="105"/>
          <w:sz w:val="21"/>
        </w:rPr>
        <w:t>are disputes </w:t>
      </w:r>
      <w:r>
        <w:rPr>
          <w:w w:val="105"/>
          <w:sz w:val="21"/>
        </w:rPr>
        <w:t>of </w:t>
      </w:r>
      <w:r>
        <w:rPr>
          <w:spacing w:val="-3"/>
          <w:w w:val="105"/>
          <w:sz w:val="21"/>
        </w:rPr>
        <w:t>real </w:t>
      </w:r>
      <w:r>
        <w:rPr>
          <w:w w:val="105"/>
          <w:sz w:val="21"/>
        </w:rPr>
        <w:t>substance and </w:t>
      </w:r>
      <w:r>
        <w:rPr>
          <w:spacing w:val="-3"/>
          <w:w w:val="105"/>
          <w:sz w:val="21"/>
        </w:rPr>
        <w:t>that </w:t>
      </w:r>
      <w:r>
        <w:rPr>
          <w:w w:val="105"/>
          <w:sz w:val="21"/>
        </w:rPr>
        <w:t>a </w:t>
      </w:r>
      <w:r>
        <w:rPr>
          <w:spacing w:val="-3"/>
          <w:w w:val="105"/>
          <w:sz w:val="21"/>
        </w:rPr>
        <w:t>range </w:t>
      </w:r>
      <w:r>
        <w:rPr>
          <w:w w:val="105"/>
          <w:sz w:val="21"/>
        </w:rPr>
        <w:t>of </w:t>
      </w:r>
      <w:r>
        <w:rPr>
          <w:spacing w:val="-3"/>
          <w:w w:val="105"/>
          <w:sz w:val="21"/>
        </w:rPr>
        <w:t>different considerations are balanced transparently </w:t>
      </w:r>
      <w:r>
        <w:rPr>
          <w:w w:val="105"/>
          <w:sz w:val="21"/>
        </w:rPr>
        <w:t>in the decision-making</w:t>
      </w:r>
      <w:r>
        <w:rPr>
          <w:spacing w:val="19"/>
          <w:w w:val="105"/>
          <w:sz w:val="21"/>
        </w:rPr>
        <w:t> </w:t>
      </w:r>
      <w:r>
        <w:rPr>
          <w:w w:val="105"/>
          <w:sz w:val="21"/>
        </w:rPr>
        <w:t>process.</w:t>
      </w:r>
    </w:p>
    <w:p>
      <w:pPr>
        <w:pStyle w:val="ListParagraph"/>
        <w:numPr>
          <w:ilvl w:val="1"/>
          <w:numId w:val="16"/>
        </w:numPr>
        <w:tabs>
          <w:tab w:pos="2381" w:val="left" w:leader="none"/>
          <w:tab w:pos="2382" w:val="left" w:leader="none"/>
        </w:tabs>
        <w:spacing w:line="242" w:lineRule="auto" w:before="124" w:after="0"/>
        <w:ind w:left="2381" w:right="1604" w:hanging="794"/>
        <w:jc w:val="left"/>
        <w:rPr>
          <w:sz w:val="21"/>
        </w:rPr>
      </w:pPr>
      <w:r>
        <w:rPr>
          <w:w w:val="105"/>
          <w:sz w:val="21"/>
        </w:rPr>
        <w:t>The </w:t>
      </w:r>
      <w:r>
        <w:rPr>
          <w:spacing w:val="-3"/>
          <w:w w:val="105"/>
          <w:sz w:val="21"/>
        </w:rPr>
        <w:t>Commission </w:t>
      </w:r>
      <w:r>
        <w:rPr>
          <w:w w:val="105"/>
          <w:sz w:val="21"/>
        </w:rPr>
        <w:t>is </w:t>
      </w:r>
      <w:r>
        <w:rPr>
          <w:spacing w:val="-3"/>
          <w:w w:val="105"/>
          <w:sz w:val="21"/>
        </w:rPr>
        <w:t>encouraged </w:t>
      </w:r>
      <w:r>
        <w:rPr>
          <w:w w:val="105"/>
          <w:sz w:val="21"/>
        </w:rPr>
        <w:t>by the positive </w:t>
      </w:r>
      <w:r>
        <w:rPr>
          <w:spacing w:val="-3"/>
          <w:w w:val="105"/>
          <w:sz w:val="21"/>
        </w:rPr>
        <w:t>findings </w:t>
      </w:r>
      <w:r>
        <w:rPr>
          <w:w w:val="105"/>
          <w:sz w:val="21"/>
        </w:rPr>
        <w:t>of the statutory reviews of the tree </w:t>
      </w:r>
      <w:r>
        <w:rPr>
          <w:spacing w:val="-3"/>
          <w:w w:val="105"/>
          <w:sz w:val="21"/>
        </w:rPr>
        <w:t>dispute </w:t>
      </w:r>
      <w:r>
        <w:rPr>
          <w:w w:val="105"/>
          <w:sz w:val="21"/>
        </w:rPr>
        <w:t>Acts in New South </w:t>
      </w:r>
      <w:r>
        <w:rPr>
          <w:spacing w:val="-3"/>
          <w:w w:val="105"/>
          <w:sz w:val="21"/>
        </w:rPr>
        <w:t>Wales </w:t>
      </w:r>
      <w:r>
        <w:rPr>
          <w:w w:val="105"/>
          <w:sz w:val="21"/>
        </w:rPr>
        <w:t>and </w:t>
      </w:r>
      <w:r>
        <w:rPr>
          <w:spacing w:val="-3"/>
          <w:w w:val="105"/>
          <w:sz w:val="21"/>
        </w:rPr>
        <w:t>Queensland,</w:t>
      </w:r>
      <w:r>
        <w:rPr>
          <w:spacing w:val="-3"/>
          <w:w w:val="105"/>
          <w:position w:val="7"/>
          <w:sz w:val="12"/>
        </w:rPr>
        <w:t>58 </w:t>
      </w:r>
      <w:r>
        <w:rPr>
          <w:w w:val="105"/>
          <w:sz w:val="21"/>
        </w:rPr>
        <w:t>and by its own </w:t>
      </w:r>
      <w:r>
        <w:rPr>
          <w:spacing w:val="-3"/>
          <w:w w:val="105"/>
          <w:sz w:val="21"/>
        </w:rPr>
        <w:t>discussions </w:t>
      </w:r>
      <w:r>
        <w:rPr>
          <w:w w:val="105"/>
          <w:sz w:val="21"/>
        </w:rPr>
        <w:t>in  the course of this </w:t>
      </w:r>
      <w:r>
        <w:rPr>
          <w:spacing w:val="-4"/>
          <w:w w:val="105"/>
          <w:sz w:val="21"/>
        </w:rPr>
        <w:t>review.</w:t>
      </w:r>
      <w:r>
        <w:rPr>
          <w:spacing w:val="-4"/>
          <w:w w:val="105"/>
          <w:position w:val="7"/>
          <w:sz w:val="12"/>
        </w:rPr>
        <w:t>59 </w:t>
      </w:r>
      <w:r>
        <w:rPr>
          <w:w w:val="105"/>
          <w:sz w:val="21"/>
        </w:rPr>
        <w:t>The </w:t>
      </w:r>
      <w:r>
        <w:rPr>
          <w:spacing w:val="-3"/>
          <w:w w:val="105"/>
          <w:sz w:val="21"/>
        </w:rPr>
        <w:t>Commission </w:t>
      </w:r>
      <w:r>
        <w:rPr>
          <w:w w:val="105"/>
          <w:sz w:val="21"/>
        </w:rPr>
        <w:t>also understands </w:t>
      </w:r>
      <w:r>
        <w:rPr>
          <w:spacing w:val="-3"/>
          <w:w w:val="105"/>
          <w:sz w:val="21"/>
        </w:rPr>
        <w:t>that </w:t>
      </w:r>
      <w:r>
        <w:rPr>
          <w:w w:val="105"/>
          <w:sz w:val="21"/>
        </w:rPr>
        <w:t>the statutory scheme </w:t>
      </w:r>
      <w:r>
        <w:rPr>
          <w:spacing w:val="-3"/>
          <w:w w:val="105"/>
          <w:sz w:val="21"/>
        </w:rPr>
        <w:t>for </w:t>
      </w:r>
      <w:r>
        <w:rPr>
          <w:w w:val="105"/>
          <w:sz w:val="21"/>
        </w:rPr>
        <w:t>resolving </w:t>
      </w:r>
      <w:r>
        <w:rPr>
          <w:spacing w:val="-3"/>
          <w:w w:val="105"/>
          <w:sz w:val="21"/>
        </w:rPr>
        <w:t>fence disputes </w:t>
      </w:r>
      <w:r>
        <w:rPr>
          <w:w w:val="105"/>
          <w:sz w:val="21"/>
        </w:rPr>
        <w:t>under the </w:t>
      </w:r>
      <w:r>
        <w:rPr>
          <w:i/>
          <w:w w:val="105"/>
          <w:sz w:val="21"/>
        </w:rPr>
        <w:t>Fences Act </w:t>
      </w:r>
      <w:r>
        <w:rPr>
          <w:i/>
          <w:spacing w:val="-4"/>
          <w:w w:val="105"/>
          <w:sz w:val="21"/>
        </w:rPr>
        <w:t>1968 </w:t>
      </w:r>
      <w:r>
        <w:rPr>
          <w:w w:val="105"/>
          <w:sz w:val="21"/>
        </w:rPr>
        <w:t>(Vic) is </w:t>
      </w:r>
      <w:r>
        <w:rPr>
          <w:spacing w:val="-3"/>
          <w:w w:val="105"/>
          <w:sz w:val="21"/>
        </w:rPr>
        <w:t>working well </w:t>
      </w:r>
      <w:r>
        <w:rPr>
          <w:w w:val="105"/>
          <w:sz w:val="21"/>
        </w:rPr>
        <w:t>and </w:t>
      </w:r>
      <w:r>
        <w:rPr>
          <w:spacing w:val="-3"/>
          <w:w w:val="105"/>
          <w:sz w:val="21"/>
        </w:rPr>
        <w:t>providing </w:t>
      </w:r>
      <w:r>
        <w:rPr>
          <w:w w:val="105"/>
          <w:sz w:val="21"/>
        </w:rPr>
        <w:t>clarity about rights and </w:t>
      </w:r>
      <w:r>
        <w:rPr>
          <w:spacing w:val="-3"/>
          <w:w w:val="105"/>
          <w:sz w:val="21"/>
        </w:rPr>
        <w:t>dispute</w:t>
      </w:r>
      <w:r>
        <w:rPr>
          <w:spacing w:val="22"/>
          <w:w w:val="105"/>
          <w:sz w:val="21"/>
        </w:rPr>
        <w:t> </w:t>
      </w:r>
      <w:r>
        <w:rPr>
          <w:spacing w:val="-3"/>
          <w:w w:val="105"/>
          <w:sz w:val="21"/>
        </w:rPr>
        <w:t>resolution.</w:t>
      </w:r>
    </w:p>
    <w:p>
      <w:pPr>
        <w:pStyle w:val="ListParagraph"/>
        <w:numPr>
          <w:ilvl w:val="1"/>
          <w:numId w:val="16"/>
        </w:numPr>
        <w:tabs>
          <w:tab w:pos="2380" w:val="left" w:leader="none"/>
          <w:tab w:pos="2381" w:val="left" w:leader="none"/>
        </w:tabs>
        <w:spacing w:line="242" w:lineRule="auto" w:before="125" w:after="0"/>
        <w:ind w:left="2381" w:right="1643" w:hanging="794"/>
        <w:jc w:val="left"/>
        <w:rPr>
          <w:sz w:val="21"/>
        </w:rPr>
      </w:pPr>
      <w:r>
        <w:rPr>
          <w:w w:val="105"/>
          <w:sz w:val="21"/>
        </w:rPr>
        <w:t>Rather </w:t>
      </w:r>
      <w:r>
        <w:rPr>
          <w:spacing w:val="-3"/>
          <w:w w:val="105"/>
          <w:sz w:val="21"/>
        </w:rPr>
        <w:t>than </w:t>
      </w:r>
      <w:r>
        <w:rPr>
          <w:w w:val="105"/>
          <w:sz w:val="21"/>
        </w:rPr>
        <w:t>tackle </w:t>
      </w:r>
      <w:r>
        <w:rPr>
          <w:spacing w:val="-3"/>
          <w:w w:val="105"/>
          <w:sz w:val="21"/>
        </w:rPr>
        <w:t>current inadequacies </w:t>
      </w:r>
      <w:r>
        <w:rPr>
          <w:w w:val="105"/>
          <w:sz w:val="21"/>
        </w:rPr>
        <w:t>in the law solely </w:t>
      </w:r>
      <w:r>
        <w:rPr>
          <w:spacing w:val="-3"/>
          <w:w w:val="105"/>
          <w:sz w:val="21"/>
        </w:rPr>
        <w:t>through </w:t>
      </w:r>
      <w:r>
        <w:rPr>
          <w:w w:val="105"/>
          <w:sz w:val="21"/>
        </w:rPr>
        <w:t>education and community resources,</w:t>
      </w:r>
      <w:r>
        <w:rPr>
          <w:w w:val="105"/>
          <w:position w:val="7"/>
          <w:sz w:val="12"/>
        </w:rPr>
        <w:t>60 </w:t>
      </w:r>
      <w:r>
        <w:rPr>
          <w:w w:val="105"/>
          <w:sz w:val="21"/>
        </w:rPr>
        <w:t>these </w:t>
      </w:r>
      <w:r>
        <w:rPr>
          <w:spacing w:val="-3"/>
          <w:w w:val="105"/>
          <w:sz w:val="21"/>
        </w:rPr>
        <w:t>resources </w:t>
      </w:r>
      <w:r>
        <w:rPr>
          <w:w w:val="105"/>
          <w:sz w:val="21"/>
        </w:rPr>
        <w:t>should </w:t>
      </w:r>
      <w:r>
        <w:rPr>
          <w:spacing w:val="-3"/>
          <w:w w:val="105"/>
          <w:sz w:val="21"/>
        </w:rPr>
        <w:t>complement </w:t>
      </w:r>
      <w:r>
        <w:rPr>
          <w:w w:val="105"/>
          <w:sz w:val="21"/>
        </w:rPr>
        <w:t>the introduction of a new Act. Supporting </w:t>
      </w:r>
      <w:r>
        <w:rPr>
          <w:spacing w:val="-3"/>
          <w:w w:val="105"/>
          <w:sz w:val="21"/>
        </w:rPr>
        <w:t>material </w:t>
      </w:r>
      <w:r>
        <w:rPr>
          <w:w w:val="105"/>
          <w:sz w:val="21"/>
        </w:rPr>
        <w:t>should explain in an </w:t>
      </w:r>
      <w:r>
        <w:rPr>
          <w:spacing w:val="-3"/>
          <w:w w:val="105"/>
          <w:sz w:val="21"/>
        </w:rPr>
        <w:t>accessible way </w:t>
      </w:r>
      <w:r>
        <w:rPr>
          <w:w w:val="105"/>
          <w:sz w:val="21"/>
        </w:rPr>
        <w:t>how the new Act works and provide</w:t>
      </w:r>
      <w:r>
        <w:rPr>
          <w:spacing w:val="-16"/>
          <w:w w:val="105"/>
          <w:sz w:val="21"/>
        </w:rPr>
        <w:t> </w:t>
      </w:r>
      <w:r>
        <w:rPr>
          <w:spacing w:val="-3"/>
          <w:w w:val="105"/>
          <w:sz w:val="21"/>
        </w:rPr>
        <w:t>information</w:t>
      </w:r>
      <w:r>
        <w:rPr>
          <w:spacing w:val="-15"/>
          <w:w w:val="105"/>
          <w:sz w:val="21"/>
        </w:rPr>
        <w:t> </w:t>
      </w:r>
      <w:r>
        <w:rPr>
          <w:w w:val="105"/>
          <w:sz w:val="21"/>
        </w:rPr>
        <w:t>about</w:t>
      </w:r>
      <w:r>
        <w:rPr>
          <w:spacing w:val="-15"/>
          <w:w w:val="105"/>
          <w:sz w:val="21"/>
        </w:rPr>
        <w:t> </w:t>
      </w:r>
      <w:r>
        <w:rPr>
          <w:w w:val="105"/>
          <w:sz w:val="21"/>
        </w:rPr>
        <w:t>the</w:t>
      </w:r>
      <w:r>
        <w:rPr>
          <w:spacing w:val="-15"/>
          <w:w w:val="105"/>
          <w:sz w:val="21"/>
        </w:rPr>
        <w:t> </w:t>
      </w:r>
      <w:r>
        <w:rPr>
          <w:w w:val="105"/>
          <w:sz w:val="21"/>
        </w:rPr>
        <w:t>broader</w:t>
      </w:r>
      <w:r>
        <w:rPr>
          <w:spacing w:val="-15"/>
          <w:w w:val="105"/>
          <w:sz w:val="21"/>
        </w:rPr>
        <w:t> </w:t>
      </w:r>
      <w:r>
        <w:rPr>
          <w:w w:val="105"/>
          <w:sz w:val="21"/>
        </w:rPr>
        <w:t>tools</w:t>
      </w:r>
      <w:r>
        <w:rPr>
          <w:spacing w:val="-15"/>
          <w:w w:val="105"/>
          <w:sz w:val="21"/>
        </w:rPr>
        <w:t> </w:t>
      </w:r>
      <w:r>
        <w:rPr>
          <w:spacing w:val="-3"/>
          <w:w w:val="105"/>
          <w:sz w:val="21"/>
        </w:rPr>
        <w:t>available</w:t>
      </w:r>
      <w:r>
        <w:rPr>
          <w:spacing w:val="-15"/>
          <w:w w:val="105"/>
          <w:sz w:val="21"/>
        </w:rPr>
        <w:t> </w:t>
      </w:r>
      <w:r>
        <w:rPr>
          <w:spacing w:val="-3"/>
          <w:w w:val="105"/>
          <w:sz w:val="21"/>
        </w:rPr>
        <w:t>to</w:t>
      </w:r>
      <w:r>
        <w:rPr>
          <w:spacing w:val="-15"/>
          <w:w w:val="105"/>
          <w:sz w:val="21"/>
        </w:rPr>
        <w:t> </w:t>
      </w:r>
      <w:r>
        <w:rPr>
          <w:w w:val="105"/>
          <w:sz w:val="21"/>
        </w:rPr>
        <w:t>help</w:t>
      </w:r>
      <w:r>
        <w:rPr>
          <w:spacing w:val="-15"/>
          <w:w w:val="105"/>
          <w:sz w:val="21"/>
        </w:rPr>
        <w:t> </w:t>
      </w:r>
      <w:r>
        <w:rPr>
          <w:w w:val="105"/>
          <w:sz w:val="21"/>
        </w:rPr>
        <w:t>the</w:t>
      </w:r>
      <w:r>
        <w:rPr>
          <w:spacing w:val="-15"/>
          <w:w w:val="105"/>
          <w:sz w:val="21"/>
        </w:rPr>
        <w:t> </w:t>
      </w:r>
      <w:r>
        <w:rPr>
          <w:w w:val="105"/>
          <w:sz w:val="21"/>
        </w:rPr>
        <w:t>community</w:t>
      </w:r>
      <w:r>
        <w:rPr>
          <w:spacing w:val="-15"/>
          <w:w w:val="105"/>
          <w:sz w:val="21"/>
        </w:rPr>
        <w:t> </w:t>
      </w:r>
      <w:r>
        <w:rPr>
          <w:w w:val="105"/>
          <w:sz w:val="21"/>
        </w:rPr>
        <w:t>resolve</w:t>
      </w:r>
      <w:r>
        <w:rPr>
          <w:spacing w:val="-15"/>
          <w:w w:val="105"/>
          <w:sz w:val="21"/>
        </w:rPr>
        <w:t> </w:t>
      </w:r>
      <w:r>
        <w:rPr>
          <w:w w:val="105"/>
          <w:sz w:val="21"/>
        </w:rPr>
        <w:t>their </w:t>
      </w:r>
      <w:r>
        <w:rPr>
          <w:spacing w:val="-3"/>
          <w:w w:val="105"/>
          <w:sz w:val="21"/>
        </w:rPr>
        <w:t>disputes </w:t>
      </w:r>
      <w:r>
        <w:rPr>
          <w:w w:val="105"/>
          <w:sz w:val="21"/>
        </w:rPr>
        <w:t>and </w:t>
      </w:r>
      <w:r>
        <w:rPr>
          <w:spacing w:val="-3"/>
          <w:w w:val="105"/>
          <w:sz w:val="21"/>
        </w:rPr>
        <w:t>manage </w:t>
      </w:r>
      <w:r>
        <w:rPr>
          <w:w w:val="105"/>
          <w:sz w:val="21"/>
        </w:rPr>
        <w:t>vegetation</w:t>
      </w:r>
      <w:r>
        <w:rPr>
          <w:spacing w:val="25"/>
          <w:w w:val="105"/>
          <w:sz w:val="21"/>
        </w:rPr>
        <w:t> </w:t>
      </w:r>
      <w:r>
        <w:rPr>
          <w:spacing w:val="-4"/>
          <w:w w:val="105"/>
          <w:sz w:val="21"/>
        </w:rPr>
        <w:t>better.</w:t>
      </w:r>
    </w:p>
    <w:p>
      <w:pPr>
        <w:pStyle w:val="BodyText"/>
        <w:spacing w:before="6"/>
        <w:rPr>
          <w:sz w:val="20"/>
        </w:rPr>
      </w:pPr>
    </w:p>
    <w:p>
      <w:pPr>
        <w:pStyle w:val="Heading5"/>
      </w:pPr>
      <w:r>
        <w:rPr>
          <w:w w:val="110"/>
        </w:rPr>
        <w:t>Other reform ideas</w:t>
      </w:r>
    </w:p>
    <w:p>
      <w:pPr>
        <w:pStyle w:val="ListParagraph"/>
        <w:numPr>
          <w:ilvl w:val="1"/>
          <w:numId w:val="16"/>
        </w:numPr>
        <w:tabs>
          <w:tab w:pos="2381" w:val="left" w:leader="none"/>
          <w:tab w:pos="2382" w:val="left" w:leader="none"/>
        </w:tabs>
        <w:spacing w:line="242" w:lineRule="auto" w:before="138" w:after="0"/>
        <w:ind w:left="2381" w:right="1611" w:hanging="794"/>
        <w:jc w:val="left"/>
        <w:rPr>
          <w:sz w:val="21"/>
        </w:rPr>
      </w:pPr>
      <w:r>
        <w:rPr>
          <w:w w:val="105"/>
          <w:sz w:val="21"/>
        </w:rPr>
        <w:t>Proposals </w:t>
      </w:r>
      <w:r>
        <w:rPr>
          <w:spacing w:val="-3"/>
          <w:w w:val="105"/>
          <w:sz w:val="21"/>
        </w:rPr>
        <w:t>for </w:t>
      </w:r>
      <w:r>
        <w:rPr>
          <w:w w:val="105"/>
          <w:sz w:val="21"/>
        </w:rPr>
        <w:t>a resolution and </w:t>
      </w:r>
      <w:r>
        <w:rPr>
          <w:spacing w:val="-3"/>
          <w:w w:val="105"/>
          <w:sz w:val="21"/>
        </w:rPr>
        <w:t>enforcement </w:t>
      </w:r>
      <w:r>
        <w:rPr>
          <w:w w:val="105"/>
          <w:sz w:val="21"/>
        </w:rPr>
        <w:t>process </w:t>
      </w:r>
      <w:r>
        <w:rPr>
          <w:spacing w:val="-3"/>
          <w:w w:val="105"/>
          <w:sz w:val="21"/>
        </w:rPr>
        <w:t>through </w:t>
      </w:r>
      <w:r>
        <w:rPr>
          <w:w w:val="105"/>
          <w:sz w:val="21"/>
        </w:rPr>
        <w:t>local </w:t>
      </w:r>
      <w:r>
        <w:rPr>
          <w:spacing w:val="-3"/>
          <w:w w:val="105"/>
          <w:sz w:val="21"/>
        </w:rPr>
        <w:t>councils</w:t>
      </w:r>
      <w:r>
        <w:rPr>
          <w:spacing w:val="-3"/>
          <w:w w:val="105"/>
          <w:position w:val="7"/>
          <w:sz w:val="12"/>
        </w:rPr>
        <w:t>61 </w:t>
      </w:r>
      <w:r>
        <w:rPr>
          <w:spacing w:val="-3"/>
          <w:w w:val="105"/>
          <w:sz w:val="21"/>
        </w:rPr>
        <w:t>are </w:t>
      </w:r>
      <w:r>
        <w:rPr>
          <w:spacing w:val="-2"/>
          <w:w w:val="105"/>
          <w:sz w:val="21"/>
        </w:rPr>
        <w:t>not </w:t>
      </w:r>
      <w:r>
        <w:rPr>
          <w:w w:val="105"/>
          <w:sz w:val="21"/>
        </w:rPr>
        <w:t>supported because this is contrary </w:t>
      </w:r>
      <w:r>
        <w:rPr>
          <w:spacing w:val="-3"/>
          <w:w w:val="105"/>
          <w:sz w:val="21"/>
        </w:rPr>
        <w:t>to </w:t>
      </w:r>
      <w:r>
        <w:rPr>
          <w:w w:val="105"/>
          <w:sz w:val="21"/>
        </w:rPr>
        <w:t>the primary role of local </w:t>
      </w:r>
      <w:r>
        <w:rPr>
          <w:spacing w:val="-3"/>
          <w:w w:val="105"/>
          <w:sz w:val="21"/>
        </w:rPr>
        <w:t>councils. </w:t>
      </w:r>
      <w:r>
        <w:rPr>
          <w:w w:val="105"/>
          <w:sz w:val="21"/>
        </w:rPr>
        <w:t>An independent review </w:t>
      </w:r>
      <w:r>
        <w:rPr>
          <w:spacing w:val="-3"/>
          <w:w w:val="105"/>
          <w:sz w:val="21"/>
        </w:rPr>
        <w:t>body, such </w:t>
      </w:r>
      <w:r>
        <w:rPr>
          <w:w w:val="105"/>
          <w:sz w:val="21"/>
        </w:rPr>
        <w:t>as an office of a </w:t>
      </w:r>
      <w:r>
        <w:rPr>
          <w:spacing w:val="-3"/>
          <w:w w:val="105"/>
          <w:sz w:val="21"/>
        </w:rPr>
        <w:t>State </w:t>
      </w:r>
      <w:r>
        <w:rPr>
          <w:w w:val="105"/>
          <w:sz w:val="21"/>
        </w:rPr>
        <w:t>Arborist,</w:t>
      </w:r>
      <w:r>
        <w:rPr>
          <w:w w:val="105"/>
          <w:position w:val="7"/>
          <w:sz w:val="12"/>
        </w:rPr>
        <w:t>62 </w:t>
      </w:r>
      <w:r>
        <w:rPr>
          <w:w w:val="105"/>
          <w:sz w:val="21"/>
        </w:rPr>
        <w:t>a review panel or a process </w:t>
      </w:r>
      <w:r>
        <w:rPr>
          <w:spacing w:val="-3"/>
          <w:w w:val="105"/>
          <w:sz w:val="21"/>
        </w:rPr>
        <w:t>through approved </w:t>
      </w:r>
      <w:r>
        <w:rPr>
          <w:w w:val="105"/>
          <w:sz w:val="21"/>
        </w:rPr>
        <w:t>expert contractors, </w:t>
      </w:r>
      <w:r>
        <w:rPr>
          <w:spacing w:val="-3"/>
          <w:w w:val="105"/>
          <w:sz w:val="21"/>
        </w:rPr>
        <w:t>could </w:t>
      </w:r>
      <w:r>
        <w:rPr>
          <w:w w:val="105"/>
          <w:sz w:val="21"/>
        </w:rPr>
        <w:t>provide neighbours with an independent decision about the tree and how best </w:t>
      </w:r>
      <w:r>
        <w:rPr>
          <w:spacing w:val="-3"/>
          <w:w w:val="105"/>
          <w:sz w:val="21"/>
        </w:rPr>
        <w:t>to manage </w:t>
      </w:r>
      <w:r>
        <w:rPr>
          <w:w w:val="105"/>
          <w:sz w:val="21"/>
        </w:rPr>
        <w:t>it. </w:t>
      </w:r>
      <w:r>
        <w:rPr>
          <w:w w:val="105"/>
          <w:position w:val="7"/>
          <w:sz w:val="12"/>
        </w:rPr>
        <w:t>63 </w:t>
      </w:r>
      <w:r>
        <w:rPr>
          <w:spacing w:val="-4"/>
          <w:w w:val="105"/>
          <w:sz w:val="21"/>
        </w:rPr>
        <w:t>However, </w:t>
      </w:r>
      <w:r>
        <w:rPr>
          <w:w w:val="105"/>
          <w:sz w:val="21"/>
        </w:rPr>
        <w:t>an existing decision-making </w:t>
      </w:r>
      <w:r>
        <w:rPr>
          <w:spacing w:val="-3"/>
          <w:w w:val="105"/>
          <w:sz w:val="21"/>
        </w:rPr>
        <w:t>forum within </w:t>
      </w:r>
      <w:r>
        <w:rPr>
          <w:w w:val="105"/>
          <w:sz w:val="21"/>
        </w:rPr>
        <w:t>the legal system would respond better </w:t>
      </w:r>
      <w:r>
        <w:rPr>
          <w:spacing w:val="-3"/>
          <w:w w:val="105"/>
          <w:sz w:val="21"/>
        </w:rPr>
        <w:t>to </w:t>
      </w:r>
      <w:r>
        <w:rPr>
          <w:w w:val="105"/>
          <w:sz w:val="21"/>
        </w:rPr>
        <w:t>the civil and </w:t>
      </w:r>
      <w:r>
        <w:rPr>
          <w:spacing w:val="-3"/>
          <w:w w:val="105"/>
          <w:sz w:val="21"/>
        </w:rPr>
        <w:t>arboricultural </w:t>
      </w:r>
      <w:r>
        <w:rPr>
          <w:w w:val="105"/>
          <w:sz w:val="21"/>
        </w:rPr>
        <w:t>elements of a tree</w:t>
      </w:r>
      <w:r>
        <w:rPr>
          <w:spacing w:val="5"/>
          <w:w w:val="105"/>
          <w:sz w:val="21"/>
        </w:rPr>
        <w:t> </w:t>
      </w:r>
      <w:r>
        <w:rPr>
          <w:spacing w:val="-3"/>
          <w:w w:val="105"/>
          <w:sz w:val="21"/>
        </w:rPr>
        <w:t>dispute.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r>
        <w:rPr/>
        <w:pict>
          <v:line style="position:absolute;mso-position-horizontal-relative:page;mso-position-vertical-relative:paragraph;z-index:2528;mso-wrap-distance-left:0;mso-wrap-distance-right:0" from="79.370102pt,16.424753pt" to="515.905102pt,16.424753pt" stroked="true" strokeweight="1pt" strokecolor="#c9d2cb">
            <v:stroke dashstyle="solid"/>
            <w10:wrap type="topAndBottom"/>
          </v:line>
        </w:pict>
      </w:r>
    </w:p>
    <w:p>
      <w:pPr>
        <w:pStyle w:val="ListParagraph"/>
        <w:numPr>
          <w:ilvl w:val="0"/>
          <w:numId w:val="41"/>
        </w:numPr>
        <w:tabs>
          <w:tab w:pos="2381" w:val="left" w:leader="none"/>
          <w:tab w:pos="2382" w:val="left" w:leader="none"/>
        </w:tabs>
        <w:spacing w:line="240" w:lineRule="auto" w:before="117" w:after="0"/>
        <w:ind w:left="2381" w:right="1587" w:hanging="794"/>
        <w:jc w:val="left"/>
        <w:rPr>
          <w:sz w:val="13"/>
        </w:rPr>
      </w:pPr>
      <w:r>
        <w:rPr>
          <w:w w:val="105"/>
          <w:sz w:val="13"/>
        </w:rPr>
        <w:t>See generally </w:t>
      </w:r>
      <w:r>
        <w:rPr>
          <w:i/>
          <w:w w:val="105"/>
          <w:sz w:val="13"/>
        </w:rPr>
        <w:t>Neighbourhood Disputes (Dividing Fences and Trees) Act </w:t>
      </w:r>
      <w:r>
        <w:rPr>
          <w:i/>
          <w:spacing w:val="-4"/>
          <w:w w:val="105"/>
          <w:sz w:val="13"/>
        </w:rPr>
        <w:t>2011 </w:t>
      </w:r>
      <w:r>
        <w:rPr>
          <w:spacing w:val="3"/>
          <w:w w:val="105"/>
          <w:sz w:val="13"/>
        </w:rPr>
        <w:t>(Qld); </w:t>
      </w:r>
      <w:r>
        <w:rPr>
          <w:i/>
          <w:w w:val="105"/>
          <w:sz w:val="13"/>
        </w:rPr>
        <w:t>Neighbourhood Disputes (Dividing Fences and Trees) Act </w:t>
      </w:r>
      <w:r>
        <w:rPr>
          <w:i/>
          <w:spacing w:val="-4"/>
          <w:w w:val="105"/>
          <w:sz w:val="13"/>
        </w:rPr>
        <w:t>2017</w:t>
      </w:r>
      <w:r>
        <w:rPr>
          <w:i/>
          <w:spacing w:val="5"/>
          <w:w w:val="105"/>
          <w:sz w:val="13"/>
        </w:rPr>
        <w:t> </w:t>
      </w:r>
      <w:r>
        <w:rPr>
          <w:w w:val="105"/>
          <w:sz w:val="13"/>
        </w:rPr>
        <w:t>(Tas).</w:t>
      </w:r>
      <w:r>
        <w:rPr>
          <w:spacing w:val="6"/>
          <w:w w:val="105"/>
          <w:sz w:val="13"/>
        </w:rPr>
        <w:t> </w:t>
      </w:r>
      <w:r>
        <w:rPr>
          <w:w w:val="105"/>
          <w:sz w:val="13"/>
        </w:rPr>
        <w:t>In</w:t>
      </w:r>
      <w:r>
        <w:rPr>
          <w:spacing w:val="5"/>
          <w:w w:val="105"/>
          <w:sz w:val="13"/>
        </w:rPr>
        <w:t> </w:t>
      </w:r>
      <w:r>
        <w:rPr>
          <w:w w:val="105"/>
          <w:sz w:val="13"/>
        </w:rPr>
        <w:t>contrast</w:t>
      </w:r>
      <w:r>
        <w:rPr>
          <w:spacing w:val="6"/>
          <w:w w:val="105"/>
          <w:sz w:val="13"/>
        </w:rPr>
        <w:t> </w:t>
      </w:r>
      <w:r>
        <w:rPr>
          <w:w w:val="105"/>
          <w:sz w:val="13"/>
        </w:rPr>
        <w:t>the</w:t>
      </w:r>
      <w:r>
        <w:rPr>
          <w:spacing w:val="5"/>
          <w:w w:val="105"/>
          <w:sz w:val="13"/>
        </w:rPr>
        <w:t> </w:t>
      </w:r>
      <w:r>
        <w:rPr>
          <w:i/>
          <w:w w:val="105"/>
          <w:sz w:val="13"/>
        </w:rPr>
        <w:t>Trees</w:t>
      </w:r>
      <w:r>
        <w:rPr>
          <w:i/>
          <w:spacing w:val="6"/>
          <w:w w:val="105"/>
          <w:sz w:val="13"/>
        </w:rPr>
        <w:t> </w:t>
      </w:r>
      <w:r>
        <w:rPr>
          <w:i/>
          <w:w w:val="105"/>
          <w:sz w:val="13"/>
        </w:rPr>
        <w:t>(Disputes</w:t>
      </w:r>
      <w:r>
        <w:rPr>
          <w:i/>
          <w:spacing w:val="5"/>
          <w:w w:val="105"/>
          <w:sz w:val="13"/>
        </w:rPr>
        <w:t> </w:t>
      </w:r>
      <w:r>
        <w:rPr>
          <w:i/>
          <w:w w:val="105"/>
          <w:sz w:val="13"/>
        </w:rPr>
        <w:t>Between</w:t>
      </w:r>
      <w:r>
        <w:rPr>
          <w:i/>
          <w:spacing w:val="6"/>
          <w:w w:val="105"/>
          <w:sz w:val="13"/>
        </w:rPr>
        <w:t> </w:t>
      </w:r>
      <w:r>
        <w:rPr>
          <w:i/>
          <w:w w:val="105"/>
          <w:sz w:val="13"/>
        </w:rPr>
        <w:t>Neighbours)</w:t>
      </w:r>
      <w:r>
        <w:rPr>
          <w:i/>
          <w:spacing w:val="5"/>
          <w:w w:val="105"/>
          <w:sz w:val="13"/>
        </w:rPr>
        <w:t> </w:t>
      </w:r>
      <w:r>
        <w:rPr>
          <w:i/>
          <w:w w:val="105"/>
          <w:sz w:val="13"/>
        </w:rPr>
        <w:t>Act</w:t>
      </w:r>
      <w:r>
        <w:rPr>
          <w:i/>
          <w:spacing w:val="6"/>
          <w:w w:val="105"/>
          <w:sz w:val="13"/>
        </w:rPr>
        <w:t> </w:t>
      </w:r>
      <w:r>
        <w:rPr>
          <w:i/>
          <w:w w:val="105"/>
          <w:sz w:val="13"/>
        </w:rPr>
        <w:t>2006</w:t>
      </w:r>
      <w:r>
        <w:rPr>
          <w:i/>
          <w:spacing w:val="5"/>
          <w:w w:val="105"/>
          <w:sz w:val="13"/>
        </w:rPr>
        <w:t> </w:t>
      </w:r>
      <w:r>
        <w:rPr>
          <w:spacing w:val="3"/>
          <w:w w:val="105"/>
          <w:sz w:val="13"/>
        </w:rPr>
        <w:t>(NSW)</w:t>
      </w:r>
      <w:r>
        <w:rPr>
          <w:spacing w:val="6"/>
          <w:w w:val="105"/>
          <w:sz w:val="13"/>
        </w:rPr>
        <w:t> </w:t>
      </w:r>
      <w:r>
        <w:rPr>
          <w:w w:val="105"/>
          <w:sz w:val="13"/>
        </w:rPr>
        <w:t>does</w:t>
      </w:r>
      <w:r>
        <w:rPr>
          <w:spacing w:val="6"/>
          <w:w w:val="105"/>
          <w:sz w:val="13"/>
        </w:rPr>
        <w:t> </w:t>
      </w:r>
      <w:r>
        <w:rPr>
          <w:w w:val="105"/>
          <w:sz w:val="13"/>
        </w:rPr>
        <w:t>limit</w:t>
      </w:r>
      <w:r>
        <w:rPr>
          <w:spacing w:val="5"/>
          <w:w w:val="105"/>
          <w:sz w:val="13"/>
        </w:rPr>
        <w:t> </w:t>
      </w:r>
      <w:r>
        <w:rPr>
          <w:w w:val="105"/>
          <w:sz w:val="13"/>
        </w:rPr>
        <w:t>the</w:t>
      </w:r>
      <w:r>
        <w:rPr>
          <w:spacing w:val="6"/>
          <w:w w:val="105"/>
          <w:sz w:val="13"/>
        </w:rPr>
        <w:t> </w:t>
      </w:r>
      <w:r>
        <w:rPr>
          <w:w w:val="105"/>
          <w:sz w:val="13"/>
        </w:rPr>
        <w:t>right</w:t>
      </w:r>
      <w:r>
        <w:rPr>
          <w:spacing w:val="5"/>
          <w:w w:val="105"/>
          <w:sz w:val="13"/>
        </w:rPr>
        <w:t> </w:t>
      </w:r>
      <w:r>
        <w:rPr>
          <w:w w:val="105"/>
          <w:sz w:val="13"/>
        </w:rPr>
        <w:t>to</w:t>
      </w:r>
      <w:r>
        <w:rPr>
          <w:spacing w:val="6"/>
          <w:w w:val="105"/>
          <w:sz w:val="13"/>
        </w:rPr>
        <w:t> </w:t>
      </w:r>
      <w:r>
        <w:rPr>
          <w:w w:val="105"/>
          <w:sz w:val="13"/>
        </w:rPr>
        <w:t>nuisance:</w:t>
      </w:r>
      <w:r>
        <w:rPr>
          <w:spacing w:val="5"/>
          <w:w w:val="105"/>
          <w:sz w:val="13"/>
        </w:rPr>
        <w:t> </w:t>
      </w:r>
      <w:r>
        <w:rPr>
          <w:w w:val="105"/>
          <w:sz w:val="13"/>
        </w:rPr>
        <w:t>s</w:t>
      </w:r>
      <w:r>
        <w:rPr>
          <w:spacing w:val="6"/>
          <w:w w:val="105"/>
          <w:sz w:val="13"/>
        </w:rPr>
        <w:t> </w:t>
      </w:r>
      <w:r>
        <w:rPr>
          <w:w w:val="105"/>
          <w:sz w:val="13"/>
        </w:rPr>
        <w:t>5.</w:t>
      </w:r>
    </w:p>
    <w:p>
      <w:pPr>
        <w:pStyle w:val="ListParagraph"/>
        <w:numPr>
          <w:ilvl w:val="0"/>
          <w:numId w:val="41"/>
        </w:numPr>
        <w:tabs>
          <w:tab w:pos="2381" w:val="left" w:leader="none"/>
          <w:tab w:pos="2382" w:val="left" w:leader="none"/>
        </w:tabs>
        <w:spacing w:line="240" w:lineRule="auto" w:before="3" w:after="0"/>
        <w:ind w:left="2381" w:right="0" w:hanging="794"/>
        <w:jc w:val="left"/>
        <w:rPr>
          <w:sz w:val="13"/>
        </w:rPr>
      </w:pPr>
      <w:r>
        <w:rPr>
          <w:w w:val="105"/>
          <w:sz w:val="13"/>
        </w:rPr>
        <w:t>See, eg, </w:t>
      </w:r>
      <w:r>
        <w:rPr>
          <w:i/>
          <w:w w:val="105"/>
          <w:sz w:val="13"/>
        </w:rPr>
        <w:t>Robson v Leischke </w:t>
      </w:r>
      <w:r>
        <w:rPr>
          <w:spacing w:val="2"/>
          <w:w w:val="105"/>
          <w:sz w:val="13"/>
        </w:rPr>
        <w:t>(2008) </w:t>
      </w:r>
      <w:r>
        <w:rPr>
          <w:w w:val="105"/>
          <w:sz w:val="13"/>
        </w:rPr>
        <w:t>72 </w:t>
      </w:r>
      <w:r>
        <w:rPr>
          <w:spacing w:val="2"/>
          <w:w w:val="105"/>
          <w:sz w:val="13"/>
        </w:rPr>
        <w:t>NSWLR </w:t>
      </w:r>
      <w:r>
        <w:rPr>
          <w:w w:val="105"/>
          <w:sz w:val="13"/>
        </w:rPr>
        <w:t>98</w:t>
      </w:r>
      <w:r>
        <w:rPr>
          <w:spacing w:val="8"/>
          <w:w w:val="105"/>
          <w:sz w:val="13"/>
        </w:rPr>
        <w:t> </w:t>
      </w:r>
      <w:r>
        <w:rPr>
          <w:spacing w:val="2"/>
          <w:w w:val="105"/>
          <w:sz w:val="13"/>
        </w:rPr>
        <w:t>[218]–[219].</w:t>
      </w:r>
    </w:p>
    <w:p>
      <w:pPr>
        <w:pStyle w:val="ListParagraph"/>
        <w:numPr>
          <w:ilvl w:val="0"/>
          <w:numId w:val="41"/>
        </w:numPr>
        <w:tabs>
          <w:tab w:pos="2381" w:val="left" w:leader="none"/>
          <w:tab w:pos="2382" w:val="left" w:leader="none"/>
        </w:tabs>
        <w:spacing w:line="240" w:lineRule="auto" w:before="1" w:after="0"/>
        <w:ind w:left="2381" w:right="0" w:hanging="794"/>
        <w:jc w:val="left"/>
        <w:rPr>
          <w:sz w:val="13"/>
        </w:rPr>
      </w:pPr>
      <w:r>
        <w:rPr>
          <w:w w:val="105"/>
          <w:sz w:val="13"/>
        </w:rPr>
        <w:t>Submission 18</w:t>
      </w:r>
      <w:r>
        <w:rPr>
          <w:spacing w:val="9"/>
          <w:w w:val="105"/>
          <w:sz w:val="13"/>
        </w:rPr>
        <w:t> </w:t>
      </w:r>
      <w:r>
        <w:rPr>
          <w:w w:val="105"/>
          <w:sz w:val="13"/>
        </w:rPr>
        <w:t>(ENSPEC).</w:t>
      </w:r>
    </w:p>
    <w:p>
      <w:pPr>
        <w:pStyle w:val="ListParagraph"/>
        <w:numPr>
          <w:ilvl w:val="0"/>
          <w:numId w:val="41"/>
        </w:numPr>
        <w:tabs>
          <w:tab w:pos="2381" w:val="left" w:leader="none"/>
          <w:tab w:pos="2382" w:val="left" w:leader="none"/>
        </w:tabs>
        <w:spacing w:line="240" w:lineRule="auto" w:before="1" w:after="0"/>
        <w:ind w:left="2381" w:right="0" w:hanging="794"/>
        <w:jc w:val="left"/>
        <w:rPr>
          <w:sz w:val="13"/>
        </w:rPr>
      </w:pPr>
      <w:r>
        <w:rPr>
          <w:w w:val="105"/>
          <w:sz w:val="13"/>
        </w:rPr>
        <w:t>Submission</w:t>
      </w:r>
      <w:r>
        <w:rPr>
          <w:spacing w:val="5"/>
          <w:w w:val="105"/>
          <w:sz w:val="13"/>
        </w:rPr>
        <w:t> </w:t>
      </w:r>
      <w:r>
        <w:rPr>
          <w:w w:val="105"/>
          <w:sz w:val="13"/>
        </w:rPr>
        <w:t>28</w:t>
      </w:r>
      <w:r>
        <w:rPr>
          <w:spacing w:val="5"/>
          <w:w w:val="105"/>
          <w:sz w:val="13"/>
        </w:rPr>
        <w:t> </w:t>
      </w:r>
      <w:r>
        <w:rPr>
          <w:spacing w:val="3"/>
          <w:w w:val="105"/>
          <w:sz w:val="13"/>
        </w:rPr>
        <w:t>(HVP</w:t>
      </w:r>
      <w:r>
        <w:rPr>
          <w:spacing w:val="5"/>
          <w:w w:val="105"/>
          <w:sz w:val="13"/>
        </w:rPr>
        <w:t> </w:t>
      </w:r>
      <w:r>
        <w:rPr>
          <w:w w:val="105"/>
          <w:sz w:val="13"/>
        </w:rPr>
        <w:t>Plantations);</w:t>
      </w:r>
      <w:r>
        <w:rPr>
          <w:spacing w:val="5"/>
          <w:w w:val="105"/>
          <w:sz w:val="13"/>
        </w:rPr>
        <w:t> </w:t>
      </w:r>
      <w:r>
        <w:rPr>
          <w:w w:val="105"/>
          <w:sz w:val="13"/>
        </w:rPr>
        <w:t>Consultation</w:t>
      </w:r>
      <w:r>
        <w:rPr>
          <w:spacing w:val="5"/>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5"/>
          <w:w w:val="105"/>
          <w:sz w:val="13"/>
        </w:rPr>
        <w:t> </w:t>
      </w:r>
      <w:r>
        <w:rPr>
          <w:w w:val="105"/>
          <w:sz w:val="13"/>
        </w:rPr>
        <w:t>at</w:t>
      </w:r>
      <w:r>
        <w:rPr>
          <w:spacing w:val="5"/>
          <w:w w:val="105"/>
          <w:sz w:val="13"/>
        </w:rPr>
        <w:t> </w:t>
      </w:r>
      <w:r>
        <w:rPr>
          <w:spacing w:val="4"/>
          <w:w w:val="105"/>
          <w:sz w:val="13"/>
        </w:rPr>
        <w:t>VTIO</w:t>
      </w:r>
      <w:r>
        <w:rPr>
          <w:spacing w:val="5"/>
          <w:w w:val="105"/>
          <w:sz w:val="13"/>
        </w:rPr>
        <w:t> </w:t>
      </w:r>
      <w:r>
        <w:rPr>
          <w:w w:val="105"/>
          <w:sz w:val="13"/>
        </w:rPr>
        <w:t>ArborCamp2018).</w:t>
      </w:r>
    </w:p>
    <w:p>
      <w:pPr>
        <w:pStyle w:val="ListParagraph"/>
        <w:numPr>
          <w:ilvl w:val="0"/>
          <w:numId w:val="41"/>
        </w:numPr>
        <w:tabs>
          <w:tab w:pos="2381" w:val="left" w:leader="none"/>
          <w:tab w:pos="2382" w:val="left" w:leader="none"/>
        </w:tabs>
        <w:spacing w:line="240" w:lineRule="auto" w:before="2" w:after="0"/>
        <w:ind w:left="2381" w:right="1716" w:hanging="794"/>
        <w:jc w:val="left"/>
        <w:rPr>
          <w:sz w:val="13"/>
        </w:rPr>
      </w:pPr>
      <w:r>
        <w:rPr>
          <w:w w:val="105"/>
          <w:sz w:val="13"/>
        </w:rPr>
        <w:t>Department of Justice and Attorney-General </w:t>
      </w:r>
      <w:r>
        <w:rPr>
          <w:spacing w:val="3"/>
          <w:w w:val="105"/>
          <w:sz w:val="13"/>
        </w:rPr>
        <w:t>(NSW), </w:t>
      </w:r>
      <w:r>
        <w:rPr>
          <w:i/>
          <w:w w:val="105"/>
          <w:sz w:val="13"/>
        </w:rPr>
        <w:t>Review of the Trees (Disputes Between Neighbours) Act 2006 </w:t>
      </w:r>
      <w:r>
        <w:rPr>
          <w:spacing w:val="2"/>
          <w:w w:val="105"/>
          <w:sz w:val="13"/>
        </w:rPr>
        <w:t>(Report, 2009) </w:t>
      </w:r>
      <w:r>
        <w:rPr>
          <w:w w:val="105"/>
          <w:sz w:val="13"/>
        </w:rPr>
        <w:t>3; 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2015).</w:t>
      </w:r>
      <w:r>
        <w:rPr>
          <w:spacing w:val="30"/>
          <w:w w:val="105"/>
          <w:sz w:val="13"/>
        </w:rPr>
        <w:t> </w:t>
      </w:r>
      <w:r>
        <w:rPr>
          <w:w w:val="105"/>
          <w:sz w:val="13"/>
        </w:rPr>
        <w:t>The</w:t>
      </w:r>
      <w:r>
        <w:rPr>
          <w:spacing w:val="4"/>
          <w:w w:val="105"/>
          <w:sz w:val="13"/>
        </w:rPr>
        <w:t> </w:t>
      </w:r>
      <w:r>
        <w:rPr>
          <w:w w:val="105"/>
          <w:sz w:val="13"/>
        </w:rPr>
        <w:t>recently</w:t>
      </w:r>
      <w:r>
        <w:rPr>
          <w:spacing w:val="4"/>
          <w:w w:val="105"/>
          <w:sz w:val="13"/>
        </w:rPr>
        <w:t> </w:t>
      </w:r>
      <w:r>
        <w:rPr>
          <w:w w:val="105"/>
          <w:sz w:val="13"/>
        </w:rPr>
        <w:t>introduced</w:t>
      </w:r>
      <w:r>
        <w:rPr>
          <w:spacing w:val="4"/>
          <w:w w:val="105"/>
          <w:sz w:val="13"/>
        </w:rPr>
        <w:t> </w:t>
      </w:r>
      <w:r>
        <w:rPr>
          <w:w w:val="105"/>
          <w:sz w:val="13"/>
        </w:rPr>
        <w:t>Tasmanian</w:t>
      </w:r>
      <w:r>
        <w:rPr>
          <w:spacing w:val="5"/>
          <w:w w:val="105"/>
          <w:sz w:val="13"/>
        </w:rPr>
        <w:t> </w:t>
      </w:r>
      <w:r>
        <w:rPr>
          <w:w w:val="105"/>
          <w:sz w:val="13"/>
        </w:rPr>
        <w:t>scheme</w:t>
      </w:r>
      <w:r>
        <w:rPr>
          <w:spacing w:val="4"/>
          <w:w w:val="105"/>
          <w:sz w:val="13"/>
        </w:rPr>
        <w:t> </w:t>
      </w:r>
      <w:r>
        <w:rPr>
          <w:w w:val="105"/>
          <w:sz w:val="13"/>
        </w:rPr>
        <w:t>has</w:t>
      </w:r>
      <w:r>
        <w:rPr>
          <w:spacing w:val="4"/>
          <w:w w:val="105"/>
          <w:sz w:val="13"/>
        </w:rPr>
        <w:t> </w:t>
      </w:r>
      <w:r>
        <w:rPr>
          <w:w w:val="105"/>
          <w:sz w:val="13"/>
        </w:rPr>
        <w:t>not</w:t>
      </w:r>
      <w:r>
        <w:rPr>
          <w:spacing w:val="5"/>
          <w:w w:val="105"/>
          <w:sz w:val="13"/>
        </w:rPr>
        <w:t> </w:t>
      </w:r>
      <w:r>
        <w:rPr>
          <w:w w:val="105"/>
          <w:sz w:val="13"/>
        </w:rPr>
        <w:t>yet</w:t>
      </w:r>
      <w:r>
        <w:rPr>
          <w:spacing w:val="4"/>
          <w:w w:val="105"/>
          <w:sz w:val="13"/>
        </w:rPr>
        <w:t> </w:t>
      </w:r>
      <w:r>
        <w:rPr>
          <w:w w:val="105"/>
          <w:sz w:val="13"/>
        </w:rPr>
        <w:t>undergone</w:t>
      </w:r>
      <w:r>
        <w:rPr>
          <w:spacing w:val="4"/>
          <w:w w:val="105"/>
          <w:sz w:val="13"/>
        </w:rPr>
        <w:t> </w:t>
      </w:r>
      <w:r>
        <w:rPr>
          <w:w w:val="105"/>
          <w:sz w:val="13"/>
        </w:rPr>
        <w:t>any</w:t>
      </w:r>
      <w:r>
        <w:rPr>
          <w:spacing w:val="5"/>
          <w:w w:val="105"/>
          <w:sz w:val="13"/>
        </w:rPr>
        <w:t> </w:t>
      </w:r>
      <w:r>
        <w:rPr>
          <w:w w:val="105"/>
          <w:sz w:val="13"/>
        </w:rPr>
        <w:t>form</w:t>
      </w:r>
      <w:r>
        <w:rPr>
          <w:spacing w:val="4"/>
          <w:w w:val="105"/>
          <w:sz w:val="13"/>
        </w:rPr>
        <w:t> </w:t>
      </w:r>
      <w:r>
        <w:rPr>
          <w:w w:val="105"/>
          <w:sz w:val="13"/>
        </w:rPr>
        <w:t>of</w:t>
      </w:r>
      <w:r>
        <w:rPr>
          <w:spacing w:val="4"/>
          <w:w w:val="105"/>
          <w:sz w:val="13"/>
        </w:rPr>
        <w:t> </w:t>
      </w:r>
      <w:r>
        <w:rPr>
          <w:w w:val="105"/>
          <w:sz w:val="13"/>
        </w:rPr>
        <w:t>review.</w:t>
      </w:r>
    </w:p>
    <w:p>
      <w:pPr>
        <w:pStyle w:val="ListParagraph"/>
        <w:numPr>
          <w:ilvl w:val="0"/>
          <w:numId w:val="41"/>
        </w:numPr>
        <w:tabs>
          <w:tab w:pos="2381" w:val="left" w:leader="none"/>
          <w:tab w:pos="2382" w:val="left" w:leader="none"/>
        </w:tabs>
        <w:spacing w:line="240" w:lineRule="auto" w:before="4" w:after="0"/>
        <w:ind w:left="2381" w:right="0" w:hanging="794"/>
        <w:jc w:val="left"/>
        <w:rPr>
          <w:sz w:val="13"/>
        </w:rPr>
      </w:pPr>
      <w:r>
        <w:rPr>
          <w:w w:val="105"/>
          <w:sz w:val="13"/>
        </w:rPr>
        <w:t>Consultations</w:t>
      </w:r>
      <w:r>
        <w:rPr>
          <w:spacing w:val="5"/>
          <w:w w:val="105"/>
          <w:sz w:val="13"/>
        </w:rPr>
        <w:t> </w:t>
      </w:r>
      <w:r>
        <w:rPr>
          <w:spacing w:val="-6"/>
          <w:w w:val="105"/>
          <w:sz w:val="13"/>
        </w:rPr>
        <w:t>11</w:t>
      </w:r>
      <w:r>
        <w:rPr>
          <w:spacing w:val="5"/>
          <w:w w:val="105"/>
          <w:sz w:val="13"/>
        </w:rPr>
        <w:t> </w:t>
      </w:r>
      <w:r>
        <w:rPr>
          <w:spacing w:val="2"/>
          <w:w w:val="105"/>
          <w:sz w:val="13"/>
        </w:rPr>
        <w:t>(Land</w:t>
      </w:r>
      <w:r>
        <w:rPr>
          <w:spacing w:val="5"/>
          <w:w w:val="105"/>
          <w:sz w:val="13"/>
        </w:rPr>
        <w:t> </w:t>
      </w:r>
      <w:r>
        <w:rPr>
          <w:w w:val="105"/>
          <w:sz w:val="13"/>
        </w:rPr>
        <w:t>and</w:t>
      </w:r>
      <w:r>
        <w:rPr>
          <w:spacing w:val="5"/>
          <w:w w:val="105"/>
          <w:sz w:val="13"/>
        </w:rPr>
        <w:t> </w:t>
      </w:r>
      <w:r>
        <w:rPr>
          <w:w w:val="105"/>
          <w:sz w:val="13"/>
        </w:rPr>
        <w:t>Environment</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r>
        <w:rPr>
          <w:spacing w:val="5"/>
          <w:w w:val="105"/>
          <w:sz w:val="13"/>
        </w:rPr>
        <w:t> </w:t>
      </w:r>
      <w:r>
        <w:rPr>
          <w:spacing w:val="-3"/>
          <w:w w:val="105"/>
          <w:sz w:val="13"/>
        </w:rPr>
        <w:t>15</w:t>
      </w:r>
      <w:r>
        <w:rPr>
          <w:spacing w:val="5"/>
          <w:w w:val="105"/>
          <w:sz w:val="13"/>
        </w:rPr>
        <w:t> </w:t>
      </w:r>
      <w:r>
        <w:rPr>
          <w:w w:val="105"/>
          <w:sz w:val="13"/>
        </w:rPr>
        <w:t>(Queensland</w:t>
      </w:r>
      <w:r>
        <w:rPr>
          <w:spacing w:val="5"/>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5"/>
          <w:w w:val="105"/>
          <w:sz w:val="13"/>
        </w:rPr>
        <w:t> </w:t>
      </w:r>
      <w:r>
        <w:rPr>
          <w:w w:val="105"/>
          <w:sz w:val="13"/>
        </w:rPr>
        <w:t>Tribunal).</w:t>
      </w:r>
    </w:p>
    <w:p>
      <w:pPr>
        <w:pStyle w:val="ListParagraph"/>
        <w:numPr>
          <w:ilvl w:val="0"/>
          <w:numId w:val="41"/>
        </w:numPr>
        <w:tabs>
          <w:tab w:pos="2381" w:val="left" w:leader="none"/>
          <w:tab w:pos="2382" w:val="left" w:leader="none"/>
        </w:tabs>
        <w:spacing w:line="240" w:lineRule="auto" w:before="1" w:after="0"/>
        <w:ind w:left="2381" w:right="0" w:hanging="794"/>
        <w:jc w:val="left"/>
        <w:rPr>
          <w:sz w:val="13"/>
        </w:rPr>
      </w:pPr>
      <w:r>
        <w:rPr>
          <w:w w:val="105"/>
          <w:sz w:val="13"/>
        </w:rPr>
        <w:t>See Submission 18</w:t>
      </w:r>
      <w:r>
        <w:rPr>
          <w:spacing w:val="13"/>
          <w:w w:val="105"/>
          <w:sz w:val="13"/>
        </w:rPr>
        <w:t> </w:t>
      </w:r>
      <w:r>
        <w:rPr>
          <w:w w:val="105"/>
          <w:sz w:val="13"/>
        </w:rPr>
        <w:t>(ENSPEC).</w:t>
      </w:r>
    </w:p>
    <w:p>
      <w:pPr>
        <w:pStyle w:val="ListParagraph"/>
        <w:numPr>
          <w:ilvl w:val="0"/>
          <w:numId w:val="41"/>
        </w:numPr>
        <w:tabs>
          <w:tab w:pos="2381" w:val="left" w:leader="none"/>
          <w:tab w:pos="2382" w:val="left" w:leader="none"/>
        </w:tabs>
        <w:spacing w:line="240" w:lineRule="auto" w:before="1" w:after="0"/>
        <w:ind w:left="2381" w:right="0" w:hanging="794"/>
        <w:jc w:val="left"/>
        <w:rPr>
          <w:sz w:val="13"/>
        </w:rPr>
      </w:pPr>
      <w:r>
        <w:rPr>
          <w:w w:val="105"/>
          <w:sz w:val="13"/>
        </w:rPr>
        <w:t>Submissions 5 </w:t>
      </w:r>
      <w:r>
        <w:rPr>
          <w:spacing w:val="2"/>
          <w:w w:val="105"/>
          <w:sz w:val="13"/>
        </w:rPr>
        <w:t>(Name </w:t>
      </w:r>
      <w:r>
        <w:rPr>
          <w:w w:val="105"/>
          <w:sz w:val="13"/>
        </w:rPr>
        <w:t>withheld), 6 </w:t>
      </w:r>
      <w:r>
        <w:rPr>
          <w:spacing w:val="2"/>
          <w:w w:val="105"/>
          <w:sz w:val="13"/>
        </w:rPr>
        <w:t>(Name</w:t>
      </w:r>
      <w:r>
        <w:rPr>
          <w:spacing w:val="25"/>
          <w:w w:val="105"/>
          <w:sz w:val="13"/>
        </w:rPr>
        <w:t> </w:t>
      </w:r>
      <w:r>
        <w:rPr>
          <w:w w:val="105"/>
          <w:sz w:val="13"/>
        </w:rPr>
        <w:t>withheld).</w:t>
      </w:r>
    </w:p>
    <w:p>
      <w:pPr>
        <w:pStyle w:val="ListParagraph"/>
        <w:numPr>
          <w:ilvl w:val="0"/>
          <w:numId w:val="41"/>
        </w:numPr>
        <w:tabs>
          <w:tab w:pos="2381" w:val="left" w:leader="none"/>
          <w:tab w:pos="2382" w:val="left" w:leader="none"/>
        </w:tabs>
        <w:spacing w:line="240" w:lineRule="auto" w:before="2" w:after="0"/>
        <w:ind w:left="2381" w:right="0" w:hanging="794"/>
        <w:jc w:val="left"/>
        <w:rPr>
          <w:sz w:val="13"/>
        </w:rPr>
      </w:pPr>
      <w:r>
        <w:rPr/>
        <w:pict>
          <v:shape style="position:absolute;margin-left:548.989319pt;margin-top:3.053463pt;width:13.1pt;height:14.25pt;mso-position-horizontal-relative:page;mso-position-vertical-relative:paragraph;z-index:4600" type="#_x0000_t202" filled="false" stroked="false">
            <v:textbox inset="0,0,0,0">
              <w:txbxContent>
                <w:p>
                  <w:pPr>
                    <w:spacing w:line="284" w:lineRule="exact" w:before="0"/>
                    <w:ind w:left="0" w:right="0" w:firstLine="0"/>
                    <w:jc w:val="left"/>
                    <w:rPr>
                      <w:b/>
                      <w:sz w:val="24"/>
                    </w:rPr>
                  </w:pPr>
                  <w:r>
                    <w:rPr>
                      <w:b/>
                      <w:color w:val="658464"/>
                      <w:spacing w:val="-3"/>
                      <w:w w:val="110"/>
                      <w:sz w:val="24"/>
                    </w:rPr>
                    <w:t>59</w:t>
                  </w:r>
                </w:p>
              </w:txbxContent>
            </v:textbox>
            <w10:wrap type="none"/>
          </v:shape>
        </w:pict>
      </w:r>
      <w:r>
        <w:rPr>
          <w:w w:val="105"/>
          <w:sz w:val="13"/>
        </w:rPr>
        <w:t>Consultation 2 </w:t>
      </w:r>
      <w:r>
        <w:rPr>
          <w:spacing w:val="3"/>
          <w:w w:val="105"/>
          <w:sz w:val="13"/>
        </w:rPr>
        <w:t>(Dr </w:t>
      </w:r>
      <w:r>
        <w:rPr>
          <w:w w:val="105"/>
          <w:sz w:val="13"/>
        </w:rPr>
        <w:t>Gregory Moore</w:t>
      </w:r>
      <w:r>
        <w:rPr>
          <w:spacing w:val="20"/>
          <w:w w:val="105"/>
          <w:sz w:val="13"/>
        </w:rPr>
        <w:t> </w:t>
      </w:r>
      <w:r>
        <w:rPr>
          <w:spacing w:val="2"/>
          <w:w w:val="105"/>
          <w:sz w:val="13"/>
        </w:rPr>
        <w:t>OAM).</w:t>
      </w:r>
    </w:p>
    <w:p>
      <w:pPr>
        <w:pStyle w:val="ListParagraph"/>
        <w:numPr>
          <w:ilvl w:val="0"/>
          <w:numId w:val="41"/>
        </w:numPr>
        <w:tabs>
          <w:tab w:pos="2381" w:val="left" w:leader="none"/>
          <w:tab w:pos="2382" w:val="left" w:leader="none"/>
        </w:tabs>
        <w:spacing w:line="240" w:lineRule="auto" w:before="1" w:after="0"/>
        <w:ind w:left="2381" w:right="0" w:hanging="794"/>
        <w:jc w:val="left"/>
        <w:rPr>
          <w:sz w:val="13"/>
        </w:rPr>
      </w:pPr>
      <w:r>
        <w:rPr>
          <w:w w:val="105"/>
          <w:sz w:val="13"/>
        </w:rPr>
        <w:t>Confidential</w:t>
      </w:r>
      <w:r>
        <w:rPr>
          <w:spacing w:val="4"/>
          <w:w w:val="105"/>
          <w:sz w:val="13"/>
        </w:rPr>
        <w:t> </w:t>
      </w:r>
      <w:r>
        <w:rPr>
          <w:w w:val="105"/>
          <w:sz w:val="13"/>
        </w:rPr>
        <w:t>submission.</w:t>
      </w:r>
    </w:p>
    <w:p>
      <w:pPr>
        <w:spacing w:after="0" w:line="240" w:lineRule="auto"/>
        <w:jc w:val="left"/>
        <w:rPr>
          <w:sz w:val="13"/>
        </w:rPr>
        <w:sectPr>
          <w:pgSz w:w="11910" w:h="16840"/>
          <w:pgMar w:header="808" w:footer="0" w:top="1360" w:bottom="280" w:left="0" w:right="0"/>
        </w:sectPr>
      </w:pPr>
    </w:p>
    <w:p>
      <w:pPr>
        <w:pStyle w:val="BodyText"/>
        <w:rPr>
          <w:sz w:val="20"/>
        </w:rPr>
      </w:pPr>
    </w:p>
    <w:p>
      <w:pPr>
        <w:pStyle w:val="BodyText"/>
        <w:spacing w:before="5" w:after="1"/>
        <w:rPr>
          <w:sz w:val="14"/>
        </w:rPr>
      </w:pPr>
    </w:p>
    <w:p>
      <w:pPr>
        <w:pStyle w:val="BodyText"/>
        <w:ind w:left="1222"/>
        <w:rPr>
          <w:sz w:val="20"/>
        </w:rPr>
      </w:pPr>
      <w:r>
        <w:rPr>
          <w:sz w:val="20"/>
        </w:rPr>
        <w:pict>
          <v:group style="width:479.1pt;height:96.4pt;mso-position-horizontal-relative:char;mso-position-vertical-relative:line" coordorigin="0,0" coordsize="9582,1928">
            <v:rect style="position:absolute;left:340;top:0;width:8731;height:1928" filled="true" fillcolor="#dbe0dd" stroked="false">
              <v:fill type="solid"/>
            </v:rect>
            <v:line style="position:absolute" from="0,747" to="9581,747" stroked="true" strokeweight="2.5pt" strokecolor="#ffffff">
              <v:stroke dashstyle="solid"/>
            </v:line>
            <v:shape style="position:absolute;left:1133;top:983;width:7730;height:769" type="#_x0000_t202" filled="false" stroked="false">
              <v:textbox inset="0,0,0,0">
                <w:txbxContent>
                  <w:p>
                    <w:pPr>
                      <w:spacing w:line="242" w:lineRule="auto" w:before="0"/>
                      <w:ind w:left="0" w:right="-12" w:firstLine="0"/>
                      <w:jc w:val="left"/>
                      <w:rPr>
                        <w:sz w:val="21"/>
                      </w:rPr>
                    </w:pPr>
                    <w:bookmarkStart w:name="Policy themes that should underpin the n" w:id="103"/>
                    <w:bookmarkEnd w:id="103"/>
                    <w:r>
                      <w:rPr/>
                    </w:r>
                    <w:bookmarkStart w:name="_bookmark42" w:id="104"/>
                    <w:bookmarkEnd w:id="104"/>
                    <w:r>
                      <w:rPr/>
                    </w:r>
                    <w:r>
                      <w:rPr>
                        <w:w w:val="115"/>
                        <w:sz w:val="21"/>
                      </w:rPr>
                      <w:t>A new Act should be introduced to govern the process for resolving disputes between neighbours about trees on private land in Victoria. The new Act could be titled the Neighbourhood Tree Disputes Act.</w:t>
                    </w:r>
                  </w:p>
                </w:txbxContent>
              </v:textbox>
              <w10:wrap type="none"/>
            </v:shape>
            <v:shape style="position:absolute;left:566;top:983;width:137;height:249" type="#_x0000_t202" filled="false" stroked="false">
              <v:textbox inset="0,0,0,0">
                <w:txbxContent>
                  <w:p>
                    <w:pPr>
                      <w:spacing w:line="249" w:lineRule="exact" w:before="0"/>
                      <w:ind w:left="0" w:right="0" w:firstLine="0"/>
                      <w:jc w:val="left"/>
                      <w:rPr>
                        <w:b/>
                        <w:sz w:val="21"/>
                      </w:rPr>
                    </w:pPr>
                    <w:r>
                      <w:rPr>
                        <w:b/>
                        <w:w w:val="109"/>
                        <w:sz w:val="21"/>
                      </w:rPr>
                      <w:t>1</w:t>
                    </w:r>
                  </w:p>
                </w:txbxContent>
              </v:textbox>
              <w10:wrap type="none"/>
            </v:shape>
            <v:shape style="position:absolute;left:340;top:0;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w:t>
                    </w:r>
                  </w:p>
                </w:txbxContent>
              </v:textbox>
              <v:fill type="solid"/>
              <w10:wrap type="none"/>
            </v:shape>
          </v:group>
        </w:pict>
      </w:r>
      <w:r>
        <w:rPr>
          <w:sz w:val="20"/>
        </w:rPr>
      </w:r>
    </w:p>
    <w:p>
      <w:pPr>
        <w:pStyle w:val="BodyText"/>
      </w:pPr>
    </w:p>
    <w:p>
      <w:pPr>
        <w:pStyle w:val="Heading4"/>
        <w:spacing w:before="96"/>
      </w:pPr>
      <w:r>
        <w:rPr/>
        <w:pict>
          <v:shape style="position:absolute;margin-left:79.370102pt;margin-top:-112.443207pt;width:389.1pt;height:38.2pt;mso-position-horizontal-relative:page;mso-position-vertical-relative:paragraph;z-index:-454384" type="#_x0000_t202" filled="false" stroked="false">
            <v:textbox inset="0,0,0,0">
              <w:txbxContent>
                <w:p>
                  <w:pPr>
                    <w:pStyle w:val="BodyText"/>
                    <w:tabs>
                      <w:tab w:pos="793" w:val="left" w:leader="none"/>
                    </w:tabs>
                    <w:spacing w:line="242" w:lineRule="auto"/>
                    <w:ind w:left="793" w:hanging="794"/>
                  </w:pPr>
                  <w:r>
                    <w:rPr>
                      <w:spacing w:val="-4"/>
                    </w:rPr>
                    <w:t>4.55</w:t>
                    <w:tab/>
                  </w:r>
                  <w:r>
                    <w:rPr/>
                    <w:t>he </w:t>
                  </w:r>
                  <w:r>
                    <w:rPr>
                      <w:spacing w:val="-4"/>
                    </w:rPr>
                    <w:t>Commission’s </w:t>
                  </w:r>
                  <w:r>
                    <w:rPr/>
                    <w:t>responses </w:t>
                  </w:r>
                  <w:r>
                    <w:rPr>
                      <w:spacing w:val="-3"/>
                    </w:rPr>
                    <w:t>to </w:t>
                  </w:r>
                  <w:r>
                    <w:rPr/>
                    <w:t>these ideas </w:t>
                  </w:r>
                  <w:r>
                    <w:rPr>
                      <w:spacing w:val="-3"/>
                    </w:rPr>
                    <w:t>are </w:t>
                  </w:r>
                  <w:r>
                    <w:rPr/>
                    <w:t>explained in </w:t>
                  </w:r>
                  <w:r>
                    <w:rPr>
                      <w:spacing w:val="-3"/>
                    </w:rPr>
                    <w:t>chapter </w:t>
                  </w:r>
                  <w:r>
                    <w:rPr>
                      <w:spacing w:val="-12"/>
                    </w:rPr>
                    <w:t>7, </w:t>
                  </w:r>
                  <w:r>
                    <w:rPr/>
                    <w:t>where it </w:t>
                  </w:r>
                  <w:r>
                    <w:rPr>
                      <w:spacing w:val="-3"/>
                    </w:rPr>
                    <w:t>recommends that </w:t>
                  </w:r>
                  <w:r>
                    <w:rPr/>
                    <w:t>the Victorian </w:t>
                  </w:r>
                  <w:r>
                    <w:rPr>
                      <w:spacing w:val="-3"/>
                    </w:rPr>
                    <w:t>Civil </w:t>
                  </w:r>
                  <w:r>
                    <w:rPr/>
                    <w:t>and </w:t>
                  </w:r>
                  <w:r>
                    <w:rPr>
                      <w:spacing w:val="-3"/>
                    </w:rPr>
                    <w:t>Administrative </w:t>
                  </w:r>
                  <w:r>
                    <w:rPr>
                      <w:spacing w:val="-5"/>
                    </w:rPr>
                    <w:t>Tribunal </w:t>
                  </w:r>
                  <w:r>
                    <w:rPr/>
                    <w:t>(VCAT) is given jurisdiction </w:t>
                  </w:r>
                  <w:r>
                    <w:rPr>
                      <w:spacing w:val="-3"/>
                    </w:rPr>
                    <w:t>to administer </w:t>
                  </w:r>
                  <w:r>
                    <w:rPr/>
                    <w:t>the new</w:t>
                  </w:r>
                  <w:r>
                    <w:rPr>
                      <w:spacing w:val="3"/>
                    </w:rPr>
                    <w:t> </w:t>
                  </w:r>
                  <w:r>
                    <w:rPr/>
                    <w:t>Act.</w:t>
                  </w:r>
                </w:p>
              </w:txbxContent>
            </v:textbox>
            <w10:wrap type="none"/>
          </v:shape>
        </w:pict>
      </w:r>
      <w:r>
        <w:rPr>
          <w:color w:val="658464"/>
          <w:w w:val="115"/>
        </w:rPr>
        <w:t>Policy themes that should underpin the new Act</w:t>
      </w:r>
    </w:p>
    <w:p>
      <w:pPr>
        <w:pStyle w:val="ListParagraph"/>
        <w:numPr>
          <w:ilvl w:val="1"/>
          <w:numId w:val="42"/>
        </w:numPr>
        <w:tabs>
          <w:tab w:pos="2381" w:val="left" w:leader="none"/>
          <w:tab w:pos="2382" w:val="left" w:leader="none"/>
        </w:tabs>
        <w:spacing w:line="242" w:lineRule="auto" w:before="154" w:after="0"/>
        <w:ind w:left="2381" w:right="2046" w:hanging="794"/>
        <w:jc w:val="left"/>
        <w:rPr>
          <w:sz w:val="21"/>
        </w:rPr>
      </w:pPr>
      <w:r>
        <w:rPr>
          <w:w w:val="105"/>
          <w:sz w:val="21"/>
        </w:rPr>
        <w:t>The</w:t>
      </w:r>
      <w:r>
        <w:rPr>
          <w:spacing w:val="-4"/>
          <w:w w:val="105"/>
          <w:sz w:val="21"/>
        </w:rPr>
        <w:t> </w:t>
      </w:r>
      <w:r>
        <w:rPr>
          <w:spacing w:val="-3"/>
          <w:w w:val="105"/>
          <w:sz w:val="21"/>
        </w:rPr>
        <w:t>Commission</w:t>
      </w:r>
      <w:r>
        <w:rPr>
          <w:spacing w:val="-4"/>
          <w:w w:val="105"/>
          <w:sz w:val="21"/>
        </w:rPr>
        <w:t> </w:t>
      </w:r>
      <w:r>
        <w:rPr>
          <w:spacing w:val="-2"/>
          <w:w w:val="105"/>
          <w:sz w:val="21"/>
        </w:rPr>
        <w:t>has</w:t>
      </w:r>
      <w:r>
        <w:rPr>
          <w:spacing w:val="-4"/>
          <w:w w:val="105"/>
          <w:sz w:val="21"/>
        </w:rPr>
        <w:t> </w:t>
      </w:r>
      <w:r>
        <w:rPr>
          <w:w w:val="105"/>
          <w:sz w:val="21"/>
        </w:rPr>
        <w:t>identified</w:t>
      </w:r>
      <w:r>
        <w:rPr>
          <w:spacing w:val="-4"/>
          <w:w w:val="105"/>
          <w:sz w:val="21"/>
        </w:rPr>
        <w:t> </w:t>
      </w:r>
      <w:r>
        <w:rPr>
          <w:w w:val="105"/>
          <w:sz w:val="21"/>
        </w:rPr>
        <w:t>policy</w:t>
      </w:r>
      <w:r>
        <w:rPr>
          <w:spacing w:val="-4"/>
          <w:w w:val="105"/>
          <w:sz w:val="21"/>
        </w:rPr>
        <w:t> </w:t>
      </w:r>
      <w:r>
        <w:rPr>
          <w:w w:val="105"/>
          <w:sz w:val="21"/>
        </w:rPr>
        <w:t>themes</w:t>
      </w:r>
      <w:r>
        <w:rPr>
          <w:spacing w:val="-4"/>
          <w:w w:val="105"/>
          <w:sz w:val="21"/>
        </w:rPr>
        <w:t> </w:t>
      </w:r>
      <w:r>
        <w:rPr>
          <w:spacing w:val="-3"/>
          <w:w w:val="105"/>
          <w:sz w:val="21"/>
        </w:rPr>
        <w:t>to</w:t>
      </w:r>
      <w:r>
        <w:rPr>
          <w:spacing w:val="-4"/>
          <w:w w:val="105"/>
          <w:sz w:val="21"/>
        </w:rPr>
        <w:t> </w:t>
      </w:r>
      <w:r>
        <w:rPr>
          <w:spacing w:val="-3"/>
          <w:w w:val="105"/>
          <w:sz w:val="21"/>
        </w:rPr>
        <w:t>underpin</w:t>
      </w:r>
      <w:r>
        <w:rPr>
          <w:spacing w:val="-4"/>
          <w:w w:val="105"/>
          <w:sz w:val="21"/>
        </w:rPr>
        <w:t> </w:t>
      </w:r>
      <w:r>
        <w:rPr>
          <w:w w:val="105"/>
          <w:sz w:val="21"/>
        </w:rPr>
        <w:t>the</w:t>
      </w:r>
      <w:r>
        <w:rPr>
          <w:spacing w:val="-4"/>
          <w:w w:val="105"/>
          <w:sz w:val="21"/>
        </w:rPr>
        <w:t> </w:t>
      </w:r>
      <w:r>
        <w:rPr>
          <w:w w:val="105"/>
          <w:sz w:val="21"/>
        </w:rPr>
        <w:t>new</w:t>
      </w:r>
      <w:r>
        <w:rPr>
          <w:spacing w:val="-4"/>
          <w:w w:val="105"/>
          <w:sz w:val="21"/>
        </w:rPr>
        <w:t> </w:t>
      </w:r>
      <w:r>
        <w:rPr>
          <w:w w:val="105"/>
          <w:sz w:val="21"/>
        </w:rPr>
        <w:t>Act.</w:t>
      </w:r>
      <w:r>
        <w:rPr>
          <w:spacing w:val="-3"/>
          <w:w w:val="105"/>
          <w:sz w:val="21"/>
        </w:rPr>
        <w:t> </w:t>
      </w:r>
      <w:r>
        <w:rPr>
          <w:w w:val="105"/>
          <w:sz w:val="21"/>
        </w:rPr>
        <w:t>The</w:t>
      </w:r>
      <w:r>
        <w:rPr>
          <w:spacing w:val="-4"/>
          <w:w w:val="105"/>
          <w:sz w:val="21"/>
        </w:rPr>
        <w:t> </w:t>
      </w:r>
      <w:r>
        <w:rPr>
          <w:w w:val="105"/>
          <w:sz w:val="21"/>
        </w:rPr>
        <w:t>new</w:t>
      </w:r>
      <w:r>
        <w:rPr>
          <w:spacing w:val="-4"/>
          <w:w w:val="105"/>
          <w:sz w:val="21"/>
        </w:rPr>
        <w:t> </w:t>
      </w:r>
      <w:r>
        <w:rPr>
          <w:w w:val="105"/>
          <w:sz w:val="21"/>
        </w:rPr>
        <w:t>tree </w:t>
      </w:r>
      <w:r>
        <w:rPr>
          <w:spacing w:val="-3"/>
          <w:w w:val="105"/>
          <w:sz w:val="21"/>
        </w:rPr>
        <w:t>disputes </w:t>
      </w:r>
      <w:r>
        <w:rPr>
          <w:w w:val="105"/>
          <w:sz w:val="21"/>
        </w:rPr>
        <w:t>Act</w:t>
      </w:r>
      <w:r>
        <w:rPr>
          <w:spacing w:val="13"/>
          <w:w w:val="105"/>
          <w:sz w:val="21"/>
        </w:rPr>
        <w:t> </w:t>
      </w:r>
      <w:r>
        <w:rPr>
          <w:w w:val="105"/>
          <w:sz w:val="21"/>
        </w:rPr>
        <w:t>should:</w:t>
      </w:r>
    </w:p>
    <w:p>
      <w:pPr>
        <w:pStyle w:val="ListParagraph"/>
        <w:numPr>
          <w:ilvl w:val="2"/>
          <w:numId w:val="42"/>
        </w:numPr>
        <w:tabs>
          <w:tab w:pos="2721" w:val="left" w:leader="none"/>
          <w:tab w:pos="2722" w:val="left" w:leader="none"/>
        </w:tabs>
        <w:spacing w:line="242" w:lineRule="auto" w:before="123" w:after="0"/>
        <w:ind w:left="2721" w:right="1967" w:hanging="340"/>
        <w:jc w:val="left"/>
        <w:rPr>
          <w:sz w:val="21"/>
        </w:rPr>
      </w:pPr>
      <w:r>
        <w:rPr>
          <w:sz w:val="21"/>
        </w:rPr>
        <w:t>provide a </w:t>
      </w:r>
      <w:r>
        <w:rPr>
          <w:spacing w:val="-3"/>
          <w:sz w:val="21"/>
        </w:rPr>
        <w:t>clear dispute </w:t>
      </w:r>
      <w:r>
        <w:rPr>
          <w:sz w:val="21"/>
        </w:rPr>
        <w:t>resolution </w:t>
      </w:r>
      <w:r>
        <w:rPr>
          <w:spacing w:val="-3"/>
          <w:sz w:val="21"/>
        </w:rPr>
        <w:t>pathway that encourages </w:t>
      </w:r>
      <w:r>
        <w:rPr>
          <w:sz w:val="21"/>
        </w:rPr>
        <w:t>people </w:t>
      </w:r>
      <w:r>
        <w:rPr>
          <w:spacing w:val="-3"/>
          <w:sz w:val="21"/>
        </w:rPr>
        <w:t>to </w:t>
      </w:r>
      <w:r>
        <w:rPr>
          <w:sz w:val="21"/>
        </w:rPr>
        <w:t>resolve their </w:t>
      </w:r>
      <w:r>
        <w:rPr>
          <w:spacing w:val="-3"/>
          <w:sz w:val="21"/>
        </w:rPr>
        <w:t>disputes informally </w:t>
      </w:r>
      <w:r>
        <w:rPr>
          <w:sz w:val="21"/>
        </w:rPr>
        <w:t>between</w:t>
      </w:r>
      <w:r>
        <w:rPr>
          <w:spacing w:val="32"/>
          <w:sz w:val="21"/>
        </w:rPr>
        <w:t> </w:t>
      </w:r>
      <w:r>
        <w:rPr>
          <w:sz w:val="21"/>
        </w:rPr>
        <w:t>themselves</w:t>
      </w:r>
    </w:p>
    <w:p>
      <w:pPr>
        <w:pStyle w:val="ListParagraph"/>
        <w:numPr>
          <w:ilvl w:val="2"/>
          <w:numId w:val="42"/>
        </w:numPr>
        <w:tabs>
          <w:tab w:pos="2721" w:val="left" w:leader="none"/>
          <w:tab w:pos="2722" w:val="left" w:leader="none"/>
        </w:tabs>
        <w:spacing w:line="240" w:lineRule="auto" w:before="87" w:after="0"/>
        <w:ind w:left="2721" w:right="0" w:hanging="340"/>
        <w:jc w:val="left"/>
        <w:rPr>
          <w:sz w:val="21"/>
        </w:rPr>
      </w:pPr>
      <w:r>
        <w:rPr>
          <w:sz w:val="21"/>
        </w:rPr>
        <w:t>enable </w:t>
      </w:r>
      <w:r>
        <w:rPr>
          <w:spacing w:val="-3"/>
          <w:sz w:val="21"/>
        </w:rPr>
        <w:t>disputes to</w:t>
      </w:r>
      <w:r>
        <w:rPr>
          <w:spacing w:val="18"/>
          <w:sz w:val="21"/>
        </w:rPr>
        <w:t> </w:t>
      </w:r>
      <w:r>
        <w:rPr>
          <w:sz w:val="21"/>
        </w:rPr>
        <w:t>be resolved efficiently and inexpensively</w:t>
      </w:r>
    </w:p>
    <w:p>
      <w:pPr>
        <w:pStyle w:val="ListParagraph"/>
        <w:numPr>
          <w:ilvl w:val="2"/>
          <w:numId w:val="42"/>
        </w:numPr>
        <w:tabs>
          <w:tab w:pos="2721" w:val="left" w:leader="none"/>
          <w:tab w:pos="2722" w:val="left" w:leader="none"/>
        </w:tabs>
        <w:spacing w:line="242" w:lineRule="auto" w:before="89" w:after="0"/>
        <w:ind w:left="2721" w:right="1666" w:hanging="340"/>
        <w:jc w:val="left"/>
        <w:rPr>
          <w:sz w:val="21"/>
        </w:rPr>
      </w:pPr>
      <w:r>
        <w:rPr>
          <w:w w:val="105"/>
          <w:sz w:val="21"/>
        </w:rPr>
        <w:t>establish</w:t>
      </w:r>
      <w:r>
        <w:rPr>
          <w:spacing w:val="-9"/>
          <w:w w:val="105"/>
          <w:sz w:val="21"/>
        </w:rPr>
        <w:t> </w:t>
      </w:r>
      <w:r>
        <w:rPr>
          <w:spacing w:val="-3"/>
          <w:w w:val="105"/>
          <w:sz w:val="21"/>
        </w:rPr>
        <w:t>clear</w:t>
      </w:r>
      <w:r>
        <w:rPr>
          <w:spacing w:val="-9"/>
          <w:w w:val="105"/>
          <w:sz w:val="21"/>
        </w:rPr>
        <w:t> </w:t>
      </w:r>
      <w:r>
        <w:rPr>
          <w:w w:val="105"/>
          <w:sz w:val="21"/>
        </w:rPr>
        <w:t>decision-making</w:t>
      </w:r>
      <w:r>
        <w:rPr>
          <w:spacing w:val="-8"/>
          <w:w w:val="105"/>
          <w:sz w:val="21"/>
        </w:rPr>
        <w:t> </w:t>
      </w:r>
      <w:r>
        <w:rPr>
          <w:spacing w:val="-3"/>
          <w:w w:val="105"/>
          <w:sz w:val="21"/>
        </w:rPr>
        <w:t>principles</w:t>
      </w:r>
      <w:r>
        <w:rPr>
          <w:spacing w:val="-9"/>
          <w:w w:val="105"/>
          <w:sz w:val="21"/>
        </w:rPr>
        <w:t> </w:t>
      </w:r>
      <w:r>
        <w:rPr>
          <w:spacing w:val="-3"/>
          <w:w w:val="105"/>
          <w:sz w:val="21"/>
        </w:rPr>
        <w:t>to</w:t>
      </w:r>
      <w:r>
        <w:rPr>
          <w:spacing w:val="-9"/>
          <w:w w:val="105"/>
          <w:sz w:val="21"/>
        </w:rPr>
        <w:t> </w:t>
      </w:r>
      <w:r>
        <w:rPr>
          <w:w w:val="105"/>
          <w:sz w:val="21"/>
        </w:rPr>
        <w:t>guide</w:t>
      </w:r>
      <w:r>
        <w:rPr>
          <w:spacing w:val="-8"/>
          <w:w w:val="105"/>
          <w:sz w:val="21"/>
        </w:rPr>
        <w:t> </w:t>
      </w:r>
      <w:r>
        <w:rPr>
          <w:w w:val="105"/>
          <w:sz w:val="21"/>
        </w:rPr>
        <w:t>the</w:t>
      </w:r>
      <w:r>
        <w:rPr>
          <w:spacing w:val="-9"/>
          <w:w w:val="105"/>
          <w:sz w:val="21"/>
        </w:rPr>
        <w:t> </w:t>
      </w:r>
      <w:r>
        <w:rPr>
          <w:w w:val="105"/>
          <w:sz w:val="21"/>
        </w:rPr>
        <w:t>community</w:t>
      </w:r>
      <w:r>
        <w:rPr>
          <w:spacing w:val="-9"/>
          <w:w w:val="105"/>
          <w:sz w:val="21"/>
        </w:rPr>
        <w:t> </w:t>
      </w:r>
      <w:r>
        <w:rPr>
          <w:w w:val="105"/>
          <w:sz w:val="21"/>
        </w:rPr>
        <w:t>about</w:t>
      </w:r>
      <w:r>
        <w:rPr>
          <w:spacing w:val="-8"/>
          <w:w w:val="105"/>
          <w:sz w:val="21"/>
        </w:rPr>
        <w:t> </w:t>
      </w:r>
      <w:r>
        <w:rPr>
          <w:w w:val="105"/>
          <w:sz w:val="21"/>
        </w:rPr>
        <w:t>how</w:t>
      </w:r>
      <w:r>
        <w:rPr>
          <w:spacing w:val="-9"/>
          <w:w w:val="105"/>
          <w:sz w:val="21"/>
        </w:rPr>
        <w:t> </w:t>
      </w:r>
      <w:r>
        <w:rPr>
          <w:w w:val="105"/>
          <w:sz w:val="21"/>
        </w:rPr>
        <w:t>the</w:t>
      </w:r>
      <w:r>
        <w:rPr>
          <w:spacing w:val="-8"/>
          <w:w w:val="105"/>
          <w:sz w:val="21"/>
        </w:rPr>
        <w:t> </w:t>
      </w:r>
      <w:r>
        <w:rPr>
          <w:w w:val="105"/>
          <w:sz w:val="21"/>
        </w:rPr>
        <w:t>law applies, and help the community </w:t>
      </w:r>
      <w:r>
        <w:rPr>
          <w:spacing w:val="-3"/>
          <w:w w:val="105"/>
          <w:sz w:val="21"/>
        </w:rPr>
        <w:t>to </w:t>
      </w:r>
      <w:r>
        <w:rPr>
          <w:w w:val="105"/>
          <w:sz w:val="21"/>
        </w:rPr>
        <w:t>resolve their own</w:t>
      </w:r>
      <w:r>
        <w:rPr>
          <w:spacing w:val="20"/>
          <w:w w:val="105"/>
          <w:sz w:val="21"/>
        </w:rPr>
        <w:t> </w:t>
      </w:r>
      <w:r>
        <w:rPr>
          <w:spacing w:val="-3"/>
          <w:w w:val="105"/>
          <w:sz w:val="21"/>
        </w:rPr>
        <w:t>disputes</w:t>
      </w:r>
    </w:p>
    <w:p>
      <w:pPr>
        <w:pStyle w:val="ListParagraph"/>
        <w:numPr>
          <w:ilvl w:val="2"/>
          <w:numId w:val="42"/>
        </w:numPr>
        <w:tabs>
          <w:tab w:pos="2721" w:val="left" w:leader="none"/>
          <w:tab w:pos="2722" w:val="left" w:leader="none"/>
        </w:tabs>
        <w:spacing w:line="240" w:lineRule="auto" w:before="87" w:after="0"/>
        <w:ind w:left="2721" w:right="0" w:hanging="340"/>
        <w:jc w:val="left"/>
        <w:rPr>
          <w:sz w:val="21"/>
        </w:rPr>
      </w:pPr>
      <w:r>
        <w:rPr>
          <w:sz w:val="21"/>
        </w:rPr>
        <w:t>provide practical and effective</w:t>
      </w:r>
      <w:r>
        <w:rPr>
          <w:spacing w:val="32"/>
          <w:sz w:val="21"/>
        </w:rPr>
        <w:t> </w:t>
      </w:r>
      <w:r>
        <w:rPr>
          <w:sz w:val="21"/>
        </w:rPr>
        <w:t>remedies</w:t>
      </w:r>
    </w:p>
    <w:p>
      <w:pPr>
        <w:pStyle w:val="ListParagraph"/>
        <w:numPr>
          <w:ilvl w:val="2"/>
          <w:numId w:val="42"/>
        </w:numPr>
        <w:tabs>
          <w:tab w:pos="2721" w:val="left" w:leader="none"/>
          <w:tab w:pos="2722" w:val="left" w:leader="none"/>
        </w:tabs>
        <w:spacing w:line="240" w:lineRule="auto" w:before="88" w:after="0"/>
        <w:ind w:left="2721" w:right="0" w:hanging="340"/>
        <w:jc w:val="left"/>
        <w:rPr>
          <w:sz w:val="21"/>
        </w:rPr>
      </w:pPr>
      <w:r>
        <w:rPr>
          <w:spacing w:val="-3"/>
          <w:w w:val="105"/>
          <w:sz w:val="21"/>
        </w:rPr>
        <w:t>balance competing </w:t>
      </w:r>
      <w:r>
        <w:rPr>
          <w:w w:val="105"/>
          <w:sz w:val="21"/>
        </w:rPr>
        <w:t>rights and interests </w:t>
      </w:r>
      <w:r>
        <w:rPr>
          <w:spacing w:val="-3"/>
          <w:w w:val="105"/>
          <w:sz w:val="21"/>
        </w:rPr>
        <w:t>fairly </w:t>
      </w:r>
      <w:r>
        <w:rPr>
          <w:w w:val="105"/>
          <w:sz w:val="21"/>
        </w:rPr>
        <w:t>and</w:t>
      </w:r>
      <w:r>
        <w:rPr>
          <w:spacing w:val="36"/>
          <w:w w:val="105"/>
          <w:sz w:val="21"/>
        </w:rPr>
        <w:t> </w:t>
      </w:r>
      <w:r>
        <w:rPr>
          <w:spacing w:val="-3"/>
          <w:w w:val="105"/>
          <w:sz w:val="21"/>
        </w:rPr>
        <w:t>transparently</w:t>
      </w:r>
    </w:p>
    <w:p>
      <w:pPr>
        <w:pStyle w:val="ListParagraph"/>
        <w:numPr>
          <w:ilvl w:val="2"/>
          <w:numId w:val="42"/>
        </w:numPr>
        <w:tabs>
          <w:tab w:pos="2721" w:val="left" w:leader="none"/>
          <w:tab w:pos="2722" w:val="left" w:leader="none"/>
        </w:tabs>
        <w:spacing w:line="240" w:lineRule="auto" w:before="89" w:after="0"/>
        <w:ind w:left="2721" w:right="0" w:hanging="340"/>
        <w:jc w:val="left"/>
        <w:rPr>
          <w:sz w:val="21"/>
        </w:rPr>
      </w:pPr>
      <w:r>
        <w:rPr>
          <w:w w:val="105"/>
          <w:sz w:val="21"/>
        </w:rPr>
        <w:t>use evidence-based decision</w:t>
      </w:r>
      <w:r>
        <w:rPr>
          <w:spacing w:val="15"/>
          <w:w w:val="105"/>
          <w:sz w:val="21"/>
        </w:rPr>
        <w:t> </w:t>
      </w:r>
      <w:r>
        <w:rPr>
          <w:spacing w:val="-3"/>
          <w:w w:val="105"/>
          <w:sz w:val="21"/>
        </w:rPr>
        <w:t>making</w:t>
      </w:r>
    </w:p>
    <w:p>
      <w:pPr>
        <w:pStyle w:val="ListParagraph"/>
        <w:numPr>
          <w:ilvl w:val="2"/>
          <w:numId w:val="42"/>
        </w:numPr>
        <w:tabs>
          <w:tab w:pos="2721" w:val="left" w:leader="none"/>
          <w:tab w:pos="2722" w:val="left" w:leader="none"/>
        </w:tabs>
        <w:spacing w:line="240" w:lineRule="auto" w:before="89" w:after="0"/>
        <w:ind w:left="2721" w:right="0" w:hanging="340"/>
        <w:jc w:val="left"/>
        <w:rPr>
          <w:sz w:val="21"/>
        </w:rPr>
      </w:pPr>
      <w:r>
        <w:rPr>
          <w:spacing w:val="-3"/>
          <w:sz w:val="21"/>
        </w:rPr>
        <w:t>interact </w:t>
      </w:r>
      <w:r>
        <w:rPr>
          <w:sz w:val="21"/>
        </w:rPr>
        <w:t>simply with other</w:t>
      </w:r>
      <w:r>
        <w:rPr>
          <w:spacing w:val="36"/>
          <w:sz w:val="21"/>
        </w:rPr>
        <w:t> </w:t>
      </w:r>
      <w:r>
        <w:rPr>
          <w:sz w:val="21"/>
        </w:rPr>
        <w:t>laws.</w:t>
      </w:r>
    </w:p>
    <w:p>
      <w:pPr>
        <w:pStyle w:val="ListParagraph"/>
        <w:numPr>
          <w:ilvl w:val="1"/>
          <w:numId w:val="42"/>
        </w:numPr>
        <w:tabs>
          <w:tab w:pos="2381" w:val="left" w:leader="none"/>
          <w:tab w:pos="2382" w:val="left" w:leader="none"/>
        </w:tabs>
        <w:spacing w:line="242" w:lineRule="auto" w:before="89" w:after="0"/>
        <w:ind w:left="2381" w:right="2017" w:hanging="794"/>
        <w:jc w:val="left"/>
        <w:rPr>
          <w:sz w:val="21"/>
        </w:rPr>
      </w:pPr>
      <w:r>
        <w:rPr>
          <w:w w:val="105"/>
          <w:sz w:val="21"/>
        </w:rPr>
        <w:t>The</w:t>
      </w:r>
      <w:r>
        <w:rPr>
          <w:spacing w:val="-5"/>
          <w:w w:val="105"/>
          <w:sz w:val="21"/>
        </w:rPr>
        <w:t> </w:t>
      </w:r>
      <w:r>
        <w:rPr>
          <w:w w:val="105"/>
          <w:sz w:val="21"/>
        </w:rPr>
        <w:t>new</w:t>
      </w:r>
      <w:r>
        <w:rPr>
          <w:spacing w:val="-4"/>
          <w:w w:val="105"/>
          <w:sz w:val="21"/>
        </w:rPr>
        <w:t> </w:t>
      </w:r>
      <w:r>
        <w:rPr>
          <w:w w:val="105"/>
          <w:sz w:val="21"/>
        </w:rPr>
        <w:t>Act</w:t>
      </w:r>
      <w:r>
        <w:rPr>
          <w:spacing w:val="-4"/>
          <w:w w:val="105"/>
          <w:sz w:val="21"/>
        </w:rPr>
        <w:t> </w:t>
      </w:r>
      <w:r>
        <w:rPr>
          <w:w w:val="105"/>
          <w:sz w:val="21"/>
        </w:rPr>
        <w:t>should</w:t>
      </w:r>
      <w:r>
        <w:rPr>
          <w:spacing w:val="-4"/>
          <w:w w:val="105"/>
          <w:sz w:val="21"/>
        </w:rPr>
        <w:t> </w:t>
      </w:r>
      <w:r>
        <w:rPr>
          <w:w w:val="105"/>
          <w:sz w:val="21"/>
        </w:rPr>
        <w:t>also</w:t>
      </w:r>
      <w:r>
        <w:rPr>
          <w:spacing w:val="-4"/>
          <w:w w:val="105"/>
          <w:sz w:val="21"/>
        </w:rPr>
        <w:t> </w:t>
      </w:r>
      <w:r>
        <w:rPr>
          <w:w w:val="105"/>
          <w:sz w:val="21"/>
        </w:rPr>
        <w:t>be</w:t>
      </w:r>
      <w:r>
        <w:rPr>
          <w:spacing w:val="-4"/>
          <w:w w:val="105"/>
          <w:sz w:val="21"/>
        </w:rPr>
        <w:t> </w:t>
      </w:r>
      <w:r>
        <w:rPr>
          <w:spacing w:val="-3"/>
          <w:w w:val="105"/>
          <w:sz w:val="21"/>
        </w:rPr>
        <w:t>accessible</w:t>
      </w:r>
      <w:r>
        <w:rPr>
          <w:spacing w:val="-4"/>
          <w:w w:val="105"/>
          <w:sz w:val="21"/>
        </w:rPr>
        <w:t> </w:t>
      </w:r>
      <w:r>
        <w:rPr>
          <w:w w:val="105"/>
          <w:sz w:val="21"/>
        </w:rPr>
        <w:t>and</w:t>
      </w:r>
      <w:r>
        <w:rPr>
          <w:spacing w:val="-4"/>
          <w:w w:val="105"/>
          <w:sz w:val="21"/>
        </w:rPr>
        <w:t> </w:t>
      </w:r>
      <w:r>
        <w:rPr>
          <w:w w:val="105"/>
          <w:sz w:val="21"/>
        </w:rPr>
        <w:t>supported</w:t>
      </w:r>
      <w:r>
        <w:rPr>
          <w:spacing w:val="-4"/>
          <w:w w:val="105"/>
          <w:sz w:val="21"/>
        </w:rPr>
        <w:t> </w:t>
      </w:r>
      <w:r>
        <w:rPr>
          <w:w w:val="105"/>
          <w:sz w:val="21"/>
        </w:rPr>
        <w:t>by</w:t>
      </w:r>
      <w:r>
        <w:rPr>
          <w:spacing w:val="-4"/>
          <w:w w:val="105"/>
          <w:sz w:val="21"/>
        </w:rPr>
        <w:t> </w:t>
      </w:r>
      <w:r>
        <w:rPr>
          <w:spacing w:val="-3"/>
          <w:w w:val="105"/>
          <w:sz w:val="21"/>
        </w:rPr>
        <w:t>information</w:t>
      </w:r>
      <w:r>
        <w:rPr>
          <w:spacing w:val="-4"/>
          <w:w w:val="105"/>
          <w:sz w:val="21"/>
        </w:rPr>
        <w:t> </w:t>
      </w:r>
      <w:r>
        <w:rPr>
          <w:spacing w:val="-3"/>
          <w:w w:val="105"/>
          <w:sz w:val="21"/>
        </w:rPr>
        <w:t>that</w:t>
      </w:r>
      <w:r>
        <w:rPr>
          <w:spacing w:val="-5"/>
          <w:w w:val="105"/>
          <w:sz w:val="21"/>
        </w:rPr>
        <w:t> </w:t>
      </w:r>
      <w:r>
        <w:rPr>
          <w:w w:val="105"/>
          <w:sz w:val="21"/>
        </w:rPr>
        <w:t>is</w:t>
      </w:r>
      <w:r>
        <w:rPr>
          <w:spacing w:val="-4"/>
          <w:w w:val="105"/>
          <w:sz w:val="21"/>
        </w:rPr>
        <w:t> </w:t>
      </w:r>
      <w:r>
        <w:rPr>
          <w:spacing w:val="-3"/>
          <w:w w:val="105"/>
          <w:sz w:val="21"/>
        </w:rPr>
        <w:t>clear</w:t>
      </w:r>
      <w:r>
        <w:rPr>
          <w:spacing w:val="-4"/>
          <w:w w:val="105"/>
          <w:sz w:val="21"/>
        </w:rPr>
        <w:t> </w:t>
      </w:r>
      <w:r>
        <w:rPr>
          <w:w w:val="105"/>
          <w:sz w:val="21"/>
        </w:rPr>
        <w:t>and easy </w:t>
      </w:r>
      <w:r>
        <w:rPr>
          <w:spacing w:val="-3"/>
          <w:w w:val="105"/>
          <w:sz w:val="21"/>
        </w:rPr>
        <w:t>to </w:t>
      </w:r>
      <w:r>
        <w:rPr>
          <w:w w:val="105"/>
          <w:sz w:val="21"/>
        </w:rPr>
        <w:t>find. These policy themes </w:t>
      </w:r>
      <w:r>
        <w:rPr>
          <w:spacing w:val="-3"/>
          <w:w w:val="105"/>
          <w:sz w:val="21"/>
        </w:rPr>
        <w:t>are </w:t>
      </w:r>
      <w:r>
        <w:rPr>
          <w:w w:val="105"/>
          <w:sz w:val="21"/>
        </w:rPr>
        <w:t>discussed in the </w:t>
      </w:r>
      <w:r>
        <w:rPr>
          <w:spacing w:val="-3"/>
          <w:w w:val="105"/>
          <w:sz w:val="21"/>
        </w:rPr>
        <w:t>following</w:t>
      </w:r>
      <w:r>
        <w:rPr>
          <w:spacing w:val="10"/>
          <w:w w:val="105"/>
          <w:sz w:val="21"/>
        </w:rPr>
        <w:t> </w:t>
      </w:r>
      <w:r>
        <w:rPr>
          <w:spacing w:val="-3"/>
          <w:w w:val="105"/>
          <w:sz w:val="21"/>
        </w:rPr>
        <w:t>paragraphs.</w:t>
      </w:r>
    </w:p>
    <w:p>
      <w:pPr>
        <w:pStyle w:val="BodyText"/>
        <w:spacing w:before="2"/>
        <w:rPr>
          <w:sz w:val="20"/>
        </w:rPr>
      </w:pPr>
    </w:p>
    <w:p>
      <w:pPr>
        <w:pStyle w:val="Heading5"/>
      </w:pPr>
      <w:r>
        <w:rPr>
          <w:w w:val="110"/>
        </w:rPr>
        <w:t>Provide a clear dispute resolution pathway</w:t>
      </w:r>
    </w:p>
    <w:p>
      <w:pPr>
        <w:pStyle w:val="ListParagraph"/>
        <w:numPr>
          <w:ilvl w:val="1"/>
          <w:numId w:val="42"/>
        </w:numPr>
        <w:tabs>
          <w:tab w:pos="2381" w:val="left" w:leader="none"/>
          <w:tab w:pos="2382" w:val="left" w:leader="none"/>
        </w:tabs>
        <w:spacing w:line="242" w:lineRule="auto" w:before="138" w:after="0"/>
        <w:ind w:left="2381" w:right="1926" w:hanging="794"/>
        <w:jc w:val="left"/>
        <w:rPr>
          <w:sz w:val="21"/>
        </w:rPr>
      </w:pPr>
      <w:r>
        <w:rPr>
          <w:sz w:val="21"/>
        </w:rPr>
        <w:t>It is important </w:t>
      </w:r>
      <w:r>
        <w:rPr>
          <w:spacing w:val="-3"/>
          <w:sz w:val="21"/>
        </w:rPr>
        <w:t>that </w:t>
      </w:r>
      <w:r>
        <w:rPr>
          <w:sz w:val="21"/>
        </w:rPr>
        <w:t>neighbours try </w:t>
      </w:r>
      <w:r>
        <w:rPr>
          <w:spacing w:val="-3"/>
          <w:sz w:val="21"/>
        </w:rPr>
        <w:t>to </w:t>
      </w:r>
      <w:r>
        <w:rPr>
          <w:sz w:val="21"/>
        </w:rPr>
        <w:t>work out ways of solving tree </w:t>
      </w:r>
      <w:r>
        <w:rPr>
          <w:spacing w:val="-2"/>
          <w:sz w:val="21"/>
        </w:rPr>
        <w:t>problems </w:t>
      </w:r>
      <w:r>
        <w:rPr>
          <w:sz w:val="21"/>
        </w:rPr>
        <w:t>between themselves </w:t>
      </w:r>
      <w:r>
        <w:rPr>
          <w:spacing w:val="-3"/>
          <w:sz w:val="21"/>
        </w:rPr>
        <w:t>to </w:t>
      </w:r>
      <w:r>
        <w:rPr>
          <w:sz w:val="21"/>
        </w:rPr>
        <w:t>preserve their ongoing </w:t>
      </w:r>
      <w:r>
        <w:rPr>
          <w:spacing w:val="-3"/>
          <w:sz w:val="21"/>
        </w:rPr>
        <w:t>relationship.</w:t>
      </w:r>
    </w:p>
    <w:p>
      <w:pPr>
        <w:pStyle w:val="ListParagraph"/>
        <w:numPr>
          <w:ilvl w:val="1"/>
          <w:numId w:val="42"/>
        </w:numPr>
        <w:tabs>
          <w:tab w:pos="2382" w:val="left" w:leader="none"/>
        </w:tabs>
        <w:spacing w:line="242" w:lineRule="auto" w:before="122" w:after="0"/>
        <w:ind w:left="2381" w:right="2088" w:hanging="794"/>
        <w:jc w:val="both"/>
        <w:rPr>
          <w:sz w:val="21"/>
        </w:rPr>
      </w:pPr>
      <w:r>
        <w:rPr>
          <w:sz w:val="21"/>
        </w:rPr>
        <w:t>The new Act should clearly define the </w:t>
      </w:r>
      <w:r>
        <w:rPr>
          <w:spacing w:val="-3"/>
          <w:sz w:val="21"/>
        </w:rPr>
        <w:t>circumstances </w:t>
      </w:r>
      <w:r>
        <w:rPr>
          <w:sz w:val="21"/>
        </w:rPr>
        <w:t>in which a case can be </w:t>
      </w:r>
      <w:r>
        <w:rPr>
          <w:spacing w:val="-3"/>
          <w:sz w:val="21"/>
        </w:rPr>
        <w:t>brought </w:t>
      </w:r>
      <w:r>
        <w:rPr>
          <w:sz w:val="21"/>
        </w:rPr>
        <w:t>and the </w:t>
      </w:r>
      <w:r>
        <w:rPr>
          <w:spacing w:val="-3"/>
          <w:sz w:val="21"/>
        </w:rPr>
        <w:t>range </w:t>
      </w:r>
      <w:r>
        <w:rPr>
          <w:sz w:val="21"/>
        </w:rPr>
        <w:t>of the orders </w:t>
      </w:r>
      <w:r>
        <w:rPr>
          <w:spacing w:val="-3"/>
          <w:sz w:val="21"/>
        </w:rPr>
        <w:t>available. </w:t>
      </w:r>
      <w:r>
        <w:rPr>
          <w:sz w:val="21"/>
        </w:rPr>
        <w:t>It should </w:t>
      </w:r>
      <w:r>
        <w:rPr>
          <w:spacing w:val="-3"/>
          <w:sz w:val="21"/>
        </w:rPr>
        <w:t>encourage </w:t>
      </w:r>
      <w:r>
        <w:rPr>
          <w:sz w:val="21"/>
        </w:rPr>
        <w:t>people </w:t>
      </w:r>
      <w:r>
        <w:rPr>
          <w:spacing w:val="-3"/>
          <w:sz w:val="21"/>
        </w:rPr>
        <w:t>to </w:t>
      </w:r>
      <w:r>
        <w:rPr>
          <w:sz w:val="21"/>
        </w:rPr>
        <w:t>resolve </w:t>
      </w:r>
      <w:r>
        <w:rPr>
          <w:spacing w:val="-3"/>
          <w:sz w:val="21"/>
        </w:rPr>
        <w:t>disputes informally </w:t>
      </w:r>
      <w:r>
        <w:rPr>
          <w:sz w:val="21"/>
        </w:rPr>
        <w:t>and provide </w:t>
      </w:r>
      <w:r>
        <w:rPr>
          <w:spacing w:val="-3"/>
          <w:sz w:val="21"/>
        </w:rPr>
        <w:t>greater </w:t>
      </w:r>
      <w:r>
        <w:rPr>
          <w:sz w:val="21"/>
        </w:rPr>
        <w:t>certainty </w:t>
      </w:r>
      <w:r>
        <w:rPr>
          <w:spacing w:val="-3"/>
          <w:sz w:val="21"/>
        </w:rPr>
        <w:t>for </w:t>
      </w:r>
      <w:r>
        <w:rPr>
          <w:sz w:val="21"/>
        </w:rPr>
        <w:t>those who </w:t>
      </w:r>
      <w:r>
        <w:rPr>
          <w:spacing w:val="-3"/>
          <w:sz w:val="21"/>
        </w:rPr>
        <w:t>take </w:t>
      </w:r>
      <w:r>
        <w:rPr>
          <w:sz w:val="21"/>
        </w:rPr>
        <w:t>legal action.</w:t>
      </w:r>
    </w:p>
    <w:p>
      <w:pPr>
        <w:pStyle w:val="BodyText"/>
        <w:spacing w:before="4"/>
        <w:rPr>
          <w:sz w:val="20"/>
        </w:rPr>
      </w:pPr>
    </w:p>
    <w:p>
      <w:pPr>
        <w:pStyle w:val="Heading5"/>
      </w:pPr>
      <w:r>
        <w:rPr>
          <w:w w:val="115"/>
        </w:rPr>
        <w:t>Resolve disputes efficiently and inexpensively</w:t>
      </w:r>
    </w:p>
    <w:p>
      <w:pPr>
        <w:pStyle w:val="ListParagraph"/>
        <w:numPr>
          <w:ilvl w:val="1"/>
          <w:numId w:val="42"/>
        </w:numPr>
        <w:tabs>
          <w:tab w:pos="2381" w:val="left" w:leader="none"/>
          <w:tab w:pos="2382" w:val="left" w:leader="none"/>
        </w:tabs>
        <w:spacing w:line="242" w:lineRule="auto" w:before="137" w:after="0"/>
        <w:ind w:left="2381" w:right="1649" w:hanging="794"/>
        <w:jc w:val="left"/>
        <w:rPr>
          <w:sz w:val="21"/>
        </w:rPr>
      </w:pPr>
      <w:r>
        <w:rPr>
          <w:w w:val="105"/>
          <w:sz w:val="21"/>
        </w:rPr>
        <w:t>Not </w:t>
      </w:r>
      <w:r>
        <w:rPr>
          <w:spacing w:val="-3"/>
          <w:w w:val="105"/>
          <w:sz w:val="21"/>
        </w:rPr>
        <w:t>all disputes </w:t>
      </w:r>
      <w:r>
        <w:rPr>
          <w:w w:val="105"/>
          <w:sz w:val="21"/>
        </w:rPr>
        <w:t>can be resolved </w:t>
      </w:r>
      <w:r>
        <w:rPr>
          <w:spacing w:val="-4"/>
          <w:w w:val="105"/>
          <w:sz w:val="21"/>
        </w:rPr>
        <w:t>informally. </w:t>
      </w:r>
      <w:r>
        <w:rPr>
          <w:w w:val="105"/>
          <w:sz w:val="21"/>
        </w:rPr>
        <w:t>Where </w:t>
      </w:r>
      <w:r>
        <w:rPr>
          <w:spacing w:val="-3"/>
          <w:w w:val="105"/>
          <w:sz w:val="21"/>
        </w:rPr>
        <w:t>disputes </w:t>
      </w:r>
      <w:r>
        <w:rPr>
          <w:w w:val="105"/>
          <w:sz w:val="21"/>
        </w:rPr>
        <w:t>proceed </w:t>
      </w:r>
      <w:r>
        <w:rPr>
          <w:spacing w:val="-3"/>
          <w:w w:val="105"/>
          <w:sz w:val="21"/>
        </w:rPr>
        <w:t>to formal adjudication, </w:t>
      </w:r>
      <w:r>
        <w:rPr>
          <w:w w:val="105"/>
          <w:sz w:val="21"/>
        </w:rPr>
        <w:t>they should be resolved in an </w:t>
      </w:r>
      <w:r>
        <w:rPr>
          <w:spacing w:val="-3"/>
          <w:w w:val="105"/>
          <w:sz w:val="21"/>
        </w:rPr>
        <w:t>inexpensive, accessible </w:t>
      </w:r>
      <w:r>
        <w:rPr>
          <w:w w:val="105"/>
          <w:sz w:val="21"/>
        </w:rPr>
        <w:t>and </w:t>
      </w:r>
      <w:r>
        <w:rPr>
          <w:spacing w:val="-3"/>
          <w:w w:val="105"/>
          <w:sz w:val="21"/>
        </w:rPr>
        <w:t>transparent way to </w:t>
      </w:r>
      <w:r>
        <w:rPr>
          <w:w w:val="105"/>
          <w:sz w:val="21"/>
        </w:rPr>
        <w:t>provide the best </w:t>
      </w:r>
      <w:r>
        <w:rPr>
          <w:spacing w:val="-3"/>
          <w:w w:val="105"/>
          <w:sz w:val="21"/>
        </w:rPr>
        <w:t>chance </w:t>
      </w:r>
      <w:r>
        <w:rPr>
          <w:w w:val="105"/>
          <w:sz w:val="21"/>
        </w:rPr>
        <w:t>of preserving </w:t>
      </w:r>
      <w:r>
        <w:rPr>
          <w:spacing w:val="-3"/>
          <w:w w:val="105"/>
          <w:sz w:val="21"/>
        </w:rPr>
        <w:t>future relations. </w:t>
      </w:r>
      <w:r>
        <w:rPr>
          <w:w w:val="105"/>
          <w:sz w:val="21"/>
        </w:rPr>
        <w:t>The </w:t>
      </w:r>
      <w:r>
        <w:rPr>
          <w:spacing w:val="-3"/>
          <w:w w:val="105"/>
          <w:sz w:val="21"/>
        </w:rPr>
        <w:t>Commission </w:t>
      </w:r>
      <w:r>
        <w:rPr>
          <w:w w:val="105"/>
          <w:sz w:val="21"/>
        </w:rPr>
        <w:t>considers </w:t>
      </w:r>
      <w:r>
        <w:rPr>
          <w:spacing w:val="-3"/>
          <w:w w:val="105"/>
          <w:sz w:val="21"/>
        </w:rPr>
        <w:t>that </w:t>
      </w:r>
      <w:r>
        <w:rPr>
          <w:w w:val="105"/>
          <w:sz w:val="21"/>
        </w:rPr>
        <w:t>tree </w:t>
      </w:r>
      <w:r>
        <w:rPr>
          <w:spacing w:val="-3"/>
          <w:w w:val="105"/>
          <w:sz w:val="21"/>
        </w:rPr>
        <w:t>disputes </w:t>
      </w:r>
      <w:r>
        <w:rPr>
          <w:w w:val="105"/>
          <w:sz w:val="21"/>
        </w:rPr>
        <w:t>would be most </w:t>
      </w:r>
      <w:r>
        <w:rPr>
          <w:spacing w:val="-3"/>
          <w:w w:val="105"/>
          <w:sz w:val="21"/>
        </w:rPr>
        <w:t>appropriately adjudicated </w:t>
      </w:r>
      <w:r>
        <w:rPr>
          <w:w w:val="105"/>
          <w:sz w:val="21"/>
        </w:rPr>
        <w:t>in </w:t>
      </w:r>
      <w:r>
        <w:rPr>
          <w:spacing w:val="-5"/>
          <w:w w:val="105"/>
          <w:sz w:val="21"/>
        </w:rPr>
        <w:t>VCAT </w:t>
      </w:r>
      <w:r>
        <w:rPr>
          <w:spacing w:val="-3"/>
          <w:w w:val="105"/>
          <w:sz w:val="21"/>
        </w:rPr>
        <w:t>for </w:t>
      </w:r>
      <w:r>
        <w:rPr>
          <w:w w:val="105"/>
          <w:sz w:val="21"/>
        </w:rPr>
        <w:t>the </w:t>
      </w:r>
      <w:r>
        <w:rPr>
          <w:spacing w:val="-3"/>
          <w:w w:val="105"/>
          <w:sz w:val="21"/>
        </w:rPr>
        <w:t>following</w:t>
      </w:r>
      <w:r>
        <w:rPr>
          <w:spacing w:val="-7"/>
          <w:w w:val="105"/>
          <w:sz w:val="21"/>
        </w:rPr>
        <w:t> </w:t>
      </w:r>
      <w:r>
        <w:rPr>
          <w:w w:val="105"/>
          <w:sz w:val="21"/>
        </w:rPr>
        <w:t>reasons:</w:t>
      </w:r>
    </w:p>
    <w:p>
      <w:pPr>
        <w:pStyle w:val="ListParagraph"/>
        <w:numPr>
          <w:ilvl w:val="2"/>
          <w:numId w:val="42"/>
        </w:numPr>
        <w:tabs>
          <w:tab w:pos="2721" w:val="left" w:leader="none"/>
          <w:tab w:pos="2722" w:val="left" w:leader="none"/>
        </w:tabs>
        <w:spacing w:line="242" w:lineRule="auto" w:before="125" w:after="0"/>
        <w:ind w:left="2721" w:right="1843" w:hanging="340"/>
        <w:jc w:val="left"/>
        <w:rPr>
          <w:sz w:val="21"/>
        </w:rPr>
      </w:pPr>
      <w:r>
        <w:rPr>
          <w:w w:val="105"/>
          <w:sz w:val="21"/>
        </w:rPr>
        <w:t>Application costs </w:t>
      </w:r>
      <w:r>
        <w:rPr>
          <w:spacing w:val="-3"/>
          <w:w w:val="105"/>
          <w:sz w:val="21"/>
        </w:rPr>
        <w:t>are kept to </w:t>
      </w:r>
      <w:r>
        <w:rPr>
          <w:w w:val="105"/>
          <w:sz w:val="21"/>
        </w:rPr>
        <w:t>a </w:t>
      </w:r>
      <w:r>
        <w:rPr>
          <w:spacing w:val="-3"/>
          <w:w w:val="105"/>
          <w:sz w:val="21"/>
        </w:rPr>
        <w:t>minimum </w:t>
      </w:r>
      <w:r>
        <w:rPr>
          <w:w w:val="105"/>
          <w:sz w:val="21"/>
        </w:rPr>
        <w:t>in </w:t>
      </w:r>
      <w:r>
        <w:rPr>
          <w:spacing w:val="-5"/>
          <w:w w:val="105"/>
          <w:sz w:val="21"/>
        </w:rPr>
        <w:t>VCAT </w:t>
      </w:r>
      <w:r>
        <w:rPr>
          <w:spacing w:val="-3"/>
          <w:w w:val="105"/>
          <w:sz w:val="21"/>
        </w:rPr>
        <w:t>proceedings </w:t>
      </w:r>
      <w:r>
        <w:rPr>
          <w:w w:val="105"/>
          <w:sz w:val="21"/>
        </w:rPr>
        <w:t>and parties </w:t>
      </w:r>
      <w:r>
        <w:rPr>
          <w:spacing w:val="-3"/>
          <w:w w:val="105"/>
          <w:sz w:val="21"/>
        </w:rPr>
        <w:t>generally </w:t>
      </w:r>
      <w:r>
        <w:rPr>
          <w:w w:val="105"/>
          <w:sz w:val="21"/>
        </w:rPr>
        <w:t>bear their own</w:t>
      </w:r>
      <w:r>
        <w:rPr>
          <w:spacing w:val="15"/>
          <w:w w:val="105"/>
          <w:sz w:val="21"/>
        </w:rPr>
        <w:t> </w:t>
      </w:r>
      <w:r>
        <w:rPr>
          <w:w w:val="105"/>
          <w:sz w:val="21"/>
        </w:rPr>
        <w:t>costs.</w:t>
      </w:r>
    </w:p>
    <w:p>
      <w:pPr>
        <w:pStyle w:val="ListParagraph"/>
        <w:numPr>
          <w:ilvl w:val="2"/>
          <w:numId w:val="42"/>
        </w:numPr>
        <w:tabs>
          <w:tab w:pos="2721" w:val="left" w:leader="none"/>
          <w:tab w:pos="2722" w:val="left" w:leader="none"/>
        </w:tabs>
        <w:spacing w:line="242" w:lineRule="auto" w:before="87" w:after="0"/>
        <w:ind w:left="2721" w:right="2514" w:hanging="340"/>
        <w:jc w:val="left"/>
        <w:rPr>
          <w:sz w:val="21"/>
        </w:rPr>
      </w:pPr>
      <w:r>
        <w:rPr>
          <w:w w:val="105"/>
          <w:sz w:val="21"/>
        </w:rPr>
        <w:t>The use of </w:t>
      </w:r>
      <w:r>
        <w:rPr>
          <w:spacing w:val="-3"/>
          <w:w w:val="105"/>
          <w:sz w:val="21"/>
        </w:rPr>
        <w:t>alternative dispute </w:t>
      </w:r>
      <w:r>
        <w:rPr>
          <w:w w:val="105"/>
          <w:sz w:val="21"/>
        </w:rPr>
        <w:t>resolution (ADR) is </w:t>
      </w:r>
      <w:r>
        <w:rPr>
          <w:spacing w:val="-3"/>
          <w:w w:val="105"/>
          <w:sz w:val="21"/>
        </w:rPr>
        <w:t>encouraged </w:t>
      </w:r>
      <w:r>
        <w:rPr>
          <w:w w:val="105"/>
          <w:sz w:val="21"/>
        </w:rPr>
        <w:t>and </w:t>
      </w:r>
      <w:r>
        <w:rPr>
          <w:spacing w:val="-5"/>
          <w:w w:val="105"/>
          <w:sz w:val="21"/>
        </w:rPr>
        <w:t>VCAT </w:t>
      </w:r>
      <w:r>
        <w:rPr>
          <w:spacing w:val="-2"/>
          <w:w w:val="105"/>
          <w:sz w:val="21"/>
        </w:rPr>
        <w:t>has </w:t>
      </w:r>
      <w:r>
        <w:rPr>
          <w:w w:val="105"/>
          <w:sz w:val="21"/>
        </w:rPr>
        <w:t>established ADR</w:t>
      </w:r>
      <w:r>
        <w:rPr>
          <w:spacing w:val="10"/>
          <w:w w:val="105"/>
          <w:sz w:val="21"/>
        </w:rPr>
        <w:t> </w:t>
      </w:r>
      <w:r>
        <w:rPr>
          <w:spacing w:val="-3"/>
          <w:w w:val="105"/>
          <w:sz w:val="21"/>
        </w:rPr>
        <w:t>programs.</w:t>
      </w:r>
    </w:p>
    <w:p>
      <w:pPr>
        <w:pStyle w:val="ListParagraph"/>
        <w:numPr>
          <w:ilvl w:val="2"/>
          <w:numId w:val="42"/>
        </w:numPr>
        <w:tabs>
          <w:tab w:pos="2721" w:val="left" w:leader="none"/>
          <w:tab w:pos="2722" w:val="left" w:leader="none"/>
        </w:tabs>
        <w:spacing w:line="242" w:lineRule="auto" w:before="87" w:after="0"/>
        <w:ind w:left="2721" w:right="2018" w:hanging="340"/>
        <w:jc w:val="left"/>
        <w:rPr>
          <w:sz w:val="21"/>
        </w:rPr>
      </w:pPr>
      <w:r>
        <w:rPr>
          <w:spacing w:val="-5"/>
          <w:sz w:val="21"/>
        </w:rPr>
        <w:t>Tribunal </w:t>
      </w:r>
      <w:r>
        <w:rPr>
          <w:sz w:val="21"/>
        </w:rPr>
        <w:t>decision </w:t>
      </w:r>
      <w:r>
        <w:rPr>
          <w:spacing w:val="-3"/>
          <w:sz w:val="21"/>
        </w:rPr>
        <w:t>makers have relevant </w:t>
      </w:r>
      <w:r>
        <w:rPr>
          <w:sz w:val="21"/>
        </w:rPr>
        <w:t>experience in </w:t>
      </w:r>
      <w:r>
        <w:rPr>
          <w:spacing w:val="-3"/>
          <w:sz w:val="21"/>
        </w:rPr>
        <w:t>planning, environmental </w:t>
      </w:r>
      <w:r>
        <w:rPr>
          <w:sz w:val="21"/>
        </w:rPr>
        <w:t>and </w:t>
      </w:r>
      <w:r>
        <w:rPr>
          <w:spacing w:val="-3"/>
          <w:sz w:val="21"/>
        </w:rPr>
        <w:t>small </w:t>
      </w:r>
      <w:r>
        <w:rPr>
          <w:sz w:val="21"/>
        </w:rPr>
        <w:t>civil </w:t>
      </w:r>
      <w:r>
        <w:rPr>
          <w:spacing w:val="-3"/>
          <w:sz w:val="21"/>
        </w:rPr>
        <w:t>claims</w:t>
      </w:r>
      <w:r>
        <w:rPr>
          <w:spacing w:val="27"/>
          <w:sz w:val="21"/>
        </w:rPr>
        <w:t> </w:t>
      </w:r>
      <w:r>
        <w:rPr>
          <w:sz w:val="21"/>
        </w:rPr>
        <w:t>matters.</w:t>
      </w:r>
    </w:p>
    <w:p>
      <w:pPr>
        <w:pStyle w:val="ListParagraph"/>
        <w:numPr>
          <w:ilvl w:val="2"/>
          <w:numId w:val="42"/>
        </w:numPr>
        <w:tabs>
          <w:tab w:pos="2721" w:val="left" w:leader="none"/>
          <w:tab w:pos="2722" w:val="left" w:leader="none"/>
        </w:tabs>
        <w:spacing w:line="242" w:lineRule="auto" w:before="87" w:after="0"/>
        <w:ind w:left="2721" w:right="1706" w:hanging="340"/>
        <w:jc w:val="left"/>
        <w:rPr>
          <w:sz w:val="21"/>
        </w:rPr>
      </w:pPr>
      <w:r>
        <w:rPr>
          <w:sz w:val="21"/>
        </w:rPr>
        <w:t>The </w:t>
      </w:r>
      <w:r>
        <w:rPr>
          <w:spacing w:val="-5"/>
          <w:sz w:val="21"/>
        </w:rPr>
        <w:t>Tribunal </w:t>
      </w:r>
      <w:r>
        <w:rPr>
          <w:spacing w:val="-2"/>
          <w:sz w:val="21"/>
        </w:rPr>
        <w:t>has </w:t>
      </w:r>
      <w:r>
        <w:rPr>
          <w:spacing w:val="-3"/>
          <w:sz w:val="21"/>
        </w:rPr>
        <w:t>considerable </w:t>
      </w:r>
      <w:r>
        <w:rPr>
          <w:sz w:val="21"/>
        </w:rPr>
        <w:t>flexibility in how it conducts </w:t>
      </w:r>
      <w:r>
        <w:rPr>
          <w:spacing w:val="-3"/>
          <w:sz w:val="21"/>
        </w:rPr>
        <w:t>hearings. </w:t>
      </w:r>
      <w:r>
        <w:rPr>
          <w:sz w:val="21"/>
        </w:rPr>
        <w:t>It is designed </w:t>
      </w:r>
      <w:r>
        <w:rPr>
          <w:spacing w:val="-3"/>
          <w:sz w:val="21"/>
        </w:rPr>
        <w:t>for </w:t>
      </w:r>
      <w:r>
        <w:rPr>
          <w:sz w:val="21"/>
        </w:rPr>
        <w:t>parties without legal </w:t>
      </w:r>
      <w:r>
        <w:rPr>
          <w:spacing w:val="-2"/>
          <w:sz w:val="21"/>
        </w:rPr>
        <w:t>representation </w:t>
      </w:r>
      <w:r>
        <w:rPr>
          <w:sz w:val="21"/>
        </w:rPr>
        <w:t>and is less </w:t>
      </w:r>
      <w:r>
        <w:rPr>
          <w:spacing w:val="-3"/>
          <w:sz w:val="21"/>
        </w:rPr>
        <w:t>formal than </w:t>
      </w:r>
      <w:r>
        <w:rPr>
          <w:sz w:val="21"/>
        </w:rPr>
        <w:t>a</w:t>
      </w:r>
      <w:r>
        <w:rPr>
          <w:spacing w:val="26"/>
          <w:sz w:val="21"/>
        </w:rPr>
        <w:t> </w:t>
      </w:r>
      <w:r>
        <w:rPr>
          <w:sz w:val="21"/>
        </w:rPr>
        <w:t>court.</w:t>
      </w:r>
    </w:p>
    <w:p>
      <w:pPr>
        <w:pStyle w:val="ListParagraph"/>
        <w:numPr>
          <w:ilvl w:val="1"/>
          <w:numId w:val="42"/>
        </w:numPr>
        <w:tabs>
          <w:tab w:pos="2381" w:val="left" w:leader="none"/>
          <w:tab w:pos="2382" w:val="left" w:leader="none"/>
        </w:tabs>
        <w:spacing w:line="242" w:lineRule="auto" w:before="87" w:after="0"/>
        <w:ind w:left="2381" w:right="1786" w:hanging="794"/>
        <w:jc w:val="left"/>
        <w:rPr>
          <w:sz w:val="21"/>
        </w:rPr>
      </w:pPr>
      <w:r>
        <w:rPr>
          <w:spacing w:val="-5"/>
          <w:sz w:val="21"/>
        </w:rPr>
        <w:t>Tree </w:t>
      </w:r>
      <w:r>
        <w:rPr>
          <w:spacing w:val="-3"/>
          <w:sz w:val="21"/>
        </w:rPr>
        <w:t>disputes are </w:t>
      </w:r>
      <w:r>
        <w:rPr>
          <w:sz w:val="21"/>
        </w:rPr>
        <w:t>essentially </w:t>
      </w:r>
      <w:r>
        <w:rPr>
          <w:spacing w:val="-3"/>
          <w:sz w:val="21"/>
        </w:rPr>
        <w:t>small </w:t>
      </w:r>
      <w:r>
        <w:rPr>
          <w:sz w:val="21"/>
        </w:rPr>
        <w:t>party–party </w:t>
      </w:r>
      <w:r>
        <w:rPr>
          <w:spacing w:val="-3"/>
          <w:sz w:val="21"/>
        </w:rPr>
        <w:t>disputes </w:t>
      </w:r>
      <w:r>
        <w:rPr>
          <w:sz w:val="21"/>
        </w:rPr>
        <w:t>and so </w:t>
      </w:r>
      <w:r>
        <w:rPr>
          <w:spacing w:val="-3"/>
          <w:sz w:val="21"/>
        </w:rPr>
        <w:t>are well suited to </w:t>
      </w:r>
      <w:r>
        <w:rPr>
          <w:spacing w:val="-5"/>
          <w:sz w:val="21"/>
        </w:rPr>
        <w:t>Tribunal </w:t>
      </w:r>
      <w:r>
        <w:rPr>
          <w:spacing w:val="-3"/>
          <w:sz w:val="21"/>
        </w:rPr>
        <w:t>resolution. </w:t>
      </w:r>
      <w:r>
        <w:rPr>
          <w:sz w:val="21"/>
        </w:rPr>
        <w:t>They </w:t>
      </w:r>
      <w:r>
        <w:rPr>
          <w:spacing w:val="-3"/>
          <w:sz w:val="21"/>
        </w:rPr>
        <w:t>are generally </w:t>
      </w:r>
      <w:r>
        <w:rPr>
          <w:sz w:val="21"/>
        </w:rPr>
        <w:t>between two neighbours and often </w:t>
      </w:r>
      <w:r>
        <w:rPr>
          <w:spacing w:val="-3"/>
          <w:sz w:val="21"/>
        </w:rPr>
        <w:t>involve factual interpretation rather than </w:t>
      </w:r>
      <w:r>
        <w:rPr>
          <w:sz w:val="21"/>
        </w:rPr>
        <w:t>complex legal </w:t>
      </w:r>
      <w:r>
        <w:rPr>
          <w:spacing w:val="-3"/>
          <w:sz w:val="21"/>
        </w:rPr>
        <w:t>interpretation. </w:t>
      </w:r>
      <w:r>
        <w:rPr>
          <w:sz w:val="21"/>
        </w:rPr>
        <w:t>They can often be solved</w:t>
      </w:r>
      <w:r>
        <w:rPr>
          <w:spacing w:val="31"/>
          <w:sz w:val="21"/>
        </w:rPr>
        <w:t> </w:t>
      </w:r>
      <w:r>
        <w:rPr>
          <w:sz w:val="21"/>
        </w:rPr>
        <w:t>with</w:t>
      </w:r>
    </w:p>
    <w:p>
      <w:pPr>
        <w:pStyle w:val="BodyText"/>
        <w:tabs>
          <w:tab w:pos="2381" w:val="left" w:leader="none"/>
        </w:tabs>
        <w:spacing w:before="4"/>
        <w:ind w:left="720"/>
      </w:pPr>
      <w:r>
        <w:rPr>
          <w:b/>
          <w:color w:val="658464"/>
          <w:w w:val="105"/>
          <w:position w:val="-4"/>
          <w:sz w:val="24"/>
        </w:rPr>
        <w:t>60</w:t>
        <w:tab/>
      </w:r>
      <w:r>
        <w:rPr>
          <w:w w:val="105"/>
        </w:rPr>
        <w:t>practical and </w:t>
      </w:r>
      <w:r>
        <w:rPr>
          <w:spacing w:val="-3"/>
          <w:w w:val="105"/>
        </w:rPr>
        <w:t>relatively </w:t>
      </w:r>
      <w:r>
        <w:rPr>
          <w:w w:val="105"/>
        </w:rPr>
        <w:t>low-cost</w:t>
      </w:r>
      <w:r>
        <w:rPr>
          <w:spacing w:val="22"/>
          <w:w w:val="105"/>
        </w:rPr>
        <w:t> </w:t>
      </w:r>
      <w:r>
        <w:rPr>
          <w:spacing w:val="-3"/>
          <w:w w:val="105"/>
        </w:rPr>
        <w:t>solutions.</w:t>
      </w:r>
    </w:p>
    <w:p>
      <w:pPr>
        <w:spacing w:after="0"/>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42"/>
        </w:numPr>
        <w:tabs>
          <w:tab w:pos="2381" w:val="left" w:leader="none"/>
          <w:tab w:pos="2382" w:val="left" w:leader="none"/>
        </w:tabs>
        <w:spacing w:line="242" w:lineRule="auto" w:before="91" w:after="0"/>
        <w:ind w:left="2381" w:right="1823" w:hanging="794"/>
        <w:jc w:val="left"/>
        <w:rPr>
          <w:sz w:val="21"/>
        </w:rPr>
      </w:pPr>
      <w:r>
        <w:rPr>
          <w:w w:val="105"/>
          <w:sz w:val="21"/>
        </w:rPr>
        <w:t>The </w:t>
      </w:r>
      <w:r>
        <w:rPr>
          <w:spacing w:val="-3"/>
          <w:w w:val="105"/>
          <w:sz w:val="21"/>
        </w:rPr>
        <w:t>Commission </w:t>
      </w:r>
      <w:r>
        <w:rPr>
          <w:w w:val="105"/>
          <w:sz w:val="21"/>
        </w:rPr>
        <w:t>is impressed by the </w:t>
      </w:r>
      <w:r>
        <w:rPr>
          <w:spacing w:val="-3"/>
          <w:w w:val="105"/>
          <w:sz w:val="21"/>
        </w:rPr>
        <w:t>success </w:t>
      </w:r>
      <w:r>
        <w:rPr>
          <w:w w:val="105"/>
          <w:sz w:val="21"/>
        </w:rPr>
        <w:t>of the NSW </w:t>
      </w:r>
      <w:r>
        <w:rPr>
          <w:spacing w:val="-3"/>
          <w:w w:val="105"/>
          <w:sz w:val="21"/>
        </w:rPr>
        <w:t>scheme. </w:t>
      </w:r>
      <w:r>
        <w:rPr>
          <w:w w:val="105"/>
          <w:sz w:val="21"/>
        </w:rPr>
        <w:t>While the NSWLEC is a</w:t>
      </w:r>
      <w:r>
        <w:rPr>
          <w:spacing w:val="-6"/>
          <w:w w:val="105"/>
          <w:sz w:val="21"/>
        </w:rPr>
        <w:t> </w:t>
      </w:r>
      <w:r>
        <w:rPr>
          <w:w w:val="105"/>
          <w:sz w:val="21"/>
        </w:rPr>
        <w:t>superior</w:t>
      </w:r>
      <w:r>
        <w:rPr>
          <w:spacing w:val="-5"/>
          <w:w w:val="105"/>
          <w:sz w:val="21"/>
        </w:rPr>
        <w:t> </w:t>
      </w:r>
      <w:r>
        <w:rPr>
          <w:w w:val="105"/>
          <w:sz w:val="21"/>
        </w:rPr>
        <w:t>court,</w:t>
      </w:r>
      <w:r>
        <w:rPr>
          <w:spacing w:val="-5"/>
          <w:w w:val="105"/>
          <w:sz w:val="21"/>
        </w:rPr>
        <w:t> </w:t>
      </w:r>
      <w:r>
        <w:rPr>
          <w:w w:val="105"/>
          <w:sz w:val="21"/>
        </w:rPr>
        <w:t>it</w:t>
      </w:r>
      <w:r>
        <w:rPr>
          <w:spacing w:val="-5"/>
          <w:w w:val="105"/>
          <w:sz w:val="21"/>
        </w:rPr>
        <w:t> </w:t>
      </w:r>
      <w:r>
        <w:rPr>
          <w:w w:val="105"/>
          <w:sz w:val="21"/>
        </w:rPr>
        <w:t>manages</w:t>
      </w:r>
      <w:r>
        <w:rPr>
          <w:spacing w:val="-5"/>
          <w:w w:val="105"/>
          <w:sz w:val="21"/>
        </w:rPr>
        <w:t> </w:t>
      </w:r>
      <w:r>
        <w:rPr>
          <w:w w:val="105"/>
          <w:sz w:val="21"/>
        </w:rPr>
        <w:t>tree</w:t>
      </w:r>
      <w:r>
        <w:rPr>
          <w:spacing w:val="-5"/>
          <w:w w:val="105"/>
          <w:sz w:val="21"/>
        </w:rPr>
        <w:t> </w:t>
      </w:r>
      <w:r>
        <w:rPr>
          <w:spacing w:val="-3"/>
          <w:w w:val="105"/>
          <w:sz w:val="21"/>
        </w:rPr>
        <w:t>disputes</w:t>
      </w:r>
      <w:r>
        <w:rPr>
          <w:spacing w:val="-5"/>
          <w:w w:val="105"/>
          <w:sz w:val="21"/>
        </w:rPr>
        <w:t> </w:t>
      </w:r>
      <w:r>
        <w:rPr>
          <w:w w:val="105"/>
          <w:sz w:val="21"/>
        </w:rPr>
        <w:t>in</w:t>
      </w:r>
      <w:r>
        <w:rPr>
          <w:spacing w:val="-5"/>
          <w:w w:val="105"/>
          <w:sz w:val="21"/>
        </w:rPr>
        <w:t> </w:t>
      </w:r>
      <w:r>
        <w:rPr>
          <w:w w:val="105"/>
          <w:sz w:val="21"/>
        </w:rPr>
        <w:t>much</w:t>
      </w:r>
      <w:r>
        <w:rPr>
          <w:spacing w:val="-6"/>
          <w:w w:val="105"/>
          <w:sz w:val="21"/>
        </w:rPr>
        <w:t> </w:t>
      </w:r>
      <w:r>
        <w:rPr>
          <w:w w:val="105"/>
          <w:sz w:val="21"/>
        </w:rPr>
        <w:t>the</w:t>
      </w:r>
      <w:r>
        <w:rPr>
          <w:spacing w:val="-5"/>
          <w:w w:val="105"/>
          <w:sz w:val="21"/>
        </w:rPr>
        <w:t> </w:t>
      </w:r>
      <w:r>
        <w:rPr>
          <w:w w:val="105"/>
          <w:sz w:val="21"/>
        </w:rPr>
        <w:t>same</w:t>
      </w:r>
      <w:r>
        <w:rPr>
          <w:spacing w:val="-5"/>
          <w:w w:val="105"/>
          <w:sz w:val="21"/>
        </w:rPr>
        <w:t> </w:t>
      </w:r>
      <w:r>
        <w:rPr>
          <w:spacing w:val="-3"/>
          <w:w w:val="105"/>
          <w:sz w:val="21"/>
        </w:rPr>
        <w:t>way</w:t>
      </w:r>
      <w:r>
        <w:rPr>
          <w:spacing w:val="-5"/>
          <w:w w:val="105"/>
          <w:sz w:val="21"/>
        </w:rPr>
        <w:t> </w:t>
      </w:r>
      <w:r>
        <w:rPr>
          <w:w w:val="105"/>
          <w:sz w:val="21"/>
        </w:rPr>
        <w:t>as</w:t>
      </w:r>
      <w:r>
        <w:rPr>
          <w:spacing w:val="-5"/>
          <w:w w:val="105"/>
          <w:sz w:val="21"/>
        </w:rPr>
        <w:t> </w:t>
      </w:r>
      <w:r>
        <w:rPr>
          <w:w w:val="105"/>
          <w:sz w:val="21"/>
        </w:rPr>
        <w:t>a</w:t>
      </w:r>
      <w:r>
        <w:rPr>
          <w:spacing w:val="-5"/>
          <w:w w:val="105"/>
          <w:sz w:val="21"/>
        </w:rPr>
        <w:t> </w:t>
      </w:r>
      <w:r>
        <w:rPr>
          <w:spacing w:val="-3"/>
          <w:w w:val="105"/>
          <w:sz w:val="21"/>
        </w:rPr>
        <w:t>tribunal—quickly,</w:t>
      </w:r>
    </w:p>
    <w:p>
      <w:pPr>
        <w:pStyle w:val="BodyText"/>
        <w:spacing w:line="242" w:lineRule="auto" w:before="3"/>
        <w:ind w:left="2381" w:right="1664"/>
      </w:pPr>
      <w:r>
        <w:rPr>
          <w:w w:val="105"/>
        </w:rPr>
        <w:t>efficiently and </w:t>
      </w:r>
      <w:r>
        <w:rPr>
          <w:spacing w:val="-3"/>
          <w:w w:val="105"/>
        </w:rPr>
        <w:t>flexibly. Many </w:t>
      </w:r>
      <w:r>
        <w:rPr>
          <w:w w:val="105"/>
        </w:rPr>
        <w:t>of the </w:t>
      </w:r>
      <w:r>
        <w:rPr>
          <w:spacing w:val="-4"/>
          <w:w w:val="105"/>
        </w:rPr>
        <w:t>key </w:t>
      </w:r>
      <w:r>
        <w:rPr>
          <w:spacing w:val="-3"/>
          <w:w w:val="105"/>
        </w:rPr>
        <w:t>features </w:t>
      </w:r>
      <w:r>
        <w:rPr>
          <w:w w:val="105"/>
        </w:rPr>
        <w:t>of the NSW scheme </w:t>
      </w:r>
      <w:r>
        <w:rPr>
          <w:spacing w:val="-3"/>
          <w:w w:val="105"/>
        </w:rPr>
        <w:t>could </w:t>
      </w:r>
      <w:r>
        <w:rPr>
          <w:w w:val="105"/>
        </w:rPr>
        <w:t>be </w:t>
      </w:r>
      <w:r>
        <w:rPr>
          <w:spacing w:val="-3"/>
          <w:w w:val="105"/>
        </w:rPr>
        <w:t>adapted to </w:t>
      </w:r>
      <w:r>
        <w:rPr>
          <w:w w:val="105"/>
        </w:rPr>
        <w:t>work </w:t>
      </w:r>
      <w:r>
        <w:rPr>
          <w:spacing w:val="-3"/>
          <w:w w:val="105"/>
        </w:rPr>
        <w:t>well </w:t>
      </w:r>
      <w:r>
        <w:rPr>
          <w:w w:val="105"/>
        </w:rPr>
        <w:t>in the </w:t>
      </w:r>
      <w:r>
        <w:rPr>
          <w:spacing w:val="-3"/>
          <w:w w:val="105"/>
        </w:rPr>
        <w:t>tribunal </w:t>
      </w:r>
      <w:r>
        <w:rPr>
          <w:w w:val="105"/>
        </w:rPr>
        <w:t>system in Victoria. See </w:t>
      </w:r>
      <w:r>
        <w:rPr>
          <w:spacing w:val="-4"/>
          <w:w w:val="105"/>
        </w:rPr>
        <w:t>Chapter </w:t>
      </w:r>
      <w:r>
        <w:rPr>
          <w:spacing w:val="-12"/>
          <w:w w:val="105"/>
        </w:rPr>
        <w:t>7.</w:t>
      </w:r>
    </w:p>
    <w:p>
      <w:pPr>
        <w:pStyle w:val="BodyText"/>
        <w:spacing w:before="2"/>
        <w:rPr>
          <w:sz w:val="20"/>
        </w:rPr>
      </w:pPr>
    </w:p>
    <w:p>
      <w:pPr>
        <w:pStyle w:val="Heading5"/>
        <w:spacing w:before="1"/>
      </w:pPr>
      <w:r>
        <w:rPr>
          <w:w w:val="110"/>
        </w:rPr>
        <w:t>Establish clear decision-making principles</w:t>
      </w:r>
    </w:p>
    <w:p>
      <w:pPr>
        <w:pStyle w:val="ListParagraph"/>
        <w:numPr>
          <w:ilvl w:val="1"/>
          <w:numId w:val="42"/>
        </w:numPr>
        <w:tabs>
          <w:tab w:pos="2381" w:val="left" w:leader="none"/>
          <w:tab w:pos="2382" w:val="left" w:leader="none"/>
        </w:tabs>
        <w:spacing w:line="242" w:lineRule="auto" w:before="137" w:after="0"/>
        <w:ind w:left="2381" w:right="1622" w:hanging="794"/>
        <w:jc w:val="left"/>
        <w:rPr>
          <w:sz w:val="21"/>
        </w:rPr>
      </w:pPr>
      <w:r>
        <w:rPr>
          <w:w w:val="105"/>
          <w:sz w:val="21"/>
        </w:rPr>
        <w:t>The new Act should establish </w:t>
      </w:r>
      <w:r>
        <w:rPr>
          <w:spacing w:val="-3"/>
          <w:w w:val="105"/>
          <w:sz w:val="21"/>
        </w:rPr>
        <w:t>clear </w:t>
      </w:r>
      <w:r>
        <w:rPr>
          <w:w w:val="105"/>
          <w:sz w:val="21"/>
        </w:rPr>
        <w:t>decision-making </w:t>
      </w:r>
      <w:r>
        <w:rPr>
          <w:spacing w:val="-3"/>
          <w:w w:val="105"/>
          <w:sz w:val="21"/>
        </w:rPr>
        <w:t>principles to </w:t>
      </w:r>
      <w:r>
        <w:rPr>
          <w:w w:val="105"/>
          <w:sz w:val="21"/>
        </w:rPr>
        <w:t>guide the community about what factors </w:t>
      </w:r>
      <w:r>
        <w:rPr>
          <w:spacing w:val="-3"/>
          <w:w w:val="105"/>
          <w:sz w:val="21"/>
        </w:rPr>
        <w:t>may </w:t>
      </w:r>
      <w:r>
        <w:rPr>
          <w:w w:val="105"/>
          <w:sz w:val="21"/>
        </w:rPr>
        <w:t>be </w:t>
      </w:r>
      <w:r>
        <w:rPr>
          <w:spacing w:val="-3"/>
          <w:w w:val="105"/>
          <w:sz w:val="21"/>
        </w:rPr>
        <w:t>considered </w:t>
      </w:r>
      <w:r>
        <w:rPr>
          <w:w w:val="105"/>
          <w:sz w:val="21"/>
        </w:rPr>
        <w:t>by </w:t>
      </w:r>
      <w:r>
        <w:rPr>
          <w:spacing w:val="-5"/>
          <w:w w:val="105"/>
          <w:sz w:val="21"/>
        </w:rPr>
        <w:t>VCAT </w:t>
      </w:r>
      <w:r>
        <w:rPr>
          <w:w w:val="105"/>
          <w:sz w:val="21"/>
        </w:rPr>
        <w:t>if a matter progresses </w:t>
      </w:r>
      <w:r>
        <w:rPr>
          <w:spacing w:val="-3"/>
          <w:w w:val="105"/>
          <w:sz w:val="21"/>
        </w:rPr>
        <w:t>to </w:t>
      </w:r>
      <w:r>
        <w:rPr>
          <w:w w:val="105"/>
          <w:sz w:val="21"/>
        </w:rPr>
        <w:t>a </w:t>
      </w:r>
      <w:r>
        <w:rPr>
          <w:spacing w:val="-5"/>
          <w:w w:val="105"/>
          <w:sz w:val="21"/>
        </w:rPr>
        <w:t>Tribunal </w:t>
      </w:r>
      <w:r>
        <w:rPr>
          <w:spacing w:val="-3"/>
          <w:w w:val="105"/>
          <w:sz w:val="21"/>
        </w:rPr>
        <w:t>hearing. </w:t>
      </w:r>
      <w:r>
        <w:rPr>
          <w:w w:val="105"/>
          <w:sz w:val="21"/>
        </w:rPr>
        <w:t>These </w:t>
      </w:r>
      <w:r>
        <w:rPr>
          <w:spacing w:val="-3"/>
          <w:w w:val="105"/>
          <w:sz w:val="21"/>
        </w:rPr>
        <w:t>principles will </w:t>
      </w:r>
      <w:r>
        <w:rPr>
          <w:w w:val="105"/>
          <w:sz w:val="21"/>
        </w:rPr>
        <w:t>guide the community about how the Act </w:t>
      </w:r>
      <w:r>
        <w:rPr>
          <w:spacing w:val="-3"/>
          <w:w w:val="105"/>
          <w:sz w:val="21"/>
        </w:rPr>
        <w:t>will </w:t>
      </w:r>
      <w:r>
        <w:rPr>
          <w:w w:val="105"/>
          <w:sz w:val="21"/>
        </w:rPr>
        <w:t>apply and help the community </w:t>
      </w:r>
      <w:r>
        <w:rPr>
          <w:spacing w:val="-3"/>
          <w:w w:val="105"/>
          <w:sz w:val="21"/>
        </w:rPr>
        <w:t>to </w:t>
      </w:r>
      <w:r>
        <w:rPr>
          <w:w w:val="105"/>
          <w:sz w:val="21"/>
        </w:rPr>
        <w:t>resolve </w:t>
      </w:r>
      <w:r>
        <w:rPr>
          <w:spacing w:val="-3"/>
          <w:w w:val="105"/>
          <w:sz w:val="21"/>
        </w:rPr>
        <w:t>disputes</w:t>
      </w:r>
      <w:r>
        <w:rPr>
          <w:spacing w:val="20"/>
          <w:w w:val="105"/>
          <w:sz w:val="21"/>
        </w:rPr>
        <w:t> </w:t>
      </w:r>
      <w:r>
        <w:rPr>
          <w:w w:val="105"/>
          <w:sz w:val="21"/>
        </w:rPr>
        <w:t>themselves.</w:t>
      </w:r>
    </w:p>
    <w:p>
      <w:pPr>
        <w:pStyle w:val="BodyText"/>
        <w:spacing w:before="5"/>
        <w:rPr>
          <w:sz w:val="20"/>
        </w:rPr>
      </w:pPr>
    </w:p>
    <w:p>
      <w:pPr>
        <w:pStyle w:val="Heading5"/>
      </w:pPr>
      <w:r>
        <w:rPr>
          <w:w w:val="110"/>
        </w:rPr>
        <w:t>Provide practical and effective remedies</w:t>
      </w:r>
    </w:p>
    <w:p>
      <w:pPr>
        <w:pStyle w:val="ListParagraph"/>
        <w:numPr>
          <w:ilvl w:val="1"/>
          <w:numId w:val="42"/>
        </w:numPr>
        <w:tabs>
          <w:tab w:pos="2381" w:val="left" w:leader="none"/>
          <w:tab w:pos="2382" w:val="left" w:leader="none"/>
        </w:tabs>
        <w:spacing w:line="242" w:lineRule="auto" w:before="137" w:after="0"/>
        <w:ind w:left="2381" w:right="1643" w:hanging="794"/>
        <w:jc w:val="left"/>
        <w:rPr>
          <w:sz w:val="21"/>
        </w:rPr>
      </w:pPr>
      <w:r>
        <w:rPr>
          <w:sz w:val="21"/>
        </w:rPr>
        <w:t>There is a need </w:t>
      </w:r>
      <w:r>
        <w:rPr>
          <w:spacing w:val="-3"/>
          <w:sz w:val="21"/>
        </w:rPr>
        <w:t>for  clear  </w:t>
      </w:r>
      <w:r>
        <w:rPr>
          <w:sz w:val="21"/>
        </w:rPr>
        <w:t>practical solutions </w:t>
      </w:r>
      <w:r>
        <w:rPr>
          <w:spacing w:val="-3"/>
          <w:sz w:val="21"/>
        </w:rPr>
        <w:t>to</w:t>
      </w:r>
      <w:r>
        <w:rPr>
          <w:spacing w:val="41"/>
          <w:sz w:val="21"/>
        </w:rPr>
        <w:t> </w:t>
      </w:r>
      <w:r>
        <w:rPr>
          <w:sz w:val="21"/>
        </w:rPr>
        <w:t>tree </w:t>
      </w:r>
      <w:r>
        <w:rPr>
          <w:spacing w:val="-2"/>
          <w:sz w:val="21"/>
        </w:rPr>
        <w:t>problems  </w:t>
      </w:r>
      <w:r>
        <w:rPr>
          <w:spacing w:val="-3"/>
          <w:sz w:val="21"/>
        </w:rPr>
        <w:t>to  </w:t>
      </w:r>
      <w:r>
        <w:rPr>
          <w:sz w:val="21"/>
        </w:rPr>
        <w:t>be </w:t>
      </w:r>
      <w:r>
        <w:rPr>
          <w:spacing w:val="-3"/>
          <w:sz w:val="21"/>
        </w:rPr>
        <w:t>incorporated  </w:t>
      </w:r>
      <w:r>
        <w:rPr>
          <w:sz w:val="21"/>
        </w:rPr>
        <w:t>in the new laws. The Act should provide </w:t>
      </w:r>
      <w:r>
        <w:rPr>
          <w:spacing w:val="-5"/>
          <w:sz w:val="21"/>
        </w:rPr>
        <w:t>VCAT  </w:t>
      </w:r>
      <w:r>
        <w:rPr>
          <w:sz w:val="21"/>
        </w:rPr>
        <w:t>with a wide </w:t>
      </w:r>
      <w:r>
        <w:rPr>
          <w:spacing w:val="-3"/>
          <w:sz w:val="21"/>
        </w:rPr>
        <w:t>discretion  to  </w:t>
      </w:r>
      <w:r>
        <w:rPr>
          <w:spacing w:val="-4"/>
          <w:sz w:val="21"/>
        </w:rPr>
        <w:t>make  </w:t>
      </w:r>
      <w:r>
        <w:rPr>
          <w:sz w:val="21"/>
        </w:rPr>
        <w:t>a </w:t>
      </w:r>
      <w:r>
        <w:rPr>
          <w:spacing w:val="-3"/>
          <w:sz w:val="21"/>
        </w:rPr>
        <w:t>range  </w:t>
      </w:r>
      <w:r>
        <w:rPr>
          <w:sz w:val="21"/>
        </w:rPr>
        <w:t>of orders  </w:t>
      </w:r>
      <w:r>
        <w:rPr>
          <w:spacing w:val="-3"/>
          <w:sz w:val="21"/>
        </w:rPr>
        <w:t>to remedy, restrain </w:t>
      </w:r>
      <w:r>
        <w:rPr>
          <w:sz w:val="21"/>
        </w:rPr>
        <w:t>or </w:t>
      </w:r>
      <w:r>
        <w:rPr>
          <w:spacing w:val="-3"/>
          <w:sz w:val="21"/>
        </w:rPr>
        <w:t>prevent </w:t>
      </w:r>
      <w:r>
        <w:rPr>
          <w:sz w:val="21"/>
        </w:rPr>
        <w:t>or address damage </w:t>
      </w:r>
      <w:r>
        <w:rPr>
          <w:spacing w:val="-3"/>
          <w:sz w:val="21"/>
        </w:rPr>
        <w:t>to </w:t>
      </w:r>
      <w:r>
        <w:rPr>
          <w:sz w:val="21"/>
        </w:rPr>
        <w:t>property or injury </w:t>
      </w:r>
      <w:r>
        <w:rPr>
          <w:spacing w:val="-3"/>
          <w:sz w:val="21"/>
        </w:rPr>
        <w:t>to </w:t>
      </w:r>
      <w:r>
        <w:rPr>
          <w:sz w:val="21"/>
        </w:rPr>
        <w:t>a person. See </w:t>
      </w:r>
      <w:r>
        <w:rPr>
          <w:spacing w:val="-4"/>
          <w:sz w:val="21"/>
        </w:rPr>
        <w:t>Chapter</w:t>
      </w:r>
      <w:r>
        <w:rPr>
          <w:spacing w:val="8"/>
          <w:sz w:val="21"/>
        </w:rPr>
        <w:t> </w:t>
      </w:r>
      <w:r>
        <w:rPr>
          <w:sz w:val="21"/>
        </w:rPr>
        <w:t>5.</w:t>
      </w:r>
    </w:p>
    <w:p>
      <w:pPr>
        <w:pStyle w:val="ListParagraph"/>
        <w:numPr>
          <w:ilvl w:val="1"/>
          <w:numId w:val="42"/>
        </w:numPr>
        <w:tabs>
          <w:tab w:pos="2381" w:val="left" w:leader="none"/>
          <w:tab w:pos="2382" w:val="left" w:leader="none"/>
        </w:tabs>
        <w:spacing w:line="242" w:lineRule="auto" w:before="125" w:after="0"/>
        <w:ind w:left="2381" w:right="1662" w:hanging="794"/>
        <w:jc w:val="left"/>
        <w:rPr>
          <w:sz w:val="12"/>
        </w:rPr>
      </w:pPr>
      <w:r>
        <w:rPr>
          <w:w w:val="105"/>
          <w:sz w:val="21"/>
        </w:rPr>
        <w:t>The </w:t>
      </w:r>
      <w:r>
        <w:rPr>
          <w:spacing w:val="-3"/>
          <w:w w:val="105"/>
          <w:sz w:val="21"/>
        </w:rPr>
        <w:t>requirements </w:t>
      </w:r>
      <w:r>
        <w:rPr>
          <w:w w:val="105"/>
          <w:sz w:val="21"/>
        </w:rPr>
        <w:t>of the </w:t>
      </w:r>
      <w:r>
        <w:rPr>
          <w:spacing w:val="-2"/>
          <w:w w:val="105"/>
          <w:sz w:val="21"/>
        </w:rPr>
        <w:t>common </w:t>
      </w:r>
      <w:r>
        <w:rPr>
          <w:w w:val="105"/>
          <w:sz w:val="21"/>
        </w:rPr>
        <w:t>law remedy of </w:t>
      </w:r>
      <w:r>
        <w:rPr>
          <w:spacing w:val="-3"/>
          <w:w w:val="105"/>
          <w:sz w:val="21"/>
        </w:rPr>
        <w:t>abatement may </w:t>
      </w:r>
      <w:r>
        <w:rPr>
          <w:w w:val="105"/>
          <w:sz w:val="21"/>
        </w:rPr>
        <w:t>sometimes </w:t>
      </w:r>
      <w:r>
        <w:rPr>
          <w:spacing w:val="-4"/>
          <w:w w:val="105"/>
          <w:sz w:val="21"/>
        </w:rPr>
        <w:t>make </w:t>
      </w:r>
      <w:r>
        <w:rPr>
          <w:spacing w:val="-3"/>
          <w:w w:val="105"/>
          <w:sz w:val="21"/>
        </w:rPr>
        <w:t>disputes </w:t>
      </w:r>
      <w:r>
        <w:rPr>
          <w:w w:val="105"/>
          <w:sz w:val="21"/>
        </w:rPr>
        <w:t>worse. For </w:t>
      </w:r>
      <w:r>
        <w:rPr>
          <w:spacing w:val="-3"/>
          <w:w w:val="105"/>
          <w:sz w:val="21"/>
        </w:rPr>
        <w:t>example, </w:t>
      </w:r>
      <w:r>
        <w:rPr>
          <w:w w:val="105"/>
          <w:sz w:val="21"/>
        </w:rPr>
        <w:t>tree owners voiced </w:t>
      </w:r>
      <w:r>
        <w:rPr>
          <w:spacing w:val="-3"/>
          <w:w w:val="105"/>
          <w:sz w:val="21"/>
        </w:rPr>
        <w:t>concerns </w:t>
      </w:r>
      <w:r>
        <w:rPr>
          <w:w w:val="105"/>
          <w:sz w:val="21"/>
        </w:rPr>
        <w:t>about vegetation being dumped back over the </w:t>
      </w:r>
      <w:r>
        <w:rPr>
          <w:spacing w:val="-3"/>
          <w:w w:val="105"/>
          <w:sz w:val="21"/>
        </w:rPr>
        <w:t>fence </w:t>
      </w:r>
      <w:r>
        <w:rPr>
          <w:w w:val="105"/>
          <w:sz w:val="21"/>
        </w:rPr>
        <w:t>after </w:t>
      </w:r>
      <w:r>
        <w:rPr>
          <w:spacing w:val="-3"/>
          <w:w w:val="105"/>
          <w:sz w:val="21"/>
        </w:rPr>
        <w:t>abatement, </w:t>
      </w:r>
      <w:r>
        <w:rPr>
          <w:w w:val="105"/>
          <w:sz w:val="21"/>
        </w:rPr>
        <w:t>and affected neighbours expressed </w:t>
      </w:r>
      <w:r>
        <w:rPr>
          <w:spacing w:val="-3"/>
          <w:w w:val="105"/>
          <w:sz w:val="21"/>
        </w:rPr>
        <w:t>concern </w:t>
      </w:r>
      <w:r>
        <w:rPr>
          <w:w w:val="105"/>
          <w:sz w:val="21"/>
        </w:rPr>
        <w:t>about </w:t>
      </w:r>
      <w:r>
        <w:rPr>
          <w:spacing w:val="-3"/>
          <w:w w:val="105"/>
          <w:sz w:val="21"/>
        </w:rPr>
        <w:t>having to </w:t>
      </w:r>
      <w:r>
        <w:rPr>
          <w:w w:val="105"/>
          <w:sz w:val="21"/>
        </w:rPr>
        <w:t>carry out tree </w:t>
      </w:r>
      <w:r>
        <w:rPr>
          <w:spacing w:val="-3"/>
          <w:w w:val="105"/>
          <w:sz w:val="21"/>
        </w:rPr>
        <w:t>maintenance </w:t>
      </w:r>
      <w:r>
        <w:rPr>
          <w:w w:val="105"/>
          <w:sz w:val="21"/>
        </w:rPr>
        <w:t>work </w:t>
      </w:r>
      <w:r>
        <w:rPr>
          <w:spacing w:val="-3"/>
          <w:w w:val="105"/>
          <w:sz w:val="21"/>
        </w:rPr>
        <w:t>that </w:t>
      </w:r>
      <w:r>
        <w:rPr>
          <w:w w:val="105"/>
          <w:sz w:val="21"/>
        </w:rPr>
        <w:t>was </w:t>
      </w:r>
      <w:r>
        <w:rPr>
          <w:spacing w:val="-2"/>
          <w:w w:val="105"/>
          <w:sz w:val="21"/>
        </w:rPr>
        <w:t>not </w:t>
      </w:r>
      <w:r>
        <w:rPr>
          <w:w w:val="105"/>
          <w:sz w:val="21"/>
        </w:rPr>
        <w:t>of their</w:t>
      </w:r>
      <w:r>
        <w:rPr>
          <w:spacing w:val="-13"/>
          <w:w w:val="105"/>
          <w:sz w:val="21"/>
        </w:rPr>
        <w:t> </w:t>
      </w:r>
      <w:r>
        <w:rPr>
          <w:w w:val="105"/>
          <w:sz w:val="21"/>
        </w:rPr>
        <w:t>making.</w:t>
      </w:r>
      <w:r>
        <w:rPr>
          <w:w w:val="105"/>
          <w:position w:val="7"/>
          <w:sz w:val="12"/>
        </w:rPr>
        <w:t>64</w:t>
      </w:r>
    </w:p>
    <w:p>
      <w:pPr>
        <w:pStyle w:val="ListParagraph"/>
        <w:numPr>
          <w:ilvl w:val="1"/>
          <w:numId w:val="42"/>
        </w:numPr>
        <w:tabs>
          <w:tab w:pos="2381" w:val="left" w:leader="none"/>
          <w:tab w:pos="2382" w:val="left" w:leader="none"/>
        </w:tabs>
        <w:spacing w:line="242" w:lineRule="auto" w:before="124" w:after="0"/>
        <w:ind w:left="2381" w:right="1613" w:hanging="794"/>
        <w:jc w:val="left"/>
        <w:rPr>
          <w:sz w:val="21"/>
        </w:rPr>
      </w:pPr>
      <w:r>
        <w:rPr>
          <w:w w:val="105"/>
          <w:sz w:val="21"/>
        </w:rPr>
        <w:t>There is a need </w:t>
      </w:r>
      <w:r>
        <w:rPr>
          <w:spacing w:val="-3"/>
          <w:w w:val="105"/>
          <w:sz w:val="21"/>
        </w:rPr>
        <w:t>to </w:t>
      </w:r>
      <w:r>
        <w:rPr>
          <w:w w:val="105"/>
          <w:sz w:val="21"/>
        </w:rPr>
        <w:t>modernise the law </w:t>
      </w:r>
      <w:r>
        <w:rPr>
          <w:spacing w:val="-3"/>
          <w:w w:val="105"/>
          <w:sz w:val="21"/>
        </w:rPr>
        <w:t>to </w:t>
      </w:r>
      <w:r>
        <w:rPr>
          <w:w w:val="105"/>
          <w:sz w:val="21"/>
        </w:rPr>
        <w:t>reflect the </w:t>
      </w:r>
      <w:r>
        <w:rPr>
          <w:spacing w:val="-3"/>
          <w:w w:val="105"/>
          <w:sz w:val="21"/>
        </w:rPr>
        <w:t>realities </w:t>
      </w:r>
      <w:r>
        <w:rPr>
          <w:w w:val="105"/>
          <w:sz w:val="21"/>
        </w:rPr>
        <w:t>of urban </w:t>
      </w:r>
      <w:r>
        <w:rPr>
          <w:spacing w:val="-3"/>
          <w:w w:val="105"/>
          <w:sz w:val="21"/>
        </w:rPr>
        <w:t>life </w:t>
      </w:r>
      <w:r>
        <w:rPr>
          <w:spacing w:val="-5"/>
          <w:w w:val="105"/>
          <w:sz w:val="21"/>
        </w:rPr>
        <w:t>today. </w:t>
      </w:r>
      <w:r>
        <w:rPr>
          <w:spacing w:val="-2"/>
          <w:w w:val="105"/>
          <w:sz w:val="21"/>
        </w:rPr>
        <w:t>Abatement </w:t>
      </w:r>
      <w:r>
        <w:rPr>
          <w:w w:val="105"/>
          <w:sz w:val="21"/>
        </w:rPr>
        <w:t>should be modified so </w:t>
      </w:r>
      <w:r>
        <w:rPr>
          <w:spacing w:val="-3"/>
          <w:w w:val="105"/>
          <w:sz w:val="21"/>
        </w:rPr>
        <w:t>that </w:t>
      </w:r>
      <w:r>
        <w:rPr>
          <w:w w:val="105"/>
          <w:sz w:val="21"/>
        </w:rPr>
        <w:t>an affected </w:t>
      </w:r>
      <w:r>
        <w:rPr>
          <w:spacing w:val="-3"/>
          <w:w w:val="105"/>
          <w:sz w:val="21"/>
        </w:rPr>
        <w:t>neighbour </w:t>
      </w:r>
      <w:r>
        <w:rPr>
          <w:w w:val="105"/>
          <w:sz w:val="21"/>
        </w:rPr>
        <w:t>is no longer </w:t>
      </w:r>
      <w:r>
        <w:rPr>
          <w:spacing w:val="-3"/>
          <w:w w:val="105"/>
          <w:sz w:val="21"/>
        </w:rPr>
        <w:t>required to return</w:t>
      </w:r>
      <w:r>
        <w:rPr>
          <w:spacing w:val="-9"/>
          <w:w w:val="105"/>
          <w:sz w:val="21"/>
        </w:rPr>
        <w:t> </w:t>
      </w:r>
      <w:r>
        <w:rPr>
          <w:w w:val="105"/>
          <w:sz w:val="21"/>
        </w:rPr>
        <w:t>tree</w:t>
      </w:r>
      <w:r>
        <w:rPr>
          <w:spacing w:val="-8"/>
          <w:w w:val="105"/>
          <w:sz w:val="21"/>
        </w:rPr>
        <w:t> </w:t>
      </w:r>
      <w:r>
        <w:rPr>
          <w:spacing w:val="-3"/>
          <w:w w:val="105"/>
          <w:sz w:val="21"/>
        </w:rPr>
        <w:t>branches.</w:t>
      </w:r>
      <w:r>
        <w:rPr>
          <w:spacing w:val="-8"/>
          <w:w w:val="105"/>
          <w:sz w:val="21"/>
        </w:rPr>
        <w:t> </w:t>
      </w:r>
      <w:r>
        <w:rPr>
          <w:w w:val="105"/>
          <w:sz w:val="21"/>
        </w:rPr>
        <w:t>This</w:t>
      </w:r>
      <w:r>
        <w:rPr>
          <w:spacing w:val="-9"/>
          <w:w w:val="105"/>
          <w:sz w:val="21"/>
        </w:rPr>
        <w:t> </w:t>
      </w:r>
      <w:r>
        <w:rPr>
          <w:w w:val="105"/>
          <w:sz w:val="21"/>
        </w:rPr>
        <w:t>remedy</w:t>
      </w:r>
      <w:r>
        <w:rPr>
          <w:spacing w:val="-8"/>
          <w:w w:val="105"/>
          <w:sz w:val="21"/>
        </w:rPr>
        <w:t> </w:t>
      </w:r>
      <w:r>
        <w:rPr>
          <w:w w:val="105"/>
          <w:sz w:val="21"/>
        </w:rPr>
        <w:t>would</w:t>
      </w:r>
      <w:r>
        <w:rPr>
          <w:spacing w:val="-8"/>
          <w:w w:val="105"/>
          <w:sz w:val="21"/>
        </w:rPr>
        <w:t> </w:t>
      </w:r>
      <w:r>
        <w:rPr>
          <w:w w:val="105"/>
          <w:sz w:val="21"/>
        </w:rPr>
        <w:t>also</w:t>
      </w:r>
      <w:r>
        <w:rPr>
          <w:spacing w:val="-8"/>
          <w:w w:val="105"/>
          <w:sz w:val="21"/>
        </w:rPr>
        <w:t> </w:t>
      </w:r>
      <w:r>
        <w:rPr>
          <w:w w:val="105"/>
          <w:sz w:val="21"/>
        </w:rPr>
        <w:t>be</w:t>
      </w:r>
      <w:r>
        <w:rPr>
          <w:spacing w:val="-9"/>
          <w:w w:val="105"/>
          <w:sz w:val="21"/>
        </w:rPr>
        <w:t> </w:t>
      </w:r>
      <w:r>
        <w:rPr>
          <w:spacing w:val="-3"/>
          <w:w w:val="105"/>
          <w:sz w:val="21"/>
        </w:rPr>
        <w:t>enhanced</w:t>
      </w:r>
      <w:r>
        <w:rPr>
          <w:spacing w:val="-8"/>
          <w:w w:val="105"/>
          <w:sz w:val="21"/>
        </w:rPr>
        <w:t> </w:t>
      </w:r>
      <w:r>
        <w:rPr>
          <w:w w:val="105"/>
          <w:sz w:val="21"/>
        </w:rPr>
        <w:t>by</w:t>
      </w:r>
      <w:r>
        <w:rPr>
          <w:spacing w:val="-8"/>
          <w:w w:val="105"/>
          <w:sz w:val="21"/>
        </w:rPr>
        <w:t> </w:t>
      </w:r>
      <w:r>
        <w:rPr>
          <w:spacing w:val="-3"/>
          <w:w w:val="105"/>
          <w:sz w:val="21"/>
        </w:rPr>
        <w:t>improved</w:t>
      </w:r>
      <w:r>
        <w:rPr>
          <w:spacing w:val="-8"/>
          <w:w w:val="105"/>
          <w:sz w:val="21"/>
        </w:rPr>
        <w:t> </w:t>
      </w:r>
      <w:r>
        <w:rPr>
          <w:w w:val="105"/>
          <w:sz w:val="21"/>
        </w:rPr>
        <w:t>awareness</w:t>
      </w:r>
      <w:r>
        <w:rPr>
          <w:spacing w:val="-9"/>
          <w:w w:val="105"/>
          <w:sz w:val="21"/>
        </w:rPr>
        <w:t> </w:t>
      </w:r>
      <w:r>
        <w:rPr>
          <w:w w:val="105"/>
          <w:sz w:val="21"/>
        </w:rPr>
        <w:t>of</w:t>
      </w:r>
      <w:r>
        <w:rPr>
          <w:spacing w:val="-8"/>
          <w:w w:val="105"/>
          <w:sz w:val="21"/>
        </w:rPr>
        <w:t> </w:t>
      </w:r>
      <w:r>
        <w:rPr>
          <w:w w:val="105"/>
          <w:sz w:val="21"/>
        </w:rPr>
        <w:t>and </w:t>
      </w:r>
      <w:r>
        <w:rPr>
          <w:spacing w:val="-2"/>
          <w:w w:val="105"/>
          <w:sz w:val="21"/>
        </w:rPr>
        <w:t>access </w:t>
      </w:r>
      <w:r>
        <w:rPr>
          <w:spacing w:val="-3"/>
          <w:w w:val="105"/>
          <w:sz w:val="21"/>
        </w:rPr>
        <w:t>to </w:t>
      </w:r>
      <w:r>
        <w:rPr>
          <w:w w:val="105"/>
          <w:sz w:val="21"/>
        </w:rPr>
        <w:t>qualified, </w:t>
      </w:r>
      <w:r>
        <w:rPr>
          <w:spacing w:val="-3"/>
          <w:w w:val="105"/>
          <w:sz w:val="21"/>
        </w:rPr>
        <w:t>trained </w:t>
      </w:r>
      <w:r>
        <w:rPr>
          <w:w w:val="105"/>
          <w:sz w:val="21"/>
        </w:rPr>
        <w:t>arborists. See </w:t>
      </w:r>
      <w:r>
        <w:rPr>
          <w:spacing w:val="-3"/>
          <w:w w:val="105"/>
          <w:sz w:val="21"/>
        </w:rPr>
        <w:t>Chapters </w:t>
      </w:r>
      <w:r>
        <w:rPr>
          <w:w w:val="105"/>
          <w:sz w:val="21"/>
        </w:rPr>
        <w:t>8 and</w:t>
      </w:r>
      <w:r>
        <w:rPr>
          <w:spacing w:val="47"/>
          <w:w w:val="105"/>
          <w:sz w:val="21"/>
        </w:rPr>
        <w:t> </w:t>
      </w:r>
      <w:r>
        <w:rPr>
          <w:spacing w:val="-9"/>
          <w:w w:val="105"/>
          <w:sz w:val="21"/>
        </w:rPr>
        <w:t>12.</w:t>
      </w:r>
    </w:p>
    <w:p>
      <w:pPr>
        <w:pStyle w:val="ListParagraph"/>
        <w:numPr>
          <w:ilvl w:val="1"/>
          <w:numId w:val="42"/>
        </w:numPr>
        <w:tabs>
          <w:tab w:pos="2381" w:val="left" w:leader="none"/>
          <w:tab w:pos="2382" w:val="left" w:leader="none"/>
        </w:tabs>
        <w:spacing w:line="242" w:lineRule="auto" w:before="124" w:after="0"/>
        <w:ind w:left="2381" w:right="1585" w:hanging="794"/>
        <w:jc w:val="left"/>
        <w:rPr>
          <w:sz w:val="21"/>
        </w:rPr>
      </w:pPr>
      <w:r>
        <w:rPr>
          <w:w w:val="105"/>
          <w:sz w:val="21"/>
        </w:rPr>
        <w:t>Arborists</w:t>
      </w:r>
      <w:r>
        <w:rPr>
          <w:spacing w:val="-8"/>
          <w:w w:val="105"/>
          <w:sz w:val="21"/>
        </w:rPr>
        <w:t> </w:t>
      </w:r>
      <w:r>
        <w:rPr>
          <w:spacing w:val="-3"/>
          <w:w w:val="105"/>
          <w:sz w:val="21"/>
        </w:rPr>
        <w:t>have</w:t>
      </w:r>
      <w:r>
        <w:rPr>
          <w:spacing w:val="-8"/>
          <w:w w:val="105"/>
          <w:sz w:val="21"/>
        </w:rPr>
        <w:t> </w:t>
      </w:r>
      <w:r>
        <w:rPr>
          <w:spacing w:val="-3"/>
          <w:w w:val="105"/>
          <w:sz w:val="21"/>
        </w:rPr>
        <w:t>noted</w:t>
      </w:r>
      <w:r>
        <w:rPr>
          <w:spacing w:val="-8"/>
          <w:w w:val="105"/>
          <w:sz w:val="21"/>
        </w:rPr>
        <w:t> </w:t>
      </w:r>
      <w:r>
        <w:rPr>
          <w:w w:val="105"/>
          <w:sz w:val="21"/>
        </w:rPr>
        <w:t>a</w:t>
      </w:r>
      <w:r>
        <w:rPr>
          <w:spacing w:val="-8"/>
          <w:w w:val="105"/>
          <w:sz w:val="21"/>
        </w:rPr>
        <w:t> </w:t>
      </w:r>
      <w:r>
        <w:rPr>
          <w:w w:val="105"/>
          <w:sz w:val="21"/>
        </w:rPr>
        <w:t>disconnect</w:t>
      </w:r>
      <w:r>
        <w:rPr>
          <w:spacing w:val="-7"/>
          <w:w w:val="105"/>
          <w:sz w:val="21"/>
        </w:rPr>
        <w:t> </w:t>
      </w:r>
      <w:r>
        <w:rPr>
          <w:w w:val="105"/>
          <w:sz w:val="21"/>
        </w:rPr>
        <w:t>between</w:t>
      </w:r>
      <w:r>
        <w:rPr>
          <w:spacing w:val="-8"/>
          <w:w w:val="105"/>
          <w:sz w:val="21"/>
        </w:rPr>
        <w:t> </w:t>
      </w:r>
      <w:r>
        <w:rPr>
          <w:w w:val="105"/>
          <w:sz w:val="21"/>
        </w:rPr>
        <w:t>the</w:t>
      </w:r>
      <w:r>
        <w:rPr>
          <w:spacing w:val="-8"/>
          <w:w w:val="105"/>
          <w:sz w:val="21"/>
        </w:rPr>
        <w:t> </w:t>
      </w:r>
      <w:r>
        <w:rPr>
          <w:spacing w:val="-2"/>
          <w:w w:val="105"/>
          <w:sz w:val="21"/>
        </w:rPr>
        <w:t>common</w:t>
      </w:r>
      <w:r>
        <w:rPr>
          <w:spacing w:val="-8"/>
          <w:w w:val="105"/>
          <w:sz w:val="21"/>
        </w:rPr>
        <w:t> </w:t>
      </w:r>
      <w:r>
        <w:rPr>
          <w:w w:val="105"/>
          <w:sz w:val="21"/>
        </w:rPr>
        <w:t>law</w:t>
      </w:r>
      <w:r>
        <w:rPr>
          <w:spacing w:val="-8"/>
          <w:w w:val="105"/>
          <w:sz w:val="21"/>
        </w:rPr>
        <w:t> </w:t>
      </w:r>
      <w:r>
        <w:rPr>
          <w:w w:val="105"/>
          <w:sz w:val="21"/>
        </w:rPr>
        <w:t>and</w:t>
      </w:r>
      <w:r>
        <w:rPr>
          <w:spacing w:val="-7"/>
          <w:w w:val="105"/>
          <w:sz w:val="21"/>
        </w:rPr>
        <w:t> </w:t>
      </w:r>
      <w:r>
        <w:rPr>
          <w:w w:val="105"/>
          <w:sz w:val="21"/>
        </w:rPr>
        <w:t>the</w:t>
      </w:r>
      <w:r>
        <w:rPr>
          <w:spacing w:val="-8"/>
          <w:w w:val="105"/>
          <w:sz w:val="21"/>
        </w:rPr>
        <w:t> </w:t>
      </w:r>
      <w:r>
        <w:rPr>
          <w:spacing w:val="-3"/>
          <w:w w:val="105"/>
          <w:sz w:val="21"/>
        </w:rPr>
        <w:t>Australian</w:t>
      </w:r>
      <w:r>
        <w:rPr>
          <w:spacing w:val="-8"/>
          <w:w w:val="105"/>
          <w:sz w:val="21"/>
        </w:rPr>
        <w:t> </w:t>
      </w:r>
      <w:r>
        <w:rPr>
          <w:w w:val="105"/>
          <w:sz w:val="21"/>
        </w:rPr>
        <w:t>standards </w:t>
      </w:r>
      <w:r>
        <w:rPr>
          <w:spacing w:val="-3"/>
          <w:w w:val="105"/>
          <w:sz w:val="21"/>
        </w:rPr>
        <w:t>that </w:t>
      </w:r>
      <w:r>
        <w:rPr>
          <w:w w:val="105"/>
          <w:sz w:val="21"/>
        </w:rPr>
        <w:t>arborists </w:t>
      </w:r>
      <w:r>
        <w:rPr>
          <w:spacing w:val="-3"/>
          <w:w w:val="105"/>
          <w:sz w:val="21"/>
        </w:rPr>
        <w:t>are trained to </w:t>
      </w:r>
      <w:r>
        <w:rPr>
          <w:spacing w:val="-4"/>
          <w:w w:val="105"/>
          <w:sz w:val="21"/>
        </w:rPr>
        <w:t>follow.</w:t>
      </w:r>
      <w:r>
        <w:rPr>
          <w:spacing w:val="-4"/>
          <w:w w:val="105"/>
          <w:position w:val="7"/>
          <w:sz w:val="12"/>
        </w:rPr>
        <w:t>65 </w:t>
      </w:r>
      <w:r>
        <w:rPr>
          <w:w w:val="105"/>
          <w:sz w:val="21"/>
        </w:rPr>
        <w:t>In </w:t>
      </w:r>
      <w:r>
        <w:rPr>
          <w:spacing w:val="-4"/>
          <w:w w:val="105"/>
          <w:sz w:val="21"/>
        </w:rPr>
        <w:t>Chapter </w:t>
      </w:r>
      <w:r>
        <w:rPr>
          <w:w w:val="105"/>
          <w:sz w:val="21"/>
        </w:rPr>
        <w:t>9 the </w:t>
      </w:r>
      <w:r>
        <w:rPr>
          <w:spacing w:val="-3"/>
          <w:w w:val="105"/>
          <w:sz w:val="21"/>
        </w:rPr>
        <w:t>Commission recommends that  </w:t>
      </w:r>
      <w:r>
        <w:rPr>
          <w:w w:val="105"/>
          <w:sz w:val="21"/>
        </w:rPr>
        <w:t>works conducted </w:t>
      </w:r>
      <w:r>
        <w:rPr>
          <w:spacing w:val="-3"/>
          <w:w w:val="105"/>
          <w:sz w:val="21"/>
        </w:rPr>
        <w:t>pursuant to </w:t>
      </w:r>
      <w:r>
        <w:rPr>
          <w:w w:val="105"/>
          <w:sz w:val="21"/>
        </w:rPr>
        <w:t>orders comply with the </w:t>
      </w:r>
      <w:r>
        <w:rPr>
          <w:spacing w:val="-3"/>
          <w:w w:val="105"/>
          <w:sz w:val="21"/>
        </w:rPr>
        <w:t>relevant Australian standards.</w:t>
      </w:r>
    </w:p>
    <w:p>
      <w:pPr>
        <w:pStyle w:val="ListParagraph"/>
        <w:numPr>
          <w:ilvl w:val="1"/>
          <w:numId w:val="42"/>
        </w:numPr>
        <w:tabs>
          <w:tab w:pos="2381" w:val="left" w:leader="none"/>
          <w:tab w:pos="2382" w:val="left" w:leader="none"/>
        </w:tabs>
        <w:spacing w:line="242" w:lineRule="auto" w:before="124" w:after="0"/>
        <w:ind w:left="2381" w:right="1606" w:hanging="794"/>
        <w:jc w:val="left"/>
        <w:rPr>
          <w:sz w:val="21"/>
        </w:rPr>
      </w:pPr>
      <w:r>
        <w:rPr>
          <w:sz w:val="21"/>
        </w:rPr>
        <w:t>Expert </w:t>
      </w:r>
      <w:r>
        <w:rPr>
          <w:spacing w:val="-3"/>
          <w:sz w:val="21"/>
        </w:rPr>
        <w:t>arboricultural input </w:t>
      </w:r>
      <w:r>
        <w:rPr>
          <w:spacing w:val="-4"/>
          <w:sz w:val="21"/>
        </w:rPr>
        <w:t>into </w:t>
      </w:r>
      <w:r>
        <w:rPr>
          <w:sz w:val="21"/>
        </w:rPr>
        <w:t>the process </w:t>
      </w:r>
      <w:r>
        <w:rPr>
          <w:spacing w:val="-3"/>
          <w:sz w:val="21"/>
        </w:rPr>
        <w:t>will  </w:t>
      </w:r>
      <w:r>
        <w:rPr>
          <w:sz w:val="21"/>
        </w:rPr>
        <w:t>help  </w:t>
      </w:r>
      <w:r>
        <w:rPr>
          <w:spacing w:val="-5"/>
          <w:sz w:val="21"/>
        </w:rPr>
        <w:t>VCAT  </w:t>
      </w:r>
      <w:r>
        <w:rPr>
          <w:sz w:val="21"/>
        </w:rPr>
        <w:t>provide  remedies  </w:t>
      </w:r>
      <w:r>
        <w:rPr>
          <w:spacing w:val="-3"/>
          <w:sz w:val="21"/>
        </w:rPr>
        <w:t>that  are </w:t>
      </w:r>
      <w:r>
        <w:rPr>
          <w:sz w:val="21"/>
        </w:rPr>
        <w:t>robust and practical. There should be scope </w:t>
      </w:r>
      <w:r>
        <w:rPr>
          <w:spacing w:val="-3"/>
          <w:sz w:val="21"/>
        </w:rPr>
        <w:t>to </w:t>
      </w:r>
      <w:r>
        <w:rPr>
          <w:sz w:val="21"/>
        </w:rPr>
        <w:t>vary or </w:t>
      </w:r>
      <w:r>
        <w:rPr>
          <w:spacing w:val="-4"/>
          <w:sz w:val="21"/>
        </w:rPr>
        <w:t>revoke </w:t>
      </w:r>
      <w:r>
        <w:rPr>
          <w:sz w:val="21"/>
        </w:rPr>
        <w:t>orders where necessary. See </w:t>
      </w:r>
      <w:r>
        <w:rPr>
          <w:spacing w:val="-4"/>
          <w:sz w:val="21"/>
        </w:rPr>
        <w:t>Chapter</w:t>
      </w:r>
      <w:r>
        <w:rPr>
          <w:spacing w:val="8"/>
          <w:sz w:val="21"/>
        </w:rPr>
        <w:t> </w:t>
      </w:r>
      <w:r>
        <w:rPr>
          <w:spacing w:val="-4"/>
          <w:sz w:val="21"/>
        </w:rPr>
        <w:t>9.</w:t>
      </w:r>
    </w:p>
    <w:p>
      <w:pPr>
        <w:pStyle w:val="BodyText"/>
        <w:spacing w:before="3"/>
        <w:rPr>
          <w:sz w:val="20"/>
        </w:rPr>
      </w:pPr>
    </w:p>
    <w:p>
      <w:pPr>
        <w:pStyle w:val="Heading5"/>
      </w:pPr>
      <w:r>
        <w:rPr>
          <w:w w:val="115"/>
        </w:rPr>
        <w:t>Balance competing rights and interests</w:t>
      </w:r>
    </w:p>
    <w:p>
      <w:pPr>
        <w:pStyle w:val="Heading7"/>
        <w:spacing w:before="168"/>
      </w:pPr>
      <w:r>
        <w:rPr>
          <w:w w:val="115"/>
        </w:rPr>
        <w:t>The risk of damage or injury</w:t>
      </w:r>
    </w:p>
    <w:p>
      <w:pPr>
        <w:pStyle w:val="ListParagraph"/>
        <w:numPr>
          <w:ilvl w:val="1"/>
          <w:numId w:val="42"/>
        </w:numPr>
        <w:tabs>
          <w:tab w:pos="2381" w:val="left" w:leader="none"/>
          <w:tab w:pos="2382" w:val="left" w:leader="none"/>
        </w:tabs>
        <w:spacing w:line="242" w:lineRule="auto" w:before="143" w:after="0"/>
        <w:ind w:left="2381" w:right="1714" w:hanging="794"/>
        <w:jc w:val="left"/>
        <w:rPr>
          <w:sz w:val="21"/>
        </w:rPr>
      </w:pPr>
      <w:r>
        <w:rPr>
          <w:w w:val="105"/>
          <w:sz w:val="21"/>
        </w:rPr>
        <w:t>Primary importance should be given </w:t>
      </w:r>
      <w:r>
        <w:rPr>
          <w:spacing w:val="-3"/>
          <w:w w:val="105"/>
          <w:sz w:val="21"/>
        </w:rPr>
        <w:t>to </w:t>
      </w:r>
      <w:r>
        <w:rPr>
          <w:w w:val="105"/>
          <w:sz w:val="21"/>
        </w:rPr>
        <w:t>identifying </w:t>
      </w:r>
      <w:r>
        <w:rPr>
          <w:spacing w:val="-3"/>
          <w:w w:val="105"/>
          <w:sz w:val="21"/>
        </w:rPr>
        <w:t>any </w:t>
      </w:r>
      <w:r>
        <w:rPr>
          <w:w w:val="105"/>
          <w:sz w:val="21"/>
        </w:rPr>
        <w:t>risks posed by the tree in an </w:t>
      </w:r>
      <w:r>
        <w:rPr>
          <w:spacing w:val="-3"/>
          <w:w w:val="105"/>
          <w:sz w:val="21"/>
        </w:rPr>
        <w:t>accurate </w:t>
      </w:r>
      <w:r>
        <w:rPr>
          <w:w w:val="105"/>
          <w:sz w:val="21"/>
        </w:rPr>
        <w:t>and timely </w:t>
      </w:r>
      <w:r>
        <w:rPr>
          <w:spacing w:val="-5"/>
          <w:w w:val="105"/>
          <w:sz w:val="21"/>
        </w:rPr>
        <w:t>way. </w:t>
      </w:r>
      <w:r>
        <w:rPr>
          <w:w w:val="105"/>
          <w:sz w:val="21"/>
        </w:rPr>
        <w:t>This </w:t>
      </w:r>
      <w:r>
        <w:rPr>
          <w:spacing w:val="-3"/>
          <w:w w:val="105"/>
          <w:sz w:val="21"/>
        </w:rPr>
        <w:t>principle </w:t>
      </w:r>
      <w:r>
        <w:rPr>
          <w:w w:val="105"/>
          <w:sz w:val="21"/>
        </w:rPr>
        <w:t>was echoed in a number of </w:t>
      </w:r>
      <w:r>
        <w:rPr>
          <w:spacing w:val="-3"/>
          <w:w w:val="105"/>
          <w:sz w:val="21"/>
        </w:rPr>
        <w:t>submissions </w:t>
      </w:r>
      <w:r>
        <w:rPr>
          <w:w w:val="105"/>
          <w:sz w:val="21"/>
        </w:rPr>
        <w:t>and </w:t>
      </w:r>
      <w:r>
        <w:rPr>
          <w:spacing w:val="-3"/>
          <w:w w:val="105"/>
          <w:sz w:val="21"/>
        </w:rPr>
        <w:t>consultations.</w:t>
      </w:r>
      <w:r>
        <w:rPr>
          <w:spacing w:val="-3"/>
          <w:w w:val="105"/>
          <w:position w:val="7"/>
          <w:sz w:val="12"/>
        </w:rPr>
        <w:t>66 </w:t>
      </w:r>
      <w:r>
        <w:rPr>
          <w:w w:val="105"/>
          <w:sz w:val="21"/>
        </w:rPr>
        <w:t>The new Act should </w:t>
      </w:r>
      <w:r>
        <w:rPr>
          <w:spacing w:val="-3"/>
          <w:w w:val="105"/>
          <w:sz w:val="21"/>
        </w:rPr>
        <w:t>aim to prevent harm </w:t>
      </w:r>
      <w:r>
        <w:rPr>
          <w:w w:val="105"/>
          <w:sz w:val="21"/>
        </w:rPr>
        <w:t>and damage caused by trees. The new Act should </w:t>
      </w:r>
      <w:r>
        <w:rPr>
          <w:spacing w:val="-3"/>
          <w:w w:val="105"/>
          <w:sz w:val="21"/>
        </w:rPr>
        <w:t>recognise that </w:t>
      </w:r>
      <w:r>
        <w:rPr>
          <w:w w:val="105"/>
          <w:sz w:val="21"/>
        </w:rPr>
        <w:t>trees </w:t>
      </w:r>
      <w:r>
        <w:rPr>
          <w:spacing w:val="-3"/>
          <w:w w:val="105"/>
          <w:sz w:val="21"/>
        </w:rPr>
        <w:t>are </w:t>
      </w:r>
      <w:r>
        <w:rPr>
          <w:w w:val="105"/>
          <w:sz w:val="21"/>
        </w:rPr>
        <w:t>dynamic </w:t>
      </w:r>
      <w:r>
        <w:rPr>
          <w:spacing w:val="-3"/>
          <w:w w:val="105"/>
          <w:sz w:val="21"/>
        </w:rPr>
        <w:t>living organisms </w:t>
      </w:r>
      <w:r>
        <w:rPr>
          <w:w w:val="105"/>
          <w:sz w:val="21"/>
        </w:rPr>
        <w:t>and should </w:t>
      </w:r>
      <w:r>
        <w:rPr>
          <w:spacing w:val="-3"/>
          <w:w w:val="105"/>
          <w:sz w:val="21"/>
        </w:rPr>
        <w:t>enable </w:t>
      </w:r>
      <w:r>
        <w:rPr>
          <w:spacing w:val="-5"/>
          <w:w w:val="105"/>
          <w:sz w:val="21"/>
        </w:rPr>
        <w:t>VCAT </w:t>
      </w:r>
      <w:r>
        <w:rPr>
          <w:spacing w:val="-3"/>
          <w:w w:val="105"/>
          <w:sz w:val="21"/>
        </w:rPr>
        <w:t>to </w:t>
      </w:r>
      <w:r>
        <w:rPr>
          <w:spacing w:val="-4"/>
          <w:w w:val="105"/>
          <w:sz w:val="21"/>
        </w:rPr>
        <w:t>make </w:t>
      </w:r>
      <w:r>
        <w:rPr>
          <w:w w:val="105"/>
          <w:sz w:val="21"/>
        </w:rPr>
        <w:t>swift</w:t>
      </w:r>
      <w:r>
        <w:rPr>
          <w:spacing w:val="35"/>
          <w:w w:val="105"/>
          <w:sz w:val="21"/>
        </w:rPr>
        <w:t> </w:t>
      </w:r>
      <w:r>
        <w:rPr>
          <w:spacing w:val="-3"/>
          <w:w w:val="105"/>
          <w:sz w:val="21"/>
        </w:rPr>
        <w:t>decisions.</w:t>
      </w:r>
    </w:p>
    <w:p>
      <w:pPr>
        <w:pStyle w:val="Heading7"/>
        <w:spacing w:before="156"/>
      </w:pPr>
      <w:r>
        <w:rPr>
          <w:w w:val="115"/>
        </w:rPr>
        <w:t>The importance of trees to the community</w:t>
      </w:r>
    </w:p>
    <w:p>
      <w:pPr>
        <w:pStyle w:val="ListParagraph"/>
        <w:numPr>
          <w:ilvl w:val="1"/>
          <w:numId w:val="42"/>
        </w:numPr>
        <w:tabs>
          <w:tab w:pos="2381" w:val="left" w:leader="none"/>
          <w:tab w:pos="2382" w:val="left" w:leader="none"/>
        </w:tabs>
        <w:spacing w:line="242" w:lineRule="auto" w:before="143" w:after="0"/>
        <w:ind w:left="2381" w:right="1615" w:hanging="794"/>
        <w:jc w:val="left"/>
        <w:rPr>
          <w:sz w:val="21"/>
        </w:rPr>
      </w:pPr>
      <w:r>
        <w:rPr>
          <w:sz w:val="21"/>
        </w:rPr>
        <w:t>Protecting and </w:t>
      </w:r>
      <w:r>
        <w:rPr>
          <w:spacing w:val="-3"/>
          <w:sz w:val="21"/>
        </w:rPr>
        <w:t>encouraging </w:t>
      </w:r>
      <w:r>
        <w:rPr>
          <w:sz w:val="21"/>
        </w:rPr>
        <w:t>more vegetation in our urban spaces is </w:t>
      </w:r>
      <w:r>
        <w:rPr>
          <w:spacing w:val="-3"/>
          <w:sz w:val="21"/>
        </w:rPr>
        <w:t>increasingly  </w:t>
      </w:r>
      <w:r>
        <w:rPr>
          <w:sz w:val="21"/>
        </w:rPr>
        <w:t>important  </w:t>
      </w:r>
      <w:r>
        <w:rPr>
          <w:spacing w:val="-3"/>
          <w:sz w:val="21"/>
        </w:rPr>
        <w:t>to  </w:t>
      </w:r>
      <w:r>
        <w:rPr>
          <w:sz w:val="21"/>
        </w:rPr>
        <w:t>our </w:t>
      </w:r>
      <w:r>
        <w:rPr>
          <w:spacing w:val="-4"/>
          <w:sz w:val="21"/>
        </w:rPr>
        <w:t>community.  </w:t>
      </w:r>
      <w:r>
        <w:rPr>
          <w:sz w:val="21"/>
        </w:rPr>
        <w:t>Viewing tree </w:t>
      </w:r>
      <w:r>
        <w:rPr>
          <w:spacing w:val="-3"/>
          <w:sz w:val="21"/>
        </w:rPr>
        <w:t>disputes  </w:t>
      </w:r>
      <w:r>
        <w:rPr>
          <w:sz w:val="21"/>
        </w:rPr>
        <w:t>strictly as party–party </w:t>
      </w:r>
      <w:r>
        <w:rPr>
          <w:spacing w:val="-3"/>
          <w:sz w:val="21"/>
        </w:rPr>
        <w:t>disputes</w:t>
      </w:r>
      <w:r>
        <w:rPr>
          <w:spacing w:val="41"/>
          <w:sz w:val="21"/>
        </w:rPr>
        <w:t> </w:t>
      </w:r>
      <w:r>
        <w:rPr>
          <w:sz w:val="21"/>
        </w:rPr>
        <w:t>overlooks some   of the broader </w:t>
      </w:r>
      <w:r>
        <w:rPr>
          <w:spacing w:val="-3"/>
          <w:sz w:val="21"/>
        </w:rPr>
        <w:t>considerations. </w:t>
      </w:r>
      <w:r>
        <w:rPr>
          <w:sz w:val="21"/>
        </w:rPr>
        <w:t>These include:</w:t>
      </w:r>
    </w:p>
    <w:p>
      <w:pPr>
        <w:pStyle w:val="ListParagraph"/>
        <w:numPr>
          <w:ilvl w:val="2"/>
          <w:numId w:val="42"/>
        </w:numPr>
        <w:tabs>
          <w:tab w:pos="2721" w:val="left" w:leader="none"/>
          <w:tab w:pos="2722" w:val="left" w:leader="none"/>
        </w:tabs>
        <w:spacing w:line="240" w:lineRule="auto" w:before="123" w:after="0"/>
        <w:ind w:left="2721" w:right="0" w:hanging="340"/>
        <w:jc w:val="left"/>
        <w:rPr>
          <w:sz w:val="21"/>
        </w:rPr>
      </w:pPr>
      <w:r>
        <w:rPr>
          <w:sz w:val="21"/>
        </w:rPr>
        <w:t>the</w:t>
      </w:r>
      <w:r>
        <w:rPr>
          <w:spacing w:val="8"/>
          <w:sz w:val="21"/>
        </w:rPr>
        <w:t> </w:t>
      </w:r>
      <w:r>
        <w:rPr>
          <w:spacing w:val="-3"/>
          <w:sz w:val="21"/>
        </w:rPr>
        <w:t>historical,</w:t>
      </w:r>
      <w:r>
        <w:rPr>
          <w:spacing w:val="9"/>
          <w:sz w:val="21"/>
        </w:rPr>
        <w:t> </w:t>
      </w:r>
      <w:r>
        <w:rPr>
          <w:spacing w:val="-4"/>
          <w:sz w:val="21"/>
        </w:rPr>
        <w:t>cultural,</w:t>
      </w:r>
      <w:r>
        <w:rPr>
          <w:spacing w:val="9"/>
          <w:sz w:val="21"/>
        </w:rPr>
        <w:t> </w:t>
      </w:r>
      <w:r>
        <w:rPr>
          <w:sz w:val="21"/>
        </w:rPr>
        <w:t>social</w:t>
      </w:r>
      <w:r>
        <w:rPr>
          <w:spacing w:val="9"/>
          <w:sz w:val="21"/>
        </w:rPr>
        <w:t> </w:t>
      </w:r>
      <w:r>
        <w:rPr>
          <w:sz w:val="21"/>
        </w:rPr>
        <w:t>or</w:t>
      </w:r>
      <w:r>
        <w:rPr>
          <w:spacing w:val="8"/>
          <w:sz w:val="21"/>
        </w:rPr>
        <w:t> </w:t>
      </w:r>
      <w:r>
        <w:rPr>
          <w:sz w:val="21"/>
        </w:rPr>
        <w:t>scientific</w:t>
      </w:r>
      <w:r>
        <w:rPr>
          <w:spacing w:val="9"/>
          <w:sz w:val="21"/>
        </w:rPr>
        <w:t> </w:t>
      </w:r>
      <w:r>
        <w:rPr>
          <w:spacing w:val="-3"/>
          <w:sz w:val="21"/>
        </w:rPr>
        <w:t>value</w:t>
      </w:r>
      <w:r>
        <w:rPr>
          <w:spacing w:val="9"/>
          <w:sz w:val="21"/>
        </w:rPr>
        <w:t> </w:t>
      </w:r>
      <w:r>
        <w:rPr>
          <w:sz w:val="21"/>
        </w:rPr>
        <w:t>of</w:t>
      </w:r>
      <w:r>
        <w:rPr>
          <w:spacing w:val="9"/>
          <w:sz w:val="21"/>
        </w:rPr>
        <w:t> </w:t>
      </w:r>
      <w:r>
        <w:rPr>
          <w:sz w:val="21"/>
        </w:rPr>
        <w:t>trees</w:t>
      </w:r>
    </w:p>
    <w:p>
      <w:pPr>
        <w:pStyle w:val="BodyText"/>
        <w:spacing w:before="9"/>
        <w:rPr>
          <w:sz w:val="25"/>
        </w:rPr>
      </w:pPr>
      <w:r>
        <w:rPr/>
        <w:pict>
          <v:line style="position:absolute;mso-position-horizontal-relative:page;mso-position-vertical-relative:paragraph;z-index:2696;mso-wrap-distance-left:0;mso-wrap-distance-right:0" from="79.370102pt,18.202356pt" to="515.905102pt,18.202356pt" stroked="true" strokeweight="1pt" strokecolor="#c9d2cb">
            <v:stroke dashstyle="solid"/>
            <w10:wrap type="topAndBottom"/>
          </v:line>
        </w:pict>
      </w:r>
    </w:p>
    <w:p>
      <w:pPr>
        <w:pStyle w:val="ListParagraph"/>
        <w:numPr>
          <w:ilvl w:val="0"/>
          <w:numId w:val="43"/>
        </w:numPr>
        <w:tabs>
          <w:tab w:pos="2381" w:val="left" w:leader="none"/>
          <w:tab w:pos="2382" w:val="left" w:leader="none"/>
        </w:tabs>
        <w:spacing w:line="240" w:lineRule="auto" w:before="117" w:after="0"/>
        <w:ind w:left="2381" w:right="0" w:hanging="794"/>
        <w:jc w:val="left"/>
        <w:rPr>
          <w:sz w:val="13"/>
        </w:rPr>
      </w:pPr>
      <w:r>
        <w:rPr>
          <w:w w:val="105"/>
          <w:sz w:val="13"/>
        </w:rPr>
        <w:t>Submissions</w:t>
      </w:r>
      <w:r>
        <w:rPr>
          <w:spacing w:val="5"/>
          <w:w w:val="105"/>
          <w:sz w:val="13"/>
        </w:rPr>
        <w:t> </w:t>
      </w:r>
      <w:r>
        <w:rPr>
          <w:w w:val="105"/>
          <w:sz w:val="13"/>
        </w:rPr>
        <w:t>5</w:t>
      </w:r>
      <w:r>
        <w:rPr>
          <w:spacing w:val="6"/>
          <w:w w:val="105"/>
          <w:sz w:val="13"/>
        </w:rPr>
        <w:t> </w:t>
      </w:r>
      <w:r>
        <w:rPr>
          <w:spacing w:val="2"/>
          <w:w w:val="105"/>
          <w:sz w:val="13"/>
        </w:rPr>
        <w:t>(Name</w:t>
      </w:r>
      <w:r>
        <w:rPr>
          <w:spacing w:val="5"/>
          <w:w w:val="105"/>
          <w:sz w:val="13"/>
        </w:rPr>
        <w:t> </w:t>
      </w:r>
      <w:r>
        <w:rPr>
          <w:w w:val="105"/>
          <w:sz w:val="13"/>
        </w:rPr>
        <w:t>withheld),</w:t>
      </w:r>
      <w:r>
        <w:rPr>
          <w:spacing w:val="6"/>
          <w:w w:val="105"/>
          <w:sz w:val="13"/>
        </w:rPr>
        <w:t> </w:t>
      </w:r>
      <w:r>
        <w:rPr>
          <w:spacing w:val="-3"/>
          <w:w w:val="105"/>
          <w:sz w:val="13"/>
        </w:rPr>
        <w:t>19</w:t>
      </w:r>
      <w:r>
        <w:rPr>
          <w:spacing w:val="6"/>
          <w:w w:val="105"/>
          <w:sz w:val="13"/>
        </w:rPr>
        <w:t> </w:t>
      </w:r>
      <w:r>
        <w:rPr>
          <w:spacing w:val="2"/>
          <w:w w:val="105"/>
          <w:sz w:val="13"/>
        </w:rPr>
        <w:t>(Name</w:t>
      </w:r>
      <w:r>
        <w:rPr>
          <w:spacing w:val="5"/>
          <w:w w:val="105"/>
          <w:sz w:val="13"/>
        </w:rPr>
        <w:t> </w:t>
      </w:r>
      <w:r>
        <w:rPr>
          <w:w w:val="105"/>
          <w:sz w:val="13"/>
        </w:rPr>
        <w:t>withheld),</w:t>
      </w:r>
      <w:r>
        <w:rPr>
          <w:spacing w:val="6"/>
          <w:w w:val="105"/>
          <w:sz w:val="13"/>
        </w:rPr>
        <w:t> </w:t>
      </w:r>
      <w:r>
        <w:rPr>
          <w:w w:val="105"/>
          <w:sz w:val="13"/>
        </w:rPr>
        <w:t>34</w:t>
      </w:r>
      <w:r>
        <w:rPr>
          <w:spacing w:val="5"/>
          <w:w w:val="105"/>
          <w:sz w:val="13"/>
        </w:rPr>
        <w:t> </w:t>
      </w:r>
      <w:r>
        <w:rPr>
          <w:w w:val="105"/>
          <w:sz w:val="13"/>
        </w:rPr>
        <w:t>(Allan</w:t>
      </w:r>
      <w:r>
        <w:rPr>
          <w:spacing w:val="6"/>
          <w:w w:val="105"/>
          <w:sz w:val="13"/>
        </w:rPr>
        <w:t> </w:t>
      </w:r>
      <w:r>
        <w:rPr>
          <w:w w:val="105"/>
          <w:sz w:val="13"/>
        </w:rPr>
        <w:t>Day),</w:t>
      </w:r>
      <w:r>
        <w:rPr>
          <w:spacing w:val="6"/>
          <w:w w:val="105"/>
          <w:sz w:val="13"/>
        </w:rPr>
        <w:t> </w:t>
      </w:r>
      <w:r>
        <w:rPr>
          <w:w w:val="105"/>
          <w:sz w:val="13"/>
        </w:rPr>
        <w:t>36</w:t>
      </w:r>
      <w:r>
        <w:rPr>
          <w:spacing w:val="5"/>
          <w:w w:val="105"/>
          <w:sz w:val="13"/>
        </w:rPr>
        <w:t> </w:t>
      </w:r>
      <w:r>
        <w:rPr>
          <w:w w:val="105"/>
          <w:sz w:val="13"/>
        </w:rPr>
        <w:t>(Monique</w:t>
      </w:r>
      <w:r>
        <w:rPr>
          <w:spacing w:val="6"/>
          <w:w w:val="105"/>
          <w:sz w:val="13"/>
        </w:rPr>
        <w:t> </w:t>
      </w:r>
      <w:r>
        <w:rPr>
          <w:spacing w:val="2"/>
          <w:w w:val="105"/>
          <w:sz w:val="13"/>
        </w:rPr>
        <w:t>Onezime);</w:t>
      </w:r>
      <w:r>
        <w:rPr>
          <w:spacing w:val="5"/>
          <w:w w:val="105"/>
          <w:sz w:val="13"/>
        </w:rPr>
        <w:t> </w:t>
      </w:r>
      <w:r>
        <w:rPr>
          <w:w w:val="105"/>
          <w:sz w:val="13"/>
        </w:rPr>
        <w:t>Survey</w:t>
      </w:r>
      <w:r>
        <w:rPr>
          <w:spacing w:val="6"/>
          <w:w w:val="105"/>
          <w:sz w:val="13"/>
        </w:rPr>
        <w:t> </w:t>
      </w:r>
      <w:r>
        <w:rPr>
          <w:w w:val="105"/>
          <w:sz w:val="13"/>
        </w:rPr>
        <w:t>respondents</w:t>
      </w:r>
      <w:r>
        <w:rPr>
          <w:spacing w:val="6"/>
          <w:w w:val="105"/>
          <w:sz w:val="13"/>
        </w:rPr>
        <w:t> </w:t>
      </w:r>
      <w:r>
        <w:rPr>
          <w:spacing w:val="2"/>
          <w:w w:val="105"/>
          <w:sz w:val="13"/>
        </w:rPr>
        <w:t>44,</w:t>
      </w:r>
      <w:r>
        <w:rPr>
          <w:spacing w:val="5"/>
          <w:w w:val="105"/>
          <w:sz w:val="13"/>
        </w:rPr>
        <w:t> </w:t>
      </w:r>
      <w:r>
        <w:rPr>
          <w:w w:val="105"/>
          <w:sz w:val="13"/>
        </w:rPr>
        <w:t>72,</w:t>
      </w:r>
      <w:r>
        <w:rPr>
          <w:spacing w:val="6"/>
          <w:w w:val="105"/>
          <w:sz w:val="13"/>
        </w:rPr>
        <w:t> </w:t>
      </w:r>
      <w:r>
        <w:rPr>
          <w:w w:val="105"/>
          <w:sz w:val="13"/>
        </w:rPr>
        <w:t>95,</w:t>
      </w:r>
      <w:r>
        <w:rPr>
          <w:spacing w:val="5"/>
          <w:w w:val="105"/>
          <w:sz w:val="13"/>
        </w:rPr>
        <w:t> </w:t>
      </w:r>
      <w:r>
        <w:rPr>
          <w:w w:val="105"/>
          <w:sz w:val="13"/>
        </w:rPr>
        <w:t>99,</w:t>
      </w:r>
      <w:r>
        <w:rPr>
          <w:spacing w:val="6"/>
          <w:w w:val="105"/>
          <w:sz w:val="13"/>
        </w:rPr>
        <w:t> </w:t>
      </w:r>
      <w:r>
        <w:rPr>
          <w:w w:val="105"/>
          <w:sz w:val="13"/>
        </w:rPr>
        <w:t>103.</w:t>
      </w:r>
    </w:p>
    <w:p>
      <w:pPr>
        <w:pStyle w:val="ListParagraph"/>
        <w:numPr>
          <w:ilvl w:val="0"/>
          <w:numId w:val="43"/>
        </w:numPr>
        <w:tabs>
          <w:tab w:pos="2381" w:val="left" w:leader="none"/>
          <w:tab w:pos="2382" w:val="left" w:leader="none"/>
        </w:tabs>
        <w:spacing w:line="240" w:lineRule="auto" w:before="1" w:after="0"/>
        <w:ind w:left="2381" w:right="1643" w:hanging="794"/>
        <w:jc w:val="left"/>
        <w:rPr>
          <w:sz w:val="13"/>
        </w:rPr>
      </w:pPr>
      <w:r>
        <w:rPr>
          <w:w w:val="105"/>
          <w:sz w:val="13"/>
        </w:rPr>
        <w:t>Consultations 4 (Participants in facilitated discussion at </w:t>
      </w:r>
      <w:r>
        <w:rPr>
          <w:spacing w:val="4"/>
          <w:w w:val="105"/>
          <w:sz w:val="13"/>
        </w:rPr>
        <w:t>VTIO </w:t>
      </w:r>
      <w:r>
        <w:rPr>
          <w:w w:val="105"/>
          <w:sz w:val="13"/>
        </w:rPr>
        <w:t>ArborCamp2018), 6 </w:t>
      </w:r>
      <w:r>
        <w:rPr>
          <w:spacing w:val="2"/>
          <w:w w:val="105"/>
          <w:sz w:val="13"/>
        </w:rPr>
        <w:t>(Ben </w:t>
      </w:r>
      <w:r>
        <w:rPr>
          <w:w w:val="105"/>
          <w:sz w:val="13"/>
        </w:rPr>
        <w:t>Kenyon); see, eg, Standards Australia, </w:t>
      </w:r>
      <w:r>
        <w:rPr>
          <w:i/>
          <w:w w:val="105"/>
          <w:sz w:val="13"/>
        </w:rPr>
        <w:t>Pruning of </w:t>
      </w:r>
      <w:r>
        <w:rPr>
          <w:i/>
          <w:w w:val="105"/>
          <w:sz w:val="13"/>
        </w:rPr>
        <w:t>Amenity Trees </w:t>
      </w:r>
      <w:r>
        <w:rPr>
          <w:spacing w:val="2"/>
          <w:w w:val="105"/>
          <w:sz w:val="13"/>
        </w:rPr>
        <w:t>(AS </w:t>
      </w:r>
      <w:r>
        <w:rPr>
          <w:w w:val="105"/>
          <w:sz w:val="13"/>
        </w:rPr>
        <w:t>4373-2007) (Sydney, NSW: Standards Australia, 2007) </w:t>
      </w:r>
      <w:r>
        <w:rPr>
          <w:spacing w:val="3"/>
          <w:w w:val="105"/>
          <w:sz w:val="13"/>
        </w:rPr>
        <w:t>[4]. </w:t>
      </w:r>
      <w:r>
        <w:rPr>
          <w:w w:val="105"/>
          <w:sz w:val="13"/>
        </w:rPr>
        <w:t>The objective of the standard is to ‘provide arborists, tree workers, government departments, </w:t>
      </w:r>
      <w:r>
        <w:rPr>
          <w:spacing w:val="2"/>
          <w:w w:val="105"/>
          <w:sz w:val="13"/>
        </w:rPr>
        <w:t>property </w:t>
      </w:r>
      <w:r>
        <w:rPr>
          <w:w w:val="105"/>
          <w:sz w:val="13"/>
        </w:rPr>
        <w:t>owners, and contractors with a guide defining uniform tree pruning procedures and practices   in</w:t>
      </w:r>
      <w:r>
        <w:rPr>
          <w:spacing w:val="4"/>
          <w:w w:val="105"/>
          <w:sz w:val="13"/>
        </w:rPr>
        <w:t> </w:t>
      </w:r>
      <w:r>
        <w:rPr>
          <w:w w:val="105"/>
          <w:sz w:val="13"/>
        </w:rPr>
        <w:t>order</w:t>
      </w:r>
      <w:r>
        <w:rPr>
          <w:spacing w:val="4"/>
          <w:w w:val="105"/>
          <w:sz w:val="13"/>
        </w:rPr>
        <w:t> </w:t>
      </w:r>
      <w:r>
        <w:rPr>
          <w:w w:val="105"/>
          <w:sz w:val="13"/>
        </w:rPr>
        <w:t>to</w:t>
      </w:r>
      <w:r>
        <w:rPr>
          <w:spacing w:val="5"/>
          <w:w w:val="105"/>
          <w:sz w:val="13"/>
        </w:rPr>
        <w:t> </w:t>
      </w:r>
      <w:r>
        <w:rPr>
          <w:w w:val="105"/>
          <w:sz w:val="13"/>
        </w:rPr>
        <w:t>minimize</w:t>
      </w:r>
      <w:r>
        <w:rPr>
          <w:spacing w:val="4"/>
          <w:w w:val="105"/>
          <w:sz w:val="13"/>
        </w:rPr>
        <w:t> </w:t>
      </w:r>
      <w:r>
        <w:rPr>
          <w:w w:val="105"/>
          <w:sz w:val="13"/>
        </w:rPr>
        <w:t>the</w:t>
      </w:r>
      <w:r>
        <w:rPr>
          <w:spacing w:val="5"/>
          <w:w w:val="105"/>
          <w:sz w:val="13"/>
        </w:rPr>
        <w:t> </w:t>
      </w:r>
      <w:r>
        <w:rPr>
          <w:w w:val="105"/>
          <w:sz w:val="13"/>
        </w:rPr>
        <w:t>adverse</w:t>
      </w:r>
      <w:r>
        <w:rPr>
          <w:spacing w:val="4"/>
          <w:w w:val="105"/>
          <w:sz w:val="13"/>
        </w:rPr>
        <w:t> </w:t>
      </w:r>
      <w:r>
        <w:rPr>
          <w:w w:val="105"/>
          <w:sz w:val="13"/>
        </w:rPr>
        <w:t>or</w:t>
      </w:r>
      <w:r>
        <w:rPr>
          <w:spacing w:val="5"/>
          <w:w w:val="105"/>
          <w:sz w:val="13"/>
        </w:rPr>
        <w:t> </w:t>
      </w:r>
      <w:r>
        <w:rPr>
          <w:w w:val="105"/>
          <w:sz w:val="13"/>
        </w:rPr>
        <w:t>negative</w:t>
      </w:r>
      <w:r>
        <w:rPr>
          <w:spacing w:val="4"/>
          <w:w w:val="105"/>
          <w:sz w:val="13"/>
        </w:rPr>
        <w:t> </w:t>
      </w:r>
      <w:r>
        <w:rPr>
          <w:w w:val="105"/>
          <w:sz w:val="13"/>
        </w:rPr>
        <w:t>impact</w:t>
      </w:r>
      <w:r>
        <w:rPr>
          <w:spacing w:val="5"/>
          <w:w w:val="105"/>
          <w:sz w:val="13"/>
        </w:rPr>
        <w:t> </w:t>
      </w:r>
      <w:r>
        <w:rPr>
          <w:w w:val="105"/>
          <w:sz w:val="13"/>
        </w:rPr>
        <w:t>of</w:t>
      </w:r>
      <w:r>
        <w:rPr>
          <w:spacing w:val="4"/>
          <w:w w:val="105"/>
          <w:sz w:val="13"/>
        </w:rPr>
        <w:t> </w:t>
      </w:r>
      <w:r>
        <w:rPr>
          <w:w w:val="105"/>
          <w:sz w:val="13"/>
        </w:rPr>
        <w:t>pruning</w:t>
      </w:r>
      <w:r>
        <w:rPr>
          <w:spacing w:val="5"/>
          <w:w w:val="105"/>
          <w:sz w:val="13"/>
        </w:rPr>
        <w:t> </w:t>
      </w:r>
      <w:r>
        <w:rPr>
          <w:w w:val="105"/>
          <w:sz w:val="13"/>
        </w:rPr>
        <w:t>on</w:t>
      </w:r>
      <w:r>
        <w:rPr>
          <w:spacing w:val="4"/>
          <w:w w:val="105"/>
          <w:sz w:val="13"/>
        </w:rPr>
        <w:t> </w:t>
      </w:r>
      <w:r>
        <w:rPr>
          <w:w w:val="105"/>
          <w:sz w:val="13"/>
        </w:rPr>
        <w:t>trees’.</w:t>
      </w:r>
    </w:p>
    <w:p>
      <w:pPr>
        <w:pStyle w:val="ListParagraph"/>
        <w:numPr>
          <w:ilvl w:val="0"/>
          <w:numId w:val="43"/>
        </w:numPr>
        <w:tabs>
          <w:tab w:pos="2381" w:val="left" w:leader="none"/>
          <w:tab w:pos="2382" w:val="left" w:leader="none"/>
        </w:tabs>
        <w:spacing w:line="240" w:lineRule="auto" w:before="6" w:after="0"/>
        <w:ind w:left="2381" w:right="2782" w:hanging="794"/>
        <w:jc w:val="left"/>
        <w:rPr>
          <w:sz w:val="13"/>
        </w:rPr>
      </w:pPr>
      <w:r>
        <w:rPr/>
        <w:pict>
          <v:shape style="position:absolute;margin-left:549.230530pt;margin-top:3.261764pt;width:12.1pt;height:14.25pt;mso-position-horizontal-relative:page;mso-position-vertical-relative:paragraph;z-index:4768" type="#_x0000_t202" filled="false" stroked="false">
            <v:textbox inset="0,0,0,0">
              <w:txbxContent>
                <w:p>
                  <w:pPr>
                    <w:spacing w:line="284" w:lineRule="exact" w:before="0"/>
                    <w:ind w:left="0" w:right="0" w:firstLine="0"/>
                    <w:jc w:val="left"/>
                    <w:rPr>
                      <w:b/>
                      <w:sz w:val="24"/>
                    </w:rPr>
                  </w:pPr>
                  <w:r>
                    <w:rPr>
                      <w:b/>
                      <w:color w:val="658464"/>
                      <w:spacing w:val="-13"/>
                      <w:w w:val="110"/>
                      <w:sz w:val="24"/>
                    </w:rPr>
                    <w:t>61</w:t>
                  </w:r>
                </w:p>
              </w:txbxContent>
            </v:textbox>
            <w10:wrap type="none"/>
          </v:shape>
        </w:pict>
      </w:r>
      <w:r>
        <w:rPr>
          <w:w w:val="105"/>
          <w:sz w:val="13"/>
        </w:rPr>
        <w:t>Submissions 9 </w:t>
      </w:r>
      <w:r>
        <w:rPr>
          <w:spacing w:val="3"/>
          <w:w w:val="105"/>
          <w:sz w:val="13"/>
        </w:rPr>
        <w:t>(Dr </w:t>
      </w:r>
      <w:r>
        <w:rPr>
          <w:w w:val="105"/>
          <w:sz w:val="13"/>
        </w:rPr>
        <w:t>Karen Smith), </w:t>
      </w:r>
      <w:r>
        <w:rPr>
          <w:spacing w:val="-3"/>
          <w:w w:val="105"/>
          <w:sz w:val="13"/>
        </w:rPr>
        <w:t>19 </w:t>
      </w:r>
      <w:r>
        <w:rPr>
          <w:spacing w:val="2"/>
          <w:w w:val="105"/>
          <w:sz w:val="13"/>
        </w:rPr>
        <w:t>(Name </w:t>
      </w:r>
      <w:r>
        <w:rPr>
          <w:w w:val="105"/>
          <w:sz w:val="13"/>
        </w:rPr>
        <w:t>withheld), 22 </w:t>
      </w:r>
      <w:r>
        <w:rPr>
          <w:spacing w:val="2"/>
          <w:w w:val="105"/>
          <w:sz w:val="13"/>
        </w:rPr>
        <w:t>(Name </w:t>
      </w:r>
      <w:r>
        <w:rPr>
          <w:w w:val="105"/>
          <w:sz w:val="13"/>
        </w:rPr>
        <w:t>withheld), 24 </w:t>
      </w:r>
      <w:r>
        <w:rPr>
          <w:spacing w:val="2"/>
          <w:w w:val="105"/>
          <w:sz w:val="13"/>
        </w:rPr>
        <w:t>(Name </w:t>
      </w:r>
      <w:r>
        <w:rPr>
          <w:w w:val="105"/>
          <w:sz w:val="13"/>
        </w:rPr>
        <w:t>Withheld), 38 </w:t>
      </w:r>
      <w:r>
        <w:rPr>
          <w:spacing w:val="3"/>
          <w:w w:val="105"/>
          <w:sz w:val="13"/>
        </w:rPr>
        <w:t>(L. </w:t>
      </w:r>
      <w:r>
        <w:rPr>
          <w:spacing w:val="2"/>
          <w:w w:val="105"/>
          <w:sz w:val="13"/>
        </w:rPr>
        <w:t>Barry </w:t>
      </w:r>
      <w:r>
        <w:rPr>
          <w:w w:val="105"/>
          <w:sz w:val="13"/>
        </w:rPr>
        <w:t>Wollmer); Consultations 3 </w:t>
      </w:r>
      <w:r>
        <w:rPr>
          <w:spacing w:val="3"/>
          <w:w w:val="105"/>
          <w:sz w:val="13"/>
        </w:rPr>
        <w:t>(HVP </w:t>
      </w:r>
      <w:r>
        <w:rPr>
          <w:w w:val="105"/>
          <w:sz w:val="13"/>
        </w:rPr>
        <w:t>Plantations), 10 </w:t>
      </w:r>
      <w:r>
        <w:rPr>
          <w:spacing w:val="2"/>
          <w:w w:val="105"/>
          <w:sz w:val="13"/>
        </w:rPr>
        <w:t>(Baw </w:t>
      </w:r>
      <w:r>
        <w:rPr>
          <w:w w:val="105"/>
          <w:sz w:val="13"/>
        </w:rPr>
        <w:t>Baw Shire</w:t>
      </w:r>
      <w:r>
        <w:rPr>
          <w:spacing w:val="2"/>
          <w:w w:val="105"/>
          <w:sz w:val="13"/>
        </w:rPr>
        <w:t> </w:t>
      </w:r>
      <w:r>
        <w:rPr>
          <w:w w:val="105"/>
          <w:sz w:val="13"/>
        </w:rPr>
        <w:t>Council).</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43"/>
        </w:numPr>
        <w:tabs>
          <w:tab w:pos="2721" w:val="left" w:leader="none"/>
          <w:tab w:pos="2722" w:val="left" w:leader="none"/>
        </w:tabs>
        <w:spacing w:line="240" w:lineRule="auto" w:before="92" w:after="0"/>
        <w:ind w:left="2721" w:right="0" w:hanging="340"/>
        <w:jc w:val="left"/>
        <w:rPr>
          <w:sz w:val="21"/>
        </w:rPr>
      </w:pPr>
      <w:r>
        <w:rPr>
          <w:sz w:val="21"/>
        </w:rPr>
        <w:t>the</w:t>
      </w:r>
      <w:r>
        <w:rPr>
          <w:spacing w:val="9"/>
          <w:sz w:val="21"/>
        </w:rPr>
        <w:t> </w:t>
      </w:r>
      <w:r>
        <w:rPr>
          <w:spacing w:val="-3"/>
          <w:sz w:val="21"/>
        </w:rPr>
        <w:t>contribution</w:t>
      </w:r>
      <w:r>
        <w:rPr>
          <w:spacing w:val="9"/>
          <w:sz w:val="21"/>
        </w:rPr>
        <w:t> </w:t>
      </w:r>
      <w:r>
        <w:rPr>
          <w:sz w:val="21"/>
        </w:rPr>
        <w:t>trees</w:t>
      </w:r>
      <w:r>
        <w:rPr>
          <w:spacing w:val="9"/>
          <w:sz w:val="21"/>
        </w:rPr>
        <w:t> </w:t>
      </w:r>
      <w:r>
        <w:rPr>
          <w:spacing w:val="-4"/>
          <w:sz w:val="21"/>
        </w:rPr>
        <w:t>make</w:t>
      </w:r>
      <w:r>
        <w:rPr>
          <w:spacing w:val="9"/>
          <w:sz w:val="21"/>
        </w:rPr>
        <w:t> </w:t>
      </w:r>
      <w:r>
        <w:rPr>
          <w:spacing w:val="-3"/>
          <w:sz w:val="21"/>
        </w:rPr>
        <w:t>to</w:t>
      </w:r>
      <w:r>
        <w:rPr>
          <w:spacing w:val="9"/>
          <w:sz w:val="21"/>
        </w:rPr>
        <w:t> </w:t>
      </w:r>
      <w:r>
        <w:rPr>
          <w:sz w:val="21"/>
        </w:rPr>
        <w:t>local</w:t>
      </w:r>
      <w:r>
        <w:rPr>
          <w:spacing w:val="9"/>
          <w:sz w:val="21"/>
        </w:rPr>
        <w:t> </w:t>
      </w:r>
      <w:r>
        <w:rPr>
          <w:sz w:val="21"/>
        </w:rPr>
        <w:t>ecosystems</w:t>
      </w:r>
      <w:r>
        <w:rPr>
          <w:spacing w:val="9"/>
          <w:sz w:val="21"/>
        </w:rPr>
        <w:t> </w:t>
      </w:r>
      <w:r>
        <w:rPr>
          <w:sz w:val="21"/>
        </w:rPr>
        <w:t>and</w:t>
      </w:r>
      <w:r>
        <w:rPr>
          <w:spacing w:val="9"/>
          <w:sz w:val="21"/>
        </w:rPr>
        <w:t> </w:t>
      </w:r>
      <w:r>
        <w:rPr>
          <w:sz w:val="21"/>
        </w:rPr>
        <w:t>biodiversity</w:t>
      </w:r>
    </w:p>
    <w:p>
      <w:pPr>
        <w:pStyle w:val="ListParagraph"/>
        <w:numPr>
          <w:ilvl w:val="1"/>
          <w:numId w:val="43"/>
        </w:numPr>
        <w:tabs>
          <w:tab w:pos="2721" w:val="left" w:leader="none"/>
          <w:tab w:pos="2722" w:val="left" w:leader="none"/>
        </w:tabs>
        <w:spacing w:line="240" w:lineRule="auto" w:before="88" w:after="0"/>
        <w:ind w:left="2721" w:right="0" w:hanging="340"/>
        <w:jc w:val="left"/>
        <w:rPr>
          <w:sz w:val="21"/>
        </w:rPr>
      </w:pPr>
      <w:r>
        <w:rPr>
          <w:sz w:val="21"/>
        </w:rPr>
        <w:t>the</w:t>
      </w:r>
      <w:r>
        <w:rPr>
          <w:spacing w:val="9"/>
          <w:sz w:val="21"/>
        </w:rPr>
        <w:t> </w:t>
      </w:r>
      <w:r>
        <w:rPr>
          <w:spacing w:val="-3"/>
          <w:sz w:val="21"/>
        </w:rPr>
        <w:t>way</w:t>
      </w:r>
      <w:r>
        <w:rPr>
          <w:spacing w:val="10"/>
          <w:sz w:val="21"/>
        </w:rPr>
        <w:t> </w:t>
      </w:r>
      <w:r>
        <w:rPr>
          <w:sz w:val="21"/>
        </w:rPr>
        <w:t>they</w:t>
      </w:r>
      <w:r>
        <w:rPr>
          <w:spacing w:val="10"/>
          <w:sz w:val="21"/>
        </w:rPr>
        <w:t> </w:t>
      </w:r>
      <w:r>
        <w:rPr>
          <w:spacing w:val="-3"/>
          <w:sz w:val="21"/>
        </w:rPr>
        <w:t>contribute</w:t>
      </w:r>
      <w:r>
        <w:rPr>
          <w:spacing w:val="10"/>
          <w:sz w:val="21"/>
        </w:rPr>
        <w:t> </w:t>
      </w:r>
      <w:r>
        <w:rPr>
          <w:spacing w:val="-3"/>
          <w:sz w:val="21"/>
        </w:rPr>
        <w:t>to</w:t>
      </w:r>
      <w:r>
        <w:rPr>
          <w:spacing w:val="10"/>
          <w:sz w:val="21"/>
        </w:rPr>
        <w:t> </w:t>
      </w:r>
      <w:r>
        <w:rPr>
          <w:sz w:val="21"/>
        </w:rPr>
        <w:t>the</w:t>
      </w:r>
      <w:r>
        <w:rPr>
          <w:spacing w:val="9"/>
          <w:sz w:val="21"/>
        </w:rPr>
        <w:t> </w:t>
      </w:r>
      <w:r>
        <w:rPr>
          <w:spacing w:val="-3"/>
          <w:sz w:val="21"/>
        </w:rPr>
        <w:t>natural</w:t>
      </w:r>
      <w:r>
        <w:rPr>
          <w:spacing w:val="10"/>
          <w:sz w:val="21"/>
        </w:rPr>
        <w:t> </w:t>
      </w:r>
      <w:r>
        <w:rPr>
          <w:sz w:val="21"/>
        </w:rPr>
        <w:t>landscape</w:t>
      </w:r>
      <w:r>
        <w:rPr>
          <w:spacing w:val="10"/>
          <w:sz w:val="21"/>
        </w:rPr>
        <w:t> </w:t>
      </w:r>
      <w:r>
        <w:rPr>
          <w:sz w:val="21"/>
        </w:rPr>
        <w:t>and</w:t>
      </w:r>
      <w:r>
        <w:rPr>
          <w:spacing w:val="10"/>
          <w:sz w:val="21"/>
        </w:rPr>
        <w:t> </w:t>
      </w:r>
      <w:r>
        <w:rPr>
          <w:sz w:val="21"/>
        </w:rPr>
        <w:t>local</w:t>
      </w:r>
      <w:r>
        <w:rPr>
          <w:spacing w:val="10"/>
          <w:sz w:val="21"/>
        </w:rPr>
        <w:t> </w:t>
      </w:r>
      <w:r>
        <w:rPr>
          <w:spacing w:val="-3"/>
          <w:sz w:val="21"/>
        </w:rPr>
        <w:t>amenity.</w:t>
      </w:r>
    </w:p>
    <w:p>
      <w:pPr>
        <w:pStyle w:val="ListParagraph"/>
        <w:numPr>
          <w:ilvl w:val="1"/>
          <w:numId w:val="42"/>
        </w:numPr>
        <w:tabs>
          <w:tab w:pos="2381" w:val="left" w:leader="none"/>
          <w:tab w:pos="2382" w:val="left" w:leader="none"/>
        </w:tabs>
        <w:spacing w:line="242" w:lineRule="auto" w:before="89" w:after="0"/>
        <w:ind w:left="2381" w:right="1786" w:hanging="794"/>
        <w:jc w:val="left"/>
        <w:rPr>
          <w:sz w:val="12"/>
        </w:rPr>
      </w:pPr>
      <w:r>
        <w:rPr>
          <w:spacing w:val="-4"/>
          <w:w w:val="105"/>
          <w:sz w:val="21"/>
        </w:rPr>
        <w:t>Trees </w:t>
      </w:r>
      <w:r>
        <w:rPr>
          <w:spacing w:val="-3"/>
          <w:w w:val="105"/>
          <w:sz w:val="21"/>
        </w:rPr>
        <w:t>are increasingly </w:t>
      </w:r>
      <w:r>
        <w:rPr>
          <w:w w:val="105"/>
          <w:sz w:val="21"/>
        </w:rPr>
        <w:t>viewed as community assets.</w:t>
      </w:r>
      <w:r>
        <w:rPr>
          <w:w w:val="105"/>
          <w:position w:val="7"/>
          <w:sz w:val="12"/>
        </w:rPr>
        <w:t>67 </w:t>
      </w:r>
      <w:r>
        <w:rPr>
          <w:w w:val="105"/>
          <w:sz w:val="21"/>
        </w:rPr>
        <w:t>One community member </w:t>
      </w:r>
      <w:r>
        <w:rPr>
          <w:spacing w:val="-3"/>
          <w:w w:val="105"/>
          <w:sz w:val="21"/>
        </w:rPr>
        <w:t>commented that </w:t>
      </w:r>
      <w:r>
        <w:rPr>
          <w:spacing w:val="-4"/>
          <w:w w:val="105"/>
          <w:sz w:val="21"/>
        </w:rPr>
        <w:t>‘maintaining </w:t>
      </w:r>
      <w:r>
        <w:rPr>
          <w:w w:val="105"/>
          <w:sz w:val="21"/>
        </w:rPr>
        <w:t>canopy tree </w:t>
      </w:r>
      <w:r>
        <w:rPr>
          <w:spacing w:val="-3"/>
          <w:w w:val="105"/>
          <w:sz w:val="21"/>
        </w:rPr>
        <w:t>cover </w:t>
      </w:r>
      <w:r>
        <w:rPr>
          <w:w w:val="105"/>
          <w:sz w:val="21"/>
        </w:rPr>
        <w:t>in the urban settings is now </w:t>
      </w:r>
      <w:r>
        <w:rPr>
          <w:spacing w:val="-3"/>
          <w:w w:val="105"/>
          <w:sz w:val="21"/>
        </w:rPr>
        <w:t>critically </w:t>
      </w:r>
      <w:r>
        <w:rPr>
          <w:spacing w:val="-4"/>
          <w:w w:val="105"/>
          <w:sz w:val="21"/>
        </w:rPr>
        <w:t>urgent’.</w:t>
      </w:r>
      <w:r>
        <w:rPr>
          <w:spacing w:val="-4"/>
          <w:w w:val="105"/>
          <w:position w:val="7"/>
          <w:sz w:val="12"/>
        </w:rPr>
        <w:t>68 </w:t>
      </w:r>
      <w:r>
        <w:rPr>
          <w:spacing w:val="-4"/>
          <w:w w:val="105"/>
          <w:sz w:val="21"/>
        </w:rPr>
        <w:t>Councils </w:t>
      </w:r>
      <w:r>
        <w:rPr>
          <w:spacing w:val="-3"/>
          <w:w w:val="105"/>
          <w:sz w:val="21"/>
        </w:rPr>
        <w:t>are increasingly recognising </w:t>
      </w:r>
      <w:r>
        <w:rPr>
          <w:w w:val="105"/>
          <w:sz w:val="21"/>
        </w:rPr>
        <w:t>the </w:t>
      </w:r>
      <w:r>
        <w:rPr>
          <w:spacing w:val="-3"/>
          <w:w w:val="105"/>
          <w:sz w:val="21"/>
        </w:rPr>
        <w:t>value </w:t>
      </w:r>
      <w:r>
        <w:rPr>
          <w:w w:val="105"/>
          <w:sz w:val="21"/>
        </w:rPr>
        <w:t>of trees in urban </w:t>
      </w:r>
      <w:r>
        <w:rPr>
          <w:spacing w:val="-2"/>
          <w:w w:val="105"/>
          <w:sz w:val="21"/>
        </w:rPr>
        <w:t>forest </w:t>
      </w:r>
      <w:r>
        <w:rPr>
          <w:w w:val="105"/>
          <w:sz w:val="21"/>
        </w:rPr>
        <w:t>policies, tree </w:t>
      </w:r>
      <w:r>
        <w:rPr>
          <w:spacing w:val="-3"/>
          <w:w w:val="105"/>
          <w:sz w:val="21"/>
        </w:rPr>
        <w:t>management plans </w:t>
      </w:r>
      <w:r>
        <w:rPr>
          <w:w w:val="105"/>
          <w:sz w:val="21"/>
        </w:rPr>
        <w:t>and </w:t>
      </w:r>
      <w:r>
        <w:rPr>
          <w:spacing w:val="-3"/>
          <w:w w:val="105"/>
          <w:sz w:val="21"/>
        </w:rPr>
        <w:t>exceptional </w:t>
      </w:r>
      <w:r>
        <w:rPr>
          <w:w w:val="105"/>
          <w:sz w:val="21"/>
        </w:rPr>
        <w:t>tree</w:t>
      </w:r>
      <w:r>
        <w:rPr>
          <w:spacing w:val="31"/>
          <w:w w:val="105"/>
          <w:sz w:val="21"/>
        </w:rPr>
        <w:t> </w:t>
      </w:r>
      <w:r>
        <w:rPr>
          <w:w w:val="105"/>
          <w:sz w:val="21"/>
        </w:rPr>
        <w:t>registers.</w:t>
      </w:r>
      <w:r>
        <w:rPr>
          <w:w w:val="105"/>
          <w:position w:val="7"/>
          <w:sz w:val="12"/>
        </w:rPr>
        <w:t>69</w:t>
      </w:r>
    </w:p>
    <w:p>
      <w:pPr>
        <w:pStyle w:val="ListParagraph"/>
        <w:numPr>
          <w:ilvl w:val="1"/>
          <w:numId w:val="42"/>
        </w:numPr>
        <w:tabs>
          <w:tab w:pos="2381" w:val="left" w:leader="none"/>
          <w:tab w:pos="2382" w:val="left" w:leader="none"/>
        </w:tabs>
        <w:spacing w:line="242" w:lineRule="auto" w:before="125" w:after="0"/>
        <w:ind w:left="2381" w:right="1760" w:hanging="794"/>
        <w:jc w:val="left"/>
        <w:rPr>
          <w:sz w:val="21"/>
        </w:rPr>
      </w:pPr>
      <w:r>
        <w:rPr>
          <w:w w:val="105"/>
          <w:sz w:val="21"/>
        </w:rPr>
        <w:t>The new Act should seek </w:t>
      </w:r>
      <w:r>
        <w:rPr>
          <w:spacing w:val="-3"/>
          <w:w w:val="105"/>
          <w:sz w:val="21"/>
        </w:rPr>
        <w:t>to balance </w:t>
      </w:r>
      <w:r>
        <w:rPr>
          <w:w w:val="105"/>
          <w:sz w:val="21"/>
        </w:rPr>
        <w:t>the </w:t>
      </w:r>
      <w:r>
        <w:rPr>
          <w:spacing w:val="-3"/>
          <w:w w:val="105"/>
          <w:sz w:val="21"/>
        </w:rPr>
        <w:t>tension </w:t>
      </w:r>
      <w:r>
        <w:rPr>
          <w:w w:val="105"/>
          <w:sz w:val="21"/>
        </w:rPr>
        <w:t>between property owners’ rights and the benefits </w:t>
      </w:r>
      <w:r>
        <w:rPr>
          <w:spacing w:val="-3"/>
          <w:w w:val="105"/>
          <w:sz w:val="21"/>
        </w:rPr>
        <w:t>to </w:t>
      </w:r>
      <w:r>
        <w:rPr>
          <w:w w:val="105"/>
          <w:sz w:val="21"/>
        </w:rPr>
        <w:t>the community of </w:t>
      </w:r>
      <w:r>
        <w:rPr>
          <w:spacing w:val="-3"/>
          <w:w w:val="105"/>
          <w:sz w:val="21"/>
        </w:rPr>
        <w:t>living </w:t>
      </w:r>
      <w:r>
        <w:rPr>
          <w:w w:val="105"/>
          <w:sz w:val="21"/>
        </w:rPr>
        <w:t>in a leafy </w:t>
      </w:r>
      <w:r>
        <w:rPr>
          <w:spacing w:val="-3"/>
          <w:w w:val="105"/>
          <w:sz w:val="21"/>
        </w:rPr>
        <w:t>environment. </w:t>
      </w:r>
      <w:r>
        <w:rPr>
          <w:w w:val="105"/>
          <w:sz w:val="21"/>
        </w:rPr>
        <w:t>This should be done on a</w:t>
      </w:r>
      <w:r>
        <w:rPr>
          <w:spacing w:val="-8"/>
          <w:w w:val="105"/>
          <w:sz w:val="21"/>
        </w:rPr>
        <w:t> </w:t>
      </w:r>
      <w:r>
        <w:rPr>
          <w:w w:val="105"/>
          <w:sz w:val="21"/>
        </w:rPr>
        <w:t>case-by-case</w:t>
      </w:r>
      <w:r>
        <w:rPr>
          <w:spacing w:val="-8"/>
          <w:w w:val="105"/>
          <w:sz w:val="21"/>
        </w:rPr>
        <w:t> </w:t>
      </w:r>
      <w:r>
        <w:rPr>
          <w:w w:val="105"/>
          <w:sz w:val="21"/>
        </w:rPr>
        <w:t>basis</w:t>
      </w:r>
      <w:r>
        <w:rPr>
          <w:spacing w:val="-8"/>
          <w:w w:val="105"/>
          <w:sz w:val="21"/>
        </w:rPr>
        <w:t> </w:t>
      </w:r>
      <w:r>
        <w:rPr>
          <w:spacing w:val="-3"/>
          <w:w w:val="105"/>
          <w:sz w:val="21"/>
        </w:rPr>
        <w:t>through</w:t>
      </w:r>
      <w:r>
        <w:rPr>
          <w:spacing w:val="-8"/>
          <w:w w:val="105"/>
          <w:sz w:val="21"/>
        </w:rPr>
        <w:t> </w:t>
      </w:r>
      <w:r>
        <w:rPr>
          <w:w w:val="105"/>
          <w:sz w:val="21"/>
        </w:rPr>
        <w:t>nonexhaustive</w:t>
      </w:r>
      <w:r>
        <w:rPr>
          <w:spacing w:val="-8"/>
          <w:w w:val="105"/>
          <w:sz w:val="21"/>
        </w:rPr>
        <w:t> </w:t>
      </w:r>
      <w:r>
        <w:rPr>
          <w:w w:val="105"/>
          <w:sz w:val="21"/>
        </w:rPr>
        <w:t>decision-making</w:t>
      </w:r>
      <w:r>
        <w:rPr>
          <w:spacing w:val="-7"/>
          <w:w w:val="105"/>
          <w:sz w:val="21"/>
        </w:rPr>
        <w:t> </w:t>
      </w:r>
      <w:r>
        <w:rPr>
          <w:spacing w:val="-3"/>
          <w:w w:val="105"/>
          <w:sz w:val="21"/>
        </w:rPr>
        <w:t>criteria</w:t>
      </w:r>
      <w:r>
        <w:rPr>
          <w:spacing w:val="-8"/>
          <w:w w:val="105"/>
          <w:sz w:val="21"/>
        </w:rPr>
        <w:t> </w:t>
      </w:r>
      <w:r>
        <w:rPr>
          <w:w w:val="105"/>
          <w:sz w:val="21"/>
        </w:rPr>
        <w:t>in</w:t>
      </w:r>
      <w:r>
        <w:rPr>
          <w:spacing w:val="-8"/>
          <w:w w:val="105"/>
          <w:sz w:val="21"/>
        </w:rPr>
        <w:t> </w:t>
      </w:r>
      <w:r>
        <w:rPr>
          <w:w w:val="105"/>
          <w:sz w:val="21"/>
        </w:rPr>
        <w:t>the</w:t>
      </w:r>
      <w:r>
        <w:rPr>
          <w:spacing w:val="-8"/>
          <w:w w:val="105"/>
          <w:sz w:val="21"/>
        </w:rPr>
        <w:t> </w:t>
      </w:r>
      <w:r>
        <w:rPr>
          <w:w w:val="105"/>
          <w:sz w:val="21"/>
        </w:rPr>
        <w:t>new</w:t>
      </w:r>
      <w:r>
        <w:rPr>
          <w:spacing w:val="-8"/>
          <w:w w:val="105"/>
          <w:sz w:val="21"/>
        </w:rPr>
        <w:t> </w:t>
      </w:r>
      <w:r>
        <w:rPr>
          <w:w w:val="105"/>
          <w:sz w:val="21"/>
        </w:rPr>
        <w:t>Act</w:t>
      </w:r>
      <w:r>
        <w:rPr>
          <w:spacing w:val="-7"/>
          <w:w w:val="105"/>
          <w:sz w:val="21"/>
        </w:rPr>
        <w:t> </w:t>
      </w:r>
      <w:r>
        <w:rPr>
          <w:spacing w:val="-3"/>
          <w:w w:val="105"/>
          <w:sz w:val="21"/>
        </w:rPr>
        <w:t>that</w:t>
      </w:r>
    </w:p>
    <w:p>
      <w:pPr>
        <w:pStyle w:val="BodyText"/>
        <w:spacing w:line="242" w:lineRule="auto" w:before="3"/>
        <w:ind w:left="2381" w:right="1558"/>
        <w:rPr>
          <w:sz w:val="12"/>
        </w:rPr>
      </w:pPr>
      <w:r>
        <w:rPr>
          <w:spacing w:val="-3"/>
          <w:w w:val="105"/>
        </w:rPr>
        <w:t>recognise</w:t>
      </w:r>
      <w:r>
        <w:rPr>
          <w:spacing w:val="-12"/>
          <w:w w:val="105"/>
        </w:rPr>
        <w:t> </w:t>
      </w:r>
      <w:r>
        <w:rPr>
          <w:w w:val="105"/>
        </w:rPr>
        <w:t>the</w:t>
      </w:r>
      <w:r>
        <w:rPr>
          <w:spacing w:val="-11"/>
          <w:w w:val="105"/>
        </w:rPr>
        <w:t> </w:t>
      </w:r>
      <w:r>
        <w:rPr>
          <w:w w:val="105"/>
        </w:rPr>
        <w:t>broader</w:t>
      </w:r>
      <w:r>
        <w:rPr>
          <w:spacing w:val="-11"/>
          <w:w w:val="105"/>
        </w:rPr>
        <w:t> </w:t>
      </w:r>
      <w:r>
        <w:rPr>
          <w:spacing w:val="-3"/>
          <w:w w:val="105"/>
        </w:rPr>
        <w:t>intrinsic</w:t>
      </w:r>
      <w:r>
        <w:rPr>
          <w:spacing w:val="-11"/>
          <w:w w:val="105"/>
        </w:rPr>
        <w:t> </w:t>
      </w:r>
      <w:r>
        <w:rPr>
          <w:w w:val="105"/>
        </w:rPr>
        <w:t>benefits</w:t>
      </w:r>
      <w:r>
        <w:rPr>
          <w:spacing w:val="-11"/>
          <w:w w:val="105"/>
        </w:rPr>
        <w:t> </w:t>
      </w:r>
      <w:r>
        <w:rPr>
          <w:w w:val="105"/>
        </w:rPr>
        <w:t>of</w:t>
      </w:r>
      <w:r>
        <w:rPr>
          <w:spacing w:val="-11"/>
          <w:w w:val="105"/>
        </w:rPr>
        <w:t> </w:t>
      </w:r>
      <w:r>
        <w:rPr>
          <w:w w:val="105"/>
        </w:rPr>
        <w:t>trees</w:t>
      </w:r>
      <w:r>
        <w:rPr>
          <w:spacing w:val="-11"/>
          <w:w w:val="105"/>
        </w:rPr>
        <w:t> </w:t>
      </w:r>
      <w:r>
        <w:rPr>
          <w:spacing w:val="-3"/>
          <w:w w:val="105"/>
        </w:rPr>
        <w:t>(for</w:t>
      </w:r>
      <w:r>
        <w:rPr>
          <w:spacing w:val="-11"/>
          <w:w w:val="105"/>
        </w:rPr>
        <w:t> </w:t>
      </w:r>
      <w:r>
        <w:rPr>
          <w:spacing w:val="-3"/>
          <w:w w:val="105"/>
        </w:rPr>
        <w:t>example,</w:t>
      </w:r>
      <w:r>
        <w:rPr>
          <w:spacing w:val="-11"/>
          <w:w w:val="105"/>
        </w:rPr>
        <w:t> </w:t>
      </w:r>
      <w:r>
        <w:rPr>
          <w:spacing w:val="-3"/>
          <w:w w:val="105"/>
        </w:rPr>
        <w:t>that</w:t>
      </w:r>
      <w:r>
        <w:rPr>
          <w:spacing w:val="-11"/>
          <w:w w:val="105"/>
        </w:rPr>
        <w:t> </w:t>
      </w:r>
      <w:r>
        <w:rPr>
          <w:w w:val="105"/>
        </w:rPr>
        <w:t>trees</w:t>
      </w:r>
      <w:r>
        <w:rPr>
          <w:spacing w:val="-11"/>
          <w:w w:val="105"/>
        </w:rPr>
        <w:t> </w:t>
      </w:r>
      <w:r>
        <w:rPr>
          <w:w w:val="105"/>
        </w:rPr>
        <w:t>provide</w:t>
      </w:r>
      <w:r>
        <w:rPr>
          <w:spacing w:val="-11"/>
          <w:w w:val="105"/>
        </w:rPr>
        <w:t> </w:t>
      </w:r>
      <w:r>
        <w:rPr>
          <w:w w:val="105"/>
        </w:rPr>
        <w:t>shade</w:t>
      </w:r>
      <w:r>
        <w:rPr>
          <w:spacing w:val="-11"/>
          <w:w w:val="105"/>
        </w:rPr>
        <w:t> </w:t>
      </w:r>
      <w:r>
        <w:rPr>
          <w:w w:val="105"/>
        </w:rPr>
        <w:t>and </w:t>
      </w:r>
      <w:r>
        <w:rPr>
          <w:spacing w:val="-3"/>
          <w:w w:val="105"/>
        </w:rPr>
        <w:t>natural</w:t>
      </w:r>
      <w:r>
        <w:rPr>
          <w:spacing w:val="5"/>
          <w:w w:val="105"/>
        </w:rPr>
        <w:t> </w:t>
      </w:r>
      <w:r>
        <w:rPr>
          <w:spacing w:val="-3"/>
          <w:w w:val="105"/>
        </w:rPr>
        <w:t>cooling).</w:t>
      </w:r>
      <w:r>
        <w:rPr>
          <w:spacing w:val="-3"/>
          <w:w w:val="105"/>
          <w:position w:val="7"/>
          <w:sz w:val="12"/>
        </w:rPr>
        <w:t>70</w:t>
      </w:r>
    </w:p>
    <w:p>
      <w:pPr>
        <w:pStyle w:val="ListParagraph"/>
        <w:numPr>
          <w:ilvl w:val="1"/>
          <w:numId w:val="42"/>
        </w:numPr>
        <w:tabs>
          <w:tab w:pos="2381" w:val="left" w:leader="none"/>
          <w:tab w:pos="2382" w:val="left" w:leader="none"/>
        </w:tabs>
        <w:spacing w:line="242" w:lineRule="auto" w:before="122" w:after="0"/>
        <w:ind w:left="2381" w:right="2372" w:hanging="794"/>
        <w:jc w:val="left"/>
        <w:rPr>
          <w:sz w:val="21"/>
        </w:rPr>
      </w:pPr>
      <w:r>
        <w:rPr>
          <w:w w:val="105"/>
          <w:sz w:val="21"/>
        </w:rPr>
        <w:t>More </w:t>
      </w:r>
      <w:r>
        <w:rPr>
          <w:spacing w:val="-3"/>
          <w:w w:val="105"/>
          <w:sz w:val="21"/>
        </w:rPr>
        <w:t>minor interference such </w:t>
      </w:r>
      <w:r>
        <w:rPr>
          <w:w w:val="105"/>
          <w:sz w:val="21"/>
        </w:rPr>
        <w:t>as leaf litter and the </w:t>
      </w:r>
      <w:r>
        <w:rPr>
          <w:spacing w:val="-3"/>
          <w:w w:val="105"/>
          <w:sz w:val="21"/>
        </w:rPr>
        <w:t>dropping </w:t>
      </w:r>
      <w:r>
        <w:rPr>
          <w:w w:val="105"/>
          <w:sz w:val="21"/>
        </w:rPr>
        <w:t>of </w:t>
      </w:r>
      <w:r>
        <w:rPr>
          <w:spacing w:val="-3"/>
          <w:w w:val="105"/>
          <w:sz w:val="21"/>
        </w:rPr>
        <w:t>fruit </w:t>
      </w:r>
      <w:r>
        <w:rPr>
          <w:w w:val="105"/>
          <w:sz w:val="21"/>
        </w:rPr>
        <w:t>should </w:t>
      </w:r>
      <w:r>
        <w:rPr>
          <w:spacing w:val="-2"/>
          <w:w w:val="105"/>
          <w:sz w:val="21"/>
        </w:rPr>
        <w:t>not </w:t>
      </w:r>
      <w:r>
        <w:rPr>
          <w:w w:val="105"/>
          <w:sz w:val="21"/>
        </w:rPr>
        <w:t>be</w:t>
      </w:r>
      <w:r>
        <w:rPr>
          <w:spacing w:val="-6"/>
          <w:w w:val="105"/>
          <w:sz w:val="21"/>
        </w:rPr>
        <w:t> </w:t>
      </w:r>
      <w:r>
        <w:rPr>
          <w:w w:val="105"/>
          <w:sz w:val="21"/>
        </w:rPr>
        <w:t>actionable.</w:t>
      </w:r>
      <w:r>
        <w:rPr>
          <w:spacing w:val="-5"/>
          <w:w w:val="105"/>
          <w:sz w:val="21"/>
        </w:rPr>
        <w:t> </w:t>
      </w:r>
      <w:r>
        <w:rPr>
          <w:spacing w:val="-3"/>
          <w:w w:val="105"/>
          <w:sz w:val="21"/>
        </w:rPr>
        <w:t>Such</w:t>
      </w:r>
      <w:r>
        <w:rPr>
          <w:spacing w:val="-5"/>
          <w:w w:val="105"/>
          <w:sz w:val="21"/>
        </w:rPr>
        <w:t> </w:t>
      </w:r>
      <w:r>
        <w:rPr>
          <w:w w:val="105"/>
          <w:sz w:val="21"/>
        </w:rPr>
        <w:t>issues</w:t>
      </w:r>
      <w:r>
        <w:rPr>
          <w:spacing w:val="-5"/>
          <w:w w:val="105"/>
          <w:sz w:val="21"/>
        </w:rPr>
        <w:t> </w:t>
      </w:r>
      <w:r>
        <w:rPr>
          <w:w w:val="105"/>
          <w:sz w:val="21"/>
        </w:rPr>
        <w:t>should</w:t>
      </w:r>
      <w:r>
        <w:rPr>
          <w:spacing w:val="-5"/>
          <w:w w:val="105"/>
          <w:sz w:val="21"/>
        </w:rPr>
        <w:t> </w:t>
      </w:r>
      <w:r>
        <w:rPr>
          <w:w w:val="105"/>
          <w:sz w:val="21"/>
        </w:rPr>
        <w:t>be</w:t>
      </w:r>
      <w:r>
        <w:rPr>
          <w:spacing w:val="-6"/>
          <w:w w:val="105"/>
          <w:sz w:val="21"/>
        </w:rPr>
        <w:t> </w:t>
      </w:r>
      <w:r>
        <w:rPr>
          <w:w w:val="105"/>
          <w:sz w:val="21"/>
        </w:rPr>
        <w:t>an</w:t>
      </w:r>
      <w:r>
        <w:rPr>
          <w:spacing w:val="-5"/>
          <w:w w:val="105"/>
          <w:sz w:val="21"/>
        </w:rPr>
        <w:t> </w:t>
      </w:r>
      <w:r>
        <w:rPr>
          <w:w w:val="105"/>
          <w:sz w:val="21"/>
        </w:rPr>
        <w:t>assumed</w:t>
      </w:r>
      <w:r>
        <w:rPr>
          <w:spacing w:val="-5"/>
          <w:w w:val="105"/>
          <w:sz w:val="21"/>
        </w:rPr>
        <w:t> </w:t>
      </w:r>
      <w:r>
        <w:rPr>
          <w:spacing w:val="-3"/>
          <w:w w:val="105"/>
          <w:sz w:val="21"/>
        </w:rPr>
        <w:t>natural</w:t>
      </w:r>
      <w:r>
        <w:rPr>
          <w:spacing w:val="-5"/>
          <w:w w:val="105"/>
          <w:sz w:val="21"/>
        </w:rPr>
        <w:t> </w:t>
      </w:r>
      <w:r>
        <w:rPr>
          <w:spacing w:val="-3"/>
          <w:w w:val="105"/>
          <w:sz w:val="21"/>
        </w:rPr>
        <w:t>consequence</w:t>
      </w:r>
      <w:r>
        <w:rPr>
          <w:spacing w:val="-5"/>
          <w:w w:val="105"/>
          <w:sz w:val="21"/>
        </w:rPr>
        <w:t> </w:t>
      </w:r>
      <w:r>
        <w:rPr>
          <w:w w:val="105"/>
          <w:sz w:val="21"/>
        </w:rPr>
        <w:t>of</w:t>
      </w:r>
      <w:r>
        <w:rPr>
          <w:spacing w:val="-6"/>
          <w:w w:val="105"/>
          <w:sz w:val="21"/>
        </w:rPr>
        <w:t> </w:t>
      </w:r>
      <w:r>
        <w:rPr>
          <w:spacing w:val="-3"/>
          <w:w w:val="105"/>
          <w:sz w:val="21"/>
        </w:rPr>
        <w:t>living</w:t>
      </w:r>
      <w:r>
        <w:rPr>
          <w:spacing w:val="-5"/>
          <w:w w:val="105"/>
          <w:sz w:val="21"/>
        </w:rPr>
        <w:t> </w:t>
      </w:r>
      <w:r>
        <w:rPr>
          <w:w w:val="105"/>
          <w:sz w:val="21"/>
        </w:rPr>
        <w:t>in</w:t>
      </w:r>
    </w:p>
    <w:p>
      <w:pPr>
        <w:pStyle w:val="BodyText"/>
        <w:spacing w:line="242" w:lineRule="auto" w:before="2"/>
        <w:ind w:left="2381" w:right="1755"/>
      </w:pPr>
      <w:r>
        <w:rPr>
          <w:w w:val="105"/>
        </w:rPr>
        <w:t>neighbourhoods with trees. This is the approach </w:t>
      </w:r>
      <w:r>
        <w:rPr>
          <w:spacing w:val="-3"/>
          <w:w w:val="105"/>
        </w:rPr>
        <w:t>taken </w:t>
      </w:r>
      <w:r>
        <w:rPr>
          <w:w w:val="105"/>
        </w:rPr>
        <w:t>by </w:t>
      </w:r>
      <w:r>
        <w:rPr>
          <w:spacing w:val="-3"/>
          <w:w w:val="105"/>
        </w:rPr>
        <w:t>various </w:t>
      </w:r>
      <w:r>
        <w:rPr>
          <w:w w:val="105"/>
        </w:rPr>
        <w:t>local </w:t>
      </w:r>
      <w:r>
        <w:rPr>
          <w:spacing w:val="-4"/>
          <w:w w:val="105"/>
        </w:rPr>
        <w:t>councils</w:t>
      </w:r>
      <w:r>
        <w:rPr>
          <w:spacing w:val="-4"/>
          <w:w w:val="105"/>
          <w:position w:val="7"/>
          <w:sz w:val="12"/>
        </w:rPr>
        <w:t>71 </w:t>
      </w:r>
      <w:r>
        <w:rPr>
          <w:w w:val="105"/>
        </w:rPr>
        <w:t>and the</w:t>
      </w:r>
      <w:r>
        <w:rPr>
          <w:spacing w:val="-11"/>
          <w:w w:val="105"/>
        </w:rPr>
        <w:t> </w:t>
      </w:r>
      <w:r>
        <w:rPr>
          <w:w w:val="105"/>
        </w:rPr>
        <w:t>approach</w:t>
      </w:r>
      <w:r>
        <w:rPr>
          <w:spacing w:val="-11"/>
          <w:w w:val="105"/>
        </w:rPr>
        <w:t> </w:t>
      </w:r>
      <w:r>
        <w:rPr>
          <w:spacing w:val="-3"/>
          <w:w w:val="105"/>
        </w:rPr>
        <w:t>interstate.</w:t>
      </w:r>
      <w:r>
        <w:rPr>
          <w:spacing w:val="-3"/>
          <w:w w:val="105"/>
          <w:position w:val="7"/>
          <w:sz w:val="12"/>
        </w:rPr>
        <w:t>72</w:t>
      </w:r>
      <w:r>
        <w:rPr>
          <w:spacing w:val="12"/>
          <w:w w:val="105"/>
          <w:position w:val="7"/>
          <w:sz w:val="12"/>
        </w:rPr>
        <w:t> </w:t>
      </w:r>
      <w:r>
        <w:rPr>
          <w:spacing w:val="-5"/>
          <w:w w:val="105"/>
        </w:rPr>
        <w:t>Tree</w:t>
      </w:r>
      <w:r>
        <w:rPr>
          <w:spacing w:val="-11"/>
          <w:w w:val="105"/>
        </w:rPr>
        <w:t> </w:t>
      </w:r>
      <w:r>
        <w:rPr>
          <w:spacing w:val="-3"/>
          <w:w w:val="105"/>
        </w:rPr>
        <w:t>disputes</w:t>
      </w:r>
      <w:r>
        <w:rPr>
          <w:spacing w:val="-11"/>
          <w:w w:val="105"/>
        </w:rPr>
        <w:t> </w:t>
      </w:r>
      <w:r>
        <w:rPr>
          <w:spacing w:val="-3"/>
          <w:w w:val="105"/>
        </w:rPr>
        <w:t>relating</w:t>
      </w:r>
      <w:r>
        <w:rPr>
          <w:spacing w:val="-11"/>
          <w:w w:val="105"/>
        </w:rPr>
        <w:t> </w:t>
      </w:r>
      <w:r>
        <w:rPr>
          <w:spacing w:val="-3"/>
          <w:w w:val="105"/>
        </w:rPr>
        <w:t>to</w:t>
      </w:r>
      <w:r>
        <w:rPr>
          <w:spacing w:val="-11"/>
          <w:w w:val="105"/>
        </w:rPr>
        <w:t> </w:t>
      </w:r>
      <w:r>
        <w:rPr>
          <w:spacing w:val="-3"/>
          <w:w w:val="105"/>
        </w:rPr>
        <w:t>minor</w:t>
      </w:r>
      <w:r>
        <w:rPr>
          <w:spacing w:val="-11"/>
          <w:w w:val="105"/>
        </w:rPr>
        <w:t> </w:t>
      </w:r>
      <w:r>
        <w:rPr>
          <w:spacing w:val="-3"/>
          <w:w w:val="105"/>
        </w:rPr>
        <w:t>interference</w:t>
      </w:r>
      <w:r>
        <w:rPr>
          <w:spacing w:val="-10"/>
          <w:w w:val="105"/>
        </w:rPr>
        <w:t> </w:t>
      </w:r>
      <w:r>
        <w:rPr>
          <w:w w:val="105"/>
        </w:rPr>
        <w:t>should</w:t>
      </w:r>
      <w:r>
        <w:rPr>
          <w:spacing w:val="-11"/>
          <w:w w:val="105"/>
        </w:rPr>
        <w:t> </w:t>
      </w:r>
      <w:r>
        <w:rPr>
          <w:w w:val="105"/>
        </w:rPr>
        <w:t>be</w:t>
      </w:r>
      <w:r>
        <w:rPr>
          <w:spacing w:val="-11"/>
          <w:w w:val="105"/>
        </w:rPr>
        <w:t> </w:t>
      </w:r>
      <w:r>
        <w:rPr>
          <w:w w:val="105"/>
        </w:rPr>
        <w:t>resolved</w:t>
      </w:r>
    </w:p>
    <w:p>
      <w:pPr>
        <w:pStyle w:val="BodyText"/>
        <w:spacing w:line="242" w:lineRule="auto" w:before="2"/>
        <w:ind w:left="2381" w:right="1750"/>
      </w:pPr>
      <w:r>
        <w:rPr>
          <w:spacing w:val="-3"/>
        </w:rPr>
        <w:t>informally </w:t>
      </w:r>
      <w:r>
        <w:rPr/>
        <w:t>and should only </w:t>
      </w:r>
      <w:r>
        <w:rPr>
          <w:spacing w:val="-3"/>
        </w:rPr>
        <w:t>require remedial  </w:t>
      </w:r>
      <w:r>
        <w:rPr/>
        <w:t>action via a </w:t>
      </w:r>
      <w:r>
        <w:rPr>
          <w:spacing w:val="-3"/>
        </w:rPr>
        <w:t>formal</w:t>
      </w:r>
      <w:r>
        <w:rPr>
          <w:spacing w:val="41"/>
        </w:rPr>
        <w:t> </w:t>
      </w:r>
      <w:r>
        <w:rPr>
          <w:spacing w:val="-3"/>
        </w:rPr>
        <w:t>dispute  </w:t>
      </w:r>
      <w:r>
        <w:rPr/>
        <w:t>resolution </w:t>
      </w:r>
      <w:r>
        <w:rPr>
          <w:spacing w:val="-3"/>
        </w:rPr>
        <w:t>pathway  </w:t>
      </w:r>
      <w:r>
        <w:rPr/>
        <w:t>if</w:t>
      </w:r>
      <w:r>
        <w:rPr>
          <w:spacing w:val="15"/>
        </w:rPr>
        <w:t> </w:t>
      </w:r>
      <w:r>
        <w:rPr/>
        <w:t>they</w:t>
      </w:r>
      <w:r>
        <w:rPr>
          <w:spacing w:val="16"/>
        </w:rPr>
        <w:t> </w:t>
      </w:r>
      <w:r>
        <w:rPr/>
        <w:t>meet</w:t>
      </w:r>
      <w:r>
        <w:rPr>
          <w:spacing w:val="15"/>
        </w:rPr>
        <w:t> </w:t>
      </w:r>
      <w:r>
        <w:rPr/>
        <w:t>the</w:t>
      </w:r>
      <w:r>
        <w:rPr>
          <w:spacing w:val="16"/>
        </w:rPr>
        <w:t> </w:t>
      </w:r>
      <w:r>
        <w:rPr/>
        <w:t>damage</w:t>
      </w:r>
      <w:r>
        <w:rPr>
          <w:spacing w:val="15"/>
        </w:rPr>
        <w:t> </w:t>
      </w:r>
      <w:r>
        <w:rPr/>
        <w:t>or</w:t>
      </w:r>
      <w:r>
        <w:rPr>
          <w:spacing w:val="16"/>
        </w:rPr>
        <w:t> </w:t>
      </w:r>
      <w:r>
        <w:rPr>
          <w:spacing w:val="-3"/>
        </w:rPr>
        <w:t>harm</w:t>
      </w:r>
      <w:r>
        <w:rPr>
          <w:spacing w:val="15"/>
        </w:rPr>
        <w:t> </w:t>
      </w:r>
      <w:r>
        <w:rPr>
          <w:spacing w:val="-3"/>
        </w:rPr>
        <w:t>requirements</w:t>
      </w:r>
      <w:r>
        <w:rPr>
          <w:spacing w:val="16"/>
        </w:rPr>
        <w:t> </w:t>
      </w:r>
      <w:r>
        <w:rPr/>
        <w:t>under</w:t>
      </w:r>
      <w:r>
        <w:rPr>
          <w:spacing w:val="16"/>
        </w:rPr>
        <w:t> </w:t>
      </w:r>
      <w:r>
        <w:rPr/>
        <w:t>the</w:t>
      </w:r>
      <w:r>
        <w:rPr>
          <w:spacing w:val="15"/>
        </w:rPr>
        <w:t> </w:t>
      </w:r>
      <w:r>
        <w:rPr/>
        <w:t>new</w:t>
      </w:r>
      <w:r>
        <w:rPr>
          <w:spacing w:val="16"/>
        </w:rPr>
        <w:t> </w:t>
      </w:r>
      <w:r>
        <w:rPr/>
        <w:t>Act.</w:t>
      </w:r>
      <w:r>
        <w:rPr>
          <w:spacing w:val="15"/>
        </w:rPr>
        <w:t> </w:t>
      </w:r>
      <w:r>
        <w:rPr/>
        <w:t>See</w:t>
      </w:r>
      <w:r>
        <w:rPr>
          <w:spacing w:val="16"/>
        </w:rPr>
        <w:t> </w:t>
      </w:r>
      <w:r>
        <w:rPr>
          <w:spacing w:val="-4"/>
        </w:rPr>
        <w:t>Chapter</w:t>
      </w:r>
      <w:r>
        <w:rPr>
          <w:spacing w:val="15"/>
        </w:rPr>
        <w:t> </w:t>
      </w:r>
      <w:r>
        <w:rPr/>
        <w:t>5.</w:t>
      </w:r>
    </w:p>
    <w:p>
      <w:pPr>
        <w:pStyle w:val="BodyText"/>
        <w:spacing w:before="3"/>
        <w:rPr>
          <w:sz w:val="20"/>
        </w:rPr>
      </w:pPr>
    </w:p>
    <w:p>
      <w:pPr>
        <w:pStyle w:val="Heading5"/>
      </w:pPr>
      <w:r>
        <w:rPr>
          <w:w w:val="110"/>
        </w:rPr>
        <w:t>Use expert decision makers and expert evidence</w:t>
      </w:r>
    </w:p>
    <w:p>
      <w:pPr>
        <w:pStyle w:val="ListParagraph"/>
        <w:numPr>
          <w:ilvl w:val="1"/>
          <w:numId w:val="42"/>
        </w:numPr>
        <w:tabs>
          <w:tab w:pos="2381" w:val="left" w:leader="none"/>
          <w:tab w:pos="2382" w:val="left" w:leader="none"/>
        </w:tabs>
        <w:spacing w:line="242" w:lineRule="auto" w:before="137" w:after="0"/>
        <w:ind w:left="2381" w:right="1584" w:hanging="794"/>
        <w:jc w:val="left"/>
        <w:rPr>
          <w:sz w:val="21"/>
        </w:rPr>
      </w:pPr>
      <w:r>
        <w:rPr>
          <w:spacing w:val="-5"/>
          <w:sz w:val="21"/>
        </w:rPr>
        <w:t>VCAT </w:t>
      </w:r>
      <w:r>
        <w:rPr>
          <w:spacing w:val="-3"/>
          <w:sz w:val="21"/>
        </w:rPr>
        <w:t>hearings </w:t>
      </w:r>
      <w:r>
        <w:rPr>
          <w:sz w:val="21"/>
        </w:rPr>
        <w:t>should be </w:t>
      </w:r>
      <w:r>
        <w:rPr>
          <w:spacing w:val="-3"/>
          <w:sz w:val="21"/>
        </w:rPr>
        <w:t>informed </w:t>
      </w:r>
      <w:r>
        <w:rPr>
          <w:sz w:val="21"/>
        </w:rPr>
        <w:t>by  </w:t>
      </w:r>
      <w:r>
        <w:rPr>
          <w:spacing w:val="-3"/>
          <w:sz w:val="21"/>
        </w:rPr>
        <w:t>arboricultural  </w:t>
      </w:r>
      <w:r>
        <w:rPr>
          <w:sz w:val="21"/>
        </w:rPr>
        <w:t>evidence  </w:t>
      </w:r>
      <w:r>
        <w:rPr>
          <w:spacing w:val="-3"/>
          <w:sz w:val="21"/>
        </w:rPr>
        <w:t>that  explains  </w:t>
      </w:r>
      <w:r>
        <w:rPr>
          <w:sz w:val="21"/>
        </w:rPr>
        <w:t>whether  the tree is the </w:t>
      </w:r>
      <w:r>
        <w:rPr>
          <w:spacing w:val="-3"/>
          <w:sz w:val="21"/>
        </w:rPr>
        <w:t>real </w:t>
      </w:r>
      <w:r>
        <w:rPr>
          <w:sz w:val="21"/>
        </w:rPr>
        <w:t>cause of the damage or </w:t>
      </w:r>
      <w:r>
        <w:rPr>
          <w:spacing w:val="-3"/>
          <w:sz w:val="21"/>
        </w:rPr>
        <w:t>harm. </w:t>
      </w:r>
      <w:r>
        <w:rPr>
          <w:sz w:val="21"/>
        </w:rPr>
        <w:t>The </w:t>
      </w:r>
      <w:r>
        <w:rPr>
          <w:spacing w:val="-3"/>
          <w:sz w:val="21"/>
        </w:rPr>
        <w:t>Commission recommends </w:t>
      </w:r>
      <w:r>
        <w:rPr>
          <w:sz w:val="21"/>
        </w:rPr>
        <w:t>the use of members with </w:t>
      </w:r>
      <w:r>
        <w:rPr>
          <w:spacing w:val="-3"/>
          <w:sz w:val="21"/>
        </w:rPr>
        <w:t>arboricultural  </w:t>
      </w:r>
      <w:r>
        <w:rPr>
          <w:sz w:val="21"/>
        </w:rPr>
        <w:t>experience </w:t>
      </w:r>
      <w:r>
        <w:rPr>
          <w:spacing w:val="-3"/>
          <w:sz w:val="21"/>
        </w:rPr>
        <w:t>to</w:t>
      </w:r>
      <w:r>
        <w:rPr>
          <w:spacing w:val="41"/>
          <w:sz w:val="21"/>
        </w:rPr>
        <w:t> </w:t>
      </w:r>
      <w:r>
        <w:rPr>
          <w:spacing w:val="-3"/>
          <w:sz w:val="21"/>
        </w:rPr>
        <w:t>adjudicate  </w:t>
      </w:r>
      <w:r>
        <w:rPr>
          <w:sz w:val="21"/>
        </w:rPr>
        <w:t>tree </w:t>
      </w:r>
      <w:r>
        <w:rPr>
          <w:spacing w:val="-3"/>
          <w:sz w:val="21"/>
        </w:rPr>
        <w:t>dispute  hearings  </w:t>
      </w:r>
      <w:r>
        <w:rPr>
          <w:sz w:val="21"/>
        </w:rPr>
        <w:t>at </w:t>
      </w:r>
      <w:r>
        <w:rPr>
          <w:spacing w:val="-8"/>
          <w:sz w:val="21"/>
        </w:rPr>
        <w:t>VCAT.  </w:t>
      </w:r>
      <w:r>
        <w:rPr>
          <w:sz w:val="21"/>
        </w:rPr>
        <w:t>This   is the approach </w:t>
      </w:r>
      <w:r>
        <w:rPr>
          <w:spacing w:val="-3"/>
          <w:sz w:val="21"/>
        </w:rPr>
        <w:t>taken  </w:t>
      </w:r>
      <w:r>
        <w:rPr>
          <w:sz w:val="21"/>
        </w:rPr>
        <w:t>by the NSWLEC. </w:t>
      </w:r>
      <w:r>
        <w:rPr>
          <w:spacing w:val="-3"/>
          <w:sz w:val="21"/>
        </w:rPr>
        <w:t>Alternatively,</w:t>
      </w:r>
      <w:r>
        <w:rPr>
          <w:spacing w:val="41"/>
          <w:sz w:val="21"/>
        </w:rPr>
        <w:t> </w:t>
      </w:r>
      <w:r>
        <w:rPr>
          <w:sz w:val="21"/>
        </w:rPr>
        <w:t>an </w:t>
      </w:r>
      <w:r>
        <w:rPr>
          <w:spacing w:val="-3"/>
          <w:sz w:val="21"/>
        </w:rPr>
        <w:t>arboricultural  </w:t>
      </w:r>
      <w:r>
        <w:rPr>
          <w:sz w:val="21"/>
        </w:rPr>
        <w:t>expert qualified </w:t>
      </w:r>
      <w:r>
        <w:rPr>
          <w:spacing w:val="-3"/>
          <w:sz w:val="21"/>
        </w:rPr>
        <w:t>to     </w:t>
      </w:r>
      <w:r>
        <w:rPr>
          <w:sz w:val="21"/>
        </w:rPr>
        <w:t>at least AQF Level 5 or </w:t>
      </w:r>
      <w:r>
        <w:rPr>
          <w:spacing w:val="-3"/>
          <w:sz w:val="21"/>
        </w:rPr>
        <w:t>equivalent  </w:t>
      </w:r>
      <w:r>
        <w:rPr>
          <w:sz w:val="21"/>
        </w:rPr>
        <w:t>should be </w:t>
      </w:r>
      <w:r>
        <w:rPr>
          <w:spacing w:val="-3"/>
          <w:sz w:val="21"/>
        </w:rPr>
        <w:t>appointed</w:t>
      </w:r>
      <w:r>
        <w:rPr>
          <w:spacing w:val="41"/>
          <w:sz w:val="21"/>
        </w:rPr>
        <w:t> </w:t>
      </w:r>
      <w:r>
        <w:rPr>
          <w:sz w:val="21"/>
        </w:rPr>
        <w:t>by </w:t>
      </w:r>
      <w:r>
        <w:rPr>
          <w:spacing w:val="-5"/>
          <w:sz w:val="21"/>
        </w:rPr>
        <w:t>VCAT  </w:t>
      </w:r>
      <w:r>
        <w:rPr>
          <w:sz w:val="21"/>
        </w:rPr>
        <w:t>as a </w:t>
      </w:r>
      <w:r>
        <w:rPr>
          <w:spacing w:val="-3"/>
          <w:sz w:val="21"/>
        </w:rPr>
        <w:t>joint  </w:t>
      </w:r>
      <w:r>
        <w:rPr>
          <w:sz w:val="21"/>
        </w:rPr>
        <w:t>expert, with      the cost of </w:t>
      </w:r>
      <w:r>
        <w:rPr>
          <w:spacing w:val="-3"/>
          <w:sz w:val="21"/>
        </w:rPr>
        <w:t>that shared equally </w:t>
      </w:r>
      <w:r>
        <w:rPr>
          <w:sz w:val="21"/>
        </w:rPr>
        <w:t>by the parties. This is the approach </w:t>
      </w:r>
      <w:r>
        <w:rPr>
          <w:spacing w:val="-3"/>
          <w:sz w:val="21"/>
        </w:rPr>
        <w:t>taken </w:t>
      </w:r>
      <w:r>
        <w:rPr>
          <w:sz w:val="21"/>
        </w:rPr>
        <w:t>by </w:t>
      </w:r>
      <w:r>
        <w:rPr>
          <w:spacing w:val="-7"/>
          <w:sz w:val="21"/>
        </w:rPr>
        <w:t>QCAT. </w:t>
      </w:r>
      <w:r>
        <w:rPr>
          <w:sz w:val="21"/>
        </w:rPr>
        <w:t>The </w:t>
      </w:r>
      <w:r>
        <w:rPr>
          <w:spacing w:val="-3"/>
          <w:sz w:val="21"/>
        </w:rPr>
        <w:t>Commission </w:t>
      </w:r>
      <w:r>
        <w:rPr>
          <w:sz w:val="21"/>
        </w:rPr>
        <w:t>also </w:t>
      </w:r>
      <w:r>
        <w:rPr>
          <w:spacing w:val="-3"/>
          <w:sz w:val="21"/>
        </w:rPr>
        <w:t>recommends </w:t>
      </w:r>
      <w:r>
        <w:rPr>
          <w:sz w:val="21"/>
        </w:rPr>
        <w:t>the use of on-site </w:t>
      </w:r>
      <w:r>
        <w:rPr>
          <w:spacing w:val="-3"/>
          <w:sz w:val="21"/>
        </w:rPr>
        <w:t>hearings </w:t>
      </w:r>
      <w:r>
        <w:rPr>
          <w:sz w:val="21"/>
        </w:rPr>
        <w:t>or </w:t>
      </w:r>
      <w:r>
        <w:rPr>
          <w:spacing w:val="-3"/>
          <w:sz w:val="21"/>
        </w:rPr>
        <w:t>onsite </w:t>
      </w:r>
      <w:r>
        <w:rPr>
          <w:sz w:val="21"/>
        </w:rPr>
        <w:t>inspections by </w:t>
      </w:r>
      <w:r>
        <w:rPr>
          <w:spacing w:val="-5"/>
          <w:sz w:val="21"/>
        </w:rPr>
        <w:t>Tribunal </w:t>
      </w:r>
      <w:r>
        <w:rPr>
          <w:sz w:val="21"/>
        </w:rPr>
        <w:t>members </w:t>
      </w:r>
      <w:r>
        <w:rPr>
          <w:spacing w:val="-3"/>
          <w:sz w:val="21"/>
        </w:rPr>
        <w:t>to </w:t>
      </w:r>
      <w:r>
        <w:rPr>
          <w:sz w:val="21"/>
        </w:rPr>
        <w:t>check the parties’ </w:t>
      </w:r>
      <w:r>
        <w:rPr>
          <w:spacing w:val="-3"/>
          <w:sz w:val="21"/>
        </w:rPr>
        <w:t>concerns </w:t>
      </w:r>
      <w:r>
        <w:rPr>
          <w:sz w:val="21"/>
        </w:rPr>
        <w:t>and </w:t>
      </w:r>
      <w:r>
        <w:rPr>
          <w:spacing w:val="-3"/>
          <w:sz w:val="21"/>
        </w:rPr>
        <w:t>positions </w:t>
      </w:r>
      <w:r>
        <w:rPr>
          <w:sz w:val="21"/>
        </w:rPr>
        <w:t>in  the  context  of  the  physical </w:t>
      </w:r>
      <w:r>
        <w:rPr>
          <w:spacing w:val="-3"/>
          <w:sz w:val="21"/>
        </w:rPr>
        <w:t>realities </w:t>
      </w:r>
      <w:r>
        <w:rPr>
          <w:sz w:val="21"/>
        </w:rPr>
        <w:t>of the</w:t>
      </w:r>
      <w:r>
        <w:rPr>
          <w:spacing w:val="27"/>
          <w:sz w:val="21"/>
        </w:rPr>
        <w:t> </w:t>
      </w:r>
      <w:r>
        <w:rPr>
          <w:spacing w:val="-3"/>
          <w:sz w:val="21"/>
        </w:rPr>
        <w:t>tree.</w:t>
      </w:r>
    </w:p>
    <w:p>
      <w:pPr>
        <w:pStyle w:val="ListParagraph"/>
        <w:numPr>
          <w:ilvl w:val="1"/>
          <w:numId w:val="42"/>
        </w:numPr>
        <w:tabs>
          <w:tab w:pos="2381" w:val="left" w:leader="none"/>
          <w:tab w:pos="2382" w:val="left" w:leader="none"/>
        </w:tabs>
        <w:spacing w:line="242" w:lineRule="auto" w:before="130" w:after="0"/>
        <w:ind w:left="2381" w:right="1727" w:hanging="794"/>
        <w:jc w:val="left"/>
        <w:rPr>
          <w:sz w:val="21"/>
        </w:rPr>
      </w:pPr>
      <w:r>
        <w:rPr>
          <w:spacing w:val="-3"/>
          <w:w w:val="105"/>
          <w:sz w:val="21"/>
        </w:rPr>
        <w:t>Arborists who </w:t>
      </w:r>
      <w:r>
        <w:rPr>
          <w:spacing w:val="-4"/>
          <w:w w:val="105"/>
          <w:sz w:val="21"/>
        </w:rPr>
        <w:t>provide evidence to </w:t>
      </w:r>
      <w:r>
        <w:rPr>
          <w:spacing w:val="-7"/>
          <w:w w:val="105"/>
          <w:sz w:val="21"/>
        </w:rPr>
        <w:t>VCAT </w:t>
      </w:r>
      <w:r>
        <w:rPr>
          <w:spacing w:val="-4"/>
          <w:w w:val="105"/>
          <w:sz w:val="21"/>
        </w:rPr>
        <w:t>should </w:t>
      </w:r>
      <w:r>
        <w:rPr>
          <w:spacing w:val="-3"/>
          <w:w w:val="105"/>
          <w:sz w:val="21"/>
        </w:rPr>
        <w:t>meet </w:t>
      </w:r>
      <w:r>
        <w:rPr>
          <w:spacing w:val="-5"/>
          <w:w w:val="105"/>
          <w:sz w:val="21"/>
        </w:rPr>
        <w:t>minimum </w:t>
      </w:r>
      <w:r>
        <w:rPr>
          <w:spacing w:val="-4"/>
          <w:w w:val="105"/>
          <w:sz w:val="21"/>
        </w:rPr>
        <w:t>qualification </w:t>
      </w:r>
      <w:r>
        <w:rPr>
          <w:spacing w:val="-5"/>
          <w:w w:val="105"/>
          <w:sz w:val="21"/>
        </w:rPr>
        <w:t>standards. Minimum </w:t>
      </w:r>
      <w:r>
        <w:rPr>
          <w:spacing w:val="-4"/>
          <w:w w:val="105"/>
          <w:sz w:val="21"/>
        </w:rPr>
        <w:t>qualification standards will help to </w:t>
      </w:r>
      <w:r>
        <w:rPr>
          <w:spacing w:val="-5"/>
          <w:w w:val="105"/>
          <w:sz w:val="21"/>
        </w:rPr>
        <w:t>ensure </w:t>
      </w:r>
      <w:r>
        <w:rPr>
          <w:spacing w:val="-4"/>
          <w:w w:val="105"/>
          <w:sz w:val="21"/>
        </w:rPr>
        <w:t>that trees are properly </w:t>
      </w:r>
      <w:r>
        <w:rPr>
          <w:spacing w:val="-3"/>
          <w:w w:val="105"/>
          <w:sz w:val="21"/>
        </w:rPr>
        <w:t>assessed in </w:t>
      </w:r>
      <w:r>
        <w:rPr>
          <w:spacing w:val="-5"/>
          <w:w w:val="105"/>
          <w:sz w:val="21"/>
        </w:rPr>
        <w:t>accordance</w:t>
      </w:r>
      <w:r>
        <w:rPr>
          <w:spacing w:val="-10"/>
          <w:w w:val="105"/>
          <w:sz w:val="21"/>
        </w:rPr>
        <w:t> </w:t>
      </w:r>
      <w:r>
        <w:rPr>
          <w:spacing w:val="-3"/>
          <w:w w:val="105"/>
          <w:sz w:val="21"/>
        </w:rPr>
        <w:t>with</w:t>
      </w:r>
      <w:r>
        <w:rPr>
          <w:spacing w:val="-9"/>
          <w:w w:val="105"/>
          <w:sz w:val="21"/>
        </w:rPr>
        <w:t> </w:t>
      </w:r>
      <w:r>
        <w:rPr>
          <w:spacing w:val="-3"/>
          <w:w w:val="105"/>
          <w:sz w:val="21"/>
        </w:rPr>
        <w:t>industry</w:t>
      </w:r>
      <w:r>
        <w:rPr>
          <w:spacing w:val="-9"/>
          <w:w w:val="105"/>
          <w:sz w:val="21"/>
        </w:rPr>
        <w:t> </w:t>
      </w:r>
      <w:r>
        <w:rPr>
          <w:spacing w:val="-4"/>
          <w:w w:val="105"/>
          <w:sz w:val="21"/>
        </w:rPr>
        <w:t>approved</w:t>
      </w:r>
      <w:r>
        <w:rPr>
          <w:spacing w:val="-9"/>
          <w:w w:val="105"/>
          <w:sz w:val="21"/>
        </w:rPr>
        <w:t> </w:t>
      </w:r>
      <w:r>
        <w:rPr>
          <w:spacing w:val="-4"/>
          <w:w w:val="105"/>
          <w:sz w:val="21"/>
        </w:rPr>
        <w:t>risk</w:t>
      </w:r>
      <w:r>
        <w:rPr>
          <w:spacing w:val="-10"/>
          <w:w w:val="105"/>
          <w:sz w:val="21"/>
        </w:rPr>
        <w:t> </w:t>
      </w:r>
      <w:r>
        <w:rPr>
          <w:spacing w:val="-4"/>
          <w:w w:val="105"/>
          <w:sz w:val="21"/>
        </w:rPr>
        <w:t>assessment</w:t>
      </w:r>
      <w:r>
        <w:rPr>
          <w:spacing w:val="-9"/>
          <w:w w:val="105"/>
          <w:sz w:val="21"/>
        </w:rPr>
        <w:t> </w:t>
      </w:r>
      <w:r>
        <w:rPr>
          <w:spacing w:val="-4"/>
          <w:w w:val="105"/>
          <w:sz w:val="21"/>
        </w:rPr>
        <w:t>methods.</w:t>
      </w:r>
      <w:r>
        <w:rPr>
          <w:spacing w:val="-9"/>
          <w:w w:val="105"/>
          <w:sz w:val="21"/>
        </w:rPr>
        <w:t> </w:t>
      </w:r>
      <w:r>
        <w:rPr>
          <w:spacing w:val="-5"/>
          <w:w w:val="105"/>
          <w:sz w:val="21"/>
        </w:rPr>
        <w:t>Additional</w:t>
      </w:r>
      <w:r>
        <w:rPr>
          <w:spacing w:val="-9"/>
          <w:w w:val="105"/>
          <w:sz w:val="21"/>
        </w:rPr>
        <w:t> </w:t>
      </w:r>
      <w:r>
        <w:rPr>
          <w:spacing w:val="-5"/>
          <w:w w:val="105"/>
          <w:sz w:val="21"/>
        </w:rPr>
        <w:t>recommendations </w:t>
      </w:r>
      <w:r>
        <w:rPr>
          <w:spacing w:val="-4"/>
          <w:w w:val="105"/>
          <w:sz w:val="21"/>
        </w:rPr>
        <w:t>outline </w:t>
      </w:r>
      <w:r>
        <w:rPr>
          <w:spacing w:val="-5"/>
          <w:w w:val="105"/>
          <w:sz w:val="21"/>
        </w:rPr>
        <w:t>requirements </w:t>
      </w:r>
      <w:r>
        <w:rPr>
          <w:spacing w:val="-4"/>
          <w:w w:val="105"/>
          <w:sz w:val="21"/>
        </w:rPr>
        <w:t>for </w:t>
      </w:r>
      <w:r>
        <w:rPr>
          <w:spacing w:val="-3"/>
          <w:w w:val="105"/>
          <w:sz w:val="21"/>
        </w:rPr>
        <w:t>report </w:t>
      </w:r>
      <w:r>
        <w:rPr>
          <w:spacing w:val="-4"/>
          <w:w w:val="105"/>
          <w:sz w:val="21"/>
        </w:rPr>
        <w:t>writing. Formal evidentiary </w:t>
      </w:r>
      <w:r>
        <w:rPr>
          <w:spacing w:val="-5"/>
          <w:w w:val="105"/>
          <w:sz w:val="21"/>
        </w:rPr>
        <w:t>requirements </w:t>
      </w:r>
      <w:r>
        <w:rPr>
          <w:spacing w:val="-4"/>
          <w:w w:val="105"/>
          <w:sz w:val="21"/>
        </w:rPr>
        <w:t>will reduce </w:t>
      </w:r>
      <w:r>
        <w:rPr>
          <w:spacing w:val="-3"/>
          <w:w w:val="105"/>
          <w:sz w:val="21"/>
        </w:rPr>
        <w:t>the </w:t>
      </w:r>
      <w:r>
        <w:rPr>
          <w:spacing w:val="-5"/>
          <w:w w:val="105"/>
          <w:sz w:val="21"/>
        </w:rPr>
        <w:t>likelihood </w:t>
      </w:r>
      <w:r>
        <w:rPr>
          <w:spacing w:val="-3"/>
          <w:w w:val="105"/>
          <w:sz w:val="21"/>
        </w:rPr>
        <w:t>of people </w:t>
      </w:r>
      <w:r>
        <w:rPr>
          <w:spacing w:val="-5"/>
          <w:w w:val="105"/>
          <w:sz w:val="21"/>
        </w:rPr>
        <w:t>bringing claims </w:t>
      </w:r>
      <w:r>
        <w:rPr>
          <w:spacing w:val="-4"/>
          <w:w w:val="105"/>
          <w:sz w:val="21"/>
        </w:rPr>
        <w:t>that are trivial </w:t>
      </w:r>
      <w:r>
        <w:rPr>
          <w:w w:val="105"/>
          <w:sz w:val="21"/>
        </w:rPr>
        <w:t>or </w:t>
      </w:r>
      <w:r>
        <w:rPr>
          <w:spacing w:val="-4"/>
          <w:w w:val="105"/>
          <w:sz w:val="21"/>
        </w:rPr>
        <w:t>without merit to </w:t>
      </w:r>
      <w:r>
        <w:rPr>
          <w:spacing w:val="-3"/>
          <w:w w:val="105"/>
          <w:sz w:val="21"/>
        </w:rPr>
        <w:t>the </w:t>
      </w:r>
      <w:r>
        <w:rPr>
          <w:spacing w:val="-6"/>
          <w:w w:val="105"/>
          <w:sz w:val="21"/>
        </w:rPr>
        <w:t>Tribunal </w:t>
      </w:r>
      <w:r>
        <w:rPr>
          <w:spacing w:val="-4"/>
          <w:w w:val="105"/>
          <w:sz w:val="21"/>
        </w:rPr>
        <w:t>and </w:t>
      </w:r>
      <w:r>
        <w:rPr>
          <w:spacing w:val="-5"/>
          <w:w w:val="105"/>
          <w:sz w:val="21"/>
        </w:rPr>
        <w:t>ensure </w:t>
      </w:r>
      <w:r>
        <w:rPr>
          <w:spacing w:val="-4"/>
          <w:w w:val="105"/>
          <w:sz w:val="21"/>
        </w:rPr>
        <w:t>that remedies are robust and practical. </w:t>
      </w:r>
      <w:r>
        <w:rPr>
          <w:w w:val="105"/>
          <w:sz w:val="21"/>
        </w:rPr>
        <w:t>See </w:t>
      </w:r>
      <w:r>
        <w:rPr>
          <w:spacing w:val="-5"/>
          <w:w w:val="105"/>
          <w:sz w:val="21"/>
        </w:rPr>
        <w:t>Chapters </w:t>
      </w:r>
      <w:r>
        <w:rPr>
          <w:w w:val="105"/>
          <w:sz w:val="21"/>
        </w:rPr>
        <w:t>7 </w:t>
      </w:r>
      <w:r>
        <w:rPr>
          <w:spacing w:val="-4"/>
          <w:w w:val="105"/>
          <w:sz w:val="21"/>
        </w:rPr>
        <w:t>and</w:t>
      </w:r>
      <w:r>
        <w:rPr>
          <w:spacing w:val="35"/>
          <w:w w:val="105"/>
          <w:sz w:val="21"/>
        </w:rPr>
        <w:t> </w:t>
      </w:r>
      <w:r>
        <w:rPr>
          <w:w w:val="105"/>
          <w:sz w:val="21"/>
        </w:rPr>
        <w:t>8.</w:t>
      </w:r>
    </w:p>
    <w:p>
      <w:pPr>
        <w:pStyle w:val="BodyText"/>
        <w:spacing w:before="7"/>
        <w:rPr>
          <w:sz w:val="20"/>
        </w:rPr>
      </w:pPr>
    </w:p>
    <w:p>
      <w:pPr>
        <w:pStyle w:val="Heading5"/>
      </w:pPr>
      <w:r>
        <w:rPr>
          <w:w w:val="115"/>
        </w:rPr>
        <w:t>Interact simply with other laws</w:t>
      </w:r>
    </w:p>
    <w:p>
      <w:pPr>
        <w:pStyle w:val="ListParagraph"/>
        <w:numPr>
          <w:ilvl w:val="1"/>
          <w:numId w:val="42"/>
        </w:numPr>
        <w:tabs>
          <w:tab w:pos="2381" w:val="left" w:leader="none"/>
          <w:tab w:pos="2382" w:val="left" w:leader="none"/>
        </w:tabs>
        <w:spacing w:line="242" w:lineRule="auto" w:before="138" w:after="0"/>
        <w:ind w:left="2381" w:right="1666" w:hanging="794"/>
        <w:jc w:val="left"/>
        <w:rPr>
          <w:sz w:val="21"/>
        </w:rPr>
      </w:pPr>
      <w:r>
        <w:rPr>
          <w:spacing w:val="-3"/>
          <w:sz w:val="21"/>
        </w:rPr>
        <w:t>Many </w:t>
      </w:r>
      <w:r>
        <w:rPr>
          <w:sz w:val="21"/>
        </w:rPr>
        <w:t>existing Acts, local laws and policies </w:t>
      </w:r>
      <w:r>
        <w:rPr>
          <w:spacing w:val="-3"/>
          <w:sz w:val="21"/>
        </w:rPr>
        <w:t>regulate </w:t>
      </w:r>
      <w:r>
        <w:rPr>
          <w:sz w:val="21"/>
        </w:rPr>
        <w:t>trees on </w:t>
      </w:r>
      <w:r>
        <w:rPr>
          <w:spacing w:val="-3"/>
          <w:sz w:val="21"/>
        </w:rPr>
        <w:t>private  land  </w:t>
      </w:r>
      <w:r>
        <w:rPr>
          <w:sz w:val="21"/>
        </w:rPr>
        <w:t>and  </w:t>
      </w:r>
      <w:r>
        <w:rPr>
          <w:spacing w:val="-3"/>
          <w:sz w:val="21"/>
        </w:rPr>
        <w:t>could </w:t>
      </w:r>
      <w:r>
        <w:rPr>
          <w:sz w:val="21"/>
        </w:rPr>
        <w:t>intersect with the new Act. These laws and </w:t>
      </w:r>
      <w:r>
        <w:rPr>
          <w:spacing w:val="-3"/>
          <w:sz w:val="21"/>
        </w:rPr>
        <w:t>regulations are </w:t>
      </w:r>
      <w:r>
        <w:rPr>
          <w:sz w:val="21"/>
        </w:rPr>
        <w:t>complex and </w:t>
      </w:r>
      <w:r>
        <w:rPr>
          <w:spacing w:val="-3"/>
          <w:sz w:val="21"/>
        </w:rPr>
        <w:t>varied. </w:t>
      </w:r>
      <w:r>
        <w:rPr>
          <w:sz w:val="21"/>
        </w:rPr>
        <w:t>Decisions made </w:t>
      </w:r>
      <w:r>
        <w:rPr>
          <w:spacing w:val="-3"/>
          <w:sz w:val="21"/>
        </w:rPr>
        <w:t>pursuant to </w:t>
      </w:r>
      <w:r>
        <w:rPr>
          <w:sz w:val="21"/>
        </w:rPr>
        <w:t>some of these laws </w:t>
      </w:r>
      <w:r>
        <w:rPr>
          <w:spacing w:val="-3"/>
          <w:sz w:val="21"/>
        </w:rPr>
        <w:t>are  </w:t>
      </w:r>
      <w:r>
        <w:rPr>
          <w:sz w:val="21"/>
        </w:rPr>
        <w:t>subject </w:t>
      </w:r>
      <w:r>
        <w:rPr>
          <w:spacing w:val="-3"/>
          <w:sz w:val="21"/>
        </w:rPr>
        <w:t>to</w:t>
      </w:r>
      <w:r>
        <w:rPr>
          <w:spacing w:val="41"/>
          <w:sz w:val="21"/>
        </w:rPr>
        <w:t> </w:t>
      </w:r>
      <w:r>
        <w:rPr>
          <w:sz w:val="21"/>
        </w:rPr>
        <w:t>review in </w:t>
      </w:r>
      <w:r>
        <w:rPr>
          <w:spacing w:val="-8"/>
          <w:sz w:val="21"/>
        </w:rPr>
        <w:t>VCAT.  </w:t>
      </w:r>
      <w:r>
        <w:rPr>
          <w:sz w:val="21"/>
        </w:rPr>
        <w:t>The operation of  these laws </w:t>
      </w:r>
      <w:r>
        <w:rPr>
          <w:spacing w:val="-3"/>
          <w:sz w:val="21"/>
        </w:rPr>
        <w:t>increases confusion </w:t>
      </w:r>
      <w:r>
        <w:rPr>
          <w:sz w:val="21"/>
        </w:rPr>
        <w:t>and adds </w:t>
      </w:r>
      <w:r>
        <w:rPr>
          <w:spacing w:val="-3"/>
          <w:sz w:val="21"/>
        </w:rPr>
        <w:t>to </w:t>
      </w:r>
      <w:r>
        <w:rPr>
          <w:sz w:val="21"/>
        </w:rPr>
        <w:t>the difficulties people experience trying </w:t>
      </w:r>
      <w:r>
        <w:rPr>
          <w:spacing w:val="-3"/>
          <w:sz w:val="21"/>
        </w:rPr>
        <w:t>to </w:t>
      </w:r>
      <w:r>
        <w:rPr>
          <w:sz w:val="21"/>
        </w:rPr>
        <w:t>resolve their tree</w:t>
      </w:r>
      <w:r>
        <w:rPr>
          <w:spacing w:val="23"/>
          <w:sz w:val="21"/>
        </w:rPr>
        <w:t> </w:t>
      </w:r>
      <w:r>
        <w:rPr>
          <w:spacing w:val="-3"/>
          <w:sz w:val="21"/>
        </w:rPr>
        <w:t>disputes.</w:t>
      </w:r>
    </w:p>
    <w:p>
      <w:pPr>
        <w:pStyle w:val="BodyText"/>
        <w:spacing w:before="7"/>
        <w:rPr>
          <w:sz w:val="8"/>
        </w:rPr>
      </w:pPr>
      <w:r>
        <w:rPr/>
        <w:pict>
          <v:line style="position:absolute;mso-position-horizontal-relative:page;mso-position-vertical-relative:paragraph;z-index:2744;mso-wrap-distance-left:0;mso-wrap-distance-right:0" from="79.370102pt,7.71008pt" to="515.905102pt,7.71008pt" stroked="true" strokeweight="1pt" strokecolor="#c9d2cb">
            <v:stroke dashstyle="solid"/>
            <w10:wrap type="topAndBottom"/>
          </v:line>
        </w:pict>
      </w:r>
    </w:p>
    <w:p>
      <w:pPr>
        <w:pStyle w:val="ListParagraph"/>
        <w:numPr>
          <w:ilvl w:val="0"/>
          <w:numId w:val="44"/>
        </w:numPr>
        <w:tabs>
          <w:tab w:pos="2381" w:val="left" w:leader="none"/>
          <w:tab w:pos="2382" w:val="left" w:leader="none"/>
        </w:tabs>
        <w:spacing w:line="240" w:lineRule="auto" w:before="117" w:after="0"/>
        <w:ind w:left="2381" w:right="1772" w:hanging="794"/>
        <w:jc w:val="left"/>
        <w:rPr>
          <w:sz w:val="13"/>
        </w:rPr>
      </w:pPr>
      <w:r>
        <w:rPr>
          <w:w w:val="105"/>
          <w:sz w:val="13"/>
        </w:rPr>
        <w:t>Submissions 18 (ENSPEC), </w:t>
      </w:r>
      <w:r>
        <w:rPr>
          <w:spacing w:val="-3"/>
          <w:w w:val="105"/>
          <w:sz w:val="13"/>
        </w:rPr>
        <w:t>19 </w:t>
      </w:r>
      <w:r>
        <w:rPr>
          <w:spacing w:val="2"/>
          <w:w w:val="105"/>
          <w:sz w:val="13"/>
        </w:rPr>
        <w:t>(Name </w:t>
      </w:r>
      <w:r>
        <w:rPr>
          <w:w w:val="105"/>
          <w:sz w:val="13"/>
        </w:rPr>
        <w:t>withheld), 25 (City of Boroondara), 28 </w:t>
      </w:r>
      <w:r>
        <w:rPr>
          <w:spacing w:val="3"/>
          <w:w w:val="105"/>
          <w:sz w:val="13"/>
        </w:rPr>
        <w:t>(HVP </w:t>
      </w:r>
      <w:r>
        <w:rPr>
          <w:w w:val="105"/>
          <w:sz w:val="13"/>
        </w:rPr>
        <w:t>Plantations), 29 (David Galwey); Consultations 2 </w:t>
      </w:r>
      <w:r>
        <w:rPr>
          <w:spacing w:val="3"/>
          <w:w w:val="105"/>
          <w:sz w:val="13"/>
        </w:rPr>
        <w:t>(Dr </w:t>
      </w:r>
      <w:r>
        <w:rPr>
          <w:w w:val="105"/>
          <w:sz w:val="13"/>
        </w:rPr>
        <w:t>Gregory </w:t>
      </w:r>
      <w:r>
        <w:rPr>
          <w:spacing w:val="2"/>
          <w:w w:val="105"/>
          <w:sz w:val="13"/>
        </w:rPr>
        <w:t>Moore), </w:t>
      </w:r>
      <w:r>
        <w:rPr>
          <w:w w:val="105"/>
          <w:sz w:val="13"/>
        </w:rPr>
        <w:t>4 (Participants in facilitated discussion at </w:t>
      </w:r>
      <w:r>
        <w:rPr>
          <w:spacing w:val="4"/>
          <w:w w:val="105"/>
          <w:sz w:val="13"/>
        </w:rPr>
        <w:t>VTIO </w:t>
      </w:r>
      <w:r>
        <w:rPr>
          <w:w w:val="105"/>
          <w:sz w:val="13"/>
        </w:rPr>
        <w:t>ArborCamp2018), 6 </w:t>
      </w:r>
      <w:r>
        <w:rPr>
          <w:spacing w:val="2"/>
          <w:w w:val="105"/>
          <w:sz w:val="13"/>
        </w:rPr>
        <w:t>(Ben </w:t>
      </w:r>
      <w:r>
        <w:rPr>
          <w:w w:val="105"/>
          <w:sz w:val="13"/>
        </w:rPr>
        <w:t>Kenyon), 8 (City of Boroondara), 10 </w:t>
      </w:r>
      <w:r>
        <w:rPr>
          <w:spacing w:val="2"/>
          <w:w w:val="105"/>
          <w:sz w:val="13"/>
        </w:rPr>
        <w:t>(Baw </w:t>
      </w:r>
      <w:r>
        <w:rPr>
          <w:w w:val="105"/>
          <w:sz w:val="13"/>
        </w:rPr>
        <w:t>Baw Shire</w:t>
      </w:r>
      <w:r>
        <w:rPr>
          <w:spacing w:val="5"/>
          <w:w w:val="105"/>
          <w:sz w:val="13"/>
        </w:rPr>
        <w:t> </w:t>
      </w:r>
      <w:r>
        <w:rPr>
          <w:w w:val="105"/>
          <w:sz w:val="13"/>
        </w:rPr>
        <w:t>Council),</w:t>
      </w:r>
      <w:r>
        <w:rPr>
          <w:spacing w:val="5"/>
          <w:w w:val="105"/>
          <w:sz w:val="13"/>
        </w:rPr>
        <w:t> </w:t>
      </w:r>
      <w:r>
        <w:rPr>
          <w:spacing w:val="-6"/>
          <w:w w:val="105"/>
          <w:sz w:val="13"/>
        </w:rPr>
        <w:t>11</w:t>
      </w:r>
      <w:r>
        <w:rPr>
          <w:spacing w:val="6"/>
          <w:w w:val="105"/>
          <w:sz w:val="13"/>
        </w:rPr>
        <w:t> </w:t>
      </w:r>
      <w:r>
        <w:rPr>
          <w:spacing w:val="2"/>
          <w:w w:val="105"/>
          <w:sz w:val="13"/>
        </w:rPr>
        <w:t>(Land</w:t>
      </w:r>
      <w:r>
        <w:rPr>
          <w:spacing w:val="5"/>
          <w:w w:val="105"/>
          <w:sz w:val="13"/>
        </w:rPr>
        <w:t> </w:t>
      </w:r>
      <w:r>
        <w:rPr>
          <w:w w:val="105"/>
          <w:sz w:val="13"/>
        </w:rPr>
        <w:t>and</w:t>
      </w:r>
      <w:r>
        <w:rPr>
          <w:spacing w:val="6"/>
          <w:w w:val="105"/>
          <w:sz w:val="13"/>
        </w:rPr>
        <w:t> </w:t>
      </w:r>
      <w:r>
        <w:rPr>
          <w:w w:val="105"/>
          <w:sz w:val="13"/>
        </w:rPr>
        <w:t>Environment</w:t>
      </w:r>
      <w:r>
        <w:rPr>
          <w:spacing w:val="5"/>
          <w:w w:val="105"/>
          <w:sz w:val="13"/>
        </w:rPr>
        <w:t> </w:t>
      </w:r>
      <w:r>
        <w:rPr>
          <w:w w:val="105"/>
          <w:sz w:val="13"/>
        </w:rPr>
        <w:t>Court</w:t>
      </w:r>
      <w:r>
        <w:rPr>
          <w:spacing w:val="6"/>
          <w:w w:val="105"/>
          <w:sz w:val="13"/>
        </w:rPr>
        <w:t> </w:t>
      </w:r>
      <w:r>
        <w:rPr>
          <w:w w:val="105"/>
          <w:sz w:val="13"/>
        </w:rPr>
        <w:t>of</w:t>
      </w:r>
      <w:r>
        <w:rPr>
          <w:spacing w:val="5"/>
          <w:w w:val="105"/>
          <w:sz w:val="13"/>
        </w:rPr>
        <w:t> </w:t>
      </w:r>
      <w:r>
        <w:rPr>
          <w:w w:val="105"/>
          <w:sz w:val="13"/>
        </w:rPr>
        <w:t>New</w:t>
      </w:r>
      <w:r>
        <w:rPr>
          <w:spacing w:val="6"/>
          <w:w w:val="105"/>
          <w:sz w:val="13"/>
        </w:rPr>
        <w:t> </w:t>
      </w:r>
      <w:r>
        <w:rPr>
          <w:w w:val="105"/>
          <w:sz w:val="13"/>
        </w:rPr>
        <w:t>South</w:t>
      </w:r>
      <w:r>
        <w:rPr>
          <w:spacing w:val="5"/>
          <w:w w:val="105"/>
          <w:sz w:val="13"/>
        </w:rPr>
        <w:t> </w:t>
      </w:r>
      <w:r>
        <w:rPr>
          <w:w w:val="105"/>
          <w:sz w:val="13"/>
        </w:rPr>
        <w:t>Wales),</w:t>
      </w:r>
      <w:r>
        <w:rPr>
          <w:spacing w:val="6"/>
          <w:w w:val="105"/>
          <w:sz w:val="13"/>
        </w:rPr>
        <w:t> </w:t>
      </w:r>
      <w:r>
        <w:rPr>
          <w:spacing w:val="-3"/>
          <w:w w:val="105"/>
          <w:sz w:val="13"/>
        </w:rPr>
        <w:t>14</w:t>
      </w:r>
      <w:r>
        <w:rPr>
          <w:spacing w:val="5"/>
          <w:w w:val="105"/>
          <w:sz w:val="13"/>
        </w:rPr>
        <w:t> </w:t>
      </w:r>
      <w:r>
        <w:rPr>
          <w:spacing w:val="2"/>
          <w:w w:val="105"/>
          <w:sz w:val="13"/>
        </w:rPr>
        <w:t>(Robert</w:t>
      </w:r>
      <w:r>
        <w:rPr>
          <w:spacing w:val="6"/>
          <w:w w:val="105"/>
          <w:sz w:val="13"/>
        </w:rPr>
        <w:t> </w:t>
      </w:r>
      <w:r>
        <w:rPr>
          <w:spacing w:val="2"/>
          <w:w w:val="105"/>
          <w:sz w:val="13"/>
        </w:rPr>
        <w:t>Mineo);</w:t>
      </w:r>
      <w:r>
        <w:rPr>
          <w:spacing w:val="5"/>
          <w:w w:val="105"/>
          <w:sz w:val="13"/>
        </w:rPr>
        <w:t> </w:t>
      </w:r>
      <w:r>
        <w:rPr>
          <w:w w:val="105"/>
          <w:sz w:val="13"/>
        </w:rPr>
        <w:t>Survey</w:t>
      </w:r>
      <w:r>
        <w:rPr>
          <w:spacing w:val="6"/>
          <w:w w:val="105"/>
          <w:sz w:val="13"/>
        </w:rPr>
        <w:t> </w:t>
      </w:r>
      <w:r>
        <w:rPr>
          <w:w w:val="105"/>
          <w:sz w:val="13"/>
        </w:rPr>
        <w:t>respondents</w:t>
      </w:r>
      <w:r>
        <w:rPr>
          <w:spacing w:val="5"/>
          <w:w w:val="105"/>
          <w:sz w:val="13"/>
        </w:rPr>
        <w:t> </w:t>
      </w:r>
      <w:r>
        <w:rPr>
          <w:w w:val="105"/>
          <w:sz w:val="13"/>
        </w:rPr>
        <w:t>2,</w:t>
      </w:r>
      <w:r>
        <w:rPr>
          <w:spacing w:val="6"/>
          <w:w w:val="105"/>
          <w:sz w:val="13"/>
        </w:rPr>
        <w:t> </w:t>
      </w:r>
      <w:r>
        <w:rPr>
          <w:w w:val="105"/>
          <w:sz w:val="13"/>
        </w:rPr>
        <w:t>13;</w:t>
      </w:r>
      <w:r>
        <w:rPr>
          <w:spacing w:val="5"/>
          <w:w w:val="105"/>
          <w:sz w:val="13"/>
        </w:rPr>
        <w:t> </w:t>
      </w:r>
      <w:r>
        <w:rPr>
          <w:spacing w:val="-4"/>
          <w:w w:val="105"/>
          <w:sz w:val="13"/>
        </w:rPr>
        <w:t>115.</w:t>
      </w:r>
    </w:p>
    <w:p>
      <w:pPr>
        <w:pStyle w:val="ListParagraph"/>
        <w:numPr>
          <w:ilvl w:val="0"/>
          <w:numId w:val="44"/>
        </w:numPr>
        <w:tabs>
          <w:tab w:pos="2381" w:val="left" w:leader="none"/>
          <w:tab w:pos="2382" w:val="left" w:leader="none"/>
        </w:tabs>
        <w:spacing w:line="240" w:lineRule="auto" w:before="4" w:after="0"/>
        <w:ind w:left="2381" w:right="0" w:hanging="794"/>
        <w:jc w:val="left"/>
        <w:rPr>
          <w:sz w:val="13"/>
        </w:rPr>
      </w:pPr>
      <w:r>
        <w:rPr>
          <w:w w:val="105"/>
          <w:sz w:val="13"/>
        </w:rPr>
        <w:t>Submission 37 </w:t>
      </w:r>
      <w:r>
        <w:rPr>
          <w:spacing w:val="2"/>
          <w:w w:val="105"/>
          <w:sz w:val="13"/>
        </w:rPr>
        <w:t>(Ian</w:t>
      </w:r>
      <w:r>
        <w:rPr>
          <w:spacing w:val="13"/>
          <w:w w:val="105"/>
          <w:sz w:val="13"/>
        </w:rPr>
        <w:t> </w:t>
      </w:r>
      <w:r>
        <w:rPr>
          <w:w w:val="105"/>
          <w:sz w:val="13"/>
        </w:rPr>
        <w:t>Hundley).</w:t>
      </w:r>
    </w:p>
    <w:p>
      <w:pPr>
        <w:pStyle w:val="ListParagraph"/>
        <w:numPr>
          <w:ilvl w:val="0"/>
          <w:numId w:val="44"/>
        </w:numPr>
        <w:tabs>
          <w:tab w:pos="2381" w:val="left" w:leader="none"/>
          <w:tab w:pos="2382" w:val="left" w:leader="none"/>
        </w:tabs>
        <w:spacing w:line="240" w:lineRule="auto" w:before="1" w:after="0"/>
        <w:ind w:left="2381" w:right="1981" w:hanging="794"/>
        <w:jc w:val="left"/>
        <w:rPr>
          <w:sz w:val="13"/>
        </w:rPr>
      </w:pPr>
      <w:r>
        <w:rPr>
          <w:w w:val="105"/>
          <w:sz w:val="13"/>
        </w:rPr>
        <w:t>See, eg, City of Greater Bendigo, </w:t>
      </w:r>
      <w:r>
        <w:rPr>
          <w:i/>
          <w:w w:val="105"/>
          <w:sz w:val="13"/>
        </w:rPr>
        <w:t>Urban Tree Management Policy </w:t>
      </w:r>
      <w:r>
        <w:rPr>
          <w:spacing w:val="-2"/>
          <w:w w:val="105"/>
          <w:sz w:val="13"/>
        </w:rPr>
        <w:t>(16 </w:t>
      </w:r>
      <w:r>
        <w:rPr>
          <w:w w:val="105"/>
          <w:sz w:val="13"/>
        </w:rPr>
        <w:t>August 2017) </w:t>
      </w:r>
      <w:r>
        <w:rPr>
          <w:spacing w:val="2"/>
          <w:w w:val="105"/>
          <w:sz w:val="13"/>
        </w:rPr>
        <w:t>4; </w:t>
      </w:r>
      <w:r>
        <w:rPr>
          <w:i/>
          <w:w w:val="105"/>
          <w:sz w:val="13"/>
        </w:rPr>
        <w:t>City of Melbourne, Urban Forest Strategy— </w:t>
      </w:r>
      <w:r>
        <w:rPr>
          <w:i/>
          <w:w w:val="105"/>
          <w:sz w:val="13"/>
        </w:rPr>
        <w:t>Making a Great City Greener </w:t>
      </w:r>
      <w:r>
        <w:rPr>
          <w:i/>
          <w:spacing w:val="-2"/>
          <w:w w:val="105"/>
          <w:sz w:val="13"/>
        </w:rPr>
        <w:t>2012-2032 </w:t>
      </w:r>
      <w:r>
        <w:rPr>
          <w:spacing w:val="2"/>
          <w:w w:val="105"/>
          <w:sz w:val="13"/>
        </w:rPr>
        <w:t>(Report, </w:t>
      </w:r>
      <w:r>
        <w:rPr>
          <w:w w:val="105"/>
          <w:sz w:val="13"/>
        </w:rPr>
        <w:t>2012); City of Stonnington, </w:t>
      </w:r>
      <w:r>
        <w:rPr>
          <w:i/>
          <w:w w:val="105"/>
          <w:sz w:val="13"/>
        </w:rPr>
        <w:t>Urban Forest Strategy </w:t>
      </w:r>
      <w:r>
        <w:rPr>
          <w:w w:val="105"/>
          <w:sz w:val="13"/>
        </w:rPr>
        <w:t>2017–2022 (June 2017) </w:t>
      </w:r>
      <w:r>
        <w:rPr>
          <w:spacing w:val="2"/>
          <w:w w:val="105"/>
          <w:sz w:val="13"/>
        </w:rPr>
        <w:t>4; </w:t>
      </w:r>
      <w:r>
        <w:rPr>
          <w:w w:val="105"/>
          <w:sz w:val="13"/>
        </w:rPr>
        <w:t>City of Ballarat, ‘Exceptional Tree Register’, </w:t>
      </w:r>
      <w:r>
        <w:rPr>
          <w:i/>
          <w:w w:val="105"/>
          <w:sz w:val="13"/>
        </w:rPr>
        <w:t>Tree Management </w:t>
      </w:r>
      <w:r>
        <w:rPr>
          <w:w w:val="105"/>
          <w:sz w:val="13"/>
        </w:rPr>
        <w:t>(Web Page, 2019)</w:t>
      </w:r>
      <w:r>
        <w:rPr>
          <w:spacing w:val="-17"/>
          <w:w w:val="105"/>
          <w:sz w:val="13"/>
        </w:rPr>
        <w:t> </w:t>
      </w:r>
      <w:r>
        <w:rPr>
          <w:spacing w:val="2"/>
          <w:w w:val="105"/>
          <w:sz w:val="13"/>
        </w:rPr>
        <w:t>&lt;</w:t>
      </w:r>
      <w:hyperlink r:id="rId82">
        <w:r>
          <w:rPr>
            <w:spacing w:val="2"/>
            <w:w w:val="105"/>
            <w:sz w:val="13"/>
          </w:rPr>
          <w:t>http://www.ballarat.vic.gov.au/city/parks-and-outdoors/</w:t>
        </w:r>
      </w:hyperlink>
    </w:p>
    <w:p>
      <w:pPr>
        <w:spacing w:before="4"/>
        <w:ind w:left="2381" w:right="1648" w:firstLine="0"/>
        <w:jc w:val="left"/>
        <w:rPr>
          <w:sz w:val="13"/>
        </w:rPr>
      </w:pPr>
      <w:r>
        <w:rPr>
          <w:sz w:val="13"/>
        </w:rPr>
        <w:t>tree-management&gt;; South Gippsland Shire Council, </w:t>
      </w:r>
      <w:r>
        <w:rPr>
          <w:i/>
          <w:sz w:val="13"/>
        </w:rPr>
        <w:t>Tree Management Plan </w:t>
      </w:r>
      <w:r>
        <w:rPr>
          <w:i/>
          <w:spacing w:val="-4"/>
          <w:sz w:val="13"/>
        </w:rPr>
        <w:t>2017 </w:t>
      </w:r>
      <w:r>
        <w:rPr>
          <w:sz w:val="13"/>
        </w:rPr>
        <w:t>(26  July  2017)  4.  The  importance  of  retaining  urban  tree canopy has been recognised by the establishment of the inaugural Australian School of Urban </w:t>
      </w:r>
      <w:r>
        <w:rPr>
          <w:spacing w:val="2"/>
          <w:sz w:val="13"/>
        </w:rPr>
        <w:t>Forestry </w:t>
      </w:r>
      <w:r>
        <w:rPr>
          <w:sz w:val="13"/>
        </w:rPr>
        <w:t>at the University of Melbourne  in partnership with the City of Melbourne, dedicated to understanding  and  protecting  urban  forests:  see  City  of  Melbourne,  </w:t>
      </w:r>
      <w:r>
        <w:rPr>
          <w:i/>
          <w:sz w:val="13"/>
        </w:rPr>
        <w:t>Australia’s  First </w:t>
      </w:r>
      <w:r>
        <w:rPr>
          <w:i/>
          <w:sz w:val="13"/>
        </w:rPr>
        <w:t>Urban </w:t>
      </w:r>
      <w:r>
        <w:rPr>
          <w:i/>
          <w:spacing w:val="2"/>
          <w:sz w:val="13"/>
        </w:rPr>
        <w:t>Forestry </w:t>
      </w:r>
      <w:r>
        <w:rPr>
          <w:i/>
          <w:sz w:val="13"/>
        </w:rPr>
        <w:t>School Announced </w:t>
      </w:r>
      <w:r>
        <w:rPr>
          <w:sz w:val="13"/>
        </w:rPr>
        <w:t>(Web Page, 6 September 2018) </w:t>
      </w:r>
      <w:r>
        <w:rPr>
          <w:spacing w:val="2"/>
          <w:sz w:val="13"/>
        </w:rPr>
        <w:t>&lt;https://</w:t>
      </w:r>
      <w:hyperlink r:id="rId83">
        <w:r>
          <w:rPr>
            <w:spacing w:val="2"/>
            <w:sz w:val="13"/>
          </w:rPr>
          <w:t>www.melbourne.vic.gov.au/news-and-media/pages/australias-</w:t>
        </w:r>
      </w:hyperlink>
      <w:r>
        <w:rPr>
          <w:spacing w:val="2"/>
          <w:sz w:val="13"/>
        </w:rPr>
        <w:t> </w:t>
      </w:r>
      <w:r>
        <w:rPr>
          <w:sz w:val="13"/>
        </w:rPr>
        <w:t>first-urban-forestry-school-announced.aspx&gt;.</w:t>
      </w:r>
      <w:r>
        <w:rPr>
          <w:spacing w:val="8"/>
          <w:sz w:val="13"/>
        </w:rPr>
        <w:t> </w:t>
      </w:r>
      <w:r>
        <w:rPr>
          <w:sz w:val="13"/>
        </w:rPr>
        <w:t>This</w:t>
      </w:r>
      <w:r>
        <w:rPr>
          <w:spacing w:val="8"/>
          <w:sz w:val="13"/>
        </w:rPr>
        <w:t> </w:t>
      </w:r>
      <w:r>
        <w:rPr>
          <w:sz w:val="13"/>
        </w:rPr>
        <w:t>issue</w:t>
      </w:r>
      <w:r>
        <w:rPr>
          <w:spacing w:val="9"/>
          <w:sz w:val="13"/>
        </w:rPr>
        <w:t> </w:t>
      </w:r>
      <w:r>
        <w:rPr>
          <w:sz w:val="13"/>
        </w:rPr>
        <w:t>is</w:t>
      </w:r>
      <w:r>
        <w:rPr>
          <w:spacing w:val="8"/>
          <w:sz w:val="13"/>
        </w:rPr>
        <w:t> </w:t>
      </w:r>
      <w:r>
        <w:rPr>
          <w:sz w:val="13"/>
        </w:rPr>
        <w:t>discussed</w:t>
      </w:r>
      <w:r>
        <w:rPr>
          <w:spacing w:val="8"/>
          <w:sz w:val="13"/>
        </w:rPr>
        <w:t> </w:t>
      </w:r>
      <w:r>
        <w:rPr>
          <w:sz w:val="13"/>
        </w:rPr>
        <w:t>in</w:t>
      </w:r>
      <w:r>
        <w:rPr>
          <w:spacing w:val="9"/>
          <w:sz w:val="13"/>
        </w:rPr>
        <w:t> </w:t>
      </w:r>
      <w:r>
        <w:rPr>
          <w:sz w:val="13"/>
        </w:rPr>
        <w:t>Ch</w:t>
      </w:r>
      <w:r>
        <w:rPr>
          <w:spacing w:val="8"/>
          <w:sz w:val="13"/>
        </w:rPr>
        <w:t> </w:t>
      </w:r>
      <w:r>
        <w:rPr>
          <w:spacing w:val="-3"/>
          <w:sz w:val="13"/>
        </w:rPr>
        <w:t>13.</w:t>
      </w:r>
    </w:p>
    <w:p>
      <w:pPr>
        <w:pStyle w:val="ListParagraph"/>
        <w:numPr>
          <w:ilvl w:val="0"/>
          <w:numId w:val="44"/>
        </w:numPr>
        <w:tabs>
          <w:tab w:pos="2381" w:val="left" w:leader="none"/>
          <w:tab w:pos="2382" w:val="left" w:leader="none"/>
        </w:tabs>
        <w:spacing w:line="240" w:lineRule="auto" w:before="7" w:after="0"/>
        <w:ind w:left="2381" w:right="0" w:hanging="794"/>
        <w:jc w:val="left"/>
        <w:rPr>
          <w:sz w:val="13"/>
        </w:rPr>
      </w:pPr>
      <w:r>
        <w:rPr>
          <w:w w:val="105"/>
          <w:sz w:val="13"/>
        </w:rPr>
        <w:t>Consultation 2 </w:t>
      </w:r>
      <w:r>
        <w:rPr>
          <w:spacing w:val="3"/>
          <w:w w:val="105"/>
          <w:sz w:val="13"/>
        </w:rPr>
        <w:t>(Dr </w:t>
      </w:r>
      <w:r>
        <w:rPr>
          <w:w w:val="105"/>
          <w:sz w:val="13"/>
        </w:rPr>
        <w:t>Gregory Moore</w:t>
      </w:r>
      <w:r>
        <w:rPr>
          <w:spacing w:val="20"/>
          <w:w w:val="105"/>
          <w:sz w:val="13"/>
        </w:rPr>
        <w:t> </w:t>
      </w:r>
      <w:r>
        <w:rPr>
          <w:spacing w:val="2"/>
          <w:w w:val="105"/>
          <w:sz w:val="13"/>
        </w:rPr>
        <w:t>OAM).</w:t>
      </w:r>
    </w:p>
    <w:p>
      <w:pPr>
        <w:pStyle w:val="ListParagraph"/>
        <w:numPr>
          <w:ilvl w:val="0"/>
          <w:numId w:val="44"/>
        </w:numPr>
        <w:tabs>
          <w:tab w:pos="2381" w:val="left" w:leader="none"/>
          <w:tab w:pos="2382" w:val="left" w:leader="none"/>
        </w:tabs>
        <w:spacing w:line="240" w:lineRule="auto" w:before="1" w:after="0"/>
        <w:ind w:left="2381" w:right="1935" w:hanging="794"/>
        <w:jc w:val="left"/>
        <w:rPr>
          <w:sz w:val="13"/>
        </w:rPr>
      </w:pPr>
      <w:r>
        <w:rPr/>
        <w:pict>
          <v:shape style="position:absolute;margin-left:36pt;margin-top:11.000064pt;width:13.35pt;height:14.25pt;mso-position-horizontal-relative:page;mso-position-vertical-relative:paragraph;z-index:4816" type="#_x0000_t202" filled="false" stroked="false">
            <v:textbox inset="0,0,0,0">
              <w:txbxContent>
                <w:p>
                  <w:pPr>
                    <w:spacing w:line="284" w:lineRule="exact" w:before="0"/>
                    <w:ind w:left="0" w:right="0" w:firstLine="0"/>
                    <w:jc w:val="left"/>
                    <w:rPr>
                      <w:b/>
                      <w:sz w:val="24"/>
                    </w:rPr>
                  </w:pPr>
                  <w:r>
                    <w:rPr>
                      <w:b/>
                      <w:color w:val="658464"/>
                      <w:spacing w:val="-1"/>
                      <w:w w:val="110"/>
                      <w:sz w:val="24"/>
                    </w:rPr>
                    <w:t>62</w:t>
                  </w:r>
                </w:p>
              </w:txbxContent>
            </v:textbox>
            <w10:wrap type="none"/>
          </v:shape>
        </w:pict>
      </w:r>
      <w:r>
        <w:rPr>
          <w:w w:val="105"/>
          <w:sz w:val="13"/>
        </w:rPr>
        <w:t>Consultations 8 (City of Boroondara), 9 (Nillumbik Shire Council), 10 </w:t>
      </w:r>
      <w:r>
        <w:rPr>
          <w:spacing w:val="2"/>
          <w:w w:val="105"/>
          <w:sz w:val="13"/>
        </w:rPr>
        <w:t>(Baw </w:t>
      </w:r>
      <w:r>
        <w:rPr>
          <w:w w:val="105"/>
          <w:sz w:val="13"/>
        </w:rPr>
        <w:t>Baw Shire Council), </w:t>
      </w:r>
      <w:r>
        <w:rPr>
          <w:spacing w:val="-4"/>
          <w:w w:val="105"/>
          <w:sz w:val="13"/>
        </w:rPr>
        <w:t>12 </w:t>
      </w:r>
      <w:r>
        <w:rPr>
          <w:w w:val="105"/>
          <w:sz w:val="13"/>
        </w:rPr>
        <w:t>(City of Port Phillip); See also City of Greater</w:t>
      </w:r>
      <w:r>
        <w:rPr>
          <w:spacing w:val="4"/>
          <w:w w:val="105"/>
          <w:sz w:val="13"/>
        </w:rPr>
        <w:t> </w:t>
      </w:r>
      <w:r>
        <w:rPr>
          <w:w w:val="105"/>
          <w:sz w:val="13"/>
        </w:rPr>
        <w:t>Bendigo,</w:t>
      </w:r>
      <w:r>
        <w:rPr>
          <w:spacing w:val="5"/>
          <w:w w:val="105"/>
          <w:sz w:val="13"/>
        </w:rPr>
        <w:t> </w:t>
      </w:r>
      <w:r>
        <w:rPr>
          <w:i/>
          <w:w w:val="105"/>
          <w:sz w:val="13"/>
        </w:rPr>
        <w:t>Urban</w:t>
      </w:r>
      <w:r>
        <w:rPr>
          <w:i/>
          <w:spacing w:val="5"/>
          <w:w w:val="105"/>
          <w:sz w:val="13"/>
        </w:rPr>
        <w:t> </w:t>
      </w:r>
      <w:r>
        <w:rPr>
          <w:i/>
          <w:w w:val="105"/>
          <w:sz w:val="13"/>
        </w:rPr>
        <w:t>Tree</w:t>
      </w:r>
      <w:r>
        <w:rPr>
          <w:i/>
          <w:spacing w:val="5"/>
          <w:w w:val="105"/>
          <w:sz w:val="13"/>
        </w:rPr>
        <w:t> </w:t>
      </w:r>
      <w:r>
        <w:rPr>
          <w:i/>
          <w:w w:val="105"/>
          <w:sz w:val="13"/>
        </w:rPr>
        <w:t>Management</w:t>
      </w:r>
      <w:r>
        <w:rPr>
          <w:i/>
          <w:spacing w:val="4"/>
          <w:w w:val="105"/>
          <w:sz w:val="13"/>
        </w:rPr>
        <w:t> </w:t>
      </w:r>
      <w:r>
        <w:rPr>
          <w:i/>
          <w:w w:val="105"/>
          <w:sz w:val="13"/>
        </w:rPr>
        <w:t>Policy</w:t>
      </w:r>
      <w:r>
        <w:rPr>
          <w:i/>
          <w:spacing w:val="5"/>
          <w:w w:val="105"/>
          <w:sz w:val="13"/>
        </w:rPr>
        <w:t> </w:t>
      </w:r>
      <w:r>
        <w:rPr>
          <w:spacing w:val="-2"/>
          <w:w w:val="105"/>
          <w:sz w:val="13"/>
        </w:rPr>
        <w:t>(16</w:t>
      </w:r>
      <w:r>
        <w:rPr>
          <w:spacing w:val="5"/>
          <w:w w:val="105"/>
          <w:sz w:val="13"/>
        </w:rPr>
        <w:t> </w:t>
      </w:r>
      <w:r>
        <w:rPr>
          <w:w w:val="105"/>
          <w:sz w:val="13"/>
        </w:rPr>
        <w:t>August</w:t>
      </w:r>
      <w:r>
        <w:rPr>
          <w:spacing w:val="5"/>
          <w:w w:val="105"/>
          <w:sz w:val="13"/>
        </w:rPr>
        <w:t> </w:t>
      </w:r>
      <w:r>
        <w:rPr>
          <w:w w:val="105"/>
          <w:sz w:val="13"/>
        </w:rPr>
        <w:t>2017)</w:t>
      </w:r>
      <w:r>
        <w:rPr>
          <w:spacing w:val="5"/>
          <w:w w:val="105"/>
          <w:sz w:val="13"/>
        </w:rPr>
        <w:t> </w:t>
      </w:r>
      <w:r>
        <w:rPr>
          <w:spacing w:val="-5"/>
          <w:w w:val="105"/>
          <w:sz w:val="13"/>
        </w:rPr>
        <w:t>7.</w:t>
      </w:r>
    </w:p>
    <w:p>
      <w:pPr>
        <w:pStyle w:val="ListParagraph"/>
        <w:numPr>
          <w:ilvl w:val="0"/>
          <w:numId w:val="44"/>
        </w:numPr>
        <w:tabs>
          <w:tab w:pos="2381" w:val="left" w:leader="none"/>
          <w:tab w:pos="2382" w:val="left" w:leader="none"/>
        </w:tabs>
        <w:spacing w:line="240" w:lineRule="auto" w:before="3" w:after="0"/>
        <w:ind w:left="2381" w:right="0" w:hanging="794"/>
        <w:jc w:val="left"/>
        <w:rPr>
          <w:sz w:val="13"/>
        </w:rPr>
      </w:pPr>
      <w:r>
        <w:rPr>
          <w:w w:val="105"/>
          <w:sz w:val="13"/>
        </w:rPr>
        <w:t>See,</w:t>
      </w:r>
      <w:r>
        <w:rPr>
          <w:spacing w:val="5"/>
          <w:w w:val="105"/>
          <w:sz w:val="13"/>
        </w:rPr>
        <w:t> </w:t>
      </w:r>
      <w:r>
        <w:rPr>
          <w:w w:val="105"/>
          <w:sz w:val="13"/>
        </w:rPr>
        <w:t>eg,</w:t>
      </w:r>
      <w:r>
        <w:rPr>
          <w:spacing w:val="5"/>
          <w:w w:val="105"/>
          <w:sz w:val="13"/>
        </w:rPr>
        <w:t> </w:t>
      </w:r>
      <w:r>
        <w:rPr>
          <w:i/>
          <w:w w:val="105"/>
          <w:sz w:val="13"/>
        </w:rPr>
        <w:t>Barker</w:t>
      </w:r>
      <w:r>
        <w:rPr>
          <w:i/>
          <w:spacing w:val="6"/>
          <w:w w:val="105"/>
          <w:sz w:val="13"/>
        </w:rPr>
        <w:t> </w:t>
      </w:r>
      <w:r>
        <w:rPr>
          <w:i/>
          <w:w w:val="105"/>
          <w:sz w:val="13"/>
        </w:rPr>
        <w:t>v</w:t>
      </w:r>
      <w:r>
        <w:rPr>
          <w:i/>
          <w:spacing w:val="5"/>
          <w:w w:val="105"/>
          <w:sz w:val="13"/>
        </w:rPr>
        <w:t> </w:t>
      </w:r>
      <w:r>
        <w:rPr>
          <w:i/>
          <w:w w:val="105"/>
          <w:sz w:val="13"/>
        </w:rPr>
        <w:t>Kryiakides</w:t>
      </w:r>
      <w:r>
        <w:rPr>
          <w:i/>
          <w:spacing w:val="6"/>
          <w:w w:val="105"/>
          <w:sz w:val="13"/>
        </w:rPr>
        <w:t> </w:t>
      </w:r>
      <w:r>
        <w:rPr>
          <w:w w:val="105"/>
          <w:sz w:val="13"/>
        </w:rPr>
        <w:t>[2007]</w:t>
      </w:r>
      <w:r>
        <w:rPr>
          <w:spacing w:val="5"/>
          <w:w w:val="105"/>
          <w:sz w:val="13"/>
        </w:rPr>
        <w:t> </w:t>
      </w:r>
      <w:r>
        <w:rPr>
          <w:w w:val="105"/>
          <w:sz w:val="13"/>
        </w:rPr>
        <w:t>NSWLEC</w:t>
      </w:r>
      <w:r>
        <w:rPr>
          <w:spacing w:val="5"/>
          <w:w w:val="105"/>
          <w:sz w:val="13"/>
        </w:rPr>
        <w:t> </w:t>
      </w:r>
      <w:r>
        <w:rPr>
          <w:w w:val="105"/>
          <w:sz w:val="13"/>
        </w:rPr>
        <w:t>292;</w:t>
      </w:r>
      <w:r>
        <w:rPr>
          <w:spacing w:val="6"/>
          <w:w w:val="105"/>
          <w:sz w:val="13"/>
        </w:rPr>
        <w:t> </w:t>
      </w:r>
      <w:r>
        <w:rPr>
          <w:w w:val="105"/>
          <w:sz w:val="13"/>
        </w:rPr>
        <w:t>Explanatory</w:t>
      </w:r>
      <w:r>
        <w:rPr>
          <w:spacing w:val="5"/>
          <w:w w:val="105"/>
          <w:sz w:val="13"/>
        </w:rPr>
        <w:t> </w:t>
      </w:r>
      <w:r>
        <w:rPr>
          <w:w w:val="105"/>
          <w:sz w:val="13"/>
        </w:rPr>
        <w:t>Notes,</w:t>
      </w:r>
      <w:r>
        <w:rPr>
          <w:spacing w:val="6"/>
          <w:w w:val="105"/>
          <w:sz w:val="13"/>
        </w:rPr>
        <w:t> </w:t>
      </w:r>
      <w:r>
        <w:rPr>
          <w:w w:val="105"/>
          <w:sz w:val="13"/>
        </w:rPr>
        <w:t>Neighbourhood</w:t>
      </w:r>
      <w:r>
        <w:rPr>
          <w:spacing w:val="5"/>
          <w:w w:val="105"/>
          <w:sz w:val="13"/>
        </w:rPr>
        <w:t> </w:t>
      </w:r>
      <w:r>
        <w:rPr>
          <w:w w:val="105"/>
          <w:sz w:val="13"/>
        </w:rPr>
        <w:t>Disputes</w:t>
      </w:r>
      <w:r>
        <w:rPr>
          <w:spacing w:val="5"/>
          <w:w w:val="105"/>
          <w:sz w:val="13"/>
        </w:rPr>
        <w:t> </w:t>
      </w:r>
      <w:r>
        <w:rPr>
          <w:w w:val="105"/>
          <w:sz w:val="13"/>
        </w:rPr>
        <w:t>Resolution</w:t>
      </w:r>
      <w:r>
        <w:rPr>
          <w:spacing w:val="6"/>
          <w:w w:val="105"/>
          <w:sz w:val="13"/>
        </w:rPr>
        <w:t> </w:t>
      </w:r>
      <w:r>
        <w:rPr>
          <w:w w:val="105"/>
          <w:sz w:val="13"/>
        </w:rPr>
        <w:t>Bill</w:t>
      </w:r>
      <w:r>
        <w:rPr>
          <w:spacing w:val="5"/>
          <w:w w:val="105"/>
          <w:sz w:val="13"/>
        </w:rPr>
        <w:t> </w:t>
      </w:r>
      <w:r>
        <w:rPr>
          <w:w w:val="105"/>
          <w:sz w:val="13"/>
        </w:rPr>
        <w:t>2010</w:t>
      </w:r>
      <w:r>
        <w:rPr>
          <w:spacing w:val="6"/>
          <w:w w:val="105"/>
          <w:sz w:val="13"/>
        </w:rPr>
        <w:t> </w:t>
      </w:r>
      <w:r>
        <w:rPr>
          <w:spacing w:val="2"/>
          <w:w w:val="105"/>
          <w:sz w:val="13"/>
        </w:rPr>
        <w:t>(Qld)</w:t>
      </w:r>
      <w:r>
        <w:rPr>
          <w:spacing w:val="5"/>
          <w:w w:val="105"/>
          <w:sz w:val="13"/>
        </w:rPr>
        <w:t> </w:t>
      </w:r>
      <w:r>
        <w:rPr>
          <w:w w:val="105"/>
          <w:sz w:val="13"/>
        </w:rPr>
        <w:t>cl</w:t>
      </w:r>
      <w:r>
        <w:rPr>
          <w:spacing w:val="5"/>
          <w:w w:val="105"/>
          <w:sz w:val="13"/>
        </w:rPr>
        <w:t> </w:t>
      </w:r>
      <w:r>
        <w:rPr>
          <w:spacing w:val="-4"/>
          <w:w w:val="105"/>
          <w:sz w:val="13"/>
        </w:rPr>
        <w:t>61.</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42"/>
        </w:numPr>
        <w:tabs>
          <w:tab w:pos="2381" w:val="left" w:leader="none"/>
          <w:tab w:pos="2382" w:val="left" w:leader="none"/>
        </w:tabs>
        <w:spacing w:line="242" w:lineRule="auto" w:before="91" w:after="0"/>
        <w:ind w:left="2381" w:right="1676" w:hanging="794"/>
        <w:jc w:val="left"/>
        <w:rPr>
          <w:sz w:val="21"/>
        </w:rPr>
      </w:pPr>
      <w:r>
        <w:rPr>
          <w:spacing w:val="-3"/>
          <w:sz w:val="21"/>
        </w:rPr>
        <w:t>Adding to </w:t>
      </w:r>
      <w:r>
        <w:rPr>
          <w:sz w:val="21"/>
        </w:rPr>
        <w:t>the complex web of vegetation </w:t>
      </w:r>
      <w:r>
        <w:rPr>
          <w:spacing w:val="-3"/>
          <w:sz w:val="21"/>
        </w:rPr>
        <w:t>management legislation </w:t>
      </w:r>
      <w:r>
        <w:rPr>
          <w:sz w:val="21"/>
        </w:rPr>
        <w:t>in Victoria  is  </w:t>
      </w:r>
      <w:r>
        <w:rPr>
          <w:spacing w:val="-2"/>
          <w:sz w:val="21"/>
        </w:rPr>
        <w:t>not </w:t>
      </w:r>
      <w:r>
        <w:rPr>
          <w:spacing w:val="-3"/>
          <w:sz w:val="21"/>
        </w:rPr>
        <w:t>desirable. </w:t>
      </w:r>
      <w:r>
        <w:rPr>
          <w:sz w:val="21"/>
        </w:rPr>
        <w:t>The new Act should </w:t>
      </w:r>
      <w:r>
        <w:rPr>
          <w:spacing w:val="-2"/>
          <w:sz w:val="21"/>
        </w:rPr>
        <w:t>not </w:t>
      </w:r>
      <w:r>
        <w:rPr>
          <w:sz w:val="21"/>
        </w:rPr>
        <w:t>restrict or </w:t>
      </w:r>
      <w:r>
        <w:rPr>
          <w:spacing w:val="-3"/>
          <w:sz w:val="21"/>
        </w:rPr>
        <w:t>alter </w:t>
      </w:r>
      <w:r>
        <w:rPr>
          <w:sz w:val="21"/>
        </w:rPr>
        <w:t>the operation of existing laws and established policies in </w:t>
      </w:r>
      <w:r>
        <w:rPr>
          <w:spacing w:val="-3"/>
          <w:sz w:val="21"/>
        </w:rPr>
        <w:t>areas </w:t>
      </w:r>
      <w:r>
        <w:rPr>
          <w:sz w:val="21"/>
        </w:rPr>
        <w:t>of law outside tree </w:t>
      </w:r>
      <w:r>
        <w:rPr>
          <w:spacing w:val="-3"/>
          <w:sz w:val="21"/>
        </w:rPr>
        <w:t>disputes. </w:t>
      </w:r>
      <w:r>
        <w:rPr>
          <w:spacing w:val="-4"/>
          <w:sz w:val="21"/>
        </w:rPr>
        <w:t>However,  </w:t>
      </w:r>
      <w:r>
        <w:rPr>
          <w:sz w:val="21"/>
        </w:rPr>
        <w:t>the </w:t>
      </w:r>
      <w:r>
        <w:rPr>
          <w:spacing w:val="-3"/>
          <w:sz w:val="21"/>
        </w:rPr>
        <w:t>Commission  </w:t>
      </w:r>
      <w:r>
        <w:rPr>
          <w:sz w:val="21"/>
        </w:rPr>
        <w:t>seeks  </w:t>
      </w:r>
      <w:r>
        <w:rPr>
          <w:spacing w:val="-3"/>
          <w:sz w:val="21"/>
        </w:rPr>
        <w:t>to ensure that </w:t>
      </w:r>
      <w:r>
        <w:rPr>
          <w:sz w:val="21"/>
        </w:rPr>
        <w:t>people visit </w:t>
      </w:r>
      <w:r>
        <w:rPr>
          <w:spacing w:val="-5"/>
          <w:sz w:val="21"/>
        </w:rPr>
        <w:t>VCAT  </w:t>
      </w:r>
      <w:r>
        <w:rPr>
          <w:sz w:val="21"/>
        </w:rPr>
        <w:t>only once </w:t>
      </w:r>
      <w:r>
        <w:rPr>
          <w:spacing w:val="-3"/>
          <w:sz w:val="21"/>
        </w:rPr>
        <w:t>to  </w:t>
      </w:r>
      <w:r>
        <w:rPr>
          <w:sz w:val="21"/>
        </w:rPr>
        <w:t>resolve their tree </w:t>
      </w:r>
      <w:r>
        <w:rPr>
          <w:spacing w:val="-3"/>
          <w:sz w:val="21"/>
        </w:rPr>
        <w:t>dispute.</w:t>
      </w:r>
      <w:r>
        <w:rPr>
          <w:spacing w:val="41"/>
          <w:sz w:val="21"/>
        </w:rPr>
        <w:t> </w:t>
      </w:r>
      <w:r>
        <w:rPr>
          <w:sz w:val="21"/>
        </w:rPr>
        <w:t>Where necessary, it </w:t>
      </w:r>
      <w:r>
        <w:rPr>
          <w:spacing w:val="-3"/>
          <w:sz w:val="21"/>
        </w:rPr>
        <w:t>recommends that </w:t>
      </w:r>
      <w:r>
        <w:rPr>
          <w:sz w:val="21"/>
        </w:rPr>
        <w:t>the new Act </w:t>
      </w:r>
      <w:r>
        <w:rPr>
          <w:spacing w:val="-3"/>
          <w:sz w:val="21"/>
        </w:rPr>
        <w:t>constrain  </w:t>
      </w:r>
      <w:r>
        <w:rPr>
          <w:sz w:val="21"/>
        </w:rPr>
        <w:t>some  existing  laws  in  </w:t>
      </w:r>
      <w:r>
        <w:rPr>
          <w:spacing w:val="-3"/>
          <w:sz w:val="21"/>
        </w:rPr>
        <w:t>limited  circumstances </w:t>
      </w:r>
      <w:r>
        <w:rPr>
          <w:sz w:val="21"/>
        </w:rPr>
        <w:t>and with </w:t>
      </w:r>
      <w:r>
        <w:rPr>
          <w:spacing w:val="-3"/>
          <w:sz w:val="21"/>
        </w:rPr>
        <w:t>appropriate</w:t>
      </w:r>
      <w:r>
        <w:rPr>
          <w:spacing w:val="27"/>
          <w:sz w:val="21"/>
        </w:rPr>
        <w:t> </w:t>
      </w:r>
      <w:r>
        <w:rPr>
          <w:spacing w:val="-3"/>
          <w:sz w:val="21"/>
        </w:rPr>
        <w:t>safeguards.</w:t>
      </w:r>
    </w:p>
    <w:p>
      <w:pPr>
        <w:pStyle w:val="BodyText"/>
        <w:spacing w:before="7"/>
        <w:rPr>
          <w:sz w:val="20"/>
        </w:rPr>
      </w:pPr>
    </w:p>
    <w:p>
      <w:pPr>
        <w:pStyle w:val="Heading5"/>
        <w:spacing w:before="1"/>
      </w:pPr>
      <w:r>
        <w:rPr>
          <w:w w:val="115"/>
        </w:rPr>
        <w:t>Notify purchasers and new owners of land about existing disputes or Orders</w:t>
      </w:r>
    </w:p>
    <w:p>
      <w:pPr>
        <w:pStyle w:val="ListParagraph"/>
        <w:numPr>
          <w:ilvl w:val="1"/>
          <w:numId w:val="42"/>
        </w:numPr>
        <w:tabs>
          <w:tab w:pos="2381" w:val="left" w:leader="none"/>
          <w:tab w:pos="2382" w:val="left" w:leader="none"/>
        </w:tabs>
        <w:spacing w:line="242" w:lineRule="auto" w:before="137" w:after="0"/>
        <w:ind w:left="2381" w:right="1639" w:hanging="794"/>
        <w:jc w:val="left"/>
        <w:rPr>
          <w:sz w:val="21"/>
        </w:rPr>
      </w:pPr>
      <w:r>
        <w:rPr>
          <w:w w:val="105"/>
          <w:sz w:val="21"/>
        </w:rPr>
        <w:t>The</w:t>
      </w:r>
      <w:r>
        <w:rPr>
          <w:spacing w:val="-5"/>
          <w:w w:val="105"/>
          <w:sz w:val="21"/>
        </w:rPr>
        <w:t> </w:t>
      </w:r>
      <w:r>
        <w:rPr>
          <w:spacing w:val="-3"/>
          <w:w w:val="105"/>
          <w:sz w:val="21"/>
        </w:rPr>
        <w:t>Commission</w:t>
      </w:r>
      <w:r>
        <w:rPr>
          <w:spacing w:val="-4"/>
          <w:w w:val="105"/>
          <w:sz w:val="21"/>
        </w:rPr>
        <w:t> </w:t>
      </w:r>
      <w:r>
        <w:rPr>
          <w:w w:val="105"/>
          <w:sz w:val="21"/>
        </w:rPr>
        <w:t>identifies</w:t>
      </w:r>
      <w:r>
        <w:rPr>
          <w:spacing w:val="-4"/>
          <w:w w:val="105"/>
          <w:sz w:val="21"/>
        </w:rPr>
        <w:t> </w:t>
      </w:r>
      <w:r>
        <w:rPr>
          <w:w w:val="105"/>
          <w:sz w:val="21"/>
        </w:rPr>
        <w:t>a</w:t>
      </w:r>
      <w:r>
        <w:rPr>
          <w:spacing w:val="-4"/>
          <w:w w:val="105"/>
          <w:sz w:val="21"/>
        </w:rPr>
        <w:t> </w:t>
      </w:r>
      <w:r>
        <w:rPr>
          <w:w w:val="105"/>
          <w:sz w:val="21"/>
        </w:rPr>
        <w:t>need</w:t>
      </w:r>
      <w:r>
        <w:rPr>
          <w:spacing w:val="-4"/>
          <w:w w:val="105"/>
          <w:sz w:val="21"/>
        </w:rPr>
        <w:t> </w:t>
      </w:r>
      <w:r>
        <w:rPr>
          <w:spacing w:val="-3"/>
          <w:w w:val="105"/>
          <w:sz w:val="21"/>
        </w:rPr>
        <w:t>for</w:t>
      </w:r>
      <w:r>
        <w:rPr>
          <w:spacing w:val="-4"/>
          <w:w w:val="105"/>
          <w:sz w:val="21"/>
        </w:rPr>
        <w:t> </w:t>
      </w:r>
      <w:r>
        <w:rPr>
          <w:spacing w:val="-3"/>
          <w:w w:val="105"/>
          <w:sz w:val="21"/>
        </w:rPr>
        <w:t>potential</w:t>
      </w:r>
      <w:r>
        <w:rPr>
          <w:spacing w:val="-4"/>
          <w:w w:val="105"/>
          <w:sz w:val="21"/>
        </w:rPr>
        <w:t> </w:t>
      </w:r>
      <w:r>
        <w:rPr>
          <w:spacing w:val="-3"/>
          <w:w w:val="105"/>
          <w:sz w:val="21"/>
        </w:rPr>
        <w:t>purchasers</w:t>
      </w:r>
      <w:r>
        <w:rPr>
          <w:spacing w:val="-4"/>
          <w:w w:val="105"/>
          <w:sz w:val="21"/>
        </w:rPr>
        <w:t> </w:t>
      </w:r>
      <w:r>
        <w:rPr>
          <w:w w:val="105"/>
          <w:sz w:val="21"/>
        </w:rPr>
        <w:t>and</w:t>
      </w:r>
      <w:r>
        <w:rPr>
          <w:spacing w:val="-4"/>
          <w:w w:val="105"/>
          <w:sz w:val="21"/>
        </w:rPr>
        <w:t> </w:t>
      </w:r>
      <w:r>
        <w:rPr>
          <w:w w:val="105"/>
          <w:sz w:val="21"/>
        </w:rPr>
        <w:t>new</w:t>
      </w:r>
      <w:r>
        <w:rPr>
          <w:spacing w:val="-4"/>
          <w:w w:val="105"/>
          <w:sz w:val="21"/>
        </w:rPr>
        <w:t> </w:t>
      </w:r>
      <w:r>
        <w:rPr>
          <w:w w:val="105"/>
          <w:sz w:val="21"/>
        </w:rPr>
        <w:t>landowners</w:t>
      </w:r>
      <w:r>
        <w:rPr>
          <w:spacing w:val="-4"/>
          <w:w w:val="105"/>
          <w:sz w:val="21"/>
        </w:rPr>
        <w:t> </w:t>
      </w:r>
      <w:r>
        <w:rPr>
          <w:spacing w:val="-3"/>
          <w:w w:val="105"/>
          <w:sz w:val="21"/>
        </w:rPr>
        <w:t>to</w:t>
      </w:r>
      <w:r>
        <w:rPr>
          <w:spacing w:val="-4"/>
          <w:w w:val="105"/>
          <w:sz w:val="21"/>
        </w:rPr>
        <w:t> </w:t>
      </w:r>
      <w:r>
        <w:rPr>
          <w:w w:val="105"/>
          <w:sz w:val="21"/>
        </w:rPr>
        <w:t>be</w:t>
      </w:r>
      <w:r>
        <w:rPr>
          <w:spacing w:val="-4"/>
          <w:w w:val="105"/>
          <w:sz w:val="21"/>
        </w:rPr>
        <w:t> </w:t>
      </w:r>
      <w:r>
        <w:rPr>
          <w:w w:val="105"/>
          <w:sz w:val="21"/>
        </w:rPr>
        <w:t>put on </w:t>
      </w:r>
      <w:r>
        <w:rPr>
          <w:spacing w:val="-3"/>
          <w:w w:val="105"/>
          <w:sz w:val="21"/>
        </w:rPr>
        <w:t>notice </w:t>
      </w:r>
      <w:r>
        <w:rPr>
          <w:w w:val="105"/>
          <w:sz w:val="21"/>
        </w:rPr>
        <w:t>of </w:t>
      </w:r>
      <w:r>
        <w:rPr>
          <w:spacing w:val="-3"/>
          <w:w w:val="105"/>
          <w:sz w:val="21"/>
        </w:rPr>
        <w:t>obligations that may </w:t>
      </w:r>
      <w:r>
        <w:rPr>
          <w:w w:val="105"/>
          <w:sz w:val="21"/>
        </w:rPr>
        <w:t>apply </w:t>
      </w:r>
      <w:r>
        <w:rPr>
          <w:spacing w:val="-3"/>
          <w:w w:val="105"/>
          <w:sz w:val="21"/>
        </w:rPr>
        <w:t>to </w:t>
      </w:r>
      <w:r>
        <w:rPr>
          <w:w w:val="105"/>
          <w:sz w:val="21"/>
        </w:rPr>
        <w:t>them under the new Act if they </w:t>
      </w:r>
      <w:r>
        <w:rPr>
          <w:spacing w:val="-3"/>
          <w:w w:val="105"/>
          <w:sz w:val="21"/>
        </w:rPr>
        <w:t>purchase land. </w:t>
      </w:r>
      <w:r>
        <w:rPr>
          <w:w w:val="105"/>
          <w:sz w:val="21"/>
        </w:rPr>
        <w:t>This is needed </w:t>
      </w:r>
      <w:r>
        <w:rPr>
          <w:spacing w:val="-3"/>
          <w:w w:val="105"/>
          <w:sz w:val="21"/>
        </w:rPr>
        <w:t>to </w:t>
      </w:r>
      <w:r>
        <w:rPr>
          <w:w w:val="105"/>
          <w:sz w:val="21"/>
        </w:rPr>
        <w:t>provide certainty about the resolution of a </w:t>
      </w:r>
      <w:r>
        <w:rPr>
          <w:spacing w:val="-3"/>
          <w:w w:val="105"/>
          <w:sz w:val="21"/>
        </w:rPr>
        <w:t>dispute </w:t>
      </w:r>
      <w:r>
        <w:rPr>
          <w:w w:val="105"/>
          <w:sz w:val="21"/>
        </w:rPr>
        <w:t>and </w:t>
      </w:r>
      <w:r>
        <w:rPr>
          <w:spacing w:val="-3"/>
          <w:w w:val="105"/>
          <w:sz w:val="21"/>
        </w:rPr>
        <w:t>to prevent </w:t>
      </w:r>
      <w:r>
        <w:rPr>
          <w:w w:val="105"/>
          <w:sz w:val="21"/>
        </w:rPr>
        <w:t>tree </w:t>
      </w:r>
      <w:r>
        <w:rPr>
          <w:spacing w:val="-3"/>
          <w:w w:val="105"/>
          <w:sz w:val="21"/>
        </w:rPr>
        <w:t>disputes arising </w:t>
      </w:r>
      <w:r>
        <w:rPr>
          <w:w w:val="105"/>
          <w:sz w:val="21"/>
        </w:rPr>
        <w:t>in the</w:t>
      </w:r>
      <w:r>
        <w:rPr>
          <w:spacing w:val="26"/>
          <w:w w:val="105"/>
          <w:sz w:val="21"/>
        </w:rPr>
        <w:t> </w:t>
      </w:r>
      <w:r>
        <w:rPr>
          <w:spacing w:val="-4"/>
          <w:w w:val="105"/>
          <w:sz w:val="21"/>
        </w:rPr>
        <w:t>future.</w:t>
      </w:r>
    </w:p>
    <w:p>
      <w:pPr>
        <w:pStyle w:val="BodyText"/>
        <w:spacing w:before="5"/>
        <w:rPr>
          <w:sz w:val="20"/>
        </w:rPr>
      </w:pPr>
    </w:p>
    <w:p>
      <w:pPr>
        <w:pStyle w:val="Heading5"/>
      </w:pPr>
      <w:r>
        <w:rPr>
          <w:w w:val="115"/>
        </w:rPr>
        <w:t>Provide accessible laws, information and support</w:t>
      </w:r>
    </w:p>
    <w:p>
      <w:pPr>
        <w:pStyle w:val="ListParagraph"/>
        <w:numPr>
          <w:ilvl w:val="1"/>
          <w:numId w:val="42"/>
        </w:numPr>
        <w:tabs>
          <w:tab w:pos="2381" w:val="left" w:leader="none"/>
          <w:tab w:pos="2382" w:val="left" w:leader="none"/>
        </w:tabs>
        <w:spacing w:line="242" w:lineRule="auto" w:before="137" w:after="0"/>
        <w:ind w:left="2381" w:right="1913" w:hanging="794"/>
        <w:jc w:val="left"/>
        <w:rPr>
          <w:sz w:val="21"/>
        </w:rPr>
      </w:pPr>
      <w:r>
        <w:rPr>
          <w:w w:val="105"/>
          <w:sz w:val="21"/>
        </w:rPr>
        <w:t>The </w:t>
      </w:r>
      <w:r>
        <w:rPr>
          <w:spacing w:val="-3"/>
          <w:w w:val="105"/>
          <w:sz w:val="21"/>
        </w:rPr>
        <w:t>language </w:t>
      </w:r>
      <w:r>
        <w:rPr>
          <w:w w:val="105"/>
          <w:sz w:val="21"/>
        </w:rPr>
        <w:t>and structure of the new Act needs </w:t>
      </w:r>
      <w:r>
        <w:rPr>
          <w:spacing w:val="-3"/>
          <w:w w:val="105"/>
          <w:sz w:val="21"/>
        </w:rPr>
        <w:t>to </w:t>
      </w:r>
      <w:r>
        <w:rPr>
          <w:w w:val="105"/>
          <w:sz w:val="21"/>
        </w:rPr>
        <w:t>be </w:t>
      </w:r>
      <w:r>
        <w:rPr>
          <w:spacing w:val="-3"/>
          <w:w w:val="105"/>
          <w:sz w:val="21"/>
        </w:rPr>
        <w:t>clear </w:t>
      </w:r>
      <w:r>
        <w:rPr>
          <w:w w:val="105"/>
          <w:sz w:val="21"/>
        </w:rPr>
        <w:t>and </w:t>
      </w:r>
      <w:r>
        <w:rPr>
          <w:spacing w:val="-3"/>
          <w:w w:val="105"/>
          <w:sz w:val="21"/>
        </w:rPr>
        <w:t>simple to ensure </w:t>
      </w:r>
      <w:r>
        <w:rPr>
          <w:w w:val="105"/>
          <w:sz w:val="21"/>
        </w:rPr>
        <w:t>it is widely </w:t>
      </w:r>
      <w:r>
        <w:rPr>
          <w:spacing w:val="-3"/>
          <w:w w:val="105"/>
          <w:sz w:val="21"/>
        </w:rPr>
        <w:t>accessible to </w:t>
      </w:r>
      <w:r>
        <w:rPr>
          <w:w w:val="105"/>
          <w:sz w:val="21"/>
        </w:rPr>
        <w:t>the</w:t>
      </w:r>
      <w:r>
        <w:rPr>
          <w:spacing w:val="25"/>
          <w:w w:val="105"/>
          <w:sz w:val="21"/>
        </w:rPr>
        <w:t> </w:t>
      </w:r>
      <w:r>
        <w:rPr>
          <w:spacing w:val="-4"/>
          <w:w w:val="105"/>
          <w:sz w:val="21"/>
        </w:rPr>
        <w:t>community.</w:t>
      </w:r>
    </w:p>
    <w:p>
      <w:pPr>
        <w:pStyle w:val="ListParagraph"/>
        <w:numPr>
          <w:ilvl w:val="1"/>
          <w:numId w:val="42"/>
        </w:numPr>
        <w:tabs>
          <w:tab w:pos="2381" w:val="left" w:leader="none"/>
          <w:tab w:pos="2382" w:val="left" w:leader="none"/>
        </w:tabs>
        <w:spacing w:line="240" w:lineRule="auto" w:before="123" w:after="0"/>
        <w:ind w:left="2381" w:right="0" w:hanging="794"/>
        <w:jc w:val="left"/>
        <w:rPr>
          <w:sz w:val="21"/>
        </w:rPr>
      </w:pPr>
      <w:r>
        <w:rPr>
          <w:sz w:val="21"/>
        </w:rPr>
        <w:t>Extensive,</w:t>
      </w:r>
      <w:r>
        <w:rPr>
          <w:spacing w:val="9"/>
          <w:sz w:val="21"/>
        </w:rPr>
        <w:t> </w:t>
      </w:r>
      <w:r>
        <w:rPr>
          <w:spacing w:val="-3"/>
          <w:sz w:val="21"/>
        </w:rPr>
        <w:t>accessible</w:t>
      </w:r>
      <w:r>
        <w:rPr>
          <w:spacing w:val="10"/>
          <w:sz w:val="21"/>
        </w:rPr>
        <w:t> </w:t>
      </w:r>
      <w:r>
        <w:rPr>
          <w:sz w:val="21"/>
        </w:rPr>
        <w:t>community</w:t>
      </w:r>
      <w:r>
        <w:rPr>
          <w:spacing w:val="10"/>
          <w:sz w:val="21"/>
        </w:rPr>
        <w:t> </w:t>
      </w:r>
      <w:r>
        <w:rPr>
          <w:spacing w:val="-3"/>
          <w:sz w:val="21"/>
        </w:rPr>
        <w:t>information</w:t>
      </w:r>
      <w:r>
        <w:rPr>
          <w:spacing w:val="10"/>
          <w:sz w:val="21"/>
        </w:rPr>
        <w:t> </w:t>
      </w:r>
      <w:r>
        <w:rPr>
          <w:sz w:val="21"/>
        </w:rPr>
        <w:t>should</w:t>
      </w:r>
      <w:r>
        <w:rPr>
          <w:spacing w:val="10"/>
          <w:sz w:val="21"/>
        </w:rPr>
        <w:t> </w:t>
      </w:r>
      <w:r>
        <w:rPr>
          <w:sz w:val="21"/>
        </w:rPr>
        <w:t>also</w:t>
      </w:r>
      <w:r>
        <w:rPr>
          <w:spacing w:val="10"/>
          <w:sz w:val="21"/>
        </w:rPr>
        <w:t> </w:t>
      </w:r>
      <w:r>
        <w:rPr>
          <w:sz w:val="21"/>
        </w:rPr>
        <w:t>be</w:t>
      </w:r>
      <w:r>
        <w:rPr>
          <w:spacing w:val="10"/>
          <w:sz w:val="21"/>
        </w:rPr>
        <w:t> </w:t>
      </w:r>
      <w:r>
        <w:rPr>
          <w:sz w:val="21"/>
        </w:rPr>
        <w:t>provided</w:t>
      </w:r>
      <w:r>
        <w:rPr>
          <w:spacing w:val="10"/>
          <w:sz w:val="21"/>
        </w:rPr>
        <w:t> </w:t>
      </w:r>
      <w:r>
        <w:rPr>
          <w:sz w:val="21"/>
        </w:rPr>
        <w:t>about:</w:t>
      </w:r>
    </w:p>
    <w:p>
      <w:pPr>
        <w:pStyle w:val="ListParagraph"/>
        <w:numPr>
          <w:ilvl w:val="2"/>
          <w:numId w:val="42"/>
        </w:numPr>
        <w:tabs>
          <w:tab w:pos="2721" w:val="left" w:leader="none"/>
          <w:tab w:pos="2722" w:val="left" w:leader="none"/>
        </w:tabs>
        <w:spacing w:line="240" w:lineRule="auto" w:before="123" w:after="0"/>
        <w:ind w:left="2721" w:right="0" w:hanging="340"/>
        <w:jc w:val="left"/>
        <w:rPr>
          <w:sz w:val="21"/>
        </w:rPr>
      </w:pPr>
      <w:r>
        <w:rPr>
          <w:w w:val="105"/>
          <w:sz w:val="21"/>
        </w:rPr>
        <w:t>how the Act works in practice and what </w:t>
      </w:r>
      <w:r>
        <w:rPr>
          <w:spacing w:val="-3"/>
          <w:w w:val="105"/>
          <w:sz w:val="21"/>
        </w:rPr>
        <w:t>to </w:t>
      </w:r>
      <w:r>
        <w:rPr>
          <w:w w:val="105"/>
          <w:sz w:val="21"/>
        </w:rPr>
        <w:t>expect if a matter proceeds </w:t>
      </w:r>
      <w:r>
        <w:rPr>
          <w:spacing w:val="-3"/>
          <w:w w:val="105"/>
          <w:sz w:val="21"/>
        </w:rPr>
        <w:t>to</w:t>
      </w:r>
      <w:r>
        <w:rPr>
          <w:spacing w:val="-1"/>
          <w:w w:val="105"/>
          <w:sz w:val="21"/>
        </w:rPr>
        <w:t> </w:t>
      </w:r>
      <w:r>
        <w:rPr>
          <w:spacing w:val="-3"/>
          <w:w w:val="105"/>
          <w:sz w:val="21"/>
        </w:rPr>
        <w:t>hearing</w:t>
      </w:r>
    </w:p>
    <w:p>
      <w:pPr>
        <w:pStyle w:val="ListParagraph"/>
        <w:numPr>
          <w:ilvl w:val="2"/>
          <w:numId w:val="42"/>
        </w:numPr>
        <w:tabs>
          <w:tab w:pos="2721" w:val="left" w:leader="none"/>
          <w:tab w:pos="2722" w:val="left" w:leader="none"/>
        </w:tabs>
        <w:spacing w:line="240" w:lineRule="auto" w:before="89" w:after="0"/>
        <w:ind w:left="2721" w:right="0" w:hanging="340"/>
        <w:jc w:val="left"/>
        <w:rPr>
          <w:sz w:val="21"/>
        </w:rPr>
      </w:pPr>
      <w:r>
        <w:rPr>
          <w:sz w:val="21"/>
        </w:rPr>
        <w:t>agencies</w:t>
      </w:r>
      <w:r>
        <w:rPr>
          <w:spacing w:val="8"/>
          <w:sz w:val="21"/>
        </w:rPr>
        <w:t> </w:t>
      </w:r>
      <w:r>
        <w:rPr>
          <w:sz w:val="21"/>
        </w:rPr>
        <w:t>and</w:t>
      </w:r>
      <w:r>
        <w:rPr>
          <w:spacing w:val="9"/>
          <w:sz w:val="21"/>
        </w:rPr>
        <w:t> </w:t>
      </w:r>
      <w:r>
        <w:rPr>
          <w:sz w:val="21"/>
        </w:rPr>
        <w:t>experts</w:t>
      </w:r>
      <w:r>
        <w:rPr>
          <w:spacing w:val="9"/>
          <w:sz w:val="21"/>
        </w:rPr>
        <w:t> </w:t>
      </w:r>
      <w:r>
        <w:rPr>
          <w:spacing w:val="-3"/>
          <w:sz w:val="21"/>
        </w:rPr>
        <w:t>that</w:t>
      </w:r>
      <w:r>
        <w:rPr>
          <w:spacing w:val="9"/>
          <w:sz w:val="21"/>
        </w:rPr>
        <w:t> </w:t>
      </w:r>
      <w:r>
        <w:rPr>
          <w:sz w:val="21"/>
        </w:rPr>
        <w:t>can</w:t>
      </w:r>
      <w:r>
        <w:rPr>
          <w:spacing w:val="9"/>
          <w:sz w:val="21"/>
        </w:rPr>
        <w:t> </w:t>
      </w:r>
      <w:r>
        <w:rPr>
          <w:sz w:val="21"/>
        </w:rPr>
        <w:t>help</w:t>
      </w:r>
      <w:r>
        <w:rPr>
          <w:spacing w:val="9"/>
          <w:sz w:val="21"/>
        </w:rPr>
        <w:t> </w:t>
      </w:r>
      <w:r>
        <w:rPr>
          <w:sz w:val="21"/>
        </w:rPr>
        <w:t>parties</w:t>
      </w:r>
      <w:r>
        <w:rPr>
          <w:spacing w:val="9"/>
          <w:sz w:val="21"/>
        </w:rPr>
        <w:t> </w:t>
      </w:r>
      <w:r>
        <w:rPr>
          <w:sz w:val="21"/>
        </w:rPr>
        <w:t>resolve</w:t>
      </w:r>
      <w:r>
        <w:rPr>
          <w:spacing w:val="9"/>
          <w:sz w:val="21"/>
        </w:rPr>
        <w:t> </w:t>
      </w:r>
      <w:r>
        <w:rPr>
          <w:sz w:val="21"/>
        </w:rPr>
        <w:t>their</w:t>
      </w:r>
      <w:r>
        <w:rPr>
          <w:spacing w:val="9"/>
          <w:sz w:val="21"/>
        </w:rPr>
        <w:t> </w:t>
      </w:r>
      <w:r>
        <w:rPr>
          <w:spacing w:val="-3"/>
          <w:sz w:val="21"/>
        </w:rPr>
        <w:t>disputes</w:t>
      </w:r>
    </w:p>
    <w:p>
      <w:pPr>
        <w:pStyle w:val="ListParagraph"/>
        <w:numPr>
          <w:ilvl w:val="2"/>
          <w:numId w:val="42"/>
        </w:numPr>
        <w:tabs>
          <w:tab w:pos="2721" w:val="left" w:leader="none"/>
          <w:tab w:pos="2722" w:val="left" w:leader="none"/>
        </w:tabs>
        <w:spacing w:line="240" w:lineRule="auto" w:before="89" w:after="0"/>
        <w:ind w:left="2721" w:right="0" w:hanging="340"/>
        <w:jc w:val="left"/>
        <w:rPr>
          <w:sz w:val="21"/>
        </w:rPr>
      </w:pPr>
      <w:r>
        <w:rPr>
          <w:w w:val="105"/>
          <w:sz w:val="21"/>
        </w:rPr>
        <w:t>how </w:t>
      </w:r>
      <w:r>
        <w:rPr>
          <w:spacing w:val="-3"/>
          <w:w w:val="105"/>
          <w:sz w:val="21"/>
        </w:rPr>
        <w:t>to manage </w:t>
      </w:r>
      <w:r>
        <w:rPr>
          <w:w w:val="105"/>
          <w:sz w:val="21"/>
        </w:rPr>
        <w:t>vegetation</w:t>
      </w:r>
      <w:r>
        <w:rPr>
          <w:spacing w:val="27"/>
          <w:w w:val="105"/>
          <w:sz w:val="21"/>
        </w:rPr>
        <w:t> </w:t>
      </w:r>
      <w:r>
        <w:rPr>
          <w:spacing w:val="-4"/>
          <w:w w:val="105"/>
          <w:sz w:val="21"/>
        </w:rPr>
        <w:t>better.</w:t>
      </w:r>
    </w:p>
    <w:p>
      <w:pPr>
        <w:pStyle w:val="ListParagraph"/>
        <w:numPr>
          <w:ilvl w:val="1"/>
          <w:numId w:val="42"/>
        </w:numPr>
        <w:tabs>
          <w:tab w:pos="2381" w:val="left" w:leader="none"/>
          <w:tab w:pos="2382" w:val="left" w:leader="none"/>
        </w:tabs>
        <w:spacing w:line="242" w:lineRule="auto" w:before="88" w:after="0"/>
        <w:ind w:left="2381" w:right="1634" w:hanging="794"/>
        <w:jc w:val="left"/>
        <w:rPr>
          <w:sz w:val="21"/>
        </w:rPr>
      </w:pPr>
      <w:r>
        <w:rPr>
          <w:spacing w:val="-2"/>
          <w:w w:val="105"/>
          <w:sz w:val="21"/>
        </w:rPr>
        <w:t>Resources </w:t>
      </w:r>
      <w:r>
        <w:rPr>
          <w:w w:val="105"/>
          <w:sz w:val="21"/>
        </w:rPr>
        <w:t>should be developed </w:t>
      </w:r>
      <w:r>
        <w:rPr>
          <w:spacing w:val="-3"/>
          <w:w w:val="105"/>
          <w:sz w:val="21"/>
        </w:rPr>
        <w:t>to improve </w:t>
      </w:r>
      <w:r>
        <w:rPr>
          <w:w w:val="105"/>
          <w:sz w:val="21"/>
        </w:rPr>
        <w:t>the </w:t>
      </w:r>
      <w:r>
        <w:rPr>
          <w:spacing w:val="-3"/>
          <w:w w:val="105"/>
          <w:sz w:val="21"/>
        </w:rPr>
        <w:t>community’s </w:t>
      </w:r>
      <w:r>
        <w:rPr>
          <w:w w:val="105"/>
          <w:sz w:val="21"/>
        </w:rPr>
        <w:t>understanding of trees, </w:t>
      </w:r>
      <w:r>
        <w:rPr>
          <w:spacing w:val="-3"/>
          <w:w w:val="105"/>
          <w:sz w:val="21"/>
        </w:rPr>
        <w:t>for </w:t>
      </w:r>
      <w:r>
        <w:rPr>
          <w:w w:val="105"/>
          <w:sz w:val="21"/>
        </w:rPr>
        <w:t>example their </w:t>
      </w:r>
      <w:r>
        <w:rPr>
          <w:spacing w:val="-3"/>
          <w:w w:val="105"/>
          <w:sz w:val="21"/>
        </w:rPr>
        <w:t>rate </w:t>
      </w:r>
      <w:r>
        <w:rPr>
          <w:w w:val="105"/>
          <w:sz w:val="21"/>
        </w:rPr>
        <w:t>of growth, and how </w:t>
      </w:r>
      <w:r>
        <w:rPr>
          <w:spacing w:val="-3"/>
          <w:w w:val="105"/>
          <w:sz w:val="21"/>
        </w:rPr>
        <w:t>to </w:t>
      </w:r>
      <w:r>
        <w:rPr>
          <w:w w:val="105"/>
          <w:sz w:val="21"/>
        </w:rPr>
        <w:t>best </w:t>
      </w:r>
      <w:r>
        <w:rPr>
          <w:spacing w:val="-3"/>
          <w:w w:val="105"/>
          <w:sz w:val="21"/>
        </w:rPr>
        <w:t>manage </w:t>
      </w:r>
      <w:r>
        <w:rPr>
          <w:w w:val="105"/>
          <w:sz w:val="21"/>
        </w:rPr>
        <w:t>issues with trees on </w:t>
      </w:r>
      <w:r>
        <w:rPr>
          <w:spacing w:val="-3"/>
          <w:w w:val="105"/>
          <w:sz w:val="21"/>
        </w:rPr>
        <w:t>neighbouring land. </w:t>
      </w:r>
      <w:r>
        <w:rPr>
          <w:w w:val="105"/>
          <w:sz w:val="21"/>
        </w:rPr>
        <w:t>See </w:t>
      </w:r>
      <w:r>
        <w:rPr>
          <w:spacing w:val="-4"/>
          <w:w w:val="105"/>
          <w:sz w:val="21"/>
        </w:rPr>
        <w:t>Chapter</w:t>
      </w:r>
      <w:r>
        <w:rPr>
          <w:spacing w:val="20"/>
          <w:w w:val="105"/>
          <w:sz w:val="21"/>
        </w:rPr>
        <w:t> </w:t>
      </w:r>
      <w:r>
        <w:rPr>
          <w:spacing w:val="-9"/>
          <w:w w:val="105"/>
          <w:sz w:val="21"/>
        </w:rPr>
        <w:t>12.</w:t>
      </w:r>
    </w:p>
    <w:p>
      <w:pPr>
        <w:pStyle w:val="BodyText"/>
        <w:spacing w:before="4"/>
        <w:rPr>
          <w:sz w:val="20"/>
        </w:rPr>
      </w:pPr>
    </w:p>
    <w:p>
      <w:pPr>
        <w:pStyle w:val="Heading5"/>
      </w:pPr>
      <w:r>
        <w:rPr>
          <w:w w:val="115"/>
        </w:rPr>
        <w:t>Resolve</w:t>
      </w:r>
      <w:r>
        <w:rPr>
          <w:spacing w:val="-32"/>
          <w:w w:val="115"/>
        </w:rPr>
        <w:t> </w:t>
      </w:r>
      <w:r>
        <w:rPr>
          <w:w w:val="115"/>
        </w:rPr>
        <w:t>disputes</w:t>
      </w:r>
      <w:r>
        <w:rPr>
          <w:spacing w:val="-31"/>
          <w:w w:val="115"/>
        </w:rPr>
        <w:t> </w:t>
      </w:r>
      <w:r>
        <w:rPr>
          <w:w w:val="115"/>
        </w:rPr>
        <w:t>with</w:t>
      </w:r>
      <w:r>
        <w:rPr>
          <w:spacing w:val="-31"/>
          <w:w w:val="115"/>
        </w:rPr>
        <w:t> </w:t>
      </w:r>
      <w:r>
        <w:rPr>
          <w:w w:val="115"/>
        </w:rPr>
        <w:t>professional</w:t>
      </w:r>
      <w:r>
        <w:rPr>
          <w:spacing w:val="-31"/>
          <w:w w:val="115"/>
        </w:rPr>
        <w:t> </w:t>
      </w:r>
      <w:r>
        <w:rPr>
          <w:w w:val="115"/>
        </w:rPr>
        <w:t>assistance</w:t>
      </w:r>
    </w:p>
    <w:p>
      <w:pPr>
        <w:pStyle w:val="ListParagraph"/>
        <w:numPr>
          <w:ilvl w:val="1"/>
          <w:numId w:val="42"/>
        </w:numPr>
        <w:tabs>
          <w:tab w:pos="2381" w:val="left" w:leader="none"/>
          <w:tab w:pos="2382" w:val="left" w:leader="none"/>
        </w:tabs>
        <w:spacing w:line="242" w:lineRule="auto" w:before="138" w:after="0"/>
        <w:ind w:left="2381" w:right="1661" w:hanging="794"/>
        <w:jc w:val="left"/>
        <w:rPr>
          <w:sz w:val="21"/>
        </w:rPr>
      </w:pPr>
      <w:r>
        <w:rPr>
          <w:w w:val="105"/>
          <w:sz w:val="21"/>
        </w:rPr>
        <w:t>A </w:t>
      </w:r>
      <w:r>
        <w:rPr>
          <w:spacing w:val="-4"/>
          <w:w w:val="105"/>
          <w:sz w:val="21"/>
        </w:rPr>
        <w:t>failure </w:t>
      </w:r>
      <w:r>
        <w:rPr>
          <w:spacing w:val="-3"/>
          <w:w w:val="105"/>
          <w:sz w:val="21"/>
        </w:rPr>
        <w:t>to </w:t>
      </w:r>
      <w:r>
        <w:rPr>
          <w:w w:val="105"/>
          <w:sz w:val="21"/>
        </w:rPr>
        <w:t>obtain expert assistance at the </w:t>
      </w:r>
      <w:r>
        <w:rPr>
          <w:spacing w:val="-3"/>
          <w:w w:val="105"/>
          <w:sz w:val="21"/>
        </w:rPr>
        <w:t>appropriate </w:t>
      </w:r>
      <w:r>
        <w:rPr>
          <w:w w:val="105"/>
          <w:sz w:val="21"/>
        </w:rPr>
        <w:t>time </w:t>
      </w:r>
      <w:r>
        <w:rPr>
          <w:spacing w:val="-3"/>
          <w:w w:val="105"/>
          <w:sz w:val="21"/>
        </w:rPr>
        <w:t>may </w:t>
      </w:r>
      <w:r>
        <w:rPr>
          <w:w w:val="105"/>
          <w:sz w:val="21"/>
        </w:rPr>
        <w:t>mean </w:t>
      </w:r>
      <w:r>
        <w:rPr>
          <w:spacing w:val="-3"/>
          <w:w w:val="105"/>
          <w:sz w:val="21"/>
        </w:rPr>
        <w:t>that </w:t>
      </w:r>
      <w:r>
        <w:rPr>
          <w:w w:val="105"/>
          <w:sz w:val="21"/>
        </w:rPr>
        <w:t>incorrect </w:t>
      </w:r>
      <w:r>
        <w:rPr>
          <w:spacing w:val="-3"/>
          <w:w w:val="105"/>
          <w:sz w:val="21"/>
        </w:rPr>
        <w:t>assumptions </w:t>
      </w:r>
      <w:r>
        <w:rPr>
          <w:w w:val="105"/>
          <w:sz w:val="21"/>
        </w:rPr>
        <w:t>about the causes of damage or </w:t>
      </w:r>
      <w:r>
        <w:rPr>
          <w:spacing w:val="-3"/>
          <w:w w:val="105"/>
          <w:sz w:val="21"/>
        </w:rPr>
        <w:t>harm are </w:t>
      </w:r>
      <w:r>
        <w:rPr>
          <w:spacing w:val="-2"/>
          <w:w w:val="105"/>
          <w:sz w:val="21"/>
        </w:rPr>
        <w:t>not </w:t>
      </w:r>
      <w:r>
        <w:rPr>
          <w:w w:val="105"/>
          <w:sz w:val="21"/>
        </w:rPr>
        <w:t>addressed and advice about practical</w:t>
      </w:r>
      <w:r>
        <w:rPr>
          <w:spacing w:val="-14"/>
          <w:w w:val="105"/>
          <w:sz w:val="21"/>
        </w:rPr>
        <w:t> </w:t>
      </w:r>
      <w:r>
        <w:rPr>
          <w:w w:val="105"/>
          <w:sz w:val="21"/>
        </w:rPr>
        <w:t>solutions</w:t>
      </w:r>
      <w:r>
        <w:rPr>
          <w:spacing w:val="-14"/>
          <w:w w:val="105"/>
          <w:sz w:val="21"/>
        </w:rPr>
        <w:t> </w:t>
      </w:r>
      <w:r>
        <w:rPr>
          <w:w w:val="105"/>
          <w:sz w:val="21"/>
        </w:rPr>
        <w:t>is</w:t>
      </w:r>
      <w:r>
        <w:rPr>
          <w:spacing w:val="-13"/>
          <w:w w:val="105"/>
          <w:sz w:val="21"/>
        </w:rPr>
        <w:t> </w:t>
      </w:r>
      <w:r>
        <w:rPr>
          <w:spacing w:val="-2"/>
          <w:w w:val="105"/>
          <w:sz w:val="21"/>
        </w:rPr>
        <w:t>not</w:t>
      </w:r>
      <w:r>
        <w:rPr>
          <w:spacing w:val="-14"/>
          <w:w w:val="105"/>
          <w:sz w:val="21"/>
        </w:rPr>
        <w:t> </w:t>
      </w:r>
      <w:r>
        <w:rPr>
          <w:spacing w:val="-2"/>
          <w:w w:val="105"/>
          <w:sz w:val="21"/>
        </w:rPr>
        <w:t>obtained.</w:t>
      </w:r>
      <w:r>
        <w:rPr>
          <w:spacing w:val="-14"/>
          <w:w w:val="105"/>
          <w:sz w:val="21"/>
        </w:rPr>
        <w:t> </w:t>
      </w:r>
      <w:r>
        <w:rPr>
          <w:w w:val="105"/>
          <w:sz w:val="21"/>
        </w:rPr>
        <w:t>The</w:t>
      </w:r>
      <w:r>
        <w:rPr>
          <w:spacing w:val="-13"/>
          <w:w w:val="105"/>
          <w:sz w:val="21"/>
        </w:rPr>
        <w:t> </w:t>
      </w:r>
      <w:r>
        <w:rPr>
          <w:w w:val="105"/>
          <w:sz w:val="21"/>
        </w:rPr>
        <w:t>timely</w:t>
      </w:r>
      <w:r>
        <w:rPr>
          <w:spacing w:val="-14"/>
          <w:w w:val="105"/>
          <w:sz w:val="21"/>
        </w:rPr>
        <w:t> </w:t>
      </w:r>
      <w:r>
        <w:rPr>
          <w:w w:val="105"/>
          <w:sz w:val="21"/>
        </w:rPr>
        <w:t>use</w:t>
      </w:r>
      <w:r>
        <w:rPr>
          <w:spacing w:val="-13"/>
          <w:w w:val="105"/>
          <w:sz w:val="21"/>
        </w:rPr>
        <w:t> </w:t>
      </w:r>
      <w:r>
        <w:rPr>
          <w:w w:val="105"/>
          <w:sz w:val="21"/>
        </w:rPr>
        <w:t>of</w:t>
      </w:r>
      <w:r>
        <w:rPr>
          <w:spacing w:val="-14"/>
          <w:w w:val="105"/>
          <w:sz w:val="21"/>
        </w:rPr>
        <w:t> </w:t>
      </w:r>
      <w:r>
        <w:rPr>
          <w:w w:val="105"/>
          <w:sz w:val="21"/>
        </w:rPr>
        <w:t>expert</w:t>
      </w:r>
      <w:r>
        <w:rPr>
          <w:spacing w:val="-14"/>
          <w:w w:val="105"/>
          <w:sz w:val="21"/>
        </w:rPr>
        <w:t> </w:t>
      </w:r>
      <w:r>
        <w:rPr>
          <w:w w:val="105"/>
          <w:sz w:val="21"/>
        </w:rPr>
        <w:t>assistance</w:t>
      </w:r>
      <w:r>
        <w:rPr>
          <w:spacing w:val="-13"/>
          <w:w w:val="105"/>
          <w:sz w:val="21"/>
        </w:rPr>
        <w:t> </w:t>
      </w:r>
      <w:r>
        <w:rPr>
          <w:w w:val="105"/>
          <w:sz w:val="21"/>
        </w:rPr>
        <w:t>would</w:t>
      </w:r>
      <w:r>
        <w:rPr>
          <w:spacing w:val="-14"/>
          <w:w w:val="105"/>
          <w:sz w:val="21"/>
        </w:rPr>
        <w:t> </w:t>
      </w:r>
      <w:r>
        <w:rPr>
          <w:w w:val="105"/>
          <w:sz w:val="21"/>
        </w:rPr>
        <w:t>resolve</w:t>
      </w:r>
      <w:r>
        <w:rPr>
          <w:spacing w:val="-13"/>
          <w:w w:val="105"/>
          <w:sz w:val="21"/>
        </w:rPr>
        <w:t> </w:t>
      </w:r>
      <w:r>
        <w:rPr>
          <w:w w:val="105"/>
          <w:sz w:val="21"/>
        </w:rPr>
        <w:t>both </w:t>
      </w:r>
      <w:r>
        <w:rPr>
          <w:spacing w:val="-3"/>
          <w:w w:val="105"/>
          <w:sz w:val="21"/>
        </w:rPr>
        <w:t>informal </w:t>
      </w:r>
      <w:r>
        <w:rPr>
          <w:w w:val="105"/>
          <w:sz w:val="21"/>
        </w:rPr>
        <w:t>and </w:t>
      </w:r>
      <w:r>
        <w:rPr>
          <w:spacing w:val="-3"/>
          <w:w w:val="105"/>
          <w:sz w:val="21"/>
        </w:rPr>
        <w:t>formal disputes </w:t>
      </w:r>
      <w:r>
        <w:rPr>
          <w:w w:val="105"/>
          <w:sz w:val="21"/>
        </w:rPr>
        <w:t>more efficiently and </w:t>
      </w:r>
      <w:r>
        <w:rPr>
          <w:spacing w:val="-2"/>
          <w:w w:val="105"/>
          <w:sz w:val="21"/>
        </w:rPr>
        <w:t>effectively. </w:t>
      </w:r>
      <w:r>
        <w:rPr>
          <w:w w:val="105"/>
          <w:sz w:val="21"/>
        </w:rPr>
        <w:t>See </w:t>
      </w:r>
      <w:r>
        <w:rPr>
          <w:spacing w:val="-4"/>
          <w:w w:val="105"/>
          <w:sz w:val="21"/>
        </w:rPr>
        <w:t>Chapter</w:t>
      </w:r>
      <w:r>
        <w:rPr>
          <w:spacing w:val="30"/>
          <w:w w:val="105"/>
          <w:sz w:val="21"/>
        </w:rPr>
        <w:t> </w:t>
      </w:r>
      <w:r>
        <w:rPr>
          <w:spacing w:val="-9"/>
          <w:w w:val="105"/>
          <w:sz w:val="21"/>
        </w:rPr>
        <w:t>12.</w:t>
      </w:r>
    </w:p>
    <w:p>
      <w:pPr>
        <w:pStyle w:val="Heading7"/>
      </w:pPr>
      <w:r>
        <w:rPr>
          <w:w w:val="115"/>
        </w:rPr>
        <w:t>DSCV mediation</w:t>
      </w:r>
    </w:p>
    <w:p>
      <w:pPr>
        <w:pStyle w:val="ListParagraph"/>
        <w:numPr>
          <w:ilvl w:val="1"/>
          <w:numId w:val="42"/>
        </w:numPr>
        <w:tabs>
          <w:tab w:pos="2381" w:val="left" w:leader="none"/>
          <w:tab w:pos="2382" w:val="left" w:leader="none"/>
        </w:tabs>
        <w:spacing w:line="242" w:lineRule="auto" w:before="143" w:after="0"/>
        <w:ind w:left="2381" w:right="1642" w:hanging="794"/>
        <w:jc w:val="left"/>
        <w:rPr>
          <w:sz w:val="21"/>
        </w:rPr>
      </w:pPr>
      <w:r>
        <w:rPr>
          <w:w w:val="105"/>
          <w:sz w:val="21"/>
        </w:rPr>
        <w:t>DSCV</w:t>
      </w:r>
      <w:r>
        <w:rPr>
          <w:spacing w:val="-8"/>
          <w:w w:val="105"/>
          <w:sz w:val="21"/>
        </w:rPr>
        <w:t> </w:t>
      </w:r>
      <w:r>
        <w:rPr>
          <w:w w:val="105"/>
          <w:sz w:val="21"/>
        </w:rPr>
        <w:t>provides</w:t>
      </w:r>
      <w:r>
        <w:rPr>
          <w:spacing w:val="-8"/>
          <w:w w:val="105"/>
          <w:sz w:val="21"/>
        </w:rPr>
        <w:t> </w:t>
      </w:r>
      <w:r>
        <w:rPr>
          <w:spacing w:val="-3"/>
          <w:w w:val="105"/>
          <w:sz w:val="21"/>
        </w:rPr>
        <w:t>helpful</w:t>
      </w:r>
      <w:r>
        <w:rPr>
          <w:spacing w:val="-7"/>
          <w:w w:val="105"/>
          <w:sz w:val="21"/>
        </w:rPr>
        <w:t> </w:t>
      </w:r>
      <w:r>
        <w:rPr>
          <w:spacing w:val="-3"/>
          <w:w w:val="105"/>
          <w:sz w:val="21"/>
        </w:rPr>
        <w:t>dispute</w:t>
      </w:r>
      <w:r>
        <w:rPr>
          <w:spacing w:val="-8"/>
          <w:w w:val="105"/>
          <w:sz w:val="21"/>
        </w:rPr>
        <w:t> </w:t>
      </w:r>
      <w:r>
        <w:rPr>
          <w:w w:val="105"/>
          <w:sz w:val="21"/>
        </w:rPr>
        <w:t>resolution</w:t>
      </w:r>
      <w:r>
        <w:rPr>
          <w:spacing w:val="-7"/>
          <w:w w:val="105"/>
          <w:sz w:val="21"/>
        </w:rPr>
        <w:t> </w:t>
      </w:r>
      <w:r>
        <w:rPr>
          <w:w w:val="105"/>
          <w:sz w:val="21"/>
        </w:rPr>
        <w:t>services</w:t>
      </w:r>
      <w:r>
        <w:rPr>
          <w:spacing w:val="-8"/>
          <w:w w:val="105"/>
          <w:sz w:val="21"/>
        </w:rPr>
        <w:t> </w:t>
      </w:r>
      <w:r>
        <w:rPr>
          <w:w w:val="105"/>
          <w:sz w:val="21"/>
        </w:rPr>
        <w:t>and</w:t>
      </w:r>
      <w:r>
        <w:rPr>
          <w:spacing w:val="-7"/>
          <w:w w:val="105"/>
          <w:sz w:val="21"/>
        </w:rPr>
        <w:t> </w:t>
      </w:r>
      <w:r>
        <w:rPr>
          <w:spacing w:val="-3"/>
          <w:w w:val="105"/>
          <w:sz w:val="21"/>
        </w:rPr>
        <w:t>information</w:t>
      </w:r>
      <w:r>
        <w:rPr>
          <w:spacing w:val="-8"/>
          <w:w w:val="105"/>
          <w:sz w:val="21"/>
        </w:rPr>
        <w:t> </w:t>
      </w:r>
      <w:r>
        <w:rPr>
          <w:spacing w:val="-3"/>
          <w:w w:val="105"/>
          <w:sz w:val="21"/>
        </w:rPr>
        <w:t>to</w:t>
      </w:r>
      <w:r>
        <w:rPr>
          <w:spacing w:val="-8"/>
          <w:w w:val="105"/>
          <w:sz w:val="21"/>
        </w:rPr>
        <w:t> </w:t>
      </w:r>
      <w:r>
        <w:rPr>
          <w:spacing w:val="-3"/>
          <w:w w:val="105"/>
          <w:sz w:val="21"/>
        </w:rPr>
        <w:t>all</w:t>
      </w:r>
      <w:r>
        <w:rPr>
          <w:spacing w:val="-7"/>
          <w:w w:val="105"/>
          <w:sz w:val="21"/>
        </w:rPr>
        <w:t> </w:t>
      </w:r>
      <w:r>
        <w:rPr>
          <w:spacing w:val="-3"/>
          <w:w w:val="105"/>
          <w:sz w:val="21"/>
        </w:rPr>
        <w:t>Victorian’s</w:t>
      </w:r>
      <w:r>
        <w:rPr>
          <w:spacing w:val="-8"/>
          <w:w w:val="105"/>
          <w:sz w:val="21"/>
        </w:rPr>
        <w:t> </w:t>
      </w:r>
      <w:r>
        <w:rPr>
          <w:w w:val="105"/>
          <w:sz w:val="21"/>
        </w:rPr>
        <w:t>free</w:t>
      </w:r>
      <w:r>
        <w:rPr>
          <w:spacing w:val="-7"/>
          <w:w w:val="105"/>
          <w:sz w:val="21"/>
        </w:rPr>
        <w:t> </w:t>
      </w:r>
      <w:r>
        <w:rPr>
          <w:w w:val="105"/>
          <w:sz w:val="21"/>
        </w:rPr>
        <w:t>of </w:t>
      </w:r>
      <w:r>
        <w:rPr>
          <w:spacing w:val="-3"/>
          <w:w w:val="105"/>
          <w:sz w:val="21"/>
        </w:rPr>
        <w:t>charge. </w:t>
      </w:r>
      <w:r>
        <w:rPr>
          <w:w w:val="105"/>
          <w:sz w:val="21"/>
        </w:rPr>
        <w:t>These services </w:t>
      </w:r>
      <w:r>
        <w:rPr>
          <w:spacing w:val="-3"/>
          <w:w w:val="105"/>
          <w:sz w:val="21"/>
        </w:rPr>
        <w:t>are </w:t>
      </w:r>
      <w:r>
        <w:rPr>
          <w:w w:val="105"/>
          <w:sz w:val="21"/>
        </w:rPr>
        <w:t>provided </w:t>
      </w:r>
      <w:r>
        <w:rPr>
          <w:spacing w:val="-3"/>
          <w:w w:val="105"/>
          <w:sz w:val="21"/>
        </w:rPr>
        <w:t>throughout </w:t>
      </w:r>
      <w:r>
        <w:rPr>
          <w:w w:val="105"/>
          <w:sz w:val="21"/>
        </w:rPr>
        <w:t>Victoria </w:t>
      </w:r>
      <w:r>
        <w:rPr>
          <w:spacing w:val="-3"/>
          <w:w w:val="105"/>
          <w:sz w:val="21"/>
        </w:rPr>
        <w:t>including </w:t>
      </w:r>
      <w:r>
        <w:rPr>
          <w:w w:val="105"/>
          <w:sz w:val="21"/>
        </w:rPr>
        <w:t>in </w:t>
      </w:r>
      <w:r>
        <w:rPr>
          <w:spacing w:val="-3"/>
          <w:w w:val="105"/>
          <w:sz w:val="21"/>
        </w:rPr>
        <w:t>regional areas. </w:t>
      </w:r>
      <w:r>
        <w:rPr>
          <w:w w:val="105"/>
          <w:sz w:val="21"/>
        </w:rPr>
        <w:t>The </w:t>
      </w:r>
      <w:r>
        <w:rPr>
          <w:spacing w:val="-3"/>
          <w:w w:val="105"/>
          <w:sz w:val="21"/>
        </w:rPr>
        <w:t>Commission anticipates that clearer </w:t>
      </w:r>
      <w:r>
        <w:rPr>
          <w:w w:val="105"/>
          <w:sz w:val="21"/>
        </w:rPr>
        <w:t>law </w:t>
      </w:r>
      <w:r>
        <w:rPr>
          <w:spacing w:val="-3"/>
          <w:w w:val="105"/>
          <w:sz w:val="21"/>
        </w:rPr>
        <w:t>will </w:t>
      </w:r>
      <w:r>
        <w:rPr>
          <w:w w:val="105"/>
          <w:sz w:val="21"/>
        </w:rPr>
        <w:t>further assist DSCV </w:t>
      </w:r>
      <w:r>
        <w:rPr>
          <w:spacing w:val="-3"/>
          <w:w w:val="105"/>
          <w:sz w:val="21"/>
        </w:rPr>
        <w:t>to </w:t>
      </w:r>
      <w:r>
        <w:rPr>
          <w:w w:val="105"/>
          <w:sz w:val="21"/>
        </w:rPr>
        <w:t>respond </w:t>
      </w:r>
      <w:r>
        <w:rPr>
          <w:spacing w:val="-3"/>
          <w:w w:val="105"/>
          <w:sz w:val="21"/>
        </w:rPr>
        <w:t>to </w:t>
      </w:r>
      <w:r>
        <w:rPr>
          <w:w w:val="105"/>
          <w:sz w:val="21"/>
        </w:rPr>
        <w:t>community </w:t>
      </w:r>
      <w:r>
        <w:rPr>
          <w:spacing w:val="-3"/>
          <w:w w:val="105"/>
          <w:sz w:val="21"/>
        </w:rPr>
        <w:t>enquiries </w:t>
      </w:r>
      <w:r>
        <w:rPr>
          <w:w w:val="105"/>
          <w:sz w:val="21"/>
        </w:rPr>
        <w:t>and help it </w:t>
      </w:r>
      <w:r>
        <w:rPr>
          <w:spacing w:val="-3"/>
          <w:w w:val="105"/>
          <w:sz w:val="21"/>
        </w:rPr>
        <w:t>to </w:t>
      </w:r>
      <w:r>
        <w:rPr>
          <w:w w:val="105"/>
          <w:sz w:val="21"/>
        </w:rPr>
        <w:t>resolve </w:t>
      </w:r>
      <w:r>
        <w:rPr>
          <w:spacing w:val="-3"/>
          <w:w w:val="105"/>
          <w:sz w:val="21"/>
        </w:rPr>
        <w:t>disputes. </w:t>
      </w:r>
      <w:r>
        <w:rPr>
          <w:w w:val="105"/>
          <w:sz w:val="21"/>
        </w:rPr>
        <w:t>The </w:t>
      </w:r>
      <w:r>
        <w:rPr>
          <w:spacing w:val="-3"/>
          <w:w w:val="105"/>
          <w:sz w:val="21"/>
        </w:rPr>
        <w:t>Commission </w:t>
      </w:r>
      <w:r>
        <w:rPr>
          <w:spacing w:val="-2"/>
          <w:w w:val="105"/>
          <w:sz w:val="21"/>
        </w:rPr>
        <w:t>has </w:t>
      </w:r>
      <w:r>
        <w:rPr>
          <w:spacing w:val="-3"/>
          <w:w w:val="105"/>
          <w:sz w:val="21"/>
        </w:rPr>
        <w:t>learnt that </w:t>
      </w:r>
      <w:r>
        <w:rPr>
          <w:w w:val="105"/>
          <w:sz w:val="21"/>
        </w:rPr>
        <w:t>the services offered by DSCV </w:t>
      </w:r>
      <w:r>
        <w:rPr>
          <w:spacing w:val="-3"/>
          <w:w w:val="105"/>
          <w:sz w:val="21"/>
        </w:rPr>
        <w:t>are </w:t>
      </w:r>
      <w:r>
        <w:rPr>
          <w:spacing w:val="-2"/>
          <w:w w:val="105"/>
          <w:sz w:val="21"/>
        </w:rPr>
        <w:t>not </w:t>
      </w:r>
      <w:r>
        <w:rPr>
          <w:w w:val="105"/>
          <w:sz w:val="21"/>
        </w:rPr>
        <w:t>widely known </w:t>
      </w:r>
      <w:r>
        <w:rPr>
          <w:spacing w:val="-3"/>
          <w:w w:val="105"/>
          <w:sz w:val="21"/>
        </w:rPr>
        <w:t>to </w:t>
      </w:r>
      <w:r>
        <w:rPr>
          <w:w w:val="105"/>
          <w:sz w:val="21"/>
        </w:rPr>
        <w:t>some </w:t>
      </w:r>
      <w:r>
        <w:rPr>
          <w:spacing w:val="-3"/>
          <w:w w:val="105"/>
          <w:sz w:val="21"/>
        </w:rPr>
        <w:t>councils,</w:t>
      </w:r>
      <w:r>
        <w:rPr>
          <w:spacing w:val="-3"/>
          <w:w w:val="105"/>
          <w:position w:val="7"/>
          <w:sz w:val="12"/>
        </w:rPr>
        <w:t>73 </w:t>
      </w:r>
      <w:r>
        <w:rPr>
          <w:w w:val="105"/>
          <w:sz w:val="21"/>
        </w:rPr>
        <w:t>arborists or community </w:t>
      </w:r>
      <w:r>
        <w:rPr>
          <w:spacing w:val="-3"/>
          <w:w w:val="105"/>
          <w:sz w:val="21"/>
        </w:rPr>
        <w:t>members.</w:t>
      </w:r>
      <w:r>
        <w:rPr>
          <w:spacing w:val="-3"/>
          <w:w w:val="105"/>
          <w:position w:val="7"/>
          <w:sz w:val="12"/>
        </w:rPr>
        <w:t>74 </w:t>
      </w:r>
      <w:r>
        <w:rPr>
          <w:w w:val="105"/>
          <w:sz w:val="21"/>
        </w:rPr>
        <w:t>It </w:t>
      </w:r>
      <w:r>
        <w:rPr>
          <w:spacing w:val="-3"/>
          <w:w w:val="105"/>
          <w:sz w:val="21"/>
        </w:rPr>
        <w:t>will therefore </w:t>
      </w:r>
      <w:r>
        <w:rPr>
          <w:w w:val="105"/>
          <w:sz w:val="21"/>
        </w:rPr>
        <w:t>be important </w:t>
      </w:r>
      <w:r>
        <w:rPr>
          <w:spacing w:val="-3"/>
          <w:w w:val="105"/>
          <w:sz w:val="21"/>
        </w:rPr>
        <w:t>that </w:t>
      </w:r>
      <w:r>
        <w:rPr>
          <w:w w:val="105"/>
          <w:sz w:val="21"/>
        </w:rPr>
        <w:t>the free mediation services of DSCV </w:t>
      </w:r>
      <w:r>
        <w:rPr>
          <w:spacing w:val="-3"/>
          <w:w w:val="105"/>
          <w:sz w:val="21"/>
        </w:rPr>
        <w:t>are promoted, </w:t>
      </w:r>
      <w:r>
        <w:rPr>
          <w:w w:val="105"/>
          <w:sz w:val="21"/>
        </w:rPr>
        <w:t>particularly among arborists. See </w:t>
      </w:r>
      <w:r>
        <w:rPr>
          <w:spacing w:val="-4"/>
          <w:w w:val="105"/>
          <w:sz w:val="21"/>
        </w:rPr>
        <w:t>Chapter</w:t>
      </w:r>
      <w:r>
        <w:rPr>
          <w:spacing w:val="28"/>
          <w:w w:val="105"/>
          <w:sz w:val="21"/>
        </w:rPr>
        <w:t> </w:t>
      </w:r>
      <w:r>
        <w:rPr>
          <w:w w:val="105"/>
          <w:sz w:val="21"/>
        </w:rPr>
        <w:t>6.</w:t>
      </w:r>
    </w:p>
    <w:p>
      <w:pPr>
        <w:pStyle w:val="Heading7"/>
        <w:spacing w:before="158"/>
      </w:pPr>
      <w:r>
        <w:rPr>
          <w:w w:val="115"/>
        </w:rPr>
        <w:t>Appropriately qualified arborists (tree professionals)</w:t>
      </w:r>
    </w:p>
    <w:p>
      <w:pPr>
        <w:pStyle w:val="ListParagraph"/>
        <w:numPr>
          <w:ilvl w:val="1"/>
          <w:numId w:val="42"/>
        </w:numPr>
        <w:tabs>
          <w:tab w:pos="2381" w:val="left" w:leader="none"/>
          <w:tab w:pos="2382" w:val="left" w:leader="none"/>
        </w:tabs>
        <w:spacing w:line="242" w:lineRule="auto" w:before="143" w:after="0"/>
        <w:ind w:left="2381" w:right="1627" w:hanging="794"/>
        <w:jc w:val="left"/>
        <w:rPr>
          <w:sz w:val="21"/>
        </w:rPr>
      </w:pPr>
      <w:r>
        <w:rPr>
          <w:w w:val="105"/>
          <w:sz w:val="21"/>
        </w:rPr>
        <w:t>The community </w:t>
      </w:r>
      <w:r>
        <w:rPr>
          <w:spacing w:val="-2"/>
          <w:w w:val="105"/>
          <w:sz w:val="21"/>
        </w:rPr>
        <w:t>has </w:t>
      </w:r>
      <w:r>
        <w:rPr>
          <w:w w:val="105"/>
          <w:sz w:val="21"/>
        </w:rPr>
        <w:t>a poor understanding of the role and </w:t>
      </w:r>
      <w:r>
        <w:rPr>
          <w:spacing w:val="-3"/>
          <w:w w:val="105"/>
          <w:sz w:val="21"/>
        </w:rPr>
        <w:t>qualifications </w:t>
      </w:r>
      <w:r>
        <w:rPr>
          <w:w w:val="105"/>
          <w:sz w:val="21"/>
        </w:rPr>
        <w:t>of arborists. </w:t>
      </w:r>
      <w:r>
        <w:rPr>
          <w:spacing w:val="-3"/>
          <w:w w:val="105"/>
          <w:sz w:val="21"/>
        </w:rPr>
        <w:t>Minimum </w:t>
      </w:r>
      <w:r>
        <w:rPr>
          <w:w w:val="105"/>
          <w:sz w:val="21"/>
        </w:rPr>
        <w:t>qualification </w:t>
      </w:r>
      <w:r>
        <w:rPr>
          <w:spacing w:val="-3"/>
          <w:w w:val="105"/>
          <w:sz w:val="21"/>
        </w:rPr>
        <w:t>requirements for </w:t>
      </w:r>
      <w:r>
        <w:rPr>
          <w:w w:val="105"/>
          <w:sz w:val="21"/>
        </w:rPr>
        <w:t>expert evidence </w:t>
      </w:r>
      <w:r>
        <w:rPr>
          <w:spacing w:val="-3"/>
          <w:w w:val="105"/>
          <w:sz w:val="21"/>
        </w:rPr>
        <w:t>could </w:t>
      </w:r>
      <w:r>
        <w:rPr>
          <w:w w:val="105"/>
          <w:sz w:val="21"/>
        </w:rPr>
        <w:t>also act as a </w:t>
      </w:r>
      <w:r>
        <w:rPr>
          <w:spacing w:val="-3"/>
          <w:w w:val="105"/>
          <w:sz w:val="21"/>
        </w:rPr>
        <w:t>reference </w:t>
      </w:r>
      <w:r>
        <w:rPr>
          <w:w w:val="105"/>
          <w:sz w:val="21"/>
        </w:rPr>
        <w:t>point </w:t>
      </w:r>
      <w:r>
        <w:rPr>
          <w:spacing w:val="-3"/>
          <w:w w:val="105"/>
          <w:sz w:val="21"/>
        </w:rPr>
        <w:t>for </w:t>
      </w:r>
      <w:r>
        <w:rPr>
          <w:w w:val="105"/>
          <w:sz w:val="21"/>
        </w:rPr>
        <w:t>people </w:t>
      </w:r>
      <w:r>
        <w:rPr>
          <w:spacing w:val="-3"/>
          <w:w w:val="105"/>
          <w:sz w:val="21"/>
        </w:rPr>
        <w:t>wishing to </w:t>
      </w:r>
      <w:r>
        <w:rPr>
          <w:w w:val="105"/>
          <w:sz w:val="21"/>
        </w:rPr>
        <w:t>obtain their own </w:t>
      </w:r>
      <w:r>
        <w:rPr>
          <w:spacing w:val="-3"/>
          <w:w w:val="105"/>
          <w:sz w:val="21"/>
        </w:rPr>
        <w:t>arboricultural </w:t>
      </w:r>
      <w:r>
        <w:rPr>
          <w:w w:val="105"/>
          <w:sz w:val="21"/>
        </w:rPr>
        <w:t>advice independently of </w:t>
      </w:r>
      <w:r>
        <w:rPr>
          <w:spacing w:val="-8"/>
          <w:w w:val="105"/>
          <w:sz w:val="21"/>
        </w:rPr>
        <w:t>VCAT. </w:t>
      </w:r>
      <w:r>
        <w:rPr>
          <w:w w:val="105"/>
          <w:sz w:val="21"/>
        </w:rPr>
        <w:t>It is also important </w:t>
      </w:r>
      <w:r>
        <w:rPr>
          <w:spacing w:val="-3"/>
          <w:w w:val="105"/>
          <w:sz w:val="21"/>
        </w:rPr>
        <w:t>for </w:t>
      </w:r>
      <w:r>
        <w:rPr>
          <w:w w:val="105"/>
          <w:sz w:val="21"/>
        </w:rPr>
        <w:t>community </w:t>
      </w:r>
      <w:r>
        <w:rPr>
          <w:spacing w:val="-3"/>
          <w:w w:val="105"/>
          <w:sz w:val="21"/>
        </w:rPr>
        <w:t>information to </w:t>
      </w:r>
      <w:r>
        <w:rPr>
          <w:w w:val="105"/>
          <w:sz w:val="21"/>
        </w:rPr>
        <w:t>provide </w:t>
      </w:r>
      <w:r>
        <w:rPr>
          <w:spacing w:val="-3"/>
          <w:w w:val="105"/>
          <w:sz w:val="21"/>
        </w:rPr>
        <w:t>guidance </w:t>
      </w:r>
      <w:r>
        <w:rPr>
          <w:w w:val="105"/>
          <w:sz w:val="21"/>
        </w:rPr>
        <w:t>on when and how </w:t>
      </w:r>
      <w:r>
        <w:rPr>
          <w:spacing w:val="-3"/>
          <w:w w:val="105"/>
          <w:sz w:val="21"/>
        </w:rPr>
        <w:t>to </w:t>
      </w:r>
      <w:r>
        <w:rPr>
          <w:w w:val="105"/>
          <w:sz w:val="21"/>
        </w:rPr>
        <w:t>engage </w:t>
      </w:r>
      <w:r>
        <w:rPr>
          <w:spacing w:val="-3"/>
          <w:w w:val="105"/>
          <w:sz w:val="21"/>
        </w:rPr>
        <w:t>appropriately </w:t>
      </w:r>
      <w:r>
        <w:rPr>
          <w:w w:val="105"/>
          <w:sz w:val="21"/>
        </w:rPr>
        <w:t>qualified arborists. See </w:t>
      </w:r>
      <w:r>
        <w:rPr>
          <w:spacing w:val="-4"/>
          <w:w w:val="105"/>
          <w:sz w:val="21"/>
        </w:rPr>
        <w:t>Chapter</w:t>
      </w:r>
      <w:r>
        <w:rPr>
          <w:spacing w:val="29"/>
          <w:w w:val="105"/>
          <w:sz w:val="21"/>
        </w:rPr>
        <w:t> </w:t>
      </w:r>
      <w:r>
        <w:rPr>
          <w:w w:val="105"/>
          <w:sz w:val="21"/>
        </w:rPr>
        <w:t>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0"/>
        </w:rPr>
      </w:pPr>
      <w:r>
        <w:rPr/>
        <w:pict>
          <v:line style="position:absolute;mso-position-horizontal-relative:page;mso-position-vertical-relative:paragraph;z-index:2792;mso-wrap-distance-left:0;mso-wrap-distance-right:0" from="79.370102pt,8.708954pt" to="515.905102pt,8.708954pt" stroked="true" strokeweight="1pt" strokecolor="#c9d2cb">
            <v:stroke dashstyle="solid"/>
            <w10:wrap type="topAndBottom"/>
          </v:line>
        </w:pict>
      </w:r>
    </w:p>
    <w:p>
      <w:pPr>
        <w:pStyle w:val="ListParagraph"/>
        <w:numPr>
          <w:ilvl w:val="0"/>
          <w:numId w:val="45"/>
        </w:numPr>
        <w:tabs>
          <w:tab w:pos="2380" w:val="left" w:leader="none"/>
          <w:tab w:pos="2382" w:val="left" w:leader="none"/>
        </w:tabs>
        <w:spacing w:line="240" w:lineRule="auto" w:before="117" w:after="0"/>
        <w:ind w:left="2381" w:right="0" w:hanging="794"/>
        <w:jc w:val="left"/>
        <w:rPr>
          <w:sz w:val="13"/>
        </w:rPr>
      </w:pPr>
      <w:r>
        <w:rPr>
          <w:w w:val="105"/>
          <w:sz w:val="13"/>
        </w:rPr>
        <w:t>Consultation 7 (Dispute Settlement Centre of</w:t>
      </w:r>
      <w:r>
        <w:rPr>
          <w:spacing w:val="28"/>
          <w:w w:val="105"/>
          <w:sz w:val="13"/>
        </w:rPr>
        <w:t> </w:t>
      </w:r>
      <w:r>
        <w:rPr>
          <w:w w:val="105"/>
          <w:sz w:val="13"/>
        </w:rPr>
        <w:t>Victoria).</w:t>
      </w:r>
    </w:p>
    <w:p>
      <w:pPr>
        <w:pStyle w:val="ListParagraph"/>
        <w:numPr>
          <w:ilvl w:val="0"/>
          <w:numId w:val="45"/>
        </w:numPr>
        <w:tabs>
          <w:tab w:pos="2380" w:val="left" w:leader="none"/>
          <w:tab w:pos="2382" w:val="left" w:leader="none"/>
        </w:tabs>
        <w:spacing w:line="240" w:lineRule="auto" w:before="1" w:after="0"/>
        <w:ind w:left="2381" w:right="0" w:hanging="794"/>
        <w:jc w:val="left"/>
        <w:rPr>
          <w:sz w:val="13"/>
        </w:rPr>
      </w:pPr>
      <w:r>
        <w:rPr/>
        <w:pict>
          <v:shape style="position:absolute;margin-left:548.96051pt;margin-top:-4.982335pt;width:13.2pt;height:14.25pt;mso-position-horizontal-relative:page;mso-position-vertical-relative:paragraph;z-index:4864" type="#_x0000_t202" filled="false" stroked="false">
            <v:textbox inset="0,0,0,0">
              <w:txbxContent>
                <w:p>
                  <w:pPr>
                    <w:spacing w:line="284" w:lineRule="exact" w:before="0"/>
                    <w:ind w:left="0" w:right="0" w:firstLine="0"/>
                    <w:jc w:val="left"/>
                    <w:rPr>
                      <w:b/>
                      <w:sz w:val="24"/>
                    </w:rPr>
                  </w:pPr>
                  <w:r>
                    <w:rPr>
                      <w:b/>
                      <w:color w:val="658464"/>
                      <w:spacing w:val="-2"/>
                      <w:w w:val="110"/>
                      <w:sz w:val="24"/>
                    </w:rPr>
                    <w:t>63</w:t>
                  </w:r>
                </w:p>
              </w:txbxContent>
            </v:textbox>
            <w10:wrap type="none"/>
          </v:shape>
        </w:pict>
      </w:r>
      <w:r>
        <w:rPr>
          <w:w w:val="105"/>
          <w:sz w:val="13"/>
        </w:rPr>
        <w:t>Consultations</w:t>
      </w:r>
      <w:r>
        <w:rPr>
          <w:spacing w:val="4"/>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5"/>
          <w:w w:val="105"/>
          <w:sz w:val="13"/>
        </w:rPr>
        <w:t> </w:t>
      </w:r>
      <w:r>
        <w:rPr>
          <w:w w:val="105"/>
          <w:sz w:val="13"/>
        </w:rPr>
        <w:t>at</w:t>
      </w:r>
      <w:r>
        <w:rPr>
          <w:spacing w:val="5"/>
          <w:w w:val="105"/>
          <w:sz w:val="13"/>
        </w:rPr>
        <w:t> </w:t>
      </w:r>
      <w:r>
        <w:rPr>
          <w:spacing w:val="4"/>
          <w:w w:val="105"/>
          <w:sz w:val="13"/>
        </w:rPr>
        <w:t>VTIO</w:t>
      </w:r>
      <w:r>
        <w:rPr>
          <w:spacing w:val="5"/>
          <w:w w:val="105"/>
          <w:sz w:val="13"/>
        </w:rPr>
        <w:t> </w:t>
      </w:r>
      <w:r>
        <w:rPr>
          <w:w w:val="105"/>
          <w:sz w:val="13"/>
        </w:rPr>
        <w:t>ArborCamp2018),</w:t>
      </w:r>
      <w:r>
        <w:rPr>
          <w:spacing w:val="5"/>
          <w:w w:val="105"/>
          <w:sz w:val="13"/>
        </w:rPr>
        <w:t> </w:t>
      </w:r>
      <w:r>
        <w:rPr>
          <w:w w:val="105"/>
          <w:sz w:val="13"/>
        </w:rPr>
        <w:t>6</w:t>
      </w:r>
      <w:r>
        <w:rPr>
          <w:spacing w:val="5"/>
          <w:w w:val="105"/>
          <w:sz w:val="13"/>
        </w:rPr>
        <w:t> </w:t>
      </w:r>
      <w:r>
        <w:rPr>
          <w:spacing w:val="2"/>
          <w:w w:val="105"/>
          <w:sz w:val="13"/>
        </w:rPr>
        <w:t>(Ben</w:t>
      </w:r>
      <w:r>
        <w:rPr>
          <w:spacing w:val="5"/>
          <w:w w:val="105"/>
          <w:sz w:val="13"/>
        </w:rPr>
        <w:t> </w:t>
      </w:r>
      <w:r>
        <w:rPr>
          <w:w w:val="105"/>
          <w:sz w:val="13"/>
        </w:rPr>
        <w:t>Kenyon).</w:t>
      </w:r>
    </w:p>
    <w:p>
      <w:pPr>
        <w:spacing w:after="0" w:line="240" w:lineRule="auto"/>
        <w:jc w:val="left"/>
        <w:rPr>
          <w:sz w:val="13"/>
        </w:rPr>
        <w:sectPr>
          <w:pgSz w:w="11910" w:h="16840"/>
          <w:pgMar w:header="808" w:footer="0" w:top="1360" w:bottom="280" w:left="0" w:right="0"/>
        </w:sectPr>
      </w:pPr>
    </w:p>
    <w:p>
      <w:pPr>
        <w:pStyle w:val="BodyText"/>
        <w:rPr>
          <w:sz w:val="20"/>
        </w:rPr>
      </w:pPr>
      <w:r>
        <w:rPr/>
        <w:pict>
          <v:rect style="position:absolute;margin-left:79.370003pt;margin-top:0pt;width:515.906000pt;height:841.890015pt;mso-position-horizontal-relative:page;mso-position-vertical-relative:page;z-index:4888" filled="true" fillcolor="#ecefee"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96"/>
        <w:ind w:left="720" w:right="0" w:firstLine="0"/>
        <w:jc w:val="left"/>
        <w:rPr>
          <w:b/>
          <w:sz w:val="24"/>
        </w:rPr>
      </w:pPr>
      <w:r>
        <w:rPr>
          <w:b/>
          <w:color w:val="658464"/>
          <w:w w:val="110"/>
          <w:sz w:val="24"/>
        </w:rPr>
        <w:t>64</w:t>
      </w:r>
    </w:p>
    <w:p>
      <w:pPr>
        <w:spacing w:after="0"/>
        <w:jc w:val="left"/>
        <w:rPr>
          <w:sz w:val="24"/>
        </w:rPr>
        <w:sectPr>
          <w:headerReference w:type="even" r:id="rId84"/>
          <w:pgSz w:w="11910" w:h="16840"/>
          <w:pgMar w:header="0" w:footer="0" w:top="158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454048" filled="true" fillcolor="#ecefee" stroked="false">
            <v:fill type="solid"/>
            <w10:wrap type="none"/>
          </v:rect>
        </w:pict>
      </w:r>
      <w:r>
        <w:rPr>
          <w:b/>
          <w:color w:val="FFFFFF"/>
          <w:w w:val="122"/>
          <w:sz w:val="48"/>
          <w:shd w:fill="658464" w:color="auto" w:val="clear"/>
        </w:rPr>
        <w:t> </w:t>
      </w:r>
      <w:r>
        <w:rPr>
          <w:b/>
          <w:color w:val="FFFFFF"/>
          <w:spacing w:val="41"/>
          <w:sz w:val="48"/>
          <w:shd w:fill="658464" w:color="auto" w:val="clear"/>
        </w:rPr>
        <w:t> </w:t>
      </w:r>
      <w:r>
        <w:rPr>
          <w:b/>
          <w:color w:val="FFFFFF"/>
          <w:w w:val="105"/>
          <w:sz w:val="48"/>
          <w:shd w:fill="658464" w:color="auto" w:val="clear"/>
        </w:rPr>
        <w:t>5</w:t>
      </w:r>
      <w:r>
        <w:rPr>
          <w:b/>
          <w:color w:val="FFFFFF"/>
          <w:sz w:val="48"/>
          <w:shd w:fill="658464"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spacing w:line="1146" w:lineRule="exact" w:before="84"/>
        <w:ind w:left="1587" w:right="0" w:firstLine="0"/>
        <w:jc w:val="left"/>
        <w:rPr>
          <w:b/>
          <w:sz w:val="96"/>
        </w:rPr>
      </w:pPr>
      <w:r>
        <w:rPr/>
        <w:pict>
          <v:rect style="position:absolute;margin-left:0pt;margin-top:5.966142pt;width:481.562pt;height:52pt;mso-position-horizontal-relative:page;mso-position-vertical-relative:paragraph;z-index:-454024" filled="true" fillcolor="#ffffff" stroked="false">
            <v:fill type="solid"/>
            <w10:wrap type="none"/>
          </v:rect>
        </w:pict>
      </w:r>
      <w:r>
        <w:rPr>
          <w:b/>
          <w:color w:val="658464"/>
          <w:w w:val="115"/>
          <w:sz w:val="96"/>
        </w:rPr>
        <w:t>Applying the new</w:t>
      </w:r>
    </w:p>
    <w:p>
      <w:pPr>
        <w:tabs>
          <w:tab w:pos="1587" w:val="left" w:leader="none"/>
          <w:tab w:pos="11455" w:val="left" w:leader="none"/>
        </w:tabs>
        <w:spacing w:line="230" w:lineRule="auto" w:before="11"/>
        <w:ind w:left="1587" w:right="447" w:hanging="1588"/>
        <w:jc w:val="left"/>
        <w:rPr>
          <w:b/>
          <w:sz w:val="96"/>
        </w:rPr>
      </w:pPr>
      <w:r>
        <w:rPr/>
        <w:pict>
          <v:rect style="position:absolute;margin-left:0pt;margin-top:56.472027pt;width:373.26pt;height:52pt;mso-position-horizontal-relative:page;mso-position-vertical-relative:paragraph;z-index:-454000" filled="true" fillcolor="#ffffff" stroked="false">
            <v:fill type="solid"/>
            <w10:wrap type="none"/>
          </v:rect>
        </w:pict>
      </w:r>
      <w:r>
        <w:rPr>
          <w:b/>
          <w:color w:val="658464"/>
          <w:w w:val="122"/>
          <w:sz w:val="96"/>
          <w:shd w:fill="FFFFFF" w:color="auto" w:val="clear"/>
        </w:rPr>
        <w:t> </w:t>
      </w:r>
      <w:r>
        <w:rPr>
          <w:b/>
          <w:color w:val="658464"/>
          <w:sz w:val="96"/>
          <w:shd w:fill="FFFFFF" w:color="auto" w:val="clear"/>
        </w:rPr>
        <w:tab/>
      </w:r>
      <w:r>
        <w:rPr>
          <w:b/>
          <w:color w:val="658464"/>
          <w:spacing w:val="-16"/>
          <w:w w:val="115"/>
          <w:sz w:val="96"/>
          <w:shd w:fill="FFFFFF" w:color="auto" w:val="clear"/>
        </w:rPr>
        <w:t>Act</w:t>
      </w:r>
      <w:r>
        <w:rPr>
          <w:b/>
          <w:color w:val="658464"/>
          <w:spacing w:val="-48"/>
          <w:w w:val="115"/>
          <w:sz w:val="96"/>
          <w:shd w:fill="FFFFFF" w:color="auto" w:val="clear"/>
        </w:rPr>
        <w:t> </w:t>
      </w:r>
      <w:r>
        <w:rPr>
          <w:b/>
          <w:color w:val="658464"/>
          <w:spacing w:val="-17"/>
          <w:w w:val="115"/>
          <w:sz w:val="96"/>
          <w:shd w:fill="FFFFFF" w:color="auto" w:val="clear"/>
        </w:rPr>
        <w:t>to</w:t>
      </w:r>
      <w:r>
        <w:rPr>
          <w:b/>
          <w:color w:val="658464"/>
          <w:spacing w:val="-48"/>
          <w:w w:val="115"/>
          <w:sz w:val="96"/>
          <w:shd w:fill="FFFFFF" w:color="auto" w:val="clear"/>
        </w:rPr>
        <w:t> </w:t>
      </w:r>
      <w:r>
        <w:rPr>
          <w:b/>
          <w:color w:val="658464"/>
          <w:spacing w:val="-25"/>
          <w:w w:val="115"/>
          <w:sz w:val="96"/>
          <w:shd w:fill="FFFFFF" w:color="auto" w:val="clear"/>
        </w:rPr>
        <w:t>neighbourhood</w:t>
      </w:r>
      <w:r>
        <w:rPr>
          <w:b/>
          <w:color w:val="658464"/>
          <w:sz w:val="96"/>
          <w:shd w:fill="FFFFFF" w:color="auto" w:val="clear"/>
        </w:rPr>
        <w:tab/>
      </w:r>
      <w:r>
        <w:rPr>
          <w:b/>
          <w:color w:val="658464"/>
          <w:sz w:val="96"/>
        </w:rPr>
        <w:t> </w:t>
      </w:r>
      <w:r>
        <w:rPr>
          <w:b/>
          <w:color w:val="658464"/>
          <w:spacing w:val="-18"/>
          <w:w w:val="115"/>
          <w:sz w:val="96"/>
        </w:rPr>
        <w:t>tree</w:t>
      </w:r>
      <w:r>
        <w:rPr>
          <w:b/>
          <w:color w:val="658464"/>
          <w:spacing w:val="-20"/>
          <w:w w:val="115"/>
          <w:sz w:val="96"/>
        </w:rPr>
        <w:t> </w:t>
      </w:r>
      <w:r>
        <w:rPr>
          <w:b/>
          <w:color w:val="658464"/>
          <w:spacing w:val="-24"/>
          <w:w w:val="115"/>
          <w:sz w:val="96"/>
        </w:rPr>
        <w:t>disputes</w:t>
      </w:r>
    </w:p>
    <w:p>
      <w:pPr>
        <w:pStyle w:val="BodyText"/>
        <w:rPr>
          <w:b/>
          <w:sz w:val="20"/>
        </w:rPr>
      </w:pPr>
    </w:p>
    <w:p>
      <w:pPr>
        <w:pStyle w:val="BodyText"/>
        <w:rPr>
          <w:b/>
          <w:sz w:val="20"/>
        </w:rPr>
      </w:pPr>
    </w:p>
    <w:p>
      <w:pPr>
        <w:pStyle w:val="BodyText"/>
        <w:spacing w:before="6"/>
        <w:rPr>
          <w:b/>
          <w:sz w:val="24"/>
        </w:rPr>
      </w:pPr>
    </w:p>
    <w:p>
      <w:pPr>
        <w:tabs>
          <w:tab w:pos="2154" w:val="left" w:leader="none"/>
        </w:tabs>
        <w:spacing w:before="96"/>
        <w:ind w:left="1587" w:right="0" w:firstLine="0"/>
        <w:jc w:val="left"/>
        <w:rPr>
          <w:b/>
          <w:sz w:val="24"/>
        </w:rPr>
      </w:pPr>
      <w:r>
        <w:rPr/>
        <w:pict>
          <v:line style="position:absolute;mso-position-horizontal-relative:page;mso-position-vertical-relative:paragraph;z-index:2864;mso-wrap-distance-left:0;mso-wrap-distance-right:0" from="79.370102pt,22.89497pt" to="104.882102pt,22.89497pt" stroked="true" strokeweight="2pt" strokecolor="#ffffff">
            <v:stroke dashstyle="solid"/>
            <w10:wrap type="topAndBottom"/>
          </v:line>
        </w:pict>
      </w:r>
      <w:hyperlink w:history="true" w:anchor="_bookmark43">
        <w:r>
          <w:rPr>
            <w:b/>
            <w:w w:val="110"/>
            <w:sz w:val="24"/>
          </w:rPr>
          <w:t>66</w:t>
          <w:tab/>
          <w:t>Introduction</w:t>
        </w:r>
      </w:hyperlink>
    </w:p>
    <w:p>
      <w:pPr>
        <w:tabs>
          <w:tab w:pos="2154" w:val="left" w:leader="none"/>
        </w:tabs>
        <w:spacing w:before="62" w:after="49"/>
        <w:ind w:left="1587" w:right="0" w:firstLine="0"/>
        <w:jc w:val="left"/>
        <w:rPr>
          <w:b/>
          <w:sz w:val="24"/>
        </w:rPr>
      </w:pPr>
      <w:hyperlink w:history="true" w:anchor="_bookmark43">
        <w:r>
          <w:rPr>
            <w:b/>
            <w:w w:val="110"/>
            <w:sz w:val="24"/>
          </w:rPr>
          <w:t>66</w:t>
          <w:tab/>
        </w:r>
        <w:r>
          <w:rPr>
            <w:b/>
            <w:spacing w:val="-3"/>
            <w:w w:val="110"/>
            <w:sz w:val="24"/>
          </w:rPr>
          <w:t>Trees, </w:t>
        </w:r>
        <w:r>
          <w:rPr>
            <w:b/>
            <w:w w:val="110"/>
            <w:sz w:val="24"/>
          </w:rPr>
          <w:t>land and</w:t>
        </w:r>
        <w:r>
          <w:rPr>
            <w:b/>
            <w:spacing w:val="24"/>
            <w:w w:val="110"/>
            <w:sz w:val="24"/>
          </w:rPr>
          <w:t> </w:t>
        </w:r>
        <w:r>
          <w:rPr>
            <w:b/>
            <w:w w:val="110"/>
            <w:sz w:val="24"/>
          </w:rPr>
          <w:t>proximity</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2154" w:val="left" w:leader="none"/>
        </w:tabs>
        <w:spacing w:before="91"/>
        <w:ind w:left="1587" w:right="0" w:firstLine="0"/>
        <w:jc w:val="left"/>
        <w:rPr>
          <w:b/>
          <w:sz w:val="24"/>
        </w:rPr>
      </w:pPr>
      <w:r>
        <w:rPr/>
        <w:pict>
          <v:line style="position:absolute;mso-position-horizontal-relative:page;mso-position-vertical-relative:paragraph;z-index:2912;mso-wrap-distance-left:0;mso-wrap-distance-right:0" from="79.370102pt,22.655567pt" to="104.882102pt,22.655567pt" stroked="true" strokeweight="2pt" strokecolor="#ffffff">
            <v:stroke dashstyle="solid"/>
            <w10:wrap type="topAndBottom"/>
          </v:line>
        </w:pict>
      </w:r>
      <w:hyperlink w:history="true" w:anchor="_bookmark51">
        <w:r>
          <w:rPr>
            <w:b/>
            <w:w w:val="110"/>
            <w:sz w:val="24"/>
          </w:rPr>
          <w:t>90</w:t>
          <w:tab/>
          <w:t>Parties to a tree</w:t>
        </w:r>
        <w:r>
          <w:rPr>
            <w:b/>
            <w:spacing w:val="27"/>
            <w:w w:val="110"/>
            <w:sz w:val="24"/>
          </w:rPr>
          <w:t> </w:t>
        </w:r>
        <w:r>
          <w:rPr>
            <w:b/>
            <w:w w:val="110"/>
            <w:sz w:val="24"/>
          </w:rPr>
          <w:t>dispute</w:t>
        </w:r>
      </w:hyperlink>
    </w:p>
    <w:p>
      <w:pPr>
        <w:tabs>
          <w:tab w:pos="2154" w:val="left" w:leader="none"/>
        </w:tabs>
        <w:spacing w:before="62" w:after="49"/>
        <w:ind w:left="1587" w:right="0" w:firstLine="0"/>
        <w:jc w:val="left"/>
        <w:rPr>
          <w:b/>
          <w:sz w:val="24"/>
        </w:rPr>
      </w:pPr>
      <w:hyperlink w:history="true" w:anchor="_bookmark54">
        <w:r>
          <w:rPr>
            <w:b/>
            <w:w w:val="110"/>
            <w:sz w:val="24"/>
          </w:rPr>
          <w:t>95</w:t>
          <w:tab/>
          <w:t>What problems are within the scope of the new</w:t>
        </w:r>
        <w:r>
          <w:rPr>
            <w:b/>
            <w:spacing w:val="12"/>
            <w:w w:val="110"/>
            <w:sz w:val="24"/>
          </w:rPr>
          <w:t> </w:t>
        </w:r>
        <w:r>
          <w:rPr>
            <w:b/>
            <w:w w:val="110"/>
            <w:sz w:val="24"/>
          </w:rPr>
          <w:t>Act</w:t>
        </w:r>
      </w:hyperlink>
      <w:r>
        <w:rPr>
          <w:b/>
          <w:w w:val="110"/>
          <w:sz w:val="24"/>
        </w:rPr>
        <w:t>?</w:t>
      </w:r>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before="91"/>
        <w:ind w:left="1587" w:right="0" w:firstLine="0"/>
        <w:jc w:val="left"/>
        <w:rPr>
          <w:b/>
          <w:sz w:val="24"/>
        </w:rPr>
      </w:pPr>
      <w:r>
        <w:rPr/>
        <w:pict>
          <v:line style="position:absolute;mso-position-horizontal-relative:page;mso-position-vertical-relative:paragraph;z-index:2960;mso-wrap-distance-left:0;mso-wrap-distance-right:0" from="79.370102pt,22.666195pt" to="104.882102pt,22.666195pt" stroked="true" strokeweight="2pt" strokecolor="#ffffff">
            <v:stroke dashstyle="solid"/>
            <w10:wrap type="topAndBottom"/>
          </v:line>
        </w:pict>
      </w:r>
      <w:hyperlink w:history="true" w:anchor="_bookmark57">
        <w:r>
          <w:rPr>
            <w:b/>
            <w:w w:val="115"/>
            <w:sz w:val="24"/>
          </w:rPr>
          <w:t>103 Who should be notified of an action?</w:t>
        </w:r>
      </w:hyperlink>
    </w:p>
    <w:p>
      <w:pPr>
        <w:spacing w:before="62" w:after="49"/>
        <w:ind w:left="1587" w:right="0" w:firstLine="0"/>
        <w:jc w:val="left"/>
        <w:rPr>
          <w:b/>
          <w:sz w:val="24"/>
        </w:rPr>
      </w:pPr>
      <w:hyperlink w:history="true" w:anchor="_bookmark59">
        <w:r>
          <w:rPr>
            <w:b/>
            <w:w w:val="110"/>
            <w:sz w:val="24"/>
          </w:rPr>
          <w:t>105 Application requirements</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85"/>
          <w:headerReference w:type="even" r:id="rId86"/>
          <w:pgSz w:w="11910" w:h="16840"/>
          <w:pgMar w:header="0" w:footer="0" w:top="720" w:bottom="280" w:left="0" w:right="0"/>
        </w:sectPr>
      </w:pPr>
    </w:p>
    <w:p>
      <w:pPr>
        <w:pStyle w:val="BodyText"/>
        <w:spacing w:before="10"/>
        <w:rPr>
          <w:b/>
          <w:sz w:val="18"/>
        </w:rPr>
      </w:pPr>
    </w:p>
    <w:p>
      <w:pPr>
        <w:pStyle w:val="ListParagraph"/>
        <w:numPr>
          <w:ilvl w:val="0"/>
          <w:numId w:val="16"/>
        </w:numPr>
        <w:tabs>
          <w:tab w:pos="1247" w:val="left" w:leader="none"/>
          <w:tab w:pos="1248" w:val="left" w:leader="none"/>
        </w:tabs>
        <w:spacing w:line="232" w:lineRule="auto" w:before="106" w:after="0"/>
        <w:ind w:left="1247" w:right="4666" w:hanging="681"/>
        <w:jc w:val="left"/>
        <w:rPr>
          <w:b/>
          <w:sz w:val="44"/>
        </w:rPr>
      </w:pPr>
      <w:bookmarkStart w:name="5. Applying the new Act to neighbourhood" w:id="105"/>
      <w:bookmarkEnd w:id="105"/>
      <w:r>
        <w:rPr/>
      </w:r>
      <w:bookmarkStart w:name="Introduction" w:id="106"/>
      <w:bookmarkEnd w:id="106"/>
      <w:r>
        <w:rPr/>
      </w:r>
      <w:bookmarkStart w:name="Trees, land and proximity" w:id="107"/>
      <w:bookmarkEnd w:id="107"/>
      <w:r>
        <w:rPr/>
      </w:r>
      <w:bookmarkStart w:name="_bookmark43" w:id="108"/>
      <w:bookmarkEnd w:id="108"/>
      <w:r>
        <w:rPr/>
      </w:r>
      <w:bookmarkStart w:name="_bookmark43" w:id="109"/>
      <w:bookmarkEnd w:id="109"/>
      <w:r>
        <w:rPr>
          <w:b/>
          <w:color w:val="658464"/>
          <w:spacing w:val="-3"/>
          <w:w w:val="115"/>
          <w:sz w:val="44"/>
        </w:rPr>
        <w:t>A</w:t>
      </w:r>
      <w:r>
        <w:rPr>
          <w:b/>
          <w:color w:val="658464"/>
          <w:spacing w:val="-3"/>
          <w:w w:val="115"/>
          <w:sz w:val="44"/>
        </w:rPr>
        <w:t>pplying </w:t>
      </w:r>
      <w:r>
        <w:rPr>
          <w:b/>
          <w:color w:val="658464"/>
          <w:w w:val="115"/>
          <w:sz w:val="44"/>
        </w:rPr>
        <w:t>the </w:t>
      </w:r>
      <w:r>
        <w:rPr>
          <w:b/>
          <w:color w:val="658464"/>
          <w:spacing w:val="-4"/>
          <w:w w:val="115"/>
          <w:sz w:val="44"/>
        </w:rPr>
        <w:t>new </w:t>
      </w:r>
      <w:r>
        <w:rPr>
          <w:b/>
          <w:color w:val="658464"/>
          <w:w w:val="115"/>
          <w:sz w:val="44"/>
        </w:rPr>
        <w:t>Act </w:t>
      </w:r>
      <w:r>
        <w:rPr>
          <w:b/>
          <w:color w:val="658464"/>
          <w:spacing w:val="-3"/>
          <w:w w:val="115"/>
          <w:sz w:val="44"/>
        </w:rPr>
        <w:t>to neighbourhood </w:t>
      </w:r>
      <w:r>
        <w:rPr>
          <w:b/>
          <w:color w:val="658464"/>
          <w:w w:val="115"/>
          <w:sz w:val="44"/>
        </w:rPr>
        <w:t>tree</w:t>
      </w:r>
      <w:r>
        <w:rPr>
          <w:b/>
          <w:color w:val="658464"/>
          <w:spacing w:val="-61"/>
          <w:w w:val="115"/>
          <w:sz w:val="44"/>
        </w:rPr>
        <w:t> </w:t>
      </w:r>
      <w:r>
        <w:rPr>
          <w:b/>
          <w:color w:val="658464"/>
          <w:spacing w:val="-3"/>
          <w:w w:val="115"/>
          <w:sz w:val="44"/>
        </w:rPr>
        <w:t>disputes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5"/>
        </w:rPr>
      </w:pPr>
    </w:p>
    <w:p>
      <w:pPr>
        <w:spacing w:before="95"/>
        <w:ind w:left="1587" w:right="0" w:firstLine="0"/>
        <w:jc w:val="left"/>
        <w:rPr>
          <w:b/>
          <w:sz w:val="28"/>
        </w:rPr>
      </w:pPr>
      <w:r>
        <w:rPr>
          <w:b/>
          <w:color w:val="658464"/>
          <w:w w:val="110"/>
          <w:sz w:val="28"/>
        </w:rPr>
        <w:t>Introduction</w:t>
      </w:r>
    </w:p>
    <w:p>
      <w:pPr>
        <w:pStyle w:val="ListParagraph"/>
        <w:numPr>
          <w:ilvl w:val="1"/>
          <w:numId w:val="16"/>
        </w:numPr>
        <w:tabs>
          <w:tab w:pos="2381" w:val="left" w:leader="none"/>
          <w:tab w:pos="2382" w:val="left" w:leader="none"/>
        </w:tabs>
        <w:spacing w:line="240" w:lineRule="auto" w:before="155" w:after="0"/>
        <w:ind w:left="2381" w:right="0" w:hanging="794"/>
        <w:jc w:val="left"/>
        <w:rPr>
          <w:sz w:val="21"/>
        </w:rPr>
      </w:pPr>
      <w:r>
        <w:rPr>
          <w:w w:val="105"/>
          <w:sz w:val="21"/>
        </w:rPr>
        <w:t>This </w:t>
      </w:r>
      <w:r>
        <w:rPr>
          <w:spacing w:val="-3"/>
          <w:w w:val="105"/>
          <w:sz w:val="21"/>
        </w:rPr>
        <w:t>chapter explains </w:t>
      </w:r>
      <w:r>
        <w:rPr>
          <w:w w:val="105"/>
          <w:sz w:val="21"/>
        </w:rPr>
        <w:t>how the new Act should be applied </w:t>
      </w:r>
      <w:r>
        <w:rPr>
          <w:spacing w:val="-3"/>
          <w:w w:val="105"/>
          <w:sz w:val="21"/>
        </w:rPr>
        <w:t>to </w:t>
      </w:r>
      <w:r>
        <w:rPr>
          <w:w w:val="105"/>
          <w:sz w:val="21"/>
        </w:rPr>
        <w:t>tree</w:t>
      </w:r>
      <w:r>
        <w:rPr>
          <w:spacing w:val="4"/>
          <w:w w:val="105"/>
          <w:sz w:val="21"/>
        </w:rPr>
        <w:t> </w:t>
      </w:r>
      <w:r>
        <w:rPr>
          <w:spacing w:val="-3"/>
          <w:w w:val="105"/>
          <w:sz w:val="21"/>
        </w:rPr>
        <w:t>disputes.</w:t>
      </w:r>
    </w:p>
    <w:p>
      <w:pPr>
        <w:pStyle w:val="ListParagraph"/>
        <w:numPr>
          <w:ilvl w:val="1"/>
          <w:numId w:val="16"/>
        </w:numPr>
        <w:tabs>
          <w:tab w:pos="2380" w:val="left" w:leader="none"/>
          <w:tab w:pos="2381" w:val="left" w:leader="none"/>
        </w:tabs>
        <w:spacing w:line="240" w:lineRule="auto" w:before="124" w:after="0"/>
        <w:ind w:left="2381" w:right="0" w:hanging="794"/>
        <w:jc w:val="left"/>
        <w:rPr>
          <w:sz w:val="21"/>
        </w:rPr>
      </w:pPr>
      <w:r>
        <w:rPr>
          <w:w w:val="105"/>
          <w:sz w:val="21"/>
        </w:rPr>
        <w:t>The </w:t>
      </w:r>
      <w:r>
        <w:rPr>
          <w:spacing w:val="-3"/>
          <w:w w:val="105"/>
          <w:sz w:val="21"/>
        </w:rPr>
        <w:t>consultation </w:t>
      </w:r>
      <w:r>
        <w:rPr>
          <w:w w:val="105"/>
          <w:sz w:val="21"/>
        </w:rPr>
        <w:t>paper </w:t>
      </w:r>
      <w:r>
        <w:rPr>
          <w:spacing w:val="-3"/>
          <w:w w:val="105"/>
          <w:sz w:val="21"/>
        </w:rPr>
        <w:t>asked </w:t>
      </w:r>
      <w:r>
        <w:rPr>
          <w:w w:val="105"/>
          <w:sz w:val="21"/>
        </w:rPr>
        <w:t>the community a series of questions about these</w:t>
      </w:r>
      <w:r>
        <w:rPr>
          <w:spacing w:val="14"/>
          <w:w w:val="105"/>
          <w:sz w:val="21"/>
        </w:rPr>
        <w:t> </w:t>
      </w:r>
      <w:r>
        <w:rPr>
          <w:w w:val="105"/>
          <w:sz w:val="21"/>
        </w:rPr>
        <w:t>matters.</w:t>
      </w:r>
    </w:p>
    <w:p>
      <w:pPr>
        <w:pStyle w:val="BodyText"/>
        <w:spacing w:line="242" w:lineRule="auto" w:before="4"/>
        <w:ind w:left="2380" w:right="1933"/>
      </w:pPr>
      <w:r>
        <w:rPr>
          <w:w w:val="105"/>
        </w:rPr>
        <w:t>This </w:t>
      </w:r>
      <w:r>
        <w:rPr>
          <w:spacing w:val="-3"/>
          <w:w w:val="105"/>
        </w:rPr>
        <w:t>chapter </w:t>
      </w:r>
      <w:r>
        <w:rPr>
          <w:spacing w:val="-2"/>
          <w:w w:val="105"/>
        </w:rPr>
        <w:t>examines </w:t>
      </w:r>
      <w:r>
        <w:rPr>
          <w:w w:val="105"/>
        </w:rPr>
        <w:t>the </w:t>
      </w:r>
      <w:r>
        <w:rPr>
          <w:spacing w:val="-3"/>
          <w:w w:val="105"/>
        </w:rPr>
        <w:t>community’s </w:t>
      </w:r>
      <w:r>
        <w:rPr>
          <w:w w:val="105"/>
        </w:rPr>
        <w:t>responses. It then describes </w:t>
      </w:r>
      <w:r>
        <w:rPr>
          <w:spacing w:val="-4"/>
          <w:w w:val="105"/>
        </w:rPr>
        <w:t>key </w:t>
      </w:r>
      <w:r>
        <w:rPr>
          <w:spacing w:val="-3"/>
          <w:w w:val="105"/>
        </w:rPr>
        <w:t>features </w:t>
      </w:r>
      <w:r>
        <w:rPr>
          <w:w w:val="105"/>
        </w:rPr>
        <w:t>of the statutory schemes </w:t>
      </w:r>
      <w:r>
        <w:rPr>
          <w:spacing w:val="-3"/>
          <w:w w:val="105"/>
        </w:rPr>
        <w:t>to </w:t>
      </w:r>
      <w:r>
        <w:rPr>
          <w:w w:val="105"/>
        </w:rPr>
        <w:t>resolve tree </w:t>
      </w:r>
      <w:r>
        <w:rPr>
          <w:spacing w:val="-3"/>
          <w:w w:val="105"/>
        </w:rPr>
        <w:t>disputes </w:t>
      </w:r>
      <w:r>
        <w:rPr>
          <w:w w:val="105"/>
        </w:rPr>
        <w:t>in New South </w:t>
      </w:r>
      <w:r>
        <w:rPr>
          <w:spacing w:val="-3"/>
          <w:w w:val="105"/>
        </w:rPr>
        <w:t>Wales, Queensland </w:t>
      </w:r>
      <w:r>
        <w:rPr>
          <w:w w:val="105"/>
        </w:rPr>
        <w:t>and </w:t>
      </w:r>
      <w:r>
        <w:rPr>
          <w:spacing w:val="-6"/>
          <w:w w:val="105"/>
        </w:rPr>
        <w:t>Tasmania.</w:t>
      </w:r>
      <w:r>
        <w:rPr>
          <w:spacing w:val="-6"/>
          <w:w w:val="105"/>
          <w:position w:val="7"/>
          <w:sz w:val="12"/>
        </w:rPr>
        <w:t>1 </w:t>
      </w:r>
      <w:r>
        <w:rPr>
          <w:w w:val="105"/>
        </w:rPr>
        <w:t>The </w:t>
      </w:r>
      <w:r>
        <w:rPr>
          <w:spacing w:val="-4"/>
          <w:w w:val="105"/>
        </w:rPr>
        <w:t>Commission’s </w:t>
      </w:r>
      <w:r>
        <w:rPr>
          <w:spacing w:val="-3"/>
          <w:w w:val="105"/>
        </w:rPr>
        <w:t>recommendations </w:t>
      </w:r>
      <w:r>
        <w:rPr>
          <w:w w:val="105"/>
        </w:rPr>
        <w:t>about what should be </w:t>
      </w:r>
      <w:r>
        <w:rPr>
          <w:spacing w:val="-3"/>
          <w:w w:val="105"/>
        </w:rPr>
        <w:t>included </w:t>
      </w:r>
      <w:r>
        <w:rPr>
          <w:w w:val="105"/>
        </w:rPr>
        <w:t>in the</w:t>
      </w:r>
    </w:p>
    <w:p>
      <w:pPr>
        <w:pStyle w:val="BodyText"/>
        <w:spacing w:before="3"/>
        <w:ind w:left="2381"/>
      </w:pPr>
      <w:r>
        <w:rPr>
          <w:w w:val="105"/>
        </w:rPr>
        <w:t>new Act in Victoria are explained. The key features to be addressed by the new Act are:</w:t>
      </w:r>
    </w:p>
    <w:p>
      <w:pPr>
        <w:pStyle w:val="ListParagraph"/>
        <w:numPr>
          <w:ilvl w:val="2"/>
          <w:numId w:val="16"/>
        </w:numPr>
        <w:tabs>
          <w:tab w:pos="2721" w:val="left" w:leader="none"/>
          <w:tab w:pos="2722" w:val="left" w:leader="none"/>
        </w:tabs>
        <w:spacing w:line="240" w:lineRule="auto" w:before="123" w:after="0"/>
        <w:ind w:left="2721" w:right="0" w:hanging="340"/>
        <w:jc w:val="left"/>
        <w:rPr>
          <w:sz w:val="21"/>
        </w:rPr>
      </w:pPr>
      <w:r>
        <w:rPr>
          <w:spacing w:val="-4"/>
          <w:w w:val="105"/>
          <w:sz w:val="21"/>
        </w:rPr>
        <w:t>Trees, </w:t>
      </w:r>
      <w:r>
        <w:rPr>
          <w:spacing w:val="-3"/>
          <w:w w:val="105"/>
          <w:sz w:val="21"/>
        </w:rPr>
        <w:t>land </w:t>
      </w:r>
      <w:r>
        <w:rPr>
          <w:w w:val="105"/>
          <w:sz w:val="21"/>
        </w:rPr>
        <w:t>and</w:t>
      </w:r>
      <w:r>
        <w:rPr>
          <w:spacing w:val="22"/>
          <w:w w:val="105"/>
          <w:sz w:val="21"/>
        </w:rPr>
        <w:t> </w:t>
      </w:r>
      <w:r>
        <w:rPr>
          <w:spacing w:val="-3"/>
          <w:w w:val="105"/>
          <w:sz w:val="21"/>
        </w:rPr>
        <w:t>proximity</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Who can be a party </w:t>
      </w:r>
      <w:r>
        <w:rPr>
          <w:spacing w:val="-3"/>
          <w:w w:val="105"/>
          <w:sz w:val="21"/>
        </w:rPr>
        <w:t>to </w:t>
      </w:r>
      <w:r>
        <w:rPr>
          <w:w w:val="105"/>
          <w:sz w:val="21"/>
        </w:rPr>
        <w:t>a tree</w:t>
      </w:r>
      <w:r>
        <w:rPr>
          <w:spacing w:val="43"/>
          <w:w w:val="105"/>
          <w:sz w:val="21"/>
        </w:rPr>
        <w:t> </w:t>
      </w:r>
      <w:r>
        <w:rPr>
          <w:spacing w:val="-3"/>
          <w:w w:val="105"/>
          <w:sz w:val="21"/>
        </w:rPr>
        <w:t>dispute</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What </w:t>
      </w:r>
      <w:r>
        <w:rPr>
          <w:spacing w:val="-2"/>
          <w:w w:val="105"/>
          <w:sz w:val="21"/>
        </w:rPr>
        <w:t>problems </w:t>
      </w:r>
      <w:r>
        <w:rPr>
          <w:spacing w:val="-3"/>
          <w:w w:val="105"/>
          <w:sz w:val="21"/>
        </w:rPr>
        <w:t>are within </w:t>
      </w:r>
      <w:r>
        <w:rPr>
          <w:w w:val="105"/>
          <w:sz w:val="21"/>
        </w:rPr>
        <w:t>the scope of the new</w:t>
      </w:r>
      <w:r>
        <w:rPr>
          <w:spacing w:val="2"/>
          <w:w w:val="105"/>
          <w:sz w:val="21"/>
        </w:rPr>
        <w:t> </w:t>
      </w:r>
      <w:r>
        <w:rPr>
          <w:w w:val="105"/>
          <w:sz w:val="21"/>
        </w:rPr>
        <w:t>Act</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Who should be notified of an</w:t>
      </w:r>
      <w:r>
        <w:rPr>
          <w:spacing w:val="30"/>
          <w:w w:val="105"/>
          <w:sz w:val="21"/>
        </w:rPr>
        <w:t> </w:t>
      </w:r>
      <w:r>
        <w:rPr>
          <w:w w:val="105"/>
          <w:sz w:val="21"/>
        </w:rPr>
        <w:t>action</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w w:val="105"/>
          <w:sz w:val="21"/>
        </w:rPr>
        <w:t>Application</w:t>
      </w:r>
      <w:r>
        <w:rPr>
          <w:spacing w:val="5"/>
          <w:w w:val="105"/>
          <w:sz w:val="21"/>
        </w:rPr>
        <w:t> </w:t>
      </w:r>
      <w:r>
        <w:rPr>
          <w:spacing w:val="-3"/>
          <w:w w:val="105"/>
          <w:sz w:val="21"/>
        </w:rPr>
        <w:t>requirements.</w:t>
      </w:r>
    </w:p>
    <w:p>
      <w:pPr>
        <w:pStyle w:val="BodyText"/>
        <w:rPr>
          <w:sz w:val="19"/>
        </w:rPr>
      </w:pPr>
    </w:p>
    <w:p>
      <w:pPr>
        <w:pStyle w:val="Heading4"/>
      </w:pPr>
      <w:r>
        <w:rPr>
          <w:color w:val="658464"/>
          <w:w w:val="115"/>
        </w:rPr>
        <w:t>Trees, land and proximity</w:t>
      </w:r>
    </w:p>
    <w:p>
      <w:pPr>
        <w:pStyle w:val="Heading5"/>
        <w:spacing w:before="167"/>
      </w:pPr>
      <w:r>
        <w:rPr>
          <w:w w:val="115"/>
        </w:rPr>
        <w:t>Definition of ‘tree’</w:t>
      </w:r>
    </w:p>
    <w:p>
      <w:pPr>
        <w:pStyle w:val="ListParagraph"/>
        <w:numPr>
          <w:ilvl w:val="1"/>
          <w:numId w:val="16"/>
        </w:numPr>
        <w:tabs>
          <w:tab w:pos="2381" w:val="left" w:leader="none"/>
          <w:tab w:pos="2382" w:val="left" w:leader="none"/>
        </w:tabs>
        <w:spacing w:line="242" w:lineRule="auto" w:before="137" w:after="0"/>
        <w:ind w:left="2381" w:right="1748" w:hanging="794"/>
        <w:jc w:val="left"/>
        <w:rPr>
          <w:sz w:val="21"/>
        </w:rPr>
      </w:pPr>
      <w:r>
        <w:rPr>
          <w:w w:val="105"/>
          <w:sz w:val="21"/>
        </w:rPr>
        <w:t>The</w:t>
      </w:r>
      <w:r>
        <w:rPr>
          <w:spacing w:val="-14"/>
          <w:w w:val="105"/>
          <w:sz w:val="21"/>
        </w:rPr>
        <w:t> </w:t>
      </w:r>
      <w:r>
        <w:rPr>
          <w:spacing w:val="-3"/>
          <w:w w:val="105"/>
          <w:sz w:val="21"/>
        </w:rPr>
        <w:t>consultation</w:t>
      </w:r>
      <w:r>
        <w:rPr>
          <w:spacing w:val="-13"/>
          <w:w w:val="105"/>
          <w:sz w:val="21"/>
        </w:rPr>
        <w:t> </w:t>
      </w:r>
      <w:r>
        <w:rPr>
          <w:w w:val="105"/>
          <w:sz w:val="21"/>
        </w:rPr>
        <w:t>paper</w:t>
      </w:r>
      <w:r>
        <w:rPr>
          <w:spacing w:val="-13"/>
          <w:w w:val="105"/>
          <w:sz w:val="21"/>
        </w:rPr>
        <w:t> </w:t>
      </w:r>
      <w:r>
        <w:rPr>
          <w:spacing w:val="-3"/>
          <w:w w:val="105"/>
          <w:sz w:val="21"/>
        </w:rPr>
        <w:t>invited</w:t>
      </w:r>
      <w:r>
        <w:rPr>
          <w:spacing w:val="-13"/>
          <w:w w:val="105"/>
          <w:sz w:val="21"/>
        </w:rPr>
        <w:t> </w:t>
      </w:r>
      <w:r>
        <w:rPr>
          <w:w w:val="105"/>
          <w:sz w:val="21"/>
        </w:rPr>
        <w:t>community</w:t>
      </w:r>
      <w:r>
        <w:rPr>
          <w:spacing w:val="-13"/>
          <w:w w:val="105"/>
          <w:sz w:val="21"/>
        </w:rPr>
        <w:t> </w:t>
      </w:r>
      <w:r>
        <w:rPr>
          <w:w w:val="105"/>
          <w:sz w:val="21"/>
        </w:rPr>
        <w:t>responses</w:t>
      </w:r>
      <w:r>
        <w:rPr>
          <w:spacing w:val="-13"/>
          <w:w w:val="105"/>
          <w:sz w:val="21"/>
        </w:rPr>
        <w:t> </w:t>
      </w:r>
      <w:r>
        <w:rPr>
          <w:w w:val="105"/>
          <w:sz w:val="21"/>
        </w:rPr>
        <w:t>on</w:t>
      </w:r>
      <w:r>
        <w:rPr>
          <w:spacing w:val="-13"/>
          <w:w w:val="105"/>
          <w:sz w:val="21"/>
        </w:rPr>
        <w:t> </w:t>
      </w:r>
      <w:r>
        <w:rPr>
          <w:w w:val="105"/>
          <w:sz w:val="21"/>
        </w:rPr>
        <w:t>the</w:t>
      </w:r>
      <w:r>
        <w:rPr>
          <w:spacing w:val="-13"/>
          <w:w w:val="105"/>
          <w:sz w:val="21"/>
        </w:rPr>
        <w:t> </w:t>
      </w:r>
      <w:r>
        <w:rPr>
          <w:w w:val="105"/>
          <w:sz w:val="21"/>
        </w:rPr>
        <w:t>types</w:t>
      </w:r>
      <w:r>
        <w:rPr>
          <w:spacing w:val="-13"/>
          <w:w w:val="105"/>
          <w:sz w:val="21"/>
        </w:rPr>
        <w:t> </w:t>
      </w:r>
      <w:r>
        <w:rPr>
          <w:w w:val="105"/>
          <w:sz w:val="21"/>
        </w:rPr>
        <w:t>of</w:t>
      </w:r>
      <w:r>
        <w:rPr>
          <w:spacing w:val="-13"/>
          <w:w w:val="105"/>
          <w:sz w:val="21"/>
        </w:rPr>
        <w:t> </w:t>
      </w:r>
      <w:r>
        <w:rPr>
          <w:w w:val="105"/>
          <w:sz w:val="21"/>
        </w:rPr>
        <w:t>tree</w:t>
      </w:r>
      <w:r>
        <w:rPr>
          <w:spacing w:val="-13"/>
          <w:w w:val="105"/>
          <w:sz w:val="21"/>
        </w:rPr>
        <w:t> </w:t>
      </w:r>
      <w:r>
        <w:rPr>
          <w:w w:val="105"/>
          <w:sz w:val="21"/>
        </w:rPr>
        <w:t>(or</w:t>
      </w:r>
      <w:r>
        <w:rPr>
          <w:spacing w:val="-13"/>
          <w:w w:val="105"/>
          <w:sz w:val="21"/>
        </w:rPr>
        <w:t> </w:t>
      </w:r>
      <w:r>
        <w:rPr>
          <w:w w:val="105"/>
          <w:sz w:val="21"/>
        </w:rPr>
        <w:t>vegetation) </w:t>
      </w:r>
      <w:r>
        <w:rPr>
          <w:spacing w:val="-3"/>
          <w:w w:val="105"/>
          <w:sz w:val="21"/>
        </w:rPr>
        <w:t>that </w:t>
      </w:r>
      <w:r>
        <w:rPr>
          <w:w w:val="105"/>
          <w:sz w:val="21"/>
        </w:rPr>
        <w:t>should be </w:t>
      </w:r>
      <w:r>
        <w:rPr>
          <w:spacing w:val="-3"/>
          <w:w w:val="105"/>
          <w:sz w:val="21"/>
        </w:rPr>
        <w:t>included </w:t>
      </w:r>
      <w:r>
        <w:rPr>
          <w:w w:val="105"/>
          <w:sz w:val="21"/>
        </w:rPr>
        <w:t>in the new</w:t>
      </w:r>
      <w:r>
        <w:rPr>
          <w:spacing w:val="42"/>
          <w:w w:val="105"/>
          <w:sz w:val="21"/>
        </w:rPr>
        <w:t> </w:t>
      </w:r>
      <w:r>
        <w:rPr>
          <w:w w:val="105"/>
          <w:sz w:val="21"/>
        </w:rPr>
        <w:t>Act.</w:t>
      </w:r>
    </w:p>
    <w:p>
      <w:pPr>
        <w:pStyle w:val="ListParagraph"/>
        <w:numPr>
          <w:ilvl w:val="1"/>
          <w:numId w:val="16"/>
        </w:numPr>
        <w:tabs>
          <w:tab w:pos="2380" w:val="left" w:leader="none"/>
          <w:tab w:pos="2381" w:val="left" w:leader="none"/>
        </w:tabs>
        <w:spacing w:line="242" w:lineRule="auto" w:before="122" w:after="0"/>
        <w:ind w:left="2381" w:right="1712" w:hanging="794"/>
        <w:jc w:val="left"/>
        <w:rPr>
          <w:sz w:val="21"/>
        </w:rPr>
      </w:pPr>
      <w:r>
        <w:rPr>
          <w:w w:val="105"/>
          <w:sz w:val="21"/>
        </w:rPr>
        <w:t>The word ‘tree’ in this report denotes </w:t>
      </w:r>
      <w:r>
        <w:rPr>
          <w:spacing w:val="-3"/>
          <w:w w:val="105"/>
          <w:sz w:val="21"/>
        </w:rPr>
        <w:t>all </w:t>
      </w:r>
      <w:r>
        <w:rPr>
          <w:w w:val="105"/>
          <w:sz w:val="21"/>
        </w:rPr>
        <w:t>vegetation </w:t>
      </w:r>
      <w:r>
        <w:rPr>
          <w:spacing w:val="-3"/>
          <w:w w:val="105"/>
          <w:sz w:val="21"/>
        </w:rPr>
        <w:t>that may </w:t>
      </w:r>
      <w:r>
        <w:rPr>
          <w:w w:val="105"/>
          <w:sz w:val="21"/>
        </w:rPr>
        <w:t>cause a </w:t>
      </w:r>
      <w:r>
        <w:rPr>
          <w:spacing w:val="-3"/>
          <w:w w:val="105"/>
          <w:sz w:val="21"/>
        </w:rPr>
        <w:t>dispute </w:t>
      </w:r>
      <w:r>
        <w:rPr>
          <w:w w:val="105"/>
          <w:sz w:val="21"/>
        </w:rPr>
        <w:t>between neighbours.</w:t>
      </w:r>
      <w:r>
        <w:rPr>
          <w:spacing w:val="-12"/>
          <w:w w:val="105"/>
          <w:sz w:val="21"/>
        </w:rPr>
        <w:t> </w:t>
      </w:r>
      <w:r>
        <w:rPr>
          <w:spacing w:val="-3"/>
          <w:w w:val="105"/>
          <w:sz w:val="21"/>
        </w:rPr>
        <w:t>Disputes</w:t>
      </w:r>
      <w:r>
        <w:rPr>
          <w:spacing w:val="-11"/>
          <w:w w:val="105"/>
          <w:sz w:val="21"/>
        </w:rPr>
        <w:t> </w:t>
      </w:r>
      <w:r>
        <w:rPr>
          <w:w w:val="105"/>
          <w:sz w:val="21"/>
        </w:rPr>
        <w:t>can</w:t>
      </w:r>
      <w:r>
        <w:rPr>
          <w:spacing w:val="-11"/>
          <w:w w:val="105"/>
          <w:sz w:val="21"/>
        </w:rPr>
        <w:t> </w:t>
      </w:r>
      <w:r>
        <w:rPr>
          <w:w w:val="105"/>
          <w:sz w:val="21"/>
        </w:rPr>
        <w:t>arise</w:t>
      </w:r>
      <w:r>
        <w:rPr>
          <w:spacing w:val="-11"/>
          <w:w w:val="105"/>
          <w:sz w:val="21"/>
        </w:rPr>
        <w:t> </w:t>
      </w:r>
      <w:r>
        <w:rPr>
          <w:w w:val="105"/>
          <w:sz w:val="21"/>
        </w:rPr>
        <w:t>over</w:t>
      </w:r>
      <w:r>
        <w:rPr>
          <w:spacing w:val="-12"/>
          <w:w w:val="105"/>
          <w:sz w:val="21"/>
        </w:rPr>
        <w:t> </w:t>
      </w:r>
      <w:r>
        <w:rPr>
          <w:w w:val="105"/>
          <w:sz w:val="21"/>
        </w:rPr>
        <w:t>a</w:t>
      </w:r>
      <w:r>
        <w:rPr>
          <w:spacing w:val="-11"/>
          <w:w w:val="105"/>
          <w:sz w:val="21"/>
        </w:rPr>
        <w:t> </w:t>
      </w:r>
      <w:r>
        <w:rPr>
          <w:w w:val="105"/>
          <w:sz w:val="21"/>
        </w:rPr>
        <w:t>wide</w:t>
      </w:r>
      <w:r>
        <w:rPr>
          <w:spacing w:val="-11"/>
          <w:w w:val="105"/>
          <w:sz w:val="21"/>
        </w:rPr>
        <w:t> </w:t>
      </w:r>
      <w:r>
        <w:rPr>
          <w:w w:val="105"/>
          <w:sz w:val="21"/>
        </w:rPr>
        <w:t>variety</w:t>
      </w:r>
      <w:r>
        <w:rPr>
          <w:spacing w:val="-11"/>
          <w:w w:val="105"/>
          <w:sz w:val="21"/>
        </w:rPr>
        <w:t> </w:t>
      </w:r>
      <w:r>
        <w:rPr>
          <w:w w:val="105"/>
          <w:sz w:val="21"/>
        </w:rPr>
        <w:t>of</w:t>
      </w:r>
      <w:r>
        <w:rPr>
          <w:spacing w:val="-11"/>
          <w:w w:val="105"/>
          <w:sz w:val="21"/>
        </w:rPr>
        <w:t> </w:t>
      </w:r>
      <w:r>
        <w:rPr>
          <w:w w:val="105"/>
          <w:sz w:val="21"/>
        </w:rPr>
        <w:t>vegetation,</w:t>
      </w:r>
      <w:r>
        <w:rPr>
          <w:spacing w:val="-12"/>
          <w:w w:val="105"/>
          <w:sz w:val="21"/>
        </w:rPr>
        <w:t> </w:t>
      </w:r>
      <w:r>
        <w:rPr>
          <w:spacing w:val="-3"/>
          <w:w w:val="105"/>
          <w:sz w:val="21"/>
        </w:rPr>
        <w:t>including</w:t>
      </w:r>
      <w:r>
        <w:rPr>
          <w:spacing w:val="-11"/>
          <w:w w:val="105"/>
          <w:sz w:val="21"/>
        </w:rPr>
        <w:t> </w:t>
      </w:r>
      <w:r>
        <w:rPr>
          <w:w w:val="105"/>
          <w:sz w:val="21"/>
        </w:rPr>
        <w:t>trees,</w:t>
      </w:r>
      <w:r>
        <w:rPr>
          <w:spacing w:val="-11"/>
          <w:w w:val="105"/>
          <w:sz w:val="21"/>
        </w:rPr>
        <w:t> </w:t>
      </w:r>
      <w:r>
        <w:rPr>
          <w:w w:val="105"/>
          <w:sz w:val="21"/>
        </w:rPr>
        <w:t>grasses, bushes, creepers and vines, and even dead</w:t>
      </w:r>
      <w:r>
        <w:rPr>
          <w:spacing w:val="23"/>
          <w:w w:val="105"/>
          <w:sz w:val="21"/>
        </w:rPr>
        <w:t> </w:t>
      </w:r>
      <w:r>
        <w:rPr>
          <w:w w:val="105"/>
          <w:sz w:val="21"/>
        </w:rPr>
        <w:t>trees.</w:t>
      </w:r>
      <w:r>
        <w:rPr>
          <w:w w:val="105"/>
          <w:position w:val="7"/>
          <w:sz w:val="12"/>
        </w:rPr>
        <w:t>2</w:t>
      </w:r>
    </w:p>
    <w:p>
      <w:pPr>
        <w:pStyle w:val="ListParagraph"/>
        <w:numPr>
          <w:ilvl w:val="1"/>
          <w:numId w:val="16"/>
        </w:numPr>
        <w:tabs>
          <w:tab w:pos="2381" w:val="left" w:leader="none"/>
          <w:tab w:pos="2382" w:val="left" w:leader="none"/>
        </w:tabs>
        <w:spacing w:line="242" w:lineRule="auto" w:before="124" w:after="0"/>
        <w:ind w:left="2381" w:right="1647" w:hanging="794"/>
        <w:jc w:val="both"/>
        <w:rPr>
          <w:sz w:val="21"/>
        </w:rPr>
      </w:pPr>
      <w:r>
        <w:rPr>
          <w:w w:val="105"/>
          <w:sz w:val="21"/>
        </w:rPr>
        <w:t>The </w:t>
      </w:r>
      <w:r>
        <w:rPr>
          <w:spacing w:val="-3"/>
          <w:w w:val="105"/>
          <w:sz w:val="21"/>
        </w:rPr>
        <w:t>Macquarie </w:t>
      </w:r>
      <w:r>
        <w:rPr>
          <w:w w:val="105"/>
          <w:sz w:val="21"/>
        </w:rPr>
        <w:t>Dictionary defines a tree as </w:t>
      </w:r>
      <w:r>
        <w:rPr>
          <w:spacing w:val="-7"/>
          <w:w w:val="105"/>
          <w:sz w:val="21"/>
        </w:rPr>
        <w:t>‘a </w:t>
      </w:r>
      <w:r>
        <w:rPr>
          <w:spacing w:val="-3"/>
          <w:w w:val="105"/>
          <w:sz w:val="21"/>
        </w:rPr>
        <w:t>perennial plant having </w:t>
      </w:r>
      <w:r>
        <w:rPr>
          <w:w w:val="105"/>
          <w:sz w:val="21"/>
        </w:rPr>
        <w:t>a permanent </w:t>
      </w:r>
      <w:r>
        <w:rPr>
          <w:spacing w:val="-3"/>
          <w:w w:val="105"/>
          <w:sz w:val="21"/>
        </w:rPr>
        <w:t>woody, </w:t>
      </w:r>
      <w:r>
        <w:rPr>
          <w:w w:val="105"/>
          <w:sz w:val="21"/>
        </w:rPr>
        <w:t>self-supporting </w:t>
      </w:r>
      <w:r>
        <w:rPr>
          <w:spacing w:val="-3"/>
          <w:w w:val="105"/>
          <w:sz w:val="21"/>
        </w:rPr>
        <w:t>main </w:t>
      </w:r>
      <w:r>
        <w:rPr>
          <w:w w:val="105"/>
          <w:sz w:val="21"/>
        </w:rPr>
        <w:t>stem or trunk, </w:t>
      </w:r>
      <w:r>
        <w:rPr>
          <w:spacing w:val="-3"/>
          <w:w w:val="105"/>
          <w:sz w:val="21"/>
        </w:rPr>
        <w:t>usually growing to </w:t>
      </w:r>
      <w:r>
        <w:rPr>
          <w:w w:val="105"/>
          <w:sz w:val="21"/>
        </w:rPr>
        <w:t>a </w:t>
      </w:r>
      <w:r>
        <w:rPr>
          <w:spacing w:val="-3"/>
          <w:w w:val="105"/>
          <w:sz w:val="21"/>
        </w:rPr>
        <w:t>considerable height, </w:t>
      </w:r>
      <w:r>
        <w:rPr>
          <w:w w:val="105"/>
          <w:sz w:val="21"/>
        </w:rPr>
        <w:t>and </w:t>
      </w:r>
      <w:r>
        <w:rPr>
          <w:spacing w:val="-3"/>
          <w:w w:val="105"/>
          <w:sz w:val="21"/>
        </w:rPr>
        <w:t>usually developing branches </w:t>
      </w:r>
      <w:r>
        <w:rPr>
          <w:w w:val="105"/>
          <w:sz w:val="21"/>
        </w:rPr>
        <w:t>at some distance </w:t>
      </w:r>
      <w:r>
        <w:rPr>
          <w:spacing w:val="-3"/>
          <w:w w:val="105"/>
          <w:sz w:val="21"/>
        </w:rPr>
        <w:t>from </w:t>
      </w:r>
      <w:r>
        <w:rPr>
          <w:w w:val="105"/>
          <w:sz w:val="21"/>
        </w:rPr>
        <w:t>the </w:t>
      </w:r>
      <w:r>
        <w:rPr>
          <w:spacing w:val="-5"/>
          <w:w w:val="105"/>
          <w:sz w:val="21"/>
        </w:rPr>
        <w:t>ground’.</w:t>
      </w:r>
      <w:r>
        <w:rPr>
          <w:spacing w:val="-5"/>
          <w:w w:val="105"/>
          <w:position w:val="7"/>
          <w:sz w:val="12"/>
        </w:rPr>
        <w:t>3 </w:t>
      </w:r>
      <w:r>
        <w:rPr>
          <w:w w:val="105"/>
          <w:sz w:val="21"/>
        </w:rPr>
        <w:t>It defines </w:t>
      </w:r>
      <w:r>
        <w:rPr>
          <w:spacing w:val="-3"/>
          <w:w w:val="105"/>
          <w:sz w:val="21"/>
        </w:rPr>
        <w:t>‘vegetation’ </w:t>
      </w:r>
      <w:r>
        <w:rPr>
          <w:w w:val="105"/>
          <w:sz w:val="21"/>
        </w:rPr>
        <w:t>as </w:t>
      </w:r>
      <w:r>
        <w:rPr>
          <w:spacing w:val="-3"/>
          <w:w w:val="105"/>
          <w:sz w:val="21"/>
        </w:rPr>
        <w:t>‘plants </w:t>
      </w:r>
      <w:r>
        <w:rPr>
          <w:w w:val="105"/>
          <w:sz w:val="21"/>
        </w:rPr>
        <w:t>collectively; the </w:t>
      </w:r>
      <w:r>
        <w:rPr>
          <w:spacing w:val="-3"/>
          <w:w w:val="105"/>
          <w:sz w:val="21"/>
        </w:rPr>
        <w:t>plant life </w:t>
      </w:r>
      <w:r>
        <w:rPr>
          <w:w w:val="105"/>
          <w:sz w:val="21"/>
        </w:rPr>
        <w:t>of a particular region </w:t>
      </w:r>
      <w:r>
        <w:rPr>
          <w:spacing w:val="-3"/>
          <w:w w:val="105"/>
          <w:sz w:val="21"/>
        </w:rPr>
        <w:t>considered </w:t>
      </w:r>
      <w:r>
        <w:rPr>
          <w:w w:val="105"/>
          <w:sz w:val="21"/>
        </w:rPr>
        <w:t>as a</w:t>
      </w:r>
      <w:r>
        <w:rPr>
          <w:spacing w:val="29"/>
          <w:w w:val="105"/>
          <w:sz w:val="21"/>
        </w:rPr>
        <w:t> </w:t>
      </w:r>
      <w:r>
        <w:rPr>
          <w:spacing w:val="-4"/>
          <w:w w:val="105"/>
          <w:sz w:val="21"/>
        </w:rPr>
        <w:t>whole’.</w:t>
      </w:r>
      <w:r>
        <w:rPr>
          <w:spacing w:val="-4"/>
          <w:w w:val="105"/>
          <w:position w:val="7"/>
          <w:sz w:val="12"/>
        </w:rPr>
        <w:t>4</w:t>
      </w:r>
    </w:p>
    <w:p>
      <w:pPr>
        <w:pStyle w:val="ListParagraph"/>
        <w:numPr>
          <w:ilvl w:val="1"/>
          <w:numId w:val="16"/>
        </w:numPr>
        <w:tabs>
          <w:tab w:pos="2380" w:val="left" w:leader="none"/>
          <w:tab w:pos="2382" w:val="left" w:leader="none"/>
        </w:tabs>
        <w:spacing w:line="242" w:lineRule="auto" w:before="124" w:after="0"/>
        <w:ind w:left="2381" w:right="1863" w:hanging="794"/>
        <w:jc w:val="left"/>
        <w:rPr>
          <w:sz w:val="21"/>
        </w:rPr>
      </w:pPr>
      <w:r>
        <w:rPr>
          <w:sz w:val="21"/>
        </w:rPr>
        <w:t>There </w:t>
      </w:r>
      <w:r>
        <w:rPr>
          <w:spacing w:val="-3"/>
          <w:sz w:val="21"/>
        </w:rPr>
        <w:t>are </w:t>
      </w:r>
      <w:r>
        <w:rPr>
          <w:sz w:val="21"/>
        </w:rPr>
        <w:t>very </w:t>
      </w:r>
      <w:r>
        <w:rPr>
          <w:spacing w:val="-3"/>
          <w:sz w:val="21"/>
        </w:rPr>
        <w:t>few </w:t>
      </w:r>
      <w:r>
        <w:rPr>
          <w:sz w:val="21"/>
        </w:rPr>
        <w:t>definitions of ‘tree’ in Victorian </w:t>
      </w:r>
      <w:r>
        <w:rPr>
          <w:spacing w:val="-3"/>
          <w:sz w:val="21"/>
        </w:rPr>
        <w:t>legislation. </w:t>
      </w:r>
      <w:r>
        <w:rPr>
          <w:sz w:val="21"/>
        </w:rPr>
        <w:t>Some existing definitions are:</w:t>
      </w:r>
    </w:p>
    <w:p>
      <w:pPr>
        <w:pStyle w:val="ListParagraph"/>
        <w:numPr>
          <w:ilvl w:val="2"/>
          <w:numId w:val="16"/>
        </w:numPr>
        <w:tabs>
          <w:tab w:pos="2721" w:val="left" w:leader="none"/>
          <w:tab w:pos="2722" w:val="left" w:leader="none"/>
        </w:tabs>
        <w:spacing w:line="242" w:lineRule="auto" w:before="122" w:after="0"/>
        <w:ind w:left="2721" w:right="1678" w:hanging="340"/>
        <w:jc w:val="left"/>
        <w:rPr>
          <w:sz w:val="12"/>
        </w:rPr>
      </w:pPr>
      <w:r>
        <w:rPr>
          <w:w w:val="105"/>
          <w:sz w:val="21"/>
        </w:rPr>
        <w:t>The</w:t>
      </w:r>
      <w:r>
        <w:rPr>
          <w:spacing w:val="-8"/>
          <w:w w:val="105"/>
          <w:sz w:val="21"/>
        </w:rPr>
        <w:t> </w:t>
      </w:r>
      <w:r>
        <w:rPr>
          <w:i/>
          <w:w w:val="105"/>
          <w:sz w:val="21"/>
        </w:rPr>
        <w:t>Forests</w:t>
      </w:r>
      <w:r>
        <w:rPr>
          <w:i/>
          <w:spacing w:val="-8"/>
          <w:w w:val="105"/>
          <w:sz w:val="21"/>
        </w:rPr>
        <w:t> </w:t>
      </w:r>
      <w:r>
        <w:rPr>
          <w:i/>
          <w:w w:val="105"/>
          <w:sz w:val="21"/>
        </w:rPr>
        <w:t>Act</w:t>
      </w:r>
      <w:r>
        <w:rPr>
          <w:i/>
          <w:spacing w:val="-8"/>
          <w:w w:val="105"/>
          <w:sz w:val="21"/>
        </w:rPr>
        <w:t> </w:t>
      </w:r>
      <w:r>
        <w:rPr>
          <w:i/>
          <w:spacing w:val="-6"/>
          <w:w w:val="105"/>
          <w:sz w:val="21"/>
        </w:rPr>
        <w:t>1958</w:t>
      </w:r>
      <w:r>
        <w:rPr>
          <w:i/>
          <w:spacing w:val="-8"/>
          <w:w w:val="105"/>
          <w:sz w:val="21"/>
        </w:rPr>
        <w:t> </w:t>
      </w:r>
      <w:r>
        <w:rPr>
          <w:w w:val="105"/>
          <w:sz w:val="21"/>
        </w:rPr>
        <w:t>(Vic)</w:t>
      </w:r>
      <w:r>
        <w:rPr>
          <w:spacing w:val="-7"/>
          <w:w w:val="105"/>
          <w:sz w:val="21"/>
        </w:rPr>
        <w:t> </w:t>
      </w:r>
      <w:r>
        <w:rPr>
          <w:w w:val="105"/>
          <w:sz w:val="21"/>
        </w:rPr>
        <w:t>provides</w:t>
      </w:r>
      <w:r>
        <w:rPr>
          <w:spacing w:val="-8"/>
          <w:w w:val="105"/>
          <w:sz w:val="21"/>
        </w:rPr>
        <w:t> </w:t>
      </w:r>
      <w:r>
        <w:rPr>
          <w:spacing w:val="-3"/>
          <w:w w:val="105"/>
          <w:sz w:val="21"/>
        </w:rPr>
        <w:t>that</w:t>
      </w:r>
      <w:r>
        <w:rPr>
          <w:spacing w:val="-8"/>
          <w:w w:val="105"/>
          <w:sz w:val="21"/>
        </w:rPr>
        <w:t> </w:t>
      </w:r>
      <w:r>
        <w:rPr>
          <w:w w:val="105"/>
          <w:sz w:val="21"/>
        </w:rPr>
        <w:t>a</w:t>
      </w:r>
      <w:r>
        <w:rPr>
          <w:spacing w:val="-8"/>
          <w:w w:val="105"/>
          <w:sz w:val="21"/>
        </w:rPr>
        <w:t> </w:t>
      </w:r>
      <w:r>
        <w:rPr>
          <w:w w:val="105"/>
          <w:sz w:val="21"/>
        </w:rPr>
        <w:t>‘tree</w:t>
      </w:r>
      <w:r>
        <w:rPr>
          <w:spacing w:val="-8"/>
          <w:w w:val="105"/>
          <w:sz w:val="21"/>
        </w:rPr>
        <w:t> </w:t>
      </w:r>
      <w:r>
        <w:rPr>
          <w:w w:val="105"/>
          <w:sz w:val="21"/>
        </w:rPr>
        <w:t>or</w:t>
      </w:r>
      <w:r>
        <w:rPr>
          <w:spacing w:val="-7"/>
          <w:w w:val="105"/>
          <w:sz w:val="21"/>
        </w:rPr>
        <w:t> </w:t>
      </w:r>
      <w:r>
        <w:rPr>
          <w:w w:val="105"/>
          <w:sz w:val="21"/>
        </w:rPr>
        <w:t>trees’</w:t>
      </w:r>
      <w:r>
        <w:rPr>
          <w:spacing w:val="-8"/>
          <w:w w:val="105"/>
          <w:sz w:val="21"/>
        </w:rPr>
        <w:t> </w:t>
      </w:r>
      <w:r>
        <w:rPr>
          <w:spacing w:val="-3"/>
          <w:w w:val="105"/>
          <w:sz w:val="21"/>
        </w:rPr>
        <w:t>includes</w:t>
      </w:r>
      <w:r>
        <w:rPr>
          <w:spacing w:val="-8"/>
          <w:w w:val="105"/>
          <w:sz w:val="21"/>
        </w:rPr>
        <w:t> </w:t>
      </w:r>
      <w:r>
        <w:rPr>
          <w:w w:val="105"/>
          <w:sz w:val="21"/>
        </w:rPr>
        <w:t>‘trees</w:t>
      </w:r>
      <w:r>
        <w:rPr>
          <w:spacing w:val="-8"/>
          <w:w w:val="105"/>
          <w:sz w:val="21"/>
        </w:rPr>
        <w:t> </w:t>
      </w:r>
      <w:r>
        <w:rPr>
          <w:spacing w:val="-3"/>
          <w:w w:val="105"/>
          <w:sz w:val="21"/>
        </w:rPr>
        <w:t>shrubs</w:t>
      </w:r>
      <w:r>
        <w:rPr>
          <w:spacing w:val="-8"/>
          <w:w w:val="105"/>
          <w:sz w:val="21"/>
        </w:rPr>
        <w:t> </w:t>
      </w:r>
      <w:r>
        <w:rPr>
          <w:w w:val="105"/>
          <w:sz w:val="21"/>
        </w:rPr>
        <w:t>bushes </w:t>
      </w:r>
      <w:r>
        <w:rPr>
          <w:spacing w:val="-3"/>
          <w:w w:val="105"/>
          <w:sz w:val="21"/>
        </w:rPr>
        <w:t>seedlings saplings </w:t>
      </w:r>
      <w:r>
        <w:rPr>
          <w:w w:val="105"/>
          <w:sz w:val="21"/>
        </w:rPr>
        <w:t>and reshoots whether </w:t>
      </w:r>
      <w:r>
        <w:rPr>
          <w:spacing w:val="-3"/>
          <w:w w:val="105"/>
          <w:sz w:val="21"/>
        </w:rPr>
        <w:t>alive </w:t>
      </w:r>
      <w:r>
        <w:rPr>
          <w:w w:val="105"/>
          <w:sz w:val="21"/>
        </w:rPr>
        <w:t>or</w:t>
      </w:r>
      <w:r>
        <w:rPr>
          <w:spacing w:val="38"/>
          <w:w w:val="105"/>
          <w:sz w:val="21"/>
        </w:rPr>
        <w:t> </w:t>
      </w:r>
      <w:r>
        <w:rPr>
          <w:spacing w:val="-5"/>
          <w:w w:val="105"/>
          <w:sz w:val="21"/>
        </w:rPr>
        <w:t>dead’.</w:t>
      </w:r>
      <w:r>
        <w:rPr>
          <w:spacing w:val="-5"/>
          <w:w w:val="105"/>
          <w:position w:val="7"/>
          <w:sz w:val="12"/>
        </w:rPr>
        <w:t>5</w:t>
      </w:r>
    </w:p>
    <w:p>
      <w:pPr>
        <w:pStyle w:val="BodyText"/>
        <w:rPr>
          <w:sz w:val="20"/>
        </w:rPr>
      </w:pPr>
    </w:p>
    <w:p>
      <w:pPr>
        <w:pStyle w:val="BodyText"/>
        <w:rPr>
          <w:sz w:val="20"/>
        </w:rPr>
      </w:pPr>
    </w:p>
    <w:p>
      <w:pPr>
        <w:pStyle w:val="BodyText"/>
        <w:spacing w:before="1"/>
        <w:rPr>
          <w:sz w:val="11"/>
        </w:rPr>
      </w:pPr>
      <w:r>
        <w:rPr/>
        <w:pict>
          <v:line style="position:absolute;mso-position-horizontal-relative:page;mso-position-vertical-relative:paragraph;z-index:3080;mso-wrap-distance-left:0;mso-wrap-distance-right:0" from="79.370102pt,9.263356pt" to="515.905102pt,9.263356pt" stroked="true" strokeweight="1pt" strokecolor="#c9d2cb">
            <v:stroke dashstyle="solid"/>
            <w10:wrap type="topAndBottom"/>
          </v:line>
        </w:pict>
      </w:r>
    </w:p>
    <w:p>
      <w:pPr>
        <w:pStyle w:val="ListParagraph"/>
        <w:numPr>
          <w:ilvl w:val="0"/>
          <w:numId w:val="46"/>
        </w:numPr>
        <w:tabs>
          <w:tab w:pos="2380" w:val="left" w:leader="none"/>
          <w:tab w:pos="2382" w:val="left" w:leader="none"/>
        </w:tabs>
        <w:spacing w:line="240" w:lineRule="auto" w:before="117" w:after="0"/>
        <w:ind w:left="2381" w:right="0" w:hanging="794"/>
        <w:jc w:val="left"/>
        <w:rPr>
          <w:sz w:val="13"/>
        </w:rPr>
      </w:pPr>
      <w:r>
        <w:rPr>
          <w:w w:val="105"/>
          <w:sz w:val="13"/>
        </w:rPr>
        <w:t>See</w:t>
      </w:r>
      <w:r>
        <w:rPr>
          <w:spacing w:val="6"/>
          <w:w w:val="105"/>
          <w:sz w:val="13"/>
        </w:rPr>
        <w:t> </w:t>
      </w:r>
      <w:r>
        <w:rPr>
          <w:w w:val="105"/>
          <w:sz w:val="13"/>
        </w:rPr>
        <w:t>generally,</w:t>
      </w:r>
      <w:r>
        <w:rPr>
          <w:spacing w:val="6"/>
          <w:w w:val="105"/>
          <w:sz w:val="13"/>
        </w:rPr>
        <w:t> </w:t>
      </w:r>
      <w:r>
        <w:rPr>
          <w:i/>
          <w:w w:val="105"/>
          <w:sz w:val="13"/>
        </w:rPr>
        <w:t>Neighbourhood</w:t>
      </w:r>
      <w:r>
        <w:rPr>
          <w:i/>
          <w:spacing w:val="6"/>
          <w:w w:val="105"/>
          <w:sz w:val="13"/>
        </w:rPr>
        <w:t> </w:t>
      </w:r>
      <w:r>
        <w:rPr>
          <w:i/>
          <w:w w:val="105"/>
          <w:sz w:val="13"/>
        </w:rPr>
        <w:t>Disputes</w:t>
      </w:r>
      <w:r>
        <w:rPr>
          <w:i/>
          <w:spacing w:val="6"/>
          <w:w w:val="105"/>
          <w:sz w:val="13"/>
        </w:rPr>
        <w:t> </w:t>
      </w:r>
      <w:r>
        <w:rPr>
          <w:i/>
          <w:w w:val="105"/>
          <w:sz w:val="13"/>
        </w:rPr>
        <w:t>(Dividing</w:t>
      </w:r>
      <w:r>
        <w:rPr>
          <w:i/>
          <w:spacing w:val="7"/>
          <w:w w:val="105"/>
          <w:sz w:val="13"/>
        </w:rPr>
        <w:t> </w:t>
      </w:r>
      <w:r>
        <w:rPr>
          <w:i/>
          <w:w w:val="105"/>
          <w:sz w:val="13"/>
        </w:rPr>
        <w:t>Fences</w:t>
      </w:r>
      <w:r>
        <w:rPr>
          <w:i/>
          <w:spacing w:val="6"/>
          <w:w w:val="105"/>
          <w:sz w:val="13"/>
        </w:rPr>
        <w:t> </w:t>
      </w:r>
      <w:r>
        <w:rPr>
          <w:i/>
          <w:w w:val="105"/>
          <w:sz w:val="13"/>
        </w:rPr>
        <w:t>and</w:t>
      </w:r>
      <w:r>
        <w:rPr>
          <w:i/>
          <w:spacing w:val="6"/>
          <w:w w:val="105"/>
          <w:sz w:val="13"/>
        </w:rPr>
        <w:t> </w:t>
      </w:r>
      <w:r>
        <w:rPr>
          <w:i/>
          <w:w w:val="105"/>
          <w:sz w:val="13"/>
        </w:rPr>
        <w:t>Trees)</w:t>
      </w:r>
      <w:r>
        <w:rPr>
          <w:i/>
          <w:spacing w:val="6"/>
          <w:w w:val="105"/>
          <w:sz w:val="13"/>
        </w:rPr>
        <w:t> </w:t>
      </w:r>
      <w:r>
        <w:rPr>
          <w:i/>
          <w:w w:val="105"/>
          <w:sz w:val="13"/>
        </w:rPr>
        <w:t>Act</w:t>
      </w:r>
      <w:r>
        <w:rPr>
          <w:i/>
          <w:spacing w:val="6"/>
          <w:w w:val="105"/>
          <w:sz w:val="13"/>
        </w:rPr>
        <w:t> </w:t>
      </w:r>
      <w:r>
        <w:rPr>
          <w:i/>
          <w:spacing w:val="-4"/>
          <w:w w:val="105"/>
          <w:sz w:val="13"/>
        </w:rPr>
        <w:t>2011</w:t>
      </w:r>
      <w:r>
        <w:rPr>
          <w:i/>
          <w:spacing w:val="7"/>
          <w:w w:val="105"/>
          <w:sz w:val="13"/>
        </w:rPr>
        <w:t> </w:t>
      </w:r>
      <w:r>
        <w:rPr>
          <w:spacing w:val="3"/>
          <w:w w:val="105"/>
          <w:sz w:val="13"/>
        </w:rPr>
        <w:t>(Qld);</w:t>
      </w:r>
      <w:r>
        <w:rPr>
          <w:spacing w:val="6"/>
          <w:w w:val="105"/>
          <w:sz w:val="13"/>
        </w:rPr>
        <w:t> </w:t>
      </w:r>
      <w:r>
        <w:rPr>
          <w:i/>
          <w:w w:val="105"/>
          <w:sz w:val="13"/>
        </w:rPr>
        <w:t>Trees</w:t>
      </w:r>
      <w:r>
        <w:rPr>
          <w:i/>
          <w:spacing w:val="6"/>
          <w:w w:val="105"/>
          <w:sz w:val="13"/>
        </w:rPr>
        <w:t> </w:t>
      </w:r>
      <w:r>
        <w:rPr>
          <w:i/>
          <w:w w:val="105"/>
          <w:sz w:val="13"/>
        </w:rPr>
        <w:t>(Disputes</w:t>
      </w:r>
      <w:r>
        <w:rPr>
          <w:i/>
          <w:spacing w:val="6"/>
          <w:w w:val="105"/>
          <w:sz w:val="13"/>
        </w:rPr>
        <w:t> </w:t>
      </w:r>
      <w:r>
        <w:rPr>
          <w:i/>
          <w:w w:val="105"/>
          <w:sz w:val="13"/>
        </w:rPr>
        <w:t>Between</w:t>
      </w:r>
      <w:r>
        <w:rPr>
          <w:i/>
          <w:spacing w:val="6"/>
          <w:w w:val="105"/>
          <w:sz w:val="13"/>
        </w:rPr>
        <w:t> </w:t>
      </w:r>
      <w:r>
        <w:rPr>
          <w:i/>
          <w:w w:val="105"/>
          <w:sz w:val="13"/>
        </w:rPr>
        <w:t>Neighbours)</w:t>
      </w:r>
      <w:r>
        <w:rPr>
          <w:i/>
          <w:spacing w:val="7"/>
          <w:w w:val="105"/>
          <w:sz w:val="13"/>
        </w:rPr>
        <w:t> </w:t>
      </w:r>
      <w:r>
        <w:rPr>
          <w:i/>
          <w:w w:val="105"/>
          <w:sz w:val="13"/>
        </w:rPr>
        <w:t>Act</w:t>
      </w:r>
      <w:r>
        <w:rPr>
          <w:i/>
          <w:spacing w:val="6"/>
          <w:w w:val="105"/>
          <w:sz w:val="13"/>
        </w:rPr>
        <w:t> </w:t>
      </w:r>
      <w:r>
        <w:rPr>
          <w:i/>
          <w:w w:val="105"/>
          <w:sz w:val="13"/>
        </w:rPr>
        <w:t>2006</w:t>
      </w:r>
      <w:r>
        <w:rPr>
          <w:i/>
          <w:spacing w:val="6"/>
          <w:w w:val="105"/>
          <w:sz w:val="13"/>
        </w:rPr>
        <w:t> </w:t>
      </w:r>
      <w:r>
        <w:rPr>
          <w:spacing w:val="3"/>
          <w:w w:val="105"/>
          <w:sz w:val="13"/>
        </w:rPr>
        <w:t>(NSW);</w:t>
      </w:r>
    </w:p>
    <w:p>
      <w:pPr>
        <w:spacing w:before="1"/>
        <w:ind w:left="2381" w:right="0" w:firstLine="0"/>
        <w:jc w:val="left"/>
        <w:rPr>
          <w:sz w:val="13"/>
        </w:rPr>
      </w:pPr>
      <w:r>
        <w:rPr>
          <w:i/>
          <w:w w:val="105"/>
          <w:sz w:val="13"/>
        </w:rPr>
        <w:t>Neighbourhood Disputes About Plants Act 2017 </w:t>
      </w:r>
      <w:r>
        <w:rPr>
          <w:w w:val="105"/>
          <w:sz w:val="13"/>
        </w:rPr>
        <w:t>(Tas).</w:t>
      </w:r>
    </w:p>
    <w:p>
      <w:pPr>
        <w:pStyle w:val="ListParagraph"/>
        <w:numPr>
          <w:ilvl w:val="0"/>
          <w:numId w:val="46"/>
        </w:numPr>
        <w:tabs>
          <w:tab w:pos="2380" w:val="left" w:leader="none"/>
          <w:tab w:pos="2382" w:val="left" w:leader="none"/>
        </w:tabs>
        <w:spacing w:line="240" w:lineRule="auto" w:before="2" w:after="0"/>
        <w:ind w:left="2381" w:right="0" w:hanging="794"/>
        <w:jc w:val="left"/>
        <w:rPr>
          <w:sz w:val="13"/>
        </w:rPr>
      </w:pPr>
      <w:r>
        <w:rPr>
          <w:w w:val="105"/>
          <w:sz w:val="13"/>
        </w:rPr>
        <w:t>See, eg, Submissions </w:t>
      </w:r>
      <w:r>
        <w:rPr>
          <w:spacing w:val="-4"/>
          <w:w w:val="105"/>
          <w:sz w:val="13"/>
        </w:rPr>
        <w:t>17 </w:t>
      </w:r>
      <w:r>
        <w:rPr>
          <w:spacing w:val="2"/>
          <w:w w:val="105"/>
          <w:sz w:val="13"/>
        </w:rPr>
        <w:t>(Name </w:t>
      </w:r>
      <w:r>
        <w:rPr>
          <w:w w:val="105"/>
          <w:sz w:val="13"/>
        </w:rPr>
        <w:t>Withheld), </w:t>
      </w:r>
      <w:r>
        <w:rPr>
          <w:spacing w:val="-3"/>
          <w:w w:val="105"/>
          <w:sz w:val="13"/>
        </w:rPr>
        <w:t>19 </w:t>
      </w:r>
      <w:r>
        <w:rPr>
          <w:spacing w:val="2"/>
          <w:w w:val="105"/>
          <w:sz w:val="13"/>
        </w:rPr>
        <w:t>(Name </w:t>
      </w:r>
      <w:r>
        <w:rPr>
          <w:w w:val="105"/>
          <w:sz w:val="13"/>
        </w:rPr>
        <w:t>Withheld), 34 (Allan</w:t>
      </w:r>
      <w:r>
        <w:rPr>
          <w:spacing w:val="29"/>
          <w:w w:val="105"/>
          <w:sz w:val="13"/>
        </w:rPr>
        <w:t> </w:t>
      </w:r>
      <w:r>
        <w:rPr>
          <w:w w:val="105"/>
          <w:sz w:val="13"/>
        </w:rPr>
        <w:t>Day).</w:t>
      </w:r>
    </w:p>
    <w:p>
      <w:pPr>
        <w:pStyle w:val="ListParagraph"/>
        <w:numPr>
          <w:ilvl w:val="0"/>
          <w:numId w:val="46"/>
        </w:numPr>
        <w:tabs>
          <w:tab w:pos="2380" w:val="left" w:leader="none"/>
          <w:tab w:pos="2382" w:val="left" w:leader="none"/>
        </w:tabs>
        <w:spacing w:line="240" w:lineRule="auto" w:before="1" w:after="0"/>
        <w:ind w:left="2381" w:right="0" w:hanging="794"/>
        <w:jc w:val="left"/>
        <w:rPr>
          <w:sz w:val="13"/>
        </w:rPr>
      </w:pPr>
      <w:r>
        <w:rPr>
          <w:w w:val="105"/>
          <w:sz w:val="13"/>
        </w:rPr>
        <w:t>Susan</w:t>
      </w:r>
      <w:r>
        <w:rPr>
          <w:spacing w:val="4"/>
          <w:w w:val="105"/>
          <w:sz w:val="13"/>
        </w:rPr>
        <w:t> </w:t>
      </w:r>
      <w:r>
        <w:rPr>
          <w:w w:val="105"/>
          <w:sz w:val="13"/>
        </w:rPr>
        <w:t>Butler</w:t>
      </w:r>
      <w:r>
        <w:rPr>
          <w:spacing w:val="4"/>
          <w:w w:val="105"/>
          <w:sz w:val="13"/>
        </w:rPr>
        <w:t> </w:t>
      </w:r>
      <w:r>
        <w:rPr>
          <w:spacing w:val="2"/>
          <w:w w:val="105"/>
          <w:sz w:val="13"/>
        </w:rPr>
        <w:t>(ed),</w:t>
      </w:r>
      <w:r>
        <w:rPr>
          <w:spacing w:val="5"/>
          <w:w w:val="105"/>
          <w:sz w:val="13"/>
        </w:rPr>
        <w:t> </w:t>
      </w:r>
      <w:r>
        <w:rPr>
          <w:i/>
          <w:w w:val="105"/>
          <w:sz w:val="13"/>
        </w:rPr>
        <w:t>Macquarie</w:t>
      </w:r>
      <w:r>
        <w:rPr>
          <w:i/>
          <w:spacing w:val="4"/>
          <w:w w:val="105"/>
          <w:sz w:val="13"/>
        </w:rPr>
        <w:t> </w:t>
      </w:r>
      <w:r>
        <w:rPr>
          <w:i/>
          <w:w w:val="105"/>
          <w:sz w:val="13"/>
        </w:rPr>
        <w:t>Dictionary</w:t>
      </w:r>
      <w:r>
        <w:rPr>
          <w:i/>
          <w:spacing w:val="4"/>
          <w:w w:val="105"/>
          <w:sz w:val="13"/>
        </w:rPr>
        <w:t> </w:t>
      </w:r>
      <w:r>
        <w:rPr>
          <w:w w:val="105"/>
          <w:sz w:val="13"/>
        </w:rPr>
        <w:t>(Macquarie</w:t>
      </w:r>
      <w:r>
        <w:rPr>
          <w:spacing w:val="5"/>
          <w:w w:val="105"/>
          <w:sz w:val="13"/>
        </w:rPr>
        <w:t> </w:t>
      </w:r>
      <w:r>
        <w:rPr>
          <w:spacing w:val="2"/>
          <w:w w:val="105"/>
          <w:sz w:val="13"/>
        </w:rPr>
        <w:t>Dictionary</w:t>
      </w:r>
      <w:r>
        <w:rPr>
          <w:spacing w:val="4"/>
          <w:w w:val="105"/>
          <w:sz w:val="13"/>
        </w:rPr>
        <w:t> </w:t>
      </w:r>
      <w:r>
        <w:rPr>
          <w:w w:val="105"/>
          <w:sz w:val="13"/>
        </w:rPr>
        <w:t>Publishers,</w:t>
      </w:r>
      <w:r>
        <w:rPr>
          <w:spacing w:val="4"/>
          <w:w w:val="105"/>
          <w:sz w:val="13"/>
        </w:rPr>
        <w:t> </w:t>
      </w:r>
      <w:r>
        <w:rPr>
          <w:w w:val="105"/>
          <w:sz w:val="13"/>
        </w:rPr>
        <w:t>6th</w:t>
      </w:r>
      <w:r>
        <w:rPr>
          <w:spacing w:val="5"/>
          <w:w w:val="105"/>
          <w:sz w:val="13"/>
        </w:rPr>
        <w:t> </w:t>
      </w:r>
      <w:r>
        <w:rPr>
          <w:w w:val="105"/>
          <w:sz w:val="13"/>
        </w:rPr>
        <w:t>ed,</w:t>
      </w:r>
      <w:r>
        <w:rPr>
          <w:spacing w:val="4"/>
          <w:w w:val="105"/>
          <w:sz w:val="13"/>
        </w:rPr>
        <w:t> </w:t>
      </w:r>
      <w:r>
        <w:rPr>
          <w:w w:val="105"/>
          <w:sz w:val="13"/>
        </w:rPr>
        <w:t>2013)</w:t>
      </w:r>
      <w:r>
        <w:rPr>
          <w:spacing w:val="4"/>
          <w:w w:val="105"/>
          <w:sz w:val="13"/>
        </w:rPr>
        <w:t> </w:t>
      </w:r>
      <w:r>
        <w:rPr>
          <w:w w:val="105"/>
          <w:sz w:val="13"/>
        </w:rPr>
        <w:t>‘tree’.</w:t>
      </w:r>
    </w:p>
    <w:p>
      <w:pPr>
        <w:pStyle w:val="ListParagraph"/>
        <w:numPr>
          <w:ilvl w:val="0"/>
          <w:numId w:val="46"/>
        </w:numPr>
        <w:tabs>
          <w:tab w:pos="2380" w:val="left" w:leader="none"/>
          <w:tab w:pos="2382" w:val="left" w:leader="none"/>
        </w:tabs>
        <w:spacing w:line="240" w:lineRule="auto" w:before="1" w:after="0"/>
        <w:ind w:left="2381" w:right="0" w:hanging="794"/>
        <w:jc w:val="left"/>
        <w:rPr>
          <w:sz w:val="13"/>
        </w:rPr>
      </w:pPr>
      <w:r>
        <w:rPr/>
        <w:pict>
          <v:shape style="position:absolute;margin-left:36pt;margin-top:3.013465pt;width:13.5pt;height:14.25pt;mso-position-horizontal-relative:page;mso-position-vertical-relative:paragraph;z-index:5152" type="#_x0000_t202" filled="false" stroked="false">
            <v:textbox inset="0,0,0,0">
              <w:txbxContent>
                <w:p>
                  <w:pPr>
                    <w:spacing w:line="284" w:lineRule="exact" w:before="0"/>
                    <w:ind w:left="0" w:right="0" w:firstLine="0"/>
                    <w:jc w:val="left"/>
                    <w:rPr>
                      <w:b/>
                      <w:sz w:val="24"/>
                    </w:rPr>
                  </w:pPr>
                  <w:r>
                    <w:rPr>
                      <w:b/>
                      <w:color w:val="658464"/>
                      <w:w w:val="110"/>
                      <w:sz w:val="24"/>
                    </w:rPr>
                    <w:t>66</w:t>
                  </w:r>
                </w:p>
              </w:txbxContent>
            </v:textbox>
            <w10:wrap type="none"/>
          </v:shape>
        </w:pict>
      </w:r>
      <w:r>
        <w:rPr>
          <w:sz w:val="13"/>
        </w:rPr>
        <w:t>Ibid</w:t>
      </w:r>
      <w:r>
        <w:rPr>
          <w:spacing w:val="6"/>
          <w:sz w:val="13"/>
        </w:rPr>
        <w:t> </w:t>
      </w:r>
      <w:r>
        <w:rPr>
          <w:sz w:val="13"/>
        </w:rPr>
        <w:t>‘vegetation’.</w:t>
      </w:r>
    </w:p>
    <w:p>
      <w:pPr>
        <w:pStyle w:val="ListParagraph"/>
        <w:numPr>
          <w:ilvl w:val="0"/>
          <w:numId w:val="46"/>
        </w:numPr>
        <w:tabs>
          <w:tab w:pos="2380" w:val="left" w:leader="none"/>
          <w:tab w:pos="2382" w:val="left" w:leader="none"/>
        </w:tabs>
        <w:spacing w:line="240" w:lineRule="auto" w:before="2" w:after="0"/>
        <w:ind w:left="2381" w:right="0" w:hanging="794"/>
        <w:jc w:val="left"/>
        <w:rPr>
          <w:sz w:val="13"/>
        </w:rPr>
      </w:pPr>
      <w:r>
        <w:rPr>
          <w:i/>
          <w:spacing w:val="2"/>
          <w:w w:val="105"/>
          <w:sz w:val="13"/>
        </w:rPr>
        <w:t>Forests</w:t>
      </w:r>
      <w:r>
        <w:rPr>
          <w:i/>
          <w:spacing w:val="4"/>
          <w:w w:val="105"/>
          <w:sz w:val="13"/>
        </w:rPr>
        <w:t> </w:t>
      </w:r>
      <w:r>
        <w:rPr>
          <w:i/>
          <w:w w:val="105"/>
          <w:sz w:val="13"/>
        </w:rPr>
        <w:t>Act</w:t>
      </w:r>
      <w:r>
        <w:rPr>
          <w:i/>
          <w:spacing w:val="5"/>
          <w:w w:val="105"/>
          <w:sz w:val="13"/>
        </w:rPr>
        <w:t> </w:t>
      </w:r>
      <w:r>
        <w:rPr>
          <w:i/>
          <w:w w:val="105"/>
          <w:sz w:val="13"/>
        </w:rPr>
        <w:t>1958</w:t>
      </w:r>
      <w:r>
        <w:rPr>
          <w:i/>
          <w:spacing w:val="4"/>
          <w:w w:val="105"/>
          <w:sz w:val="13"/>
        </w:rPr>
        <w:t> </w:t>
      </w:r>
      <w:r>
        <w:rPr>
          <w:spacing w:val="2"/>
          <w:w w:val="105"/>
          <w:sz w:val="13"/>
        </w:rPr>
        <w:t>(Vic)</w:t>
      </w:r>
      <w:r>
        <w:rPr>
          <w:spacing w:val="5"/>
          <w:w w:val="105"/>
          <w:sz w:val="13"/>
        </w:rPr>
        <w:t> </w:t>
      </w:r>
      <w:r>
        <w:rPr>
          <w:w w:val="105"/>
          <w:sz w:val="13"/>
        </w:rPr>
        <w:t>s</w:t>
      </w:r>
      <w:r>
        <w:rPr>
          <w:spacing w:val="4"/>
          <w:w w:val="105"/>
          <w:sz w:val="13"/>
        </w:rPr>
        <w:t> </w:t>
      </w:r>
      <w:r>
        <w:rPr>
          <w:w w:val="105"/>
          <w:sz w:val="13"/>
        </w:rPr>
        <w:t>3</w:t>
      </w:r>
      <w:r>
        <w:rPr>
          <w:spacing w:val="5"/>
          <w:w w:val="105"/>
          <w:sz w:val="13"/>
        </w:rPr>
        <w:t> </w:t>
      </w:r>
      <w:r>
        <w:rPr>
          <w:w w:val="105"/>
          <w:sz w:val="13"/>
        </w:rPr>
        <w:t>(definition</w:t>
      </w:r>
      <w:r>
        <w:rPr>
          <w:spacing w:val="4"/>
          <w:w w:val="105"/>
          <w:sz w:val="13"/>
        </w:rPr>
        <w:t> </w:t>
      </w:r>
      <w:r>
        <w:rPr>
          <w:w w:val="105"/>
          <w:sz w:val="13"/>
        </w:rPr>
        <w:t>of</w:t>
      </w:r>
      <w:r>
        <w:rPr>
          <w:spacing w:val="5"/>
          <w:w w:val="105"/>
          <w:sz w:val="13"/>
        </w:rPr>
        <w:t> </w:t>
      </w:r>
      <w:r>
        <w:rPr>
          <w:w w:val="105"/>
          <w:sz w:val="13"/>
        </w:rPr>
        <w:t>‘tree’</w:t>
      </w:r>
      <w:r>
        <w:rPr>
          <w:spacing w:val="4"/>
          <w:w w:val="105"/>
          <w:sz w:val="13"/>
        </w:rPr>
        <w:t> </w:t>
      </w:r>
      <w:r>
        <w:rPr>
          <w:w w:val="105"/>
          <w:sz w:val="13"/>
        </w:rPr>
        <w:t>or</w:t>
      </w:r>
      <w:r>
        <w:rPr>
          <w:spacing w:val="5"/>
          <w:w w:val="105"/>
          <w:sz w:val="13"/>
        </w:rPr>
        <w:t> </w:t>
      </w:r>
      <w:r>
        <w:rPr>
          <w:w w:val="105"/>
          <w:sz w:val="13"/>
        </w:rPr>
        <w:t>‘trees’).</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8"/>
        <w:rPr>
          <w:sz w:val="18"/>
        </w:rPr>
      </w:pPr>
    </w:p>
    <w:p>
      <w:pPr>
        <w:pStyle w:val="ListParagraph"/>
        <w:numPr>
          <w:ilvl w:val="1"/>
          <w:numId w:val="46"/>
        </w:numPr>
        <w:tabs>
          <w:tab w:pos="2721" w:val="left" w:leader="none"/>
          <w:tab w:pos="2722" w:val="left" w:leader="none"/>
        </w:tabs>
        <w:spacing w:line="242" w:lineRule="auto" w:before="92" w:after="0"/>
        <w:ind w:left="2721" w:right="1887" w:hanging="340"/>
        <w:jc w:val="left"/>
        <w:rPr>
          <w:sz w:val="12"/>
        </w:rPr>
      </w:pPr>
      <w:r>
        <w:rPr>
          <w:w w:val="105"/>
          <w:sz w:val="21"/>
        </w:rPr>
        <w:t>The </w:t>
      </w:r>
      <w:r>
        <w:rPr>
          <w:i/>
          <w:w w:val="105"/>
          <w:sz w:val="21"/>
        </w:rPr>
        <w:t>Country Fire Authority Act </w:t>
      </w:r>
      <w:r>
        <w:rPr>
          <w:i/>
          <w:spacing w:val="-6"/>
          <w:w w:val="105"/>
          <w:sz w:val="21"/>
        </w:rPr>
        <w:t>1958 </w:t>
      </w:r>
      <w:r>
        <w:rPr>
          <w:w w:val="105"/>
          <w:sz w:val="21"/>
        </w:rPr>
        <w:t>(Vic) defines </w:t>
      </w:r>
      <w:r>
        <w:rPr>
          <w:spacing w:val="-3"/>
          <w:w w:val="105"/>
          <w:sz w:val="21"/>
        </w:rPr>
        <w:t>‘scrub </w:t>
      </w:r>
      <w:r>
        <w:rPr>
          <w:w w:val="105"/>
          <w:sz w:val="21"/>
        </w:rPr>
        <w:t>or </w:t>
      </w:r>
      <w:r>
        <w:rPr>
          <w:spacing w:val="-3"/>
          <w:w w:val="105"/>
          <w:sz w:val="21"/>
        </w:rPr>
        <w:t>vegetation’ to include </w:t>
      </w:r>
      <w:r>
        <w:rPr>
          <w:w w:val="105"/>
          <w:sz w:val="21"/>
        </w:rPr>
        <w:t>‘trees bushes plants and undergrowth of </w:t>
      </w:r>
      <w:r>
        <w:rPr>
          <w:spacing w:val="-3"/>
          <w:w w:val="105"/>
          <w:sz w:val="21"/>
        </w:rPr>
        <w:t>all kinds </w:t>
      </w:r>
      <w:r>
        <w:rPr>
          <w:w w:val="105"/>
          <w:sz w:val="21"/>
        </w:rPr>
        <w:t>and </w:t>
      </w:r>
      <w:r>
        <w:rPr>
          <w:spacing w:val="-3"/>
          <w:w w:val="105"/>
          <w:sz w:val="21"/>
        </w:rPr>
        <w:t>sizes </w:t>
      </w:r>
      <w:r>
        <w:rPr>
          <w:w w:val="105"/>
          <w:sz w:val="21"/>
        </w:rPr>
        <w:t>whether </w:t>
      </w:r>
      <w:r>
        <w:rPr>
          <w:spacing w:val="-3"/>
          <w:w w:val="105"/>
          <w:sz w:val="21"/>
        </w:rPr>
        <w:t>living </w:t>
      </w:r>
      <w:r>
        <w:rPr>
          <w:w w:val="105"/>
          <w:sz w:val="21"/>
        </w:rPr>
        <w:t>or dead and whether standing or </w:t>
      </w:r>
      <w:r>
        <w:rPr>
          <w:spacing w:val="-2"/>
          <w:w w:val="105"/>
          <w:sz w:val="21"/>
        </w:rPr>
        <w:t>not </w:t>
      </w:r>
      <w:r>
        <w:rPr>
          <w:spacing w:val="-3"/>
          <w:w w:val="105"/>
          <w:sz w:val="21"/>
        </w:rPr>
        <w:t>standing, </w:t>
      </w:r>
      <w:r>
        <w:rPr>
          <w:w w:val="105"/>
          <w:sz w:val="21"/>
        </w:rPr>
        <w:t>and also </w:t>
      </w:r>
      <w:r>
        <w:rPr>
          <w:spacing w:val="-3"/>
          <w:w w:val="105"/>
          <w:sz w:val="21"/>
        </w:rPr>
        <w:t>includes any </w:t>
      </w:r>
      <w:r>
        <w:rPr>
          <w:w w:val="105"/>
          <w:sz w:val="21"/>
        </w:rPr>
        <w:t>part of </w:t>
      </w:r>
      <w:r>
        <w:rPr>
          <w:spacing w:val="-3"/>
          <w:w w:val="105"/>
          <w:sz w:val="21"/>
        </w:rPr>
        <w:t>any such </w:t>
      </w:r>
      <w:r>
        <w:rPr>
          <w:w w:val="105"/>
          <w:sz w:val="21"/>
        </w:rPr>
        <w:t>trees bushes plants or undergrowth whether severed or </w:t>
      </w:r>
      <w:r>
        <w:rPr>
          <w:spacing w:val="-2"/>
          <w:w w:val="105"/>
          <w:sz w:val="21"/>
        </w:rPr>
        <w:t>not</w:t>
      </w:r>
      <w:r>
        <w:rPr>
          <w:spacing w:val="9"/>
          <w:w w:val="105"/>
          <w:sz w:val="21"/>
        </w:rPr>
        <w:t> </w:t>
      </w:r>
      <w:r>
        <w:rPr>
          <w:spacing w:val="-4"/>
          <w:w w:val="105"/>
          <w:sz w:val="21"/>
        </w:rPr>
        <w:t>severed’.</w:t>
      </w:r>
      <w:r>
        <w:rPr>
          <w:spacing w:val="-4"/>
          <w:w w:val="105"/>
          <w:position w:val="7"/>
          <w:sz w:val="12"/>
        </w:rPr>
        <w:t>6</w:t>
      </w:r>
    </w:p>
    <w:p>
      <w:pPr>
        <w:pStyle w:val="ListParagraph"/>
        <w:numPr>
          <w:ilvl w:val="1"/>
          <w:numId w:val="16"/>
        </w:numPr>
        <w:tabs>
          <w:tab w:pos="2381" w:val="left" w:leader="none"/>
          <w:tab w:pos="2382" w:val="left" w:leader="none"/>
        </w:tabs>
        <w:spacing w:line="242" w:lineRule="auto" w:before="90" w:after="0"/>
        <w:ind w:left="2381" w:right="1717" w:hanging="794"/>
        <w:jc w:val="left"/>
        <w:rPr>
          <w:sz w:val="21"/>
        </w:rPr>
      </w:pPr>
      <w:r>
        <w:rPr>
          <w:spacing w:val="-4"/>
          <w:w w:val="105"/>
          <w:sz w:val="21"/>
        </w:rPr>
        <w:t>At </w:t>
      </w:r>
      <w:r>
        <w:rPr>
          <w:w w:val="105"/>
          <w:sz w:val="21"/>
        </w:rPr>
        <w:t>the local </w:t>
      </w:r>
      <w:r>
        <w:rPr>
          <w:spacing w:val="-3"/>
          <w:w w:val="105"/>
          <w:sz w:val="21"/>
        </w:rPr>
        <w:t>government level, </w:t>
      </w:r>
      <w:r>
        <w:rPr>
          <w:w w:val="105"/>
          <w:sz w:val="21"/>
        </w:rPr>
        <w:t>trees </w:t>
      </w:r>
      <w:r>
        <w:rPr>
          <w:spacing w:val="-3"/>
          <w:w w:val="105"/>
          <w:sz w:val="21"/>
        </w:rPr>
        <w:t>are </w:t>
      </w:r>
      <w:r>
        <w:rPr>
          <w:w w:val="105"/>
          <w:sz w:val="21"/>
        </w:rPr>
        <w:t>defined in </w:t>
      </w:r>
      <w:r>
        <w:rPr>
          <w:spacing w:val="-3"/>
          <w:w w:val="105"/>
          <w:sz w:val="21"/>
        </w:rPr>
        <w:t>different </w:t>
      </w:r>
      <w:r>
        <w:rPr>
          <w:w w:val="105"/>
          <w:sz w:val="21"/>
        </w:rPr>
        <w:t>ways. The Melbourne </w:t>
      </w:r>
      <w:r>
        <w:rPr>
          <w:spacing w:val="-3"/>
          <w:w w:val="105"/>
          <w:sz w:val="21"/>
        </w:rPr>
        <w:t>City </w:t>
      </w:r>
      <w:r>
        <w:rPr>
          <w:spacing w:val="-4"/>
          <w:w w:val="105"/>
          <w:sz w:val="21"/>
        </w:rPr>
        <w:t>Council’s </w:t>
      </w:r>
      <w:r>
        <w:rPr>
          <w:w w:val="105"/>
          <w:sz w:val="21"/>
        </w:rPr>
        <w:t>definition </w:t>
      </w:r>
      <w:r>
        <w:rPr>
          <w:spacing w:val="-3"/>
          <w:w w:val="105"/>
          <w:sz w:val="21"/>
        </w:rPr>
        <w:t>includes </w:t>
      </w:r>
      <w:r>
        <w:rPr>
          <w:w w:val="105"/>
          <w:sz w:val="21"/>
        </w:rPr>
        <w:t>‘the trunk, </w:t>
      </w:r>
      <w:r>
        <w:rPr>
          <w:spacing w:val="-3"/>
          <w:w w:val="105"/>
          <w:sz w:val="21"/>
        </w:rPr>
        <w:t>branches, </w:t>
      </w:r>
      <w:r>
        <w:rPr>
          <w:w w:val="105"/>
          <w:sz w:val="21"/>
        </w:rPr>
        <w:t>canopy and root system of [a] </w:t>
      </w:r>
      <w:r>
        <w:rPr>
          <w:spacing w:val="-6"/>
          <w:w w:val="105"/>
          <w:sz w:val="21"/>
        </w:rPr>
        <w:t>tree’.</w:t>
      </w:r>
      <w:r>
        <w:rPr>
          <w:spacing w:val="-6"/>
          <w:w w:val="105"/>
          <w:position w:val="7"/>
          <w:sz w:val="12"/>
        </w:rPr>
        <w:t>7</w:t>
      </w:r>
      <w:r>
        <w:rPr>
          <w:spacing w:val="-6"/>
          <w:w w:val="105"/>
          <w:sz w:val="12"/>
        </w:rPr>
        <w:t> </w:t>
      </w:r>
      <w:r>
        <w:rPr>
          <w:spacing w:val="-3"/>
          <w:w w:val="105"/>
          <w:sz w:val="21"/>
        </w:rPr>
        <w:t>Nillumbik Shire </w:t>
      </w:r>
      <w:r>
        <w:rPr>
          <w:spacing w:val="-4"/>
          <w:w w:val="105"/>
          <w:sz w:val="21"/>
        </w:rPr>
        <w:t>Council </w:t>
      </w:r>
      <w:r>
        <w:rPr>
          <w:w w:val="105"/>
          <w:sz w:val="21"/>
        </w:rPr>
        <w:t>defines a tree as a </w:t>
      </w:r>
      <w:r>
        <w:rPr>
          <w:spacing w:val="-3"/>
          <w:w w:val="105"/>
          <w:sz w:val="21"/>
        </w:rPr>
        <w:t>‘long </w:t>
      </w:r>
      <w:r>
        <w:rPr>
          <w:w w:val="105"/>
          <w:sz w:val="21"/>
        </w:rPr>
        <w:t>lived woody </w:t>
      </w:r>
      <w:r>
        <w:rPr>
          <w:spacing w:val="-3"/>
          <w:w w:val="105"/>
          <w:sz w:val="21"/>
        </w:rPr>
        <w:t>perennial plant greater than </w:t>
      </w:r>
      <w:r>
        <w:rPr>
          <w:w w:val="105"/>
          <w:sz w:val="21"/>
        </w:rPr>
        <w:t>(or </w:t>
      </w:r>
      <w:r>
        <w:rPr>
          <w:spacing w:val="-3"/>
          <w:w w:val="105"/>
          <w:sz w:val="21"/>
        </w:rPr>
        <w:t>usually greater </w:t>
      </w:r>
      <w:r>
        <w:rPr>
          <w:w w:val="105"/>
          <w:sz w:val="21"/>
        </w:rPr>
        <w:t>than) 3 metres in </w:t>
      </w:r>
      <w:r>
        <w:rPr>
          <w:spacing w:val="-3"/>
          <w:w w:val="105"/>
          <w:sz w:val="21"/>
        </w:rPr>
        <w:t>height </w:t>
      </w:r>
      <w:r>
        <w:rPr>
          <w:w w:val="105"/>
          <w:sz w:val="21"/>
        </w:rPr>
        <w:t>with one or </w:t>
      </w:r>
      <w:r>
        <w:rPr>
          <w:spacing w:val="-3"/>
          <w:w w:val="105"/>
          <w:sz w:val="21"/>
        </w:rPr>
        <w:t>relatively few main</w:t>
      </w:r>
      <w:r>
        <w:rPr>
          <w:spacing w:val="1"/>
          <w:w w:val="105"/>
          <w:sz w:val="21"/>
        </w:rPr>
        <w:t> </w:t>
      </w:r>
      <w:r>
        <w:rPr>
          <w:w w:val="105"/>
          <w:sz w:val="21"/>
        </w:rPr>
        <w:t>stems</w:t>
      </w:r>
    </w:p>
    <w:p>
      <w:pPr>
        <w:pStyle w:val="BodyText"/>
        <w:spacing w:before="4"/>
        <w:ind w:left="2381"/>
        <w:rPr>
          <w:sz w:val="12"/>
        </w:rPr>
      </w:pPr>
      <w:r>
        <w:rPr>
          <w:w w:val="105"/>
        </w:rPr>
        <w:t>or trunks’.</w:t>
      </w:r>
      <w:r>
        <w:rPr>
          <w:w w:val="105"/>
          <w:position w:val="7"/>
          <w:sz w:val="12"/>
        </w:rPr>
        <w:t>8</w:t>
      </w:r>
    </w:p>
    <w:p>
      <w:pPr>
        <w:pStyle w:val="Heading7"/>
        <w:ind w:left="1648"/>
      </w:pPr>
      <w:r>
        <w:rPr>
          <w:w w:val="115"/>
        </w:rPr>
        <w:t>Other jurisdictions—definition of ‘tree’</w:t>
      </w:r>
    </w:p>
    <w:p>
      <w:pPr>
        <w:pStyle w:val="ListParagraph"/>
        <w:numPr>
          <w:ilvl w:val="1"/>
          <w:numId w:val="16"/>
        </w:numPr>
        <w:tabs>
          <w:tab w:pos="2380" w:val="left" w:leader="none"/>
          <w:tab w:pos="2381" w:val="left" w:leader="none"/>
        </w:tabs>
        <w:spacing w:line="242" w:lineRule="auto" w:before="143" w:after="0"/>
        <w:ind w:left="2381" w:right="1687" w:hanging="794"/>
        <w:jc w:val="left"/>
        <w:rPr>
          <w:sz w:val="21"/>
        </w:rPr>
      </w:pPr>
      <w:r>
        <w:rPr>
          <w:w w:val="105"/>
          <w:sz w:val="21"/>
        </w:rPr>
        <w:t>New South </w:t>
      </w:r>
      <w:r>
        <w:rPr>
          <w:spacing w:val="-3"/>
          <w:w w:val="105"/>
          <w:sz w:val="21"/>
        </w:rPr>
        <w:t>Wales </w:t>
      </w:r>
      <w:r>
        <w:rPr>
          <w:w w:val="105"/>
          <w:sz w:val="21"/>
        </w:rPr>
        <w:t>and </w:t>
      </w:r>
      <w:r>
        <w:rPr>
          <w:spacing w:val="-3"/>
          <w:w w:val="105"/>
          <w:sz w:val="21"/>
        </w:rPr>
        <w:t>Queensland have similar </w:t>
      </w:r>
      <w:r>
        <w:rPr>
          <w:w w:val="105"/>
          <w:sz w:val="21"/>
        </w:rPr>
        <w:t>definitions in their tree </w:t>
      </w:r>
      <w:r>
        <w:rPr>
          <w:spacing w:val="-3"/>
          <w:w w:val="105"/>
          <w:sz w:val="21"/>
        </w:rPr>
        <w:t>dispute </w:t>
      </w:r>
      <w:r>
        <w:rPr>
          <w:w w:val="105"/>
          <w:sz w:val="21"/>
        </w:rPr>
        <w:t>Acts. The NSW Act defines a tree as </w:t>
      </w:r>
      <w:r>
        <w:rPr>
          <w:spacing w:val="-6"/>
          <w:w w:val="105"/>
          <w:sz w:val="21"/>
        </w:rPr>
        <w:t>‘any </w:t>
      </w:r>
      <w:r>
        <w:rPr>
          <w:w w:val="105"/>
          <w:sz w:val="21"/>
        </w:rPr>
        <w:t>woody </w:t>
      </w:r>
      <w:r>
        <w:rPr>
          <w:spacing w:val="-3"/>
          <w:w w:val="105"/>
          <w:sz w:val="21"/>
        </w:rPr>
        <w:t>perennial plant, any plant resembling </w:t>
      </w:r>
      <w:r>
        <w:rPr>
          <w:w w:val="105"/>
          <w:sz w:val="21"/>
        </w:rPr>
        <w:t>a tree in </w:t>
      </w:r>
      <w:r>
        <w:rPr>
          <w:spacing w:val="-3"/>
          <w:w w:val="105"/>
          <w:sz w:val="21"/>
        </w:rPr>
        <w:t>form </w:t>
      </w:r>
      <w:r>
        <w:rPr>
          <w:w w:val="105"/>
          <w:sz w:val="21"/>
        </w:rPr>
        <w:t>and </w:t>
      </w:r>
      <w:r>
        <w:rPr>
          <w:spacing w:val="-4"/>
          <w:w w:val="105"/>
          <w:sz w:val="21"/>
        </w:rPr>
        <w:t>size, </w:t>
      </w:r>
      <w:r>
        <w:rPr>
          <w:w w:val="105"/>
          <w:sz w:val="21"/>
        </w:rPr>
        <w:t>and </w:t>
      </w:r>
      <w:r>
        <w:rPr>
          <w:spacing w:val="-3"/>
          <w:w w:val="105"/>
          <w:sz w:val="21"/>
        </w:rPr>
        <w:t>any </w:t>
      </w:r>
      <w:r>
        <w:rPr>
          <w:w w:val="105"/>
          <w:sz w:val="21"/>
        </w:rPr>
        <w:t>other </w:t>
      </w:r>
      <w:r>
        <w:rPr>
          <w:spacing w:val="-3"/>
          <w:w w:val="105"/>
          <w:sz w:val="21"/>
        </w:rPr>
        <w:t>plant </w:t>
      </w:r>
      <w:r>
        <w:rPr>
          <w:w w:val="105"/>
          <w:sz w:val="21"/>
        </w:rPr>
        <w:t>prescribed by the </w:t>
      </w:r>
      <w:r>
        <w:rPr>
          <w:spacing w:val="-5"/>
          <w:w w:val="105"/>
          <w:sz w:val="21"/>
        </w:rPr>
        <w:t>regulations’.</w:t>
      </w:r>
      <w:r>
        <w:rPr>
          <w:spacing w:val="-5"/>
          <w:w w:val="105"/>
          <w:position w:val="7"/>
          <w:sz w:val="12"/>
        </w:rPr>
        <w:t>9 </w:t>
      </w:r>
      <w:r>
        <w:rPr>
          <w:spacing w:val="-3"/>
          <w:w w:val="105"/>
          <w:sz w:val="21"/>
        </w:rPr>
        <w:t>Additional problematic </w:t>
      </w:r>
      <w:r>
        <w:rPr>
          <w:w w:val="105"/>
          <w:sz w:val="21"/>
        </w:rPr>
        <w:t>vegetation </w:t>
      </w:r>
      <w:r>
        <w:rPr>
          <w:spacing w:val="-2"/>
          <w:w w:val="105"/>
          <w:sz w:val="21"/>
        </w:rPr>
        <w:t>has </w:t>
      </w:r>
      <w:r>
        <w:rPr>
          <w:spacing w:val="-3"/>
          <w:w w:val="105"/>
          <w:sz w:val="21"/>
        </w:rPr>
        <w:t>since </w:t>
      </w:r>
      <w:r>
        <w:rPr>
          <w:w w:val="105"/>
          <w:sz w:val="21"/>
        </w:rPr>
        <w:t>been prescribed in</w:t>
      </w:r>
      <w:r>
        <w:rPr>
          <w:spacing w:val="29"/>
          <w:w w:val="105"/>
          <w:sz w:val="21"/>
        </w:rPr>
        <w:t> </w:t>
      </w:r>
      <w:r>
        <w:rPr>
          <w:spacing w:val="-3"/>
          <w:w w:val="105"/>
          <w:sz w:val="21"/>
        </w:rPr>
        <w:t>regulation.</w:t>
      </w:r>
    </w:p>
    <w:p>
      <w:pPr>
        <w:pStyle w:val="ListParagraph"/>
        <w:numPr>
          <w:ilvl w:val="1"/>
          <w:numId w:val="16"/>
        </w:numPr>
        <w:tabs>
          <w:tab w:pos="2380" w:val="left" w:leader="none"/>
          <w:tab w:pos="2382" w:val="left" w:leader="none"/>
        </w:tabs>
        <w:spacing w:line="242" w:lineRule="auto" w:before="124" w:after="0"/>
        <w:ind w:left="2381" w:right="1685" w:hanging="794"/>
        <w:jc w:val="left"/>
        <w:rPr>
          <w:sz w:val="21"/>
        </w:rPr>
      </w:pPr>
      <w:r>
        <w:rPr>
          <w:spacing w:val="-3"/>
          <w:w w:val="105"/>
          <w:sz w:val="21"/>
        </w:rPr>
        <w:t>Bamboo, technically </w:t>
      </w:r>
      <w:r>
        <w:rPr>
          <w:w w:val="105"/>
          <w:sz w:val="21"/>
        </w:rPr>
        <w:t>a type of </w:t>
      </w:r>
      <w:r>
        <w:rPr>
          <w:spacing w:val="-5"/>
          <w:w w:val="105"/>
          <w:sz w:val="21"/>
        </w:rPr>
        <w:t>grass,</w:t>
      </w:r>
      <w:r>
        <w:rPr>
          <w:spacing w:val="-5"/>
          <w:w w:val="105"/>
          <w:position w:val="7"/>
          <w:sz w:val="12"/>
        </w:rPr>
        <w:t>10 </w:t>
      </w:r>
      <w:r>
        <w:rPr>
          <w:w w:val="105"/>
          <w:sz w:val="21"/>
        </w:rPr>
        <w:t>was </w:t>
      </w:r>
      <w:r>
        <w:rPr>
          <w:spacing w:val="-3"/>
          <w:w w:val="105"/>
          <w:sz w:val="21"/>
        </w:rPr>
        <w:t>originally excluded from </w:t>
      </w:r>
      <w:r>
        <w:rPr>
          <w:w w:val="105"/>
          <w:sz w:val="21"/>
        </w:rPr>
        <w:t>the definition of ‘tree’ under the NSW Act but </w:t>
      </w:r>
      <w:r>
        <w:rPr>
          <w:spacing w:val="-3"/>
          <w:w w:val="105"/>
          <w:sz w:val="21"/>
        </w:rPr>
        <w:t>since 2007 </w:t>
      </w:r>
      <w:r>
        <w:rPr>
          <w:spacing w:val="-2"/>
          <w:w w:val="105"/>
          <w:sz w:val="21"/>
        </w:rPr>
        <w:t>has </w:t>
      </w:r>
      <w:r>
        <w:rPr>
          <w:w w:val="105"/>
          <w:sz w:val="21"/>
        </w:rPr>
        <w:t>been prescribed under the NSW</w:t>
      </w:r>
      <w:r>
        <w:rPr>
          <w:spacing w:val="15"/>
          <w:w w:val="105"/>
          <w:sz w:val="21"/>
        </w:rPr>
        <w:t> </w:t>
      </w:r>
      <w:r>
        <w:rPr>
          <w:spacing w:val="-5"/>
          <w:w w:val="105"/>
          <w:sz w:val="21"/>
        </w:rPr>
        <w:t>Regulations.</w:t>
      </w:r>
      <w:r>
        <w:rPr>
          <w:spacing w:val="-5"/>
          <w:w w:val="105"/>
          <w:position w:val="7"/>
          <w:sz w:val="12"/>
        </w:rPr>
        <w:t>11</w:t>
      </w:r>
    </w:p>
    <w:p>
      <w:pPr>
        <w:pStyle w:val="ListParagraph"/>
        <w:numPr>
          <w:ilvl w:val="1"/>
          <w:numId w:val="16"/>
        </w:numPr>
        <w:tabs>
          <w:tab w:pos="2381" w:val="left" w:leader="none"/>
          <w:tab w:pos="2382" w:val="left" w:leader="none"/>
        </w:tabs>
        <w:spacing w:line="242" w:lineRule="auto" w:before="123" w:after="0"/>
        <w:ind w:left="2381" w:right="1847" w:hanging="794"/>
        <w:jc w:val="left"/>
        <w:rPr>
          <w:sz w:val="21"/>
        </w:rPr>
      </w:pPr>
      <w:r>
        <w:rPr>
          <w:spacing w:val="-4"/>
          <w:w w:val="105"/>
          <w:sz w:val="21"/>
        </w:rPr>
        <w:t>Vines</w:t>
      </w:r>
      <w:r>
        <w:rPr>
          <w:spacing w:val="-4"/>
          <w:w w:val="105"/>
          <w:position w:val="7"/>
          <w:sz w:val="12"/>
        </w:rPr>
        <w:t>12 </w:t>
      </w:r>
      <w:r>
        <w:rPr>
          <w:spacing w:val="-3"/>
          <w:w w:val="105"/>
          <w:sz w:val="21"/>
        </w:rPr>
        <w:t>were </w:t>
      </w:r>
      <w:r>
        <w:rPr>
          <w:w w:val="105"/>
          <w:sz w:val="21"/>
        </w:rPr>
        <w:t>also </w:t>
      </w:r>
      <w:r>
        <w:rPr>
          <w:spacing w:val="-3"/>
          <w:w w:val="105"/>
          <w:sz w:val="21"/>
        </w:rPr>
        <w:t>originally excluded from </w:t>
      </w:r>
      <w:r>
        <w:rPr>
          <w:w w:val="105"/>
          <w:sz w:val="21"/>
        </w:rPr>
        <w:t>the definition of ‘tree’ in the NSW </w:t>
      </w:r>
      <w:r>
        <w:rPr>
          <w:spacing w:val="-6"/>
          <w:w w:val="105"/>
          <w:sz w:val="21"/>
        </w:rPr>
        <w:t>Act.</w:t>
      </w:r>
      <w:r>
        <w:rPr>
          <w:spacing w:val="-6"/>
          <w:w w:val="105"/>
          <w:position w:val="7"/>
          <w:sz w:val="12"/>
        </w:rPr>
        <w:t>13</w:t>
      </w:r>
      <w:r>
        <w:rPr>
          <w:spacing w:val="-6"/>
          <w:w w:val="105"/>
          <w:sz w:val="12"/>
        </w:rPr>
        <w:t> </w:t>
      </w:r>
      <w:r>
        <w:rPr>
          <w:spacing w:val="-4"/>
          <w:w w:val="105"/>
          <w:sz w:val="21"/>
        </w:rPr>
        <w:t>However, </w:t>
      </w:r>
      <w:r>
        <w:rPr>
          <w:spacing w:val="-3"/>
          <w:w w:val="105"/>
          <w:sz w:val="21"/>
        </w:rPr>
        <w:t>following </w:t>
      </w:r>
      <w:r>
        <w:rPr>
          <w:w w:val="105"/>
          <w:sz w:val="21"/>
        </w:rPr>
        <w:t>statutory review of the Act by the New South </w:t>
      </w:r>
      <w:r>
        <w:rPr>
          <w:spacing w:val="-3"/>
          <w:w w:val="105"/>
          <w:sz w:val="21"/>
        </w:rPr>
        <w:t>Wales Government </w:t>
      </w:r>
      <w:r>
        <w:rPr>
          <w:w w:val="105"/>
          <w:sz w:val="21"/>
        </w:rPr>
        <w:t>in 2009, it was decided </w:t>
      </w:r>
      <w:r>
        <w:rPr>
          <w:spacing w:val="-3"/>
          <w:w w:val="105"/>
          <w:sz w:val="21"/>
        </w:rPr>
        <w:t>that </w:t>
      </w:r>
      <w:r>
        <w:rPr>
          <w:w w:val="105"/>
          <w:sz w:val="21"/>
        </w:rPr>
        <w:t>vines can cause damage </w:t>
      </w:r>
      <w:r>
        <w:rPr>
          <w:spacing w:val="-4"/>
          <w:w w:val="105"/>
          <w:sz w:val="21"/>
        </w:rPr>
        <w:t>to, </w:t>
      </w:r>
      <w:r>
        <w:rPr>
          <w:spacing w:val="-3"/>
          <w:w w:val="105"/>
          <w:sz w:val="21"/>
        </w:rPr>
        <w:t>for example, </w:t>
      </w:r>
      <w:r>
        <w:rPr>
          <w:w w:val="105"/>
          <w:sz w:val="21"/>
        </w:rPr>
        <w:t>‘the paintwork on the outside of a </w:t>
      </w:r>
      <w:r>
        <w:rPr>
          <w:spacing w:val="-3"/>
          <w:w w:val="105"/>
          <w:sz w:val="21"/>
        </w:rPr>
        <w:t>house, </w:t>
      </w:r>
      <w:r>
        <w:rPr>
          <w:w w:val="105"/>
          <w:sz w:val="21"/>
        </w:rPr>
        <w:t>or caus[e] </w:t>
      </w:r>
      <w:r>
        <w:rPr>
          <w:spacing w:val="-3"/>
          <w:w w:val="105"/>
          <w:sz w:val="21"/>
        </w:rPr>
        <w:t>water </w:t>
      </w:r>
      <w:r>
        <w:rPr>
          <w:w w:val="105"/>
          <w:sz w:val="21"/>
        </w:rPr>
        <w:t>damage by blocking a downpipe or </w:t>
      </w:r>
      <w:r>
        <w:rPr>
          <w:spacing w:val="-6"/>
          <w:w w:val="105"/>
          <w:sz w:val="21"/>
        </w:rPr>
        <w:t>drain’, </w:t>
      </w:r>
      <w:r>
        <w:rPr>
          <w:w w:val="105"/>
          <w:sz w:val="21"/>
        </w:rPr>
        <w:t>or</w:t>
      </w:r>
      <w:r>
        <w:rPr>
          <w:spacing w:val="-6"/>
          <w:w w:val="105"/>
          <w:sz w:val="21"/>
        </w:rPr>
        <w:t> </w:t>
      </w:r>
      <w:r>
        <w:rPr>
          <w:w w:val="105"/>
          <w:sz w:val="21"/>
        </w:rPr>
        <w:t>pose</w:t>
      </w:r>
      <w:r>
        <w:rPr>
          <w:spacing w:val="-6"/>
          <w:w w:val="105"/>
          <w:sz w:val="21"/>
        </w:rPr>
        <w:t> </w:t>
      </w:r>
      <w:r>
        <w:rPr>
          <w:spacing w:val="-7"/>
          <w:w w:val="105"/>
          <w:sz w:val="21"/>
        </w:rPr>
        <w:t>‘a</w:t>
      </w:r>
      <w:r>
        <w:rPr>
          <w:spacing w:val="-5"/>
          <w:w w:val="105"/>
          <w:sz w:val="21"/>
        </w:rPr>
        <w:t> </w:t>
      </w:r>
      <w:r>
        <w:rPr>
          <w:w w:val="105"/>
          <w:sz w:val="21"/>
        </w:rPr>
        <w:t>risk</w:t>
      </w:r>
      <w:r>
        <w:rPr>
          <w:spacing w:val="-6"/>
          <w:w w:val="105"/>
          <w:sz w:val="21"/>
        </w:rPr>
        <w:t> </w:t>
      </w:r>
      <w:r>
        <w:rPr>
          <w:w w:val="105"/>
          <w:sz w:val="21"/>
        </w:rPr>
        <w:t>of</w:t>
      </w:r>
      <w:r>
        <w:rPr>
          <w:spacing w:val="-6"/>
          <w:w w:val="105"/>
          <w:sz w:val="21"/>
        </w:rPr>
        <w:t> </w:t>
      </w:r>
      <w:r>
        <w:rPr>
          <w:w w:val="105"/>
          <w:sz w:val="21"/>
        </w:rPr>
        <w:t>personal</w:t>
      </w:r>
      <w:r>
        <w:rPr>
          <w:spacing w:val="-5"/>
          <w:w w:val="105"/>
          <w:sz w:val="21"/>
        </w:rPr>
        <w:t> </w:t>
      </w:r>
      <w:r>
        <w:rPr>
          <w:spacing w:val="-6"/>
          <w:w w:val="105"/>
          <w:sz w:val="21"/>
        </w:rPr>
        <w:t>injury’.</w:t>
      </w:r>
      <w:r>
        <w:rPr>
          <w:spacing w:val="-6"/>
          <w:w w:val="105"/>
          <w:position w:val="7"/>
          <w:sz w:val="12"/>
        </w:rPr>
        <w:t>14 </w:t>
      </w:r>
      <w:r>
        <w:rPr>
          <w:w w:val="105"/>
          <w:sz w:val="21"/>
        </w:rPr>
        <w:t>The</w:t>
      </w:r>
      <w:r>
        <w:rPr>
          <w:spacing w:val="-5"/>
          <w:w w:val="105"/>
          <w:sz w:val="21"/>
        </w:rPr>
        <w:t> </w:t>
      </w:r>
      <w:r>
        <w:rPr>
          <w:w w:val="105"/>
          <w:sz w:val="21"/>
        </w:rPr>
        <w:t>review</w:t>
      </w:r>
      <w:r>
        <w:rPr>
          <w:spacing w:val="-6"/>
          <w:w w:val="105"/>
          <w:sz w:val="21"/>
        </w:rPr>
        <w:t> </w:t>
      </w:r>
      <w:r>
        <w:rPr>
          <w:spacing w:val="-3"/>
          <w:w w:val="105"/>
          <w:sz w:val="21"/>
        </w:rPr>
        <w:t>concluded</w:t>
      </w:r>
      <w:r>
        <w:rPr>
          <w:spacing w:val="-5"/>
          <w:w w:val="105"/>
          <w:sz w:val="21"/>
        </w:rPr>
        <w:t> </w:t>
      </w:r>
      <w:r>
        <w:rPr>
          <w:spacing w:val="-3"/>
          <w:w w:val="105"/>
          <w:sz w:val="21"/>
        </w:rPr>
        <w:t>that</w:t>
      </w:r>
      <w:r>
        <w:rPr>
          <w:spacing w:val="-6"/>
          <w:w w:val="105"/>
          <w:sz w:val="21"/>
        </w:rPr>
        <w:t> </w:t>
      </w:r>
      <w:r>
        <w:rPr>
          <w:w w:val="105"/>
          <w:sz w:val="21"/>
        </w:rPr>
        <w:t>there</w:t>
      </w:r>
      <w:r>
        <w:rPr>
          <w:spacing w:val="-6"/>
          <w:w w:val="105"/>
          <w:sz w:val="21"/>
        </w:rPr>
        <w:t> </w:t>
      </w:r>
      <w:r>
        <w:rPr>
          <w:w w:val="105"/>
          <w:sz w:val="21"/>
        </w:rPr>
        <w:t>was</w:t>
      </w:r>
      <w:r>
        <w:rPr>
          <w:spacing w:val="-5"/>
          <w:w w:val="105"/>
          <w:sz w:val="21"/>
        </w:rPr>
        <w:t> </w:t>
      </w:r>
      <w:r>
        <w:rPr>
          <w:w w:val="105"/>
          <w:sz w:val="21"/>
        </w:rPr>
        <w:t>no</w:t>
      </w:r>
      <w:r>
        <w:rPr>
          <w:spacing w:val="-6"/>
          <w:w w:val="105"/>
          <w:sz w:val="21"/>
        </w:rPr>
        <w:t> </w:t>
      </w:r>
      <w:r>
        <w:rPr>
          <w:w w:val="105"/>
          <w:sz w:val="21"/>
        </w:rPr>
        <w:t>reason</w:t>
      </w:r>
      <w:r>
        <w:rPr>
          <w:spacing w:val="-5"/>
          <w:w w:val="105"/>
          <w:sz w:val="21"/>
        </w:rPr>
        <w:t> </w:t>
      </w:r>
      <w:r>
        <w:rPr>
          <w:w w:val="105"/>
          <w:sz w:val="21"/>
        </w:rPr>
        <w:t>why</w:t>
      </w:r>
    </w:p>
    <w:p>
      <w:pPr>
        <w:pStyle w:val="BodyText"/>
        <w:spacing w:line="242" w:lineRule="auto" w:before="5"/>
        <w:ind w:left="2381" w:right="1542"/>
        <w:rPr>
          <w:sz w:val="12"/>
        </w:rPr>
      </w:pPr>
      <w:r>
        <w:rPr>
          <w:spacing w:val="-3"/>
          <w:w w:val="105"/>
        </w:rPr>
        <w:t>disputes relating to </w:t>
      </w:r>
      <w:r>
        <w:rPr>
          <w:w w:val="105"/>
        </w:rPr>
        <w:t>vines should </w:t>
      </w:r>
      <w:r>
        <w:rPr>
          <w:spacing w:val="-3"/>
          <w:w w:val="105"/>
        </w:rPr>
        <w:t>have to </w:t>
      </w:r>
      <w:r>
        <w:rPr>
          <w:w w:val="105"/>
        </w:rPr>
        <w:t>be resolved by ‘the more </w:t>
      </w:r>
      <w:r>
        <w:rPr>
          <w:spacing w:val="-3"/>
          <w:w w:val="105"/>
        </w:rPr>
        <w:t>complicated procedure </w:t>
      </w:r>
      <w:r>
        <w:rPr>
          <w:w w:val="105"/>
        </w:rPr>
        <w:t>in </w:t>
      </w:r>
      <w:r>
        <w:rPr>
          <w:spacing w:val="-4"/>
          <w:w w:val="105"/>
        </w:rPr>
        <w:t>nuisance’</w:t>
      </w:r>
      <w:r>
        <w:rPr>
          <w:spacing w:val="-4"/>
          <w:w w:val="105"/>
          <w:position w:val="7"/>
          <w:sz w:val="12"/>
        </w:rPr>
        <w:t>15 </w:t>
      </w:r>
      <w:r>
        <w:rPr>
          <w:w w:val="105"/>
        </w:rPr>
        <w:t>and recommended </w:t>
      </w:r>
      <w:r>
        <w:rPr>
          <w:spacing w:val="-3"/>
          <w:w w:val="105"/>
        </w:rPr>
        <w:t>that </w:t>
      </w:r>
      <w:r>
        <w:rPr>
          <w:w w:val="105"/>
        </w:rPr>
        <w:t>vines be declared a prescribed </w:t>
      </w:r>
      <w:r>
        <w:rPr>
          <w:spacing w:val="-3"/>
          <w:w w:val="105"/>
        </w:rPr>
        <w:t>plant </w:t>
      </w:r>
      <w:r>
        <w:rPr>
          <w:w w:val="105"/>
        </w:rPr>
        <w:t>under the NSW </w:t>
      </w:r>
      <w:r>
        <w:rPr>
          <w:spacing w:val="-4"/>
          <w:w w:val="105"/>
        </w:rPr>
        <w:t>Regulations.</w:t>
      </w:r>
      <w:r>
        <w:rPr>
          <w:spacing w:val="-4"/>
          <w:w w:val="105"/>
          <w:position w:val="7"/>
          <w:sz w:val="12"/>
        </w:rPr>
        <w:t>16 </w:t>
      </w:r>
      <w:r>
        <w:rPr>
          <w:w w:val="105"/>
        </w:rPr>
        <w:t>The NSW </w:t>
      </w:r>
      <w:r>
        <w:rPr>
          <w:spacing w:val="-3"/>
          <w:w w:val="105"/>
        </w:rPr>
        <w:t>Regulations </w:t>
      </w:r>
      <w:r>
        <w:rPr>
          <w:w w:val="105"/>
        </w:rPr>
        <w:t>now prescribe </w:t>
      </w:r>
      <w:r>
        <w:rPr>
          <w:spacing w:val="-6"/>
          <w:w w:val="105"/>
        </w:rPr>
        <w:t>‘any </w:t>
      </w:r>
      <w:r>
        <w:rPr>
          <w:w w:val="105"/>
        </w:rPr>
        <w:t>type of </w:t>
      </w:r>
      <w:r>
        <w:rPr>
          <w:spacing w:val="-8"/>
          <w:w w:val="105"/>
        </w:rPr>
        <w:t>vine’.</w:t>
      </w:r>
      <w:r>
        <w:rPr>
          <w:spacing w:val="-8"/>
          <w:w w:val="105"/>
          <w:position w:val="7"/>
          <w:sz w:val="12"/>
        </w:rPr>
        <w:t>17</w:t>
      </w:r>
    </w:p>
    <w:p>
      <w:pPr>
        <w:pStyle w:val="ListParagraph"/>
        <w:numPr>
          <w:ilvl w:val="1"/>
          <w:numId w:val="16"/>
        </w:numPr>
        <w:tabs>
          <w:tab w:pos="2380" w:val="left" w:leader="none"/>
          <w:tab w:pos="2381" w:val="left" w:leader="none"/>
        </w:tabs>
        <w:spacing w:line="242" w:lineRule="auto" w:before="123" w:after="0"/>
        <w:ind w:left="2381" w:right="1715" w:hanging="794"/>
        <w:jc w:val="left"/>
        <w:rPr>
          <w:sz w:val="21"/>
        </w:rPr>
      </w:pPr>
      <w:r>
        <w:rPr>
          <w:w w:val="105"/>
          <w:sz w:val="21"/>
        </w:rPr>
        <w:t>The </w:t>
      </w:r>
      <w:r>
        <w:rPr>
          <w:spacing w:val="-3"/>
          <w:w w:val="105"/>
          <w:sz w:val="21"/>
        </w:rPr>
        <w:t>Queensland </w:t>
      </w:r>
      <w:r>
        <w:rPr>
          <w:w w:val="105"/>
          <w:sz w:val="21"/>
        </w:rPr>
        <w:t>Act defines a tree as </w:t>
      </w:r>
      <w:r>
        <w:rPr>
          <w:spacing w:val="-6"/>
          <w:w w:val="105"/>
          <w:sz w:val="21"/>
        </w:rPr>
        <w:t>‘any </w:t>
      </w:r>
      <w:r>
        <w:rPr>
          <w:w w:val="105"/>
          <w:sz w:val="21"/>
        </w:rPr>
        <w:t>woody </w:t>
      </w:r>
      <w:r>
        <w:rPr>
          <w:spacing w:val="-3"/>
          <w:w w:val="105"/>
          <w:sz w:val="21"/>
        </w:rPr>
        <w:t>perennial </w:t>
      </w:r>
      <w:r>
        <w:rPr>
          <w:w w:val="105"/>
          <w:sz w:val="21"/>
        </w:rPr>
        <w:t>plant’ or </w:t>
      </w:r>
      <w:r>
        <w:rPr>
          <w:spacing w:val="-6"/>
          <w:w w:val="105"/>
          <w:sz w:val="21"/>
        </w:rPr>
        <w:t>‘any </w:t>
      </w:r>
      <w:r>
        <w:rPr>
          <w:spacing w:val="-3"/>
          <w:w w:val="105"/>
          <w:sz w:val="21"/>
        </w:rPr>
        <w:t>plant resembling </w:t>
      </w:r>
      <w:r>
        <w:rPr>
          <w:w w:val="105"/>
          <w:sz w:val="21"/>
        </w:rPr>
        <w:t>a tree in </w:t>
      </w:r>
      <w:r>
        <w:rPr>
          <w:spacing w:val="-3"/>
          <w:w w:val="105"/>
          <w:sz w:val="21"/>
        </w:rPr>
        <w:t>form </w:t>
      </w:r>
      <w:r>
        <w:rPr>
          <w:w w:val="105"/>
          <w:sz w:val="21"/>
        </w:rPr>
        <w:t>and </w:t>
      </w:r>
      <w:r>
        <w:rPr>
          <w:spacing w:val="-4"/>
          <w:w w:val="105"/>
          <w:sz w:val="21"/>
        </w:rPr>
        <w:t>size’ </w:t>
      </w:r>
      <w:r>
        <w:rPr>
          <w:spacing w:val="-3"/>
          <w:w w:val="105"/>
          <w:sz w:val="21"/>
        </w:rPr>
        <w:t>such </w:t>
      </w:r>
      <w:r>
        <w:rPr>
          <w:w w:val="105"/>
          <w:sz w:val="21"/>
        </w:rPr>
        <w:t>as </w:t>
      </w:r>
      <w:r>
        <w:rPr>
          <w:spacing w:val="-3"/>
          <w:w w:val="105"/>
          <w:sz w:val="21"/>
        </w:rPr>
        <w:t>‘bamboo, banana plant, palm </w:t>
      </w:r>
      <w:r>
        <w:rPr>
          <w:w w:val="105"/>
          <w:sz w:val="21"/>
        </w:rPr>
        <w:t>and </w:t>
      </w:r>
      <w:r>
        <w:rPr>
          <w:spacing w:val="-6"/>
          <w:w w:val="105"/>
          <w:sz w:val="21"/>
        </w:rPr>
        <w:t>cactus’.</w:t>
      </w:r>
      <w:r>
        <w:rPr>
          <w:spacing w:val="-6"/>
          <w:w w:val="105"/>
          <w:position w:val="7"/>
          <w:sz w:val="12"/>
        </w:rPr>
        <w:t>18 </w:t>
      </w:r>
      <w:r>
        <w:rPr>
          <w:w w:val="105"/>
          <w:sz w:val="21"/>
        </w:rPr>
        <w:t>A tree also </w:t>
      </w:r>
      <w:r>
        <w:rPr>
          <w:spacing w:val="-3"/>
          <w:w w:val="105"/>
          <w:sz w:val="21"/>
        </w:rPr>
        <w:t>includes </w:t>
      </w:r>
      <w:r>
        <w:rPr>
          <w:w w:val="105"/>
          <w:sz w:val="21"/>
        </w:rPr>
        <w:t>a </w:t>
      </w:r>
      <w:r>
        <w:rPr>
          <w:spacing w:val="-3"/>
          <w:w w:val="105"/>
          <w:sz w:val="21"/>
        </w:rPr>
        <w:t>bare </w:t>
      </w:r>
      <w:r>
        <w:rPr>
          <w:w w:val="105"/>
          <w:sz w:val="21"/>
        </w:rPr>
        <w:t>trunk, a stump </w:t>
      </w:r>
      <w:r>
        <w:rPr>
          <w:spacing w:val="-3"/>
          <w:w w:val="105"/>
          <w:sz w:val="21"/>
        </w:rPr>
        <w:t>rooted </w:t>
      </w:r>
      <w:r>
        <w:rPr>
          <w:w w:val="105"/>
          <w:sz w:val="21"/>
        </w:rPr>
        <w:t>in the </w:t>
      </w:r>
      <w:r>
        <w:rPr>
          <w:spacing w:val="-3"/>
          <w:w w:val="105"/>
          <w:sz w:val="21"/>
        </w:rPr>
        <w:t>land </w:t>
      </w:r>
      <w:r>
        <w:rPr>
          <w:w w:val="105"/>
          <w:sz w:val="21"/>
        </w:rPr>
        <w:t>and a dead</w:t>
      </w:r>
      <w:r>
        <w:rPr>
          <w:spacing w:val="38"/>
          <w:w w:val="105"/>
          <w:sz w:val="21"/>
        </w:rPr>
        <w:t> </w:t>
      </w:r>
      <w:r>
        <w:rPr>
          <w:spacing w:val="-6"/>
          <w:w w:val="105"/>
          <w:sz w:val="21"/>
        </w:rPr>
        <w:t>tree.</w:t>
      </w:r>
      <w:r>
        <w:rPr>
          <w:spacing w:val="-6"/>
          <w:w w:val="105"/>
          <w:position w:val="7"/>
          <w:sz w:val="12"/>
        </w:rPr>
        <w:t>19</w:t>
      </w:r>
    </w:p>
    <w:p>
      <w:pPr>
        <w:pStyle w:val="ListParagraph"/>
        <w:numPr>
          <w:ilvl w:val="1"/>
          <w:numId w:val="16"/>
        </w:numPr>
        <w:tabs>
          <w:tab w:pos="2381" w:val="left" w:leader="none"/>
          <w:tab w:pos="2382" w:val="left" w:leader="none"/>
        </w:tabs>
        <w:spacing w:line="242" w:lineRule="auto" w:before="124" w:after="0"/>
        <w:ind w:left="2381" w:right="1691" w:hanging="794"/>
        <w:jc w:val="left"/>
        <w:rPr>
          <w:sz w:val="21"/>
        </w:rPr>
      </w:pPr>
      <w:r>
        <w:rPr>
          <w:w w:val="105"/>
          <w:sz w:val="21"/>
        </w:rPr>
        <w:t>In its statutory review of the </w:t>
      </w:r>
      <w:r>
        <w:rPr>
          <w:spacing w:val="-3"/>
          <w:w w:val="105"/>
          <w:sz w:val="21"/>
        </w:rPr>
        <w:t>Queensland </w:t>
      </w:r>
      <w:r>
        <w:rPr>
          <w:w w:val="105"/>
          <w:sz w:val="21"/>
        </w:rPr>
        <w:t>Act, the </w:t>
      </w:r>
      <w:r>
        <w:rPr>
          <w:spacing w:val="-3"/>
          <w:w w:val="105"/>
          <w:sz w:val="21"/>
        </w:rPr>
        <w:t>Queensland </w:t>
      </w:r>
      <w:r>
        <w:rPr>
          <w:w w:val="105"/>
          <w:sz w:val="21"/>
        </w:rPr>
        <w:t>Law </w:t>
      </w:r>
      <w:r>
        <w:rPr>
          <w:spacing w:val="-3"/>
          <w:w w:val="105"/>
          <w:sz w:val="21"/>
        </w:rPr>
        <w:t>Reform Commission </w:t>
      </w:r>
      <w:r>
        <w:rPr>
          <w:w w:val="105"/>
          <w:sz w:val="21"/>
        </w:rPr>
        <w:t>(QLRC) </w:t>
      </w:r>
      <w:r>
        <w:rPr>
          <w:spacing w:val="-3"/>
          <w:w w:val="105"/>
          <w:sz w:val="21"/>
        </w:rPr>
        <w:t>found that </w:t>
      </w:r>
      <w:r>
        <w:rPr>
          <w:w w:val="105"/>
          <w:sz w:val="21"/>
        </w:rPr>
        <w:t>‘tree’ is </w:t>
      </w:r>
      <w:r>
        <w:rPr>
          <w:spacing w:val="-3"/>
          <w:w w:val="105"/>
          <w:sz w:val="21"/>
        </w:rPr>
        <w:t>currently </w:t>
      </w:r>
      <w:r>
        <w:rPr>
          <w:w w:val="105"/>
          <w:sz w:val="21"/>
        </w:rPr>
        <w:t>‘widely and clearly’ defined. </w:t>
      </w:r>
      <w:r>
        <w:rPr>
          <w:spacing w:val="-4"/>
          <w:w w:val="105"/>
          <w:sz w:val="21"/>
        </w:rPr>
        <w:t>However, </w:t>
      </w:r>
      <w:r>
        <w:rPr>
          <w:w w:val="105"/>
          <w:sz w:val="21"/>
        </w:rPr>
        <w:t>the QLRC recommended</w:t>
      </w:r>
      <w:r>
        <w:rPr>
          <w:spacing w:val="-8"/>
          <w:w w:val="105"/>
          <w:sz w:val="21"/>
        </w:rPr>
        <w:t> </w:t>
      </w:r>
      <w:r>
        <w:rPr>
          <w:spacing w:val="-3"/>
          <w:w w:val="105"/>
          <w:sz w:val="21"/>
        </w:rPr>
        <w:t>that</w:t>
      </w:r>
      <w:r>
        <w:rPr>
          <w:spacing w:val="-7"/>
          <w:w w:val="105"/>
          <w:sz w:val="21"/>
        </w:rPr>
        <w:t> </w:t>
      </w:r>
      <w:r>
        <w:rPr>
          <w:w w:val="105"/>
          <w:sz w:val="21"/>
        </w:rPr>
        <w:t>the</w:t>
      </w:r>
      <w:r>
        <w:rPr>
          <w:spacing w:val="-7"/>
          <w:w w:val="105"/>
          <w:sz w:val="21"/>
        </w:rPr>
        <w:t> </w:t>
      </w:r>
      <w:r>
        <w:rPr>
          <w:w w:val="105"/>
          <w:sz w:val="21"/>
        </w:rPr>
        <w:t>definition</w:t>
      </w:r>
      <w:r>
        <w:rPr>
          <w:spacing w:val="-7"/>
          <w:w w:val="105"/>
          <w:sz w:val="21"/>
        </w:rPr>
        <w:t> </w:t>
      </w:r>
      <w:r>
        <w:rPr>
          <w:w w:val="105"/>
          <w:sz w:val="21"/>
        </w:rPr>
        <w:t>should</w:t>
      </w:r>
      <w:r>
        <w:rPr>
          <w:spacing w:val="-7"/>
          <w:w w:val="105"/>
          <w:sz w:val="21"/>
        </w:rPr>
        <w:t> </w:t>
      </w:r>
      <w:r>
        <w:rPr>
          <w:w w:val="105"/>
          <w:sz w:val="21"/>
        </w:rPr>
        <w:t>be</w:t>
      </w:r>
      <w:r>
        <w:rPr>
          <w:spacing w:val="-7"/>
          <w:w w:val="105"/>
          <w:sz w:val="21"/>
        </w:rPr>
        <w:t> </w:t>
      </w:r>
      <w:r>
        <w:rPr>
          <w:w w:val="105"/>
          <w:sz w:val="21"/>
        </w:rPr>
        <w:t>amended</w:t>
      </w:r>
      <w:r>
        <w:rPr>
          <w:spacing w:val="-7"/>
          <w:w w:val="105"/>
          <w:sz w:val="21"/>
        </w:rPr>
        <w:t> </w:t>
      </w:r>
      <w:r>
        <w:rPr>
          <w:spacing w:val="-3"/>
          <w:w w:val="105"/>
          <w:sz w:val="21"/>
        </w:rPr>
        <w:t>to</w:t>
      </w:r>
      <w:r>
        <w:rPr>
          <w:spacing w:val="-7"/>
          <w:w w:val="105"/>
          <w:sz w:val="21"/>
        </w:rPr>
        <w:t> </w:t>
      </w:r>
      <w:r>
        <w:rPr>
          <w:spacing w:val="-3"/>
          <w:w w:val="105"/>
          <w:sz w:val="21"/>
        </w:rPr>
        <w:t>include</w:t>
      </w:r>
      <w:r>
        <w:rPr>
          <w:spacing w:val="-7"/>
          <w:w w:val="105"/>
          <w:sz w:val="21"/>
        </w:rPr>
        <w:t> </w:t>
      </w:r>
      <w:r>
        <w:rPr>
          <w:spacing w:val="-4"/>
          <w:w w:val="105"/>
          <w:sz w:val="21"/>
        </w:rPr>
        <w:t>‘root</w:t>
      </w:r>
      <w:r>
        <w:rPr>
          <w:spacing w:val="-7"/>
          <w:w w:val="105"/>
          <w:sz w:val="21"/>
        </w:rPr>
        <w:t> </w:t>
      </w:r>
      <w:r>
        <w:rPr>
          <w:w w:val="105"/>
          <w:sz w:val="21"/>
        </w:rPr>
        <w:t>or</w:t>
      </w:r>
      <w:r>
        <w:rPr>
          <w:spacing w:val="-8"/>
          <w:w w:val="105"/>
          <w:sz w:val="21"/>
        </w:rPr>
        <w:t> </w:t>
      </w:r>
      <w:r>
        <w:rPr>
          <w:w w:val="105"/>
          <w:sz w:val="21"/>
        </w:rPr>
        <w:t>the</w:t>
      </w:r>
      <w:r>
        <w:rPr>
          <w:spacing w:val="-7"/>
          <w:w w:val="105"/>
          <w:sz w:val="21"/>
        </w:rPr>
        <w:t> </w:t>
      </w:r>
      <w:r>
        <w:rPr>
          <w:w w:val="105"/>
          <w:sz w:val="21"/>
        </w:rPr>
        <w:t>roots</w:t>
      </w:r>
      <w:r>
        <w:rPr>
          <w:spacing w:val="-7"/>
          <w:w w:val="105"/>
          <w:sz w:val="21"/>
        </w:rPr>
        <w:t> </w:t>
      </w:r>
      <w:r>
        <w:rPr>
          <w:w w:val="105"/>
          <w:sz w:val="21"/>
        </w:rPr>
        <w:t>of</w:t>
      </w:r>
      <w:r>
        <w:rPr>
          <w:spacing w:val="-7"/>
          <w:w w:val="105"/>
          <w:sz w:val="21"/>
        </w:rPr>
        <w:t> </w:t>
      </w:r>
      <w:r>
        <w:rPr>
          <w:spacing w:val="-3"/>
          <w:w w:val="105"/>
          <w:sz w:val="21"/>
        </w:rPr>
        <w:t>any living</w:t>
      </w:r>
      <w:r>
        <w:rPr>
          <w:spacing w:val="-6"/>
          <w:w w:val="105"/>
          <w:sz w:val="21"/>
        </w:rPr>
        <w:t> </w:t>
      </w:r>
      <w:r>
        <w:rPr>
          <w:w w:val="105"/>
          <w:sz w:val="21"/>
        </w:rPr>
        <w:t>or</w:t>
      </w:r>
      <w:r>
        <w:rPr>
          <w:spacing w:val="-6"/>
          <w:w w:val="105"/>
          <w:sz w:val="21"/>
        </w:rPr>
        <w:t> </w:t>
      </w:r>
      <w:r>
        <w:rPr>
          <w:w w:val="105"/>
          <w:sz w:val="21"/>
        </w:rPr>
        <w:t>dead</w:t>
      </w:r>
      <w:r>
        <w:rPr>
          <w:spacing w:val="-5"/>
          <w:w w:val="105"/>
          <w:sz w:val="21"/>
        </w:rPr>
        <w:t> </w:t>
      </w:r>
      <w:r>
        <w:rPr>
          <w:w w:val="105"/>
          <w:sz w:val="21"/>
        </w:rPr>
        <w:t>tree’</w:t>
      </w:r>
      <w:r>
        <w:rPr>
          <w:spacing w:val="-6"/>
          <w:w w:val="105"/>
          <w:sz w:val="21"/>
        </w:rPr>
        <w:t> </w:t>
      </w:r>
      <w:r>
        <w:rPr>
          <w:w w:val="105"/>
          <w:sz w:val="21"/>
        </w:rPr>
        <w:t>because</w:t>
      </w:r>
      <w:r>
        <w:rPr>
          <w:spacing w:val="-5"/>
          <w:w w:val="105"/>
          <w:sz w:val="21"/>
        </w:rPr>
        <w:t> </w:t>
      </w:r>
      <w:r>
        <w:rPr>
          <w:w w:val="105"/>
          <w:sz w:val="21"/>
        </w:rPr>
        <w:t>roots</w:t>
      </w:r>
      <w:r>
        <w:rPr>
          <w:spacing w:val="-6"/>
          <w:w w:val="105"/>
          <w:sz w:val="21"/>
        </w:rPr>
        <w:t> </w:t>
      </w:r>
      <w:r>
        <w:rPr>
          <w:spacing w:val="-3"/>
          <w:w w:val="105"/>
          <w:sz w:val="21"/>
        </w:rPr>
        <w:t>are</w:t>
      </w:r>
      <w:r>
        <w:rPr>
          <w:spacing w:val="-5"/>
          <w:w w:val="105"/>
          <w:sz w:val="21"/>
        </w:rPr>
        <w:t> </w:t>
      </w:r>
      <w:r>
        <w:rPr>
          <w:w w:val="105"/>
          <w:sz w:val="21"/>
        </w:rPr>
        <w:t>an</w:t>
      </w:r>
      <w:r>
        <w:rPr>
          <w:spacing w:val="-6"/>
          <w:w w:val="105"/>
          <w:sz w:val="21"/>
        </w:rPr>
        <w:t> </w:t>
      </w:r>
      <w:r>
        <w:rPr>
          <w:spacing w:val="-3"/>
          <w:w w:val="105"/>
          <w:sz w:val="21"/>
        </w:rPr>
        <w:t>integral</w:t>
      </w:r>
      <w:r>
        <w:rPr>
          <w:spacing w:val="-5"/>
          <w:w w:val="105"/>
          <w:sz w:val="21"/>
        </w:rPr>
        <w:t> </w:t>
      </w:r>
      <w:r>
        <w:rPr>
          <w:w w:val="105"/>
          <w:sz w:val="21"/>
        </w:rPr>
        <w:t>part</w:t>
      </w:r>
      <w:r>
        <w:rPr>
          <w:spacing w:val="-6"/>
          <w:w w:val="105"/>
          <w:sz w:val="21"/>
        </w:rPr>
        <w:t> </w:t>
      </w:r>
      <w:r>
        <w:rPr>
          <w:w w:val="105"/>
          <w:sz w:val="21"/>
        </w:rPr>
        <w:t>of</w:t>
      </w:r>
      <w:r>
        <w:rPr>
          <w:spacing w:val="-5"/>
          <w:w w:val="105"/>
          <w:sz w:val="21"/>
        </w:rPr>
        <w:t> </w:t>
      </w:r>
      <w:r>
        <w:rPr>
          <w:w w:val="105"/>
          <w:sz w:val="21"/>
        </w:rPr>
        <w:t>the</w:t>
      </w:r>
      <w:r>
        <w:rPr>
          <w:spacing w:val="-6"/>
          <w:w w:val="105"/>
          <w:sz w:val="21"/>
        </w:rPr>
        <w:t> </w:t>
      </w:r>
      <w:r>
        <w:rPr>
          <w:w w:val="105"/>
          <w:sz w:val="21"/>
        </w:rPr>
        <w:t>tree</w:t>
      </w:r>
      <w:r>
        <w:rPr>
          <w:spacing w:val="-5"/>
          <w:w w:val="105"/>
          <w:sz w:val="21"/>
        </w:rPr>
        <w:t> </w:t>
      </w:r>
      <w:r>
        <w:rPr>
          <w:w w:val="105"/>
          <w:sz w:val="21"/>
        </w:rPr>
        <w:t>and</w:t>
      </w:r>
      <w:r>
        <w:rPr>
          <w:spacing w:val="-6"/>
          <w:w w:val="105"/>
          <w:sz w:val="21"/>
        </w:rPr>
        <w:t> </w:t>
      </w:r>
      <w:r>
        <w:rPr>
          <w:w w:val="105"/>
          <w:sz w:val="21"/>
        </w:rPr>
        <w:t>can</w:t>
      </w:r>
      <w:r>
        <w:rPr>
          <w:spacing w:val="-5"/>
          <w:w w:val="105"/>
          <w:sz w:val="21"/>
        </w:rPr>
        <w:t> </w:t>
      </w:r>
      <w:r>
        <w:rPr>
          <w:w w:val="105"/>
          <w:sz w:val="21"/>
        </w:rPr>
        <w:t>cause</w:t>
      </w:r>
      <w:r>
        <w:rPr>
          <w:spacing w:val="-6"/>
          <w:w w:val="105"/>
          <w:sz w:val="21"/>
        </w:rPr>
        <w:t> </w:t>
      </w:r>
      <w:r>
        <w:rPr>
          <w:spacing w:val="-3"/>
          <w:w w:val="105"/>
          <w:sz w:val="21"/>
        </w:rPr>
        <w:t>disputes. </w:t>
      </w:r>
      <w:r>
        <w:rPr>
          <w:w w:val="105"/>
          <w:sz w:val="21"/>
        </w:rPr>
        <w:t>This </w:t>
      </w:r>
      <w:r>
        <w:rPr>
          <w:spacing w:val="-3"/>
          <w:w w:val="105"/>
          <w:sz w:val="21"/>
        </w:rPr>
        <w:t>recommendation </w:t>
      </w:r>
      <w:r>
        <w:rPr>
          <w:spacing w:val="-2"/>
          <w:w w:val="105"/>
          <w:sz w:val="21"/>
        </w:rPr>
        <w:t>has not </w:t>
      </w:r>
      <w:r>
        <w:rPr>
          <w:w w:val="105"/>
          <w:sz w:val="21"/>
        </w:rPr>
        <w:t>been</w:t>
      </w:r>
      <w:r>
        <w:rPr>
          <w:spacing w:val="28"/>
          <w:w w:val="105"/>
          <w:sz w:val="21"/>
        </w:rPr>
        <w:t> </w:t>
      </w:r>
      <w:r>
        <w:rPr>
          <w:w w:val="105"/>
          <w:sz w:val="21"/>
        </w:rPr>
        <w:t>implemented.</w:t>
      </w:r>
      <w:r>
        <w:rPr>
          <w:w w:val="105"/>
          <w:position w:val="7"/>
          <w:sz w:val="12"/>
        </w:rPr>
        <w:t>20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2"/>
        </w:rPr>
      </w:pPr>
      <w:r>
        <w:rPr/>
        <w:pict>
          <v:line style="position:absolute;mso-position-horizontal-relative:page;mso-position-vertical-relative:paragraph;z-index:3128;mso-wrap-distance-left:0;mso-wrap-distance-right:0" from="79.370102pt,10.135337pt" to="515.905102pt,10.135337pt" stroked="true" strokeweight="1pt" strokecolor="#c9d2cb">
            <v:stroke dashstyle="solid"/>
            <w10:wrap type="topAndBottom"/>
          </v:line>
        </w:pict>
      </w:r>
    </w:p>
    <w:p>
      <w:pPr>
        <w:pStyle w:val="ListParagraph"/>
        <w:numPr>
          <w:ilvl w:val="0"/>
          <w:numId w:val="46"/>
        </w:numPr>
        <w:tabs>
          <w:tab w:pos="2380" w:val="left" w:leader="none"/>
          <w:tab w:pos="2382" w:val="left" w:leader="none"/>
        </w:tabs>
        <w:spacing w:line="240" w:lineRule="auto" w:before="117" w:after="0"/>
        <w:ind w:left="2381" w:right="0" w:hanging="794"/>
        <w:jc w:val="left"/>
        <w:rPr>
          <w:sz w:val="13"/>
        </w:rPr>
      </w:pPr>
      <w:r>
        <w:rPr>
          <w:i/>
          <w:w w:val="105"/>
          <w:sz w:val="13"/>
        </w:rPr>
        <w:t>Country</w:t>
      </w:r>
      <w:r>
        <w:rPr>
          <w:i/>
          <w:spacing w:val="4"/>
          <w:w w:val="105"/>
          <w:sz w:val="13"/>
        </w:rPr>
        <w:t> </w:t>
      </w:r>
      <w:r>
        <w:rPr>
          <w:i/>
          <w:w w:val="105"/>
          <w:sz w:val="13"/>
        </w:rPr>
        <w:t>Fire</w:t>
      </w:r>
      <w:r>
        <w:rPr>
          <w:i/>
          <w:spacing w:val="5"/>
          <w:w w:val="105"/>
          <w:sz w:val="13"/>
        </w:rPr>
        <w:t> </w:t>
      </w:r>
      <w:r>
        <w:rPr>
          <w:i/>
          <w:w w:val="105"/>
          <w:sz w:val="13"/>
        </w:rPr>
        <w:t>Authority</w:t>
      </w:r>
      <w:r>
        <w:rPr>
          <w:i/>
          <w:spacing w:val="5"/>
          <w:w w:val="105"/>
          <w:sz w:val="13"/>
        </w:rPr>
        <w:t> </w:t>
      </w:r>
      <w:r>
        <w:rPr>
          <w:i/>
          <w:w w:val="105"/>
          <w:sz w:val="13"/>
        </w:rPr>
        <w:t>Act</w:t>
      </w:r>
      <w:r>
        <w:rPr>
          <w:i/>
          <w:spacing w:val="5"/>
          <w:w w:val="105"/>
          <w:sz w:val="13"/>
        </w:rPr>
        <w:t> </w:t>
      </w:r>
      <w:r>
        <w:rPr>
          <w:i/>
          <w:w w:val="105"/>
          <w:sz w:val="13"/>
        </w:rPr>
        <w:t>1958</w:t>
      </w:r>
      <w:r>
        <w:rPr>
          <w:i/>
          <w:spacing w:val="5"/>
          <w:w w:val="105"/>
          <w:sz w:val="13"/>
        </w:rPr>
        <w:t> </w:t>
      </w:r>
      <w:r>
        <w:rPr>
          <w:spacing w:val="2"/>
          <w:w w:val="105"/>
          <w:sz w:val="13"/>
        </w:rPr>
        <w:t>(Vic)</w:t>
      </w:r>
      <w:r>
        <w:rPr>
          <w:spacing w:val="4"/>
          <w:w w:val="105"/>
          <w:sz w:val="13"/>
        </w:rPr>
        <w:t> </w:t>
      </w:r>
      <w:r>
        <w:rPr>
          <w:w w:val="105"/>
          <w:sz w:val="13"/>
        </w:rPr>
        <w:t>s</w:t>
      </w:r>
      <w:r>
        <w:rPr>
          <w:spacing w:val="5"/>
          <w:w w:val="105"/>
          <w:sz w:val="13"/>
        </w:rPr>
        <w:t> </w:t>
      </w:r>
      <w:r>
        <w:rPr>
          <w:w w:val="105"/>
          <w:sz w:val="13"/>
        </w:rPr>
        <w:t>3</w:t>
      </w:r>
      <w:r>
        <w:rPr>
          <w:spacing w:val="5"/>
          <w:w w:val="105"/>
          <w:sz w:val="13"/>
        </w:rPr>
        <w:t> </w:t>
      </w:r>
      <w:r>
        <w:rPr>
          <w:w w:val="105"/>
          <w:sz w:val="13"/>
        </w:rPr>
        <w:t>(definition</w:t>
      </w:r>
      <w:r>
        <w:rPr>
          <w:spacing w:val="5"/>
          <w:w w:val="105"/>
          <w:sz w:val="13"/>
        </w:rPr>
        <w:t> </w:t>
      </w:r>
      <w:r>
        <w:rPr>
          <w:w w:val="105"/>
          <w:sz w:val="13"/>
        </w:rPr>
        <w:t>of</w:t>
      </w:r>
      <w:r>
        <w:rPr>
          <w:spacing w:val="5"/>
          <w:w w:val="105"/>
          <w:sz w:val="13"/>
        </w:rPr>
        <w:t> </w:t>
      </w:r>
      <w:r>
        <w:rPr>
          <w:w w:val="105"/>
          <w:sz w:val="13"/>
        </w:rPr>
        <w:t>‘scrub’</w:t>
      </w:r>
      <w:r>
        <w:rPr>
          <w:spacing w:val="4"/>
          <w:w w:val="105"/>
          <w:sz w:val="13"/>
        </w:rPr>
        <w:t> </w:t>
      </w:r>
      <w:r>
        <w:rPr>
          <w:w w:val="105"/>
          <w:sz w:val="13"/>
        </w:rPr>
        <w:t>or</w:t>
      </w:r>
      <w:r>
        <w:rPr>
          <w:spacing w:val="5"/>
          <w:w w:val="105"/>
          <w:sz w:val="13"/>
        </w:rPr>
        <w:t> </w:t>
      </w:r>
      <w:r>
        <w:rPr>
          <w:w w:val="105"/>
          <w:sz w:val="13"/>
        </w:rPr>
        <w:t>‘vegetation’).</w:t>
      </w:r>
    </w:p>
    <w:p>
      <w:pPr>
        <w:pStyle w:val="ListParagraph"/>
        <w:numPr>
          <w:ilvl w:val="0"/>
          <w:numId w:val="46"/>
        </w:numPr>
        <w:tabs>
          <w:tab w:pos="2380" w:val="left" w:leader="none"/>
          <w:tab w:pos="2381" w:val="left" w:leader="none"/>
        </w:tabs>
        <w:spacing w:line="240" w:lineRule="auto" w:before="1" w:after="0"/>
        <w:ind w:left="2380" w:right="0" w:hanging="793"/>
        <w:jc w:val="left"/>
        <w:rPr>
          <w:sz w:val="13"/>
        </w:rPr>
      </w:pPr>
      <w:r>
        <w:rPr>
          <w:i/>
          <w:w w:val="105"/>
          <w:sz w:val="13"/>
        </w:rPr>
        <w:t>Activities Local Law 2009 </w:t>
      </w:r>
      <w:r>
        <w:rPr>
          <w:i/>
          <w:spacing w:val="2"/>
          <w:w w:val="105"/>
          <w:sz w:val="13"/>
        </w:rPr>
        <w:t>(</w:t>
      </w:r>
      <w:r>
        <w:rPr>
          <w:spacing w:val="2"/>
          <w:w w:val="105"/>
          <w:sz w:val="13"/>
        </w:rPr>
        <w:t>Melbourne </w:t>
      </w:r>
      <w:r>
        <w:rPr>
          <w:w w:val="105"/>
          <w:sz w:val="13"/>
        </w:rPr>
        <w:t>City Council) cl</w:t>
      </w:r>
      <w:r>
        <w:rPr>
          <w:spacing w:val="24"/>
          <w:w w:val="105"/>
          <w:sz w:val="13"/>
        </w:rPr>
        <w:t> </w:t>
      </w:r>
      <w:r>
        <w:rPr>
          <w:spacing w:val="-7"/>
          <w:w w:val="105"/>
          <w:sz w:val="13"/>
        </w:rPr>
        <w:t>1.11 </w:t>
      </w:r>
      <w:r>
        <w:rPr>
          <w:w w:val="105"/>
          <w:sz w:val="13"/>
        </w:rPr>
        <w:t>(Definitions).</w:t>
      </w:r>
    </w:p>
    <w:p>
      <w:pPr>
        <w:pStyle w:val="ListParagraph"/>
        <w:numPr>
          <w:ilvl w:val="0"/>
          <w:numId w:val="46"/>
        </w:numPr>
        <w:tabs>
          <w:tab w:pos="2380" w:val="left" w:leader="none"/>
          <w:tab w:pos="2381" w:val="left" w:leader="none"/>
        </w:tabs>
        <w:spacing w:line="240" w:lineRule="auto" w:before="2" w:after="0"/>
        <w:ind w:left="2380" w:right="1737" w:hanging="793"/>
        <w:jc w:val="left"/>
        <w:rPr>
          <w:sz w:val="13"/>
        </w:rPr>
      </w:pPr>
      <w:r>
        <w:rPr>
          <w:w w:val="105"/>
          <w:sz w:val="13"/>
        </w:rPr>
        <w:t>Nillumbik Shire Council, </w:t>
      </w:r>
      <w:r>
        <w:rPr>
          <w:i/>
          <w:w w:val="105"/>
          <w:sz w:val="13"/>
        </w:rPr>
        <w:t>Nillumbik Tree Management Guidelines </w:t>
      </w:r>
      <w:r>
        <w:rPr>
          <w:w w:val="105"/>
          <w:sz w:val="13"/>
        </w:rPr>
        <w:t>(September 2015) 7 &lt;https://</w:t>
      </w:r>
      <w:hyperlink r:id="rId89">
        <w:r>
          <w:rPr>
            <w:w w:val="105"/>
            <w:sz w:val="13"/>
          </w:rPr>
          <w:t>www.nillumbik.vic.gov.au/Council/Council-</w:t>
        </w:r>
      </w:hyperlink>
      <w:r>
        <w:rPr>
          <w:w w:val="105"/>
          <w:sz w:val="13"/>
        </w:rPr>
        <w:t> publications/Strategies-policies-and-legislation&gt;.</w:t>
      </w:r>
    </w:p>
    <w:p>
      <w:pPr>
        <w:pStyle w:val="ListParagraph"/>
        <w:numPr>
          <w:ilvl w:val="0"/>
          <w:numId w:val="46"/>
        </w:numPr>
        <w:tabs>
          <w:tab w:pos="2380" w:val="left" w:leader="none"/>
          <w:tab w:pos="2381" w:val="left" w:leader="none"/>
        </w:tabs>
        <w:spacing w:line="240" w:lineRule="auto" w:before="2" w:after="0"/>
        <w:ind w:left="2380" w:right="0" w:hanging="793"/>
        <w:jc w:val="left"/>
        <w:rPr>
          <w:sz w:val="13"/>
        </w:rPr>
      </w:pPr>
      <w:r>
        <w:rPr>
          <w:i/>
          <w:w w:val="105"/>
          <w:sz w:val="13"/>
        </w:rPr>
        <w:t>Trees (Disputes Between Neighbours) Act 2006 </w:t>
      </w:r>
      <w:r>
        <w:rPr>
          <w:spacing w:val="3"/>
          <w:w w:val="105"/>
          <w:sz w:val="13"/>
        </w:rPr>
        <w:t>(NSW) </w:t>
      </w:r>
      <w:r>
        <w:rPr>
          <w:w w:val="105"/>
          <w:sz w:val="13"/>
        </w:rPr>
        <w:t>s</w:t>
      </w:r>
      <w:r>
        <w:rPr>
          <w:spacing w:val="5"/>
          <w:w w:val="105"/>
          <w:sz w:val="13"/>
        </w:rPr>
        <w:t> </w:t>
      </w:r>
      <w:r>
        <w:rPr>
          <w:w w:val="105"/>
          <w:sz w:val="13"/>
        </w:rPr>
        <w:t>3(1).</w:t>
      </w:r>
    </w:p>
    <w:p>
      <w:pPr>
        <w:pStyle w:val="ListParagraph"/>
        <w:numPr>
          <w:ilvl w:val="0"/>
          <w:numId w:val="46"/>
        </w:numPr>
        <w:tabs>
          <w:tab w:pos="2380" w:val="left" w:leader="none"/>
          <w:tab w:pos="2381" w:val="left" w:leader="none"/>
        </w:tabs>
        <w:spacing w:line="240" w:lineRule="auto" w:before="2" w:after="0"/>
        <w:ind w:left="2380" w:right="0" w:hanging="793"/>
        <w:jc w:val="left"/>
        <w:rPr>
          <w:sz w:val="13"/>
        </w:rPr>
      </w:pPr>
      <w:r>
        <w:rPr>
          <w:w w:val="105"/>
          <w:sz w:val="13"/>
        </w:rPr>
        <w:t>See, eg, </w:t>
      </w:r>
      <w:r>
        <w:rPr>
          <w:i/>
          <w:w w:val="105"/>
          <w:sz w:val="13"/>
        </w:rPr>
        <w:t>Robson v Leischke </w:t>
      </w:r>
      <w:r>
        <w:rPr>
          <w:spacing w:val="2"/>
          <w:w w:val="105"/>
          <w:sz w:val="13"/>
        </w:rPr>
        <w:t>(2008) </w:t>
      </w:r>
      <w:r>
        <w:rPr>
          <w:w w:val="105"/>
          <w:sz w:val="13"/>
        </w:rPr>
        <w:t>72 </w:t>
      </w:r>
      <w:r>
        <w:rPr>
          <w:spacing w:val="2"/>
          <w:w w:val="105"/>
          <w:sz w:val="13"/>
        </w:rPr>
        <w:t>NSWLR </w:t>
      </w:r>
      <w:r>
        <w:rPr>
          <w:w w:val="105"/>
          <w:sz w:val="13"/>
        </w:rPr>
        <w:t>98</w:t>
      </w:r>
      <w:r>
        <w:rPr>
          <w:spacing w:val="7"/>
          <w:w w:val="105"/>
          <w:sz w:val="13"/>
        </w:rPr>
        <w:t> </w:t>
      </w:r>
      <w:r>
        <w:rPr>
          <w:w w:val="105"/>
          <w:sz w:val="13"/>
        </w:rPr>
        <w:t>[137].</w:t>
      </w:r>
    </w:p>
    <w:p>
      <w:pPr>
        <w:pStyle w:val="ListParagraph"/>
        <w:numPr>
          <w:ilvl w:val="0"/>
          <w:numId w:val="46"/>
        </w:numPr>
        <w:tabs>
          <w:tab w:pos="2380" w:val="left" w:leader="none"/>
          <w:tab w:pos="2382" w:val="left" w:leader="none"/>
        </w:tabs>
        <w:spacing w:line="240" w:lineRule="auto" w:before="1" w:after="0"/>
        <w:ind w:left="2381" w:right="0" w:hanging="794"/>
        <w:jc w:val="left"/>
        <w:rPr>
          <w:sz w:val="13"/>
        </w:rPr>
      </w:pPr>
      <w:r>
        <w:rPr>
          <w:w w:val="105"/>
          <w:sz w:val="13"/>
        </w:rPr>
        <w:t>See </w:t>
      </w:r>
      <w:r>
        <w:rPr>
          <w:i/>
          <w:w w:val="105"/>
          <w:sz w:val="13"/>
        </w:rPr>
        <w:t>Trees (Disputes Between Neighbours) Regulation </w:t>
      </w:r>
      <w:r>
        <w:rPr>
          <w:i/>
          <w:spacing w:val="-3"/>
          <w:w w:val="105"/>
          <w:sz w:val="13"/>
        </w:rPr>
        <w:t>2014</w:t>
      </w:r>
      <w:r>
        <w:rPr>
          <w:i/>
          <w:spacing w:val="12"/>
          <w:w w:val="105"/>
          <w:sz w:val="13"/>
        </w:rPr>
        <w:t> </w:t>
      </w:r>
      <w:r>
        <w:rPr>
          <w:spacing w:val="3"/>
          <w:w w:val="105"/>
          <w:sz w:val="13"/>
        </w:rPr>
        <w:t>(NSW) </w:t>
      </w:r>
      <w:r>
        <w:rPr>
          <w:w w:val="105"/>
          <w:sz w:val="13"/>
        </w:rPr>
        <w:t>r 4.</w:t>
      </w:r>
    </w:p>
    <w:p>
      <w:pPr>
        <w:pStyle w:val="ListParagraph"/>
        <w:numPr>
          <w:ilvl w:val="0"/>
          <w:numId w:val="46"/>
        </w:numPr>
        <w:tabs>
          <w:tab w:pos="2380" w:val="left" w:leader="none"/>
          <w:tab w:pos="2382" w:val="left" w:leader="none"/>
        </w:tabs>
        <w:spacing w:line="240" w:lineRule="auto" w:before="1" w:after="0"/>
        <w:ind w:left="2381" w:right="1623" w:hanging="794"/>
        <w:jc w:val="left"/>
        <w:rPr>
          <w:sz w:val="13"/>
        </w:rPr>
      </w:pPr>
      <w:r>
        <w:rPr>
          <w:w w:val="105"/>
          <w:sz w:val="13"/>
        </w:rPr>
        <w:t>A vine can also be referred to as a creeper or climber. It is defined as ‘any of various plants, especially the grapevine, having long flexible</w:t>
      </w:r>
      <w:r>
        <w:rPr>
          <w:spacing w:val="30"/>
          <w:w w:val="105"/>
          <w:sz w:val="13"/>
        </w:rPr>
        <w:t> </w:t>
      </w:r>
      <w:r>
        <w:rPr>
          <w:w w:val="105"/>
          <w:sz w:val="13"/>
        </w:rPr>
        <w:t>stems that creep along the ground or climb by clinging to a support by means of tendrils, leafstalks etc.: Patrick Hanks, </w:t>
      </w:r>
      <w:r>
        <w:rPr>
          <w:i/>
          <w:w w:val="105"/>
          <w:sz w:val="13"/>
        </w:rPr>
        <w:t>Collins Dictionary of</w:t>
      </w:r>
      <w:r>
        <w:rPr>
          <w:i/>
          <w:spacing w:val="30"/>
          <w:w w:val="105"/>
          <w:sz w:val="13"/>
        </w:rPr>
        <w:t> </w:t>
      </w:r>
      <w:r>
        <w:rPr>
          <w:i/>
          <w:w w:val="105"/>
          <w:sz w:val="13"/>
        </w:rPr>
        <w:t>the English Language </w:t>
      </w:r>
      <w:r>
        <w:rPr>
          <w:w w:val="105"/>
          <w:sz w:val="13"/>
        </w:rPr>
        <w:t>(Collins,</w:t>
      </w:r>
      <w:r>
        <w:rPr>
          <w:spacing w:val="18"/>
          <w:w w:val="105"/>
          <w:sz w:val="13"/>
        </w:rPr>
        <w:t> </w:t>
      </w:r>
      <w:r>
        <w:rPr>
          <w:w w:val="105"/>
          <w:sz w:val="13"/>
        </w:rPr>
        <w:t>2001).</w:t>
      </w:r>
    </w:p>
    <w:p>
      <w:pPr>
        <w:pStyle w:val="ListParagraph"/>
        <w:numPr>
          <w:ilvl w:val="0"/>
          <w:numId w:val="46"/>
        </w:numPr>
        <w:tabs>
          <w:tab w:pos="2381" w:val="left" w:leader="none"/>
          <w:tab w:pos="2382" w:val="left" w:leader="none"/>
        </w:tabs>
        <w:spacing w:line="240" w:lineRule="auto" w:before="4" w:after="0"/>
        <w:ind w:left="2381" w:right="1662" w:hanging="794"/>
        <w:jc w:val="left"/>
        <w:rPr>
          <w:sz w:val="13"/>
        </w:rPr>
      </w:pPr>
      <w:r>
        <w:rPr>
          <w:w w:val="105"/>
          <w:sz w:val="13"/>
        </w:rPr>
        <w:t>For example, in </w:t>
      </w:r>
      <w:r>
        <w:rPr>
          <w:i/>
          <w:w w:val="105"/>
          <w:sz w:val="13"/>
        </w:rPr>
        <w:t>Buckingham v Ryder </w:t>
      </w:r>
      <w:r>
        <w:rPr>
          <w:w w:val="105"/>
          <w:sz w:val="13"/>
        </w:rPr>
        <w:t>[2007] NSWLEC 458 a dispute between neighbours over a pink trumpet vine was dismissed because        it was determined that vines generally do not meet the definition of a ‘tree’ under the Act because vines do not display the self-supporting characteristics</w:t>
      </w:r>
      <w:r>
        <w:rPr>
          <w:spacing w:val="4"/>
          <w:w w:val="105"/>
          <w:sz w:val="13"/>
        </w:rPr>
        <w:t> </w:t>
      </w:r>
      <w:r>
        <w:rPr>
          <w:w w:val="105"/>
          <w:sz w:val="13"/>
        </w:rPr>
        <w:t>of</w:t>
      </w:r>
      <w:r>
        <w:rPr>
          <w:spacing w:val="5"/>
          <w:w w:val="105"/>
          <w:sz w:val="13"/>
        </w:rPr>
        <w:t> </w:t>
      </w:r>
      <w:r>
        <w:rPr>
          <w:w w:val="105"/>
          <w:sz w:val="13"/>
        </w:rPr>
        <w:t>trees</w:t>
      </w:r>
      <w:r>
        <w:rPr>
          <w:spacing w:val="4"/>
          <w:w w:val="105"/>
          <w:sz w:val="13"/>
        </w:rPr>
        <w:t> </w:t>
      </w:r>
      <w:r>
        <w:rPr>
          <w:w w:val="105"/>
          <w:sz w:val="13"/>
        </w:rPr>
        <w:t>and</w:t>
      </w:r>
      <w:r>
        <w:rPr>
          <w:spacing w:val="5"/>
          <w:w w:val="105"/>
          <w:sz w:val="13"/>
        </w:rPr>
        <w:t> </w:t>
      </w:r>
      <w:r>
        <w:rPr>
          <w:w w:val="105"/>
          <w:sz w:val="13"/>
        </w:rPr>
        <w:t>instead</w:t>
      </w:r>
      <w:r>
        <w:rPr>
          <w:spacing w:val="4"/>
          <w:w w:val="105"/>
          <w:sz w:val="13"/>
        </w:rPr>
        <w:t> </w:t>
      </w:r>
      <w:r>
        <w:rPr>
          <w:w w:val="105"/>
          <w:sz w:val="13"/>
        </w:rPr>
        <w:t>require</w:t>
      </w:r>
      <w:r>
        <w:rPr>
          <w:spacing w:val="5"/>
          <w:w w:val="105"/>
          <w:sz w:val="13"/>
        </w:rPr>
        <w:t> </w:t>
      </w:r>
      <w:r>
        <w:rPr>
          <w:w w:val="105"/>
          <w:sz w:val="13"/>
        </w:rPr>
        <w:t>a</w:t>
      </w:r>
      <w:r>
        <w:rPr>
          <w:spacing w:val="4"/>
          <w:w w:val="105"/>
          <w:sz w:val="13"/>
        </w:rPr>
        <w:t> </w:t>
      </w:r>
      <w:r>
        <w:rPr>
          <w:w w:val="105"/>
          <w:sz w:val="13"/>
        </w:rPr>
        <w:t>surface</w:t>
      </w:r>
      <w:r>
        <w:rPr>
          <w:spacing w:val="5"/>
          <w:w w:val="105"/>
          <w:sz w:val="13"/>
        </w:rPr>
        <w:t> </w:t>
      </w:r>
      <w:r>
        <w:rPr>
          <w:w w:val="105"/>
          <w:sz w:val="13"/>
        </w:rPr>
        <w:t>to</w:t>
      </w:r>
      <w:r>
        <w:rPr>
          <w:spacing w:val="4"/>
          <w:w w:val="105"/>
          <w:sz w:val="13"/>
        </w:rPr>
        <w:t> </w:t>
      </w:r>
      <w:r>
        <w:rPr>
          <w:w w:val="105"/>
          <w:sz w:val="13"/>
        </w:rPr>
        <w:t>grow</w:t>
      </w:r>
      <w:r>
        <w:rPr>
          <w:spacing w:val="5"/>
          <w:w w:val="105"/>
          <w:sz w:val="13"/>
        </w:rPr>
        <w:t> </w:t>
      </w:r>
      <w:r>
        <w:rPr>
          <w:w w:val="105"/>
          <w:sz w:val="13"/>
        </w:rPr>
        <w:t>along</w:t>
      </w:r>
      <w:r>
        <w:rPr>
          <w:spacing w:val="4"/>
          <w:w w:val="105"/>
          <w:sz w:val="13"/>
        </w:rPr>
        <w:t> [28]—[32].</w:t>
      </w:r>
    </w:p>
    <w:p>
      <w:pPr>
        <w:pStyle w:val="ListParagraph"/>
        <w:numPr>
          <w:ilvl w:val="0"/>
          <w:numId w:val="46"/>
        </w:numPr>
        <w:tabs>
          <w:tab w:pos="2381" w:val="left" w:leader="none"/>
          <w:tab w:pos="2382" w:val="left" w:leader="none"/>
        </w:tabs>
        <w:spacing w:line="240" w:lineRule="auto" w:before="4" w:after="0"/>
        <w:ind w:left="2381" w:right="1758" w:hanging="794"/>
        <w:jc w:val="left"/>
        <w:rPr>
          <w:sz w:val="13"/>
        </w:rPr>
      </w:pPr>
      <w:r>
        <w:rPr>
          <w:w w:val="105"/>
          <w:sz w:val="13"/>
        </w:rPr>
        <w:t>Department of Justice and Attorney General </w:t>
      </w:r>
      <w:r>
        <w:rPr>
          <w:spacing w:val="3"/>
          <w:w w:val="105"/>
          <w:sz w:val="13"/>
        </w:rPr>
        <w:t>(NSW), </w:t>
      </w:r>
      <w:r>
        <w:rPr>
          <w:i/>
          <w:w w:val="105"/>
          <w:sz w:val="13"/>
        </w:rPr>
        <w:t>Review of the Trees (Disputes Between Neighbours) Act 2006 </w:t>
      </w:r>
      <w:r>
        <w:rPr>
          <w:spacing w:val="3"/>
          <w:w w:val="105"/>
          <w:sz w:val="13"/>
        </w:rPr>
        <w:t>(NSW) </w:t>
      </w:r>
      <w:r>
        <w:rPr>
          <w:spacing w:val="2"/>
          <w:w w:val="105"/>
          <w:sz w:val="13"/>
        </w:rPr>
        <w:t>(Report, 2009)  </w:t>
      </w:r>
      <w:r>
        <w:rPr>
          <w:w w:val="105"/>
          <w:sz w:val="13"/>
        </w:rPr>
        <w:t>19.</w:t>
      </w:r>
    </w:p>
    <w:p>
      <w:pPr>
        <w:pStyle w:val="ListParagraph"/>
        <w:numPr>
          <w:ilvl w:val="0"/>
          <w:numId w:val="46"/>
        </w:numPr>
        <w:tabs>
          <w:tab w:pos="2381"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46"/>
        </w:numPr>
        <w:tabs>
          <w:tab w:pos="2381" w:val="left" w:leader="none"/>
          <w:tab w:pos="2382" w:val="left" w:leader="none"/>
        </w:tabs>
        <w:spacing w:line="240" w:lineRule="auto" w:before="1" w:after="0"/>
        <w:ind w:left="2381" w:right="0" w:hanging="794"/>
        <w:jc w:val="left"/>
        <w:rPr>
          <w:sz w:val="13"/>
        </w:rPr>
      </w:pPr>
      <w:r>
        <w:rPr>
          <w:w w:val="105"/>
          <w:sz w:val="13"/>
        </w:rPr>
        <w:t>Ibid Recommendation</w:t>
      </w:r>
      <w:r>
        <w:rPr>
          <w:spacing w:val="9"/>
          <w:w w:val="105"/>
          <w:sz w:val="13"/>
        </w:rPr>
        <w:t> </w:t>
      </w:r>
      <w:r>
        <w:rPr>
          <w:w w:val="105"/>
          <w:sz w:val="13"/>
        </w:rPr>
        <w:t>3.</w:t>
      </w:r>
    </w:p>
    <w:p>
      <w:pPr>
        <w:pStyle w:val="ListParagraph"/>
        <w:numPr>
          <w:ilvl w:val="0"/>
          <w:numId w:val="46"/>
        </w:numPr>
        <w:tabs>
          <w:tab w:pos="2381" w:val="left" w:leader="none"/>
          <w:tab w:pos="2382" w:val="left" w:leader="none"/>
        </w:tabs>
        <w:spacing w:line="240" w:lineRule="auto" w:before="2" w:after="0"/>
        <w:ind w:left="2381" w:right="0" w:hanging="794"/>
        <w:jc w:val="left"/>
        <w:rPr>
          <w:sz w:val="13"/>
        </w:rPr>
      </w:pPr>
      <w:r>
        <w:rPr>
          <w:i/>
          <w:w w:val="105"/>
          <w:sz w:val="13"/>
        </w:rPr>
        <w:t>Trees (Disputes Between Neighbours) Regulation </w:t>
      </w:r>
      <w:r>
        <w:rPr>
          <w:i/>
          <w:spacing w:val="-3"/>
          <w:w w:val="105"/>
          <w:sz w:val="13"/>
        </w:rPr>
        <w:t>2014 </w:t>
      </w:r>
      <w:r>
        <w:rPr>
          <w:spacing w:val="3"/>
          <w:w w:val="105"/>
          <w:sz w:val="13"/>
        </w:rPr>
        <w:t>(NSW) </w:t>
      </w:r>
      <w:r>
        <w:rPr>
          <w:w w:val="105"/>
          <w:sz w:val="13"/>
        </w:rPr>
        <w:t>r</w:t>
      </w:r>
      <w:r>
        <w:rPr>
          <w:spacing w:val="7"/>
          <w:w w:val="105"/>
          <w:sz w:val="13"/>
        </w:rPr>
        <w:t> </w:t>
      </w:r>
      <w:r>
        <w:rPr>
          <w:w w:val="105"/>
          <w:sz w:val="13"/>
        </w:rPr>
        <w:t>4.</w:t>
      </w:r>
    </w:p>
    <w:p>
      <w:pPr>
        <w:pStyle w:val="ListParagraph"/>
        <w:numPr>
          <w:ilvl w:val="0"/>
          <w:numId w:val="46"/>
        </w:numPr>
        <w:tabs>
          <w:tab w:pos="2381" w:val="left" w:leader="none"/>
          <w:tab w:pos="2382" w:val="left" w:leader="none"/>
        </w:tabs>
        <w:spacing w:line="240" w:lineRule="auto" w:before="1" w:after="0"/>
        <w:ind w:left="1587" w:right="5213" w:firstLine="0"/>
        <w:jc w:val="left"/>
        <w:rPr>
          <w:sz w:val="13"/>
        </w:rPr>
      </w:pPr>
      <w:r>
        <w:rPr/>
        <w:pict>
          <v:shape style="position:absolute;margin-left:549.026489pt;margin-top:10.993464pt;width:12.95pt;height:14.25pt;mso-position-horizontal-relative:page;mso-position-vertical-relative:paragraph;z-index:5200" type="#_x0000_t202" filled="false" stroked="false">
            <v:textbox inset="0,0,0,0">
              <w:txbxContent>
                <w:p>
                  <w:pPr>
                    <w:spacing w:line="284" w:lineRule="exact" w:before="0"/>
                    <w:ind w:left="0" w:right="0" w:firstLine="0"/>
                    <w:jc w:val="left"/>
                    <w:rPr>
                      <w:b/>
                      <w:sz w:val="24"/>
                    </w:rPr>
                  </w:pPr>
                  <w:r>
                    <w:rPr>
                      <w:b/>
                      <w:color w:val="658464"/>
                      <w:spacing w:val="-5"/>
                      <w:w w:val="110"/>
                      <w:sz w:val="24"/>
                    </w:rPr>
                    <w:t>67</w:t>
                  </w:r>
                </w:p>
              </w:txbxContent>
            </v:textbox>
            <w10:wrap type="none"/>
          </v:shape>
        </w:pict>
      </w:r>
      <w:r>
        <w:rPr>
          <w:i/>
          <w:w w:val="105"/>
          <w:sz w:val="13"/>
        </w:rPr>
        <w:t>Neighbourhood Disputes (Dividing Fences and Trees) Act </w:t>
      </w:r>
      <w:r>
        <w:rPr>
          <w:i/>
          <w:spacing w:val="-4"/>
          <w:w w:val="105"/>
          <w:sz w:val="13"/>
        </w:rPr>
        <w:t>2011 </w:t>
      </w:r>
      <w:r>
        <w:rPr>
          <w:spacing w:val="2"/>
          <w:w w:val="105"/>
          <w:sz w:val="13"/>
        </w:rPr>
        <w:t>(Qld) </w:t>
      </w:r>
      <w:r>
        <w:rPr>
          <w:w w:val="105"/>
          <w:sz w:val="13"/>
        </w:rPr>
        <w:t>s 45(1). </w:t>
      </w:r>
      <w:r>
        <w:rPr>
          <w:spacing w:val="-3"/>
          <w:w w:val="105"/>
          <w:sz w:val="13"/>
        </w:rPr>
        <w:t>19</w:t>
        <w:tab/>
      </w:r>
      <w:r>
        <w:rPr>
          <w:w w:val="105"/>
          <w:sz w:val="13"/>
        </w:rPr>
        <w:t>Ibid s</w:t>
      </w:r>
      <w:r>
        <w:rPr>
          <w:spacing w:val="9"/>
          <w:w w:val="105"/>
          <w:sz w:val="13"/>
        </w:rPr>
        <w:t> </w:t>
      </w:r>
      <w:r>
        <w:rPr>
          <w:spacing w:val="2"/>
          <w:w w:val="105"/>
          <w:sz w:val="13"/>
        </w:rPr>
        <w:t>45(2).</w:t>
      </w:r>
    </w:p>
    <w:p>
      <w:pPr>
        <w:pStyle w:val="ListParagraph"/>
        <w:numPr>
          <w:ilvl w:val="0"/>
          <w:numId w:val="47"/>
        </w:numPr>
        <w:tabs>
          <w:tab w:pos="2381" w:val="left" w:leader="none"/>
          <w:tab w:pos="2382" w:val="left" w:leader="none"/>
        </w:tabs>
        <w:spacing w:line="240" w:lineRule="auto" w:before="3" w:after="0"/>
        <w:ind w:left="2381" w:right="0" w:hanging="794"/>
        <w:jc w:val="left"/>
        <w:rPr>
          <w:sz w:val="13"/>
        </w:rPr>
      </w:pPr>
      <w:r>
        <w:rPr>
          <w:w w:val="105"/>
          <w:sz w:val="13"/>
        </w:rPr>
        <w:t>See generally, Ibid s</w:t>
      </w:r>
      <w:r>
        <w:rPr>
          <w:spacing w:val="18"/>
          <w:w w:val="105"/>
          <w:sz w:val="13"/>
        </w:rPr>
        <w:t> </w:t>
      </w:r>
      <w:r>
        <w:rPr>
          <w:w w:val="105"/>
          <w:sz w:val="13"/>
        </w:rPr>
        <w:t>45.</w:t>
      </w:r>
    </w:p>
    <w:p>
      <w:pPr>
        <w:spacing w:after="0" w:line="240" w:lineRule="auto"/>
        <w:jc w:val="left"/>
        <w:rPr>
          <w:sz w:val="13"/>
        </w:rPr>
        <w:sectPr>
          <w:headerReference w:type="default" r:id="rId87"/>
          <w:headerReference w:type="even" r:id="rId88"/>
          <w:pgSz w:w="11910" w:h="16840"/>
          <w:pgMar w:header="808" w:footer="0" w:top="1360" w:bottom="280" w:left="0" w:right="0"/>
        </w:sectPr>
      </w:pPr>
    </w:p>
    <w:p>
      <w:pPr>
        <w:pStyle w:val="BodyText"/>
        <w:spacing w:before="9"/>
        <w:rPr>
          <w:sz w:val="22"/>
        </w:rPr>
      </w:pPr>
    </w:p>
    <w:p>
      <w:pPr>
        <w:pStyle w:val="ListParagraph"/>
        <w:numPr>
          <w:ilvl w:val="1"/>
          <w:numId w:val="16"/>
        </w:numPr>
        <w:tabs>
          <w:tab w:pos="2381" w:val="left" w:leader="none"/>
          <w:tab w:pos="2382" w:val="left" w:leader="none"/>
        </w:tabs>
        <w:spacing w:line="242" w:lineRule="auto" w:before="92" w:after="0"/>
        <w:ind w:left="2381" w:right="1901" w:hanging="794"/>
        <w:jc w:val="left"/>
        <w:rPr>
          <w:sz w:val="21"/>
        </w:rPr>
      </w:pPr>
      <w:r>
        <w:rPr>
          <w:w w:val="105"/>
          <w:sz w:val="21"/>
        </w:rPr>
        <w:t>In</w:t>
      </w:r>
      <w:r>
        <w:rPr>
          <w:spacing w:val="-4"/>
          <w:w w:val="105"/>
          <w:sz w:val="21"/>
        </w:rPr>
        <w:t> </w:t>
      </w:r>
      <w:r>
        <w:rPr>
          <w:w w:val="105"/>
          <w:sz w:val="21"/>
        </w:rPr>
        <w:t>the</w:t>
      </w:r>
      <w:r>
        <w:rPr>
          <w:spacing w:val="-4"/>
          <w:w w:val="105"/>
          <w:sz w:val="21"/>
        </w:rPr>
        <w:t> Tasmanian</w:t>
      </w:r>
      <w:r>
        <w:rPr>
          <w:spacing w:val="-3"/>
          <w:w w:val="105"/>
          <w:sz w:val="21"/>
        </w:rPr>
        <w:t> </w:t>
      </w:r>
      <w:r>
        <w:rPr>
          <w:w w:val="105"/>
          <w:sz w:val="21"/>
        </w:rPr>
        <w:t>Act,</w:t>
      </w:r>
      <w:r>
        <w:rPr>
          <w:spacing w:val="-4"/>
          <w:w w:val="105"/>
          <w:sz w:val="21"/>
        </w:rPr>
        <w:t> </w:t>
      </w:r>
      <w:r>
        <w:rPr>
          <w:w w:val="105"/>
          <w:sz w:val="21"/>
        </w:rPr>
        <w:t>the</w:t>
      </w:r>
      <w:r>
        <w:rPr>
          <w:spacing w:val="-3"/>
          <w:w w:val="105"/>
          <w:sz w:val="21"/>
        </w:rPr>
        <w:t> </w:t>
      </w:r>
      <w:r>
        <w:rPr>
          <w:w w:val="105"/>
          <w:sz w:val="21"/>
        </w:rPr>
        <w:t>term</w:t>
      </w:r>
      <w:r>
        <w:rPr>
          <w:spacing w:val="-4"/>
          <w:w w:val="105"/>
          <w:sz w:val="21"/>
        </w:rPr>
        <w:t> </w:t>
      </w:r>
      <w:r>
        <w:rPr>
          <w:spacing w:val="-3"/>
          <w:w w:val="105"/>
          <w:sz w:val="21"/>
        </w:rPr>
        <w:t>‘plant’ </w:t>
      </w:r>
      <w:r>
        <w:rPr>
          <w:w w:val="105"/>
          <w:sz w:val="21"/>
        </w:rPr>
        <w:t>is</w:t>
      </w:r>
      <w:r>
        <w:rPr>
          <w:spacing w:val="-4"/>
          <w:w w:val="105"/>
          <w:sz w:val="21"/>
        </w:rPr>
        <w:t> </w:t>
      </w:r>
      <w:r>
        <w:rPr>
          <w:spacing w:val="-3"/>
          <w:w w:val="105"/>
          <w:sz w:val="21"/>
        </w:rPr>
        <w:t>preferred </w:t>
      </w:r>
      <w:r>
        <w:rPr>
          <w:w w:val="105"/>
          <w:sz w:val="21"/>
        </w:rPr>
        <w:t>over</w:t>
      </w:r>
      <w:r>
        <w:rPr>
          <w:spacing w:val="-4"/>
          <w:w w:val="105"/>
          <w:sz w:val="21"/>
        </w:rPr>
        <w:t> </w:t>
      </w:r>
      <w:r>
        <w:rPr>
          <w:spacing w:val="-5"/>
          <w:w w:val="105"/>
          <w:sz w:val="21"/>
        </w:rPr>
        <w:t>‘tree’.</w:t>
      </w:r>
      <w:r>
        <w:rPr>
          <w:spacing w:val="-4"/>
          <w:w w:val="105"/>
          <w:sz w:val="21"/>
        </w:rPr>
        <w:t> </w:t>
      </w:r>
      <w:r>
        <w:rPr>
          <w:w w:val="105"/>
          <w:sz w:val="21"/>
        </w:rPr>
        <w:t>A</w:t>
      </w:r>
      <w:r>
        <w:rPr>
          <w:spacing w:val="-3"/>
          <w:w w:val="105"/>
          <w:sz w:val="21"/>
        </w:rPr>
        <w:t> plant</w:t>
      </w:r>
      <w:r>
        <w:rPr>
          <w:spacing w:val="-4"/>
          <w:w w:val="105"/>
          <w:sz w:val="21"/>
        </w:rPr>
        <w:t> </w:t>
      </w:r>
      <w:r>
        <w:rPr>
          <w:w w:val="105"/>
          <w:sz w:val="21"/>
        </w:rPr>
        <w:t>is</w:t>
      </w:r>
      <w:r>
        <w:rPr>
          <w:spacing w:val="-3"/>
          <w:w w:val="105"/>
          <w:sz w:val="21"/>
        </w:rPr>
        <w:t> </w:t>
      </w:r>
      <w:r>
        <w:rPr>
          <w:w w:val="105"/>
          <w:sz w:val="21"/>
        </w:rPr>
        <w:t>defined</w:t>
      </w:r>
      <w:r>
        <w:rPr>
          <w:spacing w:val="-4"/>
          <w:w w:val="105"/>
          <w:sz w:val="21"/>
        </w:rPr>
        <w:t> </w:t>
      </w:r>
      <w:r>
        <w:rPr>
          <w:w w:val="105"/>
          <w:sz w:val="21"/>
        </w:rPr>
        <w:t>as</w:t>
      </w:r>
      <w:r>
        <w:rPr>
          <w:spacing w:val="-3"/>
          <w:w w:val="105"/>
          <w:sz w:val="21"/>
        </w:rPr>
        <w:t> </w:t>
      </w:r>
      <w:r>
        <w:rPr>
          <w:spacing w:val="-6"/>
          <w:w w:val="105"/>
          <w:sz w:val="21"/>
        </w:rPr>
        <w:t>‘any </w:t>
      </w:r>
      <w:r>
        <w:rPr>
          <w:spacing w:val="-3"/>
          <w:w w:val="105"/>
          <w:sz w:val="21"/>
        </w:rPr>
        <w:t>plant </w:t>
      </w:r>
      <w:r>
        <w:rPr>
          <w:w w:val="105"/>
          <w:sz w:val="21"/>
        </w:rPr>
        <w:t>or part of a </w:t>
      </w:r>
      <w:r>
        <w:rPr>
          <w:spacing w:val="-3"/>
          <w:w w:val="105"/>
          <w:sz w:val="21"/>
        </w:rPr>
        <w:t>plant’</w:t>
      </w:r>
      <w:r>
        <w:rPr>
          <w:spacing w:val="-3"/>
          <w:w w:val="105"/>
          <w:position w:val="7"/>
          <w:sz w:val="12"/>
        </w:rPr>
        <w:t>21 </w:t>
      </w:r>
      <w:r>
        <w:rPr>
          <w:w w:val="105"/>
          <w:sz w:val="21"/>
        </w:rPr>
        <w:t>and</w:t>
      </w:r>
      <w:r>
        <w:rPr>
          <w:spacing w:val="38"/>
          <w:w w:val="105"/>
          <w:sz w:val="21"/>
        </w:rPr>
        <w:t> </w:t>
      </w:r>
      <w:r>
        <w:rPr>
          <w:w w:val="105"/>
          <w:sz w:val="21"/>
        </w:rPr>
        <w:t>includes:</w:t>
      </w:r>
    </w:p>
    <w:p>
      <w:pPr>
        <w:pStyle w:val="ListParagraph"/>
        <w:numPr>
          <w:ilvl w:val="2"/>
          <w:numId w:val="16"/>
        </w:numPr>
        <w:tabs>
          <w:tab w:pos="2721" w:val="left" w:leader="none"/>
          <w:tab w:pos="2722" w:val="left" w:leader="none"/>
        </w:tabs>
        <w:spacing w:line="240" w:lineRule="auto" w:before="122" w:after="0"/>
        <w:ind w:left="2721" w:right="0" w:hanging="340"/>
        <w:jc w:val="left"/>
        <w:rPr>
          <w:sz w:val="21"/>
        </w:rPr>
      </w:pPr>
      <w:r>
        <w:rPr>
          <w:sz w:val="21"/>
        </w:rPr>
        <w:t>a</w:t>
      </w:r>
      <w:r>
        <w:rPr>
          <w:spacing w:val="7"/>
          <w:sz w:val="21"/>
        </w:rPr>
        <w:t> </w:t>
      </w:r>
      <w:r>
        <w:rPr>
          <w:sz w:val="21"/>
        </w:rPr>
        <w:t>tree</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a hedge or </w:t>
      </w:r>
      <w:r>
        <w:rPr>
          <w:spacing w:val="-3"/>
          <w:w w:val="105"/>
          <w:sz w:val="21"/>
        </w:rPr>
        <w:t>group </w:t>
      </w:r>
      <w:r>
        <w:rPr>
          <w:w w:val="105"/>
          <w:sz w:val="21"/>
        </w:rPr>
        <w:t>of</w:t>
      </w:r>
      <w:r>
        <w:rPr>
          <w:spacing w:val="30"/>
          <w:w w:val="105"/>
          <w:sz w:val="21"/>
        </w:rPr>
        <w:t> </w:t>
      </w:r>
      <w:r>
        <w:rPr>
          <w:w w:val="105"/>
          <w:sz w:val="21"/>
        </w:rPr>
        <w:t>plants</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w w:val="105"/>
          <w:sz w:val="21"/>
        </w:rPr>
        <w:t>fruits, seeds, </w:t>
      </w:r>
      <w:r>
        <w:rPr>
          <w:spacing w:val="-3"/>
          <w:w w:val="105"/>
          <w:sz w:val="21"/>
        </w:rPr>
        <w:t>leaves </w:t>
      </w:r>
      <w:r>
        <w:rPr>
          <w:w w:val="105"/>
          <w:sz w:val="21"/>
        </w:rPr>
        <w:t>or flowers, of a</w:t>
      </w:r>
      <w:r>
        <w:rPr>
          <w:spacing w:val="35"/>
          <w:w w:val="105"/>
          <w:sz w:val="21"/>
        </w:rPr>
        <w:t> </w:t>
      </w:r>
      <w:r>
        <w:rPr>
          <w:spacing w:val="-3"/>
          <w:w w:val="105"/>
          <w:sz w:val="21"/>
        </w:rPr>
        <w:t>plant</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a </w:t>
      </w:r>
      <w:r>
        <w:rPr>
          <w:spacing w:val="-3"/>
          <w:w w:val="105"/>
          <w:sz w:val="21"/>
        </w:rPr>
        <w:t>bare</w:t>
      </w:r>
      <w:r>
        <w:rPr>
          <w:spacing w:val="10"/>
          <w:w w:val="105"/>
          <w:sz w:val="21"/>
        </w:rPr>
        <w:t> </w:t>
      </w:r>
      <w:r>
        <w:rPr>
          <w:w w:val="105"/>
          <w:sz w:val="21"/>
        </w:rPr>
        <w:t>trunk</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a stump </w:t>
      </w:r>
      <w:r>
        <w:rPr>
          <w:spacing w:val="-3"/>
          <w:w w:val="105"/>
          <w:sz w:val="21"/>
        </w:rPr>
        <w:t>rooted </w:t>
      </w:r>
      <w:r>
        <w:rPr>
          <w:w w:val="105"/>
          <w:sz w:val="21"/>
        </w:rPr>
        <w:t>in the</w:t>
      </w:r>
      <w:r>
        <w:rPr>
          <w:spacing w:val="29"/>
          <w:w w:val="105"/>
          <w:sz w:val="21"/>
        </w:rPr>
        <w:t> </w:t>
      </w:r>
      <w:r>
        <w:rPr>
          <w:spacing w:val="-3"/>
          <w:w w:val="105"/>
          <w:sz w:val="21"/>
        </w:rPr>
        <w:t>land</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pacing w:val="-3"/>
          <w:w w:val="105"/>
          <w:sz w:val="21"/>
        </w:rPr>
        <w:t>any </w:t>
      </w:r>
      <w:r>
        <w:rPr>
          <w:w w:val="105"/>
          <w:sz w:val="21"/>
        </w:rPr>
        <w:t>root of a</w:t>
      </w:r>
      <w:r>
        <w:rPr>
          <w:spacing w:val="24"/>
          <w:w w:val="105"/>
          <w:sz w:val="21"/>
        </w:rPr>
        <w:t> </w:t>
      </w:r>
      <w:r>
        <w:rPr>
          <w:spacing w:val="-3"/>
          <w:w w:val="105"/>
          <w:sz w:val="21"/>
        </w:rPr>
        <w:t>plant</w:t>
      </w:r>
    </w:p>
    <w:p>
      <w:pPr>
        <w:pStyle w:val="ListParagraph"/>
        <w:numPr>
          <w:ilvl w:val="2"/>
          <w:numId w:val="16"/>
        </w:numPr>
        <w:tabs>
          <w:tab w:pos="2721" w:val="left" w:leader="none"/>
          <w:tab w:pos="2722" w:val="left" w:leader="none"/>
        </w:tabs>
        <w:spacing w:line="240" w:lineRule="auto" w:before="89" w:after="0"/>
        <w:ind w:left="2721" w:right="0" w:hanging="340"/>
        <w:jc w:val="left"/>
        <w:rPr>
          <w:sz w:val="12"/>
        </w:rPr>
      </w:pPr>
      <w:r>
        <w:rPr>
          <w:w w:val="105"/>
          <w:sz w:val="21"/>
        </w:rPr>
        <w:t>a dead</w:t>
      </w:r>
      <w:r>
        <w:rPr>
          <w:spacing w:val="11"/>
          <w:w w:val="105"/>
          <w:sz w:val="21"/>
        </w:rPr>
        <w:t> </w:t>
      </w:r>
      <w:r>
        <w:rPr>
          <w:w w:val="105"/>
          <w:sz w:val="21"/>
        </w:rPr>
        <w:t>plant.</w:t>
      </w:r>
      <w:r>
        <w:rPr>
          <w:w w:val="105"/>
          <w:position w:val="7"/>
          <w:sz w:val="12"/>
        </w:rPr>
        <w:t>22</w:t>
      </w:r>
    </w:p>
    <w:p>
      <w:pPr>
        <w:pStyle w:val="Heading7"/>
        <w:spacing w:before="119"/>
      </w:pPr>
      <w:r>
        <w:rPr>
          <w:w w:val="115"/>
        </w:rPr>
        <w:t>Community responses—definition of ‘tree’</w:t>
      </w:r>
    </w:p>
    <w:p>
      <w:pPr>
        <w:pStyle w:val="ListParagraph"/>
        <w:numPr>
          <w:ilvl w:val="1"/>
          <w:numId w:val="16"/>
        </w:numPr>
        <w:tabs>
          <w:tab w:pos="2381" w:val="left" w:leader="none"/>
          <w:tab w:pos="2382" w:val="left" w:leader="none"/>
        </w:tabs>
        <w:spacing w:line="242" w:lineRule="auto" w:before="143" w:after="0"/>
        <w:ind w:left="2381" w:right="1758" w:hanging="794"/>
        <w:jc w:val="left"/>
        <w:rPr>
          <w:sz w:val="21"/>
        </w:rPr>
      </w:pPr>
      <w:r>
        <w:rPr>
          <w:w w:val="105"/>
          <w:sz w:val="21"/>
        </w:rPr>
        <w:t>The</w:t>
      </w:r>
      <w:r>
        <w:rPr>
          <w:spacing w:val="-6"/>
          <w:w w:val="105"/>
          <w:sz w:val="21"/>
        </w:rPr>
        <w:t> </w:t>
      </w:r>
      <w:r>
        <w:rPr>
          <w:spacing w:val="-3"/>
          <w:w w:val="105"/>
          <w:sz w:val="21"/>
        </w:rPr>
        <w:t>Commission</w:t>
      </w:r>
      <w:r>
        <w:rPr>
          <w:spacing w:val="-6"/>
          <w:w w:val="105"/>
          <w:sz w:val="21"/>
        </w:rPr>
        <w:t> </w:t>
      </w:r>
      <w:r>
        <w:rPr>
          <w:w w:val="105"/>
          <w:sz w:val="21"/>
        </w:rPr>
        <w:t>was</w:t>
      </w:r>
      <w:r>
        <w:rPr>
          <w:spacing w:val="-6"/>
          <w:w w:val="105"/>
          <w:sz w:val="21"/>
        </w:rPr>
        <w:t> </w:t>
      </w:r>
      <w:r>
        <w:rPr>
          <w:w w:val="105"/>
          <w:sz w:val="21"/>
        </w:rPr>
        <w:t>told</w:t>
      </w:r>
      <w:r>
        <w:rPr>
          <w:spacing w:val="-6"/>
          <w:w w:val="105"/>
          <w:sz w:val="21"/>
        </w:rPr>
        <w:t> </w:t>
      </w:r>
      <w:r>
        <w:rPr>
          <w:spacing w:val="-3"/>
          <w:w w:val="105"/>
          <w:sz w:val="21"/>
        </w:rPr>
        <w:t>that</w:t>
      </w:r>
      <w:r>
        <w:rPr>
          <w:spacing w:val="-6"/>
          <w:w w:val="105"/>
          <w:sz w:val="21"/>
        </w:rPr>
        <w:t> </w:t>
      </w:r>
      <w:r>
        <w:rPr>
          <w:w w:val="105"/>
          <w:sz w:val="21"/>
        </w:rPr>
        <w:t>it</w:t>
      </w:r>
      <w:r>
        <w:rPr>
          <w:spacing w:val="-6"/>
          <w:w w:val="105"/>
          <w:sz w:val="21"/>
        </w:rPr>
        <w:t> </w:t>
      </w:r>
      <w:r>
        <w:rPr>
          <w:w w:val="105"/>
          <w:sz w:val="21"/>
        </w:rPr>
        <w:t>is</w:t>
      </w:r>
      <w:r>
        <w:rPr>
          <w:spacing w:val="-6"/>
          <w:w w:val="105"/>
          <w:sz w:val="21"/>
        </w:rPr>
        <w:t> </w:t>
      </w:r>
      <w:r>
        <w:rPr>
          <w:w w:val="105"/>
          <w:sz w:val="21"/>
        </w:rPr>
        <w:t>important</w:t>
      </w:r>
      <w:r>
        <w:rPr>
          <w:spacing w:val="-6"/>
          <w:w w:val="105"/>
          <w:sz w:val="21"/>
        </w:rPr>
        <w:t> </w:t>
      </w:r>
      <w:r>
        <w:rPr>
          <w:spacing w:val="-3"/>
          <w:w w:val="105"/>
          <w:sz w:val="21"/>
        </w:rPr>
        <w:t>to</w:t>
      </w:r>
      <w:r>
        <w:rPr>
          <w:spacing w:val="-6"/>
          <w:w w:val="105"/>
          <w:sz w:val="21"/>
        </w:rPr>
        <w:t> </w:t>
      </w:r>
      <w:r>
        <w:rPr>
          <w:w w:val="105"/>
          <w:sz w:val="21"/>
        </w:rPr>
        <w:t>provide</w:t>
      </w:r>
      <w:r>
        <w:rPr>
          <w:spacing w:val="-6"/>
          <w:w w:val="105"/>
          <w:sz w:val="21"/>
        </w:rPr>
        <w:t> </w:t>
      </w:r>
      <w:r>
        <w:rPr>
          <w:w w:val="105"/>
          <w:sz w:val="21"/>
        </w:rPr>
        <w:t>a</w:t>
      </w:r>
      <w:r>
        <w:rPr>
          <w:spacing w:val="-6"/>
          <w:w w:val="105"/>
          <w:sz w:val="21"/>
        </w:rPr>
        <w:t> </w:t>
      </w:r>
      <w:r>
        <w:rPr>
          <w:spacing w:val="-3"/>
          <w:w w:val="105"/>
          <w:sz w:val="21"/>
        </w:rPr>
        <w:t>clear</w:t>
      </w:r>
      <w:r>
        <w:rPr>
          <w:spacing w:val="-5"/>
          <w:w w:val="105"/>
          <w:sz w:val="21"/>
        </w:rPr>
        <w:t> </w:t>
      </w:r>
      <w:r>
        <w:rPr>
          <w:w w:val="105"/>
          <w:sz w:val="21"/>
        </w:rPr>
        <w:t>definition</w:t>
      </w:r>
      <w:r>
        <w:rPr>
          <w:spacing w:val="-6"/>
          <w:w w:val="105"/>
          <w:sz w:val="21"/>
        </w:rPr>
        <w:t> </w:t>
      </w:r>
      <w:r>
        <w:rPr>
          <w:w w:val="105"/>
          <w:sz w:val="21"/>
        </w:rPr>
        <w:t>of</w:t>
      </w:r>
      <w:r>
        <w:rPr>
          <w:spacing w:val="-6"/>
          <w:w w:val="105"/>
          <w:sz w:val="21"/>
        </w:rPr>
        <w:t> </w:t>
      </w:r>
      <w:r>
        <w:rPr>
          <w:w w:val="105"/>
          <w:sz w:val="21"/>
        </w:rPr>
        <w:t>‘tree’</w:t>
      </w:r>
      <w:r>
        <w:rPr>
          <w:spacing w:val="-6"/>
          <w:w w:val="105"/>
          <w:sz w:val="21"/>
        </w:rPr>
        <w:t> </w:t>
      </w:r>
      <w:r>
        <w:rPr>
          <w:w w:val="105"/>
          <w:sz w:val="21"/>
        </w:rPr>
        <w:t>in</w:t>
      </w:r>
      <w:r>
        <w:rPr>
          <w:spacing w:val="-6"/>
          <w:w w:val="105"/>
          <w:sz w:val="21"/>
        </w:rPr>
        <w:t> </w:t>
      </w:r>
      <w:r>
        <w:rPr>
          <w:spacing w:val="-3"/>
          <w:w w:val="105"/>
          <w:sz w:val="21"/>
        </w:rPr>
        <w:t>any </w:t>
      </w:r>
      <w:r>
        <w:rPr>
          <w:w w:val="105"/>
          <w:sz w:val="21"/>
        </w:rPr>
        <w:t>new</w:t>
      </w:r>
      <w:r>
        <w:rPr>
          <w:spacing w:val="5"/>
          <w:w w:val="105"/>
          <w:sz w:val="21"/>
        </w:rPr>
        <w:t> </w:t>
      </w:r>
      <w:r>
        <w:rPr>
          <w:w w:val="105"/>
          <w:sz w:val="21"/>
        </w:rPr>
        <w:t>Act.</w:t>
      </w:r>
      <w:r>
        <w:rPr>
          <w:w w:val="105"/>
          <w:position w:val="7"/>
          <w:sz w:val="12"/>
        </w:rPr>
        <w:t>23</w:t>
      </w:r>
    </w:p>
    <w:p>
      <w:pPr>
        <w:pStyle w:val="ListParagraph"/>
        <w:numPr>
          <w:ilvl w:val="1"/>
          <w:numId w:val="16"/>
        </w:numPr>
        <w:tabs>
          <w:tab w:pos="2380" w:val="left" w:leader="none"/>
          <w:tab w:pos="2381" w:val="left" w:leader="none"/>
        </w:tabs>
        <w:spacing w:line="242" w:lineRule="auto" w:before="122" w:after="0"/>
        <w:ind w:left="2381" w:right="2018" w:hanging="794"/>
        <w:jc w:val="left"/>
        <w:rPr>
          <w:sz w:val="21"/>
        </w:rPr>
      </w:pPr>
      <w:r>
        <w:rPr>
          <w:w w:val="105"/>
          <w:sz w:val="21"/>
        </w:rPr>
        <w:t>Most</w:t>
      </w:r>
      <w:r>
        <w:rPr>
          <w:spacing w:val="-7"/>
          <w:w w:val="105"/>
          <w:sz w:val="21"/>
        </w:rPr>
        <w:t> </w:t>
      </w:r>
      <w:r>
        <w:rPr>
          <w:w w:val="105"/>
          <w:sz w:val="21"/>
        </w:rPr>
        <w:t>community</w:t>
      </w:r>
      <w:r>
        <w:rPr>
          <w:spacing w:val="-7"/>
          <w:w w:val="105"/>
          <w:sz w:val="21"/>
        </w:rPr>
        <w:t> </w:t>
      </w:r>
      <w:r>
        <w:rPr>
          <w:w w:val="105"/>
          <w:sz w:val="21"/>
        </w:rPr>
        <w:t>members</w:t>
      </w:r>
      <w:r>
        <w:rPr>
          <w:spacing w:val="-6"/>
          <w:w w:val="105"/>
          <w:sz w:val="21"/>
        </w:rPr>
        <w:t> </w:t>
      </w:r>
      <w:r>
        <w:rPr>
          <w:spacing w:val="-3"/>
          <w:w w:val="105"/>
          <w:sz w:val="21"/>
        </w:rPr>
        <w:t>were</w:t>
      </w:r>
      <w:r>
        <w:rPr>
          <w:spacing w:val="-7"/>
          <w:w w:val="105"/>
          <w:sz w:val="21"/>
        </w:rPr>
        <w:t> </w:t>
      </w:r>
      <w:r>
        <w:rPr>
          <w:w w:val="105"/>
          <w:sz w:val="21"/>
        </w:rPr>
        <w:t>in</w:t>
      </w:r>
      <w:r>
        <w:rPr>
          <w:spacing w:val="-6"/>
          <w:w w:val="105"/>
          <w:sz w:val="21"/>
        </w:rPr>
        <w:t> </w:t>
      </w:r>
      <w:r>
        <w:rPr>
          <w:spacing w:val="-3"/>
          <w:w w:val="105"/>
          <w:sz w:val="21"/>
        </w:rPr>
        <w:t>favour</w:t>
      </w:r>
      <w:r>
        <w:rPr>
          <w:spacing w:val="-7"/>
          <w:w w:val="105"/>
          <w:sz w:val="21"/>
        </w:rPr>
        <w:t> </w:t>
      </w:r>
      <w:r>
        <w:rPr>
          <w:w w:val="105"/>
          <w:sz w:val="21"/>
        </w:rPr>
        <w:t>of</w:t>
      </w:r>
      <w:r>
        <w:rPr>
          <w:spacing w:val="-6"/>
          <w:w w:val="105"/>
          <w:sz w:val="21"/>
        </w:rPr>
        <w:t> </w:t>
      </w:r>
      <w:r>
        <w:rPr>
          <w:w w:val="105"/>
          <w:sz w:val="21"/>
        </w:rPr>
        <w:t>broadly</w:t>
      </w:r>
      <w:r>
        <w:rPr>
          <w:spacing w:val="-7"/>
          <w:w w:val="105"/>
          <w:sz w:val="21"/>
        </w:rPr>
        <w:t> </w:t>
      </w:r>
      <w:r>
        <w:rPr>
          <w:w w:val="105"/>
          <w:sz w:val="21"/>
        </w:rPr>
        <w:t>defining</w:t>
      </w:r>
      <w:r>
        <w:rPr>
          <w:spacing w:val="-7"/>
          <w:w w:val="105"/>
          <w:sz w:val="21"/>
        </w:rPr>
        <w:t> </w:t>
      </w:r>
      <w:r>
        <w:rPr>
          <w:w w:val="105"/>
          <w:sz w:val="21"/>
        </w:rPr>
        <w:t>‘tree’</w:t>
      </w:r>
      <w:r>
        <w:rPr>
          <w:spacing w:val="-6"/>
          <w:w w:val="105"/>
          <w:sz w:val="21"/>
        </w:rPr>
        <w:t> </w:t>
      </w:r>
      <w:r>
        <w:rPr>
          <w:w w:val="105"/>
          <w:sz w:val="21"/>
        </w:rPr>
        <w:t>under</w:t>
      </w:r>
      <w:r>
        <w:rPr>
          <w:spacing w:val="-7"/>
          <w:w w:val="105"/>
          <w:sz w:val="21"/>
        </w:rPr>
        <w:t> </w:t>
      </w:r>
      <w:r>
        <w:rPr>
          <w:w w:val="105"/>
          <w:sz w:val="21"/>
        </w:rPr>
        <w:t>a</w:t>
      </w:r>
      <w:r>
        <w:rPr>
          <w:spacing w:val="-6"/>
          <w:w w:val="105"/>
          <w:sz w:val="21"/>
        </w:rPr>
        <w:t> </w:t>
      </w:r>
      <w:r>
        <w:rPr>
          <w:w w:val="105"/>
          <w:sz w:val="21"/>
        </w:rPr>
        <w:t>new</w:t>
      </w:r>
      <w:r>
        <w:rPr>
          <w:spacing w:val="-7"/>
          <w:w w:val="105"/>
          <w:sz w:val="21"/>
        </w:rPr>
        <w:t> </w:t>
      </w:r>
      <w:r>
        <w:rPr>
          <w:w w:val="105"/>
          <w:sz w:val="21"/>
        </w:rPr>
        <w:t>Act so </w:t>
      </w:r>
      <w:r>
        <w:rPr>
          <w:spacing w:val="-3"/>
          <w:w w:val="105"/>
          <w:sz w:val="21"/>
        </w:rPr>
        <w:t>that </w:t>
      </w:r>
      <w:r>
        <w:rPr>
          <w:w w:val="105"/>
          <w:sz w:val="21"/>
        </w:rPr>
        <w:t>it </w:t>
      </w:r>
      <w:r>
        <w:rPr>
          <w:spacing w:val="-3"/>
          <w:w w:val="105"/>
          <w:sz w:val="21"/>
        </w:rPr>
        <w:t>includes any </w:t>
      </w:r>
      <w:r>
        <w:rPr>
          <w:w w:val="105"/>
          <w:sz w:val="21"/>
        </w:rPr>
        <w:t>vegetation.</w:t>
      </w:r>
      <w:r>
        <w:rPr>
          <w:w w:val="105"/>
          <w:position w:val="7"/>
          <w:sz w:val="12"/>
        </w:rPr>
        <w:t>24 </w:t>
      </w:r>
      <w:r>
        <w:rPr>
          <w:w w:val="105"/>
          <w:sz w:val="21"/>
        </w:rPr>
        <w:t>Some people </w:t>
      </w:r>
      <w:r>
        <w:rPr>
          <w:spacing w:val="-3"/>
          <w:w w:val="105"/>
          <w:sz w:val="21"/>
        </w:rPr>
        <w:t>pointed to </w:t>
      </w:r>
      <w:r>
        <w:rPr>
          <w:w w:val="105"/>
          <w:sz w:val="21"/>
        </w:rPr>
        <w:t>existing definitions of trees</w:t>
      </w:r>
      <w:r>
        <w:rPr>
          <w:spacing w:val="-12"/>
          <w:w w:val="105"/>
          <w:sz w:val="21"/>
        </w:rPr>
        <w:t> </w:t>
      </w:r>
      <w:r>
        <w:rPr>
          <w:w w:val="105"/>
          <w:sz w:val="21"/>
        </w:rPr>
        <w:t>as</w:t>
      </w:r>
      <w:r>
        <w:rPr>
          <w:spacing w:val="-12"/>
          <w:w w:val="105"/>
          <w:sz w:val="21"/>
        </w:rPr>
        <w:t> </w:t>
      </w:r>
      <w:r>
        <w:rPr>
          <w:w w:val="105"/>
          <w:sz w:val="21"/>
        </w:rPr>
        <w:t>suitable</w:t>
      </w:r>
      <w:r>
        <w:rPr>
          <w:spacing w:val="-11"/>
          <w:w w:val="105"/>
          <w:sz w:val="21"/>
        </w:rPr>
        <w:t> </w:t>
      </w:r>
      <w:r>
        <w:rPr>
          <w:w w:val="105"/>
          <w:sz w:val="21"/>
        </w:rPr>
        <w:t>starting</w:t>
      </w:r>
      <w:r>
        <w:rPr>
          <w:spacing w:val="-12"/>
          <w:w w:val="105"/>
          <w:sz w:val="21"/>
        </w:rPr>
        <w:t> </w:t>
      </w:r>
      <w:r>
        <w:rPr>
          <w:w w:val="105"/>
          <w:sz w:val="21"/>
        </w:rPr>
        <w:t>points—for</w:t>
      </w:r>
      <w:r>
        <w:rPr>
          <w:spacing w:val="-11"/>
          <w:w w:val="105"/>
          <w:sz w:val="21"/>
        </w:rPr>
        <w:t> </w:t>
      </w:r>
      <w:r>
        <w:rPr>
          <w:spacing w:val="-3"/>
          <w:w w:val="105"/>
          <w:sz w:val="21"/>
        </w:rPr>
        <w:t>example,</w:t>
      </w:r>
      <w:r>
        <w:rPr>
          <w:spacing w:val="-12"/>
          <w:w w:val="105"/>
          <w:sz w:val="21"/>
        </w:rPr>
        <w:t> </w:t>
      </w:r>
      <w:r>
        <w:rPr>
          <w:w w:val="105"/>
          <w:sz w:val="21"/>
        </w:rPr>
        <w:t>definitions</w:t>
      </w:r>
      <w:r>
        <w:rPr>
          <w:spacing w:val="-12"/>
          <w:w w:val="105"/>
          <w:sz w:val="21"/>
        </w:rPr>
        <w:t> </w:t>
      </w:r>
      <w:r>
        <w:rPr>
          <w:spacing w:val="-2"/>
          <w:w w:val="105"/>
          <w:sz w:val="21"/>
        </w:rPr>
        <w:t>commonly</w:t>
      </w:r>
      <w:r>
        <w:rPr>
          <w:spacing w:val="-11"/>
          <w:w w:val="105"/>
          <w:sz w:val="21"/>
        </w:rPr>
        <w:t> </w:t>
      </w:r>
      <w:r>
        <w:rPr>
          <w:spacing w:val="-3"/>
          <w:w w:val="105"/>
          <w:sz w:val="21"/>
        </w:rPr>
        <w:t>found</w:t>
      </w:r>
      <w:r>
        <w:rPr>
          <w:spacing w:val="-12"/>
          <w:w w:val="105"/>
          <w:sz w:val="21"/>
        </w:rPr>
        <w:t> </w:t>
      </w:r>
      <w:r>
        <w:rPr>
          <w:w w:val="105"/>
          <w:sz w:val="21"/>
        </w:rPr>
        <w:t>in</w:t>
      </w:r>
      <w:r>
        <w:rPr>
          <w:spacing w:val="-11"/>
          <w:w w:val="105"/>
          <w:sz w:val="21"/>
        </w:rPr>
        <w:t> </w:t>
      </w:r>
      <w:r>
        <w:rPr>
          <w:w w:val="105"/>
          <w:sz w:val="21"/>
        </w:rPr>
        <w:t>general dictionaries,</w:t>
      </w:r>
      <w:r>
        <w:rPr>
          <w:w w:val="105"/>
          <w:position w:val="7"/>
          <w:sz w:val="12"/>
        </w:rPr>
        <w:t>25 </w:t>
      </w:r>
      <w:r>
        <w:rPr>
          <w:w w:val="105"/>
          <w:sz w:val="21"/>
        </w:rPr>
        <w:t>the </w:t>
      </w:r>
      <w:r>
        <w:rPr>
          <w:i/>
          <w:spacing w:val="-3"/>
          <w:w w:val="105"/>
          <w:sz w:val="21"/>
        </w:rPr>
        <w:t>Australian Standard </w:t>
      </w:r>
      <w:r>
        <w:rPr>
          <w:i/>
          <w:w w:val="105"/>
          <w:sz w:val="21"/>
        </w:rPr>
        <w:t>AS </w:t>
      </w:r>
      <w:r>
        <w:rPr>
          <w:i/>
          <w:spacing w:val="-4"/>
          <w:w w:val="105"/>
          <w:sz w:val="21"/>
        </w:rPr>
        <w:t>4373-2007—Pruning </w:t>
      </w:r>
      <w:r>
        <w:rPr>
          <w:i/>
          <w:spacing w:val="-3"/>
          <w:w w:val="105"/>
          <w:sz w:val="21"/>
        </w:rPr>
        <w:t>of </w:t>
      </w:r>
      <w:r>
        <w:rPr>
          <w:i/>
          <w:w w:val="105"/>
          <w:sz w:val="21"/>
        </w:rPr>
        <w:t>Amenity </w:t>
      </w:r>
      <w:r>
        <w:rPr>
          <w:i/>
          <w:spacing w:val="-4"/>
          <w:w w:val="105"/>
          <w:sz w:val="21"/>
        </w:rPr>
        <w:t>Trees,</w:t>
      </w:r>
      <w:r>
        <w:rPr>
          <w:spacing w:val="-4"/>
          <w:w w:val="105"/>
          <w:position w:val="7"/>
          <w:sz w:val="12"/>
        </w:rPr>
        <w:t>26 </w:t>
      </w:r>
      <w:r>
        <w:rPr>
          <w:w w:val="105"/>
          <w:sz w:val="21"/>
        </w:rPr>
        <w:t>or </w:t>
      </w:r>
      <w:r>
        <w:rPr>
          <w:spacing w:val="-3"/>
          <w:w w:val="105"/>
          <w:sz w:val="21"/>
        </w:rPr>
        <w:t>arboricultural </w:t>
      </w:r>
      <w:r>
        <w:rPr>
          <w:w w:val="105"/>
          <w:sz w:val="21"/>
        </w:rPr>
        <w:t>and </w:t>
      </w:r>
      <w:r>
        <w:rPr>
          <w:spacing w:val="-3"/>
          <w:w w:val="105"/>
          <w:sz w:val="21"/>
        </w:rPr>
        <w:t>gardening </w:t>
      </w:r>
      <w:r>
        <w:rPr>
          <w:w w:val="105"/>
          <w:sz w:val="21"/>
        </w:rPr>
        <w:t>textbooks </w:t>
      </w:r>
      <w:r>
        <w:rPr>
          <w:spacing w:val="-3"/>
          <w:w w:val="105"/>
          <w:sz w:val="21"/>
        </w:rPr>
        <w:t>such </w:t>
      </w:r>
      <w:r>
        <w:rPr>
          <w:w w:val="105"/>
          <w:sz w:val="21"/>
        </w:rPr>
        <w:t>as </w:t>
      </w:r>
      <w:r>
        <w:rPr>
          <w:i/>
          <w:w w:val="105"/>
          <w:sz w:val="21"/>
        </w:rPr>
        <w:t>The Oxford </w:t>
      </w:r>
      <w:r>
        <w:rPr>
          <w:i/>
          <w:spacing w:val="-3"/>
          <w:w w:val="105"/>
          <w:sz w:val="21"/>
        </w:rPr>
        <w:t>Companion </w:t>
      </w:r>
      <w:r>
        <w:rPr>
          <w:i/>
          <w:w w:val="105"/>
          <w:sz w:val="21"/>
        </w:rPr>
        <w:t>to </w:t>
      </w:r>
      <w:r>
        <w:rPr>
          <w:i/>
          <w:spacing w:val="-3"/>
          <w:w w:val="105"/>
          <w:sz w:val="21"/>
        </w:rPr>
        <w:t>Australian </w:t>
      </w:r>
      <w:r>
        <w:rPr>
          <w:i/>
          <w:spacing w:val="-3"/>
          <w:w w:val="105"/>
          <w:sz w:val="21"/>
        </w:rPr>
        <w:t>Gardens.</w:t>
      </w:r>
      <w:r>
        <w:rPr>
          <w:spacing w:val="-3"/>
          <w:w w:val="105"/>
          <w:position w:val="7"/>
          <w:sz w:val="12"/>
        </w:rPr>
        <w:t>27</w:t>
      </w:r>
    </w:p>
    <w:p>
      <w:pPr>
        <w:pStyle w:val="ListParagraph"/>
        <w:numPr>
          <w:ilvl w:val="1"/>
          <w:numId w:val="16"/>
        </w:numPr>
        <w:tabs>
          <w:tab w:pos="2380" w:val="left" w:leader="none"/>
          <w:tab w:pos="2381" w:val="left" w:leader="none"/>
        </w:tabs>
        <w:spacing w:line="242" w:lineRule="auto" w:before="127" w:after="0"/>
        <w:ind w:left="2380" w:right="2096" w:hanging="793"/>
        <w:jc w:val="left"/>
        <w:rPr>
          <w:sz w:val="21"/>
        </w:rPr>
      </w:pPr>
      <w:r>
        <w:rPr>
          <w:sz w:val="21"/>
        </w:rPr>
        <w:t>The Victorian </w:t>
      </w:r>
      <w:r>
        <w:rPr>
          <w:spacing w:val="-3"/>
          <w:sz w:val="21"/>
        </w:rPr>
        <w:t>Civil </w:t>
      </w:r>
      <w:r>
        <w:rPr>
          <w:sz w:val="21"/>
        </w:rPr>
        <w:t>and </w:t>
      </w:r>
      <w:r>
        <w:rPr>
          <w:spacing w:val="-3"/>
          <w:sz w:val="21"/>
        </w:rPr>
        <w:t>Administrative </w:t>
      </w:r>
      <w:r>
        <w:rPr>
          <w:spacing w:val="-5"/>
          <w:sz w:val="21"/>
        </w:rPr>
        <w:t>Tribunal </w:t>
      </w:r>
      <w:r>
        <w:rPr>
          <w:sz w:val="21"/>
        </w:rPr>
        <w:t>(VCAT) </w:t>
      </w:r>
      <w:r>
        <w:rPr>
          <w:spacing w:val="-3"/>
          <w:sz w:val="21"/>
        </w:rPr>
        <w:t>preferred ‘vegetation’ to </w:t>
      </w:r>
      <w:r>
        <w:rPr>
          <w:sz w:val="21"/>
        </w:rPr>
        <w:t>‘tree’ because it is </w:t>
      </w:r>
      <w:r>
        <w:rPr>
          <w:spacing w:val="-3"/>
          <w:sz w:val="21"/>
        </w:rPr>
        <w:t>broader.</w:t>
      </w:r>
      <w:r>
        <w:rPr>
          <w:spacing w:val="-3"/>
          <w:position w:val="7"/>
          <w:sz w:val="12"/>
        </w:rPr>
        <w:t>28 </w:t>
      </w:r>
      <w:r>
        <w:rPr>
          <w:sz w:val="21"/>
        </w:rPr>
        <w:t>A tree </w:t>
      </w:r>
      <w:r>
        <w:rPr>
          <w:spacing w:val="-3"/>
          <w:sz w:val="21"/>
        </w:rPr>
        <w:t>disputes consultant </w:t>
      </w:r>
      <w:r>
        <w:rPr>
          <w:sz w:val="21"/>
        </w:rPr>
        <w:t>in New South </w:t>
      </w:r>
      <w:r>
        <w:rPr>
          <w:spacing w:val="-3"/>
          <w:sz w:val="21"/>
        </w:rPr>
        <w:t>Wales </w:t>
      </w:r>
      <w:r>
        <w:rPr>
          <w:sz w:val="21"/>
        </w:rPr>
        <w:t>stated </w:t>
      </w:r>
      <w:r>
        <w:rPr>
          <w:spacing w:val="-3"/>
          <w:sz w:val="21"/>
        </w:rPr>
        <w:t>that </w:t>
      </w:r>
      <w:r>
        <w:rPr>
          <w:sz w:val="21"/>
        </w:rPr>
        <w:t>defining ‘tree’ too broadly </w:t>
      </w:r>
      <w:r>
        <w:rPr>
          <w:spacing w:val="-3"/>
          <w:sz w:val="21"/>
        </w:rPr>
        <w:t>may </w:t>
      </w:r>
      <w:r>
        <w:rPr>
          <w:sz w:val="21"/>
        </w:rPr>
        <w:t>be </w:t>
      </w:r>
      <w:r>
        <w:rPr>
          <w:spacing w:val="-3"/>
          <w:sz w:val="21"/>
        </w:rPr>
        <w:t>confusing </w:t>
      </w:r>
      <w:r>
        <w:rPr>
          <w:sz w:val="21"/>
        </w:rPr>
        <w:t>and add</w:t>
      </w:r>
      <w:r>
        <w:rPr>
          <w:spacing w:val="23"/>
          <w:sz w:val="21"/>
        </w:rPr>
        <w:t> </w:t>
      </w:r>
      <w:r>
        <w:rPr>
          <w:sz w:val="21"/>
        </w:rPr>
        <w:t>complexity.</w:t>
      </w:r>
      <w:r>
        <w:rPr>
          <w:position w:val="7"/>
          <w:sz w:val="12"/>
        </w:rPr>
        <w:t>29</w:t>
      </w:r>
    </w:p>
    <w:p>
      <w:pPr>
        <w:pStyle w:val="ListParagraph"/>
        <w:numPr>
          <w:ilvl w:val="1"/>
          <w:numId w:val="16"/>
        </w:numPr>
        <w:tabs>
          <w:tab w:pos="2382" w:val="left" w:leader="none"/>
        </w:tabs>
        <w:spacing w:line="242" w:lineRule="auto" w:before="123" w:after="0"/>
        <w:ind w:left="2381" w:right="1732" w:hanging="794"/>
        <w:jc w:val="both"/>
        <w:rPr>
          <w:sz w:val="21"/>
        </w:rPr>
      </w:pPr>
      <w:r>
        <w:rPr>
          <w:w w:val="105"/>
          <w:sz w:val="21"/>
        </w:rPr>
        <w:t>A </w:t>
      </w:r>
      <w:r>
        <w:rPr>
          <w:spacing w:val="-3"/>
          <w:w w:val="105"/>
          <w:sz w:val="21"/>
        </w:rPr>
        <w:t>small </w:t>
      </w:r>
      <w:r>
        <w:rPr>
          <w:w w:val="105"/>
          <w:sz w:val="21"/>
        </w:rPr>
        <w:t>number of people </w:t>
      </w:r>
      <w:r>
        <w:rPr>
          <w:spacing w:val="-3"/>
          <w:w w:val="105"/>
          <w:sz w:val="21"/>
        </w:rPr>
        <w:t>preferred </w:t>
      </w:r>
      <w:r>
        <w:rPr>
          <w:w w:val="105"/>
          <w:sz w:val="21"/>
        </w:rPr>
        <w:t>a </w:t>
      </w:r>
      <w:r>
        <w:rPr>
          <w:spacing w:val="-3"/>
          <w:w w:val="105"/>
          <w:sz w:val="21"/>
        </w:rPr>
        <w:t>narrower </w:t>
      </w:r>
      <w:r>
        <w:rPr>
          <w:w w:val="105"/>
          <w:sz w:val="21"/>
        </w:rPr>
        <w:t>definition.</w:t>
      </w:r>
      <w:r>
        <w:rPr>
          <w:w w:val="105"/>
          <w:position w:val="7"/>
          <w:sz w:val="12"/>
        </w:rPr>
        <w:t>30 </w:t>
      </w:r>
      <w:r>
        <w:rPr>
          <w:w w:val="105"/>
          <w:sz w:val="21"/>
        </w:rPr>
        <w:t>One </w:t>
      </w:r>
      <w:r>
        <w:rPr>
          <w:spacing w:val="-3"/>
          <w:w w:val="105"/>
          <w:sz w:val="21"/>
        </w:rPr>
        <w:t>submission </w:t>
      </w:r>
      <w:r>
        <w:rPr>
          <w:w w:val="105"/>
          <w:sz w:val="21"/>
        </w:rPr>
        <w:t>stated </w:t>
      </w:r>
      <w:r>
        <w:rPr>
          <w:spacing w:val="-3"/>
          <w:w w:val="105"/>
          <w:sz w:val="21"/>
        </w:rPr>
        <w:t>that </w:t>
      </w:r>
      <w:r>
        <w:rPr>
          <w:w w:val="105"/>
          <w:sz w:val="21"/>
        </w:rPr>
        <w:t>only </w:t>
      </w:r>
      <w:r>
        <w:rPr>
          <w:spacing w:val="-3"/>
          <w:w w:val="105"/>
          <w:sz w:val="21"/>
        </w:rPr>
        <w:t>significant </w:t>
      </w:r>
      <w:r>
        <w:rPr>
          <w:w w:val="105"/>
          <w:sz w:val="21"/>
        </w:rPr>
        <w:t>trees should be </w:t>
      </w:r>
      <w:r>
        <w:rPr>
          <w:spacing w:val="-3"/>
          <w:w w:val="105"/>
          <w:sz w:val="21"/>
        </w:rPr>
        <w:t>included, such </w:t>
      </w:r>
      <w:r>
        <w:rPr>
          <w:w w:val="105"/>
          <w:sz w:val="21"/>
        </w:rPr>
        <w:t>as those </w:t>
      </w:r>
      <w:r>
        <w:rPr>
          <w:spacing w:val="-3"/>
          <w:w w:val="105"/>
          <w:sz w:val="21"/>
        </w:rPr>
        <w:t>considered </w:t>
      </w:r>
      <w:r>
        <w:rPr>
          <w:spacing w:val="-5"/>
          <w:w w:val="105"/>
          <w:sz w:val="21"/>
        </w:rPr>
        <w:t>‘culturally, </w:t>
      </w:r>
      <w:r>
        <w:rPr>
          <w:spacing w:val="-3"/>
          <w:w w:val="105"/>
          <w:sz w:val="21"/>
        </w:rPr>
        <w:t>historically, botanically’</w:t>
      </w:r>
      <w:r>
        <w:rPr>
          <w:spacing w:val="-3"/>
          <w:w w:val="105"/>
          <w:position w:val="7"/>
          <w:sz w:val="12"/>
        </w:rPr>
        <w:t>31 </w:t>
      </w:r>
      <w:r>
        <w:rPr>
          <w:spacing w:val="-3"/>
          <w:w w:val="105"/>
          <w:sz w:val="21"/>
        </w:rPr>
        <w:t>significant. </w:t>
      </w:r>
      <w:r>
        <w:rPr>
          <w:w w:val="105"/>
          <w:sz w:val="21"/>
        </w:rPr>
        <w:t>Another stated </w:t>
      </w:r>
      <w:r>
        <w:rPr>
          <w:spacing w:val="-3"/>
          <w:w w:val="105"/>
          <w:sz w:val="21"/>
        </w:rPr>
        <w:t>that </w:t>
      </w:r>
      <w:r>
        <w:rPr>
          <w:w w:val="105"/>
          <w:sz w:val="21"/>
        </w:rPr>
        <w:t>the new Act should </w:t>
      </w:r>
      <w:r>
        <w:rPr>
          <w:spacing w:val="-3"/>
          <w:w w:val="105"/>
          <w:sz w:val="21"/>
        </w:rPr>
        <w:t>cover </w:t>
      </w:r>
      <w:r>
        <w:rPr>
          <w:w w:val="105"/>
          <w:sz w:val="21"/>
        </w:rPr>
        <w:t>trees </w:t>
      </w:r>
      <w:r>
        <w:rPr>
          <w:spacing w:val="-3"/>
          <w:w w:val="105"/>
          <w:sz w:val="21"/>
        </w:rPr>
        <w:t>that </w:t>
      </w:r>
      <w:r>
        <w:rPr>
          <w:w w:val="105"/>
          <w:sz w:val="21"/>
        </w:rPr>
        <w:t>exceed the </w:t>
      </w:r>
      <w:r>
        <w:rPr>
          <w:spacing w:val="-3"/>
          <w:w w:val="105"/>
          <w:sz w:val="21"/>
        </w:rPr>
        <w:t>height </w:t>
      </w:r>
      <w:r>
        <w:rPr>
          <w:w w:val="105"/>
          <w:sz w:val="21"/>
        </w:rPr>
        <w:t>of </w:t>
      </w:r>
      <w:r>
        <w:rPr>
          <w:spacing w:val="-3"/>
          <w:w w:val="105"/>
          <w:sz w:val="21"/>
        </w:rPr>
        <w:t>dividing fences </w:t>
      </w:r>
      <w:r>
        <w:rPr>
          <w:w w:val="105"/>
          <w:sz w:val="21"/>
        </w:rPr>
        <w:t>on </w:t>
      </w:r>
      <w:r>
        <w:rPr>
          <w:spacing w:val="-2"/>
          <w:w w:val="105"/>
          <w:sz w:val="21"/>
        </w:rPr>
        <w:t>common</w:t>
      </w:r>
      <w:r>
        <w:rPr>
          <w:w w:val="105"/>
          <w:sz w:val="21"/>
        </w:rPr>
        <w:t> </w:t>
      </w:r>
      <w:r>
        <w:rPr>
          <w:spacing w:val="-3"/>
          <w:w w:val="105"/>
          <w:sz w:val="21"/>
        </w:rPr>
        <w:t>boundaries.</w:t>
      </w:r>
      <w:r>
        <w:rPr>
          <w:spacing w:val="-3"/>
          <w:w w:val="105"/>
          <w:position w:val="7"/>
          <w:sz w:val="12"/>
        </w:rPr>
        <w:t>32</w:t>
      </w:r>
    </w:p>
    <w:p>
      <w:pPr>
        <w:pStyle w:val="ListParagraph"/>
        <w:numPr>
          <w:ilvl w:val="1"/>
          <w:numId w:val="16"/>
        </w:numPr>
        <w:tabs>
          <w:tab w:pos="2380" w:val="left" w:leader="none"/>
          <w:tab w:pos="2381" w:val="left" w:leader="none"/>
        </w:tabs>
        <w:spacing w:line="242" w:lineRule="auto" w:before="124" w:after="0"/>
        <w:ind w:left="2380" w:right="1590" w:hanging="793"/>
        <w:jc w:val="left"/>
        <w:rPr>
          <w:sz w:val="21"/>
        </w:rPr>
      </w:pPr>
      <w:r>
        <w:rPr>
          <w:w w:val="105"/>
          <w:sz w:val="21"/>
        </w:rPr>
        <w:t>Some</w:t>
      </w:r>
      <w:r>
        <w:rPr>
          <w:spacing w:val="-8"/>
          <w:w w:val="105"/>
          <w:sz w:val="21"/>
        </w:rPr>
        <w:t> </w:t>
      </w:r>
      <w:r>
        <w:rPr>
          <w:w w:val="105"/>
          <w:sz w:val="21"/>
        </w:rPr>
        <w:t>community</w:t>
      </w:r>
      <w:r>
        <w:rPr>
          <w:spacing w:val="-8"/>
          <w:w w:val="105"/>
          <w:sz w:val="21"/>
        </w:rPr>
        <w:t> </w:t>
      </w:r>
      <w:r>
        <w:rPr>
          <w:w w:val="105"/>
          <w:sz w:val="21"/>
        </w:rPr>
        <w:t>members</w:t>
      </w:r>
      <w:r>
        <w:rPr>
          <w:spacing w:val="-8"/>
          <w:w w:val="105"/>
          <w:sz w:val="21"/>
        </w:rPr>
        <w:t> </w:t>
      </w:r>
      <w:r>
        <w:rPr>
          <w:w w:val="105"/>
          <w:sz w:val="21"/>
        </w:rPr>
        <w:t>stated</w:t>
      </w:r>
      <w:r>
        <w:rPr>
          <w:spacing w:val="-8"/>
          <w:w w:val="105"/>
          <w:sz w:val="21"/>
        </w:rPr>
        <w:t> </w:t>
      </w:r>
      <w:r>
        <w:rPr>
          <w:spacing w:val="-3"/>
          <w:w w:val="105"/>
          <w:sz w:val="21"/>
        </w:rPr>
        <w:t>that</w:t>
      </w:r>
      <w:r>
        <w:rPr>
          <w:spacing w:val="-8"/>
          <w:w w:val="105"/>
          <w:sz w:val="21"/>
        </w:rPr>
        <w:t> </w:t>
      </w:r>
      <w:r>
        <w:rPr>
          <w:spacing w:val="-3"/>
          <w:w w:val="105"/>
          <w:sz w:val="21"/>
        </w:rPr>
        <w:t>noxious</w:t>
      </w:r>
      <w:r>
        <w:rPr>
          <w:spacing w:val="-8"/>
          <w:w w:val="105"/>
          <w:sz w:val="21"/>
        </w:rPr>
        <w:t> </w:t>
      </w:r>
      <w:r>
        <w:rPr>
          <w:w w:val="105"/>
          <w:sz w:val="21"/>
        </w:rPr>
        <w:t>weeds</w:t>
      </w:r>
      <w:r>
        <w:rPr>
          <w:spacing w:val="-7"/>
          <w:w w:val="105"/>
          <w:sz w:val="21"/>
        </w:rPr>
        <w:t> </w:t>
      </w:r>
      <w:r>
        <w:rPr>
          <w:w w:val="105"/>
          <w:sz w:val="21"/>
        </w:rPr>
        <w:t>should</w:t>
      </w:r>
      <w:r>
        <w:rPr>
          <w:spacing w:val="-8"/>
          <w:w w:val="105"/>
          <w:sz w:val="21"/>
        </w:rPr>
        <w:t> </w:t>
      </w:r>
      <w:r>
        <w:rPr>
          <w:w w:val="105"/>
          <w:sz w:val="21"/>
        </w:rPr>
        <w:t>be</w:t>
      </w:r>
      <w:r>
        <w:rPr>
          <w:spacing w:val="-8"/>
          <w:w w:val="105"/>
          <w:sz w:val="21"/>
        </w:rPr>
        <w:t> </w:t>
      </w:r>
      <w:r>
        <w:rPr>
          <w:spacing w:val="-3"/>
          <w:w w:val="105"/>
          <w:sz w:val="21"/>
        </w:rPr>
        <w:t>excluded</w:t>
      </w:r>
      <w:r>
        <w:rPr>
          <w:spacing w:val="-8"/>
          <w:w w:val="105"/>
          <w:sz w:val="21"/>
        </w:rPr>
        <w:t> </w:t>
      </w:r>
      <w:r>
        <w:rPr>
          <w:spacing w:val="-3"/>
          <w:w w:val="105"/>
          <w:sz w:val="21"/>
        </w:rPr>
        <w:t>from</w:t>
      </w:r>
      <w:r>
        <w:rPr>
          <w:spacing w:val="-8"/>
          <w:w w:val="105"/>
          <w:sz w:val="21"/>
        </w:rPr>
        <w:t> </w:t>
      </w:r>
      <w:r>
        <w:rPr>
          <w:w w:val="105"/>
          <w:sz w:val="21"/>
        </w:rPr>
        <w:t>the</w:t>
      </w:r>
      <w:r>
        <w:rPr>
          <w:spacing w:val="-8"/>
          <w:w w:val="105"/>
          <w:sz w:val="21"/>
        </w:rPr>
        <w:t> </w:t>
      </w:r>
      <w:r>
        <w:rPr>
          <w:w w:val="105"/>
          <w:sz w:val="21"/>
        </w:rPr>
        <w:t>ambit of a new Act.</w:t>
      </w:r>
      <w:r>
        <w:rPr>
          <w:w w:val="105"/>
          <w:position w:val="7"/>
          <w:sz w:val="12"/>
        </w:rPr>
        <w:t>33 </w:t>
      </w:r>
      <w:r>
        <w:rPr>
          <w:spacing w:val="-4"/>
          <w:w w:val="105"/>
          <w:sz w:val="21"/>
        </w:rPr>
        <w:t>However, </w:t>
      </w:r>
      <w:r>
        <w:rPr>
          <w:w w:val="105"/>
          <w:sz w:val="21"/>
        </w:rPr>
        <w:t>most community members believed </w:t>
      </w:r>
      <w:r>
        <w:rPr>
          <w:spacing w:val="-3"/>
          <w:w w:val="105"/>
          <w:sz w:val="21"/>
        </w:rPr>
        <w:t>that </w:t>
      </w:r>
      <w:r>
        <w:rPr>
          <w:w w:val="105"/>
          <w:sz w:val="21"/>
        </w:rPr>
        <w:t>the new Act should </w:t>
      </w:r>
      <w:r>
        <w:rPr>
          <w:spacing w:val="-2"/>
          <w:w w:val="105"/>
          <w:sz w:val="21"/>
        </w:rPr>
        <w:t>not </w:t>
      </w:r>
      <w:r>
        <w:rPr>
          <w:spacing w:val="-3"/>
          <w:w w:val="105"/>
          <w:sz w:val="21"/>
        </w:rPr>
        <w:t>discriminate </w:t>
      </w:r>
      <w:r>
        <w:rPr>
          <w:w w:val="105"/>
          <w:sz w:val="21"/>
        </w:rPr>
        <w:t>between species and should </w:t>
      </w:r>
      <w:r>
        <w:rPr>
          <w:spacing w:val="-3"/>
          <w:w w:val="105"/>
          <w:sz w:val="21"/>
        </w:rPr>
        <w:t>include any </w:t>
      </w:r>
      <w:r>
        <w:rPr>
          <w:w w:val="105"/>
          <w:sz w:val="21"/>
        </w:rPr>
        <w:t>type of vegetation, </w:t>
      </w:r>
      <w:r>
        <w:rPr>
          <w:spacing w:val="-3"/>
          <w:w w:val="105"/>
          <w:sz w:val="21"/>
        </w:rPr>
        <w:t>including </w:t>
      </w:r>
      <w:r>
        <w:rPr>
          <w:w w:val="105"/>
          <w:sz w:val="21"/>
        </w:rPr>
        <w:t>those classified as a weed.</w:t>
      </w:r>
      <w:r>
        <w:rPr>
          <w:w w:val="105"/>
          <w:position w:val="7"/>
          <w:sz w:val="12"/>
        </w:rPr>
        <w:t>34 </w:t>
      </w:r>
      <w:r>
        <w:rPr>
          <w:w w:val="105"/>
          <w:sz w:val="21"/>
        </w:rPr>
        <w:t>One person stated </w:t>
      </w:r>
      <w:r>
        <w:rPr>
          <w:spacing w:val="-3"/>
          <w:w w:val="105"/>
          <w:sz w:val="21"/>
        </w:rPr>
        <w:t>that </w:t>
      </w:r>
      <w:r>
        <w:rPr>
          <w:w w:val="105"/>
          <w:sz w:val="21"/>
        </w:rPr>
        <w:t>vegetation </w:t>
      </w:r>
      <w:r>
        <w:rPr>
          <w:spacing w:val="-3"/>
          <w:w w:val="105"/>
          <w:sz w:val="21"/>
        </w:rPr>
        <w:t>that forms </w:t>
      </w:r>
      <w:r>
        <w:rPr>
          <w:w w:val="105"/>
          <w:sz w:val="21"/>
        </w:rPr>
        <w:t>part of </w:t>
      </w:r>
      <w:r>
        <w:rPr>
          <w:spacing w:val="-3"/>
          <w:w w:val="105"/>
          <w:sz w:val="21"/>
        </w:rPr>
        <w:t>‘farm </w:t>
      </w:r>
      <w:r>
        <w:rPr>
          <w:w w:val="105"/>
          <w:sz w:val="21"/>
        </w:rPr>
        <w:t>forestry’ should also be</w:t>
      </w:r>
      <w:r>
        <w:rPr>
          <w:spacing w:val="19"/>
          <w:w w:val="105"/>
          <w:sz w:val="21"/>
        </w:rPr>
        <w:t> </w:t>
      </w:r>
      <w:r>
        <w:rPr>
          <w:spacing w:val="-3"/>
          <w:w w:val="105"/>
          <w:sz w:val="21"/>
        </w:rPr>
        <w:t>excluded.</w:t>
      </w:r>
      <w:r>
        <w:rPr>
          <w:spacing w:val="-3"/>
          <w:w w:val="105"/>
          <w:position w:val="7"/>
          <w:sz w:val="12"/>
        </w:rPr>
        <w:t>35</w:t>
      </w:r>
    </w:p>
    <w:p>
      <w:pPr>
        <w:pStyle w:val="Heading7"/>
        <w:spacing w:before="156"/>
      </w:pPr>
      <w:r>
        <w:rPr>
          <w:color w:val="58595B"/>
          <w:w w:val="115"/>
        </w:rPr>
        <w:t>Vegetation that is known to cause disputes</w:t>
      </w:r>
    </w:p>
    <w:p>
      <w:pPr>
        <w:pStyle w:val="ListParagraph"/>
        <w:numPr>
          <w:ilvl w:val="1"/>
          <w:numId w:val="16"/>
        </w:numPr>
        <w:tabs>
          <w:tab w:pos="2380" w:val="left" w:leader="none"/>
          <w:tab w:pos="2381" w:val="left" w:leader="none"/>
        </w:tabs>
        <w:spacing w:line="242" w:lineRule="auto" w:before="143" w:after="0"/>
        <w:ind w:left="2381" w:right="1779" w:hanging="794"/>
        <w:jc w:val="left"/>
        <w:rPr>
          <w:sz w:val="21"/>
        </w:rPr>
      </w:pPr>
      <w:r>
        <w:rPr>
          <w:spacing w:val="-3"/>
          <w:w w:val="105"/>
          <w:sz w:val="21"/>
        </w:rPr>
        <w:t>Many</w:t>
      </w:r>
      <w:r>
        <w:rPr>
          <w:spacing w:val="-12"/>
          <w:w w:val="105"/>
          <w:sz w:val="21"/>
        </w:rPr>
        <w:t> </w:t>
      </w:r>
      <w:r>
        <w:rPr>
          <w:w w:val="105"/>
          <w:sz w:val="21"/>
        </w:rPr>
        <w:t>cautioned</w:t>
      </w:r>
      <w:r>
        <w:rPr>
          <w:spacing w:val="-11"/>
          <w:w w:val="105"/>
          <w:sz w:val="21"/>
        </w:rPr>
        <w:t> </w:t>
      </w:r>
      <w:r>
        <w:rPr>
          <w:spacing w:val="-3"/>
          <w:w w:val="105"/>
          <w:sz w:val="21"/>
        </w:rPr>
        <w:t>that</w:t>
      </w:r>
      <w:r>
        <w:rPr>
          <w:spacing w:val="-11"/>
          <w:w w:val="105"/>
          <w:sz w:val="21"/>
        </w:rPr>
        <w:t> </w:t>
      </w:r>
      <w:r>
        <w:rPr>
          <w:spacing w:val="-2"/>
          <w:w w:val="105"/>
          <w:sz w:val="21"/>
        </w:rPr>
        <w:t>commonly</w:t>
      </w:r>
      <w:r>
        <w:rPr>
          <w:spacing w:val="-11"/>
          <w:w w:val="105"/>
          <w:sz w:val="21"/>
        </w:rPr>
        <w:t> </w:t>
      </w:r>
      <w:r>
        <w:rPr>
          <w:w w:val="105"/>
          <w:sz w:val="21"/>
        </w:rPr>
        <w:t>recognised</w:t>
      </w:r>
      <w:r>
        <w:rPr>
          <w:spacing w:val="-12"/>
          <w:w w:val="105"/>
          <w:sz w:val="21"/>
        </w:rPr>
        <w:t> </w:t>
      </w:r>
      <w:r>
        <w:rPr>
          <w:w w:val="105"/>
          <w:sz w:val="21"/>
        </w:rPr>
        <w:t>definitions</w:t>
      </w:r>
      <w:r>
        <w:rPr>
          <w:spacing w:val="-11"/>
          <w:w w:val="105"/>
          <w:sz w:val="21"/>
        </w:rPr>
        <w:t> </w:t>
      </w:r>
      <w:r>
        <w:rPr>
          <w:w w:val="105"/>
          <w:sz w:val="21"/>
        </w:rPr>
        <w:t>of</w:t>
      </w:r>
      <w:r>
        <w:rPr>
          <w:spacing w:val="-11"/>
          <w:w w:val="105"/>
          <w:sz w:val="21"/>
        </w:rPr>
        <w:t> </w:t>
      </w:r>
      <w:r>
        <w:rPr>
          <w:w w:val="105"/>
          <w:sz w:val="21"/>
        </w:rPr>
        <w:t>‘tree’</w:t>
      </w:r>
      <w:r>
        <w:rPr>
          <w:spacing w:val="-11"/>
          <w:w w:val="105"/>
          <w:sz w:val="21"/>
        </w:rPr>
        <w:t> </w:t>
      </w:r>
      <w:r>
        <w:rPr>
          <w:spacing w:val="-3"/>
          <w:w w:val="105"/>
          <w:sz w:val="21"/>
        </w:rPr>
        <w:t>may</w:t>
      </w:r>
      <w:r>
        <w:rPr>
          <w:spacing w:val="-11"/>
          <w:w w:val="105"/>
          <w:sz w:val="21"/>
        </w:rPr>
        <w:t> </w:t>
      </w:r>
      <w:r>
        <w:rPr>
          <w:spacing w:val="-3"/>
          <w:w w:val="105"/>
          <w:sz w:val="21"/>
        </w:rPr>
        <w:t>exclude</w:t>
      </w:r>
      <w:r>
        <w:rPr>
          <w:spacing w:val="-12"/>
          <w:w w:val="105"/>
          <w:sz w:val="21"/>
        </w:rPr>
        <w:t> </w:t>
      </w:r>
      <w:r>
        <w:rPr>
          <w:w w:val="105"/>
          <w:sz w:val="21"/>
        </w:rPr>
        <w:t>other</w:t>
      </w:r>
      <w:r>
        <w:rPr>
          <w:spacing w:val="-11"/>
          <w:w w:val="105"/>
          <w:sz w:val="21"/>
        </w:rPr>
        <w:t> </w:t>
      </w:r>
      <w:r>
        <w:rPr>
          <w:w w:val="105"/>
          <w:sz w:val="21"/>
        </w:rPr>
        <w:t>types of vegetation known </w:t>
      </w:r>
      <w:r>
        <w:rPr>
          <w:spacing w:val="-3"/>
          <w:w w:val="105"/>
          <w:sz w:val="21"/>
        </w:rPr>
        <w:t>to </w:t>
      </w:r>
      <w:r>
        <w:rPr>
          <w:w w:val="105"/>
          <w:sz w:val="21"/>
        </w:rPr>
        <w:t>cause tree</w:t>
      </w:r>
      <w:r>
        <w:rPr>
          <w:spacing w:val="28"/>
          <w:w w:val="105"/>
          <w:sz w:val="21"/>
        </w:rPr>
        <w:t> </w:t>
      </w:r>
      <w:r>
        <w:rPr>
          <w:w w:val="105"/>
          <w:sz w:val="21"/>
        </w:rPr>
        <w:t>disputes.</w:t>
      </w:r>
      <w:r>
        <w:rPr>
          <w:w w:val="105"/>
          <w:position w:val="7"/>
          <w:sz w:val="12"/>
        </w:rPr>
        <w:t>36</w:t>
      </w:r>
    </w:p>
    <w:p>
      <w:pPr>
        <w:pStyle w:val="BodyText"/>
        <w:rPr>
          <w:sz w:val="20"/>
        </w:rPr>
      </w:pPr>
    </w:p>
    <w:p>
      <w:pPr>
        <w:pStyle w:val="BodyText"/>
        <w:spacing w:before="5"/>
        <w:rPr>
          <w:sz w:val="11"/>
        </w:rPr>
      </w:pPr>
      <w:r>
        <w:rPr/>
        <w:pict>
          <v:line style="position:absolute;mso-position-horizontal-relative:page;mso-position-vertical-relative:paragraph;z-index:3176;mso-wrap-distance-left:0;mso-wrap-distance-right:0" from="79.370102pt,9.421826pt" to="515.905102pt,9.421826pt" stroked="true" strokeweight="1pt" strokecolor="#c9d2cb">
            <v:stroke dashstyle="solid"/>
            <w10:wrap type="topAndBottom"/>
          </v:line>
        </w:pict>
      </w:r>
    </w:p>
    <w:p>
      <w:pPr>
        <w:pStyle w:val="ListParagraph"/>
        <w:numPr>
          <w:ilvl w:val="0"/>
          <w:numId w:val="47"/>
        </w:numPr>
        <w:tabs>
          <w:tab w:pos="2380" w:val="left" w:leader="none"/>
          <w:tab w:pos="2382" w:val="left" w:leader="none"/>
        </w:tabs>
        <w:spacing w:line="240" w:lineRule="auto" w:before="117" w:after="0"/>
        <w:ind w:left="2381" w:right="0" w:hanging="794"/>
        <w:jc w:val="left"/>
        <w:rPr>
          <w:sz w:val="13"/>
        </w:rPr>
      </w:pPr>
      <w:r>
        <w:rPr>
          <w:i/>
          <w:w w:val="105"/>
          <w:sz w:val="13"/>
        </w:rPr>
        <w:t>Neighbourhood Disputes About Plants Act </w:t>
      </w:r>
      <w:r>
        <w:rPr>
          <w:i/>
          <w:spacing w:val="-4"/>
          <w:w w:val="105"/>
          <w:sz w:val="13"/>
        </w:rPr>
        <w:t>2017 </w:t>
      </w:r>
      <w:r>
        <w:rPr>
          <w:w w:val="105"/>
          <w:sz w:val="13"/>
        </w:rPr>
        <w:t>(Tas) s</w:t>
      </w:r>
      <w:r>
        <w:rPr>
          <w:spacing w:val="16"/>
          <w:w w:val="105"/>
          <w:sz w:val="13"/>
        </w:rPr>
        <w:t> </w:t>
      </w:r>
      <w:r>
        <w:rPr>
          <w:w w:val="105"/>
          <w:sz w:val="13"/>
        </w:rPr>
        <w:t>4(1).</w:t>
      </w:r>
    </w:p>
    <w:p>
      <w:pPr>
        <w:pStyle w:val="ListParagraph"/>
        <w:numPr>
          <w:ilvl w:val="0"/>
          <w:numId w:val="47"/>
        </w:numPr>
        <w:tabs>
          <w:tab w:pos="2380"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pacing w:val="3"/>
          <w:sz w:val="13"/>
        </w:rPr>
        <w:t>4(2).</w:t>
      </w:r>
    </w:p>
    <w:p>
      <w:pPr>
        <w:pStyle w:val="ListParagraph"/>
        <w:numPr>
          <w:ilvl w:val="0"/>
          <w:numId w:val="47"/>
        </w:numPr>
        <w:tabs>
          <w:tab w:pos="2380" w:val="left" w:leader="none"/>
          <w:tab w:pos="2382" w:val="left" w:leader="none"/>
        </w:tabs>
        <w:spacing w:line="240" w:lineRule="auto" w:before="2" w:after="0"/>
        <w:ind w:left="2381" w:right="0" w:hanging="794"/>
        <w:jc w:val="left"/>
        <w:rPr>
          <w:sz w:val="13"/>
        </w:rPr>
      </w:pPr>
      <w:r>
        <w:rPr>
          <w:w w:val="105"/>
          <w:sz w:val="13"/>
        </w:rPr>
        <w:t>Submission</w:t>
      </w:r>
      <w:r>
        <w:rPr>
          <w:spacing w:val="4"/>
          <w:w w:val="105"/>
          <w:sz w:val="13"/>
        </w:rPr>
        <w:t> </w:t>
      </w:r>
      <w:r>
        <w:rPr>
          <w:w w:val="105"/>
          <w:sz w:val="13"/>
        </w:rPr>
        <w:t>20</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Consultation</w:t>
      </w:r>
      <w:r>
        <w:rPr>
          <w:spacing w:val="5"/>
          <w:w w:val="105"/>
          <w:sz w:val="13"/>
        </w:rPr>
        <w:t> </w:t>
      </w:r>
      <w:r>
        <w:rPr>
          <w:w w:val="105"/>
          <w:sz w:val="13"/>
        </w:rPr>
        <w:t>10</w:t>
      </w:r>
      <w:r>
        <w:rPr>
          <w:spacing w:val="5"/>
          <w:w w:val="105"/>
          <w:sz w:val="13"/>
        </w:rPr>
        <w:t> </w:t>
      </w:r>
      <w:r>
        <w:rPr>
          <w:spacing w:val="2"/>
          <w:w w:val="105"/>
          <w:sz w:val="13"/>
        </w:rPr>
        <w:t>(Baw</w:t>
      </w:r>
      <w:r>
        <w:rPr>
          <w:spacing w:val="5"/>
          <w:w w:val="105"/>
          <w:sz w:val="13"/>
        </w:rPr>
        <w:t> </w:t>
      </w:r>
      <w:r>
        <w:rPr>
          <w:w w:val="105"/>
          <w:sz w:val="13"/>
        </w:rPr>
        <w:t>Baw</w:t>
      </w:r>
      <w:r>
        <w:rPr>
          <w:spacing w:val="5"/>
          <w:w w:val="105"/>
          <w:sz w:val="13"/>
        </w:rPr>
        <w:t> </w:t>
      </w:r>
      <w:r>
        <w:rPr>
          <w:w w:val="105"/>
          <w:sz w:val="13"/>
        </w:rPr>
        <w:t>Shire</w:t>
      </w:r>
      <w:r>
        <w:rPr>
          <w:spacing w:val="5"/>
          <w:w w:val="105"/>
          <w:sz w:val="13"/>
        </w:rPr>
        <w:t> </w:t>
      </w:r>
      <w:r>
        <w:rPr>
          <w:w w:val="105"/>
          <w:sz w:val="13"/>
        </w:rPr>
        <w:t>Council);</w:t>
      </w:r>
      <w:r>
        <w:rPr>
          <w:spacing w:val="5"/>
          <w:w w:val="105"/>
          <w:sz w:val="13"/>
        </w:rPr>
        <w:t> </w:t>
      </w:r>
      <w:r>
        <w:rPr>
          <w:w w:val="105"/>
          <w:sz w:val="13"/>
        </w:rPr>
        <w:t>Submission</w:t>
      </w:r>
      <w:r>
        <w:rPr>
          <w:spacing w:val="5"/>
          <w:w w:val="105"/>
          <w:sz w:val="13"/>
        </w:rPr>
        <w:t> </w:t>
      </w:r>
      <w:r>
        <w:rPr>
          <w:w w:val="105"/>
          <w:sz w:val="13"/>
        </w:rPr>
        <w:t>20</w:t>
      </w:r>
      <w:r>
        <w:rPr>
          <w:spacing w:val="5"/>
          <w:w w:val="105"/>
          <w:sz w:val="13"/>
        </w:rPr>
        <w:t> </w:t>
      </w:r>
      <w:r>
        <w:rPr>
          <w:spacing w:val="2"/>
          <w:w w:val="105"/>
          <w:sz w:val="13"/>
        </w:rPr>
        <w:t>(Name</w:t>
      </w:r>
      <w:r>
        <w:rPr>
          <w:spacing w:val="5"/>
          <w:w w:val="105"/>
          <w:sz w:val="13"/>
        </w:rPr>
        <w:t> </w:t>
      </w:r>
      <w:r>
        <w:rPr>
          <w:w w:val="105"/>
          <w:sz w:val="13"/>
        </w:rPr>
        <w:t>withheld).</w:t>
      </w:r>
    </w:p>
    <w:p>
      <w:pPr>
        <w:pStyle w:val="ListParagraph"/>
        <w:numPr>
          <w:ilvl w:val="0"/>
          <w:numId w:val="47"/>
        </w:numPr>
        <w:tabs>
          <w:tab w:pos="2381" w:val="left" w:leader="none"/>
          <w:tab w:pos="2382" w:val="left" w:leader="none"/>
        </w:tabs>
        <w:spacing w:line="240" w:lineRule="auto" w:before="1" w:after="0"/>
        <w:ind w:left="2381" w:right="1956" w:hanging="794"/>
        <w:jc w:val="left"/>
        <w:rPr>
          <w:sz w:val="13"/>
        </w:rPr>
      </w:pPr>
      <w:r>
        <w:rPr>
          <w:w w:val="105"/>
          <w:sz w:val="13"/>
        </w:rPr>
        <w:t>Submissions 6 </w:t>
      </w:r>
      <w:r>
        <w:rPr>
          <w:spacing w:val="2"/>
          <w:w w:val="105"/>
          <w:sz w:val="13"/>
        </w:rPr>
        <w:t>(Name </w:t>
      </w:r>
      <w:r>
        <w:rPr>
          <w:w w:val="105"/>
          <w:sz w:val="13"/>
        </w:rPr>
        <w:t>withheld), 7 </w:t>
      </w:r>
      <w:r>
        <w:rPr>
          <w:spacing w:val="2"/>
          <w:w w:val="105"/>
          <w:sz w:val="13"/>
        </w:rPr>
        <w:t>(Ben </w:t>
      </w:r>
      <w:r>
        <w:rPr>
          <w:w w:val="105"/>
          <w:sz w:val="13"/>
        </w:rPr>
        <w:t>Kenyon), 9 </w:t>
      </w:r>
      <w:r>
        <w:rPr>
          <w:spacing w:val="3"/>
          <w:w w:val="105"/>
          <w:sz w:val="13"/>
        </w:rPr>
        <w:t>(Dr </w:t>
      </w:r>
      <w:r>
        <w:rPr>
          <w:w w:val="105"/>
          <w:sz w:val="13"/>
        </w:rPr>
        <w:t>Karen Smith), 21 (Pointon Partners </w:t>
      </w:r>
      <w:r>
        <w:rPr>
          <w:spacing w:val="2"/>
          <w:w w:val="105"/>
          <w:sz w:val="13"/>
        </w:rPr>
        <w:t>Lawyers), </w:t>
      </w:r>
      <w:r>
        <w:rPr>
          <w:w w:val="105"/>
          <w:sz w:val="13"/>
        </w:rPr>
        <w:t>23 </w:t>
      </w:r>
      <w:r>
        <w:rPr>
          <w:spacing w:val="2"/>
          <w:w w:val="105"/>
          <w:sz w:val="13"/>
        </w:rPr>
        <w:t>(Name </w:t>
      </w:r>
      <w:r>
        <w:rPr>
          <w:w w:val="105"/>
          <w:sz w:val="13"/>
        </w:rPr>
        <w:t>withheld), 38 </w:t>
      </w:r>
      <w:r>
        <w:rPr>
          <w:spacing w:val="3"/>
          <w:w w:val="105"/>
          <w:sz w:val="13"/>
        </w:rPr>
        <w:t>(L. </w:t>
      </w:r>
      <w:r>
        <w:rPr>
          <w:spacing w:val="2"/>
          <w:w w:val="105"/>
          <w:sz w:val="13"/>
        </w:rPr>
        <w:t>Barry </w:t>
      </w:r>
      <w:r>
        <w:rPr>
          <w:w w:val="105"/>
          <w:sz w:val="13"/>
        </w:rPr>
        <w:t>Wollmer);</w:t>
      </w:r>
      <w:r>
        <w:rPr>
          <w:spacing w:val="5"/>
          <w:w w:val="105"/>
          <w:sz w:val="13"/>
        </w:rPr>
        <w:t> </w:t>
      </w:r>
      <w:r>
        <w:rPr>
          <w:w w:val="105"/>
          <w:sz w:val="13"/>
        </w:rPr>
        <w:t>Consultations</w:t>
      </w:r>
      <w:r>
        <w:rPr>
          <w:spacing w:val="5"/>
          <w:w w:val="105"/>
          <w:sz w:val="13"/>
        </w:rPr>
        <w:t> </w:t>
      </w:r>
      <w:r>
        <w:rPr>
          <w:w w:val="105"/>
          <w:sz w:val="13"/>
        </w:rPr>
        <w:t>10</w:t>
      </w:r>
      <w:r>
        <w:rPr>
          <w:spacing w:val="6"/>
          <w:w w:val="105"/>
          <w:sz w:val="13"/>
        </w:rPr>
        <w:t> </w:t>
      </w:r>
      <w:r>
        <w:rPr>
          <w:spacing w:val="2"/>
          <w:w w:val="105"/>
          <w:sz w:val="13"/>
        </w:rPr>
        <w:t>(Baw</w:t>
      </w:r>
      <w:r>
        <w:rPr>
          <w:spacing w:val="5"/>
          <w:w w:val="105"/>
          <w:sz w:val="13"/>
        </w:rPr>
        <w:t> </w:t>
      </w:r>
      <w:r>
        <w:rPr>
          <w:w w:val="105"/>
          <w:sz w:val="13"/>
        </w:rPr>
        <w:t>Baw</w:t>
      </w:r>
      <w:r>
        <w:rPr>
          <w:spacing w:val="5"/>
          <w:w w:val="105"/>
          <w:sz w:val="13"/>
        </w:rPr>
        <w:t> </w:t>
      </w:r>
      <w:r>
        <w:rPr>
          <w:w w:val="105"/>
          <w:sz w:val="13"/>
        </w:rPr>
        <w:t>Shire</w:t>
      </w:r>
      <w:r>
        <w:rPr>
          <w:spacing w:val="6"/>
          <w:w w:val="105"/>
          <w:sz w:val="13"/>
        </w:rPr>
        <w:t> </w:t>
      </w:r>
      <w:r>
        <w:rPr>
          <w:w w:val="105"/>
          <w:sz w:val="13"/>
        </w:rPr>
        <w:t>Council),14</w:t>
      </w:r>
      <w:r>
        <w:rPr>
          <w:spacing w:val="5"/>
          <w:w w:val="105"/>
          <w:sz w:val="13"/>
        </w:rPr>
        <w:t> </w:t>
      </w:r>
      <w:r>
        <w:rPr>
          <w:spacing w:val="2"/>
          <w:w w:val="105"/>
          <w:sz w:val="13"/>
        </w:rPr>
        <w:t>(Robert</w:t>
      </w:r>
      <w:r>
        <w:rPr>
          <w:spacing w:val="5"/>
          <w:w w:val="105"/>
          <w:sz w:val="13"/>
        </w:rPr>
        <w:t> </w:t>
      </w:r>
      <w:r>
        <w:rPr>
          <w:spacing w:val="2"/>
          <w:w w:val="105"/>
          <w:sz w:val="13"/>
        </w:rPr>
        <w:t>Mineo),</w:t>
      </w:r>
      <w:r>
        <w:rPr>
          <w:spacing w:val="6"/>
          <w:w w:val="105"/>
          <w:sz w:val="13"/>
        </w:rPr>
        <w:t> </w:t>
      </w:r>
      <w:r>
        <w:rPr>
          <w:w w:val="105"/>
          <w:sz w:val="13"/>
        </w:rPr>
        <w:t>8</w:t>
      </w:r>
      <w:r>
        <w:rPr>
          <w:spacing w:val="5"/>
          <w:w w:val="105"/>
          <w:sz w:val="13"/>
        </w:rPr>
        <w:t> </w:t>
      </w:r>
      <w:r>
        <w:rPr>
          <w:w w:val="105"/>
          <w:sz w:val="13"/>
        </w:rPr>
        <w:t>(City</w:t>
      </w:r>
      <w:r>
        <w:rPr>
          <w:spacing w:val="5"/>
          <w:w w:val="105"/>
          <w:sz w:val="13"/>
        </w:rPr>
        <w:t> </w:t>
      </w:r>
      <w:r>
        <w:rPr>
          <w:w w:val="105"/>
          <w:sz w:val="13"/>
        </w:rPr>
        <w:t>of</w:t>
      </w:r>
      <w:r>
        <w:rPr>
          <w:spacing w:val="6"/>
          <w:w w:val="105"/>
          <w:sz w:val="13"/>
        </w:rPr>
        <w:t> </w:t>
      </w:r>
      <w:r>
        <w:rPr>
          <w:w w:val="105"/>
          <w:sz w:val="13"/>
        </w:rPr>
        <w:t>Boroondara),</w:t>
      </w:r>
      <w:r>
        <w:rPr>
          <w:spacing w:val="5"/>
          <w:w w:val="105"/>
          <w:sz w:val="13"/>
        </w:rPr>
        <w:t> </w:t>
      </w:r>
      <w:r>
        <w:rPr>
          <w:spacing w:val="-4"/>
          <w:w w:val="105"/>
          <w:sz w:val="13"/>
        </w:rPr>
        <w:t>12</w:t>
      </w:r>
      <w:r>
        <w:rPr>
          <w:spacing w:val="5"/>
          <w:w w:val="105"/>
          <w:sz w:val="13"/>
        </w:rPr>
        <w:t> </w:t>
      </w:r>
      <w:r>
        <w:rPr>
          <w:w w:val="105"/>
          <w:sz w:val="13"/>
        </w:rPr>
        <w:t>(City</w:t>
      </w:r>
      <w:r>
        <w:rPr>
          <w:spacing w:val="6"/>
          <w:w w:val="105"/>
          <w:sz w:val="13"/>
        </w:rPr>
        <w:t> </w:t>
      </w:r>
      <w:r>
        <w:rPr>
          <w:w w:val="105"/>
          <w:sz w:val="13"/>
        </w:rPr>
        <w:t>of</w:t>
      </w:r>
      <w:r>
        <w:rPr>
          <w:spacing w:val="5"/>
          <w:w w:val="105"/>
          <w:sz w:val="13"/>
        </w:rPr>
        <w:t> </w:t>
      </w:r>
      <w:r>
        <w:rPr>
          <w:w w:val="105"/>
          <w:sz w:val="13"/>
        </w:rPr>
        <w:t>Port</w:t>
      </w:r>
      <w:r>
        <w:rPr>
          <w:spacing w:val="5"/>
          <w:w w:val="105"/>
          <w:sz w:val="13"/>
        </w:rPr>
        <w:t> </w:t>
      </w:r>
      <w:r>
        <w:rPr>
          <w:w w:val="105"/>
          <w:sz w:val="13"/>
        </w:rPr>
        <w:t>Phillip).</w:t>
      </w:r>
    </w:p>
    <w:p>
      <w:pPr>
        <w:pStyle w:val="ListParagraph"/>
        <w:numPr>
          <w:ilvl w:val="0"/>
          <w:numId w:val="47"/>
        </w:numPr>
        <w:tabs>
          <w:tab w:pos="2381" w:val="left" w:leader="none"/>
          <w:tab w:pos="2382" w:val="left" w:leader="none"/>
        </w:tabs>
        <w:spacing w:line="240" w:lineRule="auto" w:before="3" w:after="0"/>
        <w:ind w:left="2381" w:right="0" w:hanging="794"/>
        <w:jc w:val="left"/>
        <w:rPr>
          <w:sz w:val="13"/>
        </w:rPr>
      </w:pPr>
      <w:r>
        <w:rPr>
          <w:w w:val="105"/>
          <w:sz w:val="13"/>
        </w:rPr>
        <w:t>Consultation </w:t>
      </w:r>
      <w:r>
        <w:rPr>
          <w:spacing w:val="-3"/>
          <w:w w:val="105"/>
          <w:sz w:val="13"/>
        </w:rPr>
        <w:t>14 </w:t>
      </w:r>
      <w:r>
        <w:rPr>
          <w:spacing w:val="2"/>
          <w:w w:val="105"/>
          <w:sz w:val="13"/>
        </w:rPr>
        <w:t>(Robert</w:t>
      </w:r>
      <w:r>
        <w:rPr>
          <w:spacing w:val="16"/>
          <w:w w:val="105"/>
          <w:sz w:val="13"/>
        </w:rPr>
        <w:t> </w:t>
      </w:r>
      <w:r>
        <w:rPr>
          <w:spacing w:val="2"/>
          <w:w w:val="105"/>
          <w:sz w:val="13"/>
        </w:rPr>
        <w:t>Mineo).</w:t>
      </w:r>
    </w:p>
    <w:p>
      <w:pPr>
        <w:pStyle w:val="ListParagraph"/>
        <w:numPr>
          <w:ilvl w:val="0"/>
          <w:numId w:val="47"/>
        </w:numPr>
        <w:tabs>
          <w:tab w:pos="2381" w:val="left" w:leader="none"/>
          <w:tab w:pos="2382" w:val="left" w:leader="none"/>
        </w:tabs>
        <w:spacing w:line="240" w:lineRule="auto" w:before="1" w:after="0"/>
        <w:ind w:left="2381" w:right="1651" w:hanging="794"/>
        <w:jc w:val="left"/>
        <w:rPr>
          <w:sz w:val="13"/>
        </w:rPr>
      </w:pPr>
      <w:r>
        <w:rPr>
          <w:w w:val="105"/>
          <w:sz w:val="13"/>
        </w:rPr>
        <w:t>Submission 9 </w:t>
      </w:r>
      <w:r>
        <w:rPr>
          <w:spacing w:val="3"/>
          <w:w w:val="105"/>
          <w:sz w:val="13"/>
        </w:rPr>
        <w:t>(Dr </w:t>
      </w:r>
      <w:r>
        <w:rPr>
          <w:w w:val="105"/>
          <w:sz w:val="13"/>
        </w:rPr>
        <w:t>Karen Smith). This Australian Standard defines a tree as a ‘Long lived woody perennial plant greater than </w:t>
      </w:r>
      <w:r>
        <w:rPr>
          <w:spacing w:val="2"/>
          <w:w w:val="105"/>
          <w:sz w:val="13"/>
        </w:rPr>
        <w:t>(or </w:t>
      </w:r>
      <w:r>
        <w:rPr>
          <w:w w:val="105"/>
          <w:sz w:val="13"/>
        </w:rPr>
        <w:t>usually    greater than) 3 m in height with one or relatively few main stems or trunks’: Standards Australia, </w:t>
      </w:r>
      <w:r>
        <w:rPr>
          <w:i/>
          <w:w w:val="105"/>
          <w:sz w:val="13"/>
        </w:rPr>
        <w:t>Pruning of Amenity Trees </w:t>
      </w:r>
      <w:r>
        <w:rPr>
          <w:spacing w:val="2"/>
          <w:w w:val="105"/>
          <w:sz w:val="13"/>
        </w:rPr>
        <w:t>(AS </w:t>
      </w:r>
      <w:r>
        <w:rPr>
          <w:w w:val="105"/>
          <w:sz w:val="13"/>
        </w:rPr>
        <w:t>4373-2007) (Sydney, NSW: Standards Australia, 2007)</w:t>
      </w:r>
      <w:r>
        <w:rPr>
          <w:spacing w:val="23"/>
          <w:w w:val="105"/>
          <w:sz w:val="13"/>
        </w:rPr>
        <w:t> </w:t>
      </w:r>
      <w:r>
        <w:rPr>
          <w:w w:val="105"/>
          <w:sz w:val="13"/>
        </w:rPr>
        <w:t>[3.45].</w:t>
      </w:r>
    </w:p>
    <w:p>
      <w:pPr>
        <w:pStyle w:val="ListParagraph"/>
        <w:numPr>
          <w:ilvl w:val="0"/>
          <w:numId w:val="47"/>
        </w:numPr>
        <w:tabs>
          <w:tab w:pos="2381" w:val="left" w:leader="none"/>
          <w:tab w:pos="2382" w:val="left" w:leader="none"/>
        </w:tabs>
        <w:spacing w:line="240" w:lineRule="auto" w:before="4" w:after="0"/>
        <w:ind w:left="2381" w:right="0" w:hanging="794"/>
        <w:jc w:val="left"/>
        <w:rPr>
          <w:i/>
          <w:sz w:val="13"/>
        </w:rPr>
      </w:pPr>
      <w:r>
        <w:rPr>
          <w:w w:val="105"/>
          <w:sz w:val="13"/>
        </w:rPr>
        <w:t>Submission</w:t>
      </w:r>
      <w:r>
        <w:rPr>
          <w:spacing w:val="5"/>
          <w:w w:val="105"/>
          <w:sz w:val="13"/>
        </w:rPr>
        <w:t> </w:t>
      </w:r>
      <w:r>
        <w:rPr>
          <w:spacing w:val="-4"/>
          <w:w w:val="105"/>
          <w:sz w:val="13"/>
        </w:rPr>
        <w:t>12</w:t>
      </w:r>
      <w:r>
        <w:rPr>
          <w:spacing w:val="6"/>
          <w:w w:val="105"/>
          <w:sz w:val="13"/>
        </w:rPr>
        <w:t> </w:t>
      </w:r>
      <w:r>
        <w:rPr>
          <w:spacing w:val="3"/>
          <w:w w:val="105"/>
          <w:sz w:val="13"/>
        </w:rPr>
        <w:t>(Dr</w:t>
      </w:r>
      <w:r>
        <w:rPr>
          <w:spacing w:val="5"/>
          <w:w w:val="105"/>
          <w:sz w:val="13"/>
        </w:rPr>
        <w:t> </w:t>
      </w:r>
      <w:r>
        <w:rPr>
          <w:w w:val="105"/>
          <w:sz w:val="13"/>
        </w:rPr>
        <w:t>Gregory</w:t>
      </w:r>
      <w:r>
        <w:rPr>
          <w:spacing w:val="6"/>
          <w:w w:val="105"/>
          <w:sz w:val="13"/>
        </w:rPr>
        <w:t> </w:t>
      </w:r>
      <w:r>
        <w:rPr>
          <w:w w:val="105"/>
          <w:sz w:val="13"/>
        </w:rPr>
        <w:t>Moore</w:t>
      </w:r>
      <w:r>
        <w:rPr>
          <w:spacing w:val="5"/>
          <w:w w:val="105"/>
          <w:sz w:val="13"/>
        </w:rPr>
        <w:t> </w:t>
      </w:r>
      <w:r>
        <w:rPr>
          <w:spacing w:val="2"/>
          <w:w w:val="105"/>
          <w:sz w:val="13"/>
        </w:rPr>
        <w:t>OAM);</w:t>
      </w:r>
      <w:r>
        <w:rPr>
          <w:spacing w:val="6"/>
          <w:w w:val="105"/>
          <w:sz w:val="13"/>
        </w:rPr>
        <w:t> </w:t>
      </w:r>
      <w:r>
        <w:rPr>
          <w:w w:val="105"/>
          <w:sz w:val="13"/>
        </w:rPr>
        <w:t>See</w:t>
      </w:r>
      <w:r>
        <w:rPr>
          <w:spacing w:val="6"/>
          <w:w w:val="105"/>
          <w:sz w:val="13"/>
        </w:rPr>
        <w:t> </w:t>
      </w:r>
      <w:r>
        <w:rPr>
          <w:w w:val="105"/>
          <w:sz w:val="13"/>
        </w:rPr>
        <w:t>Richard</w:t>
      </w:r>
      <w:r>
        <w:rPr>
          <w:spacing w:val="5"/>
          <w:w w:val="105"/>
          <w:sz w:val="13"/>
        </w:rPr>
        <w:t> </w:t>
      </w:r>
      <w:r>
        <w:rPr>
          <w:w w:val="105"/>
          <w:sz w:val="13"/>
        </w:rPr>
        <w:t>Aitken</w:t>
      </w:r>
      <w:r>
        <w:rPr>
          <w:spacing w:val="6"/>
          <w:w w:val="105"/>
          <w:sz w:val="13"/>
        </w:rPr>
        <w:t> </w:t>
      </w:r>
      <w:r>
        <w:rPr>
          <w:w w:val="105"/>
          <w:sz w:val="13"/>
        </w:rPr>
        <w:t>and</w:t>
      </w:r>
      <w:r>
        <w:rPr>
          <w:spacing w:val="5"/>
          <w:w w:val="105"/>
          <w:sz w:val="13"/>
        </w:rPr>
        <w:t> </w:t>
      </w:r>
      <w:r>
        <w:rPr>
          <w:w w:val="105"/>
          <w:sz w:val="13"/>
        </w:rPr>
        <w:t>Michael</w:t>
      </w:r>
      <w:r>
        <w:rPr>
          <w:spacing w:val="6"/>
          <w:w w:val="105"/>
          <w:sz w:val="13"/>
        </w:rPr>
        <w:t> </w:t>
      </w:r>
      <w:r>
        <w:rPr>
          <w:w w:val="105"/>
          <w:sz w:val="13"/>
        </w:rPr>
        <w:t>Looker</w:t>
      </w:r>
      <w:r>
        <w:rPr>
          <w:spacing w:val="5"/>
          <w:w w:val="105"/>
          <w:sz w:val="13"/>
        </w:rPr>
        <w:t> </w:t>
      </w:r>
      <w:r>
        <w:rPr>
          <w:spacing w:val="2"/>
          <w:w w:val="105"/>
          <w:sz w:val="13"/>
        </w:rPr>
        <w:t>(eds),</w:t>
      </w:r>
      <w:r>
        <w:rPr>
          <w:spacing w:val="6"/>
          <w:w w:val="105"/>
          <w:sz w:val="13"/>
        </w:rPr>
        <w:t> </w:t>
      </w:r>
      <w:r>
        <w:rPr>
          <w:i/>
          <w:w w:val="105"/>
          <w:sz w:val="13"/>
        </w:rPr>
        <w:t>The</w:t>
      </w:r>
      <w:r>
        <w:rPr>
          <w:i/>
          <w:spacing w:val="6"/>
          <w:w w:val="105"/>
          <w:sz w:val="13"/>
        </w:rPr>
        <w:t> </w:t>
      </w:r>
      <w:r>
        <w:rPr>
          <w:i/>
          <w:w w:val="105"/>
          <w:sz w:val="13"/>
        </w:rPr>
        <w:t>Oxford</w:t>
      </w:r>
      <w:r>
        <w:rPr>
          <w:i/>
          <w:spacing w:val="5"/>
          <w:w w:val="105"/>
          <w:sz w:val="13"/>
        </w:rPr>
        <w:t> </w:t>
      </w:r>
      <w:r>
        <w:rPr>
          <w:i/>
          <w:w w:val="105"/>
          <w:sz w:val="13"/>
        </w:rPr>
        <w:t>Companion</w:t>
      </w:r>
      <w:r>
        <w:rPr>
          <w:i/>
          <w:spacing w:val="6"/>
          <w:w w:val="105"/>
          <w:sz w:val="13"/>
        </w:rPr>
        <w:t> </w:t>
      </w:r>
      <w:r>
        <w:rPr>
          <w:i/>
          <w:w w:val="105"/>
          <w:sz w:val="13"/>
        </w:rPr>
        <w:t>to</w:t>
      </w:r>
      <w:r>
        <w:rPr>
          <w:i/>
          <w:spacing w:val="5"/>
          <w:w w:val="105"/>
          <w:sz w:val="13"/>
        </w:rPr>
        <w:t> </w:t>
      </w:r>
      <w:r>
        <w:rPr>
          <w:i/>
          <w:w w:val="105"/>
          <w:sz w:val="13"/>
        </w:rPr>
        <w:t>Australian</w:t>
      </w:r>
      <w:r>
        <w:rPr>
          <w:i/>
          <w:spacing w:val="6"/>
          <w:w w:val="105"/>
          <w:sz w:val="13"/>
        </w:rPr>
        <w:t> </w:t>
      </w:r>
      <w:r>
        <w:rPr>
          <w:i/>
          <w:w w:val="105"/>
          <w:sz w:val="13"/>
        </w:rPr>
        <w:t>Gardens</w:t>
      </w:r>
    </w:p>
    <w:p>
      <w:pPr>
        <w:spacing w:before="1"/>
        <w:ind w:left="2381" w:right="0" w:firstLine="0"/>
        <w:jc w:val="left"/>
        <w:rPr>
          <w:sz w:val="13"/>
        </w:rPr>
      </w:pPr>
      <w:r>
        <w:rPr>
          <w:sz w:val="13"/>
        </w:rPr>
        <w:t>(Oxford University Press, 2002) 602.</w:t>
      </w:r>
    </w:p>
    <w:p>
      <w:pPr>
        <w:pStyle w:val="ListParagraph"/>
        <w:numPr>
          <w:ilvl w:val="0"/>
          <w:numId w:val="47"/>
        </w:numPr>
        <w:tabs>
          <w:tab w:pos="2381" w:val="left" w:leader="none"/>
          <w:tab w:pos="2382" w:val="left" w:leader="none"/>
        </w:tabs>
        <w:spacing w:line="240" w:lineRule="auto" w:before="2" w:after="0"/>
        <w:ind w:left="2381" w:right="0" w:hanging="794"/>
        <w:jc w:val="left"/>
        <w:rPr>
          <w:sz w:val="13"/>
        </w:rPr>
      </w:pPr>
      <w:r>
        <w:rPr>
          <w:w w:val="105"/>
          <w:sz w:val="13"/>
        </w:rPr>
        <w:t>Consultation 5 </w:t>
      </w:r>
      <w:r>
        <w:rPr>
          <w:spacing w:val="2"/>
          <w:w w:val="105"/>
          <w:sz w:val="13"/>
        </w:rPr>
        <w:t>(Victorian </w:t>
      </w:r>
      <w:r>
        <w:rPr>
          <w:w w:val="105"/>
          <w:sz w:val="13"/>
        </w:rPr>
        <w:t>Civil and Administrative</w:t>
      </w:r>
      <w:r>
        <w:rPr>
          <w:spacing w:val="25"/>
          <w:w w:val="105"/>
          <w:sz w:val="13"/>
        </w:rPr>
        <w:t> </w:t>
      </w:r>
      <w:r>
        <w:rPr>
          <w:w w:val="105"/>
          <w:sz w:val="13"/>
        </w:rPr>
        <w:t>Tribunal).</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Submission 20 </w:t>
      </w:r>
      <w:r>
        <w:rPr>
          <w:spacing w:val="2"/>
          <w:w w:val="105"/>
          <w:sz w:val="13"/>
        </w:rPr>
        <w:t>(Name</w:t>
      </w:r>
      <w:r>
        <w:rPr>
          <w:spacing w:val="13"/>
          <w:w w:val="105"/>
          <w:sz w:val="13"/>
        </w:rPr>
        <w:t> </w:t>
      </w:r>
      <w:r>
        <w:rPr>
          <w:w w:val="105"/>
          <w:sz w:val="13"/>
        </w:rPr>
        <w:t>withheld).</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Submissions 2 </w:t>
      </w:r>
      <w:r>
        <w:rPr>
          <w:spacing w:val="2"/>
          <w:w w:val="105"/>
          <w:sz w:val="13"/>
        </w:rPr>
        <w:t>(Name </w:t>
      </w:r>
      <w:r>
        <w:rPr>
          <w:w w:val="105"/>
          <w:sz w:val="13"/>
        </w:rPr>
        <w:t>withheld), 5 </w:t>
      </w:r>
      <w:r>
        <w:rPr>
          <w:spacing w:val="2"/>
          <w:w w:val="105"/>
          <w:sz w:val="13"/>
        </w:rPr>
        <w:t>(Name</w:t>
      </w:r>
      <w:r>
        <w:rPr>
          <w:spacing w:val="25"/>
          <w:w w:val="105"/>
          <w:sz w:val="13"/>
        </w:rPr>
        <w:t> </w:t>
      </w:r>
      <w:r>
        <w:rPr>
          <w:w w:val="105"/>
          <w:sz w:val="13"/>
        </w:rPr>
        <w:t>withheld).</w:t>
      </w:r>
    </w:p>
    <w:p>
      <w:pPr>
        <w:pStyle w:val="ListParagraph"/>
        <w:numPr>
          <w:ilvl w:val="0"/>
          <w:numId w:val="47"/>
        </w:numPr>
        <w:tabs>
          <w:tab w:pos="2381" w:val="left" w:leader="none"/>
          <w:tab w:pos="2382" w:val="left" w:leader="none"/>
        </w:tabs>
        <w:spacing w:line="240" w:lineRule="auto" w:before="2" w:after="0"/>
        <w:ind w:left="2381" w:right="0" w:hanging="794"/>
        <w:jc w:val="left"/>
        <w:rPr>
          <w:sz w:val="13"/>
        </w:rPr>
      </w:pPr>
      <w:r>
        <w:rPr>
          <w:w w:val="105"/>
          <w:sz w:val="13"/>
        </w:rPr>
        <w:t>Submission 2 </w:t>
      </w:r>
      <w:r>
        <w:rPr>
          <w:spacing w:val="2"/>
          <w:w w:val="105"/>
          <w:sz w:val="13"/>
        </w:rPr>
        <w:t>(Name</w:t>
      </w:r>
      <w:r>
        <w:rPr>
          <w:spacing w:val="13"/>
          <w:w w:val="105"/>
          <w:sz w:val="13"/>
        </w:rPr>
        <w:t> </w:t>
      </w:r>
      <w:r>
        <w:rPr>
          <w:w w:val="105"/>
          <w:sz w:val="13"/>
        </w:rPr>
        <w:t>withheld).</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Submission 33 (Annette</w:t>
      </w:r>
      <w:r>
        <w:rPr>
          <w:spacing w:val="13"/>
          <w:w w:val="105"/>
          <w:sz w:val="13"/>
        </w:rPr>
        <w:t> </w:t>
      </w:r>
      <w:r>
        <w:rPr>
          <w:spacing w:val="2"/>
          <w:w w:val="105"/>
          <w:sz w:val="13"/>
        </w:rPr>
        <w:t>Neville).</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Submissions 2 </w:t>
      </w:r>
      <w:r>
        <w:rPr>
          <w:spacing w:val="2"/>
          <w:w w:val="105"/>
          <w:sz w:val="13"/>
        </w:rPr>
        <w:t>(Name </w:t>
      </w:r>
      <w:r>
        <w:rPr>
          <w:w w:val="105"/>
          <w:sz w:val="13"/>
        </w:rPr>
        <w:t>withheld), 27 </w:t>
      </w:r>
      <w:r>
        <w:rPr>
          <w:spacing w:val="2"/>
          <w:w w:val="105"/>
          <w:sz w:val="13"/>
        </w:rPr>
        <w:t>(Name</w:t>
      </w:r>
      <w:r>
        <w:rPr>
          <w:spacing w:val="25"/>
          <w:w w:val="105"/>
          <w:sz w:val="13"/>
        </w:rPr>
        <w:t> </w:t>
      </w:r>
      <w:r>
        <w:rPr>
          <w:w w:val="105"/>
          <w:sz w:val="13"/>
        </w:rPr>
        <w:t>withheld).</w:t>
      </w:r>
    </w:p>
    <w:p>
      <w:pPr>
        <w:pStyle w:val="ListParagraph"/>
        <w:numPr>
          <w:ilvl w:val="0"/>
          <w:numId w:val="47"/>
        </w:numPr>
        <w:tabs>
          <w:tab w:pos="2381" w:val="left" w:leader="none"/>
          <w:tab w:pos="2382" w:val="left" w:leader="none"/>
        </w:tabs>
        <w:spacing w:line="240" w:lineRule="auto" w:before="2" w:after="0"/>
        <w:ind w:left="2381" w:right="1833" w:hanging="794"/>
        <w:jc w:val="left"/>
        <w:rPr>
          <w:sz w:val="13"/>
        </w:rPr>
      </w:pPr>
      <w:r>
        <w:rPr>
          <w:w w:val="105"/>
          <w:sz w:val="13"/>
        </w:rPr>
        <w:t>Submissions 6 </w:t>
      </w:r>
      <w:r>
        <w:rPr>
          <w:spacing w:val="2"/>
          <w:w w:val="105"/>
          <w:sz w:val="13"/>
        </w:rPr>
        <w:t>(Name </w:t>
      </w:r>
      <w:r>
        <w:rPr>
          <w:w w:val="105"/>
          <w:sz w:val="13"/>
        </w:rPr>
        <w:t>withheld), 7 </w:t>
      </w:r>
      <w:r>
        <w:rPr>
          <w:spacing w:val="2"/>
          <w:w w:val="105"/>
          <w:sz w:val="13"/>
        </w:rPr>
        <w:t>(Ben </w:t>
      </w:r>
      <w:r>
        <w:rPr>
          <w:w w:val="105"/>
          <w:sz w:val="13"/>
        </w:rPr>
        <w:t>Kenyon), 9 </w:t>
      </w:r>
      <w:r>
        <w:rPr>
          <w:spacing w:val="3"/>
          <w:w w:val="105"/>
          <w:sz w:val="13"/>
        </w:rPr>
        <w:t>(Dr </w:t>
      </w:r>
      <w:r>
        <w:rPr>
          <w:w w:val="105"/>
          <w:sz w:val="13"/>
        </w:rPr>
        <w:t>Karen Smith), 23 </w:t>
      </w:r>
      <w:r>
        <w:rPr>
          <w:spacing w:val="2"/>
          <w:w w:val="105"/>
          <w:sz w:val="13"/>
        </w:rPr>
        <w:t>(Name </w:t>
      </w:r>
      <w:r>
        <w:rPr>
          <w:w w:val="105"/>
          <w:sz w:val="13"/>
        </w:rPr>
        <w:t>withheld), 21 (Pointon Partners </w:t>
      </w:r>
      <w:r>
        <w:rPr>
          <w:spacing w:val="2"/>
          <w:w w:val="105"/>
          <w:sz w:val="13"/>
        </w:rPr>
        <w:t>Lawyers); </w:t>
      </w:r>
      <w:r>
        <w:rPr>
          <w:w w:val="105"/>
          <w:sz w:val="13"/>
        </w:rPr>
        <w:t>Consultations    8</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r>
        <w:rPr>
          <w:spacing w:val="6"/>
          <w:w w:val="105"/>
          <w:sz w:val="13"/>
        </w:rPr>
        <w:t> </w:t>
      </w:r>
      <w:r>
        <w:rPr>
          <w:w w:val="105"/>
          <w:sz w:val="13"/>
        </w:rPr>
        <w:t>10</w:t>
      </w:r>
      <w:r>
        <w:rPr>
          <w:spacing w:val="5"/>
          <w:w w:val="105"/>
          <w:sz w:val="13"/>
        </w:rPr>
        <w:t> </w:t>
      </w:r>
      <w:r>
        <w:rPr>
          <w:spacing w:val="2"/>
          <w:w w:val="105"/>
          <w:sz w:val="13"/>
        </w:rPr>
        <w:t>(Baw</w:t>
      </w:r>
      <w:r>
        <w:rPr>
          <w:spacing w:val="5"/>
          <w:w w:val="105"/>
          <w:sz w:val="13"/>
        </w:rPr>
        <w:t> </w:t>
      </w:r>
      <w:r>
        <w:rPr>
          <w:w w:val="105"/>
          <w:sz w:val="13"/>
        </w:rPr>
        <w:t>Baw</w:t>
      </w:r>
      <w:r>
        <w:rPr>
          <w:spacing w:val="5"/>
          <w:w w:val="105"/>
          <w:sz w:val="13"/>
        </w:rPr>
        <w:t> </w:t>
      </w:r>
      <w:r>
        <w:rPr>
          <w:w w:val="105"/>
          <w:sz w:val="13"/>
        </w:rPr>
        <w:t>Shire</w:t>
      </w:r>
      <w:r>
        <w:rPr>
          <w:spacing w:val="6"/>
          <w:w w:val="105"/>
          <w:sz w:val="13"/>
        </w:rPr>
        <w:t> </w:t>
      </w:r>
      <w:r>
        <w:rPr>
          <w:w w:val="105"/>
          <w:sz w:val="13"/>
        </w:rPr>
        <w:t>Council),</w:t>
      </w:r>
      <w:r>
        <w:rPr>
          <w:spacing w:val="5"/>
          <w:w w:val="105"/>
          <w:sz w:val="13"/>
        </w:rPr>
        <w:t> </w:t>
      </w:r>
      <w:r>
        <w:rPr>
          <w:spacing w:val="-3"/>
          <w:w w:val="105"/>
          <w:sz w:val="13"/>
        </w:rPr>
        <w:t>14</w:t>
      </w:r>
      <w:r>
        <w:rPr>
          <w:spacing w:val="5"/>
          <w:w w:val="105"/>
          <w:sz w:val="13"/>
        </w:rPr>
        <w:t> </w:t>
      </w:r>
      <w:r>
        <w:rPr>
          <w:spacing w:val="2"/>
          <w:w w:val="105"/>
          <w:sz w:val="13"/>
        </w:rPr>
        <w:t>(Robert</w:t>
      </w:r>
      <w:r>
        <w:rPr>
          <w:spacing w:val="6"/>
          <w:w w:val="105"/>
          <w:sz w:val="13"/>
        </w:rPr>
        <w:t> </w:t>
      </w:r>
      <w:r>
        <w:rPr>
          <w:spacing w:val="2"/>
          <w:w w:val="105"/>
          <w:sz w:val="13"/>
        </w:rPr>
        <w:t>Mineo).</w:t>
      </w:r>
      <w:r>
        <w:rPr>
          <w:spacing w:val="5"/>
          <w:w w:val="105"/>
          <w:sz w:val="13"/>
        </w:rPr>
        <w:t> </w:t>
      </w:r>
      <w:r>
        <w:rPr>
          <w:w w:val="105"/>
          <w:sz w:val="13"/>
        </w:rPr>
        <w:t>Noxious</w:t>
      </w:r>
      <w:r>
        <w:rPr>
          <w:spacing w:val="5"/>
          <w:w w:val="105"/>
          <w:sz w:val="13"/>
        </w:rPr>
        <w:t> </w:t>
      </w:r>
      <w:r>
        <w:rPr>
          <w:w w:val="105"/>
          <w:sz w:val="13"/>
        </w:rPr>
        <w:t>weeds</w:t>
      </w:r>
      <w:r>
        <w:rPr>
          <w:spacing w:val="5"/>
          <w:w w:val="105"/>
          <w:sz w:val="13"/>
        </w:rPr>
        <w:t> </w:t>
      </w:r>
      <w:r>
        <w:rPr>
          <w:w w:val="105"/>
          <w:sz w:val="13"/>
        </w:rPr>
        <w:t>are</w:t>
      </w:r>
      <w:r>
        <w:rPr>
          <w:spacing w:val="6"/>
          <w:w w:val="105"/>
          <w:sz w:val="13"/>
        </w:rPr>
        <w:t> </w:t>
      </w:r>
      <w:r>
        <w:rPr>
          <w:w w:val="105"/>
          <w:sz w:val="13"/>
        </w:rPr>
        <w:t>discussed</w:t>
      </w:r>
      <w:r>
        <w:rPr>
          <w:spacing w:val="5"/>
          <w:w w:val="105"/>
          <w:sz w:val="13"/>
        </w:rPr>
        <w:t> </w:t>
      </w:r>
      <w:r>
        <w:rPr>
          <w:w w:val="105"/>
          <w:sz w:val="13"/>
        </w:rPr>
        <w:t>in</w:t>
      </w:r>
      <w:r>
        <w:rPr>
          <w:spacing w:val="5"/>
          <w:w w:val="105"/>
          <w:sz w:val="13"/>
        </w:rPr>
        <w:t> </w:t>
      </w:r>
      <w:r>
        <w:rPr>
          <w:w w:val="105"/>
          <w:sz w:val="13"/>
        </w:rPr>
        <w:t>Ch</w:t>
      </w:r>
      <w:r>
        <w:rPr>
          <w:spacing w:val="6"/>
          <w:w w:val="105"/>
          <w:sz w:val="13"/>
        </w:rPr>
        <w:t> </w:t>
      </w:r>
      <w:r>
        <w:rPr>
          <w:w w:val="105"/>
          <w:sz w:val="13"/>
        </w:rPr>
        <w:t>10.</w:t>
      </w:r>
    </w:p>
    <w:p>
      <w:pPr>
        <w:pStyle w:val="ListParagraph"/>
        <w:numPr>
          <w:ilvl w:val="0"/>
          <w:numId w:val="47"/>
        </w:numPr>
        <w:tabs>
          <w:tab w:pos="2381" w:val="left" w:leader="none"/>
          <w:tab w:pos="2382" w:val="left" w:leader="none"/>
        </w:tabs>
        <w:spacing w:line="240" w:lineRule="auto" w:before="2" w:after="0"/>
        <w:ind w:left="2381" w:right="0" w:hanging="794"/>
        <w:jc w:val="left"/>
        <w:rPr>
          <w:sz w:val="13"/>
        </w:rPr>
      </w:pPr>
      <w:r>
        <w:rPr>
          <w:w w:val="105"/>
          <w:sz w:val="13"/>
        </w:rPr>
        <w:t>Confidential</w:t>
      </w:r>
      <w:r>
        <w:rPr>
          <w:spacing w:val="4"/>
          <w:w w:val="105"/>
          <w:sz w:val="13"/>
        </w:rPr>
        <w:t> </w:t>
      </w:r>
      <w:r>
        <w:rPr>
          <w:w w:val="105"/>
          <w:sz w:val="13"/>
        </w:rPr>
        <w:t>submission.</w:t>
      </w:r>
    </w:p>
    <w:p>
      <w:pPr>
        <w:pStyle w:val="ListParagraph"/>
        <w:numPr>
          <w:ilvl w:val="0"/>
          <w:numId w:val="47"/>
        </w:numPr>
        <w:tabs>
          <w:tab w:pos="2381" w:val="left" w:leader="none"/>
          <w:tab w:pos="2382" w:val="left" w:leader="none"/>
        </w:tabs>
        <w:spacing w:line="240" w:lineRule="auto" w:before="2" w:after="0"/>
        <w:ind w:left="2381" w:right="1872" w:hanging="794"/>
        <w:jc w:val="left"/>
        <w:rPr>
          <w:sz w:val="13"/>
        </w:rPr>
      </w:pPr>
      <w:r>
        <w:rPr/>
        <w:pict>
          <v:shape style="position:absolute;margin-left:36pt;margin-top:3.040566pt;width:13.55pt;height:14.25pt;mso-position-horizontal-relative:page;mso-position-vertical-relative:paragraph;z-index:5248" type="#_x0000_t202" filled="false" stroked="false">
            <v:textbox inset="0,0,0,0">
              <w:txbxContent>
                <w:p>
                  <w:pPr>
                    <w:spacing w:line="284" w:lineRule="exact" w:before="0"/>
                    <w:ind w:left="0" w:right="0" w:firstLine="0"/>
                    <w:jc w:val="left"/>
                    <w:rPr>
                      <w:b/>
                      <w:sz w:val="24"/>
                    </w:rPr>
                  </w:pPr>
                  <w:r>
                    <w:rPr>
                      <w:b/>
                      <w:color w:val="658464"/>
                      <w:w w:val="110"/>
                      <w:sz w:val="24"/>
                    </w:rPr>
                    <w:t>68</w:t>
                  </w:r>
                </w:p>
              </w:txbxContent>
            </v:textbox>
            <w10:wrap type="none"/>
          </v:shape>
        </w:pict>
      </w:r>
      <w:r>
        <w:rPr>
          <w:w w:val="105"/>
          <w:sz w:val="13"/>
        </w:rPr>
        <w:t>Submissions 9 </w:t>
      </w:r>
      <w:r>
        <w:rPr>
          <w:spacing w:val="3"/>
          <w:w w:val="105"/>
          <w:sz w:val="13"/>
        </w:rPr>
        <w:t>(Dr </w:t>
      </w:r>
      <w:r>
        <w:rPr>
          <w:w w:val="105"/>
          <w:sz w:val="13"/>
        </w:rPr>
        <w:t>Karen Smith), 10 (Professor Phillip Hamilton), </w:t>
      </w:r>
      <w:r>
        <w:rPr>
          <w:spacing w:val="-6"/>
          <w:w w:val="105"/>
          <w:sz w:val="13"/>
        </w:rPr>
        <w:t>11 </w:t>
      </w:r>
      <w:r>
        <w:rPr>
          <w:spacing w:val="2"/>
          <w:w w:val="105"/>
          <w:sz w:val="13"/>
        </w:rPr>
        <w:t>(Name </w:t>
      </w:r>
      <w:r>
        <w:rPr>
          <w:w w:val="105"/>
          <w:sz w:val="13"/>
        </w:rPr>
        <w:t>withheld), </w:t>
      </w:r>
      <w:r>
        <w:rPr>
          <w:spacing w:val="-4"/>
          <w:w w:val="105"/>
          <w:sz w:val="13"/>
        </w:rPr>
        <w:t>12 </w:t>
      </w:r>
      <w:r>
        <w:rPr>
          <w:spacing w:val="3"/>
          <w:w w:val="105"/>
          <w:sz w:val="13"/>
        </w:rPr>
        <w:t>(Dr </w:t>
      </w:r>
      <w:r>
        <w:rPr>
          <w:w w:val="105"/>
          <w:sz w:val="13"/>
        </w:rPr>
        <w:t>Gregory Moore </w:t>
      </w:r>
      <w:r>
        <w:rPr>
          <w:spacing w:val="2"/>
          <w:w w:val="105"/>
          <w:sz w:val="13"/>
        </w:rPr>
        <w:t>OAM); </w:t>
      </w:r>
      <w:r>
        <w:rPr>
          <w:w w:val="105"/>
          <w:sz w:val="13"/>
        </w:rPr>
        <w:t>Consultations 2 </w:t>
      </w:r>
      <w:r>
        <w:rPr>
          <w:spacing w:val="3"/>
          <w:w w:val="105"/>
          <w:sz w:val="13"/>
        </w:rPr>
        <w:t>(Dr </w:t>
      </w:r>
      <w:r>
        <w:rPr>
          <w:w w:val="105"/>
          <w:sz w:val="13"/>
        </w:rPr>
        <w:t>Gregory</w:t>
      </w:r>
      <w:r>
        <w:rPr>
          <w:spacing w:val="5"/>
          <w:w w:val="105"/>
          <w:sz w:val="13"/>
        </w:rPr>
        <w:t> </w:t>
      </w:r>
      <w:r>
        <w:rPr>
          <w:w w:val="105"/>
          <w:sz w:val="13"/>
        </w:rPr>
        <w:t>Moore</w:t>
      </w:r>
      <w:r>
        <w:rPr>
          <w:spacing w:val="5"/>
          <w:w w:val="105"/>
          <w:sz w:val="13"/>
        </w:rPr>
        <w:t> </w:t>
      </w:r>
      <w:r>
        <w:rPr>
          <w:spacing w:val="2"/>
          <w:w w:val="105"/>
          <w:sz w:val="13"/>
        </w:rPr>
        <w:t>OAM),</w:t>
      </w:r>
      <w:r>
        <w:rPr>
          <w:spacing w:val="5"/>
          <w:w w:val="105"/>
          <w:sz w:val="13"/>
        </w:rPr>
        <w:t> </w:t>
      </w:r>
      <w:r>
        <w:rPr>
          <w:w w:val="105"/>
          <w:sz w:val="13"/>
        </w:rPr>
        <w:t>9</w:t>
      </w:r>
      <w:r>
        <w:rPr>
          <w:spacing w:val="5"/>
          <w:w w:val="105"/>
          <w:sz w:val="13"/>
        </w:rPr>
        <w:t> </w:t>
      </w:r>
      <w:r>
        <w:rPr>
          <w:w w:val="105"/>
          <w:sz w:val="13"/>
        </w:rPr>
        <w:t>(Nillumbik</w:t>
      </w:r>
      <w:r>
        <w:rPr>
          <w:spacing w:val="5"/>
          <w:w w:val="105"/>
          <w:sz w:val="13"/>
        </w:rPr>
        <w:t> </w:t>
      </w:r>
      <w:r>
        <w:rPr>
          <w:w w:val="105"/>
          <w:sz w:val="13"/>
        </w:rPr>
        <w:t>Shire</w:t>
      </w:r>
      <w:r>
        <w:rPr>
          <w:spacing w:val="5"/>
          <w:w w:val="105"/>
          <w:sz w:val="13"/>
        </w:rPr>
        <w:t> </w:t>
      </w:r>
      <w:r>
        <w:rPr>
          <w:w w:val="105"/>
          <w:sz w:val="13"/>
        </w:rPr>
        <w:t>Council),</w:t>
      </w:r>
      <w:r>
        <w:rPr>
          <w:spacing w:val="5"/>
          <w:w w:val="105"/>
          <w:sz w:val="13"/>
        </w:rPr>
        <w:t> </w:t>
      </w:r>
      <w:r>
        <w:rPr>
          <w:spacing w:val="-4"/>
          <w:w w:val="105"/>
          <w:sz w:val="13"/>
        </w:rPr>
        <w:t>12</w:t>
      </w:r>
      <w:r>
        <w:rPr>
          <w:spacing w:val="5"/>
          <w:w w:val="105"/>
          <w:sz w:val="13"/>
        </w:rPr>
        <w:t> </w:t>
      </w:r>
      <w:r>
        <w:rPr>
          <w:w w:val="105"/>
          <w:sz w:val="13"/>
        </w:rPr>
        <w:t>(City</w:t>
      </w:r>
      <w:r>
        <w:rPr>
          <w:spacing w:val="5"/>
          <w:w w:val="105"/>
          <w:sz w:val="13"/>
        </w:rPr>
        <w:t> </w:t>
      </w:r>
      <w:r>
        <w:rPr>
          <w:w w:val="105"/>
          <w:sz w:val="13"/>
        </w:rPr>
        <w:t>of</w:t>
      </w:r>
      <w:r>
        <w:rPr>
          <w:spacing w:val="6"/>
          <w:w w:val="105"/>
          <w:sz w:val="13"/>
        </w:rPr>
        <w:t> </w:t>
      </w:r>
      <w:r>
        <w:rPr>
          <w:w w:val="105"/>
          <w:sz w:val="13"/>
        </w:rPr>
        <w:t>Port</w:t>
      </w:r>
      <w:r>
        <w:rPr>
          <w:spacing w:val="5"/>
          <w:w w:val="105"/>
          <w:sz w:val="13"/>
        </w:rPr>
        <w:t> </w:t>
      </w:r>
      <w:r>
        <w:rPr>
          <w:w w:val="105"/>
          <w:sz w:val="13"/>
        </w:rPr>
        <w:t>Phillip),</w:t>
      </w:r>
      <w:r>
        <w:rPr>
          <w:spacing w:val="5"/>
          <w:w w:val="105"/>
          <w:sz w:val="13"/>
        </w:rPr>
        <w:t> </w:t>
      </w:r>
      <w:r>
        <w:rPr>
          <w:spacing w:val="-3"/>
          <w:w w:val="105"/>
          <w:sz w:val="13"/>
        </w:rPr>
        <w:t>14</w:t>
      </w:r>
      <w:r>
        <w:rPr>
          <w:spacing w:val="5"/>
          <w:w w:val="105"/>
          <w:sz w:val="13"/>
        </w:rPr>
        <w:t> </w:t>
      </w:r>
      <w:r>
        <w:rPr>
          <w:spacing w:val="2"/>
          <w:w w:val="105"/>
          <w:sz w:val="13"/>
        </w:rPr>
        <w:t>(Robert</w:t>
      </w:r>
      <w:r>
        <w:rPr>
          <w:spacing w:val="5"/>
          <w:w w:val="105"/>
          <w:sz w:val="13"/>
        </w:rPr>
        <w:t> </w:t>
      </w:r>
      <w:r>
        <w:rPr>
          <w:spacing w:val="2"/>
          <w:w w:val="105"/>
          <w:sz w:val="13"/>
        </w:rPr>
        <w:t>Mineo).</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709" w:hanging="794"/>
        <w:jc w:val="left"/>
        <w:rPr>
          <w:sz w:val="21"/>
        </w:rPr>
      </w:pPr>
      <w:r>
        <w:rPr>
          <w:w w:val="105"/>
          <w:sz w:val="21"/>
        </w:rPr>
        <w:t>Arborist Robert </w:t>
      </w:r>
      <w:r>
        <w:rPr>
          <w:spacing w:val="-3"/>
          <w:w w:val="105"/>
          <w:sz w:val="21"/>
        </w:rPr>
        <w:t>Mineo, </w:t>
      </w:r>
      <w:r>
        <w:rPr>
          <w:w w:val="105"/>
          <w:sz w:val="21"/>
        </w:rPr>
        <w:t>explained </w:t>
      </w:r>
      <w:r>
        <w:rPr>
          <w:spacing w:val="-3"/>
          <w:w w:val="105"/>
          <w:sz w:val="21"/>
        </w:rPr>
        <w:t>that bamboo, </w:t>
      </w:r>
      <w:r>
        <w:rPr>
          <w:w w:val="105"/>
          <w:sz w:val="21"/>
        </w:rPr>
        <w:t>a type of grass, and </w:t>
      </w:r>
      <w:r>
        <w:rPr>
          <w:spacing w:val="-3"/>
          <w:w w:val="105"/>
          <w:sz w:val="21"/>
        </w:rPr>
        <w:t>palms, </w:t>
      </w:r>
      <w:r>
        <w:rPr>
          <w:w w:val="105"/>
          <w:sz w:val="21"/>
        </w:rPr>
        <w:t>a type of </w:t>
      </w:r>
      <w:r>
        <w:rPr>
          <w:spacing w:val="-3"/>
          <w:w w:val="105"/>
          <w:sz w:val="21"/>
        </w:rPr>
        <w:t>grasstree, </w:t>
      </w:r>
      <w:r>
        <w:rPr>
          <w:w w:val="105"/>
          <w:sz w:val="21"/>
        </w:rPr>
        <w:t>would </w:t>
      </w:r>
      <w:r>
        <w:rPr>
          <w:spacing w:val="-2"/>
          <w:w w:val="105"/>
          <w:sz w:val="21"/>
        </w:rPr>
        <w:t>not </w:t>
      </w:r>
      <w:r>
        <w:rPr>
          <w:w w:val="105"/>
          <w:sz w:val="21"/>
        </w:rPr>
        <w:t>meet the typical definition of ‘tree’ but </w:t>
      </w:r>
      <w:r>
        <w:rPr>
          <w:spacing w:val="-3"/>
          <w:w w:val="105"/>
          <w:sz w:val="21"/>
        </w:rPr>
        <w:t>could </w:t>
      </w:r>
      <w:r>
        <w:rPr>
          <w:w w:val="105"/>
          <w:sz w:val="21"/>
        </w:rPr>
        <w:t>affect </w:t>
      </w:r>
      <w:r>
        <w:rPr>
          <w:spacing w:val="-3"/>
          <w:w w:val="105"/>
          <w:sz w:val="21"/>
        </w:rPr>
        <w:t>neighbouring land.</w:t>
      </w:r>
      <w:r>
        <w:rPr>
          <w:spacing w:val="-3"/>
          <w:w w:val="105"/>
          <w:position w:val="7"/>
          <w:sz w:val="12"/>
        </w:rPr>
        <w:t>37 </w:t>
      </w:r>
      <w:r>
        <w:rPr>
          <w:w w:val="105"/>
          <w:sz w:val="21"/>
        </w:rPr>
        <w:t>The </w:t>
      </w:r>
      <w:r>
        <w:rPr>
          <w:spacing w:val="-3"/>
          <w:w w:val="105"/>
          <w:sz w:val="21"/>
        </w:rPr>
        <w:t>City </w:t>
      </w:r>
      <w:r>
        <w:rPr>
          <w:w w:val="105"/>
          <w:sz w:val="21"/>
        </w:rPr>
        <w:t>of Port </w:t>
      </w:r>
      <w:r>
        <w:rPr>
          <w:spacing w:val="-3"/>
          <w:w w:val="105"/>
          <w:sz w:val="21"/>
        </w:rPr>
        <w:t>Phillip </w:t>
      </w:r>
      <w:r>
        <w:rPr>
          <w:w w:val="105"/>
          <w:sz w:val="21"/>
        </w:rPr>
        <w:t>stated </w:t>
      </w:r>
      <w:r>
        <w:rPr>
          <w:spacing w:val="-3"/>
          <w:w w:val="105"/>
          <w:sz w:val="21"/>
        </w:rPr>
        <w:t>that palms </w:t>
      </w:r>
      <w:r>
        <w:rPr>
          <w:w w:val="105"/>
          <w:sz w:val="21"/>
        </w:rPr>
        <w:t>should be </w:t>
      </w:r>
      <w:r>
        <w:rPr>
          <w:spacing w:val="-3"/>
          <w:w w:val="105"/>
          <w:sz w:val="21"/>
        </w:rPr>
        <w:t>covered </w:t>
      </w:r>
      <w:r>
        <w:rPr>
          <w:w w:val="105"/>
          <w:sz w:val="21"/>
        </w:rPr>
        <w:t>by a new Act because they can give rise </w:t>
      </w:r>
      <w:r>
        <w:rPr>
          <w:spacing w:val="-3"/>
          <w:w w:val="105"/>
          <w:sz w:val="21"/>
        </w:rPr>
        <w:t>to </w:t>
      </w:r>
      <w:r>
        <w:rPr>
          <w:w w:val="105"/>
          <w:sz w:val="21"/>
        </w:rPr>
        <w:t>problems.</w:t>
      </w:r>
      <w:r>
        <w:rPr>
          <w:w w:val="105"/>
          <w:position w:val="7"/>
          <w:sz w:val="12"/>
        </w:rPr>
        <w:t>38 </w:t>
      </w:r>
      <w:r>
        <w:rPr>
          <w:spacing w:val="-3"/>
          <w:w w:val="105"/>
          <w:sz w:val="21"/>
        </w:rPr>
        <w:t>Nillumbik Shire </w:t>
      </w:r>
      <w:r>
        <w:rPr>
          <w:spacing w:val="-4"/>
          <w:w w:val="105"/>
          <w:sz w:val="21"/>
        </w:rPr>
        <w:t>Council </w:t>
      </w:r>
      <w:r>
        <w:rPr>
          <w:w w:val="105"/>
          <w:sz w:val="21"/>
        </w:rPr>
        <w:t>stated </w:t>
      </w:r>
      <w:r>
        <w:rPr>
          <w:spacing w:val="-3"/>
          <w:w w:val="105"/>
          <w:sz w:val="21"/>
        </w:rPr>
        <w:t>that cootamundra wattle, </w:t>
      </w:r>
      <w:r>
        <w:rPr>
          <w:w w:val="105"/>
          <w:sz w:val="21"/>
        </w:rPr>
        <w:t>pine trees and Burgen </w:t>
      </w:r>
      <w:r>
        <w:rPr>
          <w:spacing w:val="-3"/>
          <w:w w:val="105"/>
          <w:sz w:val="21"/>
        </w:rPr>
        <w:t>are all </w:t>
      </w:r>
      <w:r>
        <w:rPr>
          <w:w w:val="105"/>
          <w:sz w:val="21"/>
        </w:rPr>
        <w:t>examples of vegetation </w:t>
      </w:r>
      <w:r>
        <w:rPr>
          <w:spacing w:val="-3"/>
          <w:w w:val="105"/>
          <w:sz w:val="21"/>
        </w:rPr>
        <w:t>that </w:t>
      </w:r>
      <w:r>
        <w:rPr>
          <w:w w:val="105"/>
          <w:sz w:val="21"/>
        </w:rPr>
        <w:t>can be </w:t>
      </w:r>
      <w:r>
        <w:rPr>
          <w:spacing w:val="-3"/>
          <w:w w:val="105"/>
          <w:sz w:val="21"/>
        </w:rPr>
        <w:t>problematic.</w:t>
      </w:r>
      <w:r>
        <w:rPr>
          <w:spacing w:val="7"/>
          <w:w w:val="105"/>
          <w:sz w:val="21"/>
        </w:rPr>
        <w:t> </w:t>
      </w:r>
      <w:r>
        <w:rPr>
          <w:w w:val="105"/>
          <w:position w:val="7"/>
          <w:sz w:val="12"/>
        </w:rPr>
        <w:t>39</w:t>
      </w:r>
    </w:p>
    <w:p>
      <w:pPr>
        <w:pStyle w:val="ListParagraph"/>
        <w:numPr>
          <w:ilvl w:val="1"/>
          <w:numId w:val="16"/>
        </w:numPr>
        <w:tabs>
          <w:tab w:pos="2380" w:val="left" w:leader="none"/>
          <w:tab w:pos="2381" w:val="left" w:leader="none"/>
        </w:tabs>
        <w:spacing w:line="240" w:lineRule="auto" w:before="126" w:after="0"/>
        <w:ind w:left="2381" w:right="0" w:hanging="794"/>
        <w:jc w:val="left"/>
        <w:rPr>
          <w:sz w:val="21"/>
        </w:rPr>
      </w:pPr>
      <w:r>
        <w:rPr>
          <w:w w:val="105"/>
          <w:sz w:val="21"/>
        </w:rPr>
        <w:t>A tree </w:t>
      </w:r>
      <w:r>
        <w:rPr>
          <w:spacing w:val="-3"/>
          <w:w w:val="105"/>
          <w:sz w:val="21"/>
        </w:rPr>
        <w:t>disputes consultant </w:t>
      </w:r>
      <w:r>
        <w:rPr>
          <w:w w:val="105"/>
          <w:sz w:val="21"/>
        </w:rPr>
        <w:t>in New South </w:t>
      </w:r>
      <w:r>
        <w:rPr>
          <w:spacing w:val="-3"/>
          <w:w w:val="105"/>
          <w:sz w:val="21"/>
        </w:rPr>
        <w:t>Wales</w:t>
      </w:r>
      <w:r>
        <w:rPr>
          <w:spacing w:val="42"/>
          <w:w w:val="105"/>
          <w:sz w:val="21"/>
        </w:rPr>
        <w:t> </w:t>
      </w:r>
      <w:r>
        <w:rPr>
          <w:w w:val="105"/>
          <w:sz w:val="21"/>
        </w:rPr>
        <w:t>explained:</w:t>
      </w:r>
    </w:p>
    <w:p>
      <w:pPr>
        <w:spacing w:line="254" w:lineRule="auto" w:before="133"/>
        <w:ind w:left="2834" w:right="1625" w:firstLine="0"/>
        <w:jc w:val="left"/>
        <w:rPr>
          <w:sz w:val="11"/>
        </w:rPr>
      </w:pPr>
      <w:r>
        <w:rPr>
          <w:w w:val="105"/>
          <w:sz w:val="20"/>
        </w:rPr>
        <w:t>Plants, woody vines, palms and bamboo all </w:t>
      </w:r>
      <w:r>
        <w:rPr>
          <w:spacing w:val="-3"/>
          <w:w w:val="105"/>
          <w:sz w:val="20"/>
        </w:rPr>
        <w:t>have </w:t>
      </w:r>
      <w:r>
        <w:rPr>
          <w:w w:val="105"/>
          <w:sz w:val="20"/>
        </w:rPr>
        <w:t>the </w:t>
      </w:r>
      <w:r>
        <w:rPr>
          <w:spacing w:val="-3"/>
          <w:w w:val="105"/>
          <w:sz w:val="20"/>
        </w:rPr>
        <w:t>potential </w:t>
      </w:r>
      <w:r>
        <w:rPr>
          <w:w w:val="105"/>
          <w:sz w:val="20"/>
        </w:rPr>
        <w:t>to cause damage to property and </w:t>
      </w:r>
      <w:r>
        <w:rPr>
          <w:spacing w:val="-3"/>
          <w:w w:val="105"/>
          <w:sz w:val="20"/>
        </w:rPr>
        <w:t>feature </w:t>
      </w:r>
      <w:r>
        <w:rPr>
          <w:w w:val="105"/>
          <w:sz w:val="20"/>
        </w:rPr>
        <w:t>in a range of cases heard by the Land and </w:t>
      </w:r>
      <w:r>
        <w:rPr>
          <w:spacing w:val="-3"/>
          <w:w w:val="105"/>
          <w:sz w:val="20"/>
        </w:rPr>
        <w:t>Environment </w:t>
      </w:r>
      <w:r>
        <w:rPr>
          <w:w w:val="105"/>
          <w:sz w:val="20"/>
        </w:rPr>
        <w:t>Court of New South Wales. The </w:t>
      </w:r>
      <w:r>
        <w:rPr>
          <w:spacing w:val="-2"/>
          <w:w w:val="105"/>
          <w:sz w:val="20"/>
        </w:rPr>
        <w:t>inclusion </w:t>
      </w:r>
      <w:r>
        <w:rPr>
          <w:w w:val="105"/>
          <w:sz w:val="20"/>
        </w:rPr>
        <w:t>of this vegetation may add an extra </w:t>
      </w:r>
      <w:r>
        <w:rPr>
          <w:spacing w:val="-3"/>
          <w:w w:val="105"/>
          <w:sz w:val="20"/>
        </w:rPr>
        <w:t>layer </w:t>
      </w:r>
      <w:r>
        <w:rPr>
          <w:w w:val="105"/>
          <w:sz w:val="20"/>
        </w:rPr>
        <w:t>of complexity to the scheme, </w:t>
      </w:r>
      <w:r>
        <w:rPr>
          <w:spacing w:val="-4"/>
          <w:w w:val="105"/>
          <w:sz w:val="20"/>
        </w:rPr>
        <w:t>however, </w:t>
      </w:r>
      <w:r>
        <w:rPr>
          <w:w w:val="105"/>
          <w:sz w:val="20"/>
        </w:rPr>
        <w:t>it will benefit those disputants who are dealing with tree disputes arising from woody vines, palms, bamboo or </w:t>
      </w:r>
      <w:r>
        <w:rPr>
          <w:spacing w:val="-3"/>
          <w:w w:val="105"/>
          <w:sz w:val="20"/>
        </w:rPr>
        <w:t>‘plants’.</w:t>
      </w:r>
      <w:r>
        <w:rPr>
          <w:spacing w:val="-3"/>
          <w:w w:val="105"/>
          <w:position w:val="7"/>
          <w:sz w:val="11"/>
        </w:rPr>
        <w:t>40</w:t>
      </w:r>
    </w:p>
    <w:p>
      <w:pPr>
        <w:pStyle w:val="ListParagraph"/>
        <w:numPr>
          <w:ilvl w:val="1"/>
          <w:numId w:val="16"/>
        </w:numPr>
        <w:tabs>
          <w:tab w:pos="2380" w:val="left" w:leader="none"/>
          <w:tab w:pos="2381" w:val="left" w:leader="none"/>
        </w:tabs>
        <w:spacing w:line="242" w:lineRule="auto" w:before="117" w:after="0"/>
        <w:ind w:left="2381" w:right="1906" w:hanging="794"/>
        <w:jc w:val="left"/>
        <w:rPr>
          <w:sz w:val="21"/>
        </w:rPr>
      </w:pPr>
      <w:r>
        <w:rPr>
          <w:w w:val="105"/>
          <w:sz w:val="21"/>
        </w:rPr>
        <w:t>Dr Gregory Moore OAM added </w:t>
      </w:r>
      <w:r>
        <w:rPr>
          <w:spacing w:val="-3"/>
          <w:w w:val="105"/>
          <w:sz w:val="21"/>
        </w:rPr>
        <w:t>that </w:t>
      </w:r>
      <w:r>
        <w:rPr>
          <w:w w:val="105"/>
          <w:sz w:val="21"/>
        </w:rPr>
        <w:t>the </w:t>
      </w:r>
      <w:r>
        <w:rPr>
          <w:spacing w:val="-2"/>
          <w:w w:val="105"/>
          <w:sz w:val="21"/>
        </w:rPr>
        <w:t>common </w:t>
      </w:r>
      <w:r>
        <w:rPr>
          <w:w w:val="105"/>
          <w:sz w:val="21"/>
        </w:rPr>
        <w:t>dictionary term </w:t>
      </w:r>
      <w:r>
        <w:rPr>
          <w:spacing w:val="-4"/>
          <w:w w:val="105"/>
          <w:sz w:val="21"/>
        </w:rPr>
        <w:t>‘woody’, </w:t>
      </w:r>
      <w:r>
        <w:rPr>
          <w:w w:val="105"/>
          <w:sz w:val="21"/>
        </w:rPr>
        <w:t>used </w:t>
      </w:r>
      <w:r>
        <w:rPr>
          <w:spacing w:val="-3"/>
          <w:w w:val="105"/>
          <w:sz w:val="21"/>
        </w:rPr>
        <w:t>to </w:t>
      </w:r>
      <w:r>
        <w:rPr>
          <w:w w:val="105"/>
          <w:sz w:val="21"/>
        </w:rPr>
        <w:t>describe secondary growth </w:t>
      </w:r>
      <w:r>
        <w:rPr>
          <w:spacing w:val="-3"/>
          <w:w w:val="105"/>
          <w:sz w:val="21"/>
        </w:rPr>
        <w:t>that </w:t>
      </w:r>
      <w:r>
        <w:rPr>
          <w:w w:val="105"/>
          <w:sz w:val="21"/>
        </w:rPr>
        <w:t>is characteristic of trees, </w:t>
      </w:r>
      <w:r>
        <w:rPr>
          <w:spacing w:val="-3"/>
          <w:w w:val="105"/>
          <w:sz w:val="21"/>
        </w:rPr>
        <w:t>excludes palms, </w:t>
      </w:r>
      <w:r>
        <w:rPr>
          <w:w w:val="105"/>
          <w:sz w:val="21"/>
        </w:rPr>
        <w:t>cycads, tree </w:t>
      </w:r>
      <w:r>
        <w:rPr>
          <w:spacing w:val="-3"/>
          <w:w w:val="105"/>
          <w:sz w:val="21"/>
        </w:rPr>
        <w:t>ferns </w:t>
      </w:r>
      <w:r>
        <w:rPr>
          <w:w w:val="105"/>
          <w:sz w:val="21"/>
        </w:rPr>
        <w:t>and grass trees.</w:t>
      </w:r>
      <w:r>
        <w:rPr>
          <w:w w:val="105"/>
          <w:position w:val="7"/>
          <w:sz w:val="12"/>
        </w:rPr>
        <w:t>41 </w:t>
      </w:r>
      <w:r>
        <w:rPr>
          <w:w w:val="105"/>
          <w:sz w:val="21"/>
        </w:rPr>
        <w:t>Dr Moore </w:t>
      </w:r>
      <w:r>
        <w:rPr>
          <w:spacing w:val="-3"/>
          <w:w w:val="105"/>
          <w:sz w:val="21"/>
        </w:rPr>
        <w:t>noted that </w:t>
      </w:r>
      <w:r>
        <w:rPr>
          <w:w w:val="105"/>
          <w:sz w:val="21"/>
        </w:rPr>
        <w:t>most people would </w:t>
      </w:r>
      <w:r>
        <w:rPr>
          <w:spacing w:val="-3"/>
          <w:w w:val="105"/>
          <w:sz w:val="21"/>
        </w:rPr>
        <w:t>consider </w:t>
      </w:r>
      <w:r>
        <w:rPr>
          <w:w w:val="105"/>
          <w:sz w:val="21"/>
        </w:rPr>
        <w:t>these types of</w:t>
      </w:r>
      <w:r>
        <w:rPr>
          <w:spacing w:val="-8"/>
          <w:w w:val="105"/>
          <w:sz w:val="21"/>
        </w:rPr>
        <w:t> </w:t>
      </w:r>
      <w:r>
        <w:rPr>
          <w:w w:val="105"/>
          <w:sz w:val="21"/>
        </w:rPr>
        <w:t>vegetation</w:t>
      </w:r>
      <w:r>
        <w:rPr>
          <w:spacing w:val="-7"/>
          <w:w w:val="105"/>
          <w:sz w:val="21"/>
        </w:rPr>
        <w:t> </w:t>
      </w:r>
      <w:r>
        <w:rPr>
          <w:spacing w:val="-3"/>
          <w:w w:val="105"/>
          <w:sz w:val="21"/>
        </w:rPr>
        <w:t>to</w:t>
      </w:r>
      <w:r>
        <w:rPr>
          <w:spacing w:val="-8"/>
          <w:w w:val="105"/>
          <w:sz w:val="21"/>
        </w:rPr>
        <w:t> </w:t>
      </w:r>
      <w:r>
        <w:rPr>
          <w:w w:val="105"/>
          <w:sz w:val="21"/>
        </w:rPr>
        <w:t>be</w:t>
      </w:r>
      <w:r>
        <w:rPr>
          <w:spacing w:val="-7"/>
          <w:w w:val="105"/>
          <w:sz w:val="21"/>
        </w:rPr>
        <w:t> </w:t>
      </w:r>
      <w:r>
        <w:rPr>
          <w:w w:val="105"/>
          <w:sz w:val="21"/>
        </w:rPr>
        <w:t>trees</w:t>
      </w:r>
      <w:r>
        <w:rPr>
          <w:spacing w:val="-8"/>
          <w:w w:val="105"/>
          <w:sz w:val="21"/>
        </w:rPr>
        <w:t> </w:t>
      </w:r>
      <w:r>
        <w:rPr>
          <w:w w:val="105"/>
          <w:sz w:val="21"/>
        </w:rPr>
        <w:t>even</w:t>
      </w:r>
      <w:r>
        <w:rPr>
          <w:spacing w:val="-7"/>
          <w:w w:val="105"/>
          <w:sz w:val="21"/>
        </w:rPr>
        <w:t> </w:t>
      </w:r>
      <w:r>
        <w:rPr>
          <w:w w:val="105"/>
          <w:sz w:val="21"/>
        </w:rPr>
        <w:t>though</w:t>
      </w:r>
      <w:r>
        <w:rPr>
          <w:spacing w:val="-8"/>
          <w:w w:val="105"/>
          <w:sz w:val="21"/>
        </w:rPr>
        <w:t> </w:t>
      </w:r>
      <w:r>
        <w:rPr>
          <w:w w:val="105"/>
          <w:sz w:val="21"/>
        </w:rPr>
        <w:t>they</w:t>
      </w:r>
      <w:r>
        <w:rPr>
          <w:spacing w:val="-7"/>
          <w:w w:val="105"/>
          <w:sz w:val="21"/>
        </w:rPr>
        <w:t> </w:t>
      </w:r>
      <w:r>
        <w:rPr>
          <w:spacing w:val="-3"/>
          <w:w w:val="105"/>
          <w:sz w:val="21"/>
        </w:rPr>
        <w:t>are</w:t>
      </w:r>
      <w:r>
        <w:rPr>
          <w:spacing w:val="-8"/>
          <w:w w:val="105"/>
          <w:sz w:val="21"/>
        </w:rPr>
        <w:t> </w:t>
      </w:r>
      <w:r>
        <w:rPr>
          <w:spacing w:val="-3"/>
          <w:w w:val="105"/>
          <w:sz w:val="21"/>
        </w:rPr>
        <w:t>technically</w:t>
      </w:r>
      <w:r>
        <w:rPr>
          <w:spacing w:val="-7"/>
          <w:w w:val="105"/>
          <w:sz w:val="21"/>
        </w:rPr>
        <w:t> </w:t>
      </w:r>
      <w:r>
        <w:rPr>
          <w:w w:val="105"/>
          <w:sz w:val="21"/>
        </w:rPr>
        <w:t>categorised</w:t>
      </w:r>
      <w:r>
        <w:rPr>
          <w:spacing w:val="-7"/>
          <w:w w:val="105"/>
          <w:sz w:val="21"/>
        </w:rPr>
        <w:t> </w:t>
      </w:r>
      <w:r>
        <w:rPr>
          <w:w w:val="105"/>
          <w:sz w:val="21"/>
        </w:rPr>
        <w:t>as</w:t>
      </w:r>
      <w:r>
        <w:rPr>
          <w:spacing w:val="-8"/>
          <w:w w:val="105"/>
          <w:sz w:val="21"/>
        </w:rPr>
        <w:t> </w:t>
      </w:r>
      <w:r>
        <w:rPr>
          <w:spacing w:val="-3"/>
          <w:w w:val="105"/>
          <w:sz w:val="21"/>
        </w:rPr>
        <w:t>pachycauls.</w:t>
      </w:r>
      <w:r>
        <w:rPr>
          <w:spacing w:val="-3"/>
          <w:w w:val="105"/>
          <w:position w:val="7"/>
          <w:sz w:val="12"/>
        </w:rPr>
        <w:t>42</w:t>
      </w:r>
      <w:r>
        <w:rPr>
          <w:spacing w:val="-3"/>
          <w:w w:val="105"/>
          <w:sz w:val="12"/>
        </w:rPr>
        <w:t> </w:t>
      </w:r>
      <w:r>
        <w:rPr>
          <w:w w:val="105"/>
          <w:sz w:val="21"/>
        </w:rPr>
        <w:t>He stated: </w:t>
      </w:r>
      <w:r>
        <w:rPr>
          <w:spacing w:val="-3"/>
          <w:w w:val="105"/>
          <w:sz w:val="21"/>
        </w:rPr>
        <w:t>‘Given </w:t>
      </w:r>
      <w:r>
        <w:rPr>
          <w:w w:val="105"/>
          <w:sz w:val="21"/>
        </w:rPr>
        <w:t>this wide </w:t>
      </w:r>
      <w:r>
        <w:rPr>
          <w:spacing w:val="-3"/>
          <w:w w:val="105"/>
          <w:sz w:val="21"/>
        </w:rPr>
        <w:t>public perception, </w:t>
      </w:r>
      <w:r>
        <w:rPr>
          <w:w w:val="105"/>
          <w:sz w:val="21"/>
        </w:rPr>
        <w:t>it </w:t>
      </w:r>
      <w:r>
        <w:rPr>
          <w:spacing w:val="-3"/>
          <w:w w:val="105"/>
          <w:sz w:val="21"/>
        </w:rPr>
        <w:t>might </w:t>
      </w:r>
      <w:r>
        <w:rPr>
          <w:w w:val="105"/>
          <w:sz w:val="21"/>
        </w:rPr>
        <w:t>be wise </w:t>
      </w:r>
      <w:r>
        <w:rPr>
          <w:spacing w:val="-3"/>
          <w:w w:val="105"/>
          <w:sz w:val="21"/>
        </w:rPr>
        <w:t>to include pachycauls </w:t>
      </w:r>
      <w:r>
        <w:rPr>
          <w:w w:val="105"/>
          <w:sz w:val="21"/>
        </w:rPr>
        <w:t>in </w:t>
      </w:r>
      <w:r>
        <w:rPr>
          <w:spacing w:val="-4"/>
          <w:w w:val="105"/>
          <w:sz w:val="21"/>
        </w:rPr>
        <w:t>legislation’.</w:t>
      </w:r>
      <w:r>
        <w:rPr>
          <w:spacing w:val="-4"/>
          <w:w w:val="105"/>
          <w:position w:val="7"/>
          <w:sz w:val="12"/>
        </w:rPr>
        <w:t>43</w:t>
      </w:r>
    </w:p>
    <w:p>
      <w:pPr>
        <w:pStyle w:val="ListParagraph"/>
        <w:numPr>
          <w:ilvl w:val="1"/>
          <w:numId w:val="16"/>
        </w:numPr>
        <w:tabs>
          <w:tab w:pos="2380" w:val="left" w:leader="none"/>
          <w:tab w:pos="2381" w:val="left" w:leader="none"/>
        </w:tabs>
        <w:spacing w:line="242" w:lineRule="auto" w:before="126" w:after="0"/>
        <w:ind w:left="2381" w:right="1891" w:hanging="794"/>
        <w:jc w:val="left"/>
        <w:rPr>
          <w:sz w:val="21"/>
        </w:rPr>
      </w:pPr>
      <w:r>
        <w:rPr>
          <w:w w:val="105"/>
          <w:sz w:val="21"/>
        </w:rPr>
        <w:t>Dr Moore also </w:t>
      </w:r>
      <w:r>
        <w:rPr>
          <w:spacing w:val="-3"/>
          <w:w w:val="105"/>
          <w:sz w:val="21"/>
        </w:rPr>
        <w:t>noted that </w:t>
      </w:r>
      <w:r>
        <w:rPr>
          <w:spacing w:val="-2"/>
          <w:w w:val="105"/>
          <w:sz w:val="21"/>
        </w:rPr>
        <w:t>common </w:t>
      </w:r>
      <w:r>
        <w:rPr>
          <w:w w:val="105"/>
          <w:sz w:val="21"/>
        </w:rPr>
        <w:t>definitions </w:t>
      </w:r>
      <w:r>
        <w:rPr>
          <w:spacing w:val="-3"/>
          <w:w w:val="105"/>
          <w:sz w:val="21"/>
        </w:rPr>
        <w:t>referring to </w:t>
      </w:r>
      <w:r>
        <w:rPr>
          <w:w w:val="105"/>
          <w:sz w:val="21"/>
        </w:rPr>
        <w:t>a </w:t>
      </w:r>
      <w:r>
        <w:rPr>
          <w:spacing w:val="-3"/>
          <w:w w:val="105"/>
          <w:sz w:val="21"/>
        </w:rPr>
        <w:t>single </w:t>
      </w:r>
      <w:r>
        <w:rPr>
          <w:w w:val="105"/>
          <w:sz w:val="21"/>
        </w:rPr>
        <w:t>stem or trunk do </w:t>
      </w:r>
      <w:r>
        <w:rPr>
          <w:spacing w:val="-2"/>
          <w:w w:val="105"/>
          <w:sz w:val="21"/>
        </w:rPr>
        <w:t>not </w:t>
      </w:r>
      <w:r>
        <w:rPr>
          <w:spacing w:val="-3"/>
          <w:w w:val="105"/>
          <w:sz w:val="21"/>
        </w:rPr>
        <w:t>take </w:t>
      </w:r>
      <w:r>
        <w:rPr>
          <w:spacing w:val="-4"/>
          <w:w w:val="105"/>
          <w:sz w:val="21"/>
        </w:rPr>
        <w:t>into </w:t>
      </w:r>
      <w:r>
        <w:rPr>
          <w:spacing w:val="-3"/>
          <w:w w:val="105"/>
          <w:sz w:val="21"/>
        </w:rPr>
        <w:t>account </w:t>
      </w:r>
      <w:r>
        <w:rPr>
          <w:w w:val="105"/>
          <w:sz w:val="21"/>
        </w:rPr>
        <w:t>multi-stemmed types of tree species </w:t>
      </w:r>
      <w:r>
        <w:rPr>
          <w:spacing w:val="-3"/>
          <w:w w:val="105"/>
          <w:sz w:val="21"/>
        </w:rPr>
        <w:t>unique to Australia, such </w:t>
      </w:r>
      <w:r>
        <w:rPr>
          <w:w w:val="105"/>
          <w:sz w:val="21"/>
        </w:rPr>
        <w:t>as mallee,</w:t>
      </w:r>
      <w:r>
        <w:rPr>
          <w:w w:val="105"/>
          <w:position w:val="7"/>
          <w:sz w:val="12"/>
        </w:rPr>
        <w:t>44 </w:t>
      </w:r>
      <w:r>
        <w:rPr>
          <w:w w:val="105"/>
          <w:sz w:val="21"/>
        </w:rPr>
        <w:t>eucalypts and acacias. Dr Moore suggested </w:t>
      </w:r>
      <w:r>
        <w:rPr>
          <w:spacing w:val="-3"/>
          <w:w w:val="105"/>
          <w:sz w:val="21"/>
        </w:rPr>
        <w:t>that </w:t>
      </w:r>
      <w:r>
        <w:rPr>
          <w:w w:val="105"/>
          <w:sz w:val="21"/>
        </w:rPr>
        <w:t>a more suitable description can be </w:t>
      </w:r>
      <w:r>
        <w:rPr>
          <w:spacing w:val="-3"/>
          <w:w w:val="105"/>
          <w:sz w:val="21"/>
        </w:rPr>
        <w:t>found </w:t>
      </w:r>
      <w:r>
        <w:rPr>
          <w:w w:val="105"/>
          <w:sz w:val="21"/>
        </w:rPr>
        <w:t>in the Oxford </w:t>
      </w:r>
      <w:r>
        <w:rPr>
          <w:spacing w:val="-3"/>
          <w:w w:val="105"/>
          <w:sz w:val="21"/>
        </w:rPr>
        <w:t>Companion to Australian Gardening, </w:t>
      </w:r>
      <w:r>
        <w:rPr>
          <w:w w:val="105"/>
          <w:sz w:val="21"/>
        </w:rPr>
        <w:t>which describes trees as ‘long-lived woody </w:t>
      </w:r>
      <w:r>
        <w:rPr>
          <w:spacing w:val="-3"/>
          <w:w w:val="105"/>
          <w:sz w:val="21"/>
        </w:rPr>
        <w:t>perennial </w:t>
      </w:r>
      <w:r>
        <w:rPr>
          <w:w w:val="105"/>
          <w:sz w:val="21"/>
        </w:rPr>
        <w:t>plants </w:t>
      </w:r>
      <w:r>
        <w:rPr>
          <w:spacing w:val="-3"/>
          <w:w w:val="105"/>
          <w:sz w:val="21"/>
        </w:rPr>
        <w:t>greater than </w:t>
      </w:r>
      <w:r>
        <w:rPr>
          <w:w w:val="105"/>
          <w:sz w:val="21"/>
        </w:rPr>
        <w:t>three metres in </w:t>
      </w:r>
      <w:r>
        <w:rPr>
          <w:spacing w:val="-3"/>
          <w:w w:val="105"/>
          <w:sz w:val="21"/>
        </w:rPr>
        <w:t>height, </w:t>
      </w:r>
      <w:r>
        <w:rPr>
          <w:w w:val="105"/>
          <w:sz w:val="21"/>
        </w:rPr>
        <w:t>with one or </w:t>
      </w:r>
      <w:r>
        <w:rPr>
          <w:spacing w:val="-3"/>
          <w:w w:val="105"/>
          <w:sz w:val="21"/>
        </w:rPr>
        <w:t>relatively few </w:t>
      </w:r>
      <w:r>
        <w:rPr>
          <w:w w:val="105"/>
          <w:sz w:val="21"/>
        </w:rPr>
        <w:t>stems or</w:t>
      </w:r>
      <w:r>
        <w:rPr>
          <w:spacing w:val="26"/>
          <w:w w:val="105"/>
          <w:sz w:val="21"/>
        </w:rPr>
        <w:t> </w:t>
      </w:r>
      <w:r>
        <w:rPr>
          <w:spacing w:val="-4"/>
          <w:w w:val="105"/>
          <w:sz w:val="21"/>
        </w:rPr>
        <w:t>trunks’.</w:t>
      </w:r>
      <w:r>
        <w:rPr>
          <w:spacing w:val="-4"/>
          <w:w w:val="105"/>
          <w:position w:val="7"/>
          <w:sz w:val="12"/>
        </w:rPr>
        <w:t>45</w:t>
      </w:r>
    </w:p>
    <w:p>
      <w:pPr>
        <w:pStyle w:val="ListParagraph"/>
        <w:numPr>
          <w:ilvl w:val="1"/>
          <w:numId w:val="16"/>
        </w:numPr>
        <w:tabs>
          <w:tab w:pos="2381" w:val="left" w:leader="none"/>
          <w:tab w:pos="2382" w:val="left" w:leader="none"/>
        </w:tabs>
        <w:spacing w:line="242" w:lineRule="auto" w:before="127" w:after="0"/>
        <w:ind w:left="2381" w:right="1779" w:hanging="794"/>
        <w:jc w:val="left"/>
        <w:rPr>
          <w:sz w:val="21"/>
        </w:rPr>
      </w:pPr>
      <w:r>
        <w:rPr>
          <w:w w:val="105"/>
          <w:sz w:val="21"/>
        </w:rPr>
        <w:t>One </w:t>
      </w:r>
      <w:r>
        <w:rPr>
          <w:spacing w:val="-3"/>
          <w:w w:val="105"/>
          <w:sz w:val="21"/>
        </w:rPr>
        <w:t>submission </w:t>
      </w:r>
      <w:r>
        <w:rPr>
          <w:w w:val="105"/>
          <w:sz w:val="21"/>
        </w:rPr>
        <w:t>stated </w:t>
      </w:r>
      <w:r>
        <w:rPr>
          <w:spacing w:val="-3"/>
          <w:w w:val="105"/>
          <w:sz w:val="21"/>
        </w:rPr>
        <w:t>that shrubs that are </w:t>
      </w:r>
      <w:r>
        <w:rPr>
          <w:w w:val="105"/>
          <w:sz w:val="21"/>
        </w:rPr>
        <w:t>large can cause </w:t>
      </w:r>
      <w:r>
        <w:rPr>
          <w:spacing w:val="-3"/>
          <w:w w:val="105"/>
          <w:sz w:val="21"/>
        </w:rPr>
        <w:t>disputes </w:t>
      </w:r>
      <w:r>
        <w:rPr>
          <w:w w:val="105"/>
          <w:sz w:val="21"/>
        </w:rPr>
        <w:t>and so should be included.</w:t>
      </w:r>
      <w:r>
        <w:rPr>
          <w:w w:val="105"/>
          <w:position w:val="7"/>
          <w:sz w:val="12"/>
        </w:rPr>
        <w:t>46</w:t>
      </w:r>
      <w:r>
        <w:rPr>
          <w:spacing w:val="14"/>
          <w:w w:val="105"/>
          <w:position w:val="7"/>
          <w:sz w:val="12"/>
        </w:rPr>
        <w:t> </w:t>
      </w:r>
      <w:r>
        <w:rPr>
          <w:w w:val="105"/>
          <w:sz w:val="21"/>
        </w:rPr>
        <w:t>Professor</w:t>
      </w:r>
      <w:r>
        <w:rPr>
          <w:spacing w:val="-8"/>
          <w:w w:val="105"/>
          <w:sz w:val="21"/>
        </w:rPr>
        <w:t> </w:t>
      </w:r>
      <w:r>
        <w:rPr>
          <w:spacing w:val="-3"/>
          <w:w w:val="105"/>
          <w:sz w:val="21"/>
        </w:rPr>
        <w:t>Phillip</w:t>
      </w:r>
      <w:r>
        <w:rPr>
          <w:spacing w:val="-8"/>
          <w:w w:val="105"/>
          <w:sz w:val="21"/>
        </w:rPr>
        <w:t> </w:t>
      </w:r>
      <w:r>
        <w:rPr>
          <w:spacing w:val="-3"/>
          <w:w w:val="105"/>
          <w:sz w:val="21"/>
        </w:rPr>
        <w:t>Hamilton</w:t>
      </w:r>
      <w:r>
        <w:rPr>
          <w:spacing w:val="-8"/>
          <w:w w:val="105"/>
          <w:sz w:val="21"/>
        </w:rPr>
        <w:t> </w:t>
      </w:r>
      <w:r>
        <w:rPr>
          <w:w w:val="105"/>
          <w:sz w:val="21"/>
        </w:rPr>
        <w:t>suggested</w:t>
      </w:r>
      <w:r>
        <w:rPr>
          <w:spacing w:val="-8"/>
          <w:w w:val="105"/>
          <w:sz w:val="21"/>
        </w:rPr>
        <w:t> </w:t>
      </w:r>
      <w:r>
        <w:rPr>
          <w:spacing w:val="-3"/>
          <w:w w:val="105"/>
          <w:sz w:val="21"/>
        </w:rPr>
        <w:t>that</w:t>
      </w:r>
      <w:r>
        <w:rPr>
          <w:spacing w:val="-9"/>
          <w:w w:val="105"/>
          <w:sz w:val="21"/>
        </w:rPr>
        <w:t> </w:t>
      </w:r>
      <w:r>
        <w:rPr>
          <w:spacing w:val="-3"/>
          <w:w w:val="105"/>
          <w:sz w:val="21"/>
        </w:rPr>
        <w:t>height</w:t>
      </w:r>
      <w:r>
        <w:rPr>
          <w:spacing w:val="-8"/>
          <w:w w:val="105"/>
          <w:sz w:val="21"/>
        </w:rPr>
        <w:t> </w:t>
      </w:r>
      <w:r>
        <w:rPr>
          <w:spacing w:val="-3"/>
          <w:w w:val="105"/>
          <w:sz w:val="21"/>
        </w:rPr>
        <w:t>may</w:t>
      </w:r>
      <w:r>
        <w:rPr>
          <w:spacing w:val="-8"/>
          <w:w w:val="105"/>
          <w:sz w:val="21"/>
        </w:rPr>
        <w:t> </w:t>
      </w:r>
      <w:r>
        <w:rPr>
          <w:w w:val="105"/>
          <w:sz w:val="21"/>
        </w:rPr>
        <w:t>be</w:t>
      </w:r>
      <w:r>
        <w:rPr>
          <w:spacing w:val="-8"/>
          <w:w w:val="105"/>
          <w:sz w:val="21"/>
        </w:rPr>
        <w:t> </w:t>
      </w:r>
      <w:r>
        <w:rPr>
          <w:w w:val="105"/>
          <w:sz w:val="21"/>
        </w:rPr>
        <w:t>a</w:t>
      </w:r>
      <w:r>
        <w:rPr>
          <w:spacing w:val="-8"/>
          <w:w w:val="105"/>
          <w:sz w:val="21"/>
        </w:rPr>
        <w:t> </w:t>
      </w:r>
      <w:r>
        <w:rPr>
          <w:spacing w:val="-3"/>
          <w:w w:val="105"/>
          <w:sz w:val="21"/>
        </w:rPr>
        <w:t>relevant</w:t>
      </w:r>
      <w:r>
        <w:rPr>
          <w:spacing w:val="-8"/>
          <w:w w:val="105"/>
          <w:sz w:val="21"/>
        </w:rPr>
        <w:t> </w:t>
      </w:r>
      <w:r>
        <w:rPr>
          <w:spacing w:val="-3"/>
          <w:w w:val="105"/>
          <w:sz w:val="21"/>
        </w:rPr>
        <w:t>descriptor </w:t>
      </w:r>
      <w:r>
        <w:rPr>
          <w:w w:val="105"/>
          <w:sz w:val="21"/>
        </w:rPr>
        <w:t>under a new Act </w:t>
      </w:r>
      <w:r>
        <w:rPr>
          <w:spacing w:val="-3"/>
          <w:w w:val="105"/>
          <w:sz w:val="21"/>
        </w:rPr>
        <w:t>to allow for </w:t>
      </w:r>
      <w:r>
        <w:rPr>
          <w:w w:val="105"/>
          <w:sz w:val="21"/>
        </w:rPr>
        <w:t>vegetation </w:t>
      </w:r>
      <w:r>
        <w:rPr>
          <w:spacing w:val="-3"/>
          <w:w w:val="105"/>
          <w:sz w:val="21"/>
        </w:rPr>
        <w:t>that </w:t>
      </w:r>
      <w:r>
        <w:rPr>
          <w:w w:val="105"/>
          <w:sz w:val="21"/>
        </w:rPr>
        <w:t>is </w:t>
      </w:r>
      <w:r>
        <w:rPr>
          <w:spacing w:val="-2"/>
          <w:w w:val="105"/>
          <w:sz w:val="21"/>
        </w:rPr>
        <w:t>not </w:t>
      </w:r>
      <w:r>
        <w:rPr>
          <w:spacing w:val="-3"/>
          <w:w w:val="105"/>
          <w:sz w:val="21"/>
        </w:rPr>
        <w:t>technically </w:t>
      </w:r>
      <w:r>
        <w:rPr>
          <w:w w:val="105"/>
          <w:sz w:val="21"/>
        </w:rPr>
        <w:t>classified as a tree </w:t>
      </w:r>
      <w:r>
        <w:rPr>
          <w:spacing w:val="-3"/>
          <w:w w:val="105"/>
          <w:sz w:val="21"/>
        </w:rPr>
        <w:t>(for example, </w:t>
      </w:r>
      <w:r>
        <w:rPr>
          <w:w w:val="105"/>
          <w:sz w:val="21"/>
        </w:rPr>
        <w:t>vines or plants used in hedges) but </w:t>
      </w:r>
      <w:r>
        <w:rPr>
          <w:spacing w:val="-3"/>
          <w:w w:val="105"/>
          <w:sz w:val="21"/>
        </w:rPr>
        <w:t>that </w:t>
      </w:r>
      <w:r>
        <w:rPr>
          <w:w w:val="105"/>
          <w:sz w:val="21"/>
        </w:rPr>
        <w:t>can </w:t>
      </w:r>
      <w:r>
        <w:rPr>
          <w:spacing w:val="-3"/>
          <w:w w:val="105"/>
          <w:sz w:val="21"/>
        </w:rPr>
        <w:t>grow to </w:t>
      </w:r>
      <w:r>
        <w:rPr>
          <w:w w:val="105"/>
          <w:sz w:val="21"/>
        </w:rPr>
        <w:t>a </w:t>
      </w:r>
      <w:r>
        <w:rPr>
          <w:spacing w:val="-3"/>
          <w:w w:val="105"/>
          <w:sz w:val="21"/>
        </w:rPr>
        <w:t>significant</w:t>
      </w:r>
      <w:r>
        <w:rPr>
          <w:spacing w:val="43"/>
          <w:w w:val="105"/>
          <w:sz w:val="21"/>
        </w:rPr>
        <w:t> </w:t>
      </w:r>
      <w:r>
        <w:rPr>
          <w:spacing w:val="-4"/>
          <w:w w:val="105"/>
          <w:sz w:val="21"/>
        </w:rPr>
        <w:t>size.</w:t>
      </w:r>
      <w:r>
        <w:rPr>
          <w:spacing w:val="-4"/>
          <w:w w:val="105"/>
          <w:position w:val="7"/>
          <w:sz w:val="12"/>
        </w:rPr>
        <w:t>47</w:t>
      </w:r>
    </w:p>
    <w:p>
      <w:pPr>
        <w:pStyle w:val="ListParagraph"/>
        <w:numPr>
          <w:ilvl w:val="1"/>
          <w:numId w:val="16"/>
        </w:numPr>
        <w:tabs>
          <w:tab w:pos="2381" w:val="left" w:leader="none"/>
          <w:tab w:pos="2382" w:val="left" w:leader="none"/>
        </w:tabs>
        <w:spacing w:line="242" w:lineRule="auto" w:before="124" w:after="0"/>
        <w:ind w:left="2381" w:right="1622" w:hanging="794"/>
        <w:jc w:val="left"/>
        <w:rPr>
          <w:sz w:val="21"/>
        </w:rPr>
      </w:pPr>
      <w:r>
        <w:rPr>
          <w:sz w:val="21"/>
        </w:rPr>
        <w:t>Baw Baw </w:t>
      </w:r>
      <w:r>
        <w:rPr>
          <w:spacing w:val="-3"/>
          <w:sz w:val="21"/>
        </w:rPr>
        <w:t>Shire </w:t>
      </w:r>
      <w:r>
        <w:rPr>
          <w:spacing w:val="-4"/>
          <w:sz w:val="21"/>
        </w:rPr>
        <w:t>Council </w:t>
      </w:r>
      <w:r>
        <w:rPr>
          <w:sz w:val="21"/>
        </w:rPr>
        <w:t>observed </w:t>
      </w:r>
      <w:r>
        <w:rPr>
          <w:spacing w:val="-3"/>
          <w:sz w:val="21"/>
        </w:rPr>
        <w:t>that </w:t>
      </w:r>
      <w:r>
        <w:rPr>
          <w:sz w:val="21"/>
        </w:rPr>
        <w:t>ideas about what </w:t>
      </w:r>
      <w:r>
        <w:rPr>
          <w:spacing w:val="-3"/>
          <w:sz w:val="21"/>
        </w:rPr>
        <w:t>constitutes significant size may </w:t>
      </w:r>
      <w:r>
        <w:rPr>
          <w:sz w:val="21"/>
        </w:rPr>
        <w:t>be subjective—for </w:t>
      </w:r>
      <w:r>
        <w:rPr>
          <w:spacing w:val="-3"/>
          <w:sz w:val="21"/>
        </w:rPr>
        <w:t>example, </w:t>
      </w:r>
      <w:r>
        <w:rPr>
          <w:sz w:val="21"/>
        </w:rPr>
        <w:t>trees </w:t>
      </w:r>
      <w:r>
        <w:rPr>
          <w:spacing w:val="-3"/>
          <w:sz w:val="21"/>
        </w:rPr>
        <w:t>considered </w:t>
      </w:r>
      <w:r>
        <w:rPr>
          <w:sz w:val="21"/>
        </w:rPr>
        <w:t>large in metropolitan </w:t>
      </w:r>
      <w:r>
        <w:rPr>
          <w:spacing w:val="-3"/>
          <w:sz w:val="21"/>
        </w:rPr>
        <w:t>areas may </w:t>
      </w:r>
      <w:r>
        <w:rPr>
          <w:sz w:val="21"/>
        </w:rPr>
        <w:t>be </w:t>
      </w:r>
      <w:r>
        <w:rPr>
          <w:spacing w:val="-3"/>
          <w:sz w:val="21"/>
        </w:rPr>
        <w:t>considered small</w:t>
      </w:r>
      <w:r>
        <w:rPr>
          <w:spacing w:val="9"/>
          <w:sz w:val="21"/>
        </w:rPr>
        <w:t> </w:t>
      </w:r>
      <w:r>
        <w:rPr>
          <w:sz w:val="21"/>
        </w:rPr>
        <w:t>in</w:t>
      </w:r>
      <w:r>
        <w:rPr>
          <w:spacing w:val="10"/>
          <w:sz w:val="21"/>
        </w:rPr>
        <w:t> </w:t>
      </w:r>
      <w:r>
        <w:rPr>
          <w:spacing w:val="-3"/>
          <w:sz w:val="21"/>
        </w:rPr>
        <w:t>regional</w:t>
      </w:r>
      <w:r>
        <w:rPr>
          <w:spacing w:val="10"/>
          <w:sz w:val="21"/>
        </w:rPr>
        <w:t> </w:t>
      </w:r>
      <w:r>
        <w:rPr>
          <w:spacing w:val="-3"/>
          <w:sz w:val="21"/>
        </w:rPr>
        <w:t>areas</w:t>
      </w:r>
      <w:r>
        <w:rPr>
          <w:spacing w:val="10"/>
          <w:sz w:val="21"/>
        </w:rPr>
        <w:t> </w:t>
      </w:r>
      <w:r>
        <w:rPr>
          <w:spacing w:val="-3"/>
          <w:sz w:val="21"/>
        </w:rPr>
        <w:t>that</w:t>
      </w:r>
      <w:r>
        <w:rPr>
          <w:spacing w:val="10"/>
          <w:sz w:val="21"/>
        </w:rPr>
        <w:t> </w:t>
      </w:r>
      <w:r>
        <w:rPr>
          <w:spacing w:val="-3"/>
          <w:sz w:val="21"/>
        </w:rPr>
        <w:t>have</w:t>
      </w:r>
      <w:r>
        <w:rPr>
          <w:spacing w:val="10"/>
          <w:sz w:val="21"/>
        </w:rPr>
        <w:t> </w:t>
      </w:r>
      <w:r>
        <w:rPr>
          <w:sz w:val="21"/>
        </w:rPr>
        <w:t>more</w:t>
      </w:r>
      <w:r>
        <w:rPr>
          <w:spacing w:val="10"/>
          <w:sz w:val="21"/>
        </w:rPr>
        <w:t> </w:t>
      </w:r>
      <w:r>
        <w:rPr>
          <w:sz w:val="21"/>
        </w:rPr>
        <w:t>vegetated</w:t>
      </w:r>
      <w:r>
        <w:rPr>
          <w:spacing w:val="10"/>
          <w:sz w:val="21"/>
        </w:rPr>
        <w:t> </w:t>
      </w:r>
      <w:r>
        <w:rPr>
          <w:sz w:val="21"/>
        </w:rPr>
        <w:t>space.</w:t>
      </w:r>
      <w:r>
        <w:rPr>
          <w:position w:val="7"/>
          <w:sz w:val="12"/>
        </w:rPr>
        <w:t>48</w:t>
      </w:r>
    </w:p>
    <w:p>
      <w:pPr>
        <w:pStyle w:val="ListParagraph"/>
        <w:numPr>
          <w:ilvl w:val="1"/>
          <w:numId w:val="16"/>
        </w:numPr>
        <w:tabs>
          <w:tab w:pos="2380" w:val="left" w:leader="none"/>
          <w:tab w:pos="2381" w:val="left" w:leader="none"/>
        </w:tabs>
        <w:spacing w:line="242" w:lineRule="auto" w:before="123" w:after="0"/>
        <w:ind w:left="2381" w:right="1828" w:hanging="794"/>
        <w:jc w:val="left"/>
        <w:rPr>
          <w:sz w:val="21"/>
        </w:rPr>
      </w:pPr>
      <w:r>
        <w:rPr>
          <w:spacing w:val="-3"/>
          <w:w w:val="105"/>
          <w:sz w:val="21"/>
        </w:rPr>
        <w:t>Overall,</w:t>
      </w:r>
      <w:r>
        <w:rPr>
          <w:spacing w:val="-8"/>
          <w:w w:val="105"/>
          <w:sz w:val="21"/>
        </w:rPr>
        <w:t> </w:t>
      </w:r>
      <w:r>
        <w:rPr>
          <w:w w:val="105"/>
          <w:sz w:val="21"/>
        </w:rPr>
        <w:t>most</w:t>
      </w:r>
      <w:r>
        <w:rPr>
          <w:spacing w:val="-8"/>
          <w:w w:val="105"/>
          <w:sz w:val="21"/>
        </w:rPr>
        <w:t> </w:t>
      </w:r>
      <w:r>
        <w:rPr>
          <w:w w:val="105"/>
          <w:sz w:val="21"/>
        </w:rPr>
        <w:t>community</w:t>
      </w:r>
      <w:r>
        <w:rPr>
          <w:spacing w:val="-8"/>
          <w:w w:val="105"/>
          <w:sz w:val="21"/>
        </w:rPr>
        <w:t> </w:t>
      </w:r>
      <w:r>
        <w:rPr>
          <w:w w:val="105"/>
          <w:sz w:val="21"/>
        </w:rPr>
        <w:t>members</w:t>
      </w:r>
      <w:r>
        <w:rPr>
          <w:spacing w:val="-8"/>
          <w:w w:val="105"/>
          <w:sz w:val="21"/>
        </w:rPr>
        <w:t> </w:t>
      </w:r>
      <w:r>
        <w:rPr>
          <w:w w:val="105"/>
          <w:sz w:val="21"/>
        </w:rPr>
        <w:t>who</w:t>
      </w:r>
      <w:r>
        <w:rPr>
          <w:spacing w:val="-7"/>
          <w:w w:val="105"/>
          <w:sz w:val="21"/>
        </w:rPr>
        <w:t> </w:t>
      </w:r>
      <w:r>
        <w:rPr>
          <w:spacing w:val="-3"/>
          <w:w w:val="105"/>
          <w:sz w:val="21"/>
        </w:rPr>
        <w:t>favoured</w:t>
      </w:r>
      <w:r>
        <w:rPr>
          <w:spacing w:val="-8"/>
          <w:w w:val="105"/>
          <w:sz w:val="21"/>
        </w:rPr>
        <w:t> </w:t>
      </w:r>
      <w:r>
        <w:rPr>
          <w:w w:val="105"/>
          <w:sz w:val="21"/>
        </w:rPr>
        <w:t>a</w:t>
      </w:r>
      <w:r>
        <w:rPr>
          <w:spacing w:val="-8"/>
          <w:w w:val="105"/>
          <w:sz w:val="21"/>
        </w:rPr>
        <w:t> </w:t>
      </w:r>
      <w:r>
        <w:rPr>
          <w:w w:val="105"/>
          <w:sz w:val="21"/>
        </w:rPr>
        <w:t>broad</w:t>
      </w:r>
      <w:r>
        <w:rPr>
          <w:spacing w:val="-8"/>
          <w:w w:val="105"/>
          <w:sz w:val="21"/>
        </w:rPr>
        <w:t> </w:t>
      </w:r>
      <w:r>
        <w:rPr>
          <w:w w:val="105"/>
          <w:sz w:val="21"/>
        </w:rPr>
        <w:t>approach</w:t>
      </w:r>
      <w:r>
        <w:rPr>
          <w:spacing w:val="-7"/>
          <w:w w:val="105"/>
          <w:sz w:val="21"/>
        </w:rPr>
        <w:t> </w:t>
      </w:r>
      <w:r>
        <w:rPr>
          <w:w w:val="105"/>
          <w:sz w:val="21"/>
        </w:rPr>
        <w:t>suggested</w:t>
      </w:r>
      <w:r>
        <w:rPr>
          <w:spacing w:val="-8"/>
          <w:w w:val="105"/>
          <w:sz w:val="21"/>
        </w:rPr>
        <w:t> </w:t>
      </w:r>
      <w:r>
        <w:rPr>
          <w:spacing w:val="-3"/>
          <w:w w:val="105"/>
          <w:sz w:val="21"/>
        </w:rPr>
        <w:t>that</w:t>
      </w:r>
      <w:r>
        <w:rPr>
          <w:spacing w:val="-8"/>
          <w:w w:val="105"/>
          <w:sz w:val="21"/>
        </w:rPr>
        <w:t> </w:t>
      </w:r>
      <w:r>
        <w:rPr>
          <w:w w:val="105"/>
          <w:sz w:val="21"/>
        </w:rPr>
        <w:t>the new Act should </w:t>
      </w:r>
      <w:r>
        <w:rPr>
          <w:spacing w:val="-3"/>
          <w:w w:val="105"/>
          <w:sz w:val="21"/>
        </w:rPr>
        <w:t>include shrubs, </w:t>
      </w:r>
      <w:r>
        <w:rPr>
          <w:w w:val="105"/>
          <w:sz w:val="21"/>
        </w:rPr>
        <w:t>hedges, vines, cacti, </w:t>
      </w:r>
      <w:r>
        <w:rPr>
          <w:spacing w:val="-3"/>
          <w:w w:val="105"/>
          <w:sz w:val="21"/>
        </w:rPr>
        <w:t>palms </w:t>
      </w:r>
      <w:r>
        <w:rPr>
          <w:w w:val="105"/>
          <w:sz w:val="21"/>
        </w:rPr>
        <w:t>and bamboo in addition </w:t>
      </w:r>
      <w:r>
        <w:rPr>
          <w:spacing w:val="-3"/>
          <w:w w:val="105"/>
          <w:sz w:val="21"/>
        </w:rPr>
        <w:t>to </w:t>
      </w:r>
      <w:r>
        <w:rPr>
          <w:w w:val="105"/>
          <w:sz w:val="21"/>
        </w:rPr>
        <w:t>trees.</w:t>
      </w:r>
      <w:r>
        <w:rPr>
          <w:w w:val="105"/>
          <w:position w:val="7"/>
          <w:sz w:val="12"/>
        </w:rPr>
        <w:t>49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r>
        <w:rPr/>
        <w:pict>
          <v:line style="position:absolute;mso-position-horizontal-relative:page;mso-position-vertical-relative:paragraph;z-index:3224;mso-wrap-distance-left:0;mso-wrap-distance-right:0" from="79.370003pt,18.609806pt" to="515.905003pt,18.609806pt" stroked="true" strokeweight="1pt" strokecolor="#c9d2cb">
            <v:stroke dashstyle="solid"/>
            <w10:wrap type="topAndBottom"/>
          </v:line>
        </w:pict>
      </w:r>
    </w:p>
    <w:p>
      <w:pPr>
        <w:pStyle w:val="ListParagraph"/>
        <w:numPr>
          <w:ilvl w:val="0"/>
          <w:numId w:val="47"/>
        </w:numPr>
        <w:tabs>
          <w:tab w:pos="2380" w:val="left" w:leader="none"/>
          <w:tab w:pos="2382" w:val="left" w:leader="none"/>
        </w:tabs>
        <w:spacing w:line="240" w:lineRule="auto" w:before="117" w:after="0"/>
        <w:ind w:left="2381" w:right="0" w:hanging="794"/>
        <w:jc w:val="left"/>
        <w:rPr>
          <w:sz w:val="13"/>
        </w:rPr>
      </w:pPr>
      <w:r>
        <w:rPr>
          <w:w w:val="105"/>
          <w:sz w:val="13"/>
        </w:rPr>
        <w:t>Consultation </w:t>
      </w:r>
      <w:r>
        <w:rPr>
          <w:spacing w:val="-3"/>
          <w:w w:val="105"/>
          <w:sz w:val="13"/>
        </w:rPr>
        <w:t>14 </w:t>
      </w:r>
      <w:r>
        <w:rPr>
          <w:spacing w:val="2"/>
          <w:w w:val="105"/>
          <w:sz w:val="13"/>
        </w:rPr>
        <w:t>(Robert</w:t>
      </w:r>
      <w:r>
        <w:rPr>
          <w:spacing w:val="16"/>
          <w:w w:val="105"/>
          <w:sz w:val="13"/>
        </w:rPr>
        <w:t> </w:t>
      </w:r>
      <w:r>
        <w:rPr>
          <w:spacing w:val="2"/>
          <w:w w:val="105"/>
          <w:sz w:val="13"/>
        </w:rPr>
        <w:t>Mineo).</w:t>
      </w:r>
    </w:p>
    <w:p>
      <w:pPr>
        <w:pStyle w:val="ListParagraph"/>
        <w:numPr>
          <w:ilvl w:val="0"/>
          <w:numId w:val="47"/>
        </w:numPr>
        <w:tabs>
          <w:tab w:pos="2380" w:val="left" w:leader="none"/>
          <w:tab w:pos="2382" w:val="left" w:leader="none"/>
        </w:tabs>
        <w:spacing w:line="240" w:lineRule="auto" w:before="1" w:after="0"/>
        <w:ind w:left="2381" w:right="1621" w:hanging="794"/>
        <w:jc w:val="left"/>
        <w:rPr>
          <w:sz w:val="13"/>
        </w:rPr>
      </w:pPr>
      <w:r>
        <w:rPr>
          <w:sz w:val="13"/>
        </w:rPr>
        <w:t>Consultation </w:t>
      </w:r>
      <w:r>
        <w:rPr>
          <w:spacing w:val="-4"/>
          <w:sz w:val="13"/>
        </w:rPr>
        <w:t>12  </w:t>
      </w:r>
      <w:r>
        <w:rPr>
          <w:sz w:val="13"/>
        </w:rPr>
        <w:t>(City of Port Phillip); </w:t>
      </w:r>
      <w:r>
        <w:rPr>
          <w:i/>
          <w:sz w:val="13"/>
        </w:rPr>
        <w:t>Local Law No.1 </w:t>
      </w:r>
      <w:r>
        <w:rPr>
          <w:sz w:val="13"/>
        </w:rPr>
        <w:t>(Community Amenity) </w:t>
      </w:r>
      <w:r>
        <w:rPr>
          <w:spacing w:val="-3"/>
          <w:sz w:val="13"/>
        </w:rPr>
        <w:t>2013  </w:t>
      </w:r>
      <w:r>
        <w:rPr>
          <w:sz w:val="13"/>
        </w:rPr>
        <w:t>(City of Port Phillip) defines a significant tree or palm as </w:t>
      </w:r>
      <w:r>
        <w:rPr>
          <w:spacing w:val="-3"/>
          <w:sz w:val="13"/>
        </w:rPr>
        <w:t>‘a            </w:t>
      </w:r>
      <w:r>
        <w:rPr>
          <w:spacing w:val="23"/>
          <w:sz w:val="13"/>
        </w:rPr>
        <w:t> </w:t>
      </w:r>
      <w:r>
        <w:rPr>
          <w:sz w:val="13"/>
        </w:rPr>
        <w:t>tree or palm on private land: with a trunk circumference of 150 centimetres or greater measured 1 metre from its base; or a multi-stemmed           tree on private land where the circumference of its exterior stems equals or is or greater than 1.5 metres when measured 1 metre from its          bases;</w:t>
      </w:r>
      <w:r>
        <w:rPr>
          <w:spacing w:val="10"/>
          <w:sz w:val="13"/>
        </w:rPr>
        <w:t> </w:t>
      </w:r>
      <w:r>
        <w:rPr>
          <w:sz w:val="13"/>
        </w:rPr>
        <w:t>or</w:t>
      </w:r>
      <w:r>
        <w:rPr>
          <w:spacing w:val="10"/>
          <w:sz w:val="13"/>
        </w:rPr>
        <w:t> </w:t>
      </w:r>
      <w:r>
        <w:rPr>
          <w:sz w:val="13"/>
        </w:rPr>
        <w:t>if</w:t>
      </w:r>
      <w:r>
        <w:rPr>
          <w:spacing w:val="11"/>
          <w:sz w:val="13"/>
        </w:rPr>
        <w:t> </w:t>
      </w:r>
      <w:r>
        <w:rPr>
          <w:sz w:val="13"/>
        </w:rPr>
        <w:t>the</w:t>
      </w:r>
      <w:r>
        <w:rPr>
          <w:spacing w:val="10"/>
          <w:sz w:val="13"/>
        </w:rPr>
        <w:t> </w:t>
      </w:r>
      <w:r>
        <w:rPr>
          <w:sz w:val="13"/>
        </w:rPr>
        <w:t>tree</w:t>
      </w:r>
      <w:r>
        <w:rPr>
          <w:spacing w:val="11"/>
          <w:sz w:val="13"/>
        </w:rPr>
        <w:t> </w:t>
      </w:r>
      <w:r>
        <w:rPr>
          <w:sz w:val="13"/>
        </w:rPr>
        <w:t>has</w:t>
      </w:r>
      <w:r>
        <w:rPr>
          <w:spacing w:val="10"/>
          <w:sz w:val="13"/>
        </w:rPr>
        <w:t> </w:t>
      </w:r>
      <w:r>
        <w:rPr>
          <w:sz w:val="13"/>
        </w:rPr>
        <w:t>been</w:t>
      </w:r>
      <w:r>
        <w:rPr>
          <w:spacing w:val="11"/>
          <w:sz w:val="13"/>
        </w:rPr>
        <w:t> </w:t>
      </w:r>
      <w:r>
        <w:rPr>
          <w:sz w:val="13"/>
        </w:rPr>
        <w:t>removed</w:t>
      </w:r>
      <w:r>
        <w:rPr>
          <w:spacing w:val="10"/>
          <w:sz w:val="13"/>
        </w:rPr>
        <w:t> </w:t>
      </w:r>
      <w:r>
        <w:rPr>
          <w:sz w:val="13"/>
        </w:rPr>
        <w:t>a</w:t>
      </w:r>
      <w:r>
        <w:rPr>
          <w:spacing w:val="11"/>
          <w:sz w:val="13"/>
        </w:rPr>
        <w:t> </w:t>
      </w:r>
      <w:r>
        <w:rPr>
          <w:sz w:val="13"/>
        </w:rPr>
        <w:t>trunk</w:t>
      </w:r>
      <w:r>
        <w:rPr>
          <w:spacing w:val="10"/>
          <w:sz w:val="13"/>
        </w:rPr>
        <w:t> </w:t>
      </w:r>
      <w:r>
        <w:rPr>
          <w:sz w:val="13"/>
        </w:rPr>
        <w:t>circumference</w:t>
      </w:r>
      <w:r>
        <w:rPr>
          <w:spacing w:val="11"/>
          <w:sz w:val="13"/>
        </w:rPr>
        <w:t> </w:t>
      </w:r>
      <w:r>
        <w:rPr>
          <w:sz w:val="13"/>
        </w:rPr>
        <w:t>or</w:t>
      </w:r>
      <w:r>
        <w:rPr>
          <w:spacing w:val="10"/>
          <w:sz w:val="13"/>
        </w:rPr>
        <w:t> </w:t>
      </w:r>
      <w:r>
        <w:rPr>
          <w:sz w:val="13"/>
        </w:rPr>
        <w:t>at</w:t>
      </w:r>
      <w:r>
        <w:rPr>
          <w:spacing w:val="11"/>
          <w:sz w:val="13"/>
        </w:rPr>
        <w:t> </w:t>
      </w:r>
      <w:r>
        <w:rPr>
          <w:sz w:val="13"/>
        </w:rPr>
        <w:t>150</w:t>
      </w:r>
      <w:r>
        <w:rPr>
          <w:spacing w:val="10"/>
          <w:sz w:val="13"/>
        </w:rPr>
        <w:t> </w:t>
      </w:r>
      <w:r>
        <w:rPr>
          <w:sz w:val="13"/>
        </w:rPr>
        <w:t>centimetres</w:t>
      </w:r>
      <w:r>
        <w:rPr>
          <w:spacing w:val="11"/>
          <w:sz w:val="13"/>
        </w:rPr>
        <w:t> </w:t>
      </w:r>
      <w:r>
        <w:rPr>
          <w:sz w:val="13"/>
        </w:rPr>
        <w:t>or</w:t>
      </w:r>
      <w:r>
        <w:rPr>
          <w:spacing w:val="10"/>
          <w:sz w:val="13"/>
        </w:rPr>
        <w:t> </w:t>
      </w:r>
      <w:r>
        <w:rPr>
          <w:sz w:val="13"/>
        </w:rPr>
        <w:t>greater</w:t>
      </w:r>
      <w:r>
        <w:rPr>
          <w:spacing w:val="11"/>
          <w:sz w:val="13"/>
        </w:rPr>
        <w:t> </w:t>
      </w:r>
      <w:r>
        <w:rPr>
          <w:sz w:val="13"/>
        </w:rPr>
        <w:t>measured</w:t>
      </w:r>
      <w:r>
        <w:rPr>
          <w:spacing w:val="10"/>
          <w:sz w:val="13"/>
        </w:rPr>
        <w:t> </w:t>
      </w:r>
      <w:r>
        <w:rPr>
          <w:sz w:val="13"/>
        </w:rPr>
        <w:t>at</w:t>
      </w:r>
      <w:r>
        <w:rPr>
          <w:spacing w:val="11"/>
          <w:sz w:val="13"/>
        </w:rPr>
        <w:t> </w:t>
      </w:r>
      <w:r>
        <w:rPr>
          <w:sz w:val="13"/>
        </w:rPr>
        <w:t>its</w:t>
      </w:r>
      <w:r>
        <w:rPr>
          <w:spacing w:val="10"/>
          <w:sz w:val="13"/>
        </w:rPr>
        <w:t> </w:t>
      </w:r>
      <w:r>
        <w:rPr>
          <w:sz w:val="13"/>
        </w:rPr>
        <w:t>base’:</w:t>
      </w:r>
      <w:r>
        <w:rPr>
          <w:spacing w:val="11"/>
          <w:sz w:val="13"/>
        </w:rPr>
        <w:t> </w:t>
      </w:r>
      <w:r>
        <w:rPr>
          <w:sz w:val="13"/>
        </w:rPr>
        <w:t>cl</w:t>
      </w:r>
      <w:r>
        <w:rPr>
          <w:spacing w:val="10"/>
          <w:sz w:val="13"/>
        </w:rPr>
        <w:t> </w:t>
      </w:r>
      <w:r>
        <w:rPr>
          <w:sz w:val="13"/>
        </w:rPr>
        <w:t>6.</w:t>
      </w:r>
    </w:p>
    <w:p>
      <w:pPr>
        <w:pStyle w:val="ListParagraph"/>
        <w:numPr>
          <w:ilvl w:val="0"/>
          <w:numId w:val="47"/>
        </w:numPr>
        <w:tabs>
          <w:tab w:pos="2381" w:val="left" w:leader="none"/>
          <w:tab w:pos="2382" w:val="left" w:leader="none"/>
        </w:tabs>
        <w:spacing w:line="240" w:lineRule="auto" w:before="6" w:after="0"/>
        <w:ind w:left="2381" w:right="0" w:hanging="794"/>
        <w:jc w:val="left"/>
        <w:rPr>
          <w:sz w:val="13"/>
        </w:rPr>
      </w:pPr>
      <w:r>
        <w:rPr>
          <w:w w:val="105"/>
          <w:sz w:val="13"/>
        </w:rPr>
        <w:t>Consultation 9 (Nillumbik Shire</w:t>
      </w:r>
      <w:r>
        <w:rPr>
          <w:spacing w:val="18"/>
          <w:w w:val="105"/>
          <w:sz w:val="13"/>
        </w:rPr>
        <w:t> </w:t>
      </w:r>
      <w:r>
        <w:rPr>
          <w:w w:val="105"/>
          <w:sz w:val="13"/>
        </w:rPr>
        <w:t>Council).</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Submission 20 </w:t>
      </w:r>
      <w:r>
        <w:rPr>
          <w:spacing w:val="2"/>
          <w:w w:val="105"/>
          <w:sz w:val="13"/>
        </w:rPr>
        <w:t>(Name</w:t>
      </w:r>
      <w:r>
        <w:rPr>
          <w:spacing w:val="13"/>
          <w:w w:val="105"/>
          <w:sz w:val="13"/>
        </w:rPr>
        <w:t> </w:t>
      </w:r>
      <w:r>
        <w:rPr>
          <w:w w:val="105"/>
          <w:sz w:val="13"/>
        </w:rPr>
        <w:t>withheld).</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4"/>
          <w:w w:val="105"/>
          <w:sz w:val="13"/>
        </w:rPr>
        <w:t>12 </w:t>
      </w:r>
      <w:r>
        <w:rPr>
          <w:spacing w:val="3"/>
          <w:w w:val="105"/>
          <w:sz w:val="13"/>
        </w:rPr>
        <w:t>(Dr </w:t>
      </w:r>
      <w:r>
        <w:rPr>
          <w:w w:val="105"/>
          <w:sz w:val="13"/>
        </w:rPr>
        <w:t>Gregory Moore</w:t>
      </w:r>
      <w:r>
        <w:rPr>
          <w:spacing w:val="-3"/>
          <w:w w:val="105"/>
          <w:sz w:val="13"/>
        </w:rPr>
        <w:t> </w:t>
      </w:r>
      <w:r>
        <w:rPr>
          <w:spacing w:val="2"/>
          <w:w w:val="105"/>
          <w:sz w:val="13"/>
        </w:rPr>
        <w:t>OAM).</w:t>
      </w:r>
    </w:p>
    <w:p>
      <w:pPr>
        <w:pStyle w:val="ListParagraph"/>
        <w:numPr>
          <w:ilvl w:val="0"/>
          <w:numId w:val="47"/>
        </w:numPr>
        <w:tabs>
          <w:tab w:pos="2381" w:val="left" w:leader="none"/>
          <w:tab w:pos="2382" w:val="left" w:leader="none"/>
        </w:tabs>
        <w:spacing w:line="240" w:lineRule="auto" w:before="2" w:after="0"/>
        <w:ind w:left="2381" w:right="1748" w:hanging="794"/>
        <w:jc w:val="left"/>
        <w:rPr>
          <w:sz w:val="13"/>
        </w:rPr>
      </w:pPr>
      <w:r>
        <w:rPr>
          <w:w w:val="105"/>
          <w:sz w:val="13"/>
        </w:rPr>
        <w:t>A pachycaul is a succulent plant with capacity for secondary growth. Pachycauls ‘display a strongly swollen woody stem with often highly reduced</w:t>
      </w:r>
      <w:r>
        <w:rPr>
          <w:spacing w:val="5"/>
          <w:w w:val="105"/>
          <w:sz w:val="13"/>
        </w:rPr>
        <w:t> </w:t>
      </w:r>
      <w:r>
        <w:rPr>
          <w:w w:val="105"/>
          <w:sz w:val="13"/>
        </w:rPr>
        <w:t>branches:</w:t>
      </w:r>
      <w:r>
        <w:rPr>
          <w:spacing w:val="6"/>
          <w:w w:val="105"/>
          <w:sz w:val="13"/>
        </w:rPr>
        <w:t> </w:t>
      </w:r>
      <w:r>
        <w:rPr>
          <w:w w:val="105"/>
          <w:sz w:val="13"/>
        </w:rPr>
        <w:t>Howard</w:t>
      </w:r>
      <w:r>
        <w:rPr>
          <w:spacing w:val="6"/>
          <w:w w:val="105"/>
          <w:sz w:val="13"/>
        </w:rPr>
        <w:t> </w:t>
      </w:r>
      <w:r>
        <w:rPr>
          <w:w w:val="105"/>
          <w:sz w:val="13"/>
        </w:rPr>
        <w:t>Griffiths</w:t>
      </w:r>
      <w:r>
        <w:rPr>
          <w:spacing w:val="6"/>
          <w:w w:val="105"/>
          <w:sz w:val="13"/>
        </w:rPr>
        <w:t> </w:t>
      </w:r>
      <w:r>
        <w:rPr>
          <w:w w:val="105"/>
          <w:sz w:val="13"/>
        </w:rPr>
        <w:t>and</w:t>
      </w:r>
      <w:r>
        <w:rPr>
          <w:spacing w:val="6"/>
          <w:w w:val="105"/>
          <w:sz w:val="13"/>
        </w:rPr>
        <w:t> </w:t>
      </w:r>
      <w:r>
        <w:rPr>
          <w:w w:val="105"/>
          <w:sz w:val="13"/>
        </w:rPr>
        <w:t>Jamie</w:t>
      </w:r>
      <w:r>
        <w:rPr>
          <w:spacing w:val="6"/>
          <w:w w:val="105"/>
          <w:sz w:val="13"/>
        </w:rPr>
        <w:t> </w:t>
      </w:r>
      <w:r>
        <w:rPr>
          <w:w w:val="105"/>
          <w:sz w:val="13"/>
        </w:rPr>
        <w:t>Males,</w:t>
      </w:r>
      <w:r>
        <w:rPr>
          <w:spacing w:val="5"/>
          <w:w w:val="105"/>
          <w:sz w:val="13"/>
        </w:rPr>
        <w:t> </w:t>
      </w:r>
      <w:r>
        <w:rPr>
          <w:w w:val="105"/>
          <w:sz w:val="13"/>
        </w:rPr>
        <w:t>‘Succulent</w:t>
      </w:r>
      <w:r>
        <w:rPr>
          <w:spacing w:val="6"/>
          <w:w w:val="105"/>
          <w:sz w:val="13"/>
        </w:rPr>
        <w:t> </w:t>
      </w:r>
      <w:r>
        <w:rPr>
          <w:w w:val="105"/>
          <w:sz w:val="13"/>
        </w:rPr>
        <w:t>Plants’</w:t>
      </w:r>
      <w:r>
        <w:rPr>
          <w:spacing w:val="6"/>
          <w:w w:val="105"/>
          <w:sz w:val="13"/>
        </w:rPr>
        <w:t> </w:t>
      </w:r>
      <w:r>
        <w:rPr>
          <w:spacing w:val="-5"/>
          <w:w w:val="105"/>
          <w:sz w:val="13"/>
        </w:rPr>
        <w:t>(11</w:t>
      </w:r>
      <w:r>
        <w:rPr>
          <w:spacing w:val="6"/>
          <w:w w:val="105"/>
          <w:sz w:val="13"/>
        </w:rPr>
        <w:t> </w:t>
      </w:r>
      <w:r>
        <w:rPr>
          <w:w w:val="105"/>
          <w:sz w:val="13"/>
        </w:rPr>
        <w:t>September</w:t>
      </w:r>
      <w:r>
        <w:rPr>
          <w:spacing w:val="6"/>
          <w:w w:val="105"/>
          <w:sz w:val="13"/>
        </w:rPr>
        <w:t> </w:t>
      </w:r>
      <w:r>
        <w:rPr>
          <w:w w:val="105"/>
          <w:sz w:val="13"/>
        </w:rPr>
        <w:t>2017)</w:t>
      </w:r>
      <w:r>
        <w:rPr>
          <w:spacing w:val="6"/>
          <w:w w:val="105"/>
          <w:sz w:val="13"/>
        </w:rPr>
        <w:t> </w:t>
      </w:r>
      <w:r>
        <w:rPr>
          <w:w w:val="105"/>
          <w:sz w:val="13"/>
        </w:rPr>
        <w:t>27(17)</w:t>
      </w:r>
      <w:r>
        <w:rPr>
          <w:spacing w:val="6"/>
          <w:w w:val="105"/>
          <w:sz w:val="13"/>
        </w:rPr>
        <w:t> </w:t>
      </w:r>
      <w:r>
        <w:rPr>
          <w:i/>
          <w:w w:val="105"/>
          <w:sz w:val="13"/>
        </w:rPr>
        <w:t>Current</w:t>
      </w:r>
      <w:r>
        <w:rPr>
          <w:i/>
          <w:spacing w:val="5"/>
          <w:w w:val="105"/>
          <w:sz w:val="13"/>
        </w:rPr>
        <w:t> </w:t>
      </w:r>
      <w:r>
        <w:rPr>
          <w:i/>
          <w:w w:val="105"/>
          <w:sz w:val="13"/>
        </w:rPr>
        <w:t>Biology</w:t>
      </w:r>
      <w:r>
        <w:rPr>
          <w:i/>
          <w:spacing w:val="6"/>
          <w:w w:val="105"/>
          <w:sz w:val="13"/>
        </w:rPr>
        <w:t> </w:t>
      </w:r>
      <w:r>
        <w:rPr>
          <w:w w:val="105"/>
          <w:sz w:val="13"/>
        </w:rPr>
        <w:t>894.</w:t>
      </w:r>
    </w:p>
    <w:p>
      <w:pPr>
        <w:pStyle w:val="ListParagraph"/>
        <w:numPr>
          <w:ilvl w:val="0"/>
          <w:numId w:val="47"/>
        </w:numPr>
        <w:tabs>
          <w:tab w:pos="2381" w:val="left" w:leader="none"/>
          <w:tab w:pos="2382" w:val="left" w:leader="none"/>
        </w:tabs>
        <w:spacing w:line="240" w:lineRule="auto" w:before="2" w:after="0"/>
        <w:ind w:left="2381" w:right="0" w:hanging="794"/>
        <w:jc w:val="left"/>
        <w:rPr>
          <w:sz w:val="13"/>
        </w:rPr>
      </w:pPr>
      <w:r>
        <w:rPr>
          <w:w w:val="105"/>
          <w:sz w:val="13"/>
        </w:rPr>
        <w:t>Submission </w:t>
      </w:r>
      <w:r>
        <w:rPr>
          <w:spacing w:val="-4"/>
          <w:w w:val="105"/>
          <w:sz w:val="13"/>
        </w:rPr>
        <w:t>12 </w:t>
      </w:r>
      <w:r>
        <w:rPr>
          <w:spacing w:val="3"/>
          <w:w w:val="105"/>
          <w:sz w:val="13"/>
        </w:rPr>
        <w:t>(Dr </w:t>
      </w:r>
      <w:r>
        <w:rPr>
          <w:w w:val="105"/>
          <w:sz w:val="13"/>
        </w:rPr>
        <w:t>Gregory Moore</w:t>
      </w:r>
      <w:r>
        <w:rPr>
          <w:spacing w:val="-3"/>
          <w:w w:val="105"/>
          <w:sz w:val="13"/>
        </w:rPr>
        <w:t> </w:t>
      </w:r>
      <w:r>
        <w:rPr>
          <w:spacing w:val="2"/>
          <w:w w:val="105"/>
          <w:sz w:val="13"/>
        </w:rPr>
        <w:t>OAM).</w:t>
      </w:r>
    </w:p>
    <w:p>
      <w:pPr>
        <w:pStyle w:val="ListParagraph"/>
        <w:numPr>
          <w:ilvl w:val="0"/>
          <w:numId w:val="47"/>
        </w:numPr>
        <w:tabs>
          <w:tab w:pos="2381" w:val="left" w:leader="none"/>
          <w:tab w:pos="2382" w:val="left" w:leader="none"/>
        </w:tabs>
        <w:spacing w:line="240" w:lineRule="auto" w:before="2" w:after="0"/>
        <w:ind w:left="2381" w:right="1753" w:hanging="794"/>
        <w:jc w:val="left"/>
        <w:rPr>
          <w:sz w:val="13"/>
        </w:rPr>
      </w:pPr>
      <w:r>
        <w:rPr>
          <w:w w:val="105"/>
          <w:sz w:val="13"/>
        </w:rPr>
        <w:t>Instead of just a single trunk, mallees have many stems that rise from a large bulbous woody structure called a lignotuber, or mallee root: Australian</w:t>
      </w:r>
      <w:r>
        <w:rPr>
          <w:spacing w:val="7"/>
          <w:w w:val="105"/>
          <w:sz w:val="13"/>
        </w:rPr>
        <w:t> </w:t>
      </w:r>
      <w:r>
        <w:rPr>
          <w:w w:val="105"/>
          <w:sz w:val="13"/>
        </w:rPr>
        <w:t>National</w:t>
      </w:r>
      <w:r>
        <w:rPr>
          <w:spacing w:val="8"/>
          <w:w w:val="105"/>
          <w:sz w:val="13"/>
        </w:rPr>
        <w:t> </w:t>
      </w:r>
      <w:r>
        <w:rPr>
          <w:w w:val="105"/>
          <w:sz w:val="13"/>
        </w:rPr>
        <w:t>Botanic</w:t>
      </w:r>
      <w:r>
        <w:rPr>
          <w:spacing w:val="8"/>
          <w:w w:val="105"/>
          <w:sz w:val="13"/>
        </w:rPr>
        <w:t> </w:t>
      </w:r>
      <w:r>
        <w:rPr>
          <w:w w:val="105"/>
          <w:sz w:val="13"/>
        </w:rPr>
        <w:t>Gardens,</w:t>
      </w:r>
      <w:r>
        <w:rPr>
          <w:spacing w:val="8"/>
          <w:w w:val="105"/>
          <w:sz w:val="13"/>
        </w:rPr>
        <w:t> </w:t>
      </w:r>
      <w:r>
        <w:rPr>
          <w:w w:val="105"/>
          <w:sz w:val="13"/>
        </w:rPr>
        <w:t>Australian</w:t>
      </w:r>
      <w:r>
        <w:rPr>
          <w:spacing w:val="8"/>
          <w:w w:val="105"/>
          <w:sz w:val="13"/>
        </w:rPr>
        <w:t> </w:t>
      </w:r>
      <w:r>
        <w:rPr>
          <w:w w:val="105"/>
          <w:sz w:val="13"/>
        </w:rPr>
        <w:t>Government,</w:t>
      </w:r>
      <w:r>
        <w:rPr>
          <w:spacing w:val="8"/>
          <w:w w:val="105"/>
          <w:sz w:val="13"/>
        </w:rPr>
        <w:t> </w:t>
      </w:r>
      <w:r>
        <w:rPr>
          <w:i/>
          <w:w w:val="105"/>
          <w:sz w:val="13"/>
        </w:rPr>
        <w:t>Mallee</w:t>
      </w:r>
      <w:r>
        <w:rPr>
          <w:i/>
          <w:spacing w:val="8"/>
          <w:w w:val="105"/>
          <w:sz w:val="13"/>
        </w:rPr>
        <w:t> </w:t>
      </w:r>
      <w:r>
        <w:rPr>
          <w:i/>
          <w:w w:val="105"/>
          <w:sz w:val="13"/>
        </w:rPr>
        <w:t>Plant—Surviving</w:t>
      </w:r>
      <w:r>
        <w:rPr>
          <w:i/>
          <w:spacing w:val="8"/>
          <w:w w:val="105"/>
          <w:sz w:val="13"/>
        </w:rPr>
        <w:t> </w:t>
      </w:r>
      <w:r>
        <w:rPr>
          <w:i/>
          <w:w w:val="105"/>
          <w:sz w:val="13"/>
        </w:rPr>
        <w:t>Harsh</w:t>
      </w:r>
      <w:r>
        <w:rPr>
          <w:i/>
          <w:spacing w:val="8"/>
          <w:w w:val="105"/>
          <w:sz w:val="13"/>
        </w:rPr>
        <w:t> </w:t>
      </w:r>
      <w:r>
        <w:rPr>
          <w:i/>
          <w:w w:val="105"/>
          <w:sz w:val="13"/>
        </w:rPr>
        <w:t>Conditions</w:t>
      </w:r>
      <w:r>
        <w:rPr>
          <w:i/>
          <w:spacing w:val="7"/>
          <w:w w:val="105"/>
          <w:sz w:val="13"/>
        </w:rPr>
        <w:t> </w:t>
      </w:r>
      <w:r>
        <w:rPr>
          <w:w w:val="105"/>
          <w:sz w:val="13"/>
        </w:rPr>
        <w:t>(Information</w:t>
      </w:r>
      <w:r>
        <w:rPr>
          <w:spacing w:val="8"/>
          <w:w w:val="105"/>
          <w:sz w:val="13"/>
        </w:rPr>
        <w:t> </w:t>
      </w:r>
      <w:r>
        <w:rPr>
          <w:w w:val="105"/>
          <w:sz w:val="13"/>
        </w:rPr>
        <w:t>Resource,</w:t>
      </w:r>
      <w:r>
        <w:rPr>
          <w:spacing w:val="8"/>
          <w:w w:val="105"/>
          <w:sz w:val="13"/>
        </w:rPr>
        <w:t> </w:t>
      </w:r>
      <w:r>
        <w:rPr>
          <w:spacing w:val="2"/>
          <w:w w:val="105"/>
          <w:sz w:val="13"/>
        </w:rPr>
        <w:t>2004)</w:t>
      </w:r>
      <w:r>
        <w:rPr>
          <w:spacing w:val="8"/>
          <w:w w:val="105"/>
          <w:sz w:val="13"/>
        </w:rPr>
        <w:t> </w:t>
      </w:r>
      <w:r>
        <w:rPr>
          <w:w w:val="105"/>
          <w:sz w:val="13"/>
        </w:rPr>
        <w:t>2.</w:t>
      </w:r>
    </w:p>
    <w:p>
      <w:pPr>
        <w:pStyle w:val="ListParagraph"/>
        <w:numPr>
          <w:ilvl w:val="0"/>
          <w:numId w:val="47"/>
        </w:numPr>
        <w:tabs>
          <w:tab w:pos="2381" w:val="left" w:leader="none"/>
          <w:tab w:pos="2382" w:val="left" w:leader="none"/>
        </w:tabs>
        <w:spacing w:line="240" w:lineRule="auto" w:before="2" w:after="0"/>
        <w:ind w:left="2381" w:right="0" w:hanging="794"/>
        <w:jc w:val="left"/>
        <w:rPr>
          <w:i/>
          <w:sz w:val="13"/>
        </w:rPr>
      </w:pPr>
      <w:r>
        <w:rPr>
          <w:w w:val="105"/>
          <w:sz w:val="13"/>
        </w:rPr>
        <w:t>Submission</w:t>
      </w:r>
      <w:r>
        <w:rPr>
          <w:spacing w:val="5"/>
          <w:w w:val="105"/>
          <w:sz w:val="13"/>
        </w:rPr>
        <w:t> </w:t>
      </w:r>
      <w:r>
        <w:rPr>
          <w:spacing w:val="-4"/>
          <w:w w:val="105"/>
          <w:sz w:val="13"/>
        </w:rPr>
        <w:t>12</w:t>
      </w:r>
      <w:r>
        <w:rPr>
          <w:spacing w:val="6"/>
          <w:w w:val="105"/>
          <w:sz w:val="13"/>
        </w:rPr>
        <w:t> </w:t>
      </w:r>
      <w:r>
        <w:rPr>
          <w:spacing w:val="3"/>
          <w:w w:val="105"/>
          <w:sz w:val="13"/>
        </w:rPr>
        <w:t>(Dr</w:t>
      </w:r>
      <w:r>
        <w:rPr>
          <w:spacing w:val="5"/>
          <w:w w:val="105"/>
          <w:sz w:val="13"/>
        </w:rPr>
        <w:t> </w:t>
      </w:r>
      <w:r>
        <w:rPr>
          <w:w w:val="105"/>
          <w:sz w:val="13"/>
        </w:rPr>
        <w:t>Gregory</w:t>
      </w:r>
      <w:r>
        <w:rPr>
          <w:spacing w:val="6"/>
          <w:w w:val="105"/>
          <w:sz w:val="13"/>
        </w:rPr>
        <w:t> </w:t>
      </w:r>
      <w:r>
        <w:rPr>
          <w:w w:val="105"/>
          <w:sz w:val="13"/>
        </w:rPr>
        <w:t>Moore</w:t>
      </w:r>
      <w:r>
        <w:rPr>
          <w:spacing w:val="5"/>
          <w:w w:val="105"/>
          <w:sz w:val="13"/>
        </w:rPr>
        <w:t> </w:t>
      </w:r>
      <w:r>
        <w:rPr>
          <w:spacing w:val="2"/>
          <w:w w:val="105"/>
          <w:sz w:val="13"/>
        </w:rPr>
        <w:t>OAM);</w:t>
      </w:r>
      <w:r>
        <w:rPr>
          <w:spacing w:val="6"/>
          <w:w w:val="105"/>
          <w:sz w:val="13"/>
        </w:rPr>
        <w:t> </w:t>
      </w:r>
      <w:r>
        <w:rPr>
          <w:w w:val="105"/>
          <w:sz w:val="13"/>
        </w:rPr>
        <w:t>See</w:t>
      </w:r>
      <w:r>
        <w:rPr>
          <w:spacing w:val="6"/>
          <w:w w:val="105"/>
          <w:sz w:val="13"/>
        </w:rPr>
        <w:t> </w:t>
      </w:r>
      <w:r>
        <w:rPr>
          <w:w w:val="105"/>
          <w:sz w:val="13"/>
        </w:rPr>
        <w:t>Richard</w:t>
      </w:r>
      <w:r>
        <w:rPr>
          <w:spacing w:val="5"/>
          <w:w w:val="105"/>
          <w:sz w:val="13"/>
        </w:rPr>
        <w:t> </w:t>
      </w:r>
      <w:r>
        <w:rPr>
          <w:w w:val="105"/>
          <w:sz w:val="13"/>
        </w:rPr>
        <w:t>Aitken</w:t>
      </w:r>
      <w:r>
        <w:rPr>
          <w:spacing w:val="6"/>
          <w:w w:val="105"/>
          <w:sz w:val="13"/>
        </w:rPr>
        <w:t> </w:t>
      </w:r>
      <w:r>
        <w:rPr>
          <w:w w:val="105"/>
          <w:sz w:val="13"/>
        </w:rPr>
        <w:t>and</w:t>
      </w:r>
      <w:r>
        <w:rPr>
          <w:spacing w:val="5"/>
          <w:w w:val="105"/>
          <w:sz w:val="13"/>
        </w:rPr>
        <w:t> </w:t>
      </w:r>
      <w:r>
        <w:rPr>
          <w:w w:val="105"/>
          <w:sz w:val="13"/>
        </w:rPr>
        <w:t>Michael</w:t>
      </w:r>
      <w:r>
        <w:rPr>
          <w:spacing w:val="6"/>
          <w:w w:val="105"/>
          <w:sz w:val="13"/>
        </w:rPr>
        <w:t> </w:t>
      </w:r>
      <w:r>
        <w:rPr>
          <w:w w:val="105"/>
          <w:sz w:val="13"/>
        </w:rPr>
        <w:t>Looker</w:t>
      </w:r>
      <w:r>
        <w:rPr>
          <w:spacing w:val="5"/>
          <w:w w:val="105"/>
          <w:sz w:val="13"/>
        </w:rPr>
        <w:t> </w:t>
      </w:r>
      <w:r>
        <w:rPr>
          <w:spacing w:val="2"/>
          <w:w w:val="105"/>
          <w:sz w:val="13"/>
        </w:rPr>
        <w:t>(eds),</w:t>
      </w:r>
      <w:r>
        <w:rPr>
          <w:spacing w:val="6"/>
          <w:w w:val="105"/>
          <w:sz w:val="13"/>
        </w:rPr>
        <w:t> </w:t>
      </w:r>
      <w:r>
        <w:rPr>
          <w:i/>
          <w:w w:val="105"/>
          <w:sz w:val="13"/>
        </w:rPr>
        <w:t>The</w:t>
      </w:r>
      <w:r>
        <w:rPr>
          <w:i/>
          <w:spacing w:val="6"/>
          <w:w w:val="105"/>
          <w:sz w:val="13"/>
        </w:rPr>
        <w:t> </w:t>
      </w:r>
      <w:r>
        <w:rPr>
          <w:i/>
          <w:w w:val="105"/>
          <w:sz w:val="13"/>
        </w:rPr>
        <w:t>Oxford</w:t>
      </w:r>
      <w:r>
        <w:rPr>
          <w:i/>
          <w:spacing w:val="5"/>
          <w:w w:val="105"/>
          <w:sz w:val="13"/>
        </w:rPr>
        <w:t> </w:t>
      </w:r>
      <w:r>
        <w:rPr>
          <w:i/>
          <w:w w:val="105"/>
          <w:sz w:val="13"/>
        </w:rPr>
        <w:t>Companion</w:t>
      </w:r>
      <w:r>
        <w:rPr>
          <w:i/>
          <w:spacing w:val="6"/>
          <w:w w:val="105"/>
          <w:sz w:val="13"/>
        </w:rPr>
        <w:t> </w:t>
      </w:r>
      <w:r>
        <w:rPr>
          <w:i/>
          <w:w w:val="105"/>
          <w:sz w:val="13"/>
        </w:rPr>
        <w:t>to</w:t>
      </w:r>
      <w:r>
        <w:rPr>
          <w:i/>
          <w:spacing w:val="5"/>
          <w:w w:val="105"/>
          <w:sz w:val="13"/>
        </w:rPr>
        <w:t> </w:t>
      </w:r>
      <w:r>
        <w:rPr>
          <w:i/>
          <w:w w:val="105"/>
          <w:sz w:val="13"/>
        </w:rPr>
        <w:t>Australian</w:t>
      </w:r>
      <w:r>
        <w:rPr>
          <w:i/>
          <w:spacing w:val="6"/>
          <w:w w:val="105"/>
          <w:sz w:val="13"/>
        </w:rPr>
        <w:t> </w:t>
      </w:r>
      <w:r>
        <w:rPr>
          <w:i/>
          <w:w w:val="105"/>
          <w:sz w:val="13"/>
        </w:rPr>
        <w:t>Gardens</w:t>
      </w:r>
    </w:p>
    <w:p>
      <w:pPr>
        <w:spacing w:before="2"/>
        <w:ind w:left="2381" w:right="0" w:firstLine="0"/>
        <w:jc w:val="left"/>
        <w:rPr>
          <w:sz w:val="13"/>
        </w:rPr>
      </w:pPr>
      <w:r>
        <w:rPr>
          <w:sz w:val="13"/>
        </w:rPr>
        <w:t>(Oxford University Press, 2002) 602.</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Confidential</w:t>
      </w:r>
      <w:r>
        <w:rPr>
          <w:spacing w:val="4"/>
          <w:w w:val="105"/>
          <w:sz w:val="13"/>
        </w:rPr>
        <w:t> </w:t>
      </w:r>
      <w:r>
        <w:rPr>
          <w:w w:val="105"/>
          <w:sz w:val="13"/>
        </w:rPr>
        <w:t>submission.</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Submission 10 (Professor Phillip</w:t>
      </w:r>
      <w:r>
        <w:rPr>
          <w:spacing w:val="18"/>
          <w:w w:val="105"/>
          <w:sz w:val="13"/>
        </w:rPr>
        <w:t> </w:t>
      </w:r>
      <w:r>
        <w:rPr>
          <w:w w:val="105"/>
          <w:sz w:val="13"/>
        </w:rPr>
        <w:t>Hamilton).</w:t>
      </w:r>
    </w:p>
    <w:p>
      <w:pPr>
        <w:pStyle w:val="ListParagraph"/>
        <w:numPr>
          <w:ilvl w:val="0"/>
          <w:numId w:val="47"/>
        </w:numPr>
        <w:tabs>
          <w:tab w:pos="2381" w:val="left" w:leader="none"/>
          <w:tab w:pos="2382" w:val="left" w:leader="none"/>
        </w:tabs>
        <w:spacing w:line="240" w:lineRule="auto" w:before="2"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47"/>
        </w:numPr>
        <w:tabs>
          <w:tab w:pos="2381" w:val="left" w:leader="none"/>
          <w:tab w:pos="2382" w:val="left" w:leader="none"/>
        </w:tabs>
        <w:spacing w:line="240" w:lineRule="auto" w:before="1" w:after="0"/>
        <w:ind w:left="2381" w:right="1708" w:hanging="794"/>
        <w:jc w:val="left"/>
        <w:rPr>
          <w:sz w:val="13"/>
        </w:rPr>
      </w:pPr>
      <w:r>
        <w:rPr/>
        <w:pict>
          <v:shape style="position:absolute;margin-left:548.953308pt;margin-top:2.993266pt;width:13.2pt;height:14.25pt;mso-position-horizontal-relative:page;mso-position-vertical-relative:paragraph;z-index:5296" type="#_x0000_t202" filled="false" stroked="false">
            <v:textbox inset="0,0,0,0">
              <w:txbxContent>
                <w:p>
                  <w:pPr>
                    <w:spacing w:line="284" w:lineRule="exact" w:before="0"/>
                    <w:ind w:left="0" w:right="0" w:firstLine="0"/>
                    <w:jc w:val="left"/>
                    <w:rPr>
                      <w:b/>
                      <w:sz w:val="24"/>
                    </w:rPr>
                  </w:pPr>
                  <w:r>
                    <w:rPr>
                      <w:b/>
                      <w:color w:val="658464"/>
                      <w:spacing w:val="-2"/>
                      <w:w w:val="110"/>
                      <w:sz w:val="24"/>
                    </w:rPr>
                    <w:t>69</w:t>
                  </w:r>
                </w:p>
              </w:txbxContent>
            </v:textbox>
            <w10:wrap type="none"/>
          </v:shape>
        </w:pict>
      </w:r>
      <w:r>
        <w:rPr>
          <w:w w:val="105"/>
          <w:sz w:val="13"/>
        </w:rPr>
        <w:t>Submissions 9 </w:t>
      </w:r>
      <w:r>
        <w:rPr>
          <w:spacing w:val="3"/>
          <w:w w:val="105"/>
          <w:sz w:val="13"/>
        </w:rPr>
        <w:t>(Dr </w:t>
      </w:r>
      <w:r>
        <w:rPr>
          <w:w w:val="105"/>
          <w:sz w:val="13"/>
        </w:rPr>
        <w:t>Karen Smith), 10 (Professor Phillip Hamilton), </w:t>
      </w:r>
      <w:r>
        <w:rPr>
          <w:spacing w:val="-6"/>
          <w:w w:val="105"/>
          <w:sz w:val="13"/>
        </w:rPr>
        <w:t>11 </w:t>
      </w:r>
      <w:r>
        <w:rPr>
          <w:spacing w:val="2"/>
          <w:w w:val="105"/>
          <w:sz w:val="13"/>
        </w:rPr>
        <w:t>(Name </w:t>
      </w:r>
      <w:r>
        <w:rPr>
          <w:w w:val="105"/>
          <w:sz w:val="13"/>
        </w:rPr>
        <w:t>withheld); Consultations 9 (Nillumbik Shire Council), </w:t>
      </w:r>
      <w:r>
        <w:rPr>
          <w:spacing w:val="-4"/>
          <w:w w:val="105"/>
          <w:sz w:val="13"/>
        </w:rPr>
        <w:t>12 </w:t>
      </w:r>
      <w:r>
        <w:rPr>
          <w:w w:val="105"/>
          <w:sz w:val="13"/>
        </w:rPr>
        <w:t>(City of Port Phillip), </w:t>
      </w:r>
      <w:r>
        <w:rPr>
          <w:spacing w:val="-3"/>
          <w:w w:val="105"/>
          <w:sz w:val="13"/>
        </w:rPr>
        <w:t>14 </w:t>
      </w:r>
      <w:r>
        <w:rPr>
          <w:spacing w:val="2"/>
          <w:w w:val="105"/>
          <w:sz w:val="13"/>
        </w:rPr>
        <w:t>(Robert</w:t>
      </w:r>
      <w:r>
        <w:rPr>
          <w:spacing w:val="20"/>
          <w:w w:val="105"/>
          <w:sz w:val="13"/>
        </w:rPr>
        <w:t> </w:t>
      </w:r>
      <w:r>
        <w:rPr>
          <w:spacing w:val="2"/>
          <w:w w:val="105"/>
          <w:sz w:val="13"/>
        </w:rPr>
        <w:t>Mineo).</w:t>
      </w:r>
    </w:p>
    <w:p>
      <w:pPr>
        <w:spacing w:after="0" w:line="240" w:lineRule="auto"/>
        <w:jc w:val="left"/>
        <w:rPr>
          <w:sz w:val="13"/>
        </w:rPr>
        <w:sectPr>
          <w:pgSz w:w="11910" w:h="16840"/>
          <w:pgMar w:header="808" w:footer="0" w:top="1360" w:bottom="280" w:left="0" w:right="0"/>
        </w:sectPr>
      </w:pPr>
    </w:p>
    <w:p>
      <w:pPr>
        <w:pStyle w:val="BodyText"/>
        <w:spacing w:before="2"/>
        <w:rPr>
          <w:sz w:val="22"/>
        </w:rPr>
      </w:pPr>
    </w:p>
    <w:p>
      <w:pPr>
        <w:pStyle w:val="Heading7"/>
        <w:spacing w:before="97"/>
      </w:pPr>
      <w:bookmarkStart w:name="_bookmark44" w:id="110"/>
      <w:bookmarkEnd w:id="110"/>
      <w:r>
        <w:rPr/>
      </w:r>
      <w:r>
        <w:rPr>
          <w:color w:val="58595B"/>
          <w:w w:val="110"/>
        </w:rPr>
        <w:t>Dead trees, parts of trees and roots</w:t>
      </w:r>
    </w:p>
    <w:p>
      <w:pPr>
        <w:pStyle w:val="ListParagraph"/>
        <w:numPr>
          <w:ilvl w:val="1"/>
          <w:numId w:val="16"/>
        </w:numPr>
        <w:tabs>
          <w:tab w:pos="2381" w:val="left" w:leader="none"/>
          <w:tab w:pos="2382" w:val="left" w:leader="none"/>
        </w:tabs>
        <w:spacing w:line="242" w:lineRule="auto" w:before="142" w:after="0"/>
        <w:ind w:left="2381" w:right="1628" w:hanging="794"/>
        <w:jc w:val="left"/>
        <w:rPr>
          <w:sz w:val="21"/>
        </w:rPr>
      </w:pPr>
      <w:r>
        <w:rPr>
          <w:w w:val="105"/>
          <w:sz w:val="21"/>
        </w:rPr>
        <w:t>Arborist</w:t>
      </w:r>
      <w:r>
        <w:rPr>
          <w:spacing w:val="-7"/>
          <w:w w:val="105"/>
          <w:sz w:val="21"/>
        </w:rPr>
        <w:t> </w:t>
      </w:r>
      <w:r>
        <w:rPr>
          <w:w w:val="105"/>
          <w:sz w:val="21"/>
        </w:rPr>
        <w:t>Dr</w:t>
      </w:r>
      <w:r>
        <w:rPr>
          <w:spacing w:val="-6"/>
          <w:w w:val="105"/>
          <w:sz w:val="21"/>
        </w:rPr>
        <w:t> </w:t>
      </w:r>
      <w:r>
        <w:rPr>
          <w:w w:val="105"/>
          <w:sz w:val="21"/>
        </w:rPr>
        <w:t>Karen</w:t>
      </w:r>
      <w:r>
        <w:rPr>
          <w:spacing w:val="-6"/>
          <w:w w:val="105"/>
          <w:sz w:val="21"/>
        </w:rPr>
        <w:t> </w:t>
      </w:r>
      <w:r>
        <w:rPr>
          <w:spacing w:val="-3"/>
          <w:w w:val="105"/>
          <w:sz w:val="21"/>
        </w:rPr>
        <w:t>Smith</w:t>
      </w:r>
      <w:r>
        <w:rPr>
          <w:spacing w:val="-6"/>
          <w:w w:val="105"/>
          <w:sz w:val="21"/>
        </w:rPr>
        <w:t> </w:t>
      </w:r>
      <w:r>
        <w:rPr>
          <w:w w:val="105"/>
          <w:sz w:val="21"/>
        </w:rPr>
        <w:t>stated</w:t>
      </w:r>
      <w:r>
        <w:rPr>
          <w:spacing w:val="-6"/>
          <w:w w:val="105"/>
          <w:sz w:val="21"/>
        </w:rPr>
        <w:t> </w:t>
      </w:r>
      <w:r>
        <w:rPr>
          <w:spacing w:val="-3"/>
          <w:w w:val="105"/>
          <w:sz w:val="21"/>
        </w:rPr>
        <w:t>that</w:t>
      </w:r>
      <w:r>
        <w:rPr>
          <w:spacing w:val="-6"/>
          <w:w w:val="105"/>
          <w:sz w:val="21"/>
        </w:rPr>
        <w:t> </w:t>
      </w:r>
      <w:r>
        <w:rPr>
          <w:w w:val="105"/>
          <w:sz w:val="21"/>
        </w:rPr>
        <w:t>dead</w:t>
      </w:r>
      <w:r>
        <w:rPr>
          <w:spacing w:val="-6"/>
          <w:w w:val="105"/>
          <w:sz w:val="21"/>
        </w:rPr>
        <w:t> </w:t>
      </w:r>
      <w:r>
        <w:rPr>
          <w:w w:val="105"/>
          <w:sz w:val="21"/>
        </w:rPr>
        <w:t>trees</w:t>
      </w:r>
      <w:r>
        <w:rPr>
          <w:spacing w:val="-6"/>
          <w:w w:val="105"/>
          <w:sz w:val="21"/>
        </w:rPr>
        <w:t> </w:t>
      </w:r>
      <w:r>
        <w:rPr>
          <w:w w:val="105"/>
          <w:sz w:val="21"/>
        </w:rPr>
        <w:t>should</w:t>
      </w:r>
      <w:r>
        <w:rPr>
          <w:spacing w:val="-6"/>
          <w:w w:val="105"/>
          <w:sz w:val="21"/>
        </w:rPr>
        <w:t> </w:t>
      </w:r>
      <w:r>
        <w:rPr>
          <w:w w:val="105"/>
          <w:sz w:val="21"/>
        </w:rPr>
        <w:t>be</w:t>
      </w:r>
      <w:r>
        <w:rPr>
          <w:spacing w:val="-6"/>
          <w:w w:val="105"/>
          <w:sz w:val="21"/>
        </w:rPr>
        <w:t> </w:t>
      </w:r>
      <w:r>
        <w:rPr>
          <w:spacing w:val="-3"/>
          <w:w w:val="105"/>
          <w:sz w:val="21"/>
        </w:rPr>
        <w:t>included,</w:t>
      </w:r>
      <w:r>
        <w:rPr>
          <w:spacing w:val="-6"/>
          <w:w w:val="105"/>
          <w:sz w:val="21"/>
        </w:rPr>
        <w:t> </w:t>
      </w:r>
      <w:r>
        <w:rPr>
          <w:w w:val="105"/>
          <w:sz w:val="21"/>
        </w:rPr>
        <w:t>as</w:t>
      </w:r>
      <w:r>
        <w:rPr>
          <w:spacing w:val="-6"/>
          <w:w w:val="105"/>
          <w:sz w:val="21"/>
        </w:rPr>
        <w:t> </w:t>
      </w:r>
      <w:r>
        <w:rPr>
          <w:spacing w:val="-3"/>
          <w:w w:val="105"/>
          <w:sz w:val="21"/>
        </w:rPr>
        <w:t>well</w:t>
      </w:r>
      <w:r>
        <w:rPr>
          <w:spacing w:val="-6"/>
          <w:w w:val="105"/>
          <w:sz w:val="21"/>
        </w:rPr>
        <w:t> </w:t>
      </w:r>
      <w:r>
        <w:rPr>
          <w:w w:val="105"/>
          <w:sz w:val="21"/>
        </w:rPr>
        <w:t>as</w:t>
      </w:r>
      <w:r>
        <w:rPr>
          <w:spacing w:val="-6"/>
          <w:w w:val="105"/>
          <w:sz w:val="21"/>
        </w:rPr>
        <w:t> </w:t>
      </w:r>
      <w:r>
        <w:rPr>
          <w:w w:val="105"/>
          <w:sz w:val="21"/>
        </w:rPr>
        <w:t>‘fruit,</w:t>
      </w:r>
      <w:r>
        <w:rPr>
          <w:spacing w:val="-6"/>
          <w:w w:val="105"/>
          <w:sz w:val="21"/>
        </w:rPr>
        <w:t> </w:t>
      </w:r>
      <w:r>
        <w:rPr>
          <w:w w:val="105"/>
          <w:sz w:val="21"/>
        </w:rPr>
        <w:t>seeds, </w:t>
      </w:r>
      <w:r>
        <w:rPr>
          <w:spacing w:val="-3"/>
          <w:w w:val="105"/>
          <w:sz w:val="21"/>
        </w:rPr>
        <w:t>pollen, leaves </w:t>
      </w:r>
      <w:r>
        <w:rPr>
          <w:w w:val="105"/>
          <w:sz w:val="21"/>
        </w:rPr>
        <w:t>and flowers of a </w:t>
      </w:r>
      <w:r>
        <w:rPr>
          <w:spacing w:val="-3"/>
          <w:w w:val="105"/>
          <w:sz w:val="21"/>
        </w:rPr>
        <w:t>plant </w:t>
      </w:r>
      <w:r>
        <w:rPr>
          <w:w w:val="115"/>
          <w:sz w:val="21"/>
        </w:rPr>
        <w:t>… </w:t>
      </w:r>
      <w:r>
        <w:rPr>
          <w:w w:val="105"/>
          <w:sz w:val="21"/>
        </w:rPr>
        <w:t>Roots should be </w:t>
      </w:r>
      <w:r>
        <w:rPr>
          <w:spacing w:val="-3"/>
          <w:w w:val="105"/>
          <w:sz w:val="21"/>
        </w:rPr>
        <w:t>included, </w:t>
      </w:r>
      <w:r>
        <w:rPr>
          <w:w w:val="105"/>
          <w:sz w:val="21"/>
        </w:rPr>
        <w:t>as should</w:t>
      </w:r>
      <w:r>
        <w:rPr>
          <w:spacing w:val="43"/>
          <w:w w:val="105"/>
          <w:sz w:val="21"/>
        </w:rPr>
        <w:t> </w:t>
      </w:r>
      <w:r>
        <w:rPr>
          <w:spacing w:val="-4"/>
          <w:w w:val="105"/>
          <w:sz w:val="21"/>
        </w:rPr>
        <w:t>suckers.’</w:t>
      </w:r>
      <w:r>
        <w:rPr>
          <w:spacing w:val="-4"/>
          <w:w w:val="105"/>
          <w:position w:val="7"/>
          <w:sz w:val="12"/>
        </w:rPr>
        <w:t>50</w:t>
      </w:r>
    </w:p>
    <w:p>
      <w:pPr>
        <w:pStyle w:val="ListParagraph"/>
        <w:numPr>
          <w:ilvl w:val="1"/>
          <w:numId w:val="16"/>
        </w:numPr>
        <w:tabs>
          <w:tab w:pos="2381" w:val="left" w:leader="none"/>
          <w:tab w:pos="2382" w:val="left" w:leader="none"/>
        </w:tabs>
        <w:spacing w:line="242" w:lineRule="auto" w:before="123" w:after="0"/>
        <w:ind w:left="2381" w:right="1866" w:hanging="794"/>
        <w:jc w:val="left"/>
        <w:rPr>
          <w:sz w:val="21"/>
        </w:rPr>
      </w:pPr>
      <w:r>
        <w:rPr>
          <w:w w:val="105"/>
          <w:sz w:val="21"/>
        </w:rPr>
        <w:t>A tree </w:t>
      </w:r>
      <w:r>
        <w:rPr>
          <w:spacing w:val="-3"/>
          <w:w w:val="105"/>
          <w:sz w:val="21"/>
        </w:rPr>
        <w:t>disputes consultant </w:t>
      </w:r>
      <w:r>
        <w:rPr>
          <w:w w:val="105"/>
          <w:sz w:val="21"/>
        </w:rPr>
        <w:t>in New South </w:t>
      </w:r>
      <w:r>
        <w:rPr>
          <w:spacing w:val="-3"/>
          <w:w w:val="105"/>
          <w:sz w:val="21"/>
        </w:rPr>
        <w:t>Wales </w:t>
      </w:r>
      <w:r>
        <w:rPr>
          <w:w w:val="105"/>
          <w:sz w:val="21"/>
        </w:rPr>
        <w:t>stated </w:t>
      </w:r>
      <w:r>
        <w:rPr>
          <w:spacing w:val="-3"/>
          <w:w w:val="105"/>
          <w:sz w:val="21"/>
        </w:rPr>
        <w:t>that </w:t>
      </w:r>
      <w:r>
        <w:rPr>
          <w:w w:val="105"/>
          <w:sz w:val="21"/>
        </w:rPr>
        <w:t>the new Act should </w:t>
      </w:r>
      <w:r>
        <w:rPr>
          <w:spacing w:val="-3"/>
          <w:w w:val="105"/>
          <w:sz w:val="21"/>
        </w:rPr>
        <w:t>include </w:t>
      </w:r>
      <w:r>
        <w:rPr>
          <w:w w:val="105"/>
          <w:sz w:val="21"/>
        </w:rPr>
        <w:t>a</w:t>
      </w:r>
      <w:r>
        <w:rPr>
          <w:spacing w:val="-7"/>
          <w:w w:val="105"/>
          <w:sz w:val="21"/>
        </w:rPr>
        <w:t> </w:t>
      </w:r>
      <w:r>
        <w:rPr>
          <w:w w:val="105"/>
          <w:sz w:val="21"/>
        </w:rPr>
        <w:t>tree</w:t>
      </w:r>
      <w:r>
        <w:rPr>
          <w:spacing w:val="-6"/>
          <w:w w:val="105"/>
          <w:sz w:val="21"/>
        </w:rPr>
        <w:t> </w:t>
      </w:r>
      <w:r>
        <w:rPr>
          <w:spacing w:val="-3"/>
          <w:w w:val="105"/>
          <w:sz w:val="21"/>
        </w:rPr>
        <w:t>that</w:t>
      </w:r>
      <w:r>
        <w:rPr>
          <w:spacing w:val="-6"/>
          <w:w w:val="105"/>
          <w:sz w:val="21"/>
        </w:rPr>
        <w:t> </w:t>
      </w:r>
      <w:r>
        <w:rPr>
          <w:spacing w:val="-2"/>
          <w:w w:val="105"/>
          <w:sz w:val="21"/>
        </w:rPr>
        <w:t>has</w:t>
      </w:r>
      <w:r>
        <w:rPr>
          <w:spacing w:val="-7"/>
          <w:w w:val="105"/>
          <w:sz w:val="21"/>
        </w:rPr>
        <w:t> </w:t>
      </w:r>
      <w:r>
        <w:rPr>
          <w:w w:val="105"/>
          <w:sz w:val="21"/>
        </w:rPr>
        <w:t>been</w:t>
      </w:r>
      <w:r>
        <w:rPr>
          <w:spacing w:val="-6"/>
          <w:w w:val="105"/>
          <w:sz w:val="21"/>
        </w:rPr>
        <w:t> </w:t>
      </w:r>
      <w:r>
        <w:rPr>
          <w:w w:val="105"/>
          <w:sz w:val="21"/>
        </w:rPr>
        <w:t>wholly</w:t>
      </w:r>
      <w:r>
        <w:rPr>
          <w:spacing w:val="-6"/>
          <w:w w:val="105"/>
          <w:sz w:val="21"/>
        </w:rPr>
        <w:t> </w:t>
      </w:r>
      <w:r>
        <w:rPr>
          <w:w w:val="105"/>
          <w:sz w:val="21"/>
        </w:rPr>
        <w:t>removed</w:t>
      </w:r>
      <w:r>
        <w:rPr>
          <w:spacing w:val="-6"/>
          <w:w w:val="105"/>
          <w:sz w:val="21"/>
        </w:rPr>
        <w:t> </w:t>
      </w:r>
      <w:r>
        <w:rPr>
          <w:w w:val="105"/>
          <w:sz w:val="21"/>
        </w:rPr>
        <w:t>by</w:t>
      </w:r>
      <w:r>
        <w:rPr>
          <w:spacing w:val="-7"/>
          <w:w w:val="105"/>
          <w:sz w:val="21"/>
        </w:rPr>
        <w:t> </w:t>
      </w:r>
      <w:r>
        <w:rPr>
          <w:w w:val="105"/>
          <w:sz w:val="21"/>
        </w:rPr>
        <w:t>the</w:t>
      </w:r>
      <w:r>
        <w:rPr>
          <w:spacing w:val="-6"/>
          <w:w w:val="105"/>
          <w:sz w:val="21"/>
        </w:rPr>
        <w:t> </w:t>
      </w:r>
      <w:r>
        <w:rPr>
          <w:w w:val="105"/>
          <w:sz w:val="21"/>
        </w:rPr>
        <w:t>time</w:t>
      </w:r>
      <w:r>
        <w:rPr>
          <w:spacing w:val="-6"/>
          <w:w w:val="105"/>
          <w:sz w:val="21"/>
        </w:rPr>
        <w:t> </w:t>
      </w:r>
      <w:r>
        <w:rPr>
          <w:w w:val="105"/>
          <w:sz w:val="21"/>
        </w:rPr>
        <w:t>legal</w:t>
      </w:r>
      <w:r>
        <w:rPr>
          <w:spacing w:val="-7"/>
          <w:w w:val="105"/>
          <w:sz w:val="21"/>
        </w:rPr>
        <w:t> </w:t>
      </w:r>
      <w:r>
        <w:rPr>
          <w:w w:val="105"/>
          <w:sz w:val="21"/>
        </w:rPr>
        <w:t>action</w:t>
      </w:r>
      <w:r>
        <w:rPr>
          <w:spacing w:val="-6"/>
          <w:w w:val="105"/>
          <w:sz w:val="21"/>
        </w:rPr>
        <w:t> </w:t>
      </w:r>
      <w:r>
        <w:rPr>
          <w:spacing w:val="-2"/>
          <w:w w:val="105"/>
          <w:sz w:val="21"/>
        </w:rPr>
        <w:t>has</w:t>
      </w:r>
      <w:r>
        <w:rPr>
          <w:spacing w:val="-6"/>
          <w:w w:val="105"/>
          <w:sz w:val="21"/>
        </w:rPr>
        <w:t> </w:t>
      </w:r>
      <w:r>
        <w:rPr>
          <w:spacing w:val="-3"/>
          <w:w w:val="105"/>
          <w:sz w:val="21"/>
        </w:rPr>
        <w:t>commenced.</w:t>
      </w:r>
      <w:r>
        <w:rPr>
          <w:spacing w:val="-3"/>
          <w:w w:val="105"/>
          <w:position w:val="7"/>
          <w:sz w:val="12"/>
        </w:rPr>
        <w:t>51</w:t>
      </w:r>
      <w:r>
        <w:rPr>
          <w:spacing w:val="16"/>
          <w:w w:val="105"/>
          <w:position w:val="7"/>
          <w:sz w:val="12"/>
        </w:rPr>
        <w:t> </w:t>
      </w:r>
      <w:r>
        <w:rPr>
          <w:spacing w:val="-3"/>
          <w:w w:val="105"/>
          <w:sz w:val="21"/>
        </w:rPr>
        <w:t>Before </w:t>
      </w:r>
      <w:r>
        <w:rPr>
          <w:w w:val="105"/>
          <w:sz w:val="21"/>
        </w:rPr>
        <w:t>the tree was removed it </w:t>
      </w:r>
      <w:r>
        <w:rPr>
          <w:spacing w:val="-3"/>
          <w:w w:val="105"/>
          <w:sz w:val="21"/>
        </w:rPr>
        <w:t>may have </w:t>
      </w:r>
      <w:r>
        <w:rPr>
          <w:w w:val="105"/>
          <w:sz w:val="21"/>
        </w:rPr>
        <w:t>damaged </w:t>
      </w:r>
      <w:r>
        <w:rPr>
          <w:spacing w:val="-3"/>
          <w:w w:val="105"/>
          <w:sz w:val="21"/>
        </w:rPr>
        <w:t>neighbouring </w:t>
      </w:r>
      <w:r>
        <w:rPr>
          <w:w w:val="105"/>
          <w:sz w:val="21"/>
        </w:rPr>
        <w:t>property, and the affected </w:t>
      </w:r>
      <w:r>
        <w:rPr>
          <w:spacing w:val="-3"/>
          <w:w w:val="105"/>
          <w:sz w:val="21"/>
        </w:rPr>
        <w:t>neighbour may </w:t>
      </w:r>
      <w:r>
        <w:rPr>
          <w:w w:val="105"/>
          <w:sz w:val="21"/>
        </w:rPr>
        <w:t>seek </w:t>
      </w:r>
      <w:r>
        <w:rPr>
          <w:spacing w:val="-3"/>
          <w:w w:val="105"/>
          <w:sz w:val="21"/>
        </w:rPr>
        <w:t>to </w:t>
      </w:r>
      <w:r>
        <w:rPr>
          <w:w w:val="105"/>
          <w:sz w:val="21"/>
        </w:rPr>
        <w:t>be reimbursed </w:t>
      </w:r>
      <w:r>
        <w:rPr>
          <w:spacing w:val="-3"/>
          <w:w w:val="105"/>
          <w:sz w:val="21"/>
        </w:rPr>
        <w:t>for </w:t>
      </w:r>
      <w:r>
        <w:rPr>
          <w:w w:val="105"/>
          <w:sz w:val="21"/>
        </w:rPr>
        <w:t>the cost of repairs </w:t>
      </w:r>
      <w:r>
        <w:rPr>
          <w:spacing w:val="-3"/>
          <w:w w:val="105"/>
          <w:sz w:val="21"/>
        </w:rPr>
        <w:t>from </w:t>
      </w:r>
      <w:r>
        <w:rPr>
          <w:w w:val="105"/>
          <w:sz w:val="21"/>
        </w:rPr>
        <w:t>the tree</w:t>
      </w:r>
      <w:r>
        <w:rPr>
          <w:spacing w:val="-11"/>
          <w:w w:val="105"/>
          <w:sz w:val="21"/>
        </w:rPr>
        <w:t> </w:t>
      </w:r>
      <w:r>
        <w:rPr>
          <w:spacing w:val="-4"/>
          <w:w w:val="105"/>
          <w:sz w:val="21"/>
        </w:rPr>
        <w:t>owner.</w:t>
      </w:r>
    </w:p>
    <w:p>
      <w:pPr>
        <w:pStyle w:val="ListParagraph"/>
        <w:numPr>
          <w:ilvl w:val="1"/>
          <w:numId w:val="16"/>
        </w:numPr>
        <w:tabs>
          <w:tab w:pos="2380" w:val="left" w:leader="none"/>
          <w:tab w:pos="2381" w:val="left" w:leader="none"/>
        </w:tabs>
        <w:spacing w:line="242" w:lineRule="auto" w:before="124" w:after="0"/>
        <w:ind w:left="2380" w:right="1756" w:hanging="793"/>
        <w:jc w:val="left"/>
        <w:rPr>
          <w:sz w:val="21"/>
        </w:rPr>
      </w:pPr>
      <w:r>
        <w:rPr>
          <w:w w:val="105"/>
          <w:sz w:val="21"/>
        </w:rPr>
        <w:t>The Land and </w:t>
      </w:r>
      <w:r>
        <w:rPr>
          <w:spacing w:val="-3"/>
          <w:w w:val="105"/>
          <w:sz w:val="21"/>
        </w:rPr>
        <w:t>Environment Court </w:t>
      </w:r>
      <w:r>
        <w:rPr>
          <w:w w:val="105"/>
          <w:sz w:val="21"/>
        </w:rPr>
        <w:t>of New South </w:t>
      </w:r>
      <w:r>
        <w:rPr>
          <w:spacing w:val="-3"/>
          <w:w w:val="105"/>
          <w:sz w:val="21"/>
        </w:rPr>
        <w:t>Wales </w:t>
      </w:r>
      <w:r>
        <w:rPr>
          <w:w w:val="105"/>
          <w:sz w:val="21"/>
        </w:rPr>
        <w:t>(NSWLEC) stated </w:t>
      </w:r>
      <w:r>
        <w:rPr>
          <w:spacing w:val="-3"/>
          <w:w w:val="105"/>
          <w:sz w:val="21"/>
        </w:rPr>
        <w:t>that </w:t>
      </w:r>
      <w:r>
        <w:rPr>
          <w:w w:val="105"/>
          <w:sz w:val="21"/>
        </w:rPr>
        <w:t>the broad definition of ‘tree’ under the NSW Act, with the option </w:t>
      </w:r>
      <w:r>
        <w:rPr>
          <w:spacing w:val="-3"/>
          <w:w w:val="105"/>
          <w:sz w:val="21"/>
        </w:rPr>
        <w:t>to </w:t>
      </w:r>
      <w:r>
        <w:rPr>
          <w:w w:val="105"/>
          <w:sz w:val="21"/>
        </w:rPr>
        <w:t>add further species </w:t>
      </w:r>
      <w:r>
        <w:rPr>
          <w:spacing w:val="-3"/>
          <w:w w:val="105"/>
          <w:sz w:val="21"/>
        </w:rPr>
        <w:t>through accompanying Regulations, </w:t>
      </w:r>
      <w:r>
        <w:rPr>
          <w:spacing w:val="-2"/>
          <w:w w:val="105"/>
          <w:sz w:val="21"/>
        </w:rPr>
        <w:t>has </w:t>
      </w:r>
      <w:r>
        <w:rPr>
          <w:w w:val="105"/>
          <w:sz w:val="21"/>
        </w:rPr>
        <w:t>been </w:t>
      </w:r>
      <w:r>
        <w:rPr>
          <w:spacing w:val="-3"/>
          <w:w w:val="105"/>
          <w:sz w:val="21"/>
        </w:rPr>
        <w:t>working well. </w:t>
      </w:r>
      <w:r>
        <w:rPr>
          <w:w w:val="105"/>
          <w:sz w:val="21"/>
        </w:rPr>
        <w:t>The NSWLEC also explained </w:t>
      </w:r>
      <w:r>
        <w:rPr>
          <w:spacing w:val="-3"/>
          <w:w w:val="105"/>
          <w:sz w:val="21"/>
        </w:rPr>
        <w:t>that </w:t>
      </w:r>
      <w:r>
        <w:rPr>
          <w:w w:val="105"/>
          <w:sz w:val="21"/>
        </w:rPr>
        <w:t>the broad definition </w:t>
      </w:r>
      <w:r>
        <w:rPr>
          <w:spacing w:val="-3"/>
          <w:w w:val="105"/>
          <w:sz w:val="21"/>
        </w:rPr>
        <w:t>implies </w:t>
      </w:r>
      <w:r>
        <w:rPr>
          <w:w w:val="105"/>
          <w:sz w:val="21"/>
        </w:rPr>
        <w:t>the </w:t>
      </w:r>
      <w:r>
        <w:rPr>
          <w:spacing w:val="-3"/>
          <w:w w:val="105"/>
          <w:sz w:val="21"/>
        </w:rPr>
        <w:t>inclusion </w:t>
      </w:r>
      <w:r>
        <w:rPr>
          <w:w w:val="105"/>
          <w:sz w:val="21"/>
        </w:rPr>
        <w:t>of tree roots and dead</w:t>
      </w:r>
      <w:r>
        <w:rPr>
          <w:spacing w:val="22"/>
          <w:w w:val="105"/>
          <w:sz w:val="21"/>
        </w:rPr>
        <w:t> </w:t>
      </w:r>
      <w:r>
        <w:rPr>
          <w:w w:val="105"/>
          <w:sz w:val="21"/>
        </w:rPr>
        <w:t>trees.</w:t>
      </w:r>
      <w:r>
        <w:rPr>
          <w:w w:val="105"/>
          <w:position w:val="7"/>
          <w:sz w:val="12"/>
        </w:rPr>
        <w:t>52</w:t>
      </w:r>
    </w:p>
    <w:p>
      <w:pPr>
        <w:pStyle w:val="ListParagraph"/>
        <w:numPr>
          <w:ilvl w:val="1"/>
          <w:numId w:val="16"/>
        </w:numPr>
        <w:tabs>
          <w:tab w:pos="2380" w:val="left" w:leader="none"/>
          <w:tab w:pos="2381" w:val="left" w:leader="none"/>
        </w:tabs>
        <w:spacing w:line="242" w:lineRule="auto" w:before="124" w:after="0"/>
        <w:ind w:left="2381" w:right="1738" w:hanging="794"/>
        <w:jc w:val="left"/>
        <w:rPr>
          <w:sz w:val="21"/>
        </w:rPr>
      </w:pPr>
      <w:r>
        <w:rPr>
          <w:sz w:val="21"/>
        </w:rPr>
        <w:t>A tree </w:t>
      </w:r>
      <w:r>
        <w:rPr>
          <w:spacing w:val="-3"/>
          <w:sz w:val="21"/>
        </w:rPr>
        <w:t>disputes consultant </w:t>
      </w:r>
      <w:r>
        <w:rPr>
          <w:sz w:val="21"/>
        </w:rPr>
        <w:t>in New South </w:t>
      </w:r>
      <w:r>
        <w:rPr>
          <w:spacing w:val="-3"/>
          <w:sz w:val="21"/>
        </w:rPr>
        <w:t>Wales noted </w:t>
      </w:r>
      <w:r>
        <w:rPr>
          <w:sz w:val="21"/>
        </w:rPr>
        <w:t>the usefulness of the </w:t>
      </w:r>
      <w:r>
        <w:rPr>
          <w:spacing w:val="-3"/>
          <w:sz w:val="21"/>
        </w:rPr>
        <w:t>phrase  </w:t>
      </w:r>
      <w:r>
        <w:rPr>
          <w:spacing w:val="-6"/>
          <w:sz w:val="21"/>
        </w:rPr>
        <w:t>‘any  </w:t>
      </w:r>
      <w:r>
        <w:rPr>
          <w:spacing w:val="-3"/>
          <w:sz w:val="21"/>
        </w:rPr>
        <w:t>plant resembling </w:t>
      </w:r>
      <w:r>
        <w:rPr>
          <w:sz w:val="21"/>
        </w:rPr>
        <w:t>a tree in </w:t>
      </w:r>
      <w:r>
        <w:rPr>
          <w:spacing w:val="-3"/>
          <w:sz w:val="21"/>
        </w:rPr>
        <w:t>form </w:t>
      </w:r>
      <w:r>
        <w:rPr>
          <w:sz w:val="21"/>
        </w:rPr>
        <w:t>and </w:t>
      </w:r>
      <w:r>
        <w:rPr>
          <w:spacing w:val="-6"/>
          <w:sz w:val="21"/>
        </w:rPr>
        <w:t>size’. </w:t>
      </w:r>
      <w:r>
        <w:rPr>
          <w:sz w:val="21"/>
        </w:rPr>
        <w:t>They </w:t>
      </w:r>
      <w:r>
        <w:rPr>
          <w:spacing w:val="-3"/>
          <w:sz w:val="21"/>
        </w:rPr>
        <w:t>considered </w:t>
      </w:r>
      <w:r>
        <w:rPr>
          <w:sz w:val="21"/>
        </w:rPr>
        <w:t>this </w:t>
      </w:r>
      <w:r>
        <w:rPr>
          <w:spacing w:val="-7"/>
          <w:sz w:val="21"/>
        </w:rPr>
        <w:t>‘a </w:t>
      </w:r>
      <w:r>
        <w:rPr>
          <w:spacing w:val="-3"/>
          <w:sz w:val="21"/>
        </w:rPr>
        <w:t>helpful, </w:t>
      </w:r>
      <w:r>
        <w:rPr>
          <w:sz w:val="21"/>
        </w:rPr>
        <w:t>yet non-specific </w:t>
      </w:r>
      <w:r>
        <w:rPr>
          <w:spacing w:val="-3"/>
          <w:sz w:val="21"/>
        </w:rPr>
        <w:t>definition’ </w:t>
      </w:r>
      <w:r>
        <w:rPr>
          <w:sz w:val="21"/>
        </w:rPr>
        <w:t>which allows a </w:t>
      </w:r>
      <w:r>
        <w:rPr>
          <w:spacing w:val="-3"/>
          <w:sz w:val="21"/>
        </w:rPr>
        <w:t>small amount </w:t>
      </w:r>
      <w:r>
        <w:rPr>
          <w:sz w:val="21"/>
        </w:rPr>
        <w:t>of </w:t>
      </w:r>
      <w:r>
        <w:rPr>
          <w:spacing w:val="-3"/>
          <w:sz w:val="21"/>
        </w:rPr>
        <w:t>interpretation</w:t>
      </w:r>
      <w:r>
        <w:rPr>
          <w:spacing w:val="-2"/>
          <w:sz w:val="21"/>
        </w:rPr>
        <w:t> </w:t>
      </w:r>
      <w:r>
        <w:rPr>
          <w:sz w:val="21"/>
        </w:rPr>
        <w:t>and </w:t>
      </w:r>
      <w:r>
        <w:rPr>
          <w:spacing w:val="-3"/>
          <w:sz w:val="21"/>
        </w:rPr>
        <w:t>flexibility.</w:t>
      </w:r>
      <w:r>
        <w:rPr>
          <w:spacing w:val="-3"/>
          <w:position w:val="7"/>
          <w:sz w:val="12"/>
        </w:rPr>
        <w:t>53</w:t>
      </w:r>
    </w:p>
    <w:p>
      <w:pPr>
        <w:pStyle w:val="BodyText"/>
        <w:spacing w:before="4"/>
        <w:rPr>
          <w:sz w:val="20"/>
        </w:rPr>
      </w:pPr>
    </w:p>
    <w:p>
      <w:pPr>
        <w:pStyle w:val="Heading5"/>
      </w:pPr>
      <w:r>
        <w:rPr>
          <w:w w:val="115"/>
        </w:rPr>
        <w:t>The Commission’s conclusions—definition of ‘tree’</w:t>
      </w:r>
    </w:p>
    <w:p>
      <w:pPr>
        <w:pStyle w:val="ListParagraph"/>
        <w:numPr>
          <w:ilvl w:val="1"/>
          <w:numId w:val="16"/>
        </w:numPr>
        <w:tabs>
          <w:tab w:pos="2380" w:val="left" w:leader="none"/>
          <w:tab w:pos="2381" w:val="left" w:leader="none"/>
        </w:tabs>
        <w:spacing w:line="242" w:lineRule="auto" w:before="138" w:after="0"/>
        <w:ind w:left="2381" w:right="1664" w:hanging="794"/>
        <w:jc w:val="left"/>
        <w:rPr>
          <w:sz w:val="21"/>
        </w:rPr>
      </w:pPr>
      <w:r>
        <w:rPr>
          <w:sz w:val="21"/>
        </w:rPr>
        <w:t>It is important </w:t>
      </w:r>
      <w:r>
        <w:rPr>
          <w:spacing w:val="-3"/>
          <w:sz w:val="21"/>
        </w:rPr>
        <w:t>for reasons </w:t>
      </w:r>
      <w:r>
        <w:rPr>
          <w:sz w:val="21"/>
        </w:rPr>
        <w:t>of clarity </w:t>
      </w:r>
      <w:r>
        <w:rPr>
          <w:spacing w:val="-3"/>
          <w:sz w:val="21"/>
        </w:rPr>
        <w:t>to </w:t>
      </w:r>
      <w:r>
        <w:rPr>
          <w:sz w:val="21"/>
        </w:rPr>
        <w:t>define the type of vegetation </w:t>
      </w:r>
      <w:r>
        <w:rPr>
          <w:spacing w:val="-3"/>
          <w:sz w:val="21"/>
        </w:rPr>
        <w:t>covered </w:t>
      </w:r>
      <w:r>
        <w:rPr>
          <w:sz w:val="21"/>
        </w:rPr>
        <w:t>in the new statutory scheme as broadly as possible so </w:t>
      </w:r>
      <w:r>
        <w:rPr>
          <w:spacing w:val="-3"/>
          <w:sz w:val="21"/>
        </w:rPr>
        <w:t>that </w:t>
      </w:r>
      <w:r>
        <w:rPr>
          <w:sz w:val="21"/>
        </w:rPr>
        <w:t>it is </w:t>
      </w:r>
      <w:r>
        <w:rPr>
          <w:spacing w:val="-4"/>
          <w:sz w:val="21"/>
        </w:rPr>
        <w:t>fair  </w:t>
      </w:r>
      <w:r>
        <w:rPr>
          <w:sz w:val="21"/>
        </w:rPr>
        <w:t>and </w:t>
      </w:r>
      <w:r>
        <w:rPr>
          <w:spacing w:val="-3"/>
          <w:sz w:val="21"/>
        </w:rPr>
        <w:t>inclusive.  </w:t>
      </w:r>
      <w:r>
        <w:rPr>
          <w:spacing w:val="-4"/>
          <w:sz w:val="21"/>
        </w:rPr>
        <w:t>However,  </w:t>
      </w:r>
      <w:r>
        <w:rPr>
          <w:sz w:val="21"/>
        </w:rPr>
        <w:t>too broad  a</w:t>
      </w:r>
      <w:r>
        <w:rPr>
          <w:spacing w:val="10"/>
          <w:sz w:val="21"/>
        </w:rPr>
        <w:t> </w:t>
      </w:r>
      <w:r>
        <w:rPr>
          <w:sz w:val="21"/>
        </w:rPr>
        <w:t>definition</w:t>
      </w:r>
      <w:r>
        <w:rPr>
          <w:spacing w:val="10"/>
          <w:sz w:val="21"/>
        </w:rPr>
        <w:t> </w:t>
      </w:r>
      <w:r>
        <w:rPr>
          <w:spacing w:val="-3"/>
          <w:sz w:val="21"/>
        </w:rPr>
        <w:t>may</w:t>
      </w:r>
      <w:r>
        <w:rPr>
          <w:spacing w:val="10"/>
          <w:sz w:val="21"/>
        </w:rPr>
        <w:t> </w:t>
      </w:r>
      <w:r>
        <w:rPr>
          <w:sz w:val="21"/>
        </w:rPr>
        <w:t>lack</w:t>
      </w:r>
      <w:r>
        <w:rPr>
          <w:spacing w:val="10"/>
          <w:sz w:val="21"/>
        </w:rPr>
        <w:t> </w:t>
      </w:r>
      <w:r>
        <w:rPr>
          <w:sz w:val="21"/>
        </w:rPr>
        <w:t>clarity</w:t>
      </w:r>
      <w:r>
        <w:rPr>
          <w:spacing w:val="10"/>
          <w:sz w:val="21"/>
        </w:rPr>
        <w:t> </w:t>
      </w:r>
      <w:r>
        <w:rPr>
          <w:sz w:val="21"/>
        </w:rPr>
        <w:t>and</w:t>
      </w:r>
      <w:r>
        <w:rPr>
          <w:spacing w:val="10"/>
          <w:sz w:val="21"/>
        </w:rPr>
        <w:t> </w:t>
      </w:r>
      <w:r>
        <w:rPr>
          <w:spacing w:val="-3"/>
          <w:sz w:val="21"/>
        </w:rPr>
        <w:t>require</w:t>
      </w:r>
      <w:r>
        <w:rPr>
          <w:spacing w:val="10"/>
          <w:sz w:val="21"/>
        </w:rPr>
        <w:t> </w:t>
      </w:r>
      <w:r>
        <w:rPr>
          <w:sz w:val="21"/>
        </w:rPr>
        <w:t>too</w:t>
      </w:r>
      <w:r>
        <w:rPr>
          <w:spacing w:val="10"/>
          <w:sz w:val="21"/>
        </w:rPr>
        <w:t> </w:t>
      </w:r>
      <w:r>
        <w:rPr>
          <w:sz w:val="21"/>
        </w:rPr>
        <w:t>much</w:t>
      </w:r>
      <w:r>
        <w:rPr>
          <w:spacing w:val="10"/>
          <w:sz w:val="21"/>
        </w:rPr>
        <w:t> </w:t>
      </w:r>
      <w:r>
        <w:rPr>
          <w:spacing w:val="-3"/>
          <w:sz w:val="21"/>
        </w:rPr>
        <w:t>interpretation.</w:t>
      </w:r>
    </w:p>
    <w:p>
      <w:pPr>
        <w:pStyle w:val="ListParagraph"/>
        <w:numPr>
          <w:ilvl w:val="1"/>
          <w:numId w:val="16"/>
        </w:numPr>
        <w:tabs>
          <w:tab w:pos="2380" w:val="left" w:leader="none"/>
          <w:tab w:pos="2381" w:val="left" w:leader="none"/>
        </w:tabs>
        <w:spacing w:line="242" w:lineRule="auto" w:before="123" w:after="0"/>
        <w:ind w:left="2380" w:right="1897" w:hanging="793"/>
        <w:jc w:val="left"/>
        <w:rPr>
          <w:sz w:val="21"/>
        </w:rPr>
      </w:pPr>
      <w:r>
        <w:rPr>
          <w:sz w:val="21"/>
        </w:rPr>
        <w:t>The word ‘tree’ </w:t>
      </w:r>
      <w:r>
        <w:rPr>
          <w:spacing w:val="-3"/>
          <w:sz w:val="21"/>
        </w:rPr>
        <w:t>rather than ‘vegetation’ </w:t>
      </w:r>
      <w:r>
        <w:rPr>
          <w:sz w:val="21"/>
        </w:rPr>
        <w:t>is </w:t>
      </w:r>
      <w:r>
        <w:rPr>
          <w:spacing w:val="-3"/>
          <w:sz w:val="21"/>
        </w:rPr>
        <w:t>preferred </w:t>
      </w:r>
      <w:r>
        <w:rPr>
          <w:sz w:val="21"/>
        </w:rPr>
        <w:t>because it is more specific and </w:t>
      </w:r>
      <w:r>
        <w:rPr>
          <w:spacing w:val="-3"/>
          <w:sz w:val="21"/>
        </w:rPr>
        <w:t>excludes </w:t>
      </w:r>
      <w:r>
        <w:rPr>
          <w:spacing w:val="-5"/>
          <w:sz w:val="21"/>
        </w:rPr>
        <w:t>smaller, </w:t>
      </w:r>
      <w:r>
        <w:rPr>
          <w:sz w:val="21"/>
        </w:rPr>
        <w:t>short-lived types of vegetation </w:t>
      </w:r>
      <w:r>
        <w:rPr>
          <w:spacing w:val="-3"/>
          <w:sz w:val="21"/>
        </w:rPr>
        <w:t>that are </w:t>
      </w:r>
      <w:r>
        <w:rPr>
          <w:spacing w:val="-4"/>
          <w:sz w:val="21"/>
        </w:rPr>
        <w:t>unlikely </w:t>
      </w:r>
      <w:r>
        <w:rPr>
          <w:spacing w:val="-3"/>
          <w:sz w:val="21"/>
        </w:rPr>
        <w:t>to </w:t>
      </w:r>
      <w:r>
        <w:rPr>
          <w:spacing w:val="-2"/>
          <w:sz w:val="21"/>
        </w:rPr>
        <w:t>significantly </w:t>
      </w:r>
      <w:r>
        <w:rPr>
          <w:sz w:val="21"/>
        </w:rPr>
        <w:t>impact </w:t>
      </w:r>
      <w:r>
        <w:rPr>
          <w:spacing w:val="-3"/>
          <w:sz w:val="21"/>
        </w:rPr>
        <w:t>people’s</w:t>
      </w:r>
      <w:r>
        <w:rPr>
          <w:spacing w:val="15"/>
          <w:sz w:val="21"/>
        </w:rPr>
        <w:t> </w:t>
      </w:r>
      <w:r>
        <w:rPr>
          <w:sz w:val="21"/>
        </w:rPr>
        <w:t>property</w:t>
      </w:r>
      <w:r>
        <w:rPr>
          <w:spacing w:val="15"/>
          <w:sz w:val="21"/>
        </w:rPr>
        <w:t> </w:t>
      </w:r>
      <w:r>
        <w:rPr>
          <w:sz w:val="21"/>
        </w:rPr>
        <w:t>or</w:t>
      </w:r>
      <w:r>
        <w:rPr>
          <w:spacing w:val="15"/>
          <w:sz w:val="21"/>
        </w:rPr>
        <w:t> </w:t>
      </w:r>
      <w:r>
        <w:rPr>
          <w:spacing w:val="-3"/>
          <w:sz w:val="21"/>
        </w:rPr>
        <w:t>safety,</w:t>
      </w:r>
      <w:r>
        <w:rPr>
          <w:spacing w:val="16"/>
          <w:sz w:val="21"/>
        </w:rPr>
        <w:t> </w:t>
      </w:r>
      <w:r>
        <w:rPr>
          <w:sz w:val="21"/>
        </w:rPr>
        <w:t>or</w:t>
      </w:r>
      <w:r>
        <w:rPr>
          <w:spacing w:val="15"/>
          <w:sz w:val="21"/>
        </w:rPr>
        <w:t> </w:t>
      </w:r>
      <w:r>
        <w:rPr>
          <w:spacing w:val="-3"/>
          <w:sz w:val="21"/>
        </w:rPr>
        <w:t>result</w:t>
      </w:r>
      <w:r>
        <w:rPr>
          <w:spacing w:val="15"/>
          <w:sz w:val="21"/>
        </w:rPr>
        <w:t> </w:t>
      </w:r>
      <w:r>
        <w:rPr>
          <w:sz w:val="21"/>
        </w:rPr>
        <w:t>in</w:t>
      </w:r>
      <w:r>
        <w:rPr>
          <w:spacing w:val="16"/>
          <w:sz w:val="21"/>
        </w:rPr>
        <w:t> </w:t>
      </w:r>
      <w:r>
        <w:rPr>
          <w:spacing w:val="-3"/>
          <w:sz w:val="21"/>
        </w:rPr>
        <w:t>significant</w:t>
      </w:r>
      <w:r>
        <w:rPr>
          <w:spacing w:val="15"/>
          <w:sz w:val="21"/>
        </w:rPr>
        <w:t> </w:t>
      </w:r>
      <w:r>
        <w:rPr>
          <w:spacing w:val="-3"/>
          <w:sz w:val="21"/>
        </w:rPr>
        <w:t>environmental</w:t>
      </w:r>
      <w:r>
        <w:rPr>
          <w:spacing w:val="15"/>
          <w:sz w:val="21"/>
        </w:rPr>
        <w:t> </w:t>
      </w:r>
      <w:r>
        <w:rPr>
          <w:sz w:val="21"/>
        </w:rPr>
        <w:t>or</w:t>
      </w:r>
      <w:r>
        <w:rPr>
          <w:spacing w:val="16"/>
          <w:sz w:val="21"/>
        </w:rPr>
        <w:t> </w:t>
      </w:r>
      <w:r>
        <w:rPr>
          <w:spacing w:val="-3"/>
          <w:sz w:val="21"/>
        </w:rPr>
        <w:t>cultural</w:t>
      </w:r>
      <w:r>
        <w:rPr>
          <w:spacing w:val="15"/>
          <w:sz w:val="21"/>
        </w:rPr>
        <w:t> </w:t>
      </w:r>
      <w:r>
        <w:rPr>
          <w:sz w:val="21"/>
        </w:rPr>
        <w:t>loss.</w:t>
      </w:r>
    </w:p>
    <w:p>
      <w:pPr>
        <w:pStyle w:val="ListParagraph"/>
        <w:numPr>
          <w:ilvl w:val="1"/>
          <w:numId w:val="16"/>
        </w:numPr>
        <w:tabs>
          <w:tab w:pos="2380" w:val="left" w:leader="none"/>
          <w:tab w:pos="2381" w:val="left" w:leader="none"/>
        </w:tabs>
        <w:spacing w:line="242" w:lineRule="auto" w:before="123" w:after="0"/>
        <w:ind w:left="2380" w:right="1635" w:hanging="794"/>
        <w:jc w:val="left"/>
        <w:rPr>
          <w:sz w:val="21"/>
        </w:rPr>
      </w:pPr>
      <w:r>
        <w:rPr>
          <w:w w:val="105"/>
          <w:sz w:val="21"/>
        </w:rPr>
        <w:t>Existing</w:t>
      </w:r>
      <w:r>
        <w:rPr>
          <w:spacing w:val="-15"/>
          <w:w w:val="105"/>
          <w:sz w:val="21"/>
        </w:rPr>
        <w:t> </w:t>
      </w:r>
      <w:r>
        <w:rPr>
          <w:w w:val="105"/>
          <w:sz w:val="21"/>
        </w:rPr>
        <w:t>definitions</w:t>
      </w:r>
      <w:r>
        <w:rPr>
          <w:spacing w:val="-14"/>
          <w:w w:val="105"/>
          <w:sz w:val="21"/>
        </w:rPr>
        <w:t> </w:t>
      </w:r>
      <w:r>
        <w:rPr>
          <w:w w:val="105"/>
          <w:sz w:val="21"/>
        </w:rPr>
        <w:t>of</w:t>
      </w:r>
      <w:r>
        <w:rPr>
          <w:spacing w:val="-14"/>
          <w:w w:val="105"/>
          <w:sz w:val="21"/>
        </w:rPr>
        <w:t> </w:t>
      </w:r>
      <w:r>
        <w:rPr>
          <w:w w:val="105"/>
          <w:sz w:val="21"/>
        </w:rPr>
        <w:t>‘tree’</w:t>
      </w:r>
      <w:r>
        <w:rPr>
          <w:spacing w:val="-14"/>
          <w:w w:val="105"/>
          <w:sz w:val="21"/>
        </w:rPr>
        <w:t> </w:t>
      </w:r>
      <w:r>
        <w:rPr>
          <w:w w:val="105"/>
          <w:sz w:val="21"/>
        </w:rPr>
        <w:t>in</w:t>
      </w:r>
      <w:r>
        <w:rPr>
          <w:spacing w:val="-14"/>
          <w:w w:val="105"/>
          <w:sz w:val="21"/>
        </w:rPr>
        <w:t> </w:t>
      </w:r>
      <w:r>
        <w:rPr>
          <w:spacing w:val="-3"/>
          <w:w w:val="105"/>
          <w:sz w:val="21"/>
        </w:rPr>
        <w:t>legislation</w:t>
      </w:r>
      <w:r>
        <w:rPr>
          <w:spacing w:val="-14"/>
          <w:w w:val="105"/>
          <w:sz w:val="21"/>
        </w:rPr>
        <w:t> </w:t>
      </w:r>
      <w:r>
        <w:rPr>
          <w:w w:val="105"/>
          <w:sz w:val="21"/>
        </w:rPr>
        <w:t>and</w:t>
      </w:r>
      <w:r>
        <w:rPr>
          <w:spacing w:val="-14"/>
          <w:w w:val="105"/>
          <w:sz w:val="21"/>
        </w:rPr>
        <w:t> </w:t>
      </w:r>
      <w:r>
        <w:rPr>
          <w:w w:val="105"/>
          <w:sz w:val="21"/>
        </w:rPr>
        <w:t>other</w:t>
      </w:r>
      <w:r>
        <w:rPr>
          <w:spacing w:val="-14"/>
          <w:w w:val="105"/>
          <w:sz w:val="21"/>
        </w:rPr>
        <w:t> </w:t>
      </w:r>
      <w:r>
        <w:rPr>
          <w:w w:val="105"/>
          <w:sz w:val="21"/>
        </w:rPr>
        <w:t>instruments</w:t>
      </w:r>
      <w:r>
        <w:rPr>
          <w:spacing w:val="-14"/>
          <w:w w:val="105"/>
          <w:sz w:val="21"/>
        </w:rPr>
        <w:t> </w:t>
      </w:r>
      <w:r>
        <w:rPr>
          <w:spacing w:val="-3"/>
          <w:w w:val="105"/>
          <w:sz w:val="21"/>
        </w:rPr>
        <w:t>are</w:t>
      </w:r>
      <w:r>
        <w:rPr>
          <w:spacing w:val="-14"/>
          <w:w w:val="105"/>
          <w:sz w:val="21"/>
        </w:rPr>
        <w:t> </w:t>
      </w:r>
      <w:r>
        <w:rPr>
          <w:w w:val="105"/>
          <w:sz w:val="21"/>
        </w:rPr>
        <w:t>typically</w:t>
      </w:r>
      <w:r>
        <w:rPr>
          <w:spacing w:val="-14"/>
          <w:w w:val="105"/>
          <w:sz w:val="21"/>
        </w:rPr>
        <w:t> </w:t>
      </w:r>
      <w:r>
        <w:rPr>
          <w:w w:val="105"/>
          <w:sz w:val="21"/>
        </w:rPr>
        <w:t>a</w:t>
      </w:r>
      <w:r>
        <w:rPr>
          <w:spacing w:val="-14"/>
          <w:w w:val="105"/>
          <w:sz w:val="21"/>
        </w:rPr>
        <w:t> </w:t>
      </w:r>
      <w:r>
        <w:rPr>
          <w:w w:val="105"/>
          <w:sz w:val="21"/>
        </w:rPr>
        <w:t>synthesis</w:t>
      </w:r>
      <w:r>
        <w:rPr>
          <w:spacing w:val="-14"/>
          <w:w w:val="105"/>
          <w:sz w:val="21"/>
        </w:rPr>
        <w:t> </w:t>
      </w:r>
      <w:r>
        <w:rPr>
          <w:w w:val="105"/>
          <w:sz w:val="21"/>
        </w:rPr>
        <w:t>of </w:t>
      </w:r>
      <w:r>
        <w:rPr>
          <w:spacing w:val="-2"/>
          <w:w w:val="105"/>
          <w:sz w:val="21"/>
        </w:rPr>
        <w:t>common </w:t>
      </w:r>
      <w:r>
        <w:rPr>
          <w:spacing w:val="-3"/>
          <w:w w:val="105"/>
          <w:sz w:val="21"/>
        </w:rPr>
        <w:t>meanings found </w:t>
      </w:r>
      <w:r>
        <w:rPr>
          <w:w w:val="105"/>
          <w:sz w:val="21"/>
        </w:rPr>
        <w:t>in general dictionaries and </w:t>
      </w:r>
      <w:r>
        <w:rPr>
          <w:spacing w:val="-3"/>
          <w:w w:val="105"/>
          <w:sz w:val="21"/>
        </w:rPr>
        <w:t>technical</w:t>
      </w:r>
      <w:r>
        <w:rPr>
          <w:spacing w:val="28"/>
          <w:w w:val="105"/>
          <w:sz w:val="21"/>
        </w:rPr>
        <w:t> </w:t>
      </w:r>
      <w:r>
        <w:rPr>
          <w:spacing w:val="-4"/>
          <w:w w:val="105"/>
          <w:sz w:val="21"/>
        </w:rPr>
        <w:t>literature.</w:t>
      </w:r>
    </w:p>
    <w:p>
      <w:pPr>
        <w:pStyle w:val="ListParagraph"/>
        <w:numPr>
          <w:ilvl w:val="1"/>
          <w:numId w:val="16"/>
        </w:numPr>
        <w:tabs>
          <w:tab w:pos="2381" w:val="left" w:leader="none"/>
        </w:tabs>
        <w:spacing w:line="242" w:lineRule="auto" w:before="122" w:after="0"/>
        <w:ind w:left="2380" w:right="1679" w:hanging="794"/>
        <w:jc w:val="both"/>
        <w:rPr>
          <w:sz w:val="21"/>
        </w:rPr>
      </w:pPr>
      <w:r>
        <w:rPr>
          <w:w w:val="105"/>
          <w:sz w:val="21"/>
        </w:rPr>
        <w:t>The </w:t>
      </w:r>
      <w:r>
        <w:rPr>
          <w:spacing w:val="-3"/>
          <w:w w:val="105"/>
          <w:sz w:val="21"/>
        </w:rPr>
        <w:t>Commission notes </w:t>
      </w:r>
      <w:r>
        <w:rPr>
          <w:w w:val="105"/>
          <w:sz w:val="21"/>
        </w:rPr>
        <w:t>the comments of the NSWLEC and the QLRC </w:t>
      </w:r>
      <w:r>
        <w:rPr>
          <w:spacing w:val="-3"/>
          <w:w w:val="105"/>
          <w:sz w:val="21"/>
        </w:rPr>
        <w:t>that </w:t>
      </w:r>
      <w:r>
        <w:rPr>
          <w:w w:val="105"/>
          <w:sz w:val="21"/>
        </w:rPr>
        <w:t>the New South </w:t>
      </w:r>
      <w:r>
        <w:rPr>
          <w:spacing w:val="-3"/>
          <w:w w:val="105"/>
          <w:sz w:val="21"/>
        </w:rPr>
        <w:t>Wales </w:t>
      </w:r>
      <w:r>
        <w:rPr>
          <w:w w:val="105"/>
          <w:sz w:val="21"/>
        </w:rPr>
        <w:t>and </w:t>
      </w:r>
      <w:r>
        <w:rPr>
          <w:spacing w:val="-3"/>
          <w:w w:val="105"/>
          <w:sz w:val="21"/>
        </w:rPr>
        <w:t>Queensland </w:t>
      </w:r>
      <w:r>
        <w:rPr>
          <w:w w:val="105"/>
          <w:sz w:val="21"/>
        </w:rPr>
        <w:t>schemes </w:t>
      </w:r>
      <w:r>
        <w:rPr>
          <w:spacing w:val="-3"/>
          <w:w w:val="105"/>
          <w:sz w:val="21"/>
        </w:rPr>
        <w:t>are adequate </w:t>
      </w:r>
      <w:r>
        <w:rPr>
          <w:w w:val="105"/>
          <w:sz w:val="21"/>
        </w:rPr>
        <w:t>and </w:t>
      </w:r>
      <w:r>
        <w:rPr>
          <w:spacing w:val="-3"/>
          <w:w w:val="105"/>
          <w:sz w:val="21"/>
        </w:rPr>
        <w:t>working well to capture </w:t>
      </w:r>
      <w:r>
        <w:rPr>
          <w:w w:val="105"/>
          <w:sz w:val="21"/>
        </w:rPr>
        <w:t>most </w:t>
      </w:r>
      <w:r>
        <w:rPr>
          <w:spacing w:val="-3"/>
          <w:w w:val="105"/>
          <w:sz w:val="21"/>
        </w:rPr>
        <w:t>genuine disputes. </w:t>
      </w:r>
      <w:r>
        <w:rPr>
          <w:w w:val="105"/>
          <w:sz w:val="21"/>
        </w:rPr>
        <w:t>The </w:t>
      </w:r>
      <w:r>
        <w:rPr>
          <w:spacing w:val="-3"/>
          <w:w w:val="105"/>
          <w:sz w:val="21"/>
        </w:rPr>
        <w:t>Commission </w:t>
      </w:r>
      <w:r>
        <w:rPr>
          <w:w w:val="105"/>
          <w:sz w:val="21"/>
        </w:rPr>
        <w:t>supports a </w:t>
      </w:r>
      <w:r>
        <w:rPr>
          <w:spacing w:val="-3"/>
          <w:w w:val="105"/>
          <w:sz w:val="21"/>
        </w:rPr>
        <w:t>similar </w:t>
      </w:r>
      <w:r>
        <w:rPr>
          <w:w w:val="105"/>
          <w:sz w:val="21"/>
        </w:rPr>
        <w:t>approach </w:t>
      </w:r>
      <w:r>
        <w:rPr>
          <w:spacing w:val="-3"/>
          <w:w w:val="105"/>
          <w:sz w:val="21"/>
        </w:rPr>
        <w:t>for </w:t>
      </w:r>
      <w:r>
        <w:rPr>
          <w:w w:val="105"/>
          <w:sz w:val="21"/>
        </w:rPr>
        <w:t>the new Act in</w:t>
      </w:r>
      <w:r>
        <w:rPr>
          <w:spacing w:val="20"/>
          <w:w w:val="105"/>
          <w:sz w:val="21"/>
        </w:rPr>
        <w:t> </w:t>
      </w:r>
      <w:r>
        <w:rPr>
          <w:w w:val="105"/>
          <w:sz w:val="21"/>
        </w:rPr>
        <w:t>Victoria.</w:t>
      </w:r>
    </w:p>
    <w:p>
      <w:pPr>
        <w:pStyle w:val="ListParagraph"/>
        <w:numPr>
          <w:ilvl w:val="1"/>
          <w:numId w:val="16"/>
        </w:numPr>
        <w:tabs>
          <w:tab w:pos="2380" w:val="left" w:leader="none"/>
          <w:tab w:pos="2381" w:val="left" w:leader="none"/>
        </w:tabs>
        <w:spacing w:line="242" w:lineRule="auto" w:before="124" w:after="0"/>
        <w:ind w:left="2380" w:right="1983" w:hanging="794"/>
        <w:jc w:val="left"/>
        <w:rPr>
          <w:sz w:val="21"/>
        </w:rPr>
      </w:pPr>
      <w:r>
        <w:rPr>
          <w:spacing w:val="-4"/>
          <w:sz w:val="21"/>
        </w:rPr>
        <w:t>‘Tree’ </w:t>
      </w:r>
      <w:r>
        <w:rPr>
          <w:sz w:val="21"/>
        </w:rPr>
        <w:t>should be defined by its </w:t>
      </w:r>
      <w:r>
        <w:rPr>
          <w:spacing w:val="-2"/>
          <w:sz w:val="21"/>
        </w:rPr>
        <w:t>common  </w:t>
      </w:r>
      <w:r>
        <w:rPr>
          <w:spacing w:val="-3"/>
          <w:sz w:val="21"/>
        </w:rPr>
        <w:t>meaning  </w:t>
      </w:r>
      <w:r>
        <w:rPr>
          <w:sz w:val="21"/>
        </w:rPr>
        <w:t>of a ‘woody </w:t>
      </w:r>
      <w:r>
        <w:rPr>
          <w:spacing w:val="-3"/>
          <w:sz w:val="21"/>
        </w:rPr>
        <w:t>perennial</w:t>
      </w:r>
      <w:r>
        <w:rPr>
          <w:spacing w:val="41"/>
          <w:sz w:val="21"/>
        </w:rPr>
        <w:t> </w:t>
      </w:r>
      <w:r>
        <w:rPr>
          <w:spacing w:val="-5"/>
          <w:sz w:val="21"/>
        </w:rPr>
        <w:t>plant’.  </w:t>
      </w:r>
      <w:r>
        <w:rPr>
          <w:spacing w:val="-3"/>
          <w:sz w:val="21"/>
        </w:rPr>
        <w:t>Height  </w:t>
      </w:r>
      <w:r>
        <w:rPr>
          <w:sz w:val="21"/>
        </w:rPr>
        <w:t>or age </w:t>
      </w:r>
      <w:r>
        <w:rPr>
          <w:spacing w:val="-3"/>
          <w:sz w:val="21"/>
        </w:rPr>
        <w:t>(for example, </w:t>
      </w:r>
      <w:r>
        <w:rPr>
          <w:sz w:val="21"/>
        </w:rPr>
        <w:t>‘long-lived’) descriptors </w:t>
      </w:r>
      <w:r>
        <w:rPr>
          <w:spacing w:val="-3"/>
          <w:sz w:val="21"/>
        </w:rPr>
        <w:t>are </w:t>
      </w:r>
      <w:r>
        <w:rPr>
          <w:spacing w:val="-2"/>
          <w:sz w:val="21"/>
        </w:rPr>
        <w:t>not </w:t>
      </w:r>
      <w:r>
        <w:rPr>
          <w:sz w:val="21"/>
        </w:rPr>
        <w:t>recommended because these characteristics vary </w:t>
      </w:r>
      <w:r>
        <w:rPr>
          <w:spacing w:val="-3"/>
          <w:sz w:val="21"/>
        </w:rPr>
        <w:t>throughout </w:t>
      </w:r>
      <w:r>
        <w:rPr>
          <w:sz w:val="21"/>
        </w:rPr>
        <w:t>existing definitions and </w:t>
      </w:r>
      <w:r>
        <w:rPr>
          <w:spacing w:val="-4"/>
          <w:sz w:val="21"/>
        </w:rPr>
        <w:t>literature. </w:t>
      </w:r>
      <w:r>
        <w:rPr>
          <w:sz w:val="21"/>
        </w:rPr>
        <w:t>Whether a tree is </w:t>
      </w:r>
      <w:r>
        <w:rPr>
          <w:spacing w:val="-3"/>
          <w:sz w:val="21"/>
        </w:rPr>
        <w:t>considered </w:t>
      </w:r>
      <w:r>
        <w:rPr>
          <w:sz w:val="21"/>
        </w:rPr>
        <w:t>large or old is also subjective and </w:t>
      </w:r>
      <w:r>
        <w:rPr>
          <w:spacing w:val="-3"/>
          <w:sz w:val="21"/>
        </w:rPr>
        <w:t>will </w:t>
      </w:r>
      <w:r>
        <w:rPr>
          <w:sz w:val="21"/>
        </w:rPr>
        <w:t>vary too </w:t>
      </w:r>
      <w:r>
        <w:rPr>
          <w:spacing w:val="-3"/>
          <w:sz w:val="21"/>
        </w:rPr>
        <w:t>greatly </w:t>
      </w:r>
      <w:r>
        <w:rPr>
          <w:sz w:val="21"/>
        </w:rPr>
        <w:t>depending on the vegetation </w:t>
      </w:r>
      <w:r>
        <w:rPr>
          <w:spacing w:val="-3"/>
          <w:sz w:val="21"/>
        </w:rPr>
        <w:t>that </w:t>
      </w:r>
      <w:r>
        <w:rPr>
          <w:sz w:val="21"/>
        </w:rPr>
        <w:t>is </w:t>
      </w:r>
      <w:r>
        <w:rPr>
          <w:spacing w:val="-2"/>
          <w:sz w:val="21"/>
        </w:rPr>
        <w:t>commonly </w:t>
      </w:r>
      <w:r>
        <w:rPr>
          <w:spacing w:val="-3"/>
          <w:sz w:val="21"/>
        </w:rPr>
        <w:t>found </w:t>
      </w:r>
      <w:r>
        <w:rPr>
          <w:sz w:val="21"/>
        </w:rPr>
        <w:t>in the </w:t>
      </w:r>
      <w:r>
        <w:rPr>
          <w:spacing w:val="-3"/>
          <w:sz w:val="21"/>
        </w:rPr>
        <w:t>area. </w:t>
      </w:r>
      <w:r>
        <w:rPr>
          <w:sz w:val="21"/>
        </w:rPr>
        <w:t>Any </w:t>
      </w:r>
      <w:r>
        <w:rPr>
          <w:spacing w:val="-3"/>
          <w:sz w:val="21"/>
        </w:rPr>
        <w:t>height </w:t>
      </w:r>
      <w:r>
        <w:rPr>
          <w:sz w:val="21"/>
        </w:rPr>
        <w:t>or age </w:t>
      </w:r>
      <w:r>
        <w:rPr>
          <w:spacing w:val="-3"/>
          <w:sz w:val="21"/>
        </w:rPr>
        <w:t>requirements</w:t>
      </w:r>
      <w:r>
        <w:rPr>
          <w:spacing w:val="26"/>
          <w:sz w:val="21"/>
        </w:rPr>
        <w:t> </w:t>
      </w:r>
      <w:r>
        <w:rPr>
          <w:spacing w:val="-3"/>
          <w:sz w:val="21"/>
        </w:rPr>
        <w:t>may</w:t>
      </w:r>
    </w:p>
    <w:p>
      <w:pPr>
        <w:pStyle w:val="BodyText"/>
        <w:spacing w:line="242" w:lineRule="auto" w:before="5"/>
        <w:ind w:left="2380" w:right="1810"/>
      </w:pPr>
      <w:r>
        <w:rPr>
          <w:spacing w:val="-3"/>
        </w:rPr>
        <w:t>unfairly exclude </w:t>
      </w:r>
      <w:r>
        <w:rPr/>
        <w:t>people </w:t>
      </w:r>
      <w:r>
        <w:rPr>
          <w:spacing w:val="-3"/>
        </w:rPr>
        <w:t>from </w:t>
      </w:r>
      <w:r>
        <w:rPr/>
        <w:t>seeking legal </w:t>
      </w:r>
      <w:r>
        <w:rPr>
          <w:spacing w:val="-4"/>
        </w:rPr>
        <w:t>relief. Additionally, </w:t>
      </w:r>
      <w:r>
        <w:rPr/>
        <w:t>the vitality of a tree should  </w:t>
      </w:r>
      <w:r>
        <w:rPr>
          <w:spacing w:val="-2"/>
        </w:rPr>
        <w:t>not </w:t>
      </w:r>
      <w:r>
        <w:rPr/>
        <w:t>matter because trees </w:t>
      </w:r>
      <w:r>
        <w:rPr>
          <w:spacing w:val="-3"/>
        </w:rPr>
        <w:t>that are </w:t>
      </w:r>
      <w:r>
        <w:rPr/>
        <w:t>dying or dead </w:t>
      </w:r>
      <w:r>
        <w:rPr>
          <w:spacing w:val="-3"/>
        </w:rPr>
        <w:t>may </w:t>
      </w:r>
      <w:r>
        <w:rPr/>
        <w:t>still impact on </w:t>
      </w:r>
      <w:r>
        <w:rPr>
          <w:spacing w:val="-3"/>
        </w:rPr>
        <w:t>people’s land </w:t>
      </w:r>
      <w:r>
        <w:rPr/>
        <w:t>and </w:t>
      </w:r>
      <w:r>
        <w:rPr>
          <w:spacing w:val="-3"/>
        </w:rPr>
        <w:t>safety. </w:t>
      </w:r>
      <w:r>
        <w:rPr/>
        <w:t>These trees </w:t>
      </w:r>
      <w:r>
        <w:rPr>
          <w:spacing w:val="-3"/>
        </w:rPr>
        <w:t>may </w:t>
      </w:r>
      <w:r>
        <w:rPr/>
        <w:t>also hold important </w:t>
      </w:r>
      <w:r>
        <w:rPr>
          <w:spacing w:val="-4"/>
        </w:rPr>
        <w:t>cultural, </w:t>
      </w:r>
      <w:r>
        <w:rPr/>
        <w:t>heritage and </w:t>
      </w:r>
      <w:r>
        <w:rPr>
          <w:spacing w:val="-3"/>
        </w:rPr>
        <w:t>environmental</w:t>
      </w:r>
      <w:r>
        <w:rPr>
          <w:spacing w:val="36"/>
        </w:rPr>
        <w:t> </w:t>
      </w:r>
      <w:r>
        <w:rPr>
          <w:spacing w:val="-4"/>
        </w:rPr>
        <w:t>value.</w:t>
      </w:r>
    </w:p>
    <w:p>
      <w:pPr>
        <w:pStyle w:val="ListParagraph"/>
        <w:numPr>
          <w:ilvl w:val="1"/>
          <w:numId w:val="16"/>
        </w:numPr>
        <w:tabs>
          <w:tab w:pos="2380" w:val="left" w:leader="none"/>
          <w:tab w:pos="2381" w:val="left" w:leader="none"/>
        </w:tabs>
        <w:spacing w:line="242" w:lineRule="auto" w:before="123" w:after="0"/>
        <w:ind w:left="2380" w:right="1766" w:hanging="794"/>
        <w:jc w:val="left"/>
        <w:rPr>
          <w:sz w:val="21"/>
        </w:rPr>
      </w:pPr>
      <w:r>
        <w:rPr>
          <w:spacing w:val="-4"/>
          <w:w w:val="105"/>
          <w:sz w:val="21"/>
        </w:rPr>
        <w:t>‘Tree’ </w:t>
      </w:r>
      <w:r>
        <w:rPr>
          <w:w w:val="105"/>
          <w:sz w:val="21"/>
        </w:rPr>
        <w:t>should explicitly </w:t>
      </w:r>
      <w:r>
        <w:rPr>
          <w:spacing w:val="-3"/>
          <w:w w:val="105"/>
          <w:sz w:val="21"/>
        </w:rPr>
        <w:t>include </w:t>
      </w:r>
      <w:r>
        <w:rPr>
          <w:w w:val="105"/>
          <w:sz w:val="21"/>
        </w:rPr>
        <w:t>vines, cacti, </w:t>
      </w:r>
      <w:r>
        <w:rPr>
          <w:spacing w:val="-3"/>
          <w:w w:val="105"/>
          <w:sz w:val="21"/>
        </w:rPr>
        <w:t>palms </w:t>
      </w:r>
      <w:r>
        <w:rPr>
          <w:w w:val="105"/>
          <w:sz w:val="21"/>
        </w:rPr>
        <w:t>and bamboo. The term </w:t>
      </w:r>
      <w:r>
        <w:rPr>
          <w:spacing w:val="-4"/>
          <w:w w:val="105"/>
          <w:sz w:val="21"/>
        </w:rPr>
        <w:t>‘pachycaul’ </w:t>
      </w:r>
      <w:r>
        <w:rPr>
          <w:w w:val="105"/>
          <w:sz w:val="21"/>
        </w:rPr>
        <w:t>is </w:t>
      </w:r>
      <w:r>
        <w:rPr>
          <w:spacing w:val="-2"/>
          <w:w w:val="105"/>
          <w:sz w:val="21"/>
        </w:rPr>
        <w:t>not</w:t>
      </w:r>
      <w:r>
        <w:rPr>
          <w:spacing w:val="-10"/>
          <w:w w:val="105"/>
          <w:sz w:val="21"/>
        </w:rPr>
        <w:t> </w:t>
      </w:r>
      <w:r>
        <w:rPr>
          <w:w w:val="105"/>
          <w:sz w:val="21"/>
        </w:rPr>
        <w:t>widely</w:t>
      </w:r>
      <w:r>
        <w:rPr>
          <w:spacing w:val="-9"/>
          <w:w w:val="105"/>
          <w:sz w:val="21"/>
        </w:rPr>
        <w:t> </w:t>
      </w:r>
      <w:r>
        <w:rPr>
          <w:w w:val="105"/>
          <w:sz w:val="21"/>
        </w:rPr>
        <w:t>understood</w:t>
      </w:r>
      <w:r>
        <w:rPr>
          <w:spacing w:val="-10"/>
          <w:w w:val="105"/>
          <w:sz w:val="21"/>
        </w:rPr>
        <w:t> </w:t>
      </w:r>
      <w:r>
        <w:rPr>
          <w:w w:val="105"/>
          <w:sz w:val="21"/>
        </w:rPr>
        <w:t>by</w:t>
      </w:r>
      <w:r>
        <w:rPr>
          <w:spacing w:val="-9"/>
          <w:w w:val="105"/>
          <w:sz w:val="21"/>
        </w:rPr>
        <w:t> </w:t>
      </w:r>
      <w:r>
        <w:rPr>
          <w:w w:val="105"/>
          <w:sz w:val="21"/>
        </w:rPr>
        <w:t>the</w:t>
      </w:r>
      <w:r>
        <w:rPr>
          <w:spacing w:val="-9"/>
          <w:w w:val="105"/>
          <w:sz w:val="21"/>
        </w:rPr>
        <w:t> </w:t>
      </w:r>
      <w:r>
        <w:rPr>
          <w:w w:val="105"/>
          <w:sz w:val="21"/>
        </w:rPr>
        <w:t>community</w:t>
      </w:r>
      <w:r>
        <w:rPr>
          <w:spacing w:val="-10"/>
          <w:w w:val="105"/>
          <w:sz w:val="21"/>
        </w:rPr>
        <w:t> </w:t>
      </w:r>
      <w:r>
        <w:rPr>
          <w:w w:val="105"/>
          <w:sz w:val="21"/>
        </w:rPr>
        <w:t>and</w:t>
      </w:r>
      <w:r>
        <w:rPr>
          <w:spacing w:val="-9"/>
          <w:w w:val="105"/>
          <w:sz w:val="21"/>
        </w:rPr>
        <w:t> </w:t>
      </w:r>
      <w:r>
        <w:rPr>
          <w:w w:val="105"/>
          <w:sz w:val="21"/>
        </w:rPr>
        <w:t>a</w:t>
      </w:r>
      <w:r>
        <w:rPr>
          <w:spacing w:val="-9"/>
          <w:w w:val="105"/>
          <w:sz w:val="21"/>
        </w:rPr>
        <w:t> </w:t>
      </w:r>
      <w:r>
        <w:rPr>
          <w:w w:val="105"/>
          <w:sz w:val="21"/>
        </w:rPr>
        <w:t>more</w:t>
      </w:r>
      <w:r>
        <w:rPr>
          <w:spacing w:val="-10"/>
          <w:w w:val="105"/>
          <w:sz w:val="21"/>
        </w:rPr>
        <w:t> </w:t>
      </w:r>
      <w:r>
        <w:rPr>
          <w:w w:val="105"/>
          <w:sz w:val="21"/>
        </w:rPr>
        <w:t>suitable</w:t>
      </w:r>
      <w:r>
        <w:rPr>
          <w:spacing w:val="-9"/>
          <w:w w:val="105"/>
          <w:sz w:val="21"/>
        </w:rPr>
        <w:t> </w:t>
      </w:r>
      <w:r>
        <w:rPr>
          <w:w w:val="105"/>
          <w:sz w:val="21"/>
        </w:rPr>
        <w:t>approach</w:t>
      </w:r>
      <w:r>
        <w:rPr>
          <w:spacing w:val="-10"/>
          <w:w w:val="105"/>
          <w:sz w:val="21"/>
        </w:rPr>
        <w:t> </w:t>
      </w:r>
      <w:r>
        <w:rPr>
          <w:w w:val="105"/>
          <w:sz w:val="21"/>
        </w:rPr>
        <w:t>would</w:t>
      </w:r>
      <w:r>
        <w:rPr>
          <w:spacing w:val="-9"/>
          <w:w w:val="105"/>
          <w:sz w:val="21"/>
        </w:rPr>
        <w:t> </w:t>
      </w:r>
      <w:r>
        <w:rPr>
          <w:w w:val="105"/>
          <w:sz w:val="21"/>
        </w:rPr>
        <w:t>be</w:t>
      </w:r>
      <w:r>
        <w:rPr>
          <w:spacing w:val="-9"/>
          <w:w w:val="105"/>
          <w:sz w:val="21"/>
        </w:rPr>
        <w:t> </w:t>
      </w:r>
      <w:r>
        <w:rPr>
          <w:spacing w:val="-3"/>
          <w:w w:val="105"/>
          <w:sz w:val="21"/>
        </w:rPr>
        <w:t>to</w:t>
      </w:r>
      <w:r>
        <w:rPr>
          <w:spacing w:val="-10"/>
          <w:w w:val="105"/>
          <w:sz w:val="21"/>
        </w:rPr>
        <w:t> </w:t>
      </w:r>
      <w:r>
        <w:rPr>
          <w:w w:val="105"/>
          <w:sz w:val="21"/>
        </w:rPr>
        <w:t>list further particular species in </w:t>
      </w:r>
      <w:r>
        <w:rPr>
          <w:spacing w:val="-3"/>
          <w:w w:val="105"/>
          <w:sz w:val="21"/>
        </w:rPr>
        <w:t>regulations for</w:t>
      </w:r>
      <w:r>
        <w:rPr>
          <w:spacing w:val="24"/>
          <w:w w:val="105"/>
          <w:sz w:val="21"/>
        </w:rPr>
        <w:t> </w:t>
      </w:r>
      <w:r>
        <w:rPr>
          <w:spacing w:val="-3"/>
          <w:w w:val="105"/>
          <w:sz w:val="21"/>
        </w:rPr>
        <w:t>clarity.</w:t>
      </w:r>
    </w:p>
    <w:p>
      <w:pPr>
        <w:pStyle w:val="ListParagraph"/>
        <w:numPr>
          <w:ilvl w:val="1"/>
          <w:numId w:val="16"/>
        </w:numPr>
        <w:tabs>
          <w:tab w:pos="2380" w:val="left" w:leader="none"/>
          <w:tab w:pos="2381" w:val="left" w:leader="none"/>
        </w:tabs>
        <w:spacing w:line="242" w:lineRule="auto" w:before="124" w:after="0"/>
        <w:ind w:left="2380" w:right="1747" w:hanging="794"/>
        <w:jc w:val="left"/>
        <w:rPr>
          <w:sz w:val="21"/>
        </w:rPr>
      </w:pPr>
      <w:r>
        <w:rPr>
          <w:sz w:val="21"/>
        </w:rPr>
        <w:t>For </w:t>
      </w:r>
      <w:r>
        <w:rPr>
          <w:spacing w:val="-3"/>
          <w:sz w:val="21"/>
        </w:rPr>
        <w:t>reasons </w:t>
      </w:r>
      <w:r>
        <w:rPr>
          <w:sz w:val="21"/>
        </w:rPr>
        <w:t>of </w:t>
      </w:r>
      <w:r>
        <w:rPr>
          <w:spacing w:val="-3"/>
          <w:sz w:val="21"/>
        </w:rPr>
        <w:t>fairness </w:t>
      </w:r>
      <w:r>
        <w:rPr>
          <w:sz w:val="21"/>
        </w:rPr>
        <w:t>and </w:t>
      </w:r>
      <w:r>
        <w:rPr>
          <w:spacing w:val="-3"/>
          <w:sz w:val="21"/>
        </w:rPr>
        <w:t>flexibility, any </w:t>
      </w:r>
      <w:r>
        <w:rPr>
          <w:sz w:val="21"/>
        </w:rPr>
        <w:t>other vegetation </w:t>
      </w:r>
      <w:r>
        <w:rPr>
          <w:spacing w:val="-3"/>
          <w:sz w:val="21"/>
        </w:rPr>
        <w:t>that ‘resembles </w:t>
      </w:r>
      <w:r>
        <w:rPr>
          <w:sz w:val="21"/>
        </w:rPr>
        <w:t>a tree in </w:t>
      </w:r>
      <w:r>
        <w:rPr>
          <w:spacing w:val="-3"/>
          <w:sz w:val="21"/>
        </w:rPr>
        <w:t>form </w:t>
      </w:r>
      <w:r>
        <w:rPr>
          <w:sz w:val="21"/>
        </w:rPr>
        <w:t>and </w:t>
      </w:r>
      <w:r>
        <w:rPr>
          <w:spacing w:val="-3"/>
          <w:sz w:val="21"/>
        </w:rPr>
        <w:t>size’</w:t>
      </w:r>
      <w:r>
        <w:rPr>
          <w:spacing w:val="-3"/>
          <w:position w:val="7"/>
          <w:sz w:val="12"/>
        </w:rPr>
        <w:t>54 </w:t>
      </w:r>
      <w:r>
        <w:rPr>
          <w:sz w:val="21"/>
        </w:rPr>
        <w:t>should be </w:t>
      </w:r>
      <w:r>
        <w:rPr>
          <w:spacing w:val="-3"/>
          <w:sz w:val="21"/>
        </w:rPr>
        <w:t>included. </w:t>
      </w:r>
      <w:r>
        <w:rPr>
          <w:sz w:val="21"/>
        </w:rPr>
        <w:t>This </w:t>
      </w:r>
      <w:r>
        <w:rPr>
          <w:spacing w:val="-3"/>
          <w:sz w:val="21"/>
        </w:rPr>
        <w:t>takes </w:t>
      </w:r>
      <w:r>
        <w:rPr>
          <w:spacing w:val="-4"/>
          <w:sz w:val="21"/>
        </w:rPr>
        <w:t>into </w:t>
      </w:r>
      <w:r>
        <w:rPr>
          <w:spacing w:val="-3"/>
          <w:sz w:val="21"/>
        </w:rPr>
        <w:t>account </w:t>
      </w:r>
      <w:r>
        <w:rPr>
          <w:sz w:val="21"/>
        </w:rPr>
        <w:t>mallee trees </w:t>
      </w:r>
      <w:r>
        <w:rPr>
          <w:spacing w:val="-3"/>
          <w:sz w:val="21"/>
        </w:rPr>
        <w:t>that </w:t>
      </w:r>
      <w:r>
        <w:rPr>
          <w:sz w:val="21"/>
        </w:rPr>
        <w:t>do </w:t>
      </w:r>
      <w:r>
        <w:rPr>
          <w:spacing w:val="-2"/>
          <w:sz w:val="21"/>
        </w:rPr>
        <w:t>not </w:t>
      </w:r>
      <w:r>
        <w:rPr>
          <w:sz w:val="21"/>
        </w:rPr>
        <w:t>meet </w:t>
      </w:r>
      <w:r>
        <w:rPr>
          <w:spacing w:val="-3"/>
          <w:sz w:val="21"/>
        </w:rPr>
        <w:t>any technical requirements </w:t>
      </w:r>
      <w:r>
        <w:rPr>
          <w:sz w:val="21"/>
        </w:rPr>
        <w:t>of a </w:t>
      </w:r>
      <w:r>
        <w:rPr>
          <w:spacing w:val="-3"/>
          <w:sz w:val="21"/>
        </w:rPr>
        <w:t>singular </w:t>
      </w:r>
      <w:r>
        <w:rPr>
          <w:sz w:val="21"/>
        </w:rPr>
        <w:t>tree trunk, certain species of </w:t>
      </w:r>
      <w:r>
        <w:rPr>
          <w:spacing w:val="-3"/>
          <w:sz w:val="21"/>
        </w:rPr>
        <w:t>shrubs </w:t>
      </w:r>
      <w:r>
        <w:rPr>
          <w:sz w:val="21"/>
        </w:rPr>
        <w:t>known </w:t>
      </w:r>
      <w:r>
        <w:rPr>
          <w:spacing w:val="-3"/>
          <w:sz w:val="21"/>
        </w:rPr>
        <w:t>to grow quite large, </w:t>
      </w:r>
      <w:r>
        <w:rPr>
          <w:sz w:val="21"/>
        </w:rPr>
        <w:t>and also allows the decision </w:t>
      </w:r>
      <w:r>
        <w:rPr>
          <w:spacing w:val="-4"/>
          <w:sz w:val="21"/>
        </w:rPr>
        <w:t>maker </w:t>
      </w:r>
      <w:r>
        <w:rPr>
          <w:spacing w:val="-3"/>
          <w:sz w:val="21"/>
        </w:rPr>
        <w:t>discretion. </w:t>
      </w:r>
      <w:r>
        <w:rPr>
          <w:sz w:val="21"/>
        </w:rPr>
        <w:t>This would also encompass a </w:t>
      </w:r>
      <w:r>
        <w:rPr>
          <w:spacing w:val="-5"/>
          <w:sz w:val="21"/>
        </w:rPr>
        <w:t>‘pachycaul’.</w:t>
      </w:r>
    </w:p>
    <w:p>
      <w:pPr>
        <w:pStyle w:val="BodyText"/>
        <w:rPr>
          <w:sz w:val="20"/>
        </w:rPr>
      </w:pPr>
    </w:p>
    <w:p>
      <w:pPr>
        <w:pStyle w:val="BodyText"/>
        <w:spacing w:before="4"/>
        <w:rPr>
          <w:sz w:val="19"/>
        </w:rPr>
      </w:pPr>
      <w:r>
        <w:rPr/>
        <w:pict>
          <v:line style="position:absolute;mso-position-horizontal-relative:page;mso-position-vertical-relative:paragraph;z-index:3272;mso-wrap-distance-left:0;mso-wrap-distance-right:0" from="79.370102pt,14.287966pt" to="515.905102pt,14.287966pt" stroked="true" strokeweight="1pt" strokecolor="#c9d2cb">
            <v:stroke dashstyle="solid"/>
            <w10:wrap type="topAndBottom"/>
          </v:line>
        </w:pict>
      </w:r>
    </w:p>
    <w:p>
      <w:pPr>
        <w:pStyle w:val="ListParagraph"/>
        <w:numPr>
          <w:ilvl w:val="0"/>
          <w:numId w:val="47"/>
        </w:numPr>
        <w:tabs>
          <w:tab w:pos="2380" w:val="left" w:leader="none"/>
          <w:tab w:pos="2382" w:val="left" w:leader="none"/>
        </w:tabs>
        <w:spacing w:line="240" w:lineRule="auto" w:before="117" w:after="0"/>
        <w:ind w:left="2381" w:right="0" w:hanging="794"/>
        <w:jc w:val="left"/>
        <w:rPr>
          <w:sz w:val="13"/>
        </w:rPr>
      </w:pPr>
      <w:r>
        <w:rPr>
          <w:w w:val="105"/>
          <w:sz w:val="13"/>
        </w:rPr>
        <w:t>Submission 9 </w:t>
      </w:r>
      <w:r>
        <w:rPr>
          <w:spacing w:val="3"/>
          <w:w w:val="105"/>
          <w:sz w:val="13"/>
        </w:rPr>
        <w:t>(Dr </w:t>
      </w:r>
      <w:r>
        <w:rPr>
          <w:w w:val="105"/>
          <w:sz w:val="13"/>
        </w:rPr>
        <w:t>Karen</w:t>
      </w:r>
      <w:r>
        <w:rPr>
          <w:spacing w:val="15"/>
          <w:w w:val="105"/>
          <w:sz w:val="13"/>
        </w:rPr>
        <w:t> </w:t>
      </w:r>
      <w:r>
        <w:rPr>
          <w:w w:val="105"/>
          <w:sz w:val="13"/>
        </w:rPr>
        <w:t>Smith).</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Submission 20 </w:t>
      </w:r>
      <w:r>
        <w:rPr>
          <w:spacing w:val="2"/>
          <w:w w:val="105"/>
          <w:sz w:val="13"/>
        </w:rPr>
        <w:t>(Name</w:t>
      </w:r>
      <w:r>
        <w:rPr>
          <w:spacing w:val="13"/>
          <w:w w:val="105"/>
          <w:sz w:val="13"/>
        </w:rPr>
        <w:t> </w:t>
      </w:r>
      <w:r>
        <w:rPr>
          <w:w w:val="105"/>
          <w:sz w:val="13"/>
        </w:rPr>
        <w:t>withheld).</w:t>
      </w:r>
    </w:p>
    <w:p>
      <w:pPr>
        <w:pStyle w:val="ListParagraph"/>
        <w:numPr>
          <w:ilvl w:val="0"/>
          <w:numId w:val="47"/>
        </w:numPr>
        <w:tabs>
          <w:tab w:pos="2381" w:val="left" w:leader="none"/>
          <w:tab w:pos="2382" w:val="left" w:leader="none"/>
        </w:tabs>
        <w:spacing w:line="240" w:lineRule="auto" w:before="2" w:after="0"/>
        <w:ind w:left="2381" w:right="1754" w:hanging="794"/>
        <w:jc w:val="both"/>
        <w:rPr>
          <w:sz w:val="13"/>
        </w:rPr>
      </w:pPr>
      <w:r>
        <w:rPr>
          <w:w w:val="105"/>
          <w:sz w:val="13"/>
        </w:rPr>
        <w:t>Consultation </w:t>
      </w:r>
      <w:r>
        <w:rPr>
          <w:spacing w:val="-6"/>
          <w:w w:val="105"/>
          <w:sz w:val="13"/>
        </w:rPr>
        <w:t>11 </w:t>
      </w:r>
      <w:r>
        <w:rPr>
          <w:spacing w:val="2"/>
          <w:w w:val="105"/>
          <w:sz w:val="13"/>
        </w:rPr>
        <w:t>(Land </w:t>
      </w:r>
      <w:r>
        <w:rPr>
          <w:w w:val="105"/>
          <w:sz w:val="13"/>
        </w:rPr>
        <w:t>and Environment Court of New South Wales); </w:t>
      </w:r>
      <w:r>
        <w:rPr>
          <w:i/>
          <w:w w:val="105"/>
          <w:sz w:val="13"/>
        </w:rPr>
        <w:t>The Trees (Disputes Between Neighbours) Act 2006 </w:t>
      </w:r>
      <w:r>
        <w:rPr>
          <w:spacing w:val="3"/>
          <w:w w:val="105"/>
          <w:sz w:val="13"/>
        </w:rPr>
        <w:t>(NSW) </w:t>
      </w:r>
      <w:r>
        <w:rPr>
          <w:w w:val="105"/>
          <w:sz w:val="13"/>
        </w:rPr>
        <w:t>will also apply to a tree that is removed following damage or injury that gave rise to an application if the tree was situated wholly or principally on the</w:t>
      </w:r>
      <w:r>
        <w:rPr>
          <w:spacing w:val="4"/>
          <w:w w:val="105"/>
          <w:sz w:val="13"/>
        </w:rPr>
        <w:t> </w:t>
      </w:r>
      <w:r>
        <w:rPr>
          <w:w w:val="105"/>
          <w:sz w:val="13"/>
        </w:rPr>
        <w:t>land</w:t>
      </w:r>
      <w:r>
        <w:rPr>
          <w:spacing w:val="4"/>
          <w:w w:val="105"/>
          <w:sz w:val="13"/>
        </w:rPr>
        <w:t> </w:t>
      </w:r>
      <w:r>
        <w:rPr>
          <w:w w:val="105"/>
          <w:sz w:val="13"/>
        </w:rPr>
        <w:t>immediately</w:t>
      </w:r>
      <w:r>
        <w:rPr>
          <w:spacing w:val="5"/>
          <w:w w:val="105"/>
          <w:sz w:val="13"/>
        </w:rPr>
        <w:t> </w:t>
      </w:r>
      <w:r>
        <w:rPr>
          <w:w w:val="105"/>
          <w:sz w:val="13"/>
        </w:rPr>
        <w:t>before</w:t>
      </w:r>
      <w:r>
        <w:rPr>
          <w:spacing w:val="4"/>
          <w:w w:val="105"/>
          <w:sz w:val="13"/>
        </w:rPr>
        <w:t> </w:t>
      </w:r>
      <w:r>
        <w:rPr>
          <w:w w:val="105"/>
          <w:sz w:val="13"/>
        </w:rPr>
        <w:t>the</w:t>
      </w:r>
      <w:r>
        <w:rPr>
          <w:spacing w:val="5"/>
          <w:w w:val="105"/>
          <w:sz w:val="13"/>
        </w:rPr>
        <w:t> </w:t>
      </w:r>
      <w:r>
        <w:rPr>
          <w:w w:val="105"/>
          <w:sz w:val="13"/>
        </w:rPr>
        <w:t>damage</w:t>
      </w:r>
      <w:r>
        <w:rPr>
          <w:spacing w:val="4"/>
          <w:w w:val="105"/>
          <w:sz w:val="13"/>
        </w:rPr>
        <w:t> </w:t>
      </w:r>
      <w:r>
        <w:rPr>
          <w:w w:val="105"/>
          <w:sz w:val="13"/>
        </w:rPr>
        <w:t>or</w:t>
      </w:r>
      <w:r>
        <w:rPr>
          <w:spacing w:val="5"/>
          <w:w w:val="105"/>
          <w:sz w:val="13"/>
        </w:rPr>
        <w:t> </w:t>
      </w:r>
      <w:r>
        <w:rPr>
          <w:w w:val="105"/>
          <w:sz w:val="13"/>
        </w:rPr>
        <w:t>injury</w:t>
      </w:r>
      <w:r>
        <w:rPr>
          <w:spacing w:val="4"/>
          <w:w w:val="105"/>
          <w:sz w:val="13"/>
        </w:rPr>
        <w:t> </w:t>
      </w:r>
      <w:r>
        <w:rPr>
          <w:w w:val="105"/>
          <w:sz w:val="13"/>
        </w:rPr>
        <w:t>occurred:</w:t>
      </w:r>
      <w:r>
        <w:rPr>
          <w:spacing w:val="5"/>
          <w:w w:val="105"/>
          <w:sz w:val="13"/>
        </w:rPr>
        <w:t> </w:t>
      </w:r>
      <w:r>
        <w:rPr>
          <w:w w:val="105"/>
          <w:sz w:val="13"/>
        </w:rPr>
        <w:t>s</w:t>
      </w:r>
      <w:r>
        <w:rPr>
          <w:spacing w:val="4"/>
          <w:w w:val="105"/>
          <w:sz w:val="13"/>
        </w:rPr>
        <w:t> 4(4).</w:t>
      </w:r>
    </w:p>
    <w:p>
      <w:pPr>
        <w:pStyle w:val="ListParagraph"/>
        <w:numPr>
          <w:ilvl w:val="0"/>
          <w:numId w:val="47"/>
        </w:numPr>
        <w:tabs>
          <w:tab w:pos="2381" w:val="left" w:leader="none"/>
          <w:tab w:pos="2382" w:val="left" w:leader="none"/>
        </w:tabs>
        <w:spacing w:line="240" w:lineRule="auto" w:before="4" w:after="0"/>
        <w:ind w:left="2381" w:right="0" w:hanging="794"/>
        <w:jc w:val="left"/>
        <w:rPr>
          <w:sz w:val="13"/>
        </w:rPr>
      </w:pPr>
      <w:r>
        <w:rPr/>
        <w:pict>
          <v:shape style="position:absolute;margin-left:36pt;margin-top:3.161966pt;width:13.15pt;height:14.25pt;mso-position-horizontal-relative:page;mso-position-vertical-relative:paragraph;z-index:5344" type="#_x0000_t202" filled="false" stroked="false">
            <v:textbox inset="0,0,0,0">
              <w:txbxContent>
                <w:p>
                  <w:pPr>
                    <w:spacing w:line="284" w:lineRule="exact" w:before="0"/>
                    <w:ind w:left="0" w:right="0" w:firstLine="0"/>
                    <w:jc w:val="left"/>
                    <w:rPr>
                      <w:b/>
                      <w:sz w:val="24"/>
                    </w:rPr>
                  </w:pPr>
                  <w:r>
                    <w:rPr>
                      <w:b/>
                      <w:color w:val="658464"/>
                      <w:spacing w:val="-3"/>
                      <w:w w:val="110"/>
                      <w:sz w:val="24"/>
                    </w:rPr>
                    <w:t>70</w:t>
                  </w:r>
                </w:p>
              </w:txbxContent>
            </v:textbox>
            <w10:wrap type="none"/>
          </v:shape>
        </w:pict>
      </w:r>
      <w:r>
        <w:rPr>
          <w:w w:val="105"/>
          <w:sz w:val="13"/>
        </w:rPr>
        <w:t>Submission 20 </w:t>
      </w:r>
      <w:r>
        <w:rPr>
          <w:spacing w:val="2"/>
          <w:w w:val="105"/>
          <w:sz w:val="13"/>
        </w:rPr>
        <w:t>(Name</w:t>
      </w:r>
      <w:r>
        <w:rPr>
          <w:spacing w:val="13"/>
          <w:w w:val="105"/>
          <w:sz w:val="13"/>
        </w:rPr>
        <w:t> </w:t>
      </w:r>
      <w:r>
        <w:rPr>
          <w:w w:val="105"/>
          <w:sz w:val="13"/>
        </w:rPr>
        <w:t>withheld).</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See, eg, </w:t>
      </w: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4"/>
          <w:w w:val="105"/>
          <w:sz w:val="13"/>
        </w:rPr>
        <w:t> </w:t>
      </w:r>
      <w:r>
        <w:rPr>
          <w:spacing w:val="2"/>
          <w:w w:val="105"/>
          <w:sz w:val="13"/>
        </w:rPr>
        <w:t>45(1)(b).</w:t>
      </w:r>
    </w:p>
    <w:p>
      <w:pPr>
        <w:spacing w:after="0" w:line="240" w:lineRule="auto"/>
        <w:jc w:val="left"/>
        <w:rPr>
          <w:sz w:val="13"/>
        </w:rPr>
        <w:sectPr>
          <w:pgSz w:w="11910" w:h="16840"/>
          <w:pgMar w:header="546" w:footer="0" w:top="1560" w:bottom="280" w:left="0" w:right="0"/>
        </w:sectPr>
      </w:pPr>
    </w:p>
    <w:p>
      <w:pPr>
        <w:pStyle w:val="BodyText"/>
        <w:rPr>
          <w:sz w:val="20"/>
        </w:rPr>
      </w:pPr>
      <w:r>
        <w:rPr/>
        <w:pict>
          <v:shape style="position:absolute;margin-left:549.089478pt;margin-top:802.323608pt;width:13.05pt;height:14.25pt;mso-position-horizontal-relative:page;mso-position-vertical-relative:page;z-index:5512" type="#_x0000_t202" filled="false" stroked="false">
            <v:textbox inset="0,0,0,0">
              <w:txbxContent>
                <w:p>
                  <w:pPr>
                    <w:spacing w:line="284" w:lineRule="exact" w:before="0"/>
                    <w:ind w:left="0" w:right="0" w:firstLine="0"/>
                    <w:jc w:val="left"/>
                    <w:rPr>
                      <w:b/>
                      <w:sz w:val="24"/>
                    </w:rPr>
                  </w:pPr>
                  <w:r>
                    <w:rPr>
                      <w:b/>
                      <w:color w:val="658464"/>
                      <w:spacing w:val="-4"/>
                      <w:w w:val="110"/>
                      <w:sz w:val="24"/>
                    </w:rPr>
                    <w:t>71</w:t>
                  </w:r>
                </w:p>
              </w:txbxContent>
            </v:textbox>
            <w10:wrap type="none"/>
          </v:shape>
        </w:pict>
      </w: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778" w:hanging="794"/>
        <w:jc w:val="left"/>
        <w:rPr>
          <w:sz w:val="21"/>
        </w:rPr>
      </w:pPr>
      <w:bookmarkStart w:name="_bookmark45" w:id="111"/>
      <w:bookmarkEnd w:id="111"/>
      <w:r>
        <w:rPr/>
      </w:r>
      <w:bookmarkStart w:name="_bookmark45" w:id="112"/>
      <w:bookmarkEnd w:id="112"/>
      <w:r>
        <w:rPr>
          <w:w w:val="105"/>
          <w:sz w:val="21"/>
        </w:rPr>
        <w:t>H</w:t>
      </w:r>
      <w:r>
        <w:rPr>
          <w:w w:val="105"/>
          <w:sz w:val="21"/>
        </w:rPr>
        <w:t>edges should </w:t>
      </w:r>
      <w:r>
        <w:rPr>
          <w:spacing w:val="-2"/>
          <w:w w:val="105"/>
          <w:sz w:val="21"/>
        </w:rPr>
        <w:t>not </w:t>
      </w:r>
      <w:r>
        <w:rPr>
          <w:w w:val="105"/>
          <w:sz w:val="21"/>
        </w:rPr>
        <w:t>be </w:t>
      </w:r>
      <w:r>
        <w:rPr>
          <w:spacing w:val="-3"/>
          <w:w w:val="105"/>
          <w:sz w:val="21"/>
        </w:rPr>
        <w:t>included, </w:t>
      </w:r>
      <w:r>
        <w:rPr>
          <w:w w:val="105"/>
          <w:sz w:val="21"/>
        </w:rPr>
        <w:t>as this represents a style of </w:t>
      </w:r>
      <w:r>
        <w:rPr>
          <w:spacing w:val="-3"/>
          <w:w w:val="105"/>
          <w:sz w:val="21"/>
        </w:rPr>
        <w:t>planting, rather than </w:t>
      </w:r>
      <w:r>
        <w:rPr>
          <w:w w:val="105"/>
          <w:sz w:val="21"/>
        </w:rPr>
        <w:t>a species of </w:t>
      </w:r>
      <w:r>
        <w:rPr>
          <w:spacing w:val="-3"/>
          <w:w w:val="105"/>
          <w:sz w:val="21"/>
        </w:rPr>
        <w:t>vegetation.</w:t>
      </w:r>
      <w:r>
        <w:rPr>
          <w:spacing w:val="-3"/>
          <w:w w:val="105"/>
          <w:position w:val="7"/>
          <w:sz w:val="12"/>
        </w:rPr>
        <w:t>55 </w:t>
      </w:r>
      <w:r>
        <w:rPr>
          <w:w w:val="105"/>
          <w:sz w:val="21"/>
        </w:rPr>
        <w:t>Any plants or vegetation in the </w:t>
      </w:r>
      <w:r>
        <w:rPr>
          <w:spacing w:val="-3"/>
          <w:w w:val="105"/>
          <w:sz w:val="21"/>
        </w:rPr>
        <w:t>form </w:t>
      </w:r>
      <w:r>
        <w:rPr>
          <w:w w:val="105"/>
          <w:sz w:val="21"/>
        </w:rPr>
        <w:t>of a hedge </w:t>
      </w:r>
      <w:r>
        <w:rPr>
          <w:spacing w:val="-3"/>
          <w:w w:val="105"/>
          <w:sz w:val="21"/>
        </w:rPr>
        <w:t>will </w:t>
      </w:r>
      <w:r>
        <w:rPr>
          <w:w w:val="105"/>
          <w:sz w:val="21"/>
        </w:rPr>
        <w:t>be </w:t>
      </w:r>
      <w:r>
        <w:rPr>
          <w:spacing w:val="-3"/>
          <w:w w:val="105"/>
          <w:sz w:val="21"/>
        </w:rPr>
        <w:t>included </w:t>
      </w:r>
      <w:r>
        <w:rPr>
          <w:w w:val="105"/>
          <w:sz w:val="21"/>
        </w:rPr>
        <w:t>irrespective of how they </w:t>
      </w:r>
      <w:r>
        <w:rPr>
          <w:spacing w:val="-3"/>
          <w:w w:val="105"/>
          <w:sz w:val="21"/>
        </w:rPr>
        <w:t>are </w:t>
      </w:r>
      <w:r>
        <w:rPr>
          <w:w w:val="105"/>
          <w:sz w:val="21"/>
        </w:rPr>
        <w:t>styled if they meet the</w:t>
      </w:r>
      <w:r>
        <w:rPr>
          <w:spacing w:val="19"/>
          <w:w w:val="105"/>
          <w:sz w:val="21"/>
        </w:rPr>
        <w:t> </w:t>
      </w:r>
      <w:r>
        <w:rPr>
          <w:w w:val="105"/>
          <w:sz w:val="21"/>
        </w:rPr>
        <w:t>definition.</w:t>
      </w:r>
    </w:p>
    <w:p>
      <w:pPr>
        <w:pStyle w:val="ListParagraph"/>
        <w:numPr>
          <w:ilvl w:val="1"/>
          <w:numId w:val="16"/>
        </w:numPr>
        <w:tabs>
          <w:tab w:pos="2380" w:val="left" w:leader="none"/>
          <w:tab w:pos="2381" w:val="left" w:leader="none"/>
        </w:tabs>
        <w:spacing w:line="242" w:lineRule="auto" w:before="124" w:after="0"/>
        <w:ind w:left="2380" w:right="1798" w:hanging="793"/>
        <w:jc w:val="left"/>
        <w:rPr>
          <w:sz w:val="21"/>
        </w:rPr>
      </w:pPr>
      <w:r>
        <w:rPr>
          <w:w w:val="105"/>
          <w:sz w:val="21"/>
        </w:rPr>
        <w:t>In </w:t>
      </w:r>
      <w:r>
        <w:rPr>
          <w:spacing w:val="-3"/>
          <w:w w:val="105"/>
          <w:sz w:val="21"/>
        </w:rPr>
        <w:t>addition, </w:t>
      </w:r>
      <w:r>
        <w:rPr>
          <w:w w:val="105"/>
          <w:sz w:val="21"/>
        </w:rPr>
        <w:t>vegetation classified as a </w:t>
      </w:r>
      <w:r>
        <w:rPr>
          <w:spacing w:val="-3"/>
          <w:w w:val="105"/>
          <w:sz w:val="21"/>
        </w:rPr>
        <w:t>noxious </w:t>
      </w:r>
      <w:r>
        <w:rPr>
          <w:w w:val="105"/>
          <w:sz w:val="21"/>
        </w:rPr>
        <w:t>weed should be </w:t>
      </w:r>
      <w:r>
        <w:rPr>
          <w:spacing w:val="-3"/>
          <w:w w:val="105"/>
          <w:sz w:val="21"/>
        </w:rPr>
        <w:t>captured </w:t>
      </w:r>
      <w:r>
        <w:rPr>
          <w:w w:val="105"/>
          <w:sz w:val="21"/>
        </w:rPr>
        <w:t>under the new Act</w:t>
      </w:r>
      <w:r>
        <w:rPr>
          <w:spacing w:val="-7"/>
          <w:w w:val="105"/>
          <w:sz w:val="21"/>
        </w:rPr>
        <w:t> </w:t>
      </w:r>
      <w:r>
        <w:rPr>
          <w:w w:val="105"/>
          <w:sz w:val="21"/>
        </w:rPr>
        <w:t>if</w:t>
      </w:r>
      <w:r>
        <w:rPr>
          <w:spacing w:val="-7"/>
          <w:w w:val="105"/>
          <w:sz w:val="21"/>
        </w:rPr>
        <w:t> </w:t>
      </w:r>
      <w:r>
        <w:rPr>
          <w:w w:val="105"/>
          <w:sz w:val="21"/>
        </w:rPr>
        <w:t>it</w:t>
      </w:r>
      <w:r>
        <w:rPr>
          <w:spacing w:val="-7"/>
          <w:w w:val="105"/>
          <w:sz w:val="21"/>
        </w:rPr>
        <w:t> </w:t>
      </w:r>
      <w:r>
        <w:rPr>
          <w:w w:val="105"/>
          <w:sz w:val="21"/>
        </w:rPr>
        <w:t>otherwise</w:t>
      </w:r>
      <w:r>
        <w:rPr>
          <w:spacing w:val="-6"/>
          <w:w w:val="105"/>
          <w:sz w:val="21"/>
        </w:rPr>
        <w:t> </w:t>
      </w:r>
      <w:r>
        <w:rPr>
          <w:w w:val="105"/>
          <w:sz w:val="21"/>
        </w:rPr>
        <w:t>meets</w:t>
      </w:r>
      <w:r>
        <w:rPr>
          <w:spacing w:val="-7"/>
          <w:w w:val="105"/>
          <w:sz w:val="21"/>
        </w:rPr>
        <w:t> </w:t>
      </w:r>
      <w:r>
        <w:rPr>
          <w:w w:val="105"/>
          <w:sz w:val="21"/>
        </w:rPr>
        <w:t>the</w:t>
      </w:r>
      <w:r>
        <w:rPr>
          <w:spacing w:val="-7"/>
          <w:w w:val="105"/>
          <w:sz w:val="21"/>
        </w:rPr>
        <w:t> </w:t>
      </w:r>
      <w:r>
        <w:rPr>
          <w:w w:val="105"/>
          <w:sz w:val="21"/>
        </w:rPr>
        <w:t>definition</w:t>
      </w:r>
      <w:r>
        <w:rPr>
          <w:spacing w:val="-7"/>
          <w:w w:val="105"/>
          <w:sz w:val="21"/>
        </w:rPr>
        <w:t> </w:t>
      </w:r>
      <w:r>
        <w:rPr>
          <w:w w:val="105"/>
          <w:sz w:val="21"/>
        </w:rPr>
        <w:t>of</w:t>
      </w:r>
      <w:r>
        <w:rPr>
          <w:spacing w:val="-6"/>
          <w:w w:val="105"/>
          <w:sz w:val="21"/>
        </w:rPr>
        <w:t> </w:t>
      </w:r>
      <w:r>
        <w:rPr>
          <w:w w:val="105"/>
          <w:sz w:val="21"/>
        </w:rPr>
        <w:t>‘tree’</w:t>
      </w:r>
      <w:r>
        <w:rPr>
          <w:spacing w:val="-7"/>
          <w:w w:val="105"/>
          <w:sz w:val="21"/>
        </w:rPr>
        <w:t> </w:t>
      </w:r>
      <w:r>
        <w:rPr>
          <w:spacing w:val="-3"/>
          <w:w w:val="105"/>
          <w:sz w:val="21"/>
        </w:rPr>
        <w:t>for</w:t>
      </w:r>
      <w:r>
        <w:rPr>
          <w:spacing w:val="-7"/>
          <w:w w:val="105"/>
          <w:sz w:val="21"/>
        </w:rPr>
        <w:t> </w:t>
      </w:r>
      <w:r>
        <w:rPr>
          <w:spacing w:val="-3"/>
          <w:w w:val="105"/>
          <w:sz w:val="21"/>
        </w:rPr>
        <w:t>example,</w:t>
      </w:r>
      <w:r>
        <w:rPr>
          <w:spacing w:val="-7"/>
          <w:w w:val="105"/>
          <w:sz w:val="21"/>
        </w:rPr>
        <w:t> </w:t>
      </w:r>
      <w:r>
        <w:rPr>
          <w:spacing w:val="-6"/>
          <w:w w:val="105"/>
          <w:sz w:val="21"/>
        </w:rPr>
        <w:t>‘any </w:t>
      </w:r>
      <w:r>
        <w:rPr>
          <w:spacing w:val="-3"/>
          <w:w w:val="105"/>
          <w:sz w:val="21"/>
        </w:rPr>
        <w:t>plant</w:t>
      </w:r>
      <w:r>
        <w:rPr>
          <w:spacing w:val="-7"/>
          <w:w w:val="105"/>
          <w:sz w:val="21"/>
        </w:rPr>
        <w:t> </w:t>
      </w:r>
      <w:r>
        <w:rPr>
          <w:spacing w:val="-3"/>
          <w:w w:val="105"/>
          <w:sz w:val="21"/>
        </w:rPr>
        <w:t>that</w:t>
      </w:r>
      <w:r>
        <w:rPr>
          <w:spacing w:val="-7"/>
          <w:w w:val="105"/>
          <w:sz w:val="21"/>
        </w:rPr>
        <w:t> </w:t>
      </w:r>
      <w:r>
        <w:rPr>
          <w:w w:val="105"/>
          <w:sz w:val="21"/>
        </w:rPr>
        <w:t>resembles</w:t>
      </w:r>
      <w:r>
        <w:rPr>
          <w:spacing w:val="-7"/>
          <w:w w:val="105"/>
          <w:sz w:val="21"/>
        </w:rPr>
        <w:t> </w:t>
      </w:r>
      <w:r>
        <w:rPr>
          <w:w w:val="105"/>
          <w:sz w:val="21"/>
        </w:rPr>
        <w:t>a tree in </w:t>
      </w:r>
      <w:r>
        <w:rPr>
          <w:spacing w:val="-3"/>
          <w:w w:val="105"/>
          <w:sz w:val="21"/>
        </w:rPr>
        <w:t>form </w:t>
      </w:r>
      <w:r>
        <w:rPr>
          <w:w w:val="105"/>
          <w:sz w:val="21"/>
        </w:rPr>
        <w:t>and</w:t>
      </w:r>
      <w:r>
        <w:rPr>
          <w:spacing w:val="24"/>
          <w:w w:val="105"/>
          <w:sz w:val="21"/>
        </w:rPr>
        <w:t> </w:t>
      </w:r>
      <w:r>
        <w:rPr>
          <w:spacing w:val="-6"/>
          <w:w w:val="105"/>
          <w:sz w:val="21"/>
        </w:rPr>
        <w:t>size’.</w:t>
      </w:r>
    </w:p>
    <w:p>
      <w:pPr>
        <w:pStyle w:val="ListParagraph"/>
        <w:numPr>
          <w:ilvl w:val="1"/>
          <w:numId w:val="16"/>
        </w:numPr>
        <w:tabs>
          <w:tab w:pos="2380" w:val="left" w:leader="none"/>
          <w:tab w:pos="2381" w:val="left" w:leader="none"/>
        </w:tabs>
        <w:spacing w:line="242" w:lineRule="auto" w:before="123" w:after="0"/>
        <w:ind w:left="2380" w:right="1905" w:hanging="794"/>
        <w:jc w:val="left"/>
        <w:rPr>
          <w:sz w:val="21"/>
        </w:rPr>
      </w:pPr>
      <w:r>
        <w:rPr>
          <w:sz w:val="21"/>
        </w:rPr>
        <w:t>The definition of ‘tree’ should </w:t>
      </w:r>
      <w:r>
        <w:rPr>
          <w:spacing w:val="-3"/>
          <w:sz w:val="21"/>
        </w:rPr>
        <w:t>include all </w:t>
      </w:r>
      <w:r>
        <w:rPr>
          <w:sz w:val="21"/>
        </w:rPr>
        <w:t>parts of a </w:t>
      </w:r>
      <w:r>
        <w:rPr>
          <w:spacing w:val="-3"/>
          <w:sz w:val="21"/>
        </w:rPr>
        <w:t>tree, </w:t>
      </w:r>
      <w:r>
        <w:rPr>
          <w:sz w:val="21"/>
        </w:rPr>
        <w:t>whether joined </w:t>
      </w:r>
      <w:r>
        <w:rPr>
          <w:spacing w:val="-3"/>
          <w:sz w:val="21"/>
        </w:rPr>
        <w:t>to </w:t>
      </w:r>
      <w:r>
        <w:rPr>
          <w:sz w:val="21"/>
        </w:rPr>
        <w:t>a </w:t>
      </w:r>
      <w:r>
        <w:rPr>
          <w:spacing w:val="-3"/>
          <w:sz w:val="21"/>
        </w:rPr>
        <w:t>main </w:t>
      </w:r>
      <w:r>
        <w:rPr>
          <w:sz w:val="21"/>
        </w:rPr>
        <w:t>structure or </w:t>
      </w:r>
      <w:r>
        <w:rPr>
          <w:spacing w:val="-3"/>
          <w:sz w:val="21"/>
        </w:rPr>
        <w:t>separate. </w:t>
      </w:r>
      <w:r>
        <w:rPr>
          <w:sz w:val="21"/>
        </w:rPr>
        <w:t>This would </w:t>
      </w:r>
      <w:r>
        <w:rPr>
          <w:spacing w:val="-3"/>
          <w:sz w:val="21"/>
        </w:rPr>
        <w:t>include </w:t>
      </w:r>
      <w:r>
        <w:rPr>
          <w:sz w:val="21"/>
        </w:rPr>
        <w:t>roots and </w:t>
      </w:r>
      <w:r>
        <w:rPr>
          <w:spacing w:val="-3"/>
          <w:sz w:val="21"/>
        </w:rPr>
        <w:t>bare </w:t>
      </w:r>
      <w:r>
        <w:rPr>
          <w:sz w:val="21"/>
        </w:rPr>
        <w:t>trunks. In </w:t>
      </w:r>
      <w:r>
        <w:rPr>
          <w:spacing w:val="-3"/>
          <w:sz w:val="21"/>
        </w:rPr>
        <w:t>addition, </w:t>
      </w:r>
      <w:r>
        <w:rPr>
          <w:sz w:val="21"/>
        </w:rPr>
        <w:t>trees </w:t>
      </w:r>
      <w:r>
        <w:rPr>
          <w:spacing w:val="-3"/>
          <w:sz w:val="21"/>
        </w:rPr>
        <w:t>that have </w:t>
      </w:r>
      <w:r>
        <w:rPr>
          <w:sz w:val="21"/>
        </w:rPr>
        <w:t>been partially or wholly removed should be </w:t>
      </w:r>
      <w:r>
        <w:rPr>
          <w:spacing w:val="-3"/>
          <w:sz w:val="21"/>
        </w:rPr>
        <w:t>included. </w:t>
      </w:r>
      <w:r>
        <w:rPr>
          <w:sz w:val="21"/>
        </w:rPr>
        <w:t>An affected </w:t>
      </w:r>
      <w:r>
        <w:rPr>
          <w:spacing w:val="-3"/>
          <w:sz w:val="21"/>
        </w:rPr>
        <w:t>neighbour may  </w:t>
      </w:r>
      <w:r>
        <w:rPr>
          <w:sz w:val="21"/>
        </w:rPr>
        <w:t>still wish </w:t>
      </w:r>
      <w:r>
        <w:rPr>
          <w:spacing w:val="-3"/>
          <w:sz w:val="21"/>
        </w:rPr>
        <w:t>to </w:t>
      </w:r>
      <w:r>
        <w:rPr>
          <w:sz w:val="21"/>
        </w:rPr>
        <w:t>seek orders </w:t>
      </w:r>
      <w:r>
        <w:rPr>
          <w:spacing w:val="-3"/>
          <w:sz w:val="21"/>
        </w:rPr>
        <w:t>for </w:t>
      </w:r>
      <w:r>
        <w:rPr>
          <w:sz w:val="21"/>
        </w:rPr>
        <w:t>payment of the cost of repairs </w:t>
      </w:r>
      <w:r>
        <w:rPr>
          <w:spacing w:val="-3"/>
          <w:sz w:val="21"/>
        </w:rPr>
        <w:t>to </w:t>
      </w:r>
      <w:r>
        <w:rPr>
          <w:sz w:val="21"/>
        </w:rPr>
        <w:t>their property even if the tree </w:t>
      </w:r>
      <w:r>
        <w:rPr>
          <w:spacing w:val="-2"/>
          <w:sz w:val="21"/>
        </w:rPr>
        <w:t>has </w:t>
      </w:r>
      <w:r>
        <w:rPr>
          <w:sz w:val="21"/>
        </w:rPr>
        <w:t>been wholly</w:t>
      </w:r>
      <w:r>
        <w:rPr>
          <w:spacing w:val="36"/>
          <w:sz w:val="21"/>
        </w:rPr>
        <w:t> </w:t>
      </w:r>
      <w:r>
        <w:rPr>
          <w:spacing w:val="-3"/>
          <w:sz w:val="21"/>
        </w:rPr>
        <w:t>removed.</w:t>
      </w:r>
    </w:p>
    <w:p>
      <w:pPr>
        <w:pStyle w:val="ListParagraph"/>
        <w:numPr>
          <w:ilvl w:val="1"/>
          <w:numId w:val="16"/>
        </w:numPr>
        <w:tabs>
          <w:tab w:pos="2380" w:val="left" w:leader="none"/>
          <w:tab w:pos="2381" w:val="left" w:leader="none"/>
        </w:tabs>
        <w:spacing w:line="242" w:lineRule="auto" w:before="126" w:after="0"/>
        <w:ind w:left="2380" w:right="1742" w:hanging="794"/>
        <w:jc w:val="left"/>
        <w:rPr>
          <w:sz w:val="21"/>
        </w:rPr>
      </w:pPr>
      <w:r>
        <w:rPr>
          <w:spacing w:val="-4"/>
          <w:w w:val="105"/>
          <w:sz w:val="21"/>
        </w:rPr>
        <w:t>Finally,</w:t>
      </w:r>
      <w:r>
        <w:rPr>
          <w:spacing w:val="-10"/>
          <w:w w:val="105"/>
          <w:sz w:val="21"/>
        </w:rPr>
        <w:t> </w:t>
      </w:r>
      <w:r>
        <w:rPr>
          <w:w w:val="105"/>
          <w:sz w:val="21"/>
        </w:rPr>
        <w:t>there</w:t>
      </w:r>
      <w:r>
        <w:rPr>
          <w:spacing w:val="-10"/>
          <w:w w:val="105"/>
          <w:sz w:val="21"/>
        </w:rPr>
        <w:t> </w:t>
      </w:r>
      <w:r>
        <w:rPr>
          <w:w w:val="105"/>
          <w:sz w:val="21"/>
        </w:rPr>
        <w:t>should</w:t>
      </w:r>
      <w:r>
        <w:rPr>
          <w:spacing w:val="-10"/>
          <w:w w:val="105"/>
          <w:sz w:val="21"/>
        </w:rPr>
        <w:t> </w:t>
      </w:r>
      <w:r>
        <w:rPr>
          <w:w w:val="105"/>
          <w:sz w:val="21"/>
        </w:rPr>
        <w:t>be</w:t>
      </w:r>
      <w:r>
        <w:rPr>
          <w:spacing w:val="-9"/>
          <w:w w:val="105"/>
          <w:sz w:val="21"/>
        </w:rPr>
        <w:t> </w:t>
      </w:r>
      <w:r>
        <w:rPr>
          <w:w w:val="105"/>
          <w:sz w:val="21"/>
        </w:rPr>
        <w:t>scope</w:t>
      </w:r>
      <w:r>
        <w:rPr>
          <w:spacing w:val="-10"/>
          <w:w w:val="105"/>
          <w:sz w:val="21"/>
        </w:rPr>
        <w:t> </w:t>
      </w:r>
      <w:r>
        <w:rPr>
          <w:spacing w:val="-3"/>
          <w:w w:val="105"/>
          <w:sz w:val="21"/>
        </w:rPr>
        <w:t>to</w:t>
      </w:r>
      <w:r>
        <w:rPr>
          <w:spacing w:val="-10"/>
          <w:w w:val="105"/>
          <w:sz w:val="21"/>
        </w:rPr>
        <w:t> </w:t>
      </w:r>
      <w:r>
        <w:rPr>
          <w:spacing w:val="-3"/>
          <w:w w:val="105"/>
          <w:sz w:val="21"/>
        </w:rPr>
        <w:t>include</w:t>
      </w:r>
      <w:r>
        <w:rPr>
          <w:spacing w:val="-9"/>
          <w:w w:val="105"/>
          <w:sz w:val="21"/>
        </w:rPr>
        <w:t> </w:t>
      </w:r>
      <w:r>
        <w:rPr>
          <w:spacing w:val="-3"/>
          <w:w w:val="105"/>
          <w:sz w:val="21"/>
        </w:rPr>
        <w:t>any</w:t>
      </w:r>
      <w:r>
        <w:rPr>
          <w:spacing w:val="-10"/>
          <w:w w:val="105"/>
          <w:sz w:val="21"/>
        </w:rPr>
        <w:t> </w:t>
      </w:r>
      <w:r>
        <w:rPr>
          <w:w w:val="105"/>
          <w:sz w:val="21"/>
        </w:rPr>
        <w:t>other</w:t>
      </w:r>
      <w:r>
        <w:rPr>
          <w:spacing w:val="-10"/>
          <w:w w:val="105"/>
          <w:sz w:val="21"/>
        </w:rPr>
        <w:t> </w:t>
      </w:r>
      <w:r>
        <w:rPr>
          <w:w w:val="105"/>
          <w:sz w:val="21"/>
        </w:rPr>
        <w:t>specific</w:t>
      </w:r>
      <w:r>
        <w:rPr>
          <w:spacing w:val="-10"/>
          <w:w w:val="105"/>
          <w:sz w:val="21"/>
        </w:rPr>
        <w:t> </w:t>
      </w:r>
      <w:r>
        <w:rPr>
          <w:w w:val="105"/>
          <w:sz w:val="21"/>
        </w:rPr>
        <w:t>vegetation</w:t>
      </w:r>
      <w:r>
        <w:rPr>
          <w:spacing w:val="-9"/>
          <w:w w:val="105"/>
          <w:sz w:val="21"/>
        </w:rPr>
        <w:t> </w:t>
      </w:r>
      <w:r>
        <w:rPr>
          <w:w w:val="105"/>
          <w:sz w:val="21"/>
        </w:rPr>
        <w:t>in</w:t>
      </w:r>
      <w:r>
        <w:rPr>
          <w:spacing w:val="-10"/>
          <w:w w:val="105"/>
          <w:sz w:val="21"/>
        </w:rPr>
        <w:t> </w:t>
      </w:r>
      <w:r>
        <w:rPr>
          <w:w w:val="105"/>
          <w:sz w:val="21"/>
        </w:rPr>
        <w:t>the</w:t>
      </w:r>
      <w:r>
        <w:rPr>
          <w:spacing w:val="-10"/>
          <w:w w:val="105"/>
          <w:sz w:val="21"/>
        </w:rPr>
        <w:t> </w:t>
      </w:r>
      <w:r>
        <w:rPr>
          <w:w w:val="105"/>
          <w:sz w:val="21"/>
        </w:rPr>
        <w:t>definition</w:t>
      </w:r>
      <w:r>
        <w:rPr>
          <w:spacing w:val="-9"/>
          <w:w w:val="105"/>
          <w:sz w:val="21"/>
        </w:rPr>
        <w:t> </w:t>
      </w:r>
      <w:r>
        <w:rPr>
          <w:w w:val="105"/>
          <w:sz w:val="21"/>
        </w:rPr>
        <w:t>of tree by </w:t>
      </w:r>
      <w:r>
        <w:rPr>
          <w:spacing w:val="-3"/>
          <w:w w:val="105"/>
          <w:sz w:val="21"/>
        </w:rPr>
        <w:t>way </w:t>
      </w:r>
      <w:r>
        <w:rPr>
          <w:w w:val="105"/>
          <w:sz w:val="21"/>
        </w:rPr>
        <w:t>of </w:t>
      </w:r>
      <w:r>
        <w:rPr>
          <w:spacing w:val="-3"/>
          <w:w w:val="105"/>
          <w:sz w:val="21"/>
        </w:rPr>
        <w:t>Regulations accompanying </w:t>
      </w:r>
      <w:r>
        <w:rPr>
          <w:w w:val="105"/>
          <w:sz w:val="21"/>
        </w:rPr>
        <w:t>the new</w:t>
      </w:r>
      <w:r>
        <w:rPr>
          <w:spacing w:val="49"/>
          <w:w w:val="105"/>
          <w:sz w:val="21"/>
        </w:rPr>
        <w:t> </w:t>
      </w:r>
      <w:r>
        <w:rPr>
          <w:w w:val="105"/>
          <w:sz w:val="21"/>
        </w:rPr>
        <w:t>Act.</w:t>
      </w:r>
    </w:p>
    <w:p>
      <w:pPr>
        <w:pStyle w:val="BodyText"/>
        <w:spacing w:before="2"/>
        <w:rPr>
          <w:sz w:val="23"/>
        </w:rPr>
      </w:pPr>
      <w:r>
        <w:rPr/>
        <w:pict>
          <v:group style="position:absolute;margin-left:62.362202pt;margin-top:16.094004pt;width:479.1pt;height:222.4pt;mso-position-horizontal-relative:page;mso-position-vertical-relative:paragraph;z-index:3416;mso-wrap-distance-left:0;mso-wrap-distance-right:0" coordorigin="1247,322" coordsize="9582,4448">
            <v:rect style="position:absolute;left:1587;top:321;width:8731;height:4448" filled="true" fillcolor="#dbe0dd" stroked="false">
              <v:fill type="solid"/>
            </v:rect>
            <v:line style="position:absolute" from="1247,1069" to="10828,1069" stroked="true" strokeweight="2.5pt" strokecolor="#ffffff">
              <v:stroke dashstyle="solid"/>
            </v:line>
            <v:shape style="position:absolute;left:1814;top:3206;width:7914;height:1390" type="#_x0000_t202" filled="false" stroked="false">
              <v:textbox inset="0,0,0,0">
                <w:txbxContent>
                  <w:p>
                    <w:pPr>
                      <w:tabs>
                        <w:tab w:pos="566" w:val="left" w:leader="none"/>
                      </w:tabs>
                      <w:spacing w:line="253" w:lineRule="exact" w:before="0"/>
                      <w:ind w:left="0" w:right="0" w:firstLine="0"/>
                      <w:jc w:val="left"/>
                      <w:rPr>
                        <w:sz w:val="21"/>
                      </w:rPr>
                    </w:pPr>
                    <w:r>
                      <w:rPr>
                        <w:b/>
                        <w:w w:val="115"/>
                        <w:sz w:val="21"/>
                      </w:rPr>
                      <w:t>3</w:t>
                      <w:tab/>
                    </w:r>
                    <w:r>
                      <w:rPr>
                        <w:spacing w:val="-3"/>
                        <w:w w:val="115"/>
                        <w:sz w:val="21"/>
                      </w:rPr>
                      <w:t>‘Tree’ </w:t>
                    </w:r>
                    <w:r>
                      <w:rPr>
                        <w:w w:val="115"/>
                        <w:sz w:val="21"/>
                      </w:rPr>
                      <w:t>should also</w:t>
                    </w:r>
                    <w:r>
                      <w:rPr>
                        <w:spacing w:val="4"/>
                        <w:w w:val="115"/>
                        <w:sz w:val="21"/>
                      </w:rPr>
                      <w:t> </w:t>
                    </w:r>
                    <w:r>
                      <w:rPr>
                        <w:w w:val="115"/>
                        <w:sz w:val="21"/>
                      </w:rPr>
                      <w:t>include:</w:t>
                    </w:r>
                  </w:p>
                  <w:p>
                    <w:pPr>
                      <w:numPr>
                        <w:ilvl w:val="0"/>
                        <w:numId w:val="48"/>
                      </w:numPr>
                      <w:tabs>
                        <w:tab w:pos="1133" w:val="left" w:leader="none"/>
                        <w:tab w:pos="1134" w:val="left" w:leader="none"/>
                      </w:tabs>
                      <w:spacing w:before="123"/>
                      <w:ind w:left="1134" w:right="0" w:hanging="567"/>
                      <w:jc w:val="left"/>
                      <w:rPr>
                        <w:sz w:val="21"/>
                      </w:rPr>
                    </w:pPr>
                    <w:r>
                      <w:rPr>
                        <w:spacing w:val="-3"/>
                        <w:w w:val="115"/>
                        <w:sz w:val="21"/>
                      </w:rPr>
                      <w:t>all</w:t>
                    </w:r>
                    <w:r>
                      <w:rPr>
                        <w:spacing w:val="-7"/>
                        <w:w w:val="115"/>
                        <w:sz w:val="21"/>
                      </w:rPr>
                      <w:t> </w:t>
                    </w:r>
                    <w:r>
                      <w:rPr>
                        <w:w w:val="115"/>
                        <w:sz w:val="21"/>
                      </w:rPr>
                      <w:t>parts</w:t>
                    </w:r>
                    <w:r>
                      <w:rPr>
                        <w:spacing w:val="-7"/>
                        <w:w w:val="115"/>
                        <w:sz w:val="21"/>
                      </w:rPr>
                      <w:t> </w:t>
                    </w:r>
                    <w:r>
                      <w:rPr>
                        <w:w w:val="115"/>
                        <w:sz w:val="21"/>
                      </w:rPr>
                      <w:t>of</w:t>
                    </w:r>
                    <w:r>
                      <w:rPr>
                        <w:spacing w:val="-7"/>
                        <w:w w:val="115"/>
                        <w:sz w:val="21"/>
                      </w:rPr>
                      <w:t> </w:t>
                    </w:r>
                    <w:r>
                      <w:rPr>
                        <w:w w:val="115"/>
                        <w:sz w:val="21"/>
                      </w:rPr>
                      <w:t>the</w:t>
                    </w:r>
                    <w:r>
                      <w:rPr>
                        <w:spacing w:val="-6"/>
                        <w:w w:val="115"/>
                        <w:sz w:val="21"/>
                      </w:rPr>
                      <w:t> </w:t>
                    </w:r>
                    <w:r>
                      <w:rPr>
                        <w:w w:val="115"/>
                        <w:sz w:val="21"/>
                      </w:rPr>
                      <w:t>tree,</w:t>
                    </w:r>
                    <w:r>
                      <w:rPr>
                        <w:spacing w:val="-7"/>
                        <w:w w:val="115"/>
                        <w:sz w:val="21"/>
                      </w:rPr>
                      <w:t> </w:t>
                    </w:r>
                    <w:r>
                      <w:rPr>
                        <w:w w:val="115"/>
                        <w:sz w:val="21"/>
                      </w:rPr>
                      <w:t>whether</w:t>
                    </w:r>
                    <w:r>
                      <w:rPr>
                        <w:spacing w:val="-7"/>
                        <w:w w:val="115"/>
                        <w:sz w:val="21"/>
                      </w:rPr>
                      <w:t> </w:t>
                    </w:r>
                    <w:r>
                      <w:rPr>
                        <w:w w:val="115"/>
                        <w:sz w:val="21"/>
                      </w:rPr>
                      <w:t>joined</w:t>
                    </w:r>
                    <w:r>
                      <w:rPr>
                        <w:spacing w:val="-7"/>
                        <w:w w:val="115"/>
                        <w:sz w:val="21"/>
                      </w:rPr>
                      <w:t> </w:t>
                    </w:r>
                    <w:r>
                      <w:rPr>
                        <w:w w:val="115"/>
                        <w:sz w:val="21"/>
                      </w:rPr>
                      <w:t>to</w:t>
                    </w:r>
                    <w:r>
                      <w:rPr>
                        <w:spacing w:val="-6"/>
                        <w:w w:val="115"/>
                        <w:sz w:val="21"/>
                      </w:rPr>
                      <w:t> </w:t>
                    </w:r>
                    <w:r>
                      <w:rPr>
                        <w:w w:val="115"/>
                        <w:sz w:val="21"/>
                      </w:rPr>
                      <w:t>the</w:t>
                    </w:r>
                    <w:r>
                      <w:rPr>
                        <w:spacing w:val="-7"/>
                        <w:w w:val="115"/>
                        <w:sz w:val="21"/>
                      </w:rPr>
                      <w:t> </w:t>
                    </w:r>
                    <w:r>
                      <w:rPr>
                        <w:w w:val="115"/>
                        <w:sz w:val="21"/>
                      </w:rPr>
                      <w:t>main</w:t>
                    </w:r>
                    <w:r>
                      <w:rPr>
                        <w:spacing w:val="-7"/>
                        <w:w w:val="115"/>
                        <w:sz w:val="21"/>
                      </w:rPr>
                      <w:t> </w:t>
                    </w:r>
                    <w:r>
                      <w:rPr>
                        <w:w w:val="115"/>
                        <w:sz w:val="21"/>
                      </w:rPr>
                      <w:t>structure</w:t>
                    </w:r>
                    <w:r>
                      <w:rPr>
                        <w:spacing w:val="-7"/>
                        <w:w w:val="115"/>
                        <w:sz w:val="21"/>
                      </w:rPr>
                      <w:t> </w:t>
                    </w:r>
                    <w:r>
                      <w:rPr>
                        <w:w w:val="115"/>
                        <w:sz w:val="21"/>
                      </w:rPr>
                      <w:t>or</w:t>
                    </w:r>
                    <w:r>
                      <w:rPr>
                        <w:spacing w:val="-6"/>
                        <w:w w:val="115"/>
                        <w:sz w:val="21"/>
                      </w:rPr>
                      <w:t> </w:t>
                    </w:r>
                    <w:r>
                      <w:rPr>
                        <w:w w:val="115"/>
                        <w:sz w:val="21"/>
                      </w:rPr>
                      <w:t>separate</w:t>
                    </w:r>
                  </w:p>
                  <w:p>
                    <w:pPr>
                      <w:numPr>
                        <w:ilvl w:val="0"/>
                        <w:numId w:val="48"/>
                      </w:numPr>
                      <w:tabs>
                        <w:tab w:pos="1133" w:val="left" w:leader="none"/>
                        <w:tab w:pos="1134" w:val="left" w:leader="none"/>
                      </w:tabs>
                      <w:spacing w:before="124"/>
                      <w:ind w:left="1134" w:right="0" w:hanging="567"/>
                      <w:jc w:val="left"/>
                      <w:rPr>
                        <w:sz w:val="21"/>
                      </w:rPr>
                    </w:pPr>
                    <w:r>
                      <w:rPr>
                        <w:w w:val="115"/>
                        <w:sz w:val="21"/>
                      </w:rPr>
                      <w:t>a tree that has been partially or wholly</w:t>
                    </w:r>
                    <w:r>
                      <w:rPr>
                        <w:spacing w:val="-5"/>
                        <w:w w:val="115"/>
                        <w:sz w:val="21"/>
                      </w:rPr>
                      <w:t> </w:t>
                    </w:r>
                    <w:r>
                      <w:rPr>
                        <w:w w:val="115"/>
                        <w:sz w:val="21"/>
                      </w:rPr>
                      <w:t>removed</w:t>
                    </w:r>
                  </w:p>
                  <w:p>
                    <w:pPr>
                      <w:numPr>
                        <w:ilvl w:val="0"/>
                        <w:numId w:val="48"/>
                      </w:numPr>
                      <w:tabs>
                        <w:tab w:pos="1133" w:val="left" w:leader="none"/>
                        <w:tab w:pos="1134" w:val="left" w:leader="none"/>
                      </w:tabs>
                      <w:spacing w:line="252" w:lineRule="exact" w:before="124"/>
                      <w:ind w:left="1134" w:right="0" w:hanging="567"/>
                      <w:jc w:val="left"/>
                      <w:rPr>
                        <w:sz w:val="21"/>
                      </w:rPr>
                    </w:pPr>
                    <w:r>
                      <w:rPr>
                        <w:w w:val="115"/>
                        <w:sz w:val="21"/>
                      </w:rPr>
                      <w:t>a dead</w:t>
                    </w:r>
                    <w:r>
                      <w:rPr>
                        <w:spacing w:val="1"/>
                        <w:w w:val="115"/>
                        <w:sz w:val="21"/>
                      </w:rPr>
                      <w:t> </w:t>
                    </w:r>
                    <w:r>
                      <w:rPr>
                        <w:w w:val="115"/>
                        <w:sz w:val="21"/>
                      </w:rPr>
                      <w:t>tree.</w:t>
                    </w:r>
                  </w:p>
                </w:txbxContent>
              </v:textbox>
              <w10:wrap type="none"/>
            </v:shape>
            <v:shape style="position:absolute;left:2381;top:1305;width:4864;height:1770" type="#_x0000_t202" filled="false" stroked="false">
              <v:textbox inset="0,0,0,0">
                <w:txbxContent>
                  <w:p>
                    <w:pPr>
                      <w:spacing w:line="253" w:lineRule="exact" w:before="0"/>
                      <w:ind w:left="0" w:right="0" w:firstLine="0"/>
                      <w:jc w:val="left"/>
                      <w:rPr>
                        <w:sz w:val="21"/>
                      </w:rPr>
                    </w:pPr>
                    <w:r>
                      <w:rPr>
                        <w:w w:val="115"/>
                        <w:sz w:val="21"/>
                      </w:rPr>
                      <w:t>The Act should define ‘tree’ to mean:</w:t>
                    </w:r>
                  </w:p>
                  <w:p>
                    <w:pPr>
                      <w:numPr>
                        <w:ilvl w:val="0"/>
                        <w:numId w:val="49"/>
                      </w:numPr>
                      <w:tabs>
                        <w:tab w:pos="566" w:val="left" w:leader="none"/>
                        <w:tab w:pos="567" w:val="left" w:leader="none"/>
                      </w:tabs>
                      <w:spacing w:before="123"/>
                      <w:ind w:left="567" w:right="0" w:hanging="567"/>
                      <w:jc w:val="left"/>
                      <w:rPr>
                        <w:sz w:val="21"/>
                      </w:rPr>
                    </w:pPr>
                    <w:r>
                      <w:rPr>
                        <w:spacing w:val="-2"/>
                        <w:w w:val="115"/>
                        <w:sz w:val="21"/>
                      </w:rPr>
                      <w:t>any </w:t>
                    </w:r>
                    <w:r>
                      <w:rPr>
                        <w:w w:val="115"/>
                        <w:sz w:val="21"/>
                      </w:rPr>
                      <w:t>woody perennial</w:t>
                    </w:r>
                    <w:r>
                      <w:rPr>
                        <w:spacing w:val="3"/>
                        <w:w w:val="115"/>
                        <w:sz w:val="21"/>
                      </w:rPr>
                      <w:t> </w:t>
                    </w:r>
                    <w:r>
                      <w:rPr>
                        <w:w w:val="115"/>
                        <w:sz w:val="21"/>
                      </w:rPr>
                      <w:t>plant</w:t>
                    </w:r>
                  </w:p>
                  <w:p>
                    <w:pPr>
                      <w:numPr>
                        <w:ilvl w:val="0"/>
                        <w:numId w:val="49"/>
                      </w:numPr>
                      <w:tabs>
                        <w:tab w:pos="566" w:val="left" w:leader="none"/>
                        <w:tab w:pos="567" w:val="left" w:leader="none"/>
                      </w:tabs>
                      <w:spacing w:before="124"/>
                      <w:ind w:left="567" w:right="0" w:hanging="567"/>
                      <w:jc w:val="left"/>
                      <w:rPr>
                        <w:sz w:val="21"/>
                      </w:rPr>
                    </w:pPr>
                    <w:r>
                      <w:rPr>
                        <w:spacing w:val="-2"/>
                        <w:w w:val="115"/>
                        <w:sz w:val="21"/>
                      </w:rPr>
                      <w:t>any </w:t>
                    </w:r>
                    <w:r>
                      <w:rPr>
                        <w:w w:val="115"/>
                        <w:sz w:val="21"/>
                      </w:rPr>
                      <w:t>plant resembling a tree in form and</w:t>
                    </w:r>
                    <w:r>
                      <w:rPr>
                        <w:spacing w:val="-24"/>
                        <w:w w:val="115"/>
                        <w:sz w:val="21"/>
                      </w:rPr>
                      <w:t> </w:t>
                    </w:r>
                    <w:r>
                      <w:rPr>
                        <w:spacing w:val="-3"/>
                        <w:w w:val="115"/>
                        <w:sz w:val="21"/>
                      </w:rPr>
                      <w:t>size</w:t>
                    </w:r>
                  </w:p>
                  <w:p>
                    <w:pPr>
                      <w:numPr>
                        <w:ilvl w:val="0"/>
                        <w:numId w:val="49"/>
                      </w:numPr>
                      <w:tabs>
                        <w:tab w:pos="566" w:val="left" w:leader="none"/>
                        <w:tab w:pos="567" w:val="left" w:leader="none"/>
                      </w:tabs>
                      <w:spacing w:before="124"/>
                      <w:ind w:left="567" w:right="0" w:hanging="567"/>
                      <w:jc w:val="left"/>
                      <w:rPr>
                        <w:sz w:val="21"/>
                      </w:rPr>
                    </w:pPr>
                    <w:r>
                      <w:rPr>
                        <w:w w:val="115"/>
                        <w:sz w:val="21"/>
                      </w:rPr>
                      <w:t>vines, cacti, palms,</w:t>
                    </w:r>
                    <w:r>
                      <w:rPr>
                        <w:spacing w:val="-3"/>
                        <w:w w:val="115"/>
                        <w:sz w:val="21"/>
                      </w:rPr>
                      <w:t> </w:t>
                    </w:r>
                    <w:r>
                      <w:rPr>
                        <w:w w:val="115"/>
                        <w:sz w:val="21"/>
                      </w:rPr>
                      <w:t>bamboo</w:t>
                    </w:r>
                  </w:p>
                  <w:p>
                    <w:pPr>
                      <w:numPr>
                        <w:ilvl w:val="0"/>
                        <w:numId w:val="49"/>
                      </w:numPr>
                      <w:tabs>
                        <w:tab w:pos="566" w:val="left" w:leader="none"/>
                        <w:tab w:pos="567" w:val="left" w:leader="none"/>
                      </w:tabs>
                      <w:spacing w:line="252" w:lineRule="exact" w:before="124"/>
                      <w:ind w:left="567" w:right="0" w:hanging="567"/>
                      <w:jc w:val="left"/>
                      <w:rPr>
                        <w:sz w:val="21"/>
                      </w:rPr>
                    </w:pPr>
                    <w:r>
                      <w:rPr>
                        <w:spacing w:val="-2"/>
                        <w:w w:val="115"/>
                        <w:sz w:val="21"/>
                      </w:rPr>
                      <w:t>any </w:t>
                    </w:r>
                    <w:r>
                      <w:rPr>
                        <w:w w:val="115"/>
                        <w:sz w:val="21"/>
                      </w:rPr>
                      <w:t>other plant prescribed by</w:t>
                    </w:r>
                    <w:r>
                      <w:rPr>
                        <w:spacing w:val="-28"/>
                        <w:w w:val="115"/>
                        <w:sz w:val="21"/>
                      </w:rPr>
                      <w:t> </w:t>
                    </w:r>
                    <w:r>
                      <w:rPr>
                        <w:w w:val="115"/>
                        <w:sz w:val="21"/>
                      </w:rPr>
                      <w:t>Regulations.</w:t>
                    </w:r>
                  </w:p>
                </w:txbxContent>
              </v:textbox>
              <w10:wrap type="none"/>
            </v:shape>
            <v:shape style="position:absolute;left:1814;top:1305;width:137;height:249" type="#_x0000_t202" filled="false" stroked="false">
              <v:textbox inset="0,0,0,0">
                <w:txbxContent>
                  <w:p>
                    <w:pPr>
                      <w:spacing w:line="249" w:lineRule="exact" w:before="0"/>
                      <w:ind w:left="0" w:right="0" w:firstLine="0"/>
                      <w:jc w:val="left"/>
                      <w:rPr>
                        <w:b/>
                        <w:sz w:val="21"/>
                      </w:rPr>
                    </w:pPr>
                    <w:r>
                      <w:rPr>
                        <w:b/>
                        <w:w w:val="109"/>
                        <w:sz w:val="21"/>
                      </w:rPr>
                      <w:t>2</w:t>
                    </w:r>
                  </w:p>
                </w:txbxContent>
              </v:textbox>
              <w10:wrap type="none"/>
            </v:shape>
            <v:shape style="position:absolute;left:1587;top:321;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Recommendations</w:t>
                    </w:r>
                  </w:p>
                </w:txbxContent>
              </v:textbox>
              <v:fill type="solid"/>
              <w10:wrap type="none"/>
            </v:shape>
            <w10:wrap type="topAndBottom"/>
          </v:group>
        </w:pict>
      </w:r>
    </w:p>
    <w:p>
      <w:pPr>
        <w:pStyle w:val="BodyText"/>
        <w:rPr>
          <w:sz w:val="19"/>
        </w:rPr>
      </w:pPr>
    </w:p>
    <w:p>
      <w:pPr>
        <w:pStyle w:val="Heading5"/>
        <w:spacing w:before="97"/>
      </w:pPr>
      <w:r>
        <w:rPr>
          <w:w w:val="115"/>
        </w:rPr>
        <w:t>To which land should the Act apply?</w:t>
      </w:r>
    </w:p>
    <w:p>
      <w:pPr>
        <w:pStyle w:val="ListParagraph"/>
        <w:numPr>
          <w:ilvl w:val="1"/>
          <w:numId w:val="16"/>
        </w:numPr>
        <w:tabs>
          <w:tab w:pos="2381" w:val="left" w:leader="none"/>
          <w:tab w:pos="2382" w:val="left" w:leader="none"/>
        </w:tabs>
        <w:spacing w:line="242" w:lineRule="auto" w:before="137" w:after="0"/>
        <w:ind w:left="2381" w:right="2171" w:hanging="794"/>
        <w:jc w:val="left"/>
        <w:rPr>
          <w:sz w:val="21"/>
        </w:rPr>
      </w:pPr>
      <w:r>
        <w:rPr>
          <w:w w:val="105"/>
          <w:sz w:val="21"/>
        </w:rPr>
        <w:t>When </w:t>
      </w:r>
      <w:r>
        <w:rPr>
          <w:spacing w:val="-3"/>
          <w:w w:val="105"/>
          <w:sz w:val="21"/>
        </w:rPr>
        <w:t>considering </w:t>
      </w:r>
      <w:r>
        <w:rPr>
          <w:w w:val="105"/>
          <w:sz w:val="21"/>
        </w:rPr>
        <w:t>which types of </w:t>
      </w:r>
      <w:r>
        <w:rPr>
          <w:spacing w:val="-3"/>
          <w:w w:val="105"/>
          <w:sz w:val="21"/>
        </w:rPr>
        <w:t>land </w:t>
      </w:r>
      <w:r>
        <w:rPr>
          <w:w w:val="105"/>
          <w:sz w:val="21"/>
        </w:rPr>
        <w:t>should </w:t>
      </w:r>
      <w:r>
        <w:rPr>
          <w:spacing w:val="-4"/>
          <w:w w:val="105"/>
          <w:sz w:val="21"/>
        </w:rPr>
        <w:t>fall </w:t>
      </w:r>
      <w:r>
        <w:rPr>
          <w:spacing w:val="-3"/>
          <w:w w:val="105"/>
          <w:sz w:val="21"/>
        </w:rPr>
        <w:t>within </w:t>
      </w:r>
      <w:r>
        <w:rPr>
          <w:w w:val="105"/>
          <w:sz w:val="21"/>
        </w:rPr>
        <w:t>the scope of the new Act, the </w:t>
      </w:r>
      <w:r>
        <w:rPr>
          <w:spacing w:val="-3"/>
          <w:w w:val="105"/>
          <w:sz w:val="21"/>
        </w:rPr>
        <w:t>Commission sought to strike </w:t>
      </w:r>
      <w:r>
        <w:rPr>
          <w:w w:val="105"/>
          <w:sz w:val="21"/>
        </w:rPr>
        <w:t>a </w:t>
      </w:r>
      <w:r>
        <w:rPr>
          <w:spacing w:val="-3"/>
          <w:w w:val="105"/>
          <w:sz w:val="21"/>
        </w:rPr>
        <w:t>balance </w:t>
      </w:r>
      <w:r>
        <w:rPr>
          <w:w w:val="105"/>
          <w:sz w:val="21"/>
        </w:rPr>
        <w:t>between </w:t>
      </w:r>
      <w:r>
        <w:rPr>
          <w:spacing w:val="-3"/>
          <w:w w:val="105"/>
          <w:sz w:val="21"/>
        </w:rPr>
        <w:t>providing </w:t>
      </w:r>
      <w:r>
        <w:rPr>
          <w:w w:val="105"/>
          <w:sz w:val="21"/>
        </w:rPr>
        <w:t>a remedy </w:t>
      </w:r>
      <w:r>
        <w:rPr>
          <w:spacing w:val="-3"/>
          <w:w w:val="105"/>
          <w:sz w:val="21"/>
        </w:rPr>
        <w:t>to </w:t>
      </w:r>
      <w:r>
        <w:rPr>
          <w:w w:val="105"/>
          <w:sz w:val="21"/>
        </w:rPr>
        <w:t>affected neighbours and </w:t>
      </w:r>
      <w:r>
        <w:rPr>
          <w:spacing w:val="-3"/>
          <w:w w:val="105"/>
          <w:sz w:val="21"/>
        </w:rPr>
        <w:t>ensuring that </w:t>
      </w:r>
      <w:r>
        <w:rPr>
          <w:w w:val="105"/>
          <w:sz w:val="21"/>
        </w:rPr>
        <w:t>the application of the Act is </w:t>
      </w:r>
      <w:r>
        <w:rPr>
          <w:spacing w:val="-2"/>
          <w:w w:val="105"/>
          <w:sz w:val="21"/>
        </w:rPr>
        <w:t>not </w:t>
      </w:r>
      <w:r>
        <w:rPr>
          <w:w w:val="105"/>
          <w:sz w:val="21"/>
        </w:rPr>
        <w:t>overly broad or burdensome </w:t>
      </w:r>
      <w:r>
        <w:rPr>
          <w:spacing w:val="-3"/>
          <w:w w:val="105"/>
          <w:sz w:val="21"/>
        </w:rPr>
        <w:t>to </w:t>
      </w:r>
      <w:r>
        <w:rPr>
          <w:w w:val="105"/>
          <w:sz w:val="21"/>
        </w:rPr>
        <w:t>owners or occupiers of</w:t>
      </w:r>
      <w:r>
        <w:rPr>
          <w:spacing w:val="28"/>
          <w:w w:val="105"/>
          <w:sz w:val="21"/>
        </w:rPr>
        <w:t> </w:t>
      </w:r>
      <w:r>
        <w:rPr>
          <w:spacing w:val="-3"/>
          <w:w w:val="105"/>
          <w:sz w:val="21"/>
        </w:rPr>
        <w:t>land.</w:t>
      </w:r>
    </w:p>
    <w:p>
      <w:pPr>
        <w:pStyle w:val="ListParagraph"/>
        <w:numPr>
          <w:ilvl w:val="1"/>
          <w:numId w:val="16"/>
        </w:numPr>
        <w:tabs>
          <w:tab w:pos="2380" w:val="left" w:leader="none"/>
          <w:tab w:pos="2381" w:val="left" w:leader="none"/>
        </w:tabs>
        <w:spacing w:line="242" w:lineRule="auto" w:before="124" w:after="0"/>
        <w:ind w:left="2381" w:right="1810" w:hanging="794"/>
        <w:jc w:val="left"/>
        <w:rPr>
          <w:sz w:val="21"/>
        </w:rPr>
      </w:pPr>
      <w:r>
        <w:rPr>
          <w:w w:val="105"/>
          <w:sz w:val="21"/>
        </w:rPr>
        <w:t>The</w:t>
      </w:r>
      <w:r>
        <w:rPr>
          <w:spacing w:val="-6"/>
          <w:w w:val="105"/>
          <w:sz w:val="21"/>
        </w:rPr>
        <w:t> </w:t>
      </w:r>
      <w:r>
        <w:rPr>
          <w:spacing w:val="-3"/>
          <w:w w:val="105"/>
          <w:sz w:val="21"/>
        </w:rPr>
        <w:t>consultation</w:t>
      </w:r>
      <w:r>
        <w:rPr>
          <w:spacing w:val="-6"/>
          <w:w w:val="105"/>
          <w:sz w:val="21"/>
        </w:rPr>
        <w:t> </w:t>
      </w:r>
      <w:r>
        <w:rPr>
          <w:w w:val="105"/>
          <w:sz w:val="21"/>
        </w:rPr>
        <w:t>paper</w:t>
      </w:r>
      <w:r>
        <w:rPr>
          <w:spacing w:val="-5"/>
          <w:w w:val="105"/>
          <w:sz w:val="21"/>
        </w:rPr>
        <w:t> </w:t>
      </w:r>
      <w:r>
        <w:rPr>
          <w:spacing w:val="-3"/>
          <w:w w:val="105"/>
          <w:sz w:val="21"/>
        </w:rPr>
        <w:t>asked</w:t>
      </w:r>
      <w:r>
        <w:rPr>
          <w:spacing w:val="-6"/>
          <w:w w:val="105"/>
          <w:sz w:val="21"/>
        </w:rPr>
        <w:t> </w:t>
      </w:r>
      <w:r>
        <w:rPr>
          <w:w w:val="105"/>
          <w:sz w:val="21"/>
        </w:rPr>
        <w:t>the</w:t>
      </w:r>
      <w:r>
        <w:rPr>
          <w:spacing w:val="-5"/>
          <w:w w:val="105"/>
          <w:sz w:val="21"/>
        </w:rPr>
        <w:t> </w:t>
      </w:r>
      <w:r>
        <w:rPr>
          <w:w w:val="105"/>
          <w:sz w:val="21"/>
        </w:rPr>
        <w:t>community</w:t>
      </w:r>
      <w:r>
        <w:rPr>
          <w:spacing w:val="-6"/>
          <w:w w:val="105"/>
          <w:sz w:val="21"/>
        </w:rPr>
        <w:t> </w:t>
      </w:r>
      <w:r>
        <w:rPr>
          <w:w w:val="105"/>
          <w:sz w:val="21"/>
        </w:rPr>
        <w:t>whether</w:t>
      </w:r>
      <w:r>
        <w:rPr>
          <w:spacing w:val="-5"/>
          <w:w w:val="105"/>
          <w:sz w:val="21"/>
        </w:rPr>
        <w:t> </w:t>
      </w:r>
      <w:r>
        <w:rPr>
          <w:w w:val="105"/>
          <w:sz w:val="21"/>
        </w:rPr>
        <w:t>the</w:t>
      </w:r>
      <w:r>
        <w:rPr>
          <w:spacing w:val="-6"/>
          <w:w w:val="105"/>
          <w:sz w:val="21"/>
        </w:rPr>
        <w:t> </w:t>
      </w:r>
      <w:r>
        <w:rPr>
          <w:w w:val="105"/>
          <w:sz w:val="21"/>
        </w:rPr>
        <w:t>new</w:t>
      </w:r>
      <w:r>
        <w:rPr>
          <w:spacing w:val="-5"/>
          <w:w w:val="105"/>
          <w:sz w:val="21"/>
        </w:rPr>
        <w:t> </w:t>
      </w:r>
      <w:r>
        <w:rPr>
          <w:w w:val="105"/>
          <w:sz w:val="21"/>
        </w:rPr>
        <w:t>Act</w:t>
      </w:r>
      <w:r>
        <w:rPr>
          <w:spacing w:val="-6"/>
          <w:w w:val="105"/>
          <w:sz w:val="21"/>
        </w:rPr>
        <w:t> </w:t>
      </w:r>
      <w:r>
        <w:rPr>
          <w:w w:val="105"/>
          <w:sz w:val="21"/>
        </w:rPr>
        <w:t>should</w:t>
      </w:r>
      <w:r>
        <w:rPr>
          <w:spacing w:val="-5"/>
          <w:w w:val="105"/>
          <w:sz w:val="21"/>
        </w:rPr>
        <w:t> </w:t>
      </w:r>
      <w:r>
        <w:rPr>
          <w:w w:val="105"/>
          <w:sz w:val="21"/>
        </w:rPr>
        <w:t>be</w:t>
      </w:r>
      <w:r>
        <w:rPr>
          <w:spacing w:val="-6"/>
          <w:w w:val="105"/>
          <w:sz w:val="21"/>
        </w:rPr>
        <w:t> </w:t>
      </w:r>
      <w:r>
        <w:rPr>
          <w:spacing w:val="-3"/>
          <w:w w:val="105"/>
          <w:sz w:val="21"/>
        </w:rPr>
        <w:t>limited</w:t>
      </w:r>
      <w:r>
        <w:rPr>
          <w:spacing w:val="-6"/>
          <w:w w:val="105"/>
          <w:sz w:val="21"/>
        </w:rPr>
        <w:t> </w:t>
      </w:r>
      <w:r>
        <w:rPr>
          <w:spacing w:val="-3"/>
          <w:w w:val="105"/>
          <w:sz w:val="21"/>
        </w:rPr>
        <w:t>to land </w:t>
      </w:r>
      <w:r>
        <w:rPr>
          <w:w w:val="105"/>
          <w:sz w:val="21"/>
        </w:rPr>
        <w:t>in particular</w:t>
      </w:r>
      <w:r>
        <w:rPr>
          <w:spacing w:val="18"/>
          <w:w w:val="105"/>
          <w:sz w:val="21"/>
        </w:rPr>
        <w:t> </w:t>
      </w:r>
      <w:r>
        <w:rPr>
          <w:spacing w:val="-3"/>
          <w:w w:val="105"/>
          <w:sz w:val="21"/>
        </w:rPr>
        <w:t>zones.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r>
        <w:rPr/>
        <w:pict>
          <v:line style="position:absolute;mso-position-horizontal-relative:page;mso-position-vertical-relative:paragraph;z-index:3440;mso-wrap-distance-left:0;mso-wrap-distance-right:0" from="79.370102pt,11.554699pt" to="515.905102pt,11.554699pt" stroked="true" strokeweight="1pt" strokecolor="#c9d2cb">
            <v:stroke dashstyle="solid"/>
            <w10:wrap type="topAndBottom"/>
          </v:line>
        </w:pict>
      </w:r>
    </w:p>
    <w:p>
      <w:pPr>
        <w:pStyle w:val="ListParagraph"/>
        <w:numPr>
          <w:ilvl w:val="0"/>
          <w:numId w:val="47"/>
        </w:numPr>
        <w:tabs>
          <w:tab w:pos="2380" w:val="left" w:leader="none"/>
          <w:tab w:pos="2382" w:val="left" w:leader="none"/>
        </w:tabs>
        <w:spacing w:line="240" w:lineRule="auto" w:before="117" w:after="0"/>
        <w:ind w:left="2381" w:right="1910" w:hanging="794"/>
        <w:jc w:val="left"/>
        <w:rPr>
          <w:sz w:val="13"/>
        </w:rPr>
      </w:pPr>
      <w:r>
        <w:rPr>
          <w:sz w:val="13"/>
        </w:rPr>
        <w:t>A hedge can be defined as </w:t>
      </w:r>
      <w:r>
        <w:rPr>
          <w:spacing w:val="-3"/>
          <w:sz w:val="13"/>
        </w:rPr>
        <w:t>‘a  </w:t>
      </w:r>
      <w:r>
        <w:rPr>
          <w:sz w:val="13"/>
        </w:rPr>
        <w:t>row of bushes or small trees planted close together, especially when forming a fence or boundary: Susan        Butler</w:t>
      </w:r>
      <w:r>
        <w:rPr>
          <w:spacing w:val="8"/>
          <w:sz w:val="13"/>
        </w:rPr>
        <w:t> </w:t>
      </w:r>
      <w:r>
        <w:rPr>
          <w:spacing w:val="2"/>
          <w:sz w:val="13"/>
        </w:rPr>
        <w:t>(ed),</w:t>
      </w:r>
      <w:r>
        <w:rPr>
          <w:spacing w:val="8"/>
          <w:sz w:val="13"/>
        </w:rPr>
        <w:t> </w:t>
      </w:r>
      <w:r>
        <w:rPr>
          <w:i/>
          <w:sz w:val="13"/>
        </w:rPr>
        <w:t>Macquarie</w:t>
      </w:r>
      <w:r>
        <w:rPr>
          <w:i/>
          <w:spacing w:val="9"/>
          <w:sz w:val="13"/>
        </w:rPr>
        <w:t> </w:t>
      </w:r>
      <w:r>
        <w:rPr>
          <w:i/>
          <w:sz w:val="13"/>
        </w:rPr>
        <w:t>Dictionary</w:t>
      </w:r>
      <w:r>
        <w:rPr>
          <w:i/>
          <w:spacing w:val="8"/>
          <w:sz w:val="13"/>
        </w:rPr>
        <w:t> </w:t>
      </w:r>
      <w:r>
        <w:rPr>
          <w:sz w:val="13"/>
        </w:rPr>
        <w:t>(Macquarie</w:t>
      </w:r>
      <w:r>
        <w:rPr>
          <w:spacing w:val="8"/>
          <w:sz w:val="13"/>
        </w:rPr>
        <w:t> </w:t>
      </w:r>
      <w:r>
        <w:rPr>
          <w:spacing w:val="2"/>
          <w:sz w:val="13"/>
        </w:rPr>
        <w:t>Dictionary</w:t>
      </w:r>
      <w:r>
        <w:rPr>
          <w:spacing w:val="9"/>
          <w:sz w:val="13"/>
        </w:rPr>
        <w:t> </w:t>
      </w:r>
      <w:r>
        <w:rPr>
          <w:sz w:val="13"/>
        </w:rPr>
        <w:t>Publishers,</w:t>
      </w:r>
      <w:r>
        <w:rPr>
          <w:spacing w:val="8"/>
          <w:sz w:val="13"/>
        </w:rPr>
        <w:t> </w:t>
      </w:r>
      <w:r>
        <w:rPr>
          <w:sz w:val="13"/>
        </w:rPr>
        <w:t>6th</w:t>
      </w:r>
      <w:r>
        <w:rPr>
          <w:spacing w:val="9"/>
          <w:sz w:val="13"/>
        </w:rPr>
        <w:t> </w:t>
      </w:r>
      <w:r>
        <w:rPr>
          <w:sz w:val="13"/>
        </w:rPr>
        <w:t>ed,</w:t>
      </w:r>
      <w:r>
        <w:rPr>
          <w:spacing w:val="8"/>
          <w:sz w:val="13"/>
        </w:rPr>
        <w:t> </w:t>
      </w:r>
      <w:r>
        <w:rPr>
          <w:sz w:val="13"/>
        </w:rPr>
        <w:t>2013)</w:t>
      </w:r>
      <w:r>
        <w:rPr>
          <w:spacing w:val="8"/>
          <w:sz w:val="13"/>
        </w:rPr>
        <w:t> </w:t>
      </w:r>
      <w:r>
        <w:rPr>
          <w:sz w:val="13"/>
        </w:rPr>
        <w:t>690.</w:t>
      </w:r>
    </w:p>
    <w:p>
      <w:pPr>
        <w:spacing w:after="0" w:line="240" w:lineRule="auto"/>
        <w:jc w:val="left"/>
        <w:rPr>
          <w:sz w:val="13"/>
        </w:rPr>
        <w:sectPr>
          <w:pgSz w:w="11910" w:h="16840"/>
          <w:pgMar w:header="808" w:footer="0" w:top="1360" w:bottom="280" w:left="0" w:right="0"/>
        </w:sectPr>
      </w:pPr>
    </w:p>
    <w:p>
      <w:pPr>
        <w:pStyle w:val="BodyText"/>
        <w:spacing w:before="2"/>
        <w:rPr>
          <w:sz w:val="22"/>
        </w:rPr>
      </w:pPr>
    </w:p>
    <w:p>
      <w:pPr>
        <w:pStyle w:val="Heading7"/>
        <w:spacing w:before="97"/>
      </w:pPr>
      <w:r>
        <w:rPr>
          <w:w w:val="115"/>
        </w:rPr>
        <w:t>Standard Victorian zones</w:t>
      </w:r>
    </w:p>
    <w:p>
      <w:pPr>
        <w:pStyle w:val="ListParagraph"/>
        <w:numPr>
          <w:ilvl w:val="1"/>
          <w:numId w:val="16"/>
        </w:numPr>
        <w:tabs>
          <w:tab w:pos="2380" w:val="left" w:leader="none"/>
          <w:tab w:pos="2381" w:val="left" w:leader="none"/>
        </w:tabs>
        <w:spacing w:line="242" w:lineRule="auto" w:before="142" w:after="0"/>
        <w:ind w:left="2381" w:right="2403" w:hanging="794"/>
        <w:jc w:val="left"/>
        <w:rPr>
          <w:sz w:val="21"/>
        </w:rPr>
      </w:pPr>
      <w:r>
        <w:rPr>
          <w:sz w:val="21"/>
        </w:rPr>
        <w:t>Land in Victoria is zoned </w:t>
      </w:r>
      <w:r>
        <w:rPr>
          <w:spacing w:val="-3"/>
          <w:sz w:val="21"/>
        </w:rPr>
        <w:t>to outline </w:t>
      </w:r>
      <w:r>
        <w:rPr>
          <w:sz w:val="21"/>
        </w:rPr>
        <w:t>the purpose of </w:t>
      </w:r>
      <w:r>
        <w:rPr>
          <w:spacing w:val="-3"/>
          <w:sz w:val="21"/>
        </w:rPr>
        <w:t>land </w:t>
      </w:r>
      <w:r>
        <w:rPr>
          <w:sz w:val="21"/>
        </w:rPr>
        <w:t>use and </w:t>
      </w:r>
      <w:r>
        <w:rPr>
          <w:spacing w:val="-3"/>
          <w:sz w:val="21"/>
        </w:rPr>
        <w:t>any </w:t>
      </w:r>
      <w:r>
        <w:rPr>
          <w:sz w:val="21"/>
        </w:rPr>
        <w:t>permitted or </w:t>
      </w:r>
      <w:r>
        <w:rPr>
          <w:spacing w:val="-3"/>
          <w:sz w:val="21"/>
        </w:rPr>
        <w:t>prohibited </w:t>
      </w:r>
      <w:r>
        <w:rPr>
          <w:sz w:val="21"/>
        </w:rPr>
        <w:t>developments. There </w:t>
      </w:r>
      <w:r>
        <w:rPr>
          <w:spacing w:val="-3"/>
          <w:sz w:val="21"/>
        </w:rPr>
        <w:t>are </w:t>
      </w:r>
      <w:r>
        <w:rPr>
          <w:sz w:val="21"/>
        </w:rPr>
        <w:t>six</w:t>
      </w:r>
      <w:r>
        <w:rPr>
          <w:spacing w:val="3"/>
          <w:sz w:val="21"/>
        </w:rPr>
        <w:t> </w:t>
      </w:r>
      <w:r>
        <w:rPr>
          <w:sz w:val="21"/>
        </w:rPr>
        <w:t>categories:</w:t>
      </w:r>
    </w:p>
    <w:p>
      <w:pPr>
        <w:pStyle w:val="ListParagraph"/>
        <w:numPr>
          <w:ilvl w:val="2"/>
          <w:numId w:val="16"/>
        </w:numPr>
        <w:tabs>
          <w:tab w:pos="2721" w:val="left" w:leader="none"/>
          <w:tab w:pos="2722" w:val="left" w:leader="none"/>
        </w:tabs>
        <w:spacing w:line="240" w:lineRule="auto" w:before="123" w:after="0"/>
        <w:ind w:left="2721" w:right="0" w:hanging="340"/>
        <w:jc w:val="left"/>
        <w:rPr>
          <w:sz w:val="21"/>
        </w:rPr>
      </w:pPr>
      <w:r>
        <w:rPr>
          <w:spacing w:val="-3"/>
          <w:w w:val="105"/>
          <w:sz w:val="21"/>
        </w:rPr>
        <w:t>public</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pacing w:val="-3"/>
          <w:sz w:val="21"/>
        </w:rPr>
        <w:t>residential</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sz w:val="21"/>
        </w:rPr>
        <w:t>commercial</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sz w:val="21"/>
        </w:rPr>
        <w:t>industrial</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pacing w:val="-3"/>
          <w:sz w:val="21"/>
        </w:rPr>
        <w:t>rural</w:t>
      </w:r>
    </w:p>
    <w:p>
      <w:pPr>
        <w:pStyle w:val="ListParagraph"/>
        <w:numPr>
          <w:ilvl w:val="2"/>
          <w:numId w:val="16"/>
        </w:numPr>
        <w:tabs>
          <w:tab w:pos="2721" w:val="left" w:leader="none"/>
          <w:tab w:pos="2722" w:val="left" w:leader="none"/>
        </w:tabs>
        <w:spacing w:line="240" w:lineRule="auto" w:before="89" w:after="0"/>
        <w:ind w:left="2721" w:right="0" w:hanging="340"/>
        <w:jc w:val="left"/>
        <w:rPr>
          <w:sz w:val="12"/>
        </w:rPr>
      </w:pPr>
      <w:r>
        <w:rPr>
          <w:w w:val="105"/>
          <w:sz w:val="21"/>
        </w:rPr>
        <w:t>special</w:t>
      </w:r>
      <w:r>
        <w:rPr>
          <w:spacing w:val="5"/>
          <w:w w:val="105"/>
          <w:sz w:val="21"/>
        </w:rPr>
        <w:t> </w:t>
      </w:r>
      <w:r>
        <w:rPr>
          <w:spacing w:val="-2"/>
          <w:w w:val="105"/>
          <w:sz w:val="21"/>
        </w:rPr>
        <w:t>purpose.</w:t>
      </w:r>
      <w:r>
        <w:rPr>
          <w:spacing w:val="-2"/>
          <w:w w:val="105"/>
          <w:position w:val="7"/>
          <w:sz w:val="12"/>
        </w:rPr>
        <w:t>56</w:t>
      </w:r>
    </w:p>
    <w:p>
      <w:pPr>
        <w:pStyle w:val="ListParagraph"/>
        <w:numPr>
          <w:ilvl w:val="1"/>
          <w:numId w:val="16"/>
        </w:numPr>
        <w:tabs>
          <w:tab w:pos="2381" w:val="left" w:leader="none"/>
          <w:tab w:pos="2382" w:val="left" w:leader="none"/>
        </w:tabs>
        <w:spacing w:line="242" w:lineRule="auto" w:before="89" w:after="0"/>
        <w:ind w:left="2381" w:right="1585" w:hanging="794"/>
        <w:jc w:val="left"/>
        <w:rPr>
          <w:sz w:val="21"/>
        </w:rPr>
      </w:pPr>
      <w:r>
        <w:rPr>
          <w:w w:val="105"/>
          <w:sz w:val="21"/>
        </w:rPr>
        <w:t>The </w:t>
      </w:r>
      <w:r>
        <w:rPr>
          <w:spacing w:val="-3"/>
          <w:w w:val="105"/>
          <w:sz w:val="21"/>
        </w:rPr>
        <w:t>Commission </w:t>
      </w:r>
      <w:r>
        <w:rPr>
          <w:w w:val="105"/>
          <w:sz w:val="21"/>
        </w:rPr>
        <w:t>is </w:t>
      </w:r>
      <w:r>
        <w:rPr>
          <w:spacing w:val="-2"/>
          <w:w w:val="105"/>
          <w:sz w:val="21"/>
        </w:rPr>
        <w:t>not </w:t>
      </w:r>
      <w:r>
        <w:rPr>
          <w:spacing w:val="-3"/>
          <w:w w:val="105"/>
          <w:sz w:val="21"/>
        </w:rPr>
        <w:t>considering disputes </w:t>
      </w:r>
      <w:r>
        <w:rPr>
          <w:w w:val="105"/>
          <w:sz w:val="21"/>
        </w:rPr>
        <w:t>about trees located on </w:t>
      </w:r>
      <w:r>
        <w:rPr>
          <w:spacing w:val="-3"/>
          <w:w w:val="105"/>
          <w:sz w:val="21"/>
        </w:rPr>
        <w:t>public land, for </w:t>
      </w:r>
      <w:r>
        <w:rPr>
          <w:w w:val="105"/>
          <w:sz w:val="21"/>
        </w:rPr>
        <w:t>example</w:t>
      </w:r>
      <w:r>
        <w:rPr>
          <w:spacing w:val="-14"/>
          <w:w w:val="105"/>
          <w:sz w:val="21"/>
        </w:rPr>
        <w:t> </w:t>
      </w:r>
      <w:r>
        <w:rPr>
          <w:w w:val="105"/>
          <w:sz w:val="21"/>
        </w:rPr>
        <w:t>street</w:t>
      </w:r>
      <w:r>
        <w:rPr>
          <w:spacing w:val="-13"/>
          <w:w w:val="105"/>
          <w:sz w:val="21"/>
        </w:rPr>
        <w:t> </w:t>
      </w:r>
      <w:r>
        <w:rPr>
          <w:w w:val="105"/>
          <w:sz w:val="21"/>
        </w:rPr>
        <w:t>trees,</w:t>
      </w:r>
      <w:r>
        <w:rPr>
          <w:spacing w:val="-13"/>
          <w:w w:val="105"/>
          <w:sz w:val="21"/>
        </w:rPr>
        <w:t> </w:t>
      </w:r>
      <w:r>
        <w:rPr>
          <w:w w:val="105"/>
          <w:sz w:val="21"/>
        </w:rPr>
        <w:t>trees</w:t>
      </w:r>
      <w:r>
        <w:rPr>
          <w:spacing w:val="-13"/>
          <w:w w:val="105"/>
          <w:sz w:val="21"/>
        </w:rPr>
        <w:t> </w:t>
      </w:r>
      <w:r>
        <w:rPr>
          <w:w w:val="105"/>
          <w:sz w:val="21"/>
        </w:rPr>
        <w:t>in</w:t>
      </w:r>
      <w:r>
        <w:rPr>
          <w:spacing w:val="-13"/>
          <w:w w:val="105"/>
          <w:sz w:val="21"/>
        </w:rPr>
        <w:t> </w:t>
      </w:r>
      <w:r>
        <w:rPr>
          <w:w w:val="105"/>
          <w:sz w:val="21"/>
        </w:rPr>
        <w:t>parks</w:t>
      </w:r>
      <w:r>
        <w:rPr>
          <w:spacing w:val="-13"/>
          <w:w w:val="105"/>
          <w:sz w:val="21"/>
        </w:rPr>
        <w:t> </w:t>
      </w:r>
      <w:r>
        <w:rPr>
          <w:w w:val="105"/>
          <w:sz w:val="21"/>
        </w:rPr>
        <w:t>and</w:t>
      </w:r>
      <w:r>
        <w:rPr>
          <w:spacing w:val="-14"/>
          <w:w w:val="105"/>
          <w:sz w:val="21"/>
        </w:rPr>
        <w:t> </w:t>
      </w:r>
      <w:r>
        <w:rPr>
          <w:w w:val="105"/>
          <w:sz w:val="21"/>
        </w:rPr>
        <w:t>trees</w:t>
      </w:r>
      <w:r>
        <w:rPr>
          <w:spacing w:val="-13"/>
          <w:w w:val="105"/>
          <w:sz w:val="21"/>
        </w:rPr>
        <w:t> </w:t>
      </w:r>
      <w:r>
        <w:rPr>
          <w:w w:val="105"/>
          <w:sz w:val="21"/>
        </w:rPr>
        <w:t>on</w:t>
      </w:r>
      <w:r>
        <w:rPr>
          <w:spacing w:val="-13"/>
          <w:w w:val="105"/>
          <w:sz w:val="21"/>
        </w:rPr>
        <w:t> </w:t>
      </w:r>
      <w:r>
        <w:rPr>
          <w:w w:val="105"/>
          <w:sz w:val="21"/>
        </w:rPr>
        <w:t>regulatory</w:t>
      </w:r>
      <w:r>
        <w:rPr>
          <w:spacing w:val="-13"/>
          <w:w w:val="105"/>
          <w:sz w:val="21"/>
        </w:rPr>
        <w:t> </w:t>
      </w:r>
      <w:r>
        <w:rPr>
          <w:w w:val="105"/>
          <w:sz w:val="21"/>
        </w:rPr>
        <w:t>easements</w:t>
      </w:r>
      <w:r>
        <w:rPr>
          <w:spacing w:val="-13"/>
          <w:w w:val="105"/>
          <w:sz w:val="21"/>
        </w:rPr>
        <w:t> </w:t>
      </w:r>
      <w:r>
        <w:rPr>
          <w:w w:val="105"/>
          <w:sz w:val="21"/>
        </w:rPr>
        <w:t>held</w:t>
      </w:r>
      <w:r>
        <w:rPr>
          <w:spacing w:val="-13"/>
          <w:w w:val="105"/>
          <w:sz w:val="21"/>
        </w:rPr>
        <w:t> </w:t>
      </w:r>
      <w:r>
        <w:rPr>
          <w:w w:val="105"/>
          <w:sz w:val="21"/>
        </w:rPr>
        <w:t>by</w:t>
      </w:r>
      <w:r>
        <w:rPr>
          <w:spacing w:val="-14"/>
          <w:w w:val="105"/>
          <w:sz w:val="21"/>
        </w:rPr>
        <w:t> </w:t>
      </w:r>
      <w:r>
        <w:rPr>
          <w:w w:val="105"/>
          <w:sz w:val="21"/>
        </w:rPr>
        <w:t>a</w:t>
      </w:r>
      <w:r>
        <w:rPr>
          <w:spacing w:val="-13"/>
          <w:w w:val="105"/>
          <w:sz w:val="21"/>
        </w:rPr>
        <w:t> </w:t>
      </w:r>
      <w:r>
        <w:rPr>
          <w:spacing w:val="-3"/>
          <w:w w:val="105"/>
          <w:sz w:val="21"/>
        </w:rPr>
        <w:t>council</w:t>
      </w:r>
      <w:r>
        <w:rPr>
          <w:spacing w:val="-13"/>
          <w:w w:val="105"/>
          <w:sz w:val="21"/>
        </w:rPr>
        <w:t> </w:t>
      </w:r>
      <w:r>
        <w:rPr>
          <w:w w:val="105"/>
          <w:sz w:val="21"/>
        </w:rPr>
        <w:t>or service </w:t>
      </w:r>
      <w:r>
        <w:rPr>
          <w:spacing w:val="-3"/>
          <w:w w:val="105"/>
          <w:sz w:val="21"/>
        </w:rPr>
        <w:t>authority, </w:t>
      </w:r>
      <w:r>
        <w:rPr>
          <w:w w:val="105"/>
          <w:sz w:val="21"/>
        </w:rPr>
        <w:t>as these </w:t>
      </w:r>
      <w:r>
        <w:rPr>
          <w:spacing w:val="-3"/>
          <w:w w:val="105"/>
          <w:sz w:val="21"/>
        </w:rPr>
        <w:t>are excluded from </w:t>
      </w:r>
      <w:r>
        <w:rPr>
          <w:w w:val="105"/>
          <w:sz w:val="21"/>
        </w:rPr>
        <w:t>the </w:t>
      </w:r>
      <w:r>
        <w:rPr>
          <w:spacing w:val="-3"/>
          <w:w w:val="105"/>
          <w:sz w:val="21"/>
        </w:rPr>
        <w:t>terms </w:t>
      </w:r>
      <w:r>
        <w:rPr>
          <w:w w:val="105"/>
          <w:sz w:val="21"/>
        </w:rPr>
        <w:t>of this </w:t>
      </w:r>
      <w:r>
        <w:rPr>
          <w:spacing w:val="-3"/>
          <w:w w:val="105"/>
          <w:sz w:val="21"/>
        </w:rPr>
        <w:t>inquiry.</w:t>
      </w:r>
      <w:r>
        <w:rPr>
          <w:spacing w:val="-3"/>
          <w:w w:val="105"/>
          <w:position w:val="7"/>
          <w:sz w:val="12"/>
        </w:rPr>
        <w:t>57 </w:t>
      </w:r>
      <w:r>
        <w:rPr>
          <w:spacing w:val="-3"/>
          <w:w w:val="105"/>
          <w:sz w:val="21"/>
        </w:rPr>
        <w:t>Public land </w:t>
      </w:r>
      <w:r>
        <w:rPr>
          <w:w w:val="105"/>
          <w:sz w:val="21"/>
        </w:rPr>
        <w:t>is also </w:t>
      </w:r>
      <w:r>
        <w:rPr>
          <w:spacing w:val="-3"/>
          <w:w w:val="105"/>
          <w:sz w:val="21"/>
        </w:rPr>
        <w:t>excluded from </w:t>
      </w:r>
      <w:r>
        <w:rPr>
          <w:w w:val="105"/>
          <w:sz w:val="21"/>
        </w:rPr>
        <w:t>the operation of interstate</w:t>
      </w:r>
      <w:r>
        <w:rPr>
          <w:spacing w:val="31"/>
          <w:w w:val="105"/>
          <w:sz w:val="21"/>
        </w:rPr>
        <w:t> </w:t>
      </w:r>
      <w:r>
        <w:rPr>
          <w:w w:val="105"/>
          <w:sz w:val="21"/>
        </w:rPr>
        <w:t>Acts.</w:t>
      </w:r>
      <w:r>
        <w:rPr>
          <w:w w:val="105"/>
          <w:position w:val="7"/>
          <w:sz w:val="12"/>
        </w:rPr>
        <w:t>58</w:t>
      </w:r>
    </w:p>
    <w:p>
      <w:pPr>
        <w:pStyle w:val="Heading7"/>
        <w:spacing w:before="155"/>
      </w:pPr>
      <w:r>
        <w:rPr>
          <w:color w:val="58595B"/>
          <w:w w:val="115"/>
        </w:rPr>
        <w:t>Residential zones</w:t>
      </w:r>
    </w:p>
    <w:p>
      <w:pPr>
        <w:pStyle w:val="ListParagraph"/>
        <w:numPr>
          <w:ilvl w:val="1"/>
          <w:numId w:val="16"/>
        </w:numPr>
        <w:tabs>
          <w:tab w:pos="2381" w:val="left" w:leader="none"/>
          <w:tab w:pos="2382" w:val="left" w:leader="none"/>
        </w:tabs>
        <w:spacing w:line="242" w:lineRule="auto" w:before="142" w:after="0"/>
        <w:ind w:left="2381" w:right="1921" w:hanging="794"/>
        <w:jc w:val="left"/>
        <w:rPr>
          <w:sz w:val="21"/>
        </w:rPr>
      </w:pPr>
      <w:r>
        <w:rPr>
          <w:spacing w:val="-5"/>
          <w:w w:val="105"/>
          <w:sz w:val="21"/>
        </w:rPr>
        <w:t>Tree </w:t>
      </w:r>
      <w:r>
        <w:rPr>
          <w:spacing w:val="-3"/>
          <w:w w:val="105"/>
          <w:sz w:val="21"/>
        </w:rPr>
        <w:t>disputes are </w:t>
      </w:r>
      <w:r>
        <w:rPr>
          <w:w w:val="105"/>
          <w:sz w:val="21"/>
        </w:rPr>
        <w:t>reportedly more </w:t>
      </w:r>
      <w:r>
        <w:rPr>
          <w:spacing w:val="-2"/>
          <w:w w:val="105"/>
          <w:sz w:val="21"/>
        </w:rPr>
        <w:t>common </w:t>
      </w:r>
      <w:r>
        <w:rPr>
          <w:w w:val="105"/>
          <w:sz w:val="21"/>
        </w:rPr>
        <w:t>in </w:t>
      </w:r>
      <w:r>
        <w:rPr>
          <w:spacing w:val="-3"/>
          <w:w w:val="105"/>
          <w:sz w:val="21"/>
        </w:rPr>
        <w:t>residential </w:t>
      </w:r>
      <w:r>
        <w:rPr>
          <w:w w:val="105"/>
          <w:sz w:val="21"/>
        </w:rPr>
        <w:t>zones </w:t>
      </w:r>
      <w:r>
        <w:rPr>
          <w:spacing w:val="-3"/>
          <w:w w:val="105"/>
          <w:sz w:val="21"/>
        </w:rPr>
        <w:t>than </w:t>
      </w:r>
      <w:r>
        <w:rPr>
          <w:w w:val="105"/>
          <w:sz w:val="21"/>
        </w:rPr>
        <w:t>other </w:t>
      </w:r>
      <w:r>
        <w:rPr>
          <w:spacing w:val="-3"/>
          <w:w w:val="105"/>
          <w:sz w:val="21"/>
        </w:rPr>
        <w:t>land </w:t>
      </w:r>
      <w:r>
        <w:rPr>
          <w:w w:val="105"/>
          <w:sz w:val="21"/>
        </w:rPr>
        <w:t>use </w:t>
      </w:r>
      <w:r>
        <w:rPr>
          <w:spacing w:val="-3"/>
          <w:w w:val="105"/>
          <w:sz w:val="21"/>
        </w:rPr>
        <w:t>zones.</w:t>
      </w:r>
      <w:r>
        <w:rPr>
          <w:spacing w:val="-3"/>
          <w:w w:val="105"/>
          <w:position w:val="7"/>
          <w:sz w:val="12"/>
        </w:rPr>
        <w:t>59</w:t>
      </w:r>
      <w:r>
        <w:rPr>
          <w:spacing w:val="13"/>
          <w:w w:val="105"/>
          <w:position w:val="7"/>
          <w:sz w:val="12"/>
        </w:rPr>
        <w:t> </w:t>
      </w:r>
      <w:r>
        <w:rPr>
          <w:w w:val="105"/>
          <w:sz w:val="21"/>
        </w:rPr>
        <w:t>There</w:t>
      </w:r>
      <w:r>
        <w:rPr>
          <w:spacing w:val="-8"/>
          <w:w w:val="105"/>
          <w:sz w:val="21"/>
        </w:rPr>
        <w:t> </w:t>
      </w:r>
      <w:r>
        <w:rPr>
          <w:spacing w:val="-3"/>
          <w:w w:val="105"/>
          <w:sz w:val="21"/>
        </w:rPr>
        <w:t>are</w:t>
      </w:r>
      <w:r>
        <w:rPr>
          <w:spacing w:val="-9"/>
          <w:w w:val="105"/>
          <w:sz w:val="21"/>
        </w:rPr>
        <w:t> </w:t>
      </w:r>
      <w:r>
        <w:rPr>
          <w:w w:val="105"/>
          <w:sz w:val="21"/>
        </w:rPr>
        <w:t>six</w:t>
      </w:r>
      <w:r>
        <w:rPr>
          <w:spacing w:val="-9"/>
          <w:w w:val="105"/>
          <w:sz w:val="21"/>
        </w:rPr>
        <w:t> </w:t>
      </w:r>
      <w:r>
        <w:rPr>
          <w:spacing w:val="-3"/>
          <w:w w:val="105"/>
          <w:sz w:val="21"/>
        </w:rPr>
        <w:t>residential</w:t>
      </w:r>
      <w:r>
        <w:rPr>
          <w:spacing w:val="-9"/>
          <w:w w:val="105"/>
          <w:sz w:val="21"/>
        </w:rPr>
        <w:t> </w:t>
      </w:r>
      <w:r>
        <w:rPr>
          <w:w w:val="105"/>
          <w:sz w:val="21"/>
        </w:rPr>
        <w:t>zones</w:t>
      </w:r>
      <w:r>
        <w:rPr>
          <w:spacing w:val="-8"/>
          <w:w w:val="105"/>
          <w:sz w:val="21"/>
        </w:rPr>
        <w:t> </w:t>
      </w:r>
      <w:r>
        <w:rPr>
          <w:spacing w:val="-3"/>
          <w:w w:val="105"/>
          <w:sz w:val="21"/>
        </w:rPr>
        <w:t>that</w:t>
      </w:r>
      <w:r>
        <w:rPr>
          <w:spacing w:val="-9"/>
          <w:w w:val="105"/>
          <w:sz w:val="21"/>
        </w:rPr>
        <w:t> </w:t>
      </w:r>
      <w:r>
        <w:rPr>
          <w:w w:val="105"/>
          <w:sz w:val="21"/>
        </w:rPr>
        <w:t>permit</w:t>
      </w:r>
      <w:r>
        <w:rPr>
          <w:spacing w:val="-9"/>
          <w:w w:val="105"/>
          <w:sz w:val="21"/>
        </w:rPr>
        <w:t> </w:t>
      </w:r>
      <w:r>
        <w:rPr>
          <w:spacing w:val="-3"/>
          <w:w w:val="105"/>
          <w:sz w:val="21"/>
        </w:rPr>
        <w:t>residential</w:t>
      </w:r>
      <w:r>
        <w:rPr>
          <w:spacing w:val="-9"/>
          <w:w w:val="105"/>
          <w:sz w:val="21"/>
        </w:rPr>
        <w:t> </w:t>
      </w:r>
      <w:r>
        <w:rPr>
          <w:w w:val="105"/>
          <w:sz w:val="21"/>
        </w:rPr>
        <w:t>use</w:t>
      </w:r>
      <w:r>
        <w:rPr>
          <w:spacing w:val="-8"/>
          <w:w w:val="105"/>
          <w:sz w:val="21"/>
        </w:rPr>
        <w:t> </w:t>
      </w:r>
      <w:r>
        <w:rPr>
          <w:spacing w:val="-3"/>
          <w:w w:val="105"/>
          <w:sz w:val="21"/>
        </w:rPr>
        <w:t>to</w:t>
      </w:r>
      <w:r>
        <w:rPr>
          <w:spacing w:val="-9"/>
          <w:w w:val="105"/>
          <w:sz w:val="21"/>
        </w:rPr>
        <w:t> </w:t>
      </w:r>
      <w:r>
        <w:rPr>
          <w:w w:val="105"/>
          <w:sz w:val="21"/>
        </w:rPr>
        <w:t>varying</w:t>
      </w:r>
      <w:r>
        <w:rPr>
          <w:spacing w:val="-9"/>
          <w:w w:val="105"/>
          <w:sz w:val="21"/>
        </w:rPr>
        <w:t> </w:t>
      </w:r>
      <w:r>
        <w:rPr>
          <w:w w:val="105"/>
          <w:sz w:val="21"/>
        </w:rPr>
        <w:t>degrees</w:t>
      </w:r>
      <w:r>
        <w:rPr>
          <w:spacing w:val="-9"/>
          <w:w w:val="105"/>
          <w:sz w:val="21"/>
        </w:rPr>
        <w:t> </w:t>
      </w:r>
      <w:r>
        <w:rPr>
          <w:w w:val="105"/>
          <w:sz w:val="21"/>
        </w:rPr>
        <w:t>in cities and </w:t>
      </w:r>
      <w:r>
        <w:rPr>
          <w:spacing w:val="-3"/>
          <w:w w:val="105"/>
          <w:sz w:val="21"/>
        </w:rPr>
        <w:t>towns, including small rural</w:t>
      </w:r>
      <w:r>
        <w:rPr>
          <w:spacing w:val="36"/>
          <w:w w:val="105"/>
          <w:sz w:val="21"/>
        </w:rPr>
        <w:t> </w:t>
      </w:r>
      <w:r>
        <w:rPr>
          <w:w w:val="105"/>
          <w:sz w:val="21"/>
        </w:rPr>
        <w:t>townships.</w:t>
      </w:r>
      <w:r>
        <w:rPr>
          <w:w w:val="105"/>
          <w:position w:val="7"/>
          <w:sz w:val="12"/>
        </w:rPr>
        <w:t>60</w:t>
      </w:r>
    </w:p>
    <w:p>
      <w:pPr>
        <w:pStyle w:val="Heading7"/>
      </w:pPr>
      <w:r>
        <w:rPr>
          <w:color w:val="58595B"/>
          <w:w w:val="115"/>
        </w:rPr>
        <w:t>Commercial zones</w:t>
      </w:r>
    </w:p>
    <w:p>
      <w:pPr>
        <w:pStyle w:val="ListParagraph"/>
        <w:numPr>
          <w:ilvl w:val="1"/>
          <w:numId w:val="16"/>
        </w:numPr>
        <w:tabs>
          <w:tab w:pos="2380" w:val="left" w:leader="none"/>
          <w:tab w:pos="2381" w:val="left" w:leader="none"/>
        </w:tabs>
        <w:spacing w:line="242" w:lineRule="auto" w:before="143" w:after="0"/>
        <w:ind w:left="2381" w:right="1896" w:hanging="794"/>
        <w:jc w:val="left"/>
        <w:rPr>
          <w:sz w:val="21"/>
        </w:rPr>
      </w:pPr>
      <w:r>
        <w:rPr>
          <w:w w:val="105"/>
          <w:sz w:val="21"/>
        </w:rPr>
        <w:t>There </w:t>
      </w:r>
      <w:r>
        <w:rPr>
          <w:spacing w:val="-3"/>
          <w:w w:val="105"/>
          <w:sz w:val="21"/>
        </w:rPr>
        <w:t>are </w:t>
      </w:r>
      <w:r>
        <w:rPr>
          <w:w w:val="105"/>
          <w:sz w:val="21"/>
        </w:rPr>
        <w:t>three </w:t>
      </w:r>
      <w:r>
        <w:rPr>
          <w:spacing w:val="-3"/>
          <w:w w:val="105"/>
          <w:sz w:val="21"/>
        </w:rPr>
        <w:t>commercial </w:t>
      </w:r>
      <w:r>
        <w:rPr>
          <w:w w:val="105"/>
          <w:sz w:val="21"/>
        </w:rPr>
        <w:t>zones. </w:t>
      </w:r>
      <w:r>
        <w:rPr>
          <w:spacing w:val="-3"/>
          <w:w w:val="105"/>
          <w:sz w:val="21"/>
        </w:rPr>
        <w:t>Residential land </w:t>
      </w:r>
      <w:r>
        <w:rPr>
          <w:w w:val="105"/>
          <w:sz w:val="21"/>
        </w:rPr>
        <w:t>uses </w:t>
      </w:r>
      <w:r>
        <w:rPr>
          <w:spacing w:val="-3"/>
          <w:w w:val="105"/>
          <w:sz w:val="21"/>
        </w:rPr>
        <w:t>are limited </w:t>
      </w:r>
      <w:r>
        <w:rPr>
          <w:w w:val="105"/>
          <w:sz w:val="21"/>
        </w:rPr>
        <w:t>in a </w:t>
      </w:r>
      <w:r>
        <w:rPr>
          <w:spacing w:val="-3"/>
          <w:w w:val="105"/>
          <w:sz w:val="21"/>
        </w:rPr>
        <w:t>commercial zone</w:t>
      </w:r>
      <w:r>
        <w:rPr>
          <w:spacing w:val="-6"/>
          <w:w w:val="105"/>
          <w:sz w:val="21"/>
        </w:rPr>
        <w:t> </w:t>
      </w:r>
      <w:r>
        <w:rPr>
          <w:w w:val="105"/>
          <w:sz w:val="21"/>
        </w:rPr>
        <w:t>and</w:t>
      </w:r>
      <w:r>
        <w:rPr>
          <w:spacing w:val="-5"/>
          <w:w w:val="105"/>
          <w:sz w:val="21"/>
        </w:rPr>
        <w:t> </w:t>
      </w:r>
      <w:r>
        <w:rPr>
          <w:w w:val="105"/>
          <w:sz w:val="21"/>
        </w:rPr>
        <w:t>must</w:t>
      </w:r>
      <w:r>
        <w:rPr>
          <w:spacing w:val="-5"/>
          <w:w w:val="105"/>
          <w:sz w:val="21"/>
        </w:rPr>
        <w:t> </w:t>
      </w:r>
      <w:r>
        <w:rPr>
          <w:spacing w:val="-2"/>
          <w:w w:val="105"/>
          <w:sz w:val="21"/>
        </w:rPr>
        <w:t>not</w:t>
      </w:r>
      <w:r>
        <w:rPr>
          <w:spacing w:val="-5"/>
          <w:w w:val="105"/>
          <w:sz w:val="21"/>
        </w:rPr>
        <w:t> </w:t>
      </w:r>
      <w:r>
        <w:rPr>
          <w:spacing w:val="-3"/>
          <w:w w:val="105"/>
          <w:sz w:val="21"/>
        </w:rPr>
        <w:t>undermine</w:t>
      </w:r>
      <w:r>
        <w:rPr>
          <w:spacing w:val="-5"/>
          <w:w w:val="105"/>
          <w:sz w:val="21"/>
        </w:rPr>
        <w:t> </w:t>
      </w:r>
      <w:r>
        <w:rPr>
          <w:w w:val="105"/>
          <w:sz w:val="21"/>
        </w:rPr>
        <w:t>the</w:t>
      </w:r>
      <w:r>
        <w:rPr>
          <w:spacing w:val="-5"/>
          <w:w w:val="105"/>
          <w:sz w:val="21"/>
        </w:rPr>
        <w:t> </w:t>
      </w:r>
      <w:r>
        <w:rPr>
          <w:spacing w:val="-4"/>
          <w:w w:val="105"/>
          <w:sz w:val="21"/>
        </w:rPr>
        <w:t>zone’s</w:t>
      </w:r>
      <w:r>
        <w:rPr>
          <w:spacing w:val="-6"/>
          <w:w w:val="105"/>
          <w:sz w:val="21"/>
        </w:rPr>
        <w:t> </w:t>
      </w:r>
      <w:r>
        <w:rPr>
          <w:w w:val="105"/>
          <w:sz w:val="21"/>
        </w:rPr>
        <w:t>primary</w:t>
      </w:r>
      <w:r>
        <w:rPr>
          <w:spacing w:val="-5"/>
          <w:w w:val="105"/>
          <w:sz w:val="21"/>
        </w:rPr>
        <w:t> </w:t>
      </w:r>
      <w:r>
        <w:rPr>
          <w:spacing w:val="-3"/>
          <w:w w:val="105"/>
          <w:sz w:val="21"/>
        </w:rPr>
        <w:t>focus</w:t>
      </w:r>
      <w:r>
        <w:rPr>
          <w:spacing w:val="-5"/>
          <w:w w:val="105"/>
          <w:sz w:val="21"/>
        </w:rPr>
        <w:t> </w:t>
      </w:r>
      <w:r>
        <w:rPr>
          <w:w w:val="105"/>
          <w:sz w:val="21"/>
        </w:rPr>
        <w:t>on</w:t>
      </w:r>
      <w:r>
        <w:rPr>
          <w:spacing w:val="-5"/>
          <w:w w:val="105"/>
          <w:sz w:val="21"/>
        </w:rPr>
        <w:t> </w:t>
      </w:r>
      <w:r>
        <w:rPr>
          <w:w w:val="105"/>
          <w:sz w:val="21"/>
        </w:rPr>
        <w:t>employment</w:t>
      </w:r>
      <w:r>
        <w:rPr>
          <w:spacing w:val="-5"/>
          <w:w w:val="105"/>
          <w:sz w:val="21"/>
        </w:rPr>
        <w:t> </w:t>
      </w:r>
      <w:r>
        <w:rPr>
          <w:w w:val="105"/>
          <w:sz w:val="21"/>
        </w:rPr>
        <w:t>and</w:t>
      </w:r>
      <w:r>
        <w:rPr>
          <w:spacing w:val="-5"/>
          <w:w w:val="105"/>
          <w:sz w:val="21"/>
        </w:rPr>
        <w:t> </w:t>
      </w:r>
      <w:r>
        <w:rPr>
          <w:w w:val="105"/>
          <w:sz w:val="21"/>
        </w:rPr>
        <w:t>economic </w:t>
      </w:r>
      <w:r>
        <w:rPr>
          <w:spacing w:val="-3"/>
          <w:w w:val="105"/>
          <w:sz w:val="21"/>
        </w:rPr>
        <w:t>development.</w:t>
      </w:r>
      <w:r>
        <w:rPr>
          <w:spacing w:val="-3"/>
          <w:w w:val="105"/>
          <w:position w:val="7"/>
          <w:sz w:val="12"/>
        </w:rPr>
        <w:t>61</w:t>
      </w:r>
    </w:p>
    <w:p>
      <w:pPr>
        <w:pStyle w:val="Heading7"/>
        <w:spacing w:before="153"/>
      </w:pPr>
      <w:r>
        <w:rPr>
          <w:color w:val="58595B"/>
          <w:w w:val="115"/>
        </w:rPr>
        <w:t>Industrial zones</w:t>
      </w:r>
    </w:p>
    <w:p>
      <w:pPr>
        <w:pStyle w:val="ListParagraph"/>
        <w:numPr>
          <w:ilvl w:val="1"/>
          <w:numId w:val="16"/>
        </w:numPr>
        <w:tabs>
          <w:tab w:pos="2380" w:val="left" w:leader="none"/>
          <w:tab w:pos="2381" w:val="left" w:leader="none"/>
        </w:tabs>
        <w:spacing w:line="242" w:lineRule="auto" w:before="143" w:after="0"/>
        <w:ind w:left="2381" w:right="1603" w:hanging="794"/>
        <w:jc w:val="left"/>
        <w:rPr>
          <w:sz w:val="21"/>
        </w:rPr>
      </w:pPr>
      <w:r>
        <w:rPr>
          <w:w w:val="105"/>
          <w:sz w:val="21"/>
        </w:rPr>
        <w:t>There </w:t>
      </w:r>
      <w:r>
        <w:rPr>
          <w:spacing w:val="-3"/>
          <w:w w:val="105"/>
          <w:sz w:val="21"/>
        </w:rPr>
        <w:t>are </w:t>
      </w:r>
      <w:r>
        <w:rPr>
          <w:w w:val="105"/>
          <w:sz w:val="21"/>
        </w:rPr>
        <w:t>three </w:t>
      </w:r>
      <w:r>
        <w:rPr>
          <w:spacing w:val="-3"/>
          <w:w w:val="105"/>
          <w:sz w:val="21"/>
        </w:rPr>
        <w:t>industrial </w:t>
      </w:r>
      <w:r>
        <w:rPr>
          <w:w w:val="105"/>
          <w:sz w:val="21"/>
        </w:rPr>
        <w:t>zones. </w:t>
      </w:r>
      <w:r>
        <w:rPr>
          <w:spacing w:val="-3"/>
          <w:w w:val="105"/>
          <w:sz w:val="21"/>
        </w:rPr>
        <w:t>Accommodation </w:t>
      </w:r>
      <w:r>
        <w:rPr>
          <w:w w:val="105"/>
          <w:sz w:val="21"/>
        </w:rPr>
        <w:t>is </w:t>
      </w:r>
      <w:r>
        <w:rPr>
          <w:spacing w:val="-3"/>
          <w:w w:val="105"/>
          <w:sz w:val="21"/>
        </w:rPr>
        <w:t>generally prohibited </w:t>
      </w:r>
      <w:r>
        <w:rPr>
          <w:w w:val="105"/>
          <w:sz w:val="21"/>
        </w:rPr>
        <w:t>in these zones </w:t>
      </w:r>
      <w:r>
        <w:rPr>
          <w:spacing w:val="-3"/>
          <w:w w:val="105"/>
          <w:sz w:val="21"/>
        </w:rPr>
        <w:t>to </w:t>
      </w:r>
      <w:r>
        <w:rPr>
          <w:w w:val="105"/>
          <w:sz w:val="21"/>
        </w:rPr>
        <w:t>provide</w:t>
      </w:r>
      <w:r>
        <w:rPr>
          <w:spacing w:val="-6"/>
          <w:w w:val="105"/>
          <w:sz w:val="21"/>
        </w:rPr>
        <w:t> </w:t>
      </w:r>
      <w:r>
        <w:rPr>
          <w:spacing w:val="-3"/>
          <w:w w:val="105"/>
          <w:sz w:val="21"/>
        </w:rPr>
        <w:t>for</w:t>
      </w:r>
      <w:r>
        <w:rPr>
          <w:spacing w:val="-5"/>
          <w:w w:val="105"/>
          <w:sz w:val="21"/>
        </w:rPr>
        <w:t> </w:t>
      </w:r>
      <w:r>
        <w:rPr>
          <w:w w:val="105"/>
          <w:sz w:val="21"/>
        </w:rPr>
        <w:t>and</w:t>
      </w:r>
      <w:r>
        <w:rPr>
          <w:spacing w:val="-6"/>
          <w:w w:val="105"/>
          <w:sz w:val="21"/>
        </w:rPr>
        <w:t> </w:t>
      </w:r>
      <w:r>
        <w:rPr>
          <w:spacing w:val="-3"/>
          <w:w w:val="105"/>
          <w:sz w:val="21"/>
        </w:rPr>
        <w:t>promote</w:t>
      </w:r>
      <w:r>
        <w:rPr>
          <w:spacing w:val="-5"/>
          <w:w w:val="105"/>
          <w:sz w:val="21"/>
        </w:rPr>
        <w:t> </w:t>
      </w:r>
      <w:r>
        <w:rPr>
          <w:spacing w:val="-3"/>
          <w:w w:val="105"/>
          <w:sz w:val="21"/>
        </w:rPr>
        <w:t>manufacturing,</w:t>
      </w:r>
      <w:r>
        <w:rPr>
          <w:spacing w:val="-6"/>
          <w:w w:val="105"/>
          <w:sz w:val="21"/>
        </w:rPr>
        <w:t> </w:t>
      </w:r>
      <w:r>
        <w:rPr>
          <w:w w:val="105"/>
          <w:sz w:val="21"/>
        </w:rPr>
        <w:t>storage</w:t>
      </w:r>
      <w:r>
        <w:rPr>
          <w:spacing w:val="-5"/>
          <w:w w:val="105"/>
          <w:sz w:val="21"/>
        </w:rPr>
        <w:t> </w:t>
      </w:r>
      <w:r>
        <w:rPr>
          <w:w w:val="105"/>
          <w:sz w:val="21"/>
        </w:rPr>
        <w:t>and</w:t>
      </w:r>
      <w:r>
        <w:rPr>
          <w:spacing w:val="-5"/>
          <w:w w:val="105"/>
          <w:sz w:val="21"/>
        </w:rPr>
        <w:t> </w:t>
      </w:r>
      <w:r>
        <w:rPr>
          <w:spacing w:val="-2"/>
          <w:w w:val="105"/>
          <w:sz w:val="21"/>
        </w:rPr>
        <w:t>distribution</w:t>
      </w:r>
      <w:r>
        <w:rPr>
          <w:spacing w:val="-6"/>
          <w:w w:val="105"/>
          <w:sz w:val="21"/>
        </w:rPr>
        <w:t> </w:t>
      </w:r>
      <w:r>
        <w:rPr>
          <w:w w:val="105"/>
          <w:sz w:val="21"/>
        </w:rPr>
        <w:t>of</w:t>
      </w:r>
      <w:r>
        <w:rPr>
          <w:spacing w:val="-5"/>
          <w:w w:val="105"/>
          <w:sz w:val="21"/>
        </w:rPr>
        <w:t> </w:t>
      </w:r>
      <w:r>
        <w:rPr>
          <w:w w:val="105"/>
          <w:sz w:val="21"/>
        </w:rPr>
        <w:t>goods</w:t>
      </w:r>
      <w:r>
        <w:rPr>
          <w:spacing w:val="-6"/>
          <w:w w:val="105"/>
          <w:sz w:val="21"/>
        </w:rPr>
        <w:t> </w:t>
      </w:r>
      <w:r>
        <w:rPr>
          <w:w w:val="105"/>
          <w:sz w:val="21"/>
        </w:rPr>
        <w:t>and</w:t>
      </w:r>
      <w:r>
        <w:rPr>
          <w:spacing w:val="-5"/>
          <w:w w:val="105"/>
          <w:sz w:val="21"/>
        </w:rPr>
        <w:t> </w:t>
      </w:r>
      <w:r>
        <w:rPr>
          <w:w w:val="105"/>
          <w:sz w:val="21"/>
        </w:rPr>
        <w:t>associated uses.</w:t>
      </w:r>
      <w:r>
        <w:rPr>
          <w:w w:val="105"/>
          <w:position w:val="7"/>
          <w:sz w:val="12"/>
        </w:rPr>
        <w:t>62 </w:t>
      </w:r>
      <w:r>
        <w:rPr>
          <w:w w:val="105"/>
          <w:sz w:val="21"/>
        </w:rPr>
        <w:t>One </w:t>
      </w:r>
      <w:r>
        <w:rPr>
          <w:spacing w:val="-3"/>
          <w:w w:val="105"/>
          <w:sz w:val="21"/>
        </w:rPr>
        <w:t>industrial zone </w:t>
      </w:r>
      <w:r>
        <w:rPr>
          <w:w w:val="105"/>
          <w:sz w:val="21"/>
        </w:rPr>
        <w:t>acts as a buffer between the first two types of </w:t>
      </w:r>
      <w:r>
        <w:rPr>
          <w:spacing w:val="-3"/>
          <w:w w:val="105"/>
          <w:sz w:val="21"/>
        </w:rPr>
        <w:t>industrial zone </w:t>
      </w:r>
      <w:r>
        <w:rPr>
          <w:w w:val="105"/>
          <w:sz w:val="21"/>
        </w:rPr>
        <w:t>and local </w:t>
      </w:r>
      <w:r>
        <w:rPr>
          <w:spacing w:val="-3"/>
          <w:w w:val="105"/>
          <w:sz w:val="21"/>
        </w:rPr>
        <w:t>communities, ‘which </w:t>
      </w:r>
      <w:r>
        <w:rPr>
          <w:w w:val="105"/>
          <w:sz w:val="21"/>
        </w:rPr>
        <w:t>allows </w:t>
      </w:r>
      <w:r>
        <w:rPr>
          <w:spacing w:val="-3"/>
          <w:w w:val="105"/>
          <w:sz w:val="21"/>
        </w:rPr>
        <w:t>for </w:t>
      </w:r>
      <w:r>
        <w:rPr>
          <w:w w:val="105"/>
          <w:sz w:val="21"/>
        </w:rPr>
        <w:t>industries and associated uses </w:t>
      </w:r>
      <w:r>
        <w:rPr>
          <w:spacing w:val="-3"/>
          <w:w w:val="105"/>
          <w:sz w:val="21"/>
        </w:rPr>
        <w:t>compatible </w:t>
      </w:r>
      <w:r>
        <w:rPr>
          <w:w w:val="105"/>
          <w:sz w:val="21"/>
        </w:rPr>
        <w:t>with the </w:t>
      </w:r>
      <w:r>
        <w:rPr>
          <w:spacing w:val="-3"/>
          <w:w w:val="105"/>
          <w:sz w:val="21"/>
        </w:rPr>
        <w:t>nearby</w:t>
      </w:r>
      <w:r>
        <w:rPr>
          <w:spacing w:val="11"/>
          <w:w w:val="105"/>
          <w:sz w:val="21"/>
        </w:rPr>
        <w:t> </w:t>
      </w:r>
      <w:r>
        <w:rPr>
          <w:spacing w:val="-4"/>
          <w:w w:val="105"/>
          <w:sz w:val="21"/>
        </w:rPr>
        <w:t>community’.</w:t>
      </w:r>
      <w:r>
        <w:rPr>
          <w:spacing w:val="-4"/>
          <w:w w:val="105"/>
          <w:position w:val="7"/>
          <w:sz w:val="12"/>
        </w:rPr>
        <w:t>63</w:t>
      </w:r>
    </w:p>
    <w:p>
      <w:pPr>
        <w:pStyle w:val="Heading7"/>
        <w:spacing w:before="156"/>
      </w:pPr>
      <w:r>
        <w:rPr>
          <w:color w:val="58595B"/>
          <w:w w:val="115"/>
        </w:rPr>
        <w:t>Rural zones</w:t>
      </w:r>
    </w:p>
    <w:p>
      <w:pPr>
        <w:pStyle w:val="ListParagraph"/>
        <w:numPr>
          <w:ilvl w:val="1"/>
          <w:numId w:val="16"/>
        </w:numPr>
        <w:tabs>
          <w:tab w:pos="2381" w:val="left" w:leader="none"/>
          <w:tab w:pos="2382" w:val="left" w:leader="none"/>
        </w:tabs>
        <w:spacing w:line="240" w:lineRule="auto" w:before="143" w:after="0"/>
        <w:ind w:left="2381" w:right="0" w:hanging="794"/>
        <w:jc w:val="left"/>
        <w:rPr>
          <w:sz w:val="21"/>
        </w:rPr>
      </w:pPr>
      <w:r>
        <w:rPr>
          <w:spacing w:val="-3"/>
          <w:sz w:val="21"/>
        </w:rPr>
        <w:t>Rural </w:t>
      </w:r>
      <w:r>
        <w:rPr>
          <w:sz w:val="21"/>
        </w:rPr>
        <w:t>zones</w:t>
      </w:r>
      <w:r>
        <w:rPr>
          <w:position w:val="7"/>
          <w:sz w:val="12"/>
        </w:rPr>
        <w:t>64 </w:t>
      </w:r>
      <w:r>
        <w:rPr>
          <w:spacing w:val="-3"/>
          <w:sz w:val="21"/>
        </w:rPr>
        <w:t>include </w:t>
      </w:r>
      <w:r>
        <w:rPr>
          <w:sz w:val="21"/>
        </w:rPr>
        <w:t>six distinct</w:t>
      </w:r>
      <w:r>
        <w:rPr>
          <w:spacing w:val="44"/>
          <w:sz w:val="21"/>
        </w:rPr>
        <w:t> </w:t>
      </w:r>
      <w:r>
        <w:rPr>
          <w:sz w:val="21"/>
        </w:rPr>
        <w:t>categories:</w:t>
      </w:r>
    </w:p>
    <w:p>
      <w:pPr>
        <w:pStyle w:val="ListParagraph"/>
        <w:numPr>
          <w:ilvl w:val="2"/>
          <w:numId w:val="16"/>
        </w:numPr>
        <w:tabs>
          <w:tab w:pos="2721" w:val="left" w:leader="none"/>
          <w:tab w:pos="2722" w:val="left" w:leader="none"/>
        </w:tabs>
        <w:spacing w:line="242" w:lineRule="auto" w:before="123" w:after="0"/>
        <w:ind w:left="2721" w:right="2438" w:hanging="340"/>
        <w:jc w:val="left"/>
        <w:rPr>
          <w:sz w:val="12"/>
        </w:rPr>
      </w:pPr>
      <w:r>
        <w:rPr>
          <w:w w:val="105"/>
          <w:sz w:val="21"/>
        </w:rPr>
        <w:t>The </w:t>
      </w:r>
      <w:r>
        <w:rPr>
          <w:spacing w:val="-4"/>
          <w:w w:val="105"/>
          <w:sz w:val="21"/>
        </w:rPr>
        <w:t>Farming </w:t>
      </w:r>
      <w:r>
        <w:rPr>
          <w:w w:val="105"/>
          <w:sz w:val="21"/>
        </w:rPr>
        <w:t>Zone is the most </w:t>
      </w:r>
      <w:r>
        <w:rPr>
          <w:spacing w:val="-2"/>
          <w:w w:val="105"/>
          <w:sz w:val="21"/>
        </w:rPr>
        <w:t>common </w:t>
      </w:r>
      <w:r>
        <w:rPr>
          <w:spacing w:val="-3"/>
          <w:w w:val="105"/>
          <w:sz w:val="21"/>
        </w:rPr>
        <w:t>rural zone </w:t>
      </w:r>
      <w:r>
        <w:rPr>
          <w:w w:val="105"/>
          <w:sz w:val="21"/>
        </w:rPr>
        <w:t>and is strongly focused on protecting and </w:t>
      </w:r>
      <w:r>
        <w:rPr>
          <w:spacing w:val="-3"/>
          <w:w w:val="105"/>
          <w:sz w:val="21"/>
        </w:rPr>
        <w:t>promoting farming </w:t>
      </w:r>
      <w:r>
        <w:rPr>
          <w:w w:val="105"/>
          <w:sz w:val="21"/>
        </w:rPr>
        <w:t>and</w:t>
      </w:r>
      <w:r>
        <w:rPr>
          <w:spacing w:val="30"/>
          <w:w w:val="105"/>
          <w:sz w:val="21"/>
        </w:rPr>
        <w:t> </w:t>
      </w:r>
      <w:r>
        <w:rPr>
          <w:spacing w:val="-3"/>
          <w:w w:val="105"/>
          <w:sz w:val="21"/>
        </w:rPr>
        <w:t>agriculture.</w:t>
      </w:r>
      <w:r>
        <w:rPr>
          <w:spacing w:val="-3"/>
          <w:w w:val="105"/>
          <w:position w:val="7"/>
          <w:sz w:val="12"/>
        </w:rPr>
        <w:t>65</w:t>
      </w:r>
    </w:p>
    <w:p>
      <w:pPr>
        <w:pStyle w:val="ListParagraph"/>
        <w:numPr>
          <w:ilvl w:val="2"/>
          <w:numId w:val="16"/>
        </w:numPr>
        <w:tabs>
          <w:tab w:pos="2721" w:val="left" w:leader="none"/>
          <w:tab w:pos="2722" w:val="left" w:leader="none"/>
        </w:tabs>
        <w:spacing w:line="242" w:lineRule="auto" w:before="88" w:after="0"/>
        <w:ind w:left="2721" w:right="1956" w:hanging="340"/>
        <w:jc w:val="left"/>
        <w:rPr>
          <w:sz w:val="21"/>
        </w:rPr>
      </w:pPr>
      <w:r>
        <w:rPr>
          <w:spacing w:val="-6"/>
          <w:w w:val="105"/>
          <w:sz w:val="21"/>
        </w:rPr>
        <w:t>Two </w:t>
      </w:r>
      <w:r>
        <w:rPr>
          <w:w w:val="105"/>
          <w:sz w:val="21"/>
        </w:rPr>
        <w:t>types</w:t>
      </w:r>
      <w:r>
        <w:rPr>
          <w:spacing w:val="-5"/>
          <w:w w:val="105"/>
          <w:sz w:val="21"/>
        </w:rPr>
        <w:t> </w:t>
      </w:r>
      <w:r>
        <w:rPr>
          <w:w w:val="105"/>
          <w:sz w:val="21"/>
        </w:rPr>
        <w:t>of</w:t>
      </w:r>
      <w:r>
        <w:rPr>
          <w:spacing w:val="-5"/>
          <w:w w:val="105"/>
          <w:sz w:val="21"/>
        </w:rPr>
        <w:t> </w:t>
      </w:r>
      <w:r>
        <w:rPr>
          <w:w w:val="105"/>
          <w:sz w:val="21"/>
        </w:rPr>
        <w:t>Green</w:t>
      </w:r>
      <w:r>
        <w:rPr>
          <w:spacing w:val="-5"/>
          <w:w w:val="105"/>
          <w:sz w:val="21"/>
        </w:rPr>
        <w:t> </w:t>
      </w:r>
      <w:r>
        <w:rPr>
          <w:w w:val="105"/>
          <w:sz w:val="21"/>
        </w:rPr>
        <w:t>Wedge</w:t>
      </w:r>
      <w:r>
        <w:rPr>
          <w:spacing w:val="-5"/>
          <w:w w:val="105"/>
          <w:sz w:val="21"/>
        </w:rPr>
        <w:t> </w:t>
      </w:r>
      <w:r>
        <w:rPr>
          <w:w w:val="105"/>
          <w:sz w:val="21"/>
        </w:rPr>
        <w:t>Zones</w:t>
      </w:r>
      <w:r>
        <w:rPr>
          <w:spacing w:val="-5"/>
          <w:w w:val="105"/>
          <w:sz w:val="21"/>
        </w:rPr>
        <w:t> </w:t>
      </w:r>
      <w:r>
        <w:rPr>
          <w:w w:val="105"/>
          <w:sz w:val="21"/>
        </w:rPr>
        <w:t>protect</w:t>
      </w:r>
      <w:r>
        <w:rPr>
          <w:spacing w:val="-6"/>
          <w:w w:val="105"/>
          <w:sz w:val="21"/>
        </w:rPr>
        <w:t> </w:t>
      </w:r>
      <w:r>
        <w:rPr>
          <w:w w:val="105"/>
          <w:sz w:val="21"/>
        </w:rPr>
        <w:t>and</w:t>
      </w:r>
      <w:r>
        <w:rPr>
          <w:spacing w:val="-5"/>
          <w:w w:val="105"/>
          <w:sz w:val="21"/>
        </w:rPr>
        <w:t> </w:t>
      </w:r>
      <w:r>
        <w:rPr>
          <w:w w:val="105"/>
          <w:sz w:val="21"/>
        </w:rPr>
        <w:t>conserve</w:t>
      </w:r>
      <w:r>
        <w:rPr>
          <w:spacing w:val="-5"/>
          <w:w w:val="105"/>
          <w:sz w:val="21"/>
        </w:rPr>
        <w:t> </w:t>
      </w:r>
      <w:r>
        <w:rPr>
          <w:w w:val="105"/>
          <w:sz w:val="21"/>
        </w:rPr>
        <w:t>green</w:t>
      </w:r>
      <w:r>
        <w:rPr>
          <w:spacing w:val="-5"/>
          <w:w w:val="105"/>
          <w:sz w:val="21"/>
        </w:rPr>
        <w:t> </w:t>
      </w:r>
      <w:r>
        <w:rPr>
          <w:w w:val="105"/>
          <w:sz w:val="21"/>
        </w:rPr>
        <w:t>wedge</w:t>
      </w:r>
      <w:r>
        <w:rPr>
          <w:spacing w:val="-5"/>
          <w:w w:val="105"/>
          <w:sz w:val="21"/>
        </w:rPr>
        <w:t> </w:t>
      </w:r>
      <w:r>
        <w:rPr>
          <w:spacing w:val="-3"/>
          <w:w w:val="105"/>
          <w:sz w:val="21"/>
        </w:rPr>
        <w:t>land</w:t>
      </w:r>
      <w:r>
        <w:rPr>
          <w:spacing w:val="-5"/>
          <w:w w:val="105"/>
          <w:sz w:val="21"/>
        </w:rPr>
        <w:t> </w:t>
      </w:r>
      <w:r>
        <w:rPr>
          <w:w w:val="105"/>
          <w:sz w:val="21"/>
        </w:rPr>
        <w:t>(Green Wedge and Green Wedge A).</w:t>
      </w:r>
      <w:r>
        <w:rPr>
          <w:w w:val="105"/>
          <w:position w:val="7"/>
          <w:sz w:val="12"/>
        </w:rPr>
        <w:t>66 </w:t>
      </w:r>
      <w:r>
        <w:rPr>
          <w:w w:val="105"/>
          <w:sz w:val="21"/>
        </w:rPr>
        <w:t>There </w:t>
      </w:r>
      <w:r>
        <w:rPr>
          <w:spacing w:val="-3"/>
          <w:w w:val="105"/>
          <w:sz w:val="21"/>
        </w:rPr>
        <w:t>are </w:t>
      </w:r>
      <w:r>
        <w:rPr>
          <w:spacing w:val="-9"/>
          <w:w w:val="105"/>
          <w:sz w:val="21"/>
        </w:rPr>
        <w:t>12 </w:t>
      </w:r>
      <w:r>
        <w:rPr>
          <w:spacing w:val="-3"/>
          <w:w w:val="105"/>
          <w:sz w:val="21"/>
        </w:rPr>
        <w:t>designated </w:t>
      </w:r>
      <w:r>
        <w:rPr>
          <w:w w:val="105"/>
          <w:sz w:val="21"/>
        </w:rPr>
        <w:t>green wedges in</w:t>
      </w:r>
      <w:r>
        <w:rPr>
          <w:spacing w:val="44"/>
          <w:w w:val="105"/>
          <w:sz w:val="21"/>
        </w:rPr>
        <w:t> </w:t>
      </w:r>
      <w:r>
        <w:rPr>
          <w:w w:val="105"/>
          <w:sz w:val="21"/>
        </w:rPr>
        <w:t>non-</w:t>
      </w:r>
    </w:p>
    <w:p>
      <w:pPr>
        <w:pStyle w:val="BodyText"/>
        <w:rPr>
          <w:sz w:val="20"/>
        </w:rPr>
      </w:pPr>
    </w:p>
    <w:p>
      <w:pPr>
        <w:pStyle w:val="BodyText"/>
        <w:spacing w:before="10"/>
      </w:pPr>
      <w:r>
        <w:rPr/>
        <w:pict>
          <v:line style="position:absolute;mso-position-horizontal-relative:page;mso-position-vertical-relative:paragraph;z-index:3488;mso-wrap-distance-left:0;mso-wrap-distance-right:0" from="79.370003pt,15.775793pt" to="515.905003pt,15.775793pt" stroked="true" strokeweight="1pt" strokecolor="#c9d2cb">
            <v:stroke dashstyle="solid"/>
            <w10:wrap type="topAndBottom"/>
          </v:line>
        </w:pict>
      </w:r>
    </w:p>
    <w:p>
      <w:pPr>
        <w:pStyle w:val="ListParagraph"/>
        <w:numPr>
          <w:ilvl w:val="0"/>
          <w:numId w:val="47"/>
        </w:numPr>
        <w:tabs>
          <w:tab w:pos="2380" w:val="left" w:leader="none"/>
          <w:tab w:pos="2382" w:val="left" w:leader="none"/>
        </w:tabs>
        <w:spacing w:line="240" w:lineRule="auto" w:before="117" w:after="0"/>
        <w:ind w:left="2381" w:right="1603" w:hanging="794"/>
        <w:jc w:val="left"/>
        <w:rPr>
          <w:sz w:val="13"/>
        </w:rPr>
      </w:pPr>
      <w:r>
        <w:rPr>
          <w:w w:val="105"/>
          <w:sz w:val="13"/>
        </w:rPr>
        <w:t>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30-37 </w:t>
      </w:r>
      <w:r>
        <w:rPr>
          <w:spacing w:val="2"/>
          <w:w w:val="105"/>
          <w:sz w:val="13"/>
        </w:rPr>
        <w:t>&lt;</w:t>
      </w:r>
      <w:hyperlink r:id="rId90">
        <w:r>
          <w:rPr>
            <w:spacing w:val="2"/>
            <w:w w:val="105"/>
            <w:sz w:val="13"/>
          </w:rPr>
          <w:t>http://planningschemes.</w:t>
        </w:r>
      </w:hyperlink>
      <w:r>
        <w:rPr>
          <w:spacing w:val="2"/>
          <w:w w:val="105"/>
          <w:sz w:val="13"/>
        </w:rPr>
        <w:t> </w:t>
      </w:r>
      <w:r>
        <w:rPr>
          <w:w w:val="105"/>
          <w:sz w:val="13"/>
        </w:rPr>
        <w:t>dpcd.vic.gov.au/schemes/vpps&gt;.</w:t>
      </w:r>
    </w:p>
    <w:p>
      <w:pPr>
        <w:pStyle w:val="ListParagraph"/>
        <w:numPr>
          <w:ilvl w:val="0"/>
          <w:numId w:val="47"/>
        </w:numPr>
        <w:tabs>
          <w:tab w:pos="2381" w:val="left" w:leader="none"/>
          <w:tab w:pos="2382" w:val="left" w:leader="none"/>
        </w:tabs>
        <w:spacing w:line="240" w:lineRule="auto" w:before="3" w:after="0"/>
        <w:ind w:left="2381" w:right="0" w:hanging="794"/>
        <w:jc w:val="left"/>
        <w:rPr>
          <w:sz w:val="13"/>
        </w:rPr>
      </w:pPr>
      <w:r>
        <w:rPr>
          <w:w w:val="105"/>
          <w:sz w:val="13"/>
        </w:rPr>
        <w:t>These</w:t>
      </w:r>
      <w:r>
        <w:rPr>
          <w:spacing w:val="4"/>
          <w:w w:val="105"/>
          <w:sz w:val="13"/>
        </w:rPr>
        <w:t> </w:t>
      </w:r>
      <w:r>
        <w:rPr>
          <w:w w:val="105"/>
          <w:sz w:val="13"/>
        </w:rPr>
        <w:t>include</w:t>
      </w:r>
      <w:r>
        <w:rPr>
          <w:spacing w:val="5"/>
          <w:w w:val="105"/>
          <w:sz w:val="13"/>
        </w:rPr>
        <w:t> </w:t>
      </w:r>
      <w:r>
        <w:rPr>
          <w:w w:val="105"/>
          <w:sz w:val="13"/>
        </w:rPr>
        <w:t>the</w:t>
      </w:r>
      <w:r>
        <w:rPr>
          <w:spacing w:val="5"/>
          <w:w w:val="105"/>
          <w:sz w:val="13"/>
        </w:rPr>
        <w:t> </w:t>
      </w:r>
      <w:r>
        <w:rPr>
          <w:w w:val="105"/>
          <w:sz w:val="13"/>
        </w:rPr>
        <w:t>Public</w:t>
      </w:r>
      <w:r>
        <w:rPr>
          <w:spacing w:val="4"/>
          <w:w w:val="105"/>
          <w:sz w:val="13"/>
        </w:rPr>
        <w:t> </w:t>
      </w:r>
      <w:r>
        <w:rPr>
          <w:w w:val="105"/>
          <w:sz w:val="13"/>
        </w:rPr>
        <w:t>Park</w:t>
      </w:r>
      <w:r>
        <w:rPr>
          <w:spacing w:val="5"/>
          <w:w w:val="105"/>
          <w:sz w:val="13"/>
        </w:rPr>
        <w:t> </w:t>
      </w:r>
      <w:r>
        <w:rPr>
          <w:w w:val="105"/>
          <w:sz w:val="13"/>
        </w:rPr>
        <w:t>and</w:t>
      </w:r>
      <w:r>
        <w:rPr>
          <w:spacing w:val="5"/>
          <w:w w:val="105"/>
          <w:sz w:val="13"/>
        </w:rPr>
        <w:t> </w:t>
      </w:r>
      <w:r>
        <w:rPr>
          <w:w w:val="105"/>
          <w:sz w:val="13"/>
        </w:rPr>
        <w:t>Recreation</w:t>
      </w:r>
      <w:r>
        <w:rPr>
          <w:spacing w:val="5"/>
          <w:w w:val="105"/>
          <w:sz w:val="13"/>
        </w:rPr>
        <w:t> </w:t>
      </w:r>
      <w:r>
        <w:rPr>
          <w:w w:val="105"/>
          <w:sz w:val="13"/>
        </w:rPr>
        <w:t>Zone;</w:t>
      </w:r>
      <w:r>
        <w:rPr>
          <w:spacing w:val="4"/>
          <w:w w:val="105"/>
          <w:sz w:val="13"/>
        </w:rPr>
        <w:t> </w:t>
      </w:r>
      <w:r>
        <w:rPr>
          <w:w w:val="105"/>
          <w:sz w:val="13"/>
        </w:rPr>
        <w:t>the</w:t>
      </w:r>
      <w:r>
        <w:rPr>
          <w:spacing w:val="5"/>
          <w:w w:val="105"/>
          <w:sz w:val="13"/>
        </w:rPr>
        <w:t> </w:t>
      </w:r>
      <w:r>
        <w:rPr>
          <w:w w:val="105"/>
          <w:sz w:val="13"/>
        </w:rPr>
        <w:t>Public</w:t>
      </w:r>
      <w:r>
        <w:rPr>
          <w:spacing w:val="5"/>
          <w:w w:val="105"/>
          <w:sz w:val="13"/>
        </w:rPr>
        <w:t> </w:t>
      </w:r>
      <w:r>
        <w:rPr>
          <w:w w:val="105"/>
          <w:sz w:val="13"/>
        </w:rPr>
        <w:t>Conservation</w:t>
      </w:r>
      <w:r>
        <w:rPr>
          <w:spacing w:val="5"/>
          <w:w w:val="105"/>
          <w:sz w:val="13"/>
        </w:rPr>
        <w:t> </w:t>
      </w:r>
      <w:r>
        <w:rPr>
          <w:w w:val="105"/>
          <w:sz w:val="13"/>
        </w:rPr>
        <w:t>and</w:t>
      </w:r>
      <w:r>
        <w:rPr>
          <w:spacing w:val="4"/>
          <w:w w:val="105"/>
          <w:sz w:val="13"/>
        </w:rPr>
        <w:t> </w:t>
      </w:r>
      <w:r>
        <w:rPr>
          <w:w w:val="105"/>
          <w:sz w:val="13"/>
        </w:rPr>
        <w:t>Resource</w:t>
      </w:r>
      <w:r>
        <w:rPr>
          <w:spacing w:val="5"/>
          <w:w w:val="105"/>
          <w:sz w:val="13"/>
        </w:rPr>
        <w:t> </w:t>
      </w:r>
      <w:r>
        <w:rPr>
          <w:w w:val="105"/>
          <w:sz w:val="13"/>
        </w:rPr>
        <w:t>Zone</w:t>
      </w:r>
      <w:r>
        <w:rPr>
          <w:spacing w:val="5"/>
          <w:w w:val="105"/>
          <w:sz w:val="13"/>
        </w:rPr>
        <w:t> </w:t>
      </w:r>
      <w:r>
        <w:rPr>
          <w:w w:val="105"/>
          <w:sz w:val="13"/>
        </w:rPr>
        <w:t>and</w:t>
      </w:r>
      <w:r>
        <w:rPr>
          <w:spacing w:val="4"/>
          <w:w w:val="105"/>
          <w:sz w:val="13"/>
        </w:rPr>
        <w:t> </w:t>
      </w:r>
      <w:r>
        <w:rPr>
          <w:w w:val="105"/>
          <w:sz w:val="13"/>
        </w:rPr>
        <w:t>the</w:t>
      </w:r>
      <w:r>
        <w:rPr>
          <w:spacing w:val="5"/>
          <w:w w:val="105"/>
          <w:sz w:val="13"/>
        </w:rPr>
        <w:t> </w:t>
      </w:r>
      <w:r>
        <w:rPr>
          <w:w w:val="105"/>
          <w:sz w:val="13"/>
        </w:rPr>
        <w:t>Road</w:t>
      </w:r>
      <w:r>
        <w:rPr>
          <w:spacing w:val="5"/>
          <w:w w:val="105"/>
          <w:sz w:val="13"/>
        </w:rPr>
        <w:t> </w:t>
      </w:r>
      <w:r>
        <w:rPr>
          <w:w w:val="105"/>
          <w:sz w:val="13"/>
        </w:rPr>
        <w:t>Zone.</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sz w:val="13"/>
        </w:rPr>
        <w:t>This is discussed in chapter</w:t>
      </w:r>
      <w:r>
        <w:rPr>
          <w:spacing w:val="2"/>
          <w:sz w:val="13"/>
        </w:rPr>
        <w:t> </w:t>
      </w:r>
      <w:r>
        <w:rPr>
          <w:spacing w:val="-3"/>
          <w:sz w:val="13"/>
        </w:rPr>
        <w:t>13.</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Consultations</w:t>
      </w:r>
      <w:r>
        <w:rPr>
          <w:spacing w:val="5"/>
          <w:w w:val="105"/>
          <w:sz w:val="13"/>
        </w:rPr>
        <w:t> </w:t>
      </w:r>
      <w:r>
        <w:rPr>
          <w:w w:val="105"/>
          <w:sz w:val="13"/>
        </w:rPr>
        <w:t>9</w:t>
      </w:r>
      <w:r>
        <w:rPr>
          <w:spacing w:val="5"/>
          <w:w w:val="105"/>
          <w:sz w:val="13"/>
        </w:rPr>
        <w:t> </w:t>
      </w:r>
      <w:r>
        <w:rPr>
          <w:w w:val="105"/>
          <w:sz w:val="13"/>
        </w:rPr>
        <w:t>(Nillumbik</w:t>
      </w:r>
      <w:r>
        <w:rPr>
          <w:spacing w:val="5"/>
          <w:w w:val="105"/>
          <w:sz w:val="13"/>
        </w:rPr>
        <w:t> </w:t>
      </w:r>
      <w:r>
        <w:rPr>
          <w:w w:val="105"/>
          <w:sz w:val="13"/>
        </w:rPr>
        <w:t>Shire</w:t>
      </w:r>
      <w:r>
        <w:rPr>
          <w:spacing w:val="5"/>
          <w:w w:val="105"/>
          <w:sz w:val="13"/>
        </w:rPr>
        <w:t> </w:t>
      </w:r>
      <w:r>
        <w:rPr>
          <w:w w:val="105"/>
          <w:sz w:val="13"/>
        </w:rPr>
        <w:t>Council),</w:t>
      </w:r>
      <w:r>
        <w:rPr>
          <w:spacing w:val="5"/>
          <w:w w:val="105"/>
          <w:sz w:val="13"/>
        </w:rPr>
        <w:t> </w:t>
      </w:r>
      <w:r>
        <w:rPr>
          <w:w w:val="105"/>
          <w:sz w:val="13"/>
        </w:rPr>
        <w:t>10</w:t>
      </w:r>
      <w:r>
        <w:rPr>
          <w:spacing w:val="5"/>
          <w:w w:val="105"/>
          <w:sz w:val="13"/>
        </w:rPr>
        <w:t> </w:t>
      </w:r>
      <w:r>
        <w:rPr>
          <w:spacing w:val="2"/>
          <w:w w:val="105"/>
          <w:sz w:val="13"/>
        </w:rPr>
        <w:t>(Baw</w:t>
      </w:r>
      <w:r>
        <w:rPr>
          <w:spacing w:val="5"/>
          <w:w w:val="105"/>
          <w:sz w:val="13"/>
        </w:rPr>
        <w:t> </w:t>
      </w:r>
      <w:r>
        <w:rPr>
          <w:w w:val="105"/>
          <w:sz w:val="13"/>
        </w:rPr>
        <w:t>Baw</w:t>
      </w:r>
      <w:r>
        <w:rPr>
          <w:spacing w:val="5"/>
          <w:w w:val="105"/>
          <w:sz w:val="13"/>
        </w:rPr>
        <w:t> </w:t>
      </w:r>
      <w:r>
        <w:rPr>
          <w:w w:val="105"/>
          <w:sz w:val="13"/>
        </w:rPr>
        <w:t>Shire</w:t>
      </w:r>
      <w:r>
        <w:rPr>
          <w:spacing w:val="5"/>
          <w:w w:val="105"/>
          <w:sz w:val="13"/>
        </w:rPr>
        <w:t> </w:t>
      </w:r>
      <w:r>
        <w:rPr>
          <w:w w:val="105"/>
          <w:sz w:val="13"/>
        </w:rPr>
        <w:t>Council),</w:t>
      </w:r>
      <w:r>
        <w:rPr>
          <w:spacing w:val="5"/>
          <w:w w:val="105"/>
          <w:sz w:val="13"/>
        </w:rPr>
        <w:t> </w:t>
      </w:r>
      <w:r>
        <w:rPr>
          <w:spacing w:val="-4"/>
          <w:w w:val="105"/>
          <w:sz w:val="13"/>
        </w:rPr>
        <w:t>12</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Port</w:t>
      </w:r>
      <w:r>
        <w:rPr>
          <w:spacing w:val="5"/>
          <w:w w:val="105"/>
          <w:sz w:val="13"/>
        </w:rPr>
        <w:t> </w:t>
      </w:r>
      <w:r>
        <w:rPr>
          <w:w w:val="105"/>
          <w:sz w:val="13"/>
        </w:rPr>
        <w:t>Phillip).</w:t>
      </w:r>
    </w:p>
    <w:p>
      <w:pPr>
        <w:pStyle w:val="ListParagraph"/>
        <w:numPr>
          <w:ilvl w:val="0"/>
          <w:numId w:val="47"/>
        </w:numPr>
        <w:tabs>
          <w:tab w:pos="2381" w:val="left" w:leader="none"/>
          <w:tab w:pos="2382" w:val="left" w:leader="none"/>
        </w:tabs>
        <w:spacing w:line="240" w:lineRule="auto" w:before="2" w:after="0"/>
        <w:ind w:left="2381" w:right="1595" w:hanging="794"/>
        <w:jc w:val="left"/>
        <w:rPr>
          <w:sz w:val="13"/>
        </w:rPr>
      </w:pPr>
      <w:r>
        <w:rPr>
          <w:w w:val="105"/>
          <w:sz w:val="13"/>
        </w:rPr>
        <w:t>These include the Low Density Residential Zone; the Mixed Use Zone; the Township Zone; the Residential Growth Zone; the General</w:t>
      </w:r>
      <w:r>
        <w:rPr>
          <w:spacing w:val="30"/>
          <w:w w:val="105"/>
          <w:sz w:val="13"/>
        </w:rPr>
        <w:t> </w:t>
      </w:r>
      <w:r>
        <w:rPr>
          <w:w w:val="105"/>
          <w:sz w:val="13"/>
        </w:rPr>
        <w:t>Residential Zone; and the Neighbourhood Residential Zone: See Department of Environment, Land, Water and Planning </w:t>
      </w:r>
      <w:r>
        <w:rPr>
          <w:spacing w:val="2"/>
          <w:w w:val="105"/>
          <w:sz w:val="13"/>
        </w:rPr>
        <w:t>(Vic), </w:t>
      </w:r>
      <w:r>
        <w:rPr>
          <w:i/>
          <w:w w:val="105"/>
          <w:sz w:val="13"/>
        </w:rPr>
        <w:t>Victoria</w:t>
      </w:r>
      <w:r>
        <w:rPr>
          <w:i/>
          <w:spacing w:val="30"/>
          <w:w w:val="105"/>
          <w:sz w:val="13"/>
        </w:rPr>
        <w:t> </w:t>
      </w:r>
      <w:r>
        <w:rPr>
          <w:i/>
          <w:w w:val="105"/>
          <w:sz w:val="13"/>
        </w:rPr>
        <w:t>Planning Provisions </w:t>
      </w:r>
      <w:r>
        <w:rPr>
          <w:spacing w:val="-5"/>
          <w:w w:val="105"/>
          <w:sz w:val="13"/>
        </w:rPr>
        <w:t>(11 </w:t>
      </w:r>
      <w:r>
        <w:rPr>
          <w:w w:val="105"/>
          <w:sz w:val="13"/>
        </w:rPr>
        <w:t>April 2019) cl 32.03-32.05, 32.07-32.09; see also Stephen Rowley, </w:t>
      </w:r>
      <w:r>
        <w:rPr>
          <w:i/>
          <w:w w:val="105"/>
          <w:sz w:val="13"/>
        </w:rPr>
        <w:t>The Victorian Planning System: Practice, Problems </w:t>
      </w:r>
      <w:r>
        <w:rPr>
          <w:i/>
          <w:w w:val="105"/>
          <w:sz w:val="13"/>
        </w:rPr>
        <w:t>and Prospects </w:t>
      </w:r>
      <w:r>
        <w:rPr>
          <w:spacing w:val="2"/>
          <w:w w:val="105"/>
          <w:sz w:val="13"/>
        </w:rPr>
        <w:t>(The </w:t>
      </w:r>
      <w:r>
        <w:rPr>
          <w:w w:val="105"/>
          <w:sz w:val="13"/>
        </w:rPr>
        <w:t>Federation Press, 2017)</w:t>
      </w:r>
      <w:r>
        <w:rPr>
          <w:spacing w:val="24"/>
          <w:w w:val="105"/>
          <w:sz w:val="13"/>
        </w:rPr>
        <w:t> </w:t>
      </w:r>
      <w:r>
        <w:rPr>
          <w:w w:val="105"/>
          <w:sz w:val="13"/>
        </w:rPr>
        <w:t>27-29.</w:t>
      </w:r>
    </w:p>
    <w:p>
      <w:pPr>
        <w:pStyle w:val="ListParagraph"/>
        <w:numPr>
          <w:ilvl w:val="0"/>
          <w:numId w:val="47"/>
        </w:numPr>
        <w:tabs>
          <w:tab w:pos="2381" w:val="left" w:leader="none"/>
          <w:tab w:pos="2382" w:val="left" w:leader="none"/>
        </w:tabs>
        <w:spacing w:line="240" w:lineRule="auto" w:before="5" w:after="0"/>
        <w:ind w:left="2381" w:right="0" w:hanging="794"/>
        <w:jc w:val="left"/>
        <w:rPr>
          <w:sz w:val="13"/>
        </w:rPr>
      </w:pPr>
      <w:r>
        <w:rPr>
          <w:w w:val="105"/>
          <w:sz w:val="13"/>
        </w:rPr>
        <w:t>Department</w:t>
      </w:r>
      <w:r>
        <w:rPr>
          <w:spacing w:val="4"/>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4"/>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Victoria</w:t>
      </w:r>
      <w:r>
        <w:rPr>
          <w:i/>
          <w:spacing w:val="5"/>
          <w:w w:val="105"/>
          <w:sz w:val="13"/>
        </w:rPr>
        <w:t> </w:t>
      </w:r>
      <w:r>
        <w:rPr>
          <w:i/>
          <w:w w:val="105"/>
          <w:sz w:val="13"/>
        </w:rPr>
        <w:t>Planning</w:t>
      </w:r>
      <w:r>
        <w:rPr>
          <w:i/>
          <w:spacing w:val="5"/>
          <w:w w:val="105"/>
          <w:sz w:val="13"/>
        </w:rPr>
        <w:t> </w:t>
      </w:r>
      <w:r>
        <w:rPr>
          <w:i/>
          <w:w w:val="105"/>
          <w:sz w:val="13"/>
        </w:rPr>
        <w:t>Provisions</w:t>
      </w:r>
      <w:r>
        <w:rPr>
          <w:i/>
          <w:spacing w:val="5"/>
          <w:w w:val="105"/>
          <w:sz w:val="13"/>
        </w:rPr>
        <w:t> </w:t>
      </w:r>
      <w:r>
        <w:rPr>
          <w:spacing w:val="-5"/>
          <w:w w:val="105"/>
          <w:sz w:val="13"/>
        </w:rPr>
        <w:t>(11</w:t>
      </w:r>
      <w:r>
        <w:rPr>
          <w:spacing w:val="4"/>
          <w:w w:val="105"/>
          <w:sz w:val="13"/>
        </w:rPr>
        <w:t> </w:t>
      </w:r>
      <w:r>
        <w:rPr>
          <w:w w:val="105"/>
          <w:sz w:val="13"/>
        </w:rPr>
        <w:t>April</w:t>
      </w:r>
      <w:r>
        <w:rPr>
          <w:spacing w:val="5"/>
          <w:w w:val="105"/>
          <w:sz w:val="13"/>
        </w:rPr>
        <w:t> </w:t>
      </w:r>
      <w:r>
        <w:rPr>
          <w:w w:val="105"/>
          <w:sz w:val="13"/>
        </w:rPr>
        <w:t>2019)</w:t>
      </w:r>
      <w:r>
        <w:rPr>
          <w:spacing w:val="5"/>
          <w:w w:val="105"/>
          <w:sz w:val="13"/>
        </w:rPr>
        <w:t> </w:t>
      </w:r>
      <w:r>
        <w:rPr>
          <w:w w:val="105"/>
          <w:sz w:val="13"/>
        </w:rPr>
        <w:t>cl</w:t>
      </w:r>
      <w:r>
        <w:rPr>
          <w:spacing w:val="5"/>
          <w:w w:val="105"/>
          <w:sz w:val="13"/>
        </w:rPr>
        <w:t> </w:t>
      </w:r>
      <w:r>
        <w:rPr>
          <w:w w:val="105"/>
          <w:sz w:val="13"/>
        </w:rPr>
        <w:t>34.</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sz w:val="13"/>
        </w:rPr>
        <w:t>Ibid cl</w:t>
      </w:r>
      <w:r>
        <w:rPr>
          <w:spacing w:val="12"/>
          <w:sz w:val="13"/>
        </w:rPr>
        <w:t> </w:t>
      </w:r>
      <w:r>
        <w:rPr>
          <w:sz w:val="13"/>
        </w:rPr>
        <w:t>33.</w:t>
      </w:r>
    </w:p>
    <w:p>
      <w:pPr>
        <w:pStyle w:val="ListParagraph"/>
        <w:numPr>
          <w:ilvl w:val="0"/>
          <w:numId w:val="47"/>
        </w:numPr>
        <w:tabs>
          <w:tab w:pos="2381" w:val="left" w:leader="none"/>
          <w:tab w:pos="2382" w:val="left" w:leader="none"/>
        </w:tabs>
        <w:spacing w:line="240" w:lineRule="auto" w:before="2" w:after="0"/>
        <w:ind w:left="2381" w:right="0" w:hanging="794"/>
        <w:jc w:val="left"/>
        <w:rPr>
          <w:sz w:val="13"/>
        </w:rPr>
      </w:pPr>
      <w:r>
        <w:rPr>
          <w:sz w:val="13"/>
        </w:rPr>
        <w:t>Ibid</w:t>
      </w:r>
      <w:r>
        <w:rPr>
          <w:spacing w:val="10"/>
          <w:sz w:val="13"/>
        </w:rPr>
        <w:t> </w:t>
      </w:r>
      <w:r>
        <w:rPr>
          <w:sz w:val="13"/>
        </w:rPr>
        <w:t>cl</w:t>
      </w:r>
      <w:r>
        <w:rPr>
          <w:spacing w:val="11"/>
          <w:sz w:val="13"/>
        </w:rPr>
        <w:t> </w:t>
      </w:r>
      <w:r>
        <w:rPr>
          <w:sz w:val="13"/>
        </w:rPr>
        <w:t>33.03;</w:t>
      </w:r>
      <w:r>
        <w:rPr>
          <w:spacing w:val="11"/>
          <w:sz w:val="13"/>
        </w:rPr>
        <w:t> </w:t>
      </w:r>
      <w:r>
        <w:rPr>
          <w:sz w:val="13"/>
        </w:rPr>
        <w:t>see</w:t>
      </w:r>
      <w:r>
        <w:rPr>
          <w:spacing w:val="11"/>
          <w:sz w:val="13"/>
        </w:rPr>
        <w:t> </w:t>
      </w:r>
      <w:r>
        <w:rPr>
          <w:sz w:val="13"/>
        </w:rPr>
        <w:t>also</w:t>
      </w:r>
      <w:r>
        <w:rPr>
          <w:spacing w:val="11"/>
          <w:sz w:val="13"/>
        </w:rPr>
        <w:t> </w:t>
      </w:r>
      <w:r>
        <w:rPr>
          <w:sz w:val="13"/>
        </w:rPr>
        <w:t>Stephen</w:t>
      </w:r>
      <w:r>
        <w:rPr>
          <w:spacing w:val="10"/>
          <w:sz w:val="13"/>
        </w:rPr>
        <w:t> </w:t>
      </w:r>
      <w:r>
        <w:rPr>
          <w:sz w:val="13"/>
        </w:rPr>
        <w:t>Rowley,</w:t>
      </w:r>
      <w:r>
        <w:rPr>
          <w:spacing w:val="11"/>
          <w:sz w:val="13"/>
        </w:rPr>
        <w:t> </w:t>
      </w:r>
      <w:r>
        <w:rPr>
          <w:i/>
          <w:sz w:val="13"/>
        </w:rPr>
        <w:t>The</w:t>
      </w:r>
      <w:r>
        <w:rPr>
          <w:i/>
          <w:spacing w:val="11"/>
          <w:sz w:val="13"/>
        </w:rPr>
        <w:t> </w:t>
      </w:r>
      <w:r>
        <w:rPr>
          <w:i/>
          <w:sz w:val="13"/>
        </w:rPr>
        <w:t>Victorian</w:t>
      </w:r>
      <w:r>
        <w:rPr>
          <w:i/>
          <w:spacing w:val="11"/>
          <w:sz w:val="13"/>
        </w:rPr>
        <w:t> </w:t>
      </w:r>
      <w:r>
        <w:rPr>
          <w:i/>
          <w:sz w:val="13"/>
        </w:rPr>
        <w:t>Planning</w:t>
      </w:r>
      <w:r>
        <w:rPr>
          <w:i/>
          <w:spacing w:val="11"/>
          <w:sz w:val="13"/>
        </w:rPr>
        <w:t> </w:t>
      </w:r>
      <w:r>
        <w:rPr>
          <w:i/>
          <w:sz w:val="13"/>
        </w:rPr>
        <w:t>System:</w:t>
      </w:r>
      <w:r>
        <w:rPr>
          <w:i/>
          <w:spacing w:val="11"/>
          <w:sz w:val="13"/>
        </w:rPr>
        <w:t> </w:t>
      </w:r>
      <w:r>
        <w:rPr>
          <w:i/>
          <w:sz w:val="13"/>
        </w:rPr>
        <w:t>Practice,</w:t>
      </w:r>
      <w:r>
        <w:rPr>
          <w:i/>
          <w:spacing w:val="10"/>
          <w:sz w:val="13"/>
        </w:rPr>
        <w:t> </w:t>
      </w:r>
      <w:r>
        <w:rPr>
          <w:i/>
          <w:sz w:val="13"/>
        </w:rPr>
        <w:t>Problems</w:t>
      </w:r>
      <w:r>
        <w:rPr>
          <w:i/>
          <w:spacing w:val="11"/>
          <w:sz w:val="13"/>
        </w:rPr>
        <w:t> </w:t>
      </w:r>
      <w:r>
        <w:rPr>
          <w:i/>
          <w:sz w:val="13"/>
        </w:rPr>
        <w:t>and</w:t>
      </w:r>
      <w:r>
        <w:rPr>
          <w:i/>
          <w:spacing w:val="11"/>
          <w:sz w:val="13"/>
        </w:rPr>
        <w:t> </w:t>
      </w:r>
      <w:r>
        <w:rPr>
          <w:i/>
          <w:sz w:val="13"/>
        </w:rPr>
        <w:t>Prospects</w:t>
      </w:r>
      <w:r>
        <w:rPr>
          <w:i/>
          <w:spacing w:val="11"/>
          <w:sz w:val="13"/>
        </w:rPr>
        <w:t> </w:t>
      </w:r>
      <w:r>
        <w:rPr>
          <w:spacing w:val="2"/>
          <w:sz w:val="13"/>
        </w:rPr>
        <w:t>(The</w:t>
      </w:r>
      <w:r>
        <w:rPr>
          <w:spacing w:val="11"/>
          <w:sz w:val="13"/>
        </w:rPr>
        <w:t> </w:t>
      </w:r>
      <w:r>
        <w:rPr>
          <w:sz w:val="13"/>
        </w:rPr>
        <w:t>Federation</w:t>
      </w:r>
      <w:r>
        <w:rPr>
          <w:spacing w:val="11"/>
          <w:sz w:val="13"/>
        </w:rPr>
        <w:t> </w:t>
      </w:r>
      <w:r>
        <w:rPr>
          <w:sz w:val="13"/>
        </w:rPr>
        <w:t>Press,</w:t>
      </w:r>
      <w:r>
        <w:rPr>
          <w:spacing w:val="10"/>
          <w:sz w:val="13"/>
        </w:rPr>
        <w:t> </w:t>
      </w:r>
      <w:r>
        <w:rPr>
          <w:sz w:val="13"/>
        </w:rPr>
        <w:t>2017)</w:t>
      </w:r>
      <w:r>
        <w:rPr>
          <w:spacing w:val="11"/>
          <w:sz w:val="13"/>
        </w:rPr>
        <w:t> </w:t>
      </w:r>
      <w:r>
        <w:rPr>
          <w:sz w:val="13"/>
        </w:rPr>
        <w:t>28.</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Department</w:t>
      </w:r>
      <w:r>
        <w:rPr>
          <w:spacing w:val="4"/>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4"/>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Victoria</w:t>
      </w:r>
      <w:r>
        <w:rPr>
          <w:i/>
          <w:spacing w:val="5"/>
          <w:w w:val="105"/>
          <w:sz w:val="13"/>
        </w:rPr>
        <w:t> </w:t>
      </w:r>
      <w:r>
        <w:rPr>
          <w:i/>
          <w:w w:val="105"/>
          <w:sz w:val="13"/>
        </w:rPr>
        <w:t>Planning</w:t>
      </w:r>
      <w:r>
        <w:rPr>
          <w:i/>
          <w:spacing w:val="4"/>
          <w:w w:val="105"/>
          <w:sz w:val="13"/>
        </w:rPr>
        <w:t> </w:t>
      </w:r>
      <w:r>
        <w:rPr>
          <w:i/>
          <w:w w:val="105"/>
          <w:sz w:val="13"/>
        </w:rPr>
        <w:t>Provisions</w:t>
      </w:r>
      <w:r>
        <w:rPr>
          <w:i/>
          <w:spacing w:val="5"/>
          <w:w w:val="105"/>
          <w:sz w:val="13"/>
        </w:rPr>
        <w:t> </w:t>
      </w:r>
      <w:r>
        <w:rPr>
          <w:spacing w:val="-5"/>
          <w:w w:val="105"/>
          <w:sz w:val="13"/>
        </w:rPr>
        <w:t>(11</w:t>
      </w:r>
      <w:r>
        <w:rPr>
          <w:spacing w:val="5"/>
          <w:w w:val="105"/>
          <w:sz w:val="13"/>
        </w:rPr>
        <w:t> </w:t>
      </w:r>
      <w:r>
        <w:rPr>
          <w:w w:val="105"/>
          <w:sz w:val="13"/>
        </w:rPr>
        <w:t>April</w:t>
      </w:r>
      <w:r>
        <w:rPr>
          <w:spacing w:val="5"/>
          <w:w w:val="105"/>
          <w:sz w:val="13"/>
        </w:rPr>
        <w:t> </w:t>
      </w:r>
      <w:r>
        <w:rPr>
          <w:w w:val="105"/>
          <w:sz w:val="13"/>
        </w:rPr>
        <w:t>2019)</w:t>
      </w:r>
      <w:r>
        <w:rPr>
          <w:spacing w:val="4"/>
          <w:w w:val="105"/>
          <w:sz w:val="13"/>
        </w:rPr>
        <w:t> </w:t>
      </w:r>
      <w:r>
        <w:rPr>
          <w:w w:val="105"/>
          <w:sz w:val="13"/>
        </w:rPr>
        <w:t>cl</w:t>
      </w:r>
      <w:r>
        <w:rPr>
          <w:spacing w:val="5"/>
          <w:w w:val="105"/>
          <w:sz w:val="13"/>
        </w:rPr>
        <w:t> </w:t>
      </w:r>
      <w:r>
        <w:rPr>
          <w:w w:val="105"/>
          <w:sz w:val="13"/>
        </w:rPr>
        <w:t>35.</w:t>
      </w:r>
    </w:p>
    <w:p>
      <w:pPr>
        <w:pStyle w:val="ListParagraph"/>
        <w:numPr>
          <w:ilvl w:val="0"/>
          <w:numId w:val="47"/>
        </w:numPr>
        <w:tabs>
          <w:tab w:pos="2381" w:val="left" w:leader="none"/>
          <w:tab w:pos="2382" w:val="left" w:leader="none"/>
        </w:tabs>
        <w:spacing w:line="240" w:lineRule="auto" w:before="1" w:after="0"/>
        <w:ind w:left="2381" w:right="1683" w:hanging="794"/>
        <w:jc w:val="left"/>
        <w:rPr>
          <w:sz w:val="13"/>
        </w:rPr>
      </w:pPr>
      <w:r>
        <w:rPr/>
        <w:pict>
          <v:shape style="position:absolute;margin-left:36pt;margin-top:27.000565pt;width:13.25pt;height:14.25pt;mso-position-horizontal-relative:page;mso-position-vertical-relative:paragraph;z-index:5560" type="#_x0000_t202" filled="false" stroked="false">
            <v:textbox inset="0,0,0,0">
              <w:txbxContent>
                <w:p>
                  <w:pPr>
                    <w:spacing w:line="284" w:lineRule="exact" w:before="0"/>
                    <w:ind w:left="0" w:right="0" w:firstLine="0"/>
                    <w:jc w:val="left"/>
                    <w:rPr>
                      <w:b/>
                      <w:sz w:val="24"/>
                    </w:rPr>
                  </w:pPr>
                  <w:r>
                    <w:rPr>
                      <w:b/>
                      <w:color w:val="658464"/>
                      <w:spacing w:val="-2"/>
                      <w:w w:val="110"/>
                      <w:sz w:val="24"/>
                    </w:rPr>
                    <w:t>72</w:t>
                  </w:r>
                </w:p>
              </w:txbxContent>
            </v:textbox>
            <w10:wrap type="none"/>
          </v:shape>
        </w:pict>
      </w:r>
      <w:r>
        <w:rPr>
          <w:w w:val="105"/>
          <w:sz w:val="13"/>
        </w:rPr>
        <w:t>Ibid cl 35.07; Agriculture Victoria, </w:t>
      </w:r>
      <w:r>
        <w:rPr>
          <w:i/>
          <w:w w:val="105"/>
          <w:sz w:val="13"/>
        </w:rPr>
        <w:t>Rural Zones Explained </w:t>
      </w:r>
      <w:r>
        <w:rPr>
          <w:w w:val="105"/>
          <w:sz w:val="13"/>
        </w:rPr>
        <w:t>(Web Page, 8 May 2017) &lt;</w:t>
      </w:r>
      <w:hyperlink r:id="rId91">
        <w:r>
          <w:rPr>
            <w:w w:val="105"/>
            <w:sz w:val="13"/>
          </w:rPr>
          <w:t>http://agriculture.vic.gov.au/agriculture/farm-</w:t>
        </w:r>
      </w:hyperlink>
      <w:r>
        <w:rPr>
          <w:w w:val="105"/>
          <w:sz w:val="13"/>
        </w:rPr>
        <w:t> management/business-management/planning-applications-in-rural-areas/rural-zones-explained&gt;; Department  of  Environment,  Land, Water and Planning </w:t>
      </w:r>
      <w:r>
        <w:rPr>
          <w:spacing w:val="2"/>
          <w:w w:val="105"/>
          <w:sz w:val="13"/>
        </w:rPr>
        <w:t>(Vic), </w:t>
      </w:r>
      <w:r>
        <w:rPr>
          <w:i/>
          <w:w w:val="105"/>
          <w:sz w:val="13"/>
        </w:rPr>
        <w:t>Planning Practice Note No 42: Applying the Rural Zones, </w:t>
      </w:r>
      <w:r>
        <w:rPr>
          <w:w w:val="105"/>
          <w:sz w:val="13"/>
        </w:rPr>
        <w:t>June </w:t>
      </w:r>
      <w:r>
        <w:rPr>
          <w:spacing w:val="-3"/>
          <w:w w:val="105"/>
          <w:sz w:val="13"/>
        </w:rPr>
        <w:t>2015 </w:t>
      </w:r>
      <w:r>
        <w:rPr>
          <w:w w:val="105"/>
          <w:sz w:val="13"/>
        </w:rPr>
        <w:t>&lt;https://</w:t>
      </w:r>
      <w:hyperlink r:id="rId92">
        <w:r>
          <w:rPr>
            <w:w w:val="105"/>
            <w:sz w:val="13"/>
          </w:rPr>
          <w:t>www.planning.vic.gov.au/resource-</w:t>
        </w:r>
      </w:hyperlink>
      <w:r>
        <w:rPr>
          <w:w w:val="105"/>
          <w:sz w:val="13"/>
        </w:rPr>
        <w:t> library/planning-practice-notes&gt;.</w:t>
      </w:r>
    </w:p>
    <w:p>
      <w:pPr>
        <w:pStyle w:val="ListParagraph"/>
        <w:numPr>
          <w:ilvl w:val="0"/>
          <w:numId w:val="47"/>
        </w:numPr>
        <w:tabs>
          <w:tab w:pos="2381" w:val="left" w:leader="none"/>
          <w:tab w:pos="2382" w:val="left" w:leader="none"/>
        </w:tabs>
        <w:spacing w:line="240" w:lineRule="auto" w:before="6" w:after="0"/>
        <w:ind w:left="2381" w:right="0" w:hanging="794"/>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4"/>
          <w:w w:val="105"/>
          <w:sz w:val="13"/>
        </w:rPr>
        <w:t> </w:t>
      </w:r>
      <w:r>
        <w:rPr>
          <w:spacing w:val="2"/>
          <w:w w:val="105"/>
          <w:sz w:val="13"/>
        </w:rPr>
        <w:t>(Vic),</w:t>
      </w:r>
      <w:r>
        <w:rPr>
          <w:spacing w:val="5"/>
          <w:w w:val="105"/>
          <w:sz w:val="13"/>
        </w:rPr>
        <w:t> </w:t>
      </w:r>
      <w:r>
        <w:rPr>
          <w:i/>
          <w:w w:val="105"/>
          <w:sz w:val="13"/>
        </w:rPr>
        <w:t>Victoria</w:t>
      </w:r>
      <w:r>
        <w:rPr>
          <w:i/>
          <w:spacing w:val="5"/>
          <w:w w:val="105"/>
          <w:sz w:val="13"/>
        </w:rPr>
        <w:t> </w:t>
      </w:r>
      <w:r>
        <w:rPr>
          <w:i/>
          <w:w w:val="105"/>
          <w:sz w:val="13"/>
        </w:rPr>
        <w:t>Planning</w:t>
      </w:r>
      <w:r>
        <w:rPr>
          <w:i/>
          <w:spacing w:val="5"/>
          <w:w w:val="105"/>
          <w:sz w:val="13"/>
        </w:rPr>
        <w:t> </w:t>
      </w:r>
      <w:r>
        <w:rPr>
          <w:i/>
          <w:w w:val="105"/>
          <w:sz w:val="13"/>
        </w:rPr>
        <w:t>Provisions</w:t>
      </w:r>
      <w:r>
        <w:rPr>
          <w:i/>
          <w:spacing w:val="5"/>
          <w:w w:val="105"/>
          <w:sz w:val="13"/>
        </w:rPr>
        <w:t> </w:t>
      </w:r>
      <w:r>
        <w:rPr>
          <w:spacing w:val="-5"/>
          <w:w w:val="105"/>
          <w:sz w:val="13"/>
        </w:rPr>
        <w:t>(11</w:t>
      </w:r>
      <w:r>
        <w:rPr>
          <w:spacing w:val="5"/>
          <w:w w:val="105"/>
          <w:sz w:val="13"/>
        </w:rPr>
        <w:t> </w:t>
      </w:r>
      <w:r>
        <w:rPr>
          <w:w w:val="105"/>
          <w:sz w:val="13"/>
        </w:rPr>
        <w:t>April</w:t>
      </w:r>
      <w:r>
        <w:rPr>
          <w:spacing w:val="5"/>
          <w:w w:val="105"/>
          <w:sz w:val="13"/>
        </w:rPr>
        <w:t> </w:t>
      </w:r>
      <w:r>
        <w:rPr>
          <w:w w:val="105"/>
          <w:sz w:val="13"/>
        </w:rPr>
        <w:t>2019)</w:t>
      </w:r>
      <w:r>
        <w:rPr>
          <w:spacing w:val="5"/>
          <w:w w:val="105"/>
          <w:sz w:val="13"/>
        </w:rPr>
        <w:t> </w:t>
      </w:r>
      <w:r>
        <w:rPr>
          <w:w w:val="105"/>
          <w:sz w:val="13"/>
        </w:rPr>
        <w:t>cl</w:t>
      </w:r>
      <w:r>
        <w:rPr>
          <w:spacing w:val="5"/>
          <w:w w:val="105"/>
          <w:sz w:val="13"/>
        </w:rPr>
        <w:t> </w:t>
      </w:r>
      <w:r>
        <w:rPr>
          <w:spacing w:val="2"/>
          <w:w w:val="105"/>
          <w:sz w:val="13"/>
        </w:rPr>
        <w:t>35.04-05.</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BodyText"/>
        <w:spacing w:before="91"/>
        <w:ind w:left="2721"/>
      </w:pPr>
      <w:r>
        <w:rPr>
          <w:w w:val="105"/>
        </w:rPr>
        <w:t>urban areas forming a ring around metropolitan Melbourne.</w:t>
      </w:r>
      <w:r>
        <w:rPr>
          <w:w w:val="105"/>
          <w:position w:val="7"/>
          <w:sz w:val="12"/>
        </w:rPr>
        <w:t>67 </w:t>
      </w:r>
      <w:r>
        <w:rPr>
          <w:w w:val="105"/>
        </w:rPr>
        <w:t>These areas of</w:t>
      </w:r>
    </w:p>
    <w:p>
      <w:pPr>
        <w:pStyle w:val="BodyText"/>
        <w:spacing w:line="242" w:lineRule="auto" w:before="4"/>
        <w:ind w:left="2721" w:right="1810"/>
        <w:rPr>
          <w:sz w:val="12"/>
        </w:rPr>
      </w:pPr>
      <w:r>
        <w:rPr>
          <w:spacing w:val="-3"/>
        </w:rPr>
        <w:t>land are </w:t>
      </w:r>
      <w:r>
        <w:rPr/>
        <w:t>recognised and protected </w:t>
      </w:r>
      <w:r>
        <w:rPr>
          <w:spacing w:val="-3"/>
        </w:rPr>
        <w:t>for </w:t>
      </w:r>
      <w:r>
        <w:rPr/>
        <w:t>a variety of purposes, </w:t>
      </w:r>
      <w:r>
        <w:rPr>
          <w:spacing w:val="-3"/>
        </w:rPr>
        <w:t>including agricultural, environmental, historic, </w:t>
      </w:r>
      <w:r>
        <w:rPr/>
        <w:t>landscape or </w:t>
      </w:r>
      <w:r>
        <w:rPr>
          <w:spacing w:val="-3"/>
        </w:rPr>
        <w:t>recreational values, </w:t>
      </w:r>
      <w:r>
        <w:rPr/>
        <w:t>or </w:t>
      </w:r>
      <w:r>
        <w:rPr>
          <w:spacing w:val="-3"/>
        </w:rPr>
        <w:t>mineral </w:t>
      </w:r>
      <w:r>
        <w:rPr/>
        <w:t>and stone resources.</w:t>
      </w:r>
      <w:r>
        <w:rPr>
          <w:position w:val="7"/>
          <w:sz w:val="12"/>
        </w:rPr>
        <w:t>68 </w:t>
      </w:r>
      <w:r>
        <w:rPr/>
        <w:t>Green wedge zones can be used </w:t>
      </w:r>
      <w:r>
        <w:rPr>
          <w:spacing w:val="-3"/>
        </w:rPr>
        <w:t>to </w:t>
      </w:r>
      <w:r>
        <w:rPr/>
        <w:t>support </w:t>
      </w:r>
      <w:r>
        <w:rPr>
          <w:spacing w:val="-3"/>
        </w:rPr>
        <w:t>rural living. </w:t>
      </w:r>
      <w:r>
        <w:rPr/>
        <w:t>One of  the purposes a Green Wedge A Zone is </w:t>
      </w:r>
      <w:r>
        <w:rPr>
          <w:spacing w:val="-3"/>
        </w:rPr>
        <w:t>to ‘recognise </w:t>
      </w:r>
      <w:r>
        <w:rPr/>
        <w:t>and protect the amenity of existing </w:t>
      </w:r>
      <w:r>
        <w:rPr>
          <w:spacing w:val="-3"/>
        </w:rPr>
        <w:t>rural living</w:t>
      </w:r>
      <w:r>
        <w:rPr>
          <w:spacing w:val="20"/>
        </w:rPr>
        <w:t> </w:t>
      </w:r>
      <w:r>
        <w:rPr>
          <w:spacing w:val="-5"/>
        </w:rPr>
        <w:t>areas’.</w:t>
      </w:r>
      <w:r>
        <w:rPr>
          <w:spacing w:val="-5"/>
          <w:position w:val="7"/>
          <w:sz w:val="12"/>
        </w:rPr>
        <w:t>69</w:t>
      </w:r>
    </w:p>
    <w:p>
      <w:pPr>
        <w:pStyle w:val="ListParagraph"/>
        <w:numPr>
          <w:ilvl w:val="1"/>
          <w:numId w:val="47"/>
        </w:numPr>
        <w:tabs>
          <w:tab w:pos="2721" w:val="left" w:leader="none"/>
          <w:tab w:pos="2722" w:val="left" w:leader="none"/>
        </w:tabs>
        <w:spacing w:line="242" w:lineRule="auto" w:before="91" w:after="0"/>
        <w:ind w:left="2721" w:right="2491" w:hanging="340"/>
        <w:jc w:val="left"/>
        <w:rPr>
          <w:sz w:val="21"/>
        </w:rPr>
      </w:pPr>
      <w:r>
        <w:rPr>
          <w:w w:val="105"/>
          <w:sz w:val="21"/>
        </w:rPr>
        <w:t>The </w:t>
      </w:r>
      <w:r>
        <w:rPr>
          <w:spacing w:val="-3"/>
          <w:w w:val="105"/>
          <w:sz w:val="21"/>
        </w:rPr>
        <w:t>Rural </w:t>
      </w:r>
      <w:r>
        <w:rPr>
          <w:w w:val="105"/>
          <w:sz w:val="21"/>
        </w:rPr>
        <w:t>Activity Zone provides </w:t>
      </w:r>
      <w:r>
        <w:rPr>
          <w:spacing w:val="-3"/>
          <w:w w:val="105"/>
          <w:sz w:val="21"/>
        </w:rPr>
        <w:t>for </w:t>
      </w:r>
      <w:r>
        <w:rPr>
          <w:w w:val="105"/>
          <w:sz w:val="21"/>
        </w:rPr>
        <w:t>the use of </w:t>
      </w:r>
      <w:r>
        <w:rPr>
          <w:spacing w:val="-3"/>
          <w:w w:val="105"/>
          <w:sz w:val="21"/>
        </w:rPr>
        <w:t>land for agriculture, such </w:t>
      </w:r>
      <w:r>
        <w:rPr>
          <w:w w:val="105"/>
          <w:sz w:val="21"/>
        </w:rPr>
        <w:t>as the primary production of </w:t>
      </w:r>
      <w:r>
        <w:rPr>
          <w:spacing w:val="-3"/>
          <w:w w:val="105"/>
          <w:sz w:val="21"/>
        </w:rPr>
        <w:t>plant </w:t>
      </w:r>
      <w:r>
        <w:rPr>
          <w:w w:val="105"/>
          <w:sz w:val="21"/>
        </w:rPr>
        <w:t>or </w:t>
      </w:r>
      <w:r>
        <w:rPr>
          <w:spacing w:val="-3"/>
          <w:w w:val="105"/>
          <w:sz w:val="21"/>
        </w:rPr>
        <w:t>animal produce, </w:t>
      </w:r>
      <w:r>
        <w:rPr>
          <w:w w:val="105"/>
          <w:sz w:val="21"/>
        </w:rPr>
        <w:t>and </w:t>
      </w:r>
      <w:r>
        <w:rPr>
          <w:spacing w:val="-3"/>
          <w:w w:val="105"/>
          <w:sz w:val="21"/>
        </w:rPr>
        <w:t>for </w:t>
      </w:r>
      <w:r>
        <w:rPr>
          <w:w w:val="105"/>
          <w:sz w:val="21"/>
        </w:rPr>
        <w:t>uses of </w:t>
      </w:r>
      <w:r>
        <w:rPr>
          <w:spacing w:val="-3"/>
          <w:w w:val="105"/>
          <w:sz w:val="21"/>
        </w:rPr>
        <w:t>land</w:t>
      </w:r>
      <w:r>
        <w:rPr>
          <w:spacing w:val="-34"/>
          <w:w w:val="105"/>
          <w:sz w:val="21"/>
        </w:rPr>
        <w:t> </w:t>
      </w:r>
      <w:r>
        <w:rPr>
          <w:w w:val="105"/>
          <w:sz w:val="21"/>
        </w:rPr>
        <w:t>and</w:t>
      </w:r>
    </w:p>
    <w:p>
      <w:pPr>
        <w:pStyle w:val="BodyText"/>
        <w:spacing w:before="2"/>
        <w:ind w:left="2721"/>
      </w:pPr>
      <w:r>
        <w:rPr>
          <w:w w:val="105"/>
        </w:rPr>
        <w:t>development compatible with agricultural uses.</w:t>
      </w:r>
      <w:r>
        <w:rPr>
          <w:w w:val="105"/>
          <w:position w:val="7"/>
          <w:sz w:val="12"/>
        </w:rPr>
        <w:t>70 </w:t>
      </w:r>
      <w:r>
        <w:rPr>
          <w:w w:val="105"/>
        </w:rPr>
        <w:t>While a dwelling may be used</w:t>
      </w:r>
    </w:p>
    <w:p>
      <w:pPr>
        <w:pStyle w:val="BodyText"/>
        <w:spacing w:line="242" w:lineRule="auto" w:before="3"/>
        <w:ind w:left="2721" w:right="1636"/>
        <w:rPr>
          <w:sz w:val="12"/>
        </w:rPr>
      </w:pPr>
      <w:r>
        <w:rPr>
          <w:spacing w:val="-3"/>
          <w:w w:val="105"/>
        </w:rPr>
        <w:t>for accommodation </w:t>
      </w:r>
      <w:r>
        <w:rPr>
          <w:w w:val="105"/>
        </w:rPr>
        <w:t>purposes, this use must be </w:t>
      </w:r>
      <w:r>
        <w:rPr>
          <w:spacing w:val="-3"/>
          <w:w w:val="105"/>
        </w:rPr>
        <w:t>compatible </w:t>
      </w:r>
      <w:r>
        <w:rPr>
          <w:w w:val="105"/>
        </w:rPr>
        <w:t>with </w:t>
      </w:r>
      <w:r>
        <w:rPr>
          <w:spacing w:val="-3"/>
          <w:w w:val="105"/>
        </w:rPr>
        <w:t>agriculture </w:t>
      </w:r>
      <w:r>
        <w:rPr>
          <w:w w:val="105"/>
        </w:rPr>
        <w:t>and the </w:t>
      </w:r>
      <w:r>
        <w:rPr>
          <w:spacing w:val="-3"/>
          <w:w w:val="105"/>
        </w:rPr>
        <w:t>environmental </w:t>
      </w:r>
      <w:r>
        <w:rPr>
          <w:w w:val="105"/>
        </w:rPr>
        <w:t>and landscape characteristics of the </w:t>
      </w:r>
      <w:r>
        <w:rPr>
          <w:spacing w:val="-5"/>
          <w:w w:val="105"/>
        </w:rPr>
        <w:t>area.</w:t>
      </w:r>
      <w:r>
        <w:rPr>
          <w:spacing w:val="-5"/>
          <w:w w:val="105"/>
          <w:position w:val="7"/>
          <w:sz w:val="12"/>
        </w:rPr>
        <w:t>71</w:t>
      </w:r>
    </w:p>
    <w:p>
      <w:pPr>
        <w:pStyle w:val="ListParagraph"/>
        <w:numPr>
          <w:ilvl w:val="1"/>
          <w:numId w:val="47"/>
        </w:numPr>
        <w:tabs>
          <w:tab w:pos="2721" w:val="left" w:leader="none"/>
          <w:tab w:pos="2722" w:val="left" w:leader="none"/>
        </w:tabs>
        <w:spacing w:line="242" w:lineRule="auto" w:before="88" w:after="0"/>
        <w:ind w:left="2721" w:right="1680" w:hanging="340"/>
        <w:jc w:val="left"/>
        <w:rPr>
          <w:sz w:val="21"/>
        </w:rPr>
      </w:pPr>
      <w:r>
        <w:rPr>
          <w:w w:val="105"/>
          <w:sz w:val="21"/>
        </w:rPr>
        <w:t>The </w:t>
      </w:r>
      <w:r>
        <w:rPr>
          <w:spacing w:val="-3"/>
          <w:w w:val="105"/>
          <w:sz w:val="21"/>
        </w:rPr>
        <w:t>Rural Conservation </w:t>
      </w:r>
      <w:r>
        <w:rPr>
          <w:w w:val="105"/>
          <w:sz w:val="21"/>
        </w:rPr>
        <w:t>Zone protects and </w:t>
      </w:r>
      <w:r>
        <w:rPr>
          <w:spacing w:val="-3"/>
          <w:w w:val="105"/>
          <w:sz w:val="21"/>
        </w:rPr>
        <w:t>enhances </w:t>
      </w:r>
      <w:r>
        <w:rPr>
          <w:w w:val="105"/>
          <w:sz w:val="21"/>
        </w:rPr>
        <w:t>the </w:t>
      </w:r>
      <w:r>
        <w:rPr>
          <w:spacing w:val="-3"/>
          <w:w w:val="105"/>
          <w:sz w:val="21"/>
        </w:rPr>
        <w:t>natural resources </w:t>
      </w:r>
      <w:r>
        <w:rPr>
          <w:w w:val="105"/>
          <w:sz w:val="21"/>
        </w:rPr>
        <w:t>and biodiversity of the </w:t>
      </w:r>
      <w:r>
        <w:rPr>
          <w:spacing w:val="-3"/>
          <w:w w:val="105"/>
          <w:sz w:val="21"/>
        </w:rPr>
        <w:t>area </w:t>
      </w:r>
      <w:r>
        <w:rPr>
          <w:w w:val="105"/>
          <w:sz w:val="21"/>
        </w:rPr>
        <w:t>and imposes </w:t>
      </w:r>
      <w:r>
        <w:rPr>
          <w:spacing w:val="-2"/>
          <w:w w:val="105"/>
          <w:sz w:val="21"/>
        </w:rPr>
        <w:t>limits </w:t>
      </w:r>
      <w:r>
        <w:rPr>
          <w:w w:val="105"/>
          <w:sz w:val="21"/>
        </w:rPr>
        <w:t>on other uses of </w:t>
      </w:r>
      <w:r>
        <w:rPr>
          <w:spacing w:val="-3"/>
          <w:w w:val="105"/>
          <w:sz w:val="21"/>
        </w:rPr>
        <w:t>land, such </w:t>
      </w:r>
      <w:r>
        <w:rPr>
          <w:w w:val="105"/>
          <w:sz w:val="21"/>
        </w:rPr>
        <w:t>as </w:t>
      </w:r>
      <w:r>
        <w:rPr>
          <w:spacing w:val="-3"/>
          <w:w w:val="105"/>
          <w:sz w:val="21"/>
        </w:rPr>
        <w:t>residential dwellings.</w:t>
      </w:r>
      <w:r>
        <w:rPr>
          <w:spacing w:val="-3"/>
          <w:w w:val="105"/>
          <w:position w:val="7"/>
          <w:sz w:val="12"/>
        </w:rPr>
        <w:t>72 </w:t>
      </w:r>
      <w:r>
        <w:rPr>
          <w:w w:val="105"/>
          <w:sz w:val="21"/>
        </w:rPr>
        <w:t>One of its purposes is </w:t>
      </w:r>
      <w:r>
        <w:rPr>
          <w:spacing w:val="-3"/>
          <w:w w:val="105"/>
          <w:sz w:val="21"/>
        </w:rPr>
        <w:t>to </w:t>
      </w:r>
      <w:r>
        <w:rPr>
          <w:w w:val="105"/>
          <w:sz w:val="21"/>
        </w:rPr>
        <w:t>provide </w:t>
      </w:r>
      <w:r>
        <w:rPr>
          <w:spacing w:val="-3"/>
          <w:w w:val="105"/>
          <w:sz w:val="21"/>
        </w:rPr>
        <w:t>for agricultural </w:t>
      </w:r>
      <w:r>
        <w:rPr>
          <w:w w:val="105"/>
          <w:sz w:val="21"/>
        </w:rPr>
        <w:t>uses of </w:t>
      </w:r>
      <w:r>
        <w:rPr>
          <w:spacing w:val="-3"/>
          <w:w w:val="105"/>
          <w:sz w:val="21"/>
        </w:rPr>
        <w:t>land compatible </w:t>
      </w:r>
      <w:r>
        <w:rPr>
          <w:w w:val="105"/>
          <w:sz w:val="21"/>
        </w:rPr>
        <w:t>with</w:t>
      </w:r>
      <w:r>
        <w:rPr>
          <w:spacing w:val="-8"/>
          <w:w w:val="105"/>
          <w:sz w:val="21"/>
        </w:rPr>
        <w:t> </w:t>
      </w:r>
      <w:r>
        <w:rPr>
          <w:w w:val="105"/>
          <w:sz w:val="21"/>
        </w:rPr>
        <w:t>the</w:t>
      </w:r>
      <w:r>
        <w:rPr>
          <w:spacing w:val="-8"/>
          <w:w w:val="105"/>
          <w:sz w:val="21"/>
        </w:rPr>
        <w:t> </w:t>
      </w:r>
      <w:r>
        <w:rPr>
          <w:w w:val="105"/>
          <w:sz w:val="21"/>
        </w:rPr>
        <w:t>conservation</w:t>
      </w:r>
      <w:r>
        <w:rPr>
          <w:spacing w:val="-7"/>
          <w:w w:val="105"/>
          <w:sz w:val="21"/>
        </w:rPr>
        <w:t> </w:t>
      </w:r>
      <w:r>
        <w:rPr>
          <w:w w:val="105"/>
          <w:sz w:val="21"/>
        </w:rPr>
        <w:t>of</w:t>
      </w:r>
      <w:r>
        <w:rPr>
          <w:spacing w:val="-8"/>
          <w:w w:val="105"/>
          <w:sz w:val="21"/>
        </w:rPr>
        <w:t> </w:t>
      </w:r>
      <w:r>
        <w:rPr>
          <w:w w:val="105"/>
          <w:sz w:val="21"/>
        </w:rPr>
        <w:t>the</w:t>
      </w:r>
      <w:r>
        <w:rPr>
          <w:spacing w:val="-7"/>
          <w:w w:val="105"/>
          <w:sz w:val="21"/>
        </w:rPr>
        <w:t> </w:t>
      </w:r>
      <w:r>
        <w:rPr>
          <w:spacing w:val="-3"/>
          <w:w w:val="105"/>
          <w:sz w:val="21"/>
        </w:rPr>
        <w:t>environment</w:t>
      </w:r>
      <w:r>
        <w:rPr>
          <w:spacing w:val="-8"/>
          <w:w w:val="105"/>
          <w:sz w:val="21"/>
        </w:rPr>
        <w:t> </w:t>
      </w:r>
      <w:r>
        <w:rPr>
          <w:w w:val="105"/>
          <w:sz w:val="21"/>
        </w:rPr>
        <w:t>and</w:t>
      </w:r>
      <w:r>
        <w:rPr>
          <w:spacing w:val="-7"/>
          <w:w w:val="105"/>
          <w:sz w:val="21"/>
        </w:rPr>
        <w:t> </w:t>
      </w:r>
      <w:r>
        <w:rPr>
          <w:w w:val="105"/>
          <w:sz w:val="21"/>
        </w:rPr>
        <w:t>the</w:t>
      </w:r>
      <w:r>
        <w:rPr>
          <w:spacing w:val="-8"/>
          <w:w w:val="105"/>
          <w:sz w:val="21"/>
        </w:rPr>
        <w:t> </w:t>
      </w:r>
      <w:r>
        <w:rPr>
          <w:w w:val="105"/>
          <w:sz w:val="21"/>
        </w:rPr>
        <w:t>landscape</w:t>
      </w:r>
      <w:r>
        <w:rPr>
          <w:spacing w:val="-7"/>
          <w:w w:val="105"/>
          <w:sz w:val="21"/>
        </w:rPr>
        <w:t> </w:t>
      </w:r>
      <w:r>
        <w:rPr>
          <w:spacing w:val="-3"/>
          <w:w w:val="105"/>
          <w:sz w:val="21"/>
        </w:rPr>
        <w:t>values</w:t>
      </w:r>
      <w:r>
        <w:rPr>
          <w:spacing w:val="-8"/>
          <w:w w:val="105"/>
          <w:sz w:val="21"/>
        </w:rPr>
        <w:t> </w:t>
      </w:r>
      <w:r>
        <w:rPr>
          <w:w w:val="105"/>
          <w:sz w:val="21"/>
        </w:rPr>
        <w:t>of</w:t>
      </w:r>
      <w:r>
        <w:rPr>
          <w:spacing w:val="-7"/>
          <w:w w:val="105"/>
          <w:sz w:val="21"/>
        </w:rPr>
        <w:t> </w:t>
      </w:r>
      <w:r>
        <w:rPr>
          <w:w w:val="105"/>
          <w:sz w:val="21"/>
        </w:rPr>
        <w:t>the</w:t>
      </w:r>
      <w:r>
        <w:rPr>
          <w:spacing w:val="-8"/>
          <w:w w:val="105"/>
          <w:sz w:val="21"/>
        </w:rPr>
        <w:t> </w:t>
      </w:r>
      <w:r>
        <w:rPr>
          <w:spacing w:val="-4"/>
          <w:w w:val="105"/>
          <w:sz w:val="21"/>
        </w:rPr>
        <w:t>area.</w:t>
      </w:r>
      <w:r>
        <w:rPr>
          <w:spacing w:val="-4"/>
          <w:w w:val="105"/>
          <w:position w:val="7"/>
          <w:sz w:val="12"/>
        </w:rPr>
        <w:t>73</w:t>
      </w:r>
      <w:r>
        <w:rPr>
          <w:spacing w:val="15"/>
          <w:w w:val="105"/>
          <w:position w:val="7"/>
          <w:sz w:val="12"/>
        </w:rPr>
        <w:t> </w:t>
      </w:r>
      <w:r>
        <w:rPr>
          <w:w w:val="105"/>
          <w:sz w:val="21"/>
        </w:rPr>
        <w:t>The </w:t>
      </w:r>
      <w:r>
        <w:rPr>
          <w:spacing w:val="-3"/>
          <w:w w:val="105"/>
          <w:sz w:val="21"/>
        </w:rPr>
        <w:t>zone </w:t>
      </w:r>
      <w:r>
        <w:rPr>
          <w:w w:val="105"/>
          <w:sz w:val="21"/>
        </w:rPr>
        <w:t>allows </w:t>
      </w:r>
      <w:r>
        <w:rPr>
          <w:spacing w:val="-3"/>
          <w:w w:val="105"/>
          <w:sz w:val="21"/>
        </w:rPr>
        <w:t>land to </w:t>
      </w:r>
      <w:r>
        <w:rPr>
          <w:w w:val="105"/>
          <w:sz w:val="21"/>
        </w:rPr>
        <w:t>be used </w:t>
      </w:r>
      <w:r>
        <w:rPr>
          <w:spacing w:val="-3"/>
          <w:w w:val="105"/>
          <w:sz w:val="21"/>
        </w:rPr>
        <w:t>for </w:t>
      </w:r>
      <w:r>
        <w:rPr>
          <w:w w:val="105"/>
          <w:sz w:val="21"/>
        </w:rPr>
        <w:t>a </w:t>
      </w:r>
      <w:r>
        <w:rPr>
          <w:spacing w:val="-3"/>
          <w:w w:val="105"/>
          <w:sz w:val="21"/>
        </w:rPr>
        <w:t>dwelling </w:t>
      </w:r>
      <w:r>
        <w:rPr>
          <w:w w:val="105"/>
          <w:sz w:val="21"/>
        </w:rPr>
        <w:t>provided the </w:t>
      </w:r>
      <w:r>
        <w:rPr>
          <w:spacing w:val="-2"/>
          <w:w w:val="105"/>
          <w:sz w:val="21"/>
        </w:rPr>
        <w:t>lot </w:t>
      </w:r>
      <w:r>
        <w:rPr>
          <w:w w:val="105"/>
          <w:sz w:val="21"/>
        </w:rPr>
        <w:t>is at least two hectares in </w:t>
      </w:r>
      <w:r>
        <w:rPr>
          <w:spacing w:val="-5"/>
          <w:w w:val="105"/>
          <w:sz w:val="21"/>
        </w:rPr>
        <w:t>size.</w:t>
      </w:r>
      <w:r>
        <w:rPr>
          <w:spacing w:val="-5"/>
          <w:w w:val="105"/>
          <w:position w:val="7"/>
          <w:sz w:val="12"/>
        </w:rPr>
        <w:t>74 </w:t>
      </w:r>
      <w:r>
        <w:rPr>
          <w:w w:val="105"/>
          <w:sz w:val="21"/>
        </w:rPr>
        <w:t>A permit is </w:t>
      </w:r>
      <w:r>
        <w:rPr>
          <w:spacing w:val="-3"/>
          <w:w w:val="105"/>
          <w:sz w:val="21"/>
        </w:rPr>
        <w:t>required to </w:t>
      </w:r>
      <w:r>
        <w:rPr>
          <w:w w:val="105"/>
          <w:sz w:val="21"/>
        </w:rPr>
        <w:t>use </w:t>
      </w:r>
      <w:r>
        <w:rPr>
          <w:spacing w:val="-3"/>
          <w:w w:val="105"/>
          <w:sz w:val="21"/>
        </w:rPr>
        <w:t>dwellings </w:t>
      </w:r>
      <w:r>
        <w:rPr>
          <w:w w:val="105"/>
          <w:sz w:val="21"/>
        </w:rPr>
        <w:t>on </w:t>
      </w:r>
      <w:r>
        <w:rPr>
          <w:spacing w:val="-3"/>
          <w:w w:val="105"/>
          <w:sz w:val="21"/>
        </w:rPr>
        <w:t>land </w:t>
      </w:r>
      <w:r>
        <w:rPr>
          <w:w w:val="105"/>
          <w:sz w:val="21"/>
        </w:rPr>
        <w:t>lots </w:t>
      </w:r>
      <w:r>
        <w:rPr>
          <w:spacing w:val="-3"/>
          <w:w w:val="105"/>
          <w:sz w:val="21"/>
        </w:rPr>
        <w:t>smaller than </w:t>
      </w:r>
      <w:r>
        <w:rPr>
          <w:w w:val="105"/>
          <w:sz w:val="21"/>
        </w:rPr>
        <w:t>two</w:t>
      </w:r>
      <w:r>
        <w:rPr>
          <w:spacing w:val="11"/>
          <w:w w:val="105"/>
          <w:sz w:val="21"/>
        </w:rPr>
        <w:t> </w:t>
      </w:r>
      <w:r>
        <w:rPr>
          <w:w w:val="105"/>
          <w:sz w:val="21"/>
        </w:rPr>
        <w:t>hectares.</w:t>
      </w:r>
    </w:p>
    <w:p>
      <w:pPr>
        <w:pStyle w:val="ListParagraph"/>
        <w:numPr>
          <w:ilvl w:val="1"/>
          <w:numId w:val="47"/>
        </w:numPr>
        <w:tabs>
          <w:tab w:pos="2721" w:val="left" w:leader="none"/>
          <w:tab w:pos="2722" w:val="left" w:leader="none"/>
        </w:tabs>
        <w:spacing w:line="242" w:lineRule="auto" w:before="91" w:after="0"/>
        <w:ind w:left="2721" w:right="2016" w:hanging="340"/>
        <w:jc w:val="left"/>
        <w:rPr>
          <w:sz w:val="12"/>
        </w:rPr>
      </w:pPr>
      <w:r>
        <w:rPr>
          <w:sz w:val="21"/>
        </w:rPr>
        <w:t>The </w:t>
      </w:r>
      <w:r>
        <w:rPr>
          <w:spacing w:val="-3"/>
          <w:sz w:val="21"/>
        </w:rPr>
        <w:t>Rural </w:t>
      </w:r>
      <w:r>
        <w:rPr>
          <w:sz w:val="21"/>
        </w:rPr>
        <w:t>Living Zone provides </w:t>
      </w:r>
      <w:r>
        <w:rPr>
          <w:spacing w:val="-3"/>
          <w:sz w:val="21"/>
        </w:rPr>
        <w:t>for residential </w:t>
      </w:r>
      <w:r>
        <w:rPr>
          <w:sz w:val="21"/>
        </w:rPr>
        <w:t>uses of </w:t>
      </w:r>
      <w:r>
        <w:rPr>
          <w:spacing w:val="-3"/>
          <w:sz w:val="21"/>
        </w:rPr>
        <w:t>land </w:t>
      </w:r>
      <w:r>
        <w:rPr>
          <w:sz w:val="21"/>
        </w:rPr>
        <w:t>in </w:t>
      </w:r>
      <w:r>
        <w:rPr>
          <w:spacing w:val="-3"/>
          <w:sz w:val="21"/>
        </w:rPr>
        <w:t>rural areas. </w:t>
      </w:r>
      <w:r>
        <w:rPr>
          <w:sz w:val="21"/>
        </w:rPr>
        <w:t>Although </w:t>
      </w:r>
      <w:r>
        <w:rPr>
          <w:spacing w:val="-3"/>
          <w:sz w:val="21"/>
        </w:rPr>
        <w:t>agricultural </w:t>
      </w:r>
      <w:r>
        <w:rPr>
          <w:sz w:val="21"/>
        </w:rPr>
        <w:t>activities </w:t>
      </w:r>
      <w:r>
        <w:rPr>
          <w:spacing w:val="-3"/>
          <w:sz w:val="21"/>
        </w:rPr>
        <w:t>are </w:t>
      </w:r>
      <w:r>
        <w:rPr>
          <w:sz w:val="21"/>
        </w:rPr>
        <w:t>permitted </w:t>
      </w:r>
      <w:r>
        <w:rPr>
          <w:spacing w:val="-3"/>
          <w:sz w:val="21"/>
        </w:rPr>
        <w:t>within </w:t>
      </w:r>
      <w:r>
        <w:rPr>
          <w:sz w:val="21"/>
        </w:rPr>
        <w:t>the </w:t>
      </w:r>
      <w:r>
        <w:rPr>
          <w:spacing w:val="-4"/>
          <w:sz w:val="21"/>
        </w:rPr>
        <w:t>zone, </w:t>
      </w:r>
      <w:r>
        <w:rPr>
          <w:spacing w:val="-3"/>
          <w:sz w:val="21"/>
        </w:rPr>
        <w:t>emphasis </w:t>
      </w:r>
      <w:r>
        <w:rPr>
          <w:sz w:val="21"/>
        </w:rPr>
        <w:t>is given </w:t>
      </w:r>
      <w:r>
        <w:rPr>
          <w:spacing w:val="-3"/>
          <w:sz w:val="21"/>
        </w:rPr>
        <w:t>to </w:t>
      </w:r>
      <w:r>
        <w:rPr>
          <w:sz w:val="21"/>
        </w:rPr>
        <w:t>the protection of </w:t>
      </w:r>
      <w:r>
        <w:rPr>
          <w:spacing w:val="-3"/>
          <w:sz w:val="21"/>
        </w:rPr>
        <w:t>residential</w:t>
      </w:r>
      <w:r>
        <w:rPr>
          <w:spacing w:val="26"/>
          <w:sz w:val="21"/>
        </w:rPr>
        <w:t> </w:t>
      </w:r>
      <w:r>
        <w:rPr>
          <w:spacing w:val="-4"/>
          <w:sz w:val="21"/>
        </w:rPr>
        <w:t>amenity.</w:t>
      </w:r>
      <w:r>
        <w:rPr>
          <w:spacing w:val="-4"/>
          <w:position w:val="7"/>
          <w:sz w:val="12"/>
        </w:rPr>
        <w:t>75</w:t>
      </w:r>
    </w:p>
    <w:p>
      <w:pPr>
        <w:pStyle w:val="Heading7"/>
        <w:spacing w:before="119"/>
      </w:pPr>
      <w:r>
        <w:rPr>
          <w:color w:val="58595B"/>
          <w:w w:val="115"/>
        </w:rPr>
        <w:t>Special purpose zones</w:t>
      </w:r>
    </w:p>
    <w:p>
      <w:pPr>
        <w:pStyle w:val="ListParagraph"/>
        <w:numPr>
          <w:ilvl w:val="1"/>
          <w:numId w:val="16"/>
        </w:numPr>
        <w:tabs>
          <w:tab w:pos="2380" w:val="left" w:leader="none"/>
          <w:tab w:pos="2381" w:val="left" w:leader="none"/>
        </w:tabs>
        <w:spacing w:line="242" w:lineRule="auto" w:before="143" w:after="0"/>
        <w:ind w:left="2381" w:right="1715" w:hanging="794"/>
        <w:jc w:val="left"/>
        <w:rPr>
          <w:sz w:val="21"/>
        </w:rPr>
      </w:pPr>
      <w:r>
        <w:rPr>
          <w:w w:val="105"/>
          <w:sz w:val="21"/>
        </w:rPr>
        <w:t>Special</w:t>
      </w:r>
      <w:r>
        <w:rPr>
          <w:spacing w:val="-15"/>
          <w:w w:val="105"/>
          <w:sz w:val="21"/>
        </w:rPr>
        <w:t> </w:t>
      </w:r>
      <w:r>
        <w:rPr>
          <w:w w:val="105"/>
          <w:sz w:val="21"/>
        </w:rPr>
        <w:t>Purpose</w:t>
      </w:r>
      <w:r>
        <w:rPr>
          <w:spacing w:val="-15"/>
          <w:w w:val="105"/>
          <w:sz w:val="21"/>
        </w:rPr>
        <w:t> </w:t>
      </w:r>
      <w:r>
        <w:rPr>
          <w:w w:val="105"/>
          <w:sz w:val="21"/>
        </w:rPr>
        <w:t>Zones</w:t>
      </w:r>
      <w:r>
        <w:rPr>
          <w:spacing w:val="-15"/>
          <w:w w:val="105"/>
          <w:sz w:val="21"/>
        </w:rPr>
        <w:t> </w:t>
      </w:r>
      <w:r>
        <w:rPr>
          <w:spacing w:val="-3"/>
          <w:w w:val="105"/>
          <w:sz w:val="21"/>
        </w:rPr>
        <w:t>include</w:t>
      </w:r>
      <w:r>
        <w:rPr>
          <w:spacing w:val="-15"/>
          <w:w w:val="105"/>
          <w:sz w:val="21"/>
        </w:rPr>
        <w:t> </w:t>
      </w:r>
      <w:r>
        <w:rPr>
          <w:spacing w:val="-3"/>
          <w:w w:val="105"/>
          <w:sz w:val="21"/>
        </w:rPr>
        <w:t>nine</w:t>
      </w:r>
      <w:r>
        <w:rPr>
          <w:spacing w:val="-15"/>
          <w:w w:val="105"/>
          <w:sz w:val="21"/>
        </w:rPr>
        <w:t> </w:t>
      </w:r>
      <w:r>
        <w:rPr>
          <w:w w:val="105"/>
          <w:sz w:val="21"/>
        </w:rPr>
        <w:t>distinct</w:t>
      </w:r>
      <w:r>
        <w:rPr>
          <w:spacing w:val="-15"/>
          <w:w w:val="105"/>
          <w:sz w:val="21"/>
        </w:rPr>
        <w:t> </w:t>
      </w:r>
      <w:r>
        <w:rPr>
          <w:w w:val="105"/>
          <w:sz w:val="21"/>
        </w:rPr>
        <w:t>categories.</w:t>
      </w:r>
      <w:r>
        <w:rPr>
          <w:spacing w:val="-15"/>
          <w:w w:val="105"/>
          <w:sz w:val="21"/>
        </w:rPr>
        <w:t> </w:t>
      </w:r>
      <w:r>
        <w:rPr>
          <w:w w:val="105"/>
          <w:sz w:val="21"/>
        </w:rPr>
        <w:t>The</w:t>
      </w:r>
      <w:r>
        <w:rPr>
          <w:spacing w:val="-15"/>
          <w:w w:val="105"/>
          <w:sz w:val="21"/>
        </w:rPr>
        <w:t> </w:t>
      </w:r>
      <w:r>
        <w:rPr>
          <w:w w:val="105"/>
          <w:sz w:val="21"/>
        </w:rPr>
        <w:t>Special</w:t>
      </w:r>
      <w:r>
        <w:rPr>
          <w:spacing w:val="-15"/>
          <w:w w:val="105"/>
          <w:sz w:val="21"/>
        </w:rPr>
        <w:t> </w:t>
      </w:r>
      <w:r>
        <w:rPr>
          <w:w w:val="105"/>
          <w:sz w:val="21"/>
        </w:rPr>
        <w:t>Use</w:t>
      </w:r>
      <w:r>
        <w:rPr>
          <w:spacing w:val="-15"/>
          <w:w w:val="105"/>
          <w:sz w:val="21"/>
        </w:rPr>
        <w:t> </w:t>
      </w:r>
      <w:r>
        <w:rPr>
          <w:w w:val="105"/>
          <w:sz w:val="21"/>
        </w:rPr>
        <w:t>Zone</w:t>
      </w:r>
      <w:r>
        <w:rPr>
          <w:spacing w:val="-14"/>
          <w:w w:val="105"/>
          <w:sz w:val="21"/>
        </w:rPr>
        <w:t> </w:t>
      </w:r>
      <w:r>
        <w:rPr>
          <w:w w:val="105"/>
          <w:sz w:val="21"/>
        </w:rPr>
        <w:t>is</w:t>
      </w:r>
      <w:r>
        <w:rPr>
          <w:spacing w:val="-15"/>
          <w:w w:val="105"/>
          <w:sz w:val="21"/>
        </w:rPr>
        <w:t> </w:t>
      </w:r>
      <w:r>
        <w:rPr>
          <w:w w:val="105"/>
          <w:sz w:val="21"/>
        </w:rPr>
        <w:t>essentially a </w:t>
      </w:r>
      <w:r>
        <w:rPr>
          <w:spacing w:val="-3"/>
          <w:w w:val="105"/>
          <w:sz w:val="21"/>
        </w:rPr>
        <w:t>catch-all zone </w:t>
      </w:r>
      <w:r>
        <w:rPr>
          <w:w w:val="105"/>
          <w:sz w:val="21"/>
        </w:rPr>
        <w:t>if no other </w:t>
      </w:r>
      <w:r>
        <w:rPr>
          <w:spacing w:val="-3"/>
          <w:w w:val="105"/>
          <w:sz w:val="21"/>
        </w:rPr>
        <w:t>zoning </w:t>
      </w:r>
      <w:r>
        <w:rPr>
          <w:w w:val="105"/>
          <w:sz w:val="21"/>
        </w:rPr>
        <w:t>is </w:t>
      </w:r>
      <w:r>
        <w:rPr>
          <w:spacing w:val="-4"/>
          <w:w w:val="105"/>
          <w:sz w:val="21"/>
        </w:rPr>
        <w:t>appropriate.</w:t>
      </w:r>
      <w:r>
        <w:rPr>
          <w:spacing w:val="-4"/>
          <w:w w:val="105"/>
          <w:position w:val="7"/>
          <w:sz w:val="12"/>
        </w:rPr>
        <w:t>76 </w:t>
      </w:r>
      <w:r>
        <w:rPr>
          <w:w w:val="105"/>
          <w:sz w:val="21"/>
        </w:rPr>
        <w:t>It can also be </w:t>
      </w:r>
      <w:r>
        <w:rPr>
          <w:spacing w:val="-3"/>
          <w:w w:val="105"/>
          <w:sz w:val="21"/>
        </w:rPr>
        <w:t>considered </w:t>
      </w:r>
      <w:r>
        <w:rPr>
          <w:w w:val="105"/>
          <w:sz w:val="21"/>
        </w:rPr>
        <w:t>where the </w:t>
      </w:r>
      <w:r>
        <w:rPr>
          <w:spacing w:val="-3"/>
          <w:w w:val="105"/>
          <w:sz w:val="21"/>
        </w:rPr>
        <w:t>site</w:t>
      </w:r>
      <w:r>
        <w:rPr>
          <w:spacing w:val="4"/>
          <w:w w:val="105"/>
          <w:sz w:val="21"/>
        </w:rPr>
        <w:t> </w:t>
      </w:r>
      <w:r>
        <w:rPr>
          <w:spacing w:val="-3"/>
          <w:w w:val="105"/>
          <w:sz w:val="21"/>
        </w:rPr>
        <w:t>adjoins</w:t>
      </w:r>
      <w:r>
        <w:rPr>
          <w:spacing w:val="4"/>
          <w:w w:val="105"/>
          <w:sz w:val="21"/>
        </w:rPr>
        <w:t> </w:t>
      </w:r>
      <w:r>
        <w:rPr>
          <w:w w:val="105"/>
          <w:sz w:val="21"/>
        </w:rPr>
        <w:t>more</w:t>
      </w:r>
      <w:r>
        <w:rPr>
          <w:spacing w:val="4"/>
          <w:w w:val="105"/>
          <w:sz w:val="21"/>
        </w:rPr>
        <w:t> </w:t>
      </w:r>
      <w:r>
        <w:rPr>
          <w:spacing w:val="-3"/>
          <w:w w:val="105"/>
          <w:sz w:val="21"/>
        </w:rPr>
        <w:t>than</w:t>
      </w:r>
      <w:r>
        <w:rPr>
          <w:spacing w:val="4"/>
          <w:w w:val="105"/>
          <w:sz w:val="21"/>
        </w:rPr>
        <w:t> </w:t>
      </w:r>
      <w:r>
        <w:rPr>
          <w:w w:val="105"/>
          <w:sz w:val="21"/>
        </w:rPr>
        <w:t>one</w:t>
      </w:r>
      <w:r>
        <w:rPr>
          <w:spacing w:val="4"/>
          <w:w w:val="105"/>
          <w:sz w:val="21"/>
        </w:rPr>
        <w:t> </w:t>
      </w:r>
      <w:r>
        <w:rPr>
          <w:spacing w:val="-3"/>
          <w:w w:val="105"/>
          <w:sz w:val="21"/>
        </w:rPr>
        <w:t>zone</w:t>
      </w:r>
      <w:r>
        <w:rPr>
          <w:spacing w:val="4"/>
          <w:w w:val="105"/>
          <w:sz w:val="21"/>
        </w:rPr>
        <w:t> </w:t>
      </w:r>
      <w:r>
        <w:rPr>
          <w:w w:val="105"/>
          <w:sz w:val="21"/>
        </w:rPr>
        <w:t>and</w:t>
      </w:r>
      <w:r>
        <w:rPr>
          <w:spacing w:val="4"/>
          <w:w w:val="105"/>
          <w:sz w:val="21"/>
        </w:rPr>
        <w:t> </w:t>
      </w:r>
      <w:r>
        <w:rPr>
          <w:w w:val="105"/>
          <w:sz w:val="21"/>
        </w:rPr>
        <w:t>the</w:t>
      </w:r>
      <w:r>
        <w:rPr>
          <w:spacing w:val="4"/>
          <w:w w:val="105"/>
          <w:sz w:val="21"/>
        </w:rPr>
        <w:t> </w:t>
      </w:r>
      <w:r>
        <w:rPr>
          <w:w w:val="105"/>
          <w:sz w:val="21"/>
        </w:rPr>
        <w:t>new</w:t>
      </w:r>
      <w:r>
        <w:rPr>
          <w:spacing w:val="5"/>
          <w:w w:val="105"/>
          <w:sz w:val="21"/>
        </w:rPr>
        <w:t> </w:t>
      </w:r>
      <w:r>
        <w:rPr>
          <w:w w:val="105"/>
          <w:sz w:val="21"/>
        </w:rPr>
        <w:t>use</w:t>
      </w:r>
      <w:r>
        <w:rPr>
          <w:spacing w:val="4"/>
          <w:w w:val="105"/>
          <w:sz w:val="21"/>
        </w:rPr>
        <w:t> </w:t>
      </w:r>
      <w:r>
        <w:rPr>
          <w:w w:val="105"/>
          <w:sz w:val="21"/>
        </w:rPr>
        <w:t>of</w:t>
      </w:r>
      <w:r>
        <w:rPr>
          <w:spacing w:val="4"/>
          <w:w w:val="105"/>
          <w:sz w:val="21"/>
        </w:rPr>
        <w:t> </w:t>
      </w:r>
      <w:r>
        <w:rPr>
          <w:spacing w:val="-3"/>
          <w:w w:val="105"/>
          <w:sz w:val="21"/>
        </w:rPr>
        <w:t>land</w:t>
      </w:r>
      <w:r>
        <w:rPr>
          <w:spacing w:val="4"/>
          <w:w w:val="105"/>
          <w:sz w:val="21"/>
        </w:rPr>
        <w:t> </w:t>
      </w:r>
      <w:r>
        <w:rPr>
          <w:w w:val="105"/>
          <w:sz w:val="21"/>
        </w:rPr>
        <w:t>is</w:t>
      </w:r>
      <w:r>
        <w:rPr>
          <w:spacing w:val="4"/>
          <w:w w:val="105"/>
          <w:sz w:val="21"/>
        </w:rPr>
        <w:t> </w:t>
      </w:r>
      <w:r>
        <w:rPr>
          <w:spacing w:val="-2"/>
          <w:w w:val="105"/>
          <w:sz w:val="21"/>
        </w:rPr>
        <w:t>not</w:t>
      </w:r>
      <w:r>
        <w:rPr>
          <w:spacing w:val="4"/>
          <w:w w:val="105"/>
          <w:sz w:val="21"/>
        </w:rPr>
        <w:t> </w:t>
      </w:r>
      <w:r>
        <w:rPr>
          <w:spacing w:val="-3"/>
          <w:w w:val="105"/>
          <w:sz w:val="21"/>
        </w:rPr>
        <w:t>known.</w:t>
      </w:r>
      <w:r>
        <w:rPr>
          <w:spacing w:val="-3"/>
          <w:w w:val="105"/>
          <w:position w:val="7"/>
          <w:sz w:val="12"/>
        </w:rPr>
        <w:t>77</w:t>
      </w:r>
    </w:p>
    <w:p>
      <w:pPr>
        <w:pStyle w:val="ListParagraph"/>
        <w:numPr>
          <w:ilvl w:val="1"/>
          <w:numId w:val="16"/>
        </w:numPr>
        <w:tabs>
          <w:tab w:pos="2381" w:val="left" w:leader="none"/>
          <w:tab w:pos="2382" w:val="left" w:leader="none"/>
        </w:tabs>
        <w:spacing w:line="242" w:lineRule="auto" w:before="123" w:after="0"/>
        <w:ind w:left="2381" w:right="1720" w:hanging="794"/>
        <w:jc w:val="left"/>
        <w:rPr>
          <w:sz w:val="21"/>
        </w:rPr>
      </w:pPr>
      <w:r>
        <w:rPr>
          <w:w w:val="105"/>
          <w:sz w:val="21"/>
        </w:rPr>
        <w:t>The </w:t>
      </w:r>
      <w:r>
        <w:rPr>
          <w:spacing w:val="-3"/>
          <w:w w:val="105"/>
          <w:sz w:val="21"/>
        </w:rPr>
        <w:t>Capital City Zone, </w:t>
      </w:r>
      <w:r>
        <w:rPr>
          <w:spacing w:val="-2"/>
          <w:w w:val="105"/>
          <w:sz w:val="21"/>
        </w:rPr>
        <w:t>Docklands </w:t>
      </w:r>
      <w:r>
        <w:rPr>
          <w:spacing w:val="-3"/>
          <w:w w:val="105"/>
          <w:sz w:val="21"/>
        </w:rPr>
        <w:t>Zone, </w:t>
      </w:r>
      <w:r>
        <w:rPr>
          <w:w w:val="105"/>
          <w:sz w:val="21"/>
        </w:rPr>
        <w:t>Activity </w:t>
      </w:r>
      <w:r>
        <w:rPr>
          <w:spacing w:val="-4"/>
          <w:w w:val="105"/>
          <w:sz w:val="21"/>
        </w:rPr>
        <w:t>Centre </w:t>
      </w:r>
      <w:r>
        <w:rPr>
          <w:spacing w:val="-3"/>
          <w:w w:val="105"/>
          <w:sz w:val="21"/>
        </w:rPr>
        <w:t>Zone, </w:t>
      </w:r>
      <w:r>
        <w:rPr>
          <w:w w:val="105"/>
          <w:sz w:val="21"/>
        </w:rPr>
        <w:t>Priority Development </w:t>
      </w:r>
      <w:r>
        <w:rPr>
          <w:spacing w:val="-3"/>
          <w:w w:val="105"/>
          <w:sz w:val="21"/>
        </w:rPr>
        <w:t>Zone, </w:t>
      </w:r>
      <w:r>
        <w:rPr>
          <w:w w:val="105"/>
          <w:sz w:val="21"/>
        </w:rPr>
        <w:t>and the </w:t>
      </w:r>
      <w:r>
        <w:rPr>
          <w:spacing w:val="-3"/>
          <w:w w:val="105"/>
          <w:sz w:val="21"/>
        </w:rPr>
        <w:t>Comprehensive </w:t>
      </w:r>
      <w:r>
        <w:rPr>
          <w:w w:val="105"/>
          <w:sz w:val="21"/>
        </w:rPr>
        <w:t>Development Zone </w:t>
      </w:r>
      <w:r>
        <w:rPr>
          <w:spacing w:val="-3"/>
          <w:w w:val="105"/>
          <w:sz w:val="21"/>
        </w:rPr>
        <w:t>all </w:t>
      </w:r>
      <w:r>
        <w:rPr>
          <w:w w:val="105"/>
          <w:sz w:val="21"/>
        </w:rPr>
        <w:t>permit </w:t>
      </w:r>
      <w:r>
        <w:rPr>
          <w:spacing w:val="-3"/>
          <w:w w:val="105"/>
          <w:sz w:val="21"/>
        </w:rPr>
        <w:t>residential land </w:t>
      </w:r>
      <w:r>
        <w:rPr>
          <w:w w:val="105"/>
          <w:sz w:val="21"/>
        </w:rPr>
        <w:t>use </w:t>
      </w:r>
      <w:r>
        <w:rPr>
          <w:spacing w:val="-3"/>
          <w:w w:val="105"/>
          <w:sz w:val="21"/>
        </w:rPr>
        <w:t>within </w:t>
      </w:r>
      <w:r>
        <w:rPr>
          <w:w w:val="105"/>
          <w:sz w:val="21"/>
        </w:rPr>
        <w:t>urban </w:t>
      </w:r>
      <w:r>
        <w:rPr>
          <w:spacing w:val="-3"/>
          <w:w w:val="105"/>
          <w:sz w:val="21"/>
        </w:rPr>
        <w:t>areas.</w:t>
      </w:r>
      <w:r>
        <w:rPr>
          <w:spacing w:val="-3"/>
          <w:w w:val="105"/>
          <w:position w:val="7"/>
          <w:sz w:val="12"/>
        </w:rPr>
        <w:t>78 </w:t>
      </w:r>
      <w:r>
        <w:rPr>
          <w:w w:val="105"/>
          <w:sz w:val="21"/>
        </w:rPr>
        <w:t>The purpose of the Urban Growth Zone is </w:t>
      </w:r>
      <w:r>
        <w:rPr>
          <w:spacing w:val="-3"/>
          <w:w w:val="105"/>
          <w:sz w:val="21"/>
        </w:rPr>
        <w:t>to manage </w:t>
      </w:r>
      <w:r>
        <w:rPr>
          <w:w w:val="105"/>
          <w:sz w:val="21"/>
        </w:rPr>
        <w:t>the </w:t>
      </w:r>
      <w:r>
        <w:rPr>
          <w:spacing w:val="-3"/>
          <w:w w:val="105"/>
          <w:sz w:val="21"/>
        </w:rPr>
        <w:t>transition </w:t>
      </w:r>
      <w:r>
        <w:rPr>
          <w:w w:val="105"/>
          <w:sz w:val="21"/>
        </w:rPr>
        <w:t>of </w:t>
      </w:r>
      <w:r>
        <w:rPr>
          <w:spacing w:val="-3"/>
          <w:w w:val="105"/>
          <w:sz w:val="21"/>
        </w:rPr>
        <w:t>nonurban land </w:t>
      </w:r>
      <w:r>
        <w:rPr>
          <w:spacing w:val="-4"/>
          <w:w w:val="105"/>
          <w:sz w:val="21"/>
        </w:rPr>
        <w:t>into </w:t>
      </w:r>
      <w:r>
        <w:rPr>
          <w:w w:val="105"/>
          <w:sz w:val="21"/>
        </w:rPr>
        <w:t>urban </w:t>
      </w:r>
      <w:r>
        <w:rPr>
          <w:spacing w:val="-3"/>
          <w:w w:val="105"/>
          <w:sz w:val="21"/>
        </w:rPr>
        <w:t>land, </w:t>
      </w:r>
      <w:r>
        <w:rPr>
          <w:w w:val="105"/>
          <w:sz w:val="21"/>
        </w:rPr>
        <w:t>with a </w:t>
      </w:r>
      <w:r>
        <w:rPr>
          <w:spacing w:val="-3"/>
          <w:w w:val="105"/>
          <w:sz w:val="21"/>
        </w:rPr>
        <w:t>significant </w:t>
      </w:r>
      <w:r>
        <w:rPr>
          <w:w w:val="105"/>
          <w:sz w:val="21"/>
        </w:rPr>
        <w:t>portion of this </w:t>
      </w:r>
      <w:r>
        <w:rPr>
          <w:spacing w:val="-3"/>
          <w:w w:val="105"/>
          <w:sz w:val="21"/>
        </w:rPr>
        <w:t>land to </w:t>
      </w:r>
      <w:r>
        <w:rPr>
          <w:w w:val="105"/>
          <w:sz w:val="21"/>
        </w:rPr>
        <w:t>be </w:t>
      </w:r>
      <w:r>
        <w:rPr>
          <w:spacing w:val="-3"/>
          <w:w w:val="105"/>
          <w:sz w:val="21"/>
        </w:rPr>
        <w:t>rezoned for residential </w:t>
      </w:r>
      <w:r>
        <w:rPr>
          <w:spacing w:val="-4"/>
          <w:w w:val="105"/>
          <w:sz w:val="21"/>
        </w:rPr>
        <w:t>use.</w:t>
      </w:r>
      <w:r>
        <w:rPr>
          <w:spacing w:val="-4"/>
          <w:w w:val="105"/>
          <w:position w:val="7"/>
          <w:sz w:val="12"/>
        </w:rPr>
        <w:t>79</w:t>
      </w:r>
    </w:p>
    <w:p>
      <w:pPr>
        <w:pStyle w:val="BodyText"/>
        <w:rPr>
          <w:sz w:val="20"/>
        </w:rPr>
      </w:pPr>
    </w:p>
    <w:p>
      <w:pPr>
        <w:pStyle w:val="BodyText"/>
        <w:rPr>
          <w:sz w:val="20"/>
        </w:rPr>
      </w:pPr>
    </w:p>
    <w:p>
      <w:pPr>
        <w:pStyle w:val="BodyText"/>
        <w:rPr>
          <w:sz w:val="20"/>
        </w:rPr>
      </w:pPr>
    </w:p>
    <w:p>
      <w:pPr>
        <w:pStyle w:val="BodyText"/>
        <w:spacing w:before="10"/>
        <w:rPr>
          <w:sz w:val="23"/>
        </w:rPr>
      </w:pPr>
      <w:r>
        <w:rPr/>
        <w:pict>
          <v:line style="position:absolute;mso-position-horizontal-relative:page;mso-position-vertical-relative:paragraph;z-index:3536;mso-wrap-distance-left:0;mso-wrap-distance-right:0" from="79.370102pt,17.021475pt" to="515.905102pt,17.021475pt" stroked="true" strokeweight="1pt" strokecolor="#c9d2cb">
            <v:stroke dashstyle="solid"/>
            <w10:wrap type="topAndBottom"/>
          </v:line>
        </w:pict>
      </w:r>
    </w:p>
    <w:p>
      <w:pPr>
        <w:pStyle w:val="ListParagraph"/>
        <w:numPr>
          <w:ilvl w:val="0"/>
          <w:numId w:val="47"/>
        </w:numPr>
        <w:tabs>
          <w:tab w:pos="2381" w:val="left" w:leader="none"/>
          <w:tab w:pos="2382" w:val="left" w:leader="none"/>
        </w:tabs>
        <w:spacing w:line="240" w:lineRule="auto" w:before="117" w:after="0"/>
        <w:ind w:left="2381" w:right="1725" w:hanging="794"/>
        <w:jc w:val="left"/>
        <w:rPr>
          <w:sz w:val="13"/>
        </w:rPr>
      </w:pPr>
      <w:r>
        <w:rPr>
          <w:i/>
          <w:w w:val="105"/>
          <w:sz w:val="13"/>
        </w:rPr>
        <w:t>Planning and Environment Act 1987 </w:t>
      </w:r>
      <w:r>
        <w:rPr>
          <w:spacing w:val="2"/>
          <w:w w:val="105"/>
          <w:sz w:val="13"/>
        </w:rPr>
        <w:t>(Vic) </w:t>
      </w:r>
      <w:r>
        <w:rPr>
          <w:w w:val="105"/>
          <w:sz w:val="13"/>
        </w:rPr>
        <w:t>s 46AC; Department of Environment, Land, Water and Planning </w:t>
      </w:r>
      <w:r>
        <w:rPr>
          <w:spacing w:val="2"/>
          <w:w w:val="105"/>
          <w:sz w:val="13"/>
        </w:rPr>
        <w:t>(Vic), </w:t>
      </w:r>
      <w:r>
        <w:rPr>
          <w:i/>
          <w:w w:val="105"/>
          <w:sz w:val="13"/>
        </w:rPr>
        <w:t>Planning Practice Note        </w:t>
      </w:r>
      <w:r>
        <w:rPr>
          <w:i/>
          <w:w w:val="105"/>
          <w:sz w:val="13"/>
        </w:rPr>
        <w:t>No 62: Green Wedge Planning Provisions, </w:t>
      </w:r>
      <w:r>
        <w:rPr>
          <w:w w:val="105"/>
          <w:sz w:val="13"/>
        </w:rPr>
        <w:t>June </w:t>
      </w:r>
      <w:r>
        <w:rPr>
          <w:spacing w:val="-3"/>
          <w:w w:val="105"/>
          <w:sz w:val="13"/>
        </w:rPr>
        <w:t>2015 </w:t>
      </w:r>
      <w:r>
        <w:rPr>
          <w:w w:val="105"/>
          <w:sz w:val="13"/>
        </w:rPr>
        <w:t>&lt;https://</w:t>
      </w:r>
      <w:hyperlink r:id="rId93">
        <w:r>
          <w:rPr>
            <w:w w:val="105"/>
            <w:sz w:val="13"/>
          </w:rPr>
          <w:t>www.planning.vic.gov.au/resource-library/planning-practice-notes</w:t>
        </w:r>
      </w:hyperlink>
      <w:r>
        <w:rPr>
          <w:w w:val="105"/>
          <w:sz w:val="13"/>
        </w:rPr>
        <w:t>&gt;; Department</w:t>
      </w:r>
      <w:r>
        <w:rPr>
          <w:spacing w:val="5"/>
          <w:w w:val="105"/>
          <w:sz w:val="13"/>
        </w:rPr>
        <w:t> </w:t>
      </w:r>
      <w:r>
        <w:rPr>
          <w:w w:val="105"/>
          <w:sz w:val="13"/>
        </w:rPr>
        <w:t>of</w:t>
      </w:r>
      <w:r>
        <w:rPr>
          <w:spacing w:val="6"/>
          <w:w w:val="105"/>
          <w:sz w:val="13"/>
        </w:rPr>
        <w:t> </w:t>
      </w:r>
      <w:r>
        <w:rPr>
          <w:w w:val="105"/>
          <w:sz w:val="13"/>
        </w:rPr>
        <w:t>Environment,</w:t>
      </w:r>
      <w:r>
        <w:rPr>
          <w:spacing w:val="5"/>
          <w:w w:val="105"/>
          <w:sz w:val="13"/>
        </w:rPr>
        <w:t> </w:t>
      </w:r>
      <w:r>
        <w:rPr>
          <w:w w:val="105"/>
          <w:sz w:val="13"/>
        </w:rPr>
        <w:t>Land,</w:t>
      </w:r>
      <w:r>
        <w:rPr>
          <w:spacing w:val="6"/>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6"/>
          <w:w w:val="105"/>
          <w:sz w:val="13"/>
        </w:rPr>
        <w:t> </w:t>
      </w:r>
      <w:r>
        <w:rPr>
          <w:spacing w:val="2"/>
          <w:w w:val="105"/>
          <w:sz w:val="13"/>
        </w:rPr>
        <w:t>(Vic),</w:t>
      </w:r>
      <w:r>
        <w:rPr>
          <w:spacing w:val="5"/>
          <w:w w:val="105"/>
          <w:sz w:val="13"/>
        </w:rPr>
        <w:t> </w:t>
      </w:r>
      <w:r>
        <w:rPr>
          <w:i/>
          <w:w w:val="105"/>
          <w:sz w:val="13"/>
        </w:rPr>
        <w:t>Green</w:t>
      </w:r>
      <w:r>
        <w:rPr>
          <w:i/>
          <w:spacing w:val="6"/>
          <w:w w:val="105"/>
          <w:sz w:val="13"/>
        </w:rPr>
        <w:t> </w:t>
      </w:r>
      <w:r>
        <w:rPr>
          <w:i/>
          <w:w w:val="105"/>
          <w:sz w:val="13"/>
        </w:rPr>
        <w:t>Wedges</w:t>
      </w:r>
      <w:r>
        <w:rPr>
          <w:i/>
          <w:spacing w:val="5"/>
          <w:w w:val="105"/>
          <w:sz w:val="13"/>
        </w:rPr>
        <w:t> </w:t>
      </w:r>
      <w:r>
        <w:rPr>
          <w:w w:val="105"/>
          <w:sz w:val="13"/>
        </w:rPr>
        <w:t>(Web</w:t>
      </w:r>
      <w:r>
        <w:rPr>
          <w:spacing w:val="6"/>
          <w:w w:val="105"/>
          <w:sz w:val="13"/>
        </w:rPr>
        <w:t> </w:t>
      </w:r>
      <w:r>
        <w:rPr>
          <w:w w:val="105"/>
          <w:sz w:val="13"/>
        </w:rPr>
        <w:t>Page,</w:t>
      </w:r>
      <w:r>
        <w:rPr>
          <w:spacing w:val="5"/>
          <w:w w:val="105"/>
          <w:sz w:val="13"/>
        </w:rPr>
        <w:t> </w:t>
      </w:r>
      <w:r>
        <w:rPr>
          <w:w w:val="105"/>
          <w:sz w:val="13"/>
        </w:rPr>
        <w:t>2018)</w:t>
      </w:r>
      <w:r>
        <w:rPr>
          <w:spacing w:val="6"/>
          <w:w w:val="105"/>
          <w:sz w:val="13"/>
        </w:rPr>
        <w:t> </w:t>
      </w:r>
      <w:r>
        <w:rPr>
          <w:spacing w:val="2"/>
          <w:w w:val="105"/>
          <w:sz w:val="13"/>
        </w:rPr>
        <w:t>&lt;https://</w:t>
      </w:r>
      <w:hyperlink r:id="rId94">
        <w:r>
          <w:rPr>
            <w:spacing w:val="2"/>
            <w:w w:val="105"/>
            <w:sz w:val="13"/>
          </w:rPr>
          <w:t>www.planning.vic.gov.au/policy-</w:t>
        </w:r>
      </w:hyperlink>
    </w:p>
    <w:p>
      <w:pPr>
        <w:spacing w:before="4"/>
        <w:ind w:left="2381" w:right="1636" w:firstLine="0"/>
        <w:jc w:val="left"/>
        <w:rPr>
          <w:sz w:val="13"/>
        </w:rPr>
      </w:pPr>
      <w:r>
        <w:rPr>
          <w:w w:val="105"/>
          <w:sz w:val="13"/>
        </w:rPr>
        <w:t>and-strategy/green-wedges&gt;. The landscape ranges from the Mornington Peninsula coastline, to the open basalt plains of the west, to the highly scenic countryside of the Yarra Valley.</w:t>
      </w:r>
    </w:p>
    <w:p>
      <w:pPr>
        <w:pStyle w:val="ListParagraph"/>
        <w:numPr>
          <w:ilvl w:val="0"/>
          <w:numId w:val="47"/>
        </w:numPr>
        <w:tabs>
          <w:tab w:pos="2381" w:val="left" w:leader="none"/>
          <w:tab w:pos="2382" w:val="left" w:leader="none"/>
        </w:tabs>
        <w:spacing w:line="240" w:lineRule="auto" w:before="3" w:after="0"/>
        <w:ind w:left="2381" w:right="0" w:hanging="794"/>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6"/>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6"/>
          <w:w w:val="105"/>
          <w:sz w:val="13"/>
        </w:rPr>
        <w:t> </w:t>
      </w:r>
      <w:r>
        <w:rPr>
          <w:w w:val="105"/>
          <w:sz w:val="13"/>
        </w:rPr>
        <w:t>Planning</w:t>
      </w:r>
      <w:r>
        <w:rPr>
          <w:spacing w:val="5"/>
          <w:w w:val="105"/>
          <w:sz w:val="13"/>
        </w:rPr>
        <w:t> </w:t>
      </w:r>
      <w:r>
        <w:rPr>
          <w:spacing w:val="2"/>
          <w:w w:val="105"/>
          <w:sz w:val="13"/>
        </w:rPr>
        <w:t>(Vic),</w:t>
      </w:r>
      <w:r>
        <w:rPr>
          <w:spacing w:val="6"/>
          <w:w w:val="105"/>
          <w:sz w:val="13"/>
        </w:rPr>
        <w:t> </w:t>
      </w:r>
      <w:r>
        <w:rPr>
          <w:i/>
          <w:w w:val="105"/>
          <w:sz w:val="13"/>
        </w:rPr>
        <w:t>Planning</w:t>
      </w:r>
      <w:r>
        <w:rPr>
          <w:i/>
          <w:spacing w:val="5"/>
          <w:w w:val="105"/>
          <w:sz w:val="13"/>
        </w:rPr>
        <w:t> </w:t>
      </w:r>
      <w:r>
        <w:rPr>
          <w:i/>
          <w:w w:val="105"/>
          <w:sz w:val="13"/>
        </w:rPr>
        <w:t>Practice</w:t>
      </w:r>
      <w:r>
        <w:rPr>
          <w:i/>
          <w:spacing w:val="5"/>
          <w:w w:val="105"/>
          <w:sz w:val="13"/>
        </w:rPr>
        <w:t> </w:t>
      </w:r>
      <w:r>
        <w:rPr>
          <w:i/>
          <w:w w:val="105"/>
          <w:sz w:val="13"/>
        </w:rPr>
        <w:t>Note</w:t>
      </w:r>
      <w:r>
        <w:rPr>
          <w:i/>
          <w:spacing w:val="6"/>
          <w:w w:val="105"/>
          <w:sz w:val="13"/>
        </w:rPr>
        <w:t> </w:t>
      </w:r>
      <w:r>
        <w:rPr>
          <w:i/>
          <w:w w:val="105"/>
          <w:sz w:val="13"/>
        </w:rPr>
        <w:t>No</w:t>
      </w:r>
      <w:r>
        <w:rPr>
          <w:i/>
          <w:spacing w:val="5"/>
          <w:w w:val="105"/>
          <w:sz w:val="13"/>
        </w:rPr>
        <w:t> </w:t>
      </w:r>
      <w:r>
        <w:rPr>
          <w:i/>
          <w:w w:val="105"/>
          <w:sz w:val="13"/>
        </w:rPr>
        <w:t>62:</w:t>
      </w:r>
      <w:r>
        <w:rPr>
          <w:i/>
          <w:spacing w:val="6"/>
          <w:w w:val="105"/>
          <w:sz w:val="13"/>
        </w:rPr>
        <w:t> </w:t>
      </w:r>
      <w:r>
        <w:rPr>
          <w:i/>
          <w:w w:val="105"/>
          <w:sz w:val="13"/>
        </w:rPr>
        <w:t>Green</w:t>
      </w:r>
      <w:r>
        <w:rPr>
          <w:i/>
          <w:spacing w:val="5"/>
          <w:w w:val="105"/>
          <w:sz w:val="13"/>
        </w:rPr>
        <w:t> </w:t>
      </w:r>
      <w:r>
        <w:rPr>
          <w:i/>
          <w:w w:val="105"/>
          <w:sz w:val="13"/>
        </w:rPr>
        <w:t>Wedge</w:t>
      </w:r>
      <w:r>
        <w:rPr>
          <w:i/>
          <w:spacing w:val="5"/>
          <w:w w:val="105"/>
          <w:sz w:val="13"/>
        </w:rPr>
        <w:t> </w:t>
      </w:r>
      <w:r>
        <w:rPr>
          <w:i/>
          <w:w w:val="105"/>
          <w:sz w:val="13"/>
        </w:rPr>
        <w:t>Planning</w:t>
      </w:r>
      <w:r>
        <w:rPr>
          <w:i/>
          <w:spacing w:val="6"/>
          <w:w w:val="105"/>
          <w:sz w:val="13"/>
        </w:rPr>
        <w:t> </w:t>
      </w:r>
      <w:r>
        <w:rPr>
          <w:i/>
          <w:w w:val="105"/>
          <w:sz w:val="13"/>
        </w:rPr>
        <w:t>Provisions,</w:t>
      </w:r>
      <w:r>
        <w:rPr>
          <w:i/>
          <w:spacing w:val="5"/>
          <w:w w:val="105"/>
          <w:sz w:val="13"/>
        </w:rPr>
        <w:t> </w:t>
      </w:r>
      <w:r>
        <w:rPr>
          <w:w w:val="105"/>
          <w:sz w:val="13"/>
        </w:rPr>
        <w:t>June</w:t>
      </w:r>
      <w:r>
        <w:rPr>
          <w:spacing w:val="6"/>
          <w:w w:val="105"/>
          <w:sz w:val="13"/>
        </w:rPr>
        <w:t> </w:t>
      </w:r>
      <w:r>
        <w:rPr>
          <w:spacing w:val="-3"/>
          <w:w w:val="105"/>
          <w:sz w:val="13"/>
        </w:rPr>
        <w:t>2015</w:t>
      </w:r>
    </w:p>
    <w:p>
      <w:pPr>
        <w:spacing w:before="1"/>
        <w:ind w:left="2381" w:right="0" w:firstLine="0"/>
        <w:jc w:val="left"/>
        <w:rPr>
          <w:sz w:val="13"/>
        </w:rPr>
      </w:pPr>
      <w:r>
        <w:rPr>
          <w:sz w:val="13"/>
        </w:rPr>
        <w:t>&lt;https://</w:t>
      </w:r>
      <w:hyperlink r:id="rId93">
        <w:r>
          <w:rPr>
            <w:sz w:val="13"/>
          </w:rPr>
          <w:t>www.planning.vic.gov.au/resource-library/planning-practice-notes</w:t>
        </w:r>
      </w:hyperlink>
      <w:r>
        <w:rPr>
          <w:sz w:val="13"/>
        </w:rPr>
        <w:t>&gt;.</w:t>
      </w:r>
    </w:p>
    <w:p>
      <w:pPr>
        <w:pStyle w:val="ListParagraph"/>
        <w:numPr>
          <w:ilvl w:val="0"/>
          <w:numId w:val="47"/>
        </w:numPr>
        <w:tabs>
          <w:tab w:pos="2381" w:val="left" w:leader="none"/>
          <w:tab w:pos="2382" w:val="left" w:leader="none"/>
        </w:tabs>
        <w:spacing w:line="240" w:lineRule="auto" w:before="1" w:after="0"/>
        <w:ind w:left="2381" w:right="2036" w:hanging="794"/>
        <w:jc w:val="left"/>
        <w:rPr>
          <w:sz w:val="13"/>
        </w:rPr>
      </w:pPr>
      <w:r>
        <w:rPr>
          <w:w w:val="105"/>
          <w:sz w:val="13"/>
        </w:rPr>
        <w:t>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35.04-2, 35.05, 35.05-2; Department</w:t>
      </w:r>
      <w:r>
        <w:rPr>
          <w:spacing w:val="6"/>
          <w:w w:val="105"/>
          <w:sz w:val="13"/>
        </w:rPr>
        <w:t> </w:t>
      </w:r>
      <w:r>
        <w:rPr>
          <w:w w:val="105"/>
          <w:sz w:val="13"/>
        </w:rPr>
        <w:t>of</w:t>
      </w:r>
      <w:r>
        <w:rPr>
          <w:spacing w:val="7"/>
          <w:w w:val="105"/>
          <w:sz w:val="13"/>
        </w:rPr>
        <w:t> </w:t>
      </w:r>
      <w:r>
        <w:rPr>
          <w:w w:val="105"/>
          <w:sz w:val="13"/>
        </w:rPr>
        <w:t>Environment,</w:t>
      </w:r>
      <w:r>
        <w:rPr>
          <w:spacing w:val="7"/>
          <w:w w:val="105"/>
          <w:sz w:val="13"/>
        </w:rPr>
        <w:t> </w:t>
      </w:r>
      <w:r>
        <w:rPr>
          <w:w w:val="105"/>
          <w:sz w:val="13"/>
        </w:rPr>
        <w:t>Land,</w:t>
      </w:r>
      <w:r>
        <w:rPr>
          <w:spacing w:val="7"/>
          <w:w w:val="105"/>
          <w:sz w:val="13"/>
        </w:rPr>
        <w:t> </w:t>
      </w:r>
      <w:r>
        <w:rPr>
          <w:w w:val="105"/>
          <w:sz w:val="13"/>
        </w:rPr>
        <w:t>Water</w:t>
      </w:r>
      <w:r>
        <w:rPr>
          <w:spacing w:val="7"/>
          <w:w w:val="105"/>
          <w:sz w:val="13"/>
        </w:rPr>
        <w:t> </w:t>
      </w:r>
      <w:r>
        <w:rPr>
          <w:w w:val="105"/>
          <w:sz w:val="13"/>
        </w:rPr>
        <w:t>and</w:t>
      </w:r>
      <w:r>
        <w:rPr>
          <w:spacing w:val="6"/>
          <w:w w:val="105"/>
          <w:sz w:val="13"/>
        </w:rPr>
        <w:t> </w:t>
      </w:r>
      <w:r>
        <w:rPr>
          <w:w w:val="105"/>
          <w:sz w:val="13"/>
        </w:rPr>
        <w:t>Planning</w:t>
      </w:r>
      <w:r>
        <w:rPr>
          <w:spacing w:val="7"/>
          <w:w w:val="105"/>
          <w:sz w:val="13"/>
        </w:rPr>
        <w:t> </w:t>
      </w:r>
      <w:r>
        <w:rPr>
          <w:spacing w:val="2"/>
          <w:w w:val="105"/>
          <w:sz w:val="13"/>
        </w:rPr>
        <w:t>(Vic),</w:t>
      </w:r>
      <w:r>
        <w:rPr>
          <w:spacing w:val="7"/>
          <w:w w:val="105"/>
          <w:sz w:val="13"/>
        </w:rPr>
        <w:t> </w:t>
      </w:r>
      <w:r>
        <w:rPr>
          <w:i/>
          <w:w w:val="105"/>
          <w:sz w:val="13"/>
        </w:rPr>
        <w:t>Planning</w:t>
      </w:r>
      <w:r>
        <w:rPr>
          <w:i/>
          <w:spacing w:val="7"/>
          <w:w w:val="105"/>
          <w:sz w:val="13"/>
        </w:rPr>
        <w:t> </w:t>
      </w:r>
      <w:r>
        <w:rPr>
          <w:i/>
          <w:w w:val="105"/>
          <w:sz w:val="13"/>
        </w:rPr>
        <w:t>Practice</w:t>
      </w:r>
      <w:r>
        <w:rPr>
          <w:i/>
          <w:spacing w:val="7"/>
          <w:w w:val="105"/>
          <w:sz w:val="13"/>
        </w:rPr>
        <w:t> </w:t>
      </w:r>
      <w:r>
        <w:rPr>
          <w:i/>
          <w:w w:val="105"/>
          <w:sz w:val="13"/>
        </w:rPr>
        <w:t>Note</w:t>
      </w:r>
      <w:r>
        <w:rPr>
          <w:i/>
          <w:spacing w:val="7"/>
          <w:w w:val="105"/>
          <w:sz w:val="13"/>
        </w:rPr>
        <w:t> </w:t>
      </w:r>
      <w:r>
        <w:rPr>
          <w:i/>
          <w:w w:val="105"/>
          <w:sz w:val="13"/>
        </w:rPr>
        <w:t>No</w:t>
      </w:r>
      <w:r>
        <w:rPr>
          <w:i/>
          <w:spacing w:val="6"/>
          <w:w w:val="105"/>
          <w:sz w:val="13"/>
        </w:rPr>
        <w:t> </w:t>
      </w:r>
      <w:r>
        <w:rPr>
          <w:i/>
          <w:w w:val="105"/>
          <w:sz w:val="13"/>
        </w:rPr>
        <w:t>42:</w:t>
      </w:r>
      <w:r>
        <w:rPr>
          <w:i/>
          <w:spacing w:val="7"/>
          <w:w w:val="105"/>
          <w:sz w:val="13"/>
        </w:rPr>
        <w:t> </w:t>
      </w:r>
      <w:r>
        <w:rPr>
          <w:i/>
          <w:w w:val="105"/>
          <w:sz w:val="13"/>
        </w:rPr>
        <w:t>Applying</w:t>
      </w:r>
      <w:r>
        <w:rPr>
          <w:i/>
          <w:spacing w:val="7"/>
          <w:w w:val="105"/>
          <w:sz w:val="13"/>
        </w:rPr>
        <w:t> </w:t>
      </w:r>
      <w:r>
        <w:rPr>
          <w:i/>
          <w:w w:val="105"/>
          <w:sz w:val="13"/>
        </w:rPr>
        <w:t>the</w:t>
      </w:r>
      <w:r>
        <w:rPr>
          <w:i/>
          <w:spacing w:val="7"/>
          <w:w w:val="105"/>
          <w:sz w:val="13"/>
        </w:rPr>
        <w:t> </w:t>
      </w:r>
      <w:r>
        <w:rPr>
          <w:i/>
          <w:w w:val="105"/>
          <w:sz w:val="13"/>
        </w:rPr>
        <w:t>Rural</w:t>
      </w:r>
      <w:r>
        <w:rPr>
          <w:i/>
          <w:spacing w:val="7"/>
          <w:w w:val="105"/>
          <w:sz w:val="13"/>
        </w:rPr>
        <w:t> </w:t>
      </w:r>
      <w:r>
        <w:rPr>
          <w:i/>
          <w:w w:val="105"/>
          <w:sz w:val="13"/>
        </w:rPr>
        <w:t>Zones,</w:t>
      </w:r>
      <w:r>
        <w:rPr>
          <w:i/>
          <w:spacing w:val="7"/>
          <w:w w:val="105"/>
          <w:sz w:val="13"/>
        </w:rPr>
        <w:t> </w:t>
      </w:r>
      <w:r>
        <w:rPr>
          <w:w w:val="105"/>
          <w:sz w:val="13"/>
        </w:rPr>
        <w:t>June</w:t>
      </w:r>
      <w:r>
        <w:rPr>
          <w:spacing w:val="6"/>
          <w:w w:val="105"/>
          <w:sz w:val="13"/>
        </w:rPr>
        <w:t> </w:t>
      </w:r>
      <w:r>
        <w:rPr>
          <w:spacing w:val="-3"/>
          <w:w w:val="105"/>
          <w:sz w:val="13"/>
        </w:rPr>
        <w:t>2015</w:t>
      </w:r>
    </w:p>
    <w:p>
      <w:pPr>
        <w:spacing w:before="3"/>
        <w:ind w:left="2381" w:right="0" w:firstLine="0"/>
        <w:jc w:val="left"/>
        <w:rPr>
          <w:i/>
          <w:sz w:val="13"/>
        </w:rPr>
      </w:pPr>
      <w:r>
        <w:rPr>
          <w:w w:val="105"/>
          <w:sz w:val="13"/>
        </w:rPr>
        <w:t>&lt;https://</w:t>
      </w:r>
      <w:hyperlink r:id="rId93">
        <w:r>
          <w:rPr>
            <w:w w:val="105"/>
            <w:sz w:val="13"/>
          </w:rPr>
          <w:t>www.planning.vic.gov.au/resource-library/planning-practice-notes</w:t>
        </w:r>
      </w:hyperlink>
      <w:r>
        <w:rPr>
          <w:w w:val="105"/>
          <w:sz w:val="13"/>
        </w:rPr>
        <w:t>&gt;; see, eg, City of Boroondara, </w:t>
      </w:r>
      <w:r>
        <w:rPr>
          <w:i/>
          <w:w w:val="105"/>
          <w:sz w:val="13"/>
        </w:rPr>
        <w:t>Boroondara Planning Scheme</w:t>
      </w:r>
    </w:p>
    <w:p>
      <w:pPr>
        <w:spacing w:before="1"/>
        <w:ind w:left="2381" w:right="0" w:firstLine="0"/>
        <w:jc w:val="left"/>
        <w:rPr>
          <w:sz w:val="13"/>
        </w:rPr>
      </w:pPr>
      <w:r>
        <w:rPr>
          <w:w w:val="105"/>
          <w:sz w:val="13"/>
        </w:rPr>
        <w:t>(21 February 2019) cl 11.01; Nillumbik Shire Council, </w:t>
      </w:r>
      <w:r>
        <w:rPr>
          <w:i/>
          <w:w w:val="105"/>
          <w:sz w:val="13"/>
        </w:rPr>
        <w:t>Nillumbik Planning Scheme </w:t>
      </w:r>
      <w:r>
        <w:rPr>
          <w:w w:val="105"/>
          <w:sz w:val="13"/>
        </w:rPr>
        <w:t>(30 May 2019) cl 22.03.</w:t>
      </w:r>
    </w:p>
    <w:p>
      <w:pPr>
        <w:pStyle w:val="ListParagraph"/>
        <w:numPr>
          <w:ilvl w:val="0"/>
          <w:numId w:val="47"/>
        </w:numPr>
        <w:tabs>
          <w:tab w:pos="2381" w:val="left" w:leader="none"/>
          <w:tab w:pos="2382" w:val="left" w:leader="none"/>
        </w:tabs>
        <w:spacing w:line="240" w:lineRule="auto" w:before="2" w:after="0"/>
        <w:ind w:left="2381" w:right="0" w:hanging="794"/>
        <w:jc w:val="left"/>
        <w:rPr>
          <w:sz w:val="13"/>
        </w:rPr>
      </w:pPr>
      <w:r>
        <w:rPr>
          <w:w w:val="105"/>
          <w:sz w:val="13"/>
        </w:rPr>
        <w:t>Department</w:t>
      </w:r>
      <w:r>
        <w:rPr>
          <w:spacing w:val="4"/>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Victoria</w:t>
      </w:r>
      <w:r>
        <w:rPr>
          <w:i/>
          <w:spacing w:val="5"/>
          <w:w w:val="105"/>
          <w:sz w:val="13"/>
        </w:rPr>
        <w:t> </w:t>
      </w:r>
      <w:r>
        <w:rPr>
          <w:i/>
          <w:w w:val="105"/>
          <w:sz w:val="13"/>
        </w:rPr>
        <w:t>Planning</w:t>
      </w:r>
      <w:r>
        <w:rPr>
          <w:i/>
          <w:spacing w:val="5"/>
          <w:w w:val="105"/>
          <w:sz w:val="13"/>
        </w:rPr>
        <w:t> </w:t>
      </w:r>
      <w:r>
        <w:rPr>
          <w:i/>
          <w:w w:val="105"/>
          <w:sz w:val="13"/>
        </w:rPr>
        <w:t>Provisions</w:t>
      </w:r>
      <w:r>
        <w:rPr>
          <w:i/>
          <w:spacing w:val="4"/>
          <w:w w:val="105"/>
          <w:sz w:val="13"/>
        </w:rPr>
        <w:t> </w:t>
      </w:r>
      <w:r>
        <w:rPr>
          <w:spacing w:val="-5"/>
          <w:w w:val="105"/>
          <w:sz w:val="13"/>
        </w:rPr>
        <w:t>(11</w:t>
      </w:r>
      <w:r>
        <w:rPr>
          <w:spacing w:val="5"/>
          <w:w w:val="105"/>
          <w:sz w:val="13"/>
        </w:rPr>
        <w:t> </w:t>
      </w:r>
      <w:r>
        <w:rPr>
          <w:w w:val="105"/>
          <w:sz w:val="13"/>
        </w:rPr>
        <w:t>April</w:t>
      </w:r>
      <w:r>
        <w:rPr>
          <w:spacing w:val="5"/>
          <w:w w:val="105"/>
          <w:sz w:val="13"/>
        </w:rPr>
        <w:t> </w:t>
      </w:r>
      <w:r>
        <w:rPr>
          <w:w w:val="105"/>
          <w:sz w:val="13"/>
        </w:rPr>
        <w:t>2019)</w:t>
      </w:r>
      <w:r>
        <w:rPr>
          <w:spacing w:val="5"/>
          <w:w w:val="105"/>
          <w:sz w:val="13"/>
        </w:rPr>
        <w:t> </w:t>
      </w:r>
      <w:r>
        <w:rPr>
          <w:w w:val="105"/>
          <w:sz w:val="13"/>
        </w:rPr>
        <w:t>cl</w:t>
      </w:r>
      <w:r>
        <w:rPr>
          <w:spacing w:val="5"/>
          <w:w w:val="105"/>
          <w:sz w:val="13"/>
        </w:rPr>
        <w:t> </w:t>
      </w:r>
      <w:r>
        <w:rPr>
          <w:spacing w:val="2"/>
          <w:w w:val="105"/>
          <w:sz w:val="13"/>
        </w:rPr>
        <w:t>35.08;</w:t>
      </w:r>
      <w:r>
        <w:rPr>
          <w:spacing w:val="5"/>
          <w:w w:val="105"/>
          <w:sz w:val="13"/>
        </w:rPr>
        <w:t> </w:t>
      </w:r>
      <w:r>
        <w:rPr>
          <w:w w:val="105"/>
          <w:sz w:val="13"/>
        </w:rPr>
        <w:t>see</w:t>
      </w:r>
      <w:r>
        <w:rPr>
          <w:spacing w:val="5"/>
          <w:w w:val="105"/>
          <w:sz w:val="13"/>
        </w:rPr>
        <w:t> </w:t>
      </w:r>
      <w:r>
        <w:rPr>
          <w:w w:val="105"/>
          <w:sz w:val="13"/>
        </w:rPr>
        <w:t>also,</w:t>
      </w:r>
      <w:r>
        <w:rPr>
          <w:spacing w:val="5"/>
          <w:w w:val="105"/>
          <w:sz w:val="13"/>
        </w:rPr>
        <w:t> </w:t>
      </w:r>
      <w:r>
        <w:rPr>
          <w:w w:val="105"/>
          <w:sz w:val="13"/>
        </w:rPr>
        <w:t>Stephen</w:t>
      </w:r>
      <w:r>
        <w:rPr>
          <w:spacing w:val="5"/>
          <w:w w:val="105"/>
          <w:sz w:val="13"/>
        </w:rPr>
        <w:t> </w:t>
      </w:r>
      <w:r>
        <w:rPr>
          <w:w w:val="105"/>
          <w:sz w:val="13"/>
        </w:rPr>
        <w:t>Rowley,</w:t>
      </w:r>
    </w:p>
    <w:p>
      <w:pPr>
        <w:spacing w:before="1"/>
        <w:ind w:left="2381" w:right="0" w:firstLine="0"/>
        <w:jc w:val="left"/>
        <w:rPr>
          <w:sz w:val="13"/>
        </w:rPr>
      </w:pPr>
      <w:r>
        <w:rPr>
          <w:i/>
          <w:sz w:val="13"/>
        </w:rPr>
        <w:t>The Victorian Planning System: Practice, Problems and Prospects </w:t>
      </w:r>
      <w:r>
        <w:rPr>
          <w:sz w:val="13"/>
        </w:rPr>
        <w:t>(The Federation Press, 2017) 29.</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Planning</w:t>
      </w:r>
      <w:r>
        <w:rPr>
          <w:i/>
          <w:spacing w:val="6"/>
          <w:w w:val="105"/>
          <w:sz w:val="13"/>
        </w:rPr>
        <w:t> </w:t>
      </w:r>
      <w:r>
        <w:rPr>
          <w:i/>
          <w:w w:val="105"/>
          <w:sz w:val="13"/>
        </w:rPr>
        <w:t>Practice</w:t>
      </w:r>
      <w:r>
        <w:rPr>
          <w:i/>
          <w:spacing w:val="5"/>
          <w:w w:val="105"/>
          <w:sz w:val="13"/>
        </w:rPr>
        <w:t> </w:t>
      </w:r>
      <w:r>
        <w:rPr>
          <w:i/>
          <w:w w:val="105"/>
          <w:sz w:val="13"/>
        </w:rPr>
        <w:t>Note</w:t>
      </w:r>
      <w:r>
        <w:rPr>
          <w:i/>
          <w:spacing w:val="5"/>
          <w:w w:val="105"/>
          <w:sz w:val="13"/>
        </w:rPr>
        <w:t> </w:t>
      </w:r>
      <w:r>
        <w:rPr>
          <w:i/>
          <w:w w:val="105"/>
          <w:sz w:val="13"/>
        </w:rPr>
        <w:t>No</w:t>
      </w:r>
      <w:r>
        <w:rPr>
          <w:i/>
          <w:spacing w:val="5"/>
          <w:w w:val="105"/>
          <w:sz w:val="13"/>
        </w:rPr>
        <w:t> </w:t>
      </w:r>
      <w:r>
        <w:rPr>
          <w:i/>
          <w:w w:val="105"/>
          <w:sz w:val="13"/>
        </w:rPr>
        <w:t>42:</w:t>
      </w:r>
      <w:r>
        <w:rPr>
          <w:i/>
          <w:spacing w:val="5"/>
          <w:w w:val="105"/>
          <w:sz w:val="13"/>
        </w:rPr>
        <w:t> </w:t>
      </w:r>
      <w:r>
        <w:rPr>
          <w:i/>
          <w:w w:val="105"/>
          <w:sz w:val="13"/>
        </w:rPr>
        <w:t>Applying</w:t>
      </w:r>
      <w:r>
        <w:rPr>
          <w:i/>
          <w:spacing w:val="5"/>
          <w:w w:val="105"/>
          <w:sz w:val="13"/>
        </w:rPr>
        <w:t> </w:t>
      </w:r>
      <w:r>
        <w:rPr>
          <w:i/>
          <w:w w:val="105"/>
          <w:sz w:val="13"/>
        </w:rPr>
        <w:t>the</w:t>
      </w:r>
      <w:r>
        <w:rPr>
          <w:i/>
          <w:spacing w:val="5"/>
          <w:w w:val="105"/>
          <w:sz w:val="13"/>
        </w:rPr>
        <w:t> </w:t>
      </w:r>
      <w:r>
        <w:rPr>
          <w:i/>
          <w:w w:val="105"/>
          <w:sz w:val="13"/>
        </w:rPr>
        <w:t>Rural</w:t>
      </w:r>
      <w:r>
        <w:rPr>
          <w:i/>
          <w:spacing w:val="5"/>
          <w:w w:val="105"/>
          <w:sz w:val="13"/>
        </w:rPr>
        <w:t> </w:t>
      </w:r>
      <w:r>
        <w:rPr>
          <w:i/>
          <w:w w:val="105"/>
          <w:sz w:val="13"/>
        </w:rPr>
        <w:t>Zones</w:t>
      </w:r>
      <w:r>
        <w:rPr>
          <w:w w:val="105"/>
          <w:sz w:val="13"/>
        </w:rPr>
        <w:t>,</w:t>
      </w:r>
      <w:r>
        <w:rPr>
          <w:spacing w:val="5"/>
          <w:w w:val="105"/>
          <w:sz w:val="13"/>
        </w:rPr>
        <w:t> </w:t>
      </w:r>
      <w:r>
        <w:rPr>
          <w:w w:val="105"/>
          <w:sz w:val="13"/>
        </w:rPr>
        <w:t>June</w:t>
      </w:r>
      <w:r>
        <w:rPr>
          <w:spacing w:val="6"/>
          <w:w w:val="105"/>
          <w:sz w:val="13"/>
        </w:rPr>
        <w:t> </w:t>
      </w:r>
      <w:r>
        <w:rPr>
          <w:w w:val="105"/>
          <w:sz w:val="13"/>
        </w:rPr>
        <w:t>2015,</w:t>
      </w:r>
      <w:r>
        <w:rPr>
          <w:spacing w:val="5"/>
          <w:w w:val="105"/>
          <w:sz w:val="13"/>
        </w:rPr>
        <w:t> </w:t>
      </w:r>
      <w:r>
        <w:rPr>
          <w:w w:val="105"/>
          <w:sz w:val="13"/>
        </w:rPr>
        <w:t>4</w:t>
      </w:r>
    </w:p>
    <w:p>
      <w:pPr>
        <w:spacing w:before="2"/>
        <w:ind w:left="2381" w:right="0" w:firstLine="0"/>
        <w:jc w:val="left"/>
        <w:rPr>
          <w:sz w:val="13"/>
        </w:rPr>
      </w:pPr>
      <w:r>
        <w:rPr>
          <w:sz w:val="13"/>
        </w:rPr>
        <w:t>&lt;https://</w:t>
      </w:r>
      <w:hyperlink r:id="rId93">
        <w:r>
          <w:rPr>
            <w:sz w:val="13"/>
          </w:rPr>
          <w:t>www.planning.vic.gov.au/resource-library/planning-practice-notes</w:t>
        </w:r>
      </w:hyperlink>
      <w:r>
        <w:rPr>
          <w:sz w:val="13"/>
        </w:rPr>
        <w:t>&gt;.</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Victoria</w:t>
      </w:r>
      <w:r>
        <w:rPr>
          <w:i/>
          <w:spacing w:val="5"/>
          <w:w w:val="105"/>
          <w:sz w:val="13"/>
        </w:rPr>
        <w:t> </w:t>
      </w:r>
      <w:r>
        <w:rPr>
          <w:i/>
          <w:w w:val="105"/>
          <w:sz w:val="13"/>
        </w:rPr>
        <w:t>Planning</w:t>
      </w:r>
      <w:r>
        <w:rPr>
          <w:i/>
          <w:spacing w:val="5"/>
          <w:w w:val="105"/>
          <w:sz w:val="13"/>
        </w:rPr>
        <w:t> </w:t>
      </w:r>
      <w:r>
        <w:rPr>
          <w:i/>
          <w:w w:val="105"/>
          <w:sz w:val="13"/>
        </w:rPr>
        <w:t>Provisions</w:t>
      </w:r>
      <w:r>
        <w:rPr>
          <w:i/>
          <w:spacing w:val="5"/>
          <w:w w:val="105"/>
          <w:sz w:val="13"/>
        </w:rPr>
        <w:t> </w:t>
      </w:r>
      <w:r>
        <w:rPr>
          <w:spacing w:val="-5"/>
          <w:w w:val="105"/>
          <w:sz w:val="13"/>
        </w:rPr>
        <w:t>(11</w:t>
      </w:r>
      <w:r>
        <w:rPr>
          <w:spacing w:val="5"/>
          <w:w w:val="105"/>
          <w:sz w:val="13"/>
        </w:rPr>
        <w:t> </w:t>
      </w:r>
      <w:r>
        <w:rPr>
          <w:w w:val="105"/>
          <w:sz w:val="13"/>
        </w:rPr>
        <w:t>April</w:t>
      </w:r>
      <w:r>
        <w:rPr>
          <w:spacing w:val="5"/>
          <w:w w:val="105"/>
          <w:sz w:val="13"/>
        </w:rPr>
        <w:t> </w:t>
      </w:r>
      <w:r>
        <w:rPr>
          <w:w w:val="105"/>
          <w:sz w:val="13"/>
        </w:rPr>
        <w:t>2019)</w:t>
      </w:r>
      <w:r>
        <w:rPr>
          <w:spacing w:val="5"/>
          <w:w w:val="105"/>
          <w:sz w:val="13"/>
        </w:rPr>
        <w:t> </w:t>
      </w:r>
      <w:r>
        <w:rPr>
          <w:w w:val="105"/>
          <w:sz w:val="13"/>
        </w:rPr>
        <w:t>cl</w:t>
      </w:r>
      <w:r>
        <w:rPr>
          <w:spacing w:val="5"/>
          <w:w w:val="105"/>
          <w:sz w:val="13"/>
        </w:rPr>
        <w:t> </w:t>
      </w:r>
      <w:r>
        <w:rPr>
          <w:w w:val="105"/>
          <w:sz w:val="13"/>
        </w:rPr>
        <w:t>35.06;</w:t>
      </w:r>
      <w:r>
        <w:rPr>
          <w:spacing w:val="5"/>
          <w:w w:val="105"/>
          <w:sz w:val="13"/>
        </w:rPr>
        <w:t> </w:t>
      </w:r>
      <w:r>
        <w:rPr>
          <w:w w:val="105"/>
          <w:sz w:val="13"/>
        </w:rPr>
        <w:t>see</w:t>
      </w:r>
      <w:r>
        <w:rPr>
          <w:spacing w:val="5"/>
          <w:w w:val="105"/>
          <w:sz w:val="13"/>
        </w:rPr>
        <w:t> </w:t>
      </w:r>
      <w:r>
        <w:rPr>
          <w:w w:val="105"/>
          <w:sz w:val="13"/>
        </w:rPr>
        <w:t>also</w:t>
      </w:r>
      <w:r>
        <w:rPr>
          <w:spacing w:val="5"/>
          <w:w w:val="105"/>
          <w:sz w:val="13"/>
        </w:rPr>
        <w:t> </w:t>
      </w:r>
      <w:r>
        <w:rPr>
          <w:w w:val="105"/>
          <w:sz w:val="13"/>
        </w:rPr>
        <w:t>Stephen</w:t>
      </w:r>
      <w:r>
        <w:rPr>
          <w:spacing w:val="5"/>
          <w:w w:val="105"/>
          <w:sz w:val="13"/>
        </w:rPr>
        <w:t> </w:t>
      </w:r>
      <w:r>
        <w:rPr>
          <w:w w:val="105"/>
          <w:sz w:val="13"/>
        </w:rPr>
        <w:t>Rowley,</w:t>
      </w:r>
    </w:p>
    <w:p>
      <w:pPr>
        <w:spacing w:before="1"/>
        <w:ind w:left="2381" w:right="0" w:firstLine="0"/>
        <w:jc w:val="left"/>
        <w:rPr>
          <w:sz w:val="13"/>
        </w:rPr>
      </w:pPr>
      <w:r>
        <w:rPr>
          <w:i/>
          <w:sz w:val="13"/>
        </w:rPr>
        <w:t>The Victorian Planning System: Practice, Problems and Prospects </w:t>
      </w:r>
      <w:r>
        <w:rPr>
          <w:sz w:val="13"/>
        </w:rPr>
        <w:t>(The Federation Press, 2017) 29.</w:t>
      </w:r>
    </w:p>
    <w:p>
      <w:pPr>
        <w:pStyle w:val="ListParagraph"/>
        <w:numPr>
          <w:ilvl w:val="0"/>
          <w:numId w:val="47"/>
        </w:numPr>
        <w:tabs>
          <w:tab w:pos="2381" w:val="left" w:leader="none"/>
          <w:tab w:pos="2382" w:val="left" w:leader="none"/>
        </w:tabs>
        <w:spacing w:line="240" w:lineRule="auto" w:before="2" w:after="0"/>
        <w:ind w:left="1587" w:right="3078" w:firstLine="0"/>
        <w:jc w:val="left"/>
        <w:rPr>
          <w:sz w:val="13"/>
        </w:rPr>
      </w:pPr>
      <w:r>
        <w:rPr>
          <w:w w:val="105"/>
          <w:sz w:val="13"/>
        </w:rPr>
        <w:t>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35.06.</w:t>
      </w:r>
      <w:r>
        <w:rPr>
          <w:spacing w:val="30"/>
          <w:w w:val="105"/>
          <w:sz w:val="13"/>
        </w:rPr>
        <w:t> </w:t>
      </w:r>
      <w:r>
        <w:rPr>
          <w:spacing w:val="-3"/>
          <w:w w:val="105"/>
          <w:sz w:val="13"/>
        </w:rPr>
        <w:t>74</w:t>
        <w:tab/>
      </w:r>
      <w:r>
        <w:rPr>
          <w:w w:val="105"/>
          <w:sz w:val="13"/>
        </w:rPr>
        <w:t>Ibid cl</w:t>
      </w:r>
      <w:r>
        <w:rPr>
          <w:spacing w:val="9"/>
          <w:w w:val="105"/>
          <w:sz w:val="13"/>
        </w:rPr>
        <w:t> </w:t>
      </w:r>
      <w:r>
        <w:rPr>
          <w:w w:val="105"/>
          <w:sz w:val="13"/>
        </w:rPr>
        <w:t>35.03-1.</w:t>
      </w:r>
    </w:p>
    <w:p>
      <w:pPr>
        <w:pStyle w:val="ListParagraph"/>
        <w:numPr>
          <w:ilvl w:val="0"/>
          <w:numId w:val="50"/>
        </w:numPr>
        <w:tabs>
          <w:tab w:pos="2381" w:val="left" w:leader="none"/>
          <w:tab w:pos="2382" w:val="left" w:leader="none"/>
        </w:tabs>
        <w:spacing w:line="240" w:lineRule="auto" w:before="2" w:after="0"/>
        <w:ind w:left="2381" w:right="0" w:hanging="794"/>
        <w:jc w:val="left"/>
        <w:rPr>
          <w:sz w:val="13"/>
        </w:rPr>
      </w:pPr>
      <w:r>
        <w:rPr>
          <w:sz w:val="13"/>
        </w:rPr>
        <w:t>Ibid</w:t>
      </w:r>
      <w:r>
        <w:rPr>
          <w:spacing w:val="10"/>
          <w:sz w:val="13"/>
        </w:rPr>
        <w:t> </w:t>
      </w:r>
      <w:r>
        <w:rPr>
          <w:sz w:val="13"/>
        </w:rPr>
        <w:t>cl</w:t>
      </w:r>
      <w:r>
        <w:rPr>
          <w:spacing w:val="11"/>
          <w:sz w:val="13"/>
        </w:rPr>
        <w:t> </w:t>
      </w:r>
      <w:r>
        <w:rPr>
          <w:sz w:val="13"/>
        </w:rPr>
        <w:t>35.03;</w:t>
      </w:r>
      <w:r>
        <w:rPr>
          <w:spacing w:val="11"/>
          <w:sz w:val="13"/>
        </w:rPr>
        <w:t> </w:t>
      </w:r>
      <w:r>
        <w:rPr>
          <w:sz w:val="13"/>
        </w:rPr>
        <w:t>see</w:t>
      </w:r>
      <w:r>
        <w:rPr>
          <w:spacing w:val="11"/>
          <w:sz w:val="13"/>
        </w:rPr>
        <w:t> </w:t>
      </w:r>
      <w:r>
        <w:rPr>
          <w:sz w:val="13"/>
        </w:rPr>
        <w:t>also</w:t>
      </w:r>
      <w:r>
        <w:rPr>
          <w:spacing w:val="11"/>
          <w:sz w:val="13"/>
        </w:rPr>
        <w:t> </w:t>
      </w:r>
      <w:r>
        <w:rPr>
          <w:sz w:val="13"/>
        </w:rPr>
        <w:t>Stephen</w:t>
      </w:r>
      <w:r>
        <w:rPr>
          <w:spacing w:val="10"/>
          <w:sz w:val="13"/>
        </w:rPr>
        <w:t> </w:t>
      </w:r>
      <w:r>
        <w:rPr>
          <w:sz w:val="13"/>
        </w:rPr>
        <w:t>Rowley,</w:t>
      </w:r>
      <w:r>
        <w:rPr>
          <w:spacing w:val="11"/>
          <w:sz w:val="13"/>
        </w:rPr>
        <w:t> </w:t>
      </w:r>
      <w:r>
        <w:rPr>
          <w:i/>
          <w:sz w:val="13"/>
        </w:rPr>
        <w:t>The</w:t>
      </w:r>
      <w:r>
        <w:rPr>
          <w:i/>
          <w:spacing w:val="11"/>
          <w:sz w:val="13"/>
        </w:rPr>
        <w:t> </w:t>
      </w:r>
      <w:r>
        <w:rPr>
          <w:i/>
          <w:sz w:val="13"/>
        </w:rPr>
        <w:t>Victorian</w:t>
      </w:r>
      <w:r>
        <w:rPr>
          <w:i/>
          <w:spacing w:val="11"/>
          <w:sz w:val="13"/>
        </w:rPr>
        <w:t> </w:t>
      </w:r>
      <w:r>
        <w:rPr>
          <w:i/>
          <w:sz w:val="13"/>
        </w:rPr>
        <w:t>Planning</w:t>
      </w:r>
      <w:r>
        <w:rPr>
          <w:i/>
          <w:spacing w:val="11"/>
          <w:sz w:val="13"/>
        </w:rPr>
        <w:t> </w:t>
      </w:r>
      <w:r>
        <w:rPr>
          <w:i/>
          <w:sz w:val="13"/>
        </w:rPr>
        <w:t>System:</w:t>
      </w:r>
      <w:r>
        <w:rPr>
          <w:i/>
          <w:spacing w:val="10"/>
          <w:sz w:val="13"/>
        </w:rPr>
        <w:t> </w:t>
      </w:r>
      <w:r>
        <w:rPr>
          <w:i/>
          <w:sz w:val="13"/>
        </w:rPr>
        <w:t>Practice,</w:t>
      </w:r>
      <w:r>
        <w:rPr>
          <w:i/>
          <w:spacing w:val="11"/>
          <w:sz w:val="13"/>
        </w:rPr>
        <w:t> </w:t>
      </w:r>
      <w:r>
        <w:rPr>
          <w:i/>
          <w:sz w:val="13"/>
        </w:rPr>
        <w:t>Problems</w:t>
      </w:r>
      <w:r>
        <w:rPr>
          <w:i/>
          <w:spacing w:val="11"/>
          <w:sz w:val="13"/>
        </w:rPr>
        <w:t> </w:t>
      </w:r>
      <w:r>
        <w:rPr>
          <w:i/>
          <w:sz w:val="13"/>
        </w:rPr>
        <w:t>and</w:t>
      </w:r>
      <w:r>
        <w:rPr>
          <w:i/>
          <w:spacing w:val="11"/>
          <w:sz w:val="13"/>
        </w:rPr>
        <w:t> </w:t>
      </w:r>
      <w:r>
        <w:rPr>
          <w:i/>
          <w:sz w:val="13"/>
        </w:rPr>
        <w:t>Prospects</w:t>
      </w:r>
      <w:r>
        <w:rPr>
          <w:i/>
          <w:spacing w:val="11"/>
          <w:sz w:val="13"/>
        </w:rPr>
        <w:t> </w:t>
      </w:r>
      <w:r>
        <w:rPr>
          <w:spacing w:val="2"/>
          <w:sz w:val="13"/>
        </w:rPr>
        <w:t>(The</w:t>
      </w:r>
      <w:r>
        <w:rPr>
          <w:spacing w:val="10"/>
          <w:sz w:val="13"/>
        </w:rPr>
        <w:t> </w:t>
      </w:r>
      <w:r>
        <w:rPr>
          <w:sz w:val="13"/>
        </w:rPr>
        <w:t>Federation</w:t>
      </w:r>
      <w:r>
        <w:rPr>
          <w:spacing w:val="11"/>
          <w:sz w:val="13"/>
        </w:rPr>
        <w:t> </w:t>
      </w:r>
      <w:r>
        <w:rPr>
          <w:sz w:val="13"/>
        </w:rPr>
        <w:t>Press,</w:t>
      </w:r>
      <w:r>
        <w:rPr>
          <w:spacing w:val="11"/>
          <w:sz w:val="13"/>
        </w:rPr>
        <w:t> </w:t>
      </w:r>
      <w:r>
        <w:rPr>
          <w:sz w:val="13"/>
        </w:rPr>
        <w:t>2017)</w:t>
      </w:r>
      <w:r>
        <w:rPr>
          <w:spacing w:val="11"/>
          <w:sz w:val="13"/>
        </w:rPr>
        <w:t> </w:t>
      </w:r>
      <w:r>
        <w:rPr>
          <w:sz w:val="13"/>
        </w:rPr>
        <w:t>29.</w:t>
      </w:r>
    </w:p>
    <w:p>
      <w:pPr>
        <w:pStyle w:val="ListParagraph"/>
        <w:numPr>
          <w:ilvl w:val="0"/>
          <w:numId w:val="50"/>
        </w:numPr>
        <w:tabs>
          <w:tab w:pos="2381" w:val="left" w:leader="none"/>
          <w:tab w:pos="2382" w:val="left" w:leader="none"/>
        </w:tabs>
        <w:spacing w:line="240" w:lineRule="auto" w:before="2" w:after="0"/>
        <w:ind w:left="2381" w:right="0" w:hanging="794"/>
        <w:jc w:val="left"/>
        <w:rPr>
          <w:sz w:val="13"/>
        </w:rPr>
      </w:pPr>
      <w:r>
        <w:rPr>
          <w:sz w:val="13"/>
        </w:rPr>
        <w:t>Stephen</w:t>
      </w:r>
      <w:r>
        <w:rPr>
          <w:spacing w:val="8"/>
          <w:sz w:val="13"/>
        </w:rPr>
        <w:t> </w:t>
      </w:r>
      <w:r>
        <w:rPr>
          <w:sz w:val="13"/>
        </w:rPr>
        <w:t>Rowley,</w:t>
      </w:r>
      <w:r>
        <w:rPr>
          <w:spacing w:val="9"/>
          <w:sz w:val="13"/>
        </w:rPr>
        <w:t> </w:t>
      </w:r>
      <w:r>
        <w:rPr>
          <w:i/>
          <w:sz w:val="13"/>
        </w:rPr>
        <w:t>The</w:t>
      </w:r>
      <w:r>
        <w:rPr>
          <w:i/>
          <w:spacing w:val="9"/>
          <w:sz w:val="13"/>
        </w:rPr>
        <w:t> </w:t>
      </w:r>
      <w:r>
        <w:rPr>
          <w:i/>
          <w:sz w:val="13"/>
        </w:rPr>
        <w:t>Victorian</w:t>
      </w:r>
      <w:r>
        <w:rPr>
          <w:i/>
          <w:spacing w:val="9"/>
          <w:sz w:val="13"/>
        </w:rPr>
        <w:t> </w:t>
      </w:r>
      <w:r>
        <w:rPr>
          <w:i/>
          <w:sz w:val="13"/>
        </w:rPr>
        <w:t>Planning</w:t>
      </w:r>
      <w:r>
        <w:rPr>
          <w:i/>
          <w:spacing w:val="8"/>
          <w:sz w:val="13"/>
        </w:rPr>
        <w:t> </w:t>
      </w:r>
      <w:r>
        <w:rPr>
          <w:i/>
          <w:sz w:val="13"/>
        </w:rPr>
        <w:t>System:</w:t>
      </w:r>
      <w:r>
        <w:rPr>
          <w:i/>
          <w:spacing w:val="9"/>
          <w:sz w:val="13"/>
        </w:rPr>
        <w:t> </w:t>
      </w:r>
      <w:r>
        <w:rPr>
          <w:i/>
          <w:sz w:val="13"/>
        </w:rPr>
        <w:t>Practice,</w:t>
      </w:r>
      <w:r>
        <w:rPr>
          <w:i/>
          <w:spacing w:val="9"/>
          <w:sz w:val="13"/>
        </w:rPr>
        <w:t> </w:t>
      </w:r>
      <w:r>
        <w:rPr>
          <w:i/>
          <w:sz w:val="13"/>
        </w:rPr>
        <w:t>Problems</w:t>
      </w:r>
      <w:r>
        <w:rPr>
          <w:i/>
          <w:spacing w:val="9"/>
          <w:sz w:val="13"/>
        </w:rPr>
        <w:t> </w:t>
      </w:r>
      <w:r>
        <w:rPr>
          <w:i/>
          <w:sz w:val="13"/>
        </w:rPr>
        <w:t>and</w:t>
      </w:r>
      <w:r>
        <w:rPr>
          <w:i/>
          <w:spacing w:val="9"/>
          <w:sz w:val="13"/>
        </w:rPr>
        <w:t> </w:t>
      </w:r>
      <w:r>
        <w:rPr>
          <w:i/>
          <w:sz w:val="13"/>
        </w:rPr>
        <w:t>Prospects</w:t>
      </w:r>
      <w:r>
        <w:rPr>
          <w:i/>
          <w:spacing w:val="8"/>
          <w:sz w:val="13"/>
        </w:rPr>
        <w:t> </w:t>
      </w:r>
      <w:r>
        <w:rPr>
          <w:spacing w:val="2"/>
          <w:sz w:val="13"/>
        </w:rPr>
        <w:t>(The</w:t>
      </w:r>
      <w:r>
        <w:rPr>
          <w:spacing w:val="9"/>
          <w:sz w:val="13"/>
        </w:rPr>
        <w:t> </w:t>
      </w:r>
      <w:r>
        <w:rPr>
          <w:sz w:val="13"/>
        </w:rPr>
        <w:t>Federation</w:t>
      </w:r>
      <w:r>
        <w:rPr>
          <w:spacing w:val="9"/>
          <w:sz w:val="13"/>
        </w:rPr>
        <w:t> </w:t>
      </w:r>
      <w:r>
        <w:rPr>
          <w:sz w:val="13"/>
        </w:rPr>
        <w:t>Press,</w:t>
      </w:r>
      <w:r>
        <w:rPr>
          <w:spacing w:val="9"/>
          <w:sz w:val="13"/>
        </w:rPr>
        <w:t> </w:t>
      </w:r>
      <w:r>
        <w:rPr>
          <w:sz w:val="13"/>
        </w:rPr>
        <w:t>2017)</w:t>
      </w:r>
      <w:r>
        <w:rPr>
          <w:spacing w:val="9"/>
          <w:sz w:val="13"/>
        </w:rPr>
        <w:t> </w:t>
      </w:r>
      <w:r>
        <w:rPr>
          <w:sz w:val="13"/>
        </w:rPr>
        <w:t>29.</w:t>
      </w:r>
    </w:p>
    <w:p>
      <w:pPr>
        <w:pStyle w:val="ListParagraph"/>
        <w:numPr>
          <w:ilvl w:val="0"/>
          <w:numId w:val="50"/>
        </w:numPr>
        <w:tabs>
          <w:tab w:pos="2381" w:val="left" w:leader="none"/>
          <w:tab w:pos="2382" w:val="left" w:leader="none"/>
        </w:tabs>
        <w:spacing w:line="240" w:lineRule="auto" w:before="1" w:after="0"/>
        <w:ind w:left="2381" w:right="0" w:hanging="794"/>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6"/>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6"/>
          <w:w w:val="105"/>
          <w:sz w:val="13"/>
        </w:rPr>
        <w:t> </w:t>
      </w:r>
      <w:r>
        <w:rPr>
          <w:i/>
          <w:w w:val="105"/>
          <w:sz w:val="13"/>
        </w:rPr>
        <w:t>Planning</w:t>
      </w:r>
      <w:r>
        <w:rPr>
          <w:i/>
          <w:spacing w:val="5"/>
          <w:w w:val="105"/>
          <w:sz w:val="13"/>
        </w:rPr>
        <w:t> </w:t>
      </w:r>
      <w:r>
        <w:rPr>
          <w:i/>
          <w:w w:val="105"/>
          <w:sz w:val="13"/>
        </w:rPr>
        <w:t>Practice</w:t>
      </w:r>
      <w:r>
        <w:rPr>
          <w:i/>
          <w:spacing w:val="5"/>
          <w:w w:val="105"/>
          <w:sz w:val="13"/>
        </w:rPr>
        <w:t> </w:t>
      </w:r>
      <w:r>
        <w:rPr>
          <w:i/>
          <w:w w:val="105"/>
          <w:sz w:val="13"/>
        </w:rPr>
        <w:t>Note</w:t>
      </w:r>
      <w:r>
        <w:rPr>
          <w:i/>
          <w:spacing w:val="5"/>
          <w:w w:val="105"/>
          <w:sz w:val="13"/>
        </w:rPr>
        <w:t> </w:t>
      </w:r>
      <w:r>
        <w:rPr>
          <w:i/>
          <w:w w:val="105"/>
          <w:sz w:val="13"/>
        </w:rPr>
        <w:t>No</w:t>
      </w:r>
      <w:r>
        <w:rPr>
          <w:i/>
          <w:spacing w:val="6"/>
          <w:w w:val="105"/>
          <w:sz w:val="13"/>
        </w:rPr>
        <w:t> </w:t>
      </w:r>
      <w:r>
        <w:rPr>
          <w:i/>
          <w:w w:val="105"/>
          <w:sz w:val="13"/>
        </w:rPr>
        <w:t>3:</w:t>
      </w:r>
      <w:r>
        <w:rPr>
          <w:i/>
          <w:spacing w:val="5"/>
          <w:w w:val="105"/>
          <w:sz w:val="13"/>
        </w:rPr>
        <w:t> </w:t>
      </w:r>
      <w:r>
        <w:rPr>
          <w:i/>
          <w:w w:val="105"/>
          <w:sz w:val="13"/>
        </w:rPr>
        <w:t>Applying</w:t>
      </w:r>
      <w:r>
        <w:rPr>
          <w:i/>
          <w:spacing w:val="5"/>
          <w:w w:val="105"/>
          <w:sz w:val="13"/>
        </w:rPr>
        <w:t> </w:t>
      </w:r>
      <w:r>
        <w:rPr>
          <w:i/>
          <w:w w:val="105"/>
          <w:sz w:val="13"/>
        </w:rPr>
        <w:t>the</w:t>
      </w:r>
      <w:r>
        <w:rPr>
          <w:i/>
          <w:spacing w:val="5"/>
          <w:w w:val="105"/>
          <w:sz w:val="13"/>
        </w:rPr>
        <w:t> </w:t>
      </w:r>
      <w:r>
        <w:rPr>
          <w:i/>
          <w:w w:val="105"/>
          <w:sz w:val="13"/>
        </w:rPr>
        <w:t>Special</w:t>
      </w:r>
      <w:r>
        <w:rPr>
          <w:i/>
          <w:spacing w:val="6"/>
          <w:w w:val="105"/>
          <w:sz w:val="13"/>
        </w:rPr>
        <w:t> </w:t>
      </w:r>
      <w:r>
        <w:rPr>
          <w:i/>
          <w:w w:val="105"/>
          <w:sz w:val="13"/>
        </w:rPr>
        <w:t>Use</w:t>
      </w:r>
      <w:r>
        <w:rPr>
          <w:i/>
          <w:spacing w:val="5"/>
          <w:w w:val="105"/>
          <w:sz w:val="13"/>
        </w:rPr>
        <w:t> </w:t>
      </w:r>
      <w:r>
        <w:rPr>
          <w:i/>
          <w:w w:val="105"/>
          <w:sz w:val="13"/>
        </w:rPr>
        <w:t>Zone,</w:t>
      </w:r>
      <w:r>
        <w:rPr>
          <w:i/>
          <w:spacing w:val="5"/>
          <w:w w:val="105"/>
          <w:sz w:val="13"/>
        </w:rPr>
        <w:t> </w:t>
      </w:r>
      <w:r>
        <w:rPr>
          <w:w w:val="105"/>
          <w:sz w:val="13"/>
        </w:rPr>
        <w:t>May</w:t>
      </w:r>
      <w:r>
        <w:rPr>
          <w:spacing w:val="5"/>
          <w:w w:val="105"/>
          <w:sz w:val="13"/>
        </w:rPr>
        <w:t> </w:t>
      </w:r>
      <w:r>
        <w:rPr>
          <w:spacing w:val="-3"/>
          <w:w w:val="105"/>
          <w:sz w:val="13"/>
        </w:rPr>
        <w:t>2017</w:t>
      </w:r>
    </w:p>
    <w:p>
      <w:pPr>
        <w:spacing w:before="1"/>
        <w:ind w:left="2381" w:right="0" w:firstLine="0"/>
        <w:jc w:val="left"/>
        <w:rPr>
          <w:sz w:val="13"/>
        </w:rPr>
      </w:pPr>
      <w:r>
        <w:rPr>
          <w:sz w:val="13"/>
        </w:rPr>
        <w:t>&lt;https://</w:t>
      </w:r>
      <w:hyperlink r:id="rId93">
        <w:r>
          <w:rPr>
            <w:sz w:val="13"/>
          </w:rPr>
          <w:t>www.planning.vic.gov.au/resource-library/planning-practice-notes</w:t>
        </w:r>
      </w:hyperlink>
      <w:r>
        <w:rPr>
          <w:sz w:val="13"/>
        </w:rPr>
        <w:t>&gt;.</w:t>
      </w:r>
    </w:p>
    <w:p>
      <w:pPr>
        <w:pStyle w:val="ListParagraph"/>
        <w:numPr>
          <w:ilvl w:val="0"/>
          <w:numId w:val="50"/>
        </w:numPr>
        <w:tabs>
          <w:tab w:pos="2381" w:val="left" w:leader="none"/>
          <w:tab w:pos="2382" w:val="left" w:leader="none"/>
        </w:tabs>
        <w:spacing w:line="240" w:lineRule="auto" w:before="2" w:after="0"/>
        <w:ind w:left="2381" w:right="0" w:hanging="794"/>
        <w:jc w:val="left"/>
        <w:rPr>
          <w:sz w:val="13"/>
        </w:rPr>
      </w:pPr>
      <w:r>
        <w:rPr>
          <w:w w:val="105"/>
          <w:sz w:val="13"/>
        </w:rPr>
        <w:t>Department</w:t>
      </w:r>
      <w:r>
        <w:rPr>
          <w:spacing w:val="4"/>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Using</w:t>
      </w:r>
      <w:r>
        <w:rPr>
          <w:i/>
          <w:spacing w:val="5"/>
          <w:w w:val="105"/>
          <w:sz w:val="13"/>
        </w:rPr>
        <w:t> </w:t>
      </w:r>
      <w:r>
        <w:rPr>
          <w:i/>
          <w:w w:val="105"/>
          <w:sz w:val="13"/>
        </w:rPr>
        <w:t>Victoria’s</w:t>
      </w:r>
      <w:r>
        <w:rPr>
          <w:i/>
          <w:spacing w:val="5"/>
          <w:w w:val="105"/>
          <w:sz w:val="13"/>
        </w:rPr>
        <w:t> </w:t>
      </w:r>
      <w:r>
        <w:rPr>
          <w:i/>
          <w:w w:val="105"/>
          <w:sz w:val="13"/>
        </w:rPr>
        <w:t>Planning</w:t>
      </w:r>
      <w:r>
        <w:rPr>
          <w:i/>
          <w:spacing w:val="5"/>
          <w:w w:val="105"/>
          <w:sz w:val="13"/>
        </w:rPr>
        <w:t> </w:t>
      </w:r>
      <w:r>
        <w:rPr>
          <w:i/>
          <w:w w:val="105"/>
          <w:sz w:val="13"/>
        </w:rPr>
        <w:t>System</w:t>
      </w:r>
      <w:r>
        <w:rPr>
          <w:i/>
          <w:spacing w:val="5"/>
          <w:w w:val="105"/>
          <w:sz w:val="13"/>
        </w:rPr>
        <w:t> </w:t>
      </w:r>
      <w:r>
        <w:rPr>
          <w:i/>
          <w:w w:val="105"/>
          <w:sz w:val="13"/>
        </w:rPr>
        <w:t>Guide</w:t>
      </w:r>
      <w:r>
        <w:rPr>
          <w:i/>
          <w:spacing w:val="5"/>
          <w:w w:val="105"/>
          <w:sz w:val="13"/>
        </w:rPr>
        <w:t> </w:t>
      </w:r>
      <w:r>
        <w:rPr>
          <w:w w:val="105"/>
          <w:sz w:val="13"/>
        </w:rPr>
        <w:t>(Guide,</w:t>
      </w:r>
      <w:r>
        <w:rPr>
          <w:spacing w:val="4"/>
          <w:w w:val="105"/>
          <w:sz w:val="13"/>
        </w:rPr>
        <w:t> </w:t>
      </w:r>
      <w:r>
        <w:rPr>
          <w:w w:val="105"/>
          <w:sz w:val="13"/>
        </w:rPr>
        <w:t>28</w:t>
      </w:r>
      <w:r>
        <w:rPr>
          <w:spacing w:val="5"/>
          <w:w w:val="105"/>
          <w:sz w:val="13"/>
        </w:rPr>
        <w:t> </w:t>
      </w:r>
      <w:r>
        <w:rPr>
          <w:w w:val="105"/>
          <w:sz w:val="13"/>
        </w:rPr>
        <w:t>May</w:t>
      </w:r>
      <w:r>
        <w:rPr>
          <w:spacing w:val="5"/>
          <w:w w:val="105"/>
          <w:sz w:val="13"/>
        </w:rPr>
        <w:t> </w:t>
      </w:r>
      <w:r>
        <w:rPr>
          <w:w w:val="105"/>
          <w:sz w:val="13"/>
        </w:rPr>
        <w:t>2015)</w:t>
      </w:r>
    </w:p>
    <w:p>
      <w:pPr>
        <w:spacing w:before="1"/>
        <w:ind w:left="2381" w:right="1687" w:firstLine="0"/>
        <w:jc w:val="left"/>
        <w:rPr>
          <w:sz w:val="13"/>
        </w:rPr>
      </w:pPr>
      <w:r>
        <w:rPr>
          <w:w w:val="105"/>
          <w:sz w:val="13"/>
        </w:rPr>
        <w:t>&lt;</w:t>
      </w:r>
      <w:hyperlink r:id="rId95">
        <w:r>
          <w:rPr>
            <w:w w:val="105"/>
            <w:sz w:val="13"/>
          </w:rPr>
          <w:t>www.planning.vic.gov.au/guide-home/using-victorias-planning-system</w:t>
        </w:r>
      </w:hyperlink>
      <w:r>
        <w:rPr>
          <w:w w:val="105"/>
          <w:sz w:val="13"/>
        </w:rPr>
        <w:t>&gt;. The Commission notes  that  recent  planning  scheme amendments have prevented future use of the priority development zone: see, eg, Department of Environment, Land, Water and Planning (Vic), </w:t>
      </w:r>
      <w:r>
        <w:rPr>
          <w:i/>
          <w:w w:val="105"/>
          <w:sz w:val="13"/>
        </w:rPr>
        <w:t>Amendment VC148—Planning Advisory Note 72 </w:t>
      </w:r>
      <w:r>
        <w:rPr>
          <w:w w:val="105"/>
          <w:sz w:val="13"/>
        </w:rPr>
        <w:t>(July 2018) 10 &lt;https://</w:t>
      </w:r>
      <w:hyperlink r:id="rId96">
        <w:r>
          <w:rPr>
            <w:w w:val="105"/>
            <w:sz w:val="13"/>
          </w:rPr>
          <w:t>www.planning.vic.gov.au/schemes-and-amendments/</w:t>
        </w:r>
      </w:hyperlink>
      <w:r>
        <w:rPr>
          <w:w w:val="105"/>
          <w:sz w:val="13"/>
        </w:rPr>
        <w:t> Amendment-VC148-reforms&gt;.</w:t>
      </w:r>
    </w:p>
    <w:p>
      <w:pPr>
        <w:pStyle w:val="ListParagraph"/>
        <w:numPr>
          <w:ilvl w:val="0"/>
          <w:numId w:val="50"/>
        </w:numPr>
        <w:tabs>
          <w:tab w:pos="2381" w:val="left" w:leader="none"/>
          <w:tab w:pos="2382" w:val="left" w:leader="none"/>
        </w:tabs>
        <w:spacing w:line="240" w:lineRule="auto" w:before="5" w:after="0"/>
        <w:ind w:left="2381" w:right="1824" w:hanging="794"/>
        <w:jc w:val="left"/>
        <w:rPr>
          <w:sz w:val="13"/>
        </w:rPr>
      </w:pPr>
      <w:r>
        <w:rPr/>
        <w:pict>
          <v:shape style="position:absolute;margin-left:549.011475pt;margin-top:11.178264pt;width:13.2pt;height:14.25pt;mso-position-horizontal-relative:page;mso-position-vertical-relative:paragraph;z-index:5608" type="#_x0000_t202" filled="false" stroked="false">
            <v:textbox inset="0,0,0,0">
              <w:txbxContent>
                <w:p>
                  <w:pPr>
                    <w:spacing w:line="284" w:lineRule="exact" w:before="0"/>
                    <w:ind w:left="0" w:right="0" w:firstLine="0"/>
                    <w:jc w:val="left"/>
                    <w:rPr>
                      <w:b/>
                      <w:sz w:val="24"/>
                    </w:rPr>
                  </w:pPr>
                  <w:r>
                    <w:rPr>
                      <w:b/>
                      <w:color w:val="658464"/>
                      <w:spacing w:val="-2"/>
                      <w:w w:val="110"/>
                      <w:sz w:val="24"/>
                    </w:rPr>
                    <w:t>73</w:t>
                  </w:r>
                </w:p>
              </w:txbxContent>
            </v:textbox>
            <w10:wrap type="none"/>
          </v:shape>
        </w:pict>
      </w:r>
      <w:r>
        <w:rPr>
          <w:w w:val="105"/>
          <w:sz w:val="13"/>
        </w:rPr>
        <w:t>Department of Environment, Land, Water and Planning </w:t>
      </w:r>
      <w:r>
        <w:rPr>
          <w:spacing w:val="2"/>
          <w:w w:val="105"/>
          <w:sz w:val="13"/>
        </w:rPr>
        <w:t>(Vic), </w:t>
      </w:r>
      <w:r>
        <w:rPr>
          <w:i/>
          <w:w w:val="105"/>
          <w:sz w:val="13"/>
        </w:rPr>
        <w:t>Overarching Report—Residential Zones State Of Play </w:t>
      </w:r>
      <w:r>
        <w:rPr>
          <w:spacing w:val="2"/>
          <w:w w:val="105"/>
          <w:sz w:val="13"/>
        </w:rPr>
        <w:t>(Report, </w:t>
      </w:r>
      <w:r>
        <w:rPr>
          <w:w w:val="105"/>
          <w:sz w:val="13"/>
        </w:rPr>
        <w:t>29 January 2016) &lt;https://</w:t>
      </w:r>
      <w:hyperlink r:id="rId97">
        <w:r>
          <w:rPr>
            <w:w w:val="105"/>
            <w:sz w:val="13"/>
          </w:rPr>
          <w:t>www.planning.vic.gov.au/panels-and-committees/previous-panels-and-committees/managing-residential-development-</w:t>
        </w:r>
      </w:hyperlink>
      <w:r>
        <w:rPr>
          <w:w w:val="105"/>
          <w:sz w:val="13"/>
        </w:rPr>
        <w:t> advisory-committee/residential-zones-state-of-play-reports&gt;.</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16"/>
        </w:numPr>
        <w:tabs>
          <w:tab w:pos="2381" w:val="left" w:leader="none"/>
          <w:tab w:pos="2382" w:val="left" w:leader="none"/>
        </w:tabs>
        <w:spacing w:line="242" w:lineRule="auto" w:before="92" w:after="0"/>
        <w:ind w:left="2381" w:right="1837" w:hanging="794"/>
        <w:jc w:val="left"/>
        <w:rPr>
          <w:sz w:val="21"/>
        </w:rPr>
      </w:pPr>
      <w:r>
        <w:rPr>
          <w:w w:val="105"/>
          <w:sz w:val="21"/>
        </w:rPr>
        <w:t>The Urban Floodway Zone applies </w:t>
      </w:r>
      <w:r>
        <w:rPr>
          <w:spacing w:val="-3"/>
          <w:w w:val="105"/>
          <w:sz w:val="21"/>
        </w:rPr>
        <w:t>to </w:t>
      </w:r>
      <w:r>
        <w:rPr>
          <w:w w:val="105"/>
          <w:sz w:val="21"/>
        </w:rPr>
        <w:t>urban </w:t>
      </w:r>
      <w:r>
        <w:rPr>
          <w:spacing w:val="-3"/>
          <w:w w:val="105"/>
          <w:sz w:val="21"/>
        </w:rPr>
        <w:t>land </w:t>
      </w:r>
      <w:r>
        <w:rPr>
          <w:w w:val="105"/>
          <w:sz w:val="21"/>
        </w:rPr>
        <w:t>where the primary function of the </w:t>
      </w:r>
      <w:r>
        <w:rPr>
          <w:spacing w:val="-3"/>
          <w:w w:val="105"/>
          <w:sz w:val="21"/>
        </w:rPr>
        <w:t>land</w:t>
      </w:r>
      <w:r>
        <w:rPr>
          <w:spacing w:val="-6"/>
          <w:w w:val="105"/>
          <w:sz w:val="21"/>
        </w:rPr>
        <w:t> </w:t>
      </w:r>
      <w:r>
        <w:rPr>
          <w:w w:val="105"/>
          <w:sz w:val="21"/>
        </w:rPr>
        <w:t>is</w:t>
      </w:r>
      <w:r>
        <w:rPr>
          <w:spacing w:val="-5"/>
          <w:w w:val="105"/>
          <w:sz w:val="21"/>
        </w:rPr>
        <w:t> </w:t>
      </w:r>
      <w:r>
        <w:rPr>
          <w:spacing w:val="-3"/>
          <w:w w:val="105"/>
          <w:sz w:val="21"/>
        </w:rPr>
        <w:t>to</w:t>
      </w:r>
      <w:r>
        <w:rPr>
          <w:spacing w:val="-5"/>
          <w:w w:val="105"/>
          <w:sz w:val="21"/>
        </w:rPr>
        <w:t> </w:t>
      </w:r>
      <w:r>
        <w:rPr>
          <w:w w:val="105"/>
          <w:sz w:val="21"/>
        </w:rPr>
        <w:t>carry</w:t>
      </w:r>
      <w:r>
        <w:rPr>
          <w:spacing w:val="-6"/>
          <w:w w:val="105"/>
          <w:sz w:val="21"/>
        </w:rPr>
        <w:t> </w:t>
      </w:r>
      <w:r>
        <w:rPr>
          <w:w w:val="105"/>
          <w:sz w:val="21"/>
        </w:rPr>
        <w:t>or</w:t>
      </w:r>
      <w:r>
        <w:rPr>
          <w:spacing w:val="-5"/>
          <w:w w:val="105"/>
          <w:sz w:val="21"/>
        </w:rPr>
        <w:t> </w:t>
      </w:r>
      <w:r>
        <w:rPr>
          <w:spacing w:val="-3"/>
          <w:w w:val="105"/>
          <w:sz w:val="21"/>
        </w:rPr>
        <w:t>store</w:t>
      </w:r>
      <w:r>
        <w:rPr>
          <w:spacing w:val="-5"/>
          <w:w w:val="105"/>
          <w:sz w:val="21"/>
        </w:rPr>
        <w:t> </w:t>
      </w:r>
      <w:r>
        <w:rPr>
          <w:spacing w:val="-3"/>
          <w:w w:val="105"/>
          <w:sz w:val="21"/>
        </w:rPr>
        <w:t>floodwater.</w:t>
      </w:r>
      <w:r>
        <w:rPr>
          <w:spacing w:val="-3"/>
          <w:w w:val="105"/>
          <w:position w:val="7"/>
          <w:sz w:val="12"/>
        </w:rPr>
        <w:t>80</w:t>
      </w:r>
      <w:r>
        <w:rPr>
          <w:spacing w:val="17"/>
          <w:w w:val="105"/>
          <w:position w:val="7"/>
          <w:sz w:val="12"/>
        </w:rPr>
        <w:t> </w:t>
      </w:r>
      <w:r>
        <w:rPr>
          <w:w w:val="105"/>
          <w:sz w:val="21"/>
        </w:rPr>
        <w:t>Land</w:t>
      </w:r>
      <w:r>
        <w:rPr>
          <w:spacing w:val="-5"/>
          <w:w w:val="105"/>
          <w:sz w:val="21"/>
        </w:rPr>
        <w:t> </w:t>
      </w:r>
      <w:r>
        <w:rPr>
          <w:w w:val="105"/>
          <w:sz w:val="21"/>
        </w:rPr>
        <w:t>use</w:t>
      </w:r>
      <w:r>
        <w:rPr>
          <w:spacing w:val="-5"/>
          <w:w w:val="105"/>
          <w:sz w:val="21"/>
        </w:rPr>
        <w:t> </w:t>
      </w:r>
      <w:r>
        <w:rPr>
          <w:w w:val="105"/>
          <w:sz w:val="21"/>
        </w:rPr>
        <w:t>is</w:t>
      </w:r>
      <w:r>
        <w:rPr>
          <w:spacing w:val="-6"/>
          <w:w w:val="105"/>
          <w:sz w:val="21"/>
        </w:rPr>
        <w:t> </w:t>
      </w:r>
      <w:r>
        <w:rPr>
          <w:w w:val="105"/>
          <w:sz w:val="21"/>
        </w:rPr>
        <w:t>restricted</w:t>
      </w:r>
      <w:r>
        <w:rPr>
          <w:spacing w:val="-5"/>
          <w:w w:val="105"/>
          <w:sz w:val="21"/>
        </w:rPr>
        <w:t> </w:t>
      </w:r>
      <w:r>
        <w:rPr>
          <w:spacing w:val="-3"/>
          <w:w w:val="105"/>
          <w:sz w:val="21"/>
        </w:rPr>
        <w:t>to</w:t>
      </w:r>
      <w:r>
        <w:rPr>
          <w:spacing w:val="-5"/>
          <w:w w:val="105"/>
          <w:sz w:val="21"/>
        </w:rPr>
        <w:t> </w:t>
      </w:r>
      <w:r>
        <w:rPr>
          <w:w w:val="105"/>
          <w:sz w:val="21"/>
        </w:rPr>
        <w:t>uses</w:t>
      </w:r>
      <w:r>
        <w:rPr>
          <w:spacing w:val="-6"/>
          <w:w w:val="105"/>
          <w:sz w:val="21"/>
        </w:rPr>
        <w:t> </w:t>
      </w:r>
      <w:r>
        <w:rPr>
          <w:spacing w:val="-3"/>
          <w:w w:val="105"/>
          <w:sz w:val="21"/>
        </w:rPr>
        <w:t>such</w:t>
      </w:r>
      <w:r>
        <w:rPr>
          <w:spacing w:val="-5"/>
          <w:w w:val="105"/>
          <w:sz w:val="21"/>
        </w:rPr>
        <w:t> </w:t>
      </w:r>
      <w:r>
        <w:rPr>
          <w:w w:val="105"/>
          <w:sz w:val="21"/>
        </w:rPr>
        <w:t>as</w:t>
      </w:r>
      <w:r>
        <w:rPr>
          <w:spacing w:val="-5"/>
          <w:w w:val="105"/>
          <w:sz w:val="21"/>
        </w:rPr>
        <w:t> </w:t>
      </w:r>
      <w:r>
        <w:rPr>
          <w:spacing w:val="-3"/>
          <w:w w:val="105"/>
          <w:sz w:val="21"/>
        </w:rPr>
        <w:t>recreation</w:t>
      </w:r>
      <w:r>
        <w:rPr>
          <w:spacing w:val="-6"/>
          <w:w w:val="105"/>
          <w:sz w:val="21"/>
        </w:rPr>
        <w:t> </w:t>
      </w:r>
      <w:r>
        <w:rPr>
          <w:w w:val="105"/>
          <w:sz w:val="21"/>
        </w:rPr>
        <w:t>or </w:t>
      </w:r>
      <w:r>
        <w:rPr>
          <w:spacing w:val="-3"/>
          <w:w w:val="105"/>
          <w:sz w:val="21"/>
        </w:rPr>
        <w:t>agriculture.</w:t>
      </w:r>
      <w:r>
        <w:rPr>
          <w:spacing w:val="-3"/>
          <w:w w:val="105"/>
          <w:position w:val="7"/>
          <w:sz w:val="12"/>
        </w:rPr>
        <w:t>81 </w:t>
      </w:r>
      <w:r>
        <w:rPr>
          <w:w w:val="105"/>
          <w:sz w:val="21"/>
        </w:rPr>
        <w:t>The Port Zone covers </w:t>
      </w:r>
      <w:r>
        <w:rPr>
          <w:spacing w:val="-3"/>
          <w:w w:val="105"/>
          <w:sz w:val="21"/>
        </w:rPr>
        <w:t>Victoria’s commercial trading </w:t>
      </w:r>
      <w:r>
        <w:rPr>
          <w:w w:val="105"/>
          <w:sz w:val="21"/>
        </w:rPr>
        <w:t>ports and provides</w:t>
      </w:r>
      <w:r>
        <w:rPr>
          <w:spacing w:val="-34"/>
          <w:w w:val="105"/>
          <w:sz w:val="21"/>
        </w:rPr>
        <w:t> </w:t>
      </w:r>
      <w:r>
        <w:rPr>
          <w:spacing w:val="-3"/>
          <w:w w:val="105"/>
          <w:sz w:val="21"/>
        </w:rPr>
        <w:t>for</w:t>
      </w:r>
    </w:p>
    <w:p>
      <w:pPr>
        <w:pStyle w:val="BodyText"/>
        <w:spacing w:line="242" w:lineRule="auto" w:before="3"/>
        <w:ind w:left="2381" w:right="1584"/>
        <w:rPr>
          <w:sz w:val="12"/>
        </w:rPr>
      </w:pPr>
      <w:r>
        <w:rPr>
          <w:spacing w:val="-3"/>
          <w:w w:val="105"/>
        </w:rPr>
        <w:t>shipping, </w:t>
      </w:r>
      <w:r>
        <w:rPr>
          <w:w w:val="105"/>
        </w:rPr>
        <w:t>road and </w:t>
      </w:r>
      <w:r>
        <w:rPr>
          <w:spacing w:val="-3"/>
          <w:w w:val="105"/>
        </w:rPr>
        <w:t>railway </w:t>
      </w:r>
      <w:r>
        <w:rPr>
          <w:w w:val="105"/>
        </w:rPr>
        <w:t>access. It provides </w:t>
      </w:r>
      <w:r>
        <w:rPr>
          <w:spacing w:val="-3"/>
          <w:w w:val="105"/>
        </w:rPr>
        <w:t>for </w:t>
      </w:r>
      <w:r>
        <w:rPr>
          <w:w w:val="105"/>
        </w:rPr>
        <w:t>the use and development of </w:t>
      </w:r>
      <w:r>
        <w:rPr>
          <w:spacing w:val="-3"/>
          <w:w w:val="105"/>
        </w:rPr>
        <w:t>commercial trading </w:t>
      </w:r>
      <w:r>
        <w:rPr>
          <w:w w:val="105"/>
        </w:rPr>
        <w:t>ports </w:t>
      </w:r>
      <w:r>
        <w:rPr>
          <w:spacing w:val="-3"/>
          <w:w w:val="105"/>
        </w:rPr>
        <w:t>within </w:t>
      </w:r>
      <w:r>
        <w:rPr>
          <w:w w:val="105"/>
        </w:rPr>
        <w:t>Victoria </w:t>
      </w:r>
      <w:r>
        <w:rPr>
          <w:spacing w:val="-3"/>
          <w:w w:val="105"/>
        </w:rPr>
        <w:t>pursuant to </w:t>
      </w:r>
      <w:r>
        <w:rPr>
          <w:w w:val="105"/>
        </w:rPr>
        <w:t>the </w:t>
      </w:r>
      <w:r>
        <w:rPr>
          <w:i/>
          <w:w w:val="105"/>
        </w:rPr>
        <w:t>Port Management Act </w:t>
      </w:r>
      <w:r>
        <w:rPr>
          <w:i/>
          <w:spacing w:val="-6"/>
          <w:w w:val="105"/>
        </w:rPr>
        <w:t>1995 </w:t>
      </w:r>
      <w:r>
        <w:rPr>
          <w:w w:val="105"/>
        </w:rPr>
        <w:t>(Vic).</w:t>
      </w:r>
      <w:r>
        <w:rPr>
          <w:w w:val="105"/>
          <w:position w:val="7"/>
          <w:sz w:val="12"/>
        </w:rPr>
        <w:t>82</w:t>
      </w:r>
    </w:p>
    <w:p>
      <w:pPr>
        <w:pStyle w:val="Heading7"/>
        <w:spacing w:line="393" w:lineRule="auto" w:before="153"/>
        <w:ind w:right="4506"/>
      </w:pPr>
      <w:r>
        <w:rPr>
          <w:w w:val="115"/>
        </w:rPr>
        <w:t>Other jurisdictions—to which land should the Act apply? </w:t>
      </w:r>
      <w:r>
        <w:rPr>
          <w:color w:val="58595B"/>
          <w:w w:val="115"/>
        </w:rPr>
        <w:t>New South Wales</w:t>
      </w:r>
    </w:p>
    <w:p>
      <w:pPr>
        <w:pStyle w:val="ListParagraph"/>
        <w:numPr>
          <w:ilvl w:val="1"/>
          <w:numId w:val="16"/>
        </w:numPr>
        <w:tabs>
          <w:tab w:pos="2380" w:val="left" w:leader="none"/>
          <w:tab w:pos="2381" w:val="left" w:leader="none"/>
        </w:tabs>
        <w:spacing w:line="228" w:lineRule="exact" w:before="0" w:after="0"/>
        <w:ind w:left="2381" w:right="0" w:hanging="794"/>
        <w:jc w:val="left"/>
        <w:rPr>
          <w:sz w:val="21"/>
        </w:rPr>
      </w:pPr>
      <w:r>
        <w:rPr>
          <w:w w:val="105"/>
          <w:sz w:val="21"/>
        </w:rPr>
        <w:t>The application of the NSW Act was </w:t>
      </w:r>
      <w:r>
        <w:rPr>
          <w:spacing w:val="-3"/>
          <w:w w:val="105"/>
          <w:sz w:val="21"/>
        </w:rPr>
        <w:t>initially </w:t>
      </w:r>
      <w:r>
        <w:rPr>
          <w:w w:val="105"/>
          <w:sz w:val="21"/>
        </w:rPr>
        <w:t>restricted </w:t>
      </w:r>
      <w:r>
        <w:rPr>
          <w:spacing w:val="-3"/>
          <w:w w:val="105"/>
          <w:sz w:val="21"/>
        </w:rPr>
        <w:t>to </w:t>
      </w:r>
      <w:r>
        <w:rPr>
          <w:w w:val="105"/>
          <w:sz w:val="21"/>
        </w:rPr>
        <w:t>urban </w:t>
      </w:r>
      <w:r>
        <w:rPr>
          <w:spacing w:val="-3"/>
          <w:w w:val="105"/>
          <w:sz w:val="21"/>
        </w:rPr>
        <w:t>areas only.</w:t>
      </w:r>
      <w:r>
        <w:rPr>
          <w:spacing w:val="-3"/>
          <w:w w:val="105"/>
          <w:position w:val="7"/>
          <w:sz w:val="12"/>
        </w:rPr>
        <w:t>83 </w:t>
      </w:r>
      <w:r>
        <w:rPr>
          <w:w w:val="105"/>
          <w:sz w:val="21"/>
        </w:rPr>
        <w:t>Upon</w:t>
      </w:r>
      <w:r>
        <w:rPr>
          <w:spacing w:val="34"/>
          <w:w w:val="105"/>
          <w:sz w:val="21"/>
        </w:rPr>
        <w:t> </w:t>
      </w:r>
      <w:r>
        <w:rPr>
          <w:spacing w:val="-4"/>
          <w:w w:val="105"/>
          <w:sz w:val="21"/>
        </w:rPr>
        <w:t>review,</w:t>
      </w:r>
    </w:p>
    <w:p>
      <w:pPr>
        <w:pStyle w:val="BodyText"/>
        <w:spacing w:line="242" w:lineRule="auto" w:before="3"/>
        <w:ind w:left="2381" w:right="1517" w:hanging="1"/>
      </w:pPr>
      <w:r>
        <w:rPr>
          <w:w w:val="105"/>
        </w:rPr>
        <w:t>it was expanded </w:t>
      </w:r>
      <w:r>
        <w:rPr>
          <w:spacing w:val="-3"/>
          <w:w w:val="105"/>
        </w:rPr>
        <w:t>to include land </w:t>
      </w:r>
      <w:r>
        <w:rPr>
          <w:w w:val="105"/>
        </w:rPr>
        <w:t>zoned as rural–residential.</w:t>
      </w:r>
      <w:r>
        <w:rPr>
          <w:w w:val="105"/>
          <w:position w:val="7"/>
          <w:sz w:val="12"/>
        </w:rPr>
        <w:t>84 </w:t>
      </w:r>
      <w:r>
        <w:rPr>
          <w:w w:val="105"/>
        </w:rPr>
        <w:t>Rural–residential </w:t>
      </w:r>
      <w:r>
        <w:rPr>
          <w:spacing w:val="-3"/>
          <w:w w:val="105"/>
        </w:rPr>
        <w:t>land </w:t>
      </w:r>
      <w:r>
        <w:rPr>
          <w:spacing w:val="-2"/>
          <w:w w:val="105"/>
        </w:rPr>
        <w:t>had </w:t>
      </w:r>
      <w:r>
        <w:rPr>
          <w:w w:val="105"/>
        </w:rPr>
        <w:t>been </w:t>
      </w:r>
      <w:r>
        <w:rPr>
          <w:spacing w:val="-3"/>
          <w:w w:val="105"/>
        </w:rPr>
        <w:t>initially excluded </w:t>
      </w:r>
      <w:r>
        <w:rPr>
          <w:w w:val="105"/>
        </w:rPr>
        <w:t>because of </w:t>
      </w:r>
      <w:r>
        <w:rPr>
          <w:spacing w:val="-3"/>
          <w:w w:val="105"/>
        </w:rPr>
        <w:t>concerns that </w:t>
      </w:r>
      <w:r>
        <w:rPr>
          <w:w w:val="105"/>
        </w:rPr>
        <w:t>the NSW Act </w:t>
      </w:r>
      <w:r>
        <w:rPr>
          <w:spacing w:val="-3"/>
          <w:w w:val="105"/>
        </w:rPr>
        <w:t>might interfere </w:t>
      </w:r>
      <w:r>
        <w:rPr>
          <w:w w:val="105"/>
        </w:rPr>
        <w:t>with existing </w:t>
      </w:r>
      <w:r>
        <w:rPr>
          <w:spacing w:val="-3"/>
          <w:w w:val="105"/>
        </w:rPr>
        <w:t>legislation, for example, </w:t>
      </w:r>
      <w:r>
        <w:rPr>
          <w:w w:val="105"/>
        </w:rPr>
        <w:t>laws </w:t>
      </w:r>
      <w:r>
        <w:rPr>
          <w:spacing w:val="-3"/>
          <w:w w:val="105"/>
        </w:rPr>
        <w:t>relating to land clearing </w:t>
      </w:r>
      <w:r>
        <w:rPr>
          <w:w w:val="105"/>
        </w:rPr>
        <w:t>and </w:t>
      </w:r>
      <w:r>
        <w:rPr>
          <w:spacing w:val="-3"/>
          <w:w w:val="105"/>
        </w:rPr>
        <w:t>native </w:t>
      </w:r>
      <w:r>
        <w:rPr>
          <w:w w:val="105"/>
        </w:rPr>
        <w:t>vegetation.</w:t>
      </w:r>
      <w:r>
        <w:rPr>
          <w:w w:val="105"/>
          <w:position w:val="7"/>
          <w:sz w:val="12"/>
        </w:rPr>
        <w:t>85 </w:t>
      </w:r>
      <w:r>
        <w:rPr>
          <w:w w:val="105"/>
        </w:rPr>
        <w:t>This </w:t>
      </w:r>
      <w:r>
        <w:rPr>
          <w:spacing w:val="-3"/>
          <w:w w:val="105"/>
        </w:rPr>
        <w:t>meant that </w:t>
      </w:r>
      <w:r>
        <w:rPr>
          <w:w w:val="105"/>
        </w:rPr>
        <w:t>a person with a tree </w:t>
      </w:r>
      <w:r>
        <w:rPr>
          <w:spacing w:val="-3"/>
          <w:w w:val="105"/>
        </w:rPr>
        <w:t>dispute </w:t>
      </w:r>
      <w:r>
        <w:rPr>
          <w:w w:val="105"/>
        </w:rPr>
        <w:t>in a rural–residential </w:t>
      </w:r>
      <w:r>
        <w:rPr>
          <w:spacing w:val="-3"/>
          <w:w w:val="105"/>
        </w:rPr>
        <w:t>area </w:t>
      </w:r>
      <w:r>
        <w:rPr>
          <w:w w:val="105"/>
        </w:rPr>
        <w:t>was </w:t>
      </w:r>
      <w:r>
        <w:rPr>
          <w:spacing w:val="-2"/>
          <w:w w:val="105"/>
        </w:rPr>
        <w:t>not </w:t>
      </w:r>
      <w:r>
        <w:rPr>
          <w:w w:val="105"/>
        </w:rPr>
        <w:t>able </w:t>
      </w:r>
      <w:r>
        <w:rPr>
          <w:spacing w:val="-3"/>
          <w:w w:val="105"/>
        </w:rPr>
        <w:t>to </w:t>
      </w:r>
      <w:r>
        <w:rPr>
          <w:w w:val="105"/>
        </w:rPr>
        <w:t>seek a remedy under the NSW Act.</w:t>
      </w:r>
    </w:p>
    <w:p>
      <w:pPr>
        <w:pStyle w:val="ListParagraph"/>
        <w:numPr>
          <w:ilvl w:val="1"/>
          <w:numId w:val="16"/>
        </w:numPr>
        <w:tabs>
          <w:tab w:pos="2381" w:val="left" w:leader="none"/>
          <w:tab w:pos="2382" w:val="left" w:leader="none"/>
        </w:tabs>
        <w:spacing w:line="242" w:lineRule="auto" w:before="126" w:after="0"/>
        <w:ind w:left="2381" w:right="1586" w:hanging="794"/>
        <w:jc w:val="left"/>
        <w:rPr>
          <w:sz w:val="21"/>
        </w:rPr>
      </w:pPr>
      <w:r>
        <w:rPr>
          <w:sz w:val="21"/>
        </w:rPr>
        <w:t>The NSW Department of Justice and </w:t>
      </w:r>
      <w:r>
        <w:rPr>
          <w:spacing w:val="-3"/>
          <w:sz w:val="21"/>
        </w:rPr>
        <w:t>Attorney </w:t>
      </w:r>
      <w:r>
        <w:rPr>
          <w:sz w:val="21"/>
        </w:rPr>
        <w:t>General </w:t>
      </w:r>
      <w:r>
        <w:rPr>
          <w:spacing w:val="-3"/>
          <w:sz w:val="21"/>
        </w:rPr>
        <w:t>concluded that  </w:t>
      </w:r>
      <w:r>
        <w:rPr>
          <w:sz w:val="21"/>
        </w:rPr>
        <w:t>extending the NSW  Act </w:t>
      </w:r>
      <w:r>
        <w:rPr>
          <w:spacing w:val="-3"/>
          <w:sz w:val="21"/>
        </w:rPr>
        <w:t>to </w:t>
      </w:r>
      <w:r>
        <w:rPr>
          <w:sz w:val="21"/>
        </w:rPr>
        <w:t>rural–residential zones would </w:t>
      </w:r>
      <w:r>
        <w:rPr>
          <w:spacing w:val="-3"/>
          <w:sz w:val="21"/>
        </w:rPr>
        <w:t>overlap, </w:t>
      </w:r>
      <w:r>
        <w:rPr>
          <w:sz w:val="21"/>
        </w:rPr>
        <w:t>but </w:t>
      </w:r>
      <w:r>
        <w:rPr>
          <w:spacing w:val="-2"/>
          <w:sz w:val="21"/>
        </w:rPr>
        <w:t>not </w:t>
      </w:r>
      <w:r>
        <w:rPr>
          <w:spacing w:val="-3"/>
          <w:sz w:val="21"/>
        </w:rPr>
        <w:t>interfere, </w:t>
      </w:r>
      <w:r>
        <w:rPr>
          <w:sz w:val="21"/>
        </w:rPr>
        <w:t>with the </w:t>
      </w:r>
      <w:r>
        <w:rPr>
          <w:i/>
          <w:spacing w:val="-3"/>
          <w:sz w:val="21"/>
        </w:rPr>
        <w:t>Native  Vegetation </w:t>
      </w:r>
      <w:r>
        <w:rPr>
          <w:i/>
          <w:sz w:val="21"/>
        </w:rPr>
        <w:t>Act </w:t>
      </w:r>
      <w:r>
        <w:rPr>
          <w:i/>
          <w:spacing w:val="-3"/>
          <w:sz w:val="21"/>
        </w:rPr>
        <w:t>2003 </w:t>
      </w:r>
      <w:r>
        <w:rPr>
          <w:sz w:val="21"/>
        </w:rPr>
        <w:t>(NSW).</w:t>
      </w:r>
      <w:r>
        <w:rPr>
          <w:position w:val="7"/>
          <w:sz w:val="12"/>
        </w:rPr>
        <w:t>86 </w:t>
      </w:r>
      <w:r>
        <w:rPr>
          <w:sz w:val="21"/>
        </w:rPr>
        <w:t>The Native </w:t>
      </w:r>
      <w:r>
        <w:rPr>
          <w:spacing w:val="-3"/>
          <w:sz w:val="21"/>
        </w:rPr>
        <w:t>Vegetation </w:t>
      </w:r>
      <w:r>
        <w:rPr>
          <w:sz w:val="21"/>
        </w:rPr>
        <w:t>Act </w:t>
      </w:r>
      <w:r>
        <w:rPr>
          <w:spacing w:val="-3"/>
          <w:sz w:val="21"/>
        </w:rPr>
        <w:t>contained various exceptions relating to </w:t>
      </w:r>
      <w:r>
        <w:rPr>
          <w:sz w:val="21"/>
        </w:rPr>
        <w:t>the </w:t>
      </w:r>
      <w:r>
        <w:rPr>
          <w:spacing w:val="-3"/>
          <w:sz w:val="21"/>
        </w:rPr>
        <w:t>clearance </w:t>
      </w:r>
      <w:r>
        <w:rPr>
          <w:sz w:val="21"/>
        </w:rPr>
        <w:t>of vegetation </w:t>
      </w:r>
      <w:r>
        <w:rPr>
          <w:spacing w:val="-3"/>
          <w:sz w:val="21"/>
        </w:rPr>
        <w:t>to remove </w:t>
      </w:r>
      <w:r>
        <w:rPr>
          <w:sz w:val="21"/>
        </w:rPr>
        <w:t>or </w:t>
      </w:r>
      <w:r>
        <w:rPr>
          <w:spacing w:val="-3"/>
          <w:sz w:val="21"/>
        </w:rPr>
        <w:t>reduce </w:t>
      </w:r>
      <w:r>
        <w:rPr>
          <w:sz w:val="21"/>
        </w:rPr>
        <w:t>personal injury or damage </w:t>
      </w:r>
      <w:r>
        <w:rPr>
          <w:spacing w:val="-3"/>
          <w:sz w:val="21"/>
        </w:rPr>
        <w:t>to </w:t>
      </w:r>
      <w:r>
        <w:rPr>
          <w:sz w:val="21"/>
        </w:rPr>
        <w:t>property, which was the problem </w:t>
      </w:r>
      <w:r>
        <w:rPr>
          <w:spacing w:val="-3"/>
          <w:sz w:val="21"/>
        </w:rPr>
        <w:t>that </w:t>
      </w:r>
      <w:r>
        <w:rPr>
          <w:sz w:val="21"/>
        </w:rPr>
        <w:t>the NSW Act </w:t>
      </w:r>
      <w:r>
        <w:rPr>
          <w:spacing w:val="-3"/>
          <w:sz w:val="21"/>
        </w:rPr>
        <w:t>sought to </w:t>
      </w:r>
      <w:r>
        <w:rPr>
          <w:sz w:val="21"/>
        </w:rPr>
        <w:t>address.</w:t>
      </w:r>
      <w:r>
        <w:rPr>
          <w:position w:val="7"/>
          <w:sz w:val="12"/>
        </w:rPr>
        <w:t>87 </w:t>
      </w:r>
      <w:r>
        <w:rPr>
          <w:sz w:val="21"/>
        </w:rPr>
        <w:t>Amendment of the NSW  Act </w:t>
      </w:r>
      <w:r>
        <w:rPr>
          <w:spacing w:val="-3"/>
          <w:sz w:val="21"/>
        </w:rPr>
        <w:t>followed.</w:t>
      </w:r>
    </w:p>
    <w:p>
      <w:pPr>
        <w:pStyle w:val="ListParagraph"/>
        <w:numPr>
          <w:ilvl w:val="1"/>
          <w:numId w:val="16"/>
        </w:numPr>
        <w:tabs>
          <w:tab w:pos="2380" w:val="left" w:leader="none"/>
          <w:tab w:pos="2381" w:val="left" w:leader="none"/>
        </w:tabs>
        <w:spacing w:line="242" w:lineRule="auto" w:before="126" w:after="0"/>
        <w:ind w:left="2380" w:right="1845" w:hanging="793"/>
        <w:jc w:val="left"/>
        <w:rPr>
          <w:sz w:val="21"/>
        </w:rPr>
      </w:pPr>
      <w:r>
        <w:rPr>
          <w:spacing w:val="-4"/>
          <w:sz w:val="21"/>
        </w:rPr>
        <w:t>At </w:t>
      </w:r>
      <w:r>
        <w:rPr>
          <w:sz w:val="21"/>
        </w:rPr>
        <w:t>present, the NSW Act applies </w:t>
      </w:r>
      <w:r>
        <w:rPr>
          <w:spacing w:val="-3"/>
          <w:sz w:val="21"/>
        </w:rPr>
        <w:t>to land </w:t>
      </w:r>
      <w:r>
        <w:rPr>
          <w:sz w:val="21"/>
        </w:rPr>
        <w:t>zoned </w:t>
      </w:r>
      <w:r>
        <w:rPr>
          <w:spacing w:val="-3"/>
          <w:sz w:val="21"/>
        </w:rPr>
        <w:t>residential, </w:t>
      </w:r>
      <w:r>
        <w:rPr>
          <w:sz w:val="21"/>
        </w:rPr>
        <w:t>rural–residential, </w:t>
      </w:r>
      <w:r>
        <w:rPr>
          <w:spacing w:val="-3"/>
          <w:sz w:val="21"/>
        </w:rPr>
        <w:t>village, </w:t>
      </w:r>
      <w:r>
        <w:rPr>
          <w:spacing w:val="-4"/>
          <w:sz w:val="21"/>
        </w:rPr>
        <w:t>township, </w:t>
      </w:r>
      <w:r>
        <w:rPr>
          <w:spacing w:val="-3"/>
          <w:sz w:val="21"/>
        </w:rPr>
        <w:t>industrial </w:t>
      </w:r>
      <w:r>
        <w:rPr>
          <w:sz w:val="21"/>
        </w:rPr>
        <w:t>or business.</w:t>
      </w:r>
      <w:r>
        <w:rPr>
          <w:position w:val="7"/>
          <w:sz w:val="12"/>
        </w:rPr>
        <w:t>88 </w:t>
      </w:r>
      <w:r>
        <w:rPr>
          <w:sz w:val="21"/>
        </w:rPr>
        <w:t>In </w:t>
      </w:r>
      <w:r>
        <w:rPr>
          <w:spacing w:val="-3"/>
          <w:sz w:val="21"/>
        </w:rPr>
        <w:t>addition, land </w:t>
      </w:r>
      <w:r>
        <w:rPr>
          <w:sz w:val="21"/>
        </w:rPr>
        <w:t>outside  the  </w:t>
      </w:r>
      <w:r>
        <w:rPr>
          <w:spacing w:val="-2"/>
          <w:sz w:val="21"/>
        </w:rPr>
        <w:t>listed  </w:t>
      </w:r>
      <w:r>
        <w:rPr>
          <w:sz w:val="21"/>
        </w:rPr>
        <w:t>zones  </w:t>
      </w:r>
      <w:r>
        <w:rPr>
          <w:spacing w:val="-3"/>
          <w:sz w:val="21"/>
        </w:rPr>
        <w:t>may  </w:t>
      </w:r>
      <w:r>
        <w:rPr>
          <w:spacing w:val="-4"/>
          <w:sz w:val="21"/>
        </w:rPr>
        <w:t>fall </w:t>
      </w:r>
      <w:r>
        <w:rPr>
          <w:spacing w:val="-3"/>
          <w:sz w:val="21"/>
        </w:rPr>
        <w:t>within </w:t>
      </w:r>
      <w:r>
        <w:rPr>
          <w:sz w:val="21"/>
        </w:rPr>
        <w:t>the ambit of the NSW Act if the </w:t>
      </w:r>
      <w:r>
        <w:rPr>
          <w:spacing w:val="-3"/>
          <w:sz w:val="21"/>
        </w:rPr>
        <w:t>zone </w:t>
      </w:r>
      <w:r>
        <w:rPr>
          <w:spacing w:val="-2"/>
          <w:sz w:val="21"/>
        </w:rPr>
        <w:t>has </w:t>
      </w:r>
      <w:r>
        <w:rPr>
          <w:sz w:val="21"/>
        </w:rPr>
        <w:t>the </w:t>
      </w:r>
      <w:r>
        <w:rPr>
          <w:spacing w:val="-3"/>
          <w:sz w:val="21"/>
        </w:rPr>
        <w:t>substantial character </w:t>
      </w:r>
      <w:r>
        <w:rPr>
          <w:sz w:val="21"/>
        </w:rPr>
        <w:t>of one of the </w:t>
      </w:r>
      <w:r>
        <w:rPr>
          <w:spacing w:val="-2"/>
          <w:sz w:val="21"/>
        </w:rPr>
        <w:t>listed </w:t>
      </w:r>
      <w:r>
        <w:rPr>
          <w:sz w:val="21"/>
        </w:rPr>
        <w:t>zones.</w:t>
      </w:r>
      <w:r>
        <w:rPr>
          <w:position w:val="7"/>
          <w:sz w:val="12"/>
        </w:rPr>
        <w:t>89 </w:t>
      </w:r>
      <w:r>
        <w:rPr>
          <w:sz w:val="21"/>
        </w:rPr>
        <w:t>The NSW Act does </w:t>
      </w:r>
      <w:r>
        <w:rPr>
          <w:spacing w:val="-2"/>
          <w:sz w:val="21"/>
        </w:rPr>
        <w:t>not </w:t>
      </w:r>
      <w:r>
        <w:rPr>
          <w:sz w:val="21"/>
        </w:rPr>
        <w:t>appear </w:t>
      </w:r>
      <w:r>
        <w:rPr>
          <w:spacing w:val="-3"/>
          <w:sz w:val="21"/>
        </w:rPr>
        <w:t>to </w:t>
      </w:r>
      <w:r>
        <w:rPr>
          <w:sz w:val="21"/>
        </w:rPr>
        <w:t>apply </w:t>
      </w:r>
      <w:r>
        <w:rPr>
          <w:spacing w:val="-3"/>
          <w:sz w:val="21"/>
        </w:rPr>
        <w:t>to land that </w:t>
      </w:r>
      <w:r>
        <w:rPr>
          <w:sz w:val="21"/>
        </w:rPr>
        <w:t>is used </w:t>
      </w:r>
      <w:r>
        <w:rPr>
          <w:spacing w:val="-3"/>
          <w:sz w:val="21"/>
        </w:rPr>
        <w:t>for</w:t>
      </w:r>
      <w:r>
        <w:rPr>
          <w:spacing w:val="-10"/>
          <w:sz w:val="21"/>
        </w:rPr>
        <w:t> </w:t>
      </w:r>
      <w:r>
        <w:rPr>
          <w:sz w:val="21"/>
        </w:rPr>
        <w:t>primary</w:t>
      </w:r>
    </w:p>
    <w:p>
      <w:pPr>
        <w:pStyle w:val="BodyText"/>
        <w:spacing w:line="242" w:lineRule="auto" w:before="5"/>
        <w:ind w:left="2381" w:right="1636"/>
        <w:rPr>
          <w:sz w:val="12"/>
        </w:rPr>
      </w:pPr>
      <w:r>
        <w:rPr/>
        <w:t>production purposes, for example extensive agricultural uses, or land use that is permitted under the </w:t>
      </w:r>
      <w:r>
        <w:rPr>
          <w:i/>
        </w:rPr>
        <w:t>Forestry Act 2012 </w:t>
      </w:r>
      <w:r>
        <w:rPr/>
        <w:t>(NSW).</w:t>
      </w:r>
      <w:r>
        <w:rPr>
          <w:position w:val="7"/>
          <w:sz w:val="12"/>
        </w:rPr>
        <w:t>90</w:t>
      </w:r>
    </w:p>
    <w:p>
      <w:pPr>
        <w:pStyle w:val="ListParagraph"/>
        <w:numPr>
          <w:ilvl w:val="1"/>
          <w:numId w:val="16"/>
        </w:numPr>
        <w:tabs>
          <w:tab w:pos="2380" w:val="left" w:leader="none"/>
          <w:tab w:pos="2381" w:val="left" w:leader="none"/>
        </w:tabs>
        <w:spacing w:line="242" w:lineRule="auto" w:before="122" w:after="0"/>
        <w:ind w:left="2381" w:right="1685" w:hanging="794"/>
        <w:jc w:val="left"/>
        <w:rPr>
          <w:sz w:val="21"/>
        </w:rPr>
      </w:pPr>
      <w:r>
        <w:rPr>
          <w:w w:val="105"/>
          <w:sz w:val="21"/>
        </w:rPr>
        <w:t>The NSWLEC </w:t>
      </w:r>
      <w:r>
        <w:rPr>
          <w:spacing w:val="-3"/>
          <w:w w:val="105"/>
          <w:sz w:val="21"/>
        </w:rPr>
        <w:t>informed </w:t>
      </w:r>
      <w:r>
        <w:rPr>
          <w:w w:val="105"/>
          <w:sz w:val="21"/>
        </w:rPr>
        <w:t>the </w:t>
      </w:r>
      <w:r>
        <w:rPr>
          <w:spacing w:val="-3"/>
          <w:w w:val="105"/>
          <w:sz w:val="21"/>
        </w:rPr>
        <w:t>Commission that </w:t>
      </w:r>
      <w:r>
        <w:rPr>
          <w:w w:val="105"/>
          <w:sz w:val="21"/>
        </w:rPr>
        <w:t>most tree </w:t>
      </w:r>
      <w:r>
        <w:rPr>
          <w:spacing w:val="-3"/>
          <w:w w:val="105"/>
          <w:sz w:val="21"/>
        </w:rPr>
        <w:t>disputes originate from residential </w:t>
      </w:r>
      <w:r>
        <w:rPr>
          <w:w w:val="105"/>
          <w:sz w:val="21"/>
        </w:rPr>
        <w:t>zones, with </w:t>
      </w:r>
      <w:r>
        <w:rPr>
          <w:spacing w:val="-3"/>
          <w:w w:val="105"/>
          <w:sz w:val="21"/>
        </w:rPr>
        <w:t>few applications </w:t>
      </w:r>
      <w:r>
        <w:rPr>
          <w:w w:val="105"/>
          <w:sz w:val="21"/>
        </w:rPr>
        <w:t>being made beyond this</w:t>
      </w:r>
      <w:r>
        <w:rPr>
          <w:spacing w:val="42"/>
          <w:w w:val="105"/>
          <w:sz w:val="21"/>
        </w:rPr>
        <w:t> </w:t>
      </w:r>
      <w:r>
        <w:rPr>
          <w:spacing w:val="-4"/>
          <w:w w:val="105"/>
          <w:sz w:val="21"/>
        </w:rPr>
        <w:t>zone.</w:t>
      </w:r>
      <w:r>
        <w:rPr>
          <w:spacing w:val="-4"/>
          <w:w w:val="105"/>
          <w:position w:val="7"/>
          <w:sz w:val="12"/>
        </w:rPr>
        <w:t>91</w:t>
      </w:r>
    </w:p>
    <w:p>
      <w:pPr>
        <w:pStyle w:val="Heading7"/>
        <w:spacing w:before="152"/>
      </w:pPr>
      <w:r>
        <w:rPr>
          <w:color w:val="58595B"/>
          <w:w w:val="115"/>
        </w:rPr>
        <w:t>Queensland</w:t>
      </w:r>
    </w:p>
    <w:p>
      <w:pPr>
        <w:pStyle w:val="ListParagraph"/>
        <w:numPr>
          <w:ilvl w:val="1"/>
          <w:numId w:val="16"/>
        </w:numPr>
        <w:tabs>
          <w:tab w:pos="2381" w:val="left" w:leader="none"/>
          <w:tab w:pos="2382" w:val="left" w:leader="none"/>
        </w:tabs>
        <w:spacing w:line="242" w:lineRule="auto" w:before="143" w:after="0"/>
        <w:ind w:left="2381" w:right="1683" w:hanging="794"/>
        <w:jc w:val="left"/>
        <w:rPr>
          <w:sz w:val="21"/>
        </w:rPr>
      </w:pPr>
      <w:r>
        <w:rPr>
          <w:spacing w:val="-4"/>
          <w:sz w:val="21"/>
        </w:rPr>
        <w:t>Similarly, </w:t>
      </w:r>
      <w:r>
        <w:rPr>
          <w:sz w:val="21"/>
        </w:rPr>
        <w:t>the </w:t>
      </w:r>
      <w:r>
        <w:rPr>
          <w:spacing w:val="-3"/>
          <w:sz w:val="21"/>
        </w:rPr>
        <w:t>Queensland </w:t>
      </w:r>
      <w:r>
        <w:rPr>
          <w:sz w:val="21"/>
        </w:rPr>
        <w:t>Act applies </w:t>
      </w:r>
      <w:r>
        <w:rPr>
          <w:spacing w:val="-3"/>
          <w:sz w:val="21"/>
        </w:rPr>
        <w:t>to </w:t>
      </w:r>
      <w:r>
        <w:rPr>
          <w:sz w:val="21"/>
        </w:rPr>
        <w:t>urban </w:t>
      </w:r>
      <w:r>
        <w:rPr>
          <w:spacing w:val="-3"/>
          <w:sz w:val="21"/>
        </w:rPr>
        <w:t>areas </w:t>
      </w:r>
      <w:r>
        <w:rPr>
          <w:sz w:val="21"/>
        </w:rPr>
        <w:t>and rural–residential </w:t>
      </w:r>
      <w:r>
        <w:rPr>
          <w:spacing w:val="-4"/>
          <w:sz w:val="21"/>
        </w:rPr>
        <w:t>land.</w:t>
      </w:r>
      <w:r>
        <w:rPr>
          <w:spacing w:val="-4"/>
          <w:position w:val="7"/>
          <w:sz w:val="12"/>
        </w:rPr>
        <w:t>92 </w:t>
      </w:r>
      <w:r>
        <w:rPr>
          <w:sz w:val="21"/>
        </w:rPr>
        <w:t>The Act does </w:t>
      </w:r>
      <w:r>
        <w:rPr>
          <w:spacing w:val="-2"/>
          <w:sz w:val="21"/>
        </w:rPr>
        <w:t>not </w:t>
      </w:r>
      <w:r>
        <w:rPr>
          <w:sz w:val="21"/>
        </w:rPr>
        <w:t>apply </w:t>
      </w:r>
      <w:r>
        <w:rPr>
          <w:spacing w:val="-3"/>
          <w:sz w:val="21"/>
        </w:rPr>
        <w:t>to </w:t>
      </w:r>
      <w:r>
        <w:rPr>
          <w:sz w:val="21"/>
        </w:rPr>
        <w:t>trees </w:t>
      </w:r>
      <w:r>
        <w:rPr>
          <w:spacing w:val="-3"/>
          <w:sz w:val="21"/>
        </w:rPr>
        <w:t>situated </w:t>
      </w:r>
      <w:r>
        <w:rPr>
          <w:sz w:val="21"/>
        </w:rPr>
        <w:t>on </w:t>
      </w:r>
      <w:r>
        <w:rPr>
          <w:spacing w:val="-3"/>
          <w:sz w:val="21"/>
        </w:rPr>
        <w:t>rural land </w:t>
      </w:r>
      <w:r>
        <w:rPr>
          <w:sz w:val="21"/>
        </w:rPr>
        <w:t>or </w:t>
      </w:r>
      <w:r>
        <w:rPr>
          <w:spacing w:val="-3"/>
          <w:sz w:val="21"/>
        </w:rPr>
        <w:t>to land that </w:t>
      </w:r>
      <w:r>
        <w:rPr>
          <w:sz w:val="21"/>
        </w:rPr>
        <w:t>is more </w:t>
      </w:r>
      <w:r>
        <w:rPr>
          <w:spacing w:val="-3"/>
          <w:sz w:val="21"/>
        </w:rPr>
        <w:t>than four </w:t>
      </w:r>
      <w:r>
        <w:rPr>
          <w:sz w:val="21"/>
        </w:rPr>
        <w:t>hectares.</w:t>
      </w:r>
      <w:r>
        <w:rPr>
          <w:position w:val="7"/>
          <w:sz w:val="12"/>
        </w:rPr>
        <w:t>93  </w:t>
      </w:r>
      <w:r>
        <w:rPr>
          <w:sz w:val="12"/>
        </w:rPr>
        <w:t> </w:t>
      </w:r>
      <w:r>
        <w:rPr>
          <w:sz w:val="21"/>
        </w:rPr>
        <w:t>The Act also does </w:t>
      </w:r>
      <w:r>
        <w:rPr>
          <w:spacing w:val="-2"/>
          <w:sz w:val="21"/>
        </w:rPr>
        <w:t>not </w:t>
      </w:r>
      <w:r>
        <w:rPr>
          <w:sz w:val="21"/>
        </w:rPr>
        <w:t>apply </w:t>
      </w:r>
      <w:r>
        <w:rPr>
          <w:spacing w:val="-3"/>
          <w:sz w:val="21"/>
        </w:rPr>
        <w:t>to </w:t>
      </w:r>
      <w:r>
        <w:rPr>
          <w:sz w:val="21"/>
        </w:rPr>
        <w:t>trees </w:t>
      </w:r>
      <w:r>
        <w:rPr>
          <w:spacing w:val="-3"/>
          <w:sz w:val="21"/>
        </w:rPr>
        <w:t>planted </w:t>
      </w:r>
      <w:r>
        <w:rPr>
          <w:sz w:val="21"/>
        </w:rPr>
        <w:t>or </w:t>
      </w:r>
      <w:r>
        <w:rPr>
          <w:spacing w:val="-3"/>
          <w:sz w:val="21"/>
        </w:rPr>
        <w:t>maintained for commercial</w:t>
      </w:r>
      <w:r>
        <w:rPr>
          <w:spacing w:val="31"/>
          <w:sz w:val="21"/>
        </w:rPr>
        <w:t> </w:t>
      </w:r>
      <w:r>
        <w:rPr>
          <w:sz w:val="21"/>
        </w:rPr>
        <w:t>purposes.</w:t>
      </w:r>
      <w:r>
        <w:rPr>
          <w:position w:val="7"/>
          <w:sz w:val="12"/>
        </w:rPr>
        <w:t>94</w:t>
      </w:r>
    </w:p>
    <w:p>
      <w:pPr>
        <w:pStyle w:val="BodyText"/>
        <w:rPr>
          <w:sz w:val="20"/>
        </w:rPr>
      </w:pPr>
    </w:p>
    <w:p>
      <w:pPr>
        <w:pStyle w:val="BodyText"/>
        <w:rPr>
          <w:sz w:val="20"/>
        </w:rPr>
      </w:pPr>
    </w:p>
    <w:p>
      <w:pPr>
        <w:pStyle w:val="BodyText"/>
        <w:rPr>
          <w:sz w:val="20"/>
        </w:rPr>
      </w:pPr>
    </w:p>
    <w:p>
      <w:pPr>
        <w:pStyle w:val="BodyText"/>
        <w:spacing w:before="6"/>
        <w:rPr>
          <w:sz w:val="18"/>
        </w:rPr>
      </w:pPr>
      <w:r>
        <w:rPr/>
        <w:pict>
          <v:line style="position:absolute;mso-position-horizontal-relative:page;mso-position-vertical-relative:paragraph;z-index:3584;mso-wrap-distance-left:0;mso-wrap-distance-right:0" from="79.370003pt,13.753834pt" to="515.905003pt,13.753834pt" stroked="true" strokeweight="1pt" strokecolor="#c9d2cb">
            <v:stroke dashstyle="solid"/>
            <w10:wrap type="topAndBottom"/>
          </v:line>
        </w:pict>
      </w:r>
    </w:p>
    <w:p>
      <w:pPr>
        <w:pStyle w:val="ListParagraph"/>
        <w:numPr>
          <w:ilvl w:val="0"/>
          <w:numId w:val="50"/>
        </w:numPr>
        <w:tabs>
          <w:tab w:pos="2380" w:val="left" w:leader="none"/>
          <w:tab w:pos="2382" w:val="left" w:leader="none"/>
        </w:tabs>
        <w:spacing w:line="240" w:lineRule="auto" w:before="117" w:after="0"/>
        <w:ind w:left="2381" w:right="0" w:hanging="794"/>
        <w:jc w:val="left"/>
        <w:rPr>
          <w:sz w:val="13"/>
        </w:rPr>
      </w:pPr>
      <w:r>
        <w:rPr>
          <w:w w:val="105"/>
          <w:sz w:val="13"/>
        </w:rPr>
        <w:t>Department</w:t>
      </w:r>
      <w:r>
        <w:rPr>
          <w:spacing w:val="4"/>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4"/>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Using</w:t>
      </w:r>
      <w:r>
        <w:rPr>
          <w:i/>
          <w:spacing w:val="4"/>
          <w:w w:val="105"/>
          <w:sz w:val="13"/>
        </w:rPr>
        <w:t> </w:t>
      </w:r>
      <w:r>
        <w:rPr>
          <w:i/>
          <w:w w:val="105"/>
          <w:sz w:val="13"/>
        </w:rPr>
        <w:t>Victoria’s</w:t>
      </w:r>
      <w:r>
        <w:rPr>
          <w:i/>
          <w:spacing w:val="5"/>
          <w:w w:val="105"/>
          <w:sz w:val="13"/>
        </w:rPr>
        <w:t> </w:t>
      </w:r>
      <w:r>
        <w:rPr>
          <w:i/>
          <w:w w:val="105"/>
          <w:sz w:val="13"/>
        </w:rPr>
        <w:t>Planning</w:t>
      </w:r>
      <w:r>
        <w:rPr>
          <w:i/>
          <w:spacing w:val="5"/>
          <w:w w:val="105"/>
          <w:sz w:val="13"/>
        </w:rPr>
        <w:t> </w:t>
      </w:r>
      <w:r>
        <w:rPr>
          <w:i/>
          <w:w w:val="105"/>
          <w:sz w:val="13"/>
        </w:rPr>
        <w:t>System</w:t>
      </w:r>
      <w:r>
        <w:rPr>
          <w:i/>
          <w:spacing w:val="5"/>
          <w:w w:val="105"/>
          <w:sz w:val="13"/>
        </w:rPr>
        <w:t> </w:t>
      </w:r>
      <w:r>
        <w:rPr>
          <w:w w:val="105"/>
          <w:sz w:val="13"/>
        </w:rPr>
        <w:t>(Guide,</w:t>
      </w:r>
      <w:r>
        <w:rPr>
          <w:spacing w:val="4"/>
          <w:w w:val="105"/>
          <w:sz w:val="13"/>
        </w:rPr>
        <w:t> </w:t>
      </w:r>
      <w:r>
        <w:rPr>
          <w:w w:val="105"/>
          <w:sz w:val="13"/>
        </w:rPr>
        <w:t>28</w:t>
      </w:r>
      <w:r>
        <w:rPr>
          <w:spacing w:val="5"/>
          <w:w w:val="105"/>
          <w:sz w:val="13"/>
        </w:rPr>
        <w:t> </w:t>
      </w:r>
      <w:r>
        <w:rPr>
          <w:w w:val="105"/>
          <w:sz w:val="13"/>
        </w:rPr>
        <w:t>May</w:t>
      </w:r>
      <w:r>
        <w:rPr>
          <w:spacing w:val="5"/>
          <w:w w:val="105"/>
          <w:sz w:val="13"/>
        </w:rPr>
        <w:t> </w:t>
      </w:r>
      <w:r>
        <w:rPr>
          <w:w w:val="105"/>
          <w:sz w:val="13"/>
        </w:rPr>
        <w:t>2015)</w:t>
      </w:r>
    </w:p>
    <w:p>
      <w:pPr>
        <w:spacing w:before="1"/>
        <w:ind w:left="2381" w:right="0" w:firstLine="0"/>
        <w:jc w:val="left"/>
        <w:rPr>
          <w:sz w:val="13"/>
        </w:rPr>
      </w:pPr>
      <w:r>
        <w:rPr>
          <w:w w:val="105"/>
          <w:sz w:val="13"/>
        </w:rPr>
        <w:t>&lt;</w:t>
      </w:r>
      <w:hyperlink r:id="rId95">
        <w:r>
          <w:rPr>
            <w:w w:val="105"/>
            <w:sz w:val="13"/>
          </w:rPr>
          <w:t>www.planning.vic.gov.au/guide-home/using-victorias-planning-system</w:t>
        </w:r>
      </w:hyperlink>
      <w:r>
        <w:rPr>
          <w:w w:val="105"/>
          <w:sz w:val="13"/>
        </w:rPr>
        <w:t>&gt;.</w:t>
      </w:r>
    </w:p>
    <w:p>
      <w:pPr>
        <w:pStyle w:val="ListParagraph"/>
        <w:numPr>
          <w:ilvl w:val="0"/>
          <w:numId w:val="50"/>
        </w:numPr>
        <w:tabs>
          <w:tab w:pos="2380" w:val="left" w:leader="none"/>
          <w:tab w:pos="2382" w:val="left" w:leader="none"/>
        </w:tabs>
        <w:spacing w:line="240" w:lineRule="auto" w:before="2" w:after="0"/>
        <w:ind w:left="2381" w:right="1877" w:hanging="794"/>
        <w:jc w:val="left"/>
        <w:rPr>
          <w:sz w:val="13"/>
        </w:rPr>
      </w:pPr>
      <w:r>
        <w:rPr>
          <w:w w:val="105"/>
          <w:sz w:val="13"/>
        </w:rPr>
        <w:t>Melbourne Water, </w:t>
      </w:r>
      <w:r>
        <w:rPr>
          <w:i/>
          <w:w w:val="105"/>
          <w:sz w:val="13"/>
        </w:rPr>
        <w:t>Overlays Explained </w:t>
      </w:r>
      <w:r>
        <w:rPr>
          <w:w w:val="105"/>
          <w:sz w:val="13"/>
        </w:rPr>
        <w:t>(Web Page, 26 September 2017) &lt;https://</w:t>
      </w:r>
      <w:hyperlink r:id="rId98">
        <w:r>
          <w:rPr>
            <w:w w:val="105"/>
            <w:sz w:val="13"/>
          </w:rPr>
          <w:t>www.melbournewater.com.au/planning-and-building/</w:t>
        </w:r>
      </w:hyperlink>
      <w:r>
        <w:rPr>
          <w:w w:val="105"/>
          <w:sz w:val="13"/>
        </w:rPr>
        <w:t> flooding-information-and-advice/overlays-explained&gt;.</w:t>
      </w:r>
    </w:p>
    <w:p>
      <w:pPr>
        <w:pStyle w:val="ListParagraph"/>
        <w:numPr>
          <w:ilvl w:val="0"/>
          <w:numId w:val="50"/>
        </w:numPr>
        <w:tabs>
          <w:tab w:pos="2380" w:val="left" w:leader="none"/>
          <w:tab w:pos="2382" w:val="left" w:leader="none"/>
        </w:tabs>
        <w:spacing w:line="240" w:lineRule="auto" w:before="2" w:after="0"/>
        <w:ind w:left="2381" w:right="0" w:hanging="794"/>
        <w:jc w:val="left"/>
        <w:rPr>
          <w:sz w:val="13"/>
        </w:rPr>
      </w:pPr>
      <w:r>
        <w:rPr>
          <w:w w:val="105"/>
          <w:sz w:val="13"/>
        </w:rPr>
        <w:t>Department</w:t>
      </w:r>
      <w:r>
        <w:rPr>
          <w:spacing w:val="4"/>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4"/>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Victoria</w:t>
      </w:r>
      <w:r>
        <w:rPr>
          <w:i/>
          <w:spacing w:val="5"/>
          <w:w w:val="105"/>
          <w:sz w:val="13"/>
        </w:rPr>
        <w:t> </w:t>
      </w:r>
      <w:r>
        <w:rPr>
          <w:i/>
          <w:w w:val="105"/>
          <w:sz w:val="13"/>
        </w:rPr>
        <w:t>Planning</w:t>
      </w:r>
      <w:r>
        <w:rPr>
          <w:i/>
          <w:spacing w:val="4"/>
          <w:w w:val="105"/>
          <w:sz w:val="13"/>
        </w:rPr>
        <w:t> </w:t>
      </w:r>
      <w:r>
        <w:rPr>
          <w:i/>
          <w:w w:val="105"/>
          <w:sz w:val="13"/>
        </w:rPr>
        <w:t>Provisions</w:t>
      </w:r>
      <w:r>
        <w:rPr>
          <w:i/>
          <w:spacing w:val="5"/>
          <w:w w:val="105"/>
          <w:sz w:val="13"/>
        </w:rPr>
        <w:t> </w:t>
      </w:r>
      <w:r>
        <w:rPr>
          <w:spacing w:val="-5"/>
          <w:w w:val="105"/>
          <w:sz w:val="13"/>
        </w:rPr>
        <w:t>(11</w:t>
      </w:r>
      <w:r>
        <w:rPr>
          <w:spacing w:val="5"/>
          <w:w w:val="105"/>
          <w:sz w:val="13"/>
        </w:rPr>
        <w:t> </w:t>
      </w:r>
      <w:r>
        <w:rPr>
          <w:w w:val="105"/>
          <w:sz w:val="13"/>
        </w:rPr>
        <w:t>April</w:t>
      </w:r>
      <w:r>
        <w:rPr>
          <w:spacing w:val="5"/>
          <w:w w:val="105"/>
          <w:sz w:val="13"/>
        </w:rPr>
        <w:t> </w:t>
      </w:r>
      <w:r>
        <w:rPr>
          <w:w w:val="105"/>
          <w:sz w:val="13"/>
        </w:rPr>
        <w:t>2019)</w:t>
      </w:r>
      <w:r>
        <w:rPr>
          <w:spacing w:val="4"/>
          <w:w w:val="105"/>
          <w:sz w:val="13"/>
        </w:rPr>
        <w:t> </w:t>
      </w:r>
      <w:r>
        <w:rPr>
          <w:w w:val="105"/>
          <w:sz w:val="13"/>
        </w:rPr>
        <w:t>cl</w:t>
      </w:r>
      <w:r>
        <w:rPr>
          <w:spacing w:val="5"/>
          <w:w w:val="105"/>
          <w:sz w:val="13"/>
        </w:rPr>
        <w:t> </w:t>
      </w:r>
      <w:r>
        <w:rPr>
          <w:w w:val="105"/>
          <w:sz w:val="13"/>
        </w:rPr>
        <w:t>37.09.</w:t>
      </w:r>
    </w:p>
    <w:p>
      <w:pPr>
        <w:pStyle w:val="ListParagraph"/>
        <w:numPr>
          <w:ilvl w:val="0"/>
          <w:numId w:val="50"/>
        </w:numPr>
        <w:tabs>
          <w:tab w:pos="2380" w:val="left" w:leader="none"/>
          <w:tab w:pos="2382" w:val="left" w:leader="none"/>
        </w:tabs>
        <w:spacing w:line="240" w:lineRule="auto" w:before="2" w:after="0"/>
        <w:ind w:left="2381" w:right="1663" w:hanging="794"/>
        <w:jc w:val="left"/>
        <w:rPr>
          <w:sz w:val="13"/>
        </w:rPr>
      </w:pPr>
      <w:r>
        <w:rPr>
          <w:w w:val="105"/>
          <w:sz w:val="13"/>
        </w:rPr>
        <w:t>Department of Justice and Attorney-General </w:t>
      </w:r>
      <w:r>
        <w:rPr>
          <w:spacing w:val="3"/>
          <w:w w:val="105"/>
          <w:sz w:val="13"/>
        </w:rPr>
        <w:t>(NSW), </w:t>
      </w:r>
      <w:r>
        <w:rPr>
          <w:i/>
          <w:w w:val="105"/>
          <w:sz w:val="13"/>
        </w:rPr>
        <w:t>Review of the Trees (Disputes Between Neighbours) Act 2006 </w:t>
      </w:r>
      <w:r>
        <w:rPr>
          <w:spacing w:val="2"/>
          <w:w w:val="105"/>
          <w:sz w:val="13"/>
        </w:rPr>
        <w:t>(Report, 2009) </w:t>
      </w:r>
      <w:r>
        <w:rPr>
          <w:w w:val="105"/>
          <w:sz w:val="13"/>
        </w:rPr>
        <w:t>40. This included land zoned as residential, township or</w:t>
      </w:r>
      <w:r>
        <w:rPr>
          <w:spacing w:val="1"/>
          <w:w w:val="105"/>
          <w:sz w:val="13"/>
        </w:rPr>
        <w:t> </w:t>
      </w:r>
      <w:r>
        <w:rPr>
          <w:w w:val="105"/>
          <w:sz w:val="13"/>
        </w:rPr>
        <w:t>industrial.</w:t>
      </w:r>
    </w:p>
    <w:p>
      <w:pPr>
        <w:pStyle w:val="ListParagraph"/>
        <w:numPr>
          <w:ilvl w:val="0"/>
          <w:numId w:val="50"/>
        </w:numPr>
        <w:tabs>
          <w:tab w:pos="2380" w:val="left" w:leader="none"/>
          <w:tab w:pos="2382" w:val="left" w:leader="none"/>
        </w:tabs>
        <w:spacing w:line="240" w:lineRule="auto" w:before="2" w:after="0"/>
        <w:ind w:left="2381" w:right="0" w:hanging="794"/>
        <w:jc w:val="left"/>
        <w:rPr>
          <w:sz w:val="13"/>
        </w:rPr>
      </w:pPr>
      <w:r>
        <w:rPr>
          <w:i/>
          <w:w w:val="105"/>
          <w:sz w:val="13"/>
        </w:rPr>
        <w:t>Trees (Disputes Between Neighbours) Act 2006 </w:t>
      </w:r>
      <w:r>
        <w:rPr>
          <w:spacing w:val="3"/>
          <w:w w:val="105"/>
          <w:sz w:val="13"/>
        </w:rPr>
        <w:t>(NSW) </w:t>
      </w:r>
      <w:r>
        <w:rPr>
          <w:w w:val="105"/>
          <w:sz w:val="13"/>
        </w:rPr>
        <w:t>s</w:t>
      </w:r>
      <w:r>
        <w:rPr>
          <w:spacing w:val="4"/>
          <w:w w:val="105"/>
          <w:sz w:val="13"/>
        </w:rPr>
        <w:t> </w:t>
      </w:r>
      <w:r>
        <w:rPr>
          <w:spacing w:val="3"/>
          <w:w w:val="105"/>
          <w:sz w:val="13"/>
        </w:rPr>
        <w:t>4(1)(a).</w:t>
      </w:r>
    </w:p>
    <w:p>
      <w:pPr>
        <w:pStyle w:val="ListParagraph"/>
        <w:numPr>
          <w:ilvl w:val="0"/>
          <w:numId w:val="50"/>
        </w:numPr>
        <w:tabs>
          <w:tab w:pos="2380" w:val="left" w:leader="none"/>
          <w:tab w:pos="2382" w:val="left" w:leader="none"/>
        </w:tabs>
        <w:spacing w:line="240" w:lineRule="auto" w:before="2" w:after="0"/>
        <w:ind w:left="2381" w:right="1758" w:hanging="794"/>
        <w:jc w:val="left"/>
        <w:rPr>
          <w:sz w:val="13"/>
        </w:rPr>
      </w:pPr>
      <w:r>
        <w:rPr>
          <w:w w:val="105"/>
          <w:sz w:val="13"/>
        </w:rPr>
        <w:t>Department of Justice and Attorney General </w:t>
      </w:r>
      <w:r>
        <w:rPr>
          <w:spacing w:val="3"/>
          <w:w w:val="105"/>
          <w:sz w:val="13"/>
        </w:rPr>
        <w:t>(NSW), </w:t>
      </w:r>
      <w:r>
        <w:rPr>
          <w:i/>
          <w:w w:val="105"/>
          <w:sz w:val="13"/>
        </w:rPr>
        <w:t>Review of the Trees (Disputes Between Neighbours) Act 2006 </w:t>
      </w:r>
      <w:r>
        <w:rPr>
          <w:spacing w:val="3"/>
          <w:w w:val="105"/>
          <w:sz w:val="13"/>
        </w:rPr>
        <w:t>(NSW) </w:t>
      </w:r>
      <w:r>
        <w:rPr>
          <w:spacing w:val="2"/>
          <w:w w:val="105"/>
          <w:sz w:val="13"/>
        </w:rPr>
        <w:t>(Report, 2009)  40.</w:t>
      </w:r>
    </w:p>
    <w:p>
      <w:pPr>
        <w:pStyle w:val="ListParagraph"/>
        <w:numPr>
          <w:ilvl w:val="0"/>
          <w:numId w:val="50"/>
        </w:numPr>
        <w:tabs>
          <w:tab w:pos="2380" w:val="left" w:leader="none"/>
          <w:tab w:pos="2382" w:val="left" w:leader="none"/>
        </w:tabs>
        <w:spacing w:line="240" w:lineRule="auto" w:before="2" w:after="0"/>
        <w:ind w:left="2381" w:right="1608" w:hanging="794"/>
        <w:jc w:val="left"/>
        <w:rPr>
          <w:sz w:val="13"/>
        </w:rPr>
      </w:pPr>
      <w:r>
        <w:rPr>
          <w:w w:val="105"/>
          <w:sz w:val="13"/>
        </w:rPr>
        <w:t>The </w:t>
      </w:r>
      <w:r>
        <w:rPr>
          <w:i/>
          <w:w w:val="105"/>
          <w:sz w:val="13"/>
        </w:rPr>
        <w:t>Native Vegetation Act 2003 </w:t>
      </w:r>
      <w:r>
        <w:rPr>
          <w:spacing w:val="3"/>
          <w:w w:val="105"/>
          <w:sz w:val="13"/>
        </w:rPr>
        <w:t>(NSW) </w:t>
      </w:r>
      <w:r>
        <w:rPr>
          <w:w w:val="105"/>
          <w:sz w:val="13"/>
        </w:rPr>
        <w:t>was repealed on 25 August </w:t>
      </w:r>
      <w:r>
        <w:rPr>
          <w:spacing w:val="-5"/>
          <w:w w:val="105"/>
          <w:sz w:val="13"/>
        </w:rPr>
        <w:t>2017.  </w:t>
      </w:r>
      <w:r>
        <w:rPr>
          <w:w w:val="105"/>
          <w:sz w:val="13"/>
        </w:rPr>
        <w:t>Current legislation governing the clearing of native vegetation is     the </w:t>
      </w:r>
      <w:r>
        <w:rPr>
          <w:i/>
          <w:w w:val="105"/>
          <w:sz w:val="13"/>
        </w:rPr>
        <w:t>Local Land Services Act </w:t>
      </w:r>
      <w:r>
        <w:rPr>
          <w:i/>
          <w:spacing w:val="-3"/>
          <w:w w:val="105"/>
          <w:sz w:val="13"/>
        </w:rPr>
        <w:t>2013 </w:t>
      </w:r>
      <w:r>
        <w:rPr>
          <w:w w:val="105"/>
          <w:sz w:val="13"/>
        </w:rPr>
        <w:t>and the </w:t>
      </w:r>
      <w:r>
        <w:rPr>
          <w:i/>
          <w:w w:val="105"/>
          <w:sz w:val="13"/>
        </w:rPr>
        <w:t>Biodiversity Conservation Act 2016</w:t>
      </w:r>
      <w:r>
        <w:rPr>
          <w:w w:val="105"/>
          <w:sz w:val="13"/>
        </w:rPr>
        <w:t>: Office of Environment and Heritage </w:t>
      </w:r>
      <w:r>
        <w:rPr>
          <w:spacing w:val="3"/>
          <w:w w:val="105"/>
          <w:sz w:val="13"/>
        </w:rPr>
        <w:t>(NSW), </w:t>
      </w:r>
      <w:r>
        <w:rPr>
          <w:i/>
          <w:w w:val="105"/>
          <w:sz w:val="13"/>
        </w:rPr>
        <w:t>Native Vegetation</w:t>
      </w:r>
      <w:r>
        <w:rPr>
          <w:i/>
          <w:spacing w:val="30"/>
          <w:w w:val="105"/>
          <w:sz w:val="13"/>
        </w:rPr>
        <w:t> </w:t>
      </w:r>
      <w:r>
        <w:rPr>
          <w:i/>
          <w:w w:val="105"/>
          <w:sz w:val="13"/>
        </w:rPr>
        <w:t>Act 2003 </w:t>
      </w:r>
      <w:r>
        <w:rPr>
          <w:w w:val="105"/>
          <w:sz w:val="13"/>
        </w:rPr>
        <w:t>(Web Page, </w:t>
      </w:r>
      <w:r>
        <w:rPr>
          <w:spacing w:val="-4"/>
          <w:w w:val="105"/>
          <w:sz w:val="13"/>
        </w:rPr>
        <w:t>17 </w:t>
      </w:r>
      <w:r>
        <w:rPr>
          <w:w w:val="105"/>
          <w:sz w:val="13"/>
        </w:rPr>
        <w:t>August 2018)</w:t>
      </w:r>
      <w:r>
        <w:rPr>
          <w:spacing w:val="20"/>
          <w:w w:val="105"/>
          <w:sz w:val="13"/>
        </w:rPr>
        <w:t> </w:t>
      </w:r>
      <w:r>
        <w:rPr>
          <w:w w:val="105"/>
          <w:sz w:val="13"/>
        </w:rPr>
        <w:t>&lt;https://</w:t>
      </w:r>
      <w:hyperlink r:id="rId99">
        <w:r>
          <w:rPr>
            <w:w w:val="105"/>
            <w:sz w:val="13"/>
          </w:rPr>
          <w:t>www.environment.nsw.gov.au/vegetation/nvact.htm</w:t>
        </w:r>
      </w:hyperlink>
      <w:r>
        <w:rPr>
          <w:w w:val="105"/>
          <w:sz w:val="13"/>
        </w:rPr>
        <w:t>&gt;.</w:t>
      </w:r>
    </w:p>
    <w:p>
      <w:pPr>
        <w:pStyle w:val="ListParagraph"/>
        <w:numPr>
          <w:ilvl w:val="0"/>
          <w:numId w:val="50"/>
        </w:numPr>
        <w:tabs>
          <w:tab w:pos="2380" w:val="left" w:leader="none"/>
          <w:tab w:pos="2382" w:val="left" w:leader="none"/>
        </w:tabs>
        <w:spacing w:line="240" w:lineRule="auto" w:before="4" w:after="0"/>
        <w:ind w:left="2381" w:right="0" w:hanging="794"/>
        <w:jc w:val="left"/>
        <w:rPr>
          <w:sz w:val="13"/>
        </w:rPr>
      </w:pPr>
      <w:r>
        <w:rPr>
          <w:w w:val="105"/>
          <w:sz w:val="13"/>
        </w:rPr>
        <w:t>Department</w:t>
      </w:r>
      <w:r>
        <w:rPr>
          <w:spacing w:val="5"/>
          <w:w w:val="105"/>
          <w:sz w:val="13"/>
        </w:rPr>
        <w:t> </w:t>
      </w:r>
      <w:r>
        <w:rPr>
          <w:w w:val="105"/>
          <w:sz w:val="13"/>
        </w:rPr>
        <w:t>of</w:t>
      </w:r>
      <w:r>
        <w:rPr>
          <w:spacing w:val="6"/>
          <w:w w:val="105"/>
          <w:sz w:val="13"/>
        </w:rPr>
        <w:t> </w:t>
      </w:r>
      <w:r>
        <w:rPr>
          <w:w w:val="105"/>
          <w:sz w:val="13"/>
        </w:rPr>
        <w:t>Justice</w:t>
      </w:r>
      <w:r>
        <w:rPr>
          <w:spacing w:val="5"/>
          <w:w w:val="105"/>
          <w:sz w:val="13"/>
        </w:rPr>
        <w:t> </w:t>
      </w:r>
      <w:r>
        <w:rPr>
          <w:w w:val="105"/>
          <w:sz w:val="13"/>
        </w:rPr>
        <w:t>and</w:t>
      </w:r>
      <w:r>
        <w:rPr>
          <w:spacing w:val="6"/>
          <w:w w:val="105"/>
          <w:sz w:val="13"/>
        </w:rPr>
        <w:t> </w:t>
      </w:r>
      <w:r>
        <w:rPr>
          <w:w w:val="105"/>
          <w:sz w:val="13"/>
        </w:rPr>
        <w:t>Attorney</w:t>
      </w:r>
      <w:r>
        <w:rPr>
          <w:spacing w:val="6"/>
          <w:w w:val="105"/>
          <w:sz w:val="13"/>
        </w:rPr>
        <w:t> </w:t>
      </w:r>
      <w:r>
        <w:rPr>
          <w:w w:val="105"/>
          <w:sz w:val="13"/>
        </w:rPr>
        <w:t>General</w:t>
      </w:r>
      <w:r>
        <w:rPr>
          <w:spacing w:val="5"/>
          <w:w w:val="105"/>
          <w:sz w:val="13"/>
        </w:rPr>
        <w:t> </w:t>
      </w:r>
      <w:r>
        <w:rPr>
          <w:spacing w:val="3"/>
          <w:w w:val="105"/>
          <w:sz w:val="13"/>
        </w:rPr>
        <w:t>(NSW),</w:t>
      </w:r>
      <w:r>
        <w:rPr>
          <w:spacing w:val="6"/>
          <w:w w:val="105"/>
          <w:sz w:val="13"/>
        </w:rPr>
        <w:t> </w:t>
      </w:r>
      <w:r>
        <w:rPr>
          <w:i/>
          <w:w w:val="105"/>
          <w:sz w:val="13"/>
        </w:rPr>
        <w:t>Review</w:t>
      </w:r>
      <w:r>
        <w:rPr>
          <w:i/>
          <w:spacing w:val="6"/>
          <w:w w:val="105"/>
          <w:sz w:val="13"/>
        </w:rPr>
        <w:t> </w:t>
      </w:r>
      <w:r>
        <w:rPr>
          <w:i/>
          <w:w w:val="105"/>
          <w:sz w:val="13"/>
        </w:rPr>
        <w:t>of</w:t>
      </w:r>
      <w:r>
        <w:rPr>
          <w:i/>
          <w:spacing w:val="5"/>
          <w:w w:val="105"/>
          <w:sz w:val="13"/>
        </w:rPr>
        <w:t> </w:t>
      </w:r>
      <w:r>
        <w:rPr>
          <w:i/>
          <w:w w:val="105"/>
          <w:sz w:val="13"/>
        </w:rPr>
        <w:t>the</w:t>
      </w:r>
      <w:r>
        <w:rPr>
          <w:i/>
          <w:spacing w:val="6"/>
          <w:w w:val="105"/>
          <w:sz w:val="13"/>
        </w:rPr>
        <w:t> </w:t>
      </w:r>
      <w:r>
        <w:rPr>
          <w:i/>
          <w:w w:val="105"/>
          <w:sz w:val="13"/>
        </w:rPr>
        <w:t>Trees</w:t>
      </w:r>
      <w:r>
        <w:rPr>
          <w:i/>
          <w:spacing w:val="6"/>
          <w:w w:val="105"/>
          <w:sz w:val="13"/>
        </w:rPr>
        <w:t> </w:t>
      </w:r>
      <w:r>
        <w:rPr>
          <w:i/>
          <w:w w:val="105"/>
          <w:sz w:val="13"/>
        </w:rPr>
        <w:t>(Disputes</w:t>
      </w:r>
      <w:r>
        <w:rPr>
          <w:i/>
          <w:spacing w:val="5"/>
          <w:w w:val="105"/>
          <w:sz w:val="13"/>
        </w:rPr>
        <w:t> </w:t>
      </w:r>
      <w:r>
        <w:rPr>
          <w:i/>
          <w:w w:val="105"/>
          <w:sz w:val="13"/>
        </w:rPr>
        <w:t>Between</w:t>
      </w:r>
      <w:r>
        <w:rPr>
          <w:i/>
          <w:spacing w:val="6"/>
          <w:w w:val="105"/>
          <w:sz w:val="13"/>
        </w:rPr>
        <w:t> </w:t>
      </w:r>
      <w:r>
        <w:rPr>
          <w:i/>
          <w:w w:val="105"/>
          <w:sz w:val="13"/>
        </w:rPr>
        <w:t>Neighbours)</w:t>
      </w:r>
      <w:r>
        <w:rPr>
          <w:i/>
          <w:spacing w:val="6"/>
          <w:w w:val="105"/>
          <w:sz w:val="13"/>
        </w:rPr>
        <w:t> </w:t>
      </w:r>
      <w:r>
        <w:rPr>
          <w:i/>
          <w:w w:val="105"/>
          <w:sz w:val="13"/>
        </w:rPr>
        <w:t>Act</w:t>
      </w:r>
      <w:r>
        <w:rPr>
          <w:i/>
          <w:spacing w:val="5"/>
          <w:w w:val="105"/>
          <w:sz w:val="13"/>
        </w:rPr>
        <w:t> </w:t>
      </w:r>
      <w:r>
        <w:rPr>
          <w:i/>
          <w:w w:val="105"/>
          <w:sz w:val="13"/>
        </w:rPr>
        <w:t>2006</w:t>
      </w:r>
      <w:r>
        <w:rPr>
          <w:i/>
          <w:spacing w:val="6"/>
          <w:w w:val="105"/>
          <w:sz w:val="13"/>
        </w:rPr>
        <w:t> </w:t>
      </w:r>
      <w:r>
        <w:rPr>
          <w:spacing w:val="3"/>
          <w:w w:val="105"/>
          <w:sz w:val="13"/>
        </w:rPr>
        <w:t>(NSW)</w:t>
      </w:r>
      <w:r>
        <w:rPr>
          <w:spacing w:val="6"/>
          <w:w w:val="105"/>
          <w:sz w:val="13"/>
        </w:rPr>
        <w:t> </w:t>
      </w:r>
      <w:r>
        <w:rPr>
          <w:spacing w:val="2"/>
          <w:w w:val="105"/>
          <w:sz w:val="13"/>
        </w:rPr>
        <w:t>(Report,</w:t>
      </w:r>
      <w:r>
        <w:rPr>
          <w:spacing w:val="5"/>
          <w:w w:val="105"/>
          <w:sz w:val="13"/>
        </w:rPr>
        <w:t> </w:t>
      </w:r>
      <w:r>
        <w:rPr>
          <w:spacing w:val="2"/>
          <w:w w:val="105"/>
          <w:sz w:val="13"/>
        </w:rPr>
        <w:t>2009)</w:t>
      </w:r>
    </w:p>
    <w:p>
      <w:pPr>
        <w:spacing w:before="2"/>
        <w:ind w:left="2381" w:right="0" w:firstLine="0"/>
        <w:jc w:val="left"/>
        <w:rPr>
          <w:sz w:val="13"/>
        </w:rPr>
      </w:pPr>
      <w:r>
        <w:rPr>
          <w:sz w:val="13"/>
        </w:rPr>
        <w:t>40. There are various exemptions built into the Act and therefore the Acts would overlap but not interfere with each other.</w:t>
      </w:r>
    </w:p>
    <w:p>
      <w:pPr>
        <w:pStyle w:val="ListParagraph"/>
        <w:numPr>
          <w:ilvl w:val="0"/>
          <w:numId w:val="50"/>
        </w:numPr>
        <w:tabs>
          <w:tab w:pos="2380" w:val="left" w:leader="none"/>
          <w:tab w:pos="2382" w:val="left" w:leader="none"/>
        </w:tabs>
        <w:spacing w:line="240" w:lineRule="auto" w:before="1" w:after="0"/>
        <w:ind w:left="2381" w:right="0" w:hanging="794"/>
        <w:jc w:val="left"/>
        <w:rPr>
          <w:sz w:val="13"/>
        </w:rPr>
      </w:pPr>
      <w:r>
        <w:rPr>
          <w:i/>
          <w:w w:val="105"/>
          <w:sz w:val="13"/>
        </w:rPr>
        <w:t>Trees (Disputes Between Neighbours) Act 2006 </w:t>
      </w:r>
      <w:r>
        <w:rPr>
          <w:spacing w:val="3"/>
          <w:w w:val="105"/>
          <w:sz w:val="13"/>
        </w:rPr>
        <w:t>(NSW) </w:t>
      </w:r>
      <w:r>
        <w:rPr>
          <w:w w:val="105"/>
          <w:sz w:val="13"/>
        </w:rPr>
        <w:t>s</w:t>
      </w:r>
      <w:r>
        <w:rPr>
          <w:spacing w:val="4"/>
          <w:w w:val="105"/>
          <w:sz w:val="13"/>
        </w:rPr>
        <w:t> </w:t>
      </w:r>
      <w:r>
        <w:rPr>
          <w:spacing w:val="3"/>
          <w:w w:val="105"/>
          <w:sz w:val="13"/>
        </w:rPr>
        <w:t>4(1)(a).</w:t>
      </w:r>
    </w:p>
    <w:p>
      <w:pPr>
        <w:pStyle w:val="ListParagraph"/>
        <w:numPr>
          <w:ilvl w:val="0"/>
          <w:numId w:val="50"/>
        </w:numPr>
        <w:tabs>
          <w:tab w:pos="2381" w:val="left" w:leader="none"/>
          <w:tab w:pos="2382" w:val="left" w:leader="none"/>
        </w:tabs>
        <w:spacing w:line="240" w:lineRule="auto" w:before="1" w:after="0"/>
        <w:ind w:left="2381" w:right="0" w:hanging="794"/>
        <w:jc w:val="left"/>
        <w:rPr>
          <w:sz w:val="13"/>
        </w:rPr>
      </w:pPr>
      <w:r>
        <w:rPr>
          <w:w w:val="105"/>
          <w:sz w:val="13"/>
        </w:rPr>
        <w:t>Ibid; see, eg, </w:t>
      </w:r>
      <w:r>
        <w:rPr>
          <w:i/>
          <w:w w:val="105"/>
          <w:sz w:val="13"/>
        </w:rPr>
        <w:t>Aaron v Haynes </w:t>
      </w:r>
      <w:r>
        <w:rPr>
          <w:w w:val="105"/>
          <w:sz w:val="13"/>
        </w:rPr>
        <w:t>[2007] NSWLEC</w:t>
      </w:r>
      <w:r>
        <w:rPr>
          <w:spacing w:val="7"/>
          <w:w w:val="105"/>
          <w:sz w:val="13"/>
        </w:rPr>
        <w:t> </w:t>
      </w:r>
      <w:r>
        <w:rPr>
          <w:w w:val="105"/>
          <w:sz w:val="13"/>
        </w:rPr>
        <w:t>294.</w:t>
      </w:r>
    </w:p>
    <w:p>
      <w:pPr>
        <w:pStyle w:val="ListParagraph"/>
        <w:numPr>
          <w:ilvl w:val="0"/>
          <w:numId w:val="50"/>
        </w:numPr>
        <w:tabs>
          <w:tab w:pos="2381" w:val="left" w:leader="none"/>
          <w:tab w:pos="2382" w:val="left" w:leader="none"/>
        </w:tabs>
        <w:spacing w:line="240" w:lineRule="auto" w:before="2" w:after="0"/>
        <w:ind w:left="2381" w:right="1826" w:hanging="794"/>
        <w:jc w:val="left"/>
        <w:rPr>
          <w:i/>
          <w:sz w:val="13"/>
        </w:rPr>
      </w:pPr>
      <w:r>
        <w:rPr>
          <w:w w:val="105"/>
          <w:sz w:val="13"/>
        </w:rPr>
        <w:t>This includes plantations on an area of Crown-timber land (other than a flora </w:t>
      </w:r>
      <w:r>
        <w:rPr>
          <w:spacing w:val="2"/>
          <w:w w:val="105"/>
          <w:sz w:val="13"/>
        </w:rPr>
        <w:t>reserve), </w:t>
      </w:r>
      <w:r>
        <w:rPr>
          <w:w w:val="105"/>
          <w:sz w:val="13"/>
        </w:rPr>
        <w:t>or an area of land owned by the Corporation, on which the predominant number of trees forming, or expected to form, the canopy are trees that have been planted (whether by sowing seed or </w:t>
      </w:r>
      <w:r>
        <w:rPr>
          <w:spacing w:val="2"/>
          <w:w w:val="105"/>
          <w:sz w:val="13"/>
        </w:rPr>
        <w:t>otherwise): (a) </w:t>
      </w:r>
      <w:r>
        <w:rPr>
          <w:w w:val="105"/>
          <w:sz w:val="13"/>
        </w:rPr>
        <w:t>for the purpose of timber production: </w:t>
      </w:r>
      <w:r>
        <w:rPr>
          <w:i/>
          <w:spacing w:val="2"/>
          <w:w w:val="105"/>
          <w:sz w:val="13"/>
        </w:rPr>
        <w:t>Forestry </w:t>
      </w:r>
      <w:r>
        <w:rPr>
          <w:i/>
          <w:w w:val="105"/>
          <w:sz w:val="13"/>
        </w:rPr>
        <w:t>Act </w:t>
      </w:r>
      <w:r>
        <w:rPr>
          <w:i/>
          <w:spacing w:val="-4"/>
          <w:w w:val="105"/>
          <w:sz w:val="13"/>
        </w:rPr>
        <w:t>2012 </w:t>
      </w:r>
      <w:r>
        <w:rPr>
          <w:spacing w:val="3"/>
          <w:w w:val="105"/>
          <w:sz w:val="13"/>
        </w:rPr>
        <w:t>(NSW) </w:t>
      </w:r>
      <w:r>
        <w:rPr>
          <w:w w:val="105"/>
          <w:sz w:val="13"/>
        </w:rPr>
        <w:t>s </w:t>
      </w:r>
      <w:r>
        <w:rPr>
          <w:spacing w:val="2"/>
          <w:w w:val="105"/>
          <w:sz w:val="13"/>
        </w:rPr>
        <w:t>4; </w:t>
      </w:r>
      <w:r>
        <w:rPr>
          <w:w w:val="105"/>
          <w:sz w:val="13"/>
        </w:rPr>
        <w:t>See </w:t>
      </w:r>
      <w:r>
        <w:rPr>
          <w:i/>
          <w:w w:val="105"/>
          <w:sz w:val="13"/>
        </w:rPr>
        <w:t>Standard Instrument—Principle Local </w:t>
      </w:r>
      <w:r>
        <w:rPr>
          <w:i/>
          <w:w w:val="105"/>
          <w:sz w:val="13"/>
        </w:rPr>
        <w:t>Environmental 2006</w:t>
      </w:r>
      <w:r>
        <w:rPr>
          <w:i/>
          <w:spacing w:val="9"/>
          <w:w w:val="105"/>
          <w:sz w:val="13"/>
        </w:rPr>
        <w:t> </w:t>
      </w:r>
      <w:r>
        <w:rPr>
          <w:spacing w:val="3"/>
          <w:w w:val="105"/>
          <w:sz w:val="13"/>
        </w:rPr>
        <w:t>(NSW)</w:t>
      </w:r>
      <w:r>
        <w:rPr>
          <w:i/>
          <w:spacing w:val="3"/>
          <w:w w:val="105"/>
          <w:sz w:val="13"/>
        </w:rPr>
        <w:t>.</w:t>
      </w:r>
    </w:p>
    <w:p>
      <w:pPr>
        <w:pStyle w:val="ListParagraph"/>
        <w:numPr>
          <w:ilvl w:val="0"/>
          <w:numId w:val="50"/>
        </w:numPr>
        <w:tabs>
          <w:tab w:pos="2381" w:val="left" w:leader="none"/>
          <w:tab w:pos="2382" w:val="left" w:leader="none"/>
        </w:tabs>
        <w:spacing w:line="240" w:lineRule="auto" w:before="5"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50"/>
        </w:numPr>
        <w:tabs>
          <w:tab w:pos="2381" w:val="left" w:leader="none"/>
          <w:tab w:pos="2382" w:val="left" w:leader="none"/>
        </w:tabs>
        <w:spacing w:line="240" w:lineRule="auto" w:before="1" w:after="0"/>
        <w:ind w:left="1587" w:right="5207" w:firstLine="0"/>
        <w:jc w:val="left"/>
        <w:rPr>
          <w:sz w:val="13"/>
        </w:rPr>
      </w:pPr>
      <w:r>
        <w:rPr/>
        <w:pict>
          <v:shape style="position:absolute;margin-left:36pt;margin-top:10.987563pt;width:12.1pt;height:14.25pt;mso-position-horizontal-relative:page;mso-position-vertical-relative:paragraph;z-index:5656" type="#_x0000_t202" filled="false" stroked="false">
            <v:textbox inset="0,0,0,0">
              <w:txbxContent>
                <w:p>
                  <w:pPr>
                    <w:spacing w:line="284" w:lineRule="exact" w:before="0"/>
                    <w:ind w:left="0" w:right="0" w:firstLine="0"/>
                    <w:jc w:val="left"/>
                    <w:rPr>
                      <w:b/>
                      <w:sz w:val="24"/>
                    </w:rPr>
                  </w:pPr>
                  <w:r>
                    <w:rPr>
                      <w:b/>
                      <w:color w:val="658464"/>
                      <w:spacing w:val="-13"/>
                      <w:w w:val="110"/>
                      <w:sz w:val="24"/>
                    </w:rPr>
                    <w:t>74</w:t>
                  </w:r>
                </w:p>
              </w:txbxContent>
            </v:textbox>
            <w10:wrap type="none"/>
          </v:shape>
        </w:pict>
      </w:r>
      <w:r>
        <w:rPr>
          <w:i/>
          <w:w w:val="105"/>
          <w:sz w:val="13"/>
        </w:rPr>
        <w:t>Neighbourhood Disputes (Dividing Fences and Trees) Act </w:t>
      </w:r>
      <w:r>
        <w:rPr>
          <w:i/>
          <w:spacing w:val="-4"/>
          <w:w w:val="105"/>
          <w:sz w:val="13"/>
        </w:rPr>
        <w:t>2011 </w:t>
      </w:r>
      <w:r>
        <w:rPr>
          <w:spacing w:val="2"/>
          <w:w w:val="105"/>
          <w:sz w:val="13"/>
        </w:rPr>
        <w:t>(Qld) </w:t>
      </w:r>
      <w:r>
        <w:rPr>
          <w:w w:val="105"/>
          <w:sz w:val="13"/>
        </w:rPr>
        <w:t>s </w:t>
      </w:r>
      <w:r>
        <w:rPr>
          <w:spacing w:val="2"/>
          <w:w w:val="105"/>
          <w:sz w:val="13"/>
        </w:rPr>
        <w:t>42(3). </w:t>
      </w:r>
      <w:r>
        <w:rPr>
          <w:w w:val="105"/>
          <w:sz w:val="13"/>
        </w:rPr>
        <w:t>93</w:t>
        <w:tab/>
        <w:t>Ibid s</w:t>
      </w:r>
      <w:r>
        <w:rPr>
          <w:spacing w:val="9"/>
          <w:w w:val="105"/>
          <w:sz w:val="13"/>
        </w:rPr>
        <w:t> </w:t>
      </w:r>
      <w:r>
        <w:rPr>
          <w:spacing w:val="2"/>
          <w:w w:val="105"/>
          <w:sz w:val="13"/>
        </w:rPr>
        <w:t>42(3).</w:t>
      </w:r>
    </w:p>
    <w:p>
      <w:pPr>
        <w:tabs>
          <w:tab w:pos="2381" w:val="left" w:leader="none"/>
        </w:tabs>
        <w:spacing w:before="3"/>
        <w:ind w:left="1587" w:right="0" w:firstLine="0"/>
        <w:jc w:val="left"/>
        <w:rPr>
          <w:sz w:val="13"/>
        </w:rPr>
      </w:pPr>
      <w:r>
        <w:rPr>
          <w:sz w:val="13"/>
        </w:rPr>
        <w:t>94</w:t>
        <w:tab/>
        <w:t>Ibid s</w:t>
      </w:r>
      <w:r>
        <w:rPr>
          <w:spacing w:val="12"/>
          <w:sz w:val="13"/>
        </w:rPr>
        <w:t> </w:t>
      </w:r>
      <w:r>
        <w:rPr>
          <w:spacing w:val="3"/>
          <w:sz w:val="13"/>
        </w:rPr>
        <w:t>42(4)(a).</w:t>
      </w:r>
    </w:p>
    <w:p>
      <w:pPr>
        <w:spacing w:after="0"/>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702" w:hanging="794"/>
        <w:jc w:val="left"/>
        <w:rPr>
          <w:sz w:val="21"/>
        </w:rPr>
      </w:pPr>
      <w:r>
        <w:rPr>
          <w:w w:val="105"/>
          <w:sz w:val="21"/>
        </w:rPr>
        <w:t>In its review of the operation of the </w:t>
      </w:r>
      <w:r>
        <w:rPr>
          <w:spacing w:val="-3"/>
          <w:w w:val="105"/>
          <w:sz w:val="21"/>
        </w:rPr>
        <w:t>Queensland </w:t>
      </w:r>
      <w:r>
        <w:rPr>
          <w:w w:val="105"/>
          <w:sz w:val="21"/>
        </w:rPr>
        <w:t>Act, the QLRC recommended the </w:t>
      </w:r>
      <w:r>
        <w:rPr>
          <w:spacing w:val="-3"/>
          <w:w w:val="105"/>
          <w:sz w:val="21"/>
        </w:rPr>
        <w:t>inclusion </w:t>
      </w:r>
      <w:r>
        <w:rPr>
          <w:w w:val="105"/>
          <w:sz w:val="21"/>
        </w:rPr>
        <w:t>of </w:t>
      </w:r>
      <w:r>
        <w:rPr>
          <w:spacing w:val="-3"/>
          <w:w w:val="105"/>
          <w:sz w:val="21"/>
        </w:rPr>
        <w:t>land greater than four </w:t>
      </w:r>
      <w:r>
        <w:rPr>
          <w:w w:val="105"/>
          <w:sz w:val="21"/>
        </w:rPr>
        <w:t>hectares in </w:t>
      </w:r>
      <w:r>
        <w:rPr>
          <w:spacing w:val="-3"/>
          <w:w w:val="105"/>
          <w:sz w:val="21"/>
        </w:rPr>
        <w:t>size to </w:t>
      </w:r>
      <w:r>
        <w:rPr>
          <w:w w:val="105"/>
          <w:sz w:val="21"/>
        </w:rPr>
        <w:t>address the inequity of a </w:t>
      </w:r>
      <w:r>
        <w:rPr>
          <w:spacing w:val="-3"/>
          <w:w w:val="105"/>
          <w:sz w:val="21"/>
        </w:rPr>
        <w:t>neighbour </w:t>
      </w:r>
      <w:r>
        <w:rPr>
          <w:w w:val="105"/>
          <w:sz w:val="21"/>
        </w:rPr>
        <w:t>on a </w:t>
      </w:r>
      <w:r>
        <w:rPr>
          <w:spacing w:val="-3"/>
          <w:w w:val="105"/>
          <w:sz w:val="21"/>
        </w:rPr>
        <w:t>smaller </w:t>
      </w:r>
      <w:r>
        <w:rPr>
          <w:spacing w:val="-2"/>
          <w:w w:val="105"/>
          <w:sz w:val="21"/>
        </w:rPr>
        <w:t>lot </w:t>
      </w:r>
      <w:r>
        <w:rPr>
          <w:w w:val="105"/>
          <w:sz w:val="21"/>
        </w:rPr>
        <w:t>of </w:t>
      </w:r>
      <w:r>
        <w:rPr>
          <w:spacing w:val="-3"/>
          <w:w w:val="105"/>
          <w:sz w:val="21"/>
        </w:rPr>
        <w:t>land </w:t>
      </w:r>
      <w:r>
        <w:rPr>
          <w:spacing w:val="-2"/>
          <w:w w:val="105"/>
          <w:sz w:val="21"/>
        </w:rPr>
        <w:t>not </w:t>
      </w:r>
      <w:r>
        <w:rPr>
          <w:w w:val="105"/>
          <w:sz w:val="21"/>
        </w:rPr>
        <w:t>being able </w:t>
      </w:r>
      <w:r>
        <w:rPr>
          <w:spacing w:val="-3"/>
          <w:w w:val="105"/>
          <w:sz w:val="21"/>
        </w:rPr>
        <w:t>to take </w:t>
      </w:r>
      <w:r>
        <w:rPr>
          <w:w w:val="105"/>
          <w:sz w:val="21"/>
        </w:rPr>
        <w:t>action </w:t>
      </w:r>
      <w:r>
        <w:rPr>
          <w:spacing w:val="-3"/>
          <w:w w:val="105"/>
          <w:sz w:val="21"/>
        </w:rPr>
        <w:t>against </w:t>
      </w:r>
      <w:r>
        <w:rPr>
          <w:w w:val="105"/>
          <w:sz w:val="21"/>
        </w:rPr>
        <w:t>a </w:t>
      </w:r>
      <w:r>
        <w:rPr>
          <w:spacing w:val="-3"/>
          <w:w w:val="105"/>
          <w:sz w:val="21"/>
        </w:rPr>
        <w:t>neighbour </w:t>
      </w:r>
      <w:r>
        <w:rPr>
          <w:w w:val="105"/>
          <w:sz w:val="21"/>
        </w:rPr>
        <w:t>on a larger </w:t>
      </w:r>
      <w:r>
        <w:rPr>
          <w:spacing w:val="-2"/>
          <w:w w:val="105"/>
          <w:sz w:val="21"/>
        </w:rPr>
        <w:t>lot </w:t>
      </w:r>
      <w:r>
        <w:rPr>
          <w:w w:val="105"/>
          <w:sz w:val="21"/>
        </w:rPr>
        <w:t>but the </w:t>
      </w:r>
      <w:r>
        <w:rPr>
          <w:spacing w:val="-3"/>
          <w:w w:val="105"/>
          <w:sz w:val="21"/>
        </w:rPr>
        <w:t>neighbour </w:t>
      </w:r>
      <w:r>
        <w:rPr>
          <w:w w:val="105"/>
          <w:sz w:val="21"/>
        </w:rPr>
        <w:t>on a larger </w:t>
      </w:r>
      <w:r>
        <w:rPr>
          <w:spacing w:val="-2"/>
          <w:w w:val="105"/>
          <w:sz w:val="21"/>
        </w:rPr>
        <w:t>lot </w:t>
      </w:r>
      <w:r>
        <w:rPr>
          <w:w w:val="105"/>
          <w:sz w:val="21"/>
        </w:rPr>
        <w:t>being able </w:t>
      </w:r>
      <w:r>
        <w:rPr>
          <w:spacing w:val="-3"/>
          <w:w w:val="105"/>
          <w:sz w:val="21"/>
        </w:rPr>
        <w:t>to commence </w:t>
      </w:r>
      <w:r>
        <w:rPr>
          <w:w w:val="105"/>
          <w:sz w:val="21"/>
        </w:rPr>
        <w:t>action </w:t>
      </w:r>
      <w:r>
        <w:rPr>
          <w:spacing w:val="-3"/>
          <w:w w:val="105"/>
          <w:sz w:val="21"/>
        </w:rPr>
        <w:t>against </w:t>
      </w:r>
      <w:r>
        <w:rPr>
          <w:w w:val="105"/>
          <w:sz w:val="21"/>
        </w:rPr>
        <w:t>the </w:t>
      </w:r>
      <w:r>
        <w:rPr>
          <w:spacing w:val="-3"/>
          <w:w w:val="105"/>
          <w:sz w:val="21"/>
        </w:rPr>
        <w:t>neighbour </w:t>
      </w:r>
      <w:r>
        <w:rPr>
          <w:w w:val="105"/>
          <w:sz w:val="21"/>
        </w:rPr>
        <w:t>on the </w:t>
      </w:r>
      <w:r>
        <w:rPr>
          <w:spacing w:val="-3"/>
          <w:w w:val="105"/>
          <w:sz w:val="21"/>
        </w:rPr>
        <w:t>smaller lot.</w:t>
      </w:r>
      <w:r>
        <w:rPr>
          <w:spacing w:val="-3"/>
          <w:w w:val="105"/>
          <w:position w:val="7"/>
          <w:sz w:val="12"/>
        </w:rPr>
        <w:t>95 </w:t>
      </w:r>
      <w:r>
        <w:rPr>
          <w:w w:val="105"/>
          <w:sz w:val="21"/>
        </w:rPr>
        <w:t>This </w:t>
      </w:r>
      <w:r>
        <w:rPr>
          <w:spacing w:val="-3"/>
          <w:w w:val="105"/>
          <w:sz w:val="21"/>
        </w:rPr>
        <w:t>recommendation </w:t>
      </w:r>
      <w:r>
        <w:rPr>
          <w:spacing w:val="-2"/>
          <w:w w:val="105"/>
          <w:sz w:val="21"/>
        </w:rPr>
        <w:t>has not </w:t>
      </w:r>
      <w:r>
        <w:rPr>
          <w:w w:val="105"/>
          <w:sz w:val="21"/>
        </w:rPr>
        <w:t>been </w:t>
      </w:r>
      <w:r>
        <w:rPr>
          <w:spacing w:val="-3"/>
          <w:w w:val="105"/>
          <w:sz w:val="21"/>
        </w:rPr>
        <w:t>implemented </w:t>
      </w:r>
      <w:r>
        <w:rPr>
          <w:w w:val="105"/>
          <w:sz w:val="21"/>
        </w:rPr>
        <w:t>at the time of </w:t>
      </w:r>
      <w:r>
        <w:rPr>
          <w:spacing w:val="-3"/>
          <w:w w:val="105"/>
          <w:sz w:val="21"/>
        </w:rPr>
        <w:t>writing.</w:t>
      </w:r>
    </w:p>
    <w:p>
      <w:pPr>
        <w:pStyle w:val="Heading7"/>
        <w:spacing w:before="157"/>
      </w:pPr>
      <w:r>
        <w:rPr>
          <w:color w:val="58595B"/>
          <w:w w:val="115"/>
        </w:rPr>
        <w:t>Tasmania</w:t>
      </w:r>
    </w:p>
    <w:p>
      <w:pPr>
        <w:pStyle w:val="ListParagraph"/>
        <w:numPr>
          <w:ilvl w:val="1"/>
          <w:numId w:val="16"/>
        </w:numPr>
        <w:tabs>
          <w:tab w:pos="2380" w:val="left" w:leader="none"/>
          <w:tab w:pos="2381" w:val="left" w:leader="none"/>
        </w:tabs>
        <w:spacing w:line="242" w:lineRule="auto" w:before="143" w:after="0"/>
        <w:ind w:left="2381" w:right="1604" w:hanging="794"/>
        <w:jc w:val="left"/>
        <w:rPr>
          <w:sz w:val="21"/>
        </w:rPr>
      </w:pPr>
      <w:r>
        <w:rPr>
          <w:w w:val="105"/>
          <w:sz w:val="21"/>
        </w:rPr>
        <w:t>The </w:t>
      </w:r>
      <w:r>
        <w:rPr>
          <w:spacing w:val="-4"/>
          <w:w w:val="105"/>
          <w:sz w:val="21"/>
        </w:rPr>
        <w:t>Tasmanian </w:t>
      </w:r>
      <w:r>
        <w:rPr>
          <w:w w:val="105"/>
          <w:sz w:val="21"/>
        </w:rPr>
        <w:t>Law </w:t>
      </w:r>
      <w:r>
        <w:rPr>
          <w:spacing w:val="-3"/>
          <w:w w:val="105"/>
          <w:sz w:val="21"/>
        </w:rPr>
        <w:t>Reform Institute </w:t>
      </w:r>
      <w:r>
        <w:rPr>
          <w:w w:val="105"/>
          <w:sz w:val="21"/>
        </w:rPr>
        <w:t>(TLRI) recommended </w:t>
      </w:r>
      <w:r>
        <w:rPr>
          <w:spacing w:val="-3"/>
          <w:w w:val="105"/>
          <w:sz w:val="21"/>
        </w:rPr>
        <w:t>that </w:t>
      </w:r>
      <w:r>
        <w:rPr>
          <w:w w:val="105"/>
          <w:sz w:val="21"/>
        </w:rPr>
        <w:t>a new </w:t>
      </w:r>
      <w:r>
        <w:rPr>
          <w:spacing w:val="-4"/>
          <w:w w:val="105"/>
          <w:sz w:val="21"/>
        </w:rPr>
        <w:t>Tasmanian </w:t>
      </w:r>
      <w:r>
        <w:rPr>
          <w:w w:val="105"/>
          <w:sz w:val="21"/>
        </w:rPr>
        <w:t>Act apply </w:t>
      </w:r>
      <w:r>
        <w:rPr>
          <w:spacing w:val="-3"/>
          <w:w w:val="105"/>
          <w:sz w:val="21"/>
        </w:rPr>
        <w:t>to all land </w:t>
      </w:r>
      <w:r>
        <w:rPr>
          <w:w w:val="105"/>
          <w:sz w:val="21"/>
        </w:rPr>
        <w:t>zones, </w:t>
      </w:r>
      <w:r>
        <w:rPr>
          <w:spacing w:val="-3"/>
          <w:w w:val="105"/>
          <w:sz w:val="21"/>
        </w:rPr>
        <w:t>‘but that </w:t>
      </w:r>
      <w:r>
        <w:rPr>
          <w:w w:val="105"/>
          <w:sz w:val="21"/>
        </w:rPr>
        <w:t>the </w:t>
      </w:r>
      <w:r>
        <w:rPr>
          <w:spacing w:val="-3"/>
          <w:w w:val="105"/>
          <w:sz w:val="21"/>
        </w:rPr>
        <w:t>zoning </w:t>
      </w:r>
      <w:r>
        <w:rPr>
          <w:w w:val="105"/>
          <w:sz w:val="21"/>
        </w:rPr>
        <w:t>of the </w:t>
      </w:r>
      <w:r>
        <w:rPr>
          <w:spacing w:val="-3"/>
          <w:w w:val="105"/>
          <w:sz w:val="21"/>
        </w:rPr>
        <w:t>land </w:t>
      </w:r>
      <w:r>
        <w:rPr>
          <w:w w:val="105"/>
          <w:sz w:val="21"/>
        </w:rPr>
        <w:t>on which the tree or hedge is </w:t>
      </w:r>
      <w:r>
        <w:rPr>
          <w:spacing w:val="-3"/>
          <w:w w:val="105"/>
          <w:sz w:val="21"/>
        </w:rPr>
        <w:t>situated </w:t>
      </w:r>
      <w:r>
        <w:rPr>
          <w:w w:val="105"/>
          <w:sz w:val="21"/>
        </w:rPr>
        <w:t>be a factor </w:t>
      </w:r>
      <w:r>
        <w:rPr>
          <w:spacing w:val="-3"/>
          <w:w w:val="105"/>
          <w:sz w:val="21"/>
        </w:rPr>
        <w:t>that </w:t>
      </w:r>
      <w:r>
        <w:rPr>
          <w:w w:val="105"/>
          <w:sz w:val="21"/>
        </w:rPr>
        <w:t>must be </w:t>
      </w:r>
      <w:r>
        <w:rPr>
          <w:spacing w:val="-3"/>
          <w:w w:val="105"/>
          <w:sz w:val="21"/>
        </w:rPr>
        <w:t>considered </w:t>
      </w:r>
      <w:r>
        <w:rPr>
          <w:w w:val="105"/>
          <w:sz w:val="21"/>
        </w:rPr>
        <w:t>by the </w:t>
      </w:r>
      <w:r>
        <w:rPr>
          <w:spacing w:val="-3"/>
          <w:w w:val="105"/>
          <w:sz w:val="21"/>
        </w:rPr>
        <w:t>decision-maker’.</w:t>
      </w:r>
      <w:r>
        <w:rPr>
          <w:spacing w:val="-3"/>
          <w:w w:val="105"/>
          <w:position w:val="7"/>
          <w:sz w:val="12"/>
        </w:rPr>
        <w:t>96 </w:t>
      </w:r>
      <w:r>
        <w:rPr>
          <w:w w:val="105"/>
          <w:sz w:val="21"/>
        </w:rPr>
        <w:t>This was in </w:t>
      </w:r>
      <w:r>
        <w:rPr>
          <w:spacing w:val="-3"/>
          <w:w w:val="105"/>
          <w:sz w:val="21"/>
        </w:rPr>
        <w:t>line </w:t>
      </w:r>
      <w:r>
        <w:rPr>
          <w:w w:val="105"/>
          <w:sz w:val="21"/>
        </w:rPr>
        <w:t>with</w:t>
      </w:r>
      <w:r>
        <w:rPr>
          <w:spacing w:val="-8"/>
          <w:w w:val="105"/>
          <w:sz w:val="21"/>
        </w:rPr>
        <w:t> </w:t>
      </w:r>
      <w:r>
        <w:rPr>
          <w:w w:val="105"/>
          <w:sz w:val="21"/>
        </w:rPr>
        <w:t>community</w:t>
      </w:r>
      <w:r>
        <w:rPr>
          <w:spacing w:val="-8"/>
          <w:w w:val="105"/>
          <w:sz w:val="21"/>
        </w:rPr>
        <w:t> </w:t>
      </w:r>
      <w:r>
        <w:rPr>
          <w:w w:val="105"/>
          <w:sz w:val="21"/>
        </w:rPr>
        <w:t>feedback</w:t>
      </w:r>
      <w:r>
        <w:rPr>
          <w:spacing w:val="-8"/>
          <w:w w:val="105"/>
          <w:sz w:val="21"/>
        </w:rPr>
        <w:t> </w:t>
      </w:r>
      <w:r>
        <w:rPr>
          <w:w w:val="105"/>
          <w:sz w:val="21"/>
        </w:rPr>
        <w:t>which</w:t>
      </w:r>
      <w:r>
        <w:rPr>
          <w:spacing w:val="-8"/>
          <w:w w:val="105"/>
          <w:sz w:val="21"/>
        </w:rPr>
        <w:t> </w:t>
      </w:r>
      <w:r>
        <w:rPr>
          <w:w w:val="105"/>
          <w:sz w:val="21"/>
        </w:rPr>
        <w:t>supported</w:t>
      </w:r>
      <w:r>
        <w:rPr>
          <w:spacing w:val="-7"/>
          <w:w w:val="105"/>
          <w:sz w:val="21"/>
        </w:rPr>
        <w:t> </w:t>
      </w:r>
      <w:r>
        <w:rPr>
          <w:w w:val="105"/>
          <w:sz w:val="21"/>
        </w:rPr>
        <w:t>no</w:t>
      </w:r>
      <w:r>
        <w:rPr>
          <w:spacing w:val="-8"/>
          <w:w w:val="105"/>
          <w:sz w:val="21"/>
        </w:rPr>
        <w:t> </w:t>
      </w:r>
      <w:r>
        <w:rPr>
          <w:w w:val="105"/>
          <w:sz w:val="21"/>
        </w:rPr>
        <w:t>restriction</w:t>
      </w:r>
      <w:r>
        <w:rPr>
          <w:spacing w:val="-8"/>
          <w:w w:val="105"/>
          <w:sz w:val="21"/>
        </w:rPr>
        <w:t> </w:t>
      </w:r>
      <w:r>
        <w:rPr>
          <w:w w:val="105"/>
          <w:sz w:val="21"/>
        </w:rPr>
        <w:t>on</w:t>
      </w:r>
      <w:r>
        <w:rPr>
          <w:spacing w:val="-8"/>
          <w:w w:val="105"/>
          <w:sz w:val="21"/>
        </w:rPr>
        <w:t> </w:t>
      </w:r>
      <w:r>
        <w:rPr>
          <w:w w:val="105"/>
          <w:sz w:val="21"/>
        </w:rPr>
        <w:t>the</w:t>
      </w:r>
      <w:r>
        <w:rPr>
          <w:spacing w:val="-7"/>
          <w:w w:val="105"/>
          <w:sz w:val="21"/>
        </w:rPr>
        <w:t> </w:t>
      </w:r>
      <w:r>
        <w:rPr>
          <w:w w:val="105"/>
          <w:sz w:val="21"/>
        </w:rPr>
        <w:t>application</w:t>
      </w:r>
      <w:r>
        <w:rPr>
          <w:spacing w:val="-8"/>
          <w:w w:val="105"/>
          <w:sz w:val="21"/>
        </w:rPr>
        <w:t> </w:t>
      </w:r>
      <w:r>
        <w:rPr>
          <w:w w:val="105"/>
          <w:sz w:val="21"/>
        </w:rPr>
        <w:t>of</w:t>
      </w:r>
      <w:r>
        <w:rPr>
          <w:spacing w:val="-8"/>
          <w:w w:val="105"/>
          <w:sz w:val="21"/>
        </w:rPr>
        <w:t> </w:t>
      </w:r>
      <w:r>
        <w:rPr>
          <w:w w:val="105"/>
          <w:sz w:val="21"/>
        </w:rPr>
        <w:t>a</w:t>
      </w:r>
      <w:r>
        <w:rPr>
          <w:spacing w:val="-8"/>
          <w:w w:val="105"/>
          <w:sz w:val="21"/>
        </w:rPr>
        <w:t> </w:t>
      </w:r>
      <w:r>
        <w:rPr>
          <w:w w:val="105"/>
          <w:sz w:val="21"/>
        </w:rPr>
        <w:t>new</w:t>
      </w:r>
      <w:r>
        <w:rPr>
          <w:spacing w:val="-7"/>
          <w:w w:val="105"/>
          <w:sz w:val="21"/>
        </w:rPr>
        <w:t> </w:t>
      </w:r>
      <w:r>
        <w:rPr>
          <w:w w:val="105"/>
          <w:sz w:val="21"/>
        </w:rPr>
        <w:t>Act </w:t>
      </w:r>
      <w:r>
        <w:rPr>
          <w:spacing w:val="-3"/>
          <w:w w:val="105"/>
          <w:sz w:val="21"/>
        </w:rPr>
        <w:t>to </w:t>
      </w:r>
      <w:r>
        <w:rPr>
          <w:w w:val="105"/>
          <w:sz w:val="21"/>
        </w:rPr>
        <w:t>particular</w:t>
      </w:r>
      <w:r>
        <w:rPr>
          <w:spacing w:val="13"/>
          <w:w w:val="105"/>
          <w:sz w:val="21"/>
        </w:rPr>
        <w:t> </w:t>
      </w:r>
      <w:r>
        <w:rPr>
          <w:spacing w:val="-3"/>
          <w:w w:val="105"/>
          <w:sz w:val="21"/>
        </w:rPr>
        <w:t>zones.</w:t>
      </w:r>
      <w:r>
        <w:rPr>
          <w:spacing w:val="-3"/>
          <w:w w:val="105"/>
          <w:position w:val="7"/>
          <w:sz w:val="12"/>
        </w:rPr>
        <w:t>97</w:t>
      </w:r>
    </w:p>
    <w:p>
      <w:pPr>
        <w:pStyle w:val="ListParagraph"/>
        <w:numPr>
          <w:ilvl w:val="1"/>
          <w:numId w:val="16"/>
        </w:numPr>
        <w:tabs>
          <w:tab w:pos="2380" w:val="left" w:leader="none"/>
          <w:tab w:pos="2381" w:val="left" w:leader="none"/>
        </w:tabs>
        <w:spacing w:line="242" w:lineRule="auto" w:before="126" w:after="0"/>
        <w:ind w:left="2381" w:right="1712" w:hanging="794"/>
        <w:jc w:val="left"/>
        <w:rPr>
          <w:sz w:val="21"/>
        </w:rPr>
      </w:pPr>
      <w:r>
        <w:rPr>
          <w:w w:val="105"/>
          <w:sz w:val="21"/>
        </w:rPr>
        <w:t>The</w:t>
      </w:r>
      <w:r>
        <w:rPr>
          <w:spacing w:val="-6"/>
          <w:w w:val="105"/>
          <w:sz w:val="21"/>
        </w:rPr>
        <w:t> </w:t>
      </w:r>
      <w:r>
        <w:rPr>
          <w:spacing w:val="-4"/>
          <w:w w:val="105"/>
          <w:sz w:val="21"/>
        </w:rPr>
        <w:t>Tasmanian</w:t>
      </w:r>
      <w:r>
        <w:rPr>
          <w:spacing w:val="-5"/>
          <w:w w:val="105"/>
          <w:sz w:val="21"/>
        </w:rPr>
        <w:t> </w:t>
      </w:r>
      <w:r>
        <w:rPr>
          <w:w w:val="105"/>
          <w:sz w:val="21"/>
        </w:rPr>
        <w:t>Act</w:t>
      </w:r>
      <w:r>
        <w:rPr>
          <w:spacing w:val="-5"/>
          <w:w w:val="105"/>
          <w:sz w:val="21"/>
        </w:rPr>
        <w:t> </w:t>
      </w:r>
      <w:r>
        <w:rPr>
          <w:spacing w:val="-3"/>
          <w:w w:val="105"/>
          <w:sz w:val="21"/>
        </w:rPr>
        <w:t>excludes</w:t>
      </w:r>
      <w:r>
        <w:rPr>
          <w:spacing w:val="-6"/>
          <w:w w:val="105"/>
          <w:sz w:val="21"/>
        </w:rPr>
        <w:t> </w:t>
      </w:r>
      <w:r>
        <w:rPr>
          <w:w w:val="105"/>
          <w:sz w:val="21"/>
        </w:rPr>
        <w:t>council-owned</w:t>
      </w:r>
      <w:r>
        <w:rPr>
          <w:spacing w:val="-5"/>
          <w:w w:val="105"/>
          <w:sz w:val="21"/>
        </w:rPr>
        <w:t> </w:t>
      </w:r>
      <w:r>
        <w:rPr>
          <w:w w:val="105"/>
          <w:sz w:val="21"/>
        </w:rPr>
        <w:t>or</w:t>
      </w:r>
      <w:r>
        <w:rPr>
          <w:spacing w:val="-5"/>
          <w:w w:val="105"/>
          <w:sz w:val="21"/>
        </w:rPr>
        <w:t> </w:t>
      </w:r>
      <w:r>
        <w:rPr>
          <w:w w:val="105"/>
          <w:sz w:val="21"/>
        </w:rPr>
        <w:t>managed</w:t>
      </w:r>
      <w:r>
        <w:rPr>
          <w:spacing w:val="-5"/>
          <w:w w:val="105"/>
          <w:sz w:val="21"/>
        </w:rPr>
        <w:t> </w:t>
      </w:r>
      <w:r>
        <w:rPr>
          <w:spacing w:val="-3"/>
          <w:w w:val="105"/>
          <w:sz w:val="21"/>
        </w:rPr>
        <w:t>land,</w:t>
      </w:r>
      <w:r>
        <w:rPr>
          <w:spacing w:val="-6"/>
          <w:w w:val="105"/>
          <w:sz w:val="21"/>
        </w:rPr>
        <w:t> </w:t>
      </w:r>
      <w:r>
        <w:rPr>
          <w:spacing w:val="-3"/>
          <w:w w:val="105"/>
          <w:sz w:val="21"/>
        </w:rPr>
        <w:t>rail</w:t>
      </w:r>
      <w:r>
        <w:rPr>
          <w:spacing w:val="-5"/>
          <w:w w:val="105"/>
          <w:sz w:val="21"/>
        </w:rPr>
        <w:t> </w:t>
      </w:r>
      <w:r>
        <w:rPr>
          <w:w w:val="105"/>
          <w:sz w:val="21"/>
        </w:rPr>
        <w:t>network</w:t>
      </w:r>
      <w:r>
        <w:rPr>
          <w:spacing w:val="-5"/>
          <w:w w:val="105"/>
          <w:sz w:val="21"/>
        </w:rPr>
        <w:t> </w:t>
      </w:r>
      <w:r>
        <w:rPr>
          <w:spacing w:val="-3"/>
          <w:w w:val="105"/>
          <w:sz w:val="21"/>
        </w:rPr>
        <w:t>land,</w:t>
      </w:r>
      <w:r>
        <w:rPr>
          <w:spacing w:val="-5"/>
          <w:w w:val="105"/>
          <w:sz w:val="21"/>
        </w:rPr>
        <w:t> </w:t>
      </w:r>
      <w:r>
        <w:rPr>
          <w:w w:val="105"/>
          <w:sz w:val="21"/>
        </w:rPr>
        <w:t>reserves and certain forestry </w:t>
      </w:r>
      <w:r>
        <w:rPr>
          <w:spacing w:val="-3"/>
          <w:w w:val="105"/>
          <w:sz w:val="21"/>
        </w:rPr>
        <w:t>land.</w:t>
      </w:r>
      <w:r>
        <w:rPr>
          <w:spacing w:val="-3"/>
          <w:w w:val="105"/>
          <w:position w:val="7"/>
          <w:sz w:val="12"/>
        </w:rPr>
        <w:t>98 </w:t>
      </w:r>
      <w:r>
        <w:rPr>
          <w:w w:val="105"/>
          <w:sz w:val="21"/>
        </w:rPr>
        <w:t>Plants </w:t>
      </w:r>
      <w:r>
        <w:rPr>
          <w:spacing w:val="-3"/>
          <w:w w:val="105"/>
          <w:sz w:val="21"/>
        </w:rPr>
        <w:t>that are planted </w:t>
      </w:r>
      <w:r>
        <w:rPr>
          <w:w w:val="105"/>
          <w:sz w:val="21"/>
        </w:rPr>
        <w:t>or </w:t>
      </w:r>
      <w:r>
        <w:rPr>
          <w:spacing w:val="-3"/>
          <w:w w:val="105"/>
          <w:sz w:val="21"/>
        </w:rPr>
        <w:t>maintained for </w:t>
      </w:r>
      <w:r>
        <w:rPr>
          <w:w w:val="105"/>
          <w:sz w:val="21"/>
        </w:rPr>
        <w:t>a purpose </w:t>
      </w:r>
      <w:r>
        <w:rPr>
          <w:spacing w:val="-3"/>
          <w:w w:val="105"/>
          <w:sz w:val="21"/>
        </w:rPr>
        <w:t>that </w:t>
      </w:r>
      <w:r>
        <w:rPr>
          <w:w w:val="105"/>
          <w:sz w:val="21"/>
        </w:rPr>
        <w:t>is necessary or </w:t>
      </w:r>
      <w:r>
        <w:rPr>
          <w:spacing w:val="-3"/>
          <w:w w:val="105"/>
          <w:sz w:val="21"/>
        </w:rPr>
        <w:t>desirable for </w:t>
      </w:r>
      <w:r>
        <w:rPr>
          <w:w w:val="105"/>
          <w:sz w:val="21"/>
        </w:rPr>
        <w:t>the </w:t>
      </w:r>
      <w:r>
        <w:rPr>
          <w:spacing w:val="-3"/>
          <w:w w:val="105"/>
          <w:sz w:val="21"/>
        </w:rPr>
        <w:t>management </w:t>
      </w:r>
      <w:r>
        <w:rPr>
          <w:w w:val="105"/>
          <w:sz w:val="21"/>
        </w:rPr>
        <w:t>or operation of a </w:t>
      </w:r>
      <w:r>
        <w:rPr>
          <w:spacing w:val="-3"/>
          <w:w w:val="105"/>
          <w:sz w:val="21"/>
        </w:rPr>
        <w:t>farm are </w:t>
      </w:r>
      <w:r>
        <w:rPr>
          <w:w w:val="105"/>
          <w:sz w:val="21"/>
        </w:rPr>
        <w:t>also</w:t>
      </w:r>
      <w:r>
        <w:rPr>
          <w:spacing w:val="-8"/>
          <w:w w:val="105"/>
          <w:sz w:val="21"/>
        </w:rPr>
        <w:t> </w:t>
      </w:r>
      <w:r>
        <w:rPr>
          <w:spacing w:val="-3"/>
          <w:w w:val="105"/>
          <w:sz w:val="21"/>
        </w:rPr>
        <w:t>excluded,</w:t>
      </w:r>
    </w:p>
    <w:p>
      <w:pPr>
        <w:pStyle w:val="BodyText"/>
        <w:spacing w:line="242" w:lineRule="auto" w:before="3"/>
        <w:ind w:left="2381" w:right="1715" w:hanging="1"/>
      </w:pPr>
      <w:r>
        <w:rPr>
          <w:w w:val="105"/>
        </w:rPr>
        <w:t>as </w:t>
      </w:r>
      <w:r>
        <w:rPr>
          <w:spacing w:val="-3"/>
          <w:w w:val="105"/>
        </w:rPr>
        <w:t>are </w:t>
      </w:r>
      <w:r>
        <w:rPr>
          <w:w w:val="105"/>
        </w:rPr>
        <w:t>plants </w:t>
      </w:r>
      <w:r>
        <w:rPr>
          <w:spacing w:val="-3"/>
          <w:w w:val="105"/>
        </w:rPr>
        <w:t>that are planted </w:t>
      </w:r>
      <w:r>
        <w:rPr>
          <w:w w:val="105"/>
        </w:rPr>
        <w:t>or </w:t>
      </w:r>
      <w:r>
        <w:rPr>
          <w:spacing w:val="-3"/>
          <w:w w:val="105"/>
        </w:rPr>
        <w:t>maintained to </w:t>
      </w:r>
      <w:r>
        <w:rPr>
          <w:w w:val="105"/>
        </w:rPr>
        <w:t>be sold.</w:t>
      </w:r>
      <w:r>
        <w:rPr>
          <w:w w:val="105"/>
          <w:position w:val="7"/>
          <w:sz w:val="12"/>
        </w:rPr>
        <w:t>99 </w:t>
      </w:r>
      <w:r>
        <w:rPr>
          <w:w w:val="105"/>
        </w:rPr>
        <w:t>The </w:t>
      </w:r>
      <w:r>
        <w:rPr>
          <w:spacing w:val="-4"/>
          <w:w w:val="105"/>
        </w:rPr>
        <w:t>Tasmanian </w:t>
      </w:r>
      <w:r>
        <w:rPr>
          <w:spacing w:val="-3"/>
          <w:w w:val="105"/>
        </w:rPr>
        <w:t>Government indicated </w:t>
      </w:r>
      <w:r>
        <w:rPr>
          <w:w w:val="105"/>
        </w:rPr>
        <w:t>it did </w:t>
      </w:r>
      <w:r>
        <w:rPr>
          <w:spacing w:val="-2"/>
          <w:w w:val="105"/>
        </w:rPr>
        <w:t>not </w:t>
      </w:r>
      <w:r>
        <w:rPr>
          <w:spacing w:val="-3"/>
          <w:w w:val="105"/>
        </w:rPr>
        <w:t>want </w:t>
      </w:r>
      <w:r>
        <w:rPr>
          <w:w w:val="105"/>
        </w:rPr>
        <w:t>the Act </w:t>
      </w:r>
      <w:r>
        <w:rPr>
          <w:spacing w:val="-3"/>
          <w:w w:val="105"/>
        </w:rPr>
        <w:t>to interfere </w:t>
      </w:r>
      <w:r>
        <w:rPr>
          <w:w w:val="105"/>
        </w:rPr>
        <w:t>with the rights of primary producers. It </w:t>
      </w:r>
      <w:r>
        <w:rPr>
          <w:spacing w:val="-3"/>
          <w:w w:val="105"/>
        </w:rPr>
        <w:t>noted that </w:t>
      </w:r>
      <w:r>
        <w:rPr>
          <w:w w:val="105"/>
        </w:rPr>
        <w:t>‘the statutory scheme should </w:t>
      </w:r>
      <w:r>
        <w:rPr>
          <w:spacing w:val="-2"/>
          <w:w w:val="105"/>
        </w:rPr>
        <w:t>not </w:t>
      </w:r>
      <w:r>
        <w:rPr>
          <w:w w:val="105"/>
        </w:rPr>
        <w:t>impose an </w:t>
      </w:r>
      <w:r>
        <w:rPr>
          <w:spacing w:val="-3"/>
          <w:w w:val="105"/>
        </w:rPr>
        <w:t>unreasonable </w:t>
      </w:r>
      <w:r>
        <w:rPr>
          <w:w w:val="105"/>
        </w:rPr>
        <w:t>burden on people who </w:t>
      </w:r>
      <w:r>
        <w:rPr>
          <w:spacing w:val="-3"/>
          <w:w w:val="105"/>
        </w:rPr>
        <w:t>are </w:t>
      </w:r>
      <w:r>
        <w:rPr>
          <w:w w:val="105"/>
        </w:rPr>
        <w:t>trying </w:t>
      </w:r>
      <w:r>
        <w:rPr>
          <w:spacing w:val="-3"/>
          <w:w w:val="105"/>
        </w:rPr>
        <w:t>to </w:t>
      </w:r>
      <w:r>
        <w:rPr>
          <w:spacing w:val="-4"/>
          <w:w w:val="105"/>
        </w:rPr>
        <w:t>make </w:t>
      </w:r>
      <w:r>
        <w:rPr>
          <w:w w:val="105"/>
        </w:rPr>
        <w:t>a </w:t>
      </w:r>
      <w:r>
        <w:rPr>
          <w:spacing w:val="-5"/>
          <w:w w:val="105"/>
        </w:rPr>
        <w:t>living’.</w:t>
      </w:r>
      <w:r>
        <w:rPr>
          <w:spacing w:val="-5"/>
          <w:w w:val="105"/>
          <w:position w:val="7"/>
          <w:sz w:val="12"/>
        </w:rPr>
        <w:t>100 </w:t>
      </w:r>
      <w:r>
        <w:rPr>
          <w:w w:val="105"/>
        </w:rPr>
        <w:t>The Second </w:t>
      </w:r>
      <w:r>
        <w:rPr>
          <w:spacing w:val="-3"/>
          <w:w w:val="105"/>
        </w:rPr>
        <w:t>Reading </w:t>
      </w:r>
      <w:r>
        <w:rPr>
          <w:w w:val="105"/>
        </w:rPr>
        <w:t>Speech </w:t>
      </w:r>
      <w:r>
        <w:rPr>
          <w:spacing w:val="-3"/>
          <w:w w:val="105"/>
        </w:rPr>
        <w:t>for </w:t>
      </w:r>
      <w:r>
        <w:rPr>
          <w:w w:val="105"/>
        </w:rPr>
        <w:t>the </w:t>
      </w:r>
      <w:r>
        <w:rPr>
          <w:spacing w:val="-4"/>
          <w:w w:val="105"/>
        </w:rPr>
        <w:t>Tasmanian </w:t>
      </w:r>
      <w:r>
        <w:rPr>
          <w:spacing w:val="-3"/>
          <w:w w:val="105"/>
        </w:rPr>
        <w:t>Bill </w:t>
      </w:r>
      <w:r>
        <w:rPr>
          <w:w w:val="105"/>
        </w:rPr>
        <w:t>explains:</w:t>
      </w:r>
    </w:p>
    <w:p>
      <w:pPr>
        <w:spacing w:line="254" w:lineRule="auto" w:before="135"/>
        <w:ind w:left="2834" w:right="1933" w:firstLine="0"/>
        <w:jc w:val="left"/>
        <w:rPr>
          <w:sz w:val="11"/>
        </w:rPr>
      </w:pPr>
      <w:r>
        <w:rPr>
          <w:sz w:val="20"/>
        </w:rPr>
        <w:t>these excluded categories are more </w:t>
      </w:r>
      <w:r>
        <w:rPr>
          <w:spacing w:val="-3"/>
          <w:sz w:val="20"/>
        </w:rPr>
        <w:t>likely </w:t>
      </w:r>
      <w:r>
        <w:rPr>
          <w:sz w:val="20"/>
        </w:rPr>
        <w:t>to capture large </w:t>
      </w:r>
      <w:r>
        <w:rPr>
          <w:spacing w:val="-3"/>
          <w:sz w:val="20"/>
        </w:rPr>
        <w:t>parcels  </w:t>
      </w:r>
      <w:r>
        <w:rPr>
          <w:sz w:val="20"/>
        </w:rPr>
        <w:t>of land that are  located in </w:t>
      </w:r>
      <w:r>
        <w:rPr>
          <w:spacing w:val="-3"/>
          <w:sz w:val="20"/>
        </w:rPr>
        <w:t>rural </w:t>
      </w:r>
      <w:r>
        <w:rPr>
          <w:sz w:val="20"/>
        </w:rPr>
        <w:t>or remote locations—the land is often unoccupied, or it may </w:t>
      </w:r>
      <w:r>
        <w:rPr>
          <w:spacing w:val="-3"/>
          <w:sz w:val="20"/>
        </w:rPr>
        <w:t>have </w:t>
      </w:r>
      <w:r>
        <w:rPr>
          <w:sz w:val="20"/>
        </w:rPr>
        <w:t>high conservation value or serve some other kind of public purpose or be of benefit to the broader</w:t>
      </w:r>
      <w:r>
        <w:rPr>
          <w:spacing w:val="8"/>
          <w:sz w:val="20"/>
        </w:rPr>
        <w:t> </w:t>
      </w:r>
      <w:r>
        <w:rPr>
          <w:spacing w:val="-4"/>
          <w:sz w:val="20"/>
        </w:rPr>
        <w:t>community.</w:t>
      </w:r>
      <w:r>
        <w:rPr>
          <w:spacing w:val="-4"/>
          <w:position w:val="7"/>
          <w:sz w:val="11"/>
        </w:rPr>
        <w:t>101</w:t>
      </w:r>
    </w:p>
    <w:p>
      <w:pPr>
        <w:pStyle w:val="Heading7"/>
        <w:spacing w:before="146"/>
      </w:pPr>
      <w:r>
        <w:rPr>
          <w:w w:val="115"/>
        </w:rPr>
        <w:t>Community responses—to which land should the Act apply?</w:t>
      </w:r>
    </w:p>
    <w:p>
      <w:pPr>
        <w:pStyle w:val="ListParagraph"/>
        <w:numPr>
          <w:ilvl w:val="1"/>
          <w:numId w:val="16"/>
        </w:numPr>
        <w:tabs>
          <w:tab w:pos="2380" w:val="left" w:leader="none"/>
          <w:tab w:pos="2381" w:val="left" w:leader="none"/>
        </w:tabs>
        <w:spacing w:line="242" w:lineRule="auto" w:before="142" w:after="0"/>
        <w:ind w:left="2381" w:right="1685" w:hanging="794"/>
        <w:jc w:val="left"/>
        <w:rPr>
          <w:sz w:val="21"/>
        </w:rPr>
      </w:pPr>
      <w:r>
        <w:rPr>
          <w:w w:val="105"/>
          <w:sz w:val="21"/>
        </w:rPr>
        <w:t>More </w:t>
      </w:r>
      <w:r>
        <w:rPr>
          <w:spacing w:val="-3"/>
          <w:w w:val="105"/>
          <w:sz w:val="21"/>
        </w:rPr>
        <w:t>than half </w:t>
      </w:r>
      <w:r>
        <w:rPr>
          <w:w w:val="105"/>
          <w:sz w:val="21"/>
        </w:rPr>
        <w:t>of those who responded </w:t>
      </w:r>
      <w:r>
        <w:rPr>
          <w:spacing w:val="-3"/>
          <w:w w:val="105"/>
          <w:sz w:val="21"/>
        </w:rPr>
        <w:t>to </w:t>
      </w:r>
      <w:r>
        <w:rPr>
          <w:w w:val="105"/>
          <w:sz w:val="21"/>
        </w:rPr>
        <w:t>the issue of </w:t>
      </w:r>
      <w:r>
        <w:rPr>
          <w:spacing w:val="-3"/>
          <w:w w:val="105"/>
          <w:sz w:val="21"/>
        </w:rPr>
        <w:t>land zoning were </w:t>
      </w:r>
      <w:r>
        <w:rPr>
          <w:w w:val="105"/>
          <w:sz w:val="21"/>
        </w:rPr>
        <w:t>in </w:t>
      </w:r>
      <w:r>
        <w:rPr>
          <w:spacing w:val="-3"/>
          <w:w w:val="105"/>
          <w:sz w:val="21"/>
        </w:rPr>
        <w:t>favour </w:t>
      </w:r>
      <w:r>
        <w:rPr>
          <w:w w:val="105"/>
          <w:sz w:val="21"/>
        </w:rPr>
        <w:t>of the new Act applying </w:t>
      </w:r>
      <w:r>
        <w:rPr>
          <w:spacing w:val="-3"/>
          <w:w w:val="105"/>
          <w:sz w:val="21"/>
        </w:rPr>
        <w:t>to all </w:t>
      </w:r>
      <w:r>
        <w:rPr>
          <w:w w:val="105"/>
          <w:sz w:val="21"/>
        </w:rPr>
        <w:t>types of </w:t>
      </w:r>
      <w:r>
        <w:rPr>
          <w:spacing w:val="-3"/>
          <w:w w:val="105"/>
          <w:sz w:val="21"/>
        </w:rPr>
        <w:t>land </w:t>
      </w:r>
      <w:r>
        <w:rPr>
          <w:w w:val="105"/>
          <w:sz w:val="21"/>
        </w:rPr>
        <w:t>use </w:t>
      </w:r>
      <w:r>
        <w:rPr>
          <w:spacing w:val="-3"/>
          <w:w w:val="105"/>
          <w:sz w:val="21"/>
        </w:rPr>
        <w:t>within</w:t>
      </w:r>
      <w:r>
        <w:rPr>
          <w:spacing w:val="12"/>
          <w:w w:val="105"/>
          <w:sz w:val="21"/>
        </w:rPr>
        <w:t> </w:t>
      </w:r>
      <w:r>
        <w:rPr>
          <w:spacing w:val="-4"/>
          <w:w w:val="105"/>
          <w:sz w:val="21"/>
        </w:rPr>
        <w:t>Victoria.</w:t>
      </w:r>
      <w:r>
        <w:rPr>
          <w:spacing w:val="-4"/>
          <w:w w:val="105"/>
          <w:position w:val="7"/>
          <w:sz w:val="12"/>
        </w:rPr>
        <w:t>102</w:t>
      </w:r>
    </w:p>
    <w:p>
      <w:pPr>
        <w:pStyle w:val="ListParagraph"/>
        <w:numPr>
          <w:ilvl w:val="1"/>
          <w:numId w:val="16"/>
        </w:numPr>
        <w:tabs>
          <w:tab w:pos="2380" w:val="left" w:leader="none"/>
          <w:tab w:pos="2381" w:val="left" w:leader="none"/>
        </w:tabs>
        <w:spacing w:line="242" w:lineRule="auto" w:before="123" w:after="0"/>
        <w:ind w:left="2380" w:right="1814" w:hanging="793"/>
        <w:jc w:val="left"/>
        <w:rPr>
          <w:sz w:val="21"/>
        </w:rPr>
      </w:pPr>
      <w:r>
        <w:rPr>
          <w:w w:val="105"/>
          <w:sz w:val="21"/>
        </w:rPr>
        <w:t>Arborist Dr Karen </w:t>
      </w:r>
      <w:r>
        <w:rPr>
          <w:spacing w:val="-3"/>
          <w:w w:val="105"/>
          <w:sz w:val="21"/>
        </w:rPr>
        <w:t>Smith </w:t>
      </w:r>
      <w:r>
        <w:rPr>
          <w:w w:val="105"/>
          <w:sz w:val="21"/>
        </w:rPr>
        <w:t>explained </w:t>
      </w:r>
      <w:r>
        <w:rPr>
          <w:spacing w:val="-3"/>
          <w:w w:val="105"/>
          <w:sz w:val="21"/>
        </w:rPr>
        <w:t>that </w:t>
      </w:r>
      <w:r>
        <w:rPr>
          <w:w w:val="105"/>
          <w:sz w:val="21"/>
        </w:rPr>
        <w:t>the application of the new Act should </w:t>
      </w:r>
      <w:r>
        <w:rPr>
          <w:spacing w:val="-2"/>
          <w:w w:val="105"/>
          <w:sz w:val="21"/>
        </w:rPr>
        <w:t>not </w:t>
      </w:r>
      <w:r>
        <w:rPr>
          <w:w w:val="105"/>
          <w:sz w:val="21"/>
        </w:rPr>
        <w:t>be </w:t>
      </w:r>
      <w:r>
        <w:rPr>
          <w:spacing w:val="-3"/>
          <w:w w:val="105"/>
          <w:sz w:val="21"/>
        </w:rPr>
        <w:t>limited</w:t>
      </w:r>
      <w:r>
        <w:rPr>
          <w:spacing w:val="-6"/>
          <w:w w:val="105"/>
          <w:sz w:val="21"/>
        </w:rPr>
        <w:t> </w:t>
      </w:r>
      <w:r>
        <w:rPr>
          <w:spacing w:val="-3"/>
          <w:w w:val="105"/>
          <w:sz w:val="21"/>
        </w:rPr>
        <w:t>to</w:t>
      </w:r>
      <w:r>
        <w:rPr>
          <w:spacing w:val="-5"/>
          <w:w w:val="105"/>
          <w:sz w:val="21"/>
        </w:rPr>
        <w:t> </w:t>
      </w:r>
      <w:r>
        <w:rPr>
          <w:w w:val="105"/>
          <w:sz w:val="21"/>
        </w:rPr>
        <w:t>particular</w:t>
      </w:r>
      <w:r>
        <w:rPr>
          <w:spacing w:val="-6"/>
          <w:w w:val="105"/>
          <w:sz w:val="21"/>
        </w:rPr>
        <w:t> </w:t>
      </w:r>
      <w:r>
        <w:rPr>
          <w:w w:val="105"/>
          <w:sz w:val="21"/>
        </w:rPr>
        <w:t>zones</w:t>
      </w:r>
      <w:r>
        <w:rPr>
          <w:spacing w:val="-5"/>
          <w:w w:val="105"/>
          <w:sz w:val="21"/>
        </w:rPr>
        <w:t> </w:t>
      </w:r>
      <w:r>
        <w:rPr>
          <w:w w:val="105"/>
          <w:sz w:val="21"/>
        </w:rPr>
        <w:t>because</w:t>
      </w:r>
      <w:r>
        <w:rPr>
          <w:spacing w:val="-6"/>
          <w:w w:val="105"/>
          <w:sz w:val="21"/>
        </w:rPr>
        <w:t> </w:t>
      </w:r>
      <w:r>
        <w:rPr>
          <w:spacing w:val="-3"/>
          <w:w w:val="105"/>
          <w:sz w:val="21"/>
        </w:rPr>
        <w:t>many</w:t>
      </w:r>
      <w:r>
        <w:rPr>
          <w:spacing w:val="-5"/>
          <w:w w:val="105"/>
          <w:sz w:val="21"/>
        </w:rPr>
        <w:t> </w:t>
      </w:r>
      <w:r>
        <w:rPr>
          <w:w w:val="105"/>
          <w:sz w:val="21"/>
        </w:rPr>
        <w:t>urban</w:t>
      </w:r>
      <w:r>
        <w:rPr>
          <w:spacing w:val="-6"/>
          <w:w w:val="105"/>
          <w:sz w:val="21"/>
        </w:rPr>
        <w:t> </w:t>
      </w:r>
      <w:r>
        <w:rPr>
          <w:spacing w:val="-3"/>
          <w:w w:val="105"/>
          <w:sz w:val="21"/>
        </w:rPr>
        <w:t>dwellings</w:t>
      </w:r>
      <w:r>
        <w:rPr>
          <w:spacing w:val="-5"/>
          <w:w w:val="105"/>
          <w:sz w:val="21"/>
        </w:rPr>
        <w:t> </w:t>
      </w:r>
      <w:r>
        <w:rPr>
          <w:w w:val="105"/>
          <w:sz w:val="21"/>
        </w:rPr>
        <w:t>can</w:t>
      </w:r>
      <w:r>
        <w:rPr>
          <w:spacing w:val="-6"/>
          <w:w w:val="105"/>
          <w:sz w:val="21"/>
        </w:rPr>
        <w:t> </w:t>
      </w:r>
      <w:r>
        <w:rPr>
          <w:w w:val="105"/>
          <w:sz w:val="21"/>
        </w:rPr>
        <w:t>be</w:t>
      </w:r>
      <w:r>
        <w:rPr>
          <w:spacing w:val="-5"/>
          <w:w w:val="105"/>
          <w:sz w:val="21"/>
        </w:rPr>
        <w:t> </w:t>
      </w:r>
      <w:r>
        <w:rPr>
          <w:w w:val="105"/>
          <w:sz w:val="21"/>
        </w:rPr>
        <w:t>located</w:t>
      </w:r>
      <w:r>
        <w:rPr>
          <w:spacing w:val="-6"/>
          <w:w w:val="105"/>
          <w:sz w:val="21"/>
        </w:rPr>
        <w:t> </w:t>
      </w:r>
      <w:r>
        <w:rPr>
          <w:w w:val="105"/>
          <w:sz w:val="21"/>
        </w:rPr>
        <w:t>next</w:t>
      </w:r>
      <w:r>
        <w:rPr>
          <w:spacing w:val="-5"/>
          <w:w w:val="105"/>
          <w:sz w:val="21"/>
        </w:rPr>
        <w:t> </w:t>
      </w:r>
      <w:r>
        <w:rPr>
          <w:spacing w:val="-3"/>
          <w:w w:val="105"/>
          <w:sz w:val="21"/>
        </w:rPr>
        <w:t>to</w:t>
      </w:r>
      <w:r>
        <w:rPr>
          <w:spacing w:val="-5"/>
          <w:w w:val="105"/>
          <w:sz w:val="21"/>
        </w:rPr>
        <w:t> </w:t>
      </w:r>
      <w:r>
        <w:rPr>
          <w:spacing w:val="-3"/>
          <w:w w:val="105"/>
          <w:sz w:val="21"/>
        </w:rPr>
        <w:t>public, agricultural, industrial </w:t>
      </w:r>
      <w:r>
        <w:rPr>
          <w:w w:val="105"/>
          <w:sz w:val="21"/>
        </w:rPr>
        <w:t>and </w:t>
      </w:r>
      <w:r>
        <w:rPr>
          <w:spacing w:val="-3"/>
          <w:w w:val="105"/>
          <w:sz w:val="21"/>
        </w:rPr>
        <w:t>commercial</w:t>
      </w:r>
      <w:r>
        <w:rPr>
          <w:spacing w:val="26"/>
          <w:w w:val="105"/>
          <w:sz w:val="21"/>
        </w:rPr>
        <w:t> </w:t>
      </w:r>
      <w:r>
        <w:rPr>
          <w:spacing w:val="-5"/>
          <w:w w:val="105"/>
          <w:sz w:val="21"/>
        </w:rPr>
        <w:t>land.</w:t>
      </w:r>
      <w:r>
        <w:rPr>
          <w:spacing w:val="-5"/>
          <w:w w:val="105"/>
          <w:position w:val="7"/>
          <w:sz w:val="12"/>
        </w:rPr>
        <w:t>103</w:t>
      </w:r>
    </w:p>
    <w:p>
      <w:pPr>
        <w:pStyle w:val="ListParagraph"/>
        <w:numPr>
          <w:ilvl w:val="1"/>
          <w:numId w:val="16"/>
        </w:numPr>
        <w:tabs>
          <w:tab w:pos="2380" w:val="left" w:leader="none"/>
          <w:tab w:pos="2381" w:val="left" w:leader="none"/>
        </w:tabs>
        <w:spacing w:line="242" w:lineRule="auto" w:before="123" w:after="0"/>
        <w:ind w:left="2381" w:right="1756" w:hanging="794"/>
        <w:jc w:val="left"/>
        <w:rPr>
          <w:sz w:val="21"/>
        </w:rPr>
      </w:pPr>
      <w:r>
        <w:rPr>
          <w:spacing w:val="-3"/>
          <w:w w:val="105"/>
          <w:sz w:val="21"/>
        </w:rPr>
        <w:t>Consultations </w:t>
      </w:r>
      <w:r>
        <w:rPr>
          <w:w w:val="105"/>
          <w:sz w:val="21"/>
        </w:rPr>
        <w:t>with local </w:t>
      </w:r>
      <w:r>
        <w:rPr>
          <w:spacing w:val="-3"/>
          <w:w w:val="105"/>
          <w:sz w:val="21"/>
        </w:rPr>
        <w:t>councils revealed that </w:t>
      </w:r>
      <w:r>
        <w:rPr>
          <w:w w:val="105"/>
          <w:sz w:val="21"/>
        </w:rPr>
        <w:t>most tree </w:t>
      </w:r>
      <w:r>
        <w:rPr>
          <w:spacing w:val="-3"/>
          <w:w w:val="105"/>
          <w:sz w:val="21"/>
        </w:rPr>
        <w:t>disputes </w:t>
      </w:r>
      <w:r>
        <w:rPr>
          <w:w w:val="105"/>
          <w:sz w:val="21"/>
        </w:rPr>
        <w:t>between neighbours </w:t>
      </w:r>
      <w:r>
        <w:rPr>
          <w:spacing w:val="-3"/>
          <w:w w:val="105"/>
          <w:sz w:val="21"/>
        </w:rPr>
        <w:t>occur </w:t>
      </w:r>
      <w:r>
        <w:rPr>
          <w:w w:val="105"/>
          <w:sz w:val="21"/>
        </w:rPr>
        <w:t>in urban and </w:t>
      </w:r>
      <w:r>
        <w:rPr>
          <w:spacing w:val="-3"/>
          <w:w w:val="105"/>
          <w:sz w:val="21"/>
        </w:rPr>
        <w:t>residential </w:t>
      </w:r>
      <w:r>
        <w:rPr>
          <w:spacing w:val="-4"/>
          <w:w w:val="105"/>
          <w:sz w:val="21"/>
        </w:rPr>
        <w:t>areas.</w:t>
      </w:r>
      <w:r>
        <w:rPr>
          <w:spacing w:val="-4"/>
          <w:w w:val="105"/>
          <w:position w:val="7"/>
          <w:sz w:val="12"/>
        </w:rPr>
        <w:t>104 </w:t>
      </w:r>
      <w:r>
        <w:rPr>
          <w:spacing w:val="-3"/>
          <w:w w:val="105"/>
          <w:sz w:val="21"/>
        </w:rPr>
        <w:t>Nillumbik Shire </w:t>
      </w:r>
      <w:r>
        <w:rPr>
          <w:spacing w:val="-4"/>
          <w:w w:val="105"/>
          <w:sz w:val="21"/>
        </w:rPr>
        <w:t>Council </w:t>
      </w:r>
      <w:r>
        <w:rPr>
          <w:w w:val="105"/>
          <w:sz w:val="21"/>
        </w:rPr>
        <w:t>reported </w:t>
      </w:r>
      <w:r>
        <w:rPr>
          <w:spacing w:val="-3"/>
          <w:w w:val="105"/>
          <w:sz w:val="21"/>
        </w:rPr>
        <w:t>that </w:t>
      </w:r>
      <w:r>
        <w:rPr>
          <w:w w:val="105"/>
          <w:sz w:val="21"/>
        </w:rPr>
        <w:t>most </w:t>
      </w:r>
      <w:r>
        <w:rPr>
          <w:spacing w:val="-3"/>
          <w:w w:val="105"/>
          <w:sz w:val="21"/>
        </w:rPr>
        <w:t>complaints </w:t>
      </w:r>
      <w:r>
        <w:rPr>
          <w:w w:val="105"/>
          <w:sz w:val="21"/>
        </w:rPr>
        <w:t>about trees on </w:t>
      </w:r>
      <w:r>
        <w:rPr>
          <w:spacing w:val="-3"/>
          <w:w w:val="105"/>
          <w:sz w:val="21"/>
        </w:rPr>
        <w:t>private land are from </w:t>
      </w:r>
      <w:r>
        <w:rPr>
          <w:w w:val="105"/>
          <w:sz w:val="21"/>
        </w:rPr>
        <w:t>residents </w:t>
      </w:r>
      <w:r>
        <w:rPr>
          <w:spacing w:val="-3"/>
          <w:w w:val="105"/>
          <w:sz w:val="21"/>
        </w:rPr>
        <w:t>living </w:t>
      </w:r>
      <w:r>
        <w:rPr>
          <w:w w:val="105"/>
          <w:sz w:val="21"/>
        </w:rPr>
        <w:t>in urban </w:t>
      </w:r>
      <w:r>
        <w:rPr>
          <w:spacing w:val="-4"/>
          <w:w w:val="105"/>
          <w:sz w:val="21"/>
        </w:rPr>
        <w:t>areas.</w:t>
      </w:r>
      <w:r>
        <w:rPr>
          <w:spacing w:val="-4"/>
          <w:w w:val="105"/>
          <w:position w:val="7"/>
          <w:sz w:val="12"/>
        </w:rPr>
        <w:t>105 </w:t>
      </w:r>
      <w:r>
        <w:rPr>
          <w:w w:val="105"/>
          <w:sz w:val="21"/>
        </w:rPr>
        <w:t>It was suggested </w:t>
      </w:r>
      <w:r>
        <w:rPr>
          <w:spacing w:val="-3"/>
          <w:w w:val="105"/>
          <w:sz w:val="21"/>
        </w:rPr>
        <w:t>that </w:t>
      </w:r>
      <w:r>
        <w:rPr>
          <w:w w:val="105"/>
          <w:sz w:val="21"/>
        </w:rPr>
        <w:t>this is because people on </w:t>
      </w:r>
      <w:r>
        <w:rPr>
          <w:spacing w:val="-3"/>
          <w:w w:val="105"/>
          <w:sz w:val="21"/>
        </w:rPr>
        <w:t>smaller parcels </w:t>
      </w:r>
      <w:r>
        <w:rPr>
          <w:w w:val="105"/>
          <w:sz w:val="21"/>
        </w:rPr>
        <w:t>of </w:t>
      </w:r>
      <w:r>
        <w:rPr>
          <w:spacing w:val="-3"/>
          <w:w w:val="105"/>
          <w:sz w:val="21"/>
        </w:rPr>
        <w:t>land </w:t>
      </w:r>
      <w:r>
        <w:rPr>
          <w:w w:val="105"/>
          <w:sz w:val="21"/>
        </w:rPr>
        <w:t>live in closer </w:t>
      </w:r>
      <w:r>
        <w:rPr>
          <w:spacing w:val="-3"/>
          <w:w w:val="105"/>
          <w:sz w:val="21"/>
        </w:rPr>
        <w:t>proximity to</w:t>
      </w:r>
      <w:r>
        <w:rPr>
          <w:spacing w:val="-5"/>
          <w:w w:val="105"/>
          <w:sz w:val="21"/>
        </w:rPr>
        <w:t> </w:t>
      </w:r>
      <w:r>
        <w:rPr>
          <w:w w:val="105"/>
          <w:sz w:val="21"/>
        </w:rPr>
        <w:t>one</w:t>
      </w:r>
      <w:r>
        <w:rPr>
          <w:spacing w:val="-4"/>
          <w:w w:val="105"/>
          <w:sz w:val="21"/>
        </w:rPr>
        <w:t> </w:t>
      </w:r>
      <w:r>
        <w:rPr>
          <w:spacing w:val="-5"/>
          <w:w w:val="105"/>
          <w:sz w:val="21"/>
        </w:rPr>
        <w:t>another.</w:t>
      </w:r>
      <w:r>
        <w:rPr>
          <w:spacing w:val="-5"/>
          <w:w w:val="105"/>
          <w:position w:val="7"/>
          <w:sz w:val="12"/>
        </w:rPr>
        <w:t>106  </w:t>
      </w:r>
      <w:r>
        <w:rPr>
          <w:w w:val="105"/>
          <w:sz w:val="21"/>
        </w:rPr>
        <w:t>One</w:t>
      </w:r>
      <w:r>
        <w:rPr>
          <w:spacing w:val="-5"/>
          <w:w w:val="105"/>
          <w:sz w:val="21"/>
        </w:rPr>
        <w:t> </w:t>
      </w:r>
      <w:r>
        <w:rPr>
          <w:w w:val="105"/>
          <w:sz w:val="21"/>
        </w:rPr>
        <w:t>community</w:t>
      </w:r>
      <w:r>
        <w:rPr>
          <w:spacing w:val="-4"/>
          <w:w w:val="105"/>
          <w:sz w:val="21"/>
        </w:rPr>
        <w:t> </w:t>
      </w:r>
      <w:r>
        <w:rPr>
          <w:w w:val="105"/>
          <w:sz w:val="21"/>
        </w:rPr>
        <w:t>member</w:t>
      </w:r>
      <w:r>
        <w:rPr>
          <w:spacing w:val="-5"/>
          <w:w w:val="105"/>
          <w:sz w:val="21"/>
        </w:rPr>
        <w:t> </w:t>
      </w:r>
      <w:r>
        <w:rPr>
          <w:spacing w:val="-3"/>
          <w:w w:val="105"/>
          <w:sz w:val="21"/>
        </w:rPr>
        <w:t>noted</w:t>
      </w:r>
      <w:r>
        <w:rPr>
          <w:spacing w:val="-4"/>
          <w:w w:val="105"/>
          <w:sz w:val="21"/>
        </w:rPr>
        <w:t> </w:t>
      </w:r>
      <w:r>
        <w:rPr>
          <w:spacing w:val="-3"/>
          <w:w w:val="105"/>
          <w:sz w:val="21"/>
        </w:rPr>
        <w:t>that</w:t>
      </w:r>
      <w:r>
        <w:rPr>
          <w:spacing w:val="-4"/>
          <w:w w:val="105"/>
          <w:sz w:val="21"/>
        </w:rPr>
        <w:t> </w:t>
      </w:r>
      <w:r>
        <w:rPr>
          <w:spacing w:val="-7"/>
          <w:w w:val="105"/>
          <w:sz w:val="21"/>
        </w:rPr>
        <w:t>‘a</w:t>
      </w:r>
      <w:r>
        <w:rPr>
          <w:spacing w:val="-5"/>
          <w:w w:val="105"/>
          <w:sz w:val="21"/>
        </w:rPr>
        <w:t> </w:t>
      </w:r>
      <w:r>
        <w:rPr>
          <w:w w:val="105"/>
          <w:sz w:val="21"/>
        </w:rPr>
        <w:t>large</w:t>
      </w:r>
      <w:r>
        <w:rPr>
          <w:spacing w:val="-4"/>
          <w:w w:val="105"/>
          <w:sz w:val="21"/>
        </w:rPr>
        <w:t> </w:t>
      </w:r>
      <w:r>
        <w:rPr>
          <w:w w:val="105"/>
          <w:sz w:val="21"/>
        </w:rPr>
        <w:t>proportion</w:t>
      </w:r>
      <w:r>
        <w:rPr>
          <w:spacing w:val="-5"/>
          <w:w w:val="105"/>
          <w:sz w:val="21"/>
        </w:rPr>
        <w:t> </w:t>
      </w:r>
      <w:r>
        <w:rPr>
          <w:w w:val="105"/>
          <w:sz w:val="21"/>
        </w:rPr>
        <w:t>of</w:t>
      </w:r>
      <w:r>
        <w:rPr>
          <w:spacing w:val="-4"/>
          <w:w w:val="105"/>
          <w:sz w:val="21"/>
        </w:rPr>
        <w:t> </w:t>
      </w:r>
      <w:r>
        <w:rPr>
          <w:spacing w:val="-3"/>
          <w:w w:val="105"/>
          <w:sz w:val="21"/>
        </w:rPr>
        <w:t>all</w:t>
      </w:r>
      <w:r>
        <w:rPr>
          <w:spacing w:val="-4"/>
          <w:w w:val="105"/>
          <w:sz w:val="21"/>
        </w:rPr>
        <w:t> </w:t>
      </w:r>
      <w:r>
        <w:rPr>
          <w:w w:val="105"/>
          <w:sz w:val="21"/>
        </w:rPr>
        <w:t>trees</w:t>
      </w:r>
      <w:r>
        <w:rPr>
          <w:spacing w:val="-5"/>
          <w:w w:val="105"/>
          <w:sz w:val="21"/>
        </w:rPr>
        <w:t> </w:t>
      </w:r>
      <w:r>
        <w:rPr>
          <w:w w:val="105"/>
          <w:sz w:val="21"/>
        </w:rPr>
        <w:t>on </w:t>
      </w:r>
      <w:r>
        <w:rPr>
          <w:spacing w:val="-3"/>
          <w:w w:val="105"/>
          <w:sz w:val="21"/>
        </w:rPr>
        <w:t>private residential </w:t>
      </w:r>
      <w:r>
        <w:rPr>
          <w:w w:val="105"/>
          <w:sz w:val="21"/>
        </w:rPr>
        <w:t>properties </w:t>
      </w:r>
      <w:r>
        <w:rPr>
          <w:spacing w:val="-3"/>
          <w:w w:val="105"/>
          <w:sz w:val="21"/>
        </w:rPr>
        <w:t>are </w:t>
      </w:r>
      <w:r>
        <w:rPr>
          <w:w w:val="105"/>
          <w:sz w:val="21"/>
        </w:rPr>
        <w:t>located close </w:t>
      </w:r>
      <w:r>
        <w:rPr>
          <w:spacing w:val="-3"/>
          <w:w w:val="105"/>
          <w:sz w:val="21"/>
        </w:rPr>
        <w:t>to </w:t>
      </w:r>
      <w:r>
        <w:rPr>
          <w:w w:val="105"/>
          <w:sz w:val="21"/>
        </w:rPr>
        <w:t>property boundaries. This is a </w:t>
      </w:r>
      <w:r>
        <w:rPr>
          <w:spacing w:val="-3"/>
          <w:w w:val="105"/>
          <w:sz w:val="21"/>
        </w:rPr>
        <w:t>fruitful, </w:t>
      </w:r>
      <w:r>
        <w:rPr>
          <w:w w:val="105"/>
          <w:sz w:val="21"/>
        </w:rPr>
        <w:t>and </w:t>
      </w:r>
      <w:r>
        <w:rPr>
          <w:spacing w:val="-3"/>
          <w:w w:val="105"/>
          <w:sz w:val="21"/>
        </w:rPr>
        <w:t>growing, source </w:t>
      </w:r>
      <w:r>
        <w:rPr>
          <w:w w:val="105"/>
          <w:sz w:val="21"/>
        </w:rPr>
        <w:t>of disputation between</w:t>
      </w:r>
      <w:r>
        <w:rPr>
          <w:spacing w:val="37"/>
          <w:w w:val="105"/>
          <w:sz w:val="21"/>
        </w:rPr>
        <w:t> </w:t>
      </w:r>
      <w:r>
        <w:rPr>
          <w:spacing w:val="-5"/>
          <w:w w:val="105"/>
          <w:sz w:val="21"/>
        </w:rPr>
        <w:t>neighbours’.</w:t>
      </w:r>
      <w:r>
        <w:rPr>
          <w:spacing w:val="-5"/>
          <w:w w:val="105"/>
          <w:position w:val="7"/>
          <w:sz w:val="12"/>
        </w:rPr>
        <w:t>107</w:t>
      </w:r>
    </w:p>
    <w:p>
      <w:pPr>
        <w:pStyle w:val="BodyText"/>
        <w:rPr>
          <w:sz w:val="20"/>
        </w:rPr>
      </w:pPr>
    </w:p>
    <w:p>
      <w:pPr>
        <w:pStyle w:val="BodyText"/>
        <w:rPr>
          <w:sz w:val="20"/>
        </w:rPr>
      </w:pPr>
    </w:p>
    <w:p>
      <w:pPr>
        <w:pStyle w:val="BodyText"/>
        <w:rPr>
          <w:sz w:val="20"/>
        </w:rPr>
      </w:pPr>
    </w:p>
    <w:p>
      <w:pPr>
        <w:pStyle w:val="BodyText"/>
        <w:spacing w:before="2"/>
        <w:rPr>
          <w:sz w:val="27"/>
        </w:rPr>
      </w:pPr>
      <w:r>
        <w:rPr/>
        <w:pict>
          <v:line style="position:absolute;mso-position-horizontal-relative:page;mso-position-vertical-relative:paragraph;z-index:3632;mso-wrap-distance-left:0;mso-wrap-distance-right:0" from="79.370003pt,19.043011pt" to="515.905003pt,19.043011pt" stroked="true" strokeweight="1pt" strokecolor="#c9d2cb">
            <v:stroke dashstyle="solid"/>
            <w10:wrap type="topAndBottom"/>
          </v:line>
        </w:pict>
      </w:r>
    </w:p>
    <w:p>
      <w:pPr>
        <w:pStyle w:val="ListParagraph"/>
        <w:numPr>
          <w:ilvl w:val="0"/>
          <w:numId w:val="51"/>
        </w:numPr>
        <w:tabs>
          <w:tab w:pos="2380" w:val="left" w:leader="none"/>
          <w:tab w:pos="2382" w:val="left" w:leader="none"/>
        </w:tabs>
        <w:spacing w:line="240" w:lineRule="auto" w:before="117" w:after="0"/>
        <w:ind w:left="2381" w:right="1756" w:hanging="794"/>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2015) </w:t>
      </w:r>
      <w:r>
        <w:rPr>
          <w:spacing w:val="-3"/>
          <w:w w:val="105"/>
          <w:sz w:val="13"/>
        </w:rPr>
        <w:t>70-71.</w:t>
      </w:r>
    </w:p>
    <w:p>
      <w:pPr>
        <w:pStyle w:val="ListParagraph"/>
        <w:numPr>
          <w:ilvl w:val="0"/>
          <w:numId w:val="51"/>
        </w:numPr>
        <w:tabs>
          <w:tab w:pos="2381" w:val="left" w:leader="none"/>
          <w:tab w:pos="2382" w:val="left" w:leader="none"/>
        </w:tabs>
        <w:spacing w:line="240" w:lineRule="auto" w:before="3" w:after="0"/>
        <w:ind w:left="2381" w:right="0" w:hanging="794"/>
        <w:jc w:val="left"/>
        <w:rPr>
          <w:sz w:val="13"/>
        </w:rPr>
      </w:pPr>
      <w:r>
        <w:rPr>
          <w:w w:val="105"/>
          <w:sz w:val="13"/>
        </w:rPr>
        <w:t>Tasmania</w:t>
      </w:r>
      <w:r>
        <w:rPr>
          <w:spacing w:val="5"/>
          <w:w w:val="105"/>
          <w:sz w:val="13"/>
        </w:rPr>
        <w:t> </w:t>
      </w:r>
      <w:r>
        <w:rPr>
          <w:w w:val="105"/>
          <w:sz w:val="13"/>
        </w:rPr>
        <w:t>Law</w:t>
      </w:r>
      <w:r>
        <w:rPr>
          <w:spacing w:val="5"/>
          <w:w w:val="105"/>
          <w:sz w:val="13"/>
        </w:rPr>
        <w:t> </w:t>
      </w:r>
      <w:r>
        <w:rPr>
          <w:w w:val="105"/>
          <w:sz w:val="13"/>
        </w:rPr>
        <w:t>Reform</w:t>
      </w:r>
      <w:r>
        <w:rPr>
          <w:spacing w:val="6"/>
          <w:w w:val="105"/>
          <w:sz w:val="13"/>
        </w:rPr>
        <w:t> </w:t>
      </w:r>
      <w:r>
        <w:rPr>
          <w:w w:val="105"/>
          <w:sz w:val="13"/>
        </w:rPr>
        <w:t>Institute,</w:t>
      </w:r>
      <w:r>
        <w:rPr>
          <w:spacing w:val="5"/>
          <w:w w:val="105"/>
          <w:sz w:val="13"/>
        </w:rPr>
        <w:t> </w:t>
      </w:r>
      <w:r>
        <w:rPr>
          <w:i/>
          <w:w w:val="105"/>
          <w:sz w:val="13"/>
        </w:rPr>
        <w:t>Problem</w:t>
      </w:r>
      <w:r>
        <w:rPr>
          <w:i/>
          <w:spacing w:val="5"/>
          <w:w w:val="105"/>
          <w:sz w:val="13"/>
        </w:rPr>
        <w:t> </w:t>
      </w:r>
      <w:r>
        <w:rPr>
          <w:i/>
          <w:w w:val="105"/>
          <w:sz w:val="13"/>
        </w:rPr>
        <w:t>Trees</w:t>
      </w:r>
      <w:r>
        <w:rPr>
          <w:i/>
          <w:spacing w:val="6"/>
          <w:w w:val="105"/>
          <w:sz w:val="13"/>
        </w:rPr>
        <w:t> </w:t>
      </w:r>
      <w:r>
        <w:rPr>
          <w:i/>
          <w:w w:val="105"/>
          <w:sz w:val="13"/>
        </w:rPr>
        <w:t>and</w:t>
      </w:r>
      <w:r>
        <w:rPr>
          <w:i/>
          <w:spacing w:val="5"/>
          <w:w w:val="105"/>
          <w:sz w:val="13"/>
        </w:rPr>
        <w:t> </w:t>
      </w:r>
      <w:r>
        <w:rPr>
          <w:i/>
          <w:w w:val="105"/>
          <w:sz w:val="13"/>
        </w:rPr>
        <w:t>Hedge:</w:t>
      </w:r>
      <w:r>
        <w:rPr>
          <w:i/>
          <w:spacing w:val="6"/>
          <w:w w:val="105"/>
          <w:sz w:val="13"/>
        </w:rPr>
        <w:t> </w:t>
      </w:r>
      <w:r>
        <w:rPr>
          <w:i/>
          <w:w w:val="105"/>
          <w:sz w:val="13"/>
        </w:rPr>
        <w:t>Access</w:t>
      </w:r>
      <w:r>
        <w:rPr>
          <w:i/>
          <w:spacing w:val="5"/>
          <w:w w:val="105"/>
          <w:sz w:val="13"/>
        </w:rPr>
        <w:t> </w:t>
      </w:r>
      <w:r>
        <w:rPr>
          <w:i/>
          <w:w w:val="105"/>
          <w:sz w:val="13"/>
        </w:rPr>
        <w:t>to</w:t>
      </w:r>
      <w:r>
        <w:rPr>
          <w:i/>
          <w:spacing w:val="5"/>
          <w:w w:val="105"/>
          <w:sz w:val="13"/>
        </w:rPr>
        <w:t> </w:t>
      </w:r>
      <w:r>
        <w:rPr>
          <w:i/>
          <w:w w:val="105"/>
          <w:sz w:val="13"/>
        </w:rPr>
        <w:t>Sunlight</w:t>
      </w:r>
      <w:r>
        <w:rPr>
          <w:i/>
          <w:spacing w:val="6"/>
          <w:w w:val="105"/>
          <w:sz w:val="13"/>
        </w:rPr>
        <w:t> </w:t>
      </w:r>
      <w:r>
        <w:rPr>
          <w:i/>
          <w:w w:val="105"/>
          <w:sz w:val="13"/>
        </w:rPr>
        <w:t>and</w:t>
      </w:r>
      <w:r>
        <w:rPr>
          <w:i/>
          <w:spacing w:val="5"/>
          <w:w w:val="105"/>
          <w:sz w:val="13"/>
        </w:rPr>
        <w:t> </w:t>
      </w:r>
      <w:r>
        <w:rPr>
          <w:i/>
          <w:w w:val="105"/>
          <w:sz w:val="13"/>
        </w:rPr>
        <w:t>Views</w:t>
      </w:r>
      <w:r>
        <w:rPr>
          <w:i/>
          <w:spacing w:val="6"/>
          <w:w w:val="105"/>
          <w:sz w:val="13"/>
        </w:rPr>
        <w:t> </w:t>
      </w:r>
      <w:r>
        <w:rPr>
          <w:spacing w:val="2"/>
          <w:w w:val="105"/>
          <w:sz w:val="13"/>
        </w:rPr>
        <w:t>(Report</w:t>
      </w:r>
      <w:r>
        <w:rPr>
          <w:spacing w:val="5"/>
          <w:w w:val="105"/>
          <w:sz w:val="13"/>
        </w:rPr>
        <w:t> </w:t>
      </w:r>
      <w:r>
        <w:rPr>
          <w:w w:val="105"/>
          <w:sz w:val="13"/>
        </w:rPr>
        <w:t>No</w:t>
      </w:r>
      <w:r>
        <w:rPr>
          <w:spacing w:val="5"/>
          <w:w w:val="105"/>
          <w:sz w:val="13"/>
        </w:rPr>
        <w:t> </w:t>
      </w:r>
      <w:r>
        <w:rPr>
          <w:spacing w:val="-4"/>
          <w:w w:val="105"/>
          <w:sz w:val="13"/>
        </w:rPr>
        <w:t>21,</w:t>
      </w:r>
      <w:r>
        <w:rPr>
          <w:spacing w:val="6"/>
          <w:w w:val="105"/>
          <w:sz w:val="13"/>
        </w:rPr>
        <w:t> </w:t>
      </w:r>
      <w:r>
        <w:rPr>
          <w:w w:val="105"/>
          <w:sz w:val="13"/>
        </w:rPr>
        <w:t>2016)</w:t>
      </w:r>
      <w:r>
        <w:rPr>
          <w:spacing w:val="5"/>
          <w:w w:val="105"/>
          <w:sz w:val="13"/>
        </w:rPr>
        <w:t> </w:t>
      </w:r>
      <w:r>
        <w:rPr>
          <w:w w:val="105"/>
          <w:sz w:val="13"/>
        </w:rPr>
        <w:t>56,</w:t>
      </w:r>
      <w:r>
        <w:rPr>
          <w:spacing w:val="6"/>
          <w:w w:val="105"/>
          <w:sz w:val="13"/>
        </w:rPr>
        <w:t> </w:t>
      </w:r>
      <w:r>
        <w:rPr>
          <w:w w:val="105"/>
          <w:sz w:val="13"/>
        </w:rPr>
        <w:t>recommendation</w:t>
      </w:r>
      <w:r>
        <w:rPr>
          <w:spacing w:val="5"/>
          <w:w w:val="105"/>
          <w:sz w:val="13"/>
        </w:rPr>
        <w:t> </w:t>
      </w:r>
      <w:r>
        <w:rPr>
          <w:spacing w:val="-3"/>
          <w:w w:val="105"/>
          <w:sz w:val="13"/>
        </w:rPr>
        <w:t>12.</w:t>
      </w:r>
    </w:p>
    <w:p>
      <w:pPr>
        <w:pStyle w:val="ListParagraph"/>
        <w:numPr>
          <w:ilvl w:val="0"/>
          <w:numId w:val="51"/>
        </w:numPr>
        <w:tabs>
          <w:tab w:pos="2381"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w w:val="105"/>
          <w:sz w:val="13"/>
        </w:rPr>
        <w:t>56.</w:t>
      </w:r>
    </w:p>
    <w:p>
      <w:pPr>
        <w:pStyle w:val="ListParagraph"/>
        <w:numPr>
          <w:ilvl w:val="0"/>
          <w:numId w:val="51"/>
        </w:numPr>
        <w:tabs>
          <w:tab w:pos="2381" w:val="left" w:leader="none"/>
          <w:tab w:pos="2382" w:val="left" w:leader="none"/>
        </w:tabs>
        <w:spacing w:line="240" w:lineRule="auto" w:before="1" w:after="0"/>
        <w:ind w:left="2381" w:right="0" w:hanging="794"/>
        <w:jc w:val="left"/>
        <w:rPr>
          <w:sz w:val="13"/>
        </w:rPr>
      </w:pPr>
      <w:r>
        <w:rPr>
          <w:i/>
          <w:w w:val="105"/>
          <w:sz w:val="13"/>
        </w:rPr>
        <w:t>Neighbourhood Disputes About Plants Act </w:t>
      </w:r>
      <w:r>
        <w:rPr>
          <w:i/>
          <w:spacing w:val="-4"/>
          <w:w w:val="105"/>
          <w:sz w:val="13"/>
        </w:rPr>
        <w:t>2017 </w:t>
      </w:r>
      <w:r>
        <w:rPr>
          <w:w w:val="105"/>
          <w:sz w:val="13"/>
        </w:rPr>
        <w:t>(Tas) ss 5,</w:t>
      </w:r>
      <w:r>
        <w:rPr>
          <w:spacing w:val="21"/>
          <w:w w:val="105"/>
          <w:sz w:val="13"/>
        </w:rPr>
        <w:t> </w:t>
      </w:r>
      <w:r>
        <w:rPr>
          <w:w w:val="105"/>
          <w:sz w:val="13"/>
        </w:rPr>
        <w:t>9.</w:t>
      </w:r>
    </w:p>
    <w:p>
      <w:pPr>
        <w:pStyle w:val="ListParagraph"/>
        <w:numPr>
          <w:ilvl w:val="0"/>
          <w:numId w:val="51"/>
        </w:numPr>
        <w:tabs>
          <w:tab w:pos="2381" w:val="left" w:leader="none"/>
          <w:tab w:pos="2382" w:val="left" w:leader="none"/>
        </w:tabs>
        <w:spacing w:line="240" w:lineRule="auto" w:before="2" w:after="0"/>
        <w:ind w:left="2381" w:right="0" w:hanging="794"/>
        <w:jc w:val="left"/>
        <w:rPr>
          <w:sz w:val="13"/>
        </w:rPr>
      </w:pPr>
      <w:r>
        <w:rPr>
          <w:sz w:val="13"/>
        </w:rPr>
        <w:t>Ibid s</w:t>
      </w:r>
      <w:r>
        <w:rPr>
          <w:spacing w:val="12"/>
          <w:sz w:val="13"/>
        </w:rPr>
        <w:t> </w:t>
      </w:r>
      <w:r>
        <w:rPr>
          <w:sz w:val="13"/>
        </w:rPr>
        <w:t>5.</w:t>
      </w:r>
    </w:p>
    <w:p>
      <w:pPr>
        <w:pStyle w:val="ListParagraph"/>
        <w:numPr>
          <w:ilvl w:val="0"/>
          <w:numId w:val="51"/>
        </w:numPr>
        <w:tabs>
          <w:tab w:pos="2381" w:val="left" w:leader="none"/>
          <w:tab w:pos="2382" w:val="left" w:leader="none"/>
        </w:tabs>
        <w:spacing w:line="240" w:lineRule="auto" w:before="1" w:after="0"/>
        <w:ind w:left="2381" w:right="0" w:hanging="794"/>
        <w:jc w:val="left"/>
        <w:rPr>
          <w:sz w:val="13"/>
        </w:rPr>
      </w:pPr>
      <w:r>
        <w:rPr>
          <w:w w:val="105"/>
          <w:sz w:val="13"/>
        </w:rPr>
        <w:t>Tasmania,</w:t>
      </w:r>
      <w:r>
        <w:rPr>
          <w:spacing w:val="5"/>
          <w:w w:val="105"/>
          <w:sz w:val="13"/>
        </w:rPr>
        <w:t> </w:t>
      </w:r>
      <w:r>
        <w:rPr>
          <w:i/>
          <w:w w:val="105"/>
          <w:sz w:val="13"/>
        </w:rPr>
        <w:t>Parliamentary</w:t>
      </w:r>
      <w:r>
        <w:rPr>
          <w:i/>
          <w:spacing w:val="5"/>
          <w:w w:val="105"/>
          <w:sz w:val="13"/>
        </w:rPr>
        <w:t> </w:t>
      </w:r>
      <w:r>
        <w:rPr>
          <w:i/>
          <w:w w:val="105"/>
          <w:sz w:val="13"/>
        </w:rPr>
        <w:t>Debates</w:t>
      </w:r>
      <w:r>
        <w:rPr>
          <w:w w:val="105"/>
          <w:sz w:val="13"/>
        </w:rPr>
        <w:t>,</w:t>
      </w:r>
      <w:r>
        <w:rPr>
          <w:spacing w:val="6"/>
          <w:w w:val="105"/>
          <w:sz w:val="13"/>
        </w:rPr>
        <w:t> </w:t>
      </w:r>
      <w:r>
        <w:rPr>
          <w:w w:val="105"/>
          <w:sz w:val="13"/>
        </w:rPr>
        <w:t>House</w:t>
      </w:r>
      <w:r>
        <w:rPr>
          <w:spacing w:val="5"/>
          <w:w w:val="105"/>
          <w:sz w:val="13"/>
        </w:rPr>
        <w:t> </w:t>
      </w:r>
      <w:r>
        <w:rPr>
          <w:w w:val="105"/>
          <w:sz w:val="13"/>
        </w:rPr>
        <w:t>of</w:t>
      </w:r>
      <w:r>
        <w:rPr>
          <w:spacing w:val="6"/>
          <w:w w:val="105"/>
          <w:sz w:val="13"/>
        </w:rPr>
        <w:t> </w:t>
      </w:r>
      <w:r>
        <w:rPr>
          <w:w w:val="105"/>
          <w:sz w:val="13"/>
        </w:rPr>
        <w:t>Assembly,</w:t>
      </w:r>
      <w:r>
        <w:rPr>
          <w:spacing w:val="5"/>
          <w:w w:val="105"/>
          <w:sz w:val="13"/>
        </w:rPr>
        <w:t> </w:t>
      </w:r>
      <w:r>
        <w:rPr>
          <w:w w:val="105"/>
          <w:sz w:val="13"/>
        </w:rPr>
        <w:t>4</w:t>
      </w:r>
      <w:r>
        <w:rPr>
          <w:spacing w:val="5"/>
          <w:w w:val="105"/>
          <w:sz w:val="13"/>
        </w:rPr>
        <w:t> </w:t>
      </w:r>
      <w:r>
        <w:rPr>
          <w:w w:val="105"/>
          <w:sz w:val="13"/>
        </w:rPr>
        <w:t>April</w:t>
      </w:r>
      <w:r>
        <w:rPr>
          <w:spacing w:val="6"/>
          <w:w w:val="105"/>
          <w:sz w:val="13"/>
        </w:rPr>
        <w:t> </w:t>
      </w:r>
      <w:r>
        <w:rPr>
          <w:spacing w:val="-5"/>
          <w:w w:val="105"/>
          <w:sz w:val="13"/>
        </w:rPr>
        <w:t>2017,</w:t>
      </w:r>
      <w:r>
        <w:rPr>
          <w:spacing w:val="5"/>
          <w:w w:val="105"/>
          <w:sz w:val="13"/>
        </w:rPr>
        <w:t> </w:t>
      </w:r>
      <w:r>
        <w:rPr>
          <w:w w:val="105"/>
          <w:sz w:val="13"/>
        </w:rPr>
        <w:t>3</w:t>
      </w:r>
      <w:r>
        <w:rPr>
          <w:spacing w:val="6"/>
          <w:w w:val="105"/>
          <w:sz w:val="13"/>
        </w:rPr>
        <w:t> </w:t>
      </w:r>
      <w:r>
        <w:rPr>
          <w:spacing w:val="2"/>
          <w:w w:val="105"/>
          <w:sz w:val="13"/>
        </w:rPr>
        <w:t>(Rene</w:t>
      </w:r>
      <w:r>
        <w:rPr>
          <w:spacing w:val="5"/>
          <w:w w:val="105"/>
          <w:sz w:val="13"/>
        </w:rPr>
        <w:t> </w:t>
      </w:r>
      <w:r>
        <w:rPr>
          <w:w w:val="105"/>
          <w:sz w:val="13"/>
        </w:rPr>
        <w:t>Hidding);</w:t>
      </w:r>
      <w:r>
        <w:rPr>
          <w:spacing w:val="6"/>
          <w:w w:val="105"/>
          <w:sz w:val="13"/>
        </w:rPr>
        <w:t> </w:t>
      </w:r>
      <w:r>
        <w:rPr>
          <w:w w:val="105"/>
          <w:sz w:val="13"/>
        </w:rPr>
        <w:t>Neighbourhood</w:t>
      </w:r>
      <w:r>
        <w:rPr>
          <w:spacing w:val="5"/>
          <w:w w:val="105"/>
          <w:sz w:val="13"/>
        </w:rPr>
        <w:t> </w:t>
      </w:r>
      <w:r>
        <w:rPr>
          <w:w w:val="105"/>
          <w:sz w:val="13"/>
        </w:rPr>
        <w:t>Disputes</w:t>
      </w:r>
      <w:r>
        <w:rPr>
          <w:spacing w:val="5"/>
          <w:w w:val="105"/>
          <w:sz w:val="13"/>
        </w:rPr>
        <w:t> </w:t>
      </w:r>
      <w:r>
        <w:rPr>
          <w:w w:val="105"/>
          <w:sz w:val="13"/>
        </w:rPr>
        <w:t>About</w:t>
      </w:r>
      <w:r>
        <w:rPr>
          <w:spacing w:val="6"/>
          <w:w w:val="105"/>
          <w:sz w:val="13"/>
        </w:rPr>
        <w:t> </w:t>
      </w:r>
      <w:r>
        <w:rPr>
          <w:w w:val="105"/>
          <w:sz w:val="13"/>
        </w:rPr>
        <w:t>Plants</w:t>
      </w:r>
      <w:r>
        <w:rPr>
          <w:spacing w:val="5"/>
          <w:w w:val="105"/>
          <w:sz w:val="13"/>
        </w:rPr>
        <w:t> </w:t>
      </w:r>
      <w:r>
        <w:rPr>
          <w:w w:val="105"/>
          <w:sz w:val="13"/>
        </w:rPr>
        <w:t>Bill</w:t>
      </w:r>
      <w:r>
        <w:rPr>
          <w:spacing w:val="6"/>
          <w:w w:val="105"/>
          <w:sz w:val="13"/>
        </w:rPr>
        <w:t> </w:t>
      </w:r>
      <w:r>
        <w:rPr>
          <w:spacing w:val="-3"/>
          <w:w w:val="105"/>
          <w:sz w:val="13"/>
        </w:rPr>
        <w:t>2017</w:t>
      </w:r>
      <w:r>
        <w:rPr>
          <w:spacing w:val="5"/>
          <w:w w:val="105"/>
          <w:sz w:val="13"/>
        </w:rPr>
        <w:t> </w:t>
      </w:r>
      <w:r>
        <w:rPr>
          <w:w w:val="105"/>
          <w:sz w:val="13"/>
        </w:rPr>
        <w:t>(Tas).</w:t>
      </w:r>
    </w:p>
    <w:p>
      <w:pPr>
        <w:pStyle w:val="ListParagraph"/>
        <w:numPr>
          <w:ilvl w:val="0"/>
          <w:numId w:val="51"/>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51"/>
        </w:numPr>
        <w:tabs>
          <w:tab w:pos="2381" w:val="left" w:leader="none"/>
          <w:tab w:pos="2382" w:val="left" w:leader="none"/>
        </w:tabs>
        <w:spacing w:line="240" w:lineRule="auto" w:before="2" w:after="0"/>
        <w:ind w:left="2381" w:right="1631" w:hanging="794"/>
        <w:jc w:val="left"/>
        <w:rPr>
          <w:sz w:val="13"/>
        </w:rPr>
      </w:pPr>
      <w:r>
        <w:rPr>
          <w:w w:val="105"/>
          <w:sz w:val="13"/>
        </w:rPr>
        <w:t>Submissions 2 </w:t>
      </w:r>
      <w:r>
        <w:rPr>
          <w:spacing w:val="2"/>
          <w:w w:val="105"/>
          <w:sz w:val="13"/>
        </w:rPr>
        <w:t>(Name </w:t>
      </w:r>
      <w:r>
        <w:rPr>
          <w:w w:val="105"/>
          <w:sz w:val="13"/>
        </w:rPr>
        <w:t>withheld), 4 </w:t>
      </w:r>
      <w:r>
        <w:rPr>
          <w:spacing w:val="2"/>
          <w:w w:val="105"/>
          <w:sz w:val="13"/>
        </w:rPr>
        <w:t>(Name </w:t>
      </w:r>
      <w:r>
        <w:rPr>
          <w:w w:val="105"/>
          <w:sz w:val="13"/>
        </w:rPr>
        <w:t>withheld), 5 </w:t>
      </w:r>
      <w:r>
        <w:rPr>
          <w:spacing w:val="2"/>
          <w:w w:val="105"/>
          <w:sz w:val="13"/>
        </w:rPr>
        <w:t>(Name </w:t>
      </w:r>
      <w:r>
        <w:rPr>
          <w:w w:val="105"/>
          <w:sz w:val="13"/>
        </w:rPr>
        <w:t>withheld), 6 </w:t>
      </w:r>
      <w:r>
        <w:rPr>
          <w:spacing w:val="2"/>
          <w:w w:val="105"/>
          <w:sz w:val="13"/>
        </w:rPr>
        <w:t>(Name </w:t>
      </w:r>
      <w:r>
        <w:rPr>
          <w:w w:val="105"/>
          <w:sz w:val="13"/>
        </w:rPr>
        <w:t>withheld), 7 </w:t>
      </w:r>
      <w:r>
        <w:rPr>
          <w:spacing w:val="2"/>
          <w:w w:val="105"/>
          <w:sz w:val="13"/>
        </w:rPr>
        <w:t>(Ben </w:t>
      </w:r>
      <w:r>
        <w:rPr>
          <w:w w:val="105"/>
          <w:sz w:val="13"/>
        </w:rPr>
        <w:t>Kenyon), 9 </w:t>
      </w:r>
      <w:r>
        <w:rPr>
          <w:spacing w:val="3"/>
          <w:w w:val="105"/>
          <w:sz w:val="13"/>
        </w:rPr>
        <w:t>(Dr </w:t>
      </w:r>
      <w:r>
        <w:rPr>
          <w:w w:val="105"/>
          <w:sz w:val="13"/>
        </w:rPr>
        <w:t>Karen Smith), </w:t>
      </w:r>
      <w:r>
        <w:rPr>
          <w:spacing w:val="-3"/>
          <w:w w:val="105"/>
          <w:sz w:val="13"/>
        </w:rPr>
        <w:t>19 </w:t>
      </w:r>
      <w:r>
        <w:rPr>
          <w:spacing w:val="2"/>
          <w:w w:val="105"/>
          <w:sz w:val="13"/>
        </w:rPr>
        <w:t>(Name </w:t>
      </w:r>
      <w:r>
        <w:rPr>
          <w:w w:val="105"/>
          <w:sz w:val="13"/>
        </w:rPr>
        <w:t>Withheld),</w:t>
      </w:r>
      <w:r>
        <w:rPr>
          <w:spacing w:val="4"/>
          <w:w w:val="105"/>
          <w:sz w:val="13"/>
        </w:rPr>
        <w:t> </w:t>
      </w:r>
      <w:r>
        <w:rPr>
          <w:w w:val="105"/>
          <w:sz w:val="13"/>
        </w:rPr>
        <w:t>20</w:t>
      </w:r>
      <w:r>
        <w:rPr>
          <w:spacing w:val="4"/>
          <w:w w:val="105"/>
          <w:sz w:val="13"/>
        </w:rPr>
        <w:t> </w:t>
      </w:r>
      <w:r>
        <w:rPr>
          <w:spacing w:val="2"/>
          <w:w w:val="105"/>
          <w:sz w:val="13"/>
        </w:rPr>
        <w:t>(Name</w:t>
      </w:r>
      <w:r>
        <w:rPr>
          <w:spacing w:val="4"/>
          <w:w w:val="105"/>
          <w:sz w:val="13"/>
        </w:rPr>
        <w:t> </w:t>
      </w:r>
      <w:r>
        <w:rPr>
          <w:w w:val="105"/>
          <w:sz w:val="13"/>
        </w:rPr>
        <w:t>withheld),</w:t>
      </w:r>
      <w:r>
        <w:rPr>
          <w:spacing w:val="5"/>
          <w:w w:val="105"/>
          <w:sz w:val="13"/>
        </w:rPr>
        <w:t> </w:t>
      </w:r>
      <w:r>
        <w:rPr>
          <w:w w:val="105"/>
          <w:sz w:val="13"/>
        </w:rPr>
        <w:t>21</w:t>
      </w:r>
      <w:r>
        <w:rPr>
          <w:spacing w:val="4"/>
          <w:w w:val="105"/>
          <w:sz w:val="13"/>
        </w:rPr>
        <w:t> </w:t>
      </w:r>
      <w:r>
        <w:rPr>
          <w:w w:val="105"/>
          <w:sz w:val="13"/>
        </w:rPr>
        <w:t>(Pointon</w:t>
      </w:r>
      <w:r>
        <w:rPr>
          <w:spacing w:val="4"/>
          <w:w w:val="105"/>
          <w:sz w:val="13"/>
        </w:rPr>
        <w:t> </w:t>
      </w:r>
      <w:r>
        <w:rPr>
          <w:w w:val="105"/>
          <w:sz w:val="13"/>
        </w:rPr>
        <w:t>Partners</w:t>
      </w:r>
      <w:r>
        <w:rPr>
          <w:spacing w:val="5"/>
          <w:w w:val="105"/>
          <w:sz w:val="13"/>
        </w:rPr>
        <w:t> </w:t>
      </w:r>
      <w:r>
        <w:rPr>
          <w:spacing w:val="2"/>
          <w:w w:val="105"/>
          <w:sz w:val="13"/>
        </w:rPr>
        <w:t>Lawyers),</w:t>
      </w:r>
      <w:r>
        <w:rPr>
          <w:spacing w:val="4"/>
          <w:w w:val="105"/>
          <w:sz w:val="13"/>
        </w:rPr>
        <w:t> </w:t>
      </w:r>
      <w:r>
        <w:rPr>
          <w:w w:val="105"/>
          <w:sz w:val="13"/>
        </w:rPr>
        <w:t>27</w:t>
      </w:r>
      <w:r>
        <w:rPr>
          <w:spacing w:val="4"/>
          <w:w w:val="105"/>
          <w:sz w:val="13"/>
        </w:rPr>
        <w:t> </w:t>
      </w:r>
      <w:r>
        <w:rPr>
          <w:spacing w:val="2"/>
          <w:w w:val="105"/>
          <w:sz w:val="13"/>
        </w:rPr>
        <w:t>(Name</w:t>
      </w:r>
      <w:r>
        <w:rPr>
          <w:spacing w:val="5"/>
          <w:w w:val="105"/>
          <w:sz w:val="13"/>
        </w:rPr>
        <w:t> </w:t>
      </w:r>
      <w:r>
        <w:rPr>
          <w:w w:val="105"/>
          <w:sz w:val="13"/>
        </w:rPr>
        <w:t>withheld);</w:t>
      </w:r>
      <w:r>
        <w:rPr>
          <w:spacing w:val="4"/>
          <w:w w:val="105"/>
          <w:sz w:val="13"/>
        </w:rPr>
        <w:t> </w:t>
      </w:r>
      <w:r>
        <w:rPr>
          <w:w w:val="105"/>
          <w:sz w:val="13"/>
        </w:rPr>
        <w:t>Consultations</w:t>
      </w:r>
      <w:r>
        <w:rPr>
          <w:spacing w:val="4"/>
          <w:w w:val="105"/>
          <w:sz w:val="13"/>
        </w:rPr>
        <w:t> </w:t>
      </w:r>
      <w:r>
        <w:rPr>
          <w:w w:val="105"/>
          <w:sz w:val="13"/>
        </w:rPr>
        <w:t>3</w:t>
      </w:r>
      <w:r>
        <w:rPr>
          <w:spacing w:val="5"/>
          <w:w w:val="105"/>
          <w:sz w:val="13"/>
        </w:rPr>
        <w:t> </w:t>
      </w:r>
      <w:r>
        <w:rPr>
          <w:spacing w:val="3"/>
          <w:w w:val="105"/>
          <w:sz w:val="13"/>
        </w:rPr>
        <w:t>(HVP</w:t>
      </w:r>
      <w:r>
        <w:rPr>
          <w:spacing w:val="4"/>
          <w:w w:val="105"/>
          <w:sz w:val="13"/>
        </w:rPr>
        <w:t> </w:t>
      </w:r>
      <w:r>
        <w:rPr>
          <w:w w:val="105"/>
          <w:sz w:val="13"/>
        </w:rPr>
        <w:t>Plantations),</w:t>
      </w:r>
      <w:r>
        <w:rPr>
          <w:spacing w:val="4"/>
          <w:w w:val="105"/>
          <w:sz w:val="13"/>
        </w:rPr>
        <w:t> </w:t>
      </w:r>
      <w:r>
        <w:rPr>
          <w:spacing w:val="-3"/>
          <w:w w:val="105"/>
          <w:sz w:val="13"/>
        </w:rPr>
        <w:t>14</w:t>
      </w:r>
      <w:r>
        <w:rPr>
          <w:spacing w:val="5"/>
          <w:w w:val="105"/>
          <w:sz w:val="13"/>
        </w:rPr>
        <w:t> </w:t>
      </w:r>
      <w:r>
        <w:rPr>
          <w:spacing w:val="2"/>
          <w:w w:val="105"/>
          <w:sz w:val="13"/>
        </w:rPr>
        <w:t>(Robert</w:t>
      </w:r>
      <w:r>
        <w:rPr>
          <w:spacing w:val="4"/>
          <w:w w:val="105"/>
          <w:sz w:val="13"/>
        </w:rPr>
        <w:t> </w:t>
      </w:r>
      <w:r>
        <w:rPr>
          <w:spacing w:val="2"/>
          <w:w w:val="105"/>
          <w:sz w:val="13"/>
        </w:rPr>
        <w:t>Mineo).</w:t>
      </w:r>
    </w:p>
    <w:p>
      <w:pPr>
        <w:pStyle w:val="ListParagraph"/>
        <w:numPr>
          <w:ilvl w:val="0"/>
          <w:numId w:val="51"/>
        </w:numPr>
        <w:tabs>
          <w:tab w:pos="2381" w:val="left" w:leader="none"/>
          <w:tab w:pos="2382" w:val="left" w:leader="none"/>
        </w:tabs>
        <w:spacing w:line="240" w:lineRule="auto" w:before="2" w:after="0"/>
        <w:ind w:left="2381" w:right="0" w:hanging="794"/>
        <w:jc w:val="left"/>
        <w:rPr>
          <w:sz w:val="13"/>
        </w:rPr>
      </w:pPr>
      <w:r>
        <w:rPr>
          <w:w w:val="105"/>
          <w:sz w:val="13"/>
        </w:rPr>
        <w:t>Submission 9 </w:t>
      </w:r>
      <w:r>
        <w:rPr>
          <w:spacing w:val="3"/>
          <w:w w:val="105"/>
          <w:sz w:val="13"/>
        </w:rPr>
        <w:t>(Dr </w:t>
      </w:r>
      <w:r>
        <w:rPr>
          <w:w w:val="105"/>
          <w:sz w:val="13"/>
        </w:rPr>
        <w:t>Karen</w:t>
      </w:r>
      <w:r>
        <w:rPr>
          <w:spacing w:val="15"/>
          <w:w w:val="105"/>
          <w:sz w:val="13"/>
        </w:rPr>
        <w:t> </w:t>
      </w:r>
      <w:r>
        <w:rPr>
          <w:w w:val="105"/>
          <w:sz w:val="13"/>
        </w:rPr>
        <w:t>Smith).</w:t>
      </w:r>
    </w:p>
    <w:p>
      <w:pPr>
        <w:pStyle w:val="ListParagraph"/>
        <w:numPr>
          <w:ilvl w:val="0"/>
          <w:numId w:val="51"/>
        </w:numPr>
        <w:tabs>
          <w:tab w:pos="2381" w:val="left" w:leader="none"/>
          <w:tab w:pos="2382" w:val="left" w:leader="none"/>
        </w:tabs>
        <w:spacing w:line="240" w:lineRule="auto" w:before="2" w:after="0"/>
        <w:ind w:left="2381" w:right="0" w:hanging="794"/>
        <w:jc w:val="left"/>
        <w:rPr>
          <w:sz w:val="13"/>
        </w:rPr>
      </w:pPr>
      <w:r>
        <w:rPr>
          <w:w w:val="105"/>
          <w:sz w:val="13"/>
        </w:rPr>
        <w:t>Consultations</w:t>
      </w:r>
      <w:r>
        <w:rPr>
          <w:spacing w:val="5"/>
          <w:w w:val="105"/>
          <w:sz w:val="13"/>
        </w:rPr>
        <w:t> </w:t>
      </w:r>
      <w:r>
        <w:rPr>
          <w:w w:val="105"/>
          <w:sz w:val="13"/>
        </w:rPr>
        <w:t>8</w:t>
      </w:r>
      <w:r>
        <w:rPr>
          <w:spacing w:val="5"/>
          <w:w w:val="105"/>
          <w:sz w:val="13"/>
        </w:rPr>
        <w:t> </w:t>
      </w:r>
      <w:r>
        <w:rPr>
          <w:w w:val="105"/>
          <w:sz w:val="13"/>
        </w:rPr>
        <w:t>(City</w:t>
      </w:r>
      <w:r>
        <w:rPr>
          <w:spacing w:val="6"/>
          <w:w w:val="105"/>
          <w:sz w:val="13"/>
        </w:rPr>
        <w:t> </w:t>
      </w:r>
      <w:r>
        <w:rPr>
          <w:w w:val="105"/>
          <w:sz w:val="13"/>
        </w:rPr>
        <w:t>of</w:t>
      </w:r>
      <w:r>
        <w:rPr>
          <w:spacing w:val="5"/>
          <w:w w:val="105"/>
          <w:sz w:val="13"/>
        </w:rPr>
        <w:t> </w:t>
      </w:r>
      <w:r>
        <w:rPr>
          <w:w w:val="105"/>
          <w:sz w:val="13"/>
        </w:rPr>
        <w:t>Boroondara);</w:t>
      </w:r>
      <w:r>
        <w:rPr>
          <w:spacing w:val="5"/>
          <w:w w:val="105"/>
          <w:sz w:val="13"/>
        </w:rPr>
        <w:t> </w:t>
      </w:r>
      <w:r>
        <w:rPr>
          <w:w w:val="105"/>
          <w:sz w:val="13"/>
        </w:rPr>
        <w:t>9</w:t>
      </w:r>
      <w:r>
        <w:rPr>
          <w:spacing w:val="6"/>
          <w:w w:val="105"/>
          <w:sz w:val="13"/>
        </w:rPr>
        <w:t> </w:t>
      </w:r>
      <w:r>
        <w:rPr>
          <w:w w:val="105"/>
          <w:sz w:val="13"/>
        </w:rPr>
        <w:t>(Nillumbik</w:t>
      </w:r>
      <w:r>
        <w:rPr>
          <w:spacing w:val="5"/>
          <w:w w:val="105"/>
          <w:sz w:val="13"/>
        </w:rPr>
        <w:t> </w:t>
      </w:r>
      <w:r>
        <w:rPr>
          <w:w w:val="105"/>
          <w:sz w:val="13"/>
        </w:rPr>
        <w:t>Shire</w:t>
      </w:r>
      <w:r>
        <w:rPr>
          <w:spacing w:val="5"/>
          <w:w w:val="105"/>
          <w:sz w:val="13"/>
        </w:rPr>
        <w:t> </w:t>
      </w:r>
      <w:r>
        <w:rPr>
          <w:w w:val="105"/>
          <w:sz w:val="13"/>
        </w:rPr>
        <w:t>Council);</w:t>
      </w:r>
      <w:r>
        <w:rPr>
          <w:spacing w:val="6"/>
          <w:w w:val="105"/>
          <w:sz w:val="13"/>
        </w:rPr>
        <w:t> </w:t>
      </w:r>
      <w:r>
        <w:rPr>
          <w:w w:val="105"/>
          <w:sz w:val="13"/>
        </w:rPr>
        <w:t>10</w:t>
      </w:r>
      <w:r>
        <w:rPr>
          <w:spacing w:val="5"/>
          <w:w w:val="105"/>
          <w:sz w:val="13"/>
        </w:rPr>
        <w:t> </w:t>
      </w:r>
      <w:r>
        <w:rPr>
          <w:spacing w:val="2"/>
          <w:w w:val="105"/>
          <w:sz w:val="13"/>
        </w:rPr>
        <w:t>(Baw</w:t>
      </w:r>
      <w:r>
        <w:rPr>
          <w:spacing w:val="5"/>
          <w:w w:val="105"/>
          <w:sz w:val="13"/>
        </w:rPr>
        <w:t> </w:t>
      </w:r>
      <w:r>
        <w:rPr>
          <w:w w:val="105"/>
          <w:sz w:val="13"/>
        </w:rPr>
        <w:t>Baw</w:t>
      </w:r>
      <w:r>
        <w:rPr>
          <w:spacing w:val="6"/>
          <w:w w:val="105"/>
          <w:sz w:val="13"/>
        </w:rPr>
        <w:t> </w:t>
      </w:r>
      <w:r>
        <w:rPr>
          <w:w w:val="105"/>
          <w:sz w:val="13"/>
        </w:rPr>
        <w:t>Shire</w:t>
      </w:r>
      <w:r>
        <w:rPr>
          <w:spacing w:val="5"/>
          <w:w w:val="105"/>
          <w:sz w:val="13"/>
        </w:rPr>
        <w:t> </w:t>
      </w:r>
      <w:r>
        <w:rPr>
          <w:w w:val="105"/>
          <w:sz w:val="13"/>
        </w:rPr>
        <w:t>Council);</w:t>
      </w:r>
      <w:r>
        <w:rPr>
          <w:spacing w:val="6"/>
          <w:w w:val="105"/>
          <w:sz w:val="13"/>
        </w:rPr>
        <w:t> </w:t>
      </w:r>
      <w:r>
        <w:rPr>
          <w:spacing w:val="-4"/>
          <w:w w:val="105"/>
          <w:sz w:val="13"/>
        </w:rPr>
        <w:t>12</w:t>
      </w:r>
      <w:r>
        <w:rPr>
          <w:spacing w:val="5"/>
          <w:w w:val="105"/>
          <w:sz w:val="13"/>
        </w:rPr>
        <w:t> </w:t>
      </w:r>
      <w:r>
        <w:rPr>
          <w:w w:val="105"/>
          <w:sz w:val="13"/>
        </w:rPr>
        <w:t>(City</w:t>
      </w:r>
      <w:r>
        <w:rPr>
          <w:spacing w:val="5"/>
          <w:w w:val="105"/>
          <w:sz w:val="13"/>
        </w:rPr>
        <w:t> </w:t>
      </w:r>
      <w:r>
        <w:rPr>
          <w:w w:val="105"/>
          <w:sz w:val="13"/>
        </w:rPr>
        <w:t>of</w:t>
      </w:r>
      <w:r>
        <w:rPr>
          <w:spacing w:val="6"/>
          <w:w w:val="105"/>
          <w:sz w:val="13"/>
        </w:rPr>
        <w:t> </w:t>
      </w:r>
      <w:r>
        <w:rPr>
          <w:w w:val="105"/>
          <w:sz w:val="13"/>
        </w:rPr>
        <w:t>Port</w:t>
      </w:r>
      <w:r>
        <w:rPr>
          <w:spacing w:val="5"/>
          <w:w w:val="105"/>
          <w:sz w:val="13"/>
        </w:rPr>
        <w:t> </w:t>
      </w:r>
      <w:r>
        <w:rPr>
          <w:w w:val="105"/>
          <w:sz w:val="13"/>
        </w:rPr>
        <w:t>Phillip).</w:t>
      </w:r>
    </w:p>
    <w:p>
      <w:pPr>
        <w:pStyle w:val="ListParagraph"/>
        <w:numPr>
          <w:ilvl w:val="0"/>
          <w:numId w:val="51"/>
        </w:numPr>
        <w:tabs>
          <w:tab w:pos="2381" w:val="left" w:leader="none"/>
          <w:tab w:pos="2382" w:val="left" w:leader="none"/>
        </w:tabs>
        <w:spacing w:line="240" w:lineRule="auto" w:before="1" w:after="0"/>
        <w:ind w:left="2381" w:right="0" w:hanging="794"/>
        <w:jc w:val="left"/>
        <w:rPr>
          <w:sz w:val="13"/>
        </w:rPr>
      </w:pPr>
      <w:r>
        <w:rPr>
          <w:w w:val="105"/>
          <w:sz w:val="13"/>
        </w:rPr>
        <w:t>Consultation 9 (Nillumbik Shire</w:t>
      </w:r>
      <w:r>
        <w:rPr>
          <w:spacing w:val="18"/>
          <w:w w:val="105"/>
          <w:sz w:val="13"/>
        </w:rPr>
        <w:t> </w:t>
      </w:r>
      <w:r>
        <w:rPr>
          <w:w w:val="105"/>
          <w:sz w:val="13"/>
        </w:rPr>
        <w:t>Council).</w:t>
      </w:r>
    </w:p>
    <w:p>
      <w:pPr>
        <w:pStyle w:val="ListParagraph"/>
        <w:numPr>
          <w:ilvl w:val="0"/>
          <w:numId w:val="51"/>
        </w:numPr>
        <w:tabs>
          <w:tab w:pos="2381" w:val="left" w:leader="none"/>
          <w:tab w:pos="2382" w:val="left" w:leader="none"/>
        </w:tabs>
        <w:spacing w:line="240" w:lineRule="auto" w:before="1" w:after="0"/>
        <w:ind w:left="2381" w:right="0" w:hanging="794"/>
        <w:jc w:val="left"/>
        <w:rPr>
          <w:sz w:val="13"/>
        </w:rPr>
      </w:pPr>
      <w:r>
        <w:rPr/>
        <w:pict>
          <v:shape style="position:absolute;margin-left:549.071472pt;margin-top:3.000766pt;width:13.05pt;height:14.25pt;mso-position-horizontal-relative:page;mso-position-vertical-relative:paragraph;z-index:5704" type="#_x0000_t202" filled="false" stroked="false">
            <v:textbox inset="0,0,0,0">
              <w:txbxContent>
                <w:p>
                  <w:pPr>
                    <w:spacing w:line="284" w:lineRule="exact" w:before="0"/>
                    <w:ind w:left="0" w:right="0" w:firstLine="0"/>
                    <w:jc w:val="left"/>
                    <w:rPr>
                      <w:b/>
                      <w:sz w:val="24"/>
                    </w:rPr>
                  </w:pPr>
                  <w:r>
                    <w:rPr>
                      <w:b/>
                      <w:color w:val="658464"/>
                      <w:spacing w:val="-4"/>
                      <w:w w:val="110"/>
                      <w:sz w:val="24"/>
                    </w:rPr>
                    <w:t>75</w:t>
                  </w:r>
                </w:p>
              </w:txbxContent>
            </v:textbox>
            <w10:wrap type="none"/>
          </v:shape>
        </w:pict>
      </w:r>
      <w:r>
        <w:rPr>
          <w:sz w:val="13"/>
        </w:rPr>
        <w:t>Ibid.</w:t>
      </w:r>
    </w:p>
    <w:p>
      <w:pPr>
        <w:pStyle w:val="ListParagraph"/>
        <w:numPr>
          <w:ilvl w:val="0"/>
          <w:numId w:val="51"/>
        </w:numPr>
        <w:tabs>
          <w:tab w:pos="2381" w:val="left" w:leader="none"/>
          <w:tab w:pos="2382" w:val="left" w:leader="none"/>
        </w:tabs>
        <w:spacing w:line="240" w:lineRule="auto" w:before="2" w:after="0"/>
        <w:ind w:left="2381" w:right="0" w:hanging="794"/>
        <w:jc w:val="left"/>
        <w:rPr>
          <w:sz w:val="13"/>
        </w:rPr>
      </w:pPr>
      <w:r>
        <w:rPr>
          <w:w w:val="105"/>
          <w:sz w:val="13"/>
        </w:rPr>
        <w:t>Submission 37 </w:t>
      </w:r>
      <w:r>
        <w:rPr>
          <w:spacing w:val="2"/>
          <w:w w:val="105"/>
          <w:sz w:val="13"/>
        </w:rPr>
        <w:t>(Ian</w:t>
      </w:r>
      <w:r>
        <w:rPr>
          <w:spacing w:val="13"/>
          <w:w w:val="105"/>
          <w:sz w:val="13"/>
        </w:rPr>
        <w:t> </w:t>
      </w:r>
      <w:r>
        <w:rPr>
          <w:w w:val="105"/>
          <w:sz w:val="13"/>
        </w:rPr>
        <w:t>Hundley).</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16"/>
        </w:numPr>
        <w:tabs>
          <w:tab w:pos="2381" w:val="left" w:leader="none"/>
          <w:tab w:pos="2382" w:val="left" w:leader="none"/>
        </w:tabs>
        <w:spacing w:line="242" w:lineRule="auto" w:before="92" w:after="0"/>
        <w:ind w:left="2381" w:right="1969" w:hanging="794"/>
        <w:jc w:val="left"/>
        <w:rPr>
          <w:sz w:val="21"/>
        </w:rPr>
      </w:pPr>
      <w:bookmarkStart w:name="_bookmark46" w:id="113"/>
      <w:bookmarkEnd w:id="113"/>
      <w:r>
        <w:rPr/>
      </w:r>
      <w:bookmarkStart w:name="_bookmark46" w:id="114"/>
      <w:bookmarkEnd w:id="114"/>
      <w:r>
        <w:rPr>
          <w:spacing w:val="-3"/>
          <w:w w:val="105"/>
          <w:sz w:val="21"/>
        </w:rPr>
        <w:t>F</w:t>
      </w:r>
      <w:r>
        <w:rPr>
          <w:spacing w:val="-3"/>
          <w:w w:val="105"/>
          <w:sz w:val="21"/>
        </w:rPr>
        <w:t>rom </w:t>
      </w:r>
      <w:r>
        <w:rPr>
          <w:w w:val="105"/>
          <w:sz w:val="21"/>
        </w:rPr>
        <w:t>December </w:t>
      </w:r>
      <w:r>
        <w:rPr>
          <w:spacing w:val="-10"/>
          <w:w w:val="105"/>
          <w:sz w:val="21"/>
        </w:rPr>
        <w:t>2011 </w:t>
      </w:r>
      <w:r>
        <w:rPr>
          <w:spacing w:val="-3"/>
          <w:w w:val="105"/>
          <w:sz w:val="21"/>
        </w:rPr>
        <w:t>to </w:t>
      </w:r>
      <w:r>
        <w:rPr>
          <w:spacing w:val="-2"/>
          <w:w w:val="105"/>
          <w:sz w:val="21"/>
        </w:rPr>
        <w:t>May </w:t>
      </w:r>
      <w:r>
        <w:rPr>
          <w:spacing w:val="-9"/>
          <w:w w:val="105"/>
          <w:sz w:val="21"/>
        </w:rPr>
        <w:t>2017 </w:t>
      </w:r>
      <w:r>
        <w:rPr>
          <w:w w:val="105"/>
          <w:sz w:val="21"/>
        </w:rPr>
        <w:t>DSCV received </w:t>
      </w:r>
      <w:r>
        <w:rPr>
          <w:spacing w:val="-6"/>
          <w:w w:val="105"/>
          <w:sz w:val="21"/>
        </w:rPr>
        <w:t>18,727 </w:t>
      </w:r>
      <w:r>
        <w:rPr>
          <w:w w:val="105"/>
          <w:sz w:val="21"/>
        </w:rPr>
        <w:t>tree-related </w:t>
      </w:r>
      <w:r>
        <w:rPr>
          <w:spacing w:val="-3"/>
          <w:w w:val="105"/>
          <w:sz w:val="21"/>
        </w:rPr>
        <w:t>enquiries from </w:t>
      </w:r>
      <w:r>
        <w:rPr>
          <w:w w:val="105"/>
          <w:sz w:val="21"/>
        </w:rPr>
        <w:t>the </w:t>
      </w:r>
      <w:r>
        <w:rPr>
          <w:spacing w:val="-4"/>
          <w:w w:val="105"/>
          <w:sz w:val="21"/>
        </w:rPr>
        <w:t>community.</w:t>
      </w:r>
      <w:r>
        <w:rPr>
          <w:spacing w:val="-4"/>
          <w:w w:val="105"/>
          <w:position w:val="7"/>
          <w:sz w:val="12"/>
        </w:rPr>
        <w:t>108 </w:t>
      </w:r>
      <w:r>
        <w:rPr>
          <w:w w:val="105"/>
          <w:sz w:val="21"/>
        </w:rPr>
        <w:t>Of </w:t>
      </w:r>
      <w:r>
        <w:rPr>
          <w:spacing w:val="-3"/>
          <w:w w:val="105"/>
          <w:sz w:val="21"/>
        </w:rPr>
        <w:t>these, </w:t>
      </w:r>
      <w:r>
        <w:rPr>
          <w:spacing w:val="-6"/>
          <w:w w:val="105"/>
          <w:sz w:val="21"/>
        </w:rPr>
        <w:t>13,301 </w:t>
      </w:r>
      <w:r>
        <w:rPr>
          <w:spacing w:val="-5"/>
          <w:w w:val="105"/>
          <w:sz w:val="21"/>
        </w:rPr>
        <w:t>(71 </w:t>
      </w:r>
      <w:r>
        <w:rPr>
          <w:w w:val="105"/>
          <w:sz w:val="21"/>
        </w:rPr>
        <w:t>per </w:t>
      </w:r>
      <w:r>
        <w:rPr>
          <w:spacing w:val="-3"/>
          <w:w w:val="105"/>
          <w:sz w:val="21"/>
        </w:rPr>
        <w:t>cent) were from </w:t>
      </w:r>
      <w:r>
        <w:rPr>
          <w:w w:val="105"/>
          <w:sz w:val="21"/>
        </w:rPr>
        <w:t>metropolitan </w:t>
      </w:r>
      <w:r>
        <w:rPr>
          <w:spacing w:val="-3"/>
          <w:w w:val="105"/>
          <w:sz w:val="21"/>
        </w:rPr>
        <w:t>areas within Victoria,</w:t>
      </w:r>
      <w:r>
        <w:rPr>
          <w:spacing w:val="-3"/>
          <w:w w:val="105"/>
          <w:position w:val="7"/>
          <w:sz w:val="12"/>
        </w:rPr>
        <w:t>109 </w:t>
      </w:r>
      <w:r>
        <w:rPr>
          <w:w w:val="105"/>
          <w:sz w:val="21"/>
        </w:rPr>
        <w:t>while 3000 </w:t>
      </w:r>
      <w:r>
        <w:rPr>
          <w:spacing w:val="-3"/>
          <w:w w:val="105"/>
          <w:sz w:val="21"/>
        </w:rPr>
        <w:t>were </w:t>
      </w:r>
      <w:r>
        <w:rPr>
          <w:w w:val="105"/>
          <w:sz w:val="21"/>
        </w:rPr>
        <w:t>located in </w:t>
      </w:r>
      <w:r>
        <w:rPr>
          <w:spacing w:val="-3"/>
          <w:w w:val="105"/>
          <w:sz w:val="21"/>
        </w:rPr>
        <w:t>regional </w:t>
      </w:r>
      <w:r>
        <w:rPr>
          <w:w w:val="105"/>
          <w:sz w:val="21"/>
        </w:rPr>
        <w:t>Victoria </w:t>
      </w:r>
      <w:r>
        <w:rPr>
          <w:spacing w:val="-7"/>
          <w:w w:val="105"/>
          <w:sz w:val="21"/>
        </w:rPr>
        <w:t>(16 </w:t>
      </w:r>
      <w:r>
        <w:rPr>
          <w:w w:val="105"/>
          <w:sz w:val="21"/>
        </w:rPr>
        <w:t>per </w:t>
      </w:r>
      <w:r>
        <w:rPr>
          <w:spacing w:val="-5"/>
          <w:w w:val="105"/>
          <w:sz w:val="21"/>
        </w:rPr>
        <w:t>cent).</w:t>
      </w:r>
      <w:r>
        <w:rPr>
          <w:spacing w:val="-5"/>
          <w:w w:val="105"/>
          <w:position w:val="7"/>
          <w:sz w:val="12"/>
        </w:rPr>
        <w:t>110</w:t>
      </w:r>
    </w:p>
    <w:p>
      <w:pPr>
        <w:pStyle w:val="ListParagraph"/>
        <w:numPr>
          <w:ilvl w:val="1"/>
          <w:numId w:val="16"/>
        </w:numPr>
        <w:tabs>
          <w:tab w:pos="2381" w:val="left" w:leader="none"/>
          <w:tab w:pos="2382" w:val="left" w:leader="none"/>
        </w:tabs>
        <w:spacing w:line="242" w:lineRule="auto" w:before="123" w:after="0"/>
        <w:ind w:left="2381" w:right="1603" w:hanging="794"/>
        <w:jc w:val="left"/>
        <w:rPr>
          <w:sz w:val="21"/>
        </w:rPr>
      </w:pPr>
      <w:r>
        <w:rPr>
          <w:sz w:val="21"/>
        </w:rPr>
        <w:t>While these figures </w:t>
      </w:r>
      <w:r>
        <w:rPr>
          <w:spacing w:val="-3"/>
          <w:sz w:val="21"/>
        </w:rPr>
        <w:t>indicate that </w:t>
      </w:r>
      <w:r>
        <w:rPr>
          <w:sz w:val="21"/>
        </w:rPr>
        <w:t>the vast majority of tree-related </w:t>
      </w:r>
      <w:r>
        <w:rPr>
          <w:spacing w:val="-3"/>
          <w:sz w:val="21"/>
        </w:rPr>
        <w:t>enquiries </w:t>
      </w:r>
      <w:r>
        <w:rPr>
          <w:sz w:val="21"/>
        </w:rPr>
        <w:t>arise in metropolitan </w:t>
      </w:r>
      <w:r>
        <w:rPr>
          <w:spacing w:val="-3"/>
          <w:sz w:val="21"/>
        </w:rPr>
        <w:t>areas, </w:t>
      </w:r>
      <w:r>
        <w:rPr>
          <w:sz w:val="21"/>
        </w:rPr>
        <w:t>there </w:t>
      </w:r>
      <w:r>
        <w:rPr>
          <w:spacing w:val="-3"/>
          <w:sz w:val="21"/>
        </w:rPr>
        <w:t>are many  </w:t>
      </w:r>
      <w:r>
        <w:rPr>
          <w:sz w:val="21"/>
        </w:rPr>
        <w:t>tree  </w:t>
      </w:r>
      <w:r>
        <w:rPr>
          <w:spacing w:val="-3"/>
          <w:sz w:val="21"/>
        </w:rPr>
        <w:t>disputes  </w:t>
      </w:r>
      <w:r>
        <w:rPr>
          <w:sz w:val="21"/>
        </w:rPr>
        <w:t>in  </w:t>
      </w:r>
      <w:r>
        <w:rPr>
          <w:spacing w:val="-3"/>
          <w:sz w:val="21"/>
        </w:rPr>
        <w:t>regional  </w:t>
      </w:r>
      <w:r>
        <w:rPr>
          <w:sz w:val="21"/>
        </w:rPr>
        <w:t>Victoria.  The  </w:t>
      </w:r>
      <w:r>
        <w:rPr>
          <w:spacing w:val="-3"/>
          <w:sz w:val="21"/>
        </w:rPr>
        <w:t>Commission </w:t>
      </w:r>
      <w:r>
        <w:rPr>
          <w:sz w:val="21"/>
        </w:rPr>
        <w:t>was told </w:t>
      </w:r>
      <w:r>
        <w:rPr>
          <w:spacing w:val="-3"/>
          <w:sz w:val="21"/>
        </w:rPr>
        <w:t>that </w:t>
      </w:r>
      <w:r>
        <w:rPr>
          <w:sz w:val="21"/>
        </w:rPr>
        <w:t>in </w:t>
      </w:r>
      <w:r>
        <w:rPr>
          <w:spacing w:val="-3"/>
          <w:sz w:val="21"/>
        </w:rPr>
        <w:t>regional </w:t>
      </w:r>
      <w:r>
        <w:rPr>
          <w:sz w:val="21"/>
        </w:rPr>
        <w:t>Victoria tree  </w:t>
      </w:r>
      <w:r>
        <w:rPr>
          <w:spacing w:val="-3"/>
          <w:sz w:val="21"/>
        </w:rPr>
        <w:t>disputes  </w:t>
      </w:r>
      <w:r>
        <w:rPr>
          <w:sz w:val="21"/>
        </w:rPr>
        <w:t>most  often  </w:t>
      </w:r>
      <w:r>
        <w:rPr>
          <w:spacing w:val="-3"/>
          <w:sz w:val="21"/>
        </w:rPr>
        <w:t>occur  </w:t>
      </w:r>
      <w:r>
        <w:rPr>
          <w:sz w:val="21"/>
        </w:rPr>
        <w:t>in  population  </w:t>
      </w:r>
      <w:r>
        <w:rPr>
          <w:spacing w:val="-3"/>
          <w:sz w:val="21"/>
        </w:rPr>
        <w:t>centres such </w:t>
      </w:r>
      <w:r>
        <w:rPr>
          <w:sz w:val="21"/>
        </w:rPr>
        <w:t>as </w:t>
      </w:r>
      <w:r>
        <w:rPr>
          <w:spacing w:val="-3"/>
          <w:sz w:val="21"/>
        </w:rPr>
        <w:t>towns rather  than  rural  areas.  </w:t>
      </w:r>
      <w:r>
        <w:rPr>
          <w:sz w:val="21"/>
        </w:rPr>
        <w:t>In these locations the subject matter of the </w:t>
      </w:r>
      <w:r>
        <w:rPr>
          <w:spacing w:val="-3"/>
          <w:sz w:val="21"/>
        </w:rPr>
        <w:t>disputes </w:t>
      </w:r>
      <w:r>
        <w:rPr>
          <w:sz w:val="21"/>
        </w:rPr>
        <w:t>is often </w:t>
      </w:r>
      <w:r>
        <w:rPr>
          <w:spacing w:val="-3"/>
          <w:sz w:val="21"/>
        </w:rPr>
        <w:t>similar to </w:t>
      </w:r>
      <w:r>
        <w:rPr>
          <w:sz w:val="21"/>
        </w:rPr>
        <w:t>metropolitan tree </w:t>
      </w:r>
      <w:r>
        <w:rPr>
          <w:spacing w:val="-6"/>
          <w:sz w:val="21"/>
        </w:rPr>
        <w:t>disputes.</w:t>
      </w:r>
      <w:r>
        <w:rPr>
          <w:spacing w:val="-6"/>
          <w:position w:val="7"/>
          <w:sz w:val="12"/>
        </w:rPr>
        <w:t>111</w:t>
      </w:r>
      <w:r>
        <w:rPr>
          <w:spacing w:val="15"/>
          <w:position w:val="7"/>
          <w:sz w:val="12"/>
        </w:rPr>
        <w:t> </w:t>
      </w:r>
      <w:r>
        <w:rPr>
          <w:sz w:val="21"/>
        </w:rPr>
        <w:t>Baw  Baw  </w:t>
      </w:r>
      <w:r>
        <w:rPr>
          <w:spacing w:val="-3"/>
          <w:sz w:val="21"/>
        </w:rPr>
        <w:t>Shire  </w:t>
      </w:r>
      <w:r>
        <w:rPr>
          <w:spacing w:val="-4"/>
          <w:sz w:val="21"/>
        </w:rPr>
        <w:t>Council  </w:t>
      </w:r>
      <w:r>
        <w:rPr>
          <w:sz w:val="21"/>
        </w:rPr>
        <w:t>proposed  </w:t>
      </w:r>
      <w:r>
        <w:rPr>
          <w:spacing w:val="-3"/>
          <w:sz w:val="21"/>
        </w:rPr>
        <w:t>that zoning </w:t>
      </w:r>
      <w:r>
        <w:rPr>
          <w:sz w:val="21"/>
        </w:rPr>
        <w:t>under a new Act should be </w:t>
      </w:r>
      <w:r>
        <w:rPr>
          <w:spacing w:val="-3"/>
          <w:sz w:val="21"/>
        </w:rPr>
        <w:t>limited to residential </w:t>
      </w:r>
      <w:r>
        <w:rPr>
          <w:sz w:val="21"/>
        </w:rPr>
        <w:t>zones or </w:t>
      </w:r>
      <w:r>
        <w:rPr>
          <w:spacing w:val="-3"/>
          <w:sz w:val="21"/>
        </w:rPr>
        <w:t>areas that </w:t>
      </w:r>
      <w:r>
        <w:rPr>
          <w:sz w:val="21"/>
        </w:rPr>
        <w:t>resemble </w:t>
      </w:r>
      <w:r>
        <w:rPr>
          <w:spacing w:val="-3"/>
          <w:sz w:val="21"/>
        </w:rPr>
        <w:t>residential</w:t>
      </w:r>
      <w:r>
        <w:rPr>
          <w:spacing w:val="8"/>
          <w:sz w:val="21"/>
        </w:rPr>
        <w:t> </w:t>
      </w:r>
      <w:r>
        <w:rPr>
          <w:spacing w:val="-6"/>
          <w:sz w:val="21"/>
        </w:rPr>
        <w:t>areas.</w:t>
      </w:r>
      <w:r>
        <w:rPr>
          <w:spacing w:val="-6"/>
          <w:position w:val="7"/>
          <w:sz w:val="12"/>
        </w:rPr>
        <w:t>112</w:t>
      </w:r>
    </w:p>
    <w:p>
      <w:pPr>
        <w:pStyle w:val="ListParagraph"/>
        <w:numPr>
          <w:ilvl w:val="1"/>
          <w:numId w:val="16"/>
        </w:numPr>
        <w:tabs>
          <w:tab w:pos="2380" w:val="left" w:leader="none"/>
          <w:tab w:pos="2381" w:val="left" w:leader="none"/>
        </w:tabs>
        <w:spacing w:line="242" w:lineRule="auto" w:before="128" w:after="0"/>
        <w:ind w:left="2381" w:right="1864" w:hanging="794"/>
        <w:jc w:val="left"/>
        <w:rPr>
          <w:sz w:val="21"/>
        </w:rPr>
      </w:pPr>
      <w:r>
        <w:rPr>
          <w:sz w:val="21"/>
        </w:rPr>
        <w:t>One </w:t>
      </w:r>
      <w:r>
        <w:rPr>
          <w:spacing w:val="-3"/>
          <w:sz w:val="21"/>
        </w:rPr>
        <w:t>submission </w:t>
      </w:r>
      <w:r>
        <w:rPr>
          <w:sz w:val="21"/>
        </w:rPr>
        <w:t>described a </w:t>
      </w:r>
      <w:r>
        <w:rPr>
          <w:spacing w:val="-3"/>
          <w:sz w:val="21"/>
        </w:rPr>
        <w:t>dispute </w:t>
      </w:r>
      <w:r>
        <w:rPr>
          <w:sz w:val="21"/>
        </w:rPr>
        <w:t>in  a  </w:t>
      </w:r>
      <w:r>
        <w:rPr>
          <w:spacing w:val="-3"/>
          <w:sz w:val="21"/>
        </w:rPr>
        <w:t>rural  agricultural  area  concerning  </w:t>
      </w:r>
      <w:r>
        <w:rPr>
          <w:sz w:val="21"/>
        </w:rPr>
        <w:t>a  </w:t>
      </w:r>
      <w:r>
        <w:rPr>
          <w:spacing w:val="-3"/>
          <w:sz w:val="21"/>
        </w:rPr>
        <w:t>line  </w:t>
      </w:r>
      <w:r>
        <w:rPr>
          <w:sz w:val="21"/>
        </w:rPr>
        <w:t>of trees </w:t>
      </w:r>
      <w:r>
        <w:rPr>
          <w:spacing w:val="-3"/>
          <w:sz w:val="21"/>
        </w:rPr>
        <w:t>planted </w:t>
      </w:r>
      <w:r>
        <w:rPr>
          <w:sz w:val="21"/>
        </w:rPr>
        <w:t>close </w:t>
      </w:r>
      <w:r>
        <w:rPr>
          <w:spacing w:val="-3"/>
          <w:sz w:val="21"/>
        </w:rPr>
        <w:t>to </w:t>
      </w:r>
      <w:r>
        <w:rPr>
          <w:sz w:val="21"/>
        </w:rPr>
        <w:t>a </w:t>
      </w:r>
      <w:r>
        <w:rPr>
          <w:spacing w:val="-3"/>
          <w:sz w:val="21"/>
        </w:rPr>
        <w:t>shared </w:t>
      </w:r>
      <w:r>
        <w:rPr>
          <w:spacing w:val="-7"/>
          <w:sz w:val="21"/>
        </w:rPr>
        <w:t>fence.</w:t>
      </w:r>
      <w:r>
        <w:rPr>
          <w:spacing w:val="-7"/>
          <w:position w:val="7"/>
          <w:sz w:val="12"/>
        </w:rPr>
        <w:t>113 </w:t>
      </w:r>
      <w:r>
        <w:rPr>
          <w:sz w:val="21"/>
        </w:rPr>
        <w:t>This </w:t>
      </w:r>
      <w:r>
        <w:rPr>
          <w:spacing w:val="-3"/>
          <w:sz w:val="21"/>
        </w:rPr>
        <w:t>submission </w:t>
      </w:r>
      <w:r>
        <w:rPr>
          <w:sz w:val="21"/>
        </w:rPr>
        <w:t>suggested </w:t>
      </w:r>
      <w:r>
        <w:rPr>
          <w:spacing w:val="-3"/>
          <w:sz w:val="21"/>
        </w:rPr>
        <w:t>that </w:t>
      </w:r>
      <w:r>
        <w:rPr>
          <w:sz w:val="21"/>
        </w:rPr>
        <w:t>the trees on</w:t>
      </w:r>
      <w:r>
        <w:rPr>
          <w:spacing w:val="16"/>
          <w:sz w:val="21"/>
        </w:rPr>
        <w:t> </w:t>
      </w:r>
      <w:r>
        <w:rPr>
          <w:sz w:val="21"/>
        </w:rPr>
        <w:t>the</w:t>
      </w:r>
    </w:p>
    <w:p>
      <w:pPr>
        <w:pStyle w:val="BodyText"/>
        <w:spacing w:line="242" w:lineRule="auto" w:before="2"/>
        <w:ind w:left="2381" w:right="1558"/>
        <w:rPr>
          <w:sz w:val="12"/>
        </w:rPr>
      </w:pPr>
      <w:r>
        <w:rPr>
          <w:spacing w:val="-3"/>
          <w:w w:val="105"/>
        </w:rPr>
        <w:t>neighbouring </w:t>
      </w:r>
      <w:r>
        <w:rPr>
          <w:w w:val="105"/>
        </w:rPr>
        <w:t>property </w:t>
      </w:r>
      <w:r>
        <w:rPr>
          <w:spacing w:val="-2"/>
          <w:w w:val="105"/>
        </w:rPr>
        <w:t>had </w:t>
      </w:r>
      <w:r>
        <w:rPr>
          <w:w w:val="105"/>
        </w:rPr>
        <w:t>the </w:t>
      </w:r>
      <w:r>
        <w:rPr>
          <w:spacing w:val="-3"/>
          <w:w w:val="105"/>
        </w:rPr>
        <w:t>potential to </w:t>
      </w:r>
      <w:r>
        <w:rPr>
          <w:w w:val="105"/>
        </w:rPr>
        <w:t>cause damage or </w:t>
      </w:r>
      <w:r>
        <w:rPr>
          <w:spacing w:val="-3"/>
          <w:w w:val="105"/>
        </w:rPr>
        <w:t>harm to </w:t>
      </w:r>
      <w:r>
        <w:rPr>
          <w:w w:val="105"/>
        </w:rPr>
        <w:t>the boundary </w:t>
      </w:r>
      <w:r>
        <w:rPr>
          <w:spacing w:val="-3"/>
          <w:w w:val="105"/>
        </w:rPr>
        <w:t>fence </w:t>
      </w:r>
      <w:r>
        <w:rPr>
          <w:w w:val="105"/>
        </w:rPr>
        <w:t>and </w:t>
      </w:r>
      <w:r>
        <w:rPr>
          <w:spacing w:val="-3"/>
          <w:w w:val="105"/>
        </w:rPr>
        <w:t>to </w:t>
      </w:r>
      <w:r>
        <w:rPr>
          <w:w w:val="105"/>
        </w:rPr>
        <w:t>crops </w:t>
      </w:r>
      <w:r>
        <w:rPr>
          <w:spacing w:val="-3"/>
          <w:w w:val="105"/>
        </w:rPr>
        <w:t>through contamination. </w:t>
      </w:r>
      <w:r>
        <w:rPr>
          <w:w w:val="105"/>
        </w:rPr>
        <w:t>The </w:t>
      </w:r>
      <w:r>
        <w:rPr>
          <w:spacing w:val="-3"/>
          <w:w w:val="105"/>
        </w:rPr>
        <w:t>submission </w:t>
      </w:r>
      <w:r>
        <w:rPr>
          <w:w w:val="105"/>
        </w:rPr>
        <w:t>expressed </w:t>
      </w:r>
      <w:r>
        <w:rPr>
          <w:spacing w:val="-3"/>
          <w:w w:val="105"/>
        </w:rPr>
        <w:t>frustration </w:t>
      </w:r>
      <w:r>
        <w:rPr>
          <w:w w:val="105"/>
        </w:rPr>
        <w:t>at the </w:t>
      </w:r>
      <w:r>
        <w:rPr>
          <w:spacing w:val="-3"/>
          <w:w w:val="105"/>
        </w:rPr>
        <w:t>limited </w:t>
      </w:r>
      <w:r>
        <w:rPr>
          <w:w w:val="105"/>
        </w:rPr>
        <w:t>resolution options </w:t>
      </w:r>
      <w:r>
        <w:rPr>
          <w:spacing w:val="-3"/>
          <w:w w:val="105"/>
        </w:rPr>
        <w:t>available for </w:t>
      </w:r>
      <w:r>
        <w:rPr>
          <w:w w:val="105"/>
        </w:rPr>
        <w:t>tree </w:t>
      </w:r>
      <w:r>
        <w:rPr>
          <w:spacing w:val="-3"/>
          <w:w w:val="105"/>
        </w:rPr>
        <w:t>disputes </w:t>
      </w:r>
      <w:r>
        <w:rPr>
          <w:w w:val="105"/>
        </w:rPr>
        <w:t>in </w:t>
      </w:r>
      <w:r>
        <w:rPr>
          <w:spacing w:val="-3"/>
          <w:w w:val="105"/>
        </w:rPr>
        <w:t>rural </w:t>
      </w:r>
      <w:r>
        <w:rPr>
          <w:spacing w:val="-6"/>
          <w:w w:val="105"/>
        </w:rPr>
        <w:t>areas.</w:t>
      </w:r>
      <w:r>
        <w:rPr>
          <w:spacing w:val="-6"/>
          <w:w w:val="105"/>
          <w:position w:val="7"/>
          <w:sz w:val="12"/>
        </w:rPr>
        <w:t>114</w:t>
      </w:r>
    </w:p>
    <w:p>
      <w:pPr>
        <w:pStyle w:val="ListParagraph"/>
        <w:numPr>
          <w:ilvl w:val="1"/>
          <w:numId w:val="16"/>
        </w:numPr>
        <w:tabs>
          <w:tab w:pos="2381" w:val="left" w:leader="none"/>
          <w:tab w:pos="2382" w:val="left" w:leader="none"/>
        </w:tabs>
        <w:spacing w:line="242" w:lineRule="auto" w:before="123" w:after="0"/>
        <w:ind w:left="2381" w:right="1823" w:hanging="794"/>
        <w:jc w:val="left"/>
        <w:rPr>
          <w:sz w:val="21"/>
        </w:rPr>
      </w:pPr>
      <w:r>
        <w:rPr>
          <w:sz w:val="21"/>
        </w:rPr>
        <w:t>HVP </w:t>
      </w:r>
      <w:r>
        <w:rPr>
          <w:spacing w:val="-3"/>
          <w:sz w:val="21"/>
        </w:rPr>
        <w:t>Plantations have </w:t>
      </w:r>
      <w:r>
        <w:rPr>
          <w:sz w:val="21"/>
        </w:rPr>
        <w:t>suggested </w:t>
      </w:r>
      <w:r>
        <w:rPr>
          <w:spacing w:val="-3"/>
          <w:sz w:val="21"/>
        </w:rPr>
        <w:t>that </w:t>
      </w:r>
      <w:r>
        <w:rPr>
          <w:sz w:val="21"/>
        </w:rPr>
        <w:t>tree </w:t>
      </w:r>
      <w:r>
        <w:rPr>
          <w:spacing w:val="-3"/>
          <w:sz w:val="21"/>
        </w:rPr>
        <w:t>disputes  </w:t>
      </w:r>
      <w:r>
        <w:rPr>
          <w:spacing w:val="-4"/>
          <w:sz w:val="21"/>
        </w:rPr>
        <w:t>‘occur  </w:t>
      </w:r>
      <w:r>
        <w:rPr>
          <w:sz w:val="21"/>
        </w:rPr>
        <w:t>state-wide and </w:t>
      </w:r>
      <w:r>
        <w:rPr>
          <w:spacing w:val="-3"/>
          <w:sz w:val="21"/>
        </w:rPr>
        <w:t>are  </w:t>
      </w:r>
      <w:r>
        <w:rPr>
          <w:spacing w:val="-2"/>
          <w:sz w:val="21"/>
        </w:rPr>
        <w:t>not  </w:t>
      </w:r>
      <w:r>
        <w:rPr>
          <w:spacing w:val="-3"/>
          <w:sz w:val="21"/>
        </w:rPr>
        <w:t>limited to</w:t>
      </w:r>
      <w:r>
        <w:rPr>
          <w:spacing w:val="15"/>
          <w:sz w:val="21"/>
        </w:rPr>
        <w:t> </w:t>
      </w:r>
      <w:r>
        <w:rPr>
          <w:spacing w:val="-3"/>
          <w:sz w:val="21"/>
        </w:rPr>
        <w:t>suburban</w:t>
      </w:r>
      <w:r>
        <w:rPr>
          <w:spacing w:val="15"/>
          <w:sz w:val="21"/>
        </w:rPr>
        <w:t> </w:t>
      </w:r>
      <w:r>
        <w:rPr>
          <w:spacing w:val="-3"/>
          <w:sz w:val="21"/>
        </w:rPr>
        <w:t>areas’</w:t>
      </w:r>
      <w:r>
        <w:rPr>
          <w:spacing w:val="16"/>
          <w:sz w:val="21"/>
        </w:rPr>
        <w:t> </w:t>
      </w:r>
      <w:r>
        <w:rPr>
          <w:sz w:val="21"/>
        </w:rPr>
        <w:t>and</w:t>
      </w:r>
      <w:r>
        <w:rPr>
          <w:spacing w:val="15"/>
          <w:sz w:val="21"/>
        </w:rPr>
        <w:t> </w:t>
      </w:r>
      <w:r>
        <w:rPr>
          <w:spacing w:val="-3"/>
          <w:sz w:val="21"/>
        </w:rPr>
        <w:t>that</w:t>
      </w:r>
      <w:r>
        <w:rPr>
          <w:spacing w:val="15"/>
          <w:sz w:val="21"/>
        </w:rPr>
        <w:t> </w:t>
      </w:r>
      <w:r>
        <w:rPr>
          <w:sz w:val="21"/>
        </w:rPr>
        <w:t>it</w:t>
      </w:r>
      <w:r>
        <w:rPr>
          <w:spacing w:val="16"/>
          <w:sz w:val="21"/>
        </w:rPr>
        <w:t> </w:t>
      </w:r>
      <w:r>
        <w:rPr>
          <w:spacing w:val="-2"/>
          <w:sz w:val="21"/>
        </w:rPr>
        <w:t>has</w:t>
      </w:r>
      <w:r>
        <w:rPr>
          <w:spacing w:val="15"/>
          <w:sz w:val="21"/>
        </w:rPr>
        <w:t> </w:t>
      </w:r>
      <w:r>
        <w:rPr>
          <w:sz w:val="21"/>
        </w:rPr>
        <w:t>been</w:t>
      </w:r>
      <w:r>
        <w:rPr>
          <w:spacing w:val="15"/>
          <w:sz w:val="21"/>
        </w:rPr>
        <w:t> </w:t>
      </w:r>
      <w:r>
        <w:rPr>
          <w:spacing w:val="-3"/>
          <w:sz w:val="21"/>
        </w:rPr>
        <w:t>involved</w:t>
      </w:r>
      <w:r>
        <w:rPr>
          <w:spacing w:val="16"/>
          <w:sz w:val="21"/>
        </w:rPr>
        <w:t> </w:t>
      </w:r>
      <w:r>
        <w:rPr>
          <w:sz w:val="21"/>
        </w:rPr>
        <w:t>in</w:t>
      </w:r>
      <w:r>
        <w:rPr>
          <w:spacing w:val="15"/>
          <w:sz w:val="21"/>
        </w:rPr>
        <w:t> </w:t>
      </w:r>
      <w:r>
        <w:rPr>
          <w:spacing w:val="-3"/>
          <w:sz w:val="21"/>
        </w:rPr>
        <w:t>disputes</w:t>
      </w:r>
      <w:r>
        <w:rPr>
          <w:spacing w:val="15"/>
          <w:sz w:val="21"/>
        </w:rPr>
        <w:t> </w:t>
      </w:r>
      <w:r>
        <w:rPr>
          <w:sz w:val="21"/>
        </w:rPr>
        <w:t>with</w:t>
      </w:r>
      <w:r>
        <w:rPr>
          <w:spacing w:val="16"/>
          <w:sz w:val="21"/>
        </w:rPr>
        <w:t> </w:t>
      </w:r>
      <w:r>
        <w:rPr>
          <w:sz w:val="21"/>
        </w:rPr>
        <w:t>both</w:t>
      </w:r>
      <w:r>
        <w:rPr>
          <w:spacing w:val="15"/>
          <w:sz w:val="21"/>
        </w:rPr>
        <w:t> </w:t>
      </w:r>
      <w:r>
        <w:rPr>
          <w:spacing w:val="-3"/>
          <w:sz w:val="21"/>
        </w:rPr>
        <w:t>residential</w:t>
      </w:r>
    </w:p>
    <w:p>
      <w:pPr>
        <w:pStyle w:val="BodyText"/>
        <w:spacing w:line="242" w:lineRule="auto" w:before="2"/>
        <w:ind w:left="2381" w:right="1636"/>
        <w:rPr>
          <w:sz w:val="12"/>
        </w:rPr>
      </w:pPr>
      <w:r>
        <w:rPr/>
        <w:t>and farming neighbours. HVP Plantations told the Commission that it is involved in approximately 10 tree disputes a year in rural areas. </w:t>
      </w:r>
      <w:r>
        <w:rPr>
          <w:position w:val="7"/>
          <w:sz w:val="12"/>
        </w:rPr>
        <w:t>115</w:t>
      </w:r>
    </w:p>
    <w:p>
      <w:pPr>
        <w:pStyle w:val="ListParagraph"/>
        <w:numPr>
          <w:ilvl w:val="1"/>
          <w:numId w:val="16"/>
        </w:numPr>
        <w:tabs>
          <w:tab w:pos="2381" w:val="left" w:leader="none"/>
          <w:tab w:pos="2382" w:val="left" w:leader="none"/>
        </w:tabs>
        <w:spacing w:line="242" w:lineRule="auto" w:before="122" w:after="0"/>
        <w:ind w:left="2381" w:right="2064" w:hanging="794"/>
        <w:jc w:val="left"/>
        <w:rPr>
          <w:sz w:val="21"/>
        </w:rPr>
      </w:pPr>
      <w:r>
        <w:rPr>
          <w:w w:val="105"/>
          <w:sz w:val="21"/>
        </w:rPr>
        <w:t>Owners</w:t>
      </w:r>
      <w:r>
        <w:rPr>
          <w:spacing w:val="-4"/>
          <w:w w:val="105"/>
          <w:sz w:val="21"/>
        </w:rPr>
        <w:t> </w:t>
      </w:r>
      <w:r>
        <w:rPr>
          <w:w w:val="105"/>
          <w:sz w:val="21"/>
        </w:rPr>
        <w:t>or</w:t>
      </w:r>
      <w:r>
        <w:rPr>
          <w:spacing w:val="-4"/>
          <w:w w:val="105"/>
          <w:sz w:val="21"/>
        </w:rPr>
        <w:t> </w:t>
      </w:r>
      <w:r>
        <w:rPr>
          <w:w w:val="105"/>
          <w:sz w:val="21"/>
        </w:rPr>
        <w:t>occupiers</w:t>
      </w:r>
      <w:r>
        <w:rPr>
          <w:spacing w:val="-3"/>
          <w:w w:val="105"/>
          <w:sz w:val="21"/>
        </w:rPr>
        <w:t> </w:t>
      </w:r>
      <w:r>
        <w:rPr>
          <w:w w:val="105"/>
          <w:sz w:val="21"/>
        </w:rPr>
        <w:t>of</w:t>
      </w:r>
      <w:r>
        <w:rPr>
          <w:spacing w:val="-4"/>
          <w:w w:val="105"/>
          <w:sz w:val="21"/>
        </w:rPr>
        <w:t> </w:t>
      </w:r>
      <w:r>
        <w:rPr>
          <w:spacing w:val="-3"/>
          <w:w w:val="105"/>
          <w:sz w:val="21"/>
        </w:rPr>
        <w:t>rural land</w:t>
      </w:r>
      <w:r>
        <w:rPr>
          <w:spacing w:val="-4"/>
          <w:w w:val="105"/>
          <w:sz w:val="21"/>
        </w:rPr>
        <w:t> </w:t>
      </w:r>
      <w:r>
        <w:rPr>
          <w:spacing w:val="-3"/>
          <w:w w:val="105"/>
          <w:sz w:val="21"/>
        </w:rPr>
        <w:t>may</w:t>
      </w:r>
      <w:r>
        <w:rPr>
          <w:spacing w:val="-4"/>
          <w:w w:val="105"/>
          <w:sz w:val="21"/>
        </w:rPr>
        <w:t> </w:t>
      </w:r>
      <w:r>
        <w:rPr>
          <w:w w:val="105"/>
          <w:sz w:val="21"/>
        </w:rPr>
        <w:t>also</w:t>
      </w:r>
      <w:r>
        <w:rPr>
          <w:spacing w:val="-3"/>
          <w:w w:val="105"/>
          <w:sz w:val="21"/>
        </w:rPr>
        <w:t> </w:t>
      </w:r>
      <w:r>
        <w:rPr>
          <w:w w:val="105"/>
          <w:sz w:val="21"/>
        </w:rPr>
        <w:t>be</w:t>
      </w:r>
      <w:r>
        <w:rPr>
          <w:spacing w:val="-4"/>
          <w:w w:val="105"/>
          <w:sz w:val="21"/>
        </w:rPr>
        <w:t> </w:t>
      </w:r>
      <w:r>
        <w:rPr>
          <w:spacing w:val="-3"/>
          <w:w w:val="105"/>
          <w:sz w:val="21"/>
        </w:rPr>
        <w:t>concerned </w:t>
      </w:r>
      <w:r>
        <w:rPr>
          <w:w w:val="105"/>
          <w:sz w:val="21"/>
        </w:rPr>
        <w:t>about</w:t>
      </w:r>
      <w:r>
        <w:rPr>
          <w:spacing w:val="-4"/>
          <w:w w:val="105"/>
          <w:sz w:val="21"/>
        </w:rPr>
        <w:t> </w:t>
      </w:r>
      <w:r>
        <w:rPr>
          <w:w w:val="105"/>
          <w:sz w:val="21"/>
        </w:rPr>
        <w:t>the</w:t>
      </w:r>
      <w:r>
        <w:rPr>
          <w:spacing w:val="-3"/>
          <w:w w:val="105"/>
          <w:sz w:val="21"/>
        </w:rPr>
        <w:t> </w:t>
      </w:r>
      <w:r>
        <w:rPr>
          <w:w w:val="105"/>
          <w:sz w:val="21"/>
        </w:rPr>
        <w:t>risk</w:t>
      </w:r>
      <w:r>
        <w:rPr>
          <w:spacing w:val="-4"/>
          <w:w w:val="105"/>
          <w:sz w:val="21"/>
        </w:rPr>
        <w:t> </w:t>
      </w:r>
      <w:r>
        <w:rPr>
          <w:w w:val="105"/>
          <w:sz w:val="21"/>
        </w:rPr>
        <w:t>of</w:t>
      </w:r>
      <w:r>
        <w:rPr>
          <w:spacing w:val="-4"/>
          <w:w w:val="105"/>
          <w:sz w:val="21"/>
        </w:rPr>
        <w:t> </w:t>
      </w:r>
      <w:r>
        <w:rPr>
          <w:w w:val="105"/>
          <w:sz w:val="21"/>
        </w:rPr>
        <w:t>a</w:t>
      </w:r>
      <w:r>
        <w:rPr>
          <w:spacing w:val="-3"/>
          <w:w w:val="105"/>
          <w:sz w:val="21"/>
        </w:rPr>
        <w:t> bushfire </w:t>
      </w:r>
      <w:r>
        <w:rPr>
          <w:w w:val="105"/>
          <w:sz w:val="21"/>
        </w:rPr>
        <w:t>posed by vegetation on </w:t>
      </w:r>
      <w:r>
        <w:rPr>
          <w:spacing w:val="-3"/>
          <w:w w:val="105"/>
          <w:sz w:val="21"/>
        </w:rPr>
        <w:t>neighbouring</w:t>
      </w:r>
      <w:r>
        <w:rPr>
          <w:spacing w:val="26"/>
          <w:w w:val="105"/>
          <w:sz w:val="21"/>
        </w:rPr>
        <w:t> </w:t>
      </w:r>
      <w:r>
        <w:rPr>
          <w:spacing w:val="-6"/>
          <w:w w:val="105"/>
          <w:sz w:val="21"/>
        </w:rPr>
        <w:t>land.</w:t>
      </w:r>
      <w:r>
        <w:rPr>
          <w:spacing w:val="-6"/>
          <w:w w:val="105"/>
          <w:position w:val="7"/>
          <w:sz w:val="12"/>
        </w:rPr>
        <w:t>116</w:t>
      </w:r>
    </w:p>
    <w:p>
      <w:pPr>
        <w:pStyle w:val="BodyText"/>
        <w:spacing w:before="3"/>
        <w:rPr>
          <w:sz w:val="20"/>
        </w:rPr>
      </w:pPr>
    </w:p>
    <w:p>
      <w:pPr>
        <w:pStyle w:val="Heading5"/>
      </w:pPr>
      <w:r>
        <w:rPr>
          <w:w w:val="115"/>
        </w:rPr>
        <w:t>The Commission’s conclusions—to which land should the Act apply?</w:t>
      </w:r>
    </w:p>
    <w:p>
      <w:pPr>
        <w:pStyle w:val="ListParagraph"/>
        <w:numPr>
          <w:ilvl w:val="1"/>
          <w:numId w:val="16"/>
        </w:numPr>
        <w:tabs>
          <w:tab w:pos="2381" w:val="left" w:leader="none"/>
          <w:tab w:pos="2382" w:val="left" w:leader="none"/>
        </w:tabs>
        <w:spacing w:line="242" w:lineRule="auto" w:before="138" w:after="0"/>
        <w:ind w:left="2381" w:right="1916" w:hanging="794"/>
        <w:jc w:val="left"/>
        <w:rPr>
          <w:sz w:val="21"/>
        </w:rPr>
      </w:pPr>
      <w:r>
        <w:rPr>
          <w:sz w:val="21"/>
        </w:rPr>
        <w:t>The new Act should apply </w:t>
      </w:r>
      <w:r>
        <w:rPr>
          <w:spacing w:val="-3"/>
          <w:sz w:val="21"/>
        </w:rPr>
        <w:t>to land </w:t>
      </w:r>
      <w:r>
        <w:rPr>
          <w:sz w:val="21"/>
        </w:rPr>
        <w:t>zones in urban </w:t>
      </w:r>
      <w:r>
        <w:rPr>
          <w:spacing w:val="-3"/>
          <w:sz w:val="21"/>
        </w:rPr>
        <w:t>areas </w:t>
      </w:r>
      <w:r>
        <w:rPr>
          <w:sz w:val="21"/>
        </w:rPr>
        <w:t>or </w:t>
      </w:r>
      <w:r>
        <w:rPr>
          <w:spacing w:val="-3"/>
          <w:sz w:val="21"/>
        </w:rPr>
        <w:t>to land that </w:t>
      </w:r>
      <w:r>
        <w:rPr>
          <w:sz w:val="21"/>
        </w:rPr>
        <w:t>provides </w:t>
      </w:r>
      <w:r>
        <w:rPr>
          <w:spacing w:val="-3"/>
          <w:sz w:val="21"/>
        </w:rPr>
        <w:t>for residential living (including </w:t>
      </w:r>
      <w:r>
        <w:rPr>
          <w:sz w:val="21"/>
        </w:rPr>
        <w:t>some </w:t>
      </w:r>
      <w:r>
        <w:rPr>
          <w:spacing w:val="-3"/>
          <w:sz w:val="21"/>
        </w:rPr>
        <w:t>rural </w:t>
      </w:r>
      <w:r>
        <w:rPr>
          <w:sz w:val="21"/>
        </w:rPr>
        <w:t>areas), while giving </w:t>
      </w:r>
      <w:r>
        <w:rPr>
          <w:spacing w:val="-3"/>
          <w:sz w:val="21"/>
        </w:rPr>
        <w:t>discretion to </w:t>
      </w:r>
      <w:r>
        <w:rPr>
          <w:sz w:val="21"/>
        </w:rPr>
        <w:t>the decision- </w:t>
      </w:r>
      <w:r>
        <w:rPr>
          <w:spacing w:val="-3"/>
          <w:sz w:val="21"/>
        </w:rPr>
        <w:t>making </w:t>
      </w:r>
      <w:r>
        <w:rPr>
          <w:sz w:val="21"/>
        </w:rPr>
        <w:t>body </w:t>
      </w:r>
      <w:r>
        <w:rPr>
          <w:spacing w:val="-3"/>
          <w:sz w:val="21"/>
        </w:rPr>
        <w:t>to  consider  land  that  </w:t>
      </w:r>
      <w:r>
        <w:rPr>
          <w:spacing w:val="-2"/>
          <w:sz w:val="21"/>
        </w:rPr>
        <w:t>has  </w:t>
      </w:r>
      <w:r>
        <w:rPr>
          <w:sz w:val="21"/>
        </w:rPr>
        <w:t>the </w:t>
      </w:r>
      <w:r>
        <w:rPr>
          <w:spacing w:val="-3"/>
          <w:sz w:val="21"/>
        </w:rPr>
        <w:t>substantial  character  </w:t>
      </w:r>
      <w:r>
        <w:rPr>
          <w:sz w:val="21"/>
        </w:rPr>
        <w:t>of one of these </w:t>
      </w:r>
      <w:r>
        <w:rPr>
          <w:spacing w:val="-3"/>
          <w:sz w:val="21"/>
        </w:rPr>
        <w:t>zones. </w:t>
      </w:r>
      <w:r>
        <w:rPr>
          <w:sz w:val="21"/>
        </w:rPr>
        <w:t>A new Act would </w:t>
      </w:r>
      <w:r>
        <w:rPr>
          <w:spacing w:val="-3"/>
          <w:sz w:val="21"/>
        </w:rPr>
        <w:t>therefore </w:t>
      </w:r>
      <w:r>
        <w:rPr>
          <w:sz w:val="21"/>
        </w:rPr>
        <w:t>apply</w:t>
      </w:r>
      <w:r>
        <w:rPr>
          <w:spacing w:val="11"/>
          <w:sz w:val="21"/>
        </w:rPr>
        <w:t> </w:t>
      </w:r>
      <w:r>
        <w:rPr>
          <w:sz w:val="21"/>
        </w:rPr>
        <w:t>to:</w:t>
      </w:r>
    </w:p>
    <w:p>
      <w:pPr>
        <w:pStyle w:val="ListParagraph"/>
        <w:numPr>
          <w:ilvl w:val="2"/>
          <w:numId w:val="16"/>
        </w:numPr>
        <w:tabs>
          <w:tab w:pos="2721" w:val="left" w:leader="none"/>
          <w:tab w:pos="2722" w:val="left" w:leader="none"/>
        </w:tabs>
        <w:spacing w:line="240" w:lineRule="auto" w:before="124" w:after="0"/>
        <w:ind w:left="2721" w:right="0" w:hanging="340"/>
        <w:jc w:val="left"/>
        <w:rPr>
          <w:sz w:val="21"/>
        </w:rPr>
      </w:pPr>
      <w:r>
        <w:rPr>
          <w:sz w:val="21"/>
        </w:rPr>
        <w:t>the six </w:t>
      </w:r>
      <w:r>
        <w:rPr>
          <w:spacing w:val="-3"/>
          <w:sz w:val="21"/>
        </w:rPr>
        <w:t>residential</w:t>
      </w:r>
      <w:r>
        <w:rPr>
          <w:spacing w:val="24"/>
          <w:sz w:val="21"/>
        </w:rPr>
        <w:t> </w:t>
      </w:r>
      <w:r>
        <w:rPr>
          <w:sz w:val="21"/>
        </w:rPr>
        <w:t>zones</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z w:val="21"/>
        </w:rPr>
        <w:t>the three </w:t>
      </w:r>
      <w:r>
        <w:rPr>
          <w:spacing w:val="-3"/>
          <w:sz w:val="21"/>
        </w:rPr>
        <w:t>commercial</w:t>
      </w:r>
      <w:r>
        <w:rPr>
          <w:spacing w:val="25"/>
          <w:sz w:val="21"/>
        </w:rPr>
        <w:t> </w:t>
      </w:r>
      <w:r>
        <w:rPr>
          <w:sz w:val="21"/>
        </w:rPr>
        <w:t>zones</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z w:val="21"/>
        </w:rPr>
        <w:t>the three </w:t>
      </w:r>
      <w:r>
        <w:rPr>
          <w:spacing w:val="-3"/>
          <w:sz w:val="21"/>
        </w:rPr>
        <w:t>industrial</w:t>
      </w:r>
      <w:r>
        <w:rPr>
          <w:spacing w:val="24"/>
          <w:sz w:val="21"/>
        </w:rPr>
        <w:t> </w:t>
      </w:r>
      <w:r>
        <w:rPr>
          <w:sz w:val="21"/>
        </w:rPr>
        <w:t>zones</w:t>
      </w:r>
    </w:p>
    <w:p>
      <w:pPr>
        <w:pStyle w:val="ListParagraph"/>
        <w:numPr>
          <w:ilvl w:val="2"/>
          <w:numId w:val="16"/>
        </w:numPr>
        <w:tabs>
          <w:tab w:pos="2721" w:val="left" w:leader="none"/>
          <w:tab w:pos="2722" w:val="left" w:leader="none"/>
        </w:tabs>
        <w:spacing w:line="242" w:lineRule="auto" w:before="89" w:after="0"/>
        <w:ind w:left="2721" w:right="1628" w:hanging="340"/>
        <w:jc w:val="left"/>
        <w:rPr>
          <w:sz w:val="21"/>
        </w:rPr>
      </w:pPr>
      <w:r>
        <w:rPr>
          <w:w w:val="105"/>
          <w:sz w:val="21"/>
        </w:rPr>
        <w:t>the</w:t>
      </w:r>
      <w:r>
        <w:rPr>
          <w:spacing w:val="-5"/>
          <w:w w:val="105"/>
          <w:sz w:val="21"/>
        </w:rPr>
        <w:t> </w:t>
      </w:r>
      <w:r>
        <w:rPr>
          <w:w w:val="105"/>
          <w:sz w:val="21"/>
        </w:rPr>
        <w:t>two</w:t>
      </w:r>
      <w:r>
        <w:rPr>
          <w:spacing w:val="-5"/>
          <w:w w:val="105"/>
          <w:sz w:val="21"/>
        </w:rPr>
        <w:t> </w:t>
      </w:r>
      <w:r>
        <w:rPr>
          <w:w w:val="105"/>
          <w:sz w:val="21"/>
        </w:rPr>
        <w:t>green</w:t>
      </w:r>
      <w:r>
        <w:rPr>
          <w:spacing w:val="-5"/>
          <w:w w:val="105"/>
          <w:sz w:val="21"/>
        </w:rPr>
        <w:t> </w:t>
      </w:r>
      <w:r>
        <w:rPr>
          <w:w w:val="105"/>
          <w:sz w:val="21"/>
        </w:rPr>
        <w:t>wedge</w:t>
      </w:r>
      <w:r>
        <w:rPr>
          <w:spacing w:val="-4"/>
          <w:w w:val="105"/>
          <w:sz w:val="21"/>
        </w:rPr>
        <w:t> </w:t>
      </w:r>
      <w:r>
        <w:rPr>
          <w:w w:val="105"/>
          <w:sz w:val="21"/>
        </w:rPr>
        <w:t>zones</w:t>
      </w:r>
      <w:r>
        <w:rPr>
          <w:spacing w:val="-5"/>
          <w:w w:val="105"/>
          <w:sz w:val="21"/>
        </w:rPr>
        <w:t> </w:t>
      </w:r>
      <w:r>
        <w:rPr>
          <w:w w:val="105"/>
          <w:sz w:val="21"/>
        </w:rPr>
        <w:t>(as</w:t>
      </w:r>
      <w:r>
        <w:rPr>
          <w:spacing w:val="-5"/>
          <w:w w:val="105"/>
          <w:sz w:val="21"/>
        </w:rPr>
        <w:t> </w:t>
      </w:r>
      <w:r>
        <w:rPr>
          <w:w w:val="105"/>
          <w:sz w:val="21"/>
        </w:rPr>
        <w:t>they</w:t>
      </w:r>
      <w:r>
        <w:rPr>
          <w:spacing w:val="-5"/>
          <w:w w:val="105"/>
          <w:sz w:val="21"/>
        </w:rPr>
        <w:t> </w:t>
      </w:r>
      <w:r>
        <w:rPr>
          <w:w w:val="105"/>
          <w:sz w:val="21"/>
        </w:rPr>
        <w:t>support</w:t>
      </w:r>
      <w:r>
        <w:rPr>
          <w:spacing w:val="-4"/>
          <w:w w:val="105"/>
          <w:sz w:val="21"/>
        </w:rPr>
        <w:t> </w:t>
      </w:r>
      <w:r>
        <w:rPr>
          <w:spacing w:val="-3"/>
          <w:w w:val="105"/>
          <w:sz w:val="21"/>
        </w:rPr>
        <w:t>rural</w:t>
      </w:r>
      <w:r>
        <w:rPr>
          <w:spacing w:val="-5"/>
          <w:w w:val="105"/>
          <w:sz w:val="21"/>
        </w:rPr>
        <w:t> </w:t>
      </w:r>
      <w:r>
        <w:rPr>
          <w:spacing w:val="-3"/>
          <w:w w:val="105"/>
          <w:sz w:val="21"/>
        </w:rPr>
        <w:t>living</w:t>
      </w:r>
      <w:r>
        <w:rPr>
          <w:spacing w:val="-5"/>
          <w:w w:val="105"/>
          <w:sz w:val="21"/>
        </w:rPr>
        <w:t> </w:t>
      </w:r>
      <w:r>
        <w:rPr>
          <w:w w:val="105"/>
          <w:sz w:val="21"/>
        </w:rPr>
        <w:t>and</w:t>
      </w:r>
      <w:r>
        <w:rPr>
          <w:spacing w:val="-5"/>
          <w:w w:val="105"/>
          <w:sz w:val="21"/>
        </w:rPr>
        <w:t> </w:t>
      </w:r>
      <w:r>
        <w:rPr>
          <w:spacing w:val="-3"/>
          <w:w w:val="105"/>
          <w:sz w:val="21"/>
        </w:rPr>
        <w:t>are</w:t>
      </w:r>
      <w:r>
        <w:rPr>
          <w:spacing w:val="-4"/>
          <w:w w:val="105"/>
          <w:sz w:val="21"/>
        </w:rPr>
        <w:t> </w:t>
      </w:r>
      <w:r>
        <w:rPr>
          <w:w w:val="105"/>
          <w:sz w:val="21"/>
        </w:rPr>
        <w:t>located</w:t>
      </w:r>
      <w:r>
        <w:rPr>
          <w:spacing w:val="-5"/>
          <w:w w:val="105"/>
          <w:sz w:val="21"/>
        </w:rPr>
        <w:t> </w:t>
      </w:r>
      <w:r>
        <w:rPr>
          <w:w w:val="105"/>
          <w:sz w:val="21"/>
        </w:rPr>
        <w:t>on</w:t>
      </w:r>
      <w:r>
        <w:rPr>
          <w:spacing w:val="-5"/>
          <w:w w:val="105"/>
          <w:sz w:val="21"/>
        </w:rPr>
        <w:t> </w:t>
      </w:r>
      <w:r>
        <w:rPr>
          <w:w w:val="105"/>
          <w:sz w:val="21"/>
        </w:rPr>
        <w:t>the</w:t>
      </w:r>
      <w:r>
        <w:rPr>
          <w:spacing w:val="-5"/>
          <w:w w:val="105"/>
          <w:sz w:val="21"/>
        </w:rPr>
        <w:t> </w:t>
      </w:r>
      <w:r>
        <w:rPr>
          <w:w w:val="105"/>
          <w:sz w:val="21"/>
        </w:rPr>
        <w:t>urban fringe)</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z w:val="21"/>
        </w:rPr>
        <w:t>the </w:t>
      </w:r>
      <w:r>
        <w:rPr>
          <w:spacing w:val="-3"/>
          <w:sz w:val="21"/>
        </w:rPr>
        <w:t>rural living</w:t>
      </w:r>
      <w:r>
        <w:rPr>
          <w:spacing w:val="28"/>
          <w:sz w:val="21"/>
        </w:rPr>
        <w:t> </w:t>
      </w:r>
      <w:r>
        <w:rPr>
          <w:spacing w:val="-3"/>
          <w:sz w:val="21"/>
        </w:rPr>
        <w:t>zone</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z w:val="21"/>
        </w:rPr>
        <w:t>the </w:t>
      </w:r>
      <w:r>
        <w:rPr>
          <w:spacing w:val="-3"/>
          <w:sz w:val="21"/>
        </w:rPr>
        <w:t>rural </w:t>
      </w:r>
      <w:r>
        <w:rPr>
          <w:sz w:val="21"/>
        </w:rPr>
        <w:t>conservation</w:t>
      </w:r>
      <w:r>
        <w:rPr>
          <w:spacing w:val="27"/>
          <w:sz w:val="21"/>
        </w:rPr>
        <w:t> </w:t>
      </w:r>
      <w:r>
        <w:rPr>
          <w:spacing w:val="-3"/>
          <w:sz w:val="21"/>
        </w:rPr>
        <w:t>zone</w:t>
      </w:r>
    </w:p>
    <w:p>
      <w:pPr>
        <w:pStyle w:val="ListParagraph"/>
        <w:numPr>
          <w:ilvl w:val="2"/>
          <w:numId w:val="16"/>
        </w:numPr>
        <w:tabs>
          <w:tab w:pos="2721" w:val="left" w:leader="none"/>
          <w:tab w:pos="2722" w:val="left" w:leader="none"/>
        </w:tabs>
        <w:spacing w:line="242" w:lineRule="auto" w:before="89" w:after="0"/>
        <w:ind w:left="2721" w:right="1830" w:hanging="340"/>
        <w:jc w:val="left"/>
        <w:rPr>
          <w:sz w:val="21"/>
        </w:rPr>
      </w:pPr>
      <w:r>
        <w:rPr>
          <w:w w:val="105"/>
          <w:sz w:val="21"/>
        </w:rPr>
        <w:t>special</w:t>
      </w:r>
      <w:r>
        <w:rPr>
          <w:spacing w:val="-6"/>
          <w:w w:val="105"/>
          <w:sz w:val="21"/>
        </w:rPr>
        <w:t> </w:t>
      </w:r>
      <w:r>
        <w:rPr>
          <w:w w:val="105"/>
          <w:sz w:val="21"/>
        </w:rPr>
        <w:t>purpose</w:t>
      </w:r>
      <w:r>
        <w:rPr>
          <w:spacing w:val="-5"/>
          <w:w w:val="105"/>
          <w:sz w:val="21"/>
        </w:rPr>
        <w:t> </w:t>
      </w:r>
      <w:r>
        <w:rPr>
          <w:w w:val="105"/>
          <w:sz w:val="21"/>
        </w:rPr>
        <w:t>zones</w:t>
      </w:r>
      <w:r>
        <w:rPr>
          <w:spacing w:val="-6"/>
          <w:w w:val="105"/>
          <w:sz w:val="21"/>
        </w:rPr>
        <w:t> </w:t>
      </w:r>
      <w:r>
        <w:rPr>
          <w:spacing w:val="-3"/>
          <w:w w:val="105"/>
          <w:sz w:val="21"/>
        </w:rPr>
        <w:t>excluding</w:t>
      </w:r>
      <w:r>
        <w:rPr>
          <w:spacing w:val="-5"/>
          <w:w w:val="105"/>
          <w:sz w:val="21"/>
        </w:rPr>
        <w:t> </w:t>
      </w:r>
      <w:r>
        <w:rPr>
          <w:w w:val="105"/>
          <w:sz w:val="21"/>
        </w:rPr>
        <w:t>the</w:t>
      </w:r>
      <w:r>
        <w:rPr>
          <w:spacing w:val="-6"/>
          <w:w w:val="105"/>
          <w:sz w:val="21"/>
        </w:rPr>
        <w:t> </w:t>
      </w:r>
      <w:r>
        <w:rPr>
          <w:w w:val="105"/>
          <w:sz w:val="21"/>
        </w:rPr>
        <w:t>special</w:t>
      </w:r>
      <w:r>
        <w:rPr>
          <w:spacing w:val="-5"/>
          <w:w w:val="105"/>
          <w:sz w:val="21"/>
        </w:rPr>
        <w:t> </w:t>
      </w:r>
      <w:r>
        <w:rPr>
          <w:w w:val="105"/>
          <w:sz w:val="21"/>
        </w:rPr>
        <w:t>use</w:t>
      </w:r>
      <w:r>
        <w:rPr>
          <w:spacing w:val="-5"/>
          <w:w w:val="105"/>
          <w:sz w:val="21"/>
        </w:rPr>
        <w:t> </w:t>
      </w:r>
      <w:r>
        <w:rPr>
          <w:spacing w:val="-4"/>
          <w:w w:val="105"/>
          <w:sz w:val="21"/>
        </w:rPr>
        <w:t>zone,</w:t>
      </w:r>
      <w:r>
        <w:rPr>
          <w:spacing w:val="-6"/>
          <w:w w:val="105"/>
          <w:sz w:val="21"/>
        </w:rPr>
        <w:t> </w:t>
      </w:r>
      <w:r>
        <w:rPr>
          <w:w w:val="105"/>
          <w:sz w:val="21"/>
        </w:rPr>
        <w:t>the</w:t>
      </w:r>
      <w:r>
        <w:rPr>
          <w:spacing w:val="-5"/>
          <w:w w:val="105"/>
          <w:sz w:val="21"/>
        </w:rPr>
        <w:t> </w:t>
      </w:r>
      <w:r>
        <w:rPr>
          <w:w w:val="105"/>
          <w:sz w:val="21"/>
        </w:rPr>
        <w:t>urban</w:t>
      </w:r>
      <w:r>
        <w:rPr>
          <w:spacing w:val="-6"/>
          <w:w w:val="105"/>
          <w:sz w:val="21"/>
        </w:rPr>
        <w:t> </w:t>
      </w:r>
      <w:r>
        <w:rPr>
          <w:w w:val="105"/>
          <w:sz w:val="21"/>
        </w:rPr>
        <w:t>floodway</w:t>
      </w:r>
      <w:r>
        <w:rPr>
          <w:spacing w:val="-5"/>
          <w:w w:val="105"/>
          <w:sz w:val="21"/>
        </w:rPr>
        <w:t> </w:t>
      </w:r>
      <w:r>
        <w:rPr>
          <w:spacing w:val="-3"/>
          <w:w w:val="105"/>
          <w:sz w:val="21"/>
        </w:rPr>
        <w:t>zone</w:t>
      </w:r>
      <w:r>
        <w:rPr>
          <w:spacing w:val="-5"/>
          <w:w w:val="105"/>
          <w:sz w:val="21"/>
        </w:rPr>
        <w:t> </w:t>
      </w:r>
      <w:r>
        <w:rPr>
          <w:w w:val="105"/>
          <w:sz w:val="21"/>
        </w:rPr>
        <w:t>and the port</w:t>
      </w:r>
      <w:r>
        <w:rPr>
          <w:spacing w:val="10"/>
          <w:w w:val="105"/>
          <w:sz w:val="21"/>
        </w:rPr>
        <w:t> </w:t>
      </w:r>
      <w:r>
        <w:rPr>
          <w:spacing w:val="-3"/>
          <w:w w:val="105"/>
          <w:sz w:val="21"/>
        </w:rPr>
        <w:t>zone</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pacing w:val="-3"/>
          <w:sz w:val="21"/>
        </w:rPr>
        <w:t>any </w:t>
      </w:r>
      <w:r>
        <w:rPr>
          <w:sz w:val="21"/>
        </w:rPr>
        <w:t>other </w:t>
      </w:r>
      <w:r>
        <w:rPr>
          <w:spacing w:val="-3"/>
          <w:sz w:val="21"/>
        </w:rPr>
        <w:t>land </w:t>
      </w:r>
      <w:r>
        <w:rPr>
          <w:sz w:val="21"/>
        </w:rPr>
        <w:t>prescribed in</w:t>
      </w:r>
      <w:r>
        <w:rPr>
          <w:spacing w:val="1"/>
          <w:sz w:val="21"/>
        </w:rPr>
        <w:t> </w:t>
      </w:r>
      <w:r>
        <w:rPr>
          <w:spacing w:val="-3"/>
          <w:sz w:val="21"/>
        </w:rPr>
        <w:t>regulation</w:t>
      </w:r>
    </w:p>
    <w:p>
      <w:pPr>
        <w:pStyle w:val="ListParagraph"/>
        <w:numPr>
          <w:ilvl w:val="1"/>
          <w:numId w:val="16"/>
        </w:numPr>
        <w:tabs>
          <w:tab w:pos="2381" w:val="left" w:leader="none"/>
          <w:tab w:pos="2382" w:val="left" w:leader="none"/>
        </w:tabs>
        <w:spacing w:line="242" w:lineRule="auto" w:before="88" w:after="0"/>
        <w:ind w:left="2381" w:right="1620" w:hanging="794"/>
        <w:jc w:val="left"/>
        <w:rPr>
          <w:sz w:val="21"/>
        </w:rPr>
      </w:pPr>
      <w:r>
        <w:rPr>
          <w:w w:val="105"/>
          <w:sz w:val="21"/>
        </w:rPr>
        <w:t>The</w:t>
      </w:r>
      <w:r>
        <w:rPr>
          <w:spacing w:val="-6"/>
          <w:w w:val="105"/>
          <w:sz w:val="21"/>
        </w:rPr>
        <w:t> </w:t>
      </w:r>
      <w:r>
        <w:rPr>
          <w:spacing w:val="-3"/>
          <w:w w:val="105"/>
          <w:sz w:val="21"/>
        </w:rPr>
        <w:t>Commission</w:t>
      </w:r>
      <w:r>
        <w:rPr>
          <w:spacing w:val="-5"/>
          <w:w w:val="105"/>
          <w:sz w:val="21"/>
        </w:rPr>
        <w:t> </w:t>
      </w:r>
      <w:r>
        <w:rPr>
          <w:spacing w:val="-2"/>
          <w:w w:val="105"/>
          <w:sz w:val="21"/>
        </w:rPr>
        <w:t>has</w:t>
      </w:r>
      <w:r>
        <w:rPr>
          <w:spacing w:val="-5"/>
          <w:w w:val="105"/>
          <w:sz w:val="21"/>
        </w:rPr>
        <w:t> </w:t>
      </w:r>
      <w:r>
        <w:rPr>
          <w:w w:val="105"/>
          <w:sz w:val="21"/>
        </w:rPr>
        <w:t>recommended</w:t>
      </w:r>
      <w:r>
        <w:rPr>
          <w:spacing w:val="-5"/>
          <w:w w:val="105"/>
          <w:sz w:val="21"/>
        </w:rPr>
        <w:t> </w:t>
      </w:r>
      <w:r>
        <w:rPr>
          <w:spacing w:val="-3"/>
          <w:w w:val="105"/>
          <w:sz w:val="21"/>
        </w:rPr>
        <w:t>including</w:t>
      </w:r>
      <w:r>
        <w:rPr>
          <w:spacing w:val="-5"/>
          <w:w w:val="105"/>
          <w:sz w:val="21"/>
        </w:rPr>
        <w:t> </w:t>
      </w:r>
      <w:r>
        <w:rPr>
          <w:spacing w:val="-3"/>
          <w:w w:val="105"/>
          <w:sz w:val="21"/>
        </w:rPr>
        <w:t>all</w:t>
      </w:r>
      <w:r>
        <w:rPr>
          <w:spacing w:val="-5"/>
          <w:w w:val="105"/>
          <w:sz w:val="21"/>
        </w:rPr>
        <w:t> </w:t>
      </w:r>
      <w:r>
        <w:rPr>
          <w:spacing w:val="-3"/>
          <w:w w:val="105"/>
          <w:sz w:val="21"/>
        </w:rPr>
        <w:t>commercial</w:t>
      </w:r>
      <w:r>
        <w:rPr>
          <w:spacing w:val="-5"/>
          <w:w w:val="105"/>
          <w:sz w:val="21"/>
        </w:rPr>
        <w:t> </w:t>
      </w:r>
      <w:r>
        <w:rPr>
          <w:w w:val="105"/>
          <w:sz w:val="21"/>
        </w:rPr>
        <w:t>and</w:t>
      </w:r>
      <w:r>
        <w:rPr>
          <w:spacing w:val="-5"/>
          <w:w w:val="105"/>
          <w:sz w:val="21"/>
        </w:rPr>
        <w:t> </w:t>
      </w:r>
      <w:r>
        <w:rPr>
          <w:spacing w:val="-3"/>
          <w:w w:val="105"/>
          <w:sz w:val="21"/>
        </w:rPr>
        <w:t>industrial</w:t>
      </w:r>
      <w:r>
        <w:rPr>
          <w:spacing w:val="-5"/>
          <w:w w:val="105"/>
          <w:sz w:val="21"/>
        </w:rPr>
        <w:t> </w:t>
      </w:r>
      <w:r>
        <w:rPr>
          <w:w w:val="105"/>
          <w:sz w:val="21"/>
        </w:rPr>
        <w:t>zones</w:t>
      </w:r>
      <w:r>
        <w:rPr>
          <w:spacing w:val="-5"/>
          <w:w w:val="105"/>
          <w:sz w:val="21"/>
        </w:rPr>
        <w:t> </w:t>
      </w:r>
      <w:r>
        <w:rPr>
          <w:w w:val="105"/>
          <w:sz w:val="21"/>
        </w:rPr>
        <w:t>as</w:t>
      </w:r>
      <w:r>
        <w:rPr>
          <w:spacing w:val="-5"/>
          <w:w w:val="105"/>
          <w:sz w:val="21"/>
        </w:rPr>
        <w:t> </w:t>
      </w:r>
      <w:r>
        <w:rPr>
          <w:w w:val="105"/>
          <w:sz w:val="21"/>
        </w:rPr>
        <w:t>this</w:t>
      </w:r>
      <w:r>
        <w:rPr>
          <w:spacing w:val="-5"/>
          <w:w w:val="105"/>
          <w:sz w:val="21"/>
        </w:rPr>
        <w:t> </w:t>
      </w:r>
      <w:r>
        <w:rPr>
          <w:w w:val="105"/>
          <w:sz w:val="21"/>
        </w:rPr>
        <w:t>is the approach </w:t>
      </w:r>
      <w:r>
        <w:rPr>
          <w:spacing w:val="-3"/>
          <w:w w:val="105"/>
          <w:sz w:val="21"/>
        </w:rPr>
        <w:t>taken </w:t>
      </w:r>
      <w:r>
        <w:rPr>
          <w:w w:val="105"/>
          <w:sz w:val="21"/>
        </w:rPr>
        <w:t>by </w:t>
      </w:r>
      <w:r>
        <w:rPr>
          <w:spacing w:val="-3"/>
          <w:w w:val="105"/>
          <w:sz w:val="21"/>
        </w:rPr>
        <w:t>all </w:t>
      </w:r>
      <w:r>
        <w:rPr>
          <w:w w:val="105"/>
          <w:sz w:val="21"/>
        </w:rPr>
        <w:t>interstate statutory schemes. Some of these zones </w:t>
      </w:r>
      <w:r>
        <w:rPr>
          <w:spacing w:val="-3"/>
          <w:w w:val="105"/>
          <w:sz w:val="21"/>
        </w:rPr>
        <w:t>are </w:t>
      </w:r>
      <w:r>
        <w:rPr>
          <w:spacing w:val="-4"/>
          <w:w w:val="105"/>
          <w:sz w:val="21"/>
        </w:rPr>
        <w:t>likely </w:t>
      </w:r>
      <w:r>
        <w:rPr>
          <w:spacing w:val="-3"/>
          <w:w w:val="105"/>
          <w:sz w:val="21"/>
        </w:rPr>
        <w:t>to interface </w:t>
      </w:r>
      <w:r>
        <w:rPr>
          <w:w w:val="105"/>
          <w:sz w:val="21"/>
        </w:rPr>
        <w:t>with </w:t>
      </w:r>
      <w:r>
        <w:rPr>
          <w:spacing w:val="-3"/>
          <w:w w:val="105"/>
          <w:sz w:val="21"/>
        </w:rPr>
        <w:t>residential </w:t>
      </w:r>
      <w:r>
        <w:rPr>
          <w:w w:val="105"/>
          <w:sz w:val="21"/>
        </w:rPr>
        <w:t>uses of </w:t>
      </w:r>
      <w:r>
        <w:rPr>
          <w:spacing w:val="-3"/>
          <w:w w:val="105"/>
          <w:sz w:val="21"/>
        </w:rPr>
        <w:t>land, </w:t>
      </w:r>
      <w:r>
        <w:rPr>
          <w:w w:val="105"/>
          <w:sz w:val="21"/>
        </w:rPr>
        <w:t>and so it is more straightforward </w:t>
      </w:r>
      <w:r>
        <w:rPr>
          <w:spacing w:val="-3"/>
          <w:w w:val="105"/>
          <w:sz w:val="21"/>
        </w:rPr>
        <w:t>to include </w:t>
      </w:r>
      <w:r>
        <w:rPr>
          <w:w w:val="105"/>
          <w:sz w:val="21"/>
        </w:rPr>
        <w:t>them </w:t>
      </w:r>
      <w:r>
        <w:rPr>
          <w:spacing w:val="-3"/>
          <w:w w:val="105"/>
          <w:sz w:val="21"/>
        </w:rPr>
        <w:t>all rather than </w:t>
      </w:r>
      <w:r>
        <w:rPr>
          <w:w w:val="105"/>
          <w:sz w:val="21"/>
        </w:rPr>
        <w:t>omit certain categories of </w:t>
      </w:r>
      <w:r>
        <w:rPr>
          <w:spacing w:val="-3"/>
          <w:w w:val="105"/>
          <w:sz w:val="21"/>
        </w:rPr>
        <w:t>commercial </w:t>
      </w:r>
      <w:r>
        <w:rPr>
          <w:w w:val="105"/>
          <w:sz w:val="21"/>
        </w:rPr>
        <w:t>and </w:t>
      </w:r>
      <w:r>
        <w:rPr>
          <w:spacing w:val="-3"/>
          <w:w w:val="105"/>
          <w:sz w:val="21"/>
        </w:rPr>
        <w:t>industrial land</w:t>
      </w:r>
      <w:r>
        <w:rPr>
          <w:spacing w:val="21"/>
          <w:w w:val="105"/>
          <w:sz w:val="21"/>
        </w:rPr>
        <w:t> </w:t>
      </w:r>
      <w:r>
        <w:rPr>
          <w:w w:val="105"/>
          <w:sz w:val="21"/>
        </w:rPr>
        <w:t>uses.</w:t>
      </w:r>
    </w:p>
    <w:p>
      <w:pPr>
        <w:pStyle w:val="BodyText"/>
        <w:spacing w:before="3"/>
        <w:rPr>
          <w:sz w:val="12"/>
        </w:rPr>
      </w:pPr>
      <w:r>
        <w:rPr/>
        <w:pict>
          <v:line style="position:absolute;mso-position-horizontal-relative:page;mso-position-vertical-relative:paragraph;z-index:3680;mso-wrap-distance-left:0;mso-wrap-distance-right:0" from="79.370003pt,9.936831pt" to="515.905003pt,9.936831pt" stroked="true" strokeweight="1pt" strokecolor="#c9d2cb">
            <v:stroke dashstyle="solid"/>
            <w10:wrap type="topAndBottom"/>
          </v:line>
        </w:pict>
      </w:r>
    </w:p>
    <w:p>
      <w:pPr>
        <w:pStyle w:val="ListParagraph"/>
        <w:numPr>
          <w:ilvl w:val="0"/>
          <w:numId w:val="51"/>
        </w:numPr>
        <w:tabs>
          <w:tab w:pos="2380" w:val="left" w:leader="none"/>
          <w:tab w:pos="2382" w:val="left" w:leader="none"/>
        </w:tabs>
        <w:spacing w:line="240" w:lineRule="auto" w:before="117" w:after="0"/>
        <w:ind w:left="2381" w:right="0" w:hanging="794"/>
        <w:jc w:val="left"/>
        <w:rPr>
          <w:sz w:val="13"/>
        </w:rPr>
      </w:pPr>
      <w:r>
        <w:rPr>
          <w:w w:val="105"/>
          <w:sz w:val="13"/>
        </w:rPr>
        <w:t>Information</w:t>
      </w:r>
      <w:r>
        <w:rPr>
          <w:spacing w:val="5"/>
          <w:w w:val="105"/>
          <w:sz w:val="13"/>
        </w:rPr>
        <w:t> </w:t>
      </w:r>
      <w:r>
        <w:rPr>
          <w:w w:val="105"/>
          <w:sz w:val="13"/>
        </w:rPr>
        <w:t>provided</w:t>
      </w:r>
      <w:r>
        <w:rPr>
          <w:spacing w:val="6"/>
          <w:w w:val="105"/>
          <w:sz w:val="13"/>
        </w:rPr>
        <w:t> </w:t>
      </w:r>
      <w:r>
        <w:rPr>
          <w:w w:val="105"/>
          <w:sz w:val="13"/>
        </w:rPr>
        <w:t>by</w:t>
      </w:r>
      <w:r>
        <w:rPr>
          <w:spacing w:val="5"/>
          <w:w w:val="105"/>
          <w:sz w:val="13"/>
        </w:rPr>
        <w:t> </w:t>
      </w:r>
      <w:r>
        <w:rPr>
          <w:w w:val="105"/>
          <w:sz w:val="13"/>
        </w:rPr>
        <w:t>DSCV</w:t>
      </w:r>
      <w:r>
        <w:rPr>
          <w:spacing w:val="6"/>
          <w:w w:val="105"/>
          <w:sz w:val="13"/>
        </w:rPr>
        <w:t> </w:t>
      </w:r>
      <w:r>
        <w:rPr>
          <w:w w:val="105"/>
          <w:sz w:val="13"/>
        </w:rPr>
        <w:t>as</w:t>
      </w:r>
      <w:r>
        <w:rPr>
          <w:spacing w:val="6"/>
          <w:w w:val="105"/>
          <w:sz w:val="13"/>
        </w:rPr>
        <w:t> </w:t>
      </w:r>
      <w:r>
        <w:rPr>
          <w:w w:val="105"/>
          <w:sz w:val="13"/>
        </w:rPr>
        <w:t>part</w:t>
      </w:r>
      <w:r>
        <w:rPr>
          <w:spacing w:val="5"/>
          <w:w w:val="105"/>
          <w:sz w:val="13"/>
        </w:rPr>
        <w:t> </w:t>
      </w:r>
      <w:r>
        <w:rPr>
          <w:w w:val="105"/>
          <w:sz w:val="13"/>
        </w:rPr>
        <w:t>of</w:t>
      </w:r>
      <w:r>
        <w:rPr>
          <w:spacing w:val="6"/>
          <w:w w:val="105"/>
          <w:sz w:val="13"/>
        </w:rPr>
        <w:t> </w:t>
      </w:r>
      <w:r>
        <w:rPr>
          <w:w w:val="105"/>
          <w:sz w:val="13"/>
        </w:rPr>
        <w:t>a</w:t>
      </w:r>
      <w:r>
        <w:rPr>
          <w:spacing w:val="6"/>
          <w:w w:val="105"/>
          <w:sz w:val="13"/>
        </w:rPr>
        <w:t> </w:t>
      </w:r>
      <w:r>
        <w:rPr>
          <w:w w:val="105"/>
          <w:sz w:val="13"/>
        </w:rPr>
        <w:t>data</w:t>
      </w:r>
      <w:r>
        <w:rPr>
          <w:spacing w:val="5"/>
          <w:w w:val="105"/>
          <w:sz w:val="13"/>
        </w:rPr>
        <w:t> </w:t>
      </w:r>
      <w:r>
        <w:rPr>
          <w:w w:val="105"/>
          <w:sz w:val="13"/>
        </w:rPr>
        <w:t>request</w:t>
      </w:r>
      <w:r>
        <w:rPr>
          <w:spacing w:val="6"/>
          <w:w w:val="105"/>
          <w:sz w:val="13"/>
        </w:rPr>
        <w:t> </w:t>
      </w:r>
      <w:r>
        <w:rPr>
          <w:w w:val="105"/>
          <w:sz w:val="13"/>
        </w:rPr>
        <w:t>from</w:t>
      </w:r>
      <w:r>
        <w:rPr>
          <w:spacing w:val="6"/>
          <w:w w:val="105"/>
          <w:sz w:val="13"/>
        </w:rPr>
        <w:t> </w:t>
      </w:r>
      <w:r>
        <w:rPr>
          <w:w w:val="105"/>
          <w:sz w:val="13"/>
        </w:rPr>
        <w:t>the</w:t>
      </w:r>
      <w:r>
        <w:rPr>
          <w:spacing w:val="5"/>
          <w:w w:val="105"/>
          <w:sz w:val="13"/>
        </w:rPr>
        <w:t> </w:t>
      </w:r>
      <w:r>
        <w:rPr>
          <w:w w:val="105"/>
          <w:sz w:val="13"/>
        </w:rPr>
        <w:t>Commission,</w:t>
      </w:r>
      <w:r>
        <w:rPr>
          <w:spacing w:val="6"/>
          <w:w w:val="105"/>
          <w:sz w:val="13"/>
        </w:rPr>
        <w:t> </w:t>
      </w:r>
      <w:r>
        <w:rPr>
          <w:w w:val="105"/>
          <w:sz w:val="13"/>
        </w:rPr>
        <w:t>August</w:t>
      </w:r>
      <w:r>
        <w:rPr>
          <w:spacing w:val="6"/>
          <w:w w:val="105"/>
          <w:sz w:val="13"/>
        </w:rPr>
        <w:t> </w:t>
      </w:r>
      <w:r>
        <w:rPr>
          <w:spacing w:val="-3"/>
          <w:w w:val="105"/>
          <w:sz w:val="13"/>
        </w:rPr>
        <w:t>2017</w:t>
      </w:r>
      <w:r>
        <w:rPr>
          <w:spacing w:val="5"/>
          <w:w w:val="105"/>
          <w:sz w:val="13"/>
        </w:rPr>
        <w:t> </w:t>
      </w:r>
      <w:r>
        <w:rPr>
          <w:w w:val="105"/>
          <w:sz w:val="13"/>
        </w:rPr>
        <w:t>and</w:t>
      </w:r>
      <w:r>
        <w:rPr>
          <w:spacing w:val="6"/>
          <w:w w:val="105"/>
          <w:sz w:val="13"/>
        </w:rPr>
        <w:t> </w:t>
      </w:r>
      <w:r>
        <w:rPr>
          <w:w w:val="105"/>
          <w:sz w:val="13"/>
        </w:rPr>
        <w:t>clarification</w:t>
      </w:r>
      <w:r>
        <w:rPr>
          <w:spacing w:val="5"/>
          <w:w w:val="105"/>
          <w:sz w:val="13"/>
        </w:rPr>
        <w:t> </w:t>
      </w:r>
      <w:r>
        <w:rPr>
          <w:w w:val="105"/>
          <w:sz w:val="13"/>
        </w:rPr>
        <w:t>of</w:t>
      </w:r>
      <w:r>
        <w:rPr>
          <w:spacing w:val="6"/>
          <w:w w:val="105"/>
          <w:sz w:val="13"/>
        </w:rPr>
        <w:t> </w:t>
      </w:r>
      <w:r>
        <w:rPr>
          <w:w w:val="105"/>
          <w:sz w:val="13"/>
        </w:rPr>
        <w:t>data</w:t>
      </w:r>
      <w:r>
        <w:rPr>
          <w:spacing w:val="6"/>
          <w:w w:val="105"/>
          <w:sz w:val="13"/>
        </w:rPr>
        <w:t> </w:t>
      </w:r>
      <w:r>
        <w:rPr>
          <w:w w:val="105"/>
          <w:sz w:val="13"/>
        </w:rPr>
        <w:t>provided</w:t>
      </w:r>
      <w:r>
        <w:rPr>
          <w:spacing w:val="5"/>
          <w:w w:val="105"/>
          <w:sz w:val="13"/>
        </w:rPr>
        <w:t> </w:t>
      </w:r>
      <w:r>
        <w:rPr>
          <w:w w:val="105"/>
          <w:sz w:val="13"/>
        </w:rPr>
        <w:t>in</w:t>
      </w:r>
      <w:r>
        <w:rPr>
          <w:spacing w:val="6"/>
          <w:w w:val="105"/>
          <w:sz w:val="13"/>
        </w:rPr>
        <w:t> </w:t>
      </w:r>
      <w:r>
        <w:rPr>
          <w:w w:val="105"/>
          <w:sz w:val="13"/>
        </w:rPr>
        <w:t>May</w:t>
      </w:r>
      <w:r>
        <w:rPr>
          <w:spacing w:val="6"/>
          <w:w w:val="105"/>
          <w:sz w:val="13"/>
        </w:rPr>
        <w:t> </w:t>
      </w:r>
      <w:r>
        <w:rPr>
          <w:w w:val="105"/>
          <w:sz w:val="13"/>
        </w:rPr>
        <w:t>2019.</w:t>
      </w:r>
    </w:p>
    <w:p>
      <w:pPr>
        <w:pStyle w:val="ListParagraph"/>
        <w:numPr>
          <w:ilvl w:val="0"/>
          <w:numId w:val="51"/>
        </w:numPr>
        <w:tabs>
          <w:tab w:pos="2380" w:val="left" w:leader="none"/>
          <w:tab w:pos="2382" w:val="left" w:leader="none"/>
        </w:tabs>
        <w:spacing w:line="240" w:lineRule="auto" w:before="1" w:after="0"/>
        <w:ind w:left="2381" w:right="2229" w:hanging="794"/>
        <w:jc w:val="left"/>
        <w:rPr>
          <w:sz w:val="13"/>
        </w:rPr>
      </w:pPr>
      <w:r>
        <w:rPr>
          <w:sz w:val="13"/>
        </w:rPr>
        <w:t>DSCV data categorises metropolitan disputes as originating in the CBD, </w:t>
      </w:r>
      <w:r>
        <w:rPr>
          <w:spacing w:val="2"/>
          <w:sz w:val="13"/>
        </w:rPr>
        <w:t>North (metro), </w:t>
      </w:r>
      <w:r>
        <w:rPr>
          <w:sz w:val="13"/>
        </w:rPr>
        <w:t>South East (metro) and the West </w:t>
      </w:r>
      <w:r>
        <w:rPr>
          <w:spacing w:val="2"/>
          <w:sz w:val="13"/>
        </w:rPr>
        <w:t>(metro): </w:t>
      </w:r>
      <w:r>
        <w:rPr>
          <w:sz w:val="13"/>
        </w:rPr>
        <w:t>Information</w:t>
      </w:r>
      <w:r>
        <w:rPr>
          <w:spacing w:val="10"/>
          <w:sz w:val="13"/>
        </w:rPr>
        <w:t> </w:t>
      </w:r>
      <w:r>
        <w:rPr>
          <w:sz w:val="13"/>
        </w:rPr>
        <w:t>provided</w:t>
      </w:r>
      <w:r>
        <w:rPr>
          <w:spacing w:val="10"/>
          <w:sz w:val="13"/>
        </w:rPr>
        <w:t> </w:t>
      </w:r>
      <w:r>
        <w:rPr>
          <w:sz w:val="13"/>
        </w:rPr>
        <w:t>by</w:t>
      </w:r>
      <w:r>
        <w:rPr>
          <w:spacing w:val="10"/>
          <w:sz w:val="13"/>
        </w:rPr>
        <w:t> </w:t>
      </w:r>
      <w:r>
        <w:rPr>
          <w:sz w:val="13"/>
        </w:rPr>
        <w:t>DSCV</w:t>
      </w:r>
      <w:r>
        <w:rPr>
          <w:spacing w:val="10"/>
          <w:sz w:val="13"/>
        </w:rPr>
        <w:t> </w:t>
      </w:r>
      <w:r>
        <w:rPr>
          <w:sz w:val="13"/>
        </w:rPr>
        <w:t>as</w:t>
      </w:r>
      <w:r>
        <w:rPr>
          <w:spacing w:val="10"/>
          <w:sz w:val="13"/>
        </w:rPr>
        <w:t> </w:t>
      </w:r>
      <w:r>
        <w:rPr>
          <w:sz w:val="13"/>
        </w:rPr>
        <w:t>part</w:t>
      </w:r>
      <w:r>
        <w:rPr>
          <w:spacing w:val="10"/>
          <w:sz w:val="13"/>
        </w:rPr>
        <w:t> </w:t>
      </w:r>
      <w:r>
        <w:rPr>
          <w:sz w:val="13"/>
        </w:rPr>
        <w:t>of</w:t>
      </w:r>
      <w:r>
        <w:rPr>
          <w:spacing w:val="10"/>
          <w:sz w:val="13"/>
        </w:rPr>
        <w:t> </w:t>
      </w:r>
      <w:r>
        <w:rPr>
          <w:sz w:val="13"/>
        </w:rPr>
        <w:t>a</w:t>
      </w:r>
      <w:r>
        <w:rPr>
          <w:spacing w:val="10"/>
          <w:sz w:val="13"/>
        </w:rPr>
        <w:t> </w:t>
      </w:r>
      <w:r>
        <w:rPr>
          <w:sz w:val="13"/>
        </w:rPr>
        <w:t>data</w:t>
      </w:r>
      <w:r>
        <w:rPr>
          <w:spacing w:val="10"/>
          <w:sz w:val="13"/>
        </w:rPr>
        <w:t> </w:t>
      </w:r>
      <w:r>
        <w:rPr>
          <w:sz w:val="13"/>
        </w:rPr>
        <w:t>request</w:t>
      </w:r>
      <w:r>
        <w:rPr>
          <w:spacing w:val="10"/>
          <w:sz w:val="13"/>
        </w:rPr>
        <w:t> </w:t>
      </w:r>
      <w:r>
        <w:rPr>
          <w:sz w:val="13"/>
        </w:rPr>
        <w:t>from</w:t>
      </w:r>
      <w:r>
        <w:rPr>
          <w:spacing w:val="10"/>
          <w:sz w:val="13"/>
        </w:rPr>
        <w:t> </w:t>
      </w:r>
      <w:r>
        <w:rPr>
          <w:sz w:val="13"/>
        </w:rPr>
        <w:t>the</w:t>
      </w:r>
      <w:r>
        <w:rPr>
          <w:spacing w:val="10"/>
          <w:sz w:val="13"/>
        </w:rPr>
        <w:t> </w:t>
      </w:r>
      <w:r>
        <w:rPr>
          <w:sz w:val="13"/>
        </w:rPr>
        <w:t>Commission,</w:t>
      </w:r>
      <w:r>
        <w:rPr>
          <w:spacing w:val="10"/>
          <w:sz w:val="13"/>
        </w:rPr>
        <w:t> </w:t>
      </w:r>
      <w:r>
        <w:rPr>
          <w:sz w:val="13"/>
        </w:rPr>
        <w:t>August</w:t>
      </w:r>
      <w:r>
        <w:rPr>
          <w:spacing w:val="10"/>
          <w:sz w:val="13"/>
        </w:rPr>
        <w:t> </w:t>
      </w:r>
      <w:r>
        <w:rPr>
          <w:spacing w:val="-5"/>
          <w:sz w:val="13"/>
        </w:rPr>
        <w:t>2017.</w:t>
      </w:r>
    </w:p>
    <w:p>
      <w:pPr>
        <w:pStyle w:val="ListParagraph"/>
        <w:numPr>
          <w:ilvl w:val="0"/>
          <w:numId w:val="51"/>
        </w:numPr>
        <w:tabs>
          <w:tab w:pos="2380" w:val="left" w:leader="none"/>
          <w:tab w:pos="2382" w:val="left" w:leader="none"/>
        </w:tabs>
        <w:spacing w:line="240" w:lineRule="auto" w:before="3" w:after="0"/>
        <w:ind w:left="2381" w:right="1741" w:hanging="794"/>
        <w:jc w:val="left"/>
        <w:rPr>
          <w:sz w:val="13"/>
        </w:rPr>
      </w:pPr>
      <w:r>
        <w:rPr>
          <w:w w:val="105"/>
          <w:sz w:val="13"/>
        </w:rPr>
        <w:t>Information provided by DSCV as part of a data request from the Commission, August </w:t>
      </w:r>
      <w:r>
        <w:rPr>
          <w:spacing w:val="-3"/>
          <w:w w:val="105"/>
          <w:sz w:val="13"/>
        </w:rPr>
        <w:t>2017 </w:t>
      </w:r>
      <w:r>
        <w:rPr>
          <w:w w:val="105"/>
          <w:sz w:val="13"/>
        </w:rPr>
        <w:t>and November 2018 and clarification of data provided in May 2019. For the purposes of DSCV data regional Victoria includes: Barwon, Gippsland, Grampians, Hume and Loddon    Mallee.</w:t>
      </w:r>
    </w:p>
    <w:p>
      <w:pPr>
        <w:pStyle w:val="ListParagraph"/>
        <w:numPr>
          <w:ilvl w:val="0"/>
          <w:numId w:val="51"/>
        </w:numPr>
        <w:tabs>
          <w:tab w:pos="2380" w:val="left" w:leader="none"/>
          <w:tab w:pos="2382" w:val="left" w:leader="none"/>
        </w:tabs>
        <w:spacing w:line="240" w:lineRule="auto" w:before="4"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51"/>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51"/>
        </w:numPr>
        <w:tabs>
          <w:tab w:pos="2380" w:val="left" w:leader="none"/>
          <w:tab w:pos="2382" w:val="left" w:leader="none"/>
        </w:tabs>
        <w:spacing w:line="240" w:lineRule="auto" w:before="2" w:after="0"/>
        <w:ind w:left="2381" w:right="0" w:hanging="794"/>
        <w:jc w:val="left"/>
        <w:rPr>
          <w:sz w:val="13"/>
        </w:rPr>
      </w:pPr>
      <w:r>
        <w:rPr>
          <w:w w:val="105"/>
          <w:sz w:val="13"/>
        </w:rPr>
        <w:t>Survey respondent</w:t>
      </w:r>
      <w:r>
        <w:rPr>
          <w:spacing w:val="9"/>
          <w:w w:val="105"/>
          <w:sz w:val="13"/>
        </w:rPr>
        <w:t> </w:t>
      </w:r>
      <w:r>
        <w:rPr>
          <w:w w:val="105"/>
          <w:sz w:val="13"/>
        </w:rPr>
        <w:t>99.</w:t>
      </w:r>
    </w:p>
    <w:p>
      <w:pPr>
        <w:pStyle w:val="ListParagraph"/>
        <w:numPr>
          <w:ilvl w:val="0"/>
          <w:numId w:val="51"/>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51"/>
        </w:numPr>
        <w:tabs>
          <w:tab w:pos="2380" w:val="left" w:leader="none"/>
          <w:tab w:pos="2382" w:val="left" w:leader="none"/>
        </w:tabs>
        <w:spacing w:line="240" w:lineRule="auto" w:before="1" w:after="0"/>
        <w:ind w:left="2381" w:right="0" w:hanging="794"/>
        <w:jc w:val="left"/>
        <w:rPr>
          <w:sz w:val="13"/>
        </w:rPr>
      </w:pPr>
      <w:r>
        <w:rPr/>
        <w:pict>
          <v:shape style="position:absolute;margin-left:36pt;margin-top:3.004863pt;width:12.7pt;height:14.25pt;mso-position-horizontal-relative:page;mso-position-vertical-relative:paragraph;z-index:5752" type="#_x0000_t202" filled="false" stroked="false">
            <v:textbox inset="0,0,0,0">
              <w:txbxContent>
                <w:p>
                  <w:pPr>
                    <w:spacing w:line="284" w:lineRule="exact" w:before="0"/>
                    <w:ind w:left="0" w:right="0" w:firstLine="0"/>
                    <w:jc w:val="left"/>
                    <w:rPr>
                      <w:b/>
                      <w:sz w:val="24"/>
                    </w:rPr>
                  </w:pPr>
                  <w:r>
                    <w:rPr>
                      <w:b/>
                      <w:color w:val="658464"/>
                      <w:spacing w:val="-7"/>
                      <w:w w:val="110"/>
                      <w:sz w:val="24"/>
                    </w:rPr>
                    <w:t>76</w:t>
                  </w:r>
                </w:p>
              </w:txbxContent>
            </v:textbox>
            <w10:wrap type="none"/>
          </v:shape>
        </w:pict>
      </w:r>
      <w:r>
        <w:rPr>
          <w:w w:val="105"/>
          <w:sz w:val="13"/>
        </w:rPr>
        <w:t>Consultation 3 </w:t>
      </w:r>
      <w:r>
        <w:rPr>
          <w:spacing w:val="3"/>
          <w:w w:val="105"/>
          <w:sz w:val="13"/>
        </w:rPr>
        <w:t>(HVP</w:t>
      </w:r>
      <w:r>
        <w:rPr>
          <w:spacing w:val="13"/>
          <w:w w:val="105"/>
          <w:sz w:val="13"/>
        </w:rPr>
        <w:t> </w:t>
      </w:r>
      <w:r>
        <w:rPr>
          <w:w w:val="105"/>
          <w:sz w:val="13"/>
        </w:rPr>
        <w:t>Plantations).</w:t>
      </w:r>
    </w:p>
    <w:p>
      <w:pPr>
        <w:pStyle w:val="ListParagraph"/>
        <w:numPr>
          <w:ilvl w:val="0"/>
          <w:numId w:val="51"/>
        </w:numPr>
        <w:tabs>
          <w:tab w:pos="2380" w:val="left" w:leader="none"/>
          <w:tab w:pos="2382" w:val="left" w:leader="none"/>
        </w:tabs>
        <w:spacing w:line="240" w:lineRule="auto" w:before="2"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16"/>
        </w:numPr>
        <w:tabs>
          <w:tab w:pos="2380" w:val="left" w:leader="none"/>
          <w:tab w:pos="2381" w:val="left" w:leader="none"/>
        </w:tabs>
        <w:spacing w:line="242" w:lineRule="auto" w:before="91" w:after="0"/>
        <w:ind w:left="2381" w:right="1734" w:hanging="794"/>
        <w:jc w:val="left"/>
        <w:rPr>
          <w:sz w:val="21"/>
        </w:rPr>
      </w:pPr>
      <w:r>
        <w:rPr>
          <w:sz w:val="21"/>
        </w:rPr>
        <w:t>The new Act </w:t>
      </w:r>
      <w:r>
        <w:rPr>
          <w:spacing w:val="-3"/>
          <w:sz w:val="21"/>
        </w:rPr>
        <w:t>will </w:t>
      </w:r>
      <w:r>
        <w:rPr>
          <w:sz w:val="21"/>
        </w:rPr>
        <w:t>also apply </w:t>
      </w:r>
      <w:r>
        <w:rPr>
          <w:spacing w:val="-3"/>
          <w:sz w:val="21"/>
        </w:rPr>
        <w:t>to land  that  </w:t>
      </w:r>
      <w:r>
        <w:rPr>
          <w:spacing w:val="-2"/>
          <w:sz w:val="21"/>
        </w:rPr>
        <w:t>has  </w:t>
      </w:r>
      <w:r>
        <w:rPr>
          <w:sz w:val="21"/>
        </w:rPr>
        <w:t>the  </w:t>
      </w:r>
      <w:r>
        <w:rPr>
          <w:spacing w:val="-3"/>
          <w:sz w:val="21"/>
        </w:rPr>
        <w:t>substantial  character  </w:t>
      </w:r>
      <w:r>
        <w:rPr>
          <w:sz w:val="21"/>
        </w:rPr>
        <w:t>of  one  of  the zones </w:t>
      </w:r>
      <w:r>
        <w:rPr>
          <w:spacing w:val="-3"/>
          <w:sz w:val="21"/>
        </w:rPr>
        <w:t>designated </w:t>
      </w:r>
      <w:r>
        <w:rPr>
          <w:sz w:val="21"/>
        </w:rPr>
        <w:t>in the Act. This is the approach in </w:t>
      </w:r>
      <w:r>
        <w:rPr>
          <w:spacing w:val="-3"/>
          <w:sz w:val="21"/>
        </w:rPr>
        <w:t>NSW. </w:t>
      </w:r>
      <w:r>
        <w:rPr>
          <w:sz w:val="21"/>
        </w:rPr>
        <w:t>For </w:t>
      </w:r>
      <w:r>
        <w:rPr>
          <w:spacing w:val="-3"/>
          <w:sz w:val="21"/>
        </w:rPr>
        <w:t>example, </w:t>
      </w:r>
      <w:r>
        <w:rPr>
          <w:sz w:val="21"/>
        </w:rPr>
        <w:t>in </w:t>
      </w:r>
      <w:r>
        <w:rPr>
          <w:spacing w:val="-3"/>
          <w:sz w:val="21"/>
        </w:rPr>
        <w:t>exercising </w:t>
      </w:r>
      <w:r>
        <w:rPr>
          <w:sz w:val="21"/>
        </w:rPr>
        <w:t>its </w:t>
      </w:r>
      <w:r>
        <w:rPr>
          <w:spacing w:val="-3"/>
          <w:sz w:val="21"/>
        </w:rPr>
        <w:t>discretion </w:t>
      </w:r>
      <w:r>
        <w:rPr>
          <w:sz w:val="21"/>
        </w:rPr>
        <w:t>in </w:t>
      </w:r>
      <w:r>
        <w:rPr>
          <w:spacing w:val="-3"/>
          <w:sz w:val="21"/>
        </w:rPr>
        <w:t>relation to land that may have </w:t>
      </w:r>
      <w:r>
        <w:rPr>
          <w:sz w:val="21"/>
        </w:rPr>
        <w:t>the </w:t>
      </w:r>
      <w:r>
        <w:rPr>
          <w:spacing w:val="-3"/>
          <w:sz w:val="21"/>
        </w:rPr>
        <w:t>substantial character </w:t>
      </w:r>
      <w:r>
        <w:rPr>
          <w:sz w:val="21"/>
        </w:rPr>
        <w:t>of a </w:t>
      </w:r>
      <w:r>
        <w:rPr>
          <w:spacing w:val="-3"/>
          <w:sz w:val="21"/>
        </w:rPr>
        <w:t>residential zone   </w:t>
      </w:r>
      <w:r>
        <w:rPr>
          <w:sz w:val="21"/>
        </w:rPr>
        <w:t>the</w:t>
      </w:r>
      <w:r>
        <w:rPr>
          <w:spacing w:val="16"/>
          <w:sz w:val="21"/>
        </w:rPr>
        <w:t> </w:t>
      </w:r>
      <w:r>
        <w:rPr>
          <w:sz w:val="21"/>
        </w:rPr>
        <w:t>NSWLEC</w:t>
      </w:r>
      <w:r>
        <w:rPr>
          <w:spacing w:val="17"/>
          <w:sz w:val="21"/>
        </w:rPr>
        <w:t> </w:t>
      </w:r>
      <w:r>
        <w:rPr>
          <w:spacing w:val="-2"/>
          <w:sz w:val="21"/>
        </w:rPr>
        <w:t>has</w:t>
      </w:r>
      <w:r>
        <w:rPr>
          <w:spacing w:val="16"/>
          <w:sz w:val="21"/>
        </w:rPr>
        <w:t> </w:t>
      </w:r>
      <w:r>
        <w:rPr>
          <w:spacing w:val="-3"/>
          <w:sz w:val="21"/>
        </w:rPr>
        <w:t>considered</w:t>
      </w:r>
      <w:r>
        <w:rPr>
          <w:spacing w:val="17"/>
          <w:sz w:val="21"/>
        </w:rPr>
        <w:t> </w:t>
      </w:r>
      <w:r>
        <w:rPr>
          <w:sz w:val="21"/>
        </w:rPr>
        <w:t>the</w:t>
      </w:r>
      <w:r>
        <w:rPr>
          <w:spacing w:val="17"/>
          <w:sz w:val="21"/>
        </w:rPr>
        <w:t> </w:t>
      </w:r>
      <w:r>
        <w:rPr>
          <w:sz w:val="21"/>
        </w:rPr>
        <w:t>‘settlement</w:t>
      </w:r>
      <w:r>
        <w:rPr>
          <w:spacing w:val="16"/>
          <w:sz w:val="21"/>
        </w:rPr>
        <w:t> </w:t>
      </w:r>
      <w:r>
        <w:rPr>
          <w:sz w:val="21"/>
        </w:rPr>
        <w:t>pattern</w:t>
      </w:r>
      <w:r>
        <w:rPr>
          <w:spacing w:val="17"/>
          <w:sz w:val="21"/>
        </w:rPr>
        <w:t> </w:t>
      </w:r>
      <w:r>
        <w:rPr>
          <w:sz w:val="21"/>
        </w:rPr>
        <w:t>in</w:t>
      </w:r>
      <w:r>
        <w:rPr>
          <w:spacing w:val="17"/>
          <w:sz w:val="21"/>
        </w:rPr>
        <w:t> </w:t>
      </w:r>
      <w:r>
        <w:rPr>
          <w:sz w:val="21"/>
        </w:rPr>
        <w:t>the</w:t>
      </w:r>
      <w:r>
        <w:rPr>
          <w:spacing w:val="16"/>
          <w:sz w:val="21"/>
        </w:rPr>
        <w:t> </w:t>
      </w:r>
      <w:r>
        <w:rPr>
          <w:sz w:val="21"/>
        </w:rPr>
        <w:t>vicinity</w:t>
      </w:r>
      <w:r>
        <w:rPr>
          <w:spacing w:val="17"/>
          <w:sz w:val="21"/>
        </w:rPr>
        <w:t> </w:t>
      </w:r>
      <w:r>
        <w:rPr>
          <w:sz w:val="21"/>
        </w:rPr>
        <w:t>of</w:t>
      </w:r>
      <w:r>
        <w:rPr>
          <w:spacing w:val="17"/>
          <w:sz w:val="21"/>
        </w:rPr>
        <w:t> </w:t>
      </w:r>
      <w:r>
        <w:rPr>
          <w:sz w:val="21"/>
        </w:rPr>
        <w:t>the</w:t>
      </w:r>
      <w:r>
        <w:rPr>
          <w:spacing w:val="16"/>
          <w:sz w:val="21"/>
        </w:rPr>
        <w:t> </w:t>
      </w:r>
      <w:r>
        <w:rPr>
          <w:sz w:val="21"/>
        </w:rPr>
        <w:t>two</w:t>
      </w:r>
      <w:r>
        <w:rPr>
          <w:spacing w:val="17"/>
          <w:sz w:val="21"/>
        </w:rPr>
        <w:t> </w:t>
      </w:r>
      <w:r>
        <w:rPr>
          <w:sz w:val="21"/>
        </w:rPr>
        <w:t>properties</w:t>
      </w:r>
    </w:p>
    <w:p>
      <w:pPr>
        <w:pStyle w:val="BodyText"/>
        <w:spacing w:line="242" w:lineRule="auto" w:before="5"/>
        <w:ind w:left="2380" w:right="1506"/>
        <w:rPr>
          <w:sz w:val="12"/>
        </w:rPr>
      </w:pPr>
      <w:r>
        <w:rPr>
          <w:spacing w:val="-3"/>
          <w:w w:val="105"/>
        </w:rPr>
        <w:t>involved’ </w:t>
      </w:r>
      <w:r>
        <w:rPr>
          <w:w w:val="105"/>
        </w:rPr>
        <w:t>and the ‘streetscape of the road in which they </w:t>
      </w:r>
      <w:r>
        <w:rPr>
          <w:spacing w:val="-3"/>
          <w:w w:val="105"/>
        </w:rPr>
        <w:t>are </w:t>
      </w:r>
      <w:r>
        <w:rPr>
          <w:w w:val="105"/>
        </w:rPr>
        <w:t>located’ </w:t>
      </w:r>
      <w:r>
        <w:rPr>
          <w:spacing w:val="-3"/>
          <w:w w:val="105"/>
        </w:rPr>
        <w:t>to determine that </w:t>
      </w:r>
      <w:r>
        <w:rPr>
          <w:w w:val="105"/>
        </w:rPr>
        <w:t>the </w:t>
      </w:r>
      <w:r>
        <w:rPr>
          <w:spacing w:val="-3"/>
          <w:w w:val="105"/>
        </w:rPr>
        <w:t>zoning </w:t>
      </w:r>
      <w:r>
        <w:rPr>
          <w:w w:val="105"/>
        </w:rPr>
        <w:t>was </w:t>
      </w:r>
      <w:r>
        <w:rPr>
          <w:spacing w:val="-3"/>
          <w:w w:val="105"/>
        </w:rPr>
        <w:t>analogous to </w:t>
      </w:r>
      <w:r>
        <w:rPr>
          <w:w w:val="105"/>
        </w:rPr>
        <w:t>a </w:t>
      </w:r>
      <w:r>
        <w:rPr>
          <w:spacing w:val="-3"/>
          <w:w w:val="105"/>
        </w:rPr>
        <w:t>residential </w:t>
      </w:r>
      <w:r>
        <w:rPr>
          <w:spacing w:val="-7"/>
          <w:w w:val="105"/>
        </w:rPr>
        <w:t>zone.</w:t>
      </w:r>
      <w:r>
        <w:rPr>
          <w:spacing w:val="-7"/>
          <w:w w:val="105"/>
          <w:position w:val="7"/>
          <w:sz w:val="12"/>
        </w:rPr>
        <w:t>117</w:t>
      </w:r>
    </w:p>
    <w:p>
      <w:pPr>
        <w:pStyle w:val="ListParagraph"/>
        <w:numPr>
          <w:ilvl w:val="1"/>
          <w:numId w:val="16"/>
        </w:numPr>
        <w:tabs>
          <w:tab w:pos="2380" w:val="left" w:leader="none"/>
          <w:tab w:pos="2381" w:val="left" w:leader="none"/>
        </w:tabs>
        <w:spacing w:line="242" w:lineRule="auto" w:before="122" w:after="0"/>
        <w:ind w:left="2381" w:right="1668" w:hanging="794"/>
        <w:jc w:val="left"/>
        <w:rPr>
          <w:sz w:val="21"/>
        </w:rPr>
      </w:pPr>
      <w:r>
        <w:rPr>
          <w:w w:val="105"/>
          <w:sz w:val="21"/>
        </w:rPr>
        <w:t>Land </w:t>
      </w:r>
      <w:r>
        <w:rPr>
          <w:spacing w:val="-3"/>
          <w:w w:val="105"/>
          <w:sz w:val="21"/>
        </w:rPr>
        <w:t>that </w:t>
      </w:r>
      <w:r>
        <w:rPr>
          <w:w w:val="105"/>
          <w:sz w:val="21"/>
        </w:rPr>
        <w:t>is used </w:t>
      </w:r>
      <w:r>
        <w:rPr>
          <w:spacing w:val="-3"/>
          <w:w w:val="105"/>
          <w:sz w:val="21"/>
        </w:rPr>
        <w:t>for commercial </w:t>
      </w:r>
      <w:r>
        <w:rPr>
          <w:w w:val="105"/>
          <w:sz w:val="21"/>
        </w:rPr>
        <w:t>timber </w:t>
      </w:r>
      <w:r>
        <w:rPr>
          <w:spacing w:val="-3"/>
          <w:w w:val="105"/>
          <w:sz w:val="21"/>
        </w:rPr>
        <w:t>plantations </w:t>
      </w:r>
      <w:r>
        <w:rPr>
          <w:w w:val="105"/>
          <w:sz w:val="21"/>
        </w:rPr>
        <w:t>should also be </w:t>
      </w:r>
      <w:r>
        <w:rPr>
          <w:spacing w:val="-3"/>
          <w:w w:val="105"/>
          <w:sz w:val="21"/>
        </w:rPr>
        <w:t>excluded from </w:t>
      </w:r>
      <w:r>
        <w:rPr>
          <w:w w:val="105"/>
          <w:sz w:val="21"/>
        </w:rPr>
        <w:t>the ambit of the new </w:t>
      </w:r>
      <w:r>
        <w:rPr>
          <w:spacing w:val="-6"/>
          <w:w w:val="105"/>
          <w:sz w:val="21"/>
        </w:rPr>
        <w:t>Act.</w:t>
      </w:r>
      <w:r>
        <w:rPr>
          <w:spacing w:val="-6"/>
          <w:w w:val="105"/>
          <w:position w:val="7"/>
          <w:sz w:val="12"/>
        </w:rPr>
        <w:t>118 </w:t>
      </w:r>
      <w:r>
        <w:rPr>
          <w:w w:val="105"/>
          <w:sz w:val="21"/>
        </w:rPr>
        <w:t>This is </w:t>
      </w:r>
      <w:r>
        <w:rPr>
          <w:spacing w:val="-3"/>
          <w:w w:val="105"/>
          <w:sz w:val="21"/>
        </w:rPr>
        <w:t>consistent </w:t>
      </w:r>
      <w:r>
        <w:rPr>
          <w:w w:val="105"/>
          <w:sz w:val="21"/>
        </w:rPr>
        <w:t>with interstate </w:t>
      </w:r>
      <w:r>
        <w:rPr>
          <w:spacing w:val="-4"/>
          <w:w w:val="105"/>
          <w:sz w:val="21"/>
        </w:rPr>
        <w:t>Acts</w:t>
      </w:r>
      <w:r>
        <w:rPr>
          <w:spacing w:val="-4"/>
          <w:w w:val="105"/>
          <w:position w:val="7"/>
          <w:sz w:val="12"/>
        </w:rPr>
        <w:t>119 </w:t>
      </w:r>
      <w:r>
        <w:rPr>
          <w:w w:val="105"/>
          <w:sz w:val="21"/>
        </w:rPr>
        <w:t>and recognises the </w:t>
      </w:r>
      <w:r>
        <w:rPr>
          <w:spacing w:val="-3"/>
          <w:w w:val="105"/>
          <w:sz w:val="21"/>
        </w:rPr>
        <w:t>unique</w:t>
      </w:r>
      <w:r>
        <w:rPr>
          <w:spacing w:val="-10"/>
          <w:w w:val="105"/>
          <w:sz w:val="21"/>
        </w:rPr>
        <w:t> </w:t>
      </w:r>
      <w:r>
        <w:rPr>
          <w:spacing w:val="-3"/>
          <w:w w:val="105"/>
          <w:sz w:val="21"/>
        </w:rPr>
        <w:t>nature</w:t>
      </w:r>
      <w:r>
        <w:rPr>
          <w:spacing w:val="-9"/>
          <w:w w:val="105"/>
          <w:sz w:val="21"/>
        </w:rPr>
        <w:t> </w:t>
      </w:r>
      <w:r>
        <w:rPr>
          <w:w w:val="105"/>
          <w:sz w:val="21"/>
        </w:rPr>
        <w:t>and</w:t>
      </w:r>
      <w:r>
        <w:rPr>
          <w:spacing w:val="-10"/>
          <w:w w:val="105"/>
          <w:sz w:val="21"/>
        </w:rPr>
        <w:t> </w:t>
      </w:r>
      <w:r>
        <w:rPr>
          <w:w w:val="105"/>
          <w:sz w:val="21"/>
        </w:rPr>
        <w:t>needs</w:t>
      </w:r>
      <w:r>
        <w:rPr>
          <w:spacing w:val="-9"/>
          <w:w w:val="105"/>
          <w:sz w:val="21"/>
        </w:rPr>
        <w:t> </w:t>
      </w:r>
      <w:r>
        <w:rPr>
          <w:w w:val="105"/>
          <w:sz w:val="21"/>
        </w:rPr>
        <w:t>of</w:t>
      </w:r>
      <w:r>
        <w:rPr>
          <w:spacing w:val="-10"/>
          <w:w w:val="105"/>
          <w:sz w:val="21"/>
        </w:rPr>
        <w:t> </w:t>
      </w:r>
      <w:r>
        <w:rPr>
          <w:w w:val="105"/>
          <w:sz w:val="21"/>
        </w:rPr>
        <w:t>these</w:t>
      </w:r>
      <w:r>
        <w:rPr>
          <w:spacing w:val="-9"/>
          <w:w w:val="105"/>
          <w:sz w:val="21"/>
        </w:rPr>
        <w:t> </w:t>
      </w:r>
      <w:r>
        <w:rPr>
          <w:spacing w:val="-3"/>
          <w:w w:val="105"/>
          <w:sz w:val="21"/>
        </w:rPr>
        <w:t>commercial</w:t>
      </w:r>
      <w:r>
        <w:rPr>
          <w:spacing w:val="-9"/>
          <w:w w:val="105"/>
          <w:sz w:val="21"/>
        </w:rPr>
        <w:t> </w:t>
      </w:r>
      <w:r>
        <w:rPr>
          <w:w w:val="105"/>
          <w:sz w:val="21"/>
        </w:rPr>
        <w:t>operations</w:t>
      </w:r>
      <w:r>
        <w:rPr>
          <w:spacing w:val="-10"/>
          <w:w w:val="105"/>
          <w:sz w:val="21"/>
        </w:rPr>
        <w:t> </w:t>
      </w:r>
      <w:r>
        <w:rPr>
          <w:w w:val="105"/>
          <w:sz w:val="21"/>
        </w:rPr>
        <w:t>as</w:t>
      </w:r>
      <w:r>
        <w:rPr>
          <w:spacing w:val="-9"/>
          <w:w w:val="105"/>
          <w:sz w:val="21"/>
        </w:rPr>
        <w:t> </w:t>
      </w:r>
      <w:r>
        <w:rPr>
          <w:w w:val="105"/>
          <w:sz w:val="21"/>
        </w:rPr>
        <w:t>identified</w:t>
      </w:r>
      <w:r>
        <w:rPr>
          <w:spacing w:val="-10"/>
          <w:w w:val="105"/>
          <w:sz w:val="21"/>
        </w:rPr>
        <w:t> </w:t>
      </w:r>
      <w:r>
        <w:rPr>
          <w:w w:val="105"/>
          <w:sz w:val="21"/>
        </w:rPr>
        <w:t>by</w:t>
      </w:r>
      <w:r>
        <w:rPr>
          <w:spacing w:val="-9"/>
          <w:w w:val="105"/>
          <w:sz w:val="21"/>
        </w:rPr>
        <w:t> </w:t>
      </w:r>
      <w:r>
        <w:rPr>
          <w:w w:val="105"/>
          <w:sz w:val="21"/>
        </w:rPr>
        <w:t>HVP</w:t>
      </w:r>
      <w:r>
        <w:rPr>
          <w:spacing w:val="-9"/>
          <w:w w:val="105"/>
          <w:sz w:val="21"/>
        </w:rPr>
        <w:t> </w:t>
      </w:r>
      <w:r>
        <w:rPr>
          <w:spacing w:val="-3"/>
          <w:w w:val="105"/>
          <w:sz w:val="21"/>
        </w:rPr>
        <w:t>Plantations </w:t>
      </w:r>
      <w:r>
        <w:rPr>
          <w:w w:val="105"/>
          <w:sz w:val="21"/>
        </w:rPr>
        <w:t>in its </w:t>
      </w:r>
      <w:r>
        <w:rPr>
          <w:spacing w:val="-4"/>
          <w:w w:val="105"/>
          <w:sz w:val="21"/>
        </w:rPr>
        <w:t>submission.</w:t>
      </w:r>
      <w:r>
        <w:rPr>
          <w:spacing w:val="-4"/>
          <w:w w:val="105"/>
          <w:position w:val="7"/>
          <w:sz w:val="12"/>
        </w:rPr>
        <w:t>120 </w:t>
      </w:r>
      <w:r>
        <w:rPr>
          <w:w w:val="105"/>
          <w:sz w:val="21"/>
        </w:rPr>
        <w:t>The </w:t>
      </w:r>
      <w:r>
        <w:rPr>
          <w:spacing w:val="-3"/>
          <w:w w:val="105"/>
          <w:sz w:val="21"/>
        </w:rPr>
        <w:t>Commission notes that plantations </w:t>
      </w:r>
      <w:r>
        <w:rPr>
          <w:w w:val="105"/>
          <w:sz w:val="21"/>
        </w:rPr>
        <w:t>must be managed </w:t>
      </w:r>
      <w:r>
        <w:rPr>
          <w:spacing w:val="-3"/>
          <w:w w:val="105"/>
          <w:sz w:val="21"/>
        </w:rPr>
        <w:t>according to various </w:t>
      </w:r>
      <w:r>
        <w:rPr>
          <w:w w:val="105"/>
          <w:sz w:val="21"/>
        </w:rPr>
        <w:t>statutory </w:t>
      </w:r>
      <w:r>
        <w:rPr>
          <w:spacing w:val="-3"/>
          <w:w w:val="105"/>
          <w:sz w:val="21"/>
        </w:rPr>
        <w:t>requirements, including </w:t>
      </w:r>
      <w:r>
        <w:rPr>
          <w:w w:val="105"/>
          <w:sz w:val="21"/>
        </w:rPr>
        <w:t>the </w:t>
      </w:r>
      <w:r>
        <w:rPr>
          <w:spacing w:val="-3"/>
          <w:w w:val="105"/>
          <w:sz w:val="21"/>
        </w:rPr>
        <w:t>Code </w:t>
      </w:r>
      <w:r>
        <w:rPr>
          <w:w w:val="105"/>
          <w:sz w:val="21"/>
        </w:rPr>
        <w:t>of Practice </w:t>
      </w:r>
      <w:r>
        <w:rPr>
          <w:spacing w:val="-3"/>
          <w:w w:val="105"/>
          <w:sz w:val="21"/>
        </w:rPr>
        <w:t>for </w:t>
      </w:r>
      <w:r>
        <w:rPr>
          <w:w w:val="105"/>
          <w:sz w:val="21"/>
        </w:rPr>
        <w:t>Timber Production </w:t>
      </w:r>
      <w:r>
        <w:rPr>
          <w:spacing w:val="-8"/>
          <w:w w:val="105"/>
          <w:sz w:val="21"/>
        </w:rPr>
        <w:t>2014.</w:t>
      </w:r>
      <w:r>
        <w:rPr>
          <w:spacing w:val="-8"/>
          <w:w w:val="105"/>
          <w:position w:val="7"/>
          <w:sz w:val="12"/>
        </w:rPr>
        <w:t>121 </w:t>
      </w:r>
      <w:r>
        <w:rPr>
          <w:spacing w:val="-3"/>
          <w:w w:val="105"/>
          <w:sz w:val="21"/>
        </w:rPr>
        <w:t>Government may </w:t>
      </w:r>
      <w:r>
        <w:rPr>
          <w:w w:val="105"/>
          <w:sz w:val="21"/>
        </w:rPr>
        <w:t>also </w:t>
      </w:r>
      <w:r>
        <w:rPr>
          <w:spacing w:val="-3"/>
          <w:w w:val="105"/>
          <w:sz w:val="21"/>
        </w:rPr>
        <w:t>determine that </w:t>
      </w:r>
      <w:r>
        <w:rPr>
          <w:w w:val="105"/>
          <w:sz w:val="21"/>
        </w:rPr>
        <w:t>other types of </w:t>
      </w:r>
      <w:r>
        <w:rPr>
          <w:spacing w:val="-3"/>
          <w:w w:val="105"/>
          <w:sz w:val="21"/>
        </w:rPr>
        <w:t>land </w:t>
      </w:r>
      <w:r>
        <w:rPr>
          <w:w w:val="105"/>
          <w:sz w:val="21"/>
        </w:rPr>
        <w:t>should be </w:t>
      </w:r>
      <w:r>
        <w:rPr>
          <w:spacing w:val="-3"/>
          <w:w w:val="105"/>
          <w:sz w:val="21"/>
        </w:rPr>
        <w:t>excluded from </w:t>
      </w:r>
      <w:r>
        <w:rPr>
          <w:w w:val="105"/>
          <w:sz w:val="21"/>
        </w:rPr>
        <w:t>the ambit of the Act as occurs</w:t>
      </w:r>
      <w:r>
        <w:rPr>
          <w:spacing w:val="39"/>
          <w:w w:val="105"/>
          <w:sz w:val="21"/>
        </w:rPr>
        <w:t> </w:t>
      </w:r>
      <w:r>
        <w:rPr>
          <w:spacing w:val="-4"/>
          <w:w w:val="105"/>
          <w:sz w:val="21"/>
        </w:rPr>
        <w:t>interstate.</w:t>
      </w:r>
      <w:r>
        <w:rPr>
          <w:spacing w:val="-4"/>
          <w:w w:val="105"/>
          <w:position w:val="7"/>
          <w:sz w:val="12"/>
        </w:rPr>
        <w:t>122</w:t>
      </w:r>
    </w:p>
    <w:p>
      <w:pPr>
        <w:pStyle w:val="ListParagraph"/>
        <w:numPr>
          <w:ilvl w:val="1"/>
          <w:numId w:val="16"/>
        </w:numPr>
        <w:tabs>
          <w:tab w:pos="2381" w:val="left" w:leader="none"/>
          <w:tab w:pos="2382" w:val="left" w:leader="none"/>
        </w:tabs>
        <w:spacing w:line="242" w:lineRule="auto" w:before="128" w:after="0"/>
        <w:ind w:left="2381" w:right="1651" w:hanging="794"/>
        <w:jc w:val="left"/>
        <w:rPr>
          <w:sz w:val="21"/>
        </w:rPr>
      </w:pPr>
      <w:r>
        <w:rPr>
          <w:w w:val="105"/>
          <w:sz w:val="21"/>
        </w:rPr>
        <w:t>There was </w:t>
      </w:r>
      <w:r>
        <w:rPr>
          <w:spacing w:val="-3"/>
          <w:w w:val="105"/>
          <w:sz w:val="21"/>
        </w:rPr>
        <w:t>considerable </w:t>
      </w:r>
      <w:r>
        <w:rPr>
          <w:w w:val="105"/>
          <w:sz w:val="21"/>
        </w:rPr>
        <w:t>support </w:t>
      </w:r>
      <w:r>
        <w:rPr>
          <w:spacing w:val="-3"/>
          <w:w w:val="105"/>
          <w:sz w:val="21"/>
        </w:rPr>
        <w:t>for including all </w:t>
      </w:r>
      <w:r>
        <w:rPr>
          <w:w w:val="105"/>
          <w:sz w:val="21"/>
        </w:rPr>
        <w:t>zones in a new Act. The </w:t>
      </w:r>
      <w:r>
        <w:rPr>
          <w:spacing w:val="-3"/>
          <w:w w:val="105"/>
          <w:sz w:val="21"/>
        </w:rPr>
        <w:t>Commission </w:t>
      </w:r>
      <w:r>
        <w:rPr>
          <w:w w:val="105"/>
          <w:sz w:val="21"/>
        </w:rPr>
        <w:t>acknowledges </w:t>
      </w:r>
      <w:r>
        <w:rPr>
          <w:spacing w:val="-3"/>
          <w:w w:val="105"/>
          <w:sz w:val="21"/>
        </w:rPr>
        <w:t>that </w:t>
      </w:r>
      <w:r>
        <w:rPr>
          <w:w w:val="105"/>
          <w:sz w:val="21"/>
        </w:rPr>
        <w:t>tree </w:t>
      </w:r>
      <w:r>
        <w:rPr>
          <w:spacing w:val="-3"/>
          <w:w w:val="105"/>
          <w:sz w:val="21"/>
        </w:rPr>
        <w:t>disputes </w:t>
      </w:r>
      <w:r>
        <w:rPr>
          <w:w w:val="105"/>
          <w:sz w:val="21"/>
        </w:rPr>
        <w:t>can arise on </w:t>
      </w:r>
      <w:r>
        <w:rPr>
          <w:spacing w:val="-3"/>
          <w:w w:val="105"/>
          <w:sz w:val="21"/>
        </w:rPr>
        <w:t>land that </w:t>
      </w:r>
      <w:r>
        <w:rPr>
          <w:w w:val="105"/>
          <w:sz w:val="21"/>
        </w:rPr>
        <w:t>is </w:t>
      </w:r>
      <w:r>
        <w:rPr>
          <w:spacing w:val="-3"/>
          <w:w w:val="105"/>
          <w:sz w:val="21"/>
        </w:rPr>
        <w:t>primarily </w:t>
      </w:r>
      <w:r>
        <w:rPr>
          <w:w w:val="105"/>
          <w:sz w:val="21"/>
        </w:rPr>
        <w:t>used </w:t>
      </w:r>
      <w:r>
        <w:rPr>
          <w:spacing w:val="-3"/>
          <w:w w:val="105"/>
          <w:sz w:val="21"/>
        </w:rPr>
        <w:t>for farming </w:t>
      </w:r>
      <w:r>
        <w:rPr>
          <w:w w:val="105"/>
          <w:sz w:val="21"/>
        </w:rPr>
        <w:t>and </w:t>
      </w:r>
      <w:r>
        <w:rPr>
          <w:spacing w:val="-3"/>
          <w:w w:val="105"/>
          <w:sz w:val="21"/>
        </w:rPr>
        <w:t>agricultural </w:t>
      </w:r>
      <w:r>
        <w:rPr>
          <w:spacing w:val="-4"/>
          <w:w w:val="105"/>
          <w:sz w:val="21"/>
        </w:rPr>
        <w:t>production.</w:t>
      </w:r>
      <w:r>
        <w:rPr>
          <w:spacing w:val="-4"/>
          <w:w w:val="105"/>
          <w:position w:val="7"/>
          <w:sz w:val="12"/>
        </w:rPr>
        <w:t>123 </w:t>
      </w:r>
      <w:r>
        <w:rPr>
          <w:w w:val="105"/>
          <w:sz w:val="21"/>
        </w:rPr>
        <w:t>The application of the new Act </w:t>
      </w:r>
      <w:r>
        <w:rPr>
          <w:spacing w:val="-3"/>
          <w:w w:val="105"/>
          <w:sz w:val="21"/>
        </w:rPr>
        <w:t>will </w:t>
      </w:r>
      <w:r>
        <w:rPr>
          <w:w w:val="105"/>
          <w:sz w:val="21"/>
        </w:rPr>
        <w:t>extend </w:t>
      </w:r>
      <w:r>
        <w:rPr>
          <w:spacing w:val="-3"/>
          <w:w w:val="105"/>
          <w:sz w:val="21"/>
        </w:rPr>
        <w:t>to land </w:t>
      </w:r>
      <w:r>
        <w:rPr>
          <w:w w:val="105"/>
          <w:sz w:val="21"/>
        </w:rPr>
        <w:t>in most zones in Victoria. </w:t>
      </w:r>
      <w:r>
        <w:rPr>
          <w:spacing w:val="-4"/>
          <w:w w:val="105"/>
          <w:sz w:val="21"/>
        </w:rPr>
        <w:t>However, </w:t>
      </w:r>
      <w:r>
        <w:rPr>
          <w:w w:val="105"/>
          <w:sz w:val="21"/>
        </w:rPr>
        <w:t>it </w:t>
      </w:r>
      <w:r>
        <w:rPr>
          <w:spacing w:val="-3"/>
          <w:w w:val="105"/>
          <w:sz w:val="21"/>
        </w:rPr>
        <w:t>will </w:t>
      </w:r>
      <w:r>
        <w:rPr>
          <w:spacing w:val="-2"/>
          <w:w w:val="105"/>
          <w:sz w:val="21"/>
        </w:rPr>
        <w:t>not </w:t>
      </w:r>
      <w:r>
        <w:rPr>
          <w:w w:val="105"/>
          <w:sz w:val="21"/>
        </w:rPr>
        <w:t>extend </w:t>
      </w:r>
      <w:r>
        <w:rPr>
          <w:spacing w:val="-3"/>
          <w:w w:val="105"/>
          <w:sz w:val="21"/>
        </w:rPr>
        <w:t>to </w:t>
      </w:r>
      <w:r>
        <w:rPr>
          <w:w w:val="105"/>
          <w:sz w:val="21"/>
        </w:rPr>
        <w:t>the </w:t>
      </w:r>
      <w:r>
        <w:rPr>
          <w:spacing w:val="-3"/>
          <w:w w:val="105"/>
          <w:sz w:val="21"/>
        </w:rPr>
        <w:t>farming </w:t>
      </w:r>
      <w:r>
        <w:rPr>
          <w:w w:val="105"/>
          <w:sz w:val="21"/>
        </w:rPr>
        <w:t>and </w:t>
      </w:r>
      <w:r>
        <w:rPr>
          <w:spacing w:val="-3"/>
          <w:w w:val="105"/>
          <w:sz w:val="21"/>
        </w:rPr>
        <w:t>rural </w:t>
      </w:r>
      <w:r>
        <w:rPr>
          <w:w w:val="105"/>
          <w:sz w:val="21"/>
        </w:rPr>
        <w:t>activity </w:t>
      </w:r>
      <w:r>
        <w:rPr>
          <w:spacing w:val="-3"/>
          <w:w w:val="105"/>
          <w:sz w:val="21"/>
        </w:rPr>
        <w:t>zones. </w:t>
      </w:r>
      <w:r>
        <w:rPr>
          <w:w w:val="105"/>
          <w:sz w:val="21"/>
        </w:rPr>
        <w:t>These types of zones </w:t>
      </w:r>
      <w:r>
        <w:rPr>
          <w:spacing w:val="-3"/>
          <w:w w:val="105"/>
          <w:sz w:val="21"/>
        </w:rPr>
        <w:t>are </w:t>
      </w:r>
      <w:r>
        <w:rPr>
          <w:w w:val="105"/>
          <w:sz w:val="21"/>
        </w:rPr>
        <w:t>also </w:t>
      </w:r>
      <w:r>
        <w:rPr>
          <w:spacing w:val="-3"/>
          <w:w w:val="105"/>
          <w:sz w:val="21"/>
        </w:rPr>
        <w:t>excluded </w:t>
      </w:r>
      <w:r>
        <w:rPr>
          <w:w w:val="105"/>
          <w:sz w:val="21"/>
        </w:rPr>
        <w:t>in the interstate </w:t>
      </w:r>
      <w:r>
        <w:rPr>
          <w:spacing w:val="-4"/>
          <w:w w:val="105"/>
          <w:sz w:val="21"/>
        </w:rPr>
        <w:t>Acts.</w:t>
      </w:r>
      <w:r>
        <w:rPr>
          <w:spacing w:val="-4"/>
          <w:w w:val="105"/>
          <w:position w:val="7"/>
          <w:sz w:val="12"/>
        </w:rPr>
        <w:t>124 </w:t>
      </w:r>
      <w:r>
        <w:rPr>
          <w:w w:val="105"/>
          <w:sz w:val="21"/>
        </w:rPr>
        <w:t>The recommended approach</w:t>
      </w:r>
      <w:r>
        <w:rPr>
          <w:spacing w:val="-13"/>
          <w:w w:val="105"/>
          <w:sz w:val="21"/>
        </w:rPr>
        <w:t> </w:t>
      </w:r>
      <w:r>
        <w:rPr>
          <w:w w:val="105"/>
          <w:sz w:val="21"/>
        </w:rPr>
        <w:t>provides</w:t>
      </w:r>
      <w:r>
        <w:rPr>
          <w:spacing w:val="-13"/>
          <w:w w:val="105"/>
          <w:sz w:val="21"/>
        </w:rPr>
        <w:t> </w:t>
      </w:r>
      <w:r>
        <w:rPr>
          <w:w w:val="105"/>
          <w:sz w:val="21"/>
        </w:rPr>
        <w:t>a</w:t>
      </w:r>
      <w:r>
        <w:rPr>
          <w:spacing w:val="-13"/>
          <w:w w:val="105"/>
          <w:sz w:val="21"/>
        </w:rPr>
        <w:t> </w:t>
      </w:r>
      <w:r>
        <w:rPr>
          <w:w w:val="105"/>
          <w:sz w:val="21"/>
        </w:rPr>
        <w:t>remedy</w:t>
      </w:r>
      <w:r>
        <w:rPr>
          <w:spacing w:val="-13"/>
          <w:w w:val="105"/>
          <w:sz w:val="21"/>
        </w:rPr>
        <w:t> </w:t>
      </w:r>
      <w:r>
        <w:rPr>
          <w:spacing w:val="-3"/>
          <w:w w:val="105"/>
          <w:sz w:val="21"/>
        </w:rPr>
        <w:t>for</w:t>
      </w:r>
      <w:r>
        <w:rPr>
          <w:spacing w:val="-13"/>
          <w:w w:val="105"/>
          <w:sz w:val="21"/>
        </w:rPr>
        <w:t> </w:t>
      </w:r>
      <w:r>
        <w:rPr>
          <w:spacing w:val="-3"/>
          <w:w w:val="105"/>
          <w:sz w:val="21"/>
        </w:rPr>
        <w:t>many</w:t>
      </w:r>
      <w:r>
        <w:rPr>
          <w:spacing w:val="-13"/>
          <w:w w:val="105"/>
          <w:sz w:val="21"/>
        </w:rPr>
        <w:t> </w:t>
      </w:r>
      <w:r>
        <w:rPr>
          <w:w w:val="105"/>
          <w:sz w:val="21"/>
        </w:rPr>
        <w:t>intractable</w:t>
      </w:r>
      <w:r>
        <w:rPr>
          <w:spacing w:val="-12"/>
          <w:w w:val="105"/>
          <w:sz w:val="21"/>
        </w:rPr>
        <w:t> </w:t>
      </w:r>
      <w:r>
        <w:rPr>
          <w:w w:val="105"/>
          <w:sz w:val="21"/>
        </w:rPr>
        <w:t>neighbourhood</w:t>
      </w:r>
      <w:r>
        <w:rPr>
          <w:spacing w:val="-13"/>
          <w:w w:val="105"/>
          <w:sz w:val="21"/>
        </w:rPr>
        <w:t> </w:t>
      </w:r>
      <w:r>
        <w:rPr>
          <w:w w:val="105"/>
          <w:sz w:val="21"/>
        </w:rPr>
        <w:t>tree</w:t>
      </w:r>
      <w:r>
        <w:rPr>
          <w:spacing w:val="-13"/>
          <w:w w:val="105"/>
          <w:sz w:val="21"/>
        </w:rPr>
        <w:t> </w:t>
      </w:r>
      <w:r>
        <w:rPr>
          <w:spacing w:val="-3"/>
          <w:w w:val="105"/>
          <w:sz w:val="21"/>
        </w:rPr>
        <w:t>disputes,</w:t>
      </w:r>
      <w:r>
        <w:rPr>
          <w:spacing w:val="-13"/>
          <w:w w:val="105"/>
          <w:sz w:val="21"/>
        </w:rPr>
        <w:t> </w:t>
      </w:r>
      <w:r>
        <w:rPr>
          <w:w w:val="105"/>
          <w:sz w:val="21"/>
        </w:rPr>
        <w:t>while</w:t>
      </w:r>
      <w:r>
        <w:rPr>
          <w:spacing w:val="-13"/>
          <w:w w:val="105"/>
          <w:sz w:val="21"/>
        </w:rPr>
        <w:t> </w:t>
      </w:r>
      <w:r>
        <w:rPr>
          <w:spacing w:val="-2"/>
          <w:w w:val="105"/>
          <w:sz w:val="21"/>
        </w:rPr>
        <w:t>not </w:t>
      </w:r>
      <w:r>
        <w:rPr>
          <w:spacing w:val="-3"/>
          <w:w w:val="105"/>
          <w:sz w:val="21"/>
        </w:rPr>
        <w:t>interfering </w:t>
      </w:r>
      <w:r>
        <w:rPr>
          <w:w w:val="105"/>
          <w:sz w:val="21"/>
        </w:rPr>
        <w:t>with </w:t>
      </w:r>
      <w:r>
        <w:rPr>
          <w:spacing w:val="-3"/>
          <w:w w:val="105"/>
          <w:sz w:val="21"/>
        </w:rPr>
        <w:t>land primarily </w:t>
      </w:r>
      <w:r>
        <w:rPr>
          <w:w w:val="105"/>
          <w:sz w:val="21"/>
        </w:rPr>
        <w:t>used </w:t>
      </w:r>
      <w:r>
        <w:rPr>
          <w:spacing w:val="-3"/>
          <w:w w:val="105"/>
          <w:sz w:val="21"/>
        </w:rPr>
        <w:t>for farming </w:t>
      </w:r>
      <w:r>
        <w:rPr>
          <w:w w:val="105"/>
          <w:sz w:val="21"/>
        </w:rPr>
        <w:t>and </w:t>
      </w:r>
      <w:r>
        <w:rPr>
          <w:spacing w:val="-3"/>
          <w:w w:val="105"/>
          <w:sz w:val="21"/>
        </w:rPr>
        <w:t>agricultural</w:t>
      </w:r>
      <w:r>
        <w:rPr>
          <w:spacing w:val="39"/>
          <w:w w:val="105"/>
          <w:sz w:val="21"/>
        </w:rPr>
        <w:t> </w:t>
      </w:r>
      <w:r>
        <w:rPr>
          <w:w w:val="105"/>
          <w:sz w:val="21"/>
        </w:rPr>
        <w:t>purposes.</w:t>
      </w:r>
    </w:p>
    <w:p>
      <w:pPr>
        <w:pStyle w:val="ListParagraph"/>
        <w:numPr>
          <w:ilvl w:val="1"/>
          <w:numId w:val="16"/>
        </w:numPr>
        <w:tabs>
          <w:tab w:pos="2380" w:val="left" w:leader="none"/>
          <w:tab w:pos="2382" w:val="left" w:leader="none"/>
        </w:tabs>
        <w:spacing w:line="242" w:lineRule="auto" w:before="127" w:after="0"/>
        <w:ind w:left="2381" w:right="1613" w:hanging="794"/>
        <w:jc w:val="left"/>
        <w:rPr>
          <w:sz w:val="21"/>
        </w:rPr>
      </w:pPr>
      <w:r>
        <w:rPr>
          <w:w w:val="105"/>
          <w:sz w:val="21"/>
        </w:rPr>
        <w:t>The </w:t>
      </w:r>
      <w:r>
        <w:rPr>
          <w:spacing w:val="-3"/>
          <w:w w:val="105"/>
          <w:sz w:val="21"/>
        </w:rPr>
        <w:t>Commission </w:t>
      </w:r>
      <w:r>
        <w:rPr>
          <w:w w:val="105"/>
          <w:sz w:val="21"/>
        </w:rPr>
        <w:t>acknowledges HVP </w:t>
      </w:r>
      <w:r>
        <w:rPr>
          <w:spacing w:val="-3"/>
          <w:w w:val="105"/>
          <w:sz w:val="21"/>
        </w:rPr>
        <w:t>Plantations’ </w:t>
      </w:r>
      <w:r>
        <w:rPr>
          <w:w w:val="105"/>
          <w:sz w:val="21"/>
        </w:rPr>
        <w:t>suggestion </w:t>
      </w:r>
      <w:r>
        <w:rPr>
          <w:spacing w:val="-3"/>
          <w:w w:val="105"/>
          <w:sz w:val="21"/>
        </w:rPr>
        <w:t>that that </w:t>
      </w:r>
      <w:r>
        <w:rPr>
          <w:w w:val="105"/>
          <w:sz w:val="21"/>
        </w:rPr>
        <w:t>there is a </w:t>
      </w:r>
      <w:r>
        <w:rPr>
          <w:spacing w:val="-4"/>
          <w:w w:val="105"/>
          <w:sz w:val="21"/>
        </w:rPr>
        <w:t>‘case </w:t>
      </w:r>
      <w:r>
        <w:rPr>
          <w:spacing w:val="-3"/>
          <w:w w:val="105"/>
          <w:sz w:val="21"/>
        </w:rPr>
        <w:t>for </w:t>
      </w:r>
      <w:r>
        <w:rPr>
          <w:w w:val="105"/>
          <w:sz w:val="21"/>
        </w:rPr>
        <w:t>statutory</w:t>
      </w:r>
      <w:r>
        <w:rPr>
          <w:spacing w:val="-12"/>
          <w:w w:val="105"/>
          <w:sz w:val="21"/>
        </w:rPr>
        <w:t> </w:t>
      </w:r>
      <w:r>
        <w:rPr>
          <w:spacing w:val="-2"/>
          <w:w w:val="105"/>
          <w:sz w:val="21"/>
        </w:rPr>
        <w:t>intervention</w:t>
      </w:r>
      <w:r>
        <w:rPr>
          <w:spacing w:val="-11"/>
          <w:w w:val="105"/>
          <w:sz w:val="21"/>
        </w:rPr>
        <w:t> </w:t>
      </w:r>
      <w:r>
        <w:rPr>
          <w:spacing w:val="-3"/>
          <w:w w:val="105"/>
          <w:sz w:val="21"/>
        </w:rPr>
        <w:t>to</w:t>
      </w:r>
      <w:r>
        <w:rPr>
          <w:spacing w:val="-12"/>
          <w:w w:val="105"/>
          <w:sz w:val="21"/>
        </w:rPr>
        <w:t> </w:t>
      </w:r>
      <w:r>
        <w:rPr>
          <w:w w:val="105"/>
          <w:sz w:val="21"/>
        </w:rPr>
        <w:t>provide</w:t>
      </w:r>
      <w:r>
        <w:rPr>
          <w:spacing w:val="-11"/>
          <w:w w:val="105"/>
          <w:sz w:val="21"/>
        </w:rPr>
        <w:t> </w:t>
      </w:r>
      <w:r>
        <w:rPr>
          <w:spacing w:val="-3"/>
          <w:w w:val="105"/>
          <w:sz w:val="21"/>
        </w:rPr>
        <w:t>guidance</w:t>
      </w:r>
      <w:r>
        <w:rPr>
          <w:spacing w:val="-12"/>
          <w:w w:val="105"/>
          <w:sz w:val="21"/>
        </w:rPr>
        <w:t> </w:t>
      </w:r>
      <w:r>
        <w:rPr>
          <w:spacing w:val="-3"/>
          <w:w w:val="105"/>
          <w:sz w:val="21"/>
        </w:rPr>
        <w:t>to</w:t>
      </w:r>
      <w:r>
        <w:rPr>
          <w:spacing w:val="-11"/>
          <w:w w:val="105"/>
          <w:sz w:val="21"/>
        </w:rPr>
        <w:t> </w:t>
      </w:r>
      <w:r>
        <w:rPr>
          <w:spacing w:val="-3"/>
          <w:w w:val="105"/>
          <w:sz w:val="21"/>
        </w:rPr>
        <w:t>rural</w:t>
      </w:r>
      <w:r>
        <w:rPr>
          <w:spacing w:val="-12"/>
          <w:w w:val="105"/>
          <w:sz w:val="21"/>
        </w:rPr>
        <w:t> </w:t>
      </w:r>
      <w:r>
        <w:rPr>
          <w:w w:val="105"/>
          <w:sz w:val="21"/>
        </w:rPr>
        <w:t>landowners</w:t>
      </w:r>
      <w:r>
        <w:rPr>
          <w:spacing w:val="-11"/>
          <w:w w:val="105"/>
          <w:sz w:val="21"/>
        </w:rPr>
        <w:t> </w:t>
      </w:r>
      <w:r>
        <w:rPr>
          <w:w w:val="105"/>
          <w:sz w:val="21"/>
        </w:rPr>
        <w:t>in</w:t>
      </w:r>
      <w:r>
        <w:rPr>
          <w:spacing w:val="-12"/>
          <w:w w:val="105"/>
          <w:sz w:val="21"/>
        </w:rPr>
        <w:t> </w:t>
      </w:r>
      <w:r>
        <w:rPr>
          <w:w w:val="105"/>
          <w:sz w:val="21"/>
        </w:rPr>
        <w:t>treed</w:t>
      </w:r>
      <w:r>
        <w:rPr>
          <w:spacing w:val="-11"/>
          <w:w w:val="105"/>
          <w:sz w:val="21"/>
        </w:rPr>
        <w:t> </w:t>
      </w:r>
      <w:r>
        <w:rPr>
          <w:spacing w:val="-3"/>
          <w:w w:val="105"/>
          <w:sz w:val="21"/>
        </w:rPr>
        <w:t>environments,</w:t>
      </w:r>
      <w:r>
        <w:rPr>
          <w:spacing w:val="-12"/>
          <w:w w:val="105"/>
          <w:sz w:val="21"/>
        </w:rPr>
        <w:t> </w:t>
      </w:r>
      <w:r>
        <w:rPr>
          <w:w w:val="105"/>
          <w:sz w:val="21"/>
        </w:rPr>
        <w:t>and </w:t>
      </w:r>
      <w:r>
        <w:rPr>
          <w:spacing w:val="-3"/>
          <w:w w:val="105"/>
          <w:sz w:val="21"/>
        </w:rPr>
        <w:t>to draw </w:t>
      </w:r>
      <w:r>
        <w:rPr>
          <w:w w:val="105"/>
          <w:sz w:val="21"/>
        </w:rPr>
        <w:t>a contemporary </w:t>
      </w:r>
      <w:r>
        <w:rPr>
          <w:spacing w:val="-3"/>
          <w:w w:val="105"/>
          <w:sz w:val="21"/>
        </w:rPr>
        <w:t>compromise </w:t>
      </w:r>
      <w:r>
        <w:rPr>
          <w:w w:val="105"/>
          <w:sz w:val="21"/>
        </w:rPr>
        <w:t>between the benefits and the risks </w:t>
      </w:r>
      <w:r>
        <w:rPr>
          <w:spacing w:val="-3"/>
          <w:w w:val="105"/>
          <w:sz w:val="21"/>
        </w:rPr>
        <w:t>that </w:t>
      </w:r>
      <w:r>
        <w:rPr>
          <w:w w:val="105"/>
          <w:sz w:val="21"/>
        </w:rPr>
        <w:t>trees </w:t>
      </w:r>
      <w:r>
        <w:rPr>
          <w:spacing w:val="-3"/>
          <w:w w:val="105"/>
          <w:sz w:val="21"/>
        </w:rPr>
        <w:t>bring to </w:t>
      </w:r>
      <w:r>
        <w:rPr>
          <w:spacing w:val="-5"/>
          <w:w w:val="105"/>
          <w:sz w:val="21"/>
        </w:rPr>
        <w:t>neighbours’.</w:t>
      </w:r>
      <w:r>
        <w:rPr>
          <w:spacing w:val="-5"/>
          <w:w w:val="105"/>
          <w:position w:val="7"/>
          <w:sz w:val="12"/>
        </w:rPr>
        <w:t>125 </w:t>
      </w:r>
      <w:r>
        <w:rPr>
          <w:w w:val="105"/>
          <w:sz w:val="21"/>
        </w:rPr>
        <w:t>The </w:t>
      </w:r>
      <w:r>
        <w:rPr>
          <w:spacing w:val="-3"/>
          <w:w w:val="105"/>
          <w:sz w:val="21"/>
        </w:rPr>
        <w:t>Commission </w:t>
      </w:r>
      <w:r>
        <w:rPr>
          <w:w w:val="105"/>
          <w:sz w:val="21"/>
        </w:rPr>
        <w:t>accepts </w:t>
      </w:r>
      <w:r>
        <w:rPr>
          <w:spacing w:val="-3"/>
          <w:w w:val="105"/>
          <w:sz w:val="21"/>
        </w:rPr>
        <w:t>that </w:t>
      </w:r>
      <w:r>
        <w:rPr>
          <w:w w:val="105"/>
          <w:sz w:val="21"/>
        </w:rPr>
        <w:t>tree </w:t>
      </w:r>
      <w:r>
        <w:rPr>
          <w:spacing w:val="-3"/>
          <w:w w:val="105"/>
          <w:sz w:val="21"/>
        </w:rPr>
        <w:t>disputes </w:t>
      </w:r>
      <w:r>
        <w:rPr>
          <w:w w:val="105"/>
          <w:sz w:val="21"/>
        </w:rPr>
        <w:t>in </w:t>
      </w:r>
      <w:r>
        <w:rPr>
          <w:spacing w:val="-3"/>
          <w:w w:val="105"/>
          <w:sz w:val="21"/>
        </w:rPr>
        <w:t>rural </w:t>
      </w:r>
      <w:r>
        <w:rPr>
          <w:w w:val="105"/>
          <w:sz w:val="21"/>
        </w:rPr>
        <w:t>settings often </w:t>
      </w:r>
      <w:r>
        <w:rPr>
          <w:spacing w:val="-3"/>
          <w:w w:val="105"/>
          <w:sz w:val="21"/>
        </w:rPr>
        <w:t>involve different considerations </w:t>
      </w:r>
      <w:r>
        <w:rPr>
          <w:w w:val="105"/>
          <w:sz w:val="21"/>
        </w:rPr>
        <w:t>and it is important </w:t>
      </w:r>
      <w:r>
        <w:rPr>
          <w:spacing w:val="-3"/>
          <w:w w:val="105"/>
          <w:sz w:val="21"/>
        </w:rPr>
        <w:t>that </w:t>
      </w:r>
      <w:r>
        <w:rPr>
          <w:w w:val="105"/>
          <w:sz w:val="21"/>
        </w:rPr>
        <w:t>the new Act reflect this. The decision- </w:t>
      </w:r>
      <w:r>
        <w:rPr>
          <w:spacing w:val="-3"/>
          <w:w w:val="105"/>
          <w:sz w:val="21"/>
        </w:rPr>
        <w:t>making principles </w:t>
      </w:r>
      <w:r>
        <w:rPr>
          <w:w w:val="105"/>
          <w:sz w:val="21"/>
        </w:rPr>
        <w:t>recommended in </w:t>
      </w:r>
      <w:r>
        <w:rPr>
          <w:spacing w:val="-4"/>
          <w:w w:val="105"/>
          <w:sz w:val="21"/>
        </w:rPr>
        <w:t>Chapter </w:t>
      </w:r>
      <w:r>
        <w:rPr>
          <w:w w:val="105"/>
          <w:sz w:val="21"/>
        </w:rPr>
        <w:t>8 </w:t>
      </w:r>
      <w:r>
        <w:rPr>
          <w:spacing w:val="-3"/>
          <w:w w:val="105"/>
          <w:sz w:val="21"/>
        </w:rPr>
        <w:t>will </w:t>
      </w:r>
      <w:r>
        <w:rPr>
          <w:w w:val="105"/>
          <w:sz w:val="21"/>
        </w:rPr>
        <w:t>help </w:t>
      </w:r>
      <w:r>
        <w:rPr>
          <w:spacing w:val="-5"/>
          <w:w w:val="105"/>
          <w:sz w:val="21"/>
        </w:rPr>
        <w:t>VCAT </w:t>
      </w:r>
      <w:r>
        <w:rPr>
          <w:spacing w:val="-3"/>
          <w:w w:val="105"/>
          <w:sz w:val="21"/>
        </w:rPr>
        <w:t>to balance competing </w:t>
      </w:r>
      <w:r>
        <w:rPr>
          <w:w w:val="105"/>
          <w:sz w:val="21"/>
        </w:rPr>
        <w:t>rights and interests </w:t>
      </w:r>
      <w:r>
        <w:rPr>
          <w:spacing w:val="-3"/>
          <w:w w:val="105"/>
          <w:sz w:val="21"/>
        </w:rPr>
        <w:t>fairly </w:t>
      </w:r>
      <w:r>
        <w:rPr>
          <w:w w:val="105"/>
          <w:sz w:val="21"/>
        </w:rPr>
        <w:t>and </w:t>
      </w:r>
      <w:r>
        <w:rPr>
          <w:spacing w:val="-4"/>
          <w:w w:val="105"/>
          <w:sz w:val="21"/>
        </w:rPr>
        <w:t>transparently. </w:t>
      </w:r>
      <w:r>
        <w:rPr>
          <w:w w:val="105"/>
          <w:sz w:val="21"/>
        </w:rPr>
        <w:t>Those </w:t>
      </w:r>
      <w:r>
        <w:rPr>
          <w:spacing w:val="-3"/>
          <w:w w:val="105"/>
          <w:sz w:val="21"/>
        </w:rPr>
        <w:t>principles require </w:t>
      </w:r>
      <w:r>
        <w:rPr>
          <w:spacing w:val="-5"/>
          <w:w w:val="105"/>
          <w:sz w:val="21"/>
        </w:rPr>
        <w:t>VCAT </w:t>
      </w:r>
      <w:r>
        <w:rPr>
          <w:spacing w:val="-3"/>
          <w:w w:val="105"/>
          <w:sz w:val="21"/>
        </w:rPr>
        <w:t>to consider </w:t>
      </w:r>
      <w:r>
        <w:rPr>
          <w:w w:val="105"/>
          <w:sz w:val="21"/>
        </w:rPr>
        <w:t>a broad </w:t>
      </w:r>
      <w:r>
        <w:rPr>
          <w:spacing w:val="-3"/>
          <w:w w:val="105"/>
          <w:sz w:val="21"/>
        </w:rPr>
        <w:t>range </w:t>
      </w:r>
      <w:r>
        <w:rPr>
          <w:w w:val="105"/>
          <w:sz w:val="21"/>
        </w:rPr>
        <w:t>of matters </w:t>
      </w:r>
      <w:r>
        <w:rPr>
          <w:spacing w:val="-3"/>
          <w:w w:val="105"/>
          <w:sz w:val="21"/>
        </w:rPr>
        <w:t>including </w:t>
      </w:r>
      <w:r>
        <w:rPr>
          <w:w w:val="105"/>
          <w:sz w:val="21"/>
        </w:rPr>
        <w:t>the broader benefits of trees and the </w:t>
      </w:r>
      <w:r>
        <w:rPr>
          <w:spacing w:val="-3"/>
          <w:w w:val="105"/>
          <w:sz w:val="21"/>
        </w:rPr>
        <w:t>relevant zoning </w:t>
      </w:r>
      <w:r>
        <w:rPr>
          <w:w w:val="105"/>
          <w:sz w:val="21"/>
        </w:rPr>
        <w:t>and the </w:t>
      </w:r>
      <w:r>
        <w:rPr>
          <w:spacing w:val="-3"/>
          <w:w w:val="105"/>
          <w:sz w:val="21"/>
        </w:rPr>
        <w:t>related </w:t>
      </w:r>
      <w:r>
        <w:rPr>
          <w:w w:val="105"/>
          <w:sz w:val="21"/>
        </w:rPr>
        <w:t>purpose of the </w:t>
      </w:r>
      <w:r>
        <w:rPr>
          <w:spacing w:val="-3"/>
          <w:w w:val="105"/>
          <w:sz w:val="21"/>
        </w:rPr>
        <w:t>land. </w:t>
      </w:r>
      <w:r>
        <w:rPr>
          <w:w w:val="105"/>
          <w:sz w:val="21"/>
        </w:rPr>
        <w:t>These </w:t>
      </w:r>
      <w:r>
        <w:rPr>
          <w:spacing w:val="-3"/>
          <w:w w:val="105"/>
          <w:sz w:val="21"/>
        </w:rPr>
        <w:t>principles will </w:t>
      </w:r>
      <w:r>
        <w:rPr>
          <w:w w:val="105"/>
          <w:sz w:val="21"/>
        </w:rPr>
        <w:t>also help people </w:t>
      </w:r>
      <w:r>
        <w:rPr>
          <w:spacing w:val="-3"/>
          <w:w w:val="105"/>
          <w:sz w:val="21"/>
        </w:rPr>
        <w:t>to </w:t>
      </w:r>
      <w:r>
        <w:rPr>
          <w:w w:val="105"/>
          <w:sz w:val="21"/>
        </w:rPr>
        <w:t>resolve their own </w:t>
      </w:r>
      <w:r>
        <w:rPr>
          <w:spacing w:val="-3"/>
          <w:w w:val="105"/>
          <w:sz w:val="21"/>
        </w:rPr>
        <w:t>disputes </w:t>
      </w:r>
      <w:r>
        <w:rPr>
          <w:w w:val="105"/>
          <w:sz w:val="21"/>
        </w:rPr>
        <w:t>outside a </w:t>
      </w:r>
      <w:r>
        <w:rPr>
          <w:spacing w:val="-3"/>
          <w:w w:val="105"/>
          <w:sz w:val="21"/>
        </w:rPr>
        <w:t>formal </w:t>
      </w:r>
      <w:r>
        <w:rPr>
          <w:spacing w:val="-5"/>
          <w:w w:val="105"/>
          <w:sz w:val="21"/>
        </w:rPr>
        <w:t>VCAT </w:t>
      </w:r>
      <w:r>
        <w:rPr>
          <w:spacing w:val="-3"/>
          <w:w w:val="105"/>
          <w:sz w:val="21"/>
        </w:rPr>
        <w:t>hearing </w:t>
      </w:r>
      <w:r>
        <w:rPr>
          <w:w w:val="105"/>
          <w:sz w:val="21"/>
        </w:rPr>
        <w:t>or in</w:t>
      </w:r>
      <w:r>
        <w:rPr>
          <w:spacing w:val="5"/>
          <w:w w:val="105"/>
          <w:sz w:val="21"/>
        </w:rPr>
        <w:t> </w:t>
      </w:r>
      <w:r>
        <w:rPr>
          <w:spacing w:val="-3"/>
          <w:w w:val="105"/>
          <w:sz w:val="21"/>
        </w:rPr>
        <w:t>mediation.</w:t>
      </w:r>
    </w:p>
    <w:p>
      <w:pPr>
        <w:pStyle w:val="Heading7"/>
        <w:spacing w:before="162"/>
      </w:pPr>
      <w:r>
        <w:rPr>
          <w:color w:val="58595B"/>
          <w:w w:val="115"/>
        </w:rPr>
        <w:t>Exclusion of Farming and Rural Activity Zones</w:t>
      </w:r>
    </w:p>
    <w:p>
      <w:pPr>
        <w:pStyle w:val="ListParagraph"/>
        <w:numPr>
          <w:ilvl w:val="1"/>
          <w:numId w:val="16"/>
        </w:numPr>
        <w:tabs>
          <w:tab w:pos="2380" w:val="left" w:leader="none"/>
          <w:tab w:pos="2381" w:val="left" w:leader="none"/>
        </w:tabs>
        <w:spacing w:line="242" w:lineRule="auto" w:before="142" w:after="0"/>
        <w:ind w:left="2381" w:right="1598" w:hanging="794"/>
        <w:jc w:val="left"/>
        <w:rPr>
          <w:sz w:val="21"/>
        </w:rPr>
      </w:pPr>
      <w:r>
        <w:rPr>
          <w:sz w:val="21"/>
        </w:rPr>
        <w:t>While amenity and property damage </w:t>
      </w:r>
      <w:r>
        <w:rPr>
          <w:spacing w:val="-3"/>
          <w:sz w:val="21"/>
        </w:rPr>
        <w:t>may prove problematic for </w:t>
      </w:r>
      <w:r>
        <w:rPr>
          <w:sz w:val="21"/>
        </w:rPr>
        <w:t>neighbours close </w:t>
      </w:r>
      <w:r>
        <w:rPr>
          <w:spacing w:val="-3"/>
          <w:sz w:val="21"/>
        </w:rPr>
        <w:t>to </w:t>
      </w:r>
      <w:r>
        <w:rPr>
          <w:sz w:val="21"/>
        </w:rPr>
        <w:t>each other in urban </w:t>
      </w:r>
      <w:r>
        <w:rPr>
          <w:spacing w:val="-3"/>
          <w:sz w:val="21"/>
        </w:rPr>
        <w:t>areas, land predominantly </w:t>
      </w:r>
      <w:r>
        <w:rPr>
          <w:sz w:val="21"/>
        </w:rPr>
        <w:t>used </w:t>
      </w:r>
      <w:r>
        <w:rPr>
          <w:spacing w:val="-3"/>
          <w:sz w:val="21"/>
        </w:rPr>
        <w:t>for  farming  </w:t>
      </w:r>
      <w:r>
        <w:rPr>
          <w:sz w:val="21"/>
        </w:rPr>
        <w:t>and </w:t>
      </w:r>
      <w:r>
        <w:rPr>
          <w:spacing w:val="-3"/>
          <w:sz w:val="21"/>
        </w:rPr>
        <w:t>agricultural</w:t>
      </w:r>
      <w:r>
        <w:rPr>
          <w:spacing w:val="41"/>
          <w:sz w:val="21"/>
        </w:rPr>
        <w:t> </w:t>
      </w:r>
      <w:r>
        <w:rPr>
          <w:sz w:val="21"/>
        </w:rPr>
        <w:t>purposes </w:t>
      </w:r>
      <w:r>
        <w:rPr>
          <w:spacing w:val="-3"/>
          <w:sz w:val="21"/>
        </w:rPr>
        <w:t>tends  to raise different kinds </w:t>
      </w:r>
      <w:r>
        <w:rPr>
          <w:sz w:val="21"/>
        </w:rPr>
        <w:t>of issues. Land holders  in  </w:t>
      </w:r>
      <w:r>
        <w:rPr>
          <w:spacing w:val="-3"/>
          <w:sz w:val="21"/>
        </w:rPr>
        <w:t>rural  areas  may  ‘want  </w:t>
      </w:r>
      <w:r>
        <w:rPr>
          <w:sz w:val="21"/>
        </w:rPr>
        <w:t>trees  on  their </w:t>
      </w:r>
      <w:r>
        <w:rPr>
          <w:spacing w:val="-3"/>
          <w:sz w:val="21"/>
        </w:rPr>
        <w:t>farms to shelter  farm  </w:t>
      </w:r>
      <w:r>
        <w:rPr>
          <w:sz w:val="21"/>
        </w:rPr>
        <w:t>stock and crops; </w:t>
      </w:r>
      <w:r>
        <w:rPr>
          <w:spacing w:val="-3"/>
          <w:sz w:val="21"/>
        </w:rPr>
        <w:t>control</w:t>
      </w:r>
      <w:r>
        <w:rPr>
          <w:spacing w:val="41"/>
          <w:sz w:val="21"/>
        </w:rPr>
        <w:t> </w:t>
      </w:r>
      <w:r>
        <w:rPr>
          <w:sz w:val="21"/>
        </w:rPr>
        <w:t>soil </w:t>
      </w:r>
      <w:r>
        <w:rPr>
          <w:spacing w:val="-3"/>
          <w:sz w:val="21"/>
        </w:rPr>
        <w:t>erosion  </w:t>
      </w:r>
      <w:r>
        <w:rPr>
          <w:sz w:val="21"/>
        </w:rPr>
        <w:t>and dryland salinity; </w:t>
      </w:r>
      <w:r>
        <w:rPr>
          <w:spacing w:val="-3"/>
          <w:sz w:val="21"/>
        </w:rPr>
        <w:t>enhance </w:t>
      </w:r>
      <w:r>
        <w:rPr>
          <w:sz w:val="21"/>
        </w:rPr>
        <w:t>their property values; </w:t>
      </w:r>
      <w:r>
        <w:rPr>
          <w:spacing w:val="-3"/>
          <w:sz w:val="21"/>
        </w:rPr>
        <w:t>and, </w:t>
      </w:r>
      <w:r>
        <w:rPr>
          <w:sz w:val="21"/>
        </w:rPr>
        <w:t>if at </w:t>
      </w:r>
      <w:r>
        <w:rPr>
          <w:spacing w:val="-3"/>
          <w:sz w:val="21"/>
        </w:rPr>
        <w:t>all possible, generate alternative sources </w:t>
      </w:r>
      <w:r>
        <w:rPr>
          <w:sz w:val="21"/>
        </w:rPr>
        <w:t>of </w:t>
      </w:r>
      <w:r>
        <w:rPr>
          <w:spacing w:val="-6"/>
          <w:sz w:val="21"/>
        </w:rPr>
        <w:t>income’.</w:t>
      </w:r>
      <w:r>
        <w:rPr>
          <w:spacing w:val="-6"/>
          <w:position w:val="7"/>
          <w:sz w:val="12"/>
        </w:rPr>
        <w:t>126</w:t>
      </w:r>
    </w:p>
    <w:p>
      <w:pPr>
        <w:pStyle w:val="BodyText"/>
        <w:spacing w:before="6"/>
        <w:ind w:left="2381"/>
      </w:pPr>
      <w:r>
        <w:rPr>
          <w:w w:val="105"/>
        </w:rPr>
        <w:t>Baw Baw Shire Council noted that:</w:t>
      </w: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3728;mso-wrap-distance-left:0;mso-wrap-distance-right:0" from="79.370102pt,12.136179pt" to="515.905102pt,12.136179pt" stroked="true" strokeweight="1pt" strokecolor="#c9d2cb">
            <v:stroke dashstyle="solid"/>
            <w10:wrap type="topAndBottom"/>
          </v:line>
        </w:pict>
      </w:r>
    </w:p>
    <w:p>
      <w:pPr>
        <w:pStyle w:val="ListParagraph"/>
        <w:numPr>
          <w:ilvl w:val="0"/>
          <w:numId w:val="51"/>
        </w:numPr>
        <w:tabs>
          <w:tab w:pos="2380" w:val="left" w:leader="none"/>
          <w:tab w:pos="2382" w:val="left" w:leader="none"/>
        </w:tabs>
        <w:spacing w:line="240" w:lineRule="auto" w:before="117" w:after="0"/>
        <w:ind w:left="2381" w:right="1717" w:hanging="794"/>
        <w:jc w:val="left"/>
        <w:rPr>
          <w:sz w:val="13"/>
        </w:rPr>
      </w:pPr>
      <w:r>
        <w:rPr>
          <w:w w:val="105"/>
          <w:sz w:val="13"/>
        </w:rPr>
        <w:t>In this case the Court held ‘we are satisfied that the zoning, although not using the word residential, is, in fact, a zone of a residential character and thus, in that regard, the Court does have jurisdiction to deal with this application’: see </w:t>
      </w:r>
      <w:r>
        <w:rPr>
          <w:i/>
          <w:w w:val="105"/>
          <w:sz w:val="13"/>
        </w:rPr>
        <w:t>Aaron v Haynes </w:t>
      </w:r>
      <w:r>
        <w:rPr>
          <w:w w:val="105"/>
          <w:sz w:val="13"/>
        </w:rPr>
        <w:t>[2007] NSWLEC 294 [10]-[11].</w:t>
      </w:r>
    </w:p>
    <w:p>
      <w:pPr>
        <w:pStyle w:val="ListParagraph"/>
        <w:numPr>
          <w:ilvl w:val="0"/>
          <w:numId w:val="51"/>
        </w:numPr>
        <w:tabs>
          <w:tab w:pos="2380" w:val="left" w:leader="none"/>
          <w:tab w:pos="2382" w:val="left" w:leader="none"/>
        </w:tabs>
        <w:spacing w:line="240" w:lineRule="auto" w:before="4" w:after="0"/>
        <w:ind w:left="2381" w:right="0" w:hanging="794"/>
        <w:jc w:val="left"/>
        <w:rPr>
          <w:sz w:val="13"/>
        </w:rPr>
      </w:pPr>
      <w:r>
        <w:rPr>
          <w:w w:val="105"/>
          <w:sz w:val="13"/>
        </w:rPr>
        <w:t>For,</w:t>
      </w:r>
      <w:r>
        <w:rPr>
          <w:spacing w:val="4"/>
          <w:w w:val="105"/>
          <w:sz w:val="13"/>
        </w:rPr>
        <w:t> </w:t>
      </w:r>
      <w:r>
        <w:rPr>
          <w:w w:val="105"/>
          <w:sz w:val="13"/>
        </w:rPr>
        <w:t>eg,</w:t>
      </w:r>
      <w:r>
        <w:rPr>
          <w:spacing w:val="5"/>
          <w:w w:val="105"/>
          <w:sz w:val="13"/>
        </w:rPr>
        <w:t> </w:t>
      </w:r>
      <w:r>
        <w:rPr>
          <w:w w:val="105"/>
          <w:sz w:val="13"/>
        </w:rPr>
        <w:t>land</w:t>
      </w:r>
      <w:r>
        <w:rPr>
          <w:spacing w:val="4"/>
          <w:w w:val="105"/>
          <w:sz w:val="13"/>
        </w:rPr>
        <w:t> </w:t>
      </w:r>
      <w:r>
        <w:rPr>
          <w:w w:val="105"/>
          <w:sz w:val="13"/>
        </w:rPr>
        <w:t>that</w:t>
      </w:r>
      <w:r>
        <w:rPr>
          <w:spacing w:val="5"/>
          <w:w w:val="105"/>
          <w:sz w:val="13"/>
        </w:rPr>
        <w:t> </w:t>
      </w:r>
      <w:r>
        <w:rPr>
          <w:w w:val="105"/>
          <w:sz w:val="13"/>
        </w:rPr>
        <w:t>is</w:t>
      </w:r>
      <w:r>
        <w:rPr>
          <w:spacing w:val="4"/>
          <w:w w:val="105"/>
          <w:sz w:val="13"/>
        </w:rPr>
        <w:t> </w:t>
      </w:r>
      <w:r>
        <w:rPr>
          <w:w w:val="105"/>
          <w:sz w:val="13"/>
        </w:rPr>
        <w:t>held</w:t>
      </w:r>
      <w:r>
        <w:rPr>
          <w:spacing w:val="5"/>
          <w:w w:val="105"/>
          <w:sz w:val="13"/>
        </w:rPr>
        <w:t> </w:t>
      </w:r>
      <w:r>
        <w:rPr>
          <w:w w:val="105"/>
          <w:sz w:val="13"/>
        </w:rPr>
        <w:t>under</w:t>
      </w:r>
      <w:r>
        <w:rPr>
          <w:spacing w:val="4"/>
          <w:w w:val="105"/>
          <w:sz w:val="13"/>
        </w:rPr>
        <w:t> </w:t>
      </w:r>
      <w:r>
        <w:rPr>
          <w:w w:val="105"/>
          <w:sz w:val="13"/>
        </w:rPr>
        <w:t>a</w:t>
      </w:r>
      <w:r>
        <w:rPr>
          <w:spacing w:val="5"/>
          <w:w w:val="105"/>
          <w:sz w:val="13"/>
        </w:rPr>
        <w:t> </w:t>
      </w:r>
      <w:r>
        <w:rPr>
          <w:w w:val="105"/>
          <w:sz w:val="13"/>
        </w:rPr>
        <w:t>licence</w:t>
      </w:r>
      <w:r>
        <w:rPr>
          <w:spacing w:val="4"/>
          <w:w w:val="105"/>
          <w:sz w:val="13"/>
        </w:rPr>
        <w:t> </w:t>
      </w:r>
      <w:r>
        <w:rPr>
          <w:w w:val="105"/>
          <w:sz w:val="13"/>
        </w:rPr>
        <w:t>issued</w:t>
      </w:r>
      <w:r>
        <w:rPr>
          <w:spacing w:val="5"/>
          <w:w w:val="105"/>
          <w:sz w:val="13"/>
        </w:rPr>
        <w:t> </w:t>
      </w:r>
      <w:r>
        <w:rPr>
          <w:w w:val="105"/>
          <w:sz w:val="13"/>
        </w:rPr>
        <w:t>pursuant</w:t>
      </w:r>
      <w:r>
        <w:rPr>
          <w:spacing w:val="4"/>
          <w:w w:val="105"/>
          <w:sz w:val="13"/>
        </w:rPr>
        <w:t> </w:t>
      </w:r>
      <w:r>
        <w:rPr>
          <w:w w:val="105"/>
          <w:sz w:val="13"/>
        </w:rPr>
        <w:t>to</w:t>
      </w:r>
      <w:r>
        <w:rPr>
          <w:spacing w:val="5"/>
          <w:w w:val="105"/>
          <w:sz w:val="13"/>
        </w:rPr>
        <w:t> </w:t>
      </w:r>
      <w:r>
        <w:rPr>
          <w:w w:val="105"/>
          <w:sz w:val="13"/>
        </w:rPr>
        <w:t>the</w:t>
      </w:r>
      <w:r>
        <w:rPr>
          <w:spacing w:val="4"/>
          <w:w w:val="105"/>
          <w:sz w:val="13"/>
        </w:rPr>
        <w:t> </w:t>
      </w:r>
      <w:r>
        <w:rPr>
          <w:i/>
          <w:w w:val="105"/>
          <w:sz w:val="13"/>
        </w:rPr>
        <w:t>Victorian</w:t>
      </w:r>
      <w:r>
        <w:rPr>
          <w:i/>
          <w:spacing w:val="5"/>
          <w:w w:val="105"/>
          <w:sz w:val="13"/>
        </w:rPr>
        <w:t> </w:t>
      </w:r>
      <w:r>
        <w:rPr>
          <w:i/>
          <w:w w:val="105"/>
          <w:sz w:val="13"/>
        </w:rPr>
        <w:t>Plantations</w:t>
      </w:r>
      <w:r>
        <w:rPr>
          <w:i/>
          <w:spacing w:val="4"/>
          <w:w w:val="105"/>
          <w:sz w:val="13"/>
        </w:rPr>
        <w:t> </w:t>
      </w:r>
      <w:r>
        <w:rPr>
          <w:i/>
          <w:w w:val="105"/>
          <w:sz w:val="13"/>
        </w:rPr>
        <w:t>Corporation</w:t>
      </w:r>
      <w:r>
        <w:rPr>
          <w:i/>
          <w:spacing w:val="5"/>
          <w:w w:val="105"/>
          <w:sz w:val="13"/>
        </w:rPr>
        <w:t> </w:t>
      </w:r>
      <w:r>
        <w:rPr>
          <w:i/>
          <w:w w:val="105"/>
          <w:sz w:val="13"/>
        </w:rPr>
        <w:t>Act</w:t>
      </w:r>
      <w:r>
        <w:rPr>
          <w:i/>
          <w:spacing w:val="4"/>
          <w:w w:val="105"/>
          <w:sz w:val="13"/>
        </w:rPr>
        <w:t> </w:t>
      </w:r>
      <w:r>
        <w:rPr>
          <w:i/>
          <w:w w:val="105"/>
          <w:sz w:val="13"/>
        </w:rPr>
        <w:t>1993</w:t>
      </w:r>
      <w:r>
        <w:rPr>
          <w:i/>
          <w:spacing w:val="5"/>
          <w:w w:val="105"/>
          <w:sz w:val="13"/>
        </w:rPr>
        <w:t> </w:t>
      </w:r>
      <w:r>
        <w:rPr>
          <w:spacing w:val="2"/>
          <w:w w:val="105"/>
          <w:sz w:val="13"/>
        </w:rPr>
        <w:t>(Vic).</w:t>
      </w:r>
    </w:p>
    <w:p>
      <w:pPr>
        <w:pStyle w:val="ListParagraph"/>
        <w:numPr>
          <w:ilvl w:val="0"/>
          <w:numId w:val="51"/>
        </w:numPr>
        <w:tabs>
          <w:tab w:pos="2381" w:val="left" w:leader="none"/>
          <w:tab w:pos="2382" w:val="left" w:leader="none"/>
        </w:tabs>
        <w:spacing w:line="240" w:lineRule="auto" w:before="1" w:after="0"/>
        <w:ind w:left="2381" w:right="1728" w:hanging="794"/>
        <w:jc w:val="left"/>
        <w:rPr>
          <w:sz w:val="13"/>
        </w:rPr>
      </w:pPr>
      <w:r>
        <w:rPr>
          <w:i/>
          <w:w w:val="105"/>
          <w:sz w:val="13"/>
        </w:rPr>
        <w:t>Trees (Disputes Between Neighbours) Act 2006 </w:t>
      </w:r>
      <w:r>
        <w:rPr>
          <w:spacing w:val="3"/>
          <w:w w:val="105"/>
          <w:sz w:val="13"/>
        </w:rPr>
        <w:t>(NSW) </w:t>
      </w:r>
      <w:r>
        <w:rPr>
          <w:w w:val="105"/>
          <w:sz w:val="13"/>
        </w:rPr>
        <w:t>s </w:t>
      </w:r>
      <w:r>
        <w:rPr>
          <w:spacing w:val="2"/>
          <w:w w:val="105"/>
          <w:sz w:val="13"/>
        </w:rPr>
        <w:t>4(1); </w:t>
      </w:r>
      <w:r>
        <w:rPr>
          <w:i/>
          <w:w w:val="105"/>
          <w:sz w:val="13"/>
        </w:rPr>
        <w:t>Neighbourhood Disputes (Dividing Fences and Trees) Act </w:t>
      </w:r>
      <w:r>
        <w:rPr>
          <w:i/>
          <w:spacing w:val="-4"/>
          <w:w w:val="105"/>
          <w:sz w:val="13"/>
        </w:rPr>
        <w:t>2011  </w:t>
      </w:r>
      <w:r>
        <w:rPr>
          <w:i/>
          <w:spacing w:val="3"/>
          <w:w w:val="105"/>
          <w:sz w:val="13"/>
        </w:rPr>
        <w:t>(</w:t>
      </w:r>
      <w:r>
        <w:rPr>
          <w:spacing w:val="3"/>
          <w:w w:val="105"/>
          <w:sz w:val="13"/>
        </w:rPr>
        <w:t>Qld) </w:t>
      </w:r>
      <w:r>
        <w:rPr>
          <w:w w:val="105"/>
          <w:sz w:val="13"/>
        </w:rPr>
        <w:t>s </w:t>
      </w:r>
      <w:r>
        <w:rPr>
          <w:spacing w:val="2"/>
          <w:w w:val="105"/>
          <w:sz w:val="13"/>
        </w:rPr>
        <w:t>42(4)  </w:t>
      </w:r>
      <w:r>
        <w:rPr>
          <w:spacing w:val="3"/>
          <w:w w:val="105"/>
          <w:sz w:val="13"/>
        </w:rPr>
        <w:t>(a); </w:t>
      </w:r>
      <w:r>
        <w:rPr>
          <w:i/>
          <w:w w:val="105"/>
          <w:sz w:val="13"/>
        </w:rPr>
        <w:t>Neighbourhood Disputes About Plants Act </w:t>
      </w:r>
      <w:r>
        <w:rPr>
          <w:i/>
          <w:spacing w:val="-4"/>
          <w:w w:val="105"/>
          <w:sz w:val="13"/>
        </w:rPr>
        <w:t>2017 </w:t>
      </w:r>
      <w:r>
        <w:rPr>
          <w:w w:val="105"/>
          <w:sz w:val="13"/>
        </w:rPr>
        <w:t>(Tas) ss </w:t>
      </w:r>
      <w:r>
        <w:rPr>
          <w:spacing w:val="4"/>
          <w:w w:val="105"/>
          <w:sz w:val="13"/>
        </w:rPr>
        <w:t>5(3)(a),</w:t>
      </w:r>
      <w:r>
        <w:rPr>
          <w:spacing w:val="20"/>
          <w:w w:val="105"/>
          <w:sz w:val="13"/>
        </w:rPr>
        <w:t> </w:t>
      </w:r>
      <w:r>
        <w:rPr>
          <w:spacing w:val="4"/>
          <w:w w:val="105"/>
          <w:sz w:val="13"/>
        </w:rPr>
        <w:t>9(i),(j).</w:t>
      </w:r>
    </w:p>
    <w:p>
      <w:pPr>
        <w:pStyle w:val="ListParagraph"/>
        <w:numPr>
          <w:ilvl w:val="0"/>
          <w:numId w:val="51"/>
        </w:numPr>
        <w:tabs>
          <w:tab w:pos="2381" w:val="left" w:leader="none"/>
          <w:tab w:pos="2382" w:val="left" w:leader="none"/>
        </w:tabs>
        <w:spacing w:line="240" w:lineRule="auto" w:before="3" w:after="0"/>
        <w:ind w:left="2381" w:right="0" w:hanging="794"/>
        <w:jc w:val="left"/>
        <w:rPr>
          <w:sz w:val="13"/>
        </w:rPr>
      </w:pPr>
      <w:r>
        <w:rPr>
          <w:w w:val="105"/>
          <w:sz w:val="13"/>
        </w:rPr>
        <w:t>Submission 28 </w:t>
      </w:r>
      <w:r>
        <w:rPr>
          <w:spacing w:val="3"/>
          <w:w w:val="105"/>
          <w:sz w:val="13"/>
        </w:rPr>
        <w:t>(HVP</w:t>
      </w:r>
      <w:r>
        <w:rPr>
          <w:spacing w:val="13"/>
          <w:w w:val="105"/>
          <w:sz w:val="13"/>
        </w:rPr>
        <w:t> </w:t>
      </w:r>
      <w:r>
        <w:rPr>
          <w:w w:val="105"/>
          <w:sz w:val="13"/>
        </w:rPr>
        <w:t>Plantations).</w:t>
      </w:r>
    </w:p>
    <w:p>
      <w:pPr>
        <w:pStyle w:val="ListParagraph"/>
        <w:numPr>
          <w:ilvl w:val="0"/>
          <w:numId w:val="51"/>
        </w:numPr>
        <w:tabs>
          <w:tab w:pos="2381" w:val="left" w:leader="none"/>
          <w:tab w:pos="2382" w:val="left" w:leader="none"/>
        </w:tabs>
        <w:spacing w:line="240" w:lineRule="auto" w:before="1" w:after="0"/>
        <w:ind w:left="2381" w:right="1617" w:hanging="794"/>
        <w:jc w:val="left"/>
        <w:rPr>
          <w:sz w:val="13"/>
        </w:rPr>
      </w:pPr>
      <w:r>
        <w:rPr>
          <w:w w:val="105"/>
          <w:sz w:val="13"/>
        </w:rPr>
        <w:t>The Code is made by the Minister for Environment and Climate Change under Part 5 of the </w:t>
      </w:r>
      <w:r>
        <w:rPr>
          <w:i/>
          <w:w w:val="105"/>
          <w:sz w:val="13"/>
        </w:rPr>
        <w:t>Conservation Forests and Lands Act 1987 </w:t>
      </w:r>
      <w:r>
        <w:rPr>
          <w:spacing w:val="2"/>
          <w:w w:val="105"/>
          <w:sz w:val="13"/>
        </w:rPr>
        <w:t>(Vic).   </w:t>
      </w:r>
      <w:r>
        <w:rPr>
          <w:w w:val="105"/>
          <w:sz w:val="13"/>
        </w:rPr>
        <w:t>The Code applies to the planning and conducting of all commercial timber production and timber harvesting operations on both public and private land in</w:t>
      </w:r>
      <w:r>
        <w:rPr>
          <w:spacing w:val="13"/>
          <w:w w:val="105"/>
          <w:sz w:val="13"/>
        </w:rPr>
        <w:t> </w:t>
      </w:r>
      <w:r>
        <w:rPr>
          <w:w w:val="105"/>
          <w:sz w:val="13"/>
        </w:rPr>
        <w:t>Victoria.</w:t>
      </w:r>
    </w:p>
    <w:p>
      <w:pPr>
        <w:pStyle w:val="ListParagraph"/>
        <w:numPr>
          <w:ilvl w:val="0"/>
          <w:numId w:val="51"/>
        </w:numPr>
        <w:tabs>
          <w:tab w:pos="2381" w:val="left" w:leader="none"/>
          <w:tab w:pos="2382" w:val="left" w:leader="none"/>
        </w:tabs>
        <w:spacing w:line="240" w:lineRule="auto" w:before="4" w:after="0"/>
        <w:ind w:left="2381" w:right="1731" w:hanging="794"/>
        <w:jc w:val="left"/>
        <w:rPr>
          <w:sz w:val="13"/>
        </w:rPr>
      </w:pPr>
      <w:r>
        <w:rPr>
          <w:i/>
          <w:w w:val="105"/>
          <w:sz w:val="13"/>
        </w:rPr>
        <w:t>Trees (Disputes Between Neighbours) Act 2006 </w:t>
      </w:r>
      <w:r>
        <w:rPr>
          <w:spacing w:val="3"/>
          <w:w w:val="105"/>
          <w:sz w:val="13"/>
        </w:rPr>
        <w:t>(NSW) </w:t>
      </w:r>
      <w:r>
        <w:rPr>
          <w:w w:val="105"/>
          <w:sz w:val="13"/>
        </w:rPr>
        <w:t>s </w:t>
      </w:r>
      <w:r>
        <w:rPr>
          <w:spacing w:val="2"/>
          <w:w w:val="105"/>
          <w:sz w:val="13"/>
        </w:rPr>
        <w:t>4(1); </w:t>
      </w:r>
      <w:r>
        <w:rPr>
          <w:i/>
          <w:w w:val="105"/>
          <w:sz w:val="13"/>
        </w:rPr>
        <w:t>Neighbourhood Disputes (Dividing Fences and Trees) Act </w:t>
      </w:r>
      <w:r>
        <w:rPr>
          <w:i/>
          <w:spacing w:val="-4"/>
          <w:w w:val="105"/>
          <w:sz w:val="13"/>
        </w:rPr>
        <w:t>2011  </w:t>
      </w:r>
      <w:r>
        <w:rPr>
          <w:spacing w:val="2"/>
          <w:w w:val="105"/>
          <w:sz w:val="13"/>
        </w:rPr>
        <w:t>(Qld) </w:t>
      </w:r>
      <w:r>
        <w:rPr>
          <w:w w:val="105"/>
          <w:sz w:val="13"/>
        </w:rPr>
        <w:t>s </w:t>
      </w:r>
      <w:r>
        <w:rPr>
          <w:spacing w:val="2"/>
          <w:w w:val="105"/>
          <w:sz w:val="13"/>
        </w:rPr>
        <w:t>42(4)  </w:t>
      </w:r>
      <w:r>
        <w:rPr>
          <w:spacing w:val="3"/>
          <w:w w:val="105"/>
          <w:sz w:val="13"/>
        </w:rPr>
        <w:t>(a); </w:t>
      </w:r>
      <w:r>
        <w:rPr>
          <w:i/>
          <w:w w:val="105"/>
          <w:sz w:val="13"/>
        </w:rPr>
        <w:t>Neighbourhood Disputes About Plants Act </w:t>
      </w:r>
      <w:r>
        <w:rPr>
          <w:i/>
          <w:spacing w:val="-4"/>
          <w:w w:val="105"/>
          <w:sz w:val="13"/>
        </w:rPr>
        <w:t>2017 </w:t>
      </w:r>
      <w:r>
        <w:rPr>
          <w:w w:val="105"/>
          <w:sz w:val="13"/>
        </w:rPr>
        <w:t>(Tas) ss </w:t>
      </w:r>
      <w:r>
        <w:rPr>
          <w:spacing w:val="4"/>
          <w:w w:val="105"/>
          <w:sz w:val="13"/>
        </w:rPr>
        <w:t>5(3)(a),</w:t>
      </w:r>
      <w:r>
        <w:rPr>
          <w:spacing w:val="20"/>
          <w:w w:val="105"/>
          <w:sz w:val="13"/>
        </w:rPr>
        <w:t> </w:t>
      </w:r>
      <w:r>
        <w:rPr>
          <w:spacing w:val="4"/>
          <w:w w:val="105"/>
          <w:sz w:val="13"/>
        </w:rPr>
        <w:t>9(i),(j).</w:t>
      </w:r>
    </w:p>
    <w:p>
      <w:pPr>
        <w:pStyle w:val="ListParagraph"/>
        <w:numPr>
          <w:ilvl w:val="0"/>
          <w:numId w:val="51"/>
        </w:numPr>
        <w:tabs>
          <w:tab w:pos="2381" w:val="left" w:leader="none"/>
          <w:tab w:pos="2382" w:val="left" w:leader="none"/>
        </w:tabs>
        <w:spacing w:line="240" w:lineRule="auto" w:before="3" w:after="0"/>
        <w:ind w:left="2381" w:right="0" w:hanging="794"/>
        <w:jc w:val="left"/>
        <w:rPr>
          <w:sz w:val="13"/>
        </w:rPr>
      </w:pPr>
      <w:r>
        <w:rPr>
          <w:w w:val="105"/>
          <w:sz w:val="13"/>
        </w:rPr>
        <w:t>Confidential submission, Submission 28 </w:t>
      </w:r>
      <w:r>
        <w:rPr>
          <w:spacing w:val="3"/>
          <w:w w:val="105"/>
          <w:sz w:val="13"/>
        </w:rPr>
        <w:t>(HVP</w:t>
      </w:r>
      <w:r>
        <w:rPr>
          <w:spacing w:val="23"/>
          <w:w w:val="105"/>
          <w:sz w:val="13"/>
        </w:rPr>
        <w:t> </w:t>
      </w:r>
      <w:r>
        <w:rPr>
          <w:w w:val="105"/>
          <w:sz w:val="13"/>
        </w:rPr>
        <w:t>Plantations).</w:t>
      </w:r>
    </w:p>
    <w:p>
      <w:pPr>
        <w:pStyle w:val="ListParagraph"/>
        <w:numPr>
          <w:ilvl w:val="0"/>
          <w:numId w:val="51"/>
        </w:numPr>
        <w:tabs>
          <w:tab w:pos="2381" w:val="left" w:leader="none"/>
          <w:tab w:pos="2382" w:val="left" w:leader="none"/>
        </w:tabs>
        <w:spacing w:line="240" w:lineRule="auto" w:before="1" w:after="0"/>
        <w:ind w:left="2381" w:right="0" w:hanging="794"/>
        <w:jc w:val="left"/>
        <w:rPr>
          <w:sz w:val="13"/>
        </w:rPr>
      </w:pPr>
      <w:r>
        <w:rPr>
          <w:sz w:val="13"/>
        </w:rPr>
        <w:t>These</w:t>
      </w:r>
      <w:r>
        <w:rPr>
          <w:spacing w:val="7"/>
          <w:sz w:val="13"/>
        </w:rPr>
        <w:t> </w:t>
      </w:r>
      <w:r>
        <w:rPr>
          <w:spacing w:val="2"/>
          <w:sz w:val="13"/>
        </w:rPr>
        <w:t>Acts</w:t>
      </w:r>
      <w:r>
        <w:rPr>
          <w:spacing w:val="8"/>
          <w:sz w:val="13"/>
        </w:rPr>
        <w:t> </w:t>
      </w:r>
      <w:r>
        <w:rPr>
          <w:sz w:val="13"/>
        </w:rPr>
        <w:t>are</w:t>
      </w:r>
      <w:r>
        <w:rPr>
          <w:spacing w:val="7"/>
          <w:sz w:val="13"/>
        </w:rPr>
        <w:t> </w:t>
      </w:r>
      <w:r>
        <w:rPr>
          <w:sz w:val="13"/>
        </w:rPr>
        <w:t>often</w:t>
      </w:r>
      <w:r>
        <w:rPr>
          <w:spacing w:val="8"/>
          <w:sz w:val="13"/>
        </w:rPr>
        <w:t> </w:t>
      </w:r>
      <w:r>
        <w:rPr>
          <w:sz w:val="13"/>
        </w:rPr>
        <w:t>broader</w:t>
      </w:r>
      <w:r>
        <w:rPr>
          <w:spacing w:val="8"/>
          <w:sz w:val="13"/>
        </w:rPr>
        <w:t> </w:t>
      </w:r>
      <w:r>
        <w:rPr>
          <w:sz w:val="13"/>
        </w:rPr>
        <w:t>in</w:t>
      </w:r>
      <w:r>
        <w:rPr>
          <w:spacing w:val="7"/>
          <w:sz w:val="13"/>
        </w:rPr>
        <w:t> </w:t>
      </w:r>
      <w:r>
        <w:rPr>
          <w:sz w:val="13"/>
        </w:rPr>
        <w:t>their</w:t>
      </w:r>
      <w:r>
        <w:rPr>
          <w:spacing w:val="8"/>
          <w:sz w:val="13"/>
        </w:rPr>
        <w:t> </w:t>
      </w:r>
      <w:r>
        <w:rPr>
          <w:sz w:val="13"/>
        </w:rPr>
        <w:t>exclusions</w:t>
      </w:r>
      <w:r>
        <w:rPr>
          <w:spacing w:val="7"/>
          <w:sz w:val="13"/>
        </w:rPr>
        <w:t> </w:t>
      </w:r>
      <w:r>
        <w:rPr>
          <w:sz w:val="13"/>
        </w:rPr>
        <w:t>than</w:t>
      </w:r>
      <w:r>
        <w:rPr>
          <w:spacing w:val="8"/>
          <w:sz w:val="13"/>
        </w:rPr>
        <w:t> </w:t>
      </w:r>
      <w:r>
        <w:rPr>
          <w:sz w:val="13"/>
        </w:rPr>
        <w:t>is</w:t>
      </w:r>
      <w:r>
        <w:rPr>
          <w:spacing w:val="8"/>
          <w:sz w:val="13"/>
        </w:rPr>
        <w:t> </w:t>
      </w:r>
      <w:r>
        <w:rPr>
          <w:sz w:val="13"/>
        </w:rPr>
        <w:t>contemplated</w:t>
      </w:r>
      <w:r>
        <w:rPr>
          <w:spacing w:val="7"/>
          <w:sz w:val="13"/>
        </w:rPr>
        <w:t> </w:t>
      </w:r>
      <w:r>
        <w:rPr>
          <w:sz w:val="13"/>
        </w:rPr>
        <w:t>for</w:t>
      </w:r>
      <w:r>
        <w:rPr>
          <w:spacing w:val="8"/>
          <w:sz w:val="13"/>
        </w:rPr>
        <w:t> </w:t>
      </w:r>
      <w:r>
        <w:rPr>
          <w:sz w:val="13"/>
        </w:rPr>
        <w:t>the</w:t>
      </w:r>
      <w:r>
        <w:rPr>
          <w:spacing w:val="7"/>
          <w:sz w:val="13"/>
        </w:rPr>
        <w:t> </w:t>
      </w:r>
      <w:r>
        <w:rPr>
          <w:sz w:val="13"/>
        </w:rPr>
        <w:t>Victorian</w:t>
      </w:r>
      <w:r>
        <w:rPr>
          <w:spacing w:val="8"/>
          <w:sz w:val="13"/>
        </w:rPr>
        <w:t> </w:t>
      </w:r>
      <w:r>
        <w:rPr>
          <w:sz w:val="13"/>
        </w:rPr>
        <w:t>Act.</w:t>
      </w:r>
    </w:p>
    <w:p>
      <w:pPr>
        <w:pStyle w:val="ListParagraph"/>
        <w:numPr>
          <w:ilvl w:val="0"/>
          <w:numId w:val="51"/>
        </w:numPr>
        <w:tabs>
          <w:tab w:pos="2381" w:val="left" w:leader="none"/>
          <w:tab w:pos="2382" w:val="left" w:leader="none"/>
        </w:tabs>
        <w:spacing w:line="240" w:lineRule="auto" w:before="2" w:after="0"/>
        <w:ind w:left="2381" w:right="0" w:hanging="794"/>
        <w:jc w:val="left"/>
        <w:rPr>
          <w:sz w:val="13"/>
        </w:rPr>
      </w:pPr>
      <w:r>
        <w:rPr>
          <w:w w:val="105"/>
          <w:sz w:val="13"/>
        </w:rPr>
        <w:t>Submission 28 </w:t>
      </w:r>
      <w:r>
        <w:rPr>
          <w:spacing w:val="3"/>
          <w:w w:val="105"/>
          <w:sz w:val="13"/>
        </w:rPr>
        <w:t>(HVP</w:t>
      </w:r>
      <w:r>
        <w:rPr>
          <w:spacing w:val="13"/>
          <w:w w:val="105"/>
          <w:sz w:val="13"/>
        </w:rPr>
        <w:t> </w:t>
      </w:r>
      <w:r>
        <w:rPr>
          <w:w w:val="105"/>
          <w:sz w:val="13"/>
        </w:rPr>
        <w:t>Plantations).</w:t>
      </w:r>
    </w:p>
    <w:p>
      <w:pPr>
        <w:pStyle w:val="ListParagraph"/>
        <w:numPr>
          <w:ilvl w:val="0"/>
          <w:numId w:val="51"/>
        </w:numPr>
        <w:tabs>
          <w:tab w:pos="2381" w:val="left" w:leader="none"/>
          <w:tab w:pos="2382" w:val="left" w:leader="none"/>
        </w:tabs>
        <w:spacing w:line="240" w:lineRule="auto" w:before="1" w:after="0"/>
        <w:ind w:left="2381" w:right="1659" w:hanging="794"/>
        <w:jc w:val="left"/>
        <w:rPr>
          <w:sz w:val="13"/>
        </w:rPr>
      </w:pPr>
      <w:r>
        <w:rPr/>
        <w:pict>
          <v:shape style="position:absolute;margin-left:548.96051pt;margin-top:26.997467pt;width:13.2pt;height:14.25pt;mso-position-horizontal-relative:page;mso-position-vertical-relative:paragraph;z-index:5800" type="#_x0000_t202" filled="false" stroked="false">
            <v:textbox inset="0,0,0,0">
              <w:txbxContent>
                <w:p>
                  <w:pPr>
                    <w:spacing w:line="284" w:lineRule="exact" w:before="0"/>
                    <w:ind w:left="0" w:right="0" w:firstLine="0"/>
                    <w:jc w:val="left"/>
                    <w:rPr>
                      <w:b/>
                      <w:sz w:val="24"/>
                    </w:rPr>
                  </w:pPr>
                  <w:r>
                    <w:rPr>
                      <w:b/>
                      <w:color w:val="658464"/>
                      <w:spacing w:val="-2"/>
                      <w:w w:val="110"/>
                      <w:sz w:val="24"/>
                    </w:rPr>
                    <w:t>77</w:t>
                  </w:r>
                </w:p>
              </w:txbxContent>
            </v:textbox>
            <w10:wrap type="none"/>
          </v:shape>
        </w:pict>
      </w:r>
      <w:r>
        <w:rPr>
          <w:w w:val="105"/>
          <w:sz w:val="13"/>
        </w:rPr>
        <w:t>Otway Agroforestry Network, </w:t>
      </w:r>
      <w:r>
        <w:rPr>
          <w:i/>
          <w:w w:val="105"/>
          <w:sz w:val="13"/>
        </w:rPr>
        <w:t>Agroforestry: Multi-Purpose Tree Growing </w:t>
      </w:r>
      <w:r>
        <w:rPr>
          <w:w w:val="105"/>
          <w:sz w:val="13"/>
        </w:rPr>
        <w:t>(Web Page) </w:t>
      </w:r>
      <w:r>
        <w:rPr>
          <w:spacing w:val="2"/>
          <w:w w:val="105"/>
          <w:sz w:val="13"/>
        </w:rPr>
        <w:t>&lt;</w:t>
      </w:r>
      <w:hyperlink r:id="rId100">
        <w:r>
          <w:rPr>
            <w:spacing w:val="2"/>
            <w:w w:val="105"/>
            <w:sz w:val="13"/>
          </w:rPr>
          <w:t>http://www.oan.org.au/</w:t>
        </w:r>
      </w:hyperlink>
      <w:r>
        <w:rPr>
          <w:spacing w:val="2"/>
          <w:w w:val="105"/>
          <w:sz w:val="13"/>
        </w:rPr>
        <w:t>&gt;. </w:t>
      </w:r>
      <w:r>
        <w:rPr>
          <w:w w:val="105"/>
          <w:sz w:val="13"/>
        </w:rPr>
        <w:t>The Otway Agroforestry </w:t>
      </w:r>
      <w:r>
        <w:rPr>
          <w:spacing w:val="2"/>
          <w:w w:val="105"/>
          <w:sz w:val="13"/>
        </w:rPr>
        <w:t>Network </w:t>
      </w:r>
      <w:r>
        <w:rPr>
          <w:spacing w:val="3"/>
          <w:w w:val="105"/>
          <w:sz w:val="13"/>
        </w:rPr>
        <w:t>(OAN) </w:t>
      </w:r>
      <w:r>
        <w:rPr>
          <w:w w:val="105"/>
          <w:sz w:val="13"/>
        </w:rPr>
        <w:t>is a not-for-profit community organisation consisting of over 200 local farming families. The </w:t>
      </w:r>
      <w:r>
        <w:rPr>
          <w:spacing w:val="2"/>
          <w:w w:val="105"/>
          <w:sz w:val="13"/>
        </w:rPr>
        <w:t>Network </w:t>
      </w:r>
      <w:r>
        <w:rPr>
          <w:w w:val="105"/>
          <w:sz w:val="13"/>
        </w:rPr>
        <w:t>is aimed at exploring ‘how growing trees can make farming more environmentally sustainable and economically rewarding’. The </w:t>
      </w:r>
      <w:r>
        <w:rPr>
          <w:spacing w:val="2"/>
          <w:w w:val="105"/>
          <w:sz w:val="13"/>
        </w:rPr>
        <w:t>Network </w:t>
      </w:r>
      <w:r>
        <w:rPr>
          <w:w w:val="105"/>
          <w:sz w:val="13"/>
        </w:rPr>
        <w:t>does this through advocacy,</w:t>
      </w:r>
      <w:r>
        <w:rPr>
          <w:spacing w:val="9"/>
          <w:w w:val="105"/>
          <w:sz w:val="13"/>
        </w:rPr>
        <w:t> </w:t>
      </w:r>
      <w:r>
        <w:rPr>
          <w:w w:val="105"/>
          <w:sz w:val="13"/>
        </w:rPr>
        <w:t>education</w:t>
      </w:r>
      <w:r>
        <w:rPr>
          <w:spacing w:val="9"/>
          <w:w w:val="105"/>
          <w:sz w:val="13"/>
        </w:rPr>
        <w:t> </w:t>
      </w:r>
      <w:r>
        <w:rPr>
          <w:w w:val="105"/>
          <w:sz w:val="13"/>
        </w:rPr>
        <w:t>and</w:t>
      </w:r>
      <w:r>
        <w:rPr>
          <w:spacing w:val="10"/>
          <w:w w:val="105"/>
          <w:sz w:val="13"/>
        </w:rPr>
        <w:t> </w:t>
      </w:r>
      <w:r>
        <w:rPr>
          <w:w w:val="105"/>
          <w:sz w:val="13"/>
        </w:rPr>
        <w:t>information-sharing</w:t>
      </w:r>
      <w:r>
        <w:rPr>
          <w:spacing w:val="9"/>
          <w:w w:val="105"/>
          <w:sz w:val="13"/>
        </w:rPr>
        <w:t> </w:t>
      </w:r>
      <w:r>
        <w:rPr>
          <w:w w:val="105"/>
          <w:sz w:val="13"/>
        </w:rPr>
        <w:t>through</w:t>
      </w:r>
      <w:r>
        <w:rPr>
          <w:spacing w:val="10"/>
          <w:w w:val="105"/>
          <w:sz w:val="13"/>
        </w:rPr>
        <w:t> </w:t>
      </w:r>
      <w:r>
        <w:rPr>
          <w:w w:val="105"/>
          <w:sz w:val="13"/>
        </w:rPr>
        <w:t>its</w:t>
      </w:r>
      <w:r>
        <w:rPr>
          <w:spacing w:val="9"/>
          <w:w w:val="105"/>
          <w:sz w:val="13"/>
        </w:rPr>
        <w:t> </w:t>
      </w:r>
      <w:r>
        <w:rPr>
          <w:w w:val="105"/>
          <w:sz w:val="13"/>
        </w:rPr>
        <w:t>network</w:t>
      </w:r>
      <w:r>
        <w:rPr>
          <w:spacing w:val="9"/>
          <w:w w:val="105"/>
          <w:sz w:val="13"/>
        </w:rPr>
        <w:t> </w:t>
      </w:r>
      <w:r>
        <w:rPr>
          <w:w w:val="105"/>
          <w:sz w:val="13"/>
        </w:rPr>
        <w:t>of</w:t>
      </w:r>
      <w:r>
        <w:rPr>
          <w:spacing w:val="10"/>
          <w:w w:val="105"/>
          <w:sz w:val="13"/>
        </w:rPr>
        <w:t> </w:t>
      </w:r>
      <w:r>
        <w:rPr>
          <w:w w:val="105"/>
          <w:sz w:val="13"/>
        </w:rPr>
        <w:t>members:</w:t>
      </w:r>
      <w:r>
        <w:rPr>
          <w:spacing w:val="9"/>
          <w:w w:val="105"/>
          <w:sz w:val="13"/>
        </w:rPr>
        <w:t> </w:t>
      </w:r>
      <w:r>
        <w:rPr>
          <w:w w:val="105"/>
          <w:sz w:val="13"/>
        </w:rPr>
        <w:t>Otway</w:t>
      </w:r>
      <w:r>
        <w:rPr>
          <w:spacing w:val="10"/>
          <w:w w:val="105"/>
          <w:sz w:val="13"/>
        </w:rPr>
        <w:t> </w:t>
      </w:r>
      <w:r>
        <w:rPr>
          <w:w w:val="105"/>
          <w:sz w:val="13"/>
        </w:rPr>
        <w:t>Agroforestry</w:t>
      </w:r>
      <w:r>
        <w:rPr>
          <w:spacing w:val="9"/>
          <w:w w:val="105"/>
          <w:sz w:val="13"/>
        </w:rPr>
        <w:t> </w:t>
      </w:r>
      <w:r>
        <w:rPr>
          <w:spacing w:val="2"/>
          <w:w w:val="105"/>
          <w:sz w:val="13"/>
        </w:rPr>
        <w:t>Network,</w:t>
      </w:r>
      <w:r>
        <w:rPr>
          <w:spacing w:val="9"/>
          <w:w w:val="105"/>
          <w:sz w:val="13"/>
        </w:rPr>
        <w:t> </w:t>
      </w:r>
      <w:r>
        <w:rPr>
          <w:w w:val="105"/>
          <w:sz w:val="13"/>
        </w:rPr>
        <w:t>Who</w:t>
      </w:r>
      <w:r>
        <w:rPr>
          <w:spacing w:val="10"/>
          <w:w w:val="105"/>
          <w:sz w:val="13"/>
        </w:rPr>
        <w:t> </w:t>
      </w:r>
      <w:r>
        <w:rPr>
          <w:w w:val="105"/>
          <w:sz w:val="13"/>
        </w:rPr>
        <w:t>are</w:t>
      </w:r>
      <w:r>
        <w:rPr>
          <w:spacing w:val="9"/>
          <w:w w:val="105"/>
          <w:sz w:val="13"/>
        </w:rPr>
        <w:t> </w:t>
      </w:r>
      <w:r>
        <w:rPr>
          <w:w w:val="105"/>
          <w:sz w:val="13"/>
        </w:rPr>
        <w:t>OAN?</w:t>
      </w:r>
      <w:r>
        <w:rPr>
          <w:spacing w:val="10"/>
          <w:w w:val="105"/>
          <w:sz w:val="13"/>
        </w:rPr>
        <w:t> </w:t>
      </w:r>
      <w:r>
        <w:rPr>
          <w:w w:val="105"/>
          <w:sz w:val="13"/>
        </w:rPr>
        <w:t>(Web</w:t>
      </w:r>
      <w:r>
        <w:rPr>
          <w:spacing w:val="9"/>
          <w:w w:val="105"/>
          <w:sz w:val="13"/>
        </w:rPr>
        <w:t> </w:t>
      </w:r>
      <w:r>
        <w:rPr>
          <w:w w:val="105"/>
          <w:sz w:val="13"/>
        </w:rPr>
        <w:t>Page)</w:t>
      </w:r>
    </w:p>
    <w:p>
      <w:pPr>
        <w:spacing w:before="5"/>
        <w:ind w:left="2381" w:right="0" w:firstLine="0"/>
        <w:jc w:val="left"/>
        <w:rPr>
          <w:sz w:val="13"/>
        </w:rPr>
      </w:pPr>
      <w:r>
        <w:rPr>
          <w:w w:val="105"/>
          <w:sz w:val="13"/>
        </w:rPr>
        <w:t>&lt;</w:t>
      </w:r>
      <w:hyperlink r:id="rId101">
        <w:r>
          <w:rPr>
            <w:w w:val="105"/>
            <w:sz w:val="13"/>
          </w:rPr>
          <w:t>http://www.oan.org.au/Main.asp?_=About%20Us</w:t>
        </w:r>
      </w:hyperlink>
      <w:r>
        <w:rPr>
          <w:w w:val="105"/>
          <w:sz w:val="13"/>
        </w:rPr>
        <w:t>&gt;.</w:t>
      </w:r>
    </w:p>
    <w:p>
      <w:pPr>
        <w:spacing w:after="0"/>
        <w:jc w:val="left"/>
        <w:rPr>
          <w:sz w:val="13"/>
        </w:rPr>
        <w:sectPr>
          <w:pgSz w:w="11910" w:h="16840"/>
          <w:pgMar w:header="808" w:footer="0" w:top="1360" w:bottom="280" w:left="0" w:right="0"/>
        </w:sectPr>
      </w:pPr>
    </w:p>
    <w:p>
      <w:pPr>
        <w:pStyle w:val="BodyText"/>
        <w:spacing w:before="11"/>
        <w:rPr>
          <w:sz w:val="22"/>
        </w:rPr>
      </w:pPr>
    </w:p>
    <w:p>
      <w:pPr>
        <w:spacing w:line="254" w:lineRule="auto" w:before="92"/>
        <w:ind w:left="2834" w:right="1655" w:firstLine="0"/>
        <w:jc w:val="both"/>
        <w:rPr>
          <w:sz w:val="11"/>
        </w:rPr>
      </w:pPr>
      <w:r>
        <w:rPr>
          <w:sz w:val="20"/>
        </w:rPr>
        <w:t>Farmers have different motivations to urban land users. A person in a metropolitan area may have great concern over the removal of a 500 year old red gum. For a farmer those concerns may be overridden by practical considerations and the need to use the land for agricultural purposes.</w:t>
      </w:r>
      <w:r>
        <w:rPr>
          <w:position w:val="7"/>
          <w:sz w:val="11"/>
        </w:rPr>
        <w:t>127</w:t>
      </w:r>
    </w:p>
    <w:p>
      <w:pPr>
        <w:pStyle w:val="ListParagraph"/>
        <w:numPr>
          <w:ilvl w:val="1"/>
          <w:numId w:val="16"/>
        </w:numPr>
        <w:tabs>
          <w:tab w:pos="2381" w:val="left" w:leader="none"/>
          <w:tab w:pos="2382" w:val="left" w:leader="none"/>
        </w:tabs>
        <w:spacing w:line="242" w:lineRule="auto" w:before="115" w:after="0"/>
        <w:ind w:left="2381" w:right="1875" w:hanging="794"/>
        <w:jc w:val="left"/>
        <w:rPr>
          <w:sz w:val="21"/>
        </w:rPr>
      </w:pPr>
      <w:r>
        <w:rPr>
          <w:w w:val="105"/>
          <w:sz w:val="21"/>
        </w:rPr>
        <w:t>The purpose of the </w:t>
      </w:r>
      <w:r>
        <w:rPr>
          <w:spacing w:val="-4"/>
          <w:w w:val="105"/>
          <w:sz w:val="21"/>
        </w:rPr>
        <w:t>Farming </w:t>
      </w:r>
      <w:r>
        <w:rPr>
          <w:w w:val="105"/>
          <w:sz w:val="21"/>
        </w:rPr>
        <w:t>Zone is </w:t>
      </w:r>
      <w:r>
        <w:rPr>
          <w:spacing w:val="-3"/>
          <w:w w:val="105"/>
          <w:sz w:val="21"/>
        </w:rPr>
        <w:t>to ensure that non-agricultural </w:t>
      </w:r>
      <w:r>
        <w:rPr>
          <w:w w:val="105"/>
          <w:sz w:val="21"/>
        </w:rPr>
        <w:t>uses, particularly </w:t>
      </w:r>
      <w:r>
        <w:rPr>
          <w:spacing w:val="-3"/>
          <w:w w:val="105"/>
          <w:sz w:val="21"/>
        </w:rPr>
        <w:t>dwellings, </w:t>
      </w:r>
      <w:r>
        <w:rPr>
          <w:w w:val="105"/>
          <w:sz w:val="21"/>
        </w:rPr>
        <w:t>do </w:t>
      </w:r>
      <w:r>
        <w:rPr>
          <w:spacing w:val="-2"/>
          <w:w w:val="105"/>
          <w:sz w:val="21"/>
        </w:rPr>
        <w:t>not </w:t>
      </w:r>
      <w:r>
        <w:rPr>
          <w:w w:val="105"/>
          <w:sz w:val="21"/>
        </w:rPr>
        <w:t>adversely affect the use of </w:t>
      </w:r>
      <w:r>
        <w:rPr>
          <w:spacing w:val="-3"/>
          <w:w w:val="105"/>
          <w:sz w:val="21"/>
        </w:rPr>
        <w:t>land for </w:t>
      </w:r>
      <w:r>
        <w:rPr>
          <w:spacing w:val="-5"/>
          <w:w w:val="105"/>
          <w:sz w:val="21"/>
        </w:rPr>
        <w:t>agriculture.</w:t>
      </w:r>
      <w:r>
        <w:rPr>
          <w:spacing w:val="-5"/>
          <w:w w:val="105"/>
          <w:position w:val="7"/>
          <w:sz w:val="12"/>
        </w:rPr>
        <w:t>128  </w:t>
      </w:r>
      <w:r>
        <w:rPr>
          <w:w w:val="105"/>
          <w:sz w:val="21"/>
        </w:rPr>
        <w:t>The </w:t>
      </w:r>
      <w:r>
        <w:rPr>
          <w:spacing w:val="-4"/>
          <w:w w:val="105"/>
          <w:sz w:val="21"/>
        </w:rPr>
        <w:t>Farming </w:t>
      </w:r>
      <w:r>
        <w:rPr>
          <w:w w:val="105"/>
          <w:sz w:val="21"/>
        </w:rPr>
        <w:t>Zone  is</w:t>
      </w:r>
      <w:r>
        <w:rPr>
          <w:spacing w:val="-5"/>
          <w:w w:val="105"/>
          <w:sz w:val="21"/>
        </w:rPr>
        <w:t> </w:t>
      </w:r>
      <w:r>
        <w:rPr>
          <w:w w:val="105"/>
          <w:sz w:val="21"/>
        </w:rPr>
        <w:t>the</w:t>
      </w:r>
      <w:r>
        <w:rPr>
          <w:spacing w:val="-4"/>
          <w:w w:val="105"/>
          <w:sz w:val="21"/>
        </w:rPr>
        <w:t> </w:t>
      </w:r>
      <w:r>
        <w:rPr>
          <w:w w:val="105"/>
          <w:sz w:val="21"/>
        </w:rPr>
        <w:t>most</w:t>
      </w:r>
      <w:r>
        <w:rPr>
          <w:spacing w:val="-5"/>
          <w:w w:val="105"/>
          <w:sz w:val="21"/>
        </w:rPr>
        <w:t> </w:t>
      </w:r>
      <w:r>
        <w:rPr>
          <w:w w:val="105"/>
          <w:sz w:val="21"/>
        </w:rPr>
        <w:t>flexible</w:t>
      </w:r>
      <w:r>
        <w:rPr>
          <w:spacing w:val="-4"/>
          <w:w w:val="105"/>
          <w:sz w:val="21"/>
        </w:rPr>
        <w:t> </w:t>
      </w:r>
      <w:r>
        <w:rPr>
          <w:spacing w:val="-3"/>
          <w:w w:val="105"/>
          <w:sz w:val="21"/>
        </w:rPr>
        <w:t>zone</w:t>
      </w:r>
      <w:r>
        <w:rPr>
          <w:spacing w:val="-4"/>
          <w:w w:val="105"/>
          <w:sz w:val="21"/>
        </w:rPr>
        <w:t> </w:t>
      </w:r>
      <w:r>
        <w:rPr>
          <w:w w:val="105"/>
          <w:sz w:val="21"/>
        </w:rPr>
        <w:t>in</w:t>
      </w:r>
      <w:r>
        <w:rPr>
          <w:spacing w:val="-5"/>
          <w:w w:val="105"/>
          <w:sz w:val="21"/>
        </w:rPr>
        <w:t> </w:t>
      </w:r>
      <w:r>
        <w:rPr>
          <w:spacing w:val="-3"/>
          <w:w w:val="105"/>
          <w:sz w:val="21"/>
        </w:rPr>
        <w:t>terms</w:t>
      </w:r>
      <w:r>
        <w:rPr>
          <w:spacing w:val="-4"/>
          <w:w w:val="105"/>
          <w:sz w:val="21"/>
        </w:rPr>
        <w:t> </w:t>
      </w:r>
      <w:r>
        <w:rPr>
          <w:w w:val="105"/>
          <w:sz w:val="21"/>
        </w:rPr>
        <w:t>of</w:t>
      </w:r>
      <w:r>
        <w:rPr>
          <w:spacing w:val="-4"/>
          <w:w w:val="105"/>
          <w:sz w:val="21"/>
        </w:rPr>
        <w:t> </w:t>
      </w:r>
      <w:r>
        <w:rPr>
          <w:spacing w:val="-3"/>
          <w:w w:val="105"/>
          <w:sz w:val="21"/>
        </w:rPr>
        <w:t>agricultural</w:t>
      </w:r>
      <w:r>
        <w:rPr>
          <w:spacing w:val="-5"/>
          <w:w w:val="105"/>
          <w:sz w:val="21"/>
        </w:rPr>
        <w:t> </w:t>
      </w:r>
      <w:r>
        <w:rPr>
          <w:w w:val="105"/>
          <w:sz w:val="21"/>
        </w:rPr>
        <w:t>uses</w:t>
      </w:r>
      <w:r>
        <w:rPr>
          <w:spacing w:val="-4"/>
          <w:w w:val="105"/>
          <w:sz w:val="21"/>
        </w:rPr>
        <w:t> </w:t>
      </w:r>
      <w:r>
        <w:rPr>
          <w:w w:val="105"/>
          <w:sz w:val="21"/>
        </w:rPr>
        <w:t>and</w:t>
      </w:r>
      <w:r>
        <w:rPr>
          <w:spacing w:val="-4"/>
          <w:w w:val="105"/>
          <w:sz w:val="21"/>
        </w:rPr>
        <w:t> </w:t>
      </w:r>
      <w:r>
        <w:rPr>
          <w:spacing w:val="-3"/>
          <w:w w:val="105"/>
          <w:sz w:val="21"/>
        </w:rPr>
        <w:t>many</w:t>
      </w:r>
      <w:r>
        <w:rPr>
          <w:spacing w:val="-5"/>
          <w:w w:val="105"/>
          <w:sz w:val="21"/>
        </w:rPr>
        <w:t> </w:t>
      </w:r>
      <w:r>
        <w:rPr>
          <w:spacing w:val="-3"/>
          <w:w w:val="105"/>
          <w:sz w:val="21"/>
        </w:rPr>
        <w:t>agricultural</w:t>
      </w:r>
      <w:r>
        <w:rPr>
          <w:spacing w:val="-4"/>
          <w:w w:val="105"/>
          <w:sz w:val="21"/>
        </w:rPr>
        <w:t> </w:t>
      </w:r>
      <w:r>
        <w:rPr>
          <w:w w:val="105"/>
          <w:sz w:val="21"/>
        </w:rPr>
        <w:t>uses</w:t>
      </w:r>
      <w:r>
        <w:rPr>
          <w:spacing w:val="-4"/>
          <w:w w:val="105"/>
          <w:sz w:val="21"/>
        </w:rPr>
        <w:t> </w:t>
      </w:r>
      <w:r>
        <w:rPr>
          <w:w w:val="105"/>
          <w:sz w:val="21"/>
        </w:rPr>
        <w:t>do</w:t>
      </w:r>
      <w:r>
        <w:rPr>
          <w:spacing w:val="-5"/>
          <w:w w:val="105"/>
          <w:sz w:val="21"/>
        </w:rPr>
        <w:t> </w:t>
      </w:r>
      <w:r>
        <w:rPr>
          <w:spacing w:val="-2"/>
          <w:w w:val="105"/>
          <w:sz w:val="21"/>
        </w:rPr>
        <w:t>not </w:t>
      </w:r>
      <w:r>
        <w:rPr>
          <w:spacing w:val="-3"/>
          <w:w w:val="105"/>
          <w:sz w:val="21"/>
        </w:rPr>
        <w:t>require</w:t>
      </w:r>
      <w:r>
        <w:rPr>
          <w:spacing w:val="-10"/>
          <w:w w:val="105"/>
          <w:sz w:val="21"/>
        </w:rPr>
        <w:t> </w:t>
      </w:r>
      <w:r>
        <w:rPr>
          <w:w w:val="105"/>
          <w:sz w:val="21"/>
        </w:rPr>
        <w:t>a</w:t>
      </w:r>
      <w:r>
        <w:rPr>
          <w:spacing w:val="-9"/>
          <w:w w:val="105"/>
          <w:sz w:val="21"/>
        </w:rPr>
        <w:t> </w:t>
      </w:r>
      <w:r>
        <w:rPr>
          <w:spacing w:val="-4"/>
          <w:w w:val="105"/>
          <w:sz w:val="21"/>
        </w:rPr>
        <w:t>permit.</w:t>
      </w:r>
      <w:r>
        <w:rPr>
          <w:spacing w:val="-4"/>
          <w:w w:val="105"/>
          <w:position w:val="7"/>
          <w:sz w:val="12"/>
        </w:rPr>
        <w:t>129</w:t>
      </w:r>
      <w:r>
        <w:rPr>
          <w:spacing w:val="14"/>
          <w:w w:val="105"/>
          <w:position w:val="7"/>
          <w:sz w:val="12"/>
        </w:rPr>
        <w:t> </w:t>
      </w:r>
      <w:r>
        <w:rPr>
          <w:w w:val="105"/>
          <w:sz w:val="21"/>
        </w:rPr>
        <w:t>This</w:t>
      </w:r>
      <w:r>
        <w:rPr>
          <w:spacing w:val="-9"/>
          <w:w w:val="105"/>
          <w:sz w:val="21"/>
        </w:rPr>
        <w:t> </w:t>
      </w:r>
      <w:r>
        <w:rPr>
          <w:spacing w:val="-3"/>
          <w:w w:val="105"/>
          <w:sz w:val="21"/>
        </w:rPr>
        <w:t>zone</w:t>
      </w:r>
      <w:r>
        <w:rPr>
          <w:spacing w:val="-9"/>
          <w:w w:val="105"/>
          <w:sz w:val="21"/>
        </w:rPr>
        <w:t> </w:t>
      </w:r>
      <w:r>
        <w:rPr>
          <w:w w:val="105"/>
          <w:sz w:val="21"/>
        </w:rPr>
        <w:t>is</w:t>
      </w:r>
      <w:r>
        <w:rPr>
          <w:spacing w:val="-10"/>
          <w:w w:val="105"/>
          <w:sz w:val="21"/>
        </w:rPr>
        <w:t> </w:t>
      </w:r>
      <w:r>
        <w:rPr>
          <w:w w:val="105"/>
          <w:sz w:val="21"/>
        </w:rPr>
        <w:t>explicitly</w:t>
      </w:r>
      <w:r>
        <w:rPr>
          <w:spacing w:val="-9"/>
          <w:w w:val="105"/>
          <w:sz w:val="21"/>
        </w:rPr>
        <w:t> </w:t>
      </w:r>
      <w:r>
        <w:rPr>
          <w:w w:val="105"/>
          <w:sz w:val="21"/>
        </w:rPr>
        <w:t>focused</w:t>
      </w:r>
      <w:r>
        <w:rPr>
          <w:spacing w:val="-9"/>
          <w:w w:val="105"/>
          <w:sz w:val="21"/>
        </w:rPr>
        <w:t> </w:t>
      </w:r>
      <w:r>
        <w:rPr>
          <w:w w:val="105"/>
          <w:sz w:val="21"/>
        </w:rPr>
        <w:t>on</w:t>
      </w:r>
      <w:r>
        <w:rPr>
          <w:spacing w:val="-9"/>
          <w:w w:val="105"/>
          <w:sz w:val="21"/>
        </w:rPr>
        <w:t> </w:t>
      </w:r>
      <w:r>
        <w:rPr>
          <w:w w:val="105"/>
          <w:sz w:val="21"/>
        </w:rPr>
        <w:t>preserving</w:t>
      </w:r>
      <w:r>
        <w:rPr>
          <w:spacing w:val="-9"/>
          <w:w w:val="105"/>
          <w:sz w:val="21"/>
        </w:rPr>
        <w:t> </w:t>
      </w:r>
      <w:r>
        <w:rPr>
          <w:w w:val="105"/>
          <w:sz w:val="21"/>
        </w:rPr>
        <w:t>productive</w:t>
      </w:r>
      <w:r>
        <w:rPr>
          <w:spacing w:val="-9"/>
          <w:w w:val="105"/>
          <w:sz w:val="21"/>
        </w:rPr>
        <w:t> </w:t>
      </w:r>
      <w:r>
        <w:rPr>
          <w:spacing w:val="-3"/>
          <w:w w:val="105"/>
          <w:sz w:val="21"/>
        </w:rPr>
        <w:t>agricultural</w:t>
      </w:r>
    </w:p>
    <w:p>
      <w:pPr>
        <w:pStyle w:val="BodyText"/>
        <w:spacing w:line="242" w:lineRule="auto" w:before="4"/>
        <w:ind w:left="2381" w:right="1558"/>
      </w:pPr>
      <w:r>
        <w:rPr>
          <w:spacing w:val="-3"/>
          <w:w w:val="105"/>
        </w:rPr>
        <w:t>land </w:t>
      </w:r>
      <w:r>
        <w:rPr>
          <w:w w:val="105"/>
        </w:rPr>
        <w:t>and </w:t>
      </w:r>
      <w:r>
        <w:rPr>
          <w:spacing w:val="-3"/>
          <w:w w:val="105"/>
        </w:rPr>
        <w:t>‘farming </w:t>
      </w:r>
      <w:r>
        <w:rPr>
          <w:w w:val="105"/>
        </w:rPr>
        <w:t>uses </w:t>
      </w:r>
      <w:r>
        <w:rPr>
          <w:spacing w:val="-3"/>
          <w:w w:val="105"/>
        </w:rPr>
        <w:t>are encouraged to </w:t>
      </w:r>
      <w:r>
        <w:rPr>
          <w:w w:val="105"/>
        </w:rPr>
        <w:t>establish and expand with as little restriction as </w:t>
      </w:r>
      <w:r>
        <w:rPr>
          <w:spacing w:val="-5"/>
          <w:w w:val="105"/>
        </w:rPr>
        <w:t>possible’.</w:t>
      </w:r>
      <w:r>
        <w:rPr>
          <w:spacing w:val="-5"/>
          <w:w w:val="105"/>
          <w:position w:val="7"/>
          <w:sz w:val="12"/>
        </w:rPr>
        <w:t>130 </w:t>
      </w:r>
      <w:r>
        <w:rPr>
          <w:spacing w:val="-3"/>
          <w:w w:val="105"/>
        </w:rPr>
        <w:t>Agriculture </w:t>
      </w:r>
      <w:r>
        <w:rPr>
          <w:w w:val="105"/>
        </w:rPr>
        <w:t>Victoria provides tips </w:t>
      </w:r>
      <w:r>
        <w:rPr>
          <w:spacing w:val="-3"/>
          <w:w w:val="105"/>
        </w:rPr>
        <w:t>to </w:t>
      </w:r>
      <w:r>
        <w:rPr>
          <w:w w:val="105"/>
        </w:rPr>
        <w:t>would-be </w:t>
      </w:r>
      <w:r>
        <w:rPr>
          <w:spacing w:val="-3"/>
          <w:w w:val="105"/>
        </w:rPr>
        <w:t>purchasers </w:t>
      </w:r>
      <w:r>
        <w:rPr>
          <w:w w:val="105"/>
        </w:rPr>
        <w:t>of </w:t>
      </w:r>
      <w:r>
        <w:rPr>
          <w:spacing w:val="-3"/>
          <w:w w:val="105"/>
        </w:rPr>
        <w:t>rural land </w:t>
      </w:r>
      <w:r>
        <w:rPr>
          <w:w w:val="105"/>
        </w:rPr>
        <w:t>on its </w:t>
      </w:r>
      <w:r>
        <w:rPr>
          <w:spacing w:val="-3"/>
          <w:w w:val="105"/>
        </w:rPr>
        <w:t>website, </w:t>
      </w:r>
      <w:r>
        <w:rPr>
          <w:w w:val="105"/>
        </w:rPr>
        <w:t>and advises:</w:t>
      </w:r>
    </w:p>
    <w:p>
      <w:pPr>
        <w:spacing w:line="254" w:lineRule="auto" w:before="133"/>
        <w:ind w:left="2834" w:right="1810" w:firstLine="0"/>
        <w:jc w:val="left"/>
        <w:rPr>
          <w:sz w:val="11"/>
        </w:rPr>
      </w:pPr>
      <w:r>
        <w:rPr>
          <w:w w:val="105"/>
          <w:sz w:val="20"/>
        </w:rPr>
        <w:t>There</w:t>
      </w:r>
      <w:r>
        <w:rPr>
          <w:spacing w:val="-15"/>
          <w:w w:val="105"/>
          <w:sz w:val="20"/>
        </w:rPr>
        <w:t> </w:t>
      </w:r>
      <w:r>
        <w:rPr>
          <w:w w:val="105"/>
          <w:sz w:val="20"/>
        </w:rPr>
        <w:t>are</w:t>
      </w:r>
      <w:r>
        <w:rPr>
          <w:spacing w:val="-14"/>
          <w:w w:val="105"/>
          <w:sz w:val="20"/>
        </w:rPr>
        <w:t> </w:t>
      </w:r>
      <w:r>
        <w:rPr>
          <w:w w:val="105"/>
          <w:sz w:val="20"/>
        </w:rPr>
        <w:t>not</w:t>
      </w:r>
      <w:r>
        <w:rPr>
          <w:spacing w:val="-14"/>
          <w:w w:val="105"/>
          <w:sz w:val="20"/>
        </w:rPr>
        <w:t> </w:t>
      </w:r>
      <w:r>
        <w:rPr>
          <w:spacing w:val="-3"/>
          <w:w w:val="105"/>
          <w:sz w:val="20"/>
        </w:rPr>
        <w:t>many</w:t>
      </w:r>
      <w:r>
        <w:rPr>
          <w:spacing w:val="-14"/>
          <w:w w:val="105"/>
          <w:sz w:val="20"/>
        </w:rPr>
        <w:t> </w:t>
      </w:r>
      <w:r>
        <w:rPr>
          <w:w w:val="105"/>
          <w:sz w:val="20"/>
        </w:rPr>
        <w:t>formal</w:t>
      </w:r>
      <w:r>
        <w:rPr>
          <w:spacing w:val="-15"/>
          <w:w w:val="105"/>
          <w:sz w:val="20"/>
        </w:rPr>
        <w:t> </w:t>
      </w:r>
      <w:r>
        <w:rPr>
          <w:w w:val="105"/>
          <w:sz w:val="20"/>
        </w:rPr>
        <w:t>requirements</w:t>
      </w:r>
      <w:r>
        <w:rPr>
          <w:spacing w:val="-14"/>
          <w:w w:val="105"/>
          <w:sz w:val="20"/>
        </w:rPr>
        <w:t> </w:t>
      </w:r>
      <w:r>
        <w:rPr>
          <w:w w:val="105"/>
          <w:sz w:val="20"/>
        </w:rPr>
        <w:t>for</w:t>
      </w:r>
      <w:r>
        <w:rPr>
          <w:spacing w:val="-14"/>
          <w:w w:val="105"/>
          <w:sz w:val="20"/>
        </w:rPr>
        <w:t> </w:t>
      </w:r>
      <w:r>
        <w:rPr>
          <w:w w:val="105"/>
          <w:sz w:val="20"/>
        </w:rPr>
        <w:t>farmers</w:t>
      </w:r>
      <w:r>
        <w:rPr>
          <w:spacing w:val="-14"/>
          <w:w w:val="105"/>
          <w:sz w:val="20"/>
        </w:rPr>
        <w:t> </w:t>
      </w:r>
      <w:r>
        <w:rPr>
          <w:w w:val="105"/>
          <w:sz w:val="20"/>
        </w:rPr>
        <w:t>to</w:t>
      </w:r>
      <w:r>
        <w:rPr>
          <w:spacing w:val="-15"/>
          <w:w w:val="105"/>
          <w:sz w:val="20"/>
        </w:rPr>
        <w:t> </w:t>
      </w:r>
      <w:r>
        <w:rPr>
          <w:w w:val="105"/>
          <w:sz w:val="20"/>
        </w:rPr>
        <w:t>minimise</w:t>
      </w:r>
      <w:r>
        <w:rPr>
          <w:spacing w:val="-14"/>
          <w:w w:val="105"/>
          <w:sz w:val="20"/>
        </w:rPr>
        <w:t> </w:t>
      </w:r>
      <w:r>
        <w:rPr>
          <w:w w:val="105"/>
          <w:sz w:val="20"/>
        </w:rPr>
        <w:t>the</w:t>
      </w:r>
      <w:r>
        <w:rPr>
          <w:spacing w:val="-14"/>
          <w:w w:val="105"/>
          <w:sz w:val="20"/>
        </w:rPr>
        <w:t> </w:t>
      </w:r>
      <w:r>
        <w:rPr>
          <w:w w:val="105"/>
          <w:sz w:val="20"/>
        </w:rPr>
        <w:t>normal</w:t>
      </w:r>
      <w:r>
        <w:rPr>
          <w:spacing w:val="-14"/>
          <w:w w:val="105"/>
          <w:sz w:val="20"/>
        </w:rPr>
        <w:t> </w:t>
      </w:r>
      <w:r>
        <w:rPr>
          <w:w w:val="105"/>
          <w:sz w:val="20"/>
        </w:rPr>
        <w:t>impacts arising from the legitimate </w:t>
      </w:r>
      <w:r>
        <w:rPr>
          <w:spacing w:val="-3"/>
          <w:w w:val="105"/>
          <w:sz w:val="20"/>
        </w:rPr>
        <w:t>agricultural </w:t>
      </w:r>
      <w:r>
        <w:rPr>
          <w:w w:val="105"/>
          <w:sz w:val="20"/>
        </w:rPr>
        <w:t>enterprises they may </w:t>
      </w:r>
      <w:r>
        <w:rPr>
          <w:spacing w:val="-3"/>
          <w:w w:val="105"/>
          <w:sz w:val="20"/>
        </w:rPr>
        <w:t>run, </w:t>
      </w:r>
      <w:r>
        <w:rPr>
          <w:w w:val="105"/>
          <w:sz w:val="20"/>
        </w:rPr>
        <w:t>and there are </w:t>
      </w:r>
      <w:r>
        <w:rPr>
          <w:spacing w:val="-2"/>
          <w:w w:val="105"/>
          <w:sz w:val="20"/>
        </w:rPr>
        <w:t>few </w:t>
      </w:r>
      <w:r>
        <w:rPr>
          <w:w w:val="105"/>
          <w:sz w:val="20"/>
        </w:rPr>
        <w:t>requirements for them to formally notify you of what they </w:t>
      </w:r>
      <w:r>
        <w:rPr>
          <w:spacing w:val="-3"/>
          <w:w w:val="105"/>
          <w:sz w:val="20"/>
        </w:rPr>
        <w:t>intend </w:t>
      </w:r>
      <w:r>
        <w:rPr>
          <w:w w:val="105"/>
          <w:sz w:val="20"/>
        </w:rPr>
        <w:t>to do </w:t>
      </w:r>
      <w:r>
        <w:rPr>
          <w:w w:val="115"/>
          <w:sz w:val="20"/>
        </w:rPr>
        <w:t>… </w:t>
      </w:r>
      <w:r>
        <w:rPr>
          <w:w w:val="105"/>
          <w:sz w:val="20"/>
        </w:rPr>
        <w:t>Living together</w:t>
      </w:r>
      <w:r>
        <w:rPr>
          <w:spacing w:val="-8"/>
          <w:w w:val="105"/>
          <w:sz w:val="20"/>
        </w:rPr>
        <w:t> </w:t>
      </w:r>
      <w:r>
        <w:rPr>
          <w:w w:val="105"/>
          <w:sz w:val="20"/>
        </w:rPr>
        <w:t>in</w:t>
      </w:r>
      <w:r>
        <w:rPr>
          <w:spacing w:val="-7"/>
          <w:w w:val="105"/>
          <w:sz w:val="20"/>
        </w:rPr>
        <w:t> </w:t>
      </w:r>
      <w:r>
        <w:rPr>
          <w:spacing w:val="-3"/>
          <w:w w:val="105"/>
          <w:sz w:val="20"/>
        </w:rPr>
        <w:t>rural</w:t>
      </w:r>
      <w:r>
        <w:rPr>
          <w:spacing w:val="-8"/>
          <w:w w:val="105"/>
          <w:sz w:val="20"/>
        </w:rPr>
        <w:t> </w:t>
      </w:r>
      <w:r>
        <w:rPr>
          <w:w w:val="105"/>
          <w:sz w:val="20"/>
        </w:rPr>
        <w:t>Victoria</w:t>
      </w:r>
      <w:r>
        <w:rPr>
          <w:spacing w:val="-7"/>
          <w:w w:val="105"/>
          <w:sz w:val="20"/>
        </w:rPr>
        <w:t> </w:t>
      </w:r>
      <w:r>
        <w:rPr>
          <w:w w:val="105"/>
          <w:sz w:val="20"/>
        </w:rPr>
        <w:t>comes</w:t>
      </w:r>
      <w:r>
        <w:rPr>
          <w:spacing w:val="-7"/>
          <w:w w:val="105"/>
          <w:sz w:val="20"/>
        </w:rPr>
        <w:t> </w:t>
      </w:r>
      <w:r>
        <w:rPr>
          <w:w w:val="105"/>
          <w:sz w:val="20"/>
        </w:rPr>
        <w:t>down</w:t>
      </w:r>
      <w:r>
        <w:rPr>
          <w:spacing w:val="-8"/>
          <w:w w:val="105"/>
          <w:sz w:val="20"/>
        </w:rPr>
        <w:t> </w:t>
      </w:r>
      <w:r>
        <w:rPr>
          <w:w w:val="105"/>
          <w:sz w:val="20"/>
        </w:rPr>
        <w:t>to</w:t>
      </w:r>
      <w:r>
        <w:rPr>
          <w:spacing w:val="-7"/>
          <w:w w:val="105"/>
          <w:sz w:val="20"/>
        </w:rPr>
        <w:t> </w:t>
      </w:r>
      <w:r>
        <w:rPr>
          <w:w w:val="105"/>
          <w:sz w:val="20"/>
        </w:rPr>
        <w:t>having</w:t>
      </w:r>
      <w:r>
        <w:rPr>
          <w:spacing w:val="-8"/>
          <w:w w:val="105"/>
          <w:sz w:val="20"/>
        </w:rPr>
        <w:t> </w:t>
      </w:r>
      <w:r>
        <w:rPr>
          <w:w w:val="105"/>
          <w:sz w:val="20"/>
        </w:rPr>
        <w:t>reasonable</w:t>
      </w:r>
      <w:r>
        <w:rPr>
          <w:spacing w:val="-7"/>
          <w:w w:val="105"/>
          <w:sz w:val="20"/>
        </w:rPr>
        <w:t> </w:t>
      </w:r>
      <w:r>
        <w:rPr>
          <w:w w:val="105"/>
          <w:sz w:val="20"/>
        </w:rPr>
        <w:t>expectations</w:t>
      </w:r>
      <w:r>
        <w:rPr>
          <w:spacing w:val="-8"/>
          <w:w w:val="105"/>
          <w:sz w:val="20"/>
        </w:rPr>
        <w:t> </w:t>
      </w:r>
      <w:r>
        <w:rPr>
          <w:w w:val="105"/>
          <w:sz w:val="20"/>
        </w:rPr>
        <w:t>of</w:t>
      </w:r>
      <w:r>
        <w:rPr>
          <w:spacing w:val="-7"/>
          <w:w w:val="105"/>
          <w:sz w:val="20"/>
        </w:rPr>
        <w:t> </w:t>
      </w:r>
      <w:r>
        <w:rPr>
          <w:w w:val="105"/>
          <w:sz w:val="20"/>
        </w:rPr>
        <w:t>how</w:t>
      </w:r>
      <w:r>
        <w:rPr>
          <w:spacing w:val="-7"/>
          <w:w w:val="105"/>
          <w:sz w:val="20"/>
        </w:rPr>
        <w:t> </w:t>
      </w:r>
      <w:r>
        <w:rPr>
          <w:w w:val="105"/>
          <w:sz w:val="20"/>
        </w:rPr>
        <w:t>the land in your neighbourhood is used, and </w:t>
      </w:r>
      <w:r>
        <w:rPr>
          <w:spacing w:val="-3"/>
          <w:w w:val="105"/>
          <w:sz w:val="20"/>
        </w:rPr>
        <w:t>exercising </w:t>
      </w:r>
      <w:r>
        <w:rPr>
          <w:w w:val="105"/>
          <w:sz w:val="20"/>
        </w:rPr>
        <w:t>a little give and</w:t>
      </w:r>
      <w:r>
        <w:rPr>
          <w:spacing w:val="29"/>
          <w:w w:val="105"/>
          <w:sz w:val="20"/>
        </w:rPr>
        <w:t> </w:t>
      </w:r>
      <w:r>
        <w:rPr>
          <w:spacing w:val="-6"/>
          <w:w w:val="105"/>
          <w:sz w:val="20"/>
        </w:rPr>
        <w:t>take.</w:t>
      </w:r>
      <w:r>
        <w:rPr>
          <w:spacing w:val="-6"/>
          <w:w w:val="105"/>
          <w:position w:val="7"/>
          <w:sz w:val="11"/>
        </w:rPr>
        <w:t>131</w:t>
      </w:r>
    </w:p>
    <w:p>
      <w:pPr>
        <w:pStyle w:val="ListParagraph"/>
        <w:numPr>
          <w:ilvl w:val="1"/>
          <w:numId w:val="16"/>
        </w:numPr>
        <w:tabs>
          <w:tab w:pos="2380" w:val="left" w:leader="none"/>
          <w:tab w:pos="2381" w:val="left" w:leader="none"/>
        </w:tabs>
        <w:spacing w:line="242" w:lineRule="auto" w:before="117" w:after="0"/>
        <w:ind w:left="2381" w:right="1762" w:hanging="794"/>
        <w:jc w:val="left"/>
        <w:rPr>
          <w:sz w:val="21"/>
        </w:rPr>
      </w:pPr>
      <w:r>
        <w:rPr>
          <w:spacing w:val="-4"/>
          <w:w w:val="105"/>
          <w:sz w:val="21"/>
        </w:rPr>
        <w:t>Similarly, </w:t>
      </w:r>
      <w:r>
        <w:rPr>
          <w:w w:val="105"/>
          <w:sz w:val="21"/>
        </w:rPr>
        <w:t>the </w:t>
      </w:r>
      <w:r>
        <w:rPr>
          <w:spacing w:val="-3"/>
          <w:w w:val="105"/>
          <w:sz w:val="21"/>
        </w:rPr>
        <w:t>main </w:t>
      </w:r>
      <w:r>
        <w:rPr>
          <w:spacing w:val="-4"/>
          <w:w w:val="105"/>
          <w:sz w:val="21"/>
        </w:rPr>
        <w:t>feature </w:t>
      </w:r>
      <w:r>
        <w:rPr>
          <w:w w:val="105"/>
          <w:sz w:val="21"/>
        </w:rPr>
        <w:t>of the </w:t>
      </w:r>
      <w:r>
        <w:rPr>
          <w:spacing w:val="-3"/>
          <w:w w:val="105"/>
          <w:sz w:val="21"/>
        </w:rPr>
        <w:t>Rural </w:t>
      </w:r>
      <w:r>
        <w:rPr>
          <w:w w:val="105"/>
          <w:sz w:val="21"/>
        </w:rPr>
        <w:t>Activity Zone is the ‘flexibility </w:t>
      </w:r>
      <w:r>
        <w:rPr>
          <w:spacing w:val="-3"/>
          <w:w w:val="105"/>
          <w:sz w:val="21"/>
        </w:rPr>
        <w:t>that </w:t>
      </w:r>
      <w:r>
        <w:rPr>
          <w:w w:val="105"/>
          <w:sz w:val="21"/>
        </w:rPr>
        <w:t>it provides </w:t>
      </w:r>
      <w:r>
        <w:rPr>
          <w:spacing w:val="-3"/>
          <w:w w:val="105"/>
          <w:sz w:val="21"/>
        </w:rPr>
        <w:t>for farming </w:t>
      </w:r>
      <w:r>
        <w:rPr>
          <w:w w:val="105"/>
          <w:sz w:val="21"/>
        </w:rPr>
        <w:t>and other </w:t>
      </w:r>
      <w:r>
        <w:rPr>
          <w:spacing w:val="-3"/>
          <w:w w:val="105"/>
          <w:sz w:val="21"/>
        </w:rPr>
        <w:t>land </w:t>
      </w:r>
      <w:r>
        <w:rPr>
          <w:w w:val="105"/>
          <w:sz w:val="21"/>
        </w:rPr>
        <w:t>uses </w:t>
      </w:r>
      <w:r>
        <w:rPr>
          <w:spacing w:val="-3"/>
          <w:w w:val="105"/>
          <w:sz w:val="21"/>
        </w:rPr>
        <w:t>to </w:t>
      </w:r>
      <w:r>
        <w:rPr>
          <w:spacing w:val="-4"/>
          <w:w w:val="105"/>
          <w:sz w:val="21"/>
        </w:rPr>
        <w:t>co-exist’.</w:t>
      </w:r>
      <w:r>
        <w:rPr>
          <w:spacing w:val="-4"/>
          <w:w w:val="105"/>
          <w:position w:val="7"/>
          <w:sz w:val="12"/>
        </w:rPr>
        <w:t>132 </w:t>
      </w:r>
      <w:r>
        <w:rPr>
          <w:w w:val="105"/>
          <w:sz w:val="21"/>
        </w:rPr>
        <w:t>The growth of </w:t>
      </w:r>
      <w:r>
        <w:rPr>
          <w:spacing w:val="-3"/>
          <w:w w:val="105"/>
          <w:sz w:val="21"/>
        </w:rPr>
        <w:t>farming </w:t>
      </w:r>
      <w:r>
        <w:rPr>
          <w:w w:val="105"/>
          <w:sz w:val="21"/>
        </w:rPr>
        <w:t>practices is supported but a wide </w:t>
      </w:r>
      <w:r>
        <w:rPr>
          <w:spacing w:val="-3"/>
          <w:w w:val="105"/>
          <w:sz w:val="21"/>
        </w:rPr>
        <w:t>range </w:t>
      </w:r>
      <w:r>
        <w:rPr>
          <w:w w:val="105"/>
          <w:sz w:val="21"/>
        </w:rPr>
        <w:t>of </w:t>
      </w:r>
      <w:r>
        <w:rPr>
          <w:spacing w:val="-3"/>
          <w:w w:val="105"/>
          <w:sz w:val="21"/>
        </w:rPr>
        <w:t>non-farming commercial </w:t>
      </w:r>
      <w:r>
        <w:rPr>
          <w:w w:val="105"/>
          <w:sz w:val="21"/>
        </w:rPr>
        <w:t>and </w:t>
      </w:r>
      <w:r>
        <w:rPr>
          <w:spacing w:val="-3"/>
          <w:w w:val="105"/>
          <w:sz w:val="21"/>
        </w:rPr>
        <w:t>retail </w:t>
      </w:r>
      <w:r>
        <w:rPr>
          <w:w w:val="105"/>
          <w:sz w:val="21"/>
        </w:rPr>
        <w:t>uses </w:t>
      </w:r>
      <w:r>
        <w:rPr>
          <w:spacing w:val="-3"/>
          <w:w w:val="105"/>
          <w:sz w:val="21"/>
        </w:rPr>
        <w:t>are </w:t>
      </w:r>
      <w:r>
        <w:rPr>
          <w:w w:val="105"/>
          <w:sz w:val="21"/>
        </w:rPr>
        <w:t>also </w:t>
      </w:r>
      <w:r>
        <w:rPr>
          <w:spacing w:val="-4"/>
          <w:w w:val="105"/>
          <w:sz w:val="21"/>
        </w:rPr>
        <w:t>encouraged.</w:t>
      </w:r>
      <w:r>
        <w:rPr>
          <w:spacing w:val="-4"/>
          <w:w w:val="105"/>
          <w:position w:val="7"/>
          <w:sz w:val="12"/>
        </w:rPr>
        <w:t>133 </w:t>
      </w:r>
      <w:r>
        <w:rPr>
          <w:w w:val="105"/>
          <w:sz w:val="21"/>
        </w:rPr>
        <w:t>The Department of </w:t>
      </w:r>
      <w:r>
        <w:rPr>
          <w:spacing w:val="-3"/>
          <w:w w:val="105"/>
          <w:sz w:val="21"/>
        </w:rPr>
        <w:t>Environment, </w:t>
      </w:r>
      <w:r>
        <w:rPr>
          <w:w w:val="105"/>
          <w:sz w:val="21"/>
        </w:rPr>
        <w:t>Land, </w:t>
      </w:r>
      <w:r>
        <w:rPr>
          <w:spacing w:val="-4"/>
          <w:w w:val="105"/>
          <w:sz w:val="21"/>
        </w:rPr>
        <w:t>Water </w:t>
      </w:r>
      <w:r>
        <w:rPr>
          <w:w w:val="105"/>
          <w:sz w:val="21"/>
        </w:rPr>
        <w:t>and </w:t>
      </w:r>
      <w:r>
        <w:rPr>
          <w:spacing w:val="-3"/>
          <w:w w:val="105"/>
          <w:sz w:val="21"/>
        </w:rPr>
        <w:t>Planning</w:t>
      </w:r>
      <w:r>
        <w:rPr>
          <w:spacing w:val="31"/>
          <w:w w:val="105"/>
          <w:sz w:val="21"/>
        </w:rPr>
        <w:t> </w:t>
      </w:r>
      <w:r>
        <w:rPr>
          <w:w w:val="105"/>
          <w:sz w:val="21"/>
        </w:rPr>
        <w:t>advises:</w:t>
      </w:r>
    </w:p>
    <w:p>
      <w:pPr>
        <w:spacing w:line="254" w:lineRule="auto" w:before="134"/>
        <w:ind w:left="2834" w:right="1750" w:firstLine="0"/>
        <w:jc w:val="left"/>
        <w:rPr>
          <w:sz w:val="11"/>
        </w:rPr>
      </w:pPr>
      <w:r>
        <w:rPr>
          <w:w w:val="105"/>
          <w:sz w:val="20"/>
        </w:rPr>
        <w:t>The</w:t>
      </w:r>
      <w:r>
        <w:rPr>
          <w:spacing w:val="-8"/>
          <w:w w:val="105"/>
          <w:sz w:val="20"/>
        </w:rPr>
        <w:t> </w:t>
      </w:r>
      <w:r>
        <w:rPr>
          <w:w w:val="105"/>
          <w:sz w:val="20"/>
        </w:rPr>
        <w:t>zone</w:t>
      </w:r>
      <w:r>
        <w:rPr>
          <w:spacing w:val="-7"/>
          <w:w w:val="105"/>
          <w:sz w:val="20"/>
        </w:rPr>
        <w:t> </w:t>
      </w:r>
      <w:r>
        <w:rPr>
          <w:w w:val="105"/>
          <w:sz w:val="20"/>
        </w:rPr>
        <w:t>should</w:t>
      </w:r>
      <w:r>
        <w:rPr>
          <w:spacing w:val="-7"/>
          <w:w w:val="105"/>
          <w:sz w:val="20"/>
        </w:rPr>
        <w:t> </w:t>
      </w:r>
      <w:r>
        <w:rPr>
          <w:w w:val="105"/>
          <w:sz w:val="20"/>
        </w:rPr>
        <w:t>not</w:t>
      </w:r>
      <w:r>
        <w:rPr>
          <w:spacing w:val="-7"/>
          <w:w w:val="105"/>
          <w:sz w:val="20"/>
        </w:rPr>
        <w:t> </w:t>
      </w:r>
      <w:r>
        <w:rPr>
          <w:w w:val="105"/>
          <w:sz w:val="20"/>
        </w:rPr>
        <w:t>be</w:t>
      </w:r>
      <w:r>
        <w:rPr>
          <w:spacing w:val="-8"/>
          <w:w w:val="105"/>
          <w:sz w:val="20"/>
        </w:rPr>
        <w:t> </w:t>
      </w:r>
      <w:r>
        <w:rPr>
          <w:w w:val="105"/>
          <w:sz w:val="20"/>
        </w:rPr>
        <w:t>mistaken</w:t>
      </w:r>
      <w:r>
        <w:rPr>
          <w:spacing w:val="-7"/>
          <w:w w:val="105"/>
          <w:sz w:val="20"/>
        </w:rPr>
        <w:t> </w:t>
      </w:r>
      <w:r>
        <w:rPr>
          <w:w w:val="105"/>
          <w:sz w:val="20"/>
        </w:rPr>
        <w:t>for</w:t>
      </w:r>
      <w:r>
        <w:rPr>
          <w:spacing w:val="-7"/>
          <w:w w:val="105"/>
          <w:sz w:val="20"/>
        </w:rPr>
        <w:t> </w:t>
      </w:r>
      <w:r>
        <w:rPr>
          <w:w w:val="105"/>
          <w:sz w:val="20"/>
        </w:rPr>
        <w:t>a</w:t>
      </w:r>
      <w:r>
        <w:rPr>
          <w:spacing w:val="-7"/>
          <w:w w:val="105"/>
          <w:sz w:val="20"/>
        </w:rPr>
        <w:t> </w:t>
      </w:r>
      <w:r>
        <w:rPr>
          <w:w w:val="105"/>
          <w:sz w:val="20"/>
        </w:rPr>
        <w:t>quasi-rural</w:t>
      </w:r>
      <w:r>
        <w:rPr>
          <w:spacing w:val="-8"/>
          <w:w w:val="105"/>
          <w:sz w:val="20"/>
        </w:rPr>
        <w:t> </w:t>
      </w:r>
      <w:r>
        <w:rPr>
          <w:w w:val="105"/>
          <w:sz w:val="20"/>
        </w:rPr>
        <w:t>residential</w:t>
      </w:r>
      <w:r>
        <w:rPr>
          <w:spacing w:val="-7"/>
          <w:w w:val="105"/>
          <w:sz w:val="20"/>
        </w:rPr>
        <w:t> </w:t>
      </w:r>
      <w:r>
        <w:rPr>
          <w:spacing w:val="-3"/>
          <w:w w:val="105"/>
          <w:sz w:val="20"/>
        </w:rPr>
        <w:t>zone.</w:t>
      </w:r>
      <w:r>
        <w:rPr>
          <w:spacing w:val="-7"/>
          <w:w w:val="105"/>
          <w:sz w:val="20"/>
        </w:rPr>
        <w:t> </w:t>
      </w:r>
      <w:r>
        <w:rPr>
          <w:w w:val="105"/>
          <w:sz w:val="20"/>
        </w:rPr>
        <w:t>Housing</w:t>
      </w:r>
      <w:r>
        <w:rPr>
          <w:spacing w:val="-7"/>
          <w:w w:val="105"/>
          <w:sz w:val="20"/>
        </w:rPr>
        <w:t> </w:t>
      </w:r>
      <w:r>
        <w:rPr>
          <w:w w:val="105"/>
          <w:sz w:val="20"/>
        </w:rPr>
        <w:t>is</w:t>
      </w:r>
      <w:r>
        <w:rPr>
          <w:spacing w:val="-8"/>
          <w:w w:val="105"/>
          <w:sz w:val="20"/>
        </w:rPr>
        <w:t> </w:t>
      </w:r>
      <w:r>
        <w:rPr>
          <w:w w:val="105"/>
          <w:sz w:val="20"/>
        </w:rPr>
        <w:t>only</w:t>
      </w:r>
      <w:r>
        <w:rPr>
          <w:spacing w:val="-7"/>
          <w:w w:val="105"/>
          <w:sz w:val="20"/>
        </w:rPr>
        <w:t> </w:t>
      </w:r>
      <w:r>
        <w:rPr>
          <w:w w:val="105"/>
          <w:sz w:val="20"/>
        </w:rPr>
        <w:t>one of a number of uses that may be considered in the </w:t>
      </w:r>
      <w:r>
        <w:rPr>
          <w:spacing w:val="-3"/>
          <w:w w:val="105"/>
          <w:sz w:val="20"/>
        </w:rPr>
        <w:t>zone, </w:t>
      </w:r>
      <w:r>
        <w:rPr>
          <w:w w:val="105"/>
          <w:sz w:val="20"/>
        </w:rPr>
        <w:t>and, in some circumstances, it may be incompatible with the particular mix of uses that the </w:t>
      </w:r>
      <w:r>
        <w:rPr>
          <w:spacing w:val="-3"/>
          <w:w w:val="105"/>
          <w:sz w:val="20"/>
        </w:rPr>
        <w:t>planning </w:t>
      </w:r>
      <w:r>
        <w:rPr>
          <w:w w:val="105"/>
          <w:sz w:val="20"/>
        </w:rPr>
        <w:t>authority is seeking to</w:t>
      </w:r>
      <w:r>
        <w:rPr>
          <w:spacing w:val="11"/>
          <w:w w:val="105"/>
          <w:sz w:val="20"/>
        </w:rPr>
        <w:t> </w:t>
      </w:r>
      <w:r>
        <w:rPr>
          <w:spacing w:val="-4"/>
          <w:w w:val="105"/>
          <w:sz w:val="20"/>
        </w:rPr>
        <w:t>achieve.</w:t>
      </w:r>
      <w:r>
        <w:rPr>
          <w:spacing w:val="-4"/>
          <w:w w:val="105"/>
          <w:position w:val="7"/>
          <w:sz w:val="11"/>
        </w:rPr>
        <w:t>134</w:t>
      </w:r>
    </w:p>
    <w:p>
      <w:pPr>
        <w:pStyle w:val="ListParagraph"/>
        <w:numPr>
          <w:ilvl w:val="1"/>
          <w:numId w:val="16"/>
        </w:numPr>
        <w:tabs>
          <w:tab w:pos="2381" w:val="left" w:leader="none"/>
          <w:tab w:pos="2382" w:val="left" w:leader="none"/>
        </w:tabs>
        <w:spacing w:line="242" w:lineRule="auto" w:before="115" w:after="0"/>
        <w:ind w:left="2381" w:right="1619" w:hanging="794"/>
        <w:jc w:val="left"/>
        <w:rPr>
          <w:sz w:val="21"/>
        </w:rPr>
      </w:pPr>
      <w:r>
        <w:rPr>
          <w:spacing w:val="-3"/>
          <w:w w:val="105"/>
          <w:sz w:val="21"/>
        </w:rPr>
        <w:t>Vegetation </w:t>
      </w:r>
      <w:r>
        <w:rPr>
          <w:w w:val="105"/>
          <w:sz w:val="21"/>
        </w:rPr>
        <w:t>can serve a wide </w:t>
      </w:r>
      <w:r>
        <w:rPr>
          <w:spacing w:val="-3"/>
          <w:w w:val="105"/>
          <w:sz w:val="21"/>
        </w:rPr>
        <w:t>range </w:t>
      </w:r>
      <w:r>
        <w:rPr>
          <w:w w:val="105"/>
          <w:sz w:val="21"/>
        </w:rPr>
        <w:t>of purposes in </w:t>
      </w:r>
      <w:r>
        <w:rPr>
          <w:spacing w:val="-3"/>
          <w:w w:val="105"/>
          <w:sz w:val="21"/>
        </w:rPr>
        <w:t>rural areas. </w:t>
      </w:r>
      <w:r>
        <w:rPr>
          <w:w w:val="105"/>
          <w:sz w:val="21"/>
        </w:rPr>
        <w:t>For </w:t>
      </w:r>
      <w:r>
        <w:rPr>
          <w:spacing w:val="-3"/>
          <w:w w:val="105"/>
          <w:sz w:val="21"/>
        </w:rPr>
        <w:t>example, fallen </w:t>
      </w:r>
      <w:r>
        <w:rPr>
          <w:w w:val="105"/>
          <w:sz w:val="21"/>
        </w:rPr>
        <w:t>timber and </w:t>
      </w:r>
      <w:r>
        <w:rPr>
          <w:spacing w:val="-3"/>
          <w:w w:val="105"/>
          <w:sz w:val="21"/>
        </w:rPr>
        <w:t>ground </w:t>
      </w:r>
      <w:r>
        <w:rPr>
          <w:w w:val="105"/>
          <w:sz w:val="21"/>
        </w:rPr>
        <w:t>litter provide </w:t>
      </w:r>
      <w:r>
        <w:rPr>
          <w:spacing w:val="-3"/>
          <w:w w:val="105"/>
          <w:sz w:val="21"/>
        </w:rPr>
        <w:t>hiding, basking </w:t>
      </w:r>
      <w:r>
        <w:rPr>
          <w:w w:val="105"/>
          <w:sz w:val="21"/>
        </w:rPr>
        <w:t>and nesting places, and a </w:t>
      </w:r>
      <w:r>
        <w:rPr>
          <w:spacing w:val="-3"/>
          <w:w w:val="105"/>
          <w:sz w:val="21"/>
        </w:rPr>
        <w:t>source </w:t>
      </w:r>
      <w:r>
        <w:rPr>
          <w:w w:val="105"/>
          <w:sz w:val="21"/>
        </w:rPr>
        <w:t>of food </w:t>
      </w:r>
      <w:r>
        <w:rPr>
          <w:spacing w:val="-3"/>
          <w:w w:val="105"/>
          <w:sz w:val="21"/>
        </w:rPr>
        <w:t>for animals </w:t>
      </w:r>
      <w:r>
        <w:rPr>
          <w:w w:val="105"/>
          <w:sz w:val="21"/>
        </w:rPr>
        <w:t>and </w:t>
      </w:r>
      <w:r>
        <w:rPr>
          <w:spacing w:val="-5"/>
          <w:w w:val="105"/>
          <w:sz w:val="21"/>
        </w:rPr>
        <w:t>birds.</w:t>
      </w:r>
      <w:r>
        <w:rPr>
          <w:spacing w:val="-5"/>
          <w:w w:val="105"/>
          <w:position w:val="7"/>
          <w:sz w:val="12"/>
        </w:rPr>
        <w:t>135 </w:t>
      </w:r>
      <w:r>
        <w:rPr>
          <w:spacing w:val="-3"/>
          <w:w w:val="105"/>
          <w:sz w:val="21"/>
        </w:rPr>
        <w:t>Agriculture </w:t>
      </w:r>
      <w:r>
        <w:rPr>
          <w:w w:val="105"/>
          <w:sz w:val="21"/>
        </w:rPr>
        <w:t>Victoria </w:t>
      </w:r>
      <w:r>
        <w:rPr>
          <w:spacing w:val="-3"/>
          <w:w w:val="105"/>
          <w:sz w:val="21"/>
        </w:rPr>
        <w:t>notes that fallen </w:t>
      </w:r>
      <w:r>
        <w:rPr>
          <w:w w:val="105"/>
          <w:sz w:val="21"/>
        </w:rPr>
        <w:t>timber </w:t>
      </w:r>
      <w:r>
        <w:rPr>
          <w:spacing w:val="-4"/>
          <w:w w:val="105"/>
          <w:sz w:val="21"/>
        </w:rPr>
        <w:t>‘can </w:t>
      </w:r>
      <w:r>
        <w:rPr>
          <w:w w:val="105"/>
          <w:sz w:val="21"/>
        </w:rPr>
        <w:t>provide important stepping stones </w:t>
      </w:r>
      <w:r>
        <w:rPr>
          <w:spacing w:val="-3"/>
          <w:w w:val="105"/>
          <w:sz w:val="21"/>
        </w:rPr>
        <w:t>for </w:t>
      </w:r>
      <w:r>
        <w:rPr>
          <w:w w:val="105"/>
          <w:sz w:val="21"/>
        </w:rPr>
        <w:t>safe passage of </w:t>
      </w:r>
      <w:r>
        <w:rPr>
          <w:spacing w:val="-3"/>
          <w:w w:val="105"/>
          <w:sz w:val="21"/>
        </w:rPr>
        <w:t>wildlife </w:t>
      </w:r>
      <w:r>
        <w:rPr>
          <w:w w:val="105"/>
          <w:sz w:val="21"/>
        </w:rPr>
        <w:t>across the landscape’ and ‘messy </w:t>
      </w:r>
      <w:r>
        <w:rPr>
          <w:spacing w:val="-3"/>
          <w:w w:val="105"/>
          <w:sz w:val="21"/>
        </w:rPr>
        <w:t>branches touching </w:t>
      </w:r>
      <w:r>
        <w:rPr>
          <w:w w:val="105"/>
          <w:sz w:val="21"/>
        </w:rPr>
        <w:t>the </w:t>
      </w:r>
      <w:r>
        <w:rPr>
          <w:spacing w:val="-3"/>
          <w:w w:val="105"/>
          <w:sz w:val="21"/>
        </w:rPr>
        <w:t>ground are </w:t>
      </w:r>
      <w:r>
        <w:rPr>
          <w:w w:val="105"/>
          <w:sz w:val="21"/>
        </w:rPr>
        <w:t>important </w:t>
      </w:r>
      <w:r>
        <w:rPr>
          <w:spacing w:val="-3"/>
          <w:w w:val="105"/>
          <w:sz w:val="21"/>
        </w:rPr>
        <w:t>avenues </w:t>
      </w:r>
      <w:r>
        <w:rPr>
          <w:w w:val="105"/>
          <w:sz w:val="21"/>
        </w:rPr>
        <w:t>of </w:t>
      </w:r>
      <w:r>
        <w:rPr>
          <w:spacing w:val="-2"/>
          <w:w w:val="105"/>
          <w:sz w:val="21"/>
        </w:rPr>
        <w:t>access </w:t>
      </w:r>
      <w:r>
        <w:rPr>
          <w:spacing w:val="-3"/>
          <w:w w:val="105"/>
          <w:sz w:val="21"/>
        </w:rPr>
        <w:t>for animals such </w:t>
      </w:r>
      <w:r>
        <w:rPr>
          <w:w w:val="105"/>
          <w:sz w:val="21"/>
        </w:rPr>
        <w:t>as </w:t>
      </w:r>
      <w:r>
        <w:rPr>
          <w:spacing w:val="-3"/>
          <w:w w:val="105"/>
          <w:sz w:val="21"/>
        </w:rPr>
        <w:t>goannas </w:t>
      </w:r>
      <w:r>
        <w:rPr>
          <w:w w:val="105"/>
          <w:sz w:val="21"/>
        </w:rPr>
        <w:t>and </w:t>
      </w:r>
      <w:r>
        <w:rPr>
          <w:spacing w:val="-7"/>
          <w:w w:val="105"/>
          <w:sz w:val="21"/>
        </w:rPr>
        <w:t>snakes’.</w:t>
      </w:r>
      <w:r>
        <w:rPr>
          <w:spacing w:val="-7"/>
          <w:w w:val="105"/>
          <w:position w:val="7"/>
          <w:sz w:val="12"/>
        </w:rPr>
        <w:t>136 </w:t>
      </w:r>
      <w:r>
        <w:rPr>
          <w:spacing w:val="-4"/>
          <w:w w:val="105"/>
          <w:sz w:val="21"/>
        </w:rPr>
        <w:t>Moreover, </w:t>
      </w:r>
      <w:r>
        <w:rPr>
          <w:spacing w:val="-3"/>
          <w:w w:val="105"/>
          <w:sz w:val="21"/>
        </w:rPr>
        <w:t>single </w:t>
      </w:r>
      <w:r>
        <w:rPr>
          <w:w w:val="105"/>
          <w:sz w:val="21"/>
        </w:rPr>
        <w:t>paddock trees provide shade and </w:t>
      </w:r>
      <w:r>
        <w:rPr>
          <w:spacing w:val="-3"/>
          <w:w w:val="105"/>
          <w:sz w:val="21"/>
        </w:rPr>
        <w:t>shelter for </w:t>
      </w:r>
      <w:r>
        <w:rPr>
          <w:w w:val="105"/>
          <w:sz w:val="21"/>
        </w:rPr>
        <w:t>domestic stock and</w:t>
      </w:r>
      <w:r>
        <w:rPr>
          <w:spacing w:val="-7"/>
          <w:w w:val="105"/>
          <w:sz w:val="21"/>
        </w:rPr>
        <w:t> </w:t>
      </w:r>
      <w:r>
        <w:rPr>
          <w:spacing w:val="-3"/>
          <w:w w:val="105"/>
          <w:sz w:val="21"/>
        </w:rPr>
        <w:t>valuable</w:t>
      </w:r>
      <w:r>
        <w:rPr>
          <w:spacing w:val="-6"/>
          <w:w w:val="105"/>
          <w:sz w:val="21"/>
        </w:rPr>
        <w:t> </w:t>
      </w:r>
      <w:r>
        <w:rPr>
          <w:w w:val="105"/>
          <w:sz w:val="21"/>
        </w:rPr>
        <w:t>habitats</w:t>
      </w:r>
      <w:r>
        <w:rPr>
          <w:spacing w:val="-7"/>
          <w:w w:val="105"/>
          <w:sz w:val="21"/>
        </w:rPr>
        <w:t> </w:t>
      </w:r>
      <w:r>
        <w:rPr>
          <w:spacing w:val="-3"/>
          <w:w w:val="105"/>
          <w:sz w:val="21"/>
        </w:rPr>
        <w:t>for</w:t>
      </w:r>
      <w:r>
        <w:rPr>
          <w:spacing w:val="-6"/>
          <w:w w:val="105"/>
          <w:sz w:val="21"/>
        </w:rPr>
        <w:t> </w:t>
      </w:r>
      <w:r>
        <w:rPr>
          <w:w w:val="105"/>
          <w:sz w:val="21"/>
        </w:rPr>
        <w:t>insects,</w:t>
      </w:r>
      <w:r>
        <w:rPr>
          <w:spacing w:val="-6"/>
          <w:w w:val="105"/>
          <w:sz w:val="21"/>
        </w:rPr>
        <w:t> </w:t>
      </w:r>
      <w:r>
        <w:rPr>
          <w:spacing w:val="-3"/>
          <w:w w:val="105"/>
          <w:sz w:val="21"/>
        </w:rPr>
        <w:t>birds</w:t>
      </w:r>
      <w:r>
        <w:rPr>
          <w:spacing w:val="-7"/>
          <w:w w:val="105"/>
          <w:sz w:val="21"/>
        </w:rPr>
        <w:t> </w:t>
      </w:r>
      <w:r>
        <w:rPr>
          <w:w w:val="105"/>
          <w:sz w:val="21"/>
        </w:rPr>
        <w:t>and</w:t>
      </w:r>
      <w:r>
        <w:rPr>
          <w:spacing w:val="-6"/>
          <w:w w:val="105"/>
          <w:sz w:val="21"/>
        </w:rPr>
        <w:t> </w:t>
      </w:r>
      <w:r>
        <w:rPr>
          <w:w w:val="105"/>
          <w:sz w:val="21"/>
        </w:rPr>
        <w:t>bats.</w:t>
      </w:r>
      <w:r>
        <w:rPr>
          <w:spacing w:val="-6"/>
          <w:w w:val="105"/>
          <w:sz w:val="21"/>
        </w:rPr>
        <w:t> </w:t>
      </w:r>
      <w:r>
        <w:rPr>
          <w:spacing w:val="-3"/>
          <w:w w:val="105"/>
          <w:sz w:val="21"/>
        </w:rPr>
        <w:t>Agriculture</w:t>
      </w:r>
      <w:r>
        <w:rPr>
          <w:spacing w:val="-7"/>
          <w:w w:val="105"/>
          <w:sz w:val="21"/>
        </w:rPr>
        <w:t> </w:t>
      </w:r>
      <w:r>
        <w:rPr>
          <w:w w:val="105"/>
          <w:sz w:val="21"/>
        </w:rPr>
        <w:t>Victoria</w:t>
      </w:r>
      <w:r>
        <w:rPr>
          <w:spacing w:val="-6"/>
          <w:w w:val="105"/>
          <w:sz w:val="21"/>
        </w:rPr>
        <w:t> </w:t>
      </w:r>
      <w:r>
        <w:rPr>
          <w:w w:val="105"/>
          <w:sz w:val="21"/>
        </w:rPr>
        <w:t>state</w:t>
      </w:r>
      <w:r>
        <w:rPr>
          <w:spacing w:val="-6"/>
          <w:w w:val="105"/>
          <w:sz w:val="21"/>
        </w:rPr>
        <w:t> </w:t>
      </w:r>
      <w:r>
        <w:rPr>
          <w:spacing w:val="-3"/>
          <w:w w:val="105"/>
          <w:sz w:val="21"/>
        </w:rPr>
        <w:t>that</w:t>
      </w:r>
      <w:r>
        <w:rPr>
          <w:spacing w:val="-7"/>
          <w:w w:val="105"/>
          <w:sz w:val="21"/>
        </w:rPr>
        <w:t> </w:t>
      </w:r>
      <w:r>
        <w:rPr>
          <w:w w:val="105"/>
          <w:sz w:val="21"/>
        </w:rPr>
        <w:t>‘the</w:t>
      </w:r>
      <w:r>
        <w:rPr>
          <w:spacing w:val="-6"/>
          <w:w w:val="105"/>
          <w:sz w:val="21"/>
        </w:rPr>
        <w:t> </w:t>
      </w:r>
      <w:r>
        <w:rPr>
          <w:w w:val="105"/>
          <w:sz w:val="21"/>
        </w:rPr>
        <w:t>loss</w:t>
      </w:r>
      <w:r>
        <w:rPr>
          <w:spacing w:val="-7"/>
          <w:w w:val="105"/>
          <w:sz w:val="21"/>
        </w:rPr>
        <w:t> </w:t>
      </w:r>
      <w:r>
        <w:rPr>
          <w:w w:val="105"/>
          <w:sz w:val="21"/>
        </w:rPr>
        <w:t>of paddock trees can soon </w:t>
      </w:r>
      <w:r>
        <w:rPr>
          <w:spacing w:val="-3"/>
          <w:w w:val="105"/>
          <w:sz w:val="21"/>
        </w:rPr>
        <w:t>result </w:t>
      </w:r>
      <w:r>
        <w:rPr>
          <w:w w:val="105"/>
          <w:sz w:val="21"/>
        </w:rPr>
        <w:t>in the loss of these </w:t>
      </w:r>
      <w:r>
        <w:rPr>
          <w:spacing w:val="-3"/>
          <w:w w:val="105"/>
          <w:sz w:val="21"/>
        </w:rPr>
        <w:t>endangered</w:t>
      </w:r>
      <w:r>
        <w:rPr>
          <w:spacing w:val="29"/>
          <w:w w:val="105"/>
          <w:sz w:val="21"/>
        </w:rPr>
        <w:t> </w:t>
      </w:r>
      <w:r>
        <w:rPr>
          <w:spacing w:val="-5"/>
          <w:w w:val="105"/>
          <w:sz w:val="21"/>
        </w:rPr>
        <w:t>species’.</w:t>
      </w:r>
      <w:r>
        <w:rPr>
          <w:spacing w:val="-5"/>
          <w:w w:val="105"/>
          <w:position w:val="7"/>
          <w:sz w:val="12"/>
        </w:rPr>
        <w:t>137</w:t>
      </w:r>
    </w:p>
    <w:p>
      <w:pPr>
        <w:pStyle w:val="ListParagraph"/>
        <w:numPr>
          <w:ilvl w:val="1"/>
          <w:numId w:val="16"/>
        </w:numPr>
        <w:tabs>
          <w:tab w:pos="2380" w:val="left" w:leader="none"/>
          <w:tab w:pos="2381" w:val="left" w:leader="none"/>
        </w:tabs>
        <w:spacing w:line="242" w:lineRule="auto" w:before="129" w:after="0"/>
        <w:ind w:left="2381" w:right="1761" w:hanging="794"/>
        <w:jc w:val="left"/>
        <w:rPr>
          <w:sz w:val="21"/>
        </w:rPr>
      </w:pPr>
      <w:r>
        <w:rPr>
          <w:sz w:val="21"/>
        </w:rPr>
        <w:t>Existing </w:t>
      </w:r>
      <w:r>
        <w:rPr>
          <w:spacing w:val="-3"/>
          <w:sz w:val="21"/>
        </w:rPr>
        <w:t>legislative provisions that </w:t>
      </w:r>
      <w:r>
        <w:rPr>
          <w:sz w:val="21"/>
        </w:rPr>
        <w:t>protect  vegetation  on  </w:t>
      </w:r>
      <w:r>
        <w:rPr>
          <w:spacing w:val="-3"/>
          <w:sz w:val="21"/>
        </w:rPr>
        <w:t>private  land  </w:t>
      </w:r>
      <w:r>
        <w:rPr>
          <w:sz w:val="21"/>
        </w:rPr>
        <w:t>in  </w:t>
      </w:r>
      <w:r>
        <w:rPr>
          <w:spacing w:val="-3"/>
          <w:sz w:val="21"/>
        </w:rPr>
        <w:t>rural  areas  </w:t>
      </w:r>
      <w:r>
        <w:rPr>
          <w:sz w:val="21"/>
        </w:rPr>
        <w:t>do </w:t>
      </w:r>
      <w:r>
        <w:rPr>
          <w:spacing w:val="-2"/>
          <w:sz w:val="21"/>
        </w:rPr>
        <w:t>not </w:t>
      </w:r>
      <w:r>
        <w:rPr>
          <w:sz w:val="21"/>
        </w:rPr>
        <w:t>always extend </w:t>
      </w:r>
      <w:r>
        <w:rPr>
          <w:spacing w:val="-3"/>
          <w:sz w:val="21"/>
        </w:rPr>
        <w:t>to rural </w:t>
      </w:r>
      <w:r>
        <w:rPr>
          <w:sz w:val="21"/>
        </w:rPr>
        <w:t>activity and </w:t>
      </w:r>
      <w:r>
        <w:rPr>
          <w:spacing w:val="-3"/>
          <w:sz w:val="21"/>
        </w:rPr>
        <w:t>farming </w:t>
      </w:r>
      <w:r>
        <w:rPr>
          <w:sz w:val="21"/>
        </w:rPr>
        <w:t>zones, in order </w:t>
      </w:r>
      <w:r>
        <w:rPr>
          <w:spacing w:val="-3"/>
          <w:sz w:val="21"/>
        </w:rPr>
        <w:t>to facilitate agricultural </w:t>
      </w:r>
      <w:r>
        <w:rPr>
          <w:sz w:val="21"/>
        </w:rPr>
        <w:t>production. The Native </w:t>
      </w:r>
      <w:r>
        <w:rPr>
          <w:spacing w:val="-3"/>
          <w:sz w:val="21"/>
        </w:rPr>
        <w:t>Vegetation </w:t>
      </w:r>
      <w:r>
        <w:rPr>
          <w:sz w:val="21"/>
        </w:rPr>
        <w:t>Particular </w:t>
      </w:r>
      <w:r>
        <w:rPr>
          <w:spacing w:val="-3"/>
          <w:sz w:val="21"/>
        </w:rPr>
        <w:t>Provisions </w:t>
      </w:r>
      <w:r>
        <w:rPr>
          <w:sz w:val="21"/>
        </w:rPr>
        <w:t>do </w:t>
      </w:r>
      <w:r>
        <w:rPr>
          <w:spacing w:val="-2"/>
          <w:sz w:val="21"/>
        </w:rPr>
        <w:t>not  </w:t>
      </w:r>
      <w:r>
        <w:rPr>
          <w:sz w:val="21"/>
        </w:rPr>
        <w:t>extend </w:t>
      </w:r>
      <w:r>
        <w:rPr>
          <w:spacing w:val="-3"/>
          <w:sz w:val="21"/>
        </w:rPr>
        <w:t>to  </w:t>
      </w:r>
      <w:r>
        <w:rPr>
          <w:sz w:val="21"/>
        </w:rPr>
        <w:t>some </w:t>
      </w:r>
      <w:r>
        <w:rPr>
          <w:spacing w:val="-3"/>
          <w:sz w:val="21"/>
        </w:rPr>
        <w:t>land  </w:t>
      </w:r>
      <w:r>
        <w:rPr>
          <w:sz w:val="21"/>
        </w:rPr>
        <w:t>uses in the </w:t>
      </w:r>
      <w:r>
        <w:rPr>
          <w:spacing w:val="-3"/>
          <w:sz w:val="21"/>
        </w:rPr>
        <w:t>rural </w:t>
      </w:r>
      <w:r>
        <w:rPr>
          <w:sz w:val="21"/>
        </w:rPr>
        <w:t>activity and </w:t>
      </w:r>
      <w:r>
        <w:rPr>
          <w:spacing w:val="-3"/>
          <w:sz w:val="21"/>
        </w:rPr>
        <w:t>farming</w:t>
      </w:r>
      <w:r>
        <w:rPr>
          <w:spacing w:val="14"/>
          <w:sz w:val="21"/>
        </w:rPr>
        <w:t> </w:t>
      </w:r>
      <w:r>
        <w:rPr>
          <w:spacing w:val="-5"/>
          <w:sz w:val="21"/>
        </w:rPr>
        <w:t>zones.</w:t>
      </w:r>
      <w:r>
        <w:rPr>
          <w:spacing w:val="-5"/>
          <w:position w:val="7"/>
          <w:sz w:val="12"/>
        </w:rPr>
        <w:t>138</w:t>
      </w:r>
    </w:p>
    <w:p>
      <w:pPr>
        <w:pStyle w:val="BodyText"/>
        <w:rPr>
          <w:sz w:val="20"/>
        </w:rPr>
      </w:pPr>
    </w:p>
    <w:p>
      <w:pPr>
        <w:pStyle w:val="BodyText"/>
        <w:rPr>
          <w:sz w:val="20"/>
        </w:rPr>
      </w:pPr>
    </w:p>
    <w:p>
      <w:pPr>
        <w:pStyle w:val="BodyText"/>
        <w:rPr>
          <w:sz w:val="20"/>
        </w:rPr>
      </w:pPr>
    </w:p>
    <w:p>
      <w:pPr>
        <w:pStyle w:val="BodyText"/>
        <w:spacing w:before="1"/>
        <w:rPr>
          <w:sz w:val="26"/>
        </w:rPr>
      </w:pPr>
      <w:r>
        <w:rPr/>
        <w:pict>
          <v:line style="position:absolute;mso-position-horizontal-relative:page;mso-position-vertical-relative:paragraph;z-index:3776;mso-wrap-distance-left:0;mso-wrap-distance-right:0" from="79.370003pt,18.417879pt" to="515.905003pt,18.417879pt" stroked="true" strokeweight="1pt" strokecolor="#c9d2cb">
            <v:stroke dashstyle="solid"/>
            <w10:wrap type="topAndBottom"/>
          </v:line>
        </w:pict>
      </w:r>
    </w:p>
    <w:p>
      <w:pPr>
        <w:pStyle w:val="ListParagraph"/>
        <w:numPr>
          <w:ilvl w:val="0"/>
          <w:numId w:val="51"/>
        </w:numPr>
        <w:tabs>
          <w:tab w:pos="2380" w:val="left" w:leader="none"/>
          <w:tab w:pos="2382" w:val="left" w:leader="none"/>
        </w:tabs>
        <w:spacing w:line="240" w:lineRule="auto" w:before="117"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51"/>
        </w:numPr>
        <w:tabs>
          <w:tab w:pos="2381" w:val="left" w:leader="none"/>
          <w:tab w:pos="2382" w:val="left" w:leader="none"/>
        </w:tabs>
        <w:spacing w:line="240" w:lineRule="auto" w:before="1" w:after="0"/>
        <w:ind w:left="2381" w:right="0" w:hanging="794"/>
        <w:jc w:val="left"/>
        <w:rPr>
          <w:sz w:val="13"/>
        </w:rPr>
      </w:pPr>
      <w:r>
        <w:rPr>
          <w:w w:val="105"/>
          <w:sz w:val="13"/>
        </w:rPr>
        <w:t>Department</w:t>
      </w:r>
      <w:r>
        <w:rPr>
          <w:spacing w:val="4"/>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4"/>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Victoria</w:t>
      </w:r>
      <w:r>
        <w:rPr>
          <w:i/>
          <w:spacing w:val="4"/>
          <w:w w:val="105"/>
          <w:sz w:val="13"/>
        </w:rPr>
        <w:t> </w:t>
      </w:r>
      <w:r>
        <w:rPr>
          <w:i/>
          <w:w w:val="105"/>
          <w:sz w:val="13"/>
        </w:rPr>
        <w:t>Planning</w:t>
      </w:r>
      <w:r>
        <w:rPr>
          <w:i/>
          <w:spacing w:val="5"/>
          <w:w w:val="105"/>
          <w:sz w:val="13"/>
        </w:rPr>
        <w:t> </w:t>
      </w:r>
      <w:r>
        <w:rPr>
          <w:i/>
          <w:w w:val="105"/>
          <w:sz w:val="13"/>
        </w:rPr>
        <w:t>Provisions</w:t>
      </w:r>
      <w:r>
        <w:rPr>
          <w:i/>
          <w:spacing w:val="5"/>
          <w:w w:val="105"/>
          <w:sz w:val="13"/>
        </w:rPr>
        <w:t> </w:t>
      </w:r>
      <w:r>
        <w:rPr>
          <w:spacing w:val="-5"/>
          <w:w w:val="105"/>
          <w:sz w:val="13"/>
        </w:rPr>
        <w:t>(11</w:t>
      </w:r>
      <w:r>
        <w:rPr>
          <w:spacing w:val="5"/>
          <w:w w:val="105"/>
          <w:sz w:val="13"/>
        </w:rPr>
        <w:t> </w:t>
      </w:r>
      <w:r>
        <w:rPr>
          <w:w w:val="105"/>
          <w:sz w:val="13"/>
        </w:rPr>
        <w:t>April</w:t>
      </w:r>
      <w:r>
        <w:rPr>
          <w:spacing w:val="5"/>
          <w:w w:val="105"/>
          <w:sz w:val="13"/>
        </w:rPr>
        <w:t> </w:t>
      </w:r>
      <w:r>
        <w:rPr>
          <w:w w:val="105"/>
          <w:sz w:val="13"/>
        </w:rPr>
        <w:t>2019)</w:t>
      </w:r>
      <w:r>
        <w:rPr>
          <w:spacing w:val="4"/>
          <w:w w:val="105"/>
          <w:sz w:val="13"/>
        </w:rPr>
        <w:t> </w:t>
      </w:r>
      <w:r>
        <w:rPr>
          <w:w w:val="105"/>
          <w:sz w:val="13"/>
        </w:rPr>
        <w:t>cl</w:t>
      </w:r>
      <w:r>
        <w:rPr>
          <w:spacing w:val="5"/>
          <w:w w:val="105"/>
          <w:sz w:val="13"/>
        </w:rPr>
        <w:t> </w:t>
      </w:r>
      <w:r>
        <w:rPr>
          <w:w w:val="105"/>
          <w:sz w:val="13"/>
        </w:rPr>
        <w:t>35.07.</w:t>
      </w:r>
    </w:p>
    <w:p>
      <w:pPr>
        <w:tabs>
          <w:tab w:pos="2381" w:val="left" w:leader="none"/>
        </w:tabs>
        <w:spacing w:before="2"/>
        <w:ind w:left="1587" w:right="0" w:firstLine="0"/>
        <w:jc w:val="left"/>
        <w:rPr>
          <w:sz w:val="13"/>
        </w:rPr>
      </w:pPr>
      <w:r>
        <w:rPr>
          <w:spacing w:val="-3"/>
          <w:w w:val="105"/>
          <w:sz w:val="13"/>
        </w:rPr>
        <w:t>129</w:t>
        <w:tab/>
      </w:r>
      <w:r>
        <w:rPr>
          <w:w w:val="105"/>
          <w:sz w:val="13"/>
        </w:rPr>
        <w:t>Ibid cl</w:t>
      </w:r>
      <w:r>
        <w:rPr>
          <w:spacing w:val="9"/>
          <w:w w:val="105"/>
          <w:sz w:val="13"/>
        </w:rPr>
        <w:t> </w:t>
      </w:r>
      <w:r>
        <w:rPr>
          <w:w w:val="105"/>
          <w:sz w:val="13"/>
        </w:rPr>
        <w:t>35.071.</w:t>
      </w:r>
    </w:p>
    <w:p>
      <w:pPr>
        <w:pStyle w:val="ListParagraph"/>
        <w:numPr>
          <w:ilvl w:val="0"/>
          <w:numId w:val="52"/>
        </w:numPr>
        <w:tabs>
          <w:tab w:pos="2381" w:val="left" w:leader="none"/>
          <w:tab w:pos="2382" w:val="left" w:leader="none"/>
        </w:tabs>
        <w:spacing w:line="240" w:lineRule="auto" w:before="1" w:after="0"/>
        <w:ind w:left="2381" w:right="1708" w:hanging="794"/>
        <w:jc w:val="left"/>
        <w:rPr>
          <w:sz w:val="13"/>
        </w:rPr>
      </w:pPr>
      <w:r>
        <w:rPr>
          <w:w w:val="105"/>
          <w:sz w:val="13"/>
        </w:rPr>
        <w:t>Department of Environment, Water, Land and Planning </w:t>
      </w:r>
      <w:r>
        <w:rPr>
          <w:spacing w:val="2"/>
          <w:w w:val="105"/>
          <w:sz w:val="13"/>
        </w:rPr>
        <w:t>(Vic), </w:t>
      </w:r>
      <w:r>
        <w:rPr>
          <w:i/>
          <w:w w:val="105"/>
          <w:sz w:val="13"/>
        </w:rPr>
        <w:t>Planning Practice Note No 42: Applying the Rural Zones </w:t>
      </w:r>
      <w:r>
        <w:rPr>
          <w:w w:val="105"/>
          <w:sz w:val="13"/>
        </w:rPr>
        <w:t>(Practice Document, June 2015) 6</w:t>
      </w:r>
      <w:r>
        <w:rPr>
          <w:spacing w:val="16"/>
          <w:w w:val="105"/>
          <w:sz w:val="13"/>
        </w:rPr>
        <w:t> </w:t>
      </w:r>
      <w:r>
        <w:rPr>
          <w:w w:val="105"/>
          <w:sz w:val="13"/>
        </w:rPr>
        <w:t>&lt;https://</w:t>
      </w:r>
      <w:hyperlink r:id="rId93">
        <w:r>
          <w:rPr>
            <w:w w:val="105"/>
            <w:sz w:val="13"/>
          </w:rPr>
          <w:t>www.planning.vic.gov.au/resource-library/planning-practice-notes</w:t>
        </w:r>
      </w:hyperlink>
      <w:r>
        <w:rPr>
          <w:w w:val="105"/>
          <w:sz w:val="13"/>
        </w:rPr>
        <w:t>&gt;.</w:t>
      </w:r>
    </w:p>
    <w:p>
      <w:pPr>
        <w:pStyle w:val="ListParagraph"/>
        <w:numPr>
          <w:ilvl w:val="0"/>
          <w:numId w:val="52"/>
        </w:numPr>
        <w:tabs>
          <w:tab w:pos="2381" w:val="left" w:leader="none"/>
          <w:tab w:pos="2382" w:val="left" w:leader="none"/>
        </w:tabs>
        <w:spacing w:line="240" w:lineRule="auto" w:before="3" w:after="0"/>
        <w:ind w:left="2381" w:right="1917" w:hanging="794"/>
        <w:jc w:val="left"/>
        <w:rPr>
          <w:sz w:val="13"/>
        </w:rPr>
      </w:pPr>
      <w:r>
        <w:rPr>
          <w:w w:val="105"/>
          <w:sz w:val="13"/>
        </w:rPr>
        <w:t>Agriculture Victoria, </w:t>
      </w:r>
      <w:r>
        <w:rPr>
          <w:i/>
          <w:w w:val="105"/>
          <w:sz w:val="13"/>
        </w:rPr>
        <w:t>Tips Before Purchasing Rural Land </w:t>
      </w:r>
      <w:r>
        <w:rPr>
          <w:w w:val="105"/>
          <w:sz w:val="13"/>
        </w:rPr>
        <w:t>(Web Page, 3 August 2017) &lt;</w:t>
      </w:r>
      <w:hyperlink r:id="rId91">
        <w:r>
          <w:rPr>
            <w:w w:val="105"/>
            <w:sz w:val="13"/>
          </w:rPr>
          <w:t>http://agriculture.vic.gov.au/agriculture/farm-</w:t>
        </w:r>
      </w:hyperlink>
      <w:r>
        <w:rPr>
          <w:w w:val="105"/>
          <w:sz w:val="13"/>
        </w:rPr>
        <w:t> management/business-management/new-landholders/tips-before-purchasing-rural-land&gt;. Agriculture Victoria is a government entity supported by the Department of Jobs, Precincts and Regions. </w:t>
      </w:r>
      <w:r>
        <w:rPr>
          <w:spacing w:val="2"/>
          <w:w w:val="105"/>
          <w:sz w:val="13"/>
        </w:rPr>
        <w:t>Its </w:t>
      </w:r>
      <w:r>
        <w:rPr>
          <w:w w:val="105"/>
          <w:sz w:val="13"/>
        </w:rPr>
        <w:t>website states that it has ‘been created to give greater visibility to the agriculture activities of the department, giving a clear identity to agricultural services and initiatives with the department’: Agriculture Victoria,</w:t>
      </w:r>
      <w:r>
        <w:rPr>
          <w:spacing w:val="5"/>
          <w:w w:val="105"/>
          <w:sz w:val="13"/>
        </w:rPr>
        <w:t> </w:t>
      </w:r>
      <w:r>
        <w:rPr>
          <w:i/>
          <w:w w:val="105"/>
          <w:sz w:val="13"/>
        </w:rPr>
        <w:t>About</w:t>
      </w:r>
      <w:r>
        <w:rPr>
          <w:i/>
          <w:spacing w:val="5"/>
          <w:w w:val="105"/>
          <w:sz w:val="13"/>
        </w:rPr>
        <w:t> </w:t>
      </w:r>
      <w:r>
        <w:rPr>
          <w:i/>
          <w:w w:val="105"/>
          <w:sz w:val="13"/>
        </w:rPr>
        <w:t>Us</w:t>
      </w:r>
      <w:r>
        <w:rPr>
          <w:i/>
          <w:spacing w:val="5"/>
          <w:w w:val="105"/>
          <w:sz w:val="13"/>
        </w:rPr>
        <w:t> </w:t>
      </w:r>
      <w:r>
        <w:rPr>
          <w:w w:val="105"/>
          <w:sz w:val="13"/>
        </w:rPr>
        <w:t>(Web</w:t>
      </w:r>
      <w:r>
        <w:rPr>
          <w:spacing w:val="6"/>
          <w:w w:val="105"/>
          <w:sz w:val="13"/>
        </w:rPr>
        <w:t> </w:t>
      </w:r>
      <w:r>
        <w:rPr>
          <w:w w:val="105"/>
          <w:sz w:val="13"/>
        </w:rPr>
        <w:t>Page,</w:t>
      </w:r>
      <w:r>
        <w:rPr>
          <w:spacing w:val="5"/>
          <w:w w:val="105"/>
          <w:sz w:val="13"/>
        </w:rPr>
        <w:t> </w:t>
      </w:r>
      <w:r>
        <w:rPr>
          <w:w w:val="105"/>
          <w:sz w:val="13"/>
        </w:rPr>
        <w:t>23</w:t>
      </w:r>
      <w:r>
        <w:rPr>
          <w:spacing w:val="5"/>
          <w:w w:val="105"/>
          <w:sz w:val="13"/>
        </w:rPr>
        <w:t> </w:t>
      </w:r>
      <w:r>
        <w:rPr>
          <w:w w:val="105"/>
          <w:sz w:val="13"/>
        </w:rPr>
        <w:t>January</w:t>
      </w:r>
      <w:r>
        <w:rPr>
          <w:spacing w:val="6"/>
          <w:w w:val="105"/>
          <w:sz w:val="13"/>
        </w:rPr>
        <w:t> </w:t>
      </w:r>
      <w:r>
        <w:rPr>
          <w:w w:val="105"/>
          <w:sz w:val="13"/>
        </w:rPr>
        <w:t>2019)</w:t>
      </w:r>
      <w:r>
        <w:rPr>
          <w:spacing w:val="5"/>
          <w:w w:val="105"/>
          <w:sz w:val="13"/>
        </w:rPr>
        <w:t> </w:t>
      </w:r>
      <w:r>
        <w:rPr>
          <w:w w:val="105"/>
          <w:sz w:val="13"/>
        </w:rPr>
        <w:t>&lt;</w:t>
      </w:r>
      <w:hyperlink r:id="rId102">
        <w:r>
          <w:rPr>
            <w:w w:val="105"/>
            <w:sz w:val="13"/>
          </w:rPr>
          <w:t>http://agriculture.vic.gov.au/about-us</w:t>
        </w:r>
      </w:hyperlink>
      <w:r>
        <w:rPr>
          <w:w w:val="105"/>
          <w:sz w:val="13"/>
        </w:rPr>
        <w:t>&gt;.</w:t>
      </w:r>
    </w:p>
    <w:p>
      <w:pPr>
        <w:pStyle w:val="ListParagraph"/>
        <w:numPr>
          <w:ilvl w:val="0"/>
          <w:numId w:val="52"/>
        </w:numPr>
        <w:tabs>
          <w:tab w:pos="2381" w:val="left" w:leader="none"/>
          <w:tab w:pos="2382" w:val="left" w:leader="none"/>
        </w:tabs>
        <w:spacing w:line="240" w:lineRule="auto" w:before="6" w:after="0"/>
        <w:ind w:left="2381" w:right="0" w:hanging="794"/>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Water,</w:t>
      </w:r>
      <w:r>
        <w:rPr>
          <w:spacing w:val="5"/>
          <w:w w:val="105"/>
          <w:sz w:val="13"/>
        </w:rPr>
        <w:t> </w:t>
      </w:r>
      <w:r>
        <w:rPr>
          <w:w w:val="105"/>
          <w:sz w:val="13"/>
        </w:rPr>
        <w:t>Land</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Planning</w:t>
      </w:r>
      <w:r>
        <w:rPr>
          <w:i/>
          <w:spacing w:val="6"/>
          <w:w w:val="105"/>
          <w:sz w:val="13"/>
        </w:rPr>
        <w:t> </w:t>
      </w:r>
      <w:r>
        <w:rPr>
          <w:i/>
          <w:w w:val="105"/>
          <w:sz w:val="13"/>
        </w:rPr>
        <w:t>Practice</w:t>
      </w:r>
      <w:r>
        <w:rPr>
          <w:i/>
          <w:spacing w:val="5"/>
          <w:w w:val="105"/>
          <w:sz w:val="13"/>
        </w:rPr>
        <w:t> </w:t>
      </w:r>
      <w:r>
        <w:rPr>
          <w:i/>
          <w:w w:val="105"/>
          <w:sz w:val="13"/>
        </w:rPr>
        <w:t>Note</w:t>
      </w:r>
      <w:r>
        <w:rPr>
          <w:i/>
          <w:spacing w:val="5"/>
          <w:w w:val="105"/>
          <w:sz w:val="13"/>
        </w:rPr>
        <w:t> </w:t>
      </w:r>
      <w:r>
        <w:rPr>
          <w:i/>
          <w:w w:val="105"/>
          <w:sz w:val="13"/>
        </w:rPr>
        <w:t>No</w:t>
      </w:r>
      <w:r>
        <w:rPr>
          <w:i/>
          <w:spacing w:val="5"/>
          <w:w w:val="105"/>
          <w:sz w:val="13"/>
        </w:rPr>
        <w:t> </w:t>
      </w:r>
      <w:r>
        <w:rPr>
          <w:i/>
          <w:w w:val="105"/>
          <w:sz w:val="13"/>
        </w:rPr>
        <w:t>42:</w:t>
      </w:r>
      <w:r>
        <w:rPr>
          <w:i/>
          <w:spacing w:val="5"/>
          <w:w w:val="105"/>
          <w:sz w:val="13"/>
        </w:rPr>
        <w:t> </w:t>
      </w:r>
      <w:r>
        <w:rPr>
          <w:i/>
          <w:w w:val="105"/>
          <w:sz w:val="13"/>
        </w:rPr>
        <w:t>Applying</w:t>
      </w:r>
      <w:r>
        <w:rPr>
          <w:i/>
          <w:spacing w:val="5"/>
          <w:w w:val="105"/>
          <w:sz w:val="13"/>
        </w:rPr>
        <w:t> </w:t>
      </w:r>
      <w:r>
        <w:rPr>
          <w:i/>
          <w:w w:val="105"/>
          <w:sz w:val="13"/>
        </w:rPr>
        <w:t>the</w:t>
      </w:r>
      <w:r>
        <w:rPr>
          <w:i/>
          <w:spacing w:val="5"/>
          <w:w w:val="105"/>
          <w:sz w:val="13"/>
        </w:rPr>
        <w:t> </w:t>
      </w:r>
      <w:r>
        <w:rPr>
          <w:i/>
          <w:w w:val="105"/>
          <w:sz w:val="13"/>
        </w:rPr>
        <w:t>Rural</w:t>
      </w:r>
      <w:r>
        <w:rPr>
          <w:i/>
          <w:spacing w:val="5"/>
          <w:w w:val="105"/>
          <w:sz w:val="13"/>
        </w:rPr>
        <w:t> </w:t>
      </w:r>
      <w:r>
        <w:rPr>
          <w:i/>
          <w:w w:val="105"/>
          <w:sz w:val="13"/>
        </w:rPr>
        <w:t>Zones,</w:t>
      </w:r>
      <w:r>
        <w:rPr>
          <w:i/>
          <w:spacing w:val="5"/>
          <w:w w:val="105"/>
          <w:sz w:val="13"/>
        </w:rPr>
        <w:t> </w:t>
      </w:r>
      <w:r>
        <w:rPr>
          <w:w w:val="105"/>
          <w:sz w:val="13"/>
        </w:rPr>
        <w:t>June</w:t>
      </w:r>
      <w:r>
        <w:rPr>
          <w:spacing w:val="6"/>
          <w:w w:val="105"/>
          <w:sz w:val="13"/>
        </w:rPr>
        <w:t> </w:t>
      </w:r>
      <w:r>
        <w:rPr>
          <w:w w:val="105"/>
          <w:sz w:val="13"/>
        </w:rPr>
        <w:t>2015,</w:t>
      </w:r>
      <w:r>
        <w:rPr>
          <w:spacing w:val="5"/>
          <w:w w:val="105"/>
          <w:sz w:val="13"/>
        </w:rPr>
        <w:t> </w:t>
      </w:r>
      <w:r>
        <w:rPr>
          <w:w w:val="105"/>
          <w:sz w:val="13"/>
        </w:rPr>
        <w:t>7</w:t>
      </w:r>
    </w:p>
    <w:p>
      <w:pPr>
        <w:spacing w:before="2"/>
        <w:ind w:left="2381" w:right="0" w:firstLine="0"/>
        <w:jc w:val="left"/>
        <w:rPr>
          <w:sz w:val="13"/>
        </w:rPr>
      </w:pPr>
      <w:r>
        <w:rPr>
          <w:sz w:val="13"/>
        </w:rPr>
        <w:t>&lt;https://</w:t>
      </w:r>
      <w:hyperlink r:id="rId93">
        <w:r>
          <w:rPr>
            <w:sz w:val="13"/>
          </w:rPr>
          <w:t>www.planning.vic.gov.au/resource-library/planning-practice-notes</w:t>
        </w:r>
      </w:hyperlink>
      <w:r>
        <w:rPr>
          <w:sz w:val="13"/>
        </w:rPr>
        <w:t>&gt;.</w:t>
      </w:r>
    </w:p>
    <w:p>
      <w:pPr>
        <w:pStyle w:val="ListParagraph"/>
        <w:numPr>
          <w:ilvl w:val="0"/>
          <w:numId w:val="52"/>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52"/>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52"/>
        </w:numPr>
        <w:tabs>
          <w:tab w:pos="2381" w:val="left" w:leader="none"/>
          <w:tab w:pos="2382" w:val="left" w:leader="none"/>
        </w:tabs>
        <w:spacing w:line="240" w:lineRule="auto" w:before="2" w:after="0"/>
        <w:ind w:left="2381" w:right="1860" w:hanging="794"/>
        <w:jc w:val="left"/>
        <w:rPr>
          <w:sz w:val="13"/>
        </w:rPr>
      </w:pPr>
      <w:r>
        <w:rPr>
          <w:w w:val="105"/>
          <w:sz w:val="13"/>
        </w:rPr>
        <w:t>Agriculture Victoria, </w:t>
      </w:r>
      <w:r>
        <w:rPr>
          <w:i/>
          <w:spacing w:val="2"/>
          <w:w w:val="105"/>
          <w:sz w:val="13"/>
        </w:rPr>
        <w:t>Property </w:t>
      </w:r>
      <w:r>
        <w:rPr>
          <w:i/>
          <w:w w:val="105"/>
          <w:sz w:val="13"/>
        </w:rPr>
        <w:t>Management and the Environment </w:t>
      </w:r>
      <w:r>
        <w:rPr>
          <w:w w:val="105"/>
          <w:sz w:val="13"/>
        </w:rPr>
        <w:t>(Web Page, 3 August 2017) &lt;</w:t>
      </w:r>
      <w:hyperlink r:id="rId103">
        <w:r>
          <w:rPr>
            <w:w w:val="105"/>
            <w:sz w:val="13"/>
          </w:rPr>
          <w:t>http://agriculture.vic.gov.au/agriculture/</w:t>
        </w:r>
      </w:hyperlink>
      <w:r>
        <w:rPr>
          <w:w w:val="105"/>
          <w:sz w:val="13"/>
        </w:rPr>
        <w:t> farm-management/business-management/new-landholders/property-management-and-the-environment&gt;.</w:t>
      </w:r>
    </w:p>
    <w:p>
      <w:pPr>
        <w:pStyle w:val="ListParagraph"/>
        <w:numPr>
          <w:ilvl w:val="0"/>
          <w:numId w:val="52"/>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52"/>
        </w:numPr>
        <w:tabs>
          <w:tab w:pos="2381" w:val="left" w:leader="none"/>
          <w:tab w:pos="2382" w:val="left" w:leader="none"/>
        </w:tabs>
        <w:spacing w:line="240" w:lineRule="auto" w:before="2" w:after="0"/>
        <w:ind w:left="2381" w:right="0" w:hanging="794"/>
        <w:jc w:val="left"/>
        <w:rPr>
          <w:sz w:val="13"/>
        </w:rPr>
      </w:pPr>
      <w:r>
        <w:rPr/>
        <w:pict>
          <v:shape style="position:absolute;margin-left:36pt;margin-top:3.044667pt;width:13.2pt;height:14.25pt;mso-position-horizontal-relative:page;mso-position-vertical-relative:paragraph;z-index:5848" type="#_x0000_t202" filled="false" stroked="false">
            <v:textbox inset="0,0,0,0">
              <w:txbxContent>
                <w:p>
                  <w:pPr>
                    <w:spacing w:line="284" w:lineRule="exact" w:before="0"/>
                    <w:ind w:left="0" w:right="0" w:firstLine="0"/>
                    <w:jc w:val="left"/>
                    <w:rPr>
                      <w:b/>
                      <w:sz w:val="24"/>
                    </w:rPr>
                  </w:pPr>
                  <w:r>
                    <w:rPr>
                      <w:b/>
                      <w:color w:val="658464"/>
                      <w:spacing w:val="-2"/>
                      <w:w w:val="110"/>
                      <w:sz w:val="24"/>
                    </w:rPr>
                    <w:t>78</w:t>
                  </w:r>
                </w:p>
              </w:txbxContent>
            </v:textbox>
            <w10:wrap type="none"/>
          </v:shape>
        </w:pict>
      </w:r>
      <w:r>
        <w:rPr>
          <w:sz w:val="13"/>
        </w:rPr>
        <w:t>Ibid.</w:t>
      </w:r>
    </w:p>
    <w:p>
      <w:pPr>
        <w:pStyle w:val="ListParagraph"/>
        <w:numPr>
          <w:ilvl w:val="0"/>
          <w:numId w:val="52"/>
        </w:numPr>
        <w:tabs>
          <w:tab w:pos="2381" w:val="left" w:leader="none"/>
          <w:tab w:pos="2382" w:val="left" w:leader="none"/>
        </w:tabs>
        <w:spacing w:line="240" w:lineRule="auto" w:before="1" w:after="0"/>
        <w:ind w:left="2381" w:right="0" w:hanging="794"/>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Victoria</w:t>
      </w:r>
      <w:r>
        <w:rPr>
          <w:i/>
          <w:spacing w:val="5"/>
          <w:w w:val="105"/>
          <w:sz w:val="13"/>
        </w:rPr>
        <w:t> </w:t>
      </w:r>
      <w:r>
        <w:rPr>
          <w:i/>
          <w:w w:val="105"/>
          <w:sz w:val="13"/>
        </w:rPr>
        <w:t>Planning</w:t>
      </w:r>
      <w:r>
        <w:rPr>
          <w:i/>
          <w:spacing w:val="5"/>
          <w:w w:val="105"/>
          <w:sz w:val="13"/>
        </w:rPr>
        <w:t> </w:t>
      </w:r>
      <w:r>
        <w:rPr>
          <w:i/>
          <w:w w:val="105"/>
          <w:sz w:val="13"/>
        </w:rPr>
        <w:t>Provisions</w:t>
      </w:r>
      <w:r>
        <w:rPr>
          <w:i/>
          <w:spacing w:val="5"/>
          <w:w w:val="105"/>
          <w:sz w:val="13"/>
        </w:rPr>
        <w:t> </w:t>
      </w:r>
      <w:r>
        <w:rPr>
          <w:spacing w:val="-5"/>
          <w:w w:val="105"/>
          <w:sz w:val="13"/>
        </w:rPr>
        <w:t>(11</w:t>
      </w:r>
      <w:r>
        <w:rPr>
          <w:spacing w:val="5"/>
          <w:w w:val="105"/>
          <w:sz w:val="13"/>
        </w:rPr>
        <w:t> </w:t>
      </w:r>
      <w:r>
        <w:rPr>
          <w:w w:val="105"/>
          <w:sz w:val="13"/>
        </w:rPr>
        <w:t>April</w:t>
      </w:r>
      <w:r>
        <w:rPr>
          <w:spacing w:val="5"/>
          <w:w w:val="105"/>
          <w:sz w:val="13"/>
        </w:rPr>
        <w:t> </w:t>
      </w:r>
      <w:r>
        <w:rPr>
          <w:w w:val="105"/>
          <w:sz w:val="13"/>
        </w:rPr>
        <w:t>2019)</w:t>
      </w:r>
      <w:r>
        <w:rPr>
          <w:spacing w:val="5"/>
          <w:w w:val="105"/>
          <w:sz w:val="13"/>
        </w:rPr>
        <w:t> </w:t>
      </w:r>
      <w:r>
        <w:rPr>
          <w:w w:val="105"/>
          <w:sz w:val="13"/>
        </w:rPr>
        <w:t>cl</w:t>
      </w:r>
      <w:r>
        <w:rPr>
          <w:spacing w:val="5"/>
          <w:w w:val="105"/>
          <w:sz w:val="13"/>
        </w:rPr>
        <w:t> </w:t>
      </w:r>
      <w:r>
        <w:rPr>
          <w:spacing w:val="-4"/>
          <w:w w:val="105"/>
          <w:sz w:val="13"/>
        </w:rPr>
        <w:t>52.17-7</w:t>
      </w:r>
      <w:r>
        <w:rPr>
          <w:spacing w:val="5"/>
          <w:w w:val="105"/>
          <w:sz w:val="13"/>
        </w:rPr>
        <w:t> </w:t>
      </w:r>
      <w:r>
        <w:rPr>
          <w:w w:val="105"/>
          <w:sz w:val="13"/>
        </w:rPr>
        <w:t>‘Table</w:t>
      </w:r>
      <w:r>
        <w:rPr>
          <w:spacing w:val="5"/>
          <w:w w:val="105"/>
          <w:sz w:val="13"/>
        </w:rPr>
        <w:t> </w:t>
      </w:r>
      <w:r>
        <w:rPr>
          <w:w w:val="105"/>
          <w:sz w:val="13"/>
        </w:rPr>
        <w:t>of</w:t>
      </w:r>
      <w:r>
        <w:rPr>
          <w:spacing w:val="5"/>
          <w:w w:val="105"/>
          <w:sz w:val="13"/>
        </w:rPr>
        <w:t> </w:t>
      </w:r>
      <w:r>
        <w:rPr>
          <w:w w:val="105"/>
          <w:sz w:val="13"/>
        </w:rPr>
        <w:t>exemptions’.</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16"/>
        </w:numPr>
        <w:tabs>
          <w:tab w:pos="2380" w:val="left" w:leader="none"/>
          <w:tab w:pos="2381" w:val="left" w:leader="none"/>
        </w:tabs>
        <w:spacing w:line="242" w:lineRule="auto" w:before="91" w:after="0"/>
        <w:ind w:left="2381" w:right="1788" w:hanging="794"/>
        <w:jc w:val="left"/>
        <w:rPr>
          <w:sz w:val="21"/>
        </w:rPr>
      </w:pPr>
      <w:r>
        <w:rPr>
          <w:sz w:val="21"/>
        </w:rPr>
        <w:t>HVP </w:t>
      </w:r>
      <w:r>
        <w:rPr>
          <w:spacing w:val="-3"/>
          <w:sz w:val="21"/>
        </w:rPr>
        <w:t>Plantations </w:t>
      </w:r>
      <w:r>
        <w:rPr>
          <w:sz w:val="21"/>
        </w:rPr>
        <w:t>is </w:t>
      </w:r>
      <w:r>
        <w:rPr>
          <w:spacing w:val="-3"/>
          <w:sz w:val="21"/>
        </w:rPr>
        <w:t>Victoria’s </w:t>
      </w:r>
      <w:r>
        <w:rPr>
          <w:sz w:val="21"/>
        </w:rPr>
        <w:t>largest  </w:t>
      </w:r>
      <w:r>
        <w:rPr>
          <w:spacing w:val="-3"/>
          <w:sz w:val="21"/>
        </w:rPr>
        <w:t>plantation  </w:t>
      </w:r>
      <w:r>
        <w:rPr>
          <w:spacing w:val="-4"/>
          <w:sz w:val="21"/>
        </w:rPr>
        <w:t>owner.  </w:t>
      </w:r>
      <w:r>
        <w:rPr>
          <w:sz w:val="21"/>
        </w:rPr>
        <w:t>It  owns  </w:t>
      </w:r>
      <w:r>
        <w:rPr>
          <w:spacing w:val="-3"/>
          <w:sz w:val="21"/>
        </w:rPr>
        <w:t>native  bushland,  </w:t>
      </w:r>
      <w:r>
        <w:rPr>
          <w:spacing w:val="-2"/>
          <w:sz w:val="21"/>
        </w:rPr>
        <w:t>forest </w:t>
      </w:r>
      <w:r>
        <w:rPr>
          <w:sz w:val="21"/>
        </w:rPr>
        <w:t>and managed </w:t>
      </w:r>
      <w:r>
        <w:rPr>
          <w:spacing w:val="-3"/>
          <w:sz w:val="21"/>
        </w:rPr>
        <w:t>plantations, operating </w:t>
      </w:r>
      <w:r>
        <w:rPr>
          <w:sz w:val="21"/>
        </w:rPr>
        <w:t>as a ‘tree farmer’ </w:t>
      </w:r>
      <w:r>
        <w:rPr>
          <w:spacing w:val="-3"/>
          <w:sz w:val="21"/>
        </w:rPr>
        <w:t>that </w:t>
      </w:r>
      <w:r>
        <w:rPr>
          <w:sz w:val="21"/>
        </w:rPr>
        <w:t>grows and harvests trees </w:t>
      </w:r>
      <w:r>
        <w:rPr>
          <w:spacing w:val="-3"/>
          <w:sz w:val="21"/>
        </w:rPr>
        <w:t>for </w:t>
      </w:r>
      <w:r>
        <w:rPr>
          <w:sz w:val="21"/>
        </w:rPr>
        <w:t>sale </w:t>
      </w:r>
      <w:r>
        <w:rPr>
          <w:spacing w:val="-3"/>
          <w:sz w:val="21"/>
        </w:rPr>
        <w:t>to </w:t>
      </w:r>
      <w:r>
        <w:rPr>
          <w:sz w:val="21"/>
        </w:rPr>
        <w:t>timber </w:t>
      </w:r>
      <w:r>
        <w:rPr>
          <w:spacing w:val="-4"/>
          <w:sz w:val="21"/>
        </w:rPr>
        <w:t>customers.</w:t>
      </w:r>
      <w:r>
        <w:rPr>
          <w:spacing w:val="-4"/>
          <w:position w:val="7"/>
          <w:sz w:val="12"/>
        </w:rPr>
        <w:t>139 </w:t>
      </w:r>
      <w:r>
        <w:rPr>
          <w:sz w:val="21"/>
        </w:rPr>
        <w:t>HVP </w:t>
      </w:r>
      <w:r>
        <w:rPr>
          <w:spacing w:val="-3"/>
          <w:sz w:val="21"/>
        </w:rPr>
        <w:t>Plantations noted differences </w:t>
      </w:r>
      <w:r>
        <w:rPr>
          <w:sz w:val="21"/>
        </w:rPr>
        <w:t>between urban and </w:t>
      </w:r>
      <w:r>
        <w:rPr>
          <w:spacing w:val="-3"/>
          <w:sz w:val="21"/>
        </w:rPr>
        <w:t>rural parcels </w:t>
      </w:r>
      <w:r>
        <w:rPr>
          <w:sz w:val="21"/>
        </w:rPr>
        <w:t>of </w:t>
      </w:r>
      <w:r>
        <w:rPr>
          <w:spacing w:val="-3"/>
          <w:sz w:val="21"/>
        </w:rPr>
        <w:t>land. </w:t>
      </w:r>
      <w:r>
        <w:rPr>
          <w:sz w:val="21"/>
        </w:rPr>
        <w:t>In the urban</w:t>
      </w:r>
      <w:r>
        <w:rPr>
          <w:spacing w:val="13"/>
          <w:sz w:val="21"/>
        </w:rPr>
        <w:t> </w:t>
      </w:r>
      <w:r>
        <w:rPr>
          <w:spacing w:val="-3"/>
          <w:sz w:val="21"/>
        </w:rPr>
        <w:t>environment:</w:t>
      </w:r>
    </w:p>
    <w:p>
      <w:pPr>
        <w:spacing w:line="254" w:lineRule="auto" w:before="134"/>
        <w:ind w:left="2834" w:right="1558" w:firstLine="0"/>
        <w:jc w:val="left"/>
        <w:rPr>
          <w:sz w:val="11"/>
        </w:rPr>
      </w:pPr>
      <w:r>
        <w:rPr>
          <w:w w:val="105"/>
          <w:sz w:val="20"/>
        </w:rPr>
        <w:t>The number of trees managed by </w:t>
      </w:r>
      <w:r>
        <w:rPr>
          <w:spacing w:val="-2"/>
          <w:w w:val="105"/>
          <w:sz w:val="20"/>
        </w:rPr>
        <w:t>any </w:t>
      </w:r>
      <w:r>
        <w:rPr>
          <w:w w:val="105"/>
          <w:sz w:val="20"/>
        </w:rPr>
        <w:t>one landowner is generally </w:t>
      </w:r>
      <w:r>
        <w:rPr>
          <w:spacing w:val="-5"/>
          <w:w w:val="105"/>
          <w:sz w:val="20"/>
        </w:rPr>
        <w:t>few, </w:t>
      </w:r>
      <w:r>
        <w:rPr>
          <w:w w:val="105"/>
          <w:sz w:val="20"/>
        </w:rPr>
        <w:t>and a landowner may</w:t>
      </w:r>
      <w:r>
        <w:rPr>
          <w:spacing w:val="-8"/>
          <w:w w:val="105"/>
          <w:sz w:val="20"/>
        </w:rPr>
        <w:t> </w:t>
      </w:r>
      <w:r>
        <w:rPr>
          <w:w w:val="105"/>
          <w:sz w:val="20"/>
        </w:rPr>
        <w:t>reasonably</w:t>
      </w:r>
      <w:r>
        <w:rPr>
          <w:spacing w:val="-8"/>
          <w:w w:val="105"/>
          <w:sz w:val="20"/>
        </w:rPr>
        <w:t> </w:t>
      </w:r>
      <w:r>
        <w:rPr>
          <w:w w:val="105"/>
          <w:sz w:val="20"/>
        </w:rPr>
        <w:t>be</w:t>
      </w:r>
      <w:r>
        <w:rPr>
          <w:spacing w:val="-7"/>
          <w:w w:val="105"/>
          <w:sz w:val="20"/>
        </w:rPr>
        <w:t> </w:t>
      </w:r>
      <w:r>
        <w:rPr>
          <w:w w:val="105"/>
          <w:sz w:val="20"/>
        </w:rPr>
        <w:t>expected</w:t>
      </w:r>
      <w:r>
        <w:rPr>
          <w:spacing w:val="-8"/>
          <w:w w:val="105"/>
          <w:sz w:val="20"/>
        </w:rPr>
        <w:t> </w:t>
      </w:r>
      <w:r>
        <w:rPr>
          <w:w w:val="105"/>
          <w:sz w:val="20"/>
        </w:rPr>
        <w:t>to</w:t>
      </w:r>
      <w:r>
        <w:rPr>
          <w:spacing w:val="-7"/>
          <w:w w:val="105"/>
          <w:sz w:val="20"/>
        </w:rPr>
        <w:t> </w:t>
      </w:r>
      <w:r>
        <w:rPr>
          <w:w w:val="105"/>
          <w:sz w:val="20"/>
        </w:rPr>
        <w:t>keep</w:t>
      </w:r>
      <w:r>
        <w:rPr>
          <w:spacing w:val="-8"/>
          <w:w w:val="105"/>
          <w:sz w:val="20"/>
        </w:rPr>
        <w:t> </w:t>
      </w:r>
      <w:r>
        <w:rPr>
          <w:w w:val="105"/>
          <w:sz w:val="20"/>
        </w:rPr>
        <w:t>an</w:t>
      </w:r>
      <w:r>
        <w:rPr>
          <w:spacing w:val="-7"/>
          <w:w w:val="105"/>
          <w:sz w:val="20"/>
        </w:rPr>
        <w:t> </w:t>
      </w:r>
      <w:r>
        <w:rPr>
          <w:w w:val="105"/>
          <w:sz w:val="20"/>
        </w:rPr>
        <w:t>eye</w:t>
      </w:r>
      <w:r>
        <w:rPr>
          <w:spacing w:val="-8"/>
          <w:w w:val="105"/>
          <w:sz w:val="20"/>
        </w:rPr>
        <w:t> </w:t>
      </w:r>
      <w:r>
        <w:rPr>
          <w:w w:val="105"/>
          <w:sz w:val="20"/>
        </w:rPr>
        <w:t>on</w:t>
      </w:r>
      <w:r>
        <w:rPr>
          <w:spacing w:val="-7"/>
          <w:w w:val="105"/>
          <w:sz w:val="20"/>
        </w:rPr>
        <w:t> </w:t>
      </w:r>
      <w:r>
        <w:rPr>
          <w:w w:val="105"/>
          <w:sz w:val="20"/>
        </w:rPr>
        <w:t>the</w:t>
      </w:r>
      <w:r>
        <w:rPr>
          <w:spacing w:val="-8"/>
          <w:w w:val="105"/>
          <w:sz w:val="20"/>
        </w:rPr>
        <w:t> </w:t>
      </w:r>
      <w:r>
        <w:rPr>
          <w:w w:val="105"/>
          <w:sz w:val="20"/>
        </w:rPr>
        <w:t>state</w:t>
      </w:r>
      <w:r>
        <w:rPr>
          <w:spacing w:val="-7"/>
          <w:w w:val="105"/>
          <w:sz w:val="20"/>
        </w:rPr>
        <w:t> </w:t>
      </w:r>
      <w:r>
        <w:rPr>
          <w:w w:val="105"/>
          <w:sz w:val="20"/>
        </w:rPr>
        <w:t>of</w:t>
      </w:r>
      <w:r>
        <w:rPr>
          <w:spacing w:val="-8"/>
          <w:w w:val="105"/>
          <w:sz w:val="20"/>
        </w:rPr>
        <w:t> </w:t>
      </w:r>
      <w:r>
        <w:rPr>
          <w:w w:val="105"/>
          <w:sz w:val="20"/>
        </w:rPr>
        <w:t>the</w:t>
      </w:r>
      <w:r>
        <w:rPr>
          <w:spacing w:val="-7"/>
          <w:w w:val="105"/>
          <w:sz w:val="20"/>
        </w:rPr>
        <w:t> </w:t>
      </w:r>
      <w:r>
        <w:rPr>
          <w:w w:val="105"/>
          <w:sz w:val="20"/>
        </w:rPr>
        <w:t>trees</w:t>
      </w:r>
      <w:r>
        <w:rPr>
          <w:spacing w:val="-8"/>
          <w:w w:val="105"/>
          <w:sz w:val="20"/>
        </w:rPr>
        <w:t> </w:t>
      </w:r>
      <w:r>
        <w:rPr>
          <w:w w:val="105"/>
          <w:sz w:val="20"/>
        </w:rPr>
        <w:t>in</w:t>
      </w:r>
      <w:r>
        <w:rPr>
          <w:spacing w:val="-7"/>
          <w:w w:val="105"/>
          <w:sz w:val="20"/>
        </w:rPr>
        <w:t> </w:t>
      </w:r>
      <w:r>
        <w:rPr>
          <w:w w:val="105"/>
          <w:sz w:val="20"/>
        </w:rPr>
        <w:t>their</w:t>
      </w:r>
      <w:r>
        <w:rPr>
          <w:spacing w:val="-8"/>
          <w:w w:val="105"/>
          <w:sz w:val="20"/>
        </w:rPr>
        <w:t> </w:t>
      </w:r>
      <w:r>
        <w:rPr>
          <w:w w:val="105"/>
          <w:sz w:val="20"/>
        </w:rPr>
        <w:t>garden,</w:t>
      </w:r>
      <w:r>
        <w:rPr>
          <w:spacing w:val="-7"/>
          <w:w w:val="105"/>
          <w:sz w:val="20"/>
        </w:rPr>
        <w:t> </w:t>
      </w:r>
      <w:r>
        <w:rPr>
          <w:w w:val="105"/>
          <w:sz w:val="20"/>
        </w:rPr>
        <w:t>but in a </w:t>
      </w:r>
      <w:r>
        <w:rPr>
          <w:spacing w:val="-3"/>
          <w:w w:val="105"/>
          <w:sz w:val="20"/>
        </w:rPr>
        <w:t>rural environment, </w:t>
      </w:r>
      <w:r>
        <w:rPr>
          <w:w w:val="105"/>
          <w:sz w:val="20"/>
        </w:rPr>
        <w:t>large numbers of trees over significant lengths of boundary can be </w:t>
      </w:r>
      <w:r>
        <w:rPr>
          <w:spacing w:val="-3"/>
          <w:w w:val="105"/>
          <w:sz w:val="20"/>
        </w:rPr>
        <w:t>involved. </w:t>
      </w:r>
      <w:r>
        <w:rPr>
          <w:w w:val="105"/>
          <w:sz w:val="20"/>
        </w:rPr>
        <w:t>Regular inspection of such trees is mostly impractical, and a tree which is </w:t>
      </w:r>
      <w:r>
        <w:rPr>
          <w:spacing w:val="-4"/>
          <w:w w:val="105"/>
          <w:sz w:val="20"/>
        </w:rPr>
        <w:t>“defective” </w:t>
      </w:r>
      <w:r>
        <w:rPr>
          <w:w w:val="105"/>
          <w:sz w:val="20"/>
        </w:rPr>
        <w:t>is also </w:t>
      </w:r>
      <w:r>
        <w:rPr>
          <w:spacing w:val="-3"/>
          <w:w w:val="105"/>
          <w:sz w:val="20"/>
        </w:rPr>
        <w:t>likely </w:t>
      </w:r>
      <w:r>
        <w:rPr>
          <w:w w:val="105"/>
          <w:sz w:val="20"/>
        </w:rPr>
        <w:t>to be a tree with significant habitat value which is valued by the </w:t>
      </w:r>
      <w:r>
        <w:rPr>
          <w:spacing w:val="-4"/>
          <w:w w:val="105"/>
          <w:sz w:val="20"/>
        </w:rPr>
        <w:t>community.</w:t>
      </w:r>
      <w:r>
        <w:rPr>
          <w:spacing w:val="-4"/>
          <w:w w:val="105"/>
          <w:position w:val="7"/>
          <w:sz w:val="11"/>
        </w:rPr>
        <w:t>140</w:t>
      </w:r>
    </w:p>
    <w:p>
      <w:pPr>
        <w:pStyle w:val="ListParagraph"/>
        <w:numPr>
          <w:ilvl w:val="1"/>
          <w:numId w:val="16"/>
        </w:numPr>
        <w:tabs>
          <w:tab w:pos="2381" w:val="left" w:leader="none"/>
          <w:tab w:pos="2382" w:val="left" w:leader="none"/>
        </w:tabs>
        <w:spacing w:line="242" w:lineRule="auto" w:before="118" w:after="0"/>
        <w:ind w:left="2381" w:right="1630" w:hanging="794"/>
        <w:jc w:val="left"/>
        <w:rPr>
          <w:sz w:val="21"/>
        </w:rPr>
      </w:pPr>
      <w:r>
        <w:rPr>
          <w:w w:val="105"/>
          <w:sz w:val="21"/>
        </w:rPr>
        <w:t>HVP </w:t>
      </w:r>
      <w:r>
        <w:rPr>
          <w:spacing w:val="-3"/>
          <w:w w:val="105"/>
          <w:sz w:val="21"/>
        </w:rPr>
        <w:t>Plantations </w:t>
      </w:r>
      <w:r>
        <w:rPr>
          <w:spacing w:val="-2"/>
          <w:w w:val="105"/>
          <w:sz w:val="21"/>
        </w:rPr>
        <w:t>has </w:t>
      </w:r>
      <w:r>
        <w:rPr>
          <w:w w:val="105"/>
          <w:sz w:val="21"/>
        </w:rPr>
        <w:t>240,000 hectares of </w:t>
      </w:r>
      <w:r>
        <w:rPr>
          <w:spacing w:val="-3"/>
          <w:w w:val="105"/>
          <w:sz w:val="21"/>
        </w:rPr>
        <w:t>land </w:t>
      </w:r>
      <w:r>
        <w:rPr>
          <w:w w:val="105"/>
          <w:sz w:val="21"/>
        </w:rPr>
        <w:t>and </w:t>
      </w:r>
      <w:r>
        <w:rPr>
          <w:spacing w:val="-3"/>
          <w:w w:val="105"/>
          <w:sz w:val="21"/>
        </w:rPr>
        <w:t>around </w:t>
      </w:r>
      <w:r>
        <w:rPr>
          <w:spacing w:val="-5"/>
          <w:w w:val="105"/>
          <w:sz w:val="21"/>
        </w:rPr>
        <w:t>920 </w:t>
      </w:r>
      <w:r>
        <w:rPr>
          <w:spacing w:val="-3"/>
          <w:w w:val="105"/>
          <w:sz w:val="21"/>
        </w:rPr>
        <w:t>kilometres </w:t>
      </w:r>
      <w:r>
        <w:rPr>
          <w:w w:val="105"/>
          <w:sz w:val="21"/>
        </w:rPr>
        <w:t>of direct boundaries</w:t>
      </w:r>
      <w:r>
        <w:rPr>
          <w:spacing w:val="-7"/>
          <w:w w:val="105"/>
          <w:sz w:val="21"/>
        </w:rPr>
        <w:t> </w:t>
      </w:r>
      <w:r>
        <w:rPr>
          <w:spacing w:val="-3"/>
          <w:w w:val="105"/>
          <w:sz w:val="21"/>
        </w:rPr>
        <w:t>to</w:t>
      </w:r>
      <w:r>
        <w:rPr>
          <w:spacing w:val="-7"/>
          <w:w w:val="105"/>
          <w:sz w:val="21"/>
        </w:rPr>
        <w:t> </w:t>
      </w:r>
      <w:r>
        <w:rPr>
          <w:w w:val="105"/>
          <w:sz w:val="21"/>
        </w:rPr>
        <w:t>other</w:t>
      </w:r>
      <w:r>
        <w:rPr>
          <w:spacing w:val="-7"/>
          <w:w w:val="105"/>
          <w:sz w:val="21"/>
        </w:rPr>
        <w:t> </w:t>
      </w:r>
      <w:r>
        <w:rPr>
          <w:spacing w:val="-3"/>
          <w:w w:val="105"/>
          <w:sz w:val="21"/>
        </w:rPr>
        <w:t>private</w:t>
      </w:r>
      <w:r>
        <w:rPr>
          <w:spacing w:val="-7"/>
          <w:w w:val="105"/>
          <w:sz w:val="21"/>
        </w:rPr>
        <w:t> </w:t>
      </w:r>
      <w:r>
        <w:rPr>
          <w:spacing w:val="-3"/>
          <w:w w:val="105"/>
          <w:sz w:val="21"/>
        </w:rPr>
        <w:t>land</w:t>
      </w:r>
      <w:r>
        <w:rPr>
          <w:spacing w:val="-7"/>
          <w:w w:val="105"/>
          <w:sz w:val="21"/>
        </w:rPr>
        <w:t> </w:t>
      </w:r>
      <w:r>
        <w:rPr>
          <w:spacing w:val="-4"/>
          <w:w w:val="105"/>
          <w:sz w:val="21"/>
        </w:rPr>
        <w:t>holders.</w:t>
      </w:r>
      <w:r>
        <w:rPr>
          <w:spacing w:val="-4"/>
          <w:w w:val="105"/>
          <w:position w:val="7"/>
          <w:sz w:val="12"/>
        </w:rPr>
        <w:t>141</w:t>
      </w:r>
      <w:r>
        <w:rPr>
          <w:spacing w:val="16"/>
          <w:w w:val="105"/>
          <w:position w:val="7"/>
          <w:sz w:val="12"/>
        </w:rPr>
        <w:t> </w:t>
      </w:r>
      <w:r>
        <w:rPr>
          <w:w w:val="105"/>
          <w:sz w:val="21"/>
        </w:rPr>
        <w:t>In</w:t>
      </w:r>
      <w:r>
        <w:rPr>
          <w:spacing w:val="-7"/>
          <w:w w:val="105"/>
          <w:sz w:val="21"/>
        </w:rPr>
        <w:t> </w:t>
      </w:r>
      <w:r>
        <w:rPr>
          <w:w w:val="105"/>
          <w:sz w:val="21"/>
        </w:rPr>
        <w:t>some</w:t>
      </w:r>
      <w:r>
        <w:rPr>
          <w:spacing w:val="-6"/>
          <w:w w:val="105"/>
          <w:sz w:val="21"/>
        </w:rPr>
        <w:t> </w:t>
      </w:r>
      <w:r>
        <w:rPr>
          <w:w w:val="105"/>
          <w:sz w:val="21"/>
        </w:rPr>
        <w:t>cases</w:t>
      </w:r>
      <w:r>
        <w:rPr>
          <w:spacing w:val="-7"/>
          <w:w w:val="105"/>
          <w:sz w:val="21"/>
        </w:rPr>
        <w:t> </w:t>
      </w:r>
      <w:r>
        <w:rPr>
          <w:w w:val="105"/>
          <w:sz w:val="21"/>
        </w:rPr>
        <w:t>a</w:t>
      </w:r>
      <w:r>
        <w:rPr>
          <w:spacing w:val="-7"/>
          <w:w w:val="105"/>
          <w:sz w:val="21"/>
        </w:rPr>
        <w:t> </w:t>
      </w:r>
      <w:r>
        <w:rPr>
          <w:spacing w:val="-3"/>
          <w:w w:val="105"/>
          <w:sz w:val="21"/>
        </w:rPr>
        <w:t>farmer</w:t>
      </w:r>
      <w:r>
        <w:rPr>
          <w:spacing w:val="-7"/>
          <w:w w:val="105"/>
          <w:sz w:val="21"/>
        </w:rPr>
        <w:t> </w:t>
      </w:r>
      <w:r>
        <w:rPr>
          <w:spacing w:val="-3"/>
          <w:w w:val="105"/>
          <w:sz w:val="21"/>
        </w:rPr>
        <w:t>may</w:t>
      </w:r>
      <w:r>
        <w:rPr>
          <w:spacing w:val="-7"/>
          <w:w w:val="105"/>
          <w:sz w:val="21"/>
        </w:rPr>
        <w:t> </w:t>
      </w:r>
      <w:r>
        <w:rPr>
          <w:w w:val="105"/>
          <w:sz w:val="21"/>
        </w:rPr>
        <w:t>also</w:t>
      </w:r>
      <w:r>
        <w:rPr>
          <w:spacing w:val="-7"/>
          <w:w w:val="105"/>
          <w:sz w:val="21"/>
        </w:rPr>
        <w:t> </w:t>
      </w:r>
      <w:r>
        <w:rPr>
          <w:spacing w:val="-3"/>
          <w:w w:val="105"/>
          <w:sz w:val="21"/>
        </w:rPr>
        <w:t>have</w:t>
      </w:r>
      <w:r>
        <w:rPr>
          <w:spacing w:val="-6"/>
          <w:w w:val="105"/>
          <w:sz w:val="21"/>
        </w:rPr>
        <w:t> </w:t>
      </w:r>
      <w:r>
        <w:rPr>
          <w:spacing w:val="-3"/>
          <w:w w:val="105"/>
          <w:sz w:val="21"/>
        </w:rPr>
        <w:t>multiple </w:t>
      </w:r>
      <w:r>
        <w:rPr>
          <w:w w:val="105"/>
          <w:sz w:val="21"/>
        </w:rPr>
        <w:t>neighbours where </w:t>
      </w:r>
      <w:r>
        <w:rPr>
          <w:spacing w:val="-3"/>
          <w:w w:val="105"/>
          <w:sz w:val="21"/>
        </w:rPr>
        <w:t>subdivision </w:t>
      </w:r>
      <w:r>
        <w:rPr>
          <w:spacing w:val="-2"/>
          <w:w w:val="105"/>
          <w:sz w:val="21"/>
        </w:rPr>
        <w:t>has </w:t>
      </w:r>
      <w:r>
        <w:rPr>
          <w:spacing w:val="-3"/>
          <w:w w:val="105"/>
          <w:sz w:val="21"/>
        </w:rPr>
        <w:t>occurred </w:t>
      </w:r>
      <w:r>
        <w:rPr>
          <w:w w:val="105"/>
          <w:sz w:val="21"/>
        </w:rPr>
        <w:t>on a </w:t>
      </w:r>
      <w:r>
        <w:rPr>
          <w:spacing w:val="-3"/>
          <w:w w:val="105"/>
          <w:sz w:val="21"/>
        </w:rPr>
        <w:t>neighbouring </w:t>
      </w:r>
      <w:r>
        <w:rPr>
          <w:spacing w:val="-4"/>
          <w:w w:val="105"/>
          <w:sz w:val="21"/>
        </w:rPr>
        <w:t>property.</w:t>
      </w:r>
      <w:r>
        <w:rPr>
          <w:spacing w:val="-4"/>
          <w:w w:val="105"/>
          <w:position w:val="7"/>
          <w:sz w:val="12"/>
        </w:rPr>
        <w:t>142  </w:t>
      </w:r>
      <w:r>
        <w:rPr>
          <w:w w:val="105"/>
          <w:sz w:val="21"/>
        </w:rPr>
        <w:t>HVP </w:t>
      </w:r>
      <w:r>
        <w:rPr>
          <w:spacing w:val="-3"/>
          <w:w w:val="105"/>
          <w:sz w:val="21"/>
        </w:rPr>
        <w:t>noted  that ‘it </w:t>
      </w:r>
      <w:r>
        <w:rPr>
          <w:w w:val="105"/>
          <w:sz w:val="21"/>
        </w:rPr>
        <w:t>is </w:t>
      </w:r>
      <w:r>
        <w:rPr>
          <w:spacing w:val="-3"/>
          <w:w w:val="105"/>
          <w:sz w:val="21"/>
        </w:rPr>
        <w:t>unjust </w:t>
      </w:r>
      <w:r>
        <w:rPr>
          <w:w w:val="105"/>
          <w:sz w:val="21"/>
        </w:rPr>
        <w:t>if a </w:t>
      </w:r>
      <w:r>
        <w:rPr>
          <w:spacing w:val="-3"/>
          <w:w w:val="105"/>
          <w:sz w:val="21"/>
        </w:rPr>
        <w:t>neighbour </w:t>
      </w:r>
      <w:r>
        <w:rPr>
          <w:w w:val="105"/>
          <w:sz w:val="21"/>
        </w:rPr>
        <w:t>can subdivide their </w:t>
      </w:r>
      <w:r>
        <w:rPr>
          <w:spacing w:val="-3"/>
          <w:w w:val="105"/>
          <w:sz w:val="21"/>
        </w:rPr>
        <w:t>land </w:t>
      </w:r>
      <w:r>
        <w:rPr>
          <w:w w:val="105"/>
          <w:sz w:val="21"/>
        </w:rPr>
        <w:t>and </w:t>
      </w:r>
      <w:r>
        <w:rPr>
          <w:spacing w:val="-4"/>
          <w:w w:val="105"/>
          <w:sz w:val="21"/>
        </w:rPr>
        <w:t>make </w:t>
      </w:r>
      <w:r>
        <w:rPr>
          <w:w w:val="105"/>
          <w:sz w:val="21"/>
        </w:rPr>
        <w:t>a large </w:t>
      </w:r>
      <w:r>
        <w:rPr>
          <w:spacing w:val="-3"/>
          <w:w w:val="105"/>
          <w:sz w:val="21"/>
        </w:rPr>
        <w:t>sum </w:t>
      </w:r>
      <w:r>
        <w:rPr>
          <w:w w:val="105"/>
          <w:sz w:val="21"/>
        </w:rPr>
        <w:t>of money </w:t>
      </w:r>
      <w:r>
        <w:rPr>
          <w:spacing w:val="-3"/>
          <w:w w:val="105"/>
          <w:sz w:val="21"/>
        </w:rPr>
        <w:t>from </w:t>
      </w:r>
      <w:r>
        <w:rPr>
          <w:w w:val="105"/>
          <w:sz w:val="21"/>
        </w:rPr>
        <w:t>so </w:t>
      </w:r>
      <w:r>
        <w:rPr>
          <w:spacing w:val="-2"/>
          <w:w w:val="105"/>
          <w:sz w:val="21"/>
        </w:rPr>
        <w:t>doing, </w:t>
      </w:r>
      <w:r>
        <w:rPr>
          <w:w w:val="105"/>
          <w:sz w:val="21"/>
        </w:rPr>
        <w:t>but in so doing impose a </w:t>
      </w:r>
      <w:r>
        <w:rPr>
          <w:spacing w:val="-3"/>
          <w:w w:val="105"/>
          <w:sz w:val="21"/>
        </w:rPr>
        <w:t>significant </w:t>
      </w:r>
      <w:r>
        <w:rPr>
          <w:w w:val="105"/>
          <w:sz w:val="21"/>
        </w:rPr>
        <w:t>and ongoing cost of tree inspection and </w:t>
      </w:r>
      <w:r>
        <w:rPr>
          <w:spacing w:val="-3"/>
          <w:w w:val="105"/>
          <w:sz w:val="21"/>
        </w:rPr>
        <w:t>management </w:t>
      </w:r>
      <w:r>
        <w:rPr>
          <w:w w:val="105"/>
          <w:sz w:val="21"/>
        </w:rPr>
        <w:t>on their </w:t>
      </w:r>
      <w:r>
        <w:rPr>
          <w:spacing w:val="-5"/>
          <w:w w:val="105"/>
          <w:sz w:val="21"/>
        </w:rPr>
        <w:t>neighbour’.</w:t>
      </w:r>
      <w:r>
        <w:rPr>
          <w:spacing w:val="-5"/>
          <w:w w:val="105"/>
          <w:position w:val="7"/>
          <w:sz w:val="12"/>
        </w:rPr>
        <w:t>143 </w:t>
      </w:r>
      <w:r>
        <w:rPr>
          <w:w w:val="105"/>
          <w:sz w:val="21"/>
        </w:rPr>
        <w:t>It suggested </w:t>
      </w:r>
      <w:r>
        <w:rPr>
          <w:spacing w:val="-3"/>
          <w:w w:val="105"/>
          <w:sz w:val="21"/>
        </w:rPr>
        <w:t>that </w:t>
      </w:r>
      <w:r>
        <w:rPr>
          <w:w w:val="105"/>
          <w:sz w:val="21"/>
        </w:rPr>
        <w:t>sometimes neighbours </w:t>
      </w:r>
      <w:r>
        <w:rPr>
          <w:spacing w:val="-3"/>
          <w:w w:val="105"/>
          <w:sz w:val="21"/>
        </w:rPr>
        <w:t>may </w:t>
      </w:r>
      <w:r>
        <w:rPr>
          <w:w w:val="105"/>
          <w:sz w:val="21"/>
        </w:rPr>
        <w:t>be notified of the </w:t>
      </w:r>
      <w:r>
        <w:rPr>
          <w:spacing w:val="-3"/>
          <w:w w:val="105"/>
          <w:sz w:val="21"/>
        </w:rPr>
        <w:t>hazards </w:t>
      </w:r>
      <w:r>
        <w:rPr>
          <w:w w:val="105"/>
          <w:sz w:val="21"/>
        </w:rPr>
        <w:t>of </w:t>
      </w:r>
      <w:r>
        <w:rPr>
          <w:spacing w:val="-3"/>
          <w:w w:val="105"/>
          <w:sz w:val="21"/>
        </w:rPr>
        <w:t>neighbouring </w:t>
      </w:r>
      <w:r>
        <w:rPr>
          <w:w w:val="105"/>
          <w:sz w:val="21"/>
        </w:rPr>
        <w:t>trees </w:t>
      </w:r>
      <w:r>
        <w:rPr>
          <w:spacing w:val="-3"/>
          <w:w w:val="105"/>
          <w:sz w:val="21"/>
        </w:rPr>
        <w:t>through </w:t>
      </w:r>
      <w:r>
        <w:rPr>
          <w:w w:val="105"/>
          <w:sz w:val="21"/>
        </w:rPr>
        <w:t>Section </w:t>
      </w:r>
      <w:r>
        <w:rPr>
          <w:spacing w:val="-8"/>
          <w:w w:val="105"/>
          <w:sz w:val="21"/>
        </w:rPr>
        <w:t>173 </w:t>
      </w:r>
      <w:r>
        <w:rPr>
          <w:w w:val="105"/>
          <w:sz w:val="21"/>
        </w:rPr>
        <w:t>Agreements (discussed in </w:t>
      </w:r>
      <w:r>
        <w:rPr>
          <w:spacing w:val="-4"/>
          <w:w w:val="105"/>
          <w:sz w:val="21"/>
        </w:rPr>
        <w:t>Chapter </w:t>
      </w:r>
      <w:r>
        <w:rPr>
          <w:w w:val="105"/>
          <w:sz w:val="21"/>
        </w:rPr>
        <w:t>10) but this does </w:t>
      </w:r>
      <w:r>
        <w:rPr>
          <w:spacing w:val="-2"/>
          <w:w w:val="105"/>
          <w:sz w:val="21"/>
        </w:rPr>
        <w:t>not </w:t>
      </w:r>
      <w:r>
        <w:rPr>
          <w:spacing w:val="-3"/>
          <w:w w:val="105"/>
          <w:sz w:val="21"/>
        </w:rPr>
        <w:t>occur</w:t>
      </w:r>
      <w:r>
        <w:rPr>
          <w:spacing w:val="1"/>
          <w:w w:val="105"/>
          <w:sz w:val="21"/>
        </w:rPr>
        <w:t> </w:t>
      </w:r>
      <w:r>
        <w:rPr>
          <w:spacing w:val="-4"/>
          <w:w w:val="105"/>
          <w:sz w:val="21"/>
        </w:rPr>
        <w:t>often.</w:t>
      </w:r>
      <w:r>
        <w:rPr>
          <w:spacing w:val="-4"/>
          <w:w w:val="105"/>
          <w:position w:val="7"/>
          <w:sz w:val="12"/>
        </w:rPr>
        <w:t>144</w:t>
      </w:r>
    </w:p>
    <w:p>
      <w:pPr>
        <w:pStyle w:val="ListParagraph"/>
        <w:numPr>
          <w:ilvl w:val="1"/>
          <w:numId w:val="16"/>
        </w:numPr>
        <w:tabs>
          <w:tab w:pos="2381" w:val="left" w:leader="none"/>
          <w:tab w:pos="2382" w:val="left" w:leader="none"/>
        </w:tabs>
        <w:spacing w:line="242" w:lineRule="auto" w:before="129" w:after="0"/>
        <w:ind w:left="2381" w:right="1947" w:hanging="794"/>
        <w:jc w:val="left"/>
        <w:rPr>
          <w:sz w:val="21"/>
        </w:rPr>
      </w:pPr>
      <w:r>
        <w:rPr>
          <w:w w:val="105"/>
          <w:sz w:val="21"/>
        </w:rPr>
        <w:t>HVP suggested </w:t>
      </w:r>
      <w:r>
        <w:rPr>
          <w:spacing w:val="-3"/>
          <w:w w:val="105"/>
          <w:sz w:val="21"/>
        </w:rPr>
        <w:t>that </w:t>
      </w:r>
      <w:r>
        <w:rPr>
          <w:w w:val="105"/>
          <w:sz w:val="21"/>
        </w:rPr>
        <w:t>it resolves tree </w:t>
      </w:r>
      <w:r>
        <w:rPr>
          <w:spacing w:val="-3"/>
          <w:w w:val="105"/>
          <w:sz w:val="21"/>
        </w:rPr>
        <w:t>disputes informally </w:t>
      </w:r>
      <w:r>
        <w:rPr>
          <w:w w:val="105"/>
          <w:sz w:val="21"/>
        </w:rPr>
        <w:t>and </w:t>
      </w:r>
      <w:r>
        <w:rPr>
          <w:spacing w:val="-3"/>
          <w:w w:val="105"/>
          <w:sz w:val="21"/>
        </w:rPr>
        <w:t>internally </w:t>
      </w:r>
      <w:r>
        <w:rPr>
          <w:w w:val="105"/>
          <w:sz w:val="21"/>
        </w:rPr>
        <w:t>because the </w:t>
      </w:r>
      <w:r>
        <w:rPr>
          <w:spacing w:val="-2"/>
          <w:w w:val="105"/>
          <w:sz w:val="21"/>
        </w:rPr>
        <w:t>common </w:t>
      </w:r>
      <w:r>
        <w:rPr>
          <w:w w:val="105"/>
          <w:sz w:val="21"/>
        </w:rPr>
        <w:t>law </w:t>
      </w:r>
      <w:r>
        <w:rPr>
          <w:spacing w:val="-3"/>
          <w:w w:val="105"/>
          <w:sz w:val="21"/>
        </w:rPr>
        <w:t>cannot </w:t>
      </w:r>
      <w:r>
        <w:rPr>
          <w:w w:val="105"/>
          <w:sz w:val="21"/>
        </w:rPr>
        <w:t>be </w:t>
      </w:r>
      <w:r>
        <w:rPr>
          <w:spacing w:val="-3"/>
          <w:w w:val="105"/>
          <w:sz w:val="21"/>
        </w:rPr>
        <w:t>easily </w:t>
      </w:r>
      <w:r>
        <w:rPr>
          <w:w w:val="105"/>
          <w:sz w:val="21"/>
        </w:rPr>
        <w:t>applied in the </w:t>
      </w:r>
      <w:r>
        <w:rPr>
          <w:spacing w:val="-3"/>
          <w:w w:val="105"/>
          <w:sz w:val="21"/>
        </w:rPr>
        <w:t>rural </w:t>
      </w:r>
      <w:r>
        <w:rPr>
          <w:spacing w:val="-4"/>
          <w:w w:val="105"/>
          <w:sz w:val="21"/>
        </w:rPr>
        <w:t>setting.</w:t>
      </w:r>
      <w:r>
        <w:rPr>
          <w:spacing w:val="-4"/>
          <w:w w:val="105"/>
          <w:position w:val="7"/>
          <w:sz w:val="12"/>
        </w:rPr>
        <w:t>145 </w:t>
      </w:r>
      <w:r>
        <w:rPr>
          <w:w w:val="105"/>
          <w:sz w:val="21"/>
        </w:rPr>
        <w:t>Baw Baw </w:t>
      </w:r>
      <w:r>
        <w:rPr>
          <w:spacing w:val="-3"/>
          <w:w w:val="105"/>
          <w:sz w:val="21"/>
        </w:rPr>
        <w:t>Shire </w:t>
      </w:r>
      <w:r>
        <w:rPr>
          <w:w w:val="105"/>
          <w:sz w:val="21"/>
        </w:rPr>
        <w:t>also reported</w:t>
      </w:r>
      <w:r>
        <w:rPr>
          <w:spacing w:val="-17"/>
          <w:w w:val="105"/>
          <w:sz w:val="21"/>
        </w:rPr>
        <w:t> </w:t>
      </w:r>
      <w:r>
        <w:rPr>
          <w:w w:val="105"/>
          <w:sz w:val="21"/>
        </w:rPr>
        <w:t>anecdotally</w:t>
      </w:r>
      <w:r>
        <w:rPr>
          <w:spacing w:val="-17"/>
          <w:w w:val="105"/>
          <w:sz w:val="21"/>
        </w:rPr>
        <w:t> </w:t>
      </w:r>
      <w:r>
        <w:rPr>
          <w:spacing w:val="-3"/>
          <w:w w:val="105"/>
          <w:sz w:val="21"/>
        </w:rPr>
        <w:t>that</w:t>
      </w:r>
      <w:r>
        <w:rPr>
          <w:spacing w:val="-16"/>
          <w:w w:val="105"/>
          <w:sz w:val="21"/>
        </w:rPr>
        <w:t> </w:t>
      </w:r>
      <w:r>
        <w:rPr>
          <w:w w:val="105"/>
          <w:sz w:val="21"/>
        </w:rPr>
        <w:t>farmers</w:t>
      </w:r>
      <w:r>
        <w:rPr>
          <w:spacing w:val="-17"/>
          <w:w w:val="105"/>
          <w:sz w:val="21"/>
        </w:rPr>
        <w:t> </w:t>
      </w:r>
      <w:r>
        <w:rPr>
          <w:spacing w:val="-3"/>
          <w:w w:val="105"/>
          <w:sz w:val="21"/>
        </w:rPr>
        <w:t>tend</w:t>
      </w:r>
      <w:r>
        <w:rPr>
          <w:spacing w:val="-16"/>
          <w:w w:val="105"/>
          <w:sz w:val="21"/>
        </w:rPr>
        <w:t> </w:t>
      </w:r>
      <w:r>
        <w:rPr>
          <w:spacing w:val="-3"/>
          <w:w w:val="105"/>
          <w:sz w:val="21"/>
        </w:rPr>
        <w:t>to</w:t>
      </w:r>
      <w:r>
        <w:rPr>
          <w:spacing w:val="-17"/>
          <w:w w:val="105"/>
          <w:sz w:val="21"/>
        </w:rPr>
        <w:t> </w:t>
      </w:r>
      <w:r>
        <w:rPr>
          <w:w w:val="105"/>
          <w:sz w:val="21"/>
        </w:rPr>
        <w:t>resolve</w:t>
      </w:r>
      <w:r>
        <w:rPr>
          <w:spacing w:val="-16"/>
          <w:w w:val="105"/>
          <w:sz w:val="21"/>
        </w:rPr>
        <w:t> </w:t>
      </w:r>
      <w:r>
        <w:rPr>
          <w:spacing w:val="-3"/>
          <w:w w:val="105"/>
          <w:sz w:val="21"/>
        </w:rPr>
        <w:t>disputes</w:t>
      </w:r>
      <w:r>
        <w:rPr>
          <w:spacing w:val="-17"/>
          <w:w w:val="105"/>
          <w:sz w:val="21"/>
        </w:rPr>
        <w:t> </w:t>
      </w:r>
      <w:r>
        <w:rPr>
          <w:w w:val="105"/>
          <w:sz w:val="21"/>
        </w:rPr>
        <w:t>about</w:t>
      </w:r>
      <w:r>
        <w:rPr>
          <w:spacing w:val="-16"/>
          <w:w w:val="105"/>
          <w:sz w:val="21"/>
        </w:rPr>
        <w:t> </w:t>
      </w:r>
      <w:r>
        <w:rPr>
          <w:w w:val="105"/>
          <w:sz w:val="21"/>
        </w:rPr>
        <w:t>vegetation</w:t>
      </w:r>
      <w:r>
        <w:rPr>
          <w:spacing w:val="-17"/>
          <w:w w:val="105"/>
          <w:sz w:val="21"/>
        </w:rPr>
        <w:t> </w:t>
      </w:r>
      <w:r>
        <w:rPr>
          <w:spacing w:val="-3"/>
          <w:w w:val="105"/>
          <w:sz w:val="21"/>
        </w:rPr>
        <w:t>informally </w:t>
      </w:r>
      <w:r>
        <w:rPr>
          <w:w w:val="105"/>
          <w:sz w:val="21"/>
        </w:rPr>
        <w:t>with each </w:t>
      </w:r>
      <w:r>
        <w:rPr>
          <w:spacing w:val="-5"/>
          <w:w w:val="105"/>
          <w:sz w:val="21"/>
        </w:rPr>
        <w:t>other, </w:t>
      </w:r>
      <w:r>
        <w:rPr>
          <w:spacing w:val="-3"/>
          <w:w w:val="105"/>
          <w:sz w:val="21"/>
        </w:rPr>
        <w:t>rather than </w:t>
      </w:r>
      <w:r>
        <w:rPr>
          <w:w w:val="105"/>
          <w:sz w:val="21"/>
        </w:rPr>
        <w:t>going </w:t>
      </w:r>
      <w:r>
        <w:rPr>
          <w:spacing w:val="-3"/>
          <w:w w:val="105"/>
          <w:sz w:val="21"/>
        </w:rPr>
        <w:t>through </w:t>
      </w:r>
      <w:r>
        <w:rPr>
          <w:w w:val="105"/>
          <w:sz w:val="21"/>
        </w:rPr>
        <w:t>processes they see as too burdensome or </w:t>
      </w:r>
      <w:r>
        <w:rPr>
          <w:spacing w:val="-4"/>
          <w:w w:val="105"/>
          <w:sz w:val="21"/>
        </w:rPr>
        <w:t>bureaucratic.</w:t>
      </w:r>
      <w:r>
        <w:rPr>
          <w:spacing w:val="-4"/>
          <w:w w:val="105"/>
          <w:position w:val="7"/>
          <w:sz w:val="12"/>
        </w:rPr>
        <w:t>146 </w:t>
      </w:r>
      <w:r>
        <w:rPr>
          <w:spacing w:val="-3"/>
          <w:w w:val="105"/>
          <w:sz w:val="21"/>
        </w:rPr>
        <w:t>Agriculture </w:t>
      </w:r>
      <w:r>
        <w:rPr>
          <w:w w:val="105"/>
          <w:sz w:val="21"/>
        </w:rPr>
        <w:t>Victoria provides case studies of how </w:t>
      </w:r>
      <w:r>
        <w:rPr>
          <w:spacing w:val="-3"/>
          <w:w w:val="105"/>
          <w:sz w:val="21"/>
        </w:rPr>
        <w:t>alternative dispute </w:t>
      </w:r>
      <w:r>
        <w:rPr>
          <w:w w:val="105"/>
          <w:sz w:val="21"/>
        </w:rPr>
        <w:t>resolution </w:t>
      </w:r>
      <w:r>
        <w:rPr>
          <w:spacing w:val="-2"/>
          <w:w w:val="105"/>
          <w:sz w:val="21"/>
        </w:rPr>
        <w:t>has </w:t>
      </w:r>
      <w:r>
        <w:rPr>
          <w:w w:val="105"/>
          <w:sz w:val="21"/>
        </w:rPr>
        <w:t>assisted parties </w:t>
      </w:r>
      <w:r>
        <w:rPr>
          <w:spacing w:val="-3"/>
          <w:w w:val="105"/>
          <w:sz w:val="21"/>
        </w:rPr>
        <w:t>living </w:t>
      </w:r>
      <w:r>
        <w:rPr>
          <w:w w:val="105"/>
          <w:sz w:val="21"/>
        </w:rPr>
        <w:t>in </w:t>
      </w:r>
      <w:r>
        <w:rPr>
          <w:spacing w:val="-3"/>
          <w:w w:val="105"/>
          <w:sz w:val="21"/>
        </w:rPr>
        <w:t>rural </w:t>
      </w:r>
      <w:r>
        <w:rPr>
          <w:w w:val="105"/>
          <w:sz w:val="21"/>
        </w:rPr>
        <w:t>Victoria </w:t>
      </w:r>
      <w:r>
        <w:rPr>
          <w:spacing w:val="-3"/>
          <w:w w:val="105"/>
          <w:sz w:val="21"/>
        </w:rPr>
        <w:t>to </w:t>
      </w:r>
      <w:r>
        <w:rPr>
          <w:w w:val="105"/>
          <w:sz w:val="21"/>
        </w:rPr>
        <w:t>come </w:t>
      </w:r>
      <w:r>
        <w:rPr>
          <w:spacing w:val="-3"/>
          <w:w w:val="105"/>
          <w:sz w:val="21"/>
        </w:rPr>
        <w:t>to</w:t>
      </w:r>
      <w:r>
        <w:rPr>
          <w:spacing w:val="-2"/>
          <w:w w:val="105"/>
          <w:sz w:val="21"/>
        </w:rPr>
        <w:t> </w:t>
      </w:r>
      <w:r>
        <w:rPr>
          <w:spacing w:val="-4"/>
          <w:w w:val="105"/>
          <w:sz w:val="21"/>
        </w:rPr>
        <w:t>agreement.</w:t>
      </w:r>
      <w:r>
        <w:rPr>
          <w:spacing w:val="-4"/>
          <w:w w:val="105"/>
          <w:position w:val="7"/>
          <w:sz w:val="12"/>
        </w:rPr>
        <w:t>147</w:t>
      </w:r>
    </w:p>
    <w:p>
      <w:pPr>
        <w:pStyle w:val="ListParagraph"/>
        <w:numPr>
          <w:ilvl w:val="1"/>
          <w:numId w:val="16"/>
        </w:numPr>
        <w:tabs>
          <w:tab w:pos="2381" w:val="left" w:leader="none"/>
          <w:tab w:pos="2382" w:val="left" w:leader="none"/>
        </w:tabs>
        <w:spacing w:line="242" w:lineRule="auto" w:before="126" w:after="0"/>
        <w:ind w:left="2381" w:right="1703" w:hanging="794"/>
        <w:jc w:val="left"/>
        <w:rPr>
          <w:sz w:val="21"/>
        </w:rPr>
      </w:pPr>
      <w:r>
        <w:rPr>
          <w:w w:val="105"/>
          <w:sz w:val="21"/>
        </w:rPr>
        <w:t>The </w:t>
      </w:r>
      <w:r>
        <w:rPr>
          <w:spacing w:val="-3"/>
          <w:w w:val="105"/>
          <w:sz w:val="21"/>
        </w:rPr>
        <w:t>exclusion </w:t>
      </w:r>
      <w:r>
        <w:rPr>
          <w:w w:val="105"/>
          <w:sz w:val="21"/>
        </w:rPr>
        <w:t>of </w:t>
      </w:r>
      <w:r>
        <w:rPr>
          <w:spacing w:val="-3"/>
          <w:w w:val="105"/>
          <w:sz w:val="21"/>
        </w:rPr>
        <w:t>farming </w:t>
      </w:r>
      <w:r>
        <w:rPr>
          <w:w w:val="105"/>
          <w:sz w:val="21"/>
        </w:rPr>
        <w:t>and </w:t>
      </w:r>
      <w:r>
        <w:rPr>
          <w:spacing w:val="-3"/>
          <w:w w:val="105"/>
          <w:sz w:val="21"/>
        </w:rPr>
        <w:t>rural </w:t>
      </w:r>
      <w:r>
        <w:rPr>
          <w:w w:val="105"/>
          <w:sz w:val="21"/>
        </w:rPr>
        <w:t>activity zones </w:t>
      </w:r>
      <w:r>
        <w:rPr>
          <w:spacing w:val="-3"/>
          <w:w w:val="105"/>
          <w:sz w:val="21"/>
        </w:rPr>
        <w:t>means that </w:t>
      </w:r>
      <w:r>
        <w:rPr>
          <w:w w:val="105"/>
          <w:sz w:val="21"/>
        </w:rPr>
        <w:t>the Act </w:t>
      </w:r>
      <w:r>
        <w:rPr>
          <w:spacing w:val="-3"/>
          <w:w w:val="105"/>
          <w:sz w:val="21"/>
        </w:rPr>
        <w:t>will </w:t>
      </w:r>
      <w:r>
        <w:rPr>
          <w:spacing w:val="-2"/>
          <w:w w:val="105"/>
          <w:sz w:val="21"/>
        </w:rPr>
        <w:t>not </w:t>
      </w:r>
      <w:r>
        <w:rPr>
          <w:w w:val="105"/>
          <w:sz w:val="21"/>
        </w:rPr>
        <w:t>apply </w:t>
      </w:r>
      <w:r>
        <w:rPr>
          <w:spacing w:val="-3"/>
          <w:w w:val="105"/>
          <w:sz w:val="21"/>
        </w:rPr>
        <w:t>to </w:t>
      </w:r>
      <w:r>
        <w:rPr>
          <w:w w:val="105"/>
          <w:sz w:val="21"/>
        </w:rPr>
        <w:t>a </w:t>
      </w:r>
      <w:r>
        <w:rPr>
          <w:spacing w:val="-3"/>
          <w:w w:val="105"/>
          <w:sz w:val="21"/>
        </w:rPr>
        <w:t>dispute involving </w:t>
      </w:r>
      <w:r>
        <w:rPr>
          <w:w w:val="105"/>
          <w:sz w:val="21"/>
        </w:rPr>
        <w:t>neighbours on </w:t>
      </w:r>
      <w:r>
        <w:rPr>
          <w:spacing w:val="-3"/>
          <w:w w:val="105"/>
          <w:sz w:val="21"/>
        </w:rPr>
        <w:t>farming land </w:t>
      </w:r>
      <w:r>
        <w:rPr>
          <w:w w:val="105"/>
          <w:sz w:val="21"/>
        </w:rPr>
        <w:t>or </w:t>
      </w:r>
      <w:r>
        <w:rPr>
          <w:spacing w:val="-3"/>
          <w:w w:val="105"/>
          <w:sz w:val="21"/>
        </w:rPr>
        <w:t>to </w:t>
      </w:r>
      <w:r>
        <w:rPr>
          <w:w w:val="105"/>
          <w:sz w:val="21"/>
        </w:rPr>
        <w:t>a </w:t>
      </w:r>
      <w:r>
        <w:rPr>
          <w:spacing w:val="-3"/>
          <w:w w:val="105"/>
          <w:sz w:val="21"/>
        </w:rPr>
        <w:t>dispute </w:t>
      </w:r>
      <w:r>
        <w:rPr>
          <w:w w:val="105"/>
          <w:sz w:val="21"/>
        </w:rPr>
        <w:t>between a tree owner on </w:t>
      </w:r>
      <w:r>
        <w:rPr>
          <w:spacing w:val="-3"/>
          <w:w w:val="105"/>
          <w:sz w:val="21"/>
        </w:rPr>
        <w:t>farming land </w:t>
      </w:r>
      <w:r>
        <w:rPr>
          <w:w w:val="105"/>
          <w:sz w:val="21"/>
        </w:rPr>
        <w:t>and an affected </w:t>
      </w:r>
      <w:r>
        <w:rPr>
          <w:spacing w:val="-3"/>
          <w:w w:val="105"/>
          <w:sz w:val="21"/>
        </w:rPr>
        <w:t>neighbour </w:t>
      </w:r>
      <w:r>
        <w:rPr>
          <w:w w:val="105"/>
          <w:sz w:val="21"/>
        </w:rPr>
        <w:t>on </w:t>
      </w:r>
      <w:r>
        <w:rPr>
          <w:spacing w:val="-3"/>
          <w:w w:val="105"/>
          <w:sz w:val="21"/>
        </w:rPr>
        <w:t>adjoining residential land. </w:t>
      </w:r>
      <w:r>
        <w:rPr>
          <w:w w:val="105"/>
          <w:sz w:val="21"/>
        </w:rPr>
        <w:t>In these </w:t>
      </w:r>
      <w:r>
        <w:rPr>
          <w:spacing w:val="-3"/>
          <w:w w:val="105"/>
          <w:sz w:val="21"/>
        </w:rPr>
        <w:t>situations, </w:t>
      </w:r>
      <w:r>
        <w:rPr>
          <w:w w:val="105"/>
          <w:sz w:val="21"/>
        </w:rPr>
        <w:t>the affected </w:t>
      </w:r>
      <w:r>
        <w:rPr>
          <w:spacing w:val="-3"/>
          <w:w w:val="105"/>
          <w:sz w:val="21"/>
        </w:rPr>
        <w:t>neighbour </w:t>
      </w:r>
      <w:r>
        <w:rPr>
          <w:w w:val="105"/>
          <w:sz w:val="21"/>
        </w:rPr>
        <w:t>would need </w:t>
      </w:r>
      <w:r>
        <w:rPr>
          <w:spacing w:val="-3"/>
          <w:w w:val="105"/>
          <w:sz w:val="21"/>
        </w:rPr>
        <w:t>to </w:t>
      </w:r>
      <w:r>
        <w:rPr>
          <w:w w:val="105"/>
          <w:sz w:val="21"/>
        </w:rPr>
        <w:t>establish </w:t>
      </w:r>
      <w:r>
        <w:rPr>
          <w:spacing w:val="-3"/>
          <w:w w:val="105"/>
          <w:sz w:val="21"/>
        </w:rPr>
        <w:t>that </w:t>
      </w:r>
      <w:r>
        <w:rPr>
          <w:w w:val="105"/>
          <w:sz w:val="21"/>
        </w:rPr>
        <w:t>the </w:t>
      </w:r>
      <w:r>
        <w:rPr>
          <w:spacing w:val="-3"/>
          <w:w w:val="105"/>
          <w:sz w:val="21"/>
        </w:rPr>
        <w:t>land </w:t>
      </w:r>
      <w:r>
        <w:rPr>
          <w:spacing w:val="-2"/>
          <w:w w:val="105"/>
          <w:sz w:val="21"/>
        </w:rPr>
        <w:t>has </w:t>
      </w:r>
      <w:r>
        <w:rPr>
          <w:w w:val="105"/>
          <w:sz w:val="21"/>
        </w:rPr>
        <w:t>the </w:t>
      </w:r>
      <w:r>
        <w:rPr>
          <w:spacing w:val="-3"/>
          <w:w w:val="105"/>
          <w:sz w:val="21"/>
        </w:rPr>
        <w:t>substantial character </w:t>
      </w:r>
      <w:r>
        <w:rPr>
          <w:w w:val="105"/>
          <w:sz w:val="21"/>
        </w:rPr>
        <w:t>of one of the </w:t>
      </w:r>
      <w:r>
        <w:rPr>
          <w:spacing w:val="-2"/>
          <w:w w:val="105"/>
          <w:sz w:val="21"/>
        </w:rPr>
        <w:t>listed </w:t>
      </w:r>
      <w:r>
        <w:rPr>
          <w:w w:val="105"/>
          <w:sz w:val="21"/>
        </w:rPr>
        <w:t>zones or is prescribed in </w:t>
      </w:r>
      <w:r>
        <w:rPr>
          <w:spacing w:val="-3"/>
          <w:w w:val="105"/>
          <w:sz w:val="21"/>
        </w:rPr>
        <w:t>regulation to </w:t>
      </w:r>
      <w:r>
        <w:rPr>
          <w:w w:val="105"/>
          <w:sz w:val="21"/>
        </w:rPr>
        <w:t>obtain a remedy in </w:t>
      </w:r>
      <w:r>
        <w:rPr>
          <w:spacing w:val="-11"/>
          <w:w w:val="105"/>
          <w:sz w:val="21"/>
        </w:rPr>
        <w:t>VCAT.</w:t>
      </w:r>
    </w:p>
    <w:p>
      <w:pPr>
        <w:pStyle w:val="ListParagraph"/>
        <w:numPr>
          <w:ilvl w:val="1"/>
          <w:numId w:val="16"/>
        </w:numPr>
        <w:tabs>
          <w:tab w:pos="2381" w:val="left" w:leader="none"/>
          <w:tab w:pos="2382" w:val="left" w:leader="none"/>
        </w:tabs>
        <w:spacing w:line="242" w:lineRule="auto" w:before="127" w:after="0"/>
        <w:ind w:left="2381" w:right="1637" w:hanging="794"/>
        <w:jc w:val="left"/>
        <w:rPr>
          <w:sz w:val="21"/>
        </w:rPr>
      </w:pPr>
      <w:r>
        <w:rPr>
          <w:w w:val="105"/>
          <w:sz w:val="21"/>
        </w:rPr>
        <w:t>The </w:t>
      </w:r>
      <w:r>
        <w:rPr>
          <w:spacing w:val="-3"/>
          <w:w w:val="105"/>
          <w:sz w:val="21"/>
        </w:rPr>
        <w:t>recommendation to exclude </w:t>
      </w:r>
      <w:r>
        <w:rPr>
          <w:w w:val="105"/>
          <w:sz w:val="21"/>
        </w:rPr>
        <w:t>certain zones </w:t>
      </w:r>
      <w:r>
        <w:rPr>
          <w:spacing w:val="-3"/>
          <w:w w:val="105"/>
          <w:sz w:val="21"/>
        </w:rPr>
        <w:t>from </w:t>
      </w:r>
      <w:r>
        <w:rPr>
          <w:w w:val="105"/>
          <w:sz w:val="21"/>
        </w:rPr>
        <w:t>the application of the Act should be </w:t>
      </w:r>
      <w:r>
        <w:rPr>
          <w:spacing w:val="-3"/>
          <w:w w:val="105"/>
          <w:sz w:val="21"/>
        </w:rPr>
        <w:t>revisited </w:t>
      </w:r>
      <w:r>
        <w:rPr>
          <w:w w:val="105"/>
          <w:sz w:val="21"/>
        </w:rPr>
        <w:t>when it </w:t>
      </w:r>
      <w:r>
        <w:rPr>
          <w:spacing w:val="-2"/>
          <w:w w:val="105"/>
          <w:sz w:val="21"/>
        </w:rPr>
        <w:t>has </w:t>
      </w:r>
      <w:r>
        <w:rPr>
          <w:w w:val="105"/>
          <w:sz w:val="21"/>
        </w:rPr>
        <w:t>been </w:t>
      </w:r>
      <w:r>
        <w:rPr>
          <w:spacing w:val="-3"/>
          <w:w w:val="105"/>
          <w:sz w:val="21"/>
        </w:rPr>
        <w:t>operating for </w:t>
      </w:r>
      <w:r>
        <w:rPr>
          <w:w w:val="105"/>
          <w:sz w:val="21"/>
        </w:rPr>
        <w:t>five years, </w:t>
      </w:r>
      <w:r>
        <w:rPr>
          <w:spacing w:val="-3"/>
          <w:w w:val="105"/>
          <w:sz w:val="21"/>
        </w:rPr>
        <w:t>to </w:t>
      </w:r>
      <w:r>
        <w:rPr>
          <w:w w:val="105"/>
          <w:sz w:val="21"/>
        </w:rPr>
        <w:t>find out whether the </w:t>
      </w:r>
      <w:r>
        <w:rPr>
          <w:spacing w:val="-3"/>
          <w:w w:val="105"/>
          <w:sz w:val="21"/>
        </w:rPr>
        <w:t>exclusion </w:t>
      </w:r>
      <w:r>
        <w:rPr>
          <w:spacing w:val="-2"/>
          <w:w w:val="105"/>
          <w:sz w:val="21"/>
        </w:rPr>
        <w:t>has </w:t>
      </w:r>
      <w:r>
        <w:rPr>
          <w:spacing w:val="-3"/>
          <w:w w:val="105"/>
          <w:sz w:val="21"/>
        </w:rPr>
        <w:t>detrimentally </w:t>
      </w:r>
      <w:r>
        <w:rPr>
          <w:w w:val="105"/>
          <w:sz w:val="21"/>
        </w:rPr>
        <w:t>affected </w:t>
      </w:r>
      <w:r>
        <w:rPr>
          <w:spacing w:val="-3"/>
          <w:w w:val="105"/>
          <w:sz w:val="21"/>
        </w:rPr>
        <w:t>many </w:t>
      </w:r>
      <w:r>
        <w:rPr>
          <w:w w:val="105"/>
          <w:sz w:val="21"/>
        </w:rPr>
        <w:t>people with </w:t>
      </w:r>
      <w:r>
        <w:rPr>
          <w:spacing w:val="-3"/>
          <w:w w:val="105"/>
          <w:sz w:val="21"/>
        </w:rPr>
        <w:t>genuine disputes </w:t>
      </w:r>
      <w:r>
        <w:rPr>
          <w:w w:val="105"/>
          <w:sz w:val="21"/>
        </w:rPr>
        <w:t>who </w:t>
      </w:r>
      <w:r>
        <w:rPr>
          <w:spacing w:val="-3"/>
          <w:w w:val="105"/>
          <w:sz w:val="21"/>
        </w:rPr>
        <w:t>have </w:t>
      </w:r>
      <w:r>
        <w:rPr>
          <w:w w:val="105"/>
          <w:sz w:val="21"/>
        </w:rPr>
        <w:t>no other </w:t>
      </w:r>
      <w:r>
        <w:rPr>
          <w:spacing w:val="-3"/>
          <w:w w:val="105"/>
          <w:sz w:val="21"/>
        </w:rPr>
        <w:t>simple way </w:t>
      </w:r>
      <w:r>
        <w:rPr>
          <w:w w:val="105"/>
          <w:sz w:val="21"/>
        </w:rPr>
        <w:t>of resolving them. Because </w:t>
      </w:r>
      <w:r>
        <w:rPr>
          <w:spacing w:val="-3"/>
          <w:w w:val="105"/>
          <w:sz w:val="21"/>
        </w:rPr>
        <w:t>unique considerations </w:t>
      </w:r>
      <w:r>
        <w:rPr>
          <w:w w:val="105"/>
          <w:sz w:val="21"/>
        </w:rPr>
        <w:t>arise in </w:t>
      </w:r>
      <w:r>
        <w:rPr>
          <w:spacing w:val="-3"/>
          <w:w w:val="105"/>
          <w:sz w:val="21"/>
        </w:rPr>
        <w:t>relation to </w:t>
      </w:r>
      <w:r>
        <w:rPr>
          <w:w w:val="105"/>
          <w:sz w:val="21"/>
        </w:rPr>
        <w:t>the</w:t>
      </w:r>
      <w:r>
        <w:rPr>
          <w:spacing w:val="-25"/>
          <w:w w:val="105"/>
          <w:sz w:val="21"/>
        </w:rPr>
        <w:t> </w:t>
      </w:r>
      <w:r>
        <w:rPr>
          <w:spacing w:val="-3"/>
          <w:w w:val="105"/>
          <w:sz w:val="21"/>
        </w:rPr>
        <w:t>management</w:t>
      </w:r>
    </w:p>
    <w:p>
      <w:pPr>
        <w:pStyle w:val="BodyText"/>
        <w:spacing w:line="242" w:lineRule="auto" w:before="4"/>
        <w:ind w:left="2381" w:right="1810"/>
        <w:rPr>
          <w:sz w:val="12"/>
        </w:rPr>
      </w:pPr>
      <w:r>
        <w:rPr/>
        <w:t>of trees on </w:t>
      </w:r>
      <w:r>
        <w:rPr>
          <w:spacing w:val="-3"/>
        </w:rPr>
        <w:t>rural-agricultural land </w:t>
      </w:r>
      <w:r>
        <w:rPr/>
        <w:t>it would be </w:t>
      </w:r>
      <w:r>
        <w:rPr>
          <w:spacing w:val="-3"/>
        </w:rPr>
        <w:t>sensible to </w:t>
      </w:r>
      <w:r>
        <w:rPr/>
        <w:t>first ascertain how </w:t>
      </w:r>
      <w:r>
        <w:rPr>
          <w:spacing w:val="-3"/>
        </w:rPr>
        <w:t>well  </w:t>
      </w:r>
      <w:r>
        <w:rPr/>
        <w:t>the Act  helps resolve </w:t>
      </w:r>
      <w:r>
        <w:rPr>
          <w:spacing w:val="-3"/>
        </w:rPr>
        <w:t>disputes </w:t>
      </w:r>
      <w:r>
        <w:rPr/>
        <w:t>in </w:t>
      </w:r>
      <w:r>
        <w:rPr>
          <w:spacing w:val="-3"/>
        </w:rPr>
        <w:t>rural </w:t>
      </w:r>
      <w:r>
        <w:rPr/>
        <w:t>zones </w:t>
      </w:r>
      <w:r>
        <w:rPr>
          <w:spacing w:val="-3"/>
        </w:rPr>
        <w:t>that  </w:t>
      </w:r>
      <w:r>
        <w:rPr/>
        <w:t>the  </w:t>
      </w:r>
      <w:r>
        <w:rPr>
          <w:spacing w:val="-3"/>
        </w:rPr>
        <w:t>Commission  recommends  </w:t>
      </w:r>
      <w:r>
        <w:rPr>
          <w:spacing w:val="-4"/>
        </w:rPr>
        <w:t>fall  </w:t>
      </w:r>
      <w:r>
        <w:rPr>
          <w:spacing w:val="-3"/>
        </w:rPr>
        <w:t>within  </w:t>
      </w:r>
      <w:r>
        <w:rPr/>
        <w:t>the scope of the Act, </w:t>
      </w:r>
      <w:r>
        <w:rPr>
          <w:spacing w:val="-3"/>
        </w:rPr>
        <w:t>for example, </w:t>
      </w:r>
      <w:r>
        <w:rPr/>
        <w:t>the </w:t>
      </w:r>
      <w:r>
        <w:rPr>
          <w:spacing w:val="-3"/>
        </w:rPr>
        <w:t>rural </w:t>
      </w:r>
      <w:r>
        <w:rPr/>
        <w:t>conservation </w:t>
      </w:r>
      <w:r>
        <w:rPr>
          <w:spacing w:val="-4"/>
        </w:rPr>
        <w:t>zone. </w:t>
      </w:r>
      <w:r>
        <w:rPr/>
        <w:t>This approach of </w:t>
      </w:r>
      <w:r>
        <w:rPr>
          <w:spacing w:val="-3"/>
        </w:rPr>
        <w:t>adding </w:t>
      </w:r>
      <w:r>
        <w:rPr/>
        <w:t>zones after</w:t>
      </w:r>
      <w:r>
        <w:rPr>
          <w:spacing w:val="9"/>
        </w:rPr>
        <w:t> </w:t>
      </w:r>
      <w:r>
        <w:rPr/>
        <w:t>a</w:t>
      </w:r>
      <w:r>
        <w:rPr>
          <w:spacing w:val="10"/>
        </w:rPr>
        <w:t> </w:t>
      </w:r>
      <w:r>
        <w:rPr/>
        <w:t>period</w:t>
      </w:r>
      <w:r>
        <w:rPr>
          <w:spacing w:val="10"/>
        </w:rPr>
        <w:t> </w:t>
      </w:r>
      <w:r>
        <w:rPr/>
        <w:t>of</w:t>
      </w:r>
      <w:r>
        <w:rPr>
          <w:spacing w:val="10"/>
        </w:rPr>
        <w:t> </w:t>
      </w:r>
      <w:r>
        <w:rPr/>
        <w:t>operation</w:t>
      </w:r>
      <w:r>
        <w:rPr>
          <w:spacing w:val="10"/>
        </w:rPr>
        <w:t> </w:t>
      </w:r>
      <w:r>
        <w:rPr>
          <w:spacing w:val="-2"/>
        </w:rPr>
        <w:t>has</w:t>
      </w:r>
      <w:r>
        <w:rPr>
          <w:spacing w:val="10"/>
        </w:rPr>
        <w:t> </w:t>
      </w:r>
      <w:r>
        <w:rPr/>
        <w:t>also</w:t>
      </w:r>
      <w:r>
        <w:rPr>
          <w:spacing w:val="10"/>
        </w:rPr>
        <w:t> </w:t>
      </w:r>
      <w:r>
        <w:rPr>
          <w:spacing w:val="-3"/>
        </w:rPr>
        <w:t>occurred</w:t>
      </w:r>
      <w:r>
        <w:rPr>
          <w:spacing w:val="10"/>
        </w:rPr>
        <w:t> </w:t>
      </w:r>
      <w:r>
        <w:rPr/>
        <w:t>in</w:t>
      </w:r>
      <w:r>
        <w:rPr>
          <w:spacing w:val="10"/>
        </w:rPr>
        <w:t> </w:t>
      </w:r>
      <w:r>
        <w:rPr>
          <w:spacing w:val="-5"/>
        </w:rPr>
        <w:t>NSW.</w:t>
      </w:r>
      <w:r>
        <w:rPr>
          <w:spacing w:val="-5"/>
          <w:position w:val="7"/>
          <w:sz w:val="12"/>
        </w:rPr>
        <w:t>148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r>
        <w:rPr/>
        <w:pict>
          <v:line style="position:absolute;mso-position-horizontal-relative:page;mso-position-vertical-relative:paragraph;z-index:3824;mso-wrap-distance-left:0;mso-wrap-distance-right:0" from="79.370102pt,17.453121pt" to="515.905102pt,17.453121pt" stroked="true" strokeweight="1pt" strokecolor="#c9d2cb">
            <v:stroke dashstyle="solid"/>
            <w10:wrap type="topAndBottom"/>
          </v:line>
        </w:pict>
      </w:r>
    </w:p>
    <w:p>
      <w:pPr>
        <w:pStyle w:val="ListParagraph"/>
        <w:numPr>
          <w:ilvl w:val="0"/>
          <w:numId w:val="52"/>
        </w:numPr>
        <w:tabs>
          <w:tab w:pos="2380" w:val="left" w:leader="none"/>
          <w:tab w:pos="2382" w:val="left" w:leader="none"/>
        </w:tabs>
        <w:spacing w:line="240" w:lineRule="auto" w:before="117" w:after="0"/>
        <w:ind w:left="2381" w:right="0" w:hanging="794"/>
        <w:jc w:val="left"/>
        <w:rPr>
          <w:sz w:val="13"/>
        </w:rPr>
      </w:pPr>
      <w:r>
        <w:rPr>
          <w:w w:val="105"/>
          <w:sz w:val="13"/>
        </w:rPr>
        <w:t>Consultation 3 </w:t>
      </w:r>
      <w:r>
        <w:rPr>
          <w:spacing w:val="3"/>
          <w:w w:val="105"/>
          <w:sz w:val="13"/>
        </w:rPr>
        <w:t>(HVP</w:t>
      </w:r>
      <w:r>
        <w:rPr>
          <w:spacing w:val="24"/>
          <w:w w:val="105"/>
          <w:sz w:val="13"/>
        </w:rPr>
        <w:t> </w:t>
      </w:r>
      <w:r>
        <w:rPr>
          <w:w w:val="105"/>
          <w:sz w:val="13"/>
        </w:rPr>
        <w:t>Plantations).</w:t>
      </w:r>
    </w:p>
    <w:p>
      <w:pPr>
        <w:pStyle w:val="ListParagraph"/>
        <w:numPr>
          <w:ilvl w:val="0"/>
          <w:numId w:val="52"/>
        </w:numPr>
        <w:tabs>
          <w:tab w:pos="2380" w:val="left" w:leader="none"/>
          <w:tab w:pos="2382" w:val="left" w:leader="none"/>
        </w:tabs>
        <w:spacing w:line="240" w:lineRule="auto" w:before="1" w:after="0"/>
        <w:ind w:left="2381" w:right="0" w:hanging="794"/>
        <w:jc w:val="left"/>
        <w:rPr>
          <w:sz w:val="13"/>
        </w:rPr>
      </w:pPr>
      <w:r>
        <w:rPr>
          <w:w w:val="105"/>
          <w:sz w:val="13"/>
        </w:rPr>
        <w:t>Submission 28 </w:t>
      </w:r>
      <w:r>
        <w:rPr>
          <w:spacing w:val="3"/>
          <w:w w:val="105"/>
          <w:sz w:val="13"/>
        </w:rPr>
        <w:t>(HVP</w:t>
      </w:r>
      <w:r>
        <w:rPr>
          <w:spacing w:val="17"/>
          <w:w w:val="105"/>
          <w:sz w:val="13"/>
        </w:rPr>
        <w:t> </w:t>
      </w:r>
      <w:r>
        <w:rPr>
          <w:w w:val="105"/>
          <w:sz w:val="13"/>
        </w:rPr>
        <w:t>Plantations).</w:t>
      </w:r>
    </w:p>
    <w:p>
      <w:pPr>
        <w:pStyle w:val="ListParagraph"/>
        <w:numPr>
          <w:ilvl w:val="0"/>
          <w:numId w:val="52"/>
        </w:numPr>
        <w:tabs>
          <w:tab w:pos="2380"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52"/>
        </w:numPr>
        <w:tabs>
          <w:tab w:pos="2380" w:val="left" w:leader="none"/>
          <w:tab w:pos="2382" w:val="left" w:leader="none"/>
        </w:tabs>
        <w:spacing w:line="240" w:lineRule="auto" w:before="1" w:after="0"/>
        <w:ind w:left="2381" w:right="0" w:hanging="794"/>
        <w:jc w:val="left"/>
        <w:rPr>
          <w:sz w:val="13"/>
        </w:rPr>
      </w:pPr>
      <w:r>
        <w:rPr>
          <w:w w:val="105"/>
          <w:sz w:val="13"/>
        </w:rPr>
        <w:t>Consultation 3 </w:t>
      </w:r>
      <w:r>
        <w:rPr>
          <w:spacing w:val="3"/>
          <w:w w:val="105"/>
          <w:sz w:val="13"/>
        </w:rPr>
        <w:t>(HVP</w:t>
      </w:r>
      <w:r>
        <w:rPr>
          <w:spacing w:val="24"/>
          <w:w w:val="105"/>
          <w:sz w:val="13"/>
        </w:rPr>
        <w:t> </w:t>
      </w:r>
      <w:r>
        <w:rPr>
          <w:w w:val="105"/>
          <w:sz w:val="13"/>
        </w:rPr>
        <w:t>Plantations).</w:t>
      </w:r>
    </w:p>
    <w:p>
      <w:pPr>
        <w:pStyle w:val="ListParagraph"/>
        <w:numPr>
          <w:ilvl w:val="0"/>
          <w:numId w:val="52"/>
        </w:numPr>
        <w:tabs>
          <w:tab w:pos="2380" w:val="left" w:leader="none"/>
          <w:tab w:pos="2382" w:val="left" w:leader="none"/>
        </w:tabs>
        <w:spacing w:line="240" w:lineRule="auto" w:before="1" w:after="0"/>
        <w:ind w:left="2381" w:right="0" w:hanging="794"/>
        <w:jc w:val="left"/>
        <w:rPr>
          <w:sz w:val="13"/>
        </w:rPr>
      </w:pPr>
      <w:r>
        <w:rPr>
          <w:w w:val="105"/>
          <w:sz w:val="13"/>
        </w:rPr>
        <w:t>Submission 28 </w:t>
      </w:r>
      <w:r>
        <w:rPr>
          <w:spacing w:val="3"/>
          <w:w w:val="105"/>
          <w:sz w:val="13"/>
        </w:rPr>
        <w:t>(HVP</w:t>
      </w:r>
      <w:r>
        <w:rPr>
          <w:spacing w:val="17"/>
          <w:w w:val="105"/>
          <w:sz w:val="13"/>
        </w:rPr>
        <w:t> </w:t>
      </w:r>
      <w:r>
        <w:rPr>
          <w:w w:val="105"/>
          <w:sz w:val="13"/>
        </w:rPr>
        <w:t>Plantations).</w:t>
      </w:r>
    </w:p>
    <w:p>
      <w:pPr>
        <w:pStyle w:val="ListParagraph"/>
        <w:numPr>
          <w:ilvl w:val="0"/>
          <w:numId w:val="52"/>
        </w:numPr>
        <w:tabs>
          <w:tab w:pos="2380" w:val="left" w:leader="none"/>
          <w:tab w:pos="2382" w:val="left" w:leader="none"/>
        </w:tabs>
        <w:spacing w:line="240" w:lineRule="auto" w:before="2" w:after="0"/>
        <w:ind w:left="2381" w:right="0" w:hanging="794"/>
        <w:jc w:val="left"/>
        <w:rPr>
          <w:sz w:val="13"/>
        </w:rPr>
      </w:pPr>
      <w:r>
        <w:rPr>
          <w:w w:val="105"/>
          <w:sz w:val="13"/>
        </w:rPr>
        <w:t>Consultation 3 </w:t>
      </w:r>
      <w:r>
        <w:rPr>
          <w:spacing w:val="3"/>
          <w:w w:val="105"/>
          <w:sz w:val="13"/>
        </w:rPr>
        <w:t>(HVP</w:t>
      </w:r>
      <w:r>
        <w:rPr>
          <w:spacing w:val="24"/>
          <w:w w:val="105"/>
          <w:sz w:val="13"/>
        </w:rPr>
        <w:t> </w:t>
      </w:r>
      <w:r>
        <w:rPr>
          <w:w w:val="105"/>
          <w:sz w:val="13"/>
        </w:rPr>
        <w:t>Plantations).</w:t>
      </w:r>
    </w:p>
    <w:p>
      <w:pPr>
        <w:pStyle w:val="ListParagraph"/>
        <w:numPr>
          <w:ilvl w:val="0"/>
          <w:numId w:val="52"/>
        </w:numPr>
        <w:tabs>
          <w:tab w:pos="2380" w:val="left" w:leader="none"/>
          <w:tab w:pos="2382" w:val="left" w:leader="none"/>
        </w:tabs>
        <w:spacing w:line="240" w:lineRule="auto" w:before="1" w:after="0"/>
        <w:ind w:left="2381" w:right="0" w:hanging="794"/>
        <w:jc w:val="left"/>
        <w:rPr>
          <w:sz w:val="13"/>
        </w:rPr>
      </w:pPr>
      <w:r>
        <w:rPr>
          <w:w w:val="105"/>
          <w:sz w:val="13"/>
        </w:rPr>
        <w:t>Ibid. This was discussed in Ch</w:t>
      </w:r>
      <w:r>
        <w:rPr>
          <w:spacing w:val="27"/>
          <w:w w:val="105"/>
          <w:sz w:val="13"/>
        </w:rPr>
        <w:t> </w:t>
      </w:r>
      <w:r>
        <w:rPr>
          <w:w w:val="105"/>
          <w:sz w:val="13"/>
        </w:rPr>
        <w:t>3.</w:t>
      </w:r>
    </w:p>
    <w:p>
      <w:pPr>
        <w:pStyle w:val="ListParagraph"/>
        <w:numPr>
          <w:ilvl w:val="0"/>
          <w:numId w:val="52"/>
        </w:numPr>
        <w:tabs>
          <w:tab w:pos="2380" w:val="left" w:leader="none"/>
          <w:tab w:pos="2382" w:val="left" w:leader="none"/>
        </w:tabs>
        <w:spacing w:line="240" w:lineRule="auto" w:before="1"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52"/>
        </w:numPr>
        <w:tabs>
          <w:tab w:pos="2381" w:val="left" w:leader="none"/>
          <w:tab w:pos="2382" w:val="left" w:leader="none"/>
        </w:tabs>
        <w:spacing w:line="240" w:lineRule="auto" w:before="2" w:after="0"/>
        <w:ind w:left="2381" w:right="1828" w:hanging="794"/>
        <w:jc w:val="left"/>
        <w:rPr>
          <w:sz w:val="13"/>
        </w:rPr>
      </w:pPr>
      <w:r>
        <w:rPr>
          <w:w w:val="105"/>
          <w:sz w:val="13"/>
        </w:rPr>
        <w:t>Agriculture Victoria, </w:t>
      </w:r>
      <w:r>
        <w:rPr>
          <w:i/>
          <w:w w:val="105"/>
          <w:sz w:val="13"/>
        </w:rPr>
        <w:t>Resolving Disputes </w:t>
      </w:r>
      <w:r>
        <w:rPr>
          <w:w w:val="105"/>
          <w:sz w:val="13"/>
        </w:rPr>
        <w:t>(Web Page, 8 May 2017) &lt;</w:t>
      </w:r>
      <w:hyperlink r:id="rId104">
        <w:r>
          <w:rPr>
            <w:w w:val="105"/>
            <w:sz w:val="13"/>
          </w:rPr>
          <w:t>http://agriculture.vic.gov.au/agriculture/farm-management/business-</w:t>
        </w:r>
      </w:hyperlink>
      <w:r>
        <w:rPr>
          <w:w w:val="105"/>
          <w:sz w:val="13"/>
        </w:rPr>
        <w:t> management/new-landholders/resolving-disputes&gt;.</w:t>
      </w:r>
    </w:p>
    <w:p>
      <w:pPr>
        <w:pStyle w:val="ListParagraph"/>
        <w:numPr>
          <w:ilvl w:val="0"/>
          <w:numId w:val="52"/>
        </w:numPr>
        <w:tabs>
          <w:tab w:pos="2381" w:val="left" w:leader="none"/>
          <w:tab w:pos="2382" w:val="left" w:leader="none"/>
        </w:tabs>
        <w:spacing w:line="240" w:lineRule="auto" w:before="2" w:after="0"/>
        <w:ind w:left="2381" w:right="1758" w:hanging="794"/>
        <w:jc w:val="left"/>
        <w:rPr>
          <w:sz w:val="13"/>
        </w:rPr>
      </w:pPr>
      <w:r>
        <w:rPr/>
        <w:pict>
          <v:shape style="position:absolute;margin-left:548.987488pt;margin-top:3.054966pt;width:13.25pt;height:14.25pt;mso-position-horizontal-relative:page;mso-position-vertical-relative:paragraph;z-index:5896" type="#_x0000_t202" filled="false" stroked="false">
            <v:textbox inset="0,0,0,0">
              <w:txbxContent>
                <w:p>
                  <w:pPr>
                    <w:spacing w:line="284" w:lineRule="exact" w:before="0"/>
                    <w:ind w:left="0" w:right="0" w:firstLine="0"/>
                    <w:jc w:val="left"/>
                    <w:rPr>
                      <w:b/>
                      <w:sz w:val="24"/>
                    </w:rPr>
                  </w:pPr>
                  <w:r>
                    <w:rPr>
                      <w:b/>
                      <w:color w:val="658464"/>
                      <w:spacing w:val="-2"/>
                      <w:w w:val="110"/>
                      <w:sz w:val="24"/>
                    </w:rPr>
                    <w:t>79</w:t>
                  </w:r>
                </w:p>
              </w:txbxContent>
            </v:textbox>
            <w10:wrap type="none"/>
          </v:shape>
        </w:pict>
      </w:r>
      <w:r>
        <w:rPr>
          <w:w w:val="105"/>
          <w:sz w:val="13"/>
        </w:rPr>
        <w:t>Department of Justice and Attorney General </w:t>
      </w:r>
      <w:r>
        <w:rPr>
          <w:spacing w:val="3"/>
          <w:w w:val="105"/>
          <w:sz w:val="13"/>
        </w:rPr>
        <w:t>(NSW), </w:t>
      </w:r>
      <w:r>
        <w:rPr>
          <w:i/>
          <w:w w:val="105"/>
          <w:sz w:val="13"/>
        </w:rPr>
        <w:t>Review of the Trees (Disputes Between Neighbours) Act 2006 </w:t>
      </w:r>
      <w:r>
        <w:rPr>
          <w:spacing w:val="3"/>
          <w:w w:val="105"/>
          <w:sz w:val="13"/>
        </w:rPr>
        <w:t>(NSW) </w:t>
      </w:r>
      <w:r>
        <w:rPr>
          <w:spacing w:val="2"/>
          <w:w w:val="105"/>
          <w:sz w:val="13"/>
        </w:rPr>
        <w:t>(Report, 2009) </w:t>
      </w:r>
      <w:r>
        <w:rPr>
          <w:w w:val="105"/>
          <w:sz w:val="13"/>
        </w:rPr>
        <w:t>‘Recommendation</w:t>
      </w:r>
      <w:r>
        <w:rPr>
          <w:spacing w:val="5"/>
          <w:w w:val="105"/>
          <w:sz w:val="13"/>
        </w:rPr>
        <w:t> </w:t>
      </w:r>
      <w:r>
        <w:rPr>
          <w:spacing w:val="2"/>
          <w:w w:val="105"/>
          <w:sz w:val="13"/>
        </w:rPr>
        <w:t>10(a)’;</w:t>
      </w:r>
      <w:r>
        <w:rPr>
          <w:spacing w:val="5"/>
          <w:w w:val="105"/>
          <w:sz w:val="13"/>
        </w:rPr>
        <w:t> </w:t>
      </w:r>
      <w:r>
        <w:rPr>
          <w:w w:val="105"/>
          <w:sz w:val="13"/>
        </w:rPr>
        <w:t>see</w:t>
      </w:r>
      <w:r>
        <w:rPr>
          <w:spacing w:val="5"/>
          <w:w w:val="105"/>
          <w:sz w:val="13"/>
        </w:rPr>
        <w:t> </w:t>
      </w:r>
      <w:r>
        <w:rPr>
          <w:i/>
          <w:w w:val="105"/>
          <w:sz w:val="13"/>
        </w:rPr>
        <w:t>Trees</w:t>
      </w:r>
      <w:r>
        <w:rPr>
          <w:i/>
          <w:spacing w:val="5"/>
          <w:w w:val="105"/>
          <w:sz w:val="13"/>
        </w:rPr>
        <w:t> </w:t>
      </w:r>
      <w:r>
        <w:rPr>
          <w:i/>
          <w:w w:val="105"/>
          <w:sz w:val="13"/>
        </w:rPr>
        <w:t>Disputes</w:t>
      </w:r>
      <w:r>
        <w:rPr>
          <w:i/>
          <w:spacing w:val="5"/>
          <w:w w:val="105"/>
          <w:sz w:val="13"/>
        </w:rPr>
        <w:t> </w:t>
      </w:r>
      <w:r>
        <w:rPr>
          <w:i/>
          <w:w w:val="105"/>
          <w:sz w:val="13"/>
        </w:rPr>
        <w:t>Between</w:t>
      </w:r>
      <w:r>
        <w:rPr>
          <w:i/>
          <w:spacing w:val="5"/>
          <w:w w:val="105"/>
          <w:sz w:val="13"/>
        </w:rPr>
        <w:t> </w:t>
      </w:r>
      <w:r>
        <w:rPr>
          <w:i/>
          <w:w w:val="105"/>
          <w:sz w:val="13"/>
        </w:rPr>
        <w:t>Neighbours</w:t>
      </w:r>
      <w:r>
        <w:rPr>
          <w:i/>
          <w:spacing w:val="5"/>
          <w:w w:val="105"/>
          <w:sz w:val="13"/>
        </w:rPr>
        <w:t> </w:t>
      </w:r>
      <w:r>
        <w:rPr>
          <w:i/>
          <w:w w:val="105"/>
          <w:sz w:val="13"/>
        </w:rPr>
        <w:t>Act</w:t>
      </w:r>
      <w:r>
        <w:rPr>
          <w:i/>
          <w:spacing w:val="6"/>
          <w:w w:val="105"/>
          <w:sz w:val="13"/>
        </w:rPr>
        <w:t> </w:t>
      </w:r>
      <w:r>
        <w:rPr>
          <w:i/>
          <w:w w:val="105"/>
          <w:sz w:val="13"/>
        </w:rPr>
        <w:t>2006</w:t>
      </w:r>
      <w:r>
        <w:rPr>
          <w:i/>
          <w:spacing w:val="5"/>
          <w:w w:val="105"/>
          <w:sz w:val="13"/>
        </w:rPr>
        <w:t> </w:t>
      </w:r>
      <w:r>
        <w:rPr>
          <w:spacing w:val="3"/>
          <w:w w:val="105"/>
          <w:sz w:val="13"/>
        </w:rPr>
        <w:t>(NSW)</w:t>
      </w:r>
      <w:r>
        <w:rPr>
          <w:spacing w:val="5"/>
          <w:w w:val="105"/>
          <w:sz w:val="13"/>
        </w:rPr>
        <w:t> </w:t>
      </w:r>
      <w:r>
        <w:rPr>
          <w:w w:val="105"/>
          <w:sz w:val="13"/>
        </w:rPr>
        <w:t>s</w:t>
      </w:r>
      <w:r>
        <w:rPr>
          <w:spacing w:val="5"/>
          <w:w w:val="105"/>
          <w:sz w:val="13"/>
        </w:rPr>
        <w:t> </w:t>
      </w:r>
      <w:r>
        <w:rPr>
          <w:spacing w:val="3"/>
          <w:w w:val="105"/>
          <w:sz w:val="13"/>
        </w:rPr>
        <w:t>4(1)(a).</w:t>
      </w:r>
    </w:p>
    <w:p>
      <w:pPr>
        <w:spacing w:after="0" w:line="240" w:lineRule="auto"/>
        <w:jc w:val="left"/>
        <w:rPr>
          <w:sz w:val="13"/>
        </w:rPr>
        <w:sectPr>
          <w:pgSz w:w="11910" w:h="16840"/>
          <w:pgMar w:header="808" w:footer="0" w:top="1360" w:bottom="280" w:left="0" w:right="0"/>
        </w:sectPr>
      </w:pPr>
    </w:p>
    <w:p>
      <w:pPr>
        <w:pStyle w:val="BodyText"/>
        <w:spacing w:before="2"/>
        <w:rPr>
          <w:sz w:val="22"/>
        </w:rPr>
      </w:pPr>
    </w:p>
    <w:p>
      <w:pPr>
        <w:pStyle w:val="Heading7"/>
        <w:spacing w:before="97"/>
      </w:pPr>
      <w:bookmarkStart w:name="_bookmark47" w:id="115"/>
      <w:bookmarkEnd w:id="115"/>
      <w:r>
        <w:rPr/>
      </w:r>
      <w:r>
        <w:rPr>
          <w:color w:val="58595B"/>
          <w:w w:val="115"/>
        </w:rPr>
        <w:t>Review of the Act</w:t>
      </w:r>
    </w:p>
    <w:p>
      <w:pPr>
        <w:pStyle w:val="ListParagraph"/>
        <w:numPr>
          <w:ilvl w:val="1"/>
          <w:numId w:val="16"/>
        </w:numPr>
        <w:tabs>
          <w:tab w:pos="2380" w:val="left" w:leader="none"/>
          <w:tab w:pos="2381" w:val="left" w:leader="none"/>
        </w:tabs>
        <w:spacing w:line="242" w:lineRule="auto" w:before="142" w:after="0"/>
        <w:ind w:left="2381" w:right="1710" w:hanging="794"/>
        <w:jc w:val="left"/>
        <w:rPr>
          <w:sz w:val="21"/>
        </w:rPr>
      </w:pPr>
      <w:r>
        <w:rPr>
          <w:spacing w:val="-4"/>
          <w:sz w:val="21"/>
        </w:rPr>
        <w:t>At review, </w:t>
      </w:r>
      <w:r>
        <w:rPr>
          <w:spacing w:val="-3"/>
          <w:sz w:val="21"/>
        </w:rPr>
        <w:t>regulation could </w:t>
      </w:r>
      <w:r>
        <w:rPr>
          <w:sz w:val="21"/>
        </w:rPr>
        <w:t>specify </w:t>
      </w:r>
      <w:r>
        <w:rPr>
          <w:spacing w:val="-3"/>
          <w:sz w:val="21"/>
        </w:rPr>
        <w:t>that </w:t>
      </w:r>
      <w:r>
        <w:rPr>
          <w:sz w:val="21"/>
        </w:rPr>
        <w:t>the Act apply </w:t>
      </w:r>
      <w:r>
        <w:rPr>
          <w:spacing w:val="-3"/>
          <w:sz w:val="21"/>
        </w:rPr>
        <w:t>to additional </w:t>
      </w:r>
      <w:r>
        <w:rPr>
          <w:sz w:val="21"/>
        </w:rPr>
        <w:t>zones. </w:t>
      </w:r>
      <w:r>
        <w:rPr>
          <w:spacing w:val="-3"/>
          <w:sz w:val="21"/>
        </w:rPr>
        <w:t>Alternatively, regulation could </w:t>
      </w:r>
      <w:r>
        <w:rPr>
          <w:sz w:val="21"/>
        </w:rPr>
        <w:t>also </w:t>
      </w:r>
      <w:r>
        <w:rPr>
          <w:spacing w:val="-3"/>
          <w:sz w:val="21"/>
        </w:rPr>
        <w:t>exclude </w:t>
      </w:r>
      <w:r>
        <w:rPr>
          <w:sz w:val="21"/>
        </w:rPr>
        <w:t>some zones if it was </w:t>
      </w:r>
      <w:r>
        <w:rPr>
          <w:spacing w:val="-3"/>
          <w:sz w:val="21"/>
        </w:rPr>
        <w:t>determined that </w:t>
      </w:r>
      <w:r>
        <w:rPr>
          <w:sz w:val="21"/>
        </w:rPr>
        <w:t>the application of the  Act as </w:t>
      </w:r>
      <w:r>
        <w:rPr>
          <w:spacing w:val="-3"/>
          <w:sz w:val="21"/>
        </w:rPr>
        <w:t>initially implemented </w:t>
      </w:r>
      <w:r>
        <w:rPr>
          <w:sz w:val="21"/>
        </w:rPr>
        <w:t>was too broad and </w:t>
      </w:r>
      <w:r>
        <w:rPr>
          <w:spacing w:val="-3"/>
          <w:sz w:val="21"/>
        </w:rPr>
        <w:t>hindered </w:t>
      </w:r>
      <w:r>
        <w:rPr>
          <w:sz w:val="21"/>
        </w:rPr>
        <w:t>the purpose of  </w:t>
      </w:r>
      <w:r>
        <w:rPr>
          <w:spacing w:val="-3"/>
          <w:sz w:val="21"/>
        </w:rPr>
        <w:t>any  </w:t>
      </w:r>
      <w:r>
        <w:rPr>
          <w:sz w:val="21"/>
        </w:rPr>
        <w:t>of  those zones. </w:t>
      </w:r>
      <w:r>
        <w:rPr>
          <w:spacing w:val="-4"/>
          <w:sz w:val="21"/>
        </w:rPr>
        <w:t>At  </w:t>
      </w:r>
      <w:r>
        <w:rPr>
          <w:sz w:val="21"/>
        </w:rPr>
        <w:t>review </w:t>
      </w:r>
      <w:r>
        <w:rPr>
          <w:spacing w:val="-3"/>
          <w:sz w:val="21"/>
        </w:rPr>
        <w:t>Government  </w:t>
      </w:r>
      <w:r>
        <w:rPr>
          <w:sz w:val="21"/>
        </w:rPr>
        <w:t>should </w:t>
      </w:r>
      <w:r>
        <w:rPr>
          <w:spacing w:val="-3"/>
          <w:sz w:val="21"/>
        </w:rPr>
        <w:t>consult</w:t>
      </w:r>
      <w:r>
        <w:rPr>
          <w:spacing w:val="41"/>
          <w:sz w:val="21"/>
        </w:rPr>
        <w:t> </w:t>
      </w:r>
      <w:r>
        <w:rPr>
          <w:sz w:val="21"/>
        </w:rPr>
        <w:t>with </w:t>
      </w:r>
      <w:r>
        <w:rPr>
          <w:spacing w:val="-3"/>
          <w:sz w:val="21"/>
        </w:rPr>
        <w:t>farming  </w:t>
      </w:r>
      <w:r>
        <w:rPr>
          <w:sz w:val="21"/>
        </w:rPr>
        <w:t>and </w:t>
      </w:r>
      <w:r>
        <w:rPr>
          <w:spacing w:val="-3"/>
          <w:sz w:val="21"/>
        </w:rPr>
        <w:t>agricultural  </w:t>
      </w:r>
      <w:r>
        <w:rPr>
          <w:sz w:val="21"/>
        </w:rPr>
        <w:t>users of </w:t>
      </w:r>
      <w:r>
        <w:rPr>
          <w:spacing w:val="-3"/>
          <w:sz w:val="21"/>
        </w:rPr>
        <w:t>land  to </w:t>
      </w:r>
      <w:r>
        <w:rPr>
          <w:sz w:val="21"/>
        </w:rPr>
        <w:t>obtain specific </w:t>
      </w:r>
      <w:r>
        <w:rPr>
          <w:spacing w:val="-3"/>
          <w:sz w:val="21"/>
        </w:rPr>
        <w:t>input from rural communities </w:t>
      </w:r>
      <w:r>
        <w:rPr>
          <w:sz w:val="21"/>
        </w:rPr>
        <w:t>about the application of the</w:t>
      </w:r>
      <w:r>
        <w:rPr>
          <w:spacing w:val="-5"/>
          <w:sz w:val="21"/>
        </w:rPr>
        <w:t> </w:t>
      </w:r>
      <w:r>
        <w:rPr>
          <w:spacing w:val="-4"/>
          <w:sz w:val="21"/>
        </w:rPr>
        <w:t>Act.</w:t>
      </w:r>
      <w:r>
        <w:rPr>
          <w:spacing w:val="-4"/>
          <w:position w:val="7"/>
          <w:sz w:val="12"/>
        </w:rPr>
        <w:t>149</w:t>
      </w:r>
    </w:p>
    <w:p>
      <w:pPr>
        <w:pStyle w:val="ListParagraph"/>
        <w:numPr>
          <w:ilvl w:val="1"/>
          <w:numId w:val="16"/>
        </w:numPr>
        <w:tabs>
          <w:tab w:pos="2381" w:val="left" w:leader="none"/>
          <w:tab w:pos="2382" w:val="left" w:leader="none"/>
        </w:tabs>
        <w:spacing w:line="242" w:lineRule="auto" w:before="126" w:after="0"/>
        <w:ind w:left="2381" w:right="1607" w:hanging="794"/>
        <w:jc w:val="left"/>
        <w:rPr>
          <w:sz w:val="21"/>
        </w:rPr>
      </w:pPr>
      <w:r>
        <w:rPr>
          <w:w w:val="105"/>
          <w:sz w:val="21"/>
        </w:rPr>
        <w:t>Review</w:t>
      </w:r>
      <w:r>
        <w:rPr>
          <w:spacing w:val="-6"/>
          <w:w w:val="105"/>
          <w:sz w:val="21"/>
        </w:rPr>
        <w:t> </w:t>
      </w:r>
      <w:r>
        <w:rPr>
          <w:spacing w:val="-3"/>
          <w:w w:val="105"/>
          <w:sz w:val="21"/>
        </w:rPr>
        <w:t>could</w:t>
      </w:r>
      <w:r>
        <w:rPr>
          <w:spacing w:val="-5"/>
          <w:w w:val="105"/>
          <w:sz w:val="21"/>
        </w:rPr>
        <w:t> </w:t>
      </w:r>
      <w:r>
        <w:rPr>
          <w:w w:val="105"/>
          <w:sz w:val="21"/>
        </w:rPr>
        <w:t>also</w:t>
      </w:r>
      <w:r>
        <w:rPr>
          <w:spacing w:val="-5"/>
          <w:w w:val="105"/>
          <w:sz w:val="21"/>
        </w:rPr>
        <w:t> </w:t>
      </w:r>
      <w:r>
        <w:rPr>
          <w:spacing w:val="-3"/>
          <w:w w:val="105"/>
          <w:sz w:val="21"/>
        </w:rPr>
        <w:t>determine</w:t>
      </w:r>
      <w:r>
        <w:rPr>
          <w:spacing w:val="-6"/>
          <w:w w:val="105"/>
          <w:sz w:val="21"/>
        </w:rPr>
        <w:t> </w:t>
      </w:r>
      <w:r>
        <w:rPr>
          <w:w w:val="105"/>
          <w:sz w:val="21"/>
        </w:rPr>
        <w:t>if</w:t>
      </w:r>
      <w:r>
        <w:rPr>
          <w:spacing w:val="-5"/>
          <w:w w:val="105"/>
          <w:sz w:val="21"/>
        </w:rPr>
        <w:t> </w:t>
      </w:r>
      <w:r>
        <w:rPr>
          <w:spacing w:val="-3"/>
          <w:w w:val="105"/>
          <w:sz w:val="21"/>
        </w:rPr>
        <w:t>any</w:t>
      </w:r>
      <w:r>
        <w:rPr>
          <w:spacing w:val="-5"/>
          <w:w w:val="105"/>
          <w:sz w:val="21"/>
        </w:rPr>
        <w:t> </w:t>
      </w:r>
      <w:r>
        <w:rPr>
          <w:w w:val="105"/>
          <w:sz w:val="21"/>
        </w:rPr>
        <w:t>other</w:t>
      </w:r>
      <w:r>
        <w:rPr>
          <w:spacing w:val="-5"/>
          <w:w w:val="105"/>
          <w:sz w:val="21"/>
        </w:rPr>
        <w:t> </w:t>
      </w:r>
      <w:r>
        <w:rPr>
          <w:w w:val="105"/>
          <w:sz w:val="21"/>
        </w:rPr>
        <w:t>types</w:t>
      </w:r>
      <w:r>
        <w:rPr>
          <w:spacing w:val="-6"/>
          <w:w w:val="105"/>
          <w:sz w:val="21"/>
        </w:rPr>
        <w:t> </w:t>
      </w:r>
      <w:r>
        <w:rPr>
          <w:w w:val="105"/>
          <w:sz w:val="21"/>
        </w:rPr>
        <w:t>of</w:t>
      </w:r>
      <w:r>
        <w:rPr>
          <w:spacing w:val="-5"/>
          <w:w w:val="105"/>
          <w:sz w:val="21"/>
        </w:rPr>
        <w:t> </w:t>
      </w:r>
      <w:r>
        <w:rPr>
          <w:spacing w:val="-3"/>
          <w:w w:val="105"/>
          <w:sz w:val="21"/>
        </w:rPr>
        <w:t>land</w:t>
      </w:r>
      <w:r>
        <w:rPr>
          <w:spacing w:val="-5"/>
          <w:w w:val="105"/>
          <w:sz w:val="21"/>
        </w:rPr>
        <w:t> </w:t>
      </w:r>
      <w:r>
        <w:rPr>
          <w:w w:val="105"/>
          <w:sz w:val="21"/>
        </w:rPr>
        <w:t>should</w:t>
      </w:r>
      <w:r>
        <w:rPr>
          <w:spacing w:val="-6"/>
          <w:w w:val="105"/>
          <w:sz w:val="21"/>
        </w:rPr>
        <w:t> </w:t>
      </w:r>
      <w:r>
        <w:rPr>
          <w:w w:val="105"/>
          <w:sz w:val="21"/>
        </w:rPr>
        <w:t>be</w:t>
      </w:r>
      <w:r>
        <w:rPr>
          <w:spacing w:val="-5"/>
          <w:w w:val="105"/>
          <w:sz w:val="21"/>
        </w:rPr>
        <w:t> </w:t>
      </w:r>
      <w:r>
        <w:rPr>
          <w:spacing w:val="-3"/>
          <w:w w:val="105"/>
          <w:sz w:val="21"/>
        </w:rPr>
        <w:t>excluded</w:t>
      </w:r>
      <w:r>
        <w:rPr>
          <w:spacing w:val="-5"/>
          <w:w w:val="105"/>
          <w:sz w:val="21"/>
        </w:rPr>
        <w:t> </w:t>
      </w:r>
      <w:r>
        <w:rPr>
          <w:spacing w:val="-3"/>
          <w:w w:val="105"/>
          <w:sz w:val="21"/>
        </w:rPr>
        <w:t>from</w:t>
      </w:r>
      <w:r>
        <w:rPr>
          <w:spacing w:val="-5"/>
          <w:w w:val="105"/>
          <w:sz w:val="21"/>
        </w:rPr>
        <w:t> </w:t>
      </w:r>
      <w:r>
        <w:rPr>
          <w:w w:val="105"/>
          <w:sz w:val="21"/>
        </w:rPr>
        <w:t>the</w:t>
      </w:r>
      <w:r>
        <w:rPr>
          <w:spacing w:val="-6"/>
          <w:w w:val="105"/>
          <w:sz w:val="21"/>
        </w:rPr>
        <w:t> </w:t>
      </w:r>
      <w:r>
        <w:rPr>
          <w:w w:val="105"/>
          <w:sz w:val="21"/>
        </w:rPr>
        <w:t>ambit of the</w:t>
      </w:r>
      <w:r>
        <w:rPr>
          <w:spacing w:val="11"/>
          <w:w w:val="105"/>
          <w:sz w:val="21"/>
        </w:rPr>
        <w:t> </w:t>
      </w:r>
      <w:r>
        <w:rPr>
          <w:w w:val="105"/>
          <w:sz w:val="21"/>
        </w:rPr>
        <w:t>Act.</w:t>
      </w:r>
    </w:p>
    <w:p>
      <w:pPr>
        <w:pStyle w:val="ListParagraph"/>
        <w:numPr>
          <w:ilvl w:val="1"/>
          <w:numId w:val="16"/>
        </w:numPr>
        <w:tabs>
          <w:tab w:pos="2380" w:val="left" w:leader="none"/>
          <w:tab w:pos="2382" w:val="left" w:leader="none"/>
        </w:tabs>
        <w:spacing w:line="240" w:lineRule="auto" w:before="122" w:after="0"/>
        <w:ind w:left="2381" w:right="0" w:hanging="794"/>
        <w:jc w:val="left"/>
        <w:rPr>
          <w:sz w:val="21"/>
        </w:rPr>
      </w:pPr>
      <w:r>
        <w:rPr>
          <w:w w:val="105"/>
          <w:sz w:val="21"/>
        </w:rPr>
        <w:t>This review </w:t>
      </w:r>
      <w:r>
        <w:rPr>
          <w:spacing w:val="-3"/>
          <w:w w:val="105"/>
          <w:sz w:val="21"/>
        </w:rPr>
        <w:t>recommendation </w:t>
      </w:r>
      <w:r>
        <w:rPr>
          <w:w w:val="105"/>
          <w:sz w:val="21"/>
        </w:rPr>
        <w:t>is discussed further in </w:t>
      </w:r>
      <w:r>
        <w:rPr>
          <w:spacing w:val="-4"/>
          <w:w w:val="105"/>
          <w:sz w:val="21"/>
        </w:rPr>
        <w:t>Chapter</w:t>
      </w:r>
      <w:r>
        <w:rPr>
          <w:spacing w:val="36"/>
          <w:w w:val="105"/>
          <w:sz w:val="21"/>
        </w:rPr>
        <w:t> </w:t>
      </w:r>
      <w:r>
        <w:rPr>
          <w:spacing w:val="-8"/>
          <w:w w:val="105"/>
          <w:sz w:val="21"/>
        </w:rPr>
        <w:t>13.</w:t>
      </w:r>
    </w:p>
    <w:p>
      <w:pPr>
        <w:pStyle w:val="BodyText"/>
        <w:spacing w:before="7"/>
        <w:rPr>
          <w:sz w:val="16"/>
        </w:rPr>
      </w:pPr>
      <w:r>
        <w:rPr/>
        <w:pict>
          <v:group style="position:absolute;margin-left:62.362202pt;margin-top:12.070252pt;width:479.1pt;height:237.4pt;mso-position-horizontal-relative:page;mso-position-vertical-relative:paragraph;z-index:3968;mso-wrap-distance-left:0;mso-wrap-distance-right:0" coordorigin="1247,241" coordsize="9582,4748">
            <v:rect style="position:absolute;left:1587;top:241;width:8731;height:4748" filled="true" fillcolor="#dbe0dd" stroked="false">
              <v:fill type="solid"/>
            </v:rect>
            <v:line style="position:absolute" from="1247,988" to="10828,988" stroked="true" strokeweight="2.5pt" strokecolor="#ffffff">
              <v:stroke dashstyle="solid"/>
            </v:line>
            <v:shape style="position:absolute;left:1814;top:4045;width:8006;height:769" type="#_x0000_t202" filled="false" stroked="false">
              <v:textbox inset="0,0,0,0">
                <w:txbxContent>
                  <w:p>
                    <w:pPr>
                      <w:tabs>
                        <w:tab w:pos="566" w:val="left" w:leader="none"/>
                      </w:tabs>
                      <w:spacing w:line="242" w:lineRule="auto" w:before="0"/>
                      <w:ind w:left="566" w:right="18" w:hanging="567"/>
                      <w:jc w:val="left"/>
                      <w:rPr>
                        <w:sz w:val="21"/>
                      </w:rPr>
                    </w:pPr>
                    <w:r>
                      <w:rPr>
                        <w:b/>
                        <w:w w:val="115"/>
                        <w:sz w:val="21"/>
                      </w:rPr>
                      <w:t>5</w:t>
                      <w:tab/>
                    </w:r>
                    <w:r>
                      <w:rPr>
                        <w:w w:val="115"/>
                        <w:sz w:val="21"/>
                      </w:rPr>
                      <w:t>The</w:t>
                    </w:r>
                    <w:r>
                      <w:rPr>
                        <w:spacing w:val="-5"/>
                        <w:w w:val="115"/>
                        <w:sz w:val="21"/>
                      </w:rPr>
                      <w:t> </w:t>
                    </w:r>
                    <w:r>
                      <w:rPr>
                        <w:w w:val="115"/>
                        <w:sz w:val="21"/>
                      </w:rPr>
                      <w:t>Act</w:t>
                    </w:r>
                    <w:r>
                      <w:rPr>
                        <w:spacing w:val="-4"/>
                        <w:w w:val="115"/>
                        <w:sz w:val="21"/>
                      </w:rPr>
                      <w:t> </w:t>
                    </w:r>
                    <w:r>
                      <w:rPr>
                        <w:w w:val="115"/>
                        <w:sz w:val="21"/>
                      </w:rPr>
                      <w:t>should</w:t>
                    </w:r>
                    <w:r>
                      <w:rPr>
                        <w:spacing w:val="-4"/>
                        <w:w w:val="115"/>
                        <w:sz w:val="21"/>
                      </w:rPr>
                      <w:t> </w:t>
                    </w:r>
                    <w:r>
                      <w:rPr>
                        <w:w w:val="115"/>
                        <w:sz w:val="21"/>
                      </w:rPr>
                      <w:t>not</w:t>
                    </w:r>
                    <w:r>
                      <w:rPr>
                        <w:spacing w:val="-4"/>
                        <w:w w:val="115"/>
                        <w:sz w:val="21"/>
                      </w:rPr>
                      <w:t> </w:t>
                    </w:r>
                    <w:r>
                      <w:rPr>
                        <w:w w:val="115"/>
                        <w:sz w:val="21"/>
                      </w:rPr>
                      <w:t>apply</w:t>
                    </w:r>
                    <w:r>
                      <w:rPr>
                        <w:spacing w:val="-4"/>
                        <w:w w:val="115"/>
                        <w:sz w:val="21"/>
                      </w:rPr>
                      <w:t> </w:t>
                    </w:r>
                    <w:r>
                      <w:rPr>
                        <w:w w:val="115"/>
                        <w:sz w:val="21"/>
                      </w:rPr>
                      <w:t>to</w:t>
                    </w:r>
                    <w:r>
                      <w:rPr>
                        <w:spacing w:val="-4"/>
                        <w:w w:val="115"/>
                        <w:sz w:val="21"/>
                      </w:rPr>
                      <w:t> </w:t>
                    </w:r>
                    <w:r>
                      <w:rPr>
                        <w:w w:val="115"/>
                        <w:sz w:val="21"/>
                      </w:rPr>
                      <w:t>land</w:t>
                    </w:r>
                    <w:r>
                      <w:rPr>
                        <w:spacing w:val="-4"/>
                        <w:w w:val="115"/>
                        <w:sz w:val="21"/>
                      </w:rPr>
                      <w:t> </w:t>
                    </w:r>
                    <w:r>
                      <w:rPr>
                        <w:w w:val="115"/>
                        <w:sz w:val="21"/>
                      </w:rPr>
                      <w:t>that</w:t>
                    </w:r>
                    <w:r>
                      <w:rPr>
                        <w:spacing w:val="-5"/>
                        <w:w w:val="115"/>
                        <w:sz w:val="21"/>
                      </w:rPr>
                      <w:t> </w:t>
                    </w:r>
                    <w:r>
                      <w:rPr>
                        <w:w w:val="115"/>
                        <w:sz w:val="21"/>
                      </w:rPr>
                      <w:t>is</w:t>
                    </w:r>
                    <w:r>
                      <w:rPr>
                        <w:spacing w:val="-4"/>
                        <w:w w:val="115"/>
                        <w:sz w:val="21"/>
                      </w:rPr>
                      <w:t> </w:t>
                    </w:r>
                    <w:r>
                      <w:rPr>
                        <w:w w:val="115"/>
                        <w:sz w:val="21"/>
                      </w:rPr>
                      <w:t>zoned</w:t>
                    </w:r>
                    <w:r>
                      <w:rPr>
                        <w:spacing w:val="-4"/>
                        <w:w w:val="115"/>
                        <w:sz w:val="21"/>
                      </w:rPr>
                      <w:t> </w:t>
                    </w:r>
                    <w:r>
                      <w:rPr>
                        <w:w w:val="115"/>
                        <w:sz w:val="21"/>
                      </w:rPr>
                      <w:t>farming,</w:t>
                    </w:r>
                    <w:r>
                      <w:rPr>
                        <w:spacing w:val="-4"/>
                        <w:w w:val="115"/>
                        <w:sz w:val="21"/>
                      </w:rPr>
                      <w:t> </w:t>
                    </w:r>
                    <w:r>
                      <w:rPr>
                        <w:w w:val="115"/>
                        <w:sz w:val="21"/>
                      </w:rPr>
                      <w:t>rural</w:t>
                    </w:r>
                    <w:r>
                      <w:rPr>
                        <w:spacing w:val="-4"/>
                        <w:w w:val="115"/>
                        <w:sz w:val="21"/>
                      </w:rPr>
                      <w:t> </w:t>
                    </w:r>
                    <w:r>
                      <w:rPr>
                        <w:w w:val="115"/>
                        <w:sz w:val="21"/>
                      </w:rPr>
                      <w:t>activity,</w:t>
                    </w:r>
                    <w:r>
                      <w:rPr>
                        <w:spacing w:val="-4"/>
                        <w:w w:val="115"/>
                        <w:sz w:val="21"/>
                      </w:rPr>
                      <w:t> </w:t>
                    </w:r>
                    <w:r>
                      <w:rPr>
                        <w:w w:val="115"/>
                        <w:sz w:val="21"/>
                      </w:rPr>
                      <w:t>special use, urban floodway or port or to land that is used for commercial timber plantation.</w:t>
                    </w:r>
                  </w:p>
                </w:txbxContent>
              </v:textbox>
              <w10:wrap type="none"/>
            </v:shape>
            <v:shape style="position:absolute;left:2381;top:1225;width:7489;height:2690" type="#_x0000_t202" filled="false" stroked="false">
              <v:textbox inset="0,0,0,0">
                <w:txbxContent>
                  <w:p>
                    <w:pPr>
                      <w:spacing w:line="253" w:lineRule="exact" w:before="0"/>
                      <w:ind w:left="0" w:right="0" w:firstLine="0"/>
                      <w:jc w:val="left"/>
                      <w:rPr>
                        <w:sz w:val="21"/>
                      </w:rPr>
                    </w:pPr>
                    <w:r>
                      <w:rPr>
                        <w:w w:val="115"/>
                        <w:sz w:val="21"/>
                      </w:rPr>
                      <w:t>The Act should apply to trees on privately owned land that is:</w:t>
                    </w:r>
                  </w:p>
                  <w:p>
                    <w:pPr>
                      <w:numPr>
                        <w:ilvl w:val="0"/>
                        <w:numId w:val="53"/>
                      </w:numPr>
                      <w:tabs>
                        <w:tab w:pos="566" w:val="left" w:leader="none"/>
                        <w:tab w:pos="567" w:val="left" w:leader="none"/>
                      </w:tabs>
                      <w:spacing w:line="242" w:lineRule="auto" w:before="123"/>
                      <w:ind w:left="567" w:right="181" w:hanging="567"/>
                      <w:jc w:val="left"/>
                      <w:rPr>
                        <w:sz w:val="21"/>
                      </w:rPr>
                    </w:pPr>
                    <w:r>
                      <w:rPr>
                        <w:w w:val="115"/>
                        <w:sz w:val="21"/>
                      </w:rPr>
                      <w:t>within a zone designated residential, commercial, industrial, green wedge, rural </w:t>
                    </w:r>
                    <w:r>
                      <w:rPr>
                        <w:spacing w:val="-2"/>
                        <w:w w:val="115"/>
                        <w:sz w:val="21"/>
                      </w:rPr>
                      <w:t>living </w:t>
                    </w:r>
                    <w:r>
                      <w:rPr>
                        <w:w w:val="115"/>
                        <w:sz w:val="21"/>
                      </w:rPr>
                      <w:t>and rural conservation under a Victorian planning scheme or a zone that has the substantial character of one of these zones, or</w:t>
                    </w:r>
                  </w:p>
                  <w:p>
                    <w:pPr>
                      <w:numPr>
                        <w:ilvl w:val="0"/>
                        <w:numId w:val="53"/>
                      </w:numPr>
                      <w:tabs>
                        <w:tab w:pos="566" w:val="left" w:leader="none"/>
                        <w:tab w:pos="567" w:val="left" w:leader="none"/>
                      </w:tabs>
                      <w:spacing w:line="242" w:lineRule="auto" w:before="125"/>
                      <w:ind w:left="567" w:right="18" w:hanging="567"/>
                      <w:jc w:val="left"/>
                      <w:rPr>
                        <w:sz w:val="21"/>
                      </w:rPr>
                    </w:pPr>
                    <w:r>
                      <w:rPr>
                        <w:w w:val="115"/>
                        <w:sz w:val="21"/>
                      </w:rPr>
                      <w:t>within a special purpose zone designated as capital city, docklands, activity</w:t>
                    </w:r>
                    <w:r>
                      <w:rPr>
                        <w:spacing w:val="-21"/>
                        <w:w w:val="115"/>
                        <w:sz w:val="21"/>
                      </w:rPr>
                      <w:t> </w:t>
                    </w:r>
                    <w:r>
                      <w:rPr>
                        <w:w w:val="115"/>
                        <w:sz w:val="21"/>
                      </w:rPr>
                      <w:t>centre,</w:t>
                    </w:r>
                    <w:r>
                      <w:rPr>
                        <w:spacing w:val="-21"/>
                        <w:w w:val="115"/>
                        <w:sz w:val="21"/>
                      </w:rPr>
                      <w:t> </w:t>
                    </w:r>
                    <w:r>
                      <w:rPr>
                        <w:w w:val="115"/>
                        <w:sz w:val="21"/>
                      </w:rPr>
                      <w:t>priority</w:t>
                    </w:r>
                    <w:r>
                      <w:rPr>
                        <w:spacing w:val="-21"/>
                        <w:w w:val="115"/>
                        <w:sz w:val="21"/>
                      </w:rPr>
                      <w:t> </w:t>
                    </w:r>
                    <w:r>
                      <w:rPr>
                        <w:w w:val="115"/>
                        <w:sz w:val="21"/>
                      </w:rPr>
                      <w:t>development,</w:t>
                    </w:r>
                    <w:r>
                      <w:rPr>
                        <w:spacing w:val="-21"/>
                        <w:w w:val="115"/>
                        <w:sz w:val="21"/>
                      </w:rPr>
                      <w:t> </w:t>
                    </w:r>
                    <w:r>
                      <w:rPr>
                        <w:w w:val="115"/>
                        <w:sz w:val="21"/>
                      </w:rPr>
                      <w:t>comprehensive</w:t>
                    </w:r>
                    <w:r>
                      <w:rPr>
                        <w:spacing w:val="-21"/>
                        <w:w w:val="115"/>
                        <w:sz w:val="21"/>
                      </w:rPr>
                      <w:t> </w:t>
                    </w:r>
                    <w:r>
                      <w:rPr>
                        <w:w w:val="115"/>
                        <w:sz w:val="21"/>
                      </w:rPr>
                      <w:t>development</w:t>
                    </w:r>
                    <w:r>
                      <w:rPr>
                        <w:spacing w:val="-21"/>
                        <w:w w:val="115"/>
                        <w:sz w:val="21"/>
                      </w:rPr>
                      <w:t> </w:t>
                    </w:r>
                    <w:r>
                      <w:rPr>
                        <w:w w:val="115"/>
                        <w:sz w:val="21"/>
                      </w:rPr>
                      <w:t>and urban growth,</w:t>
                    </w:r>
                    <w:r>
                      <w:rPr>
                        <w:spacing w:val="1"/>
                        <w:w w:val="115"/>
                        <w:sz w:val="21"/>
                      </w:rPr>
                      <w:t> </w:t>
                    </w:r>
                    <w:r>
                      <w:rPr>
                        <w:w w:val="115"/>
                        <w:sz w:val="21"/>
                      </w:rPr>
                      <w:t>or</w:t>
                    </w:r>
                  </w:p>
                  <w:p>
                    <w:pPr>
                      <w:numPr>
                        <w:ilvl w:val="0"/>
                        <w:numId w:val="53"/>
                      </w:numPr>
                      <w:tabs>
                        <w:tab w:pos="566" w:val="left" w:leader="none"/>
                        <w:tab w:pos="567" w:val="left" w:leader="none"/>
                      </w:tabs>
                      <w:spacing w:line="252" w:lineRule="exact" w:before="123"/>
                      <w:ind w:left="567" w:right="0" w:hanging="567"/>
                      <w:jc w:val="left"/>
                      <w:rPr>
                        <w:sz w:val="21"/>
                      </w:rPr>
                    </w:pPr>
                    <w:r>
                      <w:rPr>
                        <w:w w:val="115"/>
                        <w:sz w:val="21"/>
                      </w:rPr>
                      <w:t>prescribed in regulations.</w:t>
                    </w:r>
                  </w:p>
                </w:txbxContent>
              </v:textbox>
              <w10:wrap type="none"/>
            </v:shape>
            <v:shape style="position:absolute;left:1814;top:1225;width:137;height:249" type="#_x0000_t202" filled="false" stroked="false">
              <v:textbox inset="0,0,0,0">
                <w:txbxContent>
                  <w:p>
                    <w:pPr>
                      <w:spacing w:line="249" w:lineRule="exact" w:before="0"/>
                      <w:ind w:left="0" w:right="0" w:firstLine="0"/>
                      <w:jc w:val="left"/>
                      <w:rPr>
                        <w:b/>
                        <w:sz w:val="21"/>
                      </w:rPr>
                    </w:pPr>
                    <w:r>
                      <w:rPr>
                        <w:b/>
                        <w:w w:val="109"/>
                        <w:sz w:val="21"/>
                      </w:rPr>
                      <w:t>4</w:t>
                    </w:r>
                  </w:p>
                </w:txbxContent>
              </v:textbox>
              <w10:wrap type="none"/>
            </v:shape>
            <v:shape style="position:absolute;left:1587;top:241;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Recommendations</w:t>
                    </w:r>
                  </w:p>
                </w:txbxContent>
              </v:textbox>
              <v:fill type="solid"/>
              <w10:wrap type="none"/>
            </v:shape>
            <w10:wrap type="topAndBottom"/>
          </v:group>
        </w:pict>
      </w:r>
    </w:p>
    <w:p>
      <w:pPr>
        <w:pStyle w:val="BodyText"/>
        <w:spacing w:before="10"/>
        <w:rPr>
          <w:sz w:val="25"/>
        </w:rPr>
      </w:pPr>
    </w:p>
    <w:p>
      <w:pPr>
        <w:pStyle w:val="Heading5"/>
        <w:spacing w:before="96"/>
      </w:pPr>
      <w:r>
        <w:rPr>
          <w:w w:val="115"/>
        </w:rPr>
        <w:t>Proximity to affected neighbour’s land</w:t>
      </w:r>
    </w:p>
    <w:p>
      <w:pPr>
        <w:pStyle w:val="ListParagraph"/>
        <w:numPr>
          <w:ilvl w:val="1"/>
          <w:numId w:val="16"/>
        </w:numPr>
        <w:tabs>
          <w:tab w:pos="2381" w:val="left" w:leader="none"/>
          <w:tab w:pos="2382" w:val="left" w:leader="none"/>
        </w:tabs>
        <w:spacing w:line="242" w:lineRule="auto" w:before="137" w:after="0"/>
        <w:ind w:left="2381" w:right="1760" w:hanging="794"/>
        <w:jc w:val="left"/>
        <w:rPr>
          <w:sz w:val="21"/>
        </w:rPr>
      </w:pPr>
      <w:r>
        <w:rPr>
          <w:w w:val="105"/>
          <w:sz w:val="21"/>
        </w:rPr>
        <w:t>The </w:t>
      </w:r>
      <w:r>
        <w:rPr>
          <w:spacing w:val="-3"/>
          <w:w w:val="105"/>
          <w:sz w:val="21"/>
        </w:rPr>
        <w:t>consultation </w:t>
      </w:r>
      <w:r>
        <w:rPr>
          <w:w w:val="105"/>
          <w:sz w:val="21"/>
        </w:rPr>
        <w:t>paper </w:t>
      </w:r>
      <w:r>
        <w:rPr>
          <w:spacing w:val="-3"/>
          <w:w w:val="105"/>
          <w:sz w:val="21"/>
        </w:rPr>
        <w:t>asked </w:t>
      </w:r>
      <w:r>
        <w:rPr>
          <w:w w:val="105"/>
          <w:sz w:val="21"/>
        </w:rPr>
        <w:t>whether there should be a </w:t>
      </w:r>
      <w:r>
        <w:rPr>
          <w:spacing w:val="-3"/>
          <w:w w:val="105"/>
          <w:sz w:val="21"/>
        </w:rPr>
        <w:t>requirement </w:t>
      </w:r>
      <w:r>
        <w:rPr>
          <w:w w:val="105"/>
          <w:sz w:val="21"/>
        </w:rPr>
        <w:t>in the new Act </w:t>
      </w:r>
      <w:r>
        <w:rPr>
          <w:spacing w:val="-3"/>
          <w:w w:val="105"/>
          <w:sz w:val="21"/>
        </w:rPr>
        <w:t>for </w:t>
      </w:r>
      <w:r>
        <w:rPr>
          <w:w w:val="105"/>
          <w:sz w:val="21"/>
        </w:rPr>
        <w:t>the affected </w:t>
      </w:r>
      <w:r>
        <w:rPr>
          <w:spacing w:val="-3"/>
          <w:w w:val="105"/>
          <w:sz w:val="21"/>
        </w:rPr>
        <w:t>neighbour’s land to </w:t>
      </w:r>
      <w:r>
        <w:rPr>
          <w:w w:val="105"/>
          <w:sz w:val="21"/>
        </w:rPr>
        <w:t>adjoin the </w:t>
      </w:r>
      <w:r>
        <w:rPr>
          <w:spacing w:val="-3"/>
          <w:w w:val="105"/>
          <w:sz w:val="21"/>
        </w:rPr>
        <w:t>land </w:t>
      </w:r>
      <w:r>
        <w:rPr>
          <w:w w:val="105"/>
          <w:sz w:val="21"/>
        </w:rPr>
        <w:t>on which the tree is </w:t>
      </w:r>
      <w:r>
        <w:rPr>
          <w:spacing w:val="-3"/>
          <w:w w:val="105"/>
          <w:sz w:val="21"/>
        </w:rPr>
        <w:t>situated (for example, to share </w:t>
      </w:r>
      <w:r>
        <w:rPr>
          <w:w w:val="105"/>
          <w:sz w:val="21"/>
        </w:rPr>
        <w:t>a </w:t>
      </w:r>
      <w:r>
        <w:rPr>
          <w:spacing w:val="-2"/>
          <w:w w:val="105"/>
          <w:sz w:val="21"/>
        </w:rPr>
        <w:t>common </w:t>
      </w:r>
      <w:r>
        <w:rPr>
          <w:w w:val="105"/>
          <w:sz w:val="21"/>
        </w:rPr>
        <w:t>boundary) </w:t>
      </w:r>
      <w:r>
        <w:rPr>
          <w:spacing w:val="-3"/>
          <w:w w:val="105"/>
          <w:sz w:val="21"/>
        </w:rPr>
        <w:t>and, </w:t>
      </w:r>
      <w:r>
        <w:rPr>
          <w:w w:val="105"/>
          <w:sz w:val="21"/>
        </w:rPr>
        <w:t>if </w:t>
      </w:r>
      <w:r>
        <w:rPr>
          <w:spacing w:val="-3"/>
          <w:w w:val="105"/>
          <w:sz w:val="21"/>
        </w:rPr>
        <w:t>so, </w:t>
      </w:r>
      <w:r>
        <w:rPr>
          <w:w w:val="105"/>
          <w:sz w:val="21"/>
        </w:rPr>
        <w:t>how the </w:t>
      </w:r>
      <w:r>
        <w:rPr>
          <w:spacing w:val="-3"/>
          <w:w w:val="105"/>
          <w:sz w:val="21"/>
        </w:rPr>
        <w:t>relevant </w:t>
      </w:r>
      <w:r>
        <w:rPr>
          <w:w w:val="105"/>
          <w:sz w:val="21"/>
        </w:rPr>
        <w:t>degree of </w:t>
      </w:r>
      <w:r>
        <w:rPr>
          <w:spacing w:val="-3"/>
          <w:w w:val="105"/>
          <w:sz w:val="21"/>
        </w:rPr>
        <w:t>proximity </w:t>
      </w:r>
      <w:r>
        <w:rPr>
          <w:w w:val="105"/>
          <w:sz w:val="21"/>
        </w:rPr>
        <w:t>should be</w:t>
      </w:r>
      <w:r>
        <w:rPr>
          <w:spacing w:val="10"/>
          <w:w w:val="105"/>
          <w:sz w:val="21"/>
        </w:rPr>
        <w:t> </w:t>
      </w:r>
      <w:r>
        <w:rPr>
          <w:w w:val="105"/>
          <w:sz w:val="21"/>
        </w:rPr>
        <w:t>defined.</w:t>
      </w:r>
    </w:p>
    <w:p>
      <w:pPr>
        <w:pStyle w:val="Heading7"/>
        <w:spacing w:before="155"/>
      </w:pPr>
      <w:r>
        <w:rPr>
          <w:w w:val="115"/>
        </w:rPr>
        <w:t>Other jurisdictions—proximity of the tree</w:t>
      </w:r>
    </w:p>
    <w:p>
      <w:pPr>
        <w:pStyle w:val="ListParagraph"/>
        <w:numPr>
          <w:ilvl w:val="1"/>
          <w:numId w:val="16"/>
        </w:numPr>
        <w:tabs>
          <w:tab w:pos="2381" w:val="left" w:leader="none"/>
          <w:tab w:pos="2382" w:val="left" w:leader="none"/>
        </w:tabs>
        <w:spacing w:line="242" w:lineRule="auto" w:before="143" w:after="0"/>
        <w:ind w:left="2381" w:right="1652" w:hanging="794"/>
        <w:jc w:val="left"/>
        <w:rPr>
          <w:sz w:val="21"/>
        </w:rPr>
      </w:pPr>
      <w:r>
        <w:rPr>
          <w:w w:val="105"/>
          <w:sz w:val="21"/>
        </w:rPr>
        <w:t>In New South </w:t>
      </w:r>
      <w:r>
        <w:rPr>
          <w:spacing w:val="-3"/>
          <w:w w:val="105"/>
          <w:sz w:val="21"/>
        </w:rPr>
        <w:t>Wales </w:t>
      </w:r>
      <w:r>
        <w:rPr>
          <w:w w:val="105"/>
          <w:sz w:val="21"/>
        </w:rPr>
        <w:t>the tree subject </w:t>
      </w:r>
      <w:r>
        <w:rPr>
          <w:spacing w:val="-3"/>
          <w:w w:val="105"/>
          <w:sz w:val="21"/>
        </w:rPr>
        <w:t>to </w:t>
      </w:r>
      <w:r>
        <w:rPr>
          <w:w w:val="105"/>
          <w:sz w:val="21"/>
        </w:rPr>
        <w:t>legal action under the Act must be on </w:t>
      </w:r>
      <w:r>
        <w:rPr>
          <w:spacing w:val="-4"/>
          <w:w w:val="105"/>
          <w:sz w:val="21"/>
        </w:rPr>
        <w:t>‘adjoining </w:t>
      </w:r>
      <w:r>
        <w:rPr>
          <w:spacing w:val="-6"/>
          <w:w w:val="105"/>
          <w:sz w:val="21"/>
        </w:rPr>
        <w:t>land’.</w:t>
      </w:r>
      <w:r>
        <w:rPr>
          <w:spacing w:val="-6"/>
          <w:w w:val="105"/>
          <w:position w:val="7"/>
          <w:sz w:val="12"/>
        </w:rPr>
        <w:t>150 </w:t>
      </w:r>
      <w:r>
        <w:rPr>
          <w:w w:val="105"/>
          <w:sz w:val="21"/>
        </w:rPr>
        <w:t>This is </w:t>
      </w:r>
      <w:r>
        <w:rPr>
          <w:spacing w:val="-2"/>
          <w:w w:val="105"/>
          <w:sz w:val="21"/>
        </w:rPr>
        <w:t>not </w:t>
      </w:r>
      <w:r>
        <w:rPr>
          <w:w w:val="105"/>
          <w:sz w:val="21"/>
        </w:rPr>
        <w:t>defined under the NSW Act. </w:t>
      </w:r>
      <w:r>
        <w:rPr>
          <w:spacing w:val="-4"/>
          <w:w w:val="105"/>
          <w:sz w:val="21"/>
        </w:rPr>
        <w:t>However, </w:t>
      </w:r>
      <w:r>
        <w:rPr>
          <w:w w:val="105"/>
          <w:sz w:val="21"/>
        </w:rPr>
        <w:t>case law </w:t>
      </w:r>
      <w:r>
        <w:rPr>
          <w:spacing w:val="-2"/>
          <w:w w:val="105"/>
          <w:sz w:val="21"/>
        </w:rPr>
        <w:t>has </w:t>
      </w:r>
      <w:r>
        <w:rPr>
          <w:spacing w:val="-3"/>
          <w:w w:val="105"/>
          <w:sz w:val="21"/>
        </w:rPr>
        <w:t>determined </w:t>
      </w:r>
      <w:r>
        <w:rPr>
          <w:w w:val="105"/>
          <w:sz w:val="21"/>
        </w:rPr>
        <w:t>this </w:t>
      </w:r>
      <w:r>
        <w:rPr>
          <w:spacing w:val="-3"/>
          <w:w w:val="105"/>
          <w:sz w:val="21"/>
        </w:rPr>
        <w:t>to </w:t>
      </w:r>
      <w:r>
        <w:rPr>
          <w:w w:val="105"/>
          <w:sz w:val="21"/>
        </w:rPr>
        <w:t>mean properties </w:t>
      </w:r>
      <w:r>
        <w:rPr>
          <w:spacing w:val="-3"/>
          <w:w w:val="105"/>
          <w:sz w:val="21"/>
        </w:rPr>
        <w:t>that </w:t>
      </w:r>
      <w:r>
        <w:rPr>
          <w:w w:val="105"/>
          <w:sz w:val="21"/>
        </w:rPr>
        <w:t>abut each other as </w:t>
      </w:r>
      <w:r>
        <w:rPr>
          <w:spacing w:val="-3"/>
          <w:w w:val="105"/>
          <w:sz w:val="21"/>
        </w:rPr>
        <w:t>well </w:t>
      </w:r>
      <w:r>
        <w:rPr>
          <w:w w:val="105"/>
          <w:sz w:val="21"/>
        </w:rPr>
        <w:t>as those </w:t>
      </w:r>
      <w:r>
        <w:rPr>
          <w:spacing w:val="-3"/>
          <w:w w:val="105"/>
          <w:sz w:val="21"/>
        </w:rPr>
        <w:t>that are </w:t>
      </w:r>
      <w:r>
        <w:rPr>
          <w:spacing w:val="-2"/>
          <w:w w:val="105"/>
          <w:sz w:val="21"/>
        </w:rPr>
        <w:t>not </w:t>
      </w:r>
      <w:r>
        <w:rPr>
          <w:spacing w:val="-3"/>
          <w:w w:val="105"/>
          <w:sz w:val="21"/>
        </w:rPr>
        <w:t>touching, for </w:t>
      </w:r>
      <w:r>
        <w:rPr>
          <w:w w:val="105"/>
          <w:sz w:val="21"/>
        </w:rPr>
        <w:t>example where they </w:t>
      </w:r>
      <w:r>
        <w:rPr>
          <w:spacing w:val="-3"/>
          <w:w w:val="105"/>
          <w:sz w:val="21"/>
        </w:rPr>
        <w:t>are separated </w:t>
      </w:r>
      <w:r>
        <w:rPr>
          <w:w w:val="105"/>
          <w:sz w:val="21"/>
        </w:rPr>
        <w:t>by </w:t>
      </w:r>
      <w:r>
        <w:rPr>
          <w:spacing w:val="-3"/>
          <w:w w:val="105"/>
          <w:sz w:val="21"/>
        </w:rPr>
        <w:t>land </w:t>
      </w:r>
      <w:r>
        <w:rPr>
          <w:w w:val="105"/>
          <w:sz w:val="21"/>
        </w:rPr>
        <w:t>but there is a </w:t>
      </w:r>
      <w:r>
        <w:rPr>
          <w:spacing w:val="-4"/>
          <w:w w:val="105"/>
          <w:sz w:val="21"/>
        </w:rPr>
        <w:t>‘relevant</w:t>
      </w:r>
      <w:r>
        <w:rPr>
          <w:spacing w:val="36"/>
          <w:w w:val="105"/>
          <w:sz w:val="21"/>
        </w:rPr>
        <w:t> </w:t>
      </w:r>
      <w:r>
        <w:rPr>
          <w:spacing w:val="-6"/>
          <w:w w:val="105"/>
          <w:sz w:val="21"/>
        </w:rPr>
        <w:t>connection’.</w:t>
      </w:r>
      <w:r>
        <w:rPr>
          <w:spacing w:val="-6"/>
          <w:w w:val="105"/>
          <w:position w:val="7"/>
          <w:sz w:val="12"/>
        </w:rPr>
        <w:t>151</w:t>
      </w:r>
    </w:p>
    <w:p>
      <w:pPr>
        <w:pStyle w:val="ListParagraph"/>
        <w:numPr>
          <w:ilvl w:val="1"/>
          <w:numId w:val="16"/>
        </w:numPr>
        <w:tabs>
          <w:tab w:pos="2381" w:val="left" w:leader="none"/>
          <w:tab w:pos="2382" w:val="left" w:leader="none"/>
        </w:tabs>
        <w:spacing w:line="242" w:lineRule="auto" w:before="124" w:after="0"/>
        <w:ind w:left="2381" w:right="1602" w:hanging="794"/>
        <w:jc w:val="left"/>
        <w:rPr>
          <w:sz w:val="21"/>
        </w:rPr>
      </w:pPr>
      <w:r>
        <w:rPr>
          <w:w w:val="105"/>
          <w:sz w:val="21"/>
        </w:rPr>
        <w:t>A </w:t>
      </w:r>
      <w:r>
        <w:rPr>
          <w:spacing w:val="-3"/>
          <w:w w:val="105"/>
          <w:sz w:val="21"/>
        </w:rPr>
        <w:t>relevant </w:t>
      </w:r>
      <w:r>
        <w:rPr>
          <w:w w:val="105"/>
          <w:sz w:val="21"/>
        </w:rPr>
        <w:t>connection </w:t>
      </w:r>
      <w:r>
        <w:rPr>
          <w:spacing w:val="-3"/>
          <w:w w:val="105"/>
          <w:sz w:val="21"/>
        </w:rPr>
        <w:t>will </w:t>
      </w:r>
      <w:r>
        <w:rPr>
          <w:w w:val="105"/>
          <w:sz w:val="21"/>
        </w:rPr>
        <w:t>exist if the tree is capable of </w:t>
      </w:r>
      <w:r>
        <w:rPr>
          <w:spacing w:val="-3"/>
          <w:w w:val="105"/>
          <w:sz w:val="21"/>
        </w:rPr>
        <w:t>causing </w:t>
      </w:r>
      <w:r>
        <w:rPr>
          <w:w w:val="105"/>
          <w:sz w:val="21"/>
        </w:rPr>
        <w:t>damage </w:t>
      </w:r>
      <w:r>
        <w:rPr>
          <w:spacing w:val="-3"/>
          <w:w w:val="105"/>
          <w:sz w:val="21"/>
        </w:rPr>
        <w:t>to </w:t>
      </w:r>
      <w:r>
        <w:rPr>
          <w:w w:val="105"/>
          <w:sz w:val="21"/>
        </w:rPr>
        <w:t>the other property or </w:t>
      </w:r>
      <w:r>
        <w:rPr>
          <w:spacing w:val="-3"/>
          <w:w w:val="105"/>
          <w:sz w:val="21"/>
        </w:rPr>
        <w:t>harming </w:t>
      </w:r>
      <w:r>
        <w:rPr>
          <w:w w:val="105"/>
          <w:sz w:val="21"/>
        </w:rPr>
        <w:t>people on </w:t>
      </w:r>
      <w:r>
        <w:rPr>
          <w:spacing w:val="-6"/>
          <w:w w:val="105"/>
          <w:sz w:val="21"/>
        </w:rPr>
        <w:t>it.</w:t>
      </w:r>
      <w:r>
        <w:rPr>
          <w:spacing w:val="-6"/>
          <w:w w:val="105"/>
          <w:position w:val="7"/>
          <w:sz w:val="12"/>
        </w:rPr>
        <w:t>152 </w:t>
      </w:r>
      <w:r>
        <w:rPr>
          <w:w w:val="105"/>
          <w:sz w:val="21"/>
        </w:rPr>
        <w:t>The NSWLEC also </w:t>
      </w:r>
      <w:r>
        <w:rPr>
          <w:spacing w:val="-3"/>
          <w:w w:val="105"/>
          <w:sz w:val="21"/>
        </w:rPr>
        <w:t>gave </w:t>
      </w:r>
      <w:r>
        <w:rPr>
          <w:w w:val="105"/>
          <w:sz w:val="21"/>
        </w:rPr>
        <w:t>the example of a </w:t>
      </w:r>
      <w:r>
        <w:rPr>
          <w:spacing w:val="-2"/>
          <w:w w:val="105"/>
          <w:sz w:val="21"/>
        </w:rPr>
        <w:t>common </w:t>
      </w:r>
      <w:r>
        <w:rPr>
          <w:w w:val="105"/>
          <w:sz w:val="21"/>
        </w:rPr>
        <w:t>corner</w:t>
      </w:r>
      <w:r>
        <w:rPr>
          <w:spacing w:val="-8"/>
          <w:w w:val="105"/>
          <w:sz w:val="21"/>
        </w:rPr>
        <w:t> </w:t>
      </w:r>
      <w:r>
        <w:rPr>
          <w:w w:val="105"/>
          <w:sz w:val="21"/>
        </w:rPr>
        <w:t>post</w:t>
      </w:r>
      <w:r>
        <w:rPr>
          <w:spacing w:val="-7"/>
          <w:w w:val="105"/>
          <w:sz w:val="21"/>
        </w:rPr>
        <w:t> </w:t>
      </w:r>
      <w:r>
        <w:rPr>
          <w:spacing w:val="-3"/>
          <w:w w:val="105"/>
          <w:sz w:val="21"/>
        </w:rPr>
        <w:t>that</w:t>
      </w:r>
      <w:r>
        <w:rPr>
          <w:spacing w:val="-8"/>
          <w:w w:val="105"/>
          <w:sz w:val="21"/>
        </w:rPr>
        <w:t> </w:t>
      </w:r>
      <w:r>
        <w:rPr>
          <w:w w:val="105"/>
          <w:sz w:val="21"/>
        </w:rPr>
        <w:t>was</w:t>
      </w:r>
      <w:r>
        <w:rPr>
          <w:spacing w:val="-7"/>
          <w:w w:val="105"/>
          <w:sz w:val="21"/>
        </w:rPr>
        <w:t> </w:t>
      </w:r>
      <w:r>
        <w:rPr>
          <w:w w:val="105"/>
          <w:sz w:val="21"/>
        </w:rPr>
        <w:t>held</w:t>
      </w:r>
      <w:r>
        <w:rPr>
          <w:spacing w:val="-8"/>
          <w:w w:val="105"/>
          <w:sz w:val="21"/>
        </w:rPr>
        <w:t> </w:t>
      </w:r>
      <w:r>
        <w:rPr>
          <w:spacing w:val="-3"/>
          <w:w w:val="105"/>
          <w:sz w:val="21"/>
        </w:rPr>
        <w:t>to</w:t>
      </w:r>
      <w:r>
        <w:rPr>
          <w:spacing w:val="-7"/>
          <w:w w:val="105"/>
          <w:sz w:val="21"/>
        </w:rPr>
        <w:t> </w:t>
      </w:r>
      <w:r>
        <w:rPr>
          <w:w w:val="105"/>
          <w:sz w:val="21"/>
        </w:rPr>
        <w:t>provide</w:t>
      </w:r>
      <w:r>
        <w:rPr>
          <w:spacing w:val="-8"/>
          <w:w w:val="105"/>
          <w:sz w:val="21"/>
        </w:rPr>
        <w:t> </w:t>
      </w:r>
      <w:r>
        <w:rPr>
          <w:w w:val="105"/>
          <w:sz w:val="21"/>
        </w:rPr>
        <w:t>a</w:t>
      </w:r>
      <w:r>
        <w:rPr>
          <w:spacing w:val="-7"/>
          <w:w w:val="105"/>
          <w:sz w:val="21"/>
        </w:rPr>
        <w:t> </w:t>
      </w:r>
      <w:r>
        <w:rPr>
          <w:spacing w:val="-3"/>
          <w:w w:val="105"/>
          <w:sz w:val="21"/>
        </w:rPr>
        <w:t>relevant</w:t>
      </w:r>
      <w:r>
        <w:rPr>
          <w:spacing w:val="-8"/>
          <w:w w:val="105"/>
          <w:sz w:val="21"/>
        </w:rPr>
        <w:t> </w:t>
      </w:r>
      <w:r>
        <w:rPr>
          <w:w w:val="105"/>
          <w:sz w:val="21"/>
        </w:rPr>
        <w:t>connection</w:t>
      </w:r>
      <w:r>
        <w:rPr>
          <w:spacing w:val="-7"/>
          <w:w w:val="105"/>
          <w:sz w:val="21"/>
        </w:rPr>
        <w:t> </w:t>
      </w:r>
      <w:r>
        <w:rPr>
          <w:spacing w:val="-3"/>
          <w:w w:val="105"/>
          <w:sz w:val="21"/>
        </w:rPr>
        <w:t>indicating</w:t>
      </w:r>
      <w:r>
        <w:rPr>
          <w:spacing w:val="-7"/>
          <w:w w:val="105"/>
          <w:sz w:val="21"/>
        </w:rPr>
        <w:t> </w:t>
      </w:r>
      <w:r>
        <w:rPr>
          <w:spacing w:val="-3"/>
          <w:w w:val="105"/>
          <w:sz w:val="21"/>
        </w:rPr>
        <w:t>that</w:t>
      </w:r>
      <w:r>
        <w:rPr>
          <w:spacing w:val="-8"/>
          <w:w w:val="105"/>
          <w:sz w:val="21"/>
        </w:rPr>
        <w:t> </w:t>
      </w:r>
      <w:r>
        <w:rPr>
          <w:w w:val="105"/>
          <w:sz w:val="21"/>
        </w:rPr>
        <w:t>the</w:t>
      </w:r>
      <w:r>
        <w:rPr>
          <w:spacing w:val="-7"/>
          <w:w w:val="105"/>
          <w:sz w:val="21"/>
        </w:rPr>
        <w:t> </w:t>
      </w:r>
      <w:r>
        <w:rPr>
          <w:w w:val="105"/>
          <w:sz w:val="21"/>
        </w:rPr>
        <w:t>neighbours’ </w:t>
      </w:r>
      <w:r>
        <w:rPr>
          <w:spacing w:val="-3"/>
          <w:w w:val="105"/>
          <w:sz w:val="21"/>
        </w:rPr>
        <w:t>land </w:t>
      </w:r>
      <w:r>
        <w:rPr>
          <w:w w:val="105"/>
          <w:sz w:val="21"/>
        </w:rPr>
        <w:t>was </w:t>
      </w:r>
      <w:r>
        <w:rPr>
          <w:spacing w:val="-3"/>
          <w:w w:val="105"/>
          <w:sz w:val="21"/>
        </w:rPr>
        <w:t>adjoining </w:t>
      </w:r>
      <w:r>
        <w:rPr>
          <w:w w:val="105"/>
          <w:sz w:val="21"/>
        </w:rPr>
        <w:t>under the NSW </w:t>
      </w:r>
      <w:r>
        <w:rPr>
          <w:spacing w:val="-5"/>
          <w:w w:val="105"/>
          <w:sz w:val="21"/>
        </w:rPr>
        <w:t>Act.</w:t>
      </w:r>
      <w:r>
        <w:rPr>
          <w:spacing w:val="-5"/>
          <w:w w:val="105"/>
          <w:position w:val="7"/>
          <w:sz w:val="12"/>
        </w:rPr>
        <w:t>153 </w:t>
      </w:r>
      <w:r>
        <w:rPr>
          <w:w w:val="105"/>
          <w:sz w:val="21"/>
        </w:rPr>
        <w:t>The NSWLEC </w:t>
      </w:r>
      <w:r>
        <w:rPr>
          <w:spacing w:val="-2"/>
          <w:w w:val="105"/>
          <w:sz w:val="21"/>
        </w:rPr>
        <w:t>has </w:t>
      </w:r>
      <w:r>
        <w:rPr>
          <w:spacing w:val="-3"/>
          <w:w w:val="105"/>
          <w:sz w:val="21"/>
        </w:rPr>
        <w:t>found that </w:t>
      </w:r>
      <w:r>
        <w:rPr>
          <w:w w:val="105"/>
          <w:sz w:val="21"/>
        </w:rPr>
        <w:t>properties</w:t>
      </w:r>
      <w:r>
        <w:rPr>
          <w:spacing w:val="47"/>
          <w:w w:val="105"/>
          <w:sz w:val="21"/>
        </w:rPr>
        <w:t> </w:t>
      </w:r>
      <w:r>
        <w:rPr>
          <w:w w:val="105"/>
          <w:sz w:val="21"/>
        </w:rPr>
        <w:t>with</w:t>
      </w:r>
    </w:p>
    <w:p>
      <w:pPr>
        <w:pStyle w:val="BodyText"/>
        <w:rPr>
          <w:sz w:val="20"/>
        </w:rPr>
      </w:pPr>
    </w:p>
    <w:p>
      <w:pPr>
        <w:pStyle w:val="BodyText"/>
        <w:spacing w:before="10"/>
        <w:rPr>
          <w:sz w:val="20"/>
        </w:rPr>
      </w:pPr>
      <w:r>
        <w:rPr/>
        <w:pict>
          <v:line style="position:absolute;mso-position-horizontal-relative:page;mso-position-vertical-relative:paragraph;z-index:3992;mso-wrap-distance-left:0;mso-wrap-distance-right:0" from="79.370102pt,15.173528pt" to="515.905102pt,15.173528pt" stroked="true" strokeweight="1pt" strokecolor="#c9d2cb">
            <v:stroke dashstyle="solid"/>
            <w10:wrap type="topAndBottom"/>
          </v:line>
        </w:pict>
      </w:r>
    </w:p>
    <w:p>
      <w:pPr>
        <w:pStyle w:val="ListParagraph"/>
        <w:numPr>
          <w:ilvl w:val="0"/>
          <w:numId w:val="52"/>
        </w:numPr>
        <w:tabs>
          <w:tab w:pos="2380" w:val="left" w:leader="none"/>
          <w:tab w:pos="2382" w:val="left" w:leader="none"/>
        </w:tabs>
        <w:spacing w:line="240" w:lineRule="auto" w:before="117" w:after="0"/>
        <w:ind w:left="2381" w:right="1749" w:hanging="794"/>
        <w:jc w:val="left"/>
        <w:rPr>
          <w:sz w:val="13"/>
        </w:rPr>
      </w:pPr>
      <w:r>
        <w:rPr>
          <w:sz w:val="13"/>
        </w:rPr>
        <w:t>The Commission sought responses from rural and regional areas. A consultation was conducted with </w:t>
      </w:r>
      <w:r>
        <w:rPr>
          <w:spacing w:val="2"/>
          <w:sz w:val="13"/>
        </w:rPr>
        <w:t>HVP </w:t>
      </w:r>
      <w:r>
        <w:rPr>
          <w:sz w:val="13"/>
        </w:rPr>
        <w:t>Plantations  and  Baw  Baw  Shire Council.</w:t>
      </w:r>
      <w:r>
        <w:rPr>
          <w:spacing w:val="17"/>
          <w:sz w:val="13"/>
        </w:rPr>
        <w:t> </w:t>
      </w:r>
      <w:r>
        <w:rPr>
          <w:sz w:val="13"/>
        </w:rPr>
        <w:t>Several</w:t>
      </w:r>
      <w:r>
        <w:rPr>
          <w:spacing w:val="17"/>
          <w:sz w:val="13"/>
        </w:rPr>
        <w:t> </w:t>
      </w:r>
      <w:r>
        <w:rPr>
          <w:sz w:val="13"/>
        </w:rPr>
        <w:t>submissions</w:t>
      </w:r>
      <w:r>
        <w:rPr>
          <w:spacing w:val="17"/>
          <w:sz w:val="13"/>
        </w:rPr>
        <w:t> </w:t>
      </w:r>
      <w:r>
        <w:rPr>
          <w:sz w:val="13"/>
        </w:rPr>
        <w:t>and</w:t>
      </w:r>
      <w:r>
        <w:rPr>
          <w:spacing w:val="17"/>
          <w:sz w:val="13"/>
        </w:rPr>
        <w:t> </w:t>
      </w:r>
      <w:r>
        <w:rPr>
          <w:sz w:val="13"/>
        </w:rPr>
        <w:t>survey</w:t>
      </w:r>
      <w:r>
        <w:rPr>
          <w:spacing w:val="18"/>
          <w:sz w:val="13"/>
        </w:rPr>
        <w:t> </w:t>
      </w:r>
      <w:r>
        <w:rPr>
          <w:sz w:val="13"/>
        </w:rPr>
        <w:t>responses</w:t>
      </w:r>
      <w:r>
        <w:rPr>
          <w:spacing w:val="17"/>
          <w:sz w:val="13"/>
        </w:rPr>
        <w:t> </w:t>
      </w:r>
      <w:r>
        <w:rPr>
          <w:sz w:val="13"/>
        </w:rPr>
        <w:t>were</w:t>
      </w:r>
      <w:r>
        <w:rPr>
          <w:spacing w:val="17"/>
          <w:sz w:val="13"/>
        </w:rPr>
        <w:t> </w:t>
      </w:r>
      <w:r>
        <w:rPr>
          <w:sz w:val="13"/>
        </w:rPr>
        <w:t>received</w:t>
      </w:r>
      <w:r>
        <w:rPr>
          <w:spacing w:val="17"/>
          <w:sz w:val="13"/>
        </w:rPr>
        <w:t> </w:t>
      </w:r>
      <w:r>
        <w:rPr>
          <w:sz w:val="13"/>
        </w:rPr>
        <w:t>from</w:t>
      </w:r>
      <w:r>
        <w:rPr>
          <w:spacing w:val="17"/>
          <w:sz w:val="13"/>
        </w:rPr>
        <w:t> </w:t>
      </w:r>
      <w:r>
        <w:rPr>
          <w:sz w:val="13"/>
        </w:rPr>
        <w:t>rural</w:t>
      </w:r>
      <w:r>
        <w:rPr>
          <w:spacing w:val="18"/>
          <w:sz w:val="13"/>
        </w:rPr>
        <w:t> </w:t>
      </w:r>
      <w:r>
        <w:rPr>
          <w:sz w:val="13"/>
        </w:rPr>
        <w:t>and</w:t>
      </w:r>
      <w:r>
        <w:rPr>
          <w:spacing w:val="17"/>
          <w:sz w:val="13"/>
        </w:rPr>
        <w:t> </w:t>
      </w:r>
      <w:r>
        <w:rPr>
          <w:sz w:val="13"/>
        </w:rPr>
        <w:t>regional</w:t>
      </w:r>
      <w:r>
        <w:rPr>
          <w:spacing w:val="17"/>
          <w:sz w:val="13"/>
        </w:rPr>
        <w:t> </w:t>
      </w:r>
      <w:r>
        <w:rPr>
          <w:sz w:val="13"/>
        </w:rPr>
        <w:t>areas:</w:t>
      </w:r>
      <w:r>
        <w:rPr>
          <w:spacing w:val="17"/>
          <w:sz w:val="13"/>
        </w:rPr>
        <w:t> </w:t>
      </w:r>
      <w:r>
        <w:rPr>
          <w:sz w:val="13"/>
        </w:rPr>
        <w:t>Submissions</w:t>
      </w:r>
      <w:r>
        <w:rPr>
          <w:spacing w:val="17"/>
          <w:sz w:val="13"/>
        </w:rPr>
        <w:t> </w:t>
      </w:r>
      <w:r>
        <w:rPr>
          <w:sz w:val="13"/>
        </w:rPr>
        <w:t>8</w:t>
      </w:r>
      <w:r>
        <w:rPr>
          <w:spacing w:val="18"/>
          <w:sz w:val="13"/>
        </w:rPr>
        <w:t> </w:t>
      </w:r>
      <w:r>
        <w:rPr>
          <w:spacing w:val="2"/>
          <w:sz w:val="13"/>
        </w:rPr>
        <w:t>(Victoria</w:t>
      </w:r>
      <w:r>
        <w:rPr>
          <w:spacing w:val="17"/>
          <w:sz w:val="13"/>
        </w:rPr>
        <w:t> </w:t>
      </w:r>
      <w:r>
        <w:rPr>
          <w:sz w:val="13"/>
        </w:rPr>
        <w:t>Thieberger),</w:t>
      </w:r>
    </w:p>
    <w:p>
      <w:pPr>
        <w:spacing w:before="3"/>
        <w:ind w:left="2381" w:right="0" w:firstLine="0"/>
        <w:jc w:val="left"/>
        <w:rPr>
          <w:sz w:val="13"/>
        </w:rPr>
      </w:pPr>
      <w:r>
        <w:rPr>
          <w:w w:val="105"/>
          <w:sz w:val="13"/>
        </w:rPr>
        <w:t>13 (Mandy Collins), 28 (HVP Plantations), 31 (Barwon Community Legal Service), 34 (Allan Day); Survey respondent 99.</w:t>
      </w:r>
    </w:p>
    <w:p>
      <w:pPr>
        <w:pStyle w:val="ListParagraph"/>
        <w:numPr>
          <w:ilvl w:val="0"/>
          <w:numId w:val="52"/>
        </w:numPr>
        <w:tabs>
          <w:tab w:pos="2381" w:val="left" w:leader="none"/>
          <w:tab w:pos="2382" w:val="left" w:leader="none"/>
        </w:tabs>
        <w:spacing w:line="240" w:lineRule="auto" w:before="1" w:after="0"/>
        <w:ind w:left="2381" w:right="0" w:hanging="794"/>
        <w:jc w:val="left"/>
        <w:rPr>
          <w:sz w:val="13"/>
        </w:rPr>
      </w:pPr>
      <w:r>
        <w:rPr>
          <w:i/>
          <w:w w:val="105"/>
          <w:sz w:val="13"/>
        </w:rPr>
        <w:t>Trees (Disputes Between Neighbours) Act 2006 </w:t>
      </w:r>
      <w:r>
        <w:rPr>
          <w:spacing w:val="3"/>
          <w:w w:val="105"/>
          <w:sz w:val="13"/>
        </w:rPr>
        <w:t>(NSW) </w:t>
      </w:r>
      <w:r>
        <w:rPr>
          <w:w w:val="105"/>
          <w:sz w:val="13"/>
        </w:rPr>
        <w:t>s</w:t>
      </w:r>
      <w:r>
        <w:rPr>
          <w:spacing w:val="4"/>
          <w:w w:val="105"/>
          <w:sz w:val="13"/>
        </w:rPr>
        <w:t> </w:t>
      </w:r>
      <w:r>
        <w:rPr>
          <w:spacing w:val="-5"/>
          <w:w w:val="105"/>
          <w:sz w:val="13"/>
        </w:rPr>
        <w:t>7.</w:t>
      </w:r>
    </w:p>
    <w:p>
      <w:pPr>
        <w:pStyle w:val="ListParagraph"/>
        <w:numPr>
          <w:ilvl w:val="0"/>
          <w:numId w:val="52"/>
        </w:numPr>
        <w:tabs>
          <w:tab w:pos="2381" w:val="left" w:leader="none"/>
          <w:tab w:pos="2382" w:val="left" w:leader="none"/>
        </w:tabs>
        <w:spacing w:line="240" w:lineRule="auto" w:before="1" w:after="0"/>
        <w:ind w:left="2381" w:right="0" w:hanging="794"/>
        <w:jc w:val="left"/>
        <w:rPr>
          <w:i/>
          <w:sz w:val="13"/>
        </w:rPr>
      </w:pPr>
      <w:r>
        <w:rPr>
          <w:i/>
          <w:w w:val="105"/>
          <w:sz w:val="13"/>
        </w:rPr>
        <w:t>Robson</w:t>
      </w:r>
      <w:r>
        <w:rPr>
          <w:i/>
          <w:spacing w:val="5"/>
          <w:w w:val="105"/>
          <w:sz w:val="13"/>
        </w:rPr>
        <w:t> </w:t>
      </w:r>
      <w:r>
        <w:rPr>
          <w:i/>
          <w:w w:val="105"/>
          <w:sz w:val="13"/>
        </w:rPr>
        <w:t>v</w:t>
      </w:r>
      <w:r>
        <w:rPr>
          <w:i/>
          <w:spacing w:val="6"/>
          <w:w w:val="105"/>
          <w:sz w:val="13"/>
        </w:rPr>
        <w:t> </w:t>
      </w:r>
      <w:r>
        <w:rPr>
          <w:i/>
          <w:w w:val="105"/>
          <w:sz w:val="13"/>
        </w:rPr>
        <w:t>Leischke</w:t>
      </w:r>
      <w:r>
        <w:rPr>
          <w:i/>
          <w:spacing w:val="5"/>
          <w:w w:val="105"/>
          <w:sz w:val="13"/>
        </w:rPr>
        <w:t> </w:t>
      </w:r>
      <w:r>
        <w:rPr>
          <w:spacing w:val="2"/>
          <w:w w:val="105"/>
          <w:sz w:val="13"/>
        </w:rPr>
        <w:t>(2008)</w:t>
      </w:r>
      <w:r>
        <w:rPr>
          <w:spacing w:val="6"/>
          <w:w w:val="105"/>
          <w:sz w:val="13"/>
        </w:rPr>
        <w:t> </w:t>
      </w:r>
      <w:r>
        <w:rPr>
          <w:w w:val="105"/>
          <w:sz w:val="13"/>
        </w:rPr>
        <w:t>72</w:t>
      </w:r>
      <w:r>
        <w:rPr>
          <w:spacing w:val="6"/>
          <w:w w:val="105"/>
          <w:sz w:val="13"/>
        </w:rPr>
        <w:t> </w:t>
      </w:r>
      <w:r>
        <w:rPr>
          <w:spacing w:val="2"/>
          <w:w w:val="105"/>
          <w:sz w:val="13"/>
        </w:rPr>
        <w:t>NSWLR</w:t>
      </w:r>
      <w:r>
        <w:rPr>
          <w:spacing w:val="5"/>
          <w:w w:val="105"/>
          <w:sz w:val="13"/>
        </w:rPr>
        <w:t> </w:t>
      </w:r>
      <w:r>
        <w:rPr>
          <w:w w:val="105"/>
          <w:sz w:val="13"/>
        </w:rPr>
        <w:t>98</w:t>
      </w:r>
      <w:r>
        <w:rPr>
          <w:spacing w:val="6"/>
          <w:w w:val="105"/>
          <w:sz w:val="13"/>
        </w:rPr>
        <w:t> </w:t>
      </w:r>
      <w:r>
        <w:rPr>
          <w:w w:val="105"/>
          <w:sz w:val="13"/>
        </w:rPr>
        <w:t>[157];</w:t>
      </w:r>
      <w:r>
        <w:rPr>
          <w:spacing w:val="5"/>
          <w:w w:val="105"/>
          <w:sz w:val="13"/>
        </w:rPr>
        <w:t> </w:t>
      </w:r>
      <w:r>
        <w:rPr>
          <w:w w:val="105"/>
          <w:sz w:val="13"/>
        </w:rPr>
        <w:t>Land</w:t>
      </w:r>
      <w:r>
        <w:rPr>
          <w:spacing w:val="6"/>
          <w:w w:val="105"/>
          <w:sz w:val="13"/>
        </w:rPr>
        <w:t> </w:t>
      </w:r>
      <w:r>
        <w:rPr>
          <w:w w:val="105"/>
          <w:sz w:val="13"/>
        </w:rPr>
        <w:t>and</w:t>
      </w:r>
      <w:r>
        <w:rPr>
          <w:spacing w:val="6"/>
          <w:w w:val="105"/>
          <w:sz w:val="13"/>
        </w:rPr>
        <w:t> </w:t>
      </w:r>
      <w:r>
        <w:rPr>
          <w:w w:val="105"/>
          <w:sz w:val="13"/>
        </w:rPr>
        <w:t>Environment</w:t>
      </w:r>
      <w:r>
        <w:rPr>
          <w:spacing w:val="5"/>
          <w:w w:val="105"/>
          <w:sz w:val="13"/>
        </w:rPr>
        <w:t> </w:t>
      </w:r>
      <w:r>
        <w:rPr>
          <w:w w:val="105"/>
          <w:sz w:val="13"/>
        </w:rPr>
        <w:t>Court</w:t>
      </w:r>
      <w:r>
        <w:rPr>
          <w:spacing w:val="6"/>
          <w:w w:val="105"/>
          <w:sz w:val="13"/>
        </w:rPr>
        <w:t> </w:t>
      </w:r>
      <w:r>
        <w:rPr>
          <w:w w:val="105"/>
          <w:sz w:val="13"/>
        </w:rPr>
        <w:t>of</w:t>
      </w:r>
      <w:r>
        <w:rPr>
          <w:spacing w:val="5"/>
          <w:w w:val="105"/>
          <w:sz w:val="13"/>
        </w:rPr>
        <w:t> </w:t>
      </w:r>
      <w:r>
        <w:rPr>
          <w:w w:val="105"/>
          <w:sz w:val="13"/>
        </w:rPr>
        <w:t>New</w:t>
      </w:r>
      <w:r>
        <w:rPr>
          <w:spacing w:val="6"/>
          <w:w w:val="105"/>
          <w:sz w:val="13"/>
        </w:rPr>
        <w:t> </w:t>
      </w:r>
      <w:r>
        <w:rPr>
          <w:w w:val="105"/>
          <w:sz w:val="13"/>
        </w:rPr>
        <w:t>South</w:t>
      </w:r>
      <w:r>
        <w:rPr>
          <w:spacing w:val="6"/>
          <w:w w:val="105"/>
          <w:sz w:val="13"/>
        </w:rPr>
        <w:t> </w:t>
      </w:r>
      <w:r>
        <w:rPr>
          <w:w w:val="105"/>
          <w:sz w:val="13"/>
        </w:rPr>
        <w:t>Wales,</w:t>
      </w:r>
      <w:r>
        <w:rPr>
          <w:spacing w:val="5"/>
          <w:w w:val="105"/>
          <w:sz w:val="13"/>
        </w:rPr>
        <w:t> </w:t>
      </w:r>
      <w:r>
        <w:rPr>
          <w:i/>
          <w:w w:val="105"/>
          <w:sz w:val="13"/>
        </w:rPr>
        <w:t>Annotated</w:t>
      </w:r>
      <w:r>
        <w:rPr>
          <w:i/>
          <w:spacing w:val="6"/>
          <w:w w:val="105"/>
          <w:sz w:val="13"/>
        </w:rPr>
        <w:t> </w:t>
      </w:r>
      <w:r>
        <w:rPr>
          <w:i/>
          <w:w w:val="105"/>
          <w:sz w:val="13"/>
        </w:rPr>
        <w:t>Trees</w:t>
      </w:r>
      <w:r>
        <w:rPr>
          <w:i/>
          <w:spacing w:val="5"/>
          <w:w w:val="105"/>
          <w:sz w:val="13"/>
        </w:rPr>
        <w:t> </w:t>
      </w:r>
      <w:r>
        <w:rPr>
          <w:i/>
          <w:w w:val="105"/>
          <w:sz w:val="13"/>
        </w:rPr>
        <w:t>Act</w:t>
      </w:r>
      <w:r>
        <w:rPr>
          <w:i/>
          <w:spacing w:val="6"/>
          <w:w w:val="105"/>
          <w:sz w:val="13"/>
        </w:rPr>
        <w:t> </w:t>
      </w:r>
      <w:r>
        <w:rPr>
          <w:i/>
          <w:w w:val="105"/>
          <w:sz w:val="13"/>
        </w:rPr>
        <w:t>January</w:t>
      </w:r>
      <w:r>
        <w:rPr>
          <w:i/>
          <w:spacing w:val="6"/>
          <w:w w:val="105"/>
          <w:sz w:val="13"/>
        </w:rPr>
        <w:t> </w:t>
      </w:r>
      <w:r>
        <w:rPr>
          <w:i/>
          <w:spacing w:val="-3"/>
          <w:w w:val="105"/>
          <w:sz w:val="13"/>
        </w:rPr>
        <w:t>2013</w:t>
      </w:r>
    </w:p>
    <w:p>
      <w:pPr>
        <w:spacing w:before="2"/>
        <w:ind w:left="2381" w:right="0" w:firstLine="0"/>
        <w:jc w:val="left"/>
        <w:rPr>
          <w:sz w:val="13"/>
        </w:rPr>
      </w:pPr>
      <w:r>
        <w:rPr>
          <w:w w:val="105"/>
          <w:sz w:val="13"/>
        </w:rPr>
        <w:t>(1 September 2016) 8.</w:t>
      </w:r>
    </w:p>
    <w:p>
      <w:pPr>
        <w:pStyle w:val="ListParagraph"/>
        <w:numPr>
          <w:ilvl w:val="0"/>
          <w:numId w:val="52"/>
        </w:numPr>
        <w:tabs>
          <w:tab w:pos="2381" w:val="left" w:leader="none"/>
          <w:tab w:pos="2382" w:val="left" w:leader="none"/>
        </w:tabs>
        <w:spacing w:line="240" w:lineRule="auto" w:before="1" w:after="0"/>
        <w:ind w:left="2381" w:right="0" w:hanging="794"/>
        <w:jc w:val="left"/>
        <w:rPr>
          <w:sz w:val="13"/>
        </w:rPr>
      </w:pPr>
      <w:r>
        <w:rPr/>
        <w:pict>
          <v:shape style="position:absolute;margin-left:36pt;margin-top:3.010463pt;width:13.75pt;height:14.25pt;mso-position-horizontal-relative:page;mso-position-vertical-relative:paragraph;z-index:6064" type="#_x0000_t202" filled="false" stroked="false">
            <v:textbox inset="0,0,0,0">
              <w:txbxContent>
                <w:p>
                  <w:pPr>
                    <w:spacing w:line="284" w:lineRule="exact" w:before="0"/>
                    <w:ind w:left="0" w:right="0" w:firstLine="0"/>
                    <w:jc w:val="left"/>
                    <w:rPr>
                      <w:b/>
                      <w:sz w:val="24"/>
                    </w:rPr>
                  </w:pPr>
                  <w:r>
                    <w:rPr>
                      <w:b/>
                      <w:color w:val="658464"/>
                      <w:w w:val="110"/>
                      <w:sz w:val="24"/>
                    </w:rPr>
                    <w:t>80</w:t>
                  </w:r>
                </w:p>
              </w:txbxContent>
            </v:textbox>
            <w10:wrap type="none"/>
          </v:shape>
        </w:pict>
      </w:r>
      <w:r>
        <w:rPr>
          <w:sz w:val="13"/>
        </w:rPr>
        <w:t>Ibid.</w:t>
      </w:r>
    </w:p>
    <w:p>
      <w:pPr>
        <w:pStyle w:val="ListParagraph"/>
        <w:numPr>
          <w:ilvl w:val="0"/>
          <w:numId w:val="52"/>
        </w:numPr>
        <w:tabs>
          <w:tab w:pos="2381" w:val="left" w:leader="none"/>
          <w:tab w:pos="2382" w:val="left" w:leader="none"/>
        </w:tabs>
        <w:spacing w:line="240" w:lineRule="auto" w:before="1" w:after="0"/>
        <w:ind w:left="2381" w:right="0" w:hanging="794"/>
        <w:jc w:val="left"/>
        <w:rPr>
          <w:sz w:val="13"/>
        </w:rPr>
      </w:pPr>
      <w:r>
        <w:rPr>
          <w:w w:val="105"/>
          <w:sz w:val="13"/>
        </w:rPr>
        <w:t>Consultation</w:t>
      </w:r>
      <w:r>
        <w:rPr>
          <w:spacing w:val="5"/>
          <w:w w:val="105"/>
          <w:sz w:val="13"/>
        </w:rPr>
        <w:t> </w:t>
      </w:r>
      <w:r>
        <w:rPr>
          <w:spacing w:val="-6"/>
          <w:w w:val="105"/>
          <w:sz w:val="13"/>
        </w:rPr>
        <w:t>11</w:t>
      </w:r>
      <w:r>
        <w:rPr>
          <w:spacing w:val="6"/>
          <w:w w:val="105"/>
          <w:sz w:val="13"/>
        </w:rPr>
        <w:t> </w:t>
      </w:r>
      <w:r>
        <w:rPr>
          <w:spacing w:val="2"/>
          <w:w w:val="105"/>
          <w:sz w:val="13"/>
        </w:rPr>
        <w:t>(Land</w:t>
      </w:r>
      <w:r>
        <w:rPr>
          <w:spacing w:val="5"/>
          <w:w w:val="105"/>
          <w:sz w:val="13"/>
        </w:rPr>
        <w:t> </w:t>
      </w:r>
      <w:r>
        <w:rPr>
          <w:w w:val="105"/>
          <w:sz w:val="13"/>
        </w:rPr>
        <w:t>and</w:t>
      </w:r>
      <w:r>
        <w:rPr>
          <w:spacing w:val="6"/>
          <w:w w:val="105"/>
          <w:sz w:val="13"/>
        </w:rPr>
        <w:t> </w:t>
      </w:r>
      <w:r>
        <w:rPr>
          <w:w w:val="105"/>
          <w:sz w:val="13"/>
        </w:rPr>
        <w:t>Environment</w:t>
      </w:r>
      <w:r>
        <w:rPr>
          <w:spacing w:val="5"/>
          <w:w w:val="105"/>
          <w:sz w:val="13"/>
        </w:rPr>
        <w:t> </w:t>
      </w:r>
      <w:r>
        <w:rPr>
          <w:w w:val="105"/>
          <w:sz w:val="13"/>
        </w:rPr>
        <w:t>Court</w:t>
      </w:r>
      <w:r>
        <w:rPr>
          <w:spacing w:val="6"/>
          <w:w w:val="105"/>
          <w:sz w:val="13"/>
        </w:rPr>
        <w:t> </w:t>
      </w:r>
      <w:r>
        <w:rPr>
          <w:w w:val="105"/>
          <w:sz w:val="13"/>
        </w:rPr>
        <w:t>of</w:t>
      </w:r>
      <w:r>
        <w:rPr>
          <w:spacing w:val="6"/>
          <w:w w:val="105"/>
          <w:sz w:val="13"/>
        </w:rPr>
        <w:t> </w:t>
      </w:r>
      <w:r>
        <w:rPr>
          <w:w w:val="105"/>
          <w:sz w:val="13"/>
        </w:rPr>
        <w:t>New</w:t>
      </w:r>
      <w:r>
        <w:rPr>
          <w:spacing w:val="5"/>
          <w:w w:val="105"/>
          <w:sz w:val="13"/>
        </w:rPr>
        <w:t> </w:t>
      </w:r>
      <w:r>
        <w:rPr>
          <w:w w:val="105"/>
          <w:sz w:val="13"/>
        </w:rPr>
        <w:t>South</w:t>
      </w:r>
      <w:r>
        <w:rPr>
          <w:spacing w:val="6"/>
          <w:w w:val="105"/>
          <w:sz w:val="13"/>
        </w:rPr>
        <w:t> </w:t>
      </w:r>
      <w:r>
        <w:rPr>
          <w:w w:val="105"/>
          <w:sz w:val="13"/>
        </w:rPr>
        <w:t>Wales);</w:t>
      </w:r>
      <w:r>
        <w:rPr>
          <w:spacing w:val="5"/>
          <w:w w:val="105"/>
          <w:sz w:val="13"/>
        </w:rPr>
        <w:t> </w:t>
      </w:r>
      <w:r>
        <w:rPr>
          <w:w w:val="105"/>
          <w:sz w:val="13"/>
        </w:rPr>
        <w:t>see,</w:t>
      </w:r>
      <w:r>
        <w:rPr>
          <w:spacing w:val="6"/>
          <w:w w:val="105"/>
          <w:sz w:val="13"/>
        </w:rPr>
        <w:t> </w:t>
      </w:r>
      <w:r>
        <w:rPr>
          <w:w w:val="105"/>
          <w:sz w:val="13"/>
        </w:rPr>
        <w:t>eg,</w:t>
      </w:r>
      <w:r>
        <w:rPr>
          <w:spacing w:val="6"/>
          <w:w w:val="105"/>
          <w:sz w:val="13"/>
        </w:rPr>
        <w:t> </w:t>
      </w:r>
      <w:r>
        <w:rPr>
          <w:i/>
          <w:w w:val="105"/>
          <w:sz w:val="13"/>
        </w:rPr>
        <w:t>Cavalier</w:t>
      </w:r>
      <w:r>
        <w:rPr>
          <w:i/>
          <w:spacing w:val="5"/>
          <w:w w:val="105"/>
          <w:sz w:val="13"/>
        </w:rPr>
        <w:t> </w:t>
      </w:r>
      <w:r>
        <w:rPr>
          <w:i/>
          <w:w w:val="105"/>
          <w:sz w:val="13"/>
        </w:rPr>
        <w:t>v</w:t>
      </w:r>
      <w:r>
        <w:rPr>
          <w:i/>
          <w:spacing w:val="6"/>
          <w:w w:val="105"/>
          <w:sz w:val="13"/>
        </w:rPr>
        <w:t> </w:t>
      </w:r>
      <w:r>
        <w:rPr>
          <w:i/>
          <w:w w:val="105"/>
          <w:sz w:val="13"/>
        </w:rPr>
        <w:t>Young</w:t>
      </w:r>
      <w:r>
        <w:rPr>
          <w:i/>
          <w:spacing w:val="5"/>
          <w:w w:val="105"/>
          <w:sz w:val="13"/>
        </w:rPr>
        <w:t> </w:t>
      </w:r>
      <w:r>
        <w:rPr>
          <w:spacing w:val="-3"/>
          <w:w w:val="105"/>
          <w:sz w:val="13"/>
        </w:rPr>
        <w:t>[2011]</w:t>
      </w:r>
      <w:r>
        <w:rPr>
          <w:spacing w:val="6"/>
          <w:w w:val="105"/>
          <w:sz w:val="13"/>
        </w:rPr>
        <w:t> </w:t>
      </w:r>
      <w:r>
        <w:rPr>
          <w:w w:val="105"/>
          <w:sz w:val="13"/>
        </w:rPr>
        <w:t>NSWLEC</w:t>
      </w:r>
      <w:r>
        <w:rPr>
          <w:spacing w:val="5"/>
          <w:w w:val="105"/>
          <w:sz w:val="13"/>
        </w:rPr>
        <w:t> </w:t>
      </w:r>
      <w:r>
        <w:rPr>
          <w:w w:val="105"/>
          <w:sz w:val="13"/>
        </w:rPr>
        <w:t>1080</w:t>
      </w:r>
      <w:r>
        <w:rPr>
          <w:spacing w:val="6"/>
          <w:w w:val="105"/>
          <w:sz w:val="13"/>
        </w:rPr>
        <w:t> </w:t>
      </w:r>
      <w:r>
        <w:rPr>
          <w:w w:val="105"/>
          <w:sz w:val="13"/>
        </w:rPr>
        <w:t>[7].</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BodyText"/>
        <w:spacing w:line="242" w:lineRule="auto" w:before="91"/>
        <w:ind w:left="2381" w:right="1636"/>
        <w:rPr>
          <w:sz w:val="12"/>
        </w:rPr>
      </w:pPr>
      <w:r>
        <w:rPr>
          <w:spacing w:val="-3"/>
          <w:w w:val="105"/>
        </w:rPr>
        <w:t>intervening </w:t>
      </w:r>
      <w:r>
        <w:rPr>
          <w:spacing w:val="-4"/>
          <w:w w:val="105"/>
        </w:rPr>
        <w:t>‘gaps’ </w:t>
      </w:r>
      <w:r>
        <w:rPr>
          <w:spacing w:val="-3"/>
          <w:w w:val="105"/>
        </w:rPr>
        <w:t>are </w:t>
      </w:r>
      <w:r>
        <w:rPr>
          <w:spacing w:val="-4"/>
          <w:w w:val="105"/>
        </w:rPr>
        <w:t>‘adjoining’ </w:t>
      </w:r>
      <w:r>
        <w:rPr>
          <w:spacing w:val="-3"/>
          <w:w w:val="105"/>
        </w:rPr>
        <w:t>for </w:t>
      </w:r>
      <w:r>
        <w:rPr>
          <w:w w:val="105"/>
        </w:rPr>
        <w:t>the purposes of the New South </w:t>
      </w:r>
      <w:r>
        <w:rPr>
          <w:spacing w:val="-3"/>
          <w:w w:val="105"/>
        </w:rPr>
        <w:t>Wales </w:t>
      </w:r>
      <w:r>
        <w:rPr>
          <w:w w:val="105"/>
        </w:rPr>
        <w:t>Act where those gaps comprise </w:t>
      </w:r>
      <w:r>
        <w:rPr>
          <w:spacing w:val="-3"/>
          <w:w w:val="105"/>
        </w:rPr>
        <w:t>uninhabited land such </w:t>
      </w:r>
      <w:r>
        <w:rPr>
          <w:w w:val="105"/>
        </w:rPr>
        <w:t>as roadways, </w:t>
      </w:r>
      <w:r>
        <w:rPr>
          <w:spacing w:val="-3"/>
          <w:w w:val="105"/>
        </w:rPr>
        <w:t>laneways </w:t>
      </w:r>
      <w:r>
        <w:rPr>
          <w:w w:val="105"/>
        </w:rPr>
        <w:t>and battle-axe </w:t>
      </w:r>
      <w:r>
        <w:rPr>
          <w:spacing w:val="-4"/>
          <w:w w:val="105"/>
        </w:rPr>
        <w:t>driveways.</w:t>
      </w:r>
      <w:r>
        <w:rPr>
          <w:spacing w:val="-4"/>
          <w:w w:val="105"/>
          <w:position w:val="7"/>
          <w:sz w:val="12"/>
        </w:rPr>
        <w:t>154</w:t>
      </w:r>
    </w:p>
    <w:p>
      <w:pPr>
        <w:pStyle w:val="ListParagraph"/>
        <w:numPr>
          <w:ilvl w:val="1"/>
          <w:numId w:val="16"/>
        </w:numPr>
        <w:tabs>
          <w:tab w:pos="2381" w:val="left" w:leader="none"/>
          <w:tab w:pos="2382" w:val="left" w:leader="none"/>
        </w:tabs>
        <w:spacing w:line="242" w:lineRule="auto" w:before="124" w:after="0"/>
        <w:ind w:left="2381" w:right="1955" w:hanging="794"/>
        <w:jc w:val="left"/>
        <w:rPr>
          <w:sz w:val="21"/>
        </w:rPr>
      </w:pPr>
      <w:r>
        <w:rPr>
          <w:w w:val="105"/>
          <w:sz w:val="21"/>
        </w:rPr>
        <w:t>In </w:t>
      </w:r>
      <w:r>
        <w:rPr>
          <w:spacing w:val="-3"/>
          <w:w w:val="105"/>
          <w:sz w:val="21"/>
        </w:rPr>
        <w:t>Queensland </w:t>
      </w:r>
      <w:r>
        <w:rPr>
          <w:w w:val="105"/>
          <w:sz w:val="21"/>
        </w:rPr>
        <w:t>an affected </w:t>
      </w:r>
      <w:r>
        <w:rPr>
          <w:spacing w:val="-3"/>
          <w:w w:val="105"/>
          <w:sz w:val="21"/>
        </w:rPr>
        <w:t>neighbour’s land </w:t>
      </w:r>
      <w:r>
        <w:rPr>
          <w:w w:val="105"/>
          <w:sz w:val="21"/>
        </w:rPr>
        <w:t>must adjoin the </w:t>
      </w:r>
      <w:r>
        <w:rPr>
          <w:spacing w:val="-3"/>
          <w:w w:val="105"/>
          <w:sz w:val="21"/>
        </w:rPr>
        <w:t>land </w:t>
      </w:r>
      <w:r>
        <w:rPr>
          <w:w w:val="105"/>
          <w:sz w:val="21"/>
        </w:rPr>
        <w:t>on which the tree is </w:t>
      </w:r>
      <w:r>
        <w:rPr>
          <w:spacing w:val="-3"/>
          <w:w w:val="105"/>
          <w:sz w:val="21"/>
        </w:rPr>
        <w:t>situated, </w:t>
      </w:r>
      <w:r>
        <w:rPr>
          <w:w w:val="105"/>
          <w:sz w:val="21"/>
        </w:rPr>
        <w:t>or would adjoin the </w:t>
      </w:r>
      <w:r>
        <w:rPr>
          <w:spacing w:val="-3"/>
          <w:w w:val="105"/>
          <w:sz w:val="21"/>
        </w:rPr>
        <w:t>land </w:t>
      </w:r>
      <w:r>
        <w:rPr>
          <w:w w:val="105"/>
          <w:sz w:val="21"/>
        </w:rPr>
        <w:t>if it </w:t>
      </w:r>
      <w:r>
        <w:rPr>
          <w:spacing w:val="-3"/>
          <w:w w:val="105"/>
          <w:sz w:val="21"/>
        </w:rPr>
        <w:t>were </w:t>
      </w:r>
      <w:r>
        <w:rPr>
          <w:spacing w:val="-2"/>
          <w:w w:val="105"/>
          <w:sz w:val="21"/>
        </w:rPr>
        <w:t>not </w:t>
      </w:r>
      <w:r>
        <w:rPr>
          <w:spacing w:val="-3"/>
          <w:w w:val="105"/>
          <w:sz w:val="21"/>
        </w:rPr>
        <w:t>separated </w:t>
      </w:r>
      <w:r>
        <w:rPr>
          <w:w w:val="105"/>
          <w:sz w:val="21"/>
        </w:rPr>
        <w:t>by a </w:t>
      </w:r>
      <w:r>
        <w:rPr>
          <w:spacing w:val="-5"/>
          <w:w w:val="105"/>
          <w:sz w:val="21"/>
        </w:rPr>
        <w:t>road.</w:t>
      </w:r>
      <w:r>
        <w:rPr>
          <w:spacing w:val="-5"/>
          <w:w w:val="105"/>
          <w:position w:val="7"/>
          <w:sz w:val="12"/>
        </w:rPr>
        <w:t>155 </w:t>
      </w:r>
      <w:r>
        <w:rPr>
          <w:w w:val="105"/>
          <w:sz w:val="21"/>
        </w:rPr>
        <w:t>This </w:t>
      </w:r>
      <w:r>
        <w:rPr>
          <w:spacing w:val="-2"/>
          <w:w w:val="105"/>
          <w:sz w:val="21"/>
        </w:rPr>
        <w:t>has </w:t>
      </w:r>
      <w:r>
        <w:rPr>
          <w:w w:val="105"/>
          <w:sz w:val="21"/>
        </w:rPr>
        <w:t>been </w:t>
      </w:r>
      <w:r>
        <w:rPr>
          <w:spacing w:val="-3"/>
          <w:w w:val="105"/>
          <w:sz w:val="21"/>
        </w:rPr>
        <w:t>interpreted</w:t>
      </w:r>
      <w:r>
        <w:rPr>
          <w:spacing w:val="-9"/>
          <w:w w:val="105"/>
          <w:sz w:val="21"/>
        </w:rPr>
        <w:t> </w:t>
      </w:r>
      <w:r>
        <w:rPr>
          <w:spacing w:val="-3"/>
          <w:w w:val="105"/>
          <w:sz w:val="21"/>
        </w:rPr>
        <w:t>narrowly</w:t>
      </w:r>
      <w:r>
        <w:rPr>
          <w:spacing w:val="-9"/>
          <w:w w:val="105"/>
          <w:sz w:val="21"/>
        </w:rPr>
        <w:t> </w:t>
      </w:r>
      <w:r>
        <w:rPr>
          <w:w w:val="105"/>
          <w:sz w:val="21"/>
        </w:rPr>
        <w:t>and</w:t>
      </w:r>
      <w:r>
        <w:rPr>
          <w:spacing w:val="-9"/>
          <w:w w:val="105"/>
          <w:sz w:val="21"/>
        </w:rPr>
        <w:t> </w:t>
      </w:r>
      <w:r>
        <w:rPr>
          <w:spacing w:val="-3"/>
          <w:w w:val="105"/>
          <w:sz w:val="21"/>
        </w:rPr>
        <w:t>requires</w:t>
      </w:r>
      <w:r>
        <w:rPr>
          <w:spacing w:val="-9"/>
          <w:w w:val="105"/>
          <w:sz w:val="21"/>
        </w:rPr>
        <w:t> </w:t>
      </w:r>
      <w:r>
        <w:rPr>
          <w:w w:val="105"/>
          <w:sz w:val="21"/>
        </w:rPr>
        <w:t>proof</w:t>
      </w:r>
      <w:r>
        <w:rPr>
          <w:spacing w:val="-9"/>
          <w:w w:val="105"/>
          <w:sz w:val="21"/>
        </w:rPr>
        <w:t> </w:t>
      </w:r>
      <w:r>
        <w:rPr>
          <w:w w:val="105"/>
          <w:sz w:val="21"/>
        </w:rPr>
        <w:t>of</w:t>
      </w:r>
      <w:r>
        <w:rPr>
          <w:spacing w:val="-9"/>
          <w:w w:val="105"/>
          <w:sz w:val="21"/>
        </w:rPr>
        <w:t> </w:t>
      </w:r>
      <w:r>
        <w:rPr>
          <w:w w:val="105"/>
          <w:sz w:val="21"/>
        </w:rPr>
        <w:t>physical</w:t>
      </w:r>
      <w:r>
        <w:rPr>
          <w:spacing w:val="-8"/>
          <w:w w:val="105"/>
          <w:sz w:val="21"/>
        </w:rPr>
        <w:t> </w:t>
      </w:r>
      <w:r>
        <w:rPr>
          <w:w w:val="105"/>
          <w:sz w:val="21"/>
        </w:rPr>
        <w:t>connection</w:t>
      </w:r>
      <w:r>
        <w:rPr>
          <w:spacing w:val="-9"/>
          <w:w w:val="105"/>
          <w:sz w:val="21"/>
        </w:rPr>
        <w:t> </w:t>
      </w:r>
      <w:r>
        <w:rPr>
          <w:w w:val="105"/>
          <w:sz w:val="21"/>
        </w:rPr>
        <w:t>between</w:t>
      </w:r>
      <w:r>
        <w:rPr>
          <w:spacing w:val="-9"/>
          <w:w w:val="105"/>
          <w:sz w:val="21"/>
        </w:rPr>
        <w:t> </w:t>
      </w:r>
      <w:r>
        <w:rPr>
          <w:spacing w:val="-3"/>
          <w:w w:val="105"/>
          <w:sz w:val="21"/>
        </w:rPr>
        <w:t>neighbouring </w:t>
      </w:r>
      <w:r>
        <w:rPr>
          <w:spacing w:val="-5"/>
          <w:w w:val="105"/>
          <w:sz w:val="21"/>
        </w:rPr>
        <w:t>lands.</w:t>
      </w:r>
      <w:r>
        <w:rPr>
          <w:spacing w:val="-5"/>
          <w:w w:val="105"/>
          <w:position w:val="7"/>
          <w:sz w:val="12"/>
        </w:rPr>
        <w:t>156</w:t>
      </w:r>
    </w:p>
    <w:p>
      <w:pPr>
        <w:pStyle w:val="ListParagraph"/>
        <w:numPr>
          <w:ilvl w:val="1"/>
          <w:numId w:val="16"/>
        </w:numPr>
        <w:tabs>
          <w:tab w:pos="2380" w:val="left" w:leader="none"/>
          <w:tab w:pos="2381" w:val="left" w:leader="none"/>
        </w:tabs>
        <w:spacing w:line="242" w:lineRule="auto" w:before="124" w:after="0"/>
        <w:ind w:left="2380" w:right="1741" w:hanging="793"/>
        <w:jc w:val="left"/>
        <w:rPr>
          <w:sz w:val="21"/>
        </w:rPr>
      </w:pPr>
      <w:r>
        <w:rPr>
          <w:w w:val="105"/>
          <w:sz w:val="21"/>
        </w:rPr>
        <w:t>In </w:t>
      </w:r>
      <w:r>
        <w:rPr>
          <w:spacing w:val="-5"/>
          <w:w w:val="105"/>
          <w:sz w:val="21"/>
        </w:rPr>
        <w:t>Tasmania </w:t>
      </w:r>
      <w:r>
        <w:rPr>
          <w:w w:val="105"/>
          <w:sz w:val="21"/>
        </w:rPr>
        <w:t>an affected </w:t>
      </w:r>
      <w:r>
        <w:rPr>
          <w:spacing w:val="-3"/>
          <w:w w:val="105"/>
          <w:sz w:val="21"/>
        </w:rPr>
        <w:t>neighbour’s land </w:t>
      </w:r>
      <w:r>
        <w:rPr>
          <w:w w:val="105"/>
          <w:sz w:val="21"/>
        </w:rPr>
        <w:t>does </w:t>
      </w:r>
      <w:r>
        <w:rPr>
          <w:spacing w:val="-2"/>
          <w:w w:val="105"/>
          <w:sz w:val="21"/>
        </w:rPr>
        <w:t>not </w:t>
      </w:r>
      <w:r>
        <w:rPr>
          <w:w w:val="105"/>
          <w:sz w:val="21"/>
        </w:rPr>
        <w:t>need </w:t>
      </w:r>
      <w:r>
        <w:rPr>
          <w:spacing w:val="-3"/>
          <w:w w:val="105"/>
          <w:sz w:val="21"/>
        </w:rPr>
        <w:t>to </w:t>
      </w:r>
      <w:r>
        <w:rPr>
          <w:w w:val="105"/>
          <w:sz w:val="21"/>
        </w:rPr>
        <w:t>adjoin the </w:t>
      </w:r>
      <w:r>
        <w:rPr>
          <w:spacing w:val="-3"/>
          <w:w w:val="105"/>
          <w:sz w:val="21"/>
        </w:rPr>
        <w:t>land </w:t>
      </w:r>
      <w:r>
        <w:rPr>
          <w:w w:val="105"/>
          <w:sz w:val="21"/>
        </w:rPr>
        <w:t>on which the tree is </w:t>
      </w:r>
      <w:r>
        <w:rPr>
          <w:spacing w:val="-5"/>
          <w:w w:val="105"/>
          <w:sz w:val="21"/>
        </w:rPr>
        <w:t>situated.</w:t>
      </w:r>
      <w:r>
        <w:rPr>
          <w:spacing w:val="-5"/>
          <w:w w:val="105"/>
          <w:position w:val="7"/>
          <w:sz w:val="12"/>
        </w:rPr>
        <w:t>157 </w:t>
      </w:r>
      <w:r>
        <w:rPr>
          <w:spacing w:val="-3"/>
          <w:w w:val="105"/>
          <w:sz w:val="21"/>
        </w:rPr>
        <w:t>Instead, </w:t>
      </w:r>
      <w:r>
        <w:rPr>
          <w:w w:val="105"/>
          <w:sz w:val="21"/>
        </w:rPr>
        <w:t>an affected </w:t>
      </w:r>
      <w:r>
        <w:rPr>
          <w:spacing w:val="-3"/>
          <w:w w:val="105"/>
          <w:sz w:val="21"/>
        </w:rPr>
        <w:t>neighbour’s land </w:t>
      </w:r>
      <w:r>
        <w:rPr>
          <w:w w:val="105"/>
          <w:sz w:val="21"/>
        </w:rPr>
        <w:t>needs </w:t>
      </w:r>
      <w:r>
        <w:rPr>
          <w:spacing w:val="-3"/>
          <w:w w:val="105"/>
          <w:sz w:val="21"/>
        </w:rPr>
        <w:t>to </w:t>
      </w:r>
      <w:r>
        <w:rPr>
          <w:w w:val="105"/>
          <w:sz w:val="21"/>
        </w:rPr>
        <w:t>be </w:t>
      </w:r>
      <w:r>
        <w:rPr>
          <w:spacing w:val="-3"/>
          <w:w w:val="105"/>
          <w:sz w:val="21"/>
        </w:rPr>
        <w:t>within </w:t>
      </w:r>
      <w:r>
        <w:rPr>
          <w:spacing w:val="-4"/>
          <w:w w:val="105"/>
          <w:sz w:val="21"/>
        </w:rPr>
        <w:t>25 </w:t>
      </w:r>
      <w:r>
        <w:rPr>
          <w:w w:val="105"/>
          <w:sz w:val="21"/>
        </w:rPr>
        <w:t>metres of the</w:t>
      </w:r>
      <w:r>
        <w:rPr>
          <w:spacing w:val="-5"/>
          <w:w w:val="105"/>
          <w:sz w:val="21"/>
        </w:rPr>
        <w:t> </w:t>
      </w:r>
      <w:r>
        <w:rPr>
          <w:w w:val="105"/>
          <w:sz w:val="21"/>
        </w:rPr>
        <w:t>base</w:t>
      </w:r>
      <w:r>
        <w:rPr>
          <w:spacing w:val="-4"/>
          <w:w w:val="105"/>
          <w:sz w:val="21"/>
        </w:rPr>
        <w:t> </w:t>
      </w:r>
      <w:r>
        <w:rPr>
          <w:w w:val="105"/>
          <w:sz w:val="21"/>
        </w:rPr>
        <w:t>of</w:t>
      </w:r>
      <w:r>
        <w:rPr>
          <w:spacing w:val="-4"/>
          <w:w w:val="105"/>
          <w:sz w:val="21"/>
        </w:rPr>
        <w:t> </w:t>
      </w:r>
      <w:r>
        <w:rPr>
          <w:w w:val="105"/>
          <w:sz w:val="21"/>
        </w:rPr>
        <w:t>the</w:t>
      </w:r>
      <w:r>
        <w:rPr>
          <w:spacing w:val="-4"/>
          <w:w w:val="105"/>
          <w:sz w:val="21"/>
        </w:rPr>
        <w:t> </w:t>
      </w:r>
      <w:r>
        <w:rPr>
          <w:spacing w:val="-3"/>
          <w:w w:val="105"/>
          <w:sz w:val="21"/>
        </w:rPr>
        <w:t>neighbouring</w:t>
      </w:r>
      <w:r>
        <w:rPr>
          <w:spacing w:val="-4"/>
          <w:w w:val="105"/>
          <w:sz w:val="21"/>
        </w:rPr>
        <w:t> tree’s</w:t>
      </w:r>
      <w:r>
        <w:rPr>
          <w:spacing w:val="-5"/>
          <w:w w:val="105"/>
          <w:sz w:val="21"/>
        </w:rPr>
        <w:t> </w:t>
      </w:r>
      <w:r>
        <w:rPr>
          <w:w w:val="105"/>
          <w:sz w:val="21"/>
        </w:rPr>
        <w:t>trunk</w:t>
      </w:r>
      <w:r>
        <w:rPr>
          <w:spacing w:val="-4"/>
          <w:w w:val="105"/>
          <w:sz w:val="21"/>
        </w:rPr>
        <w:t> </w:t>
      </w:r>
      <w:r>
        <w:rPr>
          <w:w w:val="105"/>
          <w:sz w:val="21"/>
        </w:rPr>
        <w:t>or</w:t>
      </w:r>
      <w:r>
        <w:rPr>
          <w:spacing w:val="-4"/>
          <w:w w:val="105"/>
          <w:sz w:val="21"/>
        </w:rPr>
        <w:t> </w:t>
      </w:r>
      <w:r>
        <w:rPr>
          <w:w w:val="105"/>
          <w:sz w:val="21"/>
        </w:rPr>
        <w:t>where</w:t>
      </w:r>
      <w:r>
        <w:rPr>
          <w:spacing w:val="-4"/>
          <w:w w:val="105"/>
          <w:sz w:val="21"/>
        </w:rPr>
        <w:t> </w:t>
      </w:r>
      <w:r>
        <w:rPr>
          <w:w w:val="105"/>
          <w:sz w:val="21"/>
        </w:rPr>
        <w:t>the</w:t>
      </w:r>
      <w:r>
        <w:rPr>
          <w:spacing w:val="-4"/>
          <w:w w:val="105"/>
          <w:sz w:val="21"/>
        </w:rPr>
        <w:t> </w:t>
      </w:r>
      <w:r>
        <w:rPr>
          <w:w w:val="105"/>
          <w:sz w:val="21"/>
        </w:rPr>
        <w:t>stem</w:t>
      </w:r>
      <w:r>
        <w:rPr>
          <w:spacing w:val="-4"/>
          <w:w w:val="105"/>
          <w:sz w:val="21"/>
        </w:rPr>
        <w:t> </w:t>
      </w:r>
      <w:r>
        <w:rPr>
          <w:w w:val="105"/>
          <w:sz w:val="21"/>
        </w:rPr>
        <w:t>of</w:t>
      </w:r>
      <w:r>
        <w:rPr>
          <w:spacing w:val="-5"/>
          <w:w w:val="105"/>
          <w:sz w:val="21"/>
        </w:rPr>
        <w:t> </w:t>
      </w:r>
      <w:r>
        <w:rPr>
          <w:w w:val="105"/>
          <w:sz w:val="21"/>
        </w:rPr>
        <w:t>a</w:t>
      </w:r>
      <w:r>
        <w:rPr>
          <w:spacing w:val="-4"/>
          <w:w w:val="105"/>
          <w:sz w:val="21"/>
        </w:rPr>
        <w:t> </w:t>
      </w:r>
      <w:r>
        <w:rPr>
          <w:w w:val="105"/>
          <w:sz w:val="21"/>
        </w:rPr>
        <w:t>tree</w:t>
      </w:r>
      <w:r>
        <w:rPr>
          <w:spacing w:val="-4"/>
          <w:w w:val="105"/>
          <w:sz w:val="21"/>
        </w:rPr>
        <w:t> </w:t>
      </w:r>
      <w:r>
        <w:rPr>
          <w:w w:val="105"/>
          <w:sz w:val="21"/>
        </w:rPr>
        <w:t>connects</w:t>
      </w:r>
      <w:r>
        <w:rPr>
          <w:spacing w:val="-4"/>
          <w:w w:val="105"/>
          <w:sz w:val="21"/>
        </w:rPr>
        <w:t> </w:t>
      </w:r>
      <w:r>
        <w:rPr>
          <w:spacing w:val="-3"/>
          <w:w w:val="105"/>
          <w:sz w:val="21"/>
        </w:rPr>
        <w:t>to</w:t>
      </w:r>
      <w:r>
        <w:rPr>
          <w:spacing w:val="-4"/>
          <w:w w:val="105"/>
          <w:sz w:val="21"/>
        </w:rPr>
        <w:t> </w:t>
      </w:r>
      <w:r>
        <w:rPr>
          <w:w w:val="105"/>
          <w:sz w:val="21"/>
        </w:rPr>
        <w:t>a</w:t>
      </w:r>
      <w:r>
        <w:rPr>
          <w:spacing w:val="-4"/>
          <w:w w:val="105"/>
          <w:sz w:val="21"/>
        </w:rPr>
        <w:t> </w:t>
      </w:r>
      <w:r>
        <w:rPr>
          <w:w w:val="105"/>
          <w:sz w:val="21"/>
        </w:rPr>
        <w:t>root </w:t>
      </w:r>
      <w:r>
        <w:rPr>
          <w:spacing w:val="-4"/>
          <w:w w:val="105"/>
          <w:sz w:val="21"/>
        </w:rPr>
        <w:t>system.</w:t>
      </w:r>
      <w:r>
        <w:rPr>
          <w:spacing w:val="-4"/>
          <w:w w:val="105"/>
          <w:position w:val="7"/>
          <w:sz w:val="12"/>
        </w:rPr>
        <w:t>158 </w:t>
      </w:r>
      <w:r>
        <w:rPr>
          <w:w w:val="105"/>
          <w:sz w:val="21"/>
        </w:rPr>
        <w:t>The </w:t>
      </w:r>
      <w:r>
        <w:rPr>
          <w:spacing w:val="-4"/>
          <w:w w:val="105"/>
          <w:sz w:val="21"/>
        </w:rPr>
        <w:t>Tasmanian </w:t>
      </w:r>
      <w:r>
        <w:rPr>
          <w:w w:val="105"/>
          <w:sz w:val="21"/>
        </w:rPr>
        <w:t>Act’s broader approach </w:t>
      </w:r>
      <w:r>
        <w:rPr>
          <w:spacing w:val="-3"/>
          <w:w w:val="105"/>
          <w:sz w:val="21"/>
        </w:rPr>
        <w:t>‘recognises that </w:t>
      </w:r>
      <w:r>
        <w:rPr>
          <w:w w:val="105"/>
          <w:sz w:val="21"/>
        </w:rPr>
        <w:t>in some cases tree roots can extend </w:t>
      </w:r>
      <w:r>
        <w:rPr>
          <w:spacing w:val="-3"/>
          <w:w w:val="105"/>
          <w:sz w:val="21"/>
        </w:rPr>
        <w:t>horizontally to </w:t>
      </w:r>
      <w:r>
        <w:rPr>
          <w:w w:val="105"/>
          <w:sz w:val="21"/>
        </w:rPr>
        <w:t>a distance of up </w:t>
      </w:r>
      <w:r>
        <w:rPr>
          <w:spacing w:val="-3"/>
          <w:w w:val="105"/>
          <w:sz w:val="21"/>
        </w:rPr>
        <w:t>to </w:t>
      </w:r>
      <w:r>
        <w:rPr>
          <w:spacing w:val="-4"/>
          <w:w w:val="105"/>
          <w:sz w:val="21"/>
        </w:rPr>
        <w:t>25</w:t>
      </w:r>
      <w:r>
        <w:rPr>
          <w:spacing w:val="4"/>
          <w:w w:val="105"/>
          <w:sz w:val="21"/>
        </w:rPr>
        <w:t> </w:t>
      </w:r>
      <w:r>
        <w:rPr>
          <w:spacing w:val="-6"/>
          <w:w w:val="105"/>
          <w:sz w:val="21"/>
        </w:rPr>
        <w:t>metres’.</w:t>
      </w:r>
      <w:r>
        <w:rPr>
          <w:spacing w:val="-6"/>
          <w:w w:val="105"/>
          <w:position w:val="7"/>
          <w:sz w:val="12"/>
        </w:rPr>
        <w:t>159</w:t>
      </w:r>
    </w:p>
    <w:p>
      <w:pPr>
        <w:pStyle w:val="Heading7"/>
        <w:spacing w:before="156"/>
      </w:pPr>
      <w:r>
        <w:rPr>
          <w:w w:val="115"/>
        </w:rPr>
        <w:t>Community responses—proximity of the tree</w:t>
      </w:r>
    </w:p>
    <w:p>
      <w:pPr>
        <w:pStyle w:val="ListParagraph"/>
        <w:numPr>
          <w:ilvl w:val="1"/>
          <w:numId w:val="16"/>
        </w:numPr>
        <w:tabs>
          <w:tab w:pos="2381" w:val="left" w:leader="none"/>
          <w:tab w:pos="2382" w:val="left" w:leader="none"/>
        </w:tabs>
        <w:spacing w:line="242" w:lineRule="auto" w:before="143" w:after="0"/>
        <w:ind w:left="2381" w:right="2503" w:hanging="794"/>
        <w:jc w:val="left"/>
        <w:rPr>
          <w:sz w:val="21"/>
        </w:rPr>
      </w:pPr>
      <w:r>
        <w:rPr>
          <w:spacing w:val="-3"/>
          <w:w w:val="105"/>
          <w:sz w:val="21"/>
        </w:rPr>
        <w:t>Community </w:t>
      </w:r>
      <w:r>
        <w:rPr>
          <w:w w:val="105"/>
          <w:sz w:val="21"/>
        </w:rPr>
        <w:t>responses </w:t>
      </w:r>
      <w:r>
        <w:rPr>
          <w:spacing w:val="-3"/>
          <w:w w:val="105"/>
          <w:sz w:val="21"/>
        </w:rPr>
        <w:t>were mixed. </w:t>
      </w:r>
      <w:r>
        <w:rPr>
          <w:w w:val="105"/>
          <w:sz w:val="21"/>
        </w:rPr>
        <w:t>Some people </w:t>
      </w:r>
      <w:r>
        <w:rPr>
          <w:spacing w:val="-3"/>
          <w:w w:val="105"/>
          <w:sz w:val="21"/>
        </w:rPr>
        <w:t>favoured limiting </w:t>
      </w:r>
      <w:r>
        <w:rPr>
          <w:w w:val="105"/>
          <w:sz w:val="21"/>
        </w:rPr>
        <w:t>legal action </w:t>
      </w:r>
      <w:r>
        <w:rPr>
          <w:spacing w:val="-3"/>
          <w:w w:val="105"/>
          <w:sz w:val="21"/>
        </w:rPr>
        <w:t>to </w:t>
      </w:r>
      <w:r>
        <w:rPr>
          <w:w w:val="105"/>
          <w:sz w:val="21"/>
        </w:rPr>
        <w:t>neighbours with </w:t>
      </w:r>
      <w:r>
        <w:rPr>
          <w:spacing w:val="-3"/>
          <w:w w:val="105"/>
          <w:sz w:val="21"/>
        </w:rPr>
        <w:t>adjoining parcels </w:t>
      </w:r>
      <w:r>
        <w:rPr>
          <w:w w:val="105"/>
          <w:sz w:val="21"/>
        </w:rPr>
        <w:t>of </w:t>
      </w:r>
      <w:r>
        <w:rPr>
          <w:spacing w:val="-3"/>
          <w:w w:val="105"/>
          <w:sz w:val="21"/>
        </w:rPr>
        <w:t>land (for example, </w:t>
      </w:r>
      <w:r>
        <w:rPr>
          <w:w w:val="105"/>
          <w:sz w:val="21"/>
        </w:rPr>
        <w:t>with </w:t>
      </w:r>
      <w:r>
        <w:rPr>
          <w:spacing w:val="-3"/>
          <w:w w:val="105"/>
          <w:sz w:val="21"/>
        </w:rPr>
        <w:t>shared</w:t>
      </w:r>
      <w:r>
        <w:rPr>
          <w:spacing w:val="7"/>
          <w:w w:val="105"/>
          <w:sz w:val="21"/>
        </w:rPr>
        <w:t> </w:t>
      </w:r>
      <w:r>
        <w:rPr>
          <w:spacing w:val="-2"/>
          <w:w w:val="105"/>
          <w:sz w:val="21"/>
        </w:rPr>
        <w:t>common</w:t>
      </w:r>
    </w:p>
    <w:p>
      <w:pPr>
        <w:pStyle w:val="BodyText"/>
        <w:spacing w:line="242" w:lineRule="auto" w:before="2"/>
        <w:ind w:left="2381" w:right="1636"/>
        <w:rPr>
          <w:sz w:val="12"/>
        </w:rPr>
      </w:pPr>
      <w:r>
        <w:rPr>
          <w:w w:val="105"/>
        </w:rPr>
        <w:t>boundaries)</w:t>
      </w:r>
      <w:r>
        <w:rPr>
          <w:w w:val="105"/>
          <w:position w:val="7"/>
          <w:sz w:val="12"/>
        </w:rPr>
        <w:t>160</w:t>
      </w:r>
      <w:r>
        <w:rPr>
          <w:spacing w:val="10"/>
          <w:w w:val="105"/>
          <w:position w:val="7"/>
          <w:sz w:val="12"/>
        </w:rPr>
        <w:t> </w:t>
      </w:r>
      <w:r>
        <w:rPr>
          <w:w w:val="105"/>
        </w:rPr>
        <w:t>while</w:t>
      </w:r>
      <w:r>
        <w:rPr>
          <w:spacing w:val="-13"/>
          <w:w w:val="105"/>
        </w:rPr>
        <w:t> </w:t>
      </w:r>
      <w:r>
        <w:rPr>
          <w:w w:val="105"/>
        </w:rPr>
        <w:t>others</w:t>
      </w:r>
      <w:r>
        <w:rPr>
          <w:spacing w:val="-12"/>
          <w:w w:val="105"/>
        </w:rPr>
        <w:t> </w:t>
      </w:r>
      <w:r>
        <w:rPr>
          <w:spacing w:val="-3"/>
          <w:w w:val="105"/>
        </w:rPr>
        <w:t>favoured</w:t>
      </w:r>
      <w:r>
        <w:rPr>
          <w:spacing w:val="-13"/>
          <w:w w:val="105"/>
        </w:rPr>
        <w:t> </w:t>
      </w:r>
      <w:r>
        <w:rPr>
          <w:w w:val="105"/>
        </w:rPr>
        <w:t>a</w:t>
      </w:r>
      <w:r>
        <w:rPr>
          <w:spacing w:val="-12"/>
          <w:w w:val="105"/>
        </w:rPr>
        <w:t> </w:t>
      </w:r>
      <w:r>
        <w:rPr>
          <w:w w:val="105"/>
        </w:rPr>
        <w:t>broader</w:t>
      </w:r>
      <w:r>
        <w:rPr>
          <w:spacing w:val="-13"/>
          <w:w w:val="105"/>
        </w:rPr>
        <w:t> </w:t>
      </w:r>
      <w:r>
        <w:rPr>
          <w:w w:val="105"/>
        </w:rPr>
        <w:t>approach</w:t>
      </w:r>
      <w:r>
        <w:rPr>
          <w:spacing w:val="-12"/>
          <w:w w:val="105"/>
        </w:rPr>
        <w:t> </w:t>
      </w:r>
      <w:r>
        <w:rPr>
          <w:w w:val="105"/>
        </w:rPr>
        <w:t>where</w:t>
      </w:r>
      <w:r>
        <w:rPr>
          <w:spacing w:val="-13"/>
          <w:w w:val="105"/>
        </w:rPr>
        <w:t> </w:t>
      </w:r>
      <w:r>
        <w:rPr>
          <w:w w:val="105"/>
        </w:rPr>
        <w:t>the</w:t>
      </w:r>
      <w:r>
        <w:rPr>
          <w:spacing w:val="-12"/>
          <w:w w:val="105"/>
        </w:rPr>
        <w:t> </w:t>
      </w:r>
      <w:r>
        <w:rPr>
          <w:w w:val="105"/>
        </w:rPr>
        <w:t>tree</w:t>
      </w:r>
      <w:r>
        <w:rPr>
          <w:spacing w:val="-13"/>
          <w:w w:val="105"/>
        </w:rPr>
        <w:t> </w:t>
      </w:r>
      <w:r>
        <w:rPr>
          <w:w w:val="105"/>
        </w:rPr>
        <w:t>and</w:t>
      </w:r>
      <w:r>
        <w:rPr>
          <w:spacing w:val="-12"/>
          <w:w w:val="105"/>
        </w:rPr>
        <w:t> </w:t>
      </w:r>
      <w:r>
        <w:rPr>
          <w:w w:val="105"/>
        </w:rPr>
        <w:t>the</w:t>
      </w:r>
      <w:r>
        <w:rPr>
          <w:spacing w:val="-13"/>
          <w:w w:val="105"/>
        </w:rPr>
        <w:t> </w:t>
      </w:r>
      <w:r>
        <w:rPr>
          <w:w w:val="105"/>
        </w:rPr>
        <w:t>affected </w:t>
      </w:r>
      <w:r>
        <w:rPr>
          <w:spacing w:val="-3"/>
          <w:w w:val="105"/>
        </w:rPr>
        <w:t>neighbour’s land </w:t>
      </w:r>
      <w:r>
        <w:rPr>
          <w:w w:val="105"/>
        </w:rPr>
        <w:t>need </w:t>
      </w:r>
      <w:r>
        <w:rPr>
          <w:spacing w:val="-2"/>
          <w:w w:val="105"/>
        </w:rPr>
        <w:t>not </w:t>
      </w:r>
      <w:r>
        <w:rPr>
          <w:w w:val="105"/>
        </w:rPr>
        <w:t>be </w:t>
      </w:r>
      <w:r>
        <w:rPr>
          <w:spacing w:val="-3"/>
          <w:w w:val="105"/>
        </w:rPr>
        <w:t>adjoining </w:t>
      </w:r>
      <w:r>
        <w:rPr>
          <w:w w:val="105"/>
        </w:rPr>
        <w:t>at </w:t>
      </w:r>
      <w:r>
        <w:rPr>
          <w:spacing w:val="-3"/>
          <w:w w:val="105"/>
        </w:rPr>
        <w:t>all, </w:t>
      </w:r>
      <w:r>
        <w:rPr>
          <w:w w:val="105"/>
        </w:rPr>
        <w:t>or </w:t>
      </w:r>
      <w:r>
        <w:rPr>
          <w:spacing w:val="-3"/>
          <w:w w:val="105"/>
        </w:rPr>
        <w:t>were </w:t>
      </w:r>
      <w:r>
        <w:rPr>
          <w:w w:val="105"/>
        </w:rPr>
        <w:t>connected in some other</w:t>
      </w:r>
      <w:r>
        <w:rPr>
          <w:spacing w:val="32"/>
          <w:w w:val="105"/>
        </w:rPr>
        <w:t> </w:t>
      </w:r>
      <w:r>
        <w:rPr>
          <w:spacing w:val="-8"/>
          <w:w w:val="105"/>
        </w:rPr>
        <w:t>way.</w:t>
      </w:r>
      <w:r>
        <w:rPr>
          <w:spacing w:val="-8"/>
          <w:w w:val="105"/>
          <w:position w:val="7"/>
          <w:sz w:val="12"/>
        </w:rPr>
        <w:t>161</w:t>
      </w:r>
    </w:p>
    <w:p>
      <w:pPr>
        <w:pStyle w:val="Heading7"/>
        <w:spacing w:before="153"/>
      </w:pPr>
      <w:r>
        <w:rPr>
          <w:color w:val="58595B"/>
          <w:w w:val="115"/>
        </w:rPr>
        <w:t>Trees can impact at considerable distance from the trunk</w:t>
      </w:r>
    </w:p>
    <w:p>
      <w:pPr>
        <w:pStyle w:val="ListParagraph"/>
        <w:numPr>
          <w:ilvl w:val="1"/>
          <w:numId w:val="16"/>
        </w:numPr>
        <w:tabs>
          <w:tab w:pos="2380" w:val="left" w:leader="none"/>
          <w:tab w:pos="2381" w:val="left" w:leader="none"/>
        </w:tabs>
        <w:spacing w:line="242" w:lineRule="auto" w:before="142" w:after="0"/>
        <w:ind w:left="2381" w:right="1676" w:hanging="794"/>
        <w:jc w:val="left"/>
        <w:rPr>
          <w:sz w:val="21"/>
        </w:rPr>
      </w:pPr>
      <w:r>
        <w:rPr>
          <w:w w:val="105"/>
          <w:sz w:val="21"/>
        </w:rPr>
        <w:t>The </w:t>
      </w:r>
      <w:r>
        <w:rPr>
          <w:spacing w:val="-3"/>
          <w:w w:val="105"/>
          <w:sz w:val="21"/>
        </w:rPr>
        <w:t>Commission </w:t>
      </w:r>
      <w:r>
        <w:rPr>
          <w:w w:val="105"/>
          <w:sz w:val="21"/>
        </w:rPr>
        <w:t>was told </w:t>
      </w:r>
      <w:r>
        <w:rPr>
          <w:spacing w:val="-3"/>
          <w:w w:val="105"/>
          <w:sz w:val="21"/>
        </w:rPr>
        <w:t>that </w:t>
      </w:r>
      <w:r>
        <w:rPr>
          <w:w w:val="105"/>
          <w:sz w:val="21"/>
        </w:rPr>
        <w:t>a </w:t>
      </w:r>
      <w:r>
        <w:rPr>
          <w:spacing w:val="-4"/>
          <w:w w:val="105"/>
          <w:sz w:val="21"/>
        </w:rPr>
        <w:t>tree’s </w:t>
      </w:r>
      <w:r>
        <w:rPr>
          <w:w w:val="105"/>
          <w:sz w:val="21"/>
        </w:rPr>
        <w:t>roots can extend </w:t>
      </w:r>
      <w:r>
        <w:rPr>
          <w:spacing w:val="-3"/>
          <w:w w:val="105"/>
          <w:sz w:val="21"/>
        </w:rPr>
        <w:t>far </w:t>
      </w:r>
      <w:r>
        <w:rPr>
          <w:w w:val="105"/>
          <w:sz w:val="21"/>
        </w:rPr>
        <w:t>beyond its </w:t>
      </w:r>
      <w:r>
        <w:rPr>
          <w:spacing w:val="-4"/>
          <w:w w:val="105"/>
          <w:sz w:val="21"/>
        </w:rPr>
        <w:t>canopy, </w:t>
      </w:r>
      <w:r>
        <w:rPr>
          <w:w w:val="105"/>
          <w:sz w:val="21"/>
        </w:rPr>
        <w:t>which can cause them </w:t>
      </w:r>
      <w:r>
        <w:rPr>
          <w:spacing w:val="-3"/>
          <w:w w:val="105"/>
          <w:sz w:val="21"/>
        </w:rPr>
        <w:t>to have </w:t>
      </w:r>
      <w:r>
        <w:rPr>
          <w:w w:val="105"/>
          <w:sz w:val="21"/>
        </w:rPr>
        <w:t>an impact on properties </w:t>
      </w:r>
      <w:r>
        <w:rPr>
          <w:spacing w:val="-3"/>
          <w:w w:val="105"/>
          <w:sz w:val="21"/>
        </w:rPr>
        <w:t>several </w:t>
      </w:r>
      <w:r>
        <w:rPr>
          <w:w w:val="105"/>
          <w:sz w:val="21"/>
        </w:rPr>
        <w:t>doors down </w:t>
      </w:r>
      <w:r>
        <w:rPr>
          <w:spacing w:val="-3"/>
          <w:w w:val="105"/>
          <w:sz w:val="21"/>
        </w:rPr>
        <w:t>from </w:t>
      </w:r>
      <w:r>
        <w:rPr>
          <w:w w:val="105"/>
          <w:sz w:val="21"/>
        </w:rPr>
        <w:t>where the tree is </w:t>
      </w:r>
      <w:r>
        <w:rPr>
          <w:spacing w:val="-5"/>
          <w:w w:val="105"/>
          <w:sz w:val="21"/>
        </w:rPr>
        <w:t>situated.</w:t>
      </w:r>
      <w:r>
        <w:rPr>
          <w:spacing w:val="-5"/>
          <w:w w:val="105"/>
          <w:position w:val="7"/>
          <w:sz w:val="12"/>
        </w:rPr>
        <w:t>162</w:t>
      </w:r>
    </w:p>
    <w:p>
      <w:pPr>
        <w:pStyle w:val="ListParagraph"/>
        <w:numPr>
          <w:ilvl w:val="1"/>
          <w:numId w:val="16"/>
        </w:numPr>
        <w:tabs>
          <w:tab w:pos="2381" w:val="left" w:leader="none"/>
          <w:tab w:pos="2382" w:val="left" w:leader="none"/>
        </w:tabs>
        <w:spacing w:line="242" w:lineRule="auto" w:before="124" w:after="0"/>
        <w:ind w:left="2381" w:right="1601" w:hanging="794"/>
        <w:jc w:val="left"/>
        <w:rPr>
          <w:sz w:val="21"/>
        </w:rPr>
      </w:pPr>
      <w:r>
        <w:rPr>
          <w:w w:val="105"/>
          <w:sz w:val="21"/>
        </w:rPr>
        <w:t>The NSWLEC stated </w:t>
      </w:r>
      <w:r>
        <w:rPr>
          <w:spacing w:val="-3"/>
          <w:w w:val="105"/>
          <w:sz w:val="21"/>
        </w:rPr>
        <w:t>that </w:t>
      </w:r>
      <w:r>
        <w:rPr>
          <w:w w:val="105"/>
          <w:sz w:val="21"/>
        </w:rPr>
        <w:t>where the issue arises of non-adjoining neighbours being affected by a </w:t>
      </w:r>
      <w:r>
        <w:rPr>
          <w:spacing w:val="-3"/>
          <w:w w:val="105"/>
          <w:sz w:val="21"/>
        </w:rPr>
        <w:t>tree, </w:t>
      </w:r>
      <w:r>
        <w:rPr>
          <w:w w:val="105"/>
          <w:sz w:val="21"/>
        </w:rPr>
        <w:t>it </w:t>
      </w:r>
      <w:r>
        <w:rPr>
          <w:spacing w:val="-3"/>
          <w:w w:val="105"/>
          <w:sz w:val="21"/>
        </w:rPr>
        <w:t>may occur </w:t>
      </w:r>
      <w:r>
        <w:rPr>
          <w:w w:val="105"/>
          <w:sz w:val="21"/>
        </w:rPr>
        <w:t>in </w:t>
      </w:r>
      <w:r>
        <w:rPr>
          <w:spacing w:val="-3"/>
          <w:w w:val="105"/>
          <w:sz w:val="21"/>
        </w:rPr>
        <w:t>inner </w:t>
      </w:r>
      <w:r>
        <w:rPr>
          <w:w w:val="105"/>
          <w:sz w:val="21"/>
        </w:rPr>
        <w:t>urban </w:t>
      </w:r>
      <w:r>
        <w:rPr>
          <w:spacing w:val="-3"/>
          <w:w w:val="105"/>
          <w:sz w:val="21"/>
        </w:rPr>
        <w:t>areas </w:t>
      </w:r>
      <w:r>
        <w:rPr>
          <w:w w:val="105"/>
          <w:sz w:val="21"/>
        </w:rPr>
        <w:t>with </w:t>
      </w:r>
      <w:r>
        <w:rPr>
          <w:spacing w:val="-3"/>
          <w:w w:val="105"/>
          <w:sz w:val="21"/>
        </w:rPr>
        <w:t>small </w:t>
      </w:r>
      <w:r>
        <w:rPr>
          <w:w w:val="105"/>
          <w:sz w:val="21"/>
        </w:rPr>
        <w:t>properties. The most </w:t>
      </w:r>
      <w:r>
        <w:rPr>
          <w:spacing w:val="-4"/>
          <w:w w:val="105"/>
          <w:sz w:val="21"/>
        </w:rPr>
        <w:t>likely </w:t>
      </w:r>
      <w:r>
        <w:rPr>
          <w:spacing w:val="-3"/>
          <w:w w:val="105"/>
          <w:sz w:val="21"/>
        </w:rPr>
        <w:t>scenario </w:t>
      </w:r>
      <w:r>
        <w:rPr>
          <w:w w:val="105"/>
          <w:sz w:val="21"/>
        </w:rPr>
        <w:t>would be a large canopy </w:t>
      </w:r>
      <w:r>
        <w:rPr>
          <w:spacing w:val="-3"/>
          <w:w w:val="105"/>
          <w:sz w:val="21"/>
        </w:rPr>
        <w:t>that overhangs multiple narrow </w:t>
      </w:r>
      <w:r>
        <w:rPr>
          <w:w w:val="105"/>
          <w:sz w:val="21"/>
        </w:rPr>
        <w:t>properties. This </w:t>
      </w:r>
      <w:r>
        <w:rPr>
          <w:spacing w:val="-3"/>
          <w:w w:val="105"/>
          <w:sz w:val="21"/>
        </w:rPr>
        <w:t>issue </w:t>
      </w:r>
      <w:r>
        <w:rPr>
          <w:spacing w:val="-2"/>
          <w:w w:val="105"/>
          <w:sz w:val="21"/>
        </w:rPr>
        <w:t>has</w:t>
      </w:r>
      <w:r>
        <w:rPr>
          <w:spacing w:val="-6"/>
          <w:w w:val="105"/>
          <w:sz w:val="21"/>
        </w:rPr>
        <w:t> </w:t>
      </w:r>
      <w:r>
        <w:rPr>
          <w:w w:val="105"/>
          <w:sz w:val="21"/>
        </w:rPr>
        <w:t>arisen</w:t>
      </w:r>
      <w:r>
        <w:rPr>
          <w:spacing w:val="-6"/>
          <w:w w:val="105"/>
          <w:sz w:val="21"/>
        </w:rPr>
        <w:t> </w:t>
      </w:r>
      <w:r>
        <w:rPr>
          <w:w w:val="105"/>
          <w:sz w:val="21"/>
        </w:rPr>
        <w:t>only</w:t>
      </w:r>
      <w:r>
        <w:rPr>
          <w:spacing w:val="-6"/>
          <w:w w:val="105"/>
          <w:sz w:val="21"/>
        </w:rPr>
        <w:t> </w:t>
      </w:r>
      <w:r>
        <w:rPr>
          <w:w w:val="105"/>
          <w:sz w:val="21"/>
        </w:rPr>
        <w:t>once</w:t>
      </w:r>
      <w:r>
        <w:rPr>
          <w:spacing w:val="-6"/>
          <w:w w:val="105"/>
          <w:sz w:val="21"/>
        </w:rPr>
        <w:t> </w:t>
      </w:r>
      <w:r>
        <w:rPr>
          <w:w w:val="105"/>
          <w:sz w:val="21"/>
        </w:rPr>
        <w:t>in</w:t>
      </w:r>
      <w:r>
        <w:rPr>
          <w:spacing w:val="-6"/>
          <w:w w:val="105"/>
          <w:sz w:val="21"/>
        </w:rPr>
        <w:t> </w:t>
      </w:r>
      <w:r>
        <w:rPr>
          <w:w w:val="105"/>
          <w:sz w:val="21"/>
        </w:rPr>
        <w:t>the</w:t>
      </w:r>
      <w:r>
        <w:rPr>
          <w:spacing w:val="-6"/>
          <w:w w:val="105"/>
          <w:sz w:val="21"/>
        </w:rPr>
        <w:t> </w:t>
      </w:r>
      <w:r>
        <w:rPr>
          <w:w w:val="105"/>
          <w:sz w:val="21"/>
        </w:rPr>
        <w:t>NSWLEC</w:t>
      </w:r>
      <w:r>
        <w:rPr>
          <w:spacing w:val="-6"/>
          <w:w w:val="105"/>
          <w:sz w:val="21"/>
        </w:rPr>
        <w:t> </w:t>
      </w:r>
      <w:r>
        <w:rPr>
          <w:w w:val="105"/>
          <w:sz w:val="21"/>
        </w:rPr>
        <w:t>and</w:t>
      </w:r>
      <w:r>
        <w:rPr>
          <w:spacing w:val="-6"/>
          <w:w w:val="105"/>
          <w:sz w:val="21"/>
        </w:rPr>
        <w:t> </w:t>
      </w:r>
      <w:r>
        <w:rPr>
          <w:spacing w:val="-3"/>
          <w:w w:val="105"/>
          <w:sz w:val="21"/>
        </w:rPr>
        <w:t>similar</w:t>
      </w:r>
      <w:r>
        <w:rPr>
          <w:spacing w:val="-6"/>
          <w:w w:val="105"/>
          <w:sz w:val="21"/>
        </w:rPr>
        <w:t> </w:t>
      </w:r>
      <w:r>
        <w:rPr>
          <w:w w:val="105"/>
          <w:sz w:val="21"/>
        </w:rPr>
        <w:t>issues</w:t>
      </w:r>
      <w:r>
        <w:rPr>
          <w:spacing w:val="-6"/>
          <w:w w:val="105"/>
          <w:sz w:val="21"/>
        </w:rPr>
        <w:t> </w:t>
      </w:r>
      <w:r>
        <w:rPr>
          <w:spacing w:val="-3"/>
          <w:w w:val="105"/>
          <w:sz w:val="21"/>
        </w:rPr>
        <w:t>have</w:t>
      </w:r>
      <w:r>
        <w:rPr>
          <w:spacing w:val="-6"/>
          <w:w w:val="105"/>
          <w:sz w:val="21"/>
        </w:rPr>
        <w:t> </w:t>
      </w:r>
      <w:r>
        <w:rPr>
          <w:spacing w:val="-2"/>
          <w:w w:val="105"/>
          <w:sz w:val="21"/>
        </w:rPr>
        <w:t>not</w:t>
      </w:r>
      <w:r>
        <w:rPr>
          <w:spacing w:val="-6"/>
          <w:w w:val="105"/>
          <w:sz w:val="21"/>
        </w:rPr>
        <w:t> </w:t>
      </w:r>
      <w:r>
        <w:rPr>
          <w:w w:val="105"/>
          <w:sz w:val="21"/>
        </w:rPr>
        <w:t>been</w:t>
      </w:r>
      <w:r>
        <w:rPr>
          <w:spacing w:val="-6"/>
          <w:w w:val="105"/>
          <w:sz w:val="21"/>
        </w:rPr>
        <w:t> </w:t>
      </w:r>
      <w:r>
        <w:rPr>
          <w:spacing w:val="-3"/>
          <w:w w:val="105"/>
          <w:sz w:val="21"/>
        </w:rPr>
        <w:t>presented</w:t>
      </w:r>
      <w:r>
        <w:rPr>
          <w:spacing w:val="-6"/>
          <w:w w:val="105"/>
          <w:sz w:val="21"/>
        </w:rPr>
        <w:t> </w:t>
      </w:r>
      <w:r>
        <w:rPr>
          <w:w w:val="105"/>
          <w:sz w:val="21"/>
        </w:rPr>
        <w:t>in</w:t>
      </w:r>
      <w:r>
        <w:rPr>
          <w:spacing w:val="-6"/>
          <w:w w:val="105"/>
          <w:sz w:val="21"/>
        </w:rPr>
        <w:t> </w:t>
      </w:r>
      <w:r>
        <w:rPr>
          <w:spacing w:val="-3"/>
          <w:w w:val="105"/>
          <w:sz w:val="21"/>
        </w:rPr>
        <w:t>relation to</w:t>
      </w:r>
      <w:r>
        <w:rPr>
          <w:spacing w:val="5"/>
          <w:w w:val="105"/>
          <w:sz w:val="21"/>
        </w:rPr>
        <w:t> </w:t>
      </w:r>
      <w:r>
        <w:rPr>
          <w:spacing w:val="-4"/>
          <w:w w:val="105"/>
          <w:sz w:val="21"/>
        </w:rPr>
        <w:t>roots.</w:t>
      </w:r>
      <w:r>
        <w:rPr>
          <w:spacing w:val="-4"/>
          <w:w w:val="105"/>
          <w:position w:val="7"/>
          <w:sz w:val="12"/>
        </w:rPr>
        <w:t>163</w:t>
      </w:r>
    </w:p>
    <w:p>
      <w:pPr>
        <w:pStyle w:val="ListParagraph"/>
        <w:numPr>
          <w:ilvl w:val="1"/>
          <w:numId w:val="16"/>
        </w:numPr>
        <w:tabs>
          <w:tab w:pos="2381" w:val="left" w:leader="none"/>
          <w:tab w:pos="2382" w:val="left" w:leader="none"/>
        </w:tabs>
        <w:spacing w:line="242" w:lineRule="auto" w:before="125" w:after="0"/>
        <w:ind w:left="2381" w:right="1584" w:hanging="794"/>
        <w:jc w:val="left"/>
        <w:rPr>
          <w:sz w:val="21"/>
        </w:rPr>
      </w:pPr>
      <w:r>
        <w:rPr>
          <w:sz w:val="21"/>
        </w:rPr>
        <w:t>Some </w:t>
      </w:r>
      <w:r>
        <w:rPr>
          <w:spacing w:val="-3"/>
          <w:sz w:val="21"/>
        </w:rPr>
        <w:t>submissions </w:t>
      </w:r>
      <w:r>
        <w:rPr>
          <w:sz w:val="21"/>
        </w:rPr>
        <w:t>cautioned </w:t>
      </w:r>
      <w:r>
        <w:rPr>
          <w:spacing w:val="-3"/>
          <w:sz w:val="21"/>
        </w:rPr>
        <w:t>that </w:t>
      </w:r>
      <w:r>
        <w:rPr>
          <w:sz w:val="21"/>
        </w:rPr>
        <w:t>the usefulness of a broad approach </w:t>
      </w:r>
      <w:r>
        <w:rPr>
          <w:spacing w:val="-3"/>
          <w:sz w:val="21"/>
        </w:rPr>
        <w:t>such  </w:t>
      </w:r>
      <w:r>
        <w:rPr>
          <w:sz w:val="21"/>
        </w:rPr>
        <w:t>as </w:t>
      </w:r>
      <w:r>
        <w:rPr>
          <w:spacing w:val="-5"/>
          <w:sz w:val="21"/>
        </w:rPr>
        <w:t>Tasmania’s  </w:t>
      </w:r>
      <w:r>
        <w:rPr>
          <w:spacing w:val="-3"/>
          <w:sz w:val="21"/>
        </w:rPr>
        <w:t>may </w:t>
      </w:r>
      <w:r>
        <w:rPr>
          <w:sz w:val="21"/>
        </w:rPr>
        <w:t>be </w:t>
      </w:r>
      <w:r>
        <w:rPr>
          <w:spacing w:val="-4"/>
          <w:sz w:val="21"/>
        </w:rPr>
        <w:t>limited.</w:t>
      </w:r>
      <w:r>
        <w:rPr>
          <w:spacing w:val="-4"/>
          <w:position w:val="7"/>
          <w:sz w:val="12"/>
        </w:rPr>
        <w:t>164 </w:t>
      </w:r>
      <w:r>
        <w:rPr>
          <w:sz w:val="21"/>
        </w:rPr>
        <w:t>It </w:t>
      </w:r>
      <w:r>
        <w:rPr>
          <w:spacing w:val="-3"/>
          <w:sz w:val="21"/>
        </w:rPr>
        <w:t>may </w:t>
      </w:r>
      <w:r>
        <w:rPr>
          <w:sz w:val="21"/>
        </w:rPr>
        <w:t>be difficult </w:t>
      </w:r>
      <w:r>
        <w:rPr>
          <w:spacing w:val="-3"/>
          <w:sz w:val="21"/>
        </w:rPr>
        <w:t>to  determine  </w:t>
      </w:r>
      <w:r>
        <w:rPr>
          <w:sz w:val="21"/>
        </w:rPr>
        <w:t>which tree the roots </w:t>
      </w:r>
      <w:r>
        <w:rPr>
          <w:spacing w:val="-3"/>
          <w:sz w:val="21"/>
        </w:rPr>
        <w:t>originate  from  </w:t>
      </w:r>
      <w:r>
        <w:rPr>
          <w:sz w:val="21"/>
        </w:rPr>
        <w:t>if there </w:t>
      </w:r>
      <w:r>
        <w:rPr>
          <w:spacing w:val="-3"/>
          <w:sz w:val="21"/>
        </w:rPr>
        <w:t>are multiple </w:t>
      </w:r>
      <w:r>
        <w:rPr>
          <w:sz w:val="21"/>
        </w:rPr>
        <w:t>trees in the </w:t>
      </w:r>
      <w:r>
        <w:rPr>
          <w:spacing w:val="-3"/>
          <w:sz w:val="21"/>
        </w:rPr>
        <w:t>area, </w:t>
      </w:r>
      <w:r>
        <w:rPr>
          <w:sz w:val="21"/>
        </w:rPr>
        <w:t>without  extensive  </w:t>
      </w:r>
      <w:r>
        <w:rPr>
          <w:spacing w:val="-3"/>
          <w:sz w:val="21"/>
        </w:rPr>
        <w:t>investigation  such  </w:t>
      </w:r>
      <w:r>
        <w:rPr>
          <w:sz w:val="21"/>
        </w:rPr>
        <w:t>as  lab  </w:t>
      </w:r>
      <w:r>
        <w:rPr>
          <w:spacing w:val="-3"/>
          <w:sz w:val="21"/>
        </w:rPr>
        <w:t>testing, </w:t>
      </w:r>
      <w:r>
        <w:rPr>
          <w:sz w:val="21"/>
        </w:rPr>
        <w:t>root </w:t>
      </w:r>
      <w:r>
        <w:rPr>
          <w:spacing w:val="-3"/>
          <w:sz w:val="21"/>
        </w:rPr>
        <w:t>radar </w:t>
      </w:r>
      <w:r>
        <w:rPr>
          <w:sz w:val="21"/>
        </w:rPr>
        <w:t>reports or </w:t>
      </w:r>
      <w:r>
        <w:rPr>
          <w:spacing w:val="-4"/>
          <w:sz w:val="21"/>
        </w:rPr>
        <w:t>hydro </w:t>
      </w:r>
      <w:r>
        <w:rPr>
          <w:spacing w:val="-3"/>
          <w:sz w:val="21"/>
        </w:rPr>
        <w:t>excavation reports.</w:t>
      </w:r>
      <w:r>
        <w:rPr>
          <w:spacing w:val="-3"/>
          <w:position w:val="7"/>
          <w:sz w:val="12"/>
        </w:rPr>
        <w:t>165 </w:t>
      </w:r>
      <w:r>
        <w:rPr>
          <w:sz w:val="21"/>
        </w:rPr>
        <w:t>Another </w:t>
      </w:r>
      <w:r>
        <w:rPr>
          <w:spacing w:val="-3"/>
          <w:sz w:val="21"/>
        </w:rPr>
        <w:t>submission </w:t>
      </w:r>
      <w:r>
        <w:rPr>
          <w:sz w:val="21"/>
        </w:rPr>
        <w:t>suggested </w:t>
      </w:r>
      <w:r>
        <w:rPr>
          <w:spacing w:val="-3"/>
          <w:sz w:val="21"/>
        </w:rPr>
        <w:t>that </w:t>
      </w:r>
      <w:r>
        <w:rPr>
          <w:sz w:val="21"/>
        </w:rPr>
        <w:t>the impact is </w:t>
      </w:r>
      <w:r>
        <w:rPr>
          <w:spacing w:val="-4"/>
          <w:sz w:val="21"/>
        </w:rPr>
        <w:t>likely </w:t>
      </w:r>
      <w:r>
        <w:rPr>
          <w:spacing w:val="-3"/>
          <w:sz w:val="21"/>
        </w:rPr>
        <w:t>to </w:t>
      </w:r>
      <w:r>
        <w:rPr>
          <w:sz w:val="21"/>
        </w:rPr>
        <w:t>be less </w:t>
      </w:r>
      <w:r>
        <w:rPr>
          <w:spacing w:val="-3"/>
          <w:sz w:val="21"/>
        </w:rPr>
        <w:t>severe  </w:t>
      </w:r>
      <w:r>
        <w:rPr>
          <w:sz w:val="21"/>
        </w:rPr>
        <w:t>the </w:t>
      </w:r>
      <w:r>
        <w:rPr>
          <w:spacing w:val="-3"/>
          <w:sz w:val="21"/>
        </w:rPr>
        <w:t>greater</w:t>
      </w:r>
      <w:r>
        <w:rPr>
          <w:spacing w:val="41"/>
          <w:sz w:val="21"/>
        </w:rPr>
        <w:t> </w:t>
      </w:r>
      <w:r>
        <w:rPr>
          <w:sz w:val="21"/>
        </w:rPr>
        <w:t>distance it is </w:t>
      </w:r>
      <w:r>
        <w:rPr>
          <w:spacing w:val="-3"/>
          <w:sz w:val="21"/>
        </w:rPr>
        <w:t>away  from  </w:t>
      </w:r>
      <w:r>
        <w:rPr>
          <w:sz w:val="21"/>
        </w:rPr>
        <w:t>the tree and more </w:t>
      </w:r>
      <w:r>
        <w:rPr>
          <w:spacing w:val="-3"/>
          <w:sz w:val="21"/>
        </w:rPr>
        <w:t>easily </w:t>
      </w:r>
      <w:r>
        <w:rPr>
          <w:sz w:val="21"/>
        </w:rPr>
        <w:t>resolved </w:t>
      </w:r>
      <w:r>
        <w:rPr>
          <w:spacing w:val="-3"/>
          <w:sz w:val="21"/>
        </w:rPr>
        <w:t>through abatement (for example, </w:t>
      </w:r>
      <w:r>
        <w:rPr>
          <w:sz w:val="21"/>
        </w:rPr>
        <w:t>by cutting </w:t>
      </w:r>
      <w:r>
        <w:rPr>
          <w:spacing w:val="-3"/>
          <w:sz w:val="21"/>
        </w:rPr>
        <w:t>away </w:t>
      </w:r>
      <w:r>
        <w:rPr>
          <w:sz w:val="21"/>
        </w:rPr>
        <w:t>roots) with no </w:t>
      </w:r>
      <w:r>
        <w:rPr>
          <w:spacing w:val="-3"/>
          <w:sz w:val="21"/>
        </w:rPr>
        <w:t>significant </w:t>
      </w:r>
      <w:r>
        <w:rPr>
          <w:sz w:val="21"/>
        </w:rPr>
        <w:t>impact on the </w:t>
      </w:r>
      <w:r>
        <w:rPr>
          <w:spacing w:val="-4"/>
          <w:sz w:val="21"/>
        </w:rPr>
        <w:t>tree’s </w:t>
      </w:r>
      <w:r>
        <w:rPr>
          <w:spacing w:val="-3"/>
          <w:sz w:val="21"/>
        </w:rPr>
        <w:t>health </w:t>
      </w:r>
      <w:r>
        <w:rPr>
          <w:sz w:val="21"/>
        </w:rPr>
        <w:t>or structural</w:t>
      </w:r>
      <w:r>
        <w:rPr>
          <w:spacing w:val="30"/>
          <w:sz w:val="21"/>
        </w:rPr>
        <w:t> </w:t>
      </w:r>
      <w:r>
        <w:rPr>
          <w:spacing w:val="-5"/>
          <w:sz w:val="21"/>
        </w:rPr>
        <w:t>integrity.</w:t>
      </w:r>
      <w:r>
        <w:rPr>
          <w:spacing w:val="-5"/>
          <w:position w:val="7"/>
          <w:sz w:val="12"/>
        </w:rPr>
        <w:t>166</w:t>
      </w:r>
    </w:p>
    <w:p>
      <w:pPr>
        <w:pStyle w:val="ListParagraph"/>
        <w:numPr>
          <w:ilvl w:val="1"/>
          <w:numId w:val="16"/>
        </w:numPr>
        <w:tabs>
          <w:tab w:pos="2380" w:val="left" w:leader="none"/>
          <w:tab w:pos="2382" w:val="left" w:leader="none"/>
        </w:tabs>
        <w:spacing w:line="242" w:lineRule="auto" w:before="128" w:after="0"/>
        <w:ind w:left="2381" w:right="1612" w:hanging="794"/>
        <w:jc w:val="left"/>
        <w:rPr>
          <w:sz w:val="21"/>
        </w:rPr>
      </w:pPr>
      <w:r>
        <w:rPr>
          <w:sz w:val="21"/>
        </w:rPr>
        <w:t>The NSWLEC suggested </w:t>
      </w:r>
      <w:r>
        <w:rPr>
          <w:spacing w:val="-3"/>
          <w:sz w:val="21"/>
        </w:rPr>
        <w:t>that </w:t>
      </w:r>
      <w:r>
        <w:rPr>
          <w:spacing w:val="-2"/>
          <w:sz w:val="21"/>
        </w:rPr>
        <w:t>problems </w:t>
      </w:r>
      <w:r>
        <w:rPr>
          <w:spacing w:val="-3"/>
          <w:sz w:val="21"/>
        </w:rPr>
        <w:t>may  </w:t>
      </w:r>
      <w:r>
        <w:rPr>
          <w:sz w:val="21"/>
        </w:rPr>
        <w:t>arise  where  </w:t>
      </w:r>
      <w:r>
        <w:rPr>
          <w:spacing w:val="-3"/>
          <w:sz w:val="21"/>
        </w:rPr>
        <w:t>multiple  </w:t>
      </w:r>
      <w:r>
        <w:rPr>
          <w:sz w:val="21"/>
        </w:rPr>
        <w:t>properties  </w:t>
      </w:r>
      <w:r>
        <w:rPr>
          <w:spacing w:val="-3"/>
          <w:sz w:val="21"/>
        </w:rPr>
        <w:t>are  </w:t>
      </w:r>
      <w:r>
        <w:rPr>
          <w:sz w:val="21"/>
        </w:rPr>
        <w:t>affected by </w:t>
      </w:r>
      <w:r>
        <w:rPr>
          <w:spacing w:val="-3"/>
          <w:sz w:val="21"/>
        </w:rPr>
        <w:t>encroaching </w:t>
      </w:r>
      <w:r>
        <w:rPr>
          <w:sz w:val="21"/>
        </w:rPr>
        <w:t>roots. It </w:t>
      </w:r>
      <w:r>
        <w:rPr>
          <w:spacing w:val="-3"/>
          <w:sz w:val="21"/>
        </w:rPr>
        <w:t>may </w:t>
      </w:r>
      <w:r>
        <w:rPr>
          <w:sz w:val="21"/>
        </w:rPr>
        <w:t>be difficult </w:t>
      </w:r>
      <w:r>
        <w:rPr>
          <w:spacing w:val="-3"/>
          <w:sz w:val="21"/>
        </w:rPr>
        <w:t>to determine </w:t>
      </w:r>
      <w:r>
        <w:rPr>
          <w:sz w:val="21"/>
        </w:rPr>
        <w:t>the best </w:t>
      </w:r>
      <w:r>
        <w:rPr>
          <w:spacing w:val="-3"/>
          <w:sz w:val="21"/>
        </w:rPr>
        <w:t>place  to  </w:t>
      </w:r>
      <w:r>
        <w:rPr>
          <w:sz w:val="21"/>
        </w:rPr>
        <w:t>sever roots when they </w:t>
      </w:r>
      <w:r>
        <w:rPr>
          <w:spacing w:val="-3"/>
          <w:sz w:val="21"/>
        </w:rPr>
        <w:t>travel </w:t>
      </w:r>
      <w:r>
        <w:rPr>
          <w:sz w:val="21"/>
        </w:rPr>
        <w:t>across </w:t>
      </w:r>
      <w:r>
        <w:rPr>
          <w:spacing w:val="-3"/>
          <w:sz w:val="21"/>
        </w:rPr>
        <w:t>multiple </w:t>
      </w:r>
      <w:r>
        <w:rPr>
          <w:sz w:val="21"/>
        </w:rPr>
        <w:t>properties. For </w:t>
      </w:r>
      <w:r>
        <w:rPr>
          <w:spacing w:val="-3"/>
          <w:sz w:val="21"/>
        </w:rPr>
        <w:t>example, </w:t>
      </w:r>
      <w:r>
        <w:rPr>
          <w:sz w:val="21"/>
        </w:rPr>
        <w:t>where each property’s sewer connects  </w:t>
      </w:r>
      <w:r>
        <w:rPr>
          <w:spacing w:val="-3"/>
          <w:sz w:val="21"/>
        </w:rPr>
        <w:t>to </w:t>
      </w:r>
      <w:r>
        <w:rPr>
          <w:sz w:val="21"/>
        </w:rPr>
        <w:t>a </w:t>
      </w:r>
      <w:r>
        <w:rPr>
          <w:spacing w:val="-2"/>
          <w:sz w:val="21"/>
        </w:rPr>
        <w:t>common </w:t>
      </w:r>
      <w:r>
        <w:rPr>
          <w:spacing w:val="-3"/>
          <w:sz w:val="21"/>
        </w:rPr>
        <w:t>main, </w:t>
      </w:r>
      <w:r>
        <w:rPr>
          <w:sz w:val="21"/>
        </w:rPr>
        <w:t>and an application is made over roots </w:t>
      </w:r>
      <w:r>
        <w:rPr>
          <w:spacing w:val="-3"/>
          <w:sz w:val="21"/>
        </w:rPr>
        <w:t>entering </w:t>
      </w:r>
      <w:r>
        <w:rPr>
          <w:sz w:val="21"/>
        </w:rPr>
        <w:t>old pipes on one property, this </w:t>
      </w:r>
      <w:r>
        <w:rPr>
          <w:spacing w:val="-3"/>
          <w:sz w:val="21"/>
        </w:rPr>
        <w:t>may require </w:t>
      </w:r>
      <w:r>
        <w:rPr>
          <w:spacing w:val="-2"/>
          <w:sz w:val="21"/>
        </w:rPr>
        <w:t>intervention </w:t>
      </w:r>
      <w:r>
        <w:rPr>
          <w:spacing w:val="-3"/>
          <w:sz w:val="21"/>
        </w:rPr>
        <w:t>that involves </w:t>
      </w:r>
      <w:r>
        <w:rPr>
          <w:sz w:val="21"/>
        </w:rPr>
        <w:t>cutting </w:t>
      </w:r>
      <w:r>
        <w:rPr>
          <w:spacing w:val="-4"/>
          <w:sz w:val="21"/>
        </w:rPr>
        <w:t>into new, </w:t>
      </w:r>
      <w:r>
        <w:rPr>
          <w:sz w:val="21"/>
        </w:rPr>
        <w:t>re-sleeved pipes of other properties and </w:t>
      </w:r>
      <w:r>
        <w:rPr>
          <w:spacing w:val="-3"/>
          <w:sz w:val="21"/>
        </w:rPr>
        <w:t>excavating </w:t>
      </w:r>
      <w:r>
        <w:rPr>
          <w:sz w:val="21"/>
        </w:rPr>
        <w:t>unaffected</w:t>
      </w:r>
      <w:r>
        <w:rPr>
          <w:spacing w:val="4"/>
          <w:sz w:val="21"/>
        </w:rPr>
        <w:t> </w:t>
      </w:r>
      <w:r>
        <w:rPr>
          <w:spacing w:val="-5"/>
          <w:sz w:val="21"/>
        </w:rPr>
        <w:t>land.</w:t>
      </w:r>
      <w:r>
        <w:rPr>
          <w:spacing w:val="-5"/>
          <w:position w:val="7"/>
          <w:sz w:val="12"/>
        </w:rPr>
        <w:t>167</w:t>
      </w:r>
    </w:p>
    <w:p>
      <w:pPr>
        <w:pStyle w:val="BodyText"/>
        <w:rPr>
          <w:sz w:val="20"/>
        </w:rPr>
      </w:pPr>
    </w:p>
    <w:p>
      <w:pPr>
        <w:pStyle w:val="BodyText"/>
        <w:spacing w:before="7"/>
        <w:rPr>
          <w:sz w:val="14"/>
        </w:rPr>
      </w:pPr>
      <w:r>
        <w:rPr/>
        <w:pict>
          <v:line style="position:absolute;mso-position-horizontal-relative:page;mso-position-vertical-relative:paragraph;z-index:4040;mso-wrap-distance-left:0;mso-wrap-distance-right:0" from="79.370102pt,11.391345pt" to="515.905102pt,11.391345pt" stroked="true" strokeweight="1pt" strokecolor="#c9d2cb">
            <v:stroke dashstyle="solid"/>
            <w10:wrap type="topAndBottom"/>
          </v:line>
        </w:pict>
      </w:r>
    </w:p>
    <w:p>
      <w:pPr>
        <w:pStyle w:val="ListParagraph"/>
        <w:numPr>
          <w:ilvl w:val="0"/>
          <w:numId w:val="52"/>
        </w:numPr>
        <w:tabs>
          <w:tab w:pos="2380" w:val="left" w:leader="none"/>
          <w:tab w:pos="2382" w:val="left" w:leader="none"/>
        </w:tabs>
        <w:spacing w:line="240" w:lineRule="auto" w:before="117"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NSWLEC</w:t>
      </w:r>
      <w:r>
        <w:rPr>
          <w:spacing w:val="5"/>
          <w:w w:val="105"/>
          <w:sz w:val="13"/>
        </w:rPr>
        <w:t> </w:t>
      </w:r>
      <w:r>
        <w:rPr>
          <w:w w:val="105"/>
          <w:sz w:val="13"/>
        </w:rPr>
        <w:t>to</w:t>
      </w:r>
      <w:r>
        <w:rPr>
          <w:spacing w:val="5"/>
          <w:w w:val="105"/>
          <w:sz w:val="13"/>
        </w:rPr>
        <w:t> </w:t>
      </w:r>
      <w:r>
        <w:rPr>
          <w:w w:val="105"/>
          <w:sz w:val="13"/>
        </w:rPr>
        <w:t>the</w:t>
      </w:r>
      <w:r>
        <w:rPr>
          <w:spacing w:val="4"/>
          <w:w w:val="105"/>
          <w:sz w:val="13"/>
        </w:rPr>
        <w:t> </w:t>
      </w:r>
      <w:r>
        <w:rPr>
          <w:w w:val="105"/>
          <w:sz w:val="13"/>
        </w:rPr>
        <w:t>Commission,</w:t>
      </w:r>
      <w:r>
        <w:rPr>
          <w:spacing w:val="5"/>
          <w:w w:val="105"/>
          <w:sz w:val="13"/>
        </w:rPr>
        <w:t> </w:t>
      </w:r>
      <w:r>
        <w:rPr>
          <w:w w:val="105"/>
          <w:sz w:val="13"/>
        </w:rPr>
        <w:t>4</w:t>
      </w:r>
      <w:r>
        <w:rPr>
          <w:spacing w:val="5"/>
          <w:w w:val="105"/>
          <w:sz w:val="13"/>
        </w:rPr>
        <w:t> </w:t>
      </w:r>
      <w:r>
        <w:rPr>
          <w:w w:val="105"/>
          <w:sz w:val="13"/>
        </w:rPr>
        <w:t>December</w:t>
      </w:r>
      <w:r>
        <w:rPr>
          <w:spacing w:val="5"/>
          <w:w w:val="105"/>
          <w:sz w:val="13"/>
        </w:rPr>
        <w:t> </w:t>
      </w:r>
      <w:r>
        <w:rPr>
          <w:w w:val="105"/>
          <w:sz w:val="13"/>
        </w:rPr>
        <w:t>2018.</w:t>
      </w:r>
    </w:p>
    <w:p>
      <w:pPr>
        <w:pStyle w:val="ListParagraph"/>
        <w:numPr>
          <w:ilvl w:val="0"/>
          <w:numId w:val="52"/>
        </w:numPr>
        <w:tabs>
          <w:tab w:pos="2381" w:val="left" w:leader="none"/>
          <w:tab w:pos="2382" w:val="left" w:leader="none"/>
        </w:tabs>
        <w:spacing w:line="240" w:lineRule="auto" w:before="1" w:after="0"/>
        <w:ind w:left="2381"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2"/>
          <w:w w:val="105"/>
          <w:sz w:val="13"/>
        </w:rPr>
        <w:t> </w:t>
      </w:r>
      <w:r>
        <w:rPr>
          <w:spacing w:val="5"/>
          <w:w w:val="105"/>
          <w:sz w:val="13"/>
        </w:rPr>
        <w:t>46(b)(i)-(ii).</w:t>
      </w:r>
    </w:p>
    <w:p>
      <w:pPr>
        <w:pStyle w:val="ListParagraph"/>
        <w:numPr>
          <w:ilvl w:val="0"/>
          <w:numId w:val="52"/>
        </w:numPr>
        <w:tabs>
          <w:tab w:pos="2381" w:val="left" w:leader="none"/>
          <w:tab w:pos="2382" w:val="left" w:leader="none"/>
        </w:tabs>
        <w:spacing w:line="240" w:lineRule="auto" w:before="2" w:after="0"/>
        <w:ind w:left="2381" w:right="0" w:hanging="794"/>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52"/>
        </w:numPr>
        <w:tabs>
          <w:tab w:pos="2381" w:val="left" w:leader="none"/>
          <w:tab w:pos="2382" w:val="left" w:leader="none"/>
        </w:tabs>
        <w:spacing w:line="240" w:lineRule="auto" w:before="1" w:after="0"/>
        <w:ind w:left="1587" w:right="6109" w:firstLine="0"/>
        <w:jc w:val="left"/>
        <w:rPr>
          <w:sz w:val="13"/>
        </w:rPr>
      </w:pPr>
      <w:r>
        <w:rPr>
          <w:i/>
          <w:w w:val="105"/>
          <w:sz w:val="13"/>
        </w:rPr>
        <w:t>Neighbourhood Disputes About Plants Act </w:t>
      </w:r>
      <w:r>
        <w:rPr>
          <w:i/>
          <w:spacing w:val="-4"/>
          <w:w w:val="105"/>
          <w:sz w:val="13"/>
        </w:rPr>
        <w:t>2017 </w:t>
      </w:r>
      <w:r>
        <w:rPr>
          <w:w w:val="105"/>
          <w:sz w:val="13"/>
        </w:rPr>
        <w:t>(Tas) s </w:t>
      </w:r>
      <w:r>
        <w:rPr>
          <w:spacing w:val="3"/>
          <w:w w:val="105"/>
          <w:sz w:val="13"/>
        </w:rPr>
        <w:t>7(4). </w:t>
      </w:r>
      <w:r>
        <w:rPr>
          <w:w w:val="105"/>
          <w:sz w:val="13"/>
        </w:rPr>
        <w:t>158</w:t>
        <w:tab/>
        <w:t>Ibid s</w:t>
      </w:r>
      <w:r>
        <w:rPr>
          <w:spacing w:val="8"/>
          <w:w w:val="105"/>
          <w:sz w:val="13"/>
        </w:rPr>
        <w:t> </w:t>
      </w:r>
      <w:r>
        <w:rPr>
          <w:spacing w:val="3"/>
          <w:w w:val="105"/>
          <w:sz w:val="13"/>
        </w:rPr>
        <w:t>7(6).</w:t>
      </w:r>
    </w:p>
    <w:p>
      <w:pPr>
        <w:pStyle w:val="ListParagraph"/>
        <w:numPr>
          <w:ilvl w:val="0"/>
          <w:numId w:val="54"/>
        </w:numPr>
        <w:tabs>
          <w:tab w:pos="2381" w:val="left" w:leader="none"/>
          <w:tab w:pos="2382" w:val="left" w:leader="none"/>
        </w:tabs>
        <w:spacing w:line="240" w:lineRule="auto" w:before="3" w:after="0"/>
        <w:ind w:left="2381" w:right="0" w:hanging="794"/>
        <w:jc w:val="left"/>
        <w:rPr>
          <w:sz w:val="13"/>
        </w:rPr>
      </w:pPr>
      <w:r>
        <w:rPr>
          <w:w w:val="105"/>
          <w:sz w:val="13"/>
        </w:rPr>
        <w:t>Parliament of Tasmania, </w:t>
      </w:r>
      <w:r>
        <w:rPr>
          <w:i/>
          <w:w w:val="105"/>
          <w:sz w:val="13"/>
        </w:rPr>
        <w:t>Parliamentary Debates</w:t>
      </w:r>
      <w:r>
        <w:rPr>
          <w:w w:val="105"/>
          <w:sz w:val="13"/>
        </w:rPr>
        <w:t>, Legislative Council, 22 June </w:t>
      </w:r>
      <w:r>
        <w:rPr>
          <w:spacing w:val="-5"/>
          <w:w w:val="105"/>
          <w:sz w:val="13"/>
        </w:rPr>
        <w:t>2017, </w:t>
      </w:r>
      <w:r>
        <w:rPr>
          <w:w w:val="105"/>
          <w:sz w:val="13"/>
        </w:rPr>
        <w:t>5 </w:t>
      </w:r>
      <w:r>
        <w:rPr>
          <w:spacing w:val="2"/>
          <w:w w:val="105"/>
          <w:sz w:val="13"/>
        </w:rPr>
        <w:t>(Leonie</w:t>
      </w:r>
      <w:r>
        <w:rPr>
          <w:spacing w:val="34"/>
          <w:w w:val="105"/>
          <w:sz w:val="13"/>
        </w:rPr>
        <w:t> </w:t>
      </w:r>
      <w:r>
        <w:rPr>
          <w:w w:val="105"/>
          <w:sz w:val="13"/>
        </w:rPr>
        <w:t>Hiscuitt).</w:t>
      </w:r>
    </w:p>
    <w:p>
      <w:pPr>
        <w:pStyle w:val="ListParagraph"/>
        <w:numPr>
          <w:ilvl w:val="0"/>
          <w:numId w:val="54"/>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5"/>
          <w:w w:val="105"/>
          <w:sz w:val="13"/>
        </w:rPr>
        <w:t> </w:t>
      </w:r>
      <w:r>
        <w:rPr>
          <w:w w:val="105"/>
          <w:sz w:val="13"/>
        </w:rPr>
        <w:t>2</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6</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spacing w:val="-6"/>
          <w:w w:val="105"/>
          <w:sz w:val="13"/>
        </w:rPr>
        <w:t>11</w:t>
      </w:r>
      <w:r>
        <w:rPr>
          <w:spacing w:val="5"/>
          <w:w w:val="105"/>
          <w:sz w:val="13"/>
        </w:rPr>
        <w:t> </w:t>
      </w:r>
      <w:r>
        <w:rPr>
          <w:spacing w:val="2"/>
          <w:w w:val="105"/>
          <w:sz w:val="13"/>
        </w:rPr>
        <w:t>(Name</w:t>
      </w:r>
      <w:r>
        <w:rPr>
          <w:spacing w:val="6"/>
          <w:w w:val="105"/>
          <w:sz w:val="13"/>
        </w:rPr>
        <w:t> </w:t>
      </w:r>
      <w:r>
        <w:rPr>
          <w:w w:val="105"/>
          <w:sz w:val="13"/>
        </w:rPr>
        <w:t>withheld),</w:t>
      </w:r>
      <w:r>
        <w:rPr>
          <w:spacing w:val="5"/>
          <w:w w:val="105"/>
          <w:sz w:val="13"/>
        </w:rPr>
        <w:t> </w:t>
      </w:r>
      <w:r>
        <w:rPr>
          <w:w w:val="105"/>
          <w:sz w:val="13"/>
        </w:rPr>
        <w:t>33</w:t>
      </w:r>
      <w:r>
        <w:rPr>
          <w:spacing w:val="5"/>
          <w:w w:val="105"/>
          <w:sz w:val="13"/>
        </w:rPr>
        <w:t> </w:t>
      </w:r>
      <w:r>
        <w:rPr>
          <w:w w:val="105"/>
          <w:sz w:val="13"/>
        </w:rPr>
        <w:t>(Annette</w:t>
      </w:r>
      <w:r>
        <w:rPr>
          <w:spacing w:val="5"/>
          <w:w w:val="105"/>
          <w:sz w:val="13"/>
        </w:rPr>
        <w:t> </w:t>
      </w:r>
      <w:r>
        <w:rPr>
          <w:spacing w:val="2"/>
          <w:w w:val="105"/>
          <w:sz w:val="13"/>
        </w:rPr>
        <w:t>Neville);</w:t>
      </w:r>
      <w:r>
        <w:rPr>
          <w:spacing w:val="5"/>
          <w:w w:val="105"/>
          <w:sz w:val="13"/>
        </w:rPr>
        <w:t> </w:t>
      </w:r>
      <w:r>
        <w:rPr>
          <w:w w:val="105"/>
          <w:sz w:val="13"/>
        </w:rPr>
        <w:t>Consultation</w:t>
      </w:r>
      <w:r>
        <w:rPr>
          <w:spacing w:val="5"/>
          <w:w w:val="105"/>
          <w:sz w:val="13"/>
        </w:rPr>
        <w:t> </w:t>
      </w:r>
      <w:r>
        <w:rPr>
          <w:w w:val="105"/>
          <w:sz w:val="13"/>
        </w:rPr>
        <w:t>8</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p>
    <w:p>
      <w:pPr>
        <w:pStyle w:val="ListParagraph"/>
        <w:numPr>
          <w:ilvl w:val="0"/>
          <w:numId w:val="54"/>
        </w:numPr>
        <w:tabs>
          <w:tab w:pos="2381" w:val="left" w:leader="none"/>
          <w:tab w:pos="2382" w:val="left" w:leader="none"/>
        </w:tabs>
        <w:spacing w:line="240" w:lineRule="auto" w:before="1" w:after="0"/>
        <w:ind w:left="2381" w:right="1731" w:hanging="794"/>
        <w:jc w:val="left"/>
        <w:rPr>
          <w:sz w:val="13"/>
        </w:rPr>
      </w:pPr>
      <w:r>
        <w:rPr>
          <w:w w:val="105"/>
          <w:sz w:val="13"/>
        </w:rPr>
        <w:t>Submissions 6 </w:t>
      </w:r>
      <w:r>
        <w:rPr>
          <w:spacing w:val="2"/>
          <w:w w:val="105"/>
          <w:sz w:val="13"/>
        </w:rPr>
        <w:t>(Name </w:t>
      </w:r>
      <w:r>
        <w:rPr>
          <w:w w:val="105"/>
          <w:sz w:val="13"/>
        </w:rPr>
        <w:t>withheld), 10 (Professor Phillip Hamilton), 21 (Pointon Partners </w:t>
      </w:r>
      <w:r>
        <w:rPr>
          <w:spacing w:val="2"/>
          <w:w w:val="105"/>
          <w:sz w:val="13"/>
        </w:rPr>
        <w:t>Lawyers), </w:t>
      </w:r>
      <w:r>
        <w:rPr>
          <w:w w:val="105"/>
          <w:sz w:val="13"/>
        </w:rPr>
        <w:t>23 </w:t>
      </w:r>
      <w:r>
        <w:rPr>
          <w:spacing w:val="2"/>
          <w:w w:val="105"/>
          <w:sz w:val="13"/>
        </w:rPr>
        <w:t>(Name </w:t>
      </w:r>
      <w:r>
        <w:rPr>
          <w:w w:val="105"/>
          <w:sz w:val="13"/>
        </w:rPr>
        <w:t>withheld); 27 </w:t>
      </w:r>
      <w:r>
        <w:rPr>
          <w:spacing w:val="2"/>
          <w:w w:val="105"/>
          <w:sz w:val="13"/>
        </w:rPr>
        <w:t>(Name </w:t>
      </w:r>
      <w:r>
        <w:rPr>
          <w:w w:val="105"/>
          <w:sz w:val="13"/>
        </w:rPr>
        <w:t>withheld), 38 </w:t>
      </w:r>
      <w:r>
        <w:rPr>
          <w:spacing w:val="3"/>
          <w:w w:val="105"/>
          <w:sz w:val="13"/>
        </w:rPr>
        <w:t>(L. </w:t>
      </w:r>
      <w:r>
        <w:rPr>
          <w:spacing w:val="2"/>
          <w:w w:val="105"/>
          <w:sz w:val="13"/>
        </w:rPr>
        <w:t>Barry </w:t>
      </w:r>
      <w:r>
        <w:rPr>
          <w:w w:val="105"/>
          <w:sz w:val="13"/>
        </w:rPr>
        <w:t>Wollmer); Consultation </w:t>
      </w:r>
      <w:r>
        <w:rPr>
          <w:spacing w:val="-3"/>
          <w:w w:val="105"/>
          <w:sz w:val="13"/>
        </w:rPr>
        <w:t>14 </w:t>
      </w:r>
      <w:r>
        <w:rPr>
          <w:spacing w:val="2"/>
          <w:w w:val="105"/>
          <w:sz w:val="13"/>
        </w:rPr>
        <w:t>(Robert</w:t>
      </w:r>
      <w:r>
        <w:rPr>
          <w:spacing w:val="29"/>
          <w:w w:val="105"/>
          <w:sz w:val="13"/>
        </w:rPr>
        <w:t> </w:t>
      </w:r>
      <w:r>
        <w:rPr>
          <w:spacing w:val="2"/>
          <w:w w:val="105"/>
          <w:sz w:val="13"/>
        </w:rPr>
        <w:t>Mineo).</w:t>
      </w:r>
    </w:p>
    <w:p>
      <w:pPr>
        <w:pStyle w:val="ListParagraph"/>
        <w:numPr>
          <w:ilvl w:val="0"/>
          <w:numId w:val="54"/>
        </w:numPr>
        <w:tabs>
          <w:tab w:pos="2381" w:val="left" w:leader="none"/>
          <w:tab w:pos="2382" w:val="left" w:leader="none"/>
        </w:tabs>
        <w:spacing w:line="240" w:lineRule="auto" w:before="3" w:after="0"/>
        <w:ind w:left="2381" w:right="0" w:hanging="794"/>
        <w:jc w:val="left"/>
        <w:rPr>
          <w:sz w:val="13"/>
        </w:rPr>
      </w:pPr>
      <w:r>
        <w:rPr>
          <w:w w:val="105"/>
          <w:sz w:val="13"/>
        </w:rPr>
        <w:t>Submissions </w:t>
      </w:r>
      <w:r>
        <w:rPr>
          <w:spacing w:val="-4"/>
          <w:w w:val="105"/>
          <w:sz w:val="13"/>
        </w:rPr>
        <w:t>12 </w:t>
      </w:r>
      <w:r>
        <w:rPr>
          <w:spacing w:val="3"/>
          <w:w w:val="105"/>
          <w:sz w:val="13"/>
        </w:rPr>
        <w:t>(Dr </w:t>
      </w:r>
      <w:r>
        <w:rPr>
          <w:w w:val="105"/>
          <w:sz w:val="13"/>
        </w:rPr>
        <w:t>Gregory Moore </w:t>
      </w:r>
      <w:r>
        <w:rPr>
          <w:spacing w:val="2"/>
          <w:w w:val="105"/>
          <w:sz w:val="13"/>
        </w:rPr>
        <w:t>OAM), </w:t>
      </w:r>
      <w:r>
        <w:rPr>
          <w:w w:val="105"/>
          <w:sz w:val="13"/>
        </w:rPr>
        <w:t>29 (David Galwey); Consultation </w:t>
      </w:r>
      <w:r>
        <w:rPr>
          <w:spacing w:val="-3"/>
          <w:w w:val="105"/>
          <w:sz w:val="13"/>
        </w:rPr>
        <w:t>14 </w:t>
      </w:r>
      <w:r>
        <w:rPr>
          <w:spacing w:val="2"/>
          <w:w w:val="105"/>
          <w:sz w:val="13"/>
        </w:rPr>
        <w:t>(Robert</w:t>
      </w:r>
      <w:r>
        <w:rPr>
          <w:spacing w:val="33"/>
          <w:w w:val="105"/>
          <w:sz w:val="13"/>
        </w:rPr>
        <w:t> </w:t>
      </w:r>
      <w:r>
        <w:rPr>
          <w:spacing w:val="2"/>
          <w:w w:val="105"/>
          <w:sz w:val="13"/>
        </w:rPr>
        <w:t>Mineo).</w:t>
      </w:r>
    </w:p>
    <w:p>
      <w:pPr>
        <w:pStyle w:val="ListParagraph"/>
        <w:numPr>
          <w:ilvl w:val="0"/>
          <w:numId w:val="54"/>
        </w:numPr>
        <w:tabs>
          <w:tab w:pos="2381" w:val="left" w:leader="none"/>
          <w:tab w:pos="2382" w:val="left" w:leader="none"/>
        </w:tabs>
        <w:spacing w:line="240" w:lineRule="auto" w:before="1" w:after="0"/>
        <w:ind w:left="1587" w:right="5398" w:firstLine="0"/>
        <w:jc w:val="left"/>
        <w:rPr>
          <w:sz w:val="13"/>
        </w:rPr>
      </w:pPr>
      <w:r>
        <w:rPr>
          <w:w w:val="105"/>
          <w:sz w:val="13"/>
        </w:rPr>
        <w:t>Information provided by NSWLEC to the Commission, 4 December 2018. 164</w:t>
        <w:tab/>
        <w:t>Consultation </w:t>
      </w:r>
      <w:r>
        <w:rPr>
          <w:spacing w:val="-3"/>
          <w:w w:val="105"/>
          <w:sz w:val="13"/>
        </w:rPr>
        <w:t>14 </w:t>
      </w:r>
      <w:r>
        <w:rPr>
          <w:spacing w:val="2"/>
          <w:w w:val="105"/>
          <w:sz w:val="13"/>
        </w:rPr>
        <w:t>(Robert</w:t>
      </w:r>
      <w:r>
        <w:rPr>
          <w:spacing w:val="16"/>
          <w:w w:val="105"/>
          <w:sz w:val="13"/>
        </w:rPr>
        <w:t> </w:t>
      </w:r>
      <w:r>
        <w:rPr>
          <w:spacing w:val="2"/>
          <w:w w:val="105"/>
          <w:sz w:val="13"/>
        </w:rPr>
        <w:t>Mineo).</w:t>
      </w:r>
    </w:p>
    <w:p>
      <w:pPr>
        <w:pStyle w:val="ListParagraph"/>
        <w:numPr>
          <w:ilvl w:val="0"/>
          <w:numId w:val="55"/>
        </w:numPr>
        <w:tabs>
          <w:tab w:pos="2381" w:val="left" w:leader="none"/>
          <w:tab w:pos="2382" w:val="left" w:leader="none"/>
        </w:tabs>
        <w:spacing w:line="240" w:lineRule="auto" w:before="3" w:after="0"/>
        <w:ind w:left="2381" w:right="0" w:hanging="794"/>
        <w:jc w:val="left"/>
        <w:rPr>
          <w:sz w:val="13"/>
        </w:rPr>
      </w:pPr>
      <w:r>
        <w:rPr>
          <w:w w:val="105"/>
          <w:sz w:val="13"/>
        </w:rPr>
        <w:t>Consultation </w:t>
      </w:r>
      <w:r>
        <w:rPr>
          <w:spacing w:val="-3"/>
          <w:w w:val="105"/>
          <w:sz w:val="13"/>
        </w:rPr>
        <w:t>14 </w:t>
      </w:r>
      <w:r>
        <w:rPr>
          <w:spacing w:val="2"/>
          <w:w w:val="105"/>
          <w:sz w:val="13"/>
        </w:rPr>
        <w:t>(Robert</w:t>
      </w:r>
      <w:r>
        <w:rPr>
          <w:spacing w:val="16"/>
          <w:w w:val="105"/>
          <w:sz w:val="13"/>
        </w:rPr>
        <w:t> </w:t>
      </w:r>
      <w:r>
        <w:rPr>
          <w:spacing w:val="2"/>
          <w:w w:val="105"/>
          <w:sz w:val="13"/>
        </w:rPr>
        <w:t>Mineo).</w:t>
      </w:r>
    </w:p>
    <w:p>
      <w:pPr>
        <w:pStyle w:val="ListParagraph"/>
        <w:numPr>
          <w:ilvl w:val="0"/>
          <w:numId w:val="55"/>
        </w:numPr>
        <w:tabs>
          <w:tab w:pos="2381" w:val="left" w:leader="none"/>
          <w:tab w:pos="2382" w:val="left" w:leader="none"/>
        </w:tabs>
        <w:spacing w:line="240" w:lineRule="auto" w:before="1" w:after="0"/>
        <w:ind w:left="2381" w:right="0" w:hanging="794"/>
        <w:jc w:val="left"/>
        <w:rPr>
          <w:sz w:val="13"/>
        </w:rPr>
      </w:pPr>
      <w:r>
        <w:rPr/>
        <w:pict>
          <v:shape style="position:absolute;margin-left:549.038513pt;margin-top:3.000865pt;width:12.9pt;height:14.25pt;mso-position-horizontal-relative:page;mso-position-vertical-relative:paragraph;z-index:6112" type="#_x0000_t202" filled="false" stroked="false">
            <v:textbox inset="0,0,0,0">
              <w:txbxContent>
                <w:p>
                  <w:pPr>
                    <w:spacing w:line="284" w:lineRule="exact" w:before="0"/>
                    <w:ind w:left="0" w:right="0" w:firstLine="0"/>
                    <w:jc w:val="left"/>
                    <w:rPr>
                      <w:b/>
                      <w:sz w:val="24"/>
                    </w:rPr>
                  </w:pPr>
                  <w:r>
                    <w:rPr>
                      <w:b/>
                      <w:color w:val="658464"/>
                      <w:spacing w:val="-5"/>
                      <w:w w:val="110"/>
                      <w:sz w:val="24"/>
                    </w:rPr>
                    <w:t>81</w:t>
                  </w:r>
                </w:p>
              </w:txbxContent>
            </v:textbox>
            <w10:wrap type="none"/>
          </v:shape>
        </w:pict>
      </w:r>
      <w:r>
        <w:rPr>
          <w:w w:val="105"/>
          <w:sz w:val="13"/>
        </w:rPr>
        <w:t>Confidential</w:t>
      </w:r>
      <w:r>
        <w:rPr>
          <w:spacing w:val="4"/>
          <w:w w:val="105"/>
          <w:sz w:val="13"/>
        </w:rPr>
        <w:t> </w:t>
      </w:r>
      <w:r>
        <w:rPr>
          <w:w w:val="105"/>
          <w:sz w:val="13"/>
        </w:rPr>
        <w:t>submission.</w:t>
      </w:r>
    </w:p>
    <w:p>
      <w:pPr>
        <w:pStyle w:val="ListParagraph"/>
        <w:numPr>
          <w:ilvl w:val="0"/>
          <w:numId w:val="55"/>
        </w:numPr>
        <w:tabs>
          <w:tab w:pos="2381" w:val="left" w:leader="none"/>
          <w:tab w:pos="2382" w:val="left" w:leader="none"/>
        </w:tabs>
        <w:spacing w:line="240" w:lineRule="auto" w:before="2"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NSWLEC</w:t>
      </w:r>
      <w:r>
        <w:rPr>
          <w:spacing w:val="5"/>
          <w:w w:val="105"/>
          <w:sz w:val="13"/>
        </w:rPr>
        <w:t> </w:t>
      </w:r>
      <w:r>
        <w:rPr>
          <w:w w:val="105"/>
          <w:sz w:val="13"/>
        </w:rPr>
        <w:t>to</w:t>
      </w:r>
      <w:r>
        <w:rPr>
          <w:spacing w:val="5"/>
          <w:w w:val="105"/>
          <w:sz w:val="13"/>
        </w:rPr>
        <w:t> </w:t>
      </w:r>
      <w:r>
        <w:rPr>
          <w:w w:val="105"/>
          <w:sz w:val="13"/>
        </w:rPr>
        <w:t>the</w:t>
      </w:r>
      <w:r>
        <w:rPr>
          <w:spacing w:val="4"/>
          <w:w w:val="105"/>
          <w:sz w:val="13"/>
        </w:rPr>
        <w:t> </w:t>
      </w:r>
      <w:r>
        <w:rPr>
          <w:w w:val="105"/>
          <w:sz w:val="13"/>
        </w:rPr>
        <w:t>Commission,</w:t>
      </w:r>
      <w:r>
        <w:rPr>
          <w:spacing w:val="5"/>
          <w:w w:val="105"/>
          <w:sz w:val="13"/>
        </w:rPr>
        <w:t> </w:t>
      </w:r>
      <w:r>
        <w:rPr>
          <w:w w:val="105"/>
          <w:sz w:val="13"/>
        </w:rPr>
        <w:t>4</w:t>
      </w:r>
      <w:r>
        <w:rPr>
          <w:spacing w:val="5"/>
          <w:w w:val="105"/>
          <w:sz w:val="13"/>
        </w:rPr>
        <w:t> </w:t>
      </w:r>
      <w:r>
        <w:rPr>
          <w:w w:val="105"/>
          <w:sz w:val="13"/>
        </w:rPr>
        <w:t>December</w:t>
      </w:r>
      <w:r>
        <w:rPr>
          <w:spacing w:val="5"/>
          <w:w w:val="105"/>
          <w:sz w:val="13"/>
        </w:rPr>
        <w:t> </w:t>
      </w:r>
      <w:r>
        <w:rPr>
          <w:w w:val="105"/>
          <w:sz w:val="13"/>
        </w:rPr>
        <w:t>2018.</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16"/>
        </w:numPr>
        <w:tabs>
          <w:tab w:pos="2380" w:val="left" w:leader="none"/>
          <w:tab w:pos="2381" w:val="left" w:leader="none"/>
        </w:tabs>
        <w:spacing w:line="242" w:lineRule="auto" w:before="92" w:after="0"/>
        <w:ind w:left="2381" w:right="1655" w:hanging="794"/>
        <w:jc w:val="left"/>
        <w:rPr>
          <w:sz w:val="21"/>
        </w:rPr>
      </w:pPr>
      <w:r>
        <w:rPr>
          <w:w w:val="105"/>
          <w:sz w:val="21"/>
        </w:rPr>
        <w:t>The </w:t>
      </w:r>
      <w:r>
        <w:rPr>
          <w:spacing w:val="-3"/>
          <w:w w:val="105"/>
          <w:sz w:val="21"/>
        </w:rPr>
        <w:t>City </w:t>
      </w:r>
      <w:r>
        <w:rPr>
          <w:w w:val="105"/>
          <w:sz w:val="21"/>
        </w:rPr>
        <w:t>of </w:t>
      </w:r>
      <w:r>
        <w:rPr>
          <w:spacing w:val="-3"/>
          <w:w w:val="105"/>
          <w:sz w:val="21"/>
        </w:rPr>
        <w:t>Boroondara favoured limiting </w:t>
      </w:r>
      <w:r>
        <w:rPr>
          <w:w w:val="105"/>
          <w:sz w:val="21"/>
        </w:rPr>
        <w:t>legal action </w:t>
      </w:r>
      <w:r>
        <w:rPr>
          <w:spacing w:val="-3"/>
          <w:w w:val="105"/>
          <w:sz w:val="21"/>
        </w:rPr>
        <w:t>to </w:t>
      </w:r>
      <w:r>
        <w:rPr>
          <w:w w:val="105"/>
          <w:sz w:val="21"/>
        </w:rPr>
        <w:t>neighbours with </w:t>
      </w:r>
      <w:r>
        <w:rPr>
          <w:spacing w:val="-3"/>
          <w:w w:val="105"/>
          <w:sz w:val="21"/>
        </w:rPr>
        <w:t>adjoining land.  </w:t>
      </w:r>
      <w:r>
        <w:rPr>
          <w:w w:val="105"/>
          <w:sz w:val="21"/>
        </w:rPr>
        <w:t>It </w:t>
      </w:r>
      <w:r>
        <w:rPr>
          <w:spacing w:val="-3"/>
          <w:w w:val="105"/>
          <w:sz w:val="21"/>
        </w:rPr>
        <w:t>considered that </w:t>
      </w:r>
      <w:r>
        <w:rPr>
          <w:w w:val="105"/>
          <w:sz w:val="21"/>
        </w:rPr>
        <w:t>the </w:t>
      </w:r>
      <w:r>
        <w:rPr>
          <w:spacing w:val="-4"/>
          <w:w w:val="105"/>
          <w:sz w:val="21"/>
        </w:rPr>
        <w:t>Tasmanian </w:t>
      </w:r>
      <w:r>
        <w:rPr>
          <w:w w:val="105"/>
          <w:sz w:val="21"/>
        </w:rPr>
        <w:t>approach </w:t>
      </w:r>
      <w:r>
        <w:rPr>
          <w:spacing w:val="-3"/>
          <w:w w:val="105"/>
          <w:sz w:val="21"/>
        </w:rPr>
        <w:t>may </w:t>
      </w:r>
      <w:r>
        <w:rPr>
          <w:w w:val="105"/>
          <w:sz w:val="21"/>
        </w:rPr>
        <w:t>be too broad and </w:t>
      </w:r>
      <w:r>
        <w:rPr>
          <w:spacing w:val="-3"/>
          <w:w w:val="105"/>
          <w:sz w:val="21"/>
        </w:rPr>
        <w:t>that </w:t>
      </w:r>
      <w:r>
        <w:rPr>
          <w:w w:val="105"/>
          <w:sz w:val="21"/>
        </w:rPr>
        <w:t>it would be </w:t>
      </w:r>
      <w:r>
        <w:rPr>
          <w:spacing w:val="-3"/>
          <w:w w:val="105"/>
          <w:sz w:val="21"/>
        </w:rPr>
        <w:t>hard to </w:t>
      </w:r>
      <w:r>
        <w:rPr>
          <w:w w:val="105"/>
          <w:sz w:val="21"/>
        </w:rPr>
        <w:t>ascertain the direct impact of the </w:t>
      </w:r>
      <w:r>
        <w:rPr>
          <w:spacing w:val="-3"/>
          <w:w w:val="105"/>
          <w:sz w:val="21"/>
        </w:rPr>
        <w:t>tree. </w:t>
      </w:r>
      <w:r>
        <w:rPr>
          <w:w w:val="105"/>
          <w:sz w:val="21"/>
        </w:rPr>
        <w:t>There </w:t>
      </w:r>
      <w:r>
        <w:rPr>
          <w:spacing w:val="-3"/>
          <w:w w:val="105"/>
          <w:sz w:val="21"/>
        </w:rPr>
        <w:t>may </w:t>
      </w:r>
      <w:r>
        <w:rPr>
          <w:w w:val="105"/>
          <w:sz w:val="21"/>
        </w:rPr>
        <w:t>be </w:t>
      </w:r>
      <w:r>
        <w:rPr>
          <w:spacing w:val="-3"/>
          <w:w w:val="105"/>
          <w:sz w:val="21"/>
        </w:rPr>
        <w:t>situations </w:t>
      </w:r>
      <w:r>
        <w:rPr>
          <w:w w:val="105"/>
          <w:sz w:val="21"/>
        </w:rPr>
        <w:t>where a tree </w:t>
      </w:r>
      <w:r>
        <w:rPr>
          <w:spacing w:val="-3"/>
          <w:w w:val="105"/>
          <w:sz w:val="21"/>
        </w:rPr>
        <w:t>may </w:t>
      </w:r>
      <w:r>
        <w:rPr>
          <w:w w:val="105"/>
          <w:sz w:val="21"/>
        </w:rPr>
        <w:t>affect </w:t>
      </w:r>
      <w:r>
        <w:rPr>
          <w:spacing w:val="-3"/>
          <w:w w:val="105"/>
          <w:sz w:val="21"/>
        </w:rPr>
        <w:t>neighbouring land </w:t>
      </w:r>
      <w:r>
        <w:rPr>
          <w:w w:val="105"/>
          <w:sz w:val="21"/>
        </w:rPr>
        <w:t>without </w:t>
      </w:r>
      <w:r>
        <w:rPr>
          <w:spacing w:val="-3"/>
          <w:w w:val="105"/>
          <w:sz w:val="21"/>
        </w:rPr>
        <w:t>physically encroaching </w:t>
      </w:r>
      <w:r>
        <w:rPr>
          <w:w w:val="105"/>
          <w:sz w:val="21"/>
        </w:rPr>
        <w:t>on it in </w:t>
      </w:r>
      <w:r>
        <w:rPr>
          <w:spacing w:val="-3"/>
          <w:w w:val="105"/>
          <w:sz w:val="21"/>
        </w:rPr>
        <w:t>any </w:t>
      </w:r>
      <w:r>
        <w:rPr>
          <w:spacing w:val="-5"/>
          <w:w w:val="105"/>
          <w:sz w:val="21"/>
        </w:rPr>
        <w:t>way, </w:t>
      </w:r>
      <w:r>
        <w:rPr>
          <w:spacing w:val="-3"/>
          <w:w w:val="105"/>
          <w:sz w:val="21"/>
        </w:rPr>
        <w:t>such </w:t>
      </w:r>
      <w:r>
        <w:rPr>
          <w:w w:val="105"/>
          <w:sz w:val="21"/>
        </w:rPr>
        <w:t>as in the context of soil </w:t>
      </w:r>
      <w:r>
        <w:rPr>
          <w:spacing w:val="-4"/>
          <w:w w:val="105"/>
          <w:sz w:val="21"/>
        </w:rPr>
        <w:t>hydrology, </w:t>
      </w:r>
      <w:r>
        <w:rPr>
          <w:w w:val="105"/>
          <w:sz w:val="21"/>
        </w:rPr>
        <w:t>where a tree </w:t>
      </w:r>
      <w:r>
        <w:rPr>
          <w:spacing w:val="-3"/>
          <w:w w:val="105"/>
          <w:sz w:val="21"/>
        </w:rPr>
        <w:t>may remove water from neighbouring soil, </w:t>
      </w:r>
      <w:r>
        <w:rPr>
          <w:w w:val="105"/>
          <w:sz w:val="21"/>
        </w:rPr>
        <w:t>which can </w:t>
      </w:r>
      <w:r>
        <w:rPr>
          <w:spacing w:val="-3"/>
          <w:w w:val="105"/>
          <w:sz w:val="21"/>
        </w:rPr>
        <w:t>compromise </w:t>
      </w:r>
      <w:r>
        <w:rPr>
          <w:w w:val="105"/>
          <w:sz w:val="21"/>
        </w:rPr>
        <w:t>the </w:t>
      </w:r>
      <w:r>
        <w:rPr>
          <w:spacing w:val="-3"/>
          <w:w w:val="105"/>
          <w:sz w:val="21"/>
        </w:rPr>
        <w:t>foundations </w:t>
      </w:r>
      <w:r>
        <w:rPr>
          <w:w w:val="105"/>
          <w:sz w:val="21"/>
        </w:rPr>
        <w:t>of a </w:t>
      </w:r>
      <w:r>
        <w:rPr>
          <w:spacing w:val="-3"/>
          <w:w w:val="105"/>
          <w:sz w:val="21"/>
        </w:rPr>
        <w:t>dwelling. </w:t>
      </w:r>
      <w:r>
        <w:rPr>
          <w:w w:val="105"/>
          <w:sz w:val="21"/>
        </w:rPr>
        <w:t>In these </w:t>
      </w:r>
      <w:r>
        <w:rPr>
          <w:spacing w:val="-3"/>
          <w:w w:val="105"/>
          <w:sz w:val="21"/>
        </w:rPr>
        <w:t>situations, </w:t>
      </w:r>
      <w:r>
        <w:rPr>
          <w:w w:val="105"/>
          <w:sz w:val="21"/>
        </w:rPr>
        <w:t>it would become </w:t>
      </w:r>
      <w:r>
        <w:rPr>
          <w:spacing w:val="-3"/>
          <w:w w:val="105"/>
          <w:sz w:val="21"/>
        </w:rPr>
        <w:t>increasingly</w:t>
      </w:r>
      <w:r>
        <w:rPr>
          <w:spacing w:val="-12"/>
          <w:w w:val="105"/>
          <w:sz w:val="21"/>
        </w:rPr>
        <w:t> </w:t>
      </w:r>
      <w:r>
        <w:rPr>
          <w:w w:val="105"/>
          <w:sz w:val="21"/>
        </w:rPr>
        <w:t>difficult</w:t>
      </w:r>
      <w:r>
        <w:rPr>
          <w:spacing w:val="-11"/>
          <w:w w:val="105"/>
          <w:sz w:val="21"/>
        </w:rPr>
        <w:t> </w:t>
      </w:r>
      <w:r>
        <w:rPr>
          <w:spacing w:val="-3"/>
          <w:w w:val="105"/>
          <w:sz w:val="21"/>
        </w:rPr>
        <w:t>to</w:t>
      </w:r>
      <w:r>
        <w:rPr>
          <w:spacing w:val="-11"/>
          <w:w w:val="105"/>
          <w:sz w:val="21"/>
        </w:rPr>
        <w:t> </w:t>
      </w:r>
      <w:r>
        <w:rPr>
          <w:spacing w:val="-3"/>
          <w:w w:val="105"/>
          <w:sz w:val="21"/>
        </w:rPr>
        <w:t>prove</w:t>
      </w:r>
      <w:r>
        <w:rPr>
          <w:spacing w:val="-12"/>
          <w:w w:val="105"/>
          <w:sz w:val="21"/>
        </w:rPr>
        <w:t> </w:t>
      </w:r>
      <w:r>
        <w:rPr>
          <w:w w:val="105"/>
          <w:sz w:val="21"/>
        </w:rPr>
        <w:t>the</w:t>
      </w:r>
      <w:r>
        <w:rPr>
          <w:spacing w:val="-11"/>
          <w:w w:val="105"/>
          <w:sz w:val="21"/>
        </w:rPr>
        <w:t> </w:t>
      </w:r>
      <w:r>
        <w:rPr>
          <w:w w:val="105"/>
          <w:sz w:val="21"/>
        </w:rPr>
        <w:t>alleged</w:t>
      </w:r>
      <w:r>
        <w:rPr>
          <w:spacing w:val="-11"/>
          <w:w w:val="105"/>
          <w:sz w:val="21"/>
        </w:rPr>
        <w:t> </w:t>
      </w:r>
      <w:r>
        <w:rPr>
          <w:w w:val="105"/>
          <w:sz w:val="21"/>
        </w:rPr>
        <w:t>impact</w:t>
      </w:r>
      <w:r>
        <w:rPr>
          <w:spacing w:val="-12"/>
          <w:w w:val="105"/>
          <w:sz w:val="21"/>
        </w:rPr>
        <w:t> </w:t>
      </w:r>
      <w:r>
        <w:rPr>
          <w:w w:val="105"/>
          <w:sz w:val="21"/>
        </w:rPr>
        <w:t>of</w:t>
      </w:r>
      <w:r>
        <w:rPr>
          <w:spacing w:val="-11"/>
          <w:w w:val="105"/>
          <w:sz w:val="21"/>
        </w:rPr>
        <w:t> </w:t>
      </w:r>
      <w:r>
        <w:rPr>
          <w:w w:val="105"/>
          <w:sz w:val="21"/>
        </w:rPr>
        <w:t>a</w:t>
      </w:r>
      <w:r>
        <w:rPr>
          <w:spacing w:val="-11"/>
          <w:w w:val="105"/>
          <w:sz w:val="21"/>
        </w:rPr>
        <w:t> </w:t>
      </w:r>
      <w:r>
        <w:rPr>
          <w:w w:val="105"/>
          <w:sz w:val="21"/>
        </w:rPr>
        <w:t>tree</w:t>
      </w:r>
      <w:r>
        <w:rPr>
          <w:spacing w:val="-12"/>
          <w:w w:val="105"/>
          <w:sz w:val="21"/>
        </w:rPr>
        <w:t> </w:t>
      </w:r>
      <w:r>
        <w:rPr>
          <w:w w:val="105"/>
          <w:sz w:val="21"/>
        </w:rPr>
        <w:t>at</w:t>
      </w:r>
      <w:r>
        <w:rPr>
          <w:spacing w:val="-11"/>
          <w:w w:val="105"/>
          <w:sz w:val="21"/>
        </w:rPr>
        <w:t> </w:t>
      </w:r>
      <w:r>
        <w:rPr>
          <w:spacing w:val="-3"/>
          <w:w w:val="105"/>
          <w:sz w:val="21"/>
        </w:rPr>
        <w:t>greater</w:t>
      </w:r>
      <w:r>
        <w:rPr>
          <w:spacing w:val="-11"/>
          <w:w w:val="105"/>
          <w:sz w:val="21"/>
        </w:rPr>
        <w:t> </w:t>
      </w:r>
      <w:r>
        <w:rPr>
          <w:w w:val="105"/>
          <w:sz w:val="21"/>
        </w:rPr>
        <w:t>distances,</w:t>
      </w:r>
      <w:r>
        <w:rPr>
          <w:spacing w:val="-12"/>
          <w:w w:val="105"/>
          <w:sz w:val="21"/>
        </w:rPr>
        <w:t> </w:t>
      </w:r>
      <w:r>
        <w:rPr>
          <w:w w:val="105"/>
          <w:sz w:val="21"/>
        </w:rPr>
        <w:t>particularly in leafy </w:t>
      </w:r>
      <w:r>
        <w:rPr>
          <w:spacing w:val="-3"/>
          <w:w w:val="105"/>
          <w:sz w:val="21"/>
        </w:rPr>
        <w:t>areas </w:t>
      </w:r>
      <w:r>
        <w:rPr>
          <w:w w:val="105"/>
          <w:sz w:val="21"/>
        </w:rPr>
        <w:t>where it is difficult or impossible </w:t>
      </w:r>
      <w:r>
        <w:rPr>
          <w:spacing w:val="-3"/>
          <w:w w:val="105"/>
          <w:sz w:val="21"/>
        </w:rPr>
        <w:t>to </w:t>
      </w:r>
      <w:r>
        <w:rPr>
          <w:w w:val="105"/>
          <w:sz w:val="21"/>
        </w:rPr>
        <w:t>identify which tree is the </w:t>
      </w:r>
      <w:r>
        <w:rPr>
          <w:spacing w:val="-3"/>
          <w:w w:val="105"/>
          <w:sz w:val="21"/>
        </w:rPr>
        <w:t>source </w:t>
      </w:r>
      <w:r>
        <w:rPr>
          <w:w w:val="105"/>
          <w:sz w:val="21"/>
        </w:rPr>
        <w:t>of the </w:t>
      </w:r>
      <w:r>
        <w:rPr>
          <w:spacing w:val="-4"/>
          <w:w w:val="105"/>
          <w:sz w:val="21"/>
        </w:rPr>
        <w:t>problem.</w:t>
      </w:r>
      <w:r>
        <w:rPr>
          <w:spacing w:val="-4"/>
          <w:w w:val="105"/>
          <w:position w:val="7"/>
          <w:sz w:val="12"/>
        </w:rPr>
        <w:t>168</w:t>
      </w:r>
    </w:p>
    <w:p>
      <w:pPr>
        <w:pStyle w:val="ListParagraph"/>
        <w:numPr>
          <w:ilvl w:val="1"/>
          <w:numId w:val="16"/>
        </w:numPr>
        <w:tabs>
          <w:tab w:pos="2380" w:val="left" w:leader="none"/>
          <w:tab w:pos="2381" w:val="left" w:leader="none"/>
        </w:tabs>
        <w:spacing w:line="242" w:lineRule="auto" w:before="130" w:after="0"/>
        <w:ind w:left="2381" w:right="1665" w:hanging="794"/>
        <w:jc w:val="left"/>
        <w:rPr>
          <w:sz w:val="21"/>
        </w:rPr>
      </w:pPr>
      <w:r>
        <w:rPr>
          <w:w w:val="105"/>
          <w:sz w:val="21"/>
        </w:rPr>
        <w:t>The NSWLEC cautioned </w:t>
      </w:r>
      <w:r>
        <w:rPr>
          <w:spacing w:val="-3"/>
          <w:w w:val="105"/>
          <w:sz w:val="21"/>
        </w:rPr>
        <w:t>that </w:t>
      </w:r>
      <w:r>
        <w:rPr>
          <w:w w:val="105"/>
          <w:sz w:val="21"/>
        </w:rPr>
        <w:t>a 25-metre rule </w:t>
      </w:r>
      <w:r>
        <w:rPr>
          <w:spacing w:val="-3"/>
          <w:w w:val="105"/>
          <w:sz w:val="21"/>
        </w:rPr>
        <w:t>may raise procedural </w:t>
      </w:r>
      <w:r>
        <w:rPr>
          <w:w w:val="105"/>
          <w:sz w:val="21"/>
        </w:rPr>
        <w:t>issues. It would </w:t>
      </w:r>
      <w:r>
        <w:rPr>
          <w:spacing w:val="-3"/>
          <w:w w:val="105"/>
          <w:sz w:val="21"/>
        </w:rPr>
        <w:t>increase </w:t>
      </w:r>
      <w:r>
        <w:rPr>
          <w:w w:val="105"/>
          <w:sz w:val="21"/>
        </w:rPr>
        <w:t>the number of </w:t>
      </w:r>
      <w:r>
        <w:rPr>
          <w:spacing w:val="-3"/>
          <w:w w:val="105"/>
          <w:sz w:val="21"/>
        </w:rPr>
        <w:t>interested </w:t>
      </w:r>
      <w:r>
        <w:rPr>
          <w:w w:val="105"/>
          <w:sz w:val="21"/>
        </w:rPr>
        <w:t>parties and properties </w:t>
      </w:r>
      <w:r>
        <w:rPr>
          <w:spacing w:val="-4"/>
          <w:w w:val="105"/>
          <w:sz w:val="21"/>
        </w:rPr>
        <w:t>likely </w:t>
      </w:r>
      <w:r>
        <w:rPr>
          <w:spacing w:val="-3"/>
          <w:w w:val="105"/>
          <w:sz w:val="21"/>
        </w:rPr>
        <w:t>to </w:t>
      </w:r>
      <w:r>
        <w:rPr>
          <w:w w:val="105"/>
          <w:sz w:val="21"/>
        </w:rPr>
        <w:t>be affected by </w:t>
      </w:r>
      <w:r>
        <w:rPr>
          <w:spacing w:val="-3"/>
          <w:w w:val="105"/>
          <w:sz w:val="21"/>
        </w:rPr>
        <w:t>any </w:t>
      </w:r>
      <w:r>
        <w:rPr>
          <w:w w:val="105"/>
          <w:sz w:val="21"/>
        </w:rPr>
        <w:t>orders </w:t>
      </w:r>
      <w:r>
        <w:rPr>
          <w:spacing w:val="-3"/>
          <w:w w:val="105"/>
          <w:sz w:val="21"/>
        </w:rPr>
        <w:t>made. </w:t>
      </w:r>
      <w:r>
        <w:rPr>
          <w:w w:val="105"/>
          <w:sz w:val="21"/>
        </w:rPr>
        <w:t>The NSWLEC </w:t>
      </w:r>
      <w:r>
        <w:rPr>
          <w:spacing w:val="-3"/>
          <w:w w:val="105"/>
          <w:sz w:val="21"/>
        </w:rPr>
        <w:t>noted that intervening </w:t>
      </w:r>
      <w:r>
        <w:rPr>
          <w:w w:val="105"/>
          <w:sz w:val="21"/>
        </w:rPr>
        <w:t>landowners </w:t>
      </w:r>
      <w:r>
        <w:rPr>
          <w:spacing w:val="-3"/>
          <w:w w:val="105"/>
          <w:sz w:val="21"/>
        </w:rPr>
        <w:t>may </w:t>
      </w:r>
      <w:r>
        <w:rPr>
          <w:w w:val="105"/>
          <w:sz w:val="21"/>
        </w:rPr>
        <w:t>need </w:t>
      </w:r>
      <w:r>
        <w:rPr>
          <w:spacing w:val="-3"/>
          <w:w w:val="105"/>
          <w:sz w:val="21"/>
        </w:rPr>
        <w:t>to </w:t>
      </w:r>
      <w:r>
        <w:rPr>
          <w:w w:val="105"/>
          <w:sz w:val="21"/>
        </w:rPr>
        <w:t>be made parties </w:t>
      </w:r>
      <w:r>
        <w:rPr>
          <w:spacing w:val="-3"/>
          <w:w w:val="105"/>
          <w:sz w:val="21"/>
        </w:rPr>
        <w:t>to </w:t>
      </w:r>
      <w:r>
        <w:rPr>
          <w:w w:val="105"/>
          <w:sz w:val="21"/>
        </w:rPr>
        <w:t>the application where their </w:t>
      </w:r>
      <w:r>
        <w:rPr>
          <w:spacing w:val="-3"/>
          <w:w w:val="105"/>
          <w:sz w:val="21"/>
        </w:rPr>
        <w:t>land </w:t>
      </w:r>
      <w:r>
        <w:rPr>
          <w:w w:val="105"/>
          <w:sz w:val="21"/>
        </w:rPr>
        <w:t>is affected in </w:t>
      </w:r>
      <w:r>
        <w:rPr>
          <w:spacing w:val="-3"/>
          <w:w w:val="105"/>
          <w:sz w:val="21"/>
        </w:rPr>
        <w:t>terms </w:t>
      </w:r>
      <w:r>
        <w:rPr>
          <w:w w:val="105"/>
          <w:sz w:val="21"/>
        </w:rPr>
        <w:t>of amenity or </w:t>
      </w:r>
      <w:r>
        <w:rPr>
          <w:spacing w:val="-2"/>
          <w:w w:val="105"/>
          <w:sz w:val="21"/>
        </w:rPr>
        <w:t>access </w:t>
      </w:r>
      <w:r>
        <w:rPr>
          <w:spacing w:val="-3"/>
          <w:w w:val="105"/>
          <w:sz w:val="21"/>
        </w:rPr>
        <w:t>to </w:t>
      </w:r>
      <w:r>
        <w:rPr>
          <w:w w:val="105"/>
          <w:sz w:val="21"/>
        </w:rPr>
        <w:t>their </w:t>
      </w:r>
      <w:r>
        <w:rPr>
          <w:spacing w:val="-3"/>
          <w:w w:val="105"/>
          <w:sz w:val="21"/>
        </w:rPr>
        <w:t>land </w:t>
      </w:r>
      <w:r>
        <w:rPr>
          <w:w w:val="105"/>
          <w:sz w:val="21"/>
        </w:rPr>
        <w:t>is </w:t>
      </w:r>
      <w:r>
        <w:rPr>
          <w:spacing w:val="-3"/>
          <w:w w:val="105"/>
          <w:sz w:val="21"/>
        </w:rPr>
        <w:t>required to </w:t>
      </w:r>
      <w:r>
        <w:rPr>
          <w:w w:val="105"/>
          <w:sz w:val="21"/>
        </w:rPr>
        <w:t>carry out </w:t>
      </w:r>
      <w:r>
        <w:rPr>
          <w:spacing w:val="-4"/>
          <w:w w:val="105"/>
          <w:sz w:val="21"/>
        </w:rPr>
        <w:t>works.</w:t>
      </w:r>
      <w:r>
        <w:rPr>
          <w:spacing w:val="-4"/>
          <w:w w:val="105"/>
          <w:position w:val="7"/>
          <w:sz w:val="12"/>
        </w:rPr>
        <w:t>169 </w:t>
      </w:r>
      <w:r>
        <w:rPr>
          <w:w w:val="105"/>
          <w:sz w:val="21"/>
        </w:rPr>
        <w:t>It suggested </w:t>
      </w:r>
      <w:r>
        <w:rPr>
          <w:spacing w:val="-3"/>
          <w:w w:val="105"/>
          <w:sz w:val="21"/>
        </w:rPr>
        <w:t>that although well intentioned, </w:t>
      </w:r>
      <w:r>
        <w:rPr>
          <w:w w:val="105"/>
          <w:sz w:val="21"/>
        </w:rPr>
        <w:t>selecting a </w:t>
      </w:r>
      <w:r>
        <w:rPr>
          <w:spacing w:val="-3"/>
          <w:w w:val="105"/>
          <w:sz w:val="21"/>
        </w:rPr>
        <w:t>meterage </w:t>
      </w:r>
      <w:r>
        <w:rPr>
          <w:w w:val="105"/>
          <w:sz w:val="21"/>
        </w:rPr>
        <w:t>as the </w:t>
      </w:r>
      <w:r>
        <w:rPr>
          <w:spacing w:val="-3"/>
          <w:w w:val="105"/>
          <w:sz w:val="21"/>
        </w:rPr>
        <w:t>jurisdictional </w:t>
      </w:r>
      <w:r>
        <w:rPr>
          <w:w w:val="105"/>
          <w:sz w:val="21"/>
        </w:rPr>
        <w:t>test </w:t>
      </w:r>
      <w:r>
        <w:rPr>
          <w:spacing w:val="-3"/>
          <w:w w:val="105"/>
          <w:sz w:val="21"/>
        </w:rPr>
        <w:t>for proximity </w:t>
      </w:r>
      <w:r>
        <w:rPr>
          <w:w w:val="105"/>
          <w:sz w:val="21"/>
        </w:rPr>
        <w:t>was arbitrary and insufficient </w:t>
      </w:r>
      <w:r>
        <w:rPr>
          <w:spacing w:val="-3"/>
          <w:w w:val="105"/>
          <w:sz w:val="21"/>
        </w:rPr>
        <w:t>to</w:t>
      </w:r>
      <w:r>
        <w:rPr>
          <w:spacing w:val="-6"/>
          <w:w w:val="105"/>
          <w:sz w:val="21"/>
        </w:rPr>
        <w:t> </w:t>
      </w:r>
      <w:r>
        <w:rPr>
          <w:spacing w:val="-3"/>
          <w:w w:val="105"/>
          <w:sz w:val="21"/>
        </w:rPr>
        <w:t>cover</w:t>
      </w:r>
      <w:r>
        <w:rPr>
          <w:spacing w:val="-5"/>
          <w:w w:val="105"/>
          <w:sz w:val="21"/>
        </w:rPr>
        <w:t> </w:t>
      </w:r>
      <w:r>
        <w:rPr>
          <w:spacing w:val="-3"/>
          <w:w w:val="105"/>
          <w:sz w:val="21"/>
        </w:rPr>
        <w:t>all</w:t>
      </w:r>
      <w:r>
        <w:rPr>
          <w:spacing w:val="-5"/>
          <w:w w:val="105"/>
          <w:sz w:val="21"/>
        </w:rPr>
        <w:t> </w:t>
      </w:r>
      <w:r>
        <w:rPr>
          <w:w w:val="105"/>
          <w:sz w:val="21"/>
        </w:rPr>
        <w:t>contexts—for</w:t>
      </w:r>
      <w:r>
        <w:rPr>
          <w:spacing w:val="-5"/>
          <w:w w:val="105"/>
          <w:sz w:val="21"/>
        </w:rPr>
        <w:t> </w:t>
      </w:r>
      <w:r>
        <w:rPr>
          <w:spacing w:val="-3"/>
          <w:w w:val="105"/>
          <w:sz w:val="21"/>
        </w:rPr>
        <w:t>example,</w:t>
      </w:r>
      <w:r>
        <w:rPr>
          <w:spacing w:val="-5"/>
          <w:w w:val="105"/>
          <w:sz w:val="21"/>
        </w:rPr>
        <w:t> </w:t>
      </w:r>
      <w:r>
        <w:rPr>
          <w:w w:val="105"/>
          <w:sz w:val="21"/>
        </w:rPr>
        <w:t>a</w:t>
      </w:r>
      <w:r>
        <w:rPr>
          <w:spacing w:val="-6"/>
          <w:w w:val="105"/>
          <w:sz w:val="21"/>
        </w:rPr>
        <w:t> </w:t>
      </w:r>
      <w:r>
        <w:rPr>
          <w:w w:val="105"/>
          <w:sz w:val="21"/>
        </w:rPr>
        <w:t>tree</w:t>
      </w:r>
      <w:r>
        <w:rPr>
          <w:spacing w:val="-5"/>
          <w:w w:val="105"/>
          <w:sz w:val="21"/>
        </w:rPr>
        <w:t> </w:t>
      </w:r>
      <w:r>
        <w:rPr>
          <w:w w:val="105"/>
          <w:sz w:val="21"/>
        </w:rPr>
        <w:t>40</w:t>
      </w:r>
      <w:r>
        <w:rPr>
          <w:spacing w:val="-5"/>
          <w:w w:val="105"/>
          <w:sz w:val="21"/>
        </w:rPr>
        <w:t> </w:t>
      </w:r>
      <w:r>
        <w:rPr>
          <w:w w:val="105"/>
          <w:sz w:val="21"/>
        </w:rPr>
        <w:t>metres</w:t>
      </w:r>
      <w:r>
        <w:rPr>
          <w:spacing w:val="-5"/>
          <w:w w:val="105"/>
          <w:sz w:val="21"/>
        </w:rPr>
        <w:t> </w:t>
      </w:r>
      <w:r>
        <w:rPr>
          <w:w w:val="105"/>
          <w:sz w:val="21"/>
        </w:rPr>
        <w:t>tall</w:t>
      </w:r>
      <w:r>
        <w:rPr>
          <w:spacing w:val="-5"/>
          <w:w w:val="105"/>
          <w:sz w:val="21"/>
        </w:rPr>
        <w:t> </w:t>
      </w:r>
      <w:r>
        <w:rPr>
          <w:spacing w:val="-3"/>
          <w:w w:val="105"/>
          <w:sz w:val="21"/>
        </w:rPr>
        <w:t>may</w:t>
      </w:r>
      <w:r>
        <w:rPr>
          <w:spacing w:val="-6"/>
          <w:w w:val="105"/>
          <w:sz w:val="21"/>
        </w:rPr>
        <w:t> </w:t>
      </w:r>
      <w:r>
        <w:rPr>
          <w:w w:val="105"/>
          <w:sz w:val="21"/>
        </w:rPr>
        <w:t>impact</w:t>
      </w:r>
      <w:r>
        <w:rPr>
          <w:spacing w:val="-5"/>
          <w:w w:val="105"/>
          <w:sz w:val="21"/>
        </w:rPr>
        <w:t> </w:t>
      </w:r>
      <w:r>
        <w:rPr>
          <w:w w:val="105"/>
          <w:sz w:val="21"/>
        </w:rPr>
        <w:t>beyond</w:t>
      </w:r>
      <w:r>
        <w:rPr>
          <w:spacing w:val="-5"/>
          <w:w w:val="105"/>
          <w:sz w:val="21"/>
        </w:rPr>
        <w:t> </w:t>
      </w:r>
      <w:r>
        <w:rPr>
          <w:spacing w:val="-4"/>
          <w:w w:val="105"/>
          <w:sz w:val="21"/>
        </w:rPr>
        <w:t>25</w:t>
      </w:r>
      <w:r>
        <w:rPr>
          <w:spacing w:val="-5"/>
          <w:w w:val="105"/>
          <w:sz w:val="21"/>
        </w:rPr>
        <w:t> metres.</w:t>
      </w:r>
      <w:r>
        <w:rPr>
          <w:spacing w:val="-5"/>
          <w:w w:val="105"/>
          <w:position w:val="7"/>
          <w:sz w:val="12"/>
        </w:rPr>
        <w:t>170</w:t>
      </w:r>
    </w:p>
    <w:p>
      <w:pPr>
        <w:pStyle w:val="Heading7"/>
        <w:spacing w:before="158"/>
      </w:pPr>
      <w:r>
        <w:rPr>
          <w:color w:val="58595B"/>
          <w:w w:val="115"/>
        </w:rPr>
        <w:t>A broader approach</w:t>
      </w:r>
    </w:p>
    <w:p>
      <w:pPr>
        <w:pStyle w:val="ListParagraph"/>
        <w:numPr>
          <w:ilvl w:val="1"/>
          <w:numId w:val="16"/>
        </w:numPr>
        <w:tabs>
          <w:tab w:pos="2381" w:val="left" w:leader="none"/>
          <w:tab w:pos="2382" w:val="left" w:leader="none"/>
        </w:tabs>
        <w:spacing w:line="242" w:lineRule="auto" w:before="142" w:after="0"/>
        <w:ind w:left="2381" w:right="1613" w:hanging="794"/>
        <w:jc w:val="left"/>
        <w:rPr>
          <w:sz w:val="21"/>
        </w:rPr>
      </w:pPr>
      <w:r>
        <w:rPr>
          <w:w w:val="105"/>
          <w:sz w:val="21"/>
        </w:rPr>
        <w:t>Some</w:t>
      </w:r>
      <w:r>
        <w:rPr>
          <w:spacing w:val="-7"/>
          <w:w w:val="105"/>
          <w:sz w:val="21"/>
        </w:rPr>
        <w:t> </w:t>
      </w:r>
      <w:r>
        <w:rPr>
          <w:w w:val="105"/>
          <w:sz w:val="21"/>
        </w:rPr>
        <w:t>of</w:t>
      </w:r>
      <w:r>
        <w:rPr>
          <w:spacing w:val="-6"/>
          <w:w w:val="105"/>
          <w:sz w:val="21"/>
        </w:rPr>
        <w:t> </w:t>
      </w:r>
      <w:r>
        <w:rPr>
          <w:w w:val="105"/>
          <w:sz w:val="21"/>
        </w:rPr>
        <w:t>those</w:t>
      </w:r>
      <w:r>
        <w:rPr>
          <w:spacing w:val="-6"/>
          <w:w w:val="105"/>
          <w:sz w:val="21"/>
        </w:rPr>
        <w:t> </w:t>
      </w:r>
      <w:r>
        <w:rPr>
          <w:w w:val="105"/>
          <w:sz w:val="21"/>
        </w:rPr>
        <w:t>in</w:t>
      </w:r>
      <w:r>
        <w:rPr>
          <w:spacing w:val="-6"/>
          <w:w w:val="105"/>
          <w:sz w:val="21"/>
        </w:rPr>
        <w:t> </w:t>
      </w:r>
      <w:r>
        <w:rPr>
          <w:spacing w:val="-3"/>
          <w:w w:val="105"/>
          <w:sz w:val="21"/>
        </w:rPr>
        <w:t>favour</w:t>
      </w:r>
      <w:r>
        <w:rPr>
          <w:spacing w:val="-6"/>
          <w:w w:val="105"/>
          <w:sz w:val="21"/>
        </w:rPr>
        <w:t> </w:t>
      </w:r>
      <w:r>
        <w:rPr>
          <w:w w:val="105"/>
          <w:sz w:val="21"/>
        </w:rPr>
        <w:t>of</w:t>
      </w:r>
      <w:r>
        <w:rPr>
          <w:spacing w:val="-6"/>
          <w:w w:val="105"/>
          <w:sz w:val="21"/>
        </w:rPr>
        <w:t> </w:t>
      </w:r>
      <w:r>
        <w:rPr>
          <w:w w:val="105"/>
          <w:sz w:val="21"/>
        </w:rPr>
        <w:t>a</w:t>
      </w:r>
      <w:r>
        <w:rPr>
          <w:spacing w:val="-7"/>
          <w:w w:val="105"/>
          <w:sz w:val="21"/>
        </w:rPr>
        <w:t> </w:t>
      </w:r>
      <w:r>
        <w:rPr>
          <w:w w:val="105"/>
          <w:sz w:val="21"/>
        </w:rPr>
        <w:t>broader</w:t>
      </w:r>
      <w:r>
        <w:rPr>
          <w:spacing w:val="-6"/>
          <w:w w:val="105"/>
          <w:sz w:val="21"/>
        </w:rPr>
        <w:t> </w:t>
      </w:r>
      <w:r>
        <w:rPr>
          <w:w w:val="105"/>
          <w:sz w:val="21"/>
        </w:rPr>
        <w:t>approach</w:t>
      </w:r>
      <w:r>
        <w:rPr>
          <w:spacing w:val="-6"/>
          <w:w w:val="105"/>
          <w:sz w:val="21"/>
        </w:rPr>
        <w:t> </w:t>
      </w:r>
      <w:r>
        <w:rPr>
          <w:w w:val="105"/>
          <w:sz w:val="21"/>
        </w:rPr>
        <w:t>suggested</w:t>
      </w:r>
      <w:r>
        <w:rPr>
          <w:spacing w:val="-6"/>
          <w:w w:val="105"/>
          <w:sz w:val="21"/>
        </w:rPr>
        <w:t> </w:t>
      </w:r>
      <w:r>
        <w:rPr>
          <w:spacing w:val="-3"/>
          <w:w w:val="105"/>
          <w:sz w:val="21"/>
        </w:rPr>
        <w:t>that</w:t>
      </w:r>
      <w:r>
        <w:rPr>
          <w:spacing w:val="-6"/>
          <w:w w:val="105"/>
          <w:sz w:val="21"/>
        </w:rPr>
        <w:t> </w:t>
      </w:r>
      <w:r>
        <w:rPr>
          <w:w w:val="105"/>
          <w:sz w:val="21"/>
        </w:rPr>
        <w:t>the</w:t>
      </w:r>
      <w:r>
        <w:rPr>
          <w:spacing w:val="-6"/>
          <w:w w:val="105"/>
          <w:sz w:val="21"/>
        </w:rPr>
        <w:t> </w:t>
      </w:r>
      <w:r>
        <w:rPr>
          <w:w w:val="105"/>
          <w:sz w:val="21"/>
        </w:rPr>
        <w:t>only</w:t>
      </w:r>
      <w:r>
        <w:rPr>
          <w:spacing w:val="-7"/>
          <w:w w:val="105"/>
          <w:sz w:val="21"/>
        </w:rPr>
        <w:t> </w:t>
      </w:r>
      <w:r>
        <w:rPr>
          <w:spacing w:val="-3"/>
          <w:w w:val="105"/>
          <w:sz w:val="21"/>
        </w:rPr>
        <w:t>relevant</w:t>
      </w:r>
      <w:r>
        <w:rPr>
          <w:spacing w:val="-6"/>
          <w:w w:val="105"/>
          <w:sz w:val="21"/>
        </w:rPr>
        <w:t> </w:t>
      </w:r>
      <w:r>
        <w:rPr>
          <w:spacing w:val="-3"/>
          <w:w w:val="105"/>
          <w:sz w:val="21"/>
        </w:rPr>
        <w:t>threshold </w:t>
      </w:r>
      <w:r>
        <w:rPr>
          <w:w w:val="105"/>
          <w:sz w:val="21"/>
        </w:rPr>
        <w:t>should be whether a </w:t>
      </w:r>
      <w:r>
        <w:rPr>
          <w:spacing w:val="-3"/>
          <w:w w:val="105"/>
          <w:sz w:val="21"/>
        </w:rPr>
        <w:t>person’s </w:t>
      </w:r>
      <w:r>
        <w:rPr>
          <w:w w:val="105"/>
          <w:sz w:val="21"/>
        </w:rPr>
        <w:t>use and </w:t>
      </w:r>
      <w:r>
        <w:rPr>
          <w:spacing w:val="-2"/>
          <w:w w:val="105"/>
          <w:sz w:val="21"/>
        </w:rPr>
        <w:t>enjoyment </w:t>
      </w:r>
      <w:r>
        <w:rPr>
          <w:w w:val="105"/>
          <w:sz w:val="21"/>
        </w:rPr>
        <w:t>of their </w:t>
      </w:r>
      <w:r>
        <w:rPr>
          <w:spacing w:val="-3"/>
          <w:w w:val="105"/>
          <w:sz w:val="21"/>
        </w:rPr>
        <w:t>land </w:t>
      </w:r>
      <w:r>
        <w:rPr>
          <w:w w:val="105"/>
          <w:sz w:val="21"/>
        </w:rPr>
        <w:t>is being affected by a tree in the </w:t>
      </w:r>
      <w:r>
        <w:rPr>
          <w:spacing w:val="-4"/>
          <w:w w:val="105"/>
          <w:sz w:val="21"/>
        </w:rPr>
        <w:t>neighbourhood.</w:t>
      </w:r>
      <w:r>
        <w:rPr>
          <w:spacing w:val="-4"/>
          <w:w w:val="105"/>
          <w:position w:val="7"/>
          <w:sz w:val="12"/>
        </w:rPr>
        <w:t>171 </w:t>
      </w:r>
      <w:r>
        <w:rPr>
          <w:w w:val="105"/>
          <w:sz w:val="21"/>
        </w:rPr>
        <w:t>Others stated </w:t>
      </w:r>
      <w:r>
        <w:rPr>
          <w:spacing w:val="-3"/>
          <w:w w:val="105"/>
          <w:sz w:val="21"/>
        </w:rPr>
        <w:t>that </w:t>
      </w:r>
      <w:r>
        <w:rPr>
          <w:w w:val="105"/>
          <w:sz w:val="21"/>
        </w:rPr>
        <w:t>whether or </w:t>
      </w:r>
      <w:r>
        <w:rPr>
          <w:spacing w:val="-2"/>
          <w:w w:val="105"/>
          <w:sz w:val="21"/>
        </w:rPr>
        <w:t>not </w:t>
      </w:r>
      <w:r>
        <w:rPr>
          <w:w w:val="105"/>
          <w:sz w:val="21"/>
        </w:rPr>
        <w:t>sufficient </w:t>
      </w:r>
      <w:r>
        <w:rPr>
          <w:spacing w:val="-3"/>
          <w:w w:val="105"/>
          <w:sz w:val="21"/>
        </w:rPr>
        <w:t>proximity </w:t>
      </w:r>
      <w:r>
        <w:rPr>
          <w:w w:val="105"/>
          <w:sz w:val="21"/>
        </w:rPr>
        <w:t>exists between the tree and the affected </w:t>
      </w:r>
      <w:r>
        <w:rPr>
          <w:spacing w:val="-3"/>
          <w:w w:val="105"/>
          <w:sz w:val="21"/>
        </w:rPr>
        <w:t>neighbour’s land </w:t>
      </w:r>
      <w:r>
        <w:rPr>
          <w:w w:val="105"/>
          <w:sz w:val="21"/>
        </w:rPr>
        <w:t>should be </w:t>
      </w:r>
      <w:r>
        <w:rPr>
          <w:spacing w:val="-3"/>
          <w:w w:val="105"/>
          <w:sz w:val="21"/>
        </w:rPr>
        <w:t>determined </w:t>
      </w:r>
      <w:r>
        <w:rPr>
          <w:w w:val="105"/>
          <w:sz w:val="21"/>
        </w:rPr>
        <w:t>by the local </w:t>
      </w:r>
      <w:r>
        <w:rPr>
          <w:spacing w:val="-3"/>
          <w:w w:val="105"/>
          <w:sz w:val="21"/>
        </w:rPr>
        <w:t>council </w:t>
      </w:r>
      <w:r>
        <w:rPr>
          <w:w w:val="105"/>
          <w:sz w:val="21"/>
        </w:rPr>
        <w:t>in the </w:t>
      </w:r>
      <w:r>
        <w:rPr>
          <w:spacing w:val="-5"/>
          <w:w w:val="105"/>
          <w:sz w:val="21"/>
        </w:rPr>
        <w:t>area.</w:t>
      </w:r>
      <w:r>
        <w:rPr>
          <w:spacing w:val="-5"/>
          <w:w w:val="105"/>
          <w:position w:val="7"/>
          <w:sz w:val="12"/>
        </w:rPr>
        <w:t>172 </w:t>
      </w:r>
      <w:r>
        <w:rPr>
          <w:spacing w:val="-3"/>
          <w:w w:val="105"/>
          <w:sz w:val="21"/>
        </w:rPr>
        <w:t>Pointon </w:t>
      </w:r>
      <w:r>
        <w:rPr>
          <w:w w:val="105"/>
          <w:sz w:val="21"/>
        </w:rPr>
        <w:t>Partners stated </w:t>
      </w:r>
      <w:r>
        <w:rPr>
          <w:spacing w:val="-3"/>
          <w:w w:val="105"/>
          <w:sz w:val="21"/>
        </w:rPr>
        <w:t>that </w:t>
      </w:r>
      <w:r>
        <w:rPr>
          <w:w w:val="105"/>
          <w:sz w:val="21"/>
        </w:rPr>
        <w:t>the </w:t>
      </w:r>
      <w:r>
        <w:rPr>
          <w:spacing w:val="-3"/>
          <w:w w:val="105"/>
          <w:sz w:val="21"/>
        </w:rPr>
        <w:t>determination </w:t>
      </w:r>
      <w:r>
        <w:rPr>
          <w:w w:val="105"/>
          <w:sz w:val="21"/>
        </w:rPr>
        <w:t>of whether or </w:t>
      </w:r>
      <w:r>
        <w:rPr>
          <w:spacing w:val="-2"/>
          <w:w w:val="105"/>
          <w:sz w:val="21"/>
        </w:rPr>
        <w:t>not </w:t>
      </w:r>
      <w:r>
        <w:rPr>
          <w:w w:val="105"/>
          <w:sz w:val="21"/>
        </w:rPr>
        <w:t>sufficient </w:t>
      </w:r>
      <w:r>
        <w:rPr>
          <w:spacing w:val="-3"/>
          <w:w w:val="105"/>
          <w:sz w:val="21"/>
        </w:rPr>
        <w:t>proximity </w:t>
      </w:r>
      <w:r>
        <w:rPr>
          <w:w w:val="105"/>
          <w:sz w:val="21"/>
        </w:rPr>
        <w:t>exists is a task best left </w:t>
      </w:r>
      <w:r>
        <w:rPr>
          <w:spacing w:val="-3"/>
          <w:w w:val="105"/>
          <w:sz w:val="21"/>
        </w:rPr>
        <w:t>to </w:t>
      </w:r>
      <w:r>
        <w:rPr>
          <w:w w:val="105"/>
          <w:sz w:val="21"/>
        </w:rPr>
        <w:t>the </w:t>
      </w:r>
      <w:r>
        <w:rPr>
          <w:spacing w:val="-3"/>
          <w:w w:val="105"/>
          <w:sz w:val="21"/>
        </w:rPr>
        <w:t>relevant </w:t>
      </w:r>
      <w:r>
        <w:rPr>
          <w:w w:val="105"/>
          <w:sz w:val="21"/>
        </w:rPr>
        <w:t>decision-making</w:t>
      </w:r>
      <w:r>
        <w:rPr>
          <w:spacing w:val="-11"/>
          <w:w w:val="105"/>
          <w:sz w:val="21"/>
        </w:rPr>
        <w:t> </w:t>
      </w:r>
      <w:r>
        <w:rPr>
          <w:spacing w:val="-6"/>
          <w:w w:val="105"/>
          <w:sz w:val="21"/>
        </w:rPr>
        <w:t>body.</w:t>
      </w:r>
      <w:r>
        <w:rPr>
          <w:spacing w:val="-6"/>
          <w:w w:val="105"/>
          <w:position w:val="7"/>
          <w:sz w:val="12"/>
        </w:rPr>
        <w:t>173</w:t>
      </w:r>
    </w:p>
    <w:p>
      <w:pPr>
        <w:pStyle w:val="ListParagraph"/>
        <w:numPr>
          <w:ilvl w:val="1"/>
          <w:numId w:val="16"/>
        </w:numPr>
        <w:tabs>
          <w:tab w:pos="2380" w:val="left" w:leader="none"/>
          <w:tab w:pos="2381" w:val="left" w:leader="none"/>
        </w:tabs>
        <w:spacing w:line="240" w:lineRule="auto" w:before="127" w:after="0"/>
        <w:ind w:left="2381" w:right="0" w:hanging="794"/>
        <w:jc w:val="left"/>
        <w:rPr>
          <w:sz w:val="21"/>
        </w:rPr>
      </w:pPr>
      <w:r>
        <w:rPr>
          <w:w w:val="105"/>
          <w:sz w:val="21"/>
        </w:rPr>
        <w:t>An arborist</w:t>
      </w:r>
      <w:r>
        <w:rPr>
          <w:spacing w:val="10"/>
          <w:w w:val="105"/>
          <w:sz w:val="21"/>
        </w:rPr>
        <w:t> </w:t>
      </w:r>
      <w:r>
        <w:rPr>
          <w:w w:val="105"/>
          <w:sz w:val="21"/>
        </w:rPr>
        <w:t>stated:</w:t>
      </w:r>
    </w:p>
    <w:p>
      <w:pPr>
        <w:spacing w:line="254" w:lineRule="auto" w:before="133"/>
        <w:ind w:left="2834" w:right="1704" w:firstLine="0"/>
        <w:jc w:val="left"/>
        <w:rPr>
          <w:sz w:val="11"/>
        </w:rPr>
      </w:pPr>
      <w:r>
        <w:rPr>
          <w:w w:val="105"/>
          <w:sz w:val="20"/>
        </w:rPr>
        <w:t>It may be a very </w:t>
      </w:r>
      <w:r>
        <w:rPr>
          <w:spacing w:val="-3"/>
          <w:w w:val="105"/>
          <w:sz w:val="20"/>
        </w:rPr>
        <w:t>unlikely </w:t>
      </w:r>
      <w:r>
        <w:rPr>
          <w:w w:val="105"/>
          <w:sz w:val="20"/>
        </w:rPr>
        <w:t>situation where a non-neighbour is an affected party but they should not be excluded because their property does not share a boundary with the property on which the tree is </w:t>
      </w:r>
      <w:r>
        <w:rPr>
          <w:spacing w:val="-4"/>
          <w:w w:val="105"/>
          <w:sz w:val="20"/>
        </w:rPr>
        <w:t>located.</w:t>
      </w:r>
      <w:r>
        <w:rPr>
          <w:spacing w:val="-4"/>
          <w:w w:val="105"/>
          <w:position w:val="7"/>
          <w:sz w:val="11"/>
        </w:rPr>
        <w:t>174</w:t>
      </w:r>
    </w:p>
    <w:p>
      <w:pPr>
        <w:pStyle w:val="Heading7"/>
        <w:spacing w:before="145"/>
      </w:pPr>
      <w:r>
        <w:rPr/>
        <w:pict>
          <v:shape style="position:absolute;margin-left:79.360397pt;margin-top:28.244747pt;width:436.55pt;height:305.5pt;mso-position-horizontal-relative:page;mso-position-vertical-relative:paragraph;z-index:613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4"/>
                    <w:gridCol w:w="8087"/>
                  </w:tblGrid>
                  <w:tr>
                    <w:trPr>
                      <w:trHeight w:val="771" w:hRule="atLeast"/>
                    </w:trPr>
                    <w:tc>
                      <w:tcPr>
                        <w:tcW w:w="644" w:type="dxa"/>
                      </w:tcPr>
                      <w:p>
                        <w:pPr>
                          <w:pStyle w:val="TableParagraph"/>
                          <w:spacing w:line="248" w:lineRule="exact"/>
                          <w:rPr>
                            <w:sz w:val="21"/>
                          </w:rPr>
                        </w:pPr>
                        <w:r>
                          <w:rPr>
                            <w:w w:val="110"/>
                            <w:sz w:val="21"/>
                          </w:rPr>
                          <w:t>5.102</w:t>
                        </w:r>
                      </w:p>
                    </w:tc>
                    <w:tc>
                      <w:tcPr>
                        <w:tcW w:w="8087" w:type="dxa"/>
                      </w:tcPr>
                      <w:p>
                        <w:pPr>
                          <w:pStyle w:val="TableParagraph"/>
                          <w:spacing w:line="242" w:lineRule="auto"/>
                          <w:ind w:left="149" w:right="147"/>
                          <w:rPr>
                            <w:i/>
                            <w:sz w:val="21"/>
                          </w:rPr>
                        </w:pPr>
                        <w:r>
                          <w:rPr>
                            <w:w w:val="105"/>
                            <w:sz w:val="21"/>
                          </w:rPr>
                          <w:t>Some people suggested </w:t>
                        </w:r>
                        <w:r>
                          <w:rPr>
                            <w:spacing w:val="-3"/>
                            <w:w w:val="105"/>
                            <w:sz w:val="21"/>
                          </w:rPr>
                          <w:t>that </w:t>
                        </w:r>
                        <w:r>
                          <w:rPr>
                            <w:w w:val="105"/>
                            <w:sz w:val="21"/>
                          </w:rPr>
                          <w:t>the </w:t>
                        </w:r>
                        <w:r>
                          <w:rPr>
                            <w:spacing w:val="-3"/>
                            <w:w w:val="105"/>
                            <w:sz w:val="21"/>
                          </w:rPr>
                          <w:t>focus </w:t>
                        </w:r>
                        <w:r>
                          <w:rPr>
                            <w:w w:val="105"/>
                            <w:sz w:val="21"/>
                          </w:rPr>
                          <w:t>should be on the </w:t>
                        </w:r>
                        <w:r>
                          <w:rPr>
                            <w:spacing w:val="-4"/>
                            <w:w w:val="105"/>
                            <w:sz w:val="21"/>
                          </w:rPr>
                          <w:t>tree’s </w:t>
                        </w:r>
                        <w:r>
                          <w:rPr>
                            <w:w w:val="105"/>
                            <w:sz w:val="21"/>
                          </w:rPr>
                          <w:t>own </w:t>
                        </w:r>
                        <w:r>
                          <w:rPr>
                            <w:spacing w:val="-5"/>
                            <w:w w:val="105"/>
                            <w:sz w:val="21"/>
                          </w:rPr>
                          <w:t>Tree </w:t>
                        </w:r>
                        <w:r>
                          <w:rPr>
                            <w:w w:val="105"/>
                            <w:sz w:val="21"/>
                          </w:rPr>
                          <w:t>Protection Zone (TPZ) as </w:t>
                        </w:r>
                        <w:r>
                          <w:rPr>
                            <w:spacing w:val="-3"/>
                            <w:w w:val="105"/>
                            <w:sz w:val="21"/>
                          </w:rPr>
                          <w:t>outlined </w:t>
                        </w:r>
                        <w:r>
                          <w:rPr>
                            <w:w w:val="105"/>
                            <w:sz w:val="21"/>
                          </w:rPr>
                          <w:t>in the </w:t>
                        </w:r>
                        <w:r>
                          <w:rPr>
                            <w:i/>
                            <w:spacing w:val="-3"/>
                            <w:w w:val="105"/>
                            <w:sz w:val="21"/>
                          </w:rPr>
                          <w:t>Australian Standard </w:t>
                        </w:r>
                        <w:r>
                          <w:rPr>
                            <w:i/>
                            <w:w w:val="105"/>
                            <w:sz w:val="21"/>
                          </w:rPr>
                          <w:t>AS 4970-2009—Protection </w:t>
                        </w:r>
                        <w:r>
                          <w:rPr>
                            <w:i/>
                            <w:spacing w:val="-3"/>
                            <w:w w:val="105"/>
                            <w:sz w:val="21"/>
                          </w:rPr>
                          <w:t>of </w:t>
                        </w:r>
                        <w:r>
                          <w:rPr>
                            <w:i/>
                            <w:spacing w:val="-4"/>
                            <w:w w:val="105"/>
                            <w:sz w:val="21"/>
                          </w:rPr>
                          <w:t>Trees</w:t>
                        </w:r>
                        <w:r>
                          <w:rPr>
                            <w:i/>
                            <w:spacing w:val="26"/>
                            <w:w w:val="105"/>
                            <w:sz w:val="21"/>
                          </w:rPr>
                          <w:t> </w:t>
                        </w:r>
                        <w:r>
                          <w:rPr>
                            <w:i/>
                            <w:w w:val="105"/>
                            <w:sz w:val="21"/>
                          </w:rPr>
                          <w:t>on</w:t>
                        </w:r>
                      </w:p>
                      <w:p>
                        <w:pPr>
                          <w:pStyle w:val="TableParagraph"/>
                          <w:spacing w:line="241" w:lineRule="exact"/>
                          <w:ind w:left="149"/>
                          <w:rPr>
                            <w:sz w:val="21"/>
                          </w:rPr>
                        </w:pPr>
                        <w:r>
                          <w:rPr>
                            <w:i/>
                            <w:w w:val="105"/>
                            <w:sz w:val="21"/>
                          </w:rPr>
                          <w:t>Development Sites </w:t>
                        </w:r>
                        <w:r>
                          <w:rPr>
                            <w:w w:val="105"/>
                            <w:sz w:val="21"/>
                          </w:rPr>
                          <w:t>rather than distances between lands.</w:t>
                        </w:r>
                        <w:r>
                          <w:rPr>
                            <w:w w:val="105"/>
                            <w:position w:val="7"/>
                            <w:sz w:val="12"/>
                          </w:rPr>
                          <w:t>175 </w:t>
                        </w:r>
                        <w:r>
                          <w:rPr>
                            <w:w w:val="105"/>
                            <w:sz w:val="21"/>
                          </w:rPr>
                          <w:t>The suggestion was that a</w:t>
                        </w:r>
                      </w:p>
                    </w:tc>
                  </w:tr>
                  <w:tr>
                    <w:trPr>
                      <w:trHeight w:val="259" w:hRule="atLeast"/>
                    </w:trPr>
                    <w:tc>
                      <w:tcPr>
                        <w:tcW w:w="644" w:type="dxa"/>
                      </w:tcPr>
                      <w:p>
                        <w:pPr>
                          <w:pStyle w:val="TableParagraph"/>
                          <w:rPr>
                            <w:rFonts w:ascii="Times New Roman"/>
                            <w:sz w:val="18"/>
                          </w:rPr>
                        </w:pPr>
                      </w:p>
                    </w:tc>
                    <w:tc>
                      <w:tcPr>
                        <w:tcW w:w="8087" w:type="dxa"/>
                      </w:tcPr>
                      <w:p>
                        <w:pPr>
                          <w:pStyle w:val="TableParagraph"/>
                          <w:spacing w:line="240" w:lineRule="exact"/>
                          <w:ind w:left="149"/>
                          <w:rPr>
                            <w:sz w:val="21"/>
                          </w:rPr>
                        </w:pPr>
                        <w:r>
                          <w:rPr>
                            <w:w w:val="105"/>
                            <w:sz w:val="21"/>
                          </w:rPr>
                          <w:t>person who owns </w:t>
                        </w:r>
                        <w:r>
                          <w:rPr>
                            <w:spacing w:val="-3"/>
                            <w:w w:val="105"/>
                            <w:sz w:val="21"/>
                          </w:rPr>
                          <w:t>land within </w:t>
                        </w:r>
                        <w:r>
                          <w:rPr>
                            <w:w w:val="105"/>
                            <w:sz w:val="21"/>
                          </w:rPr>
                          <w:t>a tree protection </w:t>
                        </w:r>
                        <w:r>
                          <w:rPr>
                            <w:spacing w:val="-3"/>
                            <w:w w:val="105"/>
                            <w:sz w:val="21"/>
                          </w:rPr>
                          <w:t>zone </w:t>
                        </w:r>
                        <w:r>
                          <w:rPr>
                            <w:w w:val="105"/>
                            <w:sz w:val="21"/>
                          </w:rPr>
                          <w:t>should be entitled </w:t>
                        </w:r>
                        <w:r>
                          <w:rPr>
                            <w:spacing w:val="-3"/>
                            <w:w w:val="105"/>
                            <w:sz w:val="21"/>
                          </w:rPr>
                          <w:t>to bring </w:t>
                        </w:r>
                        <w:r>
                          <w:rPr>
                            <w:w w:val="105"/>
                            <w:sz w:val="21"/>
                          </w:rPr>
                          <w:t>an action</w:t>
                        </w:r>
                      </w:p>
                    </w:tc>
                  </w:tr>
                  <w:tr>
                    <w:trPr>
                      <w:trHeight w:val="320" w:hRule="atLeast"/>
                    </w:trPr>
                    <w:tc>
                      <w:tcPr>
                        <w:tcW w:w="644" w:type="dxa"/>
                      </w:tcPr>
                      <w:p>
                        <w:pPr>
                          <w:pStyle w:val="TableParagraph"/>
                          <w:rPr>
                            <w:rFonts w:ascii="Times New Roman"/>
                            <w:sz w:val="18"/>
                          </w:rPr>
                        </w:pPr>
                      </w:p>
                    </w:tc>
                    <w:tc>
                      <w:tcPr>
                        <w:tcW w:w="8087" w:type="dxa"/>
                      </w:tcPr>
                      <w:p>
                        <w:pPr>
                          <w:pStyle w:val="TableParagraph"/>
                          <w:spacing w:line="256" w:lineRule="exact"/>
                          <w:ind w:left="149"/>
                          <w:rPr>
                            <w:sz w:val="21"/>
                          </w:rPr>
                        </w:pPr>
                        <w:r>
                          <w:rPr>
                            <w:w w:val="105"/>
                            <w:sz w:val="21"/>
                          </w:rPr>
                          <w:t>under the new Act.</w:t>
                        </w:r>
                      </w:p>
                    </w:tc>
                  </w:tr>
                  <w:tr>
                    <w:trPr>
                      <w:trHeight w:val="320" w:hRule="atLeast"/>
                    </w:trPr>
                    <w:tc>
                      <w:tcPr>
                        <w:tcW w:w="644" w:type="dxa"/>
                      </w:tcPr>
                      <w:p>
                        <w:pPr>
                          <w:pStyle w:val="TableParagraph"/>
                          <w:spacing w:line="241" w:lineRule="exact" w:before="59"/>
                          <w:rPr>
                            <w:sz w:val="21"/>
                          </w:rPr>
                        </w:pPr>
                        <w:r>
                          <w:rPr>
                            <w:w w:val="110"/>
                            <w:sz w:val="21"/>
                          </w:rPr>
                          <w:t>5.103</w:t>
                        </w:r>
                      </w:p>
                    </w:tc>
                    <w:tc>
                      <w:tcPr>
                        <w:tcW w:w="8087" w:type="dxa"/>
                      </w:tcPr>
                      <w:p>
                        <w:pPr>
                          <w:pStyle w:val="TableParagraph"/>
                          <w:spacing w:line="241" w:lineRule="exact" w:before="59"/>
                          <w:ind w:left="149"/>
                          <w:rPr>
                            <w:sz w:val="21"/>
                          </w:rPr>
                        </w:pPr>
                        <w:r>
                          <w:rPr>
                            <w:sz w:val="21"/>
                          </w:rPr>
                          <w:t>A tree’s TPZ denotes the area of roots and canopy to be isolated and protected from</w:t>
                        </w:r>
                      </w:p>
                    </w:tc>
                  </w:tr>
                  <w:tr>
                    <w:trPr>
                      <w:trHeight w:val="259" w:hRule="atLeast"/>
                    </w:trPr>
                    <w:tc>
                      <w:tcPr>
                        <w:tcW w:w="644" w:type="dxa"/>
                      </w:tcPr>
                      <w:p>
                        <w:pPr>
                          <w:pStyle w:val="TableParagraph"/>
                          <w:rPr>
                            <w:rFonts w:ascii="Times New Roman"/>
                            <w:sz w:val="18"/>
                          </w:rPr>
                        </w:pPr>
                      </w:p>
                    </w:tc>
                    <w:tc>
                      <w:tcPr>
                        <w:tcW w:w="8087" w:type="dxa"/>
                      </w:tcPr>
                      <w:p>
                        <w:pPr>
                          <w:pStyle w:val="TableParagraph"/>
                          <w:spacing w:line="240" w:lineRule="exact"/>
                          <w:ind w:left="149"/>
                          <w:rPr>
                            <w:sz w:val="21"/>
                          </w:rPr>
                        </w:pPr>
                        <w:r>
                          <w:rPr>
                            <w:w w:val="105"/>
                            <w:sz w:val="21"/>
                          </w:rPr>
                          <w:t>construction </w:t>
                        </w:r>
                        <w:r>
                          <w:rPr>
                            <w:spacing w:val="-3"/>
                            <w:w w:val="105"/>
                            <w:sz w:val="21"/>
                          </w:rPr>
                          <w:t>disturbances to maintain </w:t>
                        </w:r>
                        <w:r>
                          <w:rPr>
                            <w:w w:val="105"/>
                            <w:sz w:val="21"/>
                          </w:rPr>
                          <w:t>the </w:t>
                        </w:r>
                        <w:r>
                          <w:rPr>
                            <w:spacing w:val="-3"/>
                            <w:w w:val="105"/>
                            <w:sz w:val="21"/>
                          </w:rPr>
                          <w:t>health </w:t>
                        </w:r>
                        <w:r>
                          <w:rPr>
                            <w:w w:val="105"/>
                            <w:sz w:val="21"/>
                          </w:rPr>
                          <w:t>and stability of the </w:t>
                        </w:r>
                        <w:r>
                          <w:rPr>
                            <w:spacing w:val="-6"/>
                            <w:w w:val="105"/>
                            <w:sz w:val="21"/>
                          </w:rPr>
                          <w:t>tree.</w:t>
                        </w:r>
                        <w:r>
                          <w:rPr>
                            <w:spacing w:val="-6"/>
                            <w:w w:val="105"/>
                            <w:position w:val="7"/>
                            <w:sz w:val="12"/>
                          </w:rPr>
                          <w:t>176 </w:t>
                        </w:r>
                        <w:r>
                          <w:rPr>
                            <w:w w:val="105"/>
                            <w:sz w:val="21"/>
                          </w:rPr>
                          <w:t>A TPZ is often</w:t>
                        </w:r>
                      </w:p>
                    </w:tc>
                  </w:tr>
                  <w:tr>
                    <w:trPr>
                      <w:trHeight w:val="320" w:hRule="atLeast"/>
                    </w:trPr>
                    <w:tc>
                      <w:tcPr>
                        <w:tcW w:w="644" w:type="dxa"/>
                      </w:tcPr>
                      <w:p>
                        <w:pPr>
                          <w:pStyle w:val="TableParagraph"/>
                          <w:rPr>
                            <w:rFonts w:ascii="Times New Roman"/>
                            <w:sz w:val="18"/>
                          </w:rPr>
                        </w:pPr>
                      </w:p>
                    </w:tc>
                    <w:tc>
                      <w:tcPr>
                        <w:tcW w:w="8087" w:type="dxa"/>
                      </w:tcPr>
                      <w:p>
                        <w:pPr>
                          <w:pStyle w:val="TableParagraph"/>
                          <w:spacing w:line="256" w:lineRule="exact"/>
                          <w:ind w:left="149"/>
                          <w:rPr>
                            <w:sz w:val="12"/>
                          </w:rPr>
                        </w:pPr>
                        <w:r>
                          <w:rPr>
                            <w:w w:val="105"/>
                            <w:sz w:val="21"/>
                          </w:rPr>
                          <w:t>used by local councils to protect vegetation during development.</w:t>
                        </w:r>
                        <w:r>
                          <w:rPr>
                            <w:w w:val="105"/>
                            <w:position w:val="7"/>
                            <w:sz w:val="12"/>
                          </w:rPr>
                          <w:t>177</w:t>
                        </w:r>
                      </w:p>
                    </w:tc>
                  </w:tr>
                  <w:tr>
                    <w:trPr>
                      <w:trHeight w:val="320" w:hRule="atLeast"/>
                    </w:trPr>
                    <w:tc>
                      <w:tcPr>
                        <w:tcW w:w="644" w:type="dxa"/>
                      </w:tcPr>
                      <w:p>
                        <w:pPr>
                          <w:pStyle w:val="TableParagraph"/>
                          <w:spacing w:line="241" w:lineRule="exact" w:before="59"/>
                          <w:rPr>
                            <w:sz w:val="21"/>
                          </w:rPr>
                        </w:pPr>
                        <w:r>
                          <w:rPr>
                            <w:w w:val="110"/>
                            <w:sz w:val="21"/>
                          </w:rPr>
                          <w:t>5.104</w:t>
                        </w:r>
                      </w:p>
                    </w:tc>
                    <w:tc>
                      <w:tcPr>
                        <w:tcW w:w="8087" w:type="dxa"/>
                      </w:tcPr>
                      <w:p>
                        <w:pPr>
                          <w:pStyle w:val="TableParagraph"/>
                          <w:spacing w:line="241" w:lineRule="exact" w:before="59"/>
                          <w:ind w:left="149"/>
                          <w:rPr>
                            <w:sz w:val="21"/>
                          </w:rPr>
                        </w:pPr>
                        <w:r>
                          <w:rPr>
                            <w:w w:val="105"/>
                            <w:sz w:val="21"/>
                          </w:rPr>
                          <w:t>Arborist Ben Kenyon explained that ‘any disputed issue within the TPZ could have a</w:t>
                        </w:r>
                      </w:p>
                    </w:tc>
                  </w:tr>
                  <w:tr>
                    <w:trPr>
                      <w:trHeight w:val="259" w:hRule="atLeast"/>
                    </w:trPr>
                    <w:tc>
                      <w:tcPr>
                        <w:tcW w:w="644" w:type="dxa"/>
                      </w:tcPr>
                      <w:p>
                        <w:pPr>
                          <w:pStyle w:val="TableParagraph"/>
                          <w:rPr>
                            <w:rFonts w:ascii="Times New Roman"/>
                            <w:sz w:val="18"/>
                          </w:rPr>
                        </w:pPr>
                      </w:p>
                    </w:tc>
                    <w:tc>
                      <w:tcPr>
                        <w:tcW w:w="8087" w:type="dxa"/>
                      </w:tcPr>
                      <w:p>
                        <w:pPr>
                          <w:pStyle w:val="TableParagraph"/>
                          <w:spacing w:line="240" w:lineRule="exact"/>
                          <w:ind w:left="149"/>
                          <w:rPr>
                            <w:sz w:val="21"/>
                          </w:rPr>
                        </w:pPr>
                        <w:r>
                          <w:rPr>
                            <w:w w:val="105"/>
                            <w:sz w:val="21"/>
                          </w:rPr>
                          <w:t>significant impact on the health, structure and useful life of a tree’, thus warranting legal</w:t>
                        </w:r>
                      </w:p>
                    </w:tc>
                  </w:tr>
                  <w:tr>
                    <w:trPr>
                      <w:trHeight w:val="259" w:hRule="atLeast"/>
                    </w:trPr>
                    <w:tc>
                      <w:tcPr>
                        <w:tcW w:w="644" w:type="dxa"/>
                      </w:tcPr>
                      <w:p>
                        <w:pPr>
                          <w:pStyle w:val="TableParagraph"/>
                          <w:rPr>
                            <w:rFonts w:ascii="Times New Roman"/>
                            <w:sz w:val="18"/>
                          </w:rPr>
                        </w:pPr>
                      </w:p>
                    </w:tc>
                    <w:tc>
                      <w:tcPr>
                        <w:tcW w:w="8087" w:type="dxa"/>
                      </w:tcPr>
                      <w:p>
                        <w:pPr>
                          <w:pStyle w:val="TableParagraph"/>
                          <w:spacing w:line="240" w:lineRule="exact"/>
                          <w:ind w:left="149"/>
                          <w:rPr>
                            <w:sz w:val="21"/>
                          </w:rPr>
                        </w:pPr>
                        <w:r>
                          <w:rPr>
                            <w:sz w:val="21"/>
                          </w:rPr>
                          <w:t>intervention, but that parts of the tree outside the TPZ that are causing the neighbour</w:t>
                        </w:r>
                      </w:p>
                    </w:tc>
                  </w:tr>
                  <w:tr>
                    <w:trPr>
                      <w:trHeight w:val="389" w:hRule="atLeast"/>
                    </w:trPr>
                    <w:tc>
                      <w:tcPr>
                        <w:tcW w:w="644" w:type="dxa"/>
                      </w:tcPr>
                      <w:p>
                        <w:pPr>
                          <w:pStyle w:val="TableParagraph"/>
                          <w:rPr>
                            <w:rFonts w:ascii="Times New Roman"/>
                            <w:sz w:val="18"/>
                          </w:rPr>
                        </w:pPr>
                      </w:p>
                    </w:tc>
                    <w:tc>
                      <w:tcPr>
                        <w:tcW w:w="8087" w:type="dxa"/>
                      </w:tcPr>
                      <w:p>
                        <w:pPr>
                          <w:pStyle w:val="TableParagraph"/>
                          <w:spacing w:line="256" w:lineRule="exact"/>
                          <w:ind w:left="149"/>
                          <w:rPr>
                            <w:sz w:val="21"/>
                          </w:rPr>
                        </w:pPr>
                        <w:r>
                          <w:rPr>
                            <w:w w:val="105"/>
                            <w:sz w:val="21"/>
                          </w:rPr>
                          <w:t>issues can be dealt with directly by the neighbour without affecting the tree.</w:t>
                        </w:r>
                        <w:r>
                          <w:rPr>
                            <w:w w:val="105"/>
                            <w:position w:val="7"/>
                            <w:sz w:val="12"/>
                          </w:rPr>
                          <w:t>178 </w:t>
                        </w:r>
                        <w:r>
                          <w:rPr>
                            <w:w w:val="105"/>
                            <w:sz w:val="21"/>
                          </w:rPr>
                          <w:t>Another</w:t>
                        </w:r>
                      </w:p>
                    </w:tc>
                  </w:tr>
                  <w:tr>
                    <w:trPr>
                      <w:trHeight w:val="545" w:hRule="atLeast"/>
                    </w:trPr>
                    <w:tc>
                      <w:tcPr>
                        <w:tcW w:w="644" w:type="dxa"/>
                        <w:tcBorders>
                          <w:bottom w:val="single" w:sz="8" w:space="0" w:color="C9D2CB"/>
                        </w:tcBorders>
                      </w:tcPr>
                      <w:p>
                        <w:pPr>
                          <w:pStyle w:val="TableParagraph"/>
                          <w:rPr>
                            <w:rFonts w:ascii="Times New Roman"/>
                            <w:sz w:val="18"/>
                          </w:rPr>
                        </w:pPr>
                      </w:p>
                    </w:tc>
                    <w:tc>
                      <w:tcPr>
                        <w:tcW w:w="8087" w:type="dxa"/>
                        <w:tcBorders>
                          <w:bottom w:val="single" w:sz="8" w:space="0" w:color="C9D2CB"/>
                        </w:tcBorders>
                      </w:tcPr>
                      <w:p>
                        <w:pPr>
                          <w:pStyle w:val="TableParagraph"/>
                          <w:spacing w:before="129"/>
                          <w:ind w:left="150"/>
                          <w:rPr>
                            <w:sz w:val="21"/>
                          </w:rPr>
                        </w:pPr>
                        <w:r>
                          <w:rPr>
                            <w:sz w:val="21"/>
                          </w:rPr>
                          <w:t>submission explained that any tree parts, such as branches or roots, that are affecting</w:t>
                        </w:r>
                      </w:p>
                    </w:tc>
                  </w:tr>
                  <w:tr>
                    <w:trPr>
                      <w:trHeight w:val="307" w:hRule="atLeast"/>
                    </w:trPr>
                    <w:tc>
                      <w:tcPr>
                        <w:tcW w:w="644" w:type="dxa"/>
                        <w:tcBorders>
                          <w:top w:val="single" w:sz="8" w:space="0" w:color="C9D2CB"/>
                        </w:tcBorders>
                      </w:tcPr>
                      <w:p>
                        <w:pPr>
                          <w:pStyle w:val="TableParagraph"/>
                          <w:spacing w:before="11"/>
                          <w:rPr>
                            <w:b/>
                            <w:sz w:val="11"/>
                          </w:rPr>
                        </w:pPr>
                      </w:p>
                      <w:p>
                        <w:pPr>
                          <w:pStyle w:val="TableParagraph"/>
                          <w:spacing w:line="141" w:lineRule="exact" w:before="1"/>
                          <w:rPr>
                            <w:sz w:val="13"/>
                          </w:rPr>
                        </w:pPr>
                        <w:r>
                          <w:rPr>
                            <w:w w:val="110"/>
                            <w:sz w:val="13"/>
                          </w:rPr>
                          <w:t>168</w:t>
                        </w:r>
                      </w:p>
                    </w:tc>
                    <w:tc>
                      <w:tcPr>
                        <w:tcW w:w="8087" w:type="dxa"/>
                        <w:tcBorders>
                          <w:top w:val="single" w:sz="8" w:space="0" w:color="C9D2CB"/>
                        </w:tcBorders>
                      </w:tcPr>
                      <w:p>
                        <w:pPr>
                          <w:pStyle w:val="TableParagraph"/>
                          <w:spacing w:before="11"/>
                          <w:rPr>
                            <w:b/>
                            <w:sz w:val="11"/>
                          </w:rPr>
                        </w:pPr>
                      </w:p>
                      <w:p>
                        <w:pPr>
                          <w:pStyle w:val="TableParagraph"/>
                          <w:spacing w:line="141" w:lineRule="exact" w:before="1"/>
                          <w:ind w:left="149"/>
                          <w:rPr>
                            <w:sz w:val="13"/>
                          </w:rPr>
                        </w:pPr>
                        <w:r>
                          <w:rPr>
                            <w:w w:val="105"/>
                            <w:sz w:val="13"/>
                          </w:rPr>
                          <w:t>Consultation 8 (City of Boroondara).</w:t>
                        </w:r>
                      </w:p>
                    </w:tc>
                  </w:tr>
                  <w:tr>
                    <w:trPr>
                      <w:trHeight w:val="160" w:hRule="atLeast"/>
                    </w:trPr>
                    <w:tc>
                      <w:tcPr>
                        <w:tcW w:w="644" w:type="dxa"/>
                      </w:tcPr>
                      <w:p>
                        <w:pPr>
                          <w:pStyle w:val="TableParagraph"/>
                          <w:spacing w:line="140" w:lineRule="exact"/>
                          <w:rPr>
                            <w:sz w:val="13"/>
                          </w:rPr>
                        </w:pPr>
                        <w:r>
                          <w:rPr>
                            <w:w w:val="110"/>
                            <w:sz w:val="13"/>
                          </w:rPr>
                          <w:t>169</w:t>
                        </w:r>
                      </w:p>
                    </w:tc>
                    <w:tc>
                      <w:tcPr>
                        <w:tcW w:w="8087" w:type="dxa"/>
                      </w:tcPr>
                      <w:p>
                        <w:pPr>
                          <w:pStyle w:val="TableParagraph"/>
                          <w:spacing w:line="140" w:lineRule="exact"/>
                          <w:ind w:left="149"/>
                          <w:rPr>
                            <w:sz w:val="13"/>
                          </w:rPr>
                        </w:pPr>
                        <w:r>
                          <w:rPr>
                            <w:w w:val="105"/>
                            <w:sz w:val="13"/>
                          </w:rPr>
                          <w:t>Information provided by the NSWLEC via telephone to the Commission, 4 December 2018.</w:t>
                        </w:r>
                      </w:p>
                    </w:tc>
                  </w:tr>
                  <w:tr>
                    <w:trPr>
                      <w:trHeight w:val="160" w:hRule="atLeast"/>
                    </w:trPr>
                    <w:tc>
                      <w:tcPr>
                        <w:tcW w:w="644" w:type="dxa"/>
                      </w:tcPr>
                      <w:p>
                        <w:pPr>
                          <w:pStyle w:val="TableParagraph"/>
                          <w:spacing w:line="140" w:lineRule="exact"/>
                          <w:rPr>
                            <w:sz w:val="13"/>
                          </w:rPr>
                        </w:pPr>
                        <w:r>
                          <w:rPr>
                            <w:w w:val="110"/>
                            <w:sz w:val="13"/>
                          </w:rPr>
                          <w:t>170</w:t>
                        </w:r>
                      </w:p>
                    </w:tc>
                    <w:tc>
                      <w:tcPr>
                        <w:tcW w:w="8087" w:type="dxa"/>
                      </w:tcPr>
                      <w:p>
                        <w:pPr>
                          <w:pStyle w:val="TableParagraph"/>
                          <w:spacing w:line="140" w:lineRule="exact"/>
                          <w:ind w:left="149"/>
                          <w:rPr>
                            <w:sz w:val="13"/>
                          </w:rPr>
                        </w:pPr>
                        <w:r>
                          <w:rPr>
                            <w:w w:val="105"/>
                            <w:sz w:val="13"/>
                          </w:rPr>
                          <w:t>Consultation 11 (Land and Environment Court of New South Wales).</w:t>
                        </w:r>
                      </w:p>
                    </w:tc>
                  </w:tr>
                  <w:tr>
                    <w:trPr>
                      <w:trHeight w:val="160" w:hRule="atLeast"/>
                    </w:trPr>
                    <w:tc>
                      <w:tcPr>
                        <w:tcW w:w="644" w:type="dxa"/>
                      </w:tcPr>
                      <w:p>
                        <w:pPr>
                          <w:pStyle w:val="TableParagraph"/>
                          <w:spacing w:line="140" w:lineRule="exact"/>
                          <w:rPr>
                            <w:sz w:val="13"/>
                          </w:rPr>
                        </w:pPr>
                        <w:r>
                          <w:rPr>
                            <w:w w:val="110"/>
                            <w:sz w:val="13"/>
                          </w:rPr>
                          <w:t>171</w:t>
                        </w:r>
                      </w:p>
                    </w:tc>
                    <w:tc>
                      <w:tcPr>
                        <w:tcW w:w="8087" w:type="dxa"/>
                      </w:tcPr>
                      <w:p>
                        <w:pPr>
                          <w:pStyle w:val="TableParagraph"/>
                          <w:spacing w:line="140" w:lineRule="exact"/>
                          <w:ind w:left="149"/>
                          <w:rPr>
                            <w:sz w:val="13"/>
                          </w:rPr>
                        </w:pPr>
                        <w:r>
                          <w:rPr>
                            <w:w w:val="105"/>
                            <w:sz w:val="13"/>
                          </w:rPr>
                          <w:t>Submission 23 (Name withheld), 38 (L Barry Wollmer).</w:t>
                        </w:r>
                      </w:p>
                    </w:tc>
                  </w:tr>
                  <w:tr>
                    <w:trPr>
                      <w:trHeight w:val="160" w:hRule="atLeast"/>
                    </w:trPr>
                    <w:tc>
                      <w:tcPr>
                        <w:tcW w:w="644" w:type="dxa"/>
                      </w:tcPr>
                      <w:p>
                        <w:pPr>
                          <w:pStyle w:val="TableParagraph"/>
                          <w:spacing w:line="140" w:lineRule="exact"/>
                          <w:rPr>
                            <w:sz w:val="13"/>
                          </w:rPr>
                        </w:pPr>
                        <w:r>
                          <w:rPr>
                            <w:w w:val="110"/>
                            <w:sz w:val="13"/>
                          </w:rPr>
                          <w:t>172</w:t>
                        </w:r>
                      </w:p>
                    </w:tc>
                    <w:tc>
                      <w:tcPr>
                        <w:tcW w:w="8087" w:type="dxa"/>
                      </w:tcPr>
                      <w:p>
                        <w:pPr>
                          <w:pStyle w:val="TableParagraph"/>
                          <w:spacing w:line="140" w:lineRule="exact"/>
                          <w:ind w:left="150"/>
                          <w:rPr>
                            <w:sz w:val="13"/>
                          </w:rPr>
                        </w:pPr>
                        <w:r>
                          <w:rPr>
                            <w:w w:val="105"/>
                            <w:sz w:val="13"/>
                          </w:rPr>
                          <w:t>Submissions 4 (Name withheld), 6 (Name withheld).</w:t>
                        </w:r>
                      </w:p>
                    </w:tc>
                  </w:tr>
                  <w:tr>
                    <w:trPr>
                      <w:trHeight w:val="160" w:hRule="atLeast"/>
                    </w:trPr>
                    <w:tc>
                      <w:tcPr>
                        <w:tcW w:w="644" w:type="dxa"/>
                      </w:tcPr>
                      <w:p>
                        <w:pPr>
                          <w:pStyle w:val="TableParagraph"/>
                          <w:spacing w:line="140" w:lineRule="exact"/>
                          <w:rPr>
                            <w:sz w:val="13"/>
                          </w:rPr>
                        </w:pPr>
                        <w:r>
                          <w:rPr>
                            <w:w w:val="110"/>
                            <w:sz w:val="13"/>
                          </w:rPr>
                          <w:t>173</w:t>
                        </w:r>
                      </w:p>
                    </w:tc>
                    <w:tc>
                      <w:tcPr>
                        <w:tcW w:w="8087" w:type="dxa"/>
                      </w:tcPr>
                      <w:p>
                        <w:pPr>
                          <w:pStyle w:val="TableParagraph"/>
                          <w:spacing w:line="140" w:lineRule="exact"/>
                          <w:ind w:left="150"/>
                          <w:rPr>
                            <w:sz w:val="13"/>
                          </w:rPr>
                        </w:pPr>
                        <w:r>
                          <w:rPr>
                            <w:w w:val="105"/>
                            <w:sz w:val="13"/>
                          </w:rPr>
                          <w:t>Submission 21 (Pointon Partners Lawyers).</w:t>
                        </w:r>
                      </w:p>
                    </w:tc>
                  </w:tr>
                  <w:tr>
                    <w:trPr>
                      <w:trHeight w:val="159" w:hRule="atLeast"/>
                    </w:trPr>
                    <w:tc>
                      <w:tcPr>
                        <w:tcW w:w="644" w:type="dxa"/>
                      </w:tcPr>
                      <w:p>
                        <w:pPr>
                          <w:pStyle w:val="TableParagraph"/>
                          <w:spacing w:line="140" w:lineRule="exact"/>
                          <w:rPr>
                            <w:sz w:val="13"/>
                          </w:rPr>
                        </w:pPr>
                        <w:r>
                          <w:rPr>
                            <w:w w:val="110"/>
                            <w:sz w:val="13"/>
                          </w:rPr>
                          <w:t>174</w:t>
                        </w:r>
                      </w:p>
                    </w:tc>
                    <w:tc>
                      <w:tcPr>
                        <w:tcW w:w="8087" w:type="dxa"/>
                      </w:tcPr>
                      <w:p>
                        <w:pPr>
                          <w:pStyle w:val="TableParagraph"/>
                          <w:spacing w:line="140" w:lineRule="exact"/>
                          <w:ind w:left="150"/>
                          <w:rPr>
                            <w:sz w:val="13"/>
                          </w:rPr>
                        </w:pPr>
                        <w:r>
                          <w:rPr>
                            <w:w w:val="105"/>
                            <w:sz w:val="13"/>
                          </w:rPr>
                          <w:t>Submission 27 (Name withheld).</w:t>
                        </w:r>
                      </w:p>
                    </w:tc>
                  </w:tr>
                  <w:tr>
                    <w:trPr>
                      <w:trHeight w:val="160" w:hRule="atLeast"/>
                    </w:trPr>
                    <w:tc>
                      <w:tcPr>
                        <w:tcW w:w="644" w:type="dxa"/>
                      </w:tcPr>
                      <w:p>
                        <w:pPr>
                          <w:pStyle w:val="TableParagraph"/>
                          <w:spacing w:line="140" w:lineRule="exact"/>
                          <w:rPr>
                            <w:sz w:val="13"/>
                          </w:rPr>
                        </w:pPr>
                        <w:r>
                          <w:rPr>
                            <w:w w:val="110"/>
                            <w:sz w:val="13"/>
                          </w:rPr>
                          <w:t>175</w:t>
                        </w:r>
                      </w:p>
                    </w:tc>
                    <w:tc>
                      <w:tcPr>
                        <w:tcW w:w="8087" w:type="dxa"/>
                      </w:tcPr>
                      <w:p>
                        <w:pPr>
                          <w:pStyle w:val="TableParagraph"/>
                          <w:spacing w:line="140" w:lineRule="exact"/>
                          <w:ind w:left="150"/>
                          <w:rPr>
                            <w:sz w:val="13"/>
                          </w:rPr>
                        </w:pPr>
                        <w:r>
                          <w:rPr>
                            <w:w w:val="105"/>
                            <w:sz w:val="13"/>
                          </w:rPr>
                          <w:t>See, eg, Submission 7 (Ben Kenyon); See Standards Australia, </w:t>
                        </w:r>
                        <w:r>
                          <w:rPr>
                            <w:i/>
                            <w:w w:val="105"/>
                            <w:sz w:val="13"/>
                          </w:rPr>
                          <w:t>Protection of Trees on Development Sites </w:t>
                        </w:r>
                        <w:r>
                          <w:rPr>
                            <w:w w:val="105"/>
                            <w:sz w:val="13"/>
                          </w:rPr>
                          <w:t>(AS 4970-2009) (Sydney, NSW:</w:t>
                        </w:r>
                      </w:p>
                    </w:tc>
                  </w:tr>
                  <w:tr>
                    <w:trPr>
                      <w:trHeight w:val="319" w:hRule="atLeast"/>
                    </w:trPr>
                    <w:tc>
                      <w:tcPr>
                        <w:tcW w:w="644" w:type="dxa"/>
                      </w:tcPr>
                      <w:p>
                        <w:pPr>
                          <w:pStyle w:val="TableParagraph"/>
                          <w:rPr>
                            <w:b/>
                            <w:sz w:val="13"/>
                          </w:rPr>
                        </w:pPr>
                      </w:p>
                      <w:p>
                        <w:pPr>
                          <w:pStyle w:val="TableParagraph"/>
                          <w:spacing w:line="140" w:lineRule="exact"/>
                          <w:rPr>
                            <w:sz w:val="13"/>
                          </w:rPr>
                        </w:pPr>
                        <w:r>
                          <w:rPr>
                            <w:w w:val="110"/>
                            <w:sz w:val="13"/>
                          </w:rPr>
                          <w:t>176</w:t>
                        </w:r>
                      </w:p>
                    </w:tc>
                    <w:tc>
                      <w:tcPr>
                        <w:tcW w:w="8087" w:type="dxa"/>
                      </w:tcPr>
                      <w:p>
                        <w:pPr>
                          <w:pStyle w:val="TableParagraph"/>
                          <w:spacing w:line="158" w:lineRule="exact"/>
                          <w:ind w:left="150"/>
                          <w:rPr>
                            <w:sz w:val="13"/>
                          </w:rPr>
                        </w:pPr>
                        <w:r>
                          <w:rPr>
                            <w:w w:val="105"/>
                            <w:sz w:val="13"/>
                          </w:rPr>
                          <w:t>Standards Australia, 2009).</w:t>
                        </w:r>
                      </w:p>
                      <w:p>
                        <w:pPr>
                          <w:pStyle w:val="TableParagraph"/>
                          <w:spacing w:line="140" w:lineRule="exact" w:before="1"/>
                          <w:ind w:left="150"/>
                          <w:rPr>
                            <w:sz w:val="13"/>
                          </w:rPr>
                        </w:pPr>
                        <w:r>
                          <w:rPr>
                            <w:w w:val="105"/>
                            <w:sz w:val="13"/>
                          </w:rPr>
                          <w:t>See, eg, Standards Australia, </w:t>
                        </w:r>
                        <w:r>
                          <w:rPr>
                            <w:i/>
                            <w:w w:val="105"/>
                            <w:sz w:val="13"/>
                          </w:rPr>
                          <w:t>Protection of Trees on Development Sites </w:t>
                        </w:r>
                        <w:r>
                          <w:rPr>
                            <w:w w:val="105"/>
                            <w:sz w:val="13"/>
                          </w:rPr>
                          <w:t>(AS 4970-2009) (Sydney, NSW: Standards Australia, 2009) [1.4.7].</w:t>
                        </w:r>
                      </w:p>
                    </w:tc>
                  </w:tr>
                  <w:tr>
                    <w:trPr>
                      <w:trHeight w:val="160" w:hRule="atLeast"/>
                    </w:trPr>
                    <w:tc>
                      <w:tcPr>
                        <w:tcW w:w="644" w:type="dxa"/>
                      </w:tcPr>
                      <w:p>
                        <w:pPr>
                          <w:pStyle w:val="TableParagraph"/>
                          <w:spacing w:line="140" w:lineRule="exact"/>
                          <w:rPr>
                            <w:sz w:val="13"/>
                          </w:rPr>
                        </w:pPr>
                        <w:r>
                          <w:rPr>
                            <w:w w:val="110"/>
                            <w:sz w:val="13"/>
                          </w:rPr>
                          <w:t>177</w:t>
                        </w:r>
                      </w:p>
                    </w:tc>
                    <w:tc>
                      <w:tcPr>
                        <w:tcW w:w="8087" w:type="dxa"/>
                      </w:tcPr>
                      <w:p>
                        <w:pPr>
                          <w:pStyle w:val="TableParagraph"/>
                          <w:spacing w:line="140" w:lineRule="exact"/>
                          <w:ind w:left="150"/>
                          <w:rPr>
                            <w:sz w:val="13"/>
                          </w:rPr>
                        </w:pPr>
                        <w:r>
                          <w:rPr>
                            <w:w w:val="105"/>
                            <w:sz w:val="13"/>
                          </w:rPr>
                          <w:t>See, eg, City of Port Phillip, </w:t>
                        </w:r>
                        <w:r>
                          <w:rPr>
                            <w:i/>
                            <w:w w:val="105"/>
                            <w:sz w:val="13"/>
                          </w:rPr>
                          <w:t>Tree Protection Fact Sheet </w:t>
                        </w:r>
                        <w:r>
                          <w:rPr>
                            <w:w w:val="105"/>
                            <w:sz w:val="13"/>
                          </w:rPr>
                          <w:t>(February 2019) &lt;</w:t>
                        </w:r>
                        <w:hyperlink r:id="rId105">
                          <w:r>
                            <w:rPr>
                              <w:w w:val="105"/>
                              <w:sz w:val="13"/>
                            </w:rPr>
                            <w:t>http://www.portphillip.vic.gov.au/tree_maintenance.htm</w:t>
                          </w:r>
                        </w:hyperlink>
                        <w:r>
                          <w:rPr>
                            <w:w w:val="105"/>
                            <w:sz w:val="13"/>
                          </w:rPr>
                          <w:t>&gt;.</w:t>
                        </w:r>
                      </w:p>
                    </w:tc>
                  </w:tr>
                  <w:tr>
                    <w:trPr>
                      <w:trHeight w:val="155" w:hRule="atLeast"/>
                    </w:trPr>
                    <w:tc>
                      <w:tcPr>
                        <w:tcW w:w="644" w:type="dxa"/>
                      </w:tcPr>
                      <w:p>
                        <w:pPr>
                          <w:pStyle w:val="TableParagraph"/>
                          <w:spacing w:line="135" w:lineRule="exact"/>
                          <w:rPr>
                            <w:sz w:val="13"/>
                          </w:rPr>
                        </w:pPr>
                        <w:r>
                          <w:rPr>
                            <w:w w:val="110"/>
                            <w:sz w:val="13"/>
                          </w:rPr>
                          <w:t>178</w:t>
                        </w:r>
                      </w:p>
                    </w:tc>
                    <w:tc>
                      <w:tcPr>
                        <w:tcW w:w="8087" w:type="dxa"/>
                      </w:tcPr>
                      <w:p>
                        <w:pPr>
                          <w:pStyle w:val="TableParagraph"/>
                          <w:spacing w:line="135" w:lineRule="exact"/>
                          <w:ind w:left="150"/>
                          <w:rPr>
                            <w:sz w:val="13"/>
                          </w:rPr>
                        </w:pPr>
                        <w:r>
                          <w:rPr>
                            <w:w w:val="105"/>
                            <w:sz w:val="13"/>
                          </w:rPr>
                          <w:t>Submission 7 (Ben Kenyon).</w:t>
                        </w:r>
                      </w:p>
                    </w:tc>
                  </w:tr>
                </w:tbl>
                <w:p>
                  <w:pPr>
                    <w:pStyle w:val="BodyText"/>
                  </w:pPr>
                </w:p>
              </w:txbxContent>
            </v:textbox>
            <w10:wrap type="none"/>
          </v:shape>
        </w:pict>
      </w:r>
      <w:r>
        <w:rPr>
          <w:color w:val="58595B"/>
          <w:w w:val="115"/>
        </w:rPr>
        <w:t>Tree Protection Zone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23"/>
        </w:rPr>
      </w:pPr>
    </w:p>
    <w:p>
      <w:pPr>
        <w:spacing w:before="0"/>
        <w:ind w:left="720" w:right="0" w:firstLine="0"/>
        <w:jc w:val="left"/>
        <w:rPr>
          <w:b/>
          <w:sz w:val="24"/>
        </w:rPr>
      </w:pPr>
      <w:r>
        <w:rPr>
          <w:b/>
          <w:color w:val="658464"/>
          <w:w w:val="110"/>
          <w:sz w:val="24"/>
        </w:rPr>
        <w:t>82</w:t>
      </w:r>
    </w:p>
    <w:p>
      <w:pPr>
        <w:spacing w:after="0"/>
        <w:jc w:val="left"/>
        <w:rPr>
          <w:sz w:val="24"/>
        </w:rPr>
        <w:sectPr>
          <w:pgSz w:w="11910" w:h="16840"/>
          <w:pgMar w:header="546" w:footer="0" w:top="1560" w:bottom="280" w:left="0" w:right="0"/>
        </w:sectPr>
      </w:pPr>
    </w:p>
    <w:p>
      <w:pPr>
        <w:pStyle w:val="BodyText"/>
        <w:rPr>
          <w:b/>
          <w:sz w:val="20"/>
        </w:rPr>
      </w:pPr>
    </w:p>
    <w:p>
      <w:pPr>
        <w:pStyle w:val="BodyText"/>
        <w:spacing w:before="9"/>
        <w:rPr>
          <w:b/>
          <w:sz w:val="18"/>
        </w:rPr>
      </w:pPr>
    </w:p>
    <w:p>
      <w:pPr>
        <w:pStyle w:val="BodyText"/>
        <w:spacing w:line="242" w:lineRule="auto" w:before="91"/>
        <w:ind w:left="2381" w:right="1636"/>
        <w:rPr>
          <w:sz w:val="12"/>
        </w:rPr>
      </w:pPr>
      <w:bookmarkStart w:name="_bookmark48" w:id="116"/>
      <w:bookmarkEnd w:id="116"/>
      <w:r>
        <w:rPr/>
      </w:r>
      <w:r>
        <w:rPr>
          <w:spacing w:val="-3"/>
          <w:w w:val="105"/>
        </w:rPr>
        <w:t>neighbouring land </w:t>
      </w:r>
      <w:r>
        <w:rPr>
          <w:w w:val="105"/>
        </w:rPr>
        <w:t>but </w:t>
      </w:r>
      <w:r>
        <w:rPr>
          <w:spacing w:val="-3"/>
          <w:w w:val="105"/>
        </w:rPr>
        <w:t>are </w:t>
      </w:r>
      <w:r>
        <w:rPr>
          <w:w w:val="105"/>
        </w:rPr>
        <w:t>outside the </w:t>
      </w:r>
      <w:r>
        <w:rPr>
          <w:spacing w:val="-4"/>
          <w:w w:val="105"/>
        </w:rPr>
        <w:t>tree’s </w:t>
      </w:r>
      <w:r>
        <w:rPr>
          <w:w w:val="105"/>
        </w:rPr>
        <w:t>TPZ should be </w:t>
      </w:r>
      <w:r>
        <w:rPr>
          <w:spacing w:val="-3"/>
          <w:w w:val="105"/>
        </w:rPr>
        <w:t>considered </w:t>
      </w:r>
      <w:r>
        <w:rPr>
          <w:spacing w:val="-7"/>
          <w:w w:val="105"/>
        </w:rPr>
        <w:t>‘a </w:t>
      </w:r>
      <w:r>
        <w:rPr>
          <w:spacing w:val="-3"/>
          <w:w w:val="105"/>
        </w:rPr>
        <w:t>natural </w:t>
      </w:r>
      <w:r>
        <w:rPr>
          <w:w w:val="105"/>
        </w:rPr>
        <w:t>risk of </w:t>
      </w:r>
      <w:r>
        <w:rPr>
          <w:spacing w:val="-3"/>
          <w:w w:val="105"/>
        </w:rPr>
        <w:t>living </w:t>
      </w:r>
      <w:r>
        <w:rPr>
          <w:w w:val="105"/>
        </w:rPr>
        <w:t>near </w:t>
      </w:r>
      <w:r>
        <w:rPr>
          <w:spacing w:val="-6"/>
          <w:w w:val="105"/>
        </w:rPr>
        <w:t>trees’.</w:t>
      </w:r>
      <w:r>
        <w:rPr>
          <w:spacing w:val="-6"/>
          <w:w w:val="105"/>
          <w:position w:val="7"/>
          <w:sz w:val="12"/>
        </w:rPr>
        <w:t>179</w:t>
      </w:r>
    </w:p>
    <w:p>
      <w:pPr>
        <w:pStyle w:val="BodyText"/>
        <w:spacing w:before="3"/>
        <w:rPr>
          <w:sz w:val="20"/>
        </w:rPr>
      </w:pPr>
    </w:p>
    <w:p>
      <w:pPr>
        <w:pStyle w:val="Heading5"/>
      </w:pPr>
      <w:r>
        <w:rPr>
          <w:w w:val="115"/>
        </w:rPr>
        <w:t>The Commission’s conclusions—proximity to affected neighbour’s land</w:t>
      </w:r>
    </w:p>
    <w:p>
      <w:pPr>
        <w:pStyle w:val="Heading7"/>
        <w:spacing w:before="168"/>
      </w:pPr>
      <w:r>
        <w:rPr>
          <w:color w:val="58595B"/>
          <w:w w:val="115"/>
        </w:rPr>
        <w:t>Neighbours’ land should be adjoining</w:t>
      </w:r>
    </w:p>
    <w:p>
      <w:pPr>
        <w:pStyle w:val="ListParagraph"/>
        <w:numPr>
          <w:ilvl w:val="0"/>
          <w:numId w:val="56"/>
        </w:numPr>
        <w:tabs>
          <w:tab w:pos="2381" w:val="left" w:leader="none"/>
          <w:tab w:pos="2382" w:val="left" w:leader="none"/>
        </w:tabs>
        <w:spacing w:line="242" w:lineRule="auto" w:before="143" w:after="0"/>
        <w:ind w:left="2381" w:right="1769" w:hanging="794"/>
        <w:jc w:val="left"/>
        <w:rPr>
          <w:sz w:val="12"/>
        </w:rPr>
      </w:pPr>
      <w:r>
        <w:rPr>
          <w:spacing w:val="-3"/>
          <w:w w:val="105"/>
          <w:sz w:val="21"/>
        </w:rPr>
        <w:t>Allowing any </w:t>
      </w:r>
      <w:r>
        <w:rPr>
          <w:w w:val="105"/>
          <w:sz w:val="21"/>
        </w:rPr>
        <w:t>person in the neighbourhood </w:t>
      </w:r>
      <w:r>
        <w:rPr>
          <w:spacing w:val="-3"/>
          <w:w w:val="105"/>
          <w:sz w:val="21"/>
        </w:rPr>
        <w:t>to take </w:t>
      </w:r>
      <w:r>
        <w:rPr>
          <w:w w:val="105"/>
          <w:sz w:val="21"/>
        </w:rPr>
        <w:t>legal action </w:t>
      </w:r>
      <w:r>
        <w:rPr>
          <w:spacing w:val="-3"/>
          <w:w w:val="105"/>
          <w:sz w:val="21"/>
        </w:rPr>
        <w:t>against </w:t>
      </w:r>
      <w:r>
        <w:rPr>
          <w:w w:val="105"/>
          <w:sz w:val="21"/>
        </w:rPr>
        <w:t>a tree owner would be too </w:t>
      </w:r>
      <w:r>
        <w:rPr>
          <w:spacing w:val="-3"/>
          <w:w w:val="105"/>
          <w:sz w:val="21"/>
        </w:rPr>
        <w:t>broad. </w:t>
      </w:r>
      <w:r>
        <w:rPr>
          <w:w w:val="105"/>
          <w:sz w:val="21"/>
        </w:rPr>
        <w:t>It would go beyond the goal of resolving tree </w:t>
      </w:r>
      <w:r>
        <w:rPr>
          <w:spacing w:val="-3"/>
          <w:w w:val="105"/>
          <w:sz w:val="21"/>
        </w:rPr>
        <w:t>disputes </w:t>
      </w:r>
      <w:r>
        <w:rPr>
          <w:w w:val="105"/>
          <w:sz w:val="21"/>
        </w:rPr>
        <w:t>between neighbours and </w:t>
      </w:r>
      <w:r>
        <w:rPr>
          <w:spacing w:val="-3"/>
          <w:w w:val="105"/>
          <w:sz w:val="21"/>
        </w:rPr>
        <w:t>reach </w:t>
      </w:r>
      <w:r>
        <w:rPr>
          <w:spacing w:val="-4"/>
          <w:w w:val="105"/>
          <w:sz w:val="21"/>
        </w:rPr>
        <w:t>into </w:t>
      </w:r>
      <w:r>
        <w:rPr>
          <w:w w:val="105"/>
          <w:sz w:val="21"/>
        </w:rPr>
        <w:t>the broader </w:t>
      </w:r>
      <w:r>
        <w:rPr>
          <w:spacing w:val="-4"/>
          <w:w w:val="105"/>
          <w:sz w:val="21"/>
        </w:rPr>
        <w:t>community. </w:t>
      </w:r>
      <w:r>
        <w:rPr>
          <w:spacing w:val="-3"/>
          <w:w w:val="105"/>
          <w:sz w:val="21"/>
        </w:rPr>
        <w:t>Disputes </w:t>
      </w:r>
      <w:r>
        <w:rPr>
          <w:w w:val="105"/>
          <w:sz w:val="21"/>
        </w:rPr>
        <w:t>about trees </w:t>
      </w:r>
      <w:r>
        <w:rPr>
          <w:spacing w:val="-3"/>
          <w:w w:val="105"/>
          <w:sz w:val="21"/>
        </w:rPr>
        <w:t>that </w:t>
      </w:r>
      <w:r>
        <w:rPr>
          <w:w w:val="105"/>
          <w:sz w:val="21"/>
        </w:rPr>
        <w:t>affect the neighbourhood</w:t>
      </w:r>
      <w:r>
        <w:rPr>
          <w:spacing w:val="-7"/>
          <w:w w:val="105"/>
          <w:sz w:val="21"/>
        </w:rPr>
        <w:t> </w:t>
      </w:r>
      <w:r>
        <w:rPr>
          <w:w w:val="105"/>
          <w:sz w:val="21"/>
        </w:rPr>
        <w:t>more</w:t>
      </w:r>
      <w:r>
        <w:rPr>
          <w:spacing w:val="-7"/>
          <w:w w:val="105"/>
          <w:sz w:val="21"/>
        </w:rPr>
        <w:t> </w:t>
      </w:r>
      <w:r>
        <w:rPr>
          <w:w w:val="105"/>
          <w:sz w:val="21"/>
        </w:rPr>
        <w:t>broadly</w:t>
      </w:r>
      <w:r>
        <w:rPr>
          <w:spacing w:val="-6"/>
          <w:w w:val="105"/>
          <w:sz w:val="21"/>
        </w:rPr>
        <w:t> </w:t>
      </w:r>
      <w:r>
        <w:rPr>
          <w:spacing w:val="-3"/>
          <w:w w:val="105"/>
          <w:sz w:val="21"/>
        </w:rPr>
        <w:t>may</w:t>
      </w:r>
      <w:r>
        <w:rPr>
          <w:spacing w:val="-7"/>
          <w:w w:val="105"/>
          <w:sz w:val="21"/>
        </w:rPr>
        <w:t> </w:t>
      </w:r>
      <w:r>
        <w:rPr>
          <w:w w:val="105"/>
          <w:sz w:val="21"/>
        </w:rPr>
        <w:t>be</w:t>
      </w:r>
      <w:r>
        <w:rPr>
          <w:spacing w:val="-7"/>
          <w:w w:val="105"/>
          <w:sz w:val="21"/>
        </w:rPr>
        <w:t> </w:t>
      </w:r>
      <w:r>
        <w:rPr>
          <w:w w:val="105"/>
          <w:sz w:val="21"/>
        </w:rPr>
        <w:t>better</w:t>
      </w:r>
      <w:r>
        <w:rPr>
          <w:spacing w:val="-6"/>
          <w:w w:val="105"/>
          <w:sz w:val="21"/>
        </w:rPr>
        <w:t> </w:t>
      </w:r>
      <w:r>
        <w:rPr>
          <w:w w:val="105"/>
          <w:sz w:val="21"/>
        </w:rPr>
        <w:t>dealt</w:t>
      </w:r>
      <w:r>
        <w:rPr>
          <w:spacing w:val="-7"/>
          <w:w w:val="105"/>
          <w:sz w:val="21"/>
        </w:rPr>
        <w:t> </w:t>
      </w:r>
      <w:r>
        <w:rPr>
          <w:w w:val="105"/>
          <w:sz w:val="21"/>
        </w:rPr>
        <w:t>with</w:t>
      </w:r>
      <w:r>
        <w:rPr>
          <w:spacing w:val="-7"/>
          <w:w w:val="105"/>
          <w:sz w:val="21"/>
        </w:rPr>
        <w:t> </w:t>
      </w:r>
      <w:r>
        <w:rPr>
          <w:spacing w:val="-3"/>
          <w:w w:val="105"/>
          <w:sz w:val="21"/>
        </w:rPr>
        <w:t>through</w:t>
      </w:r>
      <w:r>
        <w:rPr>
          <w:spacing w:val="-6"/>
          <w:w w:val="105"/>
          <w:sz w:val="21"/>
        </w:rPr>
        <w:t> </w:t>
      </w:r>
      <w:r>
        <w:rPr>
          <w:w w:val="105"/>
          <w:sz w:val="21"/>
        </w:rPr>
        <w:t>local</w:t>
      </w:r>
      <w:r>
        <w:rPr>
          <w:spacing w:val="-7"/>
          <w:w w:val="105"/>
          <w:sz w:val="21"/>
        </w:rPr>
        <w:t> </w:t>
      </w:r>
      <w:r>
        <w:rPr>
          <w:w w:val="105"/>
          <w:sz w:val="21"/>
        </w:rPr>
        <w:t>laws,</w:t>
      </w:r>
      <w:r>
        <w:rPr>
          <w:spacing w:val="-7"/>
          <w:w w:val="105"/>
          <w:sz w:val="21"/>
        </w:rPr>
        <w:t> </w:t>
      </w:r>
      <w:r>
        <w:rPr>
          <w:spacing w:val="-3"/>
          <w:w w:val="105"/>
          <w:sz w:val="21"/>
        </w:rPr>
        <w:t>public</w:t>
      </w:r>
      <w:r>
        <w:rPr>
          <w:spacing w:val="-6"/>
          <w:w w:val="105"/>
          <w:sz w:val="21"/>
        </w:rPr>
        <w:t> </w:t>
      </w:r>
      <w:r>
        <w:rPr>
          <w:spacing w:val="-3"/>
          <w:w w:val="105"/>
          <w:sz w:val="21"/>
        </w:rPr>
        <w:t>health </w:t>
      </w:r>
      <w:r>
        <w:rPr>
          <w:w w:val="105"/>
          <w:sz w:val="21"/>
        </w:rPr>
        <w:t>and safety laws, or </w:t>
      </w:r>
      <w:r>
        <w:rPr>
          <w:spacing w:val="-3"/>
          <w:w w:val="105"/>
          <w:sz w:val="21"/>
        </w:rPr>
        <w:t>public</w:t>
      </w:r>
      <w:r>
        <w:rPr>
          <w:spacing w:val="25"/>
          <w:w w:val="105"/>
          <w:sz w:val="21"/>
        </w:rPr>
        <w:t> </w:t>
      </w:r>
      <w:r>
        <w:rPr>
          <w:spacing w:val="-4"/>
          <w:w w:val="105"/>
          <w:sz w:val="21"/>
        </w:rPr>
        <w:t>nuisance.</w:t>
      </w:r>
      <w:r>
        <w:rPr>
          <w:spacing w:val="-4"/>
          <w:w w:val="105"/>
          <w:position w:val="7"/>
          <w:sz w:val="12"/>
        </w:rPr>
        <w:t>180</w:t>
      </w:r>
    </w:p>
    <w:p>
      <w:pPr>
        <w:pStyle w:val="ListParagraph"/>
        <w:numPr>
          <w:ilvl w:val="0"/>
          <w:numId w:val="56"/>
        </w:numPr>
        <w:tabs>
          <w:tab w:pos="2381" w:val="left" w:leader="none"/>
          <w:tab w:pos="2382" w:val="left" w:leader="none"/>
        </w:tabs>
        <w:spacing w:line="242" w:lineRule="auto" w:before="125" w:after="0"/>
        <w:ind w:left="2381" w:right="1736" w:hanging="794"/>
        <w:jc w:val="left"/>
        <w:rPr>
          <w:sz w:val="21"/>
        </w:rPr>
      </w:pPr>
      <w:r>
        <w:rPr>
          <w:w w:val="105"/>
          <w:sz w:val="21"/>
        </w:rPr>
        <w:t>As the new Act </w:t>
      </w:r>
      <w:r>
        <w:rPr>
          <w:spacing w:val="-3"/>
          <w:w w:val="105"/>
          <w:sz w:val="21"/>
        </w:rPr>
        <w:t>aims to </w:t>
      </w:r>
      <w:r>
        <w:rPr>
          <w:w w:val="105"/>
          <w:sz w:val="21"/>
        </w:rPr>
        <w:t>provide </w:t>
      </w:r>
      <w:r>
        <w:rPr>
          <w:spacing w:val="-3"/>
          <w:w w:val="105"/>
          <w:sz w:val="21"/>
        </w:rPr>
        <w:t>for </w:t>
      </w:r>
      <w:r>
        <w:rPr>
          <w:w w:val="105"/>
          <w:sz w:val="21"/>
        </w:rPr>
        <w:t>the resolution of tree </w:t>
      </w:r>
      <w:r>
        <w:rPr>
          <w:spacing w:val="-3"/>
          <w:w w:val="105"/>
          <w:sz w:val="21"/>
        </w:rPr>
        <w:t>disputes </w:t>
      </w:r>
      <w:r>
        <w:rPr>
          <w:w w:val="105"/>
          <w:sz w:val="21"/>
        </w:rPr>
        <w:t>between neighbours, a</w:t>
      </w:r>
      <w:r>
        <w:rPr>
          <w:spacing w:val="-6"/>
          <w:w w:val="105"/>
          <w:sz w:val="21"/>
        </w:rPr>
        <w:t> </w:t>
      </w:r>
      <w:r>
        <w:rPr>
          <w:w w:val="105"/>
          <w:sz w:val="21"/>
        </w:rPr>
        <w:t>certain</w:t>
      </w:r>
      <w:r>
        <w:rPr>
          <w:spacing w:val="-6"/>
          <w:w w:val="105"/>
          <w:sz w:val="21"/>
        </w:rPr>
        <w:t> </w:t>
      </w:r>
      <w:r>
        <w:rPr>
          <w:w w:val="105"/>
          <w:sz w:val="21"/>
        </w:rPr>
        <w:t>degree</w:t>
      </w:r>
      <w:r>
        <w:rPr>
          <w:spacing w:val="-5"/>
          <w:w w:val="105"/>
          <w:sz w:val="21"/>
        </w:rPr>
        <w:t> </w:t>
      </w:r>
      <w:r>
        <w:rPr>
          <w:w w:val="105"/>
          <w:sz w:val="21"/>
        </w:rPr>
        <w:t>of</w:t>
      </w:r>
      <w:r>
        <w:rPr>
          <w:spacing w:val="-6"/>
          <w:w w:val="105"/>
          <w:sz w:val="21"/>
        </w:rPr>
        <w:t> </w:t>
      </w:r>
      <w:r>
        <w:rPr>
          <w:spacing w:val="-3"/>
          <w:w w:val="105"/>
          <w:sz w:val="21"/>
        </w:rPr>
        <w:t>proximity</w:t>
      </w:r>
      <w:r>
        <w:rPr>
          <w:spacing w:val="-5"/>
          <w:w w:val="105"/>
          <w:sz w:val="21"/>
        </w:rPr>
        <w:t> </w:t>
      </w:r>
      <w:r>
        <w:rPr>
          <w:w w:val="105"/>
          <w:sz w:val="21"/>
        </w:rPr>
        <w:t>between</w:t>
      </w:r>
      <w:r>
        <w:rPr>
          <w:spacing w:val="-6"/>
          <w:w w:val="105"/>
          <w:sz w:val="21"/>
        </w:rPr>
        <w:t> </w:t>
      </w:r>
      <w:r>
        <w:rPr>
          <w:spacing w:val="-3"/>
          <w:w w:val="105"/>
          <w:sz w:val="21"/>
        </w:rPr>
        <w:t>neighbouring</w:t>
      </w:r>
      <w:r>
        <w:rPr>
          <w:spacing w:val="-6"/>
          <w:w w:val="105"/>
          <w:sz w:val="21"/>
        </w:rPr>
        <w:t> </w:t>
      </w:r>
      <w:r>
        <w:rPr>
          <w:spacing w:val="-3"/>
          <w:w w:val="105"/>
          <w:sz w:val="21"/>
        </w:rPr>
        <w:t>lands</w:t>
      </w:r>
      <w:r>
        <w:rPr>
          <w:spacing w:val="-5"/>
          <w:w w:val="105"/>
          <w:sz w:val="21"/>
        </w:rPr>
        <w:t> </w:t>
      </w:r>
      <w:r>
        <w:rPr>
          <w:w w:val="105"/>
          <w:sz w:val="21"/>
        </w:rPr>
        <w:t>is</w:t>
      </w:r>
      <w:r>
        <w:rPr>
          <w:spacing w:val="-6"/>
          <w:w w:val="105"/>
          <w:sz w:val="21"/>
        </w:rPr>
        <w:t> </w:t>
      </w:r>
      <w:r>
        <w:rPr>
          <w:w w:val="105"/>
          <w:sz w:val="21"/>
        </w:rPr>
        <w:t>necessary</w:t>
      </w:r>
      <w:r>
        <w:rPr>
          <w:spacing w:val="-5"/>
          <w:w w:val="105"/>
          <w:sz w:val="21"/>
        </w:rPr>
        <w:t> </w:t>
      </w:r>
      <w:r>
        <w:rPr>
          <w:w w:val="105"/>
          <w:sz w:val="21"/>
        </w:rPr>
        <w:t>and</w:t>
      </w:r>
      <w:r>
        <w:rPr>
          <w:spacing w:val="-6"/>
          <w:w w:val="105"/>
          <w:sz w:val="21"/>
        </w:rPr>
        <w:t> </w:t>
      </w:r>
      <w:r>
        <w:rPr>
          <w:spacing w:val="-3"/>
          <w:w w:val="105"/>
          <w:sz w:val="21"/>
        </w:rPr>
        <w:t>sensible.</w:t>
      </w:r>
      <w:r>
        <w:rPr>
          <w:spacing w:val="-5"/>
          <w:w w:val="105"/>
          <w:sz w:val="21"/>
        </w:rPr>
        <w:t> </w:t>
      </w:r>
      <w:r>
        <w:rPr>
          <w:w w:val="105"/>
          <w:sz w:val="21"/>
        </w:rPr>
        <w:t>The</w:t>
      </w:r>
    </w:p>
    <w:p>
      <w:pPr>
        <w:pStyle w:val="BodyText"/>
        <w:spacing w:line="242" w:lineRule="auto" w:before="2"/>
        <w:ind w:left="2381" w:right="1810"/>
      </w:pPr>
      <w:r>
        <w:rPr>
          <w:spacing w:val="-3"/>
        </w:rPr>
        <w:t>Commission </w:t>
      </w:r>
      <w:r>
        <w:rPr/>
        <w:t>is of the view </w:t>
      </w:r>
      <w:r>
        <w:rPr>
          <w:spacing w:val="-3"/>
        </w:rPr>
        <w:t>that </w:t>
      </w:r>
      <w:r>
        <w:rPr/>
        <w:t>a </w:t>
      </w:r>
      <w:r>
        <w:rPr>
          <w:spacing w:val="-3"/>
        </w:rPr>
        <w:t>proximity requirement </w:t>
      </w:r>
      <w:r>
        <w:rPr/>
        <w:t>of </w:t>
      </w:r>
      <w:r>
        <w:rPr>
          <w:spacing w:val="-3"/>
        </w:rPr>
        <w:t>adjoining land  will  </w:t>
      </w:r>
      <w:r>
        <w:rPr/>
        <w:t>be </w:t>
      </w:r>
      <w:r>
        <w:rPr>
          <w:spacing w:val="-2"/>
        </w:rPr>
        <w:t>easier</w:t>
      </w:r>
      <w:r>
        <w:rPr>
          <w:spacing w:val="43"/>
        </w:rPr>
        <w:t> </w:t>
      </w:r>
      <w:r>
        <w:rPr>
          <w:spacing w:val="-3"/>
        </w:rPr>
        <w:t>for </w:t>
      </w:r>
      <w:r>
        <w:rPr/>
        <w:t>the community </w:t>
      </w:r>
      <w:r>
        <w:rPr>
          <w:spacing w:val="-3"/>
        </w:rPr>
        <w:t>to </w:t>
      </w:r>
      <w:r>
        <w:rPr/>
        <w:t>understand and apply </w:t>
      </w:r>
      <w:r>
        <w:rPr>
          <w:spacing w:val="-3"/>
        </w:rPr>
        <w:t>than </w:t>
      </w:r>
      <w:r>
        <w:rPr/>
        <w:t>a broader causal </w:t>
      </w:r>
      <w:r>
        <w:rPr>
          <w:spacing w:val="-3"/>
        </w:rPr>
        <w:t>link </w:t>
      </w:r>
      <w:r>
        <w:rPr/>
        <w:t>or specified </w:t>
      </w:r>
      <w:r>
        <w:rPr>
          <w:spacing w:val="-3"/>
        </w:rPr>
        <w:t>meterage  that might require </w:t>
      </w:r>
      <w:r>
        <w:rPr/>
        <w:t>a </w:t>
      </w:r>
      <w:r>
        <w:rPr>
          <w:spacing w:val="-3"/>
        </w:rPr>
        <w:t>land </w:t>
      </w:r>
      <w:r>
        <w:rPr/>
        <w:t>survey </w:t>
      </w:r>
      <w:r>
        <w:rPr>
          <w:spacing w:val="-3"/>
        </w:rPr>
        <w:t>to  accurately  measure  </w:t>
      </w:r>
      <w:r>
        <w:rPr/>
        <w:t>distances. It </w:t>
      </w:r>
      <w:r>
        <w:rPr>
          <w:spacing w:val="-3"/>
        </w:rPr>
        <w:t>will</w:t>
      </w:r>
      <w:r>
        <w:rPr>
          <w:spacing w:val="41"/>
        </w:rPr>
        <w:t> </w:t>
      </w:r>
      <w:r>
        <w:rPr/>
        <w:t>also help </w:t>
      </w:r>
      <w:r>
        <w:rPr>
          <w:spacing w:val="-3"/>
        </w:rPr>
        <w:t>to </w:t>
      </w:r>
      <w:r>
        <w:rPr>
          <w:spacing w:val="-4"/>
        </w:rPr>
        <w:t>eliminate </w:t>
      </w:r>
      <w:r>
        <w:rPr/>
        <w:t>frivolous or vexatious</w:t>
      </w:r>
      <w:r>
        <w:rPr>
          <w:spacing w:val="37"/>
        </w:rPr>
        <w:t> </w:t>
      </w:r>
      <w:r>
        <w:rPr>
          <w:spacing w:val="-3"/>
        </w:rPr>
        <w:t>claims.</w:t>
      </w:r>
    </w:p>
    <w:p>
      <w:pPr>
        <w:pStyle w:val="ListParagraph"/>
        <w:numPr>
          <w:ilvl w:val="0"/>
          <w:numId w:val="56"/>
        </w:numPr>
        <w:tabs>
          <w:tab w:pos="2380" w:val="left" w:leader="none"/>
          <w:tab w:pos="2381" w:val="left" w:leader="none"/>
        </w:tabs>
        <w:spacing w:line="242" w:lineRule="auto" w:before="125" w:after="0"/>
        <w:ind w:left="2381" w:right="1849" w:hanging="794"/>
        <w:jc w:val="left"/>
        <w:rPr>
          <w:sz w:val="21"/>
        </w:rPr>
      </w:pPr>
      <w:r>
        <w:rPr>
          <w:w w:val="105"/>
          <w:sz w:val="21"/>
        </w:rPr>
        <w:t>The most straightforward degree of </w:t>
      </w:r>
      <w:r>
        <w:rPr>
          <w:spacing w:val="-3"/>
          <w:w w:val="105"/>
          <w:sz w:val="21"/>
        </w:rPr>
        <w:t>proximity </w:t>
      </w:r>
      <w:r>
        <w:rPr>
          <w:w w:val="105"/>
          <w:sz w:val="21"/>
        </w:rPr>
        <w:t>is </w:t>
      </w:r>
      <w:r>
        <w:rPr>
          <w:spacing w:val="-3"/>
          <w:w w:val="105"/>
          <w:sz w:val="21"/>
        </w:rPr>
        <w:t>adjoining parcels </w:t>
      </w:r>
      <w:r>
        <w:rPr>
          <w:w w:val="105"/>
          <w:sz w:val="21"/>
        </w:rPr>
        <w:t>of </w:t>
      </w:r>
      <w:r>
        <w:rPr>
          <w:spacing w:val="-3"/>
          <w:w w:val="105"/>
          <w:sz w:val="21"/>
        </w:rPr>
        <w:t>land that share </w:t>
      </w:r>
      <w:r>
        <w:rPr>
          <w:w w:val="105"/>
          <w:sz w:val="21"/>
        </w:rPr>
        <w:t>a </w:t>
      </w:r>
      <w:r>
        <w:rPr>
          <w:spacing w:val="-2"/>
          <w:w w:val="105"/>
          <w:sz w:val="21"/>
        </w:rPr>
        <w:t>common</w:t>
      </w:r>
      <w:r>
        <w:rPr>
          <w:spacing w:val="-5"/>
          <w:w w:val="105"/>
          <w:sz w:val="21"/>
        </w:rPr>
        <w:t> </w:t>
      </w:r>
      <w:r>
        <w:rPr>
          <w:spacing w:val="-3"/>
          <w:w w:val="105"/>
          <w:sz w:val="21"/>
        </w:rPr>
        <w:t>boundary.</w:t>
      </w:r>
      <w:r>
        <w:rPr>
          <w:spacing w:val="-5"/>
          <w:w w:val="105"/>
          <w:sz w:val="21"/>
        </w:rPr>
        <w:t> </w:t>
      </w:r>
      <w:r>
        <w:rPr>
          <w:w w:val="105"/>
          <w:sz w:val="21"/>
        </w:rPr>
        <w:t>For</w:t>
      </w:r>
      <w:r>
        <w:rPr>
          <w:spacing w:val="-5"/>
          <w:w w:val="105"/>
          <w:sz w:val="21"/>
        </w:rPr>
        <w:t> </w:t>
      </w:r>
      <w:r>
        <w:rPr>
          <w:w w:val="105"/>
          <w:sz w:val="21"/>
        </w:rPr>
        <w:t>these</w:t>
      </w:r>
      <w:r>
        <w:rPr>
          <w:spacing w:val="-5"/>
          <w:w w:val="105"/>
          <w:sz w:val="21"/>
        </w:rPr>
        <w:t> </w:t>
      </w:r>
      <w:r>
        <w:rPr>
          <w:w w:val="105"/>
          <w:sz w:val="21"/>
        </w:rPr>
        <w:t>purposes</w:t>
      </w:r>
      <w:r>
        <w:rPr>
          <w:spacing w:val="-4"/>
          <w:w w:val="105"/>
          <w:sz w:val="21"/>
        </w:rPr>
        <w:t> </w:t>
      </w:r>
      <w:r>
        <w:rPr>
          <w:w w:val="105"/>
          <w:sz w:val="21"/>
        </w:rPr>
        <w:t>a</w:t>
      </w:r>
      <w:r>
        <w:rPr>
          <w:spacing w:val="-5"/>
          <w:w w:val="105"/>
          <w:sz w:val="21"/>
        </w:rPr>
        <w:t> </w:t>
      </w:r>
      <w:r>
        <w:rPr>
          <w:w w:val="105"/>
          <w:sz w:val="21"/>
        </w:rPr>
        <w:t>tree</w:t>
      </w:r>
      <w:r>
        <w:rPr>
          <w:spacing w:val="-5"/>
          <w:w w:val="105"/>
          <w:sz w:val="21"/>
        </w:rPr>
        <w:t> </w:t>
      </w:r>
      <w:r>
        <w:rPr>
          <w:spacing w:val="-3"/>
          <w:w w:val="105"/>
          <w:sz w:val="21"/>
        </w:rPr>
        <w:t>may</w:t>
      </w:r>
      <w:r>
        <w:rPr>
          <w:spacing w:val="-5"/>
          <w:w w:val="105"/>
          <w:sz w:val="21"/>
        </w:rPr>
        <w:t> </w:t>
      </w:r>
      <w:r>
        <w:rPr>
          <w:w w:val="105"/>
          <w:sz w:val="21"/>
        </w:rPr>
        <w:t>be</w:t>
      </w:r>
      <w:r>
        <w:rPr>
          <w:spacing w:val="-5"/>
          <w:w w:val="105"/>
          <w:sz w:val="21"/>
        </w:rPr>
        <w:t> </w:t>
      </w:r>
      <w:r>
        <w:rPr>
          <w:w w:val="105"/>
          <w:sz w:val="21"/>
        </w:rPr>
        <w:t>recognised</w:t>
      </w:r>
      <w:r>
        <w:rPr>
          <w:spacing w:val="-4"/>
          <w:w w:val="105"/>
          <w:sz w:val="21"/>
        </w:rPr>
        <w:t> </w:t>
      </w:r>
      <w:r>
        <w:rPr>
          <w:w w:val="105"/>
          <w:sz w:val="21"/>
        </w:rPr>
        <w:t>as</w:t>
      </w:r>
      <w:r>
        <w:rPr>
          <w:spacing w:val="-5"/>
          <w:w w:val="105"/>
          <w:sz w:val="21"/>
        </w:rPr>
        <w:t> </w:t>
      </w:r>
      <w:r>
        <w:rPr>
          <w:w w:val="105"/>
          <w:sz w:val="21"/>
        </w:rPr>
        <w:t>being</w:t>
      </w:r>
      <w:r>
        <w:rPr>
          <w:spacing w:val="-5"/>
          <w:w w:val="105"/>
          <w:sz w:val="21"/>
        </w:rPr>
        <w:t> </w:t>
      </w:r>
      <w:r>
        <w:rPr>
          <w:w w:val="105"/>
          <w:sz w:val="21"/>
        </w:rPr>
        <w:t>on</w:t>
      </w:r>
      <w:r>
        <w:rPr>
          <w:spacing w:val="-5"/>
          <w:w w:val="105"/>
          <w:sz w:val="21"/>
        </w:rPr>
        <w:t> </w:t>
      </w:r>
      <w:r>
        <w:rPr>
          <w:spacing w:val="-3"/>
          <w:w w:val="105"/>
          <w:sz w:val="21"/>
        </w:rPr>
        <w:t>adjoining land</w:t>
      </w:r>
      <w:r>
        <w:rPr>
          <w:spacing w:val="-6"/>
          <w:w w:val="105"/>
          <w:sz w:val="21"/>
        </w:rPr>
        <w:t> </w:t>
      </w:r>
      <w:r>
        <w:rPr>
          <w:w w:val="105"/>
          <w:sz w:val="21"/>
        </w:rPr>
        <w:t>even</w:t>
      </w:r>
      <w:r>
        <w:rPr>
          <w:spacing w:val="-5"/>
          <w:w w:val="105"/>
          <w:sz w:val="21"/>
        </w:rPr>
        <w:t> </w:t>
      </w:r>
      <w:r>
        <w:rPr>
          <w:w w:val="105"/>
          <w:sz w:val="21"/>
        </w:rPr>
        <w:t>where</w:t>
      </w:r>
      <w:r>
        <w:rPr>
          <w:spacing w:val="-6"/>
          <w:w w:val="105"/>
          <w:sz w:val="21"/>
        </w:rPr>
        <w:t> </w:t>
      </w:r>
      <w:r>
        <w:rPr>
          <w:w w:val="105"/>
          <w:sz w:val="21"/>
        </w:rPr>
        <w:t>there</w:t>
      </w:r>
      <w:r>
        <w:rPr>
          <w:spacing w:val="-5"/>
          <w:w w:val="105"/>
          <w:sz w:val="21"/>
        </w:rPr>
        <w:t> </w:t>
      </w:r>
      <w:r>
        <w:rPr>
          <w:spacing w:val="-3"/>
          <w:w w:val="105"/>
          <w:sz w:val="21"/>
        </w:rPr>
        <w:t>are</w:t>
      </w:r>
      <w:r>
        <w:rPr>
          <w:spacing w:val="-6"/>
          <w:w w:val="105"/>
          <w:sz w:val="21"/>
        </w:rPr>
        <w:t> </w:t>
      </w:r>
      <w:r>
        <w:rPr>
          <w:spacing w:val="-3"/>
          <w:w w:val="105"/>
          <w:sz w:val="21"/>
        </w:rPr>
        <w:t>multiple</w:t>
      </w:r>
      <w:r>
        <w:rPr>
          <w:spacing w:val="-5"/>
          <w:w w:val="105"/>
          <w:sz w:val="21"/>
        </w:rPr>
        <w:t> </w:t>
      </w:r>
      <w:r>
        <w:rPr>
          <w:w w:val="105"/>
          <w:sz w:val="21"/>
        </w:rPr>
        <w:t>properties</w:t>
      </w:r>
      <w:r>
        <w:rPr>
          <w:spacing w:val="-6"/>
          <w:w w:val="105"/>
          <w:sz w:val="21"/>
        </w:rPr>
        <w:t> </w:t>
      </w:r>
      <w:r>
        <w:rPr>
          <w:w w:val="105"/>
          <w:sz w:val="21"/>
        </w:rPr>
        <w:t>and</w:t>
      </w:r>
      <w:r>
        <w:rPr>
          <w:spacing w:val="-5"/>
          <w:w w:val="105"/>
          <w:sz w:val="21"/>
        </w:rPr>
        <w:t> </w:t>
      </w:r>
      <w:r>
        <w:rPr>
          <w:w w:val="105"/>
          <w:sz w:val="21"/>
        </w:rPr>
        <w:t>the</w:t>
      </w:r>
      <w:r>
        <w:rPr>
          <w:spacing w:val="-5"/>
          <w:w w:val="105"/>
          <w:sz w:val="21"/>
        </w:rPr>
        <w:t> </w:t>
      </w:r>
      <w:r>
        <w:rPr>
          <w:spacing w:val="-3"/>
          <w:w w:val="105"/>
          <w:sz w:val="21"/>
        </w:rPr>
        <w:t>relevant</w:t>
      </w:r>
      <w:r>
        <w:rPr>
          <w:spacing w:val="-6"/>
          <w:w w:val="105"/>
          <w:sz w:val="21"/>
        </w:rPr>
        <w:t> </w:t>
      </w:r>
      <w:r>
        <w:rPr>
          <w:w w:val="105"/>
          <w:sz w:val="21"/>
        </w:rPr>
        <w:t>boundary</w:t>
      </w:r>
      <w:r>
        <w:rPr>
          <w:spacing w:val="-5"/>
          <w:w w:val="105"/>
          <w:sz w:val="21"/>
        </w:rPr>
        <w:t> </w:t>
      </w:r>
      <w:r>
        <w:rPr>
          <w:w w:val="105"/>
          <w:sz w:val="21"/>
        </w:rPr>
        <w:t>between</w:t>
      </w:r>
    </w:p>
    <w:p>
      <w:pPr>
        <w:pStyle w:val="BodyText"/>
        <w:spacing w:line="242" w:lineRule="auto" w:before="3"/>
        <w:ind w:left="2380" w:right="1636"/>
      </w:pPr>
      <w:r>
        <w:rPr>
          <w:w w:val="105"/>
        </w:rPr>
        <w:t>the tree </w:t>
      </w:r>
      <w:r>
        <w:rPr>
          <w:spacing w:val="-3"/>
          <w:w w:val="105"/>
        </w:rPr>
        <w:t>owner’s </w:t>
      </w:r>
      <w:r>
        <w:rPr>
          <w:w w:val="105"/>
        </w:rPr>
        <w:t>property and the affected </w:t>
      </w:r>
      <w:r>
        <w:rPr>
          <w:spacing w:val="-3"/>
          <w:w w:val="105"/>
        </w:rPr>
        <w:t>neighbour’s land </w:t>
      </w:r>
      <w:r>
        <w:rPr>
          <w:w w:val="105"/>
        </w:rPr>
        <w:t>is short or is a point of </w:t>
      </w:r>
      <w:r>
        <w:rPr>
          <w:spacing w:val="-3"/>
          <w:w w:val="105"/>
        </w:rPr>
        <w:t>convergence </w:t>
      </w:r>
      <w:r>
        <w:rPr>
          <w:w w:val="105"/>
        </w:rPr>
        <w:t>of </w:t>
      </w:r>
      <w:r>
        <w:rPr>
          <w:spacing w:val="-3"/>
          <w:w w:val="105"/>
        </w:rPr>
        <w:t>multiple </w:t>
      </w:r>
      <w:r>
        <w:rPr>
          <w:w w:val="105"/>
        </w:rPr>
        <w:t>properties.</w:t>
      </w:r>
    </w:p>
    <w:p>
      <w:pPr>
        <w:pStyle w:val="ListParagraph"/>
        <w:numPr>
          <w:ilvl w:val="0"/>
          <w:numId w:val="56"/>
        </w:numPr>
        <w:tabs>
          <w:tab w:pos="2380" w:val="left" w:leader="none"/>
          <w:tab w:pos="2381" w:val="left" w:leader="none"/>
        </w:tabs>
        <w:spacing w:line="242" w:lineRule="auto" w:before="122" w:after="0"/>
        <w:ind w:left="2381" w:right="1950" w:hanging="794"/>
        <w:jc w:val="left"/>
        <w:rPr>
          <w:sz w:val="21"/>
        </w:rPr>
      </w:pPr>
      <w:r>
        <w:rPr>
          <w:spacing w:val="-7"/>
          <w:w w:val="105"/>
          <w:sz w:val="21"/>
        </w:rPr>
        <w:t>To </w:t>
      </w:r>
      <w:r>
        <w:rPr>
          <w:spacing w:val="-3"/>
          <w:w w:val="105"/>
          <w:sz w:val="21"/>
        </w:rPr>
        <w:t>prevent </w:t>
      </w:r>
      <w:r>
        <w:rPr>
          <w:w w:val="105"/>
          <w:sz w:val="21"/>
        </w:rPr>
        <w:t>people </w:t>
      </w:r>
      <w:r>
        <w:rPr>
          <w:spacing w:val="-3"/>
          <w:w w:val="105"/>
          <w:sz w:val="21"/>
        </w:rPr>
        <w:t>from </w:t>
      </w:r>
      <w:r>
        <w:rPr>
          <w:w w:val="105"/>
          <w:sz w:val="21"/>
        </w:rPr>
        <w:t>being </w:t>
      </w:r>
      <w:r>
        <w:rPr>
          <w:spacing w:val="-3"/>
          <w:w w:val="105"/>
          <w:sz w:val="21"/>
        </w:rPr>
        <w:t>arbitrarily </w:t>
      </w:r>
      <w:r>
        <w:rPr>
          <w:w w:val="105"/>
          <w:sz w:val="21"/>
        </w:rPr>
        <w:t>and </w:t>
      </w:r>
      <w:r>
        <w:rPr>
          <w:spacing w:val="-3"/>
          <w:w w:val="105"/>
          <w:sz w:val="21"/>
        </w:rPr>
        <w:t>unfairly excluded from </w:t>
      </w:r>
      <w:r>
        <w:rPr>
          <w:w w:val="105"/>
          <w:sz w:val="21"/>
        </w:rPr>
        <w:t>the scheme </w:t>
      </w:r>
      <w:r>
        <w:rPr>
          <w:spacing w:val="-3"/>
          <w:w w:val="105"/>
          <w:sz w:val="21"/>
        </w:rPr>
        <w:t>due to neighbouring public infrastructure </w:t>
      </w:r>
      <w:r>
        <w:rPr>
          <w:w w:val="105"/>
          <w:sz w:val="21"/>
        </w:rPr>
        <w:t>or landscapes the </w:t>
      </w:r>
      <w:r>
        <w:rPr>
          <w:spacing w:val="-3"/>
          <w:w w:val="105"/>
          <w:sz w:val="21"/>
        </w:rPr>
        <w:t>Commission </w:t>
      </w:r>
      <w:r>
        <w:rPr>
          <w:w w:val="105"/>
          <w:sz w:val="21"/>
        </w:rPr>
        <w:t>proposes </w:t>
      </w:r>
      <w:r>
        <w:rPr>
          <w:spacing w:val="-3"/>
          <w:w w:val="105"/>
          <w:sz w:val="21"/>
        </w:rPr>
        <w:t>that</w:t>
      </w:r>
      <w:r>
        <w:rPr>
          <w:spacing w:val="-24"/>
          <w:w w:val="105"/>
          <w:sz w:val="21"/>
        </w:rPr>
        <w:t> </w:t>
      </w:r>
      <w:r>
        <w:rPr>
          <w:w w:val="105"/>
          <w:sz w:val="21"/>
        </w:rPr>
        <w:t>the</w:t>
      </w:r>
    </w:p>
    <w:p>
      <w:pPr>
        <w:pStyle w:val="BodyText"/>
        <w:spacing w:line="242" w:lineRule="auto" w:before="2"/>
        <w:ind w:left="2380" w:right="1636"/>
      </w:pPr>
      <w:r>
        <w:rPr>
          <w:w w:val="105"/>
        </w:rPr>
        <w:t>affected </w:t>
      </w:r>
      <w:r>
        <w:rPr>
          <w:spacing w:val="-3"/>
          <w:w w:val="105"/>
        </w:rPr>
        <w:t>neighbour’s land </w:t>
      </w:r>
      <w:r>
        <w:rPr>
          <w:w w:val="105"/>
        </w:rPr>
        <w:t>should be deemed </w:t>
      </w:r>
      <w:r>
        <w:rPr>
          <w:spacing w:val="-3"/>
          <w:w w:val="105"/>
        </w:rPr>
        <w:t>to </w:t>
      </w:r>
      <w:r>
        <w:rPr>
          <w:w w:val="105"/>
        </w:rPr>
        <w:t>adjoin the tree </w:t>
      </w:r>
      <w:r>
        <w:rPr>
          <w:spacing w:val="-3"/>
          <w:w w:val="105"/>
        </w:rPr>
        <w:t>owner’s land </w:t>
      </w:r>
      <w:r>
        <w:rPr>
          <w:w w:val="105"/>
        </w:rPr>
        <w:t>where it is </w:t>
      </w:r>
      <w:r>
        <w:rPr>
          <w:spacing w:val="-3"/>
          <w:w w:val="105"/>
        </w:rPr>
        <w:t>separated </w:t>
      </w:r>
      <w:r>
        <w:rPr>
          <w:w w:val="105"/>
        </w:rPr>
        <w:t>by a:</w:t>
      </w:r>
    </w:p>
    <w:p>
      <w:pPr>
        <w:pStyle w:val="ListParagraph"/>
        <w:numPr>
          <w:ilvl w:val="1"/>
          <w:numId w:val="56"/>
        </w:numPr>
        <w:tabs>
          <w:tab w:pos="2721" w:val="left" w:leader="none"/>
          <w:tab w:pos="2722" w:val="left" w:leader="none"/>
        </w:tabs>
        <w:spacing w:line="240" w:lineRule="auto" w:before="123" w:after="0"/>
        <w:ind w:left="2721" w:right="0" w:hanging="340"/>
        <w:jc w:val="left"/>
        <w:rPr>
          <w:sz w:val="21"/>
        </w:rPr>
      </w:pPr>
      <w:r>
        <w:rPr>
          <w:spacing w:val="-3"/>
          <w:w w:val="105"/>
          <w:sz w:val="21"/>
        </w:rPr>
        <w:t>public</w:t>
      </w:r>
      <w:r>
        <w:rPr>
          <w:spacing w:val="5"/>
          <w:w w:val="105"/>
          <w:sz w:val="21"/>
        </w:rPr>
        <w:t> </w:t>
      </w:r>
      <w:r>
        <w:rPr>
          <w:w w:val="105"/>
          <w:sz w:val="21"/>
        </w:rPr>
        <w:t>road</w:t>
      </w:r>
    </w:p>
    <w:p>
      <w:pPr>
        <w:pStyle w:val="ListParagraph"/>
        <w:numPr>
          <w:ilvl w:val="1"/>
          <w:numId w:val="56"/>
        </w:numPr>
        <w:tabs>
          <w:tab w:pos="2721" w:val="left" w:leader="none"/>
          <w:tab w:pos="2722" w:val="left" w:leader="none"/>
        </w:tabs>
        <w:spacing w:line="240" w:lineRule="auto" w:before="88" w:after="0"/>
        <w:ind w:left="2721" w:right="0" w:hanging="340"/>
        <w:jc w:val="left"/>
        <w:rPr>
          <w:sz w:val="21"/>
        </w:rPr>
      </w:pPr>
      <w:r>
        <w:rPr>
          <w:w w:val="105"/>
          <w:sz w:val="21"/>
        </w:rPr>
        <w:t>pedestrian</w:t>
      </w:r>
      <w:r>
        <w:rPr>
          <w:spacing w:val="5"/>
          <w:w w:val="105"/>
          <w:sz w:val="21"/>
        </w:rPr>
        <w:t> </w:t>
      </w:r>
      <w:r>
        <w:rPr>
          <w:spacing w:val="-3"/>
          <w:w w:val="105"/>
          <w:sz w:val="21"/>
        </w:rPr>
        <w:t>path</w:t>
      </w:r>
    </w:p>
    <w:p>
      <w:pPr>
        <w:pStyle w:val="ListParagraph"/>
        <w:numPr>
          <w:ilvl w:val="1"/>
          <w:numId w:val="56"/>
        </w:numPr>
        <w:tabs>
          <w:tab w:pos="2721" w:val="left" w:leader="none"/>
          <w:tab w:pos="2722" w:val="left" w:leader="none"/>
        </w:tabs>
        <w:spacing w:line="240" w:lineRule="auto" w:before="89" w:after="0"/>
        <w:ind w:left="2721" w:right="0" w:hanging="340"/>
        <w:jc w:val="left"/>
        <w:rPr>
          <w:sz w:val="21"/>
        </w:rPr>
      </w:pPr>
      <w:r>
        <w:rPr>
          <w:spacing w:val="-3"/>
          <w:w w:val="105"/>
          <w:sz w:val="21"/>
        </w:rPr>
        <w:t>laneway</w:t>
      </w:r>
    </w:p>
    <w:p>
      <w:pPr>
        <w:pStyle w:val="ListParagraph"/>
        <w:numPr>
          <w:ilvl w:val="1"/>
          <w:numId w:val="56"/>
        </w:numPr>
        <w:tabs>
          <w:tab w:pos="2721" w:val="left" w:leader="none"/>
          <w:tab w:pos="2722" w:val="left" w:leader="none"/>
        </w:tabs>
        <w:spacing w:line="240" w:lineRule="auto" w:before="89" w:after="0"/>
        <w:ind w:left="2721" w:right="0" w:hanging="340"/>
        <w:jc w:val="left"/>
        <w:rPr>
          <w:sz w:val="21"/>
        </w:rPr>
      </w:pPr>
      <w:r>
        <w:rPr>
          <w:spacing w:val="-3"/>
          <w:w w:val="105"/>
          <w:sz w:val="21"/>
        </w:rPr>
        <w:t>bridge,</w:t>
      </w:r>
      <w:r>
        <w:rPr>
          <w:spacing w:val="5"/>
          <w:w w:val="105"/>
          <w:sz w:val="21"/>
        </w:rPr>
        <w:t> </w:t>
      </w:r>
      <w:r>
        <w:rPr>
          <w:w w:val="105"/>
          <w:sz w:val="21"/>
        </w:rPr>
        <w:t>or</w:t>
      </w:r>
    </w:p>
    <w:p>
      <w:pPr>
        <w:pStyle w:val="ListParagraph"/>
        <w:numPr>
          <w:ilvl w:val="1"/>
          <w:numId w:val="56"/>
        </w:numPr>
        <w:tabs>
          <w:tab w:pos="2721" w:val="left" w:leader="none"/>
          <w:tab w:pos="2722" w:val="left" w:leader="none"/>
        </w:tabs>
        <w:spacing w:line="240" w:lineRule="auto" w:before="88" w:after="0"/>
        <w:ind w:left="2721" w:right="0" w:hanging="340"/>
        <w:jc w:val="left"/>
        <w:rPr>
          <w:sz w:val="21"/>
        </w:rPr>
      </w:pPr>
      <w:r>
        <w:rPr>
          <w:sz w:val="21"/>
        </w:rPr>
        <w:t>culvert.</w:t>
      </w:r>
    </w:p>
    <w:p>
      <w:pPr>
        <w:pStyle w:val="ListParagraph"/>
        <w:numPr>
          <w:ilvl w:val="0"/>
          <w:numId w:val="56"/>
        </w:numPr>
        <w:tabs>
          <w:tab w:pos="2381" w:val="left" w:leader="none"/>
          <w:tab w:pos="2382" w:val="left" w:leader="none"/>
        </w:tabs>
        <w:spacing w:line="240" w:lineRule="auto" w:before="89" w:after="0"/>
        <w:ind w:left="2381" w:right="0" w:hanging="794"/>
        <w:jc w:val="left"/>
        <w:rPr>
          <w:sz w:val="21"/>
        </w:rPr>
      </w:pPr>
      <w:r>
        <w:rPr>
          <w:w w:val="105"/>
          <w:sz w:val="21"/>
        </w:rPr>
        <w:t>This approach reflects the </w:t>
      </w:r>
      <w:r>
        <w:rPr>
          <w:spacing w:val="-3"/>
          <w:w w:val="105"/>
          <w:sz w:val="21"/>
        </w:rPr>
        <w:t>Queensland </w:t>
      </w:r>
      <w:r>
        <w:rPr>
          <w:w w:val="105"/>
          <w:sz w:val="21"/>
        </w:rPr>
        <w:t>Act and cases </w:t>
      </w:r>
      <w:r>
        <w:rPr>
          <w:spacing w:val="-3"/>
          <w:w w:val="105"/>
          <w:sz w:val="21"/>
        </w:rPr>
        <w:t>determined </w:t>
      </w:r>
      <w:r>
        <w:rPr>
          <w:w w:val="105"/>
          <w:sz w:val="21"/>
        </w:rPr>
        <w:t>under the NSW</w:t>
      </w:r>
      <w:r>
        <w:rPr>
          <w:spacing w:val="40"/>
          <w:w w:val="105"/>
          <w:sz w:val="21"/>
        </w:rPr>
        <w:t> </w:t>
      </w:r>
      <w:r>
        <w:rPr>
          <w:w w:val="105"/>
          <w:sz w:val="21"/>
        </w:rPr>
        <w:t>Act.</w:t>
      </w:r>
    </w:p>
    <w:p>
      <w:pPr>
        <w:pStyle w:val="ListParagraph"/>
        <w:numPr>
          <w:ilvl w:val="0"/>
          <w:numId w:val="56"/>
        </w:numPr>
        <w:tabs>
          <w:tab w:pos="2380" w:val="left" w:leader="none"/>
          <w:tab w:pos="2381" w:val="left" w:leader="none"/>
        </w:tabs>
        <w:spacing w:line="242" w:lineRule="auto" w:before="124" w:after="0"/>
        <w:ind w:left="2381" w:right="1591" w:hanging="794"/>
        <w:jc w:val="left"/>
        <w:rPr>
          <w:sz w:val="21"/>
        </w:rPr>
      </w:pPr>
      <w:r>
        <w:rPr>
          <w:w w:val="105"/>
          <w:sz w:val="21"/>
        </w:rPr>
        <w:t>The </w:t>
      </w:r>
      <w:r>
        <w:rPr>
          <w:spacing w:val="-4"/>
          <w:w w:val="105"/>
          <w:sz w:val="21"/>
        </w:rPr>
        <w:t>Commission’s </w:t>
      </w:r>
      <w:r>
        <w:rPr>
          <w:spacing w:val="-3"/>
          <w:w w:val="105"/>
          <w:sz w:val="21"/>
        </w:rPr>
        <w:t>conclusion </w:t>
      </w:r>
      <w:r>
        <w:rPr>
          <w:w w:val="105"/>
          <w:sz w:val="21"/>
        </w:rPr>
        <w:t>is </w:t>
      </w:r>
      <w:r>
        <w:rPr>
          <w:spacing w:val="-3"/>
          <w:w w:val="105"/>
          <w:sz w:val="21"/>
        </w:rPr>
        <w:t>influenced </w:t>
      </w:r>
      <w:r>
        <w:rPr>
          <w:w w:val="105"/>
          <w:sz w:val="21"/>
        </w:rPr>
        <w:t>by arguments put forward by some arborists. </w:t>
      </w:r>
      <w:r>
        <w:rPr>
          <w:spacing w:val="-4"/>
          <w:w w:val="105"/>
          <w:sz w:val="21"/>
        </w:rPr>
        <w:t>Generally, </w:t>
      </w:r>
      <w:r>
        <w:rPr>
          <w:w w:val="105"/>
          <w:sz w:val="21"/>
        </w:rPr>
        <w:t>the further </w:t>
      </w:r>
      <w:r>
        <w:rPr>
          <w:spacing w:val="-3"/>
          <w:w w:val="105"/>
          <w:sz w:val="21"/>
        </w:rPr>
        <w:t>away </w:t>
      </w:r>
      <w:r>
        <w:rPr>
          <w:w w:val="105"/>
          <w:sz w:val="21"/>
        </w:rPr>
        <w:t>a tree is </w:t>
      </w:r>
      <w:r>
        <w:rPr>
          <w:spacing w:val="-3"/>
          <w:w w:val="105"/>
          <w:sz w:val="21"/>
        </w:rPr>
        <w:t>from </w:t>
      </w:r>
      <w:r>
        <w:rPr>
          <w:w w:val="105"/>
          <w:sz w:val="21"/>
        </w:rPr>
        <w:t>an affected </w:t>
      </w:r>
      <w:r>
        <w:rPr>
          <w:spacing w:val="-3"/>
          <w:w w:val="105"/>
          <w:sz w:val="21"/>
        </w:rPr>
        <w:t>neighbour’s land, </w:t>
      </w:r>
      <w:r>
        <w:rPr>
          <w:w w:val="105"/>
          <w:sz w:val="21"/>
        </w:rPr>
        <w:t>the less </w:t>
      </w:r>
      <w:r>
        <w:rPr>
          <w:spacing w:val="-3"/>
          <w:w w:val="105"/>
          <w:sz w:val="21"/>
        </w:rPr>
        <w:t>significant </w:t>
      </w:r>
      <w:r>
        <w:rPr>
          <w:w w:val="105"/>
          <w:sz w:val="21"/>
        </w:rPr>
        <w:t>the impact </w:t>
      </w:r>
      <w:r>
        <w:rPr>
          <w:spacing w:val="-3"/>
          <w:w w:val="105"/>
          <w:sz w:val="21"/>
        </w:rPr>
        <w:t>will </w:t>
      </w:r>
      <w:r>
        <w:rPr>
          <w:w w:val="105"/>
          <w:sz w:val="21"/>
        </w:rPr>
        <w:t>be on the </w:t>
      </w:r>
      <w:r>
        <w:rPr>
          <w:spacing w:val="-3"/>
          <w:w w:val="105"/>
          <w:sz w:val="21"/>
        </w:rPr>
        <w:t>land </w:t>
      </w:r>
      <w:r>
        <w:rPr>
          <w:w w:val="105"/>
          <w:sz w:val="21"/>
        </w:rPr>
        <w:t>or</w:t>
      </w:r>
      <w:r>
        <w:rPr>
          <w:spacing w:val="46"/>
          <w:w w:val="105"/>
          <w:sz w:val="21"/>
        </w:rPr>
        <w:t> </w:t>
      </w:r>
      <w:r>
        <w:rPr>
          <w:spacing w:val="-3"/>
          <w:w w:val="105"/>
          <w:sz w:val="21"/>
        </w:rPr>
        <w:t>occupants.</w:t>
      </w:r>
    </w:p>
    <w:p>
      <w:pPr>
        <w:pStyle w:val="ListParagraph"/>
        <w:numPr>
          <w:ilvl w:val="0"/>
          <w:numId w:val="56"/>
        </w:numPr>
        <w:tabs>
          <w:tab w:pos="2380" w:val="left" w:leader="none"/>
          <w:tab w:pos="2381" w:val="left" w:leader="none"/>
        </w:tabs>
        <w:spacing w:line="242" w:lineRule="auto" w:before="123" w:after="0"/>
        <w:ind w:left="2381" w:right="1846" w:hanging="794"/>
        <w:jc w:val="left"/>
        <w:rPr>
          <w:sz w:val="21"/>
        </w:rPr>
      </w:pPr>
      <w:r>
        <w:rPr>
          <w:sz w:val="21"/>
        </w:rPr>
        <w:t>A number of other practical obstacles </w:t>
      </w:r>
      <w:r>
        <w:rPr>
          <w:spacing w:val="-3"/>
          <w:sz w:val="21"/>
        </w:rPr>
        <w:t>will </w:t>
      </w:r>
      <w:r>
        <w:rPr>
          <w:spacing w:val="-4"/>
          <w:sz w:val="21"/>
        </w:rPr>
        <w:t>make </w:t>
      </w:r>
      <w:r>
        <w:rPr>
          <w:sz w:val="21"/>
        </w:rPr>
        <w:t>it </w:t>
      </w:r>
      <w:r>
        <w:rPr>
          <w:spacing w:val="-3"/>
          <w:sz w:val="21"/>
        </w:rPr>
        <w:t>harder for </w:t>
      </w:r>
      <w:r>
        <w:rPr>
          <w:sz w:val="21"/>
        </w:rPr>
        <w:t>neighbours at </w:t>
      </w:r>
      <w:r>
        <w:rPr>
          <w:spacing w:val="-3"/>
          <w:sz w:val="21"/>
        </w:rPr>
        <w:t>greater </w:t>
      </w:r>
      <w:r>
        <w:rPr>
          <w:sz w:val="21"/>
        </w:rPr>
        <w:t>distances </w:t>
      </w:r>
      <w:r>
        <w:rPr>
          <w:spacing w:val="-3"/>
          <w:sz w:val="21"/>
        </w:rPr>
        <w:t>to </w:t>
      </w:r>
      <w:r>
        <w:rPr>
          <w:sz w:val="21"/>
        </w:rPr>
        <w:t>mount a </w:t>
      </w:r>
      <w:r>
        <w:rPr>
          <w:spacing w:val="-3"/>
          <w:sz w:val="21"/>
        </w:rPr>
        <w:t>successful case, </w:t>
      </w:r>
      <w:r>
        <w:rPr>
          <w:sz w:val="21"/>
        </w:rPr>
        <w:t>and so cases </w:t>
      </w:r>
      <w:r>
        <w:rPr>
          <w:spacing w:val="-3"/>
          <w:sz w:val="21"/>
        </w:rPr>
        <w:t>are </w:t>
      </w:r>
      <w:r>
        <w:rPr>
          <w:sz w:val="21"/>
        </w:rPr>
        <w:t>less </w:t>
      </w:r>
      <w:r>
        <w:rPr>
          <w:spacing w:val="-4"/>
          <w:sz w:val="21"/>
        </w:rPr>
        <w:t>likely </w:t>
      </w:r>
      <w:r>
        <w:rPr>
          <w:spacing w:val="-3"/>
          <w:sz w:val="21"/>
        </w:rPr>
        <w:t>to </w:t>
      </w:r>
      <w:r>
        <w:rPr>
          <w:sz w:val="21"/>
        </w:rPr>
        <w:t>be </w:t>
      </w:r>
      <w:r>
        <w:rPr>
          <w:spacing w:val="-3"/>
          <w:sz w:val="21"/>
        </w:rPr>
        <w:t>brought. </w:t>
      </w:r>
      <w:r>
        <w:rPr>
          <w:sz w:val="21"/>
        </w:rPr>
        <w:t>These obstacles </w:t>
      </w:r>
      <w:r>
        <w:rPr>
          <w:spacing w:val="-3"/>
          <w:sz w:val="21"/>
        </w:rPr>
        <w:t>include </w:t>
      </w:r>
      <w:r>
        <w:rPr>
          <w:sz w:val="21"/>
        </w:rPr>
        <w:t>the </w:t>
      </w:r>
      <w:r>
        <w:rPr>
          <w:spacing w:val="-3"/>
          <w:sz w:val="21"/>
        </w:rPr>
        <w:t>jurisdictional requirements </w:t>
      </w:r>
      <w:r>
        <w:rPr>
          <w:sz w:val="21"/>
        </w:rPr>
        <w:t>under the proposed Act; the need </w:t>
      </w:r>
      <w:r>
        <w:rPr>
          <w:spacing w:val="-3"/>
          <w:sz w:val="21"/>
        </w:rPr>
        <w:t>for claims to </w:t>
      </w:r>
      <w:r>
        <w:rPr>
          <w:sz w:val="21"/>
        </w:rPr>
        <w:t>be supported by expert evidence </w:t>
      </w:r>
      <w:r>
        <w:rPr>
          <w:spacing w:val="-3"/>
          <w:sz w:val="21"/>
        </w:rPr>
        <w:t>from </w:t>
      </w:r>
      <w:r>
        <w:rPr>
          <w:sz w:val="21"/>
        </w:rPr>
        <w:t>qualified arborists; and the difficulty of identifying the subject tree in leafy</w:t>
      </w:r>
      <w:r>
        <w:rPr>
          <w:spacing w:val="3"/>
          <w:sz w:val="21"/>
        </w:rPr>
        <w:t> </w:t>
      </w:r>
      <w:r>
        <w:rPr>
          <w:spacing w:val="-3"/>
          <w:sz w:val="21"/>
        </w:rPr>
        <w:t>areas.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r>
        <w:rPr/>
        <w:pict>
          <v:line style="position:absolute;mso-position-horizontal-relative:page;mso-position-vertical-relative:paragraph;z-index:4112;mso-wrap-distance-left:0;mso-wrap-distance-right:0" from="79.370102pt,20.187323pt" to="515.905102pt,20.187323pt" stroked="true" strokeweight="1pt" strokecolor="#c9d2cb">
            <v:stroke dashstyle="solid"/>
            <w10:wrap type="topAndBottom"/>
          </v:line>
        </w:pict>
      </w:r>
    </w:p>
    <w:p>
      <w:pPr>
        <w:tabs>
          <w:tab w:pos="2380" w:val="left" w:leader="none"/>
        </w:tabs>
        <w:spacing w:before="117"/>
        <w:ind w:left="1587" w:right="0" w:firstLine="0"/>
        <w:jc w:val="left"/>
        <w:rPr>
          <w:sz w:val="13"/>
        </w:rPr>
      </w:pPr>
      <w:r>
        <w:rPr>
          <w:spacing w:val="-3"/>
          <w:w w:val="105"/>
          <w:sz w:val="13"/>
        </w:rPr>
        <w:t>179</w:t>
        <w:tab/>
      </w:r>
      <w:r>
        <w:rPr>
          <w:w w:val="105"/>
          <w:sz w:val="13"/>
        </w:rPr>
        <w:t>Confidential</w:t>
      </w:r>
      <w:r>
        <w:rPr>
          <w:spacing w:val="4"/>
          <w:w w:val="105"/>
          <w:sz w:val="13"/>
        </w:rPr>
        <w:t> </w:t>
      </w:r>
      <w:r>
        <w:rPr>
          <w:w w:val="105"/>
          <w:sz w:val="13"/>
        </w:rPr>
        <w:t>submission.</w:t>
      </w:r>
    </w:p>
    <w:p>
      <w:pPr>
        <w:tabs>
          <w:tab w:pos="2380" w:val="left" w:leader="none"/>
        </w:tabs>
        <w:spacing w:before="1"/>
        <w:ind w:left="2381" w:right="1777" w:hanging="794"/>
        <w:jc w:val="left"/>
        <w:rPr>
          <w:sz w:val="13"/>
        </w:rPr>
      </w:pPr>
      <w:r>
        <w:rPr/>
        <w:pict>
          <v:shape style="position:absolute;margin-left:548.915527pt;margin-top:3.017665pt;width:13.35pt;height:14.25pt;mso-position-horizontal-relative:page;mso-position-vertical-relative:paragraph;z-index:6184" type="#_x0000_t202" filled="false" stroked="false">
            <v:textbox inset="0,0,0,0">
              <w:txbxContent>
                <w:p>
                  <w:pPr>
                    <w:spacing w:line="284" w:lineRule="exact" w:before="0"/>
                    <w:ind w:left="0" w:right="0" w:firstLine="0"/>
                    <w:jc w:val="left"/>
                    <w:rPr>
                      <w:b/>
                      <w:sz w:val="24"/>
                    </w:rPr>
                  </w:pPr>
                  <w:r>
                    <w:rPr>
                      <w:b/>
                      <w:color w:val="658464"/>
                      <w:w w:val="105"/>
                      <w:sz w:val="24"/>
                    </w:rPr>
                    <w:t>83</w:t>
                  </w:r>
                </w:p>
              </w:txbxContent>
            </v:textbox>
            <w10:wrap type="none"/>
          </v:shape>
        </w:pict>
      </w:r>
      <w:r>
        <w:rPr>
          <w:w w:val="105"/>
          <w:sz w:val="13"/>
        </w:rPr>
        <w:t>180</w:t>
        <w:tab/>
        <w:t>A public nuisance is an unlawful act, the effect of which is to endanger the life, health, property, morals, or comfort of the public: </w:t>
      </w:r>
      <w:r>
        <w:rPr>
          <w:i/>
          <w:w w:val="105"/>
          <w:sz w:val="13"/>
        </w:rPr>
        <w:t>R v </w:t>
      </w:r>
      <w:r>
        <w:rPr>
          <w:i/>
          <w:w w:val="105"/>
          <w:sz w:val="13"/>
        </w:rPr>
        <w:t>Clifford</w:t>
      </w:r>
      <w:r>
        <w:rPr>
          <w:i/>
          <w:spacing w:val="7"/>
          <w:w w:val="105"/>
          <w:sz w:val="13"/>
        </w:rPr>
        <w:t> </w:t>
      </w:r>
      <w:r>
        <w:rPr>
          <w:w w:val="105"/>
          <w:sz w:val="13"/>
        </w:rPr>
        <w:t>[1980]</w:t>
      </w:r>
      <w:r>
        <w:rPr>
          <w:spacing w:val="7"/>
          <w:w w:val="105"/>
          <w:sz w:val="13"/>
        </w:rPr>
        <w:t> </w:t>
      </w:r>
      <w:r>
        <w:rPr>
          <w:w w:val="105"/>
          <w:sz w:val="13"/>
        </w:rPr>
        <w:t>1</w:t>
      </w:r>
      <w:r>
        <w:rPr>
          <w:spacing w:val="8"/>
          <w:w w:val="105"/>
          <w:sz w:val="13"/>
        </w:rPr>
        <w:t> </w:t>
      </w:r>
      <w:r>
        <w:rPr>
          <w:spacing w:val="2"/>
          <w:w w:val="105"/>
          <w:sz w:val="13"/>
        </w:rPr>
        <w:t>NSWLR</w:t>
      </w:r>
      <w:r>
        <w:rPr>
          <w:spacing w:val="7"/>
          <w:w w:val="105"/>
          <w:sz w:val="13"/>
        </w:rPr>
        <w:t> </w:t>
      </w:r>
      <w:r>
        <w:rPr>
          <w:w w:val="105"/>
          <w:sz w:val="13"/>
        </w:rPr>
        <w:t>314:</w:t>
      </w:r>
      <w:r>
        <w:rPr>
          <w:spacing w:val="8"/>
          <w:w w:val="105"/>
          <w:sz w:val="13"/>
        </w:rPr>
        <w:t> </w:t>
      </w:r>
      <w:r>
        <w:rPr>
          <w:w w:val="105"/>
          <w:sz w:val="13"/>
        </w:rPr>
        <w:t>Peter</w:t>
      </w:r>
      <w:r>
        <w:rPr>
          <w:spacing w:val="7"/>
          <w:w w:val="105"/>
          <w:sz w:val="13"/>
        </w:rPr>
        <w:t> </w:t>
      </w:r>
      <w:r>
        <w:rPr>
          <w:w w:val="105"/>
          <w:sz w:val="13"/>
        </w:rPr>
        <w:t>Butt</w:t>
      </w:r>
      <w:r>
        <w:rPr>
          <w:spacing w:val="8"/>
          <w:w w:val="105"/>
          <w:sz w:val="13"/>
        </w:rPr>
        <w:t> </w:t>
      </w:r>
      <w:r>
        <w:rPr>
          <w:spacing w:val="3"/>
          <w:w w:val="105"/>
          <w:sz w:val="13"/>
        </w:rPr>
        <w:t>(ed)</w:t>
      </w:r>
      <w:r>
        <w:rPr>
          <w:i/>
          <w:spacing w:val="3"/>
          <w:w w:val="105"/>
          <w:sz w:val="13"/>
        </w:rPr>
        <w:t>,</w:t>
      </w:r>
      <w:r>
        <w:rPr>
          <w:i/>
          <w:spacing w:val="7"/>
          <w:w w:val="105"/>
          <w:sz w:val="13"/>
        </w:rPr>
        <w:t> </w:t>
      </w:r>
      <w:r>
        <w:rPr>
          <w:i/>
          <w:w w:val="105"/>
          <w:sz w:val="13"/>
        </w:rPr>
        <w:t>Butterworths’</w:t>
      </w:r>
      <w:r>
        <w:rPr>
          <w:i/>
          <w:spacing w:val="7"/>
          <w:w w:val="105"/>
          <w:sz w:val="13"/>
        </w:rPr>
        <w:t> </w:t>
      </w:r>
      <w:r>
        <w:rPr>
          <w:i/>
          <w:w w:val="105"/>
          <w:sz w:val="13"/>
        </w:rPr>
        <w:t>Concise</w:t>
      </w:r>
      <w:r>
        <w:rPr>
          <w:i/>
          <w:spacing w:val="8"/>
          <w:w w:val="105"/>
          <w:sz w:val="13"/>
        </w:rPr>
        <w:t> </w:t>
      </w:r>
      <w:r>
        <w:rPr>
          <w:i/>
          <w:w w:val="105"/>
          <w:sz w:val="13"/>
        </w:rPr>
        <w:t>Australian</w:t>
      </w:r>
      <w:r>
        <w:rPr>
          <w:i/>
          <w:spacing w:val="7"/>
          <w:w w:val="105"/>
          <w:sz w:val="13"/>
        </w:rPr>
        <w:t> </w:t>
      </w:r>
      <w:r>
        <w:rPr>
          <w:i/>
          <w:w w:val="105"/>
          <w:sz w:val="13"/>
        </w:rPr>
        <w:t>Legal</w:t>
      </w:r>
      <w:r>
        <w:rPr>
          <w:i/>
          <w:spacing w:val="8"/>
          <w:w w:val="105"/>
          <w:sz w:val="13"/>
        </w:rPr>
        <w:t> </w:t>
      </w:r>
      <w:r>
        <w:rPr>
          <w:i/>
          <w:w w:val="105"/>
          <w:sz w:val="13"/>
        </w:rPr>
        <w:t>Dictionary</w:t>
      </w:r>
      <w:r>
        <w:rPr>
          <w:i/>
          <w:spacing w:val="7"/>
          <w:w w:val="105"/>
          <w:sz w:val="13"/>
        </w:rPr>
        <w:t> </w:t>
      </w:r>
      <w:r>
        <w:rPr>
          <w:spacing w:val="2"/>
          <w:w w:val="105"/>
          <w:sz w:val="13"/>
        </w:rPr>
        <w:t>(LexisNexis</w:t>
      </w:r>
      <w:r>
        <w:rPr>
          <w:spacing w:val="8"/>
          <w:w w:val="105"/>
          <w:sz w:val="13"/>
        </w:rPr>
        <w:t> </w:t>
      </w:r>
      <w:r>
        <w:rPr>
          <w:w w:val="105"/>
          <w:sz w:val="13"/>
        </w:rPr>
        <w:t>Butterworths,</w:t>
      </w:r>
      <w:r>
        <w:rPr>
          <w:spacing w:val="7"/>
          <w:w w:val="105"/>
          <w:sz w:val="13"/>
        </w:rPr>
        <w:t> </w:t>
      </w:r>
      <w:r>
        <w:rPr>
          <w:w w:val="105"/>
          <w:sz w:val="13"/>
        </w:rPr>
        <w:t>3rd</w:t>
      </w:r>
      <w:r>
        <w:rPr>
          <w:spacing w:val="7"/>
          <w:w w:val="105"/>
          <w:sz w:val="13"/>
        </w:rPr>
        <w:t> </w:t>
      </w:r>
      <w:r>
        <w:rPr>
          <w:w w:val="105"/>
          <w:sz w:val="13"/>
        </w:rPr>
        <w:t>ed,</w:t>
      </w:r>
      <w:r>
        <w:rPr>
          <w:spacing w:val="8"/>
          <w:w w:val="105"/>
          <w:sz w:val="13"/>
        </w:rPr>
        <w:t> </w:t>
      </w:r>
      <w:r>
        <w:rPr>
          <w:spacing w:val="2"/>
          <w:w w:val="105"/>
          <w:sz w:val="13"/>
        </w:rPr>
        <w:t>2004).</w:t>
      </w:r>
    </w:p>
    <w:p>
      <w:pPr>
        <w:spacing w:after="0"/>
        <w:jc w:val="left"/>
        <w:rPr>
          <w:sz w:val="13"/>
        </w:rPr>
        <w:sectPr>
          <w:pgSz w:w="11910" w:h="16840"/>
          <w:pgMar w:header="808" w:footer="0" w:top="1360" w:bottom="280" w:left="0" w:right="0"/>
        </w:sectPr>
      </w:pPr>
    </w:p>
    <w:p>
      <w:pPr>
        <w:pStyle w:val="BodyText"/>
        <w:spacing w:before="9"/>
        <w:rPr>
          <w:sz w:val="22"/>
        </w:rPr>
      </w:pPr>
    </w:p>
    <w:p>
      <w:pPr>
        <w:pStyle w:val="ListParagraph"/>
        <w:numPr>
          <w:ilvl w:val="0"/>
          <w:numId w:val="56"/>
        </w:numPr>
        <w:tabs>
          <w:tab w:pos="2380" w:val="left" w:leader="none"/>
          <w:tab w:pos="2381" w:val="left" w:leader="none"/>
        </w:tabs>
        <w:spacing w:line="242" w:lineRule="auto" w:before="92" w:after="0"/>
        <w:ind w:left="2381" w:right="1738" w:hanging="794"/>
        <w:jc w:val="left"/>
        <w:rPr>
          <w:sz w:val="12"/>
        </w:rPr>
      </w:pPr>
      <w:r>
        <w:rPr>
          <w:w w:val="105"/>
          <w:sz w:val="21"/>
        </w:rPr>
        <w:t>The recommended definition of </w:t>
      </w:r>
      <w:r>
        <w:rPr>
          <w:spacing w:val="-3"/>
          <w:w w:val="105"/>
          <w:sz w:val="21"/>
        </w:rPr>
        <w:t>adjoining land may leave </w:t>
      </w:r>
      <w:r>
        <w:rPr>
          <w:w w:val="105"/>
          <w:sz w:val="21"/>
        </w:rPr>
        <w:t>some neighbours without recourse</w:t>
      </w:r>
      <w:r>
        <w:rPr>
          <w:spacing w:val="-7"/>
          <w:w w:val="105"/>
          <w:sz w:val="21"/>
        </w:rPr>
        <w:t> </w:t>
      </w:r>
      <w:r>
        <w:rPr>
          <w:w w:val="105"/>
          <w:sz w:val="21"/>
        </w:rPr>
        <w:t>even</w:t>
      </w:r>
      <w:r>
        <w:rPr>
          <w:spacing w:val="-7"/>
          <w:w w:val="105"/>
          <w:sz w:val="21"/>
        </w:rPr>
        <w:t> </w:t>
      </w:r>
      <w:r>
        <w:rPr>
          <w:w w:val="105"/>
          <w:sz w:val="21"/>
        </w:rPr>
        <w:t>if</w:t>
      </w:r>
      <w:r>
        <w:rPr>
          <w:spacing w:val="-7"/>
          <w:w w:val="105"/>
          <w:sz w:val="21"/>
        </w:rPr>
        <w:t> </w:t>
      </w:r>
      <w:r>
        <w:rPr>
          <w:w w:val="105"/>
          <w:sz w:val="21"/>
        </w:rPr>
        <w:t>they</w:t>
      </w:r>
      <w:r>
        <w:rPr>
          <w:spacing w:val="-6"/>
          <w:w w:val="105"/>
          <w:sz w:val="21"/>
        </w:rPr>
        <w:t> </w:t>
      </w:r>
      <w:r>
        <w:rPr>
          <w:w w:val="105"/>
          <w:sz w:val="21"/>
        </w:rPr>
        <w:t>can</w:t>
      </w:r>
      <w:r>
        <w:rPr>
          <w:spacing w:val="-7"/>
          <w:w w:val="105"/>
          <w:sz w:val="21"/>
        </w:rPr>
        <w:t> </w:t>
      </w:r>
      <w:r>
        <w:rPr>
          <w:spacing w:val="-4"/>
          <w:w w:val="105"/>
          <w:sz w:val="21"/>
        </w:rPr>
        <w:t>prove,</w:t>
      </w:r>
      <w:r>
        <w:rPr>
          <w:spacing w:val="-7"/>
          <w:w w:val="105"/>
          <w:sz w:val="21"/>
        </w:rPr>
        <w:t> </w:t>
      </w:r>
      <w:r>
        <w:rPr>
          <w:spacing w:val="-3"/>
          <w:w w:val="105"/>
          <w:sz w:val="21"/>
        </w:rPr>
        <w:t>for</w:t>
      </w:r>
      <w:r>
        <w:rPr>
          <w:spacing w:val="-7"/>
          <w:w w:val="105"/>
          <w:sz w:val="21"/>
        </w:rPr>
        <w:t> </w:t>
      </w:r>
      <w:r>
        <w:rPr>
          <w:spacing w:val="-3"/>
          <w:w w:val="105"/>
          <w:sz w:val="21"/>
        </w:rPr>
        <w:t>example,</w:t>
      </w:r>
      <w:r>
        <w:rPr>
          <w:spacing w:val="-6"/>
          <w:w w:val="105"/>
          <w:sz w:val="21"/>
        </w:rPr>
        <w:t> </w:t>
      </w:r>
      <w:r>
        <w:rPr>
          <w:spacing w:val="-3"/>
          <w:w w:val="105"/>
          <w:sz w:val="21"/>
        </w:rPr>
        <w:t>that</w:t>
      </w:r>
      <w:r>
        <w:rPr>
          <w:spacing w:val="-7"/>
          <w:w w:val="105"/>
          <w:sz w:val="21"/>
        </w:rPr>
        <w:t> </w:t>
      </w:r>
      <w:r>
        <w:rPr>
          <w:w w:val="105"/>
          <w:sz w:val="21"/>
        </w:rPr>
        <w:t>a</w:t>
      </w:r>
      <w:r>
        <w:rPr>
          <w:spacing w:val="-7"/>
          <w:w w:val="105"/>
          <w:sz w:val="21"/>
        </w:rPr>
        <w:t> </w:t>
      </w:r>
      <w:r>
        <w:rPr>
          <w:w w:val="105"/>
          <w:sz w:val="21"/>
        </w:rPr>
        <w:t>very</w:t>
      </w:r>
      <w:r>
        <w:rPr>
          <w:spacing w:val="-6"/>
          <w:w w:val="105"/>
          <w:sz w:val="21"/>
        </w:rPr>
        <w:t> </w:t>
      </w:r>
      <w:r>
        <w:rPr>
          <w:w w:val="105"/>
          <w:sz w:val="21"/>
        </w:rPr>
        <w:t>tall</w:t>
      </w:r>
      <w:r>
        <w:rPr>
          <w:spacing w:val="-7"/>
          <w:w w:val="105"/>
          <w:sz w:val="21"/>
        </w:rPr>
        <w:t> </w:t>
      </w:r>
      <w:r>
        <w:rPr>
          <w:w w:val="105"/>
          <w:sz w:val="21"/>
        </w:rPr>
        <w:t>tree</w:t>
      </w:r>
      <w:r>
        <w:rPr>
          <w:spacing w:val="-7"/>
          <w:w w:val="105"/>
          <w:sz w:val="21"/>
        </w:rPr>
        <w:t> </w:t>
      </w:r>
      <w:r>
        <w:rPr>
          <w:w w:val="105"/>
          <w:sz w:val="21"/>
        </w:rPr>
        <w:t>of</w:t>
      </w:r>
      <w:r>
        <w:rPr>
          <w:spacing w:val="-7"/>
          <w:w w:val="105"/>
          <w:sz w:val="21"/>
        </w:rPr>
        <w:t> </w:t>
      </w:r>
      <w:r>
        <w:rPr>
          <w:spacing w:val="-3"/>
          <w:w w:val="105"/>
          <w:sz w:val="21"/>
        </w:rPr>
        <w:t>compromised</w:t>
      </w:r>
      <w:r>
        <w:rPr>
          <w:spacing w:val="-6"/>
          <w:w w:val="105"/>
          <w:sz w:val="21"/>
        </w:rPr>
        <w:t> </w:t>
      </w:r>
      <w:r>
        <w:rPr>
          <w:spacing w:val="-3"/>
          <w:w w:val="105"/>
          <w:sz w:val="21"/>
        </w:rPr>
        <w:t>health </w:t>
      </w:r>
      <w:r>
        <w:rPr>
          <w:w w:val="105"/>
          <w:sz w:val="21"/>
        </w:rPr>
        <w:t>would affect a non-adjoining </w:t>
      </w:r>
      <w:r>
        <w:rPr>
          <w:spacing w:val="-3"/>
          <w:w w:val="105"/>
          <w:sz w:val="21"/>
        </w:rPr>
        <w:t>neighbour’s land </w:t>
      </w:r>
      <w:r>
        <w:rPr>
          <w:w w:val="105"/>
          <w:sz w:val="21"/>
        </w:rPr>
        <w:t>if it </w:t>
      </w:r>
      <w:r>
        <w:rPr>
          <w:spacing w:val="-3"/>
          <w:w w:val="105"/>
          <w:sz w:val="21"/>
        </w:rPr>
        <w:t>were to </w:t>
      </w:r>
      <w:r>
        <w:rPr>
          <w:spacing w:val="-4"/>
          <w:w w:val="105"/>
          <w:sz w:val="21"/>
        </w:rPr>
        <w:t>fall </w:t>
      </w:r>
      <w:r>
        <w:rPr>
          <w:w w:val="105"/>
          <w:sz w:val="21"/>
        </w:rPr>
        <w:t>or drop a large </w:t>
      </w:r>
      <w:r>
        <w:rPr>
          <w:spacing w:val="-5"/>
          <w:w w:val="105"/>
          <w:sz w:val="21"/>
        </w:rPr>
        <w:t>branch.</w:t>
      </w:r>
      <w:r>
        <w:rPr>
          <w:spacing w:val="-5"/>
          <w:w w:val="105"/>
          <w:position w:val="7"/>
          <w:sz w:val="12"/>
        </w:rPr>
        <w:t>181</w:t>
      </w:r>
      <w:r>
        <w:rPr>
          <w:spacing w:val="-5"/>
          <w:w w:val="105"/>
          <w:sz w:val="12"/>
        </w:rPr>
        <w:t> </w:t>
      </w:r>
      <w:r>
        <w:rPr>
          <w:w w:val="105"/>
          <w:sz w:val="21"/>
        </w:rPr>
        <w:t>In</w:t>
      </w:r>
      <w:r>
        <w:rPr>
          <w:spacing w:val="-5"/>
          <w:w w:val="105"/>
          <w:sz w:val="21"/>
        </w:rPr>
        <w:t> </w:t>
      </w:r>
      <w:r>
        <w:rPr>
          <w:w w:val="105"/>
          <w:sz w:val="21"/>
        </w:rPr>
        <w:t>this</w:t>
      </w:r>
      <w:r>
        <w:rPr>
          <w:spacing w:val="-5"/>
          <w:w w:val="105"/>
          <w:sz w:val="21"/>
        </w:rPr>
        <w:t> </w:t>
      </w:r>
      <w:r>
        <w:rPr>
          <w:spacing w:val="-3"/>
          <w:w w:val="105"/>
          <w:sz w:val="21"/>
        </w:rPr>
        <w:t>situation,</w:t>
      </w:r>
      <w:r>
        <w:rPr>
          <w:spacing w:val="-4"/>
          <w:w w:val="105"/>
          <w:sz w:val="21"/>
        </w:rPr>
        <w:t> </w:t>
      </w:r>
      <w:r>
        <w:rPr>
          <w:w w:val="105"/>
          <w:sz w:val="21"/>
        </w:rPr>
        <w:t>the</w:t>
      </w:r>
      <w:r>
        <w:rPr>
          <w:spacing w:val="-5"/>
          <w:w w:val="105"/>
          <w:sz w:val="21"/>
        </w:rPr>
        <w:t> </w:t>
      </w:r>
      <w:r>
        <w:rPr>
          <w:w w:val="105"/>
          <w:sz w:val="21"/>
        </w:rPr>
        <w:t>affected</w:t>
      </w:r>
      <w:r>
        <w:rPr>
          <w:spacing w:val="-4"/>
          <w:w w:val="105"/>
          <w:sz w:val="21"/>
        </w:rPr>
        <w:t> </w:t>
      </w:r>
      <w:r>
        <w:rPr>
          <w:spacing w:val="-3"/>
          <w:w w:val="105"/>
          <w:sz w:val="21"/>
        </w:rPr>
        <w:t>neighbour’s</w:t>
      </w:r>
      <w:r>
        <w:rPr>
          <w:spacing w:val="-5"/>
          <w:w w:val="105"/>
          <w:sz w:val="21"/>
        </w:rPr>
        <w:t> </w:t>
      </w:r>
      <w:r>
        <w:rPr>
          <w:w w:val="105"/>
          <w:sz w:val="21"/>
        </w:rPr>
        <w:t>only</w:t>
      </w:r>
      <w:r>
        <w:rPr>
          <w:spacing w:val="-4"/>
          <w:w w:val="105"/>
          <w:sz w:val="21"/>
        </w:rPr>
        <w:t> </w:t>
      </w:r>
      <w:r>
        <w:rPr>
          <w:w w:val="105"/>
          <w:sz w:val="21"/>
        </w:rPr>
        <w:t>options</w:t>
      </w:r>
      <w:r>
        <w:rPr>
          <w:spacing w:val="-5"/>
          <w:w w:val="105"/>
          <w:sz w:val="21"/>
        </w:rPr>
        <w:t> </w:t>
      </w:r>
      <w:r>
        <w:rPr>
          <w:spacing w:val="-3"/>
          <w:w w:val="105"/>
          <w:sz w:val="21"/>
        </w:rPr>
        <w:t>may</w:t>
      </w:r>
      <w:r>
        <w:rPr>
          <w:spacing w:val="-4"/>
          <w:w w:val="105"/>
          <w:sz w:val="21"/>
        </w:rPr>
        <w:t> </w:t>
      </w:r>
      <w:r>
        <w:rPr>
          <w:w w:val="105"/>
          <w:sz w:val="21"/>
        </w:rPr>
        <w:t>be</w:t>
      </w:r>
      <w:r>
        <w:rPr>
          <w:spacing w:val="-5"/>
          <w:w w:val="105"/>
          <w:sz w:val="21"/>
        </w:rPr>
        <w:t> </w:t>
      </w:r>
      <w:r>
        <w:rPr>
          <w:spacing w:val="-3"/>
          <w:w w:val="105"/>
          <w:sz w:val="21"/>
        </w:rPr>
        <w:t>to</w:t>
      </w:r>
      <w:r>
        <w:rPr>
          <w:spacing w:val="-4"/>
          <w:w w:val="105"/>
          <w:sz w:val="21"/>
        </w:rPr>
        <w:t> </w:t>
      </w:r>
      <w:r>
        <w:rPr>
          <w:spacing w:val="-3"/>
          <w:w w:val="105"/>
          <w:sz w:val="21"/>
        </w:rPr>
        <w:t>commence</w:t>
      </w:r>
      <w:r>
        <w:rPr>
          <w:spacing w:val="-5"/>
          <w:w w:val="105"/>
          <w:sz w:val="21"/>
        </w:rPr>
        <w:t> </w:t>
      </w:r>
      <w:r>
        <w:rPr>
          <w:w w:val="105"/>
          <w:sz w:val="21"/>
        </w:rPr>
        <w:t>legal</w:t>
      </w:r>
      <w:r>
        <w:rPr>
          <w:spacing w:val="-4"/>
          <w:w w:val="105"/>
          <w:sz w:val="21"/>
        </w:rPr>
        <w:t> </w:t>
      </w:r>
      <w:r>
        <w:rPr>
          <w:w w:val="105"/>
          <w:sz w:val="21"/>
        </w:rPr>
        <w:t>action </w:t>
      </w:r>
      <w:r>
        <w:rPr>
          <w:spacing w:val="-3"/>
          <w:w w:val="105"/>
          <w:sz w:val="21"/>
        </w:rPr>
        <w:t>for nuisance </w:t>
      </w:r>
      <w:r>
        <w:rPr>
          <w:w w:val="105"/>
          <w:sz w:val="21"/>
        </w:rPr>
        <w:t>and seek a </w:t>
      </w:r>
      <w:r>
        <w:rPr>
          <w:i/>
          <w:spacing w:val="-3"/>
          <w:w w:val="105"/>
          <w:sz w:val="21"/>
        </w:rPr>
        <w:t>quia </w:t>
      </w:r>
      <w:r>
        <w:rPr>
          <w:i/>
          <w:spacing w:val="-4"/>
          <w:w w:val="105"/>
          <w:sz w:val="21"/>
        </w:rPr>
        <w:t>timet</w:t>
      </w:r>
      <w:r>
        <w:rPr>
          <w:spacing w:val="-4"/>
          <w:w w:val="105"/>
          <w:position w:val="7"/>
          <w:sz w:val="12"/>
        </w:rPr>
        <w:t>182 </w:t>
      </w:r>
      <w:r>
        <w:rPr>
          <w:w w:val="105"/>
          <w:sz w:val="21"/>
        </w:rPr>
        <w:t>injunction or pursue an action </w:t>
      </w:r>
      <w:r>
        <w:rPr>
          <w:spacing w:val="-3"/>
          <w:w w:val="105"/>
          <w:sz w:val="21"/>
        </w:rPr>
        <w:t>for negligence </w:t>
      </w:r>
      <w:r>
        <w:rPr>
          <w:w w:val="105"/>
          <w:sz w:val="21"/>
        </w:rPr>
        <w:t>if damage or </w:t>
      </w:r>
      <w:r>
        <w:rPr>
          <w:spacing w:val="-3"/>
          <w:w w:val="105"/>
          <w:sz w:val="21"/>
        </w:rPr>
        <w:t>harm </w:t>
      </w:r>
      <w:r>
        <w:rPr>
          <w:spacing w:val="-2"/>
          <w:w w:val="105"/>
          <w:sz w:val="21"/>
        </w:rPr>
        <w:t>has </w:t>
      </w:r>
      <w:r>
        <w:rPr>
          <w:spacing w:val="-3"/>
          <w:w w:val="105"/>
          <w:sz w:val="21"/>
        </w:rPr>
        <w:t>already</w:t>
      </w:r>
      <w:r>
        <w:rPr>
          <w:spacing w:val="30"/>
          <w:w w:val="105"/>
          <w:sz w:val="21"/>
        </w:rPr>
        <w:t> </w:t>
      </w:r>
      <w:r>
        <w:rPr>
          <w:spacing w:val="-4"/>
          <w:w w:val="105"/>
          <w:sz w:val="21"/>
        </w:rPr>
        <w:t>occurred.</w:t>
      </w:r>
      <w:r>
        <w:rPr>
          <w:spacing w:val="-4"/>
          <w:w w:val="105"/>
          <w:position w:val="7"/>
          <w:sz w:val="12"/>
        </w:rPr>
        <w:t>183</w:t>
      </w:r>
    </w:p>
    <w:p>
      <w:pPr>
        <w:pStyle w:val="ListParagraph"/>
        <w:numPr>
          <w:ilvl w:val="0"/>
          <w:numId w:val="56"/>
        </w:numPr>
        <w:tabs>
          <w:tab w:pos="2381" w:val="left" w:leader="none"/>
        </w:tabs>
        <w:spacing w:line="242" w:lineRule="auto" w:before="126" w:after="0"/>
        <w:ind w:left="2380" w:right="2010" w:hanging="793"/>
        <w:jc w:val="both"/>
        <w:rPr>
          <w:sz w:val="12"/>
        </w:rPr>
      </w:pPr>
      <w:r>
        <w:rPr>
          <w:w w:val="105"/>
          <w:sz w:val="21"/>
        </w:rPr>
        <w:t>If</w:t>
      </w:r>
      <w:r>
        <w:rPr>
          <w:spacing w:val="-6"/>
          <w:w w:val="105"/>
          <w:sz w:val="21"/>
        </w:rPr>
        <w:t> </w:t>
      </w:r>
      <w:r>
        <w:rPr>
          <w:w w:val="105"/>
          <w:sz w:val="21"/>
        </w:rPr>
        <w:t>the</w:t>
      </w:r>
      <w:r>
        <w:rPr>
          <w:spacing w:val="-6"/>
          <w:w w:val="105"/>
          <w:sz w:val="21"/>
        </w:rPr>
        <w:t> </w:t>
      </w:r>
      <w:r>
        <w:rPr>
          <w:w w:val="105"/>
          <w:sz w:val="21"/>
        </w:rPr>
        <w:t>tree</w:t>
      </w:r>
      <w:r>
        <w:rPr>
          <w:spacing w:val="-5"/>
          <w:w w:val="105"/>
          <w:sz w:val="21"/>
        </w:rPr>
        <w:t> </w:t>
      </w:r>
      <w:r>
        <w:rPr>
          <w:spacing w:val="-2"/>
          <w:w w:val="105"/>
          <w:sz w:val="21"/>
        </w:rPr>
        <w:t>has</w:t>
      </w:r>
      <w:r>
        <w:rPr>
          <w:spacing w:val="-6"/>
          <w:w w:val="105"/>
          <w:sz w:val="21"/>
        </w:rPr>
        <w:t> </w:t>
      </w:r>
      <w:r>
        <w:rPr>
          <w:w w:val="105"/>
          <w:sz w:val="21"/>
        </w:rPr>
        <w:t>caused</w:t>
      </w:r>
      <w:r>
        <w:rPr>
          <w:spacing w:val="-5"/>
          <w:w w:val="105"/>
          <w:sz w:val="21"/>
        </w:rPr>
        <w:t> </w:t>
      </w:r>
      <w:r>
        <w:rPr>
          <w:w w:val="105"/>
          <w:sz w:val="21"/>
        </w:rPr>
        <w:t>damage</w:t>
      </w:r>
      <w:r>
        <w:rPr>
          <w:spacing w:val="-6"/>
          <w:w w:val="105"/>
          <w:sz w:val="21"/>
        </w:rPr>
        <w:t> </w:t>
      </w:r>
      <w:r>
        <w:rPr>
          <w:spacing w:val="-3"/>
          <w:w w:val="105"/>
          <w:sz w:val="21"/>
        </w:rPr>
        <w:t>to</w:t>
      </w:r>
      <w:r>
        <w:rPr>
          <w:spacing w:val="-5"/>
          <w:w w:val="105"/>
          <w:sz w:val="21"/>
        </w:rPr>
        <w:t> </w:t>
      </w:r>
      <w:r>
        <w:rPr>
          <w:spacing w:val="-3"/>
          <w:w w:val="105"/>
          <w:sz w:val="21"/>
        </w:rPr>
        <w:t>multiple</w:t>
      </w:r>
      <w:r>
        <w:rPr>
          <w:spacing w:val="-6"/>
          <w:w w:val="105"/>
          <w:sz w:val="21"/>
        </w:rPr>
        <w:t> </w:t>
      </w:r>
      <w:r>
        <w:rPr>
          <w:w w:val="105"/>
          <w:sz w:val="21"/>
        </w:rPr>
        <w:t>properties</w:t>
      </w:r>
      <w:r>
        <w:rPr>
          <w:spacing w:val="-5"/>
          <w:w w:val="105"/>
          <w:sz w:val="21"/>
        </w:rPr>
        <w:t> </w:t>
      </w:r>
      <w:r>
        <w:rPr>
          <w:w w:val="105"/>
          <w:sz w:val="21"/>
        </w:rPr>
        <w:t>on</w:t>
      </w:r>
      <w:r>
        <w:rPr>
          <w:spacing w:val="-6"/>
          <w:w w:val="105"/>
          <w:sz w:val="21"/>
        </w:rPr>
        <w:t> </w:t>
      </w:r>
      <w:r>
        <w:rPr>
          <w:spacing w:val="-3"/>
          <w:w w:val="105"/>
          <w:sz w:val="21"/>
        </w:rPr>
        <w:t>adjoining</w:t>
      </w:r>
      <w:r>
        <w:rPr>
          <w:spacing w:val="-5"/>
          <w:w w:val="105"/>
          <w:sz w:val="21"/>
        </w:rPr>
        <w:t> </w:t>
      </w:r>
      <w:r>
        <w:rPr>
          <w:spacing w:val="-3"/>
          <w:w w:val="105"/>
          <w:sz w:val="21"/>
        </w:rPr>
        <w:t>land,</w:t>
      </w:r>
      <w:r>
        <w:rPr>
          <w:spacing w:val="-6"/>
          <w:w w:val="105"/>
          <w:sz w:val="21"/>
        </w:rPr>
        <w:t> </w:t>
      </w:r>
      <w:r>
        <w:rPr>
          <w:w w:val="105"/>
          <w:sz w:val="21"/>
        </w:rPr>
        <w:t>then</w:t>
      </w:r>
      <w:r>
        <w:rPr>
          <w:spacing w:val="-6"/>
          <w:w w:val="105"/>
          <w:sz w:val="21"/>
        </w:rPr>
        <w:t> </w:t>
      </w:r>
      <w:r>
        <w:rPr>
          <w:spacing w:val="-3"/>
          <w:w w:val="105"/>
          <w:sz w:val="21"/>
        </w:rPr>
        <w:t>separate applications for </w:t>
      </w:r>
      <w:r>
        <w:rPr>
          <w:w w:val="105"/>
          <w:sz w:val="21"/>
        </w:rPr>
        <w:t>each affected property would be </w:t>
      </w:r>
      <w:r>
        <w:rPr>
          <w:spacing w:val="-3"/>
          <w:w w:val="105"/>
          <w:sz w:val="21"/>
        </w:rPr>
        <w:t>required. </w:t>
      </w:r>
      <w:r>
        <w:rPr>
          <w:w w:val="105"/>
          <w:sz w:val="21"/>
        </w:rPr>
        <w:t>This is </w:t>
      </w:r>
      <w:r>
        <w:rPr>
          <w:spacing w:val="-3"/>
          <w:w w:val="105"/>
          <w:sz w:val="21"/>
        </w:rPr>
        <w:t>consistent </w:t>
      </w:r>
      <w:r>
        <w:rPr>
          <w:w w:val="105"/>
          <w:sz w:val="21"/>
        </w:rPr>
        <w:t>with the approach in New South</w:t>
      </w:r>
      <w:r>
        <w:rPr>
          <w:spacing w:val="21"/>
          <w:w w:val="105"/>
          <w:sz w:val="21"/>
        </w:rPr>
        <w:t> </w:t>
      </w:r>
      <w:r>
        <w:rPr>
          <w:spacing w:val="-4"/>
          <w:w w:val="105"/>
          <w:sz w:val="21"/>
        </w:rPr>
        <w:t>Wales.</w:t>
      </w:r>
      <w:r>
        <w:rPr>
          <w:spacing w:val="-4"/>
          <w:w w:val="105"/>
          <w:position w:val="7"/>
          <w:sz w:val="12"/>
        </w:rPr>
        <w:t>184</w:t>
      </w:r>
    </w:p>
    <w:p>
      <w:pPr>
        <w:pStyle w:val="Heading7"/>
      </w:pPr>
      <w:r>
        <w:rPr>
          <w:color w:val="58595B"/>
          <w:w w:val="115"/>
        </w:rPr>
        <w:t>Irregular blocks and public easements</w:t>
      </w:r>
    </w:p>
    <w:p>
      <w:pPr>
        <w:pStyle w:val="ListParagraph"/>
        <w:numPr>
          <w:ilvl w:val="0"/>
          <w:numId w:val="56"/>
        </w:numPr>
        <w:tabs>
          <w:tab w:pos="2380" w:val="left" w:leader="none"/>
          <w:tab w:pos="2381" w:val="left" w:leader="none"/>
        </w:tabs>
        <w:spacing w:line="242" w:lineRule="auto" w:before="143" w:after="0"/>
        <w:ind w:left="2381" w:right="1924" w:hanging="794"/>
        <w:jc w:val="left"/>
        <w:rPr>
          <w:sz w:val="21"/>
        </w:rPr>
      </w:pPr>
      <w:r>
        <w:rPr>
          <w:w w:val="105"/>
          <w:sz w:val="21"/>
        </w:rPr>
        <w:t>Some </w:t>
      </w:r>
      <w:r>
        <w:rPr>
          <w:spacing w:val="-3"/>
          <w:w w:val="105"/>
          <w:sz w:val="21"/>
        </w:rPr>
        <w:t>neighbouring land may </w:t>
      </w:r>
      <w:r>
        <w:rPr>
          <w:w w:val="105"/>
          <w:sz w:val="21"/>
        </w:rPr>
        <w:t>be </w:t>
      </w:r>
      <w:r>
        <w:rPr>
          <w:spacing w:val="-3"/>
          <w:w w:val="105"/>
          <w:sz w:val="21"/>
        </w:rPr>
        <w:t>diagonally </w:t>
      </w:r>
      <w:r>
        <w:rPr>
          <w:w w:val="105"/>
          <w:sz w:val="21"/>
        </w:rPr>
        <w:t>offset or </w:t>
      </w:r>
      <w:r>
        <w:rPr>
          <w:spacing w:val="-3"/>
          <w:w w:val="105"/>
          <w:sz w:val="21"/>
        </w:rPr>
        <w:t>separated </w:t>
      </w:r>
      <w:r>
        <w:rPr>
          <w:w w:val="105"/>
          <w:sz w:val="21"/>
        </w:rPr>
        <w:t>by very short distances of </w:t>
      </w:r>
      <w:r>
        <w:rPr>
          <w:spacing w:val="-3"/>
          <w:w w:val="105"/>
          <w:sz w:val="21"/>
        </w:rPr>
        <w:t>public land, including </w:t>
      </w:r>
      <w:r>
        <w:rPr>
          <w:w w:val="105"/>
          <w:sz w:val="21"/>
        </w:rPr>
        <w:t>where there is an </w:t>
      </w:r>
      <w:r>
        <w:rPr>
          <w:spacing w:val="-4"/>
          <w:w w:val="105"/>
          <w:sz w:val="21"/>
        </w:rPr>
        <w:t>easement.</w:t>
      </w:r>
      <w:r>
        <w:rPr>
          <w:spacing w:val="-4"/>
          <w:w w:val="105"/>
          <w:position w:val="7"/>
          <w:sz w:val="12"/>
        </w:rPr>
        <w:t>185 </w:t>
      </w:r>
      <w:r>
        <w:rPr>
          <w:w w:val="105"/>
          <w:sz w:val="21"/>
        </w:rPr>
        <w:t>It would be </w:t>
      </w:r>
      <w:r>
        <w:rPr>
          <w:spacing w:val="-4"/>
          <w:w w:val="105"/>
          <w:sz w:val="21"/>
        </w:rPr>
        <w:t>unfair </w:t>
      </w:r>
      <w:r>
        <w:rPr>
          <w:spacing w:val="-3"/>
          <w:w w:val="105"/>
          <w:sz w:val="21"/>
        </w:rPr>
        <w:t>to exclude </w:t>
      </w:r>
      <w:r>
        <w:rPr>
          <w:w w:val="105"/>
          <w:sz w:val="21"/>
        </w:rPr>
        <w:t>these neighbours </w:t>
      </w:r>
      <w:r>
        <w:rPr>
          <w:spacing w:val="-3"/>
          <w:w w:val="105"/>
          <w:sz w:val="21"/>
        </w:rPr>
        <w:t>from </w:t>
      </w:r>
      <w:r>
        <w:rPr>
          <w:w w:val="105"/>
          <w:sz w:val="21"/>
        </w:rPr>
        <w:t>the scope of the new Act if they </w:t>
      </w:r>
      <w:r>
        <w:rPr>
          <w:spacing w:val="-3"/>
          <w:w w:val="105"/>
          <w:sz w:val="21"/>
        </w:rPr>
        <w:t>were genuinely </w:t>
      </w:r>
      <w:r>
        <w:rPr>
          <w:w w:val="105"/>
          <w:sz w:val="21"/>
        </w:rPr>
        <w:t>affected by a </w:t>
      </w:r>
      <w:r>
        <w:rPr>
          <w:spacing w:val="-3"/>
          <w:w w:val="105"/>
          <w:sz w:val="21"/>
        </w:rPr>
        <w:t>neighbouring</w:t>
      </w:r>
      <w:r>
        <w:rPr>
          <w:spacing w:val="5"/>
          <w:w w:val="105"/>
          <w:sz w:val="21"/>
        </w:rPr>
        <w:t> </w:t>
      </w:r>
      <w:r>
        <w:rPr>
          <w:spacing w:val="-3"/>
          <w:w w:val="105"/>
          <w:sz w:val="21"/>
        </w:rPr>
        <w:t>tree.</w:t>
      </w:r>
    </w:p>
    <w:p>
      <w:pPr>
        <w:pStyle w:val="ListParagraph"/>
        <w:numPr>
          <w:ilvl w:val="0"/>
          <w:numId w:val="56"/>
        </w:numPr>
        <w:tabs>
          <w:tab w:pos="2381" w:val="left" w:leader="none"/>
          <w:tab w:pos="2382" w:val="left" w:leader="none"/>
        </w:tabs>
        <w:spacing w:line="242" w:lineRule="auto" w:before="124" w:after="0"/>
        <w:ind w:left="2381" w:right="1679" w:hanging="794"/>
        <w:jc w:val="left"/>
        <w:rPr>
          <w:sz w:val="12"/>
        </w:rPr>
      </w:pPr>
      <w:r>
        <w:rPr>
          <w:w w:val="105"/>
          <w:sz w:val="21"/>
        </w:rPr>
        <w:t>Non-standard</w:t>
      </w:r>
      <w:r>
        <w:rPr>
          <w:spacing w:val="-6"/>
          <w:w w:val="105"/>
          <w:sz w:val="21"/>
        </w:rPr>
        <w:t> </w:t>
      </w:r>
      <w:r>
        <w:rPr>
          <w:w w:val="105"/>
          <w:sz w:val="21"/>
        </w:rPr>
        <w:t>issues</w:t>
      </w:r>
      <w:r>
        <w:rPr>
          <w:spacing w:val="-6"/>
          <w:w w:val="105"/>
          <w:sz w:val="21"/>
        </w:rPr>
        <w:t> </w:t>
      </w:r>
      <w:r>
        <w:rPr>
          <w:spacing w:val="-3"/>
          <w:w w:val="105"/>
          <w:sz w:val="21"/>
        </w:rPr>
        <w:t>relating</w:t>
      </w:r>
      <w:r>
        <w:rPr>
          <w:spacing w:val="-6"/>
          <w:w w:val="105"/>
          <w:sz w:val="21"/>
        </w:rPr>
        <w:t> </w:t>
      </w:r>
      <w:r>
        <w:rPr>
          <w:spacing w:val="-3"/>
          <w:w w:val="105"/>
          <w:sz w:val="21"/>
        </w:rPr>
        <w:t>to</w:t>
      </w:r>
      <w:r>
        <w:rPr>
          <w:spacing w:val="-6"/>
          <w:w w:val="105"/>
          <w:sz w:val="21"/>
        </w:rPr>
        <w:t> </w:t>
      </w:r>
      <w:r>
        <w:rPr>
          <w:w w:val="105"/>
          <w:sz w:val="21"/>
        </w:rPr>
        <w:t>the</w:t>
      </w:r>
      <w:r>
        <w:rPr>
          <w:spacing w:val="-5"/>
          <w:w w:val="105"/>
          <w:sz w:val="21"/>
        </w:rPr>
        <w:t> </w:t>
      </w:r>
      <w:r>
        <w:rPr>
          <w:spacing w:val="-3"/>
          <w:w w:val="105"/>
          <w:sz w:val="21"/>
        </w:rPr>
        <w:t>threshold</w:t>
      </w:r>
      <w:r>
        <w:rPr>
          <w:spacing w:val="-6"/>
          <w:w w:val="105"/>
          <w:sz w:val="21"/>
        </w:rPr>
        <w:t> </w:t>
      </w:r>
      <w:r>
        <w:rPr>
          <w:w w:val="105"/>
          <w:sz w:val="21"/>
        </w:rPr>
        <w:t>of</w:t>
      </w:r>
      <w:r>
        <w:rPr>
          <w:spacing w:val="-6"/>
          <w:w w:val="105"/>
          <w:sz w:val="21"/>
        </w:rPr>
        <w:t> </w:t>
      </w:r>
      <w:r>
        <w:rPr>
          <w:spacing w:val="-4"/>
          <w:w w:val="105"/>
          <w:sz w:val="21"/>
        </w:rPr>
        <w:t>‘adjoining’</w:t>
      </w:r>
      <w:r>
        <w:rPr>
          <w:spacing w:val="-6"/>
          <w:w w:val="105"/>
          <w:sz w:val="21"/>
        </w:rPr>
        <w:t> </w:t>
      </w:r>
      <w:r>
        <w:rPr>
          <w:w w:val="105"/>
          <w:sz w:val="21"/>
        </w:rPr>
        <w:t>arise</w:t>
      </w:r>
      <w:r>
        <w:rPr>
          <w:spacing w:val="-5"/>
          <w:w w:val="105"/>
          <w:sz w:val="21"/>
        </w:rPr>
        <w:t> </w:t>
      </w:r>
      <w:r>
        <w:rPr>
          <w:w w:val="105"/>
          <w:sz w:val="21"/>
        </w:rPr>
        <w:t>very</w:t>
      </w:r>
      <w:r>
        <w:rPr>
          <w:spacing w:val="-6"/>
          <w:w w:val="105"/>
          <w:sz w:val="21"/>
        </w:rPr>
        <w:t> </w:t>
      </w:r>
      <w:r>
        <w:rPr>
          <w:spacing w:val="-4"/>
          <w:w w:val="105"/>
          <w:sz w:val="21"/>
        </w:rPr>
        <w:t>rarely.</w:t>
      </w:r>
      <w:r>
        <w:rPr>
          <w:spacing w:val="-6"/>
          <w:w w:val="105"/>
          <w:sz w:val="21"/>
        </w:rPr>
        <w:t> </w:t>
      </w:r>
      <w:r>
        <w:rPr>
          <w:w w:val="105"/>
          <w:sz w:val="21"/>
        </w:rPr>
        <w:t>The</w:t>
      </w:r>
      <w:r>
        <w:rPr>
          <w:spacing w:val="-6"/>
          <w:w w:val="105"/>
          <w:sz w:val="21"/>
        </w:rPr>
        <w:t> </w:t>
      </w:r>
      <w:r>
        <w:rPr>
          <w:w w:val="105"/>
          <w:sz w:val="21"/>
        </w:rPr>
        <w:t>NSWLEC </w:t>
      </w:r>
      <w:r>
        <w:rPr>
          <w:spacing w:val="-2"/>
          <w:w w:val="105"/>
          <w:sz w:val="21"/>
        </w:rPr>
        <w:t>has </w:t>
      </w:r>
      <w:r>
        <w:rPr>
          <w:spacing w:val="-3"/>
          <w:w w:val="105"/>
          <w:sz w:val="21"/>
        </w:rPr>
        <w:t>heard approximately </w:t>
      </w:r>
      <w:r>
        <w:rPr>
          <w:w w:val="105"/>
          <w:sz w:val="21"/>
        </w:rPr>
        <w:t>1000 tree </w:t>
      </w:r>
      <w:r>
        <w:rPr>
          <w:spacing w:val="-3"/>
          <w:w w:val="105"/>
          <w:sz w:val="21"/>
        </w:rPr>
        <w:t>disputes since </w:t>
      </w:r>
      <w:r>
        <w:rPr>
          <w:w w:val="105"/>
          <w:sz w:val="21"/>
        </w:rPr>
        <w:t>the </w:t>
      </w:r>
      <w:r>
        <w:rPr>
          <w:spacing w:val="-3"/>
          <w:w w:val="105"/>
          <w:sz w:val="21"/>
        </w:rPr>
        <w:t>commencement </w:t>
      </w:r>
      <w:r>
        <w:rPr>
          <w:w w:val="105"/>
          <w:sz w:val="21"/>
        </w:rPr>
        <w:t>of the NSW Act, and</w:t>
      </w:r>
      <w:r>
        <w:rPr>
          <w:spacing w:val="-6"/>
          <w:w w:val="105"/>
          <w:sz w:val="21"/>
        </w:rPr>
        <w:t> </w:t>
      </w:r>
      <w:r>
        <w:rPr>
          <w:w w:val="105"/>
          <w:sz w:val="21"/>
        </w:rPr>
        <w:t>in</w:t>
      </w:r>
      <w:r>
        <w:rPr>
          <w:spacing w:val="-5"/>
          <w:w w:val="105"/>
          <w:sz w:val="21"/>
        </w:rPr>
        <w:t> </w:t>
      </w:r>
      <w:r>
        <w:rPr>
          <w:w w:val="105"/>
          <w:sz w:val="21"/>
        </w:rPr>
        <w:t>only</w:t>
      </w:r>
      <w:r>
        <w:rPr>
          <w:spacing w:val="-6"/>
          <w:w w:val="105"/>
          <w:sz w:val="21"/>
        </w:rPr>
        <w:t> </w:t>
      </w:r>
      <w:r>
        <w:rPr>
          <w:w w:val="105"/>
          <w:sz w:val="21"/>
        </w:rPr>
        <w:t>a</w:t>
      </w:r>
      <w:r>
        <w:rPr>
          <w:spacing w:val="-5"/>
          <w:w w:val="105"/>
          <w:sz w:val="21"/>
        </w:rPr>
        <w:t> </w:t>
      </w:r>
      <w:r>
        <w:rPr>
          <w:spacing w:val="-3"/>
          <w:w w:val="105"/>
          <w:sz w:val="21"/>
        </w:rPr>
        <w:t>few</w:t>
      </w:r>
      <w:r>
        <w:rPr>
          <w:spacing w:val="-6"/>
          <w:w w:val="105"/>
          <w:sz w:val="21"/>
        </w:rPr>
        <w:t> </w:t>
      </w:r>
      <w:r>
        <w:rPr>
          <w:w w:val="105"/>
          <w:sz w:val="21"/>
        </w:rPr>
        <w:t>cases</w:t>
      </w:r>
      <w:r>
        <w:rPr>
          <w:spacing w:val="-5"/>
          <w:w w:val="105"/>
          <w:sz w:val="21"/>
        </w:rPr>
        <w:t> </w:t>
      </w:r>
      <w:r>
        <w:rPr>
          <w:spacing w:val="-3"/>
          <w:w w:val="105"/>
          <w:sz w:val="21"/>
        </w:rPr>
        <w:t>have</w:t>
      </w:r>
      <w:r>
        <w:rPr>
          <w:spacing w:val="-5"/>
          <w:w w:val="105"/>
          <w:sz w:val="21"/>
        </w:rPr>
        <w:t> </w:t>
      </w:r>
      <w:r>
        <w:rPr>
          <w:spacing w:val="-3"/>
          <w:w w:val="105"/>
          <w:sz w:val="21"/>
        </w:rPr>
        <w:t>unusual</w:t>
      </w:r>
      <w:r>
        <w:rPr>
          <w:spacing w:val="-6"/>
          <w:w w:val="105"/>
          <w:sz w:val="21"/>
        </w:rPr>
        <w:t> </w:t>
      </w:r>
      <w:r>
        <w:rPr>
          <w:w w:val="105"/>
          <w:sz w:val="21"/>
        </w:rPr>
        <w:t>issues</w:t>
      </w:r>
      <w:r>
        <w:rPr>
          <w:spacing w:val="-5"/>
          <w:w w:val="105"/>
          <w:sz w:val="21"/>
        </w:rPr>
        <w:t> </w:t>
      </w:r>
      <w:r>
        <w:rPr>
          <w:w w:val="105"/>
          <w:sz w:val="21"/>
        </w:rPr>
        <w:t>arisen</w:t>
      </w:r>
      <w:r>
        <w:rPr>
          <w:spacing w:val="-6"/>
          <w:w w:val="105"/>
          <w:sz w:val="21"/>
        </w:rPr>
        <w:t> </w:t>
      </w:r>
      <w:r>
        <w:rPr>
          <w:w w:val="105"/>
          <w:sz w:val="21"/>
        </w:rPr>
        <w:t>about</w:t>
      </w:r>
      <w:r>
        <w:rPr>
          <w:spacing w:val="-5"/>
          <w:w w:val="105"/>
          <w:sz w:val="21"/>
        </w:rPr>
        <w:t> </w:t>
      </w:r>
      <w:r>
        <w:rPr>
          <w:w w:val="105"/>
          <w:sz w:val="21"/>
        </w:rPr>
        <w:t>the</w:t>
      </w:r>
      <w:r>
        <w:rPr>
          <w:spacing w:val="-6"/>
          <w:w w:val="105"/>
          <w:sz w:val="21"/>
        </w:rPr>
        <w:t> </w:t>
      </w:r>
      <w:r>
        <w:rPr>
          <w:spacing w:val="-3"/>
          <w:w w:val="105"/>
          <w:sz w:val="21"/>
        </w:rPr>
        <w:t>relevant</w:t>
      </w:r>
      <w:r>
        <w:rPr>
          <w:spacing w:val="-5"/>
          <w:w w:val="105"/>
          <w:sz w:val="21"/>
        </w:rPr>
        <w:t> </w:t>
      </w:r>
      <w:r>
        <w:rPr>
          <w:w w:val="105"/>
          <w:sz w:val="21"/>
        </w:rPr>
        <w:t>connection</w:t>
      </w:r>
      <w:r>
        <w:rPr>
          <w:spacing w:val="-5"/>
          <w:w w:val="105"/>
          <w:sz w:val="21"/>
        </w:rPr>
        <w:t> </w:t>
      </w:r>
      <w:r>
        <w:rPr>
          <w:spacing w:val="-4"/>
          <w:w w:val="105"/>
          <w:sz w:val="21"/>
        </w:rPr>
        <w:t>test.</w:t>
      </w:r>
      <w:r>
        <w:rPr>
          <w:spacing w:val="-4"/>
          <w:w w:val="105"/>
          <w:position w:val="7"/>
          <w:sz w:val="12"/>
        </w:rPr>
        <w:t>186</w:t>
      </w:r>
    </w:p>
    <w:p>
      <w:pPr>
        <w:pStyle w:val="ListParagraph"/>
        <w:numPr>
          <w:ilvl w:val="0"/>
          <w:numId w:val="56"/>
        </w:numPr>
        <w:tabs>
          <w:tab w:pos="2381" w:val="left" w:leader="none"/>
          <w:tab w:pos="2382" w:val="left" w:leader="none"/>
        </w:tabs>
        <w:spacing w:line="242" w:lineRule="auto" w:before="123" w:after="0"/>
        <w:ind w:left="2381" w:right="1710" w:hanging="794"/>
        <w:jc w:val="left"/>
        <w:rPr>
          <w:sz w:val="21"/>
        </w:rPr>
      </w:pPr>
      <w:r>
        <w:rPr>
          <w:w w:val="105"/>
          <w:sz w:val="21"/>
        </w:rPr>
        <w:t>Further </w:t>
      </w:r>
      <w:r>
        <w:rPr>
          <w:spacing w:val="-3"/>
          <w:w w:val="105"/>
          <w:sz w:val="21"/>
        </w:rPr>
        <w:t>consultation </w:t>
      </w:r>
      <w:r>
        <w:rPr>
          <w:w w:val="105"/>
          <w:sz w:val="21"/>
        </w:rPr>
        <w:t>with </w:t>
      </w:r>
      <w:r>
        <w:rPr>
          <w:spacing w:val="-3"/>
          <w:w w:val="105"/>
          <w:sz w:val="21"/>
        </w:rPr>
        <w:t>councils </w:t>
      </w:r>
      <w:r>
        <w:rPr>
          <w:w w:val="105"/>
          <w:sz w:val="21"/>
        </w:rPr>
        <w:t>and Land Use </w:t>
      </w:r>
      <w:r>
        <w:rPr>
          <w:spacing w:val="-3"/>
          <w:w w:val="105"/>
          <w:sz w:val="21"/>
        </w:rPr>
        <w:t>Victoria</w:t>
      </w:r>
      <w:r>
        <w:rPr>
          <w:spacing w:val="-3"/>
          <w:w w:val="105"/>
          <w:position w:val="7"/>
          <w:sz w:val="12"/>
        </w:rPr>
        <w:t>187 </w:t>
      </w:r>
      <w:r>
        <w:rPr>
          <w:spacing w:val="-3"/>
          <w:w w:val="105"/>
          <w:sz w:val="21"/>
        </w:rPr>
        <w:t>may </w:t>
      </w:r>
      <w:r>
        <w:rPr>
          <w:w w:val="105"/>
          <w:sz w:val="21"/>
        </w:rPr>
        <w:t>be prudent </w:t>
      </w:r>
      <w:r>
        <w:rPr>
          <w:spacing w:val="-3"/>
          <w:w w:val="105"/>
          <w:sz w:val="21"/>
        </w:rPr>
        <w:t>to </w:t>
      </w:r>
      <w:r>
        <w:rPr>
          <w:w w:val="105"/>
          <w:sz w:val="21"/>
        </w:rPr>
        <w:t>ascertain if there </w:t>
      </w:r>
      <w:r>
        <w:rPr>
          <w:spacing w:val="-3"/>
          <w:w w:val="105"/>
          <w:sz w:val="21"/>
        </w:rPr>
        <w:t>are many irregular parcels </w:t>
      </w:r>
      <w:r>
        <w:rPr>
          <w:w w:val="105"/>
          <w:sz w:val="21"/>
        </w:rPr>
        <w:t>of </w:t>
      </w:r>
      <w:r>
        <w:rPr>
          <w:spacing w:val="-3"/>
          <w:w w:val="105"/>
          <w:sz w:val="21"/>
        </w:rPr>
        <w:t>land </w:t>
      </w:r>
      <w:r>
        <w:rPr>
          <w:w w:val="105"/>
          <w:sz w:val="21"/>
        </w:rPr>
        <w:t>where this is </w:t>
      </w:r>
      <w:r>
        <w:rPr>
          <w:spacing w:val="-4"/>
          <w:w w:val="105"/>
          <w:sz w:val="21"/>
        </w:rPr>
        <w:t>likely </w:t>
      </w:r>
      <w:r>
        <w:rPr>
          <w:spacing w:val="-3"/>
          <w:w w:val="105"/>
          <w:sz w:val="21"/>
        </w:rPr>
        <w:t>to </w:t>
      </w:r>
      <w:r>
        <w:rPr>
          <w:w w:val="105"/>
          <w:sz w:val="21"/>
        </w:rPr>
        <w:t>be a </w:t>
      </w:r>
      <w:r>
        <w:rPr>
          <w:spacing w:val="-3"/>
          <w:w w:val="105"/>
          <w:sz w:val="21"/>
        </w:rPr>
        <w:t>significant </w:t>
      </w:r>
      <w:r>
        <w:rPr>
          <w:w w:val="105"/>
          <w:sz w:val="21"/>
        </w:rPr>
        <w:t>issue in Victoria.</w:t>
      </w:r>
      <w:r>
        <w:rPr>
          <w:spacing w:val="-5"/>
          <w:w w:val="105"/>
          <w:sz w:val="21"/>
        </w:rPr>
        <w:t> </w:t>
      </w:r>
      <w:r>
        <w:rPr>
          <w:w w:val="105"/>
          <w:sz w:val="21"/>
        </w:rPr>
        <w:t>If</w:t>
      </w:r>
      <w:r>
        <w:rPr>
          <w:spacing w:val="-5"/>
          <w:w w:val="105"/>
          <w:sz w:val="21"/>
        </w:rPr>
        <w:t> </w:t>
      </w:r>
      <w:r>
        <w:rPr>
          <w:w w:val="105"/>
          <w:sz w:val="21"/>
        </w:rPr>
        <w:t>necessary,</w:t>
      </w:r>
      <w:r>
        <w:rPr>
          <w:spacing w:val="-5"/>
          <w:w w:val="105"/>
          <w:sz w:val="21"/>
        </w:rPr>
        <w:t> </w:t>
      </w:r>
      <w:r>
        <w:rPr>
          <w:w w:val="105"/>
          <w:sz w:val="21"/>
        </w:rPr>
        <w:t>the</w:t>
      </w:r>
      <w:r>
        <w:rPr>
          <w:spacing w:val="-5"/>
          <w:w w:val="105"/>
          <w:sz w:val="21"/>
        </w:rPr>
        <w:t> </w:t>
      </w:r>
      <w:r>
        <w:rPr>
          <w:w w:val="105"/>
          <w:sz w:val="21"/>
        </w:rPr>
        <w:t>definition</w:t>
      </w:r>
      <w:r>
        <w:rPr>
          <w:spacing w:val="-4"/>
          <w:w w:val="105"/>
          <w:sz w:val="21"/>
        </w:rPr>
        <w:t> </w:t>
      </w:r>
      <w:r>
        <w:rPr>
          <w:w w:val="105"/>
          <w:sz w:val="21"/>
        </w:rPr>
        <w:t>of</w:t>
      </w:r>
      <w:r>
        <w:rPr>
          <w:spacing w:val="-5"/>
          <w:w w:val="105"/>
          <w:sz w:val="21"/>
        </w:rPr>
        <w:t> </w:t>
      </w:r>
      <w:r>
        <w:rPr>
          <w:spacing w:val="-3"/>
          <w:w w:val="105"/>
          <w:sz w:val="21"/>
        </w:rPr>
        <w:t>adjoining</w:t>
      </w:r>
      <w:r>
        <w:rPr>
          <w:spacing w:val="-5"/>
          <w:w w:val="105"/>
          <w:sz w:val="21"/>
        </w:rPr>
        <w:t> </w:t>
      </w:r>
      <w:r>
        <w:rPr>
          <w:spacing w:val="-3"/>
          <w:w w:val="105"/>
          <w:sz w:val="21"/>
        </w:rPr>
        <w:t>land</w:t>
      </w:r>
      <w:r>
        <w:rPr>
          <w:spacing w:val="-5"/>
          <w:w w:val="105"/>
          <w:sz w:val="21"/>
        </w:rPr>
        <w:t> </w:t>
      </w:r>
      <w:r>
        <w:rPr>
          <w:spacing w:val="-3"/>
          <w:w w:val="105"/>
          <w:sz w:val="21"/>
        </w:rPr>
        <w:t>could</w:t>
      </w:r>
      <w:r>
        <w:rPr>
          <w:spacing w:val="-4"/>
          <w:w w:val="105"/>
          <w:sz w:val="21"/>
        </w:rPr>
        <w:t> </w:t>
      </w:r>
      <w:r>
        <w:rPr>
          <w:w w:val="105"/>
          <w:sz w:val="21"/>
        </w:rPr>
        <w:t>be</w:t>
      </w:r>
      <w:r>
        <w:rPr>
          <w:spacing w:val="-5"/>
          <w:w w:val="105"/>
          <w:sz w:val="21"/>
        </w:rPr>
        <w:t> </w:t>
      </w:r>
      <w:r>
        <w:rPr>
          <w:w w:val="105"/>
          <w:sz w:val="21"/>
        </w:rPr>
        <w:t>expanded</w:t>
      </w:r>
      <w:r>
        <w:rPr>
          <w:spacing w:val="-5"/>
          <w:w w:val="105"/>
          <w:sz w:val="21"/>
        </w:rPr>
        <w:t> </w:t>
      </w:r>
      <w:r>
        <w:rPr>
          <w:w w:val="105"/>
          <w:sz w:val="21"/>
        </w:rPr>
        <w:t>when</w:t>
      </w:r>
      <w:r>
        <w:rPr>
          <w:spacing w:val="-5"/>
          <w:w w:val="105"/>
          <w:sz w:val="21"/>
        </w:rPr>
        <w:t> </w:t>
      </w:r>
      <w:r>
        <w:rPr>
          <w:w w:val="105"/>
          <w:sz w:val="21"/>
        </w:rPr>
        <w:t>the</w:t>
      </w:r>
      <w:r>
        <w:rPr>
          <w:spacing w:val="-5"/>
          <w:w w:val="105"/>
          <w:sz w:val="21"/>
        </w:rPr>
        <w:t> </w:t>
      </w:r>
      <w:r>
        <w:rPr>
          <w:w w:val="105"/>
          <w:sz w:val="21"/>
        </w:rPr>
        <w:t>Act</w:t>
      </w:r>
      <w:r>
        <w:rPr>
          <w:spacing w:val="-4"/>
          <w:w w:val="105"/>
          <w:sz w:val="21"/>
        </w:rPr>
        <w:t> </w:t>
      </w:r>
      <w:r>
        <w:rPr>
          <w:w w:val="105"/>
          <w:sz w:val="21"/>
        </w:rPr>
        <w:t>is reviewed (discussed in </w:t>
      </w:r>
      <w:r>
        <w:rPr>
          <w:spacing w:val="-4"/>
          <w:w w:val="105"/>
          <w:sz w:val="21"/>
        </w:rPr>
        <w:t>Chapter 13). </w:t>
      </w:r>
      <w:r>
        <w:rPr>
          <w:spacing w:val="-3"/>
          <w:w w:val="105"/>
          <w:sz w:val="21"/>
        </w:rPr>
        <w:t>Such </w:t>
      </w:r>
      <w:r>
        <w:rPr>
          <w:w w:val="105"/>
          <w:sz w:val="21"/>
        </w:rPr>
        <w:t>an expansion </w:t>
      </w:r>
      <w:r>
        <w:rPr>
          <w:spacing w:val="-3"/>
          <w:w w:val="105"/>
          <w:sz w:val="21"/>
        </w:rPr>
        <w:t>could take </w:t>
      </w:r>
      <w:r>
        <w:rPr>
          <w:w w:val="105"/>
          <w:sz w:val="21"/>
        </w:rPr>
        <w:t>in neighbours who do </w:t>
      </w:r>
      <w:r>
        <w:rPr>
          <w:spacing w:val="-2"/>
          <w:w w:val="105"/>
          <w:sz w:val="21"/>
        </w:rPr>
        <w:t>not </w:t>
      </w:r>
      <w:r>
        <w:rPr>
          <w:spacing w:val="-3"/>
          <w:w w:val="105"/>
          <w:sz w:val="21"/>
        </w:rPr>
        <w:t>share </w:t>
      </w:r>
      <w:r>
        <w:rPr>
          <w:w w:val="105"/>
          <w:sz w:val="21"/>
        </w:rPr>
        <w:t>a </w:t>
      </w:r>
      <w:r>
        <w:rPr>
          <w:spacing w:val="-2"/>
          <w:w w:val="105"/>
          <w:sz w:val="21"/>
        </w:rPr>
        <w:t>common </w:t>
      </w:r>
      <w:r>
        <w:rPr>
          <w:w w:val="105"/>
          <w:sz w:val="21"/>
        </w:rPr>
        <w:t>boundary but </w:t>
      </w:r>
      <w:r>
        <w:rPr>
          <w:spacing w:val="-3"/>
          <w:w w:val="105"/>
          <w:sz w:val="21"/>
        </w:rPr>
        <w:t>are separated </w:t>
      </w:r>
      <w:r>
        <w:rPr>
          <w:w w:val="105"/>
          <w:sz w:val="21"/>
        </w:rPr>
        <w:t>by no more </w:t>
      </w:r>
      <w:r>
        <w:rPr>
          <w:spacing w:val="-3"/>
          <w:w w:val="105"/>
          <w:sz w:val="21"/>
        </w:rPr>
        <w:t>than </w:t>
      </w:r>
      <w:r>
        <w:rPr>
          <w:w w:val="105"/>
          <w:sz w:val="21"/>
        </w:rPr>
        <w:t>two metres of </w:t>
      </w:r>
      <w:r>
        <w:rPr>
          <w:spacing w:val="-3"/>
          <w:w w:val="105"/>
          <w:sz w:val="21"/>
        </w:rPr>
        <w:t>public land, </w:t>
      </w:r>
      <w:r>
        <w:rPr>
          <w:w w:val="105"/>
          <w:sz w:val="21"/>
        </w:rPr>
        <w:t>or </w:t>
      </w:r>
      <w:r>
        <w:rPr>
          <w:spacing w:val="-3"/>
          <w:w w:val="105"/>
          <w:sz w:val="21"/>
        </w:rPr>
        <w:t>separated </w:t>
      </w:r>
      <w:r>
        <w:rPr>
          <w:w w:val="105"/>
          <w:sz w:val="21"/>
        </w:rPr>
        <w:t>by an easement on </w:t>
      </w:r>
      <w:r>
        <w:rPr>
          <w:spacing w:val="-3"/>
          <w:w w:val="105"/>
          <w:sz w:val="21"/>
        </w:rPr>
        <w:t>public land. </w:t>
      </w:r>
      <w:r>
        <w:rPr>
          <w:w w:val="105"/>
          <w:sz w:val="21"/>
        </w:rPr>
        <w:t>This distance allows some flexibility while being </w:t>
      </w:r>
      <w:r>
        <w:rPr>
          <w:spacing w:val="-3"/>
          <w:w w:val="105"/>
          <w:sz w:val="21"/>
        </w:rPr>
        <w:t>narrow </w:t>
      </w:r>
      <w:r>
        <w:rPr>
          <w:w w:val="105"/>
          <w:sz w:val="21"/>
        </w:rPr>
        <w:t>enough </w:t>
      </w:r>
      <w:r>
        <w:rPr>
          <w:spacing w:val="-3"/>
          <w:w w:val="105"/>
          <w:sz w:val="21"/>
        </w:rPr>
        <w:t>to capture </w:t>
      </w:r>
      <w:r>
        <w:rPr>
          <w:w w:val="105"/>
          <w:sz w:val="21"/>
        </w:rPr>
        <w:t>only </w:t>
      </w:r>
      <w:r>
        <w:rPr>
          <w:spacing w:val="-3"/>
          <w:w w:val="105"/>
          <w:sz w:val="21"/>
        </w:rPr>
        <w:t>immediate</w:t>
      </w:r>
      <w:r>
        <w:rPr>
          <w:spacing w:val="36"/>
          <w:w w:val="105"/>
          <w:sz w:val="21"/>
        </w:rPr>
        <w:t> </w:t>
      </w:r>
      <w:r>
        <w:rPr>
          <w:w w:val="105"/>
          <w:sz w:val="21"/>
        </w:rPr>
        <w:t>neighbours.</w:t>
      </w:r>
    </w:p>
    <w:p>
      <w:pPr>
        <w:pStyle w:val="Heading7"/>
        <w:spacing w:before="158"/>
      </w:pPr>
      <w:r>
        <w:rPr>
          <w:color w:val="58595B"/>
          <w:w w:val="115"/>
        </w:rPr>
        <w:t>Private easements should be excluded</w:t>
      </w:r>
    </w:p>
    <w:p>
      <w:pPr>
        <w:pStyle w:val="ListParagraph"/>
        <w:numPr>
          <w:ilvl w:val="0"/>
          <w:numId w:val="56"/>
        </w:numPr>
        <w:tabs>
          <w:tab w:pos="2380" w:val="left" w:leader="none"/>
          <w:tab w:pos="2381" w:val="left" w:leader="none"/>
        </w:tabs>
        <w:spacing w:line="242" w:lineRule="auto" w:before="143" w:after="0"/>
        <w:ind w:left="2381" w:right="1820" w:hanging="794"/>
        <w:jc w:val="left"/>
        <w:rPr>
          <w:sz w:val="12"/>
        </w:rPr>
      </w:pPr>
      <w:r>
        <w:rPr>
          <w:spacing w:val="-5"/>
          <w:w w:val="105"/>
          <w:sz w:val="21"/>
        </w:rPr>
        <w:t>Tree </w:t>
      </w:r>
      <w:r>
        <w:rPr>
          <w:spacing w:val="-3"/>
          <w:w w:val="105"/>
          <w:sz w:val="21"/>
        </w:rPr>
        <w:t>disputes concerning private </w:t>
      </w:r>
      <w:r>
        <w:rPr>
          <w:w w:val="105"/>
          <w:sz w:val="21"/>
        </w:rPr>
        <w:t>easements or easements in </w:t>
      </w:r>
      <w:r>
        <w:rPr>
          <w:spacing w:val="-3"/>
          <w:w w:val="105"/>
          <w:sz w:val="21"/>
        </w:rPr>
        <w:t>gross</w:t>
      </w:r>
      <w:r>
        <w:rPr>
          <w:spacing w:val="-3"/>
          <w:w w:val="105"/>
          <w:position w:val="7"/>
          <w:sz w:val="12"/>
        </w:rPr>
        <w:t>188 </w:t>
      </w:r>
      <w:r>
        <w:rPr>
          <w:w w:val="105"/>
          <w:sz w:val="21"/>
        </w:rPr>
        <w:t>on </w:t>
      </w:r>
      <w:r>
        <w:rPr>
          <w:spacing w:val="-3"/>
          <w:w w:val="105"/>
          <w:sz w:val="21"/>
        </w:rPr>
        <w:t>private land </w:t>
      </w:r>
      <w:r>
        <w:rPr>
          <w:w w:val="105"/>
          <w:sz w:val="21"/>
        </w:rPr>
        <w:t>should </w:t>
      </w:r>
      <w:r>
        <w:rPr>
          <w:spacing w:val="-2"/>
          <w:w w:val="105"/>
          <w:sz w:val="21"/>
        </w:rPr>
        <w:t>not </w:t>
      </w:r>
      <w:r>
        <w:rPr>
          <w:w w:val="105"/>
          <w:sz w:val="21"/>
        </w:rPr>
        <w:t>be </w:t>
      </w:r>
      <w:r>
        <w:rPr>
          <w:spacing w:val="-3"/>
          <w:w w:val="105"/>
          <w:sz w:val="21"/>
        </w:rPr>
        <w:t>included </w:t>
      </w:r>
      <w:r>
        <w:rPr>
          <w:w w:val="105"/>
          <w:sz w:val="21"/>
        </w:rPr>
        <w:t>in the new Act, even if the easement </w:t>
      </w:r>
      <w:r>
        <w:rPr>
          <w:spacing w:val="-3"/>
          <w:w w:val="105"/>
          <w:sz w:val="21"/>
        </w:rPr>
        <w:t>adjoins </w:t>
      </w:r>
      <w:r>
        <w:rPr>
          <w:w w:val="105"/>
          <w:sz w:val="21"/>
        </w:rPr>
        <w:t>the </w:t>
      </w:r>
      <w:r>
        <w:rPr>
          <w:spacing w:val="-3"/>
          <w:w w:val="105"/>
          <w:sz w:val="21"/>
        </w:rPr>
        <w:t>land </w:t>
      </w:r>
      <w:r>
        <w:rPr>
          <w:w w:val="105"/>
          <w:sz w:val="21"/>
        </w:rPr>
        <w:t>of the affected</w:t>
      </w:r>
      <w:r>
        <w:rPr>
          <w:spacing w:val="-8"/>
          <w:w w:val="105"/>
          <w:sz w:val="21"/>
        </w:rPr>
        <w:t> </w:t>
      </w:r>
      <w:r>
        <w:rPr>
          <w:spacing w:val="-3"/>
          <w:w w:val="105"/>
          <w:sz w:val="21"/>
        </w:rPr>
        <w:t>neighbour</w:t>
      </w:r>
      <w:r>
        <w:rPr>
          <w:spacing w:val="-8"/>
          <w:w w:val="105"/>
          <w:sz w:val="21"/>
        </w:rPr>
        <w:t> </w:t>
      </w:r>
      <w:r>
        <w:rPr>
          <w:w w:val="105"/>
          <w:sz w:val="21"/>
        </w:rPr>
        <w:t>or</w:t>
      </w:r>
      <w:r>
        <w:rPr>
          <w:spacing w:val="-8"/>
          <w:w w:val="105"/>
          <w:sz w:val="21"/>
        </w:rPr>
        <w:t> </w:t>
      </w:r>
      <w:r>
        <w:rPr>
          <w:w w:val="105"/>
          <w:sz w:val="21"/>
        </w:rPr>
        <w:t>tree</w:t>
      </w:r>
      <w:r>
        <w:rPr>
          <w:spacing w:val="-7"/>
          <w:w w:val="105"/>
          <w:sz w:val="21"/>
        </w:rPr>
        <w:t> </w:t>
      </w:r>
      <w:r>
        <w:rPr>
          <w:spacing w:val="-4"/>
          <w:w w:val="105"/>
          <w:sz w:val="21"/>
        </w:rPr>
        <w:t>owner.</w:t>
      </w:r>
      <w:r>
        <w:rPr>
          <w:spacing w:val="-8"/>
          <w:w w:val="105"/>
          <w:sz w:val="21"/>
        </w:rPr>
        <w:t> </w:t>
      </w:r>
      <w:r>
        <w:rPr>
          <w:spacing w:val="-3"/>
          <w:w w:val="105"/>
          <w:sz w:val="21"/>
        </w:rPr>
        <w:t>Disputes</w:t>
      </w:r>
      <w:r>
        <w:rPr>
          <w:spacing w:val="-8"/>
          <w:w w:val="105"/>
          <w:sz w:val="21"/>
        </w:rPr>
        <w:t> </w:t>
      </w:r>
      <w:r>
        <w:rPr>
          <w:w w:val="105"/>
          <w:sz w:val="21"/>
        </w:rPr>
        <w:t>about</w:t>
      </w:r>
      <w:r>
        <w:rPr>
          <w:spacing w:val="-7"/>
          <w:w w:val="105"/>
          <w:sz w:val="21"/>
        </w:rPr>
        <w:t> </w:t>
      </w:r>
      <w:r>
        <w:rPr>
          <w:w w:val="105"/>
          <w:sz w:val="21"/>
        </w:rPr>
        <w:t>trees</w:t>
      </w:r>
      <w:r>
        <w:rPr>
          <w:spacing w:val="-8"/>
          <w:w w:val="105"/>
          <w:sz w:val="21"/>
        </w:rPr>
        <w:t> </w:t>
      </w:r>
      <w:r>
        <w:rPr>
          <w:spacing w:val="-3"/>
          <w:w w:val="105"/>
          <w:sz w:val="21"/>
        </w:rPr>
        <w:t>that</w:t>
      </w:r>
      <w:r>
        <w:rPr>
          <w:spacing w:val="-8"/>
          <w:w w:val="105"/>
          <w:sz w:val="21"/>
        </w:rPr>
        <w:t> </w:t>
      </w:r>
      <w:r>
        <w:rPr>
          <w:spacing w:val="-3"/>
          <w:w w:val="105"/>
          <w:sz w:val="21"/>
        </w:rPr>
        <w:t>interfere</w:t>
      </w:r>
      <w:r>
        <w:rPr>
          <w:spacing w:val="-7"/>
          <w:w w:val="105"/>
          <w:sz w:val="21"/>
        </w:rPr>
        <w:t> </w:t>
      </w:r>
      <w:r>
        <w:rPr>
          <w:w w:val="105"/>
          <w:sz w:val="21"/>
        </w:rPr>
        <w:t>with</w:t>
      </w:r>
      <w:r>
        <w:rPr>
          <w:spacing w:val="-8"/>
          <w:w w:val="105"/>
          <w:sz w:val="21"/>
        </w:rPr>
        <w:t> </w:t>
      </w:r>
      <w:r>
        <w:rPr>
          <w:w w:val="105"/>
          <w:sz w:val="21"/>
        </w:rPr>
        <w:t>an</w:t>
      </w:r>
      <w:r>
        <w:rPr>
          <w:spacing w:val="-8"/>
          <w:w w:val="105"/>
          <w:sz w:val="21"/>
        </w:rPr>
        <w:t> </w:t>
      </w:r>
      <w:r>
        <w:rPr>
          <w:w w:val="105"/>
          <w:sz w:val="21"/>
        </w:rPr>
        <w:t>easement (both </w:t>
      </w:r>
      <w:r>
        <w:rPr>
          <w:spacing w:val="-3"/>
          <w:w w:val="105"/>
          <w:sz w:val="21"/>
        </w:rPr>
        <w:t>private </w:t>
      </w:r>
      <w:r>
        <w:rPr>
          <w:w w:val="105"/>
          <w:sz w:val="21"/>
        </w:rPr>
        <w:t>and in gross) </w:t>
      </w:r>
      <w:r>
        <w:rPr>
          <w:spacing w:val="-3"/>
          <w:w w:val="105"/>
          <w:sz w:val="21"/>
        </w:rPr>
        <w:t>to </w:t>
      </w:r>
      <w:r>
        <w:rPr>
          <w:w w:val="105"/>
          <w:sz w:val="21"/>
        </w:rPr>
        <w:t>the </w:t>
      </w:r>
      <w:r>
        <w:rPr>
          <w:spacing w:val="-3"/>
          <w:w w:val="105"/>
          <w:sz w:val="21"/>
        </w:rPr>
        <w:t>detriment </w:t>
      </w:r>
      <w:r>
        <w:rPr>
          <w:w w:val="105"/>
          <w:sz w:val="21"/>
        </w:rPr>
        <w:t>of the </w:t>
      </w:r>
      <w:r>
        <w:rPr>
          <w:spacing w:val="-3"/>
          <w:w w:val="105"/>
          <w:sz w:val="21"/>
        </w:rPr>
        <w:t>dominant </w:t>
      </w:r>
      <w:r>
        <w:rPr>
          <w:w w:val="105"/>
          <w:sz w:val="21"/>
        </w:rPr>
        <w:t>owner or local authority should be resolved in the </w:t>
      </w:r>
      <w:r>
        <w:rPr>
          <w:spacing w:val="-3"/>
          <w:w w:val="105"/>
          <w:sz w:val="21"/>
        </w:rPr>
        <w:t>usual </w:t>
      </w:r>
      <w:r>
        <w:rPr>
          <w:w w:val="105"/>
          <w:sz w:val="21"/>
        </w:rPr>
        <w:t>ways easement </w:t>
      </w:r>
      <w:r>
        <w:rPr>
          <w:spacing w:val="-3"/>
          <w:w w:val="105"/>
          <w:sz w:val="21"/>
        </w:rPr>
        <w:t>disputes are </w:t>
      </w:r>
      <w:r>
        <w:rPr>
          <w:w w:val="105"/>
          <w:sz w:val="21"/>
        </w:rPr>
        <w:t>resolved </w:t>
      </w:r>
      <w:r>
        <w:rPr>
          <w:spacing w:val="-3"/>
          <w:w w:val="105"/>
          <w:sz w:val="21"/>
        </w:rPr>
        <w:t>(for example, abatement</w:t>
      </w:r>
      <w:r>
        <w:rPr>
          <w:spacing w:val="-8"/>
          <w:w w:val="105"/>
          <w:sz w:val="21"/>
        </w:rPr>
        <w:t> </w:t>
      </w:r>
      <w:r>
        <w:rPr>
          <w:w w:val="105"/>
          <w:sz w:val="21"/>
        </w:rPr>
        <w:t>or</w:t>
      </w:r>
      <w:r>
        <w:rPr>
          <w:spacing w:val="-8"/>
          <w:w w:val="105"/>
          <w:sz w:val="21"/>
        </w:rPr>
        <w:t> </w:t>
      </w:r>
      <w:r>
        <w:rPr>
          <w:w w:val="105"/>
          <w:sz w:val="21"/>
        </w:rPr>
        <w:t>legal</w:t>
      </w:r>
      <w:r>
        <w:rPr>
          <w:spacing w:val="-8"/>
          <w:w w:val="105"/>
          <w:sz w:val="21"/>
        </w:rPr>
        <w:t> </w:t>
      </w:r>
      <w:r>
        <w:rPr>
          <w:w w:val="105"/>
          <w:sz w:val="21"/>
        </w:rPr>
        <w:t>action</w:t>
      </w:r>
      <w:r>
        <w:rPr>
          <w:spacing w:val="-8"/>
          <w:w w:val="105"/>
          <w:sz w:val="21"/>
        </w:rPr>
        <w:t> </w:t>
      </w:r>
      <w:r>
        <w:rPr>
          <w:w w:val="105"/>
          <w:sz w:val="21"/>
        </w:rPr>
        <w:t>in</w:t>
      </w:r>
      <w:r>
        <w:rPr>
          <w:spacing w:val="-8"/>
          <w:w w:val="105"/>
          <w:sz w:val="21"/>
        </w:rPr>
        <w:t> </w:t>
      </w:r>
      <w:r>
        <w:rPr>
          <w:w w:val="105"/>
          <w:sz w:val="21"/>
        </w:rPr>
        <w:t>nuisance).</w:t>
      </w:r>
      <w:r>
        <w:rPr>
          <w:spacing w:val="-8"/>
          <w:w w:val="105"/>
          <w:sz w:val="21"/>
        </w:rPr>
        <w:t> </w:t>
      </w:r>
      <w:r>
        <w:rPr>
          <w:w w:val="105"/>
          <w:sz w:val="21"/>
        </w:rPr>
        <w:t>This</w:t>
      </w:r>
      <w:r>
        <w:rPr>
          <w:spacing w:val="-8"/>
          <w:w w:val="105"/>
          <w:sz w:val="21"/>
        </w:rPr>
        <w:t> </w:t>
      </w:r>
      <w:r>
        <w:rPr>
          <w:w w:val="105"/>
          <w:sz w:val="21"/>
        </w:rPr>
        <w:t>reflects</w:t>
      </w:r>
      <w:r>
        <w:rPr>
          <w:spacing w:val="-8"/>
          <w:w w:val="105"/>
          <w:sz w:val="21"/>
        </w:rPr>
        <w:t> </w:t>
      </w:r>
      <w:r>
        <w:rPr>
          <w:w w:val="105"/>
          <w:sz w:val="21"/>
        </w:rPr>
        <w:t>the</w:t>
      </w:r>
      <w:r>
        <w:rPr>
          <w:spacing w:val="-8"/>
          <w:w w:val="105"/>
          <w:sz w:val="21"/>
        </w:rPr>
        <w:t> </w:t>
      </w:r>
      <w:r>
        <w:rPr>
          <w:spacing w:val="-3"/>
          <w:w w:val="105"/>
          <w:sz w:val="21"/>
        </w:rPr>
        <w:t>current</w:t>
      </w:r>
      <w:r>
        <w:rPr>
          <w:spacing w:val="-8"/>
          <w:w w:val="105"/>
          <w:sz w:val="21"/>
        </w:rPr>
        <w:t> </w:t>
      </w:r>
      <w:r>
        <w:rPr>
          <w:w w:val="105"/>
          <w:sz w:val="21"/>
        </w:rPr>
        <w:t>approach</w:t>
      </w:r>
      <w:r>
        <w:rPr>
          <w:spacing w:val="-8"/>
          <w:w w:val="105"/>
          <w:sz w:val="21"/>
        </w:rPr>
        <w:t> </w:t>
      </w:r>
      <w:r>
        <w:rPr>
          <w:w w:val="105"/>
          <w:sz w:val="21"/>
        </w:rPr>
        <w:t>in</w:t>
      </w:r>
      <w:r>
        <w:rPr>
          <w:spacing w:val="-8"/>
          <w:w w:val="105"/>
          <w:sz w:val="21"/>
        </w:rPr>
        <w:t> </w:t>
      </w:r>
      <w:r>
        <w:rPr>
          <w:w w:val="105"/>
          <w:sz w:val="21"/>
        </w:rPr>
        <w:t>New</w:t>
      </w:r>
      <w:r>
        <w:rPr>
          <w:spacing w:val="-8"/>
          <w:w w:val="105"/>
          <w:sz w:val="21"/>
        </w:rPr>
        <w:t> </w:t>
      </w:r>
      <w:r>
        <w:rPr>
          <w:w w:val="105"/>
          <w:sz w:val="21"/>
        </w:rPr>
        <w:t>South </w:t>
      </w:r>
      <w:r>
        <w:rPr>
          <w:spacing w:val="-3"/>
          <w:w w:val="105"/>
          <w:sz w:val="21"/>
        </w:rPr>
        <w:t>Wales </w:t>
      </w:r>
      <w:r>
        <w:rPr>
          <w:w w:val="105"/>
          <w:sz w:val="21"/>
        </w:rPr>
        <w:t>and the </w:t>
      </w:r>
      <w:r>
        <w:rPr>
          <w:spacing w:val="-3"/>
          <w:w w:val="105"/>
          <w:sz w:val="21"/>
        </w:rPr>
        <w:t>conclusions </w:t>
      </w:r>
      <w:r>
        <w:rPr>
          <w:w w:val="105"/>
          <w:sz w:val="21"/>
        </w:rPr>
        <w:t>of the </w:t>
      </w:r>
      <w:r>
        <w:rPr>
          <w:spacing w:val="-3"/>
          <w:w w:val="105"/>
          <w:sz w:val="21"/>
        </w:rPr>
        <w:t>Queensland </w:t>
      </w:r>
      <w:r>
        <w:rPr>
          <w:w w:val="105"/>
          <w:sz w:val="21"/>
        </w:rPr>
        <w:t>Law </w:t>
      </w:r>
      <w:r>
        <w:rPr>
          <w:spacing w:val="-3"/>
          <w:w w:val="105"/>
          <w:sz w:val="21"/>
        </w:rPr>
        <w:t>Reform</w:t>
      </w:r>
      <w:r>
        <w:rPr>
          <w:spacing w:val="3"/>
          <w:w w:val="105"/>
          <w:sz w:val="21"/>
        </w:rPr>
        <w:t> </w:t>
      </w:r>
      <w:r>
        <w:rPr>
          <w:spacing w:val="-4"/>
          <w:w w:val="105"/>
          <w:sz w:val="21"/>
        </w:rPr>
        <w:t>Commission.</w:t>
      </w:r>
      <w:r>
        <w:rPr>
          <w:spacing w:val="-4"/>
          <w:w w:val="105"/>
          <w:position w:val="7"/>
          <w:sz w:val="12"/>
        </w:rPr>
        <w:t>189</w:t>
      </w:r>
    </w:p>
    <w:p>
      <w:pPr>
        <w:pStyle w:val="BodyText"/>
        <w:rPr>
          <w:sz w:val="20"/>
        </w:rPr>
      </w:pP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4160;mso-wrap-distance-left:0;mso-wrap-distance-right:0" from="79.370102pt,10.056704pt" to="515.905102pt,10.056704pt" stroked="true" strokeweight="1pt" strokecolor="#c9d2cb">
            <v:stroke dashstyle="solid"/>
            <w10:wrap type="topAndBottom"/>
          </v:line>
        </w:pict>
      </w:r>
    </w:p>
    <w:p>
      <w:pPr>
        <w:pStyle w:val="ListParagraph"/>
        <w:numPr>
          <w:ilvl w:val="0"/>
          <w:numId w:val="57"/>
        </w:numPr>
        <w:tabs>
          <w:tab w:pos="2380" w:val="left" w:leader="none"/>
          <w:tab w:pos="2382" w:val="left" w:leader="none"/>
        </w:tabs>
        <w:spacing w:line="240" w:lineRule="auto" w:before="117" w:after="0"/>
        <w:ind w:left="2381" w:right="1768" w:hanging="794"/>
        <w:jc w:val="left"/>
        <w:rPr>
          <w:sz w:val="13"/>
        </w:rPr>
      </w:pPr>
      <w:r>
        <w:rPr>
          <w:sz w:val="13"/>
        </w:rPr>
        <w:t>This has occurred interstate. See, </w:t>
      </w:r>
      <w:r>
        <w:rPr>
          <w:spacing w:val="2"/>
          <w:sz w:val="13"/>
        </w:rPr>
        <w:t>eg: </w:t>
      </w:r>
      <w:r>
        <w:rPr>
          <w:i/>
          <w:sz w:val="13"/>
        </w:rPr>
        <w:t>Dive v Lin  </w:t>
      </w:r>
      <w:r>
        <w:rPr>
          <w:sz w:val="13"/>
        </w:rPr>
        <w:t>[2017]  NSWLEC  1348  in  which  an  affected  neighbour’s  application  about  a  Sydney  blue gum, which had previously dropped branches and caused damage, was  dismissed  by  the  Court  because  his  land  was  ‘separated  </w:t>
      </w:r>
      <w:r>
        <w:rPr>
          <w:w w:val="115"/>
          <w:sz w:val="13"/>
        </w:rPr>
        <w:t>…  </w:t>
      </w:r>
      <w:r>
        <w:rPr>
          <w:sz w:val="13"/>
        </w:rPr>
        <w:t>by another residential allotment’ and was, more specifically, ‘two properties to the east’ of the tree owner’s land. The affected neighbour’s application was therefore beyond the jurisdiction of the Court, and the potentially hazardous nature of the tree could not be considered      through</w:t>
      </w:r>
      <w:r>
        <w:rPr>
          <w:spacing w:val="22"/>
          <w:sz w:val="13"/>
        </w:rPr>
        <w:t> </w:t>
      </w:r>
      <w:r>
        <w:rPr>
          <w:sz w:val="13"/>
        </w:rPr>
        <w:t>that</w:t>
      </w:r>
      <w:r>
        <w:rPr>
          <w:spacing w:val="22"/>
          <w:sz w:val="13"/>
        </w:rPr>
        <w:t> </w:t>
      </w:r>
      <w:r>
        <w:rPr>
          <w:sz w:val="13"/>
        </w:rPr>
        <w:t>application.</w:t>
      </w:r>
      <w:r>
        <w:rPr>
          <w:spacing w:val="22"/>
          <w:sz w:val="13"/>
        </w:rPr>
        <w:t> </w:t>
      </w:r>
      <w:r>
        <w:rPr>
          <w:sz w:val="13"/>
        </w:rPr>
        <w:t>This</w:t>
      </w:r>
      <w:r>
        <w:rPr>
          <w:spacing w:val="22"/>
          <w:sz w:val="13"/>
        </w:rPr>
        <w:t> </w:t>
      </w:r>
      <w:r>
        <w:rPr>
          <w:sz w:val="13"/>
        </w:rPr>
        <w:t>decision</w:t>
      </w:r>
      <w:r>
        <w:rPr>
          <w:spacing w:val="22"/>
          <w:sz w:val="13"/>
        </w:rPr>
        <w:t> </w:t>
      </w:r>
      <w:r>
        <w:rPr>
          <w:sz w:val="13"/>
        </w:rPr>
        <w:t>was</w:t>
      </w:r>
      <w:r>
        <w:rPr>
          <w:spacing w:val="22"/>
          <w:sz w:val="13"/>
        </w:rPr>
        <w:t> </w:t>
      </w:r>
      <w:r>
        <w:rPr>
          <w:sz w:val="13"/>
        </w:rPr>
        <w:t>upheld</w:t>
      </w:r>
      <w:r>
        <w:rPr>
          <w:spacing w:val="23"/>
          <w:sz w:val="13"/>
        </w:rPr>
        <w:t> </w:t>
      </w:r>
      <w:r>
        <w:rPr>
          <w:sz w:val="13"/>
        </w:rPr>
        <w:t>on</w:t>
      </w:r>
      <w:r>
        <w:rPr>
          <w:spacing w:val="22"/>
          <w:sz w:val="13"/>
        </w:rPr>
        <w:t> </w:t>
      </w:r>
      <w:r>
        <w:rPr>
          <w:sz w:val="13"/>
        </w:rPr>
        <w:t>appeal</w:t>
      </w:r>
      <w:r>
        <w:rPr>
          <w:spacing w:val="22"/>
          <w:sz w:val="13"/>
        </w:rPr>
        <w:t> </w:t>
      </w:r>
      <w:r>
        <w:rPr>
          <w:sz w:val="13"/>
        </w:rPr>
        <w:t>in</w:t>
      </w:r>
      <w:r>
        <w:rPr>
          <w:spacing w:val="22"/>
          <w:sz w:val="13"/>
        </w:rPr>
        <w:t> </w:t>
      </w:r>
      <w:r>
        <w:rPr>
          <w:i/>
          <w:sz w:val="13"/>
        </w:rPr>
        <w:t>Dive</w:t>
      </w:r>
      <w:r>
        <w:rPr>
          <w:i/>
          <w:spacing w:val="22"/>
          <w:sz w:val="13"/>
        </w:rPr>
        <w:t> </w:t>
      </w:r>
      <w:r>
        <w:rPr>
          <w:i/>
          <w:sz w:val="13"/>
        </w:rPr>
        <w:t>v</w:t>
      </w:r>
      <w:r>
        <w:rPr>
          <w:i/>
          <w:spacing w:val="22"/>
          <w:sz w:val="13"/>
        </w:rPr>
        <w:t> </w:t>
      </w:r>
      <w:r>
        <w:rPr>
          <w:i/>
          <w:sz w:val="13"/>
        </w:rPr>
        <w:t>Lin</w:t>
      </w:r>
      <w:r>
        <w:rPr>
          <w:i/>
          <w:spacing w:val="22"/>
          <w:sz w:val="13"/>
        </w:rPr>
        <w:t> </w:t>
      </w:r>
      <w:r>
        <w:rPr>
          <w:sz w:val="13"/>
        </w:rPr>
        <w:t>[2017]</w:t>
      </w:r>
      <w:r>
        <w:rPr>
          <w:spacing w:val="23"/>
          <w:sz w:val="13"/>
        </w:rPr>
        <w:t> </w:t>
      </w:r>
      <w:r>
        <w:rPr>
          <w:sz w:val="13"/>
        </w:rPr>
        <w:t>NSWLEC</w:t>
      </w:r>
      <w:r>
        <w:rPr>
          <w:spacing w:val="22"/>
          <w:sz w:val="13"/>
        </w:rPr>
        <w:t> </w:t>
      </w:r>
      <w:r>
        <w:rPr>
          <w:sz w:val="13"/>
        </w:rPr>
        <w:t>153;</w:t>
      </w:r>
      <w:r>
        <w:rPr>
          <w:spacing w:val="22"/>
          <w:sz w:val="13"/>
        </w:rPr>
        <w:t> </w:t>
      </w:r>
      <w:r>
        <w:rPr>
          <w:sz w:val="13"/>
        </w:rPr>
        <w:t>see</w:t>
      </w:r>
      <w:r>
        <w:rPr>
          <w:spacing w:val="22"/>
          <w:sz w:val="13"/>
        </w:rPr>
        <w:t> </w:t>
      </w:r>
      <w:r>
        <w:rPr>
          <w:sz w:val="13"/>
        </w:rPr>
        <w:t>also</w:t>
      </w:r>
      <w:r>
        <w:rPr>
          <w:spacing w:val="22"/>
          <w:sz w:val="13"/>
        </w:rPr>
        <w:t> </w:t>
      </w:r>
      <w:r>
        <w:rPr>
          <w:i/>
          <w:sz w:val="13"/>
        </w:rPr>
        <w:t>Bell</w:t>
      </w:r>
      <w:r>
        <w:rPr>
          <w:i/>
          <w:spacing w:val="22"/>
          <w:sz w:val="13"/>
        </w:rPr>
        <w:t> </w:t>
      </w:r>
      <w:r>
        <w:rPr>
          <w:i/>
          <w:sz w:val="13"/>
        </w:rPr>
        <w:t>v</w:t>
      </w:r>
      <w:r>
        <w:rPr>
          <w:i/>
          <w:spacing w:val="22"/>
          <w:sz w:val="13"/>
        </w:rPr>
        <w:t> </w:t>
      </w:r>
      <w:r>
        <w:rPr>
          <w:i/>
          <w:sz w:val="13"/>
        </w:rPr>
        <w:t>Griffiths</w:t>
      </w:r>
      <w:r>
        <w:rPr>
          <w:i/>
          <w:spacing w:val="23"/>
          <w:sz w:val="13"/>
        </w:rPr>
        <w:t> </w:t>
      </w:r>
      <w:r>
        <w:rPr>
          <w:sz w:val="13"/>
        </w:rPr>
        <w:t>[2013]</w:t>
      </w:r>
      <w:r>
        <w:rPr>
          <w:spacing w:val="22"/>
          <w:sz w:val="13"/>
        </w:rPr>
        <w:t> </w:t>
      </w:r>
      <w:r>
        <w:rPr>
          <w:sz w:val="13"/>
        </w:rPr>
        <w:t>QCAT</w:t>
      </w:r>
      <w:r>
        <w:rPr>
          <w:spacing w:val="22"/>
          <w:sz w:val="13"/>
        </w:rPr>
        <w:t> </w:t>
      </w:r>
      <w:r>
        <w:rPr>
          <w:sz w:val="13"/>
        </w:rPr>
        <w:t>655.</w:t>
      </w:r>
    </w:p>
    <w:p>
      <w:pPr>
        <w:pStyle w:val="ListParagraph"/>
        <w:numPr>
          <w:ilvl w:val="0"/>
          <w:numId w:val="57"/>
        </w:numPr>
        <w:tabs>
          <w:tab w:pos="2380" w:val="left" w:leader="none"/>
          <w:tab w:pos="2382" w:val="left" w:leader="none"/>
        </w:tabs>
        <w:spacing w:line="240" w:lineRule="auto" w:before="7" w:after="0"/>
        <w:ind w:left="2381" w:right="1678" w:hanging="794"/>
        <w:jc w:val="left"/>
        <w:rPr>
          <w:i/>
          <w:sz w:val="13"/>
        </w:rPr>
      </w:pPr>
      <w:r>
        <w:rPr>
          <w:w w:val="105"/>
          <w:sz w:val="13"/>
        </w:rPr>
        <w:t>Latin meaning ‘because he or she fears’: Peter Butt </w:t>
      </w:r>
      <w:r>
        <w:rPr>
          <w:spacing w:val="2"/>
          <w:w w:val="105"/>
          <w:sz w:val="13"/>
        </w:rPr>
        <w:t>(ed) </w:t>
      </w:r>
      <w:r>
        <w:rPr>
          <w:i/>
          <w:w w:val="105"/>
          <w:sz w:val="13"/>
        </w:rPr>
        <w:t>Butterworths’ Concise Australian Legal Dictionary </w:t>
      </w:r>
      <w:r>
        <w:rPr>
          <w:spacing w:val="2"/>
          <w:w w:val="105"/>
          <w:sz w:val="13"/>
        </w:rPr>
        <w:t>(Lexis </w:t>
      </w:r>
      <w:r>
        <w:rPr>
          <w:w w:val="105"/>
          <w:sz w:val="13"/>
        </w:rPr>
        <w:t>Nexis, 3rd ed, </w:t>
      </w:r>
      <w:r>
        <w:rPr>
          <w:spacing w:val="2"/>
          <w:w w:val="105"/>
          <w:sz w:val="13"/>
        </w:rPr>
        <w:t>2004) </w:t>
      </w:r>
      <w:r>
        <w:rPr>
          <w:i/>
          <w:w w:val="105"/>
          <w:sz w:val="13"/>
        </w:rPr>
        <w:t>‘quia </w:t>
      </w:r>
      <w:r>
        <w:rPr>
          <w:i/>
          <w:w w:val="105"/>
          <w:sz w:val="13"/>
        </w:rPr>
        <w:t>timet’.</w:t>
      </w:r>
    </w:p>
    <w:p>
      <w:pPr>
        <w:pStyle w:val="ListParagraph"/>
        <w:numPr>
          <w:ilvl w:val="0"/>
          <w:numId w:val="57"/>
        </w:numPr>
        <w:tabs>
          <w:tab w:pos="2381" w:val="left" w:leader="none"/>
          <w:tab w:pos="2382" w:val="left" w:leader="none"/>
        </w:tabs>
        <w:spacing w:line="240" w:lineRule="auto" w:before="2" w:after="0"/>
        <w:ind w:left="2381" w:right="1615" w:hanging="794"/>
        <w:jc w:val="both"/>
        <w:rPr>
          <w:sz w:val="13"/>
        </w:rPr>
      </w:pPr>
      <w:r>
        <w:rPr>
          <w:w w:val="105"/>
          <w:sz w:val="13"/>
        </w:rPr>
        <w:t>The </w:t>
      </w:r>
      <w:r>
        <w:rPr>
          <w:i/>
          <w:w w:val="105"/>
          <w:sz w:val="13"/>
        </w:rPr>
        <w:t>Public Health and Wellbeing Act 2008 </w:t>
      </w:r>
      <w:r>
        <w:rPr>
          <w:spacing w:val="2"/>
          <w:w w:val="105"/>
          <w:sz w:val="13"/>
        </w:rPr>
        <w:t>(Vic) </w:t>
      </w:r>
      <w:r>
        <w:rPr>
          <w:w w:val="105"/>
          <w:sz w:val="13"/>
        </w:rPr>
        <w:t>also applies to nuisances which are dangerous to health or offensive. It is therefore possible for a tree to form a nuisance and therefore for this Act to be used in the management of tree disputes on private land. This Act is discussed    in</w:t>
      </w:r>
      <w:r>
        <w:rPr>
          <w:spacing w:val="5"/>
          <w:w w:val="105"/>
          <w:sz w:val="13"/>
        </w:rPr>
        <w:t> </w:t>
      </w:r>
      <w:r>
        <w:rPr>
          <w:w w:val="105"/>
          <w:sz w:val="13"/>
        </w:rPr>
        <w:t>Ch</w:t>
      </w:r>
      <w:r>
        <w:rPr>
          <w:spacing w:val="5"/>
          <w:w w:val="105"/>
          <w:sz w:val="13"/>
        </w:rPr>
        <w:t> </w:t>
      </w:r>
      <w:r>
        <w:rPr>
          <w:w w:val="105"/>
          <w:sz w:val="13"/>
        </w:rPr>
        <w:t>10.</w:t>
      </w:r>
      <w:r>
        <w:rPr>
          <w:spacing w:val="5"/>
          <w:w w:val="105"/>
          <w:sz w:val="13"/>
        </w:rPr>
        <w:t> </w:t>
      </w:r>
      <w:r>
        <w:rPr>
          <w:w w:val="105"/>
          <w:sz w:val="13"/>
        </w:rPr>
        <w:t>Common</w:t>
      </w:r>
      <w:r>
        <w:rPr>
          <w:spacing w:val="5"/>
          <w:w w:val="105"/>
          <w:sz w:val="13"/>
        </w:rPr>
        <w:t> </w:t>
      </w:r>
      <w:r>
        <w:rPr>
          <w:w w:val="105"/>
          <w:sz w:val="13"/>
        </w:rPr>
        <w:t>law</w:t>
      </w:r>
      <w:r>
        <w:rPr>
          <w:spacing w:val="5"/>
          <w:w w:val="105"/>
          <w:sz w:val="13"/>
        </w:rPr>
        <w:t> </w:t>
      </w:r>
      <w:r>
        <w:rPr>
          <w:w w:val="105"/>
          <w:sz w:val="13"/>
        </w:rPr>
        <w:t>actions</w:t>
      </w:r>
      <w:r>
        <w:rPr>
          <w:spacing w:val="6"/>
          <w:w w:val="105"/>
          <w:sz w:val="13"/>
        </w:rPr>
        <w:t> </w:t>
      </w:r>
      <w:r>
        <w:rPr>
          <w:w w:val="105"/>
          <w:sz w:val="13"/>
        </w:rPr>
        <w:t>in</w:t>
      </w:r>
      <w:r>
        <w:rPr>
          <w:spacing w:val="5"/>
          <w:w w:val="105"/>
          <w:sz w:val="13"/>
        </w:rPr>
        <w:t> </w:t>
      </w:r>
      <w:r>
        <w:rPr>
          <w:w w:val="105"/>
          <w:sz w:val="13"/>
        </w:rPr>
        <w:t>nuisance</w:t>
      </w:r>
      <w:r>
        <w:rPr>
          <w:spacing w:val="5"/>
          <w:w w:val="105"/>
          <w:sz w:val="13"/>
        </w:rPr>
        <w:t> </w:t>
      </w:r>
      <w:r>
        <w:rPr>
          <w:w w:val="105"/>
          <w:sz w:val="13"/>
        </w:rPr>
        <w:t>and</w:t>
      </w:r>
      <w:r>
        <w:rPr>
          <w:spacing w:val="5"/>
          <w:w w:val="105"/>
          <w:sz w:val="13"/>
        </w:rPr>
        <w:t> </w:t>
      </w:r>
      <w:r>
        <w:rPr>
          <w:w w:val="105"/>
          <w:sz w:val="13"/>
        </w:rPr>
        <w:t>negligence</w:t>
      </w:r>
      <w:r>
        <w:rPr>
          <w:spacing w:val="5"/>
          <w:w w:val="105"/>
          <w:sz w:val="13"/>
        </w:rPr>
        <w:t> </w:t>
      </w:r>
      <w:r>
        <w:rPr>
          <w:w w:val="105"/>
          <w:sz w:val="13"/>
        </w:rPr>
        <w:t>are</w:t>
      </w:r>
      <w:r>
        <w:rPr>
          <w:spacing w:val="5"/>
          <w:w w:val="105"/>
          <w:sz w:val="13"/>
        </w:rPr>
        <w:t> </w:t>
      </w:r>
      <w:r>
        <w:rPr>
          <w:w w:val="105"/>
          <w:sz w:val="13"/>
        </w:rPr>
        <w:t>discussed</w:t>
      </w:r>
      <w:r>
        <w:rPr>
          <w:spacing w:val="6"/>
          <w:w w:val="105"/>
          <w:sz w:val="13"/>
        </w:rPr>
        <w:t> </w:t>
      </w:r>
      <w:r>
        <w:rPr>
          <w:w w:val="105"/>
          <w:sz w:val="13"/>
        </w:rPr>
        <w:t>in</w:t>
      </w:r>
      <w:r>
        <w:rPr>
          <w:spacing w:val="5"/>
          <w:w w:val="105"/>
          <w:sz w:val="13"/>
        </w:rPr>
        <w:t> </w:t>
      </w:r>
      <w:r>
        <w:rPr>
          <w:w w:val="105"/>
          <w:sz w:val="13"/>
        </w:rPr>
        <w:t>Ch</w:t>
      </w:r>
      <w:r>
        <w:rPr>
          <w:spacing w:val="5"/>
          <w:w w:val="105"/>
          <w:sz w:val="13"/>
        </w:rPr>
        <w:t> </w:t>
      </w:r>
      <w:r>
        <w:rPr>
          <w:w w:val="105"/>
          <w:sz w:val="13"/>
        </w:rPr>
        <w:t>3.</w:t>
      </w:r>
    </w:p>
    <w:p>
      <w:pPr>
        <w:pStyle w:val="ListParagraph"/>
        <w:numPr>
          <w:ilvl w:val="0"/>
          <w:numId w:val="57"/>
        </w:numPr>
        <w:tabs>
          <w:tab w:pos="2381" w:val="left" w:leader="none"/>
          <w:tab w:pos="2382" w:val="left" w:leader="none"/>
        </w:tabs>
        <w:spacing w:line="240" w:lineRule="auto" w:before="4" w:after="0"/>
        <w:ind w:left="2381" w:right="0" w:hanging="794"/>
        <w:jc w:val="left"/>
        <w:rPr>
          <w:sz w:val="13"/>
        </w:rPr>
      </w:pPr>
      <w:r>
        <w:rPr>
          <w:w w:val="105"/>
          <w:sz w:val="13"/>
        </w:rPr>
        <w:t>Land</w:t>
      </w:r>
      <w:r>
        <w:rPr>
          <w:spacing w:val="5"/>
          <w:w w:val="105"/>
          <w:sz w:val="13"/>
        </w:rPr>
        <w:t> </w:t>
      </w:r>
      <w:r>
        <w:rPr>
          <w:w w:val="105"/>
          <w:sz w:val="13"/>
        </w:rPr>
        <w:t>and</w:t>
      </w:r>
      <w:r>
        <w:rPr>
          <w:spacing w:val="5"/>
          <w:w w:val="105"/>
          <w:sz w:val="13"/>
        </w:rPr>
        <w:t> </w:t>
      </w:r>
      <w:r>
        <w:rPr>
          <w:w w:val="105"/>
          <w:sz w:val="13"/>
        </w:rPr>
        <w:t>Environment</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r>
        <w:rPr>
          <w:spacing w:val="5"/>
          <w:w w:val="105"/>
          <w:sz w:val="13"/>
        </w:rPr>
        <w:t> </w:t>
      </w:r>
      <w:r>
        <w:rPr>
          <w:i/>
          <w:w w:val="105"/>
          <w:sz w:val="13"/>
        </w:rPr>
        <w:t>Annotated</w:t>
      </w:r>
      <w:r>
        <w:rPr>
          <w:i/>
          <w:spacing w:val="5"/>
          <w:w w:val="105"/>
          <w:sz w:val="13"/>
        </w:rPr>
        <w:t> </w:t>
      </w:r>
      <w:r>
        <w:rPr>
          <w:i/>
          <w:w w:val="105"/>
          <w:sz w:val="13"/>
        </w:rPr>
        <w:t>Trees</w:t>
      </w:r>
      <w:r>
        <w:rPr>
          <w:i/>
          <w:spacing w:val="5"/>
          <w:w w:val="105"/>
          <w:sz w:val="13"/>
        </w:rPr>
        <w:t> </w:t>
      </w:r>
      <w:r>
        <w:rPr>
          <w:i/>
          <w:w w:val="105"/>
          <w:sz w:val="13"/>
        </w:rPr>
        <w:t>Act</w:t>
      </w:r>
      <w:r>
        <w:rPr>
          <w:i/>
          <w:spacing w:val="5"/>
          <w:w w:val="105"/>
          <w:sz w:val="13"/>
        </w:rPr>
        <w:t> </w:t>
      </w:r>
      <w:r>
        <w:rPr>
          <w:i/>
          <w:w w:val="105"/>
          <w:sz w:val="13"/>
        </w:rPr>
        <w:t>January</w:t>
      </w:r>
      <w:r>
        <w:rPr>
          <w:i/>
          <w:spacing w:val="5"/>
          <w:w w:val="105"/>
          <w:sz w:val="13"/>
        </w:rPr>
        <w:t> </w:t>
      </w:r>
      <w:r>
        <w:rPr>
          <w:i/>
          <w:spacing w:val="-3"/>
          <w:w w:val="105"/>
          <w:sz w:val="13"/>
        </w:rPr>
        <w:t>2013</w:t>
      </w:r>
      <w:r>
        <w:rPr>
          <w:i/>
          <w:spacing w:val="5"/>
          <w:w w:val="105"/>
          <w:sz w:val="13"/>
        </w:rPr>
        <w:t> </w:t>
      </w:r>
      <w:r>
        <w:rPr>
          <w:w w:val="105"/>
          <w:sz w:val="13"/>
        </w:rPr>
        <w:t>(1</w:t>
      </w:r>
      <w:r>
        <w:rPr>
          <w:spacing w:val="6"/>
          <w:w w:val="105"/>
          <w:sz w:val="13"/>
        </w:rPr>
        <w:t> </w:t>
      </w:r>
      <w:r>
        <w:rPr>
          <w:w w:val="105"/>
          <w:sz w:val="13"/>
        </w:rPr>
        <w:t>September</w:t>
      </w:r>
      <w:r>
        <w:rPr>
          <w:spacing w:val="5"/>
          <w:w w:val="105"/>
          <w:sz w:val="13"/>
        </w:rPr>
        <w:t> </w:t>
      </w:r>
      <w:r>
        <w:rPr>
          <w:w w:val="105"/>
          <w:sz w:val="13"/>
        </w:rPr>
        <w:t>2016)</w:t>
      </w:r>
      <w:r>
        <w:rPr>
          <w:spacing w:val="5"/>
          <w:w w:val="105"/>
          <w:sz w:val="13"/>
        </w:rPr>
        <w:t> </w:t>
      </w:r>
      <w:r>
        <w:rPr>
          <w:w w:val="105"/>
          <w:sz w:val="13"/>
        </w:rPr>
        <w:t>8.</w:t>
      </w:r>
    </w:p>
    <w:p>
      <w:pPr>
        <w:pStyle w:val="ListParagraph"/>
        <w:numPr>
          <w:ilvl w:val="0"/>
          <w:numId w:val="57"/>
        </w:numPr>
        <w:tabs>
          <w:tab w:pos="2381" w:val="left" w:leader="none"/>
          <w:tab w:pos="2382" w:val="left" w:leader="none"/>
        </w:tabs>
        <w:spacing w:line="240" w:lineRule="auto" w:before="2" w:after="0"/>
        <w:ind w:left="2381" w:right="1635" w:hanging="794"/>
        <w:jc w:val="left"/>
        <w:rPr>
          <w:sz w:val="13"/>
        </w:rPr>
      </w:pPr>
      <w:r>
        <w:rPr>
          <w:w w:val="105"/>
          <w:sz w:val="13"/>
        </w:rPr>
        <w:t>An Easement is a </w:t>
      </w:r>
      <w:r>
        <w:rPr>
          <w:spacing w:val="2"/>
          <w:w w:val="105"/>
          <w:sz w:val="13"/>
        </w:rPr>
        <w:t>property </w:t>
      </w:r>
      <w:r>
        <w:rPr>
          <w:w w:val="105"/>
          <w:sz w:val="13"/>
        </w:rPr>
        <w:t>right to make a limited use of land by someone other than an owner. It cannot give exclusive possession and    must be for the benefit of other land (Dominant land). An Easement in Gross is an easement for the benefit of the holder of the easement (usually a service provider) which is not attached to dominant land. It is not recognised at common law and can exist only under legislation: 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i/>
          <w:w w:val="105"/>
          <w:sz w:val="13"/>
        </w:rPr>
        <w:t>Easements</w:t>
      </w:r>
      <w:r>
        <w:rPr>
          <w:i/>
          <w:spacing w:val="5"/>
          <w:w w:val="105"/>
          <w:sz w:val="13"/>
        </w:rPr>
        <w:t> </w:t>
      </w:r>
      <w:r>
        <w:rPr>
          <w:i/>
          <w:w w:val="105"/>
          <w:sz w:val="13"/>
        </w:rPr>
        <w:t>and</w:t>
      </w:r>
      <w:r>
        <w:rPr>
          <w:i/>
          <w:spacing w:val="6"/>
          <w:w w:val="105"/>
          <w:sz w:val="13"/>
        </w:rPr>
        <w:t> </w:t>
      </w:r>
      <w:r>
        <w:rPr>
          <w:i/>
          <w:w w:val="105"/>
          <w:sz w:val="13"/>
        </w:rPr>
        <w:t>Covenants</w:t>
      </w:r>
      <w:r>
        <w:rPr>
          <w:i/>
          <w:spacing w:val="5"/>
          <w:w w:val="105"/>
          <w:sz w:val="13"/>
        </w:rPr>
        <w:t> </w:t>
      </w:r>
      <w:r>
        <w:rPr>
          <w:w w:val="105"/>
          <w:sz w:val="13"/>
        </w:rPr>
        <w:t>(Final</w:t>
      </w:r>
      <w:r>
        <w:rPr>
          <w:spacing w:val="5"/>
          <w:w w:val="105"/>
          <w:sz w:val="13"/>
        </w:rPr>
        <w:t> </w:t>
      </w:r>
      <w:r>
        <w:rPr>
          <w:w w:val="105"/>
          <w:sz w:val="13"/>
        </w:rPr>
        <w:t>Report</w:t>
      </w:r>
      <w:r>
        <w:rPr>
          <w:spacing w:val="5"/>
          <w:w w:val="105"/>
          <w:sz w:val="13"/>
        </w:rPr>
        <w:t> </w:t>
      </w:r>
      <w:r>
        <w:rPr>
          <w:w w:val="105"/>
          <w:sz w:val="13"/>
        </w:rPr>
        <w:t>No</w:t>
      </w:r>
      <w:r>
        <w:rPr>
          <w:spacing w:val="5"/>
          <w:w w:val="105"/>
          <w:sz w:val="13"/>
        </w:rPr>
        <w:t> </w:t>
      </w:r>
      <w:r>
        <w:rPr>
          <w:w w:val="105"/>
          <w:sz w:val="13"/>
        </w:rPr>
        <w:t>22,</w:t>
      </w:r>
      <w:r>
        <w:rPr>
          <w:spacing w:val="5"/>
          <w:w w:val="105"/>
          <w:sz w:val="13"/>
        </w:rPr>
        <w:t> </w:t>
      </w:r>
      <w:r>
        <w:rPr>
          <w:w w:val="105"/>
          <w:sz w:val="13"/>
        </w:rPr>
        <w:t>2010)</w:t>
      </w:r>
      <w:r>
        <w:rPr>
          <w:spacing w:val="6"/>
          <w:w w:val="105"/>
          <w:sz w:val="13"/>
        </w:rPr>
        <w:t> </w:t>
      </w:r>
      <w:r>
        <w:rPr>
          <w:w w:val="105"/>
          <w:sz w:val="13"/>
        </w:rPr>
        <w:t>6.</w:t>
      </w:r>
    </w:p>
    <w:p>
      <w:pPr>
        <w:pStyle w:val="ListParagraph"/>
        <w:numPr>
          <w:ilvl w:val="0"/>
          <w:numId w:val="57"/>
        </w:numPr>
        <w:tabs>
          <w:tab w:pos="2381" w:val="left" w:leader="none"/>
          <w:tab w:pos="2382" w:val="left" w:leader="none"/>
        </w:tabs>
        <w:spacing w:line="240" w:lineRule="auto" w:before="5"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the</w:t>
      </w:r>
      <w:r>
        <w:rPr>
          <w:spacing w:val="5"/>
          <w:w w:val="105"/>
          <w:sz w:val="13"/>
        </w:rPr>
        <w:t> </w:t>
      </w:r>
      <w:r>
        <w:rPr>
          <w:w w:val="105"/>
          <w:sz w:val="13"/>
        </w:rPr>
        <w:t>NSWLEC</w:t>
      </w:r>
      <w:r>
        <w:rPr>
          <w:spacing w:val="5"/>
          <w:w w:val="105"/>
          <w:sz w:val="13"/>
        </w:rPr>
        <w:t> </w:t>
      </w:r>
      <w:r>
        <w:rPr>
          <w:w w:val="105"/>
          <w:sz w:val="13"/>
        </w:rPr>
        <w:t>to</w:t>
      </w:r>
      <w:r>
        <w:rPr>
          <w:spacing w:val="4"/>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4</w:t>
      </w:r>
      <w:r>
        <w:rPr>
          <w:spacing w:val="5"/>
          <w:w w:val="105"/>
          <w:sz w:val="13"/>
        </w:rPr>
        <w:t> </w:t>
      </w:r>
      <w:r>
        <w:rPr>
          <w:w w:val="105"/>
          <w:sz w:val="13"/>
        </w:rPr>
        <w:t>December</w:t>
      </w:r>
      <w:r>
        <w:rPr>
          <w:spacing w:val="5"/>
          <w:w w:val="105"/>
          <w:sz w:val="13"/>
        </w:rPr>
        <w:t> </w:t>
      </w:r>
      <w:r>
        <w:rPr>
          <w:w w:val="105"/>
          <w:sz w:val="13"/>
        </w:rPr>
        <w:t>2018.</w:t>
      </w:r>
    </w:p>
    <w:p>
      <w:pPr>
        <w:pStyle w:val="ListParagraph"/>
        <w:numPr>
          <w:ilvl w:val="0"/>
          <w:numId w:val="57"/>
        </w:numPr>
        <w:tabs>
          <w:tab w:pos="2381" w:val="left" w:leader="none"/>
          <w:tab w:pos="2382" w:val="left" w:leader="none"/>
        </w:tabs>
        <w:spacing w:line="240" w:lineRule="auto" w:before="1" w:after="0"/>
        <w:ind w:left="2381" w:right="1638" w:hanging="794"/>
        <w:jc w:val="left"/>
        <w:rPr>
          <w:sz w:val="13"/>
        </w:rPr>
      </w:pPr>
      <w:r>
        <w:rPr>
          <w:w w:val="105"/>
          <w:sz w:val="13"/>
        </w:rPr>
        <w:t>Land Use Victoria is the Victorian Government’s key agency for land administration and </w:t>
      </w:r>
      <w:r>
        <w:rPr>
          <w:spacing w:val="2"/>
          <w:w w:val="105"/>
          <w:sz w:val="13"/>
        </w:rPr>
        <w:t>property </w:t>
      </w:r>
      <w:r>
        <w:rPr>
          <w:w w:val="105"/>
          <w:sz w:val="13"/>
        </w:rPr>
        <w:t>information: Department of Environment, Land,</w:t>
      </w:r>
      <w:r>
        <w:rPr>
          <w:spacing w:val="6"/>
          <w:w w:val="105"/>
          <w:sz w:val="13"/>
        </w:rPr>
        <w:t> </w:t>
      </w:r>
      <w:r>
        <w:rPr>
          <w:w w:val="105"/>
          <w:sz w:val="13"/>
        </w:rPr>
        <w:t>Water</w:t>
      </w:r>
      <w:r>
        <w:rPr>
          <w:spacing w:val="7"/>
          <w:w w:val="105"/>
          <w:sz w:val="13"/>
        </w:rPr>
        <w:t> </w:t>
      </w:r>
      <w:r>
        <w:rPr>
          <w:w w:val="105"/>
          <w:sz w:val="13"/>
        </w:rPr>
        <w:t>and</w:t>
      </w:r>
      <w:r>
        <w:rPr>
          <w:spacing w:val="6"/>
          <w:w w:val="105"/>
          <w:sz w:val="13"/>
        </w:rPr>
        <w:t> </w:t>
      </w:r>
      <w:r>
        <w:rPr>
          <w:w w:val="105"/>
          <w:sz w:val="13"/>
        </w:rPr>
        <w:t>Planning</w:t>
      </w:r>
      <w:r>
        <w:rPr>
          <w:spacing w:val="7"/>
          <w:w w:val="105"/>
          <w:sz w:val="13"/>
        </w:rPr>
        <w:t> </w:t>
      </w:r>
      <w:r>
        <w:rPr>
          <w:spacing w:val="2"/>
          <w:w w:val="105"/>
          <w:sz w:val="13"/>
        </w:rPr>
        <w:t>(Vic),</w:t>
      </w:r>
      <w:r>
        <w:rPr>
          <w:spacing w:val="6"/>
          <w:w w:val="105"/>
          <w:sz w:val="13"/>
        </w:rPr>
        <w:t> </w:t>
      </w:r>
      <w:r>
        <w:rPr>
          <w:i/>
          <w:spacing w:val="2"/>
          <w:w w:val="105"/>
          <w:sz w:val="13"/>
        </w:rPr>
        <w:t>Property</w:t>
      </w:r>
      <w:r>
        <w:rPr>
          <w:i/>
          <w:spacing w:val="7"/>
          <w:w w:val="105"/>
          <w:sz w:val="13"/>
        </w:rPr>
        <w:t> </w:t>
      </w:r>
      <w:r>
        <w:rPr>
          <w:i/>
          <w:w w:val="105"/>
          <w:sz w:val="13"/>
        </w:rPr>
        <w:t>and</w:t>
      </w:r>
      <w:r>
        <w:rPr>
          <w:i/>
          <w:spacing w:val="7"/>
          <w:w w:val="105"/>
          <w:sz w:val="13"/>
        </w:rPr>
        <w:t> </w:t>
      </w:r>
      <w:r>
        <w:rPr>
          <w:i/>
          <w:w w:val="105"/>
          <w:sz w:val="13"/>
        </w:rPr>
        <w:t>Land</w:t>
      </w:r>
      <w:r>
        <w:rPr>
          <w:i/>
          <w:spacing w:val="6"/>
          <w:w w:val="105"/>
          <w:sz w:val="13"/>
        </w:rPr>
        <w:t> </w:t>
      </w:r>
      <w:r>
        <w:rPr>
          <w:i/>
          <w:w w:val="105"/>
          <w:sz w:val="13"/>
        </w:rPr>
        <w:t>Titles</w:t>
      </w:r>
      <w:r>
        <w:rPr>
          <w:i/>
          <w:spacing w:val="7"/>
          <w:w w:val="105"/>
          <w:sz w:val="13"/>
        </w:rPr>
        <w:t> </w:t>
      </w:r>
      <w:r>
        <w:rPr>
          <w:w w:val="105"/>
          <w:sz w:val="13"/>
        </w:rPr>
        <w:t>(Web</w:t>
      </w:r>
      <w:r>
        <w:rPr>
          <w:spacing w:val="6"/>
          <w:w w:val="105"/>
          <w:sz w:val="13"/>
        </w:rPr>
        <w:t> </w:t>
      </w:r>
      <w:r>
        <w:rPr>
          <w:w w:val="105"/>
          <w:sz w:val="13"/>
        </w:rPr>
        <w:t>Page,</w:t>
      </w:r>
      <w:r>
        <w:rPr>
          <w:spacing w:val="7"/>
          <w:w w:val="105"/>
          <w:sz w:val="13"/>
        </w:rPr>
        <w:t> </w:t>
      </w:r>
      <w:r>
        <w:rPr>
          <w:w w:val="105"/>
          <w:sz w:val="13"/>
        </w:rPr>
        <w:t>2019)</w:t>
      </w:r>
      <w:r>
        <w:rPr>
          <w:spacing w:val="7"/>
          <w:w w:val="105"/>
          <w:sz w:val="13"/>
        </w:rPr>
        <w:t> </w:t>
      </w:r>
      <w:r>
        <w:rPr>
          <w:w w:val="105"/>
          <w:sz w:val="13"/>
        </w:rPr>
        <w:t>&lt;https://</w:t>
      </w:r>
      <w:hyperlink r:id="rId106">
        <w:r>
          <w:rPr>
            <w:w w:val="105"/>
            <w:sz w:val="13"/>
          </w:rPr>
          <w:t>www.propertyandlandtitles.vic.gov.au/home</w:t>
        </w:r>
      </w:hyperlink>
      <w:r>
        <w:rPr>
          <w:w w:val="105"/>
          <w:sz w:val="13"/>
        </w:rPr>
        <w:t>&gt;.</w:t>
      </w:r>
    </w:p>
    <w:p>
      <w:pPr>
        <w:pStyle w:val="ListParagraph"/>
        <w:numPr>
          <w:ilvl w:val="0"/>
          <w:numId w:val="57"/>
        </w:numPr>
        <w:tabs>
          <w:tab w:pos="2380" w:val="left" w:leader="none"/>
          <w:tab w:pos="2382" w:val="left" w:leader="none"/>
        </w:tabs>
        <w:spacing w:line="240" w:lineRule="auto" w:before="3" w:after="0"/>
        <w:ind w:left="2381" w:right="1635" w:hanging="794"/>
        <w:jc w:val="left"/>
        <w:rPr>
          <w:sz w:val="13"/>
        </w:rPr>
      </w:pPr>
      <w:r>
        <w:rPr>
          <w:w w:val="105"/>
          <w:sz w:val="13"/>
        </w:rPr>
        <w:t>An Easement is a </w:t>
      </w:r>
      <w:r>
        <w:rPr>
          <w:spacing w:val="2"/>
          <w:w w:val="105"/>
          <w:sz w:val="13"/>
        </w:rPr>
        <w:t>property </w:t>
      </w:r>
      <w:r>
        <w:rPr>
          <w:w w:val="105"/>
          <w:sz w:val="13"/>
        </w:rPr>
        <w:t>right to make a limited use of land by someone other than an owner. It cannot give exclusive possession, and   must be for the benefit of other land (Dominant land). An Easement in Gross is an easement for the benefit of the holder of the easement (usually a service provider) which is not attached to dominant land. It is not recognised at common law and can exist only under legislation: 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i/>
          <w:w w:val="105"/>
          <w:sz w:val="13"/>
        </w:rPr>
        <w:t>Easements</w:t>
      </w:r>
      <w:r>
        <w:rPr>
          <w:i/>
          <w:spacing w:val="5"/>
          <w:w w:val="105"/>
          <w:sz w:val="13"/>
        </w:rPr>
        <w:t> </w:t>
      </w:r>
      <w:r>
        <w:rPr>
          <w:i/>
          <w:w w:val="105"/>
          <w:sz w:val="13"/>
        </w:rPr>
        <w:t>and</w:t>
      </w:r>
      <w:r>
        <w:rPr>
          <w:i/>
          <w:spacing w:val="6"/>
          <w:w w:val="105"/>
          <w:sz w:val="13"/>
        </w:rPr>
        <w:t> </w:t>
      </w:r>
      <w:r>
        <w:rPr>
          <w:i/>
          <w:w w:val="105"/>
          <w:sz w:val="13"/>
        </w:rPr>
        <w:t>Covenants</w:t>
      </w:r>
      <w:r>
        <w:rPr>
          <w:i/>
          <w:spacing w:val="5"/>
          <w:w w:val="105"/>
          <w:sz w:val="13"/>
        </w:rPr>
        <w:t> </w:t>
      </w:r>
      <w:r>
        <w:rPr>
          <w:w w:val="105"/>
          <w:sz w:val="13"/>
        </w:rPr>
        <w:t>(Final</w:t>
      </w:r>
      <w:r>
        <w:rPr>
          <w:spacing w:val="5"/>
          <w:w w:val="105"/>
          <w:sz w:val="13"/>
        </w:rPr>
        <w:t> </w:t>
      </w:r>
      <w:r>
        <w:rPr>
          <w:w w:val="105"/>
          <w:sz w:val="13"/>
        </w:rPr>
        <w:t>Report</w:t>
      </w:r>
      <w:r>
        <w:rPr>
          <w:spacing w:val="5"/>
          <w:w w:val="105"/>
          <w:sz w:val="13"/>
        </w:rPr>
        <w:t> </w:t>
      </w:r>
      <w:r>
        <w:rPr>
          <w:w w:val="105"/>
          <w:sz w:val="13"/>
        </w:rPr>
        <w:t>No</w:t>
      </w:r>
      <w:r>
        <w:rPr>
          <w:spacing w:val="5"/>
          <w:w w:val="105"/>
          <w:sz w:val="13"/>
        </w:rPr>
        <w:t> </w:t>
      </w:r>
      <w:r>
        <w:rPr>
          <w:w w:val="105"/>
          <w:sz w:val="13"/>
        </w:rPr>
        <w:t>22,</w:t>
      </w:r>
      <w:r>
        <w:rPr>
          <w:spacing w:val="5"/>
          <w:w w:val="105"/>
          <w:sz w:val="13"/>
        </w:rPr>
        <w:t> </w:t>
      </w:r>
      <w:r>
        <w:rPr>
          <w:w w:val="105"/>
          <w:sz w:val="13"/>
        </w:rPr>
        <w:t>2010)</w:t>
      </w:r>
      <w:r>
        <w:rPr>
          <w:spacing w:val="6"/>
          <w:w w:val="105"/>
          <w:sz w:val="13"/>
        </w:rPr>
        <w:t> </w:t>
      </w:r>
      <w:r>
        <w:rPr>
          <w:w w:val="105"/>
          <w:sz w:val="13"/>
        </w:rPr>
        <w:t>6.</w:t>
      </w:r>
    </w:p>
    <w:p>
      <w:pPr>
        <w:pStyle w:val="ListParagraph"/>
        <w:numPr>
          <w:ilvl w:val="0"/>
          <w:numId w:val="57"/>
        </w:numPr>
        <w:tabs>
          <w:tab w:pos="2380" w:val="left" w:leader="none"/>
          <w:tab w:pos="2382" w:val="left" w:leader="none"/>
        </w:tabs>
        <w:spacing w:line="240" w:lineRule="auto" w:before="5" w:after="0"/>
        <w:ind w:left="2381" w:right="1662" w:hanging="794"/>
        <w:jc w:val="left"/>
        <w:rPr>
          <w:sz w:val="13"/>
        </w:rPr>
      </w:pPr>
      <w:r>
        <w:rPr/>
        <w:pict>
          <v:shape style="position:absolute;margin-left:36pt;margin-top:11.186866pt;width:13.6pt;height:14.25pt;mso-position-horizontal-relative:page;mso-position-vertical-relative:paragraph;z-index:6232" type="#_x0000_t202" filled="false" stroked="false">
            <v:textbox inset="0,0,0,0">
              <w:txbxContent>
                <w:p>
                  <w:pPr>
                    <w:spacing w:line="284" w:lineRule="exact" w:before="0"/>
                    <w:ind w:left="0" w:right="0" w:firstLine="0"/>
                    <w:jc w:val="left"/>
                    <w:rPr>
                      <w:b/>
                      <w:sz w:val="24"/>
                    </w:rPr>
                  </w:pPr>
                  <w:r>
                    <w:rPr>
                      <w:b/>
                      <w:color w:val="658464"/>
                      <w:w w:val="110"/>
                      <w:sz w:val="24"/>
                    </w:rPr>
                    <w:t>84</w:t>
                  </w:r>
                </w:p>
              </w:txbxContent>
            </v:textbox>
            <w10:wrap type="none"/>
          </v:shape>
        </w:pict>
      </w:r>
      <w:r>
        <w:rPr>
          <w:w w:val="105"/>
          <w:sz w:val="13"/>
        </w:rPr>
        <w:t>See, eg, </w:t>
      </w:r>
      <w:r>
        <w:rPr>
          <w:i/>
          <w:w w:val="105"/>
          <w:sz w:val="13"/>
        </w:rPr>
        <w:t>McCormack v Spencer </w:t>
      </w:r>
      <w:r>
        <w:rPr>
          <w:spacing w:val="2"/>
          <w:w w:val="105"/>
          <w:sz w:val="13"/>
        </w:rPr>
        <w:t>[2008] </w:t>
      </w:r>
      <w:r>
        <w:rPr>
          <w:w w:val="105"/>
          <w:sz w:val="13"/>
        </w:rPr>
        <w:t>NSWLEC 1285; </w:t>
      </w:r>
      <w:r>
        <w:rPr>
          <w:i/>
          <w:w w:val="105"/>
          <w:sz w:val="13"/>
        </w:rPr>
        <w:t>Liu v Morris </w:t>
      </w:r>
      <w:r>
        <w:rPr>
          <w:w w:val="105"/>
          <w:sz w:val="13"/>
        </w:rPr>
        <w:t>[2012] NSWLEC 1345, as cited in the Land and Environment Court of       New South Wales, </w:t>
      </w:r>
      <w:r>
        <w:rPr>
          <w:i/>
          <w:w w:val="105"/>
          <w:sz w:val="13"/>
        </w:rPr>
        <w:t>Annotated Trees Act January </w:t>
      </w:r>
      <w:r>
        <w:rPr>
          <w:i/>
          <w:spacing w:val="-3"/>
          <w:w w:val="105"/>
          <w:sz w:val="13"/>
        </w:rPr>
        <w:t>2013 </w:t>
      </w:r>
      <w:r>
        <w:rPr>
          <w:w w:val="105"/>
          <w:sz w:val="13"/>
        </w:rPr>
        <w:t>(1 September 2016) </w:t>
      </w:r>
      <w:r>
        <w:rPr>
          <w:spacing w:val="-5"/>
          <w:w w:val="105"/>
          <w:sz w:val="13"/>
        </w:rPr>
        <w:t>11; </w:t>
      </w:r>
      <w:r>
        <w:rPr>
          <w:w w:val="105"/>
          <w:sz w:val="13"/>
        </w:rPr>
        <w:t>see also Queensland Law Reform Commission, </w:t>
      </w:r>
      <w:r>
        <w:rPr>
          <w:i/>
          <w:w w:val="105"/>
          <w:sz w:val="13"/>
        </w:rPr>
        <w:t>Review of the </w:t>
      </w:r>
      <w:r>
        <w:rPr>
          <w:i/>
          <w:w w:val="105"/>
          <w:sz w:val="13"/>
        </w:rPr>
        <w:t>Neighbourhood Disputes (Dividing Fences and Trees) Act </w:t>
      </w:r>
      <w:r>
        <w:rPr>
          <w:i/>
          <w:spacing w:val="-4"/>
          <w:w w:val="105"/>
          <w:sz w:val="13"/>
        </w:rPr>
        <w:t>2011 </w:t>
      </w:r>
      <w:r>
        <w:rPr>
          <w:spacing w:val="2"/>
          <w:w w:val="105"/>
          <w:sz w:val="13"/>
        </w:rPr>
        <w:t>(Report </w:t>
      </w:r>
      <w:r>
        <w:rPr>
          <w:w w:val="105"/>
          <w:sz w:val="13"/>
        </w:rPr>
        <w:t>No 72, 2015)</w:t>
      </w:r>
      <w:r>
        <w:rPr>
          <w:spacing w:val="10"/>
          <w:w w:val="105"/>
          <w:sz w:val="13"/>
        </w:rPr>
        <w:t> </w:t>
      </w:r>
      <w:r>
        <w:rPr>
          <w:w w:val="105"/>
          <w:sz w:val="13"/>
        </w:rPr>
        <w:t>93-94.</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0"/>
          <w:numId w:val="56"/>
        </w:numPr>
        <w:tabs>
          <w:tab w:pos="2381" w:val="left" w:leader="none"/>
          <w:tab w:pos="2382" w:val="left" w:leader="none"/>
        </w:tabs>
        <w:spacing w:line="242" w:lineRule="auto" w:before="91" w:after="0"/>
        <w:ind w:left="2381" w:right="2156" w:hanging="794"/>
        <w:jc w:val="left"/>
        <w:rPr>
          <w:sz w:val="21"/>
        </w:rPr>
      </w:pPr>
      <w:bookmarkStart w:name="_bookmark49" w:id="117"/>
      <w:bookmarkEnd w:id="117"/>
      <w:r>
        <w:rPr/>
      </w:r>
      <w:bookmarkStart w:name="_bookmark49" w:id="118"/>
      <w:bookmarkEnd w:id="118"/>
      <w:r>
        <w:rPr>
          <w:sz w:val="21"/>
        </w:rPr>
        <w:t>A</w:t>
      </w:r>
      <w:r>
        <w:rPr>
          <w:sz w:val="21"/>
        </w:rPr>
        <w:t>lthough the </w:t>
      </w:r>
      <w:r>
        <w:rPr>
          <w:spacing w:val="-3"/>
          <w:sz w:val="21"/>
        </w:rPr>
        <w:t>Commission appreciates </w:t>
      </w:r>
      <w:r>
        <w:rPr>
          <w:sz w:val="21"/>
        </w:rPr>
        <w:t>the </w:t>
      </w:r>
      <w:r>
        <w:rPr>
          <w:spacing w:val="-3"/>
          <w:sz w:val="21"/>
        </w:rPr>
        <w:t>intent </w:t>
      </w:r>
      <w:r>
        <w:rPr>
          <w:sz w:val="21"/>
        </w:rPr>
        <w:t>of </w:t>
      </w:r>
      <w:r>
        <w:rPr>
          <w:spacing w:val="-5"/>
          <w:sz w:val="21"/>
        </w:rPr>
        <w:t>Tasmania’s </w:t>
      </w:r>
      <w:r>
        <w:rPr>
          <w:sz w:val="21"/>
        </w:rPr>
        <w:t>broader approach </w:t>
      </w:r>
      <w:r>
        <w:rPr>
          <w:spacing w:val="-3"/>
          <w:sz w:val="21"/>
        </w:rPr>
        <w:t>to </w:t>
      </w:r>
      <w:r>
        <w:rPr>
          <w:spacing w:val="-4"/>
          <w:sz w:val="21"/>
        </w:rPr>
        <w:t>proximity, </w:t>
      </w:r>
      <w:r>
        <w:rPr>
          <w:sz w:val="21"/>
        </w:rPr>
        <w:t>it considers </w:t>
      </w:r>
      <w:r>
        <w:rPr>
          <w:spacing w:val="-3"/>
          <w:sz w:val="21"/>
        </w:rPr>
        <w:t>that </w:t>
      </w:r>
      <w:r>
        <w:rPr>
          <w:sz w:val="21"/>
        </w:rPr>
        <w:t>it would </w:t>
      </w:r>
      <w:r>
        <w:rPr>
          <w:spacing w:val="-2"/>
          <w:sz w:val="21"/>
        </w:rPr>
        <w:t>not </w:t>
      </w:r>
      <w:r>
        <w:rPr>
          <w:sz w:val="21"/>
        </w:rPr>
        <w:t>provide a </w:t>
      </w:r>
      <w:r>
        <w:rPr>
          <w:spacing w:val="-3"/>
          <w:sz w:val="21"/>
        </w:rPr>
        <w:t>significant </w:t>
      </w:r>
      <w:r>
        <w:rPr>
          <w:sz w:val="21"/>
        </w:rPr>
        <w:t>benefit </w:t>
      </w:r>
      <w:r>
        <w:rPr>
          <w:spacing w:val="-3"/>
          <w:sz w:val="21"/>
        </w:rPr>
        <w:t>to </w:t>
      </w:r>
      <w:r>
        <w:rPr>
          <w:sz w:val="21"/>
        </w:rPr>
        <w:t>neighbours </w:t>
      </w:r>
      <w:r>
        <w:rPr>
          <w:spacing w:val="-3"/>
          <w:sz w:val="21"/>
        </w:rPr>
        <w:t>involved </w:t>
      </w:r>
      <w:r>
        <w:rPr>
          <w:sz w:val="21"/>
        </w:rPr>
        <w:t>in tree</w:t>
      </w:r>
      <w:r>
        <w:rPr>
          <w:spacing w:val="28"/>
          <w:sz w:val="21"/>
        </w:rPr>
        <w:t> </w:t>
      </w:r>
      <w:r>
        <w:rPr>
          <w:spacing w:val="-3"/>
          <w:sz w:val="21"/>
        </w:rPr>
        <w:t>disputes.</w:t>
      </w:r>
    </w:p>
    <w:p>
      <w:pPr>
        <w:pStyle w:val="BodyText"/>
        <w:spacing w:before="4"/>
        <w:rPr>
          <w:sz w:val="23"/>
        </w:rPr>
      </w:pPr>
      <w:r>
        <w:rPr/>
        <w:pict>
          <v:group style="position:absolute;margin-left:62.362202pt;margin-top:16.199572pt;width:479.1pt;height:229.4pt;mso-position-horizontal-relative:page;mso-position-vertical-relative:paragraph;z-index:4304;mso-wrap-distance-left:0;mso-wrap-distance-right:0" coordorigin="1247,324" coordsize="9582,4588">
            <v:rect style="position:absolute;left:1587;top:324;width:8731;height:4588" filled="true" fillcolor="#dbe0dd" stroked="false">
              <v:fill type="solid"/>
            </v:rect>
            <v:line style="position:absolute" from="1247,1071" to="10828,1071" stroked="true" strokeweight="2.5pt" strokecolor="#ffffff">
              <v:stroke dashstyle="solid"/>
            </v:line>
            <v:shape style="position:absolute;left:2381;top:2588;width:5747;height:2150" type="#_x0000_t202" filled="false" stroked="false">
              <v:textbox inset="0,0,0,0">
                <w:txbxContent>
                  <w:p>
                    <w:pPr>
                      <w:numPr>
                        <w:ilvl w:val="0"/>
                        <w:numId w:val="58"/>
                      </w:numPr>
                      <w:tabs>
                        <w:tab w:pos="566" w:val="left" w:leader="none"/>
                        <w:tab w:pos="567" w:val="left" w:leader="none"/>
                      </w:tabs>
                      <w:spacing w:line="253" w:lineRule="exact" w:before="0"/>
                      <w:ind w:left="567" w:right="0" w:hanging="567"/>
                      <w:jc w:val="left"/>
                      <w:rPr>
                        <w:sz w:val="21"/>
                      </w:rPr>
                    </w:pPr>
                    <w:r>
                      <w:rPr>
                        <w:w w:val="115"/>
                        <w:sz w:val="21"/>
                      </w:rPr>
                      <w:t>a public</w:t>
                    </w:r>
                    <w:r>
                      <w:rPr>
                        <w:spacing w:val="1"/>
                        <w:w w:val="115"/>
                        <w:sz w:val="21"/>
                      </w:rPr>
                      <w:t> </w:t>
                    </w:r>
                    <w:r>
                      <w:rPr>
                        <w:w w:val="115"/>
                        <w:sz w:val="21"/>
                      </w:rPr>
                      <w:t>road</w:t>
                    </w:r>
                  </w:p>
                  <w:p>
                    <w:pPr>
                      <w:numPr>
                        <w:ilvl w:val="0"/>
                        <w:numId w:val="58"/>
                      </w:numPr>
                      <w:tabs>
                        <w:tab w:pos="566" w:val="left" w:leader="none"/>
                        <w:tab w:pos="567" w:val="left" w:leader="none"/>
                      </w:tabs>
                      <w:spacing w:before="123"/>
                      <w:ind w:left="567" w:right="0" w:hanging="567"/>
                      <w:jc w:val="left"/>
                      <w:rPr>
                        <w:sz w:val="21"/>
                      </w:rPr>
                    </w:pPr>
                    <w:r>
                      <w:rPr>
                        <w:w w:val="115"/>
                        <w:sz w:val="21"/>
                      </w:rPr>
                      <w:t>a pedestrian</w:t>
                    </w:r>
                    <w:r>
                      <w:rPr>
                        <w:spacing w:val="1"/>
                        <w:w w:val="115"/>
                        <w:sz w:val="21"/>
                      </w:rPr>
                      <w:t> </w:t>
                    </w:r>
                    <w:r>
                      <w:rPr>
                        <w:w w:val="115"/>
                        <w:sz w:val="21"/>
                      </w:rPr>
                      <w:t>path</w:t>
                    </w:r>
                  </w:p>
                  <w:p>
                    <w:pPr>
                      <w:numPr>
                        <w:ilvl w:val="0"/>
                        <w:numId w:val="58"/>
                      </w:numPr>
                      <w:tabs>
                        <w:tab w:pos="566" w:val="left" w:leader="none"/>
                        <w:tab w:pos="567" w:val="left" w:leader="none"/>
                      </w:tabs>
                      <w:spacing w:before="124"/>
                      <w:ind w:left="567" w:right="0" w:hanging="567"/>
                      <w:jc w:val="left"/>
                      <w:rPr>
                        <w:sz w:val="21"/>
                      </w:rPr>
                    </w:pPr>
                    <w:r>
                      <w:rPr>
                        <w:w w:val="115"/>
                        <w:sz w:val="21"/>
                      </w:rPr>
                      <w:t>a </w:t>
                    </w:r>
                    <w:r>
                      <w:rPr>
                        <w:spacing w:val="-3"/>
                        <w:w w:val="115"/>
                        <w:sz w:val="21"/>
                      </w:rPr>
                      <w:t>laneway</w:t>
                    </w:r>
                  </w:p>
                  <w:p>
                    <w:pPr>
                      <w:numPr>
                        <w:ilvl w:val="0"/>
                        <w:numId w:val="58"/>
                      </w:numPr>
                      <w:tabs>
                        <w:tab w:pos="566" w:val="left" w:leader="none"/>
                        <w:tab w:pos="567" w:val="left" w:leader="none"/>
                      </w:tabs>
                      <w:spacing w:before="124"/>
                      <w:ind w:left="567" w:right="0" w:hanging="567"/>
                      <w:jc w:val="left"/>
                      <w:rPr>
                        <w:sz w:val="21"/>
                      </w:rPr>
                    </w:pPr>
                    <w:r>
                      <w:rPr>
                        <w:w w:val="115"/>
                        <w:sz w:val="21"/>
                      </w:rPr>
                      <w:t>a</w:t>
                    </w:r>
                    <w:r>
                      <w:rPr>
                        <w:spacing w:val="1"/>
                        <w:w w:val="115"/>
                        <w:sz w:val="21"/>
                      </w:rPr>
                      <w:t> </w:t>
                    </w:r>
                    <w:r>
                      <w:rPr>
                        <w:w w:val="115"/>
                        <w:sz w:val="21"/>
                      </w:rPr>
                      <w:t>bridge</w:t>
                    </w:r>
                  </w:p>
                  <w:p>
                    <w:pPr>
                      <w:numPr>
                        <w:ilvl w:val="0"/>
                        <w:numId w:val="58"/>
                      </w:numPr>
                      <w:tabs>
                        <w:tab w:pos="566" w:val="left" w:leader="none"/>
                        <w:tab w:pos="567" w:val="left" w:leader="none"/>
                      </w:tabs>
                      <w:spacing w:before="124"/>
                      <w:ind w:left="567" w:right="0" w:hanging="567"/>
                      <w:jc w:val="left"/>
                      <w:rPr>
                        <w:sz w:val="21"/>
                      </w:rPr>
                    </w:pPr>
                    <w:r>
                      <w:rPr>
                        <w:w w:val="115"/>
                        <w:sz w:val="21"/>
                      </w:rPr>
                      <w:t>a culvert</w:t>
                    </w:r>
                    <w:r>
                      <w:rPr>
                        <w:spacing w:val="1"/>
                        <w:w w:val="115"/>
                        <w:sz w:val="21"/>
                      </w:rPr>
                      <w:t> </w:t>
                    </w:r>
                    <w:r>
                      <w:rPr>
                        <w:w w:val="115"/>
                        <w:sz w:val="21"/>
                      </w:rPr>
                      <w:t>or</w:t>
                    </w:r>
                  </w:p>
                  <w:p>
                    <w:pPr>
                      <w:numPr>
                        <w:ilvl w:val="0"/>
                        <w:numId w:val="58"/>
                      </w:numPr>
                      <w:tabs>
                        <w:tab w:pos="566" w:val="left" w:leader="none"/>
                        <w:tab w:pos="567" w:val="left" w:leader="none"/>
                      </w:tabs>
                      <w:spacing w:line="252" w:lineRule="exact" w:before="123"/>
                      <w:ind w:left="567" w:right="0" w:hanging="567"/>
                      <w:jc w:val="left"/>
                      <w:rPr>
                        <w:sz w:val="21"/>
                      </w:rPr>
                    </w:pPr>
                    <w:r>
                      <w:rPr>
                        <w:w w:val="115"/>
                        <w:sz w:val="21"/>
                      </w:rPr>
                      <w:t>other</w:t>
                    </w:r>
                    <w:r>
                      <w:rPr>
                        <w:spacing w:val="-9"/>
                        <w:w w:val="115"/>
                        <w:sz w:val="21"/>
                      </w:rPr>
                      <w:t> </w:t>
                    </w:r>
                    <w:r>
                      <w:rPr>
                        <w:spacing w:val="-3"/>
                        <w:w w:val="115"/>
                        <w:sz w:val="21"/>
                      </w:rPr>
                      <w:t>similar</w:t>
                    </w:r>
                    <w:r>
                      <w:rPr>
                        <w:spacing w:val="-9"/>
                        <w:w w:val="115"/>
                        <w:sz w:val="21"/>
                      </w:rPr>
                      <w:t> </w:t>
                    </w:r>
                    <w:r>
                      <w:rPr>
                        <w:w w:val="115"/>
                        <w:sz w:val="21"/>
                      </w:rPr>
                      <w:t>thoroughfare</w:t>
                    </w:r>
                    <w:r>
                      <w:rPr>
                        <w:spacing w:val="-9"/>
                        <w:w w:val="115"/>
                        <w:sz w:val="21"/>
                      </w:rPr>
                      <w:t> </w:t>
                    </w:r>
                    <w:r>
                      <w:rPr>
                        <w:w w:val="115"/>
                        <w:sz w:val="21"/>
                      </w:rPr>
                      <w:t>prescribed</w:t>
                    </w:r>
                    <w:r>
                      <w:rPr>
                        <w:spacing w:val="-9"/>
                        <w:w w:val="115"/>
                        <w:sz w:val="21"/>
                      </w:rPr>
                      <w:t> </w:t>
                    </w:r>
                    <w:r>
                      <w:rPr>
                        <w:w w:val="115"/>
                        <w:sz w:val="21"/>
                      </w:rPr>
                      <w:t>in</w:t>
                    </w:r>
                    <w:r>
                      <w:rPr>
                        <w:spacing w:val="-9"/>
                        <w:w w:val="115"/>
                        <w:sz w:val="21"/>
                      </w:rPr>
                      <w:t> </w:t>
                    </w:r>
                    <w:r>
                      <w:rPr>
                        <w:w w:val="115"/>
                        <w:sz w:val="21"/>
                      </w:rPr>
                      <w:t>Regulations.</w:t>
                    </w:r>
                  </w:p>
                </w:txbxContent>
              </v:textbox>
              <w10:wrap type="none"/>
            </v:shape>
            <v:shape style="position:absolute;left:2381;top:1307;width:7669;height:1149" type="#_x0000_t202" filled="false" stroked="false">
              <v:textbox inset="0,0,0,0">
                <w:txbxContent>
                  <w:p>
                    <w:pPr>
                      <w:spacing w:line="242" w:lineRule="auto" w:before="0"/>
                      <w:ind w:left="0" w:right="-11" w:firstLine="0"/>
                      <w:jc w:val="left"/>
                      <w:rPr>
                        <w:sz w:val="21"/>
                      </w:rPr>
                    </w:pPr>
                    <w:r>
                      <w:rPr>
                        <w:w w:val="115"/>
                        <w:sz w:val="21"/>
                      </w:rPr>
                      <w:t>The Act should apply only where an affected neighbour’s land adjoins the tree owner’s land.</w:t>
                    </w:r>
                  </w:p>
                  <w:p>
                    <w:pPr>
                      <w:spacing w:line="242" w:lineRule="auto" w:before="118"/>
                      <w:ind w:left="0" w:right="76" w:firstLine="0"/>
                      <w:jc w:val="left"/>
                      <w:rPr>
                        <w:sz w:val="21"/>
                      </w:rPr>
                    </w:pPr>
                    <w:r>
                      <w:rPr>
                        <w:w w:val="115"/>
                        <w:sz w:val="21"/>
                      </w:rPr>
                      <w:t>The Act should define ‘adjoin’ to mean land that shares a common boundary, or would share a common boundary were it not separated by:</w:t>
                    </w:r>
                  </w:p>
                </w:txbxContent>
              </v:textbox>
              <w10:wrap type="none"/>
            </v:shape>
            <v:shape style="position:absolute;left:1814;top:1307;width:137;height:889" type="#_x0000_t202" filled="false" stroked="false">
              <v:textbox inset="0,0,0,0">
                <w:txbxContent>
                  <w:p>
                    <w:pPr>
                      <w:spacing w:line="253" w:lineRule="exact" w:before="0"/>
                      <w:ind w:left="0" w:right="0" w:firstLine="0"/>
                      <w:jc w:val="left"/>
                      <w:rPr>
                        <w:b/>
                        <w:sz w:val="21"/>
                      </w:rPr>
                    </w:pPr>
                    <w:r>
                      <w:rPr>
                        <w:b/>
                        <w:w w:val="109"/>
                        <w:sz w:val="21"/>
                      </w:rPr>
                      <w:t>6</w:t>
                    </w:r>
                  </w:p>
                  <w:p>
                    <w:pPr>
                      <w:spacing w:line="240" w:lineRule="auto" w:before="5"/>
                      <w:rPr>
                        <w:sz w:val="31"/>
                      </w:rPr>
                    </w:pPr>
                  </w:p>
                  <w:p>
                    <w:pPr>
                      <w:spacing w:line="252" w:lineRule="exact" w:before="0"/>
                      <w:ind w:left="0" w:right="0" w:firstLine="0"/>
                      <w:jc w:val="left"/>
                      <w:rPr>
                        <w:b/>
                        <w:sz w:val="21"/>
                      </w:rPr>
                    </w:pPr>
                    <w:r>
                      <w:rPr>
                        <w:b/>
                        <w:w w:val="109"/>
                        <w:sz w:val="21"/>
                      </w:rPr>
                      <w:t>7</w:t>
                    </w:r>
                  </w:p>
                </w:txbxContent>
              </v:textbox>
              <w10:wrap type="none"/>
            </v:shape>
            <v:shape style="position:absolute;left:1587;top:324;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Recommendations</w:t>
                    </w:r>
                  </w:p>
                </w:txbxContent>
              </v:textbox>
              <v:fill type="solid"/>
              <w10:wrap type="none"/>
            </v:shape>
            <w10:wrap type="topAndBottom"/>
          </v:group>
        </w:pict>
      </w:r>
    </w:p>
    <w:p>
      <w:pPr>
        <w:pStyle w:val="BodyText"/>
        <w:rPr>
          <w:sz w:val="20"/>
        </w:rPr>
      </w:pPr>
    </w:p>
    <w:p>
      <w:pPr>
        <w:pStyle w:val="Heading5"/>
        <w:spacing w:before="244"/>
      </w:pPr>
      <w:r>
        <w:rPr>
          <w:w w:val="110"/>
        </w:rPr>
        <w:t>Trees on boundaries</w:t>
      </w:r>
    </w:p>
    <w:p>
      <w:pPr>
        <w:pStyle w:val="ListParagraph"/>
        <w:numPr>
          <w:ilvl w:val="0"/>
          <w:numId w:val="56"/>
        </w:numPr>
        <w:tabs>
          <w:tab w:pos="2381" w:val="left" w:leader="none"/>
          <w:tab w:pos="2382" w:val="left" w:leader="none"/>
        </w:tabs>
        <w:spacing w:line="242" w:lineRule="auto" w:before="138" w:after="0"/>
        <w:ind w:left="2381" w:right="2055" w:hanging="794"/>
        <w:jc w:val="left"/>
        <w:rPr>
          <w:sz w:val="21"/>
        </w:rPr>
      </w:pPr>
      <w:r>
        <w:rPr>
          <w:w w:val="105"/>
          <w:sz w:val="21"/>
        </w:rPr>
        <w:t>The</w:t>
      </w:r>
      <w:r>
        <w:rPr>
          <w:spacing w:val="-11"/>
          <w:w w:val="105"/>
          <w:sz w:val="21"/>
        </w:rPr>
        <w:t> </w:t>
      </w:r>
      <w:r>
        <w:rPr>
          <w:spacing w:val="-3"/>
          <w:w w:val="105"/>
          <w:sz w:val="21"/>
        </w:rPr>
        <w:t>consultation</w:t>
      </w:r>
      <w:r>
        <w:rPr>
          <w:spacing w:val="-10"/>
          <w:w w:val="105"/>
          <w:sz w:val="21"/>
        </w:rPr>
        <w:t> </w:t>
      </w:r>
      <w:r>
        <w:rPr>
          <w:w w:val="105"/>
          <w:sz w:val="21"/>
        </w:rPr>
        <w:t>paper</w:t>
      </w:r>
      <w:r>
        <w:rPr>
          <w:spacing w:val="-10"/>
          <w:w w:val="105"/>
          <w:sz w:val="21"/>
        </w:rPr>
        <w:t> </w:t>
      </w:r>
      <w:r>
        <w:rPr>
          <w:spacing w:val="-3"/>
          <w:w w:val="105"/>
          <w:sz w:val="21"/>
        </w:rPr>
        <w:t>asked</w:t>
      </w:r>
      <w:r>
        <w:rPr>
          <w:spacing w:val="-11"/>
          <w:w w:val="105"/>
          <w:sz w:val="21"/>
        </w:rPr>
        <w:t> </w:t>
      </w:r>
      <w:r>
        <w:rPr>
          <w:w w:val="105"/>
          <w:sz w:val="21"/>
        </w:rPr>
        <w:t>how</w:t>
      </w:r>
      <w:r>
        <w:rPr>
          <w:spacing w:val="-10"/>
          <w:w w:val="105"/>
          <w:sz w:val="21"/>
        </w:rPr>
        <w:t> </w:t>
      </w:r>
      <w:r>
        <w:rPr>
          <w:w w:val="105"/>
          <w:sz w:val="21"/>
        </w:rPr>
        <w:t>trees</w:t>
      </w:r>
      <w:r>
        <w:rPr>
          <w:spacing w:val="-10"/>
          <w:w w:val="105"/>
          <w:sz w:val="21"/>
        </w:rPr>
        <w:t> </w:t>
      </w:r>
      <w:r>
        <w:rPr>
          <w:w w:val="105"/>
          <w:sz w:val="21"/>
        </w:rPr>
        <w:t>on</w:t>
      </w:r>
      <w:r>
        <w:rPr>
          <w:spacing w:val="-10"/>
          <w:w w:val="105"/>
          <w:sz w:val="21"/>
        </w:rPr>
        <w:t> </w:t>
      </w:r>
      <w:r>
        <w:rPr>
          <w:w w:val="105"/>
          <w:sz w:val="21"/>
        </w:rPr>
        <w:t>boundaries</w:t>
      </w:r>
      <w:r>
        <w:rPr>
          <w:spacing w:val="-11"/>
          <w:w w:val="105"/>
          <w:sz w:val="21"/>
        </w:rPr>
        <w:t> </w:t>
      </w:r>
      <w:r>
        <w:rPr>
          <w:w w:val="105"/>
          <w:sz w:val="21"/>
        </w:rPr>
        <w:t>(or</w:t>
      </w:r>
      <w:r>
        <w:rPr>
          <w:spacing w:val="-10"/>
          <w:w w:val="105"/>
          <w:sz w:val="21"/>
        </w:rPr>
        <w:t> </w:t>
      </w:r>
      <w:r>
        <w:rPr>
          <w:w w:val="105"/>
          <w:sz w:val="21"/>
        </w:rPr>
        <w:t>trees</w:t>
      </w:r>
      <w:r>
        <w:rPr>
          <w:spacing w:val="-10"/>
          <w:w w:val="105"/>
          <w:sz w:val="21"/>
        </w:rPr>
        <w:t> </w:t>
      </w:r>
      <w:r>
        <w:rPr>
          <w:w w:val="105"/>
          <w:sz w:val="21"/>
        </w:rPr>
        <w:t>only</w:t>
      </w:r>
      <w:r>
        <w:rPr>
          <w:spacing w:val="-11"/>
          <w:w w:val="105"/>
          <w:sz w:val="21"/>
        </w:rPr>
        <w:t> </w:t>
      </w:r>
      <w:r>
        <w:rPr>
          <w:w w:val="105"/>
          <w:sz w:val="21"/>
        </w:rPr>
        <w:t>partially</w:t>
      </w:r>
      <w:r>
        <w:rPr>
          <w:spacing w:val="-10"/>
          <w:w w:val="105"/>
          <w:sz w:val="21"/>
        </w:rPr>
        <w:t> </w:t>
      </w:r>
      <w:r>
        <w:rPr>
          <w:w w:val="105"/>
          <w:sz w:val="21"/>
        </w:rPr>
        <w:t>on</w:t>
      </w:r>
      <w:r>
        <w:rPr>
          <w:spacing w:val="-10"/>
          <w:w w:val="105"/>
          <w:sz w:val="21"/>
        </w:rPr>
        <w:t> </w:t>
      </w:r>
      <w:r>
        <w:rPr>
          <w:w w:val="105"/>
          <w:sz w:val="21"/>
        </w:rPr>
        <w:t>one </w:t>
      </w:r>
      <w:r>
        <w:rPr>
          <w:spacing w:val="-3"/>
          <w:w w:val="105"/>
          <w:sz w:val="21"/>
        </w:rPr>
        <w:t>parcel </w:t>
      </w:r>
      <w:r>
        <w:rPr>
          <w:w w:val="105"/>
          <w:sz w:val="21"/>
        </w:rPr>
        <w:t>of land) should be dealt with under a statutory</w:t>
      </w:r>
      <w:r>
        <w:rPr>
          <w:spacing w:val="27"/>
          <w:w w:val="105"/>
          <w:sz w:val="21"/>
        </w:rPr>
        <w:t> </w:t>
      </w:r>
      <w:r>
        <w:rPr>
          <w:spacing w:val="-3"/>
          <w:w w:val="105"/>
          <w:sz w:val="21"/>
        </w:rPr>
        <w:t>scheme.</w:t>
      </w:r>
    </w:p>
    <w:p>
      <w:pPr>
        <w:pStyle w:val="ListParagraph"/>
        <w:numPr>
          <w:ilvl w:val="0"/>
          <w:numId w:val="56"/>
        </w:numPr>
        <w:tabs>
          <w:tab w:pos="2382" w:val="left" w:leader="none"/>
        </w:tabs>
        <w:spacing w:line="242" w:lineRule="auto" w:before="122" w:after="0"/>
        <w:ind w:left="2381" w:right="1984" w:hanging="794"/>
        <w:jc w:val="both"/>
        <w:rPr>
          <w:sz w:val="12"/>
        </w:rPr>
      </w:pPr>
      <w:r>
        <w:rPr>
          <w:sz w:val="21"/>
        </w:rPr>
        <w:t>Ownership of a tree on </w:t>
      </w:r>
      <w:r>
        <w:rPr>
          <w:spacing w:val="-3"/>
          <w:sz w:val="21"/>
        </w:rPr>
        <w:t>private land </w:t>
      </w:r>
      <w:r>
        <w:rPr>
          <w:sz w:val="21"/>
        </w:rPr>
        <w:t>is </w:t>
      </w:r>
      <w:r>
        <w:rPr>
          <w:spacing w:val="-3"/>
          <w:sz w:val="21"/>
        </w:rPr>
        <w:t>usually determined  </w:t>
      </w:r>
      <w:r>
        <w:rPr>
          <w:sz w:val="21"/>
        </w:rPr>
        <w:t>by </w:t>
      </w:r>
      <w:r>
        <w:rPr>
          <w:spacing w:val="-3"/>
          <w:sz w:val="21"/>
        </w:rPr>
        <w:t>reference</w:t>
      </w:r>
      <w:r>
        <w:rPr>
          <w:spacing w:val="41"/>
          <w:sz w:val="21"/>
        </w:rPr>
        <w:t> </w:t>
      </w:r>
      <w:r>
        <w:rPr>
          <w:spacing w:val="-3"/>
          <w:sz w:val="21"/>
        </w:rPr>
        <w:t>to  </w:t>
      </w:r>
      <w:r>
        <w:rPr>
          <w:sz w:val="21"/>
        </w:rPr>
        <w:t>the location of its </w:t>
      </w:r>
      <w:r>
        <w:rPr>
          <w:spacing w:val="-4"/>
          <w:sz w:val="21"/>
        </w:rPr>
        <w:t>trunk.</w:t>
      </w:r>
      <w:r>
        <w:rPr>
          <w:spacing w:val="-4"/>
          <w:position w:val="7"/>
          <w:sz w:val="12"/>
        </w:rPr>
        <w:t>190 </w:t>
      </w:r>
      <w:r>
        <w:rPr>
          <w:sz w:val="21"/>
        </w:rPr>
        <w:t>A tree is </w:t>
      </w:r>
      <w:r>
        <w:rPr>
          <w:spacing w:val="-3"/>
          <w:sz w:val="21"/>
        </w:rPr>
        <w:t>considered </w:t>
      </w:r>
      <w:r>
        <w:rPr>
          <w:sz w:val="21"/>
        </w:rPr>
        <w:t>a ‘fixture’ on the land—a tangible </w:t>
      </w:r>
      <w:r>
        <w:rPr>
          <w:spacing w:val="-3"/>
          <w:sz w:val="21"/>
        </w:rPr>
        <w:t>item </w:t>
      </w:r>
      <w:r>
        <w:rPr>
          <w:sz w:val="21"/>
        </w:rPr>
        <w:t>of personal property</w:t>
      </w:r>
      <w:r>
        <w:rPr>
          <w:spacing w:val="10"/>
          <w:sz w:val="21"/>
        </w:rPr>
        <w:t> </w:t>
      </w:r>
      <w:r>
        <w:rPr>
          <w:spacing w:val="-3"/>
          <w:sz w:val="21"/>
        </w:rPr>
        <w:t>that</w:t>
      </w:r>
      <w:r>
        <w:rPr>
          <w:spacing w:val="10"/>
          <w:sz w:val="21"/>
        </w:rPr>
        <w:t> </w:t>
      </w:r>
      <w:r>
        <w:rPr>
          <w:sz w:val="21"/>
        </w:rPr>
        <w:t>is</w:t>
      </w:r>
      <w:r>
        <w:rPr>
          <w:spacing w:val="10"/>
          <w:sz w:val="21"/>
        </w:rPr>
        <w:t> </w:t>
      </w:r>
      <w:r>
        <w:rPr>
          <w:sz w:val="21"/>
        </w:rPr>
        <w:t>attached</w:t>
      </w:r>
      <w:r>
        <w:rPr>
          <w:spacing w:val="11"/>
          <w:sz w:val="21"/>
        </w:rPr>
        <w:t> </w:t>
      </w:r>
      <w:r>
        <w:rPr>
          <w:spacing w:val="-3"/>
          <w:sz w:val="21"/>
        </w:rPr>
        <w:t>to</w:t>
      </w:r>
      <w:r>
        <w:rPr>
          <w:spacing w:val="10"/>
          <w:sz w:val="21"/>
        </w:rPr>
        <w:t> </w:t>
      </w:r>
      <w:r>
        <w:rPr>
          <w:sz w:val="21"/>
        </w:rPr>
        <w:t>and</w:t>
      </w:r>
      <w:r>
        <w:rPr>
          <w:spacing w:val="10"/>
          <w:sz w:val="21"/>
        </w:rPr>
        <w:t> </w:t>
      </w:r>
      <w:r>
        <w:rPr>
          <w:spacing w:val="-3"/>
          <w:sz w:val="21"/>
        </w:rPr>
        <w:t>forms</w:t>
      </w:r>
      <w:r>
        <w:rPr>
          <w:spacing w:val="11"/>
          <w:sz w:val="21"/>
        </w:rPr>
        <w:t> </w:t>
      </w:r>
      <w:r>
        <w:rPr>
          <w:sz w:val="21"/>
        </w:rPr>
        <w:t>part</w:t>
      </w:r>
      <w:r>
        <w:rPr>
          <w:spacing w:val="10"/>
          <w:sz w:val="21"/>
        </w:rPr>
        <w:t> </w:t>
      </w:r>
      <w:r>
        <w:rPr>
          <w:sz w:val="21"/>
        </w:rPr>
        <w:t>of</w:t>
      </w:r>
      <w:r>
        <w:rPr>
          <w:spacing w:val="10"/>
          <w:sz w:val="21"/>
        </w:rPr>
        <w:t> </w:t>
      </w:r>
      <w:r>
        <w:rPr>
          <w:sz w:val="21"/>
        </w:rPr>
        <w:t>the</w:t>
      </w:r>
      <w:r>
        <w:rPr>
          <w:spacing w:val="11"/>
          <w:sz w:val="21"/>
        </w:rPr>
        <w:t> </w:t>
      </w:r>
      <w:r>
        <w:rPr>
          <w:spacing w:val="-5"/>
          <w:sz w:val="21"/>
        </w:rPr>
        <w:t>land.</w:t>
      </w:r>
      <w:r>
        <w:rPr>
          <w:spacing w:val="-5"/>
          <w:position w:val="7"/>
          <w:sz w:val="12"/>
        </w:rPr>
        <w:t>191</w:t>
      </w:r>
    </w:p>
    <w:p>
      <w:pPr>
        <w:pStyle w:val="ListParagraph"/>
        <w:numPr>
          <w:ilvl w:val="0"/>
          <w:numId w:val="56"/>
        </w:numPr>
        <w:tabs>
          <w:tab w:pos="2381" w:val="left" w:leader="none"/>
          <w:tab w:pos="2382" w:val="left" w:leader="none"/>
        </w:tabs>
        <w:spacing w:line="242" w:lineRule="auto" w:before="123" w:after="0"/>
        <w:ind w:left="2381" w:right="1768" w:hanging="794"/>
        <w:jc w:val="left"/>
        <w:rPr>
          <w:sz w:val="12"/>
        </w:rPr>
      </w:pPr>
      <w:r>
        <w:rPr>
          <w:spacing w:val="-3"/>
          <w:w w:val="105"/>
          <w:sz w:val="21"/>
        </w:rPr>
        <w:t>Vegetation that forms </w:t>
      </w:r>
      <w:r>
        <w:rPr>
          <w:w w:val="105"/>
          <w:sz w:val="21"/>
        </w:rPr>
        <w:t>a </w:t>
      </w:r>
      <w:r>
        <w:rPr>
          <w:spacing w:val="-2"/>
          <w:w w:val="105"/>
          <w:sz w:val="21"/>
        </w:rPr>
        <w:t>‘hedge </w:t>
      </w:r>
      <w:r>
        <w:rPr>
          <w:w w:val="105"/>
          <w:sz w:val="21"/>
        </w:rPr>
        <w:t>or </w:t>
      </w:r>
      <w:r>
        <w:rPr>
          <w:spacing w:val="-3"/>
          <w:w w:val="105"/>
          <w:sz w:val="21"/>
        </w:rPr>
        <w:t>similar </w:t>
      </w:r>
      <w:r>
        <w:rPr>
          <w:w w:val="105"/>
          <w:sz w:val="21"/>
        </w:rPr>
        <w:t>vegetative barrier’ in the </w:t>
      </w:r>
      <w:r>
        <w:rPr>
          <w:spacing w:val="-3"/>
          <w:w w:val="105"/>
          <w:sz w:val="21"/>
        </w:rPr>
        <w:t>form </w:t>
      </w:r>
      <w:r>
        <w:rPr>
          <w:w w:val="105"/>
          <w:sz w:val="21"/>
        </w:rPr>
        <w:t>of a </w:t>
      </w:r>
      <w:r>
        <w:rPr>
          <w:spacing w:val="-3"/>
          <w:w w:val="105"/>
          <w:sz w:val="21"/>
        </w:rPr>
        <w:t>dividing fence </w:t>
      </w:r>
      <w:r>
        <w:rPr>
          <w:w w:val="105"/>
          <w:sz w:val="21"/>
        </w:rPr>
        <w:t>is </w:t>
      </w:r>
      <w:r>
        <w:rPr>
          <w:spacing w:val="-3"/>
          <w:w w:val="105"/>
          <w:sz w:val="21"/>
        </w:rPr>
        <w:t>covered </w:t>
      </w:r>
      <w:r>
        <w:rPr>
          <w:w w:val="105"/>
          <w:sz w:val="21"/>
        </w:rPr>
        <w:t>by the </w:t>
      </w:r>
      <w:r>
        <w:rPr>
          <w:i/>
          <w:w w:val="105"/>
          <w:sz w:val="21"/>
        </w:rPr>
        <w:t>Fences Act </w:t>
      </w:r>
      <w:r>
        <w:rPr>
          <w:i/>
          <w:spacing w:val="-4"/>
          <w:w w:val="105"/>
          <w:sz w:val="21"/>
        </w:rPr>
        <w:t>1968 </w:t>
      </w:r>
      <w:r>
        <w:rPr>
          <w:spacing w:val="-3"/>
          <w:w w:val="105"/>
          <w:sz w:val="21"/>
        </w:rPr>
        <w:t>(Vic).</w:t>
      </w:r>
      <w:r>
        <w:rPr>
          <w:spacing w:val="-3"/>
          <w:w w:val="105"/>
          <w:position w:val="7"/>
          <w:sz w:val="12"/>
        </w:rPr>
        <w:t>192 </w:t>
      </w:r>
      <w:r>
        <w:rPr>
          <w:w w:val="105"/>
          <w:sz w:val="21"/>
        </w:rPr>
        <w:t>Under the Fences Act, neighbours must </w:t>
      </w:r>
      <w:r>
        <w:rPr>
          <w:spacing w:val="-3"/>
          <w:w w:val="105"/>
          <w:sz w:val="21"/>
        </w:rPr>
        <w:t>contribute to </w:t>
      </w:r>
      <w:r>
        <w:rPr>
          <w:w w:val="105"/>
          <w:sz w:val="21"/>
        </w:rPr>
        <w:t>the erection or </w:t>
      </w:r>
      <w:r>
        <w:rPr>
          <w:spacing w:val="-3"/>
          <w:w w:val="105"/>
          <w:sz w:val="21"/>
        </w:rPr>
        <w:t>repair </w:t>
      </w:r>
      <w:r>
        <w:rPr>
          <w:w w:val="105"/>
          <w:sz w:val="21"/>
        </w:rPr>
        <w:t>of a </w:t>
      </w:r>
      <w:r>
        <w:rPr>
          <w:spacing w:val="-3"/>
          <w:w w:val="105"/>
          <w:sz w:val="21"/>
        </w:rPr>
        <w:t>fence </w:t>
      </w:r>
      <w:r>
        <w:rPr>
          <w:w w:val="105"/>
          <w:sz w:val="21"/>
        </w:rPr>
        <w:t>in equal</w:t>
      </w:r>
      <w:r>
        <w:rPr>
          <w:spacing w:val="41"/>
          <w:w w:val="105"/>
          <w:sz w:val="21"/>
        </w:rPr>
        <w:t> </w:t>
      </w:r>
      <w:r>
        <w:rPr>
          <w:spacing w:val="-3"/>
          <w:w w:val="105"/>
          <w:sz w:val="21"/>
        </w:rPr>
        <w:t>proportions.</w:t>
      </w:r>
      <w:r>
        <w:rPr>
          <w:spacing w:val="-3"/>
          <w:w w:val="105"/>
          <w:position w:val="7"/>
          <w:sz w:val="12"/>
        </w:rPr>
        <w:t>193</w:t>
      </w:r>
    </w:p>
    <w:p>
      <w:pPr>
        <w:pStyle w:val="ListParagraph"/>
        <w:numPr>
          <w:ilvl w:val="0"/>
          <w:numId w:val="56"/>
        </w:numPr>
        <w:tabs>
          <w:tab w:pos="2381" w:val="left" w:leader="none"/>
          <w:tab w:pos="2382" w:val="left" w:leader="none"/>
        </w:tabs>
        <w:spacing w:line="242" w:lineRule="auto" w:before="123" w:after="0"/>
        <w:ind w:left="2381" w:right="1786" w:hanging="794"/>
        <w:jc w:val="left"/>
        <w:rPr>
          <w:sz w:val="12"/>
        </w:rPr>
      </w:pPr>
      <w:r>
        <w:rPr>
          <w:w w:val="105"/>
          <w:sz w:val="21"/>
        </w:rPr>
        <w:t>The </w:t>
      </w:r>
      <w:r>
        <w:rPr>
          <w:spacing w:val="-3"/>
          <w:w w:val="105"/>
          <w:sz w:val="21"/>
        </w:rPr>
        <w:t>Commission </w:t>
      </w:r>
      <w:r>
        <w:rPr>
          <w:w w:val="105"/>
          <w:sz w:val="21"/>
        </w:rPr>
        <w:t>is </w:t>
      </w:r>
      <w:r>
        <w:rPr>
          <w:spacing w:val="-3"/>
          <w:w w:val="105"/>
          <w:sz w:val="21"/>
        </w:rPr>
        <w:t>unaware </w:t>
      </w:r>
      <w:r>
        <w:rPr>
          <w:w w:val="105"/>
          <w:sz w:val="21"/>
        </w:rPr>
        <w:t>of </w:t>
      </w:r>
      <w:r>
        <w:rPr>
          <w:spacing w:val="-3"/>
          <w:w w:val="105"/>
          <w:sz w:val="21"/>
        </w:rPr>
        <w:t>any </w:t>
      </w:r>
      <w:r>
        <w:rPr>
          <w:w w:val="105"/>
          <w:sz w:val="21"/>
        </w:rPr>
        <w:t>cases </w:t>
      </w:r>
      <w:r>
        <w:rPr>
          <w:spacing w:val="-3"/>
          <w:w w:val="105"/>
          <w:sz w:val="21"/>
        </w:rPr>
        <w:t>determined </w:t>
      </w:r>
      <w:r>
        <w:rPr>
          <w:w w:val="105"/>
          <w:sz w:val="21"/>
        </w:rPr>
        <w:t>under the </w:t>
      </w:r>
      <w:r>
        <w:rPr>
          <w:spacing w:val="-2"/>
          <w:w w:val="105"/>
          <w:sz w:val="21"/>
        </w:rPr>
        <w:t>common </w:t>
      </w:r>
      <w:r>
        <w:rPr>
          <w:w w:val="105"/>
          <w:sz w:val="21"/>
        </w:rPr>
        <w:t>law or </w:t>
      </w:r>
      <w:r>
        <w:rPr>
          <w:spacing w:val="-3"/>
          <w:w w:val="105"/>
          <w:sz w:val="21"/>
        </w:rPr>
        <w:t>any </w:t>
      </w:r>
      <w:r>
        <w:rPr>
          <w:w w:val="105"/>
          <w:sz w:val="21"/>
        </w:rPr>
        <w:t>Victorian</w:t>
      </w:r>
      <w:r>
        <w:rPr>
          <w:spacing w:val="-5"/>
          <w:w w:val="105"/>
          <w:sz w:val="21"/>
        </w:rPr>
        <w:t> </w:t>
      </w:r>
      <w:r>
        <w:rPr>
          <w:spacing w:val="-3"/>
          <w:w w:val="105"/>
          <w:sz w:val="21"/>
        </w:rPr>
        <w:t>legislation</w:t>
      </w:r>
      <w:r>
        <w:rPr>
          <w:spacing w:val="-4"/>
          <w:w w:val="105"/>
          <w:sz w:val="21"/>
        </w:rPr>
        <w:t> </w:t>
      </w:r>
      <w:r>
        <w:rPr>
          <w:spacing w:val="-3"/>
          <w:w w:val="105"/>
          <w:sz w:val="21"/>
        </w:rPr>
        <w:t>that</w:t>
      </w:r>
      <w:r>
        <w:rPr>
          <w:spacing w:val="-4"/>
          <w:w w:val="105"/>
          <w:sz w:val="21"/>
        </w:rPr>
        <w:t> </w:t>
      </w:r>
      <w:r>
        <w:rPr>
          <w:w w:val="105"/>
          <w:sz w:val="21"/>
        </w:rPr>
        <w:t>set</w:t>
      </w:r>
      <w:r>
        <w:rPr>
          <w:spacing w:val="-5"/>
          <w:w w:val="105"/>
          <w:sz w:val="21"/>
        </w:rPr>
        <w:t> </w:t>
      </w:r>
      <w:r>
        <w:rPr>
          <w:w w:val="105"/>
          <w:sz w:val="21"/>
        </w:rPr>
        <w:t>out</w:t>
      </w:r>
      <w:r>
        <w:rPr>
          <w:spacing w:val="-4"/>
          <w:w w:val="105"/>
          <w:sz w:val="21"/>
        </w:rPr>
        <w:t> </w:t>
      </w:r>
      <w:r>
        <w:rPr>
          <w:w w:val="105"/>
          <w:sz w:val="21"/>
        </w:rPr>
        <w:t>how</w:t>
      </w:r>
      <w:r>
        <w:rPr>
          <w:spacing w:val="-4"/>
          <w:w w:val="105"/>
          <w:sz w:val="21"/>
        </w:rPr>
        <w:t> </w:t>
      </w:r>
      <w:r>
        <w:rPr>
          <w:spacing w:val="-3"/>
          <w:w w:val="105"/>
          <w:sz w:val="21"/>
        </w:rPr>
        <w:t>liability</w:t>
      </w:r>
      <w:r>
        <w:rPr>
          <w:spacing w:val="-4"/>
          <w:w w:val="105"/>
          <w:sz w:val="21"/>
        </w:rPr>
        <w:t> </w:t>
      </w:r>
      <w:r>
        <w:rPr>
          <w:w w:val="105"/>
          <w:sz w:val="21"/>
        </w:rPr>
        <w:t>is</w:t>
      </w:r>
      <w:r>
        <w:rPr>
          <w:spacing w:val="-5"/>
          <w:w w:val="105"/>
          <w:sz w:val="21"/>
        </w:rPr>
        <w:t> </w:t>
      </w:r>
      <w:r>
        <w:rPr>
          <w:spacing w:val="-3"/>
          <w:w w:val="105"/>
          <w:sz w:val="21"/>
        </w:rPr>
        <w:t>to</w:t>
      </w:r>
      <w:r>
        <w:rPr>
          <w:spacing w:val="-4"/>
          <w:w w:val="105"/>
          <w:sz w:val="21"/>
        </w:rPr>
        <w:t> </w:t>
      </w:r>
      <w:r>
        <w:rPr>
          <w:w w:val="105"/>
          <w:sz w:val="21"/>
        </w:rPr>
        <w:t>be</w:t>
      </w:r>
      <w:r>
        <w:rPr>
          <w:spacing w:val="-4"/>
          <w:w w:val="105"/>
          <w:sz w:val="21"/>
        </w:rPr>
        <w:t> </w:t>
      </w:r>
      <w:r>
        <w:rPr>
          <w:spacing w:val="-3"/>
          <w:w w:val="105"/>
          <w:sz w:val="21"/>
        </w:rPr>
        <w:t>determined</w:t>
      </w:r>
      <w:r>
        <w:rPr>
          <w:spacing w:val="-5"/>
          <w:w w:val="105"/>
          <w:sz w:val="21"/>
        </w:rPr>
        <w:t> </w:t>
      </w:r>
      <w:r>
        <w:rPr>
          <w:w w:val="105"/>
          <w:sz w:val="21"/>
        </w:rPr>
        <w:t>when</w:t>
      </w:r>
      <w:r>
        <w:rPr>
          <w:spacing w:val="-4"/>
          <w:w w:val="105"/>
          <w:sz w:val="21"/>
        </w:rPr>
        <w:t> </w:t>
      </w:r>
      <w:r>
        <w:rPr>
          <w:w w:val="105"/>
          <w:sz w:val="21"/>
        </w:rPr>
        <w:t>a</w:t>
      </w:r>
      <w:r>
        <w:rPr>
          <w:spacing w:val="-4"/>
          <w:w w:val="105"/>
          <w:sz w:val="21"/>
        </w:rPr>
        <w:t> </w:t>
      </w:r>
      <w:r>
        <w:rPr>
          <w:w w:val="105"/>
          <w:sz w:val="21"/>
        </w:rPr>
        <w:t>tree</w:t>
      </w:r>
      <w:r>
        <w:rPr>
          <w:spacing w:val="-4"/>
          <w:w w:val="105"/>
          <w:sz w:val="21"/>
        </w:rPr>
        <w:t> </w:t>
      </w:r>
      <w:r>
        <w:rPr>
          <w:spacing w:val="-3"/>
          <w:w w:val="105"/>
          <w:sz w:val="21"/>
        </w:rPr>
        <w:t>that</w:t>
      </w:r>
      <w:r>
        <w:rPr>
          <w:spacing w:val="-5"/>
          <w:w w:val="105"/>
          <w:sz w:val="21"/>
        </w:rPr>
        <w:t> </w:t>
      </w:r>
      <w:r>
        <w:rPr>
          <w:w w:val="105"/>
          <w:sz w:val="21"/>
        </w:rPr>
        <w:t>is</w:t>
      </w:r>
      <w:r>
        <w:rPr>
          <w:spacing w:val="-4"/>
          <w:w w:val="105"/>
          <w:sz w:val="21"/>
        </w:rPr>
        <w:t> </w:t>
      </w:r>
      <w:r>
        <w:rPr>
          <w:spacing w:val="-2"/>
          <w:w w:val="105"/>
          <w:sz w:val="21"/>
        </w:rPr>
        <w:t>not </w:t>
      </w:r>
      <w:r>
        <w:rPr>
          <w:w w:val="105"/>
          <w:sz w:val="21"/>
        </w:rPr>
        <w:t>part of a </w:t>
      </w:r>
      <w:r>
        <w:rPr>
          <w:spacing w:val="-3"/>
          <w:w w:val="105"/>
          <w:sz w:val="21"/>
        </w:rPr>
        <w:t>fence </w:t>
      </w:r>
      <w:r>
        <w:rPr>
          <w:w w:val="105"/>
          <w:sz w:val="21"/>
        </w:rPr>
        <w:t>straddles the boundary of two or more</w:t>
      </w:r>
      <w:r>
        <w:rPr>
          <w:spacing w:val="32"/>
          <w:w w:val="105"/>
          <w:sz w:val="21"/>
        </w:rPr>
        <w:t> </w:t>
      </w:r>
      <w:r>
        <w:rPr>
          <w:spacing w:val="-3"/>
          <w:w w:val="105"/>
          <w:sz w:val="21"/>
        </w:rPr>
        <w:t>properties.</w:t>
      </w:r>
      <w:r>
        <w:rPr>
          <w:spacing w:val="-3"/>
          <w:w w:val="105"/>
          <w:position w:val="7"/>
          <w:sz w:val="12"/>
        </w:rPr>
        <w:t>194</w:t>
      </w:r>
    </w:p>
    <w:p>
      <w:pPr>
        <w:pStyle w:val="Heading7"/>
      </w:pPr>
      <w:r>
        <w:rPr>
          <w:w w:val="115"/>
        </w:rPr>
        <w:t>Other jurisdictions—trees on boundaries</w:t>
      </w:r>
    </w:p>
    <w:p>
      <w:pPr>
        <w:pStyle w:val="ListParagraph"/>
        <w:numPr>
          <w:ilvl w:val="0"/>
          <w:numId w:val="56"/>
        </w:numPr>
        <w:tabs>
          <w:tab w:pos="2381" w:val="left" w:leader="none"/>
          <w:tab w:pos="2382" w:val="left" w:leader="none"/>
        </w:tabs>
        <w:spacing w:line="242" w:lineRule="auto" w:before="143" w:after="0"/>
        <w:ind w:left="2381" w:right="1606" w:hanging="794"/>
        <w:jc w:val="left"/>
        <w:rPr>
          <w:sz w:val="12"/>
        </w:rPr>
      </w:pPr>
      <w:r>
        <w:rPr>
          <w:w w:val="105"/>
          <w:sz w:val="21"/>
        </w:rPr>
        <w:t>Under the NSW Act an affected </w:t>
      </w:r>
      <w:r>
        <w:rPr>
          <w:spacing w:val="-3"/>
          <w:w w:val="105"/>
          <w:sz w:val="21"/>
        </w:rPr>
        <w:t>neighbour </w:t>
      </w:r>
      <w:r>
        <w:rPr>
          <w:w w:val="105"/>
          <w:sz w:val="21"/>
        </w:rPr>
        <w:t>must establish </w:t>
      </w:r>
      <w:r>
        <w:rPr>
          <w:spacing w:val="-3"/>
          <w:w w:val="105"/>
          <w:sz w:val="21"/>
        </w:rPr>
        <w:t>that </w:t>
      </w:r>
      <w:r>
        <w:rPr>
          <w:w w:val="105"/>
          <w:sz w:val="21"/>
        </w:rPr>
        <w:t>the tree affecting them is ‘wholly or </w:t>
      </w:r>
      <w:r>
        <w:rPr>
          <w:spacing w:val="-3"/>
          <w:w w:val="105"/>
          <w:sz w:val="21"/>
        </w:rPr>
        <w:t>principally’ situated </w:t>
      </w:r>
      <w:r>
        <w:rPr>
          <w:w w:val="105"/>
          <w:sz w:val="21"/>
        </w:rPr>
        <w:t>on their </w:t>
      </w:r>
      <w:r>
        <w:rPr>
          <w:spacing w:val="-3"/>
          <w:w w:val="105"/>
          <w:sz w:val="21"/>
        </w:rPr>
        <w:t>neighbour’s </w:t>
      </w:r>
      <w:r>
        <w:rPr>
          <w:spacing w:val="-5"/>
          <w:w w:val="105"/>
          <w:sz w:val="21"/>
        </w:rPr>
        <w:t>land.</w:t>
      </w:r>
      <w:r>
        <w:rPr>
          <w:spacing w:val="-5"/>
          <w:w w:val="105"/>
          <w:position w:val="7"/>
          <w:sz w:val="12"/>
        </w:rPr>
        <w:t>195 </w:t>
      </w:r>
      <w:r>
        <w:rPr>
          <w:w w:val="105"/>
          <w:sz w:val="21"/>
        </w:rPr>
        <w:t>The location of the base of the trunk</w:t>
      </w:r>
      <w:r>
        <w:rPr>
          <w:spacing w:val="-8"/>
          <w:w w:val="105"/>
          <w:sz w:val="21"/>
        </w:rPr>
        <w:t> </w:t>
      </w:r>
      <w:r>
        <w:rPr>
          <w:w w:val="105"/>
          <w:sz w:val="21"/>
        </w:rPr>
        <w:t>at</w:t>
      </w:r>
      <w:r>
        <w:rPr>
          <w:spacing w:val="-7"/>
          <w:w w:val="105"/>
          <w:sz w:val="21"/>
        </w:rPr>
        <w:t> </w:t>
      </w:r>
      <w:r>
        <w:rPr>
          <w:spacing w:val="-3"/>
          <w:w w:val="105"/>
          <w:sz w:val="21"/>
        </w:rPr>
        <w:t>ground</w:t>
      </w:r>
      <w:r>
        <w:rPr>
          <w:spacing w:val="-8"/>
          <w:w w:val="105"/>
          <w:sz w:val="21"/>
        </w:rPr>
        <w:t> </w:t>
      </w:r>
      <w:r>
        <w:rPr>
          <w:w w:val="105"/>
          <w:sz w:val="21"/>
        </w:rPr>
        <w:t>level</w:t>
      </w:r>
      <w:r>
        <w:rPr>
          <w:spacing w:val="-7"/>
          <w:w w:val="105"/>
          <w:sz w:val="21"/>
        </w:rPr>
        <w:t> </w:t>
      </w:r>
      <w:r>
        <w:rPr>
          <w:w w:val="105"/>
          <w:sz w:val="21"/>
        </w:rPr>
        <w:t>is</w:t>
      </w:r>
      <w:r>
        <w:rPr>
          <w:spacing w:val="-8"/>
          <w:w w:val="105"/>
          <w:sz w:val="21"/>
        </w:rPr>
        <w:t> </w:t>
      </w:r>
      <w:r>
        <w:rPr>
          <w:w w:val="105"/>
          <w:sz w:val="21"/>
        </w:rPr>
        <w:t>used</w:t>
      </w:r>
      <w:r>
        <w:rPr>
          <w:spacing w:val="-7"/>
          <w:w w:val="105"/>
          <w:sz w:val="21"/>
        </w:rPr>
        <w:t> </w:t>
      </w:r>
      <w:r>
        <w:rPr>
          <w:spacing w:val="-3"/>
          <w:w w:val="105"/>
          <w:sz w:val="21"/>
        </w:rPr>
        <w:t>to</w:t>
      </w:r>
      <w:r>
        <w:rPr>
          <w:spacing w:val="-8"/>
          <w:w w:val="105"/>
          <w:sz w:val="21"/>
        </w:rPr>
        <w:t> </w:t>
      </w:r>
      <w:r>
        <w:rPr>
          <w:spacing w:val="-3"/>
          <w:w w:val="105"/>
          <w:sz w:val="21"/>
        </w:rPr>
        <w:t>determine</w:t>
      </w:r>
      <w:r>
        <w:rPr>
          <w:spacing w:val="-7"/>
          <w:w w:val="105"/>
          <w:sz w:val="21"/>
        </w:rPr>
        <w:t> </w:t>
      </w:r>
      <w:r>
        <w:rPr>
          <w:w w:val="105"/>
          <w:sz w:val="21"/>
        </w:rPr>
        <w:t>where</w:t>
      </w:r>
      <w:r>
        <w:rPr>
          <w:spacing w:val="-8"/>
          <w:w w:val="105"/>
          <w:sz w:val="21"/>
        </w:rPr>
        <w:t> </w:t>
      </w:r>
      <w:r>
        <w:rPr>
          <w:w w:val="105"/>
          <w:sz w:val="21"/>
        </w:rPr>
        <w:t>the</w:t>
      </w:r>
      <w:r>
        <w:rPr>
          <w:spacing w:val="-8"/>
          <w:w w:val="105"/>
          <w:sz w:val="21"/>
        </w:rPr>
        <w:t> </w:t>
      </w:r>
      <w:r>
        <w:rPr>
          <w:w w:val="105"/>
          <w:sz w:val="21"/>
        </w:rPr>
        <w:t>tree</w:t>
      </w:r>
      <w:r>
        <w:rPr>
          <w:spacing w:val="-7"/>
          <w:w w:val="105"/>
          <w:sz w:val="21"/>
        </w:rPr>
        <w:t> </w:t>
      </w:r>
      <w:r>
        <w:rPr>
          <w:w w:val="105"/>
          <w:sz w:val="21"/>
        </w:rPr>
        <w:t>is</w:t>
      </w:r>
      <w:r>
        <w:rPr>
          <w:spacing w:val="-8"/>
          <w:w w:val="105"/>
          <w:sz w:val="21"/>
        </w:rPr>
        <w:t> </w:t>
      </w:r>
      <w:r>
        <w:rPr>
          <w:spacing w:val="-3"/>
          <w:w w:val="105"/>
          <w:sz w:val="21"/>
        </w:rPr>
        <w:t>situated.</w:t>
      </w:r>
      <w:r>
        <w:rPr>
          <w:spacing w:val="-7"/>
          <w:w w:val="105"/>
          <w:sz w:val="21"/>
        </w:rPr>
        <w:t> </w:t>
      </w:r>
      <w:r>
        <w:rPr>
          <w:w w:val="105"/>
          <w:sz w:val="21"/>
        </w:rPr>
        <w:t>The</w:t>
      </w:r>
      <w:r>
        <w:rPr>
          <w:spacing w:val="-8"/>
          <w:w w:val="105"/>
          <w:sz w:val="21"/>
        </w:rPr>
        <w:t> </w:t>
      </w:r>
      <w:r>
        <w:rPr>
          <w:w w:val="105"/>
          <w:sz w:val="21"/>
        </w:rPr>
        <w:t>canopy</w:t>
      </w:r>
      <w:r>
        <w:rPr>
          <w:spacing w:val="-7"/>
          <w:w w:val="105"/>
          <w:sz w:val="21"/>
        </w:rPr>
        <w:t> </w:t>
      </w:r>
      <w:r>
        <w:rPr>
          <w:w w:val="105"/>
          <w:sz w:val="21"/>
        </w:rPr>
        <w:t>and</w:t>
      </w:r>
      <w:r>
        <w:rPr>
          <w:spacing w:val="-8"/>
          <w:w w:val="105"/>
          <w:sz w:val="21"/>
        </w:rPr>
        <w:t> </w:t>
      </w:r>
      <w:r>
        <w:rPr>
          <w:w w:val="105"/>
          <w:sz w:val="21"/>
        </w:rPr>
        <w:t>root system </w:t>
      </w:r>
      <w:r>
        <w:rPr>
          <w:spacing w:val="-3"/>
          <w:w w:val="105"/>
          <w:sz w:val="21"/>
        </w:rPr>
        <w:t>are </w:t>
      </w:r>
      <w:r>
        <w:rPr>
          <w:spacing w:val="-2"/>
          <w:w w:val="105"/>
          <w:sz w:val="21"/>
        </w:rPr>
        <w:t>not </w:t>
      </w:r>
      <w:r>
        <w:rPr>
          <w:w w:val="105"/>
          <w:sz w:val="21"/>
        </w:rPr>
        <w:t>a </w:t>
      </w:r>
      <w:r>
        <w:rPr>
          <w:spacing w:val="-3"/>
          <w:w w:val="105"/>
          <w:sz w:val="21"/>
        </w:rPr>
        <w:t>relevant consideration. </w:t>
      </w:r>
      <w:r>
        <w:rPr>
          <w:w w:val="105"/>
          <w:sz w:val="21"/>
        </w:rPr>
        <w:t>Where a tree straddles a </w:t>
      </w:r>
      <w:r>
        <w:rPr>
          <w:spacing w:val="-3"/>
          <w:w w:val="105"/>
          <w:sz w:val="21"/>
        </w:rPr>
        <w:t>boundary, </w:t>
      </w:r>
      <w:r>
        <w:rPr>
          <w:w w:val="105"/>
          <w:sz w:val="21"/>
        </w:rPr>
        <w:t>the tree </w:t>
      </w:r>
      <w:r>
        <w:rPr>
          <w:spacing w:val="-3"/>
          <w:w w:val="105"/>
          <w:sz w:val="21"/>
        </w:rPr>
        <w:t>will </w:t>
      </w:r>
      <w:r>
        <w:rPr>
          <w:w w:val="105"/>
          <w:sz w:val="21"/>
        </w:rPr>
        <w:t>be </w:t>
      </w:r>
      <w:r>
        <w:rPr>
          <w:spacing w:val="-3"/>
          <w:w w:val="105"/>
          <w:sz w:val="21"/>
        </w:rPr>
        <w:t>considered to </w:t>
      </w:r>
      <w:r>
        <w:rPr>
          <w:w w:val="105"/>
          <w:sz w:val="21"/>
        </w:rPr>
        <w:t>be </w:t>
      </w:r>
      <w:r>
        <w:rPr>
          <w:spacing w:val="-3"/>
          <w:w w:val="105"/>
          <w:sz w:val="21"/>
        </w:rPr>
        <w:t>‘principally’ </w:t>
      </w:r>
      <w:r>
        <w:rPr>
          <w:w w:val="105"/>
          <w:sz w:val="21"/>
        </w:rPr>
        <w:t>on a </w:t>
      </w:r>
      <w:r>
        <w:rPr>
          <w:spacing w:val="-3"/>
          <w:w w:val="105"/>
          <w:sz w:val="21"/>
        </w:rPr>
        <w:t>person’s land </w:t>
      </w:r>
      <w:r>
        <w:rPr>
          <w:w w:val="105"/>
          <w:sz w:val="21"/>
        </w:rPr>
        <w:t>if at least 50 per </w:t>
      </w:r>
      <w:r>
        <w:rPr>
          <w:spacing w:val="-3"/>
          <w:w w:val="105"/>
          <w:sz w:val="21"/>
        </w:rPr>
        <w:t>cent </w:t>
      </w:r>
      <w:r>
        <w:rPr>
          <w:w w:val="105"/>
          <w:sz w:val="21"/>
        </w:rPr>
        <w:t>or more of the trunk at </w:t>
      </w:r>
      <w:r>
        <w:rPr>
          <w:spacing w:val="-3"/>
          <w:w w:val="105"/>
          <w:sz w:val="21"/>
        </w:rPr>
        <w:t>ground </w:t>
      </w:r>
      <w:r>
        <w:rPr>
          <w:w w:val="105"/>
          <w:sz w:val="21"/>
        </w:rPr>
        <w:t>level is on their side of the</w:t>
      </w:r>
      <w:r>
        <w:rPr>
          <w:spacing w:val="43"/>
          <w:w w:val="105"/>
          <w:sz w:val="21"/>
        </w:rPr>
        <w:t> </w:t>
      </w:r>
      <w:r>
        <w:rPr>
          <w:spacing w:val="-4"/>
          <w:w w:val="105"/>
          <w:sz w:val="21"/>
        </w:rPr>
        <w:t>boundary.</w:t>
      </w:r>
      <w:r>
        <w:rPr>
          <w:spacing w:val="-4"/>
          <w:w w:val="105"/>
          <w:position w:val="7"/>
          <w:sz w:val="12"/>
        </w:rPr>
        <w:t>196</w:t>
      </w:r>
    </w:p>
    <w:p>
      <w:pPr>
        <w:pStyle w:val="BodyText"/>
        <w:spacing w:before="12"/>
        <w:rPr>
          <w:sz w:val="8"/>
        </w:rPr>
      </w:pPr>
      <w:r>
        <w:rPr/>
        <w:pict>
          <v:line style="position:absolute;mso-position-horizontal-relative:page;mso-position-vertical-relative:paragraph;z-index:4328;mso-wrap-distance-left:0;mso-wrap-distance-right:0" from="79.370102pt,7.942234pt" to="515.905102pt,7.942234pt" stroked="true" strokeweight="1pt" strokecolor="#c9d2cb">
            <v:stroke dashstyle="solid"/>
            <w10:wrap type="topAndBottom"/>
          </v:line>
        </w:pict>
      </w:r>
    </w:p>
    <w:p>
      <w:pPr>
        <w:pStyle w:val="ListParagraph"/>
        <w:numPr>
          <w:ilvl w:val="0"/>
          <w:numId w:val="59"/>
        </w:numPr>
        <w:tabs>
          <w:tab w:pos="2381" w:val="left" w:leader="none"/>
          <w:tab w:pos="2382" w:val="left" w:leader="none"/>
        </w:tabs>
        <w:spacing w:line="240" w:lineRule="auto" w:before="117" w:after="0"/>
        <w:ind w:left="2381" w:right="0" w:hanging="794"/>
        <w:jc w:val="left"/>
        <w:rPr>
          <w:sz w:val="13"/>
        </w:rPr>
      </w:pPr>
      <w:r>
        <w:rPr>
          <w:w w:val="105"/>
          <w:sz w:val="13"/>
        </w:rPr>
        <w:t>See</w:t>
      </w:r>
      <w:r>
        <w:rPr>
          <w:spacing w:val="5"/>
          <w:w w:val="105"/>
          <w:sz w:val="13"/>
        </w:rPr>
        <w:t> </w:t>
      </w:r>
      <w:r>
        <w:rPr>
          <w:i/>
          <w:w w:val="105"/>
          <w:sz w:val="13"/>
        </w:rPr>
        <w:t>Robson</w:t>
      </w:r>
      <w:r>
        <w:rPr>
          <w:i/>
          <w:spacing w:val="6"/>
          <w:w w:val="105"/>
          <w:sz w:val="13"/>
        </w:rPr>
        <w:t> </w:t>
      </w:r>
      <w:r>
        <w:rPr>
          <w:i/>
          <w:w w:val="105"/>
          <w:sz w:val="13"/>
        </w:rPr>
        <w:t>v</w:t>
      </w:r>
      <w:r>
        <w:rPr>
          <w:i/>
          <w:spacing w:val="6"/>
          <w:w w:val="105"/>
          <w:sz w:val="13"/>
        </w:rPr>
        <w:t> </w:t>
      </w:r>
      <w:r>
        <w:rPr>
          <w:i/>
          <w:w w:val="105"/>
          <w:sz w:val="13"/>
        </w:rPr>
        <w:t>Leischke</w:t>
      </w:r>
      <w:r>
        <w:rPr>
          <w:i/>
          <w:spacing w:val="6"/>
          <w:w w:val="105"/>
          <w:sz w:val="13"/>
        </w:rPr>
        <w:t> </w:t>
      </w:r>
      <w:r>
        <w:rPr>
          <w:spacing w:val="2"/>
          <w:w w:val="105"/>
          <w:sz w:val="13"/>
        </w:rPr>
        <w:t>(2008)</w:t>
      </w:r>
      <w:r>
        <w:rPr>
          <w:spacing w:val="6"/>
          <w:w w:val="105"/>
          <w:sz w:val="13"/>
        </w:rPr>
        <w:t> </w:t>
      </w:r>
      <w:r>
        <w:rPr>
          <w:w w:val="105"/>
          <w:sz w:val="13"/>
        </w:rPr>
        <w:t>72</w:t>
      </w:r>
      <w:r>
        <w:rPr>
          <w:spacing w:val="6"/>
          <w:w w:val="105"/>
          <w:sz w:val="13"/>
        </w:rPr>
        <w:t> </w:t>
      </w:r>
      <w:r>
        <w:rPr>
          <w:spacing w:val="2"/>
          <w:w w:val="105"/>
          <w:sz w:val="13"/>
        </w:rPr>
        <w:t>NSWLR</w:t>
      </w:r>
      <w:r>
        <w:rPr>
          <w:spacing w:val="6"/>
          <w:w w:val="105"/>
          <w:sz w:val="13"/>
        </w:rPr>
        <w:t> </w:t>
      </w:r>
      <w:r>
        <w:rPr>
          <w:w w:val="105"/>
          <w:sz w:val="13"/>
        </w:rPr>
        <w:t>98</w:t>
      </w:r>
      <w:r>
        <w:rPr>
          <w:spacing w:val="6"/>
          <w:w w:val="105"/>
          <w:sz w:val="13"/>
        </w:rPr>
        <w:t> </w:t>
      </w:r>
      <w:r>
        <w:rPr>
          <w:spacing w:val="-4"/>
          <w:w w:val="105"/>
          <w:sz w:val="13"/>
        </w:rPr>
        <w:t>[151]</w:t>
      </w:r>
      <w:r>
        <w:rPr>
          <w:spacing w:val="6"/>
          <w:w w:val="105"/>
          <w:sz w:val="13"/>
        </w:rPr>
        <w:t> </w:t>
      </w:r>
      <w:r>
        <w:rPr>
          <w:w w:val="105"/>
          <w:sz w:val="13"/>
        </w:rPr>
        <w:t>citing</w:t>
      </w:r>
      <w:r>
        <w:rPr>
          <w:spacing w:val="6"/>
          <w:w w:val="105"/>
          <w:sz w:val="13"/>
        </w:rPr>
        <w:t> </w:t>
      </w:r>
      <w:r>
        <w:rPr>
          <w:i/>
          <w:w w:val="105"/>
          <w:sz w:val="13"/>
        </w:rPr>
        <w:t>Holder</w:t>
      </w:r>
      <w:r>
        <w:rPr>
          <w:i/>
          <w:spacing w:val="6"/>
          <w:w w:val="105"/>
          <w:sz w:val="13"/>
        </w:rPr>
        <w:t> </w:t>
      </w:r>
      <w:r>
        <w:rPr>
          <w:i/>
          <w:w w:val="105"/>
          <w:sz w:val="13"/>
        </w:rPr>
        <w:t>v</w:t>
      </w:r>
      <w:r>
        <w:rPr>
          <w:i/>
          <w:spacing w:val="6"/>
          <w:w w:val="105"/>
          <w:sz w:val="13"/>
        </w:rPr>
        <w:t> </w:t>
      </w:r>
      <w:r>
        <w:rPr>
          <w:i/>
          <w:w w:val="105"/>
          <w:sz w:val="13"/>
        </w:rPr>
        <w:t>Coates</w:t>
      </w:r>
      <w:r>
        <w:rPr>
          <w:i/>
          <w:spacing w:val="6"/>
          <w:w w:val="105"/>
          <w:sz w:val="13"/>
        </w:rPr>
        <w:t> </w:t>
      </w:r>
      <w:r>
        <w:rPr>
          <w:w w:val="105"/>
          <w:sz w:val="13"/>
        </w:rPr>
        <w:t>(1827)</w:t>
      </w:r>
      <w:r>
        <w:rPr>
          <w:spacing w:val="6"/>
          <w:w w:val="105"/>
          <w:sz w:val="13"/>
        </w:rPr>
        <w:t> </w:t>
      </w:r>
      <w:r>
        <w:rPr>
          <w:w w:val="105"/>
          <w:sz w:val="13"/>
        </w:rPr>
        <w:t>M.</w:t>
      </w:r>
      <w:r>
        <w:rPr>
          <w:spacing w:val="6"/>
          <w:w w:val="105"/>
          <w:sz w:val="13"/>
        </w:rPr>
        <w:t> </w:t>
      </w:r>
      <w:r>
        <w:rPr>
          <w:w w:val="105"/>
          <w:sz w:val="13"/>
        </w:rPr>
        <w:t>&amp;</w:t>
      </w:r>
      <w:r>
        <w:rPr>
          <w:spacing w:val="6"/>
          <w:w w:val="105"/>
          <w:sz w:val="13"/>
        </w:rPr>
        <w:t> </w:t>
      </w:r>
      <w:r>
        <w:rPr>
          <w:w w:val="105"/>
          <w:sz w:val="13"/>
        </w:rPr>
        <w:t>M.</w:t>
      </w:r>
      <w:r>
        <w:rPr>
          <w:spacing w:val="6"/>
          <w:w w:val="105"/>
          <w:sz w:val="13"/>
        </w:rPr>
        <w:t> </w:t>
      </w:r>
      <w:r>
        <w:rPr>
          <w:spacing w:val="-5"/>
          <w:w w:val="105"/>
          <w:sz w:val="13"/>
        </w:rPr>
        <w:t>112;</w:t>
      </w:r>
      <w:r>
        <w:rPr>
          <w:spacing w:val="6"/>
          <w:w w:val="105"/>
          <w:sz w:val="13"/>
        </w:rPr>
        <w:t> </w:t>
      </w:r>
      <w:r>
        <w:rPr>
          <w:spacing w:val="-3"/>
          <w:w w:val="105"/>
          <w:sz w:val="13"/>
        </w:rPr>
        <w:t>173</w:t>
      </w:r>
      <w:r>
        <w:rPr>
          <w:spacing w:val="6"/>
          <w:w w:val="105"/>
          <w:sz w:val="13"/>
        </w:rPr>
        <w:t> </w:t>
      </w:r>
      <w:r>
        <w:rPr>
          <w:w w:val="105"/>
          <w:sz w:val="13"/>
        </w:rPr>
        <w:t>ER</w:t>
      </w:r>
      <w:r>
        <w:rPr>
          <w:spacing w:val="6"/>
          <w:w w:val="105"/>
          <w:sz w:val="13"/>
        </w:rPr>
        <w:t> </w:t>
      </w:r>
      <w:r>
        <w:rPr>
          <w:w w:val="105"/>
          <w:sz w:val="13"/>
        </w:rPr>
        <w:t>1099,</w:t>
      </w:r>
      <w:r>
        <w:rPr>
          <w:spacing w:val="6"/>
          <w:w w:val="105"/>
          <w:sz w:val="13"/>
        </w:rPr>
        <w:t> </w:t>
      </w:r>
      <w:r>
        <w:rPr>
          <w:w w:val="105"/>
          <w:sz w:val="13"/>
        </w:rPr>
        <w:t>1100;</w:t>
      </w:r>
      <w:r>
        <w:rPr>
          <w:spacing w:val="6"/>
          <w:w w:val="105"/>
          <w:sz w:val="13"/>
        </w:rPr>
        <w:t> </w:t>
      </w:r>
      <w:r>
        <w:rPr>
          <w:i/>
          <w:w w:val="105"/>
          <w:sz w:val="13"/>
        </w:rPr>
        <w:t>Lemmon</w:t>
      </w:r>
      <w:r>
        <w:rPr>
          <w:i/>
          <w:spacing w:val="6"/>
          <w:w w:val="105"/>
          <w:sz w:val="13"/>
        </w:rPr>
        <w:t> </w:t>
      </w:r>
      <w:r>
        <w:rPr>
          <w:i/>
          <w:w w:val="105"/>
          <w:sz w:val="13"/>
        </w:rPr>
        <w:t>v</w:t>
      </w:r>
      <w:r>
        <w:rPr>
          <w:i/>
          <w:spacing w:val="6"/>
          <w:w w:val="105"/>
          <w:sz w:val="13"/>
        </w:rPr>
        <w:t> </w:t>
      </w:r>
      <w:r>
        <w:rPr>
          <w:i/>
          <w:w w:val="105"/>
          <w:sz w:val="13"/>
        </w:rPr>
        <w:t>Webb</w:t>
      </w:r>
      <w:r>
        <w:rPr>
          <w:i/>
          <w:spacing w:val="6"/>
          <w:w w:val="105"/>
          <w:sz w:val="13"/>
        </w:rPr>
        <w:t> </w:t>
      </w:r>
      <w:r>
        <w:rPr>
          <w:w w:val="105"/>
          <w:sz w:val="13"/>
        </w:rPr>
        <w:t>[1895]</w:t>
      </w:r>
    </w:p>
    <w:p>
      <w:pPr>
        <w:spacing w:before="1"/>
        <w:ind w:left="2381" w:right="0" w:firstLine="0"/>
        <w:jc w:val="left"/>
        <w:rPr>
          <w:sz w:val="13"/>
        </w:rPr>
      </w:pPr>
      <w:r>
        <w:rPr>
          <w:w w:val="115"/>
          <w:sz w:val="13"/>
        </w:rPr>
        <w:t>AC 1.</w:t>
      </w:r>
    </w:p>
    <w:p>
      <w:pPr>
        <w:pStyle w:val="ListParagraph"/>
        <w:numPr>
          <w:ilvl w:val="0"/>
          <w:numId w:val="59"/>
        </w:numPr>
        <w:tabs>
          <w:tab w:pos="2381" w:val="left" w:leader="none"/>
          <w:tab w:pos="2382" w:val="left" w:leader="none"/>
        </w:tabs>
        <w:spacing w:line="240" w:lineRule="auto" w:before="2" w:after="0"/>
        <w:ind w:left="2381" w:right="1756" w:hanging="794"/>
        <w:jc w:val="left"/>
        <w:rPr>
          <w:sz w:val="13"/>
        </w:rPr>
      </w:pPr>
      <w:r>
        <w:rPr>
          <w:w w:val="105"/>
          <w:sz w:val="13"/>
        </w:rPr>
        <w:t>Margaret Davies and Kynan Rogers, ‘Tale of a Tree’ (2014) 16 </w:t>
      </w:r>
      <w:r>
        <w:rPr>
          <w:i/>
          <w:w w:val="105"/>
          <w:sz w:val="13"/>
        </w:rPr>
        <w:t>Flinders Law Journal </w:t>
      </w:r>
      <w:r>
        <w:rPr>
          <w:w w:val="105"/>
          <w:sz w:val="13"/>
        </w:rPr>
        <w:t>43; </w:t>
      </w:r>
      <w:r>
        <w:rPr>
          <w:i/>
          <w:w w:val="105"/>
          <w:sz w:val="13"/>
        </w:rPr>
        <w:t>Permanent Trustee Australia v Shand </w:t>
      </w:r>
      <w:r>
        <w:rPr>
          <w:w w:val="105"/>
          <w:sz w:val="13"/>
        </w:rPr>
        <w:t>(1992) 27 </w:t>
      </w:r>
      <w:r>
        <w:rPr>
          <w:spacing w:val="2"/>
          <w:w w:val="105"/>
          <w:sz w:val="13"/>
        </w:rPr>
        <w:t>NSWLR </w:t>
      </w:r>
      <w:r>
        <w:rPr>
          <w:w w:val="105"/>
          <w:sz w:val="13"/>
        </w:rPr>
        <w:t>426; </w:t>
      </w:r>
      <w:r>
        <w:rPr>
          <w:i/>
          <w:w w:val="105"/>
          <w:sz w:val="13"/>
        </w:rPr>
        <w:t>Clos Farming Estates v Easton </w:t>
      </w:r>
      <w:r>
        <w:rPr>
          <w:w w:val="105"/>
          <w:sz w:val="13"/>
        </w:rPr>
        <w:t>(2002) </w:t>
      </w:r>
      <w:r>
        <w:rPr>
          <w:spacing w:val="-6"/>
          <w:w w:val="105"/>
          <w:sz w:val="13"/>
        </w:rPr>
        <w:t>11 </w:t>
      </w:r>
      <w:r>
        <w:rPr>
          <w:w w:val="105"/>
          <w:sz w:val="13"/>
        </w:rPr>
        <w:t>BPR 20, 605. By contrast, a tree that becomes severed from the land is considered a chattel, as it can be</w:t>
      </w:r>
      <w:r>
        <w:rPr>
          <w:spacing w:val="22"/>
          <w:w w:val="105"/>
          <w:sz w:val="13"/>
        </w:rPr>
        <w:t> </w:t>
      </w:r>
      <w:r>
        <w:rPr>
          <w:w w:val="105"/>
          <w:sz w:val="13"/>
        </w:rPr>
        <w:t>moved.</w:t>
      </w:r>
    </w:p>
    <w:p>
      <w:pPr>
        <w:pStyle w:val="ListParagraph"/>
        <w:numPr>
          <w:ilvl w:val="0"/>
          <w:numId w:val="59"/>
        </w:numPr>
        <w:tabs>
          <w:tab w:pos="2381" w:val="left" w:leader="none"/>
          <w:tab w:pos="2382" w:val="left" w:leader="none"/>
        </w:tabs>
        <w:spacing w:line="240" w:lineRule="auto" w:before="4" w:after="0"/>
        <w:ind w:left="1587" w:right="6829" w:firstLine="0"/>
        <w:jc w:val="left"/>
        <w:rPr>
          <w:sz w:val="13"/>
        </w:rPr>
      </w:pPr>
      <w:r>
        <w:rPr>
          <w:i/>
          <w:w w:val="105"/>
          <w:sz w:val="13"/>
        </w:rPr>
        <w:t>Fences Act 1968 </w:t>
      </w:r>
      <w:r>
        <w:rPr>
          <w:spacing w:val="2"/>
          <w:w w:val="105"/>
          <w:sz w:val="13"/>
        </w:rPr>
        <w:t>(Vic) </w:t>
      </w:r>
      <w:r>
        <w:rPr>
          <w:w w:val="105"/>
          <w:sz w:val="13"/>
        </w:rPr>
        <w:t>s 3 (definition of ‘fence’). </w:t>
      </w:r>
      <w:r>
        <w:rPr>
          <w:spacing w:val="-3"/>
          <w:w w:val="105"/>
          <w:sz w:val="13"/>
        </w:rPr>
        <w:t>193</w:t>
        <w:tab/>
      </w:r>
      <w:r>
        <w:rPr>
          <w:w w:val="105"/>
          <w:sz w:val="13"/>
        </w:rPr>
        <w:t>Ibid s</w:t>
      </w:r>
      <w:r>
        <w:rPr>
          <w:spacing w:val="8"/>
          <w:w w:val="105"/>
          <w:sz w:val="13"/>
        </w:rPr>
        <w:t> </w:t>
      </w:r>
      <w:r>
        <w:rPr>
          <w:spacing w:val="3"/>
          <w:w w:val="105"/>
          <w:sz w:val="13"/>
        </w:rPr>
        <w:t>7(1)-(2).</w:t>
      </w:r>
    </w:p>
    <w:p>
      <w:pPr>
        <w:pStyle w:val="ListParagraph"/>
        <w:numPr>
          <w:ilvl w:val="0"/>
          <w:numId w:val="60"/>
        </w:numPr>
        <w:tabs>
          <w:tab w:pos="2381" w:val="left" w:leader="none"/>
          <w:tab w:pos="2382" w:val="left" w:leader="none"/>
        </w:tabs>
        <w:spacing w:line="240" w:lineRule="auto" w:before="2" w:after="0"/>
        <w:ind w:left="2381" w:right="1651" w:hanging="794"/>
        <w:jc w:val="left"/>
        <w:rPr>
          <w:sz w:val="13"/>
        </w:rPr>
      </w:pPr>
      <w:r>
        <w:rPr>
          <w:spacing w:val="-3"/>
          <w:w w:val="105"/>
          <w:sz w:val="13"/>
        </w:rPr>
        <w:t>Cf. </w:t>
      </w:r>
      <w:r>
        <w:rPr>
          <w:w w:val="105"/>
          <w:sz w:val="13"/>
        </w:rPr>
        <w:t>cases concerning dwellings and sheds straddling boundary lines. These are called ‘building encroachments’. In Victoria, building encroachments are resolved on the basis of trespass or adverse </w:t>
      </w:r>
      <w:r>
        <w:rPr>
          <w:spacing w:val="2"/>
          <w:w w:val="105"/>
          <w:sz w:val="13"/>
        </w:rPr>
        <w:t>possession: </w:t>
      </w:r>
      <w:r>
        <w:rPr>
          <w:w w:val="105"/>
          <w:sz w:val="13"/>
        </w:rPr>
        <w:t>Victorian Law Reform Commission, </w:t>
      </w:r>
      <w:r>
        <w:rPr>
          <w:i/>
          <w:w w:val="105"/>
          <w:sz w:val="13"/>
        </w:rPr>
        <w:t>Review of the </w:t>
      </w:r>
      <w:r>
        <w:rPr>
          <w:i/>
          <w:spacing w:val="2"/>
          <w:w w:val="105"/>
          <w:sz w:val="13"/>
        </w:rPr>
        <w:t>Property </w:t>
      </w:r>
      <w:r>
        <w:rPr>
          <w:i/>
          <w:w w:val="105"/>
          <w:sz w:val="13"/>
        </w:rPr>
        <w:t>Law </w:t>
      </w:r>
      <w:r>
        <w:rPr>
          <w:i/>
          <w:w w:val="105"/>
          <w:sz w:val="13"/>
        </w:rPr>
        <w:t>Act 1958 </w:t>
      </w:r>
      <w:r>
        <w:rPr>
          <w:w w:val="105"/>
          <w:sz w:val="13"/>
        </w:rPr>
        <w:t>(Final Report No 20, 2010)</w:t>
      </w:r>
      <w:r>
        <w:rPr>
          <w:spacing w:val="2"/>
          <w:w w:val="105"/>
          <w:sz w:val="13"/>
        </w:rPr>
        <w:t> 54.</w:t>
      </w:r>
    </w:p>
    <w:p>
      <w:pPr>
        <w:pStyle w:val="ListParagraph"/>
        <w:numPr>
          <w:ilvl w:val="0"/>
          <w:numId w:val="60"/>
        </w:numPr>
        <w:tabs>
          <w:tab w:pos="2381" w:val="left" w:leader="none"/>
          <w:tab w:pos="2382" w:val="left" w:leader="none"/>
        </w:tabs>
        <w:spacing w:line="240" w:lineRule="auto" w:before="4" w:after="0"/>
        <w:ind w:left="2381" w:right="1590" w:hanging="794"/>
        <w:jc w:val="left"/>
        <w:rPr>
          <w:sz w:val="13"/>
        </w:rPr>
      </w:pPr>
      <w:r>
        <w:rPr/>
        <w:pict>
          <v:shape style="position:absolute;margin-left:548.919128pt;margin-top:11.154665pt;width:13.35pt;height:14.25pt;mso-position-horizontal-relative:page;mso-position-vertical-relative:paragraph;z-index:6400" type="#_x0000_t202" filled="false" stroked="false">
            <v:textbox inset="0,0,0,0">
              <w:txbxContent>
                <w:p>
                  <w:pPr>
                    <w:spacing w:line="284" w:lineRule="exact" w:before="0"/>
                    <w:ind w:left="0" w:right="0" w:firstLine="0"/>
                    <w:jc w:val="left"/>
                    <w:rPr>
                      <w:b/>
                      <w:sz w:val="24"/>
                    </w:rPr>
                  </w:pPr>
                  <w:r>
                    <w:rPr>
                      <w:b/>
                      <w:color w:val="658464"/>
                      <w:w w:val="105"/>
                      <w:sz w:val="24"/>
                    </w:rPr>
                    <w:t>85</w:t>
                  </w:r>
                </w:p>
              </w:txbxContent>
            </v:textbox>
            <w10:wrap type="none"/>
          </v:shape>
        </w:pict>
      </w:r>
      <w:r>
        <w:rPr>
          <w:w w:val="105"/>
          <w:sz w:val="13"/>
        </w:rPr>
        <w:t>Submission 20 </w:t>
      </w:r>
      <w:r>
        <w:rPr>
          <w:spacing w:val="2"/>
          <w:w w:val="105"/>
          <w:sz w:val="13"/>
        </w:rPr>
        <w:t>(Name </w:t>
      </w:r>
      <w:r>
        <w:rPr>
          <w:w w:val="105"/>
          <w:sz w:val="13"/>
        </w:rPr>
        <w:t>withheld); </w:t>
      </w:r>
      <w:r>
        <w:rPr>
          <w:i/>
          <w:w w:val="105"/>
          <w:sz w:val="13"/>
        </w:rPr>
        <w:t>Trees (Disputes Between Neighbours) Act 2006 </w:t>
      </w:r>
      <w:r>
        <w:rPr>
          <w:spacing w:val="3"/>
          <w:w w:val="105"/>
          <w:sz w:val="13"/>
        </w:rPr>
        <w:t>(NSW) </w:t>
      </w:r>
      <w:r>
        <w:rPr>
          <w:w w:val="105"/>
          <w:sz w:val="13"/>
        </w:rPr>
        <w:t>s </w:t>
      </w:r>
      <w:r>
        <w:rPr>
          <w:spacing w:val="3"/>
          <w:w w:val="105"/>
          <w:sz w:val="13"/>
        </w:rPr>
        <w:t>43(3); </w:t>
      </w:r>
      <w:r>
        <w:rPr>
          <w:w w:val="105"/>
          <w:sz w:val="13"/>
        </w:rPr>
        <w:t>Land and Environment Court of New South Wales,</w:t>
      </w:r>
      <w:r>
        <w:rPr>
          <w:spacing w:val="4"/>
          <w:w w:val="105"/>
          <w:sz w:val="13"/>
        </w:rPr>
        <w:t> </w:t>
      </w:r>
      <w:r>
        <w:rPr>
          <w:i/>
          <w:w w:val="105"/>
          <w:sz w:val="13"/>
        </w:rPr>
        <w:t>Annotated</w:t>
      </w:r>
      <w:r>
        <w:rPr>
          <w:i/>
          <w:spacing w:val="5"/>
          <w:w w:val="105"/>
          <w:sz w:val="13"/>
        </w:rPr>
        <w:t> </w:t>
      </w:r>
      <w:r>
        <w:rPr>
          <w:i/>
          <w:w w:val="105"/>
          <w:sz w:val="13"/>
        </w:rPr>
        <w:t>Trees</w:t>
      </w:r>
      <w:r>
        <w:rPr>
          <w:i/>
          <w:spacing w:val="5"/>
          <w:w w:val="105"/>
          <w:sz w:val="13"/>
        </w:rPr>
        <w:t> </w:t>
      </w:r>
      <w:r>
        <w:rPr>
          <w:i/>
          <w:w w:val="105"/>
          <w:sz w:val="13"/>
        </w:rPr>
        <w:t>Act</w:t>
      </w:r>
      <w:r>
        <w:rPr>
          <w:i/>
          <w:spacing w:val="5"/>
          <w:w w:val="105"/>
          <w:sz w:val="13"/>
        </w:rPr>
        <w:t> </w:t>
      </w:r>
      <w:r>
        <w:rPr>
          <w:i/>
          <w:w w:val="105"/>
          <w:sz w:val="13"/>
        </w:rPr>
        <w:t>January</w:t>
      </w:r>
      <w:r>
        <w:rPr>
          <w:i/>
          <w:spacing w:val="4"/>
          <w:w w:val="105"/>
          <w:sz w:val="13"/>
        </w:rPr>
        <w:t> </w:t>
      </w:r>
      <w:r>
        <w:rPr>
          <w:i/>
          <w:spacing w:val="-3"/>
          <w:w w:val="105"/>
          <w:sz w:val="13"/>
        </w:rPr>
        <w:t>2013</w:t>
      </w:r>
      <w:r>
        <w:rPr>
          <w:i/>
          <w:spacing w:val="5"/>
          <w:w w:val="105"/>
          <w:sz w:val="13"/>
        </w:rPr>
        <w:t> </w:t>
      </w:r>
      <w:r>
        <w:rPr>
          <w:w w:val="105"/>
          <w:sz w:val="13"/>
        </w:rPr>
        <w:t>(1</w:t>
      </w:r>
      <w:r>
        <w:rPr>
          <w:spacing w:val="5"/>
          <w:w w:val="105"/>
          <w:sz w:val="13"/>
        </w:rPr>
        <w:t> </w:t>
      </w:r>
      <w:r>
        <w:rPr>
          <w:w w:val="105"/>
          <w:sz w:val="13"/>
        </w:rPr>
        <w:t>September</w:t>
      </w:r>
      <w:r>
        <w:rPr>
          <w:spacing w:val="5"/>
          <w:w w:val="105"/>
          <w:sz w:val="13"/>
        </w:rPr>
        <w:t> </w:t>
      </w:r>
      <w:r>
        <w:rPr>
          <w:w w:val="105"/>
          <w:sz w:val="13"/>
        </w:rPr>
        <w:t>2016)</w:t>
      </w:r>
      <w:r>
        <w:rPr>
          <w:spacing w:val="4"/>
          <w:w w:val="105"/>
          <w:sz w:val="13"/>
        </w:rPr>
        <w:t> </w:t>
      </w:r>
      <w:r>
        <w:rPr>
          <w:w w:val="105"/>
          <w:sz w:val="13"/>
        </w:rPr>
        <w:t>5.</w:t>
      </w:r>
    </w:p>
    <w:p>
      <w:pPr>
        <w:pStyle w:val="ListParagraph"/>
        <w:numPr>
          <w:ilvl w:val="0"/>
          <w:numId w:val="60"/>
        </w:numPr>
        <w:tabs>
          <w:tab w:pos="2381" w:val="left" w:leader="none"/>
          <w:tab w:pos="2382" w:val="left" w:leader="none"/>
        </w:tabs>
        <w:spacing w:line="240" w:lineRule="auto" w:before="3" w:after="0"/>
        <w:ind w:left="2381" w:right="0" w:hanging="794"/>
        <w:jc w:val="left"/>
        <w:rPr>
          <w:sz w:val="13"/>
        </w:rPr>
      </w:pPr>
      <w:r>
        <w:rPr>
          <w:w w:val="105"/>
          <w:sz w:val="13"/>
        </w:rPr>
        <w:t>See,</w:t>
      </w:r>
      <w:r>
        <w:rPr>
          <w:spacing w:val="5"/>
          <w:w w:val="105"/>
          <w:sz w:val="13"/>
        </w:rPr>
        <w:t> </w:t>
      </w:r>
      <w:r>
        <w:rPr>
          <w:w w:val="105"/>
          <w:sz w:val="13"/>
        </w:rPr>
        <w:t>eg,</w:t>
      </w:r>
      <w:r>
        <w:rPr>
          <w:spacing w:val="5"/>
          <w:w w:val="105"/>
          <w:sz w:val="13"/>
        </w:rPr>
        <w:t> </w:t>
      </w:r>
      <w:r>
        <w:rPr>
          <w:i/>
          <w:w w:val="105"/>
          <w:sz w:val="13"/>
        </w:rPr>
        <w:t>Drolz</w:t>
      </w:r>
      <w:r>
        <w:rPr>
          <w:i/>
          <w:spacing w:val="5"/>
          <w:w w:val="105"/>
          <w:sz w:val="13"/>
        </w:rPr>
        <w:t> </w:t>
      </w:r>
      <w:r>
        <w:rPr>
          <w:i/>
          <w:w w:val="105"/>
          <w:sz w:val="13"/>
        </w:rPr>
        <w:t>v</w:t>
      </w:r>
      <w:r>
        <w:rPr>
          <w:i/>
          <w:spacing w:val="5"/>
          <w:w w:val="105"/>
          <w:sz w:val="13"/>
        </w:rPr>
        <w:t> </w:t>
      </w:r>
      <w:r>
        <w:rPr>
          <w:i/>
          <w:w w:val="105"/>
          <w:sz w:val="13"/>
        </w:rPr>
        <w:t>Sinclair</w:t>
      </w:r>
      <w:r>
        <w:rPr>
          <w:i/>
          <w:spacing w:val="5"/>
          <w:w w:val="105"/>
          <w:sz w:val="13"/>
        </w:rPr>
        <w:t> </w:t>
      </w:r>
      <w:r>
        <w:rPr>
          <w:spacing w:val="2"/>
          <w:w w:val="105"/>
          <w:sz w:val="13"/>
        </w:rPr>
        <w:t>[2008]</w:t>
      </w:r>
      <w:r>
        <w:rPr>
          <w:spacing w:val="6"/>
          <w:w w:val="105"/>
          <w:sz w:val="13"/>
        </w:rPr>
        <w:t> </w:t>
      </w:r>
      <w:r>
        <w:rPr>
          <w:w w:val="105"/>
          <w:sz w:val="13"/>
        </w:rPr>
        <w:t>NSWLEC</w:t>
      </w:r>
      <w:r>
        <w:rPr>
          <w:spacing w:val="5"/>
          <w:w w:val="105"/>
          <w:sz w:val="13"/>
        </w:rPr>
        <w:t> </w:t>
      </w:r>
      <w:r>
        <w:rPr>
          <w:spacing w:val="2"/>
          <w:w w:val="105"/>
          <w:sz w:val="13"/>
        </w:rPr>
        <w:t>34;</w:t>
      </w:r>
      <w:r>
        <w:rPr>
          <w:spacing w:val="5"/>
          <w:w w:val="105"/>
          <w:sz w:val="13"/>
        </w:rPr>
        <w:t> </w:t>
      </w:r>
      <w:r>
        <w:rPr>
          <w:i/>
          <w:w w:val="105"/>
          <w:sz w:val="13"/>
        </w:rPr>
        <w:t>Brown</w:t>
      </w:r>
      <w:r>
        <w:rPr>
          <w:i/>
          <w:spacing w:val="5"/>
          <w:w w:val="105"/>
          <w:sz w:val="13"/>
        </w:rPr>
        <w:t> </w:t>
      </w:r>
      <w:r>
        <w:rPr>
          <w:i/>
          <w:w w:val="105"/>
          <w:sz w:val="13"/>
        </w:rPr>
        <w:t>v</w:t>
      </w:r>
      <w:r>
        <w:rPr>
          <w:i/>
          <w:spacing w:val="5"/>
          <w:w w:val="105"/>
          <w:sz w:val="13"/>
        </w:rPr>
        <w:t> </w:t>
      </w:r>
      <w:r>
        <w:rPr>
          <w:i/>
          <w:w w:val="105"/>
          <w:sz w:val="13"/>
        </w:rPr>
        <w:t>Weaver</w:t>
      </w:r>
      <w:r>
        <w:rPr>
          <w:i/>
          <w:spacing w:val="6"/>
          <w:w w:val="105"/>
          <w:sz w:val="13"/>
        </w:rPr>
        <w:t> </w:t>
      </w:r>
      <w:r>
        <w:rPr>
          <w:w w:val="105"/>
          <w:sz w:val="13"/>
        </w:rPr>
        <w:t>[2007]</w:t>
      </w:r>
      <w:r>
        <w:rPr>
          <w:spacing w:val="5"/>
          <w:w w:val="105"/>
          <w:sz w:val="13"/>
        </w:rPr>
        <w:t> </w:t>
      </w:r>
      <w:r>
        <w:rPr>
          <w:w w:val="105"/>
          <w:sz w:val="13"/>
        </w:rPr>
        <w:t>NSWLEC</w:t>
      </w:r>
      <w:r>
        <w:rPr>
          <w:spacing w:val="5"/>
          <w:w w:val="105"/>
          <w:sz w:val="13"/>
        </w:rPr>
        <w:t> </w:t>
      </w:r>
      <w:r>
        <w:rPr>
          <w:w w:val="105"/>
          <w:sz w:val="13"/>
        </w:rPr>
        <w:t>738.</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0"/>
          <w:numId w:val="56"/>
        </w:numPr>
        <w:tabs>
          <w:tab w:pos="2381" w:val="left" w:leader="none"/>
          <w:tab w:pos="2382" w:val="left" w:leader="none"/>
        </w:tabs>
        <w:spacing w:line="242" w:lineRule="auto" w:before="92" w:after="0"/>
        <w:ind w:left="2381" w:right="1808" w:hanging="794"/>
        <w:jc w:val="left"/>
        <w:rPr>
          <w:sz w:val="21"/>
        </w:rPr>
      </w:pPr>
      <w:r>
        <w:rPr>
          <w:w w:val="105"/>
          <w:sz w:val="21"/>
        </w:rPr>
        <w:t>Where a </w:t>
      </w:r>
      <w:r>
        <w:rPr>
          <w:spacing w:val="-3"/>
          <w:w w:val="105"/>
          <w:sz w:val="21"/>
        </w:rPr>
        <w:t>dividing fence </w:t>
      </w:r>
      <w:r>
        <w:rPr>
          <w:w w:val="105"/>
          <w:sz w:val="21"/>
        </w:rPr>
        <w:t>does </w:t>
      </w:r>
      <w:r>
        <w:rPr>
          <w:spacing w:val="-2"/>
          <w:w w:val="105"/>
          <w:sz w:val="21"/>
        </w:rPr>
        <w:t>not </w:t>
      </w:r>
      <w:r>
        <w:rPr>
          <w:w w:val="105"/>
          <w:sz w:val="21"/>
        </w:rPr>
        <w:t>correctly reflect legal boundary </w:t>
      </w:r>
      <w:r>
        <w:rPr>
          <w:spacing w:val="-3"/>
          <w:w w:val="105"/>
          <w:sz w:val="21"/>
        </w:rPr>
        <w:t>lines </w:t>
      </w:r>
      <w:r>
        <w:rPr>
          <w:w w:val="105"/>
          <w:sz w:val="21"/>
        </w:rPr>
        <w:t>or where the location of the base of the trunk is </w:t>
      </w:r>
      <w:r>
        <w:rPr>
          <w:spacing w:val="-4"/>
          <w:w w:val="105"/>
          <w:sz w:val="21"/>
        </w:rPr>
        <w:t>unclear, </w:t>
      </w:r>
      <w:r>
        <w:rPr>
          <w:w w:val="105"/>
          <w:sz w:val="21"/>
        </w:rPr>
        <w:t>the NSWLEC </w:t>
      </w:r>
      <w:r>
        <w:rPr>
          <w:spacing w:val="-3"/>
          <w:w w:val="105"/>
          <w:sz w:val="21"/>
        </w:rPr>
        <w:t>may require </w:t>
      </w:r>
      <w:r>
        <w:rPr>
          <w:w w:val="105"/>
          <w:sz w:val="21"/>
        </w:rPr>
        <w:t>a </w:t>
      </w:r>
      <w:r>
        <w:rPr>
          <w:spacing w:val="-3"/>
          <w:w w:val="105"/>
          <w:sz w:val="21"/>
        </w:rPr>
        <w:t>land </w:t>
      </w:r>
      <w:r>
        <w:rPr>
          <w:w w:val="105"/>
          <w:sz w:val="21"/>
        </w:rPr>
        <w:t>survey </w:t>
      </w:r>
      <w:r>
        <w:rPr>
          <w:spacing w:val="-3"/>
          <w:w w:val="105"/>
          <w:sz w:val="21"/>
        </w:rPr>
        <w:t>to </w:t>
      </w:r>
      <w:r>
        <w:rPr>
          <w:w w:val="105"/>
          <w:sz w:val="21"/>
        </w:rPr>
        <w:t>be </w:t>
      </w:r>
      <w:r>
        <w:rPr>
          <w:spacing w:val="-4"/>
          <w:w w:val="105"/>
          <w:sz w:val="21"/>
        </w:rPr>
        <w:t>undertaken.</w:t>
      </w:r>
      <w:r>
        <w:rPr>
          <w:spacing w:val="-4"/>
          <w:w w:val="105"/>
          <w:position w:val="7"/>
          <w:sz w:val="12"/>
        </w:rPr>
        <w:t>197  </w:t>
      </w:r>
      <w:r>
        <w:rPr>
          <w:w w:val="105"/>
          <w:sz w:val="21"/>
        </w:rPr>
        <w:t>A survey or </w:t>
      </w:r>
      <w:r>
        <w:rPr>
          <w:spacing w:val="-3"/>
          <w:w w:val="105"/>
          <w:sz w:val="21"/>
        </w:rPr>
        <w:t>any </w:t>
      </w:r>
      <w:r>
        <w:rPr>
          <w:w w:val="105"/>
          <w:sz w:val="21"/>
        </w:rPr>
        <w:t>other </w:t>
      </w:r>
      <w:r>
        <w:rPr>
          <w:spacing w:val="-3"/>
          <w:w w:val="105"/>
          <w:sz w:val="21"/>
        </w:rPr>
        <w:t>investigation for determining </w:t>
      </w:r>
      <w:r>
        <w:rPr>
          <w:w w:val="105"/>
          <w:sz w:val="21"/>
        </w:rPr>
        <w:t>the position of the trunk </w:t>
      </w:r>
      <w:r>
        <w:rPr>
          <w:spacing w:val="-3"/>
          <w:w w:val="105"/>
          <w:sz w:val="21"/>
        </w:rPr>
        <w:t>usually </w:t>
      </w:r>
      <w:r>
        <w:rPr>
          <w:w w:val="105"/>
          <w:sz w:val="21"/>
        </w:rPr>
        <w:t>occurs </w:t>
      </w:r>
      <w:r>
        <w:rPr>
          <w:spacing w:val="-3"/>
          <w:w w:val="105"/>
          <w:sz w:val="21"/>
        </w:rPr>
        <w:t>during </w:t>
      </w:r>
      <w:r>
        <w:rPr>
          <w:w w:val="105"/>
          <w:sz w:val="21"/>
        </w:rPr>
        <w:t>the early stages of the </w:t>
      </w:r>
      <w:r>
        <w:rPr>
          <w:spacing w:val="-3"/>
          <w:w w:val="105"/>
          <w:sz w:val="21"/>
        </w:rPr>
        <w:t>hearing </w:t>
      </w:r>
      <w:r>
        <w:rPr>
          <w:w w:val="105"/>
          <w:sz w:val="21"/>
        </w:rPr>
        <w:t>process, </w:t>
      </w:r>
      <w:r>
        <w:rPr>
          <w:spacing w:val="-3"/>
          <w:w w:val="105"/>
          <w:sz w:val="21"/>
        </w:rPr>
        <w:t>such </w:t>
      </w:r>
      <w:r>
        <w:rPr>
          <w:w w:val="105"/>
          <w:sz w:val="21"/>
        </w:rPr>
        <w:t>as at the time</w:t>
      </w:r>
      <w:r>
        <w:rPr>
          <w:spacing w:val="-6"/>
          <w:w w:val="105"/>
          <w:sz w:val="21"/>
        </w:rPr>
        <w:t> </w:t>
      </w:r>
      <w:r>
        <w:rPr>
          <w:w w:val="105"/>
          <w:sz w:val="21"/>
        </w:rPr>
        <w:t>of</w:t>
      </w:r>
      <w:r>
        <w:rPr>
          <w:spacing w:val="-5"/>
          <w:w w:val="105"/>
          <w:sz w:val="21"/>
        </w:rPr>
        <w:t> </w:t>
      </w:r>
      <w:r>
        <w:rPr>
          <w:w w:val="105"/>
          <w:sz w:val="21"/>
        </w:rPr>
        <w:t>lodgement</w:t>
      </w:r>
      <w:r>
        <w:rPr>
          <w:spacing w:val="-6"/>
          <w:w w:val="105"/>
          <w:sz w:val="21"/>
        </w:rPr>
        <w:t> </w:t>
      </w:r>
      <w:r>
        <w:rPr>
          <w:w w:val="105"/>
          <w:sz w:val="21"/>
        </w:rPr>
        <w:t>in</w:t>
      </w:r>
      <w:r>
        <w:rPr>
          <w:spacing w:val="-5"/>
          <w:w w:val="105"/>
          <w:sz w:val="21"/>
        </w:rPr>
        <w:t> </w:t>
      </w:r>
      <w:r>
        <w:rPr>
          <w:w w:val="105"/>
          <w:sz w:val="21"/>
        </w:rPr>
        <w:t>the</w:t>
      </w:r>
      <w:r>
        <w:rPr>
          <w:spacing w:val="-6"/>
          <w:w w:val="105"/>
          <w:sz w:val="21"/>
        </w:rPr>
        <w:t> </w:t>
      </w:r>
      <w:r>
        <w:rPr>
          <w:spacing w:val="-3"/>
          <w:w w:val="105"/>
          <w:sz w:val="21"/>
        </w:rPr>
        <w:t>Court’s</w:t>
      </w:r>
      <w:r>
        <w:rPr>
          <w:spacing w:val="-5"/>
          <w:w w:val="105"/>
          <w:sz w:val="21"/>
        </w:rPr>
        <w:t> </w:t>
      </w:r>
      <w:r>
        <w:rPr>
          <w:w w:val="105"/>
          <w:sz w:val="21"/>
        </w:rPr>
        <w:t>registry</w:t>
      </w:r>
      <w:r>
        <w:rPr>
          <w:spacing w:val="-6"/>
          <w:w w:val="105"/>
          <w:sz w:val="21"/>
        </w:rPr>
        <w:t> </w:t>
      </w:r>
      <w:r>
        <w:rPr>
          <w:w w:val="105"/>
          <w:sz w:val="21"/>
        </w:rPr>
        <w:t>or</w:t>
      </w:r>
      <w:r>
        <w:rPr>
          <w:spacing w:val="-5"/>
          <w:w w:val="105"/>
          <w:sz w:val="21"/>
        </w:rPr>
        <w:t> </w:t>
      </w:r>
      <w:r>
        <w:rPr>
          <w:w w:val="105"/>
          <w:sz w:val="21"/>
        </w:rPr>
        <w:t>at</w:t>
      </w:r>
      <w:r>
        <w:rPr>
          <w:spacing w:val="-6"/>
          <w:w w:val="105"/>
          <w:sz w:val="21"/>
        </w:rPr>
        <w:t> </w:t>
      </w:r>
      <w:r>
        <w:rPr>
          <w:w w:val="105"/>
          <w:sz w:val="21"/>
        </w:rPr>
        <w:t>a</w:t>
      </w:r>
      <w:r>
        <w:rPr>
          <w:spacing w:val="-5"/>
          <w:w w:val="105"/>
          <w:sz w:val="21"/>
        </w:rPr>
        <w:t> </w:t>
      </w:r>
      <w:r>
        <w:rPr>
          <w:spacing w:val="-3"/>
          <w:w w:val="105"/>
          <w:sz w:val="21"/>
        </w:rPr>
        <w:t>preliminary</w:t>
      </w:r>
      <w:r>
        <w:rPr>
          <w:spacing w:val="-6"/>
          <w:w w:val="105"/>
          <w:sz w:val="21"/>
        </w:rPr>
        <w:t> </w:t>
      </w:r>
      <w:r>
        <w:rPr>
          <w:spacing w:val="-4"/>
          <w:w w:val="105"/>
          <w:sz w:val="21"/>
        </w:rPr>
        <w:t>hearing.</w:t>
      </w:r>
      <w:r>
        <w:rPr>
          <w:spacing w:val="-4"/>
          <w:w w:val="105"/>
          <w:position w:val="7"/>
          <w:sz w:val="12"/>
        </w:rPr>
        <w:t>198</w:t>
      </w:r>
      <w:r>
        <w:rPr>
          <w:spacing w:val="18"/>
          <w:w w:val="105"/>
          <w:position w:val="7"/>
          <w:sz w:val="12"/>
        </w:rPr>
        <w:t> </w:t>
      </w:r>
      <w:r>
        <w:rPr>
          <w:w w:val="105"/>
          <w:sz w:val="21"/>
        </w:rPr>
        <w:t>The</w:t>
      </w:r>
      <w:r>
        <w:rPr>
          <w:spacing w:val="-6"/>
          <w:w w:val="105"/>
          <w:sz w:val="21"/>
        </w:rPr>
        <w:t> </w:t>
      </w:r>
      <w:r>
        <w:rPr>
          <w:w w:val="105"/>
          <w:sz w:val="21"/>
        </w:rPr>
        <w:t>survey</w:t>
      </w:r>
      <w:r>
        <w:rPr>
          <w:spacing w:val="-5"/>
          <w:w w:val="105"/>
          <w:sz w:val="21"/>
        </w:rPr>
        <w:t> </w:t>
      </w:r>
      <w:r>
        <w:rPr>
          <w:w w:val="105"/>
          <w:sz w:val="21"/>
        </w:rPr>
        <w:t>must</w:t>
      </w:r>
    </w:p>
    <w:p>
      <w:pPr>
        <w:pStyle w:val="BodyText"/>
        <w:spacing w:line="242" w:lineRule="auto" w:before="5"/>
        <w:ind w:left="2381" w:right="1636"/>
        <w:rPr>
          <w:sz w:val="12"/>
        </w:rPr>
      </w:pPr>
      <w:r>
        <w:rPr>
          <w:spacing w:val="-3"/>
          <w:w w:val="105"/>
        </w:rPr>
        <w:t>accurately </w:t>
      </w:r>
      <w:r>
        <w:rPr>
          <w:w w:val="105"/>
        </w:rPr>
        <w:t>show the </w:t>
      </w:r>
      <w:r>
        <w:rPr>
          <w:spacing w:val="-3"/>
          <w:w w:val="105"/>
        </w:rPr>
        <w:t>configuration </w:t>
      </w:r>
      <w:r>
        <w:rPr>
          <w:w w:val="105"/>
        </w:rPr>
        <w:t>of the base of the tree and its location with respect </w:t>
      </w:r>
      <w:r>
        <w:rPr>
          <w:spacing w:val="-3"/>
          <w:w w:val="105"/>
        </w:rPr>
        <w:t>to </w:t>
      </w:r>
      <w:r>
        <w:rPr>
          <w:w w:val="105"/>
        </w:rPr>
        <w:t>the </w:t>
      </w:r>
      <w:r>
        <w:rPr>
          <w:spacing w:val="-4"/>
          <w:w w:val="105"/>
        </w:rPr>
        <w:t>boundary.</w:t>
      </w:r>
      <w:r>
        <w:rPr>
          <w:spacing w:val="-4"/>
          <w:w w:val="105"/>
          <w:position w:val="7"/>
          <w:sz w:val="12"/>
        </w:rPr>
        <w:t>199</w:t>
      </w:r>
    </w:p>
    <w:p>
      <w:pPr>
        <w:pStyle w:val="ListParagraph"/>
        <w:numPr>
          <w:ilvl w:val="0"/>
          <w:numId w:val="56"/>
        </w:numPr>
        <w:tabs>
          <w:tab w:pos="2380" w:val="left" w:leader="none"/>
          <w:tab w:pos="2381" w:val="left" w:leader="none"/>
        </w:tabs>
        <w:spacing w:line="242" w:lineRule="auto" w:before="122" w:after="0"/>
        <w:ind w:left="2381" w:right="1636" w:hanging="794"/>
        <w:jc w:val="left"/>
        <w:rPr>
          <w:sz w:val="12"/>
        </w:rPr>
      </w:pPr>
      <w:r>
        <w:rPr>
          <w:sz w:val="21"/>
        </w:rPr>
        <w:t>A tree </w:t>
      </w:r>
      <w:r>
        <w:rPr>
          <w:spacing w:val="-3"/>
          <w:sz w:val="21"/>
        </w:rPr>
        <w:t>disputes consultant </w:t>
      </w:r>
      <w:r>
        <w:rPr>
          <w:sz w:val="21"/>
        </w:rPr>
        <w:t>in New South </w:t>
      </w:r>
      <w:r>
        <w:rPr>
          <w:spacing w:val="-3"/>
          <w:sz w:val="21"/>
        </w:rPr>
        <w:t>Wales </w:t>
      </w:r>
      <w:r>
        <w:rPr>
          <w:sz w:val="21"/>
        </w:rPr>
        <w:t>explained </w:t>
      </w:r>
      <w:r>
        <w:rPr>
          <w:spacing w:val="-3"/>
          <w:sz w:val="21"/>
        </w:rPr>
        <w:t>that  using  </w:t>
      </w:r>
      <w:r>
        <w:rPr>
          <w:sz w:val="21"/>
        </w:rPr>
        <w:t>the location of the  trunk at </w:t>
      </w:r>
      <w:r>
        <w:rPr>
          <w:spacing w:val="-3"/>
          <w:sz w:val="21"/>
        </w:rPr>
        <w:t>ground </w:t>
      </w:r>
      <w:r>
        <w:rPr>
          <w:sz w:val="21"/>
        </w:rPr>
        <w:t>level </w:t>
      </w:r>
      <w:r>
        <w:rPr>
          <w:spacing w:val="-4"/>
          <w:sz w:val="21"/>
        </w:rPr>
        <w:t>‘gives </w:t>
      </w:r>
      <w:r>
        <w:rPr>
          <w:sz w:val="21"/>
        </w:rPr>
        <w:t>a level of certainty </w:t>
      </w:r>
      <w:r>
        <w:rPr>
          <w:spacing w:val="-3"/>
          <w:sz w:val="21"/>
        </w:rPr>
        <w:t>to </w:t>
      </w:r>
      <w:r>
        <w:rPr>
          <w:sz w:val="21"/>
        </w:rPr>
        <w:t>disputants, </w:t>
      </w:r>
      <w:r>
        <w:rPr>
          <w:spacing w:val="-3"/>
          <w:sz w:val="21"/>
        </w:rPr>
        <w:t>requiring upfront research </w:t>
      </w:r>
      <w:r>
        <w:rPr>
          <w:sz w:val="21"/>
        </w:rPr>
        <w:t>(if self-represented) and </w:t>
      </w:r>
      <w:r>
        <w:rPr>
          <w:spacing w:val="-3"/>
          <w:sz w:val="21"/>
        </w:rPr>
        <w:t>preparation, before </w:t>
      </w:r>
      <w:r>
        <w:rPr>
          <w:sz w:val="21"/>
        </w:rPr>
        <w:t>undertaking </w:t>
      </w:r>
      <w:r>
        <w:rPr>
          <w:spacing w:val="-3"/>
          <w:sz w:val="21"/>
        </w:rPr>
        <w:t>Court</w:t>
      </w:r>
      <w:r>
        <w:rPr>
          <w:spacing w:val="-4"/>
          <w:sz w:val="21"/>
        </w:rPr>
        <w:t> </w:t>
      </w:r>
      <w:r>
        <w:rPr>
          <w:spacing w:val="-3"/>
          <w:sz w:val="21"/>
        </w:rPr>
        <w:t>action’.</w:t>
      </w:r>
      <w:r>
        <w:rPr>
          <w:spacing w:val="-3"/>
          <w:position w:val="7"/>
          <w:sz w:val="12"/>
        </w:rPr>
        <w:t>200</w:t>
      </w:r>
    </w:p>
    <w:p>
      <w:pPr>
        <w:pStyle w:val="ListParagraph"/>
        <w:numPr>
          <w:ilvl w:val="0"/>
          <w:numId w:val="56"/>
        </w:numPr>
        <w:tabs>
          <w:tab w:pos="2381" w:val="left" w:leader="none"/>
          <w:tab w:pos="2382" w:val="left" w:leader="none"/>
        </w:tabs>
        <w:spacing w:line="242" w:lineRule="auto" w:before="124" w:after="0"/>
        <w:ind w:left="2381" w:right="1971" w:hanging="794"/>
        <w:jc w:val="left"/>
        <w:rPr>
          <w:sz w:val="12"/>
        </w:rPr>
      </w:pPr>
      <w:r>
        <w:rPr>
          <w:w w:val="105"/>
          <w:sz w:val="21"/>
        </w:rPr>
        <w:t>The</w:t>
      </w:r>
      <w:r>
        <w:rPr>
          <w:spacing w:val="-8"/>
          <w:w w:val="105"/>
          <w:sz w:val="21"/>
        </w:rPr>
        <w:t> </w:t>
      </w:r>
      <w:r>
        <w:rPr>
          <w:w w:val="105"/>
          <w:sz w:val="21"/>
        </w:rPr>
        <w:t>NSWLEC</w:t>
      </w:r>
      <w:r>
        <w:rPr>
          <w:spacing w:val="-8"/>
          <w:w w:val="105"/>
          <w:sz w:val="21"/>
        </w:rPr>
        <w:t> </w:t>
      </w:r>
      <w:r>
        <w:rPr>
          <w:spacing w:val="-3"/>
          <w:w w:val="105"/>
          <w:sz w:val="21"/>
        </w:rPr>
        <w:t>may</w:t>
      </w:r>
      <w:r>
        <w:rPr>
          <w:spacing w:val="-8"/>
          <w:w w:val="105"/>
          <w:sz w:val="21"/>
        </w:rPr>
        <w:t> </w:t>
      </w:r>
      <w:r>
        <w:rPr>
          <w:spacing w:val="-4"/>
          <w:w w:val="105"/>
          <w:sz w:val="21"/>
        </w:rPr>
        <w:t>make</w:t>
      </w:r>
      <w:r>
        <w:rPr>
          <w:spacing w:val="-7"/>
          <w:w w:val="105"/>
          <w:sz w:val="21"/>
        </w:rPr>
        <w:t> </w:t>
      </w:r>
      <w:r>
        <w:rPr>
          <w:w w:val="105"/>
          <w:sz w:val="21"/>
        </w:rPr>
        <w:t>orders</w:t>
      </w:r>
      <w:r>
        <w:rPr>
          <w:spacing w:val="-8"/>
          <w:w w:val="105"/>
          <w:sz w:val="21"/>
        </w:rPr>
        <w:t> </w:t>
      </w:r>
      <w:r>
        <w:rPr>
          <w:w w:val="105"/>
          <w:sz w:val="21"/>
        </w:rPr>
        <w:t>reflecting</w:t>
      </w:r>
      <w:r>
        <w:rPr>
          <w:spacing w:val="-8"/>
          <w:w w:val="105"/>
          <w:sz w:val="21"/>
        </w:rPr>
        <w:t> </w:t>
      </w:r>
      <w:r>
        <w:rPr>
          <w:w w:val="105"/>
          <w:sz w:val="21"/>
        </w:rPr>
        <w:t>the</w:t>
      </w:r>
      <w:r>
        <w:rPr>
          <w:spacing w:val="-8"/>
          <w:w w:val="105"/>
          <w:sz w:val="21"/>
        </w:rPr>
        <w:t> </w:t>
      </w:r>
      <w:r>
        <w:rPr>
          <w:w w:val="105"/>
          <w:sz w:val="21"/>
        </w:rPr>
        <w:t>proportions</w:t>
      </w:r>
      <w:r>
        <w:rPr>
          <w:spacing w:val="-7"/>
          <w:w w:val="105"/>
          <w:sz w:val="21"/>
        </w:rPr>
        <w:t> </w:t>
      </w:r>
      <w:r>
        <w:rPr>
          <w:w w:val="105"/>
          <w:sz w:val="21"/>
        </w:rPr>
        <w:t>of</w:t>
      </w:r>
      <w:r>
        <w:rPr>
          <w:spacing w:val="-8"/>
          <w:w w:val="105"/>
          <w:sz w:val="21"/>
        </w:rPr>
        <w:t> </w:t>
      </w:r>
      <w:r>
        <w:rPr>
          <w:w w:val="105"/>
          <w:sz w:val="21"/>
        </w:rPr>
        <w:t>the</w:t>
      </w:r>
      <w:r>
        <w:rPr>
          <w:spacing w:val="-8"/>
          <w:w w:val="105"/>
          <w:sz w:val="21"/>
        </w:rPr>
        <w:t> </w:t>
      </w:r>
      <w:r>
        <w:rPr>
          <w:w w:val="105"/>
          <w:sz w:val="21"/>
        </w:rPr>
        <w:t>straddle</w:t>
      </w:r>
      <w:r>
        <w:rPr>
          <w:spacing w:val="-8"/>
          <w:w w:val="105"/>
          <w:sz w:val="21"/>
        </w:rPr>
        <w:t> </w:t>
      </w:r>
      <w:r>
        <w:rPr>
          <w:w w:val="105"/>
          <w:sz w:val="21"/>
        </w:rPr>
        <w:t>tree</w:t>
      </w:r>
      <w:r>
        <w:rPr>
          <w:spacing w:val="-7"/>
          <w:w w:val="105"/>
          <w:sz w:val="21"/>
        </w:rPr>
        <w:t> </w:t>
      </w:r>
      <w:r>
        <w:rPr>
          <w:w w:val="105"/>
          <w:sz w:val="21"/>
        </w:rPr>
        <w:t>on</w:t>
      </w:r>
      <w:r>
        <w:rPr>
          <w:spacing w:val="-8"/>
          <w:w w:val="105"/>
          <w:sz w:val="21"/>
        </w:rPr>
        <w:t> </w:t>
      </w:r>
      <w:r>
        <w:rPr>
          <w:w w:val="105"/>
          <w:sz w:val="21"/>
        </w:rPr>
        <w:t>each </w:t>
      </w:r>
      <w:r>
        <w:rPr>
          <w:spacing w:val="-3"/>
          <w:w w:val="105"/>
          <w:sz w:val="21"/>
        </w:rPr>
        <w:t>parcel </w:t>
      </w:r>
      <w:r>
        <w:rPr>
          <w:w w:val="105"/>
          <w:sz w:val="21"/>
        </w:rPr>
        <w:t>of </w:t>
      </w:r>
      <w:r>
        <w:rPr>
          <w:spacing w:val="-3"/>
          <w:w w:val="105"/>
          <w:sz w:val="21"/>
        </w:rPr>
        <w:t>land. </w:t>
      </w:r>
      <w:r>
        <w:rPr>
          <w:w w:val="105"/>
          <w:sz w:val="21"/>
        </w:rPr>
        <w:t>For </w:t>
      </w:r>
      <w:r>
        <w:rPr>
          <w:spacing w:val="-3"/>
          <w:w w:val="105"/>
          <w:sz w:val="21"/>
        </w:rPr>
        <w:t>example, </w:t>
      </w:r>
      <w:r>
        <w:rPr>
          <w:w w:val="105"/>
          <w:sz w:val="21"/>
        </w:rPr>
        <w:t>in the case of </w:t>
      </w:r>
      <w:r>
        <w:rPr>
          <w:i/>
          <w:w w:val="105"/>
          <w:sz w:val="21"/>
        </w:rPr>
        <w:t>Dallas v </w:t>
      </w:r>
      <w:r>
        <w:rPr>
          <w:i/>
          <w:spacing w:val="-3"/>
          <w:w w:val="105"/>
          <w:sz w:val="21"/>
        </w:rPr>
        <w:t>Watson,</w:t>
      </w:r>
      <w:r>
        <w:rPr>
          <w:spacing w:val="-3"/>
          <w:w w:val="105"/>
          <w:position w:val="7"/>
          <w:sz w:val="12"/>
        </w:rPr>
        <w:t>201 </w:t>
      </w:r>
      <w:r>
        <w:rPr>
          <w:w w:val="105"/>
          <w:sz w:val="21"/>
        </w:rPr>
        <w:t>a survey </w:t>
      </w:r>
      <w:r>
        <w:rPr>
          <w:spacing w:val="-3"/>
          <w:w w:val="105"/>
          <w:sz w:val="21"/>
        </w:rPr>
        <w:t>found that </w:t>
      </w:r>
      <w:r>
        <w:rPr>
          <w:w w:val="105"/>
          <w:sz w:val="21"/>
        </w:rPr>
        <w:t>two-thirds of the straddle tree was </w:t>
      </w:r>
      <w:r>
        <w:rPr>
          <w:spacing w:val="-3"/>
          <w:w w:val="105"/>
          <w:sz w:val="21"/>
        </w:rPr>
        <w:t>situated </w:t>
      </w:r>
      <w:r>
        <w:rPr>
          <w:w w:val="105"/>
          <w:sz w:val="21"/>
        </w:rPr>
        <w:t>on the </w:t>
      </w:r>
      <w:r>
        <w:rPr>
          <w:spacing w:val="-3"/>
          <w:w w:val="105"/>
          <w:sz w:val="21"/>
        </w:rPr>
        <w:t>respondent’s land. </w:t>
      </w:r>
      <w:r>
        <w:rPr>
          <w:w w:val="105"/>
          <w:sz w:val="21"/>
        </w:rPr>
        <w:t>As a </w:t>
      </w:r>
      <w:r>
        <w:rPr>
          <w:spacing w:val="-3"/>
          <w:w w:val="105"/>
          <w:sz w:val="21"/>
        </w:rPr>
        <w:t>result, </w:t>
      </w:r>
      <w:r>
        <w:rPr>
          <w:w w:val="105"/>
          <w:sz w:val="21"/>
        </w:rPr>
        <w:t>the respondent was ordered </w:t>
      </w:r>
      <w:r>
        <w:rPr>
          <w:spacing w:val="-3"/>
          <w:w w:val="105"/>
          <w:sz w:val="21"/>
        </w:rPr>
        <w:t>to </w:t>
      </w:r>
      <w:r>
        <w:rPr>
          <w:spacing w:val="-2"/>
          <w:w w:val="105"/>
          <w:sz w:val="21"/>
        </w:rPr>
        <w:t>pay </w:t>
      </w:r>
      <w:r>
        <w:rPr>
          <w:w w:val="105"/>
          <w:sz w:val="21"/>
        </w:rPr>
        <w:t>two-thirds of the </w:t>
      </w:r>
      <w:r>
        <w:rPr>
          <w:spacing w:val="-3"/>
          <w:w w:val="105"/>
          <w:sz w:val="21"/>
        </w:rPr>
        <w:t>total </w:t>
      </w:r>
      <w:r>
        <w:rPr>
          <w:w w:val="105"/>
          <w:sz w:val="21"/>
        </w:rPr>
        <w:t>cost of tree</w:t>
      </w:r>
      <w:r>
        <w:rPr>
          <w:spacing w:val="-20"/>
          <w:w w:val="105"/>
          <w:sz w:val="21"/>
        </w:rPr>
        <w:t> </w:t>
      </w:r>
      <w:r>
        <w:rPr>
          <w:w w:val="105"/>
          <w:sz w:val="21"/>
        </w:rPr>
        <w:t>removal.</w:t>
      </w:r>
      <w:r>
        <w:rPr>
          <w:w w:val="105"/>
          <w:position w:val="7"/>
          <w:sz w:val="12"/>
        </w:rPr>
        <w:t>202</w:t>
      </w:r>
    </w:p>
    <w:p>
      <w:pPr>
        <w:pStyle w:val="ListParagraph"/>
        <w:numPr>
          <w:ilvl w:val="0"/>
          <w:numId w:val="56"/>
        </w:numPr>
        <w:tabs>
          <w:tab w:pos="2380" w:val="left" w:leader="none"/>
          <w:tab w:pos="2381" w:val="left" w:leader="none"/>
        </w:tabs>
        <w:spacing w:line="242" w:lineRule="auto" w:before="124" w:after="0"/>
        <w:ind w:left="2380" w:right="1947" w:hanging="793"/>
        <w:jc w:val="left"/>
        <w:rPr>
          <w:sz w:val="12"/>
        </w:rPr>
      </w:pPr>
      <w:r>
        <w:rPr>
          <w:sz w:val="21"/>
        </w:rPr>
        <w:t>If the location of the tree </w:t>
      </w:r>
      <w:r>
        <w:rPr>
          <w:spacing w:val="-3"/>
          <w:sz w:val="21"/>
        </w:rPr>
        <w:t>remains unclear </w:t>
      </w:r>
      <w:r>
        <w:rPr>
          <w:sz w:val="21"/>
        </w:rPr>
        <w:t>and </w:t>
      </w:r>
      <w:r>
        <w:rPr>
          <w:spacing w:val="-3"/>
          <w:sz w:val="21"/>
        </w:rPr>
        <w:t>cannot </w:t>
      </w:r>
      <w:r>
        <w:rPr>
          <w:sz w:val="21"/>
        </w:rPr>
        <w:t>be established by the affected </w:t>
      </w:r>
      <w:r>
        <w:rPr>
          <w:spacing w:val="-4"/>
          <w:sz w:val="21"/>
        </w:rPr>
        <w:t>neighbour, </w:t>
      </w:r>
      <w:r>
        <w:rPr>
          <w:spacing w:val="-3"/>
          <w:sz w:val="21"/>
        </w:rPr>
        <w:t>such </w:t>
      </w:r>
      <w:r>
        <w:rPr>
          <w:sz w:val="21"/>
        </w:rPr>
        <w:t>as where the tree </w:t>
      </w:r>
      <w:r>
        <w:rPr>
          <w:spacing w:val="-2"/>
          <w:sz w:val="21"/>
        </w:rPr>
        <w:t>has </w:t>
      </w:r>
      <w:r>
        <w:rPr>
          <w:spacing w:val="-3"/>
          <w:sz w:val="21"/>
        </w:rPr>
        <w:t>already </w:t>
      </w:r>
      <w:r>
        <w:rPr>
          <w:sz w:val="21"/>
        </w:rPr>
        <w:t>been </w:t>
      </w:r>
      <w:r>
        <w:rPr>
          <w:spacing w:val="-3"/>
          <w:sz w:val="21"/>
        </w:rPr>
        <w:t>removed, </w:t>
      </w:r>
      <w:r>
        <w:rPr>
          <w:sz w:val="21"/>
        </w:rPr>
        <w:t>then the matter </w:t>
      </w:r>
      <w:r>
        <w:rPr>
          <w:spacing w:val="-3"/>
          <w:sz w:val="21"/>
        </w:rPr>
        <w:t>may </w:t>
      </w:r>
      <w:r>
        <w:rPr>
          <w:sz w:val="21"/>
        </w:rPr>
        <w:t>be dismissed because the tree </w:t>
      </w:r>
      <w:r>
        <w:rPr>
          <w:spacing w:val="-2"/>
          <w:sz w:val="21"/>
        </w:rPr>
        <w:t>has not </w:t>
      </w:r>
      <w:r>
        <w:rPr>
          <w:sz w:val="21"/>
        </w:rPr>
        <w:t>been </w:t>
      </w:r>
      <w:r>
        <w:rPr>
          <w:spacing w:val="-3"/>
          <w:sz w:val="21"/>
        </w:rPr>
        <w:t>proven to </w:t>
      </w:r>
      <w:r>
        <w:rPr>
          <w:sz w:val="21"/>
        </w:rPr>
        <w:t>be </w:t>
      </w:r>
      <w:r>
        <w:rPr>
          <w:spacing w:val="-3"/>
          <w:sz w:val="21"/>
        </w:rPr>
        <w:t>‘principally’ </w:t>
      </w:r>
      <w:r>
        <w:rPr>
          <w:sz w:val="21"/>
        </w:rPr>
        <w:t>on the tree </w:t>
      </w:r>
      <w:r>
        <w:rPr>
          <w:spacing w:val="-3"/>
          <w:sz w:val="21"/>
        </w:rPr>
        <w:t>owner’s </w:t>
      </w:r>
      <w:r>
        <w:rPr>
          <w:sz w:val="21"/>
        </w:rPr>
        <w:t>land.</w:t>
      </w:r>
      <w:r>
        <w:rPr>
          <w:position w:val="7"/>
          <w:sz w:val="12"/>
        </w:rPr>
        <w:t>203</w:t>
      </w:r>
    </w:p>
    <w:p>
      <w:pPr>
        <w:pStyle w:val="ListParagraph"/>
        <w:numPr>
          <w:ilvl w:val="0"/>
          <w:numId w:val="56"/>
        </w:numPr>
        <w:tabs>
          <w:tab w:pos="2381" w:val="left" w:leader="none"/>
          <w:tab w:pos="2382" w:val="left" w:leader="none"/>
        </w:tabs>
        <w:spacing w:line="242" w:lineRule="auto" w:before="124" w:after="0"/>
        <w:ind w:left="2381" w:right="1762" w:hanging="794"/>
        <w:jc w:val="left"/>
        <w:rPr>
          <w:sz w:val="12"/>
        </w:rPr>
      </w:pPr>
      <w:r>
        <w:rPr>
          <w:w w:val="105"/>
          <w:sz w:val="21"/>
        </w:rPr>
        <w:t>Under the </w:t>
      </w:r>
      <w:r>
        <w:rPr>
          <w:spacing w:val="-3"/>
          <w:w w:val="105"/>
          <w:sz w:val="21"/>
        </w:rPr>
        <w:t>Queensland </w:t>
      </w:r>
      <w:r>
        <w:rPr>
          <w:w w:val="105"/>
          <w:sz w:val="21"/>
        </w:rPr>
        <w:t>Act, the base of the trunk must be ‘wholly or mainly’ on </w:t>
      </w:r>
      <w:r>
        <w:rPr>
          <w:spacing w:val="-3"/>
          <w:w w:val="105"/>
          <w:sz w:val="21"/>
        </w:rPr>
        <w:t>neighbouring </w:t>
      </w:r>
      <w:r>
        <w:rPr>
          <w:w w:val="105"/>
          <w:sz w:val="21"/>
        </w:rPr>
        <w:t>land.</w:t>
      </w:r>
      <w:r>
        <w:rPr>
          <w:w w:val="105"/>
          <w:position w:val="7"/>
          <w:sz w:val="12"/>
        </w:rPr>
        <w:t>204 </w:t>
      </w:r>
      <w:r>
        <w:rPr>
          <w:w w:val="105"/>
          <w:sz w:val="21"/>
        </w:rPr>
        <w:t>It does </w:t>
      </w:r>
      <w:r>
        <w:rPr>
          <w:spacing w:val="-2"/>
          <w:w w:val="105"/>
          <w:sz w:val="21"/>
        </w:rPr>
        <w:t>not </w:t>
      </w:r>
      <w:r>
        <w:rPr>
          <w:w w:val="105"/>
          <w:sz w:val="21"/>
        </w:rPr>
        <w:t>matter if the tree </w:t>
      </w:r>
      <w:r>
        <w:rPr>
          <w:spacing w:val="-2"/>
          <w:w w:val="105"/>
          <w:sz w:val="21"/>
        </w:rPr>
        <w:t>has </w:t>
      </w:r>
      <w:r>
        <w:rPr>
          <w:w w:val="105"/>
          <w:sz w:val="21"/>
        </w:rPr>
        <w:t>been removed by the time the application</w:t>
      </w:r>
      <w:r>
        <w:rPr>
          <w:spacing w:val="-6"/>
          <w:w w:val="105"/>
          <w:sz w:val="21"/>
        </w:rPr>
        <w:t> </w:t>
      </w:r>
      <w:r>
        <w:rPr>
          <w:w w:val="105"/>
          <w:sz w:val="21"/>
        </w:rPr>
        <w:t>is</w:t>
      </w:r>
      <w:r>
        <w:rPr>
          <w:spacing w:val="-5"/>
          <w:w w:val="105"/>
          <w:sz w:val="21"/>
        </w:rPr>
        <w:t> </w:t>
      </w:r>
      <w:r>
        <w:rPr>
          <w:spacing w:val="-3"/>
          <w:w w:val="105"/>
          <w:sz w:val="21"/>
        </w:rPr>
        <w:t>heard.</w:t>
      </w:r>
      <w:r>
        <w:rPr>
          <w:spacing w:val="-5"/>
          <w:w w:val="105"/>
          <w:sz w:val="21"/>
        </w:rPr>
        <w:t> </w:t>
      </w:r>
      <w:r>
        <w:rPr>
          <w:w w:val="105"/>
          <w:sz w:val="21"/>
        </w:rPr>
        <w:t>It</w:t>
      </w:r>
      <w:r>
        <w:rPr>
          <w:spacing w:val="-5"/>
          <w:w w:val="105"/>
          <w:sz w:val="21"/>
        </w:rPr>
        <w:t> </w:t>
      </w:r>
      <w:r>
        <w:rPr>
          <w:w w:val="105"/>
          <w:sz w:val="21"/>
        </w:rPr>
        <w:t>is</w:t>
      </w:r>
      <w:r>
        <w:rPr>
          <w:spacing w:val="-5"/>
          <w:w w:val="105"/>
          <w:sz w:val="21"/>
        </w:rPr>
        <w:t> </w:t>
      </w:r>
      <w:r>
        <w:rPr>
          <w:w w:val="105"/>
          <w:sz w:val="21"/>
        </w:rPr>
        <w:t>enough</w:t>
      </w:r>
      <w:r>
        <w:rPr>
          <w:spacing w:val="-5"/>
          <w:w w:val="105"/>
          <w:sz w:val="21"/>
        </w:rPr>
        <w:t> </w:t>
      </w:r>
      <w:r>
        <w:rPr>
          <w:spacing w:val="-3"/>
          <w:w w:val="105"/>
          <w:sz w:val="21"/>
        </w:rPr>
        <w:t>for</w:t>
      </w:r>
      <w:r>
        <w:rPr>
          <w:spacing w:val="-6"/>
          <w:w w:val="105"/>
          <w:sz w:val="21"/>
        </w:rPr>
        <w:t> </w:t>
      </w:r>
      <w:r>
        <w:rPr>
          <w:w w:val="105"/>
          <w:sz w:val="21"/>
        </w:rPr>
        <w:t>the</w:t>
      </w:r>
      <w:r>
        <w:rPr>
          <w:spacing w:val="-5"/>
          <w:w w:val="105"/>
          <w:sz w:val="21"/>
        </w:rPr>
        <w:t> </w:t>
      </w:r>
      <w:r>
        <w:rPr>
          <w:w w:val="105"/>
          <w:sz w:val="21"/>
        </w:rPr>
        <w:t>tree</w:t>
      </w:r>
      <w:r>
        <w:rPr>
          <w:spacing w:val="-5"/>
          <w:w w:val="105"/>
          <w:sz w:val="21"/>
        </w:rPr>
        <w:t> </w:t>
      </w:r>
      <w:r>
        <w:rPr>
          <w:spacing w:val="-3"/>
          <w:w w:val="105"/>
          <w:sz w:val="21"/>
        </w:rPr>
        <w:t>to</w:t>
      </w:r>
      <w:r>
        <w:rPr>
          <w:spacing w:val="-5"/>
          <w:w w:val="105"/>
          <w:sz w:val="21"/>
        </w:rPr>
        <w:t> </w:t>
      </w:r>
      <w:r>
        <w:rPr>
          <w:spacing w:val="-3"/>
          <w:w w:val="105"/>
          <w:sz w:val="21"/>
        </w:rPr>
        <w:t>have</w:t>
      </w:r>
      <w:r>
        <w:rPr>
          <w:spacing w:val="-5"/>
          <w:w w:val="105"/>
          <w:sz w:val="21"/>
        </w:rPr>
        <w:t> </w:t>
      </w:r>
      <w:r>
        <w:rPr>
          <w:w w:val="105"/>
          <w:sz w:val="21"/>
        </w:rPr>
        <w:t>once</w:t>
      </w:r>
      <w:r>
        <w:rPr>
          <w:spacing w:val="-5"/>
          <w:w w:val="105"/>
          <w:sz w:val="21"/>
        </w:rPr>
        <w:t> </w:t>
      </w:r>
      <w:r>
        <w:rPr>
          <w:w w:val="105"/>
          <w:sz w:val="21"/>
        </w:rPr>
        <w:t>been</w:t>
      </w:r>
      <w:r>
        <w:rPr>
          <w:spacing w:val="-5"/>
          <w:w w:val="105"/>
          <w:sz w:val="21"/>
        </w:rPr>
        <w:t> </w:t>
      </w:r>
      <w:r>
        <w:rPr>
          <w:w w:val="105"/>
          <w:sz w:val="21"/>
        </w:rPr>
        <w:t>wholly</w:t>
      </w:r>
      <w:r>
        <w:rPr>
          <w:spacing w:val="-6"/>
          <w:w w:val="105"/>
          <w:sz w:val="21"/>
        </w:rPr>
        <w:t> </w:t>
      </w:r>
      <w:r>
        <w:rPr>
          <w:w w:val="105"/>
          <w:sz w:val="21"/>
        </w:rPr>
        <w:t>or</w:t>
      </w:r>
      <w:r>
        <w:rPr>
          <w:spacing w:val="-5"/>
          <w:w w:val="105"/>
          <w:sz w:val="21"/>
        </w:rPr>
        <w:t> </w:t>
      </w:r>
      <w:r>
        <w:rPr>
          <w:spacing w:val="-3"/>
          <w:w w:val="105"/>
          <w:sz w:val="21"/>
        </w:rPr>
        <w:t>mainly</w:t>
      </w:r>
      <w:r>
        <w:rPr>
          <w:spacing w:val="-5"/>
          <w:w w:val="105"/>
          <w:sz w:val="21"/>
        </w:rPr>
        <w:t> </w:t>
      </w:r>
      <w:r>
        <w:rPr>
          <w:w w:val="105"/>
          <w:sz w:val="21"/>
        </w:rPr>
        <w:t>on</w:t>
      </w:r>
      <w:r>
        <w:rPr>
          <w:spacing w:val="-5"/>
          <w:w w:val="105"/>
          <w:sz w:val="21"/>
        </w:rPr>
        <w:t> </w:t>
      </w:r>
      <w:r>
        <w:rPr>
          <w:w w:val="105"/>
          <w:sz w:val="21"/>
        </w:rPr>
        <w:t>the </w:t>
      </w:r>
      <w:r>
        <w:rPr>
          <w:spacing w:val="-3"/>
          <w:w w:val="105"/>
          <w:sz w:val="21"/>
        </w:rPr>
        <w:t>land. </w:t>
      </w:r>
      <w:r>
        <w:rPr>
          <w:spacing w:val="-4"/>
          <w:w w:val="105"/>
          <w:sz w:val="21"/>
        </w:rPr>
        <w:t>QCAT </w:t>
      </w:r>
      <w:r>
        <w:rPr>
          <w:spacing w:val="-2"/>
          <w:w w:val="105"/>
          <w:sz w:val="21"/>
        </w:rPr>
        <w:t>has not </w:t>
      </w:r>
      <w:r>
        <w:rPr>
          <w:spacing w:val="-3"/>
          <w:w w:val="105"/>
          <w:sz w:val="21"/>
        </w:rPr>
        <w:t>determined any </w:t>
      </w:r>
      <w:r>
        <w:rPr>
          <w:w w:val="105"/>
          <w:sz w:val="21"/>
        </w:rPr>
        <w:t>cases </w:t>
      </w:r>
      <w:r>
        <w:rPr>
          <w:spacing w:val="-3"/>
          <w:w w:val="105"/>
          <w:sz w:val="21"/>
        </w:rPr>
        <w:t>concerning </w:t>
      </w:r>
      <w:r>
        <w:rPr>
          <w:w w:val="105"/>
          <w:sz w:val="21"/>
        </w:rPr>
        <w:t>ambiguity about whether or </w:t>
      </w:r>
      <w:r>
        <w:rPr>
          <w:spacing w:val="-2"/>
          <w:w w:val="105"/>
          <w:sz w:val="21"/>
        </w:rPr>
        <w:t>not </w:t>
      </w:r>
      <w:r>
        <w:rPr>
          <w:w w:val="105"/>
          <w:sz w:val="21"/>
        </w:rPr>
        <w:t>a straddle tree is </w:t>
      </w:r>
      <w:r>
        <w:rPr>
          <w:spacing w:val="-3"/>
          <w:w w:val="105"/>
          <w:sz w:val="21"/>
        </w:rPr>
        <w:t>‘mainly’ </w:t>
      </w:r>
      <w:r>
        <w:rPr>
          <w:w w:val="105"/>
          <w:sz w:val="21"/>
        </w:rPr>
        <w:t>on a tree </w:t>
      </w:r>
      <w:r>
        <w:rPr>
          <w:spacing w:val="-3"/>
          <w:w w:val="105"/>
          <w:sz w:val="21"/>
        </w:rPr>
        <w:t>owner’s</w:t>
      </w:r>
      <w:r>
        <w:rPr>
          <w:spacing w:val="35"/>
          <w:w w:val="105"/>
          <w:sz w:val="21"/>
        </w:rPr>
        <w:t> </w:t>
      </w:r>
      <w:r>
        <w:rPr>
          <w:w w:val="105"/>
          <w:sz w:val="21"/>
        </w:rPr>
        <w:t>land.</w:t>
      </w:r>
      <w:r>
        <w:rPr>
          <w:w w:val="105"/>
          <w:position w:val="7"/>
          <w:sz w:val="12"/>
        </w:rPr>
        <w:t>205</w:t>
      </w:r>
    </w:p>
    <w:p>
      <w:pPr>
        <w:pStyle w:val="ListParagraph"/>
        <w:numPr>
          <w:ilvl w:val="0"/>
          <w:numId w:val="56"/>
        </w:numPr>
        <w:tabs>
          <w:tab w:pos="2381" w:val="left" w:leader="none"/>
          <w:tab w:pos="2382" w:val="left" w:leader="none"/>
        </w:tabs>
        <w:spacing w:line="242" w:lineRule="auto" w:before="126" w:after="0"/>
        <w:ind w:left="2381" w:right="1747" w:hanging="794"/>
        <w:jc w:val="left"/>
        <w:rPr>
          <w:sz w:val="21"/>
        </w:rPr>
      </w:pPr>
      <w:r>
        <w:rPr>
          <w:w w:val="105"/>
          <w:sz w:val="21"/>
        </w:rPr>
        <w:t>In </w:t>
      </w:r>
      <w:r>
        <w:rPr>
          <w:spacing w:val="-5"/>
          <w:w w:val="105"/>
          <w:sz w:val="21"/>
        </w:rPr>
        <w:t>Tasmania, </w:t>
      </w:r>
      <w:r>
        <w:rPr>
          <w:w w:val="105"/>
          <w:sz w:val="21"/>
        </w:rPr>
        <w:t>a tree is </w:t>
      </w:r>
      <w:r>
        <w:rPr>
          <w:spacing w:val="-4"/>
          <w:w w:val="105"/>
          <w:sz w:val="21"/>
        </w:rPr>
        <w:t>‘situated </w:t>
      </w:r>
      <w:r>
        <w:rPr>
          <w:w w:val="105"/>
          <w:sz w:val="21"/>
        </w:rPr>
        <w:t>on land’ if the base of the trunk, or the </w:t>
      </w:r>
      <w:r>
        <w:rPr>
          <w:spacing w:val="-3"/>
          <w:w w:val="105"/>
          <w:sz w:val="21"/>
        </w:rPr>
        <w:t>place </w:t>
      </w:r>
      <w:r>
        <w:rPr>
          <w:w w:val="105"/>
          <w:sz w:val="21"/>
        </w:rPr>
        <w:t>at which the stem of the </w:t>
      </w:r>
      <w:r>
        <w:rPr>
          <w:spacing w:val="-3"/>
          <w:w w:val="105"/>
          <w:sz w:val="21"/>
        </w:rPr>
        <w:t>plant </w:t>
      </w:r>
      <w:r>
        <w:rPr>
          <w:w w:val="105"/>
          <w:sz w:val="21"/>
        </w:rPr>
        <w:t>connects with the roots of the </w:t>
      </w:r>
      <w:r>
        <w:rPr>
          <w:spacing w:val="-3"/>
          <w:w w:val="105"/>
          <w:sz w:val="21"/>
        </w:rPr>
        <w:t>plant, </w:t>
      </w:r>
      <w:r>
        <w:rPr>
          <w:w w:val="105"/>
          <w:sz w:val="21"/>
        </w:rPr>
        <w:t>is in whole or in part on the land.</w:t>
      </w:r>
      <w:r>
        <w:rPr>
          <w:w w:val="105"/>
          <w:position w:val="7"/>
          <w:sz w:val="12"/>
        </w:rPr>
        <w:t>206 </w:t>
      </w:r>
      <w:r>
        <w:rPr>
          <w:w w:val="105"/>
          <w:sz w:val="21"/>
        </w:rPr>
        <w:t>For the purposes of </w:t>
      </w:r>
      <w:r>
        <w:rPr>
          <w:spacing w:val="-3"/>
          <w:w w:val="105"/>
          <w:sz w:val="21"/>
        </w:rPr>
        <w:t>bringing </w:t>
      </w:r>
      <w:r>
        <w:rPr>
          <w:w w:val="105"/>
          <w:sz w:val="21"/>
        </w:rPr>
        <w:t>an action under the </w:t>
      </w:r>
      <w:r>
        <w:rPr>
          <w:spacing w:val="-4"/>
          <w:w w:val="105"/>
          <w:sz w:val="21"/>
        </w:rPr>
        <w:t>Tasmanian </w:t>
      </w:r>
      <w:r>
        <w:rPr>
          <w:w w:val="105"/>
          <w:sz w:val="21"/>
        </w:rPr>
        <w:t>Act, the tree </w:t>
      </w:r>
      <w:r>
        <w:rPr>
          <w:spacing w:val="-3"/>
          <w:w w:val="105"/>
          <w:sz w:val="21"/>
        </w:rPr>
        <w:t>will </w:t>
      </w:r>
      <w:r>
        <w:rPr>
          <w:w w:val="105"/>
          <w:sz w:val="21"/>
        </w:rPr>
        <w:t>be </w:t>
      </w:r>
      <w:r>
        <w:rPr>
          <w:spacing w:val="-3"/>
          <w:w w:val="105"/>
          <w:sz w:val="21"/>
        </w:rPr>
        <w:t>treated</w:t>
      </w:r>
      <w:r>
        <w:rPr>
          <w:spacing w:val="-4"/>
          <w:w w:val="105"/>
          <w:sz w:val="21"/>
        </w:rPr>
        <w:t> </w:t>
      </w:r>
      <w:r>
        <w:rPr>
          <w:w w:val="105"/>
          <w:sz w:val="21"/>
        </w:rPr>
        <w:t>as</w:t>
      </w:r>
      <w:r>
        <w:rPr>
          <w:spacing w:val="-4"/>
          <w:w w:val="105"/>
          <w:sz w:val="21"/>
        </w:rPr>
        <w:t> </w:t>
      </w:r>
      <w:r>
        <w:rPr>
          <w:w w:val="105"/>
          <w:sz w:val="21"/>
        </w:rPr>
        <w:t>if</w:t>
      </w:r>
      <w:r>
        <w:rPr>
          <w:spacing w:val="-4"/>
          <w:w w:val="105"/>
          <w:sz w:val="21"/>
        </w:rPr>
        <w:t> </w:t>
      </w:r>
      <w:r>
        <w:rPr>
          <w:w w:val="105"/>
          <w:sz w:val="21"/>
        </w:rPr>
        <w:t>it</w:t>
      </w:r>
      <w:r>
        <w:rPr>
          <w:spacing w:val="-4"/>
          <w:w w:val="105"/>
          <w:sz w:val="21"/>
        </w:rPr>
        <w:t> </w:t>
      </w:r>
      <w:r>
        <w:rPr>
          <w:w w:val="105"/>
          <w:sz w:val="21"/>
        </w:rPr>
        <w:t>lies</w:t>
      </w:r>
      <w:r>
        <w:rPr>
          <w:spacing w:val="-4"/>
          <w:w w:val="105"/>
          <w:sz w:val="21"/>
        </w:rPr>
        <w:t> </w:t>
      </w:r>
      <w:r>
        <w:rPr>
          <w:w w:val="105"/>
          <w:sz w:val="21"/>
        </w:rPr>
        <w:t>wholly</w:t>
      </w:r>
      <w:r>
        <w:rPr>
          <w:spacing w:val="-4"/>
          <w:w w:val="105"/>
          <w:sz w:val="21"/>
        </w:rPr>
        <w:t> </w:t>
      </w:r>
      <w:r>
        <w:rPr>
          <w:w w:val="105"/>
          <w:sz w:val="21"/>
        </w:rPr>
        <w:t>on</w:t>
      </w:r>
      <w:r>
        <w:rPr>
          <w:spacing w:val="-4"/>
          <w:w w:val="105"/>
          <w:sz w:val="21"/>
        </w:rPr>
        <w:t> </w:t>
      </w:r>
      <w:r>
        <w:rPr>
          <w:w w:val="105"/>
          <w:sz w:val="21"/>
        </w:rPr>
        <w:t>the</w:t>
      </w:r>
      <w:r>
        <w:rPr>
          <w:spacing w:val="-3"/>
          <w:w w:val="105"/>
          <w:sz w:val="21"/>
        </w:rPr>
        <w:t> neighbouring</w:t>
      </w:r>
      <w:r>
        <w:rPr>
          <w:spacing w:val="-4"/>
          <w:w w:val="105"/>
          <w:sz w:val="21"/>
        </w:rPr>
        <w:t> </w:t>
      </w:r>
      <w:r>
        <w:rPr>
          <w:spacing w:val="-3"/>
          <w:w w:val="105"/>
          <w:sz w:val="21"/>
        </w:rPr>
        <w:t>land</w:t>
      </w:r>
      <w:r>
        <w:rPr>
          <w:spacing w:val="-4"/>
          <w:w w:val="105"/>
          <w:sz w:val="21"/>
        </w:rPr>
        <w:t> </w:t>
      </w:r>
      <w:r>
        <w:rPr>
          <w:w w:val="105"/>
          <w:sz w:val="21"/>
        </w:rPr>
        <w:t>even</w:t>
      </w:r>
      <w:r>
        <w:rPr>
          <w:spacing w:val="-4"/>
          <w:w w:val="105"/>
          <w:sz w:val="21"/>
        </w:rPr>
        <w:t> </w:t>
      </w:r>
      <w:r>
        <w:rPr>
          <w:w w:val="105"/>
          <w:sz w:val="21"/>
        </w:rPr>
        <w:t>if</w:t>
      </w:r>
      <w:r>
        <w:rPr>
          <w:spacing w:val="-4"/>
          <w:w w:val="105"/>
          <w:sz w:val="21"/>
        </w:rPr>
        <w:t> </w:t>
      </w:r>
      <w:r>
        <w:rPr>
          <w:w w:val="105"/>
          <w:sz w:val="21"/>
        </w:rPr>
        <w:t>it</w:t>
      </w:r>
      <w:r>
        <w:rPr>
          <w:spacing w:val="-4"/>
          <w:w w:val="105"/>
          <w:sz w:val="21"/>
        </w:rPr>
        <w:t> </w:t>
      </w:r>
      <w:r>
        <w:rPr>
          <w:w w:val="105"/>
          <w:sz w:val="21"/>
        </w:rPr>
        <w:t>straddles</w:t>
      </w:r>
      <w:r>
        <w:rPr>
          <w:spacing w:val="-4"/>
          <w:w w:val="105"/>
          <w:sz w:val="21"/>
        </w:rPr>
        <w:t> </w:t>
      </w:r>
      <w:r>
        <w:rPr>
          <w:w w:val="105"/>
          <w:sz w:val="21"/>
        </w:rPr>
        <w:t>the</w:t>
      </w:r>
      <w:r>
        <w:rPr>
          <w:spacing w:val="-4"/>
          <w:w w:val="105"/>
          <w:sz w:val="21"/>
        </w:rPr>
        <w:t> </w:t>
      </w:r>
      <w:r>
        <w:rPr>
          <w:w w:val="105"/>
          <w:sz w:val="21"/>
        </w:rPr>
        <w:t>boundary</w:t>
      </w:r>
      <w:r>
        <w:rPr>
          <w:spacing w:val="-3"/>
          <w:w w:val="105"/>
          <w:sz w:val="21"/>
        </w:rPr>
        <w:t> </w:t>
      </w:r>
      <w:r>
        <w:rPr>
          <w:w w:val="105"/>
          <w:sz w:val="21"/>
        </w:rPr>
        <w:t>of</w:t>
      </w:r>
    </w:p>
    <w:p>
      <w:pPr>
        <w:pStyle w:val="BodyText"/>
        <w:spacing w:line="242" w:lineRule="auto" w:before="4"/>
        <w:ind w:left="2381" w:right="1668"/>
        <w:rPr>
          <w:sz w:val="12"/>
        </w:rPr>
      </w:pPr>
      <w:r>
        <w:rPr>
          <w:spacing w:val="-3"/>
          <w:w w:val="105"/>
        </w:rPr>
        <w:t>adjoining</w:t>
      </w:r>
      <w:r>
        <w:rPr>
          <w:spacing w:val="-7"/>
          <w:w w:val="105"/>
        </w:rPr>
        <w:t> </w:t>
      </w:r>
      <w:r>
        <w:rPr>
          <w:w w:val="105"/>
        </w:rPr>
        <w:t>properties.</w:t>
      </w:r>
      <w:r>
        <w:rPr>
          <w:spacing w:val="-7"/>
          <w:w w:val="105"/>
        </w:rPr>
        <w:t> </w:t>
      </w:r>
      <w:r>
        <w:rPr>
          <w:w w:val="105"/>
        </w:rPr>
        <w:t>That</w:t>
      </w:r>
      <w:r>
        <w:rPr>
          <w:spacing w:val="-6"/>
          <w:w w:val="105"/>
        </w:rPr>
        <w:t> </w:t>
      </w:r>
      <w:r>
        <w:rPr>
          <w:w w:val="105"/>
        </w:rPr>
        <w:t>is,</w:t>
      </w:r>
      <w:r>
        <w:rPr>
          <w:spacing w:val="-7"/>
          <w:w w:val="105"/>
        </w:rPr>
        <w:t> </w:t>
      </w:r>
      <w:r>
        <w:rPr>
          <w:w w:val="105"/>
        </w:rPr>
        <w:t>either</w:t>
      </w:r>
      <w:r>
        <w:rPr>
          <w:spacing w:val="-6"/>
          <w:w w:val="105"/>
        </w:rPr>
        <w:t> </w:t>
      </w:r>
      <w:r>
        <w:rPr>
          <w:spacing w:val="-4"/>
          <w:w w:val="105"/>
        </w:rPr>
        <w:t>neighbour,</w:t>
      </w:r>
      <w:r>
        <w:rPr>
          <w:spacing w:val="-7"/>
          <w:w w:val="105"/>
        </w:rPr>
        <w:t> </w:t>
      </w:r>
      <w:r>
        <w:rPr>
          <w:spacing w:val="-3"/>
          <w:w w:val="105"/>
        </w:rPr>
        <w:t>although</w:t>
      </w:r>
      <w:r>
        <w:rPr>
          <w:spacing w:val="-7"/>
          <w:w w:val="105"/>
        </w:rPr>
        <w:t> </w:t>
      </w:r>
      <w:r>
        <w:rPr>
          <w:w w:val="105"/>
        </w:rPr>
        <w:t>both</w:t>
      </w:r>
      <w:r>
        <w:rPr>
          <w:spacing w:val="-6"/>
          <w:w w:val="105"/>
        </w:rPr>
        <w:t> </w:t>
      </w:r>
      <w:r>
        <w:rPr>
          <w:spacing w:val="-3"/>
          <w:w w:val="105"/>
        </w:rPr>
        <w:t>are</w:t>
      </w:r>
      <w:r>
        <w:rPr>
          <w:spacing w:val="-7"/>
          <w:w w:val="105"/>
        </w:rPr>
        <w:t> </w:t>
      </w:r>
      <w:r>
        <w:rPr>
          <w:spacing w:val="-3"/>
          <w:w w:val="105"/>
        </w:rPr>
        <w:t>technically</w:t>
      </w:r>
      <w:r>
        <w:rPr>
          <w:spacing w:val="-6"/>
          <w:w w:val="105"/>
        </w:rPr>
        <w:t> </w:t>
      </w:r>
      <w:r>
        <w:rPr>
          <w:w w:val="105"/>
        </w:rPr>
        <w:t>tree</w:t>
      </w:r>
      <w:r>
        <w:rPr>
          <w:spacing w:val="-7"/>
          <w:w w:val="105"/>
        </w:rPr>
        <w:t> </w:t>
      </w:r>
      <w:r>
        <w:rPr>
          <w:w w:val="105"/>
        </w:rPr>
        <w:t>owners, can issue </w:t>
      </w:r>
      <w:r>
        <w:rPr>
          <w:spacing w:val="-3"/>
          <w:w w:val="105"/>
        </w:rPr>
        <w:t>proceedings </w:t>
      </w:r>
      <w:r>
        <w:rPr>
          <w:w w:val="105"/>
        </w:rPr>
        <w:t>if the tree is affecting them in the ways </w:t>
      </w:r>
      <w:r>
        <w:rPr>
          <w:spacing w:val="-3"/>
          <w:w w:val="105"/>
        </w:rPr>
        <w:t>covered </w:t>
      </w:r>
      <w:r>
        <w:rPr>
          <w:w w:val="105"/>
        </w:rPr>
        <w:t>by the </w:t>
      </w:r>
      <w:r>
        <w:rPr>
          <w:spacing w:val="-4"/>
          <w:w w:val="105"/>
        </w:rPr>
        <w:t>Tasmanian </w:t>
      </w:r>
      <w:r>
        <w:rPr>
          <w:w w:val="105"/>
        </w:rPr>
        <w:t>Act. In </w:t>
      </w:r>
      <w:r>
        <w:rPr>
          <w:spacing w:val="-3"/>
          <w:w w:val="105"/>
        </w:rPr>
        <w:t>determining </w:t>
      </w:r>
      <w:r>
        <w:rPr>
          <w:w w:val="105"/>
        </w:rPr>
        <w:t>the extent </w:t>
      </w:r>
      <w:r>
        <w:rPr>
          <w:spacing w:val="-3"/>
          <w:w w:val="105"/>
        </w:rPr>
        <w:t>to </w:t>
      </w:r>
      <w:r>
        <w:rPr>
          <w:w w:val="105"/>
        </w:rPr>
        <w:t>which the tree is affecting a </w:t>
      </w:r>
      <w:r>
        <w:rPr>
          <w:spacing w:val="-4"/>
          <w:w w:val="105"/>
        </w:rPr>
        <w:t>neighbour, </w:t>
      </w:r>
      <w:r>
        <w:rPr>
          <w:w w:val="105"/>
        </w:rPr>
        <w:t>the proportion of the tree </w:t>
      </w:r>
      <w:r>
        <w:rPr>
          <w:spacing w:val="-3"/>
          <w:w w:val="105"/>
        </w:rPr>
        <w:t>situated </w:t>
      </w:r>
      <w:r>
        <w:rPr>
          <w:w w:val="105"/>
        </w:rPr>
        <w:t>on each </w:t>
      </w:r>
      <w:r>
        <w:rPr>
          <w:spacing w:val="-3"/>
          <w:w w:val="105"/>
        </w:rPr>
        <w:t>area </w:t>
      </w:r>
      <w:r>
        <w:rPr>
          <w:w w:val="105"/>
        </w:rPr>
        <w:t>of </w:t>
      </w:r>
      <w:r>
        <w:rPr>
          <w:spacing w:val="-3"/>
          <w:w w:val="105"/>
        </w:rPr>
        <w:t>land will </w:t>
      </w:r>
      <w:r>
        <w:rPr>
          <w:w w:val="105"/>
        </w:rPr>
        <w:t>be </w:t>
      </w:r>
      <w:r>
        <w:rPr>
          <w:spacing w:val="-3"/>
          <w:w w:val="105"/>
        </w:rPr>
        <w:t>taken </w:t>
      </w:r>
      <w:r>
        <w:rPr>
          <w:spacing w:val="-4"/>
          <w:w w:val="105"/>
        </w:rPr>
        <w:t>into </w:t>
      </w:r>
      <w:r>
        <w:rPr>
          <w:spacing w:val="-3"/>
          <w:w w:val="105"/>
        </w:rPr>
        <w:t>account.</w:t>
      </w:r>
      <w:r>
        <w:rPr>
          <w:spacing w:val="-3"/>
          <w:w w:val="105"/>
          <w:position w:val="7"/>
          <w:sz w:val="12"/>
        </w:rPr>
        <w:t>207 </w:t>
      </w:r>
      <w:r>
        <w:rPr>
          <w:w w:val="105"/>
        </w:rPr>
        <w:t>The </w:t>
      </w:r>
      <w:r>
        <w:rPr>
          <w:spacing w:val="-3"/>
          <w:w w:val="105"/>
        </w:rPr>
        <w:t>Resource Management </w:t>
      </w:r>
      <w:r>
        <w:rPr>
          <w:w w:val="105"/>
        </w:rPr>
        <w:t>and </w:t>
      </w:r>
      <w:r>
        <w:rPr>
          <w:spacing w:val="-3"/>
          <w:w w:val="105"/>
        </w:rPr>
        <w:t>Planning </w:t>
      </w:r>
      <w:r>
        <w:rPr>
          <w:w w:val="105"/>
        </w:rPr>
        <w:t>Appeal </w:t>
      </w:r>
      <w:r>
        <w:rPr>
          <w:spacing w:val="-5"/>
          <w:w w:val="105"/>
        </w:rPr>
        <w:t>Tribunal </w:t>
      </w:r>
      <w:r>
        <w:rPr>
          <w:spacing w:val="-3"/>
          <w:w w:val="105"/>
        </w:rPr>
        <w:t>(RMPAT) </w:t>
      </w:r>
      <w:r>
        <w:rPr>
          <w:spacing w:val="-2"/>
          <w:w w:val="105"/>
        </w:rPr>
        <w:t>has </w:t>
      </w:r>
      <w:r>
        <w:rPr>
          <w:spacing w:val="-3"/>
          <w:w w:val="105"/>
        </w:rPr>
        <w:t>discretion to </w:t>
      </w:r>
      <w:r>
        <w:rPr>
          <w:spacing w:val="-4"/>
          <w:w w:val="105"/>
        </w:rPr>
        <w:t>make </w:t>
      </w:r>
      <w:r>
        <w:rPr>
          <w:w w:val="105"/>
        </w:rPr>
        <w:t>orders </w:t>
      </w:r>
      <w:r>
        <w:rPr>
          <w:spacing w:val="-3"/>
          <w:w w:val="105"/>
        </w:rPr>
        <w:t>against </w:t>
      </w:r>
      <w:r>
        <w:rPr>
          <w:w w:val="105"/>
        </w:rPr>
        <w:t>both owners as if they </w:t>
      </w:r>
      <w:r>
        <w:rPr>
          <w:spacing w:val="-3"/>
          <w:w w:val="105"/>
        </w:rPr>
        <w:t>were joint </w:t>
      </w:r>
      <w:r>
        <w:rPr>
          <w:w w:val="105"/>
        </w:rPr>
        <w:t>owners or either</w:t>
      </w:r>
      <w:r>
        <w:rPr>
          <w:spacing w:val="39"/>
          <w:w w:val="105"/>
        </w:rPr>
        <w:t> </w:t>
      </w:r>
      <w:r>
        <w:rPr>
          <w:w w:val="105"/>
        </w:rPr>
        <w:t>owner.</w:t>
      </w:r>
      <w:r>
        <w:rPr>
          <w:w w:val="105"/>
          <w:position w:val="7"/>
          <w:sz w:val="12"/>
        </w:rPr>
        <w:t>208</w:t>
      </w:r>
    </w:p>
    <w:p>
      <w:pPr>
        <w:pStyle w:val="Heading7"/>
        <w:spacing w:before="157"/>
      </w:pPr>
      <w:r>
        <w:rPr>
          <w:color w:val="58595B"/>
          <w:w w:val="115"/>
        </w:rPr>
        <w:t>International jurisdictions—trees on boundaries</w:t>
      </w:r>
    </w:p>
    <w:p>
      <w:pPr>
        <w:pStyle w:val="ListParagraph"/>
        <w:numPr>
          <w:ilvl w:val="0"/>
          <w:numId w:val="56"/>
        </w:numPr>
        <w:tabs>
          <w:tab w:pos="2381" w:val="left" w:leader="none"/>
          <w:tab w:pos="2382" w:val="left" w:leader="none"/>
        </w:tabs>
        <w:spacing w:line="242" w:lineRule="auto" w:before="143" w:after="0"/>
        <w:ind w:left="2381" w:right="1659" w:hanging="794"/>
        <w:jc w:val="left"/>
        <w:rPr>
          <w:sz w:val="21"/>
        </w:rPr>
      </w:pPr>
      <w:r>
        <w:rPr>
          <w:sz w:val="21"/>
        </w:rPr>
        <w:t>The </w:t>
      </w:r>
      <w:r>
        <w:rPr>
          <w:spacing w:val="-3"/>
          <w:sz w:val="21"/>
        </w:rPr>
        <w:t>consultation </w:t>
      </w:r>
      <w:r>
        <w:rPr>
          <w:sz w:val="21"/>
        </w:rPr>
        <w:t>paper detailed the approaches </w:t>
      </w:r>
      <w:r>
        <w:rPr>
          <w:spacing w:val="-3"/>
          <w:sz w:val="21"/>
        </w:rPr>
        <w:t>to </w:t>
      </w:r>
      <w:r>
        <w:rPr>
          <w:sz w:val="21"/>
        </w:rPr>
        <w:t>trees </w:t>
      </w:r>
      <w:r>
        <w:rPr>
          <w:spacing w:val="-3"/>
          <w:sz w:val="21"/>
        </w:rPr>
        <w:t>that </w:t>
      </w:r>
      <w:r>
        <w:rPr>
          <w:sz w:val="21"/>
        </w:rPr>
        <w:t>straddle boundaries in some </w:t>
      </w:r>
      <w:r>
        <w:rPr>
          <w:spacing w:val="-3"/>
          <w:sz w:val="21"/>
        </w:rPr>
        <w:t>Canadian provinces </w:t>
      </w:r>
      <w:r>
        <w:rPr>
          <w:sz w:val="21"/>
        </w:rPr>
        <w:t>and the </w:t>
      </w:r>
      <w:r>
        <w:rPr>
          <w:spacing w:val="-3"/>
          <w:sz w:val="21"/>
        </w:rPr>
        <w:t>United States. </w:t>
      </w:r>
      <w:r>
        <w:rPr>
          <w:sz w:val="21"/>
        </w:rPr>
        <w:t>Laws in these </w:t>
      </w:r>
      <w:r>
        <w:rPr>
          <w:spacing w:val="-3"/>
          <w:sz w:val="21"/>
        </w:rPr>
        <w:t>countries take </w:t>
      </w:r>
      <w:r>
        <w:rPr>
          <w:sz w:val="21"/>
        </w:rPr>
        <w:t>a more collective approach </w:t>
      </w:r>
      <w:r>
        <w:rPr>
          <w:spacing w:val="-3"/>
          <w:sz w:val="21"/>
        </w:rPr>
        <w:t>to  </w:t>
      </w:r>
      <w:r>
        <w:rPr>
          <w:sz w:val="21"/>
        </w:rPr>
        <w:t>the ownership of straddle trees by </w:t>
      </w:r>
      <w:r>
        <w:rPr>
          <w:spacing w:val="-3"/>
          <w:sz w:val="21"/>
        </w:rPr>
        <w:t>requiring</w:t>
      </w:r>
      <w:r>
        <w:rPr>
          <w:spacing w:val="41"/>
          <w:sz w:val="21"/>
        </w:rPr>
        <w:t> </w:t>
      </w:r>
      <w:r>
        <w:rPr>
          <w:sz w:val="21"/>
        </w:rPr>
        <w:t>the cost of works </w:t>
      </w:r>
      <w:r>
        <w:rPr>
          <w:spacing w:val="-3"/>
          <w:sz w:val="21"/>
        </w:rPr>
        <w:t>to  straddle  </w:t>
      </w:r>
      <w:r>
        <w:rPr>
          <w:sz w:val="21"/>
        </w:rPr>
        <w:t>trees </w:t>
      </w:r>
      <w:r>
        <w:rPr>
          <w:spacing w:val="-3"/>
          <w:sz w:val="21"/>
        </w:rPr>
        <w:t>to </w:t>
      </w:r>
      <w:r>
        <w:rPr>
          <w:sz w:val="21"/>
        </w:rPr>
        <w:t>be </w:t>
      </w:r>
      <w:r>
        <w:rPr>
          <w:spacing w:val="-3"/>
          <w:sz w:val="21"/>
        </w:rPr>
        <w:t>shared </w:t>
      </w:r>
      <w:r>
        <w:rPr>
          <w:sz w:val="21"/>
        </w:rPr>
        <w:t>and permission obtained </w:t>
      </w:r>
      <w:r>
        <w:rPr>
          <w:spacing w:val="-3"/>
          <w:sz w:val="21"/>
        </w:rPr>
        <w:t>from all </w:t>
      </w:r>
      <w:r>
        <w:rPr>
          <w:sz w:val="21"/>
        </w:rPr>
        <w:t>owners </w:t>
      </w:r>
      <w:r>
        <w:rPr>
          <w:spacing w:val="-3"/>
          <w:sz w:val="21"/>
        </w:rPr>
        <w:t>before </w:t>
      </w:r>
      <w:r>
        <w:rPr>
          <w:sz w:val="21"/>
        </w:rPr>
        <w:t>works can</w:t>
      </w:r>
      <w:r>
        <w:rPr>
          <w:spacing w:val="-24"/>
          <w:sz w:val="21"/>
        </w:rPr>
        <w:t> </w:t>
      </w:r>
      <w:r>
        <w:rPr>
          <w:sz w:val="21"/>
        </w:rPr>
        <w:t>start.</w:t>
      </w:r>
    </w:p>
    <w:p>
      <w:pPr>
        <w:pStyle w:val="ListParagraph"/>
        <w:numPr>
          <w:ilvl w:val="0"/>
          <w:numId w:val="56"/>
        </w:numPr>
        <w:tabs>
          <w:tab w:pos="2380" w:val="left" w:leader="none"/>
          <w:tab w:pos="2381" w:val="left" w:leader="none"/>
        </w:tabs>
        <w:spacing w:line="242" w:lineRule="auto" w:before="124" w:after="0"/>
        <w:ind w:left="2381" w:right="2056" w:hanging="794"/>
        <w:jc w:val="left"/>
        <w:rPr>
          <w:sz w:val="21"/>
        </w:rPr>
      </w:pPr>
      <w:r>
        <w:rPr>
          <w:w w:val="105"/>
          <w:sz w:val="21"/>
        </w:rPr>
        <w:t>In </w:t>
      </w:r>
      <w:r>
        <w:rPr>
          <w:spacing w:val="-3"/>
          <w:w w:val="105"/>
          <w:sz w:val="21"/>
        </w:rPr>
        <w:t>Ontario, </w:t>
      </w:r>
      <w:r>
        <w:rPr>
          <w:spacing w:val="-4"/>
          <w:w w:val="105"/>
          <w:sz w:val="21"/>
        </w:rPr>
        <w:t>Canada, </w:t>
      </w:r>
      <w:r>
        <w:rPr>
          <w:w w:val="105"/>
          <w:sz w:val="21"/>
        </w:rPr>
        <w:t>under the </w:t>
      </w:r>
      <w:r>
        <w:rPr>
          <w:i/>
          <w:w w:val="105"/>
          <w:sz w:val="21"/>
        </w:rPr>
        <w:t>Forestry Act, </w:t>
      </w:r>
      <w:r>
        <w:rPr>
          <w:w w:val="105"/>
          <w:sz w:val="21"/>
        </w:rPr>
        <w:t>‘Every tree whose trunk is </w:t>
      </w:r>
      <w:r>
        <w:rPr>
          <w:spacing w:val="-3"/>
          <w:w w:val="105"/>
          <w:sz w:val="21"/>
        </w:rPr>
        <w:t>growing </w:t>
      </w:r>
      <w:r>
        <w:rPr>
          <w:w w:val="105"/>
          <w:sz w:val="21"/>
        </w:rPr>
        <w:t>on the</w:t>
      </w:r>
      <w:r>
        <w:rPr>
          <w:spacing w:val="-5"/>
          <w:w w:val="105"/>
          <w:sz w:val="21"/>
        </w:rPr>
        <w:t> </w:t>
      </w:r>
      <w:r>
        <w:rPr>
          <w:w w:val="105"/>
          <w:sz w:val="21"/>
        </w:rPr>
        <w:t>boundary</w:t>
      </w:r>
      <w:r>
        <w:rPr>
          <w:spacing w:val="-4"/>
          <w:w w:val="105"/>
          <w:sz w:val="21"/>
        </w:rPr>
        <w:t> </w:t>
      </w:r>
      <w:r>
        <w:rPr>
          <w:w w:val="105"/>
          <w:sz w:val="21"/>
        </w:rPr>
        <w:t>between</w:t>
      </w:r>
      <w:r>
        <w:rPr>
          <w:spacing w:val="-4"/>
          <w:w w:val="105"/>
          <w:sz w:val="21"/>
        </w:rPr>
        <w:t> </w:t>
      </w:r>
      <w:r>
        <w:rPr>
          <w:spacing w:val="-3"/>
          <w:w w:val="105"/>
          <w:sz w:val="21"/>
        </w:rPr>
        <w:t>adjoining</w:t>
      </w:r>
      <w:r>
        <w:rPr>
          <w:spacing w:val="-4"/>
          <w:w w:val="105"/>
          <w:sz w:val="21"/>
        </w:rPr>
        <w:t> </w:t>
      </w:r>
      <w:r>
        <w:rPr>
          <w:spacing w:val="-3"/>
          <w:w w:val="105"/>
          <w:sz w:val="21"/>
        </w:rPr>
        <w:t>lands</w:t>
      </w:r>
      <w:r>
        <w:rPr>
          <w:spacing w:val="-5"/>
          <w:w w:val="105"/>
          <w:sz w:val="21"/>
        </w:rPr>
        <w:t> </w:t>
      </w:r>
      <w:r>
        <w:rPr>
          <w:w w:val="105"/>
          <w:sz w:val="21"/>
        </w:rPr>
        <w:t>is</w:t>
      </w:r>
      <w:r>
        <w:rPr>
          <w:spacing w:val="-4"/>
          <w:w w:val="105"/>
          <w:sz w:val="21"/>
        </w:rPr>
        <w:t> </w:t>
      </w:r>
      <w:r>
        <w:rPr>
          <w:w w:val="105"/>
          <w:sz w:val="21"/>
        </w:rPr>
        <w:t>the</w:t>
      </w:r>
      <w:r>
        <w:rPr>
          <w:spacing w:val="-4"/>
          <w:w w:val="105"/>
          <w:sz w:val="21"/>
        </w:rPr>
        <w:t> </w:t>
      </w:r>
      <w:r>
        <w:rPr>
          <w:spacing w:val="-2"/>
          <w:w w:val="105"/>
          <w:sz w:val="21"/>
        </w:rPr>
        <w:t>common</w:t>
      </w:r>
      <w:r>
        <w:rPr>
          <w:spacing w:val="-4"/>
          <w:w w:val="105"/>
          <w:sz w:val="21"/>
        </w:rPr>
        <w:t> </w:t>
      </w:r>
      <w:r>
        <w:rPr>
          <w:w w:val="105"/>
          <w:sz w:val="21"/>
        </w:rPr>
        <w:t>property</w:t>
      </w:r>
      <w:r>
        <w:rPr>
          <w:spacing w:val="-5"/>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owners</w:t>
      </w:r>
      <w:r>
        <w:rPr>
          <w:spacing w:val="-4"/>
          <w:w w:val="105"/>
          <w:sz w:val="21"/>
        </w:rPr>
        <w:t> </w:t>
      </w:r>
      <w:r>
        <w:rPr>
          <w:w w:val="105"/>
          <w:sz w:val="21"/>
        </w:rPr>
        <w:t>of</w:t>
      </w:r>
      <w:r>
        <w:rPr>
          <w:spacing w:val="-5"/>
          <w:w w:val="105"/>
          <w:sz w:val="21"/>
        </w:rPr>
        <w:t> </w:t>
      </w:r>
      <w:r>
        <w:rPr>
          <w:w w:val="105"/>
          <w:sz w:val="21"/>
        </w:rPr>
        <w:t>the</w:t>
      </w:r>
    </w:p>
    <w:p>
      <w:pPr>
        <w:pStyle w:val="BodyText"/>
        <w:spacing w:before="2"/>
        <w:ind w:left="2380"/>
      </w:pPr>
      <w:r>
        <w:rPr>
          <w:w w:val="105"/>
        </w:rPr>
        <w:t>adjoining lands’ irrespective of who planted the tree.</w:t>
      </w:r>
      <w:r>
        <w:rPr>
          <w:w w:val="105"/>
          <w:position w:val="7"/>
          <w:sz w:val="12"/>
        </w:rPr>
        <w:t>209 </w:t>
      </w:r>
      <w:r>
        <w:rPr>
          <w:w w:val="105"/>
        </w:rPr>
        <w:t>Any action taken in relation to the</w:t>
      </w:r>
    </w:p>
    <w:p>
      <w:pPr>
        <w:pStyle w:val="BodyText"/>
        <w:spacing w:before="10"/>
        <w:rPr>
          <w:sz w:val="19"/>
        </w:rPr>
      </w:pPr>
      <w:r>
        <w:rPr/>
        <w:pict>
          <v:line style="position:absolute;mso-position-horizontal-relative:page;mso-position-vertical-relative:paragraph;z-index:4376;mso-wrap-distance-left:0;mso-wrap-distance-right:0" from="79.370102pt,14.57784pt" to="515.905102pt,14.57784pt" stroked="true" strokeweight="1pt" strokecolor="#c9d2cb">
            <v:stroke dashstyle="solid"/>
            <w10:wrap type="topAndBottom"/>
          </v:line>
        </w:pict>
      </w:r>
    </w:p>
    <w:p>
      <w:pPr>
        <w:pStyle w:val="ListParagraph"/>
        <w:numPr>
          <w:ilvl w:val="0"/>
          <w:numId w:val="61"/>
        </w:numPr>
        <w:tabs>
          <w:tab w:pos="2380" w:val="left" w:leader="none"/>
          <w:tab w:pos="2382" w:val="left" w:leader="none"/>
        </w:tabs>
        <w:spacing w:line="240" w:lineRule="auto" w:before="117" w:after="0"/>
        <w:ind w:left="2381" w:right="0" w:hanging="794"/>
        <w:jc w:val="left"/>
        <w:rPr>
          <w:sz w:val="13"/>
        </w:rPr>
      </w:pPr>
      <w:r>
        <w:rPr>
          <w:w w:val="105"/>
          <w:sz w:val="13"/>
        </w:rPr>
        <w:t>Submission</w:t>
      </w:r>
      <w:r>
        <w:rPr>
          <w:spacing w:val="4"/>
          <w:w w:val="105"/>
          <w:sz w:val="13"/>
        </w:rPr>
        <w:t> </w:t>
      </w:r>
      <w:r>
        <w:rPr>
          <w:w w:val="105"/>
          <w:sz w:val="13"/>
        </w:rPr>
        <w:t>20</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Consultation</w:t>
      </w:r>
      <w:r>
        <w:rPr>
          <w:spacing w:val="5"/>
          <w:w w:val="105"/>
          <w:sz w:val="13"/>
        </w:rPr>
        <w:t> </w:t>
      </w:r>
      <w:r>
        <w:rPr>
          <w:spacing w:val="-6"/>
          <w:w w:val="105"/>
          <w:sz w:val="13"/>
        </w:rPr>
        <w:t>11</w:t>
      </w:r>
      <w:r>
        <w:rPr>
          <w:spacing w:val="5"/>
          <w:w w:val="105"/>
          <w:sz w:val="13"/>
        </w:rPr>
        <w:t> </w:t>
      </w:r>
      <w:r>
        <w:rPr>
          <w:spacing w:val="2"/>
          <w:w w:val="105"/>
          <w:sz w:val="13"/>
        </w:rPr>
        <w:t>(Land</w:t>
      </w:r>
      <w:r>
        <w:rPr>
          <w:spacing w:val="5"/>
          <w:w w:val="105"/>
          <w:sz w:val="13"/>
        </w:rPr>
        <w:t> </w:t>
      </w:r>
      <w:r>
        <w:rPr>
          <w:w w:val="105"/>
          <w:sz w:val="13"/>
        </w:rPr>
        <w:t>and</w:t>
      </w:r>
      <w:r>
        <w:rPr>
          <w:spacing w:val="5"/>
          <w:w w:val="105"/>
          <w:sz w:val="13"/>
        </w:rPr>
        <w:t> </w:t>
      </w:r>
      <w:r>
        <w:rPr>
          <w:w w:val="105"/>
          <w:sz w:val="13"/>
        </w:rPr>
        <w:t>Environment</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p>
    <w:p>
      <w:pPr>
        <w:pStyle w:val="ListParagraph"/>
        <w:numPr>
          <w:ilvl w:val="0"/>
          <w:numId w:val="61"/>
        </w:numPr>
        <w:tabs>
          <w:tab w:pos="2380" w:val="left" w:leader="none"/>
          <w:tab w:pos="2382" w:val="left" w:leader="none"/>
        </w:tabs>
        <w:spacing w:line="240" w:lineRule="auto" w:before="1" w:after="0"/>
        <w:ind w:left="2381" w:right="1591" w:hanging="794"/>
        <w:jc w:val="left"/>
        <w:rPr>
          <w:sz w:val="13"/>
        </w:rPr>
      </w:pPr>
      <w:r>
        <w:rPr>
          <w:w w:val="105"/>
          <w:sz w:val="13"/>
        </w:rPr>
        <w:t>Submission 20 </w:t>
      </w:r>
      <w:r>
        <w:rPr>
          <w:spacing w:val="2"/>
          <w:w w:val="105"/>
          <w:sz w:val="13"/>
        </w:rPr>
        <w:t>(Name </w:t>
      </w:r>
      <w:r>
        <w:rPr>
          <w:w w:val="105"/>
          <w:sz w:val="13"/>
        </w:rPr>
        <w:t>withheld); Consultation </w:t>
      </w:r>
      <w:r>
        <w:rPr>
          <w:spacing w:val="-6"/>
          <w:w w:val="105"/>
          <w:sz w:val="13"/>
        </w:rPr>
        <w:t>11  </w:t>
      </w:r>
      <w:r>
        <w:rPr>
          <w:spacing w:val="2"/>
          <w:w w:val="105"/>
          <w:sz w:val="13"/>
        </w:rPr>
        <w:t>(Land </w:t>
      </w:r>
      <w:r>
        <w:rPr>
          <w:w w:val="105"/>
          <w:sz w:val="13"/>
        </w:rPr>
        <w:t>and Environment Court of New South Wales); See also Land and Environment Court   of</w:t>
      </w:r>
      <w:r>
        <w:rPr>
          <w:spacing w:val="4"/>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r>
        <w:rPr>
          <w:spacing w:val="5"/>
          <w:w w:val="105"/>
          <w:sz w:val="13"/>
        </w:rPr>
        <w:t> </w:t>
      </w:r>
      <w:r>
        <w:rPr>
          <w:i/>
          <w:w w:val="105"/>
          <w:sz w:val="13"/>
        </w:rPr>
        <w:t>Annotated</w:t>
      </w:r>
      <w:r>
        <w:rPr>
          <w:i/>
          <w:spacing w:val="5"/>
          <w:w w:val="105"/>
          <w:sz w:val="13"/>
        </w:rPr>
        <w:t> </w:t>
      </w:r>
      <w:r>
        <w:rPr>
          <w:i/>
          <w:w w:val="105"/>
          <w:sz w:val="13"/>
        </w:rPr>
        <w:t>Trees</w:t>
      </w:r>
      <w:r>
        <w:rPr>
          <w:i/>
          <w:spacing w:val="5"/>
          <w:w w:val="105"/>
          <w:sz w:val="13"/>
        </w:rPr>
        <w:t> </w:t>
      </w:r>
      <w:r>
        <w:rPr>
          <w:i/>
          <w:w w:val="105"/>
          <w:sz w:val="13"/>
        </w:rPr>
        <w:t>Act</w:t>
      </w:r>
      <w:r>
        <w:rPr>
          <w:i/>
          <w:spacing w:val="5"/>
          <w:w w:val="105"/>
          <w:sz w:val="13"/>
        </w:rPr>
        <w:t> </w:t>
      </w:r>
      <w:r>
        <w:rPr>
          <w:i/>
          <w:w w:val="105"/>
          <w:sz w:val="13"/>
        </w:rPr>
        <w:t>January</w:t>
      </w:r>
      <w:r>
        <w:rPr>
          <w:i/>
          <w:spacing w:val="5"/>
          <w:w w:val="105"/>
          <w:sz w:val="13"/>
        </w:rPr>
        <w:t> </w:t>
      </w:r>
      <w:r>
        <w:rPr>
          <w:i/>
          <w:spacing w:val="-3"/>
          <w:w w:val="105"/>
          <w:sz w:val="13"/>
        </w:rPr>
        <w:t>2013</w:t>
      </w:r>
      <w:r>
        <w:rPr>
          <w:i/>
          <w:spacing w:val="5"/>
          <w:w w:val="105"/>
          <w:sz w:val="13"/>
        </w:rPr>
        <w:t> </w:t>
      </w:r>
      <w:r>
        <w:rPr>
          <w:w w:val="105"/>
          <w:sz w:val="13"/>
        </w:rPr>
        <w:t>(1</w:t>
      </w:r>
      <w:r>
        <w:rPr>
          <w:spacing w:val="5"/>
          <w:w w:val="105"/>
          <w:sz w:val="13"/>
        </w:rPr>
        <w:t> </w:t>
      </w:r>
      <w:r>
        <w:rPr>
          <w:w w:val="105"/>
          <w:sz w:val="13"/>
        </w:rPr>
        <w:t>September</w:t>
      </w:r>
      <w:r>
        <w:rPr>
          <w:spacing w:val="5"/>
          <w:w w:val="105"/>
          <w:sz w:val="13"/>
        </w:rPr>
        <w:t> </w:t>
      </w:r>
      <w:r>
        <w:rPr>
          <w:w w:val="105"/>
          <w:sz w:val="13"/>
        </w:rPr>
        <w:t>2016)</w:t>
      </w:r>
      <w:r>
        <w:rPr>
          <w:spacing w:val="5"/>
          <w:w w:val="105"/>
          <w:sz w:val="13"/>
        </w:rPr>
        <w:t> </w:t>
      </w:r>
      <w:r>
        <w:rPr>
          <w:w w:val="105"/>
          <w:sz w:val="13"/>
        </w:rPr>
        <w:t>5.</w:t>
      </w:r>
    </w:p>
    <w:p>
      <w:pPr>
        <w:pStyle w:val="ListParagraph"/>
        <w:numPr>
          <w:ilvl w:val="0"/>
          <w:numId w:val="61"/>
        </w:numPr>
        <w:tabs>
          <w:tab w:pos="2381" w:val="left" w:leader="none"/>
          <w:tab w:pos="2382" w:val="left" w:leader="none"/>
        </w:tabs>
        <w:spacing w:line="240" w:lineRule="auto" w:before="3" w:after="0"/>
        <w:ind w:left="2381" w:right="0" w:hanging="794"/>
        <w:jc w:val="left"/>
        <w:rPr>
          <w:sz w:val="13"/>
        </w:rPr>
      </w:pPr>
      <w:r>
        <w:rPr>
          <w:w w:val="105"/>
          <w:sz w:val="13"/>
        </w:rPr>
        <w:t>Land</w:t>
      </w:r>
      <w:r>
        <w:rPr>
          <w:spacing w:val="5"/>
          <w:w w:val="105"/>
          <w:sz w:val="13"/>
        </w:rPr>
        <w:t> </w:t>
      </w:r>
      <w:r>
        <w:rPr>
          <w:w w:val="105"/>
          <w:sz w:val="13"/>
        </w:rPr>
        <w:t>and</w:t>
      </w:r>
      <w:r>
        <w:rPr>
          <w:spacing w:val="5"/>
          <w:w w:val="105"/>
          <w:sz w:val="13"/>
        </w:rPr>
        <w:t> </w:t>
      </w:r>
      <w:r>
        <w:rPr>
          <w:w w:val="105"/>
          <w:sz w:val="13"/>
        </w:rPr>
        <w:t>Environment</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r>
        <w:rPr>
          <w:spacing w:val="5"/>
          <w:w w:val="105"/>
          <w:sz w:val="13"/>
        </w:rPr>
        <w:t> </w:t>
      </w:r>
      <w:r>
        <w:rPr>
          <w:i/>
          <w:w w:val="105"/>
          <w:sz w:val="13"/>
        </w:rPr>
        <w:t>Annotated</w:t>
      </w:r>
      <w:r>
        <w:rPr>
          <w:i/>
          <w:spacing w:val="5"/>
          <w:w w:val="105"/>
          <w:sz w:val="13"/>
        </w:rPr>
        <w:t> </w:t>
      </w:r>
      <w:r>
        <w:rPr>
          <w:i/>
          <w:w w:val="105"/>
          <w:sz w:val="13"/>
        </w:rPr>
        <w:t>Trees</w:t>
      </w:r>
      <w:r>
        <w:rPr>
          <w:i/>
          <w:spacing w:val="5"/>
          <w:w w:val="105"/>
          <w:sz w:val="13"/>
        </w:rPr>
        <w:t> </w:t>
      </w:r>
      <w:r>
        <w:rPr>
          <w:i/>
          <w:w w:val="105"/>
          <w:sz w:val="13"/>
        </w:rPr>
        <w:t>Act</w:t>
      </w:r>
      <w:r>
        <w:rPr>
          <w:i/>
          <w:spacing w:val="5"/>
          <w:w w:val="105"/>
          <w:sz w:val="13"/>
        </w:rPr>
        <w:t> </w:t>
      </w:r>
      <w:r>
        <w:rPr>
          <w:i/>
          <w:w w:val="105"/>
          <w:sz w:val="13"/>
        </w:rPr>
        <w:t>January</w:t>
      </w:r>
      <w:r>
        <w:rPr>
          <w:i/>
          <w:spacing w:val="5"/>
          <w:w w:val="105"/>
          <w:sz w:val="13"/>
        </w:rPr>
        <w:t> </w:t>
      </w:r>
      <w:r>
        <w:rPr>
          <w:i/>
          <w:spacing w:val="-3"/>
          <w:w w:val="105"/>
          <w:sz w:val="13"/>
        </w:rPr>
        <w:t>2013</w:t>
      </w:r>
      <w:r>
        <w:rPr>
          <w:i/>
          <w:spacing w:val="5"/>
          <w:w w:val="105"/>
          <w:sz w:val="13"/>
        </w:rPr>
        <w:t> </w:t>
      </w:r>
      <w:r>
        <w:rPr>
          <w:w w:val="105"/>
          <w:sz w:val="13"/>
        </w:rPr>
        <w:t>(1</w:t>
      </w:r>
      <w:r>
        <w:rPr>
          <w:spacing w:val="5"/>
          <w:w w:val="105"/>
          <w:sz w:val="13"/>
        </w:rPr>
        <w:t> </w:t>
      </w:r>
      <w:r>
        <w:rPr>
          <w:w w:val="105"/>
          <w:sz w:val="13"/>
        </w:rPr>
        <w:t>September</w:t>
      </w:r>
      <w:r>
        <w:rPr>
          <w:spacing w:val="5"/>
          <w:w w:val="105"/>
          <w:sz w:val="13"/>
        </w:rPr>
        <w:t> </w:t>
      </w:r>
      <w:r>
        <w:rPr>
          <w:w w:val="105"/>
          <w:sz w:val="13"/>
        </w:rPr>
        <w:t>2016)</w:t>
      </w:r>
      <w:r>
        <w:rPr>
          <w:spacing w:val="5"/>
          <w:w w:val="105"/>
          <w:sz w:val="13"/>
        </w:rPr>
        <w:t> </w:t>
      </w:r>
      <w:r>
        <w:rPr>
          <w:w w:val="105"/>
          <w:sz w:val="13"/>
        </w:rPr>
        <w:t>5.</w:t>
      </w:r>
    </w:p>
    <w:p>
      <w:pPr>
        <w:pStyle w:val="ListParagraph"/>
        <w:numPr>
          <w:ilvl w:val="0"/>
          <w:numId w:val="61"/>
        </w:numPr>
        <w:tabs>
          <w:tab w:pos="2381" w:val="left" w:leader="none"/>
          <w:tab w:pos="2382" w:val="left" w:leader="none"/>
        </w:tabs>
        <w:spacing w:line="240" w:lineRule="auto" w:before="1" w:after="0"/>
        <w:ind w:left="2381" w:right="0" w:hanging="794"/>
        <w:jc w:val="left"/>
        <w:rPr>
          <w:sz w:val="13"/>
        </w:rPr>
      </w:pPr>
      <w:r>
        <w:rPr>
          <w:w w:val="105"/>
          <w:sz w:val="13"/>
        </w:rPr>
        <w:t>Submission 20 </w:t>
      </w:r>
      <w:r>
        <w:rPr>
          <w:spacing w:val="2"/>
          <w:w w:val="105"/>
          <w:sz w:val="13"/>
        </w:rPr>
        <w:t>(Name</w:t>
      </w:r>
      <w:r>
        <w:rPr>
          <w:spacing w:val="13"/>
          <w:w w:val="105"/>
          <w:sz w:val="13"/>
        </w:rPr>
        <w:t> </w:t>
      </w:r>
      <w:r>
        <w:rPr>
          <w:w w:val="105"/>
          <w:sz w:val="13"/>
        </w:rPr>
        <w:t>withheld).</w:t>
      </w:r>
    </w:p>
    <w:p>
      <w:pPr>
        <w:tabs>
          <w:tab w:pos="2381" w:val="left" w:leader="none"/>
        </w:tabs>
        <w:spacing w:before="2"/>
        <w:ind w:left="1587" w:right="0" w:firstLine="0"/>
        <w:jc w:val="left"/>
        <w:rPr>
          <w:sz w:val="13"/>
        </w:rPr>
      </w:pPr>
      <w:r>
        <w:rPr>
          <w:w w:val="110"/>
          <w:sz w:val="13"/>
        </w:rPr>
        <w:t>201</w:t>
        <w:tab/>
      </w:r>
      <w:r>
        <w:rPr>
          <w:spacing w:val="2"/>
          <w:w w:val="110"/>
          <w:sz w:val="13"/>
        </w:rPr>
        <w:t>[2009] </w:t>
      </w:r>
      <w:r>
        <w:rPr>
          <w:w w:val="110"/>
          <w:sz w:val="13"/>
        </w:rPr>
        <w:t>NSWLEC</w:t>
      </w:r>
      <w:r>
        <w:rPr>
          <w:spacing w:val="4"/>
          <w:w w:val="110"/>
          <w:sz w:val="13"/>
        </w:rPr>
        <w:t> </w:t>
      </w:r>
      <w:r>
        <w:rPr>
          <w:w w:val="110"/>
          <w:sz w:val="13"/>
        </w:rPr>
        <w:t>1056.</w:t>
      </w:r>
    </w:p>
    <w:p>
      <w:pPr>
        <w:pStyle w:val="ListParagraph"/>
        <w:numPr>
          <w:ilvl w:val="0"/>
          <w:numId w:val="62"/>
        </w:numPr>
        <w:tabs>
          <w:tab w:pos="2381" w:val="left" w:leader="none"/>
          <w:tab w:pos="2382" w:val="left" w:leader="none"/>
        </w:tabs>
        <w:spacing w:line="240" w:lineRule="auto" w:before="1" w:after="0"/>
        <w:ind w:left="2381" w:right="0" w:hanging="794"/>
        <w:jc w:val="left"/>
        <w:rPr>
          <w:sz w:val="13"/>
        </w:rPr>
      </w:pPr>
      <w:r>
        <w:rPr>
          <w:i/>
          <w:w w:val="105"/>
          <w:sz w:val="13"/>
        </w:rPr>
        <w:t>Dallas</w:t>
      </w:r>
      <w:r>
        <w:rPr>
          <w:i/>
          <w:spacing w:val="10"/>
          <w:w w:val="105"/>
          <w:sz w:val="13"/>
        </w:rPr>
        <w:t> </w:t>
      </w:r>
      <w:r>
        <w:rPr>
          <w:i/>
          <w:w w:val="105"/>
          <w:sz w:val="13"/>
        </w:rPr>
        <w:t>v</w:t>
      </w:r>
      <w:r>
        <w:rPr>
          <w:i/>
          <w:spacing w:val="10"/>
          <w:w w:val="105"/>
          <w:sz w:val="13"/>
        </w:rPr>
        <w:t> </w:t>
      </w:r>
      <w:r>
        <w:rPr>
          <w:i/>
          <w:w w:val="105"/>
          <w:sz w:val="13"/>
        </w:rPr>
        <w:t>Watson</w:t>
      </w:r>
      <w:r>
        <w:rPr>
          <w:i/>
          <w:spacing w:val="11"/>
          <w:w w:val="105"/>
          <w:sz w:val="13"/>
        </w:rPr>
        <w:t> </w:t>
      </w:r>
      <w:r>
        <w:rPr>
          <w:spacing w:val="2"/>
          <w:w w:val="105"/>
          <w:sz w:val="13"/>
        </w:rPr>
        <w:t>[2009]</w:t>
      </w:r>
      <w:r>
        <w:rPr>
          <w:spacing w:val="10"/>
          <w:w w:val="105"/>
          <w:sz w:val="13"/>
        </w:rPr>
        <w:t> </w:t>
      </w:r>
      <w:r>
        <w:rPr>
          <w:w w:val="105"/>
          <w:sz w:val="13"/>
        </w:rPr>
        <w:t>NSWLEC</w:t>
      </w:r>
      <w:r>
        <w:rPr>
          <w:spacing w:val="11"/>
          <w:w w:val="105"/>
          <w:sz w:val="13"/>
        </w:rPr>
        <w:t> </w:t>
      </w:r>
      <w:r>
        <w:rPr>
          <w:w w:val="105"/>
          <w:sz w:val="13"/>
        </w:rPr>
        <w:t>1056</w:t>
      </w:r>
      <w:r>
        <w:rPr>
          <w:spacing w:val="10"/>
          <w:w w:val="105"/>
          <w:sz w:val="13"/>
        </w:rPr>
        <w:t> </w:t>
      </w:r>
      <w:r>
        <w:rPr>
          <w:w w:val="105"/>
          <w:sz w:val="13"/>
        </w:rPr>
        <w:t>[25].</w:t>
      </w:r>
    </w:p>
    <w:p>
      <w:pPr>
        <w:pStyle w:val="ListParagraph"/>
        <w:numPr>
          <w:ilvl w:val="0"/>
          <w:numId w:val="62"/>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12"/>
          <w:w w:val="105"/>
          <w:sz w:val="13"/>
        </w:rPr>
        <w:t> </w:t>
      </w:r>
      <w:r>
        <w:rPr>
          <w:w w:val="105"/>
          <w:sz w:val="13"/>
        </w:rPr>
        <w:t>eg,</w:t>
      </w:r>
      <w:r>
        <w:rPr>
          <w:spacing w:val="13"/>
          <w:w w:val="105"/>
          <w:sz w:val="13"/>
        </w:rPr>
        <w:t> </w:t>
      </w:r>
      <w:r>
        <w:rPr>
          <w:i/>
          <w:w w:val="105"/>
          <w:sz w:val="13"/>
        </w:rPr>
        <w:t>Drolz</w:t>
      </w:r>
      <w:r>
        <w:rPr>
          <w:i/>
          <w:spacing w:val="13"/>
          <w:w w:val="105"/>
          <w:sz w:val="13"/>
        </w:rPr>
        <w:t> </w:t>
      </w:r>
      <w:r>
        <w:rPr>
          <w:i/>
          <w:w w:val="105"/>
          <w:sz w:val="13"/>
        </w:rPr>
        <w:t>v</w:t>
      </w:r>
      <w:r>
        <w:rPr>
          <w:i/>
          <w:spacing w:val="12"/>
          <w:w w:val="105"/>
          <w:sz w:val="13"/>
        </w:rPr>
        <w:t> </w:t>
      </w:r>
      <w:r>
        <w:rPr>
          <w:i/>
          <w:w w:val="105"/>
          <w:sz w:val="13"/>
        </w:rPr>
        <w:t>Sinclair</w:t>
      </w:r>
      <w:r>
        <w:rPr>
          <w:i/>
          <w:spacing w:val="13"/>
          <w:w w:val="105"/>
          <w:sz w:val="13"/>
        </w:rPr>
        <w:t> </w:t>
      </w:r>
      <w:r>
        <w:rPr>
          <w:spacing w:val="2"/>
          <w:w w:val="105"/>
          <w:sz w:val="13"/>
        </w:rPr>
        <w:t>[2008]</w:t>
      </w:r>
      <w:r>
        <w:rPr>
          <w:spacing w:val="13"/>
          <w:w w:val="105"/>
          <w:sz w:val="13"/>
        </w:rPr>
        <w:t> </w:t>
      </w:r>
      <w:r>
        <w:rPr>
          <w:w w:val="105"/>
          <w:sz w:val="13"/>
        </w:rPr>
        <w:t>NSWLEC</w:t>
      </w:r>
      <w:r>
        <w:rPr>
          <w:spacing w:val="12"/>
          <w:w w:val="105"/>
          <w:sz w:val="13"/>
        </w:rPr>
        <w:t> </w:t>
      </w:r>
      <w:r>
        <w:rPr>
          <w:w w:val="105"/>
          <w:sz w:val="13"/>
        </w:rPr>
        <w:t>34.</w:t>
      </w:r>
    </w:p>
    <w:p>
      <w:pPr>
        <w:pStyle w:val="ListParagraph"/>
        <w:numPr>
          <w:ilvl w:val="0"/>
          <w:numId w:val="62"/>
        </w:numPr>
        <w:tabs>
          <w:tab w:pos="2381" w:val="left" w:leader="none"/>
          <w:tab w:pos="2382" w:val="left" w:leader="none"/>
        </w:tabs>
        <w:spacing w:line="240" w:lineRule="auto" w:before="2" w:after="0"/>
        <w:ind w:left="2381"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4"/>
          <w:w w:val="105"/>
          <w:sz w:val="13"/>
        </w:rPr>
        <w:t> </w:t>
      </w:r>
      <w:r>
        <w:rPr>
          <w:spacing w:val="-4"/>
          <w:w w:val="105"/>
          <w:sz w:val="13"/>
        </w:rPr>
        <w:t>47.</w:t>
      </w:r>
    </w:p>
    <w:p>
      <w:pPr>
        <w:pStyle w:val="ListParagraph"/>
        <w:numPr>
          <w:ilvl w:val="0"/>
          <w:numId w:val="62"/>
        </w:numPr>
        <w:tabs>
          <w:tab w:pos="2381" w:val="left" w:leader="none"/>
          <w:tab w:pos="2382" w:val="left" w:leader="none"/>
        </w:tabs>
        <w:spacing w:line="240" w:lineRule="auto" w:before="1" w:after="0"/>
        <w:ind w:left="2381" w:right="0" w:hanging="794"/>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62"/>
        </w:numPr>
        <w:tabs>
          <w:tab w:pos="2381" w:val="left" w:leader="none"/>
          <w:tab w:pos="2382" w:val="left" w:leader="none"/>
        </w:tabs>
        <w:spacing w:line="240" w:lineRule="auto" w:before="1" w:after="0"/>
        <w:ind w:left="1587" w:right="6269" w:firstLine="0"/>
        <w:jc w:val="left"/>
        <w:rPr>
          <w:sz w:val="13"/>
        </w:rPr>
      </w:pPr>
      <w:r>
        <w:rPr>
          <w:i/>
          <w:w w:val="105"/>
          <w:sz w:val="13"/>
        </w:rPr>
        <w:t>Neighbourhood Disputes About Plants Act </w:t>
      </w:r>
      <w:r>
        <w:rPr>
          <w:i/>
          <w:spacing w:val="-4"/>
          <w:w w:val="105"/>
          <w:sz w:val="13"/>
        </w:rPr>
        <w:t>2017 </w:t>
      </w:r>
      <w:r>
        <w:rPr>
          <w:w w:val="105"/>
          <w:sz w:val="13"/>
        </w:rPr>
        <w:t>(Tas) s 4. 207</w:t>
        <w:tab/>
        <w:t>Ibid s</w:t>
      </w:r>
      <w:r>
        <w:rPr>
          <w:spacing w:val="-17"/>
          <w:w w:val="105"/>
          <w:sz w:val="13"/>
        </w:rPr>
        <w:t> </w:t>
      </w:r>
      <w:r>
        <w:rPr>
          <w:spacing w:val="4"/>
          <w:w w:val="105"/>
          <w:sz w:val="13"/>
        </w:rPr>
        <w:t>8(1)(a)-(b).</w:t>
      </w:r>
    </w:p>
    <w:p>
      <w:pPr>
        <w:tabs>
          <w:tab w:pos="2381" w:val="left" w:leader="none"/>
        </w:tabs>
        <w:spacing w:before="3"/>
        <w:ind w:left="1587" w:right="0" w:firstLine="0"/>
        <w:jc w:val="left"/>
        <w:rPr>
          <w:sz w:val="13"/>
        </w:rPr>
      </w:pPr>
      <w:r>
        <w:rPr/>
        <w:pict>
          <v:shape style="position:absolute;margin-left:36pt;margin-top:3.102265pt;width:13.6pt;height:14.25pt;mso-position-horizontal-relative:page;mso-position-vertical-relative:paragraph;z-index:6448" type="#_x0000_t202" filled="false" stroked="false">
            <v:textbox inset="0,0,0,0">
              <w:txbxContent>
                <w:p>
                  <w:pPr>
                    <w:spacing w:line="284" w:lineRule="exact" w:before="0"/>
                    <w:ind w:left="0" w:right="0" w:firstLine="0"/>
                    <w:jc w:val="left"/>
                    <w:rPr>
                      <w:b/>
                      <w:sz w:val="24"/>
                    </w:rPr>
                  </w:pPr>
                  <w:r>
                    <w:rPr>
                      <w:b/>
                      <w:color w:val="658464"/>
                      <w:w w:val="110"/>
                      <w:sz w:val="24"/>
                    </w:rPr>
                    <w:t>86</w:t>
                  </w:r>
                </w:p>
              </w:txbxContent>
            </v:textbox>
            <w10:wrap type="none"/>
          </v:shape>
        </w:pict>
      </w:r>
      <w:r>
        <w:rPr>
          <w:w w:val="105"/>
          <w:sz w:val="13"/>
        </w:rPr>
        <w:t>208</w:t>
        <w:tab/>
        <w:t>Ibid s</w:t>
      </w:r>
      <w:r>
        <w:rPr>
          <w:spacing w:val="9"/>
          <w:w w:val="105"/>
          <w:sz w:val="13"/>
        </w:rPr>
        <w:t> </w:t>
      </w:r>
      <w:r>
        <w:rPr>
          <w:spacing w:val="3"/>
          <w:w w:val="105"/>
          <w:sz w:val="13"/>
        </w:rPr>
        <w:t>8(2).</w:t>
      </w:r>
    </w:p>
    <w:p>
      <w:pPr>
        <w:tabs>
          <w:tab w:pos="2381" w:val="left" w:leader="none"/>
        </w:tabs>
        <w:spacing w:before="1"/>
        <w:ind w:left="1587" w:right="0" w:firstLine="0"/>
        <w:jc w:val="left"/>
        <w:rPr>
          <w:sz w:val="13"/>
        </w:rPr>
      </w:pPr>
      <w:r>
        <w:rPr>
          <w:w w:val="105"/>
          <w:sz w:val="13"/>
        </w:rPr>
        <w:t>209</w:t>
        <w:tab/>
      </w:r>
      <w:r>
        <w:rPr>
          <w:i/>
          <w:spacing w:val="2"/>
          <w:w w:val="105"/>
          <w:sz w:val="13"/>
        </w:rPr>
        <w:t>Forestry</w:t>
      </w:r>
      <w:r>
        <w:rPr>
          <w:i/>
          <w:spacing w:val="5"/>
          <w:w w:val="105"/>
          <w:sz w:val="13"/>
        </w:rPr>
        <w:t> </w:t>
      </w:r>
      <w:r>
        <w:rPr>
          <w:i/>
          <w:w w:val="105"/>
          <w:sz w:val="13"/>
        </w:rPr>
        <w:t>Act</w:t>
      </w:r>
      <w:r>
        <w:rPr>
          <w:w w:val="105"/>
          <w:sz w:val="13"/>
        </w:rPr>
        <w:t>,</w:t>
      </w:r>
      <w:r>
        <w:rPr>
          <w:spacing w:val="6"/>
          <w:w w:val="105"/>
          <w:sz w:val="13"/>
        </w:rPr>
        <w:t> </w:t>
      </w:r>
      <w:r>
        <w:rPr>
          <w:spacing w:val="2"/>
          <w:w w:val="105"/>
          <w:sz w:val="13"/>
        </w:rPr>
        <w:t>RSO</w:t>
      </w:r>
      <w:r>
        <w:rPr>
          <w:spacing w:val="5"/>
          <w:w w:val="105"/>
          <w:sz w:val="13"/>
        </w:rPr>
        <w:t> </w:t>
      </w:r>
      <w:r>
        <w:rPr>
          <w:w w:val="105"/>
          <w:sz w:val="13"/>
        </w:rPr>
        <w:t>1990,</w:t>
      </w:r>
      <w:r>
        <w:rPr>
          <w:spacing w:val="6"/>
          <w:w w:val="105"/>
          <w:sz w:val="13"/>
        </w:rPr>
        <w:t> </w:t>
      </w:r>
      <w:r>
        <w:rPr>
          <w:w w:val="105"/>
          <w:sz w:val="13"/>
        </w:rPr>
        <w:t>c</w:t>
      </w:r>
      <w:r>
        <w:rPr>
          <w:spacing w:val="6"/>
          <w:w w:val="105"/>
          <w:sz w:val="13"/>
        </w:rPr>
        <w:t> </w:t>
      </w:r>
      <w:r>
        <w:rPr>
          <w:w w:val="105"/>
          <w:sz w:val="13"/>
        </w:rPr>
        <w:t>F26,</w:t>
      </w:r>
      <w:r>
        <w:rPr>
          <w:spacing w:val="5"/>
          <w:w w:val="105"/>
          <w:sz w:val="13"/>
        </w:rPr>
        <w:t> </w:t>
      </w:r>
      <w:r>
        <w:rPr>
          <w:w w:val="105"/>
          <w:sz w:val="13"/>
        </w:rPr>
        <w:t>s</w:t>
      </w:r>
      <w:r>
        <w:rPr>
          <w:spacing w:val="6"/>
          <w:w w:val="105"/>
          <w:sz w:val="13"/>
        </w:rPr>
        <w:t> </w:t>
      </w:r>
      <w:r>
        <w:rPr>
          <w:spacing w:val="2"/>
          <w:w w:val="105"/>
          <w:sz w:val="13"/>
        </w:rPr>
        <w:t>10(2);</w:t>
      </w:r>
      <w:r>
        <w:rPr>
          <w:spacing w:val="6"/>
          <w:w w:val="105"/>
          <w:sz w:val="13"/>
        </w:rPr>
        <w:t> </w:t>
      </w:r>
      <w:r>
        <w:rPr>
          <w:i/>
          <w:w w:val="105"/>
          <w:sz w:val="13"/>
        </w:rPr>
        <w:t>Hartley</w:t>
      </w:r>
      <w:r>
        <w:rPr>
          <w:i/>
          <w:spacing w:val="5"/>
          <w:w w:val="105"/>
          <w:sz w:val="13"/>
        </w:rPr>
        <w:t> </w:t>
      </w:r>
      <w:r>
        <w:rPr>
          <w:i/>
          <w:w w:val="105"/>
          <w:sz w:val="13"/>
        </w:rPr>
        <w:t>v</w:t>
      </w:r>
      <w:r>
        <w:rPr>
          <w:i/>
          <w:spacing w:val="6"/>
          <w:w w:val="105"/>
          <w:sz w:val="13"/>
        </w:rPr>
        <w:t> </w:t>
      </w:r>
      <w:r>
        <w:rPr>
          <w:i/>
          <w:w w:val="105"/>
          <w:sz w:val="13"/>
        </w:rPr>
        <w:t>Cunningham</w:t>
      </w:r>
      <w:r>
        <w:rPr>
          <w:i/>
          <w:spacing w:val="6"/>
          <w:w w:val="105"/>
          <w:sz w:val="13"/>
        </w:rPr>
        <w:t> </w:t>
      </w:r>
      <w:r>
        <w:rPr>
          <w:w w:val="105"/>
          <w:sz w:val="13"/>
        </w:rPr>
        <w:t>(2013)</w:t>
      </w:r>
      <w:r>
        <w:rPr>
          <w:spacing w:val="5"/>
          <w:w w:val="105"/>
          <w:sz w:val="13"/>
        </w:rPr>
        <w:t> </w:t>
      </w:r>
      <w:r>
        <w:rPr>
          <w:w w:val="105"/>
          <w:sz w:val="13"/>
        </w:rPr>
        <w:t>ONSC</w:t>
      </w:r>
      <w:r>
        <w:rPr>
          <w:spacing w:val="6"/>
          <w:w w:val="105"/>
          <w:sz w:val="13"/>
        </w:rPr>
        <w:t> </w:t>
      </w:r>
      <w:r>
        <w:rPr>
          <w:w w:val="105"/>
          <w:sz w:val="13"/>
        </w:rPr>
        <w:t>2929</w:t>
      </w:r>
      <w:r>
        <w:rPr>
          <w:spacing w:val="6"/>
          <w:w w:val="105"/>
          <w:sz w:val="13"/>
        </w:rPr>
        <w:t> </w:t>
      </w:r>
      <w:r>
        <w:rPr>
          <w:spacing w:val="-3"/>
          <w:w w:val="105"/>
          <w:sz w:val="13"/>
        </w:rPr>
        <w:t>(17</w:t>
      </w:r>
      <w:r>
        <w:rPr>
          <w:spacing w:val="5"/>
          <w:w w:val="105"/>
          <w:sz w:val="13"/>
        </w:rPr>
        <w:t> </w:t>
      </w:r>
      <w:r>
        <w:rPr>
          <w:w w:val="105"/>
          <w:sz w:val="13"/>
        </w:rPr>
        <w:t>May</w:t>
      </w:r>
      <w:r>
        <w:rPr>
          <w:spacing w:val="6"/>
          <w:w w:val="105"/>
          <w:sz w:val="13"/>
        </w:rPr>
        <w:t> </w:t>
      </w:r>
      <w:r>
        <w:rPr>
          <w:w w:val="105"/>
          <w:sz w:val="13"/>
        </w:rPr>
        <w:t>2013)</w:t>
      </w:r>
      <w:r>
        <w:rPr>
          <w:spacing w:val="6"/>
          <w:w w:val="105"/>
          <w:sz w:val="13"/>
        </w:rPr>
        <w:t> </w:t>
      </w:r>
      <w:r>
        <w:rPr>
          <w:w w:val="105"/>
          <w:sz w:val="13"/>
        </w:rPr>
        <w:t>(Ontario</w:t>
      </w:r>
      <w:r>
        <w:rPr>
          <w:spacing w:val="5"/>
          <w:w w:val="105"/>
          <w:sz w:val="13"/>
        </w:rPr>
        <w:t> </w:t>
      </w:r>
      <w:r>
        <w:rPr>
          <w:w w:val="105"/>
          <w:sz w:val="13"/>
        </w:rPr>
        <w:t>Superior</w:t>
      </w:r>
      <w:r>
        <w:rPr>
          <w:spacing w:val="6"/>
          <w:w w:val="105"/>
          <w:sz w:val="13"/>
        </w:rPr>
        <w:t> </w:t>
      </w:r>
      <w:r>
        <w:rPr>
          <w:w w:val="105"/>
          <w:sz w:val="13"/>
        </w:rPr>
        <w:t>Court</w:t>
      </w:r>
      <w:r>
        <w:rPr>
          <w:spacing w:val="5"/>
          <w:w w:val="105"/>
          <w:sz w:val="13"/>
        </w:rPr>
        <w:t> </w:t>
      </w:r>
      <w:r>
        <w:rPr>
          <w:w w:val="105"/>
          <w:sz w:val="13"/>
        </w:rPr>
        <w:t>of</w:t>
      </w:r>
      <w:r>
        <w:rPr>
          <w:spacing w:val="6"/>
          <w:w w:val="105"/>
          <w:sz w:val="13"/>
        </w:rPr>
        <w:t> </w:t>
      </w:r>
      <w:r>
        <w:rPr>
          <w:w w:val="105"/>
          <w:sz w:val="13"/>
        </w:rPr>
        <w:t>Justice).</w:t>
      </w:r>
    </w:p>
    <w:p>
      <w:pPr>
        <w:spacing w:after="0"/>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BodyText"/>
        <w:spacing w:line="242" w:lineRule="auto" w:before="91"/>
        <w:ind w:left="2381" w:right="1651" w:hanging="1"/>
        <w:rPr>
          <w:sz w:val="12"/>
        </w:rPr>
      </w:pPr>
      <w:r>
        <w:rPr>
          <w:w w:val="105"/>
        </w:rPr>
        <w:t>straddle tree without the consent of neighbours will amount to an offence.</w:t>
      </w:r>
      <w:r>
        <w:rPr>
          <w:w w:val="105"/>
          <w:position w:val="7"/>
          <w:sz w:val="12"/>
        </w:rPr>
        <w:t>210 </w:t>
      </w:r>
      <w:r>
        <w:rPr>
          <w:w w:val="105"/>
        </w:rPr>
        <w:t>A ‘trunk’ has been interpreted by the Ontario Superior Court of Justice to mean ‘the entire trunk from its point of growth away from its roots up to its top where it branches out to limbs and foliage’.</w:t>
      </w:r>
      <w:r>
        <w:rPr>
          <w:w w:val="105"/>
          <w:position w:val="7"/>
          <w:sz w:val="12"/>
        </w:rPr>
        <w:t>211 </w:t>
      </w:r>
      <w:r>
        <w:rPr>
          <w:w w:val="105"/>
        </w:rPr>
        <w:t>All owners of boundary trees are liable for the costs of maintenance or works. The extent of each owner’s liability will depend on the facts of the case.</w:t>
      </w:r>
      <w:r>
        <w:rPr>
          <w:w w:val="105"/>
          <w:position w:val="7"/>
          <w:sz w:val="12"/>
        </w:rPr>
        <w:t>212</w:t>
      </w:r>
    </w:p>
    <w:p>
      <w:pPr>
        <w:pStyle w:val="ListParagraph"/>
        <w:numPr>
          <w:ilvl w:val="0"/>
          <w:numId w:val="56"/>
        </w:numPr>
        <w:tabs>
          <w:tab w:pos="2380" w:val="left" w:leader="none"/>
          <w:tab w:pos="2381" w:val="left" w:leader="none"/>
        </w:tabs>
        <w:spacing w:line="242" w:lineRule="auto" w:before="126" w:after="0"/>
        <w:ind w:left="2381" w:right="1705" w:hanging="794"/>
        <w:jc w:val="left"/>
        <w:rPr>
          <w:sz w:val="12"/>
        </w:rPr>
      </w:pPr>
      <w:r>
        <w:rPr>
          <w:w w:val="105"/>
          <w:sz w:val="21"/>
        </w:rPr>
        <w:t>In </w:t>
      </w:r>
      <w:r>
        <w:rPr>
          <w:spacing w:val="-3"/>
          <w:w w:val="105"/>
          <w:sz w:val="21"/>
        </w:rPr>
        <w:t>Saskatchewan, </w:t>
      </w:r>
      <w:r>
        <w:rPr>
          <w:spacing w:val="-4"/>
          <w:w w:val="105"/>
          <w:sz w:val="21"/>
        </w:rPr>
        <w:t>Canada, </w:t>
      </w:r>
      <w:r>
        <w:rPr>
          <w:spacing w:val="-7"/>
          <w:w w:val="105"/>
          <w:sz w:val="21"/>
        </w:rPr>
        <w:t>‘a </w:t>
      </w:r>
      <w:r>
        <w:rPr>
          <w:w w:val="105"/>
          <w:sz w:val="21"/>
        </w:rPr>
        <w:t>straddle tree </w:t>
      </w:r>
      <w:r>
        <w:rPr>
          <w:spacing w:val="-3"/>
          <w:w w:val="105"/>
          <w:sz w:val="21"/>
        </w:rPr>
        <w:t>planted </w:t>
      </w:r>
      <w:r>
        <w:rPr>
          <w:w w:val="105"/>
          <w:sz w:val="21"/>
        </w:rPr>
        <w:t>with the </w:t>
      </w:r>
      <w:r>
        <w:rPr>
          <w:spacing w:val="-2"/>
          <w:w w:val="105"/>
          <w:sz w:val="21"/>
        </w:rPr>
        <w:t>agreement </w:t>
      </w:r>
      <w:r>
        <w:rPr>
          <w:w w:val="105"/>
          <w:sz w:val="21"/>
        </w:rPr>
        <w:t>of </w:t>
      </w:r>
      <w:r>
        <w:rPr>
          <w:spacing w:val="-3"/>
          <w:w w:val="105"/>
          <w:sz w:val="21"/>
        </w:rPr>
        <w:t>adjoining </w:t>
      </w:r>
      <w:r>
        <w:rPr>
          <w:w w:val="105"/>
          <w:sz w:val="21"/>
        </w:rPr>
        <w:t>owners</w:t>
      </w:r>
      <w:r>
        <w:rPr>
          <w:spacing w:val="-7"/>
          <w:w w:val="105"/>
          <w:sz w:val="21"/>
        </w:rPr>
        <w:t> </w:t>
      </w:r>
      <w:r>
        <w:rPr>
          <w:w w:val="105"/>
          <w:sz w:val="21"/>
        </w:rPr>
        <w:t>is</w:t>
      </w:r>
      <w:r>
        <w:rPr>
          <w:spacing w:val="-6"/>
          <w:w w:val="105"/>
          <w:sz w:val="21"/>
        </w:rPr>
        <w:t> </w:t>
      </w:r>
      <w:r>
        <w:rPr>
          <w:w w:val="105"/>
          <w:sz w:val="21"/>
        </w:rPr>
        <w:t>owned</w:t>
      </w:r>
      <w:r>
        <w:rPr>
          <w:spacing w:val="-7"/>
          <w:w w:val="105"/>
          <w:sz w:val="21"/>
        </w:rPr>
        <w:t> </w:t>
      </w:r>
      <w:r>
        <w:rPr>
          <w:w w:val="105"/>
          <w:sz w:val="21"/>
        </w:rPr>
        <w:t>in</w:t>
      </w:r>
      <w:r>
        <w:rPr>
          <w:spacing w:val="-6"/>
          <w:w w:val="105"/>
          <w:sz w:val="21"/>
        </w:rPr>
        <w:t> </w:t>
      </w:r>
      <w:r>
        <w:rPr>
          <w:spacing w:val="-2"/>
          <w:w w:val="105"/>
          <w:sz w:val="21"/>
        </w:rPr>
        <w:t>common</w:t>
      </w:r>
      <w:r>
        <w:rPr>
          <w:spacing w:val="-7"/>
          <w:w w:val="105"/>
          <w:sz w:val="21"/>
        </w:rPr>
        <w:t> </w:t>
      </w:r>
      <w:r>
        <w:rPr>
          <w:w w:val="105"/>
          <w:sz w:val="21"/>
        </w:rPr>
        <w:t>and</w:t>
      </w:r>
      <w:r>
        <w:rPr>
          <w:spacing w:val="-6"/>
          <w:w w:val="105"/>
          <w:sz w:val="21"/>
        </w:rPr>
        <w:t> </w:t>
      </w:r>
      <w:r>
        <w:rPr>
          <w:w w:val="105"/>
          <w:sz w:val="21"/>
        </w:rPr>
        <w:t>each</w:t>
      </w:r>
      <w:r>
        <w:rPr>
          <w:spacing w:val="-7"/>
          <w:w w:val="105"/>
          <w:sz w:val="21"/>
        </w:rPr>
        <w:t> </w:t>
      </w:r>
      <w:r>
        <w:rPr>
          <w:spacing w:val="-2"/>
          <w:w w:val="105"/>
          <w:sz w:val="21"/>
        </w:rPr>
        <w:t>has</w:t>
      </w:r>
      <w:r>
        <w:rPr>
          <w:spacing w:val="-6"/>
          <w:w w:val="105"/>
          <w:sz w:val="21"/>
        </w:rPr>
        <w:t> </w:t>
      </w:r>
      <w:r>
        <w:rPr>
          <w:w w:val="105"/>
          <w:sz w:val="21"/>
        </w:rPr>
        <w:t>a</w:t>
      </w:r>
      <w:r>
        <w:rPr>
          <w:spacing w:val="-6"/>
          <w:w w:val="105"/>
          <w:sz w:val="21"/>
        </w:rPr>
        <w:t> </w:t>
      </w:r>
      <w:r>
        <w:rPr>
          <w:w w:val="105"/>
          <w:sz w:val="21"/>
        </w:rPr>
        <w:t>proprietary</w:t>
      </w:r>
      <w:r>
        <w:rPr>
          <w:spacing w:val="-7"/>
          <w:w w:val="105"/>
          <w:sz w:val="21"/>
        </w:rPr>
        <w:t> </w:t>
      </w:r>
      <w:r>
        <w:rPr>
          <w:spacing w:val="-3"/>
          <w:w w:val="105"/>
          <w:sz w:val="21"/>
        </w:rPr>
        <w:t>interest</w:t>
      </w:r>
      <w:r>
        <w:rPr>
          <w:spacing w:val="-6"/>
          <w:w w:val="105"/>
          <w:sz w:val="21"/>
        </w:rPr>
        <w:t> </w:t>
      </w:r>
      <w:r>
        <w:rPr>
          <w:w w:val="105"/>
          <w:sz w:val="21"/>
        </w:rPr>
        <w:t>in</w:t>
      </w:r>
      <w:r>
        <w:rPr>
          <w:spacing w:val="-7"/>
          <w:w w:val="105"/>
          <w:sz w:val="21"/>
        </w:rPr>
        <w:t> </w:t>
      </w:r>
      <w:r>
        <w:rPr>
          <w:w w:val="105"/>
          <w:sz w:val="21"/>
        </w:rPr>
        <w:t>the</w:t>
      </w:r>
      <w:r>
        <w:rPr>
          <w:spacing w:val="-6"/>
          <w:w w:val="105"/>
          <w:sz w:val="21"/>
        </w:rPr>
        <w:t> </w:t>
      </w:r>
      <w:r>
        <w:rPr>
          <w:w w:val="105"/>
          <w:sz w:val="21"/>
        </w:rPr>
        <w:t>whole</w:t>
      </w:r>
      <w:r>
        <w:rPr>
          <w:spacing w:val="-7"/>
          <w:w w:val="105"/>
          <w:sz w:val="21"/>
        </w:rPr>
        <w:t> </w:t>
      </w:r>
      <w:r>
        <w:rPr>
          <w:w w:val="105"/>
          <w:sz w:val="21"/>
        </w:rPr>
        <w:t>of</w:t>
      </w:r>
      <w:r>
        <w:rPr>
          <w:spacing w:val="-6"/>
          <w:w w:val="105"/>
          <w:sz w:val="21"/>
        </w:rPr>
        <w:t> </w:t>
      </w:r>
      <w:r>
        <w:rPr>
          <w:w w:val="105"/>
          <w:sz w:val="21"/>
        </w:rPr>
        <w:t>the</w:t>
      </w:r>
      <w:r>
        <w:rPr>
          <w:spacing w:val="-7"/>
          <w:w w:val="105"/>
          <w:sz w:val="21"/>
        </w:rPr>
        <w:t> </w:t>
      </w:r>
      <w:r>
        <w:rPr>
          <w:w w:val="105"/>
          <w:sz w:val="21"/>
        </w:rPr>
        <w:t>tree </w:t>
      </w:r>
      <w:r>
        <w:rPr>
          <w:spacing w:val="-3"/>
          <w:w w:val="105"/>
          <w:sz w:val="21"/>
        </w:rPr>
        <w:t>that may </w:t>
      </w:r>
      <w:r>
        <w:rPr>
          <w:w w:val="105"/>
          <w:sz w:val="21"/>
        </w:rPr>
        <w:t>be protected by </w:t>
      </w:r>
      <w:r>
        <w:rPr>
          <w:spacing w:val="-3"/>
          <w:w w:val="105"/>
          <w:sz w:val="21"/>
        </w:rPr>
        <w:t>registration </w:t>
      </w:r>
      <w:r>
        <w:rPr>
          <w:w w:val="105"/>
          <w:sz w:val="21"/>
        </w:rPr>
        <w:t>of a </w:t>
      </w:r>
      <w:r>
        <w:rPr>
          <w:spacing w:val="-3"/>
          <w:w w:val="105"/>
          <w:sz w:val="21"/>
        </w:rPr>
        <w:t>caveat. </w:t>
      </w:r>
      <w:r>
        <w:rPr>
          <w:w w:val="105"/>
          <w:sz w:val="21"/>
        </w:rPr>
        <w:t>Where it is </w:t>
      </w:r>
      <w:r>
        <w:rPr>
          <w:spacing w:val="-2"/>
          <w:w w:val="105"/>
          <w:sz w:val="21"/>
        </w:rPr>
        <w:t>not </w:t>
      </w:r>
      <w:r>
        <w:rPr>
          <w:spacing w:val="-3"/>
          <w:w w:val="105"/>
          <w:sz w:val="21"/>
        </w:rPr>
        <w:t>determinable </w:t>
      </w:r>
      <w:r>
        <w:rPr>
          <w:w w:val="105"/>
          <w:sz w:val="21"/>
        </w:rPr>
        <w:t>which owner </w:t>
      </w:r>
      <w:r>
        <w:rPr>
          <w:spacing w:val="-3"/>
          <w:w w:val="105"/>
          <w:sz w:val="21"/>
        </w:rPr>
        <w:t>planted </w:t>
      </w:r>
      <w:r>
        <w:rPr>
          <w:w w:val="105"/>
          <w:sz w:val="21"/>
        </w:rPr>
        <w:t>the </w:t>
      </w:r>
      <w:r>
        <w:rPr>
          <w:spacing w:val="-3"/>
          <w:w w:val="105"/>
          <w:sz w:val="21"/>
        </w:rPr>
        <w:t>tree, </w:t>
      </w:r>
      <w:r>
        <w:rPr>
          <w:w w:val="105"/>
          <w:sz w:val="21"/>
        </w:rPr>
        <w:t>ownership in </w:t>
      </w:r>
      <w:r>
        <w:rPr>
          <w:spacing w:val="-2"/>
          <w:w w:val="105"/>
          <w:sz w:val="21"/>
        </w:rPr>
        <w:t>common </w:t>
      </w:r>
      <w:r>
        <w:rPr>
          <w:spacing w:val="-3"/>
          <w:w w:val="105"/>
          <w:sz w:val="21"/>
        </w:rPr>
        <w:t>will </w:t>
      </w:r>
      <w:r>
        <w:rPr>
          <w:spacing w:val="-2"/>
          <w:w w:val="105"/>
          <w:sz w:val="21"/>
        </w:rPr>
        <w:t>not </w:t>
      </w:r>
      <w:r>
        <w:rPr>
          <w:w w:val="105"/>
          <w:sz w:val="21"/>
        </w:rPr>
        <w:t>be </w:t>
      </w:r>
      <w:r>
        <w:rPr>
          <w:spacing w:val="-5"/>
          <w:w w:val="105"/>
          <w:sz w:val="21"/>
        </w:rPr>
        <w:t>implied.’</w:t>
      </w:r>
      <w:r>
        <w:rPr>
          <w:spacing w:val="-5"/>
          <w:w w:val="105"/>
          <w:position w:val="7"/>
          <w:sz w:val="12"/>
        </w:rPr>
        <w:t>213 </w:t>
      </w:r>
      <w:r>
        <w:rPr>
          <w:w w:val="105"/>
          <w:sz w:val="21"/>
        </w:rPr>
        <w:t>In </w:t>
      </w:r>
      <w:r>
        <w:rPr>
          <w:spacing w:val="-3"/>
          <w:w w:val="105"/>
          <w:sz w:val="21"/>
        </w:rPr>
        <w:t>such </w:t>
      </w:r>
      <w:r>
        <w:rPr>
          <w:w w:val="105"/>
          <w:sz w:val="21"/>
        </w:rPr>
        <w:t>a </w:t>
      </w:r>
      <w:r>
        <w:rPr>
          <w:spacing w:val="-3"/>
          <w:w w:val="105"/>
          <w:sz w:val="21"/>
        </w:rPr>
        <w:t>case, </w:t>
      </w:r>
      <w:r>
        <w:rPr>
          <w:w w:val="105"/>
          <w:sz w:val="21"/>
        </w:rPr>
        <w:t>the tree </w:t>
      </w:r>
      <w:r>
        <w:rPr>
          <w:spacing w:val="-3"/>
          <w:w w:val="105"/>
          <w:sz w:val="21"/>
        </w:rPr>
        <w:t>remains </w:t>
      </w:r>
      <w:r>
        <w:rPr>
          <w:w w:val="105"/>
          <w:sz w:val="21"/>
        </w:rPr>
        <w:t>the property of the owner of the </w:t>
      </w:r>
      <w:r>
        <w:rPr>
          <w:spacing w:val="-3"/>
          <w:w w:val="105"/>
          <w:sz w:val="21"/>
        </w:rPr>
        <w:t>land </w:t>
      </w:r>
      <w:r>
        <w:rPr>
          <w:w w:val="105"/>
          <w:sz w:val="21"/>
        </w:rPr>
        <w:t>on which the tree was </w:t>
      </w:r>
      <w:r>
        <w:rPr>
          <w:spacing w:val="-3"/>
          <w:w w:val="105"/>
          <w:sz w:val="21"/>
        </w:rPr>
        <w:t>planted </w:t>
      </w:r>
      <w:r>
        <w:rPr>
          <w:w w:val="105"/>
          <w:sz w:val="21"/>
        </w:rPr>
        <w:t>even when the trunk, roots and </w:t>
      </w:r>
      <w:r>
        <w:rPr>
          <w:spacing w:val="-3"/>
          <w:w w:val="105"/>
          <w:sz w:val="21"/>
        </w:rPr>
        <w:t>branches </w:t>
      </w:r>
      <w:r>
        <w:rPr>
          <w:w w:val="105"/>
          <w:sz w:val="21"/>
        </w:rPr>
        <w:t>extend </w:t>
      </w:r>
      <w:r>
        <w:rPr>
          <w:spacing w:val="-4"/>
          <w:w w:val="105"/>
          <w:sz w:val="21"/>
        </w:rPr>
        <w:t>into </w:t>
      </w:r>
      <w:r>
        <w:rPr>
          <w:spacing w:val="-3"/>
          <w:w w:val="105"/>
          <w:sz w:val="21"/>
        </w:rPr>
        <w:t>neighbouring</w:t>
      </w:r>
      <w:r>
        <w:rPr>
          <w:spacing w:val="39"/>
          <w:w w:val="105"/>
          <w:sz w:val="21"/>
        </w:rPr>
        <w:t> </w:t>
      </w:r>
      <w:r>
        <w:rPr>
          <w:spacing w:val="-3"/>
          <w:w w:val="105"/>
          <w:sz w:val="21"/>
        </w:rPr>
        <w:t>property.</w:t>
      </w:r>
      <w:r>
        <w:rPr>
          <w:spacing w:val="-3"/>
          <w:w w:val="105"/>
          <w:position w:val="7"/>
          <w:sz w:val="12"/>
        </w:rPr>
        <w:t>214</w:t>
      </w:r>
    </w:p>
    <w:p>
      <w:pPr>
        <w:pStyle w:val="ListParagraph"/>
        <w:numPr>
          <w:ilvl w:val="0"/>
          <w:numId w:val="56"/>
        </w:numPr>
        <w:tabs>
          <w:tab w:pos="2381" w:val="left" w:leader="none"/>
          <w:tab w:pos="2382" w:val="left" w:leader="none"/>
        </w:tabs>
        <w:spacing w:line="242" w:lineRule="auto" w:before="126" w:after="0"/>
        <w:ind w:left="2381" w:right="2258" w:hanging="794"/>
        <w:jc w:val="left"/>
        <w:rPr>
          <w:sz w:val="21"/>
        </w:rPr>
      </w:pPr>
      <w:r>
        <w:rPr>
          <w:sz w:val="21"/>
        </w:rPr>
        <w:t>In some states of the </w:t>
      </w:r>
      <w:r>
        <w:rPr>
          <w:spacing w:val="-3"/>
          <w:sz w:val="21"/>
        </w:rPr>
        <w:t>United States, </w:t>
      </w:r>
      <w:r>
        <w:rPr>
          <w:sz w:val="21"/>
        </w:rPr>
        <w:t>where a tree stands on the boundary </w:t>
      </w:r>
      <w:r>
        <w:rPr>
          <w:spacing w:val="-3"/>
          <w:sz w:val="21"/>
        </w:rPr>
        <w:t>line  </w:t>
      </w:r>
      <w:r>
        <w:rPr>
          <w:sz w:val="21"/>
        </w:rPr>
        <w:t>with  its</w:t>
      </w:r>
      <w:r>
        <w:rPr>
          <w:spacing w:val="16"/>
          <w:sz w:val="21"/>
        </w:rPr>
        <w:t> </w:t>
      </w:r>
      <w:r>
        <w:rPr>
          <w:sz w:val="21"/>
        </w:rPr>
        <w:t>trunk</w:t>
      </w:r>
      <w:r>
        <w:rPr>
          <w:spacing w:val="16"/>
          <w:sz w:val="21"/>
        </w:rPr>
        <w:t> </w:t>
      </w:r>
      <w:r>
        <w:rPr>
          <w:sz w:val="21"/>
        </w:rPr>
        <w:t>on</w:t>
      </w:r>
      <w:r>
        <w:rPr>
          <w:spacing w:val="16"/>
          <w:sz w:val="21"/>
        </w:rPr>
        <w:t> </w:t>
      </w:r>
      <w:r>
        <w:rPr>
          <w:sz w:val="21"/>
        </w:rPr>
        <w:t>both</w:t>
      </w:r>
      <w:r>
        <w:rPr>
          <w:spacing w:val="17"/>
          <w:sz w:val="21"/>
        </w:rPr>
        <w:t> </w:t>
      </w:r>
      <w:r>
        <w:rPr>
          <w:sz w:val="21"/>
        </w:rPr>
        <w:t>properties,</w:t>
      </w:r>
      <w:r>
        <w:rPr>
          <w:spacing w:val="16"/>
          <w:sz w:val="21"/>
        </w:rPr>
        <w:t> </w:t>
      </w:r>
      <w:r>
        <w:rPr>
          <w:sz w:val="21"/>
        </w:rPr>
        <w:t>the</w:t>
      </w:r>
      <w:r>
        <w:rPr>
          <w:spacing w:val="16"/>
          <w:sz w:val="21"/>
        </w:rPr>
        <w:t> </w:t>
      </w:r>
      <w:r>
        <w:rPr>
          <w:sz w:val="21"/>
        </w:rPr>
        <w:t>neighbours</w:t>
      </w:r>
      <w:r>
        <w:rPr>
          <w:spacing w:val="17"/>
          <w:sz w:val="21"/>
        </w:rPr>
        <w:t> </w:t>
      </w:r>
      <w:r>
        <w:rPr>
          <w:sz w:val="21"/>
        </w:rPr>
        <w:t>own</w:t>
      </w:r>
      <w:r>
        <w:rPr>
          <w:spacing w:val="16"/>
          <w:sz w:val="21"/>
        </w:rPr>
        <w:t> </w:t>
      </w:r>
      <w:r>
        <w:rPr>
          <w:sz w:val="21"/>
        </w:rPr>
        <w:t>the</w:t>
      </w:r>
      <w:r>
        <w:rPr>
          <w:spacing w:val="16"/>
          <w:sz w:val="21"/>
        </w:rPr>
        <w:t> </w:t>
      </w:r>
      <w:r>
        <w:rPr>
          <w:sz w:val="21"/>
        </w:rPr>
        <w:t>tree</w:t>
      </w:r>
      <w:r>
        <w:rPr>
          <w:spacing w:val="16"/>
          <w:sz w:val="21"/>
        </w:rPr>
        <w:t> </w:t>
      </w:r>
      <w:r>
        <w:rPr>
          <w:sz w:val="21"/>
        </w:rPr>
        <w:t>as</w:t>
      </w:r>
      <w:r>
        <w:rPr>
          <w:spacing w:val="17"/>
          <w:sz w:val="21"/>
        </w:rPr>
        <w:t> </w:t>
      </w:r>
      <w:r>
        <w:rPr>
          <w:spacing w:val="-3"/>
          <w:sz w:val="21"/>
        </w:rPr>
        <w:t>tenants</w:t>
      </w:r>
      <w:r>
        <w:rPr>
          <w:spacing w:val="16"/>
          <w:sz w:val="21"/>
        </w:rPr>
        <w:t> </w:t>
      </w:r>
      <w:r>
        <w:rPr>
          <w:sz w:val="21"/>
        </w:rPr>
        <w:t>in</w:t>
      </w:r>
      <w:r>
        <w:rPr>
          <w:spacing w:val="16"/>
          <w:sz w:val="21"/>
        </w:rPr>
        <w:t> </w:t>
      </w:r>
      <w:r>
        <w:rPr>
          <w:spacing w:val="-2"/>
          <w:sz w:val="21"/>
        </w:rPr>
        <w:t>common</w:t>
      </w:r>
    </w:p>
    <w:p>
      <w:pPr>
        <w:pStyle w:val="BodyText"/>
        <w:spacing w:line="242" w:lineRule="auto" w:before="3"/>
        <w:ind w:left="2381" w:right="1636"/>
        <w:rPr>
          <w:sz w:val="12"/>
        </w:rPr>
      </w:pPr>
      <w:r>
        <w:rPr>
          <w:w w:val="105"/>
        </w:rPr>
        <w:t>if an </w:t>
      </w:r>
      <w:r>
        <w:rPr>
          <w:spacing w:val="-4"/>
          <w:w w:val="105"/>
        </w:rPr>
        <w:t>‘intention, </w:t>
      </w:r>
      <w:r>
        <w:rPr>
          <w:spacing w:val="-3"/>
          <w:w w:val="105"/>
        </w:rPr>
        <w:t>acquiescence, </w:t>
      </w:r>
      <w:r>
        <w:rPr>
          <w:w w:val="105"/>
        </w:rPr>
        <w:t>or </w:t>
      </w:r>
      <w:r>
        <w:rPr>
          <w:spacing w:val="-3"/>
          <w:w w:val="105"/>
        </w:rPr>
        <w:t>agreement’</w:t>
      </w:r>
      <w:r>
        <w:rPr>
          <w:spacing w:val="-3"/>
          <w:w w:val="105"/>
          <w:position w:val="7"/>
          <w:sz w:val="12"/>
        </w:rPr>
        <w:t>215 </w:t>
      </w:r>
      <w:r>
        <w:rPr>
          <w:w w:val="105"/>
        </w:rPr>
        <w:t>as </w:t>
      </w:r>
      <w:r>
        <w:rPr>
          <w:spacing w:val="-3"/>
          <w:w w:val="105"/>
        </w:rPr>
        <w:t>to </w:t>
      </w:r>
      <w:r>
        <w:rPr>
          <w:w w:val="105"/>
        </w:rPr>
        <w:t>its </w:t>
      </w:r>
      <w:r>
        <w:rPr>
          <w:spacing w:val="-3"/>
          <w:w w:val="105"/>
        </w:rPr>
        <w:t>joint </w:t>
      </w:r>
      <w:r>
        <w:rPr>
          <w:w w:val="105"/>
        </w:rPr>
        <w:t>ownership can be </w:t>
      </w:r>
      <w:r>
        <w:rPr>
          <w:spacing w:val="-3"/>
          <w:w w:val="105"/>
        </w:rPr>
        <w:t>demonstrated.</w:t>
      </w:r>
      <w:r>
        <w:rPr>
          <w:spacing w:val="-3"/>
          <w:w w:val="105"/>
          <w:position w:val="7"/>
          <w:sz w:val="12"/>
        </w:rPr>
        <w:t>216 </w:t>
      </w:r>
      <w:r>
        <w:rPr>
          <w:w w:val="105"/>
        </w:rPr>
        <w:t>While neighbours </w:t>
      </w:r>
      <w:r>
        <w:rPr>
          <w:spacing w:val="-3"/>
          <w:w w:val="105"/>
        </w:rPr>
        <w:t>may abate </w:t>
      </w:r>
      <w:r>
        <w:rPr>
          <w:w w:val="105"/>
        </w:rPr>
        <w:t>up </w:t>
      </w:r>
      <w:r>
        <w:rPr>
          <w:spacing w:val="-3"/>
          <w:w w:val="105"/>
        </w:rPr>
        <w:t>to </w:t>
      </w:r>
      <w:r>
        <w:rPr>
          <w:w w:val="105"/>
        </w:rPr>
        <w:t>boundary </w:t>
      </w:r>
      <w:r>
        <w:rPr>
          <w:spacing w:val="-3"/>
          <w:w w:val="105"/>
        </w:rPr>
        <w:t>lines </w:t>
      </w:r>
      <w:r>
        <w:rPr>
          <w:w w:val="105"/>
        </w:rPr>
        <w:t>in the </w:t>
      </w:r>
      <w:r>
        <w:rPr>
          <w:spacing w:val="-3"/>
          <w:w w:val="105"/>
        </w:rPr>
        <w:t>usual </w:t>
      </w:r>
      <w:r>
        <w:rPr>
          <w:spacing w:val="-5"/>
          <w:w w:val="105"/>
        </w:rPr>
        <w:t>manner, </w:t>
      </w:r>
      <w:r>
        <w:rPr>
          <w:spacing w:val="-3"/>
          <w:w w:val="105"/>
        </w:rPr>
        <w:t>any significant </w:t>
      </w:r>
      <w:r>
        <w:rPr>
          <w:w w:val="105"/>
        </w:rPr>
        <w:t>work </w:t>
      </w:r>
      <w:r>
        <w:rPr>
          <w:spacing w:val="-3"/>
          <w:w w:val="105"/>
        </w:rPr>
        <w:t>that </w:t>
      </w:r>
      <w:r>
        <w:rPr>
          <w:w w:val="105"/>
        </w:rPr>
        <w:t>crosses boundary </w:t>
      </w:r>
      <w:r>
        <w:rPr>
          <w:spacing w:val="-3"/>
          <w:w w:val="105"/>
        </w:rPr>
        <w:t>lines </w:t>
      </w:r>
      <w:r>
        <w:rPr>
          <w:w w:val="105"/>
        </w:rPr>
        <w:t>or is </w:t>
      </w:r>
      <w:r>
        <w:rPr>
          <w:spacing w:val="-3"/>
          <w:w w:val="105"/>
        </w:rPr>
        <w:t>concerned </w:t>
      </w:r>
      <w:r>
        <w:rPr>
          <w:w w:val="105"/>
        </w:rPr>
        <w:t>with the </w:t>
      </w:r>
      <w:r>
        <w:rPr>
          <w:spacing w:val="-3"/>
          <w:w w:val="105"/>
        </w:rPr>
        <w:t>removal </w:t>
      </w:r>
      <w:r>
        <w:rPr>
          <w:w w:val="105"/>
        </w:rPr>
        <w:t>of the tree must be done with the </w:t>
      </w:r>
      <w:r>
        <w:rPr>
          <w:spacing w:val="-2"/>
          <w:w w:val="105"/>
        </w:rPr>
        <w:t>agreement </w:t>
      </w:r>
      <w:r>
        <w:rPr>
          <w:w w:val="105"/>
        </w:rPr>
        <w:t>of the </w:t>
      </w:r>
      <w:r>
        <w:rPr>
          <w:spacing w:val="-3"/>
          <w:w w:val="105"/>
        </w:rPr>
        <w:t>owners.</w:t>
      </w:r>
      <w:r>
        <w:rPr>
          <w:spacing w:val="-3"/>
          <w:w w:val="105"/>
          <w:position w:val="7"/>
          <w:sz w:val="12"/>
        </w:rPr>
        <w:t>217</w:t>
      </w:r>
    </w:p>
    <w:p>
      <w:pPr>
        <w:pStyle w:val="Heading7"/>
      </w:pPr>
      <w:r>
        <w:rPr>
          <w:w w:val="115"/>
        </w:rPr>
        <w:t>Community responses—trees on boundaries</w:t>
      </w:r>
    </w:p>
    <w:p>
      <w:pPr>
        <w:pStyle w:val="ListParagraph"/>
        <w:numPr>
          <w:ilvl w:val="0"/>
          <w:numId w:val="56"/>
        </w:numPr>
        <w:tabs>
          <w:tab w:pos="2380" w:val="left" w:leader="none"/>
          <w:tab w:pos="2381" w:val="left" w:leader="none"/>
        </w:tabs>
        <w:spacing w:line="242" w:lineRule="auto" w:before="143" w:after="0"/>
        <w:ind w:left="2381" w:right="1821" w:hanging="794"/>
        <w:jc w:val="left"/>
        <w:rPr>
          <w:sz w:val="21"/>
        </w:rPr>
      </w:pPr>
      <w:r>
        <w:rPr>
          <w:spacing w:val="-3"/>
          <w:sz w:val="21"/>
        </w:rPr>
        <w:t>Community </w:t>
      </w:r>
      <w:r>
        <w:rPr>
          <w:sz w:val="21"/>
        </w:rPr>
        <w:t>responses </w:t>
      </w:r>
      <w:r>
        <w:rPr>
          <w:spacing w:val="-3"/>
          <w:sz w:val="21"/>
        </w:rPr>
        <w:t>fell </w:t>
      </w:r>
      <w:r>
        <w:rPr>
          <w:spacing w:val="-4"/>
          <w:sz w:val="21"/>
        </w:rPr>
        <w:t>into </w:t>
      </w:r>
      <w:r>
        <w:rPr>
          <w:sz w:val="21"/>
        </w:rPr>
        <w:t>three distinct categories: proportional </w:t>
      </w:r>
      <w:r>
        <w:rPr>
          <w:spacing w:val="-3"/>
          <w:sz w:val="21"/>
        </w:rPr>
        <w:t>ownership, shared </w:t>
      </w:r>
      <w:r>
        <w:rPr>
          <w:sz w:val="21"/>
        </w:rPr>
        <w:t>ownership in equal parts and other</w:t>
      </w:r>
      <w:r>
        <w:rPr>
          <w:spacing w:val="7"/>
          <w:sz w:val="21"/>
        </w:rPr>
        <w:t> </w:t>
      </w:r>
      <w:r>
        <w:rPr>
          <w:sz w:val="21"/>
        </w:rPr>
        <w:t>suggestions.</w:t>
      </w:r>
    </w:p>
    <w:p>
      <w:pPr>
        <w:pStyle w:val="ListParagraph"/>
        <w:numPr>
          <w:ilvl w:val="0"/>
          <w:numId w:val="56"/>
        </w:numPr>
        <w:tabs>
          <w:tab w:pos="2381" w:val="left" w:leader="none"/>
        </w:tabs>
        <w:spacing w:line="242" w:lineRule="auto" w:before="122" w:after="0"/>
        <w:ind w:left="2381" w:right="1594" w:hanging="794"/>
        <w:jc w:val="both"/>
        <w:rPr>
          <w:sz w:val="12"/>
        </w:rPr>
      </w:pPr>
      <w:r>
        <w:rPr>
          <w:sz w:val="21"/>
        </w:rPr>
        <w:t>One person </w:t>
      </w:r>
      <w:r>
        <w:rPr>
          <w:spacing w:val="-3"/>
          <w:sz w:val="21"/>
        </w:rPr>
        <w:t>related </w:t>
      </w:r>
      <w:r>
        <w:rPr>
          <w:sz w:val="21"/>
        </w:rPr>
        <w:t>their unresolved </w:t>
      </w:r>
      <w:r>
        <w:rPr>
          <w:spacing w:val="-3"/>
          <w:sz w:val="21"/>
        </w:rPr>
        <w:t>dispute </w:t>
      </w:r>
      <w:r>
        <w:rPr>
          <w:sz w:val="21"/>
        </w:rPr>
        <w:t>about a straddle </w:t>
      </w:r>
      <w:r>
        <w:rPr>
          <w:spacing w:val="-3"/>
          <w:sz w:val="21"/>
        </w:rPr>
        <w:t>tree.  </w:t>
      </w:r>
      <w:r>
        <w:rPr>
          <w:sz w:val="21"/>
        </w:rPr>
        <w:t>This person was </w:t>
      </w:r>
      <w:r>
        <w:rPr>
          <w:spacing w:val="-3"/>
          <w:sz w:val="21"/>
        </w:rPr>
        <w:t>unable  to remove </w:t>
      </w:r>
      <w:r>
        <w:rPr>
          <w:sz w:val="21"/>
        </w:rPr>
        <w:t>the tree as they wished because the </w:t>
      </w:r>
      <w:r>
        <w:rPr>
          <w:spacing w:val="-3"/>
          <w:sz w:val="21"/>
        </w:rPr>
        <w:t>neighbour </w:t>
      </w:r>
      <w:r>
        <w:rPr>
          <w:sz w:val="21"/>
        </w:rPr>
        <w:t>would </w:t>
      </w:r>
      <w:r>
        <w:rPr>
          <w:spacing w:val="-2"/>
          <w:sz w:val="21"/>
        </w:rPr>
        <w:t>not </w:t>
      </w:r>
      <w:r>
        <w:rPr>
          <w:spacing w:val="-3"/>
          <w:sz w:val="21"/>
        </w:rPr>
        <w:t>allow </w:t>
      </w:r>
      <w:r>
        <w:rPr>
          <w:sz w:val="21"/>
        </w:rPr>
        <w:t>them </w:t>
      </w:r>
      <w:r>
        <w:rPr>
          <w:spacing w:val="-3"/>
          <w:sz w:val="21"/>
        </w:rPr>
        <w:t>to </w:t>
      </w:r>
      <w:r>
        <w:rPr>
          <w:spacing w:val="-2"/>
          <w:sz w:val="21"/>
        </w:rPr>
        <w:t>access </w:t>
      </w:r>
      <w:r>
        <w:rPr>
          <w:sz w:val="21"/>
        </w:rPr>
        <w:t>their </w:t>
      </w:r>
      <w:r>
        <w:rPr>
          <w:spacing w:val="-3"/>
          <w:sz w:val="21"/>
        </w:rPr>
        <w:t>land to </w:t>
      </w:r>
      <w:r>
        <w:rPr>
          <w:sz w:val="21"/>
        </w:rPr>
        <w:t>carry out the</w:t>
      </w:r>
      <w:r>
        <w:rPr>
          <w:spacing w:val="10"/>
          <w:sz w:val="21"/>
        </w:rPr>
        <w:t> </w:t>
      </w:r>
      <w:r>
        <w:rPr>
          <w:sz w:val="21"/>
        </w:rPr>
        <w:t>works.</w:t>
      </w:r>
      <w:r>
        <w:rPr>
          <w:position w:val="7"/>
          <w:sz w:val="12"/>
        </w:rPr>
        <w:t>218</w:t>
      </w:r>
    </w:p>
    <w:p>
      <w:pPr>
        <w:pStyle w:val="Heading7"/>
      </w:pPr>
      <w:r>
        <w:rPr>
          <w:color w:val="58595B"/>
          <w:w w:val="115"/>
        </w:rPr>
        <w:t>Proportional ownership</w:t>
      </w:r>
    </w:p>
    <w:p>
      <w:pPr>
        <w:pStyle w:val="ListParagraph"/>
        <w:numPr>
          <w:ilvl w:val="0"/>
          <w:numId w:val="56"/>
        </w:numPr>
        <w:tabs>
          <w:tab w:pos="2381" w:val="left" w:leader="none"/>
          <w:tab w:pos="2382" w:val="left" w:leader="none"/>
        </w:tabs>
        <w:spacing w:line="242" w:lineRule="auto" w:before="143" w:after="0"/>
        <w:ind w:left="2381" w:right="1747" w:hanging="794"/>
        <w:jc w:val="left"/>
        <w:rPr>
          <w:sz w:val="21"/>
        </w:rPr>
      </w:pPr>
      <w:r>
        <w:rPr>
          <w:w w:val="105"/>
          <w:sz w:val="21"/>
        </w:rPr>
        <w:t>Most responses </w:t>
      </w:r>
      <w:r>
        <w:rPr>
          <w:spacing w:val="-3"/>
          <w:w w:val="105"/>
          <w:sz w:val="21"/>
        </w:rPr>
        <w:t>preferred </w:t>
      </w:r>
      <w:r>
        <w:rPr>
          <w:w w:val="105"/>
          <w:sz w:val="21"/>
        </w:rPr>
        <w:t>proportional ownership—that is, the </w:t>
      </w:r>
      <w:r>
        <w:rPr>
          <w:spacing w:val="-3"/>
          <w:w w:val="105"/>
          <w:sz w:val="21"/>
        </w:rPr>
        <w:t>neighbour </w:t>
      </w:r>
      <w:r>
        <w:rPr>
          <w:w w:val="105"/>
          <w:sz w:val="21"/>
        </w:rPr>
        <w:t>with the </w:t>
      </w:r>
      <w:r>
        <w:rPr>
          <w:spacing w:val="-3"/>
          <w:w w:val="105"/>
          <w:sz w:val="21"/>
        </w:rPr>
        <w:t>greater </w:t>
      </w:r>
      <w:r>
        <w:rPr>
          <w:w w:val="105"/>
          <w:sz w:val="21"/>
        </w:rPr>
        <w:t>portion of the tree on their property should be deemed </w:t>
      </w:r>
      <w:r>
        <w:rPr>
          <w:spacing w:val="-3"/>
          <w:w w:val="105"/>
          <w:sz w:val="21"/>
        </w:rPr>
        <w:t>to </w:t>
      </w:r>
      <w:r>
        <w:rPr>
          <w:w w:val="105"/>
          <w:sz w:val="21"/>
        </w:rPr>
        <w:t>own the tree and be </w:t>
      </w:r>
      <w:r>
        <w:rPr>
          <w:spacing w:val="-3"/>
          <w:w w:val="105"/>
          <w:sz w:val="21"/>
        </w:rPr>
        <w:t>fully responsible for it.</w:t>
      </w:r>
      <w:r>
        <w:rPr>
          <w:spacing w:val="-3"/>
          <w:w w:val="105"/>
          <w:position w:val="7"/>
          <w:sz w:val="12"/>
        </w:rPr>
        <w:t>219 </w:t>
      </w:r>
      <w:r>
        <w:rPr>
          <w:w w:val="105"/>
          <w:sz w:val="21"/>
        </w:rPr>
        <w:t>A </w:t>
      </w:r>
      <w:r>
        <w:rPr>
          <w:spacing w:val="-3"/>
          <w:w w:val="105"/>
          <w:sz w:val="21"/>
        </w:rPr>
        <w:t>range </w:t>
      </w:r>
      <w:r>
        <w:rPr>
          <w:w w:val="105"/>
          <w:sz w:val="21"/>
        </w:rPr>
        <w:t>of methods </w:t>
      </w:r>
      <w:r>
        <w:rPr>
          <w:spacing w:val="-3"/>
          <w:w w:val="105"/>
          <w:sz w:val="21"/>
        </w:rPr>
        <w:t>were </w:t>
      </w:r>
      <w:r>
        <w:rPr>
          <w:w w:val="105"/>
          <w:sz w:val="21"/>
        </w:rPr>
        <w:t>put forward </w:t>
      </w:r>
      <w:r>
        <w:rPr>
          <w:spacing w:val="-3"/>
          <w:w w:val="105"/>
          <w:sz w:val="21"/>
        </w:rPr>
        <w:t>for </w:t>
      </w:r>
      <w:r>
        <w:rPr>
          <w:w w:val="105"/>
          <w:sz w:val="21"/>
        </w:rPr>
        <w:t>assessing </w:t>
      </w:r>
      <w:r>
        <w:rPr>
          <w:spacing w:val="-3"/>
          <w:w w:val="105"/>
          <w:sz w:val="21"/>
        </w:rPr>
        <w:t>ownership. </w:t>
      </w:r>
      <w:r>
        <w:rPr>
          <w:w w:val="105"/>
          <w:sz w:val="21"/>
        </w:rPr>
        <w:t>As one arborist</w:t>
      </w:r>
      <w:r>
        <w:rPr>
          <w:spacing w:val="15"/>
          <w:w w:val="105"/>
          <w:sz w:val="21"/>
        </w:rPr>
        <w:t> </w:t>
      </w:r>
      <w:r>
        <w:rPr>
          <w:w w:val="105"/>
          <w:sz w:val="21"/>
        </w:rPr>
        <w:t>explained:</w:t>
      </w:r>
    </w:p>
    <w:p>
      <w:pPr>
        <w:spacing w:line="254" w:lineRule="auto" w:before="134"/>
        <w:ind w:left="2834" w:right="1933" w:firstLine="0"/>
        <w:jc w:val="left"/>
        <w:rPr>
          <w:sz w:val="20"/>
        </w:rPr>
      </w:pPr>
      <w:r>
        <w:rPr>
          <w:w w:val="105"/>
          <w:sz w:val="20"/>
        </w:rPr>
        <w:t>A</w:t>
      </w:r>
      <w:r>
        <w:rPr>
          <w:spacing w:val="-7"/>
          <w:w w:val="105"/>
          <w:sz w:val="20"/>
        </w:rPr>
        <w:t> </w:t>
      </w:r>
      <w:r>
        <w:rPr>
          <w:w w:val="105"/>
          <w:sz w:val="20"/>
        </w:rPr>
        <w:t>system</w:t>
      </w:r>
      <w:r>
        <w:rPr>
          <w:spacing w:val="-7"/>
          <w:w w:val="105"/>
          <w:sz w:val="20"/>
        </w:rPr>
        <w:t> </w:t>
      </w:r>
      <w:r>
        <w:rPr>
          <w:w w:val="105"/>
          <w:sz w:val="20"/>
        </w:rPr>
        <w:t>of</w:t>
      </w:r>
      <w:r>
        <w:rPr>
          <w:spacing w:val="-7"/>
          <w:w w:val="105"/>
          <w:sz w:val="20"/>
        </w:rPr>
        <w:t> </w:t>
      </w:r>
      <w:r>
        <w:rPr>
          <w:w w:val="105"/>
          <w:sz w:val="20"/>
        </w:rPr>
        <w:t>determining</w:t>
      </w:r>
      <w:r>
        <w:rPr>
          <w:spacing w:val="-7"/>
          <w:w w:val="105"/>
          <w:sz w:val="20"/>
        </w:rPr>
        <w:t> </w:t>
      </w:r>
      <w:r>
        <w:rPr>
          <w:w w:val="105"/>
          <w:sz w:val="20"/>
        </w:rPr>
        <w:t>the</w:t>
      </w:r>
      <w:r>
        <w:rPr>
          <w:spacing w:val="-7"/>
          <w:w w:val="105"/>
          <w:sz w:val="20"/>
        </w:rPr>
        <w:t> </w:t>
      </w:r>
      <w:r>
        <w:rPr>
          <w:w w:val="105"/>
          <w:sz w:val="20"/>
        </w:rPr>
        <w:t>extent</w:t>
      </w:r>
      <w:r>
        <w:rPr>
          <w:spacing w:val="-7"/>
          <w:w w:val="105"/>
          <w:sz w:val="20"/>
        </w:rPr>
        <w:t> </w:t>
      </w:r>
      <w:r>
        <w:rPr>
          <w:w w:val="105"/>
          <w:sz w:val="20"/>
        </w:rPr>
        <w:t>of</w:t>
      </w:r>
      <w:r>
        <w:rPr>
          <w:spacing w:val="-7"/>
          <w:w w:val="105"/>
          <w:sz w:val="20"/>
        </w:rPr>
        <w:t> </w:t>
      </w:r>
      <w:r>
        <w:rPr>
          <w:w w:val="105"/>
          <w:sz w:val="20"/>
        </w:rPr>
        <w:t>ownership</w:t>
      </w:r>
      <w:r>
        <w:rPr>
          <w:spacing w:val="-7"/>
          <w:w w:val="105"/>
          <w:sz w:val="20"/>
        </w:rPr>
        <w:t> </w:t>
      </w:r>
      <w:r>
        <w:rPr>
          <w:w w:val="105"/>
          <w:sz w:val="20"/>
        </w:rPr>
        <w:t>should</w:t>
      </w:r>
      <w:r>
        <w:rPr>
          <w:spacing w:val="-7"/>
          <w:w w:val="105"/>
          <w:sz w:val="20"/>
        </w:rPr>
        <w:t> </w:t>
      </w:r>
      <w:r>
        <w:rPr>
          <w:spacing w:val="-3"/>
          <w:w w:val="105"/>
          <w:sz w:val="20"/>
        </w:rPr>
        <w:t>apply.</w:t>
      </w:r>
      <w:r>
        <w:rPr>
          <w:spacing w:val="-7"/>
          <w:w w:val="105"/>
          <w:sz w:val="20"/>
        </w:rPr>
        <w:t> </w:t>
      </w:r>
      <w:r>
        <w:rPr>
          <w:w w:val="105"/>
          <w:sz w:val="20"/>
        </w:rPr>
        <w:t>Does</w:t>
      </w:r>
      <w:r>
        <w:rPr>
          <w:spacing w:val="-7"/>
          <w:w w:val="105"/>
          <w:sz w:val="20"/>
        </w:rPr>
        <w:t> </w:t>
      </w:r>
      <w:r>
        <w:rPr>
          <w:w w:val="105"/>
          <w:sz w:val="20"/>
        </w:rPr>
        <w:t>this</w:t>
      </w:r>
      <w:r>
        <w:rPr>
          <w:spacing w:val="-6"/>
          <w:w w:val="105"/>
          <w:sz w:val="20"/>
        </w:rPr>
        <w:t> </w:t>
      </w:r>
      <w:r>
        <w:rPr>
          <w:w w:val="105"/>
          <w:sz w:val="20"/>
        </w:rPr>
        <w:t>look</w:t>
      </w:r>
      <w:r>
        <w:rPr>
          <w:spacing w:val="-7"/>
          <w:w w:val="105"/>
          <w:sz w:val="20"/>
        </w:rPr>
        <w:t> </w:t>
      </w:r>
      <w:r>
        <w:rPr>
          <w:w w:val="105"/>
          <w:sz w:val="20"/>
        </w:rPr>
        <w:t>solely at the location of the </w:t>
      </w:r>
      <w:r>
        <w:rPr>
          <w:spacing w:val="-3"/>
          <w:w w:val="105"/>
          <w:sz w:val="20"/>
        </w:rPr>
        <w:t>centre </w:t>
      </w:r>
      <w:r>
        <w:rPr>
          <w:w w:val="105"/>
          <w:sz w:val="20"/>
        </w:rPr>
        <w:t>of the trunk, the extent of the trunk on each parcel of </w:t>
      </w:r>
      <w:r>
        <w:rPr>
          <w:spacing w:val="-3"/>
          <w:w w:val="105"/>
          <w:sz w:val="20"/>
        </w:rPr>
        <w:t>land,</w:t>
      </w:r>
      <w:r>
        <w:rPr>
          <w:spacing w:val="-9"/>
          <w:w w:val="105"/>
          <w:sz w:val="20"/>
        </w:rPr>
        <w:t> </w:t>
      </w:r>
      <w:r>
        <w:rPr>
          <w:w w:val="105"/>
          <w:sz w:val="20"/>
        </w:rPr>
        <w:t>the</w:t>
      </w:r>
      <w:r>
        <w:rPr>
          <w:spacing w:val="-8"/>
          <w:w w:val="105"/>
          <w:sz w:val="20"/>
        </w:rPr>
        <w:t> </w:t>
      </w:r>
      <w:r>
        <w:rPr>
          <w:w w:val="105"/>
          <w:sz w:val="20"/>
        </w:rPr>
        <w:t>extent</w:t>
      </w:r>
      <w:r>
        <w:rPr>
          <w:spacing w:val="-8"/>
          <w:w w:val="105"/>
          <w:sz w:val="20"/>
        </w:rPr>
        <w:t> </w:t>
      </w:r>
      <w:r>
        <w:rPr>
          <w:w w:val="105"/>
          <w:sz w:val="20"/>
        </w:rPr>
        <w:t>of</w:t>
      </w:r>
      <w:r>
        <w:rPr>
          <w:spacing w:val="-8"/>
          <w:w w:val="105"/>
          <w:sz w:val="20"/>
        </w:rPr>
        <w:t> </w:t>
      </w:r>
      <w:r>
        <w:rPr>
          <w:w w:val="105"/>
          <w:sz w:val="20"/>
        </w:rPr>
        <w:t>canopy</w:t>
      </w:r>
      <w:r>
        <w:rPr>
          <w:spacing w:val="-9"/>
          <w:w w:val="105"/>
          <w:sz w:val="20"/>
        </w:rPr>
        <w:t> </w:t>
      </w:r>
      <w:r>
        <w:rPr>
          <w:w w:val="105"/>
          <w:sz w:val="20"/>
        </w:rPr>
        <w:t>over</w:t>
      </w:r>
      <w:r>
        <w:rPr>
          <w:spacing w:val="-8"/>
          <w:w w:val="105"/>
          <w:sz w:val="20"/>
        </w:rPr>
        <w:t> </w:t>
      </w:r>
      <w:r>
        <w:rPr>
          <w:w w:val="105"/>
          <w:sz w:val="20"/>
        </w:rPr>
        <w:t>each</w:t>
      </w:r>
      <w:r>
        <w:rPr>
          <w:spacing w:val="-8"/>
          <w:w w:val="105"/>
          <w:sz w:val="20"/>
        </w:rPr>
        <w:t> </w:t>
      </w:r>
      <w:r>
        <w:rPr>
          <w:w w:val="105"/>
          <w:sz w:val="20"/>
        </w:rPr>
        <w:t>parcel</w:t>
      </w:r>
      <w:r>
        <w:rPr>
          <w:spacing w:val="-8"/>
          <w:w w:val="105"/>
          <w:sz w:val="20"/>
        </w:rPr>
        <w:t> </w:t>
      </w:r>
      <w:r>
        <w:rPr>
          <w:w w:val="105"/>
          <w:sz w:val="20"/>
        </w:rPr>
        <w:t>and/or</w:t>
      </w:r>
      <w:r>
        <w:rPr>
          <w:spacing w:val="-8"/>
          <w:w w:val="105"/>
          <w:sz w:val="20"/>
        </w:rPr>
        <w:t> </w:t>
      </w:r>
      <w:r>
        <w:rPr>
          <w:w w:val="105"/>
          <w:sz w:val="20"/>
        </w:rPr>
        <w:t>the</w:t>
      </w:r>
      <w:r>
        <w:rPr>
          <w:spacing w:val="-9"/>
          <w:w w:val="105"/>
          <w:sz w:val="20"/>
        </w:rPr>
        <w:t> </w:t>
      </w:r>
      <w:r>
        <w:rPr>
          <w:w w:val="105"/>
          <w:sz w:val="20"/>
        </w:rPr>
        <w:t>extent</w:t>
      </w:r>
      <w:r>
        <w:rPr>
          <w:spacing w:val="-8"/>
          <w:w w:val="105"/>
          <w:sz w:val="20"/>
        </w:rPr>
        <w:t> </w:t>
      </w:r>
      <w:r>
        <w:rPr>
          <w:w w:val="105"/>
          <w:sz w:val="20"/>
        </w:rPr>
        <w:t>of</w:t>
      </w:r>
      <w:r>
        <w:rPr>
          <w:spacing w:val="-8"/>
          <w:w w:val="105"/>
          <w:sz w:val="20"/>
        </w:rPr>
        <w:t> </w:t>
      </w:r>
      <w:r>
        <w:rPr>
          <w:w w:val="105"/>
          <w:sz w:val="20"/>
        </w:rPr>
        <w:t>root</w:t>
      </w:r>
      <w:r>
        <w:rPr>
          <w:spacing w:val="-8"/>
          <w:w w:val="105"/>
          <w:sz w:val="20"/>
        </w:rPr>
        <w:t> </w:t>
      </w:r>
      <w:r>
        <w:rPr>
          <w:w w:val="105"/>
          <w:sz w:val="20"/>
        </w:rPr>
        <w:t>system</w:t>
      </w:r>
      <w:r>
        <w:rPr>
          <w:spacing w:val="-8"/>
          <w:w w:val="105"/>
          <w:sz w:val="20"/>
        </w:rPr>
        <w:t> </w:t>
      </w:r>
      <w:r>
        <w:rPr>
          <w:w w:val="105"/>
          <w:sz w:val="20"/>
        </w:rPr>
        <w:t>in</w:t>
      </w:r>
      <w:r>
        <w:rPr>
          <w:spacing w:val="-9"/>
          <w:w w:val="105"/>
          <w:sz w:val="20"/>
        </w:rPr>
        <w:t> </w:t>
      </w:r>
      <w:r>
        <w:rPr>
          <w:w w:val="105"/>
          <w:sz w:val="20"/>
        </w:rPr>
        <w:t>each</w:t>
      </w:r>
    </w:p>
    <w:p>
      <w:pPr>
        <w:spacing w:line="254" w:lineRule="auto" w:before="3"/>
        <w:ind w:left="2834" w:right="1636" w:firstLine="0"/>
        <w:jc w:val="left"/>
        <w:rPr>
          <w:sz w:val="11"/>
        </w:rPr>
      </w:pPr>
      <w:r>
        <w:rPr>
          <w:sz w:val="20"/>
        </w:rPr>
        <w:t>parcel? How does one define ownership of a tree? Is proportional liability a reasonable application for attributing liability?</w:t>
      </w:r>
      <w:r>
        <w:rPr>
          <w:position w:val="7"/>
          <w:sz w:val="11"/>
        </w:rPr>
        <w:t>220</w:t>
      </w:r>
    </w:p>
    <w:p>
      <w:pPr>
        <w:pStyle w:val="ListParagraph"/>
        <w:numPr>
          <w:ilvl w:val="0"/>
          <w:numId w:val="56"/>
        </w:numPr>
        <w:tabs>
          <w:tab w:pos="2381" w:val="left" w:leader="none"/>
          <w:tab w:pos="2382" w:val="left" w:leader="none"/>
        </w:tabs>
        <w:spacing w:line="242" w:lineRule="auto" w:before="113" w:after="0"/>
        <w:ind w:left="2381" w:right="1646" w:hanging="794"/>
        <w:jc w:val="left"/>
        <w:rPr>
          <w:sz w:val="12"/>
        </w:rPr>
      </w:pPr>
      <w:r>
        <w:rPr>
          <w:w w:val="105"/>
          <w:sz w:val="21"/>
        </w:rPr>
        <w:t>One</w:t>
      </w:r>
      <w:r>
        <w:rPr>
          <w:spacing w:val="-6"/>
          <w:w w:val="105"/>
          <w:sz w:val="21"/>
        </w:rPr>
        <w:t> </w:t>
      </w:r>
      <w:r>
        <w:rPr>
          <w:w w:val="105"/>
          <w:sz w:val="21"/>
        </w:rPr>
        <w:t>person</w:t>
      </w:r>
      <w:r>
        <w:rPr>
          <w:spacing w:val="-6"/>
          <w:w w:val="105"/>
          <w:sz w:val="21"/>
        </w:rPr>
        <w:t> </w:t>
      </w:r>
      <w:r>
        <w:rPr>
          <w:w w:val="105"/>
          <w:sz w:val="21"/>
        </w:rPr>
        <w:t>suggested</w:t>
      </w:r>
      <w:r>
        <w:rPr>
          <w:spacing w:val="-6"/>
          <w:w w:val="105"/>
          <w:sz w:val="21"/>
        </w:rPr>
        <w:t> </w:t>
      </w:r>
      <w:r>
        <w:rPr>
          <w:spacing w:val="-3"/>
          <w:w w:val="105"/>
          <w:sz w:val="21"/>
        </w:rPr>
        <w:t>that</w:t>
      </w:r>
      <w:r>
        <w:rPr>
          <w:spacing w:val="-6"/>
          <w:w w:val="105"/>
          <w:sz w:val="21"/>
        </w:rPr>
        <w:t> </w:t>
      </w:r>
      <w:r>
        <w:rPr>
          <w:w w:val="105"/>
          <w:sz w:val="21"/>
        </w:rPr>
        <w:t>in</w:t>
      </w:r>
      <w:r>
        <w:rPr>
          <w:spacing w:val="-6"/>
          <w:w w:val="105"/>
          <w:sz w:val="21"/>
        </w:rPr>
        <w:t> </w:t>
      </w:r>
      <w:r>
        <w:rPr>
          <w:spacing w:val="-3"/>
          <w:w w:val="105"/>
          <w:sz w:val="21"/>
        </w:rPr>
        <w:t>ambiguous</w:t>
      </w:r>
      <w:r>
        <w:rPr>
          <w:spacing w:val="-6"/>
          <w:w w:val="105"/>
          <w:sz w:val="21"/>
        </w:rPr>
        <w:t> </w:t>
      </w:r>
      <w:r>
        <w:rPr>
          <w:spacing w:val="-3"/>
          <w:w w:val="105"/>
          <w:sz w:val="21"/>
        </w:rPr>
        <w:t>circumstances,</w:t>
      </w:r>
      <w:r>
        <w:rPr>
          <w:spacing w:val="-7"/>
          <w:w w:val="105"/>
          <w:sz w:val="21"/>
        </w:rPr>
        <w:t> </w:t>
      </w:r>
      <w:r>
        <w:rPr>
          <w:spacing w:val="-3"/>
          <w:w w:val="105"/>
          <w:sz w:val="21"/>
        </w:rPr>
        <w:t>such</w:t>
      </w:r>
      <w:r>
        <w:rPr>
          <w:spacing w:val="-6"/>
          <w:w w:val="105"/>
          <w:sz w:val="21"/>
        </w:rPr>
        <w:t> </w:t>
      </w:r>
      <w:r>
        <w:rPr>
          <w:w w:val="105"/>
          <w:sz w:val="21"/>
        </w:rPr>
        <w:t>as</w:t>
      </w:r>
      <w:r>
        <w:rPr>
          <w:spacing w:val="-6"/>
          <w:w w:val="105"/>
          <w:sz w:val="21"/>
        </w:rPr>
        <w:t> </w:t>
      </w:r>
      <w:r>
        <w:rPr>
          <w:w w:val="105"/>
          <w:sz w:val="21"/>
        </w:rPr>
        <w:t>where</w:t>
      </w:r>
      <w:r>
        <w:rPr>
          <w:spacing w:val="-6"/>
          <w:w w:val="105"/>
          <w:sz w:val="21"/>
        </w:rPr>
        <w:t> </w:t>
      </w:r>
      <w:r>
        <w:rPr>
          <w:w w:val="105"/>
          <w:sz w:val="21"/>
        </w:rPr>
        <w:t>the</w:t>
      </w:r>
      <w:r>
        <w:rPr>
          <w:spacing w:val="-6"/>
          <w:w w:val="105"/>
          <w:sz w:val="21"/>
        </w:rPr>
        <w:t> </w:t>
      </w:r>
      <w:r>
        <w:rPr>
          <w:w w:val="105"/>
          <w:sz w:val="21"/>
        </w:rPr>
        <w:t>tree</w:t>
      </w:r>
      <w:r>
        <w:rPr>
          <w:spacing w:val="-6"/>
          <w:w w:val="105"/>
          <w:sz w:val="21"/>
        </w:rPr>
        <w:t> </w:t>
      </w:r>
      <w:r>
        <w:rPr>
          <w:w w:val="105"/>
          <w:sz w:val="21"/>
        </w:rPr>
        <w:t>straddles boundaries in equal proportions, the tree should be deemed </w:t>
      </w:r>
      <w:r>
        <w:rPr>
          <w:spacing w:val="-3"/>
          <w:w w:val="105"/>
          <w:sz w:val="21"/>
        </w:rPr>
        <w:t>to </w:t>
      </w:r>
      <w:r>
        <w:rPr>
          <w:w w:val="105"/>
          <w:sz w:val="21"/>
        </w:rPr>
        <w:t>be owned by the </w:t>
      </w:r>
      <w:r>
        <w:rPr>
          <w:spacing w:val="-3"/>
          <w:w w:val="105"/>
          <w:sz w:val="21"/>
        </w:rPr>
        <w:t>neighbour </w:t>
      </w:r>
      <w:r>
        <w:rPr>
          <w:w w:val="105"/>
          <w:sz w:val="21"/>
        </w:rPr>
        <w:t>whose property is </w:t>
      </w:r>
      <w:r>
        <w:rPr>
          <w:spacing w:val="-2"/>
          <w:w w:val="105"/>
          <w:sz w:val="21"/>
        </w:rPr>
        <w:t>significantly </w:t>
      </w:r>
      <w:r>
        <w:rPr>
          <w:w w:val="105"/>
          <w:sz w:val="21"/>
        </w:rPr>
        <w:t>affected by the</w:t>
      </w:r>
      <w:r>
        <w:rPr>
          <w:spacing w:val="34"/>
          <w:w w:val="105"/>
          <w:sz w:val="21"/>
        </w:rPr>
        <w:t> </w:t>
      </w:r>
      <w:r>
        <w:rPr>
          <w:spacing w:val="-3"/>
          <w:w w:val="105"/>
          <w:sz w:val="21"/>
        </w:rPr>
        <w:t>tree.</w:t>
      </w:r>
      <w:r>
        <w:rPr>
          <w:spacing w:val="-3"/>
          <w:w w:val="105"/>
          <w:position w:val="7"/>
          <w:sz w:val="12"/>
        </w:rPr>
        <w:t>221</w:t>
      </w:r>
    </w:p>
    <w:p>
      <w:pPr>
        <w:pStyle w:val="ListParagraph"/>
        <w:numPr>
          <w:ilvl w:val="0"/>
          <w:numId w:val="56"/>
        </w:numPr>
        <w:tabs>
          <w:tab w:pos="2381" w:val="left" w:leader="none"/>
          <w:tab w:pos="2382" w:val="left" w:leader="none"/>
        </w:tabs>
        <w:spacing w:line="242" w:lineRule="auto" w:before="124" w:after="0"/>
        <w:ind w:left="2381" w:right="2287" w:hanging="794"/>
        <w:jc w:val="left"/>
        <w:rPr>
          <w:sz w:val="12"/>
        </w:rPr>
      </w:pPr>
      <w:r>
        <w:rPr>
          <w:sz w:val="21"/>
        </w:rPr>
        <w:t>Arborist Ben </w:t>
      </w:r>
      <w:r>
        <w:rPr>
          <w:spacing w:val="-3"/>
          <w:sz w:val="21"/>
        </w:rPr>
        <w:t>Kenyon </w:t>
      </w:r>
      <w:r>
        <w:rPr>
          <w:sz w:val="21"/>
        </w:rPr>
        <w:t>stated </w:t>
      </w:r>
      <w:r>
        <w:rPr>
          <w:spacing w:val="-3"/>
          <w:sz w:val="21"/>
        </w:rPr>
        <w:t>that </w:t>
      </w:r>
      <w:r>
        <w:rPr>
          <w:sz w:val="21"/>
        </w:rPr>
        <w:t>the </w:t>
      </w:r>
      <w:r>
        <w:rPr>
          <w:spacing w:val="-3"/>
          <w:sz w:val="21"/>
        </w:rPr>
        <w:t>neighbour </w:t>
      </w:r>
      <w:r>
        <w:rPr>
          <w:sz w:val="21"/>
        </w:rPr>
        <w:t>with the majority of the </w:t>
      </w:r>
      <w:r>
        <w:rPr>
          <w:spacing w:val="-4"/>
          <w:sz w:val="21"/>
        </w:rPr>
        <w:t>tree’s </w:t>
      </w:r>
      <w:r>
        <w:rPr>
          <w:spacing w:val="-5"/>
          <w:sz w:val="21"/>
        </w:rPr>
        <w:t>Tree </w:t>
      </w:r>
      <w:r>
        <w:rPr>
          <w:sz w:val="21"/>
        </w:rPr>
        <w:t>Protection Zone (TPZ) on their </w:t>
      </w:r>
      <w:r>
        <w:rPr>
          <w:spacing w:val="-3"/>
          <w:sz w:val="21"/>
        </w:rPr>
        <w:t>land </w:t>
      </w:r>
      <w:r>
        <w:rPr>
          <w:sz w:val="21"/>
        </w:rPr>
        <w:t>should be deemed </w:t>
      </w:r>
      <w:r>
        <w:rPr>
          <w:spacing w:val="-3"/>
          <w:sz w:val="21"/>
        </w:rPr>
        <w:t>to </w:t>
      </w:r>
      <w:r>
        <w:rPr>
          <w:sz w:val="21"/>
        </w:rPr>
        <w:t>own the</w:t>
      </w:r>
      <w:r>
        <w:rPr>
          <w:spacing w:val="17"/>
          <w:sz w:val="21"/>
        </w:rPr>
        <w:t> </w:t>
      </w:r>
      <w:r>
        <w:rPr>
          <w:sz w:val="21"/>
        </w:rPr>
        <w:t>tree.</w:t>
      </w:r>
      <w:r>
        <w:rPr>
          <w:position w:val="7"/>
          <w:sz w:val="12"/>
        </w:rPr>
        <w:t>222</w:t>
      </w:r>
    </w:p>
    <w:p>
      <w:pPr>
        <w:pStyle w:val="BodyText"/>
        <w:rPr>
          <w:sz w:val="20"/>
        </w:rPr>
      </w:pPr>
    </w:p>
    <w:p>
      <w:pPr>
        <w:pStyle w:val="BodyText"/>
        <w:spacing w:before="7"/>
        <w:rPr>
          <w:sz w:val="12"/>
        </w:rPr>
      </w:pPr>
      <w:r>
        <w:rPr/>
        <w:pict>
          <v:line style="position:absolute;mso-position-horizontal-relative:page;mso-position-vertical-relative:paragraph;z-index:4424;mso-wrap-distance-left:0;mso-wrap-distance-right:0" from="79.370102pt,10.167619pt" to="515.905102pt,10.167619pt" stroked="true" strokeweight="1pt" strokecolor="#c9d2cb">
            <v:stroke dashstyle="solid"/>
            <w10:wrap type="topAndBottom"/>
          </v:line>
        </w:pict>
      </w:r>
    </w:p>
    <w:p>
      <w:pPr>
        <w:pStyle w:val="ListParagraph"/>
        <w:numPr>
          <w:ilvl w:val="0"/>
          <w:numId w:val="63"/>
        </w:numPr>
        <w:tabs>
          <w:tab w:pos="2380" w:val="left" w:leader="none"/>
          <w:tab w:pos="2382" w:val="left" w:leader="none"/>
        </w:tabs>
        <w:spacing w:line="240" w:lineRule="auto" w:before="117" w:after="0"/>
        <w:ind w:left="2381" w:right="0" w:hanging="794"/>
        <w:jc w:val="left"/>
        <w:rPr>
          <w:sz w:val="13"/>
        </w:rPr>
      </w:pPr>
      <w:r>
        <w:rPr>
          <w:i/>
          <w:spacing w:val="2"/>
          <w:w w:val="105"/>
          <w:sz w:val="13"/>
        </w:rPr>
        <w:t>Forestry </w:t>
      </w:r>
      <w:r>
        <w:rPr>
          <w:i/>
          <w:w w:val="105"/>
          <w:sz w:val="13"/>
        </w:rPr>
        <w:t>Act</w:t>
      </w:r>
      <w:r>
        <w:rPr>
          <w:w w:val="105"/>
          <w:sz w:val="13"/>
        </w:rPr>
        <w:t>, </w:t>
      </w:r>
      <w:r>
        <w:rPr>
          <w:spacing w:val="2"/>
          <w:w w:val="105"/>
          <w:sz w:val="13"/>
        </w:rPr>
        <w:t>RSO </w:t>
      </w:r>
      <w:r>
        <w:rPr>
          <w:w w:val="105"/>
          <w:sz w:val="13"/>
        </w:rPr>
        <w:t>1990, c F26, s</w:t>
      </w:r>
      <w:r>
        <w:rPr>
          <w:spacing w:val="28"/>
          <w:w w:val="105"/>
          <w:sz w:val="13"/>
        </w:rPr>
        <w:t> </w:t>
      </w:r>
      <w:r>
        <w:rPr>
          <w:spacing w:val="2"/>
          <w:w w:val="105"/>
          <w:sz w:val="13"/>
        </w:rPr>
        <w:t>10(3)</w:t>
      </w:r>
    </w:p>
    <w:p>
      <w:pPr>
        <w:pStyle w:val="ListParagraph"/>
        <w:numPr>
          <w:ilvl w:val="0"/>
          <w:numId w:val="63"/>
        </w:numPr>
        <w:tabs>
          <w:tab w:pos="2380" w:val="left" w:leader="none"/>
          <w:tab w:pos="2382" w:val="left" w:leader="none"/>
        </w:tabs>
        <w:spacing w:line="240" w:lineRule="auto" w:before="1" w:after="0"/>
        <w:ind w:left="2381" w:right="2001" w:hanging="794"/>
        <w:jc w:val="left"/>
        <w:rPr>
          <w:sz w:val="13"/>
        </w:rPr>
      </w:pPr>
      <w:r>
        <w:rPr>
          <w:i/>
          <w:w w:val="105"/>
          <w:sz w:val="13"/>
        </w:rPr>
        <w:t>Hartley v Cunningham </w:t>
      </w:r>
      <w:r>
        <w:rPr>
          <w:w w:val="105"/>
          <w:sz w:val="13"/>
        </w:rPr>
        <w:t>(2013) ONSC 2929 [14]. Upheld by the Court of Appeal for Ontario: </w:t>
      </w:r>
      <w:r>
        <w:rPr>
          <w:i/>
          <w:w w:val="105"/>
          <w:sz w:val="13"/>
        </w:rPr>
        <w:t>Hartley v. Cunningham </w:t>
      </w:r>
      <w:r>
        <w:rPr>
          <w:w w:val="105"/>
          <w:sz w:val="13"/>
        </w:rPr>
        <w:t>(2013) </w:t>
      </w:r>
      <w:r>
        <w:rPr>
          <w:spacing w:val="2"/>
          <w:w w:val="105"/>
          <w:sz w:val="13"/>
        </w:rPr>
        <w:t>ONCA </w:t>
      </w:r>
      <w:r>
        <w:rPr>
          <w:w w:val="105"/>
          <w:sz w:val="13"/>
        </w:rPr>
        <w:t>759 </w:t>
      </w:r>
      <w:r>
        <w:rPr>
          <w:spacing w:val="5"/>
          <w:w w:val="105"/>
          <w:sz w:val="13"/>
        </w:rPr>
        <w:t>[3]–[4]</w:t>
      </w:r>
    </w:p>
    <w:p>
      <w:pPr>
        <w:pStyle w:val="ListParagraph"/>
        <w:numPr>
          <w:ilvl w:val="0"/>
          <w:numId w:val="63"/>
        </w:numPr>
        <w:tabs>
          <w:tab w:pos="2380" w:val="left" w:leader="none"/>
          <w:tab w:pos="2382" w:val="left" w:leader="none"/>
        </w:tabs>
        <w:spacing w:line="240" w:lineRule="auto" w:before="3" w:after="0"/>
        <w:ind w:left="2381" w:right="0" w:hanging="794"/>
        <w:jc w:val="left"/>
        <w:rPr>
          <w:sz w:val="13"/>
        </w:rPr>
      </w:pPr>
      <w:r>
        <w:rPr>
          <w:i/>
          <w:w w:val="105"/>
          <w:sz w:val="13"/>
        </w:rPr>
        <w:t>Jessica</w:t>
      </w:r>
      <w:r>
        <w:rPr>
          <w:i/>
          <w:spacing w:val="4"/>
          <w:w w:val="105"/>
          <w:sz w:val="13"/>
        </w:rPr>
        <w:t> </w:t>
      </w:r>
      <w:r>
        <w:rPr>
          <w:i/>
          <w:w w:val="105"/>
          <w:sz w:val="13"/>
        </w:rPr>
        <w:t>Laciak</w:t>
      </w:r>
      <w:r>
        <w:rPr>
          <w:i/>
          <w:spacing w:val="5"/>
          <w:w w:val="105"/>
          <w:sz w:val="13"/>
        </w:rPr>
        <w:t> </w:t>
      </w:r>
      <w:r>
        <w:rPr>
          <w:i/>
          <w:w w:val="105"/>
          <w:sz w:val="13"/>
        </w:rPr>
        <w:t>v</w:t>
      </w:r>
      <w:r>
        <w:rPr>
          <w:i/>
          <w:spacing w:val="5"/>
          <w:w w:val="105"/>
          <w:sz w:val="13"/>
        </w:rPr>
        <w:t> </w:t>
      </w:r>
      <w:r>
        <w:rPr>
          <w:i/>
          <w:w w:val="105"/>
          <w:sz w:val="13"/>
        </w:rPr>
        <w:t>City</w:t>
      </w:r>
      <w:r>
        <w:rPr>
          <w:i/>
          <w:spacing w:val="5"/>
          <w:w w:val="105"/>
          <w:sz w:val="13"/>
        </w:rPr>
        <w:t> </w:t>
      </w:r>
      <w:r>
        <w:rPr>
          <w:i/>
          <w:w w:val="105"/>
          <w:sz w:val="13"/>
        </w:rPr>
        <w:t>of</w:t>
      </w:r>
      <w:r>
        <w:rPr>
          <w:i/>
          <w:spacing w:val="4"/>
          <w:w w:val="105"/>
          <w:sz w:val="13"/>
        </w:rPr>
        <w:t> </w:t>
      </w:r>
      <w:r>
        <w:rPr>
          <w:i/>
          <w:w w:val="105"/>
          <w:sz w:val="13"/>
        </w:rPr>
        <w:t>Toronto</w:t>
      </w:r>
      <w:r>
        <w:rPr>
          <w:i/>
          <w:spacing w:val="5"/>
          <w:w w:val="105"/>
          <w:sz w:val="13"/>
        </w:rPr>
        <w:t> </w:t>
      </w:r>
      <w:r>
        <w:rPr>
          <w:w w:val="105"/>
          <w:sz w:val="13"/>
        </w:rPr>
        <w:t>(2014)</w:t>
      </w:r>
      <w:r>
        <w:rPr>
          <w:spacing w:val="5"/>
          <w:w w:val="105"/>
          <w:sz w:val="13"/>
        </w:rPr>
        <w:t> </w:t>
      </w:r>
      <w:r>
        <w:rPr>
          <w:w w:val="105"/>
          <w:sz w:val="13"/>
        </w:rPr>
        <w:t>ONSC</w:t>
      </w:r>
      <w:r>
        <w:rPr>
          <w:spacing w:val="5"/>
          <w:w w:val="105"/>
          <w:sz w:val="13"/>
        </w:rPr>
        <w:t> </w:t>
      </w:r>
      <w:r>
        <w:rPr>
          <w:w w:val="105"/>
          <w:sz w:val="13"/>
        </w:rPr>
        <w:t>1206</w:t>
      </w:r>
      <w:r>
        <w:rPr>
          <w:spacing w:val="4"/>
          <w:w w:val="105"/>
          <w:sz w:val="13"/>
        </w:rPr>
        <w:t> </w:t>
      </w:r>
      <w:r>
        <w:rPr>
          <w:w w:val="105"/>
          <w:sz w:val="13"/>
        </w:rPr>
        <w:t>[22].</w:t>
      </w:r>
    </w:p>
    <w:p>
      <w:pPr>
        <w:pStyle w:val="ListParagraph"/>
        <w:numPr>
          <w:ilvl w:val="0"/>
          <w:numId w:val="63"/>
        </w:numPr>
        <w:tabs>
          <w:tab w:pos="2380" w:val="left" w:leader="none"/>
          <w:tab w:pos="2382" w:val="left" w:leader="none"/>
        </w:tabs>
        <w:spacing w:line="240" w:lineRule="auto" w:before="1" w:after="0"/>
        <w:ind w:left="2381" w:right="0" w:hanging="794"/>
        <w:jc w:val="left"/>
        <w:rPr>
          <w:sz w:val="13"/>
        </w:rPr>
      </w:pPr>
      <w:r>
        <w:rPr>
          <w:i/>
          <w:w w:val="105"/>
          <w:sz w:val="13"/>
        </w:rPr>
        <w:t>Koenig</w:t>
      </w:r>
      <w:r>
        <w:rPr>
          <w:i/>
          <w:spacing w:val="5"/>
          <w:w w:val="105"/>
          <w:sz w:val="13"/>
        </w:rPr>
        <w:t> </w:t>
      </w:r>
      <w:r>
        <w:rPr>
          <w:i/>
          <w:w w:val="105"/>
          <w:sz w:val="13"/>
        </w:rPr>
        <w:t>v</w:t>
      </w:r>
      <w:r>
        <w:rPr>
          <w:i/>
          <w:spacing w:val="5"/>
          <w:w w:val="105"/>
          <w:sz w:val="13"/>
        </w:rPr>
        <w:t> </w:t>
      </w:r>
      <w:r>
        <w:rPr>
          <w:i/>
          <w:w w:val="105"/>
          <w:sz w:val="13"/>
        </w:rPr>
        <w:t>Goebel</w:t>
      </w:r>
      <w:r>
        <w:rPr>
          <w:i/>
          <w:spacing w:val="5"/>
          <w:w w:val="105"/>
          <w:sz w:val="13"/>
        </w:rPr>
        <w:t> </w:t>
      </w:r>
      <w:r>
        <w:rPr>
          <w:w w:val="105"/>
          <w:sz w:val="13"/>
        </w:rPr>
        <w:t>[1998]</w:t>
      </w:r>
      <w:r>
        <w:rPr>
          <w:spacing w:val="5"/>
          <w:w w:val="105"/>
          <w:sz w:val="13"/>
        </w:rPr>
        <w:t> </w:t>
      </w:r>
      <w:r>
        <w:rPr>
          <w:w w:val="105"/>
          <w:sz w:val="13"/>
        </w:rPr>
        <w:t>6</w:t>
      </w:r>
      <w:r>
        <w:rPr>
          <w:spacing w:val="5"/>
          <w:w w:val="105"/>
          <w:sz w:val="13"/>
        </w:rPr>
        <w:t> </w:t>
      </w:r>
      <w:r>
        <w:rPr>
          <w:spacing w:val="3"/>
          <w:w w:val="105"/>
          <w:sz w:val="13"/>
        </w:rPr>
        <w:t>WWR</w:t>
      </w:r>
      <w:r>
        <w:rPr>
          <w:spacing w:val="5"/>
          <w:w w:val="105"/>
          <w:sz w:val="13"/>
        </w:rPr>
        <w:t> </w:t>
      </w:r>
      <w:r>
        <w:rPr>
          <w:w w:val="105"/>
          <w:sz w:val="13"/>
        </w:rPr>
        <w:t>56</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w w:val="105"/>
          <w:sz w:val="13"/>
        </w:rPr>
        <w:t>Queen’s</w:t>
      </w:r>
      <w:r>
        <w:rPr>
          <w:spacing w:val="5"/>
          <w:w w:val="105"/>
          <w:sz w:val="13"/>
        </w:rPr>
        <w:t> </w:t>
      </w:r>
      <w:r>
        <w:rPr>
          <w:w w:val="105"/>
          <w:sz w:val="13"/>
        </w:rPr>
        <w:t>Bench</w:t>
      </w:r>
      <w:r>
        <w:rPr>
          <w:spacing w:val="5"/>
          <w:w w:val="105"/>
          <w:sz w:val="13"/>
        </w:rPr>
        <w:t> </w:t>
      </w:r>
      <w:r>
        <w:rPr>
          <w:w w:val="105"/>
          <w:sz w:val="13"/>
        </w:rPr>
        <w:t>for</w:t>
      </w:r>
      <w:r>
        <w:rPr>
          <w:spacing w:val="5"/>
          <w:w w:val="105"/>
          <w:sz w:val="13"/>
        </w:rPr>
        <w:t> </w:t>
      </w:r>
      <w:r>
        <w:rPr>
          <w:w w:val="105"/>
          <w:sz w:val="13"/>
        </w:rPr>
        <w:t>Saskatchewan).</w:t>
      </w:r>
    </w:p>
    <w:p>
      <w:pPr>
        <w:pStyle w:val="ListParagraph"/>
        <w:numPr>
          <w:ilvl w:val="0"/>
          <w:numId w:val="63"/>
        </w:numPr>
        <w:tabs>
          <w:tab w:pos="2380"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63"/>
        </w:numPr>
        <w:tabs>
          <w:tab w:pos="2380" w:val="left" w:leader="none"/>
          <w:tab w:pos="2382" w:val="left" w:leader="none"/>
        </w:tabs>
        <w:spacing w:line="240" w:lineRule="auto" w:before="1" w:after="0"/>
        <w:ind w:left="2381" w:right="0" w:hanging="794"/>
        <w:jc w:val="left"/>
        <w:rPr>
          <w:sz w:val="13"/>
        </w:rPr>
      </w:pPr>
      <w:r>
        <w:rPr>
          <w:w w:val="105"/>
          <w:sz w:val="13"/>
        </w:rPr>
        <w:t>See,</w:t>
      </w:r>
      <w:r>
        <w:rPr>
          <w:spacing w:val="4"/>
          <w:w w:val="105"/>
          <w:sz w:val="13"/>
        </w:rPr>
        <w:t> </w:t>
      </w:r>
      <w:r>
        <w:rPr>
          <w:w w:val="105"/>
          <w:sz w:val="13"/>
        </w:rPr>
        <w:t>eg,</w:t>
      </w:r>
      <w:r>
        <w:rPr>
          <w:spacing w:val="5"/>
          <w:w w:val="105"/>
          <w:sz w:val="13"/>
        </w:rPr>
        <w:t> </w:t>
      </w:r>
      <w:r>
        <w:rPr>
          <w:i/>
          <w:w w:val="105"/>
          <w:sz w:val="13"/>
        </w:rPr>
        <w:t>Holmberg</w:t>
      </w:r>
      <w:r>
        <w:rPr>
          <w:i/>
          <w:spacing w:val="5"/>
          <w:w w:val="105"/>
          <w:sz w:val="13"/>
        </w:rPr>
        <w:t> </w:t>
      </w:r>
      <w:r>
        <w:rPr>
          <w:i/>
          <w:w w:val="105"/>
          <w:sz w:val="13"/>
        </w:rPr>
        <w:t>v</w:t>
      </w:r>
      <w:r>
        <w:rPr>
          <w:i/>
          <w:spacing w:val="5"/>
          <w:w w:val="105"/>
          <w:sz w:val="13"/>
        </w:rPr>
        <w:t> </w:t>
      </w:r>
      <w:r>
        <w:rPr>
          <w:i/>
          <w:w w:val="105"/>
          <w:sz w:val="13"/>
        </w:rPr>
        <w:t>Bergin,</w:t>
      </w:r>
      <w:r>
        <w:rPr>
          <w:i/>
          <w:spacing w:val="5"/>
          <w:w w:val="105"/>
          <w:sz w:val="13"/>
        </w:rPr>
        <w:t> </w:t>
      </w:r>
      <w:r>
        <w:rPr>
          <w:spacing w:val="-3"/>
          <w:w w:val="105"/>
          <w:sz w:val="13"/>
        </w:rPr>
        <w:t>172</w:t>
      </w:r>
      <w:r>
        <w:rPr>
          <w:spacing w:val="5"/>
          <w:w w:val="105"/>
          <w:sz w:val="13"/>
        </w:rPr>
        <w:t> </w:t>
      </w:r>
      <w:r>
        <w:rPr>
          <w:w w:val="105"/>
          <w:sz w:val="13"/>
        </w:rPr>
        <w:t>NW</w:t>
      </w:r>
      <w:r>
        <w:rPr>
          <w:spacing w:val="5"/>
          <w:w w:val="105"/>
          <w:sz w:val="13"/>
        </w:rPr>
        <w:t> </w:t>
      </w:r>
      <w:r>
        <w:rPr>
          <w:w w:val="105"/>
          <w:sz w:val="13"/>
        </w:rPr>
        <w:t>2d</w:t>
      </w:r>
      <w:r>
        <w:rPr>
          <w:spacing w:val="5"/>
          <w:w w:val="105"/>
          <w:sz w:val="13"/>
        </w:rPr>
        <w:t> </w:t>
      </w:r>
      <w:r>
        <w:rPr>
          <w:w w:val="105"/>
          <w:sz w:val="13"/>
        </w:rPr>
        <w:t>739</w:t>
      </w:r>
      <w:r>
        <w:rPr>
          <w:spacing w:val="5"/>
          <w:w w:val="105"/>
          <w:sz w:val="13"/>
        </w:rPr>
        <w:t> </w:t>
      </w:r>
      <w:r>
        <w:rPr>
          <w:w w:val="105"/>
          <w:sz w:val="13"/>
        </w:rPr>
        <w:t>(Minn,</w:t>
      </w:r>
      <w:r>
        <w:rPr>
          <w:spacing w:val="5"/>
          <w:w w:val="105"/>
          <w:sz w:val="13"/>
        </w:rPr>
        <w:t> </w:t>
      </w:r>
      <w:r>
        <w:rPr>
          <w:w w:val="105"/>
          <w:sz w:val="13"/>
        </w:rPr>
        <w:t>1969).</w:t>
      </w:r>
    </w:p>
    <w:p>
      <w:pPr>
        <w:pStyle w:val="ListParagraph"/>
        <w:numPr>
          <w:ilvl w:val="0"/>
          <w:numId w:val="63"/>
        </w:numPr>
        <w:tabs>
          <w:tab w:pos="2380" w:val="left" w:leader="none"/>
          <w:tab w:pos="2382" w:val="left" w:leader="none"/>
        </w:tabs>
        <w:spacing w:line="240" w:lineRule="auto" w:before="1" w:after="0"/>
        <w:ind w:left="2381" w:right="2062" w:hanging="794"/>
        <w:jc w:val="left"/>
        <w:rPr>
          <w:sz w:val="13"/>
        </w:rPr>
      </w:pPr>
      <w:r>
        <w:rPr>
          <w:w w:val="105"/>
          <w:sz w:val="13"/>
        </w:rPr>
        <w:t>Clark Boardman Callaghan, </w:t>
      </w:r>
      <w:r>
        <w:rPr>
          <w:i/>
          <w:w w:val="105"/>
          <w:sz w:val="13"/>
        </w:rPr>
        <w:t>Nichols Cyclopedia of Legal Forms Annotated, </w:t>
      </w:r>
      <w:r>
        <w:rPr>
          <w:w w:val="105"/>
          <w:sz w:val="13"/>
        </w:rPr>
        <w:t>vol 1 (at November 2016) 6.4 Joint ownership of trees on dividing line, ‘Chapter 6 Adjoining or Abutting</w:t>
      </w:r>
      <w:r>
        <w:rPr>
          <w:spacing w:val="4"/>
          <w:w w:val="105"/>
          <w:sz w:val="13"/>
        </w:rPr>
        <w:t> </w:t>
      </w:r>
      <w:r>
        <w:rPr>
          <w:w w:val="105"/>
          <w:sz w:val="13"/>
        </w:rPr>
        <w:t>Owners’.</w:t>
      </w:r>
    </w:p>
    <w:p>
      <w:pPr>
        <w:pStyle w:val="ListParagraph"/>
        <w:numPr>
          <w:ilvl w:val="0"/>
          <w:numId w:val="63"/>
        </w:numPr>
        <w:tabs>
          <w:tab w:pos="2380" w:val="left" w:leader="none"/>
          <w:tab w:pos="2382" w:val="left" w:leader="none"/>
        </w:tabs>
        <w:spacing w:line="240" w:lineRule="auto" w:before="3" w:after="0"/>
        <w:ind w:left="2381" w:right="1855" w:hanging="794"/>
        <w:jc w:val="left"/>
        <w:rPr>
          <w:sz w:val="13"/>
        </w:rPr>
      </w:pPr>
      <w:r>
        <w:rPr>
          <w:w w:val="105"/>
          <w:sz w:val="13"/>
        </w:rPr>
        <w:t>See, eg, Cal Civil Code § </w:t>
      </w:r>
      <w:r>
        <w:rPr>
          <w:spacing w:val="2"/>
          <w:w w:val="105"/>
          <w:sz w:val="13"/>
        </w:rPr>
        <w:t>833-834; </w:t>
      </w:r>
      <w:r>
        <w:rPr>
          <w:w w:val="105"/>
          <w:sz w:val="13"/>
        </w:rPr>
        <w:t>Illinois Legal Aid Online, </w:t>
      </w:r>
      <w:r>
        <w:rPr>
          <w:i/>
          <w:w w:val="105"/>
          <w:sz w:val="13"/>
        </w:rPr>
        <w:t>Who Owns the Tree on Both My and My Neighbour’s </w:t>
      </w:r>
      <w:r>
        <w:rPr>
          <w:i/>
          <w:spacing w:val="2"/>
          <w:w w:val="105"/>
          <w:sz w:val="13"/>
        </w:rPr>
        <w:t>Property? </w:t>
      </w:r>
      <w:r>
        <w:rPr>
          <w:w w:val="105"/>
          <w:sz w:val="13"/>
        </w:rPr>
        <w:t>(Web Page, 2019)</w:t>
      </w:r>
      <w:r>
        <w:rPr>
          <w:spacing w:val="3"/>
          <w:w w:val="105"/>
          <w:sz w:val="13"/>
        </w:rPr>
        <w:t> </w:t>
      </w:r>
      <w:r>
        <w:rPr>
          <w:spacing w:val="2"/>
          <w:w w:val="105"/>
          <w:sz w:val="13"/>
        </w:rPr>
        <w:t>&lt;</w:t>
      </w:r>
      <w:hyperlink r:id="rId107">
        <w:r>
          <w:rPr>
            <w:spacing w:val="2"/>
            <w:w w:val="105"/>
            <w:sz w:val="13"/>
          </w:rPr>
          <w:t>www.illinoislegalaid.org/legal-information/who-owns-tree-both-my-and-my-neighbors-property</w:t>
        </w:r>
      </w:hyperlink>
      <w:r>
        <w:rPr>
          <w:spacing w:val="2"/>
          <w:w w:val="105"/>
          <w:sz w:val="13"/>
        </w:rPr>
        <w:t>&gt;.</w:t>
      </w:r>
    </w:p>
    <w:p>
      <w:pPr>
        <w:pStyle w:val="ListParagraph"/>
        <w:numPr>
          <w:ilvl w:val="0"/>
          <w:numId w:val="63"/>
        </w:numPr>
        <w:tabs>
          <w:tab w:pos="2380" w:val="left" w:leader="none"/>
          <w:tab w:pos="2382" w:val="left" w:leader="none"/>
        </w:tabs>
        <w:spacing w:line="240" w:lineRule="auto" w:before="3" w:after="0"/>
        <w:ind w:left="2381" w:right="0" w:hanging="794"/>
        <w:jc w:val="left"/>
        <w:rPr>
          <w:sz w:val="13"/>
        </w:rPr>
      </w:pPr>
      <w:r>
        <w:rPr>
          <w:w w:val="105"/>
          <w:sz w:val="13"/>
        </w:rPr>
        <w:t>Consultation 1 (Aldo</w:t>
      </w:r>
      <w:r>
        <w:rPr>
          <w:spacing w:val="13"/>
          <w:w w:val="105"/>
          <w:sz w:val="13"/>
        </w:rPr>
        <w:t> </w:t>
      </w:r>
      <w:r>
        <w:rPr>
          <w:w w:val="105"/>
          <w:sz w:val="13"/>
        </w:rPr>
        <w:t>Taranto).</w:t>
      </w:r>
    </w:p>
    <w:p>
      <w:pPr>
        <w:pStyle w:val="ListParagraph"/>
        <w:numPr>
          <w:ilvl w:val="0"/>
          <w:numId w:val="63"/>
        </w:numPr>
        <w:tabs>
          <w:tab w:pos="2381" w:val="left" w:leader="none"/>
          <w:tab w:pos="2382" w:val="left" w:leader="none"/>
        </w:tabs>
        <w:spacing w:line="240" w:lineRule="auto" w:before="1" w:after="0"/>
        <w:ind w:left="2381" w:right="0" w:hanging="794"/>
        <w:jc w:val="left"/>
        <w:rPr>
          <w:sz w:val="13"/>
        </w:rPr>
      </w:pPr>
      <w:r>
        <w:rPr>
          <w:w w:val="105"/>
          <w:sz w:val="13"/>
        </w:rPr>
        <w:t>Submissions 4 </w:t>
      </w:r>
      <w:r>
        <w:rPr>
          <w:spacing w:val="2"/>
          <w:w w:val="105"/>
          <w:sz w:val="13"/>
        </w:rPr>
        <w:t>(Name </w:t>
      </w:r>
      <w:r>
        <w:rPr>
          <w:w w:val="105"/>
          <w:sz w:val="13"/>
        </w:rPr>
        <w:t>withheld), 7 </w:t>
      </w:r>
      <w:r>
        <w:rPr>
          <w:spacing w:val="2"/>
          <w:w w:val="105"/>
          <w:sz w:val="13"/>
        </w:rPr>
        <w:t>(Ben </w:t>
      </w:r>
      <w:r>
        <w:rPr>
          <w:w w:val="105"/>
          <w:sz w:val="13"/>
        </w:rPr>
        <w:t>Kenyon), </w:t>
      </w:r>
      <w:r>
        <w:rPr>
          <w:spacing w:val="-4"/>
          <w:w w:val="105"/>
          <w:sz w:val="13"/>
        </w:rPr>
        <w:t>12 </w:t>
      </w:r>
      <w:r>
        <w:rPr>
          <w:spacing w:val="3"/>
          <w:w w:val="105"/>
          <w:sz w:val="13"/>
        </w:rPr>
        <w:t>(Dr </w:t>
      </w:r>
      <w:r>
        <w:rPr>
          <w:w w:val="105"/>
          <w:sz w:val="13"/>
        </w:rPr>
        <w:t>Gregory Moore</w:t>
      </w:r>
      <w:r>
        <w:rPr>
          <w:spacing w:val="22"/>
          <w:w w:val="105"/>
          <w:sz w:val="13"/>
        </w:rPr>
        <w:t> </w:t>
      </w:r>
      <w:r>
        <w:rPr>
          <w:spacing w:val="2"/>
          <w:w w:val="105"/>
          <w:sz w:val="13"/>
        </w:rPr>
        <w:t>OAM).</w:t>
      </w:r>
    </w:p>
    <w:p>
      <w:pPr>
        <w:pStyle w:val="ListParagraph"/>
        <w:numPr>
          <w:ilvl w:val="0"/>
          <w:numId w:val="63"/>
        </w:numPr>
        <w:tabs>
          <w:tab w:pos="2381" w:val="left" w:leader="none"/>
          <w:tab w:pos="2382" w:val="left" w:leader="none"/>
        </w:tabs>
        <w:spacing w:line="240" w:lineRule="auto" w:before="1" w:after="0"/>
        <w:ind w:left="2381" w:right="0" w:hanging="794"/>
        <w:jc w:val="left"/>
        <w:rPr>
          <w:sz w:val="13"/>
        </w:rPr>
      </w:pPr>
      <w:r>
        <w:rPr>
          <w:w w:val="105"/>
          <w:sz w:val="13"/>
        </w:rPr>
        <w:t>Submission 27 </w:t>
      </w:r>
      <w:r>
        <w:rPr>
          <w:spacing w:val="2"/>
          <w:w w:val="105"/>
          <w:sz w:val="13"/>
        </w:rPr>
        <w:t>(Name</w:t>
      </w:r>
      <w:r>
        <w:rPr>
          <w:spacing w:val="13"/>
          <w:w w:val="105"/>
          <w:sz w:val="13"/>
        </w:rPr>
        <w:t> </w:t>
      </w:r>
      <w:r>
        <w:rPr>
          <w:w w:val="105"/>
          <w:sz w:val="13"/>
        </w:rPr>
        <w:t>withheld).</w:t>
      </w:r>
    </w:p>
    <w:p>
      <w:pPr>
        <w:pStyle w:val="ListParagraph"/>
        <w:numPr>
          <w:ilvl w:val="0"/>
          <w:numId w:val="63"/>
        </w:numPr>
        <w:tabs>
          <w:tab w:pos="2381" w:val="left" w:leader="none"/>
          <w:tab w:pos="2382" w:val="left" w:leader="none"/>
        </w:tabs>
        <w:spacing w:line="240" w:lineRule="auto" w:before="2" w:after="0"/>
        <w:ind w:left="2381" w:right="0" w:hanging="794"/>
        <w:jc w:val="left"/>
        <w:rPr>
          <w:sz w:val="13"/>
        </w:rPr>
      </w:pPr>
      <w:r>
        <w:rPr/>
        <w:pict>
          <v:shape style="position:absolute;margin-left:548.96051pt;margin-top:3.049263pt;width:13.2pt;height:14.25pt;mso-position-horizontal-relative:page;mso-position-vertical-relative:paragraph;z-index:6496" type="#_x0000_t202" filled="false" stroked="false">
            <v:textbox inset="0,0,0,0">
              <w:txbxContent>
                <w:p>
                  <w:pPr>
                    <w:spacing w:line="284" w:lineRule="exact" w:before="0"/>
                    <w:ind w:left="0" w:right="0" w:firstLine="0"/>
                    <w:jc w:val="left"/>
                    <w:rPr>
                      <w:b/>
                      <w:sz w:val="24"/>
                    </w:rPr>
                  </w:pPr>
                  <w:r>
                    <w:rPr>
                      <w:b/>
                      <w:color w:val="658464"/>
                      <w:spacing w:val="-2"/>
                      <w:w w:val="110"/>
                      <w:sz w:val="24"/>
                    </w:rPr>
                    <w:t>87</w:t>
                  </w:r>
                </w:p>
              </w:txbxContent>
            </v:textbox>
            <w10:wrap type="none"/>
          </v:shape>
        </w:pict>
      </w:r>
      <w:r>
        <w:rPr>
          <w:w w:val="105"/>
          <w:sz w:val="13"/>
        </w:rPr>
        <w:t>Submission 4 </w:t>
      </w:r>
      <w:r>
        <w:rPr>
          <w:spacing w:val="2"/>
          <w:w w:val="105"/>
          <w:sz w:val="13"/>
        </w:rPr>
        <w:t>(Name</w:t>
      </w:r>
      <w:r>
        <w:rPr>
          <w:spacing w:val="13"/>
          <w:w w:val="105"/>
          <w:sz w:val="13"/>
        </w:rPr>
        <w:t> </w:t>
      </w:r>
      <w:r>
        <w:rPr>
          <w:w w:val="105"/>
          <w:sz w:val="13"/>
        </w:rPr>
        <w:t>withheld).</w:t>
      </w:r>
    </w:p>
    <w:p>
      <w:pPr>
        <w:pStyle w:val="ListParagraph"/>
        <w:numPr>
          <w:ilvl w:val="0"/>
          <w:numId w:val="63"/>
        </w:numPr>
        <w:tabs>
          <w:tab w:pos="2381" w:val="left" w:leader="none"/>
          <w:tab w:pos="2382" w:val="left" w:leader="none"/>
        </w:tabs>
        <w:spacing w:line="240" w:lineRule="auto" w:before="1" w:after="0"/>
        <w:ind w:left="2381" w:right="0" w:hanging="794"/>
        <w:jc w:val="left"/>
        <w:rPr>
          <w:sz w:val="13"/>
        </w:rPr>
      </w:pPr>
      <w:r>
        <w:rPr>
          <w:w w:val="105"/>
          <w:sz w:val="13"/>
        </w:rPr>
        <w:t>Submission 7 </w:t>
      </w:r>
      <w:r>
        <w:rPr>
          <w:spacing w:val="2"/>
          <w:w w:val="105"/>
          <w:sz w:val="13"/>
        </w:rPr>
        <w:t>(Ben</w:t>
      </w:r>
      <w:r>
        <w:rPr>
          <w:spacing w:val="13"/>
          <w:w w:val="105"/>
          <w:sz w:val="13"/>
        </w:rPr>
        <w:t> </w:t>
      </w:r>
      <w:r>
        <w:rPr>
          <w:w w:val="105"/>
          <w:sz w:val="13"/>
        </w:rPr>
        <w:t>Kenyon).</w:t>
      </w:r>
    </w:p>
    <w:p>
      <w:pPr>
        <w:spacing w:after="0" w:line="240" w:lineRule="auto"/>
        <w:jc w:val="left"/>
        <w:rPr>
          <w:sz w:val="13"/>
        </w:rPr>
        <w:sectPr>
          <w:pgSz w:w="11910" w:h="16840"/>
          <w:pgMar w:header="808" w:footer="0" w:top="1360" w:bottom="280" w:left="0" w:right="0"/>
        </w:sectPr>
      </w:pPr>
    </w:p>
    <w:p>
      <w:pPr>
        <w:pStyle w:val="BodyText"/>
        <w:spacing w:before="2"/>
        <w:rPr>
          <w:sz w:val="22"/>
        </w:rPr>
      </w:pPr>
    </w:p>
    <w:p>
      <w:pPr>
        <w:pStyle w:val="Heading7"/>
        <w:spacing w:before="97"/>
      </w:pPr>
      <w:bookmarkStart w:name="_bookmark50" w:id="119"/>
      <w:bookmarkEnd w:id="119"/>
      <w:r>
        <w:rPr/>
      </w:r>
      <w:r>
        <w:rPr>
          <w:color w:val="58595B"/>
          <w:w w:val="115"/>
        </w:rPr>
        <w:t>Shared</w:t>
      </w:r>
      <w:r>
        <w:rPr>
          <w:color w:val="58595B"/>
          <w:spacing w:val="-22"/>
          <w:w w:val="115"/>
        </w:rPr>
        <w:t> </w:t>
      </w:r>
      <w:r>
        <w:rPr>
          <w:color w:val="58595B"/>
          <w:w w:val="115"/>
        </w:rPr>
        <w:t>ownership</w:t>
      </w:r>
    </w:p>
    <w:p>
      <w:pPr>
        <w:pStyle w:val="ListParagraph"/>
        <w:numPr>
          <w:ilvl w:val="0"/>
          <w:numId w:val="56"/>
        </w:numPr>
        <w:tabs>
          <w:tab w:pos="2380" w:val="left" w:leader="none"/>
          <w:tab w:pos="2381" w:val="left" w:leader="none"/>
        </w:tabs>
        <w:spacing w:line="242" w:lineRule="auto" w:before="142" w:after="0"/>
        <w:ind w:left="2381" w:right="1905" w:hanging="794"/>
        <w:jc w:val="left"/>
        <w:rPr>
          <w:sz w:val="12"/>
        </w:rPr>
      </w:pPr>
      <w:r>
        <w:rPr>
          <w:sz w:val="21"/>
        </w:rPr>
        <w:t>A </w:t>
      </w:r>
      <w:r>
        <w:rPr>
          <w:spacing w:val="-3"/>
          <w:sz w:val="21"/>
        </w:rPr>
        <w:t>smaller </w:t>
      </w:r>
      <w:r>
        <w:rPr>
          <w:sz w:val="21"/>
        </w:rPr>
        <w:t>number of people suggested </w:t>
      </w:r>
      <w:r>
        <w:rPr>
          <w:spacing w:val="-3"/>
          <w:sz w:val="21"/>
        </w:rPr>
        <w:t>that </w:t>
      </w:r>
      <w:r>
        <w:rPr>
          <w:sz w:val="21"/>
        </w:rPr>
        <w:t>neighbours should be </w:t>
      </w:r>
      <w:r>
        <w:rPr>
          <w:spacing w:val="-3"/>
          <w:sz w:val="21"/>
        </w:rPr>
        <w:t>considered to </w:t>
      </w:r>
      <w:r>
        <w:rPr>
          <w:sz w:val="21"/>
        </w:rPr>
        <w:t>jointly own a straddle tree in proportion </w:t>
      </w:r>
      <w:r>
        <w:rPr>
          <w:spacing w:val="-3"/>
          <w:sz w:val="21"/>
        </w:rPr>
        <w:t>to </w:t>
      </w:r>
      <w:r>
        <w:rPr>
          <w:sz w:val="21"/>
        </w:rPr>
        <w:t>the cross-sectional </w:t>
      </w:r>
      <w:r>
        <w:rPr>
          <w:spacing w:val="-3"/>
          <w:sz w:val="21"/>
        </w:rPr>
        <w:t>area </w:t>
      </w:r>
      <w:r>
        <w:rPr>
          <w:sz w:val="21"/>
        </w:rPr>
        <w:t>of the trunk at </w:t>
      </w:r>
      <w:r>
        <w:rPr>
          <w:spacing w:val="-3"/>
          <w:sz w:val="21"/>
        </w:rPr>
        <w:t>ground </w:t>
      </w:r>
      <w:r>
        <w:rPr>
          <w:sz w:val="21"/>
        </w:rPr>
        <w:t>level</w:t>
      </w:r>
      <w:r>
        <w:rPr>
          <w:position w:val="7"/>
          <w:sz w:val="12"/>
        </w:rPr>
        <w:t>223</w:t>
      </w:r>
      <w:r>
        <w:rPr>
          <w:spacing w:val="5"/>
          <w:position w:val="7"/>
          <w:sz w:val="12"/>
        </w:rPr>
        <w:t> </w:t>
      </w:r>
      <w:r>
        <w:rPr>
          <w:sz w:val="21"/>
        </w:rPr>
        <w:t>or</w:t>
      </w:r>
      <w:r>
        <w:rPr>
          <w:spacing w:val="10"/>
          <w:sz w:val="21"/>
        </w:rPr>
        <w:t> </w:t>
      </w:r>
      <w:r>
        <w:rPr>
          <w:sz w:val="21"/>
        </w:rPr>
        <w:t>in</w:t>
      </w:r>
      <w:r>
        <w:rPr>
          <w:spacing w:val="10"/>
          <w:sz w:val="21"/>
        </w:rPr>
        <w:t> </w:t>
      </w:r>
      <w:r>
        <w:rPr>
          <w:sz w:val="21"/>
        </w:rPr>
        <w:t>proportion</w:t>
      </w:r>
      <w:r>
        <w:rPr>
          <w:spacing w:val="11"/>
          <w:sz w:val="21"/>
        </w:rPr>
        <w:t> </w:t>
      </w:r>
      <w:r>
        <w:rPr>
          <w:spacing w:val="-3"/>
          <w:sz w:val="21"/>
        </w:rPr>
        <w:t>to</w:t>
      </w:r>
      <w:r>
        <w:rPr>
          <w:spacing w:val="10"/>
          <w:sz w:val="21"/>
        </w:rPr>
        <w:t> </w:t>
      </w:r>
      <w:r>
        <w:rPr>
          <w:sz w:val="21"/>
        </w:rPr>
        <w:t>the</w:t>
      </w:r>
      <w:r>
        <w:rPr>
          <w:spacing w:val="10"/>
          <w:sz w:val="21"/>
        </w:rPr>
        <w:t> </w:t>
      </w:r>
      <w:r>
        <w:rPr>
          <w:sz w:val="21"/>
        </w:rPr>
        <w:t>buttress</w:t>
      </w:r>
      <w:r>
        <w:rPr>
          <w:spacing w:val="11"/>
          <w:sz w:val="21"/>
        </w:rPr>
        <w:t> </w:t>
      </w:r>
      <w:r>
        <w:rPr>
          <w:sz w:val="21"/>
        </w:rPr>
        <w:t>roots</w:t>
      </w:r>
      <w:r>
        <w:rPr>
          <w:position w:val="7"/>
          <w:sz w:val="12"/>
        </w:rPr>
        <w:t>224</w:t>
      </w:r>
      <w:r>
        <w:rPr>
          <w:spacing w:val="5"/>
          <w:position w:val="7"/>
          <w:sz w:val="12"/>
        </w:rPr>
        <w:t> </w:t>
      </w:r>
      <w:r>
        <w:rPr>
          <w:sz w:val="21"/>
        </w:rPr>
        <w:t>on</w:t>
      </w:r>
      <w:r>
        <w:rPr>
          <w:spacing w:val="10"/>
          <w:sz w:val="21"/>
        </w:rPr>
        <w:t> </w:t>
      </w:r>
      <w:r>
        <w:rPr>
          <w:sz w:val="21"/>
        </w:rPr>
        <w:t>each</w:t>
      </w:r>
      <w:r>
        <w:rPr>
          <w:spacing w:val="11"/>
          <w:sz w:val="21"/>
        </w:rPr>
        <w:t> </w:t>
      </w:r>
      <w:r>
        <w:rPr>
          <w:sz w:val="21"/>
        </w:rPr>
        <w:t>property.</w:t>
      </w:r>
      <w:r>
        <w:rPr>
          <w:position w:val="7"/>
          <w:sz w:val="12"/>
        </w:rPr>
        <w:t>225</w:t>
      </w:r>
    </w:p>
    <w:p>
      <w:pPr>
        <w:pStyle w:val="ListParagraph"/>
        <w:numPr>
          <w:ilvl w:val="0"/>
          <w:numId w:val="56"/>
        </w:numPr>
        <w:tabs>
          <w:tab w:pos="2381" w:val="left" w:leader="none"/>
          <w:tab w:pos="2382" w:val="left" w:leader="none"/>
        </w:tabs>
        <w:spacing w:line="242" w:lineRule="auto" w:before="124" w:after="0"/>
        <w:ind w:left="2381" w:right="1702" w:hanging="794"/>
        <w:jc w:val="left"/>
        <w:rPr>
          <w:sz w:val="21"/>
        </w:rPr>
      </w:pPr>
      <w:r>
        <w:rPr>
          <w:w w:val="105"/>
          <w:sz w:val="21"/>
        </w:rPr>
        <w:t>One</w:t>
      </w:r>
      <w:r>
        <w:rPr>
          <w:spacing w:val="-14"/>
          <w:w w:val="105"/>
          <w:sz w:val="21"/>
        </w:rPr>
        <w:t> </w:t>
      </w:r>
      <w:r>
        <w:rPr>
          <w:spacing w:val="-3"/>
          <w:w w:val="105"/>
          <w:sz w:val="21"/>
        </w:rPr>
        <w:t>submission</w:t>
      </w:r>
      <w:r>
        <w:rPr>
          <w:spacing w:val="-14"/>
          <w:w w:val="105"/>
          <w:sz w:val="21"/>
        </w:rPr>
        <w:t> </w:t>
      </w:r>
      <w:r>
        <w:rPr>
          <w:w w:val="105"/>
          <w:sz w:val="21"/>
        </w:rPr>
        <w:t>endorsed</w:t>
      </w:r>
      <w:r>
        <w:rPr>
          <w:spacing w:val="-14"/>
          <w:w w:val="105"/>
          <w:sz w:val="21"/>
        </w:rPr>
        <w:t> </w:t>
      </w:r>
      <w:r>
        <w:rPr>
          <w:w w:val="105"/>
          <w:sz w:val="21"/>
        </w:rPr>
        <w:t>the</w:t>
      </w:r>
      <w:r>
        <w:rPr>
          <w:spacing w:val="-14"/>
          <w:w w:val="105"/>
          <w:sz w:val="21"/>
        </w:rPr>
        <w:t> </w:t>
      </w:r>
      <w:r>
        <w:rPr>
          <w:w w:val="105"/>
          <w:sz w:val="21"/>
        </w:rPr>
        <w:t>Ontario</w:t>
      </w:r>
      <w:r>
        <w:rPr>
          <w:spacing w:val="-13"/>
          <w:w w:val="105"/>
          <w:sz w:val="21"/>
        </w:rPr>
        <w:t> </w:t>
      </w:r>
      <w:r>
        <w:rPr>
          <w:w w:val="105"/>
          <w:sz w:val="21"/>
        </w:rPr>
        <w:t>approach</w:t>
      </w:r>
      <w:r>
        <w:rPr>
          <w:spacing w:val="-14"/>
          <w:w w:val="105"/>
          <w:sz w:val="21"/>
        </w:rPr>
        <w:t> </w:t>
      </w:r>
      <w:r>
        <w:rPr>
          <w:spacing w:val="-3"/>
          <w:w w:val="105"/>
          <w:sz w:val="21"/>
        </w:rPr>
        <w:t>to</w:t>
      </w:r>
      <w:r>
        <w:rPr>
          <w:spacing w:val="-14"/>
          <w:w w:val="105"/>
          <w:sz w:val="21"/>
        </w:rPr>
        <w:t> </w:t>
      </w:r>
      <w:r>
        <w:rPr>
          <w:w w:val="105"/>
          <w:sz w:val="21"/>
        </w:rPr>
        <w:t>straddle</w:t>
      </w:r>
      <w:r>
        <w:rPr>
          <w:spacing w:val="-14"/>
          <w:w w:val="105"/>
          <w:sz w:val="21"/>
        </w:rPr>
        <w:t> </w:t>
      </w:r>
      <w:r>
        <w:rPr>
          <w:w w:val="105"/>
          <w:sz w:val="21"/>
        </w:rPr>
        <w:t>trees</w:t>
      </w:r>
      <w:r>
        <w:rPr>
          <w:spacing w:val="-14"/>
          <w:w w:val="105"/>
          <w:sz w:val="21"/>
        </w:rPr>
        <w:t> </w:t>
      </w:r>
      <w:r>
        <w:rPr>
          <w:w w:val="105"/>
          <w:sz w:val="21"/>
        </w:rPr>
        <w:t>where</w:t>
      </w:r>
      <w:r>
        <w:rPr>
          <w:spacing w:val="-13"/>
          <w:w w:val="105"/>
          <w:sz w:val="21"/>
        </w:rPr>
        <w:t> </w:t>
      </w:r>
      <w:r>
        <w:rPr>
          <w:w w:val="105"/>
          <w:sz w:val="21"/>
        </w:rPr>
        <w:t>the</w:t>
      </w:r>
      <w:r>
        <w:rPr>
          <w:spacing w:val="-14"/>
          <w:w w:val="105"/>
          <w:sz w:val="21"/>
        </w:rPr>
        <w:t> </w:t>
      </w:r>
      <w:r>
        <w:rPr>
          <w:w w:val="105"/>
          <w:sz w:val="21"/>
        </w:rPr>
        <w:t>tree</w:t>
      </w:r>
      <w:r>
        <w:rPr>
          <w:spacing w:val="-14"/>
          <w:w w:val="105"/>
          <w:sz w:val="21"/>
        </w:rPr>
        <w:t> </w:t>
      </w:r>
      <w:r>
        <w:rPr>
          <w:w w:val="105"/>
          <w:sz w:val="21"/>
        </w:rPr>
        <w:t>is</w:t>
      </w:r>
      <w:r>
        <w:rPr>
          <w:spacing w:val="-14"/>
          <w:w w:val="105"/>
          <w:sz w:val="21"/>
        </w:rPr>
        <w:t> </w:t>
      </w:r>
      <w:r>
        <w:rPr>
          <w:w w:val="105"/>
          <w:sz w:val="21"/>
        </w:rPr>
        <w:t>jointly owned by neighbours who need </w:t>
      </w:r>
      <w:r>
        <w:rPr>
          <w:spacing w:val="-3"/>
          <w:w w:val="105"/>
          <w:sz w:val="21"/>
        </w:rPr>
        <w:t>to consent to any </w:t>
      </w:r>
      <w:r>
        <w:rPr>
          <w:w w:val="105"/>
          <w:sz w:val="21"/>
        </w:rPr>
        <w:t>proposed works or actions.</w:t>
      </w:r>
      <w:r>
        <w:rPr>
          <w:w w:val="105"/>
          <w:position w:val="7"/>
          <w:sz w:val="12"/>
        </w:rPr>
        <w:t>226 </w:t>
      </w:r>
      <w:r>
        <w:rPr>
          <w:w w:val="105"/>
          <w:sz w:val="21"/>
        </w:rPr>
        <w:t>Dr Gregory Moore OAM</w:t>
      </w:r>
      <w:r>
        <w:rPr>
          <w:spacing w:val="15"/>
          <w:w w:val="105"/>
          <w:sz w:val="21"/>
        </w:rPr>
        <w:t> </w:t>
      </w:r>
      <w:r>
        <w:rPr>
          <w:w w:val="105"/>
          <w:sz w:val="21"/>
        </w:rPr>
        <w:t>stated:</w:t>
      </w:r>
    </w:p>
    <w:p>
      <w:pPr>
        <w:spacing w:line="254" w:lineRule="auto" w:before="132"/>
        <w:ind w:left="2834" w:right="1636" w:firstLine="0"/>
        <w:jc w:val="left"/>
        <w:rPr>
          <w:sz w:val="11"/>
        </w:rPr>
      </w:pPr>
      <w:r>
        <w:rPr>
          <w:sz w:val="20"/>
        </w:rPr>
        <w:t>I have seen [joint ownership] work very well when both parties have a joint sense of ownership and responsibility—in a sense it forces people to work together to achieve a mutually agreed outcome.</w:t>
      </w:r>
      <w:r>
        <w:rPr>
          <w:position w:val="7"/>
          <w:sz w:val="11"/>
        </w:rPr>
        <w:t>227</w:t>
      </w:r>
    </w:p>
    <w:p>
      <w:pPr>
        <w:pStyle w:val="ListParagraph"/>
        <w:numPr>
          <w:ilvl w:val="0"/>
          <w:numId w:val="56"/>
        </w:numPr>
        <w:tabs>
          <w:tab w:pos="2381" w:val="left" w:leader="none"/>
          <w:tab w:pos="2382" w:val="left" w:leader="none"/>
        </w:tabs>
        <w:spacing w:line="242" w:lineRule="auto" w:before="115" w:after="0"/>
        <w:ind w:left="2381" w:right="2182" w:hanging="794"/>
        <w:jc w:val="left"/>
        <w:rPr>
          <w:sz w:val="12"/>
        </w:rPr>
      </w:pPr>
      <w:r>
        <w:rPr>
          <w:w w:val="105"/>
          <w:sz w:val="21"/>
        </w:rPr>
        <w:t>Some</w:t>
      </w:r>
      <w:r>
        <w:rPr>
          <w:spacing w:val="-12"/>
          <w:w w:val="105"/>
          <w:sz w:val="21"/>
        </w:rPr>
        <w:t> </w:t>
      </w:r>
      <w:r>
        <w:rPr>
          <w:w w:val="105"/>
          <w:sz w:val="21"/>
        </w:rPr>
        <w:t>people</w:t>
      </w:r>
      <w:r>
        <w:rPr>
          <w:spacing w:val="-12"/>
          <w:w w:val="105"/>
          <w:sz w:val="21"/>
        </w:rPr>
        <w:t> </w:t>
      </w:r>
      <w:r>
        <w:rPr>
          <w:w w:val="105"/>
          <w:sz w:val="21"/>
        </w:rPr>
        <w:t>also</w:t>
      </w:r>
      <w:r>
        <w:rPr>
          <w:spacing w:val="-12"/>
          <w:w w:val="105"/>
          <w:sz w:val="21"/>
        </w:rPr>
        <w:t> </w:t>
      </w:r>
      <w:r>
        <w:rPr>
          <w:w w:val="105"/>
          <w:sz w:val="21"/>
        </w:rPr>
        <w:t>stated</w:t>
      </w:r>
      <w:r>
        <w:rPr>
          <w:spacing w:val="-11"/>
          <w:w w:val="105"/>
          <w:sz w:val="21"/>
        </w:rPr>
        <w:t> </w:t>
      </w:r>
      <w:r>
        <w:rPr>
          <w:spacing w:val="-3"/>
          <w:w w:val="105"/>
          <w:sz w:val="21"/>
        </w:rPr>
        <w:t>that</w:t>
      </w:r>
      <w:r>
        <w:rPr>
          <w:spacing w:val="-12"/>
          <w:w w:val="105"/>
          <w:sz w:val="21"/>
        </w:rPr>
        <w:t> </w:t>
      </w:r>
      <w:r>
        <w:rPr>
          <w:w w:val="105"/>
          <w:sz w:val="21"/>
        </w:rPr>
        <w:t>straddle</w:t>
      </w:r>
      <w:r>
        <w:rPr>
          <w:spacing w:val="-12"/>
          <w:w w:val="105"/>
          <w:sz w:val="21"/>
        </w:rPr>
        <w:t> </w:t>
      </w:r>
      <w:r>
        <w:rPr>
          <w:w w:val="105"/>
          <w:sz w:val="21"/>
        </w:rPr>
        <w:t>trees</w:t>
      </w:r>
      <w:r>
        <w:rPr>
          <w:spacing w:val="-12"/>
          <w:w w:val="105"/>
          <w:sz w:val="21"/>
        </w:rPr>
        <w:t> </w:t>
      </w:r>
      <w:r>
        <w:rPr>
          <w:w w:val="105"/>
          <w:sz w:val="21"/>
        </w:rPr>
        <w:t>should</w:t>
      </w:r>
      <w:r>
        <w:rPr>
          <w:spacing w:val="-11"/>
          <w:w w:val="105"/>
          <w:sz w:val="21"/>
        </w:rPr>
        <w:t> </w:t>
      </w:r>
      <w:r>
        <w:rPr>
          <w:w w:val="105"/>
          <w:sz w:val="21"/>
        </w:rPr>
        <w:t>be</w:t>
      </w:r>
      <w:r>
        <w:rPr>
          <w:spacing w:val="-12"/>
          <w:w w:val="105"/>
          <w:sz w:val="21"/>
        </w:rPr>
        <w:t> </w:t>
      </w:r>
      <w:r>
        <w:rPr>
          <w:w w:val="105"/>
          <w:sz w:val="21"/>
        </w:rPr>
        <w:t>jointly</w:t>
      </w:r>
      <w:r>
        <w:rPr>
          <w:spacing w:val="-12"/>
          <w:w w:val="105"/>
          <w:sz w:val="21"/>
        </w:rPr>
        <w:t> </w:t>
      </w:r>
      <w:r>
        <w:rPr>
          <w:w w:val="105"/>
          <w:sz w:val="21"/>
        </w:rPr>
        <w:t>owned</w:t>
      </w:r>
      <w:r>
        <w:rPr>
          <w:spacing w:val="-12"/>
          <w:w w:val="105"/>
          <w:sz w:val="21"/>
        </w:rPr>
        <w:t> </w:t>
      </w:r>
      <w:r>
        <w:rPr>
          <w:w w:val="105"/>
          <w:sz w:val="21"/>
        </w:rPr>
        <w:t>in</w:t>
      </w:r>
      <w:r>
        <w:rPr>
          <w:spacing w:val="-11"/>
          <w:w w:val="105"/>
          <w:sz w:val="21"/>
        </w:rPr>
        <w:t> </w:t>
      </w:r>
      <w:r>
        <w:rPr>
          <w:w w:val="105"/>
          <w:sz w:val="21"/>
        </w:rPr>
        <w:t>equal</w:t>
      </w:r>
      <w:r>
        <w:rPr>
          <w:spacing w:val="-12"/>
          <w:w w:val="105"/>
          <w:sz w:val="21"/>
        </w:rPr>
        <w:t> </w:t>
      </w:r>
      <w:r>
        <w:rPr>
          <w:spacing w:val="-3"/>
          <w:w w:val="105"/>
          <w:sz w:val="21"/>
        </w:rPr>
        <w:t>shares </w:t>
      </w:r>
      <w:r>
        <w:rPr>
          <w:w w:val="105"/>
          <w:sz w:val="21"/>
        </w:rPr>
        <w:t>regardless of the actual portions of the tree on each</w:t>
      </w:r>
      <w:r>
        <w:rPr>
          <w:spacing w:val="13"/>
          <w:w w:val="105"/>
          <w:sz w:val="21"/>
        </w:rPr>
        <w:t> </w:t>
      </w:r>
      <w:r>
        <w:rPr>
          <w:w w:val="105"/>
          <w:sz w:val="21"/>
        </w:rPr>
        <w:t>property.</w:t>
      </w:r>
      <w:r>
        <w:rPr>
          <w:w w:val="105"/>
          <w:position w:val="7"/>
          <w:sz w:val="12"/>
        </w:rPr>
        <w:t>228</w:t>
      </w:r>
    </w:p>
    <w:p>
      <w:pPr>
        <w:pStyle w:val="Heading7"/>
        <w:spacing w:before="152"/>
      </w:pPr>
      <w:r>
        <w:rPr>
          <w:color w:val="58595B"/>
          <w:w w:val="115"/>
        </w:rPr>
        <w:t>Other suggestions</w:t>
      </w:r>
    </w:p>
    <w:p>
      <w:pPr>
        <w:pStyle w:val="ListParagraph"/>
        <w:numPr>
          <w:ilvl w:val="0"/>
          <w:numId w:val="56"/>
        </w:numPr>
        <w:tabs>
          <w:tab w:pos="2380" w:val="left" w:leader="none"/>
          <w:tab w:pos="2381" w:val="left" w:leader="none"/>
        </w:tabs>
        <w:spacing w:line="242" w:lineRule="auto" w:before="143" w:after="0"/>
        <w:ind w:left="2381" w:right="1626" w:hanging="794"/>
        <w:jc w:val="left"/>
        <w:rPr>
          <w:sz w:val="12"/>
        </w:rPr>
      </w:pPr>
      <w:r>
        <w:rPr>
          <w:w w:val="105"/>
          <w:sz w:val="21"/>
        </w:rPr>
        <w:t>Some</w:t>
      </w:r>
      <w:r>
        <w:rPr>
          <w:spacing w:val="-7"/>
          <w:w w:val="105"/>
          <w:sz w:val="21"/>
        </w:rPr>
        <w:t> </w:t>
      </w:r>
      <w:r>
        <w:rPr>
          <w:spacing w:val="-3"/>
          <w:w w:val="105"/>
          <w:sz w:val="21"/>
        </w:rPr>
        <w:t>submissions</w:t>
      </w:r>
      <w:r>
        <w:rPr>
          <w:spacing w:val="-7"/>
          <w:w w:val="105"/>
          <w:sz w:val="21"/>
        </w:rPr>
        <w:t> </w:t>
      </w:r>
      <w:r>
        <w:rPr>
          <w:w w:val="105"/>
          <w:sz w:val="21"/>
        </w:rPr>
        <w:t>suggested</w:t>
      </w:r>
      <w:r>
        <w:rPr>
          <w:spacing w:val="-7"/>
          <w:w w:val="105"/>
          <w:sz w:val="21"/>
        </w:rPr>
        <w:t> </w:t>
      </w:r>
      <w:r>
        <w:rPr>
          <w:spacing w:val="-3"/>
          <w:w w:val="105"/>
          <w:sz w:val="21"/>
        </w:rPr>
        <w:t>that</w:t>
      </w:r>
      <w:r>
        <w:rPr>
          <w:spacing w:val="-7"/>
          <w:w w:val="105"/>
          <w:sz w:val="21"/>
        </w:rPr>
        <w:t> </w:t>
      </w:r>
      <w:r>
        <w:rPr>
          <w:w w:val="105"/>
          <w:sz w:val="21"/>
        </w:rPr>
        <w:t>ownership</w:t>
      </w:r>
      <w:r>
        <w:rPr>
          <w:spacing w:val="-7"/>
          <w:w w:val="105"/>
          <w:sz w:val="21"/>
        </w:rPr>
        <w:t> </w:t>
      </w:r>
      <w:r>
        <w:rPr>
          <w:w w:val="105"/>
          <w:sz w:val="21"/>
        </w:rPr>
        <w:t>of</w:t>
      </w:r>
      <w:r>
        <w:rPr>
          <w:spacing w:val="-7"/>
          <w:w w:val="105"/>
          <w:sz w:val="21"/>
        </w:rPr>
        <w:t> </w:t>
      </w:r>
      <w:r>
        <w:rPr>
          <w:w w:val="105"/>
          <w:sz w:val="21"/>
        </w:rPr>
        <w:t>a</w:t>
      </w:r>
      <w:r>
        <w:rPr>
          <w:spacing w:val="-7"/>
          <w:w w:val="105"/>
          <w:sz w:val="21"/>
        </w:rPr>
        <w:t> </w:t>
      </w:r>
      <w:r>
        <w:rPr>
          <w:w w:val="105"/>
          <w:sz w:val="21"/>
        </w:rPr>
        <w:t>boundary</w:t>
      </w:r>
      <w:r>
        <w:rPr>
          <w:spacing w:val="-7"/>
          <w:w w:val="105"/>
          <w:sz w:val="21"/>
        </w:rPr>
        <w:t> </w:t>
      </w:r>
      <w:r>
        <w:rPr>
          <w:w w:val="105"/>
          <w:sz w:val="21"/>
        </w:rPr>
        <w:t>tree</w:t>
      </w:r>
      <w:r>
        <w:rPr>
          <w:spacing w:val="-7"/>
          <w:w w:val="105"/>
          <w:sz w:val="21"/>
        </w:rPr>
        <w:t> </w:t>
      </w:r>
      <w:r>
        <w:rPr>
          <w:w w:val="105"/>
          <w:sz w:val="21"/>
        </w:rPr>
        <w:t>should</w:t>
      </w:r>
      <w:r>
        <w:rPr>
          <w:spacing w:val="-7"/>
          <w:w w:val="105"/>
          <w:sz w:val="21"/>
        </w:rPr>
        <w:t> </w:t>
      </w:r>
      <w:r>
        <w:rPr>
          <w:w w:val="105"/>
          <w:sz w:val="21"/>
        </w:rPr>
        <w:t>be</w:t>
      </w:r>
      <w:r>
        <w:rPr>
          <w:spacing w:val="-7"/>
          <w:w w:val="105"/>
          <w:sz w:val="21"/>
        </w:rPr>
        <w:t> </w:t>
      </w:r>
      <w:r>
        <w:rPr>
          <w:spacing w:val="-3"/>
          <w:w w:val="105"/>
          <w:sz w:val="21"/>
        </w:rPr>
        <w:t>determined</w:t>
      </w:r>
      <w:r>
        <w:rPr>
          <w:spacing w:val="-7"/>
          <w:w w:val="105"/>
          <w:sz w:val="21"/>
        </w:rPr>
        <w:t> </w:t>
      </w:r>
      <w:r>
        <w:rPr>
          <w:w w:val="105"/>
          <w:sz w:val="21"/>
        </w:rPr>
        <w:t>by an arborist</w:t>
      </w:r>
      <w:r>
        <w:rPr>
          <w:w w:val="105"/>
          <w:position w:val="7"/>
          <w:sz w:val="12"/>
        </w:rPr>
        <w:t>229 </w:t>
      </w:r>
      <w:r>
        <w:rPr>
          <w:w w:val="105"/>
          <w:sz w:val="21"/>
        </w:rPr>
        <w:t>or the local</w:t>
      </w:r>
      <w:r>
        <w:rPr>
          <w:spacing w:val="19"/>
          <w:w w:val="105"/>
          <w:sz w:val="21"/>
        </w:rPr>
        <w:t> </w:t>
      </w:r>
      <w:r>
        <w:rPr>
          <w:w w:val="105"/>
          <w:sz w:val="21"/>
        </w:rPr>
        <w:t>council.</w:t>
      </w:r>
      <w:r>
        <w:rPr>
          <w:w w:val="105"/>
          <w:position w:val="7"/>
          <w:sz w:val="12"/>
        </w:rPr>
        <w:t>230</w:t>
      </w:r>
    </w:p>
    <w:p>
      <w:pPr>
        <w:pStyle w:val="ListParagraph"/>
        <w:numPr>
          <w:ilvl w:val="0"/>
          <w:numId w:val="56"/>
        </w:numPr>
        <w:tabs>
          <w:tab w:pos="2382" w:val="left" w:leader="none"/>
        </w:tabs>
        <w:spacing w:line="242" w:lineRule="auto" w:before="122" w:after="0"/>
        <w:ind w:left="2381" w:right="1717" w:hanging="794"/>
        <w:jc w:val="both"/>
        <w:rPr>
          <w:sz w:val="12"/>
        </w:rPr>
      </w:pPr>
      <w:r>
        <w:rPr>
          <w:w w:val="105"/>
          <w:sz w:val="21"/>
        </w:rPr>
        <w:t>Some</w:t>
      </w:r>
      <w:r>
        <w:rPr>
          <w:spacing w:val="-8"/>
          <w:w w:val="105"/>
          <w:sz w:val="21"/>
        </w:rPr>
        <w:t> </w:t>
      </w:r>
      <w:r>
        <w:rPr>
          <w:w w:val="105"/>
          <w:sz w:val="21"/>
        </w:rPr>
        <w:t>arborists</w:t>
      </w:r>
      <w:r>
        <w:rPr>
          <w:spacing w:val="-8"/>
          <w:w w:val="105"/>
          <w:sz w:val="21"/>
        </w:rPr>
        <w:t> </w:t>
      </w:r>
      <w:r>
        <w:rPr>
          <w:w w:val="105"/>
          <w:sz w:val="21"/>
        </w:rPr>
        <w:t>cautioned</w:t>
      </w:r>
      <w:r>
        <w:rPr>
          <w:spacing w:val="-7"/>
          <w:w w:val="105"/>
          <w:sz w:val="21"/>
        </w:rPr>
        <w:t> </w:t>
      </w:r>
      <w:r>
        <w:rPr>
          <w:spacing w:val="-3"/>
          <w:w w:val="105"/>
          <w:sz w:val="21"/>
        </w:rPr>
        <w:t>against</w:t>
      </w:r>
      <w:r>
        <w:rPr>
          <w:spacing w:val="-8"/>
          <w:w w:val="105"/>
          <w:sz w:val="21"/>
        </w:rPr>
        <w:t> </w:t>
      </w:r>
      <w:r>
        <w:rPr>
          <w:spacing w:val="-3"/>
          <w:w w:val="105"/>
          <w:sz w:val="21"/>
        </w:rPr>
        <w:t>determining</w:t>
      </w:r>
      <w:r>
        <w:rPr>
          <w:spacing w:val="-8"/>
          <w:w w:val="105"/>
          <w:sz w:val="21"/>
        </w:rPr>
        <w:t> </w:t>
      </w:r>
      <w:r>
        <w:rPr>
          <w:w w:val="105"/>
          <w:sz w:val="21"/>
        </w:rPr>
        <w:t>ownership</w:t>
      </w:r>
      <w:r>
        <w:rPr>
          <w:spacing w:val="-7"/>
          <w:w w:val="105"/>
          <w:sz w:val="21"/>
        </w:rPr>
        <w:t> </w:t>
      </w:r>
      <w:r>
        <w:rPr>
          <w:w w:val="105"/>
          <w:sz w:val="21"/>
        </w:rPr>
        <w:t>based</w:t>
      </w:r>
      <w:r>
        <w:rPr>
          <w:spacing w:val="-8"/>
          <w:w w:val="105"/>
          <w:sz w:val="21"/>
        </w:rPr>
        <w:t> </w:t>
      </w:r>
      <w:r>
        <w:rPr>
          <w:w w:val="105"/>
          <w:sz w:val="21"/>
        </w:rPr>
        <w:t>on</w:t>
      </w:r>
      <w:r>
        <w:rPr>
          <w:spacing w:val="-8"/>
          <w:w w:val="105"/>
          <w:sz w:val="21"/>
        </w:rPr>
        <w:t> </w:t>
      </w:r>
      <w:r>
        <w:rPr>
          <w:w w:val="105"/>
          <w:sz w:val="21"/>
        </w:rPr>
        <w:t>who</w:t>
      </w:r>
      <w:r>
        <w:rPr>
          <w:spacing w:val="-7"/>
          <w:w w:val="105"/>
          <w:sz w:val="21"/>
        </w:rPr>
        <w:t> </w:t>
      </w:r>
      <w:r>
        <w:rPr>
          <w:spacing w:val="-3"/>
          <w:w w:val="105"/>
          <w:sz w:val="21"/>
        </w:rPr>
        <w:t>planted</w:t>
      </w:r>
      <w:r>
        <w:rPr>
          <w:spacing w:val="-8"/>
          <w:w w:val="105"/>
          <w:sz w:val="21"/>
        </w:rPr>
        <w:t> </w:t>
      </w:r>
      <w:r>
        <w:rPr>
          <w:w w:val="105"/>
          <w:sz w:val="21"/>
        </w:rPr>
        <w:t>the</w:t>
      </w:r>
      <w:r>
        <w:rPr>
          <w:spacing w:val="-8"/>
          <w:w w:val="105"/>
          <w:sz w:val="21"/>
        </w:rPr>
        <w:t> </w:t>
      </w:r>
      <w:r>
        <w:rPr>
          <w:w w:val="105"/>
          <w:sz w:val="21"/>
        </w:rPr>
        <w:t>tree or on which property the tree </w:t>
      </w:r>
      <w:r>
        <w:rPr>
          <w:spacing w:val="-3"/>
          <w:w w:val="105"/>
          <w:sz w:val="21"/>
        </w:rPr>
        <w:t>originated, </w:t>
      </w:r>
      <w:r>
        <w:rPr>
          <w:w w:val="105"/>
          <w:sz w:val="21"/>
        </w:rPr>
        <w:t>because </w:t>
      </w:r>
      <w:r>
        <w:rPr>
          <w:spacing w:val="-3"/>
          <w:w w:val="105"/>
          <w:sz w:val="21"/>
        </w:rPr>
        <w:t>determining </w:t>
      </w:r>
      <w:r>
        <w:rPr>
          <w:w w:val="105"/>
          <w:sz w:val="21"/>
        </w:rPr>
        <w:t>the </w:t>
      </w:r>
      <w:r>
        <w:rPr>
          <w:spacing w:val="-3"/>
          <w:w w:val="105"/>
          <w:sz w:val="21"/>
        </w:rPr>
        <w:t>origin </w:t>
      </w:r>
      <w:r>
        <w:rPr>
          <w:w w:val="105"/>
          <w:sz w:val="21"/>
        </w:rPr>
        <w:t>of the tree can be a difficult task with possibly </w:t>
      </w:r>
      <w:r>
        <w:rPr>
          <w:spacing w:val="-3"/>
          <w:w w:val="105"/>
          <w:sz w:val="21"/>
        </w:rPr>
        <w:t>inconclusive</w:t>
      </w:r>
      <w:r>
        <w:rPr>
          <w:spacing w:val="25"/>
          <w:w w:val="105"/>
          <w:sz w:val="21"/>
        </w:rPr>
        <w:t> </w:t>
      </w:r>
      <w:r>
        <w:rPr>
          <w:w w:val="105"/>
          <w:sz w:val="21"/>
        </w:rPr>
        <w:t>outcomes.</w:t>
      </w:r>
      <w:r>
        <w:rPr>
          <w:w w:val="105"/>
          <w:position w:val="7"/>
          <w:sz w:val="12"/>
        </w:rPr>
        <w:t>231</w:t>
      </w:r>
    </w:p>
    <w:p>
      <w:pPr>
        <w:pStyle w:val="ListParagraph"/>
        <w:numPr>
          <w:ilvl w:val="0"/>
          <w:numId w:val="56"/>
        </w:numPr>
        <w:tabs>
          <w:tab w:pos="2381" w:val="left" w:leader="none"/>
          <w:tab w:pos="2382" w:val="left" w:leader="none"/>
        </w:tabs>
        <w:spacing w:line="242" w:lineRule="auto" w:before="123" w:after="0"/>
        <w:ind w:left="2381" w:right="1772" w:hanging="794"/>
        <w:jc w:val="left"/>
        <w:rPr>
          <w:sz w:val="12"/>
        </w:rPr>
      </w:pPr>
      <w:r>
        <w:rPr>
          <w:sz w:val="21"/>
        </w:rPr>
        <w:t>Arborist Dr Karen </w:t>
      </w:r>
      <w:r>
        <w:rPr>
          <w:spacing w:val="-3"/>
          <w:sz w:val="21"/>
        </w:rPr>
        <w:t>Smith noted that  </w:t>
      </w:r>
      <w:r>
        <w:rPr>
          <w:sz w:val="21"/>
        </w:rPr>
        <w:t>the type of tree </w:t>
      </w:r>
      <w:r>
        <w:rPr>
          <w:spacing w:val="-3"/>
          <w:sz w:val="21"/>
        </w:rPr>
        <w:t>may</w:t>
      </w:r>
      <w:r>
        <w:rPr>
          <w:spacing w:val="41"/>
          <w:sz w:val="21"/>
        </w:rPr>
        <w:t> </w:t>
      </w:r>
      <w:r>
        <w:rPr>
          <w:sz w:val="21"/>
        </w:rPr>
        <w:t>be </w:t>
      </w:r>
      <w:r>
        <w:rPr>
          <w:spacing w:val="-3"/>
          <w:sz w:val="21"/>
        </w:rPr>
        <w:t>relevant  </w:t>
      </w:r>
      <w:r>
        <w:rPr>
          <w:sz w:val="21"/>
        </w:rPr>
        <w:t>in </w:t>
      </w:r>
      <w:r>
        <w:rPr>
          <w:spacing w:val="-3"/>
          <w:sz w:val="21"/>
        </w:rPr>
        <w:t>any  </w:t>
      </w:r>
      <w:r>
        <w:rPr>
          <w:sz w:val="21"/>
        </w:rPr>
        <w:t>assessments of location along boundary </w:t>
      </w:r>
      <w:r>
        <w:rPr>
          <w:spacing w:val="-3"/>
          <w:sz w:val="21"/>
        </w:rPr>
        <w:t>lines, such </w:t>
      </w:r>
      <w:r>
        <w:rPr>
          <w:sz w:val="21"/>
        </w:rPr>
        <w:t>as whether there is an </w:t>
      </w:r>
      <w:r>
        <w:rPr>
          <w:spacing w:val="-3"/>
          <w:sz w:val="21"/>
        </w:rPr>
        <w:t>‘individual tree, suckers, </w:t>
      </w:r>
      <w:r>
        <w:rPr>
          <w:sz w:val="21"/>
        </w:rPr>
        <w:t>or vines or</w:t>
      </w:r>
      <w:r>
        <w:rPr>
          <w:spacing w:val="17"/>
          <w:sz w:val="21"/>
        </w:rPr>
        <w:t> </w:t>
      </w:r>
      <w:r>
        <w:rPr>
          <w:spacing w:val="-4"/>
          <w:sz w:val="21"/>
        </w:rPr>
        <w:t>bamboo’.</w:t>
      </w:r>
      <w:r>
        <w:rPr>
          <w:spacing w:val="-4"/>
          <w:position w:val="7"/>
          <w:sz w:val="12"/>
        </w:rPr>
        <w:t>232</w:t>
      </w:r>
    </w:p>
    <w:p>
      <w:pPr>
        <w:pStyle w:val="BodyText"/>
        <w:spacing w:before="4"/>
        <w:rPr>
          <w:sz w:val="20"/>
        </w:rPr>
      </w:pPr>
    </w:p>
    <w:p>
      <w:pPr>
        <w:pStyle w:val="Heading5"/>
      </w:pPr>
      <w:r>
        <w:rPr/>
        <w:pict>
          <v:shape style="position:absolute;margin-left:79.369904pt;margin-top:21.946877pt;width:436.55pt;height:358.4pt;mso-position-horizontal-relative:page;mso-position-vertical-relative:paragraph;z-index:652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2"/>
                    <w:gridCol w:w="8089"/>
                  </w:tblGrid>
                  <w:tr>
                    <w:trPr>
                      <w:trHeight w:val="251" w:hRule="atLeast"/>
                    </w:trPr>
                    <w:tc>
                      <w:tcPr>
                        <w:tcW w:w="642" w:type="dxa"/>
                      </w:tcPr>
                      <w:p>
                        <w:pPr>
                          <w:pStyle w:val="TableParagraph"/>
                          <w:spacing w:line="232" w:lineRule="exact"/>
                          <w:rPr>
                            <w:sz w:val="21"/>
                          </w:rPr>
                        </w:pPr>
                        <w:r>
                          <w:rPr>
                            <w:w w:val="110"/>
                            <w:sz w:val="21"/>
                          </w:rPr>
                          <w:t>5.145</w:t>
                        </w:r>
                      </w:p>
                    </w:tc>
                    <w:tc>
                      <w:tcPr>
                        <w:tcW w:w="8089" w:type="dxa"/>
                      </w:tcPr>
                      <w:p>
                        <w:pPr>
                          <w:pStyle w:val="TableParagraph"/>
                          <w:spacing w:line="232" w:lineRule="exact"/>
                          <w:ind w:left="151"/>
                          <w:rPr>
                            <w:sz w:val="21"/>
                          </w:rPr>
                        </w:pPr>
                        <w:r>
                          <w:rPr>
                            <w:sz w:val="21"/>
                          </w:rPr>
                          <w:t>It should not be necessary to identify a single majority-owner of a tree that straddles a</w:t>
                        </w:r>
                      </w:p>
                    </w:tc>
                  </w:tr>
                  <w:tr>
                    <w:trPr>
                      <w:trHeight w:val="259" w:hRule="atLeast"/>
                    </w:trPr>
                    <w:tc>
                      <w:tcPr>
                        <w:tcW w:w="642" w:type="dxa"/>
                      </w:tcPr>
                      <w:p>
                        <w:pPr>
                          <w:pStyle w:val="TableParagraph"/>
                          <w:rPr>
                            <w:rFonts w:ascii="Times New Roman"/>
                            <w:sz w:val="18"/>
                          </w:rPr>
                        </w:pPr>
                      </w:p>
                    </w:tc>
                    <w:tc>
                      <w:tcPr>
                        <w:tcW w:w="8089" w:type="dxa"/>
                      </w:tcPr>
                      <w:p>
                        <w:pPr>
                          <w:pStyle w:val="TableParagraph"/>
                          <w:spacing w:line="240" w:lineRule="exact"/>
                          <w:ind w:left="151"/>
                          <w:rPr>
                            <w:sz w:val="21"/>
                          </w:rPr>
                        </w:pPr>
                        <w:r>
                          <w:rPr>
                            <w:w w:val="105"/>
                            <w:sz w:val="21"/>
                          </w:rPr>
                          <w:t>boundary for the purposes of commencing legal action. Any neighbour affected by a</w:t>
                        </w:r>
                      </w:p>
                    </w:tc>
                  </w:tr>
                  <w:tr>
                    <w:trPr>
                      <w:trHeight w:val="259" w:hRule="atLeast"/>
                    </w:trPr>
                    <w:tc>
                      <w:tcPr>
                        <w:tcW w:w="642" w:type="dxa"/>
                      </w:tcPr>
                      <w:p>
                        <w:pPr>
                          <w:pStyle w:val="TableParagraph"/>
                          <w:rPr>
                            <w:rFonts w:ascii="Times New Roman"/>
                            <w:sz w:val="18"/>
                          </w:rPr>
                        </w:pPr>
                      </w:p>
                    </w:tc>
                    <w:tc>
                      <w:tcPr>
                        <w:tcW w:w="8089" w:type="dxa"/>
                      </w:tcPr>
                      <w:p>
                        <w:pPr>
                          <w:pStyle w:val="TableParagraph"/>
                          <w:spacing w:line="240" w:lineRule="exact"/>
                          <w:ind w:left="151"/>
                          <w:rPr>
                            <w:sz w:val="21"/>
                          </w:rPr>
                        </w:pPr>
                        <w:r>
                          <w:rPr>
                            <w:sz w:val="21"/>
                          </w:rPr>
                          <w:t>straddle tree should have the benefit of seeking relief as long as the matter meets the</w:t>
                        </w:r>
                      </w:p>
                    </w:tc>
                  </w:tr>
                  <w:tr>
                    <w:trPr>
                      <w:trHeight w:val="260" w:hRule="atLeast"/>
                    </w:trPr>
                    <w:tc>
                      <w:tcPr>
                        <w:tcW w:w="642" w:type="dxa"/>
                      </w:tcPr>
                      <w:p>
                        <w:pPr>
                          <w:pStyle w:val="TableParagraph"/>
                          <w:rPr>
                            <w:rFonts w:ascii="Times New Roman"/>
                            <w:sz w:val="18"/>
                          </w:rPr>
                        </w:pPr>
                      </w:p>
                    </w:tc>
                    <w:tc>
                      <w:tcPr>
                        <w:tcW w:w="8089" w:type="dxa"/>
                      </w:tcPr>
                      <w:p>
                        <w:pPr>
                          <w:pStyle w:val="TableParagraph"/>
                          <w:spacing w:line="240" w:lineRule="exact"/>
                          <w:ind w:left="151"/>
                          <w:rPr>
                            <w:sz w:val="21"/>
                          </w:rPr>
                        </w:pPr>
                        <w:r>
                          <w:rPr>
                            <w:sz w:val="21"/>
                          </w:rPr>
                          <w:t>other proposed jurisdictional requirements in the new Act.</w:t>
                        </w:r>
                        <w:r>
                          <w:rPr>
                            <w:position w:val="7"/>
                            <w:sz w:val="12"/>
                          </w:rPr>
                          <w:t>233 </w:t>
                        </w:r>
                        <w:r>
                          <w:rPr>
                            <w:sz w:val="21"/>
                          </w:rPr>
                          <w:t>This is a similar approach to</w:t>
                        </w:r>
                      </w:p>
                    </w:tc>
                  </w:tr>
                  <w:tr>
                    <w:trPr>
                      <w:trHeight w:val="320" w:hRule="atLeast"/>
                    </w:trPr>
                    <w:tc>
                      <w:tcPr>
                        <w:tcW w:w="642" w:type="dxa"/>
                      </w:tcPr>
                      <w:p>
                        <w:pPr>
                          <w:pStyle w:val="TableParagraph"/>
                          <w:rPr>
                            <w:rFonts w:ascii="Times New Roman"/>
                            <w:sz w:val="18"/>
                          </w:rPr>
                        </w:pPr>
                      </w:p>
                    </w:tc>
                    <w:tc>
                      <w:tcPr>
                        <w:tcW w:w="8089" w:type="dxa"/>
                      </w:tcPr>
                      <w:p>
                        <w:pPr>
                          <w:pStyle w:val="TableParagraph"/>
                          <w:spacing w:line="256" w:lineRule="exact"/>
                          <w:ind w:left="151"/>
                          <w:rPr>
                            <w:sz w:val="21"/>
                          </w:rPr>
                        </w:pPr>
                        <w:r>
                          <w:rPr>
                            <w:w w:val="105"/>
                            <w:sz w:val="21"/>
                          </w:rPr>
                          <w:t>the Tasmanian Act.</w:t>
                        </w:r>
                      </w:p>
                    </w:tc>
                  </w:tr>
                  <w:tr>
                    <w:trPr>
                      <w:trHeight w:val="320" w:hRule="atLeast"/>
                    </w:trPr>
                    <w:tc>
                      <w:tcPr>
                        <w:tcW w:w="642" w:type="dxa"/>
                      </w:tcPr>
                      <w:p>
                        <w:pPr>
                          <w:pStyle w:val="TableParagraph"/>
                          <w:spacing w:line="241" w:lineRule="exact" w:before="59"/>
                          <w:rPr>
                            <w:sz w:val="21"/>
                          </w:rPr>
                        </w:pPr>
                        <w:r>
                          <w:rPr>
                            <w:w w:val="110"/>
                            <w:sz w:val="21"/>
                          </w:rPr>
                          <w:t>5.146</w:t>
                        </w:r>
                      </w:p>
                    </w:tc>
                    <w:tc>
                      <w:tcPr>
                        <w:tcW w:w="8089" w:type="dxa"/>
                      </w:tcPr>
                      <w:p>
                        <w:pPr>
                          <w:pStyle w:val="TableParagraph"/>
                          <w:spacing w:line="241" w:lineRule="exact" w:before="59"/>
                          <w:ind w:left="151"/>
                          <w:rPr>
                            <w:sz w:val="21"/>
                          </w:rPr>
                        </w:pPr>
                        <w:r>
                          <w:rPr>
                            <w:w w:val="105"/>
                            <w:sz w:val="21"/>
                          </w:rPr>
                          <w:t>The Commission is mindful of not excluding parties from being able to use the proposed</w:t>
                        </w:r>
                      </w:p>
                    </w:tc>
                  </w:tr>
                  <w:tr>
                    <w:trPr>
                      <w:trHeight w:val="259" w:hRule="atLeast"/>
                    </w:trPr>
                    <w:tc>
                      <w:tcPr>
                        <w:tcW w:w="642" w:type="dxa"/>
                      </w:tcPr>
                      <w:p>
                        <w:pPr>
                          <w:pStyle w:val="TableParagraph"/>
                          <w:rPr>
                            <w:rFonts w:ascii="Times New Roman"/>
                            <w:sz w:val="18"/>
                          </w:rPr>
                        </w:pPr>
                      </w:p>
                    </w:tc>
                    <w:tc>
                      <w:tcPr>
                        <w:tcW w:w="8089" w:type="dxa"/>
                      </w:tcPr>
                      <w:p>
                        <w:pPr>
                          <w:pStyle w:val="TableParagraph"/>
                          <w:spacing w:line="240" w:lineRule="exact"/>
                          <w:ind w:left="151"/>
                          <w:rPr>
                            <w:sz w:val="21"/>
                          </w:rPr>
                        </w:pPr>
                        <w:r>
                          <w:rPr>
                            <w:w w:val="105"/>
                            <w:sz w:val="21"/>
                          </w:rPr>
                          <w:t>scheme. The NSWLEC noted that ‘principally situated’ has been interpreted to mean</w:t>
                        </w:r>
                      </w:p>
                    </w:tc>
                  </w:tr>
                  <w:tr>
                    <w:trPr>
                      <w:trHeight w:val="259" w:hRule="atLeast"/>
                    </w:trPr>
                    <w:tc>
                      <w:tcPr>
                        <w:tcW w:w="642" w:type="dxa"/>
                      </w:tcPr>
                      <w:p>
                        <w:pPr>
                          <w:pStyle w:val="TableParagraph"/>
                          <w:rPr>
                            <w:rFonts w:ascii="Times New Roman"/>
                            <w:sz w:val="18"/>
                          </w:rPr>
                        </w:pPr>
                      </w:p>
                    </w:tc>
                    <w:tc>
                      <w:tcPr>
                        <w:tcW w:w="8089" w:type="dxa"/>
                      </w:tcPr>
                      <w:p>
                        <w:pPr>
                          <w:pStyle w:val="TableParagraph"/>
                          <w:spacing w:line="240" w:lineRule="exact"/>
                          <w:ind w:left="151"/>
                          <w:rPr>
                            <w:sz w:val="21"/>
                          </w:rPr>
                        </w:pPr>
                        <w:r>
                          <w:rPr>
                            <w:sz w:val="21"/>
                          </w:rPr>
                          <w:t>where the trunk at ground level is equal to or greater than 50 per cent. If this test is not</w:t>
                        </w:r>
                      </w:p>
                    </w:tc>
                  </w:tr>
                  <w:tr>
                    <w:trPr>
                      <w:trHeight w:val="259" w:hRule="atLeast"/>
                    </w:trPr>
                    <w:tc>
                      <w:tcPr>
                        <w:tcW w:w="642" w:type="dxa"/>
                      </w:tcPr>
                      <w:p>
                        <w:pPr>
                          <w:pStyle w:val="TableParagraph"/>
                          <w:rPr>
                            <w:rFonts w:ascii="Times New Roman"/>
                            <w:sz w:val="18"/>
                          </w:rPr>
                        </w:pPr>
                      </w:p>
                    </w:tc>
                    <w:tc>
                      <w:tcPr>
                        <w:tcW w:w="8089" w:type="dxa"/>
                      </w:tcPr>
                      <w:p>
                        <w:pPr>
                          <w:pStyle w:val="TableParagraph"/>
                          <w:spacing w:line="240" w:lineRule="exact"/>
                          <w:ind w:left="151"/>
                          <w:rPr>
                            <w:sz w:val="21"/>
                          </w:rPr>
                        </w:pPr>
                        <w:r>
                          <w:rPr>
                            <w:sz w:val="21"/>
                          </w:rPr>
                          <w:t>at ground level then it can be difficult to determine the portions of the trunk on each</w:t>
                        </w:r>
                      </w:p>
                    </w:tc>
                  </w:tr>
                  <w:tr>
                    <w:trPr>
                      <w:trHeight w:val="320" w:hRule="atLeast"/>
                    </w:trPr>
                    <w:tc>
                      <w:tcPr>
                        <w:tcW w:w="642" w:type="dxa"/>
                      </w:tcPr>
                      <w:p>
                        <w:pPr>
                          <w:pStyle w:val="TableParagraph"/>
                          <w:rPr>
                            <w:rFonts w:ascii="Times New Roman"/>
                            <w:sz w:val="18"/>
                          </w:rPr>
                        </w:pPr>
                      </w:p>
                    </w:tc>
                    <w:tc>
                      <w:tcPr>
                        <w:tcW w:w="8089" w:type="dxa"/>
                      </w:tcPr>
                      <w:p>
                        <w:pPr>
                          <w:pStyle w:val="TableParagraph"/>
                          <w:spacing w:line="256" w:lineRule="exact"/>
                          <w:ind w:left="151"/>
                          <w:rPr>
                            <w:sz w:val="12"/>
                          </w:rPr>
                        </w:pPr>
                        <w:r>
                          <w:rPr>
                            <w:sz w:val="21"/>
                          </w:rPr>
                          <w:t>property, especially where the tree is leaning.</w:t>
                        </w:r>
                        <w:r>
                          <w:rPr>
                            <w:position w:val="7"/>
                            <w:sz w:val="12"/>
                          </w:rPr>
                          <w:t>234</w:t>
                        </w:r>
                      </w:p>
                    </w:tc>
                  </w:tr>
                  <w:tr>
                    <w:trPr>
                      <w:trHeight w:val="320" w:hRule="atLeast"/>
                    </w:trPr>
                    <w:tc>
                      <w:tcPr>
                        <w:tcW w:w="642" w:type="dxa"/>
                      </w:tcPr>
                      <w:p>
                        <w:pPr>
                          <w:pStyle w:val="TableParagraph"/>
                          <w:spacing w:line="241" w:lineRule="exact" w:before="59"/>
                          <w:rPr>
                            <w:sz w:val="21"/>
                          </w:rPr>
                        </w:pPr>
                        <w:r>
                          <w:rPr>
                            <w:w w:val="110"/>
                            <w:sz w:val="21"/>
                          </w:rPr>
                          <w:t>5.147</w:t>
                        </w:r>
                      </w:p>
                    </w:tc>
                    <w:tc>
                      <w:tcPr>
                        <w:tcW w:w="8089" w:type="dxa"/>
                      </w:tcPr>
                      <w:p>
                        <w:pPr>
                          <w:pStyle w:val="TableParagraph"/>
                          <w:spacing w:line="241" w:lineRule="exact" w:before="59"/>
                          <w:ind w:left="151"/>
                          <w:rPr>
                            <w:sz w:val="21"/>
                          </w:rPr>
                        </w:pPr>
                        <w:r>
                          <w:rPr>
                            <w:w w:val="105"/>
                            <w:sz w:val="21"/>
                          </w:rPr>
                          <w:t>The Commission observes that either owner of a straddle tree may need to take legal</w:t>
                        </w:r>
                      </w:p>
                    </w:tc>
                  </w:tr>
                  <w:tr>
                    <w:trPr>
                      <w:trHeight w:val="259" w:hRule="atLeast"/>
                    </w:trPr>
                    <w:tc>
                      <w:tcPr>
                        <w:tcW w:w="642" w:type="dxa"/>
                      </w:tcPr>
                      <w:p>
                        <w:pPr>
                          <w:pStyle w:val="TableParagraph"/>
                          <w:rPr>
                            <w:rFonts w:ascii="Times New Roman"/>
                            <w:sz w:val="18"/>
                          </w:rPr>
                        </w:pPr>
                      </w:p>
                    </w:tc>
                    <w:tc>
                      <w:tcPr>
                        <w:tcW w:w="8089" w:type="dxa"/>
                      </w:tcPr>
                      <w:p>
                        <w:pPr>
                          <w:pStyle w:val="TableParagraph"/>
                          <w:spacing w:line="240" w:lineRule="exact"/>
                          <w:ind w:left="151"/>
                          <w:rPr>
                            <w:sz w:val="21"/>
                          </w:rPr>
                        </w:pPr>
                        <w:r>
                          <w:rPr>
                            <w:w w:val="105"/>
                            <w:sz w:val="21"/>
                          </w:rPr>
                          <w:t>action including, for example, a person who may own 60 per cent of the tree. The</w:t>
                        </w:r>
                      </w:p>
                    </w:tc>
                  </w:tr>
                  <w:tr>
                    <w:trPr>
                      <w:trHeight w:val="259" w:hRule="atLeast"/>
                    </w:trPr>
                    <w:tc>
                      <w:tcPr>
                        <w:tcW w:w="642" w:type="dxa"/>
                      </w:tcPr>
                      <w:p>
                        <w:pPr>
                          <w:pStyle w:val="TableParagraph"/>
                          <w:rPr>
                            <w:rFonts w:ascii="Times New Roman"/>
                            <w:sz w:val="18"/>
                          </w:rPr>
                        </w:pPr>
                      </w:p>
                    </w:tc>
                    <w:tc>
                      <w:tcPr>
                        <w:tcW w:w="8089" w:type="dxa"/>
                      </w:tcPr>
                      <w:p>
                        <w:pPr>
                          <w:pStyle w:val="TableParagraph"/>
                          <w:spacing w:line="240" w:lineRule="exact"/>
                          <w:ind w:left="151"/>
                          <w:rPr>
                            <w:sz w:val="21"/>
                          </w:rPr>
                        </w:pPr>
                        <w:r>
                          <w:rPr>
                            <w:w w:val="105"/>
                            <w:sz w:val="21"/>
                          </w:rPr>
                          <w:t>owner of 60 per cent of the tree may need to remove or prune a major branch on their</w:t>
                        </w:r>
                      </w:p>
                    </w:tc>
                  </w:tr>
                  <w:tr>
                    <w:trPr>
                      <w:trHeight w:val="259" w:hRule="atLeast"/>
                    </w:trPr>
                    <w:tc>
                      <w:tcPr>
                        <w:tcW w:w="642" w:type="dxa"/>
                      </w:tcPr>
                      <w:p>
                        <w:pPr>
                          <w:pStyle w:val="TableParagraph"/>
                          <w:rPr>
                            <w:rFonts w:ascii="Times New Roman"/>
                            <w:sz w:val="18"/>
                          </w:rPr>
                        </w:pPr>
                      </w:p>
                    </w:tc>
                    <w:tc>
                      <w:tcPr>
                        <w:tcW w:w="8089" w:type="dxa"/>
                      </w:tcPr>
                      <w:p>
                        <w:pPr>
                          <w:pStyle w:val="TableParagraph"/>
                          <w:spacing w:line="240" w:lineRule="exact"/>
                          <w:ind w:left="151"/>
                          <w:rPr>
                            <w:sz w:val="21"/>
                          </w:rPr>
                        </w:pPr>
                        <w:r>
                          <w:rPr>
                            <w:w w:val="105"/>
                            <w:sz w:val="21"/>
                          </w:rPr>
                          <w:t>neighbour’s side in order to maintain the structural integrity of the tree but would be</w:t>
                        </w:r>
                      </w:p>
                    </w:tc>
                  </w:tr>
                  <w:tr>
                    <w:trPr>
                      <w:trHeight w:val="259" w:hRule="atLeast"/>
                    </w:trPr>
                    <w:tc>
                      <w:tcPr>
                        <w:tcW w:w="642" w:type="dxa"/>
                      </w:tcPr>
                      <w:p>
                        <w:pPr>
                          <w:pStyle w:val="TableParagraph"/>
                          <w:rPr>
                            <w:rFonts w:ascii="Times New Roman"/>
                            <w:sz w:val="18"/>
                          </w:rPr>
                        </w:pPr>
                      </w:p>
                    </w:tc>
                    <w:tc>
                      <w:tcPr>
                        <w:tcW w:w="8089" w:type="dxa"/>
                      </w:tcPr>
                      <w:p>
                        <w:pPr>
                          <w:pStyle w:val="TableParagraph"/>
                          <w:spacing w:line="240" w:lineRule="exact"/>
                          <w:ind w:left="151"/>
                          <w:rPr>
                            <w:sz w:val="21"/>
                          </w:rPr>
                        </w:pPr>
                        <w:r>
                          <w:rPr>
                            <w:sz w:val="21"/>
                          </w:rPr>
                          <w:t>prohibited from doing so without their neighbour’s consent. In this situation, it would be</w:t>
                        </w:r>
                      </w:p>
                    </w:tc>
                  </w:tr>
                  <w:tr>
                    <w:trPr>
                      <w:trHeight w:val="632" w:hRule="atLeast"/>
                    </w:trPr>
                    <w:tc>
                      <w:tcPr>
                        <w:tcW w:w="642" w:type="dxa"/>
                        <w:tcBorders>
                          <w:bottom w:val="single" w:sz="8" w:space="0" w:color="C9D2CB"/>
                        </w:tcBorders>
                      </w:tcPr>
                      <w:p>
                        <w:pPr>
                          <w:pStyle w:val="TableParagraph"/>
                          <w:rPr>
                            <w:rFonts w:ascii="Times New Roman"/>
                            <w:sz w:val="18"/>
                          </w:rPr>
                        </w:pPr>
                      </w:p>
                    </w:tc>
                    <w:tc>
                      <w:tcPr>
                        <w:tcW w:w="8089" w:type="dxa"/>
                        <w:tcBorders>
                          <w:bottom w:val="single" w:sz="8" w:space="0" w:color="C9D2CB"/>
                        </w:tcBorders>
                      </w:tcPr>
                      <w:p>
                        <w:pPr>
                          <w:pStyle w:val="TableParagraph"/>
                          <w:spacing w:line="256" w:lineRule="exact"/>
                          <w:ind w:left="151"/>
                          <w:rPr>
                            <w:sz w:val="21"/>
                          </w:rPr>
                        </w:pPr>
                        <w:r>
                          <w:rPr>
                            <w:w w:val="105"/>
                            <w:sz w:val="21"/>
                          </w:rPr>
                          <w:t>unfair to exclude parties from seeking legal relief.</w:t>
                        </w:r>
                      </w:p>
                    </w:tc>
                  </w:tr>
                  <w:tr>
                    <w:trPr>
                      <w:trHeight w:val="307" w:hRule="atLeast"/>
                    </w:trPr>
                    <w:tc>
                      <w:tcPr>
                        <w:tcW w:w="642" w:type="dxa"/>
                        <w:tcBorders>
                          <w:top w:val="single" w:sz="8" w:space="0" w:color="C9D2CB"/>
                        </w:tcBorders>
                      </w:tcPr>
                      <w:p>
                        <w:pPr>
                          <w:pStyle w:val="TableParagraph"/>
                          <w:spacing w:before="11"/>
                          <w:rPr>
                            <w:b/>
                            <w:sz w:val="11"/>
                          </w:rPr>
                        </w:pPr>
                      </w:p>
                      <w:p>
                        <w:pPr>
                          <w:pStyle w:val="TableParagraph"/>
                          <w:spacing w:line="141" w:lineRule="exact" w:before="1"/>
                          <w:rPr>
                            <w:sz w:val="13"/>
                          </w:rPr>
                        </w:pPr>
                        <w:r>
                          <w:rPr>
                            <w:w w:val="110"/>
                            <w:sz w:val="13"/>
                          </w:rPr>
                          <w:t>223</w:t>
                        </w:r>
                      </w:p>
                    </w:tc>
                    <w:tc>
                      <w:tcPr>
                        <w:tcW w:w="8089" w:type="dxa"/>
                        <w:tcBorders>
                          <w:top w:val="single" w:sz="8" w:space="0" w:color="C9D2CB"/>
                        </w:tcBorders>
                      </w:tcPr>
                      <w:p>
                        <w:pPr>
                          <w:pStyle w:val="TableParagraph"/>
                          <w:spacing w:before="11"/>
                          <w:rPr>
                            <w:b/>
                            <w:sz w:val="11"/>
                          </w:rPr>
                        </w:pPr>
                      </w:p>
                      <w:p>
                        <w:pPr>
                          <w:pStyle w:val="TableParagraph"/>
                          <w:spacing w:line="141" w:lineRule="exact" w:before="1"/>
                          <w:ind w:left="151"/>
                          <w:rPr>
                            <w:sz w:val="13"/>
                          </w:rPr>
                        </w:pPr>
                        <w:r>
                          <w:rPr>
                            <w:w w:val="105"/>
                            <w:sz w:val="13"/>
                          </w:rPr>
                          <w:t>Submission 12 (Dr Gregory Moore OAM).</w:t>
                        </w:r>
                      </w:p>
                    </w:tc>
                  </w:tr>
                  <w:tr>
                    <w:trPr>
                      <w:trHeight w:val="159" w:hRule="atLeast"/>
                    </w:trPr>
                    <w:tc>
                      <w:tcPr>
                        <w:tcW w:w="642" w:type="dxa"/>
                      </w:tcPr>
                      <w:p>
                        <w:pPr>
                          <w:pStyle w:val="TableParagraph"/>
                          <w:spacing w:line="140" w:lineRule="exact"/>
                          <w:rPr>
                            <w:sz w:val="13"/>
                          </w:rPr>
                        </w:pPr>
                        <w:r>
                          <w:rPr>
                            <w:w w:val="110"/>
                            <w:sz w:val="13"/>
                          </w:rPr>
                          <w:t>224</w:t>
                        </w:r>
                      </w:p>
                    </w:tc>
                    <w:tc>
                      <w:tcPr>
                        <w:tcW w:w="8089" w:type="dxa"/>
                      </w:tcPr>
                      <w:p>
                        <w:pPr>
                          <w:pStyle w:val="TableParagraph"/>
                          <w:spacing w:line="140" w:lineRule="exact"/>
                          <w:ind w:left="151"/>
                          <w:rPr>
                            <w:sz w:val="13"/>
                          </w:rPr>
                        </w:pPr>
                        <w:r>
                          <w:rPr>
                            <w:w w:val="105"/>
                            <w:sz w:val="13"/>
                          </w:rPr>
                          <w:t>Buttress roots are roots that support the trunk of a tree, providing mechanical stability. These roots can extend above the ground and</w:t>
                        </w:r>
                      </w:p>
                    </w:tc>
                  </w:tr>
                  <w:tr>
                    <w:trPr>
                      <w:trHeight w:val="320" w:hRule="atLeast"/>
                    </w:trPr>
                    <w:tc>
                      <w:tcPr>
                        <w:tcW w:w="642" w:type="dxa"/>
                      </w:tcPr>
                      <w:p>
                        <w:pPr>
                          <w:pStyle w:val="TableParagraph"/>
                          <w:rPr>
                            <w:b/>
                            <w:sz w:val="13"/>
                          </w:rPr>
                        </w:pPr>
                      </w:p>
                      <w:p>
                        <w:pPr>
                          <w:pStyle w:val="TableParagraph"/>
                          <w:spacing w:line="141" w:lineRule="exact" w:before="1"/>
                          <w:rPr>
                            <w:sz w:val="13"/>
                          </w:rPr>
                        </w:pPr>
                        <w:r>
                          <w:rPr>
                            <w:w w:val="110"/>
                            <w:sz w:val="13"/>
                          </w:rPr>
                          <w:t>225</w:t>
                        </w:r>
                      </w:p>
                    </w:tc>
                    <w:tc>
                      <w:tcPr>
                        <w:tcW w:w="8089" w:type="dxa"/>
                      </w:tcPr>
                      <w:p>
                        <w:pPr>
                          <w:pStyle w:val="TableParagraph"/>
                          <w:spacing w:line="158" w:lineRule="exact"/>
                          <w:ind w:left="151"/>
                          <w:rPr>
                            <w:sz w:val="13"/>
                          </w:rPr>
                        </w:pPr>
                        <w:r>
                          <w:rPr>
                            <w:w w:val="105"/>
                            <w:sz w:val="13"/>
                          </w:rPr>
                          <w:t>sometimes many metres up the tree: Peter Thomas, </w:t>
                        </w:r>
                        <w:r>
                          <w:rPr>
                            <w:i/>
                            <w:w w:val="105"/>
                            <w:sz w:val="13"/>
                          </w:rPr>
                          <w:t>Trees: Their Natural History </w:t>
                        </w:r>
                        <w:r>
                          <w:rPr>
                            <w:w w:val="105"/>
                            <w:sz w:val="13"/>
                          </w:rPr>
                          <w:t>(Cambridge University Press, 2000) 108.</w:t>
                        </w:r>
                      </w:p>
                      <w:p>
                        <w:pPr>
                          <w:pStyle w:val="TableParagraph"/>
                          <w:spacing w:line="141" w:lineRule="exact" w:before="1"/>
                          <w:ind w:left="151"/>
                          <w:rPr>
                            <w:sz w:val="13"/>
                          </w:rPr>
                        </w:pPr>
                        <w:r>
                          <w:rPr>
                            <w:w w:val="105"/>
                            <w:sz w:val="13"/>
                          </w:rPr>
                          <w:t>Confidential submission.</w:t>
                        </w:r>
                      </w:p>
                    </w:tc>
                  </w:tr>
                  <w:tr>
                    <w:trPr>
                      <w:trHeight w:val="160" w:hRule="atLeast"/>
                    </w:trPr>
                    <w:tc>
                      <w:tcPr>
                        <w:tcW w:w="642" w:type="dxa"/>
                      </w:tcPr>
                      <w:p>
                        <w:pPr>
                          <w:pStyle w:val="TableParagraph"/>
                          <w:spacing w:line="140" w:lineRule="exact"/>
                          <w:rPr>
                            <w:sz w:val="13"/>
                          </w:rPr>
                        </w:pPr>
                        <w:r>
                          <w:rPr>
                            <w:w w:val="110"/>
                            <w:sz w:val="13"/>
                          </w:rPr>
                          <w:t>226</w:t>
                        </w:r>
                      </w:p>
                    </w:tc>
                    <w:tc>
                      <w:tcPr>
                        <w:tcW w:w="8089" w:type="dxa"/>
                      </w:tcPr>
                      <w:p>
                        <w:pPr>
                          <w:pStyle w:val="TableParagraph"/>
                          <w:spacing w:line="140" w:lineRule="exact"/>
                          <w:ind w:left="151"/>
                          <w:rPr>
                            <w:sz w:val="13"/>
                          </w:rPr>
                        </w:pPr>
                        <w:r>
                          <w:rPr>
                            <w:w w:val="105"/>
                            <w:sz w:val="13"/>
                          </w:rPr>
                          <w:t>Confidential submission.</w:t>
                        </w:r>
                      </w:p>
                    </w:tc>
                  </w:tr>
                  <w:tr>
                    <w:trPr>
                      <w:trHeight w:val="160" w:hRule="atLeast"/>
                    </w:trPr>
                    <w:tc>
                      <w:tcPr>
                        <w:tcW w:w="642" w:type="dxa"/>
                      </w:tcPr>
                      <w:p>
                        <w:pPr>
                          <w:pStyle w:val="TableParagraph"/>
                          <w:spacing w:line="140" w:lineRule="exact"/>
                          <w:rPr>
                            <w:sz w:val="13"/>
                          </w:rPr>
                        </w:pPr>
                        <w:r>
                          <w:rPr>
                            <w:w w:val="110"/>
                            <w:sz w:val="13"/>
                          </w:rPr>
                          <w:t>227</w:t>
                        </w:r>
                      </w:p>
                    </w:tc>
                    <w:tc>
                      <w:tcPr>
                        <w:tcW w:w="8089" w:type="dxa"/>
                      </w:tcPr>
                      <w:p>
                        <w:pPr>
                          <w:pStyle w:val="TableParagraph"/>
                          <w:spacing w:line="140" w:lineRule="exact"/>
                          <w:ind w:left="151"/>
                          <w:rPr>
                            <w:sz w:val="13"/>
                          </w:rPr>
                        </w:pPr>
                        <w:r>
                          <w:rPr>
                            <w:w w:val="105"/>
                            <w:sz w:val="13"/>
                          </w:rPr>
                          <w:t>Submission 12 (Dr Gregory Moore OAM).</w:t>
                        </w:r>
                      </w:p>
                    </w:tc>
                  </w:tr>
                  <w:tr>
                    <w:trPr>
                      <w:trHeight w:val="160" w:hRule="atLeast"/>
                    </w:trPr>
                    <w:tc>
                      <w:tcPr>
                        <w:tcW w:w="642" w:type="dxa"/>
                      </w:tcPr>
                      <w:p>
                        <w:pPr>
                          <w:pStyle w:val="TableParagraph"/>
                          <w:spacing w:line="140" w:lineRule="exact"/>
                          <w:rPr>
                            <w:sz w:val="13"/>
                          </w:rPr>
                        </w:pPr>
                        <w:r>
                          <w:rPr>
                            <w:w w:val="110"/>
                            <w:sz w:val="13"/>
                          </w:rPr>
                          <w:t>228</w:t>
                        </w:r>
                      </w:p>
                    </w:tc>
                    <w:tc>
                      <w:tcPr>
                        <w:tcW w:w="8089" w:type="dxa"/>
                      </w:tcPr>
                      <w:p>
                        <w:pPr>
                          <w:pStyle w:val="TableParagraph"/>
                          <w:spacing w:line="140" w:lineRule="exact"/>
                          <w:ind w:left="151"/>
                          <w:rPr>
                            <w:sz w:val="13"/>
                          </w:rPr>
                        </w:pPr>
                        <w:r>
                          <w:rPr>
                            <w:w w:val="105"/>
                            <w:sz w:val="13"/>
                          </w:rPr>
                          <w:t>Submissions 10 (Professor Phillip Hamilton), 19 (Name withheld).</w:t>
                        </w:r>
                      </w:p>
                    </w:tc>
                  </w:tr>
                  <w:tr>
                    <w:trPr>
                      <w:trHeight w:val="160" w:hRule="atLeast"/>
                    </w:trPr>
                    <w:tc>
                      <w:tcPr>
                        <w:tcW w:w="642" w:type="dxa"/>
                      </w:tcPr>
                      <w:p>
                        <w:pPr>
                          <w:pStyle w:val="TableParagraph"/>
                          <w:spacing w:line="140" w:lineRule="exact"/>
                          <w:rPr>
                            <w:sz w:val="13"/>
                          </w:rPr>
                        </w:pPr>
                        <w:r>
                          <w:rPr>
                            <w:w w:val="110"/>
                            <w:sz w:val="13"/>
                          </w:rPr>
                          <w:t>229</w:t>
                        </w:r>
                      </w:p>
                    </w:tc>
                    <w:tc>
                      <w:tcPr>
                        <w:tcW w:w="8089" w:type="dxa"/>
                      </w:tcPr>
                      <w:p>
                        <w:pPr>
                          <w:pStyle w:val="TableParagraph"/>
                          <w:spacing w:line="140" w:lineRule="exact"/>
                          <w:ind w:left="151"/>
                          <w:rPr>
                            <w:sz w:val="13"/>
                          </w:rPr>
                        </w:pPr>
                        <w:r>
                          <w:rPr>
                            <w:w w:val="105"/>
                            <w:sz w:val="13"/>
                          </w:rPr>
                          <w:t>Submission 23 (Name withheld).</w:t>
                        </w:r>
                      </w:p>
                    </w:tc>
                  </w:tr>
                  <w:tr>
                    <w:trPr>
                      <w:trHeight w:val="160" w:hRule="atLeast"/>
                    </w:trPr>
                    <w:tc>
                      <w:tcPr>
                        <w:tcW w:w="642" w:type="dxa"/>
                      </w:tcPr>
                      <w:p>
                        <w:pPr>
                          <w:pStyle w:val="TableParagraph"/>
                          <w:spacing w:line="140" w:lineRule="exact"/>
                          <w:rPr>
                            <w:sz w:val="13"/>
                          </w:rPr>
                        </w:pPr>
                        <w:r>
                          <w:rPr>
                            <w:w w:val="110"/>
                            <w:sz w:val="13"/>
                          </w:rPr>
                          <w:t>230</w:t>
                        </w:r>
                      </w:p>
                    </w:tc>
                    <w:tc>
                      <w:tcPr>
                        <w:tcW w:w="8089" w:type="dxa"/>
                      </w:tcPr>
                      <w:p>
                        <w:pPr>
                          <w:pStyle w:val="TableParagraph"/>
                          <w:spacing w:line="140" w:lineRule="exact"/>
                          <w:ind w:left="151"/>
                          <w:rPr>
                            <w:sz w:val="13"/>
                          </w:rPr>
                        </w:pPr>
                        <w:r>
                          <w:rPr>
                            <w:w w:val="105"/>
                            <w:sz w:val="13"/>
                          </w:rPr>
                          <w:t>Submission 4 (Name withheld).</w:t>
                        </w:r>
                      </w:p>
                    </w:tc>
                  </w:tr>
                  <w:tr>
                    <w:trPr>
                      <w:trHeight w:val="160" w:hRule="atLeast"/>
                    </w:trPr>
                    <w:tc>
                      <w:tcPr>
                        <w:tcW w:w="642" w:type="dxa"/>
                      </w:tcPr>
                      <w:p>
                        <w:pPr>
                          <w:pStyle w:val="TableParagraph"/>
                          <w:spacing w:line="140" w:lineRule="exact"/>
                          <w:rPr>
                            <w:sz w:val="13"/>
                          </w:rPr>
                        </w:pPr>
                        <w:r>
                          <w:rPr>
                            <w:w w:val="110"/>
                            <w:sz w:val="13"/>
                          </w:rPr>
                          <w:t>231</w:t>
                        </w:r>
                      </w:p>
                    </w:tc>
                    <w:tc>
                      <w:tcPr>
                        <w:tcW w:w="8089" w:type="dxa"/>
                      </w:tcPr>
                      <w:p>
                        <w:pPr>
                          <w:pStyle w:val="TableParagraph"/>
                          <w:spacing w:line="140" w:lineRule="exact"/>
                          <w:ind w:left="151"/>
                          <w:rPr>
                            <w:sz w:val="13"/>
                          </w:rPr>
                        </w:pPr>
                        <w:r>
                          <w:rPr>
                            <w:w w:val="105"/>
                            <w:sz w:val="13"/>
                          </w:rPr>
                          <w:t>See, eg, submission 12 (Dr Gregory Moore OAM).</w:t>
                        </w:r>
                      </w:p>
                    </w:tc>
                  </w:tr>
                  <w:tr>
                    <w:trPr>
                      <w:trHeight w:val="160" w:hRule="atLeast"/>
                    </w:trPr>
                    <w:tc>
                      <w:tcPr>
                        <w:tcW w:w="642" w:type="dxa"/>
                      </w:tcPr>
                      <w:p>
                        <w:pPr>
                          <w:pStyle w:val="TableParagraph"/>
                          <w:spacing w:line="140" w:lineRule="exact"/>
                          <w:rPr>
                            <w:sz w:val="13"/>
                          </w:rPr>
                        </w:pPr>
                        <w:r>
                          <w:rPr>
                            <w:w w:val="110"/>
                            <w:sz w:val="13"/>
                          </w:rPr>
                          <w:t>232</w:t>
                        </w:r>
                      </w:p>
                    </w:tc>
                    <w:tc>
                      <w:tcPr>
                        <w:tcW w:w="8089" w:type="dxa"/>
                      </w:tcPr>
                      <w:p>
                        <w:pPr>
                          <w:pStyle w:val="TableParagraph"/>
                          <w:spacing w:line="140" w:lineRule="exact"/>
                          <w:ind w:left="151"/>
                          <w:rPr>
                            <w:sz w:val="13"/>
                          </w:rPr>
                        </w:pPr>
                        <w:r>
                          <w:rPr>
                            <w:w w:val="105"/>
                            <w:sz w:val="13"/>
                          </w:rPr>
                          <w:t>Submission 9 (Dr Karen Smith).</w:t>
                        </w:r>
                      </w:p>
                    </w:tc>
                  </w:tr>
                  <w:tr>
                    <w:trPr>
                      <w:trHeight w:val="160" w:hRule="atLeast"/>
                    </w:trPr>
                    <w:tc>
                      <w:tcPr>
                        <w:tcW w:w="642" w:type="dxa"/>
                      </w:tcPr>
                      <w:p>
                        <w:pPr>
                          <w:pStyle w:val="TableParagraph"/>
                          <w:spacing w:line="140" w:lineRule="exact"/>
                          <w:rPr>
                            <w:sz w:val="13"/>
                          </w:rPr>
                        </w:pPr>
                        <w:r>
                          <w:rPr>
                            <w:w w:val="110"/>
                            <w:sz w:val="13"/>
                          </w:rPr>
                          <w:t>233</w:t>
                        </w:r>
                      </w:p>
                    </w:tc>
                    <w:tc>
                      <w:tcPr>
                        <w:tcW w:w="8089" w:type="dxa"/>
                      </w:tcPr>
                      <w:p>
                        <w:pPr>
                          <w:pStyle w:val="TableParagraph"/>
                          <w:spacing w:line="140" w:lineRule="exact"/>
                          <w:ind w:left="151"/>
                          <w:rPr>
                            <w:sz w:val="13"/>
                          </w:rPr>
                        </w:pPr>
                        <w:r>
                          <w:rPr>
                            <w:w w:val="105"/>
                            <w:sz w:val="13"/>
                          </w:rPr>
                          <w:t>For example, that the tree is in a zone included under the proposed Act and the tree is affecting the neighbour in ways that are captured</w:t>
                        </w:r>
                      </w:p>
                    </w:tc>
                  </w:tr>
                  <w:tr>
                    <w:trPr>
                      <w:trHeight w:val="315" w:hRule="atLeast"/>
                    </w:trPr>
                    <w:tc>
                      <w:tcPr>
                        <w:tcW w:w="642" w:type="dxa"/>
                      </w:tcPr>
                      <w:p>
                        <w:pPr>
                          <w:pStyle w:val="TableParagraph"/>
                          <w:rPr>
                            <w:b/>
                            <w:sz w:val="13"/>
                          </w:rPr>
                        </w:pPr>
                      </w:p>
                      <w:p>
                        <w:pPr>
                          <w:pStyle w:val="TableParagraph"/>
                          <w:spacing w:line="136" w:lineRule="exact"/>
                          <w:rPr>
                            <w:sz w:val="13"/>
                          </w:rPr>
                        </w:pPr>
                        <w:r>
                          <w:rPr>
                            <w:w w:val="110"/>
                            <w:sz w:val="13"/>
                          </w:rPr>
                          <w:t>234</w:t>
                        </w:r>
                      </w:p>
                    </w:tc>
                    <w:tc>
                      <w:tcPr>
                        <w:tcW w:w="8089" w:type="dxa"/>
                      </w:tcPr>
                      <w:p>
                        <w:pPr>
                          <w:pStyle w:val="TableParagraph"/>
                          <w:spacing w:line="158" w:lineRule="exact"/>
                          <w:ind w:left="151"/>
                          <w:rPr>
                            <w:sz w:val="13"/>
                          </w:rPr>
                        </w:pPr>
                        <w:r>
                          <w:rPr>
                            <w:w w:val="105"/>
                            <w:sz w:val="13"/>
                          </w:rPr>
                          <w:t>under the proposed causes of action.</w:t>
                        </w:r>
                      </w:p>
                      <w:p>
                        <w:pPr>
                          <w:pStyle w:val="TableParagraph"/>
                          <w:spacing w:line="136" w:lineRule="exact" w:before="1"/>
                          <w:ind w:left="151"/>
                          <w:rPr>
                            <w:sz w:val="13"/>
                          </w:rPr>
                        </w:pPr>
                        <w:r>
                          <w:rPr>
                            <w:w w:val="105"/>
                            <w:sz w:val="13"/>
                          </w:rPr>
                          <w:t>Consultation 11 (Land and Environment Court of New South Wales).</w:t>
                        </w:r>
                      </w:p>
                    </w:tc>
                  </w:tr>
                </w:tbl>
                <w:p>
                  <w:pPr>
                    <w:pStyle w:val="BodyText"/>
                  </w:pPr>
                </w:p>
              </w:txbxContent>
            </v:textbox>
            <w10:wrap type="none"/>
          </v:shape>
        </w:pict>
      </w:r>
      <w:r>
        <w:rPr>
          <w:w w:val="110"/>
        </w:rPr>
        <w:t>The Commission’s conclusions—trees on boundaries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spacing w:before="216"/>
        <w:ind w:left="720" w:right="0" w:firstLine="0"/>
        <w:jc w:val="left"/>
        <w:rPr>
          <w:b/>
          <w:sz w:val="24"/>
        </w:rPr>
      </w:pPr>
      <w:r>
        <w:rPr>
          <w:b/>
          <w:color w:val="658464"/>
          <w:w w:val="110"/>
          <w:sz w:val="24"/>
        </w:rPr>
        <w:t>88</w:t>
      </w:r>
    </w:p>
    <w:p>
      <w:pPr>
        <w:spacing w:after="0"/>
        <w:jc w:val="left"/>
        <w:rPr>
          <w:sz w:val="24"/>
        </w:rPr>
        <w:sectPr>
          <w:pgSz w:w="11910" w:h="16840"/>
          <w:pgMar w:header="546" w:footer="0" w:top="1560" w:bottom="280" w:left="0" w:right="0"/>
        </w:sectPr>
      </w:pPr>
    </w:p>
    <w:p>
      <w:pPr>
        <w:pStyle w:val="BodyText"/>
        <w:rPr>
          <w:b/>
          <w:sz w:val="20"/>
        </w:rPr>
      </w:pPr>
    </w:p>
    <w:p>
      <w:pPr>
        <w:pStyle w:val="BodyText"/>
        <w:spacing w:before="9"/>
        <w:rPr>
          <w:b/>
          <w:sz w:val="18"/>
        </w:rPr>
      </w:pPr>
    </w:p>
    <w:p>
      <w:pPr>
        <w:pStyle w:val="ListParagraph"/>
        <w:numPr>
          <w:ilvl w:val="0"/>
          <w:numId w:val="64"/>
        </w:numPr>
        <w:tabs>
          <w:tab w:pos="2381" w:val="left" w:leader="none"/>
          <w:tab w:pos="2382" w:val="left" w:leader="none"/>
        </w:tabs>
        <w:spacing w:line="242" w:lineRule="auto" w:before="91" w:after="0"/>
        <w:ind w:left="2381" w:right="1653" w:hanging="794"/>
        <w:jc w:val="left"/>
        <w:rPr>
          <w:sz w:val="21"/>
        </w:rPr>
      </w:pPr>
      <w:bookmarkStart w:name="Parties to a tree dispute" w:id="120"/>
      <w:bookmarkEnd w:id="120"/>
      <w:r>
        <w:rPr/>
      </w:r>
      <w:bookmarkStart w:name="Parties to a tree dispute" w:id="121"/>
      <w:bookmarkEnd w:id="121"/>
      <w:r>
        <w:rPr>
          <w:sz w:val="21"/>
        </w:rPr>
        <w:t>I</w:t>
      </w:r>
      <w:r>
        <w:rPr>
          <w:sz w:val="21"/>
        </w:rPr>
        <w:t>n </w:t>
      </w:r>
      <w:r>
        <w:rPr>
          <w:spacing w:val="-3"/>
          <w:sz w:val="21"/>
        </w:rPr>
        <w:t>addition, </w:t>
      </w:r>
      <w:r>
        <w:rPr>
          <w:sz w:val="21"/>
        </w:rPr>
        <w:t>it would be </w:t>
      </w:r>
      <w:r>
        <w:rPr>
          <w:spacing w:val="-4"/>
          <w:sz w:val="21"/>
        </w:rPr>
        <w:t>unfair </w:t>
      </w:r>
      <w:r>
        <w:rPr>
          <w:spacing w:val="-3"/>
          <w:sz w:val="21"/>
        </w:rPr>
        <w:t>to </w:t>
      </w:r>
      <w:r>
        <w:rPr>
          <w:sz w:val="21"/>
        </w:rPr>
        <w:t>hold neighbours who </w:t>
      </w:r>
      <w:r>
        <w:rPr>
          <w:spacing w:val="-3"/>
          <w:sz w:val="21"/>
        </w:rPr>
        <w:t>share </w:t>
      </w:r>
      <w:r>
        <w:rPr>
          <w:sz w:val="21"/>
        </w:rPr>
        <w:t>a straddle tree </w:t>
      </w:r>
      <w:r>
        <w:rPr>
          <w:spacing w:val="-3"/>
          <w:sz w:val="21"/>
        </w:rPr>
        <w:t>automatically liable  </w:t>
      </w:r>
      <w:r>
        <w:rPr>
          <w:sz w:val="21"/>
        </w:rPr>
        <w:t>in equal portions </w:t>
      </w:r>
      <w:r>
        <w:rPr>
          <w:spacing w:val="-3"/>
          <w:sz w:val="21"/>
        </w:rPr>
        <w:t>for</w:t>
      </w:r>
      <w:r>
        <w:rPr>
          <w:spacing w:val="41"/>
          <w:sz w:val="21"/>
        </w:rPr>
        <w:t> </w:t>
      </w:r>
      <w:r>
        <w:rPr>
          <w:sz w:val="21"/>
        </w:rPr>
        <w:t>work specified in orders. This is the approach in the </w:t>
      </w:r>
      <w:r>
        <w:rPr>
          <w:i/>
          <w:sz w:val="21"/>
        </w:rPr>
        <w:t>Fences     </w:t>
      </w:r>
      <w:r>
        <w:rPr>
          <w:i/>
          <w:sz w:val="21"/>
        </w:rPr>
        <w:t>Act </w:t>
      </w:r>
      <w:r>
        <w:rPr>
          <w:i/>
          <w:spacing w:val="-4"/>
          <w:sz w:val="21"/>
        </w:rPr>
        <w:t>1968 </w:t>
      </w:r>
      <w:r>
        <w:rPr>
          <w:sz w:val="21"/>
        </w:rPr>
        <w:t>(Vic) </w:t>
      </w:r>
      <w:r>
        <w:rPr>
          <w:spacing w:val="-3"/>
          <w:sz w:val="21"/>
        </w:rPr>
        <w:t>for </w:t>
      </w:r>
      <w:r>
        <w:rPr>
          <w:sz w:val="21"/>
        </w:rPr>
        <w:t>neighbours who </w:t>
      </w:r>
      <w:r>
        <w:rPr>
          <w:spacing w:val="-3"/>
          <w:sz w:val="21"/>
        </w:rPr>
        <w:t>share </w:t>
      </w:r>
      <w:r>
        <w:rPr>
          <w:sz w:val="21"/>
        </w:rPr>
        <w:t>a </w:t>
      </w:r>
      <w:r>
        <w:rPr>
          <w:spacing w:val="-3"/>
          <w:sz w:val="21"/>
        </w:rPr>
        <w:t>dividing </w:t>
      </w:r>
      <w:r>
        <w:rPr>
          <w:spacing w:val="-4"/>
          <w:sz w:val="21"/>
        </w:rPr>
        <w:t>fence. Trees </w:t>
      </w:r>
      <w:r>
        <w:rPr>
          <w:spacing w:val="-3"/>
          <w:sz w:val="21"/>
        </w:rPr>
        <w:t>are </w:t>
      </w:r>
      <w:r>
        <w:rPr>
          <w:sz w:val="21"/>
        </w:rPr>
        <w:t>more complex and dynamic structures </w:t>
      </w:r>
      <w:r>
        <w:rPr>
          <w:spacing w:val="-3"/>
          <w:sz w:val="21"/>
        </w:rPr>
        <w:t>than fences. </w:t>
      </w:r>
      <w:r>
        <w:rPr>
          <w:spacing w:val="-4"/>
          <w:sz w:val="21"/>
        </w:rPr>
        <w:t>Accordingly, </w:t>
      </w:r>
      <w:r>
        <w:rPr>
          <w:spacing w:val="-3"/>
          <w:sz w:val="21"/>
        </w:rPr>
        <w:t>joint responsibility </w:t>
      </w:r>
      <w:r>
        <w:rPr>
          <w:sz w:val="21"/>
        </w:rPr>
        <w:t>in equal </w:t>
      </w:r>
      <w:r>
        <w:rPr>
          <w:spacing w:val="-3"/>
          <w:sz w:val="21"/>
        </w:rPr>
        <w:t>shares </w:t>
      </w:r>
      <w:r>
        <w:rPr>
          <w:sz w:val="21"/>
        </w:rPr>
        <w:t>without </w:t>
      </w:r>
      <w:r>
        <w:rPr>
          <w:spacing w:val="-3"/>
          <w:sz w:val="21"/>
        </w:rPr>
        <w:t>regard for </w:t>
      </w:r>
      <w:r>
        <w:rPr>
          <w:sz w:val="21"/>
        </w:rPr>
        <w:t>actual portions of the tree </w:t>
      </w:r>
      <w:r>
        <w:rPr>
          <w:spacing w:val="-3"/>
          <w:sz w:val="21"/>
        </w:rPr>
        <w:t>may </w:t>
      </w:r>
      <w:r>
        <w:rPr>
          <w:sz w:val="21"/>
        </w:rPr>
        <w:t>be </w:t>
      </w:r>
      <w:r>
        <w:rPr>
          <w:spacing w:val="-4"/>
          <w:sz w:val="21"/>
        </w:rPr>
        <w:t>unfair </w:t>
      </w:r>
      <w:r>
        <w:rPr>
          <w:sz w:val="21"/>
        </w:rPr>
        <w:t>and </w:t>
      </w:r>
      <w:r>
        <w:rPr>
          <w:spacing w:val="-3"/>
          <w:sz w:val="21"/>
        </w:rPr>
        <w:t>may unreasonably </w:t>
      </w:r>
      <w:r>
        <w:rPr>
          <w:sz w:val="21"/>
        </w:rPr>
        <w:t>burden  the person</w:t>
      </w:r>
      <w:r>
        <w:rPr>
          <w:spacing w:val="9"/>
          <w:sz w:val="21"/>
        </w:rPr>
        <w:t> </w:t>
      </w:r>
      <w:r>
        <w:rPr>
          <w:sz w:val="21"/>
        </w:rPr>
        <w:t>who</w:t>
      </w:r>
      <w:r>
        <w:rPr>
          <w:spacing w:val="10"/>
          <w:sz w:val="21"/>
        </w:rPr>
        <w:t> </w:t>
      </w:r>
      <w:r>
        <w:rPr>
          <w:spacing w:val="-2"/>
          <w:sz w:val="21"/>
        </w:rPr>
        <w:t>has</w:t>
      </w:r>
      <w:r>
        <w:rPr>
          <w:spacing w:val="9"/>
          <w:sz w:val="21"/>
        </w:rPr>
        <w:t> </w:t>
      </w:r>
      <w:r>
        <w:rPr>
          <w:sz w:val="21"/>
        </w:rPr>
        <w:t>a</w:t>
      </w:r>
      <w:r>
        <w:rPr>
          <w:spacing w:val="10"/>
          <w:sz w:val="21"/>
        </w:rPr>
        <w:t> </w:t>
      </w:r>
      <w:r>
        <w:rPr>
          <w:spacing w:val="-3"/>
          <w:sz w:val="21"/>
        </w:rPr>
        <w:t>smaller</w:t>
      </w:r>
      <w:r>
        <w:rPr>
          <w:spacing w:val="10"/>
          <w:sz w:val="21"/>
        </w:rPr>
        <w:t> </w:t>
      </w:r>
      <w:r>
        <w:rPr>
          <w:sz w:val="21"/>
        </w:rPr>
        <w:t>portion</w:t>
      </w:r>
      <w:r>
        <w:rPr>
          <w:spacing w:val="9"/>
          <w:sz w:val="21"/>
        </w:rPr>
        <w:t> </w:t>
      </w:r>
      <w:r>
        <w:rPr>
          <w:sz w:val="21"/>
        </w:rPr>
        <w:t>of</w:t>
      </w:r>
      <w:r>
        <w:rPr>
          <w:spacing w:val="10"/>
          <w:sz w:val="21"/>
        </w:rPr>
        <w:t> </w:t>
      </w:r>
      <w:r>
        <w:rPr>
          <w:sz w:val="21"/>
        </w:rPr>
        <w:t>the</w:t>
      </w:r>
      <w:r>
        <w:rPr>
          <w:spacing w:val="10"/>
          <w:sz w:val="21"/>
        </w:rPr>
        <w:t> </w:t>
      </w:r>
      <w:r>
        <w:rPr>
          <w:sz w:val="21"/>
        </w:rPr>
        <w:t>tree</w:t>
      </w:r>
      <w:r>
        <w:rPr>
          <w:spacing w:val="9"/>
          <w:sz w:val="21"/>
        </w:rPr>
        <w:t> </w:t>
      </w:r>
      <w:r>
        <w:rPr>
          <w:sz w:val="21"/>
        </w:rPr>
        <w:t>on</w:t>
      </w:r>
      <w:r>
        <w:rPr>
          <w:spacing w:val="10"/>
          <w:sz w:val="21"/>
        </w:rPr>
        <w:t> </w:t>
      </w:r>
      <w:r>
        <w:rPr>
          <w:sz w:val="21"/>
        </w:rPr>
        <w:t>their</w:t>
      </w:r>
      <w:r>
        <w:rPr>
          <w:spacing w:val="10"/>
          <w:sz w:val="21"/>
        </w:rPr>
        <w:t> </w:t>
      </w:r>
      <w:r>
        <w:rPr>
          <w:spacing w:val="-3"/>
          <w:sz w:val="21"/>
        </w:rPr>
        <w:t>land.</w:t>
      </w:r>
    </w:p>
    <w:p>
      <w:pPr>
        <w:pStyle w:val="ListParagraph"/>
        <w:numPr>
          <w:ilvl w:val="0"/>
          <w:numId w:val="64"/>
        </w:numPr>
        <w:tabs>
          <w:tab w:pos="2381" w:val="left" w:leader="none"/>
          <w:tab w:pos="2382" w:val="left" w:leader="none"/>
        </w:tabs>
        <w:spacing w:line="242" w:lineRule="auto" w:before="127" w:after="0"/>
        <w:ind w:left="2381" w:right="1919" w:hanging="794"/>
        <w:jc w:val="left"/>
        <w:rPr>
          <w:sz w:val="21"/>
        </w:rPr>
      </w:pPr>
      <w:r>
        <w:rPr>
          <w:sz w:val="21"/>
        </w:rPr>
        <w:t>A </w:t>
      </w:r>
      <w:r>
        <w:rPr>
          <w:spacing w:val="-4"/>
          <w:sz w:val="21"/>
        </w:rPr>
        <w:t>fairer </w:t>
      </w:r>
      <w:r>
        <w:rPr>
          <w:sz w:val="21"/>
        </w:rPr>
        <w:t>approach would be </w:t>
      </w:r>
      <w:r>
        <w:rPr>
          <w:spacing w:val="-3"/>
          <w:sz w:val="21"/>
        </w:rPr>
        <w:t>for </w:t>
      </w:r>
      <w:r>
        <w:rPr>
          <w:sz w:val="21"/>
        </w:rPr>
        <w:t>the decision </w:t>
      </w:r>
      <w:r>
        <w:rPr>
          <w:spacing w:val="-4"/>
          <w:sz w:val="21"/>
        </w:rPr>
        <w:t>maker </w:t>
      </w:r>
      <w:r>
        <w:rPr>
          <w:spacing w:val="-3"/>
          <w:sz w:val="21"/>
        </w:rPr>
        <w:t>to consider </w:t>
      </w:r>
      <w:r>
        <w:rPr>
          <w:sz w:val="21"/>
        </w:rPr>
        <w:t>the proportions of ownership together with </w:t>
      </w:r>
      <w:r>
        <w:rPr>
          <w:spacing w:val="-3"/>
          <w:sz w:val="21"/>
        </w:rPr>
        <w:t>any  </w:t>
      </w:r>
      <w:r>
        <w:rPr>
          <w:sz w:val="21"/>
        </w:rPr>
        <w:t>other </w:t>
      </w:r>
      <w:r>
        <w:rPr>
          <w:spacing w:val="-3"/>
          <w:sz w:val="21"/>
        </w:rPr>
        <w:t>relevant</w:t>
      </w:r>
      <w:r>
        <w:rPr>
          <w:spacing w:val="41"/>
          <w:sz w:val="21"/>
        </w:rPr>
        <w:t> </w:t>
      </w:r>
      <w:r>
        <w:rPr>
          <w:sz w:val="21"/>
        </w:rPr>
        <w:t>factors when </w:t>
      </w:r>
      <w:r>
        <w:rPr>
          <w:spacing w:val="-3"/>
          <w:sz w:val="21"/>
        </w:rPr>
        <w:t>making  </w:t>
      </w:r>
      <w:r>
        <w:rPr>
          <w:sz w:val="21"/>
        </w:rPr>
        <w:t>orders. For </w:t>
      </w:r>
      <w:r>
        <w:rPr>
          <w:spacing w:val="-3"/>
          <w:sz w:val="21"/>
        </w:rPr>
        <w:t>example,  </w:t>
      </w:r>
      <w:r>
        <w:rPr>
          <w:sz w:val="21"/>
        </w:rPr>
        <w:t>if an order specified tree works </w:t>
      </w:r>
      <w:r>
        <w:rPr>
          <w:spacing w:val="-3"/>
          <w:sz w:val="21"/>
        </w:rPr>
        <w:t>totalling </w:t>
      </w:r>
      <w:r>
        <w:rPr>
          <w:spacing w:val="-4"/>
          <w:sz w:val="21"/>
        </w:rPr>
        <w:t>$1000, </w:t>
      </w:r>
      <w:r>
        <w:rPr>
          <w:sz w:val="21"/>
        </w:rPr>
        <w:t>the </w:t>
      </w:r>
      <w:r>
        <w:rPr>
          <w:spacing w:val="-3"/>
          <w:sz w:val="21"/>
        </w:rPr>
        <w:t>neighbour </w:t>
      </w:r>
      <w:r>
        <w:rPr>
          <w:sz w:val="21"/>
        </w:rPr>
        <w:t>with 60 per </w:t>
      </w:r>
      <w:r>
        <w:rPr>
          <w:spacing w:val="-3"/>
          <w:sz w:val="21"/>
        </w:rPr>
        <w:t>cent </w:t>
      </w:r>
      <w:r>
        <w:rPr>
          <w:sz w:val="21"/>
        </w:rPr>
        <w:t>of the  tree</w:t>
      </w:r>
      <w:r>
        <w:rPr>
          <w:spacing w:val="23"/>
          <w:sz w:val="21"/>
        </w:rPr>
        <w:t> </w:t>
      </w:r>
      <w:r>
        <w:rPr>
          <w:sz w:val="21"/>
        </w:rPr>
        <w:t>on</w:t>
      </w:r>
      <w:r>
        <w:rPr>
          <w:spacing w:val="23"/>
          <w:sz w:val="21"/>
        </w:rPr>
        <w:t> </w:t>
      </w:r>
      <w:r>
        <w:rPr>
          <w:sz w:val="21"/>
        </w:rPr>
        <w:t>their</w:t>
      </w:r>
      <w:r>
        <w:rPr>
          <w:spacing w:val="24"/>
          <w:sz w:val="21"/>
        </w:rPr>
        <w:t> </w:t>
      </w:r>
      <w:r>
        <w:rPr>
          <w:spacing w:val="-3"/>
          <w:sz w:val="21"/>
        </w:rPr>
        <w:t>land</w:t>
      </w:r>
      <w:r>
        <w:rPr>
          <w:spacing w:val="23"/>
          <w:sz w:val="21"/>
        </w:rPr>
        <w:t> </w:t>
      </w:r>
      <w:r>
        <w:rPr>
          <w:sz w:val="21"/>
        </w:rPr>
        <w:t>would</w:t>
      </w:r>
      <w:r>
        <w:rPr>
          <w:spacing w:val="24"/>
          <w:sz w:val="21"/>
        </w:rPr>
        <w:t> </w:t>
      </w:r>
      <w:r>
        <w:rPr>
          <w:sz w:val="21"/>
        </w:rPr>
        <w:t>be</w:t>
      </w:r>
      <w:r>
        <w:rPr>
          <w:spacing w:val="23"/>
          <w:sz w:val="21"/>
        </w:rPr>
        <w:t> </w:t>
      </w:r>
      <w:r>
        <w:rPr>
          <w:spacing w:val="-3"/>
          <w:sz w:val="21"/>
        </w:rPr>
        <w:t>liable</w:t>
      </w:r>
      <w:r>
        <w:rPr>
          <w:spacing w:val="23"/>
          <w:sz w:val="21"/>
        </w:rPr>
        <w:t> </w:t>
      </w:r>
      <w:r>
        <w:rPr>
          <w:spacing w:val="-3"/>
          <w:sz w:val="21"/>
        </w:rPr>
        <w:t>to</w:t>
      </w:r>
      <w:r>
        <w:rPr>
          <w:spacing w:val="24"/>
          <w:sz w:val="21"/>
        </w:rPr>
        <w:t> </w:t>
      </w:r>
      <w:r>
        <w:rPr>
          <w:spacing w:val="-3"/>
          <w:sz w:val="21"/>
        </w:rPr>
        <w:t>contribute</w:t>
      </w:r>
      <w:r>
        <w:rPr>
          <w:spacing w:val="23"/>
          <w:sz w:val="21"/>
        </w:rPr>
        <w:t> </w:t>
      </w:r>
      <w:r>
        <w:rPr>
          <w:spacing w:val="2"/>
          <w:sz w:val="21"/>
        </w:rPr>
        <w:t>$600;</w:t>
      </w:r>
      <w:r>
        <w:rPr>
          <w:spacing w:val="24"/>
          <w:sz w:val="21"/>
        </w:rPr>
        <w:t> </w:t>
      </w:r>
      <w:r>
        <w:rPr>
          <w:sz w:val="21"/>
        </w:rPr>
        <w:t>the</w:t>
      </w:r>
      <w:r>
        <w:rPr>
          <w:spacing w:val="23"/>
          <w:sz w:val="21"/>
        </w:rPr>
        <w:t> </w:t>
      </w:r>
      <w:r>
        <w:rPr>
          <w:spacing w:val="-3"/>
          <w:sz w:val="21"/>
        </w:rPr>
        <w:t>neighbour</w:t>
      </w:r>
      <w:r>
        <w:rPr>
          <w:spacing w:val="23"/>
          <w:sz w:val="21"/>
        </w:rPr>
        <w:t> </w:t>
      </w:r>
      <w:r>
        <w:rPr>
          <w:sz w:val="21"/>
        </w:rPr>
        <w:t>with</w:t>
      </w:r>
      <w:r>
        <w:rPr>
          <w:spacing w:val="24"/>
          <w:sz w:val="21"/>
        </w:rPr>
        <w:t> </w:t>
      </w:r>
      <w:r>
        <w:rPr>
          <w:sz w:val="21"/>
        </w:rPr>
        <w:t>40</w:t>
      </w:r>
      <w:r>
        <w:rPr>
          <w:spacing w:val="23"/>
          <w:sz w:val="21"/>
        </w:rPr>
        <w:t> </w:t>
      </w:r>
      <w:r>
        <w:rPr>
          <w:sz w:val="21"/>
        </w:rPr>
        <w:t>per</w:t>
      </w:r>
      <w:r>
        <w:rPr>
          <w:spacing w:val="24"/>
          <w:sz w:val="21"/>
        </w:rPr>
        <w:t> </w:t>
      </w:r>
      <w:r>
        <w:rPr>
          <w:spacing w:val="-3"/>
          <w:sz w:val="21"/>
        </w:rPr>
        <w:t>cent,</w:t>
      </w:r>
    </w:p>
    <w:p>
      <w:pPr>
        <w:pStyle w:val="BodyText"/>
        <w:spacing w:line="242" w:lineRule="auto" w:before="4"/>
        <w:ind w:left="2381" w:right="1689"/>
        <w:jc w:val="both"/>
      </w:pPr>
      <w:r>
        <w:rPr/>
        <w:t>$400. If the tree is located on properties in equal proportions, the costs would be shared equally.</w:t>
      </w:r>
    </w:p>
    <w:p>
      <w:pPr>
        <w:pStyle w:val="ListParagraph"/>
        <w:numPr>
          <w:ilvl w:val="0"/>
          <w:numId w:val="64"/>
        </w:numPr>
        <w:tabs>
          <w:tab w:pos="2381" w:val="left" w:leader="none"/>
          <w:tab w:pos="2382" w:val="left" w:leader="none"/>
        </w:tabs>
        <w:spacing w:line="242" w:lineRule="auto" w:before="123" w:after="0"/>
        <w:ind w:left="2381" w:right="1627" w:hanging="794"/>
        <w:jc w:val="left"/>
        <w:rPr>
          <w:sz w:val="21"/>
        </w:rPr>
      </w:pPr>
      <w:r>
        <w:rPr>
          <w:sz w:val="21"/>
        </w:rPr>
        <w:t>Proportional ownership of the tree should be assessed by </w:t>
      </w:r>
      <w:r>
        <w:rPr>
          <w:spacing w:val="-3"/>
          <w:sz w:val="21"/>
        </w:rPr>
        <w:t>reference to </w:t>
      </w:r>
      <w:r>
        <w:rPr>
          <w:sz w:val="21"/>
        </w:rPr>
        <w:t>the proportions of ownership of the base of the trunk (or stem) at </w:t>
      </w:r>
      <w:r>
        <w:rPr>
          <w:spacing w:val="-3"/>
          <w:sz w:val="21"/>
        </w:rPr>
        <w:t>ground level. </w:t>
      </w:r>
      <w:r>
        <w:rPr>
          <w:sz w:val="21"/>
        </w:rPr>
        <w:t>This reflects the approach in New South </w:t>
      </w:r>
      <w:r>
        <w:rPr>
          <w:spacing w:val="-3"/>
          <w:sz w:val="21"/>
        </w:rPr>
        <w:t>Wales, </w:t>
      </w:r>
      <w:r>
        <w:rPr>
          <w:spacing w:val="-5"/>
          <w:sz w:val="21"/>
        </w:rPr>
        <w:t>Tasmania </w:t>
      </w:r>
      <w:r>
        <w:rPr>
          <w:sz w:val="21"/>
        </w:rPr>
        <w:t>and </w:t>
      </w:r>
      <w:r>
        <w:rPr>
          <w:spacing w:val="-3"/>
          <w:sz w:val="21"/>
        </w:rPr>
        <w:t>Queensland </w:t>
      </w:r>
      <w:r>
        <w:rPr>
          <w:sz w:val="21"/>
        </w:rPr>
        <w:t>and also mirrors the </w:t>
      </w:r>
      <w:r>
        <w:rPr>
          <w:spacing w:val="-2"/>
          <w:sz w:val="21"/>
        </w:rPr>
        <w:t>common </w:t>
      </w:r>
      <w:r>
        <w:rPr>
          <w:sz w:val="21"/>
        </w:rPr>
        <w:t>law approach which</w:t>
      </w:r>
      <w:r>
        <w:rPr>
          <w:spacing w:val="14"/>
          <w:sz w:val="21"/>
        </w:rPr>
        <w:t> </w:t>
      </w:r>
      <w:r>
        <w:rPr>
          <w:spacing w:val="-3"/>
          <w:sz w:val="21"/>
        </w:rPr>
        <w:t>determines</w:t>
      </w:r>
      <w:r>
        <w:rPr>
          <w:spacing w:val="14"/>
          <w:sz w:val="21"/>
        </w:rPr>
        <w:t> </w:t>
      </w:r>
      <w:r>
        <w:rPr>
          <w:sz w:val="21"/>
        </w:rPr>
        <w:t>ownership</w:t>
      </w:r>
      <w:r>
        <w:rPr>
          <w:spacing w:val="14"/>
          <w:sz w:val="21"/>
        </w:rPr>
        <w:t> </w:t>
      </w:r>
      <w:r>
        <w:rPr>
          <w:sz w:val="21"/>
        </w:rPr>
        <w:t>based</w:t>
      </w:r>
      <w:r>
        <w:rPr>
          <w:spacing w:val="14"/>
          <w:sz w:val="21"/>
        </w:rPr>
        <w:t> </w:t>
      </w:r>
      <w:r>
        <w:rPr>
          <w:sz w:val="21"/>
        </w:rPr>
        <w:t>on</w:t>
      </w:r>
      <w:r>
        <w:rPr>
          <w:spacing w:val="14"/>
          <w:sz w:val="21"/>
        </w:rPr>
        <w:t> </w:t>
      </w:r>
      <w:r>
        <w:rPr>
          <w:sz w:val="21"/>
        </w:rPr>
        <w:t>the</w:t>
      </w:r>
      <w:r>
        <w:rPr>
          <w:spacing w:val="14"/>
          <w:sz w:val="21"/>
        </w:rPr>
        <w:t> </w:t>
      </w:r>
      <w:r>
        <w:rPr>
          <w:sz w:val="21"/>
        </w:rPr>
        <w:t>location</w:t>
      </w:r>
      <w:r>
        <w:rPr>
          <w:spacing w:val="14"/>
          <w:sz w:val="21"/>
        </w:rPr>
        <w:t> </w:t>
      </w:r>
      <w:r>
        <w:rPr>
          <w:sz w:val="21"/>
        </w:rPr>
        <w:t>of</w:t>
      </w:r>
      <w:r>
        <w:rPr>
          <w:spacing w:val="14"/>
          <w:sz w:val="21"/>
        </w:rPr>
        <w:t> </w:t>
      </w:r>
      <w:r>
        <w:rPr>
          <w:sz w:val="21"/>
        </w:rPr>
        <w:t>the</w:t>
      </w:r>
      <w:r>
        <w:rPr>
          <w:spacing w:val="15"/>
          <w:sz w:val="21"/>
        </w:rPr>
        <w:t> </w:t>
      </w:r>
      <w:r>
        <w:rPr>
          <w:sz w:val="21"/>
        </w:rPr>
        <w:t>trunk</w:t>
      </w:r>
      <w:r>
        <w:rPr>
          <w:spacing w:val="14"/>
          <w:sz w:val="21"/>
        </w:rPr>
        <w:t> </w:t>
      </w:r>
      <w:r>
        <w:rPr>
          <w:sz w:val="21"/>
        </w:rPr>
        <w:t>of</w:t>
      </w:r>
      <w:r>
        <w:rPr>
          <w:spacing w:val="14"/>
          <w:sz w:val="21"/>
        </w:rPr>
        <w:t> </w:t>
      </w:r>
      <w:r>
        <w:rPr>
          <w:sz w:val="21"/>
        </w:rPr>
        <w:t>a</w:t>
      </w:r>
      <w:r>
        <w:rPr>
          <w:spacing w:val="14"/>
          <w:sz w:val="21"/>
        </w:rPr>
        <w:t> </w:t>
      </w:r>
      <w:r>
        <w:rPr>
          <w:sz w:val="21"/>
        </w:rPr>
        <w:t>tree.</w:t>
      </w:r>
      <w:r>
        <w:rPr>
          <w:position w:val="7"/>
          <w:sz w:val="12"/>
        </w:rPr>
        <w:t>235</w:t>
      </w:r>
      <w:r>
        <w:rPr>
          <w:spacing w:val="9"/>
          <w:position w:val="7"/>
          <w:sz w:val="12"/>
        </w:rPr>
        <w:t> </w:t>
      </w:r>
      <w:r>
        <w:rPr>
          <w:sz w:val="21"/>
        </w:rPr>
        <w:t>It</w:t>
      </w:r>
      <w:r>
        <w:rPr>
          <w:spacing w:val="14"/>
          <w:sz w:val="21"/>
        </w:rPr>
        <w:t> </w:t>
      </w:r>
      <w:r>
        <w:rPr>
          <w:sz w:val="21"/>
        </w:rPr>
        <w:t>is</w:t>
      </w:r>
      <w:r>
        <w:rPr>
          <w:spacing w:val="14"/>
          <w:sz w:val="21"/>
        </w:rPr>
        <w:t> </w:t>
      </w:r>
      <w:r>
        <w:rPr>
          <w:spacing w:val="-2"/>
          <w:sz w:val="21"/>
        </w:rPr>
        <w:t>easier</w:t>
      </w:r>
    </w:p>
    <w:p>
      <w:pPr>
        <w:pStyle w:val="BodyText"/>
        <w:spacing w:line="242" w:lineRule="auto" w:before="4"/>
        <w:ind w:left="2381" w:right="1758"/>
        <w:jc w:val="both"/>
        <w:rPr>
          <w:sz w:val="12"/>
        </w:rPr>
      </w:pPr>
      <w:r>
        <w:rPr>
          <w:spacing w:val="-3"/>
          <w:w w:val="105"/>
        </w:rPr>
        <w:t>to determine </w:t>
      </w:r>
      <w:r>
        <w:rPr>
          <w:w w:val="105"/>
        </w:rPr>
        <w:t>the base of the trunk at </w:t>
      </w:r>
      <w:r>
        <w:rPr>
          <w:spacing w:val="-3"/>
          <w:w w:val="105"/>
        </w:rPr>
        <w:t>ground </w:t>
      </w:r>
      <w:r>
        <w:rPr>
          <w:w w:val="105"/>
        </w:rPr>
        <w:t>level </w:t>
      </w:r>
      <w:r>
        <w:rPr>
          <w:spacing w:val="-3"/>
          <w:w w:val="105"/>
        </w:rPr>
        <w:t>than </w:t>
      </w:r>
      <w:r>
        <w:rPr>
          <w:w w:val="105"/>
        </w:rPr>
        <w:t>the TPZ, root system or </w:t>
      </w:r>
      <w:r>
        <w:rPr>
          <w:spacing w:val="-4"/>
          <w:w w:val="105"/>
        </w:rPr>
        <w:t>canopy, </w:t>
      </w:r>
      <w:r>
        <w:rPr>
          <w:w w:val="105"/>
        </w:rPr>
        <w:t>which </w:t>
      </w:r>
      <w:r>
        <w:rPr>
          <w:spacing w:val="-3"/>
          <w:w w:val="105"/>
        </w:rPr>
        <w:t>may </w:t>
      </w:r>
      <w:r>
        <w:rPr>
          <w:w w:val="105"/>
        </w:rPr>
        <w:t>be difficult </w:t>
      </w:r>
      <w:r>
        <w:rPr>
          <w:spacing w:val="-3"/>
          <w:w w:val="105"/>
        </w:rPr>
        <w:t>to </w:t>
      </w:r>
      <w:r>
        <w:rPr>
          <w:w w:val="105"/>
        </w:rPr>
        <w:t>identify without </w:t>
      </w:r>
      <w:r>
        <w:rPr>
          <w:spacing w:val="-3"/>
          <w:w w:val="105"/>
        </w:rPr>
        <w:t>engaging </w:t>
      </w:r>
      <w:r>
        <w:rPr>
          <w:w w:val="105"/>
        </w:rPr>
        <w:t>an arborist. </w:t>
      </w:r>
      <w:r>
        <w:rPr>
          <w:spacing w:val="-4"/>
          <w:w w:val="105"/>
        </w:rPr>
        <w:t>Similarly, </w:t>
      </w:r>
      <w:r>
        <w:rPr>
          <w:spacing w:val="-3"/>
          <w:w w:val="105"/>
        </w:rPr>
        <w:t>any </w:t>
      </w:r>
      <w:r>
        <w:rPr>
          <w:w w:val="105"/>
        </w:rPr>
        <w:t>method of </w:t>
      </w:r>
      <w:r>
        <w:rPr>
          <w:spacing w:val="-3"/>
          <w:w w:val="105"/>
        </w:rPr>
        <w:t>determining </w:t>
      </w:r>
      <w:r>
        <w:rPr>
          <w:w w:val="105"/>
        </w:rPr>
        <w:t>proportions based on the </w:t>
      </w:r>
      <w:r>
        <w:rPr>
          <w:spacing w:val="-3"/>
          <w:w w:val="105"/>
        </w:rPr>
        <w:t>origin </w:t>
      </w:r>
      <w:r>
        <w:rPr>
          <w:w w:val="105"/>
        </w:rPr>
        <w:t>of the tree is </w:t>
      </w:r>
      <w:r>
        <w:rPr>
          <w:spacing w:val="-4"/>
          <w:w w:val="105"/>
        </w:rPr>
        <w:t>likely </w:t>
      </w:r>
      <w:r>
        <w:rPr>
          <w:spacing w:val="-3"/>
          <w:w w:val="105"/>
        </w:rPr>
        <w:t>to </w:t>
      </w:r>
      <w:r>
        <w:rPr>
          <w:w w:val="105"/>
        </w:rPr>
        <w:t>be too difficult. </w:t>
      </w:r>
      <w:r>
        <w:rPr>
          <w:w w:val="105"/>
          <w:position w:val="7"/>
          <w:sz w:val="12"/>
        </w:rPr>
        <w:t>236</w:t>
      </w:r>
    </w:p>
    <w:p>
      <w:pPr>
        <w:pStyle w:val="ListParagraph"/>
        <w:numPr>
          <w:ilvl w:val="0"/>
          <w:numId w:val="64"/>
        </w:numPr>
        <w:tabs>
          <w:tab w:pos="2380" w:val="left" w:leader="none"/>
          <w:tab w:pos="2381" w:val="left" w:leader="none"/>
        </w:tabs>
        <w:spacing w:line="242" w:lineRule="auto" w:before="123" w:after="0"/>
        <w:ind w:left="2381" w:right="1611" w:hanging="794"/>
        <w:jc w:val="left"/>
        <w:rPr>
          <w:sz w:val="21"/>
        </w:rPr>
      </w:pPr>
      <w:r>
        <w:rPr>
          <w:sz w:val="21"/>
        </w:rPr>
        <w:t>Where the boundary </w:t>
      </w:r>
      <w:r>
        <w:rPr>
          <w:spacing w:val="-3"/>
          <w:sz w:val="21"/>
        </w:rPr>
        <w:t>lines </w:t>
      </w:r>
      <w:r>
        <w:rPr>
          <w:sz w:val="21"/>
        </w:rPr>
        <w:t>or proportions </w:t>
      </w:r>
      <w:r>
        <w:rPr>
          <w:spacing w:val="-3"/>
          <w:sz w:val="21"/>
        </w:rPr>
        <w:t>are ambiguous  </w:t>
      </w:r>
      <w:r>
        <w:rPr>
          <w:sz w:val="21"/>
        </w:rPr>
        <w:t>due </w:t>
      </w:r>
      <w:r>
        <w:rPr>
          <w:spacing w:val="-3"/>
          <w:sz w:val="21"/>
        </w:rPr>
        <w:t>to</w:t>
      </w:r>
      <w:r>
        <w:rPr>
          <w:spacing w:val="41"/>
          <w:sz w:val="21"/>
        </w:rPr>
        <w:t> </w:t>
      </w:r>
      <w:r>
        <w:rPr>
          <w:sz w:val="21"/>
        </w:rPr>
        <w:t>the </w:t>
      </w:r>
      <w:r>
        <w:rPr>
          <w:spacing w:val="-3"/>
          <w:sz w:val="21"/>
        </w:rPr>
        <w:t>nature  </w:t>
      </w:r>
      <w:r>
        <w:rPr>
          <w:sz w:val="21"/>
        </w:rPr>
        <w:t>of the tree or the location of the </w:t>
      </w:r>
      <w:r>
        <w:rPr>
          <w:spacing w:val="-3"/>
          <w:sz w:val="21"/>
        </w:rPr>
        <w:t>boundary, </w:t>
      </w:r>
      <w:r>
        <w:rPr>
          <w:sz w:val="21"/>
        </w:rPr>
        <w:t>the </w:t>
      </w:r>
      <w:r>
        <w:rPr>
          <w:spacing w:val="-5"/>
          <w:sz w:val="21"/>
        </w:rPr>
        <w:t>Tribunal </w:t>
      </w:r>
      <w:r>
        <w:rPr>
          <w:spacing w:val="-3"/>
          <w:sz w:val="21"/>
        </w:rPr>
        <w:t>could  </w:t>
      </w:r>
      <w:r>
        <w:rPr>
          <w:sz w:val="21"/>
        </w:rPr>
        <w:t>direct parties </w:t>
      </w:r>
      <w:r>
        <w:rPr>
          <w:spacing w:val="-3"/>
          <w:sz w:val="21"/>
        </w:rPr>
        <w:t>to</w:t>
      </w:r>
      <w:r>
        <w:rPr>
          <w:spacing w:val="41"/>
          <w:sz w:val="21"/>
        </w:rPr>
        <w:t> </w:t>
      </w:r>
      <w:r>
        <w:rPr>
          <w:spacing w:val="-3"/>
          <w:sz w:val="21"/>
        </w:rPr>
        <w:t>have  </w:t>
      </w:r>
      <w:r>
        <w:rPr>
          <w:sz w:val="21"/>
        </w:rPr>
        <w:t>their </w:t>
      </w:r>
      <w:r>
        <w:rPr>
          <w:spacing w:val="-3"/>
          <w:sz w:val="21"/>
        </w:rPr>
        <w:t>land  </w:t>
      </w:r>
      <w:r>
        <w:rPr>
          <w:sz w:val="21"/>
        </w:rPr>
        <w:t>surveyed by a </w:t>
      </w:r>
      <w:r>
        <w:rPr>
          <w:spacing w:val="-3"/>
          <w:sz w:val="21"/>
        </w:rPr>
        <w:t>licensed </w:t>
      </w:r>
      <w:r>
        <w:rPr>
          <w:sz w:val="21"/>
        </w:rPr>
        <w:t>surveyor or the tree assessed by an arborist. If this did </w:t>
      </w:r>
      <w:r>
        <w:rPr>
          <w:spacing w:val="-2"/>
          <w:sz w:val="21"/>
        </w:rPr>
        <w:t>not </w:t>
      </w:r>
      <w:r>
        <w:rPr>
          <w:sz w:val="21"/>
        </w:rPr>
        <w:t>provide </w:t>
      </w:r>
      <w:r>
        <w:rPr>
          <w:spacing w:val="-3"/>
          <w:sz w:val="21"/>
        </w:rPr>
        <w:t>conclusive </w:t>
      </w:r>
      <w:r>
        <w:rPr>
          <w:sz w:val="21"/>
        </w:rPr>
        <w:t>results, a </w:t>
      </w:r>
      <w:r>
        <w:rPr>
          <w:spacing w:val="-3"/>
          <w:sz w:val="21"/>
        </w:rPr>
        <w:t>sensible </w:t>
      </w:r>
      <w:r>
        <w:rPr>
          <w:sz w:val="21"/>
        </w:rPr>
        <w:t>approach would be </w:t>
      </w:r>
      <w:r>
        <w:rPr>
          <w:spacing w:val="-3"/>
          <w:sz w:val="21"/>
        </w:rPr>
        <w:t>to </w:t>
      </w:r>
      <w:r>
        <w:rPr>
          <w:sz w:val="21"/>
        </w:rPr>
        <w:t>apportion </w:t>
      </w:r>
      <w:r>
        <w:rPr>
          <w:spacing w:val="-3"/>
          <w:sz w:val="21"/>
        </w:rPr>
        <w:t>liability</w:t>
      </w:r>
      <w:r>
        <w:rPr>
          <w:spacing w:val="11"/>
          <w:sz w:val="21"/>
        </w:rPr>
        <w:t> </w:t>
      </w:r>
      <w:r>
        <w:rPr>
          <w:spacing w:val="-4"/>
          <w:sz w:val="21"/>
        </w:rPr>
        <w:t>equally.</w:t>
      </w:r>
    </w:p>
    <w:p>
      <w:pPr>
        <w:pStyle w:val="ListParagraph"/>
        <w:numPr>
          <w:ilvl w:val="0"/>
          <w:numId w:val="64"/>
        </w:numPr>
        <w:tabs>
          <w:tab w:pos="2380" w:val="left" w:leader="none"/>
          <w:tab w:pos="2381" w:val="left" w:leader="none"/>
        </w:tabs>
        <w:spacing w:line="242" w:lineRule="auto" w:before="125" w:after="0"/>
        <w:ind w:left="2380" w:right="1631" w:hanging="793"/>
        <w:jc w:val="left"/>
        <w:rPr>
          <w:sz w:val="12"/>
        </w:rPr>
      </w:pPr>
      <w:r>
        <w:rPr>
          <w:sz w:val="21"/>
        </w:rPr>
        <w:t>Where a tree straddles the boundary of more </w:t>
      </w:r>
      <w:r>
        <w:rPr>
          <w:spacing w:val="-3"/>
          <w:sz w:val="21"/>
        </w:rPr>
        <w:t>than </w:t>
      </w:r>
      <w:r>
        <w:rPr>
          <w:sz w:val="21"/>
        </w:rPr>
        <w:t>two properties, an affected </w:t>
      </w:r>
      <w:r>
        <w:rPr>
          <w:spacing w:val="-3"/>
          <w:sz w:val="21"/>
        </w:rPr>
        <w:t>neighbour </w:t>
      </w:r>
      <w:r>
        <w:rPr>
          <w:sz w:val="21"/>
        </w:rPr>
        <w:t>should name </w:t>
      </w:r>
      <w:r>
        <w:rPr>
          <w:spacing w:val="-3"/>
          <w:sz w:val="21"/>
        </w:rPr>
        <w:t>all </w:t>
      </w:r>
      <w:r>
        <w:rPr>
          <w:sz w:val="21"/>
        </w:rPr>
        <w:t>owners in the application and provide evidence about proportional ownership by </w:t>
      </w:r>
      <w:r>
        <w:rPr>
          <w:spacing w:val="-3"/>
          <w:sz w:val="21"/>
        </w:rPr>
        <w:t>reference to </w:t>
      </w:r>
      <w:r>
        <w:rPr>
          <w:sz w:val="21"/>
        </w:rPr>
        <w:t>the tree </w:t>
      </w:r>
      <w:r>
        <w:rPr>
          <w:spacing w:val="-3"/>
          <w:sz w:val="21"/>
        </w:rPr>
        <w:t>trunk. </w:t>
      </w:r>
      <w:r>
        <w:rPr>
          <w:sz w:val="21"/>
        </w:rPr>
        <w:t>It </w:t>
      </w:r>
      <w:r>
        <w:rPr>
          <w:spacing w:val="-3"/>
          <w:sz w:val="21"/>
        </w:rPr>
        <w:t>will  </w:t>
      </w:r>
      <w:r>
        <w:rPr>
          <w:sz w:val="21"/>
        </w:rPr>
        <w:t>then be a matter </w:t>
      </w:r>
      <w:r>
        <w:rPr>
          <w:spacing w:val="-3"/>
          <w:sz w:val="21"/>
        </w:rPr>
        <w:t>for</w:t>
      </w:r>
      <w:r>
        <w:rPr>
          <w:spacing w:val="41"/>
          <w:sz w:val="21"/>
        </w:rPr>
        <w:t> </w:t>
      </w:r>
      <w:r>
        <w:rPr>
          <w:sz w:val="21"/>
        </w:rPr>
        <w:t>the </w:t>
      </w:r>
      <w:r>
        <w:rPr>
          <w:spacing w:val="-5"/>
          <w:sz w:val="21"/>
        </w:rPr>
        <w:t>Tribunal  </w:t>
      </w:r>
      <w:r>
        <w:rPr>
          <w:spacing w:val="-3"/>
          <w:sz w:val="21"/>
        </w:rPr>
        <w:t>to consider </w:t>
      </w:r>
      <w:r>
        <w:rPr>
          <w:sz w:val="21"/>
        </w:rPr>
        <w:t>who orders should be made </w:t>
      </w:r>
      <w:r>
        <w:rPr>
          <w:spacing w:val="-3"/>
          <w:sz w:val="21"/>
        </w:rPr>
        <w:t>against </w:t>
      </w:r>
      <w:r>
        <w:rPr>
          <w:sz w:val="21"/>
        </w:rPr>
        <w:t>and the proportion of</w:t>
      </w:r>
      <w:r>
        <w:rPr>
          <w:spacing w:val="24"/>
          <w:sz w:val="21"/>
        </w:rPr>
        <w:t> </w:t>
      </w:r>
      <w:r>
        <w:rPr>
          <w:spacing w:val="-3"/>
          <w:sz w:val="21"/>
        </w:rPr>
        <w:t>liability.</w:t>
      </w:r>
      <w:r>
        <w:rPr>
          <w:spacing w:val="-3"/>
          <w:position w:val="7"/>
          <w:sz w:val="12"/>
        </w:rPr>
        <w:t>237</w:t>
      </w:r>
    </w:p>
    <w:p>
      <w:pPr>
        <w:pStyle w:val="BodyText"/>
        <w:spacing w:before="4"/>
        <w:rPr>
          <w:sz w:val="17"/>
        </w:rPr>
      </w:pPr>
      <w:r>
        <w:rPr/>
        <w:pict>
          <v:group style="position:absolute;margin-left:62.362202pt;margin-top:12.541211pt;width:479.1pt;height:192.4pt;mso-position-horizontal-relative:page;mso-position-vertical-relative:paragraph;z-index:4592;mso-wrap-distance-left:0;mso-wrap-distance-right:0" coordorigin="1247,251" coordsize="9582,3848">
            <v:rect style="position:absolute;left:1587;top:250;width:8731;height:3848" filled="true" fillcolor="#dbe0dd" stroked="false">
              <v:fill type="solid"/>
            </v:rect>
            <v:line style="position:absolute" from="1247,998" to="10828,998" stroked="true" strokeweight="2.5pt" strokecolor="#ffffff">
              <v:stroke dashstyle="solid"/>
            </v:line>
            <v:shape style="position:absolute;left:1814;top:3155;width:8085;height:769" type="#_x0000_t202" filled="false" stroked="false">
              <v:textbox inset="0,0,0,0">
                <w:txbxContent>
                  <w:p>
                    <w:pPr>
                      <w:tabs>
                        <w:tab w:pos="566" w:val="left" w:leader="none"/>
                      </w:tabs>
                      <w:spacing w:line="242" w:lineRule="auto" w:before="0"/>
                      <w:ind w:left="566" w:right="18" w:hanging="567"/>
                      <w:jc w:val="left"/>
                      <w:rPr>
                        <w:sz w:val="21"/>
                      </w:rPr>
                    </w:pPr>
                    <w:r>
                      <w:rPr>
                        <w:b/>
                        <w:w w:val="115"/>
                        <w:sz w:val="21"/>
                      </w:rPr>
                      <w:t>9</w:t>
                      <w:tab/>
                    </w:r>
                    <w:r>
                      <w:rPr>
                        <w:w w:val="115"/>
                        <w:sz w:val="21"/>
                      </w:rPr>
                      <w:t>A determination about the proportions of the tree owned by the respective parties</w:t>
                    </w:r>
                    <w:r>
                      <w:rPr>
                        <w:spacing w:val="-5"/>
                        <w:w w:val="115"/>
                        <w:sz w:val="21"/>
                      </w:rPr>
                      <w:t> </w:t>
                    </w:r>
                    <w:r>
                      <w:rPr>
                        <w:w w:val="115"/>
                        <w:sz w:val="21"/>
                      </w:rPr>
                      <w:t>should</w:t>
                    </w:r>
                    <w:r>
                      <w:rPr>
                        <w:spacing w:val="-5"/>
                        <w:w w:val="115"/>
                        <w:sz w:val="21"/>
                      </w:rPr>
                      <w:t> </w:t>
                    </w:r>
                    <w:r>
                      <w:rPr>
                        <w:w w:val="115"/>
                        <w:sz w:val="21"/>
                      </w:rPr>
                      <w:t>be</w:t>
                    </w:r>
                    <w:r>
                      <w:rPr>
                        <w:spacing w:val="-4"/>
                        <w:w w:val="115"/>
                        <w:sz w:val="21"/>
                      </w:rPr>
                      <w:t> </w:t>
                    </w:r>
                    <w:r>
                      <w:rPr>
                        <w:w w:val="115"/>
                        <w:sz w:val="21"/>
                      </w:rPr>
                      <w:t>made</w:t>
                    </w:r>
                    <w:r>
                      <w:rPr>
                        <w:spacing w:val="-5"/>
                        <w:w w:val="115"/>
                        <w:sz w:val="21"/>
                      </w:rPr>
                      <w:t> </w:t>
                    </w:r>
                    <w:r>
                      <w:rPr>
                        <w:w w:val="115"/>
                        <w:sz w:val="21"/>
                      </w:rPr>
                      <w:t>by</w:t>
                    </w:r>
                    <w:r>
                      <w:rPr>
                        <w:spacing w:val="-4"/>
                        <w:w w:val="115"/>
                        <w:sz w:val="21"/>
                      </w:rPr>
                      <w:t> </w:t>
                    </w:r>
                    <w:r>
                      <w:rPr>
                        <w:w w:val="115"/>
                        <w:sz w:val="21"/>
                      </w:rPr>
                      <w:t>measuring</w:t>
                    </w:r>
                    <w:r>
                      <w:rPr>
                        <w:spacing w:val="-5"/>
                        <w:w w:val="115"/>
                        <w:sz w:val="21"/>
                      </w:rPr>
                      <w:t> </w:t>
                    </w:r>
                    <w:r>
                      <w:rPr>
                        <w:w w:val="115"/>
                        <w:sz w:val="21"/>
                      </w:rPr>
                      <w:t>the</w:t>
                    </w:r>
                    <w:r>
                      <w:rPr>
                        <w:spacing w:val="-5"/>
                        <w:w w:val="115"/>
                        <w:sz w:val="21"/>
                      </w:rPr>
                      <w:t> </w:t>
                    </w:r>
                    <w:r>
                      <w:rPr>
                        <w:w w:val="115"/>
                        <w:sz w:val="21"/>
                      </w:rPr>
                      <w:t>location</w:t>
                    </w:r>
                    <w:r>
                      <w:rPr>
                        <w:spacing w:val="-4"/>
                        <w:w w:val="115"/>
                        <w:sz w:val="21"/>
                      </w:rPr>
                      <w:t> </w:t>
                    </w:r>
                    <w:r>
                      <w:rPr>
                        <w:w w:val="115"/>
                        <w:sz w:val="21"/>
                      </w:rPr>
                      <w:t>of</w:t>
                    </w:r>
                    <w:r>
                      <w:rPr>
                        <w:spacing w:val="-5"/>
                        <w:w w:val="115"/>
                        <w:sz w:val="21"/>
                      </w:rPr>
                      <w:t> </w:t>
                    </w:r>
                    <w:r>
                      <w:rPr>
                        <w:w w:val="115"/>
                        <w:sz w:val="21"/>
                      </w:rPr>
                      <w:t>the</w:t>
                    </w:r>
                    <w:r>
                      <w:rPr>
                        <w:spacing w:val="-4"/>
                        <w:w w:val="115"/>
                        <w:sz w:val="21"/>
                      </w:rPr>
                      <w:t> </w:t>
                    </w:r>
                    <w:r>
                      <w:rPr>
                        <w:w w:val="115"/>
                        <w:sz w:val="21"/>
                      </w:rPr>
                      <w:t>base</w:t>
                    </w:r>
                    <w:r>
                      <w:rPr>
                        <w:spacing w:val="-5"/>
                        <w:w w:val="115"/>
                        <w:sz w:val="21"/>
                      </w:rPr>
                      <w:t> </w:t>
                    </w:r>
                    <w:r>
                      <w:rPr>
                        <w:w w:val="115"/>
                        <w:sz w:val="21"/>
                      </w:rPr>
                      <w:t>of</w:t>
                    </w:r>
                    <w:r>
                      <w:rPr>
                        <w:spacing w:val="-4"/>
                        <w:w w:val="115"/>
                        <w:sz w:val="21"/>
                      </w:rPr>
                      <w:t> </w:t>
                    </w:r>
                    <w:r>
                      <w:rPr>
                        <w:w w:val="115"/>
                        <w:sz w:val="21"/>
                      </w:rPr>
                      <w:t>the</w:t>
                    </w:r>
                    <w:r>
                      <w:rPr>
                        <w:spacing w:val="-5"/>
                        <w:w w:val="115"/>
                        <w:sz w:val="21"/>
                      </w:rPr>
                      <w:t> </w:t>
                    </w:r>
                    <w:r>
                      <w:rPr>
                        <w:w w:val="115"/>
                        <w:sz w:val="21"/>
                      </w:rPr>
                      <w:t>trunk</w:t>
                    </w:r>
                    <w:r>
                      <w:rPr>
                        <w:spacing w:val="-5"/>
                        <w:w w:val="115"/>
                        <w:sz w:val="21"/>
                      </w:rPr>
                      <w:t> </w:t>
                    </w:r>
                    <w:r>
                      <w:rPr>
                        <w:w w:val="115"/>
                        <w:sz w:val="21"/>
                      </w:rPr>
                      <w:t>at ground level on each parcel of</w:t>
                    </w:r>
                    <w:r>
                      <w:rPr>
                        <w:spacing w:val="2"/>
                        <w:w w:val="115"/>
                        <w:sz w:val="21"/>
                      </w:rPr>
                      <w:t> </w:t>
                    </w:r>
                    <w:r>
                      <w:rPr>
                        <w:w w:val="115"/>
                        <w:sz w:val="21"/>
                      </w:rPr>
                      <w:t>land.</w:t>
                    </w:r>
                  </w:p>
                </w:txbxContent>
              </v:textbox>
              <w10:wrap type="none"/>
            </v:shape>
            <v:shape style="position:absolute;left:2381;top:1234;width:7554;height:1789" type="#_x0000_t202" filled="false" stroked="false">
              <v:textbox inset="0,0,0,0">
                <w:txbxContent>
                  <w:p>
                    <w:pPr>
                      <w:spacing w:line="253" w:lineRule="exact" w:before="0"/>
                      <w:ind w:left="0" w:right="0" w:firstLine="0"/>
                      <w:jc w:val="left"/>
                      <w:rPr>
                        <w:sz w:val="21"/>
                      </w:rPr>
                    </w:pPr>
                    <w:r>
                      <w:rPr>
                        <w:w w:val="115"/>
                        <w:sz w:val="21"/>
                      </w:rPr>
                      <w:t>If a tree subject to the dispute straddles boundary lines the Act should:</w:t>
                    </w:r>
                  </w:p>
                  <w:p>
                    <w:pPr>
                      <w:numPr>
                        <w:ilvl w:val="0"/>
                        <w:numId w:val="65"/>
                      </w:numPr>
                      <w:tabs>
                        <w:tab w:pos="566" w:val="left" w:leader="none"/>
                        <w:tab w:pos="567" w:val="left" w:leader="none"/>
                      </w:tabs>
                      <w:spacing w:line="242" w:lineRule="auto" w:before="123"/>
                      <w:ind w:left="567" w:right="18" w:hanging="567"/>
                      <w:jc w:val="left"/>
                      <w:rPr>
                        <w:sz w:val="21"/>
                      </w:rPr>
                    </w:pPr>
                    <w:r>
                      <w:rPr>
                        <w:spacing w:val="-3"/>
                        <w:w w:val="115"/>
                        <w:sz w:val="21"/>
                      </w:rPr>
                      <w:t>allow </w:t>
                    </w:r>
                    <w:r>
                      <w:rPr>
                        <w:w w:val="115"/>
                        <w:sz w:val="21"/>
                      </w:rPr>
                      <w:t>the affected neighbour to bring an application irrespective of the proportions of the tree on each parcel of land,</w:t>
                    </w:r>
                    <w:r>
                      <w:rPr>
                        <w:spacing w:val="-2"/>
                        <w:w w:val="115"/>
                        <w:sz w:val="21"/>
                      </w:rPr>
                      <w:t> </w:t>
                    </w:r>
                    <w:r>
                      <w:rPr>
                        <w:w w:val="115"/>
                        <w:sz w:val="21"/>
                      </w:rPr>
                      <w:t>and</w:t>
                    </w:r>
                  </w:p>
                  <w:p>
                    <w:pPr>
                      <w:numPr>
                        <w:ilvl w:val="0"/>
                        <w:numId w:val="65"/>
                      </w:numPr>
                      <w:tabs>
                        <w:tab w:pos="566" w:val="left" w:leader="none"/>
                        <w:tab w:pos="567" w:val="left" w:leader="none"/>
                      </w:tabs>
                      <w:spacing w:line="242" w:lineRule="auto" w:before="123"/>
                      <w:ind w:left="567" w:right="45" w:hanging="567"/>
                      <w:jc w:val="left"/>
                      <w:rPr>
                        <w:sz w:val="21"/>
                      </w:rPr>
                    </w:pPr>
                    <w:r>
                      <w:rPr>
                        <w:w w:val="115"/>
                        <w:sz w:val="21"/>
                      </w:rPr>
                      <w:t>provide</w:t>
                    </w:r>
                    <w:r>
                      <w:rPr>
                        <w:spacing w:val="-7"/>
                        <w:w w:val="115"/>
                        <w:sz w:val="21"/>
                      </w:rPr>
                      <w:t> </w:t>
                    </w:r>
                    <w:r>
                      <w:rPr>
                        <w:w w:val="115"/>
                        <w:sz w:val="21"/>
                      </w:rPr>
                      <w:t>the</w:t>
                    </w:r>
                    <w:r>
                      <w:rPr>
                        <w:spacing w:val="-7"/>
                        <w:w w:val="115"/>
                        <w:sz w:val="21"/>
                      </w:rPr>
                      <w:t> </w:t>
                    </w:r>
                    <w:r>
                      <w:rPr>
                        <w:w w:val="115"/>
                        <w:sz w:val="21"/>
                      </w:rPr>
                      <w:t>Victorian</w:t>
                    </w:r>
                    <w:r>
                      <w:rPr>
                        <w:spacing w:val="-6"/>
                        <w:w w:val="115"/>
                        <w:sz w:val="21"/>
                      </w:rPr>
                      <w:t> </w:t>
                    </w:r>
                    <w:r>
                      <w:rPr>
                        <w:w w:val="115"/>
                        <w:sz w:val="21"/>
                      </w:rPr>
                      <w:t>Civil</w:t>
                    </w:r>
                    <w:r>
                      <w:rPr>
                        <w:spacing w:val="-7"/>
                        <w:w w:val="115"/>
                        <w:sz w:val="21"/>
                      </w:rPr>
                      <w:t> </w:t>
                    </w:r>
                    <w:r>
                      <w:rPr>
                        <w:w w:val="115"/>
                        <w:sz w:val="21"/>
                      </w:rPr>
                      <w:t>and</w:t>
                    </w:r>
                    <w:r>
                      <w:rPr>
                        <w:spacing w:val="-7"/>
                        <w:w w:val="115"/>
                        <w:sz w:val="21"/>
                      </w:rPr>
                      <w:t> </w:t>
                    </w:r>
                    <w:r>
                      <w:rPr>
                        <w:w w:val="115"/>
                        <w:sz w:val="21"/>
                      </w:rPr>
                      <w:t>Administrative</w:t>
                    </w:r>
                    <w:r>
                      <w:rPr>
                        <w:spacing w:val="-6"/>
                        <w:w w:val="115"/>
                        <w:sz w:val="21"/>
                      </w:rPr>
                      <w:t> </w:t>
                    </w:r>
                    <w:r>
                      <w:rPr>
                        <w:spacing w:val="-4"/>
                        <w:w w:val="115"/>
                        <w:sz w:val="21"/>
                      </w:rPr>
                      <w:t>Tribunal</w:t>
                    </w:r>
                    <w:r>
                      <w:rPr>
                        <w:spacing w:val="-7"/>
                        <w:w w:val="115"/>
                        <w:sz w:val="21"/>
                      </w:rPr>
                      <w:t> </w:t>
                    </w:r>
                    <w:r>
                      <w:rPr>
                        <w:w w:val="115"/>
                        <w:sz w:val="21"/>
                      </w:rPr>
                      <w:t>with</w:t>
                    </w:r>
                    <w:r>
                      <w:rPr>
                        <w:spacing w:val="-6"/>
                        <w:w w:val="115"/>
                        <w:sz w:val="21"/>
                      </w:rPr>
                      <w:t> </w:t>
                    </w:r>
                    <w:r>
                      <w:rPr>
                        <w:w w:val="115"/>
                        <w:sz w:val="21"/>
                      </w:rPr>
                      <w:t>a</w:t>
                    </w:r>
                    <w:r>
                      <w:rPr>
                        <w:spacing w:val="-7"/>
                        <w:w w:val="115"/>
                        <w:sz w:val="21"/>
                      </w:rPr>
                      <w:t> </w:t>
                    </w:r>
                    <w:r>
                      <w:rPr>
                        <w:w w:val="115"/>
                        <w:sz w:val="21"/>
                      </w:rPr>
                      <w:t>discretion to consider the proportions of the tree on each party’s land in making orders.</w:t>
                    </w:r>
                  </w:p>
                </w:txbxContent>
              </v:textbox>
              <w10:wrap type="none"/>
            </v:shape>
            <v:shape style="position:absolute;left:1814;top:1234;width:137;height:249" type="#_x0000_t202" filled="false" stroked="false">
              <v:textbox inset="0,0,0,0">
                <w:txbxContent>
                  <w:p>
                    <w:pPr>
                      <w:spacing w:line="249" w:lineRule="exact" w:before="0"/>
                      <w:ind w:left="0" w:right="0" w:firstLine="0"/>
                      <w:jc w:val="left"/>
                      <w:rPr>
                        <w:b/>
                        <w:sz w:val="21"/>
                      </w:rPr>
                    </w:pPr>
                    <w:r>
                      <w:rPr>
                        <w:b/>
                        <w:w w:val="109"/>
                        <w:sz w:val="21"/>
                      </w:rPr>
                      <w:t>8</w:t>
                    </w:r>
                  </w:p>
                </w:txbxContent>
              </v:textbox>
              <w10:wrap type="none"/>
            </v:shape>
            <v:shape style="position:absolute;left:1587;top:250;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Recommendations</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r>
        <w:rPr/>
        <w:pict>
          <v:line style="position:absolute;mso-position-horizontal-relative:page;mso-position-vertical-relative:paragraph;z-index:4616;mso-wrap-distance-left:0;mso-wrap-distance-right:0" from="79.370102pt,19.866081pt" to="515.905102pt,19.866081pt" stroked="true" strokeweight="1pt" strokecolor="#c9d2cb">
            <v:stroke dashstyle="solid"/>
            <w10:wrap type="topAndBottom"/>
          </v:line>
        </w:pict>
      </w:r>
    </w:p>
    <w:p>
      <w:pPr>
        <w:pStyle w:val="ListParagraph"/>
        <w:numPr>
          <w:ilvl w:val="0"/>
          <w:numId w:val="66"/>
        </w:numPr>
        <w:tabs>
          <w:tab w:pos="2380" w:val="left" w:leader="none"/>
          <w:tab w:pos="2382" w:val="left" w:leader="none"/>
        </w:tabs>
        <w:spacing w:line="240" w:lineRule="auto" w:before="117" w:after="0"/>
        <w:ind w:left="2381" w:right="0" w:hanging="794"/>
        <w:jc w:val="left"/>
        <w:rPr>
          <w:sz w:val="13"/>
        </w:rPr>
      </w:pPr>
      <w:r>
        <w:rPr>
          <w:i/>
          <w:w w:val="105"/>
          <w:sz w:val="13"/>
        </w:rPr>
        <w:t>Robson</w:t>
      </w:r>
      <w:r>
        <w:rPr>
          <w:i/>
          <w:spacing w:val="6"/>
          <w:w w:val="105"/>
          <w:sz w:val="13"/>
        </w:rPr>
        <w:t> </w:t>
      </w:r>
      <w:r>
        <w:rPr>
          <w:i/>
          <w:w w:val="105"/>
          <w:sz w:val="13"/>
        </w:rPr>
        <w:t>v</w:t>
      </w:r>
      <w:r>
        <w:rPr>
          <w:i/>
          <w:spacing w:val="6"/>
          <w:w w:val="105"/>
          <w:sz w:val="13"/>
        </w:rPr>
        <w:t> </w:t>
      </w:r>
      <w:r>
        <w:rPr>
          <w:i/>
          <w:w w:val="105"/>
          <w:sz w:val="13"/>
        </w:rPr>
        <w:t>Leischke</w:t>
      </w:r>
      <w:r>
        <w:rPr>
          <w:i/>
          <w:spacing w:val="7"/>
          <w:w w:val="105"/>
          <w:sz w:val="13"/>
        </w:rPr>
        <w:t> </w:t>
      </w:r>
      <w:r>
        <w:rPr>
          <w:spacing w:val="2"/>
          <w:w w:val="105"/>
          <w:sz w:val="13"/>
        </w:rPr>
        <w:t>(2008)</w:t>
      </w:r>
      <w:r>
        <w:rPr>
          <w:spacing w:val="6"/>
          <w:w w:val="105"/>
          <w:sz w:val="13"/>
        </w:rPr>
        <w:t> </w:t>
      </w:r>
      <w:r>
        <w:rPr>
          <w:w w:val="105"/>
          <w:sz w:val="13"/>
        </w:rPr>
        <w:t>72</w:t>
      </w:r>
      <w:r>
        <w:rPr>
          <w:spacing w:val="7"/>
          <w:w w:val="105"/>
          <w:sz w:val="13"/>
        </w:rPr>
        <w:t> </w:t>
      </w:r>
      <w:r>
        <w:rPr>
          <w:spacing w:val="2"/>
          <w:w w:val="105"/>
          <w:sz w:val="13"/>
        </w:rPr>
        <w:t>NSWLR</w:t>
      </w:r>
      <w:r>
        <w:rPr>
          <w:spacing w:val="6"/>
          <w:w w:val="105"/>
          <w:sz w:val="13"/>
        </w:rPr>
        <w:t> </w:t>
      </w:r>
      <w:r>
        <w:rPr>
          <w:w w:val="105"/>
          <w:sz w:val="13"/>
        </w:rPr>
        <w:t>98</w:t>
      </w:r>
      <w:r>
        <w:rPr>
          <w:spacing w:val="6"/>
          <w:w w:val="105"/>
          <w:sz w:val="13"/>
        </w:rPr>
        <w:t> </w:t>
      </w:r>
      <w:r>
        <w:rPr>
          <w:spacing w:val="-4"/>
          <w:w w:val="105"/>
          <w:sz w:val="13"/>
        </w:rPr>
        <w:t>[151]</w:t>
      </w:r>
      <w:r>
        <w:rPr>
          <w:spacing w:val="7"/>
          <w:w w:val="105"/>
          <w:sz w:val="13"/>
        </w:rPr>
        <w:t> </w:t>
      </w:r>
      <w:r>
        <w:rPr>
          <w:w w:val="105"/>
          <w:sz w:val="13"/>
        </w:rPr>
        <w:t>citing</w:t>
      </w:r>
      <w:r>
        <w:rPr>
          <w:spacing w:val="6"/>
          <w:w w:val="105"/>
          <w:sz w:val="13"/>
        </w:rPr>
        <w:t> </w:t>
      </w:r>
      <w:r>
        <w:rPr>
          <w:i/>
          <w:w w:val="105"/>
          <w:sz w:val="13"/>
        </w:rPr>
        <w:t>Holder</w:t>
      </w:r>
      <w:r>
        <w:rPr>
          <w:i/>
          <w:spacing w:val="7"/>
          <w:w w:val="105"/>
          <w:sz w:val="13"/>
        </w:rPr>
        <w:t> </w:t>
      </w:r>
      <w:r>
        <w:rPr>
          <w:i/>
          <w:w w:val="105"/>
          <w:sz w:val="13"/>
        </w:rPr>
        <w:t>v</w:t>
      </w:r>
      <w:r>
        <w:rPr>
          <w:i/>
          <w:spacing w:val="6"/>
          <w:w w:val="105"/>
          <w:sz w:val="13"/>
        </w:rPr>
        <w:t> </w:t>
      </w:r>
      <w:r>
        <w:rPr>
          <w:i/>
          <w:w w:val="105"/>
          <w:sz w:val="13"/>
        </w:rPr>
        <w:t>Coates</w:t>
      </w:r>
      <w:r>
        <w:rPr>
          <w:i/>
          <w:spacing w:val="7"/>
          <w:w w:val="105"/>
          <w:sz w:val="13"/>
        </w:rPr>
        <w:t> </w:t>
      </w:r>
      <w:r>
        <w:rPr>
          <w:w w:val="105"/>
          <w:sz w:val="13"/>
        </w:rPr>
        <w:t>(1827)</w:t>
      </w:r>
      <w:r>
        <w:rPr>
          <w:spacing w:val="6"/>
          <w:w w:val="105"/>
          <w:sz w:val="13"/>
        </w:rPr>
        <w:t> </w:t>
      </w:r>
      <w:r>
        <w:rPr>
          <w:w w:val="105"/>
          <w:sz w:val="13"/>
        </w:rPr>
        <w:t>M.</w:t>
      </w:r>
      <w:r>
        <w:rPr>
          <w:spacing w:val="6"/>
          <w:w w:val="105"/>
          <w:sz w:val="13"/>
        </w:rPr>
        <w:t> </w:t>
      </w:r>
      <w:r>
        <w:rPr>
          <w:w w:val="105"/>
          <w:sz w:val="13"/>
        </w:rPr>
        <w:t>&amp;</w:t>
      </w:r>
      <w:r>
        <w:rPr>
          <w:spacing w:val="7"/>
          <w:w w:val="105"/>
          <w:sz w:val="13"/>
        </w:rPr>
        <w:t> </w:t>
      </w:r>
      <w:r>
        <w:rPr>
          <w:w w:val="105"/>
          <w:sz w:val="13"/>
        </w:rPr>
        <w:t>M.</w:t>
      </w:r>
      <w:r>
        <w:rPr>
          <w:spacing w:val="6"/>
          <w:w w:val="105"/>
          <w:sz w:val="13"/>
        </w:rPr>
        <w:t> </w:t>
      </w:r>
      <w:r>
        <w:rPr>
          <w:spacing w:val="-5"/>
          <w:w w:val="105"/>
          <w:sz w:val="13"/>
        </w:rPr>
        <w:t>112;</w:t>
      </w:r>
      <w:r>
        <w:rPr>
          <w:spacing w:val="7"/>
          <w:w w:val="105"/>
          <w:sz w:val="13"/>
        </w:rPr>
        <w:t> </w:t>
      </w:r>
      <w:r>
        <w:rPr>
          <w:spacing w:val="-3"/>
          <w:w w:val="105"/>
          <w:sz w:val="13"/>
        </w:rPr>
        <w:t>173</w:t>
      </w:r>
      <w:r>
        <w:rPr>
          <w:spacing w:val="6"/>
          <w:w w:val="105"/>
          <w:sz w:val="13"/>
        </w:rPr>
        <w:t> </w:t>
      </w:r>
      <w:r>
        <w:rPr>
          <w:w w:val="105"/>
          <w:sz w:val="13"/>
        </w:rPr>
        <w:t>ER</w:t>
      </w:r>
      <w:r>
        <w:rPr>
          <w:spacing w:val="7"/>
          <w:w w:val="105"/>
          <w:sz w:val="13"/>
        </w:rPr>
        <w:t> </w:t>
      </w:r>
      <w:r>
        <w:rPr>
          <w:w w:val="105"/>
          <w:sz w:val="13"/>
        </w:rPr>
        <w:t>1099,</w:t>
      </w:r>
      <w:r>
        <w:rPr>
          <w:spacing w:val="6"/>
          <w:w w:val="105"/>
          <w:sz w:val="13"/>
        </w:rPr>
        <w:t> </w:t>
      </w:r>
      <w:r>
        <w:rPr>
          <w:w w:val="105"/>
          <w:sz w:val="13"/>
        </w:rPr>
        <w:t>1100;</w:t>
      </w:r>
      <w:r>
        <w:rPr>
          <w:spacing w:val="6"/>
          <w:w w:val="105"/>
          <w:sz w:val="13"/>
        </w:rPr>
        <w:t> </w:t>
      </w:r>
      <w:r>
        <w:rPr>
          <w:i/>
          <w:w w:val="105"/>
          <w:sz w:val="13"/>
        </w:rPr>
        <w:t>Lemmon</w:t>
      </w:r>
      <w:r>
        <w:rPr>
          <w:i/>
          <w:spacing w:val="7"/>
          <w:w w:val="105"/>
          <w:sz w:val="13"/>
        </w:rPr>
        <w:t> </w:t>
      </w:r>
      <w:r>
        <w:rPr>
          <w:i/>
          <w:w w:val="105"/>
          <w:sz w:val="13"/>
        </w:rPr>
        <w:t>v</w:t>
      </w:r>
      <w:r>
        <w:rPr>
          <w:i/>
          <w:spacing w:val="6"/>
          <w:w w:val="105"/>
          <w:sz w:val="13"/>
        </w:rPr>
        <w:t> </w:t>
      </w:r>
      <w:r>
        <w:rPr>
          <w:i/>
          <w:w w:val="105"/>
          <w:sz w:val="13"/>
        </w:rPr>
        <w:t>Webb</w:t>
      </w:r>
      <w:r>
        <w:rPr>
          <w:i/>
          <w:spacing w:val="7"/>
          <w:w w:val="105"/>
          <w:sz w:val="13"/>
        </w:rPr>
        <w:t> </w:t>
      </w:r>
      <w:r>
        <w:rPr>
          <w:w w:val="105"/>
          <w:sz w:val="13"/>
        </w:rPr>
        <w:t>[1894]</w:t>
      </w:r>
      <w:r>
        <w:rPr>
          <w:spacing w:val="6"/>
          <w:w w:val="105"/>
          <w:sz w:val="13"/>
        </w:rPr>
        <w:t> </w:t>
      </w:r>
      <w:r>
        <w:rPr>
          <w:w w:val="105"/>
          <w:sz w:val="13"/>
        </w:rPr>
        <w:t>AC</w:t>
      </w:r>
      <w:r>
        <w:rPr>
          <w:spacing w:val="7"/>
          <w:w w:val="105"/>
          <w:sz w:val="13"/>
        </w:rPr>
        <w:t> </w:t>
      </w:r>
      <w:r>
        <w:rPr>
          <w:spacing w:val="-3"/>
          <w:w w:val="105"/>
          <w:sz w:val="13"/>
        </w:rPr>
        <w:t>1.</w:t>
      </w:r>
    </w:p>
    <w:p>
      <w:pPr>
        <w:pStyle w:val="ListParagraph"/>
        <w:numPr>
          <w:ilvl w:val="0"/>
          <w:numId w:val="66"/>
        </w:numPr>
        <w:tabs>
          <w:tab w:pos="2381" w:val="left" w:leader="none"/>
          <w:tab w:pos="2382" w:val="left" w:leader="none"/>
        </w:tabs>
        <w:spacing w:line="240" w:lineRule="auto" w:before="1" w:after="0"/>
        <w:ind w:left="2381" w:right="0" w:hanging="794"/>
        <w:jc w:val="left"/>
        <w:rPr>
          <w:sz w:val="13"/>
        </w:rPr>
      </w:pPr>
      <w:r>
        <w:rPr/>
        <w:pict>
          <v:shape style="position:absolute;margin-left:548.895691pt;margin-top:3.017764pt;width:13.45pt;height:14.25pt;mso-position-horizontal-relative:page;mso-position-vertical-relative:paragraph;z-index:6688" type="#_x0000_t202" filled="false" stroked="false">
            <v:textbox inset="0,0,0,0">
              <w:txbxContent>
                <w:p>
                  <w:pPr>
                    <w:spacing w:line="284" w:lineRule="exact" w:before="0"/>
                    <w:ind w:left="0" w:right="0" w:firstLine="0"/>
                    <w:jc w:val="left"/>
                    <w:rPr>
                      <w:b/>
                      <w:sz w:val="24"/>
                    </w:rPr>
                  </w:pPr>
                  <w:r>
                    <w:rPr>
                      <w:b/>
                      <w:color w:val="658464"/>
                      <w:w w:val="110"/>
                      <w:sz w:val="24"/>
                    </w:rPr>
                    <w:t>89</w:t>
                  </w:r>
                </w:p>
              </w:txbxContent>
            </v:textbox>
            <w10:wrap type="none"/>
          </v:shape>
        </w:pict>
      </w: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66"/>
        </w:numPr>
        <w:tabs>
          <w:tab w:pos="2381" w:val="left" w:leader="none"/>
          <w:tab w:pos="2382" w:val="left" w:leader="none"/>
        </w:tabs>
        <w:spacing w:line="240" w:lineRule="auto" w:before="2" w:after="0"/>
        <w:ind w:left="2381" w:right="0" w:hanging="794"/>
        <w:jc w:val="left"/>
        <w:rPr>
          <w:sz w:val="13"/>
        </w:rPr>
      </w:pPr>
      <w:r>
        <w:rPr>
          <w:w w:val="105"/>
          <w:sz w:val="13"/>
        </w:rPr>
        <w:t>This</w:t>
      </w:r>
      <w:r>
        <w:rPr>
          <w:spacing w:val="4"/>
          <w:w w:val="105"/>
          <w:sz w:val="13"/>
        </w:rPr>
        <w:t> </w:t>
      </w:r>
      <w:r>
        <w:rPr>
          <w:w w:val="105"/>
          <w:sz w:val="13"/>
        </w:rPr>
        <w:t>approach</w:t>
      </w:r>
      <w:r>
        <w:rPr>
          <w:spacing w:val="5"/>
          <w:w w:val="105"/>
          <w:sz w:val="13"/>
        </w:rPr>
        <w:t> </w:t>
      </w:r>
      <w:r>
        <w:rPr>
          <w:w w:val="105"/>
          <w:sz w:val="13"/>
        </w:rPr>
        <w:t>is</w:t>
      </w:r>
      <w:r>
        <w:rPr>
          <w:spacing w:val="5"/>
          <w:w w:val="105"/>
          <w:sz w:val="13"/>
        </w:rPr>
        <w:t> </w:t>
      </w:r>
      <w:r>
        <w:rPr>
          <w:w w:val="105"/>
          <w:sz w:val="13"/>
        </w:rPr>
        <w:t>contained</w:t>
      </w:r>
      <w:r>
        <w:rPr>
          <w:spacing w:val="5"/>
          <w:w w:val="105"/>
          <w:sz w:val="13"/>
        </w:rPr>
        <w:t> </w:t>
      </w:r>
      <w:r>
        <w:rPr>
          <w:w w:val="105"/>
          <w:sz w:val="13"/>
        </w:rPr>
        <w:t>in</w:t>
      </w:r>
      <w:r>
        <w:rPr>
          <w:spacing w:val="5"/>
          <w:w w:val="105"/>
          <w:sz w:val="13"/>
        </w:rPr>
        <w:t> </w:t>
      </w:r>
      <w:r>
        <w:rPr>
          <w:w w:val="105"/>
          <w:sz w:val="13"/>
        </w:rPr>
        <w:t>the</w:t>
      </w:r>
      <w:r>
        <w:rPr>
          <w:spacing w:val="5"/>
          <w:w w:val="105"/>
          <w:sz w:val="13"/>
        </w:rPr>
        <w:t> </w:t>
      </w:r>
      <w:r>
        <w:rPr>
          <w:i/>
          <w:w w:val="105"/>
          <w:sz w:val="13"/>
        </w:rPr>
        <w:t>Neighbourhood</w:t>
      </w:r>
      <w:r>
        <w:rPr>
          <w:i/>
          <w:spacing w:val="5"/>
          <w:w w:val="105"/>
          <w:sz w:val="13"/>
        </w:rPr>
        <w:t> </w:t>
      </w:r>
      <w:r>
        <w:rPr>
          <w:i/>
          <w:w w:val="105"/>
          <w:sz w:val="13"/>
        </w:rPr>
        <w:t>Disputes</w:t>
      </w:r>
      <w:r>
        <w:rPr>
          <w:i/>
          <w:spacing w:val="5"/>
          <w:w w:val="105"/>
          <w:sz w:val="13"/>
        </w:rPr>
        <w:t> </w:t>
      </w:r>
      <w:r>
        <w:rPr>
          <w:i/>
          <w:w w:val="105"/>
          <w:sz w:val="13"/>
        </w:rPr>
        <w:t>About</w:t>
      </w:r>
      <w:r>
        <w:rPr>
          <w:i/>
          <w:spacing w:val="5"/>
          <w:w w:val="105"/>
          <w:sz w:val="13"/>
        </w:rPr>
        <w:t> </w:t>
      </w:r>
      <w:r>
        <w:rPr>
          <w:i/>
          <w:w w:val="105"/>
          <w:sz w:val="13"/>
        </w:rPr>
        <w:t>Plants</w:t>
      </w:r>
      <w:r>
        <w:rPr>
          <w:i/>
          <w:spacing w:val="5"/>
          <w:w w:val="105"/>
          <w:sz w:val="13"/>
        </w:rPr>
        <w:t> </w:t>
      </w:r>
      <w:r>
        <w:rPr>
          <w:i/>
          <w:w w:val="105"/>
          <w:sz w:val="13"/>
        </w:rPr>
        <w:t>Act</w:t>
      </w:r>
      <w:r>
        <w:rPr>
          <w:i/>
          <w:spacing w:val="5"/>
          <w:w w:val="105"/>
          <w:sz w:val="13"/>
        </w:rPr>
        <w:t> </w:t>
      </w:r>
      <w:r>
        <w:rPr>
          <w:i/>
          <w:spacing w:val="-4"/>
          <w:w w:val="105"/>
          <w:sz w:val="13"/>
        </w:rPr>
        <w:t>2017</w:t>
      </w:r>
      <w:r>
        <w:rPr>
          <w:i/>
          <w:spacing w:val="5"/>
          <w:w w:val="105"/>
          <w:sz w:val="13"/>
        </w:rPr>
        <w:t> </w:t>
      </w:r>
      <w:r>
        <w:rPr>
          <w:w w:val="105"/>
          <w:sz w:val="13"/>
        </w:rPr>
        <w:t>(Tas)</w:t>
      </w:r>
      <w:r>
        <w:rPr>
          <w:spacing w:val="5"/>
          <w:w w:val="105"/>
          <w:sz w:val="13"/>
        </w:rPr>
        <w:t> </w:t>
      </w:r>
      <w:r>
        <w:rPr>
          <w:w w:val="105"/>
          <w:sz w:val="13"/>
        </w:rPr>
        <w:t>s</w:t>
      </w:r>
      <w:r>
        <w:rPr>
          <w:spacing w:val="5"/>
          <w:w w:val="105"/>
          <w:sz w:val="13"/>
        </w:rPr>
        <w:t> </w:t>
      </w:r>
      <w:r>
        <w:rPr>
          <w:spacing w:val="3"/>
          <w:w w:val="105"/>
          <w:sz w:val="13"/>
        </w:rPr>
        <w:t>8(2).</w:t>
      </w:r>
    </w:p>
    <w:p>
      <w:pPr>
        <w:spacing w:after="0" w:line="240" w:lineRule="auto"/>
        <w:jc w:val="left"/>
        <w:rPr>
          <w:sz w:val="13"/>
        </w:rPr>
        <w:sectPr>
          <w:pgSz w:w="11910" w:h="16840"/>
          <w:pgMar w:header="808" w:footer="0" w:top="1360" w:bottom="280" w:left="0" w:right="0"/>
        </w:sectPr>
      </w:pPr>
    </w:p>
    <w:p>
      <w:pPr>
        <w:pStyle w:val="BodyText"/>
        <w:spacing w:before="3"/>
      </w:pPr>
    </w:p>
    <w:p>
      <w:pPr>
        <w:pStyle w:val="Heading4"/>
        <w:spacing w:before="96"/>
      </w:pPr>
      <w:bookmarkStart w:name="_bookmark51" w:id="122"/>
      <w:bookmarkEnd w:id="122"/>
      <w:r>
        <w:rPr>
          <w:b w:val="0"/>
        </w:rPr>
      </w:r>
      <w:r>
        <w:rPr>
          <w:color w:val="658464"/>
          <w:w w:val="110"/>
        </w:rPr>
        <w:t>Parties to a tree dispute</w:t>
      </w:r>
    </w:p>
    <w:p>
      <w:pPr>
        <w:pStyle w:val="ListParagraph"/>
        <w:numPr>
          <w:ilvl w:val="0"/>
          <w:numId w:val="64"/>
        </w:numPr>
        <w:tabs>
          <w:tab w:pos="2381" w:val="left" w:leader="none"/>
          <w:tab w:pos="2382" w:val="left" w:leader="none"/>
        </w:tabs>
        <w:spacing w:line="242" w:lineRule="auto" w:before="155" w:after="0"/>
        <w:ind w:left="2381" w:right="1908" w:hanging="794"/>
        <w:jc w:val="left"/>
        <w:rPr>
          <w:sz w:val="12"/>
        </w:rPr>
      </w:pPr>
      <w:r>
        <w:rPr>
          <w:w w:val="105"/>
          <w:sz w:val="21"/>
        </w:rPr>
        <w:t>The next part of this </w:t>
      </w:r>
      <w:r>
        <w:rPr>
          <w:spacing w:val="-3"/>
          <w:w w:val="105"/>
          <w:sz w:val="21"/>
        </w:rPr>
        <w:t>chapter </w:t>
      </w:r>
      <w:r>
        <w:rPr>
          <w:spacing w:val="-2"/>
          <w:w w:val="105"/>
          <w:sz w:val="21"/>
        </w:rPr>
        <w:t>examines </w:t>
      </w:r>
      <w:r>
        <w:rPr>
          <w:w w:val="105"/>
          <w:sz w:val="21"/>
        </w:rPr>
        <w:t>the legal concepts of standing and </w:t>
      </w:r>
      <w:r>
        <w:rPr>
          <w:spacing w:val="-3"/>
          <w:w w:val="105"/>
          <w:sz w:val="21"/>
        </w:rPr>
        <w:t>liability </w:t>
      </w:r>
      <w:r>
        <w:rPr>
          <w:w w:val="105"/>
          <w:sz w:val="21"/>
        </w:rPr>
        <w:t>in the new Act. The question of which neighbours can </w:t>
      </w:r>
      <w:r>
        <w:rPr>
          <w:spacing w:val="-4"/>
          <w:w w:val="105"/>
          <w:sz w:val="21"/>
        </w:rPr>
        <w:t>make </w:t>
      </w:r>
      <w:r>
        <w:rPr>
          <w:w w:val="105"/>
          <w:sz w:val="21"/>
        </w:rPr>
        <w:t>an application </w:t>
      </w:r>
      <w:r>
        <w:rPr>
          <w:spacing w:val="-3"/>
          <w:w w:val="105"/>
          <w:sz w:val="21"/>
        </w:rPr>
        <w:t>(that </w:t>
      </w:r>
      <w:r>
        <w:rPr>
          <w:w w:val="105"/>
          <w:sz w:val="21"/>
        </w:rPr>
        <w:t>is, who </w:t>
      </w:r>
      <w:r>
        <w:rPr>
          <w:spacing w:val="-2"/>
          <w:w w:val="105"/>
          <w:sz w:val="21"/>
        </w:rPr>
        <w:t>has</w:t>
      </w:r>
      <w:r>
        <w:rPr>
          <w:spacing w:val="-4"/>
          <w:w w:val="105"/>
          <w:sz w:val="21"/>
        </w:rPr>
        <w:t> </w:t>
      </w:r>
      <w:r>
        <w:rPr>
          <w:w w:val="105"/>
          <w:sz w:val="21"/>
        </w:rPr>
        <w:t>‘standing’)</w:t>
      </w:r>
      <w:r>
        <w:rPr>
          <w:spacing w:val="-4"/>
          <w:w w:val="105"/>
          <w:sz w:val="21"/>
        </w:rPr>
        <w:t> </w:t>
      </w:r>
      <w:r>
        <w:rPr>
          <w:w w:val="105"/>
          <w:sz w:val="21"/>
        </w:rPr>
        <w:t>and</w:t>
      </w:r>
      <w:r>
        <w:rPr>
          <w:spacing w:val="-4"/>
          <w:w w:val="105"/>
          <w:sz w:val="21"/>
        </w:rPr>
        <w:t> </w:t>
      </w:r>
      <w:r>
        <w:rPr>
          <w:w w:val="105"/>
          <w:sz w:val="21"/>
        </w:rPr>
        <w:t>who</w:t>
      </w:r>
      <w:r>
        <w:rPr>
          <w:spacing w:val="-4"/>
          <w:w w:val="105"/>
          <w:sz w:val="21"/>
        </w:rPr>
        <w:t> </w:t>
      </w:r>
      <w:r>
        <w:rPr>
          <w:w w:val="105"/>
          <w:sz w:val="21"/>
        </w:rPr>
        <w:t>can</w:t>
      </w:r>
      <w:r>
        <w:rPr>
          <w:spacing w:val="-4"/>
          <w:w w:val="105"/>
          <w:sz w:val="21"/>
        </w:rPr>
        <w:t> </w:t>
      </w:r>
      <w:r>
        <w:rPr>
          <w:w w:val="105"/>
          <w:sz w:val="21"/>
        </w:rPr>
        <w:t>be</w:t>
      </w:r>
      <w:r>
        <w:rPr>
          <w:spacing w:val="-4"/>
          <w:w w:val="105"/>
          <w:sz w:val="21"/>
        </w:rPr>
        <w:t> </w:t>
      </w:r>
      <w:r>
        <w:rPr>
          <w:w w:val="105"/>
          <w:sz w:val="21"/>
        </w:rPr>
        <w:t>held</w:t>
      </w:r>
      <w:r>
        <w:rPr>
          <w:spacing w:val="-4"/>
          <w:w w:val="105"/>
          <w:sz w:val="21"/>
        </w:rPr>
        <w:t> </w:t>
      </w:r>
      <w:r>
        <w:rPr>
          <w:spacing w:val="-3"/>
          <w:w w:val="105"/>
          <w:sz w:val="21"/>
        </w:rPr>
        <w:t>liable </w:t>
      </w:r>
      <w:r>
        <w:rPr>
          <w:w w:val="105"/>
          <w:sz w:val="21"/>
        </w:rPr>
        <w:t>is</w:t>
      </w:r>
      <w:r>
        <w:rPr>
          <w:spacing w:val="-4"/>
          <w:w w:val="105"/>
          <w:sz w:val="21"/>
        </w:rPr>
        <w:t> </w:t>
      </w:r>
      <w:r>
        <w:rPr>
          <w:spacing w:val="-3"/>
          <w:w w:val="105"/>
          <w:sz w:val="21"/>
        </w:rPr>
        <w:t>usually</w:t>
      </w:r>
      <w:r>
        <w:rPr>
          <w:spacing w:val="-4"/>
          <w:w w:val="105"/>
          <w:sz w:val="21"/>
        </w:rPr>
        <w:t> </w:t>
      </w:r>
      <w:r>
        <w:rPr>
          <w:spacing w:val="-3"/>
          <w:w w:val="105"/>
          <w:sz w:val="21"/>
        </w:rPr>
        <w:t>determined</w:t>
      </w:r>
      <w:r>
        <w:rPr>
          <w:spacing w:val="-4"/>
          <w:w w:val="105"/>
          <w:sz w:val="21"/>
        </w:rPr>
        <w:t> </w:t>
      </w:r>
      <w:r>
        <w:rPr>
          <w:w w:val="105"/>
          <w:sz w:val="21"/>
        </w:rPr>
        <w:t>based</w:t>
      </w:r>
      <w:r>
        <w:rPr>
          <w:spacing w:val="-4"/>
          <w:w w:val="105"/>
          <w:sz w:val="21"/>
        </w:rPr>
        <w:t> </w:t>
      </w:r>
      <w:r>
        <w:rPr>
          <w:w w:val="105"/>
          <w:sz w:val="21"/>
        </w:rPr>
        <w:t>on</w:t>
      </w:r>
      <w:r>
        <w:rPr>
          <w:spacing w:val="-4"/>
          <w:w w:val="105"/>
          <w:sz w:val="21"/>
        </w:rPr>
        <w:t> </w:t>
      </w:r>
      <w:r>
        <w:rPr>
          <w:w w:val="105"/>
          <w:sz w:val="21"/>
        </w:rPr>
        <w:t>the</w:t>
      </w:r>
      <w:r>
        <w:rPr>
          <w:spacing w:val="-4"/>
          <w:w w:val="105"/>
          <w:sz w:val="21"/>
        </w:rPr>
        <w:t> </w:t>
      </w:r>
      <w:r>
        <w:rPr>
          <w:spacing w:val="-3"/>
          <w:w w:val="105"/>
          <w:sz w:val="21"/>
        </w:rPr>
        <w:t>person’s relationship to </w:t>
      </w:r>
      <w:r>
        <w:rPr>
          <w:w w:val="105"/>
          <w:sz w:val="21"/>
        </w:rPr>
        <w:t>the </w:t>
      </w:r>
      <w:r>
        <w:rPr>
          <w:spacing w:val="-3"/>
          <w:w w:val="105"/>
          <w:sz w:val="21"/>
        </w:rPr>
        <w:t>land that </w:t>
      </w:r>
      <w:r>
        <w:rPr>
          <w:w w:val="105"/>
          <w:sz w:val="21"/>
        </w:rPr>
        <w:t>is the subject of the</w:t>
      </w:r>
      <w:r>
        <w:rPr>
          <w:spacing w:val="45"/>
          <w:w w:val="105"/>
          <w:sz w:val="21"/>
        </w:rPr>
        <w:t> </w:t>
      </w:r>
      <w:r>
        <w:rPr>
          <w:w w:val="105"/>
          <w:sz w:val="21"/>
        </w:rPr>
        <w:t>dispute.</w:t>
      </w:r>
      <w:r>
        <w:rPr>
          <w:w w:val="105"/>
          <w:position w:val="7"/>
          <w:sz w:val="12"/>
        </w:rPr>
        <w:t>238</w:t>
      </w:r>
    </w:p>
    <w:p>
      <w:pPr>
        <w:pStyle w:val="BodyText"/>
        <w:spacing w:before="5"/>
        <w:rPr>
          <w:sz w:val="20"/>
        </w:rPr>
      </w:pPr>
    </w:p>
    <w:p>
      <w:pPr>
        <w:pStyle w:val="Heading5"/>
      </w:pPr>
      <w:r>
        <w:rPr>
          <w:w w:val="110"/>
        </w:rPr>
        <w:t>Who can commence an action?</w:t>
      </w:r>
    </w:p>
    <w:p>
      <w:pPr>
        <w:pStyle w:val="ListParagraph"/>
        <w:numPr>
          <w:ilvl w:val="0"/>
          <w:numId w:val="64"/>
        </w:numPr>
        <w:tabs>
          <w:tab w:pos="2380" w:val="left" w:leader="none"/>
          <w:tab w:pos="2381" w:val="left" w:leader="none"/>
        </w:tabs>
        <w:spacing w:line="242" w:lineRule="auto" w:before="137" w:after="0"/>
        <w:ind w:left="2381" w:right="1684" w:hanging="794"/>
        <w:jc w:val="left"/>
        <w:rPr>
          <w:sz w:val="21"/>
        </w:rPr>
      </w:pPr>
      <w:r>
        <w:rPr>
          <w:w w:val="105"/>
          <w:sz w:val="21"/>
        </w:rPr>
        <w:t>The </w:t>
      </w:r>
      <w:r>
        <w:rPr>
          <w:spacing w:val="-3"/>
          <w:w w:val="105"/>
          <w:sz w:val="21"/>
        </w:rPr>
        <w:t>consultation </w:t>
      </w:r>
      <w:r>
        <w:rPr>
          <w:w w:val="105"/>
          <w:sz w:val="21"/>
        </w:rPr>
        <w:t>paper </w:t>
      </w:r>
      <w:r>
        <w:rPr>
          <w:spacing w:val="-3"/>
          <w:w w:val="105"/>
          <w:sz w:val="21"/>
        </w:rPr>
        <w:t>asked </w:t>
      </w:r>
      <w:r>
        <w:rPr>
          <w:w w:val="105"/>
          <w:sz w:val="21"/>
        </w:rPr>
        <w:t>who should be able </w:t>
      </w:r>
      <w:r>
        <w:rPr>
          <w:spacing w:val="-3"/>
          <w:w w:val="105"/>
          <w:sz w:val="21"/>
        </w:rPr>
        <w:t>to commence </w:t>
      </w:r>
      <w:r>
        <w:rPr>
          <w:w w:val="105"/>
          <w:sz w:val="21"/>
        </w:rPr>
        <w:t>legal action if a new Act was</w:t>
      </w:r>
      <w:r>
        <w:rPr>
          <w:spacing w:val="5"/>
          <w:w w:val="105"/>
          <w:sz w:val="21"/>
        </w:rPr>
        <w:t> </w:t>
      </w:r>
      <w:r>
        <w:rPr>
          <w:spacing w:val="-3"/>
          <w:w w:val="105"/>
          <w:sz w:val="21"/>
        </w:rPr>
        <w:t>introduced.</w:t>
      </w:r>
    </w:p>
    <w:p>
      <w:pPr>
        <w:pStyle w:val="ListParagraph"/>
        <w:numPr>
          <w:ilvl w:val="0"/>
          <w:numId w:val="64"/>
        </w:numPr>
        <w:tabs>
          <w:tab w:pos="2380" w:val="left" w:leader="none"/>
          <w:tab w:pos="2381" w:val="left" w:leader="none"/>
        </w:tabs>
        <w:spacing w:line="242" w:lineRule="auto" w:before="122" w:after="0"/>
        <w:ind w:left="2380" w:right="1680" w:hanging="793"/>
        <w:jc w:val="left"/>
        <w:rPr>
          <w:sz w:val="12"/>
        </w:rPr>
      </w:pPr>
      <w:r>
        <w:rPr>
          <w:sz w:val="21"/>
        </w:rPr>
        <w:t>In order </w:t>
      </w:r>
      <w:r>
        <w:rPr>
          <w:spacing w:val="-3"/>
          <w:sz w:val="21"/>
        </w:rPr>
        <w:t>to have </w:t>
      </w:r>
      <w:r>
        <w:rPr>
          <w:sz w:val="21"/>
        </w:rPr>
        <w:t>standing </w:t>
      </w:r>
      <w:r>
        <w:rPr>
          <w:spacing w:val="-3"/>
          <w:sz w:val="21"/>
        </w:rPr>
        <w:t>to bring </w:t>
      </w:r>
      <w:r>
        <w:rPr>
          <w:sz w:val="21"/>
        </w:rPr>
        <w:t>an action in </w:t>
      </w:r>
      <w:r>
        <w:rPr>
          <w:spacing w:val="-3"/>
          <w:sz w:val="21"/>
        </w:rPr>
        <w:t>nuisance </w:t>
      </w:r>
      <w:r>
        <w:rPr>
          <w:sz w:val="21"/>
        </w:rPr>
        <w:t>at </w:t>
      </w:r>
      <w:r>
        <w:rPr>
          <w:spacing w:val="-2"/>
          <w:sz w:val="21"/>
        </w:rPr>
        <w:t>common </w:t>
      </w:r>
      <w:r>
        <w:rPr>
          <w:spacing w:val="-5"/>
          <w:sz w:val="21"/>
        </w:rPr>
        <w:t>law, </w:t>
      </w:r>
      <w:r>
        <w:rPr>
          <w:sz w:val="21"/>
        </w:rPr>
        <w:t>the affected </w:t>
      </w:r>
      <w:r>
        <w:rPr>
          <w:spacing w:val="-3"/>
          <w:sz w:val="21"/>
        </w:rPr>
        <w:t>neighbour </w:t>
      </w:r>
      <w:r>
        <w:rPr>
          <w:sz w:val="21"/>
        </w:rPr>
        <w:t>must be in possession of the </w:t>
      </w:r>
      <w:r>
        <w:rPr>
          <w:spacing w:val="-3"/>
          <w:sz w:val="21"/>
        </w:rPr>
        <w:t>land </w:t>
      </w:r>
      <w:r>
        <w:rPr>
          <w:sz w:val="21"/>
        </w:rPr>
        <w:t>affected by the </w:t>
      </w:r>
      <w:r>
        <w:rPr>
          <w:spacing w:val="-3"/>
          <w:sz w:val="21"/>
        </w:rPr>
        <w:t>tree. Standing </w:t>
      </w:r>
      <w:r>
        <w:rPr>
          <w:sz w:val="21"/>
        </w:rPr>
        <w:t>extends </w:t>
      </w:r>
      <w:r>
        <w:rPr>
          <w:spacing w:val="-3"/>
          <w:sz w:val="21"/>
        </w:rPr>
        <w:t>to </w:t>
      </w:r>
      <w:r>
        <w:rPr>
          <w:sz w:val="21"/>
        </w:rPr>
        <w:t>an </w:t>
      </w:r>
      <w:r>
        <w:rPr>
          <w:spacing w:val="-4"/>
          <w:sz w:val="21"/>
        </w:rPr>
        <w:t>owner, </w:t>
      </w:r>
      <w:r>
        <w:rPr>
          <w:spacing w:val="-3"/>
          <w:sz w:val="21"/>
        </w:rPr>
        <w:t>tenant </w:t>
      </w:r>
      <w:r>
        <w:rPr>
          <w:sz w:val="21"/>
        </w:rPr>
        <w:t>or </w:t>
      </w:r>
      <w:r>
        <w:rPr>
          <w:spacing w:val="-3"/>
          <w:sz w:val="21"/>
        </w:rPr>
        <w:t>licensee </w:t>
      </w:r>
      <w:r>
        <w:rPr>
          <w:sz w:val="21"/>
        </w:rPr>
        <w:t>with </w:t>
      </w:r>
      <w:r>
        <w:rPr>
          <w:spacing w:val="-3"/>
          <w:sz w:val="21"/>
        </w:rPr>
        <w:t>exclusive</w:t>
      </w:r>
      <w:r>
        <w:rPr>
          <w:spacing w:val="-24"/>
          <w:sz w:val="21"/>
        </w:rPr>
        <w:t> </w:t>
      </w:r>
      <w:r>
        <w:rPr>
          <w:sz w:val="21"/>
        </w:rPr>
        <w:t>possession of the land.</w:t>
      </w:r>
      <w:r>
        <w:rPr>
          <w:position w:val="7"/>
          <w:sz w:val="12"/>
        </w:rPr>
        <w:t>239</w:t>
      </w:r>
    </w:p>
    <w:p>
      <w:pPr>
        <w:pStyle w:val="ListParagraph"/>
        <w:numPr>
          <w:ilvl w:val="0"/>
          <w:numId w:val="64"/>
        </w:numPr>
        <w:tabs>
          <w:tab w:pos="2381" w:val="left" w:leader="none"/>
          <w:tab w:pos="2382" w:val="left" w:leader="none"/>
        </w:tabs>
        <w:spacing w:line="242" w:lineRule="auto" w:before="124" w:after="0"/>
        <w:ind w:left="2381" w:right="1850" w:hanging="794"/>
        <w:jc w:val="left"/>
        <w:rPr>
          <w:sz w:val="12"/>
        </w:rPr>
      </w:pPr>
      <w:r>
        <w:rPr>
          <w:w w:val="105"/>
          <w:sz w:val="21"/>
        </w:rPr>
        <w:t>When </w:t>
      </w:r>
      <w:r>
        <w:rPr>
          <w:spacing w:val="-3"/>
          <w:w w:val="105"/>
          <w:sz w:val="21"/>
        </w:rPr>
        <w:t>fencing disputes occur </w:t>
      </w:r>
      <w:r>
        <w:rPr>
          <w:w w:val="105"/>
          <w:sz w:val="21"/>
        </w:rPr>
        <w:t>between neighbours, the </w:t>
      </w:r>
      <w:r>
        <w:rPr>
          <w:i/>
          <w:w w:val="105"/>
          <w:sz w:val="21"/>
        </w:rPr>
        <w:t>Fences Act </w:t>
      </w:r>
      <w:r>
        <w:rPr>
          <w:i/>
          <w:spacing w:val="-4"/>
          <w:w w:val="105"/>
          <w:sz w:val="21"/>
        </w:rPr>
        <w:t>1968 </w:t>
      </w:r>
      <w:r>
        <w:rPr>
          <w:w w:val="105"/>
          <w:sz w:val="21"/>
        </w:rPr>
        <w:t>(Vic) provides </w:t>
      </w:r>
      <w:r>
        <w:rPr>
          <w:spacing w:val="-3"/>
          <w:w w:val="105"/>
          <w:sz w:val="21"/>
        </w:rPr>
        <w:t>that</w:t>
      </w:r>
      <w:r>
        <w:rPr>
          <w:spacing w:val="-5"/>
          <w:w w:val="105"/>
          <w:sz w:val="21"/>
        </w:rPr>
        <w:t> </w:t>
      </w:r>
      <w:r>
        <w:rPr>
          <w:w w:val="105"/>
          <w:sz w:val="21"/>
        </w:rPr>
        <w:t>only</w:t>
      </w:r>
      <w:r>
        <w:rPr>
          <w:spacing w:val="-4"/>
          <w:w w:val="105"/>
          <w:sz w:val="21"/>
        </w:rPr>
        <w:t> </w:t>
      </w:r>
      <w:r>
        <w:rPr>
          <w:w w:val="105"/>
          <w:sz w:val="21"/>
        </w:rPr>
        <w:t>an</w:t>
      </w:r>
      <w:r>
        <w:rPr>
          <w:spacing w:val="-4"/>
          <w:w w:val="105"/>
          <w:sz w:val="21"/>
        </w:rPr>
        <w:t> </w:t>
      </w:r>
      <w:r>
        <w:rPr>
          <w:w w:val="105"/>
          <w:sz w:val="21"/>
        </w:rPr>
        <w:t>owner</w:t>
      </w:r>
      <w:r>
        <w:rPr>
          <w:spacing w:val="-4"/>
          <w:w w:val="105"/>
          <w:sz w:val="21"/>
        </w:rPr>
        <w:t> </w:t>
      </w:r>
      <w:r>
        <w:rPr>
          <w:w w:val="105"/>
          <w:sz w:val="21"/>
        </w:rPr>
        <w:t>of</w:t>
      </w:r>
      <w:r>
        <w:rPr>
          <w:spacing w:val="-4"/>
          <w:w w:val="105"/>
          <w:sz w:val="21"/>
        </w:rPr>
        <w:t> </w:t>
      </w:r>
      <w:r>
        <w:rPr>
          <w:spacing w:val="-3"/>
          <w:w w:val="105"/>
          <w:sz w:val="21"/>
        </w:rPr>
        <w:t>land</w:t>
      </w:r>
      <w:r>
        <w:rPr>
          <w:spacing w:val="-4"/>
          <w:w w:val="105"/>
          <w:sz w:val="21"/>
        </w:rPr>
        <w:t> </w:t>
      </w:r>
      <w:r>
        <w:rPr>
          <w:spacing w:val="-3"/>
          <w:w w:val="105"/>
          <w:sz w:val="21"/>
        </w:rPr>
        <w:t>may</w:t>
      </w:r>
      <w:r>
        <w:rPr>
          <w:spacing w:val="-4"/>
          <w:w w:val="105"/>
          <w:sz w:val="21"/>
        </w:rPr>
        <w:t> </w:t>
      </w:r>
      <w:r>
        <w:rPr>
          <w:spacing w:val="-3"/>
          <w:w w:val="105"/>
          <w:sz w:val="21"/>
        </w:rPr>
        <w:t>take</w:t>
      </w:r>
      <w:r>
        <w:rPr>
          <w:spacing w:val="-4"/>
          <w:w w:val="105"/>
          <w:sz w:val="21"/>
        </w:rPr>
        <w:t> </w:t>
      </w:r>
      <w:r>
        <w:rPr>
          <w:w w:val="105"/>
          <w:sz w:val="21"/>
        </w:rPr>
        <w:t>action</w:t>
      </w:r>
      <w:r>
        <w:rPr>
          <w:spacing w:val="-4"/>
          <w:w w:val="105"/>
          <w:sz w:val="21"/>
        </w:rPr>
        <w:t> </w:t>
      </w:r>
      <w:r>
        <w:rPr>
          <w:spacing w:val="-3"/>
          <w:w w:val="105"/>
          <w:sz w:val="21"/>
        </w:rPr>
        <w:t>to</w:t>
      </w:r>
      <w:r>
        <w:rPr>
          <w:spacing w:val="-4"/>
          <w:w w:val="105"/>
          <w:sz w:val="21"/>
        </w:rPr>
        <w:t> </w:t>
      </w:r>
      <w:r>
        <w:rPr>
          <w:w w:val="105"/>
          <w:sz w:val="21"/>
        </w:rPr>
        <w:t>resolve</w:t>
      </w:r>
      <w:r>
        <w:rPr>
          <w:spacing w:val="-4"/>
          <w:w w:val="105"/>
          <w:sz w:val="21"/>
        </w:rPr>
        <w:t> </w:t>
      </w:r>
      <w:r>
        <w:rPr>
          <w:spacing w:val="-3"/>
          <w:w w:val="105"/>
          <w:sz w:val="21"/>
        </w:rPr>
        <w:t>disputes</w:t>
      </w:r>
      <w:r>
        <w:rPr>
          <w:spacing w:val="-4"/>
          <w:w w:val="105"/>
          <w:sz w:val="21"/>
        </w:rPr>
        <w:t> </w:t>
      </w:r>
      <w:r>
        <w:rPr>
          <w:w w:val="105"/>
          <w:sz w:val="21"/>
        </w:rPr>
        <w:t>about</w:t>
      </w:r>
      <w:r>
        <w:rPr>
          <w:spacing w:val="-4"/>
          <w:w w:val="105"/>
          <w:sz w:val="21"/>
        </w:rPr>
        <w:t> </w:t>
      </w:r>
      <w:r>
        <w:rPr>
          <w:spacing w:val="-3"/>
          <w:w w:val="105"/>
          <w:sz w:val="21"/>
        </w:rPr>
        <w:t>fences</w:t>
      </w:r>
      <w:r>
        <w:rPr>
          <w:spacing w:val="-4"/>
          <w:w w:val="105"/>
          <w:sz w:val="21"/>
        </w:rPr>
        <w:t> </w:t>
      </w:r>
      <w:r>
        <w:rPr>
          <w:w w:val="105"/>
          <w:sz w:val="21"/>
        </w:rPr>
        <w:t>located</w:t>
      </w:r>
      <w:r>
        <w:rPr>
          <w:spacing w:val="-4"/>
          <w:w w:val="105"/>
          <w:sz w:val="21"/>
        </w:rPr>
        <w:t> </w:t>
      </w:r>
      <w:r>
        <w:rPr>
          <w:w w:val="105"/>
          <w:sz w:val="21"/>
        </w:rPr>
        <w:t>on the </w:t>
      </w:r>
      <w:r>
        <w:rPr>
          <w:spacing w:val="-2"/>
          <w:w w:val="105"/>
          <w:sz w:val="21"/>
        </w:rPr>
        <w:t>common </w:t>
      </w:r>
      <w:r>
        <w:rPr>
          <w:w w:val="105"/>
          <w:sz w:val="21"/>
        </w:rPr>
        <w:t>boundary of </w:t>
      </w:r>
      <w:r>
        <w:rPr>
          <w:spacing w:val="-3"/>
          <w:w w:val="105"/>
          <w:sz w:val="21"/>
        </w:rPr>
        <w:t>adjoining </w:t>
      </w:r>
      <w:r>
        <w:rPr>
          <w:w w:val="105"/>
          <w:sz w:val="21"/>
        </w:rPr>
        <w:t>land.</w:t>
      </w:r>
      <w:r>
        <w:rPr>
          <w:w w:val="105"/>
          <w:position w:val="7"/>
          <w:sz w:val="12"/>
        </w:rPr>
        <w:t>240 </w:t>
      </w:r>
      <w:r>
        <w:rPr>
          <w:w w:val="105"/>
          <w:sz w:val="21"/>
        </w:rPr>
        <w:t>Long-term </w:t>
      </w:r>
      <w:r>
        <w:rPr>
          <w:spacing w:val="-3"/>
          <w:w w:val="105"/>
          <w:sz w:val="21"/>
        </w:rPr>
        <w:t>tenants </w:t>
      </w:r>
      <w:r>
        <w:rPr>
          <w:w w:val="105"/>
          <w:sz w:val="21"/>
        </w:rPr>
        <w:t>with five or more years </w:t>
      </w:r>
      <w:r>
        <w:rPr>
          <w:spacing w:val="-3"/>
          <w:w w:val="105"/>
          <w:sz w:val="21"/>
        </w:rPr>
        <w:t>remaining </w:t>
      </w:r>
      <w:r>
        <w:rPr>
          <w:w w:val="105"/>
          <w:sz w:val="21"/>
        </w:rPr>
        <w:t>on their lease </w:t>
      </w:r>
      <w:r>
        <w:rPr>
          <w:spacing w:val="-3"/>
          <w:w w:val="105"/>
          <w:sz w:val="21"/>
        </w:rPr>
        <w:t>may </w:t>
      </w:r>
      <w:r>
        <w:rPr>
          <w:w w:val="105"/>
          <w:sz w:val="21"/>
        </w:rPr>
        <w:t>be </w:t>
      </w:r>
      <w:r>
        <w:rPr>
          <w:spacing w:val="-3"/>
          <w:w w:val="105"/>
          <w:sz w:val="21"/>
        </w:rPr>
        <w:t>liable to contribute to </w:t>
      </w:r>
      <w:r>
        <w:rPr>
          <w:w w:val="105"/>
          <w:sz w:val="21"/>
        </w:rPr>
        <w:t>the costs of </w:t>
      </w:r>
      <w:r>
        <w:rPr>
          <w:spacing w:val="-3"/>
          <w:w w:val="105"/>
          <w:sz w:val="21"/>
        </w:rPr>
        <w:t>fencing disputes.</w:t>
      </w:r>
      <w:r>
        <w:rPr>
          <w:spacing w:val="-3"/>
          <w:w w:val="105"/>
          <w:position w:val="7"/>
          <w:sz w:val="12"/>
        </w:rPr>
        <w:t>241</w:t>
      </w:r>
    </w:p>
    <w:p>
      <w:pPr>
        <w:pStyle w:val="Heading7"/>
      </w:pPr>
      <w:r>
        <w:rPr>
          <w:w w:val="115"/>
        </w:rPr>
        <w:t>Other jurisdictions—who can commence an action</w:t>
      </w:r>
    </w:p>
    <w:p>
      <w:pPr>
        <w:pStyle w:val="ListParagraph"/>
        <w:numPr>
          <w:ilvl w:val="0"/>
          <w:numId w:val="64"/>
        </w:numPr>
        <w:tabs>
          <w:tab w:pos="2381" w:val="left" w:leader="none"/>
          <w:tab w:pos="2382" w:val="left" w:leader="none"/>
        </w:tabs>
        <w:spacing w:line="242" w:lineRule="auto" w:before="143" w:after="0"/>
        <w:ind w:left="2381" w:right="1585" w:hanging="794"/>
        <w:jc w:val="left"/>
        <w:rPr>
          <w:sz w:val="12"/>
        </w:rPr>
      </w:pPr>
      <w:r>
        <w:rPr>
          <w:w w:val="105"/>
          <w:sz w:val="21"/>
        </w:rPr>
        <w:t>In </w:t>
      </w:r>
      <w:r>
        <w:rPr>
          <w:i/>
          <w:w w:val="105"/>
          <w:sz w:val="21"/>
        </w:rPr>
        <w:t>Robson v </w:t>
      </w:r>
      <w:r>
        <w:rPr>
          <w:i/>
          <w:spacing w:val="-3"/>
          <w:w w:val="105"/>
          <w:sz w:val="21"/>
        </w:rPr>
        <w:t>Leischke</w:t>
      </w:r>
      <w:r>
        <w:rPr>
          <w:spacing w:val="-3"/>
          <w:w w:val="105"/>
          <w:position w:val="7"/>
          <w:sz w:val="12"/>
        </w:rPr>
        <w:t>242 </w:t>
      </w:r>
      <w:r>
        <w:rPr>
          <w:w w:val="105"/>
          <w:sz w:val="21"/>
        </w:rPr>
        <w:t>the NSWLEC held </w:t>
      </w:r>
      <w:r>
        <w:rPr>
          <w:spacing w:val="-3"/>
          <w:w w:val="105"/>
          <w:sz w:val="21"/>
        </w:rPr>
        <w:t>that applications </w:t>
      </w:r>
      <w:r>
        <w:rPr>
          <w:w w:val="105"/>
          <w:sz w:val="21"/>
        </w:rPr>
        <w:t>in New South </w:t>
      </w:r>
      <w:r>
        <w:rPr>
          <w:spacing w:val="-3"/>
          <w:w w:val="105"/>
          <w:sz w:val="21"/>
        </w:rPr>
        <w:t>Wales are </w:t>
      </w:r>
      <w:r>
        <w:rPr>
          <w:w w:val="105"/>
          <w:sz w:val="21"/>
        </w:rPr>
        <w:t>firstly </w:t>
      </w:r>
      <w:r>
        <w:rPr>
          <w:spacing w:val="-3"/>
          <w:w w:val="105"/>
          <w:sz w:val="21"/>
        </w:rPr>
        <w:t>limited to </w:t>
      </w:r>
      <w:r>
        <w:rPr>
          <w:w w:val="105"/>
          <w:sz w:val="21"/>
        </w:rPr>
        <w:t>an owner of </w:t>
      </w:r>
      <w:r>
        <w:rPr>
          <w:spacing w:val="-3"/>
          <w:w w:val="105"/>
          <w:sz w:val="21"/>
        </w:rPr>
        <w:t>adjoining land and, </w:t>
      </w:r>
      <w:r>
        <w:rPr>
          <w:w w:val="105"/>
          <w:sz w:val="21"/>
        </w:rPr>
        <w:t>by extension, the </w:t>
      </w:r>
      <w:r>
        <w:rPr>
          <w:spacing w:val="-3"/>
          <w:w w:val="105"/>
          <w:sz w:val="21"/>
        </w:rPr>
        <w:t>occupier </w:t>
      </w:r>
      <w:r>
        <w:rPr>
          <w:w w:val="105"/>
          <w:sz w:val="21"/>
        </w:rPr>
        <w:t>of </w:t>
      </w:r>
      <w:r>
        <w:rPr>
          <w:spacing w:val="-3"/>
          <w:w w:val="105"/>
          <w:sz w:val="21"/>
        </w:rPr>
        <w:t>adjoining </w:t>
      </w:r>
      <w:r>
        <w:rPr>
          <w:w w:val="105"/>
          <w:sz w:val="21"/>
        </w:rPr>
        <w:t>land.</w:t>
      </w:r>
      <w:r>
        <w:rPr>
          <w:w w:val="105"/>
          <w:position w:val="7"/>
          <w:sz w:val="12"/>
        </w:rPr>
        <w:t>243</w:t>
      </w:r>
      <w:r>
        <w:rPr>
          <w:w w:val="105"/>
          <w:sz w:val="12"/>
        </w:rPr>
        <w:t> </w:t>
      </w:r>
      <w:r>
        <w:rPr>
          <w:w w:val="105"/>
          <w:sz w:val="21"/>
        </w:rPr>
        <w:t>An </w:t>
      </w:r>
      <w:r>
        <w:rPr>
          <w:spacing w:val="-3"/>
          <w:w w:val="105"/>
          <w:sz w:val="21"/>
        </w:rPr>
        <w:t>occupier </w:t>
      </w:r>
      <w:r>
        <w:rPr>
          <w:w w:val="105"/>
          <w:sz w:val="21"/>
        </w:rPr>
        <w:t>must be in physical possession of the </w:t>
      </w:r>
      <w:r>
        <w:rPr>
          <w:spacing w:val="-3"/>
          <w:w w:val="105"/>
          <w:sz w:val="21"/>
        </w:rPr>
        <w:t>land. </w:t>
      </w:r>
      <w:r>
        <w:rPr>
          <w:w w:val="105"/>
          <w:sz w:val="21"/>
        </w:rPr>
        <w:t>If the affected property </w:t>
      </w:r>
      <w:r>
        <w:rPr>
          <w:spacing w:val="-2"/>
          <w:w w:val="105"/>
          <w:sz w:val="21"/>
        </w:rPr>
        <w:t>has </w:t>
      </w:r>
      <w:r>
        <w:rPr>
          <w:spacing w:val="-3"/>
          <w:w w:val="105"/>
          <w:sz w:val="21"/>
        </w:rPr>
        <w:t>multiple</w:t>
      </w:r>
      <w:r>
        <w:rPr>
          <w:spacing w:val="-7"/>
          <w:w w:val="105"/>
          <w:sz w:val="21"/>
        </w:rPr>
        <w:t> </w:t>
      </w:r>
      <w:r>
        <w:rPr>
          <w:w w:val="105"/>
          <w:sz w:val="21"/>
        </w:rPr>
        <w:t>owners,</w:t>
      </w:r>
      <w:r>
        <w:rPr>
          <w:spacing w:val="-7"/>
          <w:w w:val="105"/>
          <w:sz w:val="21"/>
        </w:rPr>
        <w:t> </w:t>
      </w:r>
      <w:r>
        <w:rPr>
          <w:spacing w:val="-3"/>
          <w:w w:val="105"/>
          <w:sz w:val="21"/>
        </w:rPr>
        <w:t>any</w:t>
      </w:r>
      <w:r>
        <w:rPr>
          <w:spacing w:val="-6"/>
          <w:w w:val="105"/>
          <w:sz w:val="21"/>
        </w:rPr>
        <w:t> </w:t>
      </w:r>
      <w:r>
        <w:rPr>
          <w:w w:val="105"/>
          <w:sz w:val="21"/>
        </w:rPr>
        <w:t>one</w:t>
      </w:r>
      <w:r>
        <w:rPr>
          <w:spacing w:val="-7"/>
          <w:w w:val="105"/>
          <w:sz w:val="21"/>
        </w:rPr>
        <w:t> </w:t>
      </w:r>
      <w:r>
        <w:rPr>
          <w:w w:val="105"/>
          <w:sz w:val="21"/>
        </w:rPr>
        <w:t>of</w:t>
      </w:r>
      <w:r>
        <w:rPr>
          <w:spacing w:val="-6"/>
          <w:w w:val="105"/>
          <w:sz w:val="21"/>
        </w:rPr>
        <w:t> </w:t>
      </w:r>
      <w:r>
        <w:rPr>
          <w:w w:val="105"/>
          <w:sz w:val="21"/>
        </w:rPr>
        <w:t>the</w:t>
      </w:r>
      <w:r>
        <w:rPr>
          <w:spacing w:val="-7"/>
          <w:w w:val="105"/>
          <w:sz w:val="21"/>
        </w:rPr>
        <w:t> </w:t>
      </w:r>
      <w:r>
        <w:rPr>
          <w:w w:val="105"/>
          <w:sz w:val="21"/>
        </w:rPr>
        <w:t>owners</w:t>
      </w:r>
      <w:r>
        <w:rPr>
          <w:spacing w:val="-6"/>
          <w:w w:val="105"/>
          <w:sz w:val="21"/>
        </w:rPr>
        <w:t> </w:t>
      </w:r>
      <w:r>
        <w:rPr>
          <w:w w:val="105"/>
          <w:sz w:val="21"/>
        </w:rPr>
        <w:t>can</w:t>
      </w:r>
      <w:r>
        <w:rPr>
          <w:spacing w:val="-7"/>
          <w:w w:val="105"/>
          <w:sz w:val="21"/>
        </w:rPr>
        <w:t> </w:t>
      </w:r>
      <w:r>
        <w:rPr>
          <w:w w:val="105"/>
          <w:sz w:val="21"/>
        </w:rPr>
        <w:t>apply.</w:t>
      </w:r>
      <w:r>
        <w:rPr>
          <w:w w:val="105"/>
          <w:position w:val="7"/>
          <w:sz w:val="12"/>
        </w:rPr>
        <w:t>244</w:t>
      </w:r>
      <w:r>
        <w:rPr>
          <w:spacing w:val="15"/>
          <w:w w:val="105"/>
          <w:position w:val="7"/>
          <w:sz w:val="12"/>
        </w:rPr>
        <w:t> </w:t>
      </w:r>
      <w:r>
        <w:rPr>
          <w:w w:val="105"/>
          <w:sz w:val="21"/>
        </w:rPr>
        <w:t>If</w:t>
      </w:r>
      <w:r>
        <w:rPr>
          <w:spacing w:val="-6"/>
          <w:w w:val="105"/>
          <w:sz w:val="21"/>
        </w:rPr>
        <w:t> </w:t>
      </w:r>
      <w:r>
        <w:rPr>
          <w:spacing w:val="-3"/>
          <w:w w:val="105"/>
          <w:sz w:val="21"/>
        </w:rPr>
        <w:t>multiple</w:t>
      </w:r>
      <w:r>
        <w:rPr>
          <w:spacing w:val="-7"/>
          <w:w w:val="105"/>
          <w:sz w:val="21"/>
        </w:rPr>
        <w:t> </w:t>
      </w:r>
      <w:r>
        <w:rPr>
          <w:w w:val="105"/>
          <w:sz w:val="21"/>
        </w:rPr>
        <w:t>properties</w:t>
      </w:r>
      <w:r>
        <w:rPr>
          <w:spacing w:val="-6"/>
          <w:w w:val="105"/>
          <w:sz w:val="21"/>
        </w:rPr>
        <w:t> </w:t>
      </w:r>
      <w:r>
        <w:rPr>
          <w:spacing w:val="-3"/>
          <w:w w:val="105"/>
          <w:sz w:val="21"/>
        </w:rPr>
        <w:t>are</w:t>
      </w:r>
      <w:r>
        <w:rPr>
          <w:spacing w:val="-7"/>
          <w:w w:val="105"/>
          <w:sz w:val="21"/>
        </w:rPr>
        <w:t> </w:t>
      </w:r>
      <w:r>
        <w:rPr>
          <w:w w:val="105"/>
          <w:sz w:val="21"/>
        </w:rPr>
        <w:t>affected</w:t>
      </w:r>
      <w:r>
        <w:rPr>
          <w:spacing w:val="-7"/>
          <w:w w:val="105"/>
          <w:sz w:val="21"/>
        </w:rPr>
        <w:t> </w:t>
      </w:r>
      <w:r>
        <w:rPr>
          <w:w w:val="105"/>
          <w:sz w:val="21"/>
        </w:rPr>
        <w:t>by the subject </w:t>
      </w:r>
      <w:r>
        <w:rPr>
          <w:spacing w:val="-3"/>
          <w:w w:val="105"/>
          <w:sz w:val="21"/>
        </w:rPr>
        <w:t>tree, </w:t>
      </w:r>
      <w:r>
        <w:rPr>
          <w:w w:val="105"/>
          <w:sz w:val="21"/>
        </w:rPr>
        <w:t>the NSWLEC </w:t>
      </w:r>
      <w:r>
        <w:rPr>
          <w:spacing w:val="-3"/>
          <w:w w:val="105"/>
          <w:sz w:val="21"/>
        </w:rPr>
        <w:t>requires separate applications from </w:t>
      </w:r>
      <w:r>
        <w:rPr>
          <w:w w:val="105"/>
          <w:sz w:val="21"/>
        </w:rPr>
        <w:t>the owner or </w:t>
      </w:r>
      <w:r>
        <w:rPr>
          <w:spacing w:val="-3"/>
          <w:w w:val="105"/>
          <w:sz w:val="21"/>
        </w:rPr>
        <w:t>occupier </w:t>
      </w:r>
      <w:r>
        <w:rPr>
          <w:w w:val="105"/>
          <w:sz w:val="21"/>
        </w:rPr>
        <w:t>of each affected</w:t>
      </w:r>
      <w:r>
        <w:rPr>
          <w:spacing w:val="15"/>
          <w:w w:val="105"/>
          <w:sz w:val="21"/>
        </w:rPr>
        <w:t> </w:t>
      </w:r>
      <w:r>
        <w:rPr>
          <w:w w:val="105"/>
          <w:sz w:val="21"/>
        </w:rPr>
        <w:t>property.</w:t>
      </w:r>
      <w:r>
        <w:rPr>
          <w:w w:val="105"/>
          <w:position w:val="7"/>
          <w:sz w:val="12"/>
        </w:rPr>
        <w:t>245</w:t>
      </w:r>
    </w:p>
    <w:p>
      <w:pPr>
        <w:pStyle w:val="ListParagraph"/>
        <w:numPr>
          <w:ilvl w:val="0"/>
          <w:numId w:val="64"/>
        </w:numPr>
        <w:tabs>
          <w:tab w:pos="2381" w:val="left" w:leader="none"/>
          <w:tab w:pos="2382" w:val="left" w:leader="none"/>
        </w:tabs>
        <w:spacing w:line="242" w:lineRule="auto" w:before="127" w:after="0"/>
        <w:ind w:left="2381" w:right="2116" w:hanging="794"/>
        <w:jc w:val="left"/>
        <w:rPr>
          <w:sz w:val="21"/>
        </w:rPr>
      </w:pPr>
      <w:r>
        <w:rPr>
          <w:spacing w:val="-3"/>
          <w:w w:val="105"/>
          <w:sz w:val="21"/>
        </w:rPr>
        <w:t>Queensland takes </w:t>
      </w:r>
      <w:r>
        <w:rPr>
          <w:w w:val="105"/>
          <w:sz w:val="21"/>
        </w:rPr>
        <w:t>a </w:t>
      </w:r>
      <w:r>
        <w:rPr>
          <w:spacing w:val="-3"/>
          <w:w w:val="105"/>
          <w:sz w:val="21"/>
        </w:rPr>
        <w:t>slightly different approach. </w:t>
      </w:r>
      <w:r>
        <w:rPr>
          <w:spacing w:val="-4"/>
          <w:w w:val="105"/>
          <w:sz w:val="21"/>
        </w:rPr>
        <w:t>QCAT </w:t>
      </w:r>
      <w:r>
        <w:rPr>
          <w:spacing w:val="-3"/>
          <w:w w:val="105"/>
          <w:sz w:val="21"/>
        </w:rPr>
        <w:t>will </w:t>
      </w:r>
      <w:r>
        <w:rPr>
          <w:w w:val="105"/>
          <w:sz w:val="21"/>
        </w:rPr>
        <w:t>only </w:t>
      </w:r>
      <w:r>
        <w:rPr>
          <w:spacing w:val="-3"/>
          <w:w w:val="105"/>
          <w:sz w:val="21"/>
        </w:rPr>
        <w:t>accept </w:t>
      </w:r>
      <w:r>
        <w:rPr>
          <w:w w:val="105"/>
          <w:sz w:val="21"/>
        </w:rPr>
        <w:t>an application by an </w:t>
      </w:r>
      <w:r>
        <w:rPr>
          <w:spacing w:val="-3"/>
          <w:w w:val="105"/>
          <w:sz w:val="21"/>
        </w:rPr>
        <w:t>occupier </w:t>
      </w:r>
      <w:r>
        <w:rPr>
          <w:w w:val="105"/>
          <w:sz w:val="21"/>
        </w:rPr>
        <w:t>of </w:t>
      </w:r>
      <w:r>
        <w:rPr>
          <w:spacing w:val="-3"/>
          <w:w w:val="105"/>
          <w:sz w:val="21"/>
        </w:rPr>
        <w:t>land </w:t>
      </w:r>
      <w:r>
        <w:rPr>
          <w:w w:val="105"/>
          <w:sz w:val="21"/>
        </w:rPr>
        <w:t>if the </w:t>
      </w:r>
      <w:r>
        <w:rPr>
          <w:spacing w:val="-3"/>
          <w:w w:val="105"/>
          <w:sz w:val="21"/>
        </w:rPr>
        <w:t>registered </w:t>
      </w:r>
      <w:r>
        <w:rPr>
          <w:w w:val="105"/>
          <w:sz w:val="21"/>
        </w:rPr>
        <w:t>owner of the </w:t>
      </w:r>
      <w:r>
        <w:rPr>
          <w:spacing w:val="-3"/>
          <w:w w:val="105"/>
          <w:sz w:val="21"/>
        </w:rPr>
        <w:t>land </w:t>
      </w:r>
      <w:r>
        <w:rPr>
          <w:spacing w:val="-2"/>
          <w:w w:val="105"/>
          <w:sz w:val="21"/>
        </w:rPr>
        <w:t>has </w:t>
      </w:r>
      <w:r>
        <w:rPr>
          <w:spacing w:val="-3"/>
          <w:w w:val="105"/>
          <w:sz w:val="21"/>
        </w:rPr>
        <w:t>refused to </w:t>
      </w:r>
      <w:r>
        <w:rPr>
          <w:spacing w:val="-4"/>
          <w:w w:val="105"/>
          <w:sz w:val="21"/>
        </w:rPr>
        <w:t>make</w:t>
      </w:r>
      <w:r>
        <w:rPr>
          <w:spacing w:val="26"/>
          <w:w w:val="105"/>
          <w:sz w:val="21"/>
        </w:rPr>
        <w:t> </w:t>
      </w:r>
      <w:r>
        <w:rPr>
          <w:w w:val="105"/>
          <w:sz w:val="21"/>
        </w:rPr>
        <w:t>the</w:t>
      </w:r>
    </w:p>
    <w:p>
      <w:pPr>
        <w:pStyle w:val="BodyText"/>
        <w:spacing w:line="242" w:lineRule="auto" w:before="2"/>
        <w:ind w:left="2381" w:right="1649"/>
        <w:rPr>
          <w:sz w:val="12"/>
        </w:rPr>
      </w:pPr>
      <w:r>
        <w:rPr>
          <w:w w:val="105"/>
        </w:rPr>
        <w:t>application.</w:t>
      </w:r>
      <w:r>
        <w:rPr>
          <w:w w:val="105"/>
          <w:position w:val="7"/>
          <w:sz w:val="12"/>
        </w:rPr>
        <w:t>246 </w:t>
      </w:r>
      <w:r>
        <w:rPr>
          <w:spacing w:val="-4"/>
          <w:w w:val="105"/>
        </w:rPr>
        <w:t>QCAT </w:t>
      </w:r>
      <w:r>
        <w:rPr>
          <w:w w:val="105"/>
        </w:rPr>
        <w:t>also </w:t>
      </w:r>
      <w:r>
        <w:rPr>
          <w:spacing w:val="-3"/>
          <w:w w:val="105"/>
        </w:rPr>
        <w:t>requires separate applications </w:t>
      </w:r>
      <w:r>
        <w:rPr>
          <w:w w:val="105"/>
        </w:rPr>
        <w:t>if </w:t>
      </w:r>
      <w:r>
        <w:rPr>
          <w:spacing w:val="-3"/>
          <w:w w:val="105"/>
        </w:rPr>
        <w:t>multiple </w:t>
      </w:r>
      <w:r>
        <w:rPr>
          <w:w w:val="105"/>
        </w:rPr>
        <w:t>properties </w:t>
      </w:r>
      <w:r>
        <w:rPr>
          <w:spacing w:val="-3"/>
          <w:w w:val="105"/>
        </w:rPr>
        <w:t>are </w:t>
      </w:r>
      <w:r>
        <w:rPr>
          <w:w w:val="105"/>
        </w:rPr>
        <w:t>affected by the subject </w:t>
      </w:r>
      <w:r>
        <w:rPr>
          <w:spacing w:val="-3"/>
          <w:w w:val="105"/>
        </w:rPr>
        <w:t>tree. </w:t>
      </w:r>
      <w:r>
        <w:rPr>
          <w:w w:val="105"/>
        </w:rPr>
        <w:t>Joint </w:t>
      </w:r>
      <w:r>
        <w:rPr>
          <w:spacing w:val="-3"/>
          <w:w w:val="105"/>
        </w:rPr>
        <w:t>liability will </w:t>
      </w:r>
      <w:r>
        <w:rPr>
          <w:w w:val="105"/>
        </w:rPr>
        <w:t>apply if the </w:t>
      </w:r>
      <w:r>
        <w:rPr>
          <w:spacing w:val="-3"/>
          <w:w w:val="105"/>
        </w:rPr>
        <w:t>land </w:t>
      </w:r>
      <w:r>
        <w:rPr>
          <w:w w:val="105"/>
        </w:rPr>
        <w:t>on which the tree is </w:t>
      </w:r>
      <w:r>
        <w:rPr>
          <w:spacing w:val="-3"/>
          <w:w w:val="105"/>
        </w:rPr>
        <w:t>situated </w:t>
      </w:r>
      <w:r>
        <w:rPr>
          <w:spacing w:val="-2"/>
          <w:w w:val="105"/>
        </w:rPr>
        <w:t>has </w:t>
      </w:r>
      <w:r>
        <w:rPr>
          <w:spacing w:val="-3"/>
          <w:w w:val="105"/>
        </w:rPr>
        <w:t>multiple </w:t>
      </w:r>
      <w:r>
        <w:rPr>
          <w:w w:val="105"/>
        </w:rPr>
        <w:t>owners.</w:t>
      </w:r>
      <w:r>
        <w:rPr>
          <w:w w:val="105"/>
          <w:position w:val="7"/>
          <w:sz w:val="12"/>
        </w:rPr>
        <w:t>247 </w:t>
      </w:r>
      <w:r>
        <w:rPr>
          <w:w w:val="105"/>
        </w:rPr>
        <w:t>It is </w:t>
      </w:r>
      <w:r>
        <w:rPr>
          <w:spacing w:val="-3"/>
          <w:w w:val="105"/>
        </w:rPr>
        <w:t>rare for </w:t>
      </w:r>
      <w:r>
        <w:rPr>
          <w:w w:val="105"/>
        </w:rPr>
        <w:t>occupiers of </w:t>
      </w:r>
      <w:r>
        <w:rPr>
          <w:spacing w:val="-3"/>
          <w:w w:val="105"/>
        </w:rPr>
        <w:t>land to </w:t>
      </w:r>
      <w:r>
        <w:rPr>
          <w:spacing w:val="-4"/>
          <w:w w:val="105"/>
        </w:rPr>
        <w:t>make </w:t>
      </w:r>
      <w:r>
        <w:rPr>
          <w:w w:val="105"/>
        </w:rPr>
        <w:t>an application </w:t>
      </w:r>
      <w:r>
        <w:rPr>
          <w:spacing w:val="-3"/>
          <w:w w:val="105"/>
        </w:rPr>
        <w:t>to </w:t>
      </w:r>
      <w:r>
        <w:rPr>
          <w:w w:val="105"/>
        </w:rPr>
        <w:t>the </w:t>
      </w:r>
      <w:r>
        <w:rPr>
          <w:spacing w:val="-5"/>
          <w:w w:val="105"/>
        </w:rPr>
        <w:t>Tribunal. </w:t>
      </w:r>
      <w:r>
        <w:rPr>
          <w:spacing w:val="-4"/>
          <w:w w:val="105"/>
        </w:rPr>
        <w:t>However, </w:t>
      </w:r>
      <w:r>
        <w:rPr>
          <w:w w:val="105"/>
        </w:rPr>
        <w:t>this </w:t>
      </w:r>
      <w:r>
        <w:rPr>
          <w:spacing w:val="-3"/>
          <w:w w:val="105"/>
        </w:rPr>
        <w:t>may </w:t>
      </w:r>
      <w:r>
        <w:rPr>
          <w:w w:val="105"/>
        </w:rPr>
        <w:t>arise where a </w:t>
      </w:r>
      <w:r>
        <w:rPr>
          <w:spacing w:val="-3"/>
          <w:w w:val="105"/>
        </w:rPr>
        <w:t>landlord </w:t>
      </w:r>
      <w:r>
        <w:rPr>
          <w:w w:val="105"/>
        </w:rPr>
        <w:t>is overseas or </w:t>
      </w:r>
      <w:r>
        <w:rPr>
          <w:spacing w:val="-3"/>
          <w:w w:val="105"/>
        </w:rPr>
        <w:t>cannot </w:t>
      </w:r>
      <w:r>
        <w:rPr>
          <w:w w:val="105"/>
        </w:rPr>
        <w:t>be located.</w:t>
      </w:r>
      <w:r>
        <w:rPr>
          <w:w w:val="105"/>
          <w:position w:val="7"/>
          <w:sz w:val="12"/>
        </w:rPr>
        <w:t>248</w:t>
      </w:r>
    </w:p>
    <w:p>
      <w:pPr>
        <w:pStyle w:val="ListParagraph"/>
        <w:numPr>
          <w:ilvl w:val="0"/>
          <w:numId w:val="64"/>
        </w:numPr>
        <w:tabs>
          <w:tab w:pos="2381" w:val="left" w:leader="none"/>
          <w:tab w:pos="2382" w:val="left" w:leader="none"/>
        </w:tabs>
        <w:spacing w:line="242" w:lineRule="auto" w:before="124" w:after="0"/>
        <w:ind w:left="2381" w:right="1691" w:hanging="794"/>
        <w:jc w:val="left"/>
        <w:rPr>
          <w:sz w:val="21"/>
        </w:rPr>
      </w:pPr>
      <w:r>
        <w:rPr>
          <w:w w:val="105"/>
          <w:sz w:val="21"/>
        </w:rPr>
        <w:t>The </w:t>
      </w:r>
      <w:r>
        <w:rPr>
          <w:spacing w:val="-4"/>
          <w:w w:val="105"/>
          <w:sz w:val="21"/>
        </w:rPr>
        <w:t>Tasmanian </w:t>
      </w:r>
      <w:r>
        <w:rPr>
          <w:w w:val="105"/>
          <w:sz w:val="21"/>
        </w:rPr>
        <w:t>Act operates in a </w:t>
      </w:r>
      <w:r>
        <w:rPr>
          <w:spacing w:val="-3"/>
          <w:w w:val="105"/>
          <w:sz w:val="21"/>
        </w:rPr>
        <w:t>similar way to </w:t>
      </w:r>
      <w:r>
        <w:rPr>
          <w:w w:val="105"/>
          <w:sz w:val="21"/>
        </w:rPr>
        <w:t>the </w:t>
      </w:r>
      <w:r>
        <w:rPr>
          <w:spacing w:val="-3"/>
          <w:w w:val="105"/>
          <w:sz w:val="21"/>
        </w:rPr>
        <w:t>Queensland </w:t>
      </w:r>
      <w:r>
        <w:rPr>
          <w:w w:val="105"/>
          <w:sz w:val="21"/>
        </w:rPr>
        <w:t>Act. While an owner or </w:t>
      </w:r>
      <w:r>
        <w:rPr>
          <w:spacing w:val="-3"/>
          <w:w w:val="105"/>
          <w:sz w:val="21"/>
        </w:rPr>
        <w:t>occupier </w:t>
      </w:r>
      <w:r>
        <w:rPr>
          <w:w w:val="105"/>
          <w:sz w:val="21"/>
        </w:rPr>
        <w:t>of </w:t>
      </w:r>
      <w:r>
        <w:rPr>
          <w:spacing w:val="-3"/>
          <w:w w:val="105"/>
          <w:sz w:val="21"/>
        </w:rPr>
        <w:t>land </w:t>
      </w:r>
      <w:r>
        <w:rPr>
          <w:w w:val="105"/>
          <w:sz w:val="21"/>
        </w:rPr>
        <w:t>can apply </w:t>
      </w:r>
      <w:r>
        <w:rPr>
          <w:spacing w:val="-3"/>
          <w:w w:val="105"/>
          <w:sz w:val="21"/>
        </w:rPr>
        <w:t>for </w:t>
      </w:r>
      <w:r>
        <w:rPr>
          <w:w w:val="105"/>
          <w:sz w:val="21"/>
        </w:rPr>
        <w:t>an order under the </w:t>
      </w:r>
      <w:r>
        <w:rPr>
          <w:spacing w:val="-4"/>
          <w:w w:val="105"/>
          <w:sz w:val="21"/>
        </w:rPr>
        <w:t>Tasmanian </w:t>
      </w:r>
      <w:r>
        <w:rPr>
          <w:w w:val="105"/>
          <w:sz w:val="21"/>
        </w:rPr>
        <w:t>Act, a person who is </w:t>
      </w:r>
      <w:r>
        <w:rPr>
          <w:spacing w:val="-2"/>
          <w:w w:val="105"/>
          <w:sz w:val="21"/>
        </w:rPr>
        <w:t>not </w:t>
      </w:r>
      <w:r>
        <w:rPr>
          <w:w w:val="105"/>
          <w:sz w:val="21"/>
        </w:rPr>
        <w:t>an owner of the </w:t>
      </w:r>
      <w:r>
        <w:rPr>
          <w:spacing w:val="-3"/>
          <w:w w:val="105"/>
          <w:sz w:val="21"/>
        </w:rPr>
        <w:t>land </w:t>
      </w:r>
      <w:r>
        <w:rPr>
          <w:w w:val="105"/>
          <w:sz w:val="21"/>
        </w:rPr>
        <w:t>can only apply</w:t>
      </w:r>
      <w:r>
        <w:rPr>
          <w:spacing w:val="37"/>
          <w:w w:val="105"/>
          <w:sz w:val="21"/>
        </w:rPr>
        <w:t> </w:t>
      </w:r>
      <w:r>
        <w:rPr>
          <w:w w:val="105"/>
          <w:sz w:val="21"/>
        </w:rPr>
        <w:t>if:</w:t>
      </w:r>
    </w:p>
    <w:p>
      <w:pPr>
        <w:pStyle w:val="ListParagraph"/>
        <w:numPr>
          <w:ilvl w:val="1"/>
          <w:numId w:val="64"/>
        </w:numPr>
        <w:tabs>
          <w:tab w:pos="2721" w:val="left" w:leader="none"/>
          <w:tab w:pos="2722" w:val="left" w:leader="none"/>
        </w:tabs>
        <w:spacing w:line="242" w:lineRule="auto" w:before="123" w:after="0"/>
        <w:ind w:left="2721" w:right="1713" w:hanging="340"/>
        <w:jc w:val="left"/>
        <w:rPr>
          <w:sz w:val="21"/>
        </w:rPr>
      </w:pPr>
      <w:r>
        <w:rPr>
          <w:w w:val="105"/>
          <w:sz w:val="21"/>
        </w:rPr>
        <w:t>the</w:t>
      </w:r>
      <w:r>
        <w:rPr>
          <w:spacing w:val="-4"/>
          <w:w w:val="105"/>
          <w:sz w:val="21"/>
        </w:rPr>
        <w:t> </w:t>
      </w:r>
      <w:r>
        <w:rPr>
          <w:w w:val="105"/>
          <w:sz w:val="21"/>
        </w:rPr>
        <w:t>person</w:t>
      </w:r>
      <w:r>
        <w:rPr>
          <w:spacing w:val="-4"/>
          <w:w w:val="105"/>
          <w:sz w:val="21"/>
        </w:rPr>
        <w:t> </w:t>
      </w:r>
      <w:r>
        <w:rPr>
          <w:w w:val="105"/>
          <w:sz w:val="21"/>
        </w:rPr>
        <w:t>has,</w:t>
      </w:r>
      <w:r>
        <w:rPr>
          <w:spacing w:val="-4"/>
          <w:w w:val="105"/>
          <w:sz w:val="21"/>
        </w:rPr>
        <w:t> </w:t>
      </w:r>
      <w:r>
        <w:rPr>
          <w:w w:val="105"/>
          <w:sz w:val="21"/>
        </w:rPr>
        <w:t>in</w:t>
      </w:r>
      <w:r>
        <w:rPr>
          <w:spacing w:val="-3"/>
          <w:w w:val="105"/>
          <w:sz w:val="21"/>
        </w:rPr>
        <w:t> </w:t>
      </w:r>
      <w:r>
        <w:rPr>
          <w:w w:val="105"/>
          <w:sz w:val="21"/>
        </w:rPr>
        <w:t>writing</w:t>
      </w:r>
      <w:r>
        <w:rPr>
          <w:spacing w:val="-4"/>
          <w:w w:val="105"/>
          <w:sz w:val="21"/>
        </w:rPr>
        <w:t> </w:t>
      </w:r>
      <w:r>
        <w:rPr>
          <w:spacing w:val="-3"/>
          <w:w w:val="105"/>
          <w:sz w:val="21"/>
        </w:rPr>
        <w:t>to</w:t>
      </w:r>
      <w:r>
        <w:rPr>
          <w:spacing w:val="-4"/>
          <w:w w:val="105"/>
          <w:sz w:val="21"/>
        </w:rPr>
        <w:t> </w:t>
      </w:r>
      <w:r>
        <w:rPr>
          <w:w w:val="105"/>
          <w:sz w:val="21"/>
        </w:rPr>
        <w:t>the</w:t>
      </w:r>
      <w:r>
        <w:rPr>
          <w:spacing w:val="-3"/>
          <w:w w:val="105"/>
          <w:sz w:val="21"/>
        </w:rPr>
        <w:t> </w:t>
      </w:r>
      <w:r>
        <w:rPr>
          <w:spacing w:val="-4"/>
          <w:w w:val="105"/>
          <w:sz w:val="21"/>
        </w:rPr>
        <w:t>owner, </w:t>
      </w:r>
      <w:r>
        <w:rPr>
          <w:w w:val="105"/>
          <w:sz w:val="21"/>
        </w:rPr>
        <w:t>requested</w:t>
      </w:r>
      <w:r>
        <w:rPr>
          <w:spacing w:val="-4"/>
          <w:w w:val="105"/>
          <w:sz w:val="21"/>
        </w:rPr>
        <w:t> </w:t>
      </w:r>
      <w:r>
        <w:rPr>
          <w:w w:val="105"/>
          <w:sz w:val="21"/>
        </w:rPr>
        <w:t>the</w:t>
      </w:r>
      <w:r>
        <w:rPr>
          <w:spacing w:val="-3"/>
          <w:w w:val="105"/>
          <w:sz w:val="21"/>
        </w:rPr>
        <w:t> </w:t>
      </w:r>
      <w:r>
        <w:rPr>
          <w:w w:val="105"/>
          <w:sz w:val="21"/>
        </w:rPr>
        <w:t>owner</w:t>
      </w:r>
      <w:r>
        <w:rPr>
          <w:spacing w:val="-4"/>
          <w:w w:val="105"/>
          <w:sz w:val="21"/>
        </w:rPr>
        <w:t> </w:t>
      </w:r>
      <w:r>
        <w:rPr>
          <w:w w:val="105"/>
          <w:sz w:val="21"/>
        </w:rPr>
        <w:t>of</w:t>
      </w:r>
      <w:r>
        <w:rPr>
          <w:spacing w:val="-4"/>
          <w:w w:val="105"/>
          <w:sz w:val="21"/>
        </w:rPr>
        <w:t> </w:t>
      </w:r>
      <w:r>
        <w:rPr>
          <w:w w:val="105"/>
          <w:sz w:val="21"/>
        </w:rPr>
        <w:t>the</w:t>
      </w:r>
      <w:r>
        <w:rPr>
          <w:spacing w:val="-3"/>
          <w:w w:val="105"/>
          <w:sz w:val="21"/>
        </w:rPr>
        <w:t> land</w:t>
      </w:r>
      <w:r>
        <w:rPr>
          <w:spacing w:val="-4"/>
          <w:w w:val="105"/>
          <w:sz w:val="21"/>
        </w:rPr>
        <w:t> </w:t>
      </w:r>
      <w:r>
        <w:rPr>
          <w:spacing w:val="-3"/>
          <w:w w:val="105"/>
          <w:sz w:val="21"/>
        </w:rPr>
        <w:t>to</w:t>
      </w:r>
      <w:r>
        <w:rPr>
          <w:spacing w:val="-4"/>
          <w:w w:val="105"/>
          <w:sz w:val="21"/>
        </w:rPr>
        <w:t> make</w:t>
      </w:r>
      <w:r>
        <w:rPr>
          <w:spacing w:val="-3"/>
          <w:w w:val="105"/>
          <w:sz w:val="21"/>
        </w:rPr>
        <w:t> </w:t>
      </w:r>
      <w:r>
        <w:rPr>
          <w:w w:val="105"/>
          <w:sz w:val="21"/>
        </w:rPr>
        <w:t>an </w:t>
      </w:r>
      <w:r>
        <w:rPr>
          <w:spacing w:val="-3"/>
          <w:w w:val="105"/>
          <w:sz w:val="21"/>
        </w:rPr>
        <w:t>application,</w:t>
      </w:r>
      <w:r>
        <w:rPr>
          <w:spacing w:val="5"/>
          <w:w w:val="105"/>
          <w:sz w:val="21"/>
        </w:rPr>
        <w:t> </w:t>
      </w:r>
      <w:r>
        <w:rPr>
          <w:w w:val="105"/>
          <w:sz w:val="21"/>
        </w:rPr>
        <w:t>and</w:t>
      </w:r>
    </w:p>
    <w:p>
      <w:pPr>
        <w:pStyle w:val="ListParagraph"/>
        <w:numPr>
          <w:ilvl w:val="1"/>
          <w:numId w:val="64"/>
        </w:numPr>
        <w:tabs>
          <w:tab w:pos="2721" w:val="left" w:leader="none"/>
          <w:tab w:pos="2722" w:val="left" w:leader="none"/>
        </w:tabs>
        <w:spacing w:line="240" w:lineRule="auto" w:before="88" w:after="0"/>
        <w:ind w:left="2721" w:right="0" w:hanging="340"/>
        <w:jc w:val="left"/>
        <w:rPr>
          <w:sz w:val="12"/>
        </w:rPr>
      </w:pPr>
      <w:r>
        <w:rPr>
          <w:w w:val="105"/>
          <w:sz w:val="21"/>
        </w:rPr>
        <w:t>the owner </w:t>
      </w:r>
      <w:r>
        <w:rPr>
          <w:spacing w:val="-2"/>
          <w:w w:val="105"/>
          <w:sz w:val="21"/>
        </w:rPr>
        <w:t>has </w:t>
      </w:r>
      <w:r>
        <w:rPr>
          <w:spacing w:val="-3"/>
          <w:w w:val="105"/>
          <w:sz w:val="21"/>
        </w:rPr>
        <w:t>refused to </w:t>
      </w:r>
      <w:r>
        <w:rPr>
          <w:w w:val="105"/>
          <w:sz w:val="21"/>
        </w:rPr>
        <w:t>comply with the request </w:t>
      </w:r>
      <w:r>
        <w:rPr>
          <w:spacing w:val="-3"/>
          <w:w w:val="105"/>
          <w:sz w:val="21"/>
        </w:rPr>
        <w:t>within 42</w:t>
      </w:r>
      <w:r>
        <w:rPr>
          <w:spacing w:val="8"/>
          <w:w w:val="105"/>
          <w:sz w:val="21"/>
        </w:rPr>
        <w:t> </w:t>
      </w:r>
      <w:r>
        <w:rPr>
          <w:w w:val="105"/>
          <w:sz w:val="21"/>
        </w:rPr>
        <w:t>days.</w:t>
      </w:r>
      <w:r>
        <w:rPr>
          <w:w w:val="105"/>
          <w:position w:val="7"/>
          <w:sz w:val="12"/>
        </w:rPr>
        <w:t>249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3"/>
        </w:rPr>
      </w:pPr>
      <w:r>
        <w:rPr/>
        <w:pict>
          <v:line style="position:absolute;mso-position-horizontal-relative:page;mso-position-vertical-relative:paragraph;z-index:4664;mso-wrap-distance-left:0;mso-wrap-distance-right:0" from="79.370003pt,10.574763pt" to="515.905003pt,10.574763pt" stroked="true" strokeweight="1pt" strokecolor="#c9d2cb">
            <v:stroke dashstyle="solid"/>
            <w10:wrap type="topAndBottom"/>
          </v:line>
        </w:pict>
      </w:r>
    </w:p>
    <w:p>
      <w:pPr>
        <w:pStyle w:val="ListParagraph"/>
        <w:numPr>
          <w:ilvl w:val="0"/>
          <w:numId w:val="67"/>
        </w:numPr>
        <w:tabs>
          <w:tab w:pos="2381" w:val="left" w:leader="none"/>
          <w:tab w:pos="2382" w:val="left" w:leader="none"/>
        </w:tabs>
        <w:spacing w:line="240" w:lineRule="auto" w:before="117" w:after="0"/>
        <w:ind w:left="2381" w:right="0" w:hanging="794"/>
        <w:jc w:val="left"/>
        <w:rPr>
          <w:sz w:val="13"/>
        </w:rPr>
      </w:pPr>
      <w:r>
        <w:rPr>
          <w:w w:val="105"/>
          <w:sz w:val="13"/>
        </w:rPr>
        <w:t>See,</w:t>
      </w:r>
      <w:r>
        <w:rPr>
          <w:spacing w:val="6"/>
          <w:w w:val="105"/>
          <w:sz w:val="13"/>
        </w:rPr>
        <w:t> </w:t>
      </w:r>
      <w:r>
        <w:rPr>
          <w:w w:val="105"/>
          <w:sz w:val="13"/>
        </w:rPr>
        <w:t>eg,</w:t>
      </w:r>
      <w:r>
        <w:rPr>
          <w:spacing w:val="6"/>
          <w:w w:val="105"/>
          <w:sz w:val="13"/>
        </w:rPr>
        <w:t> </w:t>
      </w:r>
      <w:r>
        <w:rPr>
          <w:i/>
          <w:w w:val="105"/>
          <w:sz w:val="13"/>
        </w:rPr>
        <w:t>Australian</w:t>
      </w:r>
      <w:r>
        <w:rPr>
          <w:i/>
          <w:spacing w:val="7"/>
          <w:w w:val="105"/>
          <w:sz w:val="13"/>
        </w:rPr>
        <w:t> </w:t>
      </w:r>
      <w:r>
        <w:rPr>
          <w:i/>
          <w:w w:val="105"/>
          <w:sz w:val="13"/>
        </w:rPr>
        <w:t>Conservation</w:t>
      </w:r>
      <w:r>
        <w:rPr>
          <w:i/>
          <w:spacing w:val="6"/>
          <w:w w:val="105"/>
          <w:sz w:val="13"/>
        </w:rPr>
        <w:t> </w:t>
      </w:r>
      <w:r>
        <w:rPr>
          <w:i/>
          <w:w w:val="105"/>
          <w:sz w:val="13"/>
        </w:rPr>
        <w:t>Foundation</w:t>
      </w:r>
      <w:r>
        <w:rPr>
          <w:i/>
          <w:spacing w:val="6"/>
          <w:w w:val="105"/>
          <w:sz w:val="13"/>
        </w:rPr>
        <w:t> </w:t>
      </w:r>
      <w:r>
        <w:rPr>
          <w:i/>
          <w:w w:val="105"/>
          <w:sz w:val="13"/>
        </w:rPr>
        <w:t>Inc</w:t>
      </w:r>
      <w:r>
        <w:rPr>
          <w:i/>
          <w:spacing w:val="7"/>
          <w:w w:val="105"/>
          <w:sz w:val="13"/>
        </w:rPr>
        <w:t> </w:t>
      </w:r>
      <w:r>
        <w:rPr>
          <w:i/>
          <w:w w:val="105"/>
          <w:sz w:val="13"/>
        </w:rPr>
        <w:t>v</w:t>
      </w:r>
      <w:r>
        <w:rPr>
          <w:i/>
          <w:spacing w:val="6"/>
          <w:w w:val="105"/>
          <w:sz w:val="13"/>
        </w:rPr>
        <w:t> </w:t>
      </w:r>
      <w:r>
        <w:rPr>
          <w:i/>
          <w:w w:val="105"/>
          <w:sz w:val="13"/>
        </w:rPr>
        <w:t>Commonwealth</w:t>
      </w:r>
      <w:r>
        <w:rPr>
          <w:i/>
          <w:spacing w:val="6"/>
          <w:w w:val="105"/>
          <w:sz w:val="13"/>
        </w:rPr>
        <w:t> </w:t>
      </w:r>
      <w:r>
        <w:rPr>
          <w:w w:val="105"/>
          <w:sz w:val="13"/>
        </w:rPr>
        <w:t>(1980)</w:t>
      </w:r>
      <w:r>
        <w:rPr>
          <w:spacing w:val="7"/>
          <w:w w:val="105"/>
          <w:sz w:val="13"/>
        </w:rPr>
        <w:t> </w:t>
      </w:r>
      <w:r>
        <w:rPr>
          <w:w w:val="105"/>
          <w:sz w:val="13"/>
        </w:rPr>
        <w:t>146</w:t>
      </w:r>
      <w:r>
        <w:rPr>
          <w:spacing w:val="6"/>
          <w:w w:val="105"/>
          <w:sz w:val="13"/>
        </w:rPr>
        <w:t> </w:t>
      </w:r>
      <w:r>
        <w:rPr>
          <w:w w:val="105"/>
          <w:sz w:val="13"/>
        </w:rPr>
        <w:t>CLR</w:t>
      </w:r>
      <w:r>
        <w:rPr>
          <w:spacing w:val="6"/>
          <w:w w:val="105"/>
          <w:sz w:val="13"/>
        </w:rPr>
        <w:t> </w:t>
      </w:r>
      <w:r>
        <w:rPr>
          <w:w w:val="105"/>
          <w:sz w:val="13"/>
        </w:rPr>
        <w:t>493;</w:t>
      </w:r>
      <w:r>
        <w:rPr>
          <w:spacing w:val="7"/>
          <w:w w:val="105"/>
          <w:sz w:val="13"/>
        </w:rPr>
        <w:t> </w:t>
      </w:r>
      <w:r>
        <w:rPr>
          <w:i/>
          <w:w w:val="105"/>
          <w:sz w:val="13"/>
        </w:rPr>
        <w:t>Onus</w:t>
      </w:r>
      <w:r>
        <w:rPr>
          <w:i/>
          <w:spacing w:val="6"/>
          <w:w w:val="105"/>
          <w:sz w:val="13"/>
        </w:rPr>
        <w:t> </w:t>
      </w:r>
      <w:r>
        <w:rPr>
          <w:i/>
          <w:w w:val="105"/>
          <w:sz w:val="13"/>
        </w:rPr>
        <w:t>v</w:t>
      </w:r>
      <w:r>
        <w:rPr>
          <w:i/>
          <w:spacing w:val="6"/>
          <w:w w:val="105"/>
          <w:sz w:val="13"/>
        </w:rPr>
        <w:t> </w:t>
      </w:r>
      <w:r>
        <w:rPr>
          <w:i/>
          <w:w w:val="105"/>
          <w:sz w:val="13"/>
        </w:rPr>
        <w:t>Alcoa</w:t>
      </w:r>
      <w:r>
        <w:rPr>
          <w:i/>
          <w:spacing w:val="7"/>
          <w:w w:val="105"/>
          <w:sz w:val="13"/>
        </w:rPr>
        <w:t> </w:t>
      </w:r>
      <w:r>
        <w:rPr>
          <w:i/>
          <w:w w:val="105"/>
          <w:sz w:val="13"/>
        </w:rPr>
        <w:t>of</w:t>
      </w:r>
      <w:r>
        <w:rPr>
          <w:i/>
          <w:spacing w:val="6"/>
          <w:w w:val="105"/>
          <w:sz w:val="13"/>
        </w:rPr>
        <w:t> </w:t>
      </w:r>
      <w:r>
        <w:rPr>
          <w:i/>
          <w:w w:val="105"/>
          <w:sz w:val="13"/>
        </w:rPr>
        <w:t>Australia</w:t>
      </w:r>
      <w:r>
        <w:rPr>
          <w:i/>
          <w:spacing w:val="6"/>
          <w:w w:val="105"/>
          <w:sz w:val="13"/>
        </w:rPr>
        <w:t> </w:t>
      </w:r>
      <w:r>
        <w:rPr>
          <w:i/>
          <w:w w:val="105"/>
          <w:sz w:val="13"/>
        </w:rPr>
        <w:t>Ltd</w:t>
      </w:r>
      <w:r>
        <w:rPr>
          <w:i/>
          <w:spacing w:val="7"/>
          <w:w w:val="105"/>
          <w:sz w:val="13"/>
        </w:rPr>
        <w:t> </w:t>
      </w:r>
      <w:r>
        <w:rPr>
          <w:i/>
          <w:w w:val="105"/>
          <w:sz w:val="13"/>
        </w:rPr>
        <w:t>(</w:t>
      </w:r>
      <w:r>
        <w:rPr>
          <w:w w:val="105"/>
          <w:sz w:val="13"/>
        </w:rPr>
        <w:t>1981)</w:t>
      </w:r>
      <w:r>
        <w:rPr>
          <w:spacing w:val="6"/>
          <w:w w:val="105"/>
          <w:sz w:val="13"/>
        </w:rPr>
        <w:t> </w:t>
      </w:r>
      <w:r>
        <w:rPr>
          <w:w w:val="105"/>
          <w:sz w:val="13"/>
        </w:rPr>
        <w:t>149</w:t>
      </w:r>
      <w:r>
        <w:rPr>
          <w:spacing w:val="6"/>
          <w:w w:val="105"/>
          <w:sz w:val="13"/>
        </w:rPr>
        <w:t> </w:t>
      </w:r>
      <w:r>
        <w:rPr>
          <w:w w:val="105"/>
          <w:sz w:val="13"/>
        </w:rPr>
        <w:t>CLR</w:t>
      </w:r>
      <w:r>
        <w:rPr>
          <w:spacing w:val="7"/>
          <w:w w:val="105"/>
          <w:sz w:val="13"/>
        </w:rPr>
        <w:t> </w:t>
      </w:r>
      <w:r>
        <w:rPr>
          <w:spacing w:val="-4"/>
          <w:w w:val="105"/>
          <w:sz w:val="13"/>
        </w:rPr>
        <w:t>27.</w:t>
      </w:r>
    </w:p>
    <w:p>
      <w:pPr>
        <w:pStyle w:val="ListParagraph"/>
        <w:numPr>
          <w:ilvl w:val="0"/>
          <w:numId w:val="67"/>
        </w:numPr>
        <w:tabs>
          <w:tab w:pos="2381" w:val="left" w:leader="none"/>
          <w:tab w:pos="2382" w:val="left" w:leader="none"/>
        </w:tabs>
        <w:spacing w:line="240" w:lineRule="auto" w:before="1" w:after="0"/>
        <w:ind w:left="2381" w:right="1873" w:hanging="794"/>
        <w:jc w:val="both"/>
        <w:rPr>
          <w:sz w:val="13"/>
        </w:rPr>
      </w:pPr>
      <w:r>
        <w:rPr>
          <w:sz w:val="13"/>
        </w:rPr>
        <w:t>LexisNexis, </w:t>
      </w:r>
      <w:r>
        <w:rPr>
          <w:i/>
          <w:sz w:val="13"/>
        </w:rPr>
        <w:t>Halsbury’s The Laws of Australia </w:t>
      </w:r>
      <w:r>
        <w:rPr>
          <w:sz w:val="13"/>
        </w:rPr>
        <w:t>(at 21 March 2018) </w:t>
      </w:r>
      <w:r>
        <w:rPr>
          <w:spacing w:val="-4"/>
          <w:sz w:val="13"/>
        </w:rPr>
        <w:t>415  </w:t>
      </w:r>
      <w:r>
        <w:rPr>
          <w:sz w:val="13"/>
        </w:rPr>
        <w:t>Tort, ‘Title to Sue’ </w:t>
      </w:r>
      <w:r>
        <w:rPr>
          <w:spacing w:val="2"/>
          <w:sz w:val="13"/>
        </w:rPr>
        <w:t>[415-640]; </w:t>
      </w:r>
      <w:r>
        <w:rPr>
          <w:sz w:val="13"/>
        </w:rPr>
        <w:t>See also </w:t>
      </w:r>
      <w:r>
        <w:rPr>
          <w:i/>
          <w:sz w:val="13"/>
        </w:rPr>
        <w:t>Stockwell v State of Victoria        </w:t>
      </w:r>
      <w:r>
        <w:rPr>
          <w:sz w:val="13"/>
        </w:rPr>
        <w:t>[2001] VSC 497 [241]. Mere licensees or occupiers do not have title to sue in private nuisance, unless there are particular circumstances       which alter that</w:t>
      </w:r>
      <w:r>
        <w:rPr>
          <w:spacing w:val="18"/>
          <w:sz w:val="13"/>
        </w:rPr>
        <w:t> </w:t>
      </w:r>
      <w:r>
        <w:rPr>
          <w:sz w:val="13"/>
        </w:rPr>
        <w:t>status.</w:t>
      </w:r>
    </w:p>
    <w:p>
      <w:pPr>
        <w:pStyle w:val="ListParagraph"/>
        <w:numPr>
          <w:ilvl w:val="0"/>
          <w:numId w:val="67"/>
        </w:numPr>
        <w:tabs>
          <w:tab w:pos="2381" w:val="left" w:leader="none"/>
          <w:tab w:pos="2382" w:val="left" w:leader="none"/>
        </w:tabs>
        <w:spacing w:line="240" w:lineRule="auto" w:before="4" w:after="0"/>
        <w:ind w:left="2381" w:right="0" w:hanging="794"/>
        <w:jc w:val="left"/>
        <w:rPr>
          <w:sz w:val="13"/>
        </w:rPr>
      </w:pPr>
      <w:r>
        <w:rPr>
          <w:i/>
          <w:w w:val="105"/>
          <w:sz w:val="13"/>
        </w:rPr>
        <w:t>Fences</w:t>
      </w:r>
      <w:r>
        <w:rPr>
          <w:i/>
          <w:spacing w:val="4"/>
          <w:w w:val="105"/>
          <w:sz w:val="13"/>
        </w:rPr>
        <w:t> </w:t>
      </w:r>
      <w:r>
        <w:rPr>
          <w:i/>
          <w:w w:val="105"/>
          <w:sz w:val="13"/>
        </w:rPr>
        <w:t>Act</w:t>
      </w:r>
      <w:r>
        <w:rPr>
          <w:i/>
          <w:spacing w:val="5"/>
          <w:w w:val="105"/>
          <w:sz w:val="13"/>
        </w:rPr>
        <w:t> </w:t>
      </w:r>
      <w:r>
        <w:rPr>
          <w:i/>
          <w:w w:val="105"/>
          <w:sz w:val="13"/>
        </w:rPr>
        <w:t>1968</w:t>
      </w:r>
      <w:r>
        <w:rPr>
          <w:i/>
          <w:spacing w:val="5"/>
          <w:w w:val="105"/>
          <w:sz w:val="13"/>
        </w:rPr>
        <w:t> </w:t>
      </w:r>
      <w:r>
        <w:rPr>
          <w:spacing w:val="2"/>
          <w:w w:val="105"/>
          <w:sz w:val="13"/>
        </w:rPr>
        <w:t>(Vic)</w:t>
      </w:r>
      <w:r>
        <w:rPr>
          <w:spacing w:val="4"/>
          <w:w w:val="105"/>
          <w:sz w:val="13"/>
        </w:rPr>
        <w:t> </w:t>
      </w:r>
      <w:r>
        <w:rPr>
          <w:w w:val="105"/>
          <w:sz w:val="13"/>
        </w:rPr>
        <w:t>s</w:t>
      </w:r>
      <w:r>
        <w:rPr>
          <w:spacing w:val="5"/>
          <w:w w:val="105"/>
          <w:sz w:val="13"/>
        </w:rPr>
        <w:t> </w:t>
      </w:r>
      <w:r>
        <w:rPr>
          <w:w w:val="105"/>
          <w:sz w:val="13"/>
        </w:rPr>
        <w:t>4.</w:t>
      </w:r>
      <w:r>
        <w:rPr>
          <w:spacing w:val="5"/>
          <w:w w:val="105"/>
          <w:sz w:val="13"/>
        </w:rPr>
        <w:t> </w:t>
      </w:r>
      <w:r>
        <w:rPr>
          <w:w w:val="105"/>
          <w:sz w:val="13"/>
        </w:rPr>
        <w:t>This</w:t>
      </w:r>
      <w:r>
        <w:rPr>
          <w:spacing w:val="4"/>
          <w:w w:val="105"/>
          <w:sz w:val="13"/>
        </w:rPr>
        <w:t> </w:t>
      </w:r>
      <w:r>
        <w:rPr>
          <w:w w:val="105"/>
          <w:sz w:val="13"/>
        </w:rPr>
        <w:t>includes</w:t>
      </w:r>
      <w:r>
        <w:rPr>
          <w:spacing w:val="5"/>
          <w:w w:val="105"/>
          <w:sz w:val="13"/>
        </w:rPr>
        <w:t> </w:t>
      </w:r>
      <w:r>
        <w:rPr>
          <w:w w:val="105"/>
          <w:sz w:val="13"/>
        </w:rPr>
        <w:t>the</w:t>
      </w:r>
      <w:r>
        <w:rPr>
          <w:spacing w:val="5"/>
          <w:w w:val="105"/>
          <w:sz w:val="13"/>
        </w:rPr>
        <w:t> </w:t>
      </w:r>
      <w:r>
        <w:rPr>
          <w:w w:val="105"/>
          <w:sz w:val="13"/>
        </w:rPr>
        <w:t>owner’s</w:t>
      </w:r>
      <w:r>
        <w:rPr>
          <w:spacing w:val="5"/>
          <w:w w:val="105"/>
          <w:sz w:val="13"/>
        </w:rPr>
        <w:t> </w:t>
      </w:r>
      <w:r>
        <w:rPr>
          <w:w w:val="105"/>
          <w:sz w:val="13"/>
        </w:rPr>
        <w:t>corporation</w:t>
      </w:r>
      <w:r>
        <w:rPr>
          <w:spacing w:val="4"/>
          <w:w w:val="105"/>
          <w:sz w:val="13"/>
        </w:rPr>
        <w:t> </w:t>
      </w:r>
      <w:r>
        <w:rPr>
          <w:w w:val="105"/>
          <w:sz w:val="13"/>
        </w:rPr>
        <w:t>if</w:t>
      </w:r>
      <w:r>
        <w:rPr>
          <w:spacing w:val="5"/>
          <w:w w:val="105"/>
          <w:sz w:val="13"/>
        </w:rPr>
        <w:t> </w:t>
      </w:r>
      <w:r>
        <w:rPr>
          <w:w w:val="105"/>
          <w:sz w:val="13"/>
        </w:rPr>
        <w:t>the</w:t>
      </w:r>
      <w:r>
        <w:rPr>
          <w:spacing w:val="5"/>
          <w:w w:val="105"/>
          <w:sz w:val="13"/>
        </w:rPr>
        <w:t> </w:t>
      </w:r>
      <w:r>
        <w:rPr>
          <w:w w:val="105"/>
          <w:sz w:val="13"/>
        </w:rPr>
        <w:t>land</w:t>
      </w:r>
      <w:r>
        <w:rPr>
          <w:spacing w:val="4"/>
          <w:w w:val="105"/>
          <w:sz w:val="13"/>
        </w:rPr>
        <w:t> </w:t>
      </w:r>
      <w:r>
        <w:rPr>
          <w:w w:val="105"/>
          <w:sz w:val="13"/>
        </w:rPr>
        <w:t>is</w:t>
      </w:r>
      <w:r>
        <w:rPr>
          <w:spacing w:val="5"/>
          <w:w w:val="105"/>
          <w:sz w:val="13"/>
        </w:rPr>
        <w:t> </w:t>
      </w:r>
      <w:r>
        <w:rPr>
          <w:w w:val="105"/>
          <w:sz w:val="13"/>
        </w:rPr>
        <w:t>common</w:t>
      </w:r>
      <w:r>
        <w:rPr>
          <w:spacing w:val="5"/>
          <w:w w:val="105"/>
          <w:sz w:val="13"/>
        </w:rPr>
        <w:t> </w:t>
      </w:r>
      <w:r>
        <w:rPr>
          <w:w w:val="105"/>
          <w:sz w:val="13"/>
        </w:rPr>
        <w:t>property.</w:t>
      </w:r>
    </w:p>
    <w:p>
      <w:pPr>
        <w:pStyle w:val="ListParagraph"/>
        <w:numPr>
          <w:ilvl w:val="0"/>
          <w:numId w:val="67"/>
        </w:numPr>
        <w:tabs>
          <w:tab w:pos="2381" w:val="left" w:leader="none"/>
          <w:tab w:pos="2382" w:val="left" w:leader="none"/>
        </w:tabs>
        <w:spacing w:line="240" w:lineRule="auto" w:before="2" w:after="0"/>
        <w:ind w:left="2381" w:right="1652" w:hanging="794"/>
        <w:jc w:val="left"/>
        <w:rPr>
          <w:sz w:val="13"/>
        </w:rPr>
      </w:pPr>
      <w:r>
        <w:rPr>
          <w:w w:val="105"/>
          <w:sz w:val="13"/>
        </w:rPr>
        <w:t>Ibid s 10. This allows the owner to give the tenant a fencing notice and for the tenant to contribute 50 per cent of the cost the owner is    liable to pay (if the tenant has an unexpired lease of 5 or more years but less than 10 years) and 100 per cent of the cost the owner is liable</w:t>
      </w:r>
      <w:r>
        <w:rPr>
          <w:spacing w:val="30"/>
          <w:w w:val="105"/>
          <w:sz w:val="13"/>
        </w:rPr>
        <w:t> </w:t>
      </w:r>
      <w:r>
        <w:rPr>
          <w:w w:val="105"/>
          <w:sz w:val="13"/>
        </w:rPr>
        <w:t>to</w:t>
      </w:r>
      <w:r>
        <w:rPr>
          <w:spacing w:val="3"/>
          <w:w w:val="105"/>
          <w:sz w:val="13"/>
        </w:rPr>
        <w:t> </w:t>
      </w:r>
      <w:r>
        <w:rPr>
          <w:w w:val="105"/>
          <w:sz w:val="13"/>
        </w:rPr>
        <w:t>pay</w:t>
      </w:r>
      <w:r>
        <w:rPr>
          <w:spacing w:val="4"/>
          <w:w w:val="105"/>
          <w:sz w:val="13"/>
        </w:rPr>
        <w:t> </w:t>
      </w:r>
      <w:r>
        <w:rPr>
          <w:w w:val="105"/>
          <w:sz w:val="13"/>
        </w:rPr>
        <w:t>(if</w:t>
      </w:r>
      <w:r>
        <w:rPr>
          <w:spacing w:val="3"/>
          <w:w w:val="105"/>
          <w:sz w:val="13"/>
        </w:rPr>
        <w:t> </w:t>
      </w:r>
      <w:r>
        <w:rPr>
          <w:w w:val="105"/>
          <w:sz w:val="13"/>
        </w:rPr>
        <w:t>the</w:t>
      </w:r>
      <w:r>
        <w:rPr>
          <w:spacing w:val="4"/>
          <w:w w:val="105"/>
          <w:sz w:val="13"/>
        </w:rPr>
        <w:t> </w:t>
      </w:r>
      <w:r>
        <w:rPr>
          <w:w w:val="105"/>
          <w:sz w:val="13"/>
        </w:rPr>
        <w:t>tenant</w:t>
      </w:r>
      <w:r>
        <w:rPr>
          <w:spacing w:val="4"/>
          <w:w w:val="105"/>
          <w:sz w:val="13"/>
        </w:rPr>
        <w:t> </w:t>
      </w:r>
      <w:r>
        <w:rPr>
          <w:w w:val="105"/>
          <w:sz w:val="13"/>
        </w:rPr>
        <w:t>has</w:t>
      </w:r>
      <w:r>
        <w:rPr>
          <w:spacing w:val="3"/>
          <w:w w:val="105"/>
          <w:sz w:val="13"/>
        </w:rPr>
        <w:t> </w:t>
      </w:r>
      <w:r>
        <w:rPr>
          <w:w w:val="105"/>
          <w:sz w:val="13"/>
        </w:rPr>
        <w:t>an</w:t>
      </w:r>
      <w:r>
        <w:rPr>
          <w:spacing w:val="4"/>
          <w:w w:val="105"/>
          <w:sz w:val="13"/>
        </w:rPr>
        <w:t> </w:t>
      </w:r>
      <w:r>
        <w:rPr>
          <w:w w:val="105"/>
          <w:sz w:val="13"/>
        </w:rPr>
        <w:t>unexpired</w:t>
      </w:r>
      <w:r>
        <w:rPr>
          <w:spacing w:val="4"/>
          <w:w w:val="105"/>
          <w:sz w:val="13"/>
        </w:rPr>
        <w:t> </w:t>
      </w:r>
      <w:r>
        <w:rPr>
          <w:w w:val="105"/>
          <w:sz w:val="13"/>
        </w:rPr>
        <w:t>lease</w:t>
      </w:r>
      <w:r>
        <w:rPr>
          <w:spacing w:val="3"/>
          <w:w w:val="105"/>
          <w:sz w:val="13"/>
        </w:rPr>
        <w:t> </w:t>
      </w:r>
      <w:r>
        <w:rPr>
          <w:w w:val="105"/>
          <w:sz w:val="13"/>
        </w:rPr>
        <w:t>of</w:t>
      </w:r>
      <w:r>
        <w:rPr>
          <w:spacing w:val="4"/>
          <w:w w:val="105"/>
          <w:sz w:val="13"/>
        </w:rPr>
        <w:t> </w:t>
      </w:r>
      <w:r>
        <w:rPr>
          <w:w w:val="105"/>
          <w:sz w:val="13"/>
        </w:rPr>
        <w:t>10</w:t>
      </w:r>
      <w:r>
        <w:rPr>
          <w:spacing w:val="4"/>
          <w:w w:val="105"/>
          <w:sz w:val="13"/>
        </w:rPr>
        <w:t> </w:t>
      </w:r>
      <w:r>
        <w:rPr>
          <w:w w:val="105"/>
          <w:sz w:val="13"/>
        </w:rPr>
        <w:t>or</w:t>
      </w:r>
      <w:r>
        <w:rPr>
          <w:spacing w:val="3"/>
          <w:w w:val="105"/>
          <w:sz w:val="13"/>
        </w:rPr>
        <w:t> </w:t>
      </w:r>
      <w:r>
        <w:rPr>
          <w:w w:val="105"/>
          <w:sz w:val="13"/>
        </w:rPr>
        <w:t>more</w:t>
      </w:r>
      <w:r>
        <w:rPr>
          <w:spacing w:val="4"/>
          <w:w w:val="105"/>
          <w:sz w:val="13"/>
        </w:rPr>
        <w:t> </w:t>
      </w:r>
      <w:r>
        <w:rPr>
          <w:w w:val="105"/>
          <w:sz w:val="13"/>
        </w:rPr>
        <w:t>years).</w:t>
      </w:r>
      <w:r>
        <w:rPr>
          <w:spacing w:val="4"/>
          <w:w w:val="105"/>
          <w:sz w:val="13"/>
        </w:rPr>
        <w:t> </w:t>
      </w:r>
      <w:r>
        <w:rPr>
          <w:w w:val="105"/>
          <w:sz w:val="13"/>
        </w:rPr>
        <w:t>This</w:t>
      </w:r>
      <w:r>
        <w:rPr>
          <w:spacing w:val="3"/>
          <w:w w:val="105"/>
          <w:sz w:val="13"/>
        </w:rPr>
        <w:t> </w:t>
      </w:r>
      <w:r>
        <w:rPr>
          <w:w w:val="105"/>
          <w:sz w:val="13"/>
        </w:rPr>
        <w:t>does</w:t>
      </w:r>
      <w:r>
        <w:rPr>
          <w:spacing w:val="4"/>
          <w:w w:val="105"/>
          <w:sz w:val="13"/>
        </w:rPr>
        <w:t> </w:t>
      </w:r>
      <w:r>
        <w:rPr>
          <w:w w:val="105"/>
          <w:sz w:val="13"/>
        </w:rPr>
        <w:t>not</w:t>
      </w:r>
      <w:r>
        <w:rPr>
          <w:spacing w:val="3"/>
          <w:w w:val="105"/>
          <w:sz w:val="13"/>
        </w:rPr>
        <w:t> </w:t>
      </w:r>
      <w:r>
        <w:rPr>
          <w:w w:val="105"/>
          <w:sz w:val="13"/>
        </w:rPr>
        <w:t>apply</w:t>
      </w:r>
      <w:r>
        <w:rPr>
          <w:spacing w:val="4"/>
          <w:w w:val="105"/>
          <w:sz w:val="13"/>
        </w:rPr>
        <w:t> </w:t>
      </w:r>
      <w:r>
        <w:rPr>
          <w:w w:val="105"/>
          <w:sz w:val="13"/>
        </w:rPr>
        <w:t>to</w:t>
      </w:r>
      <w:r>
        <w:rPr>
          <w:spacing w:val="4"/>
          <w:w w:val="105"/>
          <w:sz w:val="13"/>
        </w:rPr>
        <w:t> </w:t>
      </w:r>
      <w:r>
        <w:rPr>
          <w:w w:val="105"/>
          <w:sz w:val="13"/>
        </w:rPr>
        <w:t>retail</w:t>
      </w:r>
      <w:r>
        <w:rPr>
          <w:spacing w:val="3"/>
          <w:w w:val="105"/>
          <w:sz w:val="13"/>
        </w:rPr>
        <w:t> </w:t>
      </w:r>
      <w:r>
        <w:rPr>
          <w:w w:val="105"/>
          <w:sz w:val="13"/>
        </w:rPr>
        <w:t>leases</w:t>
      </w:r>
      <w:r>
        <w:rPr>
          <w:spacing w:val="4"/>
          <w:w w:val="105"/>
          <w:sz w:val="13"/>
        </w:rPr>
        <w:t> </w:t>
      </w:r>
      <w:r>
        <w:rPr>
          <w:w w:val="105"/>
          <w:sz w:val="13"/>
        </w:rPr>
        <w:t>or</w:t>
      </w:r>
      <w:r>
        <w:rPr>
          <w:spacing w:val="4"/>
          <w:w w:val="105"/>
          <w:sz w:val="13"/>
        </w:rPr>
        <w:t> </w:t>
      </w:r>
      <w:r>
        <w:rPr>
          <w:w w:val="105"/>
          <w:sz w:val="13"/>
        </w:rPr>
        <w:t>residential</w:t>
      </w:r>
      <w:r>
        <w:rPr>
          <w:spacing w:val="3"/>
          <w:w w:val="105"/>
          <w:sz w:val="13"/>
        </w:rPr>
        <w:t> </w:t>
      </w:r>
      <w:r>
        <w:rPr>
          <w:w w:val="105"/>
          <w:sz w:val="13"/>
        </w:rPr>
        <w:t>tenancies.</w:t>
      </w:r>
    </w:p>
    <w:p>
      <w:pPr>
        <w:tabs>
          <w:tab w:pos="2381" w:val="left" w:leader="none"/>
        </w:tabs>
        <w:spacing w:before="4"/>
        <w:ind w:left="1587" w:right="0" w:firstLine="0"/>
        <w:jc w:val="left"/>
        <w:rPr>
          <w:sz w:val="13"/>
        </w:rPr>
      </w:pPr>
      <w:r>
        <w:rPr>
          <w:w w:val="105"/>
          <w:sz w:val="13"/>
        </w:rPr>
        <w:t>242</w:t>
        <w:tab/>
      </w:r>
      <w:r>
        <w:rPr>
          <w:spacing w:val="2"/>
          <w:w w:val="105"/>
          <w:sz w:val="13"/>
        </w:rPr>
        <w:t>(2008) </w:t>
      </w:r>
      <w:r>
        <w:rPr>
          <w:w w:val="105"/>
          <w:sz w:val="13"/>
        </w:rPr>
        <w:t>72 </w:t>
      </w:r>
      <w:r>
        <w:rPr>
          <w:spacing w:val="2"/>
          <w:w w:val="105"/>
          <w:sz w:val="13"/>
        </w:rPr>
        <w:t>NSWLR</w:t>
      </w:r>
      <w:r>
        <w:rPr>
          <w:spacing w:val="11"/>
          <w:w w:val="105"/>
          <w:sz w:val="13"/>
        </w:rPr>
        <w:t> </w:t>
      </w:r>
      <w:r>
        <w:rPr>
          <w:w w:val="105"/>
          <w:sz w:val="13"/>
        </w:rPr>
        <w:t>98.</w:t>
      </w:r>
    </w:p>
    <w:p>
      <w:pPr>
        <w:tabs>
          <w:tab w:pos="2381" w:val="left" w:leader="none"/>
        </w:tabs>
        <w:spacing w:before="1"/>
        <w:ind w:left="1587" w:right="3670" w:firstLine="0"/>
        <w:jc w:val="left"/>
        <w:rPr>
          <w:sz w:val="13"/>
        </w:rPr>
      </w:pPr>
      <w:r>
        <w:rPr>
          <w:w w:val="105"/>
          <w:sz w:val="13"/>
        </w:rPr>
        <w:t>243</w:t>
        <w:tab/>
      </w:r>
      <w:r>
        <w:rPr>
          <w:spacing w:val="2"/>
          <w:w w:val="105"/>
          <w:sz w:val="13"/>
        </w:rPr>
        <w:t>(2008) </w:t>
      </w:r>
      <w:r>
        <w:rPr>
          <w:w w:val="105"/>
          <w:sz w:val="13"/>
        </w:rPr>
        <w:t>72 </w:t>
      </w:r>
      <w:r>
        <w:rPr>
          <w:spacing w:val="2"/>
          <w:w w:val="105"/>
          <w:sz w:val="13"/>
        </w:rPr>
        <w:t>NSWLR </w:t>
      </w:r>
      <w:r>
        <w:rPr>
          <w:w w:val="105"/>
          <w:sz w:val="13"/>
        </w:rPr>
        <w:t>98 </w:t>
      </w:r>
      <w:r>
        <w:rPr>
          <w:spacing w:val="2"/>
          <w:w w:val="105"/>
          <w:sz w:val="13"/>
        </w:rPr>
        <w:t>[158]-[160]; </w:t>
      </w:r>
      <w:r>
        <w:rPr>
          <w:w w:val="105"/>
          <w:sz w:val="13"/>
        </w:rPr>
        <w:t>see </w:t>
      </w:r>
      <w:r>
        <w:rPr>
          <w:i/>
          <w:w w:val="105"/>
          <w:sz w:val="13"/>
        </w:rPr>
        <w:t>Trees (Disputes Between Neighbours) Act 2006 </w:t>
      </w:r>
      <w:r>
        <w:rPr>
          <w:spacing w:val="3"/>
          <w:w w:val="105"/>
          <w:sz w:val="13"/>
        </w:rPr>
        <w:t>(NSW) </w:t>
      </w:r>
      <w:r>
        <w:rPr>
          <w:w w:val="105"/>
          <w:sz w:val="13"/>
        </w:rPr>
        <w:t>ss 3(1), </w:t>
      </w:r>
      <w:r>
        <w:rPr>
          <w:spacing w:val="-5"/>
          <w:w w:val="105"/>
          <w:sz w:val="13"/>
        </w:rPr>
        <w:t>7. </w:t>
      </w:r>
      <w:r>
        <w:rPr>
          <w:w w:val="105"/>
          <w:sz w:val="13"/>
        </w:rPr>
        <w:t>244</w:t>
        <w:tab/>
        <w:t>See, eg, </w:t>
      </w:r>
      <w:r>
        <w:rPr>
          <w:i/>
          <w:w w:val="105"/>
          <w:sz w:val="13"/>
        </w:rPr>
        <w:t>Treeves v Hedge </w:t>
      </w:r>
      <w:r>
        <w:rPr>
          <w:w w:val="105"/>
          <w:sz w:val="13"/>
        </w:rPr>
        <w:t>[2010] NSWLEC</w:t>
      </w:r>
      <w:r>
        <w:rPr>
          <w:spacing w:val="5"/>
          <w:w w:val="105"/>
          <w:sz w:val="13"/>
        </w:rPr>
        <w:t> </w:t>
      </w:r>
      <w:r>
        <w:rPr>
          <w:w w:val="105"/>
          <w:sz w:val="13"/>
        </w:rPr>
        <w:t>1344.</w:t>
      </w:r>
    </w:p>
    <w:p>
      <w:pPr>
        <w:pStyle w:val="ListParagraph"/>
        <w:numPr>
          <w:ilvl w:val="0"/>
          <w:numId w:val="68"/>
        </w:numPr>
        <w:tabs>
          <w:tab w:pos="2381" w:val="left" w:leader="none"/>
          <w:tab w:pos="2382" w:val="left" w:leader="none"/>
        </w:tabs>
        <w:spacing w:line="240" w:lineRule="auto" w:before="3" w:after="0"/>
        <w:ind w:left="2381" w:right="0" w:hanging="794"/>
        <w:jc w:val="left"/>
        <w:rPr>
          <w:sz w:val="13"/>
        </w:rPr>
      </w:pPr>
      <w:r>
        <w:rPr>
          <w:w w:val="105"/>
          <w:sz w:val="13"/>
        </w:rPr>
        <w:t>See, eg, </w:t>
      </w:r>
      <w:r>
        <w:rPr>
          <w:i/>
          <w:w w:val="105"/>
          <w:sz w:val="13"/>
        </w:rPr>
        <w:t>Po &amp; </w:t>
      </w:r>
      <w:r>
        <w:rPr>
          <w:i/>
          <w:spacing w:val="2"/>
          <w:w w:val="105"/>
          <w:sz w:val="13"/>
        </w:rPr>
        <w:t>Dossan </w:t>
      </w:r>
      <w:r>
        <w:rPr>
          <w:i/>
          <w:w w:val="105"/>
          <w:sz w:val="13"/>
        </w:rPr>
        <w:t>v Warham </w:t>
      </w:r>
      <w:r>
        <w:rPr>
          <w:spacing w:val="2"/>
          <w:w w:val="105"/>
          <w:sz w:val="13"/>
        </w:rPr>
        <w:t>[2008] </w:t>
      </w:r>
      <w:r>
        <w:rPr>
          <w:w w:val="105"/>
          <w:sz w:val="13"/>
        </w:rPr>
        <w:t>NSWLEC</w:t>
      </w:r>
      <w:r>
        <w:rPr>
          <w:spacing w:val="7"/>
          <w:w w:val="105"/>
          <w:sz w:val="13"/>
        </w:rPr>
        <w:t> </w:t>
      </w:r>
      <w:r>
        <w:rPr>
          <w:w w:val="105"/>
          <w:sz w:val="13"/>
        </w:rPr>
        <w:t>1238.</w:t>
      </w:r>
    </w:p>
    <w:p>
      <w:pPr>
        <w:pStyle w:val="ListParagraph"/>
        <w:numPr>
          <w:ilvl w:val="0"/>
          <w:numId w:val="68"/>
        </w:numPr>
        <w:tabs>
          <w:tab w:pos="2381" w:val="left" w:leader="none"/>
          <w:tab w:pos="2382" w:val="left" w:leader="none"/>
        </w:tabs>
        <w:spacing w:line="240" w:lineRule="auto" w:before="1" w:after="0"/>
        <w:ind w:left="2381" w:right="0" w:hanging="794"/>
        <w:jc w:val="left"/>
        <w:rPr>
          <w:sz w:val="13"/>
        </w:rPr>
      </w:pPr>
      <w:r>
        <w:rPr>
          <w:i/>
          <w:w w:val="105"/>
          <w:sz w:val="13"/>
        </w:rPr>
        <w:t>Neighbourhood Disputes (Dividing Fences and Trees) Act </w:t>
      </w:r>
      <w:r>
        <w:rPr>
          <w:i/>
          <w:spacing w:val="-4"/>
          <w:w w:val="105"/>
          <w:sz w:val="13"/>
        </w:rPr>
        <w:t>2011 </w:t>
      </w:r>
      <w:r>
        <w:rPr>
          <w:spacing w:val="3"/>
          <w:w w:val="105"/>
          <w:sz w:val="13"/>
        </w:rPr>
        <w:t>(QLD) </w:t>
      </w:r>
      <w:r>
        <w:rPr>
          <w:w w:val="105"/>
          <w:sz w:val="13"/>
        </w:rPr>
        <w:t>s</w:t>
      </w:r>
      <w:r>
        <w:rPr>
          <w:spacing w:val="23"/>
          <w:w w:val="105"/>
          <w:sz w:val="13"/>
        </w:rPr>
        <w:t> </w:t>
      </w:r>
      <w:r>
        <w:rPr>
          <w:spacing w:val="2"/>
          <w:w w:val="105"/>
          <w:sz w:val="13"/>
        </w:rPr>
        <w:t>62(2).</w:t>
      </w:r>
    </w:p>
    <w:p>
      <w:pPr>
        <w:pStyle w:val="ListParagraph"/>
        <w:numPr>
          <w:ilvl w:val="0"/>
          <w:numId w:val="68"/>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z w:val="13"/>
        </w:rPr>
        <w:t>53.</w:t>
      </w:r>
    </w:p>
    <w:p>
      <w:pPr>
        <w:pStyle w:val="ListParagraph"/>
        <w:numPr>
          <w:ilvl w:val="0"/>
          <w:numId w:val="68"/>
        </w:numPr>
        <w:tabs>
          <w:tab w:pos="2381" w:val="left" w:leader="none"/>
          <w:tab w:pos="2382" w:val="left" w:leader="none"/>
        </w:tabs>
        <w:spacing w:line="240" w:lineRule="auto" w:before="2" w:after="0"/>
        <w:ind w:left="2381" w:right="0" w:hanging="794"/>
        <w:jc w:val="left"/>
        <w:rPr>
          <w:sz w:val="13"/>
        </w:rPr>
      </w:pPr>
      <w:r>
        <w:rPr/>
        <w:pict>
          <v:shape style="position:absolute;margin-left:36pt;margin-top:3.049263pt;width:13.8pt;height:14.25pt;mso-position-horizontal-relative:page;mso-position-vertical-relative:paragraph;z-index:6736" type="#_x0000_t202" filled="false" stroked="false">
            <v:textbox inset="0,0,0,0">
              <w:txbxContent>
                <w:p>
                  <w:pPr>
                    <w:spacing w:line="284" w:lineRule="exact" w:before="0"/>
                    <w:ind w:left="0" w:right="0" w:firstLine="0"/>
                    <w:jc w:val="left"/>
                    <w:rPr>
                      <w:b/>
                      <w:sz w:val="24"/>
                    </w:rPr>
                  </w:pPr>
                  <w:r>
                    <w:rPr>
                      <w:b/>
                      <w:color w:val="658464"/>
                      <w:w w:val="110"/>
                      <w:sz w:val="24"/>
                    </w:rPr>
                    <w:t>90</w:t>
                  </w:r>
                </w:p>
              </w:txbxContent>
            </v:textbox>
            <w10:wrap type="none"/>
          </v:shape>
        </w:pict>
      </w:r>
      <w:r>
        <w:rPr>
          <w:w w:val="105"/>
          <w:sz w:val="13"/>
        </w:rPr>
        <w:t>Consultation </w:t>
      </w:r>
      <w:r>
        <w:rPr>
          <w:spacing w:val="-3"/>
          <w:w w:val="105"/>
          <w:sz w:val="13"/>
        </w:rPr>
        <w:t>15 </w:t>
      </w:r>
      <w:r>
        <w:rPr>
          <w:w w:val="105"/>
          <w:sz w:val="13"/>
        </w:rPr>
        <w:t>(Queensland Civil and Administrative Tribunal).</w:t>
      </w:r>
    </w:p>
    <w:p>
      <w:pPr>
        <w:pStyle w:val="ListParagraph"/>
        <w:numPr>
          <w:ilvl w:val="0"/>
          <w:numId w:val="68"/>
        </w:numPr>
        <w:tabs>
          <w:tab w:pos="2381" w:val="left" w:leader="none"/>
          <w:tab w:pos="2382" w:val="left" w:leader="none"/>
        </w:tabs>
        <w:spacing w:line="240" w:lineRule="auto" w:before="1" w:after="0"/>
        <w:ind w:left="2381" w:right="0" w:hanging="793"/>
        <w:jc w:val="left"/>
        <w:rPr>
          <w:sz w:val="13"/>
        </w:rPr>
      </w:pPr>
      <w:r>
        <w:rPr>
          <w:i/>
          <w:w w:val="105"/>
          <w:sz w:val="13"/>
        </w:rPr>
        <w:t>Neighbourhood Disputes About Plants Act </w:t>
      </w:r>
      <w:r>
        <w:rPr>
          <w:i/>
          <w:spacing w:val="-4"/>
          <w:w w:val="105"/>
          <w:sz w:val="13"/>
        </w:rPr>
        <w:t>2017 </w:t>
      </w:r>
      <w:r>
        <w:rPr>
          <w:w w:val="105"/>
          <w:sz w:val="13"/>
        </w:rPr>
        <w:t>(Tas) s</w:t>
      </w:r>
      <w:r>
        <w:rPr>
          <w:spacing w:val="16"/>
          <w:w w:val="105"/>
          <w:sz w:val="13"/>
        </w:rPr>
        <w:t> </w:t>
      </w:r>
      <w:r>
        <w:rPr>
          <w:spacing w:val="3"/>
          <w:w w:val="105"/>
          <w:sz w:val="13"/>
        </w:rPr>
        <w:t>23(4).</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2"/>
        <w:rPr>
          <w:sz w:val="18"/>
        </w:rPr>
      </w:pPr>
    </w:p>
    <w:p>
      <w:pPr>
        <w:pStyle w:val="Heading7"/>
        <w:spacing w:before="96"/>
      </w:pPr>
      <w:bookmarkStart w:name="_bookmark52" w:id="123"/>
      <w:bookmarkEnd w:id="123"/>
      <w:r>
        <w:rPr/>
      </w:r>
      <w:r>
        <w:rPr>
          <w:w w:val="115"/>
        </w:rPr>
        <w:t>Community responses—who can commence an action</w:t>
      </w:r>
    </w:p>
    <w:p>
      <w:pPr>
        <w:pStyle w:val="ListParagraph"/>
        <w:numPr>
          <w:ilvl w:val="0"/>
          <w:numId w:val="64"/>
        </w:numPr>
        <w:tabs>
          <w:tab w:pos="2380" w:val="left" w:leader="none"/>
          <w:tab w:pos="2381" w:val="left" w:leader="none"/>
        </w:tabs>
        <w:spacing w:line="242" w:lineRule="auto" w:before="143" w:after="0"/>
        <w:ind w:left="2381" w:right="1792" w:hanging="794"/>
        <w:jc w:val="left"/>
        <w:rPr>
          <w:sz w:val="21"/>
        </w:rPr>
      </w:pPr>
      <w:r>
        <w:rPr>
          <w:spacing w:val="-3"/>
          <w:w w:val="105"/>
          <w:sz w:val="21"/>
        </w:rPr>
        <w:t>Community</w:t>
      </w:r>
      <w:r>
        <w:rPr>
          <w:spacing w:val="-13"/>
          <w:w w:val="105"/>
          <w:sz w:val="21"/>
        </w:rPr>
        <w:t> </w:t>
      </w:r>
      <w:r>
        <w:rPr>
          <w:w w:val="105"/>
          <w:sz w:val="21"/>
        </w:rPr>
        <w:t>responses</w:t>
      </w:r>
      <w:r>
        <w:rPr>
          <w:spacing w:val="-13"/>
          <w:w w:val="105"/>
          <w:sz w:val="21"/>
        </w:rPr>
        <w:t> </w:t>
      </w:r>
      <w:r>
        <w:rPr>
          <w:w w:val="105"/>
          <w:sz w:val="21"/>
        </w:rPr>
        <w:t>overwhelmingly</w:t>
      </w:r>
      <w:r>
        <w:rPr>
          <w:spacing w:val="-13"/>
          <w:w w:val="105"/>
          <w:sz w:val="21"/>
        </w:rPr>
        <w:t> </w:t>
      </w:r>
      <w:r>
        <w:rPr>
          <w:w w:val="105"/>
          <w:sz w:val="21"/>
        </w:rPr>
        <w:t>supported</w:t>
      </w:r>
      <w:r>
        <w:rPr>
          <w:spacing w:val="-12"/>
          <w:w w:val="105"/>
          <w:sz w:val="21"/>
        </w:rPr>
        <w:t> </w:t>
      </w:r>
      <w:r>
        <w:rPr>
          <w:spacing w:val="-3"/>
          <w:w w:val="105"/>
          <w:sz w:val="21"/>
        </w:rPr>
        <w:t>any</w:t>
      </w:r>
      <w:r>
        <w:rPr>
          <w:spacing w:val="-13"/>
          <w:w w:val="105"/>
          <w:sz w:val="21"/>
        </w:rPr>
        <w:t> </w:t>
      </w:r>
      <w:r>
        <w:rPr>
          <w:w w:val="105"/>
          <w:sz w:val="21"/>
        </w:rPr>
        <w:t>person</w:t>
      </w:r>
      <w:r>
        <w:rPr>
          <w:spacing w:val="-13"/>
          <w:w w:val="105"/>
          <w:sz w:val="21"/>
        </w:rPr>
        <w:t> </w:t>
      </w:r>
      <w:r>
        <w:rPr>
          <w:w w:val="105"/>
          <w:sz w:val="21"/>
        </w:rPr>
        <w:t>affected</w:t>
      </w:r>
      <w:r>
        <w:rPr>
          <w:spacing w:val="-12"/>
          <w:w w:val="105"/>
          <w:sz w:val="21"/>
        </w:rPr>
        <w:t> </w:t>
      </w:r>
      <w:r>
        <w:rPr>
          <w:w w:val="105"/>
          <w:sz w:val="21"/>
        </w:rPr>
        <w:t>by</w:t>
      </w:r>
      <w:r>
        <w:rPr>
          <w:spacing w:val="-13"/>
          <w:w w:val="105"/>
          <w:sz w:val="21"/>
        </w:rPr>
        <w:t> </w:t>
      </w:r>
      <w:r>
        <w:rPr>
          <w:w w:val="105"/>
          <w:sz w:val="21"/>
        </w:rPr>
        <w:t>the</w:t>
      </w:r>
      <w:r>
        <w:rPr>
          <w:spacing w:val="-13"/>
          <w:w w:val="105"/>
          <w:sz w:val="21"/>
        </w:rPr>
        <w:t> </w:t>
      </w:r>
      <w:r>
        <w:rPr>
          <w:w w:val="105"/>
          <w:sz w:val="21"/>
        </w:rPr>
        <w:t>tree</w:t>
      </w:r>
      <w:r>
        <w:rPr>
          <w:spacing w:val="-13"/>
          <w:w w:val="105"/>
          <w:sz w:val="21"/>
        </w:rPr>
        <w:t> </w:t>
      </w:r>
      <w:r>
        <w:rPr>
          <w:w w:val="105"/>
          <w:sz w:val="21"/>
        </w:rPr>
        <w:t>being able </w:t>
      </w:r>
      <w:r>
        <w:rPr>
          <w:spacing w:val="-3"/>
          <w:w w:val="105"/>
          <w:sz w:val="21"/>
        </w:rPr>
        <w:t>to commence </w:t>
      </w:r>
      <w:r>
        <w:rPr>
          <w:w w:val="105"/>
          <w:sz w:val="21"/>
        </w:rPr>
        <w:t>legal </w:t>
      </w:r>
      <w:r>
        <w:rPr>
          <w:spacing w:val="-3"/>
          <w:w w:val="105"/>
          <w:sz w:val="21"/>
        </w:rPr>
        <w:t>proceedings </w:t>
      </w:r>
      <w:r>
        <w:rPr>
          <w:w w:val="105"/>
          <w:sz w:val="21"/>
        </w:rPr>
        <w:t>under a new Act.</w:t>
      </w:r>
      <w:r>
        <w:rPr>
          <w:w w:val="105"/>
          <w:position w:val="7"/>
          <w:sz w:val="12"/>
        </w:rPr>
        <w:t>250 </w:t>
      </w:r>
      <w:r>
        <w:rPr>
          <w:w w:val="105"/>
          <w:sz w:val="21"/>
        </w:rPr>
        <w:t>Some </w:t>
      </w:r>
      <w:r>
        <w:rPr>
          <w:spacing w:val="-3"/>
          <w:w w:val="105"/>
          <w:sz w:val="21"/>
        </w:rPr>
        <w:t>submissions </w:t>
      </w:r>
      <w:r>
        <w:rPr>
          <w:w w:val="105"/>
          <w:sz w:val="21"/>
        </w:rPr>
        <w:t>suggested </w:t>
      </w:r>
      <w:r>
        <w:rPr>
          <w:spacing w:val="-3"/>
          <w:w w:val="105"/>
          <w:sz w:val="21"/>
        </w:rPr>
        <w:t>that </w:t>
      </w:r>
      <w:r>
        <w:rPr>
          <w:w w:val="105"/>
          <w:sz w:val="21"/>
        </w:rPr>
        <w:t>standing should </w:t>
      </w:r>
      <w:r>
        <w:rPr>
          <w:spacing w:val="-2"/>
          <w:w w:val="105"/>
          <w:sz w:val="21"/>
        </w:rPr>
        <w:t>not </w:t>
      </w:r>
      <w:r>
        <w:rPr>
          <w:w w:val="105"/>
          <w:sz w:val="21"/>
        </w:rPr>
        <w:t>depend on </w:t>
      </w:r>
      <w:r>
        <w:rPr>
          <w:spacing w:val="-3"/>
          <w:w w:val="105"/>
          <w:sz w:val="21"/>
        </w:rPr>
        <w:t>demonstrating </w:t>
      </w:r>
      <w:r>
        <w:rPr>
          <w:w w:val="105"/>
          <w:sz w:val="21"/>
        </w:rPr>
        <w:t>a certain </w:t>
      </w:r>
      <w:r>
        <w:rPr>
          <w:spacing w:val="-3"/>
          <w:w w:val="105"/>
          <w:sz w:val="21"/>
        </w:rPr>
        <w:t>interest </w:t>
      </w:r>
      <w:r>
        <w:rPr>
          <w:w w:val="105"/>
          <w:sz w:val="21"/>
        </w:rPr>
        <w:t>in </w:t>
      </w:r>
      <w:r>
        <w:rPr>
          <w:spacing w:val="-3"/>
          <w:w w:val="105"/>
          <w:sz w:val="21"/>
        </w:rPr>
        <w:t>land.</w:t>
      </w:r>
      <w:r>
        <w:rPr>
          <w:spacing w:val="-3"/>
          <w:w w:val="105"/>
          <w:position w:val="7"/>
          <w:sz w:val="12"/>
        </w:rPr>
        <w:t>251 </w:t>
      </w:r>
      <w:r>
        <w:rPr>
          <w:w w:val="105"/>
          <w:sz w:val="21"/>
        </w:rPr>
        <w:t>As discussed, only owners of </w:t>
      </w:r>
      <w:r>
        <w:rPr>
          <w:spacing w:val="-3"/>
          <w:w w:val="105"/>
          <w:sz w:val="21"/>
        </w:rPr>
        <w:t>land </w:t>
      </w:r>
      <w:r>
        <w:rPr>
          <w:w w:val="105"/>
          <w:sz w:val="21"/>
        </w:rPr>
        <w:t>can </w:t>
      </w:r>
      <w:r>
        <w:rPr>
          <w:spacing w:val="-3"/>
          <w:w w:val="105"/>
          <w:sz w:val="21"/>
        </w:rPr>
        <w:t>take </w:t>
      </w:r>
      <w:r>
        <w:rPr>
          <w:w w:val="105"/>
          <w:sz w:val="21"/>
        </w:rPr>
        <w:t>legal action </w:t>
      </w:r>
      <w:r>
        <w:rPr>
          <w:spacing w:val="-3"/>
          <w:w w:val="105"/>
          <w:sz w:val="21"/>
        </w:rPr>
        <w:t>to </w:t>
      </w:r>
      <w:r>
        <w:rPr>
          <w:w w:val="105"/>
          <w:sz w:val="21"/>
        </w:rPr>
        <w:t>resolve </w:t>
      </w:r>
      <w:r>
        <w:rPr>
          <w:spacing w:val="-3"/>
          <w:w w:val="105"/>
          <w:sz w:val="21"/>
        </w:rPr>
        <w:t>fencing</w:t>
      </w:r>
      <w:r>
        <w:rPr>
          <w:spacing w:val="11"/>
          <w:w w:val="105"/>
          <w:sz w:val="21"/>
        </w:rPr>
        <w:t> </w:t>
      </w:r>
      <w:r>
        <w:rPr>
          <w:spacing w:val="-3"/>
          <w:w w:val="105"/>
          <w:sz w:val="21"/>
        </w:rPr>
        <w:t>disputes.</w:t>
      </w:r>
    </w:p>
    <w:p>
      <w:pPr>
        <w:pStyle w:val="BodyText"/>
        <w:spacing w:before="5"/>
        <w:rPr>
          <w:sz w:val="20"/>
        </w:rPr>
      </w:pPr>
    </w:p>
    <w:p>
      <w:pPr>
        <w:pStyle w:val="Heading5"/>
      </w:pPr>
      <w:r>
        <w:rPr>
          <w:w w:val="110"/>
        </w:rPr>
        <w:t>The Commission’s conclusions—who can commence an action</w:t>
      </w:r>
    </w:p>
    <w:p>
      <w:pPr>
        <w:pStyle w:val="ListParagraph"/>
        <w:numPr>
          <w:ilvl w:val="0"/>
          <w:numId w:val="64"/>
        </w:numPr>
        <w:tabs>
          <w:tab w:pos="2381" w:val="left" w:leader="none"/>
          <w:tab w:pos="2382" w:val="left" w:leader="none"/>
        </w:tabs>
        <w:spacing w:line="242" w:lineRule="auto" w:before="138" w:after="0"/>
        <w:ind w:left="2381" w:right="1983" w:hanging="794"/>
        <w:jc w:val="left"/>
        <w:rPr>
          <w:sz w:val="21"/>
        </w:rPr>
      </w:pPr>
      <w:r>
        <w:rPr>
          <w:w w:val="105"/>
          <w:sz w:val="21"/>
        </w:rPr>
        <w:t>Owners of </w:t>
      </w:r>
      <w:r>
        <w:rPr>
          <w:spacing w:val="-3"/>
          <w:w w:val="105"/>
          <w:sz w:val="21"/>
        </w:rPr>
        <w:t>land </w:t>
      </w:r>
      <w:r>
        <w:rPr>
          <w:w w:val="105"/>
          <w:sz w:val="21"/>
        </w:rPr>
        <w:t>affected by a tree on </w:t>
      </w:r>
      <w:r>
        <w:rPr>
          <w:spacing w:val="-3"/>
          <w:w w:val="105"/>
          <w:sz w:val="21"/>
        </w:rPr>
        <w:t>neighbouring land </w:t>
      </w:r>
      <w:r>
        <w:rPr>
          <w:w w:val="105"/>
          <w:sz w:val="21"/>
        </w:rPr>
        <w:t>should be able </w:t>
      </w:r>
      <w:r>
        <w:rPr>
          <w:spacing w:val="-3"/>
          <w:w w:val="105"/>
          <w:sz w:val="21"/>
        </w:rPr>
        <w:t>to commence </w:t>
      </w:r>
      <w:r>
        <w:rPr>
          <w:w w:val="105"/>
          <w:sz w:val="21"/>
        </w:rPr>
        <w:t>legal </w:t>
      </w:r>
      <w:r>
        <w:rPr>
          <w:spacing w:val="-3"/>
          <w:w w:val="105"/>
          <w:sz w:val="21"/>
        </w:rPr>
        <w:t>proceedings </w:t>
      </w:r>
      <w:r>
        <w:rPr>
          <w:w w:val="105"/>
          <w:sz w:val="21"/>
        </w:rPr>
        <w:t>under a new Act </w:t>
      </w:r>
      <w:r>
        <w:rPr>
          <w:spacing w:val="-3"/>
          <w:w w:val="105"/>
          <w:sz w:val="21"/>
        </w:rPr>
        <w:t>to </w:t>
      </w:r>
      <w:r>
        <w:rPr>
          <w:w w:val="105"/>
          <w:sz w:val="21"/>
        </w:rPr>
        <w:t>resolve their</w:t>
      </w:r>
      <w:r>
        <w:rPr>
          <w:spacing w:val="37"/>
          <w:w w:val="105"/>
          <w:sz w:val="21"/>
        </w:rPr>
        <w:t> </w:t>
      </w:r>
      <w:r>
        <w:rPr>
          <w:spacing w:val="-3"/>
          <w:w w:val="105"/>
          <w:sz w:val="21"/>
        </w:rPr>
        <w:t>disputes.</w:t>
      </w:r>
    </w:p>
    <w:p>
      <w:pPr>
        <w:pStyle w:val="ListParagraph"/>
        <w:numPr>
          <w:ilvl w:val="0"/>
          <w:numId w:val="64"/>
        </w:numPr>
        <w:tabs>
          <w:tab w:pos="2380" w:val="left" w:leader="none"/>
          <w:tab w:pos="2381" w:val="left" w:leader="none"/>
        </w:tabs>
        <w:spacing w:line="242" w:lineRule="auto" w:before="122" w:after="0"/>
        <w:ind w:left="2381" w:right="2023" w:hanging="794"/>
        <w:jc w:val="left"/>
        <w:rPr>
          <w:sz w:val="21"/>
        </w:rPr>
      </w:pPr>
      <w:r>
        <w:rPr>
          <w:w w:val="105"/>
          <w:sz w:val="21"/>
        </w:rPr>
        <w:t>It would also be </w:t>
      </w:r>
      <w:r>
        <w:rPr>
          <w:spacing w:val="-3"/>
          <w:w w:val="105"/>
          <w:sz w:val="21"/>
        </w:rPr>
        <w:t>appropriate to </w:t>
      </w:r>
      <w:r>
        <w:rPr>
          <w:w w:val="105"/>
          <w:sz w:val="21"/>
        </w:rPr>
        <w:t>enable occupiers of </w:t>
      </w:r>
      <w:r>
        <w:rPr>
          <w:spacing w:val="-3"/>
          <w:w w:val="105"/>
          <w:sz w:val="21"/>
        </w:rPr>
        <w:t>land to take </w:t>
      </w:r>
      <w:r>
        <w:rPr>
          <w:w w:val="105"/>
          <w:sz w:val="21"/>
        </w:rPr>
        <w:t>legal action where the </w:t>
      </w:r>
      <w:r>
        <w:rPr>
          <w:spacing w:val="-3"/>
          <w:w w:val="105"/>
          <w:sz w:val="21"/>
        </w:rPr>
        <w:t>occupier </w:t>
      </w:r>
      <w:r>
        <w:rPr>
          <w:spacing w:val="-2"/>
          <w:w w:val="105"/>
          <w:sz w:val="21"/>
        </w:rPr>
        <w:t>has </w:t>
      </w:r>
      <w:r>
        <w:rPr>
          <w:spacing w:val="-3"/>
          <w:w w:val="105"/>
          <w:sz w:val="21"/>
        </w:rPr>
        <w:t>asked </w:t>
      </w:r>
      <w:r>
        <w:rPr>
          <w:w w:val="105"/>
          <w:sz w:val="21"/>
        </w:rPr>
        <w:t>the owner </w:t>
      </w:r>
      <w:r>
        <w:rPr>
          <w:spacing w:val="-3"/>
          <w:w w:val="105"/>
          <w:sz w:val="21"/>
        </w:rPr>
        <w:t>to commence </w:t>
      </w:r>
      <w:r>
        <w:rPr>
          <w:w w:val="105"/>
          <w:sz w:val="21"/>
        </w:rPr>
        <w:t>legal </w:t>
      </w:r>
      <w:r>
        <w:rPr>
          <w:spacing w:val="-3"/>
          <w:w w:val="105"/>
          <w:sz w:val="21"/>
        </w:rPr>
        <w:t>proceedings </w:t>
      </w:r>
      <w:r>
        <w:rPr>
          <w:w w:val="105"/>
          <w:sz w:val="21"/>
        </w:rPr>
        <w:t>but the owner</w:t>
      </w:r>
      <w:r>
        <w:rPr>
          <w:spacing w:val="-4"/>
          <w:w w:val="105"/>
          <w:sz w:val="21"/>
        </w:rPr>
        <w:t> </w:t>
      </w:r>
      <w:r>
        <w:rPr>
          <w:spacing w:val="-2"/>
          <w:w w:val="105"/>
          <w:sz w:val="21"/>
        </w:rPr>
        <w:t>has</w:t>
      </w:r>
    </w:p>
    <w:p>
      <w:pPr>
        <w:pStyle w:val="BodyText"/>
        <w:spacing w:line="242" w:lineRule="auto" w:before="2"/>
        <w:ind w:left="2380" w:right="1636"/>
      </w:pPr>
      <w:r>
        <w:rPr>
          <w:spacing w:val="-3"/>
          <w:w w:val="105"/>
        </w:rPr>
        <w:t>refused</w:t>
      </w:r>
      <w:r>
        <w:rPr>
          <w:spacing w:val="-10"/>
          <w:w w:val="105"/>
        </w:rPr>
        <w:t> </w:t>
      </w:r>
      <w:r>
        <w:rPr>
          <w:spacing w:val="-3"/>
          <w:w w:val="105"/>
        </w:rPr>
        <w:t>to</w:t>
      </w:r>
      <w:r>
        <w:rPr>
          <w:spacing w:val="-9"/>
          <w:w w:val="105"/>
        </w:rPr>
        <w:t> </w:t>
      </w:r>
      <w:r>
        <w:rPr>
          <w:w w:val="105"/>
        </w:rPr>
        <w:t>act.</w:t>
      </w:r>
      <w:r>
        <w:rPr>
          <w:spacing w:val="-10"/>
          <w:w w:val="105"/>
        </w:rPr>
        <w:t> </w:t>
      </w:r>
      <w:r>
        <w:rPr>
          <w:w w:val="105"/>
        </w:rPr>
        <w:t>This</w:t>
      </w:r>
      <w:r>
        <w:rPr>
          <w:spacing w:val="-9"/>
          <w:w w:val="105"/>
        </w:rPr>
        <w:t> </w:t>
      </w:r>
      <w:r>
        <w:rPr>
          <w:spacing w:val="-3"/>
          <w:w w:val="105"/>
        </w:rPr>
        <w:t>accords</w:t>
      </w:r>
      <w:r>
        <w:rPr>
          <w:spacing w:val="-10"/>
          <w:w w:val="105"/>
        </w:rPr>
        <w:t> </w:t>
      </w:r>
      <w:r>
        <w:rPr>
          <w:w w:val="105"/>
        </w:rPr>
        <w:t>with</w:t>
      </w:r>
      <w:r>
        <w:rPr>
          <w:spacing w:val="-9"/>
          <w:w w:val="105"/>
        </w:rPr>
        <w:t> </w:t>
      </w:r>
      <w:r>
        <w:rPr>
          <w:w w:val="105"/>
        </w:rPr>
        <w:t>most</w:t>
      </w:r>
      <w:r>
        <w:rPr>
          <w:spacing w:val="-9"/>
          <w:w w:val="105"/>
        </w:rPr>
        <w:t> </w:t>
      </w:r>
      <w:r>
        <w:rPr>
          <w:w w:val="105"/>
        </w:rPr>
        <w:t>community</w:t>
      </w:r>
      <w:r>
        <w:rPr>
          <w:spacing w:val="-10"/>
          <w:w w:val="105"/>
        </w:rPr>
        <w:t> </w:t>
      </w:r>
      <w:r>
        <w:rPr>
          <w:w w:val="105"/>
        </w:rPr>
        <w:t>responses</w:t>
      </w:r>
      <w:r>
        <w:rPr>
          <w:spacing w:val="-9"/>
          <w:w w:val="105"/>
        </w:rPr>
        <w:t> </w:t>
      </w:r>
      <w:r>
        <w:rPr>
          <w:w w:val="105"/>
        </w:rPr>
        <w:t>and</w:t>
      </w:r>
      <w:r>
        <w:rPr>
          <w:spacing w:val="-10"/>
          <w:w w:val="105"/>
        </w:rPr>
        <w:t> </w:t>
      </w:r>
      <w:r>
        <w:rPr>
          <w:w w:val="105"/>
        </w:rPr>
        <w:t>reflects</w:t>
      </w:r>
      <w:r>
        <w:rPr>
          <w:spacing w:val="-9"/>
          <w:w w:val="105"/>
        </w:rPr>
        <w:t> </w:t>
      </w:r>
      <w:r>
        <w:rPr>
          <w:w w:val="105"/>
        </w:rPr>
        <w:t>the</w:t>
      </w:r>
      <w:r>
        <w:rPr>
          <w:spacing w:val="-9"/>
          <w:w w:val="105"/>
        </w:rPr>
        <w:t> </w:t>
      </w:r>
      <w:r>
        <w:rPr>
          <w:w w:val="105"/>
        </w:rPr>
        <w:t>approach</w:t>
      </w:r>
      <w:r>
        <w:rPr>
          <w:spacing w:val="-10"/>
          <w:w w:val="105"/>
        </w:rPr>
        <w:t> </w:t>
      </w:r>
      <w:r>
        <w:rPr>
          <w:w w:val="105"/>
        </w:rPr>
        <w:t>in </w:t>
      </w:r>
      <w:r>
        <w:rPr>
          <w:spacing w:val="-3"/>
          <w:w w:val="105"/>
        </w:rPr>
        <w:t>Queensland </w:t>
      </w:r>
      <w:r>
        <w:rPr>
          <w:w w:val="105"/>
        </w:rPr>
        <w:t>and</w:t>
      </w:r>
      <w:r>
        <w:rPr>
          <w:spacing w:val="14"/>
          <w:w w:val="105"/>
        </w:rPr>
        <w:t> </w:t>
      </w:r>
      <w:r>
        <w:rPr>
          <w:spacing w:val="-5"/>
          <w:w w:val="105"/>
        </w:rPr>
        <w:t>Tasmania.</w:t>
      </w:r>
    </w:p>
    <w:p>
      <w:pPr>
        <w:pStyle w:val="ListParagraph"/>
        <w:numPr>
          <w:ilvl w:val="0"/>
          <w:numId w:val="64"/>
        </w:numPr>
        <w:tabs>
          <w:tab w:pos="2380" w:val="left" w:leader="none"/>
          <w:tab w:pos="2381" w:val="left" w:leader="none"/>
        </w:tabs>
        <w:spacing w:line="242" w:lineRule="auto" w:before="122" w:after="0"/>
        <w:ind w:left="2380" w:right="1870" w:hanging="793"/>
        <w:jc w:val="left"/>
        <w:rPr>
          <w:sz w:val="21"/>
        </w:rPr>
      </w:pPr>
      <w:r>
        <w:rPr>
          <w:w w:val="105"/>
          <w:sz w:val="21"/>
        </w:rPr>
        <w:t>This</w:t>
      </w:r>
      <w:r>
        <w:rPr>
          <w:spacing w:val="-10"/>
          <w:w w:val="105"/>
          <w:sz w:val="21"/>
        </w:rPr>
        <w:t> </w:t>
      </w:r>
      <w:r>
        <w:rPr>
          <w:w w:val="105"/>
          <w:sz w:val="21"/>
        </w:rPr>
        <w:t>approach</w:t>
      </w:r>
      <w:r>
        <w:rPr>
          <w:spacing w:val="-9"/>
          <w:w w:val="105"/>
          <w:sz w:val="21"/>
        </w:rPr>
        <w:t> </w:t>
      </w:r>
      <w:r>
        <w:rPr>
          <w:w w:val="105"/>
          <w:sz w:val="21"/>
        </w:rPr>
        <w:t>puts</w:t>
      </w:r>
      <w:r>
        <w:rPr>
          <w:spacing w:val="-10"/>
          <w:w w:val="105"/>
          <w:sz w:val="21"/>
        </w:rPr>
        <w:t> </w:t>
      </w:r>
      <w:r>
        <w:rPr>
          <w:w w:val="105"/>
          <w:sz w:val="21"/>
        </w:rPr>
        <w:t>landowners</w:t>
      </w:r>
      <w:r>
        <w:rPr>
          <w:spacing w:val="-9"/>
          <w:w w:val="105"/>
          <w:sz w:val="21"/>
        </w:rPr>
        <w:t> </w:t>
      </w:r>
      <w:r>
        <w:rPr>
          <w:w w:val="105"/>
          <w:sz w:val="21"/>
        </w:rPr>
        <w:t>on</w:t>
      </w:r>
      <w:r>
        <w:rPr>
          <w:spacing w:val="-10"/>
          <w:w w:val="105"/>
          <w:sz w:val="21"/>
        </w:rPr>
        <w:t> </w:t>
      </w:r>
      <w:r>
        <w:rPr>
          <w:spacing w:val="-3"/>
          <w:w w:val="105"/>
          <w:sz w:val="21"/>
        </w:rPr>
        <w:t>notice</w:t>
      </w:r>
      <w:r>
        <w:rPr>
          <w:spacing w:val="-9"/>
          <w:w w:val="105"/>
          <w:sz w:val="21"/>
        </w:rPr>
        <w:t> </w:t>
      </w:r>
      <w:r>
        <w:rPr>
          <w:w w:val="105"/>
          <w:sz w:val="21"/>
        </w:rPr>
        <w:t>of</w:t>
      </w:r>
      <w:r>
        <w:rPr>
          <w:spacing w:val="-9"/>
          <w:w w:val="105"/>
          <w:sz w:val="21"/>
        </w:rPr>
        <w:t> </w:t>
      </w:r>
      <w:r>
        <w:rPr>
          <w:w w:val="105"/>
          <w:sz w:val="21"/>
        </w:rPr>
        <w:t>the</w:t>
      </w:r>
      <w:r>
        <w:rPr>
          <w:spacing w:val="-10"/>
          <w:w w:val="105"/>
          <w:sz w:val="21"/>
        </w:rPr>
        <w:t> </w:t>
      </w:r>
      <w:r>
        <w:rPr>
          <w:spacing w:val="-3"/>
          <w:w w:val="105"/>
          <w:sz w:val="21"/>
        </w:rPr>
        <w:t>dispute.</w:t>
      </w:r>
      <w:r>
        <w:rPr>
          <w:spacing w:val="-9"/>
          <w:w w:val="105"/>
          <w:sz w:val="21"/>
        </w:rPr>
        <w:t> </w:t>
      </w:r>
      <w:r>
        <w:rPr>
          <w:spacing w:val="-4"/>
          <w:w w:val="105"/>
          <w:sz w:val="21"/>
        </w:rPr>
        <w:t>Ultimately,</w:t>
      </w:r>
      <w:r>
        <w:rPr>
          <w:spacing w:val="-10"/>
          <w:w w:val="105"/>
          <w:sz w:val="21"/>
        </w:rPr>
        <w:t> </w:t>
      </w:r>
      <w:r>
        <w:rPr>
          <w:w w:val="105"/>
          <w:sz w:val="21"/>
        </w:rPr>
        <w:t>it</w:t>
      </w:r>
      <w:r>
        <w:rPr>
          <w:spacing w:val="-9"/>
          <w:w w:val="105"/>
          <w:sz w:val="21"/>
        </w:rPr>
        <w:t> </w:t>
      </w:r>
      <w:r>
        <w:rPr>
          <w:w w:val="105"/>
          <w:sz w:val="21"/>
        </w:rPr>
        <w:t>is</w:t>
      </w:r>
      <w:r>
        <w:rPr>
          <w:spacing w:val="-10"/>
          <w:w w:val="105"/>
          <w:sz w:val="21"/>
        </w:rPr>
        <w:t> </w:t>
      </w:r>
      <w:r>
        <w:rPr>
          <w:w w:val="105"/>
          <w:sz w:val="21"/>
        </w:rPr>
        <w:t>in</w:t>
      </w:r>
      <w:r>
        <w:rPr>
          <w:spacing w:val="-9"/>
          <w:w w:val="105"/>
          <w:sz w:val="21"/>
        </w:rPr>
        <w:t> </w:t>
      </w:r>
      <w:r>
        <w:rPr>
          <w:w w:val="105"/>
          <w:sz w:val="21"/>
        </w:rPr>
        <w:t>the</w:t>
      </w:r>
      <w:r>
        <w:rPr>
          <w:spacing w:val="-9"/>
          <w:w w:val="105"/>
          <w:sz w:val="21"/>
        </w:rPr>
        <w:t> </w:t>
      </w:r>
      <w:r>
        <w:rPr>
          <w:w w:val="105"/>
          <w:sz w:val="21"/>
        </w:rPr>
        <w:t>interests of the landowner </w:t>
      </w:r>
      <w:r>
        <w:rPr>
          <w:spacing w:val="-3"/>
          <w:w w:val="105"/>
          <w:sz w:val="21"/>
        </w:rPr>
        <w:t>to </w:t>
      </w:r>
      <w:r>
        <w:rPr>
          <w:w w:val="105"/>
          <w:sz w:val="21"/>
        </w:rPr>
        <w:t>be </w:t>
      </w:r>
      <w:r>
        <w:rPr>
          <w:spacing w:val="-3"/>
          <w:w w:val="105"/>
          <w:sz w:val="21"/>
        </w:rPr>
        <w:t>involved </w:t>
      </w:r>
      <w:r>
        <w:rPr>
          <w:w w:val="105"/>
          <w:sz w:val="21"/>
        </w:rPr>
        <w:t>in </w:t>
      </w:r>
      <w:r>
        <w:rPr>
          <w:spacing w:val="-3"/>
          <w:w w:val="105"/>
          <w:sz w:val="21"/>
        </w:rPr>
        <w:t>proceedings </w:t>
      </w:r>
      <w:r>
        <w:rPr>
          <w:w w:val="105"/>
          <w:sz w:val="21"/>
        </w:rPr>
        <w:t>because they </w:t>
      </w:r>
      <w:r>
        <w:rPr>
          <w:spacing w:val="-3"/>
          <w:w w:val="105"/>
          <w:sz w:val="21"/>
        </w:rPr>
        <w:t>may </w:t>
      </w:r>
      <w:r>
        <w:rPr>
          <w:w w:val="105"/>
          <w:sz w:val="21"/>
        </w:rPr>
        <w:t>end up </w:t>
      </w:r>
      <w:r>
        <w:rPr>
          <w:spacing w:val="-3"/>
          <w:w w:val="105"/>
          <w:sz w:val="21"/>
        </w:rPr>
        <w:t>responsible for any </w:t>
      </w:r>
      <w:r>
        <w:rPr>
          <w:w w:val="105"/>
          <w:sz w:val="21"/>
        </w:rPr>
        <w:t>costs.</w:t>
      </w:r>
      <w:r>
        <w:rPr>
          <w:w w:val="105"/>
          <w:position w:val="7"/>
          <w:sz w:val="12"/>
        </w:rPr>
        <w:t>252 </w:t>
      </w:r>
      <w:r>
        <w:rPr>
          <w:w w:val="105"/>
          <w:sz w:val="21"/>
        </w:rPr>
        <w:t>In </w:t>
      </w:r>
      <w:r>
        <w:rPr>
          <w:spacing w:val="-2"/>
          <w:w w:val="105"/>
          <w:sz w:val="21"/>
        </w:rPr>
        <w:t>normal </w:t>
      </w:r>
      <w:r>
        <w:rPr>
          <w:spacing w:val="-3"/>
          <w:w w:val="105"/>
          <w:sz w:val="21"/>
        </w:rPr>
        <w:t>leasing </w:t>
      </w:r>
      <w:r>
        <w:rPr>
          <w:w w:val="105"/>
          <w:sz w:val="21"/>
        </w:rPr>
        <w:t>arrangements </w:t>
      </w:r>
      <w:r>
        <w:rPr>
          <w:spacing w:val="-3"/>
          <w:w w:val="105"/>
          <w:sz w:val="21"/>
        </w:rPr>
        <w:t>landlords are responsible for </w:t>
      </w:r>
      <w:r>
        <w:rPr>
          <w:w w:val="105"/>
          <w:sz w:val="21"/>
        </w:rPr>
        <w:t>major tree</w:t>
      </w:r>
      <w:r>
        <w:rPr>
          <w:spacing w:val="-5"/>
          <w:w w:val="105"/>
          <w:sz w:val="21"/>
        </w:rPr>
        <w:t> </w:t>
      </w:r>
      <w:r>
        <w:rPr>
          <w:spacing w:val="-3"/>
          <w:w w:val="105"/>
          <w:sz w:val="21"/>
        </w:rPr>
        <w:t>pruning,</w:t>
      </w:r>
      <w:r>
        <w:rPr>
          <w:spacing w:val="-4"/>
          <w:w w:val="105"/>
          <w:sz w:val="21"/>
        </w:rPr>
        <w:t> </w:t>
      </w:r>
      <w:r>
        <w:rPr>
          <w:w w:val="105"/>
          <w:sz w:val="21"/>
        </w:rPr>
        <w:t>cutting</w:t>
      </w:r>
      <w:r>
        <w:rPr>
          <w:spacing w:val="-4"/>
          <w:w w:val="105"/>
          <w:sz w:val="21"/>
        </w:rPr>
        <w:t> </w:t>
      </w:r>
      <w:r>
        <w:rPr>
          <w:w w:val="105"/>
          <w:sz w:val="21"/>
        </w:rPr>
        <w:t>back</w:t>
      </w:r>
      <w:r>
        <w:rPr>
          <w:spacing w:val="-4"/>
          <w:w w:val="105"/>
          <w:sz w:val="21"/>
        </w:rPr>
        <w:t> </w:t>
      </w:r>
      <w:r>
        <w:rPr>
          <w:spacing w:val="-3"/>
          <w:w w:val="105"/>
          <w:sz w:val="21"/>
        </w:rPr>
        <w:t>overhanging</w:t>
      </w:r>
      <w:r>
        <w:rPr>
          <w:spacing w:val="-4"/>
          <w:w w:val="105"/>
          <w:sz w:val="21"/>
        </w:rPr>
        <w:t> </w:t>
      </w:r>
      <w:r>
        <w:rPr>
          <w:spacing w:val="-3"/>
          <w:w w:val="105"/>
          <w:sz w:val="21"/>
        </w:rPr>
        <w:t>branches</w:t>
      </w:r>
      <w:r>
        <w:rPr>
          <w:spacing w:val="-4"/>
          <w:w w:val="105"/>
          <w:sz w:val="21"/>
        </w:rPr>
        <w:t> </w:t>
      </w:r>
      <w:r>
        <w:rPr>
          <w:w w:val="105"/>
          <w:sz w:val="21"/>
        </w:rPr>
        <w:t>(such</w:t>
      </w:r>
      <w:r>
        <w:rPr>
          <w:spacing w:val="-4"/>
          <w:w w:val="105"/>
          <w:sz w:val="21"/>
        </w:rPr>
        <w:t> </w:t>
      </w:r>
      <w:r>
        <w:rPr>
          <w:w w:val="105"/>
          <w:sz w:val="21"/>
        </w:rPr>
        <w:t>as</w:t>
      </w:r>
      <w:r>
        <w:rPr>
          <w:spacing w:val="-4"/>
          <w:w w:val="105"/>
          <w:sz w:val="21"/>
        </w:rPr>
        <w:t> </w:t>
      </w:r>
      <w:r>
        <w:rPr>
          <w:w w:val="105"/>
          <w:sz w:val="21"/>
        </w:rPr>
        <w:t>those</w:t>
      </w:r>
      <w:r>
        <w:rPr>
          <w:spacing w:val="-5"/>
          <w:w w:val="105"/>
          <w:sz w:val="21"/>
        </w:rPr>
        <w:t> </w:t>
      </w:r>
      <w:r>
        <w:rPr>
          <w:w w:val="105"/>
          <w:sz w:val="21"/>
        </w:rPr>
        <w:t>near</w:t>
      </w:r>
      <w:r>
        <w:rPr>
          <w:spacing w:val="-4"/>
          <w:w w:val="105"/>
          <w:sz w:val="21"/>
        </w:rPr>
        <w:t> </w:t>
      </w:r>
      <w:r>
        <w:rPr>
          <w:w w:val="105"/>
          <w:sz w:val="21"/>
        </w:rPr>
        <w:t>powerlines)</w:t>
      </w:r>
      <w:r>
        <w:rPr>
          <w:spacing w:val="-4"/>
          <w:w w:val="105"/>
          <w:sz w:val="21"/>
        </w:rPr>
        <w:t> </w:t>
      </w:r>
      <w:r>
        <w:rPr>
          <w:w w:val="105"/>
          <w:sz w:val="21"/>
        </w:rPr>
        <w:t>and</w:t>
      </w:r>
    </w:p>
    <w:p>
      <w:pPr>
        <w:pStyle w:val="BodyText"/>
        <w:spacing w:line="242" w:lineRule="auto" w:before="4"/>
        <w:ind w:left="2381" w:right="1636"/>
      </w:pPr>
      <w:r>
        <w:rPr>
          <w:spacing w:val="-3"/>
          <w:w w:val="105"/>
        </w:rPr>
        <w:t>maintaining </w:t>
      </w:r>
      <w:r>
        <w:rPr>
          <w:w w:val="105"/>
        </w:rPr>
        <w:t>fire breaks.</w:t>
      </w:r>
      <w:r>
        <w:rPr>
          <w:w w:val="105"/>
          <w:position w:val="7"/>
          <w:sz w:val="12"/>
        </w:rPr>
        <w:t>253 </w:t>
      </w:r>
      <w:r>
        <w:rPr>
          <w:spacing w:val="-4"/>
          <w:w w:val="105"/>
        </w:rPr>
        <w:t>Tenants </w:t>
      </w:r>
      <w:r>
        <w:rPr>
          <w:spacing w:val="-3"/>
          <w:w w:val="105"/>
        </w:rPr>
        <w:t>are generally responsible for </w:t>
      </w:r>
      <w:r>
        <w:rPr>
          <w:w w:val="105"/>
        </w:rPr>
        <w:t>garden </w:t>
      </w:r>
      <w:r>
        <w:rPr>
          <w:spacing w:val="-3"/>
          <w:w w:val="105"/>
        </w:rPr>
        <w:t>maintenance such </w:t>
      </w:r>
      <w:r>
        <w:rPr>
          <w:w w:val="105"/>
        </w:rPr>
        <w:t>as mowing lawns, weeding and </w:t>
      </w:r>
      <w:r>
        <w:rPr>
          <w:spacing w:val="-3"/>
          <w:w w:val="105"/>
        </w:rPr>
        <w:t>minor </w:t>
      </w:r>
      <w:r>
        <w:rPr>
          <w:w w:val="105"/>
        </w:rPr>
        <w:t>pruning.</w:t>
      </w:r>
      <w:r>
        <w:rPr>
          <w:w w:val="105"/>
          <w:position w:val="7"/>
          <w:sz w:val="12"/>
        </w:rPr>
        <w:t>254 </w:t>
      </w:r>
      <w:r>
        <w:rPr>
          <w:spacing w:val="-3"/>
          <w:w w:val="105"/>
        </w:rPr>
        <w:t>Therefore, </w:t>
      </w:r>
      <w:r>
        <w:rPr>
          <w:w w:val="105"/>
        </w:rPr>
        <w:t>it is </w:t>
      </w:r>
      <w:r>
        <w:rPr>
          <w:spacing w:val="-4"/>
          <w:w w:val="105"/>
        </w:rPr>
        <w:t>likely </w:t>
      </w:r>
      <w:r>
        <w:rPr>
          <w:spacing w:val="-3"/>
          <w:w w:val="105"/>
        </w:rPr>
        <w:t>to </w:t>
      </w:r>
      <w:r>
        <w:rPr>
          <w:w w:val="105"/>
        </w:rPr>
        <w:t>be landowners who assume </w:t>
      </w:r>
      <w:r>
        <w:rPr>
          <w:spacing w:val="-3"/>
          <w:w w:val="105"/>
        </w:rPr>
        <w:t>responsibility for </w:t>
      </w:r>
      <w:r>
        <w:rPr>
          <w:w w:val="105"/>
        </w:rPr>
        <w:t>carrying out orders under the new Act.</w:t>
      </w:r>
    </w:p>
    <w:p>
      <w:pPr>
        <w:pStyle w:val="ListParagraph"/>
        <w:numPr>
          <w:ilvl w:val="0"/>
          <w:numId w:val="64"/>
        </w:numPr>
        <w:tabs>
          <w:tab w:pos="2380" w:val="left" w:leader="none"/>
          <w:tab w:pos="2381" w:val="left" w:leader="none"/>
        </w:tabs>
        <w:spacing w:line="242" w:lineRule="auto" w:before="124" w:after="0"/>
        <w:ind w:left="2380" w:right="1862" w:hanging="793"/>
        <w:jc w:val="left"/>
        <w:rPr>
          <w:sz w:val="21"/>
        </w:rPr>
      </w:pPr>
      <w:r>
        <w:rPr>
          <w:sz w:val="21"/>
        </w:rPr>
        <w:t>By </w:t>
      </w:r>
      <w:r>
        <w:rPr>
          <w:spacing w:val="-3"/>
          <w:sz w:val="21"/>
        </w:rPr>
        <w:t>allowing </w:t>
      </w:r>
      <w:r>
        <w:rPr>
          <w:sz w:val="21"/>
        </w:rPr>
        <w:t>occupiers </w:t>
      </w:r>
      <w:r>
        <w:rPr>
          <w:spacing w:val="-3"/>
          <w:sz w:val="21"/>
        </w:rPr>
        <w:t>to take </w:t>
      </w:r>
      <w:r>
        <w:rPr>
          <w:sz w:val="21"/>
        </w:rPr>
        <w:t>action in the absence of the </w:t>
      </w:r>
      <w:r>
        <w:rPr>
          <w:spacing w:val="-4"/>
          <w:sz w:val="21"/>
        </w:rPr>
        <w:t>owner, </w:t>
      </w:r>
      <w:r>
        <w:rPr>
          <w:sz w:val="21"/>
        </w:rPr>
        <w:t>there is  a  </w:t>
      </w:r>
      <w:r>
        <w:rPr>
          <w:spacing w:val="-3"/>
          <w:sz w:val="21"/>
        </w:rPr>
        <w:t>greater chance that unsafe </w:t>
      </w:r>
      <w:r>
        <w:rPr>
          <w:sz w:val="21"/>
        </w:rPr>
        <w:t>trees and </w:t>
      </w:r>
      <w:r>
        <w:rPr>
          <w:spacing w:val="-3"/>
          <w:sz w:val="21"/>
        </w:rPr>
        <w:t>branches may </w:t>
      </w:r>
      <w:r>
        <w:rPr>
          <w:sz w:val="21"/>
        </w:rPr>
        <w:t>be addressed </w:t>
      </w:r>
      <w:r>
        <w:rPr>
          <w:spacing w:val="-3"/>
          <w:sz w:val="21"/>
        </w:rPr>
        <w:t>before </w:t>
      </w:r>
      <w:r>
        <w:rPr>
          <w:sz w:val="21"/>
        </w:rPr>
        <w:t>they cause damage or </w:t>
      </w:r>
      <w:r>
        <w:rPr>
          <w:spacing w:val="-3"/>
          <w:sz w:val="21"/>
        </w:rPr>
        <w:t>harm.</w:t>
      </w:r>
    </w:p>
    <w:p>
      <w:pPr>
        <w:pStyle w:val="BodyText"/>
        <w:spacing w:before="11"/>
        <w:rPr>
          <w:sz w:val="16"/>
        </w:rPr>
      </w:pPr>
      <w:r>
        <w:rPr/>
        <w:pict>
          <v:group style="position:absolute;margin-left:62.362202pt;margin-top:12.292905pt;width:479.1pt;height:134.4pt;mso-position-horizontal-relative:page;mso-position-vertical-relative:paragraph;z-index:4760;mso-wrap-distance-left:0;mso-wrap-distance-right:0" coordorigin="1247,246" coordsize="9582,2688">
            <v:rect style="position:absolute;left:1587;top:245;width:8731;height:2688" filled="true" fillcolor="#dbe0dd" stroked="false">
              <v:fill type="solid"/>
            </v:rect>
            <v:line style="position:absolute" from="1247,993" to="10828,993" stroked="true" strokeweight="2.5pt" strokecolor="#ffffff">
              <v:stroke dashstyle="solid"/>
            </v:line>
            <v:shape style="position:absolute;left:1587;top:1017;width:8731;height:1916" type="#_x0000_t202" filled="true" fillcolor="#dbe0dd" stroked="false">
              <v:textbox inset="0,0,0,0">
                <w:txbxContent>
                  <w:p>
                    <w:pPr>
                      <w:tabs>
                        <w:tab w:pos="793" w:val="left" w:leader="none"/>
                      </w:tabs>
                      <w:spacing w:line="242" w:lineRule="auto" w:before="208"/>
                      <w:ind w:left="793" w:right="570" w:hanging="567"/>
                      <w:jc w:val="left"/>
                      <w:rPr>
                        <w:sz w:val="21"/>
                      </w:rPr>
                    </w:pPr>
                    <w:r>
                      <w:rPr>
                        <w:b/>
                        <w:spacing w:val="-3"/>
                        <w:w w:val="115"/>
                        <w:sz w:val="21"/>
                      </w:rPr>
                      <w:t>10</w:t>
                      <w:tab/>
                    </w:r>
                    <w:r>
                      <w:rPr>
                        <w:w w:val="115"/>
                        <w:sz w:val="21"/>
                      </w:rPr>
                      <w:t>A person may apply to the Victorian Civil and Administrative </w:t>
                    </w:r>
                    <w:r>
                      <w:rPr>
                        <w:spacing w:val="-4"/>
                        <w:w w:val="115"/>
                        <w:sz w:val="21"/>
                      </w:rPr>
                      <w:t>Tribunal </w:t>
                    </w:r>
                    <w:r>
                      <w:rPr>
                        <w:w w:val="115"/>
                        <w:sz w:val="21"/>
                      </w:rPr>
                      <w:t>for an order under the Act if they</w:t>
                    </w:r>
                    <w:r>
                      <w:rPr>
                        <w:spacing w:val="3"/>
                        <w:w w:val="115"/>
                        <w:sz w:val="21"/>
                      </w:rPr>
                      <w:t> </w:t>
                    </w:r>
                    <w:r>
                      <w:rPr>
                        <w:w w:val="115"/>
                        <w:sz w:val="21"/>
                      </w:rPr>
                      <w:t>are:</w:t>
                    </w:r>
                  </w:p>
                  <w:p>
                    <w:pPr>
                      <w:numPr>
                        <w:ilvl w:val="0"/>
                        <w:numId w:val="69"/>
                      </w:numPr>
                      <w:tabs>
                        <w:tab w:pos="1360" w:val="left" w:leader="none"/>
                        <w:tab w:pos="1361" w:val="left" w:leader="none"/>
                      </w:tabs>
                      <w:spacing w:before="122"/>
                      <w:ind w:left="1360" w:right="0" w:hanging="567"/>
                      <w:jc w:val="left"/>
                      <w:rPr>
                        <w:sz w:val="21"/>
                      </w:rPr>
                    </w:pPr>
                    <w:r>
                      <w:rPr>
                        <w:w w:val="115"/>
                        <w:sz w:val="21"/>
                      </w:rPr>
                      <w:t>the owner of the land affected by a tree (affected neighbour),</w:t>
                    </w:r>
                    <w:r>
                      <w:rPr>
                        <w:spacing w:val="5"/>
                        <w:w w:val="115"/>
                        <w:sz w:val="21"/>
                      </w:rPr>
                      <w:t> </w:t>
                    </w:r>
                    <w:r>
                      <w:rPr>
                        <w:w w:val="115"/>
                        <w:sz w:val="21"/>
                      </w:rPr>
                      <w:t>or</w:t>
                    </w:r>
                  </w:p>
                  <w:p>
                    <w:pPr>
                      <w:numPr>
                        <w:ilvl w:val="0"/>
                        <w:numId w:val="69"/>
                      </w:numPr>
                      <w:tabs>
                        <w:tab w:pos="1360" w:val="left" w:leader="none"/>
                        <w:tab w:pos="1361" w:val="left" w:leader="none"/>
                      </w:tabs>
                      <w:spacing w:line="242" w:lineRule="auto" w:before="124"/>
                      <w:ind w:left="1360" w:right="261" w:hanging="567"/>
                      <w:jc w:val="left"/>
                      <w:rPr>
                        <w:sz w:val="21"/>
                      </w:rPr>
                    </w:pPr>
                    <w:r>
                      <w:rPr>
                        <w:w w:val="115"/>
                        <w:sz w:val="21"/>
                      </w:rPr>
                      <w:t>an occupier of land affected by a tree if the owner of land has refused</w:t>
                    </w:r>
                    <w:r>
                      <w:rPr>
                        <w:spacing w:val="-37"/>
                        <w:w w:val="115"/>
                        <w:sz w:val="21"/>
                      </w:rPr>
                      <w:t> </w:t>
                    </w:r>
                    <w:r>
                      <w:rPr>
                        <w:w w:val="115"/>
                        <w:sz w:val="21"/>
                      </w:rPr>
                      <w:t>to commence proceedings.</w:t>
                    </w:r>
                  </w:p>
                </w:txbxContent>
              </v:textbox>
              <v:fill type="solid"/>
              <w10:wrap type="none"/>
            </v:shape>
            <v:shape style="position:absolute;left:1587;top:245;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w:t>
                    </w:r>
                  </w:p>
                </w:txbxContent>
              </v:textbox>
              <v:fill type="solid"/>
              <w10:wrap type="none"/>
            </v:shape>
            <w10:wrap type="topAndBottom"/>
          </v:group>
        </w:pict>
      </w:r>
    </w:p>
    <w:p>
      <w:pPr>
        <w:pStyle w:val="BodyText"/>
        <w:spacing w:before="1"/>
        <w:rPr>
          <w:sz w:val="22"/>
        </w:rPr>
      </w:pPr>
    </w:p>
    <w:p>
      <w:pPr>
        <w:pStyle w:val="Heading5"/>
        <w:spacing w:before="96"/>
      </w:pPr>
      <w:r>
        <w:rPr>
          <w:w w:val="115"/>
        </w:rPr>
        <w:t>Who can be found liable?</w:t>
      </w:r>
    </w:p>
    <w:p>
      <w:pPr>
        <w:pStyle w:val="ListParagraph"/>
        <w:numPr>
          <w:ilvl w:val="0"/>
          <w:numId w:val="64"/>
        </w:numPr>
        <w:tabs>
          <w:tab w:pos="2381" w:val="left" w:leader="none"/>
          <w:tab w:pos="2382" w:val="left" w:leader="none"/>
        </w:tabs>
        <w:spacing w:line="242" w:lineRule="auto" w:before="138" w:after="0"/>
        <w:ind w:left="2381" w:right="1592" w:hanging="794"/>
        <w:jc w:val="left"/>
        <w:rPr>
          <w:sz w:val="21"/>
        </w:rPr>
      </w:pPr>
      <w:r>
        <w:rPr>
          <w:w w:val="105"/>
          <w:sz w:val="21"/>
        </w:rPr>
        <w:t>The </w:t>
      </w:r>
      <w:r>
        <w:rPr>
          <w:spacing w:val="-3"/>
          <w:w w:val="105"/>
          <w:sz w:val="21"/>
        </w:rPr>
        <w:t>consultation </w:t>
      </w:r>
      <w:r>
        <w:rPr>
          <w:w w:val="105"/>
          <w:sz w:val="21"/>
        </w:rPr>
        <w:t>paper </w:t>
      </w:r>
      <w:r>
        <w:rPr>
          <w:spacing w:val="-3"/>
          <w:w w:val="105"/>
          <w:sz w:val="21"/>
        </w:rPr>
        <w:t>asked </w:t>
      </w:r>
      <w:r>
        <w:rPr>
          <w:w w:val="105"/>
          <w:sz w:val="21"/>
        </w:rPr>
        <w:t>the </w:t>
      </w:r>
      <w:r>
        <w:rPr>
          <w:spacing w:val="-3"/>
          <w:w w:val="105"/>
          <w:sz w:val="21"/>
        </w:rPr>
        <w:t>related </w:t>
      </w:r>
      <w:r>
        <w:rPr>
          <w:w w:val="105"/>
          <w:sz w:val="21"/>
        </w:rPr>
        <w:t>question of who should be </w:t>
      </w:r>
      <w:r>
        <w:rPr>
          <w:spacing w:val="-3"/>
          <w:w w:val="105"/>
          <w:sz w:val="21"/>
        </w:rPr>
        <w:t>found liable for harm </w:t>
      </w:r>
      <w:r>
        <w:rPr>
          <w:w w:val="105"/>
          <w:sz w:val="21"/>
        </w:rPr>
        <w:t>or damage caused by trees under a new</w:t>
      </w:r>
      <w:r>
        <w:rPr>
          <w:spacing w:val="36"/>
          <w:w w:val="105"/>
          <w:sz w:val="21"/>
        </w:rPr>
        <w:t> </w:t>
      </w:r>
      <w:r>
        <w:rPr>
          <w:w w:val="105"/>
          <w:sz w:val="21"/>
        </w:rPr>
        <w:t>Act.</w:t>
      </w:r>
    </w:p>
    <w:p>
      <w:pPr>
        <w:pStyle w:val="ListParagraph"/>
        <w:numPr>
          <w:ilvl w:val="0"/>
          <w:numId w:val="64"/>
        </w:numPr>
        <w:tabs>
          <w:tab w:pos="2381" w:val="left" w:leader="none"/>
          <w:tab w:pos="2382" w:val="left" w:leader="none"/>
        </w:tabs>
        <w:spacing w:line="242" w:lineRule="auto" w:before="122" w:after="0"/>
        <w:ind w:left="2381" w:right="1667" w:hanging="794"/>
        <w:jc w:val="left"/>
        <w:rPr>
          <w:sz w:val="21"/>
        </w:rPr>
      </w:pPr>
      <w:r>
        <w:rPr>
          <w:w w:val="105"/>
          <w:sz w:val="21"/>
        </w:rPr>
        <w:t>Under a </w:t>
      </w:r>
      <w:r>
        <w:rPr>
          <w:spacing w:val="-2"/>
          <w:w w:val="105"/>
          <w:sz w:val="21"/>
        </w:rPr>
        <w:t>common </w:t>
      </w:r>
      <w:r>
        <w:rPr>
          <w:w w:val="105"/>
          <w:sz w:val="21"/>
        </w:rPr>
        <w:t>law action in </w:t>
      </w:r>
      <w:r>
        <w:rPr>
          <w:spacing w:val="-3"/>
          <w:w w:val="105"/>
          <w:sz w:val="21"/>
        </w:rPr>
        <w:t>nuisance, anyone </w:t>
      </w:r>
      <w:r>
        <w:rPr>
          <w:w w:val="105"/>
          <w:sz w:val="21"/>
        </w:rPr>
        <w:t>who </w:t>
      </w:r>
      <w:r>
        <w:rPr>
          <w:spacing w:val="-3"/>
          <w:w w:val="105"/>
          <w:sz w:val="21"/>
        </w:rPr>
        <w:t>created </w:t>
      </w:r>
      <w:r>
        <w:rPr>
          <w:w w:val="105"/>
          <w:sz w:val="21"/>
        </w:rPr>
        <w:t>the </w:t>
      </w:r>
      <w:r>
        <w:rPr>
          <w:spacing w:val="-3"/>
          <w:w w:val="105"/>
          <w:sz w:val="21"/>
        </w:rPr>
        <w:t>nuisance </w:t>
      </w:r>
      <w:r>
        <w:rPr>
          <w:w w:val="105"/>
          <w:sz w:val="21"/>
        </w:rPr>
        <w:t>can be </w:t>
      </w:r>
      <w:r>
        <w:rPr>
          <w:spacing w:val="-3"/>
          <w:w w:val="105"/>
          <w:sz w:val="21"/>
        </w:rPr>
        <w:t>found liable. </w:t>
      </w:r>
      <w:r>
        <w:rPr>
          <w:w w:val="105"/>
          <w:sz w:val="21"/>
        </w:rPr>
        <w:t>There is no need </w:t>
      </w:r>
      <w:r>
        <w:rPr>
          <w:spacing w:val="-3"/>
          <w:w w:val="105"/>
          <w:sz w:val="21"/>
        </w:rPr>
        <w:t>for </w:t>
      </w:r>
      <w:r>
        <w:rPr>
          <w:w w:val="105"/>
          <w:sz w:val="21"/>
        </w:rPr>
        <w:t>the </w:t>
      </w:r>
      <w:r>
        <w:rPr>
          <w:spacing w:val="-3"/>
          <w:w w:val="105"/>
          <w:sz w:val="21"/>
        </w:rPr>
        <w:t>defendant to have any interest </w:t>
      </w:r>
      <w:r>
        <w:rPr>
          <w:w w:val="105"/>
          <w:sz w:val="21"/>
        </w:rPr>
        <w:t>in the land.</w:t>
      </w:r>
      <w:r>
        <w:rPr>
          <w:w w:val="105"/>
          <w:position w:val="7"/>
          <w:sz w:val="12"/>
        </w:rPr>
        <w:t>255 </w:t>
      </w:r>
      <w:r>
        <w:rPr>
          <w:spacing w:val="-3"/>
          <w:w w:val="105"/>
          <w:sz w:val="21"/>
        </w:rPr>
        <w:t>Generally speaking, </w:t>
      </w:r>
      <w:r>
        <w:rPr>
          <w:spacing w:val="-4"/>
          <w:w w:val="105"/>
          <w:sz w:val="21"/>
        </w:rPr>
        <w:t>however, </w:t>
      </w:r>
      <w:r>
        <w:rPr>
          <w:spacing w:val="-3"/>
          <w:w w:val="105"/>
          <w:sz w:val="21"/>
        </w:rPr>
        <w:t>‘most private nuisances are created </w:t>
      </w:r>
      <w:r>
        <w:rPr>
          <w:w w:val="105"/>
          <w:sz w:val="21"/>
        </w:rPr>
        <w:t>by </w:t>
      </w:r>
      <w:r>
        <w:rPr>
          <w:spacing w:val="-3"/>
          <w:w w:val="105"/>
          <w:sz w:val="21"/>
        </w:rPr>
        <w:t>private landowners’.</w:t>
      </w:r>
      <w:r>
        <w:rPr>
          <w:spacing w:val="-3"/>
          <w:w w:val="105"/>
          <w:position w:val="7"/>
          <w:sz w:val="12"/>
        </w:rPr>
        <w:t>256 </w:t>
      </w:r>
      <w:r>
        <w:rPr>
          <w:spacing w:val="-7"/>
          <w:w w:val="105"/>
          <w:sz w:val="21"/>
        </w:rPr>
        <w:t>To</w:t>
      </w:r>
      <w:r>
        <w:rPr>
          <w:spacing w:val="20"/>
          <w:w w:val="105"/>
          <w:sz w:val="21"/>
        </w:rPr>
        <w:t> </w:t>
      </w:r>
      <w:r>
        <w:rPr>
          <w:spacing w:val="-3"/>
          <w:w w:val="105"/>
          <w:sz w:val="21"/>
        </w:rPr>
        <w:t>that</w:t>
      </w:r>
    </w:p>
    <w:p>
      <w:pPr>
        <w:pStyle w:val="BodyText"/>
        <w:rPr>
          <w:sz w:val="20"/>
        </w:rPr>
      </w:pPr>
    </w:p>
    <w:p>
      <w:pPr>
        <w:pStyle w:val="BodyText"/>
        <w:spacing w:before="10"/>
        <w:rPr>
          <w:sz w:val="27"/>
        </w:rPr>
      </w:pPr>
      <w:r>
        <w:rPr/>
        <w:pict>
          <v:line style="position:absolute;mso-position-horizontal-relative:page;mso-position-vertical-relative:paragraph;z-index:4784;mso-wrap-distance-left:0;mso-wrap-distance-right:0" from="79.370102pt,19.437914pt" to="515.905102pt,19.437914pt" stroked="true" strokeweight="1pt" strokecolor="#c9d2cb">
            <v:stroke dashstyle="solid"/>
            <w10:wrap type="topAndBottom"/>
          </v:line>
        </w:pict>
      </w:r>
    </w:p>
    <w:p>
      <w:pPr>
        <w:pStyle w:val="ListParagraph"/>
        <w:numPr>
          <w:ilvl w:val="0"/>
          <w:numId w:val="70"/>
        </w:numPr>
        <w:tabs>
          <w:tab w:pos="2380" w:val="left" w:leader="none"/>
          <w:tab w:pos="2382" w:val="left" w:leader="none"/>
        </w:tabs>
        <w:spacing w:line="240" w:lineRule="auto" w:before="117" w:after="0"/>
        <w:ind w:left="2381" w:right="0" w:hanging="794"/>
        <w:jc w:val="left"/>
        <w:rPr>
          <w:sz w:val="13"/>
        </w:rPr>
      </w:pPr>
      <w:r>
        <w:rPr>
          <w:w w:val="105"/>
          <w:sz w:val="13"/>
        </w:rPr>
        <w:t>Submissions</w:t>
      </w:r>
      <w:r>
        <w:rPr>
          <w:spacing w:val="4"/>
          <w:w w:val="105"/>
          <w:sz w:val="13"/>
        </w:rPr>
        <w:t> </w:t>
      </w:r>
      <w:r>
        <w:rPr>
          <w:w w:val="105"/>
          <w:sz w:val="13"/>
        </w:rPr>
        <w:t>5</w:t>
      </w:r>
      <w:r>
        <w:rPr>
          <w:spacing w:val="5"/>
          <w:w w:val="105"/>
          <w:sz w:val="13"/>
        </w:rPr>
        <w:t> </w:t>
      </w:r>
      <w:r>
        <w:rPr>
          <w:spacing w:val="2"/>
          <w:w w:val="105"/>
          <w:sz w:val="13"/>
        </w:rPr>
        <w:t>(Name</w:t>
      </w:r>
      <w:r>
        <w:rPr>
          <w:spacing w:val="5"/>
          <w:w w:val="105"/>
          <w:sz w:val="13"/>
        </w:rPr>
        <w:t> </w:t>
      </w:r>
      <w:r>
        <w:rPr>
          <w:w w:val="105"/>
          <w:sz w:val="13"/>
        </w:rPr>
        <w:t>withheld),</w:t>
      </w:r>
      <w:r>
        <w:rPr>
          <w:spacing w:val="4"/>
          <w:w w:val="105"/>
          <w:sz w:val="13"/>
        </w:rPr>
        <w:t> </w:t>
      </w:r>
      <w:r>
        <w:rPr>
          <w:w w:val="105"/>
          <w:sz w:val="13"/>
        </w:rPr>
        <w:t>7</w:t>
      </w:r>
      <w:r>
        <w:rPr>
          <w:spacing w:val="5"/>
          <w:w w:val="105"/>
          <w:sz w:val="13"/>
        </w:rPr>
        <w:t> </w:t>
      </w:r>
      <w:r>
        <w:rPr>
          <w:spacing w:val="2"/>
          <w:w w:val="105"/>
          <w:sz w:val="13"/>
        </w:rPr>
        <w:t>(Ben</w:t>
      </w:r>
      <w:r>
        <w:rPr>
          <w:spacing w:val="5"/>
          <w:w w:val="105"/>
          <w:sz w:val="13"/>
        </w:rPr>
        <w:t> </w:t>
      </w:r>
      <w:r>
        <w:rPr>
          <w:w w:val="105"/>
          <w:sz w:val="13"/>
        </w:rPr>
        <w:t>Kenyon),</w:t>
      </w:r>
      <w:r>
        <w:rPr>
          <w:spacing w:val="5"/>
          <w:w w:val="105"/>
          <w:sz w:val="13"/>
        </w:rPr>
        <w:t> </w:t>
      </w:r>
      <w:r>
        <w:rPr>
          <w:w w:val="105"/>
          <w:sz w:val="13"/>
        </w:rPr>
        <w:t>10</w:t>
      </w:r>
      <w:r>
        <w:rPr>
          <w:spacing w:val="4"/>
          <w:w w:val="105"/>
          <w:sz w:val="13"/>
        </w:rPr>
        <w:t> </w:t>
      </w:r>
      <w:r>
        <w:rPr>
          <w:w w:val="105"/>
          <w:sz w:val="13"/>
        </w:rPr>
        <w:t>(Professor</w:t>
      </w:r>
      <w:r>
        <w:rPr>
          <w:spacing w:val="5"/>
          <w:w w:val="105"/>
          <w:sz w:val="13"/>
        </w:rPr>
        <w:t> </w:t>
      </w:r>
      <w:r>
        <w:rPr>
          <w:w w:val="105"/>
          <w:sz w:val="13"/>
        </w:rPr>
        <w:t>Phillip</w:t>
      </w:r>
      <w:r>
        <w:rPr>
          <w:spacing w:val="5"/>
          <w:w w:val="105"/>
          <w:sz w:val="13"/>
        </w:rPr>
        <w:t> </w:t>
      </w:r>
      <w:r>
        <w:rPr>
          <w:w w:val="105"/>
          <w:sz w:val="13"/>
        </w:rPr>
        <w:t>Hamilton),</w:t>
      </w:r>
      <w:r>
        <w:rPr>
          <w:spacing w:val="5"/>
          <w:w w:val="105"/>
          <w:sz w:val="13"/>
        </w:rPr>
        <w:t> </w:t>
      </w:r>
      <w:r>
        <w:rPr>
          <w:w w:val="105"/>
          <w:sz w:val="13"/>
        </w:rPr>
        <w:t>23</w:t>
      </w:r>
      <w:r>
        <w:rPr>
          <w:spacing w:val="4"/>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27</w:t>
      </w:r>
      <w:r>
        <w:rPr>
          <w:spacing w:val="4"/>
          <w:w w:val="105"/>
          <w:sz w:val="13"/>
        </w:rPr>
        <w:t> </w:t>
      </w:r>
      <w:r>
        <w:rPr>
          <w:spacing w:val="2"/>
          <w:w w:val="105"/>
          <w:sz w:val="13"/>
        </w:rPr>
        <w:t>(Name</w:t>
      </w:r>
      <w:r>
        <w:rPr>
          <w:spacing w:val="5"/>
          <w:w w:val="105"/>
          <w:sz w:val="13"/>
        </w:rPr>
        <w:t> </w:t>
      </w:r>
      <w:r>
        <w:rPr>
          <w:w w:val="105"/>
          <w:sz w:val="13"/>
        </w:rPr>
        <w:t>withheld).</w:t>
      </w:r>
    </w:p>
    <w:p>
      <w:pPr>
        <w:pStyle w:val="ListParagraph"/>
        <w:numPr>
          <w:ilvl w:val="0"/>
          <w:numId w:val="70"/>
        </w:numPr>
        <w:tabs>
          <w:tab w:pos="2380" w:val="left" w:leader="none"/>
          <w:tab w:pos="2382" w:val="left" w:leader="none"/>
        </w:tabs>
        <w:spacing w:line="240" w:lineRule="auto" w:before="1" w:after="0"/>
        <w:ind w:left="2381" w:right="0" w:hanging="794"/>
        <w:jc w:val="left"/>
        <w:rPr>
          <w:sz w:val="13"/>
        </w:rPr>
      </w:pPr>
      <w:r>
        <w:rPr>
          <w:w w:val="105"/>
          <w:sz w:val="13"/>
        </w:rPr>
        <w:t>Submissions 20 </w:t>
      </w:r>
      <w:r>
        <w:rPr>
          <w:spacing w:val="2"/>
          <w:w w:val="105"/>
          <w:sz w:val="13"/>
        </w:rPr>
        <w:t>(Name </w:t>
      </w:r>
      <w:r>
        <w:rPr>
          <w:w w:val="105"/>
          <w:sz w:val="13"/>
        </w:rPr>
        <w:t>withheld), 23 </w:t>
      </w:r>
      <w:r>
        <w:rPr>
          <w:spacing w:val="2"/>
          <w:w w:val="105"/>
          <w:sz w:val="13"/>
        </w:rPr>
        <w:t>(Name</w:t>
      </w:r>
      <w:r>
        <w:rPr>
          <w:spacing w:val="25"/>
          <w:w w:val="105"/>
          <w:sz w:val="13"/>
        </w:rPr>
        <w:t> </w:t>
      </w:r>
      <w:r>
        <w:rPr>
          <w:w w:val="105"/>
          <w:sz w:val="13"/>
        </w:rPr>
        <w:t>withheld).</w:t>
      </w:r>
    </w:p>
    <w:p>
      <w:pPr>
        <w:pStyle w:val="ListParagraph"/>
        <w:numPr>
          <w:ilvl w:val="0"/>
          <w:numId w:val="70"/>
        </w:numPr>
        <w:tabs>
          <w:tab w:pos="2380" w:val="left" w:leader="none"/>
          <w:tab w:pos="2382" w:val="left" w:leader="none"/>
        </w:tabs>
        <w:spacing w:line="240" w:lineRule="auto" w:before="2" w:after="0"/>
        <w:ind w:left="2381" w:right="1702" w:hanging="794"/>
        <w:jc w:val="left"/>
        <w:rPr>
          <w:sz w:val="13"/>
        </w:rPr>
      </w:pPr>
      <w:r>
        <w:rPr>
          <w:w w:val="105"/>
          <w:sz w:val="13"/>
        </w:rPr>
        <w:t>See, eg, Victorian Civil and Administrative Tribunal, </w:t>
      </w:r>
      <w:r>
        <w:rPr>
          <w:i/>
          <w:w w:val="105"/>
          <w:sz w:val="13"/>
        </w:rPr>
        <w:t>Submission to the Department of Justice and Community Safety, Residential Tenancies</w:t>
      </w:r>
      <w:r>
        <w:rPr>
          <w:i/>
          <w:spacing w:val="30"/>
          <w:w w:val="105"/>
          <w:sz w:val="13"/>
        </w:rPr>
        <w:t> </w:t>
      </w:r>
      <w:r>
        <w:rPr>
          <w:i/>
          <w:w w:val="105"/>
          <w:sz w:val="13"/>
        </w:rPr>
        <w:t>Act Review </w:t>
      </w:r>
      <w:r>
        <w:rPr>
          <w:w w:val="105"/>
          <w:sz w:val="13"/>
        </w:rPr>
        <w:t>4 &lt;https://engage.vic.gov.au/fairersaferhousing&gt;. The Tribunal interprets the tenant’s duty to keep the rented premises in a ‘reasonably clean condition’ to include any obligation by the tenant to mow the lawn and maintain garden beds so that they are neat. The Tribunal</w:t>
      </w:r>
      <w:r>
        <w:rPr>
          <w:spacing w:val="4"/>
          <w:w w:val="105"/>
          <w:sz w:val="13"/>
        </w:rPr>
        <w:t> </w:t>
      </w:r>
      <w:r>
        <w:rPr>
          <w:w w:val="105"/>
          <w:sz w:val="13"/>
        </w:rPr>
        <w:t>interprets</w:t>
      </w:r>
      <w:r>
        <w:rPr>
          <w:spacing w:val="4"/>
          <w:w w:val="105"/>
          <w:sz w:val="13"/>
        </w:rPr>
        <w:t> </w:t>
      </w:r>
      <w:r>
        <w:rPr>
          <w:w w:val="105"/>
          <w:sz w:val="13"/>
        </w:rPr>
        <w:t>the</w:t>
      </w:r>
      <w:r>
        <w:rPr>
          <w:spacing w:val="5"/>
          <w:w w:val="105"/>
          <w:sz w:val="13"/>
        </w:rPr>
        <w:t> </w:t>
      </w:r>
      <w:r>
        <w:rPr>
          <w:w w:val="105"/>
          <w:sz w:val="13"/>
        </w:rPr>
        <w:t>landlord’s</w:t>
      </w:r>
      <w:r>
        <w:rPr>
          <w:spacing w:val="4"/>
          <w:w w:val="105"/>
          <w:sz w:val="13"/>
        </w:rPr>
        <w:t> </w:t>
      </w:r>
      <w:r>
        <w:rPr>
          <w:w w:val="105"/>
          <w:sz w:val="13"/>
        </w:rPr>
        <w:t>duty</w:t>
      </w:r>
      <w:r>
        <w:rPr>
          <w:spacing w:val="4"/>
          <w:w w:val="105"/>
          <w:sz w:val="13"/>
        </w:rPr>
        <w:t> </w:t>
      </w:r>
      <w:r>
        <w:rPr>
          <w:w w:val="105"/>
          <w:sz w:val="13"/>
        </w:rPr>
        <w:t>to</w:t>
      </w:r>
      <w:r>
        <w:rPr>
          <w:spacing w:val="5"/>
          <w:w w:val="105"/>
          <w:sz w:val="13"/>
        </w:rPr>
        <w:t> </w:t>
      </w:r>
      <w:r>
        <w:rPr>
          <w:w w:val="105"/>
          <w:sz w:val="13"/>
        </w:rPr>
        <w:t>maintain</w:t>
      </w:r>
      <w:r>
        <w:rPr>
          <w:spacing w:val="4"/>
          <w:w w:val="105"/>
          <w:sz w:val="13"/>
        </w:rPr>
        <w:t> </w:t>
      </w:r>
      <w:r>
        <w:rPr>
          <w:w w:val="105"/>
          <w:sz w:val="13"/>
        </w:rPr>
        <w:t>the</w:t>
      </w:r>
      <w:r>
        <w:rPr>
          <w:spacing w:val="4"/>
          <w:w w:val="105"/>
          <w:sz w:val="13"/>
        </w:rPr>
        <w:t> </w:t>
      </w:r>
      <w:r>
        <w:rPr>
          <w:w w:val="105"/>
          <w:sz w:val="13"/>
        </w:rPr>
        <w:t>premises</w:t>
      </w:r>
      <w:r>
        <w:rPr>
          <w:spacing w:val="5"/>
          <w:w w:val="105"/>
          <w:sz w:val="13"/>
        </w:rPr>
        <w:t> </w:t>
      </w:r>
      <w:r>
        <w:rPr>
          <w:w w:val="105"/>
          <w:sz w:val="13"/>
        </w:rPr>
        <w:t>in</w:t>
      </w:r>
      <w:r>
        <w:rPr>
          <w:spacing w:val="4"/>
          <w:w w:val="105"/>
          <w:sz w:val="13"/>
        </w:rPr>
        <w:t> </w:t>
      </w:r>
      <w:r>
        <w:rPr>
          <w:w w:val="105"/>
          <w:sz w:val="13"/>
        </w:rPr>
        <w:t>good</w:t>
      </w:r>
      <w:r>
        <w:rPr>
          <w:spacing w:val="5"/>
          <w:w w:val="105"/>
          <w:sz w:val="13"/>
        </w:rPr>
        <w:t> </w:t>
      </w:r>
      <w:r>
        <w:rPr>
          <w:w w:val="105"/>
          <w:sz w:val="13"/>
        </w:rPr>
        <w:t>repair</w:t>
      </w:r>
      <w:r>
        <w:rPr>
          <w:spacing w:val="4"/>
          <w:w w:val="105"/>
          <w:sz w:val="13"/>
        </w:rPr>
        <w:t> </w:t>
      </w:r>
      <w:r>
        <w:rPr>
          <w:w w:val="105"/>
          <w:sz w:val="13"/>
        </w:rPr>
        <w:t>to</w:t>
      </w:r>
      <w:r>
        <w:rPr>
          <w:spacing w:val="4"/>
          <w:w w:val="105"/>
          <w:sz w:val="13"/>
        </w:rPr>
        <w:t> </w:t>
      </w:r>
      <w:r>
        <w:rPr>
          <w:w w:val="105"/>
          <w:sz w:val="13"/>
        </w:rPr>
        <w:t>include</w:t>
      </w:r>
      <w:r>
        <w:rPr>
          <w:spacing w:val="5"/>
          <w:w w:val="105"/>
          <w:sz w:val="13"/>
        </w:rPr>
        <w:t> </w:t>
      </w:r>
      <w:r>
        <w:rPr>
          <w:w w:val="105"/>
          <w:sz w:val="13"/>
        </w:rPr>
        <w:t>cleaning</w:t>
      </w:r>
      <w:r>
        <w:rPr>
          <w:spacing w:val="4"/>
          <w:w w:val="105"/>
          <w:sz w:val="13"/>
        </w:rPr>
        <w:t> </w:t>
      </w:r>
      <w:r>
        <w:rPr>
          <w:w w:val="105"/>
          <w:sz w:val="13"/>
        </w:rPr>
        <w:t>gutters</w:t>
      </w:r>
      <w:r>
        <w:rPr>
          <w:spacing w:val="4"/>
          <w:w w:val="105"/>
          <w:sz w:val="13"/>
        </w:rPr>
        <w:t> </w:t>
      </w:r>
      <w:r>
        <w:rPr>
          <w:w w:val="105"/>
          <w:sz w:val="13"/>
        </w:rPr>
        <w:t>and</w:t>
      </w:r>
      <w:r>
        <w:rPr>
          <w:spacing w:val="5"/>
          <w:w w:val="105"/>
          <w:sz w:val="13"/>
        </w:rPr>
        <w:t> </w:t>
      </w:r>
      <w:r>
        <w:rPr>
          <w:w w:val="105"/>
          <w:sz w:val="13"/>
        </w:rPr>
        <w:t>pruning</w:t>
      </w:r>
      <w:r>
        <w:rPr>
          <w:spacing w:val="4"/>
          <w:w w:val="105"/>
          <w:sz w:val="13"/>
        </w:rPr>
        <w:t> </w:t>
      </w:r>
      <w:r>
        <w:rPr>
          <w:w w:val="105"/>
          <w:sz w:val="13"/>
        </w:rPr>
        <w:t>larger</w:t>
      </w:r>
      <w:r>
        <w:rPr>
          <w:spacing w:val="4"/>
          <w:w w:val="105"/>
          <w:sz w:val="13"/>
        </w:rPr>
        <w:t> </w:t>
      </w:r>
      <w:r>
        <w:rPr>
          <w:w w:val="105"/>
          <w:sz w:val="13"/>
        </w:rPr>
        <w:t>trees.</w:t>
      </w:r>
    </w:p>
    <w:p>
      <w:pPr>
        <w:pStyle w:val="ListParagraph"/>
        <w:numPr>
          <w:ilvl w:val="0"/>
          <w:numId w:val="70"/>
        </w:numPr>
        <w:tabs>
          <w:tab w:pos="2380" w:val="left" w:leader="none"/>
          <w:tab w:pos="2382" w:val="left" w:leader="none"/>
        </w:tabs>
        <w:spacing w:line="240" w:lineRule="auto" w:before="5" w:after="0"/>
        <w:ind w:left="2381" w:right="0" w:hanging="794"/>
        <w:jc w:val="left"/>
        <w:rPr>
          <w:sz w:val="13"/>
        </w:rPr>
      </w:pPr>
      <w:r>
        <w:rPr>
          <w:sz w:val="13"/>
        </w:rPr>
        <w:t>Ibid.</w:t>
      </w:r>
    </w:p>
    <w:p>
      <w:pPr>
        <w:pStyle w:val="ListParagraph"/>
        <w:numPr>
          <w:ilvl w:val="0"/>
          <w:numId w:val="70"/>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70"/>
        </w:numPr>
        <w:tabs>
          <w:tab w:pos="2381" w:val="left" w:leader="none"/>
          <w:tab w:pos="2382" w:val="left" w:leader="none"/>
        </w:tabs>
        <w:spacing w:line="240" w:lineRule="auto" w:before="2" w:after="0"/>
        <w:ind w:left="2381" w:right="1948" w:hanging="794"/>
        <w:jc w:val="left"/>
        <w:rPr>
          <w:sz w:val="13"/>
        </w:rPr>
      </w:pPr>
      <w:r>
        <w:rPr/>
        <w:pict>
          <v:shape style="position:absolute;margin-left:549.044495pt;margin-top:11.057663pt;width:12.85pt;height:14.25pt;mso-position-horizontal-relative:page;mso-position-vertical-relative:paragraph;z-index:6856" type="#_x0000_t202" filled="false" stroked="false">
            <v:textbox inset="0,0,0,0">
              <w:txbxContent>
                <w:p>
                  <w:pPr>
                    <w:spacing w:line="284" w:lineRule="exact" w:before="0"/>
                    <w:ind w:left="0" w:right="0" w:firstLine="0"/>
                    <w:jc w:val="left"/>
                    <w:rPr>
                      <w:b/>
                      <w:sz w:val="24"/>
                    </w:rPr>
                  </w:pPr>
                  <w:r>
                    <w:rPr>
                      <w:b/>
                      <w:color w:val="658464"/>
                      <w:spacing w:val="-6"/>
                      <w:w w:val="110"/>
                      <w:sz w:val="24"/>
                    </w:rPr>
                    <w:t>91</w:t>
                  </w:r>
                </w:p>
              </w:txbxContent>
            </v:textbox>
            <w10:wrap type="none"/>
          </v:shape>
        </w:pict>
      </w:r>
      <w:r>
        <w:rPr>
          <w:w w:val="105"/>
          <w:sz w:val="13"/>
        </w:rPr>
        <w:t>Kit Barker, Peter Cane, Mark Lunney and Francis Trindade, </w:t>
      </w:r>
      <w:r>
        <w:rPr>
          <w:i/>
          <w:w w:val="105"/>
          <w:sz w:val="13"/>
        </w:rPr>
        <w:t>The Law of Torts in Australia </w:t>
      </w:r>
      <w:r>
        <w:rPr>
          <w:spacing w:val="2"/>
          <w:w w:val="105"/>
          <w:sz w:val="13"/>
        </w:rPr>
        <w:t>(Oxford </w:t>
      </w:r>
      <w:r>
        <w:rPr>
          <w:w w:val="105"/>
          <w:sz w:val="13"/>
        </w:rPr>
        <w:t>University Press, 5th ed, 2012) [5.1.5]; See</w:t>
      </w:r>
      <w:r>
        <w:rPr>
          <w:spacing w:val="5"/>
          <w:w w:val="105"/>
          <w:sz w:val="13"/>
        </w:rPr>
        <w:t> </w:t>
      </w:r>
      <w:r>
        <w:rPr>
          <w:w w:val="105"/>
          <w:sz w:val="13"/>
        </w:rPr>
        <w:t>also</w:t>
      </w:r>
      <w:r>
        <w:rPr>
          <w:spacing w:val="5"/>
          <w:w w:val="105"/>
          <w:sz w:val="13"/>
        </w:rPr>
        <w:t> </w:t>
      </w:r>
      <w:r>
        <w:rPr>
          <w:i/>
          <w:w w:val="105"/>
          <w:sz w:val="13"/>
        </w:rPr>
        <w:t>LexisNexis,</w:t>
      </w:r>
      <w:r>
        <w:rPr>
          <w:i/>
          <w:spacing w:val="5"/>
          <w:w w:val="105"/>
          <w:sz w:val="13"/>
        </w:rPr>
        <w:t> </w:t>
      </w:r>
      <w:r>
        <w:rPr>
          <w:i/>
          <w:w w:val="105"/>
          <w:sz w:val="13"/>
        </w:rPr>
        <w:t>Halsbury’s</w:t>
      </w:r>
      <w:r>
        <w:rPr>
          <w:i/>
          <w:spacing w:val="6"/>
          <w:w w:val="105"/>
          <w:sz w:val="13"/>
        </w:rPr>
        <w:t> </w:t>
      </w:r>
      <w:r>
        <w:rPr>
          <w:i/>
          <w:w w:val="105"/>
          <w:sz w:val="13"/>
        </w:rPr>
        <w:t>The</w:t>
      </w:r>
      <w:r>
        <w:rPr>
          <w:i/>
          <w:spacing w:val="5"/>
          <w:w w:val="105"/>
          <w:sz w:val="13"/>
        </w:rPr>
        <w:t> </w:t>
      </w:r>
      <w:r>
        <w:rPr>
          <w:i/>
          <w:w w:val="105"/>
          <w:sz w:val="13"/>
        </w:rPr>
        <w:t>Laws</w:t>
      </w:r>
      <w:r>
        <w:rPr>
          <w:i/>
          <w:spacing w:val="5"/>
          <w:w w:val="105"/>
          <w:sz w:val="13"/>
        </w:rPr>
        <w:t> </w:t>
      </w:r>
      <w:r>
        <w:rPr>
          <w:i/>
          <w:w w:val="105"/>
          <w:sz w:val="13"/>
        </w:rPr>
        <w:t>of</w:t>
      </w:r>
      <w:r>
        <w:rPr>
          <w:i/>
          <w:spacing w:val="5"/>
          <w:w w:val="105"/>
          <w:sz w:val="13"/>
        </w:rPr>
        <w:t> </w:t>
      </w:r>
      <w:r>
        <w:rPr>
          <w:i/>
          <w:w w:val="105"/>
          <w:sz w:val="13"/>
        </w:rPr>
        <w:t>Australia</w:t>
      </w:r>
      <w:r>
        <w:rPr>
          <w:i/>
          <w:spacing w:val="6"/>
          <w:w w:val="105"/>
          <w:sz w:val="13"/>
        </w:rPr>
        <w:t> </w:t>
      </w:r>
      <w:r>
        <w:rPr>
          <w:w w:val="105"/>
          <w:sz w:val="13"/>
        </w:rPr>
        <w:t>(at</w:t>
      </w:r>
      <w:r>
        <w:rPr>
          <w:spacing w:val="5"/>
          <w:w w:val="105"/>
          <w:sz w:val="13"/>
        </w:rPr>
        <w:t> </w:t>
      </w:r>
      <w:r>
        <w:rPr>
          <w:w w:val="105"/>
          <w:sz w:val="13"/>
        </w:rPr>
        <w:t>21</w:t>
      </w:r>
      <w:r>
        <w:rPr>
          <w:spacing w:val="5"/>
          <w:w w:val="105"/>
          <w:sz w:val="13"/>
        </w:rPr>
        <w:t> </w:t>
      </w:r>
      <w:r>
        <w:rPr>
          <w:w w:val="105"/>
          <w:sz w:val="13"/>
        </w:rPr>
        <w:t>March</w:t>
      </w:r>
      <w:r>
        <w:rPr>
          <w:spacing w:val="5"/>
          <w:w w:val="105"/>
          <w:sz w:val="13"/>
        </w:rPr>
        <w:t> </w:t>
      </w:r>
      <w:r>
        <w:rPr>
          <w:w w:val="105"/>
          <w:sz w:val="13"/>
        </w:rPr>
        <w:t>2018)</w:t>
      </w:r>
      <w:r>
        <w:rPr>
          <w:spacing w:val="6"/>
          <w:w w:val="105"/>
          <w:sz w:val="13"/>
        </w:rPr>
        <w:t> </w:t>
      </w:r>
      <w:r>
        <w:rPr>
          <w:spacing w:val="-4"/>
          <w:w w:val="105"/>
          <w:sz w:val="13"/>
        </w:rPr>
        <w:t>415</w:t>
      </w:r>
      <w:r>
        <w:rPr>
          <w:spacing w:val="5"/>
          <w:w w:val="105"/>
          <w:sz w:val="13"/>
        </w:rPr>
        <w:t> </w:t>
      </w:r>
      <w:r>
        <w:rPr>
          <w:w w:val="105"/>
          <w:sz w:val="13"/>
        </w:rPr>
        <w:t>Tort,</w:t>
      </w:r>
      <w:r>
        <w:rPr>
          <w:spacing w:val="5"/>
          <w:w w:val="105"/>
          <w:sz w:val="13"/>
        </w:rPr>
        <w:t> </w:t>
      </w:r>
      <w:r>
        <w:rPr>
          <w:w w:val="105"/>
          <w:sz w:val="13"/>
        </w:rPr>
        <w:t>‘Strict</w:t>
      </w:r>
      <w:r>
        <w:rPr>
          <w:spacing w:val="5"/>
          <w:w w:val="105"/>
          <w:sz w:val="13"/>
        </w:rPr>
        <w:t> </w:t>
      </w:r>
      <w:r>
        <w:rPr>
          <w:w w:val="105"/>
          <w:sz w:val="13"/>
        </w:rPr>
        <w:t>Liability</w:t>
      </w:r>
      <w:r>
        <w:rPr>
          <w:spacing w:val="6"/>
          <w:w w:val="105"/>
          <w:sz w:val="13"/>
        </w:rPr>
        <w:t> </w:t>
      </w:r>
      <w:r>
        <w:rPr>
          <w:w w:val="105"/>
          <w:sz w:val="13"/>
        </w:rPr>
        <w:t>of</w:t>
      </w:r>
      <w:r>
        <w:rPr>
          <w:spacing w:val="5"/>
          <w:w w:val="105"/>
          <w:sz w:val="13"/>
        </w:rPr>
        <w:t> </w:t>
      </w:r>
      <w:r>
        <w:rPr>
          <w:w w:val="105"/>
          <w:sz w:val="13"/>
        </w:rPr>
        <w:t>Creator’</w:t>
      </w:r>
      <w:r>
        <w:rPr>
          <w:spacing w:val="5"/>
          <w:w w:val="105"/>
          <w:sz w:val="13"/>
        </w:rPr>
        <w:t> </w:t>
      </w:r>
      <w:r>
        <w:rPr>
          <w:w w:val="105"/>
          <w:sz w:val="13"/>
        </w:rPr>
        <w:t>[415-715].</w:t>
      </w:r>
    </w:p>
    <w:p>
      <w:pPr>
        <w:pStyle w:val="ListParagraph"/>
        <w:numPr>
          <w:ilvl w:val="0"/>
          <w:numId w:val="70"/>
        </w:numPr>
        <w:tabs>
          <w:tab w:pos="2381" w:val="left" w:leader="none"/>
          <w:tab w:pos="2382" w:val="left" w:leader="none"/>
        </w:tabs>
        <w:spacing w:line="240" w:lineRule="auto" w:before="2" w:after="0"/>
        <w:ind w:left="2381" w:right="0" w:hanging="794"/>
        <w:jc w:val="left"/>
        <w:rPr>
          <w:sz w:val="13"/>
        </w:rPr>
      </w:pPr>
      <w:r>
        <w:rPr>
          <w:w w:val="105"/>
          <w:sz w:val="13"/>
        </w:rPr>
        <w:t>Kit</w:t>
      </w:r>
      <w:r>
        <w:rPr>
          <w:spacing w:val="4"/>
          <w:w w:val="105"/>
          <w:sz w:val="13"/>
        </w:rPr>
        <w:t> </w:t>
      </w:r>
      <w:r>
        <w:rPr>
          <w:w w:val="105"/>
          <w:sz w:val="13"/>
        </w:rPr>
        <w:t>Barker,</w:t>
      </w:r>
      <w:r>
        <w:rPr>
          <w:spacing w:val="4"/>
          <w:w w:val="105"/>
          <w:sz w:val="13"/>
        </w:rPr>
        <w:t> </w:t>
      </w:r>
      <w:r>
        <w:rPr>
          <w:w w:val="105"/>
          <w:sz w:val="13"/>
        </w:rPr>
        <w:t>Peter</w:t>
      </w:r>
      <w:r>
        <w:rPr>
          <w:spacing w:val="4"/>
          <w:w w:val="105"/>
          <w:sz w:val="13"/>
        </w:rPr>
        <w:t> </w:t>
      </w:r>
      <w:r>
        <w:rPr>
          <w:w w:val="105"/>
          <w:sz w:val="13"/>
        </w:rPr>
        <w:t>Cane,</w:t>
      </w:r>
      <w:r>
        <w:rPr>
          <w:spacing w:val="4"/>
          <w:w w:val="105"/>
          <w:sz w:val="13"/>
        </w:rPr>
        <w:t> </w:t>
      </w:r>
      <w:r>
        <w:rPr>
          <w:w w:val="105"/>
          <w:sz w:val="13"/>
        </w:rPr>
        <w:t>Mark</w:t>
      </w:r>
      <w:r>
        <w:rPr>
          <w:spacing w:val="4"/>
          <w:w w:val="105"/>
          <w:sz w:val="13"/>
        </w:rPr>
        <w:t> </w:t>
      </w:r>
      <w:r>
        <w:rPr>
          <w:w w:val="105"/>
          <w:sz w:val="13"/>
        </w:rPr>
        <w:t>Lunney</w:t>
      </w:r>
      <w:r>
        <w:rPr>
          <w:spacing w:val="5"/>
          <w:w w:val="105"/>
          <w:sz w:val="13"/>
        </w:rPr>
        <w:t> </w:t>
      </w:r>
      <w:r>
        <w:rPr>
          <w:w w:val="105"/>
          <w:sz w:val="13"/>
        </w:rPr>
        <w:t>and</w:t>
      </w:r>
      <w:r>
        <w:rPr>
          <w:spacing w:val="4"/>
          <w:w w:val="105"/>
          <w:sz w:val="13"/>
        </w:rPr>
        <w:t> </w:t>
      </w:r>
      <w:r>
        <w:rPr>
          <w:w w:val="105"/>
          <w:sz w:val="13"/>
        </w:rPr>
        <w:t>Francis</w:t>
      </w:r>
      <w:r>
        <w:rPr>
          <w:spacing w:val="4"/>
          <w:w w:val="105"/>
          <w:sz w:val="13"/>
        </w:rPr>
        <w:t> </w:t>
      </w:r>
      <w:r>
        <w:rPr>
          <w:w w:val="105"/>
          <w:sz w:val="13"/>
        </w:rPr>
        <w:t>Trindade,</w:t>
      </w:r>
      <w:r>
        <w:rPr>
          <w:spacing w:val="4"/>
          <w:w w:val="105"/>
          <w:sz w:val="13"/>
        </w:rPr>
        <w:t> </w:t>
      </w:r>
      <w:r>
        <w:rPr>
          <w:i/>
          <w:w w:val="105"/>
          <w:sz w:val="13"/>
        </w:rPr>
        <w:t>The</w:t>
      </w:r>
      <w:r>
        <w:rPr>
          <w:i/>
          <w:spacing w:val="4"/>
          <w:w w:val="105"/>
          <w:sz w:val="13"/>
        </w:rPr>
        <w:t> </w:t>
      </w:r>
      <w:r>
        <w:rPr>
          <w:i/>
          <w:w w:val="105"/>
          <w:sz w:val="13"/>
        </w:rPr>
        <w:t>Law</w:t>
      </w:r>
      <w:r>
        <w:rPr>
          <w:i/>
          <w:spacing w:val="5"/>
          <w:w w:val="105"/>
          <w:sz w:val="13"/>
        </w:rPr>
        <w:t> </w:t>
      </w:r>
      <w:r>
        <w:rPr>
          <w:i/>
          <w:w w:val="105"/>
          <w:sz w:val="13"/>
        </w:rPr>
        <w:t>of</w:t>
      </w:r>
      <w:r>
        <w:rPr>
          <w:i/>
          <w:spacing w:val="4"/>
          <w:w w:val="105"/>
          <w:sz w:val="13"/>
        </w:rPr>
        <w:t> </w:t>
      </w:r>
      <w:r>
        <w:rPr>
          <w:i/>
          <w:w w:val="105"/>
          <w:sz w:val="13"/>
        </w:rPr>
        <w:t>Torts</w:t>
      </w:r>
      <w:r>
        <w:rPr>
          <w:i/>
          <w:spacing w:val="4"/>
          <w:w w:val="105"/>
          <w:sz w:val="13"/>
        </w:rPr>
        <w:t> </w:t>
      </w:r>
      <w:r>
        <w:rPr>
          <w:i/>
          <w:w w:val="105"/>
          <w:sz w:val="13"/>
        </w:rPr>
        <w:t>in</w:t>
      </w:r>
      <w:r>
        <w:rPr>
          <w:i/>
          <w:spacing w:val="4"/>
          <w:w w:val="105"/>
          <w:sz w:val="13"/>
        </w:rPr>
        <w:t> </w:t>
      </w:r>
      <w:r>
        <w:rPr>
          <w:i/>
          <w:w w:val="105"/>
          <w:sz w:val="13"/>
        </w:rPr>
        <w:t>Australia</w:t>
      </w:r>
      <w:r>
        <w:rPr>
          <w:i/>
          <w:spacing w:val="4"/>
          <w:w w:val="105"/>
          <w:sz w:val="13"/>
        </w:rPr>
        <w:t> </w:t>
      </w:r>
      <w:r>
        <w:rPr>
          <w:spacing w:val="2"/>
          <w:w w:val="105"/>
          <w:sz w:val="13"/>
        </w:rPr>
        <w:t>(Oxford</w:t>
      </w:r>
      <w:r>
        <w:rPr>
          <w:spacing w:val="5"/>
          <w:w w:val="105"/>
          <w:sz w:val="13"/>
        </w:rPr>
        <w:t> </w:t>
      </w:r>
      <w:r>
        <w:rPr>
          <w:w w:val="105"/>
          <w:sz w:val="13"/>
        </w:rPr>
        <w:t>University</w:t>
      </w:r>
      <w:r>
        <w:rPr>
          <w:spacing w:val="4"/>
          <w:w w:val="105"/>
          <w:sz w:val="13"/>
        </w:rPr>
        <w:t> </w:t>
      </w:r>
      <w:r>
        <w:rPr>
          <w:w w:val="105"/>
          <w:sz w:val="13"/>
        </w:rPr>
        <w:t>Press,</w:t>
      </w:r>
      <w:r>
        <w:rPr>
          <w:spacing w:val="4"/>
          <w:w w:val="105"/>
          <w:sz w:val="13"/>
        </w:rPr>
        <w:t> </w:t>
      </w:r>
      <w:r>
        <w:rPr>
          <w:w w:val="105"/>
          <w:sz w:val="13"/>
        </w:rPr>
        <w:t>5th</w:t>
      </w:r>
      <w:r>
        <w:rPr>
          <w:spacing w:val="4"/>
          <w:w w:val="105"/>
          <w:sz w:val="13"/>
        </w:rPr>
        <w:t> </w:t>
      </w:r>
      <w:r>
        <w:rPr>
          <w:w w:val="105"/>
          <w:sz w:val="13"/>
        </w:rPr>
        <w:t>ed,</w:t>
      </w:r>
      <w:r>
        <w:rPr>
          <w:spacing w:val="4"/>
          <w:w w:val="105"/>
          <w:sz w:val="13"/>
        </w:rPr>
        <w:t> </w:t>
      </w:r>
      <w:r>
        <w:rPr>
          <w:w w:val="105"/>
          <w:sz w:val="13"/>
        </w:rPr>
        <w:t>2012)</w:t>
      </w:r>
      <w:r>
        <w:rPr>
          <w:spacing w:val="5"/>
          <w:w w:val="105"/>
          <w:sz w:val="13"/>
        </w:rPr>
        <w:t> </w:t>
      </w:r>
      <w:r>
        <w:rPr>
          <w:w w:val="105"/>
          <w:sz w:val="13"/>
        </w:rPr>
        <w:t>[5.1.5].</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BodyText"/>
        <w:spacing w:line="242" w:lineRule="auto" w:before="92"/>
        <w:ind w:left="2381" w:right="1558"/>
      </w:pPr>
      <w:r>
        <w:rPr>
          <w:spacing w:val="-3"/>
          <w:w w:val="105"/>
        </w:rPr>
        <w:t>end, </w:t>
      </w:r>
      <w:r>
        <w:rPr>
          <w:w w:val="105"/>
        </w:rPr>
        <w:t>a tree owner </w:t>
      </w:r>
      <w:r>
        <w:rPr>
          <w:spacing w:val="-3"/>
          <w:w w:val="105"/>
        </w:rPr>
        <w:t>will </w:t>
      </w:r>
      <w:r>
        <w:rPr>
          <w:w w:val="105"/>
        </w:rPr>
        <w:t>be </w:t>
      </w:r>
      <w:r>
        <w:rPr>
          <w:spacing w:val="-3"/>
          <w:w w:val="105"/>
        </w:rPr>
        <w:t>found liable for </w:t>
      </w:r>
      <w:r>
        <w:rPr>
          <w:w w:val="105"/>
        </w:rPr>
        <w:t>an action in </w:t>
      </w:r>
      <w:r>
        <w:rPr>
          <w:spacing w:val="-3"/>
          <w:w w:val="105"/>
        </w:rPr>
        <w:t>nuisance </w:t>
      </w:r>
      <w:r>
        <w:rPr>
          <w:w w:val="105"/>
        </w:rPr>
        <w:t>under </w:t>
      </w:r>
      <w:r>
        <w:rPr>
          <w:spacing w:val="-2"/>
          <w:w w:val="105"/>
        </w:rPr>
        <w:t>common </w:t>
      </w:r>
      <w:r>
        <w:rPr>
          <w:w w:val="105"/>
        </w:rPr>
        <w:t>law where they:</w:t>
      </w:r>
    </w:p>
    <w:p>
      <w:pPr>
        <w:pStyle w:val="ListParagraph"/>
        <w:numPr>
          <w:ilvl w:val="1"/>
          <w:numId w:val="70"/>
        </w:numPr>
        <w:tabs>
          <w:tab w:pos="2721" w:val="left" w:leader="none"/>
          <w:tab w:pos="2722" w:val="left" w:leader="none"/>
        </w:tabs>
        <w:spacing w:line="240" w:lineRule="auto" w:before="122" w:after="0"/>
        <w:ind w:left="2721" w:right="0" w:hanging="340"/>
        <w:jc w:val="left"/>
        <w:rPr>
          <w:sz w:val="21"/>
        </w:rPr>
      </w:pPr>
      <w:r>
        <w:rPr>
          <w:spacing w:val="-3"/>
          <w:sz w:val="21"/>
        </w:rPr>
        <w:t>created </w:t>
      </w:r>
      <w:r>
        <w:rPr>
          <w:sz w:val="21"/>
        </w:rPr>
        <w:t>the</w:t>
      </w:r>
      <w:r>
        <w:rPr>
          <w:spacing w:val="19"/>
          <w:sz w:val="21"/>
        </w:rPr>
        <w:t> </w:t>
      </w:r>
      <w:r>
        <w:rPr>
          <w:spacing w:val="-3"/>
          <w:sz w:val="21"/>
        </w:rPr>
        <w:t>nuisance</w:t>
      </w:r>
    </w:p>
    <w:p>
      <w:pPr>
        <w:pStyle w:val="ListParagraph"/>
        <w:numPr>
          <w:ilvl w:val="1"/>
          <w:numId w:val="70"/>
        </w:numPr>
        <w:tabs>
          <w:tab w:pos="2721" w:val="left" w:leader="none"/>
          <w:tab w:pos="2722" w:val="left" w:leader="none"/>
        </w:tabs>
        <w:spacing w:line="240" w:lineRule="auto" w:before="89" w:after="0"/>
        <w:ind w:left="2721" w:right="0" w:hanging="340"/>
        <w:jc w:val="left"/>
        <w:rPr>
          <w:sz w:val="21"/>
        </w:rPr>
      </w:pPr>
      <w:r>
        <w:rPr>
          <w:sz w:val="21"/>
        </w:rPr>
        <w:t>permitted</w:t>
      </w:r>
      <w:r>
        <w:rPr>
          <w:spacing w:val="9"/>
          <w:sz w:val="21"/>
        </w:rPr>
        <w:t> </w:t>
      </w:r>
      <w:r>
        <w:rPr>
          <w:sz w:val="21"/>
        </w:rPr>
        <w:t>the</w:t>
      </w:r>
      <w:r>
        <w:rPr>
          <w:spacing w:val="10"/>
          <w:sz w:val="21"/>
        </w:rPr>
        <w:t> </w:t>
      </w:r>
      <w:r>
        <w:rPr>
          <w:spacing w:val="-3"/>
          <w:sz w:val="21"/>
        </w:rPr>
        <w:t>nuisance</w:t>
      </w:r>
      <w:r>
        <w:rPr>
          <w:spacing w:val="9"/>
          <w:sz w:val="21"/>
        </w:rPr>
        <w:t> </w:t>
      </w:r>
      <w:r>
        <w:rPr>
          <w:spacing w:val="-3"/>
          <w:sz w:val="21"/>
        </w:rPr>
        <w:t>to</w:t>
      </w:r>
      <w:r>
        <w:rPr>
          <w:spacing w:val="10"/>
          <w:sz w:val="21"/>
        </w:rPr>
        <w:t> </w:t>
      </w:r>
      <w:r>
        <w:rPr>
          <w:sz w:val="21"/>
        </w:rPr>
        <w:t>arise</w:t>
      </w:r>
      <w:r>
        <w:rPr>
          <w:spacing w:val="10"/>
          <w:sz w:val="21"/>
        </w:rPr>
        <w:t> </w:t>
      </w:r>
      <w:r>
        <w:rPr>
          <w:sz w:val="21"/>
        </w:rPr>
        <w:t>by</w:t>
      </w:r>
      <w:r>
        <w:rPr>
          <w:spacing w:val="9"/>
          <w:sz w:val="21"/>
        </w:rPr>
        <w:t> </w:t>
      </w:r>
      <w:r>
        <w:rPr>
          <w:spacing w:val="-4"/>
          <w:sz w:val="21"/>
        </w:rPr>
        <w:t>failing</w:t>
      </w:r>
      <w:r>
        <w:rPr>
          <w:spacing w:val="10"/>
          <w:sz w:val="21"/>
        </w:rPr>
        <w:t> </w:t>
      </w:r>
      <w:r>
        <w:rPr>
          <w:spacing w:val="-3"/>
          <w:sz w:val="21"/>
        </w:rPr>
        <w:t>to</w:t>
      </w:r>
      <w:r>
        <w:rPr>
          <w:spacing w:val="10"/>
          <w:sz w:val="21"/>
        </w:rPr>
        <w:t> </w:t>
      </w:r>
      <w:r>
        <w:rPr>
          <w:spacing w:val="-3"/>
          <w:sz w:val="21"/>
        </w:rPr>
        <w:t>exercise</w:t>
      </w:r>
      <w:r>
        <w:rPr>
          <w:spacing w:val="9"/>
          <w:sz w:val="21"/>
        </w:rPr>
        <w:t> </w:t>
      </w:r>
      <w:r>
        <w:rPr>
          <w:spacing w:val="-3"/>
          <w:sz w:val="21"/>
        </w:rPr>
        <w:t>reasonable</w:t>
      </w:r>
      <w:r>
        <w:rPr>
          <w:spacing w:val="10"/>
          <w:sz w:val="21"/>
        </w:rPr>
        <w:t> </w:t>
      </w:r>
      <w:r>
        <w:rPr>
          <w:sz w:val="21"/>
        </w:rPr>
        <w:t>care</w:t>
      </w:r>
    </w:p>
    <w:p>
      <w:pPr>
        <w:pStyle w:val="ListParagraph"/>
        <w:numPr>
          <w:ilvl w:val="1"/>
          <w:numId w:val="70"/>
        </w:numPr>
        <w:tabs>
          <w:tab w:pos="2721" w:val="left" w:leader="none"/>
          <w:tab w:pos="2722" w:val="left" w:leader="none"/>
        </w:tabs>
        <w:spacing w:line="240" w:lineRule="auto" w:before="88" w:after="0"/>
        <w:ind w:left="2721" w:right="0" w:hanging="340"/>
        <w:jc w:val="left"/>
        <w:rPr>
          <w:sz w:val="21"/>
        </w:rPr>
      </w:pPr>
      <w:r>
        <w:rPr>
          <w:spacing w:val="-3"/>
          <w:sz w:val="21"/>
        </w:rPr>
        <w:t>continued </w:t>
      </w:r>
      <w:r>
        <w:rPr>
          <w:sz w:val="21"/>
        </w:rPr>
        <w:t>or adopted the </w:t>
      </w:r>
      <w:r>
        <w:rPr>
          <w:spacing w:val="-3"/>
          <w:sz w:val="21"/>
        </w:rPr>
        <w:t>nuisance,</w:t>
      </w:r>
      <w:r>
        <w:rPr>
          <w:spacing w:val="2"/>
          <w:sz w:val="21"/>
        </w:rPr>
        <w:t> </w:t>
      </w:r>
      <w:r>
        <w:rPr>
          <w:sz w:val="21"/>
        </w:rPr>
        <w:t>or</w:t>
      </w:r>
    </w:p>
    <w:p>
      <w:pPr>
        <w:pStyle w:val="ListParagraph"/>
        <w:numPr>
          <w:ilvl w:val="1"/>
          <w:numId w:val="70"/>
        </w:numPr>
        <w:tabs>
          <w:tab w:pos="2721" w:val="left" w:leader="none"/>
          <w:tab w:pos="2722" w:val="left" w:leader="none"/>
        </w:tabs>
        <w:spacing w:line="240" w:lineRule="auto" w:before="89" w:after="0"/>
        <w:ind w:left="2721" w:right="0" w:hanging="340"/>
        <w:jc w:val="left"/>
        <w:rPr>
          <w:sz w:val="12"/>
        </w:rPr>
      </w:pPr>
      <w:r>
        <w:rPr>
          <w:spacing w:val="-3"/>
          <w:w w:val="105"/>
          <w:sz w:val="21"/>
        </w:rPr>
        <w:t>negligently failed to </w:t>
      </w:r>
      <w:r>
        <w:rPr>
          <w:w w:val="105"/>
          <w:sz w:val="21"/>
        </w:rPr>
        <w:t>remedy or </w:t>
      </w:r>
      <w:r>
        <w:rPr>
          <w:spacing w:val="-3"/>
          <w:w w:val="105"/>
          <w:sz w:val="21"/>
        </w:rPr>
        <w:t>abate </w:t>
      </w:r>
      <w:r>
        <w:rPr>
          <w:w w:val="105"/>
          <w:sz w:val="21"/>
        </w:rPr>
        <w:t>the</w:t>
      </w:r>
      <w:r>
        <w:rPr>
          <w:spacing w:val="47"/>
          <w:w w:val="105"/>
          <w:sz w:val="21"/>
        </w:rPr>
        <w:t> </w:t>
      </w:r>
      <w:r>
        <w:rPr>
          <w:spacing w:val="-3"/>
          <w:w w:val="105"/>
          <w:sz w:val="21"/>
        </w:rPr>
        <w:t>nuisance.</w:t>
      </w:r>
      <w:r>
        <w:rPr>
          <w:spacing w:val="-3"/>
          <w:w w:val="105"/>
          <w:position w:val="7"/>
          <w:sz w:val="12"/>
        </w:rPr>
        <w:t>257</w:t>
      </w:r>
    </w:p>
    <w:p>
      <w:pPr>
        <w:pStyle w:val="ListParagraph"/>
        <w:numPr>
          <w:ilvl w:val="0"/>
          <w:numId w:val="64"/>
        </w:numPr>
        <w:tabs>
          <w:tab w:pos="2381" w:val="left" w:leader="none"/>
          <w:tab w:pos="2382" w:val="left" w:leader="none"/>
        </w:tabs>
        <w:spacing w:line="242" w:lineRule="auto" w:before="89" w:after="0"/>
        <w:ind w:left="2381" w:right="2052" w:hanging="794"/>
        <w:jc w:val="left"/>
        <w:rPr>
          <w:sz w:val="12"/>
        </w:rPr>
      </w:pPr>
      <w:r>
        <w:rPr>
          <w:w w:val="105"/>
          <w:sz w:val="21"/>
        </w:rPr>
        <w:t>Under a </w:t>
      </w:r>
      <w:r>
        <w:rPr>
          <w:spacing w:val="-2"/>
          <w:w w:val="105"/>
          <w:sz w:val="21"/>
        </w:rPr>
        <w:t>common </w:t>
      </w:r>
      <w:r>
        <w:rPr>
          <w:w w:val="105"/>
          <w:sz w:val="21"/>
        </w:rPr>
        <w:t>law action in </w:t>
      </w:r>
      <w:r>
        <w:rPr>
          <w:spacing w:val="-3"/>
          <w:w w:val="105"/>
          <w:sz w:val="21"/>
        </w:rPr>
        <w:t>negligence, liability may </w:t>
      </w:r>
      <w:r>
        <w:rPr>
          <w:w w:val="105"/>
          <w:sz w:val="21"/>
        </w:rPr>
        <w:t>be imposed on owners or occupiers of </w:t>
      </w:r>
      <w:r>
        <w:rPr>
          <w:spacing w:val="-3"/>
          <w:w w:val="105"/>
          <w:sz w:val="21"/>
        </w:rPr>
        <w:t>neighbouring </w:t>
      </w:r>
      <w:r>
        <w:rPr>
          <w:w w:val="105"/>
          <w:sz w:val="21"/>
        </w:rPr>
        <w:t>properties because the </w:t>
      </w:r>
      <w:r>
        <w:rPr>
          <w:spacing w:val="-2"/>
          <w:w w:val="105"/>
          <w:sz w:val="21"/>
        </w:rPr>
        <w:t>common </w:t>
      </w:r>
      <w:r>
        <w:rPr>
          <w:w w:val="105"/>
          <w:sz w:val="21"/>
        </w:rPr>
        <w:t>law </w:t>
      </w:r>
      <w:r>
        <w:rPr>
          <w:spacing w:val="-3"/>
          <w:w w:val="105"/>
          <w:sz w:val="21"/>
        </w:rPr>
        <w:t>‘imposes </w:t>
      </w:r>
      <w:r>
        <w:rPr>
          <w:w w:val="105"/>
          <w:sz w:val="21"/>
        </w:rPr>
        <w:t>a duty of care on each </w:t>
      </w:r>
      <w:r>
        <w:rPr>
          <w:spacing w:val="-3"/>
          <w:w w:val="105"/>
          <w:sz w:val="21"/>
        </w:rPr>
        <w:t>neighbour </w:t>
      </w:r>
      <w:r>
        <w:rPr>
          <w:w w:val="105"/>
          <w:sz w:val="21"/>
        </w:rPr>
        <w:t>in </w:t>
      </w:r>
      <w:r>
        <w:rPr>
          <w:spacing w:val="-3"/>
          <w:w w:val="105"/>
          <w:sz w:val="21"/>
        </w:rPr>
        <w:t>relation to </w:t>
      </w:r>
      <w:r>
        <w:rPr>
          <w:w w:val="105"/>
          <w:sz w:val="21"/>
        </w:rPr>
        <w:t>the other </w:t>
      </w:r>
      <w:r>
        <w:rPr>
          <w:spacing w:val="-4"/>
          <w:w w:val="105"/>
          <w:sz w:val="21"/>
        </w:rPr>
        <w:t>neighbour.’</w:t>
      </w:r>
      <w:r>
        <w:rPr>
          <w:spacing w:val="-4"/>
          <w:w w:val="105"/>
          <w:position w:val="7"/>
          <w:sz w:val="12"/>
        </w:rPr>
        <w:t>258 </w:t>
      </w:r>
      <w:r>
        <w:rPr>
          <w:w w:val="105"/>
          <w:sz w:val="21"/>
        </w:rPr>
        <w:t>Liability </w:t>
      </w:r>
      <w:r>
        <w:rPr>
          <w:spacing w:val="-3"/>
          <w:w w:val="105"/>
          <w:sz w:val="21"/>
        </w:rPr>
        <w:t>will </w:t>
      </w:r>
      <w:r>
        <w:rPr>
          <w:w w:val="105"/>
          <w:sz w:val="21"/>
        </w:rPr>
        <w:t>attach </w:t>
      </w:r>
      <w:r>
        <w:rPr>
          <w:spacing w:val="-3"/>
          <w:w w:val="105"/>
          <w:sz w:val="21"/>
        </w:rPr>
        <w:t>to neighbouring </w:t>
      </w:r>
      <w:r>
        <w:rPr>
          <w:w w:val="105"/>
          <w:sz w:val="21"/>
        </w:rPr>
        <w:t>owners or occupiers of </w:t>
      </w:r>
      <w:r>
        <w:rPr>
          <w:spacing w:val="-3"/>
          <w:w w:val="105"/>
          <w:sz w:val="21"/>
        </w:rPr>
        <w:t>land </w:t>
      </w:r>
      <w:r>
        <w:rPr>
          <w:w w:val="105"/>
          <w:sz w:val="21"/>
        </w:rPr>
        <w:t>in </w:t>
      </w:r>
      <w:r>
        <w:rPr>
          <w:spacing w:val="-3"/>
          <w:w w:val="105"/>
          <w:sz w:val="21"/>
        </w:rPr>
        <w:t>negligence </w:t>
      </w:r>
      <w:r>
        <w:rPr>
          <w:w w:val="105"/>
          <w:sz w:val="21"/>
        </w:rPr>
        <w:t>where they </w:t>
      </w:r>
      <w:r>
        <w:rPr>
          <w:spacing w:val="-3"/>
          <w:w w:val="105"/>
          <w:sz w:val="21"/>
        </w:rPr>
        <w:t>failed to exercise reasonable </w:t>
      </w:r>
      <w:r>
        <w:rPr>
          <w:w w:val="105"/>
          <w:sz w:val="21"/>
        </w:rPr>
        <w:t>care in </w:t>
      </w:r>
      <w:r>
        <w:rPr>
          <w:spacing w:val="-3"/>
          <w:w w:val="105"/>
          <w:sz w:val="21"/>
        </w:rPr>
        <w:t>relation to </w:t>
      </w:r>
      <w:r>
        <w:rPr>
          <w:w w:val="105"/>
          <w:sz w:val="21"/>
        </w:rPr>
        <w:t>their </w:t>
      </w:r>
      <w:r>
        <w:rPr>
          <w:spacing w:val="-3"/>
          <w:w w:val="105"/>
          <w:sz w:val="21"/>
        </w:rPr>
        <w:t>tree, resulting </w:t>
      </w:r>
      <w:r>
        <w:rPr>
          <w:w w:val="105"/>
          <w:sz w:val="21"/>
        </w:rPr>
        <w:t>in </w:t>
      </w:r>
      <w:r>
        <w:rPr>
          <w:spacing w:val="-3"/>
          <w:w w:val="105"/>
          <w:sz w:val="21"/>
        </w:rPr>
        <w:t>harm </w:t>
      </w:r>
      <w:r>
        <w:rPr>
          <w:w w:val="105"/>
          <w:sz w:val="21"/>
        </w:rPr>
        <w:t>or loss </w:t>
      </w:r>
      <w:r>
        <w:rPr>
          <w:spacing w:val="-3"/>
          <w:w w:val="105"/>
          <w:sz w:val="21"/>
        </w:rPr>
        <w:t>to </w:t>
      </w:r>
      <w:r>
        <w:rPr>
          <w:w w:val="105"/>
          <w:sz w:val="21"/>
        </w:rPr>
        <w:t>a</w:t>
      </w:r>
      <w:r>
        <w:rPr>
          <w:spacing w:val="-1"/>
          <w:w w:val="105"/>
          <w:sz w:val="21"/>
        </w:rPr>
        <w:t> </w:t>
      </w:r>
      <w:r>
        <w:rPr>
          <w:spacing w:val="-3"/>
          <w:w w:val="105"/>
          <w:sz w:val="21"/>
        </w:rPr>
        <w:t>neighbour.</w:t>
      </w:r>
      <w:r>
        <w:rPr>
          <w:spacing w:val="-3"/>
          <w:w w:val="105"/>
          <w:position w:val="7"/>
          <w:sz w:val="12"/>
        </w:rPr>
        <w:t>259</w:t>
      </w:r>
    </w:p>
    <w:p>
      <w:pPr>
        <w:pStyle w:val="ListParagraph"/>
        <w:numPr>
          <w:ilvl w:val="0"/>
          <w:numId w:val="64"/>
        </w:numPr>
        <w:tabs>
          <w:tab w:pos="2381" w:val="left" w:leader="none"/>
          <w:tab w:pos="2382" w:val="left" w:leader="none"/>
        </w:tabs>
        <w:spacing w:line="242" w:lineRule="auto" w:before="125" w:after="0"/>
        <w:ind w:left="2381" w:right="1773" w:hanging="794"/>
        <w:jc w:val="left"/>
        <w:rPr>
          <w:sz w:val="12"/>
        </w:rPr>
      </w:pPr>
      <w:r>
        <w:rPr>
          <w:sz w:val="21"/>
        </w:rPr>
        <w:t>For legal action </w:t>
      </w:r>
      <w:r>
        <w:rPr>
          <w:spacing w:val="-3"/>
          <w:sz w:val="21"/>
        </w:rPr>
        <w:t>arising </w:t>
      </w:r>
      <w:r>
        <w:rPr>
          <w:sz w:val="21"/>
        </w:rPr>
        <w:t>out of </w:t>
      </w:r>
      <w:r>
        <w:rPr>
          <w:spacing w:val="-3"/>
          <w:sz w:val="21"/>
        </w:rPr>
        <w:t>fencing disputes, </w:t>
      </w:r>
      <w:r>
        <w:rPr>
          <w:sz w:val="21"/>
        </w:rPr>
        <w:t>both owners </w:t>
      </w:r>
      <w:r>
        <w:rPr>
          <w:spacing w:val="-3"/>
          <w:sz w:val="21"/>
        </w:rPr>
        <w:t>are liable to  contribute  </w:t>
      </w:r>
      <w:r>
        <w:rPr>
          <w:sz w:val="21"/>
        </w:rPr>
        <w:t>in equal proportions.</w:t>
      </w:r>
      <w:r>
        <w:rPr>
          <w:position w:val="7"/>
          <w:sz w:val="12"/>
        </w:rPr>
        <w:t>260 </w:t>
      </w:r>
      <w:r>
        <w:rPr>
          <w:sz w:val="21"/>
        </w:rPr>
        <w:t>In some </w:t>
      </w:r>
      <w:r>
        <w:rPr>
          <w:spacing w:val="-3"/>
          <w:sz w:val="21"/>
        </w:rPr>
        <w:t>circumstances, </w:t>
      </w:r>
      <w:r>
        <w:rPr>
          <w:sz w:val="21"/>
        </w:rPr>
        <w:t>long-term </w:t>
      </w:r>
      <w:r>
        <w:rPr>
          <w:spacing w:val="-3"/>
          <w:sz w:val="21"/>
        </w:rPr>
        <w:t>tenants (excluding residential </w:t>
      </w:r>
      <w:r>
        <w:rPr>
          <w:sz w:val="21"/>
        </w:rPr>
        <w:t>tenants) </w:t>
      </w:r>
      <w:r>
        <w:rPr>
          <w:spacing w:val="-3"/>
          <w:sz w:val="21"/>
        </w:rPr>
        <w:t>may have to contribute to  </w:t>
      </w:r>
      <w:r>
        <w:rPr>
          <w:sz w:val="21"/>
        </w:rPr>
        <w:t>the costs. This applies </w:t>
      </w:r>
      <w:r>
        <w:rPr>
          <w:spacing w:val="-3"/>
          <w:sz w:val="21"/>
        </w:rPr>
        <w:t>to</w:t>
      </w:r>
      <w:r>
        <w:rPr>
          <w:spacing w:val="41"/>
          <w:sz w:val="21"/>
        </w:rPr>
        <w:t> </w:t>
      </w:r>
      <w:r>
        <w:rPr>
          <w:spacing w:val="-3"/>
          <w:sz w:val="21"/>
        </w:rPr>
        <w:t>tenants  </w:t>
      </w:r>
      <w:r>
        <w:rPr>
          <w:sz w:val="21"/>
        </w:rPr>
        <w:t>with at least five years </w:t>
      </w:r>
      <w:r>
        <w:rPr>
          <w:spacing w:val="-3"/>
          <w:sz w:val="21"/>
        </w:rPr>
        <w:t>remaining </w:t>
      </w:r>
      <w:r>
        <w:rPr>
          <w:sz w:val="21"/>
        </w:rPr>
        <w:t>on their </w:t>
      </w:r>
      <w:r>
        <w:rPr>
          <w:spacing w:val="-3"/>
          <w:sz w:val="21"/>
        </w:rPr>
        <w:t>lease.</w:t>
      </w:r>
      <w:r>
        <w:rPr>
          <w:spacing w:val="-3"/>
          <w:position w:val="7"/>
          <w:sz w:val="12"/>
        </w:rPr>
        <w:t>261 </w:t>
      </w:r>
      <w:r>
        <w:rPr>
          <w:sz w:val="21"/>
        </w:rPr>
        <w:t>This is </w:t>
      </w:r>
      <w:r>
        <w:rPr>
          <w:spacing w:val="-3"/>
          <w:sz w:val="21"/>
        </w:rPr>
        <w:t>to ensure </w:t>
      </w:r>
      <w:r>
        <w:rPr>
          <w:sz w:val="21"/>
        </w:rPr>
        <w:t>‘that the </w:t>
      </w:r>
      <w:r>
        <w:rPr>
          <w:spacing w:val="-3"/>
          <w:sz w:val="21"/>
        </w:rPr>
        <w:t>fence to </w:t>
      </w:r>
      <w:r>
        <w:rPr>
          <w:sz w:val="21"/>
        </w:rPr>
        <w:t>be constructed </w:t>
      </w:r>
      <w:r>
        <w:rPr>
          <w:spacing w:val="-3"/>
          <w:sz w:val="21"/>
        </w:rPr>
        <w:t>will </w:t>
      </w:r>
      <w:r>
        <w:rPr>
          <w:sz w:val="21"/>
        </w:rPr>
        <w:t>meet the needs of present usage’ and this extends </w:t>
      </w:r>
      <w:r>
        <w:rPr>
          <w:spacing w:val="-3"/>
          <w:sz w:val="21"/>
        </w:rPr>
        <w:t>to  </w:t>
      </w:r>
      <w:r>
        <w:rPr>
          <w:sz w:val="21"/>
        </w:rPr>
        <w:t>being sufficient </w:t>
      </w:r>
      <w:r>
        <w:rPr>
          <w:spacing w:val="-3"/>
          <w:sz w:val="21"/>
        </w:rPr>
        <w:t>for</w:t>
      </w:r>
      <w:r>
        <w:rPr>
          <w:spacing w:val="41"/>
          <w:sz w:val="21"/>
        </w:rPr>
        <w:t> </w:t>
      </w:r>
      <w:r>
        <w:rPr>
          <w:sz w:val="21"/>
        </w:rPr>
        <w:t>the purposes    of both occupiers.</w:t>
      </w:r>
      <w:r>
        <w:rPr>
          <w:position w:val="7"/>
          <w:sz w:val="12"/>
        </w:rPr>
        <w:t>262 </w:t>
      </w:r>
      <w:r>
        <w:rPr>
          <w:sz w:val="21"/>
        </w:rPr>
        <w:t>It also covers </w:t>
      </w:r>
      <w:r>
        <w:rPr>
          <w:spacing w:val="-3"/>
          <w:sz w:val="21"/>
        </w:rPr>
        <w:t>situations </w:t>
      </w:r>
      <w:r>
        <w:rPr>
          <w:sz w:val="21"/>
        </w:rPr>
        <w:t>in which the </w:t>
      </w:r>
      <w:r>
        <w:rPr>
          <w:spacing w:val="-3"/>
          <w:sz w:val="21"/>
        </w:rPr>
        <w:t>tenant </w:t>
      </w:r>
      <w:r>
        <w:rPr>
          <w:sz w:val="21"/>
        </w:rPr>
        <w:t>wishes </w:t>
      </w:r>
      <w:r>
        <w:rPr>
          <w:spacing w:val="-3"/>
          <w:sz w:val="21"/>
        </w:rPr>
        <w:t>to have </w:t>
      </w:r>
      <w:r>
        <w:rPr>
          <w:sz w:val="21"/>
        </w:rPr>
        <w:t>a </w:t>
      </w:r>
      <w:r>
        <w:rPr>
          <w:spacing w:val="-3"/>
          <w:sz w:val="21"/>
        </w:rPr>
        <w:t>fence </w:t>
      </w:r>
      <w:r>
        <w:rPr>
          <w:sz w:val="21"/>
        </w:rPr>
        <w:t>installed </w:t>
      </w:r>
      <w:r>
        <w:rPr>
          <w:spacing w:val="-3"/>
          <w:sz w:val="21"/>
        </w:rPr>
        <w:t>that </w:t>
      </w:r>
      <w:r>
        <w:rPr>
          <w:sz w:val="21"/>
        </w:rPr>
        <w:t>costs more </w:t>
      </w:r>
      <w:r>
        <w:rPr>
          <w:spacing w:val="-3"/>
          <w:sz w:val="21"/>
        </w:rPr>
        <w:t>than </w:t>
      </w:r>
      <w:r>
        <w:rPr>
          <w:sz w:val="21"/>
        </w:rPr>
        <w:t>one which  the  </w:t>
      </w:r>
      <w:r>
        <w:rPr>
          <w:spacing w:val="-3"/>
          <w:sz w:val="21"/>
        </w:rPr>
        <w:t>landlord  </w:t>
      </w:r>
      <w:r>
        <w:rPr>
          <w:sz w:val="21"/>
        </w:rPr>
        <w:t>is  </w:t>
      </w:r>
      <w:r>
        <w:rPr>
          <w:spacing w:val="-3"/>
          <w:sz w:val="21"/>
        </w:rPr>
        <w:t>required  to  contribute  </w:t>
      </w:r>
      <w:r>
        <w:rPr>
          <w:sz w:val="21"/>
        </w:rPr>
        <w:t>under the Fences Act.</w:t>
      </w:r>
      <w:r>
        <w:rPr>
          <w:position w:val="7"/>
          <w:sz w:val="12"/>
        </w:rPr>
        <w:t>263 </w:t>
      </w:r>
      <w:r>
        <w:rPr>
          <w:spacing w:val="-3"/>
          <w:sz w:val="21"/>
        </w:rPr>
        <w:t>Residential tenants are  excluded  </w:t>
      </w:r>
      <w:r>
        <w:rPr>
          <w:sz w:val="21"/>
        </w:rPr>
        <w:t>because the </w:t>
      </w:r>
      <w:r>
        <w:rPr>
          <w:spacing w:val="-3"/>
          <w:sz w:val="21"/>
        </w:rPr>
        <w:t>‘erection</w:t>
      </w:r>
      <w:r>
        <w:rPr>
          <w:spacing w:val="41"/>
          <w:sz w:val="21"/>
        </w:rPr>
        <w:t> </w:t>
      </w:r>
      <w:r>
        <w:rPr>
          <w:sz w:val="21"/>
        </w:rPr>
        <w:t>or </w:t>
      </w:r>
      <w:r>
        <w:rPr>
          <w:spacing w:val="-3"/>
          <w:sz w:val="21"/>
        </w:rPr>
        <w:t>replacement  </w:t>
      </w:r>
      <w:r>
        <w:rPr>
          <w:sz w:val="21"/>
        </w:rPr>
        <w:t>of a </w:t>
      </w:r>
      <w:r>
        <w:rPr>
          <w:spacing w:val="-3"/>
          <w:sz w:val="21"/>
        </w:rPr>
        <w:t>fence </w:t>
      </w:r>
      <w:r>
        <w:rPr>
          <w:sz w:val="21"/>
        </w:rPr>
        <w:t>is an </w:t>
      </w:r>
      <w:r>
        <w:rPr>
          <w:spacing w:val="-3"/>
          <w:sz w:val="21"/>
        </w:rPr>
        <w:t>improvement to </w:t>
      </w:r>
      <w:r>
        <w:rPr>
          <w:sz w:val="21"/>
        </w:rPr>
        <w:t>the </w:t>
      </w:r>
      <w:r>
        <w:rPr>
          <w:spacing w:val="-3"/>
          <w:sz w:val="21"/>
        </w:rPr>
        <w:t>land </w:t>
      </w:r>
      <w:r>
        <w:rPr>
          <w:sz w:val="21"/>
        </w:rPr>
        <w:t>and should </w:t>
      </w:r>
      <w:r>
        <w:rPr>
          <w:spacing w:val="-2"/>
          <w:sz w:val="21"/>
        </w:rPr>
        <w:t>not </w:t>
      </w:r>
      <w:r>
        <w:rPr>
          <w:sz w:val="21"/>
        </w:rPr>
        <w:t>be </w:t>
      </w:r>
      <w:r>
        <w:rPr>
          <w:spacing w:val="-3"/>
          <w:sz w:val="21"/>
        </w:rPr>
        <w:t>distinguished from </w:t>
      </w:r>
      <w:r>
        <w:rPr>
          <w:sz w:val="21"/>
        </w:rPr>
        <w:t>other </w:t>
      </w:r>
      <w:r>
        <w:rPr>
          <w:spacing w:val="-3"/>
          <w:sz w:val="21"/>
        </w:rPr>
        <w:t>improvements</w:t>
      </w:r>
      <w:r>
        <w:rPr>
          <w:spacing w:val="11"/>
          <w:sz w:val="21"/>
        </w:rPr>
        <w:t> </w:t>
      </w:r>
      <w:r>
        <w:rPr>
          <w:spacing w:val="-3"/>
          <w:sz w:val="21"/>
        </w:rPr>
        <w:t>for</w:t>
      </w:r>
      <w:r>
        <w:rPr>
          <w:spacing w:val="12"/>
          <w:sz w:val="21"/>
        </w:rPr>
        <w:t> </w:t>
      </w:r>
      <w:r>
        <w:rPr>
          <w:sz w:val="21"/>
        </w:rPr>
        <w:t>which</w:t>
      </w:r>
      <w:r>
        <w:rPr>
          <w:spacing w:val="12"/>
          <w:sz w:val="21"/>
        </w:rPr>
        <w:t> </w:t>
      </w:r>
      <w:r>
        <w:rPr>
          <w:sz w:val="21"/>
        </w:rPr>
        <w:t>a</w:t>
      </w:r>
      <w:r>
        <w:rPr>
          <w:spacing w:val="11"/>
          <w:sz w:val="21"/>
        </w:rPr>
        <w:t> </w:t>
      </w:r>
      <w:r>
        <w:rPr>
          <w:spacing w:val="-3"/>
          <w:sz w:val="21"/>
        </w:rPr>
        <w:t>landlord</w:t>
      </w:r>
      <w:r>
        <w:rPr>
          <w:spacing w:val="12"/>
          <w:sz w:val="21"/>
        </w:rPr>
        <w:t> </w:t>
      </w:r>
      <w:r>
        <w:rPr>
          <w:sz w:val="21"/>
        </w:rPr>
        <w:t>is</w:t>
      </w:r>
      <w:r>
        <w:rPr>
          <w:spacing w:val="12"/>
          <w:sz w:val="21"/>
        </w:rPr>
        <w:t> </w:t>
      </w:r>
      <w:r>
        <w:rPr>
          <w:spacing w:val="-3"/>
          <w:sz w:val="21"/>
        </w:rPr>
        <w:t>generally</w:t>
      </w:r>
      <w:r>
        <w:rPr>
          <w:spacing w:val="11"/>
          <w:sz w:val="21"/>
        </w:rPr>
        <w:t> </w:t>
      </w:r>
      <w:r>
        <w:rPr>
          <w:spacing w:val="-3"/>
          <w:sz w:val="21"/>
        </w:rPr>
        <w:t>responsible’.</w:t>
      </w:r>
      <w:r>
        <w:rPr>
          <w:spacing w:val="-3"/>
          <w:position w:val="7"/>
          <w:sz w:val="12"/>
        </w:rPr>
        <w:t>264</w:t>
      </w:r>
    </w:p>
    <w:p>
      <w:pPr>
        <w:pStyle w:val="Heading7"/>
        <w:spacing w:before="161"/>
      </w:pPr>
      <w:r>
        <w:rPr>
          <w:w w:val="115"/>
        </w:rPr>
        <w:t>Other jurisdictions—who can be found liable?</w:t>
      </w:r>
    </w:p>
    <w:p>
      <w:pPr>
        <w:pStyle w:val="ListParagraph"/>
        <w:numPr>
          <w:ilvl w:val="0"/>
          <w:numId w:val="64"/>
        </w:numPr>
        <w:tabs>
          <w:tab w:pos="2380" w:val="left" w:leader="none"/>
          <w:tab w:pos="2381" w:val="left" w:leader="none"/>
        </w:tabs>
        <w:spacing w:line="242" w:lineRule="auto" w:before="143" w:after="0"/>
        <w:ind w:left="2381" w:right="1657" w:hanging="794"/>
        <w:jc w:val="left"/>
        <w:rPr>
          <w:sz w:val="12"/>
        </w:rPr>
      </w:pPr>
      <w:r>
        <w:rPr>
          <w:w w:val="105"/>
          <w:sz w:val="21"/>
        </w:rPr>
        <w:t>Under</w:t>
      </w:r>
      <w:r>
        <w:rPr>
          <w:spacing w:val="-6"/>
          <w:w w:val="105"/>
          <w:sz w:val="21"/>
        </w:rPr>
        <w:t> </w:t>
      </w:r>
      <w:r>
        <w:rPr>
          <w:w w:val="105"/>
          <w:sz w:val="21"/>
        </w:rPr>
        <w:t>the</w:t>
      </w:r>
      <w:r>
        <w:rPr>
          <w:spacing w:val="-5"/>
          <w:w w:val="105"/>
          <w:sz w:val="21"/>
        </w:rPr>
        <w:t> </w:t>
      </w:r>
      <w:r>
        <w:rPr>
          <w:w w:val="105"/>
          <w:sz w:val="21"/>
        </w:rPr>
        <w:t>NSW</w:t>
      </w:r>
      <w:r>
        <w:rPr>
          <w:spacing w:val="-5"/>
          <w:w w:val="105"/>
          <w:sz w:val="21"/>
        </w:rPr>
        <w:t> </w:t>
      </w:r>
      <w:r>
        <w:rPr>
          <w:w w:val="105"/>
          <w:sz w:val="21"/>
        </w:rPr>
        <w:t>Act,</w:t>
      </w:r>
      <w:r>
        <w:rPr>
          <w:spacing w:val="-6"/>
          <w:w w:val="105"/>
          <w:sz w:val="21"/>
        </w:rPr>
        <w:t> </w:t>
      </w:r>
      <w:r>
        <w:rPr>
          <w:w w:val="105"/>
          <w:sz w:val="21"/>
        </w:rPr>
        <w:t>owners</w:t>
      </w:r>
      <w:r>
        <w:rPr>
          <w:spacing w:val="-5"/>
          <w:w w:val="105"/>
          <w:sz w:val="21"/>
        </w:rPr>
        <w:t> </w:t>
      </w:r>
      <w:r>
        <w:rPr>
          <w:w w:val="105"/>
          <w:sz w:val="21"/>
        </w:rPr>
        <w:t>or</w:t>
      </w:r>
      <w:r>
        <w:rPr>
          <w:spacing w:val="-5"/>
          <w:w w:val="105"/>
          <w:sz w:val="21"/>
        </w:rPr>
        <w:t> </w:t>
      </w:r>
      <w:r>
        <w:rPr>
          <w:w w:val="105"/>
          <w:sz w:val="21"/>
        </w:rPr>
        <w:t>occupiers</w:t>
      </w:r>
      <w:r>
        <w:rPr>
          <w:spacing w:val="-5"/>
          <w:w w:val="105"/>
          <w:sz w:val="21"/>
        </w:rPr>
        <w:t> </w:t>
      </w:r>
      <w:r>
        <w:rPr>
          <w:w w:val="105"/>
          <w:sz w:val="21"/>
        </w:rPr>
        <w:t>of</w:t>
      </w:r>
      <w:r>
        <w:rPr>
          <w:spacing w:val="-6"/>
          <w:w w:val="105"/>
          <w:sz w:val="21"/>
        </w:rPr>
        <w:t> </w:t>
      </w:r>
      <w:r>
        <w:rPr>
          <w:spacing w:val="-3"/>
          <w:w w:val="105"/>
          <w:sz w:val="21"/>
        </w:rPr>
        <w:t>land</w:t>
      </w:r>
      <w:r>
        <w:rPr>
          <w:spacing w:val="-5"/>
          <w:w w:val="105"/>
          <w:sz w:val="21"/>
        </w:rPr>
        <w:t> </w:t>
      </w:r>
      <w:r>
        <w:rPr>
          <w:w w:val="105"/>
          <w:sz w:val="21"/>
        </w:rPr>
        <w:t>on</w:t>
      </w:r>
      <w:r>
        <w:rPr>
          <w:spacing w:val="-5"/>
          <w:w w:val="105"/>
          <w:sz w:val="21"/>
        </w:rPr>
        <w:t> </w:t>
      </w:r>
      <w:r>
        <w:rPr>
          <w:w w:val="105"/>
          <w:sz w:val="21"/>
        </w:rPr>
        <w:t>which</w:t>
      </w:r>
      <w:r>
        <w:rPr>
          <w:spacing w:val="-5"/>
          <w:w w:val="105"/>
          <w:sz w:val="21"/>
        </w:rPr>
        <w:t> </w:t>
      </w:r>
      <w:r>
        <w:rPr>
          <w:w w:val="105"/>
          <w:sz w:val="21"/>
        </w:rPr>
        <w:t>the</w:t>
      </w:r>
      <w:r>
        <w:rPr>
          <w:spacing w:val="-6"/>
          <w:w w:val="105"/>
          <w:sz w:val="21"/>
        </w:rPr>
        <w:t> </w:t>
      </w:r>
      <w:r>
        <w:rPr>
          <w:w w:val="105"/>
          <w:sz w:val="21"/>
        </w:rPr>
        <w:t>subject</w:t>
      </w:r>
      <w:r>
        <w:rPr>
          <w:spacing w:val="-5"/>
          <w:w w:val="105"/>
          <w:sz w:val="21"/>
        </w:rPr>
        <w:t> </w:t>
      </w:r>
      <w:r>
        <w:rPr>
          <w:w w:val="105"/>
          <w:sz w:val="21"/>
        </w:rPr>
        <w:t>tree</w:t>
      </w:r>
      <w:r>
        <w:rPr>
          <w:spacing w:val="-5"/>
          <w:w w:val="105"/>
          <w:sz w:val="21"/>
        </w:rPr>
        <w:t> </w:t>
      </w:r>
      <w:r>
        <w:rPr>
          <w:w w:val="105"/>
          <w:sz w:val="21"/>
        </w:rPr>
        <w:t>is</w:t>
      </w:r>
      <w:r>
        <w:rPr>
          <w:spacing w:val="-5"/>
          <w:w w:val="105"/>
          <w:sz w:val="21"/>
        </w:rPr>
        <w:t> </w:t>
      </w:r>
      <w:r>
        <w:rPr>
          <w:w w:val="105"/>
          <w:sz w:val="21"/>
        </w:rPr>
        <w:t>located</w:t>
      </w:r>
      <w:r>
        <w:rPr>
          <w:spacing w:val="-6"/>
          <w:w w:val="105"/>
          <w:sz w:val="21"/>
        </w:rPr>
        <w:t> </w:t>
      </w:r>
      <w:r>
        <w:rPr>
          <w:w w:val="105"/>
          <w:sz w:val="21"/>
        </w:rPr>
        <w:t>can be </w:t>
      </w:r>
      <w:r>
        <w:rPr>
          <w:spacing w:val="-3"/>
          <w:w w:val="105"/>
          <w:sz w:val="21"/>
        </w:rPr>
        <w:t>found</w:t>
      </w:r>
      <w:r>
        <w:rPr>
          <w:spacing w:val="10"/>
          <w:w w:val="105"/>
          <w:sz w:val="21"/>
        </w:rPr>
        <w:t> </w:t>
      </w:r>
      <w:r>
        <w:rPr>
          <w:w w:val="105"/>
          <w:sz w:val="21"/>
        </w:rPr>
        <w:t>liable.</w:t>
      </w:r>
      <w:r>
        <w:rPr>
          <w:w w:val="105"/>
          <w:position w:val="7"/>
          <w:sz w:val="12"/>
        </w:rPr>
        <w:t>265</w:t>
      </w:r>
    </w:p>
    <w:p>
      <w:pPr>
        <w:pStyle w:val="ListParagraph"/>
        <w:numPr>
          <w:ilvl w:val="0"/>
          <w:numId w:val="64"/>
        </w:numPr>
        <w:tabs>
          <w:tab w:pos="2381" w:val="left" w:leader="none"/>
          <w:tab w:pos="2382" w:val="left" w:leader="none"/>
        </w:tabs>
        <w:spacing w:line="242" w:lineRule="auto" w:before="122" w:after="0"/>
        <w:ind w:left="2381" w:right="1585" w:hanging="794"/>
        <w:jc w:val="left"/>
        <w:rPr>
          <w:sz w:val="12"/>
        </w:rPr>
      </w:pPr>
      <w:r>
        <w:rPr>
          <w:sz w:val="21"/>
        </w:rPr>
        <w:t>In </w:t>
      </w:r>
      <w:r>
        <w:rPr>
          <w:spacing w:val="-3"/>
          <w:sz w:val="21"/>
        </w:rPr>
        <w:t>Queensland, liability </w:t>
      </w:r>
      <w:r>
        <w:rPr>
          <w:sz w:val="21"/>
        </w:rPr>
        <w:t>attaches </w:t>
      </w:r>
      <w:r>
        <w:rPr>
          <w:spacing w:val="-3"/>
          <w:sz w:val="21"/>
        </w:rPr>
        <w:t>to </w:t>
      </w:r>
      <w:r>
        <w:rPr>
          <w:sz w:val="21"/>
        </w:rPr>
        <w:t>a ‘tree-keeper’ (tree owner). This </w:t>
      </w:r>
      <w:r>
        <w:rPr>
          <w:spacing w:val="-3"/>
          <w:sz w:val="21"/>
        </w:rPr>
        <w:t>accords </w:t>
      </w:r>
      <w:r>
        <w:rPr>
          <w:sz w:val="21"/>
        </w:rPr>
        <w:t>with the </w:t>
      </w:r>
      <w:r>
        <w:rPr>
          <w:spacing w:val="-3"/>
          <w:sz w:val="21"/>
        </w:rPr>
        <w:t>responsibilities </w:t>
      </w:r>
      <w:r>
        <w:rPr>
          <w:spacing w:val="-2"/>
          <w:sz w:val="21"/>
        </w:rPr>
        <w:t>placed </w:t>
      </w:r>
      <w:r>
        <w:rPr>
          <w:sz w:val="21"/>
        </w:rPr>
        <w:t>on a tree-keeper </w:t>
      </w:r>
      <w:r>
        <w:rPr>
          <w:spacing w:val="-3"/>
          <w:sz w:val="21"/>
        </w:rPr>
        <w:t>to remove branches  that  overhang  </w:t>
      </w:r>
      <w:r>
        <w:rPr>
          <w:sz w:val="21"/>
        </w:rPr>
        <w:t>a  </w:t>
      </w:r>
      <w:r>
        <w:rPr>
          <w:spacing w:val="-3"/>
          <w:sz w:val="21"/>
        </w:rPr>
        <w:t>neighbour’s land </w:t>
      </w:r>
      <w:r>
        <w:rPr>
          <w:sz w:val="21"/>
        </w:rPr>
        <w:t>and </w:t>
      </w:r>
      <w:r>
        <w:rPr>
          <w:spacing w:val="-3"/>
          <w:sz w:val="21"/>
        </w:rPr>
        <w:t>to ensure </w:t>
      </w:r>
      <w:r>
        <w:rPr>
          <w:sz w:val="21"/>
        </w:rPr>
        <w:t>trees on their </w:t>
      </w:r>
      <w:r>
        <w:rPr>
          <w:spacing w:val="-3"/>
          <w:sz w:val="21"/>
        </w:rPr>
        <w:t>land </w:t>
      </w:r>
      <w:r>
        <w:rPr>
          <w:sz w:val="21"/>
        </w:rPr>
        <w:t>do </w:t>
      </w:r>
      <w:r>
        <w:rPr>
          <w:spacing w:val="-2"/>
          <w:sz w:val="21"/>
        </w:rPr>
        <w:t>not </w:t>
      </w:r>
      <w:r>
        <w:rPr>
          <w:sz w:val="21"/>
        </w:rPr>
        <w:t>cause injury or damage or </w:t>
      </w:r>
      <w:r>
        <w:rPr>
          <w:spacing w:val="-3"/>
          <w:sz w:val="21"/>
        </w:rPr>
        <w:t>interfere </w:t>
      </w:r>
      <w:r>
        <w:rPr>
          <w:sz w:val="21"/>
        </w:rPr>
        <w:t>with a </w:t>
      </w:r>
      <w:r>
        <w:rPr>
          <w:spacing w:val="-3"/>
          <w:sz w:val="21"/>
        </w:rPr>
        <w:t>person’s </w:t>
      </w:r>
      <w:r>
        <w:rPr>
          <w:sz w:val="21"/>
        </w:rPr>
        <w:t>use and </w:t>
      </w:r>
      <w:r>
        <w:rPr>
          <w:spacing w:val="-2"/>
          <w:sz w:val="21"/>
        </w:rPr>
        <w:t>enjoyment </w:t>
      </w:r>
      <w:r>
        <w:rPr>
          <w:sz w:val="21"/>
        </w:rPr>
        <w:t>of land.</w:t>
      </w:r>
      <w:r>
        <w:rPr>
          <w:position w:val="7"/>
          <w:sz w:val="12"/>
        </w:rPr>
        <w:t>266 </w:t>
      </w:r>
      <w:r>
        <w:rPr>
          <w:sz w:val="21"/>
        </w:rPr>
        <w:t>A tree-keeper is </w:t>
      </w:r>
      <w:r>
        <w:rPr>
          <w:spacing w:val="-3"/>
          <w:sz w:val="21"/>
        </w:rPr>
        <w:t>generally </w:t>
      </w:r>
      <w:r>
        <w:rPr>
          <w:sz w:val="21"/>
        </w:rPr>
        <w:t>defined as the </w:t>
      </w:r>
      <w:r>
        <w:rPr>
          <w:spacing w:val="-3"/>
          <w:sz w:val="21"/>
        </w:rPr>
        <w:t>registered </w:t>
      </w:r>
      <w:r>
        <w:rPr>
          <w:sz w:val="21"/>
        </w:rPr>
        <w:t>owner</w:t>
      </w:r>
      <w:r>
        <w:rPr>
          <w:spacing w:val="19"/>
          <w:sz w:val="21"/>
        </w:rPr>
        <w:t> </w:t>
      </w:r>
      <w:r>
        <w:rPr>
          <w:sz w:val="21"/>
        </w:rPr>
        <w:t>of</w:t>
      </w:r>
      <w:r>
        <w:rPr>
          <w:spacing w:val="19"/>
          <w:sz w:val="21"/>
        </w:rPr>
        <w:t> </w:t>
      </w:r>
      <w:r>
        <w:rPr>
          <w:spacing w:val="-3"/>
          <w:sz w:val="21"/>
        </w:rPr>
        <w:t>land</w:t>
      </w:r>
      <w:r>
        <w:rPr>
          <w:spacing w:val="19"/>
          <w:sz w:val="21"/>
        </w:rPr>
        <w:t> </w:t>
      </w:r>
      <w:r>
        <w:rPr>
          <w:sz w:val="21"/>
        </w:rPr>
        <w:t>or</w:t>
      </w:r>
      <w:r>
        <w:rPr>
          <w:spacing w:val="20"/>
          <w:sz w:val="21"/>
        </w:rPr>
        <w:t> </w:t>
      </w:r>
      <w:r>
        <w:rPr>
          <w:sz w:val="21"/>
        </w:rPr>
        <w:t>a</w:t>
      </w:r>
      <w:r>
        <w:rPr>
          <w:spacing w:val="19"/>
          <w:sz w:val="21"/>
        </w:rPr>
        <w:t> </w:t>
      </w:r>
      <w:r>
        <w:rPr>
          <w:sz w:val="21"/>
        </w:rPr>
        <w:t>lessee</w:t>
      </w:r>
      <w:r>
        <w:rPr>
          <w:spacing w:val="19"/>
          <w:sz w:val="21"/>
        </w:rPr>
        <w:t> </w:t>
      </w:r>
      <w:r>
        <w:rPr>
          <w:sz w:val="21"/>
        </w:rPr>
        <w:t>or</w:t>
      </w:r>
      <w:r>
        <w:rPr>
          <w:spacing w:val="19"/>
          <w:sz w:val="21"/>
        </w:rPr>
        <w:t> </w:t>
      </w:r>
      <w:r>
        <w:rPr>
          <w:spacing w:val="-3"/>
          <w:sz w:val="21"/>
        </w:rPr>
        <w:t>licensee</w:t>
      </w:r>
      <w:r>
        <w:rPr>
          <w:spacing w:val="20"/>
          <w:sz w:val="21"/>
        </w:rPr>
        <w:t> </w:t>
      </w:r>
      <w:r>
        <w:rPr>
          <w:sz w:val="21"/>
        </w:rPr>
        <w:t>of</w:t>
      </w:r>
      <w:r>
        <w:rPr>
          <w:spacing w:val="19"/>
          <w:sz w:val="21"/>
        </w:rPr>
        <w:t> </w:t>
      </w:r>
      <w:r>
        <w:rPr>
          <w:spacing w:val="-4"/>
          <w:sz w:val="21"/>
        </w:rPr>
        <w:t>Crown</w:t>
      </w:r>
      <w:r>
        <w:rPr>
          <w:spacing w:val="19"/>
          <w:sz w:val="21"/>
        </w:rPr>
        <w:t> </w:t>
      </w:r>
      <w:r>
        <w:rPr>
          <w:spacing w:val="-3"/>
          <w:sz w:val="21"/>
        </w:rPr>
        <w:t>land</w:t>
      </w:r>
      <w:r>
        <w:rPr>
          <w:spacing w:val="19"/>
          <w:sz w:val="21"/>
        </w:rPr>
        <w:t> </w:t>
      </w:r>
      <w:r>
        <w:rPr>
          <w:sz w:val="21"/>
        </w:rPr>
        <w:t>under</w:t>
      </w:r>
      <w:r>
        <w:rPr>
          <w:spacing w:val="20"/>
          <w:sz w:val="21"/>
        </w:rPr>
        <w:t> </w:t>
      </w:r>
      <w:r>
        <w:rPr>
          <w:sz w:val="21"/>
        </w:rPr>
        <w:t>the</w:t>
      </w:r>
      <w:r>
        <w:rPr>
          <w:spacing w:val="19"/>
          <w:sz w:val="21"/>
        </w:rPr>
        <w:t> </w:t>
      </w:r>
      <w:r>
        <w:rPr>
          <w:i/>
          <w:sz w:val="21"/>
        </w:rPr>
        <w:t>Land</w:t>
      </w:r>
      <w:r>
        <w:rPr>
          <w:i/>
          <w:spacing w:val="19"/>
          <w:sz w:val="21"/>
        </w:rPr>
        <w:t> </w:t>
      </w:r>
      <w:r>
        <w:rPr>
          <w:i/>
          <w:sz w:val="21"/>
        </w:rPr>
        <w:t>Act</w:t>
      </w:r>
      <w:r>
        <w:rPr>
          <w:i/>
          <w:spacing w:val="20"/>
          <w:sz w:val="21"/>
        </w:rPr>
        <w:t> </w:t>
      </w:r>
      <w:r>
        <w:rPr>
          <w:i/>
          <w:spacing w:val="-4"/>
          <w:sz w:val="21"/>
        </w:rPr>
        <w:t>1994</w:t>
      </w:r>
      <w:r>
        <w:rPr>
          <w:i/>
          <w:spacing w:val="19"/>
          <w:sz w:val="21"/>
        </w:rPr>
        <w:t> </w:t>
      </w:r>
      <w:r>
        <w:rPr>
          <w:sz w:val="21"/>
        </w:rPr>
        <w:t>(Qld).</w:t>
      </w:r>
      <w:r>
        <w:rPr>
          <w:position w:val="7"/>
          <w:sz w:val="12"/>
        </w:rPr>
        <w:t>267</w:t>
      </w:r>
    </w:p>
    <w:p>
      <w:pPr>
        <w:pStyle w:val="BodyText"/>
        <w:spacing w:line="242" w:lineRule="auto" w:before="6"/>
        <w:ind w:left="2381" w:right="1844"/>
        <w:rPr>
          <w:sz w:val="12"/>
        </w:rPr>
      </w:pPr>
      <w:r>
        <w:rPr>
          <w:w w:val="105"/>
        </w:rPr>
        <w:t>The </w:t>
      </w:r>
      <w:r>
        <w:rPr>
          <w:spacing w:val="-3"/>
          <w:w w:val="105"/>
        </w:rPr>
        <w:t>Queensland </w:t>
      </w:r>
      <w:r>
        <w:rPr>
          <w:w w:val="105"/>
        </w:rPr>
        <w:t>Act is </w:t>
      </w:r>
      <w:r>
        <w:rPr>
          <w:spacing w:val="-3"/>
          <w:w w:val="105"/>
        </w:rPr>
        <w:t>careful </w:t>
      </w:r>
      <w:r>
        <w:rPr>
          <w:spacing w:val="-2"/>
          <w:w w:val="105"/>
        </w:rPr>
        <w:t>not </w:t>
      </w:r>
      <w:r>
        <w:rPr>
          <w:spacing w:val="-3"/>
          <w:w w:val="105"/>
        </w:rPr>
        <w:t>to </w:t>
      </w:r>
      <w:r>
        <w:rPr>
          <w:w w:val="105"/>
        </w:rPr>
        <w:t>extend </w:t>
      </w:r>
      <w:r>
        <w:rPr>
          <w:spacing w:val="-3"/>
          <w:w w:val="105"/>
        </w:rPr>
        <w:t>liability to residential </w:t>
      </w:r>
      <w:r>
        <w:rPr>
          <w:w w:val="105"/>
        </w:rPr>
        <w:t>tenants.</w:t>
      </w:r>
      <w:r>
        <w:rPr>
          <w:w w:val="105"/>
          <w:position w:val="7"/>
          <w:sz w:val="12"/>
        </w:rPr>
        <w:t>268 </w:t>
      </w:r>
      <w:r>
        <w:rPr>
          <w:w w:val="105"/>
        </w:rPr>
        <w:t>It provides </w:t>
      </w:r>
      <w:r>
        <w:rPr>
          <w:spacing w:val="-3"/>
          <w:w w:val="105"/>
        </w:rPr>
        <w:t>for joint liability </w:t>
      </w:r>
      <w:r>
        <w:rPr>
          <w:w w:val="105"/>
        </w:rPr>
        <w:t>where there </w:t>
      </w:r>
      <w:r>
        <w:rPr>
          <w:spacing w:val="-3"/>
          <w:w w:val="105"/>
        </w:rPr>
        <w:t>are multiple </w:t>
      </w:r>
      <w:r>
        <w:rPr>
          <w:w w:val="105"/>
        </w:rPr>
        <w:t>owners of land.</w:t>
      </w:r>
      <w:r>
        <w:rPr>
          <w:w w:val="105"/>
          <w:position w:val="7"/>
          <w:sz w:val="12"/>
        </w:rPr>
        <w:t>269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r>
        <w:rPr/>
        <w:pict>
          <v:line style="position:absolute;mso-position-horizontal-relative:page;mso-position-vertical-relative:paragraph;z-index:4832;mso-wrap-distance-left:0;mso-wrap-distance-right:0" from="79.370102pt,20.018709pt" to="515.905102pt,20.018709pt" stroked="true" strokeweight="1pt" strokecolor="#c9d2cb">
            <v:stroke dashstyle="solid"/>
            <w10:wrap type="topAndBottom"/>
          </v:line>
        </w:pict>
      </w:r>
    </w:p>
    <w:p>
      <w:pPr>
        <w:pStyle w:val="ListParagraph"/>
        <w:numPr>
          <w:ilvl w:val="0"/>
          <w:numId w:val="71"/>
        </w:numPr>
        <w:tabs>
          <w:tab w:pos="2380" w:val="left" w:leader="none"/>
          <w:tab w:pos="2382" w:val="left" w:leader="none"/>
        </w:tabs>
        <w:spacing w:line="240" w:lineRule="auto" w:before="117" w:after="0"/>
        <w:ind w:left="2381" w:right="1617" w:hanging="794"/>
        <w:jc w:val="left"/>
        <w:rPr>
          <w:sz w:val="13"/>
        </w:rPr>
      </w:pPr>
      <w:r>
        <w:rPr>
          <w:w w:val="105"/>
          <w:sz w:val="13"/>
        </w:rPr>
        <w:t>LexisNexis, </w:t>
      </w:r>
      <w:r>
        <w:rPr>
          <w:i/>
          <w:w w:val="105"/>
          <w:sz w:val="13"/>
        </w:rPr>
        <w:t>Halsbury’s The Laws of Australia </w:t>
      </w:r>
      <w:r>
        <w:rPr>
          <w:w w:val="105"/>
          <w:sz w:val="13"/>
        </w:rPr>
        <w:t>(at 21 March 2018) </w:t>
      </w:r>
      <w:r>
        <w:rPr>
          <w:spacing w:val="-4"/>
          <w:w w:val="105"/>
          <w:sz w:val="13"/>
        </w:rPr>
        <w:t>415  </w:t>
      </w:r>
      <w:r>
        <w:rPr>
          <w:w w:val="105"/>
          <w:sz w:val="13"/>
        </w:rPr>
        <w:t>Tort, ‘Liability’ [415-710]; See also </w:t>
      </w:r>
      <w:r>
        <w:rPr>
          <w:i/>
          <w:w w:val="105"/>
          <w:sz w:val="13"/>
        </w:rPr>
        <w:t>Robson v Leischke </w:t>
      </w:r>
      <w:r>
        <w:rPr>
          <w:spacing w:val="2"/>
          <w:w w:val="105"/>
          <w:sz w:val="13"/>
        </w:rPr>
        <w:t>(2008) </w:t>
      </w:r>
      <w:r>
        <w:rPr>
          <w:w w:val="105"/>
          <w:sz w:val="13"/>
        </w:rPr>
        <w:t>72 </w:t>
      </w:r>
      <w:r>
        <w:rPr>
          <w:spacing w:val="2"/>
          <w:w w:val="105"/>
          <w:sz w:val="13"/>
        </w:rPr>
        <w:t>NSWLR  </w:t>
      </w:r>
      <w:r>
        <w:rPr>
          <w:w w:val="105"/>
          <w:sz w:val="13"/>
        </w:rPr>
        <w:t>98</w:t>
      </w:r>
      <w:r>
        <w:rPr>
          <w:spacing w:val="4"/>
          <w:w w:val="105"/>
          <w:sz w:val="13"/>
        </w:rPr>
        <w:t> [47]-[50].</w:t>
      </w:r>
    </w:p>
    <w:p>
      <w:pPr>
        <w:pStyle w:val="ListParagraph"/>
        <w:numPr>
          <w:ilvl w:val="0"/>
          <w:numId w:val="71"/>
        </w:numPr>
        <w:tabs>
          <w:tab w:pos="2380" w:val="left" w:leader="none"/>
          <w:tab w:pos="2382" w:val="left" w:leader="none"/>
        </w:tabs>
        <w:spacing w:line="240" w:lineRule="auto" w:before="3" w:after="0"/>
        <w:ind w:left="2381" w:right="0" w:hanging="794"/>
        <w:jc w:val="left"/>
        <w:rPr>
          <w:sz w:val="13"/>
        </w:rPr>
      </w:pPr>
      <w:r>
        <w:rPr>
          <w:w w:val="105"/>
          <w:sz w:val="13"/>
        </w:rPr>
        <w:t>See,</w:t>
      </w:r>
      <w:r>
        <w:rPr>
          <w:spacing w:val="6"/>
          <w:w w:val="105"/>
          <w:sz w:val="13"/>
        </w:rPr>
        <w:t> </w:t>
      </w:r>
      <w:r>
        <w:rPr>
          <w:w w:val="105"/>
          <w:sz w:val="13"/>
        </w:rPr>
        <w:t>eg,</w:t>
      </w:r>
      <w:r>
        <w:rPr>
          <w:spacing w:val="6"/>
          <w:w w:val="105"/>
          <w:sz w:val="13"/>
        </w:rPr>
        <w:t> </w:t>
      </w:r>
      <w:r>
        <w:rPr>
          <w:i/>
          <w:w w:val="105"/>
          <w:sz w:val="13"/>
        </w:rPr>
        <w:t>Robson</w:t>
      </w:r>
      <w:r>
        <w:rPr>
          <w:i/>
          <w:spacing w:val="6"/>
          <w:w w:val="105"/>
          <w:sz w:val="13"/>
        </w:rPr>
        <w:t> </w:t>
      </w:r>
      <w:r>
        <w:rPr>
          <w:i/>
          <w:w w:val="105"/>
          <w:sz w:val="13"/>
        </w:rPr>
        <w:t>v</w:t>
      </w:r>
      <w:r>
        <w:rPr>
          <w:i/>
          <w:spacing w:val="6"/>
          <w:w w:val="105"/>
          <w:sz w:val="13"/>
        </w:rPr>
        <w:t> </w:t>
      </w:r>
      <w:r>
        <w:rPr>
          <w:i/>
          <w:w w:val="105"/>
          <w:sz w:val="13"/>
        </w:rPr>
        <w:t>Leischke</w:t>
      </w:r>
      <w:r>
        <w:rPr>
          <w:i/>
          <w:spacing w:val="6"/>
          <w:w w:val="105"/>
          <w:sz w:val="13"/>
        </w:rPr>
        <w:t> </w:t>
      </w:r>
      <w:r>
        <w:rPr>
          <w:spacing w:val="2"/>
          <w:w w:val="105"/>
          <w:sz w:val="13"/>
        </w:rPr>
        <w:t>(2008)</w:t>
      </w:r>
      <w:r>
        <w:rPr>
          <w:spacing w:val="6"/>
          <w:w w:val="105"/>
          <w:sz w:val="13"/>
        </w:rPr>
        <w:t> </w:t>
      </w:r>
      <w:r>
        <w:rPr>
          <w:w w:val="105"/>
          <w:sz w:val="13"/>
        </w:rPr>
        <w:t>72</w:t>
      </w:r>
      <w:r>
        <w:rPr>
          <w:spacing w:val="7"/>
          <w:w w:val="105"/>
          <w:sz w:val="13"/>
        </w:rPr>
        <w:t> </w:t>
      </w:r>
      <w:r>
        <w:rPr>
          <w:spacing w:val="2"/>
          <w:w w:val="105"/>
          <w:sz w:val="13"/>
        </w:rPr>
        <w:t>NSWLR</w:t>
      </w:r>
      <w:r>
        <w:rPr>
          <w:spacing w:val="6"/>
          <w:w w:val="105"/>
          <w:sz w:val="13"/>
        </w:rPr>
        <w:t> </w:t>
      </w:r>
      <w:r>
        <w:rPr>
          <w:w w:val="105"/>
          <w:sz w:val="13"/>
        </w:rPr>
        <w:t>98</w:t>
      </w:r>
      <w:r>
        <w:rPr>
          <w:spacing w:val="6"/>
          <w:w w:val="105"/>
          <w:sz w:val="13"/>
        </w:rPr>
        <w:t> </w:t>
      </w:r>
      <w:r>
        <w:rPr>
          <w:spacing w:val="3"/>
          <w:w w:val="105"/>
          <w:sz w:val="13"/>
        </w:rPr>
        <w:t>[96]</w:t>
      </w:r>
      <w:r>
        <w:rPr>
          <w:spacing w:val="6"/>
          <w:w w:val="105"/>
          <w:sz w:val="13"/>
        </w:rPr>
        <w:t> </w:t>
      </w:r>
      <w:r>
        <w:rPr>
          <w:w w:val="105"/>
          <w:sz w:val="13"/>
        </w:rPr>
        <w:t>citing</w:t>
      </w:r>
      <w:r>
        <w:rPr>
          <w:spacing w:val="6"/>
          <w:w w:val="105"/>
          <w:sz w:val="13"/>
        </w:rPr>
        <w:t> </w:t>
      </w:r>
      <w:r>
        <w:rPr>
          <w:i/>
          <w:w w:val="105"/>
          <w:sz w:val="13"/>
        </w:rPr>
        <w:t>Vairy</w:t>
      </w:r>
      <w:r>
        <w:rPr>
          <w:i/>
          <w:spacing w:val="6"/>
          <w:w w:val="105"/>
          <w:sz w:val="13"/>
        </w:rPr>
        <w:t> </w:t>
      </w:r>
      <w:r>
        <w:rPr>
          <w:i/>
          <w:w w:val="105"/>
          <w:sz w:val="13"/>
        </w:rPr>
        <w:t>v</w:t>
      </w:r>
      <w:r>
        <w:rPr>
          <w:i/>
          <w:spacing w:val="7"/>
          <w:w w:val="105"/>
          <w:sz w:val="13"/>
        </w:rPr>
        <w:t> </w:t>
      </w:r>
      <w:r>
        <w:rPr>
          <w:i/>
          <w:w w:val="105"/>
          <w:sz w:val="13"/>
        </w:rPr>
        <w:t>Wyong</w:t>
      </w:r>
      <w:r>
        <w:rPr>
          <w:i/>
          <w:spacing w:val="6"/>
          <w:w w:val="105"/>
          <w:sz w:val="13"/>
        </w:rPr>
        <w:t> </w:t>
      </w:r>
      <w:r>
        <w:rPr>
          <w:i/>
          <w:w w:val="105"/>
          <w:sz w:val="13"/>
        </w:rPr>
        <w:t>Shire</w:t>
      </w:r>
      <w:r>
        <w:rPr>
          <w:i/>
          <w:spacing w:val="6"/>
          <w:w w:val="105"/>
          <w:sz w:val="13"/>
        </w:rPr>
        <w:t> </w:t>
      </w:r>
      <w:r>
        <w:rPr>
          <w:i/>
          <w:w w:val="105"/>
          <w:sz w:val="13"/>
        </w:rPr>
        <w:t>Council</w:t>
      </w:r>
      <w:r>
        <w:rPr>
          <w:i/>
          <w:spacing w:val="6"/>
          <w:w w:val="105"/>
          <w:sz w:val="13"/>
        </w:rPr>
        <w:t> </w:t>
      </w:r>
      <w:r>
        <w:rPr>
          <w:w w:val="105"/>
          <w:sz w:val="13"/>
        </w:rPr>
        <w:t>(2005)</w:t>
      </w:r>
      <w:r>
        <w:rPr>
          <w:spacing w:val="6"/>
          <w:w w:val="105"/>
          <w:sz w:val="13"/>
        </w:rPr>
        <w:t> </w:t>
      </w:r>
      <w:r>
        <w:rPr>
          <w:w w:val="105"/>
          <w:sz w:val="13"/>
        </w:rPr>
        <w:t>223</w:t>
      </w:r>
      <w:r>
        <w:rPr>
          <w:spacing w:val="6"/>
          <w:w w:val="105"/>
          <w:sz w:val="13"/>
        </w:rPr>
        <w:t> </w:t>
      </w:r>
      <w:r>
        <w:rPr>
          <w:w w:val="105"/>
          <w:sz w:val="13"/>
        </w:rPr>
        <w:t>CLR</w:t>
      </w:r>
      <w:r>
        <w:rPr>
          <w:spacing w:val="7"/>
          <w:w w:val="105"/>
          <w:sz w:val="13"/>
        </w:rPr>
        <w:t> </w:t>
      </w:r>
      <w:r>
        <w:rPr>
          <w:w w:val="105"/>
          <w:sz w:val="13"/>
        </w:rPr>
        <w:t>422,</w:t>
      </w:r>
      <w:r>
        <w:rPr>
          <w:spacing w:val="6"/>
          <w:w w:val="105"/>
          <w:sz w:val="13"/>
        </w:rPr>
        <w:t> </w:t>
      </w:r>
      <w:r>
        <w:rPr>
          <w:w w:val="105"/>
          <w:sz w:val="13"/>
        </w:rPr>
        <w:t>432</w:t>
      </w:r>
      <w:r>
        <w:rPr>
          <w:spacing w:val="6"/>
          <w:w w:val="105"/>
          <w:sz w:val="13"/>
        </w:rPr>
        <w:t> </w:t>
      </w:r>
      <w:r>
        <w:rPr>
          <w:w w:val="105"/>
          <w:sz w:val="13"/>
        </w:rPr>
        <w:t>[27],</w:t>
      </w:r>
      <w:r>
        <w:rPr>
          <w:spacing w:val="6"/>
          <w:w w:val="105"/>
          <w:sz w:val="13"/>
        </w:rPr>
        <w:t> </w:t>
      </w:r>
      <w:r>
        <w:rPr>
          <w:w w:val="105"/>
          <w:sz w:val="13"/>
        </w:rPr>
        <w:t>443</w:t>
      </w:r>
      <w:r>
        <w:rPr>
          <w:spacing w:val="6"/>
          <w:w w:val="105"/>
          <w:sz w:val="13"/>
        </w:rPr>
        <w:t> </w:t>
      </w:r>
      <w:r>
        <w:rPr>
          <w:spacing w:val="3"/>
          <w:w w:val="105"/>
          <w:sz w:val="13"/>
        </w:rPr>
        <w:t>[63].</w:t>
      </w:r>
    </w:p>
    <w:p>
      <w:pPr>
        <w:pStyle w:val="ListParagraph"/>
        <w:numPr>
          <w:ilvl w:val="0"/>
          <w:numId w:val="71"/>
        </w:numPr>
        <w:tabs>
          <w:tab w:pos="2381" w:val="left" w:leader="none"/>
          <w:tab w:pos="2382" w:val="left" w:leader="none"/>
        </w:tabs>
        <w:spacing w:line="240" w:lineRule="auto" w:before="1" w:after="0"/>
        <w:ind w:left="2381" w:right="1998" w:hanging="794"/>
        <w:jc w:val="left"/>
        <w:rPr>
          <w:sz w:val="13"/>
        </w:rPr>
      </w:pPr>
      <w:r>
        <w:rPr>
          <w:w w:val="105"/>
          <w:sz w:val="13"/>
        </w:rPr>
        <w:t>See, eg, Prue Vines, ‘Negligence: Introduction’ in Carolyn Sappideen and Prue Vines </w:t>
      </w:r>
      <w:r>
        <w:rPr>
          <w:spacing w:val="2"/>
          <w:w w:val="105"/>
          <w:sz w:val="13"/>
        </w:rPr>
        <w:t>(eds), </w:t>
      </w:r>
      <w:r>
        <w:rPr>
          <w:i/>
          <w:w w:val="105"/>
          <w:sz w:val="13"/>
        </w:rPr>
        <w:t>Fleming’s The Law of Torts </w:t>
      </w:r>
      <w:r>
        <w:rPr>
          <w:spacing w:val="2"/>
          <w:w w:val="105"/>
          <w:sz w:val="13"/>
        </w:rPr>
        <w:t>(Lawbook </w:t>
      </w:r>
      <w:r>
        <w:rPr>
          <w:w w:val="105"/>
          <w:sz w:val="13"/>
        </w:rPr>
        <w:t>Co., 10th</w:t>
      </w:r>
      <w:r>
        <w:rPr>
          <w:spacing w:val="5"/>
          <w:w w:val="105"/>
          <w:sz w:val="13"/>
        </w:rPr>
        <w:t> </w:t>
      </w:r>
      <w:r>
        <w:rPr>
          <w:w w:val="105"/>
          <w:sz w:val="13"/>
        </w:rPr>
        <w:t>ed,</w:t>
      </w:r>
      <w:r>
        <w:rPr>
          <w:spacing w:val="6"/>
          <w:w w:val="105"/>
          <w:sz w:val="13"/>
        </w:rPr>
        <w:t> </w:t>
      </w:r>
      <w:r>
        <w:rPr>
          <w:spacing w:val="-4"/>
          <w:w w:val="105"/>
          <w:sz w:val="13"/>
        </w:rPr>
        <w:t>2011)</w:t>
      </w:r>
      <w:r>
        <w:rPr>
          <w:spacing w:val="5"/>
          <w:w w:val="105"/>
          <w:sz w:val="13"/>
        </w:rPr>
        <w:t> </w:t>
      </w:r>
      <w:r>
        <w:rPr>
          <w:spacing w:val="-5"/>
          <w:w w:val="105"/>
          <w:sz w:val="13"/>
        </w:rPr>
        <w:t>119,</w:t>
      </w:r>
      <w:r>
        <w:rPr>
          <w:spacing w:val="6"/>
          <w:w w:val="105"/>
          <w:sz w:val="13"/>
        </w:rPr>
        <w:t> </w:t>
      </w:r>
      <w:r>
        <w:rPr>
          <w:w w:val="105"/>
          <w:sz w:val="13"/>
        </w:rPr>
        <w:t>122;</w:t>
      </w:r>
      <w:r>
        <w:rPr>
          <w:spacing w:val="5"/>
          <w:w w:val="105"/>
          <w:sz w:val="13"/>
        </w:rPr>
        <w:t> </w:t>
      </w:r>
      <w:r>
        <w:rPr>
          <w:w w:val="105"/>
          <w:sz w:val="13"/>
        </w:rPr>
        <w:t>See</w:t>
      </w:r>
      <w:r>
        <w:rPr>
          <w:spacing w:val="6"/>
          <w:w w:val="105"/>
          <w:sz w:val="13"/>
        </w:rPr>
        <w:t> </w:t>
      </w:r>
      <w:r>
        <w:rPr>
          <w:w w:val="105"/>
          <w:sz w:val="13"/>
        </w:rPr>
        <w:t>also,</w:t>
      </w:r>
      <w:r>
        <w:rPr>
          <w:spacing w:val="5"/>
          <w:w w:val="105"/>
          <w:sz w:val="13"/>
        </w:rPr>
        <w:t> </w:t>
      </w:r>
      <w:r>
        <w:rPr>
          <w:i/>
          <w:w w:val="105"/>
          <w:sz w:val="13"/>
        </w:rPr>
        <w:t>Wrongs</w:t>
      </w:r>
      <w:r>
        <w:rPr>
          <w:i/>
          <w:spacing w:val="6"/>
          <w:w w:val="105"/>
          <w:sz w:val="13"/>
        </w:rPr>
        <w:t> </w:t>
      </w:r>
      <w:r>
        <w:rPr>
          <w:i/>
          <w:w w:val="105"/>
          <w:sz w:val="13"/>
        </w:rPr>
        <w:t>Act</w:t>
      </w:r>
      <w:r>
        <w:rPr>
          <w:i/>
          <w:spacing w:val="5"/>
          <w:w w:val="105"/>
          <w:sz w:val="13"/>
        </w:rPr>
        <w:t> </w:t>
      </w:r>
      <w:r>
        <w:rPr>
          <w:i/>
          <w:w w:val="105"/>
          <w:sz w:val="13"/>
        </w:rPr>
        <w:t>1958</w:t>
      </w:r>
      <w:r>
        <w:rPr>
          <w:i/>
          <w:spacing w:val="6"/>
          <w:w w:val="105"/>
          <w:sz w:val="13"/>
        </w:rPr>
        <w:t> </w:t>
      </w:r>
      <w:r>
        <w:rPr>
          <w:spacing w:val="2"/>
          <w:w w:val="105"/>
          <w:sz w:val="13"/>
        </w:rPr>
        <w:t>(Vic)</w:t>
      </w:r>
      <w:r>
        <w:rPr>
          <w:spacing w:val="5"/>
          <w:w w:val="105"/>
          <w:sz w:val="13"/>
        </w:rPr>
        <w:t> </w:t>
      </w:r>
      <w:r>
        <w:rPr>
          <w:w w:val="105"/>
          <w:sz w:val="13"/>
        </w:rPr>
        <w:t>s</w:t>
      </w:r>
      <w:r>
        <w:rPr>
          <w:spacing w:val="6"/>
          <w:w w:val="105"/>
          <w:sz w:val="13"/>
        </w:rPr>
        <w:t> </w:t>
      </w:r>
      <w:r>
        <w:rPr>
          <w:w w:val="105"/>
          <w:sz w:val="13"/>
        </w:rPr>
        <w:t>43:</w:t>
      </w:r>
      <w:r>
        <w:rPr>
          <w:spacing w:val="5"/>
          <w:w w:val="105"/>
          <w:sz w:val="13"/>
        </w:rPr>
        <w:t> </w:t>
      </w:r>
      <w:r>
        <w:rPr>
          <w:w w:val="105"/>
          <w:sz w:val="13"/>
        </w:rPr>
        <w:t>‘Negligence</w:t>
      </w:r>
      <w:r>
        <w:rPr>
          <w:spacing w:val="6"/>
          <w:w w:val="105"/>
          <w:sz w:val="13"/>
        </w:rPr>
        <w:t> </w:t>
      </w:r>
      <w:r>
        <w:rPr>
          <w:w w:val="105"/>
          <w:sz w:val="13"/>
        </w:rPr>
        <w:t>means</w:t>
      </w:r>
      <w:r>
        <w:rPr>
          <w:spacing w:val="5"/>
          <w:w w:val="105"/>
          <w:sz w:val="13"/>
        </w:rPr>
        <w:t> </w:t>
      </w:r>
      <w:r>
        <w:rPr>
          <w:w w:val="105"/>
          <w:sz w:val="13"/>
        </w:rPr>
        <w:t>failure</w:t>
      </w:r>
      <w:r>
        <w:rPr>
          <w:spacing w:val="6"/>
          <w:w w:val="105"/>
          <w:sz w:val="13"/>
        </w:rPr>
        <w:t> </w:t>
      </w:r>
      <w:r>
        <w:rPr>
          <w:w w:val="105"/>
          <w:sz w:val="13"/>
        </w:rPr>
        <w:t>to</w:t>
      </w:r>
      <w:r>
        <w:rPr>
          <w:spacing w:val="5"/>
          <w:w w:val="105"/>
          <w:sz w:val="13"/>
        </w:rPr>
        <w:t> </w:t>
      </w:r>
      <w:r>
        <w:rPr>
          <w:w w:val="105"/>
          <w:sz w:val="13"/>
        </w:rPr>
        <w:t>exercise</w:t>
      </w:r>
      <w:r>
        <w:rPr>
          <w:spacing w:val="6"/>
          <w:w w:val="105"/>
          <w:sz w:val="13"/>
        </w:rPr>
        <w:t> </w:t>
      </w:r>
      <w:r>
        <w:rPr>
          <w:w w:val="105"/>
          <w:sz w:val="13"/>
        </w:rPr>
        <w:t>reasonable</w:t>
      </w:r>
      <w:r>
        <w:rPr>
          <w:spacing w:val="5"/>
          <w:w w:val="105"/>
          <w:sz w:val="13"/>
        </w:rPr>
        <w:t> </w:t>
      </w:r>
      <w:r>
        <w:rPr>
          <w:w w:val="105"/>
          <w:sz w:val="13"/>
        </w:rPr>
        <w:t>care’.</w:t>
      </w:r>
    </w:p>
    <w:p>
      <w:pPr>
        <w:pStyle w:val="ListParagraph"/>
        <w:numPr>
          <w:ilvl w:val="0"/>
          <w:numId w:val="71"/>
        </w:numPr>
        <w:tabs>
          <w:tab w:pos="2381" w:val="left" w:leader="none"/>
          <w:tab w:pos="2382" w:val="left" w:leader="none"/>
        </w:tabs>
        <w:spacing w:line="240" w:lineRule="auto" w:before="3" w:after="0"/>
        <w:ind w:left="2381" w:right="0" w:hanging="794"/>
        <w:jc w:val="left"/>
        <w:rPr>
          <w:sz w:val="13"/>
        </w:rPr>
      </w:pPr>
      <w:r>
        <w:rPr>
          <w:i/>
          <w:w w:val="105"/>
          <w:sz w:val="13"/>
        </w:rPr>
        <w:t>Fences Act 1968 </w:t>
      </w:r>
      <w:r>
        <w:rPr>
          <w:spacing w:val="2"/>
          <w:w w:val="105"/>
          <w:sz w:val="13"/>
        </w:rPr>
        <w:t>(Vic) </w:t>
      </w:r>
      <w:r>
        <w:rPr>
          <w:w w:val="105"/>
          <w:sz w:val="13"/>
        </w:rPr>
        <w:t>s</w:t>
      </w:r>
      <w:r>
        <w:rPr>
          <w:spacing w:val="21"/>
          <w:w w:val="105"/>
          <w:sz w:val="13"/>
        </w:rPr>
        <w:t> </w:t>
      </w:r>
      <w:r>
        <w:rPr>
          <w:spacing w:val="-5"/>
          <w:w w:val="105"/>
          <w:sz w:val="13"/>
        </w:rPr>
        <w:t>7.</w:t>
      </w:r>
    </w:p>
    <w:p>
      <w:pPr>
        <w:pStyle w:val="ListParagraph"/>
        <w:numPr>
          <w:ilvl w:val="0"/>
          <w:numId w:val="71"/>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z w:val="13"/>
        </w:rPr>
        <w:t>10.</w:t>
      </w:r>
    </w:p>
    <w:p>
      <w:pPr>
        <w:pStyle w:val="ListParagraph"/>
        <w:numPr>
          <w:ilvl w:val="0"/>
          <w:numId w:val="71"/>
        </w:numPr>
        <w:tabs>
          <w:tab w:pos="2381" w:val="left" w:leader="none"/>
          <w:tab w:pos="2382" w:val="left" w:leader="none"/>
        </w:tabs>
        <w:spacing w:line="240" w:lineRule="auto" w:before="1" w:after="0"/>
        <w:ind w:left="2381" w:right="0" w:hanging="794"/>
        <w:jc w:val="left"/>
        <w:rPr>
          <w:sz w:val="13"/>
        </w:rPr>
      </w:pPr>
      <w:r>
        <w:rPr>
          <w:w w:val="105"/>
          <w:sz w:val="13"/>
        </w:rPr>
        <w:t>Law</w:t>
      </w:r>
      <w:r>
        <w:rPr>
          <w:spacing w:val="5"/>
          <w:w w:val="105"/>
          <w:sz w:val="13"/>
        </w:rPr>
        <w:t> </w:t>
      </w:r>
      <w:r>
        <w:rPr>
          <w:w w:val="105"/>
          <w:sz w:val="13"/>
        </w:rPr>
        <w:t>Reform</w:t>
      </w:r>
      <w:r>
        <w:rPr>
          <w:spacing w:val="5"/>
          <w:w w:val="105"/>
          <w:sz w:val="13"/>
        </w:rPr>
        <w:t> </w:t>
      </w:r>
      <w:r>
        <w:rPr>
          <w:w w:val="105"/>
          <w:sz w:val="13"/>
        </w:rPr>
        <w:t>Committee,</w:t>
      </w:r>
      <w:r>
        <w:rPr>
          <w:spacing w:val="5"/>
          <w:w w:val="105"/>
          <w:sz w:val="13"/>
        </w:rPr>
        <w:t> </w:t>
      </w:r>
      <w:r>
        <w:rPr>
          <w:w w:val="105"/>
          <w:sz w:val="13"/>
        </w:rPr>
        <w:t>Parliament</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Review</w:t>
      </w:r>
      <w:r>
        <w:rPr>
          <w:i/>
          <w:spacing w:val="5"/>
          <w:w w:val="105"/>
          <w:sz w:val="13"/>
        </w:rPr>
        <w:t> </w:t>
      </w:r>
      <w:r>
        <w:rPr>
          <w:i/>
          <w:w w:val="105"/>
          <w:sz w:val="13"/>
        </w:rPr>
        <w:t>of</w:t>
      </w:r>
      <w:r>
        <w:rPr>
          <w:i/>
          <w:spacing w:val="5"/>
          <w:w w:val="105"/>
          <w:sz w:val="13"/>
        </w:rPr>
        <w:t> </w:t>
      </w:r>
      <w:r>
        <w:rPr>
          <w:i/>
          <w:w w:val="105"/>
          <w:sz w:val="13"/>
        </w:rPr>
        <w:t>the</w:t>
      </w:r>
      <w:r>
        <w:rPr>
          <w:i/>
          <w:spacing w:val="5"/>
          <w:w w:val="105"/>
          <w:sz w:val="13"/>
        </w:rPr>
        <w:t> </w:t>
      </w:r>
      <w:r>
        <w:rPr>
          <w:i/>
          <w:w w:val="105"/>
          <w:sz w:val="13"/>
        </w:rPr>
        <w:t>Fences</w:t>
      </w:r>
      <w:r>
        <w:rPr>
          <w:i/>
          <w:spacing w:val="5"/>
          <w:w w:val="105"/>
          <w:sz w:val="13"/>
        </w:rPr>
        <w:t> </w:t>
      </w:r>
      <w:r>
        <w:rPr>
          <w:i/>
          <w:w w:val="105"/>
          <w:sz w:val="13"/>
        </w:rPr>
        <w:t>Act</w:t>
      </w:r>
      <w:r>
        <w:rPr>
          <w:i/>
          <w:spacing w:val="5"/>
          <w:w w:val="105"/>
          <w:sz w:val="13"/>
        </w:rPr>
        <w:t> </w:t>
      </w:r>
      <w:r>
        <w:rPr>
          <w:i/>
          <w:w w:val="105"/>
          <w:sz w:val="13"/>
        </w:rPr>
        <w:t>1968</w:t>
      </w:r>
      <w:r>
        <w:rPr>
          <w:i/>
          <w:spacing w:val="5"/>
          <w:w w:val="105"/>
          <w:sz w:val="13"/>
        </w:rPr>
        <w:t> </w:t>
      </w:r>
      <w:r>
        <w:rPr>
          <w:spacing w:val="2"/>
          <w:w w:val="105"/>
          <w:sz w:val="13"/>
        </w:rPr>
        <w:t>(Report,</w:t>
      </w:r>
      <w:r>
        <w:rPr>
          <w:spacing w:val="5"/>
          <w:w w:val="105"/>
          <w:sz w:val="13"/>
        </w:rPr>
        <w:t> </w:t>
      </w:r>
      <w:r>
        <w:rPr>
          <w:w w:val="105"/>
          <w:sz w:val="13"/>
        </w:rPr>
        <w:t>1998)</w:t>
      </w:r>
      <w:r>
        <w:rPr>
          <w:spacing w:val="5"/>
          <w:w w:val="105"/>
          <w:sz w:val="13"/>
        </w:rPr>
        <w:t> </w:t>
      </w:r>
      <w:r>
        <w:rPr>
          <w:w w:val="105"/>
          <w:sz w:val="13"/>
        </w:rPr>
        <w:t>45.</w:t>
      </w:r>
    </w:p>
    <w:p>
      <w:pPr>
        <w:pStyle w:val="ListParagraph"/>
        <w:numPr>
          <w:ilvl w:val="0"/>
          <w:numId w:val="71"/>
        </w:numPr>
        <w:tabs>
          <w:tab w:pos="2381" w:val="left" w:leader="none"/>
          <w:tab w:pos="2382" w:val="left" w:leader="none"/>
        </w:tabs>
        <w:spacing w:line="240" w:lineRule="auto" w:before="2" w:after="0"/>
        <w:ind w:left="2381" w:right="0" w:hanging="794"/>
        <w:jc w:val="left"/>
        <w:rPr>
          <w:sz w:val="13"/>
        </w:rPr>
      </w:pPr>
      <w:r>
        <w:rPr>
          <w:w w:val="105"/>
          <w:sz w:val="13"/>
        </w:rPr>
        <w:t>Ibid</w:t>
      </w:r>
      <w:r>
        <w:rPr>
          <w:spacing w:val="11"/>
          <w:w w:val="105"/>
          <w:sz w:val="13"/>
        </w:rPr>
        <w:t> </w:t>
      </w:r>
      <w:r>
        <w:rPr>
          <w:spacing w:val="2"/>
          <w:w w:val="105"/>
          <w:sz w:val="13"/>
        </w:rPr>
        <w:t>46.</w:t>
      </w:r>
    </w:p>
    <w:p>
      <w:pPr>
        <w:pStyle w:val="ListParagraph"/>
        <w:numPr>
          <w:ilvl w:val="0"/>
          <w:numId w:val="71"/>
        </w:numPr>
        <w:tabs>
          <w:tab w:pos="2381" w:val="left" w:leader="none"/>
          <w:tab w:pos="2382" w:val="left" w:leader="none"/>
        </w:tabs>
        <w:spacing w:line="240" w:lineRule="auto" w:before="1" w:after="0"/>
        <w:ind w:left="2381" w:right="1691" w:hanging="794"/>
        <w:jc w:val="left"/>
        <w:rPr>
          <w:sz w:val="13"/>
        </w:rPr>
      </w:pPr>
      <w:r>
        <w:rPr>
          <w:w w:val="105"/>
          <w:sz w:val="13"/>
        </w:rPr>
        <w:t>Ibid </w:t>
      </w:r>
      <w:r>
        <w:rPr>
          <w:spacing w:val="3"/>
          <w:w w:val="105"/>
          <w:sz w:val="13"/>
        </w:rPr>
        <w:t>48; </w:t>
      </w:r>
      <w:r>
        <w:rPr>
          <w:w w:val="105"/>
          <w:sz w:val="13"/>
        </w:rPr>
        <w:t>see also </w:t>
      </w:r>
      <w:r>
        <w:rPr>
          <w:i/>
          <w:w w:val="105"/>
          <w:sz w:val="13"/>
        </w:rPr>
        <w:t>Fences Act 1968 </w:t>
      </w:r>
      <w:r>
        <w:rPr>
          <w:spacing w:val="2"/>
          <w:w w:val="105"/>
          <w:sz w:val="13"/>
        </w:rPr>
        <w:t>(Vic) </w:t>
      </w:r>
      <w:r>
        <w:rPr>
          <w:w w:val="105"/>
          <w:sz w:val="13"/>
        </w:rPr>
        <w:t>s </w:t>
      </w:r>
      <w:r>
        <w:rPr>
          <w:spacing w:val="3"/>
          <w:w w:val="105"/>
          <w:sz w:val="13"/>
        </w:rPr>
        <w:t>10(4)(a). </w:t>
      </w:r>
      <w:r>
        <w:rPr>
          <w:w w:val="105"/>
          <w:sz w:val="13"/>
        </w:rPr>
        <w:t>A tenant under a retail premises lease to which the </w:t>
      </w:r>
      <w:r>
        <w:rPr>
          <w:i/>
          <w:w w:val="105"/>
          <w:sz w:val="13"/>
        </w:rPr>
        <w:t>Retail Leases Act 2003 </w:t>
      </w:r>
      <w:r>
        <w:rPr>
          <w:w w:val="105"/>
          <w:sz w:val="13"/>
        </w:rPr>
        <w:t>applies is also excluded.</w:t>
      </w:r>
    </w:p>
    <w:p>
      <w:pPr>
        <w:pStyle w:val="ListParagraph"/>
        <w:numPr>
          <w:ilvl w:val="0"/>
          <w:numId w:val="71"/>
        </w:numPr>
        <w:tabs>
          <w:tab w:pos="2381" w:val="left" w:leader="none"/>
          <w:tab w:pos="2382" w:val="left" w:leader="none"/>
        </w:tabs>
        <w:spacing w:line="240" w:lineRule="auto" w:before="3" w:after="0"/>
        <w:ind w:left="2381" w:right="0" w:hanging="794"/>
        <w:jc w:val="left"/>
        <w:rPr>
          <w:sz w:val="13"/>
        </w:rPr>
      </w:pPr>
      <w:r>
        <w:rPr>
          <w:i/>
          <w:w w:val="105"/>
          <w:sz w:val="13"/>
        </w:rPr>
        <w:t>Trees</w:t>
      </w:r>
      <w:r>
        <w:rPr>
          <w:i/>
          <w:spacing w:val="4"/>
          <w:w w:val="105"/>
          <w:sz w:val="13"/>
        </w:rPr>
        <w:t> </w:t>
      </w:r>
      <w:r>
        <w:rPr>
          <w:i/>
          <w:w w:val="105"/>
          <w:sz w:val="13"/>
        </w:rPr>
        <w:t>(Disputes</w:t>
      </w:r>
      <w:r>
        <w:rPr>
          <w:i/>
          <w:spacing w:val="5"/>
          <w:w w:val="105"/>
          <w:sz w:val="13"/>
        </w:rPr>
        <w:t> </w:t>
      </w:r>
      <w:r>
        <w:rPr>
          <w:i/>
          <w:w w:val="105"/>
          <w:sz w:val="13"/>
        </w:rPr>
        <w:t>Between</w:t>
      </w:r>
      <w:r>
        <w:rPr>
          <w:i/>
          <w:spacing w:val="5"/>
          <w:w w:val="105"/>
          <w:sz w:val="13"/>
        </w:rPr>
        <w:t> </w:t>
      </w:r>
      <w:r>
        <w:rPr>
          <w:i/>
          <w:w w:val="105"/>
          <w:sz w:val="13"/>
        </w:rPr>
        <w:t>Neighbours)</w:t>
      </w:r>
      <w:r>
        <w:rPr>
          <w:i/>
          <w:spacing w:val="5"/>
          <w:w w:val="105"/>
          <w:sz w:val="13"/>
        </w:rPr>
        <w:t> </w:t>
      </w:r>
      <w:r>
        <w:rPr>
          <w:i/>
          <w:w w:val="105"/>
          <w:sz w:val="13"/>
        </w:rPr>
        <w:t>Act</w:t>
      </w:r>
      <w:r>
        <w:rPr>
          <w:i/>
          <w:spacing w:val="5"/>
          <w:w w:val="105"/>
          <w:sz w:val="13"/>
        </w:rPr>
        <w:t> </w:t>
      </w:r>
      <w:r>
        <w:rPr>
          <w:i/>
          <w:w w:val="105"/>
          <w:sz w:val="13"/>
        </w:rPr>
        <w:t>2006</w:t>
      </w:r>
      <w:r>
        <w:rPr>
          <w:i/>
          <w:spacing w:val="5"/>
          <w:w w:val="105"/>
          <w:sz w:val="13"/>
        </w:rPr>
        <w:t> </w:t>
      </w:r>
      <w:r>
        <w:rPr>
          <w:spacing w:val="3"/>
          <w:w w:val="105"/>
          <w:sz w:val="13"/>
        </w:rPr>
        <w:t>(NSW)</w:t>
      </w:r>
      <w:r>
        <w:rPr>
          <w:spacing w:val="5"/>
          <w:w w:val="105"/>
          <w:sz w:val="13"/>
        </w:rPr>
        <w:t> </w:t>
      </w:r>
      <w:r>
        <w:rPr>
          <w:w w:val="105"/>
          <w:sz w:val="13"/>
        </w:rPr>
        <w:t>ss</w:t>
      </w:r>
      <w:r>
        <w:rPr>
          <w:spacing w:val="5"/>
          <w:w w:val="105"/>
          <w:sz w:val="13"/>
        </w:rPr>
        <w:t> </w:t>
      </w:r>
      <w:r>
        <w:rPr>
          <w:w w:val="105"/>
          <w:sz w:val="13"/>
        </w:rPr>
        <w:t>3(1),</w:t>
      </w:r>
      <w:r>
        <w:rPr>
          <w:spacing w:val="5"/>
          <w:w w:val="105"/>
          <w:sz w:val="13"/>
        </w:rPr>
        <w:t> </w:t>
      </w:r>
      <w:r>
        <w:rPr>
          <w:spacing w:val="-5"/>
          <w:w w:val="105"/>
          <w:sz w:val="13"/>
        </w:rPr>
        <w:t>7.</w:t>
      </w:r>
    </w:p>
    <w:p>
      <w:pPr>
        <w:pStyle w:val="ListParagraph"/>
        <w:numPr>
          <w:ilvl w:val="0"/>
          <w:numId w:val="71"/>
        </w:numPr>
        <w:tabs>
          <w:tab w:pos="2381" w:val="left" w:leader="none"/>
          <w:tab w:pos="2382" w:val="left" w:leader="none"/>
        </w:tabs>
        <w:spacing w:line="240" w:lineRule="auto" w:before="1" w:after="0"/>
        <w:ind w:left="2381" w:right="0" w:hanging="794"/>
        <w:jc w:val="left"/>
        <w:rPr>
          <w:sz w:val="13"/>
        </w:rPr>
      </w:pPr>
      <w:r>
        <w:rPr>
          <w:i/>
          <w:w w:val="105"/>
          <w:sz w:val="13"/>
        </w:rPr>
        <w:t>Neighbourhood Disputes (Dividing Fences and Trees) Act </w:t>
      </w:r>
      <w:r>
        <w:rPr>
          <w:i/>
          <w:spacing w:val="-4"/>
          <w:w w:val="105"/>
          <w:sz w:val="13"/>
        </w:rPr>
        <w:t>2011 </w:t>
      </w:r>
      <w:r>
        <w:rPr>
          <w:spacing w:val="3"/>
          <w:w w:val="105"/>
          <w:sz w:val="13"/>
        </w:rPr>
        <w:t>(QLD) </w:t>
      </w:r>
      <w:r>
        <w:rPr>
          <w:w w:val="105"/>
          <w:sz w:val="13"/>
        </w:rPr>
        <w:t>s</w:t>
      </w:r>
      <w:r>
        <w:rPr>
          <w:spacing w:val="23"/>
          <w:w w:val="105"/>
          <w:sz w:val="13"/>
        </w:rPr>
        <w:t> </w:t>
      </w:r>
      <w:r>
        <w:rPr>
          <w:w w:val="105"/>
          <w:sz w:val="13"/>
        </w:rPr>
        <w:t>52.</w:t>
      </w:r>
    </w:p>
    <w:p>
      <w:pPr>
        <w:pStyle w:val="ListParagraph"/>
        <w:numPr>
          <w:ilvl w:val="0"/>
          <w:numId w:val="71"/>
        </w:numPr>
        <w:tabs>
          <w:tab w:pos="2381" w:val="left" w:leader="none"/>
          <w:tab w:pos="2382" w:val="left" w:leader="none"/>
        </w:tabs>
        <w:spacing w:line="240" w:lineRule="auto" w:before="1" w:after="0"/>
        <w:ind w:left="2381" w:right="1717" w:hanging="794"/>
        <w:jc w:val="left"/>
        <w:rPr>
          <w:sz w:val="13"/>
        </w:rPr>
      </w:pPr>
      <w:r>
        <w:rPr>
          <w:w w:val="105"/>
          <w:sz w:val="13"/>
        </w:rPr>
        <w:t>Ibid s </w:t>
      </w:r>
      <w:r>
        <w:rPr>
          <w:spacing w:val="2"/>
          <w:w w:val="105"/>
          <w:sz w:val="13"/>
        </w:rPr>
        <w:t>48. </w:t>
      </w:r>
      <w:r>
        <w:rPr>
          <w:w w:val="105"/>
          <w:sz w:val="13"/>
        </w:rPr>
        <w:t>This also includes the grantee for an occupation permit or a stock grazing permit under the </w:t>
      </w:r>
      <w:r>
        <w:rPr>
          <w:i/>
          <w:spacing w:val="2"/>
          <w:w w:val="105"/>
          <w:sz w:val="13"/>
        </w:rPr>
        <w:t>Forestry </w:t>
      </w:r>
      <w:r>
        <w:rPr>
          <w:i/>
          <w:w w:val="105"/>
          <w:sz w:val="13"/>
        </w:rPr>
        <w:t>Act 1959 </w:t>
      </w:r>
      <w:r>
        <w:rPr>
          <w:spacing w:val="3"/>
          <w:w w:val="105"/>
          <w:sz w:val="13"/>
        </w:rPr>
        <w:t>(Qld); </w:t>
      </w:r>
      <w:r>
        <w:rPr>
          <w:w w:val="105"/>
          <w:sz w:val="13"/>
        </w:rPr>
        <w:t>the grantee for a stock grazing permit under the </w:t>
      </w:r>
      <w:r>
        <w:rPr>
          <w:i/>
          <w:w w:val="105"/>
          <w:sz w:val="13"/>
        </w:rPr>
        <w:t>Nature Conservation Act 1992 </w:t>
      </w:r>
      <w:r>
        <w:rPr>
          <w:spacing w:val="3"/>
          <w:w w:val="105"/>
          <w:sz w:val="13"/>
        </w:rPr>
        <w:t>(Qld); </w:t>
      </w:r>
      <w:r>
        <w:rPr>
          <w:w w:val="105"/>
          <w:sz w:val="13"/>
        </w:rPr>
        <w:t>the body corporate for the community title scheme under the </w:t>
      </w:r>
      <w:r>
        <w:rPr>
          <w:i/>
          <w:w w:val="105"/>
          <w:sz w:val="13"/>
        </w:rPr>
        <w:t>Body Corporate and Community Management Act </w:t>
      </w:r>
      <w:r>
        <w:rPr>
          <w:i/>
          <w:spacing w:val="-3"/>
          <w:w w:val="105"/>
          <w:sz w:val="13"/>
        </w:rPr>
        <w:t>1997  </w:t>
      </w:r>
      <w:r>
        <w:rPr>
          <w:spacing w:val="3"/>
          <w:w w:val="105"/>
          <w:sz w:val="13"/>
        </w:rPr>
        <w:t>(Qld); </w:t>
      </w:r>
      <w:r>
        <w:rPr>
          <w:w w:val="105"/>
          <w:sz w:val="13"/>
        </w:rPr>
        <w:t>the body corporate for the plan under the </w:t>
      </w:r>
      <w:r>
        <w:rPr>
          <w:i/>
          <w:w w:val="105"/>
          <w:sz w:val="13"/>
        </w:rPr>
        <w:t>Building Units and Group Titles   </w:t>
      </w:r>
      <w:r>
        <w:rPr>
          <w:i/>
          <w:w w:val="105"/>
          <w:sz w:val="13"/>
        </w:rPr>
        <w:t>Act</w:t>
      </w:r>
      <w:r>
        <w:rPr>
          <w:i/>
          <w:spacing w:val="4"/>
          <w:w w:val="105"/>
          <w:sz w:val="13"/>
        </w:rPr>
        <w:t> </w:t>
      </w:r>
      <w:r>
        <w:rPr>
          <w:i/>
          <w:w w:val="105"/>
          <w:sz w:val="13"/>
        </w:rPr>
        <w:t>1980</w:t>
      </w:r>
      <w:r>
        <w:rPr>
          <w:i/>
          <w:spacing w:val="5"/>
          <w:w w:val="105"/>
          <w:sz w:val="13"/>
        </w:rPr>
        <w:t> </w:t>
      </w:r>
      <w:r>
        <w:rPr>
          <w:spacing w:val="2"/>
          <w:w w:val="105"/>
          <w:sz w:val="13"/>
        </w:rPr>
        <w:t>(Qld)</w:t>
      </w:r>
      <w:r>
        <w:rPr>
          <w:spacing w:val="5"/>
          <w:w w:val="105"/>
          <w:sz w:val="13"/>
        </w:rPr>
        <w:t> </w:t>
      </w:r>
      <w:r>
        <w:rPr>
          <w:w w:val="105"/>
          <w:sz w:val="13"/>
        </w:rPr>
        <w:t>;</w:t>
      </w:r>
      <w:r>
        <w:rPr>
          <w:spacing w:val="5"/>
          <w:w w:val="105"/>
          <w:sz w:val="13"/>
        </w:rPr>
        <w:t> </w:t>
      </w:r>
      <w:r>
        <w:rPr>
          <w:w w:val="105"/>
          <w:sz w:val="13"/>
        </w:rPr>
        <w:t>and</w:t>
      </w:r>
      <w:r>
        <w:rPr>
          <w:spacing w:val="5"/>
          <w:w w:val="105"/>
          <w:sz w:val="13"/>
        </w:rPr>
        <w:t> </w:t>
      </w:r>
      <w:r>
        <w:rPr>
          <w:w w:val="105"/>
          <w:sz w:val="13"/>
        </w:rPr>
        <w:t>the</w:t>
      </w:r>
      <w:r>
        <w:rPr>
          <w:spacing w:val="5"/>
          <w:w w:val="105"/>
          <w:sz w:val="13"/>
        </w:rPr>
        <w:t> </w:t>
      </w:r>
      <w:r>
        <w:rPr>
          <w:w w:val="105"/>
          <w:sz w:val="13"/>
        </w:rPr>
        <w:t>trustee</w:t>
      </w:r>
      <w:r>
        <w:rPr>
          <w:spacing w:val="5"/>
          <w:w w:val="105"/>
          <w:sz w:val="13"/>
        </w:rPr>
        <w:t> </w:t>
      </w:r>
      <w:r>
        <w:rPr>
          <w:w w:val="105"/>
          <w:sz w:val="13"/>
        </w:rPr>
        <w:t>of</w:t>
      </w:r>
      <w:r>
        <w:rPr>
          <w:spacing w:val="4"/>
          <w:w w:val="105"/>
          <w:sz w:val="13"/>
        </w:rPr>
        <w:t> </w:t>
      </w:r>
      <w:r>
        <w:rPr>
          <w:w w:val="105"/>
          <w:sz w:val="13"/>
        </w:rPr>
        <w:t>the</w:t>
      </w:r>
      <w:r>
        <w:rPr>
          <w:spacing w:val="5"/>
          <w:w w:val="105"/>
          <w:sz w:val="13"/>
        </w:rPr>
        <w:t> </w:t>
      </w:r>
      <w:r>
        <w:rPr>
          <w:w w:val="105"/>
          <w:sz w:val="13"/>
        </w:rPr>
        <w:t>reserve,</w:t>
      </w:r>
      <w:r>
        <w:rPr>
          <w:spacing w:val="5"/>
          <w:w w:val="105"/>
          <w:sz w:val="13"/>
        </w:rPr>
        <w:t> </w:t>
      </w:r>
      <w:r>
        <w:rPr>
          <w:w w:val="105"/>
          <w:sz w:val="13"/>
        </w:rPr>
        <w:t>other</w:t>
      </w:r>
      <w:r>
        <w:rPr>
          <w:spacing w:val="5"/>
          <w:w w:val="105"/>
          <w:sz w:val="13"/>
        </w:rPr>
        <w:t> </w:t>
      </w:r>
      <w:r>
        <w:rPr>
          <w:w w:val="105"/>
          <w:sz w:val="13"/>
        </w:rPr>
        <w:t>than</w:t>
      </w:r>
      <w:r>
        <w:rPr>
          <w:spacing w:val="5"/>
          <w:w w:val="105"/>
          <w:sz w:val="13"/>
        </w:rPr>
        <w:t> </w:t>
      </w:r>
      <w:r>
        <w:rPr>
          <w:w w:val="105"/>
          <w:sz w:val="13"/>
        </w:rPr>
        <w:t>a</w:t>
      </w:r>
      <w:r>
        <w:rPr>
          <w:spacing w:val="5"/>
          <w:w w:val="105"/>
          <w:sz w:val="13"/>
        </w:rPr>
        <w:t> </w:t>
      </w:r>
      <w:r>
        <w:rPr>
          <w:w w:val="105"/>
          <w:sz w:val="13"/>
        </w:rPr>
        <w:t>reserve</w:t>
      </w:r>
      <w:r>
        <w:rPr>
          <w:spacing w:val="5"/>
          <w:w w:val="105"/>
          <w:sz w:val="13"/>
        </w:rPr>
        <w:t> </w:t>
      </w:r>
      <w:r>
        <w:rPr>
          <w:w w:val="105"/>
          <w:sz w:val="13"/>
        </w:rPr>
        <w:t>for</w:t>
      </w:r>
      <w:r>
        <w:rPr>
          <w:spacing w:val="4"/>
          <w:w w:val="105"/>
          <w:sz w:val="13"/>
        </w:rPr>
        <w:t> </w:t>
      </w:r>
      <w:r>
        <w:rPr>
          <w:w w:val="105"/>
          <w:sz w:val="13"/>
        </w:rPr>
        <w:t>community</w:t>
      </w:r>
      <w:r>
        <w:rPr>
          <w:spacing w:val="5"/>
          <w:w w:val="105"/>
          <w:sz w:val="13"/>
        </w:rPr>
        <w:t> </w:t>
      </w:r>
      <w:r>
        <w:rPr>
          <w:w w:val="105"/>
          <w:sz w:val="13"/>
        </w:rPr>
        <w:t>purposes,</w:t>
      </w:r>
      <w:r>
        <w:rPr>
          <w:spacing w:val="5"/>
          <w:w w:val="105"/>
          <w:sz w:val="13"/>
        </w:rPr>
        <w:t> </w:t>
      </w:r>
      <w:r>
        <w:rPr>
          <w:w w:val="105"/>
          <w:sz w:val="13"/>
        </w:rPr>
        <w:t>under</w:t>
      </w:r>
      <w:r>
        <w:rPr>
          <w:spacing w:val="5"/>
          <w:w w:val="105"/>
          <w:sz w:val="13"/>
        </w:rPr>
        <w:t> </w:t>
      </w:r>
      <w:r>
        <w:rPr>
          <w:w w:val="105"/>
          <w:sz w:val="13"/>
        </w:rPr>
        <w:t>the</w:t>
      </w:r>
      <w:r>
        <w:rPr>
          <w:spacing w:val="5"/>
          <w:w w:val="105"/>
          <w:sz w:val="13"/>
        </w:rPr>
        <w:t> </w:t>
      </w:r>
      <w:r>
        <w:rPr>
          <w:i/>
          <w:w w:val="105"/>
          <w:sz w:val="13"/>
        </w:rPr>
        <w:t>Land</w:t>
      </w:r>
      <w:r>
        <w:rPr>
          <w:i/>
          <w:spacing w:val="5"/>
          <w:w w:val="105"/>
          <w:sz w:val="13"/>
        </w:rPr>
        <w:t> </w:t>
      </w:r>
      <w:r>
        <w:rPr>
          <w:i/>
          <w:w w:val="105"/>
          <w:sz w:val="13"/>
        </w:rPr>
        <w:t>Act</w:t>
      </w:r>
      <w:r>
        <w:rPr>
          <w:i/>
          <w:spacing w:val="5"/>
          <w:w w:val="105"/>
          <w:sz w:val="13"/>
        </w:rPr>
        <w:t> </w:t>
      </w:r>
      <w:r>
        <w:rPr>
          <w:i/>
          <w:w w:val="105"/>
          <w:sz w:val="13"/>
        </w:rPr>
        <w:t>1994</w:t>
      </w:r>
      <w:r>
        <w:rPr>
          <w:i/>
          <w:spacing w:val="5"/>
          <w:w w:val="105"/>
          <w:sz w:val="13"/>
        </w:rPr>
        <w:t> </w:t>
      </w:r>
      <w:r>
        <w:rPr>
          <w:spacing w:val="2"/>
          <w:w w:val="105"/>
          <w:sz w:val="13"/>
        </w:rPr>
        <w:t>(Qld).</w:t>
      </w:r>
    </w:p>
    <w:p>
      <w:pPr>
        <w:pStyle w:val="ListParagraph"/>
        <w:numPr>
          <w:ilvl w:val="0"/>
          <w:numId w:val="71"/>
        </w:numPr>
        <w:tabs>
          <w:tab w:pos="2381" w:val="left" w:leader="none"/>
          <w:tab w:pos="2382" w:val="left" w:leader="none"/>
        </w:tabs>
        <w:spacing w:line="240" w:lineRule="auto" w:before="6" w:after="0"/>
        <w:ind w:left="2381" w:right="0" w:hanging="794"/>
        <w:jc w:val="left"/>
        <w:rPr>
          <w:sz w:val="13"/>
        </w:rPr>
      </w:pPr>
      <w:r>
        <w:rPr/>
        <w:pict>
          <v:shape style="position:absolute;margin-left:36pt;margin-top:3.244766pt;width:13.2pt;height:14.25pt;mso-position-horizontal-relative:page;mso-position-vertical-relative:paragraph;z-index:6904" type="#_x0000_t202" filled="false" stroked="false">
            <v:textbox inset="0,0,0,0">
              <w:txbxContent>
                <w:p>
                  <w:pPr>
                    <w:spacing w:line="284" w:lineRule="exact" w:before="0"/>
                    <w:ind w:left="0" w:right="0" w:firstLine="0"/>
                    <w:jc w:val="left"/>
                    <w:rPr>
                      <w:b/>
                      <w:sz w:val="24"/>
                    </w:rPr>
                  </w:pPr>
                  <w:r>
                    <w:rPr>
                      <w:b/>
                      <w:color w:val="658464"/>
                      <w:spacing w:val="-2"/>
                      <w:w w:val="110"/>
                      <w:sz w:val="24"/>
                    </w:rPr>
                    <w:t>92</w:t>
                  </w:r>
                </w:p>
              </w:txbxContent>
            </v:textbox>
            <w10:wrap type="none"/>
          </v:shape>
        </w:pict>
      </w: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4"/>
          <w:w w:val="105"/>
          <w:sz w:val="13"/>
        </w:rPr>
        <w:t> </w:t>
      </w:r>
      <w:r>
        <w:rPr>
          <w:spacing w:val="2"/>
          <w:w w:val="105"/>
          <w:sz w:val="13"/>
        </w:rPr>
        <w:t>48.</w:t>
      </w:r>
    </w:p>
    <w:p>
      <w:pPr>
        <w:pStyle w:val="ListParagraph"/>
        <w:numPr>
          <w:ilvl w:val="0"/>
          <w:numId w:val="71"/>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z w:val="13"/>
        </w:rPr>
        <w:t>53.</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0"/>
          <w:numId w:val="64"/>
        </w:numPr>
        <w:tabs>
          <w:tab w:pos="2438" w:val="left" w:leader="none"/>
          <w:tab w:pos="2439" w:val="left" w:leader="none"/>
        </w:tabs>
        <w:spacing w:line="242" w:lineRule="auto" w:before="91" w:after="0"/>
        <w:ind w:left="2381" w:right="1799" w:hanging="794"/>
        <w:jc w:val="left"/>
        <w:rPr>
          <w:sz w:val="21"/>
        </w:rPr>
      </w:pPr>
      <w:r>
        <w:rPr/>
        <w:tab/>
      </w:r>
      <w:r>
        <w:rPr>
          <w:w w:val="105"/>
          <w:sz w:val="21"/>
        </w:rPr>
        <w:t>In </w:t>
      </w:r>
      <w:r>
        <w:rPr>
          <w:spacing w:val="-5"/>
          <w:w w:val="105"/>
          <w:sz w:val="21"/>
        </w:rPr>
        <w:t>Tasmania </w:t>
      </w:r>
      <w:r>
        <w:rPr>
          <w:spacing w:val="-3"/>
          <w:w w:val="105"/>
          <w:sz w:val="21"/>
        </w:rPr>
        <w:t>liability </w:t>
      </w:r>
      <w:r>
        <w:rPr>
          <w:w w:val="105"/>
          <w:sz w:val="21"/>
        </w:rPr>
        <w:t>attaches </w:t>
      </w:r>
      <w:r>
        <w:rPr>
          <w:spacing w:val="-3"/>
          <w:w w:val="105"/>
          <w:sz w:val="21"/>
        </w:rPr>
        <w:t>to </w:t>
      </w:r>
      <w:r>
        <w:rPr>
          <w:w w:val="105"/>
          <w:sz w:val="21"/>
        </w:rPr>
        <w:t>owners of </w:t>
      </w:r>
      <w:r>
        <w:rPr>
          <w:spacing w:val="-3"/>
          <w:w w:val="105"/>
          <w:sz w:val="21"/>
        </w:rPr>
        <w:t>land </w:t>
      </w:r>
      <w:r>
        <w:rPr>
          <w:w w:val="105"/>
          <w:sz w:val="21"/>
        </w:rPr>
        <w:t>on which the tree is </w:t>
      </w:r>
      <w:r>
        <w:rPr>
          <w:spacing w:val="-3"/>
          <w:w w:val="105"/>
          <w:sz w:val="21"/>
        </w:rPr>
        <w:t>situated. </w:t>
      </w:r>
      <w:r>
        <w:rPr>
          <w:w w:val="105"/>
          <w:sz w:val="21"/>
        </w:rPr>
        <w:t>An owner of </w:t>
      </w:r>
      <w:r>
        <w:rPr>
          <w:spacing w:val="-3"/>
          <w:w w:val="105"/>
          <w:sz w:val="21"/>
        </w:rPr>
        <w:t>land </w:t>
      </w:r>
      <w:r>
        <w:rPr>
          <w:w w:val="105"/>
          <w:sz w:val="21"/>
        </w:rPr>
        <w:t>is </w:t>
      </w:r>
      <w:r>
        <w:rPr>
          <w:spacing w:val="-3"/>
          <w:w w:val="105"/>
          <w:sz w:val="21"/>
        </w:rPr>
        <w:t>generally </w:t>
      </w:r>
      <w:r>
        <w:rPr>
          <w:w w:val="105"/>
          <w:sz w:val="21"/>
        </w:rPr>
        <w:t>defined </w:t>
      </w:r>
      <w:r>
        <w:rPr>
          <w:spacing w:val="-3"/>
          <w:w w:val="105"/>
          <w:sz w:val="21"/>
        </w:rPr>
        <w:t>to include </w:t>
      </w:r>
      <w:r>
        <w:rPr>
          <w:w w:val="105"/>
          <w:sz w:val="21"/>
        </w:rPr>
        <w:t>owners of freehold estates, bodies </w:t>
      </w:r>
      <w:r>
        <w:rPr>
          <w:spacing w:val="-3"/>
          <w:w w:val="105"/>
          <w:sz w:val="21"/>
        </w:rPr>
        <w:t>corporate, life tenants </w:t>
      </w:r>
      <w:r>
        <w:rPr>
          <w:w w:val="105"/>
          <w:sz w:val="21"/>
        </w:rPr>
        <w:t>and </w:t>
      </w:r>
      <w:r>
        <w:rPr>
          <w:spacing w:val="-2"/>
          <w:w w:val="105"/>
          <w:sz w:val="21"/>
        </w:rPr>
        <w:t>licensees </w:t>
      </w:r>
      <w:r>
        <w:rPr>
          <w:w w:val="105"/>
          <w:sz w:val="21"/>
        </w:rPr>
        <w:t>and lessees of </w:t>
      </w:r>
      <w:r>
        <w:rPr>
          <w:spacing w:val="-4"/>
          <w:w w:val="105"/>
          <w:sz w:val="21"/>
        </w:rPr>
        <w:t>Crown </w:t>
      </w:r>
      <w:r>
        <w:rPr>
          <w:w w:val="105"/>
          <w:sz w:val="21"/>
        </w:rPr>
        <w:t>land.</w:t>
      </w:r>
      <w:r>
        <w:rPr>
          <w:w w:val="105"/>
          <w:position w:val="7"/>
          <w:sz w:val="12"/>
        </w:rPr>
        <w:t>270 </w:t>
      </w:r>
      <w:r>
        <w:rPr>
          <w:w w:val="105"/>
          <w:sz w:val="21"/>
        </w:rPr>
        <w:t>The </w:t>
      </w:r>
      <w:r>
        <w:rPr>
          <w:spacing w:val="-4"/>
          <w:w w:val="105"/>
          <w:sz w:val="21"/>
        </w:rPr>
        <w:t>Tasmanian </w:t>
      </w:r>
      <w:r>
        <w:rPr>
          <w:w w:val="105"/>
          <w:sz w:val="21"/>
        </w:rPr>
        <w:t>Act also provides </w:t>
      </w:r>
      <w:r>
        <w:rPr>
          <w:spacing w:val="-3"/>
          <w:w w:val="105"/>
          <w:sz w:val="21"/>
        </w:rPr>
        <w:t>for joint liability </w:t>
      </w:r>
      <w:r>
        <w:rPr>
          <w:w w:val="105"/>
          <w:sz w:val="21"/>
        </w:rPr>
        <w:t>where there </w:t>
      </w:r>
      <w:r>
        <w:rPr>
          <w:spacing w:val="-3"/>
          <w:w w:val="105"/>
          <w:sz w:val="21"/>
        </w:rPr>
        <w:t>are multiple </w:t>
      </w:r>
      <w:r>
        <w:rPr>
          <w:w w:val="105"/>
          <w:sz w:val="21"/>
        </w:rPr>
        <w:t>owners of </w:t>
      </w:r>
      <w:r>
        <w:rPr>
          <w:spacing w:val="-3"/>
          <w:w w:val="105"/>
          <w:sz w:val="21"/>
        </w:rPr>
        <w:t>land.</w:t>
      </w:r>
      <w:r>
        <w:rPr>
          <w:spacing w:val="-3"/>
          <w:w w:val="105"/>
          <w:position w:val="7"/>
          <w:sz w:val="12"/>
        </w:rPr>
        <w:t>271 </w:t>
      </w:r>
      <w:r>
        <w:rPr>
          <w:w w:val="105"/>
          <w:sz w:val="21"/>
        </w:rPr>
        <w:t>This mirrors the </w:t>
      </w:r>
      <w:r>
        <w:rPr>
          <w:spacing w:val="-3"/>
          <w:w w:val="105"/>
          <w:sz w:val="21"/>
        </w:rPr>
        <w:t>Queensland approach.</w:t>
      </w:r>
    </w:p>
    <w:p>
      <w:pPr>
        <w:pStyle w:val="ListParagraph"/>
        <w:numPr>
          <w:ilvl w:val="0"/>
          <w:numId w:val="64"/>
        </w:numPr>
        <w:tabs>
          <w:tab w:pos="2381" w:val="left" w:leader="none"/>
          <w:tab w:pos="2382" w:val="left" w:leader="none"/>
        </w:tabs>
        <w:spacing w:line="242" w:lineRule="auto" w:before="126" w:after="0"/>
        <w:ind w:left="2381" w:right="1855" w:hanging="794"/>
        <w:jc w:val="left"/>
        <w:rPr>
          <w:sz w:val="12"/>
        </w:rPr>
      </w:pPr>
      <w:r>
        <w:rPr>
          <w:sz w:val="21"/>
        </w:rPr>
        <w:t>The </w:t>
      </w:r>
      <w:r>
        <w:rPr>
          <w:spacing w:val="-4"/>
          <w:sz w:val="21"/>
        </w:rPr>
        <w:t>Tasmanian </w:t>
      </w:r>
      <w:r>
        <w:rPr>
          <w:sz w:val="21"/>
        </w:rPr>
        <w:t>Act </w:t>
      </w:r>
      <w:r>
        <w:rPr>
          <w:spacing w:val="-2"/>
          <w:sz w:val="21"/>
        </w:rPr>
        <w:t>places </w:t>
      </w:r>
      <w:r>
        <w:rPr>
          <w:spacing w:val="-3"/>
          <w:sz w:val="21"/>
        </w:rPr>
        <w:t>responsibilities </w:t>
      </w:r>
      <w:r>
        <w:rPr>
          <w:sz w:val="21"/>
        </w:rPr>
        <w:t>on landowners </w:t>
      </w:r>
      <w:r>
        <w:rPr>
          <w:spacing w:val="-3"/>
          <w:sz w:val="21"/>
        </w:rPr>
        <w:t>to remove branches  that overhang </w:t>
      </w:r>
      <w:r>
        <w:rPr>
          <w:sz w:val="21"/>
        </w:rPr>
        <w:t>a </w:t>
      </w:r>
      <w:r>
        <w:rPr>
          <w:spacing w:val="-3"/>
          <w:sz w:val="21"/>
        </w:rPr>
        <w:t>neighbour’s land </w:t>
      </w:r>
      <w:r>
        <w:rPr>
          <w:sz w:val="21"/>
        </w:rPr>
        <w:t>and </w:t>
      </w:r>
      <w:r>
        <w:rPr>
          <w:spacing w:val="-3"/>
          <w:sz w:val="21"/>
        </w:rPr>
        <w:t>to ensure </w:t>
      </w:r>
      <w:r>
        <w:rPr>
          <w:sz w:val="21"/>
        </w:rPr>
        <w:t>trees on their </w:t>
      </w:r>
      <w:r>
        <w:rPr>
          <w:spacing w:val="-3"/>
          <w:sz w:val="21"/>
        </w:rPr>
        <w:t>land </w:t>
      </w:r>
      <w:r>
        <w:rPr>
          <w:sz w:val="21"/>
        </w:rPr>
        <w:t>do </w:t>
      </w:r>
      <w:r>
        <w:rPr>
          <w:spacing w:val="-2"/>
          <w:sz w:val="21"/>
        </w:rPr>
        <w:t>not </w:t>
      </w:r>
      <w:r>
        <w:rPr>
          <w:sz w:val="21"/>
        </w:rPr>
        <w:t>cause injury or damage or </w:t>
      </w:r>
      <w:r>
        <w:rPr>
          <w:spacing w:val="-3"/>
          <w:sz w:val="21"/>
        </w:rPr>
        <w:t>interfere </w:t>
      </w:r>
      <w:r>
        <w:rPr>
          <w:sz w:val="21"/>
        </w:rPr>
        <w:t>with a </w:t>
      </w:r>
      <w:r>
        <w:rPr>
          <w:spacing w:val="-3"/>
          <w:sz w:val="21"/>
        </w:rPr>
        <w:t>person’s </w:t>
      </w:r>
      <w:r>
        <w:rPr>
          <w:sz w:val="21"/>
        </w:rPr>
        <w:t>use and </w:t>
      </w:r>
      <w:r>
        <w:rPr>
          <w:spacing w:val="-2"/>
          <w:sz w:val="21"/>
        </w:rPr>
        <w:t>enjoyment </w:t>
      </w:r>
      <w:r>
        <w:rPr>
          <w:sz w:val="21"/>
        </w:rPr>
        <w:t>of land.</w:t>
      </w:r>
      <w:r>
        <w:rPr>
          <w:position w:val="7"/>
          <w:sz w:val="12"/>
        </w:rPr>
        <w:t>272 </w:t>
      </w:r>
      <w:r>
        <w:rPr>
          <w:sz w:val="21"/>
        </w:rPr>
        <w:t>The Second </w:t>
      </w:r>
      <w:r>
        <w:rPr>
          <w:spacing w:val="-3"/>
          <w:sz w:val="21"/>
        </w:rPr>
        <w:t>Reading </w:t>
      </w:r>
      <w:r>
        <w:rPr>
          <w:sz w:val="21"/>
        </w:rPr>
        <w:t>Speech </w:t>
      </w:r>
      <w:r>
        <w:rPr>
          <w:spacing w:val="-3"/>
          <w:sz w:val="21"/>
        </w:rPr>
        <w:t>to </w:t>
      </w:r>
      <w:r>
        <w:rPr>
          <w:sz w:val="21"/>
        </w:rPr>
        <w:t>the </w:t>
      </w:r>
      <w:r>
        <w:rPr>
          <w:spacing w:val="-4"/>
          <w:sz w:val="21"/>
        </w:rPr>
        <w:t>Tasmanian </w:t>
      </w:r>
      <w:r>
        <w:rPr>
          <w:sz w:val="21"/>
        </w:rPr>
        <w:t>Act </w:t>
      </w:r>
      <w:r>
        <w:rPr>
          <w:spacing w:val="-3"/>
          <w:sz w:val="21"/>
        </w:rPr>
        <w:t>makes </w:t>
      </w:r>
      <w:r>
        <w:rPr>
          <w:sz w:val="21"/>
        </w:rPr>
        <w:t>it </w:t>
      </w:r>
      <w:r>
        <w:rPr>
          <w:spacing w:val="-3"/>
          <w:sz w:val="21"/>
        </w:rPr>
        <w:t>clear that residential tenants will </w:t>
      </w:r>
      <w:r>
        <w:rPr>
          <w:spacing w:val="-2"/>
          <w:sz w:val="21"/>
        </w:rPr>
        <w:t>not </w:t>
      </w:r>
      <w:r>
        <w:rPr>
          <w:spacing w:val="-3"/>
          <w:sz w:val="21"/>
        </w:rPr>
        <w:t>have responsibility</w:t>
      </w:r>
      <w:r>
        <w:rPr>
          <w:spacing w:val="9"/>
          <w:sz w:val="21"/>
        </w:rPr>
        <w:t> </w:t>
      </w:r>
      <w:r>
        <w:rPr>
          <w:sz w:val="21"/>
        </w:rPr>
        <w:t>or</w:t>
      </w:r>
      <w:r>
        <w:rPr>
          <w:spacing w:val="10"/>
          <w:sz w:val="21"/>
        </w:rPr>
        <w:t> </w:t>
      </w:r>
      <w:r>
        <w:rPr>
          <w:spacing w:val="-3"/>
          <w:sz w:val="21"/>
        </w:rPr>
        <w:t>liability</w:t>
      </w:r>
      <w:r>
        <w:rPr>
          <w:spacing w:val="9"/>
          <w:sz w:val="21"/>
        </w:rPr>
        <w:t> </w:t>
      </w:r>
      <w:r>
        <w:rPr>
          <w:spacing w:val="-3"/>
          <w:sz w:val="21"/>
        </w:rPr>
        <w:t>for</w:t>
      </w:r>
      <w:r>
        <w:rPr>
          <w:spacing w:val="10"/>
          <w:sz w:val="21"/>
        </w:rPr>
        <w:t> </w:t>
      </w:r>
      <w:r>
        <w:rPr>
          <w:sz w:val="21"/>
        </w:rPr>
        <w:t>plants</w:t>
      </w:r>
      <w:r>
        <w:rPr>
          <w:spacing w:val="10"/>
          <w:sz w:val="21"/>
        </w:rPr>
        <w:t> </w:t>
      </w:r>
      <w:r>
        <w:rPr>
          <w:sz w:val="21"/>
        </w:rPr>
        <w:t>under</w:t>
      </w:r>
      <w:r>
        <w:rPr>
          <w:spacing w:val="9"/>
          <w:sz w:val="21"/>
        </w:rPr>
        <w:t> </w:t>
      </w:r>
      <w:r>
        <w:rPr>
          <w:sz w:val="21"/>
        </w:rPr>
        <w:t>the</w:t>
      </w:r>
      <w:r>
        <w:rPr>
          <w:spacing w:val="10"/>
          <w:sz w:val="21"/>
        </w:rPr>
        <w:t> </w:t>
      </w:r>
      <w:r>
        <w:rPr>
          <w:sz w:val="21"/>
        </w:rPr>
        <w:t>Act.</w:t>
      </w:r>
      <w:r>
        <w:rPr>
          <w:position w:val="7"/>
          <w:sz w:val="12"/>
        </w:rPr>
        <w:t>273</w:t>
      </w:r>
    </w:p>
    <w:p>
      <w:pPr>
        <w:pStyle w:val="ListParagraph"/>
        <w:numPr>
          <w:ilvl w:val="0"/>
          <w:numId w:val="64"/>
        </w:numPr>
        <w:tabs>
          <w:tab w:pos="2380" w:val="left" w:leader="none"/>
          <w:tab w:pos="2381" w:val="left" w:leader="none"/>
        </w:tabs>
        <w:spacing w:line="242" w:lineRule="auto" w:before="125" w:after="0"/>
        <w:ind w:left="2381" w:right="1643" w:hanging="794"/>
        <w:jc w:val="left"/>
        <w:rPr>
          <w:sz w:val="21"/>
        </w:rPr>
      </w:pPr>
      <w:r>
        <w:rPr>
          <w:sz w:val="21"/>
        </w:rPr>
        <w:t>All interstate schemes </w:t>
      </w:r>
      <w:r>
        <w:rPr>
          <w:spacing w:val="-3"/>
          <w:sz w:val="21"/>
        </w:rPr>
        <w:t>take </w:t>
      </w:r>
      <w:r>
        <w:rPr>
          <w:spacing w:val="-4"/>
          <w:sz w:val="21"/>
        </w:rPr>
        <w:t>into </w:t>
      </w:r>
      <w:r>
        <w:rPr>
          <w:spacing w:val="-3"/>
          <w:sz w:val="21"/>
        </w:rPr>
        <w:t>account </w:t>
      </w:r>
      <w:r>
        <w:rPr>
          <w:sz w:val="21"/>
        </w:rPr>
        <w:t>a broad  </w:t>
      </w:r>
      <w:r>
        <w:rPr>
          <w:spacing w:val="-3"/>
          <w:sz w:val="21"/>
        </w:rPr>
        <w:t>range  </w:t>
      </w:r>
      <w:r>
        <w:rPr>
          <w:sz w:val="21"/>
        </w:rPr>
        <w:t>of  </w:t>
      </w:r>
      <w:r>
        <w:rPr>
          <w:spacing w:val="-3"/>
          <w:sz w:val="21"/>
        </w:rPr>
        <w:t>considerations  before determining </w:t>
      </w:r>
      <w:r>
        <w:rPr>
          <w:sz w:val="21"/>
        </w:rPr>
        <w:t>remedies. In this </w:t>
      </w:r>
      <w:r>
        <w:rPr>
          <w:spacing w:val="-5"/>
          <w:sz w:val="21"/>
        </w:rPr>
        <w:t>way, </w:t>
      </w:r>
      <w:r>
        <w:rPr>
          <w:spacing w:val="-3"/>
          <w:sz w:val="21"/>
        </w:rPr>
        <w:t>any </w:t>
      </w:r>
      <w:r>
        <w:rPr>
          <w:sz w:val="21"/>
        </w:rPr>
        <w:t>acts or </w:t>
      </w:r>
      <w:r>
        <w:rPr>
          <w:spacing w:val="-3"/>
          <w:sz w:val="21"/>
        </w:rPr>
        <w:t>omissions </w:t>
      </w:r>
      <w:r>
        <w:rPr>
          <w:sz w:val="21"/>
        </w:rPr>
        <w:t>by the affected </w:t>
      </w:r>
      <w:r>
        <w:rPr>
          <w:spacing w:val="-3"/>
          <w:sz w:val="21"/>
        </w:rPr>
        <w:t>neighbour </w:t>
      </w:r>
      <w:r>
        <w:rPr>
          <w:sz w:val="21"/>
        </w:rPr>
        <w:t>or the owner of the </w:t>
      </w:r>
      <w:r>
        <w:rPr>
          <w:spacing w:val="-3"/>
          <w:sz w:val="21"/>
        </w:rPr>
        <w:t>land  </w:t>
      </w:r>
      <w:r>
        <w:rPr>
          <w:sz w:val="21"/>
        </w:rPr>
        <w:t>on which the tree is </w:t>
      </w:r>
      <w:r>
        <w:rPr>
          <w:spacing w:val="-3"/>
          <w:sz w:val="21"/>
        </w:rPr>
        <w:t>situated</w:t>
      </w:r>
      <w:r>
        <w:rPr>
          <w:spacing w:val="41"/>
          <w:sz w:val="21"/>
        </w:rPr>
        <w:t> </w:t>
      </w:r>
      <w:r>
        <w:rPr>
          <w:spacing w:val="-3"/>
          <w:sz w:val="21"/>
        </w:rPr>
        <w:t>may  </w:t>
      </w:r>
      <w:r>
        <w:rPr>
          <w:sz w:val="21"/>
        </w:rPr>
        <w:t>affect the </w:t>
      </w:r>
      <w:r>
        <w:rPr>
          <w:spacing w:val="-3"/>
          <w:sz w:val="21"/>
        </w:rPr>
        <w:t>outcome  </w:t>
      </w:r>
      <w:r>
        <w:rPr>
          <w:sz w:val="21"/>
        </w:rPr>
        <w:t>of the </w:t>
      </w:r>
      <w:r>
        <w:rPr>
          <w:spacing w:val="-3"/>
          <w:sz w:val="21"/>
        </w:rPr>
        <w:t>dispute.   </w:t>
      </w:r>
      <w:r>
        <w:rPr>
          <w:sz w:val="21"/>
        </w:rPr>
        <w:t>The</w:t>
      </w:r>
      <w:r>
        <w:rPr>
          <w:spacing w:val="10"/>
          <w:sz w:val="21"/>
        </w:rPr>
        <w:t> </w:t>
      </w:r>
      <w:r>
        <w:rPr>
          <w:sz w:val="21"/>
        </w:rPr>
        <w:t>NSW</w:t>
      </w:r>
      <w:r>
        <w:rPr>
          <w:spacing w:val="10"/>
          <w:sz w:val="21"/>
        </w:rPr>
        <w:t> </w:t>
      </w:r>
      <w:r>
        <w:rPr>
          <w:sz w:val="21"/>
        </w:rPr>
        <w:t>Act</w:t>
      </w:r>
      <w:r>
        <w:rPr>
          <w:spacing w:val="10"/>
          <w:sz w:val="21"/>
        </w:rPr>
        <w:t> </w:t>
      </w:r>
      <w:r>
        <w:rPr>
          <w:spacing w:val="-3"/>
          <w:sz w:val="21"/>
        </w:rPr>
        <w:t>requires</w:t>
      </w:r>
      <w:r>
        <w:rPr>
          <w:spacing w:val="10"/>
          <w:sz w:val="21"/>
        </w:rPr>
        <w:t> </w:t>
      </w:r>
      <w:r>
        <w:rPr>
          <w:sz w:val="21"/>
        </w:rPr>
        <w:t>the</w:t>
      </w:r>
      <w:r>
        <w:rPr>
          <w:spacing w:val="10"/>
          <w:sz w:val="21"/>
        </w:rPr>
        <w:t> </w:t>
      </w:r>
      <w:r>
        <w:rPr>
          <w:sz w:val="21"/>
        </w:rPr>
        <w:t>NSWLEC</w:t>
      </w:r>
      <w:r>
        <w:rPr>
          <w:spacing w:val="10"/>
          <w:sz w:val="21"/>
        </w:rPr>
        <w:t> </w:t>
      </w:r>
      <w:r>
        <w:rPr>
          <w:spacing w:val="-3"/>
          <w:sz w:val="21"/>
        </w:rPr>
        <w:t>to</w:t>
      </w:r>
      <w:r>
        <w:rPr>
          <w:spacing w:val="10"/>
          <w:sz w:val="21"/>
        </w:rPr>
        <w:t> </w:t>
      </w:r>
      <w:r>
        <w:rPr>
          <w:spacing w:val="-3"/>
          <w:sz w:val="21"/>
        </w:rPr>
        <w:t>consider:</w:t>
      </w:r>
    </w:p>
    <w:p>
      <w:pPr>
        <w:pStyle w:val="BodyText"/>
        <w:spacing w:before="8"/>
      </w:pPr>
    </w:p>
    <w:p>
      <w:pPr>
        <w:pStyle w:val="BodyText"/>
        <w:spacing w:line="242" w:lineRule="auto"/>
        <w:ind w:left="2380" w:right="1810"/>
      </w:pPr>
      <w:r>
        <w:rPr>
          <w:spacing w:val="-2"/>
          <w:w w:val="105"/>
        </w:rPr>
        <w:t>anything, </w:t>
      </w:r>
      <w:r>
        <w:rPr>
          <w:w w:val="105"/>
        </w:rPr>
        <w:t>other </w:t>
      </w:r>
      <w:r>
        <w:rPr>
          <w:spacing w:val="-3"/>
          <w:w w:val="105"/>
        </w:rPr>
        <w:t>than </w:t>
      </w:r>
      <w:r>
        <w:rPr>
          <w:w w:val="105"/>
        </w:rPr>
        <w:t>the </w:t>
      </w:r>
      <w:r>
        <w:rPr>
          <w:spacing w:val="-3"/>
          <w:w w:val="105"/>
        </w:rPr>
        <w:t>tree, that </w:t>
      </w:r>
      <w:r>
        <w:rPr>
          <w:spacing w:val="-2"/>
          <w:w w:val="105"/>
        </w:rPr>
        <w:t>has </w:t>
      </w:r>
      <w:r>
        <w:rPr>
          <w:spacing w:val="-3"/>
          <w:w w:val="105"/>
        </w:rPr>
        <w:t>contributed, </w:t>
      </w:r>
      <w:r>
        <w:rPr>
          <w:w w:val="105"/>
        </w:rPr>
        <w:t>or is </w:t>
      </w:r>
      <w:r>
        <w:rPr>
          <w:spacing w:val="-3"/>
          <w:w w:val="105"/>
        </w:rPr>
        <w:t>contributing, to any such </w:t>
      </w:r>
      <w:r>
        <w:rPr>
          <w:w w:val="105"/>
        </w:rPr>
        <w:t>injury or damage or </w:t>
      </w:r>
      <w:r>
        <w:rPr>
          <w:spacing w:val="-3"/>
          <w:w w:val="105"/>
        </w:rPr>
        <w:t>likelihood </w:t>
      </w:r>
      <w:r>
        <w:rPr>
          <w:w w:val="105"/>
        </w:rPr>
        <w:t>of injury or </w:t>
      </w:r>
      <w:r>
        <w:rPr>
          <w:spacing w:val="-3"/>
          <w:w w:val="105"/>
        </w:rPr>
        <w:t>damage, including:</w:t>
      </w:r>
    </w:p>
    <w:p>
      <w:pPr>
        <w:spacing w:line="254" w:lineRule="auto" w:before="132"/>
        <w:ind w:left="2834" w:right="1636" w:firstLine="0"/>
        <w:jc w:val="left"/>
        <w:rPr>
          <w:sz w:val="20"/>
        </w:rPr>
      </w:pPr>
      <w:r>
        <w:rPr>
          <w:sz w:val="20"/>
        </w:rPr>
        <w:t>any act or omission by the applicant and the impact of any other trees (including trees owned by the applicant); and</w:t>
      </w:r>
    </w:p>
    <w:p>
      <w:pPr>
        <w:spacing w:line="254" w:lineRule="auto" w:before="122"/>
        <w:ind w:left="2834" w:right="1636" w:firstLine="0"/>
        <w:jc w:val="left"/>
        <w:rPr>
          <w:sz w:val="11"/>
        </w:rPr>
      </w:pPr>
      <w:r>
        <w:rPr>
          <w:spacing w:val="-2"/>
          <w:w w:val="105"/>
          <w:sz w:val="20"/>
        </w:rPr>
        <w:t>any </w:t>
      </w:r>
      <w:r>
        <w:rPr>
          <w:w w:val="105"/>
          <w:sz w:val="20"/>
        </w:rPr>
        <w:t>steps </w:t>
      </w:r>
      <w:r>
        <w:rPr>
          <w:spacing w:val="-3"/>
          <w:w w:val="105"/>
          <w:sz w:val="20"/>
        </w:rPr>
        <w:t>taken </w:t>
      </w:r>
      <w:r>
        <w:rPr>
          <w:w w:val="105"/>
          <w:sz w:val="20"/>
        </w:rPr>
        <w:t>by the applicant or the owner of the land on which the tree is </w:t>
      </w:r>
      <w:r>
        <w:rPr>
          <w:spacing w:val="-3"/>
          <w:w w:val="105"/>
          <w:sz w:val="20"/>
        </w:rPr>
        <w:t>situated </w:t>
      </w:r>
      <w:r>
        <w:rPr>
          <w:w w:val="105"/>
          <w:sz w:val="20"/>
        </w:rPr>
        <w:t>to </w:t>
      </w:r>
      <w:r>
        <w:rPr>
          <w:spacing w:val="-3"/>
          <w:w w:val="105"/>
          <w:sz w:val="20"/>
        </w:rPr>
        <w:t>prevent </w:t>
      </w:r>
      <w:r>
        <w:rPr>
          <w:w w:val="105"/>
          <w:sz w:val="20"/>
        </w:rPr>
        <w:t>or rectify </w:t>
      </w:r>
      <w:r>
        <w:rPr>
          <w:spacing w:val="-2"/>
          <w:w w:val="105"/>
          <w:sz w:val="20"/>
        </w:rPr>
        <w:t>any </w:t>
      </w:r>
      <w:r>
        <w:rPr>
          <w:w w:val="105"/>
          <w:sz w:val="20"/>
        </w:rPr>
        <w:t>such </w:t>
      </w:r>
      <w:r>
        <w:rPr>
          <w:spacing w:val="-3"/>
          <w:w w:val="105"/>
          <w:sz w:val="20"/>
        </w:rPr>
        <w:t>damage.</w:t>
      </w:r>
      <w:r>
        <w:rPr>
          <w:spacing w:val="-3"/>
          <w:w w:val="105"/>
          <w:position w:val="7"/>
          <w:sz w:val="11"/>
        </w:rPr>
        <w:t>274</w:t>
      </w:r>
    </w:p>
    <w:p>
      <w:pPr>
        <w:pStyle w:val="ListParagraph"/>
        <w:numPr>
          <w:ilvl w:val="0"/>
          <w:numId w:val="64"/>
        </w:numPr>
        <w:tabs>
          <w:tab w:pos="2380" w:val="left" w:leader="none"/>
          <w:tab w:pos="2381" w:val="left" w:leader="none"/>
        </w:tabs>
        <w:spacing w:line="242" w:lineRule="auto" w:before="113" w:after="0"/>
        <w:ind w:left="2381" w:right="1805" w:hanging="794"/>
        <w:jc w:val="left"/>
        <w:rPr>
          <w:sz w:val="21"/>
        </w:rPr>
      </w:pPr>
      <w:r>
        <w:rPr>
          <w:w w:val="105"/>
          <w:sz w:val="21"/>
        </w:rPr>
        <w:t>In</w:t>
      </w:r>
      <w:r>
        <w:rPr>
          <w:spacing w:val="-5"/>
          <w:w w:val="105"/>
          <w:sz w:val="21"/>
        </w:rPr>
        <w:t> </w:t>
      </w:r>
      <w:r>
        <w:rPr>
          <w:spacing w:val="-3"/>
          <w:w w:val="105"/>
          <w:sz w:val="21"/>
        </w:rPr>
        <w:t>several</w:t>
      </w:r>
      <w:r>
        <w:rPr>
          <w:spacing w:val="-5"/>
          <w:w w:val="105"/>
          <w:sz w:val="21"/>
        </w:rPr>
        <w:t> </w:t>
      </w:r>
      <w:r>
        <w:rPr>
          <w:w w:val="105"/>
          <w:sz w:val="21"/>
        </w:rPr>
        <w:t>cases</w:t>
      </w:r>
      <w:r>
        <w:rPr>
          <w:spacing w:val="-4"/>
          <w:w w:val="105"/>
          <w:sz w:val="21"/>
        </w:rPr>
        <w:t> </w:t>
      </w:r>
      <w:r>
        <w:rPr>
          <w:w w:val="105"/>
          <w:sz w:val="21"/>
        </w:rPr>
        <w:t>the</w:t>
      </w:r>
      <w:r>
        <w:rPr>
          <w:spacing w:val="-5"/>
          <w:w w:val="105"/>
          <w:sz w:val="21"/>
        </w:rPr>
        <w:t> </w:t>
      </w:r>
      <w:r>
        <w:rPr>
          <w:w w:val="105"/>
          <w:sz w:val="21"/>
        </w:rPr>
        <w:t>NSWLEC</w:t>
      </w:r>
      <w:r>
        <w:rPr>
          <w:spacing w:val="-5"/>
          <w:w w:val="105"/>
          <w:sz w:val="21"/>
        </w:rPr>
        <w:t> </w:t>
      </w:r>
      <w:r>
        <w:rPr>
          <w:spacing w:val="-2"/>
          <w:w w:val="105"/>
          <w:sz w:val="21"/>
        </w:rPr>
        <w:t>has</w:t>
      </w:r>
      <w:r>
        <w:rPr>
          <w:spacing w:val="-4"/>
          <w:w w:val="105"/>
          <w:sz w:val="21"/>
        </w:rPr>
        <w:t> </w:t>
      </w:r>
      <w:r>
        <w:rPr>
          <w:w w:val="105"/>
          <w:sz w:val="21"/>
        </w:rPr>
        <w:t>ordered</w:t>
      </w:r>
      <w:r>
        <w:rPr>
          <w:spacing w:val="-5"/>
          <w:w w:val="105"/>
          <w:sz w:val="21"/>
        </w:rPr>
        <w:t> </w:t>
      </w:r>
      <w:r>
        <w:rPr>
          <w:w w:val="105"/>
          <w:sz w:val="21"/>
        </w:rPr>
        <w:t>the</w:t>
      </w:r>
      <w:r>
        <w:rPr>
          <w:spacing w:val="-5"/>
          <w:w w:val="105"/>
          <w:sz w:val="21"/>
        </w:rPr>
        <w:t> </w:t>
      </w:r>
      <w:r>
        <w:rPr>
          <w:w w:val="105"/>
          <w:sz w:val="21"/>
        </w:rPr>
        <w:t>affected</w:t>
      </w:r>
      <w:r>
        <w:rPr>
          <w:spacing w:val="-4"/>
          <w:w w:val="105"/>
          <w:sz w:val="21"/>
        </w:rPr>
        <w:t> </w:t>
      </w:r>
      <w:r>
        <w:rPr>
          <w:spacing w:val="-3"/>
          <w:w w:val="105"/>
          <w:sz w:val="21"/>
        </w:rPr>
        <w:t>neighbour</w:t>
      </w:r>
      <w:r>
        <w:rPr>
          <w:spacing w:val="-5"/>
          <w:w w:val="105"/>
          <w:sz w:val="21"/>
        </w:rPr>
        <w:t> </w:t>
      </w:r>
      <w:r>
        <w:rPr>
          <w:spacing w:val="-3"/>
          <w:w w:val="105"/>
          <w:sz w:val="21"/>
        </w:rPr>
        <w:t>rather</w:t>
      </w:r>
      <w:r>
        <w:rPr>
          <w:spacing w:val="-5"/>
          <w:w w:val="105"/>
          <w:sz w:val="21"/>
        </w:rPr>
        <w:t> </w:t>
      </w:r>
      <w:r>
        <w:rPr>
          <w:spacing w:val="-3"/>
          <w:w w:val="105"/>
          <w:sz w:val="21"/>
        </w:rPr>
        <w:t>than</w:t>
      </w:r>
      <w:r>
        <w:rPr>
          <w:spacing w:val="-4"/>
          <w:w w:val="105"/>
          <w:sz w:val="21"/>
        </w:rPr>
        <w:t> </w:t>
      </w:r>
      <w:r>
        <w:rPr>
          <w:w w:val="105"/>
          <w:sz w:val="21"/>
        </w:rPr>
        <w:t>the</w:t>
      </w:r>
      <w:r>
        <w:rPr>
          <w:spacing w:val="-5"/>
          <w:w w:val="105"/>
          <w:sz w:val="21"/>
        </w:rPr>
        <w:t> </w:t>
      </w:r>
      <w:r>
        <w:rPr>
          <w:w w:val="105"/>
          <w:sz w:val="21"/>
        </w:rPr>
        <w:t>owner </w:t>
      </w:r>
      <w:r>
        <w:rPr>
          <w:spacing w:val="-3"/>
          <w:w w:val="105"/>
          <w:sz w:val="21"/>
        </w:rPr>
        <w:t>to </w:t>
      </w:r>
      <w:r>
        <w:rPr>
          <w:spacing w:val="-2"/>
          <w:w w:val="105"/>
          <w:sz w:val="21"/>
        </w:rPr>
        <w:t>pay </w:t>
      </w:r>
      <w:r>
        <w:rPr>
          <w:w w:val="105"/>
          <w:sz w:val="21"/>
        </w:rPr>
        <w:t>the cost of </w:t>
      </w:r>
      <w:r>
        <w:rPr>
          <w:spacing w:val="-3"/>
          <w:w w:val="105"/>
          <w:sz w:val="21"/>
        </w:rPr>
        <w:t>removing </w:t>
      </w:r>
      <w:r>
        <w:rPr>
          <w:w w:val="105"/>
          <w:sz w:val="21"/>
        </w:rPr>
        <w:t>a dying tree </w:t>
      </w:r>
      <w:r>
        <w:rPr>
          <w:spacing w:val="-4"/>
          <w:w w:val="105"/>
          <w:sz w:val="21"/>
        </w:rPr>
        <w:t>likely </w:t>
      </w:r>
      <w:r>
        <w:rPr>
          <w:spacing w:val="-3"/>
          <w:w w:val="105"/>
          <w:sz w:val="21"/>
        </w:rPr>
        <w:t>to </w:t>
      </w:r>
      <w:r>
        <w:rPr>
          <w:w w:val="105"/>
          <w:sz w:val="21"/>
        </w:rPr>
        <w:t>cause </w:t>
      </w:r>
      <w:r>
        <w:rPr>
          <w:spacing w:val="-3"/>
          <w:w w:val="105"/>
          <w:sz w:val="21"/>
        </w:rPr>
        <w:t>future damage.</w:t>
      </w:r>
      <w:r>
        <w:rPr>
          <w:spacing w:val="-3"/>
          <w:w w:val="105"/>
          <w:position w:val="7"/>
          <w:sz w:val="12"/>
        </w:rPr>
        <w:t>275 </w:t>
      </w:r>
      <w:r>
        <w:rPr>
          <w:w w:val="105"/>
          <w:sz w:val="21"/>
        </w:rPr>
        <w:t>In these cases the </w:t>
      </w:r>
      <w:r>
        <w:rPr>
          <w:spacing w:val="-3"/>
          <w:w w:val="105"/>
          <w:sz w:val="21"/>
        </w:rPr>
        <w:t>Court determined that </w:t>
      </w:r>
      <w:r>
        <w:rPr>
          <w:w w:val="105"/>
          <w:sz w:val="21"/>
        </w:rPr>
        <w:t>the tree </w:t>
      </w:r>
      <w:r>
        <w:rPr>
          <w:spacing w:val="-2"/>
          <w:w w:val="105"/>
          <w:sz w:val="21"/>
        </w:rPr>
        <w:t>had </w:t>
      </w:r>
      <w:r>
        <w:rPr>
          <w:w w:val="105"/>
          <w:sz w:val="21"/>
        </w:rPr>
        <w:t>been poisoned by the affected </w:t>
      </w:r>
      <w:r>
        <w:rPr>
          <w:spacing w:val="-3"/>
          <w:w w:val="105"/>
          <w:sz w:val="21"/>
        </w:rPr>
        <w:t>neighbour </w:t>
      </w:r>
      <w:r>
        <w:rPr>
          <w:w w:val="105"/>
          <w:sz w:val="21"/>
        </w:rPr>
        <w:t>and </w:t>
      </w:r>
      <w:r>
        <w:rPr>
          <w:spacing w:val="-3"/>
          <w:w w:val="105"/>
          <w:sz w:val="21"/>
        </w:rPr>
        <w:t>that </w:t>
      </w:r>
      <w:r>
        <w:rPr>
          <w:w w:val="105"/>
          <w:sz w:val="21"/>
        </w:rPr>
        <w:t>this action led </w:t>
      </w:r>
      <w:r>
        <w:rPr>
          <w:spacing w:val="-3"/>
          <w:w w:val="105"/>
          <w:sz w:val="21"/>
        </w:rPr>
        <w:t>to </w:t>
      </w:r>
      <w:r>
        <w:rPr>
          <w:w w:val="105"/>
          <w:sz w:val="21"/>
        </w:rPr>
        <w:t>the tree being classified as dangerous.</w:t>
      </w:r>
      <w:r>
        <w:rPr>
          <w:w w:val="105"/>
          <w:position w:val="7"/>
          <w:sz w:val="12"/>
        </w:rPr>
        <w:t>276 </w:t>
      </w:r>
      <w:r>
        <w:rPr>
          <w:w w:val="105"/>
          <w:sz w:val="21"/>
        </w:rPr>
        <w:t>See </w:t>
      </w:r>
      <w:r>
        <w:rPr>
          <w:spacing w:val="-4"/>
          <w:w w:val="105"/>
          <w:sz w:val="21"/>
        </w:rPr>
        <w:t>Chapter </w:t>
      </w:r>
      <w:r>
        <w:rPr>
          <w:w w:val="105"/>
          <w:sz w:val="21"/>
        </w:rPr>
        <w:t>8 </w:t>
      </w:r>
      <w:r>
        <w:rPr>
          <w:spacing w:val="-3"/>
          <w:w w:val="105"/>
          <w:sz w:val="21"/>
        </w:rPr>
        <w:t>for </w:t>
      </w:r>
      <w:r>
        <w:rPr>
          <w:w w:val="105"/>
          <w:sz w:val="21"/>
        </w:rPr>
        <w:t>a discussion of decision-making </w:t>
      </w:r>
      <w:r>
        <w:rPr>
          <w:spacing w:val="-3"/>
          <w:w w:val="105"/>
          <w:sz w:val="21"/>
        </w:rPr>
        <w:t>principles </w:t>
      </w:r>
      <w:r>
        <w:rPr>
          <w:w w:val="105"/>
          <w:sz w:val="21"/>
        </w:rPr>
        <w:t>in the new</w:t>
      </w:r>
      <w:r>
        <w:rPr>
          <w:spacing w:val="30"/>
          <w:w w:val="105"/>
          <w:sz w:val="21"/>
        </w:rPr>
        <w:t> </w:t>
      </w:r>
      <w:r>
        <w:rPr>
          <w:w w:val="105"/>
          <w:sz w:val="21"/>
        </w:rPr>
        <w:t>Act.</w:t>
      </w:r>
    </w:p>
    <w:p>
      <w:pPr>
        <w:pStyle w:val="Heading7"/>
        <w:spacing w:before="156"/>
      </w:pPr>
      <w:r>
        <w:rPr>
          <w:w w:val="115"/>
        </w:rPr>
        <w:t>Community responses—who can be found liable?</w:t>
      </w:r>
    </w:p>
    <w:p>
      <w:pPr>
        <w:pStyle w:val="ListParagraph"/>
        <w:numPr>
          <w:ilvl w:val="0"/>
          <w:numId w:val="64"/>
        </w:numPr>
        <w:tabs>
          <w:tab w:pos="2381" w:val="left" w:leader="none"/>
          <w:tab w:pos="2382" w:val="left" w:leader="none"/>
        </w:tabs>
        <w:spacing w:line="242" w:lineRule="auto" w:before="143" w:after="0"/>
        <w:ind w:left="2381" w:right="1742" w:hanging="794"/>
        <w:jc w:val="left"/>
        <w:rPr>
          <w:sz w:val="12"/>
        </w:rPr>
      </w:pPr>
      <w:r>
        <w:rPr>
          <w:spacing w:val="-3"/>
          <w:w w:val="105"/>
          <w:sz w:val="21"/>
        </w:rPr>
        <w:t>Many </w:t>
      </w:r>
      <w:r>
        <w:rPr>
          <w:w w:val="105"/>
          <w:sz w:val="21"/>
        </w:rPr>
        <w:t>responses strongly supported </w:t>
      </w:r>
      <w:r>
        <w:rPr>
          <w:spacing w:val="-3"/>
          <w:w w:val="105"/>
          <w:sz w:val="21"/>
        </w:rPr>
        <w:t>liability </w:t>
      </w:r>
      <w:r>
        <w:rPr>
          <w:w w:val="105"/>
          <w:sz w:val="21"/>
        </w:rPr>
        <w:t>attaching </w:t>
      </w:r>
      <w:r>
        <w:rPr>
          <w:spacing w:val="-3"/>
          <w:w w:val="105"/>
          <w:sz w:val="21"/>
        </w:rPr>
        <w:t>to </w:t>
      </w:r>
      <w:r>
        <w:rPr>
          <w:w w:val="105"/>
          <w:sz w:val="21"/>
        </w:rPr>
        <w:t>owners of the </w:t>
      </w:r>
      <w:r>
        <w:rPr>
          <w:spacing w:val="-3"/>
          <w:w w:val="105"/>
          <w:sz w:val="21"/>
        </w:rPr>
        <w:t>land </w:t>
      </w:r>
      <w:r>
        <w:rPr>
          <w:w w:val="105"/>
          <w:sz w:val="21"/>
        </w:rPr>
        <w:t>on which the</w:t>
      </w:r>
      <w:r>
        <w:rPr>
          <w:spacing w:val="-7"/>
          <w:w w:val="105"/>
          <w:sz w:val="21"/>
        </w:rPr>
        <w:t> </w:t>
      </w:r>
      <w:r>
        <w:rPr>
          <w:w w:val="105"/>
          <w:sz w:val="21"/>
        </w:rPr>
        <w:t>tree</w:t>
      </w:r>
      <w:r>
        <w:rPr>
          <w:spacing w:val="-7"/>
          <w:w w:val="105"/>
          <w:sz w:val="21"/>
        </w:rPr>
        <w:t> </w:t>
      </w:r>
      <w:r>
        <w:rPr>
          <w:w w:val="105"/>
          <w:sz w:val="21"/>
        </w:rPr>
        <w:t>is</w:t>
      </w:r>
      <w:r>
        <w:rPr>
          <w:spacing w:val="-6"/>
          <w:w w:val="105"/>
          <w:sz w:val="21"/>
        </w:rPr>
        <w:t> </w:t>
      </w:r>
      <w:r>
        <w:rPr>
          <w:spacing w:val="-3"/>
          <w:w w:val="105"/>
          <w:sz w:val="21"/>
        </w:rPr>
        <w:t>situated.</w:t>
      </w:r>
      <w:r>
        <w:rPr>
          <w:spacing w:val="-3"/>
          <w:w w:val="105"/>
          <w:position w:val="7"/>
          <w:sz w:val="12"/>
        </w:rPr>
        <w:t>277</w:t>
      </w:r>
      <w:r>
        <w:rPr>
          <w:spacing w:val="16"/>
          <w:w w:val="105"/>
          <w:position w:val="7"/>
          <w:sz w:val="12"/>
        </w:rPr>
        <w:t> </w:t>
      </w:r>
      <w:r>
        <w:rPr>
          <w:w w:val="105"/>
          <w:sz w:val="21"/>
        </w:rPr>
        <w:t>One</w:t>
      </w:r>
      <w:r>
        <w:rPr>
          <w:spacing w:val="-7"/>
          <w:w w:val="105"/>
          <w:sz w:val="21"/>
        </w:rPr>
        <w:t> </w:t>
      </w:r>
      <w:r>
        <w:rPr>
          <w:spacing w:val="-3"/>
          <w:w w:val="105"/>
          <w:sz w:val="21"/>
        </w:rPr>
        <w:t>submission</w:t>
      </w:r>
      <w:r>
        <w:rPr>
          <w:spacing w:val="-7"/>
          <w:w w:val="105"/>
          <w:sz w:val="21"/>
        </w:rPr>
        <w:t> </w:t>
      </w:r>
      <w:r>
        <w:rPr>
          <w:w w:val="105"/>
          <w:sz w:val="21"/>
        </w:rPr>
        <w:t>stated,</w:t>
      </w:r>
      <w:r>
        <w:rPr>
          <w:spacing w:val="-6"/>
          <w:w w:val="105"/>
          <w:sz w:val="21"/>
        </w:rPr>
        <w:t> </w:t>
      </w:r>
      <w:r>
        <w:rPr>
          <w:w w:val="105"/>
          <w:sz w:val="21"/>
        </w:rPr>
        <w:t>‘Putting</w:t>
      </w:r>
      <w:r>
        <w:rPr>
          <w:spacing w:val="-7"/>
          <w:w w:val="105"/>
          <w:sz w:val="21"/>
        </w:rPr>
        <w:t> </w:t>
      </w:r>
      <w:r>
        <w:rPr>
          <w:w w:val="105"/>
          <w:sz w:val="21"/>
        </w:rPr>
        <w:t>the</w:t>
      </w:r>
      <w:r>
        <w:rPr>
          <w:spacing w:val="-7"/>
          <w:w w:val="105"/>
          <w:sz w:val="21"/>
        </w:rPr>
        <w:t> </w:t>
      </w:r>
      <w:r>
        <w:rPr>
          <w:spacing w:val="-3"/>
          <w:w w:val="105"/>
          <w:sz w:val="21"/>
        </w:rPr>
        <w:t>onus</w:t>
      </w:r>
      <w:r>
        <w:rPr>
          <w:spacing w:val="-6"/>
          <w:w w:val="105"/>
          <w:sz w:val="21"/>
        </w:rPr>
        <w:t> </w:t>
      </w:r>
      <w:r>
        <w:rPr>
          <w:w w:val="105"/>
          <w:sz w:val="21"/>
        </w:rPr>
        <w:t>on</w:t>
      </w:r>
      <w:r>
        <w:rPr>
          <w:spacing w:val="-7"/>
          <w:w w:val="105"/>
          <w:sz w:val="21"/>
        </w:rPr>
        <w:t> </w:t>
      </w:r>
      <w:r>
        <w:rPr>
          <w:w w:val="105"/>
          <w:sz w:val="21"/>
        </w:rPr>
        <w:t>tree</w:t>
      </w:r>
      <w:r>
        <w:rPr>
          <w:spacing w:val="-7"/>
          <w:w w:val="105"/>
          <w:sz w:val="21"/>
        </w:rPr>
        <w:t> </w:t>
      </w:r>
      <w:r>
        <w:rPr>
          <w:w w:val="105"/>
          <w:sz w:val="21"/>
        </w:rPr>
        <w:t>owners</w:t>
      </w:r>
      <w:r>
        <w:rPr>
          <w:spacing w:val="-6"/>
          <w:w w:val="105"/>
          <w:sz w:val="21"/>
        </w:rPr>
        <w:t> </w:t>
      </w:r>
      <w:r>
        <w:rPr>
          <w:w w:val="105"/>
          <w:sz w:val="21"/>
        </w:rPr>
        <w:t>supports the </w:t>
      </w:r>
      <w:r>
        <w:rPr>
          <w:spacing w:val="-3"/>
          <w:w w:val="105"/>
          <w:sz w:val="21"/>
        </w:rPr>
        <w:t>concept </w:t>
      </w:r>
      <w:r>
        <w:rPr>
          <w:w w:val="105"/>
          <w:sz w:val="21"/>
        </w:rPr>
        <w:t>of </w:t>
      </w:r>
      <w:r>
        <w:rPr>
          <w:spacing w:val="-3"/>
          <w:w w:val="105"/>
          <w:sz w:val="21"/>
        </w:rPr>
        <w:t>prevention, </w:t>
      </w:r>
      <w:r>
        <w:rPr>
          <w:w w:val="105"/>
          <w:sz w:val="21"/>
        </w:rPr>
        <w:t>which is always the very best </w:t>
      </w:r>
      <w:r>
        <w:rPr>
          <w:spacing w:val="-3"/>
          <w:w w:val="105"/>
          <w:sz w:val="21"/>
        </w:rPr>
        <w:t>option, </w:t>
      </w:r>
      <w:r>
        <w:rPr>
          <w:w w:val="105"/>
          <w:sz w:val="21"/>
        </w:rPr>
        <w:t>especially when we </w:t>
      </w:r>
      <w:r>
        <w:rPr>
          <w:spacing w:val="-3"/>
          <w:w w:val="105"/>
          <w:sz w:val="21"/>
        </w:rPr>
        <w:t>are talking </w:t>
      </w:r>
      <w:r>
        <w:rPr>
          <w:w w:val="105"/>
          <w:sz w:val="21"/>
        </w:rPr>
        <w:t>about </w:t>
      </w:r>
      <w:r>
        <w:rPr>
          <w:spacing w:val="-3"/>
          <w:w w:val="105"/>
          <w:sz w:val="21"/>
        </w:rPr>
        <w:t>potential </w:t>
      </w:r>
      <w:r>
        <w:rPr>
          <w:w w:val="105"/>
          <w:sz w:val="21"/>
        </w:rPr>
        <w:t>threats </w:t>
      </w:r>
      <w:r>
        <w:rPr>
          <w:spacing w:val="-3"/>
          <w:w w:val="105"/>
          <w:sz w:val="21"/>
        </w:rPr>
        <w:t>to people’s</w:t>
      </w:r>
      <w:r>
        <w:rPr>
          <w:spacing w:val="37"/>
          <w:w w:val="105"/>
          <w:sz w:val="21"/>
        </w:rPr>
        <w:t> </w:t>
      </w:r>
      <w:r>
        <w:rPr>
          <w:spacing w:val="-4"/>
          <w:w w:val="105"/>
          <w:sz w:val="21"/>
        </w:rPr>
        <w:t>lives.’</w:t>
      </w:r>
      <w:r>
        <w:rPr>
          <w:spacing w:val="-4"/>
          <w:w w:val="105"/>
          <w:position w:val="7"/>
          <w:sz w:val="12"/>
        </w:rPr>
        <w:t>278</w:t>
      </w:r>
    </w:p>
    <w:p>
      <w:pPr>
        <w:pStyle w:val="ListParagraph"/>
        <w:numPr>
          <w:ilvl w:val="0"/>
          <w:numId w:val="64"/>
        </w:numPr>
        <w:tabs>
          <w:tab w:pos="2381" w:val="left" w:leader="none"/>
          <w:tab w:pos="2382" w:val="left" w:leader="none"/>
        </w:tabs>
        <w:spacing w:line="242" w:lineRule="auto" w:before="124" w:after="0"/>
        <w:ind w:left="2381" w:right="1935" w:hanging="794"/>
        <w:jc w:val="left"/>
        <w:rPr>
          <w:sz w:val="12"/>
        </w:rPr>
      </w:pPr>
      <w:r>
        <w:rPr>
          <w:sz w:val="21"/>
        </w:rPr>
        <w:t>One </w:t>
      </w:r>
      <w:r>
        <w:rPr>
          <w:spacing w:val="-3"/>
          <w:sz w:val="21"/>
        </w:rPr>
        <w:t>submission noted that </w:t>
      </w:r>
      <w:r>
        <w:rPr>
          <w:sz w:val="21"/>
        </w:rPr>
        <w:t>mere ownership of the </w:t>
      </w:r>
      <w:r>
        <w:rPr>
          <w:spacing w:val="-3"/>
          <w:sz w:val="21"/>
        </w:rPr>
        <w:t>land </w:t>
      </w:r>
      <w:r>
        <w:rPr>
          <w:sz w:val="21"/>
        </w:rPr>
        <w:t>on which the tree is located should </w:t>
      </w:r>
      <w:r>
        <w:rPr>
          <w:spacing w:val="-2"/>
          <w:sz w:val="21"/>
        </w:rPr>
        <w:t>not </w:t>
      </w:r>
      <w:r>
        <w:rPr>
          <w:sz w:val="21"/>
        </w:rPr>
        <w:t>by itself provide enough justification </w:t>
      </w:r>
      <w:r>
        <w:rPr>
          <w:spacing w:val="-3"/>
          <w:sz w:val="21"/>
        </w:rPr>
        <w:t>for liability to </w:t>
      </w:r>
      <w:r>
        <w:rPr>
          <w:sz w:val="21"/>
        </w:rPr>
        <w:t>be imposed.</w:t>
      </w:r>
      <w:r>
        <w:rPr>
          <w:position w:val="7"/>
          <w:sz w:val="12"/>
        </w:rPr>
        <w:t>279 </w:t>
      </w:r>
      <w:r>
        <w:rPr>
          <w:spacing w:val="-4"/>
          <w:sz w:val="21"/>
        </w:rPr>
        <w:t>Rather, </w:t>
      </w:r>
      <w:r>
        <w:rPr>
          <w:sz w:val="21"/>
        </w:rPr>
        <w:t>it was suggested </w:t>
      </w:r>
      <w:r>
        <w:rPr>
          <w:spacing w:val="-3"/>
          <w:sz w:val="21"/>
        </w:rPr>
        <w:t>that </w:t>
      </w:r>
      <w:r>
        <w:rPr>
          <w:sz w:val="21"/>
        </w:rPr>
        <w:t>an element of </w:t>
      </w:r>
      <w:r>
        <w:rPr>
          <w:spacing w:val="-3"/>
          <w:sz w:val="21"/>
        </w:rPr>
        <w:t>negligence </w:t>
      </w:r>
      <w:r>
        <w:rPr>
          <w:sz w:val="21"/>
        </w:rPr>
        <w:t>should also be</w:t>
      </w:r>
      <w:r>
        <w:rPr>
          <w:spacing w:val="2"/>
          <w:sz w:val="21"/>
        </w:rPr>
        <w:t> </w:t>
      </w:r>
      <w:r>
        <w:rPr>
          <w:sz w:val="21"/>
        </w:rPr>
        <w:t>required.</w:t>
      </w:r>
      <w:r>
        <w:rPr>
          <w:position w:val="7"/>
          <w:sz w:val="12"/>
        </w:rPr>
        <w:t>280</w:t>
      </w:r>
    </w:p>
    <w:p>
      <w:pPr>
        <w:pStyle w:val="ListParagraph"/>
        <w:numPr>
          <w:ilvl w:val="0"/>
          <w:numId w:val="64"/>
        </w:numPr>
        <w:tabs>
          <w:tab w:pos="2380" w:val="left" w:leader="none"/>
          <w:tab w:pos="2381" w:val="left" w:leader="none"/>
        </w:tabs>
        <w:spacing w:line="242" w:lineRule="auto" w:before="124" w:after="0"/>
        <w:ind w:left="2381" w:right="2235" w:hanging="794"/>
        <w:jc w:val="left"/>
        <w:rPr>
          <w:sz w:val="12"/>
        </w:rPr>
      </w:pPr>
      <w:r>
        <w:rPr>
          <w:sz w:val="21"/>
        </w:rPr>
        <w:t>Arborist Dr Karen </w:t>
      </w:r>
      <w:r>
        <w:rPr>
          <w:spacing w:val="-3"/>
          <w:sz w:val="21"/>
        </w:rPr>
        <w:t>Smith </w:t>
      </w:r>
      <w:r>
        <w:rPr>
          <w:sz w:val="21"/>
        </w:rPr>
        <w:t>stated </w:t>
      </w:r>
      <w:r>
        <w:rPr>
          <w:spacing w:val="-3"/>
          <w:sz w:val="21"/>
        </w:rPr>
        <w:t>that </w:t>
      </w:r>
      <w:r>
        <w:rPr>
          <w:spacing w:val="-7"/>
          <w:sz w:val="21"/>
        </w:rPr>
        <w:t>‘a </w:t>
      </w:r>
      <w:r>
        <w:rPr>
          <w:spacing w:val="-3"/>
          <w:sz w:val="21"/>
        </w:rPr>
        <w:t>tenant </w:t>
      </w:r>
      <w:r>
        <w:rPr>
          <w:sz w:val="21"/>
        </w:rPr>
        <w:t>should </w:t>
      </w:r>
      <w:r>
        <w:rPr>
          <w:spacing w:val="-2"/>
          <w:sz w:val="21"/>
        </w:rPr>
        <w:t>not </w:t>
      </w:r>
      <w:r>
        <w:rPr>
          <w:sz w:val="21"/>
        </w:rPr>
        <w:t>bear </w:t>
      </w:r>
      <w:r>
        <w:rPr>
          <w:spacing w:val="-3"/>
          <w:sz w:val="21"/>
        </w:rPr>
        <w:t>responsibility for </w:t>
      </w:r>
      <w:r>
        <w:rPr>
          <w:sz w:val="21"/>
        </w:rPr>
        <w:t>tree </w:t>
      </w:r>
      <w:r>
        <w:rPr>
          <w:spacing w:val="-4"/>
          <w:sz w:val="21"/>
        </w:rPr>
        <w:t>damage’.</w:t>
      </w:r>
      <w:r>
        <w:rPr>
          <w:spacing w:val="-4"/>
          <w:position w:val="7"/>
          <w:sz w:val="12"/>
        </w:rPr>
        <w:t>281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r>
        <w:rPr/>
        <w:pict>
          <v:line style="position:absolute;mso-position-horizontal-relative:page;mso-position-vertical-relative:paragraph;z-index:4880;mso-wrap-distance-left:0;mso-wrap-distance-right:0" from="79.370102pt,20.434856pt" to="515.905102pt,20.434856pt" stroked="true" strokeweight="1pt" strokecolor="#c9d2cb">
            <v:stroke dashstyle="solid"/>
            <w10:wrap type="topAndBottom"/>
          </v:line>
        </w:pict>
      </w:r>
    </w:p>
    <w:p>
      <w:pPr>
        <w:pStyle w:val="ListParagraph"/>
        <w:numPr>
          <w:ilvl w:val="0"/>
          <w:numId w:val="72"/>
        </w:numPr>
        <w:tabs>
          <w:tab w:pos="2380" w:val="left" w:leader="none"/>
          <w:tab w:pos="2382" w:val="left" w:leader="none"/>
        </w:tabs>
        <w:spacing w:line="240" w:lineRule="auto" w:before="117" w:after="0"/>
        <w:ind w:left="2381" w:right="0" w:hanging="794"/>
        <w:jc w:val="left"/>
        <w:rPr>
          <w:sz w:val="13"/>
        </w:rPr>
      </w:pPr>
      <w:r>
        <w:rPr>
          <w:i/>
          <w:w w:val="105"/>
          <w:sz w:val="13"/>
        </w:rPr>
        <w:t>Neighbourhood Disputes About Plants Act </w:t>
      </w:r>
      <w:r>
        <w:rPr>
          <w:i/>
          <w:spacing w:val="-4"/>
          <w:w w:val="105"/>
          <w:sz w:val="13"/>
        </w:rPr>
        <w:t>2017 </w:t>
      </w:r>
      <w:r>
        <w:rPr>
          <w:w w:val="105"/>
          <w:sz w:val="13"/>
        </w:rPr>
        <w:t>(Tas) s</w:t>
      </w:r>
      <w:r>
        <w:rPr>
          <w:spacing w:val="16"/>
          <w:w w:val="105"/>
          <w:sz w:val="13"/>
        </w:rPr>
        <w:t> </w:t>
      </w:r>
      <w:r>
        <w:rPr>
          <w:w w:val="105"/>
          <w:sz w:val="13"/>
        </w:rPr>
        <w:t>3.</w:t>
      </w:r>
    </w:p>
    <w:p>
      <w:pPr>
        <w:pStyle w:val="ListParagraph"/>
        <w:numPr>
          <w:ilvl w:val="0"/>
          <w:numId w:val="72"/>
        </w:numPr>
        <w:tabs>
          <w:tab w:pos="2381" w:val="left" w:leader="none"/>
          <w:tab w:pos="2382" w:val="left" w:leader="none"/>
        </w:tabs>
        <w:spacing w:line="240" w:lineRule="auto" w:before="1" w:after="0"/>
        <w:ind w:left="2381" w:right="0" w:hanging="794"/>
        <w:jc w:val="left"/>
        <w:rPr>
          <w:sz w:val="13"/>
        </w:rPr>
      </w:pPr>
      <w:r>
        <w:rPr>
          <w:sz w:val="13"/>
        </w:rPr>
        <w:t>Ibid  s</w:t>
      </w:r>
      <w:r>
        <w:rPr>
          <w:spacing w:val="9"/>
          <w:sz w:val="13"/>
        </w:rPr>
        <w:t> </w:t>
      </w:r>
      <w:r>
        <w:rPr>
          <w:spacing w:val="-6"/>
          <w:sz w:val="13"/>
        </w:rPr>
        <w:t>11.</w:t>
      </w:r>
    </w:p>
    <w:p>
      <w:pPr>
        <w:pStyle w:val="ListParagraph"/>
        <w:numPr>
          <w:ilvl w:val="0"/>
          <w:numId w:val="72"/>
        </w:numPr>
        <w:tabs>
          <w:tab w:pos="2381" w:val="left" w:leader="none"/>
          <w:tab w:pos="2382" w:val="left" w:leader="none"/>
        </w:tabs>
        <w:spacing w:line="240" w:lineRule="auto" w:before="2" w:after="0"/>
        <w:ind w:left="2381" w:right="0" w:hanging="794"/>
        <w:jc w:val="left"/>
        <w:rPr>
          <w:sz w:val="13"/>
        </w:rPr>
      </w:pPr>
      <w:r>
        <w:rPr>
          <w:sz w:val="13"/>
        </w:rPr>
        <w:t>Ibid  s</w:t>
      </w:r>
      <w:r>
        <w:rPr>
          <w:spacing w:val="4"/>
          <w:sz w:val="13"/>
        </w:rPr>
        <w:t> </w:t>
      </w:r>
      <w:r>
        <w:rPr>
          <w:sz w:val="13"/>
        </w:rPr>
        <w:t>10.</w:t>
      </w:r>
    </w:p>
    <w:p>
      <w:pPr>
        <w:pStyle w:val="ListParagraph"/>
        <w:numPr>
          <w:ilvl w:val="0"/>
          <w:numId w:val="72"/>
        </w:numPr>
        <w:tabs>
          <w:tab w:pos="2381" w:val="left" w:leader="none"/>
          <w:tab w:pos="2382" w:val="left" w:leader="none"/>
        </w:tabs>
        <w:spacing w:line="240" w:lineRule="auto" w:before="1" w:after="0"/>
        <w:ind w:left="2381" w:right="0" w:hanging="794"/>
        <w:jc w:val="left"/>
        <w:rPr>
          <w:sz w:val="13"/>
        </w:rPr>
      </w:pPr>
      <w:r>
        <w:rPr>
          <w:w w:val="105"/>
          <w:sz w:val="13"/>
        </w:rPr>
        <w:t>Tasmania,</w:t>
      </w:r>
      <w:r>
        <w:rPr>
          <w:spacing w:val="5"/>
          <w:w w:val="105"/>
          <w:sz w:val="13"/>
        </w:rPr>
        <w:t> </w:t>
      </w:r>
      <w:r>
        <w:rPr>
          <w:i/>
          <w:w w:val="105"/>
          <w:sz w:val="13"/>
        </w:rPr>
        <w:t>Parliamentary</w:t>
      </w:r>
      <w:r>
        <w:rPr>
          <w:i/>
          <w:spacing w:val="6"/>
          <w:w w:val="105"/>
          <w:sz w:val="13"/>
        </w:rPr>
        <w:t> </w:t>
      </w:r>
      <w:r>
        <w:rPr>
          <w:i/>
          <w:w w:val="105"/>
          <w:sz w:val="13"/>
        </w:rPr>
        <w:t>Debates</w:t>
      </w:r>
      <w:r>
        <w:rPr>
          <w:w w:val="105"/>
          <w:sz w:val="13"/>
        </w:rPr>
        <w:t>,</w:t>
      </w:r>
      <w:r>
        <w:rPr>
          <w:spacing w:val="5"/>
          <w:w w:val="105"/>
          <w:sz w:val="13"/>
        </w:rPr>
        <w:t> </w:t>
      </w:r>
      <w:r>
        <w:rPr>
          <w:w w:val="105"/>
          <w:sz w:val="13"/>
        </w:rPr>
        <w:t>House</w:t>
      </w:r>
      <w:r>
        <w:rPr>
          <w:spacing w:val="6"/>
          <w:w w:val="105"/>
          <w:sz w:val="13"/>
        </w:rPr>
        <w:t> </w:t>
      </w:r>
      <w:r>
        <w:rPr>
          <w:w w:val="105"/>
          <w:sz w:val="13"/>
        </w:rPr>
        <w:t>of</w:t>
      </w:r>
      <w:r>
        <w:rPr>
          <w:spacing w:val="5"/>
          <w:w w:val="105"/>
          <w:sz w:val="13"/>
        </w:rPr>
        <w:t> </w:t>
      </w:r>
      <w:r>
        <w:rPr>
          <w:w w:val="105"/>
          <w:sz w:val="13"/>
        </w:rPr>
        <w:t>Assembly,</w:t>
      </w:r>
      <w:r>
        <w:rPr>
          <w:spacing w:val="6"/>
          <w:w w:val="105"/>
          <w:sz w:val="13"/>
        </w:rPr>
        <w:t> </w:t>
      </w:r>
      <w:r>
        <w:rPr>
          <w:w w:val="105"/>
          <w:sz w:val="13"/>
        </w:rPr>
        <w:t>4</w:t>
      </w:r>
      <w:r>
        <w:rPr>
          <w:spacing w:val="5"/>
          <w:w w:val="105"/>
          <w:sz w:val="13"/>
        </w:rPr>
        <w:t> </w:t>
      </w:r>
      <w:r>
        <w:rPr>
          <w:w w:val="105"/>
          <w:sz w:val="13"/>
        </w:rPr>
        <w:t>April</w:t>
      </w:r>
      <w:r>
        <w:rPr>
          <w:spacing w:val="6"/>
          <w:w w:val="105"/>
          <w:sz w:val="13"/>
        </w:rPr>
        <w:t> </w:t>
      </w:r>
      <w:r>
        <w:rPr>
          <w:spacing w:val="-5"/>
          <w:w w:val="105"/>
          <w:sz w:val="13"/>
        </w:rPr>
        <w:t>2017,</w:t>
      </w:r>
      <w:r>
        <w:rPr>
          <w:spacing w:val="6"/>
          <w:w w:val="105"/>
          <w:sz w:val="13"/>
        </w:rPr>
        <w:t> </w:t>
      </w:r>
      <w:r>
        <w:rPr>
          <w:w w:val="105"/>
          <w:sz w:val="13"/>
        </w:rPr>
        <w:t>3</w:t>
      </w:r>
      <w:r>
        <w:rPr>
          <w:spacing w:val="5"/>
          <w:w w:val="105"/>
          <w:sz w:val="13"/>
        </w:rPr>
        <w:t> </w:t>
      </w:r>
      <w:r>
        <w:rPr>
          <w:w w:val="105"/>
          <w:sz w:val="13"/>
        </w:rPr>
        <w:t>(Rene</w:t>
      </w:r>
      <w:r>
        <w:rPr>
          <w:spacing w:val="6"/>
          <w:w w:val="105"/>
          <w:sz w:val="13"/>
        </w:rPr>
        <w:t> </w:t>
      </w:r>
      <w:r>
        <w:rPr>
          <w:w w:val="105"/>
          <w:sz w:val="13"/>
        </w:rPr>
        <w:t>Hidding);</w:t>
      </w:r>
      <w:r>
        <w:rPr>
          <w:spacing w:val="5"/>
          <w:w w:val="105"/>
          <w:sz w:val="13"/>
        </w:rPr>
        <w:t> </w:t>
      </w:r>
      <w:r>
        <w:rPr>
          <w:w w:val="105"/>
          <w:sz w:val="13"/>
        </w:rPr>
        <w:t>Neighbourhood</w:t>
      </w:r>
      <w:r>
        <w:rPr>
          <w:spacing w:val="6"/>
          <w:w w:val="105"/>
          <w:sz w:val="13"/>
        </w:rPr>
        <w:t> </w:t>
      </w:r>
      <w:r>
        <w:rPr>
          <w:w w:val="105"/>
          <w:sz w:val="13"/>
        </w:rPr>
        <w:t>Disputes</w:t>
      </w:r>
      <w:r>
        <w:rPr>
          <w:spacing w:val="5"/>
          <w:w w:val="105"/>
          <w:sz w:val="13"/>
        </w:rPr>
        <w:t> </w:t>
      </w:r>
      <w:r>
        <w:rPr>
          <w:w w:val="105"/>
          <w:sz w:val="13"/>
        </w:rPr>
        <w:t>About</w:t>
      </w:r>
      <w:r>
        <w:rPr>
          <w:spacing w:val="6"/>
          <w:w w:val="105"/>
          <w:sz w:val="13"/>
        </w:rPr>
        <w:t> </w:t>
      </w:r>
      <w:r>
        <w:rPr>
          <w:w w:val="105"/>
          <w:sz w:val="13"/>
        </w:rPr>
        <w:t>Plants</w:t>
      </w:r>
      <w:r>
        <w:rPr>
          <w:spacing w:val="5"/>
          <w:w w:val="105"/>
          <w:sz w:val="13"/>
        </w:rPr>
        <w:t> </w:t>
      </w:r>
      <w:r>
        <w:rPr>
          <w:w w:val="105"/>
          <w:sz w:val="13"/>
        </w:rPr>
        <w:t>Bill</w:t>
      </w:r>
      <w:r>
        <w:rPr>
          <w:spacing w:val="6"/>
          <w:w w:val="105"/>
          <w:sz w:val="13"/>
        </w:rPr>
        <w:t> </w:t>
      </w:r>
      <w:r>
        <w:rPr>
          <w:spacing w:val="-3"/>
          <w:w w:val="105"/>
          <w:sz w:val="13"/>
        </w:rPr>
        <w:t>2017</w:t>
      </w:r>
      <w:r>
        <w:rPr>
          <w:spacing w:val="6"/>
          <w:w w:val="105"/>
          <w:sz w:val="13"/>
        </w:rPr>
        <w:t> </w:t>
      </w:r>
      <w:r>
        <w:rPr>
          <w:w w:val="105"/>
          <w:sz w:val="13"/>
        </w:rPr>
        <w:t>(Tas).</w:t>
      </w:r>
    </w:p>
    <w:p>
      <w:pPr>
        <w:pStyle w:val="ListParagraph"/>
        <w:numPr>
          <w:ilvl w:val="0"/>
          <w:numId w:val="72"/>
        </w:numPr>
        <w:tabs>
          <w:tab w:pos="2381" w:val="left" w:leader="none"/>
          <w:tab w:pos="2382" w:val="left" w:leader="none"/>
        </w:tabs>
        <w:spacing w:line="240" w:lineRule="auto" w:before="1" w:after="0"/>
        <w:ind w:left="2381" w:right="0" w:hanging="794"/>
        <w:jc w:val="left"/>
        <w:rPr>
          <w:sz w:val="13"/>
        </w:rPr>
      </w:pPr>
      <w:r>
        <w:rPr>
          <w:sz w:val="13"/>
        </w:rPr>
        <w:t>This</w:t>
      </w:r>
      <w:r>
        <w:rPr>
          <w:spacing w:val="6"/>
          <w:sz w:val="13"/>
        </w:rPr>
        <w:t> </w:t>
      </w:r>
      <w:r>
        <w:rPr>
          <w:sz w:val="13"/>
        </w:rPr>
        <w:t>is</w:t>
      </w:r>
      <w:r>
        <w:rPr>
          <w:spacing w:val="6"/>
          <w:sz w:val="13"/>
        </w:rPr>
        <w:t> </w:t>
      </w:r>
      <w:r>
        <w:rPr>
          <w:sz w:val="13"/>
        </w:rPr>
        <w:t>considered</w:t>
      </w:r>
      <w:r>
        <w:rPr>
          <w:spacing w:val="7"/>
          <w:sz w:val="13"/>
        </w:rPr>
        <w:t> </w:t>
      </w:r>
      <w:r>
        <w:rPr>
          <w:sz w:val="13"/>
        </w:rPr>
        <w:t>in</w:t>
      </w:r>
      <w:r>
        <w:rPr>
          <w:spacing w:val="6"/>
          <w:sz w:val="13"/>
        </w:rPr>
        <w:t> </w:t>
      </w:r>
      <w:r>
        <w:rPr>
          <w:sz w:val="13"/>
        </w:rPr>
        <w:t>more</w:t>
      </w:r>
      <w:r>
        <w:rPr>
          <w:spacing w:val="7"/>
          <w:sz w:val="13"/>
        </w:rPr>
        <w:t> </w:t>
      </w:r>
      <w:r>
        <w:rPr>
          <w:sz w:val="13"/>
        </w:rPr>
        <w:t>detail</w:t>
      </w:r>
      <w:r>
        <w:rPr>
          <w:spacing w:val="6"/>
          <w:sz w:val="13"/>
        </w:rPr>
        <w:t> </w:t>
      </w:r>
      <w:r>
        <w:rPr>
          <w:sz w:val="13"/>
        </w:rPr>
        <w:t>in</w:t>
      </w:r>
      <w:r>
        <w:rPr>
          <w:spacing w:val="7"/>
          <w:sz w:val="13"/>
        </w:rPr>
        <w:t> </w:t>
      </w:r>
      <w:r>
        <w:rPr>
          <w:sz w:val="13"/>
        </w:rPr>
        <w:t>Ch</w:t>
      </w:r>
      <w:r>
        <w:rPr>
          <w:spacing w:val="6"/>
          <w:sz w:val="13"/>
        </w:rPr>
        <w:t> </w:t>
      </w:r>
      <w:r>
        <w:rPr>
          <w:sz w:val="13"/>
        </w:rPr>
        <w:t>8.</w:t>
      </w:r>
    </w:p>
    <w:p>
      <w:pPr>
        <w:pStyle w:val="ListParagraph"/>
        <w:numPr>
          <w:ilvl w:val="0"/>
          <w:numId w:val="72"/>
        </w:numPr>
        <w:tabs>
          <w:tab w:pos="2381" w:val="left" w:leader="none"/>
          <w:tab w:pos="2382" w:val="left" w:leader="none"/>
        </w:tabs>
        <w:spacing w:line="240" w:lineRule="auto" w:before="2" w:after="0"/>
        <w:ind w:left="2381" w:right="0" w:hanging="794"/>
        <w:jc w:val="left"/>
        <w:rPr>
          <w:sz w:val="13"/>
        </w:rPr>
      </w:pPr>
      <w:r>
        <w:rPr>
          <w:w w:val="105"/>
          <w:sz w:val="13"/>
        </w:rPr>
        <w:t>See,</w:t>
      </w:r>
      <w:r>
        <w:rPr>
          <w:spacing w:val="7"/>
          <w:w w:val="105"/>
          <w:sz w:val="13"/>
        </w:rPr>
        <w:t> </w:t>
      </w:r>
      <w:r>
        <w:rPr>
          <w:w w:val="105"/>
          <w:sz w:val="13"/>
        </w:rPr>
        <w:t>eg,</w:t>
      </w:r>
      <w:r>
        <w:rPr>
          <w:spacing w:val="7"/>
          <w:w w:val="105"/>
          <w:sz w:val="13"/>
        </w:rPr>
        <w:t> </w:t>
      </w:r>
      <w:r>
        <w:rPr>
          <w:i/>
          <w:w w:val="105"/>
          <w:sz w:val="13"/>
        </w:rPr>
        <w:t>Horn</w:t>
      </w:r>
      <w:r>
        <w:rPr>
          <w:i/>
          <w:spacing w:val="7"/>
          <w:w w:val="105"/>
          <w:sz w:val="13"/>
        </w:rPr>
        <w:t> </w:t>
      </w:r>
      <w:r>
        <w:rPr>
          <w:i/>
          <w:w w:val="105"/>
          <w:sz w:val="13"/>
        </w:rPr>
        <w:t>v</w:t>
      </w:r>
      <w:r>
        <w:rPr>
          <w:i/>
          <w:spacing w:val="7"/>
          <w:w w:val="105"/>
          <w:sz w:val="13"/>
        </w:rPr>
        <w:t> </w:t>
      </w:r>
      <w:r>
        <w:rPr>
          <w:i/>
          <w:w w:val="105"/>
          <w:sz w:val="13"/>
        </w:rPr>
        <w:t>Latter</w:t>
      </w:r>
      <w:r>
        <w:rPr>
          <w:i/>
          <w:spacing w:val="7"/>
          <w:w w:val="105"/>
          <w:sz w:val="13"/>
        </w:rPr>
        <w:t> </w:t>
      </w:r>
      <w:r>
        <w:rPr>
          <w:w w:val="105"/>
          <w:sz w:val="13"/>
        </w:rPr>
        <w:t>[2007]</w:t>
      </w:r>
      <w:r>
        <w:rPr>
          <w:spacing w:val="7"/>
          <w:w w:val="105"/>
          <w:sz w:val="13"/>
        </w:rPr>
        <w:t> </w:t>
      </w:r>
      <w:r>
        <w:rPr>
          <w:w w:val="105"/>
          <w:sz w:val="13"/>
        </w:rPr>
        <w:t>NSWLEC</w:t>
      </w:r>
      <w:r>
        <w:rPr>
          <w:spacing w:val="7"/>
          <w:w w:val="105"/>
          <w:sz w:val="13"/>
        </w:rPr>
        <w:t> </w:t>
      </w:r>
      <w:r>
        <w:rPr>
          <w:w w:val="105"/>
          <w:sz w:val="13"/>
        </w:rPr>
        <w:t>744;</w:t>
      </w:r>
      <w:r>
        <w:rPr>
          <w:spacing w:val="7"/>
          <w:w w:val="105"/>
          <w:sz w:val="13"/>
        </w:rPr>
        <w:t> </w:t>
      </w:r>
      <w:r>
        <w:rPr>
          <w:i/>
          <w:w w:val="105"/>
          <w:sz w:val="13"/>
        </w:rPr>
        <w:t>Joaquim</w:t>
      </w:r>
      <w:r>
        <w:rPr>
          <w:i/>
          <w:spacing w:val="7"/>
          <w:w w:val="105"/>
          <w:sz w:val="13"/>
        </w:rPr>
        <w:t> </w:t>
      </w:r>
      <w:r>
        <w:rPr>
          <w:i/>
          <w:w w:val="105"/>
          <w:sz w:val="13"/>
        </w:rPr>
        <w:t>v</w:t>
      </w:r>
      <w:r>
        <w:rPr>
          <w:i/>
          <w:spacing w:val="7"/>
          <w:w w:val="105"/>
          <w:sz w:val="13"/>
        </w:rPr>
        <w:t> </w:t>
      </w:r>
      <w:r>
        <w:rPr>
          <w:i/>
          <w:w w:val="105"/>
          <w:sz w:val="13"/>
        </w:rPr>
        <w:t>Adamson</w:t>
      </w:r>
      <w:r>
        <w:rPr>
          <w:i/>
          <w:spacing w:val="7"/>
          <w:w w:val="105"/>
          <w:sz w:val="13"/>
        </w:rPr>
        <w:t> </w:t>
      </w:r>
      <w:r>
        <w:rPr>
          <w:spacing w:val="2"/>
          <w:w w:val="105"/>
          <w:sz w:val="13"/>
        </w:rPr>
        <w:t>[2009]</w:t>
      </w:r>
      <w:r>
        <w:rPr>
          <w:spacing w:val="7"/>
          <w:w w:val="105"/>
          <w:sz w:val="13"/>
        </w:rPr>
        <w:t> </w:t>
      </w:r>
      <w:r>
        <w:rPr>
          <w:w w:val="105"/>
          <w:sz w:val="13"/>
        </w:rPr>
        <w:t>NSWLEC</w:t>
      </w:r>
      <w:r>
        <w:rPr>
          <w:spacing w:val="7"/>
          <w:w w:val="105"/>
          <w:sz w:val="13"/>
        </w:rPr>
        <w:t> </w:t>
      </w:r>
      <w:r>
        <w:rPr>
          <w:spacing w:val="-4"/>
          <w:w w:val="105"/>
          <w:sz w:val="13"/>
        </w:rPr>
        <w:t>1312;</w:t>
      </w:r>
      <w:r>
        <w:rPr>
          <w:spacing w:val="7"/>
          <w:w w:val="105"/>
          <w:sz w:val="13"/>
        </w:rPr>
        <w:t> </w:t>
      </w:r>
      <w:r>
        <w:rPr>
          <w:i/>
          <w:w w:val="105"/>
          <w:sz w:val="13"/>
        </w:rPr>
        <w:t>Joaquim</w:t>
      </w:r>
      <w:r>
        <w:rPr>
          <w:i/>
          <w:spacing w:val="8"/>
          <w:w w:val="105"/>
          <w:sz w:val="13"/>
        </w:rPr>
        <w:t> </w:t>
      </w:r>
      <w:r>
        <w:rPr>
          <w:i/>
          <w:w w:val="105"/>
          <w:sz w:val="13"/>
        </w:rPr>
        <w:t>v</w:t>
      </w:r>
      <w:r>
        <w:rPr>
          <w:i/>
          <w:spacing w:val="7"/>
          <w:w w:val="105"/>
          <w:sz w:val="13"/>
        </w:rPr>
        <w:t> </w:t>
      </w:r>
      <w:r>
        <w:rPr>
          <w:i/>
          <w:w w:val="105"/>
          <w:sz w:val="13"/>
        </w:rPr>
        <w:t>Adamson</w:t>
      </w:r>
      <w:r>
        <w:rPr>
          <w:i/>
          <w:spacing w:val="7"/>
          <w:w w:val="105"/>
          <w:sz w:val="13"/>
        </w:rPr>
        <w:t> </w:t>
      </w:r>
      <w:r>
        <w:rPr>
          <w:i/>
          <w:spacing w:val="3"/>
          <w:w w:val="105"/>
          <w:sz w:val="13"/>
        </w:rPr>
        <w:t>(No</w:t>
      </w:r>
      <w:r>
        <w:rPr>
          <w:i/>
          <w:spacing w:val="7"/>
          <w:w w:val="105"/>
          <w:sz w:val="13"/>
        </w:rPr>
        <w:t> </w:t>
      </w:r>
      <w:r>
        <w:rPr>
          <w:i/>
          <w:w w:val="105"/>
          <w:sz w:val="13"/>
        </w:rPr>
        <w:t>2)</w:t>
      </w:r>
      <w:r>
        <w:rPr>
          <w:i/>
          <w:spacing w:val="7"/>
          <w:w w:val="105"/>
          <w:sz w:val="13"/>
        </w:rPr>
        <w:t> </w:t>
      </w:r>
      <w:r>
        <w:rPr>
          <w:spacing w:val="2"/>
          <w:w w:val="105"/>
          <w:sz w:val="13"/>
        </w:rPr>
        <w:t>[2009]</w:t>
      </w:r>
      <w:r>
        <w:rPr>
          <w:spacing w:val="7"/>
          <w:w w:val="105"/>
          <w:sz w:val="13"/>
        </w:rPr>
        <w:t> </w:t>
      </w:r>
      <w:r>
        <w:rPr>
          <w:w w:val="105"/>
          <w:sz w:val="13"/>
        </w:rPr>
        <w:t>NSWLEC</w:t>
      </w:r>
      <w:r>
        <w:rPr>
          <w:spacing w:val="7"/>
          <w:w w:val="105"/>
          <w:sz w:val="13"/>
        </w:rPr>
        <w:t> </w:t>
      </w:r>
      <w:r>
        <w:rPr>
          <w:spacing w:val="-3"/>
          <w:w w:val="105"/>
          <w:sz w:val="13"/>
        </w:rPr>
        <w:t>1367.</w:t>
      </w:r>
    </w:p>
    <w:p>
      <w:pPr>
        <w:pStyle w:val="ListParagraph"/>
        <w:numPr>
          <w:ilvl w:val="0"/>
          <w:numId w:val="72"/>
        </w:numPr>
        <w:tabs>
          <w:tab w:pos="2381" w:val="left" w:leader="none"/>
          <w:tab w:pos="2382" w:val="left" w:leader="none"/>
        </w:tabs>
        <w:spacing w:line="240" w:lineRule="auto" w:before="1" w:after="0"/>
        <w:ind w:left="2381" w:right="0" w:hanging="794"/>
        <w:jc w:val="left"/>
        <w:rPr>
          <w:sz w:val="13"/>
        </w:rPr>
      </w:pPr>
      <w:r>
        <w:rPr>
          <w:w w:val="105"/>
          <w:sz w:val="13"/>
        </w:rPr>
        <w:t>See, eg, </w:t>
      </w:r>
      <w:r>
        <w:rPr>
          <w:i/>
          <w:w w:val="105"/>
          <w:sz w:val="13"/>
        </w:rPr>
        <w:t>Horn v Latter </w:t>
      </w:r>
      <w:r>
        <w:rPr>
          <w:w w:val="105"/>
          <w:sz w:val="13"/>
        </w:rPr>
        <w:t>[2007] NSWLEC</w:t>
      </w:r>
      <w:r>
        <w:rPr>
          <w:spacing w:val="2"/>
          <w:w w:val="105"/>
          <w:sz w:val="13"/>
        </w:rPr>
        <w:t> </w:t>
      </w:r>
      <w:r>
        <w:rPr>
          <w:w w:val="105"/>
          <w:sz w:val="13"/>
        </w:rPr>
        <w:t>744.</w:t>
      </w:r>
    </w:p>
    <w:p>
      <w:pPr>
        <w:pStyle w:val="ListParagraph"/>
        <w:numPr>
          <w:ilvl w:val="0"/>
          <w:numId w:val="72"/>
        </w:numPr>
        <w:tabs>
          <w:tab w:pos="2381" w:val="left" w:leader="none"/>
          <w:tab w:pos="2382" w:val="left" w:leader="none"/>
        </w:tabs>
        <w:spacing w:line="240" w:lineRule="auto" w:before="1" w:after="0"/>
        <w:ind w:left="2381" w:right="2120" w:hanging="794"/>
        <w:jc w:val="left"/>
        <w:rPr>
          <w:sz w:val="13"/>
        </w:rPr>
      </w:pPr>
      <w:r>
        <w:rPr>
          <w:w w:val="105"/>
          <w:sz w:val="13"/>
        </w:rPr>
        <w:t>Submissions 5 </w:t>
      </w:r>
      <w:r>
        <w:rPr>
          <w:spacing w:val="2"/>
          <w:w w:val="105"/>
          <w:sz w:val="13"/>
        </w:rPr>
        <w:t>(Name </w:t>
      </w:r>
      <w:r>
        <w:rPr>
          <w:w w:val="105"/>
          <w:sz w:val="13"/>
        </w:rPr>
        <w:t>withheld), 6 </w:t>
      </w:r>
      <w:r>
        <w:rPr>
          <w:spacing w:val="2"/>
          <w:w w:val="105"/>
          <w:sz w:val="13"/>
        </w:rPr>
        <w:t>(Name </w:t>
      </w:r>
      <w:r>
        <w:rPr>
          <w:w w:val="105"/>
          <w:sz w:val="13"/>
        </w:rPr>
        <w:t>withheld), 7 </w:t>
      </w:r>
      <w:r>
        <w:rPr>
          <w:spacing w:val="2"/>
          <w:w w:val="105"/>
          <w:sz w:val="13"/>
        </w:rPr>
        <w:t>(Ben </w:t>
      </w:r>
      <w:r>
        <w:rPr>
          <w:w w:val="105"/>
          <w:sz w:val="13"/>
        </w:rPr>
        <w:t>Kenyon), 9 </w:t>
      </w:r>
      <w:r>
        <w:rPr>
          <w:spacing w:val="3"/>
          <w:w w:val="105"/>
          <w:sz w:val="13"/>
        </w:rPr>
        <w:t>(Dr </w:t>
      </w:r>
      <w:r>
        <w:rPr>
          <w:w w:val="105"/>
          <w:sz w:val="13"/>
        </w:rPr>
        <w:t>Karen Smith), 10 (Professor Phillip Hamilton), </w:t>
      </w:r>
      <w:r>
        <w:rPr>
          <w:spacing w:val="-3"/>
          <w:w w:val="105"/>
          <w:sz w:val="13"/>
        </w:rPr>
        <w:t>19 </w:t>
      </w:r>
      <w:r>
        <w:rPr>
          <w:spacing w:val="2"/>
          <w:w w:val="105"/>
          <w:sz w:val="13"/>
        </w:rPr>
        <w:t>(Name </w:t>
      </w:r>
      <w:r>
        <w:rPr>
          <w:w w:val="105"/>
          <w:sz w:val="13"/>
        </w:rPr>
        <w:t>withheld), 22 </w:t>
      </w:r>
      <w:r>
        <w:rPr>
          <w:spacing w:val="2"/>
          <w:w w:val="105"/>
          <w:sz w:val="13"/>
        </w:rPr>
        <w:t>(Name </w:t>
      </w:r>
      <w:r>
        <w:rPr>
          <w:w w:val="105"/>
          <w:sz w:val="13"/>
        </w:rPr>
        <w:t>withheld), 23 </w:t>
      </w:r>
      <w:r>
        <w:rPr>
          <w:spacing w:val="2"/>
          <w:w w:val="105"/>
          <w:sz w:val="13"/>
        </w:rPr>
        <w:t>(Name </w:t>
      </w:r>
      <w:r>
        <w:rPr>
          <w:w w:val="105"/>
          <w:sz w:val="13"/>
        </w:rPr>
        <w:t>withheld), 28 </w:t>
      </w:r>
      <w:r>
        <w:rPr>
          <w:spacing w:val="3"/>
          <w:w w:val="105"/>
          <w:sz w:val="13"/>
        </w:rPr>
        <w:t>(HVP</w:t>
      </w:r>
      <w:r>
        <w:rPr>
          <w:spacing w:val="4"/>
          <w:w w:val="105"/>
          <w:sz w:val="13"/>
        </w:rPr>
        <w:t> </w:t>
      </w:r>
      <w:r>
        <w:rPr>
          <w:w w:val="105"/>
          <w:sz w:val="13"/>
        </w:rPr>
        <w:t>Plantations).</w:t>
      </w:r>
    </w:p>
    <w:p>
      <w:pPr>
        <w:pStyle w:val="ListParagraph"/>
        <w:numPr>
          <w:ilvl w:val="0"/>
          <w:numId w:val="72"/>
        </w:numPr>
        <w:tabs>
          <w:tab w:pos="2381" w:val="left" w:leader="none"/>
          <w:tab w:pos="2382" w:val="left" w:leader="none"/>
        </w:tabs>
        <w:spacing w:line="240" w:lineRule="auto" w:before="3" w:after="0"/>
        <w:ind w:left="2381" w:right="0" w:hanging="794"/>
        <w:jc w:val="left"/>
        <w:rPr>
          <w:sz w:val="13"/>
        </w:rPr>
      </w:pPr>
      <w:r>
        <w:rPr>
          <w:w w:val="105"/>
          <w:sz w:val="13"/>
        </w:rPr>
        <w:t>Submission 22 </w:t>
      </w:r>
      <w:r>
        <w:rPr>
          <w:spacing w:val="2"/>
          <w:w w:val="105"/>
          <w:sz w:val="13"/>
        </w:rPr>
        <w:t>(Name</w:t>
      </w:r>
      <w:r>
        <w:rPr>
          <w:spacing w:val="25"/>
          <w:w w:val="105"/>
          <w:sz w:val="13"/>
        </w:rPr>
        <w:t> </w:t>
      </w:r>
      <w:r>
        <w:rPr>
          <w:w w:val="105"/>
          <w:sz w:val="13"/>
        </w:rPr>
        <w:t>withheld).</w:t>
      </w:r>
    </w:p>
    <w:p>
      <w:pPr>
        <w:pStyle w:val="ListParagraph"/>
        <w:numPr>
          <w:ilvl w:val="0"/>
          <w:numId w:val="72"/>
        </w:numPr>
        <w:tabs>
          <w:tab w:pos="2381" w:val="left" w:leader="none"/>
          <w:tab w:pos="2382" w:val="left" w:leader="none"/>
        </w:tabs>
        <w:spacing w:line="240" w:lineRule="auto" w:before="1" w:after="0"/>
        <w:ind w:left="2381" w:right="0" w:hanging="794"/>
        <w:jc w:val="left"/>
        <w:rPr>
          <w:sz w:val="13"/>
        </w:rPr>
      </w:pPr>
      <w:r>
        <w:rPr>
          <w:w w:val="105"/>
          <w:sz w:val="13"/>
        </w:rPr>
        <w:t>Submission 27 </w:t>
      </w:r>
      <w:r>
        <w:rPr>
          <w:spacing w:val="2"/>
          <w:w w:val="105"/>
          <w:sz w:val="13"/>
        </w:rPr>
        <w:t>(Name</w:t>
      </w:r>
      <w:r>
        <w:rPr>
          <w:spacing w:val="22"/>
          <w:w w:val="105"/>
          <w:sz w:val="13"/>
        </w:rPr>
        <w:t> </w:t>
      </w:r>
      <w:r>
        <w:rPr>
          <w:w w:val="105"/>
          <w:sz w:val="13"/>
        </w:rPr>
        <w:t>withheld).</w:t>
      </w:r>
    </w:p>
    <w:p>
      <w:pPr>
        <w:pStyle w:val="ListParagraph"/>
        <w:numPr>
          <w:ilvl w:val="0"/>
          <w:numId w:val="72"/>
        </w:numPr>
        <w:tabs>
          <w:tab w:pos="2381" w:val="left" w:leader="none"/>
          <w:tab w:pos="2382" w:val="left" w:leader="none"/>
        </w:tabs>
        <w:spacing w:line="240" w:lineRule="auto" w:before="2" w:after="0"/>
        <w:ind w:left="2381" w:right="0" w:hanging="794"/>
        <w:jc w:val="left"/>
        <w:rPr>
          <w:sz w:val="13"/>
        </w:rPr>
      </w:pPr>
      <w:r>
        <w:rPr/>
        <w:pict>
          <v:shape style="position:absolute;margin-left:548.974304pt;margin-top:3.053665pt;width:13.15pt;height:14.25pt;mso-position-horizontal-relative:page;mso-position-vertical-relative:paragraph;z-index:6952" type="#_x0000_t202" filled="false" stroked="false">
            <v:textbox inset="0,0,0,0">
              <w:txbxContent>
                <w:p>
                  <w:pPr>
                    <w:spacing w:line="284" w:lineRule="exact" w:before="0"/>
                    <w:ind w:left="0" w:right="0" w:firstLine="0"/>
                    <w:jc w:val="left"/>
                    <w:rPr>
                      <w:b/>
                      <w:sz w:val="24"/>
                    </w:rPr>
                  </w:pPr>
                  <w:r>
                    <w:rPr>
                      <w:b/>
                      <w:color w:val="658464"/>
                      <w:spacing w:val="-3"/>
                      <w:w w:val="110"/>
                      <w:sz w:val="24"/>
                    </w:rPr>
                    <w:t>93</w:t>
                  </w:r>
                </w:p>
              </w:txbxContent>
            </v:textbox>
            <w10:wrap type="none"/>
          </v:shape>
        </w:pict>
      </w:r>
      <w:r>
        <w:rPr>
          <w:sz w:val="13"/>
        </w:rPr>
        <w:t>Ibid.</w:t>
      </w:r>
    </w:p>
    <w:p>
      <w:pPr>
        <w:pStyle w:val="ListParagraph"/>
        <w:numPr>
          <w:ilvl w:val="0"/>
          <w:numId w:val="72"/>
        </w:numPr>
        <w:tabs>
          <w:tab w:pos="2381" w:val="left" w:leader="none"/>
          <w:tab w:pos="2382" w:val="left" w:leader="none"/>
        </w:tabs>
        <w:spacing w:line="240" w:lineRule="auto" w:before="1" w:after="0"/>
        <w:ind w:left="2381" w:right="0" w:hanging="794"/>
        <w:jc w:val="left"/>
        <w:rPr>
          <w:sz w:val="13"/>
        </w:rPr>
      </w:pPr>
      <w:r>
        <w:rPr>
          <w:w w:val="105"/>
          <w:sz w:val="13"/>
        </w:rPr>
        <w:t>Submission 9 </w:t>
      </w:r>
      <w:r>
        <w:rPr>
          <w:spacing w:val="3"/>
          <w:w w:val="105"/>
          <w:sz w:val="13"/>
        </w:rPr>
        <w:t>(Dr </w:t>
      </w:r>
      <w:r>
        <w:rPr>
          <w:w w:val="105"/>
          <w:sz w:val="13"/>
        </w:rPr>
        <w:t>Karen</w:t>
      </w:r>
      <w:r>
        <w:rPr>
          <w:spacing w:val="15"/>
          <w:w w:val="105"/>
          <w:sz w:val="13"/>
        </w:rPr>
        <w:t> </w:t>
      </w:r>
      <w:r>
        <w:rPr>
          <w:w w:val="105"/>
          <w:sz w:val="13"/>
        </w:rPr>
        <w:t>Smith).</w:t>
      </w:r>
    </w:p>
    <w:p>
      <w:pPr>
        <w:spacing w:after="0" w:line="240" w:lineRule="auto"/>
        <w:jc w:val="left"/>
        <w:rPr>
          <w:sz w:val="13"/>
        </w:rPr>
        <w:sectPr>
          <w:pgSz w:w="11910" w:h="16840"/>
          <w:pgMar w:header="808" w:footer="0" w:top="1360" w:bottom="280" w:left="0" w:right="0"/>
        </w:sectPr>
      </w:pPr>
    </w:p>
    <w:p>
      <w:pPr>
        <w:pStyle w:val="BodyText"/>
        <w:spacing w:before="11"/>
      </w:pPr>
    </w:p>
    <w:p>
      <w:pPr>
        <w:pStyle w:val="Heading5"/>
        <w:spacing w:before="96"/>
      </w:pPr>
      <w:bookmarkStart w:name="_bookmark53" w:id="124"/>
      <w:bookmarkEnd w:id="124"/>
      <w:r>
        <w:rPr>
          <w:b w:val="0"/>
        </w:rPr>
      </w:r>
      <w:r>
        <w:rPr>
          <w:w w:val="110"/>
        </w:rPr>
        <w:t>The Commission’s conclusions—who can be found liable?</w:t>
      </w:r>
    </w:p>
    <w:p>
      <w:pPr>
        <w:pStyle w:val="ListParagraph"/>
        <w:numPr>
          <w:ilvl w:val="0"/>
          <w:numId w:val="64"/>
        </w:numPr>
        <w:tabs>
          <w:tab w:pos="2381" w:val="left" w:leader="none"/>
          <w:tab w:pos="2382" w:val="left" w:leader="none"/>
        </w:tabs>
        <w:spacing w:line="242" w:lineRule="auto" w:before="137" w:after="0"/>
        <w:ind w:left="2381" w:right="1642" w:hanging="794"/>
        <w:jc w:val="left"/>
        <w:rPr>
          <w:sz w:val="21"/>
        </w:rPr>
      </w:pPr>
      <w:r>
        <w:rPr>
          <w:sz w:val="21"/>
        </w:rPr>
        <w:t>Liability should attach </w:t>
      </w:r>
      <w:r>
        <w:rPr>
          <w:spacing w:val="-3"/>
          <w:sz w:val="21"/>
        </w:rPr>
        <w:t>to </w:t>
      </w:r>
      <w:r>
        <w:rPr>
          <w:sz w:val="21"/>
        </w:rPr>
        <w:t>the owner of </w:t>
      </w:r>
      <w:r>
        <w:rPr>
          <w:spacing w:val="-3"/>
          <w:sz w:val="21"/>
        </w:rPr>
        <w:t>land </w:t>
      </w:r>
      <w:r>
        <w:rPr>
          <w:sz w:val="21"/>
        </w:rPr>
        <w:t>on which the tree is </w:t>
      </w:r>
      <w:r>
        <w:rPr>
          <w:spacing w:val="-3"/>
          <w:sz w:val="21"/>
        </w:rPr>
        <w:t>situated </w:t>
      </w:r>
      <w:r>
        <w:rPr>
          <w:sz w:val="21"/>
        </w:rPr>
        <w:t>(the tree owner). This should apply </w:t>
      </w:r>
      <w:r>
        <w:rPr>
          <w:spacing w:val="-3"/>
          <w:sz w:val="21"/>
        </w:rPr>
        <w:t>to </w:t>
      </w:r>
      <w:r>
        <w:rPr>
          <w:sz w:val="21"/>
        </w:rPr>
        <w:t>an </w:t>
      </w:r>
      <w:r>
        <w:rPr>
          <w:spacing w:val="-3"/>
          <w:sz w:val="21"/>
        </w:rPr>
        <w:t>owner’s corporation </w:t>
      </w:r>
      <w:r>
        <w:rPr>
          <w:sz w:val="21"/>
        </w:rPr>
        <w:t>if the </w:t>
      </w:r>
      <w:r>
        <w:rPr>
          <w:spacing w:val="-3"/>
          <w:sz w:val="21"/>
        </w:rPr>
        <w:t>land </w:t>
      </w:r>
      <w:r>
        <w:rPr>
          <w:sz w:val="21"/>
        </w:rPr>
        <w:t>is </w:t>
      </w:r>
      <w:r>
        <w:rPr>
          <w:spacing w:val="-2"/>
          <w:sz w:val="21"/>
        </w:rPr>
        <w:t>common </w:t>
      </w:r>
      <w:r>
        <w:rPr>
          <w:sz w:val="21"/>
        </w:rPr>
        <w:t>property. Joint </w:t>
      </w:r>
      <w:r>
        <w:rPr>
          <w:spacing w:val="-3"/>
          <w:sz w:val="21"/>
        </w:rPr>
        <w:t>liability </w:t>
      </w:r>
      <w:r>
        <w:rPr>
          <w:sz w:val="21"/>
        </w:rPr>
        <w:t>should apply </w:t>
      </w:r>
      <w:r>
        <w:rPr>
          <w:spacing w:val="-3"/>
          <w:sz w:val="21"/>
        </w:rPr>
        <w:t>to  multiple  </w:t>
      </w:r>
      <w:r>
        <w:rPr>
          <w:sz w:val="21"/>
        </w:rPr>
        <w:t>owners of </w:t>
      </w:r>
      <w:r>
        <w:rPr>
          <w:spacing w:val="-3"/>
          <w:sz w:val="21"/>
        </w:rPr>
        <w:t>land.</w:t>
      </w:r>
      <w:r>
        <w:rPr>
          <w:spacing w:val="41"/>
          <w:sz w:val="21"/>
        </w:rPr>
        <w:t> </w:t>
      </w:r>
      <w:r>
        <w:rPr>
          <w:sz w:val="21"/>
        </w:rPr>
        <w:t>An owner of </w:t>
      </w:r>
      <w:r>
        <w:rPr>
          <w:spacing w:val="-3"/>
          <w:sz w:val="21"/>
        </w:rPr>
        <w:t>land  could  </w:t>
      </w:r>
      <w:r>
        <w:rPr>
          <w:sz w:val="21"/>
        </w:rPr>
        <w:t>be defined in the new  Act as it is in the </w:t>
      </w:r>
      <w:r>
        <w:rPr>
          <w:i/>
          <w:sz w:val="21"/>
        </w:rPr>
        <w:t>Fences Act </w:t>
      </w:r>
      <w:r>
        <w:rPr>
          <w:i/>
          <w:spacing w:val="-4"/>
          <w:sz w:val="21"/>
        </w:rPr>
        <w:t>1968 </w:t>
      </w:r>
      <w:r>
        <w:rPr>
          <w:sz w:val="21"/>
        </w:rPr>
        <w:t>(Vic) with respect </w:t>
      </w:r>
      <w:r>
        <w:rPr>
          <w:spacing w:val="-3"/>
          <w:sz w:val="21"/>
        </w:rPr>
        <w:t>to private </w:t>
      </w:r>
      <w:r>
        <w:rPr>
          <w:sz w:val="21"/>
        </w:rPr>
        <w:t>interests in</w:t>
      </w:r>
      <w:r>
        <w:rPr>
          <w:spacing w:val="8"/>
          <w:sz w:val="21"/>
        </w:rPr>
        <w:t> </w:t>
      </w:r>
      <w:r>
        <w:rPr>
          <w:spacing w:val="-3"/>
          <w:sz w:val="21"/>
        </w:rPr>
        <w:t>land, </w:t>
      </w:r>
      <w:r>
        <w:rPr>
          <w:sz w:val="21"/>
        </w:rPr>
        <w:t>as:</w:t>
      </w:r>
    </w:p>
    <w:p>
      <w:pPr>
        <w:pStyle w:val="ListParagraph"/>
        <w:numPr>
          <w:ilvl w:val="1"/>
          <w:numId w:val="64"/>
        </w:numPr>
        <w:tabs>
          <w:tab w:pos="2721" w:val="left" w:leader="none"/>
          <w:tab w:pos="2722" w:val="left" w:leader="none"/>
        </w:tabs>
        <w:spacing w:line="242" w:lineRule="auto" w:before="125" w:after="0"/>
        <w:ind w:left="2721" w:right="1941" w:hanging="340"/>
        <w:jc w:val="left"/>
        <w:rPr>
          <w:sz w:val="21"/>
        </w:rPr>
      </w:pPr>
      <w:r>
        <w:rPr>
          <w:w w:val="105"/>
          <w:sz w:val="21"/>
        </w:rPr>
        <w:t>the </w:t>
      </w:r>
      <w:r>
        <w:rPr>
          <w:spacing w:val="-2"/>
          <w:w w:val="105"/>
          <w:sz w:val="21"/>
        </w:rPr>
        <w:t>Registered </w:t>
      </w:r>
      <w:r>
        <w:rPr>
          <w:spacing w:val="-3"/>
          <w:w w:val="105"/>
          <w:sz w:val="21"/>
        </w:rPr>
        <w:t>Proprietor </w:t>
      </w:r>
      <w:r>
        <w:rPr>
          <w:w w:val="105"/>
          <w:sz w:val="21"/>
        </w:rPr>
        <w:t>of the fee </w:t>
      </w:r>
      <w:r>
        <w:rPr>
          <w:spacing w:val="-3"/>
          <w:w w:val="105"/>
          <w:sz w:val="21"/>
        </w:rPr>
        <w:t>simple </w:t>
      </w:r>
      <w:r>
        <w:rPr>
          <w:w w:val="105"/>
          <w:sz w:val="21"/>
        </w:rPr>
        <w:t>in the </w:t>
      </w:r>
      <w:r>
        <w:rPr>
          <w:spacing w:val="-3"/>
          <w:w w:val="105"/>
          <w:sz w:val="21"/>
        </w:rPr>
        <w:t>land </w:t>
      </w:r>
      <w:r>
        <w:rPr>
          <w:w w:val="105"/>
          <w:sz w:val="21"/>
        </w:rPr>
        <w:t>under the </w:t>
      </w:r>
      <w:r>
        <w:rPr>
          <w:i/>
          <w:spacing w:val="-4"/>
          <w:w w:val="105"/>
          <w:sz w:val="21"/>
        </w:rPr>
        <w:t>Transfer </w:t>
      </w:r>
      <w:r>
        <w:rPr>
          <w:i/>
          <w:spacing w:val="-3"/>
          <w:w w:val="105"/>
          <w:sz w:val="21"/>
        </w:rPr>
        <w:t>of </w:t>
      </w:r>
      <w:r>
        <w:rPr>
          <w:i/>
          <w:w w:val="105"/>
          <w:sz w:val="21"/>
        </w:rPr>
        <w:t>Land </w:t>
      </w:r>
      <w:r>
        <w:rPr>
          <w:i/>
          <w:w w:val="105"/>
          <w:sz w:val="21"/>
        </w:rPr>
        <w:t>Act </w:t>
      </w:r>
      <w:r>
        <w:rPr>
          <w:spacing w:val="-5"/>
          <w:w w:val="105"/>
          <w:sz w:val="21"/>
        </w:rPr>
        <w:t>1958 </w:t>
      </w:r>
      <w:r>
        <w:rPr>
          <w:w w:val="105"/>
          <w:sz w:val="21"/>
        </w:rPr>
        <w:t>(Vic) (not in an identified folio), or a person </w:t>
      </w:r>
      <w:r>
        <w:rPr>
          <w:spacing w:val="-2"/>
          <w:w w:val="105"/>
          <w:sz w:val="21"/>
        </w:rPr>
        <w:t>empowered </w:t>
      </w:r>
      <w:r>
        <w:rPr>
          <w:w w:val="105"/>
          <w:sz w:val="21"/>
        </w:rPr>
        <w:t>under an Act </w:t>
      </w:r>
      <w:r>
        <w:rPr>
          <w:spacing w:val="-3"/>
          <w:w w:val="105"/>
          <w:sz w:val="21"/>
        </w:rPr>
        <w:t>to </w:t>
      </w:r>
      <w:r>
        <w:rPr>
          <w:w w:val="105"/>
          <w:sz w:val="21"/>
        </w:rPr>
        <w:t>execute a </w:t>
      </w:r>
      <w:r>
        <w:rPr>
          <w:spacing w:val="-3"/>
          <w:w w:val="105"/>
          <w:sz w:val="21"/>
        </w:rPr>
        <w:t>transfer </w:t>
      </w:r>
      <w:r>
        <w:rPr>
          <w:w w:val="105"/>
          <w:sz w:val="21"/>
        </w:rPr>
        <w:t>of the </w:t>
      </w:r>
      <w:r>
        <w:rPr>
          <w:spacing w:val="-3"/>
          <w:w w:val="105"/>
          <w:sz w:val="21"/>
        </w:rPr>
        <w:t>land,</w:t>
      </w:r>
      <w:r>
        <w:rPr>
          <w:spacing w:val="31"/>
          <w:w w:val="105"/>
          <w:sz w:val="21"/>
        </w:rPr>
        <w:t> </w:t>
      </w:r>
      <w:r>
        <w:rPr>
          <w:w w:val="105"/>
          <w:sz w:val="21"/>
        </w:rPr>
        <w:t>or</w:t>
      </w:r>
    </w:p>
    <w:p>
      <w:pPr>
        <w:pStyle w:val="ListParagraph"/>
        <w:numPr>
          <w:ilvl w:val="1"/>
          <w:numId w:val="64"/>
        </w:numPr>
        <w:tabs>
          <w:tab w:pos="2721" w:val="left" w:leader="none"/>
          <w:tab w:pos="2722" w:val="left" w:leader="none"/>
        </w:tabs>
        <w:spacing w:line="240" w:lineRule="auto" w:before="88" w:after="0"/>
        <w:ind w:left="2721" w:right="0" w:hanging="340"/>
        <w:jc w:val="left"/>
        <w:rPr>
          <w:sz w:val="21"/>
        </w:rPr>
      </w:pPr>
      <w:r>
        <w:rPr>
          <w:w w:val="105"/>
          <w:sz w:val="21"/>
        </w:rPr>
        <w:t>an</w:t>
      </w:r>
      <w:r>
        <w:rPr>
          <w:spacing w:val="3"/>
          <w:w w:val="105"/>
          <w:sz w:val="21"/>
        </w:rPr>
        <w:t> </w:t>
      </w:r>
      <w:r>
        <w:rPr>
          <w:w w:val="105"/>
          <w:sz w:val="21"/>
        </w:rPr>
        <w:t>owner</w:t>
      </w:r>
      <w:r>
        <w:rPr>
          <w:spacing w:val="4"/>
          <w:w w:val="105"/>
          <w:sz w:val="21"/>
        </w:rPr>
        <w:t> </w:t>
      </w:r>
      <w:r>
        <w:rPr>
          <w:w w:val="105"/>
          <w:sz w:val="21"/>
        </w:rPr>
        <w:t>of</w:t>
      </w:r>
      <w:r>
        <w:rPr>
          <w:spacing w:val="4"/>
          <w:w w:val="105"/>
          <w:sz w:val="21"/>
        </w:rPr>
        <w:t> </w:t>
      </w:r>
      <w:r>
        <w:rPr>
          <w:spacing w:val="-3"/>
          <w:w w:val="105"/>
          <w:sz w:val="21"/>
        </w:rPr>
        <w:t>land</w:t>
      </w:r>
      <w:r>
        <w:rPr>
          <w:spacing w:val="4"/>
          <w:w w:val="105"/>
          <w:sz w:val="21"/>
        </w:rPr>
        <w:t> </w:t>
      </w:r>
      <w:r>
        <w:rPr>
          <w:w w:val="105"/>
          <w:sz w:val="21"/>
        </w:rPr>
        <w:t>in</w:t>
      </w:r>
      <w:r>
        <w:rPr>
          <w:spacing w:val="3"/>
          <w:w w:val="105"/>
          <w:sz w:val="21"/>
        </w:rPr>
        <w:t> </w:t>
      </w:r>
      <w:r>
        <w:rPr>
          <w:w w:val="105"/>
          <w:sz w:val="21"/>
        </w:rPr>
        <w:t>an</w:t>
      </w:r>
      <w:r>
        <w:rPr>
          <w:spacing w:val="4"/>
          <w:w w:val="105"/>
          <w:sz w:val="21"/>
        </w:rPr>
        <w:t> </w:t>
      </w:r>
      <w:r>
        <w:rPr>
          <w:w w:val="105"/>
          <w:sz w:val="21"/>
        </w:rPr>
        <w:t>identified</w:t>
      </w:r>
      <w:r>
        <w:rPr>
          <w:spacing w:val="4"/>
          <w:w w:val="105"/>
          <w:sz w:val="21"/>
        </w:rPr>
        <w:t> </w:t>
      </w:r>
      <w:r>
        <w:rPr>
          <w:spacing w:val="-3"/>
          <w:w w:val="105"/>
          <w:sz w:val="21"/>
        </w:rPr>
        <w:t>folio</w:t>
      </w:r>
      <w:r>
        <w:rPr>
          <w:spacing w:val="4"/>
          <w:w w:val="105"/>
          <w:sz w:val="21"/>
        </w:rPr>
        <w:t> </w:t>
      </w:r>
      <w:r>
        <w:rPr>
          <w:w w:val="105"/>
          <w:sz w:val="21"/>
        </w:rPr>
        <w:t>under</w:t>
      </w:r>
      <w:r>
        <w:rPr>
          <w:spacing w:val="3"/>
          <w:w w:val="105"/>
          <w:sz w:val="21"/>
        </w:rPr>
        <w:t> </w:t>
      </w:r>
      <w:r>
        <w:rPr>
          <w:w w:val="105"/>
          <w:sz w:val="21"/>
        </w:rPr>
        <w:t>the</w:t>
      </w:r>
      <w:r>
        <w:rPr>
          <w:spacing w:val="4"/>
          <w:w w:val="105"/>
          <w:sz w:val="21"/>
        </w:rPr>
        <w:t> </w:t>
      </w:r>
      <w:r>
        <w:rPr>
          <w:i/>
          <w:spacing w:val="-4"/>
          <w:w w:val="105"/>
          <w:sz w:val="21"/>
        </w:rPr>
        <w:t>Transfer</w:t>
      </w:r>
      <w:r>
        <w:rPr>
          <w:i/>
          <w:spacing w:val="4"/>
          <w:w w:val="105"/>
          <w:sz w:val="21"/>
        </w:rPr>
        <w:t> </w:t>
      </w:r>
      <w:r>
        <w:rPr>
          <w:i/>
          <w:spacing w:val="-3"/>
          <w:w w:val="105"/>
          <w:sz w:val="21"/>
        </w:rPr>
        <w:t>of</w:t>
      </w:r>
      <w:r>
        <w:rPr>
          <w:i/>
          <w:spacing w:val="4"/>
          <w:w w:val="105"/>
          <w:sz w:val="21"/>
        </w:rPr>
        <w:t> </w:t>
      </w:r>
      <w:r>
        <w:rPr>
          <w:i/>
          <w:w w:val="105"/>
          <w:sz w:val="21"/>
        </w:rPr>
        <w:t>Land</w:t>
      </w:r>
      <w:r>
        <w:rPr>
          <w:i/>
          <w:spacing w:val="3"/>
          <w:w w:val="105"/>
          <w:sz w:val="21"/>
        </w:rPr>
        <w:t> </w:t>
      </w:r>
      <w:r>
        <w:rPr>
          <w:i/>
          <w:w w:val="105"/>
          <w:sz w:val="21"/>
        </w:rPr>
        <w:t>Act</w:t>
      </w:r>
      <w:r>
        <w:rPr>
          <w:i/>
          <w:spacing w:val="4"/>
          <w:w w:val="105"/>
          <w:sz w:val="21"/>
        </w:rPr>
        <w:t> </w:t>
      </w:r>
      <w:r>
        <w:rPr>
          <w:spacing w:val="-5"/>
          <w:w w:val="105"/>
          <w:sz w:val="21"/>
        </w:rPr>
        <w:t>1958</w:t>
      </w:r>
      <w:r>
        <w:rPr>
          <w:spacing w:val="4"/>
          <w:w w:val="105"/>
          <w:sz w:val="21"/>
        </w:rPr>
        <w:t> </w:t>
      </w:r>
      <w:r>
        <w:rPr>
          <w:w w:val="105"/>
          <w:sz w:val="21"/>
        </w:rPr>
        <w:t>(Vic),</w:t>
      </w:r>
      <w:r>
        <w:rPr>
          <w:spacing w:val="4"/>
          <w:w w:val="105"/>
          <w:sz w:val="21"/>
        </w:rPr>
        <w:t> </w:t>
      </w:r>
      <w:r>
        <w:rPr>
          <w:w w:val="105"/>
          <w:sz w:val="21"/>
        </w:rPr>
        <w:t>or</w:t>
      </w:r>
    </w:p>
    <w:p>
      <w:pPr>
        <w:pStyle w:val="ListParagraph"/>
        <w:numPr>
          <w:ilvl w:val="1"/>
          <w:numId w:val="64"/>
        </w:numPr>
        <w:tabs>
          <w:tab w:pos="2721" w:val="left" w:leader="none"/>
          <w:tab w:pos="2722" w:val="left" w:leader="none"/>
        </w:tabs>
        <w:spacing w:line="242" w:lineRule="auto" w:before="88" w:after="0"/>
        <w:ind w:left="2721" w:right="1709" w:hanging="340"/>
        <w:jc w:val="left"/>
        <w:rPr>
          <w:sz w:val="21"/>
        </w:rPr>
      </w:pPr>
      <w:r>
        <w:rPr>
          <w:w w:val="105"/>
          <w:sz w:val="21"/>
        </w:rPr>
        <w:t>a</w:t>
      </w:r>
      <w:r>
        <w:rPr>
          <w:spacing w:val="-4"/>
          <w:w w:val="105"/>
          <w:sz w:val="21"/>
        </w:rPr>
        <w:t> </w:t>
      </w:r>
      <w:r>
        <w:rPr>
          <w:w w:val="105"/>
          <w:sz w:val="21"/>
        </w:rPr>
        <w:t>person</w:t>
      </w:r>
      <w:r>
        <w:rPr>
          <w:spacing w:val="-3"/>
          <w:w w:val="105"/>
          <w:sz w:val="21"/>
        </w:rPr>
        <w:t> </w:t>
      </w:r>
      <w:r>
        <w:rPr>
          <w:w w:val="105"/>
          <w:sz w:val="21"/>
        </w:rPr>
        <w:t>who</w:t>
      </w:r>
      <w:r>
        <w:rPr>
          <w:spacing w:val="-4"/>
          <w:w w:val="105"/>
          <w:sz w:val="21"/>
        </w:rPr>
        <w:t> </w:t>
      </w:r>
      <w:r>
        <w:rPr>
          <w:spacing w:val="-2"/>
          <w:w w:val="105"/>
          <w:sz w:val="21"/>
        </w:rPr>
        <w:t>has</w:t>
      </w:r>
      <w:r>
        <w:rPr>
          <w:spacing w:val="-3"/>
          <w:w w:val="105"/>
          <w:sz w:val="21"/>
        </w:rPr>
        <w:t> </w:t>
      </w:r>
      <w:r>
        <w:rPr>
          <w:w w:val="105"/>
          <w:sz w:val="21"/>
        </w:rPr>
        <w:t>an</w:t>
      </w:r>
      <w:r>
        <w:rPr>
          <w:spacing w:val="-4"/>
          <w:w w:val="105"/>
          <w:sz w:val="21"/>
        </w:rPr>
        <w:t> </w:t>
      </w:r>
      <w:r>
        <w:rPr>
          <w:w w:val="105"/>
          <w:sz w:val="21"/>
        </w:rPr>
        <w:t>estate</w:t>
      </w:r>
      <w:r>
        <w:rPr>
          <w:spacing w:val="-3"/>
          <w:w w:val="105"/>
          <w:sz w:val="21"/>
        </w:rPr>
        <w:t> </w:t>
      </w:r>
      <w:r>
        <w:rPr>
          <w:w w:val="105"/>
          <w:sz w:val="21"/>
        </w:rPr>
        <w:t>in</w:t>
      </w:r>
      <w:r>
        <w:rPr>
          <w:spacing w:val="-3"/>
          <w:w w:val="105"/>
          <w:sz w:val="21"/>
        </w:rPr>
        <w:t> </w:t>
      </w:r>
      <w:r>
        <w:rPr>
          <w:w w:val="105"/>
          <w:sz w:val="21"/>
        </w:rPr>
        <w:t>fee</w:t>
      </w:r>
      <w:r>
        <w:rPr>
          <w:spacing w:val="-4"/>
          <w:w w:val="105"/>
          <w:sz w:val="21"/>
        </w:rPr>
        <w:t> </w:t>
      </w:r>
      <w:r>
        <w:rPr>
          <w:spacing w:val="-3"/>
          <w:w w:val="105"/>
          <w:sz w:val="21"/>
        </w:rPr>
        <w:t>simple </w:t>
      </w:r>
      <w:r>
        <w:rPr>
          <w:w w:val="105"/>
          <w:sz w:val="21"/>
        </w:rPr>
        <w:t>in</w:t>
      </w:r>
      <w:r>
        <w:rPr>
          <w:spacing w:val="-4"/>
          <w:w w:val="105"/>
          <w:sz w:val="21"/>
        </w:rPr>
        <w:t> </w:t>
      </w:r>
      <w:r>
        <w:rPr>
          <w:w w:val="105"/>
          <w:sz w:val="21"/>
        </w:rPr>
        <w:t>the</w:t>
      </w:r>
      <w:r>
        <w:rPr>
          <w:spacing w:val="-3"/>
          <w:w w:val="105"/>
          <w:sz w:val="21"/>
        </w:rPr>
        <w:t> land </w:t>
      </w:r>
      <w:r>
        <w:rPr>
          <w:w w:val="105"/>
          <w:sz w:val="21"/>
        </w:rPr>
        <w:t>(except</w:t>
      </w:r>
      <w:r>
        <w:rPr>
          <w:spacing w:val="-4"/>
          <w:w w:val="105"/>
          <w:sz w:val="21"/>
        </w:rPr>
        <w:t> </w:t>
      </w:r>
      <w:r>
        <w:rPr>
          <w:w w:val="105"/>
          <w:sz w:val="21"/>
        </w:rPr>
        <w:t>a</w:t>
      </w:r>
      <w:r>
        <w:rPr>
          <w:spacing w:val="-3"/>
          <w:w w:val="105"/>
          <w:sz w:val="21"/>
        </w:rPr>
        <w:t> </w:t>
      </w:r>
      <w:r>
        <w:rPr>
          <w:w w:val="105"/>
          <w:sz w:val="21"/>
        </w:rPr>
        <w:t>mortgagee),</w:t>
      </w:r>
      <w:r>
        <w:rPr>
          <w:spacing w:val="-4"/>
          <w:w w:val="105"/>
          <w:sz w:val="21"/>
        </w:rPr>
        <w:t> </w:t>
      </w:r>
      <w:r>
        <w:rPr>
          <w:w w:val="105"/>
          <w:sz w:val="21"/>
        </w:rPr>
        <w:t>or</w:t>
      </w:r>
      <w:r>
        <w:rPr>
          <w:spacing w:val="-3"/>
          <w:w w:val="105"/>
          <w:sz w:val="21"/>
        </w:rPr>
        <w:t> </w:t>
      </w:r>
      <w:r>
        <w:rPr>
          <w:w w:val="105"/>
          <w:sz w:val="21"/>
        </w:rPr>
        <w:t>who</w:t>
      </w:r>
      <w:r>
        <w:rPr>
          <w:spacing w:val="-4"/>
          <w:w w:val="105"/>
          <w:sz w:val="21"/>
        </w:rPr>
        <w:t> </w:t>
      </w:r>
      <w:r>
        <w:rPr>
          <w:w w:val="105"/>
          <w:sz w:val="21"/>
        </w:rPr>
        <w:t>is </w:t>
      </w:r>
      <w:r>
        <w:rPr>
          <w:spacing w:val="-2"/>
          <w:w w:val="105"/>
          <w:sz w:val="21"/>
        </w:rPr>
        <w:t>empowered </w:t>
      </w:r>
      <w:r>
        <w:rPr>
          <w:spacing w:val="-3"/>
          <w:w w:val="105"/>
          <w:sz w:val="21"/>
        </w:rPr>
        <w:t>to convey </w:t>
      </w:r>
      <w:r>
        <w:rPr>
          <w:w w:val="105"/>
          <w:sz w:val="21"/>
        </w:rPr>
        <w:t>an estate in fee </w:t>
      </w:r>
      <w:r>
        <w:rPr>
          <w:spacing w:val="-3"/>
          <w:w w:val="105"/>
          <w:sz w:val="21"/>
        </w:rPr>
        <w:t>simple </w:t>
      </w:r>
      <w:r>
        <w:rPr>
          <w:w w:val="105"/>
          <w:sz w:val="21"/>
        </w:rPr>
        <w:t>in the </w:t>
      </w:r>
      <w:r>
        <w:rPr>
          <w:spacing w:val="-3"/>
          <w:w w:val="105"/>
          <w:sz w:val="21"/>
        </w:rPr>
        <w:t>land,</w:t>
      </w:r>
      <w:r>
        <w:rPr>
          <w:w w:val="105"/>
          <w:sz w:val="21"/>
        </w:rPr>
        <w:t> or</w:t>
      </w:r>
    </w:p>
    <w:p>
      <w:pPr>
        <w:pStyle w:val="ListParagraph"/>
        <w:numPr>
          <w:ilvl w:val="1"/>
          <w:numId w:val="64"/>
        </w:numPr>
        <w:tabs>
          <w:tab w:pos="2721" w:val="left" w:leader="none"/>
          <w:tab w:pos="2722" w:val="left" w:leader="none"/>
        </w:tabs>
        <w:spacing w:line="240" w:lineRule="auto" w:before="88" w:after="0"/>
        <w:ind w:left="2721" w:right="0" w:hanging="340"/>
        <w:jc w:val="left"/>
        <w:rPr>
          <w:sz w:val="21"/>
        </w:rPr>
      </w:pPr>
      <w:r>
        <w:rPr>
          <w:sz w:val="21"/>
        </w:rPr>
        <w:t>the</w:t>
      </w:r>
      <w:r>
        <w:rPr>
          <w:spacing w:val="9"/>
          <w:sz w:val="21"/>
        </w:rPr>
        <w:t> </w:t>
      </w:r>
      <w:r>
        <w:rPr>
          <w:spacing w:val="-3"/>
          <w:sz w:val="21"/>
        </w:rPr>
        <w:t>owner’s</w:t>
      </w:r>
      <w:r>
        <w:rPr>
          <w:spacing w:val="10"/>
          <w:sz w:val="21"/>
        </w:rPr>
        <w:t> </w:t>
      </w:r>
      <w:r>
        <w:rPr>
          <w:spacing w:val="-3"/>
          <w:sz w:val="21"/>
        </w:rPr>
        <w:t>corporation</w:t>
      </w:r>
      <w:r>
        <w:rPr>
          <w:spacing w:val="9"/>
          <w:sz w:val="21"/>
        </w:rPr>
        <w:t> </w:t>
      </w:r>
      <w:r>
        <w:rPr>
          <w:sz w:val="21"/>
        </w:rPr>
        <w:t>if</w:t>
      </w:r>
      <w:r>
        <w:rPr>
          <w:spacing w:val="10"/>
          <w:sz w:val="21"/>
        </w:rPr>
        <w:t> </w:t>
      </w:r>
      <w:r>
        <w:rPr>
          <w:sz w:val="21"/>
        </w:rPr>
        <w:t>the</w:t>
      </w:r>
      <w:r>
        <w:rPr>
          <w:spacing w:val="9"/>
          <w:sz w:val="21"/>
        </w:rPr>
        <w:t> </w:t>
      </w:r>
      <w:r>
        <w:rPr>
          <w:spacing w:val="-3"/>
          <w:sz w:val="21"/>
        </w:rPr>
        <w:t>land</w:t>
      </w:r>
      <w:r>
        <w:rPr>
          <w:spacing w:val="10"/>
          <w:sz w:val="21"/>
        </w:rPr>
        <w:t> </w:t>
      </w:r>
      <w:r>
        <w:rPr>
          <w:sz w:val="21"/>
        </w:rPr>
        <w:t>is</w:t>
      </w:r>
      <w:r>
        <w:rPr>
          <w:spacing w:val="9"/>
          <w:sz w:val="21"/>
        </w:rPr>
        <w:t> </w:t>
      </w:r>
      <w:r>
        <w:rPr>
          <w:spacing w:val="-2"/>
          <w:sz w:val="21"/>
        </w:rPr>
        <w:t>common</w:t>
      </w:r>
      <w:r>
        <w:rPr>
          <w:spacing w:val="10"/>
          <w:sz w:val="21"/>
        </w:rPr>
        <w:t> </w:t>
      </w:r>
      <w:r>
        <w:rPr>
          <w:sz w:val="21"/>
        </w:rPr>
        <w:t>property.</w:t>
      </w:r>
    </w:p>
    <w:p>
      <w:pPr>
        <w:pStyle w:val="ListParagraph"/>
        <w:numPr>
          <w:ilvl w:val="0"/>
          <w:numId w:val="64"/>
        </w:numPr>
        <w:tabs>
          <w:tab w:pos="2381" w:val="left" w:leader="none"/>
          <w:tab w:pos="2382" w:val="left" w:leader="none"/>
        </w:tabs>
        <w:spacing w:line="242" w:lineRule="auto" w:before="88" w:after="0"/>
        <w:ind w:left="2381" w:right="1713" w:hanging="794"/>
        <w:jc w:val="left"/>
        <w:rPr>
          <w:sz w:val="21"/>
        </w:rPr>
      </w:pPr>
      <w:r>
        <w:rPr>
          <w:w w:val="105"/>
          <w:sz w:val="21"/>
        </w:rPr>
        <w:t>The </w:t>
      </w:r>
      <w:r>
        <w:rPr>
          <w:spacing w:val="-3"/>
          <w:w w:val="105"/>
          <w:sz w:val="21"/>
        </w:rPr>
        <w:t>Commission notes that liability </w:t>
      </w:r>
      <w:r>
        <w:rPr>
          <w:w w:val="105"/>
          <w:sz w:val="21"/>
        </w:rPr>
        <w:t>under the NSW Act </w:t>
      </w:r>
      <w:r>
        <w:rPr>
          <w:spacing w:val="-3"/>
          <w:w w:val="105"/>
          <w:sz w:val="21"/>
        </w:rPr>
        <w:t>may </w:t>
      </w:r>
      <w:r>
        <w:rPr>
          <w:w w:val="105"/>
          <w:sz w:val="21"/>
        </w:rPr>
        <w:t>extend </w:t>
      </w:r>
      <w:r>
        <w:rPr>
          <w:spacing w:val="-3"/>
          <w:w w:val="105"/>
          <w:sz w:val="21"/>
        </w:rPr>
        <w:t>to </w:t>
      </w:r>
      <w:r>
        <w:rPr>
          <w:w w:val="105"/>
          <w:sz w:val="21"/>
        </w:rPr>
        <w:t>occupiers of land,</w:t>
      </w:r>
      <w:r>
        <w:rPr>
          <w:w w:val="105"/>
          <w:position w:val="7"/>
          <w:sz w:val="12"/>
        </w:rPr>
        <w:t>282 </w:t>
      </w:r>
      <w:r>
        <w:rPr>
          <w:w w:val="105"/>
          <w:sz w:val="21"/>
        </w:rPr>
        <w:t>but in </w:t>
      </w:r>
      <w:r>
        <w:rPr>
          <w:spacing w:val="-3"/>
          <w:w w:val="105"/>
          <w:sz w:val="21"/>
        </w:rPr>
        <w:t>accordance </w:t>
      </w:r>
      <w:r>
        <w:rPr>
          <w:w w:val="105"/>
          <w:sz w:val="21"/>
        </w:rPr>
        <w:t>with </w:t>
      </w:r>
      <w:r>
        <w:rPr>
          <w:spacing w:val="-3"/>
          <w:w w:val="105"/>
          <w:sz w:val="21"/>
        </w:rPr>
        <w:t>submissions </w:t>
      </w:r>
      <w:r>
        <w:rPr>
          <w:w w:val="105"/>
          <w:sz w:val="21"/>
        </w:rPr>
        <w:t>and </w:t>
      </w:r>
      <w:r>
        <w:rPr>
          <w:spacing w:val="-3"/>
          <w:w w:val="105"/>
          <w:sz w:val="21"/>
        </w:rPr>
        <w:t>consultations, </w:t>
      </w:r>
      <w:r>
        <w:rPr>
          <w:w w:val="105"/>
          <w:sz w:val="21"/>
        </w:rPr>
        <w:t>the </w:t>
      </w:r>
      <w:r>
        <w:rPr>
          <w:spacing w:val="-3"/>
          <w:w w:val="105"/>
          <w:sz w:val="21"/>
        </w:rPr>
        <w:t>Commission </w:t>
      </w:r>
      <w:r>
        <w:rPr>
          <w:w w:val="105"/>
          <w:sz w:val="21"/>
        </w:rPr>
        <w:t>considers </w:t>
      </w:r>
      <w:r>
        <w:rPr>
          <w:spacing w:val="-3"/>
          <w:w w:val="105"/>
          <w:sz w:val="21"/>
        </w:rPr>
        <w:t>that liability </w:t>
      </w:r>
      <w:r>
        <w:rPr>
          <w:w w:val="105"/>
          <w:sz w:val="21"/>
        </w:rPr>
        <w:t>should be </w:t>
      </w:r>
      <w:r>
        <w:rPr>
          <w:spacing w:val="-3"/>
          <w:w w:val="105"/>
          <w:sz w:val="21"/>
        </w:rPr>
        <w:t>limited to </w:t>
      </w:r>
      <w:r>
        <w:rPr>
          <w:w w:val="105"/>
          <w:sz w:val="21"/>
        </w:rPr>
        <w:t>the owner of the</w:t>
      </w:r>
      <w:r>
        <w:rPr>
          <w:spacing w:val="2"/>
          <w:w w:val="105"/>
          <w:sz w:val="21"/>
        </w:rPr>
        <w:t> </w:t>
      </w:r>
      <w:r>
        <w:rPr>
          <w:spacing w:val="-3"/>
          <w:w w:val="105"/>
          <w:sz w:val="21"/>
        </w:rPr>
        <w:t>land.</w:t>
      </w:r>
    </w:p>
    <w:p>
      <w:pPr>
        <w:pStyle w:val="ListParagraph"/>
        <w:numPr>
          <w:ilvl w:val="0"/>
          <w:numId w:val="64"/>
        </w:numPr>
        <w:tabs>
          <w:tab w:pos="2380" w:val="left" w:leader="none"/>
          <w:tab w:pos="2382" w:val="left" w:leader="none"/>
        </w:tabs>
        <w:spacing w:line="242" w:lineRule="auto" w:before="124" w:after="0"/>
        <w:ind w:left="2381" w:right="1675" w:hanging="794"/>
        <w:jc w:val="left"/>
        <w:rPr>
          <w:sz w:val="21"/>
        </w:rPr>
      </w:pPr>
      <w:r>
        <w:rPr>
          <w:sz w:val="21"/>
        </w:rPr>
        <w:t>While some long-term </w:t>
      </w:r>
      <w:r>
        <w:rPr>
          <w:spacing w:val="-3"/>
          <w:sz w:val="21"/>
        </w:rPr>
        <w:t>tenants may </w:t>
      </w:r>
      <w:r>
        <w:rPr>
          <w:sz w:val="21"/>
        </w:rPr>
        <w:t>be </w:t>
      </w:r>
      <w:r>
        <w:rPr>
          <w:spacing w:val="-3"/>
          <w:sz w:val="21"/>
        </w:rPr>
        <w:t>found liable to contribute to </w:t>
      </w:r>
      <w:r>
        <w:rPr>
          <w:sz w:val="21"/>
        </w:rPr>
        <w:t>the costs of </w:t>
      </w:r>
      <w:r>
        <w:rPr>
          <w:spacing w:val="-3"/>
          <w:sz w:val="21"/>
        </w:rPr>
        <w:t>fencing </w:t>
      </w:r>
      <w:r>
        <w:rPr>
          <w:sz w:val="21"/>
        </w:rPr>
        <w:t>works under the Fences Act,</w:t>
      </w:r>
      <w:r>
        <w:rPr>
          <w:position w:val="7"/>
          <w:sz w:val="12"/>
        </w:rPr>
        <w:t>283 </w:t>
      </w:r>
      <w:r>
        <w:rPr>
          <w:sz w:val="21"/>
        </w:rPr>
        <w:t>the </w:t>
      </w:r>
      <w:r>
        <w:rPr>
          <w:spacing w:val="-3"/>
          <w:sz w:val="21"/>
        </w:rPr>
        <w:t>Commission </w:t>
      </w:r>
      <w:r>
        <w:rPr>
          <w:sz w:val="21"/>
        </w:rPr>
        <w:t>does </w:t>
      </w:r>
      <w:r>
        <w:rPr>
          <w:spacing w:val="-2"/>
          <w:sz w:val="21"/>
        </w:rPr>
        <w:t>not </w:t>
      </w:r>
      <w:r>
        <w:rPr>
          <w:spacing w:val="-3"/>
          <w:sz w:val="21"/>
        </w:rPr>
        <w:t>consider  that  </w:t>
      </w:r>
      <w:r>
        <w:rPr>
          <w:sz w:val="21"/>
        </w:rPr>
        <w:t>this is </w:t>
      </w:r>
      <w:r>
        <w:rPr>
          <w:spacing w:val="-3"/>
          <w:sz w:val="21"/>
        </w:rPr>
        <w:t>appropriate  for </w:t>
      </w:r>
      <w:r>
        <w:rPr>
          <w:sz w:val="21"/>
        </w:rPr>
        <w:t>the new Act.  The  </w:t>
      </w:r>
      <w:r>
        <w:rPr>
          <w:spacing w:val="-3"/>
          <w:sz w:val="21"/>
        </w:rPr>
        <w:t>rationale  for  interventions  </w:t>
      </w:r>
      <w:r>
        <w:rPr>
          <w:sz w:val="21"/>
        </w:rPr>
        <w:t>and  the  </w:t>
      </w:r>
      <w:r>
        <w:rPr>
          <w:spacing w:val="-3"/>
          <w:sz w:val="21"/>
        </w:rPr>
        <w:t>outcomes  sought  for  fencing </w:t>
      </w:r>
      <w:r>
        <w:rPr>
          <w:sz w:val="21"/>
        </w:rPr>
        <w:t>and tree </w:t>
      </w:r>
      <w:r>
        <w:rPr>
          <w:spacing w:val="-3"/>
          <w:sz w:val="21"/>
        </w:rPr>
        <w:t>disputes are different. </w:t>
      </w:r>
      <w:r>
        <w:rPr>
          <w:sz w:val="21"/>
        </w:rPr>
        <w:t>Action </w:t>
      </w:r>
      <w:r>
        <w:rPr>
          <w:spacing w:val="-3"/>
          <w:sz w:val="21"/>
        </w:rPr>
        <w:t>may </w:t>
      </w:r>
      <w:r>
        <w:rPr>
          <w:sz w:val="21"/>
        </w:rPr>
        <w:t>still be </w:t>
      </w:r>
      <w:r>
        <w:rPr>
          <w:spacing w:val="-3"/>
          <w:sz w:val="21"/>
        </w:rPr>
        <w:t>taken against </w:t>
      </w:r>
      <w:r>
        <w:rPr>
          <w:sz w:val="21"/>
        </w:rPr>
        <w:t>a </w:t>
      </w:r>
      <w:r>
        <w:rPr>
          <w:spacing w:val="-3"/>
          <w:sz w:val="21"/>
        </w:rPr>
        <w:t>tenant </w:t>
      </w:r>
      <w:r>
        <w:rPr>
          <w:sz w:val="21"/>
        </w:rPr>
        <w:t>in </w:t>
      </w:r>
      <w:r>
        <w:rPr>
          <w:spacing w:val="-3"/>
          <w:sz w:val="21"/>
        </w:rPr>
        <w:t>nuisance </w:t>
      </w:r>
      <w:r>
        <w:rPr>
          <w:sz w:val="21"/>
        </w:rPr>
        <w:t>at </w:t>
      </w:r>
      <w:r>
        <w:rPr>
          <w:spacing w:val="-2"/>
          <w:sz w:val="21"/>
        </w:rPr>
        <w:t>common </w:t>
      </w:r>
      <w:r>
        <w:rPr>
          <w:spacing w:val="-5"/>
          <w:sz w:val="21"/>
        </w:rPr>
        <w:t>law. </w:t>
      </w:r>
      <w:r>
        <w:rPr>
          <w:sz w:val="21"/>
        </w:rPr>
        <w:t>See </w:t>
      </w:r>
      <w:r>
        <w:rPr>
          <w:spacing w:val="-4"/>
          <w:sz w:val="21"/>
        </w:rPr>
        <w:t>Chapter</w:t>
      </w:r>
      <w:r>
        <w:rPr>
          <w:spacing w:val="1"/>
          <w:sz w:val="21"/>
        </w:rPr>
        <w:t> </w:t>
      </w:r>
      <w:r>
        <w:rPr>
          <w:spacing w:val="-3"/>
          <w:sz w:val="21"/>
        </w:rPr>
        <w:t>3.</w:t>
      </w:r>
    </w:p>
    <w:p>
      <w:pPr>
        <w:pStyle w:val="ListParagraph"/>
        <w:numPr>
          <w:ilvl w:val="0"/>
          <w:numId w:val="64"/>
        </w:numPr>
        <w:tabs>
          <w:tab w:pos="2381" w:val="left" w:leader="none"/>
          <w:tab w:pos="2382" w:val="left" w:leader="none"/>
        </w:tabs>
        <w:spacing w:line="242" w:lineRule="auto" w:before="125" w:after="0"/>
        <w:ind w:left="2381" w:right="1629" w:hanging="794"/>
        <w:jc w:val="left"/>
        <w:rPr>
          <w:sz w:val="21"/>
        </w:rPr>
      </w:pPr>
      <w:r>
        <w:rPr>
          <w:w w:val="105"/>
          <w:sz w:val="21"/>
        </w:rPr>
        <w:t>Liability should </w:t>
      </w:r>
      <w:r>
        <w:rPr>
          <w:spacing w:val="-2"/>
          <w:w w:val="105"/>
          <w:sz w:val="21"/>
        </w:rPr>
        <w:t>not </w:t>
      </w:r>
      <w:r>
        <w:rPr>
          <w:w w:val="105"/>
          <w:sz w:val="21"/>
        </w:rPr>
        <w:t>extend </w:t>
      </w:r>
      <w:r>
        <w:rPr>
          <w:spacing w:val="-3"/>
          <w:w w:val="105"/>
          <w:sz w:val="21"/>
        </w:rPr>
        <w:t>to residential tenants. </w:t>
      </w:r>
      <w:r>
        <w:rPr>
          <w:w w:val="105"/>
          <w:sz w:val="21"/>
        </w:rPr>
        <w:t>This is </w:t>
      </w:r>
      <w:r>
        <w:rPr>
          <w:spacing w:val="-3"/>
          <w:w w:val="105"/>
          <w:sz w:val="21"/>
        </w:rPr>
        <w:t>consistent </w:t>
      </w:r>
      <w:r>
        <w:rPr>
          <w:w w:val="105"/>
          <w:sz w:val="21"/>
        </w:rPr>
        <w:t>with the approach under the Fences Act. The interests of a landowner in </w:t>
      </w:r>
      <w:r>
        <w:rPr>
          <w:spacing w:val="-3"/>
          <w:w w:val="105"/>
          <w:sz w:val="21"/>
        </w:rPr>
        <w:t>relation to </w:t>
      </w:r>
      <w:r>
        <w:rPr>
          <w:w w:val="105"/>
          <w:sz w:val="21"/>
        </w:rPr>
        <w:t>a tree </w:t>
      </w:r>
      <w:r>
        <w:rPr>
          <w:spacing w:val="-3"/>
          <w:w w:val="105"/>
          <w:sz w:val="21"/>
        </w:rPr>
        <w:t>are different to </w:t>
      </w:r>
      <w:r>
        <w:rPr>
          <w:w w:val="105"/>
          <w:sz w:val="21"/>
        </w:rPr>
        <w:t>those of a </w:t>
      </w:r>
      <w:r>
        <w:rPr>
          <w:spacing w:val="-3"/>
          <w:w w:val="105"/>
          <w:sz w:val="21"/>
        </w:rPr>
        <w:t>tenant </w:t>
      </w:r>
      <w:r>
        <w:rPr>
          <w:w w:val="105"/>
          <w:sz w:val="21"/>
        </w:rPr>
        <w:t>or </w:t>
      </w:r>
      <w:r>
        <w:rPr>
          <w:spacing w:val="-3"/>
          <w:w w:val="105"/>
          <w:sz w:val="21"/>
        </w:rPr>
        <w:t>occupier </w:t>
      </w:r>
      <w:r>
        <w:rPr>
          <w:w w:val="105"/>
          <w:sz w:val="21"/>
        </w:rPr>
        <w:t>of </w:t>
      </w:r>
      <w:r>
        <w:rPr>
          <w:spacing w:val="-3"/>
          <w:w w:val="105"/>
          <w:sz w:val="21"/>
        </w:rPr>
        <w:t>land. </w:t>
      </w:r>
      <w:r>
        <w:rPr>
          <w:spacing w:val="-4"/>
          <w:w w:val="105"/>
          <w:sz w:val="21"/>
        </w:rPr>
        <w:t>Moreover, </w:t>
      </w:r>
      <w:r>
        <w:rPr>
          <w:w w:val="105"/>
          <w:sz w:val="21"/>
        </w:rPr>
        <w:t>trees can add </w:t>
      </w:r>
      <w:r>
        <w:rPr>
          <w:spacing w:val="-3"/>
          <w:w w:val="105"/>
          <w:sz w:val="21"/>
        </w:rPr>
        <w:t>significant value to </w:t>
      </w:r>
      <w:r>
        <w:rPr>
          <w:w w:val="105"/>
          <w:sz w:val="21"/>
        </w:rPr>
        <w:t>land.</w:t>
      </w:r>
      <w:r>
        <w:rPr>
          <w:w w:val="105"/>
          <w:position w:val="7"/>
          <w:sz w:val="12"/>
        </w:rPr>
        <w:t>284</w:t>
      </w:r>
      <w:r>
        <w:rPr>
          <w:w w:val="105"/>
          <w:sz w:val="12"/>
        </w:rPr>
        <w:t> </w:t>
      </w:r>
      <w:r>
        <w:rPr>
          <w:spacing w:val="-4"/>
          <w:w w:val="105"/>
          <w:sz w:val="21"/>
        </w:rPr>
        <w:t>Further,</w:t>
      </w:r>
      <w:r>
        <w:rPr>
          <w:spacing w:val="-11"/>
          <w:w w:val="105"/>
          <w:sz w:val="21"/>
        </w:rPr>
        <w:t> </w:t>
      </w:r>
      <w:r>
        <w:rPr>
          <w:spacing w:val="-3"/>
          <w:w w:val="105"/>
          <w:sz w:val="21"/>
        </w:rPr>
        <w:t>landlords</w:t>
      </w:r>
      <w:r>
        <w:rPr>
          <w:spacing w:val="-10"/>
          <w:w w:val="105"/>
          <w:sz w:val="21"/>
        </w:rPr>
        <w:t> </w:t>
      </w:r>
      <w:r>
        <w:rPr>
          <w:w w:val="105"/>
          <w:sz w:val="21"/>
        </w:rPr>
        <w:t>(owners)</w:t>
      </w:r>
      <w:r>
        <w:rPr>
          <w:spacing w:val="-11"/>
          <w:w w:val="105"/>
          <w:sz w:val="21"/>
        </w:rPr>
        <w:t> </w:t>
      </w:r>
      <w:r>
        <w:rPr>
          <w:spacing w:val="-3"/>
          <w:w w:val="105"/>
          <w:sz w:val="21"/>
        </w:rPr>
        <w:t>are</w:t>
      </w:r>
      <w:r>
        <w:rPr>
          <w:spacing w:val="-10"/>
          <w:w w:val="105"/>
          <w:sz w:val="21"/>
        </w:rPr>
        <w:t> </w:t>
      </w:r>
      <w:r>
        <w:rPr>
          <w:spacing w:val="-3"/>
          <w:w w:val="105"/>
          <w:sz w:val="21"/>
        </w:rPr>
        <w:t>generally</w:t>
      </w:r>
      <w:r>
        <w:rPr>
          <w:spacing w:val="-11"/>
          <w:w w:val="105"/>
          <w:sz w:val="21"/>
        </w:rPr>
        <w:t> </w:t>
      </w:r>
      <w:r>
        <w:rPr>
          <w:spacing w:val="-3"/>
          <w:w w:val="105"/>
          <w:sz w:val="21"/>
        </w:rPr>
        <w:t>responsible</w:t>
      </w:r>
      <w:r>
        <w:rPr>
          <w:spacing w:val="-10"/>
          <w:w w:val="105"/>
          <w:sz w:val="21"/>
        </w:rPr>
        <w:t> </w:t>
      </w:r>
      <w:r>
        <w:rPr>
          <w:spacing w:val="-3"/>
          <w:w w:val="105"/>
          <w:sz w:val="21"/>
        </w:rPr>
        <w:t>for</w:t>
      </w:r>
      <w:r>
        <w:rPr>
          <w:spacing w:val="-10"/>
          <w:w w:val="105"/>
          <w:sz w:val="21"/>
        </w:rPr>
        <w:t> </w:t>
      </w:r>
      <w:r>
        <w:rPr>
          <w:w w:val="105"/>
          <w:sz w:val="21"/>
        </w:rPr>
        <w:t>vegetation</w:t>
      </w:r>
      <w:r>
        <w:rPr>
          <w:spacing w:val="-11"/>
          <w:w w:val="105"/>
          <w:sz w:val="21"/>
        </w:rPr>
        <w:t> </w:t>
      </w:r>
      <w:r>
        <w:rPr>
          <w:spacing w:val="-3"/>
          <w:w w:val="105"/>
          <w:sz w:val="21"/>
        </w:rPr>
        <w:t>maintenance</w:t>
      </w:r>
      <w:r>
        <w:rPr>
          <w:spacing w:val="-10"/>
          <w:w w:val="105"/>
          <w:sz w:val="21"/>
        </w:rPr>
        <w:t> </w:t>
      </w:r>
      <w:r>
        <w:rPr>
          <w:spacing w:val="-3"/>
          <w:w w:val="105"/>
          <w:sz w:val="21"/>
        </w:rPr>
        <w:t>pursuant to </w:t>
      </w:r>
      <w:r>
        <w:rPr>
          <w:w w:val="105"/>
          <w:sz w:val="21"/>
        </w:rPr>
        <w:t>lease arrangements and </w:t>
      </w:r>
      <w:r>
        <w:rPr>
          <w:spacing w:val="-3"/>
          <w:w w:val="105"/>
          <w:sz w:val="21"/>
        </w:rPr>
        <w:t>will therefore </w:t>
      </w:r>
      <w:r>
        <w:rPr>
          <w:w w:val="105"/>
          <w:sz w:val="21"/>
        </w:rPr>
        <w:t>be </w:t>
      </w:r>
      <w:r>
        <w:rPr>
          <w:spacing w:val="-3"/>
          <w:w w:val="105"/>
          <w:sz w:val="21"/>
        </w:rPr>
        <w:t>responsible for </w:t>
      </w:r>
      <w:r>
        <w:rPr>
          <w:w w:val="105"/>
          <w:sz w:val="21"/>
        </w:rPr>
        <w:t>the costs associated with orders made under the new Act.</w:t>
      </w:r>
      <w:r>
        <w:rPr>
          <w:w w:val="105"/>
          <w:position w:val="7"/>
          <w:sz w:val="12"/>
        </w:rPr>
        <w:t>285 </w:t>
      </w:r>
      <w:r>
        <w:rPr>
          <w:w w:val="105"/>
          <w:sz w:val="21"/>
        </w:rPr>
        <w:t>It would be </w:t>
      </w:r>
      <w:r>
        <w:rPr>
          <w:spacing w:val="-3"/>
          <w:w w:val="105"/>
          <w:sz w:val="21"/>
        </w:rPr>
        <w:t>unreasonable for liability to </w:t>
      </w:r>
      <w:r>
        <w:rPr>
          <w:w w:val="105"/>
          <w:sz w:val="21"/>
        </w:rPr>
        <w:t>attach </w:t>
      </w:r>
      <w:r>
        <w:rPr>
          <w:spacing w:val="-3"/>
          <w:w w:val="105"/>
          <w:sz w:val="21"/>
        </w:rPr>
        <w:t>to </w:t>
      </w:r>
      <w:r>
        <w:rPr>
          <w:w w:val="105"/>
          <w:sz w:val="21"/>
        </w:rPr>
        <w:t>a </w:t>
      </w:r>
      <w:r>
        <w:rPr>
          <w:spacing w:val="-3"/>
          <w:w w:val="105"/>
          <w:sz w:val="21"/>
        </w:rPr>
        <w:t>tenant </w:t>
      </w:r>
      <w:r>
        <w:rPr>
          <w:w w:val="105"/>
          <w:sz w:val="21"/>
        </w:rPr>
        <w:t>who </w:t>
      </w:r>
      <w:r>
        <w:rPr>
          <w:spacing w:val="-3"/>
          <w:w w:val="105"/>
          <w:sz w:val="21"/>
        </w:rPr>
        <w:t>may </w:t>
      </w:r>
      <w:r>
        <w:rPr>
          <w:spacing w:val="-2"/>
          <w:w w:val="105"/>
          <w:sz w:val="21"/>
        </w:rPr>
        <w:t>not </w:t>
      </w:r>
      <w:r>
        <w:rPr>
          <w:spacing w:val="-3"/>
          <w:w w:val="105"/>
          <w:sz w:val="21"/>
        </w:rPr>
        <w:t>have planted </w:t>
      </w:r>
      <w:r>
        <w:rPr>
          <w:w w:val="105"/>
          <w:sz w:val="21"/>
        </w:rPr>
        <w:t>the tree and </w:t>
      </w:r>
      <w:r>
        <w:rPr>
          <w:spacing w:val="-3"/>
          <w:w w:val="105"/>
          <w:sz w:val="21"/>
        </w:rPr>
        <w:t>may </w:t>
      </w:r>
      <w:r>
        <w:rPr>
          <w:w w:val="105"/>
          <w:sz w:val="21"/>
        </w:rPr>
        <w:t>only be at the </w:t>
      </w:r>
      <w:r>
        <w:rPr>
          <w:spacing w:val="-2"/>
          <w:w w:val="105"/>
          <w:sz w:val="21"/>
        </w:rPr>
        <w:t>premises </w:t>
      </w:r>
      <w:r>
        <w:rPr>
          <w:spacing w:val="-3"/>
          <w:w w:val="105"/>
          <w:sz w:val="21"/>
        </w:rPr>
        <w:t>for </w:t>
      </w:r>
      <w:r>
        <w:rPr>
          <w:w w:val="105"/>
          <w:sz w:val="21"/>
        </w:rPr>
        <w:t>a short </w:t>
      </w:r>
      <w:r>
        <w:rPr>
          <w:spacing w:val="-3"/>
          <w:w w:val="105"/>
          <w:sz w:val="21"/>
        </w:rPr>
        <w:t>time.</w:t>
      </w:r>
      <w:r>
        <w:rPr>
          <w:spacing w:val="-11"/>
          <w:w w:val="105"/>
          <w:sz w:val="21"/>
        </w:rPr>
        <w:t> </w:t>
      </w:r>
      <w:r>
        <w:rPr>
          <w:w w:val="105"/>
          <w:sz w:val="21"/>
        </w:rPr>
        <w:t>The</w:t>
      </w:r>
      <w:r>
        <w:rPr>
          <w:spacing w:val="-11"/>
          <w:w w:val="105"/>
          <w:sz w:val="21"/>
        </w:rPr>
        <w:t> </w:t>
      </w:r>
      <w:r>
        <w:rPr>
          <w:w w:val="105"/>
          <w:sz w:val="21"/>
        </w:rPr>
        <w:t>interstate</w:t>
      </w:r>
      <w:r>
        <w:rPr>
          <w:spacing w:val="-10"/>
          <w:w w:val="105"/>
          <w:sz w:val="21"/>
        </w:rPr>
        <w:t> </w:t>
      </w:r>
      <w:r>
        <w:rPr>
          <w:w w:val="105"/>
          <w:sz w:val="21"/>
        </w:rPr>
        <w:t>statutory</w:t>
      </w:r>
      <w:r>
        <w:rPr>
          <w:spacing w:val="-11"/>
          <w:w w:val="105"/>
          <w:sz w:val="21"/>
        </w:rPr>
        <w:t> </w:t>
      </w:r>
      <w:r>
        <w:rPr>
          <w:w w:val="105"/>
          <w:sz w:val="21"/>
        </w:rPr>
        <w:t>schemes</w:t>
      </w:r>
      <w:r>
        <w:rPr>
          <w:spacing w:val="-11"/>
          <w:w w:val="105"/>
          <w:sz w:val="21"/>
        </w:rPr>
        <w:t> </w:t>
      </w:r>
      <w:r>
        <w:rPr>
          <w:w w:val="105"/>
          <w:sz w:val="21"/>
        </w:rPr>
        <w:t>in</w:t>
      </w:r>
      <w:r>
        <w:rPr>
          <w:spacing w:val="-10"/>
          <w:w w:val="105"/>
          <w:sz w:val="21"/>
        </w:rPr>
        <w:t> </w:t>
      </w:r>
      <w:r>
        <w:rPr>
          <w:spacing w:val="-3"/>
          <w:w w:val="105"/>
          <w:sz w:val="21"/>
        </w:rPr>
        <w:t>Queensland</w:t>
      </w:r>
      <w:r>
        <w:rPr>
          <w:spacing w:val="-11"/>
          <w:w w:val="105"/>
          <w:sz w:val="21"/>
        </w:rPr>
        <w:t> </w:t>
      </w:r>
      <w:r>
        <w:rPr>
          <w:w w:val="105"/>
          <w:sz w:val="21"/>
        </w:rPr>
        <w:t>and</w:t>
      </w:r>
      <w:r>
        <w:rPr>
          <w:spacing w:val="-10"/>
          <w:w w:val="105"/>
          <w:sz w:val="21"/>
        </w:rPr>
        <w:t> </w:t>
      </w:r>
      <w:r>
        <w:rPr>
          <w:spacing w:val="-5"/>
          <w:w w:val="105"/>
          <w:sz w:val="21"/>
        </w:rPr>
        <w:t>Tasmania</w:t>
      </w:r>
      <w:r>
        <w:rPr>
          <w:spacing w:val="-11"/>
          <w:w w:val="105"/>
          <w:sz w:val="21"/>
        </w:rPr>
        <w:t> </w:t>
      </w:r>
      <w:r>
        <w:rPr>
          <w:w w:val="105"/>
          <w:sz w:val="21"/>
        </w:rPr>
        <w:t>do</w:t>
      </w:r>
      <w:r>
        <w:rPr>
          <w:spacing w:val="-11"/>
          <w:w w:val="105"/>
          <w:sz w:val="21"/>
        </w:rPr>
        <w:t> </w:t>
      </w:r>
      <w:r>
        <w:rPr>
          <w:spacing w:val="-2"/>
          <w:w w:val="105"/>
          <w:sz w:val="21"/>
        </w:rPr>
        <w:t>not</w:t>
      </w:r>
      <w:r>
        <w:rPr>
          <w:spacing w:val="-10"/>
          <w:w w:val="105"/>
          <w:sz w:val="21"/>
        </w:rPr>
        <w:t> </w:t>
      </w:r>
      <w:r>
        <w:rPr>
          <w:w w:val="105"/>
          <w:sz w:val="21"/>
        </w:rPr>
        <w:t>extend</w:t>
      </w:r>
      <w:r>
        <w:rPr>
          <w:spacing w:val="-11"/>
          <w:w w:val="105"/>
          <w:sz w:val="21"/>
        </w:rPr>
        <w:t> </w:t>
      </w:r>
      <w:r>
        <w:rPr>
          <w:spacing w:val="-3"/>
          <w:w w:val="105"/>
          <w:sz w:val="21"/>
        </w:rPr>
        <w:t>liability to residential</w:t>
      </w:r>
      <w:r>
        <w:rPr>
          <w:spacing w:val="13"/>
          <w:w w:val="105"/>
          <w:sz w:val="21"/>
        </w:rPr>
        <w:t> </w:t>
      </w:r>
      <w:r>
        <w:rPr>
          <w:spacing w:val="-3"/>
          <w:w w:val="105"/>
          <w:sz w:val="21"/>
        </w:rPr>
        <w:t>tenants.</w:t>
      </w:r>
    </w:p>
    <w:p>
      <w:pPr>
        <w:pStyle w:val="ListParagraph"/>
        <w:numPr>
          <w:ilvl w:val="0"/>
          <w:numId w:val="64"/>
        </w:numPr>
        <w:tabs>
          <w:tab w:pos="2381" w:val="left" w:leader="none"/>
          <w:tab w:pos="2382" w:val="left" w:leader="none"/>
        </w:tabs>
        <w:spacing w:line="242" w:lineRule="auto" w:before="130" w:after="0"/>
        <w:ind w:left="2381" w:right="1595" w:hanging="794"/>
        <w:jc w:val="left"/>
        <w:rPr>
          <w:sz w:val="21"/>
        </w:rPr>
      </w:pPr>
      <w:r>
        <w:rPr>
          <w:sz w:val="21"/>
        </w:rPr>
        <w:t>The </w:t>
      </w:r>
      <w:r>
        <w:rPr>
          <w:spacing w:val="-3"/>
          <w:sz w:val="21"/>
        </w:rPr>
        <w:t>Commission  </w:t>
      </w:r>
      <w:r>
        <w:rPr>
          <w:sz w:val="21"/>
        </w:rPr>
        <w:t>is comfortable with the new Act </w:t>
      </w:r>
      <w:r>
        <w:rPr>
          <w:spacing w:val="-3"/>
          <w:sz w:val="21"/>
        </w:rPr>
        <w:t>diverging</w:t>
      </w:r>
      <w:r>
        <w:rPr>
          <w:spacing w:val="41"/>
          <w:sz w:val="21"/>
        </w:rPr>
        <w:t> </w:t>
      </w:r>
      <w:r>
        <w:rPr>
          <w:spacing w:val="-3"/>
          <w:sz w:val="21"/>
        </w:rPr>
        <w:t>from  </w:t>
      </w:r>
      <w:r>
        <w:rPr>
          <w:sz w:val="21"/>
        </w:rPr>
        <w:t>the approach </w:t>
      </w:r>
      <w:r>
        <w:rPr>
          <w:spacing w:val="-3"/>
          <w:sz w:val="21"/>
        </w:rPr>
        <w:t>to  liability    </w:t>
      </w:r>
      <w:r>
        <w:rPr>
          <w:sz w:val="21"/>
        </w:rPr>
        <w:t>at </w:t>
      </w:r>
      <w:r>
        <w:rPr>
          <w:spacing w:val="-2"/>
          <w:sz w:val="21"/>
        </w:rPr>
        <w:t>common </w:t>
      </w:r>
      <w:r>
        <w:rPr>
          <w:sz w:val="21"/>
        </w:rPr>
        <w:t>law in </w:t>
      </w:r>
      <w:r>
        <w:rPr>
          <w:spacing w:val="-3"/>
          <w:sz w:val="21"/>
        </w:rPr>
        <w:t>negligence </w:t>
      </w:r>
      <w:r>
        <w:rPr>
          <w:sz w:val="21"/>
        </w:rPr>
        <w:t>and </w:t>
      </w:r>
      <w:r>
        <w:rPr>
          <w:spacing w:val="-3"/>
          <w:sz w:val="21"/>
        </w:rPr>
        <w:t>nuisance. </w:t>
      </w:r>
      <w:r>
        <w:rPr>
          <w:spacing w:val="-4"/>
          <w:sz w:val="21"/>
        </w:rPr>
        <w:t>At </w:t>
      </w:r>
      <w:r>
        <w:rPr>
          <w:spacing w:val="-2"/>
          <w:sz w:val="21"/>
        </w:rPr>
        <w:t>common </w:t>
      </w:r>
      <w:r>
        <w:rPr>
          <w:sz w:val="21"/>
        </w:rPr>
        <w:t>law it would be necessary </w:t>
      </w:r>
      <w:r>
        <w:rPr>
          <w:spacing w:val="-3"/>
          <w:sz w:val="21"/>
        </w:rPr>
        <w:t>to demonstrate that </w:t>
      </w:r>
      <w:r>
        <w:rPr>
          <w:sz w:val="21"/>
        </w:rPr>
        <w:t>the owner of </w:t>
      </w:r>
      <w:r>
        <w:rPr>
          <w:spacing w:val="-3"/>
          <w:sz w:val="21"/>
        </w:rPr>
        <w:t>land created, </w:t>
      </w:r>
      <w:r>
        <w:rPr>
          <w:sz w:val="21"/>
        </w:rPr>
        <w:t>adopted or </w:t>
      </w:r>
      <w:r>
        <w:rPr>
          <w:spacing w:val="-3"/>
          <w:sz w:val="21"/>
        </w:rPr>
        <w:t>continued </w:t>
      </w:r>
      <w:r>
        <w:rPr>
          <w:sz w:val="21"/>
        </w:rPr>
        <w:t>a </w:t>
      </w:r>
      <w:r>
        <w:rPr>
          <w:spacing w:val="-3"/>
          <w:sz w:val="21"/>
        </w:rPr>
        <w:t>nuisance, </w:t>
      </w:r>
      <w:r>
        <w:rPr>
          <w:sz w:val="21"/>
        </w:rPr>
        <w:t>or was </w:t>
      </w:r>
      <w:r>
        <w:rPr>
          <w:spacing w:val="-3"/>
          <w:sz w:val="21"/>
        </w:rPr>
        <w:t>negligent  for  </w:t>
      </w:r>
      <w:r>
        <w:rPr>
          <w:spacing w:val="-4"/>
          <w:sz w:val="21"/>
        </w:rPr>
        <w:t>failing  </w:t>
      </w:r>
      <w:r>
        <w:rPr>
          <w:spacing w:val="-3"/>
          <w:sz w:val="21"/>
        </w:rPr>
        <w:t>to  exercise  reasonable  </w:t>
      </w:r>
      <w:r>
        <w:rPr>
          <w:sz w:val="21"/>
        </w:rPr>
        <w:t>care.</w:t>
      </w:r>
      <w:r>
        <w:rPr>
          <w:position w:val="7"/>
          <w:sz w:val="12"/>
        </w:rPr>
        <w:t>286</w:t>
      </w:r>
      <w:r>
        <w:rPr>
          <w:spacing w:val="27"/>
          <w:position w:val="7"/>
          <w:sz w:val="12"/>
        </w:rPr>
        <w:t> </w:t>
      </w:r>
      <w:r>
        <w:rPr>
          <w:spacing w:val="-3"/>
          <w:sz w:val="21"/>
        </w:rPr>
        <w:t>Different  considerations  will  </w:t>
      </w:r>
      <w:r>
        <w:rPr>
          <w:sz w:val="21"/>
        </w:rPr>
        <w:t>apply under the new Act. The </w:t>
      </w:r>
      <w:r>
        <w:rPr>
          <w:spacing w:val="-3"/>
          <w:sz w:val="21"/>
        </w:rPr>
        <w:t>focus </w:t>
      </w:r>
      <w:r>
        <w:rPr>
          <w:sz w:val="21"/>
        </w:rPr>
        <w:t>of the new Act is </w:t>
      </w:r>
      <w:r>
        <w:rPr>
          <w:spacing w:val="-3"/>
          <w:sz w:val="21"/>
        </w:rPr>
        <w:t>primarily </w:t>
      </w:r>
      <w:r>
        <w:rPr>
          <w:sz w:val="21"/>
        </w:rPr>
        <w:t>about </w:t>
      </w:r>
      <w:r>
        <w:rPr>
          <w:spacing w:val="-3"/>
          <w:sz w:val="21"/>
        </w:rPr>
        <w:t>preventing future </w:t>
      </w:r>
      <w:r>
        <w:rPr>
          <w:sz w:val="21"/>
        </w:rPr>
        <w:t>damage  and </w:t>
      </w:r>
      <w:r>
        <w:rPr>
          <w:spacing w:val="-3"/>
          <w:sz w:val="21"/>
        </w:rPr>
        <w:t>harm. </w:t>
      </w:r>
      <w:r>
        <w:rPr>
          <w:sz w:val="21"/>
        </w:rPr>
        <w:t>It recognises </w:t>
      </w:r>
      <w:r>
        <w:rPr>
          <w:spacing w:val="-3"/>
          <w:sz w:val="21"/>
        </w:rPr>
        <w:t>that  </w:t>
      </w:r>
      <w:r>
        <w:rPr>
          <w:sz w:val="21"/>
        </w:rPr>
        <w:t>trees </w:t>
      </w:r>
      <w:r>
        <w:rPr>
          <w:spacing w:val="-3"/>
          <w:sz w:val="21"/>
        </w:rPr>
        <w:t>are</w:t>
      </w:r>
      <w:r>
        <w:rPr>
          <w:spacing w:val="41"/>
          <w:sz w:val="21"/>
        </w:rPr>
        <w:t> </w:t>
      </w:r>
      <w:r>
        <w:rPr>
          <w:sz w:val="21"/>
        </w:rPr>
        <w:t>dynamic, </w:t>
      </w:r>
      <w:r>
        <w:rPr>
          <w:spacing w:val="-3"/>
          <w:sz w:val="21"/>
        </w:rPr>
        <w:t>living  organisms  </w:t>
      </w:r>
      <w:r>
        <w:rPr>
          <w:sz w:val="21"/>
        </w:rPr>
        <w:t>and the risks they </w:t>
      </w:r>
      <w:r>
        <w:rPr>
          <w:spacing w:val="-3"/>
          <w:sz w:val="21"/>
        </w:rPr>
        <w:t>may </w:t>
      </w:r>
      <w:r>
        <w:rPr>
          <w:sz w:val="21"/>
        </w:rPr>
        <w:t>pose </w:t>
      </w:r>
      <w:r>
        <w:rPr>
          <w:spacing w:val="-3"/>
          <w:sz w:val="21"/>
        </w:rPr>
        <w:t>to individuals </w:t>
      </w:r>
      <w:r>
        <w:rPr>
          <w:sz w:val="21"/>
        </w:rPr>
        <w:t>on </w:t>
      </w:r>
      <w:r>
        <w:rPr>
          <w:spacing w:val="-3"/>
          <w:sz w:val="21"/>
        </w:rPr>
        <w:t>adjoining land will </w:t>
      </w:r>
      <w:r>
        <w:rPr>
          <w:spacing w:val="-2"/>
          <w:sz w:val="21"/>
        </w:rPr>
        <w:t>not </w:t>
      </w:r>
      <w:r>
        <w:rPr>
          <w:sz w:val="21"/>
        </w:rPr>
        <w:t>necessary arise </w:t>
      </w:r>
      <w:r>
        <w:rPr>
          <w:spacing w:val="-3"/>
          <w:sz w:val="21"/>
        </w:rPr>
        <w:t>from </w:t>
      </w:r>
      <w:r>
        <w:rPr>
          <w:sz w:val="21"/>
        </w:rPr>
        <w:t>acts or </w:t>
      </w:r>
      <w:r>
        <w:rPr>
          <w:spacing w:val="-3"/>
          <w:sz w:val="21"/>
        </w:rPr>
        <w:t>omissions </w:t>
      </w:r>
      <w:r>
        <w:rPr>
          <w:sz w:val="21"/>
        </w:rPr>
        <w:t>of the </w:t>
      </w:r>
      <w:r>
        <w:rPr>
          <w:spacing w:val="-4"/>
          <w:sz w:val="21"/>
        </w:rPr>
        <w:t>landowner.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r>
        <w:rPr/>
        <w:pict>
          <v:line style="position:absolute;mso-position-horizontal-relative:page;mso-position-vertical-relative:paragraph;z-index:4928;mso-wrap-distance-left:0;mso-wrap-distance-right:0" from="79.370003pt,11.850563pt" to="515.905003pt,11.850563pt" stroked="true" strokeweight="1pt" strokecolor="#c9d2cb">
            <v:stroke dashstyle="solid"/>
            <w10:wrap type="topAndBottom"/>
          </v:line>
        </w:pict>
      </w:r>
    </w:p>
    <w:p>
      <w:pPr>
        <w:pStyle w:val="ListParagraph"/>
        <w:numPr>
          <w:ilvl w:val="0"/>
          <w:numId w:val="73"/>
        </w:numPr>
        <w:tabs>
          <w:tab w:pos="2380" w:val="left" w:leader="none"/>
          <w:tab w:pos="2382" w:val="left" w:leader="none"/>
        </w:tabs>
        <w:spacing w:line="240" w:lineRule="auto" w:before="117" w:after="0"/>
        <w:ind w:left="2381" w:right="0" w:hanging="794"/>
        <w:jc w:val="left"/>
        <w:rPr>
          <w:i/>
          <w:sz w:val="13"/>
        </w:rPr>
      </w:pPr>
      <w:r>
        <w:rPr>
          <w:w w:val="105"/>
          <w:sz w:val="13"/>
        </w:rPr>
        <w:t>The</w:t>
      </w:r>
      <w:r>
        <w:rPr>
          <w:spacing w:val="5"/>
          <w:w w:val="105"/>
          <w:sz w:val="13"/>
        </w:rPr>
        <w:t> </w:t>
      </w:r>
      <w:r>
        <w:rPr>
          <w:w w:val="105"/>
          <w:sz w:val="13"/>
        </w:rPr>
        <w:t>term</w:t>
      </w:r>
      <w:r>
        <w:rPr>
          <w:spacing w:val="6"/>
          <w:w w:val="105"/>
          <w:sz w:val="13"/>
        </w:rPr>
        <w:t> </w:t>
      </w:r>
      <w:r>
        <w:rPr>
          <w:w w:val="105"/>
          <w:sz w:val="13"/>
        </w:rPr>
        <w:t>‘owner</w:t>
      </w:r>
      <w:r>
        <w:rPr>
          <w:spacing w:val="6"/>
          <w:w w:val="105"/>
          <w:sz w:val="13"/>
        </w:rPr>
        <w:t> </w:t>
      </w:r>
      <w:r>
        <w:rPr>
          <w:w w:val="105"/>
          <w:sz w:val="13"/>
        </w:rPr>
        <w:t>of</w:t>
      </w:r>
      <w:r>
        <w:rPr>
          <w:spacing w:val="6"/>
          <w:w w:val="105"/>
          <w:sz w:val="13"/>
        </w:rPr>
        <w:t> </w:t>
      </w:r>
      <w:r>
        <w:rPr>
          <w:w w:val="105"/>
          <w:sz w:val="13"/>
        </w:rPr>
        <w:t>land’</w:t>
      </w:r>
      <w:r>
        <w:rPr>
          <w:spacing w:val="6"/>
          <w:w w:val="105"/>
          <w:sz w:val="13"/>
        </w:rPr>
        <w:t> </w:t>
      </w:r>
      <w:r>
        <w:rPr>
          <w:w w:val="105"/>
          <w:sz w:val="13"/>
        </w:rPr>
        <w:t>is</w:t>
      </w:r>
      <w:r>
        <w:rPr>
          <w:spacing w:val="5"/>
          <w:w w:val="105"/>
          <w:sz w:val="13"/>
        </w:rPr>
        <w:t> </w:t>
      </w:r>
      <w:r>
        <w:rPr>
          <w:w w:val="105"/>
          <w:sz w:val="13"/>
        </w:rPr>
        <w:t>defined</w:t>
      </w:r>
      <w:r>
        <w:rPr>
          <w:spacing w:val="6"/>
          <w:w w:val="105"/>
          <w:sz w:val="13"/>
        </w:rPr>
        <w:t> </w:t>
      </w:r>
      <w:r>
        <w:rPr>
          <w:w w:val="105"/>
          <w:sz w:val="13"/>
        </w:rPr>
        <w:t>to</w:t>
      </w:r>
      <w:r>
        <w:rPr>
          <w:spacing w:val="6"/>
          <w:w w:val="105"/>
          <w:sz w:val="13"/>
        </w:rPr>
        <w:t> </w:t>
      </w:r>
      <w:r>
        <w:rPr>
          <w:w w:val="105"/>
          <w:sz w:val="13"/>
        </w:rPr>
        <w:t>also</w:t>
      </w:r>
      <w:r>
        <w:rPr>
          <w:spacing w:val="6"/>
          <w:w w:val="105"/>
          <w:sz w:val="13"/>
        </w:rPr>
        <w:t> </w:t>
      </w:r>
      <w:r>
        <w:rPr>
          <w:w w:val="105"/>
          <w:sz w:val="13"/>
        </w:rPr>
        <w:t>include</w:t>
      </w:r>
      <w:r>
        <w:rPr>
          <w:spacing w:val="6"/>
          <w:w w:val="105"/>
          <w:sz w:val="13"/>
        </w:rPr>
        <w:t> </w:t>
      </w:r>
      <w:r>
        <w:rPr>
          <w:w w:val="105"/>
          <w:sz w:val="13"/>
        </w:rPr>
        <w:t>“the</w:t>
      </w:r>
      <w:r>
        <w:rPr>
          <w:spacing w:val="5"/>
          <w:w w:val="105"/>
          <w:sz w:val="13"/>
        </w:rPr>
        <w:t> </w:t>
      </w:r>
      <w:r>
        <w:rPr>
          <w:w w:val="105"/>
          <w:sz w:val="13"/>
        </w:rPr>
        <w:t>occupier</w:t>
      </w:r>
      <w:r>
        <w:rPr>
          <w:spacing w:val="6"/>
          <w:w w:val="105"/>
          <w:sz w:val="13"/>
        </w:rPr>
        <w:t> </w:t>
      </w:r>
      <w:r>
        <w:rPr>
          <w:w w:val="105"/>
          <w:sz w:val="13"/>
        </w:rPr>
        <w:t>of</w:t>
      </w:r>
      <w:r>
        <w:rPr>
          <w:spacing w:val="6"/>
          <w:w w:val="105"/>
          <w:sz w:val="13"/>
        </w:rPr>
        <w:t> </w:t>
      </w:r>
      <w:r>
        <w:rPr>
          <w:w w:val="105"/>
          <w:sz w:val="13"/>
        </w:rPr>
        <w:t>the</w:t>
      </w:r>
      <w:r>
        <w:rPr>
          <w:spacing w:val="6"/>
          <w:w w:val="105"/>
          <w:sz w:val="13"/>
        </w:rPr>
        <w:t> </w:t>
      </w:r>
      <w:r>
        <w:rPr>
          <w:w w:val="105"/>
          <w:sz w:val="13"/>
        </w:rPr>
        <w:t>land”:</w:t>
      </w:r>
      <w:r>
        <w:rPr>
          <w:spacing w:val="6"/>
          <w:w w:val="105"/>
          <w:sz w:val="13"/>
        </w:rPr>
        <w:t> </w:t>
      </w:r>
      <w:r>
        <w:rPr>
          <w:w w:val="105"/>
          <w:sz w:val="13"/>
        </w:rPr>
        <w:t>s</w:t>
      </w:r>
      <w:r>
        <w:rPr>
          <w:spacing w:val="5"/>
          <w:w w:val="105"/>
          <w:sz w:val="13"/>
        </w:rPr>
        <w:t> </w:t>
      </w:r>
      <w:r>
        <w:rPr>
          <w:w w:val="105"/>
          <w:sz w:val="13"/>
        </w:rPr>
        <w:t>3(1)</w:t>
      </w:r>
      <w:r>
        <w:rPr>
          <w:spacing w:val="6"/>
          <w:w w:val="105"/>
          <w:sz w:val="13"/>
        </w:rPr>
        <w:t> </w:t>
      </w:r>
      <w:r>
        <w:rPr>
          <w:w w:val="105"/>
          <w:sz w:val="13"/>
        </w:rPr>
        <w:t>of</w:t>
      </w:r>
      <w:r>
        <w:rPr>
          <w:spacing w:val="6"/>
          <w:w w:val="105"/>
          <w:sz w:val="13"/>
        </w:rPr>
        <w:t> </w:t>
      </w:r>
      <w:r>
        <w:rPr>
          <w:w w:val="105"/>
          <w:sz w:val="13"/>
        </w:rPr>
        <w:t>the</w:t>
      </w:r>
      <w:r>
        <w:rPr>
          <w:spacing w:val="6"/>
          <w:w w:val="105"/>
          <w:sz w:val="13"/>
        </w:rPr>
        <w:t> </w:t>
      </w:r>
      <w:r>
        <w:rPr>
          <w:i/>
          <w:w w:val="105"/>
          <w:sz w:val="13"/>
        </w:rPr>
        <w:t>Trees</w:t>
      </w:r>
      <w:r>
        <w:rPr>
          <w:i/>
          <w:spacing w:val="6"/>
          <w:w w:val="105"/>
          <w:sz w:val="13"/>
        </w:rPr>
        <w:t> </w:t>
      </w:r>
      <w:r>
        <w:rPr>
          <w:i/>
          <w:w w:val="105"/>
          <w:sz w:val="13"/>
        </w:rPr>
        <w:t>(Disputes</w:t>
      </w:r>
      <w:r>
        <w:rPr>
          <w:i/>
          <w:spacing w:val="6"/>
          <w:w w:val="105"/>
          <w:sz w:val="13"/>
        </w:rPr>
        <w:t> </w:t>
      </w:r>
      <w:r>
        <w:rPr>
          <w:i/>
          <w:w w:val="105"/>
          <w:sz w:val="13"/>
        </w:rPr>
        <w:t>Between</w:t>
      </w:r>
      <w:r>
        <w:rPr>
          <w:i/>
          <w:spacing w:val="5"/>
          <w:w w:val="105"/>
          <w:sz w:val="13"/>
        </w:rPr>
        <w:t> </w:t>
      </w:r>
      <w:r>
        <w:rPr>
          <w:i/>
          <w:w w:val="105"/>
          <w:sz w:val="13"/>
        </w:rPr>
        <w:t>Neighbours)</w:t>
      </w:r>
      <w:r>
        <w:rPr>
          <w:i/>
          <w:spacing w:val="6"/>
          <w:w w:val="105"/>
          <w:sz w:val="13"/>
        </w:rPr>
        <w:t> </w:t>
      </w:r>
      <w:r>
        <w:rPr>
          <w:i/>
          <w:w w:val="105"/>
          <w:sz w:val="13"/>
        </w:rPr>
        <w:t>Act</w:t>
      </w:r>
      <w:r>
        <w:rPr>
          <w:i/>
          <w:spacing w:val="6"/>
          <w:w w:val="105"/>
          <w:sz w:val="13"/>
        </w:rPr>
        <w:t> </w:t>
      </w:r>
      <w:r>
        <w:rPr>
          <w:i/>
          <w:w w:val="105"/>
          <w:sz w:val="13"/>
        </w:rPr>
        <w:t>2006</w:t>
      </w:r>
    </w:p>
    <w:p>
      <w:pPr>
        <w:spacing w:before="1"/>
        <w:ind w:left="2381" w:right="0" w:firstLine="0"/>
        <w:jc w:val="left"/>
        <w:rPr>
          <w:sz w:val="13"/>
        </w:rPr>
      </w:pPr>
      <w:r>
        <w:rPr>
          <w:sz w:val="13"/>
        </w:rPr>
        <w:t>(NSW).</w:t>
      </w:r>
    </w:p>
    <w:p>
      <w:pPr>
        <w:pStyle w:val="ListParagraph"/>
        <w:numPr>
          <w:ilvl w:val="0"/>
          <w:numId w:val="73"/>
        </w:numPr>
        <w:tabs>
          <w:tab w:pos="2380" w:val="left" w:leader="none"/>
          <w:tab w:pos="2382" w:val="left" w:leader="none"/>
        </w:tabs>
        <w:spacing w:line="240" w:lineRule="auto" w:before="2" w:after="0"/>
        <w:ind w:left="2381" w:right="0" w:hanging="794"/>
        <w:jc w:val="left"/>
        <w:rPr>
          <w:sz w:val="13"/>
        </w:rPr>
      </w:pPr>
      <w:r>
        <w:rPr>
          <w:i/>
          <w:w w:val="105"/>
          <w:sz w:val="13"/>
        </w:rPr>
        <w:t>Fences Act 1968 </w:t>
      </w:r>
      <w:r>
        <w:rPr>
          <w:spacing w:val="2"/>
          <w:w w:val="105"/>
          <w:sz w:val="13"/>
        </w:rPr>
        <w:t>(Vic) </w:t>
      </w:r>
      <w:r>
        <w:rPr>
          <w:w w:val="105"/>
          <w:sz w:val="13"/>
        </w:rPr>
        <w:t>s</w:t>
      </w:r>
      <w:r>
        <w:rPr>
          <w:spacing w:val="21"/>
          <w:w w:val="105"/>
          <w:sz w:val="13"/>
        </w:rPr>
        <w:t> </w:t>
      </w:r>
      <w:r>
        <w:rPr>
          <w:w w:val="105"/>
          <w:sz w:val="13"/>
        </w:rPr>
        <w:t>10.</w:t>
      </w:r>
    </w:p>
    <w:p>
      <w:pPr>
        <w:pStyle w:val="ListParagraph"/>
        <w:numPr>
          <w:ilvl w:val="0"/>
          <w:numId w:val="73"/>
        </w:numPr>
        <w:tabs>
          <w:tab w:pos="2380" w:val="left" w:leader="none"/>
          <w:tab w:pos="2382" w:val="left" w:leader="none"/>
        </w:tabs>
        <w:spacing w:line="240" w:lineRule="auto" w:before="1" w:after="0"/>
        <w:ind w:left="2381" w:right="1595" w:hanging="794"/>
        <w:jc w:val="left"/>
        <w:rPr>
          <w:sz w:val="13"/>
        </w:rPr>
      </w:pPr>
      <w:r>
        <w:rPr>
          <w:w w:val="105"/>
          <w:sz w:val="13"/>
        </w:rPr>
        <w:t>See, eg, Gregory Moore, ‘Economic Value of Trees’, </w:t>
      </w:r>
      <w:r>
        <w:rPr>
          <w:i/>
          <w:w w:val="105"/>
          <w:sz w:val="13"/>
        </w:rPr>
        <w:t>Sustainable Gardening Australia </w:t>
      </w:r>
      <w:r>
        <w:rPr>
          <w:w w:val="105"/>
          <w:sz w:val="13"/>
        </w:rPr>
        <w:t>(Web Page) &lt;https://</w:t>
      </w:r>
      <w:hyperlink r:id="rId108">
        <w:r>
          <w:rPr>
            <w:w w:val="105"/>
            <w:sz w:val="13"/>
          </w:rPr>
          <w:t>www.sgaonline.org.au/economic-</w:t>
        </w:r>
      </w:hyperlink>
      <w:r>
        <w:rPr>
          <w:w w:val="105"/>
          <w:sz w:val="13"/>
        </w:rPr>
        <w:t> </w:t>
      </w:r>
      <w:r>
        <w:rPr>
          <w:spacing w:val="2"/>
          <w:w w:val="105"/>
          <w:sz w:val="13"/>
        </w:rPr>
        <w:t>value-of-trees/&gt;; </w:t>
      </w:r>
      <w:r>
        <w:rPr>
          <w:w w:val="105"/>
          <w:sz w:val="13"/>
        </w:rPr>
        <w:t>see also Kelsey Munro, ‘Houses on Leafier Streets In Three Sydney Suburbs Worth </w:t>
      </w:r>
      <w:r>
        <w:rPr>
          <w:spacing w:val="2"/>
          <w:w w:val="105"/>
          <w:sz w:val="13"/>
        </w:rPr>
        <w:t>$50,000 </w:t>
      </w:r>
      <w:r>
        <w:rPr>
          <w:w w:val="105"/>
          <w:sz w:val="13"/>
        </w:rPr>
        <w:t>More: Analysis’ </w:t>
      </w:r>
      <w:r>
        <w:rPr>
          <w:i/>
          <w:w w:val="105"/>
          <w:sz w:val="13"/>
        </w:rPr>
        <w:t>The Sydney </w:t>
      </w:r>
      <w:r>
        <w:rPr>
          <w:i/>
          <w:w w:val="105"/>
          <w:sz w:val="13"/>
        </w:rPr>
        <w:t>Morning Herald </w:t>
      </w:r>
      <w:r>
        <w:rPr>
          <w:w w:val="105"/>
          <w:sz w:val="13"/>
        </w:rPr>
        <w:t>(online, 27 April 2017) </w:t>
      </w:r>
      <w:r>
        <w:rPr>
          <w:spacing w:val="2"/>
          <w:w w:val="105"/>
          <w:sz w:val="13"/>
        </w:rPr>
        <w:t>&lt;https://</w:t>
      </w:r>
      <w:hyperlink r:id="rId109">
        <w:r>
          <w:rPr>
            <w:spacing w:val="2"/>
            <w:w w:val="105"/>
            <w:sz w:val="13"/>
          </w:rPr>
          <w:t>www.smh.com.au/national/nsw/houses-on-leafier-streets-in-three-sydney-suburbs-worth-</w:t>
        </w:r>
      </w:hyperlink>
      <w:r>
        <w:rPr>
          <w:spacing w:val="2"/>
          <w:w w:val="105"/>
          <w:sz w:val="13"/>
        </w:rPr>
        <w:t> </w:t>
      </w:r>
      <w:r>
        <w:rPr>
          <w:w w:val="105"/>
          <w:sz w:val="13"/>
        </w:rPr>
        <w:t>50000-more-analysis-20170427-gvtkex.html&gt;; Ram Pandit et al </w:t>
      </w:r>
      <w:r>
        <w:rPr>
          <w:spacing w:val="2"/>
          <w:w w:val="105"/>
          <w:sz w:val="13"/>
        </w:rPr>
        <w:t>‘The </w:t>
      </w:r>
      <w:r>
        <w:rPr>
          <w:w w:val="105"/>
          <w:sz w:val="13"/>
        </w:rPr>
        <w:t>Effect of Street Trees on </w:t>
      </w:r>
      <w:r>
        <w:rPr>
          <w:spacing w:val="2"/>
          <w:w w:val="105"/>
          <w:sz w:val="13"/>
        </w:rPr>
        <w:t>Property </w:t>
      </w:r>
      <w:r>
        <w:rPr>
          <w:w w:val="105"/>
          <w:sz w:val="13"/>
        </w:rPr>
        <w:t>Value in Perth, Western Australia’ (2013) </w:t>
      </w:r>
      <w:r>
        <w:rPr>
          <w:spacing w:val="-5"/>
          <w:w w:val="105"/>
          <w:sz w:val="13"/>
        </w:rPr>
        <w:t>110 </w:t>
      </w:r>
      <w:r>
        <w:rPr>
          <w:i/>
          <w:w w:val="105"/>
          <w:sz w:val="13"/>
        </w:rPr>
        <w:t>Landscape and Urban Planning</w:t>
      </w:r>
      <w:r>
        <w:rPr>
          <w:i/>
          <w:spacing w:val="7"/>
          <w:w w:val="105"/>
          <w:sz w:val="13"/>
        </w:rPr>
        <w:t> </w:t>
      </w:r>
      <w:r>
        <w:rPr>
          <w:w w:val="105"/>
          <w:sz w:val="13"/>
        </w:rPr>
        <w:t>134-142.</w:t>
      </w:r>
    </w:p>
    <w:p>
      <w:pPr>
        <w:pStyle w:val="ListParagraph"/>
        <w:numPr>
          <w:ilvl w:val="0"/>
          <w:numId w:val="73"/>
        </w:numPr>
        <w:tabs>
          <w:tab w:pos="2380" w:val="left" w:leader="none"/>
          <w:tab w:pos="2381" w:val="left" w:leader="none"/>
        </w:tabs>
        <w:spacing w:line="240" w:lineRule="auto" w:before="7" w:after="0"/>
        <w:ind w:left="2380" w:right="1702" w:hanging="793"/>
        <w:jc w:val="left"/>
        <w:rPr>
          <w:sz w:val="13"/>
        </w:rPr>
      </w:pPr>
      <w:r>
        <w:rPr>
          <w:w w:val="105"/>
          <w:sz w:val="13"/>
        </w:rPr>
        <w:t>See, eg, Victorian Civil and Administrative Tribunal, </w:t>
      </w:r>
      <w:r>
        <w:rPr>
          <w:i/>
          <w:w w:val="105"/>
          <w:sz w:val="13"/>
        </w:rPr>
        <w:t>Submission to the Department of Justice and Community Safety, Residential Tenancies</w:t>
      </w:r>
      <w:r>
        <w:rPr>
          <w:i/>
          <w:spacing w:val="30"/>
          <w:w w:val="105"/>
          <w:sz w:val="13"/>
        </w:rPr>
        <w:t> </w:t>
      </w:r>
      <w:r>
        <w:rPr>
          <w:i/>
          <w:w w:val="105"/>
          <w:sz w:val="13"/>
        </w:rPr>
        <w:t>Act Review </w:t>
      </w:r>
      <w:r>
        <w:rPr>
          <w:w w:val="105"/>
          <w:sz w:val="13"/>
        </w:rPr>
        <w:t>2 &lt;https://engage.vic.gov.au/fairersaferhousing&gt;. The Tribunal interprets the tenant’s duty to keep the rented premises in a ‘reasonably clean condition’ to include any obligation by the tenant to mow the lawn and maintain garden beds so that they are neat. The Tribunal</w:t>
      </w:r>
      <w:r>
        <w:rPr>
          <w:spacing w:val="4"/>
          <w:w w:val="105"/>
          <w:sz w:val="13"/>
        </w:rPr>
        <w:t> </w:t>
      </w:r>
      <w:r>
        <w:rPr>
          <w:w w:val="105"/>
          <w:sz w:val="13"/>
        </w:rPr>
        <w:t>interprets</w:t>
      </w:r>
      <w:r>
        <w:rPr>
          <w:spacing w:val="4"/>
          <w:w w:val="105"/>
          <w:sz w:val="13"/>
        </w:rPr>
        <w:t> </w:t>
      </w:r>
      <w:r>
        <w:rPr>
          <w:w w:val="105"/>
          <w:sz w:val="13"/>
        </w:rPr>
        <w:t>the</w:t>
      </w:r>
      <w:r>
        <w:rPr>
          <w:spacing w:val="5"/>
          <w:w w:val="105"/>
          <w:sz w:val="13"/>
        </w:rPr>
        <w:t> </w:t>
      </w:r>
      <w:r>
        <w:rPr>
          <w:w w:val="105"/>
          <w:sz w:val="13"/>
        </w:rPr>
        <w:t>landlord’s</w:t>
      </w:r>
      <w:r>
        <w:rPr>
          <w:spacing w:val="4"/>
          <w:w w:val="105"/>
          <w:sz w:val="13"/>
        </w:rPr>
        <w:t> </w:t>
      </w:r>
      <w:r>
        <w:rPr>
          <w:w w:val="105"/>
          <w:sz w:val="13"/>
        </w:rPr>
        <w:t>duty</w:t>
      </w:r>
      <w:r>
        <w:rPr>
          <w:spacing w:val="4"/>
          <w:w w:val="105"/>
          <w:sz w:val="13"/>
        </w:rPr>
        <w:t> </w:t>
      </w:r>
      <w:r>
        <w:rPr>
          <w:w w:val="105"/>
          <w:sz w:val="13"/>
        </w:rPr>
        <w:t>to</w:t>
      </w:r>
      <w:r>
        <w:rPr>
          <w:spacing w:val="5"/>
          <w:w w:val="105"/>
          <w:sz w:val="13"/>
        </w:rPr>
        <w:t> </w:t>
      </w:r>
      <w:r>
        <w:rPr>
          <w:w w:val="105"/>
          <w:sz w:val="13"/>
        </w:rPr>
        <w:t>maintain</w:t>
      </w:r>
      <w:r>
        <w:rPr>
          <w:spacing w:val="4"/>
          <w:w w:val="105"/>
          <w:sz w:val="13"/>
        </w:rPr>
        <w:t> </w:t>
      </w:r>
      <w:r>
        <w:rPr>
          <w:w w:val="105"/>
          <w:sz w:val="13"/>
        </w:rPr>
        <w:t>the</w:t>
      </w:r>
      <w:r>
        <w:rPr>
          <w:spacing w:val="4"/>
          <w:w w:val="105"/>
          <w:sz w:val="13"/>
        </w:rPr>
        <w:t> </w:t>
      </w:r>
      <w:r>
        <w:rPr>
          <w:w w:val="105"/>
          <w:sz w:val="13"/>
        </w:rPr>
        <w:t>premises</w:t>
      </w:r>
      <w:r>
        <w:rPr>
          <w:spacing w:val="5"/>
          <w:w w:val="105"/>
          <w:sz w:val="13"/>
        </w:rPr>
        <w:t> </w:t>
      </w:r>
      <w:r>
        <w:rPr>
          <w:w w:val="105"/>
          <w:sz w:val="13"/>
        </w:rPr>
        <w:t>in</w:t>
      </w:r>
      <w:r>
        <w:rPr>
          <w:spacing w:val="4"/>
          <w:w w:val="105"/>
          <w:sz w:val="13"/>
        </w:rPr>
        <w:t> </w:t>
      </w:r>
      <w:r>
        <w:rPr>
          <w:w w:val="105"/>
          <w:sz w:val="13"/>
        </w:rPr>
        <w:t>good</w:t>
      </w:r>
      <w:r>
        <w:rPr>
          <w:spacing w:val="4"/>
          <w:w w:val="105"/>
          <w:sz w:val="13"/>
        </w:rPr>
        <w:t> </w:t>
      </w:r>
      <w:r>
        <w:rPr>
          <w:w w:val="105"/>
          <w:sz w:val="13"/>
        </w:rPr>
        <w:t>repair</w:t>
      </w:r>
      <w:r>
        <w:rPr>
          <w:spacing w:val="5"/>
          <w:w w:val="105"/>
          <w:sz w:val="13"/>
        </w:rPr>
        <w:t> </w:t>
      </w:r>
      <w:r>
        <w:rPr>
          <w:w w:val="105"/>
          <w:sz w:val="13"/>
        </w:rPr>
        <w:t>to</w:t>
      </w:r>
      <w:r>
        <w:rPr>
          <w:spacing w:val="4"/>
          <w:w w:val="105"/>
          <w:sz w:val="13"/>
        </w:rPr>
        <w:t> </w:t>
      </w:r>
      <w:r>
        <w:rPr>
          <w:w w:val="105"/>
          <w:sz w:val="13"/>
        </w:rPr>
        <w:t>include</w:t>
      </w:r>
      <w:r>
        <w:rPr>
          <w:spacing w:val="4"/>
          <w:w w:val="105"/>
          <w:sz w:val="13"/>
        </w:rPr>
        <w:t> </w:t>
      </w:r>
      <w:r>
        <w:rPr>
          <w:w w:val="105"/>
          <w:sz w:val="13"/>
        </w:rPr>
        <w:t>cleaning</w:t>
      </w:r>
      <w:r>
        <w:rPr>
          <w:spacing w:val="5"/>
          <w:w w:val="105"/>
          <w:sz w:val="13"/>
        </w:rPr>
        <w:t> </w:t>
      </w:r>
      <w:r>
        <w:rPr>
          <w:w w:val="105"/>
          <w:sz w:val="13"/>
        </w:rPr>
        <w:t>gutters</w:t>
      </w:r>
      <w:r>
        <w:rPr>
          <w:spacing w:val="4"/>
          <w:w w:val="105"/>
          <w:sz w:val="13"/>
        </w:rPr>
        <w:t> </w:t>
      </w:r>
      <w:r>
        <w:rPr>
          <w:w w:val="105"/>
          <w:sz w:val="13"/>
        </w:rPr>
        <w:t>and</w:t>
      </w:r>
      <w:r>
        <w:rPr>
          <w:spacing w:val="4"/>
          <w:w w:val="105"/>
          <w:sz w:val="13"/>
        </w:rPr>
        <w:t> </w:t>
      </w:r>
      <w:r>
        <w:rPr>
          <w:w w:val="105"/>
          <w:sz w:val="13"/>
        </w:rPr>
        <w:t>pruning</w:t>
      </w:r>
      <w:r>
        <w:rPr>
          <w:spacing w:val="5"/>
          <w:w w:val="105"/>
          <w:sz w:val="13"/>
        </w:rPr>
        <w:t> </w:t>
      </w:r>
      <w:r>
        <w:rPr>
          <w:w w:val="105"/>
          <w:sz w:val="13"/>
        </w:rPr>
        <w:t>larger</w:t>
      </w:r>
      <w:r>
        <w:rPr>
          <w:spacing w:val="4"/>
          <w:w w:val="105"/>
          <w:sz w:val="13"/>
        </w:rPr>
        <w:t> </w:t>
      </w:r>
      <w:r>
        <w:rPr>
          <w:w w:val="105"/>
          <w:sz w:val="13"/>
        </w:rPr>
        <w:t>trees.</w:t>
      </w:r>
    </w:p>
    <w:p>
      <w:pPr>
        <w:pStyle w:val="ListParagraph"/>
        <w:numPr>
          <w:ilvl w:val="0"/>
          <w:numId w:val="73"/>
        </w:numPr>
        <w:tabs>
          <w:tab w:pos="2380" w:val="left" w:leader="none"/>
          <w:tab w:pos="2381" w:val="left" w:leader="none"/>
        </w:tabs>
        <w:spacing w:line="240" w:lineRule="auto" w:before="5" w:after="0"/>
        <w:ind w:left="2380" w:right="1664" w:hanging="793"/>
        <w:jc w:val="left"/>
        <w:rPr>
          <w:sz w:val="13"/>
        </w:rPr>
      </w:pPr>
      <w:r>
        <w:rPr/>
        <w:pict>
          <v:shape style="position:absolute;margin-left:36pt;margin-top:11.201465pt;width:13.7pt;height:14.25pt;mso-position-horizontal-relative:page;mso-position-vertical-relative:paragraph;z-index:7000" type="#_x0000_t202" filled="false" stroked="false">
            <v:textbox inset="0,0,0,0">
              <w:txbxContent>
                <w:p>
                  <w:pPr>
                    <w:spacing w:line="284" w:lineRule="exact" w:before="0"/>
                    <w:ind w:left="0" w:right="0" w:firstLine="0"/>
                    <w:jc w:val="left"/>
                    <w:rPr>
                      <w:b/>
                      <w:sz w:val="24"/>
                    </w:rPr>
                  </w:pPr>
                  <w:r>
                    <w:rPr>
                      <w:b/>
                      <w:color w:val="658464"/>
                      <w:w w:val="110"/>
                      <w:sz w:val="24"/>
                    </w:rPr>
                    <w:t>94</w:t>
                  </w:r>
                </w:p>
              </w:txbxContent>
            </v:textbox>
            <w10:wrap type="none"/>
          </v:shape>
        </w:pict>
      </w:r>
      <w:r>
        <w:rPr>
          <w:w w:val="105"/>
          <w:sz w:val="13"/>
        </w:rPr>
        <w:t>Paula Giliker, ‘Nuisance’ in Carolyn Sappideen and Prue Vines (eds) </w:t>
      </w:r>
      <w:r>
        <w:rPr>
          <w:i/>
          <w:w w:val="105"/>
          <w:sz w:val="13"/>
        </w:rPr>
        <w:t>Fleming’s The Law of Torts </w:t>
      </w:r>
      <w:r>
        <w:rPr>
          <w:spacing w:val="2"/>
          <w:w w:val="105"/>
          <w:sz w:val="13"/>
        </w:rPr>
        <w:t>(Lawbook </w:t>
      </w:r>
      <w:r>
        <w:rPr>
          <w:w w:val="105"/>
          <w:sz w:val="13"/>
        </w:rPr>
        <w:t>Co., 10th ed, </w:t>
      </w:r>
      <w:r>
        <w:rPr>
          <w:spacing w:val="-4"/>
          <w:w w:val="105"/>
          <w:sz w:val="13"/>
        </w:rPr>
        <w:t>2011) </w:t>
      </w:r>
      <w:r>
        <w:rPr>
          <w:w w:val="105"/>
          <w:sz w:val="13"/>
        </w:rPr>
        <w:t>[21.160]; Kit Barker, Peter Cane, Mark Lunney and Francis Trindade, </w:t>
      </w:r>
      <w:r>
        <w:rPr>
          <w:i/>
          <w:w w:val="105"/>
          <w:sz w:val="13"/>
        </w:rPr>
        <w:t>The Law of Torts in Australia </w:t>
      </w:r>
      <w:r>
        <w:rPr>
          <w:spacing w:val="2"/>
          <w:w w:val="105"/>
          <w:sz w:val="13"/>
        </w:rPr>
        <w:t>(Oxford </w:t>
      </w:r>
      <w:r>
        <w:rPr>
          <w:w w:val="105"/>
          <w:sz w:val="13"/>
        </w:rPr>
        <w:t>University Press, 5th ed, 2012) [5.1.5]; </w:t>
      </w:r>
      <w:r>
        <w:rPr>
          <w:i/>
          <w:w w:val="105"/>
          <w:sz w:val="13"/>
        </w:rPr>
        <w:t>Wrongs </w:t>
      </w:r>
      <w:r>
        <w:rPr>
          <w:i/>
          <w:w w:val="105"/>
          <w:sz w:val="13"/>
        </w:rPr>
        <w:t>Act 1958 </w:t>
      </w:r>
      <w:r>
        <w:rPr>
          <w:spacing w:val="2"/>
          <w:w w:val="105"/>
          <w:sz w:val="13"/>
        </w:rPr>
        <w:t>(Vic) </w:t>
      </w:r>
      <w:r>
        <w:rPr>
          <w:w w:val="105"/>
          <w:sz w:val="13"/>
        </w:rPr>
        <w:t>s</w:t>
      </w:r>
      <w:r>
        <w:rPr>
          <w:spacing w:val="16"/>
          <w:w w:val="105"/>
          <w:sz w:val="13"/>
        </w:rPr>
        <w:t> </w:t>
      </w:r>
      <w:r>
        <w:rPr>
          <w:w w:val="105"/>
          <w:sz w:val="13"/>
        </w:rPr>
        <w:t>43.</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0"/>
          <w:numId w:val="64"/>
        </w:numPr>
        <w:tabs>
          <w:tab w:pos="2381" w:val="left" w:leader="none"/>
          <w:tab w:pos="2382" w:val="left" w:leader="none"/>
        </w:tabs>
        <w:spacing w:line="242" w:lineRule="auto" w:before="91" w:after="0"/>
        <w:ind w:left="2381" w:right="2162" w:hanging="794"/>
        <w:jc w:val="left"/>
        <w:rPr>
          <w:sz w:val="21"/>
        </w:rPr>
      </w:pPr>
      <w:bookmarkStart w:name="What problems are within the scope of th" w:id="125"/>
      <w:bookmarkEnd w:id="125"/>
      <w:r>
        <w:rPr/>
      </w:r>
      <w:bookmarkStart w:name="_bookmark54" w:id="126"/>
      <w:bookmarkEnd w:id="126"/>
      <w:r>
        <w:rPr/>
      </w:r>
      <w:bookmarkStart w:name="_bookmark54" w:id="127"/>
      <w:bookmarkEnd w:id="127"/>
      <w:r>
        <w:rPr>
          <w:spacing w:val="-4"/>
          <w:w w:val="105"/>
          <w:sz w:val="21"/>
        </w:rPr>
        <w:t>H</w:t>
      </w:r>
      <w:r>
        <w:rPr>
          <w:spacing w:val="-4"/>
          <w:w w:val="105"/>
          <w:sz w:val="21"/>
        </w:rPr>
        <w:t>owever, </w:t>
      </w:r>
      <w:r>
        <w:rPr>
          <w:w w:val="105"/>
          <w:sz w:val="21"/>
        </w:rPr>
        <w:t>in </w:t>
      </w:r>
      <w:r>
        <w:rPr>
          <w:spacing w:val="-3"/>
          <w:w w:val="105"/>
          <w:sz w:val="21"/>
        </w:rPr>
        <w:t>determining </w:t>
      </w:r>
      <w:r>
        <w:rPr>
          <w:w w:val="105"/>
          <w:sz w:val="21"/>
        </w:rPr>
        <w:t>the extent of </w:t>
      </w:r>
      <w:r>
        <w:rPr>
          <w:spacing w:val="-4"/>
          <w:w w:val="105"/>
          <w:sz w:val="21"/>
        </w:rPr>
        <w:t>liability, </w:t>
      </w:r>
      <w:r>
        <w:rPr>
          <w:spacing w:val="-5"/>
          <w:w w:val="105"/>
          <w:sz w:val="21"/>
        </w:rPr>
        <w:t>VCAT </w:t>
      </w:r>
      <w:r>
        <w:rPr>
          <w:spacing w:val="-3"/>
          <w:w w:val="105"/>
          <w:sz w:val="21"/>
        </w:rPr>
        <w:t>will </w:t>
      </w:r>
      <w:r>
        <w:rPr>
          <w:w w:val="105"/>
          <w:sz w:val="21"/>
        </w:rPr>
        <w:t>be guided by the decision- </w:t>
      </w:r>
      <w:r>
        <w:rPr>
          <w:spacing w:val="-3"/>
          <w:w w:val="105"/>
          <w:sz w:val="21"/>
        </w:rPr>
        <w:t>making principles </w:t>
      </w:r>
      <w:r>
        <w:rPr>
          <w:w w:val="105"/>
          <w:sz w:val="21"/>
        </w:rPr>
        <w:t>recommended in </w:t>
      </w:r>
      <w:r>
        <w:rPr>
          <w:spacing w:val="-4"/>
          <w:w w:val="105"/>
          <w:sz w:val="21"/>
        </w:rPr>
        <w:t>Chapter </w:t>
      </w:r>
      <w:r>
        <w:rPr>
          <w:w w:val="105"/>
          <w:sz w:val="21"/>
        </w:rPr>
        <w:t>8, which </w:t>
      </w:r>
      <w:r>
        <w:rPr>
          <w:spacing w:val="-3"/>
          <w:w w:val="105"/>
          <w:sz w:val="21"/>
        </w:rPr>
        <w:t>include consideration </w:t>
      </w:r>
      <w:r>
        <w:rPr>
          <w:w w:val="105"/>
          <w:sz w:val="21"/>
        </w:rPr>
        <w:t>of acts or </w:t>
      </w:r>
      <w:r>
        <w:rPr>
          <w:spacing w:val="-3"/>
          <w:w w:val="105"/>
          <w:sz w:val="21"/>
        </w:rPr>
        <w:t>omissions </w:t>
      </w:r>
      <w:r>
        <w:rPr>
          <w:w w:val="105"/>
          <w:sz w:val="21"/>
        </w:rPr>
        <w:t>by the affected </w:t>
      </w:r>
      <w:r>
        <w:rPr>
          <w:spacing w:val="-3"/>
          <w:w w:val="105"/>
          <w:sz w:val="21"/>
        </w:rPr>
        <w:t>neighbour </w:t>
      </w:r>
      <w:r>
        <w:rPr>
          <w:w w:val="105"/>
          <w:sz w:val="21"/>
        </w:rPr>
        <w:t>or </w:t>
      </w:r>
      <w:r>
        <w:rPr>
          <w:spacing w:val="-2"/>
          <w:w w:val="105"/>
          <w:sz w:val="21"/>
        </w:rPr>
        <w:t>anything, </w:t>
      </w:r>
      <w:r>
        <w:rPr>
          <w:w w:val="105"/>
          <w:sz w:val="21"/>
        </w:rPr>
        <w:t>other </w:t>
      </w:r>
      <w:r>
        <w:rPr>
          <w:spacing w:val="-3"/>
          <w:w w:val="105"/>
          <w:sz w:val="21"/>
        </w:rPr>
        <w:t>than </w:t>
      </w:r>
      <w:r>
        <w:rPr>
          <w:w w:val="105"/>
          <w:sz w:val="21"/>
        </w:rPr>
        <w:t>the </w:t>
      </w:r>
      <w:r>
        <w:rPr>
          <w:spacing w:val="-3"/>
          <w:w w:val="105"/>
          <w:sz w:val="21"/>
        </w:rPr>
        <w:t>tree, that</w:t>
      </w:r>
      <w:r>
        <w:rPr>
          <w:spacing w:val="6"/>
          <w:w w:val="105"/>
          <w:sz w:val="21"/>
        </w:rPr>
        <w:t> </w:t>
      </w:r>
      <w:r>
        <w:rPr>
          <w:spacing w:val="-2"/>
          <w:w w:val="105"/>
          <w:sz w:val="21"/>
        </w:rPr>
        <w:t>has</w:t>
      </w:r>
    </w:p>
    <w:p>
      <w:pPr>
        <w:pStyle w:val="BodyText"/>
        <w:spacing w:before="4"/>
        <w:ind w:left="2381"/>
      </w:pPr>
      <w:r>
        <w:rPr>
          <w:w w:val="105"/>
        </w:rPr>
        <w:t>contributed, or is contributing, to any harm or damage or likelihood of harm or damage.</w:t>
      </w:r>
    </w:p>
    <w:p>
      <w:pPr>
        <w:pStyle w:val="BodyText"/>
        <w:spacing w:before="11"/>
        <w:rPr>
          <w:sz w:val="16"/>
        </w:rPr>
      </w:pPr>
      <w:r>
        <w:rPr/>
        <w:pict>
          <v:group style="position:absolute;margin-left:62.362202pt;margin-top:12.275187pt;width:479.1pt;height:83.4pt;mso-position-horizontal-relative:page;mso-position-vertical-relative:paragraph;z-index:5024;mso-wrap-distance-left:0;mso-wrap-distance-right:0" coordorigin="1247,246" coordsize="9582,1668">
            <v:rect style="position:absolute;left:1587;top:245;width:8731;height:1668" filled="true" fillcolor="#dbe0dd" stroked="false">
              <v:fill type="solid"/>
            </v:rect>
            <v:line style="position:absolute" from="1247,992" to="10828,992" stroked="true" strokeweight="2.5pt" strokecolor="#ffffff">
              <v:stroke dashstyle="solid"/>
            </v:line>
            <v:shape style="position:absolute;left:1587;top:1017;width:8731;height:896" type="#_x0000_t202" filled="true" fillcolor="#dbe0dd" stroked="false">
              <v:textbox inset="0,0,0,0">
                <w:txbxContent>
                  <w:p>
                    <w:pPr>
                      <w:tabs>
                        <w:tab w:pos="793" w:val="left" w:leader="none"/>
                      </w:tabs>
                      <w:spacing w:line="242" w:lineRule="auto" w:before="208"/>
                      <w:ind w:left="793" w:right="570" w:hanging="567"/>
                      <w:jc w:val="left"/>
                      <w:rPr>
                        <w:sz w:val="21"/>
                      </w:rPr>
                    </w:pPr>
                    <w:r>
                      <w:rPr>
                        <w:b/>
                        <w:spacing w:val="-7"/>
                        <w:w w:val="115"/>
                        <w:sz w:val="21"/>
                      </w:rPr>
                      <w:t>11</w:t>
                      <w:tab/>
                    </w:r>
                    <w:r>
                      <w:rPr>
                        <w:w w:val="115"/>
                        <w:sz w:val="21"/>
                      </w:rPr>
                      <w:t>The Act should </w:t>
                    </w:r>
                    <w:r>
                      <w:rPr>
                        <w:spacing w:val="-3"/>
                        <w:w w:val="115"/>
                        <w:sz w:val="21"/>
                      </w:rPr>
                      <w:t>allow </w:t>
                    </w:r>
                    <w:r>
                      <w:rPr>
                        <w:w w:val="115"/>
                        <w:sz w:val="21"/>
                      </w:rPr>
                      <w:t>an application to be brought against the owner of the land on which the tree is situated (the tree</w:t>
                    </w:r>
                    <w:r>
                      <w:rPr>
                        <w:spacing w:val="-7"/>
                        <w:w w:val="115"/>
                        <w:sz w:val="21"/>
                      </w:rPr>
                      <w:t> </w:t>
                    </w:r>
                    <w:r>
                      <w:rPr>
                        <w:w w:val="115"/>
                        <w:sz w:val="21"/>
                      </w:rPr>
                      <w:t>owner).</w:t>
                    </w:r>
                  </w:p>
                </w:txbxContent>
              </v:textbox>
              <v:fill type="solid"/>
              <w10:wrap type="none"/>
            </v:shape>
            <v:shape style="position:absolute;left:1587;top:245;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w:t>
                    </w:r>
                  </w:p>
                </w:txbxContent>
              </v:textbox>
              <v:fill type="solid"/>
              <w10:wrap type="none"/>
            </v:shape>
            <w10:wrap type="topAndBottom"/>
          </v:group>
        </w:pict>
      </w:r>
    </w:p>
    <w:p>
      <w:pPr>
        <w:pStyle w:val="BodyText"/>
        <w:rPr>
          <w:sz w:val="20"/>
        </w:rPr>
      </w:pPr>
    </w:p>
    <w:p>
      <w:pPr>
        <w:pStyle w:val="Heading4"/>
        <w:spacing w:before="261"/>
      </w:pPr>
      <w:r>
        <w:rPr>
          <w:color w:val="658464"/>
          <w:w w:val="115"/>
        </w:rPr>
        <w:t>What problems are within the scope of the new Act?</w:t>
      </w:r>
    </w:p>
    <w:p>
      <w:pPr>
        <w:pStyle w:val="ListParagraph"/>
        <w:numPr>
          <w:ilvl w:val="0"/>
          <w:numId w:val="64"/>
        </w:numPr>
        <w:tabs>
          <w:tab w:pos="2381" w:val="left" w:leader="none"/>
          <w:tab w:pos="2382" w:val="left" w:leader="none"/>
        </w:tabs>
        <w:spacing w:line="242" w:lineRule="auto" w:before="155" w:after="0"/>
        <w:ind w:left="2381" w:right="1751" w:hanging="794"/>
        <w:jc w:val="left"/>
        <w:rPr>
          <w:sz w:val="21"/>
        </w:rPr>
      </w:pPr>
      <w:r>
        <w:rPr>
          <w:w w:val="105"/>
          <w:sz w:val="21"/>
        </w:rPr>
        <w:t>The </w:t>
      </w:r>
      <w:r>
        <w:rPr>
          <w:spacing w:val="-3"/>
          <w:w w:val="105"/>
          <w:sz w:val="21"/>
        </w:rPr>
        <w:t>consultation </w:t>
      </w:r>
      <w:r>
        <w:rPr>
          <w:w w:val="105"/>
          <w:sz w:val="21"/>
        </w:rPr>
        <w:t>paper </w:t>
      </w:r>
      <w:r>
        <w:rPr>
          <w:spacing w:val="-3"/>
          <w:w w:val="105"/>
          <w:sz w:val="21"/>
        </w:rPr>
        <w:t>sought </w:t>
      </w:r>
      <w:r>
        <w:rPr>
          <w:w w:val="105"/>
          <w:sz w:val="21"/>
        </w:rPr>
        <w:t>responses about the types of tree problem </w:t>
      </w:r>
      <w:r>
        <w:rPr>
          <w:spacing w:val="-3"/>
          <w:w w:val="105"/>
          <w:sz w:val="21"/>
        </w:rPr>
        <w:t>that </w:t>
      </w:r>
      <w:r>
        <w:rPr>
          <w:w w:val="105"/>
          <w:sz w:val="21"/>
        </w:rPr>
        <w:t>should be</w:t>
      </w:r>
      <w:r>
        <w:rPr>
          <w:spacing w:val="-4"/>
          <w:w w:val="105"/>
          <w:sz w:val="21"/>
        </w:rPr>
        <w:t> </w:t>
      </w:r>
      <w:r>
        <w:rPr>
          <w:w w:val="105"/>
          <w:sz w:val="21"/>
        </w:rPr>
        <w:t>addressed</w:t>
      </w:r>
      <w:r>
        <w:rPr>
          <w:spacing w:val="-3"/>
          <w:w w:val="105"/>
          <w:sz w:val="21"/>
        </w:rPr>
        <w:t> </w:t>
      </w:r>
      <w:r>
        <w:rPr>
          <w:w w:val="105"/>
          <w:sz w:val="21"/>
        </w:rPr>
        <w:t>by</w:t>
      </w:r>
      <w:r>
        <w:rPr>
          <w:spacing w:val="-4"/>
          <w:w w:val="105"/>
          <w:sz w:val="21"/>
        </w:rPr>
        <w:t> </w:t>
      </w:r>
      <w:r>
        <w:rPr>
          <w:w w:val="105"/>
          <w:sz w:val="21"/>
        </w:rPr>
        <w:t>the</w:t>
      </w:r>
      <w:r>
        <w:rPr>
          <w:spacing w:val="-3"/>
          <w:w w:val="105"/>
          <w:sz w:val="21"/>
        </w:rPr>
        <w:t> </w:t>
      </w:r>
      <w:r>
        <w:rPr>
          <w:w w:val="105"/>
          <w:sz w:val="21"/>
        </w:rPr>
        <w:t>new</w:t>
      </w:r>
      <w:r>
        <w:rPr>
          <w:spacing w:val="-3"/>
          <w:w w:val="105"/>
          <w:sz w:val="21"/>
        </w:rPr>
        <w:t> </w:t>
      </w:r>
      <w:r>
        <w:rPr>
          <w:w w:val="105"/>
          <w:sz w:val="21"/>
        </w:rPr>
        <w:t>Act.</w:t>
      </w:r>
      <w:r>
        <w:rPr>
          <w:spacing w:val="-4"/>
          <w:w w:val="105"/>
          <w:sz w:val="21"/>
        </w:rPr>
        <w:t> </w:t>
      </w:r>
      <w:r>
        <w:rPr>
          <w:w w:val="105"/>
          <w:sz w:val="21"/>
        </w:rPr>
        <w:t>In</w:t>
      </w:r>
      <w:r>
        <w:rPr>
          <w:spacing w:val="-3"/>
          <w:w w:val="105"/>
          <w:sz w:val="21"/>
        </w:rPr>
        <w:t> particular,</w:t>
      </w:r>
      <w:r>
        <w:rPr>
          <w:spacing w:val="-4"/>
          <w:w w:val="105"/>
          <w:sz w:val="21"/>
        </w:rPr>
        <w:t> </w:t>
      </w:r>
      <w:r>
        <w:rPr>
          <w:w w:val="105"/>
          <w:sz w:val="21"/>
        </w:rPr>
        <w:t>two</w:t>
      </w:r>
      <w:r>
        <w:rPr>
          <w:spacing w:val="-3"/>
          <w:w w:val="105"/>
          <w:sz w:val="21"/>
        </w:rPr>
        <w:t> main </w:t>
      </w:r>
      <w:r>
        <w:rPr>
          <w:w w:val="105"/>
          <w:sz w:val="21"/>
        </w:rPr>
        <w:t>issues</w:t>
      </w:r>
      <w:r>
        <w:rPr>
          <w:spacing w:val="-4"/>
          <w:w w:val="105"/>
          <w:sz w:val="21"/>
        </w:rPr>
        <w:t> </w:t>
      </w:r>
      <w:r>
        <w:rPr>
          <w:spacing w:val="-3"/>
          <w:w w:val="105"/>
          <w:sz w:val="21"/>
        </w:rPr>
        <w:t>that are</w:t>
      </w:r>
      <w:r>
        <w:rPr>
          <w:spacing w:val="-4"/>
          <w:w w:val="105"/>
          <w:sz w:val="21"/>
        </w:rPr>
        <w:t> </w:t>
      </w:r>
      <w:r>
        <w:rPr>
          <w:w w:val="105"/>
          <w:sz w:val="21"/>
        </w:rPr>
        <w:t>a</w:t>
      </w:r>
      <w:r>
        <w:rPr>
          <w:spacing w:val="-3"/>
          <w:w w:val="105"/>
          <w:sz w:val="21"/>
        </w:rPr>
        <w:t> </w:t>
      </w:r>
      <w:r>
        <w:rPr>
          <w:w w:val="105"/>
          <w:sz w:val="21"/>
        </w:rPr>
        <w:t>cause</w:t>
      </w:r>
      <w:r>
        <w:rPr>
          <w:spacing w:val="-3"/>
          <w:w w:val="105"/>
          <w:sz w:val="21"/>
        </w:rPr>
        <w:t> </w:t>
      </w:r>
      <w:r>
        <w:rPr>
          <w:w w:val="105"/>
          <w:sz w:val="21"/>
        </w:rPr>
        <w:t>of</w:t>
      </w:r>
      <w:r>
        <w:rPr>
          <w:spacing w:val="-4"/>
          <w:w w:val="105"/>
          <w:sz w:val="21"/>
        </w:rPr>
        <w:t> </w:t>
      </w:r>
      <w:r>
        <w:rPr>
          <w:spacing w:val="-2"/>
          <w:w w:val="105"/>
          <w:sz w:val="21"/>
        </w:rPr>
        <w:t>common </w:t>
      </w:r>
      <w:r>
        <w:rPr>
          <w:w w:val="105"/>
          <w:sz w:val="21"/>
        </w:rPr>
        <w:t>problems </w:t>
      </w:r>
      <w:r>
        <w:rPr>
          <w:spacing w:val="-3"/>
          <w:w w:val="105"/>
          <w:sz w:val="21"/>
        </w:rPr>
        <w:t>were</w:t>
      </w:r>
      <w:r>
        <w:rPr>
          <w:spacing w:val="9"/>
          <w:w w:val="105"/>
          <w:sz w:val="21"/>
        </w:rPr>
        <w:t> </w:t>
      </w:r>
      <w:r>
        <w:rPr>
          <w:w w:val="105"/>
          <w:sz w:val="21"/>
        </w:rPr>
        <w:t>considered:</w:t>
      </w:r>
    </w:p>
    <w:p>
      <w:pPr>
        <w:pStyle w:val="ListParagraph"/>
        <w:numPr>
          <w:ilvl w:val="1"/>
          <w:numId w:val="64"/>
        </w:numPr>
        <w:tabs>
          <w:tab w:pos="2721" w:val="left" w:leader="none"/>
          <w:tab w:pos="2722" w:val="left" w:leader="none"/>
        </w:tabs>
        <w:spacing w:line="240" w:lineRule="auto" w:before="123" w:after="0"/>
        <w:ind w:left="2721" w:right="0" w:hanging="340"/>
        <w:jc w:val="left"/>
        <w:rPr>
          <w:sz w:val="21"/>
        </w:rPr>
      </w:pPr>
      <w:r>
        <w:rPr>
          <w:w w:val="105"/>
          <w:sz w:val="21"/>
        </w:rPr>
        <w:t>damage or</w:t>
      </w:r>
      <w:r>
        <w:rPr>
          <w:spacing w:val="10"/>
          <w:w w:val="105"/>
          <w:sz w:val="21"/>
        </w:rPr>
        <w:t> </w:t>
      </w:r>
      <w:r>
        <w:rPr>
          <w:spacing w:val="-3"/>
          <w:w w:val="105"/>
          <w:sz w:val="21"/>
        </w:rPr>
        <w:t>interference</w:t>
      </w:r>
    </w:p>
    <w:p>
      <w:pPr>
        <w:pStyle w:val="ListParagraph"/>
        <w:numPr>
          <w:ilvl w:val="1"/>
          <w:numId w:val="64"/>
        </w:numPr>
        <w:tabs>
          <w:tab w:pos="2721" w:val="left" w:leader="none"/>
          <w:tab w:pos="2722" w:val="left" w:leader="none"/>
        </w:tabs>
        <w:spacing w:line="240" w:lineRule="auto" w:before="89" w:after="0"/>
        <w:ind w:left="2721" w:right="0" w:hanging="340"/>
        <w:jc w:val="left"/>
        <w:rPr>
          <w:sz w:val="21"/>
        </w:rPr>
      </w:pPr>
      <w:r>
        <w:rPr>
          <w:spacing w:val="-3"/>
          <w:sz w:val="21"/>
        </w:rPr>
        <w:t>harm </w:t>
      </w:r>
      <w:r>
        <w:rPr>
          <w:sz w:val="21"/>
        </w:rPr>
        <w:t>(or</w:t>
      </w:r>
      <w:r>
        <w:rPr>
          <w:spacing w:val="19"/>
          <w:sz w:val="21"/>
        </w:rPr>
        <w:t> </w:t>
      </w:r>
      <w:r>
        <w:rPr>
          <w:sz w:val="21"/>
        </w:rPr>
        <w:t>injury).</w:t>
      </w:r>
    </w:p>
    <w:p>
      <w:pPr>
        <w:pStyle w:val="ListParagraph"/>
        <w:numPr>
          <w:ilvl w:val="0"/>
          <w:numId w:val="64"/>
        </w:numPr>
        <w:tabs>
          <w:tab w:pos="2382" w:val="left" w:leader="none"/>
        </w:tabs>
        <w:spacing w:line="242" w:lineRule="auto" w:before="89" w:after="0"/>
        <w:ind w:left="2381" w:right="1710" w:hanging="794"/>
        <w:jc w:val="both"/>
        <w:rPr>
          <w:sz w:val="21"/>
        </w:rPr>
      </w:pPr>
      <w:r>
        <w:rPr>
          <w:spacing w:val="-3"/>
          <w:w w:val="105"/>
          <w:sz w:val="21"/>
        </w:rPr>
        <w:t>Damage claims relate to </w:t>
      </w:r>
      <w:r>
        <w:rPr>
          <w:w w:val="105"/>
          <w:sz w:val="21"/>
        </w:rPr>
        <w:t>property on </w:t>
      </w:r>
      <w:r>
        <w:rPr>
          <w:spacing w:val="-3"/>
          <w:w w:val="105"/>
          <w:sz w:val="21"/>
        </w:rPr>
        <w:t>neighbouring land </w:t>
      </w:r>
      <w:r>
        <w:rPr>
          <w:w w:val="105"/>
          <w:sz w:val="21"/>
        </w:rPr>
        <w:t>(such as a </w:t>
      </w:r>
      <w:r>
        <w:rPr>
          <w:spacing w:val="-3"/>
          <w:w w:val="105"/>
          <w:sz w:val="21"/>
        </w:rPr>
        <w:t>house, </w:t>
      </w:r>
      <w:r>
        <w:rPr>
          <w:w w:val="105"/>
          <w:sz w:val="21"/>
        </w:rPr>
        <w:t>a garden shed or</w:t>
      </w:r>
      <w:r>
        <w:rPr>
          <w:spacing w:val="-8"/>
          <w:w w:val="105"/>
          <w:sz w:val="21"/>
        </w:rPr>
        <w:t> </w:t>
      </w:r>
      <w:r>
        <w:rPr>
          <w:w w:val="105"/>
          <w:sz w:val="21"/>
        </w:rPr>
        <w:t>a</w:t>
      </w:r>
      <w:r>
        <w:rPr>
          <w:spacing w:val="-7"/>
          <w:w w:val="105"/>
          <w:sz w:val="21"/>
        </w:rPr>
        <w:t> </w:t>
      </w:r>
      <w:r>
        <w:rPr>
          <w:spacing w:val="-3"/>
          <w:w w:val="105"/>
          <w:sz w:val="21"/>
        </w:rPr>
        <w:t>car)</w:t>
      </w:r>
      <w:r>
        <w:rPr>
          <w:spacing w:val="-7"/>
          <w:w w:val="105"/>
          <w:sz w:val="21"/>
        </w:rPr>
        <w:t> </w:t>
      </w:r>
      <w:r>
        <w:rPr>
          <w:w w:val="105"/>
          <w:sz w:val="21"/>
        </w:rPr>
        <w:t>or</w:t>
      </w:r>
      <w:r>
        <w:rPr>
          <w:spacing w:val="-7"/>
          <w:w w:val="105"/>
          <w:sz w:val="21"/>
        </w:rPr>
        <w:t> </w:t>
      </w:r>
      <w:r>
        <w:rPr>
          <w:w w:val="105"/>
          <w:sz w:val="21"/>
        </w:rPr>
        <w:t>also</w:t>
      </w:r>
      <w:r>
        <w:rPr>
          <w:spacing w:val="-7"/>
          <w:w w:val="105"/>
          <w:sz w:val="21"/>
        </w:rPr>
        <w:t> </w:t>
      </w:r>
      <w:r>
        <w:rPr>
          <w:w w:val="105"/>
          <w:sz w:val="21"/>
        </w:rPr>
        <w:t>the</w:t>
      </w:r>
      <w:r>
        <w:rPr>
          <w:spacing w:val="-7"/>
          <w:w w:val="105"/>
          <w:sz w:val="21"/>
        </w:rPr>
        <w:t> </w:t>
      </w:r>
      <w:r>
        <w:rPr>
          <w:spacing w:val="-3"/>
          <w:w w:val="105"/>
          <w:sz w:val="21"/>
        </w:rPr>
        <w:t>land</w:t>
      </w:r>
      <w:r>
        <w:rPr>
          <w:spacing w:val="-7"/>
          <w:w w:val="105"/>
          <w:sz w:val="21"/>
        </w:rPr>
        <w:t> </w:t>
      </w:r>
      <w:r>
        <w:rPr>
          <w:w w:val="105"/>
          <w:sz w:val="21"/>
        </w:rPr>
        <w:t>itself</w:t>
      </w:r>
      <w:r>
        <w:rPr>
          <w:spacing w:val="-7"/>
          <w:w w:val="105"/>
          <w:sz w:val="21"/>
        </w:rPr>
        <w:t> </w:t>
      </w:r>
      <w:r>
        <w:rPr>
          <w:w w:val="105"/>
          <w:sz w:val="21"/>
        </w:rPr>
        <w:t>(such</w:t>
      </w:r>
      <w:r>
        <w:rPr>
          <w:spacing w:val="-8"/>
          <w:w w:val="105"/>
          <w:sz w:val="21"/>
        </w:rPr>
        <w:t> </w:t>
      </w:r>
      <w:r>
        <w:rPr>
          <w:w w:val="105"/>
          <w:sz w:val="21"/>
        </w:rPr>
        <w:t>as</w:t>
      </w:r>
      <w:r>
        <w:rPr>
          <w:spacing w:val="-7"/>
          <w:w w:val="105"/>
          <w:sz w:val="21"/>
        </w:rPr>
        <w:t> </w:t>
      </w:r>
      <w:r>
        <w:rPr>
          <w:w w:val="105"/>
          <w:sz w:val="21"/>
        </w:rPr>
        <w:t>a</w:t>
      </w:r>
      <w:r>
        <w:rPr>
          <w:spacing w:val="-7"/>
          <w:w w:val="105"/>
          <w:sz w:val="21"/>
        </w:rPr>
        <w:t> </w:t>
      </w:r>
      <w:r>
        <w:rPr>
          <w:w w:val="105"/>
          <w:sz w:val="21"/>
        </w:rPr>
        <w:t>garden).</w:t>
      </w:r>
      <w:r>
        <w:rPr>
          <w:spacing w:val="-7"/>
          <w:w w:val="105"/>
          <w:sz w:val="21"/>
        </w:rPr>
        <w:t> </w:t>
      </w:r>
      <w:r>
        <w:rPr>
          <w:w w:val="105"/>
          <w:sz w:val="21"/>
        </w:rPr>
        <w:t>Sometimes</w:t>
      </w:r>
      <w:r>
        <w:rPr>
          <w:spacing w:val="-7"/>
          <w:w w:val="105"/>
          <w:sz w:val="21"/>
        </w:rPr>
        <w:t> </w:t>
      </w:r>
      <w:r>
        <w:rPr>
          <w:w w:val="105"/>
          <w:sz w:val="21"/>
        </w:rPr>
        <w:t>damage</w:t>
      </w:r>
      <w:r>
        <w:rPr>
          <w:spacing w:val="-7"/>
          <w:w w:val="105"/>
          <w:sz w:val="21"/>
        </w:rPr>
        <w:t> </w:t>
      </w:r>
      <w:r>
        <w:rPr>
          <w:w w:val="105"/>
          <w:sz w:val="21"/>
        </w:rPr>
        <w:t>caused</w:t>
      </w:r>
      <w:r>
        <w:rPr>
          <w:spacing w:val="-7"/>
          <w:w w:val="105"/>
          <w:sz w:val="21"/>
        </w:rPr>
        <w:t> </w:t>
      </w:r>
      <w:r>
        <w:rPr>
          <w:w w:val="105"/>
          <w:sz w:val="21"/>
        </w:rPr>
        <w:t>by</w:t>
      </w:r>
      <w:r>
        <w:rPr>
          <w:spacing w:val="-7"/>
          <w:w w:val="105"/>
          <w:sz w:val="21"/>
        </w:rPr>
        <w:t> </w:t>
      </w:r>
      <w:r>
        <w:rPr>
          <w:w w:val="105"/>
          <w:sz w:val="21"/>
        </w:rPr>
        <w:t>the</w:t>
      </w:r>
      <w:r>
        <w:rPr>
          <w:spacing w:val="-8"/>
          <w:w w:val="105"/>
          <w:sz w:val="21"/>
        </w:rPr>
        <w:t> </w:t>
      </w:r>
      <w:r>
        <w:rPr>
          <w:w w:val="105"/>
          <w:sz w:val="21"/>
        </w:rPr>
        <w:t>tree </w:t>
      </w:r>
      <w:r>
        <w:rPr>
          <w:spacing w:val="-3"/>
          <w:w w:val="105"/>
          <w:sz w:val="21"/>
        </w:rPr>
        <w:t>may</w:t>
      </w:r>
      <w:r>
        <w:rPr>
          <w:spacing w:val="-7"/>
          <w:w w:val="105"/>
          <w:sz w:val="21"/>
        </w:rPr>
        <w:t> </w:t>
      </w:r>
      <w:r>
        <w:rPr>
          <w:w w:val="105"/>
          <w:sz w:val="21"/>
        </w:rPr>
        <w:t>be</w:t>
      </w:r>
      <w:r>
        <w:rPr>
          <w:spacing w:val="-6"/>
          <w:w w:val="105"/>
          <w:sz w:val="21"/>
        </w:rPr>
        <w:t> </w:t>
      </w:r>
      <w:r>
        <w:rPr>
          <w:w w:val="105"/>
          <w:sz w:val="21"/>
        </w:rPr>
        <w:t>preceded</w:t>
      </w:r>
      <w:r>
        <w:rPr>
          <w:spacing w:val="-7"/>
          <w:w w:val="105"/>
          <w:sz w:val="21"/>
        </w:rPr>
        <w:t> </w:t>
      </w:r>
      <w:r>
        <w:rPr>
          <w:w w:val="105"/>
          <w:sz w:val="21"/>
        </w:rPr>
        <w:t>by</w:t>
      </w:r>
      <w:r>
        <w:rPr>
          <w:spacing w:val="-6"/>
          <w:w w:val="105"/>
          <w:sz w:val="21"/>
        </w:rPr>
        <w:t> </w:t>
      </w:r>
      <w:r>
        <w:rPr>
          <w:w w:val="105"/>
          <w:sz w:val="21"/>
        </w:rPr>
        <w:t>some</w:t>
      </w:r>
      <w:r>
        <w:rPr>
          <w:spacing w:val="-6"/>
          <w:w w:val="105"/>
          <w:sz w:val="21"/>
        </w:rPr>
        <w:t> </w:t>
      </w:r>
      <w:r>
        <w:rPr>
          <w:w w:val="105"/>
          <w:sz w:val="21"/>
        </w:rPr>
        <w:t>level</w:t>
      </w:r>
      <w:r>
        <w:rPr>
          <w:spacing w:val="-7"/>
          <w:w w:val="105"/>
          <w:sz w:val="21"/>
        </w:rPr>
        <w:t> </w:t>
      </w:r>
      <w:r>
        <w:rPr>
          <w:w w:val="105"/>
          <w:sz w:val="21"/>
        </w:rPr>
        <w:t>of</w:t>
      </w:r>
      <w:r>
        <w:rPr>
          <w:spacing w:val="-6"/>
          <w:w w:val="105"/>
          <w:sz w:val="21"/>
        </w:rPr>
        <w:t> </w:t>
      </w:r>
      <w:r>
        <w:rPr>
          <w:w w:val="105"/>
          <w:sz w:val="21"/>
        </w:rPr>
        <w:t>ongoing</w:t>
      </w:r>
      <w:r>
        <w:rPr>
          <w:spacing w:val="-7"/>
          <w:w w:val="105"/>
          <w:sz w:val="21"/>
        </w:rPr>
        <w:t> </w:t>
      </w:r>
      <w:r>
        <w:rPr>
          <w:spacing w:val="-3"/>
          <w:w w:val="105"/>
          <w:sz w:val="21"/>
        </w:rPr>
        <w:t>interference,</w:t>
      </w:r>
      <w:r>
        <w:rPr>
          <w:spacing w:val="-6"/>
          <w:w w:val="105"/>
          <w:sz w:val="21"/>
        </w:rPr>
        <w:t> </w:t>
      </w:r>
      <w:r>
        <w:rPr>
          <w:w w:val="105"/>
          <w:sz w:val="21"/>
        </w:rPr>
        <w:t>which</w:t>
      </w:r>
      <w:r>
        <w:rPr>
          <w:spacing w:val="-6"/>
          <w:w w:val="105"/>
          <w:sz w:val="21"/>
        </w:rPr>
        <w:t> </w:t>
      </w:r>
      <w:r>
        <w:rPr>
          <w:w w:val="105"/>
          <w:sz w:val="21"/>
        </w:rPr>
        <w:t>in</w:t>
      </w:r>
      <w:r>
        <w:rPr>
          <w:spacing w:val="-7"/>
          <w:w w:val="105"/>
          <w:sz w:val="21"/>
        </w:rPr>
        <w:t> </w:t>
      </w:r>
      <w:r>
        <w:rPr>
          <w:spacing w:val="-3"/>
          <w:w w:val="105"/>
          <w:sz w:val="21"/>
        </w:rPr>
        <w:t>turn</w:t>
      </w:r>
      <w:r>
        <w:rPr>
          <w:spacing w:val="-6"/>
          <w:w w:val="105"/>
          <w:sz w:val="21"/>
        </w:rPr>
        <w:t> </w:t>
      </w:r>
      <w:r>
        <w:rPr>
          <w:w w:val="105"/>
          <w:sz w:val="21"/>
        </w:rPr>
        <w:t>causes</w:t>
      </w:r>
      <w:r>
        <w:rPr>
          <w:spacing w:val="-7"/>
          <w:w w:val="105"/>
          <w:sz w:val="21"/>
        </w:rPr>
        <w:t> </w:t>
      </w:r>
      <w:r>
        <w:rPr>
          <w:spacing w:val="-3"/>
          <w:w w:val="105"/>
          <w:sz w:val="21"/>
        </w:rPr>
        <w:t>annoyance </w:t>
      </w:r>
      <w:r>
        <w:rPr>
          <w:w w:val="105"/>
          <w:sz w:val="21"/>
        </w:rPr>
        <w:t>or discomfort </w:t>
      </w:r>
      <w:r>
        <w:rPr>
          <w:spacing w:val="-3"/>
          <w:w w:val="105"/>
          <w:sz w:val="21"/>
        </w:rPr>
        <w:t>to </w:t>
      </w:r>
      <w:r>
        <w:rPr>
          <w:w w:val="105"/>
          <w:sz w:val="21"/>
        </w:rPr>
        <w:t>the affected </w:t>
      </w:r>
      <w:r>
        <w:rPr>
          <w:spacing w:val="-3"/>
          <w:w w:val="105"/>
          <w:sz w:val="21"/>
        </w:rPr>
        <w:t>neighbour </w:t>
      </w:r>
      <w:r>
        <w:rPr>
          <w:w w:val="105"/>
          <w:sz w:val="21"/>
        </w:rPr>
        <w:t>but does </w:t>
      </w:r>
      <w:r>
        <w:rPr>
          <w:spacing w:val="-2"/>
          <w:w w:val="105"/>
          <w:sz w:val="21"/>
        </w:rPr>
        <w:t>not </w:t>
      </w:r>
      <w:r>
        <w:rPr>
          <w:spacing w:val="-3"/>
          <w:w w:val="105"/>
          <w:sz w:val="21"/>
        </w:rPr>
        <w:t>amount to </w:t>
      </w:r>
      <w:r>
        <w:rPr>
          <w:w w:val="105"/>
          <w:sz w:val="21"/>
        </w:rPr>
        <w:t>property</w:t>
      </w:r>
      <w:r>
        <w:rPr>
          <w:spacing w:val="24"/>
          <w:w w:val="105"/>
          <w:sz w:val="21"/>
        </w:rPr>
        <w:t> </w:t>
      </w:r>
      <w:r>
        <w:rPr>
          <w:spacing w:val="-3"/>
          <w:w w:val="105"/>
          <w:sz w:val="21"/>
        </w:rPr>
        <w:t>damage.</w:t>
      </w:r>
    </w:p>
    <w:p>
      <w:pPr>
        <w:pStyle w:val="ListParagraph"/>
        <w:numPr>
          <w:ilvl w:val="0"/>
          <w:numId w:val="64"/>
        </w:numPr>
        <w:tabs>
          <w:tab w:pos="2381" w:val="left" w:leader="none"/>
          <w:tab w:pos="2382" w:val="left" w:leader="none"/>
        </w:tabs>
        <w:spacing w:line="242" w:lineRule="auto" w:before="124" w:after="0"/>
        <w:ind w:left="2381" w:right="1926" w:hanging="794"/>
        <w:jc w:val="left"/>
        <w:rPr>
          <w:sz w:val="21"/>
        </w:rPr>
      </w:pPr>
      <w:r>
        <w:rPr>
          <w:w w:val="105"/>
          <w:sz w:val="21"/>
        </w:rPr>
        <w:t>Harm in this report refers </w:t>
      </w:r>
      <w:r>
        <w:rPr>
          <w:spacing w:val="-3"/>
          <w:w w:val="105"/>
          <w:sz w:val="21"/>
        </w:rPr>
        <w:t>to harm to </w:t>
      </w:r>
      <w:r>
        <w:rPr>
          <w:w w:val="105"/>
          <w:sz w:val="21"/>
        </w:rPr>
        <w:t>people—causing injury or otherwise affecting their </w:t>
      </w:r>
      <w:r>
        <w:rPr>
          <w:spacing w:val="-3"/>
          <w:w w:val="105"/>
          <w:sz w:val="21"/>
        </w:rPr>
        <w:t>health </w:t>
      </w:r>
      <w:r>
        <w:rPr>
          <w:w w:val="105"/>
          <w:sz w:val="21"/>
        </w:rPr>
        <w:t>or </w:t>
      </w:r>
      <w:r>
        <w:rPr>
          <w:spacing w:val="-3"/>
          <w:w w:val="105"/>
          <w:sz w:val="21"/>
        </w:rPr>
        <w:t>safety. </w:t>
      </w:r>
      <w:r>
        <w:rPr>
          <w:w w:val="105"/>
          <w:sz w:val="21"/>
        </w:rPr>
        <w:t>Under the </w:t>
      </w:r>
      <w:r>
        <w:rPr>
          <w:spacing w:val="-3"/>
          <w:w w:val="105"/>
          <w:sz w:val="21"/>
        </w:rPr>
        <w:t>NSW, Queensland </w:t>
      </w:r>
      <w:r>
        <w:rPr>
          <w:w w:val="105"/>
          <w:sz w:val="21"/>
        </w:rPr>
        <w:t>and </w:t>
      </w:r>
      <w:r>
        <w:rPr>
          <w:spacing w:val="-4"/>
          <w:w w:val="105"/>
          <w:sz w:val="21"/>
        </w:rPr>
        <w:t>Tasmanian </w:t>
      </w:r>
      <w:r>
        <w:rPr>
          <w:w w:val="105"/>
          <w:sz w:val="21"/>
        </w:rPr>
        <w:t>Acts, </w:t>
      </w:r>
      <w:r>
        <w:rPr>
          <w:spacing w:val="-3"/>
          <w:w w:val="105"/>
          <w:sz w:val="21"/>
        </w:rPr>
        <w:t>harm </w:t>
      </w:r>
      <w:r>
        <w:rPr>
          <w:w w:val="105"/>
          <w:sz w:val="21"/>
        </w:rPr>
        <w:t>is called </w:t>
      </w:r>
      <w:r>
        <w:rPr>
          <w:spacing w:val="-3"/>
          <w:w w:val="105"/>
          <w:sz w:val="21"/>
        </w:rPr>
        <w:t>‘injury’.</w:t>
      </w:r>
      <w:r>
        <w:rPr>
          <w:spacing w:val="-3"/>
          <w:w w:val="105"/>
          <w:position w:val="7"/>
          <w:sz w:val="12"/>
        </w:rPr>
        <w:t>287 </w:t>
      </w:r>
      <w:r>
        <w:rPr>
          <w:spacing w:val="-3"/>
          <w:w w:val="105"/>
          <w:sz w:val="21"/>
        </w:rPr>
        <w:t>Future harm </w:t>
      </w:r>
      <w:r>
        <w:rPr>
          <w:w w:val="105"/>
          <w:sz w:val="21"/>
        </w:rPr>
        <w:t>is </w:t>
      </w:r>
      <w:r>
        <w:rPr>
          <w:spacing w:val="-3"/>
          <w:w w:val="105"/>
          <w:sz w:val="21"/>
        </w:rPr>
        <w:t>harm that </w:t>
      </w:r>
      <w:r>
        <w:rPr>
          <w:w w:val="105"/>
          <w:sz w:val="21"/>
        </w:rPr>
        <w:t>is expected </w:t>
      </w:r>
      <w:r>
        <w:rPr>
          <w:spacing w:val="-3"/>
          <w:w w:val="105"/>
          <w:sz w:val="21"/>
        </w:rPr>
        <w:t>to</w:t>
      </w:r>
      <w:r>
        <w:rPr>
          <w:spacing w:val="3"/>
          <w:w w:val="105"/>
          <w:sz w:val="21"/>
        </w:rPr>
        <w:t> </w:t>
      </w:r>
      <w:r>
        <w:rPr>
          <w:spacing w:val="-5"/>
          <w:w w:val="105"/>
          <w:sz w:val="21"/>
        </w:rPr>
        <w:t>occur.</w:t>
      </w:r>
    </w:p>
    <w:p>
      <w:pPr>
        <w:pStyle w:val="ListParagraph"/>
        <w:numPr>
          <w:ilvl w:val="0"/>
          <w:numId w:val="64"/>
        </w:numPr>
        <w:tabs>
          <w:tab w:pos="2380" w:val="left" w:leader="none"/>
          <w:tab w:pos="2381" w:val="left" w:leader="none"/>
        </w:tabs>
        <w:spacing w:line="242" w:lineRule="auto" w:before="123" w:after="0"/>
        <w:ind w:left="2380" w:right="2103" w:hanging="793"/>
        <w:jc w:val="left"/>
        <w:rPr>
          <w:sz w:val="21"/>
        </w:rPr>
      </w:pPr>
      <w:r>
        <w:rPr>
          <w:w w:val="105"/>
          <w:sz w:val="21"/>
        </w:rPr>
        <w:t>The</w:t>
      </w:r>
      <w:r>
        <w:rPr>
          <w:spacing w:val="-7"/>
          <w:w w:val="105"/>
          <w:sz w:val="21"/>
        </w:rPr>
        <w:t> </w:t>
      </w:r>
      <w:r>
        <w:rPr>
          <w:spacing w:val="-3"/>
          <w:w w:val="105"/>
          <w:sz w:val="21"/>
        </w:rPr>
        <w:t>Commission</w:t>
      </w:r>
      <w:r>
        <w:rPr>
          <w:spacing w:val="-7"/>
          <w:w w:val="105"/>
          <w:sz w:val="21"/>
        </w:rPr>
        <w:t> </w:t>
      </w:r>
      <w:r>
        <w:rPr>
          <w:spacing w:val="-2"/>
          <w:w w:val="105"/>
          <w:sz w:val="21"/>
        </w:rPr>
        <w:t>has</w:t>
      </w:r>
      <w:r>
        <w:rPr>
          <w:spacing w:val="-7"/>
          <w:w w:val="105"/>
          <w:sz w:val="21"/>
        </w:rPr>
        <w:t> </w:t>
      </w:r>
      <w:r>
        <w:rPr>
          <w:spacing w:val="-2"/>
          <w:w w:val="105"/>
          <w:sz w:val="21"/>
        </w:rPr>
        <w:t>not</w:t>
      </w:r>
      <w:r>
        <w:rPr>
          <w:spacing w:val="-6"/>
          <w:w w:val="105"/>
          <w:sz w:val="21"/>
        </w:rPr>
        <w:t> </w:t>
      </w:r>
      <w:r>
        <w:rPr>
          <w:spacing w:val="-3"/>
          <w:w w:val="105"/>
          <w:sz w:val="21"/>
        </w:rPr>
        <w:t>considered</w:t>
      </w:r>
      <w:r>
        <w:rPr>
          <w:spacing w:val="-7"/>
          <w:w w:val="105"/>
          <w:sz w:val="21"/>
        </w:rPr>
        <w:t> </w:t>
      </w:r>
      <w:r>
        <w:rPr>
          <w:w w:val="105"/>
          <w:sz w:val="21"/>
        </w:rPr>
        <w:t>a</w:t>
      </w:r>
      <w:r>
        <w:rPr>
          <w:spacing w:val="-7"/>
          <w:w w:val="105"/>
          <w:sz w:val="21"/>
        </w:rPr>
        <w:t> </w:t>
      </w:r>
      <w:r>
        <w:rPr>
          <w:w w:val="105"/>
          <w:sz w:val="21"/>
        </w:rPr>
        <w:t>compensation</w:t>
      </w:r>
      <w:r>
        <w:rPr>
          <w:spacing w:val="-6"/>
          <w:w w:val="105"/>
          <w:sz w:val="21"/>
        </w:rPr>
        <w:t> </w:t>
      </w:r>
      <w:r>
        <w:rPr>
          <w:w w:val="105"/>
          <w:sz w:val="21"/>
        </w:rPr>
        <w:t>scheme</w:t>
      </w:r>
      <w:r>
        <w:rPr>
          <w:spacing w:val="-7"/>
          <w:w w:val="105"/>
          <w:sz w:val="21"/>
        </w:rPr>
        <w:t> </w:t>
      </w:r>
      <w:r>
        <w:rPr>
          <w:spacing w:val="-3"/>
          <w:w w:val="105"/>
          <w:sz w:val="21"/>
        </w:rPr>
        <w:t>for</w:t>
      </w:r>
      <w:r>
        <w:rPr>
          <w:spacing w:val="-7"/>
          <w:w w:val="105"/>
          <w:sz w:val="21"/>
        </w:rPr>
        <w:t> </w:t>
      </w:r>
      <w:r>
        <w:rPr>
          <w:spacing w:val="-3"/>
          <w:w w:val="105"/>
          <w:sz w:val="21"/>
        </w:rPr>
        <w:t>harm</w:t>
      </w:r>
      <w:r>
        <w:rPr>
          <w:spacing w:val="-7"/>
          <w:w w:val="105"/>
          <w:sz w:val="21"/>
        </w:rPr>
        <w:t> </w:t>
      </w:r>
      <w:r>
        <w:rPr>
          <w:w w:val="105"/>
          <w:sz w:val="21"/>
        </w:rPr>
        <w:t>suffered</w:t>
      </w:r>
      <w:r>
        <w:rPr>
          <w:spacing w:val="-6"/>
          <w:w w:val="105"/>
          <w:sz w:val="21"/>
        </w:rPr>
        <w:t> </w:t>
      </w:r>
      <w:r>
        <w:rPr>
          <w:w w:val="105"/>
          <w:sz w:val="21"/>
        </w:rPr>
        <w:t>(also </w:t>
      </w:r>
      <w:r>
        <w:rPr>
          <w:spacing w:val="-3"/>
          <w:w w:val="105"/>
          <w:sz w:val="21"/>
        </w:rPr>
        <w:t>referred to </w:t>
      </w:r>
      <w:r>
        <w:rPr>
          <w:w w:val="105"/>
          <w:sz w:val="21"/>
        </w:rPr>
        <w:t>as </w:t>
      </w:r>
      <w:r>
        <w:rPr>
          <w:spacing w:val="-3"/>
          <w:w w:val="105"/>
          <w:sz w:val="21"/>
        </w:rPr>
        <w:t>‘personal </w:t>
      </w:r>
      <w:r>
        <w:rPr>
          <w:w w:val="105"/>
          <w:sz w:val="21"/>
        </w:rPr>
        <w:t>injury’). The remedies </w:t>
      </w:r>
      <w:r>
        <w:rPr>
          <w:spacing w:val="-3"/>
          <w:w w:val="105"/>
          <w:sz w:val="21"/>
        </w:rPr>
        <w:t>available </w:t>
      </w:r>
      <w:r>
        <w:rPr>
          <w:w w:val="105"/>
          <w:sz w:val="21"/>
        </w:rPr>
        <w:t>under the new Act </w:t>
      </w:r>
      <w:r>
        <w:rPr>
          <w:spacing w:val="-3"/>
          <w:w w:val="105"/>
          <w:sz w:val="21"/>
        </w:rPr>
        <w:t>focus </w:t>
      </w:r>
      <w:r>
        <w:rPr>
          <w:w w:val="105"/>
          <w:sz w:val="21"/>
        </w:rPr>
        <w:t>on practical remedies </w:t>
      </w:r>
      <w:r>
        <w:rPr>
          <w:spacing w:val="-3"/>
          <w:w w:val="105"/>
          <w:sz w:val="21"/>
        </w:rPr>
        <w:t>related to </w:t>
      </w:r>
      <w:r>
        <w:rPr>
          <w:w w:val="105"/>
          <w:sz w:val="21"/>
        </w:rPr>
        <w:t>tree</w:t>
      </w:r>
      <w:r>
        <w:rPr>
          <w:spacing w:val="25"/>
          <w:w w:val="105"/>
          <w:sz w:val="21"/>
        </w:rPr>
        <w:t> </w:t>
      </w:r>
      <w:r>
        <w:rPr>
          <w:spacing w:val="-3"/>
          <w:w w:val="105"/>
          <w:sz w:val="21"/>
        </w:rPr>
        <w:t>management.</w:t>
      </w:r>
    </w:p>
    <w:p>
      <w:pPr>
        <w:pStyle w:val="BodyText"/>
        <w:spacing w:before="4"/>
        <w:rPr>
          <w:sz w:val="20"/>
        </w:rPr>
      </w:pPr>
    </w:p>
    <w:p>
      <w:pPr>
        <w:pStyle w:val="Heading5"/>
      </w:pPr>
      <w:r>
        <w:rPr>
          <w:w w:val="110"/>
        </w:rPr>
        <w:t>Other jurisdictions—problems within scope</w:t>
      </w:r>
    </w:p>
    <w:p>
      <w:pPr>
        <w:pStyle w:val="Heading7"/>
        <w:spacing w:before="168"/>
      </w:pPr>
      <w:r>
        <w:rPr>
          <w:w w:val="115"/>
        </w:rPr>
        <w:t>New South Wales</w:t>
      </w:r>
    </w:p>
    <w:p>
      <w:pPr>
        <w:pStyle w:val="ListParagraph"/>
        <w:numPr>
          <w:ilvl w:val="0"/>
          <w:numId w:val="64"/>
        </w:numPr>
        <w:tabs>
          <w:tab w:pos="2382" w:val="left" w:leader="none"/>
        </w:tabs>
        <w:spacing w:line="242" w:lineRule="auto" w:before="143" w:after="0"/>
        <w:ind w:left="2381" w:right="1659" w:hanging="794"/>
        <w:jc w:val="both"/>
        <w:rPr>
          <w:sz w:val="12"/>
        </w:rPr>
      </w:pPr>
      <w:r>
        <w:rPr>
          <w:w w:val="105"/>
          <w:sz w:val="21"/>
        </w:rPr>
        <w:t>The NSWLEC </w:t>
      </w:r>
      <w:r>
        <w:rPr>
          <w:spacing w:val="-3"/>
          <w:w w:val="105"/>
          <w:sz w:val="21"/>
        </w:rPr>
        <w:t>may </w:t>
      </w:r>
      <w:r>
        <w:rPr>
          <w:spacing w:val="-4"/>
          <w:w w:val="105"/>
          <w:sz w:val="21"/>
        </w:rPr>
        <w:t>make </w:t>
      </w:r>
      <w:r>
        <w:rPr>
          <w:spacing w:val="-3"/>
          <w:w w:val="105"/>
          <w:sz w:val="21"/>
        </w:rPr>
        <w:t>such </w:t>
      </w:r>
      <w:r>
        <w:rPr>
          <w:w w:val="105"/>
          <w:sz w:val="21"/>
        </w:rPr>
        <w:t>orders as it thinks fit </w:t>
      </w:r>
      <w:r>
        <w:rPr>
          <w:spacing w:val="-3"/>
          <w:w w:val="105"/>
          <w:sz w:val="21"/>
        </w:rPr>
        <w:t>to remedy, restrain </w:t>
      </w:r>
      <w:r>
        <w:rPr>
          <w:w w:val="105"/>
          <w:sz w:val="21"/>
        </w:rPr>
        <w:t>or </w:t>
      </w:r>
      <w:r>
        <w:rPr>
          <w:spacing w:val="-3"/>
          <w:w w:val="105"/>
          <w:sz w:val="21"/>
        </w:rPr>
        <w:t>prevent </w:t>
      </w:r>
      <w:r>
        <w:rPr>
          <w:w w:val="105"/>
          <w:sz w:val="21"/>
        </w:rPr>
        <w:t>damage </w:t>
      </w:r>
      <w:r>
        <w:rPr>
          <w:spacing w:val="-3"/>
          <w:w w:val="105"/>
          <w:sz w:val="21"/>
        </w:rPr>
        <w:t>to</w:t>
      </w:r>
      <w:r>
        <w:rPr>
          <w:spacing w:val="-6"/>
          <w:w w:val="105"/>
          <w:sz w:val="21"/>
        </w:rPr>
        <w:t> </w:t>
      </w:r>
      <w:r>
        <w:rPr>
          <w:w w:val="105"/>
          <w:sz w:val="21"/>
        </w:rPr>
        <w:t>property,</w:t>
      </w:r>
      <w:r>
        <w:rPr>
          <w:spacing w:val="-6"/>
          <w:w w:val="105"/>
          <w:sz w:val="21"/>
        </w:rPr>
        <w:t> </w:t>
      </w:r>
      <w:r>
        <w:rPr>
          <w:w w:val="105"/>
          <w:sz w:val="21"/>
        </w:rPr>
        <w:t>or</w:t>
      </w:r>
      <w:r>
        <w:rPr>
          <w:spacing w:val="-6"/>
          <w:w w:val="105"/>
          <w:sz w:val="21"/>
        </w:rPr>
        <w:t> </w:t>
      </w:r>
      <w:r>
        <w:rPr>
          <w:spacing w:val="-3"/>
          <w:w w:val="105"/>
          <w:sz w:val="21"/>
        </w:rPr>
        <w:t>to</w:t>
      </w:r>
      <w:r>
        <w:rPr>
          <w:spacing w:val="-6"/>
          <w:w w:val="105"/>
          <w:sz w:val="21"/>
        </w:rPr>
        <w:t> </w:t>
      </w:r>
      <w:r>
        <w:rPr>
          <w:spacing w:val="-3"/>
          <w:w w:val="105"/>
          <w:sz w:val="21"/>
        </w:rPr>
        <w:t>prevent</w:t>
      </w:r>
      <w:r>
        <w:rPr>
          <w:spacing w:val="-6"/>
          <w:w w:val="105"/>
          <w:sz w:val="21"/>
        </w:rPr>
        <w:t> </w:t>
      </w:r>
      <w:r>
        <w:rPr>
          <w:w w:val="105"/>
          <w:sz w:val="21"/>
        </w:rPr>
        <w:t>injury</w:t>
      </w:r>
      <w:r>
        <w:rPr>
          <w:spacing w:val="-5"/>
          <w:w w:val="105"/>
          <w:sz w:val="21"/>
        </w:rPr>
        <w:t> </w:t>
      </w:r>
      <w:r>
        <w:rPr>
          <w:spacing w:val="-3"/>
          <w:w w:val="105"/>
          <w:sz w:val="21"/>
        </w:rPr>
        <w:t>to</w:t>
      </w:r>
      <w:r>
        <w:rPr>
          <w:spacing w:val="-6"/>
          <w:w w:val="105"/>
          <w:sz w:val="21"/>
        </w:rPr>
        <w:t> </w:t>
      </w:r>
      <w:r>
        <w:rPr>
          <w:spacing w:val="-3"/>
          <w:w w:val="105"/>
          <w:sz w:val="21"/>
        </w:rPr>
        <w:t>any</w:t>
      </w:r>
      <w:r>
        <w:rPr>
          <w:spacing w:val="-6"/>
          <w:w w:val="105"/>
          <w:sz w:val="21"/>
        </w:rPr>
        <w:t> </w:t>
      </w:r>
      <w:r>
        <w:rPr>
          <w:w w:val="105"/>
          <w:sz w:val="21"/>
        </w:rPr>
        <w:t>person,</w:t>
      </w:r>
      <w:r>
        <w:rPr>
          <w:spacing w:val="-6"/>
          <w:w w:val="105"/>
          <w:sz w:val="21"/>
        </w:rPr>
        <w:t> </w:t>
      </w:r>
      <w:r>
        <w:rPr>
          <w:w w:val="105"/>
          <w:sz w:val="21"/>
        </w:rPr>
        <w:t>as</w:t>
      </w:r>
      <w:r>
        <w:rPr>
          <w:spacing w:val="-6"/>
          <w:w w:val="105"/>
          <w:sz w:val="21"/>
        </w:rPr>
        <w:t> </w:t>
      </w:r>
      <w:r>
        <w:rPr>
          <w:w w:val="105"/>
          <w:sz w:val="21"/>
        </w:rPr>
        <w:t>a</w:t>
      </w:r>
      <w:r>
        <w:rPr>
          <w:spacing w:val="-5"/>
          <w:w w:val="105"/>
          <w:sz w:val="21"/>
        </w:rPr>
        <w:t> </w:t>
      </w:r>
      <w:r>
        <w:rPr>
          <w:spacing w:val="-3"/>
          <w:w w:val="105"/>
          <w:sz w:val="21"/>
        </w:rPr>
        <w:t>consequence</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w w:val="105"/>
          <w:sz w:val="21"/>
        </w:rPr>
        <w:t>tree</w:t>
      </w:r>
      <w:r>
        <w:rPr>
          <w:spacing w:val="-6"/>
          <w:w w:val="105"/>
          <w:sz w:val="21"/>
        </w:rPr>
        <w:t> </w:t>
      </w:r>
      <w:r>
        <w:rPr>
          <w:spacing w:val="-3"/>
          <w:w w:val="105"/>
          <w:sz w:val="21"/>
        </w:rPr>
        <w:t>to</w:t>
      </w:r>
      <w:r>
        <w:rPr>
          <w:spacing w:val="-5"/>
          <w:w w:val="105"/>
          <w:sz w:val="21"/>
        </w:rPr>
        <w:t> </w:t>
      </w:r>
      <w:r>
        <w:rPr>
          <w:w w:val="105"/>
          <w:sz w:val="21"/>
        </w:rPr>
        <w:t>which</w:t>
      </w:r>
      <w:r>
        <w:rPr>
          <w:spacing w:val="-6"/>
          <w:w w:val="105"/>
          <w:sz w:val="21"/>
        </w:rPr>
        <w:t> </w:t>
      </w:r>
      <w:r>
        <w:rPr>
          <w:w w:val="105"/>
          <w:sz w:val="21"/>
        </w:rPr>
        <w:t>the Act applies </w:t>
      </w:r>
      <w:r>
        <w:rPr>
          <w:spacing w:val="-3"/>
          <w:w w:val="105"/>
          <w:sz w:val="21"/>
        </w:rPr>
        <w:t>that </w:t>
      </w:r>
      <w:r>
        <w:rPr>
          <w:w w:val="105"/>
          <w:sz w:val="21"/>
        </w:rPr>
        <w:t>is </w:t>
      </w:r>
      <w:r>
        <w:rPr>
          <w:spacing w:val="-3"/>
          <w:w w:val="105"/>
          <w:sz w:val="21"/>
        </w:rPr>
        <w:t>situated </w:t>
      </w:r>
      <w:r>
        <w:rPr>
          <w:w w:val="105"/>
          <w:sz w:val="21"/>
        </w:rPr>
        <w:t>on </w:t>
      </w:r>
      <w:r>
        <w:rPr>
          <w:spacing w:val="-3"/>
          <w:w w:val="105"/>
          <w:sz w:val="21"/>
        </w:rPr>
        <w:t>adjoining</w:t>
      </w:r>
      <w:r>
        <w:rPr>
          <w:spacing w:val="41"/>
          <w:w w:val="105"/>
          <w:sz w:val="21"/>
        </w:rPr>
        <w:t> </w:t>
      </w:r>
      <w:r>
        <w:rPr>
          <w:w w:val="105"/>
          <w:sz w:val="21"/>
        </w:rPr>
        <w:t>land.</w:t>
      </w:r>
      <w:r>
        <w:rPr>
          <w:w w:val="105"/>
          <w:position w:val="7"/>
          <w:sz w:val="12"/>
        </w:rPr>
        <w:t>288</w:t>
      </w:r>
    </w:p>
    <w:p>
      <w:pPr>
        <w:pStyle w:val="ListParagraph"/>
        <w:numPr>
          <w:ilvl w:val="0"/>
          <w:numId w:val="64"/>
        </w:numPr>
        <w:tabs>
          <w:tab w:pos="2380" w:val="left" w:leader="none"/>
          <w:tab w:pos="2382" w:val="left" w:leader="none"/>
        </w:tabs>
        <w:spacing w:line="242" w:lineRule="auto" w:before="123" w:after="0"/>
        <w:ind w:left="2381" w:right="1696" w:hanging="794"/>
        <w:jc w:val="left"/>
        <w:rPr>
          <w:sz w:val="21"/>
        </w:rPr>
      </w:pPr>
      <w:r>
        <w:rPr>
          <w:w w:val="105"/>
          <w:sz w:val="21"/>
        </w:rPr>
        <w:t>In New South </w:t>
      </w:r>
      <w:r>
        <w:rPr>
          <w:spacing w:val="-3"/>
          <w:w w:val="105"/>
          <w:sz w:val="21"/>
        </w:rPr>
        <w:t>Wales any </w:t>
      </w:r>
      <w:r>
        <w:rPr>
          <w:w w:val="105"/>
          <w:sz w:val="21"/>
        </w:rPr>
        <w:t>sort of </w:t>
      </w:r>
      <w:r>
        <w:rPr>
          <w:spacing w:val="-3"/>
          <w:w w:val="105"/>
          <w:sz w:val="21"/>
        </w:rPr>
        <w:t>damage, </w:t>
      </w:r>
      <w:r>
        <w:rPr>
          <w:w w:val="105"/>
          <w:sz w:val="21"/>
        </w:rPr>
        <w:t>regardless of </w:t>
      </w:r>
      <w:r>
        <w:rPr>
          <w:spacing w:val="-3"/>
          <w:w w:val="105"/>
          <w:sz w:val="21"/>
        </w:rPr>
        <w:t>degree, </w:t>
      </w:r>
      <w:r>
        <w:rPr>
          <w:w w:val="105"/>
          <w:sz w:val="21"/>
        </w:rPr>
        <w:t>can be </w:t>
      </w:r>
      <w:r>
        <w:rPr>
          <w:spacing w:val="-3"/>
          <w:w w:val="105"/>
          <w:sz w:val="21"/>
        </w:rPr>
        <w:t>claimed. </w:t>
      </w:r>
      <w:r>
        <w:rPr>
          <w:spacing w:val="-4"/>
          <w:w w:val="105"/>
          <w:sz w:val="21"/>
        </w:rPr>
        <w:t>However, </w:t>
      </w:r>
      <w:r>
        <w:rPr>
          <w:spacing w:val="-3"/>
          <w:w w:val="105"/>
          <w:sz w:val="21"/>
        </w:rPr>
        <w:t>minor </w:t>
      </w:r>
      <w:r>
        <w:rPr>
          <w:w w:val="105"/>
          <w:sz w:val="21"/>
        </w:rPr>
        <w:t>or </w:t>
      </w:r>
      <w:r>
        <w:rPr>
          <w:spacing w:val="-3"/>
          <w:w w:val="105"/>
          <w:sz w:val="21"/>
        </w:rPr>
        <w:t>insignificant </w:t>
      </w:r>
      <w:r>
        <w:rPr>
          <w:w w:val="105"/>
          <w:sz w:val="21"/>
        </w:rPr>
        <w:t>damage is </w:t>
      </w:r>
      <w:r>
        <w:rPr>
          <w:spacing w:val="-2"/>
          <w:w w:val="105"/>
          <w:sz w:val="21"/>
        </w:rPr>
        <w:t>not </w:t>
      </w:r>
      <w:r>
        <w:rPr>
          <w:spacing w:val="-3"/>
          <w:w w:val="105"/>
          <w:sz w:val="21"/>
        </w:rPr>
        <w:t>covered </w:t>
      </w:r>
      <w:r>
        <w:rPr>
          <w:w w:val="105"/>
          <w:sz w:val="21"/>
        </w:rPr>
        <w:t>by the Act.</w:t>
      </w:r>
      <w:r>
        <w:rPr>
          <w:w w:val="105"/>
          <w:position w:val="7"/>
          <w:sz w:val="12"/>
        </w:rPr>
        <w:t>289 </w:t>
      </w:r>
      <w:r>
        <w:rPr>
          <w:w w:val="105"/>
          <w:sz w:val="21"/>
        </w:rPr>
        <w:t>Actual damage or </w:t>
      </w:r>
      <w:r>
        <w:rPr>
          <w:spacing w:val="-3"/>
          <w:w w:val="105"/>
          <w:sz w:val="21"/>
        </w:rPr>
        <w:t>physical </w:t>
      </w:r>
      <w:r>
        <w:rPr>
          <w:w w:val="105"/>
          <w:sz w:val="21"/>
        </w:rPr>
        <w:t>damage </w:t>
      </w:r>
      <w:r>
        <w:rPr>
          <w:spacing w:val="-3"/>
          <w:w w:val="105"/>
          <w:sz w:val="21"/>
        </w:rPr>
        <w:t>to </w:t>
      </w:r>
      <w:r>
        <w:rPr>
          <w:w w:val="105"/>
          <w:sz w:val="21"/>
        </w:rPr>
        <w:t>the </w:t>
      </w:r>
      <w:r>
        <w:rPr>
          <w:spacing w:val="-3"/>
          <w:w w:val="105"/>
          <w:sz w:val="21"/>
        </w:rPr>
        <w:t>land </w:t>
      </w:r>
      <w:r>
        <w:rPr>
          <w:w w:val="105"/>
          <w:sz w:val="21"/>
        </w:rPr>
        <w:t>or other structures on the </w:t>
      </w:r>
      <w:r>
        <w:rPr>
          <w:spacing w:val="-3"/>
          <w:w w:val="105"/>
          <w:sz w:val="21"/>
        </w:rPr>
        <w:t>land </w:t>
      </w:r>
      <w:r>
        <w:rPr>
          <w:w w:val="105"/>
          <w:sz w:val="21"/>
        </w:rPr>
        <w:t>is actionable as </w:t>
      </w:r>
      <w:r>
        <w:rPr>
          <w:spacing w:val="-3"/>
          <w:w w:val="105"/>
          <w:sz w:val="21"/>
        </w:rPr>
        <w:t>well </w:t>
      </w:r>
      <w:r>
        <w:rPr>
          <w:w w:val="105"/>
          <w:sz w:val="21"/>
        </w:rPr>
        <w:t>as </w:t>
      </w:r>
      <w:r>
        <w:rPr>
          <w:spacing w:val="-3"/>
          <w:w w:val="105"/>
          <w:sz w:val="21"/>
        </w:rPr>
        <w:t>to moveable </w:t>
      </w:r>
      <w:r>
        <w:rPr>
          <w:w w:val="105"/>
          <w:sz w:val="21"/>
        </w:rPr>
        <w:t>objects located on property.</w:t>
      </w:r>
      <w:r>
        <w:rPr>
          <w:w w:val="105"/>
          <w:position w:val="7"/>
          <w:sz w:val="12"/>
        </w:rPr>
        <w:t>290 </w:t>
      </w:r>
      <w:r>
        <w:rPr>
          <w:w w:val="105"/>
          <w:sz w:val="21"/>
        </w:rPr>
        <w:t>The NSWLEC </w:t>
      </w:r>
      <w:r>
        <w:rPr>
          <w:spacing w:val="-2"/>
          <w:w w:val="105"/>
          <w:sz w:val="21"/>
        </w:rPr>
        <w:t>has </w:t>
      </w:r>
      <w:r>
        <w:rPr>
          <w:spacing w:val="-3"/>
          <w:w w:val="105"/>
          <w:sz w:val="21"/>
        </w:rPr>
        <w:t>determined that </w:t>
      </w:r>
      <w:r>
        <w:rPr>
          <w:w w:val="105"/>
          <w:sz w:val="21"/>
        </w:rPr>
        <w:t>garden plants, </w:t>
      </w:r>
      <w:r>
        <w:rPr>
          <w:spacing w:val="-3"/>
          <w:w w:val="105"/>
          <w:sz w:val="21"/>
        </w:rPr>
        <w:t>fences, animals </w:t>
      </w:r>
      <w:r>
        <w:rPr>
          <w:w w:val="105"/>
          <w:sz w:val="21"/>
        </w:rPr>
        <w:t>outdoor </w:t>
      </w:r>
      <w:r>
        <w:rPr>
          <w:spacing w:val="-3"/>
          <w:w w:val="105"/>
          <w:sz w:val="21"/>
        </w:rPr>
        <w:t>furniture </w:t>
      </w:r>
      <w:r>
        <w:rPr>
          <w:w w:val="105"/>
          <w:sz w:val="21"/>
        </w:rPr>
        <w:t>and </w:t>
      </w:r>
      <w:r>
        <w:rPr>
          <w:spacing w:val="-3"/>
          <w:w w:val="105"/>
          <w:sz w:val="21"/>
        </w:rPr>
        <w:t>motor </w:t>
      </w:r>
      <w:r>
        <w:rPr>
          <w:w w:val="105"/>
          <w:sz w:val="21"/>
        </w:rPr>
        <w:t>vehicles </w:t>
      </w:r>
      <w:r>
        <w:rPr>
          <w:spacing w:val="-3"/>
          <w:w w:val="105"/>
          <w:sz w:val="21"/>
        </w:rPr>
        <w:t>are </w:t>
      </w:r>
      <w:r>
        <w:rPr>
          <w:w w:val="105"/>
          <w:sz w:val="21"/>
        </w:rPr>
        <w:t>‘property on the </w:t>
      </w:r>
      <w:r>
        <w:rPr>
          <w:spacing w:val="-4"/>
          <w:w w:val="105"/>
          <w:sz w:val="21"/>
        </w:rPr>
        <w:t>land’.</w:t>
      </w:r>
      <w:r>
        <w:rPr>
          <w:spacing w:val="-4"/>
          <w:w w:val="105"/>
          <w:position w:val="7"/>
          <w:sz w:val="12"/>
        </w:rPr>
        <w:t>291</w:t>
      </w:r>
      <w:r>
        <w:rPr>
          <w:spacing w:val="-5"/>
          <w:w w:val="105"/>
          <w:position w:val="7"/>
          <w:sz w:val="12"/>
        </w:rPr>
        <w:t> </w:t>
      </w:r>
      <w:r>
        <w:rPr>
          <w:w w:val="105"/>
          <w:sz w:val="21"/>
        </w:rPr>
        <w:t>‘Property</w:t>
      </w:r>
    </w:p>
    <w:p>
      <w:pPr>
        <w:pStyle w:val="BodyText"/>
        <w:spacing w:line="242" w:lineRule="auto" w:before="5"/>
        <w:ind w:left="2381" w:right="1702"/>
      </w:pPr>
      <w:r>
        <w:rPr>
          <w:w w:val="105"/>
        </w:rPr>
        <w:t>on the land’ need not be above ground, as shown by cases concerning sewer pipes.</w:t>
      </w:r>
      <w:r>
        <w:rPr>
          <w:w w:val="105"/>
          <w:position w:val="7"/>
          <w:sz w:val="12"/>
        </w:rPr>
        <w:t>292 </w:t>
      </w:r>
      <w:r>
        <w:rPr>
          <w:w w:val="105"/>
        </w:rPr>
        <w:t>However, ‘damage to the surface of the land such as raising a mound of earth or drying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spacing w:before="96"/>
        <w:ind w:left="0" w:right="659" w:firstLine="0"/>
        <w:jc w:val="right"/>
        <w:rPr>
          <w:b/>
          <w:sz w:val="24"/>
        </w:rPr>
      </w:pPr>
      <w:r>
        <w:rPr/>
        <w:pict>
          <v:shape style="position:absolute;margin-left:79.370102pt;margin-top:-53.775818pt;width:436.55pt;height:71.650pt;mso-position-horizontal-relative:page;mso-position-vertical-relative:paragraph;z-index:709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8"/>
                    <w:gridCol w:w="8223"/>
                  </w:tblGrid>
                  <w:tr>
                    <w:trPr>
                      <w:trHeight w:val="466" w:hRule="atLeast"/>
                    </w:trPr>
                    <w:tc>
                      <w:tcPr>
                        <w:tcW w:w="508" w:type="dxa"/>
                        <w:tcBorders>
                          <w:top w:val="single" w:sz="8" w:space="0" w:color="C9D2CB"/>
                        </w:tcBorders>
                      </w:tcPr>
                      <w:p>
                        <w:pPr>
                          <w:pStyle w:val="TableParagraph"/>
                          <w:spacing w:before="11"/>
                          <w:rPr>
                            <w:b/>
                            <w:sz w:val="11"/>
                          </w:rPr>
                        </w:pPr>
                      </w:p>
                      <w:p>
                        <w:pPr>
                          <w:pStyle w:val="TableParagraph"/>
                          <w:spacing w:before="1"/>
                          <w:rPr>
                            <w:sz w:val="13"/>
                          </w:rPr>
                        </w:pPr>
                        <w:r>
                          <w:rPr>
                            <w:w w:val="110"/>
                            <w:sz w:val="13"/>
                          </w:rPr>
                          <w:t>287</w:t>
                        </w:r>
                      </w:p>
                    </w:tc>
                    <w:tc>
                      <w:tcPr>
                        <w:tcW w:w="8223" w:type="dxa"/>
                        <w:tcBorders>
                          <w:top w:val="single" w:sz="8" w:space="0" w:color="C9D2CB"/>
                        </w:tcBorders>
                      </w:tcPr>
                      <w:p>
                        <w:pPr>
                          <w:pStyle w:val="TableParagraph"/>
                          <w:spacing w:before="11"/>
                          <w:rPr>
                            <w:b/>
                            <w:sz w:val="11"/>
                          </w:rPr>
                        </w:pPr>
                      </w:p>
                      <w:p>
                        <w:pPr>
                          <w:pStyle w:val="TableParagraph"/>
                          <w:spacing w:before="1"/>
                          <w:ind w:left="285"/>
                          <w:rPr>
                            <w:sz w:val="13"/>
                          </w:rPr>
                        </w:pPr>
                        <w:r>
                          <w:rPr>
                            <w:i/>
                            <w:w w:val="105"/>
                            <w:sz w:val="13"/>
                          </w:rPr>
                          <w:t>Trees (Disputes Between Neighbours) Act 2006 (</w:t>
                        </w:r>
                        <w:r>
                          <w:rPr>
                            <w:w w:val="105"/>
                            <w:sz w:val="13"/>
                          </w:rPr>
                          <w:t>NSW) pt 2; </w:t>
                        </w:r>
                        <w:r>
                          <w:rPr>
                            <w:i/>
                            <w:w w:val="105"/>
                            <w:sz w:val="13"/>
                          </w:rPr>
                          <w:t>Neighbourhood Disputes (Dividing Fences and Trees) Act 2011 </w:t>
                        </w:r>
                        <w:r>
                          <w:rPr>
                            <w:w w:val="105"/>
                            <w:sz w:val="13"/>
                          </w:rPr>
                          <w:t>(Qld) s 46;</w:t>
                        </w:r>
                      </w:p>
                      <w:p>
                        <w:pPr>
                          <w:pStyle w:val="TableParagraph"/>
                          <w:spacing w:line="140" w:lineRule="exact" w:before="1"/>
                          <w:ind w:left="285"/>
                          <w:rPr>
                            <w:sz w:val="13"/>
                          </w:rPr>
                        </w:pPr>
                        <w:r>
                          <w:rPr>
                            <w:i/>
                            <w:w w:val="105"/>
                            <w:sz w:val="13"/>
                          </w:rPr>
                          <w:t>Neighbourhood Disputes About Plants Act 2017 </w:t>
                        </w:r>
                        <w:r>
                          <w:rPr>
                            <w:w w:val="105"/>
                            <w:sz w:val="13"/>
                          </w:rPr>
                          <w:t>(Tas) s 7(1)(b).</w:t>
                        </w:r>
                      </w:p>
                    </w:tc>
                  </w:tr>
                  <w:tr>
                    <w:trPr>
                      <w:trHeight w:val="160" w:hRule="atLeast"/>
                    </w:trPr>
                    <w:tc>
                      <w:tcPr>
                        <w:tcW w:w="508" w:type="dxa"/>
                      </w:tcPr>
                      <w:p>
                        <w:pPr>
                          <w:pStyle w:val="TableParagraph"/>
                          <w:spacing w:line="140" w:lineRule="exact"/>
                          <w:rPr>
                            <w:sz w:val="13"/>
                          </w:rPr>
                        </w:pPr>
                        <w:r>
                          <w:rPr>
                            <w:w w:val="110"/>
                            <w:sz w:val="13"/>
                          </w:rPr>
                          <w:t>288</w:t>
                        </w:r>
                      </w:p>
                    </w:tc>
                    <w:tc>
                      <w:tcPr>
                        <w:tcW w:w="8223" w:type="dxa"/>
                      </w:tcPr>
                      <w:p>
                        <w:pPr>
                          <w:pStyle w:val="TableParagraph"/>
                          <w:spacing w:line="140" w:lineRule="exact"/>
                          <w:ind w:left="285"/>
                          <w:rPr>
                            <w:sz w:val="13"/>
                          </w:rPr>
                        </w:pPr>
                        <w:r>
                          <w:rPr>
                            <w:i/>
                            <w:w w:val="105"/>
                            <w:sz w:val="13"/>
                          </w:rPr>
                          <w:t>Trees (Disputes Between Neighbours) Act 2006 </w:t>
                        </w:r>
                        <w:r>
                          <w:rPr>
                            <w:w w:val="105"/>
                            <w:sz w:val="13"/>
                          </w:rPr>
                          <w:t>(NSW) s 9.</w:t>
                        </w:r>
                      </w:p>
                    </w:tc>
                  </w:tr>
                  <w:tr>
                    <w:trPr>
                      <w:trHeight w:val="160" w:hRule="atLeast"/>
                    </w:trPr>
                    <w:tc>
                      <w:tcPr>
                        <w:tcW w:w="508" w:type="dxa"/>
                      </w:tcPr>
                      <w:p>
                        <w:pPr>
                          <w:pStyle w:val="TableParagraph"/>
                          <w:spacing w:line="140" w:lineRule="exact"/>
                          <w:rPr>
                            <w:sz w:val="13"/>
                          </w:rPr>
                        </w:pPr>
                        <w:r>
                          <w:rPr>
                            <w:w w:val="110"/>
                            <w:sz w:val="13"/>
                          </w:rPr>
                          <w:t>289</w:t>
                        </w:r>
                      </w:p>
                    </w:tc>
                    <w:tc>
                      <w:tcPr>
                        <w:tcW w:w="8223" w:type="dxa"/>
                      </w:tcPr>
                      <w:p>
                        <w:pPr>
                          <w:pStyle w:val="TableParagraph"/>
                          <w:spacing w:line="140" w:lineRule="exact"/>
                          <w:ind w:left="285"/>
                          <w:rPr>
                            <w:sz w:val="13"/>
                          </w:rPr>
                        </w:pPr>
                        <w:r>
                          <w:rPr>
                            <w:w w:val="105"/>
                            <w:sz w:val="13"/>
                          </w:rPr>
                          <w:t>See, eg, </w:t>
                        </w:r>
                        <w:r>
                          <w:rPr>
                            <w:i/>
                            <w:w w:val="105"/>
                            <w:sz w:val="13"/>
                          </w:rPr>
                          <w:t>Bailey v Gould </w:t>
                        </w:r>
                        <w:r>
                          <w:rPr>
                            <w:w w:val="105"/>
                            <w:sz w:val="13"/>
                          </w:rPr>
                          <w:t>[2011] NSWLEC 1062.</w:t>
                        </w:r>
                      </w:p>
                    </w:tc>
                  </w:tr>
                  <w:tr>
                    <w:trPr>
                      <w:trHeight w:val="160" w:hRule="atLeast"/>
                    </w:trPr>
                    <w:tc>
                      <w:tcPr>
                        <w:tcW w:w="508" w:type="dxa"/>
                      </w:tcPr>
                      <w:p>
                        <w:pPr>
                          <w:pStyle w:val="TableParagraph"/>
                          <w:spacing w:line="140" w:lineRule="exact"/>
                          <w:rPr>
                            <w:sz w:val="13"/>
                          </w:rPr>
                        </w:pPr>
                        <w:r>
                          <w:rPr>
                            <w:w w:val="110"/>
                            <w:sz w:val="13"/>
                          </w:rPr>
                          <w:t>290</w:t>
                        </w:r>
                      </w:p>
                    </w:tc>
                    <w:tc>
                      <w:tcPr>
                        <w:tcW w:w="8223" w:type="dxa"/>
                      </w:tcPr>
                      <w:p>
                        <w:pPr>
                          <w:pStyle w:val="TableParagraph"/>
                          <w:spacing w:line="140" w:lineRule="exact"/>
                          <w:ind w:left="285"/>
                          <w:rPr>
                            <w:sz w:val="13"/>
                          </w:rPr>
                        </w:pPr>
                        <w:r>
                          <w:rPr>
                            <w:i/>
                            <w:w w:val="105"/>
                            <w:sz w:val="13"/>
                          </w:rPr>
                          <w:t>Robson v Leischke </w:t>
                        </w:r>
                        <w:r>
                          <w:rPr>
                            <w:w w:val="105"/>
                            <w:sz w:val="13"/>
                          </w:rPr>
                          <w:t>(2008) 72 NSWLR 98 [162–167], [168]–[173].</w:t>
                        </w:r>
                      </w:p>
                    </w:tc>
                  </w:tr>
                  <w:tr>
                    <w:trPr>
                      <w:trHeight w:val="160" w:hRule="atLeast"/>
                    </w:trPr>
                    <w:tc>
                      <w:tcPr>
                        <w:tcW w:w="508" w:type="dxa"/>
                      </w:tcPr>
                      <w:p>
                        <w:pPr>
                          <w:pStyle w:val="TableParagraph"/>
                          <w:spacing w:line="140" w:lineRule="exact"/>
                          <w:rPr>
                            <w:sz w:val="13"/>
                          </w:rPr>
                        </w:pPr>
                        <w:r>
                          <w:rPr>
                            <w:w w:val="110"/>
                            <w:sz w:val="13"/>
                          </w:rPr>
                          <w:t>291</w:t>
                        </w:r>
                      </w:p>
                    </w:tc>
                    <w:tc>
                      <w:tcPr>
                        <w:tcW w:w="8223" w:type="dxa"/>
                      </w:tcPr>
                      <w:p>
                        <w:pPr>
                          <w:pStyle w:val="TableParagraph"/>
                          <w:spacing w:line="140" w:lineRule="exact"/>
                          <w:ind w:left="285"/>
                          <w:rPr>
                            <w:i/>
                            <w:sz w:val="13"/>
                          </w:rPr>
                        </w:pPr>
                        <w:r>
                          <w:rPr>
                            <w:w w:val="105"/>
                            <w:sz w:val="13"/>
                          </w:rPr>
                          <w:t>See </w:t>
                        </w:r>
                        <w:r>
                          <w:rPr>
                            <w:i/>
                            <w:w w:val="105"/>
                            <w:sz w:val="13"/>
                          </w:rPr>
                          <w:t>Lee v Martin </w:t>
                        </w:r>
                        <w:r>
                          <w:rPr>
                            <w:w w:val="105"/>
                            <w:sz w:val="13"/>
                          </w:rPr>
                          <w:t>[2010] NSWLEC 1146 (garden plants); </w:t>
                        </w:r>
                        <w:r>
                          <w:rPr>
                            <w:i/>
                            <w:w w:val="105"/>
                            <w:sz w:val="13"/>
                          </w:rPr>
                          <w:t>McHugh v Schmiedte </w:t>
                        </w:r>
                        <w:r>
                          <w:rPr>
                            <w:w w:val="105"/>
                            <w:sz w:val="13"/>
                          </w:rPr>
                          <w:t>[2010] NSWLEC 1163 (outdoor furniture); </w:t>
                        </w:r>
                        <w:r>
                          <w:rPr>
                            <w:i/>
                            <w:w w:val="105"/>
                            <w:sz w:val="13"/>
                          </w:rPr>
                          <w:t>Russell v Parsons</w:t>
                        </w:r>
                      </w:p>
                    </w:tc>
                  </w:tr>
                  <w:tr>
                    <w:trPr>
                      <w:trHeight w:val="160" w:hRule="atLeast"/>
                    </w:trPr>
                    <w:tc>
                      <w:tcPr>
                        <w:tcW w:w="508" w:type="dxa"/>
                      </w:tcPr>
                      <w:p>
                        <w:pPr>
                          <w:pStyle w:val="TableParagraph"/>
                          <w:rPr>
                            <w:rFonts w:ascii="Times New Roman"/>
                            <w:sz w:val="10"/>
                          </w:rPr>
                        </w:pPr>
                      </w:p>
                    </w:tc>
                    <w:tc>
                      <w:tcPr>
                        <w:tcW w:w="8223" w:type="dxa"/>
                      </w:tcPr>
                      <w:p>
                        <w:pPr>
                          <w:pStyle w:val="TableParagraph"/>
                          <w:spacing w:line="140" w:lineRule="exact"/>
                          <w:ind w:left="285"/>
                          <w:rPr>
                            <w:sz w:val="13"/>
                          </w:rPr>
                        </w:pPr>
                        <w:r>
                          <w:rPr>
                            <w:w w:val="105"/>
                            <w:sz w:val="13"/>
                          </w:rPr>
                          <w:t>[2009] NSWLEC 1026 (car); </w:t>
                        </w:r>
                        <w:r>
                          <w:rPr>
                            <w:i/>
                            <w:w w:val="105"/>
                            <w:sz w:val="13"/>
                          </w:rPr>
                          <w:t>Robson v Leischke </w:t>
                        </w:r>
                        <w:r>
                          <w:rPr>
                            <w:w w:val="105"/>
                            <w:sz w:val="13"/>
                          </w:rPr>
                          <w:t>(2008) 72 NSWLR 98 [162–167].</w:t>
                        </w:r>
                      </w:p>
                    </w:tc>
                  </w:tr>
                  <w:tr>
                    <w:trPr>
                      <w:trHeight w:val="155" w:hRule="atLeast"/>
                    </w:trPr>
                    <w:tc>
                      <w:tcPr>
                        <w:tcW w:w="508" w:type="dxa"/>
                      </w:tcPr>
                      <w:p>
                        <w:pPr>
                          <w:pStyle w:val="TableParagraph"/>
                          <w:spacing w:line="136" w:lineRule="exact"/>
                          <w:rPr>
                            <w:sz w:val="13"/>
                          </w:rPr>
                        </w:pPr>
                        <w:r>
                          <w:rPr>
                            <w:w w:val="110"/>
                            <w:sz w:val="13"/>
                          </w:rPr>
                          <w:t>292</w:t>
                        </w:r>
                      </w:p>
                    </w:tc>
                    <w:tc>
                      <w:tcPr>
                        <w:tcW w:w="8223" w:type="dxa"/>
                      </w:tcPr>
                      <w:p>
                        <w:pPr>
                          <w:pStyle w:val="TableParagraph"/>
                          <w:spacing w:line="136" w:lineRule="exact"/>
                          <w:ind w:left="285"/>
                          <w:rPr>
                            <w:sz w:val="13"/>
                          </w:rPr>
                        </w:pPr>
                        <w:r>
                          <w:rPr>
                            <w:w w:val="105"/>
                            <w:sz w:val="13"/>
                          </w:rPr>
                          <w:t>See, </w:t>
                        </w:r>
                        <w:r>
                          <w:rPr>
                            <w:i/>
                            <w:w w:val="105"/>
                            <w:sz w:val="13"/>
                          </w:rPr>
                          <w:t>eg, Ding v Phillips </w:t>
                        </w:r>
                        <w:r>
                          <w:rPr>
                            <w:w w:val="105"/>
                            <w:sz w:val="13"/>
                          </w:rPr>
                          <w:t>[2008] NSWLEC 1268; </w:t>
                        </w:r>
                        <w:r>
                          <w:rPr>
                            <w:i/>
                            <w:w w:val="105"/>
                            <w:sz w:val="13"/>
                          </w:rPr>
                          <w:t>Payn v Allen </w:t>
                        </w:r>
                        <w:r>
                          <w:rPr>
                            <w:w w:val="105"/>
                            <w:sz w:val="13"/>
                          </w:rPr>
                          <w:t>[2010] NSWLEC 1315.</w:t>
                        </w:r>
                      </w:p>
                    </w:tc>
                  </w:tr>
                </w:tbl>
                <w:p>
                  <w:pPr>
                    <w:pStyle w:val="BodyText"/>
                  </w:pPr>
                </w:p>
              </w:txbxContent>
            </v:textbox>
            <w10:wrap type="none"/>
          </v:shape>
        </w:pict>
      </w:r>
      <w:r>
        <w:rPr>
          <w:b/>
          <w:color w:val="658464"/>
          <w:w w:val="105"/>
          <w:sz w:val="24"/>
        </w:rPr>
        <w:t>95</w:t>
      </w:r>
    </w:p>
    <w:p>
      <w:pPr>
        <w:spacing w:after="0"/>
        <w:jc w:val="right"/>
        <w:rPr>
          <w:sz w:val="24"/>
        </w:rPr>
        <w:sectPr>
          <w:pgSz w:w="11910" w:h="16840"/>
          <w:pgMar w:header="808" w:footer="0" w:top="1360" w:bottom="280" w:left="0" w:right="0"/>
        </w:sectPr>
      </w:pPr>
    </w:p>
    <w:p>
      <w:pPr>
        <w:pStyle w:val="BodyText"/>
        <w:spacing w:before="9"/>
        <w:rPr>
          <w:b/>
          <w:sz w:val="22"/>
        </w:rPr>
      </w:pPr>
    </w:p>
    <w:p>
      <w:pPr>
        <w:pStyle w:val="BodyText"/>
        <w:spacing w:line="242" w:lineRule="auto" w:before="92"/>
        <w:ind w:left="2381" w:right="2059" w:hanging="1"/>
        <w:rPr>
          <w:sz w:val="12"/>
        </w:rPr>
      </w:pPr>
      <w:r>
        <w:rPr/>
        <w:t>the soil without </w:t>
      </w:r>
      <w:r>
        <w:rPr>
          <w:spacing w:val="-3"/>
        </w:rPr>
        <w:t>consequential </w:t>
      </w:r>
      <w:r>
        <w:rPr/>
        <w:t>damage </w:t>
      </w:r>
      <w:r>
        <w:rPr>
          <w:spacing w:val="-3"/>
        </w:rPr>
        <w:t>to </w:t>
      </w:r>
      <w:r>
        <w:rPr/>
        <w:t>other property’ is </w:t>
      </w:r>
      <w:r>
        <w:rPr>
          <w:spacing w:val="-2"/>
        </w:rPr>
        <w:t>not  </w:t>
      </w:r>
      <w:r>
        <w:rPr>
          <w:spacing w:val="-3"/>
        </w:rPr>
        <w:t>covered.</w:t>
      </w:r>
      <w:r>
        <w:rPr>
          <w:spacing w:val="-3"/>
          <w:position w:val="7"/>
          <w:sz w:val="12"/>
        </w:rPr>
        <w:t>293  </w:t>
      </w:r>
      <w:r>
        <w:rPr>
          <w:spacing w:val="-4"/>
        </w:rPr>
        <w:t>Future </w:t>
      </w:r>
      <w:r>
        <w:rPr/>
        <w:t>damage is </w:t>
      </w:r>
      <w:r>
        <w:rPr>
          <w:spacing w:val="-3"/>
        </w:rPr>
        <w:t>considered </w:t>
      </w:r>
      <w:r>
        <w:rPr/>
        <w:t>by the NSWLEC if it is satisfied </w:t>
      </w:r>
      <w:r>
        <w:rPr>
          <w:spacing w:val="-3"/>
        </w:rPr>
        <w:t>that </w:t>
      </w:r>
      <w:r>
        <w:rPr/>
        <w:t>it is </w:t>
      </w:r>
      <w:r>
        <w:rPr>
          <w:spacing w:val="-4"/>
        </w:rPr>
        <w:t>likely </w:t>
      </w:r>
      <w:r>
        <w:rPr>
          <w:spacing w:val="-3"/>
        </w:rPr>
        <w:t>to occur within </w:t>
      </w:r>
      <w:r>
        <w:rPr/>
        <w:t>the next </w:t>
      </w:r>
      <w:r>
        <w:rPr>
          <w:spacing w:val="-9"/>
        </w:rPr>
        <w:t>12</w:t>
      </w:r>
      <w:r>
        <w:rPr>
          <w:spacing w:val="17"/>
        </w:rPr>
        <w:t> </w:t>
      </w:r>
      <w:r>
        <w:rPr/>
        <w:t>months.</w:t>
      </w:r>
      <w:r>
        <w:rPr>
          <w:position w:val="7"/>
          <w:sz w:val="12"/>
        </w:rPr>
        <w:t>294</w:t>
      </w:r>
    </w:p>
    <w:p>
      <w:pPr>
        <w:pStyle w:val="ListParagraph"/>
        <w:numPr>
          <w:ilvl w:val="0"/>
          <w:numId w:val="64"/>
        </w:numPr>
        <w:tabs>
          <w:tab w:pos="2380" w:val="left" w:leader="none"/>
          <w:tab w:pos="2381" w:val="left" w:leader="none"/>
        </w:tabs>
        <w:spacing w:line="242" w:lineRule="auto" w:before="123" w:after="0"/>
        <w:ind w:left="2381" w:right="1727" w:hanging="794"/>
        <w:jc w:val="left"/>
        <w:rPr>
          <w:sz w:val="21"/>
        </w:rPr>
      </w:pPr>
      <w:r>
        <w:rPr>
          <w:spacing w:val="-3"/>
          <w:w w:val="105"/>
          <w:sz w:val="21"/>
        </w:rPr>
        <w:t>Annoyance </w:t>
      </w:r>
      <w:r>
        <w:rPr>
          <w:w w:val="105"/>
          <w:sz w:val="21"/>
        </w:rPr>
        <w:t>or discomfort caused by a </w:t>
      </w:r>
      <w:r>
        <w:rPr>
          <w:spacing w:val="-3"/>
          <w:w w:val="105"/>
          <w:sz w:val="21"/>
        </w:rPr>
        <w:t>neighbouring </w:t>
      </w:r>
      <w:r>
        <w:rPr>
          <w:w w:val="105"/>
          <w:sz w:val="21"/>
        </w:rPr>
        <w:t>tree is </w:t>
      </w:r>
      <w:r>
        <w:rPr>
          <w:spacing w:val="-2"/>
          <w:w w:val="105"/>
          <w:sz w:val="21"/>
        </w:rPr>
        <w:t>not </w:t>
      </w:r>
      <w:r>
        <w:rPr>
          <w:w w:val="105"/>
          <w:sz w:val="21"/>
        </w:rPr>
        <w:t>actionable.</w:t>
      </w:r>
      <w:r>
        <w:rPr>
          <w:w w:val="105"/>
          <w:position w:val="7"/>
          <w:sz w:val="12"/>
        </w:rPr>
        <w:t>295 </w:t>
      </w:r>
      <w:r>
        <w:rPr>
          <w:w w:val="105"/>
          <w:sz w:val="21"/>
        </w:rPr>
        <w:t>The </w:t>
      </w:r>
      <w:r>
        <w:rPr>
          <w:spacing w:val="-3"/>
          <w:w w:val="105"/>
          <w:sz w:val="21"/>
        </w:rPr>
        <w:t>dropping</w:t>
      </w:r>
      <w:r>
        <w:rPr>
          <w:spacing w:val="-7"/>
          <w:w w:val="105"/>
          <w:sz w:val="21"/>
        </w:rPr>
        <w:t> </w:t>
      </w:r>
      <w:r>
        <w:rPr>
          <w:w w:val="105"/>
          <w:sz w:val="21"/>
        </w:rPr>
        <w:t>of</w:t>
      </w:r>
      <w:r>
        <w:rPr>
          <w:spacing w:val="-7"/>
          <w:w w:val="105"/>
          <w:sz w:val="21"/>
        </w:rPr>
        <w:t> </w:t>
      </w:r>
      <w:r>
        <w:rPr>
          <w:spacing w:val="-3"/>
          <w:w w:val="105"/>
          <w:sz w:val="21"/>
        </w:rPr>
        <w:t>leaves</w:t>
      </w:r>
      <w:r>
        <w:rPr>
          <w:spacing w:val="-7"/>
          <w:w w:val="105"/>
          <w:sz w:val="21"/>
        </w:rPr>
        <w:t> </w:t>
      </w:r>
      <w:r>
        <w:rPr>
          <w:w w:val="105"/>
          <w:sz w:val="21"/>
        </w:rPr>
        <w:t>or</w:t>
      </w:r>
      <w:r>
        <w:rPr>
          <w:spacing w:val="-7"/>
          <w:w w:val="105"/>
          <w:sz w:val="21"/>
        </w:rPr>
        <w:t> </w:t>
      </w:r>
      <w:r>
        <w:rPr>
          <w:spacing w:val="-3"/>
          <w:w w:val="105"/>
          <w:sz w:val="21"/>
        </w:rPr>
        <w:t>fruit</w:t>
      </w:r>
      <w:r>
        <w:rPr>
          <w:spacing w:val="-7"/>
          <w:w w:val="105"/>
          <w:sz w:val="21"/>
        </w:rPr>
        <w:t> </w:t>
      </w:r>
      <w:r>
        <w:rPr>
          <w:w w:val="105"/>
          <w:sz w:val="21"/>
        </w:rPr>
        <w:t>by</w:t>
      </w:r>
      <w:r>
        <w:rPr>
          <w:spacing w:val="-7"/>
          <w:w w:val="105"/>
          <w:sz w:val="21"/>
        </w:rPr>
        <w:t> </w:t>
      </w:r>
      <w:r>
        <w:rPr>
          <w:w w:val="105"/>
          <w:sz w:val="21"/>
        </w:rPr>
        <w:t>urban</w:t>
      </w:r>
      <w:r>
        <w:rPr>
          <w:spacing w:val="-7"/>
          <w:w w:val="105"/>
          <w:sz w:val="21"/>
        </w:rPr>
        <w:t> </w:t>
      </w:r>
      <w:r>
        <w:rPr>
          <w:w w:val="105"/>
          <w:sz w:val="21"/>
        </w:rPr>
        <w:t>trees</w:t>
      </w:r>
      <w:r>
        <w:rPr>
          <w:spacing w:val="-7"/>
          <w:w w:val="105"/>
          <w:sz w:val="21"/>
        </w:rPr>
        <w:t> </w:t>
      </w:r>
      <w:r>
        <w:rPr>
          <w:w w:val="105"/>
          <w:sz w:val="21"/>
        </w:rPr>
        <w:t>would</w:t>
      </w:r>
      <w:r>
        <w:rPr>
          <w:spacing w:val="-7"/>
          <w:w w:val="105"/>
          <w:sz w:val="21"/>
        </w:rPr>
        <w:t> </w:t>
      </w:r>
      <w:r>
        <w:rPr>
          <w:spacing w:val="-2"/>
          <w:w w:val="105"/>
          <w:sz w:val="21"/>
        </w:rPr>
        <w:t>not</w:t>
      </w:r>
      <w:r>
        <w:rPr>
          <w:spacing w:val="-7"/>
          <w:w w:val="105"/>
          <w:sz w:val="21"/>
        </w:rPr>
        <w:t> </w:t>
      </w:r>
      <w:r>
        <w:rPr>
          <w:spacing w:val="-3"/>
          <w:w w:val="105"/>
          <w:sz w:val="21"/>
        </w:rPr>
        <w:t>ordinarily</w:t>
      </w:r>
      <w:r>
        <w:rPr>
          <w:spacing w:val="-7"/>
          <w:w w:val="105"/>
          <w:sz w:val="21"/>
        </w:rPr>
        <w:t> </w:t>
      </w:r>
      <w:r>
        <w:rPr>
          <w:w w:val="105"/>
          <w:sz w:val="21"/>
        </w:rPr>
        <w:t>provide</w:t>
      </w:r>
      <w:r>
        <w:rPr>
          <w:spacing w:val="-7"/>
          <w:w w:val="105"/>
          <w:sz w:val="21"/>
        </w:rPr>
        <w:t> </w:t>
      </w:r>
      <w:r>
        <w:rPr>
          <w:w w:val="105"/>
          <w:sz w:val="21"/>
        </w:rPr>
        <w:t>the</w:t>
      </w:r>
      <w:r>
        <w:rPr>
          <w:spacing w:val="-7"/>
          <w:w w:val="105"/>
          <w:sz w:val="21"/>
        </w:rPr>
        <w:t> </w:t>
      </w:r>
      <w:r>
        <w:rPr>
          <w:w w:val="105"/>
          <w:sz w:val="21"/>
        </w:rPr>
        <w:t>basis</w:t>
      </w:r>
      <w:r>
        <w:rPr>
          <w:spacing w:val="-7"/>
          <w:w w:val="105"/>
          <w:sz w:val="21"/>
        </w:rPr>
        <w:t> </w:t>
      </w:r>
      <w:r>
        <w:rPr>
          <w:spacing w:val="-3"/>
          <w:w w:val="105"/>
          <w:sz w:val="21"/>
        </w:rPr>
        <w:t>for</w:t>
      </w:r>
      <w:r>
        <w:rPr>
          <w:spacing w:val="-7"/>
          <w:w w:val="105"/>
          <w:sz w:val="21"/>
        </w:rPr>
        <w:t> </w:t>
      </w:r>
      <w:r>
        <w:rPr>
          <w:w w:val="105"/>
          <w:sz w:val="21"/>
        </w:rPr>
        <w:t>court intervention.</w:t>
      </w:r>
      <w:r>
        <w:rPr>
          <w:w w:val="105"/>
          <w:position w:val="7"/>
          <w:sz w:val="12"/>
        </w:rPr>
        <w:t>296 </w:t>
      </w:r>
      <w:r>
        <w:rPr>
          <w:w w:val="105"/>
          <w:sz w:val="21"/>
        </w:rPr>
        <w:t>This </w:t>
      </w:r>
      <w:r>
        <w:rPr>
          <w:spacing w:val="-3"/>
          <w:w w:val="105"/>
          <w:sz w:val="21"/>
        </w:rPr>
        <w:t>reasoning </w:t>
      </w:r>
      <w:r>
        <w:rPr>
          <w:w w:val="105"/>
          <w:sz w:val="21"/>
        </w:rPr>
        <w:t>is the subject of a ‘tree </w:t>
      </w:r>
      <w:r>
        <w:rPr>
          <w:spacing w:val="-3"/>
          <w:w w:val="105"/>
          <w:sz w:val="21"/>
        </w:rPr>
        <w:t>dispute principle’ that </w:t>
      </w:r>
      <w:r>
        <w:rPr>
          <w:w w:val="105"/>
          <w:sz w:val="21"/>
        </w:rPr>
        <w:t>is used by the </w:t>
      </w:r>
      <w:r>
        <w:rPr>
          <w:spacing w:val="-3"/>
          <w:w w:val="105"/>
          <w:sz w:val="21"/>
        </w:rPr>
        <w:t>Court to </w:t>
      </w:r>
      <w:r>
        <w:rPr>
          <w:w w:val="105"/>
          <w:sz w:val="21"/>
        </w:rPr>
        <w:t>guide its decision </w:t>
      </w:r>
      <w:r>
        <w:rPr>
          <w:spacing w:val="-3"/>
          <w:w w:val="105"/>
          <w:sz w:val="21"/>
        </w:rPr>
        <w:t>making. </w:t>
      </w:r>
      <w:r>
        <w:rPr>
          <w:w w:val="105"/>
          <w:sz w:val="21"/>
        </w:rPr>
        <w:t>These </w:t>
      </w:r>
      <w:r>
        <w:rPr>
          <w:spacing w:val="-3"/>
          <w:w w:val="105"/>
          <w:sz w:val="21"/>
        </w:rPr>
        <w:t>are </w:t>
      </w:r>
      <w:r>
        <w:rPr>
          <w:w w:val="105"/>
          <w:sz w:val="21"/>
        </w:rPr>
        <w:t>discussed in more detail in</w:t>
      </w:r>
      <w:r>
        <w:rPr>
          <w:spacing w:val="-2"/>
          <w:w w:val="105"/>
          <w:sz w:val="21"/>
        </w:rPr>
        <w:t> </w:t>
      </w:r>
      <w:r>
        <w:rPr>
          <w:spacing w:val="-4"/>
          <w:w w:val="105"/>
          <w:sz w:val="21"/>
        </w:rPr>
        <w:t>Chapter</w:t>
      </w:r>
    </w:p>
    <w:p>
      <w:pPr>
        <w:pStyle w:val="BodyText"/>
        <w:spacing w:line="242" w:lineRule="auto" w:before="4"/>
        <w:ind w:left="2381" w:right="2011"/>
        <w:jc w:val="both"/>
        <w:rPr>
          <w:sz w:val="12"/>
        </w:rPr>
      </w:pPr>
      <w:r>
        <w:rPr>
          <w:w w:val="105"/>
        </w:rPr>
        <w:t>8. Although tree </w:t>
      </w:r>
      <w:r>
        <w:rPr>
          <w:spacing w:val="-3"/>
          <w:w w:val="105"/>
        </w:rPr>
        <w:t>dispute principles are </w:t>
      </w:r>
      <w:r>
        <w:rPr>
          <w:spacing w:val="-2"/>
          <w:w w:val="105"/>
        </w:rPr>
        <w:t>not legally </w:t>
      </w:r>
      <w:r>
        <w:rPr>
          <w:spacing w:val="-3"/>
          <w:w w:val="105"/>
        </w:rPr>
        <w:t>binding, </w:t>
      </w:r>
      <w:r>
        <w:rPr>
          <w:w w:val="105"/>
        </w:rPr>
        <w:t>the NSWLEC </w:t>
      </w:r>
      <w:r>
        <w:rPr>
          <w:spacing w:val="-3"/>
          <w:w w:val="105"/>
        </w:rPr>
        <w:t>informed </w:t>
      </w:r>
      <w:r>
        <w:rPr>
          <w:w w:val="105"/>
        </w:rPr>
        <w:t>the </w:t>
      </w:r>
      <w:r>
        <w:rPr>
          <w:spacing w:val="-3"/>
          <w:w w:val="105"/>
        </w:rPr>
        <w:t>Commission that </w:t>
      </w:r>
      <w:r>
        <w:rPr>
          <w:w w:val="105"/>
        </w:rPr>
        <w:t>the </w:t>
      </w:r>
      <w:r>
        <w:rPr>
          <w:spacing w:val="-3"/>
          <w:w w:val="105"/>
        </w:rPr>
        <w:t>Court ‘has </w:t>
      </w:r>
      <w:r>
        <w:rPr>
          <w:spacing w:val="-2"/>
          <w:w w:val="105"/>
        </w:rPr>
        <w:t>not </w:t>
      </w:r>
      <w:r>
        <w:rPr>
          <w:spacing w:val="-3"/>
          <w:w w:val="105"/>
        </w:rPr>
        <w:t>felt </w:t>
      </w:r>
      <w:r>
        <w:rPr>
          <w:w w:val="105"/>
        </w:rPr>
        <w:t>the need </w:t>
      </w:r>
      <w:r>
        <w:rPr>
          <w:spacing w:val="-3"/>
          <w:w w:val="105"/>
        </w:rPr>
        <w:t>to </w:t>
      </w:r>
      <w:r>
        <w:rPr>
          <w:w w:val="105"/>
        </w:rPr>
        <w:t>depart </w:t>
      </w:r>
      <w:r>
        <w:rPr>
          <w:spacing w:val="-3"/>
          <w:w w:val="105"/>
        </w:rPr>
        <w:t>from </w:t>
      </w:r>
      <w:r>
        <w:rPr>
          <w:w w:val="105"/>
        </w:rPr>
        <w:t>existing tree </w:t>
      </w:r>
      <w:r>
        <w:rPr>
          <w:spacing w:val="-3"/>
          <w:w w:val="105"/>
        </w:rPr>
        <w:t>dispute </w:t>
      </w:r>
      <w:r>
        <w:rPr>
          <w:spacing w:val="-4"/>
          <w:w w:val="105"/>
        </w:rPr>
        <w:t>principles’.</w:t>
      </w:r>
      <w:r>
        <w:rPr>
          <w:spacing w:val="-4"/>
          <w:w w:val="105"/>
          <w:position w:val="7"/>
          <w:sz w:val="12"/>
        </w:rPr>
        <w:t>297</w:t>
      </w:r>
    </w:p>
    <w:p>
      <w:pPr>
        <w:pStyle w:val="ListParagraph"/>
        <w:numPr>
          <w:ilvl w:val="0"/>
          <w:numId w:val="64"/>
        </w:numPr>
        <w:tabs>
          <w:tab w:pos="2380" w:val="left" w:leader="none"/>
          <w:tab w:pos="2381" w:val="left" w:leader="none"/>
        </w:tabs>
        <w:spacing w:line="242" w:lineRule="auto" w:before="124" w:after="0"/>
        <w:ind w:left="2380" w:right="1665" w:hanging="793"/>
        <w:jc w:val="left"/>
        <w:rPr>
          <w:sz w:val="12"/>
        </w:rPr>
      </w:pPr>
      <w:r>
        <w:rPr>
          <w:sz w:val="21"/>
        </w:rPr>
        <w:t>Injury is </w:t>
      </w:r>
      <w:r>
        <w:rPr>
          <w:spacing w:val="-2"/>
          <w:sz w:val="21"/>
        </w:rPr>
        <w:t>not </w:t>
      </w:r>
      <w:r>
        <w:rPr>
          <w:sz w:val="21"/>
        </w:rPr>
        <w:t>defined in the NSW Act but case  law  suggests  </w:t>
      </w:r>
      <w:r>
        <w:rPr>
          <w:spacing w:val="-3"/>
          <w:sz w:val="21"/>
        </w:rPr>
        <w:t>that  </w:t>
      </w:r>
      <w:r>
        <w:rPr>
          <w:sz w:val="21"/>
        </w:rPr>
        <w:t>injury  encompasses </w:t>
      </w:r>
      <w:r>
        <w:rPr>
          <w:spacing w:val="-3"/>
          <w:sz w:val="21"/>
        </w:rPr>
        <w:t>allergic </w:t>
      </w:r>
      <w:r>
        <w:rPr>
          <w:sz w:val="21"/>
        </w:rPr>
        <w:t>reactions or other medical conditions.</w:t>
      </w:r>
      <w:r>
        <w:rPr>
          <w:position w:val="7"/>
          <w:sz w:val="12"/>
        </w:rPr>
        <w:t>298 </w:t>
      </w:r>
      <w:r>
        <w:rPr>
          <w:sz w:val="21"/>
        </w:rPr>
        <w:t>Applicants </w:t>
      </w:r>
      <w:r>
        <w:rPr>
          <w:spacing w:val="-3"/>
          <w:sz w:val="21"/>
        </w:rPr>
        <w:t>are  required  to  </w:t>
      </w:r>
      <w:r>
        <w:rPr>
          <w:sz w:val="21"/>
        </w:rPr>
        <w:t>provide properly qualified medical or scientific evidence of a </w:t>
      </w:r>
      <w:r>
        <w:rPr>
          <w:spacing w:val="-3"/>
          <w:sz w:val="21"/>
        </w:rPr>
        <w:t>link </w:t>
      </w:r>
      <w:r>
        <w:rPr>
          <w:sz w:val="21"/>
        </w:rPr>
        <w:t>between the injury and the trees subject </w:t>
      </w:r>
      <w:r>
        <w:rPr>
          <w:spacing w:val="-3"/>
          <w:sz w:val="21"/>
        </w:rPr>
        <w:t>to </w:t>
      </w:r>
      <w:r>
        <w:rPr>
          <w:sz w:val="21"/>
        </w:rPr>
        <w:t>the application.</w:t>
      </w:r>
      <w:r>
        <w:rPr>
          <w:position w:val="7"/>
          <w:sz w:val="12"/>
        </w:rPr>
        <w:t>299 </w:t>
      </w:r>
      <w:r>
        <w:rPr>
          <w:sz w:val="21"/>
        </w:rPr>
        <w:t>For </w:t>
      </w:r>
      <w:r>
        <w:rPr>
          <w:spacing w:val="-3"/>
          <w:sz w:val="21"/>
        </w:rPr>
        <w:t>example, ‘medical </w:t>
      </w:r>
      <w:r>
        <w:rPr>
          <w:sz w:val="21"/>
        </w:rPr>
        <w:t>or </w:t>
      </w:r>
      <w:r>
        <w:rPr>
          <w:spacing w:val="-3"/>
          <w:sz w:val="21"/>
        </w:rPr>
        <w:t>arboricultural </w:t>
      </w:r>
      <w:r>
        <w:rPr>
          <w:sz w:val="21"/>
        </w:rPr>
        <w:t>evidence and </w:t>
      </w:r>
      <w:r>
        <w:rPr>
          <w:spacing w:val="-3"/>
          <w:sz w:val="21"/>
        </w:rPr>
        <w:t>any </w:t>
      </w:r>
      <w:r>
        <w:rPr>
          <w:sz w:val="21"/>
        </w:rPr>
        <w:t>supporting medical or </w:t>
      </w:r>
      <w:r>
        <w:rPr>
          <w:spacing w:val="-3"/>
          <w:sz w:val="21"/>
        </w:rPr>
        <w:t>peer-reviewed </w:t>
      </w:r>
      <w:r>
        <w:rPr>
          <w:spacing w:val="-4"/>
          <w:sz w:val="21"/>
        </w:rPr>
        <w:t>literature’  </w:t>
      </w:r>
      <w:r>
        <w:rPr>
          <w:spacing w:val="-3"/>
          <w:sz w:val="21"/>
        </w:rPr>
        <w:t>that  </w:t>
      </w:r>
      <w:r>
        <w:rPr>
          <w:sz w:val="21"/>
        </w:rPr>
        <w:t>supports their </w:t>
      </w:r>
      <w:r>
        <w:rPr>
          <w:spacing w:val="-3"/>
          <w:sz w:val="21"/>
        </w:rPr>
        <w:t>claim</w:t>
      </w:r>
      <w:r>
        <w:rPr>
          <w:spacing w:val="41"/>
          <w:sz w:val="21"/>
        </w:rPr>
        <w:t> </w:t>
      </w:r>
      <w:r>
        <w:rPr>
          <w:spacing w:val="-3"/>
          <w:sz w:val="21"/>
        </w:rPr>
        <w:t>that  </w:t>
      </w:r>
      <w:r>
        <w:rPr>
          <w:sz w:val="21"/>
        </w:rPr>
        <w:t>the tree is the cause of the</w:t>
      </w:r>
      <w:r>
        <w:rPr>
          <w:spacing w:val="33"/>
          <w:sz w:val="21"/>
        </w:rPr>
        <w:t> </w:t>
      </w:r>
      <w:r>
        <w:rPr>
          <w:sz w:val="21"/>
        </w:rPr>
        <w:t>injury.</w:t>
      </w:r>
      <w:r>
        <w:rPr>
          <w:position w:val="7"/>
          <w:sz w:val="12"/>
        </w:rPr>
        <w:t>300</w:t>
      </w:r>
    </w:p>
    <w:p>
      <w:pPr>
        <w:pStyle w:val="ListParagraph"/>
        <w:numPr>
          <w:ilvl w:val="0"/>
          <w:numId w:val="64"/>
        </w:numPr>
        <w:tabs>
          <w:tab w:pos="2381" w:val="left" w:leader="none"/>
          <w:tab w:pos="2382" w:val="left" w:leader="none"/>
        </w:tabs>
        <w:spacing w:line="242" w:lineRule="auto" w:before="126" w:after="0"/>
        <w:ind w:left="2381" w:right="1760" w:hanging="794"/>
        <w:jc w:val="left"/>
        <w:rPr>
          <w:sz w:val="12"/>
        </w:rPr>
      </w:pPr>
      <w:r>
        <w:rPr>
          <w:spacing w:val="-4"/>
          <w:w w:val="105"/>
          <w:sz w:val="21"/>
        </w:rPr>
        <w:t>Claims </w:t>
      </w:r>
      <w:r>
        <w:rPr>
          <w:w w:val="105"/>
          <w:sz w:val="21"/>
        </w:rPr>
        <w:t>can be </w:t>
      </w:r>
      <w:r>
        <w:rPr>
          <w:spacing w:val="-3"/>
          <w:w w:val="105"/>
          <w:sz w:val="21"/>
        </w:rPr>
        <w:t>brought to prevent future harm that </w:t>
      </w:r>
      <w:r>
        <w:rPr>
          <w:w w:val="105"/>
          <w:sz w:val="21"/>
        </w:rPr>
        <w:t>is </w:t>
      </w:r>
      <w:r>
        <w:rPr>
          <w:spacing w:val="-4"/>
          <w:w w:val="105"/>
          <w:sz w:val="21"/>
        </w:rPr>
        <w:t>likely </w:t>
      </w:r>
      <w:r>
        <w:rPr>
          <w:spacing w:val="-3"/>
          <w:w w:val="105"/>
          <w:sz w:val="21"/>
        </w:rPr>
        <w:t>to occur within </w:t>
      </w:r>
      <w:r>
        <w:rPr>
          <w:spacing w:val="-9"/>
          <w:w w:val="105"/>
          <w:sz w:val="21"/>
        </w:rPr>
        <w:t>12 </w:t>
      </w:r>
      <w:r>
        <w:rPr>
          <w:spacing w:val="-2"/>
          <w:w w:val="105"/>
          <w:sz w:val="21"/>
        </w:rPr>
        <w:t>months.</w:t>
      </w:r>
      <w:r>
        <w:rPr>
          <w:spacing w:val="-2"/>
          <w:w w:val="105"/>
          <w:position w:val="7"/>
          <w:sz w:val="12"/>
        </w:rPr>
        <w:t>301</w:t>
      </w:r>
      <w:r>
        <w:rPr>
          <w:spacing w:val="-2"/>
          <w:w w:val="105"/>
          <w:sz w:val="12"/>
        </w:rPr>
        <w:t> </w:t>
      </w:r>
      <w:r>
        <w:rPr>
          <w:w w:val="105"/>
          <w:sz w:val="21"/>
        </w:rPr>
        <w:t>The NSWLEC </w:t>
      </w:r>
      <w:r>
        <w:rPr>
          <w:spacing w:val="-2"/>
          <w:w w:val="105"/>
          <w:sz w:val="21"/>
        </w:rPr>
        <w:t>has </w:t>
      </w:r>
      <w:r>
        <w:rPr>
          <w:w w:val="105"/>
          <w:sz w:val="21"/>
        </w:rPr>
        <w:t>made it </w:t>
      </w:r>
      <w:r>
        <w:rPr>
          <w:spacing w:val="-3"/>
          <w:w w:val="105"/>
          <w:sz w:val="21"/>
        </w:rPr>
        <w:t>clear that </w:t>
      </w:r>
      <w:r>
        <w:rPr>
          <w:w w:val="105"/>
          <w:sz w:val="21"/>
        </w:rPr>
        <w:t>it </w:t>
      </w:r>
      <w:r>
        <w:rPr>
          <w:spacing w:val="-3"/>
          <w:w w:val="105"/>
          <w:sz w:val="21"/>
        </w:rPr>
        <w:t>will </w:t>
      </w:r>
      <w:r>
        <w:rPr>
          <w:spacing w:val="-2"/>
          <w:w w:val="105"/>
          <w:sz w:val="21"/>
        </w:rPr>
        <w:t>not </w:t>
      </w:r>
      <w:r>
        <w:rPr>
          <w:w w:val="105"/>
          <w:sz w:val="21"/>
        </w:rPr>
        <w:t>entertain </w:t>
      </w:r>
      <w:r>
        <w:rPr>
          <w:spacing w:val="-3"/>
          <w:w w:val="105"/>
          <w:sz w:val="21"/>
        </w:rPr>
        <w:t>claims for </w:t>
      </w:r>
      <w:r>
        <w:rPr>
          <w:w w:val="105"/>
          <w:sz w:val="21"/>
        </w:rPr>
        <w:t>compensation </w:t>
      </w:r>
      <w:r>
        <w:rPr>
          <w:spacing w:val="-3"/>
          <w:w w:val="105"/>
          <w:sz w:val="21"/>
        </w:rPr>
        <w:t>for </w:t>
      </w:r>
      <w:r>
        <w:rPr>
          <w:w w:val="105"/>
          <w:sz w:val="21"/>
        </w:rPr>
        <w:t>personal</w:t>
      </w:r>
      <w:r>
        <w:rPr>
          <w:spacing w:val="5"/>
          <w:w w:val="105"/>
          <w:sz w:val="21"/>
        </w:rPr>
        <w:t> </w:t>
      </w:r>
      <w:r>
        <w:rPr>
          <w:spacing w:val="-3"/>
          <w:w w:val="105"/>
          <w:sz w:val="21"/>
        </w:rPr>
        <w:t>injury.</w:t>
      </w:r>
      <w:r>
        <w:rPr>
          <w:spacing w:val="-3"/>
          <w:w w:val="105"/>
          <w:position w:val="7"/>
          <w:sz w:val="12"/>
        </w:rPr>
        <w:t>302</w:t>
      </w:r>
    </w:p>
    <w:p>
      <w:pPr>
        <w:pStyle w:val="Heading7"/>
      </w:pPr>
      <w:r>
        <w:rPr>
          <w:w w:val="115"/>
        </w:rPr>
        <w:t>Queensland and Tasmania</w:t>
      </w:r>
    </w:p>
    <w:p>
      <w:pPr>
        <w:pStyle w:val="ListParagraph"/>
        <w:numPr>
          <w:ilvl w:val="0"/>
          <w:numId w:val="64"/>
        </w:numPr>
        <w:tabs>
          <w:tab w:pos="2381" w:val="left" w:leader="none"/>
          <w:tab w:pos="2382" w:val="left" w:leader="none"/>
        </w:tabs>
        <w:spacing w:line="242" w:lineRule="auto" w:before="143" w:after="0"/>
        <w:ind w:left="2381" w:right="2183" w:hanging="794"/>
        <w:jc w:val="left"/>
        <w:rPr>
          <w:sz w:val="21"/>
        </w:rPr>
      </w:pPr>
      <w:r>
        <w:rPr>
          <w:sz w:val="21"/>
        </w:rPr>
        <w:t>In </w:t>
      </w:r>
      <w:r>
        <w:rPr>
          <w:spacing w:val="-3"/>
          <w:sz w:val="21"/>
        </w:rPr>
        <w:t>Queensland, </w:t>
      </w:r>
      <w:r>
        <w:rPr>
          <w:spacing w:val="-4"/>
          <w:sz w:val="21"/>
        </w:rPr>
        <w:t>QCAT </w:t>
      </w:r>
      <w:r>
        <w:rPr>
          <w:spacing w:val="-2"/>
          <w:sz w:val="21"/>
        </w:rPr>
        <w:t>has </w:t>
      </w:r>
      <w:r>
        <w:rPr>
          <w:sz w:val="21"/>
        </w:rPr>
        <w:t>jurisdiction </w:t>
      </w:r>
      <w:r>
        <w:rPr>
          <w:spacing w:val="-3"/>
          <w:sz w:val="21"/>
        </w:rPr>
        <w:t>to </w:t>
      </w:r>
      <w:r>
        <w:rPr>
          <w:spacing w:val="-4"/>
          <w:sz w:val="21"/>
        </w:rPr>
        <w:t>make </w:t>
      </w:r>
      <w:r>
        <w:rPr>
          <w:sz w:val="21"/>
        </w:rPr>
        <w:t>orders in </w:t>
      </w:r>
      <w:r>
        <w:rPr>
          <w:spacing w:val="-3"/>
          <w:sz w:val="21"/>
        </w:rPr>
        <w:t>relation to </w:t>
      </w:r>
      <w:r>
        <w:rPr>
          <w:sz w:val="21"/>
        </w:rPr>
        <w:t>a tree </w:t>
      </w:r>
      <w:r>
        <w:rPr>
          <w:spacing w:val="-3"/>
          <w:sz w:val="21"/>
        </w:rPr>
        <w:t>to prevent </w:t>
      </w:r>
      <w:r>
        <w:rPr>
          <w:sz w:val="21"/>
        </w:rPr>
        <w:t>serious</w:t>
      </w:r>
      <w:r>
        <w:rPr>
          <w:spacing w:val="9"/>
          <w:sz w:val="21"/>
        </w:rPr>
        <w:t> </w:t>
      </w:r>
      <w:r>
        <w:rPr>
          <w:sz w:val="21"/>
        </w:rPr>
        <w:t>injury</w:t>
      </w:r>
      <w:r>
        <w:rPr>
          <w:spacing w:val="9"/>
          <w:sz w:val="21"/>
        </w:rPr>
        <w:t> </w:t>
      </w:r>
      <w:r>
        <w:rPr>
          <w:spacing w:val="-3"/>
          <w:sz w:val="21"/>
        </w:rPr>
        <w:t>to</w:t>
      </w:r>
      <w:r>
        <w:rPr>
          <w:spacing w:val="10"/>
          <w:sz w:val="21"/>
        </w:rPr>
        <w:t> </w:t>
      </w:r>
      <w:r>
        <w:rPr>
          <w:spacing w:val="-3"/>
          <w:sz w:val="21"/>
        </w:rPr>
        <w:t>any</w:t>
      </w:r>
      <w:r>
        <w:rPr>
          <w:spacing w:val="9"/>
          <w:sz w:val="21"/>
        </w:rPr>
        <w:t> </w:t>
      </w:r>
      <w:r>
        <w:rPr>
          <w:sz w:val="21"/>
        </w:rPr>
        <w:t>person</w:t>
      </w:r>
      <w:r>
        <w:rPr>
          <w:spacing w:val="10"/>
          <w:sz w:val="21"/>
        </w:rPr>
        <w:t> </w:t>
      </w:r>
      <w:r>
        <w:rPr>
          <w:sz w:val="21"/>
        </w:rPr>
        <w:t>or</w:t>
      </w:r>
      <w:r>
        <w:rPr>
          <w:spacing w:val="9"/>
          <w:sz w:val="21"/>
        </w:rPr>
        <w:t> </w:t>
      </w:r>
      <w:r>
        <w:rPr>
          <w:spacing w:val="-3"/>
          <w:sz w:val="21"/>
        </w:rPr>
        <w:t>to</w:t>
      </w:r>
      <w:r>
        <w:rPr>
          <w:spacing w:val="10"/>
          <w:sz w:val="21"/>
        </w:rPr>
        <w:t> </w:t>
      </w:r>
      <w:r>
        <w:rPr>
          <w:spacing w:val="-3"/>
          <w:sz w:val="21"/>
        </w:rPr>
        <w:t>remedy,</w:t>
      </w:r>
      <w:r>
        <w:rPr>
          <w:spacing w:val="9"/>
          <w:sz w:val="21"/>
        </w:rPr>
        <w:t> </w:t>
      </w:r>
      <w:r>
        <w:rPr>
          <w:spacing w:val="-3"/>
          <w:sz w:val="21"/>
        </w:rPr>
        <w:t>restrain</w:t>
      </w:r>
      <w:r>
        <w:rPr>
          <w:spacing w:val="9"/>
          <w:sz w:val="21"/>
        </w:rPr>
        <w:t> </w:t>
      </w:r>
      <w:r>
        <w:rPr>
          <w:sz w:val="21"/>
        </w:rPr>
        <w:t>or</w:t>
      </w:r>
      <w:r>
        <w:rPr>
          <w:spacing w:val="10"/>
          <w:sz w:val="21"/>
        </w:rPr>
        <w:t> </w:t>
      </w:r>
      <w:r>
        <w:rPr>
          <w:spacing w:val="-3"/>
          <w:sz w:val="21"/>
        </w:rPr>
        <w:t>prevent:</w:t>
      </w:r>
    </w:p>
    <w:p>
      <w:pPr>
        <w:pStyle w:val="ListParagraph"/>
        <w:numPr>
          <w:ilvl w:val="1"/>
          <w:numId w:val="64"/>
        </w:numPr>
        <w:tabs>
          <w:tab w:pos="2721" w:val="left" w:leader="none"/>
          <w:tab w:pos="2722" w:val="left" w:leader="none"/>
        </w:tabs>
        <w:spacing w:line="240" w:lineRule="auto" w:before="122" w:after="0"/>
        <w:ind w:left="2721" w:right="0" w:hanging="340"/>
        <w:jc w:val="left"/>
        <w:rPr>
          <w:sz w:val="21"/>
        </w:rPr>
      </w:pPr>
      <w:r>
        <w:rPr>
          <w:w w:val="105"/>
          <w:sz w:val="21"/>
        </w:rPr>
        <w:t>serious</w:t>
      </w:r>
      <w:r>
        <w:rPr>
          <w:spacing w:val="3"/>
          <w:w w:val="105"/>
          <w:sz w:val="21"/>
        </w:rPr>
        <w:t> </w:t>
      </w:r>
      <w:r>
        <w:rPr>
          <w:w w:val="105"/>
          <w:sz w:val="21"/>
        </w:rPr>
        <w:t>damage</w:t>
      </w:r>
      <w:r>
        <w:rPr>
          <w:spacing w:val="3"/>
          <w:w w:val="105"/>
          <w:sz w:val="21"/>
        </w:rPr>
        <w:t> </w:t>
      </w:r>
      <w:r>
        <w:rPr>
          <w:spacing w:val="-3"/>
          <w:w w:val="105"/>
          <w:sz w:val="21"/>
        </w:rPr>
        <w:t>to</w:t>
      </w:r>
      <w:r>
        <w:rPr>
          <w:spacing w:val="4"/>
          <w:w w:val="105"/>
          <w:sz w:val="21"/>
        </w:rPr>
        <w:t> </w:t>
      </w:r>
      <w:r>
        <w:rPr>
          <w:w w:val="105"/>
          <w:sz w:val="21"/>
        </w:rPr>
        <w:t>the</w:t>
      </w:r>
      <w:r>
        <w:rPr>
          <w:spacing w:val="3"/>
          <w:w w:val="105"/>
          <w:sz w:val="21"/>
        </w:rPr>
        <w:t> </w:t>
      </w:r>
      <w:r>
        <w:rPr>
          <w:spacing w:val="-3"/>
          <w:w w:val="105"/>
          <w:sz w:val="21"/>
        </w:rPr>
        <w:t>neighbour’s</w:t>
      </w:r>
      <w:r>
        <w:rPr>
          <w:spacing w:val="3"/>
          <w:w w:val="105"/>
          <w:sz w:val="21"/>
        </w:rPr>
        <w:t> </w:t>
      </w:r>
      <w:r>
        <w:rPr>
          <w:spacing w:val="-3"/>
          <w:w w:val="105"/>
          <w:sz w:val="21"/>
        </w:rPr>
        <w:t>land</w:t>
      </w:r>
      <w:r>
        <w:rPr>
          <w:spacing w:val="4"/>
          <w:w w:val="105"/>
          <w:sz w:val="21"/>
        </w:rPr>
        <w:t> </w:t>
      </w:r>
      <w:r>
        <w:rPr>
          <w:w w:val="105"/>
          <w:sz w:val="21"/>
        </w:rPr>
        <w:t>or</w:t>
      </w:r>
      <w:r>
        <w:rPr>
          <w:spacing w:val="3"/>
          <w:w w:val="105"/>
          <w:sz w:val="21"/>
        </w:rPr>
        <w:t> </w:t>
      </w:r>
      <w:r>
        <w:rPr>
          <w:spacing w:val="-3"/>
          <w:w w:val="105"/>
          <w:sz w:val="21"/>
        </w:rPr>
        <w:t>any</w:t>
      </w:r>
      <w:r>
        <w:rPr>
          <w:spacing w:val="3"/>
          <w:w w:val="105"/>
          <w:sz w:val="21"/>
        </w:rPr>
        <w:t> </w:t>
      </w:r>
      <w:r>
        <w:rPr>
          <w:w w:val="105"/>
          <w:sz w:val="21"/>
        </w:rPr>
        <w:t>property</w:t>
      </w:r>
      <w:r>
        <w:rPr>
          <w:spacing w:val="4"/>
          <w:w w:val="105"/>
          <w:sz w:val="21"/>
        </w:rPr>
        <w:t> </w:t>
      </w:r>
      <w:r>
        <w:rPr>
          <w:w w:val="105"/>
          <w:sz w:val="21"/>
        </w:rPr>
        <w:t>on</w:t>
      </w:r>
      <w:r>
        <w:rPr>
          <w:spacing w:val="3"/>
          <w:w w:val="105"/>
          <w:sz w:val="21"/>
        </w:rPr>
        <w:t> </w:t>
      </w:r>
      <w:r>
        <w:rPr>
          <w:w w:val="105"/>
          <w:sz w:val="21"/>
        </w:rPr>
        <w:t>the</w:t>
      </w:r>
      <w:r>
        <w:rPr>
          <w:spacing w:val="4"/>
          <w:w w:val="105"/>
          <w:sz w:val="21"/>
        </w:rPr>
        <w:t> </w:t>
      </w:r>
      <w:r>
        <w:rPr>
          <w:spacing w:val="-3"/>
          <w:w w:val="105"/>
          <w:sz w:val="21"/>
        </w:rPr>
        <w:t>neighbour’s</w:t>
      </w:r>
      <w:r>
        <w:rPr>
          <w:spacing w:val="3"/>
          <w:w w:val="105"/>
          <w:sz w:val="21"/>
        </w:rPr>
        <w:t> </w:t>
      </w:r>
      <w:r>
        <w:rPr>
          <w:spacing w:val="-3"/>
          <w:w w:val="105"/>
          <w:sz w:val="21"/>
        </w:rPr>
        <w:t>land,</w:t>
      </w:r>
      <w:r>
        <w:rPr>
          <w:spacing w:val="3"/>
          <w:w w:val="105"/>
          <w:sz w:val="21"/>
        </w:rPr>
        <w:t> </w:t>
      </w:r>
      <w:r>
        <w:rPr>
          <w:w w:val="105"/>
          <w:sz w:val="21"/>
        </w:rPr>
        <w:t>or</w:t>
      </w:r>
    </w:p>
    <w:p>
      <w:pPr>
        <w:pStyle w:val="ListParagraph"/>
        <w:numPr>
          <w:ilvl w:val="1"/>
          <w:numId w:val="64"/>
        </w:numPr>
        <w:tabs>
          <w:tab w:pos="2721" w:val="left" w:leader="none"/>
          <w:tab w:pos="2722" w:val="left" w:leader="none"/>
        </w:tabs>
        <w:spacing w:line="242" w:lineRule="auto" w:before="88" w:after="0"/>
        <w:ind w:left="2721" w:right="1900" w:hanging="340"/>
        <w:jc w:val="left"/>
        <w:rPr>
          <w:sz w:val="12"/>
        </w:rPr>
      </w:pPr>
      <w:r>
        <w:rPr>
          <w:spacing w:val="-3"/>
          <w:w w:val="105"/>
          <w:sz w:val="21"/>
        </w:rPr>
        <w:t>substantial,</w:t>
      </w:r>
      <w:r>
        <w:rPr>
          <w:spacing w:val="-5"/>
          <w:w w:val="105"/>
          <w:sz w:val="21"/>
        </w:rPr>
        <w:t> </w:t>
      </w:r>
      <w:r>
        <w:rPr>
          <w:w w:val="105"/>
          <w:sz w:val="21"/>
        </w:rPr>
        <w:t>ongoing</w:t>
      </w:r>
      <w:r>
        <w:rPr>
          <w:spacing w:val="-5"/>
          <w:w w:val="105"/>
          <w:sz w:val="21"/>
        </w:rPr>
        <w:t> </w:t>
      </w:r>
      <w:r>
        <w:rPr>
          <w:w w:val="105"/>
          <w:sz w:val="21"/>
        </w:rPr>
        <w:t>and</w:t>
      </w:r>
      <w:r>
        <w:rPr>
          <w:spacing w:val="-5"/>
          <w:w w:val="105"/>
          <w:sz w:val="21"/>
        </w:rPr>
        <w:t> </w:t>
      </w:r>
      <w:r>
        <w:rPr>
          <w:spacing w:val="-3"/>
          <w:w w:val="105"/>
          <w:sz w:val="21"/>
        </w:rPr>
        <w:t>unreasonable</w:t>
      </w:r>
      <w:r>
        <w:rPr>
          <w:spacing w:val="-5"/>
          <w:w w:val="105"/>
          <w:sz w:val="21"/>
        </w:rPr>
        <w:t> </w:t>
      </w:r>
      <w:r>
        <w:rPr>
          <w:spacing w:val="-3"/>
          <w:w w:val="105"/>
          <w:sz w:val="21"/>
        </w:rPr>
        <w:t>interference</w:t>
      </w:r>
      <w:r>
        <w:rPr>
          <w:spacing w:val="-5"/>
          <w:w w:val="105"/>
          <w:sz w:val="21"/>
        </w:rPr>
        <w:t> </w:t>
      </w:r>
      <w:r>
        <w:rPr>
          <w:w w:val="105"/>
          <w:sz w:val="21"/>
        </w:rPr>
        <w:t>with</w:t>
      </w:r>
      <w:r>
        <w:rPr>
          <w:spacing w:val="-5"/>
          <w:w w:val="105"/>
          <w:sz w:val="21"/>
        </w:rPr>
        <w:t> </w:t>
      </w:r>
      <w:r>
        <w:rPr>
          <w:w w:val="105"/>
          <w:sz w:val="21"/>
        </w:rPr>
        <w:t>the</w:t>
      </w:r>
      <w:r>
        <w:rPr>
          <w:spacing w:val="-4"/>
          <w:w w:val="105"/>
          <w:sz w:val="21"/>
        </w:rPr>
        <w:t> </w:t>
      </w:r>
      <w:r>
        <w:rPr>
          <w:w w:val="105"/>
          <w:sz w:val="21"/>
        </w:rPr>
        <w:t>use</w:t>
      </w:r>
      <w:r>
        <w:rPr>
          <w:spacing w:val="-5"/>
          <w:w w:val="105"/>
          <w:sz w:val="21"/>
        </w:rPr>
        <w:t> </w:t>
      </w:r>
      <w:r>
        <w:rPr>
          <w:w w:val="105"/>
          <w:sz w:val="21"/>
        </w:rPr>
        <w:t>and</w:t>
      </w:r>
      <w:r>
        <w:rPr>
          <w:spacing w:val="-5"/>
          <w:w w:val="105"/>
          <w:sz w:val="21"/>
        </w:rPr>
        <w:t> </w:t>
      </w:r>
      <w:r>
        <w:rPr>
          <w:spacing w:val="-2"/>
          <w:w w:val="105"/>
          <w:sz w:val="21"/>
        </w:rPr>
        <w:t>enjoyment</w:t>
      </w:r>
      <w:r>
        <w:rPr>
          <w:spacing w:val="-5"/>
          <w:w w:val="105"/>
          <w:sz w:val="21"/>
        </w:rPr>
        <w:t> </w:t>
      </w:r>
      <w:r>
        <w:rPr>
          <w:w w:val="105"/>
          <w:sz w:val="21"/>
        </w:rPr>
        <w:t>of the </w:t>
      </w:r>
      <w:r>
        <w:rPr>
          <w:spacing w:val="-3"/>
          <w:w w:val="105"/>
          <w:sz w:val="21"/>
        </w:rPr>
        <w:t>neighbour’s</w:t>
      </w:r>
      <w:r>
        <w:rPr>
          <w:spacing w:val="11"/>
          <w:w w:val="105"/>
          <w:sz w:val="21"/>
        </w:rPr>
        <w:t> </w:t>
      </w:r>
      <w:r>
        <w:rPr>
          <w:w w:val="105"/>
          <w:sz w:val="21"/>
        </w:rPr>
        <w:t>land.</w:t>
      </w:r>
      <w:r>
        <w:rPr>
          <w:w w:val="105"/>
          <w:position w:val="7"/>
          <w:sz w:val="12"/>
        </w:rPr>
        <w:t>303</w:t>
      </w:r>
    </w:p>
    <w:p>
      <w:pPr>
        <w:pStyle w:val="ListParagraph"/>
        <w:numPr>
          <w:ilvl w:val="0"/>
          <w:numId w:val="64"/>
        </w:numPr>
        <w:tabs>
          <w:tab w:pos="2381" w:val="left" w:leader="none"/>
          <w:tab w:pos="2382" w:val="left" w:leader="none"/>
        </w:tabs>
        <w:spacing w:line="242" w:lineRule="auto" w:before="88" w:after="0"/>
        <w:ind w:left="2381" w:right="1721" w:hanging="794"/>
        <w:jc w:val="left"/>
        <w:rPr>
          <w:sz w:val="12"/>
        </w:rPr>
      </w:pPr>
      <w:r>
        <w:rPr>
          <w:sz w:val="21"/>
        </w:rPr>
        <w:t>An example of </w:t>
      </w:r>
      <w:r>
        <w:rPr>
          <w:spacing w:val="-3"/>
          <w:sz w:val="21"/>
        </w:rPr>
        <w:t>‘substantial, </w:t>
      </w:r>
      <w:r>
        <w:rPr>
          <w:sz w:val="21"/>
        </w:rPr>
        <w:t>ongoing and </w:t>
      </w:r>
      <w:r>
        <w:rPr>
          <w:spacing w:val="-3"/>
          <w:sz w:val="21"/>
        </w:rPr>
        <w:t>unreasonable interference’  may  include  </w:t>
      </w:r>
      <w:r>
        <w:rPr>
          <w:sz w:val="21"/>
        </w:rPr>
        <w:t>a build-  up of </w:t>
      </w:r>
      <w:r>
        <w:rPr>
          <w:spacing w:val="-3"/>
          <w:sz w:val="21"/>
        </w:rPr>
        <w:t>leaves </w:t>
      </w:r>
      <w:r>
        <w:rPr>
          <w:sz w:val="21"/>
        </w:rPr>
        <w:t>blocking the gutter or </w:t>
      </w:r>
      <w:r>
        <w:rPr>
          <w:spacing w:val="-3"/>
          <w:sz w:val="21"/>
        </w:rPr>
        <w:t>spoiling </w:t>
      </w:r>
      <w:r>
        <w:rPr>
          <w:sz w:val="21"/>
        </w:rPr>
        <w:t>the tank  </w:t>
      </w:r>
      <w:r>
        <w:rPr>
          <w:spacing w:val="-3"/>
          <w:sz w:val="21"/>
        </w:rPr>
        <w:t>water  for  drinking  </w:t>
      </w:r>
      <w:r>
        <w:rPr>
          <w:sz w:val="21"/>
        </w:rPr>
        <w:t>purposes.</w:t>
      </w:r>
      <w:r>
        <w:rPr>
          <w:position w:val="7"/>
          <w:sz w:val="12"/>
        </w:rPr>
        <w:t>304</w:t>
      </w:r>
      <w:r>
        <w:rPr>
          <w:sz w:val="12"/>
        </w:rPr>
        <w:t> </w:t>
      </w:r>
      <w:r>
        <w:rPr>
          <w:sz w:val="21"/>
        </w:rPr>
        <w:t>Another </w:t>
      </w:r>
      <w:r>
        <w:rPr>
          <w:spacing w:val="-3"/>
          <w:sz w:val="21"/>
        </w:rPr>
        <w:t>might  </w:t>
      </w:r>
      <w:r>
        <w:rPr>
          <w:sz w:val="21"/>
        </w:rPr>
        <w:t>be where leaf litter is so </w:t>
      </w:r>
      <w:r>
        <w:rPr>
          <w:spacing w:val="-3"/>
          <w:sz w:val="21"/>
        </w:rPr>
        <w:t>continuous</w:t>
      </w:r>
      <w:r>
        <w:rPr>
          <w:spacing w:val="41"/>
          <w:sz w:val="21"/>
        </w:rPr>
        <w:t> </w:t>
      </w:r>
      <w:r>
        <w:rPr>
          <w:sz w:val="21"/>
        </w:rPr>
        <w:t>and extensive it causes an </w:t>
      </w:r>
      <w:r>
        <w:rPr>
          <w:spacing w:val="-3"/>
          <w:sz w:val="21"/>
        </w:rPr>
        <w:t>internal   </w:t>
      </w:r>
      <w:r>
        <w:rPr>
          <w:sz w:val="21"/>
        </w:rPr>
        <w:t>roof leak.</w:t>
      </w:r>
      <w:r>
        <w:rPr>
          <w:position w:val="7"/>
          <w:sz w:val="12"/>
        </w:rPr>
        <w:t>305 </w:t>
      </w:r>
      <w:r>
        <w:rPr>
          <w:spacing w:val="-4"/>
          <w:sz w:val="21"/>
        </w:rPr>
        <w:t>However, </w:t>
      </w:r>
      <w:r>
        <w:rPr>
          <w:sz w:val="21"/>
        </w:rPr>
        <w:t>in most cases leaf litter is </w:t>
      </w:r>
      <w:r>
        <w:rPr>
          <w:spacing w:val="-4"/>
          <w:sz w:val="21"/>
        </w:rPr>
        <w:t>unlikely </w:t>
      </w:r>
      <w:r>
        <w:rPr>
          <w:spacing w:val="-3"/>
          <w:sz w:val="21"/>
        </w:rPr>
        <w:t>to  </w:t>
      </w:r>
      <w:r>
        <w:rPr>
          <w:sz w:val="21"/>
        </w:rPr>
        <w:t>satisfy the </w:t>
      </w:r>
      <w:r>
        <w:rPr>
          <w:spacing w:val="-3"/>
          <w:sz w:val="21"/>
        </w:rPr>
        <w:t>interference threshold. </w:t>
      </w:r>
      <w:r>
        <w:rPr>
          <w:sz w:val="21"/>
        </w:rPr>
        <w:t>The Explanatory Notes </w:t>
      </w:r>
      <w:r>
        <w:rPr>
          <w:spacing w:val="-3"/>
          <w:sz w:val="21"/>
        </w:rPr>
        <w:t>to </w:t>
      </w:r>
      <w:r>
        <w:rPr>
          <w:sz w:val="21"/>
        </w:rPr>
        <w:t>the </w:t>
      </w:r>
      <w:r>
        <w:rPr>
          <w:spacing w:val="-3"/>
          <w:sz w:val="21"/>
        </w:rPr>
        <w:t>Queensland </w:t>
      </w:r>
      <w:r>
        <w:rPr>
          <w:sz w:val="21"/>
        </w:rPr>
        <w:t>Act state </w:t>
      </w:r>
      <w:r>
        <w:rPr>
          <w:spacing w:val="-3"/>
          <w:sz w:val="21"/>
        </w:rPr>
        <w:t>that </w:t>
      </w:r>
      <w:r>
        <w:rPr>
          <w:sz w:val="21"/>
        </w:rPr>
        <w:t>leaf litter is </w:t>
      </w:r>
      <w:r>
        <w:rPr>
          <w:spacing w:val="-3"/>
          <w:sz w:val="21"/>
        </w:rPr>
        <w:t>generally considered </w:t>
      </w:r>
      <w:r>
        <w:rPr>
          <w:sz w:val="21"/>
        </w:rPr>
        <w:t>‘to be expected in urban or </w:t>
      </w:r>
      <w:r>
        <w:rPr>
          <w:spacing w:val="-3"/>
          <w:sz w:val="21"/>
        </w:rPr>
        <w:t>suburban areas </w:t>
      </w:r>
      <w:r>
        <w:rPr>
          <w:sz w:val="21"/>
        </w:rPr>
        <w:t>with trees’ and it is </w:t>
      </w:r>
      <w:r>
        <w:rPr>
          <w:spacing w:val="-3"/>
          <w:sz w:val="21"/>
        </w:rPr>
        <w:t>reasonable to </w:t>
      </w:r>
      <w:r>
        <w:rPr>
          <w:sz w:val="21"/>
        </w:rPr>
        <w:t>expect </w:t>
      </w:r>
      <w:r>
        <w:rPr>
          <w:spacing w:val="-3"/>
          <w:sz w:val="21"/>
        </w:rPr>
        <w:t>that </w:t>
      </w:r>
      <w:r>
        <w:rPr>
          <w:sz w:val="21"/>
        </w:rPr>
        <w:t>residents </w:t>
      </w:r>
      <w:r>
        <w:rPr>
          <w:spacing w:val="-3"/>
          <w:sz w:val="21"/>
        </w:rPr>
        <w:t>‘will </w:t>
      </w:r>
      <w:r>
        <w:rPr>
          <w:sz w:val="21"/>
        </w:rPr>
        <w:t>perform some level of </w:t>
      </w:r>
      <w:r>
        <w:rPr>
          <w:spacing w:val="-3"/>
          <w:sz w:val="21"/>
        </w:rPr>
        <w:t>regular </w:t>
      </w:r>
      <w:r>
        <w:rPr>
          <w:spacing w:val="-4"/>
          <w:sz w:val="21"/>
        </w:rPr>
        <w:t>maintenance, </w:t>
      </w:r>
      <w:r>
        <w:rPr>
          <w:spacing w:val="-3"/>
          <w:sz w:val="21"/>
        </w:rPr>
        <w:t>including cleaning </w:t>
      </w:r>
      <w:r>
        <w:rPr>
          <w:sz w:val="21"/>
        </w:rPr>
        <w:t>gutters and leaf</w:t>
      </w:r>
      <w:r>
        <w:rPr>
          <w:spacing w:val="25"/>
          <w:sz w:val="21"/>
        </w:rPr>
        <w:t> </w:t>
      </w:r>
      <w:r>
        <w:rPr>
          <w:spacing w:val="-3"/>
          <w:sz w:val="21"/>
        </w:rPr>
        <w:t>litter’.</w:t>
      </w:r>
      <w:r>
        <w:rPr>
          <w:spacing w:val="-3"/>
          <w:position w:val="7"/>
          <w:sz w:val="12"/>
        </w:rPr>
        <w:t>306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r>
        <w:rPr/>
        <w:pict>
          <v:line style="position:absolute;mso-position-horizontal-relative:page;mso-position-vertical-relative:paragraph;z-index:5072;mso-wrap-distance-left:0;mso-wrap-distance-right:0" from="79.370102pt,17.463968pt" to="515.905102pt,17.463968pt" stroked="true" strokeweight="1pt" strokecolor="#c9d2cb">
            <v:stroke dashstyle="solid"/>
            <w10:wrap type="topAndBottom"/>
          </v:line>
        </w:pict>
      </w:r>
    </w:p>
    <w:p>
      <w:pPr>
        <w:pStyle w:val="ListParagraph"/>
        <w:numPr>
          <w:ilvl w:val="0"/>
          <w:numId w:val="74"/>
        </w:numPr>
        <w:tabs>
          <w:tab w:pos="2381" w:val="left" w:leader="none"/>
          <w:tab w:pos="2382" w:val="left" w:leader="none"/>
        </w:tabs>
        <w:spacing w:line="240" w:lineRule="auto" w:before="117" w:after="0"/>
        <w:ind w:left="2381" w:right="0" w:hanging="794"/>
        <w:jc w:val="left"/>
        <w:rPr>
          <w:sz w:val="13"/>
        </w:rPr>
      </w:pPr>
      <w:r>
        <w:rPr>
          <w:i/>
          <w:w w:val="105"/>
          <w:sz w:val="13"/>
        </w:rPr>
        <w:t>Robson</w:t>
      </w:r>
      <w:r>
        <w:rPr>
          <w:i/>
          <w:spacing w:val="5"/>
          <w:w w:val="105"/>
          <w:sz w:val="13"/>
        </w:rPr>
        <w:t> </w:t>
      </w:r>
      <w:r>
        <w:rPr>
          <w:i/>
          <w:w w:val="105"/>
          <w:sz w:val="13"/>
        </w:rPr>
        <w:t>v</w:t>
      </w:r>
      <w:r>
        <w:rPr>
          <w:i/>
          <w:spacing w:val="5"/>
          <w:w w:val="105"/>
          <w:sz w:val="13"/>
        </w:rPr>
        <w:t> </w:t>
      </w:r>
      <w:r>
        <w:rPr>
          <w:i/>
          <w:w w:val="105"/>
          <w:sz w:val="13"/>
        </w:rPr>
        <w:t>Leischke</w:t>
      </w:r>
      <w:r>
        <w:rPr>
          <w:i/>
          <w:spacing w:val="5"/>
          <w:w w:val="105"/>
          <w:sz w:val="13"/>
        </w:rPr>
        <w:t> </w:t>
      </w:r>
      <w:r>
        <w:rPr>
          <w:spacing w:val="2"/>
          <w:w w:val="105"/>
          <w:sz w:val="13"/>
        </w:rPr>
        <w:t>(2008)</w:t>
      </w:r>
      <w:r>
        <w:rPr>
          <w:spacing w:val="5"/>
          <w:w w:val="105"/>
          <w:sz w:val="13"/>
        </w:rPr>
        <w:t> </w:t>
      </w:r>
      <w:r>
        <w:rPr>
          <w:w w:val="105"/>
          <w:sz w:val="13"/>
        </w:rPr>
        <w:t>72</w:t>
      </w:r>
      <w:r>
        <w:rPr>
          <w:spacing w:val="5"/>
          <w:w w:val="105"/>
          <w:sz w:val="13"/>
        </w:rPr>
        <w:t> </w:t>
      </w:r>
      <w:r>
        <w:rPr>
          <w:spacing w:val="2"/>
          <w:w w:val="105"/>
          <w:sz w:val="13"/>
        </w:rPr>
        <w:t>NSWLR</w:t>
      </w:r>
      <w:r>
        <w:rPr>
          <w:spacing w:val="5"/>
          <w:w w:val="105"/>
          <w:sz w:val="13"/>
        </w:rPr>
        <w:t> </w:t>
      </w:r>
      <w:r>
        <w:rPr>
          <w:w w:val="105"/>
          <w:sz w:val="13"/>
        </w:rPr>
        <w:t>98</w:t>
      </w:r>
      <w:r>
        <w:rPr>
          <w:spacing w:val="5"/>
          <w:w w:val="105"/>
          <w:sz w:val="13"/>
        </w:rPr>
        <w:t> </w:t>
      </w:r>
      <w:r>
        <w:rPr>
          <w:w w:val="105"/>
          <w:sz w:val="13"/>
        </w:rPr>
        <w:t>[166];</w:t>
      </w:r>
      <w:r>
        <w:rPr>
          <w:spacing w:val="5"/>
          <w:w w:val="105"/>
          <w:sz w:val="13"/>
        </w:rPr>
        <w:t> </w:t>
      </w:r>
      <w:r>
        <w:rPr>
          <w:i/>
          <w:w w:val="105"/>
          <w:sz w:val="13"/>
        </w:rPr>
        <w:t>Ardagh</w:t>
      </w:r>
      <w:r>
        <w:rPr>
          <w:i/>
          <w:spacing w:val="5"/>
          <w:w w:val="105"/>
          <w:sz w:val="13"/>
        </w:rPr>
        <w:t> </w:t>
      </w:r>
      <w:r>
        <w:rPr>
          <w:i/>
          <w:w w:val="105"/>
          <w:sz w:val="13"/>
        </w:rPr>
        <w:t>v</w:t>
      </w:r>
      <w:r>
        <w:rPr>
          <w:i/>
          <w:spacing w:val="5"/>
          <w:w w:val="105"/>
          <w:sz w:val="13"/>
        </w:rPr>
        <w:t> </w:t>
      </w:r>
      <w:r>
        <w:rPr>
          <w:i/>
          <w:w w:val="105"/>
          <w:sz w:val="13"/>
        </w:rPr>
        <w:t>Ellston</w:t>
      </w:r>
      <w:r>
        <w:rPr>
          <w:i/>
          <w:spacing w:val="5"/>
          <w:w w:val="105"/>
          <w:sz w:val="13"/>
        </w:rPr>
        <w:t> </w:t>
      </w:r>
      <w:r>
        <w:rPr>
          <w:w w:val="105"/>
          <w:sz w:val="13"/>
        </w:rPr>
        <w:t>[2012]</w:t>
      </w:r>
      <w:r>
        <w:rPr>
          <w:spacing w:val="5"/>
          <w:w w:val="105"/>
          <w:sz w:val="13"/>
        </w:rPr>
        <w:t> </w:t>
      </w:r>
      <w:r>
        <w:rPr>
          <w:w w:val="105"/>
          <w:sz w:val="13"/>
        </w:rPr>
        <w:t>NSWLEC</w:t>
      </w:r>
      <w:r>
        <w:rPr>
          <w:spacing w:val="5"/>
          <w:w w:val="105"/>
          <w:sz w:val="13"/>
        </w:rPr>
        <w:t> </w:t>
      </w:r>
      <w:r>
        <w:rPr>
          <w:w w:val="105"/>
          <w:sz w:val="13"/>
        </w:rPr>
        <w:t>1235</w:t>
      </w:r>
      <w:r>
        <w:rPr>
          <w:spacing w:val="5"/>
          <w:w w:val="105"/>
          <w:sz w:val="13"/>
        </w:rPr>
        <w:t> </w:t>
      </w:r>
      <w:r>
        <w:rPr>
          <w:spacing w:val="3"/>
          <w:w w:val="105"/>
          <w:sz w:val="13"/>
        </w:rPr>
        <w:t>[41]–[42].</w:t>
      </w:r>
    </w:p>
    <w:p>
      <w:pPr>
        <w:pStyle w:val="ListParagraph"/>
        <w:numPr>
          <w:ilvl w:val="0"/>
          <w:numId w:val="74"/>
        </w:numPr>
        <w:tabs>
          <w:tab w:pos="2381" w:val="left" w:leader="none"/>
          <w:tab w:pos="2382" w:val="left" w:leader="none"/>
        </w:tabs>
        <w:spacing w:line="240" w:lineRule="auto" w:before="1" w:after="0"/>
        <w:ind w:left="2381" w:right="0" w:hanging="794"/>
        <w:jc w:val="left"/>
        <w:rPr>
          <w:sz w:val="13"/>
        </w:rPr>
      </w:pPr>
      <w:r>
        <w:rPr>
          <w:w w:val="105"/>
          <w:sz w:val="13"/>
        </w:rPr>
        <w:t>See </w:t>
      </w:r>
      <w:r>
        <w:rPr>
          <w:i/>
          <w:w w:val="105"/>
          <w:sz w:val="13"/>
        </w:rPr>
        <w:t>Yang v Scerri </w:t>
      </w:r>
      <w:r>
        <w:rPr>
          <w:w w:val="105"/>
          <w:sz w:val="13"/>
        </w:rPr>
        <w:t>[2007] NSWLEC</w:t>
      </w:r>
      <w:r>
        <w:rPr>
          <w:spacing w:val="28"/>
          <w:w w:val="105"/>
          <w:sz w:val="13"/>
        </w:rPr>
        <w:t> </w:t>
      </w:r>
      <w:r>
        <w:rPr>
          <w:w w:val="105"/>
          <w:sz w:val="13"/>
        </w:rPr>
        <w:t>592.</w:t>
      </w:r>
    </w:p>
    <w:p>
      <w:pPr>
        <w:pStyle w:val="ListParagraph"/>
        <w:numPr>
          <w:ilvl w:val="0"/>
          <w:numId w:val="74"/>
        </w:numPr>
        <w:tabs>
          <w:tab w:pos="2380" w:val="left" w:leader="none"/>
          <w:tab w:pos="2382" w:val="left" w:leader="none"/>
        </w:tabs>
        <w:spacing w:line="240" w:lineRule="auto" w:before="2" w:after="0"/>
        <w:ind w:left="2381" w:right="0" w:hanging="794"/>
        <w:jc w:val="left"/>
        <w:rPr>
          <w:sz w:val="13"/>
        </w:rPr>
      </w:pPr>
      <w:r>
        <w:rPr>
          <w:i/>
          <w:w w:val="105"/>
          <w:sz w:val="13"/>
        </w:rPr>
        <w:t>Robson v Leischke </w:t>
      </w:r>
      <w:r>
        <w:rPr>
          <w:spacing w:val="2"/>
          <w:w w:val="105"/>
          <w:sz w:val="13"/>
        </w:rPr>
        <w:t>(2008) </w:t>
      </w:r>
      <w:r>
        <w:rPr>
          <w:w w:val="105"/>
          <w:sz w:val="13"/>
        </w:rPr>
        <w:t>72 </w:t>
      </w:r>
      <w:r>
        <w:rPr>
          <w:spacing w:val="2"/>
          <w:w w:val="105"/>
          <w:sz w:val="13"/>
        </w:rPr>
        <w:t>NSWLR</w:t>
      </w:r>
      <w:r>
        <w:rPr>
          <w:spacing w:val="26"/>
          <w:w w:val="105"/>
          <w:sz w:val="13"/>
        </w:rPr>
        <w:t> </w:t>
      </w:r>
      <w:r>
        <w:rPr>
          <w:w w:val="105"/>
          <w:sz w:val="13"/>
        </w:rPr>
        <w:t>98.</w:t>
      </w:r>
    </w:p>
    <w:p>
      <w:pPr>
        <w:pStyle w:val="ListParagraph"/>
        <w:numPr>
          <w:ilvl w:val="0"/>
          <w:numId w:val="74"/>
        </w:numPr>
        <w:tabs>
          <w:tab w:pos="2381" w:val="left" w:leader="none"/>
          <w:tab w:pos="2382" w:val="left" w:leader="none"/>
        </w:tabs>
        <w:spacing w:line="240" w:lineRule="auto" w:before="1" w:after="0"/>
        <w:ind w:left="2381" w:right="0" w:hanging="794"/>
        <w:jc w:val="left"/>
        <w:rPr>
          <w:sz w:val="13"/>
        </w:rPr>
      </w:pPr>
      <w:r>
        <w:rPr>
          <w:i/>
          <w:w w:val="105"/>
          <w:sz w:val="13"/>
        </w:rPr>
        <w:t>Barker v Kyriakides </w:t>
      </w:r>
      <w:r>
        <w:rPr>
          <w:w w:val="105"/>
          <w:sz w:val="13"/>
        </w:rPr>
        <w:t>[2007] NSWLEC 292,</w:t>
      </w:r>
      <w:r>
        <w:rPr>
          <w:spacing w:val="28"/>
          <w:w w:val="105"/>
          <w:sz w:val="13"/>
        </w:rPr>
        <w:t> </w:t>
      </w:r>
      <w:r>
        <w:rPr>
          <w:spacing w:val="2"/>
          <w:w w:val="105"/>
          <w:sz w:val="13"/>
        </w:rPr>
        <w:t>[20].</w:t>
      </w:r>
    </w:p>
    <w:p>
      <w:pPr>
        <w:pStyle w:val="ListParagraph"/>
        <w:numPr>
          <w:ilvl w:val="0"/>
          <w:numId w:val="74"/>
        </w:numPr>
        <w:tabs>
          <w:tab w:pos="2381" w:val="left" w:leader="none"/>
          <w:tab w:pos="2382" w:val="left" w:leader="none"/>
        </w:tabs>
        <w:spacing w:line="240" w:lineRule="auto" w:before="1"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74"/>
        </w:numPr>
        <w:tabs>
          <w:tab w:pos="2381" w:val="left" w:leader="none"/>
          <w:tab w:pos="2382" w:val="left" w:leader="none"/>
        </w:tabs>
        <w:spacing w:line="240" w:lineRule="auto" w:before="2" w:after="0"/>
        <w:ind w:left="2381" w:right="0" w:hanging="794"/>
        <w:jc w:val="left"/>
        <w:rPr>
          <w:sz w:val="13"/>
        </w:rPr>
      </w:pPr>
      <w:r>
        <w:rPr>
          <w:w w:val="105"/>
          <w:sz w:val="13"/>
        </w:rPr>
        <w:t>See, </w:t>
      </w:r>
      <w:r>
        <w:rPr>
          <w:i/>
          <w:w w:val="105"/>
          <w:sz w:val="13"/>
        </w:rPr>
        <w:t>eg, Tuft v Piddington </w:t>
      </w:r>
      <w:r>
        <w:rPr>
          <w:spacing w:val="2"/>
          <w:w w:val="105"/>
          <w:sz w:val="13"/>
        </w:rPr>
        <w:t>[2008] </w:t>
      </w:r>
      <w:r>
        <w:rPr>
          <w:w w:val="105"/>
          <w:sz w:val="13"/>
        </w:rPr>
        <w:t>NSWLEC 1249.</w:t>
      </w:r>
    </w:p>
    <w:p>
      <w:pPr>
        <w:pStyle w:val="ListParagraph"/>
        <w:numPr>
          <w:ilvl w:val="0"/>
          <w:numId w:val="74"/>
        </w:numPr>
        <w:tabs>
          <w:tab w:pos="2381" w:val="left" w:leader="none"/>
          <w:tab w:pos="2382" w:val="left" w:leader="none"/>
        </w:tabs>
        <w:spacing w:line="240" w:lineRule="auto" w:before="1" w:after="0"/>
        <w:ind w:left="2381" w:right="0" w:hanging="794"/>
        <w:jc w:val="left"/>
        <w:rPr>
          <w:sz w:val="13"/>
        </w:rPr>
      </w:pPr>
      <w:r>
        <w:rPr>
          <w:w w:val="105"/>
          <w:sz w:val="13"/>
        </w:rPr>
        <w:t>Land</w:t>
      </w:r>
      <w:r>
        <w:rPr>
          <w:spacing w:val="4"/>
          <w:w w:val="105"/>
          <w:sz w:val="13"/>
        </w:rPr>
        <w:t> </w:t>
      </w:r>
      <w:r>
        <w:rPr>
          <w:w w:val="105"/>
          <w:sz w:val="13"/>
        </w:rPr>
        <w:t>and</w:t>
      </w:r>
      <w:r>
        <w:rPr>
          <w:spacing w:val="5"/>
          <w:w w:val="105"/>
          <w:sz w:val="13"/>
        </w:rPr>
        <w:t> </w:t>
      </w:r>
      <w:r>
        <w:rPr>
          <w:w w:val="105"/>
          <w:sz w:val="13"/>
        </w:rPr>
        <w:t>Environment</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r>
        <w:rPr>
          <w:spacing w:val="5"/>
          <w:w w:val="105"/>
          <w:sz w:val="13"/>
        </w:rPr>
        <w:t> </w:t>
      </w:r>
      <w:r>
        <w:rPr>
          <w:i/>
          <w:w w:val="105"/>
          <w:sz w:val="13"/>
        </w:rPr>
        <w:t>Practice</w:t>
      </w:r>
      <w:r>
        <w:rPr>
          <w:i/>
          <w:spacing w:val="5"/>
          <w:w w:val="105"/>
          <w:sz w:val="13"/>
        </w:rPr>
        <w:t> </w:t>
      </w:r>
      <w:r>
        <w:rPr>
          <w:i/>
          <w:w w:val="105"/>
          <w:sz w:val="13"/>
        </w:rPr>
        <w:t>Note:</w:t>
      </w:r>
      <w:r>
        <w:rPr>
          <w:i/>
          <w:spacing w:val="5"/>
          <w:w w:val="105"/>
          <w:sz w:val="13"/>
        </w:rPr>
        <w:t> </w:t>
      </w:r>
      <w:r>
        <w:rPr>
          <w:i/>
          <w:w w:val="105"/>
          <w:sz w:val="13"/>
        </w:rPr>
        <w:t>Class</w:t>
      </w:r>
      <w:r>
        <w:rPr>
          <w:i/>
          <w:spacing w:val="5"/>
          <w:w w:val="105"/>
          <w:sz w:val="13"/>
        </w:rPr>
        <w:t> </w:t>
      </w:r>
      <w:r>
        <w:rPr>
          <w:i/>
          <w:w w:val="105"/>
          <w:sz w:val="13"/>
        </w:rPr>
        <w:t>2</w:t>
      </w:r>
      <w:r>
        <w:rPr>
          <w:i/>
          <w:spacing w:val="5"/>
          <w:w w:val="105"/>
          <w:sz w:val="13"/>
        </w:rPr>
        <w:t> </w:t>
      </w:r>
      <w:r>
        <w:rPr>
          <w:i/>
          <w:w w:val="105"/>
          <w:sz w:val="13"/>
        </w:rPr>
        <w:t>Tree</w:t>
      </w:r>
      <w:r>
        <w:rPr>
          <w:i/>
          <w:spacing w:val="5"/>
          <w:w w:val="105"/>
          <w:sz w:val="13"/>
        </w:rPr>
        <w:t> </w:t>
      </w:r>
      <w:r>
        <w:rPr>
          <w:i/>
          <w:w w:val="105"/>
          <w:sz w:val="13"/>
        </w:rPr>
        <w:t>Applications</w:t>
      </w:r>
      <w:r>
        <w:rPr>
          <w:w w:val="105"/>
          <w:sz w:val="13"/>
        </w:rPr>
        <w:t>,</w:t>
      </w:r>
      <w:r>
        <w:rPr>
          <w:spacing w:val="5"/>
          <w:w w:val="105"/>
          <w:sz w:val="13"/>
        </w:rPr>
        <w:t> </w:t>
      </w:r>
      <w:r>
        <w:rPr>
          <w:w w:val="105"/>
          <w:sz w:val="13"/>
        </w:rPr>
        <w:t>1</w:t>
      </w:r>
      <w:r>
        <w:rPr>
          <w:spacing w:val="5"/>
          <w:w w:val="105"/>
          <w:sz w:val="13"/>
        </w:rPr>
        <w:t> </w:t>
      </w:r>
      <w:r>
        <w:rPr>
          <w:w w:val="105"/>
          <w:sz w:val="13"/>
        </w:rPr>
        <w:t>December</w:t>
      </w:r>
      <w:r>
        <w:rPr>
          <w:spacing w:val="5"/>
          <w:w w:val="105"/>
          <w:sz w:val="13"/>
        </w:rPr>
        <w:t> </w:t>
      </w:r>
      <w:r>
        <w:rPr>
          <w:w w:val="105"/>
          <w:sz w:val="13"/>
        </w:rPr>
        <w:t>2018,</w:t>
      </w:r>
      <w:r>
        <w:rPr>
          <w:spacing w:val="5"/>
          <w:w w:val="105"/>
          <w:sz w:val="13"/>
        </w:rPr>
        <w:t> </w:t>
      </w:r>
      <w:r>
        <w:rPr>
          <w:w w:val="105"/>
          <w:sz w:val="13"/>
        </w:rPr>
        <w:t>[15].</w:t>
      </w:r>
    </w:p>
    <w:p>
      <w:pPr>
        <w:pStyle w:val="ListParagraph"/>
        <w:numPr>
          <w:ilvl w:val="0"/>
          <w:numId w:val="74"/>
        </w:numPr>
        <w:tabs>
          <w:tab w:pos="2380" w:val="left" w:leader="none"/>
          <w:tab w:pos="2382" w:val="left" w:leader="none"/>
        </w:tabs>
        <w:spacing w:line="240" w:lineRule="auto" w:before="1" w:after="0"/>
        <w:ind w:left="2381" w:right="1683" w:hanging="794"/>
        <w:jc w:val="left"/>
        <w:rPr>
          <w:sz w:val="13"/>
        </w:rPr>
      </w:pPr>
      <w:r>
        <w:rPr>
          <w:w w:val="105"/>
          <w:sz w:val="13"/>
        </w:rPr>
        <w:t>Ibid, [15] sch B; Land and Environment Court of New South Wales, </w:t>
      </w:r>
      <w:r>
        <w:rPr>
          <w:i/>
          <w:w w:val="105"/>
          <w:sz w:val="13"/>
        </w:rPr>
        <w:t>Annotated Trees Act January </w:t>
      </w:r>
      <w:r>
        <w:rPr>
          <w:i/>
          <w:spacing w:val="-3"/>
          <w:w w:val="105"/>
          <w:sz w:val="13"/>
        </w:rPr>
        <w:t>2013  </w:t>
      </w:r>
      <w:r>
        <w:rPr>
          <w:w w:val="105"/>
          <w:sz w:val="13"/>
        </w:rPr>
        <w:t>(1 September 2016) 10. Without        this evidence, injury as a consequence of the tree concerned will not be successfully made out. See, eg, </w:t>
      </w:r>
      <w:r>
        <w:rPr>
          <w:i/>
          <w:w w:val="105"/>
          <w:sz w:val="13"/>
        </w:rPr>
        <w:t>Hurditch v Staines </w:t>
      </w:r>
      <w:r>
        <w:rPr>
          <w:spacing w:val="2"/>
          <w:w w:val="105"/>
          <w:sz w:val="13"/>
        </w:rPr>
        <w:t>[2008] </w:t>
      </w:r>
      <w:r>
        <w:rPr>
          <w:w w:val="105"/>
          <w:sz w:val="13"/>
        </w:rPr>
        <w:t>NSWLEC </w:t>
      </w:r>
      <w:r>
        <w:rPr>
          <w:spacing w:val="-4"/>
          <w:w w:val="105"/>
          <w:sz w:val="13"/>
        </w:rPr>
        <w:t>1351;</w:t>
      </w:r>
      <w:r>
        <w:rPr>
          <w:spacing w:val="6"/>
          <w:w w:val="105"/>
          <w:sz w:val="13"/>
        </w:rPr>
        <w:t> </w:t>
      </w:r>
      <w:r>
        <w:rPr>
          <w:i/>
          <w:w w:val="105"/>
          <w:sz w:val="13"/>
        </w:rPr>
        <w:t>Oakey</w:t>
      </w:r>
      <w:r>
        <w:rPr>
          <w:i/>
          <w:spacing w:val="7"/>
          <w:w w:val="105"/>
          <w:sz w:val="13"/>
        </w:rPr>
        <w:t> </w:t>
      </w:r>
      <w:r>
        <w:rPr>
          <w:i/>
          <w:w w:val="105"/>
          <w:sz w:val="13"/>
        </w:rPr>
        <w:t>v</w:t>
      </w:r>
      <w:r>
        <w:rPr>
          <w:i/>
          <w:spacing w:val="7"/>
          <w:w w:val="105"/>
          <w:sz w:val="13"/>
        </w:rPr>
        <w:t> </w:t>
      </w:r>
      <w:r>
        <w:rPr>
          <w:i/>
          <w:spacing w:val="2"/>
          <w:w w:val="105"/>
          <w:sz w:val="13"/>
        </w:rPr>
        <w:t>Owners</w:t>
      </w:r>
      <w:r>
        <w:rPr>
          <w:i/>
          <w:spacing w:val="6"/>
          <w:w w:val="105"/>
          <w:sz w:val="13"/>
        </w:rPr>
        <w:t> </w:t>
      </w:r>
      <w:r>
        <w:rPr>
          <w:i/>
          <w:w w:val="105"/>
          <w:sz w:val="13"/>
        </w:rPr>
        <w:t>Corporation</w:t>
      </w:r>
      <w:r>
        <w:rPr>
          <w:i/>
          <w:spacing w:val="7"/>
          <w:w w:val="105"/>
          <w:sz w:val="13"/>
        </w:rPr>
        <w:t> </w:t>
      </w:r>
      <w:r>
        <w:rPr>
          <w:i/>
          <w:w w:val="105"/>
          <w:sz w:val="13"/>
        </w:rPr>
        <w:t>Strata</w:t>
      </w:r>
      <w:r>
        <w:rPr>
          <w:i/>
          <w:spacing w:val="7"/>
          <w:w w:val="105"/>
          <w:sz w:val="13"/>
        </w:rPr>
        <w:t> </w:t>
      </w:r>
      <w:r>
        <w:rPr>
          <w:i/>
          <w:w w:val="105"/>
          <w:sz w:val="13"/>
        </w:rPr>
        <w:t>Plan</w:t>
      </w:r>
      <w:r>
        <w:rPr>
          <w:i/>
          <w:spacing w:val="7"/>
          <w:w w:val="105"/>
          <w:sz w:val="13"/>
        </w:rPr>
        <w:t> </w:t>
      </w:r>
      <w:r>
        <w:rPr>
          <w:i/>
          <w:w w:val="105"/>
          <w:sz w:val="13"/>
        </w:rPr>
        <w:t>5723</w:t>
      </w:r>
      <w:r>
        <w:rPr>
          <w:i/>
          <w:spacing w:val="6"/>
          <w:w w:val="105"/>
          <w:sz w:val="13"/>
        </w:rPr>
        <w:t> </w:t>
      </w:r>
      <w:r>
        <w:rPr>
          <w:spacing w:val="2"/>
          <w:w w:val="105"/>
          <w:sz w:val="13"/>
        </w:rPr>
        <w:t>[2009]</w:t>
      </w:r>
      <w:r>
        <w:rPr>
          <w:spacing w:val="7"/>
          <w:w w:val="105"/>
          <w:sz w:val="13"/>
        </w:rPr>
        <w:t> </w:t>
      </w:r>
      <w:r>
        <w:rPr>
          <w:w w:val="105"/>
          <w:sz w:val="13"/>
        </w:rPr>
        <w:t>NSWLEC</w:t>
      </w:r>
      <w:r>
        <w:rPr>
          <w:spacing w:val="7"/>
          <w:w w:val="105"/>
          <w:sz w:val="13"/>
        </w:rPr>
        <w:t> </w:t>
      </w:r>
      <w:r>
        <w:rPr>
          <w:w w:val="105"/>
          <w:sz w:val="13"/>
        </w:rPr>
        <w:t>1108;</w:t>
      </w:r>
      <w:r>
        <w:rPr>
          <w:spacing w:val="7"/>
          <w:w w:val="105"/>
          <w:sz w:val="13"/>
        </w:rPr>
        <w:t> </w:t>
      </w:r>
      <w:r>
        <w:rPr>
          <w:i/>
          <w:w w:val="105"/>
          <w:sz w:val="13"/>
        </w:rPr>
        <w:t>Turner</w:t>
      </w:r>
      <w:r>
        <w:rPr>
          <w:i/>
          <w:spacing w:val="6"/>
          <w:w w:val="105"/>
          <w:sz w:val="13"/>
        </w:rPr>
        <w:t> </w:t>
      </w:r>
      <w:r>
        <w:rPr>
          <w:i/>
          <w:w w:val="105"/>
          <w:sz w:val="13"/>
        </w:rPr>
        <w:t>v</w:t>
      </w:r>
      <w:r>
        <w:rPr>
          <w:i/>
          <w:spacing w:val="7"/>
          <w:w w:val="105"/>
          <w:sz w:val="13"/>
        </w:rPr>
        <w:t> </w:t>
      </w:r>
      <w:r>
        <w:rPr>
          <w:i/>
          <w:w w:val="105"/>
          <w:sz w:val="13"/>
        </w:rPr>
        <w:t>O’Donnell</w:t>
      </w:r>
      <w:r>
        <w:rPr>
          <w:i/>
          <w:spacing w:val="7"/>
          <w:w w:val="105"/>
          <w:sz w:val="13"/>
        </w:rPr>
        <w:t> </w:t>
      </w:r>
      <w:r>
        <w:rPr>
          <w:spacing w:val="2"/>
          <w:w w:val="105"/>
          <w:sz w:val="13"/>
        </w:rPr>
        <w:t>[2009]</w:t>
      </w:r>
      <w:r>
        <w:rPr>
          <w:spacing w:val="7"/>
          <w:w w:val="105"/>
          <w:sz w:val="13"/>
        </w:rPr>
        <w:t> </w:t>
      </w:r>
      <w:r>
        <w:rPr>
          <w:w w:val="105"/>
          <w:sz w:val="13"/>
        </w:rPr>
        <w:t>NSWLEC</w:t>
      </w:r>
      <w:r>
        <w:rPr>
          <w:spacing w:val="6"/>
          <w:w w:val="105"/>
          <w:sz w:val="13"/>
        </w:rPr>
        <w:t> </w:t>
      </w:r>
      <w:r>
        <w:rPr>
          <w:w w:val="105"/>
          <w:sz w:val="13"/>
        </w:rPr>
        <w:t>1349.</w:t>
      </w:r>
    </w:p>
    <w:p>
      <w:pPr>
        <w:pStyle w:val="ListParagraph"/>
        <w:numPr>
          <w:ilvl w:val="0"/>
          <w:numId w:val="74"/>
        </w:numPr>
        <w:tabs>
          <w:tab w:pos="2381" w:val="left" w:leader="none"/>
          <w:tab w:pos="2382" w:val="left" w:leader="none"/>
        </w:tabs>
        <w:spacing w:line="240" w:lineRule="auto" w:before="4" w:after="0"/>
        <w:ind w:left="2381" w:right="0" w:hanging="794"/>
        <w:jc w:val="left"/>
        <w:rPr>
          <w:sz w:val="13"/>
        </w:rPr>
      </w:pPr>
      <w:r>
        <w:rPr>
          <w:i/>
          <w:w w:val="105"/>
          <w:sz w:val="13"/>
        </w:rPr>
        <w:t>Yang v Scerri </w:t>
      </w:r>
      <w:r>
        <w:rPr>
          <w:w w:val="105"/>
          <w:sz w:val="13"/>
        </w:rPr>
        <w:t>[2007] NSWLEC</w:t>
      </w:r>
      <w:r>
        <w:rPr>
          <w:spacing w:val="23"/>
          <w:w w:val="105"/>
          <w:sz w:val="13"/>
        </w:rPr>
        <w:t> </w:t>
      </w:r>
      <w:r>
        <w:rPr>
          <w:w w:val="105"/>
          <w:sz w:val="13"/>
        </w:rPr>
        <w:t>592.</w:t>
      </w:r>
    </w:p>
    <w:p>
      <w:pPr>
        <w:pStyle w:val="ListParagraph"/>
        <w:numPr>
          <w:ilvl w:val="0"/>
          <w:numId w:val="74"/>
        </w:numPr>
        <w:tabs>
          <w:tab w:pos="2381" w:val="left" w:leader="none"/>
          <w:tab w:pos="2382" w:val="left" w:leader="none"/>
        </w:tabs>
        <w:spacing w:line="240" w:lineRule="auto" w:before="2" w:after="0"/>
        <w:ind w:left="2381" w:right="1592" w:hanging="794"/>
        <w:jc w:val="left"/>
        <w:rPr>
          <w:sz w:val="13"/>
        </w:rPr>
      </w:pPr>
      <w:r>
        <w:rPr>
          <w:i/>
          <w:w w:val="105"/>
          <w:sz w:val="13"/>
        </w:rPr>
        <w:t>Konn v Wisbey </w:t>
      </w:r>
      <w:r>
        <w:rPr>
          <w:w w:val="105"/>
          <w:sz w:val="13"/>
        </w:rPr>
        <w:t>[2007] NSWLEC 799. In this case the applicant sought compensation for ‘damages for personal stress’ and the NSWLEC          held that ‘the jurisdiction of the Court to make orders does not encompass orders for damage to people but merely encompasses orders for damage</w:t>
      </w:r>
      <w:r>
        <w:rPr>
          <w:spacing w:val="4"/>
          <w:w w:val="105"/>
          <w:sz w:val="13"/>
        </w:rPr>
        <w:t> </w:t>
      </w:r>
      <w:r>
        <w:rPr>
          <w:w w:val="105"/>
          <w:sz w:val="13"/>
        </w:rPr>
        <w:t>to</w:t>
      </w:r>
      <w:r>
        <w:rPr>
          <w:spacing w:val="4"/>
          <w:w w:val="105"/>
          <w:sz w:val="13"/>
        </w:rPr>
        <w:t> </w:t>
      </w:r>
      <w:r>
        <w:rPr>
          <w:w w:val="105"/>
          <w:sz w:val="13"/>
        </w:rPr>
        <w:t>property.</w:t>
      </w:r>
      <w:r>
        <w:rPr>
          <w:spacing w:val="5"/>
          <w:w w:val="105"/>
          <w:sz w:val="13"/>
        </w:rPr>
        <w:t> </w:t>
      </w:r>
      <w:r>
        <w:rPr>
          <w:w w:val="105"/>
          <w:sz w:val="13"/>
        </w:rPr>
        <w:t>The</w:t>
      </w:r>
      <w:r>
        <w:rPr>
          <w:spacing w:val="4"/>
          <w:w w:val="105"/>
          <w:sz w:val="13"/>
        </w:rPr>
        <w:t> </w:t>
      </w:r>
      <w:r>
        <w:rPr>
          <w:w w:val="105"/>
          <w:sz w:val="13"/>
        </w:rPr>
        <w:t>Court</w:t>
      </w:r>
      <w:r>
        <w:rPr>
          <w:spacing w:val="4"/>
          <w:w w:val="105"/>
          <w:sz w:val="13"/>
        </w:rPr>
        <w:t> </w:t>
      </w:r>
      <w:r>
        <w:rPr>
          <w:w w:val="105"/>
          <w:sz w:val="13"/>
        </w:rPr>
        <w:t>therefore</w:t>
      </w:r>
      <w:r>
        <w:rPr>
          <w:spacing w:val="5"/>
          <w:w w:val="105"/>
          <w:sz w:val="13"/>
        </w:rPr>
        <w:t> </w:t>
      </w:r>
      <w:r>
        <w:rPr>
          <w:w w:val="105"/>
          <w:sz w:val="13"/>
        </w:rPr>
        <w:t>is</w:t>
      </w:r>
      <w:r>
        <w:rPr>
          <w:spacing w:val="4"/>
          <w:w w:val="105"/>
          <w:sz w:val="13"/>
        </w:rPr>
        <w:t> </w:t>
      </w:r>
      <w:r>
        <w:rPr>
          <w:w w:val="105"/>
          <w:sz w:val="13"/>
        </w:rPr>
        <w:t>not</w:t>
      </w:r>
      <w:r>
        <w:rPr>
          <w:spacing w:val="5"/>
          <w:w w:val="105"/>
          <w:sz w:val="13"/>
        </w:rPr>
        <w:t> </w:t>
      </w:r>
      <w:r>
        <w:rPr>
          <w:w w:val="105"/>
          <w:sz w:val="13"/>
        </w:rPr>
        <w:t>able</w:t>
      </w:r>
      <w:r>
        <w:rPr>
          <w:spacing w:val="4"/>
          <w:w w:val="105"/>
          <w:sz w:val="13"/>
        </w:rPr>
        <w:t> </w:t>
      </w:r>
      <w:r>
        <w:rPr>
          <w:w w:val="105"/>
          <w:sz w:val="13"/>
        </w:rPr>
        <w:t>to</w:t>
      </w:r>
      <w:r>
        <w:rPr>
          <w:spacing w:val="4"/>
          <w:w w:val="105"/>
          <w:sz w:val="13"/>
        </w:rPr>
        <w:t> </w:t>
      </w:r>
      <w:r>
        <w:rPr>
          <w:w w:val="105"/>
          <w:sz w:val="13"/>
        </w:rPr>
        <w:t>consider</w:t>
      </w:r>
      <w:r>
        <w:rPr>
          <w:spacing w:val="5"/>
          <w:w w:val="105"/>
          <w:sz w:val="13"/>
        </w:rPr>
        <w:t> </w:t>
      </w:r>
      <w:r>
        <w:rPr>
          <w:w w:val="105"/>
          <w:sz w:val="13"/>
        </w:rPr>
        <w:t>this</w:t>
      </w:r>
      <w:r>
        <w:rPr>
          <w:spacing w:val="4"/>
          <w:w w:val="105"/>
          <w:sz w:val="13"/>
        </w:rPr>
        <w:t> </w:t>
      </w:r>
      <w:r>
        <w:rPr>
          <w:w w:val="105"/>
          <w:sz w:val="13"/>
        </w:rPr>
        <w:t>element</w:t>
      </w:r>
      <w:r>
        <w:rPr>
          <w:spacing w:val="4"/>
          <w:w w:val="105"/>
          <w:sz w:val="13"/>
        </w:rPr>
        <w:t> </w:t>
      </w:r>
      <w:r>
        <w:rPr>
          <w:w w:val="105"/>
          <w:sz w:val="13"/>
        </w:rPr>
        <w:t>of</w:t>
      </w:r>
      <w:r>
        <w:rPr>
          <w:spacing w:val="5"/>
          <w:w w:val="105"/>
          <w:sz w:val="13"/>
        </w:rPr>
        <w:t> </w:t>
      </w:r>
      <w:r>
        <w:rPr>
          <w:w w:val="105"/>
          <w:sz w:val="13"/>
        </w:rPr>
        <w:t>the</w:t>
      </w:r>
      <w:r>
        <w:rPr>
          <w:spacing w:val="4"/>
          <w:w w:val="105"/>
          <w:sz w:val="13"/>
        </w:rPr>
        <w:t> </w:t>
      </w:r>
      <w:r>
        <w:rPr>
          <w:w w:val="105"/>
          <w:sz w:val="13"/>
        </w:rPr>
        <w:t>applicant’s</w:t>
      </w:r>
      <w:r>
        <w:rPr>
          <w:spacing w:val="5"/>
          <w:w w:val="105"/>
          <w:sz w:val="13"/>
        </w:rPr>
        <w:t> </w:t>
      </w:r>
      <w:r>
        <w:rPr>
          <w:w w:val="105"/>
          <w:sz w:val="13"/>
        </w:rPr>
        <w:t>claim’</w:t>
      </w:r>
      <w:r>
        <w:rPr>
          <w:spacing w:val="4"/>
          <w:w w:val="105"/>
          <w:sz w:val="13"/>
        </w:rPr>
        <w:t> </w:t>
      </w:r>
      <w:r>
        <w:rPr>
          <w:w w:val="105"/>
          <w:sz w:val="13"/>
        </w:rPr>
        <w:t>at</w:t>
      </w:r>
      <w:r>
        <w:rPr>
          <w:spacing w:val="4"/>
          <w:w w:val="105"/>
          <w:sz w:val="13"/>
        </w:rPr>
        <w:t> </w:t>
      </w:r>
      <w:r>
        <w:rPr>
          <w:spacing w:val="3"/>
          <w:w w:val="105"/>
          <w:sz w:val="13"/>
        </w:rPr>
        <w:t>[3].</w:t>
      </w:r>
    </w:p>
    <w:p>
      <w:pPr>
        <w:pStyle w:val="ListParagraph"/>
        <w:numPr>
          <w:ilvl w:val="0"/>
          <w:numId w:val="74"/>
        </w:numPr>
        <w:tabs>
          <w:tab w:pos="2381" w:val="left" w:leader="none"/>
          <w:tab w:pos="2382" w:val="left" w:leader="none"/>
        </w:tabs>
        <w:spacing w:line="240" w:lineRule="auto" w:before="4" w:after="0"/>
        <w:ind w:left="2381" w:right="0" w:hanging="794"/>
        <w:jc w:val="left"/>
        <w:rPr>
          <w:sz w:val="13"/>
        </w:rPr>
      </w:pPr>
      <w:r>
        <w:rPr>
          <w:i/>
          <w:w w:val="105"/>
          <w:sz w:val="13"/>
        </w:rPr>
        <w:t>Neighbourhood</w:t>
      </w:r>
      <w:r>
        <w:rPr>
          <w:i/>
          <w:spacing w:val="4"/>
          <w:w w:val="105"/>
          <w:sz w:val="13"/>
        </w:rPr>
        <w:t> </w:t>
      </w:r>
      <w:r>
        <w:rPr>
          <w:i/>
          <w:w w:val="105"/>
          <w:sz w:val="13"/>
        </w:rPr>
        <w:t>Disputes</w:t>
      </w:r>
      <w:r>
        <w:rPr>
          <w:i/>
          <w:spacing w:val="5"/>
          <w:w w:val="105"/>
          <w:sz w:val="13"/>
        </w:rPr>
        <w:t> </w:t>
      </w:r>
      <w:r>
        <w:rPr>
          <w:i/>
          <w:w w:val="105"/>
          <w:sz w:val="13"/>
        </w:rPr>
        <w:t>(Dividing</w:t>
      </w:r>
      <w:r>
        <w:rPr>
          <w:i/>
          <w:spacing w:val="5"/>
          <w:w w:val="105"/>
          <w:sz w:val="13"/>
        </w:rPr>
        <w:t> </w:t>
      </w:r>
      <w:r>
        <w:rPr>
          <w:i/>
          <w:w w:val="105"/>
          <w:sz w:val="13"/>
        </w:rPr>
        <w:t>Fences</w:t>
      </w:r>
      <w:r>
        <w:rPr>
          <w:i/>
          <w:spacing w:val="5"/>
          <w:w w:val="105"/>
          <w:sz w:val="13"/>
        </w:rPr>
        <w:t> </w:t>
      </w:r>
      <w:r>
        <w:rPr>
          <w:i/>
          <w:w w:val="105"/>
          <w:sz w:val="13"/>
        </w:rPr>
        <w:t>and</w:t>
      </w:r>
      <w:r>
        <w:rPr>
          <w:i/>
          <w:spacing w:val="5"/>
          <w:w w:val="105"/>
          <w:sz w:val="13"/>
        </w:rPr>
        <w:t> </w:t>
      </w:r>
      <w:r>
        <w:rPr>
          <w:i/>
          <w:w w:val="105"/>
          <w:sz w:val="13"/>
        </w:rPr>
        <w:t>Trees)</w:t>
      </w:r>
      <w:r>
        <w:rPr>
          <w:i/>
          <w:spacing w:val="5"/>
          <w:w w:val="105"/>
          <w:sz w:val="13"/>
        </w:rPr>
        <w:t> </w:t>
      </w:r>
      <w:r>
        <w:rPr>
          <w:i/>
          <w:w w:val="105"/>
          <w:sz w:val="13"/>
        </w:rPr>
        <w:t>Act</w:t>
      </w:r>
      <w:r>
        <w:rPr>
          <w:i/>
          <w:spacing w:val="5"/>
          <w:w w:val="105"/>
          <w:sz w:val="13"/>
        </w:rPr>
        <w:t> </w:t>
      </w:r>
      <w:r>
        <w:rPr>
          <w:spacing w:val="2"/>
          <w:w w:val="105"/>
          <w:sz w:val="13"/>
        </w:rPr>
        <w:t>(Qld)</w:t>
      </w:r>
      <w:r>
        <w:rPr>
          <w:spacing w:val="4"/>
          <w:w w:val="105"/>
          <w:sz w:val="13"/>
        </w:rPr>
        <w:t> </w:t>
      </w:r>
      <w:r>
        <w:rPr>
          <w:w w:val="105"/>
          <w:sz w:val="13"/>
        </w:rPr>
        <w:t>s</w:t>
      </w:r>
      <w:r>
        <w:rPr>
          <w:spacing w:val="5"/>
          <w:w w:val="105"/>
          <w:sz w:val="13"/>
        </w:rPr>
        <w:t> </w:t>
      </w:r>
      <w:r>
        <w:rPr>
          <w:w w:val="105"/>
          <w:sz w:val="13"/>
        </w:rPr>
        <w:t>66.</w:t>
      </w:r>
    </w:p>
    <w:p>
      <w:pPr>
        <w:pStyle w:val="ListParagraph"/>
        <w:numPr>
          <w:ilvl w:val="0"/>
          <w:numId w:val="74"/>
        </w:numPr>
        <w:tabs>
          <w:tab w:pos="2381" w:val="left" w:leader="none"/>
          <w:tab w:pos="2382" w:val="left" w:leader="none"/>
        </w:tabs>
        <w:spacing w:line="240" w:lineRule="auto" w:before="1" w:after="0"/>
        <w:ind w:left="2381" w:right="1898" w:hanging="794"/>
        <w:jc w:val="left"/>
        <w:rPr>
          <w:sz w:val="13"/>
        </w:rPr>
      </w:pPr>
      <w:r>
        <w:rPr>
          <w:w w:val="105"/>
          <w:sz w:val="13"/>
        </w:rPr>
        <w:t>Consultation </w:t>
      </w:r>
      <w:r>
        <w:rPr>
          <w:spacing w:val="-3"/>
          <w:w w:val="105"/>
          <w:sz w:val="13"/>
        </w:rPr>
        <w:t>15  </w:t>
      </w:r>
      <w:r>
        <w:rPr>
          <w:w w:val="105"/>
          <w:sz w:val="13"/>
        </w:rPr>
        <w:t>(Queensland Civil and Administrative Tribunal); Explanatory Notes, Neighbourhood Disputes Resolution Bill 2010 </w:t>
      </w:r>
      <w:r>
        <w:rPr>
          <w:spacing w:val="2"/>
          <w:w w:val="105"/>
          <w:sz w:val="13"/>
        </w:rPr>
        <w:t>(Qld)  </w:t>
      </w:r>
      <w:r>
        <w:rPr>
          <w:w w:val="105"/>
          <w:sz w:val="13"/>
        </w:rPr>
        <w:t>cl</w:t>
      </w:r>
      <w:r>
        <w:rPr>
          <w:spacing w:val="4"/>
          <w:w w:val="105"/>
          <w:sz w:val="13"/>
        </w:rPr>
        <w:t> </w:t>
      </w:r>
      <w:r>
        <w:rPr>
          <w:spacing w:val="-5"/>
          <w:w w:val="105"/>
          <w:sz w:val="13"/>
        </w:rPr>
        <w:t>61.</w:t>
      </w:r>
    </w:p>
    <w:p>
      <w:pPr>
        <w:pStyle w:val="ListParagraph"/>
        <w:numPr>
          <w:ilvl w:val="0"/>
          <w:numId w:val="74"/>
        </w:numPr>
        <w:tabs>
          <w:tab w:pos="2381" w:val="left" w:leader="none"/>
          <w:tab w:pos="2382" w:val="left" w:leader="none"/>
        </w:tabs>
        <w:spacing w:line="240" w:lineRule="auto" w:before="3" w:after="0"/>
        <w:ind w:left="2381" w:right="0" w:hanging="794"/>
        <w:jc w:val="left"/>
        <w:rPr>
          <w:i/>
          <w:sz w:val="13"/>
        </w:rPr>
      </w:pPr>
      <w:r>
        <w:rPr>
          <w:sz w:val="13"/>
        </w:rPr>
        <w:t>Consultation</w:t>
      </w:r>
      <w:r>
        <w:rPr>
          <w:spacing w:val="11"/>
          <w:sz w:val="13"/>
        </w:rPr>
        <w:t> </w:t>
      </w:r>
      <w:r>
        <w:rPr>
          <w:spacing w:val="-3"/>
          <w:sz w:val="13"/>
        </w:rPr>
        <w:t>15</w:t>
      </w:r>
      <w:r>
        <w:rPr>
          <w:spacing w:val="12"/>
          <w:sz w:val="13"/>
        </w:rPr>
        <w:t> </w:t>
      </w:r>
      <w:r>
        <w:rPr>
          <w:sz w:val="13"/>
        </w:rPr>
        <w:t>(Queensland</w:t>
      </w:r>
      <w:r>
        <w:rPr>
          <w:spacing w:val="12"/>
          <w:sz w:val="13"/>
        </w:rPr>
        <w:t> </w:t>
      </w:r>
      <w:r>
        <w:rPr>
          <w:sz w:val="13"/>
        </w:rPr>
        <w:t>Civil</w:t>
      </w:r>
      <w:r>
        <w:rPr>
          <w:spacing w:val="12"/>
          <w:sz w:val="13"/>
        </w:rPr>
        <w:t> </w:t>
      </w:r>
      <w:r>
        <w:rPr>
          <w:sz w:val="13"/>
        </w:rPr>
        <w:t>and</w:t>
      </w:r>
      <w:r>
        <w:rPr>
          <w:spacing w:val="12"/>
          <w:sz w:val="13"/>
        </w:rPr>
        <w:t> </w:t>
      </w:r>
      <w:r>
        <w:rPr>
          <w:sz w:val="13"/>
        </w:rPr>
        <w:t>Administrative</w:t>
      </w:r>
      <w:r>
        <w:rPr>
          <w:spacing w:val="12"/>
          <w:sz w:val="13"/>
        </w:rPr>
        <w:t> </w:t>
      </w:r>
      <w:r>
        <w:rPr>
          <w:sz w:val="13"/>
        </w:rPr>
        <w:t>Tribunal);</w:t>
      </w:r>
      <w:r>
        <w:rPr>
          <w:spacing w:val="12"/>
          <w:sz w:val="13"/>
        </w:rPr>
        <w:t> </w:t>
      </w:r>
      <w:r>
        <w:rPr>
          <w:sz w:val="13"/>
        </w:rPr>
        <w:t>see</w:t>
      </w:r>
      <w:r>
        <w:rPr>
          <w:spacing w:val="12"/>
          <w:sz w:val="13"/>
        </w:rPr>
        <w:t> </w:t>
      </w:r>
      <w:r>
        <w:rPr>
          <w:sz w:val="13"/>
        </w:rPr>
        <w:t>also</w:t>
      </w:r>
      <w:r>
        <w:rPr>
          <w:spacing w:val="12"/>
          <w:sz w:val="13"/>
        </w:rPr>
        <w:t> </w:t>
      </w:r>
      <w:r>
        <w:rPr>
          <w:i/>
          <w:sz w:val="13"/>
        </w:rPr>
        <w:t>Cacopardo</w:t>
      </w:r>
      <w:r>
        <w:rPr>
          <w:i/>
          <w:spacing w:val="12"/>
          <w:sz w:val="13"/>
        </w:rPr>
        <w:t> </w:t>
      </w:r>
      <w:r>
        <w:rPr>
          <w:i/>
          <w:sz w:val="13"/>
        </w:rPr>
        <w:t>v</w:t>
      </w:r>
      <w:r>
        <w:rPr>
          <w:i/>
          <w:spacing w:val="12"/>
          <w:sz w:val="13"/>
        </w:rPr>
        <w:t> </w:t>
      </w:r>
      <w:r>
        <w:rPr>
          <w:i/>
          <w:sz w:val="13"/>
        </w:rPr>
        <w:t>Woolcock</w:t>
      </w:r>
      <w:r>
        <w:rPr>
          <w:i/>
          <w:spacing w:val="12"/>
          <w:sz w:val="13"/>
        </w:rPr>
        <w:t> </w:t>
      </w:r>
      <w:r>
        <w:rPr>
          <w:sz w:val="13"/>
        </w:rPr>
        <w:t>[2017]</w:t>
      </w:r>
      <w:r>
        <w:rPr>
          <w:spacing w:val="12"/>
          <w:sz w:val="13"/>
        </w:rPr>
        <w:t> </w:t>
      </w:r>
      <w:r>
        <w:rPr>
          <w:sz w:val="13"/>
        </w:rPr>
        <w:t>QCAT</w:t>
      </w:r>
      <w:r>
        <w:rPr>
          <w:spacing w:val="11"/>
          <w:sz w:val="13"/>
        </w:rPr>
        <w:t> </w:t>
      </w:r>
      <w:r>
        <w:rPr>
          <w:spacing w:val="-3"/>
          <w:sz w:val="13"/>
        </w:rPr>
        <w:t>214</w:t>
      </w:r>
      <w:r>
        <w:rPr>
          <w:spacing w:val="12"/>
          <w:sz w:val="13"/>
        </w:rPr>
        <w:t> </w:t>
      </w:r>
      <w:r>
        <w:rPr>
          <w:spacing w:val="2"/>
          <w:sz w:val="13"/>
        </w:rPr>
        <w:t>(roots);</w:t>
      </w:r>
      <w:r>
        <w:rPr>
          <w:spacing w:val="12"/>
          <w:sz w:val="13"/>
        </w:rPr>
        <w:t> </w:t>
      </w:r>
      <w:r>
        <w:rPr>
          <w:i/>
          <w:sz w:val="13"/>
        </w:rPr>
        <w:t>Belcher</w:t>
      </w:r>
      <w:r>
        <w:rPr>
          <w:i/>
          <w:spacing w:val="12"/>
          <w:sz w:val="13"/>
        </w:rPr>
        <w:t> </w:t>
      </w:r>
      <w:r>
        <w:rPr>
          <w:i/>
          <w:sz w:val="13"/>
        </w:rPr>
        <w:t>v</w:t>
      </w:r>
      <w:r>
        <w:rPr>
          <w:i/>
          <w:spacing w:val="12"/>
          <w:sz w:val="13"/>
        </w:rPr>
        <w:t> </w:t>
      </w:r>
      <w:r>
        <w:rPr>
          <w:i/>
          <w:sz w:val="13"/>
        </w:rPr>
        <w:t>Sullivan</w:t>
      </w:r>
    </w:p>
    <w:p>
      <w:pPr>
        <w:spacing w:before="1"/>
        <w:ind w:left="2381" w:right="0" w:firstLine="0"/>
        <w:jc w:val="left"/>
        <w:rPr>
          <w:sz w:val="13"/>
        </w:rPr>
      </w:pPr>
      <w:r>
        <w:rPr>
          <w:w w:val="105"/>
          <w:sz w:val="13"/>
        </w:rPr>
        <w:t>[2013] QCATA 304 (roots); </w:t>
      </w:r>
      <w:r>
        <w:rPr>
          <w:i/>
          <w:w w:val="105"/>
          <w:sz w:val="13"/>
        </w:rPr>
        <w:t>Hewitt v Brisbane CC </w:t>
      </w:r>
      <w:r>
        <w:rPr>
          <w:w w:val="105"/>
          <w:sz w:val="13"/>
        </w:rPr>
        <w:t>[2018] QCAT 282 (litter).</w:t>
      </w:r>
    </w:p>
    <w:p>
      <w:pPr>
        <w:pStyle w:val="ListParagraph"/>
        <w:numPr>
          <w:ilvl w:val="0"/>
          <w:numId w:val="74"/>
        </w:numPr>
        <w:tabs>
          <w:tab w:pos="2381" w:val="left" w:leader="none"/>
          <w:tab w:pos="2382" w:val="left" w:leader="none"/>
        </w:tabs>
        <w:spacing w:line="240" w:lineRule="auto" w:before="1" w:after="0"/>
        <w:ind w:left="2381" w:right="1756" w:hanging="794"/>
        <w:jc w:val="left"/>
        <w:rPr>
          <w:sz w:val="13"/>
        </w:rPr>
      </w:pPr>
      <w:r>
        <w:rPr/>
        <w:pict>
          <v:shape style="position:absolute;margin-left:36pt;margin-top:2.991866pt;width:13.6pt;height:14.25pt;mso-position-horizontal-relative:page;mso-position-vertical-relative:paragraph;z-index:7144" type="#_x0000_t202" filled="false" stroked="false">
            <v:textbox inset="0,0,0,0">
              <w:txbxContent>
                <w:p>
                  <w:pPr>
                    <w:spacing w:line="284" w:lineRule="exact" w:before="0"/>
                    <w:ind w:left="0" w:right="0" w:firstLine="0"/>
                    <w:jc w:val="left"/>
                    <w:rPr>
                      <w:b/>
                      <w:sz w:val="24"/>
                    </w:rPr>
                  </w:pPr>
                  <w:r>
                    <w:rPr>
                      <w:b/>
                      <w:color w:val="658464"/>
                      <w:w w:val="110"/>
                      <w:sz w:val="24"/>
                    </w:rPr>
                    <w:t>96</w:t>
                  </w:r>
                </w:p>
              </w:txbxContent>
            </v:textbox>
            <w10:wrap type="none"/>
          </v:shape>
        </w:pict>
      </w: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2015) 156; see also </w:t>
      </w:r>
      <w:r>
        <w:rPr>
          <w:i/>
          <w:w w:val="105"/>
          <w:sz w:val="13"/>
        </w:rPr>
        <w:t>Thomsen v White </w:t>
      </w:r>
      <w:r>
        <w:rPr>
          <w:w w:val="105"/>
          <w:sz w:val="13"/>
        </w:rPr>
        <w:t>[2012] QCAT</w:t>
      </w:r>
      <w:r>
        <w:rPr>
          <w:spacing w:val="7"/>
          <w:w w:val="105"/>
          <w:sz w:val="13"/>
        </w:rPr>
        <w:t> </w:t>
      </w:r>
      <w:r>
        <w:rPr>
          <w:w w:val="105"/>
          <w:sz w:val="13"/>
        </w:rPr>
        <w:t>381.</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0"/>
          <w:numId w:val="64"/>
        </w:numPr>
        <w:tabs>
          <w:tab w:pos="2381" w:val="left" w:leader="none"/>
          <w:tab w:pos="2382" w:val="left" w:leader="none"/>
        </w:tabs>
        <w:spacing w:line="242" w:lineRule="auto" w:before="91" w:after="0"/>
        <w:ind w:left="2381" w:right="1687" w:hanging="794"/>
        <w:jc w:val="left"/>
        <w:rPr>
          <w:sz w:val="12"/>
        </w:rPr>
      </w:pPr>
      <w:bookmarkStart w:name="_bookmark55" w:id="128"/>
      <w:bookmarkEnd w:id="128"/>
      <w:r>
        <w:rPr/>
      </w:r>
      <w:bookmarkStart w:name="_bookmark55" w:id="129"/>
      <w:bookmarkEnd w:id="129"/>
      <w:r>
        <w:rPr>
          <w:w w:val="105"/>
          <w:sz w:val="21"/>
        </w:rPr>
        <w:t>T</w:t>
      </w:r>
      <w:r>
        <w:rPr>
          <w:w w:val="105"/>
          <w:sz w:val="21"/>
        </w:rPr>
        <w:t>he </w:t>
      </w:r>
      <w:r>
        <w:rPr>
          <w:spacing w:val="-3"/>
          <w:w w:val="105"/>
          <w:sz w:val="21"/>
        </w:rPr>
        <w:t>Queensland </w:t>
      </w:r>
      <w:r>
        <w:rPr>
          <w:w w:val="105"/>
          <w:sz w:val="21"/>
        </w:rPr>
        <w:t>Law </w:t>
      </w:r>
      <w:r>
        <w:rPr>
          <w:spacing w:val="-3"/>
          <w:w w:val="105"/>
          <w:sz w:val="21"/>
        </w:rPr>
        <w:t>Reform Commission considered </w:t>
      </w:r>
      <w:r>
        <w:rPr>
          <w:w w:val="105"/>
          <w:sz w:val="21"/>
        </w:rPr>
        <w:t>whether </w:t>
      </w:r>
      <w:r>
        <w:rPr>
          <w:spacing w:val="-5"/>
          <w:w w:val="105"/>
          <w:sz w:val="21"/>
        </w:rPr>
        <w:t>QCAT’s </w:t>
      </w:r>
      <w:r>
        <w:rPr>
          <w:w w:val="105"/>
          <w:sz w:val="21"/>
        </w:rPr>
        <w:t>jurisdiction should be broadened ‘to </w:t>
      </w:r>
      <w:r>
        <w:rPr>
          <w:spacing w:val="-3"/>
          <w:w w:val="105"/>
          <w:sz w:val="21"/>
        </w:rPr>
        <w:t>include </w:t>
      </w:r>
      <w:r>
        <w:rPr>
          <w:w w:val="105"/>
          <w:sz w:val="21"/>
        </w:rPr>
        <w:t>a power </w:t>
      </w:r>
      <w:r>
        <w:rPr>
          <w:spacing w:val="-3"/>
          <w:w w:val="105"/>
          <w:sz w:val="21"/>
        </w:rPr>
        <w:t>to </w:t>
      </w:r>
      <w:r>
        <w:rPr>
          <w:spacing w:val="-4"/>
          <w:w w:val="105"/>
          <w:sz w:val="21"/>
        </w:rPr>
        <w:t>make </w:t>
      </w:r>
      <w:r>
        <w:rPr>
          <w:w w:val="105"/>
          <w:sz w:val="21"/>
        </w:rPr>
        <w:t>an order </w:t>
      </w:r>
      <w:r>
        <w:rPr>
          <w:spacing w:val="-3"/>
          <w:w w:val="105"/>
          <w:sz w:val="21"/>
        </w:rPr>
        <w:t>to </w:t>
      </w:r>
      <w:r>
        <w:rPr>
          <w:w w:val="105"/>
          <w:sz w:val="21"/>
        </w:rPr>
        <w:t>cut or </w:t>
      </w:r>
      <w:r>
        <w:rPr>
          <w:spacing w:val="-3"/>
          <w:w w:val="105"/>
          <w:sz w:val="21"/>
        </w:rPr>
        <w:t>remove any overhanging branch </w:t>
      </w:r>
      <w:r>
        <w:rPr>
          <w:spacing w:val="-7"/>
          <w:w w:val="105"/>
          <w:sz w:val="21"/>
        </w:rPr>
        <w:t>…’.</w:t>
      </w:r>
      <w:r>
        <w:rPr>
          <w:spacing w:val="-7"/>
          <w:w w:val="105"/>
          <w:position w:val="7"/>
          <w:sz w:val="12"/>
        </w:rPr>
        <w:t>307 </w:t>
      </w:r>
      <w:r>
        <w:rPr>
          <w:w w:val="105"/>
          <w:sz w:val="21"/>
        </w:rPr>
        <w:t>However the QLRC </w:t>
      </w:r>
      <w:r>
        <w:rPr>
          <w:spacing w:val="-3"/>
          <w:w w:val="105"/>
          <w:sz w:val="21"/>
        </w:rPr>
        <w:t>concluded that </w:t>
      </w:r>
      <w:r>
        <w:rPr>
          <w:w w:val="105"/>
          <w:sz w:val="21"/>
        </w:rPr>
        <w:t>it was </w:t>
      </w:r>
      <w:r>
        <w:rPr>
          <w:spacing w:val="-4"/>
          <w:w w:val="105"/>
          <w:sz w:val="21"/>
        </w:rPr>
        <w:t>‘concerned </w:t>
      </w:r>
      <w:r>
        <w:rPr>
          <w:spacing w:val="-3"/>
          <w:w w:val="105"/>
          <w:sz w:val="21"/>
        </w:rPr>
        <w:t>that such </w:t>
      </w:r>
      <w:r>
        <w:rPr>
          <w:w w:val="105"/>
          <w:sz w:val="21"/>
        </w:rPr>
        <w:t>a </w:t>
      </w:r>
      <w:r>
        <w:rPr>
          <w:spacing w:val="-3"/>
          <w:w w:val="105"/>
          <w:sz w:val="21"/>
        </w:rPr>
        <w:t>reform might </w:t>
      </w:r>
      <w:r>
        <w:rPr>
          <w:spacing w:val="-2"/>
          <w:w w:val="105"/>
          <w:sz w:val="21"/>
        </w:rPr>
        <w:t>significantly </w:t>
      </w:r>
      <w:r>
        <w:rPr>
          <w:spacing w:val="-3"/>
          <w:w w:val="105"/>
          <w:sz w:val="21"/>
        </w:rPr>
        <w:t>increase </w:t>
      </w:r>
      <w:r>
        <w:rPr>
          <w:spacing w:val="-5"/>
          <w:w w:val="105"/>
          <w:sz w:val="21"/>
        </w:rPr>
        <w:t>QCAT’s </w:t>
      </w:r>
      <w:r>
        <w:rPr>
          <w:w w:val="105"/>
          <w:sz w:val="21"/>
        </w:rPr>
        <w:t>workload by the addition of less serious</w:t>
      </w:r>
      <w:r>
        <w:rPr>
          <w:spacing w:val="18"/>
          <w:w w:val="105"/>
          <w:sz w:val="21"/>
        </w:rPr>
        <w:t> </w:t>
      </w:r>
      <w:r>
        <w:rPr>
          <w:spacing w:val="-3"/>
          <w:w w:val="105"/>
          <w:sz w:val="21"/>
        </w:rPr>
        <w:t>cases’.</w:t>
      </w:r>
      <w:r>
        <w:rPr>
          <w:spacing w:val="-3"/>
          <w:w w:val="105"/>
          <w:position w:val="7"/>
          <w:sz w:val="12"/>
        </w:rPr>
        <w:t>308</w:t>
      </w:r>
    </w:p>
    <w:p>
      <w:pPr>
        <w:pStyle w:val="BodyText"/>
        <w:spacing w:line="242" w:lineRule="auto" w:before="5"/>
        <w:ind w:left="2381" w:right="1558"/>
        <w:rPr>
          <w:sz w:val="12"/>
        </w:rPr>
      </w:pPr>
      <w:r>
        <w:rPr>
          <w:w w:val="105"/>
        </w:rPr>
        <w:t>The QLRC further </w:t>
      </w:r>
      <w:r>
        <w:rPr>
          <w:spacing w:val="-3"/>
          <w:w w:val="105"/>
        </w:rPr>
        <w:t>notes that </w:t>
      </w:r>
      <w:r>
        <w:rPr>
          <w:w w:val="105"/>
        </w:rPr>
        <w:t>‘In </w:t>
      </w:r>
      <w:r>
        <w:rPr>
          <w:spacing w:val="-3"/>
          <w:w w:val="105"/>
        </w:rPr>
        <w:t>many </w:t>
      </w:r>
      <w:r>
        <w:rPr>
          <w:w w:val="105"/>
        </w:rPr>
        <w:t>cases, </w:t>
      </w:r>
      <w:r>
        <w:rPr>
          <w:spacing w:val="-3"/>
          <w:w w:val="105"/>
        </w:rPr>
        <w:t>overhanging branch </w:t>
      </w:r>
      <w:r>
        <w:rPr>
          <w:w w:val="105"/>
        </w:rPr>
        <w:t>issues </w:t>
      </w:r>
      <w:r>
        <w:rPr>
          <w:spacing w:val="-3"/>
          <w:w w:val="105"/>
        </w:rPr>
        <w:t>are </w:t>
      </w:r>
      <w:r>
        <w:rPr>
          <w:w w:val="105"/>
        </w:rPr>
        <w:t>addressed by neighbours by </w:t>
      </w:r>
      <w:r>
        <w:rPr>
          <w:spacing w:val="-3"/>
          <w:w w:val="105"/>
        </w:rPr>
        <w:t>informal </w:t>
      </w:r>
      <w:r>
        <w:rPr>
          <w:spacing w:val="-2"/>
          <w:w w:val="105"/>
        </w:rPr>
        <w:t>agreement </w:t>
      </w:r>
      <w:r>
        <w:rPr>
          <w:w w:val="105"/>
        </w:rPr>
        <w:t>or by a </w:t>
      </w:r>
      <w:r>
        <w:rPr>
          <w:spacing w:val="-3"/>
          <w:w w:val="105"/>
        </w:rPr>
        <w:t>neighbour exercising </w:t>
      </w:r>
      <w:r>
        <w:rPr>
          <w:w w:val="105"/>
        </w:rPr>
        <w:t>the </w:t>
      </w:r>
      <w:r>
        <w:rPr>
          <w:spacing w:val="-3"/>
          <w:w w:val="105"/>
        </w:rPr>
        <w:t>right </w:t>
      </w:r>
      <w:r>
        <w:rPr>
          <w:w w:val="105"/>
        </w:rPr>
        <w:t>of </w:t>
      </w:r>
      <w:r>
        <w:rPr>
          <w:spacing w:val="-3"/>
          <w:w w:val="105"/>
        </w:rPr>
        <w:t>abatement’.</w:t>
      </w:r>
      <w:r>
        <w:rPr>
          <w:spacing w:val="-3"/>
          <w:w w:val="105"/>
          <w:position w:val="7"/>
          <w:sz w:val="12"/>
        </w:rPr>
        <w:t>309</w:t>
      </w:r>
    </w:p>
    <w:p>
      <w:pPr>
        <w:pStyle w:val="ListParagraph"/>
        <w:numPr>
          <w:ilvl w:val="0"/>
          <w:numId w:val="64"/>
        </w:numPr>
        <w:tabs>
          <w:tab w:pos="2381" w:val="left" w:leader="none"/>
        </w:tabs>
        <w:spacing w:line="242" w:lineRule="auto" w:before="122" w:after="0"/>
        <w:ind w:left="2381" w:right="1902" w:hanging="794"/>
        <w:jc w:val="both"/>
        <w:rPr>
          <w:sz w:val="21"/>
        </w:rPr>
      </w:pPr>
      <w:r>
        <w:rPr>
          <w:spacing w:val="-3"/>
          <w:w w:val="105"/>
          <w:sz w:val="21"/>
        </w:rPr>
        <w:t>Future </w:t>
      </w:r>
      <w:r>
        <w:rPr>
          <w:w w:val="105"/>
          <w:sz w:val="21"/>
        </w:rPr>
        <w:t>damage is actionable if </w:t>
      </w:r>
      <w:r>
        <w:rPr>
          <w:spacing w:val="-4"/>
          <w:w w:val="105"/>
          <w:sz w:val="21"/>
        </w:rPr>
        <w:t>QCAT </w:t>
      </w:r>
      <w:r>
        <w:rPr>
          <w:w w:val="105"/>
          <w:sz w:val="21"/>
        </w:rPr>
        <w:t>is satisfied the damage is </w:t>
      </w:r>
      <w:r>
        <w:rPr>
          <w:spacing w:val="-4"/>
          <w:w w:val="105"/>
          <w:sz w:val="21"/>
        </w:rPr>
        <w:t>likely </w:t>
      </w:r>
      <w:r>
        <w:rPr>
          <w:spacing w:val="-3"/>
          <w:w w:val="105"/>
          <w:sz w:val="21"/>
        </w:rPr>
        <w:t>to occur within </w:t>
      </w:r>
      <w:r>
        <w:rPr>
          <w:spacing w:val="-9"/>
          <w:w w:val="105"/>
          <w:sz w:val="21"/>
        </w:rPr>
        <w:t>12 </w:t>
      </w:r>
      <w:r>
        <w:rPr>
          <w:spacing w:val="-3"/>
          <w:w w:val="105"/>
          <w:sz w:val="21"/>
        </w:rPr>
        <w:t>months.</w:t>
      </w:r>
      <w:r>
        <w:rPr>
          <w:spacing w:val="-6"/>
          <w:w w:val="105"/>
          <w:sz w:val="21"/>
        </w:rPr>
        <w:t> </w:t>
      </w:r>
      <w:r>
        <w:rPr>
          <w:w w:val="105"/>
          <w:sz w:val="21"/>
        </w:rPr>
        <w:t>Under</w:t>
      </w:r>
      <w:r>
        <w:rPr>
          <w:spacing w:val="-6"/>
          <w:w w:val="105"/>
          <w:sz w:val="21"/>
        </w:rPr>
        <w:t> </w:t>
      </w:r>
      <w:r>
        <w:rPr>
          <w:w w:val="105"/>
          <w:sz w:val="21"/>
        </w:rPr>
        <w:t>the</w:t>
      </w:r>
      <w:r>
        <w:rPr>
          <w:spacing w:val="-6"/>
          <w:w w:val="105"/>
          <w:sz w:val="21"/>
        </w:rPr>
        <w:t> </w:t>
      </w:r>
      <w:r>
        <w:rPr>
          <w:spacing w:val="-3"/>
          <w:w w:val="105"/>
          <w:sz w:val="21"/>
        </w:rPr>
        <w:t>Queensland</w:t>
      </w:r>
      <w:r>
        <w:rPr>
          <w:spacing w:val="-5"/>
          <w:w w:val="105"/>
          <w:sz w:val="21"/>
        </w:rPr>
        <w:t> </w:t>
      </w:r>
      <w:r>
        <w:rPr>
          <w:w w:val="105"/>
          <w:sz w:val="21"/>
        </w:rPr>
        <w:t>Act</w:t>
      </w:r>
      <w:r>
        <w:rPr>
          <w:spacing w:val="-6"/>
          <w:w w:val="105"/>
          <w:sz w:val="21"/>
        </w:rPr>
        <w:t> </w:t>
      </w:r>
      <w:r>
        <w:rPr>
          <w:w w:val="105"/>
          <w:sz w:val="21"/>
        </w:rPr>
        <w:t>injury</w:t>
      </w:r>
      <w:r>
        <w:rPr>
          <w:spacing w:val="-6"/>
          <w:w w:val="105"/>
          <w:sz w:val="21"/>
        </w:rPr>
        <w:t> </w:t>
      </w:r>
      <w:r>
        <w:rPr>
          <w:spacing w:val="-3"/>
          <w:w w:val="105"/>
          <w:sz w:val="21"/>
        </w:rPr>
        <w:t>to</w:t>
      </w:r>
      <w:r>
        <w:rPr>
          <w:spacing w:val="-6"/>
          <w:w w:val="105"/>
          <w:sz w:val="21"/>
        </w:rPr>
        <w:t> </w:t>
      </w:r>
      <w:r>
        <w:rPr>
          <w:w w:val="105"/>
          <w:sz w:val="21"/>
        </w:rPr>
        <w:t>persons</w:t>
      </w:r>
      <w:r>
        <w:rPr>
          <w:spacing w:val="-5"/>
          <w:w w:val="105"/>
          <w:sz w:val="21"/>
        </w:rPr>
        <w:t> </w:t>
      </w:r>
      <w:r>
        <w:rPr>
          <w:w w:val="105"/>
          <w:sz w:val="21"/>
        </w:rPr>
        <w:t>must</w:t>
      </w:r>
      <w:r>
        <w:rPr>
          <w:spacing w:val="-6"/>
          <w:w w:val="105"/>
          <w:sz w:val="21"/>
        </w:rPr>
        <w:t> </w:t>
      </w:r>
      <w:r>
        <w:rPr>
          <w:w w:val="105"/>
          <w:sz w:val="21"/>
        </w:rPr>
        <w:t>be</w:t>
      </w:r>
      <w:r>
        <w:rPr>
          <w:spacing w:val="-6"/>
          <w:w w:val="105"/>
          <w:sz w:val="21"/>
        </w:rPr>
        <w:t> </w:t>
      </w:r>
      <w:r>
        <w:rPr>
          <w:w w:val="105"/>
          <w:sz w:val="21"/>
        </w:rPr>
        <w:t>serious,</w:t>
      </w:r>
      <w:r>
        <w:rPr>
          <w:spacing w:val="-5"/>
          <w:w w:val="105"/>
          <w:sz w:val="21"/>
        </w:rPr>
        <w:t> </w:t>
      </w:r>
      <w:r>
        <w:rPr>
          <w:spacing w:val="-3"/>
          <w:w w:val="105"/>
          <w:sz w:val="21"/>
        </w:rPr>
        <w:t>such</w:t>
      </w:r>
      <w:r>
        <w:rPr>
          <w:spacing w:val="-6"/>
          <w:w w:val="105"/>
          <w:sz w:val="21"/>
        </w:rPr>
        <w:t> </w:t>
      </w:r>
      <w:r>
        <w:rPr>
          <w:w w:val="105"/>
          <w:sz w:val="21"/>
        </w:rPr>
        <w:t>as</w:t>
      </w:r>
      <w:r>
        <w:rPr>
          <w:spacing w:val="-6"/>
          <w:w w:val="105"/>
          <w:sz w:val="21"/>
        </w:rPr>
        <w:t> </w:t>
      </w:r>
      <w:r>
        <w:rPr>
          <w:w w:val="105"/>
          <w:sz w:val="21"/>
        </w:rPr>
        <w:t>a</w:t>
      </w:r>
      <w:r>
        <w:rPr>
          <w:spacing w:val="-6"/>
          <w:w w:val="105"/>
          <w:sz w:val="21"/>
        </w:rPr>
        <w:t> </w:t>
      </w:r>
      <w:r>
        <w:rPr>
          <w:spacing w:val="-3"/>
          <w:w w:val="105"/>
          <w:sz w:val="21"/>
        </w:rPr>
        <w:t>severe allergic reaction.</w:t>
      </w:r>
      <w:r>
        <w:rPr>
          <w:spacing w:val="-3"/>
          <w:w w:val="105"/>
          <w:position w:val="7"/>
          <w:sz w:val="12"/>
        </w:rPr>
        <w:t>310 </w:t>
      </w:r>
      <w:r>
        <w:rPr>
          <w:w w:val="105"/>
          <w:sz w:val="21"/>
        </w:rPr>
        <w:t>Serious injury must be </w:t>
      </w:r>
      <w:r>
        <w:rPr>
          <w:spacing w:val="-4"/>
          <w:w w:val="105"/>
          <w:sz w:val="21"/>
        </w:rPr>
        <w:t>likely </w:t>
      </w:r>
      <w:r>
        <w:rPr>
          <w:spacing w:val="-3"/>
          <w:w w:val="105"/>
          <w:sz w:val="21"/>
        </w:rPr>
        <w:t>within </w:t>
      </w:r>
      <w:r>
        <w:rPr>
          <w:spacing w:val="-9"/>
          <w:w w:val="105"/>
          <w:sz w:val="21"/>
        </w:rPr>
        <w:t>12</w:t>
      </w:r>
      <w:r>
        <w:rPr>
          <w:spacing w:val="4"/>
          <w:w w:val="105"/>
          <w:sz w:val="21"/>
        </w:rPr>
        <w:t> </w:t>
      </w:r>
      <w:r>
        <w:rPr>
          <w:spacing w:val="-3"/>
          <w:w w:val="105"/>
          <w:sz w:val="21"/>
        </w:rPr>
        <w:t>months.</w:t>
      </w:r>
    </w:p>
    <w:p>
      <w:pPr>
        <w:pStyle w:val="ListParagraph"/>
        <w:numPr>
          <w:ilvl w:val="0"/>
          <w:numId w:val="64"/>
        </w:numPr>
        <w:tabs>
          <w:tab w:pos="2381" w:val="left" w:leader="none"/>
          <w:tab w:pos="2382" w:val="left" w:leader="none"/>
        </w:tabs>
        <w:spacing w:line="242" w:lineRule="auto" w:before="123" w:after="0"/>
        <w:ind w:left="2381" w:right="1727" w:hanging="794"/>
        <w:jc w:val="left"/>
        <w:rPr>
          <w:sz w:val="21"/>
        </w:rPr>
      </w:pPr>
      <w:r>
        <w:rPr>
          <w:w w:val="105"/>
          <w:sz w:val="21"/>
        </w:rPr>
        <w:t>The </w:t>
      </w:r>
      <w:r>
        <w:rPr>
          <w:spacing w:val="-4"/>
          <w:w w:val="105"/>
          <w:sz w:val="21"/>
        </w:rPr>
        <w:t>Tasmanian </w:t>
      </w:r>
      <w:r>
        <w:rPr>
          <w:w w:val="105"/>
          <w:sz w:val="21"/>
        </w:rPr>
        <w:t>Act </w:t>
      </w:r>
      <w:r>
        <w:rPr>
          <w:spacing w:val="-3"/>
          <w:w w:val="105"/>
          <w:sz w:val="21"/>
        </w:rPr>
        <w:t>generally </w:t>
      </w:r>
      <w:r>
        <w:rPr>
          <w:w w:val="105"/>
          <w:sz w:val="21"/>
        </w:rPr>
        <w:t>mirrors the </w:t>
      </w:r>
      <w:r>
        <w:rPr>
          <w:spacing w:val="-3"/>
          <w:w w:val="105"/>
          <w:sz w:val="21"/>
        </w:rPr>
        <w:t>Queensland </w:t>
      </w:r>
      <w:r>
        <w:rPr>
          <w:w w:val="105"/>
          <w:sz w:val="21"/>
        </w:rPr>
        <w:t>approach by </w:t>
      </w:r>
      <w:r>
        <w:rPr>
          <w:spacing w:val="-3"/>
          <w:w w:val="105"/>
          <w:sz w:val="21"/>
        </w:rPr>
        <w:t>providing </w:t>
      </w:r>
      <w:r>
        <w:rPr>
          <w:spacing w:val="-6"/>
          <w:w w:val="105"/>
          <w:sz w:val="21"/>
        </w:rPr>
        <w:t>RMPAT </w:t>
      </w:r>
      <w:r>
        <w:rPr>
          <w:w w:val="105"/>
          <w:sz w:val="21"/>
        </w:rPr>
        <w:t>with jurisdiction </w:t>
      </w:r>
      <w:r>
        <w:rPr>
          <w:spacing w:val="-3"/>
          <w:w w:val="105"/>
          <w:sz w:val="21"/>
        </w:rPr>
        <w:t>to </w:t>
      </w:r>
      <w:r>
        <w:rPr>
          <w:spacing w:val="-4"/>
          <w:w w:val="105"/>
          <w:sz w:val="21"/>
        </w:rPr>
        <w:t>make </w:t>
      </w:r>
      <w:r>
        <w:rPr>
          <w:w w:val="105"/>
          <w:sz w:val="21"/>
        </w:rPr>
        <w:t>orders in </w:t>
      </w:r>
      <w:r>
        <w:rPr>
          <w:spacing w:val="-3"/>
          <w:w w:val="105"/>
          <w:sz w:val="21"/>
        </w:rPr>
        <w:t>relation to land </w:t>
      </w:r>
      <w:r>
        <w:rPr>
          <w:w w:val="105"/>
          <w:sz w:val="21"/>
        </w:rPr>
        <w:t>affected by a </w:t>
      </w:r>
      <w:r>
        <w:rPr>
          <w:spacing w:val="-3"/>
          <w:w w:val="105"/>
          <w:sz w:val="21"/>
        </w:rPr>
        <w:t>plant. </w:t>
      </w:r>
      <w:r>
        <w:rPr>
          <w:w w:val="105"/>
          <w:sz w:val="21"/>
        </w:rPr>
        <w:t>This </w:t>
      </w:r>
      <w:r>
        <w:rPr>
          <w:spacing w:val="-3"/>
          <w:w w:val="105"/>
          <w:sz w:val="21"/>
        </w:rPr>
        <w:t>means that </w:t>
      </w:r>
      <w:r>
        <w:rPr>
          <w:w w:val="105"/>
          <w:sz w:val="21"/>
        </w:rPr>
        <w:t>it can </w:t>
      </w:r>
      <w:r>
        <w:rPr>
          <w:spacing w:val="-4"/>
          <w:w w:val="105"/>
          <w:sz w:val="21"/>
        </w:rPr>
        <w:t>make </w:t>
      </w:r>
      <w:r>
        <w:rPr>
          <w:w w:val="105"/>
          <w:sz w:val="21"/>
        </w:rPr>
        <w:t>orders if a </w:t>
      </w:r>
      <w:r>
        <w:rPr>
          <w:spacing w:val="-3"/>
          <w:w w:val="105"/>
          <w:sz w:val="21"/>
        </w:rPr>
        <w:t>plant </w:t>
      </w:r>
      <w:r>
        <w:rPr>
          <w:spacing w:val="-2"/>
          <w:w w:val="105"/>
          <w:sz w:val="21"/>
        </w:rPr>
        <w:t>has </w:t>
      </w:r>
      <w:r>
        <w:rPr>
          <w:w w:val="105"/>
          <w:sz w:val="21"/>
        </w:rPr>
        <w:t>caused, is </w:t>
      </w:r>
      <w:r>
        <w:rPr>
          <w:spacing w:val="-3"/>
          <w:w w:val="105"/>
          <w:sz w:val="21"/>
        </w:rPr>
        <w:t>causing, </w:t>
      </w:r>
      <w:r>
        <w:rPr>
          <w:w w:val="105"/>
          <w:sz w:val="21"/>
        </w:rPr>
        <w:t>or is </w:t>
      </w:r>
      <w:r>
        <w:rPr>
          <w:spacing w:val="-4"/>
          <w:w w:val="105"/>
          <w:sz w:val="21"/>
        </w:rPr>
        <w:t>likely </w:t>
      </w:r>
      <w:r>
        <w:rPr>
          <w:spacing w:val="-3"/>
          <w:w w:val="105"/>
          <w:sz w:val="21"/>
        </w:rPr>
        <w:t>within </w:t>
      </w:r>
      <w:r>
        <w:rPr>
          <w:w w:val="105"/>
          <w:sz w:val="21"/>
        </w:rPr>
        <w:t>the next </w:t>
      </w:r>
      <w:r>
        <w:rPr>
          <w:spacing w:val="-9"/>
          <w:w w:val="105"/>
          <w:sz w:val="21"/>
        </w:rPr>
        <w:t>12 </w:t>
      </w:r>
      <w:r>
        <w:rPr>
          <w:spacing w:val="-3"/>
          <w:w w:val="105"/>
          <w:sz w:val="21"/>
        </w:rPr>
        <w:t>months to </w:t>
      </w:r>
      <w:r>
        <w:rPr>
          <w:w w:val="105"/>
          <w:sz w:val="21"/>
        </w:rPr>
        <w:t>cause:</w:t>
      </w:r>
    </w:p>
    <w:p>
      <w:pPr>
        <w:pStyle w:val="ListParagraph"/>
        <w:numPr>
          <w:ilvl w:val="1"/>
          <w:numId w:val="64"/>
        </w:numPr>
        <w:tabs>
          <w:tab w:pos="2721" w:val="left" w:leader="none"/>
          <w:tab w:pos="2722" w:val="left" w:leader="none"/>
        </w:tabs>
        <w:spacing w:line="240" w:lineRule="auto" w:before="125" w:after="0"/>
        <w:ind w:left="2721" w:right="0" w:hanging="340"/>
        <w:jc w:val="left"/>
        <w:rPr>
          <w:sz w:val="21"/>
        </w:rPr>
      </w:pPr>
      <w:r>
        <w:rPr>
          <w:w w:val="105"/>
          <w:sz w:val="21"/>
        </w:rPr>
        <w:t>serious injury </w:t>
      </w:r>
      <w:r>
        <w:rPr>
          <w:spacing w:val="-3"/>
          <w:w w:val="105"/>
          <w:sz w:val="21"/>
        </w:rPr>
        <w:t>to </w:t>
      </w:r>
      <w:r>
        <w:rPr>
          <w:w w:val="105"/>
          <w:sz w:val="21"/>
        </w:rPr>
        <w:t>a person on the affected</w:t>
      </w:r>
      <w:r>
        <w:rPr>
          <w:spacing w:val="45"/>
          <w:w w:val="105"/>
          <w:sz w:val="21"/>
        </w:rPr>
        <w:t> </w:t>
      </w:r>
      <w:r>
        <w:rPr>
          <w:spacing w:val="-4"/>
          <w:w w:val="105"/>
          <w:sz w:val="21"/>
        </w:rPr>
        <w:t>land</w:t>
      </w:r>
      <w:r>
        <w:rPr>
          <w:spacing w:val="-4"/>
          <w:w w:val="105"/>
          <w:position w:val="7"/>
          <w:sz w:val="12"/>
        </w:rPr>
        <w:t>311 </w:t>
      </w:r>
      <w:r>
        <w:rPr>
          <w:w w:val="105"/>
          <w:sz w:val="21"/>
        </w:rPr>
        <w:t>or</w:t>
      </w:r>
    </w:p>
    <w:p>
      <w:pPr>
        <w:pStyle w:val="ListParagraph"/>
        <w:numPr>
          <w:ilvl w:val="1"/>
          <w:numId w:val="64"/>
        </w:numPr>
        <w:tabs>
          <w:tab w:pos="2721" w:val="left" w:leader="none"/>
          <w:tab w:pos="2722" w:val="left" w:leader="none"/>
        </w:tabs>
        <w:spacing w:line="240" w:lineRule="auto" w:before="88" w:after="0"/>
        <w:ind w:left="2721" w:right="0" w:hanging="340"/>
        <w:jc w:val="left"/>
        <w:rPr>
          <w:sz w:val="21"/>
        </w:rPr>
      </w:pPr>
      <w:r>
        <w:rPr>
          <w:w w:val="105"/>
          <w:sz w:val="21"/>
        </w:rPr>
        <w:t>serious damage </w:t>
      </w:r>
      <w:r>
        <w:rPr>
          <w:spacing w:val="-3"/>
          <w:w w:val="105"/>
          <w:sz w:val="21"/>
        </w:rPr>
        <w:t>to </w:t>
      </w:r>
      <w:r>
        <w:rPr>
          <w:w w:val="105"/>
          <w:sz w:val="21"/>
        </w:rPr>
        <w:t>the affected </w:t>
      </w:r>
      <w:r>
        <w:rPr>
          <w:spacing w:val="-3"/>
          <w:w w:val="105"/>
          <w:sz w:val="21"/>
        </w:rPr>
        <w:t>land </w:t>
      </w:r>
      <w:r>
        <w:rPr>
          <w:w w:val="105"/>
          <w:sz w:val="21"/>
        </w:rPr>
        <w:t>or </w:t>
      </w:r>
      <w:r>
        <w:rPr>
          <w:spacing w:val="-3"/>
          <w:w w:val="105"/>
          <w:sz w:val="21"/>
        </w:rPr>
        <w:t>any </w:t>
      </w:r>
      <w:r>
        <w:rPr>
          <w:w w:val="105"/>
          <w:sz w:val="21"/>
        </w:rPr>
        <w:t>property on the affected </w:t>
      </w:r>
      <w:r>
        <w:rPr>
          <w:spacing w:val="-3"/>
          <w:w w:val="105"/>
          <w:sz w:val="21"/>
        </w:rPr>
        <w:t>land</w:t>
      </w:r>
      <w:r>
        <w:rPr>
          <w:spacing w:val="2"/>
          <w:w w:val="105"/>
          <w:sz w:val="21"/>
        </w:rPr>
        <w:t> </w:t>
      </w:r>
      <w:r>
        <w:rPr>
          <w:w w:val="105"/>
          <w:sz w:val="21"/>
        </w:rPr>
        <w:t>or</w:t>
      </w:r>
    </w:p>
    <w:p>
      <w:pPr>
        <w:pStyle w:val="ListParagraph"/>
        <w:numPr>
          <w:ilvl w:val="1"/>
          <w:numId w:val="64"/>
        </w:numPr>
        <w:tabs>
          <w:tab w:pos="2721" w:val="left" w:leader="none"/>
          <w:tab w:pos="2722" w:val="left" w:leader="none"/>
        </w:tabs>
        <w:spacing w:line="242" w:lineRule="auto" w:before="89" w:after="0"/>
        <w:ind w:left="2721" w:right="1715" w:hanging="340"/>
        <w:jc w:val="left"/>
        <w:rPr>
          <w:sz w:val="12"/>
        </w:rPr>
      </w:pPr>
      <w:r>
        <w:rPr>
          <w:spacing w:val="-3"/>
          <w:w w:val="105"/>
          <w:sz w:val="21"/>
        </w:rPr>
        <w:t>substantial,</w:t>
      </w:r>
      <w:r>
        <w:rPr>
          <w:spacing w:val="-5"/>
          <w:w w:val="105"/>
          <w:sz w:val="21"/>
        </w:rPr>
        <w:t> </w:t>
      </w:r>
      <w:r>
        <w:rPr>
          <w:w w:val="105"/>
          <w:sz w:val="21"/>
        </w:rPr>
        <w:t>ongoing</w:t>
      </w:r>
      <w:r>
        <w:rPr>
          <w:spacing w:val="-5"/>
          <w:w w:val="105"/>
          <w:sz w:val="21"/>
        </w:rPr>
        <w:t> </w:t>
      </w:r>
      <w:r>
        <w:rPr>
          <w:w w:val="105"/>
          <w:sz w:val="21"/>
        </w:rPr>
        <w:t>and</w:t>
      </w:r>
      <w:r>
        <w:rPr>
          <w:spacing w:val="-5"/>
          <w:w w:val="105"/>
          <w:sz w:val="21"/>
        </w:rPr>
        <w:t> </w:t>
      </w:r>
      <w:r>
        <w:rPr>
          <w:spacing w:val="-3"/>
          <w:w w:val="105"/>
          <w:sz w:val="21"/>
        </w:rPr>
        <w:t>unreasonable</w:t>
      </w:r>
      <w:r>
        <w:rPr>
          <w:spacing w:val="-4"/>
          <w:w w:val="105"/>
          <w:sz w:val="21"/>
        </w:rPr>
        <w:t> </w:t>
      </w:r>
      <w:r>
        <w:rPr>
          <w:spacing w:val="-3"/>
          <w:w w:val="105"/>
          <w:sz w:val="21"/>
        </w:rPr>
        <w:t>interference</w:t>
      </w:r>
      <w:r>
        <w:rPr>
          <w:spacing w:val="-5"/>
          <w:w w:val="105"/>
          <w:sz w:val="21"/>
        </w:rPr>
        <w:t> </w:t>
      </w:r>
      <w:r>
        <w:rPr>
          <w:w w:val="105"/>
          <w:sz w:val="21"/>
        </w:rPr>
        <w:t>with</w:t>
      </w:r>
      <w:r>
        <w:rPr>
          <w:spacing w:val="-5"/>
          <w:w w:val="105"/>
          <w:sz w:val="21"/>
        </w:rPr>
        <w:t> </w:t>
      </w:r>
      <w:r>
        <w:rPr>
          <w:w w:val="105"/>
          <w:sz w:val="21"/>
        </w:rPr>
        <w:t>the</w:t>
      </w:r>
      <w:r>
        <w:rPr>
          <w:spacing w:val="-5"/>
          <w:w w:val="105"/>
          <w:sz w:val="21"/>
        </w:rPr>
        <w:t> </w:t>
      </w:r>
      <w:r>
        <w:rPr>
          <w:w w:val="105"/>
          <w:sz w:val="21"/>
        </w:rPr>
        <w:t>use</w:t>
      </w:r>
      <w:r>
        <w:rPr>
          <w:spacing w:val="-4"/>
          <w:w w:val="105"/>
          <w:sz w:val="21"/>
        </w:rPr>
        <w:t> </w:t>
      </w:r>
      <w:r>
        <w:rPr>
          <w:w w:val="105"/>
          <w:sz w:val="21"/>
        </w:rPr>
        <w:t>and</w:t>
      </w:r>
      <w:r>
        <w:rPr>
          <w:spacing w:val="-5"/>
          <w:w w:val="105"/>
          <w:sz w:val="21"/>
        </w:rPr>
        <w:t> </w:t>
      </w:r>
      <w:r>
        <w:rPr>
          <w:spacing w:val="-2"/>
          <w:w w:val="105"/>
          <w:sz w:val="21"/>
        </w:rPr>
        <w:t>enjoyment</w:t>
      </w:r>
      <w:r>
        <w:rPr>
          <w:spacing w:val="-5"/>
          <w:w w:val="105"/>
          <w:sz w:val="21"/>
        </w:rPr>
        <w:t> </w:t>
      </w:r>
      <w:r>
        <w:rPr>
          <w:w w:val="105"/>
          <w:sz w:val="21"/>
        </w:rPr>
        <w:t>by</w:t>
      </w:r>
      <w:r>
        <w:rPr>
          <w:spacing w:val="-5"/>
          <w:w w:val="105"/>
          <w:sz w:val="21"/>
        </w:rPr>
        <w:t> </w:t>
      </w:r>
      <w:r>
        <w:rPr>
          <w:w w:val="105"/>
          <w:sz w:val="21"/>
        </w:rPr>
        <w:t>a person of the affected</w:t>
      </w:r>
      <w:r>
        <w:rPr>
          <w:spacing w:val="21"/>
          <w:w w:val="105"/>
          <w:sz w:val="21"/>
        </w:rPr>
        <w:t> </w:t>
      </w:r>
      <w:r>
        <w:rPr>
          <w:spacing w:val="-4"/>
          <w:w w:val="105"/>
          <w:sz w:val="21"/>
        </w:rPr>
        <w:t>land.</w:t>
      </w:r>
      <w:r>
        <w:rPr>
          <w:spacing w:val="-4"/>
          <w:w w:val="105"/>
          <w:position w:val="7"/>
          <w:sz w:val="12"/>
        </w:rPr>
        <w:t>312</w:t>
      </w:r>
    </w:p>
    <w:p>
      <w:pPr>
        <w:pStyle w:val="ListParagraph"/>
        <w:numPr>
          <w:ilvl w:val="0"/>
          <w:numId w:val="64"/>
        </w:numPr>
        <w:tabs>
          <w:tab w:pos="2380" w:val="left" w:leader="none"/>
          <w:tab w:pos="2381" w:val="left" w:leader="none"/>
        </w:tabs>
        <w:spacing w:line="242" w:lineRule="auto" w:before="87" w:after="0"/>
        <w:ind w:left="2381" w:right="1784" w:hanging="794"/>
        <w:jc w:val="left"/>
        <w:rPr>
          <w:sz w:val="21"/>
        </w:rPr>
      </w:pPr>
      <w:r>
        <w:rPr>
          <w:spacing w:val="-4"/>
          <w:w w:val="105"/>
          <w:sz w:val="21"/>
        </w:rPr>
        <w:t>Unlike </w:t>
      </w:r>
      <w:r>
        <w:rPr>
          <w:w w:val="105"/>
          <w:sz w:val="21"/>
        </w:rPr>
        <w:t>the </w:t>
      </w:r>
      <w:r>
        <w:rPr>
          <w:spacing w:val="-3"/>
          <w:w w:val="105"/>
          <w:sz w:val="21"/>
        </w:rPr>
        <w:t>Queensland </w:t>
      </w:r>
      <w:r>
        <w:rPr>
          <w:w w:val="105"/>
          <w:sz w:val="21"/>
        </w:rPr>
        <w:t>Act, the </w:t>
      </w:r>
      <w:r>
        <w:rPr>
          <w:spacing w:val="-4"/>
          <w:w w:val="105"/>
          <w:sz w:val="21"/>
        </w:rPr>
        <w:t>Tasmanian </w:t>
      </w:r>
      <w:r>
        <w:rPr>
          <w:w w:val="105"/>
          <w:sz w:val="21"/>
        </w:rPr>
        <w:t>Act also </w:t>
      </w:r>
      <w:r>
        <w:rPr>
          <w:spacing w:val="-3"/>
          <w:w w:val="105"/>
          <w:sz w:val="21"/>
        </w:rPr>
        <w:t>includes </w:t>
      </w:r>
      <w:r>
        <w:rPr>
          <w:w w:val="105"/>
          <w:sz w:val="21"/>
        </w:rPr>
        <w:t>a specific power </w:t>
      </w:r>
      <w:r>
        <w:rPr>
          <w:spacing w:val="-3"/>
          <w:w w:val="105"/>
          <w:sz w:val="21"/>
        </w:rPr>
        <w:t>for </w:t>
      </w:r>
      <w:r>
        <w:rPr>
          <w:spacing w:val="-6"/>
          <w:w w:val="105"/>
          <w:sz w:val="21"/>
        </w:rPr>
        <w:t>RMPAT </w:t>
      </w:r>
      <w:r>
        <w:rPr>
          <w:spacing w:val="-3"/>
          <w:w w:val="105"/>
          <w:sz w:val="21"/>
        </w:rPr>
        <w:t>to </w:t>
      </w:r>
      <w:r>
        <w:rPr>
          <w:spacing w:val="-4"/>
          <w:w w:val="105"/>
          <w:sz w:val="21"/>
        </w:rPr>
        <w:t>make </w:t>
      </w:r>
      <w:r>
        <w:rPr>
          <w:w w:val="105"/>
          <w:sz w:val="21"/>
        </w:rPr>
        <w:t>an order where </w:t>
      </w:r>
      <w:r>
        <w:rPr>
          <w:spacing w:val="-3"/>
          <w:w w:val="105"/>
          <w:sz w:val="21"/>
        </w:rPr>
        <w:t>branches </w:t>
      </w:r>
      <w:r>
        <w:rPr>
          <w:w w:val="105"/>
          <w:sz w:val="21"/>
        </w:rPr>
        <w:t>of a </w:t>
      </w:r>
      <w:r>
        <w:rPr>
          <w:spacing w:val="-3"/>
          <w:w w:val="105"/>
          <w:sz w:val="21"/>
        </w:rPr>
        <w:t>plant overhang </w:t>
      </w:r>
      <w:r>
        <w:rPr>
          <w:w w:val="105"/>
          <w:sz w:val="21"/>
        </w:rPr>
        <w:t>affected </w:t>
      </w:r>
      <w:r>
        <w:rPr>
          <w:spacing w:val="-4"/>
          <w:w w:val="105"/>
          <w:sz w:val="21"/>
        </w:rPr>
        <w:t>land.</w:t>
      </w:r>
      <w:r>
        <w:rPr>
          <w:spacing w:val="-4"/>
          <w:w w:val="105"/>
          <w:position w:val="7"/>
          <w:sz w:val="12"/>
        </w:rPr>
        <w:t>313 </w:t>
      </w:r>
      <w:r>
        <w:rPr>
          <w:w w:val="105"/>
          <w:sz w:val="21"/>
        </w:rPr>
        <w:t>This is</w:t>
      </w:r>
      <w:r>
        <w:rPr>
          <w:spacing w:val="35"/>
          <w:w w:val="105"/>
          <w:sz w:val="21"/>
        </w:rPr>
        <w:t> </w:t>
      </w:r>
      <w:r>
        <w:rPr>
          <w:spacing w:val="-3"/>
          <w:w w:val="105"/>
          <w:sz w:val="21"/>
        </w:rPr>
        <w:t>unique</w:t>
      </w:r>
    </w:p>
    <w:p>
      <w:pPr>
        <w:pStyle w:val="BodyText"/>
        <w:spacing w:line="242" w:lineRule="auto" w:before="2"/>
        <w:ind w:left="2381" w:right="2011"/>
      </w:pPr>
      <w:r>
        <w:rPr>
          <w:spacing w:val="-3"/>
          <w:w w:val="105"/>
        </w:rPr>
        <w:t>to </w:t>
      </w:r>
      <w:r>
        <w:rPr>
          <w:w w:val="105"/>
        </w:rPr>
        <w:t>the </w:t>
      </w:r>
      <w:r>
        <w:rPr>
          <w:spacing w:val="-4"/>
          <w:w w:val="105"/>
        </w:rPr>
        <w:t>Tasmanian </w:t>
      </w:r>
      <w:r>
        <w:rPr>
          <w:w w:val="105"/>
        </w:rPr>
        <w:t>scheme and no orders under this </w:t>
      </w:r>
      <w:r>
        <w:rPr>
          <w:spacing w:val="-3"/>
          <w:w w:val="105"/>
        </w:rPr>
        <w:t>provision have </w:t>
      </w:r>
      <w:r>
        <w:rPr>
          <w:w w:val="105"/>
        </w:rPr>
        <w:t>been made by the </w:t>
      </w:r>
      <w:r>
        <w:rPr>
          <w:spacing w:val="-5"/>
          <w:w w:val="105"/>
        </w:rPr>
        <w:t>Tribunal.</w:t>
      </w:r>
    </w:p>
    <w:p>
      <w:pPr>
        <w:pStyle w:val="BodyText"/>
        <w:spacing w:before="3"/>
        <w:rPr>
          <w:sz w:val="20"/>
        </w:rPr>
      </w:pPr>
    </w:p>
    <w:p>
      <w:pPr>
        <w:pStyle w:val="Heading5"/>
      </w:pPr>
      <w:r>
        <w:rPr>
          <w:w w:val="115"/>
        </w:rPr>
        <w:t>Community responses—problems within scope</w:t>
      </w:r>
    </w:p>
    <w:p>
      <w:pPr>
        <w:pStyle w:val="Heading7"/>
        <w:spacing w:before="168"/>
      </w:pPr>
      <w:r>
        <w:rPr>
          <w:w w:val="115"/>
        </w:rPr>
        <w:t>Damage</w:t>
      </w:r>
    </w:p>
    <w:p>
      <w:pPr>
        <w:pStyle w:val="ListParagraph"/>
        <w:numPr>
          <w:ilvl w:val="0"/>
          <w:numId w:val="64"/>
        </w:numPr>
        <w:tabs>
          <w:tab w:pos="2380" w:val="left" w:leader="none"/>
          <w:tab w:pos="2381" w:val="left" w:leader="none"/>
        </w:tabs>
        <w:spacing w:line="242" w:lineRule="auto" w:before="143" w:after="0"/>
        <w:ind w:left="2381" w:right="1737" w:hanging="794"/>
        <w:jc w:val="left"/>
        <w:rPr>
          <w:sz w:val="21"/>
        </w:rPr>
      </w:pPr>
      <w:r>
        <w:rPr>
          <w:w w:val="105"/>
          <w:sz w:val="21"/>
        </w:rPr>
        <w:t>Responses </w:t>
      </w:r>
      <w:r>
        <w:rPr>
          <w:spacing w:val="-3"/>
          <w:w w:val="105"/>
          <w:sz w:val="21"/>
        </w:rPr>
        <w:t>were sought from </w:t>
      </w:r>
      <w:r>
        <w:rPr>
          <w:w w:val="105"/>
          <w:sz w:val="21"/>
        </w:rPr>
        <w:t>the community about the degree of damage (the seriousness</w:t>
      </w:r>
      <w:r>
        <w:rPr>
          <w:spacing w:val="-6"/>
          <w:w w:val="105"/>
          <w:sz w:val="21"/>
        </w:rPr>
        <w:t> </w:t>
      </w:r>
      <w:r>
        <w:rPr>
          <w:w w:val="105"/>
          <w:sz w:val="21"/>
        </w:rPr>
        <w:t>of</w:t>
      </w:r>
      <w:r>
        <w:rPr>
          <w:spacing w:val="-6"/>
          <w:w w:val="105"/>
          <w:sz w:val="21"/>
        </w:rPr>
        <w:t> </w:t>
      </w:r>
      <w:r>
        <w:rPr>
          <w:w w:val="105"/>
          <w:sz w:val="21"/>
        </w:rPr>
        <w:t>damage)</w:t>
      </w:r>
      <w:r>
        <w:rPr>
          <w:spacing w:val="-5"/>
          <w:w w:val="105"/>
          <w:sz w:val="21"/>
        </w:rPr>
        <w:t> </w:t>
      </w:r>
      <w:r>
        <w:rPr>
          <w:w w:val="105"/>
          <w:sz w:val="21"/>
        </w:rPr>
        <w:t>and</w:t>
      </w:r>
      <w:r>
        <w:rPr>
          <w:spacing w:val="-6"/>
          <w:w w:val="105"/>
          <w:sz w:val="21"/>
        </w:rPr>
        <w:t> </w:t>
      </w:r>
      <w:r>
        <w:rPr>
          <w:w w:val="105"/>
          <w:sz w:val="21"/>
        </w:rPr>
        <w:t>the</w:t>
      </w:r>
      <w:r>
        <w:rPr>
          <w:spacing w:val="-6"/>
          <w:w w:val="105"/>
          <w:sz w:val="21"/>
        </w:rPr>
        <w:t> </w:t>
      </w:r>
      <w:r>
        <w:rPr>
          <w:spacing w:val="-3"/>
          <w:w w:val="105"/>
          <w:sz w:val="21"/>
        </w:rPr>
        <w:t>kind</w:t>
      </w:r>
      <w:r>
        <w:rPr>
          <w:spacing w:val="-5"/>
          <w:w w:val="105"/>
          <w:sz w:val="21"/>
        </w:rPr>
        <w:t> </w:t>
      </w:r>
      <w:r>
        <w:rPr>
          <w:w w:val="105"/>
          <w:sz w:val="21"/>
        </w:rPr>
        <w:t>of</w:t>
      </w:r>
      <w:r>
        <w:rPr>
          <w:spacing w:val="-6"/>
          <w:w w:val="105"/>
          <w:sz w:val="21"/>
        </w:rPr>
        <w:t> </w:t>
      </w:r>
      <w:r>
        <w:rPr>
          <w:w w:val="105"/>
          <w:sz w:val="21"/>
        </w:rPr>
        <w:t>damage</w:t>
      </w:r>
      <w:r>
        <w:rPr>
          <w:spacing w:val="-5"/>
          <w:w w:val="105"/>
          <w:sz w:val="21"/>
        </w:rPr>
        <w:t> </w:t>
      </w:r>
      <w:r>
        <w:rPr>
          <w:spacing w:val="-3"/>
          <w:w w:val="105"/>
          <w:sz w:val="21"/>
        </w:rPr>
        <w:t>(that</w:t>
      </w:r>
      <w:r>
        <w:rPr>
          <w:spacing w:val="-6"/>
          <w:w w:val="105"/>
          <w:sz w:val="21"/>
        </w:rPr>
        <w:t> </w:t>
      </w:r>
      <w:r>
        <w:rPr>
          <w:w w:val="105"/>
          <w:sz w:val="21"/>
        </w:rPr>
        <w:t>is,</w:t>
      </w:r>
      <w:r>
        <w:rPr>
          <w:spacing w:val="-6"/>
          <w:w w:val="105"/>
          <w:sz w:val="21"/>
        </w:rPr>
        <w:t> </w:t>
      </w:r>
      <w:r>
        <w:rPr>
          <w:spacing w:val="-3"/>
          <w:w w:val="105"/>
          <w:sz w:val="21"/>
        </w:rPr>
        <w:t>to</w:t>
      </w:r>
      <w:r>
        <w:rPr>
          <w:spacing w:val="-5"/>
          <w:w w:val="105"/>
          <w:sz w:val="21"/>
        </w:rPr>
        <w:t> </w:t>
      </w:r>
      <w:r>
        <w:rPr>
          <w:spacing w:val="-3"/>
          <w:w w:val="105"/>
          <w:sz w:val="21"/>
        </w:rPr>
        <w:t>land</w:t>
      </w:r>
      <w:r>
        <w:rPr>
          <w:spacing w:val="-6"/>
          <w:w w:val="105"/>
          <w:sz w:val="21"/>
        </w:rPr>
        <w:t> </w:t>
      </w:r>
      <w:r>
        <w:rPr>
          <w:w w:val="105"/>
          <w:sz w:val="21"/>
        </w:rPr>
        <w:t>or</w:t>
      </w:r>
      <w:r>
        <w:rPr>
          <w:spacing w:val="-5"/>
          <w:w w:val="105"/>
          <w:sz w:val="21"/>
        </w:rPr>
        <w:t> </w:t>
      </w:r>
      <w:r>
        <w:rPr>
          <w:w w:val="105"/>
          <w:sz w:val="21"/>
        </w:rPr>
        <w:t>property)</w:t>
      </w:r>
      <w:r>
        <w:rPr>
          <w:spacing w:val="-6"/>
          <w:w w:val="105"/>
          <w:sz w:val="21"/>
        </w:rPr>
        <w:t> </w:t>
      </w:r>
      <w:r>
        <w:rPr>
          <w:spacing w:val="-3"/>
          <w:w w:val="105"/>
          <w:sz w:val="21"/>
        </w:rPr>
        <w:t>that</w:t>
      </w:r>
      <w:r>
        <w:rPr>
          <w:spacing w:val="-6"/>
          <w:w w:val="105"/>
          <w:sz w:val="21"/>
        </w:rPr>
        <w:t> </w:t>
      </w:r>
      <w:r>
        <w:rPr>
          <w:w w:val="105"/>
          <w:sz w:val="21"/>
        </w:rPr>
        <w:t>should be </w:t>
      </w:r>
      <w:r>
        <w:rPr>
          <w:spacing w:val="-3"/>
          <w:w w:val="105"/>
          <w:sz w:val="21"/>
        </w:rPr>
        <w:t>covered </w:t>
      </w:r>
      <w:r>
        <w:rPr>
          <w:w w:val="105"/>
          <w:sz w:val="21"/>
        </w:rPr>
        <w:t>by a new Act; and whether </w:t>
      </w:r>
      <w:r>
        <w:rPr>
          <w:spacing w:val="-3"/>
          <w:w w:val="105"/>
          <w:sz w:val="21"/>
        </w:rPr>
        <w:t>future </w:t>
      </w:r>
      <w:r>
        <w:rPr>
          <w:w w:val="105"/>
          <w:sz w:val="21"/>
        </w:rPr>
        <w:t>damage should be</w:t>
      </w:r>
      <w:r>
        <w:rPr>
          <w:spacing w:val="25"/>
          <w:w w:val="105"/>
          <w:sz w:val="21"/>
        </w:rPr>
        <w:t> </w:t>
      </w:r>
      <w:r>
        <w:rPr>
          <w:w w:val="105"/>
          <w:sz w:val="21"/>
        </w:rPr>
        <w:t>actionable.</w:t>
      </w:r>
    </w:p>
    <w:p>
      <w:pPr>
        <w:pStyle w:val="ListParagraph"/>
        <w:numPr>
          <w:ilvl w:val="0"/>
          <w:numId w:val="64"/>
        </w:numPr>
        <w:tabs>
          <w:tab w:pos="2381" w:val="left" w:leader="none"/>
        </w:tabs>
        <w:spacing w:line="242" w:lineRule="auto" w:before="123" w:after="0"/>
        <w:ind w:left="2380" w:right="1894" w:hanging="793"/>
        <w:jc w:val="both"/>
        <w:rPr>
          <w:sz w:val="12"/>
        </w:rPr>
      </w:pPr>
      <w:r>
        <w:rPr>
          <w:w w:val="105"/>
          <w:sz w:val="21"/>
        </w:rPr>
        <w:t>Some </w:t>
      </w:r>
      <w:r>
        <w:rPr>
          <w:spacing w:val="-3"/>
          <w:w w:val="105"/>
          <w:sz w:val="21"/>
        </w:rPr>
        <w:t>submissions </w:t>
      </w:r>
      <w:r>
        <w:rPr>
          <w:w w:val="105"/>
          <w:sz w:val="21"/>
        </w:rPr>
        <w:t>suggested </w:t>
      </w:r>
      <w:r>
        <w:rPr>
          <w:spacing w:val="-3"/>
          <w:w w:val="105"/>
          <w:sz w:val="21"/>
        </w:rPr>
        <w:t>placing </w:t>
      </w:r>
      <w:r>
        <w:rPr>
          <w:w w:val="105"/>
          <w:sz w:val="21"/>
        </w:rPr>
        <w:t>a monetary </w:t>
      </w:r>
      <w:r>
        <w:rPr>
          <w:spacing w:val="-3"/>
          <w:w w:val="105"/>
          <w:sz w:val="21"/>
        </w:rPr>
        <w:t>value </w:t>
      </w:r>
      <w:r>
        <w:rPr>
          <w:w w:val="105"/>
          <w:sz w:val="21"/>
        </w:rPr>
        <w:t>on the </w:t>
      </w:r>
      <w:r>
        <w:rPr>
          <w:spacing w:val="-3"/>
          <w:w w:val="105"/>
          <w:sz w:val="21"/>
        </w:rPr>
        <w:t>amount </w:t>
      </w:r>
      <w:r>
        <w:rPr>
          <w:w w:val="105"/>
          <w:sz w:val="21"/>
        </w:rPr>
        <w:t>of damage </w:t>
      </w:r>
      <w:r>
        <w:rPr>
          <w:spacing w:val="-3"/>
          <w:w w:val="105"/>
          <w:sz w:val="21"/>
        </w:rPr>
        <w:t>that </w:t>
      </w:r>
      <w:r>
        <w:rPr>
          <w:w w:val="105"/>
          <w:sz w:val="21"/>
        </w:rPr>
        <w:t>should give rise </w:t>
      </w:r>
      <w:r>
        <w:rPr>
          <w:spacing w:val="-3"/>
          <w:w w:val="105"/>
          <w:sz w:val="21"/>
        </w:rPr>
        <w:t>to </w:t>
      </w:r>
      <w:r>
        <w:rPr>
          <w:w w:val="105"/>
          <w:sz w:val="21"/>
        </w:rPr>
        <w:t>an action.</w:t>
      </w:r>
      <w:r>
        <w:rPr>
          <w:w w:val="105"/>
          <w:position w:val="7"/>
          <w:sz w:val="12"/>
        </w:rPr>
        <w:t>314 </w:t>
      </w:r>
      <w:r>
        <w:rPr>
          <w:w w:val="105"/>
          <w:sz w:val="21"/>
        </w:rPr>
        <w:t>One suggested </w:t>
      </w:r>
      <w:r>
        <w:rPr>
          <w:spacing w:val="-3"/>
          <w:w w:val="105"/>
          <w:sz w:val="21"/>
        </w:rPr>
        <w:t>that </w:t>
      </w:r>
      <w:r>
        <w:rPr>
          <w:w w:val="105"/>
          <w:sz w:val="21"/>
        </w:rPr>
        <w:t>damage </w:t>
      </w:r>
      <w:r>
        <w:rPr>
          <w:spacing w:val="-3"/>
          <w:w w:val="105"/>
          <w:sz w:val="21"/>
        </w:rPr>
        <w:t>amounting to </w:t>
      </w:r>
      <w:r>
        <w:rPr>
          <w:w w:val="105"/>
          <w:sz w:val="21"/>
        </w:rPr>
        <w:t>over $4000 should be sufficient </w:t>
      </w:r>
      <w:r>
        <w:rPr>
          <w:spacing w:val="-3"/>
          <w:w w:val="105"/>
          <w:sz w:val="21"/>
        </w:rPr>
        <w:t>to bring </w:t>
      </w:r>
      <w:r>
        <w:rPr>
          <w:w w:val="105"/>
          <w:sz w:val="21"/>
        </w:rPr>
        <w:t>an action.</w:t>
      </w:r>
      <w:r>
        <w:rPr>
          <w:w w:val="105"/>
          <w:position w:val="7"/>
          <w:sz w:val="12"/>
        </w:rPr>
        <w:t>315 </w:t>
      </w:r>
      <w:r>
        <w:rPr>
          <w:w w:val="105"/>
          <w:sz w:val="21"/>
        </w:rPr>
        <w:t>Another </w:t>
      </w:r>
      <w:r>
        <w:rPr>
          <w:spacing w:val="-3"/>
          <w:w w:val="105"/>
          <w:sz w:val="21"/>
        </w:rPr>
        <w:t>thought </w:t>
      </w:r>
      <w:r>
        <w:rPr>
          <w:w w:val="105"/>
          <w:sz w:val="21"/>
        </w:rPr>
        <w:t>damage </w:t>
      </w:r>
      <w:r>
        <w:rPr>
          <w:spacing w:val="-3"/>
          <w:w w:val="105"/>
          <w:sz w:val="21"/>
        </w:rPr>
        <w:t>greater than </w:t>
      </w:r>
      <w:r>
        <w:rPr>
          <w:w w:val="105"/>
          <w:sz w:val="21"/>
        </w:rPr>
        <w:t>$500 should be</w:t>
      </w:r>
      <w:r>
        <w:rPr>
          <w:spacing w:val="10"/>
          <w:w w:val="105"/>
          <w:sz w:val="21"/>
        </w:rPr>
        <w:t> </w:t>
      </w:r>
      <w:r>
        <w:rPr>
          <w:spacing w:val="-3"/>
          <w:w w:val="105"/>
          <w:sz w:val="21"/>
        </w:rPr>
        <w:t>actionable.</w:t>
      </w:r>
      <w:r>
        <w:rPr>
          <w:spacing w:val="-3"/>
          <w:w w:val="105"/>
          <w:position w:val="7"/>
          <w:sz w:val="12"/>
        </w:rPr>
        <w:t>316</w:t>
      </w:r>
    </w:p>
    <w:p>
      <w:pPr>
        <w:pStyle w:val="ListParagraph"/>
        <w:numPr>
          <w:ilvl w:val="0"/>
          <w:numId w:val="64"/>
        </w:numPr>
        <w:tabs>
          <w:tab w:pos="2380" w:val="left" w:leader="none"/>
          <w:tab w:pos="2381" w:val="left" w:leader="none"/>
        </w:tabs>
        <w:spacing w:line="242" w:lineRule="auto" w:before="124" w:after="0"/>
        <w:ind w:left="2381" w:right="1638" w:hanging="794"/>
        <w:jc w:val="left"/>
        <w:rPr>
          <w:sz w:val="12"/>
        </w:rPr>
      </w:pPr>
      <w:r>
        <w:rPr>
          <w:w w:val="105"/>
          <w:sz w:val="21"/>
        </w:rPr>
        <w:t>Most responses </w:t>
      </w:r>
      <w:r>
        <w:rPr>
          <w:spacing w:val="-3"/>
          <w:w w:val="105"/>
          <w:sz w:val="21"/>
        </w:rPr>
        <w:t>indicated that </w:t>
      </w:r>
      <w:r>
        <w:rPr>
          <w:w w:val="105"/>
          <w:sz w:val="21"/>
        </w:rPr>
        <w:t>damage should be both observable and </w:t>
      </w:r>
      <w:r>
        <w:rPr>
          <w:spacing w:val="-3"/>
          <w:w w:val="105"/>
          <w:sz w:val="21"/>
        </w:rPr>
        <w:t>proven.</w:t>
      </w:r>
      <w:r>
        <w:rPr>
          <w:spacing w:val="-3"/>
          <w:w w:val="105"/>
          <w:position w:val="7"/>
          <w:sz w:val="12"/>
        </w:rPr>
        <w:t>317 </w:t>
      </w:r>
      <w:r>
        <w:rPr>
          <w:w w:val="105"/>
          <w:sz w:val="21"/>
        </w:rPr>
        <w:t>For </w:t>
      </w:r>
      <w:r>
        <w:rPr>
          <w:spacing w:val="-3"/>
          <w:w w:val="105"/>
          <w:sz w:val="21"/>
        </w:rPr>
        <w:t>example, </w:t>
      </w:r>
      <w:r>
        <w:rPr>
          <w:w w:val="105"/>
          <w:sz w:val="21"/>
        </w:rPr>
        <w:t>one respondent suggested </w:t>
      </w:r>
      <w:r>
        <w:rPr>
          <w:spacing w:val="-3"/>
          <w:w w:val="105"/>
          <w:sz w:val="21"/>
        </w:rPr>
        <w:t>‘visible </w:t>
      </w:r>
      <w:r>
        <w:rPr>
          <w:w w:val="105"/>
          <w:sz w:val="21"/>
        </w:rPr>
        <w:t>damage </w:t>
      </w:r>
      <w:r>
        <w:rPr>
          <w:spacing w:val="-3"/>
          <w:w w:val="105"/>
          <w:sz w:val="21"/>
        </w:rPr>
        <w:t>that </w:t>
      </w:r>
      <w:r>
        <w:rPr>
          <w:w w:val="105"/>
          <w:sz w:val="21"/>
        </w:rPr>
        <w:t>can be </w:t>
      </w:r>
      <w:r>
        <w:rPr>
          <w:spacing w:val="-3"/>
          <w:w w:val="105"/>
          <w:sz w:val="21"/>
        </w:rPr>
        <w:t>proven </w:t>
      </w:r>
      <w:r>
        <w:rPr>
          <w:w w:val="105"/>
          <w:sz w:val="21"/>
        </w:rPr>
        <w:t>and seen, and </w:t>
      </w:r>
      <w:r>
        <w:rPr>
          <w:spacing w:val="-2"/>
          <w:w w:val="105"/>
          <w:sz w:val="21"/>
        </w:rPr>
        <w:t>has </w:t>
      </w:r>
      <w:r>
        <w:rPr>
          <w:spacing w:val="-3"/>
          <w:w w:val="105"/>
          <w:sz w:val="21"/>
        </w:rPr>
        <w:t>altered from </w:t>
      </w:r>
      <w:r>
        <w:rPr>
          <w:w w:val="105"/>
          <w:sz w:val="21"/>
        </w:rPr>
        <w:t>the </w:t>
      </w:r>
      <w:r>
        <w:rPr>
          <w:spacing w:val="-3"/>
          <w:w w:val="105"/>
          <w:sz w:val="21"/>
        </w:rPr>
        <w:t>original </w:t>
      </w:r>
      <w:r>
        <w:rPr>
          <w:spacing w:val="-5"/>
          <w:w w:val="105"/>
          <w:sz w:val="21"/>
        </w:rPr>
        <w:t>condition’.</w:t>
      </w:r>
      <w:r>
        <w:rPr>
          <w:spacing w:val="-5"/>
          <w:w w:val="105"/>
          <w:position w:val="7"/>
          <w:sz w:val="12"/>
        </w:rPr>
        <w:t>318 </w:t>
      </w:r>
      <w:r>
        <w:rPr>
          <w:w w:val="105"/>
          <w:sz w:val="21"/>
        </w:rPr>
        <w:t>Arborist Robert Mineo stated </w:t>
      </w:r>
      <w:r>
        <w:rPr>
          <w:spacing w:val="-3"/>
          <w:w w:val="105"/>
          <w:sz w:val="21"/>
        </w:rPr>
        <w:t>that </w:t>
      </w:r>
      <w:r>
        <w:rPr>
          <w:spacing w:val="-6"/>
          <w:w w:val="105"/>
          <w:sz w:val="21"/>
        </w:rPr>
        <w:t>‘any </w:t>
      </w:r>
      <w:r>
        <w:rPr>
          <w:w w:val="105"/>
          <w:sz w:val="21"/>
        </w:rPr>
        <w:t>damage under a new scheme would </w:t>
      </w:r>
      <w:r>
        <w:rPr>
          <w:spacing w:val="-3"/>
          <w:w w:val="105"/>
          <w:sz w:val="21"/>
        </w:rPr>
        <w:t>have to </w:t>
      </w:r>
      <w:r>
        <w:rPr>
          <w:w w:val="105"/>
          <w:sz w:val="21"/>
        </w:rPr>
        <w:t>be serious or</w:t>
      </w:r>
      <w:r>
        <w:rPr>
          <w:spacing w:val="46"/>
          <w:w w:val="105"/>
          <w:sz w:val="21"/>
        </w:rPr>
        <w:t> </w:t>
      </w:r>
      <w:r>
        <w:rPr>
          <w:spacing w:val="-4"/>
          <w:w w:val="105"/>
          <w:sz w:val="21"/>
        </w:rPr>
        <w:t>significant’.</w:t>
      </w:r>
      <w:r>
        <w:rPr>
          <w:spacing w:val="-4"/>
          <w:w w:val="105"/>
          <w:position w:val="7"/>
          <w:sz w:val="12"/>
        </w:rPr>
        <w:t>319</w:t>
      </w:r>
    </w:p>
    <w:p>
      <w:pPr>
        <w:pStyle w:val="ListParagraph"/>
        <w:numPr>
          <w:ilvl w:val="0"/>
          <w:numId w:val="64"/>
        </w:numPr>
        <w:tabs>
          <w:tab w:pos="2381" w:val="left" w:leader="none"/>
          <w:tab w:pos="2382" w:val="left" w:leader="none"/>
        </w:tabs>
        <w:spacing w:line="242" w:lineRule="auto" w:before="125" w:after="0"/>
        <w:ind w:left="2381" w:right="1696" w:hanging="794"/>
        <w:jc w:val="left"/>
        <w:rPr>
          <w:sz w:val="12"/>
        </w:rPr>
      </w:pPr>
      <w:r>
        <w:rPr>
          <w:w w:val="105"/>
          <w:sz w:val="21"/>
        </w:rPr>
        <w:t>Most </w:t>
      </w:r>
      <w:r>
        <w:rPr>
          <w:spacing w:val="-3"/>
          <w:w w:val="105"/>
          <w:sz w:val="21"/>
        </w:rPr>
        <w:t>submissions considered that </w:t>
      </w:r>
      <w:r>
        <w:rPr>
          <w:w w:val="105"/>
          <w:sz w:val="21"/>
        </w:rPr>
        <w:t>both damage </w:t>
      </w:r>
      <w:r>
        <w:rPr>
          <w:spacing w:val="-3"/>
          <w:w w:val="105"/>
          <w:sz w:val="21"/>
        </w:rPr>
        <w:t>to </w:t>
      </w:r>
      <w:r>
        <w:rPr>
          <w:w w:val="105"/>
          <w:sz w:val="21"/>
        </w:rPr>
        <w:t>the </w:t>
      </w:r>
      <w:r>
        <w:rPr>
          <w:spacing w:val="-3"/>
          <w:w w:val="105"/>
          <w:sz w:val="21"/>
        </w:rPr>
        <w:t>land itself, </w:t>
      </w:r>
      <w:r>
        <w:rPr>
          <w:w w:val="105"/>
          <w:sz w:val="21"/>
        </w:rPr>
        <w:t>and </w:t>
      </w:r>
      <w:r>
        <w:rPr>
          <w:spacing w:val="-3"/>
          <w:w w:val="105"/>
          <w:sz w:val="21"/>
        </w:rPr>
        <w:t>to </w:t>
      </w:r>
      <w:r>
        <w:rPr>
          <w:w w:val="105"/>
          <w:sz w:val="21"/>
        </w:rPr>
        <w:t>property on the </w:t>
      </w:r>
      <w:r>
        <w:rPr>
          <w:spacing w:val="-3"/>
          <w:w w:val="105"/>
          <w:sz w:val="21"/>
        </w:rPr>
        <w:t>land, for </w:t>
      </w:r>
      <w:r>
        <w:rPr>
          <w:w w:val="105"/>
          <w:sz w:val="21"/>
        </w:rPr>
        <w:t>example a </w:t>
      </w:r>
      <w:r>
        <w:rPr>
          <w:spacing w:val="-3"/>
          <w:w w:val="105"/>
          <w:sz w:val="21"/>
        </w:rPr>
        <w:t>motor vehicle, </w:t>
      </w:r>
      <w:r>
        <w:rPr>
          <w:w w:val="105"/>
          <w:sz w:val="21"/>
        </w:rPr>
        <w:t>should be</w:t>
      </w:r>
      <w:r>
        <w:rPr>
          <w:spacing w:val="42"/>
          <w:w w:val="105"/>
          <w:sz w:val="21"/>
        </w:rPr>
        <w:t> </w:t>
      </w:r>
      <w:r>
        <w:rPr>
          <w:w w:val="105"/>
          <w:sz w:val="21"/>
        </w:rPr>
        <w:t>actionable.</w:t>
      </w:r>
      <w:r>
        <w:rPr>
          <w:w w:val="105"/>
          <w:position w:val="7"/>
          <w:sz w:val="12"/>
        </w:rPr>
        <w:t>320</w:t>
      </w:r>
    </w:p>
    <w:p>
      <w:pPr>
        <w:pStyle w:val="BodyText"/>
        <w:rPr>
          <w:sz w:val="20"/>
        </w:rPr>
      </w:pPr>
    </w:p>
    <w:p>
      <w:pPr>
        <w:pStyle w:val="BodyText"/>
        <w:rPr>
          <w:sz w:val="20"/>
        </w:rPr>
      </w:pPr>
    </w:p>
    <w:p>
      <w:pPr>
        <w:pStyle w:val="BodyText"/>
        <w:spacing w:before="11"/>
        <w:rPr>
          <w:sz w:val="14"/>
        </w:rPr>
      </w:pPr>
      <w:r>
        <w:rPr/>
        <w:pict>
          <v:line style="position:absolute;mso-position-horizontal-relative:page;mso-position-vertical-relative:paragraph;z-index:5120;mso-wrap-distance-left:0;mso-wrap-distance-right:0" from="79.370003pt,11.549597pt" to="515.905003pt,11.549597pt" stroked="true" strokeweight="1pt" strokecolor="#c9d2cb">
            <v:stroke dashstyle="solid"/>
            <w10:wrap type="topAndBottom"/>
          </v:line>
        </w:pict>
      </w:r>
    </w:p>
    <w:p>
      <w:pPr>
        <w:tabs>
          <w:tab w:pos="2380" w:val="left" w:leader="none"/>
        </w:tabs>
        <w:spacing w:before="117"/>
        <w:ind w:left="2381" w:right="1810" w:hanging="794"/>
        <w:jc w:val="left"/>
        <w:rPr>
          <w:sz w:val="13"/>
        </w:rPr>
      </w:pPr>
      <w:r>
        <w:rPr>
          <w:w w:val="105"/>
          <w:sz w:val="13"/>
        </w:rPr>
        <w:t>307</w:t>
        <w:tab/>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2015) </w:t>
      </w:r>
      <w:r>
        <w:rPr>
          <w:spacing w:val="2"/>
          <w:w w:val="105"/>
          <w:sz w:val="13"/>
        </w:rPr>
        <w:t>[3.455]–[3.456].</w:t>
      </w:r>
    </w:p>
    <w:p>
      <w:pPr>
        <w:tabs>
          <w:tab w:pos="2380" w:val="left" w:leader="none"/>
        </w:tabs>
        <w:spacing w:before="3"/>
        <w:ind w:left="1587" w:right="0" w:firstLine="0"/>
        <w:jc w:val="left"/>
        <w:rPr>
          <w:sz w:val="13"/>
        </w:rPr>
      </w:pPr>
      <w:r>
        <w:rPr>
          <w:spacing w:val="2"/>
          <w:w w:val="105"/>
          <w:sz w:val="13"/>
        </w:rPr>
        <w:t>308</w:t>
        <w:tab/>
      </w:r>
      <w:r>
        <w:rPr>
          <w:w w:val="105"/>
          <w:sz w:val="13"/>
        </w:rPr>
        <w:t>Ibid.</w:t>
      </w:r>
    </w:p>
    <w:p>
      <w:pPr>
        <w:tabs>
          <w:tab w:pos="2380" w:val="left" w:leader="none"/>
        </w:tabs>
        <w:spacing w:before="1"/>
        <w:ind w:left="1587" w:right="0" w:firstLine="0"/>
        <w:jc w:val="left"/>
        <w:rPr>
          <w:sz w:val="13"/>
        </w:rPr>
      </w:pPr>
      <w:r>
        <w:rPr>
          <w:w w:val="105"/>
          <w:sz w:val="13"/>
        </w:rPr>
        <w:t>309</w:t>
        <w:tab/>
        <w:t>Ibid</w:t>
      </w:r>
      <w:r>
        <w:rPr>
          <w:spacing w:val="4"/>
          <w:w w:val="105"/>
          <w:sz w:val="13"/>
        </w:rPr>
        <w:t> </w:t>
      </w:r>
      <w:r>
        <w:rPr>
          <w:spacing w:val="2"/>
          <w:w w:val="105"/>
          <w:sz w:val="13"/>
        </w:rPr>
        <w:t>[3.354].</w:t>
      </w:r>
    </w:p>
    <w:p>
      <w:pPr>
        <w:tabs>
          <w:tab w:pos="2380" w:val="left" w:leader="none"/>
        </w:tabs>
        <w:spacing w:before="1"/>
        <w:ind w:left="1587" w:right="0" w:firstLine="0"/>
        <w:jc w:val="left"/>
        <w:rPr>
          <w:sz w:val="13"/>
        </w:rPr>
      </w:pPr>
      <w:r>
        <w:rPr>
          <w:spacing w:val="-3"/>
          <w:w w:val="105"/>
          <w:sz w:val="13"/>
        </w:rPr>
        <w:t>310</w:t>
        <w:tab/>
      </w:r>
      <w:r>
        <w:rPr>
          <w:i/>
          <w:w w:val="105"/>
          <w:sz w:val="13"/>
        </w:rPr>
        <w:t>Leonardi v Watson </w:t>
      </w:r>
      <w:r>
        <w:rPr>
          <w:w w:val="105"/>
          <w:sz w:val="13"/>
        </w:rPr>
        <w:t>[2015] QCATA</w:t>
      </w:r>
      <w:r>
        <w:rPr>
          <w:spacing w:val="23"/>
          <w:w w:val="105"/>
          <w:sz w:val="13"/>
        </w:rPr>
        <w:t> </w:t>
      </w:r>
      <w:r>
        <w:rPr>
          <w:w w:val="105"/>
          <w:sz w:val="13"/>
        </w:rPr>
        <w:t>192.</w:t>
      </w:r>
    </w:p>
    <w:p>
      <w:pPr>
        <w:tabs>
          <w:tab w:pos="2380" w:val="left" w:leader="none"/>
        </w:tabs>
        <w:spacing w:before="2"/>
        <w:ind w:left="2381" w:right="1636" w:hanging="794"/>
        <w:jc w:val="left"/>
        <w:rPr>
          <w:sz w:val="13"/>
        </w:rPr>
      </w:pPr>
      <w:r>
        <w:rPr>
          <w:spacing w:val="-5"/>
          <w:w w:val="105"/>
          <w:sz w:val="13"/>
        </w:rPr>
        <w:t>311</w:t>
        <w:tab/>
      </w:r>
      <w:r>
        <w:rPr>
          <w:w w:val="105"/>
          <w:sz w:val="13"/>
        </w:rPr>
        <w:t>The orders RMPAT may make in relation to serious injury are to ‘prevent, or reduce the likelihood of, serious injury being caused to a person by a plant’: </w:t>
      </w:r>
      <w:r>
        <w:rPr>
          <w:i/>
          <w:w w:val="105"/>
          <w:sz w:val="13"/>
        </w:rPr>
        <w:t>Neighbourhood Disputes About Plants Act </w:t>
      </w:r>
      <w:r>
        <w:rPr>
          <w:i/>
          <w:spacing w:val="-4"/>
          <w:w w:val="105"/>
          <w:sz w:val="13"/>
        </w:rPr>
        <w:t>2017 </w:t>
      </w:r>
      <w:r>
        <w:rPr>
          <w:w w:val="105"/>
          <w:sz w:val="13"/>
        </w:rPr>
        <w:t>(Tas) s</w:t>
      </w:r>
      <w:r>
        <w:rPr>
          <w:spacing w:val="1"/>
          <w:w w:val="105"/>
          <w:sz w:val="13"/>
        </w:rPr>
        <w:t> </w:t>
      </w:r>
      <w:r>
        <w:rPr>
          <w:spacing w:val="3"/>
          <w:w w:val="105"/>
          <w:sz w:val="13"/>
        </w:rPr>
        <w:t>33(2)(b).</w:t>
      </w:r>
    </w:p>
    <w:p>
      <w:pPr>
        <w:tabs>
          <w:tab w:pos="2380" w:val="left" w:leader="none"/>
        </w:tabs>
        <w:spacing w:before="2"/>
        <w:ind w:left="1587" w:right="0" w:firstLine="0"/>
        <w:jc w:val="left"/>
        <w:rPr>
          <w:sz w:val="13"/>
        </w:rPr>
      </w:pPr>
      <w:r>
        <w:rPr>
          <w:spacing w:val="-4"/>
          <w:sz w:val="13"/>
        </w:rPr>
        <w:t>312</w:t>
        <w:tab/>
      </w:r>
      <w:r>
        <w:rPr>
          <w:sz w:val="13"/>
        </w:rPr>
        <w:t>Ibid s</w:t>
      </w:r>
      <w:r>
        <w:rPr>
          <w:spacing w:val="12"/>
          <w:sz w:val="13"/>
        </w:rPr>
        <w:t> </w:t>
      </w:r>
      <w:r>
        <w:rPr>
          <w:spacing w:val="2"/>
          <w:sz w:val="13"/>
        </w:rPr>
        <w:t>7(1)(b).</w:t>
      </w:r>
    </w:p>
    <w:p>
      <w:pPr>
        <w:tabs>
          <w:tab w:pos="2380" w:val="left" w:leader="none"/>
        </w:tabs>
        <w:spacing w:before="2"/>
        <w:ind w:left="1587" w:right="0" w:firstLine="0"/>
        <w:jc w:val="left"/>
        <w:rPr>
          <w:sz w:val="13"/>
        </w:rPr>
      </w:pPr>
      <w:r>
        <w:rPr>
          <w:spacing w:val="-4"/>
          <w:sz w:val="13"/>
        </w:rPr>
        <w:t>313</w:t>
        <w:tab/>
      </w:r>
      <w:r>
        <w:rPr>
          <w:sz w:val="13"/>
        </w:rPr>
        <w:t>See Ibid ss </w:t>
      </w:r>
      <w:r>
        <w:rPr>
          <w:spacing w:val="2"/>
          <w:sz w:val="13"/>
        </w:rPr>
        <w:t>7(1)(a),</w:t>
      </w:r>
      <w:r>
        <w:rPr>
          <w:spacing w:val="24"/>
          <w:sz w:val="13"/>
        </w:rPr>
        <w:t> </w:t>
      </w:r>
      <w:r>
        <w:rPr>
          <w:spacing w:val="3"/>
          <w:sz w:val="13"/>
        </w:rPr>
        <w:t>33(2)(a).</w:t>
      </w:r>
    </w:p>
    <w:p>
      <w:pPr>
        <w:pStyle w:val="ListParagraph"/>
        <w:numPr>
          <w:ilvl w:val="0"/>
          <w:numId w:val="75"/>
        </w:numPr>
        <w:tabs>
          <w:tab w:pos="2381" w:val="left" w:leader="none"/>
          <w:tab w:pos="2382" w:val="left" w:leader="none"/>
        </w:tabs>
        <w:spacing w:line="240" w:lineRule="auto" w:before="1" w:after="0"/>
        <w:ind w:left="2381" w:right="0" w:hanging="794"/>
        <w:jc w:val="left"/>
        <w:rPr>
          <w:sz w:val="13"/>
        </w:rPr>
      </w:pPr>
      <w:r>
        <w:rPr>
          <w:w w:val="105"/>
          <w:sz w:val="13"/>
        </w:rPr>
        <w:t>See, eg, Submission 4 </w:t>
      </w:r>
      <w:r>
        <w:rPr>
          <w:spacing w:val="2"/>
          <w:w w:val="105"/>
          <w:sz w:val="13"/>
        </w:rPr>
        <w:t>(Name</w:t>
      </w:r>
      <w:r>
        <w:rPr>
          <w:spacing w:val="23"/>
          <w:w w:val="105"/>
          <w:sz w:val="13"/>
        </w:rPr>
        <w:t> </w:t>
      </w:r>
      <w:r>
        <w:rPr>
          <w:w w:val="105"/>
          <w:sz w:val="13"/>
        </w:rPr>
        <w:t>withheld).</w:t>
      </w:r>
    </w:p>
    <w:p>
      <w:pPr>
        <w:pStyle w:val="ListParagraph"/>
        <w:numPr>
          <w:ilvl w:val="0"/>
          <w:numId w:val="75"/>
        </w:numPr>
        <w:tabs>
          <w:tab w:pos="2381" w:val="left" w:leader="none"/>
          <w:tab w:pos="2382" w:val="left" w:leader="none"/>
        </w:tabs>
        <w:spacing w:line="240" w:lineRule="auto" w:before="1" w:after="0"/>
        <w:ind w:left="2381" w:right="0" w:hanging="794"/>
        <w:jc w:val="left"/>
        <w:rPr>
          <w:sz w:val="13"/>
        </w:rPr>
      </w:pPr>
      <w:r>
        <w:rPr>
          <w:w w:val="105"/>
          <w:sz w:val="13"/>
        </w:rPr>
        <w:t>Confidential</w:t>
      </w:r>
      <w:r>
        <w:rPr>
          <w:spacing w:val="4"/>
          <w:w w:val="105"/>
          <w:sz w:val="13"/>
        </w:rPr>
        <w:t> </w:t>
      </w:r>
      <w:r>
        <w:rPr>
          <w:w w:val="105"/>
          <w:sz w:val="13"/>
        </w:rPr>
        <w:t>submission.</w:t>
      </w:r>
    </w:p>
    <w:p>
      <w:pPr>
        <w:pStyle w:val="ListParagraph"/>
        <w:numPr>
          <w:ilvl w:val="0"/>
          <w:numId w:val="75"/>
        </w:numPr>
        <w:tabs>
          <w:tab w:pos="2381" w:val="left" w:leader="none"/>
          <w:tab w:pos="2382" w:val="left" w:leader="none"/>
        </w:tabs>
        <w:spacing w:line="240" w:lineRule="auto" w:before="2" w:after="0"/>
        <w:ind w:left="2381" w:right="0" w:hanging="794"/>
        <w:jc w:val="left"/>
        <w:rPr>
          <w:sz w:val="13"/>
        </w:rPr>
      </w:pPr>
      <w:r>
        <w:rPr>
          <w:w w:val="105"/>
          <w:sz w:val="13"/>
        </w:rPr>
        <w:t>Submission 4 </w:t>
      </w:r>
      <w:r>
        <w:rPr>
          <w:spacing w:val="2"/>
          <w:w w:val="105"/>
          <w:sz w:val="13"/>
        </w:rPr>
        <w:t>(Name</w:t>
      </w:r>
      <w:r>
        <w:rPr>
          <w:spacing w:val="13"/>
          <w:w w:val="105"/>
          <w:sz w:val="13"/>
        </w:rPr>
        <w:t> </w:t>
      </w:r>
      <w:r>
        <w:rPr>
          <w:w w:val="105"/>
          <w:sz w:val="13"/>
        </w:rPr>
        <w:t>withheld).</w:t>
      </w:r>
    </w:p>
    <w:p>
      <w:pPr>
        <w:pStyle w:val="ListParagraph"/>
        <w:numPr>
          <w:ilvl w:val="0"/>
          <w:numId w:val="75"/>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5</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20</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25</w:t>
      </w:r>
      <w:r>
        <w:rPr>
          <w:spacing w:val="4"/>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r>
        <w:rPr>
          <w:spacing w:val="5"/>
          <w:w w:val="105"/>
          <w:sz w:val="13"/>
        </w:rPr>
        <w:t> </w:t>
      </w:r>
      <w:r>
        <w:rPr>
          <w:w w:val="105"/>
          <w:sz w:val="13"/>
        </w:rPr>
        <w:t>Consultation</w:t>
      </w:r>
      <w:r>
        <w:rPr>
          <w:spacing w:val="5"/>
          <w:w w:val="105"/>
          <w:sz w:val="13"/>
        </w:rPr>
        <w:t> </w:t>
      </w:r>
      <w:r>
        <w:rPr>
          <w:spacing w:val="-3"/>
          <w:w w:val="105"/>
          <w:sz w:val="13"/>
        </w:rPr>
        <w:t>14</w:t>
      </w:r>
      <w:r>
        <w:rPr>
          <w:spacing w:val="5"/>
          <w:w w:val="105"/>
          <w:sz w:val="13"/>
        </w:rPr>
        <w:t> </w:t>
      </w:r>
      <w:r>
        <w:rPr>
          <w:spacing w:val="2"/>
          <w:w w:val="105"/>
          <w:sz w:val="13"/>
        </w:rPr>
        <w:t>(Robert</w:t>
      </w:r>
      <w:r>
        <w:rPr>
          <w:spacing w:val="5"/>
          <w:w w:val="105"/>
          <w:sz w:val="13"/>
        </w:rPr>
        <w:t> </w:t>
      </w:r>
      <w:r>
        <w:rPr>
          <w:spacing w:val="2"/>
          <w:w w:val="105"/>
          <w:sz w:val="13"/>
        </w:rPr>
        <w:t>Mineo).</w:t>
      </w:r>
    </w:p>
    <w:p>
      <w:pPr>
        <w:pStyle w:val="ListParagraph"/>
        <w:numPr>
          <w:ilvl w:val="0"/>
          <w:numId w:val="75"/>
        </w:numPr>
        <w:tabs>
          <w:tab w:pos="2381" w:val="left" w:leader="none"/>
          <w:tab w:pos="2382" w:val="left" w:leader="none"/>
        </w:tabs>
        <w:spacing w:line="240" w:lineRule="auto" w:before="1" w:after="0"/>
        <w:ind w:left="2381" w:right="0" w:hanging="794"/>
        <w:jc w:val="left"/>
        <w:rPr>
          <w:sz w:val="13"/>
        </w:rPr>
      </w:pPr>
      <w:r>
        <w:rPr>
          <w:w w:val="105"/>
          <w:sz w:val="13"/>
        </w:rPr>
        <w:t>Submission 5 </w:t>
      </w:r>
      <w:r>
        <w:rPr>
          <w:spacing w:val="2"/>
          <w:w w:val="105"/>
          <w:sz w:val="13"/>
        </w:rPr>
        <w:t>(Name</w:t>
      </w:r>
      <w:r>
        <w:rPr>
          <w:spacing w:val="13"/>
          <w:w w:val="105"/>
          <w:sz w:val="13"/>
        </w:rPr>
        <w:t> </w:t>
      </w:r>
      <w:r>
        <w:rPr>
          <w:w w:val="105"/>
          <w:sz w:val="13"/>
        </w:rPr>
        <w:t>withheld).</w:t>
      </w:r>
    </w:p>
    <w:p>
      <w:pPr>
        <w:pStyle w:val="ListParagraph"/>
        <w:numPr>
          <w:ilvl w:val="0"/>
          <w:numId w:val="75"/>
        </w:numPr>
        <w:tabs>
          <w:tab w:pos="2381" w:val="left" w:leader="none"/>
          <w:tab w:pos="2382" w:val="left" w:leader="none"/>
        </w:tabs>
        <w:spacing w:line="240" w:lineRule="auto" w:before="2" w:after="0"/>
        <w:ind w:left="2381" w:right="0" w:hanging="794"/>
        <w:jc w:val="left"/>
        <w:rPr>
          <w:sz w:val="13"/>
        </w:rPr>
      </w:pPr>
      <w:r>
        <w:rPr/>
        <w:pict>
          <v:shape style="position:absolute;margin-left:549.011475pt;margin-top:3.049366pt;width:13.2pt;height:14.25pt;mso-position-horizontal-relative:page;mso-position-vertical-relative:paragraph;z-index:7192" type="#_x0000_t202" filled="false" stroked="false">
            <v:textbox inset="0,0,0,0">
              <w:txbxContent>
                <w:p>
                  <w:pPr>
                    <w:spacing w:line="284" w:lineRule="exact" w:before="0"/>
                    <w:ind w:left="0" w:right="0" w:firstLine="0"/>
                    <w:jc w:val="left"/>
                    <w:rPr>
                      <w:b/>
                      <w:sz w:val="24"/>
                    </w:rPr>
                  </w:pPr>
                  <w:r>
                    <w:rPr>
                      <w:b/>
                      <w:color w:val="658464"/>
                      <w:spacing w:val="-2"/>
                      <w:w w:val="110"/>
                      <w:sz w:val="24"/>
                    </w:rPr>
                    <w:t>97</w:t>
                  </w:r>
                </w:p>
              </w:txbxContent>
            </v:textbox>
            <w10:wrap type="none"/>
          </v:shape>
        </w:pict>
      </w:r>
      <w:r>
        <w:rPr>
          <w:w w:val="105"/>
          <w:sz w:val="13"/>
        </w:rPr>
        <w:t>Consultation </w:t>
      </w:r>
      <w:r>
        <w:rPr>
          <w:spacing w:val="-3"/>
          <w:w w:val="105"/>
          <w:sz w:val="13"/>
        </w:rPr>
        <w:t>14 </w:t>
      </w:r>
      <w:r>
        <w:rPr>
          <w:spacing w:val="2"/>
          <w:w w:val="105"/>
          <w:sz w:val="13"/>
        </w:rPr>
        <w:t>(Robert</w:t>
      </w:r>
      <w:r>
        <w:rPr>
          <w:spacing w:val="16"/>
          <w:w w:val="105"/>
          <w:sz w:val="13"/>
        </w:rPr>
        <w:t> </w:t>
      </w:r>
      <w:r>
        <w:rPr>
          <w:spacing w:val="2"/>
          <w:w w:val="105"/>
          <w:sz w:val="13"/>
        </w:rPr>
        <w:t>Mineo).</w:t>
      </w:r>
    </w:p>
    <w:p>
      <w:pPr>
        <w:pStyle w:val="ListParagraph"/>
        <w:numPr>
          <w:ilvl w:val="0"/>
          <w:numId w:val="75"/>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5"/>
          <w:w w:val="105"/>
          <w:sz w:val="13"/>
        </w:rPr>
        <w:t> </w:t>
      </w:r>
      <w:r>
        <w:rPr>
          <w:w w:val="105"/>
          <w:sz w:val="13"/>
        </w:rPr>
        <w:t>5</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7</w:t>
      </w:r>
      <w:r>
        <w:rPr>
          <w:spacing w:val="5"/>
          <w:w w:val="105"/>
          <w:sz w:val="13"/>
        </w:rPr>
        <w:t> </w:t>
      </w:r>
      <w:r>
        <w:rPr>
          <w:spacing w:val="2"/>
          <w:w w:val="105"/>
          <w:sz w:val="13"/>
        </w:rPr>
        <w:t>(Ben</w:t>
      </w:r>
      <w:r>
        <w:rPr>
          <w:spacing w:val="5"/>
          <w:w w:val="105"/>
          <w:sz w:val="13"/>
        </w:rPr>
        <w:t> </w:t>
      </w:r>
      <w:r>
        <w:rPr>
          <w:w w:val="105"/>
          <w:sz w:val="13"/>
        </w:rPr>
        <w:t>Kenyon),</w:t>
      </w:r>
      <w:r>
        <w:rPr>
          <w:spacing w:val="5"/>
          <w:w w:val="105"/>
          <w:sz w:val="13"/>
        </w:rPr>
        <w:t> </w:t>
      </w:r>
      <w:r>
        <w:rPr>
          <w:w w:val="105"/>
          <w:sz w:val="13"/>
        </w:rPr>
        <w:t>9</w:t>
      </w:r>
      <w:r>
        <w:rPr>
          <w:spacing w:val="5"/>
          <w:w w:val="105"/>
          <w:sz w:val="13"/>
        </w:rPr>
        <w:t> </w:t>
      </w:r>
      <w:r>
        <w:rPr>
          <w:spacing w:val="3"/>
          <w:w w:val="105"/>
          <w:sz w:val="13"/>
        </w:rPr>
        <w:t>(Dr</w:t>
      </w:r>
      <w:r>
        <w:rPr>
          <w:spacing w:val="5"/>
          <w:w w:val="105"/>
          <w:sz w:val="13"/>
        </w:rPr>
        <w:t> </w:t>
      </w:r>
      <w:r>
        <w:rPr>
          <w:w w:val="105"/>
          <w:sz w:val="13"/>
        </w:rPr>
        <w:t>Karen</w:t>
      </w:r>
      <w:r>
        <w:rPr>
          <w:spacing w:val="5"/>
          <w:w w:val="105"/>
          <w:sz w:val="13"/>
        </w:rPr>
        <w:t> </w:t>
      </w:r>
      <w:r>
        <w:rPr>
          <w:w w:val="105"/>
          <w:sz w:val="13"/>
        </w:rPr>
        <w:t>Smith),</w:t>
      </w:r>
      <w:r>
        <w:rPr>
          <w:spacing w:val="5"/>
          <w:w w:val="105"/>
          <w:sz w:val="13"/>
        </w:rPr>
        <w:t> </w:t>
      </w:r>
      <w:r>
        <w:rPr>
          <w:spacing w:val="-3"/>
          <w:w w:val="105"/>
          <w:sz w:val="13"/>
        </w:rPr>
        <w:t>19</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20</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23</w:t>
      </w:r>
      <w:r>
        <w:rPr>
          <w:spacing w:val="5"/>
          <w:w w:val="105"/>
          <w:sz w:val="13"/>
        </w:rPr>
        <w:t> </w:t>
      </w:r>
      <w:r>
        <w:rPr>
          <w:spacing w:val="2"/>
          <w:w w:val="105"/>
          <w:sz w:val="13"/>
        </w:rPr>
        <w:t>(Name</w:t>
      </w:r>
      <w:r>
        <w:rPr>
          <w:spacing w:val="5"/>
          <w:w w:val="105"/>
          <w:sz w:val="13"/>
        </w:rPr>
        <w:t> </w:t>
      </w:r>
      <w:r>
        <w:rPr>
          <w:w w:val="105"/>
          <w:sz w:val="13"/>
        </w:rPr>
        <w:t>withheld).</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0"/>
          <w:numId w:val="64"/>
        </w:numPr>
        <w:tabs>
          <w:tab w:pos="2380" w:val="left" w:leader="none"/>
          <w:tab w:pos="2381" w:val="left" w:leader="none"/>
        </w:tabs>
        <w:spacing w:line="242" w:lineRule="auto" w:before="92" w:after="0"/>
        <w:ind w:left="2381" w:right="2127" w:hanging="794"/>
        <w:jc w:val="left"/>
        <w:rPr>
          <w:sz w:val="21"/>
        </w:rPr>
      </w:pPr>
      <w:r>
        <w:rPr>
          <w:spacing w:val="-3"/>
          <w:w w:val="105"/>
          <w:sz w:val="21"/>
        </w:rPr>
        <w:t>Community </w:t>
      </w:r>
      <w:r>
        <w:rPr>
          <w:w w:val="105"/>
          <w:sz w:val="21"/>
        </w:rPr>
        <w:t>feedback </w:t>
      </w:r>
      <w:r>
        <w:rPr>
          <w:spacing w:val="-3"/>
          <w:w w:val="105"/>
          <w:sz w:val="21"/>
        </w:rPr>
        <w:t>generally </w:t>
      </w:r>
      <w:r>
        <w:rPr>
          <w:w w:val="105"/>
          <w:sz w:val="21"/>
        </w:rPr>
        <w:t>supported the </w:t>
      </w:r>
      <w:r>
        <w:rPr>
          <w:spacing w:val="-3"/>
          <w:w w:val="105"/>
          <w:sz w:val="21"/>
        </w:rPr>
        <w:t>inclusion </w:t>
      </w:r>
      <w:r>
        <w:rPr>
          <w:w w:val="105"/>
          <w:sz w:val="21"/>
        </w:rPr>
        <w:t>of </w:t>
      </w:r>
      <w:r>
        <w:rPr>
          <w:spacing w:val="-3"/>
          <w:w w:val="105"/>
          <w:sz w:val="21"/>
        </w:rPr>
        <w:t>future </w:t>
      </w:r>
      <w:r>
        <w:rPr>
          <w:w w:val="105"/>
          <w:sz w:val="21"/>
        </w:rPr>
        <w:t>damage </w:t>
      </w:r>
      <w:r>
        <w:rPr>
          <w:spacing w:val="-3"/>
          <w:w w:val="105"/>
          <w:sz w:val="21"/>
        </w:rPr>
        <w:t>within  </w:t>
      </w:r>
      <w:r>
        <w:rPr>
          <w:w w:val="105"/>
          <w:sz w:val="21"/>
        </w:rPr>
        <w:t>the scope of a new Act. One </w:t>
      </w:r>
      <w:r>
        <w:rPr>
          <w:spacing w:val="-3"/>
          <w:w w:val="105"/>
          <w:sz w:val="21"/>
        </w:rPr>
        <w:t>submission noted that ‘future </w:t>
      </w:r>
      <w:r>
        <w:rPr>
          <w:w w:val="105"/>
          <w:sz w:val="21"/>
        </w:rPr>
        <w:t>damage is an important </w:t>
      </w:r>
      <w:r>
        <w:rPr>
          <w:spacing w:val="-3"/>
          <w:w w:val="105"/>
          <w:sz w:val="21"/>
        </w:rPr>
        <w:t>concern </w:t>
      </w:r>
      <w:r>
        <w:rPr>
          <w:w w:val="105"/>
          <w:sz w:val="21"/>
        </w:rPr>
        <w:t>and must be </w:t>
      </w:r>
      <w:r>
        <w:rPr>
          <w:spacing w:val="-4"/>
          <w:w w:val="105"/>
          <w:sz w:val="21"/>
        </w:rPr>
        <w:t>included’.</w:t>
      </w:r>
      <w:r>
        <w:rPr>
          <w:spacing w:val="-4"/>
          <w:w w:val="105"/>
          <w:position w:val="7"/>
          <w:sz w:val="12"/>
        </w:rPr>
        <w:t>321 </w:t>
      </w:r>
      <w:r>
        <w:rPr>
          <w:w w:val="105"/>
          <w:sz w:val="21"/>
        </w:rPr>
        <w:t>Others suggested </w:t>
      </w:r>
      <w:r>
        <w:rPr>
          <w:spacing w:val="-3"/>
          <w:w w:val="105"/>
          <w:sz w:val="21"/>
        </w:rPr>
        <w:t>timeframes </w:t>
      </w:r>
      <w:r>
        <w:rPr>
          <w:w w:val="105"/>
          <w:sz w:val="21"/>
        </w:rPr>
        <w:t>and risk</w:t>
      </w:r>
      <w:r>
        <w:rPr>
          <w:spacing w:val="-32"/>
          <w:w w:val="105"/>
          <w:sz w:val="21"/>
        </w:rPr>
        <w:t> </w:t>
      </w:r>
      <w:r>
        <w:rPr>
          <w:w w:val="105"/>
          <w:sz w:val="21"/>
        </w:rPr>
        <w:t>assessment methodologies as </w:t>
      </w:r>
      <w:r>
        <w:rPr>
          <w:spacing w:val="-3"/>
          <w:w w:val="105"/>
          <w:sz w:val="21"/>
        </w:rPr>
        <w:t>safeguards.</w:t>
      </w:r>
      <w:r>
        <w:rPr>
          <w:spacing w:val="-3"/>
          <w:w w:val="105"/>
          <w:position w:val="7"/>
          <w:sz w:val="12"/>
        </w:rPr>
        <w:t>322 </w:t>
      </w:r>
      <w:r>
        <w:rPr>
          <w:w w:val="105"/>
          <w:sz w:val="21"/>
        </w:rPr>
        <w:t>Arborist Dr Karen </w:t>
      </w:r>
      <w:r>
        <w:rPr>
          <w:spacing w:val="-3"/>
          <w:w w:val="105"/>
          <w:sz w:val="21"/>
        </w:rPr>
        <w:t>Smith </w:t>
      </w:r>
      <w:r>
        <w:rPr>
          <w:w w:val="105"/>
          <w:sz w:val="21"/>
        </w:rPr>
        <w:t>stated </w:t>
      </w:r>
      <w:r>
        <w:rPr>
          <w:spacing w:val="-3"/>
          <w:w w:val="105"/>
          <w:sz w:val="21"/>
        </w:rPr>
        <w:t>that future</w:t>
      </w:r>
      <w:r>
        <w:rPr>
          <w:spacing w:val="-19"/>
          <w:w w:val="105"/>
          <w:sz w:val="21"/>
        </w:rPr>
        <w:t> </w:t>
      </w:r>
      <w:r>
        <w:rPr>
          <w:w w:val="105"/>
          <w:sz w:val="21"/>
        </w:rPr>
        <w:t>damage</w:t>
      </w:r>
    </w:p>
    <w:p>
      <w:pPr>
        <w:pStyle w:val="BodyText"/>
        <w:spacing w:line="242" w:lineRule="auto" w:before="4"/>
        <w:ind w:left="2381" w:right="1810"/>
        <w:rPr>
          <w:sz w:val="12"/>
        </w:rPr>
      </w:pPr>
      <w:r>
        <w:rPr>
          <w:w w:val="105"/>
        </w:rPr>
        <w:t>would be </w:t>
      </w:r>
      <w:r>
        <w:rPr>
          <w:spacing w:val="-3"/>
          <w:w w:val="105"/>
        </w:rPr>
        <w:t>appropriate </w:t>
      </w:r>
      <w:r>
        <w:rPr>
          <w:w w:val="105"/>
        </w:rPr>
        <w:t>if assessed </w:t>
      </w:r>
      <w:r>
        <w:rPr>
          <w:spacing w:val="-3"/>
          <w:w w:val="105"/>
        </w:rPr>
        <w:t>within </w:t>
      </w:r>
      <w:r>
        <w:rPr>
          <w:w w:val="105"/>
        </w:rPr>
        <w:t>a </w:t>
      </w:r>
      <w:r>
        <w:rPr>
          <w:spacing w:val="-3"/>
          <w:w w:val="105"/>
        </w:rPr>
        <w:t>timeframe </w:t>
      </w:r>
      <w:r>
        <w:rPr>
          <w:w w:val="105"/>
        </w:rPr>
        <w:t>of </w:t>
      </w:r>
      <w:r>
        <w:rPr>
          <w:spacing w:val="-9"/>
          <w:w w:val="105"/>
        </w:rPr>
        <w:t>12 </w:t>
      </w:r>
      <w:r>
        <w:rPr>
          <w:spacing w:val="-3"/>
          <w:w w:val="105"/>
        </w:rPr>
        <w:t>months </w:t>
      </w:r>
      <w:r>
        <w:rPr>
          <w:w w:val="105"/>
        </w:rPr>
        <w:t>and ‘when assessed </w:t>
      </w:r>
      <w:r>
        <w:rPr>
          <w:spacing w:val="-3"/>
          <w:w w:val="105"/>
        </w:rPr>
        <w:t>according to </w:t>
      </w:r>
      <w:r>
        <w:rPr>
          <w:w w:val="105"/>
        </w:rPr>
        <w:t>the </w:t>
      </w:r>
      <w:r>
        <w:rPr>
          <w:spacing w:val="-3"/>
          <w:w w:val="105"/>
        </w:rPr>
        <w:t>Australian Standard for </w:t>
      </w:r>
      <w:r>
        <w:rPr>
          <w:w w:val="105"/>
        </w:rPr>
        <w:t>Risk </w:t>
      </w:r>
      <w:r>
        <w:rPr>
          <w:spacing w:val="-3"/>
          <w:w w:val="105"/>
        </w:rPr>
        <w:t>Management’.</w:t>
      </w:r>
      <w:r>
        <w:rPr>
          <w:spacing w:val="-3"/>
          <w:w w:val="105"/>
          <w:position w:val="7"/>
          <w:sz w:val="12"/>
        </w:rPr>
        <w:t>323 </w:t>
      </w:r>
      <w:r>
        <w:rPr>
          <w:w w:val="105"/>
        </w:rPr>
        <w:t>Dr </w:t>
      </w:r>
      <w:r>
        <w:rPr>
          <w:spacing w:val="-3"/>
          <w:w w:val="105"/>
        </w:rPr>
        <w:t>Smith noted that </w:t>
      </w:r>
      <w:r>
        <w:rPr>
          <w:w w:val="105"/>
        </w:rPr>
        <w:t>damage </w:t>
      </w:r>
      <w:r>
        <w:rPr>
          <w:spacing w:val="-3"/>
          <w:w w:val="105"/>
        </w:rPr>
        <w:t>that may </w:t>
      </w:r>
      <w:r>
        <w:rPr>
          <w:w w:val="105"/>
        </w:rPr>
        <w:t>be caused at some unknown time would </w:t>
      </w:r>
      <w:r>
        <w:rPr>
          <w:spacing w:val="-2"/>
          <w:w w:val="105"/>
        </w:rPr>
        <w:t>not </w:t>
      </w:r>
      <w:r>
        <w:rPr>
          <w:w w:val="105"/>
        </w:rPr>
        <w:t>be sufficient.</w:t>
      </w:r>
      <w:r>
        <w:rPr>
          <w:w w:val="105"/>
          <w:position w:val="7"/>
          <w:sz w:val="12"/>
        </w:rPr>
        <w:t>324</w:t>
      </w:r>
    </w:p>
    <w:p>
      <w:pPr>
        <w:pStyle w:val="ListParagraph"/>
        <w:numPr>
          <w:ilvl w:val="0"/>
          <w:numId w:val="64"/>
        </w:numPr>
        <w:tabs>
          <w:tab w:pos="2381" w:val="left" w:leader="none"/>
          <w:tab w:pos="2382" w:val="left" w:leader="none"/>
        </w:tabs>
        <w:spacing w:line="242" w:lineRule="auto" w:before="123" w:after="0"/>
        <w:ind w:left="2381" w:right="1673" w:hanging="794"/>
        <w:jc w:val="left"/>
        <w:rPr>
          <w:sz w:val="21"/>
        </w:rPr>
      </w:pPr>
      <w:r>
        <w:rPr>
          <w:sz w:val="21"/>
        </w:rPr>
        <w:t>Dr Gregory Moore OAM explained </w:t>
      </w:r>
      <w:r>
        <w:rPr>
          <w:spacing w:val="-3"/>
          <w:sz w:val="21"/>
        </w:rPr>
        <w:t>that ‘it </w:t>
      </w:r>
      <w:r>
        <w:rPr>
          <w:sz w:val="21"/>
        </w:rPr>
        <w:t>can be difficult </w:t>
      </w:r>
      <w:r>
        <w:rPr>
          <w:spacing w:val="-3"/>
          <w:sz w:val="21"/>
        </w:rPr>
        <w:t>to </w:t>
      </w:r>
      <w:r>
        <w:rPr>
          <w:sz w:val="21"/>
        </w:rPr>
        <w:t>predict a </w:t>
      </w:r>
      <w:r>
        <w:rPr>
          <w:spacing w:val="-4"/>
          <w:sz w:val="21"/>
        </w:rPr>
        <w:t>tree’s </w:t>
      </w:r>
      <w:r>
        <w:rPr>
          <w:spacing w:val="-5"/>
          <w:sz w:val="21"/>
        </w:rPr>
        <w:t>future’.</w:t>
      </w:r>
      <w:r>
        <w:rPr>
          <w:spacing w:val="-5"/>
          <w:position w:val="7"/>
          <w:sz w:val="12"/>
        </w:rPr>
        <w:t>325 </w:t>
      </w:r>
      <w:r>
        <w:rPr>
          <w:sz w:val="21"/>
        </w:rPr>
        <w:t>He identified two risk assessment tools </w:t>
      </w:r>
      <w:r>
        <w:rPr>
          <w:spacing w:val="-3"/>
          <w:sz w:val="21"/>
        </w:rPr>
        <w:t>that are </w:t>
      </w:r>
      <w:r>
        <w:rPr>
          <w:sz w:val="21"/>
        </w:rPr>
        <w:t>used </w:t>
      </w:r>
      <w:r>
        <w:rPr>
          <w:spacing w:val="-3"/>
          <w:sz w:val="21"/>
        </w:rPr>
        <w:t>to </w:t>
      </w:r>
      <w:r>
        <w:rPr>
          <w:sz w:val="21"/>
        </w:rPr>
        <w:t>assess the </w:t>
      </w:r>
      <w:r>
        <w:rPr>
          <w:spacing w:val="-3"/>
          <w:sz w:val="21"/>
        </w:rPr>
        <w:t>future </w:t>
      </w:r>
      <w:r>
        <w:rPr>
          <w:sz w:val="21"/>
        </w:rPr>
        <w:t>risk of</w:t>
      </w:r>
      <w:r>
        <w:rPr>
          <w:spacing w:val="-15"/>
          <w:sz w:val="21"/>
        </w:rPr>
        <w:t> </w:t>
      </w:r>
      <w:r>
        <w:rPr>
          <w:sz w:val="21"/>
        </w:rPr>
        <w:t>trees:</w:t>
      </w:r>
    </w:p>
    <w:p>
      <w:pPr>
        <w:pStyle w:val="ListParagraph"/>
        <w:numPr>
          <w:ilvl w:val="1"/>
          <w:numId w:val="64"/>
        </w:numPr>
        <w:tabs>
          <w:tab w:pos="2721" w:val="left" w:leader="none"/>
          <w:tab w:pos="2722" w:val="left" w:leader="none"/>
        </w:tabs>
        <w:spacing w:line="240" w:lineRule="auto" w:before="123" w:after="0"/>
        <w:ind w:left="2721" w:right="0" w:hanging="340"/>
        <w:jc w:val="left"/>
        <w:rPr>
          <w:sz w:val="21"/>
        </w:rPr>
      </w:pPr>
      <w:r>
        <w:rPr>
          <w:spacing w:val="-5"/>
          <w:sz w:val="21"/>
        </w:rPr>
        <w:t>Tree </w:t>
      </w:r>
      <w:r>
        <w:rPr>
          <w:sz w:val="21"/>
        </w:rPr>
        <w:t>Risk Assessment</w:t>
      </w:r>
      <w:r>
        <w:rPr>
          <w:spacing w:val="-13"/>
          <w:sz w:val="21"/>
        </w:rPr>
        <w:t> </w:t>
      </w:r>
      <w:r>
        <w:rPr>
          <w:sz w:val="21"/>
        </w:rPr>
        <w:t>Qualification</w:t>
      </w:r>
    </w:p>
    <w:p>
      <w:pPr>
        <w:pStyle w:val="ListParagraph"/>
        <w:numPr>
          <w:ilvl w:val="1"/>
          <w:numId w:val="64"/>
        </w:numPr>
        <w:tabs>
          <w:tab w:pos="2721" w:val="left" w:leader="none"/>
          <w:tab w:pos="2722" w:val="left" w:leader="none"/>
        </w:tabs>
        <w:spacing w:line="240" w:lineRule="auto" w:before="88" w:after="0"/>
        <w:ind w:left="2721" w:right="0" w:hanging="340"/>
        <w:jc w:val="left"/>
        <w:rPr>
          <w:sz w:val="12"/>
        </w:rPr>
      </w:pPr>
      <w:r>
        <w:rPr>
          <w:w w:val="105"/>
          <w:sz w:val="21"/>
        </w:rPr>
        <w:t>Quantified </w:t>
      </w:r>
      <w:r>
        <w:rPr>
          <w:spacing w:val="-5"/>
          <w:w w:val="105"/>
          <w:sz w:val="21"/>
        </w:rPr>
        <w:t>Tree </w:t>
      </w:r>
      <w:r>
        <w:rPr>
          <w:w w:val="105"/>
          <w:sz w:val="21"/>
        </w:rPr>
        <w:t>Risk</w:t>
      </w:r>
      <w:r>
        <w:rPr>
          <w:spacing w:val="19"/>
          <w:w w:val="105"/>
          <w:sz w:val="21"/>
        </w:rPr>
        <w:t> </w:t>
      </w:r>
      <w:r>
        <w:rPr>
          <w:w w:val="105"/>
          <w:sz w:val="21"/>
        </w:rPr>
        <w:t>Assessment.</w:t>
      </w:r>
      <w:r>
        <w:rPr>
          <w:w w:val="105"/>
          <w:position w:val="7"/>
          <w:sz w:val="12"/>
        </w:rPr>
        <w:t>326</w:t>
      </w:r>
    </w:p>
    <w:p>
      <w:pPr>
        <w:pStyle w:val="ListParagraph"/>
        <w:numPr>
          <w:ilvl w:val="0"/>
          <w:numId w:val="64"/>
        </w:numPr>
        <w:tabs>
          <w:tab w:pos="2380" w:val="left" w:leader="none"/>
          <w:tab w:pos="2381" w:val="left" w:leader="none"/>
        </w:tabs>
        <w:spacing w:line="242" w:lineRule="auto" w:before="89" w:after="0"/>
        <w:ind w:left="2381" w:right="1845" w:hanging="794"/>
        <w:jc w:val="left"/>
        <w:rPr>
          <w:sz w:val="21"/>
        </w:rPr>
      </w:pPr>
      <w:r>
        <w:rPr>
          <w:w w:val="105"/>
          <w:sz w:val="21"/>
        </w:rPr>
        <w:t>The </w:t>
      </w:r>
      <w:r>
        <w:rPr>
          <w:spacing w:val="-3"/>
          <w:w w:val="105"/>
          <w:sz w:val="21"/>
        </w:rPr>
        <w:t>City </w:t>
      </w:r>
      <w:r>
        <w:rPr>
          <w:w w:val="105"/>
          <w:sz w:val="21"/>
        </w:rPr>
        <w:t>of </w:t>
      </w:r>
      <w:r>
        <w:rPr>
          <w:spacing w:val="-3"/>
          <w:w w:val="105"/>
          <w:sz w:val="21"/>
        </w:rPr>
        <w:t>Boroondara </w:t>
      </w:r>
      <w:r>
        <w:rPr>
          <w:w w:val="105"/>
          <w:sz w:val="21"/>
        </w:rPr>
        <w:t>uses an industry-recognised risk assessment methodology and AQF</w:t>
      </w:r>
      <w:r>
        <w:rPr>
          <w:spacing w:val="-13"/>
          <w:w w:val="105"/>
          <w:sz w:val="21"/>
        </w:rPr>
        <w:t> </w:t>
      </w:r>
      <w:r>
        <w:rPr>
          <w:w w:val="105"/>
          <w:sz w:val="21"/>
        </w:rPr>
        <w:t>Level</w:t>
      </w:r>
      <w:r>
        <w:rPr>
          <w:spacing w:val="-12"/>
          <w:w w:val="105"/>
          <w:sz w:val="21"/>
        </w:rPr>
        <w:t> </w:t>
      </w:r>
      <w:r>
        <w:rPr>
          <w:w w:val="105"/>
          <w:sz w:val="21"/>
        </w:rPr>
        <w:t>5</w:t>
      </w:r>
      <w:r>
        <w:rPr>
          <w:spacing w:val="-12"/>
          <w:w w:val="105"/>
          <w:sz w:val="21"/>
        </w:rPr>
        <w:t> </w:t>
      </w:r>
      <w:r>
        <w:rPr>
          <w:w w:val="105"/>
          <w:sz w:val="21"/>
        </w:rPr>
        <w:t>arborists</w:t>
      </w:r>
      <w:r>
        <w:rPr>
          <w:spacing w:val="-13"/>
          <w:w w:val="105"/>
          <w:sz w:val="21"/>
        </w:rPr>
        <w:t> </w:t>
      </w:r>
      <w:r>
        <w:rPr>
          <w:w w:val="105"/>
          <w:sz w:val="21"/>
        </w:rPr>
        <w:t>who</w:t>
      </w:r>
      <w:r>
        <w:rPr>
          <w:spacing w:val="-12"/>
          <w:w w:val="105"/>
          <w:sz w:val="21"/>
        </w:rPr>
        <w:t> </w:t>
      </w:r>
      <w:r>
        <w:rPr>
          <w:spacing w:val="-3"/>
          <w:w w:val="105"/>
          <w:sz w:val="21"/>
        </w:rPr>
        <w:t>have</w:t>
      </w:r>
      <w:r>
        <w:rPr>
          <w:spacing w:val="-12"/>
          <w:w w:val="105"/>
          <w:sz w:val="21"/>
        </w:rPr>
        <w:t> </w:t>
      </w:r>
      <w:r>
        <w:rPr>
          <w:w w:val="105"/>
          <w:sz w:val="21"/>
        </w:rPr>
        <w:t>practical</w:t>
      </w:r>
      <w:r>
        <w:rPr>
          <w:spacing w:val="-12"/>
          <w:w w:val="105"/>
          <w:sz w:val="21"/>
        </w:rPr>
        <w:t> </w:t>
      </w:r>
      <w:r>
        <w:rPr>
          <w:w w:val="105"/>
          <w:sz w:val="21"/>
        </w:rPr>
        <w:t>experience</w:t>
      </w:r>
      <w:r>
        <w:rPr>
          <w:spacing w:val="-13"/>
          <w:w w:val="105"/>
          <w:sz w:val="21"/>
        </w:rPr>
        <w:t> </w:t>
      </w:r>
      <w:r>
        <w:rPr>
          <w:w w:val="105"/>
          <w:sz w:val="21"/>
        </w:rPr>
        <w:t>in</w:t>
      </w:r>
      <w:r>
        <w:rPr>
          <w:spacing w:val="-12"/>
          <w:w w:val="105"/>
          <w:sz w:val="21"/>
        </w:rPr>
        <w:t> </w:t>
      </w:r>
      <w:r>
        <w:rPr>
          <w:w w:val="105"/>
          <w:sz w:val="21"/>
        </w:rPr>
        <w:t>assessing</w:t>
      </w:r>
      <w:r>
        <w:rPr>
          <w:spacing w:val="-12"/>
          <w:w w:val="105"/>
          <w:sz w:val="21"/>
        </w:rPr>
        <w:t> </w:t>
      </w:r>
      <w:r>
        <w:rPr>
          <w:w w:val="105"/>
          <w:sz w:val="21"/>
        </w:rPr>
        <w:t>risks</w:t>
      </w:r>
      <w:r>
        <w:rPr>
          <w:spacing w:val="-12"/>
          <w:w w:val="105"/>
          <w:sz w:val="21"/>
        </w:rPr>
        <w:t> </w:t>
      </w:r>
      <w:r>
        <w:rPr>
          <w:w w:val="105"/>
          <w:sz w:val="21"/>
        </w:rPr>
        <w:t>posed</w:t>
      </w:r>
      <w:r>
        <w:rPr>
          <w:spacing w:val="-13"/>
          <w:w w:val="105"/>
          <w:sz w:val="21"/>
        </w:rPr>
        <w:t> </w:t>
      </w:r>
      <w:r>
        <w:rPr>
          <w:w w:val="105"/>
          <w:sz w:val="21"/>
        </w:rPr>
        <w:t>by</w:t>
      </w:r>
      <w:r>
        <w:rPr>
          <w:spacing w:val="-12"/>
          <w:w w:val="105"/>
          <w:sz w:val="21"/>
        </w:rPr>
        <w:t> </w:t>
      </w:r>
      <w:r>
        <w:rPr>
          <w:w w:val="105"/>
          <w:sz w:val="21"/>
        </w:rPr>
        <w:t>trees.</w:t>
      </w:r>
      <w:r>
        <w:rPr>
          <w:w w:val="105"/>
          <w:position w:val="7"/>
          <w:sz w:val="12"/>
        </w:rPr>
        <w:t>327</w:t>
      </w:r>
      <w:r>
        <w:rPr>
          <w:w w:val="105"/>
          <w:sz w:val="12"/>
        </w:rPr>
        <w:t> </w:t>
      </w:r>
      <w:r>
        <w:rPr>
          <w:spacing w:val="-3"/>
          <w:w w:val="105"/>
          <w:sz w:val="21"/>
        </w:rPr>
        <w:t>Boroondara </w:t>
      </w:r>
      <w:r>
        <w:rPr>
          <w:w w:val="105"/>
          <w:sz w:val="21"/>
        </w:rPr>
        <w:t>advised</w:t>
      </w:r>
      <w:r>
        <w:rPr>
          <w:spacing w:val="13"/>
          <w:w w:val="105"/>
          <w:sz w:val="21"/>
        </w:rPr>
        <w:t> </w:t>
      </w:r>
      <w:r>
        <w:rPr>
          <w:w w:val="105"/>
          <w:sz w:val="21"/>
        </w:rPr>
        <w:t>that:</w:t>
      </w:r>
    </w:p>
    <w:p>
      <w:pPr>
        <w:spacing w:line="254" w:lineRule="auto" w:before="133"/>
        <w:ind w:left="2834" w:right="1961" w:firstLine="0"/>
        <w:jc w:val="left"/>
        <w:rPr>
          <w:sz w:val="20"/>
        </w:rPr>
      </w:pPr>
      <w:r>
        <w:rPr>
          <w:w w:val="105"/>
          <w:sz w:val="20"/>
        </w:rPr>
        <w:t>Any </w:t>
      </w:r>
      <w:r>
        <w:rPr>
          <w:spacing w:val="-3"/>
          <w:w w:val="105"/>
          <w:sz w:val="20"/>
        </w:rPr>
        <w:t>claims relating </w:t>
      </w:r>
      <w:r>
        <w:rPr>
          <w:w w:val="105"/>
          <w:sz w:val="20"/>
        </w:rPr>
        <w:t>to </w:t>
      </w:r>
      <w:r>
        <w:rPr>
          <w:spacing w:val="-3"/>
          <w:w w:val="105"/>
          <w:sz w:val="20"/>
        </w:rPr>
        <w:t>future </w:t>
      </w:r>
      <w:r>
        <w:rPr>
          <w:w w:val="105"/>
          <w:sz w:val="20"/>
        </w:rPr>
        <w:t>damage or harm need to be based on evidence, not the</w:t>
      </w:r>
      <w:r>
        <w:rPr>
          <w:spacing w:val="-9"/>
          <w:w w:val="105"/>
          <w:sz w:val="20"/>
        </w:rPr>
        <w:t> </w:t>
      </w:r>
      <w:r>
        <w:rPr>
          <w:w w:val="105"/>
          <w:sz w:val="20"/>
        </w:rPr>
        <w:t>perceptions</w:t>
      </w:r>
      <w:r>
        <w:rPr>
          <w:spacing w:val="-8"/>
          <w:w w:val="105"/>
          <w:sz w:val="20"/>
        </w:rPr>
        <w:t> </w:t>
      </w:r>
      <w:r>
        <w:rPr>
          <w:w w:val="105"/>
          <w:sz w:val="20"/>
        </w:rPr>
        <w:t>of</w:t>
      </w:r>
      <w:r>
        <w:rPr>
          <w:spacing w:val="-8"/>
          <w:w w:val="105"/>
          <w:sz w:val="20"/>
        </w:rPr>
        <w:t> </w:t>
      </w:r>
      <w:r>
        <w:rPr>
          <w:w w:val="105"/>
          <w:sz w:val="20"/>
        </w:rPr>
        <w:t>neighbours,</w:t>
      </w:r>
      <w:r>
        <w:rPr>
          <w:spacing w:val="-9"/>
          <w:w w:val="105"/>
          <w:sz w:val="20"/>
        </w:rPr>
        <w:t> </w:t>
      </w:r>
      <w:r>
        <w:rPr>
          <w:w w:val="105"/>
          <w:sz w:val="20"/>
        </w:rPr>
        <w:t>and</w:t>
      </w:r>
      <w:r>
        <w:rPr>
          <w:spacing w:val="-8"/>
          <w:w w:val="105"/>
          <w:sz w:val="20"/>
        </w:rPr>
        <w:t> </w:t>
      </w:r>
      <w:r>
        <w:rPr>
          <w:w w:val="105"/>
          <w:sz w:val="20"/>
        </w:rPr>
        <w:t>must</w:t>
      </w:r>
      <w:r>
        <w:rPr>
          <w:spacing w:val="-8"/>
          <w:w w:val="105"/>
          <w:sz w:val="20"/>
        </w:rPr>
        <w:t> </w:t>
      </w:r>
      <w:r>
        <w:rPr>
          <w:w w:val="105"/>
          <w:sz w:val="20"/>
        </w:rPr>
        <w:t>be</w:t>
      </w:r>
      <w:r>
        <w:rPr>
          <w:spacing w:val="-8"/>
          <w:w w:val="105"/>
          <w:sz w:val="20"/>
        </w:rPr>
        <w:t> </w:t>
      </w:r>
      <w:r>
        <w:rPr>
          <w:w w:val="105"/>
          <w:sz w:val="20"/>
        </w:rPr>
        <w:t>assessed</w:t>
      </w:r>
      <w:r>
        <w:rPr>
          <w:spacing w:val="-9"/>
          <w:w w:val="105"/>
          <w:sz w:val="20"/>
        </w:rPr>
        <w:t> </w:t>
      </w:r>
      <w:r>
        <w:rPr>
          <w:w w:val="105"/>
          <w:sz w:val="20"/>
        </w:rPr>
        <w:t>by</w:t>
      </w:r>
      <w:r>
        <w:rPr>
          <w:spacing w:val="-8"/>
          <w:w w:val="105"/>
          <w:sz w:val="20"/>
        </w:rPr>
        <w:t> </w:t>
      </w:r>
      <w:r>
        <w:rPr>
          <w:w w:val="105"/>
          <w:sz w:val="20"/>
        </w:rPr>
        <w:t>a</w:t>
      </w:r>
      <w:r>
        <w:rPr>
          <w:spacing w:val="-8"/>
          <w:w w:val="105"/>
          <w:sz w:val="20"/>
        </w:rPr>
        <w:t> </w:t>
      </w:r>
      <w:r>
        <w:rPr>
          <w:w w:val="105"/>
          <w:sz w:val="20"/>
        </w:rPr>
        <w:t>qualified</w:t>
      </w:r>
      <w:r>
        <w:rPr>
          <w:spacing w:val="-8"/>
          <w:w w:val="105"/>
          <w:sz w:val="20"/>
        </w:rPr>
        <w:t> </w:t>
      </w:r>
      <w:r>
        <w:rPr>
          <w:w w:val="105"/>
          <w:sz w:val="20"/>
        </w:rPr>
        <w:t>arborist</w:t>
      </w:r>
      <w:r>
        <w:rPr>
          <w:spacing w:val="-9"/>
          <w:w w:val="105"/>
          <w:sz w:val="20"/>
        </w:rPr>
        <w:t> </w:t>
      </w:r>
      <w:r>
        <w:rPr>
          <w:w w:val="105"/>
          <w:sz w:val="20"/>
        </w:rPr>
        <w:t>using</w:t>
      </w:r>
      <w:r>
        <w:rPr>
          <w:spacing w:val="-8"/>
          <w:w w:val="105"/>
          <w:sz w:val="20"/>
        </w:rPr>
        <w:t> </w:t>
      </w:r>
      <w:r>
        <w:rPr>
          <w:w w:val="105"/>
          <w:sz w:val="20"/>
        </w:rPr>
        <w:t>an industry</w:t>
      </w:r>
      <w:r>
        <w:rPr>
          <w:spacing w:val="-7"/>
          <w:w w:val="105"/>
          <w:sz w:val="20"/>
        </w:rPr>
        <w:t> </w:t>
      </w:r>
      <w:r>
        <w:rPr>
          <w:w w:val="105"/>
          <w:sz w:val="20"/>
        </w:rPr>
        <w:t>recognised</w:t>
      </w:r>
      <w:r>
        <w:rPr>
          <w:spacing w:val="-7"/>
          <w:w w:val="105"/>
          <w:sz w:val="20"/>
        </w:rPr>
        <w:t> </w:t>
      </w:r>
      <w:r>
        <w:rPr>
          <w:w w:val="105"/>
          <w:sz w:val="20"/>
        </w:rPr>
        <w:t>risk</w:t>
      </w:r>
      <w:r>
        <w:rPr>
          <w:spacing w:val="-7"/>
          <w:w w:val="105"/>
          <w:sz w:val="20"/>
        </w:rPr>
        <w:t> </w:t>
      </w:r>
      <w:r>
        <w:rPr>
          <w:w w:val="105"/>
          <w:sz w:val="20"/>
        </w:rPr>
        <w:t>assessment</w:t>
      </w:r>
      <w:r>
        <w:rPr>
          <w:spacing w:val="-7"/>
          <w:w w:val="105"/>
          <w:sz w:val="20"/>
        </w:rPr>
        <w:t> </w:t>
      </w:r>
      <w:r>
        <w:rPr>
          <w:w w:val="105"/>
          <w:sz w:val="20"/>
        </w:rPr>
        <w:t>methodology</w:t>
      </w:r>
      <w:r>
        <w:rPr>
          <w:spacing w:val="-6"/>
          <w:w w:val="105"/>
          <w:sz w:val="20"/>
        </w:rPr>
        <w:t> </w:t>
      </w:r>
      <w:r>
        <w:rPr>
          <w:w w:val="115"/>
          <w:sz w:val="20"/>
        </w:rPr>
        <w:t>…</w:t>
      </w:r>
      <w:r>
        <w:rPr>
          <w:spacing w:val="-12"/>
          <w:w w:val="115"/>
          <w:sz w:val="20"/>
        </w:rPr>
        <w:t> </w:t>
      </w:r>
      <w:r>
        <w:rPr>
          <w:w w:val="105"/>
          <w:sz w:val="20"/>
        </w:rPr>
        <w:t>risk</w:t>
      </w:r>
      <w:r>
        <w:rPr>
          <w:spacing w:val="-6"/>
          <w:w w:val="105"/>
          <w:sz w:val="20"/>
        </w:rPr>
        <w:t> </w:t>
      </w:r>
      <w:r>
        <w:rPr>
          <w:w w:val="105"/>
          <w:sz w:val="20"/>
        </w:rPr>
        <w:t>assessments</w:t>
      </w:r>
      <w:r>
        <w:rPr>
          <w:spacing w:val="-7"/>
          <w:w w:val="105"/>
          <w:sz w:val="20"/>
        </w:rPr>
        <w:t> </w:t>
      </w:r>
      <w:r>
        <w:rPr>
          <w:w w:val="105"/>
          <w:sz w:val="20"/>
        </w:rPr>
        <w:t>that</w:t>
      </w:r>
      <w:r>
        <w:rPr>
          <w:spacing w:val="-7"/>
          <w:w w:val="105"/>
          <w:sz w:val="20"/>
        </w:rPr>
        <w:t> </w:t>
      </w:r>
      <w:r>
        <w:rPr>
          <w:w w:val="105"/>
          <w:sz w:val="20"/>
        </w:rPr>
        <w:t>extend</w:t>
      </w:r>
    </w:p>
    <w:p>
      <w:pPr>
        <w:spacing w:line="254" w:lineRule="auto" w:before="3"/>
        <w:ind w:left="2834" w:right="1636" w:firstLine="0"/>
        <w:jc w:val="left"/>
        <w:rPr>
          <w:sz w:val="11"/>
        </w:rPr>
      </w:pPr>
      <w:r>
        <w:rPr>
          <w:w w:val="105"/>
          <w:sz w:val="20"/>
        </w:rPr>
        <w:t>beyond</w:t>
      </w:r>
      <w:r>
        <w:rPr>
          <w:spacing w:val="-12"/>
          <w:w w:val="105"/>
          <w:sz w:val="20"/>
        </w:rPr>
        <w:t> </w:t>
      </w:r>
      <w:r>
        <w:rPr>
          <w:spacing w:val="-8"/>
          <w:w w:val="105"/>
          <w:sz w:val="20"/>
        </w:rPr>
        <w:t>12</w:t>
      </w:r>
      <w:r>
        <w:rPr>
          <w:spacing w:val="-11"/>
          <w:w w:val="105"/>
          <w:sz w:val="20"/>
        </w:rPr>
        <w:t> </w:t>
      </w:r>
      <w:r>
        <w:rPr>
          <w:w w:val="105"/>
          <w:sz w:val="20"/>
        </w:rPr>
        <w:t>months</w:t>
      </w:r>
      <w:r>
        <w:rPr>
          <w:spacing w:val="-11"/>
          <w:w w:val="105"/>
          <w:sz w:val="20"/>
        </w:rPr>
        <w:t> </w:t>
      </w:r>
      <w:r>
        <w:rPr>
          <w:w w:val="105"/>
          <w:sz w:val="20"/>
        </w:rPr>
        <w:t>can</w:t>
      </w:r>
      <w:r>
        <w:rPr>
          <w:spacing w:val="-12"/>
          <w:w w:val="105"/>
          <w:sz w:val="20"/>
        </w:rPr>
        <w:t> </w:t>
      </w:r>
      <w:r>
        <w:rPr>
          <w:w w:val="105"/>
          <w:sz w:val="20"/>
        </w:rPr>
        <w:t>provide</w:t>
      </w:r>
      <w:r>
        <w:rPr>
          <w:spacing w:val="-11"/>
          <w:w w:val="105"/>
          <w:sz w:val="20"/>
        </w:rPr>
        <w:t> </w:t>
      </w:r>
      <w:r>
        <w:rPr>
          <w:spacing w:val="-3"/>
          <w:w w:val="105"/>
          <w:sz w:val="20"/>
        </w:rPr>
        <w:t>inaccurate</w:t>
      </w:r>
      <w:r>
        <w:rPr>
          <w:spacing w:val="-11"/>
          <w:w w:val="105"/>
          <w:sz w:val="20"/>
        </w:rPr>
        <w:t> </w:t>
      </w:r>
      <w:r>
        <w:rPr>
          <w:w w:val="105"/>
          <w:sz w:val="20"/>
        </w:rPr>
        <w:t>results</w:t>
      </w:r>
      <w:r>
        <w:rPr>
          <w:spacing w:val="-12"/>
          <w:w w:val="105"/>
          <w:sz w:val="20"/>
        </w:rPr>
        <w:t> </w:t>
      </w:r>
      <w:r>
        <w:rPr>
          <w:w w:val="105"/>
          <w:sz w:val="20"/>
        </w:rPr>
        <w:t>that</w:t>
      </w:r>
      <w:r>
        <w:rPr>
          <w:spacing w:val="-11"/>
          <w:w w:val="105"/>
          <w:sz w:val="20"/>
        </w:rPr>
        <w:t> </w:t>
      </w:r>
      <w:r>
        <w:rPr>
          <w:w w:val="105"/>
          <w:sz w:val="20"/>
        </w:rPr>
        <w:t>do</w:t>
      </w:r>
      <w:r>
        <w:rPr>
          <w:spacing w:val="-11"/>
          <w:w w:val="105"/>
          <w:sz w:val="20"/>
        </w:rPr>
        <w:t> </w:t>
      </w:r>
      <w:r>
        <w:rPr>
          <w:w w:val="105"/>
          <w:sz w:val="20"/>
        </w:rPr>
        <w:t>not</w:t>
      </w:r>
      <w:r>
        <w:rPr>
          <w:spacing w:val="-12"/>
          <w:w w:val="105"/>
          <w:sz w:val="20"/>
        </w:rPr>
        <w:t> </w:t>
      </w:r>
      <w:r>
        <w:rPr>
          <w:spacing w:val="-3"/>
          <w:w w:val="105"/>
          <w:sz w:val="20"/>
        </w:rPr>
        <w:t>accurately</w:t>
      </w:r>
      <w:r>
        <w:rPr>
          <w:spacing w:val="-11"/>
          <w:w w:val="105"/>
          <w:sz w:val="20"/>
        </w:rPr>
        <w:t> </w:t>
      </w:r>
      <w:r>
        <w:rPr>
          <w:w w:val="105"/>
          <w:sz w:val="20"/>
        </w:rPr>
        <w:t>represent</w:t>
      </w:r>
      <w:r>
        <w:rPr>
          <w:spacing w:val="-11"/>
          <w:w w:val="105"/>
          <w:sz w:val="20"/>
        </w:rPr>
        <w:t> </w:t>
      </w:r>
      <w:r>
        <w:rPr>
          <w:w w:val="105"/>
          <w:sz w:val="20"/>
        </w:rPr>
        <w:t>tree risk and appropriate management</w:t>
      </w:r>
      <w:r>
        <w:rPr>
          <w:spacing w:val="17"/>
          <w:w w:val="105"/>
          <w:sz w:val="20"/>
        </w:rPr>
        <w:t> </w:t>
      </w:r>
      <w:r>
        <w:rPr>
          <w:w w:val="105"/>
          <w:sz w:val="20"/>
        </w:rPr>
        <w:t>options.</w:t>
      </w:r>
      <w:r>
        <w:rPr>
          <w:w w:val="105"/>
          <w:position w:val="7"/>
          <w:sz w:val="11"/>
        </w:rPr>
        <w:t>328</w:t>
      </w:r>
    </w:p>
    <w:p>
      <w:pPr>
        <w:pStyle w:val="ListParagraph"/>
        <w:numPr>
          <w:ilvl w:val="0"/>
          <w:numId w:val="64"/>
        </w:numPr>
        <w:tabs>
          <w:tab w:pos="2380" w:val="left" w:leader="none"/>
          <w:tab w:pos="2381" w:val="left" w:leader="none"/>
        </w:tabs>
        <w:spacing w:line="242" w:lineRule="auto" w:before="113" w:after="0"/>
        <w:ind w:left="2381" w:right="1692" w:hanging="794"/>
        <w:jc w:val="left"/>
        <w:rPr>
          <w:sz w:val="21"/>
        </w:rPr>
      </w:pPr>
      <w:r>
        <w:rPr>
          <w:w w:val="105"/>
          <w:sz w:val="21"/>
        </w:rPr>
        <w:t>Heritage Victoria suggested </w:t>
      </w:r>
      <w:r>
        <w:rPr>
          <w:spacing w:val="-3"/>
          <w:w w:val="105"/>
          <w:sz w:val="21"/>
        </w:rPr>
        <w:t>that </w:t>
      </w:r>
      <w:r>
        <w:rPr>
          <w:w w:val="105"/>
          <w:sz w:val="21"/>
        </w:rPr>
        <w:t>a </w:t>
      </w:r>
      <w:r>
        <w:rPr>
          <w:spacing w:val="-5"/>
          <w:w w:val="105"/>
          <w:sz w:val="21"/>
        </w:rPr>
        <w:t>12-month </w:t>
      </w:r>
      <w:r>
        <w:rPr>
          <w:w w:val="105"/>
          <w:sz w:val="21"/>
        </w:rPr>
        <w:t>time period </w:t>
      </w:r>
      <w:r>
        <w:rPr>
          <w:spacing w:val="-3"/>
          <w:w w:val="105"/>
          <w:sz w:val="21"/>
        </w:rPr>
        <w:t>may </w:t>
      </w:r>
      <w:r>
        <w:rPr>
          <w:w w:val="105"/>
          <w:sz w:val="21"/>
        </w:rPr>
        <w:t>be too long </w:t>
      </w:r>
      <w:r>
        <w:rPr>
          <w:spacing w:val="-3"/>
          <w:w w:val="105"/>
          <w:sz w:val="21"/>
        </w:rPr>
        <w:t>for </w:t>
      </w:r>
      <w:r>
        <w:rPr>
          <w:w w:val="105"/>
          <w:sz w:val="21"/>
        </w:rPr>
        <w:t>an arborists’</w:t>
      </w:r>
      <w:r>
        <w:rPr>
          <w:spacing w:val="-10"/>
          <w:w w:val="105"/>
          <w:sz w:val="21"/>
        </w:rPr>
        <w:t> </w:t>
      </w:r>
      <w:r>
        <w:rPr>
          <w:w w:val="105"/>
          <w:sz w:val="21"/>
        </w:rPr>
        <w:t>assessment.</w:t>
      </w:r>
      <w:r>
        <w:rPr>
          <w:w w:val="105"/>
          <w:position w:val="7"/>
          <w:sz w:val="12"/>
        </w:rPr>
        <w:t>329</w:t>
      </w:r>
      <w:r>
        <w:rPr>
          <w:spacing w:val="13"/>
          <w:w w:val="105"/>
          <w:position w:val="7"/>
          <w:sz w:val="12"/>
        </w:rPr>
        <w:t> </w:t>
      </w:r>
      <w:r>
        <w:rPr>
          <w:w w:val="105"/>
          <w:sz w:val="21"/>
        </w:rPr>
        <w:t>It</w:t>
      </w:r>
      <w:r>
        <w:rPr>
          <w:spacing w:val="-9"/>
          <w:w w:val="105"/>
          <w:sz w:val="21"/>
        </w:rPr>
        <w:t> </w:t>
      </w:r>
      <w:r>
        <w:rPr>
          <w:w w:val="105"/>
          <w:sz w:val="21"/>
        </w:rPr>
        <w:t>would</w:t>
      </w:r>
      <w:r>
        <w:rPr>
          <w:spacing w:val="-10"/>
          <w:w w:val="105"/>
          <w:sz w:val="21"/>
        </w:rPr>
        <w:t> </w:t>
      </w:r>
      <w:r>
        <w:rPr>
          <w:w w:val="105"/>
          <w:sz w:val="21"/>
        </w:rPr>
        <w:t>be</w:t>
      </w:r>
      <w:r>
        <w:rPr>
          <w:spacing w:val="-9"/>
          <w:w w:val="105"/>
          <w:sz w:val="21"/>
        </w:rPr>
        <w:t> </w:t>
      </w:r>
      <w:r>
        <w:rPr>
          <w:w w:val="105"/>
          <w:sz w:val="21"/>
        </w:rPr>
        <w:t>difficult</w:t>
      </w:r>
      <w:r>
        <w:rPr>
          <w:spacing w:val="-9"/>
          <w:w w:val="105"/>
          <w:sz w:val="21"/>
        </w:rPr>
        <w:t> </w:t>
      </w:r>
      <w:r>
        <w:rPr>
          <w:spacing w:val="-3"/>
          <w:w w:val="105"/>
          <w:sz w:val="21"/>
        </w:rPr>
        <w:t>for</w:t>
      </w:r>
      <w:r>
        <w:rPr>
          <w:spacing w:val="-10"/>
          <w:w w:val="105"/>
          <w:sz w:val="21"/>
        </w:rPr>
        <w:t> </w:t>
      </w:r>
      <w:r>
        <w:rPr>
          <w:w w:val="105"/>
          <w:sz w:val="21"/>
        </w:rPr>
        <w:t>an</w:t>
      </w:r>
      <w:r>
        <w:rPr>
          <w:spacing w:val="-9"/>
          <w:w w:val="105"/>
          <w:sz w:val="21"/>
        </w:rPr>
        <w:t> </w:t>
      </w:r>
      <w:r>
        <w:rPr>
          <w:w w:val="105"/>
          <w:sz w:val="21"/>
        </w:rPr>
        <w:t>arborist</w:t>
      </w:r>
      <w:r>
        <w:rPr>
          <w:spacing w:val="-10"/>
          <w:w w:val="105"/>
          <w:sz w:val="21"/>
        </w:rPr>
        <w:t> </w:t>
      </w:r>
      <w:r>
        <w:rPr>
          <w:spacing w:val="-3"/>
          <w:w w:val="105"/>
          <w:sz w:val="21"/>
        </w:rPr>
        <w:t>to</w:t>
      </w:r>
      <w:r>
        <w:rPr>
          <w:spacing w:val="-9"/>
          <w:w w:val="105"/>
          <w:sz w:val="21"/>
        </w:rPr>
        <w:t> </w:t>
      </w:r>
      <w:r>
        <w:rPr>
          <w:w w:val="105"/>
          <w:sz w:val="21"/>
        </w:rPr>
        <w:t>assess</w:t>
      </w:r>
      <w:r>
        <w:rPr>
          <w:spacing w:val="-10"/>
          <w:w w:val="105"/>
          <w:sz w:val="21"/>
        </w:rPr>
        <w:t> </w:t>
      </w:r>
      <w:r>
        <w:rPr>
          <w:w w:val="105"/>
          <w:sz w:val="21"/>
        </w:rPr>
        <w:t>risk</w:t>
      </w:r>
      <w:r>
        <w:rPr>
          <w:spacing w:val="-9"/>
          <w:w w:val="105"/>
          <w:sz w:val="21"/>
        </w:rPr>
        <w:t> </w:t>
      </w:r>
      <w:r>
        <w:rPr>
          <w:spacing w:val="-3"/>
          <w:w w:val="105"/>
          <w:sz w:val="21"/>
        </w:rPr>
        <w:t>that</w:t>
      </w:r>
      <w:r>
        <w:rPr>
          <w:spacing w:val="-10"/>
          <w:w w:val="105"/>
          <w:sz w:val="21"/>
        </w:rPr>
        <w:t> </w:t>
      </w:r>
      <w:r>
        <w:rPr>
          <w:spacing w:val="-3"/>
          <w:w w:val="105"/>
          <w:sz w:val="21"/>
        </w:rPr>
        <w:t>far</w:t>
      </w:r>
      <w:r>
        <w:rPr>
          <w:spacing w:val="-9"/>
          <w:w w:val="105"/>
          <w:sz w:val="21"/>
        </w:rPr>
        <w:t> </w:t>
      </w:r>
      <w:r>
        <w:rPr>
          <w:spacing w:val="-4"/>
          <w:w w:val="105"/>
          <w:sz w:val="21"/>
        </w:rPr>
        <w:t>into</w:t>
      </w:r>
      <w:r>
        <w:rPr>
          <w:spacing w:val="-9"/>
          <w:w w:val="105"/>
          <w:sz w:val="21"/>
        </w:rPr>
        <w:t> </w:t>
      </w:r>
      <w:r>
        <w:rPr>
          <w:w w:val="105"/>
          <w:sz w:val="21"/>
        </w:rPr>
        <w:t>the </w:t>
      </w:r>
      <w:r>
        <w:rPr>
          <w:spacing w:val="-4"/>
          <w:w w:val="105"/>
          <w:sz w:val="21"/>
        </w:rPr>
        <w:t>future.</w:t>
      </w:r>
    </w:p>
    <w:p>
      <w:pPr>
        <w:pStyle w:val="ListParagraph"/>
        <w:numPr>
          <w:ilvl w:val="0"/>
          <w:numId w:val="64"/>
        </w:numPr>
        <w:tabs>
          <w:tab w:pos="2380" w:val="left" w:leader="none"/>
          <w:tab w:pos="2381" w:val="left" w:leader="none"/>
        </w:tabs>
        <w:spacing w:line="242" w:lineRule="auto" w:before="124" w:after="0"/>
        <w:ind w:left="2380" w:right="2030" w:hanging="793"/>
        <w:jc w:val="left"/>
        <w:rPr>
          <w:sz w:val="21"/>
        </w:rPr>
      </w:pPr>
      <w:r>
        <w:rPr>
          <w:sz w:val="21"/>
        </w:rPr>
        <w:t>The </w:t>
      </w:r>
      <w:r>
        <w:rPr>
          <w:spacing w:val="-3"/>
          <w:sz w:val="21"/>
        </w:rPr>
        <w:t>Commission  </w:t>
      </w:r>
      <w:r>
        <w:rPr>
          <w:sz w:val="21"/>
        </w:rPr>
        <w:t>accepts </w:t>
      </w:r>
      <w:r>
        <w:rPr>
          <w:spacing w:val="-3"/>
          <w:sz w:val="21"/>
        </w:rPr>
        <w:t>that</w:t>
      </w:r>
      <w:r>
        <w:rPr>
          <w:spacing w:val="41"/>
          <w:sz w:val="21"/>
        </w:rPr>
        <w:t> </w:t>
      </w:r>
      <w:r>
        <w:rPr>
          <w:sz w:val="21"/>
        </w:rPr>
        <w:t>it is difficult </w:t>
      </w:r>
      <w:r>
        <w:rPr>
          <w:spacing w:val="-3"/>
          <w:sz w:val="21"/>
        </w:rPr>
        <w:t>to  </w:t>
      </w:r>
      <w:r>
        <w:rPr>
          <w:sz w:val="21"/>
        </w:rPr>
        <w:t>assess the </w:t>
      </w:r>
      <w:r>
        <w:rPr>
          <w:spacing w:val="-3"/>
          <w:sz w:val="21"/>
        </w:rPr>
        <w:t>likelihood  </w:t>
      </w:r>
      <w:r>
        <w:rPr>
          <w:sz w:val="21"/>
        </w:rPr>
        <w:t>of trees </w:t>
      </w:r>
      <w:r>
        <w:rPr>
          <w:spacing w:val="-4"/>
          <w:sz w:val="21"/>
        </w:rPr>
        <w:t>failing  </w:t>
      </w:r>
      <w:r>
        <w:rPr>
          <w:sz w:val="21"/>
        </w:rPr>
        <w:t>in  the </w:t>
      </w:r>
      <w:r>
        <w:rPr>
          <w:spacing w:val="-4"/>
          <w:sz w:val="21"/>
        </w:rPr>
        <w:t>future.  However,  </w:t>
      </w:r>
      <w:r>
        <w:rPr>
          <w:sz w:val="21"/>
        </w:rPr>
        <w:t>the use of expert evidence can assist. Expert evidence </w:t>
      </w:r>
      <w:r>
        <w:rPr>
          <w:spacing w:val="-3"/>
          <w:sz w:val="21"/>
        </w:rPr>
        <w:t>will  </w:t>
      </w:r>
      <w:r>
        <w:rPr>
          <w:sz w:val="21"/>
        </w:rPr>
        <w:t>help  </w:t>
      </w:r>
      <w:r>
        <w:rPr>
          <w:spacing w:val="-3"/>
          <w:sz w:val="21"/>
        </w:rPr>
        <w:t>to prevent </w:t>
      </w:r>
      <w:r>
        <w:rPr>
          <w:sz w:val="21"/>
        </w:rPr>
        <w:t>unnecessary </w:t>
      </w:r>
      <w:r>
        <w:rPr>
          <w:spacing w:val="-3"/>
          <w:sz w:val="21"/>
        </w:rPr>
        <w:t>interference </w:t>
      </w:r>
      <w:r>
        <w:rPr>
          <w:sz w:val="21"/>
        </w:rPr>
        <w:t>with trees assessed as </w:t>
      </w:r>
      <w:r>
        <w:rPr>
          <w:spacing w:val="-4"/>
          <w:sz w:val="21"/>
        </w:rPr>
        <w:t>healthy. </w:t>
      </w:r>
      <w:r>
        <w:rPr>
          <w:sz w:val="21"/>
        </w:rPr>
        <w:t>Expert evidence is discussed in </w:t>
      </w:r>
      <w:r>
        <w:rPr>
          <w:spacing w:val="-4"/>
          <w:sz w:val="21"/>
        </w:rPr>
        <w:t>Chapter</w:t>
      </w:r>
      <w:r>
        <w:rPr>
          <w:spacing w:val="26"/>
          <w:sz w:val="21"/>
        </w:rPr>
        <w:t> </w:t>
      </w:r>
      <w:r>
        <w:rPr>
          <w:sz w:val="21"/>
        </w:rPr>
        <w:t>8.</w:t>
      </w:r>
    </w:p>
    <w:p>
      <w:pPr>
        <w:pStyle w:val="Heading7"/>
      </w:pPr>
      <w:r>
        <w:rPr>
          <w:w w:val="115"/>
        </w:rPr>
        <w:t>Harm to individuals</w:t>
      </w:r>
    </w:p>
    <w:p>
      <w:pPr>
        <w:pStyle w:val="ListParagraph"/>
        <w:numPr>
          <w:ilvl w:val="0"/>
          <w:numId w:val="64"/>
        </w:numPr>
        <w:tabs>
          <w:tab w:pos="2381" w:val="left" w:leader="none"/>
          <w:tab w:pos="2382" w:val="left" w:leader="none"/>
        </w:tabs>
        <w:spacing w:line="242" w:lineRule="auto" w:before="143" w:after="0"/>
        <w:ind w:left="2381" w:right="1711" w:hanging="794"/>
        <w:jc w:val="left"/>
        <w:rPr>
          <w:sz w:val="12"/>
        </w:rPr>
      </w:pPr>
      <w:r>
        <w:rPr>
          <w:w w:val="105"/>
          <w:sz w:val="21"/>
        </w:rPr>
        <w:t>Some community responses suggested </w:t>
      </w:r>
      <w:r>
        <w:rPr>
          <w:spacing w:val="-3"/>
          <w:w w:val="105"/>
          <w:sz w:val="21"/>
        </w:rPr>
        <w:t>that </w:t>
      </w:r>
      <w:r>
        <w:rPr>
          <w:w w:val="105"/>
          <w:sz w:val="21"/>
        </w:rPr>
        <w:t>the primary function of the new Act should be </w:t>
      </w:r>
      <w:r>
        <w:rPr>
          <w:spacing w:val="-3"/>
          <w:w w:val="105"/>
          <w:sz w:val="21"/>
        </w:rPr>
        <w:t>to prevent harm </w:t>
      </w:r>
      <w:r>
        <w:rPr>
          <w:w w:val="105"/>
          <w:sz w:val="21"/>
        </w:rPr>
        <w:t>caused by trees. Baw Baw </w:t>
      </w:r>
      <w:r>
        <w:rPr>
          <w:spacing w:val="-3"/>
          <w:w w:val="105"/>
          <w:sz w:val="21"/>
        </w:rPr>
        <w:t>Shire </w:t>
      </w:r>
      <w:r>
        <w:rPr>
          <w:spacing w:val="-4"/>
          <w:w w:val="105"/>
          <w:sz w:val="21"/>
        </w:rPr>
        <w:t>Council </w:t>
      </w:r>
      <w:r>
        <w:rPr>
          <w:w w:val="105"/>
          <w:sz w:val="21"/>
        </w:rPr>
        <w:t>emphasised </w:t>
      </w:r>
      <w:r>
        <w:rPr>
          <w:spacing w:val="-3"/>
          <w:w w:val="105"/>
          <w:sz w:val="21"/>
        </w:rPr>
        <w:t>that </w:t>
      </w:r>
      <w:r>
        <w:rPr>
          <w:w w:val="105"/>
          <w:sz w:val="21"/>
        </w:rPr>
        <w:t>the </w:t>
      </w:r>
      <w:r>
        <w:rPr>
          <w:spacing w:val="-4"/>
          <w:w w:val="105"/>
          <w:sz w:val="21"/>
        </w:rPr>
        <w:t>key </w:t>
      </w:r>
      <w:r>
        <w:rPr>
          <w:w w:val="105"/>
          <w:sz w:val="21"/>
        </w:rPr>
        <w:t>issue </w:t>
      </w:r>
      <w:r>
        <w:rPr>
          <w:spacing w:val="-3"/>
          <w:w w:val="105"/>
          <w:sz w:val="21"/>
        </w:rPr>
        <w:t>to </w:t>
      </w:r>
      <w:r>
        <w:rPr>
          <w:w w:val="105"/>
          <w:sz w:val="21"/>
        </w:rPr>
        <w:t>be addressed by </w:t>
      </w:r>
      <w:r>
        <w:rPr>
          <w:spacing w:val="-3"/>
          <w:w w:val="105"/>
          <w:sz w:val="21"/>
        </w:rPr>
        <w:t>reform </w:t>
      </w:r>
      <w:r>
        <w:rPr>
          <w:w w:val="105"/>
          <w:sz w:val="21"/>
        </w:rPr>
        <w:t>is ‘the </w:t>
      </w:r>
      <w:r>
        <w:rPr>
          <w:spacing w:val="-3"/>
          <w:w w:val="105"/>
          <w:sz w:val="21"/>
        </w:rPr>
        <w:t>minimisation </w:t>
      </w:r>
      <w:r>
        <w:rPr>
          <w:w w:val="105"/>
          <w:sz w:val="21"/>
        </w:rPr>
        <w:t>of risk </w:t>
      </w:r>
      <w:r>
        <w:rPr>
          <w:spacing w:val="-3"/>
          <w:w w:val="105"/>
          <w:sz w:val="21"/>
        </w:rPr>
        <w:t>to </w:t>
      </w:r>
      <w:r>
        <w:rPr>
          <w:w w:val="105"/>
          <w:sz w:val="21"/>
        </w:rPr>
        <w:t>the </w:t>
      </w:r>
      <w:r>
        <w:rPr>
          <w:spacing w:val="-3"/>
          <w:w w:val="105"/>
          <w:sz w:val="21"/>
        </w:rPr>
        <w:t>community’.</w:t>
      </w:r>
      <w:r>
        <w:rPr>
          <w:spacing w:val="-3"/>
          <w:w w:val="105"/>
          <w:position w:val="7"/>
          <w:sz w:val="12"/>
        </w:rPr>
        <w:t>330 </w:t>
      </w:r>
      <w:r>
        <w:rPr>
          <w:w w:val="105"/>
          <w:sz w:val="21"/>
        </w:rPr>
        <w:t>One </w:t>
      </w:r>
      <w:r>
        <w:rPr>
          <w:spacing w:val="-3"/>
          <w:w w:val="105"/>
          <w:sz w:val="21"/>
        </w:rPr>
        <w:t>submission </w:t>
      </w:r>
      <w:r>
        <w:rPr>
          <w:w w:val="105"/>
          <w:sz w:val="21"/>
        </w:rPr>
        <w:t>stated, ‘It is my belief </w:t>
      </w:r>
      <w:r>
        <w:rPr>
          <w:spacing w:val="-3"/>
          <w:w w:val="105"/>
          <w:sz w:val="21"/>
        </w:rPr>
        <w:t>that </w:t>
      </w:r>
      <w:r>
        <w:rPr>
          <w:w w:val="105"/>
          <w:sz w:val="21"/>
        </w:rPr>
        <w:t>there should be a </w:t>
      </w:r>
      <w:r>
        <w:rPr>
          <w:spacing w:val="-3"/>
          <w:w w:val="105"/>
          <w:sz w:val="21"/>
        </w:rPr>
        <w:t>determined </w:t>
      </w:r>
      <w:r>
        <w:rPr>
          <w:w w:val="105"/>
          <w:sz w:val="21"/>
        </w:rPr>
        <w:t>effort </w:t>
      </w:r>
      <w:r>
        <w:rPr>
          <w:spacing w:val="-3"/>
          <w:w w:val="105"/>
          <w:sz w:val="21"/>
        </w:rPr>
        <w:t>to prevent </w:t>
      </w:r>
      <w:r>
        <w:rPr>
          <w:w w:val="105"/>
          <w:sz w:val="21"/>
        </w:rPr>
        <w:t>injury and/or death of people and the damage of </w:t>
      </w:r>
      <w:r>
        <w:rPr>
          <w:spacing w:val="-3"/>
          <w:w w:val="105"/>
          <w:sz w:val="21"/>
        </w:rPr>
        <w:t>property.’</w:t>
      </w:r>
      <w:r>
        <w:rPr>
          <w:spacing w:val="-3"/>
          <w:w w:val="105"/>
          <w:position w:val="7"/>
          <w:sz w:val="12"/>
        </w:rPr>
        <w:t>331 </w:t>
      </w:r>
      <w:r>
        <w:rPr>
          <w:w w:val="105"/>
          <w:sz w:val="21"/>
        </w:rPr>
        <w:t>Another </w:t>
      </w:r>
      <w:r>
        <w:rPr>
          <w:spacing w:val="-3"/>
          <w:w w:val="105"/>
          <w:sz w:val="21"/>
        </w:rPr>
        <w:t>emphatically </w:t>
      </w:r>
      <w:r>
        <w:rPr>
          <w:w w:val="105"/>
          <w:sz w:val="21"/>
        </w:rPr>
        <w:t>expressed</w:t>
      </w:r>
      <w:r>
        <w:rPr>
          <w:spacing w:val="-9"/>
          <w:w w:val="105"/>
          <w:sz w:val="21"/>
        </w:rPr>
        <w:t> </w:t>
      </w:r>
      <w:r>
        <w:rPr>
          <w:w w:val="105"/>
          <w:sz w:val="21"/>
        </w:rPr>
        <w:t>the</w:t>
      </w:r>
      <w:r>
        <w:rPr>
          <w:spacing w:val="-9"/>
          <w:w w:val="105"/>
          <w:sz w:val="21"/>
        </w:rPr>
        <w:t> </w:t>
      </w:r>
      <w:r>
        <w:rPr>
          <w:w w:val="105"/>
          <w:sz w:val="21"/>
        </w:rPr>
        <w:t>view</w:t>
      </w:r>
      <w:r>
        <w:rPr>
          <w:spacing w:val="-9"/>
          <w:w w:val="105"/>
          <w:sz w:val="21"/>
        </w:rPr>
        <w:t> </w:t>
      </w:r>
      <w:r>
        <w:rPr>
          <w:spacing w:val="-3"/>
          <w:w w:val="105"/>
          <w:sz w:val="21"/>
        </w:rPr>
        <w:t>that</w:t>
      </w:r>
      <w:r>
        <w:rPr>
          <w:spacing w:val="-9"/>
          <w:w w:val="105"/>
          <w:sz w:val="21"/>
        </w:rPr>
        <w:t> </w:t>
      </w:r>
      <w:r>
        <w:rPr>
          <w:spacing w:val="-4"/>
          <w:w w:val="105"/>
          <w:sz w:val="21"/>
        </w:rPr>
        <w:t>‘people’s</w:t>
      </w:r>
      <w:r>
        <w:rPr>
          <w:spacing w:val="-9"/>
          <w:w w:val="105"/>
          <w:sz w:val="21"/>
        </w:rPr>
        <w:t> </w:t>
      </w:r>
      <w:r>
        <w:rPr>
          <w:w w:val="105"/>
          <w:sz w:val="21"/>
        </w:rPr>
        <w:t>safety</w:t>
      </w:r>
      <w:r>
        <w:rPr>
          <w:spacing w:val="-9"/>
          <w:w w:val="105"/>
          <w:sz w:val="21"/>
        </w:rPr>
        <w:t> </w:t>
      </w:r>
      <w:r>
        <w:rPr>
          <w:w w:val="105"/>
          <w:sz w:val="21"/>
        </w:rPr>
        <w:t>should</w:t>
      </w:r>
      <w:r>
        <w:rPr>
          <w:spacing w:val="-9"/>
          <w:w w:val="105"/>
          <w:sz w:val="21"/>
        </w:rPr>
        <w:t> </w:t>
      </w:r>
      <w:r>
        <w:rPr>
          <w:w w:val="105"/>
          <w:sz w:val="21"/>
        </w:rPr>
        <w:t>always</w:t>
      </w:r>
      <w:r>
        <w:rPr>
          <w:spacing w:val="-9"/>
          <w:w w:val="105"/>
          <w:sz w:val="21"/>
        </w:rPr>
        <w:t> </w:t>
      </w:r>
      <w:r>
        <w:rPr>
          <w:w w:val="105"/>
          <w:sz w:val="21"/>
        </w:rPr>
        <w:t>be</w:t>
      </w:r>
      <w:r>
        <w:rPr>
          <w:spacing w:val="-8"/>
          <w:w w:val="105"/>
          <w:sz w:val="21"/>
        </w:rPr>
        <w:t> </w:t>
      </w:r>
      <w:r>
        <w:rPr>
          <w:w w:val="105"/>
          <w:sz w:val="21"/>
        </w:rPr>
        <w:t>the</w:t>
      </w:r>
      <w:r>
        <w:rPr>
          <w:spacing w:val="-9"/>
          <w:w w:val="105"/>
          <w:sz w:val="21"/>
        </w:rPr>
        <w:t> </w:t>
      </w:r>
      <w:r>
        <w:rPr>
          <w:spacing w:val="-3"/>
          <w:w w:val="105"/>
          <w:sz w:val="21"/>
        </w:rPr>
        <w:t>priority’.</w:t>
      </w:r>
      <w:r>
        <w:rPr>
          <w:spacing w:val="-3"/>
          <w:w w:val="105"/>
          <w:position w:val="7"/>
          <w:sz w:val="12"/>
        </w:rPr>
        <w:t>332</w:t>
      </w:r>
      <w:r>
        <w:rPr>
          <w:spacing w:val="-4"/>
          <w:w w:val="105"/>
          <w:position w:val="7"/>
          <w:sz w:val="12"/>
        </w:rPr>
        <w:t> </w:t>
      </w:r>
      <w:r>
        <w:rPr>
          <w:w w:val="105"/>
          <w:sz w:val="21"/>
        </w:rPr>
        <w:t>HVP</w:t>
      </w:r>
      <w:r>
        <w:rPr>
          <w:spacing w:val="-9"/>
          <w:w w:val="105"/>
          <w:sz w:val="21"/>
        </w:rPr>
        <w:t> </w:t>
      </w:r>
      <w:r>
        <w:rPr>
          <w:spacing w:val="-3"/>
          <w:w w:val="105"/>
          <w:sz w:val="21"/>
        </w:rPr>
        <w:t>Plantations noted that human health </w:t>
      </w:r>
      <w:r>
        <w:rPr>
          <w:w w:val="105"/>
          <w:sz w:val="21"/>
        </w:rPr>
        <w:t>and safety is</w:t>
      </w:r>
      <w:r>
        <w:rPr>
          <w:spacing w:val="47"/>
          <w:w w:val="105"/>
          <w:sz w:val="21"/>
        </w:rPr>
        <w:t> </w:t>
      </w:r>
      <w:r>
        <w:rPr>
          <w:spacing w:val="-4"/>
          <w:w w:val="105"/>
          <w:sz w:val="21"/>
        </w:rPr>
        <w:t>key.</w:t>
      </w:r>
      <w:r>
        <w:rPr>
          <w:spacing w:val="-4"/>
          <w:w w:val="105"/>
          <w:position w:val="7"/>
          <w:sz w:val="12"/>
        </w:rPr>
        <w:t>333</w:t>
      </w:r>
    </w:p>
    <w:p>
      <w:pPr>
        <w:pStyle w:val="ListParagraph"/>
        <w:numPr>
          <w:ilvl w:val="0"/>
          <w:numId w:val="64"/>
        </w:numPr>
        <w:tabs>
          <w:tab w:pos="2380" w:val="left" w:leader="none"/>
          <w:tab w:pos="2381" w:val="left" w:leader="none"/>
        </w:tabs>
        <w:spacing w:line="242" w:lineRule="auto" w:before="128" w:after="0"/>
        <w:ind w:left="2381" w:right="2340" w:hanging="794"/>
        <w:jc w:val="left"/>
        <w:rPr>
          <w:sz w:val="12"/>
        </w:rPr>
      </w:pPr>
      <w:r>
        <w:rPr>
          <w:w w:val="105"/>
          <w:sz w:val="21"/>
        </w:rPr>
        <w:t>There</w:t>
      </w:r>
      <w:r>
        <w:rPr>
          <w:spacing w:val="-11"/>
          <w:w w:val="105"/>
          <w:sz w:val="21"/>
        </w:rPr>
        <w:t> </w:t>
      </w:r>
      <w:r>
        <w:rPr>
          <w:w w:val="105"/>
          <w:sz w:val="21"/>
        </w:rPr>
        <w:t>was</w:t>
      </w:r>
      <w:r>
        <w:rPr>
          <w:spacing w:val="-11"/>
          <w:w w:val="105"/>
          <w:sz w:val="21"/>
        </w:rPr>
        <w:t> </w:t>
      </w:r>
      <w:r>
        <w:rPr>
          <w:w w:val="105"/>
          <w:sz w:val="21"/>
        </w:rPr>
        <w:t>general</w:t>
      </w:r>
      <w:r>
        <w:rPr>
          <w:spacing w:val="-11"/>
          <w:w w:val="105"/>
          <w:sz w:val="21"/>
        </w:rPr>
        <w:t> </w:t>
      </w:r>
      <w:r>
        <w:rPr>
          <w:spacing w:val="-2"/>
          <w:w w:val="105"/>
          <w:sz w:val="21"/>
        </w:rPr>
        <w:t>agreement</w:t>
      </w:r>
      <w:r>
        <w:rPr>
          <w:spacing w:val="-11"/>
          <w:w w:val="105"/>
          <w:sz w:val="21"/>
        </w:rPr>
        <w:t> </w:t>
      </w:r>
      <w:r>
        <w:rPr>
          <w:spacing w:val="-3"/>
          <w:w w:val="105"/>
          <w:sz w:val="21"/>
        </w:rPr>
        <w:t>that</w:t>
      </w:r>
      <w:r>
        <w:rPr>
          <w:spacing w:val="-11"/>
          <w:w w:val="105"/>
          <w:sz w:val="21"/>
        </w:rPr>
        <w:t> </w:t>
      </w:r>
      <w:r>
        <w:rPr>
          <w:w w:val="105"/>
          <w:sz w:val="21"/>
        </w:rPr>
        <w:t>medical</w:t>
      </w:r>
      <w:r>
        <w:rPr>
          <w:spacing w:val="-11"/>
          <w:w w:val="105"/>
          <w:sz w:val="21"/>
        </w:rPr>
        <w:t> </w:t>
      </w:r>
      <w:r>
        <w:rPr>
          <w:w w:val="105"/>
          <w:sz w:val="21"/>
        </w:rPr>
        <w:t>evidence</w:t>
      </w:r>
      <w:r>
        <w:rPr>
          <w:spacing w:val="-11"/>
          <w:w w:val="105"/>
          <w:sz w:val="21"/>
        </w:rPr>
        <w:t> </w:t>
      </w:r>
      <w:r>
        <w:rPr>
          <w:w w:val="105"/>
          <w:sz w:val="21"/>
        </w:rPr>
        <w:t>should</w:t>
      </w:r>
      <w:r>
        <w:rPr>
          <w:spacing w:val="-11"/>
          <w:w w:val="105"/>
          <w:sz w:val="21"/>
        </w:rPr>
        <w:t> </w:t>
      </w:r>
      <w:r>
        <w:rPr>
          <w:w w:val="105"/>
          <w:sz w:val="21"/>
        </w:rPr>
        <w:t>be</w:t>
      </w:r>
      <w:r>
        <w:rPr>
          <w:spacing w:val="-11"/>
          <w:w w:val="105"/>
          <w:sz w:val="21"/>
        </w:rPr>
        <w:t> </w:t>
      </w:r>
      <w:r>
        <w:rPr>
          <w:spacing w:val="-3"/>
          <w:w w:val="105"/>
          <w:sz w:val="21"/>
        </w:rPr>
        <w:t>required</w:t>
      </w:r>
      <w:r>
        <w:rPr>
          <w:spacing w:val="-11"/>
          <w:w w:val="105"/>
          <w:sz w:val="21"/>
        </w:rPr>
        <w:t> </w:t>
      </w:r>
      <w:r>
        <w:rPr>
          <w:w w:val="105"/>
          <w:sz w:val="21"/>
        </w:rPr>
        <w:t>where</w:t>
      </w:r>
      <w:r>
        <w:rPr>
          <w:spacing w:val="-11"/>
          <w:w w:val="105"/>
          <w:sz w:val="21"/>
        </w:rPr>
        <w:t> </w:t>
      </w:r>
      <w:r>
        <w:rPr>
          <w:w w:val="105"/>
          <w:sz w:val="21"/>
        </w:rPr>
        <w:t>an affected </w:t>
      </w:r>
      <w:r>
        <w:rPr>
          <w:spacing w:val="-3"/>
          <w:w w:val="105"/>
          <w:sz w:val="21"/>
        </w:rPr>
        <w:t>neighbour </w:t>
      </w:r>
      <w:r>
        <w:rPr>
          <w:w w:val="105"/>
          <w:sz w:val="21"/>
        </w:rPr>
        <w:t>is seeking a remedy </w:t>
      </w:r>
      <w:r>
        <w:rPr>
          <w:spacing w:val="-3"/>
          <w:w w:val="105"/>
          <w:sz w:val="21"/>
        </w:rPr>
        <w:t>for harm such </w:t>
      </w:r>
      <w:r>
        <w:rPr>
          <w:w w:val="105"/>
          <w:sz w:val="21"/>
        </w:rPr>
        <w:t>as the </w:t>
      </w:r>
      <w:r>
        <w:rPr>
          <w:spacing w:val="-3"/>
          <w:w w:val="105"/>
          <w:sz w:val="21"/>
        </w:rPr>
        <w:t>removal </w:t>
      </w:r>
      <w:r>
        <w:rPr>
          <w:w w:val="105"/>
          <w:sz w:val="21"/>
        </w:rPr>
        <w:t>of a</w:t>
      </w:r>
      <w:r>
        <w:rPr>
          <w:spacing w:val="-21"/>
          <w:w w:val="105"/>
          <w:sz w:val="21"/>
        </w:rPr>
        <w:t> </w:t>
      </w:r>
      <w:r>
        <w:rPr>
          <w:w w:val="105"/>
          <w:sz w:val="21"/>
        </w:rPr>
        <w:t>tree.</w:t>
      </w:r>
      <w:r>
        <w:rPr>
          <w:w w:val="105"/>
          <w:position w:val="7"/>
          <w:sz w:val="12"/>
        </w:rPr>
        <w:t>334</w:t>
      </w:r>
    </w:p>
    <w:p>
      <w:pPr>
        <w:pStyle w:val="BodyText"/>
        <w:rPr>
          <w:sz w:val="20"/>
        </w:rPr>
      </w:pPr>
    </w:p>
    <w:p>
      <w:pPr>
        <w:pStyle w:val="BodyText"/>
        <w:rPr>
          <w:sz w:val="20"/>
        </w:rPr>
      </w:pPr>
    </w:p>
    <w:p>
      <w:pPr>
        <w:pStyle w:val="BodyText"/>
        <w:rPr>
          <w:sz w:val="20"/>
        </w:rPr>
      </w:pPr>
    </w:p>
    <w:p>
      <w:pPr>
        <w:pStyle w:val="BodyText"/>
        <w:spacing w:before="11"/>
        <w:rPr>
          <w:sz w:val="12"/>
        </w:rPr>
      </w:pPr>
      <w:r>
        <w:rPr/>
        <w:pict>
          <v:line style="position:absolute;mso-position-horizontal-relative:page;mso-position-vertical-relative:paragraph;z-index:5168;mso-wrap-distance-left:0;mso-wrap-distance-right:0" from="79.370102pt,10.343020pt" to="515.905102pt,10.343020pt" stroked="true" strokeweight="1pt" strokecolor="#c9d2cb">
            <v:stroke dashstyle="solid"/>
            <w10:wrap type="topAndBottom"/>
          </v:line>
        </w:pict>
      </w:r>
    </w:p>
    <w:p>
      <w:pPr>
        <w:pStyle w:val="ListParagraph"/>
        <w:numPr>
          <w:ilvl w:val="0"/>
          <w:numId w:val="76"/>
        </w:numPr>
        <w:tabs>
          <w:tab w:pos="2380" w:val="left" w:leader="none"/>
          <w:tab w:pos="2382" w:val="left" w:leader="none"/>
        </w:tabs>
        <w:spacing w:line="240" w:lineRule="auto" w:before="117" w:after="0"/>
        <w:ind w:left="2381" w:right="0" w:hanging="794"/>
        <w:jc w:val="left"/>
        <w:rPr>
          <w:sz w:val="13"/>
        </w:rPr>
      </w:pPr>
      <w:r>
        <w:rPr>
          <w:w w:val="105"/>
          <w:sz w:val="13"/>
        </w:rPr>
        <w:t>Submission 38 </w:t>
      </w:r>
      <w:r>
        <w:rPr>
          <w:spacing w:val="3"/>
          <w:w w:val="105"/>
          <w:sz w:val="13"/>
        </w:rPr>
        <w:t>(L. </w:t>
      </w:r>
      <w:r>
        <w:rPr>
          <w:spacing w:val="2"/>
          <w:w w:val="105"/>
          <w:sz w:val="13"/>
        </w:rPr>
        <w:t>Barry</w:t>
      </w:r>
      <w:r>
        <w:rPr>
          <w:spacing w:val="14"/>
          <w:w w:val="105"/>
          <w:sz w:val="13"/>
        </w:rPr>
        <w:t> </w:t>
      </w:r>
      <w:r>
        <w:rPr>
          <w:w w:val="105"/>
          <w:sz w:val="13"/>
        </w:rPr>
        <w:t>Wollmer).</w:t>
      </w:r>
    </w:p>
    <w:p>
      <w:pPr>
        <w:pStyle w:val="ListParagraph"/>
        <w:numPr>
          <w:ilvl w:val="0"/>
          <w:numId w:val="76"/>
        </w:numPr>
        <w:tabs>
          <w:tab w:pos="2380" w:val="left" w:leader="none"/>
          <w:tab w:pos="2382" w:val="left" w:leader="none"/>
        </w:tabs>
        <w:spacing w:line="240" w:lineRule="auto" w:before="1" w:after="0"/>
        <w:ind w:left="2381" w:right="1643" w:hanging="794"/>
        <w:jc w:val="left"/>
        <w:rPr>
          <w:sz w:val="13"/>
        </w:rPr>
      </w:pPr>
      <w:r>
        <w:rPr>
          <w:w w:val="105"/>
          <w:sz w:val="13"/>
        </w:rPr>
        <w:t>Submissions 5 </w:t>
      </w:r>
      <w:r>
        <w:rPr>
          <w:spacing w:val="2"/>
          <w:w w:val="105"/>
          <w:sz w:val="13"/>
        </w:rPr>
        <w:t>(Name </w:t>
      </w:r>
      <w:r>
        <w:rPr>
          <w:w w:val="105"/>
          <w:sz w:val="13"/>
        </w:rPr>
        <w:t>withheld), 6 </w:t>
      </w:r>
      <w:r>
        <w:rPr>
          <w:spacing w:val="2"/>
          <w:w w:val="105"/>
          <w:sz w:val="13"/>
        </w:rPr>
        <w:t>(Name </w:t>
      </w:r>
      <w:r>
        <w:rPr>
          <w:w w:val="105"/>
          <w:sz w:val="13"/>
        </w:rPr>
        <w:t>withheld), 9 </w:t>
      </w:r>
      <w:r>
        <w:rPr>
          <w:spacing w:val="3"/>
          <w:w w:val="105"/>
          <w:sz w:val="13"/>
        </w:rPr>
        <w:t>(Dr </w:t>
      </w:r>
      <w:r>
        <w:rPr>
          <w:w w:val="105"/>
          <w:sz w:val="13"/>
        </w:rPr>
        <w:t>Karen Smith), 20 </w:t>
      </w:r>
      <w:r>
        <w:rPr>
          <w:spacing w:val="2"/>
          <w:w w:val="105"/>
          <w:sz w:val="13"/>
        </w:rPr>
        <w:t>(Name </w:t>
      </w:r>
      <w:r>
        <w:rPr>
          <w:w w:val="105"/>
          <w:sz w:val="13"/>
        </w:rPr>
        <w:t>withheld), 21 (Pointon Partners </w:t>
      </w:r>
      <w:r>
        <w:rPr>
          <w:spacing w:val="2"/>
          <w:w w:val="105"/>
          <w:sz w:val="13"/>
        </w:rPr>
        <w:t>Lawyers); </w:t>
      </w:r>
      <w:r>
        <w:rPr>
          <w:w w:val="105"/>
          <w:sz w:val="13"/>
        </w:rPr>
        <w:t>Consultations    1</w:t>
      </w:r>
      <w:r>
        <w:rPr>
          <w:spacing w:val="4"/>
          <w:w w:val="105"/>
          <w:sz w:val="13"/>
        </w:rPr>
        <w:t> </w:t>
      </w:r>
      <w:r>
        <w:rPr>
          <w:w w:val="105"/>
          <w:sz w:val="13"/>
        </w:rPr>
        <w:t>(Aldo</w:t>
      </w:r>
      <w:r>
        <w:rPr>
          <w:spacing w:val="5"/>
          <w:w w:val="105"/>
          <w:sz w:val="13"/>
        </w:rPr>
        <w:t> </w:t>
      </w:r>
      <w:r>
        <w:rPr>
          <w:w w:val="105"/>
          <w:sz w:val="13"/>
        </w:rPr>
        <w:t>Taranto),</w:t>
      </w:r>
      <w:r>
        <w:rPr>
          <w:spacing w:val="5"/>
          <w:w w:val="105"/>
          <w:sz w:val="13"/>
        </w:rPr>
        <w:t> </w:t>
      </w:r>
      <w:r>
        <w:rPr>
          <w:w w:val="105"/>
          <w:sz w:val="13"/>
        </w:rPr>
        <w:t>2</w:t>
      </w:r>
      <w:r>
        <w:rPr>
          <w:spacing w:val="5"/>
          <w:w w:val="105"/>
          <w:sz w:val="13"/>
        </w:rPr>
        <w:t> </w:t>
      </w:r>
      <w:r>
        <w:rPr>
          <w:spacing w:val="3"/>
          <w:w w:val="105"/>
          <w:sz w:val="13"/>
        </w:rPr>
        <w:t>(Dr</w:t>
      </w:r>
      <w:r>
        <w:rPr>
          <w:spacing w:val="5"/>
          <w:w w:val="105"/>
          <w:sz w:val="13"/>
        </w:rPr>
        <w:t> </w:t>
      </w:r>
      <w:r>
        <w:rPr>
          <w:w w:val="105"/>
          <w:sz w:val="13"/>
        </w:rPr>
        <w:t>Gregory</w:t>
      </w:r>
      <w:r>
        <w:rPr>
          <w:spacing w:val="5"/>
          <w:w w:val="105"/>
          <w:sz w:val="13"/>
        </w:rPr>
        <w:t> </w:t>
      </w:r>
      <w:r>
        <w:rPr>
          <w:w w:val="105"/>
          <w:sz w:val="13"/>
        </w:rPr>
        <w:t>Moore</w:t>
      </w:r>
      <w:r>
        <w:rPr>
          <w:spacing w:val="5"/>
          <w:w w:val="105"/>
          <w:sz w:val="13"/>
        </w:rPr>
        <w:t> </w:t>
      </w:r>
      <w:r>
        <w:rPr>
          <w:spacing w:val="2"/>
          <w:w w:val="105"/>
          <w:sz w:val="13"/>
        </w:rPr>
        <w:t>OAM),</w:t>
      </w:r>
      <w:r>
        <w:rPr>
          <w:spacing w:val="5"/>
          <w:w w:val="105"/>
          <w:sz w:val="13"/>
        </w:rPr>
        <w:t> </w:t>
      </w:r>
      <w:r>
        <w:rPr>
          <w:w w:val="105"/>
          <w:sz w:val="13"/>
        </w:rPr>
        <w:t>8</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r>
        <w:rPr>
          <w:spacing w:val="5"/>
          <w:w w:val="105"/>
          <w:sz w:val="13"/>
        </w:rPr>
        <w:t> </w:t>
      </w:r>
      <w:r>
        <w:rPr>
          <w:spacing w:val="-3"/>
          <w:w w:val="105"/>
          <w:sz w:val="13"/>
        </w:rPr>
        <w:t>14</w:t>
      </w:r>
      <w:r>
        <w:rPr>
          <w:spacing w:val="4"/>
          <w:w w:val="105"/>
          <w:sz w:val="13"/>
        </w:rPr>
        <w:t> </w:t>
      </w:r>
      <w:r>
        <w:rPr>
          <w:spacing w:val="2"/>
          <w:w w:val="105"/>
          <w:sz w:val="13"/>
        </w:rPr>
        <w:t>(Robert</w:t>
      </w:r>
      <w:r>
        <w:rPr>
          <w:spacing w:val="5"/>
          <w:w w:val="105"/>
          <w:sz w:val="13"/>
        </w:rPr>
        <w:t> </w:t>
      </w:r>
      <w:r>
        <w:rPr>
          <w:spacing w:val="2"/>
          <w:w w:val="105"/>
          <w:sz w:val="13"/>
        </w:rPr>
        <w:t>Mineo).</w:t>
      </w:r>
    </w:p>
    <w:p>
      <w:pPr>
        <w:pStyle w:val="ListParagraph"/>
        <w:numPr>
          <w:ilvl w:val="0"/>
          <w:numId w:val="76"/>
        </w:numPr>
        <w:tabs>
          <w:tab w:pos="2380" w:val="left" w:leader="none"/>
          <w:tab w:pos="2382" w:val="left" w:leader="none"/>
        </w:tabs>
        <w:spacing w:line="240" w:lineRule="auto" w:before="3" w:after="0"/>
        <w:ind w:left="2381" w:right="0" w:hanging="794"/>
        <w:jc w:val="left"/>
        <w:rPr>
          <w:sz w:val="13"/>
        </w:rPr>
      </w:pPr>
      <w:r>
        <w:rPr>
          <w:w w:val="105"/>
          <w:sz w:val="13"/>
        </w:rPr>
        <w:t>Submission 9 </w:t>
      </w:r>
      <w:r>
        <w:rPr>
          <w:spacing w:val="3"/>
          <w:w w:val="105"/>
          <w:sz w:val="13"/>
        </w:rPr>
        <w:t>(Dr </w:t>
      </w:r>
      <w:r>
        <w:rPr>
          <w:w w:val="105"/>
          <w:sz w:val="13"/>
        </w:rPr>
        <w:t>Karen</w:t>
      </w:r>
      <w:r>
        <w:rPr>
          <w:spacing w:val="15"/>
          <w:w w:val="105"/>
          <w:sz w:val="13"/>
        </w:rPr>
        <w:t> </w:t>
      </w:r>
      <w:r>
        <w:rPr>
          <w:w w:val="105"/>
          <w:sz w:val="13"/>
        </w:rPr>
        <w:t>Smith).</w:t>
      </w:r>
    </w:p>
    <w:p>
      <w:pPr>
        <w:pStyle w:val="ListParagraph"/>
        <w:numPr>
          <w:ilvl w:val="0"/>
          <w:numId w:val="76"/>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76"/>
        </w:numPr>
        <w:tabs>
          <w:tab w:pos="2381" w:val="left" w:leader="none"/>
          <w:tab w:pos="2382" w:val="left" w:leader="none"/>
        </w:tabs>
        <w:spacing w:line="240" w:lineRule="auto" w:before="2" w:after="0"/>
        <w:ind w:left="2381" w:right="0" w:hanging="794"/>
        <w:jc w:val="left"/>
        <w:rPr>
          <w:sz w:val="13"/>
        </w:rPr>
      </w:pPr>
      <w:r>
        <w:rPr>
          <w:w w:val="105"/>
          <w:sz w:val="13"/>
        </w:rPr>
        <w:t>Consultation 2 </w:t>
      </w:r>
      <w:r>
        <w:rPr>
          <w:spacing w:val="3"/>
          <w:w w:val="105"/>
          <w:sz w:val="13"/>
        </w:rPr>
        <w:t>(Dr </w:t>
      </w:r>
      <w:r>
        <w:rPr>
          <w:w w:val="105"/>
          <w:sz w:val="13"/>
        </w:rPr>
        <w:t>Gregory Moore</w:t>
      </w:r>
      <w:r>
        <w:rPr>
          <w:spacing w:val="20"/>
          <w:w w:val="105"/>
          <w:sz w:val="13"/>
        </w:rPr>
        <w:t> </w:t>
      </w:r>
      <w:r>
        <w:rPr>
          <w:spacing w:val="2"/>
          <w:w w:val="105"/>
          <w:sz w:val="13"/>
        </w:rPr>
        <w:t>OAM).</w:t>
      </w:r>
    </w:p>
    <w:p>
      <w:pPr>
        <w:pStyle w:val="ListParagraph"/>
        <w:numPr>
          <w:ilvl w:val="0"/>
          <w:numId w:val="76"/>
        </w:numPr>
        <w:tabs>
          <w:tab w:pos="2381" w:val="left" w:leader="none"/>
          <w:tab w:pos="2382" w:val="left" w:leader="none"/>
        </w:tabs>
        <w:spacing w:line="240" w:lineRule="auto" w:before="1" w:after="0"/>
        <w:ind w:left="2381" w:right="2331" w:hanging="794"/>
        <w:jc w:val="left"/>
        <w:rPr>
          <w:sz w:val="13"/>
        </w:rPr>
      </w:pPr>
      <w:r>
        <w:rPr>
          <w:w w:val="105"/>
          <w:sz w:val="13"/>
        </w:rPr>
        <w:t>Ibid; the City of Boroondara informed the Commission that council uses </w:t>
      </w:r>
      <w:r>
        <w:rPr>
          <w:spacing w:val="2"/>
          <w:w w:val="105"/>
          <w:sz w:val="13"/>
        </w:rPr>
        <w:t>TRAQ </w:t>
      </w:r>
      <w:r>
        <w:rPr>
          <w:w w:val="105"/>
          <w:sz w:val="13"/>
        </w:rPr>
        <w:t>when assessing tree risk: Consultation 8 (City of Boroondara). Risk assessment tools are considered in Ch</w:t>
      </w:r>
      <w:r>
        <w:rPr>
          <w:spacing w:val="6"/>
          <w:w w:val="105"/>
          <w:sz w:val="13"/>
        </w:rPr>
        <w:t> </w:t>
      </w:r>
      <w:r>
        <w:rPr>
          <w:w w:val="105"/>
          <w:sz w:val="13"/>
        </w:rPr>
        <w:t>8.</w:t>
      </w:r>
    </w:p>
    <w:p>
      <w:pPr>
        <w:pStyle w:val="ListParagraph"/>
        <w:numPr>
          <w:ilvl w:val="0"/>
          <w:numId w:val="76"/>
        </w:numPr>
        <w:tabs>
          <w:tab w:pos="2381" w:val="left" w:leader="none"/>
          <w:tab w:pos="2382" w:val="left" w:leader="none"/>
        </w:tabs>
        <w:spacing w:line="240" w:lineRule="auto" w:before="3" w:after="0"/>
        <w:ind w:left="2381" w:right="0" w:hanging="794"/>
        <w:jc w:val="left"/>
        <w:rPr>
          <w:sz w:val="13"/>
        </w:rPr>
      </w:pPr>
      <w:r>
        <w:rPr>
          <w:w w:val="105"/>
          <w:sz w:val="13"/>
        </w:rPr>
        <w:t>Consultation 8 (City of</w:t>
      </w:r>
      <w:r>
        <w:rPr>
          <w:spacing w:val="18"/>
          <w:w w:val="105"/>
          <w:sz w:val="13"/>
        </w:rPr>
        <w:t> </w:t>
      </w:r>
      <w:r>
        <w:rPr>
          <w:w w:val="105"/>
          <w:sz w:val="13"/>
        </w:rPr>
        <w:t>Boroondara).</w:t>
      </w:r>
    </w:p>
    <w:p>
      <w:pPr>
        <w:pStyle w:val="ListParagraph"/>
        <w:numPr>
          <w:ilvl w:val="0"/>
          <w:numId w:val="76"/>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76"/>
        </w:numPr>
        <w:tabs>
          <w:tab w:pos="2381" w:val="left" w:leader="none"/>
          <w:tab w:pos="2382" w:val="left" w:leader="none"/>
        </w:tabs>
        <w:spacing w:line="240" w:lineRule="auto" w:before="1" w:after="0"/>
        <w:ind w:left="2381" w:right="0" w:hanging="794"/>
        <w:jc w:val="left"/>
        <w:rPr>
          <w:sz w:val="13"/>
        </w:rPr>
      </w:pPr>
      <w:r>
        <w:rPr>
          <w:w w:val="105"/>
          <w:sz w:val="13"/>
        </w:rPr>
        <w:t>Consultation 16 (Heritage</w:t>
      </w:r>
      <w:r>
        <w:rPr>
          <w:spacing w:val="14"/>
          <w:w w:val="105"/>
          <w:sz w:val="13"/>
        </w:rPr>
        <w:t> </w:t>
      </w:r>
      <w:r>
        <w:rPr>
          <w:w w:val="105"/>
          <w:sz w:val="13"/>
        </w:rPr>
        <w:t>Victoria).</w:t>
      </w:r>
    </w:p>
    <w:p>
      <w:pPr>
        <w:pStyle w:val="ListParagraph"/>
        <w:numPr>
          <w:ilvl w:val="0"/>
          <w:numId w:val="76"/>
        </w:numPr>
        <w:tabs>
          <w:tab w:pos="2381" w:val="left" w:leader="none"/>
          <w:tab w:pos="2382" w:val="left" w:leader="none"/>
        </w:tabs>
        <w:spacing w:line="240" w:lineRule="auto" w:before="2"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76"/>
        </w:numPr>
        <w:tabs>
          <w:tab w:pos="2381" w:val="left" w:leader="none"/>
          <w:tab w:pos="2382" w:val="left" w:leader="none"/>
        </w:tabs>
        <w:spacing w:line="240" w:lineRule="auto" w:before="1" w:after="0"/>
        <w:ind w:left="2381" w:right="0" w:hanging="794"/>
        <w:jc w:val="left"/>
        <w:rPr>
          <w:sz w:val="13"/>
        </w:rPr>
      </w:pPr>
      <w:r>
        <w:rPr>
          <w:w w:val="105"/>
          <w:sz w:val="13"/>
        </w:rPr>
        <w:t>Submission 38 </w:t>
      </w:r>
      <w:r>
        <w:rPr>
          <w:spacing w:val="3"/>
          <w:w w:val="105"/>
          <w:sz w:val="13"/>
        </w:rPr>
        <w:t>(L. </w:t>
      </w:r>
      <w:r>
        <w:rPr>
          <w:spacing w:val="2"/>
          <w:w w:val="105"/>
          <w:sz w:val="13"/>
        </w:rPr>
        <w:t>Barry</w:t>
      </w:r>
      <w:r>
        <w:rPr>
          <w:spacing w:val="14"/>
          <w:w w:val="105"/>
          <w:sz w:val="13"/>
        </w:rPr>
        <w:t> </w:t>
      </w:r>
      <w:r>
        <w:rPr>
          <w:w w:val="105"/>
          <w:sz w:val="13"/>
        </w:rPr>
        <w:t>Wollmer).</w:t>
      </w:r>
    </w:p>
    <w:p>
      <w:pPr>
        <w:pStyle w:val="ListParagraph"/>
        <w:numPr>
          <w:ilvl w:val="0"/>
          <w:numId w:val="76"/>
        </w:numPr>
        <w:tabs>
          <w:tab w:pos="2381" w:val="left" w:leader="none"/>
          <w:tab w:pos="2382" w:val="left" w:leader="none"/>
        </w:tabs>
        <w:spacing w:line="240" w:lineRule="auto" w:before="1" w:after="0"/>
        <w:ind w:left="2381" w:right="0" w:hanging="794"/>
        <w:jc w:val="left"/>
        <w:rPr>
          <w:sz w:val="13"/>
        </w:rPr>
      </w:pPr>
      <w:r>
        <w:rPr>
          <w:w w:val="105"/>
          <w:sz w:val="13"/>
        </w:rPr>
        <w:t>Submission 24 </w:t>
      </w:r>
      <w:r>
        <w:rPr>
          <w:spacing w:val="2"/>
          <w:w w:val="105"/>
          <w:sz w:val="13"/>
        </w:rPr>
        <w:t>(Name</w:t>
      </w:r>
      <w:r>
        <w:rPr>
          <w:spacing w:val="22"/>
          <w:w w:val="105"/>
          <w:sz w:val="13"/>
        </w:rPr>
        <w:t> </w:t>
      </w:r>
      <w:r>
        <w:rPr>
          <w:w w:val="105"/>
          <w:sz w:val="13"/>
        </w:rPr>
        <w:t>withheld).</w:t>
      </w:r>
    </w:p>
    <w:p>
      <w:pPr>
        <w:pStyle w:val="ListParagraph"/>
        <w:numPr>
          <w:ilvl w:val="0"/>
          <w:numId w:val="76"/>
        </w:numPr>
        <w:tabs>
          <w:tab w:pos="2381" w:val="left" w:leader="none"/>
          <w:tab w:pos="2382" w:val="left" w:leader="none"/>
        </w:tabs>
        <w:spacing w:line="240" w:lineRule="auto" w:before="2" w:after="0"/>
        <w:ind w:left="2381" w:right="0" w:hanging="794"/>
        <w:jc w:val="left"/>
        <w:rPr>
          <w:sz w:val="13"/>
        </w:rPr>
      </w:pPr>
      <w:r>
        <w:rPr>
          <w:w w:val="105"/>
          <w:sz w:val="13"/>
        </w:rPr>
        <w:t>Consultation 3 </w:t>
      </w:r>
      <w:r>
        <w:rPr>
          <w:spacing w:val="3"/>
          <w:w w:val="105"/>
          <w:sz w:val="13"/>
        </w:rPr>
        <w:t>(HVP</w:t>
      </w:r>
      <w:r>
        <w:rPr>
          <w:spacing w:val="19"/>
          <w:w w:val="105"/>
          <w:sz w:val="13"/>
        </w:rPr>
        <w:t> </w:t>
      </w:r>
      <w:r>
        <w:rPr>
          <w:w w:val="105"/>
          <w:sz w:val="13"/>
        </w:rPr>
        <w:t>Plantations)</w:t>
      </w:r>
    </w:p>
    <w:p>
      <w:pPr>
        <w:pStyle w:val="ListParagraph"/>
        <w:numPr>
          <w:ilvl w:val="0"/>
          <w:numId w:val="76"/>
        </w:numPr>
        <w:tabs>
          <w:tab w:pos="2381" w:val="left" w:leader="none"/>
          <w:tab w:pos="2382" w:val="left" w:leader="none"/>
        </w:tabs>
        <w:spacing w:line="240" w:lineRule="auto" w:before="1" w:after="0"/>
        <w:ind w:left="2381" w:right="1951" w:hanging="794"/>
        <w:jc w:val="left"/>
        <w:rPr>
          <w:sz w:val="13"/>
        </w:rPr>
      </w:pPr>
      <w:r>
        <w:rPr/>
        <w:pict>
          <v:shape style="position:absolute;margin-left:36pt;margin-top:2.997863pt;width:13.6pt;height:14.25pt;mso-position-horizontal-relative:page;mso-position-vertical-relative:paragraph;z-index:7240" type="#_x0000_t202" filled="false" stroked="false">
            <v:textbox inset="0,0,0,0">
              <w:txbxContent>
                <w:p>
                  <w:pPr>
                    <w:spacing w:line="284" w:lineRule="exact" w:before="0"/>
                    <w:ind w:left="0" w:right="0" w:firstLine="0"/>
                    <w:jc w:val="left"/>
                    <w:rPr>
                      <w:b/>
                      <w:sz w:val="24"/>
                    </w:rPr>
                  </w:pPr>
                  <w:r>
                    <w:rPr>
                      <w:b/>
                      <w:color w:val="658464"/>
                      <w:w w:val="110"/>
                      <w:sz w:val="24"/>
                    </w:rPr>
                    <w:t>98</w:t>
                  </w:r>
                </w:p>
              </w:txbxContent>
            </v:textbox>
            <w10:wrap type="none"/>
          </v:shape>
        </w:pict>
      </w:r>
      <w:r>
        <w:rPr>
          <w:w w:val="105"/>
          <w:sz w:val="13"/>
        </w:rPr>
        <w:t>Submissions 7 </w:t>
      </w:r>
      <w:r>
        <w:rPr>
          <w:spacing w:val="2"/>
          <w:w w:val="105"/>
          <w:sz w:val="13"/>
        </w:rPr>
        <w:t>(Ben </w:t>
      </w:r>
      <w:r>
        <w:rPr>
          <w:w w:val="105"/>
          <w:sz w:val="13"/>
        </w:rPr>
        <w:t>Kenyon), 9 </w:t>
      </w:r>
      <w:r>
        <w:rPr>
          <w:spacing w:val="3"/>
          <w:w w:val="105"/>
          <w:sz w:val="13"/>
        </w:rPr>
        <w:t>(Dr </w:t>
      </w:r>
      <w:r>
        <w:rPr>
          <w:w w:val="105"/>
          <w:sz w:val="13"/>
        </w:rPr>
        <w:t>Karen Smith); Consultation 8 (City of Boroondara), </w:t>
      </w:r>
      <w:r>
        <w:rPr>
          <w:spacing w:val="-6"/>
          <w:w w:val="105"/>
          <w:sz w:val="13"/>
        </w:rPr>
        <w:t>11 </w:t>
      </w:r>
      <w:r>
        <w:rPr>
          <w:spacing w:val="2"/>
          <w:w w:val="105"/>
          <w:sz w:val="13"/>
        </w:rPr>
        <w:t>(Land </w:t>
      </w:r>
      <w:r>
        <w:rPr>
          <w:w w:val="105"/>
          <w:sz w:val="13"/>
        </w:rPr>
        <w:t>and Environment Court of New South Wales), </w:t>
      </w:r>
      <w:r>
        <w:rPr>
          <w:spacing w:val="-4"/>
          <w:w w:val="105"/>
          <w:sz w:val="13"/>
        </w:rPr>
        <w:t>12 </w:t>
      </w:r>
      <w:r>
        <w:rPr>
          <w:w w:val="105"/>
          <w:sz w:val="13"/>
        </w:rPr>
        <w:t>(City of Port Phillip).</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0"/>
          <w:numId w:val="64"/>
        </w:numPr>
        <w:tabs>
          <w:tab w:pos="2381" w:val="left" w:leader="none"/>
          <w:tab w:pos="2382" w:val="left" w:leader="none"/>
        </w:tabs>
        <w:spacing w:line="242" w:lineRule="auto" w:before="91" w:after="0"/>
        <w:ind w:left="2381" w:right="1708" w:hanging="794"/>
        <w:jc w:val="left"/>
        <w:rPr>
          <w:sz w:val="12"/>
        </w:rPr>
      </w:pPr>
      <w:r>
        <w:rPr>
          <w:sz w:val="21"/>
        </w:rPr>
        <w:t>Arborist Dr Karen </w:t>
      </w:r>
      <w:r>
        <w:rPr>
          <w:spacing w:val="-3"/>
          <w:sz w:val="21"/>
        </w:rPr>
        <w:t>Smith  noted  ‘whilst  </w:t>
      </w:r>
      <w:r>
        <w:rPr>
          <w:sz w:val="21"/>
        </w:rPr>
        <w:t>special medical </w:t>
      </w:r>
      <w:r>
        <w:rPr>
          <w:spacing w:val="-3"/>
          <w:sz w:val="21"/>
        </w:rPr>
        <w:t>conditions</w:t>
      </w:r>
      <w:r>
        <w:rPr>
          <w:spacing w:val="41"/>
          <w:sz w:val="21"/>
        </w:rPr>
        <w:t> </w:t>
      </w:r>
      <w:r>
        <w:rPr>
          <w:sz w:val="21"/>
        </w:rPr>
        <w:t>do exist, they </w:t>
      </w:r>
      <w:r>
        <w:rPr>
          <w:spacing w:val="-3"/>
          <w:sz w:val="21"/>
        </w:rPr>
        <w:t>are  </w:t>
      </w:r>
      <w:r>
        <w:rPr>
          <w:spacing w:val="-4"/>
          <w:sz w:val="21"/>
        </w:rPr>
        <w:t>rare.  </w:t>
      </w:r>
      <w:r>
        <w:rPr>
          <w:sz w:val="21"/>
        </w:rPr>
        <w:t>So </w:t>
      </w:r>
      <w:r>
        <w:rPr>
          <w:spacing w:val="-3"/>
          <w:sz w:val="21"/>
        </w:rPr>
        <w:t>for </w:t>
      </w:r>
      <w:r>
        <w:rPr>
          <w:sz w:val="21"/>
        </w:rPr>
        <w:t>medical </w:t>
      </w:r>
      <w:r>
        <w:rPr>
          <w:spacing w:val="-3"/>
          <w:sz w:val="21"/>
        </w:rPr>
        <w:t>conditions </w:t>
      </w:r>
      <w:r>
        <w:rPr>
          <w:sz w:val="21"/>
        </w:rPr>
        <w:t>a medical certificate should be provided stating the tree is the cause of the medical </w:t>
      </w:r>
      <w:r>
        <w:rPr>
          <w:spacing w:val="-3"/>
          <w:sz w:val="21"/>
        </w:rPr>
        <w:t>condition. Many </w:t>
      </w:r>
      <w:r>
        <w:rPr>
          <w:sz w:val="21"/>
        </w:rPr>
        <w:t>trees </w:t>
      </w:r>
      <w:r>
        <w:rPr>
          <w:spacing w:val="-3"/>
          <w:sz w:val="21"/>
        </w:rPr>
        <w:t>thought to </w:t>
      </w:r>
      <w:r>
        <w:rPr>
          <w:sz w:val="21"/>
        </w:rPr>
        <w:t>be </w:t>
      </w:r>
      <w:r>
        <w:rPr>
          <w:spacing w:val="-3"/>
          <w:sz w:val="21"/>
        </w:rPr>
        <w:t>allergenic are </w:t>
      </w:r>
      <w:r>
        <w:rPr>
          <w:sz w:val="21"/>
        </w:rPr>
        <w:t>actually not, and </w:t>
      </w:r>
      <w:r>
        <w:rPr>
          <w:spacing w:val="-3"/>
          <w:sz w:val="21"/>
        </w:rPr>
        <w:t>claims </w:t>
      </w:r>
      <w:r>
        <w:rPr>
          <w:sz w:val="21"/>
        </w:rPr>
        <w:t>need </w:t>
      </w:r>
      <w:r>
        <w:rPr>
          <w:spacing w:val="-3"/>
          <w:sz w:val="21"/>
        </w:rPr>
        <w:t>to </w:t>
      </w:r>
      <w:r>
        <w:rPr>
          <w:sz w:val="21"/>
        </w:rPr>
        <w:t>be evidence</w:t>
      </w:r>
      <w:r>
        <w:rPr>
          <w:spacing w:val="4"/>
          <w:sz w:val="21"/>
        </w:rPr>
        <w:t> </w:t>
      </w:r>
      <w:r>
        <w:rPr>
          <w:spacing w:val="-4"/>
          <w:sz w:val="21"/>
        </w:rPr>
        <w:t>based.’</w:t>
      </w:r>
      <w:r>
        <w:rPr>
          <w:spacing w:val="-4"/>
          <w:position w:val="7"/>
          <w:sz w:val="12"/>
        </w:rPr>
        <w:t>335</w:t>
      </w:r>
    </w:p>
    <w:p>
      <w:pPr>
        <w:pStyle w:val="ListParagraph"/>
        <w:numPr>
          <w:ilvl w:val="0"/>
          <w:numId w:val="64"/>
        </w:numPr>
        <w:tabs>
          <w:tab w:pos="2381" w:val="left" w:leader="none"/>
          <w:tab w:pos="2382" w:val="left" w:leader="none"/>
        </w:tabs>
        <w:spacing w:line="242" w:lineRule="auto" w:before="125" w:after="0"/>
        <w:ind w:left="2381" w:right="1898" w:hanging="794"/>
        <w:jc w:val="left"/>
        <w:rPr>
          <w:sz w:val="12"/>
        </w:rPr>
      </w:pPr>
      <w:r>
        <w:rPr>
          <w:w w:val="105"/>
          <w:sz w:val="21"/>
        </w:rPr>
        <w:t>Dr Gregory Moore OAM supported this </w:t>
      </w:r>
      <w:r>
        <w:rPr>
          <w:spacing w:val="-3"/>
          <w:w w:val="105"/>
          <w:sz w:val="21"/>
        </w:rPr>
        <w:t>position, </w:t>
      </w:r>
      <w:r>
        <w:rPr>
          <w:w w:val="105"/>
          <w:sz w:val="21"/>
        </w:rPr>
        <w:t>stating </w:t>
      </w:r>
      <w:r>
        <w:rPr>
          <w:spacing w:val="-3"/>
          <w:w w:val="105"/>
          <w:sz w:val="21"/>
        </w:rPr>
        <w:t>that </w:t>
      </w:r>
      <w:r>
        <w:rPr>
          <w:w w:val="105"/>
          <w:sz w:val="21"/>
        </w:rPr>
        <w:t>some </w:t>
      </w:r>
      <w:r>
        <w:rPr>
          <w:spacing w:val="-3"/>
          <w:w w:val="105"/>
          <w:sz w:val="21"/>
        </w:rPr>
        <w:t>councils </w:t>
      </w:r>
      <w:r>
        <w:rPr>
          <w:w w:val="105"/>
          <w:sz w:val="21"/>
        </w:rPr>
        <w:t>now rely on expert allergy testing </w:t>
      </w:r>
      <w:r>
        <w:rPr>
          <w:spacing w:val="-3"/>
          <w:w w:val="105"/>
          <w:sz w:val="21"/>
        </w:rPr>
        <w:t>rather than </w:t>
      </w:r>
      <w:r>
        <w:rPr>
          <w:w w:val="105"/>
          <w:sz w:val="21"/>
        </w:rPr>
        <w:t>a report </w:t>
      </w:r>
      <w:r>
        <w:rPr>
          <w:spacing w:val="-3"/>
          <w:w w:val="105"/>
          <w:sz w:val="21"/>
        </w:rPr>
        <w:t>from </w:t>
      </w:r>
      <w:r>
        <w:rPr>
          <w:w w:val="105"/>
          <w:sz w:val="21"/>
        </w:rPr>
        <w:t>a general </w:t>
      </w:r>
      <w:r>
        <w:rPr>
          <w:spacing w:val="-3"/>
          <w:w w:val="105"/>
          <w:sz w:val="21"/>
        </w:rPr>
        <w:t>practitioner.</w:t>
      </w:r>
      <w:r>
        <w:rPr>
          <w:spacing w:val="-3"/>
          <w:w w:val="105"/>
          <w:position w:val="7"/>
          <w:sz w:val="12"/>
        </w:rPr>
        <w:t>336 </w:t>
      </w:r>
      <w:r>
        <w:rPr>
          <w:w w:val="105"/>
          <w:sz w:val="21"/>
        </w:rPr>
        <w:t>The </w:t>
      </w:r>
      <w:r>
        <w:rPr>
          <w:spacing w:val="-3"/>
          <w:w w:val="105"/>
          <w:sz w:val="21"/>
        </w:rPr>
        <w:t>City </w:t>
      </w:r>
      <w:r>
        <w:rPr>
          <w:w w:val="105"/>
          <w:sz w:val="21"/>
        </w:rPr>
        <w:t>of Port </w:t>
      </w:r>
      <w:r>
        <w:rPr>
          <w:spacing w:val="-3"/>
          <w:w w:val="105"/>
          <w:sz w:val="21"/>
        </w:rPr>
        <w:t>Phillip noted that ‘if </w:t>
      </w:r>
      <w:r>
        <w:rPr>
          <w:w w:val="105"/>
          <w:sz w:val="21"/>
        </w:rPr>
        <w:t>a pollen allergy is </w:t>
      </w:r>
      <w:r>
        <w:rPr>
          <w:spacing w:val="-3"/>
          <w:w w:val="105"/>
          <w:sz w:val="21"/>
        </w:rPr>
        <w:t>cited </w:t>
      </w:r>
      <w:r>
        <w:rPr>
          <w:w w:val="105"/>
          <w:sz w:val="21"/>
        </w:rPr>
        <w:t>as the reason </w:t>
      </w:r>
      <w:r>
        <w:rPr>
          <w:spacing w:val="-3"/>
          <w:w w:val="105"/>
          <w:sz w:val="21"/>
        </w:rPr>
        <w:t>for </w:t>
      </w:r>
      <w:r>
        <w:rPr>
          <w:w w:val="105"/>
          <w:sz w:val="21"/>
        </w:rPr>
        <w:t>requesting </w:t>
      </w:r>
      <w:r>
        <w:rPr>
          <w:spacing w:val="-3"/>
          <w:w w:val="105"/>
          <w:sz w:val="21"/>
        </w:rPr>
        <w:t>removal </w:t>
      </w:r>
      <w:r>
        <w:rPr>
          <w:w w:val="105"/>
          <w:sz w:val="21"/>
        </w:rPr>
        <w:t>of</w:t>
      </w:r>
      <w:r>
        <w:rPr>
          <w:spacing w:val="-8"/>
          <w:w w:val="105"/>
          <w:sz w:val="21"/>
        </w:rPr>
        <w:t> </w:t>
      </w:r>
      <w:r>
        <w:rPr>
          <w:w w:val="105"/>
          <w:sz w:val="21"/>
        </w:rPr>
        <w:t>the</w:t>
      </w:r>
      <w:r>
        <w:rPr>
          <w:spacing w:val="-7"/>
          <w:w w:val="105"/>
          <w:sz w:val="21"/>
        </w:rPr>
        <w:t> </w:t>
      </w:r>
      <w:r>
        <w:rPr>
          <w:w w:val="105"/>
          <w:sz w:val="21"/>
        </w:rPr>
        <w:t>tree</w:t>
      </w:r>
      <w:r>
        <w:rPr>
          <w:spacing w:val="-7"/>
          <w:w w:val="105"/>
          <w:sz w:val="21"/>
        </w:rPr>
        <w:t> </w:t>
      </w:r>
      <w:r>
        <w:rPr>
          <w:w w:val="105"/>
          <w:sz w:val="21"/>
        </w:rPr>
        <w:t>or</w:t>
      </w:r>
      <w:r>
        <w:rPr>
          <w:spacing w:val="-7"/>
          <w:w w:val="105"/>
          <w:sz w:val="21"/>
        </w:rPr>
        <w:t> </w:t>
      </w:r>
      <w:r>
        <w:rPr>
          <w:spacing w:val="-3"/>
          <w:w w:val="105"/>
          <w:sz w:val="21"/>
        </w:rPr>
        <w:t>palm,</w:t>
      </w:r>
      <w:r>
        <w:rPr>
          <w:spacing w:val="-7"/>
          <w:w w:val="105"/>
          <w:sz w:val="21"/>
        </w:rPr>
        <w:t> </w:t>
      </w:r>
      <w:r>
        <w:rPr>
          <w:w w:val="105"/>
          <w:sz w:val="21"/>
        </w:rPr>
        <w:t>then</w:t>
      </w:r>
      <w:r>
        <w:rPr>
          <w:spacing w:val="-7"/>
          <w:w w:val="105"/>
          <w:sz w:val="21"/>
        </w:rPr>
        <w:t> </w:t>
      </w:r>
      <w:r>
        <w:rPr>
          <w:w w:val="105"/>
          <w:sz w:val="21"/>
        </w:rPr>
        <w:t>this</w:t>
      </w:r>
      <w:r>
        <w:rPr>
          <w:spacing w:val="-7"/>
          <w:w w:val="105"/>
          <w:sz w:val="21"/>
        </w:rPr>
        <w:t> </w:t>
      </w:r>
      <w:r>
        <w:rPr>
          <w:spacing w:val="-3"/>
          <w:w w:val="105"/>
          <w:sz w:val="21"/>
        </w:rPr>
        <w:t>will</w:t>
      </w:r>
      <w:r>
        <w:rPr>
          <w:spacing w:val="-8"/>
          <w:w w:val="105"/>
          <w:sz w:val="21"/>
        </w:rPr>
        <w:t> </w:t>
      </w:r>
      <w:r>
        <w:rPr>
          <w:spacing w:val="-3"/>
          <w:w w:val="105"/>
          <w:sz w:val="21"/>
        </w:rPr>
        <w:t>generally</w:t>
      </w:r>
      <w:r>
        <w:rPr>
          <w:spacing w:val="-7"/>
          <w:w w:val="105"/>
          <w:sz w:val="21"/>
        </w:rPr>
        <w:t> </w:t>
      </w:r>
      <w:r>
        <w:rPr>
          <w:w w:val="105"/>
          <w:sz w:val="21"/>
        </w:rPr>
        <w:t>need</w:t>
      </w:r>
      <w:r>
        <w:rPr>
          <w:spacing w:val="-7"/>
          <w:w w:val="105"/>
          <w:sz w:val="21"/>
        </w:rPr>
        <w:t> </w:t>
      </w:r>
      <w:r>
        <w:rPr>
          <w:spacing w:val="-3"/>
          <w:w w:val="105"/>
          <w:sz w:val="21"/>
        </w:rPr>
        <w:t>to</w:t>
      </w:r>
      <w:r>
        <w:rPr>
          <w:spacing w:val="-7"/>
          <w:w w:val="105"/>
          <w:sz w:val="21"/>
        </w:rPr>
        <w:t> </w:t>
      </w:r>
      <w:r>
        <w:rPr>
          <w:w w:val="105"/>
          <w:sz w:val="21"/>
        </w:rPr>
        <w:t>be</w:t>
      </w:r>
      <w:r>
        <w:rPr>
          <w:spacing w:val="-7"/>
          <w:w w:val="105"/>
          <w:sz w:val="21"/>
        </w:rPr>
        <w:t> </w:t>
      </w:r>
      <w:r>
        <w:rPr>
          <w:w w:val="105"/>
          <w:sz w:val="21"/>
        </w:rPr>
        <w:t>supported</w:t>
      </w:r>
      <w:r>
        <w:rPr>
          <w:spacing w:val="-7"/>
          <w:w w:val="105"/>
          <w:sz w:val="21"/>
        </w:rPr>
        <w:t> </w:t>
      </w:r>
      <w:r>
        <w:rPr>
          <w:w w:val="105"/>
          <w:sz w:val="21"/>
        </w:rPr>
        <w:t>by</w:t>
      </w:r>
      <w:r>
        <w:rPr>
          <w:spacing w:val="-7"/>
          <w:w w:val="105"/>
          <w:sz w:val="21"/>
        </w:rPr>
        <w:t> </w:t>
      </w:r>
      <w:r>
        <w:rPr>
          <w:w w:val="105"/>
          <w:sz w:val="21"/>
        </w:rPr>
        <w:t>specialist</w:t>
      </w:r>
      <w:r>
        <w:rPr>
          <w:spacing w:val="-8"/>
          <w:w w:val="105"/>
          <w:sz w:val="21"/>
        </w:rPr>
        <w:t> </w:t>
      </w:r>
      <w:r>
        <w:rPr>
          <w:w w:val="105"/>
          <w:sz w:val="21"/>
        </w:rPr>
        <w:t>medical </w:t>
      </w:r>
      <w:r>
        <w:rPr>
          <w:spacing w:val="-4"/>
          <w:w w:val="105"/>
          <w:sz w:val="21"/>
        </w:rPr>
        <w:t>evidence’.</w:t>
      </w:r>
      <w:r>
        <w:rPr>
          <w:spacing w:val="-4"/>
          <w:w w:val="105"/>
          <w:position w:val="7"/>
          <w:sz w:val="12"/>
        </w:rPr>
        <w:t>337</w:t>
      </w:r>
    </w:p>
    <w:p>
      <w:pPr>
        <w:pStyle w:val="ListParagraph"/>
        <w:numPr>
          <w:ilvl w:val="0"/>
          <w:numId w:val="64"/>
        </w:numPr>
        <w:tabs>
          <w:tab w:pos="2381" w:val="left" w:leader="none"/>
          <w:tab w:pos="2382" w:val="left" w:leader="none"/>
        </w:tabs>
        <w:spacing w:line="242" w:lineRule="auto" w:before="125" w:after="0"/>
        <w:ind w:left="2381" w:right="1626" w:hanging="794"/>
        <w:jc w:val="left"/>
        <w:rPr>
          <w:sz w:val="12"/>
        </w:rPr>
      </w:pPr>
      <w:r>
        <w:rPr>
          <w:w w:val="105"/>
          <w:sz w:val="21"/>
        </w:rPr>
        <w:t>Members of the community </w:t>
      </w:r>
      <w:r>
        <w:rPr>
          <w:spacing w:val="-3"/>
          <w:w w:val="105"/>
          <w:sz w:val="21"/>
        </w:rPr>
        <w:t>felt that harm </w:t>
      </w:r>
      <w:r>
        <w:rPr>
          <w:w w:val="105"/>
          <w:sz w:val="21"/>
        </w:rPr>
        <w:t>should </w:t>
      </w:r>
      <w:r>
        <w:rPr>
          <w:spacing w:val="-3"/>
          <w:w w:val="105"/>
          <w:sz w:val="21"/>
        </w:rPr>
        <w:t>include harm to anyone </w:t>
      </w:r>
      <w:r>
        <w:rPr>
          <w:w w:val="105"/>
          <w:sz w:val="21"/>
        </w:rPr>
        <w:t>at </w:t>
      </w:r>
      <w:r>
        <w:rPr>
          <w:spacing w:val="-3"/>
          <w:w w:val="105"/>
          <w:sz w:val="21"/>
        </w:rPr>
        <w:t>all, including </w:t>
      </w:r>
      <w:r>
        <w:rPr>
          <w:w w:val="105"/>
          <w:sz w:val="21"/>
        </w:rPr>
        <w:t>occupiers and others on the land.</w:t>
      </w:r>
      <w:r>
        <w:rPr>
          <w:w w:val="105"/>
          <w:position w:val="7"/>
          <w:sz w:val="12"/>
        </w:rPr>
        <w:t>338 </w:t>
      </w:r>
      <w:r>
        <w:rPr>
          <w:w w:val="105"/>
          <w:sz w:val="21"/>
        </w:rPr>
        <w:t>One </w:t>
      </w:r>
      <w:r>
        <w:rPr>
          <w:spacing w:val="-3"/>
          <w:w w:val="105"/>
          <w:sz w:val="21"/>
        </w:rPr>
        <w:t>submission noted that ‘it will usually </w:t>
      </w:r>
      <w:r>
        <w:rPr>
          <w:w w:val="105"/>
          <w:sz w:val="21"/>
        </w:rPr>
        <w:t>be occupiers </w:t>
      </w:r>
      <w:r>
        <w:rPr>
          <w:spacing w:val="-3"/>
          <w:w w:val="105"/>
          <w:sz w:val="21"/>
        </w:rPr>
        <w:t>that are</w:t>
      </w:r>
      <w:r>
        <w:rPr>
          <w:spacing w:val="18"/>
          <w:w w:val="105"/>
          <w:sz w:val="21"/>
        </w:rPr>
        <w:t> </w:t>
      </w:r>
      <w:r>
        <w:rPr>
          <w:spacing w:val="-3"/>
          <w:w w:val="105"/>
          <w:sz w:val="21"/>
        </w:rPr>
        <w:t>affected’.</w:t>
      </w:r>
      <w:r>
        <w:rPr>
          <w:spacing w:val="-3"/>
          <w:w w:val="105"/>
          <w:position w:val="7"/>
          <w:sz w:val="12"/>
        </w:rPr>
        <w:t>339</w:t>
      </w:r>
    </w:p>
    <w:p>
      <w:pPr>
        <w:pStyle w:val="ListParagraph"/>
        <w:numPr>
          <w:ilvl w:val="0"/>
          <w:numId w:val="64"/>
        </w:numPr>
        <w:tabs>
          <w:tab w:pos="2381" w:val="left" w:leader="none"/>
          <w:tab w:pos="2382" w:val="left" w:leader="none"/>
        </w:tabs>
        <w:spacing w:line="242" w:lineRule="auto" w:before="124" w:after="0"/>
        <w:ind w:left="2381" w:right="1697" w:hanging="794"/>
        <w:jc w:val="left"/>
        <w:rPr>
          <w:sz w:val="21"/>
        </w:rPr>
      </w:pPr>
      <w:r>
        <w:rPr>
          <w:w w:val="105"/>
          <w:sz w:val="21"/>
        </w:rPr>
        <w:t>The NSWLEC </w:t>
      </w:r>
      <w:r>
        <w:rPr>
          <w:spacing w:val="-3"/>
          <w:w w:val="105"/>
          <w:sz w:val="21"/>
        </w:rPr>
        <w:t>informed </w:t>
      </w:r>
      <w:r>
        <w:rPr>
          <w:w w:val="105"/>
          <w:sz w:val="21"/>
        </w:rPr>
        <w:t>the </w:t>
      </w:r>
      <w:r>
        <w:rPr>
          <w:spacing w:val="-3"/>
          <w:w w:val="105"/>
          <w:sz w:val="21"/>
        </w:rPr>
        <w:t>Commission that </w:t>
      </w:r>
      <w:r>
        <w:rPr>
          <w:w w:val="105"/>
          <w:sz w:val="21"/>
        </w:rPr>
        <w:t>‘the </w:t>
      </w:r>
      <w:r>
        <w:rPr>
          <w:spacing w:val="-3"/>
          <w:w w:val="105"/>
          <w:sz w:val="21"/>
        </w:rPr>
        <w:t>Court </w:t>
      </w:r>
      <w:r>
        <w:rPr>
          <w:w w:val="105"/>
          <w:sz w:val="21"/>
        </w:rPr>
        <w:t>is able </w:t>
      </w:r>
      <w:r>
        <w:rPr>
          <w:spacing w:val="-3"/>
          <w:w w:val="105"/>
          <w:sz w:val="21"/>
        </w:rPr>
        <w:t>to consider </w:t>
      </w:r>
      <w:r>
        <w:rPr>
          <w:w w:val="105"/>
          <w:sz w:val="21"/>
        </w:rPr>
        <w:t>the risk of injury </w:t>
      </w:r>
      <w:r>
        <w:rPr>
          <w:spacing w:val="-4"/>
          <w:w w:val="105"/>
          <w:sz w:val="21"/>
        </w:rPr>
        <w:t>“to </w:t>
      </w:r>
      <w:r>
        <w:rPr>
          <w:spacing w:val="-3"/>
          <w:w w:val="105"/>
          <w:sz w:val="21"/>
        </w:rPr>
        <w:t>any </w:t>
      </w:r>
      <w:r>
        <w:rPr>
          <w:spacing w:val="-6"/>
          <w:w w:val="105"/>
          <w:sz w:val="21"/>
        </w:rPr>
        <w:t>person”. </w:t>
      </w:r>
      <w:r>
        <w:rPr>
          <w:w w:val="105"/>
          <w:sz w:val="21"/>
        </w:rPr>
        <w:t>This </w:t>
      </w:r>
      <w:r>
        <w:rPr>
          <w:spacing w:val="-3"/>
          <w:w w:val="105"/>
          <w:sz w:val="21"/>
        </w:rPr>
        <w:t>includes </w:t>
      </w:r>
      <w:r>
        <w:rPr>
          <w:spacing w:val="-2"/>
          <w:w w:val="105"/>
          <w:sz w:val="21"/>
        </w:rPr>
        <w:t>not </w:t>
      </w:r>
      <w:r>
        <w:rPr>
          <w:w w:val="105"/>
          <w:sz w:val="21"/>
        </w:rPr>
        <w:t>only residents of the affected </w:t>
      </w:r>
      <w:r>
        <w:rPr>
          <w:spacing w:val="-3"/>
          <w:w w:val="105"/>
          <w:sz w:val="21"/>
        </w:rPr>
        <w:t>land, </w:t>
      </w:r>
      <w:r>
        <w:rPr>
          <w:w w:val="105"/>
          <w:sz w:val="21"/>
        </w:rPr>
        <w:t>but </w:t>
      </w:r>
      <w:r>
        <w:rPr>
          <w:spacing w:val="-3"/>
          <w:w w:val="105"/>
          <w:sz w:val="21"/>
        </w:rPr>
        <w:t>anyone </w:t>
      </w:r>
      <w:r>
        <w:rPr>
          <w:w w:val="105"/>
          <w:sz w:val="21"/>
        </w:rPr>
        <w:t>who is present on the </w:t>
      </w:r>
      <w:r>
        <w:rPr>
          <w:spacing w:val="-3"/>
          <w:w w:val="105"/>
          <w:sz w:val="21"/>
        </w:rPr>
        <w:t>land </w:t>
      </w:r>
      <w:r>
        <w:rPr>
          <w:w w:val="105"/>
          <w:sz w:val="21"/>
        </w:rPr>
        <w:t>or visits the </w:t>
      </w:r>
      <w:r>
        <w:rPr>
          <w:spacing w:val="-3"/>
          <w:w w:val="105"/>
          <w:sz w:val="21"/>
        </w:rPr>
        <w:t>land.’</w:t>
      </w:r>
      <w:r>
        <w:rPr>
          <w:spacing w:val="-3"/>
          <w:w w:val="105"/>
          <w:position w:val="7"/>
          <w:sz w:val="12"/>
        </w:rPr>
        <w:t>340 </w:t>
      </w:r>
      <w:r>
        <w:rPr>
          <w:w w:val="105"/>
          <w:sz w:val="21"/>
        </w:rPr>
        <w:t>In </w:t>
      </w:r>
      <w:r>
        <w:rPr>
          <w:spacing w:val="-3"/>
          <w:w w:val="105"/>
          <w:sz w:val="21"/>
        </w:rPr>
        <w:t>relation to </w:t>
      </w:r>
      <w:r>
        <w:rPr>
          <w:w w:val="105"/>
          <w:sz w:val="21"/>
        </w:rPr>
        <w:t>the issue of </w:t>
      </w:r>
      <w:r>
        <w:rPr>
          <w:spacing w:val="-3"/>
          <w:w w:val="105"/>
          <w:sz w:val="21"/>
        </w:rPr>
        <w:t>future harm, </w:t>
      </w:r>
      <w:r>
        <w:rPr>
          <w:w w:val="105"/>
          <w:sz w:val="21"/>
        </w:rPr>
        <w:t>on </w:t>
      </w:r>
      <w:r>
        <w:rPr>
          <w:spacing w:val="-3"/>
          <w:w w:val="105"/>
          <w:sz w:val="21"/>
        </w:rPr>
        <w:t>balance, </w:t>
      </w:r>
      <w:r>
        <w:rPr>
          <w:w w:val="105"/>
          <w:sz w:val="21"/>
        </w:rPr>
        <w:t>the community was in </w:t>
      </w:r>
      <w:r>
        <w:rPr>
          <w:spacing w:val="-3"/>
          <w:w w:val="105"/>
          <w:sz w:val="21"/>
        </w:rPr>
        <w:t>favour </w:t>
      </w:r>
      <w:r>
        <w:rPr>
          <w:w w:val="105"/>
          <w:sz w:val="21"/>
        </w:rPr>
        <w:t>of it being actionable.</w:t>
      </w:r>
      <w:r>
        <w:rPr>
          <w:w w:val="105"/>
          <w:position w:val="7"/>
          <w:sz w:val="12"/>
        </w:rPr>
        <w:t>341 </w:t>
      </w:r>
      <w:r>
        <w:rPr>
          <w:w w:val="105"/>
          <w:sz w:val="21"/>
        </w:rPr>
        <w:t>The </w:t>
      </w:r>
      <w:r>
        <w:rPr>
          <w:spacing w:val="-3"/>
          <w:w w:val="105"/>
          <w:sz w:val="21"/>
        </w:rPr>
        <w:t>City </w:t>
      </w:r>
      <w:r>
        <w:rPr>
          <w:w w:val="105"/>
          <w:sz w:val="21"/>
        </w:rPr>
        <w:t>of Port</w:t>
      </w:r>
      <w:r>
        <w:rPr>
          <w:spacing w:val="-27"/>
          <w:w w:val="105"/>
          <w:sz w:val="21"/>
        </w:rPr>
        <w:t> </w:t>
      </w:r>
      <w:r>
        <w:rPr>
          <w:spacing w:val="-3"/>
          <w:w w:val="105"/>
          <w:sz w:val="21"/>
        </w:rPr>
        <w:t>Phillip</w:t>
      </w:r>
    </w:p>
    <w:p>
      <w:pPr>
        <w:pStyle w:val="BodyText"/>
        <w:spacing w:line="242" w:lineRule="auto" w:before="4"/>
        <w:ind w:left="2381" w:right="1636"/>
        <w:rPr>
          <w:sz w:val="12"/>
        </w:rPr>
      </w:pPr>
      <w:r>
        <w:rPr/>
        <w:t>stated that claims of future harm generally require evidence that the tree is dying or other evidence of decay.</w:t>
      </w:r>
      <w:r>
        <w:rPr>
          <w:position w:val="7"/>
          <w:sz w:val="12"/>
        </w:rPr>
        <w:t>342</w:t>
      </w:r>
    </w:p>
    <w:p>
      <w:pPr>
        <w:pStyle w:val="Heading7"/>
        <w:spacing w:before="153"/>
      </w:pPr>
      <w:r>
        <w:rPr>
          <w:w w:val="115"/>
        </w:rPr>
        <w:t>Interference (not causing actual damage)</w:t>
      </w:r>
    </w:p>
    <w:p>
      <w:pPr>
        <w:pStyle w:val="ListParagraph"/>
        <w:numPr>
          <w:ilvl w:val="0"/>
          <w:numId w:val="64"/>
        </w:numPr>
        <w:tabs>
          <w:tab w:pos="2381" w:val="left" w:leader="none"/>
          <w:tab w:pos="2382" w:val="left" w:leader="none"/>
        </w:tabs>
        <w:spacing w:line="242" w:lineRule="auto" w:before="142" w:after="0"/>
        <w:ind w:left="2381" w:right="2008" w:hanging="794"/>
        <w:jc w:val="left"/>
        <w:rPr>
          <w:sz w:val="21"/>
        </w:rPr>
      </w:pPr>
      <w:r>
        <w:rPr>
          <w:w w:val="105"/>
          <w:sz w:val="21"/>
        </w:rPr>
        <w:t>In</w:t>
      </w:r>
      <w:r>
        <w:rPr>
          <w:spacing w:val="-7"/>
          <w:w w:val="105"/>
          <w:sz w:val="21"/>
        </w:rPr>
        <w:t> </w:t>
      </w:r>
      <w:r>
        <w:rPr>
          <w:w w:val="105"/>
          <w:sz w:val="21"/>
        </w:rPr>
        <w:t>the</w:t>
      </w:r>
      <w:r>
        <w:rPr>
          <w:spacing w:val="-6"/>
          <w:w w:val="105"/>
          <w:sz w:val="21"/>
        </w:rPr>
        <w:t> </w:t>
      </w:r>
      <w:r>
        <w:rPr>
          <w:spacing w:val="-3"/>
          <w:w w:val="105"/>
          <w:sz w:val="21"/>
        </w:rPr>
        <w:t>consultation</w:t>
      </w:r>
      <w:r>
        <w:rPr>
          <w:spacing w:val="-7"/>
          <w:w w:val="105"/>
          <w:sz w:val="21"/>
        </w:rPr>
        <w:t> </w:t>
      </w:r>
      <w:r>
        <w:rPr>
          <w:w w:val="105"/>
          <w:sz w:val="21"/>
        </w:rPr>
        <w:t>paper</w:t>
      </w:r>
      <w:r>
        <w:rPr>
          <w:spacing w:val="-6"/>
          <w:w w:val="105"/>
          <w:sz w:val="21"/>
        </w:rPr>
        <w:t> </w:t>
      </w:r>
      <w:r>
        <w:rPr>
          <w:w w:val="105"/>
          <w:sz w:val="21"/>
        </w:rPr>
        <w:t>the</w:t>
      </w:r>
      <w:r>
        <w:rPr>
          <w:spacing w:val="-6"/>
          <w:w w:val="105"/>
          <w:sz w:val="21"/>
        </w:rPr>
        <w:t> </w:t>
      </w:r>
      <w:r>
        <w:rPr>
          <w:w w:val="105"/>
          <w:sz w:val="21"/>
        </w:rPr>
        <w:t>community</w:t>
      </w:r>
      <w:r>
        <w:rPr>
          <w:spacing w:val="-7"/>
          <w:w w:val="105"/>
          <w:sz w:val="21"/>
        </w:rPr>
        <w:t> </w:t>
      </w:r>
      <w:r>
        <w:rPr>
          <w:w w:val="105"/>
          <w:sz w:val="21"/>
        </w:rPr>
        <w:t>was</w:t>
      </w:r>
      <w:r>
        <w:rPr>
          <w:spacing w:val="-6"/>
          <w:w w:val="105"/>
          <w:sz w:val="21"/>
        </w:rPr>
        <w:t> </w:t>
      </w:r>
      <w:r>
        <w:rPr>
          <w:spacing w:val="-3"/>
          <w:w w:val="105"/>
          <w:sz w:val="21"/>
        </w:rPr>
        <w:t>asked</w:t>
      </w:r>
      <w:r>
        <w:rPr>
          <w:spacing w:val="-6"/>
          <w:w w:val="105"/>
          <w:sz w:val="21"/>
        </w:rPr>
        <w:t> </w:t>
      </w:r>
      <w:r>
        <w:rPr>
          <w:w w:val="105"/>
          <w:sz w:val="21"/>
        </w:rPr>
        <w:t>‘Should</w:t>
      </w:r>
      <w:r>
        <w:rPr>
          <w:spacing w:val="-7"/>
          <w:w w:val="105"/>
          <w:sz w:val="21"/>
        </w:rPr>
        <w:t> </w:t>
      </w:r>
      <w:r>
        <w:rPr>
          <w:spacing w:val="-3"/>
          <w:w w:val="105"/>
          <w:sz w:val="21"/>
        </w:rPr>
        <w:t>interference</w:t>
      </w:r>
      <w:r>
        <w:rPr>
          <w:spacing w:val="-6"/>
          <w:w w:val="105"/>
          <w:sz w:val="21"/>
        </w:rPr>
        <w:t> </w:t>
      </w:r>
      <w:r>
        <w:rPr>
          <w:w w:val="105"/>
          <w:sz w:val="21"/>
        </w:rPr>
        <w:t>(not</w:t>
      </w:r>
      <w:r>
        <w:rPr>
          <w:spacing w:val="-6"/>
          <w:w w:val="105"/>
          <w:sz w:val="21"/>
        </w:rPr>
        <w:t> </w:t>
      </w:r>
      <w:r>
        <w:rPr>
          <w:spacing w:val="-3"/>
          <w:w w:val="105"/>
          <w:sz w:val="21"/>
        </w:rPr>
        <w:t>causing </w:t>
      </w:r>
      <w:r>
        <w:rPr>
          <w:w w:val="105"/>
          <w:sz w:val="21"/>
        </w:rPr>
        <w:t>damage) be actionable under a new </w:t>
      </w:r>
      <w:r>
        <w:rPr>
          <w:spacing w:val="-3"/>
          <w:w w:val="105"/>
          <w:sz w:val="21"/>
        </w:rPr>
        <w:t>scheme? </w:t>
      </w:r>
      <w:r>
        <w:rPr>
          <w:w w:val="105"/>
          <w:sz w:val="21"/>
        </w:rPr>
        <w:t>If </w:t>
      </w:r>
      <w:r>
        <w:rPr>
          <w:spacing w:val="-3"/>
          <w:w w:val="105"/>
          <w:sz w:val="21"/>
        </w:rPr>
        <w:t>so, </w:t>
      </w:r>
      <w:r>
        <w:rPr>
          <w:w w:val="105"/>
          <w:sz w:val="21"/>
        </w:rPr>
        <w:t>what degree of</w:t>
      </w:r>
      <w:r>
        <w:rPr>
          <w:spacing w:val="-29"/>
          <w:w w:val="105"/>
          <w:sz w:val="21"/>
        </w:rPr>
        <w:t> </w:t>
      </w:r>
      <w:r>
        <w:rPr>
          <w:w w:val="105"/>
          <w:sz w:val="21"/>
        </w:rPr>
        <w:t>interference?’</w:t>
      </w:r>
    </w:p>
    <w:p>
      <w:pPr>
        <w:pStyle w:val="ListParagraph"/>
        <w:numPr>
          <w:ilvl w:val="0"/>
          <w:numId w:val="64"/>
        </w:numPr>
        <w:tabs>
          <w:tab w:pos="2381" w:val="left" w:leader="none"/>
          <w:tab w:pos="2382" w:val="left" w:leader="none"/>
        </w:tabs>
        <w:spacing w:line="242" w:lineRule="auto" w:before="123" w:after="0"/>
        <w:ind w:left="2381" w:right="1929" w:hanging="794"/>
        <w:jc w:val="left"/>
        <w:rPr>
          <w:sz w:val="12"/>
        </w:rPr>
      </w:pPr>
      <w:r>
        <w:rPr>
          <w:spacing w:val="-3"/>
          <w:w w:val="105"/>
          <w:sz w:val="21"/>
        </w:rPr>
        <w:t>Interference </w:t>
      </w:r>
      <w:r>
        <w:rPr>
          <w:spacing w:val="-2"/>
          <w:w w:val="105"/>
          <w:sz w:val="21"/>
        </w:rPr>
        <w:t>has </w:t>
      </w:r>
      <w:r>
        <w:rPr>
          <w:w w:val="105"/>
          <w:sz w:val="21"/>
        </w:rPr>
        <w:t>been described by the NSWLEC as </w:t>
      </w:r>
      <w:r>
        <w:rPr>
          <w:spacing w:val="-3"/>
          <w:w w:val="105"/>
          <w:sz w:val="21"/>
        </w:rPr>
        <w:t>annoyance </w:t>
      </w:r>
      <w:r>
        <w:rPr>
          <w:w w:val="105"/>
          <w:sz w:val="21"/>
        </w:rPr>
        <w:t>or discomfort without </w:t>
      </w:r>
      <w:r>
        <w:rPr>
          <w:spacing w:val="-3"/>
          <w:w w:val="105"/>
          <w:sz w:val="21"/>
        </w:rPr>
        <w:t>causing </w:t>
      </w:r>
      <w:r>
        <w:rPr>
          <w:w w:val="105"/>
          <w:sz w:val="21"/>
        </w:rPr>
        <w:t>actual damage.</w:t>
      </w:r>
      <w:r>
        <w:rPr>
          <w:w w:val="105"/>
          <w:position w:val="7"/>
          <w:sz w:val="12"/>
        </w:rPr>
        <w:t>343 </w:t>
      </w:r>
      <w:r>
        <w:rPr>
          <w:w w:val="105"/>
          <w:sz w:val="21"/>
        </w:rPr>
        <w:t>This </w:t>
      </w:r>
      <w:r>
        <w:rPr>
          <w:spacing w:val="-3"/>
          <w:w w:val="105"/>
          <w:sz w:val="21"/>
        </w:rPr>
        <w:t>may include </w:t>
      </w:r>
      <w:r>
        <w:rPr>
          <w:w w:val="105"/>
          <w:sz w:val="21"/>
        </w:rPr>
        <w:t>the </w:t>
      </w:r>
      <w:r>
        <w:rPr>
          <w:spacing w:val="-3"/>
          <w:w w:val="105"/>
          <w:sz w:val="21"/>
        </w:rPr>
        <w:t>dropping </w:t>
      </w:r>
      <w:r>
        <w:rPr>
          <w:w w:val="105"/>
          <w:sz w:val="21"/>
        </w:rPr>
        <w:t>of leaf litter on </w:t>
      </w:r>
      <w:r>
        <w:rPr>
          <w:spacing w:val="-3"/>
          <w:w w:val="105"/>
          <w:sz w:val="21"/>
        </w:rPr>
        <w:t>neighbouring </w:t>
      </w:r>
      <w:r>
        <w:rPr>
          <w:w w:val="105"/>
          <w:sz w:val="21"/>
        </w:rPr>
        <w:t>land.</w:t>
      </w:r>
      <w:r>
        <w:rPr>
          <w:w w:val="105"/>
          <w:position w:val="7"/>
          <w:sz w:val="12"/>
        </w:rPr>
        <w:t>344</w:t>
      </w:r>
    </w:p>
    <w:p>
      <w:pPr>
        <w:pStyle w:val="ListParagraph"/>
        <w:numPr>
          <w:ilvl w:val="0"/>
          <w:numId w:val="64"/>
        </w:numPr>
        <w:tabs>
          <w:tab w:pos="2380" w:val="left" w:leader="none"/>
          <w:tab w:pos="2381" w:val="left" w:leader="none"/>
        </w:tabs>
        <w:spacing w:line="242" w:lineRule="auto" w:before="123" w:after="0"/>
        <w:ind w:left="2381" w:right="1740" w:hanging="794"/>
        <w:jc w:val="left"/>
        <w:rPr>
          <w:sz w:val="21"/>
        </w:rPr>
      </w:pPr>
      <w:r>
        <w:rPr>
          <w:spacing w:val="-3"/>
          <w:w w:val="105"/>
          <w:sz w:val="21"/>
        </w:rPr>
        <w:t>Community</w:t>
      </w:r>
      <w:r>
        <w:rPr>
          <w:spacing w:val="-7"/>
          <w:w w:val="105"/>
          <w:sz w:val="21"/>
        </w:rPr>
        <w:t> </w:t>
      </w:r>
      <w:r>
        <w:rPr>
          <w:w w:val="105"/>
          <w:sz w:val="21"/>
        </w:rPr>
        <w:t>feedback</w:t>
      </w:r>
      <w:r>
        <w:rPr>
          <w:spacing w:val="-6"/>
          <w:w w:val="105"/>
          <w:sz w:val="21"/>
        </w:rPr>
        <w:t> </w:t>
      </w:r>
      <w:r>
        <w:rPr>
          <w:w w:val="105"/>
          <w:sz w:val="21"/>
        </w:rPr>
        <w:t>was</w:t>
      </w:r>
      <w:r>
        <w:rPr>
          <w:spacing w:val="-6"/>
          <w:w w:val="105"/>
          <w:sz w:val="21"/>
        </w:rPr>
        <w:t> </w:t>
      </w:r>
      <w:r>
        <w:rPr>
          <w:spacing w:val="-2"/>
          <w:w w:val="105"/>
          <w:sz w:val="21"/>
        </w:rPr>
        <w:t>evenly</w:t>
      </w:r>
      <w:r>
        <w:rPr>
          <w:spacing w:val="-6"/>
          <w:w w:val="105"/>
          <w:sz w:val="21"/>
        </w:rPr>
        <w:t> </w:t>
      </w:r>
      <w:r>
        <w:rPr>
          <w:w w:val="105"/>
          <w:sz w:val="21"/>
        </w:rPr>
        <w:t>divided</w:t>
      </w:r>
      <w:r>
        <w:rPr>
          <w:spacing w:val="-7"/>
          <w:w w:val="105"/>
          <w:sz w:val="21"/>
        </w:rPr>
        <w:t> </w:t>
      </w:r>
      <w:r>
        <w:rPr>
          <w:w w:val="105"/>
          <w:sz w:val="21"/>
        </w:rPr>
        <w:t>between</w:t>
      </w:r>
      <w:r>
        <w:rPr>
          <w:spacing w:val="-6"/>
          <w:w w:val="105"/>
          <w:sz w:val="21"/>
        </w:rPr>
        <w:t> </w:t>
      </w:r>
      <w:r>
        <w:rPr>
          <w:w w:val="105"/>
          <w:sz w:val="21"/>
        </w:rPr>
        <w:t>those</w:t>
      </w:r>
      <w:r>
        <w:rPr>
          <w:spacing w:val="-6"/>
          <w:w w:val="105"/>
          <w:sz w:val="21"/>
        </w:rPr>
        <w:t> </w:t>
      </w:r>
      <w:r>
        <w:rPr>
          <w:w w:val="105"/>
          <w:sz w:val="21"/>
        </w:rPr>
        <w:t>who</w:t>
      </w:r>
      <w:r>
        <w:rPr>
          <w:spacing w:val="-7"/>
          <w:w w:val="105"/>
          <w:sz w:val="21"/>
        </w:rPr>
        <w:t> </w:t>
      </w:r>
      <w:r>
        <w:rPr>
          <w:w w:val="105"/>
          <w:sz w:val="21"/>
        </w:rPr>
        <w:t>supported</w:t>
      </w:r>
      <w:r>
        <w:rPr>
          <w:spacing w:val="-6"/>
          <w:w w:val="105"/>
          <w:sz w:val="21"/>
        </w:rPr>
        <w:t> </w:t>
      </w:r>
      <w:r>
        <w:rPr>
          <w:w w:val="105"/>
          <w:sz w:val="21"/>
        </w:rPr>
        <w:t>the</w:t>
      </w:r>
      <w:r>
        <w:rPr>
          <w:spacing w:val="-6"/>
          <w:w w:val="105"/>
          <w:sz w:val="21"/>
        </w:rPr>
        <w:t> </w:t>
      </w:r>
      <w:r>
        <w:rPr>
          <w:spacing w:val="-3"/>
          <w:w w:val="105"/>
          <w:sz w:val="21"/>
        </w:rPr>
        <w:t>inclusion</w:t>
      </w:r>
      <w:r>
        <w:rPr>
          <w:spacing w:val="-6"/>
          <w:w w:val="105"/>
          <w:sz w:val="21"/>
        </w:rPr>
        <w:t> </w:t>
      </w:r>
      <w:r>
        <w:rPr>
          <w:w w:val="105"/>
          <w:sz w:val="21"/>
        </w:rPr>
        <w:t>of </w:t>
      </w:r>
      <w:r>
        <w:rPr>
          <w:spacing w:val="-3"/>
          <w:w w:val="105"/>
          <w:sz w:val="21"/>
        </w:rPr>
        <w:t>interference,</w:t>
      </w:r>
      <w:r>
        <w:rPr>
          <w:spacing w:val="-3"/>
          <w:w w:val="105"/>
          <w:position w:val="7"/>
          <w:sz w:val="12"/>
        </w:rPr>
        <w:t>345 </w:t>
      </w:r>
      <w:r>
        <w:rPr>
          <w:w w:val="105"/>
          <w:sz w:val="21"/>
        </w:rPr>
        <w:t>and those who did not.</w:t>
      </w:r>
      <w:r>
        <w:rPr>
          <w:w w:val="105"/>
          <w:position w:val="7"/>
          <w:sz w:val="12"/>
        </w:rPr>
        <w:t>346 </w:t>
      </w:r>
      <w:r>
        <w:rPr>
          <w:w w:val="105"/>
          <w:sz w:val="21"/>
        </w:rPr>
        <w:t>Some expressed </w:t>
      </w:r>
      <w:r>
        <w:rPr>
          <w:spacing w:val="-3"/>
          <w:w w:val="105"/>
          <w:sz w:val="21"/>
        </w:rPr>
        <w:t>concern </w:t>
      </w:r>
      <w:r>
        <w:rPr>
          <w:w w:val="105"/>
          <w:sz w:val="21"/>
        </w:rPr>
        <w:t>about </w:t>
      </w:r>
      <w:r>
        <w:rPr>
          <w:spacing w:val="-3"/>
          <w:w w:val="105"/>
          <w:sz w:val="21"/>
        </w:rPr>
        <w:t>interference that </w:t>
      </w:r>
      <w:r>
        <w:rPr>
          <w:spacing w:val="-2"/>
          <w:w w:val="105"/>
          <w:sz w:val="21"/>
        </w:rPr>
        <w:t>had </w:t>
      </w:r>
      <w:r>
        <w:rPr>
          <w:w w:val="105"/>
          <w:sz w:val="21"/>
        </w:rPr>
        <w:t>the </w:t>
      </w:r>
      <w:r>
        <w:rPr>
          <w:spacing w:val="-3"/>
          <w:w w:val="105"/>
          <w:sz w:val="21"/>
        </w:rPr>
        <w:t>potential to </w:t>
      </w:r>
      <w:r>
        <w:rPr>
          <w:w w:val="105"/>
          <w:sz w:val="21"/>
        </w:rPr>
        <w:t>cause damage,</w:t>
      </w:r>
      <w:r>
        <w:rPr>
          <w:w w:val="105"/>
          <w:position w:val="7"/>
          <w:sz w:val="12"/>
        </w:rPr>
        <w:t>347 </w:t>
      </w:r>
      <w:r>
        <w:rPr>
          <w:w w:val="105"/>
          <w:sz w:val="21"/>
        </w:rPr>
        <w:t>others </w:t>
      </w:r>
      <w:r>
        <w:rPr>
          <w:spacing w:val="-3"/>
          <w:w w:val="105"/>
          <w:sz w:val="21"/>
        </w:rPr>
        <w:t>were concerned </w:t>
      </w:r>
      <w:r>
        <w:rPr>
          <w:w w:val="105"/>
          <w:sz w:val="21"/>
        </w:rPr>
        <w:t>about </w:t>
      </w:r>
      <w:r>
        <w:rPr>
          <w:spacing w:val="-3"/>
          <w:w w:val="105"/>
          <w:sz w:val="21"/>
        </w:rPr>
        <w:t>‘excessive </w:t>
      </w:r>
      <w:r>
        <w:rPr>
          <w:w w:val="105"/>
          <w:sz w:val="21"/>
        </w:rPr>
        <w:t>leaf or bark </w:t>
      </w:r>
      <w:r>
        <w:rPr>
          <w:spacing w:val="-4"/>
          <w:w w:val="105"/>
          <w:sz w:val="21"/>
        </w:rPr>
        <w:t>drop’.</w:t>
      </w:r>
      <w:r>
        <w:rPr>
          <w:spacing w:val="-4"/>
          <w:w w:val="105"/>
          <w:position w:val="7"/>
          <w:sz w:val="12"/>
        </w:rPr>
        <w:t>348 </w:t>
      </w:r>
      <w:r>
        <w:rPr>
          <w:w w:val="105"/>
          <w:sz w:val="21"/>
        </w:rPr>
        <w:t>A number of </w:t>
      </w:r>
      <w:r>
        <w:rPr>
          <w:spacing w:val="-3"/>
          <w:w w:val="105"/>
          <w:sz w:val="21"/>
        </w:rPr>
        <w:t>submissions </w:t>
      </w:r>
      <w:r>
        <w:rPr>
          <w:w w:val="105"/>
          <w:sz w:val="21"/>
        </w:rPr>
        <w:t>reflected some </w:t>
      </w:r>
      <w:r>
        <w:rPr>
          <w:spacing w:val="-3"/>
          <w:w w:val="105"/>
          <w:sz w:val="21"/>
        </w:rPr>
        <w:t>misunderstanding </w:t>
      </w:r>
      <w:r>
        <w:rPr>
          <w:w w:val="105"/>
          <w:sz w:val="21"/>
        </w:rPr>
        <w:t>about the question </w:t>
      </w:r>
      <w:r>
        <w:rPr>
          <w:spacing w:val="-3"/>
          <w:w w:val="105"/>
          <w:sz w:val="21"/>
        </w:rPr>
        <w:t>asked </w:t>
      </w:r>
      <w:r>
        <w:rPr>
          <w:w w:val="105"/>
          <w:sz w:val="21"/>
        </w:rPr>
        <w:t>and the definition of</w:t>
      </w:r>
      <w:r>
        <w:rPr>
          <w:spacing w:val="27"/>
          <w:w w:val="105"/>
          <w:sz w:val="21"/>
        </w:rPr>
        <w:t> </w:t>
      </w:r>
      <w:r>
        <w:rPr>
          <w:spacing w:val="-3"/>
          <w:w w:val="105"/>
          <w:sz w:val="21"/>
        </w:rPr>
        <w:t>interference.</w:t>
      </w:r>
    </w:p>
    <w:p>
      <w:pPr>
        <w:pStyle w:val="ListParagraph"/>
        <w:numPr>
          <w:ilvl w:val="0"/>
          <w:numId w:val="64"/>
        </w:numPr>
        <w:tabs>
          <w:tab w:pos="2381" w:val="left" w:leader="none"/>
          <w:tab w:pos="2382" w:val="left" w:leader="none"/>
        </w:tabs>
        <w:spacing w:line="242" w:lineRule="auto" w:before="125" w:after="0"/>
        <w:ind w:left="2381" w:right="1714" w:hanging="794"/>
        <w:jc w:val="left"/>
        <w:rPr>
          <w:sz w:val="21"/>
        </w:rPr>
      </w:pPr>
      <w:r>
        <w:rPr>
          <w:w w:val="105"/>
          <w:sz w:val="21"/>
        </w:rPr>
        <w:t>One person supported an action in </w:t>
      </w:r>
      <w:r>
        <w:rPr>
          <w:spacing w:val="-3"/>
          <w:w w:val="105"/>
          <w:sz w:val="21"/>
        </w:rPr>
        <w:t>interference </w:t>
      </w:r>
      <w:r>
        <w:rPr>
          <w:w w:val="105"/>
          <w:sz w:val="21"/>
        </w:rPr>
        <w:t>in cases where ongoing </w:t>
      </w:r>
      <w:r>
        <w:rPr>
          <w:spacing w:val="-3"/>
          <w:w w:val="105"/>
          <w:sz w:val="21"/>
        </w:rPr>
        <w:t>maintenance </w:t>
      </w:r>
      <w:r>
        <w:rPr>
          <w:w w:val="105"/>
          <w:sz w:val="21"/>
        </w:rPr>
        <w:t>costs</w:t>
      </w:r>
      <w:r>
        <w:rPr>
          <w:spacing w:val="-10"/>
          <w:w w:val="105"/>
          <w:sz w:val="21"/>
        </w:rPr>
        <w:t> </w:t>
      </w:r>
      <w:r>
        <w:rPr>
          <w:spacing w:val="-3"/>
          <w:w w:val="105"/>
          <w:sz w:val="21"/>
        </w:rPr>
        <w:t>may</w:t>
      </w:r>
      <w:r>
        <w:rPr>
          <w:spacing w:val="-10"/>
          <w:w w:val="105"/>
          <w:sz w:val="21"/>
        </w:rPr>
        <w:t> </w:t>
      </w:r>
      <w:r>
        <w:rPr>
          <w:w w:val="105"/>
          <w:sz w:val="21"/>
        </w:rPr>
        <w:t>be</w:t>
      </w:r>
      <w:r>
        <w:rPr>
          <w:spacing w:val="-10"/>
          <w:w w:val="105"/>
          <w:sz w:val="21"/>
        </w:rPr>
        <w:t> </w:t>
      </w:r>
      <w:r>
        <w:rPr>
          <w:w w:val="105"/>
          <w:sz w:val="21"/>
        </w:rPr>
        <w:t>incurred.</w:t>
      </w:r>
      <w:r>
        <w:rPr>
          <w:w w:val="105"/>
          <w:position w:val="7"/>
          <w:sz w:val="12"/>
        </w:rPr>
        <w:t>349</w:t>
      </w:r>
      <w:r>
        <w:rPr>
          <w:spacing w:val="13"/>
          <w:w w:val="105"/>
          <w:position w:val="7"/>
          <w:sz w:val="12"/>
        </w:rPr>
        <w:t> </w:t>
      </w:r>
      <w:r>
        <w:rPr>
          <w:w w:val="105"/>
          <w:sz w:val="21"/>
        </w:rPr>
        <w:t>Another</w:t>
      </w:r>
      <w:r>
        <w:rPr>
          <w:spacing w:val="-9"/>
          <w:w w:val="105"/>
          <w:sz w:val="21"/>
        </w:rPr>
        <w:t> </w:t>
      </w:r>
      <w:r>
        <w:rPr>
          <w:w w:val="105"/>
          <w:sz w:val="21"/>
        </w:rPr>
        <w:t>cautioned</w:t>
      </w:r>
      <w:r>
        <w:rPr>
          <w:spacing w:val="-10"/>
          <w:w w:val="105"/>
          <w:sz w:val="21"/>
        </w:rPr>
        <w:t> </w:t>
      </w:r>
      <w:r>
        <w:rPr>
          <w:spacing w:val="-3"/>
          <w:w w:val="105"/>
          <w:sz w:val="21"/>
        </w:rPr>
        <w:t>against</w:t>
      </w:r>
      <w:r>
        <w:rPr>
          <w:spacing w:val="-10"/>
          <w:w w:val="105"/>
          <w:sz w:val="21"/>
        </w:rPr>
        <w:t> </w:t>
      </w:r>
      <w:r>
        <w:rPr>
          <w:w w:val="105"/>
          <w:sz w:val="21"/>
        </w:rPr>
        <w:t>the</w:t>
      </w:r>
      <w:r>
        <w:rPr>
          <w:spacing w:val="-10"/>
          <w:w w:val="105"/>
          <w:sz w:val="21"/>
        </w:rPr>
        <w:t> </w:t>
      </w:r>
      <w:r>
        <w:rPr>
          <w:spacing w:val="-3"/>
          <w:w w:val="105"/>
          <w:sz w:val="21"/>
        </w:rPr>
        <w:t>inclusion</w:t>
      </w:r>
      <w:r>
        <w:rPr>
          <w:spacing w:val="-9"/>
          <w:w w:val="105"/>
          <w:sz w:val="21"/>
        </w:rPr>
        <w:t> </w:t>
      </w:r>
      <w:r>
        <w:rPr>
          <w:w w:val="105"/>
          <w:sz w:val="21"/>
        </w:rPr>
        <w:t>of</w:t>
      </w:r>
      <w:r>
        <w:rPr>
          <w:spacing w:val="-10"/>
          <w:w w:val="105"/>
          <w:sz w:val="21"/>
        </w:rPr>
        <w:t> </w:t>
      </w:r>
      <w:r>
        <w:rPr>
          <w:w w:val="105"/>
          <w:sz w:val="21"/>
        </w:rPr>
        <w:t>less</w:t>
      </w:r>
      <w:r>
        <w:rPr>
          <w:spacing w:val="-10"/>
          <w:w w:val="105"/>
          <w:sz w:val="21"/>
        </w:rPr>
        <w:t> </w:t>
      </w:r>
      <w:r>
        <w:rPr>
          <w:w w:val="105"/>
          <w:sz w:val="21"/>
        </w:rPr>
        <w:t>serious</w:t>
      </w:r>
      <w:r>
        <w:rPr>
          <w:spacing w:val="-10"/>
          <w:w w:val="105"/>
          <w:sz w:val="21"/>
        </w:rPr>
        <w:t> </w:t>
      </w:r>
      <w:r>
        <w:rPr>
          <w:w w:val="105"/>
          <w:sz w:val="21"/>
        </w:rPr>
        <w:t>matters:</w:t>
      </w:r>
    </w:p>
    <w:p>
      <w:pPr>
        <w:spacing w:line="254" w:lineRule="auto" w:before="132"/>
        <w:ind w:left="2834" w:right="1933" w:firstLine="0"/>
        <w:jc w:val="left"/>
        <w:rPr>
          <w:sz w:val="20"/>
        </w:rPr>
      </w:pPr>
      <w:r>
        <w:rPr>
          <w:w w:val="105"/>
          <w:sz w:val="20"/>
        </w:rPr>
        <w:t>Interference</w:t>
      </w:r>
      <w:r>
        <w:rPr>
          <w:spacing w:val="-13"/>
          <w:w w:val="105"/>
          <w:sz w:val="20"/>
        </w:rPr>
        <w:t> </w:t>
      </w:r>
      <w:r>
        <w:rPr>
          <w:w w:val="105"/>
          <w:sz w:val="20"/>
        </w:rPr>
        <w:t>(not</w:t>
      </w:r>
      <w:r>
        <w:rPr>
          <w:spacing w:val="-13"/>
          <w:w w:val="105"/>
          <w:sz w:val="20"/>
        </w:rPr>
        <w:t> </w:t>
      </w:r>
      <w:r>
        <w:rPr>
          <w:w w:val="105"/>
          <w:sz w:val="20"/>
        </w:rPr>
        <w:t>causing</w:t>
      </w:r>
      <w:r>
        <w:rPr>
          <w:spacing w:val="-12"/>
          <w:w w:val="105"/>
          <w:sz w:val="20"/>
        </w:rPr>
        <w:t> </w:t>
      </w:r>
      <w:r>
        <w:rPr>
          <w:w w:val="105"/>
          <w:sz w:val="20"/>
        </w:rPr>
        <w:t>damage)</w:t>
      </w:r>
      <w:r>
        <w:rPr>
          <w:spacing w:val="-13"/>
          <w:w w:val="105"/>
          <w:sz w:val="20"/>
        </w:rPr>
        <w:t> </w:t>
      </w:r>
      <w:r>
        <w:rPr>
          <w:w w:val="105"/>
          <w:sz w:val="20"/>
        </w:rPr>
        <w:t>creates</w:t>
      </w:r>
      <w:r>
        <w:rPr>
          <w:spacing w:val="-12"/>
          <w:w w:val="105"/>
          <w:sz w:val="20"/>
        </w:rPr>
        <w:t> </w:t>
      </w:r>
      <w:r>
        <w:rPr>
          <w:w w:val="105"/>
          <w:sz w:val="20"/>
        </w:rPr>
        <w:t>a</w:t>
      </w:r>
      <w:r>
        <w:rPr>
          <w:spacing w:val="-13"/>
          <w:w w:val="105"/>
          <w:sz w:val="20"/>
        </w:rPr>
        <w:t> </w:t>
      </w:r>
      <w:r>
        <w:rPr>
          <w:w w:val="105"/>
          <w:sz w:val="20"/>
        </w:rPr>
        <w:t>level</w:t>
      </w:r>
      <w:r>
        <w:rPr>
          <w:spacing w:val="-12"/>
          <w:w w:val="105"/>
          <w:sz w:val="20"/>
        </w:rPr>
        <w:t> </w:t>
      </w:r>
      <w:r>
        <w:rPr>
          <w:w w:val="105"/>
          <w:sz w:val="20"/>
        </w:rPr>
        <w:t>of</w:t>
      </w:r>
      <w:r>
        <w:rPr>
          <w:spacing w:val="-13"/>
          <w:w w:val="105"/>
          <w:sz w:val="20"/>
        </w:rPr>
        <w:t> </w:t>
      </w:r>
      <w:r>
        <w:rPr>
          <w:w w:val="105"/>
          <w:sz w:val="20"/>
        </w:rPr>
        <w:t>complexity</w:t>
      </w:r>
      <w:r>
        <w:rPr>
          <w:spacing w:val="-13"/>
          <w:w w:val="105"/>
          <w:sz w:val="20"/>
        </w:rPr>
        <w:t> </w:t>
      </w:r>
      <w:r>
        <w:rPr>
          <w:w w:val="105"/>
          <w:sz w:val="20"/>
        </w:rPr>
        <w:t>that</w:t>
      </w:r>
      <w:r>
        <w:rPr>
          <w:spacing w:val="-12"/>
          <w:w w:val="105"/>
          <w:sz w:val="20"/>
        </w:rPr>
        <w:t> </w:t>
      </w:r>
      <w:r>
        <w:rPr>
          <w:w w:val="105"/>
          <w:sz w:val="20"/>
        </w:rPr>
        <w:t>may</w:t>
      </w:r>
      <w:r>
        <w:rPr>
          <w:spacing w:val="-13"/>
          <w:w w:val="105"/>
          <w:sz w:val="20"/>
        </w:rPr>
        <w:t> </w:t>
      </w:r>
      <w:r>
        <w:rPr>
          <w:w w:val="105"/>
          <w:sz w:val="20"/>
        </w:rPr>
        <w:t>be</w:t>
      </w:r>
      <w:r>
        <w:rPr>
          <w:spacing w:val="-12"/>
          <w:w w:val="105"/>
          <w:sz w:val="20"/>
        </w:rPr>
        <w:t> </w:t>
      </w:r>
      <w:r>
        <w:rPr>
          <w:w w:val="105"/>
          <w:sz w:val="20"/>
        </w:rPr>
        <w:t>difficult to</w:t>
      </w:r>
      <w:r>
        <w:rPr>
          <w:spacing w:val="-8"/>
          <w:w w:val="105"/>
          <w:sz w:val="20"/>
        </w:rPr>
        <w:t> </w:t>
      </w:r>
      <w:r>
        <w:rPr>
          <w:w w:val="105"/>
          <w:sz w:val="20"/>
        </w:rPr>
        <w:t>assess</w:t>
      </w:r>
      <w:r>
        <w:rPr>
          <w:spacing w:val="-8"/>
          <w:w w:val="105"/>
          <w:sz w:val="20"/>
        </w:rPr>
        <w:t> </w:t>
      </w:r>
      <w:r>
        <w:rPr>
          <w:w w:val="115"/>
          <w:sz w:val="20"/>
        </w:rPr>
        <w:t>…</w:t>
      </w:r>
      <w:r>
        <w:rPr>
          <w:spacing w:val="-12"/>
          <w:w w:val="115"/>
          <w:sz w:val="20"/>
        </w:rPr>
        <w:t> </w:t>
      </w:r>
      <w:r>
        <w:rPr>
          <w:spacing w:val="-3"/>
          <w:w w:val="105"/>
          <w:sz w:val="20"/>
        </w:rPr>
        <w:t>Moreover,</w:t>
      </w:r>
      <w:r>
        <w:rPr>
          <w:spacing w:val="-7"/>
          <w:w w:val="105"/>
          <w:sz w:val="20"/>
        </w:rPr>
        <w:t> </w:t>
      </w:r>
      <w:r>
        <w:rPr>
          <w:w w:val="105"/>
          <w:sz w:val="20"/>
        </w:rPr>
        <w:t>making</w:t>
      </w:r>
      <w:r>
        <w:rPr>
          <w:spacing w:val="-8"/>
          <w:w w:val="105"/>
          <w:sz w:val="20"/>
        </w:rPr>
        <w:t> </w:t>
      </w:r>
      <w:r>
        <w:rPr>
          <w:w w:val="105"/>
          <w:sz w:val="20"/>
        </w:rPr>
        <w:t>interference</w:t>
      </w:r>
      <w:r>
        <w:rPr>
          <w:spacing w:val="-8"/>
          <w:w w:val="105"/>
          <w:sz w:val="20"/>
        </w:rPr>
        <w:t> </w:t>
      </w:r>
      <w:r>
        <w:rPr>
          <w:w w:val="105"/>
          <w:sz w:val="20"/>
        </w:rPr>
        <w:t>actionable</w:t>
      </w:r>
      <w:r>
        <w:rPr>
          <w:spacing w:val="-7"/>
          <w:w w:val="105"/>
          <w:sz w:val="20"/>
        </w:rPr>
        <w:t> </w:t>
      </w:r>
      <w:r>
        <w:rPr>
          <w:w w:val="105"/>
          <w:sz w:val="20"/>
        </w:rPr>
        <w:t>may</w:t>
      </w:r>
      <w:r>
        <w:rPr>
          <w:spacing w:val="-8"/>
          <w:w w:val="105"/>
          <w:sz w:val="20"/>
        </w:rPr>
        <w:t> </w:t>
      </w:r>
      <w:r>
        <w:rPr>
          <w:spacing w:val="-3"/>
          <w:w w:val="105"/>
          <w:sz w:val="20"/>
        </w:rPr>
        <w:t>dilute</w:t>
      </w:r>
      <w:r>
        <w:rPr>
          <w:spacing w:val="-8"/>
          <w:w w:val="105"/>
          <w:sz w:val="20"/>
        </w:rPr>
        <w:t> </w:t>
      </w:r>
      <w:r>
        <w:rPr>
          <w:w w:val="105"/>
          <w:sz w:val="20"/>
        </w:rPr>
        <w:t>the</w:t>
      </w:r>
      <w:r>
        <w:rPr>
          <w:spacing w:val="-7"/>
          <w:w w:val="105"/>
          <w:sz w:val="20"/>
        </w:rPr>
        <w:t> </w:t>
      </w:r>
      <w:r>
        <w:rPr>
          <w:w w:val="105"/>
          <w:sz w:val="20"/>
        </w:rPr>
        <w:t>gravitas</w:t>
      </w:r>
      <w:r>
        <w:rPr>
          <w:spacing w:val="-8"/>
          <w:w w:val="105"/>
          <w:sz w:val="20"/>
        </w:rPr>
        <w:t> </w:t>
      </w:r>
      <w:r>
        <w:rPr>
          <w:w w:val="105"/>
          <w:sz w:val="20"/>
        </w:rPr>
        <w:t>of</w:t>
      </w:r>
      <w:r>
        <w:rPr>
          <w:spacing w:val="-7"/>
          <w:w w:val="105"/>
          <w:sz w:val="20"/>
        </w:rPr>
        <w:t> </w:t>
      </w:r>
      <w:r>
        <w:rPr>
          <w:w w:val="105"/>
          <w:sz w:val="20"/>
        </w:rPr>
        <w:t>the</w:t>
      </w:r>
    </w:p>
    <w:p>
      <w:pPr>
        <w:spacing w:line="254" w:lineRule="auto" w:before="2"/>
        <w:ind w:left="2834" w:right="1636" w:firstLine="0"/>
        <w:jc w:val="left"/>
        <w:rPr>
          <w:sz w:val="11"/>
        </w:rPr>
      </w:pPr>
      <w:r>
        <w:rPr>
          <w:w w:val="105"/>
          <w:sz w:val="20"/>
        </w:rPr>
        <w:t>proposed</w:t>
      </w:r>
      <w:r>
        <w:rPr>
          <w:spacing w:val="-8"/>
          <w:w w:val="105"/>
          <w:sz w:val="20"/>
        </w:rPr>
        <w:t> </w:t>
      </w:r>
      <w:r>
        <w:rPr>
          <w:w w:val="105"/>
          <w:sz w:val="20"/>
        </w:rPr>
        <w:t>statutory</w:t>
      </w:r>
      <w:r>
        <w:rPr>
          <w:spacing w:val="-8"/>
          <w:w w:val="105"/>
          <w:sz w:val="20"/>
        </w:rPr>
        <w:t> </w:t>
      </w:r>
      <w:r>
        <w:rPr>
          <w:w w:val="105"/>
          <w:sz w:val="20"/>
        </w:rPr>
        <w:t>scheme</w:t>
      </w:r>
      <w:r>
        <w:rPr>
          <w:spacing w:val="-8"/>
          <w:w w:val="105"/>
          <w:sz w:val="20"/>
        </w:rPr>
        <w:t> </w:t>
      </w:r>
      <w:r>
        <w:rPr>
          <w:w w:val="105"/>
          <w:sz w:val="20"/>
        </w:rPr>
        <w:t>and</w:t>
      </w:r>
      <w:r>
        <w:rPr>
          <w:spacing w:val="-8"/>
          <w:w w:val="105"/>
          <w:sz w:val="20"/>
        </w:rPr>
        <w:t> </w:t>
      </w:r>
      <w:r>
        <w:rPr>
          <w:w w:val="105"/>
          <w:sz w:val="20"/>
        </w:rPr>
        <w:t>burden</w:t>
      </w:r>
      <w:r>
        <w:rPr>
          <w:spacing w:val="-7"/>
          <w:w w:val="105"/>
          <w:sz w:val="20"/>
        </w:rPr>
        <w:t> </w:t>
      </w:r>
      <w:r>
        <w:rPr>
          <w:w w:val="105"/>
          <w:sz w:val="20"/>
        </w:rPr>
        <w:t>the</w:t>
      </w:r>
      <w:r>
        <w:rPr>
          <w:spacing w:val="-8"/>
          <w:w w:val="105"/>
          <w:sz w:val="20"/>
        </w:rPr>
        <w:t> </w:t>
      </w:r>
      <w:r>
        <w:rPr>
          <w:w w:val="105"/>
          <w:sz w:val="20"/>
        </w:rPr>
        <w:t>Court</w:t>
      </w:r>
      <w:r>
        <w:rPr>
          <w:spacing w:val="-8"/>
          <w:w w:val="105"/>
          <w:sz w:val="20"/>
        </w:rPr>
        <w:t> </w:t>
      </w:r>
      <w:r>
        <w:rPr>
          <w:w w:val="105"/>
          <w:sz w:val="20"/>
        </w:rPr>
        <w:t>with</w:t>
      </w:r>
      <w:r>
        <w:rPr>
          <w:spacing w:val="-8"/>
          <w:w w:val="105"/>
          <w:sz w:val="20"/>
        </w:rPr>
        <w:t> </w:t>
      </w:r>
      <w:r>
        <w:rPr>
          <w:w w:val="105"/>
          <w:sz w:val="20"/>
        </w:rPr>
        <w:t>undue</w:t>
      </w:r>
      <w:r>
        <w:rPr>
          <w:spacing w:val="-8"/>
          <w:w w:val="105"/>
          <w:sz w:val="20"/>
        </w:rPr>
        <w:t> </w:t>
      </w:r>
      <w:r>
        <w:rPr>
          <w:w w:val="105"/>
          <w:sz w:val="20"/>
        </w:rPr>
        <w:t>applications.</w:t>
      </w:r>
      <w:r>
        <w:rPr>
          <w:spacing w:val="-7"/>
          <w:w w:val="105"/>
          <w:sz w:val="20"/>
        </w:rPr>
        <w:t> </w:t>
      </w:r>
      <w:r>
        <w:rPr>
          <w:w w:val="105"/>
          <w:sz w:val="20"/>
        </w:rPr>
        <w:t>A</w:t>
      </w:r>
      <w:r>
        <w:rPr>
          <w:spacing w:val="-8"/>
          <w:w w:val="105"/>
          <w:sz w:val="20"/>
        </w:rPr>
        <w:t> </w:t>
      </w:r>
      <w:r>
        <w:rPr>
          <w:w w:val="105"/>
          <w:sz w:val="20"/>
        </w:rPr>
        <w:t>statutory scheme</w:t>
      </w:r>
      <w:r>
        <w:rPr>
          <w:spacing w:val="-10"/>
          <w:w w:val="105"/>
          <w:sz w:val="20"/>
        </w:rPr>
        <w:t> </w:t>
      </w:r>
      <w:r>
        <w:rPr>
          <w:w w:val="105"/>
          <w:sz w:val="20"/>
        </w:rPr>
        <w:t>should</w:t>
      </w:r>
      <w:r>
        <w:rPr>
          <w:spacing w:val="-9"/>
          <w:w w:val="105"/>
          <w:sz w:val="20"/>
        </w:rPr>
        <w:t> </w:t>
      </w:r>
      <w:r>
        <w:rPr>
          <w:w w:val="105"/>
          <w:sz w:val="20"/>
        </w:rPr>
        <w:t>be</w:t>
      </w:r>
      <w:r>
        <w:rPr>
          <w:spacing w:val="-10"/>
          <w:w w:val="105"/>
          <w:sz w:val="20"/>
        </w:rPr>
        <w:t> </w:t>
      </w:r>
      <w:r>
        <w:rPr>
          <w:w w:val="105"/>
          <w:sz w:val="20"/>
        </w:rPr>
        <w:t>an</w:t>
      </w:r>
      <w:r>
        <w:rPr>
          <w:spacing w:val="-9"/>
          <w:w w:val="105"/>
          <w:sz w:val="20"/>
        </w:rPr>
        <w:t> </w:t>
      </w:r>
      <w:r>
        <w:rPr>
          <w:w w:val="105"/>
          <w:sz w:val="20"/>
        </w:rPr>
        <w:t>effective,</w:t>
      </w:r>
      <w:r>
        <w:rPr>
          <w:spacing w:val="-10"/>
          <w:w w:val="105"/>
          <w:sz w:val="20"/>
        </w:rPr>
        <w:t> </w:t>
      </w:r>
      <w:r>
        <w:rPr>
          <w:w w:val="105"/>
          <w:sz w:val="20"/>
        </w:rPr>
        <w:t>last</w:t>
      </w:r>
      <w:r>
        <w:rPr>
          <w:spacing w:val="-9"/>
          <w:w w:val="105"/>
          <w:sz w:val="20"/>
        </w:rPr>
        <w:t> </w:t>
      </w:r>
      <w:r>
        <w:rPr>
          <w:w w:val="105"/>
          <w:sz w:val="20"/>
        </w:rPr>
        <w:t>resort</w:t>
      </w:r>
      <w:r>
        <w:rPr>
          <w:spacing w:val="-9"/>
          <w:w w:val="105"/>
          <w:sz w:val="20"/>
        </w:rPr>
        <w:t> </w:t>
      </w:r>
      <w:r>
        <w:rPr>
          <w:w w:val="105"/>
          <w:sz w:val="20"/>
        </w:rPr>
        <w:t>for</w:t>
      </w:r>
      <w:r>
        <w:rPr>
          <w:spacing w:val="-10"/>
          <w:w w:val="105"/>
          <w:sz w:val="20"/>
        </w:rPr>
        <w:t> </w:t>
      </w:r>
      <w:r>
        <w:rPr>
          <w:w w:val="105"/>
          <w:sz w:val="20"/>
        </w:rPr>
        <w:t>tree</w:t>
      </w:r>
      <w:r>
        <w:rPr>
          <w:spacing w:val="-9"/>
          <w:w w:val="105"/>
          <w:sz w:val="20"/>
        </w:rPr>
        <w:t> </w:t>
      </w:r>
      <w:r>
        <w:rPr>
          <w:w w:val="105"/>
          <w:sz w:val="20"/>
        </w:rPr>
        <w:t>disputes</w:t>
      </w:r>
      <w:r>
        <w:rPr>
          <w:spacing w:val="-10"/>
          <w:w w:val="105"/>
          <w:sz w:val="20"/>
        </w:rPr>
        <w:t> </w:t>
      </w:r>
      <w:r>
        <w:rPr>
          <w:w w:val="105"/>
          <w:sz w:val="20"/>
        </w:rPr>
        <w:t>or</w:t>
      </w:r>
      <w:r>
        <w:rPr>
          <w:spacing w:val="-9"/>
          <w:w w:val="105"/>
          <w:sz w:val="20"/>
        </w:rPr>
        <w:t> </w:t>
      </w:r>
      <w:r>
        <w:rPr>
          <w:w w:val="105"/>
          <w:sz w:val="20"/>
        </w:rPr>
        <w:t>for</w:t>
      </w:r>
      <w:r>
        <w:rPr>
          <w:spacing w:val="-10"/>
          <w:w w:val="105"/>
          <w:sz w:val="20"/>
        </w:rPr>
        <w:t> </w:t>
      </w:r>
      <w:r>
        <w:rPr>
          <w:w w:val="105"/>
          <w:sz w:val="20"/>
        </w:rPr>
        <w:t>those</w:t>
      </w:r>
      <w:r>
        <w:rPr>
          <w:spacing w:val="-9"/>
          <w:w w:val="105"/>
          <w:sz w:val="20"/>
        </w:rPr>
        <w:t> </w:t>
      </w:r>
      <w:r>
        <w:rPr>
          <w:w w:val="105"/>
          <w:sz w:val="20"/>
        </w:rPr>
        <w:t>neighbours</w:t>
      </w:r>
      <w:r>
        <w:rPr>
          <w:spacing w:val="-9"/>
          <w:w w:val="105"/>
          <w:sz w:val="20"/>
        </w:rPr>
        <w:t> </w:t>
      </w:r>
      <w:r>
        <w:rPr>
          <w:w w:val="105"/>
          <w:sz w:val="20"/>
        </w:rPr>
        <w:t>who find themselves within intractable conflict seeking</w:t>
      </w:r>
      <w:r>
        <w:rPr>
          <w:spacing w:val="12"/>
          <w:w w:val="105"/>
          <w:sz w:val="20"/>
        </w:rPr>
        <w:t> </w:t>
      </w:r>
      <w:r>
        <w:rPr>
          <w:w w:val="105"/>
          <w:sz w:val="20"/>
        </w:rPr>
        <w:t>adjudication.</w:t>
      </w:r>
      <w:r>
        <w:rPr>
          <w:w w:val="105"/>
          <w:position w:val="7"/>
          <w:sz w:val="11"/>
        </w:rPr>
        <w:t>350</w:t>
      </w:r>
    </w:p>
    <w:p>
      <w:pPr>
        <w:pStyle w:val="BodyText"/>
        <w:rPr>
          <w:sz w:val="20"/>
        </w:rPr>
      </w:pPr>
    </w:p>
    <w:p>
      <w:pPr>
        <w:pStyle w:val="BodyText"/>
        <w:rPr>
          <w:sz w:val="20"/>
        </w:rPr>
      </w:pPr>
    </w:p>
    <w:p>
      <w:pPr>
        <w:pStyle w:val="BodyText"/>
        <w:spacing w:before="3"/>
        <w:rPr>
          <w:sz w:val="23"/>
        </w:rPr>
      </w:pPr>
      <w:r>
        <w:rPr/>
        <w:pict>
          <v:line style="position:absolute;mso-position-horizontal-relative:page;mso-position-vertical-relative:paragraph;z-index:5216;mso-wrap-distance-left:0;mso-wrap-distance-right:0" from="79.370003pt,16.683578pt" to="515.905003pt,16.683578pt" stroked="true" strokeweight="1pt" strokecolor="#c9d2cb">
            <v:stroke dashstyle="solid"/>
            <w10:wrap type="topAndBottom"/>
          </v:line>
        </w:pict>
      </w:r>
    </w:p>
    <w:p>
      <w:pPr>
        <w:pStyle w:val="ListParagraph"/>
        <w:numPr>
          <w:ilvl w:val="0"/>
          <w:numId w:val="77"/>
        </w:numPr>
        <w:tabs>
          <w:tab w:pos="2380" w:val="left" w:leader="none"/>
          <w:tab w:pos="2382" w:val="left" w:leader="none"/>
        </w:tabs>
        <w:spacing w:line="240" w:lineRule="auto" w:before="117" w:after="0"/>
        <w:ind w:left="2381" w:right="0" w:hanging="794"/>
        <w:jc w:val="left"/>
        <w:rPr>
          <w:sz w:val="13"/>
        </w:rPr>
      </w:pPr>
      <w:r>
        <w:rPr>
          <w:w w:val="105"/>
          <w:sz w:val="13"/>
        </w:rPr>
        <w:t>Submission 9 </w:t>
      </w:r>
      <w:r>
        <w:rPr>
          <w:spacing w:val="3"/>
          <w:w w:val="105"/>
          <w:sz w:val="13"/>
        </w:rPr>
        <w:t>(Dr </w:t>
      </w:r>
      <w:r>
        <w:rPr>
          <w:w w:val="105"/>
          <w:sz w:val="13"/>
        </w:rPr>
        <w:t>Karen</w:t>
      </w:r>
      <w:r>
        <w:rPr>
          <w:spacing w:val="15"/>
          <w:w w:val="105"/>
          <w:sz w:val="13"/>
        </w:rPr>
        <w:t> </w:t>
      </w:r>
      <w:r>
        <w:rPr>
          <w:w w:val="105"/>
          <w:sz w:val="13"/>
        </w:rPr>
        <w:t>Smith).</w:t>
      </w:r>
    </w:p>
    <w:p>
      <w:pPr>
        <w:pStyle w:val="ListParagraph"/>
        <w:numPr>
          <w:ilvl w:val="0"/>
          <w:numId w:val="77"/>
        </w:numPr>
        <w:tabs>
          <w:tab w:pos="2380" w:val="left" w:leader="none"/>
          <w:tab w:pos="2382" w:val="left" w:leader="none"/>
        </w:tabs>
        <w:spacing w:line="240" w:lineRule="auto" w:before="1" w:after="0"/>
        <w:ind w:left="2381" w:right="0" w:hanging="794"/>
        <w:jc w:val="left"/>
        <w:rPr>
          <w:sz w:val="13"/>
        </w:rPr>
      </w:pPr>
      <w:r>
        <w:rPr>
          <w:w w:val="105"/>
          <w:sz w:val="13"/>
        </w:rPr>
        <w:t>Consultation 2 </w:t>
      </w:r>
      <w:r>
        <w:rPr>
          <w:spacing w:val="2"/>
          <w:w w:val="105"/>
          <w:sz w:val="13"/>
        </w:rPr>
        <w:t>(Gregory </w:t>
      </w:r>
      <w:r>
        <w:rPr>
          <w:w w:val="105"/>
          <w:sz w:val="13"/>
        </w:rPr>
        <w:t>Moore</w:t>
      </w:r>
      <w:r>
        <w:rPr>
          <w:spacing w:val="16"/>
          <w:w w:val="105"/>
          <w:sz w:val="13"/>
        </w:rPr>
        <w:t> </w:t>
      </w:r>
      <w:r>
        <w:rPr>
          <w:spacing w:val="2"/>
          <w:w w:val="105"/>
          <w:sz w:val="13"/>
        </w:rPr>
        <w:t>OAM).</w:t>
      </w:r>
    </w:p>
    <w:p>
      <w:pPr>
        <w:pStyle w:val="ListParagraph"/>
        <w:numPr>
          <w:ilvl w:val="0"/>
          <w:numId w:val="77"/>
        </w:numPr>
        <w:tabs>
          <w:tab w:pos="2380" w:val="left" w:leader="none"/>
          <w:tab w:pos="2382" w:val="left" w:leader="none"/>
        </w:tabs>
        <w:spacing w:line="240" w:lineRule="auto" w:before="2" w:after="0"/>
        <w:ind w:left="2381" w:right="0" w:hanging="794"/>
        <w:jc w:val="left"/>
        <w:rPr>
          <w:sz w:val="13"/>
        </w:rPr>
      </w:pPr>
      <w:r>
        <w:rPr>
          <w:w w:val="105"/>
          <w:sz w:val="13"/>
        </w:rPr>
        <w:t>Consultation </w:t>
      </w:r>
      <w:r>
        <w:rPr>
          <w:spacing w:val="-4"/>
          <w:w w:val="105"/>
          <w:sz w:val="13"/>
        </w:rPr>
        <w:t>12 </w:t>
      </w:r>
      <w:r>
        <w:rPr>
          <w:w w:val="105"/>
          <w:sz w:val="13"/>
        </w:rPr>
        <w:t>(City of Port Phillip).</w:t>
      </w:r>
    </w:p>
    <w:p>
      <w:pPr>
        <w:pStyle w:val="ListParagraph"/>
        <w:numPr>
          <w:ilvl w:val="0"/>
          <w:numId w:val="77"/>
        </w:numPr>
        <w:tabs>
          <w:tab w:pos="2380"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4</w:t>
      </w:r>
      <w:r>
        <w:rPr>
          <w:spacing w:val="5"/>
          <w:w w:val="105"/>
          <w:sz w:val="13"/>
        </w:rPr>
        <w:t> </w:t>
      </w:r>
      <w:r>
        <w:rPr>
          <w:spacing w:val="2"/>
          <w:w w:val="105"/>
          <w:sz w:val="13"/>
        </w:rPr>
        <w:t>(Name</w:t>
      </w:r>
      <w:r>
        <w:rPr>
          <w:spacing w:val="5"/>
          <w:w w:val="105"/>
          <w:sz w:val="13"/>
        </w:rPr>
        <w:t> </w:t>
      </w:r>
      <w:r>
        <w:rPr>
          <w:w w:val="105"/>
          <w:sz w:val="13"/>
        </w:rPr>
        <w:t>withheld),</w:t>
      </w:r>
      <w:r>
        <w:rPr>
          <w:spacing w:val="4"/>
          <w:w w:val="105"/>
          <w:sz w:val="13"/>
        </w:rPr>
        <w:t> </w:t>
      </w:r>
      <w:r>
        <w:rPr>
          <w:w w:val="105"/>
          <w:sz w:val="13"/>
        </w:rPr>
        <w:t>5</w:t>
      </w:r>
      <w:r>
        <w:rPr>
          <w:spacing w:val="5"/>
          <w:w w:val="105"/>
          <w:sz w:val="13"/>
        </w:rPr>
        <w:t> </w:t>
      </w:r>
      <w:r>
        <w:rPr>
          <w:spacing w:val="2"/>
          <w:w w:val="105"/>
          <w:sz w:val="13"/>
        </w:rPr>
        <w:t>(Name</w:t>
      </w:r>
      <w:r>
        <w:rPr>
          <w:spacing w:val="5"/>
          <w:w w:val="105"/>
          <w:sz w:val="13"/>
        </w:rPr>
        <w:t> </w:t>
      </w:r>
      <w:r>
        <w:rPr>
          <w:w w:val="105"/>
          <w:sz w:val="13"/>
        </w:rPr>
        <w:t>withheld),</w:t>
      </w:r>
      <w:r>
        <w:rPr>
          <w:spacing w:val="4"/>
          <w:w w:val="105"/>
          <w:sz w:val="13"/>
        </w:rPr>
        <w:t> </w:t>
      </w:r>
      <w:r>
        <w:rPr>
          <w:w w:val="105"/>
          <w:sz w:val="13"/>
        </w:rPr>
        <w:t>7</w:t>
      </w:r>
      <w:r>
        <w:rPr>
          <w:spacing w:val="5"/>
          <w:w w:val="105"/>
          <w:sz w:val="13"/>
        </w:rPr>
        <w:t> </w:t>
      </w:r>
      <w:r>
        <w:rPr>
          <w:spacing w:val="2"/>
          <w:w w:val="105"/>
          <w:sz w:val="13"/>
        </w:rPr>
        <w:t>(Ben</w:t>
      </w:r>
      <w:r>
        <w:rPr>
          <w:spacing w:val="5"/>
          <w:w w:val="105"/>
          <w:sz w:val="13"/>
        </w:rPr>
        <w:t> </w:t>
      </w:r>
      <w:r>
        <w:rPr>
          <w:w w:val="105"/>
          <w:sz w:val="13"/>
        </w:rPr>
        <w:t>Kenyon),</w:t>
      </w:r>
      <w:r>
        <w:rPr>
          <w:spacing w:val="4"/>
          <w:w w:val="105"/>
          <w:sz w:val="13"/>
        </w:rPr>
        <w:t> </w:t>
      </w:r>
      <w:r>
        <w:rPr>
          <w:w w:val="105"/>
          <w:sz w:val="13"/>
        </w:rPr>
        <w:t>9</w:t>
      </w:r>
      <w:r>
        <w:rPr>
          <w:spacing w:val="5"/>
          <w:w w:val="105"/>
          <w:sz w:val="13"/>
        </w:rPr>
        <w:t> </w:t>
      </w:r>
      <w:r>
        <w:rPr>
          <w:spacing w:val="3"/>
          <w:w w:val="105"/>
          <w:sz w:val="13"/>
        </w:rPr>
        <w:t>(Dr</w:t>
      </w:r>
      <w:r>
        <w:rPr>
          <w:spacing w:val="5"/>
          <w:w w:val="105"/>
          <w:sz w:val="13"/>
        </w:rPr>
        <w:t> </w:t>
      </w:r>
      <w:r>
        <w:rPr>
          <w:w w:val="105"/>
          <w:sz w:val="13"/>
        </w:rPr>
        <w:t>Karen</w:t>
      </w:r>
      <w:r>
        <w:rPr>
          <w:spacing w:val="4"/>
          <w:w w:val="105"/>
          <w:sz w:val="13"/>
        </w:rPr>
        <w:t> </w:t>
      </w:r>
      <w:r>
        <w:rPr>
          <w:w w:val="105"/>
          <w:sz w:val="13"/>
        </w:rPr>
        <w:t>Smith);</w:t>
      </w:r>
    </w:p>
    <w:p>
      <w:pPr>
        <w:pStyle w:val="ListParagraph"/>
        <w:numPr>
          <w:ilvl w:val="0"/>
          <w:numId w:val="77"/>
        </w:numPr>
        <w:tabs>
          <w:tab w:pos="2381" w:val="left" w:leader="none"/>
          <w:tab w:pos="2382" w:val="left" w:leader="none"/>
        </w:tabs>
        <w:spacing w:line="240" w:lineRule="auto" w:before="1" w:after="0"/>
        <w:ind w:left="2381" w:right="0" w:hanging="794"/>
        <w:jc w:val="left"/>
        <w:rPr>
          <w:sz w:val="13"/>
        </w:rPr>
      </w:pPr>
      <w:r>
        <w:rPr>
          <w:w w:val="105"/>
          <w:sz w:val="13"/>
        </w:rPr>
        <w:t>Submission 6 </w:t>
      </w:r>
      <w:r>
        <w:rPr>
          <w:spacing w:val="2"/>
          <w:w w:val="105"/>
          <w:sz w:val="13"/>
        </w:rPr>
        <w:t>(Name</w:t>
      </w:r>
      <w:r>
        <w:rPr>
          <w:spacing w:val="13"/>
          <w:w w:val="105"/>
          <w:sz w:val="13"/>
        </w:rPr>
        <w:t> </w:t>
      </w:r>
      <w:r>
        <w:rPr>
          <w:w w:val="105"/>
          <w:sz w:val="13"/>
        </w:rPr>
        <w:t>withheld).</w:t>
      </w:r>
    </w:p>
    <w:p>
      <w:pPr>
        <w:pStyle w:val="ListParagraph"/>
        <w:numPr>
          <w:ilvl w:val="0"/>
          <w:numId w:val="77"/>
        </w:numPr>
        <w:tabs>
          <w:tab w:pos="2381" w:val="left" w:leader="none"/>
          <w:tab w:pos="2382" w:val="left" w:leader="none"/>
        </w:tabs>
        <w:spacing w:line="240" w:lineRule="auto" w:before="2"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77"/>
        </w:numPr>
        <w:tabs>
          <w:tab w:pos="2381" w:val="left" w:leader="none"/>
          <w:tab w:pos="2382" w:val="left" w:leader="none"/>
        </w:tabs>
        <w:spacing w:line="240" w:lineRule="auto" w:before="1" w:after="0"/>
        <w:ind w:left="2381" w:right="1666" w:hanging="794"/>
        <w:jc w:val="left"/>
        <w:rPr>
          <w:sz w:val="13"/>
        </w:rPr>
      </w:pPr>
      <w:r>
        <w:rPr>
          <w:w w:val="105"/>
          <w:sz w:val="13"/>
        </w:rPr>
        <w:t>Submissions 4 </w:t>
      </w:r>
      <w:r>
        <w:rPr>
          <w:spacing w:val="2"/>
          <w:w w:val="105"/>
          <w:sz w:val="13"/>
        </w:rPr>
        <w:t>(Name </w:t>
      </w:r>
      <w:r>
        <w:rPr>
          <w:w w:val="105"/>
          <w:sz w:val="13"/>
        </w:rPr>
        <w:t>withheld), 9 </w:t>
      </w:r>
      <w:r>
        <w:rPr>
          <w:spacing w:val="3"/>
          <w:w w:val="105"/>
          <w:sz w:val="13"/>
        </w:rPr>
        <w:t>(Dr </w:t>
      </w:r>
      <w:r>
        <w:rPr>
          <w:w w:val="105"/>
          <w:sz w:val="13"/>
        </w:rPr>
        <w:t>Karen Smith), 21 (Pointon Partners </w:t>
      </w:r>
      <w:r>
        <w:rPr>
          <w:spacing w:val="2"/>
          <w:w w:val="105"/>
          <w:sz w:val="13"/>
        </w:rPr>
        <w:t>Lawyers), </w:t>
      </w:r>
      <w:r>
        <w:rPr>
          <w:w w:val="105"/>
          <w:sz w:val="13"/>
        </w:rPr>
        <w:t>29 (David Galwey), 27 </w:t>
      </w:r>
      <w:r>
        <w:rPr>
          <w:spacing w:val="2"/>
          <w:w w:val="105"/>
          <w:sz w:val="13"/>
        </w:rPr>
        <w:t>(Name </w:t>
      </w:r>
      <w:r>
        <w:rPr>
          <w:w w:val="105"/>
          <w:sz w:val="13"/>
        </w:rPr>
        <w:t>withheld); Consultations    1</w:t>
      </w:r>
      <w:r>
        <w:rPr>
          <w:spacing w:val="5"/>
          <w:w w:val="105"/>
          <w:sz w:val="13"/>
        </w:rPr>
        <w:t> </w:t>
      </w:r>
      <w:r>
        <w:rPr>
          <w:w w:val="105"/>
          <w:sz w:val="13"/>
        </w:rPr>
        <w:t>(Aldo</w:t>
      </w:r>
      <w:r>
        <w:rPr>
          <w:spacing w:val="5"/>
          <w:w w:val="105"/>
          <w:sz w:val="13"/>
        </w:rPr>
        <w:t> </w:t>
      </w:r>
      <w:r>
        <w:rPr>
          <w:w w:val="105"/>
          <w:sz w:val="13"/>
        </w:rPr>
        <w:t>Taranto),</w:t>
      </w:r>
      <w:r>
        <w:rPr>
          <w:spacing w:val="5"/>
          <w:w w:val="105"/>
          <w:sz w:val="13"/>
        </w:rPr>
        <w:t> </w:t>
      </w:r>
      <w:r>
        <w:rPr>
          <w:w w:val="105"/>
          <w:sz w:val="13"/>
        </w:rPr>
        <w:t>2</w:t>
      </w:r>
      <w:r>
        <w:rPr>
          <w:spacing w:val="5"/>
          <w:w w:val="105"/>
          <w:sz w:val="13"/>
        </w:rPr>
        <w:t> </w:t>
      </w:r>
      <w:r>
        <w:rPr>
          <w:spacing w:val="2"/>
          <w:w w:val="105"/>
          <w:sz w:val="13"/>
        </w:rPr>
        <w:t>(Gregory</w:t>
      </w:r>
      <w:r>
        <w:rPr>
          <w:spacing w:val="5"/>
          <w:w w:val="105"/>
          <w:sz w:val="13"/>
        </w:rPr>
        <w:t> </w:t>
      </w:r>
      <w:r>
        <w:rPr>
          <w:w w:val="105"/>
          <w:sz w:val="13"/>
        </w:rPr>
        <w:t>Moore</w:t>
      </w:r>
      <w:r>
        <w:rPr>
          <w:spacing w:val="5"/>
          <w:w w:val="105"/>
          <w:sz w:val="13"/>
        </w:rPr>
        <w:t> </w:t>
      </w:r>
      <w:r>
        <w:rPr>
          <w:spacing w:val="2"/>
          <w:w w:val="105"/>
          <w:sz w:val="13"/>
        </w:rPr>
        <w:t>OAM),</w:t>
      </w:r>
      <w:r>
        <w:rPr>
          <w:spacing w:val="5"/>
          <w:w w:val="105"/>
          <w:sz w:val="13"/>
        </w:rPr>
        <w:t> </w:t>
      </w:r>
      <w:r>
        <w:rPr>
          <w:w w:val="105"/>
          <w:sz w:val="13"/>
        </w:rPr>
        <w:t>8</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r>
        <w:rPr>
          <w:spacing w:val="6"/>
          <w:w w:val="105"/>
          <w:sz w:val="13"/>
        </w:rPr>
        <w:t> </w:t>
      </w:r>
      <w:r>
        <w:rPr>
          <w:spacing w:val="-4"/>
          <w:w w:val="105"/>
          <w:sz w:val="13"/>
        </w:rPr>
        <w:t>12</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Port</w:t>
      </w:r>
      <w:r>
        <w:rPr>
          <w:spacing w:val="5"/>
          <w:w w:val="105"/>
          <w:sz w:val="13"/>
        </w:rPr>
        <w:t> </w:t>
      </w:r>
      <w:r>
        <w:rPr>
          <w:w w:val="105"/>
          <w:sz w:val="13"/>
        </w:rPr>
        <w:t>Philip).</w:t>
      </w:r>
    </w:p>
    <w:p>
      <w:pPr>
        <w:pStyle w:val="ListParagraph"/>
        <w:numPr>
          <w:ilvl w:val="0"/>
          <w:numId w:val="77"/>
        </w:numPr>
        <w:tabs>
          <w:tab w:pos="2381" w:val="left" w:leader="none"/>
          <w:tab w:pos="2382" w:val="left" w:leader="none"/>
        </w:tabs>
        <w:spacing w:line="240" w:lineRule="auto" w:before="3" w:after="0"/>
        <w:ind w:left="2381" w:right="0" w:hanging="794"/>
        <w:jc w:val="left"/>
        <w:rPr>
          <w:sz w:val="13"/>
        </w:rPr>
      </w:pPr>
      <w:r>
        <w:rPr>
          <w:w w:val="105"/>
          <w:sz w:val="13"/>
        </w:rPr>
        <w:t>Consultation </w:t>
      </w:r>
      <w:r>
        <w:rPr>
          <w:spacing w:val="-4"/>
          <w:w w:val="105"/>
          <w:sz w:val="13"/>
        </w:rPr>
        <w:t>12 </w:t>
      </w:r>
      <w:r>
        <w:rPr>
          <w:w w:val="105"/>
          <w:sz w:val="13"/>
        </w:rPr>
        <w:t>(City of Port Phillip).</w:t>
      </w:r>
    </w:p>
    <w:p>
      <w:pPr>
        <w:tabs>
          <w:tab w:pos="2381" w:val="left" w:leader="none"/>
        </w:tabs>
        <w:spacing w:before="1"/>
        <w:ind w:left="1587" w:right="0" w:firstLine="0"/>
        <w:jc w:val="left"/>
        <w:rPr>
          <w:sz w:val="13"/>
        </w:rPr>
      </w:pPr>
      <w:r>
        <w:rPr>
          <w:w w:val="105"/>
          <w:sz w:val="13"/>
        </w:rPr>
        <w:t>343</w:t>
        <w:tab/>
      </w:r>
      <w:r>
        <w:rPr>
          <w:i/>
          <w:w w:val="105"/>
          <w:sz w:val="13"/>
        </w:rPr>
        <w:t>Robson v Leischke </w:t>
      </w:r>
      <w:r>
        <w:rPr>
          <w:spacing w:val="2"/>
          <w:w w:val="105"/>
          <w:sz w:val="13"/>
        </w:rPr>
        <w:t>(2008) </w:t>
      </w:r>
      <w:r>
        <w:rPr>
          <w:w w:val="105"/>
          <w:sz w:val="13"/>
        </w:rPr>
        <w:t>72 </w:t>
      </w:r>
      <w:r>
        <w:rPr>
          <w:spacing w:val="2"/>
          <w:w w:val="105"/>
          <w:sz w:val="13"/>
        </w:rPr>
        <w:t>NSWLR </w:t>
      </w:r>
      <w:r>
        <w:rPr>
          <w:w w:val="105"/>
          <w:sz w:val="13"/>
        </w:rPr>
        <w:t>98</w:t>
      </w:r>
      <w:r>
        <w:rPr>
          <w:spacing w:val="28"/>
          <w:w w:val="105"/>
          <w:sz w:val="13"/>
        </w:rPr>
        <w:t> </w:t>
      </w:r>
      <w:r>
        <w:rPr>
          <w:spacing w:val="2"/>
          <w:w w:val="105"/>
          <w:sz w:val="13"/>
        </w:rPr>
        <w:t>[168]-[173].</w:t>
      </w:r>
    </w:p>
    <w:p>
      <w:pPr>
        <w:pStyle w:val="ListParagraph"/>
        <w:numPr>
          <w:ilvl w:val="0"/>
          <w:numId w:val="78"/>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5"/>
          <w:w w:val="105"/>
          <w:sz w:val="13"/>
        </w:rPr>
        <w:t> </w:t>
      </w:r>
      <w:r>
        <w:rPr>
          <w:i/>
          <w:w w:val="105"/>
          <w:sz w:val="13"/>
        </w:rPr>
        <w:t>Barker</w:t>
      </w:r>
      <w:r>
        <w:rPr>
          <w:i/>
          <w:spacing w:val="5"/>
          <w:w w:val="105"/>
          <w:sz w:val="13"/>
        </w:rPr>
        <w:t> </w:t>
      </w:r>
      <w:r>
        <w:rPr>
          <w:i/>
          <w:w w:val="105"/>
          <w:sz w:val="13"/>
        </w:rPr>
        <w:t>v</w:t>
      </w:r>
      <w:r>
        <w:rPr>
          <w:i/>
          <w:spacing w:val="5"/>
          <w:w w:val="105"/>
          <w:sz w:val="13"/>
        </w:rPr>
        <w:t> </w:t>
      </w:r>
      <w:r>
        <w:rPr>
          <w:i/>
          <w:w w:val="105"/>
          <w:sz w:val="13"/>
        </w:rPr>
        <w:t>Kyriakides</w:t>
      </w:r>
      <w:r>
        <w:rPr>
          <w:i/>
          <w:spacing w:val="5"/>
          <w:w w:val="105"/>
          <w:sz w:val="13"/>
        </w:rPr>
        <w:t> </w:t>
      </w:r>
      <w:r>
        <w:rPr>
          <w:w w:val="105"/>
          <w:sz w:val="13"/>
        </w:rPr>
        <w:t>[2007]</w:t>
      </w:r>
      <w:r>
        <w:rPr>
          <w:spacing w:val="5"/>
          <w:w w:val="105"/>
          <w:sz w:val="13"/>
        </w:rPr>
        <w:t> </w:t>
      </w:r>
      <w:r>
        <w:rPr>
          <w:w w:val="105"/>
          <w:sz w:val="13"/>
        </w:rPr>
        <w:t>NSWLEC</w:t>
      </w:r>
      <w:r>
        <w:rPr>
          <w:spacing w:val="5"/>
          <w:w w:val="105"/>
          <w:sz w:val="13"/>
        </w:rPr>
        <w:t> </w:t>
      </w:r>
      <w:r>
        <w:rPr>
          <w:w w:val="105"/>
          <w:sz w:val="13"/>
        </w:rPr>
        <w:t>292,</w:t>
      </w:r>
      <w:r>
        <w:rPr>
          <w:spacing w:val="5"/>
          <w:w w:val="105"/>
          <w:sz w:val="13"/>
        </w:rPr>
        <w:t> </w:t>
      </w:r>
      <w:r>
        <w:rPr>
          <w:spacing w:val="2"/>
          <w:w w:val="105"/>
          <w:sz w:val="13"/>
        </w:rPr>
        <w:t>[20];</w:t>
      </w:r>
      <w:r>
        <w:rPr>
          <w:spacing w:val="5"/>
          <w:w w:val="105"/>
          <w:sz w:val="13"/>
        </w:rPr>
        <w:t> </w:t>
      </w:r>
      <w:r>
        <w:rPr>
          <w:i/>
          <w:w w:val="105"/>
          <w:sz w:val="13"/>
        </w:rPr>
        <w:t>Hendry</w:t>
      </w:r>
      <w:r>
        <w:rPr>
          <w:i/>
          <w:spacing w:val="5"/>
          <w:w w:val="105"/>
          <w:sz w:val="13"/>
        </w:rPr>
        <w:t> </w:t>
      </w:r>
      <w:r>
        <w:rPr>
          <w:i/>
          <w:w w:val="105"/>
          <w:sz w:val="13"/>
        </w:rPr>
        <w:t>v</w:t>
      </w:r>
      <w:r>
        <w:rPr>
          <w:i/>
          <w:spacing w:val="5"/>
          <w:w w:val="105"/>
          <w:sz w:val="13"/>
        </w:rPr>
        <w:t> </w:t>
      </w:r>
      <w:r>
        <w:rPr>
          <w:i/>
          <w:w w:val="105"/>
          <w:sz w:val="13"/>
        </w:rPr>
        <w:t>Olsson</w:t>
      </w:r>
      <w:r>
        <w:rPr>
          <w:i/>
          <w:spacing w:val="6"/>
          <w:w w:val="105"/>
          <w:sz w:val="13"/>
        </w:rPr>
        <w:t> </w:t>
      </w:r>
      <w:r>
        <w:rPr>
          <w:w w:val="105"/>
          <w:sz w:val="13"/>
        </w:rPr>
        <w:t>[2010]</w:t>
      </w:r>
      <w:r>
        <w:rPr>
          <w:spacing w:val="5"/>
          <w:w w:val="105"/>
          <w:sz w:val="13"/>
        </w:rPr>
        <w:t> </w:t>
      </w:r>
      <w:r>
        <w:rPr>
          <w:w w:val="105"/>
          <w:sz w:val="13"/>
        </w:rPr>
        <w:t>NSWLEC</w:t>
      </w:r>
      <w:r>
        <w:rPr>
          <w:spacing w:val="5"/>
          <w:w w:val="105"/>
          <w:sz w:val="13"/>
        </w:rPr>
        <w:t> </w:t>
      </w:r>
      <w:r>
        <w:rPr>
          <w:w w:val="105"/>
          <w:sz w:val="13"/>
        </w:rPr>
        <w:t>1302.</w:t>
      </w:r>
    </w:p>
    <w:p>
      <w:pPr>
        <w:pStyle w:val="ListParagraph"/>
        <w:numPr>
          <w:ilvl w:val="0"/>
          <w:numId w:val="78"/>
        </w:numPr>
        <w:tabs>
          <w:tab w:pos="2380" w:val="left" w:leader="none"/>
          <w:tab w:pos="2382" w:val="left" w:leader="none"/>
        </w:tabs>
        <w:spacing w:line="240" w:lineRule="auto" w:before="2" w:after="0"/>
        <w:ind w:left="2381" w:right="2090" w:hanging="794"/>
        <w:jc w:val="left"/>
        <w:rPr>
          <w:sz w:val="13"/>
        </w:rPr>
      </w:pPr>
      <w:r>
        <w:rPr>
          <w:w w:val="105"/>
          <w:sz w:val="13"/>
        </w:rPr>
        <w:t>Submissions 4 </w:t>
      </w:r>
      <w:r>
        <w:rPr>
          <w:spacing w:val="2"/>
          <w:w w:val="105"/>
          <w:sz w:val="13"/>
        </w:rPr>
        <w:t>(Name </w:t>
      </w:r>
      <w:r>
        <w:rPr>
          <w:w w:val="105"/>
          <w:sz w:val="13"/>
        </w:rPr>
        <w:t>withheld), 6 </w:t>
      </w:r>
      <w:r>
        <w:rPr>
          <w:spacing w:val="2"/>
          <w:w w:val="105"/>
          <w:sz w:val="13"/>
        </w:rPr>
        <w:t>(Name </w:t>
      </w:r>
      <w:r>
        <w:rPr>
          <w:w w:val="105"/>
          <w:sz w:val="13"/>
        </w:rPr>
        <w:t>withheld), 9 </w:t>
      </w:r>
      <w:r>
        <w:rPr>
          <w:spacing w:val="3"/>
          <w:w w:val="105"/>
          <w:sz w:val="13"/>
        </w:rPr>
        <w:t>(Dr </w:t>
      </w:r>
      <w:r>
        <w:rPr>
          <w:w w:val="105"/>
          <w:sz w:val="13"/>
        </w:rPr>
        <w:t>Karen Smith), </w:t>
      </w:r>
      <w:r>
        <w:rPr>
          <w:spacing w:val="-6"/>
          <w:w w:val="105"/>
          <w:sz w:val="13"/>
        </w:rPr>
        <w:t>11 </w:t>
      </w:r>
      <w:r>
        <w:rPr>
          <w:spacing w:val="2"/>
          <w:w w:val="105"/>
          <w:sz w:val="13"/>
        </w:rPr>
        <w:t>(Name </w:t>
      </w:r>
      <w:r>
        <w:rPr>
          <w:w w:val="105"/>
          <w:sz w:val="13"/>
        </w:rPr>
        <w:t>withheld), 23 </w:t>
      </w:r>
      <w:r>
        <w:rPr>
          <w:spacing w:val="2"/>
          <w:w w:val="105"/>
          <w:sz w:val="13"/>
        </w:rPr>
        <w:t>(Name </w:t>
      </w:r>
      <w:r>
        <w:rPr>
          <w:w w:val="105"/>
          <w:sz w:val="13"/>
        </w:rPr>
        <w:t>withheld) and Confidential submission.</w:t>
      </w:r>
    </w:p>
    <w:p>
      <w:pPr>
        <w:pStyle w:val="ListParagraph"/>
        <w:numPr>
          <w:ilvl w:val="0"/>
          <w:numId w:val="78"/>
        </w:numPr>
        <w:tabs>
          <w:tab w:pos="2381" w:val="left" w:leader="none"/>
          <w:tab w:pos="2382" w:val="left" w:leader="none"/>
        </w:tabs>
        <w:spacing w:line="240" w:lineRule="auto" w:before="2" w:after="0"/>
        <w:ind w:left="2381" w:right="0" w:hanging="794"/>
        <w:jc w:val="left"/>
        <w:rPr>
          <w:sz w:val="13"/>
        </w:rPr>
      </w:pPr>
      <w:r>
        <w:rPr>
          <w:w w:val="105"/>
          <w:sz w:val="13"/>
        </w:rPr>
        <w:t>Submissions</w:t>
      </w:r>
      <w:r>
        <w:rPr>
          <w:spacing w:val="5"/>
          <w:w w:val="105"/>
          <w:sz w:val="13"/>
        </w:rPr>
        <w:t> </w:t>
      </w:r>
      <w:r>
        <w:rPr>
          <w:w w:val="105"/>
          <w:sz w:val="13"/>
        </w:rPr>
        <w:t>2</w:t>
      </w:r>
      <w:r>
        <w:rPr>
          <w:spacing w:val="5"/>
          <w:w w:val="105"/>
          <w:sz w:val="13"/>
        </w:rPr>
        <w:t> </w:t>
      </w:r>
      <w:r>
        <w:rPr>
          <w:spacing w:val="2"/>
          <w:w w:val="105"/>
          <w:sz w:val="13"/>
        </w:rPr>
        <w:t>(Name</w:t>
      </w:r>
      <w:r>
        <w:rPr>
          <w:spacing w:val="5"/>
          <w:w w:val="105"/>
          <w:sz w:val="13"/>
        </w:rPr>
        <w:t> </w:t>
      </w:r>
      <w:r>
        <w:rPr>
          <w:w w:val="105"/>
          <w:sz w:val="13"/>
        </w:rPr>
        <w:t>withheld),</w:t>
      </w:r>
      <w:r>
        <w:rPr>
          <w:spacing w:val="6"/>
          <w:w w:val="105"/>
          <w:sz w:val="13"/>
        </w:rPr>
        <w:t> </w:t>
      </w:r>
      <w:r>
        <w:rPr>
          <w:w w:val="105"/>
          <w:sz w:val="13"/>
        </w:rPr>
        <w:t>20</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25</w:t>
      </w:r>
      <w:r>
        <w:rPr>
          <w:spacing w:val="6"/>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Borondarra),</w:t>
      </w:r>
      <w:r>
        <w:rPr>
          <w:spacing w:val="5"/>
          <w:w w:val="105"/>
          <w:sz w:val="13"/>
        </w:rPr>
        <w:t> </w:t>
      </w:r>
      <w:r>
        <w:rPr>
          <w:w w:val="105"/>
          <w:sz w:val="13"/>
        </w:rPr>
        <w:t>27</w:t>
      </w:r>
      <w:r>
        <w:rPr>
          <w:spacing w:val="6"/>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and</w:t>
      </w:r>
      <w:r>
        <w:rPr>
          <w:spacing w:val="5"/>
          <w:w w:val="105"/>
          <w:sz w:val="13"/>
        </w:rPr>
        <w:t> </w:t>
      </w:r>
      <w:r>
        <w:rPr>
          <w:w w:val="105"/>
          <w:sz w:val="13"/>
        </w:rPr>
        <w:t>two</w:t>
      </w:r>
      <w:r>
        <w:rPr>
          <w:spacing w:val="6"/>
          <w:w w:val="105"/>
          <w:sz w:val="13"/>
        </w:rPr>
        <w:t> </w:t>
      </w:r>
      <w:r>
        <w:rPr>
          <w:w w:val="105"/>
          <w:sz w:val="13"/>
        </w:rPr>
        <w:t>Confidential</w:t>
      </w:r>
      <w:r>
        <w:rPr>
          <w:spacing w:val="5"/>
          <w:w w:val="105"/>
          <w:sz w:val="13"/>
        </w:rPr>
        <w:t> </w:t>
      </w:r>
      <w:r>
        <w:rPr>
          <w:w w:val="105"/>
          <w:sz w:val="13"/>
        </w:rPr>
        <w:t>submissions.</w:t>
      </w:r>
    </w:p>
    <w:p>
      <w:pPr>
        <w:pStyle w:val="ListParagraph"/>
        <w:numPr>
          <w:ilvl w:val="0"/>
          <w:numId w:val="78"/>
        </w:numPr>
        <w:tabs>
          <w:tab w:pos="2381" w:val="left" w:leader="none"/>
          <w:tab w:pos="2382" w:val="left" w:leader="none"/>
        </w:tabs>
        <w:spacing w:line="240" w:lineRule="auto" w:before="2" w:after="0"/>
        <w:ind w:left="2381" w:right="0" w:hanging="794"/>
        <w:jc w:val="left"/>
        <w:rPr>
          <w:sz w:val="13"/>
        </w:rPr>
      </w:pPr>
      <w:r>
        <w:rPr>
          <w:w w:val="105"/>
          <w:sz w:val="13"/>
        </w:rPr>
        <w:t>Submissions 5 </w:t>
      </w:r>
      <w:r>
        <w:rPr>
          <w:spacing w:val="2"/>
          <w:w w:val="105"/>
          <w:sz w:val="13"/>
        </w:rPr>
        <w:t>(Name </w:t>
      </w:r>
      <w:r>
        <w:rPr>
          <w:w w:val="105"/>
          <w:sz w:val="13"/>
        </w:rPr>
        <w:t>withheld), 6 </w:t>
      </w:r>
      <w:r>
        <w:rPr>
          <w:spacing w:val="2"/>
          <w:w w:val="105"/>
          <w:sz w:val="13"/>
        </w:rPr>
        <w:t>(Name</w:t>
      </w:r>
      <w:r>
        <w:rPr>
          <w:spacing w:val="25"/>
          <w:w w:val="105"/>
          <w:sz w:val="13"/>
        </w:rPr>
        <w:t> </w:t>
      </w:r>
      <w:r>
        <w:rPr>
          <w:w w:val="105"/>
          <w:sz w:val="13"/>
        </w:rPr>
        <w:t>withheld).</w:t>
      </w:r>
    </w:p>
    <w:p>
      <w:pPr>
        <w:pStyle w:val="ListParagraph"/>
        <w:numPr>
          <w:ilvl w:val="0"/>
          <w:numId w:val="78"/>
        </w:numPr>
        <w:tabs>
          <w:tab w:pos="2381" w:val="left" w:leader="none"/>
          <w:tab w:pos="2382" w:val="left" w:leader="none"/>
        </w:tabs>
        <w:spacing w:line="240" w:lineRule="auto" w:before="1" w:after="0"/>
        <w:ind w:left="2381" w:right="0" w:hanging="794"/>
        <w:jc w:val="left"/>
        <w:rPr>
          <w:sz w:val="13"/>
        </w:rPr>
      </w:pPr>
      <w:r>
        <w:rPr>
          <w:w w:val="105"/>
          <w:sz w:val="13"/>
        </w:rPr>
        <w:t>Submission 9 </w:t>
      </w:r>
      <w:r>
        <w:rPr>
          <w:spacing w:val="3"/>
          <w:w w:val="105"/>
          <w:sz w:val="13"/>
        </w:rPr>
        <w:t>(Dr </w:t>
      </w:r>
      <w:r>
        <w:rPr>
          <w:w w:val="105"/>
          <w:sz w:val="13"/>
        </w:rPr>
        <w:t>Karen</w:t>
      </w:r>
      <w:r>
        <w:rPr>
          <w:spacing w:val="15"/>
          <w:w w:val="105"/>
          <w:sz w:val="13"/>
        </w:rPr>
        <w:t> </w:t>
      </w:r>
      <w:r>
        <w:rPr>
          <w:w w:val="105"/>
          <w:sz w:val="13"/>
        </w:rPr>
        <w:t>Smith).</w:t>
      </w:r>
    </w:p>
    <w:p>
      <w:pPr>
        <w:pStyle w:val="ListParagraph"/>
        <w:numPr>
          <w:ilvl w:val="0"/>
          <w:numId w:val="78"/>
        </w:numPr>
        <w:tabs>
          <w:tab w:pos="2381" w:val="left" w:leader="none"/>
          <w:tab w:pos="2382" w:val="left" w:leader="none"/>
        </w:tabs>
        <w:spacing w:line="240" w:lineRule="auto" w:before="1" w:after="0"/>
        <w:ind w:left="2381" w:right="0" w:hanging="794"/>
        <w:jc w:val="left"/>
        <w:rPr>
          <w:sz w:val="13"/>
        </w:rPr>
      </w:pPr>
      <w:r>
        <w:rPr/>
        <w:pict>
          <v:shape style="position:absolute;margin-left:548.887878pt;margin-top:2.996566pt;width:13.5pt;height:14.25pt;mso-position-horizontal-relative:page;mso-position-vertical-relative:paragraph;z-index:7288" type="#_x0000_t202" filled="false" stroked="false">
            <v:textbox inset="0,0,0,0">
              <w:txbxContent>
                <w:p>
                  <w:pPr>
                    <w:spacing w:line="284" w:lineRule="exact" w:before="0"/>
                    <w:ind w:left="0" w:right="0" w:firstLine="0"/>
                    <w:jc w:val="left"/>
                    <w:rPr>
                      <w:b/>
                      <w:sz w:val="24"/>
                    </w:rPr>
                  </w:pPr>
                  <w:r>
                    <w:rPr>
                      <w:b/>
                      <w:color w:val="658464"/>
                      <w:w w:val="110"/>
                      <w:sz w:val="24"/>
                    </w:rPr>
                    <w:t>99</w:t>
                  </w:r>
                </w:p>
              </w:txbxContent>
            </v:textbox>
            <w10:wrap type="none"/>
          </v:shape>
        </w:pict>
      </w:r>
      <w:r>
        <w:rPr>
          <w:w w:val="105"/>
          <w:sz w:val="13"/>
        </w:rPr>
        <w:t>Submission </w:t>
      </w:r>
      <w:r>
        <w:rPr>
          <w:spacing w:val="-6"/>
          <w:w w:val="105"/>
          <w:sz w:val="13"/>
        </w:rPr>
        <w:t>11  </w:t>
      </w:r>
      <w:r>
        <w:rPr>
          <w:spacing w:val="2"/>
          <w:w w:val="105"/>
          <w:sz w:val="13"/>
        </w:rPr>
        <w:t>(Name</w:t>
      </w:r>
      <w:r>
        <w:rPr>
          <w:spacing w:val="6"/>
          <w:w w:val="105"/>
          <w:sz w:val="13"/>
        </w:rPr>
        <w:t> </w:t>
      </w:r>
      <w:r>
        <w:rPr>
          <w:w w:val="105"/>
          <w:sz w:val="13"/>
        </w:rPr>
        <w:t>withheld).</w:t>
      </w:r>
    </w:p>
    <w:p>
      <w:pPr>
        <w:pStyle w:val="ListParagraph"/>
        <w:numPr>
          <w:ilvl w:val="0"/>
          <w:numId w:val="78"/>
        </w:numPr>
        <w:tabs>
          <w:tab w:pos="2381" w:val="left" w:leader="none"/>
          <w:tab w:pos="2382" w:val="left" w:leader="none"/>
        </w:tabs>
        <w:spacing w:line="240" w:lineRule="auto" w:before="2" w:after="0"/>
        <w:ind w:left="2381" w:right="0" w:hanging="794"/>
        <w:jc w:val="left"/>
        <w:rPr>
          <w:sz w:val="13"/>
        </w:rPr>
      </w:pPr>
      <w:r>
        <w:rPr>
          <w:w w:val="105"/>
          <w:sz w:val="13"/>
        </w:rPr>
        <w:t>Submission 20 </w:t>
      </w:r>
      <w:r>
        <w:rPr>
          <w:spacing w:val="2"/>
          <w:w w:val="105"/>
          <w:sz w:val="13"/>
        </w:rPr>
        <w:t>(Name</w:t>
      </w:r>
      <w:r>
        <w:rPr>
          <w:spacing w:val="23"/>
          <w:w w:val="105"/>
          <w:sz w:val="13"/>
        </w:rPr>
        <w:t> </w:t>
      </w:r>
      <w:r>
        <w:rPr>
          <w:w w:val="105"/>
          <w:sz w:val="13"/>
        </w:rPr>
        <w:t>withheld).</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0"/>
          <w:numId w:val="64"/>
        </w:numPr>
        <w:tabs>
          <w:tab w:pos="2380" w:val="left" w:leader="none"/>
          <w:tab w:pos="2381" w:val="left" w:leader="none"/>
        </w:tabs>
        <w:spacing w:line="240" w:lineRule="auto" w:before="92" w:after="0"/>
        <w:ind w:left="2381" w:right="0" w:hanging="794"/>
        <w:jc w:val="left"/>
        <w:rPr>
          <w:sz w:val="21"/>
        </w:rPr>
      </w:pPr>
      <w:bookmarkStart w:name="_bookmark56" w:id="130"/>
      <w:bookmarkEnd w:id="130"/>
      <w:r>
        <w:rPr/>
      </w:r>
      <w:bookmarkStart w:name="_bookmark56" w:id="131"/>
      <w:bookmarkEnd w:id="131"/>
      <w:r>
        <w:rPr>
          <w:w w:val="105"/>
          <w:sz w:val="21"/>
        </w:rPr>
        <w:t>O</w:t>
      </w:r>
      <w:r>
        <w:rPr>
          <w:w w:val="105"/>
          <w:sz w:val="21"/>
        </w:rPr>
        <w:t>ther </w:t>
      </w:r>
      <w:r>
        <w:rPr>
          <w:spacing w:val="-3"/>
          <w:w w:val="105"/>
          <w:sz w:val="21"/>
        </w:rPr>
        <w:t>submissions</w:t>
      </w:r>
      <w:r>
        <w:rPr>
          <w:spacing w:val="10"/>
          <w:w w:val="105"/>
          <w:sz w:val="21"/>
        </w:rPr>
        <w:t> </w:t>
      </w:r>
      <w:r>
        <w:rPr>
          <w:w w:val="105"/>
          <w:sz w:val="21"/>
        </w:rPr>
        <w:t>noted:</w:t>
      </w:r>
    </w:p>
    <w:p>
      <w:pPr>
        <w:pStyle w:val="ListParagraph"/>
        <w:numPr>
          <w:ilvl w:val="1"/>
          <w:numId w:val="64"/>
        </w:numPr>
        <w:tabs>
          <w:tab w:pos="2721" w:val="left" w:leader="none"/>
          <w:tab w:pos="2722" w:val="left" w:leader="none"/>
        </w:tabs>
        <w:spacing w:line="242" w:lineRule="auto" w:before="123" w:after="0"/>
        <w:ind w:left="2721" w:right="1991" w:hanging="340"/>
        <w:jc w:val="left"/>
        <w:rPr>
          <w:sz w:val="12"/>
        </w:rPr>
      </w:pPr>
      <w:r>
        <w:rPr>
          <w:spacing w:val="-3"/>
          <w:w w:val="105"/>
          <w:sz w:val="21"/>
        </w:rPr>
        <w:t>maintenance </w:t>
      </w:r>
      <w:r>
        <w:rPr>
          <w:w w:val="105"/>
          <w:sz w:val="21"/>
        </w:rPr>
        <w:t>issues caused by </w:t>
      </w:r>
      <w:r>
        <w:rPr>
          <w:spacing w:val="-3"/>
          <w:w w:val="105"/>
          <w:sz w:val="21"/>
        </w:rPr>
        <w:t>overhanging branches </w:t>
      </w:r>
      <w:r>
        <w:rPr>
          <w:w w:val="105"/>
          <w:sz w:val="21"/>
        </w:rPr>
        <w:t>should </w:t>
      </w:r>
      <w:r>
        <w:rPr>
          <w:spacing w:val="-4"/>
          <w:w w:val="105"/>
          <w:sz w:val="21"/>
        </w:rPr>
        <w:t>‘never </w:t>
      </w:r>
      <w:r>
        <w:rPr>
          <w:w w:val="105"/>
          <w:sz w:val="21"/>
        </w:rPr>
        <w:t>be </w:t>
      </w:r>
      <w:r>
        <w:rPr>
          <w:spacing w:val="-3"/>
          <w:w w:val="105"/>
          <w:sz w:val="21"/>
        </w:rPr>
        <w:t>grounds </w:t>
      </w:r>
      <w:r>
        <w:rPr>
          <w:w w:val="105"/>
          <w:sz w:val="21"/>
        </w:rPr>
        <w:t>on which </w:t>
      </w:r>
      <w:r>
        <w:rPr>
          <w:spacing w:val="-3"/>
          <w:w w:val="105"/>
          <w:sz w:val="21"/>
        </w:rPr>
        <w:t>to bring</w:t>
      </w:r>
      <w:r>
        <w:rPr>
          <w:spacing w:val="20"/>
          <w:w w:val="105"/>
          <w:sz w:val="21"/>
        </w:rPr>
        <w:t> </w:t>
      </w:r>
      <w:r>
        <w:rPr>
          <w:spacing w:val="-4"/>
          <w:w w:val="105"/>
          <w:sz w:val="21"/>
        </w:rPr>
        <w:t>action’;</w:t>
      </w:r>
      <w:r>
        <w:rPr>
          <w:spacing w:val="-4"/>
          <w:w w:val="105"/>
          <w:position w:val="7"/>
          <w:sz w:val="12"/>
        </w:rPr>
        <w:t>351</w:t>
      </w:r>
    </w:p>
    <w:p>
      <w:pPr>
        <w:pStyle w:val="ListParagraph"/>
        <w:numPr>
          <w:ilvl w:val="1"/>
          <w:numId w:val="64"/>
        </w:numPr>
        <w:tabs>
          <w:tab w:pos="2721" w:val="left" w:leader="none"/>
          <w:tab w:pos="2722" w:val="left" w:leader="none"/>
        </w:tabs>
        <w:spacing w:line="242" w:lineRule="auto" w:before="88" w:after="0"/>
        <w:ind w:left="2721" w:right="1991" w:hanging="340"/>
        <w:jc w:val="left"/>
        <w:rPr>
          <w:sz w:val="21"/>
        </w:rPr>
      </w:pPr>
      <w:r>
        <w:rPr>
          <w:spacing w:val="-3"/>
          <w:w w:val="105"/>
          <w:sz w:val="21"/>
        </w:rPr>
        <w:t>‘you </w:t>
      </w:r>
      <w:r>
        <w:rPr>
          <w:w w:val="105"/>
          <w:sz w:val="21"/>
        </w:rPr>
        <w:t>should </w:t>
      </w:r>
      <w:r>
        <w:rPr>
          <w:spacing w:val="-2"/>
          <w:w w:val="105"/>
          <w:sz w:val="21"/>
        </w:rPr>
        <w:t>not </w:t>
      </w:r>
      <w:r>
        <w:rPr>
          <w:w w:val="105"/>
          <w:sz w:val="21"/>
        </w:rPr>
        <w:t>be able </w:t>
      </w:r>
      <w:r>
        <w:rPr>
          <w:spacing w:val="-3"/>
          <w:w w:val="105"/>
          <w:sz w:val="21"/>
        </w:rPr>
        <w:t>to take </w:t>
      </w:r>
      <w:r>
        <w:rPr>
          <w:w w:val="105"/>
          <w:sz w:val="21"/>
        </w:rPr>
        <w:t>someone </w:t>
      </w:r>
      <w:r>
        <w:rPr>
          <w:spacing w:val="-3"/>
          <w:w w:val="105"/>
          <w:sz w:val="21"/>
        </w:rPr>
        <w:t>to </w:t>
      </w:r>
      <w:r>
        <w:rPr>
          <w:w w:val="105"/>
          <w:sz w:val="21"/>
        </w:rPr>
        <w:t>court </w:t>
      </w:r>
      <w:r>
        <w:rPr>
          <w:spacing w:val="-3"/>
          <w:w w:val="105"/>
          <w:sz w:val="21"/>
        </w:rPr>
        <w:t>for something </w:t>
      </w:r>
      <w:r>
        <w:rPr>
          <w:w w:val="105"/>
          <w:sz w:val="21"/>
        </w:rPr>
        <w:t>frivolous </w:t>
      </w:r>
      <w:r>
        <w:rPr>
          <w:spacing w:val="-4"/>
          <w:w w:val="105"/>
          <w:sz w:val="21"/>
        </w:rPr>
        <w:t>like </w:t>
      </w:r>
      <w:r>
        <w:rPr>
          <w:w w:val="105"/>
          <w:sz w:val="21"/>
        </w:rPr>
        <w:t>leaf litter’;</w:t>
      </w:r>
      <w:r>
        <w:rPr>
          <w:w w:val="105"/>
          <w:position w:val="7"/>
          <w:sz w:val="12"/>
        </w:rPr>
        <w:t>352</w:t>
      </w:r>
      <w:r>
        <w:rPr>
          <w:spacing w:val="28"/>
          <w:w w:val="105"/>
          <w:position w:val="7"/>
          <w:sz w:val="12"/>
        </w:rPr>
        <w:t> </w:t>
      </w:r>
      <w:r>
        <w:rPr>
          <w:w w:val="105"/>
          <w:sz w:val="21"/>
        </w:rPr>
        <w:t>and</w:t>
      </w:r>
    </w:p>
    <w:p>
      <w:pPr>
        <w:pStyle w:val="ListParagraph"/>
        <w:numPr>
          <w:ilvl w:val="1"/>
          <w:numId w:val="64"/>
        </w:numPr>
        <w:tabs>
          <w:tab w:pos="2722" w:val="left" w:leader="none"/>
        </w:tabs>
        <w:spacing w:line="242" w:lineRule="auto" w:before="87" w:after="0"/>
        <w:ind w:left="2721" w:right="1757" w:hanging="340"/>
        <w:jc w:val="both"/>
        <w:rPr>
          <w:sz w:val="12"/>
        </w:rPr>
      </w:pPr>
      <w:r>
        <w:rPr>
          <w:spacing w:val="-3"/>
          <w:w w:val="105"/>
          <w:sz w:val="21"/>
        </w:rPr>
        <w:t>‘it </w:t>
      </w:r>
      <w:r>
        <w:rPr>
          <w:w w:val="105"/>
          <w:sz w:val="21"/>
        </w:rPr>
        <w:t>would be a waste of </w:t>
      </w:r>
      <w:r>
        <w:rPr>
          <w:spacing w:val="-3"/>
          <w:w w:val="105"/>
          <w:sz w:val="21"/>
        </w:rPr>
        <w:t>resources for proceedings to </w:t>
      </w:r>
      <w:r>
        <w:rPr>
          <w:w w:val="105"/>
          <w:sz w:val="21"/>
        </w:rPr>
        <w:t>be held </w:t>
      </w:r>
      <w:r>
        <w:rPr>
          <w:spacing w:val="-3"/>
          <w:w w:val="105"/>
          <w:sz w:val="21"/>
        </w:rPr>
        <w:t>that may </w:t>
      </w:r>
      <w:r>
        <w:rPr>
          <w:w w:val="105"/>
          <w:sz w:val="21"/>
        </w:rPr>
        <w:t>cause the tree owner </w:t>
      </w:r>
      <w:r>
        <w:rPr>
          <w:spacing w:val="-3"/>
          <w:w w:val="105"/>
          <w:sz w:val="21"/>
        </w:rPr>
        <w:t>to </w:t>
      </w:r>
      <w:r>
        <w:rPr>
          <w:w w:val="105"/>
          <w:sz w:val="21"/>
        </w:rPr>
        <w:t>act in a </w:t>
      </w:r>
      <w:r>
        <w:rPr>
          <w:spacing w:val="-3"/>
          <w:w w:val="105"/>
          <w:sz w:val="21"/>
        </w:rPr>
        <w:t>manner </w:t>
      </w:r>
      <w:r>
        <w:rPr>
          <w:w w:val="105"/>
          <w:sz w:val="21"/>
        </w:rPr>
        <w:t>the </w:t>
      </w:r>
      <w:r>
        <w:rPr>
          <w:spacing w:val="-3"/>
          <w:w w:val="105"/>
          <w:sz w:val="21"/>
        </w:rPr>
        <w:t>complainant </w:t>
      </w:r>
      <w:r>
        <w:rPr>
          <w:spacing w:val="-2"/>
          <w:w w:val="105"/>
          <w:sz w:val="21"/>
        </w:rPr>
        <w:t>has </w:t>
      </w:r>
      <w:r>
        <w:rPr>
          <w:spacing w:val="-3"/>
          <w:w w:val="105"/>
          <w:sz w:val="21"/>
        </w:rPr>
        <w:t>available to </w:t>
      </w:r>
      <w:r>
        <w:rPr>
          <w:w w:val="105"/>
          <w:sz w:val="21"/>
        </w:rPr>
        <w:t>them at the </w:t>
      </w:r>
      <w:r>
        <w:rPr>
          <w:spacing w:val="-3"/>
          <w:w w:val="105"/>
          <w:sz w:val="21"/>
        </w:rPr>
        <w:t>time’ (that </w:t>
      </w:r>
      <w:r>
        <w:rPr>
          <w:w w:val="105"/>
          <w:sz w:val="21"/>
        </w:rPr>
        <w:t>is, the </w:t>
      </w:r>
      <w:r>
        <w:rPr>
          <w:spacing w:val="-3"/>
          <w:w w:val="105"/>
          <w:sz w:val="21"/>
        </w:rPr>
        <w:t>reasonable </w:t>
      </w:r>
      <w:r>
        <w:rPr>
          <w:w w:val="105"/>
          <w:sz w:val="21"/>
        </w:rPr>
        <w:t>action of</w:t>
      </w:r>
      <w:r>
        <w:rPr>
          <w:spacing w:val="19"/>
          <w:w w:val="105"/>
          <w:sz w:val="21"/>
        </w:rPr>
        <w:t> </w:t>
      </w:r>
      <w:r>
        <w:rPr>
          <w:w w:val="105"/>
          <w:sz w:val="21"/>
        </w:rPr>
        <w:t>self-abatement).</w:t>
      </w:r>
      <w:r>
        <w:rPr>
          <w:w w:val="105"/>
          <w:position w:val="7"/>
          <w:sz w:val="12"/>
        </w:rPr>
        <w:t>353</w:t>
      </w:r>
    </w:p>
    <w:p>
      <w:pPr>
        <w:pStyle w:val="ListParagraph"/>
        <w:numPr>
          <w:ilvl w:val="0"/>
          <w:numId w:val="64"/>
        </w:numPr>
        <w:tabs>
          <w:tab w:pos="2381" w:val="left" w:leader="none"/>
          <w:tab w:pos="2382" w:val="left" w:leader="none"/>
        </w:tabs>
        <w:spacing w:line="242" w:lineRule="auto" w:before="88" w:after="0"/>
        <w:ind w:left="2381" w:right="1652" w:hanging="794"/>
        <w:jc w:val="left"/>
        <w:rPr>
          <w:sz w:val="12"/>
        </w:rPr>
      </w:pPr>
      <w:r>
        <w:rPr>
          <w:w w:val="105"/>
          <w:sz w:val="21"/>
        </w:rPr>
        <w:t>A number of local </w:t>
      </w:r>
      <w:r>
        <w:rPr>
          <w:spacing w:val="-3"/>
          <w:w w:val="105"/>
          <w:sz w:val="21"/>
        </w:rPr>
        <w:t>councils spoke </w:t>
      </w:r>
      <w:r>
        <w:rPr>
          <w:w w:val="105"/>
          <w:sz w:val="21"/>
        </w:rPr>
        <w:t>with the </w:t>
      </w:r>
      <w:r>
        <w:rPr>
          <w:spacing w:val="-3"/>
          <w:w w:val="105"/>
          <w:sz w:val="21"/>
        </w:rPr>
        <w:t>Commission </w:t>
      </w:r>
      <w:r>
        <w:rPr>
          <w:w w:val="105"/>
          <w:sz w:val="21"/>
        </w:rPr>
        <w:t>about how they respond </w:t>
      </w:r>
      <w:r>
        <w:rPr>
          <w:spacing w:val="-3"/>
          <w:w w:val="105"/>
          <w:sz w:val="21"/>
        </w:rPr>
        <w:t>to enquiries from </w:t>
      </w:r>
      <w:r>
        <w:rPr>
          <w:w w:val="105"/>
          <w:sz w:val="21"/>
        </w:rPr>
        <w:t>residents about </w:t>
      </w:r>
      <w:r>
        <w:rPr>
          <w:spacing w:val="-3"/>
          <w:w w:val="105"/>
          <w:sz w:val="21"/>
        </w:rPr>
        <w:t>interference </w:t>
      </w:r>
      <w:r>
        <w:rPr>
          <w:w w:val="105"/>
          <w:sz w:val="21"/>
        </w:rPr>
        <w:t>on </w:t>
      </w:r>
      <w:r>
        <w:rPr>
          <w:spacing w:val="-3"/>
          <w:w w:val="105"/>
          <w:sz w:val="21"/>
        </w:rPr>
        <w:t>private land. </w:t>
      </w:r>
      <w:r>
        <w:rPr>
          <w:w w:val="105"/>
          <w:sz w:val="21"/>
        </w:rPr>
        <w:t>These </w:t>
      </w:r>
      <w:r>
        <w:rPr>
          <w:spacing w:val="-3"/>
          <w:w w:val="105"/>
          <w:sz w:val="21"/>
        </w:rPr>
        <w:t>councils were all </w:t>
      </w:r>
      <w:r>
        <w:rPr>
          <w:w w:val="105"/>
          <w:sz w:val="21"/>
        </w:rPr>
        <w:t>in </w:t>
      </w:r>
      <w:r>
        <w:rPr>
          <w:spacing w:val="-2"/>
          <w:w w:val="105"/>
          <w:sz w:val="21"/>
        </w:rPr>
        <w:t>agreement </w:t>
      </w:r>
      <w:r>
        <w:rPr>
          <w:spacing w:val="-3"/>
          <w:w w:val="105"/>
          <w:sz w:val="21"/>
        </w:rPr>
        <w:t>that interference </w:t>
      </w:r>
      <w:r>
        <w:rPr>
          <w:w w:val="105"/>
          <w:sz w:val="21"/>
        </w:rPr>
        <w:t>should </w:t>
      </w:r>
      <w:r>
        <w:rPr>
          <w:spacing w:val="-2"/>
          <w:w w:val="105"/>
          <w:sz w:val="21"/>
        </w:rPr>
        <w:t>not </w:t>
      </w:r>
      <w:r>
        <w:rPr>
          <w:w w:val="105"/>
          <w:sz w:val="21"/>
        </w:rPr>
        <w:t>be actionable under a new Act.</w:t>
      </w:r>
      <w:r>
        <w:rPr>
          <w:w w:val="105"/>
          <w:position w:val="7"/>
          <w:sz w:val="12"/>
        </w:rPr>
        <w:t>354 </w:t>
      </w:r>
      <w:r>
        <w:rPr>
          <w:spacing w:val="-4"/>
          <w:w w:val="105"/>
          <w:sz w:val="21"/>
        </w:rPr>
        <w:t>Councils </w:t>
      </w:r>
      <w:r>
        <w:rPr>
          <w:w w:val="105"/>
          <w:sz w:val="21"/>
        </w:rPr>
        <w:t>respond</w:t>
      </w:r>
      <w:r>
        <w:rPr>
          <w:spacing w:val="-7"/>
          <w:w w:val="105"/>
          <w:sz w:val="21"/>
        </w:rPr>
        <w:t> </w:t>
      </w:r>
      <w:r>
        <w:rPr>
          <w:spacing w:val="-3"/>
          <w:w w:val="105"/>
          <w:sz w:val="21"/>
        </w:rPr>
        <w:t>to</w:t>
      </w:r>
      <w:r>
        <w:rPr>
          <w:spacing w:val="-6"/>
          <w:w w:val="105"/>
          <w:sz w:val="21"/>
        </w:rPr>
        <w:t> </w:t>
      </w:r>
      <w:r>
        <w:rPr>
          <w:spacing w:val="-3"/>
          <w:w w:val="105"/>
          <w:sz w:val="21"/>
        </w:rPr>
        <w:t>enquiries</w:t>
      </w:r>
      <w:r>
        <w:rPr>
          <w:spacing w:val="-6"/>
          <w:w w:val="105"/>
          <w:sz w:val="21"/>
        </w:rPr>
        <w:t> </w:t>
      </w:r>
      <w:r>
        <w:rPr>
          <w:w w:val="105"/>
          <w:sz w:val="21"/>
        </w:rPr>
        <w:t>by</w:t>
      </w:r>
      <w:r>
        <w:rPr>
          <w:spacing w:val="-6"/>
          <w:w w:val="105"/>
          <w:sz w:val="21"/>
        </w:rPr>
        <w:t> </w:t>
      </w:r>
      <w:r>
        <w:rPr>
          <w:spacing w:val="-3"/>
          <w:w w:val="105"/>
          <w:sz w:val="21"/>
        </w:rPr>
        <w:t>encouraging</w:t>
      </w:r>
      <w:r>
        <w:rPr>
          <w:spacing w:val="-6"/>
          <w:w w:val="105"/>
          <w:sz w:val="21"/>
        </w:rPr>
        <w:t> </w:t>
      </w:r>
      <w:r>
        <w:rPr>
          <w:w w:val="105"/>
          <w:sz w:val="21"/>
        </w:rPr>
        <w:t>landowners</w:t>
      </w:r>
      <w:r>
        <w:rPr>
          <w:spacing w:val="-6"/>
          <w:w w:val="105"/>
          <w:sz w:val="21"/>
        </w:rPr>
        <w:t> </w:t>
      </w:r>
      <w:r>
        <w:rPr>
          <w:spacing w:val="-3"/>
          <w:w w:val="105"/>
          <w:sz w:val="21"/>
        </w:rPr>
        <w:t>to</w:t>
      </w:r>
      <w:r>
        <w:rPr>
          <w:spacing w:val="-6"/>
          <w:w w:val="105"/>
          <w:sz w:val="21"/>
        </w:rPr>
        <w:t> </w:t>
      </w:r>
      <w:r>
        <w:rPr>
          <w:spacing w:val="-3"/>
          <w:w w:val="105"/>
          <w:sz w:val="21"/>
        </w:rPr>
        <w:t>maintain</w:t>
      </w:r>
      <w:r>
        <w:rPr>
          <w:spacing w:val="-7"/>
          <w:w w:val="105"/>
          <w:sz w:val="21"/>
        </w:rPr>
        <w:t> </w:t>
      </w:r>
      <w:r>
        <w:rPr>
          <w:w w:val="105"/>
          <w:sz w:val="21"/>
        </w:rPr>
        <w:t>the</w:t>
      </w:r>
      <w:r>
        <w:rPr>
          <w:spacing w:val="-6"/>
          <w:w w:val="105"/>
          <w:sz w:val="21"/>
        </w:rPr>
        <w:t> </w:t>
      </w:r>
      <w:r>
        <w:rPr>
          <w:w w:val="105"/>
          <w:sz w:val="21"/>
        </w:rPr>
        <w:t>vegetation</w:t>
      </w:r>
      <w:r>
        <w:rPr>
          <w:spacing w:val="-6"/>
          <w:w w:val="105"/>
          <w:sz w:val="21"/>
        </w:rPr>
        <w:t> </w:t>
      </w:r>
      <w:r>
        <w:rPr>
          <w:w w:val="105"/>
          <w:sz w:val="21"/>
        </w:rPr>
        <w:t>on</w:t>
      </w:r>
      <w:r>
        <w:rPr>
          <w:spacing w:val="-6"/>
          <w:w w:val="105"/>
          <w:sz w:val="21"/>
        </w:rPr>
        <w:t> </w:t>
      </w:r>
      <w:r>
        <w:rPr>
          <w:w w:val="105"/>
          <w:sz w:val="21"/>
        </w:rPr>
        <w:t>their</w:t>
      </w:r>
      <w:r>
        <w:rPr>
          <w:spacing w:val="-6"/>
          <w:w w:val="105"/>
          <w:sz w:val="21"/>
        </w:rPr>
        <w:t> </w:t>
      </w:r>
      <w:r>
        <w:rPr>
          <w:spacing w:val="-3"/>
          <w:w w:val="105"/>
          <w:sz w:val="21"/>
        </w:rPr>
        <w:t>land </w:t>
      </w:r>
      <w:r>
        <w:rPr>
          <w:w w:val="105"/>
          <w:sz w:val="21"/>
        </w:rPr>
        <w:t>so it does </w:t>
      </w:r>
      <w:r>
        <w:rPr>
          <w:spacing w:val="-2"/>
          <w:w w:val="105"/>
          <w:sz w:val="21"/>
        </w:rPr>
        <w:t>not </w:t>
      </w:r>
      <w:r>
        <w:rPr>
          <w:spacing w:val="-3"/>
          <w:w w:val="105"/>
          <w:sz w:val="21"/>
        </w:rPr>
        <w:t>unreasonably interfere </w:t>
      </w:r>
      <w:r>
        <w:rPr>
          <w:w w:val="105"/>
          <w:sz w:val="21"/>
        </w:rPr>
        <w:t>with </w:t>
      </w:r>
      <w:r>
        <w:rPr>
          <w:spacing w:val="-3"/>
          <w:w w:val="105"/>
          <w:sz w:val="21"/>
        </w:rPr>
        <w:t>adjoining </w:t>
      </w:r>
      <w:r>
        <w:rPr>
          <w:w w:val="105"/>
          <w:sz w:val="21"/>
        </w:rPr>
        <w:t>lots of</w:t>
      </w:r>
      <w:r>
        <w:rPr>
          <w:spacing w:val="2"/>
          <w:w w:val="105"/>
          <w:sz w:val="21"/>
        </w:rPr>
        <w:t> </w:t>
      </w:r>
      <w:r>
        <w:rPr>
          <w:spacing w:val="-3"/>
          <w:w w:val="105"/>
          <w:sz w:val="21"/>
        </w:rPr>
        <w:t>land.</w:t>
      </w:r>
      <w:r>
        <w:rPr>
          <w:spacing w:val="-3"/>
          <w:w w:val="105"/>
          <w:position w:val="7"/>
          <w:sz w:val="12"/>
        </w:rPr>
        <w:t>355</w:t>
      </w:r>
    </w:p>
    <w:p>
      <w:pPr>
        <w:pStyle w:val="ListParagraph"/>
        <w:numPr>
          <w:ilvl w:val="0"/>
          <w:numId w:val="64"/>
        </w:numPr>
        <w:tabs>
          <w:tab w:pos="2380" w:val="left" w:leader="none"/>
          <w:tab w:pos="2381" w:val="left" w:leader="none"/>
        </w:tabs>
        <w:spacing w:line="242" w:lineRule="auto" w:before="126" w:after="0"/>
        <w:ind w:left="2381" w:right="1630" w:hanging="794"/>
        <w:jc w:val="left"/>
        <w:rPr>
          <w:sz w:val="12"/>
        </w:rPr>
      </w:pPr>
      <w:r>
        <w:rPr>
          <w:spacing w:val="-3"/>
          <w:w w:val="105"/>
          <w:sz w:val="21"/>
        </w:rPr>
        <w:t>Nillumbik Shire </w:t>
      </w:r>
      <w:r>
        <w:rPr>
          <w:spacing w:val="-4"/>
          <w:w w:val="105"/>
          <w:sz w:val="21"/>
        </w:rPr>
        <w:t>Council </w:t>
      </w:r>
      <w:r>
        <w:rPr>
          <w:w w:val="105"/>
          <w:sz w:val="21"/>
        </w:rPr>
        <w:t>explained </w:t>
      </w:r>
      <w:r>
        <w:rPr>
          <w:spacing w:val="-3"/>
          <w:w w:val="105"/>
          <w:sz w:val="21"/>
        </w:rPr>
        <w:t>that </w:t>
      </w:r>
      <w:r>
        <w:rPr>
          <w:w w:val="105"/>
          <w:sz w:val="21"/>
        </w:rPr>
        <w:t>leaf litter </w:t>
      </w:r>
      <w:r>
        <w:rPr>
          <w:spacing w:val="-3"/>
          <w:w w:val="105"/>
          <w:sz w:val="21"/>
        </w:rPr>
        <w:t>(including </w:t>
      </w:r>
      <w:r>
        <w:rPr>
          <w:w w:val="105"/>
          <w:sz w:val="21"/>
        </w:rPr>
        <w:t>in a </w:t>
      </w:r>
      <w:r>
        <w:rPr>
          <w:spacing w:val="-3"/>
          <w:w w:val="105"/>
          <w:sz w:val="21"/>
        </w:rPr>
        <w:t>swimming </w:t>
      </w:r>
      <w:r>
        <w:rPr>
          <w:w w:val="105"/>
          <w:sz w:val="21"/>
        </w:rPr>
        <w:t>pool) and other </w:t>
      </w:r>
      <w:r>
        <w:rPr>
          <w:spacing w:val="-2"/>
          <w:w w:val="105"/>
          <w:sz w:val="21"/>
        </w:rPr>
        <w:t>normal</w:t>
      </w:r>
      <w:r>
        <w:rPr>
          <w:spacing w:val="-8"/>
          <w:w w:val="105"/>
          <w:sz w:val="21"/>
        </w:rPr>
        <w:t> </w:t>
      </w:r>
      <w:r>
        <w:rPr>
          <w:spacing w:val="-3"/>
          <w:w w:val="105"/>
          <w:sz w:val="21"/>
        </w:rPr>
        <w:t>maintenance</w:t>
      </w:r>
      <w:r>
        <w:rPr>
          <w:spacing w:val="-8"/>
          <w:w w:val="105"/>
          <w:sz w:val="21"/>
        </w:rPr>
        <w:t> </w:t>
      </w:r>
      <w:r>
        <w:rPr>
          <w:w w:val="105"/>
          <w:sz w:val="21"/>
        </w:rPr>
        <w:t>issues</w:t>
      </w:r>
      <w:r>
        <w:rPr>
          <w:spacing w:val="-8"/>
          <w:w w:val="105"/>
          <w:sz w:val="21"/>
        </w:rPr>
        <w:t> </w:t>
      </w:r>
      <w:r>
        <w:rPr>
          <w:w w:val="105"/>
          <w:sz w:val="21"/>
        </w:rPr>
        <w:t>associated</w:t>
      </w:r>
      <w:r>
        <w:rPr>
          <w:spacing w:val="-7"/>
          <w:w w:val="105"/>
          <w:sz w:val="21"/>
        </w:rPr>
        <w:t> </w:t>
      </w:r>
      <w:r>
        <w:rPr>
          <w:w w:val="105"/>
          <w:sz w:val="21"/>
        </w:rPr>
        <w:t>with</w:t>
      </w:r>
      <w:r>
        <w:rPr>
          <w:spacing w:val="-8"/>
          <w:w w:val="105"/>
          <w:sz w:val="21"/>
        </w:rPr>
        <w:t> </w:t>
      </w:r>
      <w:r>
        <w:rPr>
          <w:spacing w:val="-3"/>
          <w:w w:val="105"/>
          <w:sz w:val="21"/>
        </w:rPr>
        <w:t>living</w:t>
      </w:r>
      <w:r>
        <w:rPr>
          <w:spacing w:val="-8"/>
          <w:w w:val="105"/>
          <w:sz w:val="21"/>
        </w:rPr>
        <w:t> </w:t>
      </w:r>
      <w:r>
        <w:rPr>
          <w:w w:val="105"/>
          <w:sz w:val="21"/>
        </w:rPr>
        <w:t>in</w:t>
      </w:r>
      <w:r>
        <w:rPr>
          <w:spacing w:val="-8"/>
          <w:w w:val="105"/>
          <w:sz w:val="21"/>
        </w:rPr>
        <w:t> </w:t>
      </w:r>
      <w:r>
        <w:rPr>
          <w:w w:val="105"/>
          <w:sz w:val="21"/>
        </w:rPr>
        <w:t>a</w:t>
      </w:r>
      <w:r>
        <w:rPr>
          <w:spacing w:val="-7"/>
          <w:w w:val="105"/>
          <w:sz w:val="21"/>
        </w:rPr>
        <w:t> </w:t>
      </w:r>
      <w:r>
        <w:rPr>
          <w:w w:val="105"/>
          <w:sz w:val="21"/>
        </w:rPr>
        <w:t>leafy</w:t>
      </w:r>
      <w:r>
        <w:rPr>
          <w:spacing w:val="-8"/>
          <w:w w:val="105"/>
          <w:sz w:val="21"/>
        </w:rPr>
        <w:t> </w:t>
      </w:r>
      <w:r>
        <w:rPr>
          <w:w w:val="105"/>
          <w:sz w:val="21"/>
        </w:rPr>
        <w:t>neighbourhood</w:t>
      </w:r>
      <w:r>
        <w:rPr>
          <w:spacing w:val="-8"/>
          <w:w w:val="105"/>
          <w:sz w:val="21"/>
        </w:rPr>
        <w:t> </w:t>
      </w:r>
      <w:r>
        <w:rPr>
          <w:spacing w:val="-3"/>
          <w:w w:val="105"/>
          <w:sz w:val="21"/>
        </w:rPr>
        <w:t>have</w:t>
      </w:r>
      <w:r>
        <w:rPr>
          <w:spacing w:val="-7"/>
          <w:w w:val="105"/>
          <w:sz w:val="21"/>
        </w:rPr>
        <w:t> </w:t>
      </w:r>
      <w:r>
        <w:rPr>
          <w:spacing w:val="-2"/>
          <w:w w:val="105"/>
          <w:sz w:val="21"/>
        </w:rPr>
        <w:t>not</w:t>
      </w:r>
      <w:r>
        <w:rPr>
          <w:spacing w:val="-8"/>
          <w:w w:val="105"/>
          <w:sz w:val="21"/>
        </w:rPr>
        <w:t> </w:t>
      </w:r>
      <w:r>
        <w:rPr>
          <w:w w:val="105"/>
          <w:sz w:val="21"/>
        </w:rPr>
        <w:t>been sufficient </w:t>
      </w:r>
      <w:r>
        <w:rPr>
          <w:spacing w:val="-3"/>
          <w:w w:val="105"/>
          <w:sz w:val="21"/>
        </w:rPr>
        <w:t>to </w:t>
      </w:r>
      <w:r>
        <w:rPr>
          <w:w w:val="105"/>
          <w:sz w:val="21"/>
        </w:rPr>
        <w:t>justify the </w:t>
      </w:r>
      <w:r>
        <w:rPr>
          <w:spacing w:val="-3"/>
          <w:w w:val="105"/>
          <w:sz w:val="21"/>
        </w:rPr>
        <w:t>removal </w:t>
      </w:r>
      <w:r>
        <w:rPr>
          <w:w w:val="105"/>
          <w:sz w:val="21"/>
        </w:rPr>
        <w:t>of a tree protected under the </w:t>
      </w:r>
      <w:r>
        <w:rPr>
          <w:spacing w:val="-3"/>
          <w:w w:val="105"/>
          <w:sz w:val="21"/>
        </w:rPr>
        <w:t>Nillumbik Planning </w:t>
      </w:r>
      <w:r>
        <w:rPr>
          <w:w w:val="105"/>
          <w:sz w:val="21"/>
        </w:rPr>
        <w:t>Scheme and </w:t>
      </w:r>
      <w:r>
        <w:rPr>
          <w:spacing w:val="-3"/>
          <w:w w:val="105"/>
          <w:sz w:val="21"/>
        </w:rPr>
        <w:t>‘should </w:t>
      </w:r>
      <w:r>
        <w:rPr>
          <w:spacing w:val="-2"/>
          <w:w w:val="105"/>
          <w:sz w:val="21"/>
        </w:rPr>
        <w:t>not </w:t>
      </w:r>
      <w:r>
        <w:rPr>
          <w:w w:val="105"/>
          <w:sz w:val="21"/>
        </w:rPr>
        <w:t>be actionable under a new</w:t>
      </w:r>
      <w:r>
        <w:rPr>
          <w:spacing w:val="44"/>
          <w:w w:val="105"/>
          <w:sz w:val="21"/>
        </w:rPr>
        <w:t> </w:t>
      </w:r>
      <w:r>
        <w:rPr>
          <w:spacing w:val="-4"/>
          <w:w w:val="105"/>
          <w:sz w:val="21"/>
        </w:rPr>
        <w:t>scheme’.</w:t>
      </w:r>
      <w:r>
        <w:rPr>
          <w:spacing w:val="-4"/>
          <w:w w:val="105"/>
          <w:position w:val="7"/>
          <w:sz w:val="12"/>
        </w:rPr>
        <w:t>356</w:t>
      </w:r>
    </w:p>
    <w:p>
      <w:pPr>
        <w:pStyle w:val="ListParagraph"/>
        <w:numPr>
          <w:ilvl w:val="0"/>
          <w:numId w:val="64"/>
        </w:numPr>
        <w:tabs>
          <w:tab w:pos="2380" w:val="left" w:leader="none"/>
          <w:tab w:pos="2381" w:val="left" w:leader="none"/>
        </w:tabs>
        <w:spacing w:line="240" w:lineRule="auto" w:before="124" w:after="0"/>
        <w:ind w:left="2380" w:right="0" w:hanging="793"/>
        <w:jc w:val="left"/>
        <w:rPr>
          <w:sz w:val="21"/>
        </w:rPr>
      </w:pPr>
      <w:r>
        <w:rPr>
          <w:spacing w:val="-2"/>
          <w:w w:val="105"/>
          <w:sz w:val="21"/>
        </w:rPr>
        <w:t>The</w:t>
      </w:r>
      <w:r>
        <w:rPr>
          <w:spacing w:val="1"/>
          <w:w w:val="105"/>
          <w:sz w:val="21"/>
        </w:rPr>
        <w:t> </w:t>
      </w:r>
      <w:r>
        <w:rPr>
          <w:spacing w:val="-4"/>
          <w:w w:val="105"/>
          <w:sz w:val="21"/>
        </w:rPr>
        <w:t>City</w:t>
      </w:r>
      <w:r>
        <w:rPr>
          <w:spacing w:val="1"/>
          <w:w w:val="105"/>
          <w:sz w:val="21"/>
        </w:rPr>
        <w:t> </w:t>
      </w:r>
      <w:r>
        <w:rPr>
          <w:spacing w:val="-3"/>
          <w:w w:val="105"/>
          <w:sz w:val="21"/>
        </w:rPr>
        <w:t>of</w:t>
      </w:r>
      <w:r>
        <w:rPr>
          <w:spacing w:val="1"/>
          <w:w w:val="105"/>
          <w:sz w:val="21"/>
        </w:rPr>
        <w:t> </w:t>
      </w:r>
      <w:r>
        <w:rPr>
          <w:spacing w:val="-5"/>
          <w:w w:val="105"/>
          <w:sz w:val="21"/>
        </w:rPr>
        <w:t>Greater</w:t>
      </w:r>
      <w:r>
        <w:rPr>
          <w:spacing w:val="1"/>
          <w:w w:val="105"/>
          <w:sz w:val="21"/>
        </w:rPr>
        <w:t> </w:t>
      </w:r>
      <w:r>
        <w:rPr>
          <w:spacing w:val="-4"/>
          <w:w w:val="105"/>
          <w:sz w:val="21"/>
        </w:rPr>
        <w:t>Bendigo</w:t>
      </w:r>
      <w:r>
        <w:rPr>
          <w:spacing w:val="1"/>
          <w:w w:val="105"/>
          <w:sz w:val="21"/>
        </w:rPr>
        <w:t> </w:t>
      </w:r>
      <w:r>
        <w:rPr>
          <w:spacing w:val="-3"/>
          <w:w w:val="105"/>
          <w:sz w:val="21"/>
        </w:rPr>
        <w:t>adopts</w:t>
      </w:r>
      <w:r>
        <w:rPr>
          <w:spacing w:val="1"/>
          <w:w w:val="105"/>
          <w:sz w:val="21"/>
        </w:rPr>
        <w:t> </w:t>
      </w:r>
      <w:r>
        <w:rPr>
          <w:spacing w:val="-3"/>
          <w:w w:val="105"/>
          <w:sz w:val="21"/>
        </w:rPr>
        <w:t>the</w:t>
      </w:r>
      <w:r>
        <w:rPr>
          <w:spacing w:val="1"/>
          <w:w w:val="105"/>
          <w:sz w:val="21"/>
        </w:rPr>
        <w:t> </w:t>
      </w:r>
      <w:r>
        <w:rPr>
          <w:spacing w:val="-5"/>
          <w:w w:val="105"/>
          <w:sz w:val="21"/>
        </w:rPr>
        <w:t>following</w:t>
      </w:r>
      <w:r>
        <w:rPr>
          <w:spacing w:val="1"/>
          <w:w w:val="105"/>
          <w:sz w:val="21"/>
        </w:rPr>
        <w:t> </w:t>
      </w:r>
      <w:r>
        <w:rPr>
          <w:spacing w:val="-3"/>
          <w:w w:val="105"/>
          <w:sz w:val="21"/>
        </w:rPr>
        <w:t>policy</w:t>
      </w:r>
      <w:r>
        <w:rPr>
          <w:spacing w:val="2"/>
          <w:w w:val="105"/>
          <w:sz w:val="21"/>
        </w:rPr>
        <w:t> </w:t>
      </w:r>
      <w:r>
        <w:rPr>
          <w:spacing w:val="-4"/>
          <w:w w:val="105"/>
          <w:sz w:val="21"/>
        </w:rPr>
        <w:t>for</w:t>
      </w:r>
      <w:r>
        <w:rPr>
          <w:spacing w:val="1"/>
          <w:w w:val="105"/>
          <w:sz w:val="21"/>
        </w:rPr>
        <w:t> </w:t>
      </w:r>
      <w:r>
        <w:rPr>
          <w:spacing w:val="-4"/>
          <w:w w:val="105"/>
          <w:sz w:val="21"/>
        </w:rPr>
        <w:t>tree</w:t>
      </w:r>
      <w:r>
        <w:rPr>
          <w:spacing w:val="1"/>
          <w:w w:val="105"/>
          <w:sz w:val="21"/>
        </w:rPr>
        <w:t> </w:t>
      </w:r>
      <w:r>
        <w:rPr>
          <w:spacing w:val="-5"/>
          <w:w w:val="105"/>
          <w:sz w:val="21"/>
        </w:rPr>
        <w:t>management</w:t>
      </w:r>
      <w:r>
        <w:rPr>
          <w:spacing w:val="1"/>
          <w:w w:val="105"/>
          <w:sz w:val="21"/>
        </w:rPr>
        <w:t> </w:t>
      </w:r>
      <w:r>
        <w:rPr>
          <w:spacing w:val="-3"/>
          <w:w w:val="105"/>
          <w:sz w:val="21"/>
        </w:rPr>
        <w:t>in</w:t>
      </w:r>
      <w:r>
        <w:rPr>
          <w:spacing w:val="1"/>
          <w:w w:val="105"/>
          <w:sz w:val="21"/>
        </w:rPr>
        <w:t> </w:t>
      </w:r>
      <w:r>
        <w:rPr>
          <w:spacing w:val="-3"/>
          <w:w w:val="105"/>
          <w:sz w:val="21"/>
        </w:rPr>
        <w:t>the</w:t>
      </w:r>
      <w:r>
        <w:rPr>
          <w:spacing w:val="1"/>
          <w:w w:val="105"/>
          <w:sz w:val="21"/>
        </w:rPr>
        <w:t> </w:t>
      </w:r>
      <w:r>
        <w:rPr>
          <w:spacing w:val="-4"/>
          <w:w w:val="105"/>
          <w:sz w:val="21"/>
        </w:rPr>
        <w:t>region:</w:t>
      </w:r>
    </w:p>
    <w:p>
      <w:pPr>
        <w:spacing w:line="254" w:lineRule="auto" w:before="133"/>
        <w:ind w:left="2834" w:right="2154" w:firstLine="0"/>
        <w:jc w:val="left"/>
        <w:rPr>
          <w:sz w:val="20"/>
        </w:rPr>
      </w:pPr>
      <w:r>
        <w:rPr>
          <w:spacing w:val="2"/>
          <w:sz w:val="20"/>
        </w:rPr>
        <w:t>As </w:t>
      </w:r>
      <w:r>
        <w:rPr>
          <w:sz w:val="20"/>
        </w:rPr>
        <w:t>trees are living </w:t>
      </w:r>
      <w:r>
        <w:rPr>
          <w:spacing w:val="-3"/>
          <w:sz w:val="20"/>
        </w:rPr>
        <w:t>organisms </w:t>
      </w:r>
      <w:r>
        <w:rPr>
          <w:sz w:val="20"/>
        </w:rPr>
        <w:t>there will be some degree of leaf and other plant litter  as</w:t>
      </w:r>
      <w:r>
        <w:rPr>
          <w:spacing w:val="11"/>
          <w:sz w:val="20"/>
        </w:rPr>
        <w:t> </w:t>
      </w:r>
      <w:r>
        <w:rPr>
          <w:sz w:val="20"/>
        </w:rPr>
        <w:t>these</w:t>
      </w:r>
      <w:r>
        <w:rPr>
          <w:spacing w:val="12"/>
          <w:sz w:val="20"/>
        </w:rPr>
        <w:t> </w:t>
      </w:r>
      <w:r>
        <w:rPr>
          <w:sz w:val="20"/>
        </w:rPr>
        <w:t>are</w:t>
      </w:r>
      <w:r>
        <w:rPr>
          <w:spacing w:val="12"/>
          <w:sz w:val="20"/>
        </w:rPr>
        <w:t> </w:t>
      </w:r>
      <w:r>
        <w:rPr>
          <w:sz w:val="20"/>
        </w:rPr>
        <w:t>shed</w:t>
      </w:r>
      <w:r>
        <w:rPr>
          <w:spacing w:val="12"/>
          <w:sz w:val="20"/>
        </w:rPr>
        <w:t> </w:t>
      </w:r>
      <w:r>
        <w:rPr>
          <w:sz w:val="20"/>
        </w:rPr>
        <w:t>as</w:t>
      </w:r>
      <w:r>
        <w:rPr>
          <w:spacing w:val="12"/>
          <w:sz w:val="20"/>
        </w:rPr>
        <w:t> </w:t>
      </w:r>
      <w:r>
        <w:rPr>
          <w:sz w:val="20"/>
        </w:rPr>
        <w:t>part</w:t>
      </w:r>
      <w:r>
        <w:rPr>
          <w:spacing w:val="12"/>
          <w:sz w:val="20"/>
        </w:rPr>
        <w:t> </w:t>
      </w:r>
      <w:r>
        <w:rPr>
          <w:sz w:val="20"/>
        </w:rPr>
        <w:t>of</w:t>
      </w:r>
      <w:r>
        <w:rPr>
          <w:spacing w:val="12"/>
          <w:sz w:val="20"/>
        </w:rPr>
        <w:t> </w:t>
      </w:r>
      <w:r>
        <w:rPr>
          <w:sz w:val="20"/>
        </w:rPr>
        <w:t>their</w:t>
      </w:r>
      <w:r>
        <w:rPr>
          <w:spacing w:val="12"/>
          <w:sz w:val="20"/>
        </w:rPr>
        <w:t> </w:t>
      </w:r>
      <w:r>
        <w:rPr>
          <w:spacing w:val="-3"/>
          <w:sz w:val="20"/>
        </w:rPr>
        <w:t>natural</w:t>
      </w:r>
      <w:r>
        <w:rPr>
          <w:spacing w:val="11"/>
          <w:sz w:val="20"/>
        </w:rPr>
        <w:t> </w:t>
      </w:r>
      <w:r>
        <w:rPr>
          <w:spacing w:val="-3"/>
          <w:sz w:val="20"/>
        </w:rPr>
        <w:t>life</w:t>
      </w:r>
      <w:r>
        <w:rPr>
          <w:spacing w:val="12"/>
          <w:sz w:val="20"/>
        </w:rPr>
        <w:t> </w:t>
      </w:r>
      <w:r>
        <w:rPr>
          <w:sz w:val="20"/>
        </w:rPr>
        <w:t>cycle.</w:t>
      </w:r>
      <w:r>
        <w:rPr>
          <w:spacing w:val="12"/>
          <w:sz w:val="20"/>
        </w:rPr>
        <w:t> </w:t>
      </w:r>
      <w:r>
        <w:rPr>
          <w:sz w:val="20"/>
        </w:rPr>
        <w:t>It</w:t>
      </w:r>
      <w:r>
        <w:rPr>
          <w:spacing w:val="12"/>
          <w:sz w:val="20"/>
        </w:rPr>
        <w:t> </w:t>
      </w:r>
      <w:r>
        <w:rPr>
          <w:sz w:val="20"/>
        </w:rPr>
        <w:t>is</w:t>
      </w:r>
      <w:r>
        <w:rPr>
          <w:spacing w:val="12"/>
          <w:sz w:val="20"/>
        </w:rPr>
        <w:t> </w:t>
      </w:r>
      <w:r>
        <w:rPr>
          <w:sz w:val="20"/>
        </w:rPr>
        <w:t>not</w:t>
      </w:r>
      <w:r>
        <w:rPr>
          <w:spacing w:val="12"/>
          <w:sz w:val="20"/>
        </w:rPr>
        <w:t> </w:t>
      </w:r>
      <w:r>
        <w:rPr>
          <w:sz w:val="20"/>
        </w:rPr>
        <w:t>unreasonable</w:t>
      </w:r>
      <w:r>
        <w:rPr>
          <w:spacing w:val="12"/>
          <w:sz w:val="20"/>
        </w:rPr>
        <w:t> </w:t>
      </w:r>
      <w:r>
        <w:rPr>
          <w:sz w:val="20"/>
        </w:rPr>
        <w:t>to</w:t>
      </w:r>
      <w:r>
        <w:rPr>
          <w:spacing w:val="12"/>
          <w:sz w:val="20"/>
        </w:rPr>
        <w:t> </w:t>
      </w:r>
      <w:r>
        <w:rPr>
          <w:sz w:val="20"/>
        </w:rPr>
        <w:t>expect</w:t>
      </w:r>
    </w:p>
    <w:p>
      <w:pPr>
        <w:spacing w:line="254" w:lineRule="auto" w:before="2"/>
        <w:ind w:left="2834" w:right="1636" w:firstLine="0"/>
        <w:jc w:val="left"/>
        <w:rPr>
          <w:sz w:val="11"/>
        </w:rPr>
      </w:pPr>
      <w:r>
        <w:rPr>
          <w:w w:val="105"/>
          <w:sz w:val="20"/>
        </w:rPr>
        <w:t>residents</w:t>
      </w:r>
      <w:r>
        <w:rPr>
          <w:spacing w:val="-10"/>
          <w:w w:val="105"/>
          <w:sz w:val="20"/>
        </w:rPr>
        <w:t> </w:t>
      </w:r>
      <w:r>
        <w:rPr>
          <w:w w:val="105"/>
          <w:sz w:val="20"/>
        </w:rPr>
        <w:t>to</w:t>
      </w:r>
      <w:r>
        <w:rPr>
          <w:spacing w:val="-10"/>
          <w:w w:val="105"/>
          <w:sz w:val="20"/>
        </w:rPr>
        <w:t> </w:t>
      </w:r>
      <w:r>
        <w:rPr>
          <w:w w:val="105"/>
          <w:sz w:val="20"/>
        </w:rPr>
        <w:t>undertake</w:t>
      </w:r>
      <w:r>
        <w:rPr>
          <w:spacing w:val="-10"/>
          <w:w w:val="105"/>
          <w:sz w:val="20"/>
        </w:rPr>
        <w:t> </w:t>
      </w:r>
      <w:r>
        <w:rPr>
          <w:w w:val="105"/>
          <w:sz w:val="20"/>
        </w:rPr>
        <w:t>home</w:t>
      </w:r>
      <w:r>
        <w:rPr>
          <w:spacing w:val="-10"/>
          <w:w w:val="105"/>
          <w:sz w:val="20"/>
        </w:rPr>
        <w:t> </w:t>
      </w:r>
      <w:r>
        <w:rPr>
          <w:spacing w:val="-3"/>
          <w:w w:val="105"/>
          <w:sz w:val="20"/>
        </w:rPr>
        <w:t>maintenance</w:t>
      </w:r>
      <w:r>
        <w:rPr>
          <w:spacing w:val="-10"/>
          <w:w w:val="105"/>
          <w:sz w:val="20"/>
        </w:rPr>
        <w:t> </w:t>
      </w:r>
      <w:r>
        <w:rPr>
          <w:w w:val="105"/>
          <w:sz w:val="20"/>
        </w:rPr>
        <w:t>activities</w:t>
      </w:r>
      <w:r>
        <w:rPr>
          <w:spacing w:val="-10"/>
          <w:w w:val="105"/>
          <w:sz w:val="20"/>
        </w:rPr>
        <w:t> </w:t>
      </w:r>
      <w:r>
        <w:rPr>
          <w:w w:val="105"/>
          <w:sz w:val="20"/>
        </w:rPr>
        <w:t>as</w:t>
      </w:r>
      <w:r>
        <w:rPr>
          <w:spacing w:val="-9"/>
          <w:w w:val="105"/>
          <w:sz w:val="20"/>
        </w:rPr>
        <w:t> </w:t>
      </w:r>
      <w:r>
        <w:rPr>
          <w:w w:val="105"/>
          <w:sz w:val="20"/>
        </w:rPr>
        <w:t>part</w:t>
      </w:r>
      <w:r>
        <w:rPr>
          <w:spacing w:val="-10"/>
          <w:w w:val="105"/>
          <w:sz w:val="20"/>
        </w:rPr>
        <w:t> </w:t>
      </w:r>
      <w:r>
        <w:rPr>
          <w:w w:val="105"/>
          <w:sz w:val="20"/>
        </w:rPr>
        <w:t>of</w:t>
      </w:r>
      <w:r>
        <w:rPr>
          <w:spacing w:val="-10"/>
          <w:w w:val="105"/>
          <w:sz w:val="20"/>
        </w:rPr>
        <w:t> </w:t>
      </w:r>
      <w:r>
        <w:rPr>
          <w:w w:val="105"/>
          <w:sz w:val="20"/>
        </w:rPr>
        <w:t>having</w:t>
      </w:r>
      <w:r>
        <w:rPr>
          <w:spacing w:val="-10"/>
          <w:w w:val="105"/>
          <w:sz w:val="20"/>
        </w:rPr>
        <w:t> </w:t>
      </w:r>
      <w:r>
        <w:rPr>
          <w:w w:val="105"/>
          <w:sz w:val="20"/>
        </w:rPr>
        <w:t>trees</w:t>
      </w:r>
      <w:r>
        <w:rPr>
          <w:spacing w:val="-10"/>
          <w:w w:val="105"/>
          <w:sz w:val="20"/>
        </w:rPr>
        <w:t> </w:t>
      </w:r>
      <w:r>
        <w:rPr>
          <w:w w:val="105"/>
          <w:sz w:val="20"/>
        </w:rPr>
        <w:t>in</w:t>
      </w:r>
      <w:r>
        <w:rPr>
          <w:spacing w:val="-10"/>
          <w:w w:val="105"/>
          <w:sz w:val="20"/>
        </w:rPr>
        <w:t> </w:t>
      </w:r>
      <w:r>
        <w:rPr>
          <w:w w:val="105"/>
          <w:sz w:val="20"/>
        </w:rPr>
        <w:t>the</w:t>
      </w:r>
      <w:r>
        <w:rPr>
          <w:spacing w:val="-10"/>
          <w:w w:val="105"/>
          <w:sz w:val="20"/>
        </w:rPr>
        <w:t> </w:t>
      </w:r>
      <w:r>
        <w:rPr>
          <w:w w:val="105"/>
          <w:sz w:val="20"/>
        </w:rPr>
        <w:t>urban environment.</w:t>
      </w:r>
      <w:r>
        <w:rPr>
          <w:w w:val="105"/>
          <w:position w:val="7"/>
          <w:sz w:val="11"/>
        </w:rPr>
        <w:t>357</w:t>
      </w:r>
    </w:p>
    <w:p>
      <w:pPr>
        <w:pStyle w:val="BodyText"/>
        <w:spacing w:before="6"/>
        <w:rPr>
          <w:sz w:val="19"/>
        </w:rPr>
      </w:pPr>
    </w:p>
    <w:p>
      <w:pPr>
        <w:pStyle w:val="Heading5"/>
      </w:pPr>
      <w:r>
        <w:rPr>
          <w:w w:val="115"/>
        </w:rPr>
        <w:t>The Commission’s conclusions—problems within scope—damage and harm</w:t>
      </w:r>
    </w:p>
    <w:p>
      <w:pPr>
        <w:pStyle w:val="ListParagraph"/>
        <w:numPr>
          <w:ilvl w:val="0"/>
          <w:numId w:val="64"/>
        </w:numPr>
        <w:tabs>
          <w:tab w:pos="2380" w:val="left" w:leader="none"/>
          <w:tab w:pos="2381" w:val="left" w:leader="none"/>
        </w:tabs>
        <w:spacing w:line="242" w:lineRule="auto" w:before="138" w:after="0"/>
        <w:ind w:left="2381" w:right="1509" w:hanging="794"/>
        <w:jc w:val="left"/>
        <w:rPr>
          <w:sz w:val="21"/>
        </w:rPr>
      </w:pPr>
      <w:r>
        <w:rPr>
          <w:w w:val="105"/>
          <w:sz w:val="21"/>
        </w:rPr>
        <w:t>In </w:t>
      </w:r>
      <w:r>
        <w:rPr>
          <w:spacing w:val="-4"/>
          <w:w w:val="105"/>
          <w:sz w:val="21"/>
        </w:rPr>
        <w:t>Chapter </w:t>
      </w:r>
      <w:r>
        <w:rPr>
          <w:w w:val="105"/>
          <w:sz w:val="21"/>
        </w:rPr>
        <w:t>4 it was identified </w:t>
      </w:r>
      <w:r>
        <w:rPr>
          <w:spacing w:val="-3"/>
          <w:w w:val="105"/>
          <w:sz w:val="21"/>
        </w:rPr>
        <w:t>that </w:t>
      </w:r>
      <w:r>
        <w:rPr>
          <w:w w:val="105"/>
          <w:sz w:val="21"/>
        </w:rPr>
        <w:t>the primary </w:t>
      </w:r>
      <w:r>
        <w:rPr>
          <w:spacing w:val="-3"/>
          <w:w w:val="105"/>
          <w:sz w:val="21"/>
        </w:rPr>
        <w:t>consideration </w:t>
      </w:r>
      <w:r>
        <w:rPr>
          <w:w w:val="105"/>
          <w:sz w:val="21"/>
        </w:rPr>
        <w:t>of the new Act should be the </w:t>
      </w:r>
      <w:r>
        <w:rPr>
          <w:spacing w:val="-3"/>
          <w:w w:val="105"/>
          <w:sz w:val="21"/>
        </w:rPr>
        <w:t>prevention</w:t>
      </w:r>
      <w:r>
        <w:rPr>
          <w:spacing w:val="-5"/>
          <w:w w:val="105"/>
          <w:sz w:val="21"/>
        </w:rPr>
        <w:t> </w:t>
      </w:r>
      <w:r>
        <w:rPr>
          <w:w w:val="105"/>
          <w:sz w:val="21"/>
        </w:rPr>
        <w:t>of</w:t>
      </w:r>
      <w:r>
        <w:rPr>
          <w:spacing w:val="-5"/>
          <w:w w:val="105"/>
          <w:sz w:val="21"/>
        </w:rPr>
        <w:t> </w:t>
      </w:r>
      <w:r>
        <w:rPr>
          <w:w w:val="105"/>
          <w:sz w:val="21"/>
        </w:rPr>
        <w:t>damage</w:t>
      </w:r>
      <w:r>
        <w:rPr>
          <w:spacing w:val="-5"/>
          <w:w w:val="105"/>
          <w:sz w:val="21"/>
        </w:rPr>
        <w:t> </w:t>
      </w:r>
      <w:r>
        <w:rPr>
          <w:w w:val="105"/>
          <w:sz w:val="21"/>
        </w:rPr>
        <w:t>and</w:t>
      </w:r>
      <w:r>
        <w:rPr>
          <w:spacing w:val="-5"/>
          <w:w w:val="105"/>
          <w:sz w:val="21"/>
        </w:rPr>
        <w:t> </w:t>
      </w:r>
      <w:r>
        <w:rPr>
          <w:spacing w:val="-3"/>
          <w:w w:val="105"/>
          <w:sz w:val="21"/>
        </w:rPr>
        <w:t>harm</w:t>
      </w:r>
      <w:r>
        <w:rPr>
          <w:spacing w:val="-5"/>
          <w:w w:val="105"/>
          <w:sz w:val="21"/>
        </w:rPr>
        <w:t> </w:t>
      </w:r>
      <w:r>
        <w:rPr>
          <w:w w:val="105"/>
          <w:sz w:val="21"/>
        </w:rPr>
        <w:t>caused</w:t>
      </w:r>
      <w:r>
        <w:rPr>
          <w:spacing w:val="-5"/>
          <w:w w:val="105"/>
          <w:sz w:val="21"/>
        </w:rPr>
        <w:t> </w:t>
      </w:r>
      <w:r>
        <w:rPr>
          <w:w w:val="105"/>
          <w:sz w:val="21"/>
        </w:rPr>
        <w:t>by</w:t>
      </w:r>
      <w:r>
        <w:rPr>
          <w:spacing w:val="-5"/>
          <w:w w:val="105"/>
          <w:sz w:val="21"/>
        </w:rPr>
        <w:t> </w:t>
      </w:r>
      <w:r>
        <w:rPr>
          <w:spacing w:val="-3"/>
          <w:w w:val="105"/>
          <w:sz w:val="21"/>
        </w:rPr>
        <w:t>neighbouring</w:t>
      </w:r>
      <w:r>
        <w:rPr>
          <w:spacing w:val="-5"/>
          <w:w w:val="105"/>
          <w:sz w:val="21"/>
        </w:rPr>
        <w:t> </w:t>
      </w:r>
      <w:r>
        <w:rPr>
          <w:w w:val="105"/>
          <w:sz w:val="21"/>
        </w:rPr>
        <w:t>trees.</w:t>
      </w:r>
      <w:r>
        <w:rPr>
          <w:spacing w:val="-4"/>
          <w:w w:val="105"/>
          <w:sz w:val="21"/>
        </w:rPr>
        <w:t> </w:t>
      </w:r>
      <w:r>
        <w:rPr>
          <w:w w:val="105"/>
          <w:sz w:val="21"/>
        </w:rPr>
        <w:t>People</w:t>
      </w:r>
      <w:r>
        <w:rPr>
          <w:spacing w:val="-5"/>
          <w:w w:val="105"/>
          <w:sz w:val="21"/>
        </w:rPr>
        <w:t> </w:t>
      </w:r>
      <w:r>
        <w:rPr>
          <w:w w:val="105"/>
          <w:sz w:val="21"/>
        </w:rPr>
        <w:t>often</w:t>
      </w:r>
      <w:r>
        <w:rPr>
          <w:spacing w:val="-5"/>
          <w:w w:val="105"/>
          <w:sz w:val="21"/>
        </w:rPr>
        <w:t> </w:t>
      </w:r>
      <w:r>
        <w:rPr>
          <w:spacing w:val="-3"/>
          <w:w w:val="105"/>
          <w:sz w:val="21"/>
        </w:rPr>
        <w:t>have</w:t>
      </w:r>
      <w:r>
        <w:rPr>
          <w:spacing w:val="-5"/>
          <w:w w:val="105"/>
          <w:sz w:val="21"/>
        </w:rPr>
        <w:t> </w:t>
      </w:r>
      <w:r>
        <w:rPr>
          <w:spacing w:val="-3"/>
          <w:w w:val="105"/>
          <w:sz w:val="21"/>
        </w:rPr>
        <w:t>different perceptions</w:t>
      </w:r>
      <w:r>
        <w:rPr>
          <w:spacing w:val="-4"/>
          <w:w w:val="105"/>
          <w:sz w:val="21"/>
        </w:rPr>
        <w:t> </w:t>
      </w:r>
      <w:r>
        <w:rPr>
          <w:w w:val="105"/>
          <w:sz w:val="21"/>
        </w:rPr>
        <w:t>about</w:t>
      </w:r>
      <w:r>
        <w:rPr>
          <w:spacing w:val="-4"/>
          <w:w w:val="105"/>
          <w:sz w:val="21"/>
        </w:rPr>
        <w:t> </w:t>
      </w:r>
      <w:r>
        <w:rPr>
          <w:w w:val="105"/>
          <w:sz w:val="21"/>
        </w:rPr>
        <w:t>the</w:t>
      </w:r>
      <w:r>
        <w:rPr>
          <w:spacing w:val="-4"/>
          <w:w w:val="105"/>
          <w:sz w:val="21"/>
        </w:rPr>
        <w:t> </w:t>
      </w:r>
      <w:r>
        <w:rPr>
          <w:w w:val="105"/>
          <w:sz w:val="21"/>
        </w:rPr>
        <w:t>benefits</w:t>
      </w:r>
      <w:r>
        <w:rPr>
          <w:spacing w:val="-4"/>
          <w:w w:val="105"/>
          <w:sz w:val="21"/>
        </w:rPr>
        <w:t> </w:t>
      </w:r>
      <w:r>
        <w:rPr>
          <w:w w:val="105"/>
          <w:sz w:val="21"/>
        </w:rPr>
        <w:t>or</w:t>
      </w:r>
      <w:r>
        <w:rPr>
          <w:spacing w:val="-3"/>
          <w:w w:val="105"/>
          <w:sz w:val="21"/>
        </w:rPr>
        <w:t> </w:t>
      </w:r>
      <w:r>
        <w:rPr>
          <w:w w:val="105"/>
          <w:sz w:val="21"/>
        </w:rPr>
        <w:t>disadvantages</w:t>
      </w:r>
      <w:r>
        <w:rPr>
          <w:spacing w:val="-4"/>
          <w:w w:val="105"/>
          <w:sz w:val="21"/>
        </w:rPr>
        <w:t> </w:t>
      </w:r>
      <w:r>
        <w:rPr>
          <w:w w:val="105"/>
          <w:sz w:val="21"/>
        </w:rPr>
        <w:t>of</w:t>
      </w:r>
      <w:r>
        <w:rPr>
          <w:spacing w:val="-4"/>
          <w:w w:val="105"/>
          <w:sz w:val="21"/>
        </w:rPr>
        <w:t> </w:t>
      </w:r>
      <w:r>
        <w:rPr>
          <w:w w:val="105"/>
          <w:sz w:val="21"/>
        </w:rPr>
        <w:t>trees.</w:t>
      </w:r>
      <w:r>
        <w:rPr>
          <w:spacing w:val="-4"/>
          <w:w w:val="105"/>
          <w:sz w:val="21"/>
        </w:rPr>
        <w:t> </w:t>
      </w:r>
      <w:r>
        <w:rPr>
          <w:w w:val="105"/>
          <w:sz w:val="21"/>
        </w:rPr>
        <w:t>Some</w:t>
      </w:r>
      <w:r>
        <w:rPr>
          <w:spacing w:val="-3"/>
          <w:w w:val="105"/>
          <w:sz w:val="21"/>
        </w:rPr>
        <w:t> </w:t>
      </w:r>
      <w:r>
        <w:rPr>
          <w:w w:val="105"/>
          <w:sz w:val="21"/>
        </w:rPr>
        <w:t>people</w:t>
      </w:r>
      <w:r>
        <w:rPr>
          <w:spacing w:val="-4"/>
          <w:w w:val="105"/>
          <w:sz w:val="21"/>
        </w:rPr>
        <w:t> </w:t>
      </w:r>
      <w:r>
        <w:rPr>
          <w:spacing w:val="-3"/>
          <w:w w:val="105"/>
          <w:sz w:val="21"/>
        </w:rPr>
        <w:t>are</w:t>
      </w:r>
      <w:r>
        <w:rPr>
          <w:spacing w:val="-4"/>
          <w:w w:val="105"/>
          <w:sz w:val="21"/>
        </w:rPr>
        <w:t> </w:t>
      </w:r>
      <w:r>
        <w:rPr>
          <w:spacing w:val="-3"/>
          <w:w w:val="105"/>
          <w:sz w:val="21"/>
        </w:rPr>
        <w:t>annoyed</w:t>
      </w:r>
      <w:r>
        <w:rPr>
          <w:spacing w:val="-4"/>
          <w:w w:val="105"/>
          <w:sz w:val="21"/>
        </w:rPr>
        <w:t> </w:t>
      </w:r>
      <w:r>
        <w:rPr>
          <w:w w:val="105"/>
          <w:sz w:val="21"/>
        </w:rPr>
        <w:t>by</w:t>
      </w:r>
    </w:p>
    <w:p>
      <w:pPr>
        <w:pStyle w:val="BodyText"/>
        <w:spacing w:line="242" w:lineRule="auto" w:before="3"/>
        <w:ind w:left="2380" w:right="1498"/>
      </w:pPr>
      <w:r>
        <w:rPr>
          <w:w w:val="105"/>
        </w:rPr>
        <w:t>a </w:t>
      </w:r>
      <w:r>
        <w:rPr>
          <w:spacing w:val="-3"/>
          <w:w w:val="105"/>
        </w:rPr>
        <w:t>minor amount </w:t>
      </w:r>
      <w:r>
        <w:rPr>
          <w:w w:val="105"/>
        </w:rPr>
        <w:t>of leaf litter whereas others </w:t>
      </w:r>
      <w:r>
        <w:rPr>
          <w:spacing w:val="-3"/>
          <w:w w:val="105"/>
        </w:rPr>
        <w:t>may </w:t>
      </w:r>
      <w:r>
        <w:rPr>
          <w:w w:val="105"/>
        </w:rPr>
        <w:t>choose </w:t>
      </w:r>
      <w:r>
        <w:rPr>
          <w:spacing w:val="-3"/>
          <w:w w:val="105"/>
        </w:rPr>
        <w:t>to </w:t>
      </w:r>
      <w:r>
        <w:rPr>
          <w:w w:val="105"/>
        </w:rPr>
        <w:t>move </w:t>
      </w:r>
      <w:r>
        <w:rPr>
          <w:spacing w:val="-3"/>
          <w:w w:val="105"/>
        </w:rPr>
        <w:t>to </w:t>
      </w:r>
      <w:r>
        <w:rPr>
          <w:w w:val="105"/>
        </w:rPr>
        <w:t>leafy </w:t>
      </w:r>
      <w:r>
        <w:rPr>
          <w:spacing w:val="-3"/>
          <w:w w:val="105"/>
        </w:rPr>
        <w:t>suburbs to </w:t>
      </w:r>
      <w:r>
        <w:rPr>
          <w:w w:val="105"/>
        </w:rPr>
        <w:t>maximise the advantages </w:t>
      </w:r>
      <w:r>
        <w:rPr>
          <w:spacing w:val="-3"/>
          <w:w w:val="105"/>
        </w:rPr>
        <w:t>that </w:t>
      </w:r>
      <w:r>
        <w:rPr>
          <w:w w:val="105"/>
        </w:rPr>
        <w:t>they see </w:t>
      </w:r>
      <w:r>
        <w:rPr>
          <w:spacing w:val="-3"/>
          <w:w w:val="105"/>
        </w:rPr>
        <w:t>flowing from </w:t>
      </w:r>
      <w:r>
        <w:rPr>
          <w:w w:val="105"/>
        </w:rPr>
        <w:t>a green neighbourhood. The new Act needs </w:t>
      </w:r>
      <w:r>
        <w:rPr>
          <w:spacing w:val="-3"/>
          <w:w w:val="105"/>
        </w:rPr>
        <w:t>to strike </w:t>
      </w:r>
      <w:r>
        <w:rPr>
          <w:w w:val="105"/>
        </w:rPr>
        <w:t>a </w:t>
      </w:r>
      <w:r>
        <w:rPr>
          <w:spacing w:val="-3"/>
          <w:w w:val="105"/>
        </w:rPr>
        <w:t>balance </w:t>
      </w:r>
      <w:r>
        <w:rPr>
          <w:w w:val="105"/>
        </w:rPr>
        <w:t>between </w:t>
      </w:r>
      <w:r>
        <w:rPr>
          <w:spacing w:val="-3"/>
          <w:w w:val="105"/>
        </w:rPr>
        <w:t>competing </w:t>
      </w:r>
      <w:r>
        <w:rPr>
          <w:w w:val="105"/>
        </w:rPr>
        <w:t>rights and interests </w:t>
      </w:r>
      <w:r>
        <w:rPr>
          <w:spacing w:val="-3"/>
          <w:w w:val="105"/>
        </w:rPr>
        <w:t>fairly </w:t>
      </w:r>
      <w:r>
        <w:rPr>
          <w:w w:val="105"/>
        </w:rPr>
        <w:t>and </w:t>
      </w:r>
      <w:r>
        <w:rPr>
          <w:spacing w:val="-4"/>
          <w:w w:val="105"/>
        </w:rPr>
        <w:t>transparently. </w:t>
      </w:r>
      <w:r>
        <w:rPr>
          <w:w w:val="105"/>
        </w:rPr>
        <w:t>An underlying policy </w:t>
      </w:r>
      <w:r>
        <w:rPr>
          <w:spacing w:val="-3"/>
          <w:w w:val="105"/>
        </w:rPr>
        <w:t>focus </w:t>
      </w:r>
      <w:r>
        <w:rPr>
          <w:w w:val="105"/>
        </w:rPr>
        <w:t>is </w:t>
      </w:r>
      <w:r>
        <w:rPr>
          <w:spacing w:val="-3"/>
          <w:w w:val="105"/>
        </w:rPr>
        <w:t>to prevent </w:t>
      </w:r>
      <w:r>
        <w:rPr>
          <w:w w:val="105"/>
        </w:rPr>
        <w:t>damage and </w:t>
      </w:r>
      <w:r>
        <w:rPr>
          <w:spacing w:val="-3"/>
          <w:w w:val="105"/>
        </w:rPr>
        <w:t>harm </w:t>
      </w:r>
      <w:r>
        <w:rPr>
          <w:w w:val="105"/>
        </w:rPr>
        <w:t>caused by trees and </w:t>
      </w:r>
      <w:r>
        <w:rPr>
          <w:spacing w:val="-3"/>
          <w:w w:val="105"/>
        </w:rPr>
        <w:t>to balance </w:t>
      </w:r>
      <w:r>
        <w:rPr>
          <w:w w:val="105"/>
        </w:rPr>
        <w:t>this with their</w:t>
      </w:r>
      <w:r>
        <w:rPr>
          <w:spacing w:val="14"/>
          <w:w w:val="105"/>
        </w:rPr>
        <w:t> </w:t>
      </w:r>
      <w:r>
        <w:rPr>
          <w:w w:val="105"/>
        </w:rPr>
        <w:t>benefits.</w:t>
      </w:r>
    </w:p>
    <w:p>
      <w:pPr>
        <w:pStyle w:val="Heading7"/>
        <w:spacing w:before="156"/>
      </w:pPr>
      <w:r>
        <w:rPr/>
        <w:pict>
          <v:shape style="position:absolute;margin-left:79.359596pt;margin-top:28.794746pt;width:440.35pt;height:229.1pt;mso-position-horizontal-relative:page;mso-position-vertical-relative:paragraph;z-index:731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4"/>
                    <w:gridCol w:w="8153"/>
                  </w:tblGrid>
                  <w:tr>
                    <w:trPr>
                      <w:trHeight w:val="251" w:hRule="atLeast"/>
                    </w:trPr>
                    <w:tc>
                      <w:tcPr>
                        <w:tcW w:w="654" w:type="dxa"/>
                      </w:tcPr>
                      <w:p>
                        <w:pPr>
                          <w:pStyle w:val="TableParagraph"/>
                          <w:spacing w:line="232" w:lineRule="exact"/>
                          <w:rPr>
                            <w:sz w:val="21"/>
                          </w:rPr>
                        </w:pPr>
                        <w:r>
                          <w:rPr>
                            <w:w w:val="110"/>
                            <w:sz w:val="21"/>
                          </w:rPr>
                          <w:t>5.223</w:t>
                        </w:r>
                      </w:p>
                    </w:tc>
                    <w:tc>
                      <w:tcPr>
                        <w:tcW w:w="8153" w:type="dxa"/>
                      </w:tcPr>
                      <w:p>
                        <w:pPr>
                          <w:pStyle w:val="TableParagraph"/>
                          <w:spacing w:line="232" w:lineRule="exact"/>
                          <w:ind w:left="139"/>
                          <w:rPr>
                            <w:sz w:val="21"/>
                          </w:rPr>
                        </w:pPr>
                        <w:r>
                          <w:rPr>
                            <w:w w:val="105"/>
                            <w:sz w:val="21"/>
                          </w:rPr>
                          <w:t>The new Act should capture damage of any kind and not be limited to damage of a</w:t>
                        </w:r>
                      </w:p>
                    </w:tc>
                  </w:tr>
                  <w:tr>
                    <w:trPr>
                      <w:trHeight w:val="259" w:hRule="atLeast"/>
                    </w:trPr>
                    <w:tc>
                      <w:tcPr>
                        <w:tcW w:w="654" w:type="dxa"/>
                      </w:tcPr>
                      <w:p>
                        <w:pPr>
                          <w:pStyle w:val="TableParagraph"/>
                          <w:rPr>
                            <w:rFonts w:ascii="Times New Roman"/>
                            <w:sz w:val="18"/>
                          </w:rPr>
                        </w:pPr>
                      </w:p>
                    </w:tc>
                    <w:tc>
                      <w:tcPr>
                        <w:tcW w:w="8153" w:type="dxa"/>
                      </w:tcPr>
                      <w:p>
                        <w:pPr>
                          <w:pStyle w:val="TableParagraph"/>
                          <w:spacing w:line="240" w:lineRule="exact"/>
                          <w:ind w:left="139"/>
                          <w:rPr>
                            <w:sz w:val="21"/>
                          </w:rPr>
                        </w:pPr>
                        <w:r>
                          <w:rPr>
                            <w:sz w:val="21"/>
                          </w:rPr>
                          <w:t>‘significant degree’. This approach is generally supported in the submissions. Requiring</w:t>
                        </w:r>
                      </w:p>
                    </w:tc>
                  </w:tr>
                  <w:tr>
                    <w:trPr>
                      <w:trHeight w:val="320" w:hRule="atLeast"/>
                    </w:trPr>
                    <w:tc>
                      <w:tcPr>
                        <w:tcW w:w="654" w:type="dxa"/>
                      </w:tcPr>
                      <w:p>
                        <w:pPr>
                          <w:pStyle w:val="TableParagraph"/>
                          <w:rPr>
                            <w:rFonts w:ascii="Times New Roman"/>
                            <w:sz w:val="18"/>
                          </w:rPr>
                        </w:pPr>
                      </w:p>
                    </w:tc>
                    <w:tc>
                      <w:tcPr>
                        <w:tcW w:w="8153" w:type="dxa"/>
                      </w:tcPr>
                      <w:p>
                        <w:pPr>
                          <w:pStyle w:val="TableParagraph"/>
                          <w:spacing w:line="256" w:lineRule="exact"/>
                          <w:ind w:left="139"/>
                          <w:rPr>
                            <w:sz w:val="21"/>
                          </w:rPr>
                        </w:pPr>
                        <w:r>
                          <w:rPr>
                            <w:w w:val="105"/>
                            <w:sz w:val="21"/>
                          </w:rPr>
                          <w:t>damage to be ‘serious’ or ‘significant’ may unduly complicate the new Act.</w:t>
                        </w:r>
                      </w:p>
                    </w:tc>
                  </w:tr>
                  <w:tr>
                    <w:trPr>
                      <w:trHeight w:val="320" w:hRule="atLeast"/>
                    </w:trPr>
                    <w:tc>
                      <w:tcPr>
                        <w:tcW w:w="654" w:type="dxa"/>
                      </w:tcPr>
                      <w:p>
                        <w:pPr>
                          <w:pStyle w:val="TableParagraph"/>
                          <w:spacing w:line="241" w:lineRule="exact" w:before="59"/>
                          <w:rPr>
                            <w:sz w:val="21"/>
                          </w:rPr>
                        </w:pPr>
                        <w:r>
                          <w:rPr>
                            <w:w w:val="110"/>
                            <w:sz w:val="21"/>
                          </w:rPr>
                          <w:t>5.224</w:t>
                        </w:r>
                      </w:p>
                    </w:tc>
                    <w:tc>
                      <w:tcPr>
                        <w:tcW w:w="8153" w:type="dxa"/>
                      </w:tcPr>
                      <w:p>
                        <w:pPr>
                          <w:pStyle w:val="TableParagraph"/>
                          <w:spacing w:line="241" w:lineRule="exact" w:before="59"/>
                          <w:ind w:left="139"/>
                          <w:rPr>
                            <w:sz w:val="21"/>
                          </w:rPr>
                        </w:pPr>
                        <w:r>
                          <w:rPr>
                            <w:w w:val="105"/>
                            <w:sz w:val="21"/>
                          </w:rPr>
                          <w:t>The Commission supports the various submissions that suggest claims of damage should</w:t>
                        </w:r>
                      </w:p>
                    </w:tc>
                  </w:tr>
                  <w:tr>
                    <w:trPr>
                      <w:trHeight w:val="259" w:hRule="atLeast"/>
                    </w:trPr>
                    <w:tc>
                      <w:tcPr>
                        <w:tcW w:w="654" w:type="dxa"/>
                      </w:tcPr>
                      <w:p>
                        <w:pPr>
                          <w:pStyle w:val="TableParagraph"/>
                          <w:rPr>
                            <w:rFonts w:ascii="Times New Roman"/>
                            <w:sz w:val="18"/>
                          </w:rPr>
                        </w:pPr>
                      </w:p>
                    </w:tc>
                    <w:tc>
                      <w:tcPr>
                        <w:tcW w:w="8153" w:type="dxa"/>
                      </w:tcPr>
                      <w:p>
                        <w:pPr>
                          <w:pStyle w:val="TableParagraph"/>
                          <w:spacing w:line="240" w:lineRule="exact"/>
                          <w:ind w:left="139"/>
                          <w:rPr>
                            <w:sz w:val="21"/>
                          </w:rPr>
                        </w:pPr>
                        <w:r>
                          <w:rPr>
                            <w:sz w:val="21"/>
                          </w:rPr>
                          <w:t>be supported by expert evidence that demonstrates a causal link between the claimed</w:t>
                        </w:r>
                      </w:p>
                    </w:tc>
                  </w:tr>
                  <w:tr>
                    <w:trPr>
                      <w:trHeight w:val="259" w:hRule="atLeast"/>
                    </w:trPr>
                    <w:tc>
                      <w:tcPr>
                        <w:tcW w:w="654" w:type="dxa"/>
                      </w:tcPr>
                      <w:p>
                        <w:pPr>
                          <w:pStyle w:val="TableParagraph"/>
                          <w:rPr>
                            <w:rFonts w:ascii="Times New Roman"/>
                            <w:sz w:val="18"/>
                          </w:rPr>
                        </w:pPr>
                      </w:p>
                    </w:tc>
                    <w:tc>
                      <w:tcPr>
                        <w:tcW w:w="8153" w:type="dxa"/>
                      </w:tcPr>
                      <w:p>
                        <w:pPr>
                          <w:pStyle w:val="TableParagraph"/>
                          <w:spacing w:line="240" w:lineRule="exact"/>
                          <w:ind w:left="139"/>
                          <w:rPr>
                            <w:sz w:val="21"/>
                          </w:rPr>
                        </w:pPr>
                        <w:r>
                          <w:rPr>
                            <w:sz w:val="21"/>
                          </w:rPr>
                          <w:t>damage and the tree. This should reduce trivial claims. Expert evidence is considered in</w:t>
                        </w:r>
                      </w:p>
                    </w:tc>
                  </w:tr>
                  <w:tr>
                    <w:trPr>
                      <w:trHeight w:val="320" w:hRule="atLeast"/>
                    </w:trPr>
                    <w:tc>
                      <w:tcPr>
                        <w:tcW w:w="654" w:type="dxa"/>
                      </w:tcPr>
                      <w:p>
                        <w:pPr>
                          <w:pStyle w:val="TableParagraph"/>
                          <w:rPr>
                            <w:rFonts w:ascii="Times New Roman"/>
                            <w:sz w:val="18"/>
                          </w:rPr>
                        </w:pPr>
                      </w:p>
                    </w:tc>
                    <w:tc>
                      <w:tcPr>
                        <w:tcW w:w="8153" w:type="dxa"/>
                      </w:tcPr>
                      <w:p>
                        <w:pPr>
                          <w:pStyle w:val="TableParagraph"/>
                          <w:spacing w:line="256" w:lineRule="exact"/>
                          <w:ind w:left="139"/>
                          <w:rPr>
                            <w:sz w:val="21"/>
                          </w:rPr>
                        </w:pPr>
                        <w:r>
                          <w:rPr>
                            <w:w w:val="110"/>
                            <w:sz w:val="21"/>
                          </w:rPr>
                          <w:t>Chapter 8.</w:t>
                        </w:r>
                      </w:p>
                    </w:tc>
                  </w:tr>
                  <w:tr>
                    <w:trPr>
                      <w:trHeight w:val="320" w:hRule="atLeast"/>
                    </w:trPr>
                    <w:tc>
                      <w:tcPr>
                        <w:tcW w:w="654" w:type="dxa"/>
                      </w:tcPr>
                      <w:p>
                        <w:pPr>
                          <w:pStyle w:val="TableParagraph"/>
                          <w:spacing w:line="241" w:lineRule="exact" w:before="59"/>
                          <w:rPr>
                            <w:sz w:val="21"/>
                          </w:rPr>
                        </w:pPr>
                        <w:r>
                          <w:rPr>
                            <w:w w:val="110"/>
                            <w:sz w:val="21"/>
                          </w:rPr>
                          <w:t>5.225</w:t>
                        </w:r>
                      </w:p>
                    </w:tc>
                    <w:tc>
                      <w:tcPr>
                        <w:tcW w:w="8153" w:type="dxa"/>
                      </w:tcPr>
                      <w:p>
                        <w:pPr>
                          <w:pStyle w:val="TableParagraph"/>
                          <w:spacing w:line="241" w:lineRule="exact" w:before="59"/>
                          <w:ind w:left="139"/>
                          <w:rPr>
                            <w:sz w:val="21"/>
                          </w:rPr>
                        </w:pPr>
                        <w:r>
                          <w:rPr>
                            <w:w w:val="105"/>
                            <w:sz w:val="21"/>
                          </w:rPr>
                          <w:t>In accordance with community views, ‘damage’ should include damage both to land and</w:t>
                        </w:r>
                      </w:p>
                    </w:tc>
                  </w:tr>
                  <w:tr>
                    <w:trPr>
                      <w:trHeight w:val="259" w:hRule="atLeast"/>
                    </w:trPr>
                    <w:tc>
                      <w:tcPr>
                        <w:tcW w:w="654" w:type="dxa"/>
                      </w:tcPr>
                      <w:p>
                        <w:pPr>
                          <w:pStyle w:val="TableParagraph"/>
                          <w:rPr>
                            <w:rFonts w:ascii="Times New Roman"/>
                            <w:sz w:val="18"/>
                          </w:rPr>
                        </w:pPr>
                      </w:p>
                    </w:tc>
                    <w:tc>
                      <w:tcPr>
                        <w:tcW w:w="8153" w:type="dxa"/>
                      </w:tcPr>
                      <w:p>
                        <w:pPr>
                          <w:pStyle w:val="TableParagraph"/>
                          <w:spacing w:line="240" w:lineRule="exact"/>
                          <w:ind w:left="139"/>
                          <w:rPr>
                            <w:sz w:val="21"/>
                          </w:rPr>
                        </w:pPr>
                        <w:r>
                          <w:rPr>
                            <w:w w:val="105"/>
                            <w:sz w:val="21"/>
                          </w:rPr>
                          <w:t>to property. Affected neighbours should be able to bring an action for damage to fences</w:t>
                        </w:r>
                      </w:p>
                    </w:tc>
                  </w:tr>
                  <w:tr>
                    <w:trPr>
                      <w:trHeight w:val="566" w:hRule="atLeast"/>
                    </w:trPr>
                    <w:tc>
                      <w:tcPr>
                        <w:tcW w:w="654" w:type="dxa"/>
                        <w:tcBorders>
                          <w:bottom w:val="single" w:sz="8" w:space="0" w:color="C9D2CB"/>
                        </w:tcBorders>
                      </w:tcPr>
                      <w:p>
                        <w:pPr>
                          <w:pStyle w:val="TableParagraph"/>
                          <w:rPr>
                            <w:rFonts w:ascii="Times New Roman"/>
                            <w:sz w:val="18"/>
                          </w:rPr>
                        </w:pPr>
                      </w:p>
                    </w:tc>
                    <w:tc>
                      <w:tcPr>
                        <w:tcW w:w="8153" w:type="dxa"/>
                        <w:tcBorders>
                          <w:bottom w:val="single" w:sz="8" w:space="0" w:color="C9D2CB"/>
                        </w:tcBorders>
                      </w:tcPr>
                      <w:p>
                        <w:pPr>
                          <w:pStyle w:val="TableParagraph"/>
                          <w:spacing w:line="256" w:lineRule="exact"/>
                          <w:ind w:left="139"/>
                          <w:rPr>
                            <w:sz w:val="21"/>
                          </w:rPr>
                        </w:pPr>
                        <w:r>
                          <w:rPr>
                            <w:w w:val="105"/>
                            <w:sz w:val="21"/>
                          </w:rPr>
                          <w:t>and carports for example, as well as damage to the land itself, such as gardens.</w:t>
                        </w:r>
                      </w:p>
                    </w:tc>
                  </w:tr>
                  <w:tr>
                    <w:trPr>
                      <w:trHeight w:val="307" w:hRule="atLeast"/>
                    </w:trPr>
                    <w:tc>
                      <w:tcPr>
                        <w:tcW w:w="654" w:type="dxa"/>
                        <w:tcBorders>
                          <w:top w:val="single" w:sz="8" w:space="0" w:color="C9D2CB"/>
                        </w:tcBorders>
                      </w:tcPr>
                      <w:p>
                        <w:pPr>
                          <w:pStyle w:val="TableParagraph"/>
                          <w:spacing w:before="11"/>
                          <w:rPr>
                            <w:b/>
                            <w:sz w:val="11"/>
                          </w:rPr>
                        </w:pPr>
                      </w:p>
                      <w:p>
                        <w:pPr>
                          <w:pStyle w:val="TableParagraph"/>
                          <w:spacing w:line="141" w:lineRule="exact" w:before="1"/>
                          <w:rPr>
                            <w:sz w:val="13"/>
                          </w:rPr>
                        </w:pPr>
                        <w:r>
                          <w:rPr>
                            <w:w w:val="110"/>
                            <w:sz w:val="13"/>
                          </w:rPr>
                          <w:t>351</w:t>
                        </w:r>
                      </w:p>
                    </w:tc>
                    <w:tc>
                      <w:tcPr>
                        <w:tcW w:w="8153" w:type="dxa"/>
                        <w:tcBorders>
                          <w:top w:val="single" w:sz="8" w:space="0" w:color="C9D2CB"/>
                        </w:tcBorders>
                      </w:tcPr>
                      <w:p>
                        <w:pPr>
                          <w:pStyle w:val="TableParagraph"/>
                          <w:spacing w:before="11"/>
                          <w:rPr>
                            <w:b/>
                            <w:sz w:val="11"/>
                          </w:rPr>
                        </w:pPr>
                      </w:p>
                      <w:p>
                        <w:pPr>
                          <w:pStyle w:val="TableParagraph"/>
                          <w:spacing w:line="141" w:lineRule="exact" w:before="1"/>
                          <w:ind w:left="139"/>
                          <w:rPr>
                            <w:sz w:val="13"/>
                          </w:rPr>
                        </w:pPr>
                        <w:r>
                          <w:rPr>
                            <w:w w:val="105"/>
                            <w:sz w:val="13"/>
                          </w:rPr>
                          <w:t>Confidential submission.</w:t>
                        </w:r>
                      </w:p>
                    </w:tc>
                  </w:tr>
                  <w:tr>
                    <w:trPr>
                      <w:trHeight w:val="160" w:hRule="atLeast"/>
                    </w:trPr>
                    <w:tc>
                      <w:tcPr>
                        <w:tcW w:w="654" w:type="dxa"/>
                      </w:tcPr>
                      <w:p>
                        <w:pPr>
                          <w:pStyle w:val="TableParagraph"/>
                          <w:spacing w:line="140" w:lineRule="exact"/>
                          <w:rPr>
                            <w:sz w:val="13"/>
                          </w:rPr>
                        </w:pPr>
                        <w:r>
                          <w:rPr>
                            <w:w w:val="110"/>
                            <w:sz w:val="13"/>
                          </w:rPr>
                          <w:t>352</w:t>
                        </w:r>
                      </w:p>
                    </w:tc>
                    <w:tc>
                      <w:tcPr>
                        <w:tcW w:w="8153" w:type="dxa"/>
                      </w:tcPr>
                      <w:p>
                        <w:pPr>
                          <w:pStyle w:val="TableParagraph"/>
                          <w:spacing w:line="140" w:lineRule="exact"/>
                          <w:ind w:left="139"/>
                          <w:rPr>
                            <w:sz w:val="13"/>
                          </w:rPr>
                        </w:pPr>
                        <w:r>
                          <w:rPr>
                            <w:w w:val="105"/>
                            <w:sz w:val="13"/>
                          </w:rPr>
                          <w:t>Submission 2 (Name withheld),</w:t>
                        </w:r>
                      </w:p>
                    </w:tc>
                  </w:tr>
                  <w:tr>
                    <w:trPr>
                      <w:trHeight w:val="160" w:hRule="atLeast"/>
                    </w:trPr>
                    <w:tc>
                      <w:tcPr>
                        <w:tcW w:w="654" w:type="dxa"/>
                      </w:tcPr>
                      <w:p>
                        <w:pPr>
                          <w:pStyle w:val="TableParagraph"/>
                          <w:spacing w:line="140" w:lineRule="exact"/>
                          <w:rPr>
                            <w:sz w:val="13"/>
                          </w:rPr>
                        </w:pPr>
                        <w:r>
                          <w:rPr>
                            <w:w w:val="110"/>
                            <w:sz w:val="13"/>
                          </w:rPr>
                          <w:t>353</w:t>
                        </w:r>
                      </w:p>
                    </w:tc>
                    <w:tc>
                      <w:tcPr>
                        <w:tcW w:w="8153" w:type="dxa"/>
                      </w:tcPr>
                      <w:p>
                        <w:pPr>
                          <w:pStyle w:val="TableParagraph"/>
                          <w:spacing w:line="140" w:lineRule="exact"/>
                          <w:ind w:left="139"/>
                          <w:rPr>
                            <w:sz w:val="13"/>
                          </w:rPr>
                        </w:pPr>
                        <w:r>
                          <w:rPr>
                            <w:w w:val="105"/>
                            <w:sz w:val="13"/>
                          </w:rPr>
                          <w:t>Submission 27 (Name withheld).</w:t>
                        </w:r>
                      </w:p>
                    </w:tc>
                  </w:tr>
                  <w:tr>
                    <w:trPr>
                      <w:trHeight w:val="160" w:hRule="atLeast"/>
                    </w:trPr>
                    <w:tc>
                      <w:tcPr>
                        <w:tcW w:w="654" w:type="dxa"/>
                      </w:tcPr>
                      <w:p>
                        <w:pPr>
                          <w:pStyle w:val="TableParagraph"/>
                          <w:spacing w:line="140" w:lineRule="exact"/>
                          <w:rPr>
                            <w:sz w:val="13"/>
                          </w:rPr>
                        </w:pPr>
                        <w:r>
                          <w:rPr>
                            <w:w w:val="110"/>
                            <w:sz w:val="13"/>
                          </w:rPr>
                          <w:t>354</w:t>
                        </w:r>
                      </w:p>
                    </w:tc>
                    <w:tc>
                      <w:tcPr>
                        <w:tcW w:w="8153" w:type="dxa"/>
                      </w:tcPr>
                      <w:p>
                        <w:pPr>
                          <w:pStyle w:val="TableParagraph"/>
                          <w:spacing w:line="140" w:lineRule="exact"/>
                          <w:ind w:left="139"/>
                          <w:rPr>
                            <w:sz w:val="13"/>
                          </w:rPr>
                        </w:pPr>
                        <w:r>
                          <w:rPr>
                            <w:w w:val="105"/>
                            <w:sz w:val="13"/>
                          </w:rPr>
                          <w:t>Consultations 8 (City of Boroondara), 9 (Nillumbik Shire Council), 10 (Baw Baw Shire Council), 12 (City of Port Phillip).</w:t>
                        </w:r>
                      </w:p>
                    </w:tc>
                  </w:tr>
                  <w:tr>
                    <w:trPr>
                      <w:trHeight w:val="160" w:hRule="atLeast"/>
                    </w:trPr>
                    <w:tc>
                      <w:tcPr>
                        <w:tcW w:w="654" w:type="dxa"/>
                      </w:tcPr>
                      <w:p>
                        <w:pPr>
                          <w:pStyle w:val="TableParagraph"/>
                          <w:spacing w:line="140" w:lineRule="exact"/>
                          <w:rPr>
                            <w:sz w:val="13"/>
                          </w:rPr>
                        </w:pPr>
                        <w:r>
                          <w:rPr>
                            <w:w w:val="110"/>
                            <w:sz w:val="13"/>
                          </w:rPr>
                          <w:t>355</w:t>
                        </w:r>
                      </w:p>
                    </w:tc>
                    <w:tc>
                      <w:tcPr>
                        <w:tcW w:w="8153" w:type="dxa"/>
                      </w:tcPr>
                      <w:p>
                        <w:pPr>
                          <w:pStyle w:val="TableParagraph"/>
                          <w:spacing w:line="140" w:lineRule="exact"/>
                          <w:ind w:left="139"/>
                          <w:rPr>
                            <w:sz w:val="13"/>
                          </w:rPr>
                        </w:pPr>
                        <w:r>
                          <w:rPr>
                            <w:w w:val="105"/>
                            <w:sz w:val="13"/>
                          </w:rPr>
                          <w:t>Consultations 8 (City of Boroondara), 9 (Nillumbik Shire Council), 10 (Baw Baw Shire Council), 12 (City of Port Phillip).</w:t>
                        </w:r>
                      </w:p>
                    </w:tc>
                  </w:tr>
                  <w:tr>
                    <w:trPr>
                      <w:trHeight w:val="159" w:hRule="atLeast"/>
                    </w:trPr>
                    <w:tc>
                      <w:tcPr>
                        <w:tcW w:w="654" w:type="dxa"/>
                      </w:tcPr>
                      <w:p>
                        <w:pPr>
                          <w:pStyle w:val="TableParagraph"/>
                          <w:spacing w:line="140" w:lineRule="exact"/>
                          <w:rPr>
                            <w:sz w:val="13"/>
                          </w:rPr>
                        </w:pPr>
                        <w:r>
                          <w:rPr>
                            <w:w w:val="110"/>
                            <w:sz w:val="13"/>
                          </w:rPr>
                          <w:t>356</w:t>
                        </w:r>
                      </w:p>
                    </w:tc>
                    <w:tc>
                      <w:tcPr>
                        <w:tcW w:w="8153" w:type="dxa"/>
                      </w:tcPr>
                      <w:p>
                        <w:pPr>
                          <w:pStyle w:val="TableParagraph"/>
                          <w:spacing w:line="140" w:lineRule="exact"/>
                          <w:ind w:left="139"/>
                          <w:rPr>
                            <w:sz w:val="13"/>
                          </w:rPr>
                        </w:pPr>
                        <w:r>
                          <w:rPr>
                            <w:w w:val="105"/>
                            <w:sz w:val="13"/>
                          </w:rPr>
                          <w:t>Consultation 9 (Nillumbik Shire Council).</w:t>
                        </w:r>
                      </w:p>
                    </w:tc>
                  </w:tr>
                  <w:tr>
                    <w:trPr>
                      <w:trHeight w:val="315" w:hRule="atLeast"/>
                    </w:trPr>
                    <w:tc>
                      <w:tcPr>
                        <w:tcW w:w="654" w:type="dxa"/>
                      </w:tcPr>
                      <w:p>
                        <w:pPr>
                          <w:pStyle w:val="TableParagraph"/>
                          <w:spacing w:line="158" w:lineRule="exact"/>
                          <w:rPr>
                            <w:sz w:val="13"/>
                          </w:rPr>
                        </w:pPr>
                        <w:r>
                          <w:rPr>
                            <w:w w:val="110"/>
                            <w:sz w:val="13"/>
                          </w:rPr>
                          <w:t>357</w:t>
                        </w:r>
                      </w:p>
                    </w:tc>
                    <w:tc>
                      <w:tcPr>
                        <w:tcW w:w="8153" w:type="dxa"/>
                      </w:tcPr>
                      <w:p>
                        <w:pPr>
                          <w:pStyle w:val="TableParagraph"/>
                          <w:spacing w:line="158" w:lineRule="exact"/>
                          <w:ind w:left="140"/>
                          <w:rPr>
                            <w:sz w:val="13"/>
                          </w:rPr>
                        </w:pPr>
                        <w:r>
                          <w:rPr>
                            <w:w w:val="105"/>
                            <w:sz w:val="13"/>
                          </w:rPr>
                          <w:t>City of Greater Bendigo, </w:t>
                        </w:r>
                        <w:r>
                          <w:rPr>
                            <w:i/>
                            <w:w w:val="105"/>
                            <w:sz w:val="13"/>
                          </w:rPr>
                          <w:t>Urban Tree Management Policy </w:t>
                        </w:r>
                        <w:r>
                          <w:rPr>
                            <w:w w:val="105"/>
                            <w:sz w:val="13"/>
                          </w:rPr>
                          <w:t>(16 August 2017) 7 &lt;https://</w:t>
                        </w:r>
                        <w:hyperlink r:id="rId110">
                          <w:r>
                            <w:rPr>
                              <w:w w:val="105"/>
                              <w:sz w:val="13"/>
                            </w:rPr>
                            <w:t>www.bendigo.vic.gov.au/About/Document-Library/</w:t>
                          </w:r>
                        </w:hyperlink>
                      </w:p>
                      <w:p>
                        <w:pPr>
                          <w:pStyle w:val="TableParagraph"/>
                          <w:spacing w:line="136" w:lineRule="exact" w:before="1"/>
                          <w:ind w:left="140"/>
                          <w:rPr>
                            <w:sz w:val="13"/>
                          </w:rPr>
                        </w:pPr>
                        <w:r>
                          <w:rPr>
                            <w:w w:val="105"/>
                            <w:sz w:val="13"/>
                          </w:rPr>
                          <w:t>urban-tree-management-policy&gt;. This policy applies to Council trees.</w:t>
                        </w:r>
                      </w:p>
                    </w:tc>
                  </w:tr>
                </w:tbl>
                <w:p>
                  <w:pPr>
                    <w:pStyle w:val="BodyText"/>
                  </w:pPr>
                </w:p>
              </w:txbxContent>
            </v:textbox>
            <w10:wrap type="none"/>
          </v:shape>
        </w:pict>
      </w:r>
      <w:r>
        <w:rPr>
          <w:w w:val="115"/>
        </w:rPr>
        <w:t>Damage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28"/>
        </w:rPr>
      </w:pPr>
    </w:p>
    <w:p>
      <w:pPr>
        <w:spacing w:before="0"/>
        <w:ind w:left="720" w:right="0" w:firstLine="0"/>
        <w:jc w:val="left"/>
        <w:rPr>
          <w:b/>
          <w:sz w:val="24"/>
        </w:rPr>
      </w:pPr>
      <w:r>
        <w:rPr>
          <w:b/>
          <w:color w:val="658464"/>
          <w:w w:val="110"/>
          <w:sz w:val="24"/>
        </w:rPr>
        <w:t>100</w:t>
      </w:r>
    </w:p>
    <w:p>
      <w:pPr>
        <w:spacing w:after="0"/>
        <w:jc w:val="left"/>
        <w:rPr>
          <w:sz w:val="24"/>
        </w:rPr>
        <w:sectPr>
          <w:pgSz w:w="11910" w:h="16840"/>
          <w:pgMar w:header="546" w:footer="0" w:top="1560" w:bottom="280" w:left="0" w:right="0"/>
        </w:sectPr>
      </w:pPr>
    </w:p>
    <w:p>
      <w:pPr>
        <w:pStyle w:val="BodyText"/>
        <w:rPr>
          <w:b/>
          <w:sz w:val="20"/>
        </w:rPr>
      </w:pPr>
    </w:p>
    <w:p>
      <w:pPr>
        <w:pStyle w:val="BodyText"/>
        <w:spacing w:before="9"/>
        <w:rPr>
          <w:b/>
          <w:sz w:val="18"/>
        </w:rPr>
      </w:pPr>
    </w:p>
    <w:p>
      <w:pPr>
        <w:pStyle w:val="ListParagraph"/>
        <w:numPr>
          <w:ilvl w:val="0"/>
          <w:numId w:val="79"/>
        </w:numPr>
        <w:tabs>
          <w:tab w:pos="2380" w:val="left" w:leader="none"/>
          <w:tab w:pos="2381" w:val="left" w:leader="none"/>
        </w:tabs>
        <w:spacing w:line="242" w:lineRule="auto" w:before="91" w:after="0"/>
        <w:ind w:left="2381" w:right="1436" w:hanging="794"/>
        <w:jc w:val="left"/>
        <w:rPr>
          <w:sz w:val="12"/>
        </w:rPr>
      </w:pPr>
      <w:r>
        <w:rPr>
          <w:spacing w:val="-3"/>
          <w:w w:val="105"/>
          <w:sz w:val="21"/>
        </w:rPr>
        <w:t>Future </w:t>
      </w:r>
      <w:r>
        <w:rPr>
          <w:w w:val="105"/>
          <w:sz w:val="21"/>
        </w:rPr>
        <w:t>damage should be </w:t>
      </w:r>
      <w:r>
        <w:rPr>
          <w:spacing w:val="-3"/>
          <w:w w:val="105"/>
          <w:sz w:val="21"/>
        </w:rPr>
        <w:t>included </w:t>
      </w:r>
      <w:r>
        <w:rPr>
          <w:w w:val="105"/>
          <w:sz w:val="21"/>
        </w:rPr>
        <w:t>as a cause of action but </w:t>
      </w:r>
      <w:r>
        <w:rPr>
          <w:spacing w:val="-3"/>
          <w:w w:val="105"/>
          <w:sz w:val="21"/>
        </w:rPr>
        <w:t>limited to </w:t>
      </w:r>
      <w:r>
        <w:rPr>
          <w:w w:val="105"/>
          <w:sz w:val="21"/>
        </w:rPr>
        <w:t>damage </w:t>
      </w:r>
      <w:r>
        <w:rPr>
          <w:spacing w:val="-3"/>
          <w:w w:val="105"/>
          <w:sz w:val="21"/>
        </w:rPr>
        <w:t>that </w:t>
      </w:r>
      <w:r>
        <w:rPr>
          <w:w w:val="105"/>
          <w:sz w:val="21"/>
        </w:rPr>
        <w:t>is </w:t>
      </w:r>
      <w:r>
        <w:rPr>
          <w:spacing w:val="-4"/>
          <w:w w:val="105"/>
          <w:sz w:val="21"/>
        </w:rPr>
        <w:t>likely </w:t>
      </w:r>
      <w:r>
        <w:rPr>
          <w:spacing w:val="-3"/>
          <w:w w:val="105"/>
          <w:sz w:val="21"/>
        </w:rPr>
        <w:t>within</w:t>
      </w:r>
      <w:r>
        <w:rPr>
          <w:spacing w:val="-12"/>
          <w:w w:val="105"/>
          <w:sz w:val="21"/>
        </w:rPr>
        <w:t> </w:t>
      </w:r>
      <w:r>
        <w:rPr>
          <w:spacing w:val="-9"/>
          <w:w w:val="105"/>
          <w:sz w:val="21"/>
        </w:rPr>
        <w:t>12</w:t>
      </w:r>
      <w:r>
        <w:rPr>
          <w:spacing w:val="-12"/>
          <w:w w:val="105"/>
          <w:sz w:val="21"/>
        </w:rPr>
        <w:t> </w:t>
      </w:r>
      <w:r>
        <w:rPr>
          <w:spacing w:val="-3"/>
          <w:w w:val="105"/>
          <w:sz w:val="21"/>
        </w:rPr>
        <w:t>months.</w:t>
      </w:r>
      <w:r>
        <w:rPr>
          <w:spacing w:val="-11"/>
          <w:w w:val="105"/>
          <w:sz w:val="21"/>
        </w:rPr>
        <w:t> </w:t>
      </w:r>
      <w:r>
        <w:rPr>
          <w:w w:val="105"/>
          <w:sz w:val="21"/>
        </w:rPr>
        <w:t>This</w:t>
      </w:r>
      <w:r>
        <w:rPr>
          <w:spacing w:val="-12"/>
          <w:w w:val="105"/>
          <w:sz w:val="21"/>
        </w:rPr>
        <w:t> </w:t>
      </w:r>
      <w:r>
        <w:rPr>
          <w:w w:val="105"/>
          <w:sz w:val="21"/>
        </w:rPr>
        <w:t>is</w:t>
      </w:r>
      <w:r>
        <w:rPr>
          <w:spacing w:val="-12"/>
          <w:w w:val="105"/>
          <w:sz w:val="21"/>
        </w:rPr>
        <w:t> </w:t>
      </w:r>
      <w:r>
        <w:rPr>
          <w:spacing w:val="-3"/>
          <w:w w:val="105"/>
          <w:sz w:val="21"/>
        </w:rPr>
        <w:t>consistent</w:t>
      </w:r>
      <w:r>
        <w:rPr>
          <w:spacing w:val="-11"/>
          <w:w w:val="105"/>
          <w:sz w:val="21"/>
        </w:rPr>
        <w:t> </w:t>
      </w:r>
      <w:r>
        <w:rPr>
          <w:w w:val="105"/>
          <w:sz w:val="21"/>
        </w:rPr>
        <w:t>with</w:t>
      </w:r>
      <w:r>
        <w:rPr>
          <w:spacing w:val="-12"/>
          <w:w w:val="105"/>
          <w:sz w:val="21"/>
        </w:rPr>
        <w:t> </w:t>
      </w:r>
      <w:r>
        <w:rPr>
          <w:w w:val="105"/>
          <w:sz w:val="21"/>
        </w:rPr>
        <w:t>interstate</w:t>
      </w:r>
      <w:r>
        <w:rPr>
          <w:spacing w:val="-12"/>
          <w:w w:val="105"/>
          <w:sz w:val="21"/>
        </w:rPr>
        <w:t> </w:t>
      </w:r>
      <w:r>
        <w:rPr>
          <w:w w:val="105"/>
          <w:sz w:val="21"/>
        </w:rPr>
        <w:t>statutory</w:t>
      </w:r>
      <w:r>
        <w:rPr>
          <w:spacing w:val="-11"/>
          <w:w w:val="105"/>
          <w:sz w:val="21"/>
        </w:rPr>
        <w:t> </w:t>
      </w:r>
      <w:r>
        <w:rPr>
          <w:w w:val="105"/>
          <w:sz w:val="21"/>
        </w:rPr>
        <w:t>schemes</w:t>
      </w:r>
      <w:r>
        <w:rPr>
          <w:spacing w:val="-12"/>
          <w:w w:val="105"/>
          <w:sz w:val="21"/>
        </w:rPr>
        <w:t> </w:t>
      </w:r>
      <w:r>
        <w:rPr>
          <w:w w:val="105"/>
          <w:sz w:val="21"/>
        </w:rPr>
        <w:t>and</w:t>
      </w:r>
      <w:r>
        <w:rPr>
          <w:spacing w:val="-12"/>
          <w:w w:val="105"/>
          <w:sz w:val="21"/>
        </w:rPr>
        <w:t> </w:t>
      </w:r>
      <w:r>
        <w:rPr>
          <w:w w:val="105"/>
          <w:sz w:val="21"/>
        </w:rPr>
        <w:t>recommended</w:t>
      </w:r>
      <w:r>
        <w:rPr>
          <w:spacing w:val="-11"/>
          <w:w w:val="105"/>
          <w:sz w:val="21"/>
        </w:rPr>
        <w:t> </w:t>
      </w:r>
      <w:r>
        <w:rPr>
          <w:w w:val="105"/>
          <w:sz w:val="21"/>
        </w:rPr>
        <w:t>by practising</w:t>
      </w:r>
      <w:r>
        <w:rPr>
          <w:spacing w:val="5"/>
          <w:w w:val="105"/>
          <w:sz w:val="21"/>
        </w:rPr>
        <w:t> </w:t>
      </w:r>
      <w:r>
        <w:rPr>
          <w:w w:val="105"/>
          <w:sz w:val="21"/>
        </w:rPr>
        <w:t>arborists.</w:t>
      </w:r>
      <w:r>
        <w:rPr>
          <w:w w:val="105"/>
          <w:position w:val="7"/>
          <w:sz w:val="12"/>
        </w:rPr>
        <w:t>358</w:t>
      </w:r>
    </w:p>
    <w:p>
      <w:pPr>
        <w:pStyle w:val="ListParagraph"/>
        <w:numPr>
          <w:ilvl w:val="0"/>
          <w:numId w:val="79"/>
        </w:numPr>
        <w:tabs>
          <w:tab w:pos="2381" w:val="left" w:leader="none"/>
          <w:tab w:pos="2382" w:val="left" w:leader="none"/>
        </w:tabs>
        <w:spacing w:line="242" w:lineRule="auto" w:before="124" w:after="0"/>
        <w:ind w:left="2381" w:right="1503" w:hanging="794"/>
        <w:jc w:val="left"/>
        <w:rPr>
          <w:sz w:val="21"/>
        </w:rPr>
      </w:pPr>
      <w:r>
        <w:rPr>
          <w:w w:val="105"/>
          <w:sz w:val="21"/>
        </w:rPr>
        <w:t>Because the </w:t>
      </w:r>
      <w:r>
        <w:rPr>
          <w:spacing w:val="-3"/>
          <w:w w:val="105"/>
          <w:sz w:val="21"/>
        </w:rPr>
        <w:t>likelihood </w:t>
      </w:r>
      <w:r>
        <w:rPr>
          <w:w w:val="105"/>
          <w:sz w:val="21"/>
        </w:rPr>
        <w:t>of a tree </w:t>
      </w:r>
      <w:r>
        <w:rPr>
          <w:spacing w:val="-3"/>
          <w:w w:val="105"/>
          <w:sz w:val="21"/>
        </w:rPr>
        <w:t>causing future </w:t>
      </w:r>
      <w:r>
        <w:rPr>
          <w:w w:val="105"/>
          <w:sz w:val="21"/>
        </w:rPr>
        <w:t>damage is difficult </w:t>
      </w:r>
      <w:r>
        <w:rPr>
          <w:spacing w:val="-3"/>
          <w:w w:val="105"/>
          <w:sz w:val="21"/>
        </w:rPr>
        <w:t>to </w:t>
      </w:r>
      <w:r>
        <w:rPr>
          <w:w w:val="105"/>
          <w:sz w:val="21"/>
        </w:rPr>
        <w:t>assess, it is recommended </w:t>
      </w:r>
      <w:r>
        <w:rPr>
          <w:spacing w:val="-3"/>
          <w:w w:val="105"/>
          <w:sz w:val="21"/>
        </w:rPr>
        <w:t>that </w:t>
      </w:r>
      <w:r>
        <w:rPr>
          <w:w w:val="105"/>
          <w:sz w:val="21"/>
        </w:rPr>
        <w:t>risk assessments should be undertaken by a suitably qualified arborist (AQF</w:t>
      </w:r>
      <w:r>
        <w:rPr>
          <w:spacing w:val="-12"/>
          <w:w w:val="105"/>
          <w:sz w:val="21"/>
        </w:rPr>
        <w:t> </w:t>
      </w:r>
      <w:r>
        <w:rPr>
          <w:w w:val="105"/>
          <w:sz w:val="21"/>
        </w:rPr>
        <w:t>Level</w:t>
      </w:r>
      <w:r>
        <w:rPr>
          <w:spacing w:val="-12"/>
          <w:w w:val="105"/>
          <w:sz w:val="21"/>
        </w:rPr>
        <w:t> </w:t>
      </w:r>
      <w:r>
        <w:rPr>
          <w:w w:val="105"/>
          <w:sz w:val="21"/>
        </w:rPr>
        <w:t>5</w:t>
      </w:r>
      <w:r>
        <w:rPr>
          <w:spacing w:val="-12"/>
          <w:w w:val="105"/>
          <w:sz w:val="21"/>
        </w:rPr>
        <w:t> </w:t>
      </w:r>
      <w:r>
        <w:rPr>
          <w:w w:val="105"/>
          <w:sz w:val="21"/>
        </w:rPr>
        <w:t>or</w:t>
      </w:r>
      <w:r>
        <w:rPr>
          <w:spacing w:val="-12"/>
          <w:w w:val="105"/>
          <w:sz w:val="21"/>
        </w:rPr>
        <w:t> </w:t>
      </w:r>
      <w:r>
        <w:rPr>
          <w:w w:val="105"/>
          <w:sz w:val="21"/>
        </w:rPr>
        <w:t>above)</w:t>
      </w:r>
      <w:r>
        <w:rPr>
          <w:spacing w:val="-12"/>
          <w:w w:val="105"/>
          <w:sz w:val="21"/>
        </w:rPr>
        <w:t> </w:t>
      </w:r>
      <w:r>
        <w:rPr>
          <w:w w:val="105"/>
          <w:sz w:val="21"/>
        </w:rPr>
        <w:t>with</w:t>
      </w:r>
      <w:r>
        <w:rPr>
          <w:spacing w:val="-12"/>
          <w:w w:val="105"/>
          <w:sz w:val="21"/>
        </w:rPr>
        <w:t> </w:t>
      </w:r>
      <w:r>
        <w:rPr>
          <w:spacing w:val="-3"/>
          <w:w w:val="105"/>
          <w:sz w:val="21"/>
        </w:rPr>
        <w:t>training</w:t>
      </w:r>
      <w:r>
        <w:rPr>
          <w:spacing w:val="-12"/>
          <w:w w:val="105"/>
          <w:sz w:val="21"/>
        </w:rPr>
        <w:t> </w:t>
      </w:r>
      <w:r>
        <w:rPr>
          <w:w w:val="105"/>
          <w:sz w:val="21"/>
        </w:rPr>
        <w:t>in</w:t>
      </w:r>
      <w:r>
        <w:rPr>
          <w:spacing w:val="-12"/>
          <w:w w:val="105"/>
          <w:sz w:val="21"/>
        </w:rPr>
        <w:t> </w:t>
      </w:r>
      <w:r>
        <w:rPr>
          <w:w w:val="105"/>
          <w:sz w:val="21"/>
        </w:rPr>
        <w:t>industry-recognised</w:t>
      </w:r>
      <w:r>
        <w:rPr>
          <w:spacing w:val="-12"/>
          <w:w w:val="105"/>
          <w:sz w:val="21"/>
        </w:rPr>
        <w:t> </w:t>
      </w:r>
      <w:r>
        <w:rPr>
          <w:w w:val="105"/>
          <w:sz w:val="21"/>
        </w:rPr>
        <w:t>risk</w:t>
      </w:r>
      <w:r>
        <w:rPr>
          <w:spacing w:val="-12"/>
          <w:w w:val="105"/>
          <w:sz w:val="21"/>
        </w:rPr>
        <w:t> </w:t>
      </w:r>
      <w:r>
        <w:rPr>
          <w:w w:val="105"/>
          <w:sz w:val="21"/>
        </w:rPr>
        <w:t>assessment</w:t>
      </w:r>
      <w:r>
        <w:rPr>
          <w:spacing w:val="-12"/>
          <w:w w:val="105"/>
          <w:sz w:val="21"/>
        </w:rPr>
        <w:t> </w:t>
      </w:r>
      <w:r>
        <w:rPr>
          <w:w w:val="105"/>
          <w:sz w:val="21"/>
        </w:rPr>
        <w:t>methods</w:t>
      </w:r>
      <w:r>
        <w:rPr>
          <w:spacing w:val="-12"/>
          <w:w w:val="105"/>
          <w:sz w:val="21"/>
        </w:rPr>
        <w:t> </w:t>
      </w:r>
      <w:r>
        <w:rPr>
          <w:w w:val="105"/>
          <w:sz w:val="21"/>
        </w:rPr>
        <w:t>and</w:t>
      </w:r>
      <w:r>
        <w:rPr>
          <w:spacing w:val="-12"/>
          <w:w w:val="105"/>
          <w:sz w:val="21"/>
        </w:rPr>
        <w:t> </w:t>
      </w:r>
      <w:r>
        <w:rPr>
          <w:w w:val="105"/>
          <w:sz w:val="21"/>
        </w:rPr>
        <w:t>at least two years of practical experience. See </w:t>
      </w:r>
      <w:r>
        <w:rPr>
          <w:spacing w:val="-4"/>
          <w:w w:val="105"/>
          <w:sz w:val="21"/>
        </w:rPr>
        <w:t>Chapter</w:t>
      </w:r>
      <w:r>
        <w:rPr>
          <w:spacing w:val="30"/>
          <w:w w:val="105"/>
          <w:sz w:val="21"/>
        </w:rPr>
        <w:t> </w:t>
      </w:r>
      <w:r>
        <w:rPr>
          <w:w w:val="105"/>
          <w:sz w:val="21"/>
        </w:rPr>
        <w:t>8.</w:t>
      </w:r>
    </w:p>
    <w:p>
      <w:pPr>
        <w:pStyle w:val="Heading7"/>
        <w:spacing w:before="155"/>
      </w:pPr>
      <w:r>
        <w:rPr>
          <w:w w:val="115"/>
        </w:rPr>
        <w:t>Harm to individuals</w:t>
      </w:r>
    </w:p>
    <w:p>
      <w:pPr>
        <w:pStyle w:val="ListParagraph"/>
        <w:numPr>
          <w:ilvl w:val="0"/>
          <w:numId w:val="79"/>
        </w:numPr>
        <w:tabs>
          <w:tab w:pos="2380" w:val="left" w:leader="none"/>
          <w:tab w:pos="2381" w:val="left" w:leader="none"/>
        </w:tabs>
        <w:spacing w:line="242" w:lineRule="auto" w:before="142" w:after="0"/>
        <w:ind w:left="2381" w:right="1532" w:hanging="794"/>
        <w:jc w:val="left"/>
        <w:rPr>
          <w:sz w:val="21"/>
        </w:rPr>
      </w:pPr>
      <w:r>
        <w:rPr>
          <w:w w:val="105"/>
          <w:sz w:val="21"/>
        </w:rPr>
        <w:t>The new Act should </w:t>
      </w:r>
      <w:r>
        <w:rPr>
          <w:spacing w:val="-3"/>
          <w:w w:val="105"/>
          <w:sz w:val="21"/>
        </w:rPr>
        <w:t>allow claims to </w:t>
      </w:r>
      <w:r>
        <w:rPr>
          <w:w w:val="105"/>
          <w:sz w:val="21"/>
        </w:rPr>
        <w:t>be made </w:t>
      </w:r>
      <w:r>
        <w:rPr>
          <w:spacing w:val="-3"/>
          <w:w w:val="105"/>
          <w:sz w:val="21"/>
        </w:rPr>
        <w:t>to </w:t>
      </w:r>
      <w:r>
        <w:rPr>
          <w:w w:val="105"/>
          <w:sz w:val="21"/>
        </w:rPr>
        <w:t>address existing </w:t>
      </w:r>
      <w:r>
        <w:rPr>
          <w:spacing w:val="-3"/>
          <w:w w:val="105"/>
          <w:sz w:val="21"/>
        </w:rPr>
        <w:t>harm </w:t>
      </w:r>
      <w:r>
        <w:rPr>
          <w:w w:val="105"/>
          <w:sz w:val="21"/>
        </w:rPr>
        <w:t>and </w:t>
      </w:r>
      <w:r>
        <w:rPr>
          <w:spacing w:val="-3"/>
          <w:w w:val="105"/>
          <w:sz w:val="21"/>
        </w:rPr>
        <w:t>harm that </w:t>
      </w:r>
      <w:r>
        <w:rPr>
          <w:w w:val="105"/>
          <w:sz w:val="21"/>
        </w:rPr>
        <w:t>is </w:t>
      </w:r>
      <w:r>
        <w:rPr>
          <w:spacing w:val="-4"/>
          <w:w w:val="105"/>
          <w:sz w:val="21"/>
        </w:rPr>
        <w:t>likely</w:t>
      </w:r>
      <w:r>
        <w:rPr>
          <w:spacing w:val="-6"/>
          <w:w w:val="105"/>
          <w:sz w:val="21"/>
        </w:rPr>
        <w:t> </w:t>
      </w:r>
      <w:r>
        <w:rPr>
          <w:spacing w:val="-3"/>
          <w:w w:val="105"/>
          <w:sz w:val="21"/>
        </w:rPr>
        <w:t>to</w:t>
      </w:r>
      <w:r>
        <w:rPr>
          <w:spacing w:val="-5"/>
          <w:w w:val="105"/>
          <w:sz w:val="21"/>
        </w:rPr>
        <w:t> </w:t>
      </w:r>
      <w:r>
        <w:rPr>
          <w:spacing w:val="-3"/>
          <w:w w:val="105"/>
          <w:sz w:val="21"/>
        </w:rPr>
        <w:t>occur</w:t>
      </w:r>
      <w:r>
        <w:rPr>
          <w:spacing w:val="-5"/>
          <w:w w:val="105"/>
          <w:sz w:val="21"/>
        </w:rPr>
        <w:t> </w:t>
      </w:r>
      <w:r>
        <w:rPr>
          <w:spacing w:val="-3"/>
          <w:w w:val="105"/>
          <w:sz w:val="21"/>
        </w:rPr>
        <w:t>within</w:t>
      </w:r>
      <w:r>
        <w:rPr>
          <w:spacing w:val="-5"/>
          <w:w w:val="105"/>
          <w:sz w:val="21"/>
        </w:rPr>
        <w:t> </w:t>
      </w:r>
      <w:r>
        <w:rPr>
          <w:w w:val="105"/>
          <w:sz w:val="21"/>
        </w:rPr>
        <w:t>the</w:t>
      </w:r>
      <w:r>
        <w:rPr>
          <w:spacing w:val="-5"/>
          <w:w w:val="105"/>
          <w:sz w:val="21"/>
        </w:rPr>
        <w:t> </w:t>
      </w:r>
      <w:r>
        <w:rPr>
          <w:w w:val="105"/>
          <w:sz w:val="21"/>
        </w:rPr>
        <w:t>next</w:t>
      </w:r>
      <w:r>
        <w:rPr>
          <w:spacing w:val="-6"/>
          <w:w w:val="105"/>
          <w:sz w:val="21"/>
        </w:rPr>
        <w:t> </w:t>
      </w:r>
      <w:r>
        <w:rPr>
          <w:spacing w:val="-9"/>
          <w:w w:val="105"/>
          <w:sz w:val="21"/>
        </w:rPr>
        <w:t>12</w:t>
      </w:r>
      <w:r>
        <w:rPr>
          <w:spacing w:val="-5"/>
          <w:w w:val="105"/>
          <w:sz w:val="21"/>
        </w:rPr>
        <w:t> </w:t>
      </w:r>
      <w:r>
        <w:rPr>
          <w:spacing w:val="-3"/>
          <w:w w:val="105"/>
          <w:sz w:val="21"/>
        </w:rPr>
        <w:t>months.</w:t>
      </w:r>
      <w:r>
        <w:rPr>
          <w:spacing w:val="-5"/>
          <w:w w:val="105"/>
          <w:sz w:val="21"/>
        </w:rPr>
        <w:t> </w:t>
      </w:r>
      <w:r>
        <w:rPr>
          <w:w w:val="105"/>
          <w:sz w:val="21"/>
        </w:rPr>
        <w:t>This</w:t>
      </w:r>
      <w:r>
        <w:rPr>
          <w:spacing w:val="-5"/>
          <w:w w:val="105"/>
          <w:sz w:val="21"/>
        </w:rPr>
        <w:t> </w:t>
      </w:r>
      <w:r>
        <w:rPr>
          <w:w w:val="105"/>
          <w:sz w:val="21"/>
        </w:rPr>
        <w:t>is</w:t>
      </w:r>
      <w:r>
        <w:rPr>
          <w:spacing w:val="-5"/>
          <w:w w:val="105"/>
          <w:sz w:val="21"/>
        </w:rPr>
        <w:t> </w:t>
      </w:r>
      <w:r>
        <w:rPr>
          <w:spacing w:val="-3"/>
          <w:w w:val="105"/>
          <w:sz w:val="21"/>
        </w:rPr>
        <w:t>consistent</w:t>
      </w:r>
      <w:r>
        <w:rPr>
          <w:spacing w:val="-6"/>
          <w:w w:val="105"/>
          <w:sz w:val="21"/>
        </w:rPr>
        <w:t> </w:t>
      </w:r>
      <w:r>
        <w:rPr>
          <w:w w:val="105"/>
          <w:sz w:val="21"/>
        </w:rPr>
        <w:t>with</w:t>
      </w:r>
      <w:r>
        <w:rPr>
          <w:spacing w:val="-5"/>
          <w:w w:val="105"/>
          <w:sz w:val="21"/>
        </w:rPr>
        <w:t> </w:t>
      </w:r>
      <w:r>
        <w:rPr>
          <w:w w:val="105"/>
          <w:sz w:val="21"/>
        </w:rPr>
        <w:t>community</w:t>
      </w:r>
      <w:r>
        <w:rPr>
          <w:spacing w:val="-5"/>
          <w:w w:val="105"/>
          <w:sz w:val="21"/>
        </w:rPr>
        <w:t> </w:t>
      </w:r>
      <w:r>
        <w:rPr>
          <w:w w:val="105"/>
          <w:sz w:val="21"/>
        </w:rPr>
        <w:t>responses</w:t>
      </w:r>
      <w:r>
        <w:rPr>
          <w:spacing w:val="-5"/>
          <w:w w:val="105"/>
          <w:sz w:val="21"/>
        </w:rPr>
        <w:t> </w:t>
      </w:r>
      <w:r>
        <w:rPr>
          <w:spacing w:val="-3"/>
          <w:w w:val="105"/>
          <w:sz w:val="21"/>
        </w:rPr>
        <w:t>that </w:t>
      </w:r>
      <w:r>
        <w:rPr>
          <w:w w:val="105"/>
          <w:sz w:val="21"/>
        </w:rPr>
        <w:t>called </w:t>
      </w:r>
      <w:r>
        <w:rPr>
          <w:spacing w:val="-3"/>
          <w:w w:val="105"/>
          <w:sz w:val="21"/>
        </w:rPr>
        <w:t>for </w:t>
      </w:r>
      <w:r>
        <w:rPr>
          <w:w w:val="105"/>
          <w:sz w:val="21"/>
        </w:rPr>
        <w:t>the new Act </w:t>
      </w:r>
      <w:r>
        <w:rPr>
          <w:spacing w:val="-3"/>
          <w:w w:val="105"/>
          <w:sz w:val="21"/>
        </w:rPr>
        <w:t>to </w:t>
      </w:r>
      <w:r>
        <w:rPr>
          <w:w w:val="105"/>
          <w:sz w:val="21"/>
        </w:rPr>
        <w:t>provide a </w:t>
      </w:r>
      <w:r>
        <w:rPr>
          <w:spacing w:val="-3"/>
          <w:w w:val="105"/>
          <w:sz w:val="21"/>
        </w:rPr>
        <w:t>mechanism to </w:t>
      </w:r>
      <w:r>
        <w:rPr>
          <w:w w:val="105"/>
          <w:sz w:val="21"/>
        </w:rPr>
        <w:t>respond </w:t>
      </w:r>
      <w:r>
        <w:rPr>
          <w:spacing w:val="-3"/>
          <w:w w:val="105"/>
          <w:sz w:val="21"/>
        </w:rPr>
        <w:t>to </w:t>
      </w:r>
      <w:r>
        <w:rPr>
          <w:w w:val="105"/>
          <w:sz w:val="21"/>
        </w:rPr>
        <w:t>the risk of </w:t>
      </w:r>
      <w:r>
        <w:rPr>
          <w:spacing w:val="-3"/>
          <w:w w:val="105"/>
          <w:sz w:val="21"/>
        </w:rPr>
        <w:t>harm </w:t>
      </w:r>
      <w:r>
        <w:rPr>
          <w:w w:val="105"/>
          <w:sz w:val="21"/>
        </w:rPr>
        <w:t>posed by some trees, and is </w:t>
      </w:r>
      <w:r>
        <w:rPr>
          <w:spacing w:val="-3"/>
          <w:w w:val="105"/>
          <w:sz w:val="21"/>
        </w:rPr>
        <w:t>consistent </w:t>
      </w:r>
      <w:r>
        <w:rPr>
          <w:w w:val="105"/>
          <w:sz w:val="21"/>
        </w:rPr>
        <w:t>with the approach in interstate</w:t>
      </w:r>
      <w:r>
        <w:rPr>
          <w:spacing w:val="23"/>
          <w:w w:val="105"/>
          <w:sz w:val="21"/>
        </w:rPr>
        <w:t> </w:t>
      </w:r>
      <w:r>
        <w:rPr>
          <w:w w:val="105"/>
          <w:sz w:val="21"/>
        </w:rPr>
        <w:t>Acts.</w:t>
      </w:r>
    </w:p>
    <w:p>
      <w:pPr>
        <w:pStyle w:val="ListParagraph"/>
        <w:numPr>
          <w:ilvl w:val="0"/>
          <w:numId w:val="79"/>
        </w:numPr>
        <w:tabs>
          <w:tab w:pos="2380" w:val="left" w:leader="none"/>
          <w:tab w:pos="2381" w:val="left" w:leader="none"/>
        </w:tabs>
        <w:spacing w:line="242" w:lineRule="auto" w:before="125" w:after="0"/>
        <w:ind w:left="2381" w:right="1416" w:hanging="794"/>
        <w:jc w:val="left"/>
        <w:rPr>
          <w:sz w:val="12"/>
        </w:rPr>
      </w:pPr>
      <w:r>
        <w:rPr>
          <w:w w:val="105"/>
          <w:sz w:val="21"/>
        </w:rPr>
        <w:t>Where </w:t>
      </w:r>
      <w:r>
        <w:rPr>
          <w:spacing w:val="-3"/>
          <w:w w:val="105"/>
          <w:sz w:val="21"/>
        </w:rPr>
        <w:t>appropriate, claims </w:t>
      </w:r>
      <w:r>
        <w:rPr>
          <w:w w:val="105"/>
          <w:sz w:val="21"/>
        </w:rPr>
        <w:t>of </w:t>
      </w:r>
      <w:r>
        <w:rPr>
          <w:spacing w:val="-3"/>
          <w:w w:val="105"/>
          <w:sz w:val="21"/>
        </w:rPr>
        <w:t>harm </w:t>
      </w:r>
      <w:r>
        <w:rPr>
          <w:w w:val="105"/>
          <w:sz w:val="21"/>
        </w:rPr>
        <w:t>should be evidenced by both medical experts and arborists. For </w:t>
      </w:r>
      <w:r>
        <w:rPr>
          <w:spacing w:val="-3"/>
          <w:w w:val="105"/>
          <w:sz w:val="21"/>
        </w:rPr>
        <w:t>example, claims </w:t>
      </w:r>
      <w:r>
        <w:rPr>
          <w:w w:val="105"/>
          <w:sz w:val="21"/>
        </w:rPr>
        <w:t>of </w:t>
      </w:r>
      <w:r>
        <w:rPr>
          <w:spacing w:val="-3"/>
          <w:w w:val="105"/>
          <w:sz w:val="21"/>
        </w:rPr>
        <w:t>allergies </w:t>
      </w:r>
      <w:r>
        <w:rPr>
          <w:w w:val="105"/>
          <w:sz w:val="21"/>
        </w:rPr>
        <w:t>should be supported by medical testing and </w:t>
      </w:r>
      <w:r>
        <w:rPr>
          <w:spacing w:val="-2"/>
          <w:w w:val="105"/>
          <w:sz w:val="21"/>
        </w:rPr>
        <w:t>not </w:t>
      </w:r>
      <w:r>
        <w:rPr>
          <w:w w:val="105"/>
          <w:sz w:val="21"/>
        </w:rPr>
        <w:t>simply</w:t>
      </w:r>
      <w:r>
        <w:rPr>
          <w:spacing w:val="-11"/>
          <w:w w:val="105"/>
          <w:sz w:val="21"/>
        </w:rPr>
        <w:t> </w:t>
      </w:r>
      <w:r>
        <w:rPr>
          <w:w w:val="105"/>
          <w:sz w:val="21"/>
        </w:rPr>
        <w:t>a</w:t>
      </w:r>
      <w:r>
        <w:rPr>
          <w:spacing w:val="-11"/>
          <w:w w:val="105"/>
          <w:sz w:val="21"/>
        </w:rPr>
        <w:t> </w:t>
      </w:r>
      <w:r>
        <w:rPr>
          <w:w w:val="105"/>
          <w:sz w:val="21"/>
        </w:rPr>
        <w:t>letter</w:t>
      </w:r>
      <w:r>
        <w:rPr>
          <w:spacing w:val="-10"/>
          <w:w w:val="105"/>
          <w:sz w:val="21"/>
        </w:rPr>
        <w:t> </w:t>
      </w:r>
      <w:r>
        <w:rPr>
          <w:spacing w:val="-3"/>
          <w:w w:val="105"/>
          <w:sz w:val="21"/>
        </w:rPr>
        <w:t>from</w:t>
      </w:r>
      <w:r>
        <w:rPr>
          <w:spacing w:val="-11"/>
          <w:w w:val="105"/>
          <w:sz w:val="21"/>
        </w:rPr>
        <w:t> </w:t>
      </w:r>
      <w:r>
        <w:rPr>
          <w:w w:val="105"/>
          <w:sz w:val="21"/>
        </w:rPr>
        <w:t>a</w:t>
      </w:r>
      <w:r>
        <w:rPr>
          <w:spacing w:val="-10"/>
          <w:w w:val="105"/>
          <w:sz w:val="21"/>
        </w:rPr>
        <w:t> </w:t>
      </w:r>
      <w:r>
        <w:rPr>
          <w:w w:val="105"/>
          <w:sz w:val="21"/>
        </w:rPr>
        <w:t>general</w:t>
      </w:r>
      <w:r>
        <w:rPr>
          <w:spacing w:val="-11"/>
          <w:w w:val="105"/>
          <w:sz w:val="21"/>
        </w:rPr>
        <w:t> </w:t>
      </w:r>
      <w:r>
        <w:rPr>
          <w:spacing w:val="-3"/>
          <w:w w:val="105"/>
          <w:sz w:val="21"/>
        </w:rPr>
        <w:t>practitioner.</w:t>
      </w:r>
      <w:r>
        <w:rPr>
          <w:spacing w:val="-3"/>
          <w:w w:val="105"/>
          <w:position w:val="7"/>
          <w:sz w:val="12"/>
        </w:rPr>
        <w:t>359</w:t>
      </w:r>
      <w:r>
        <w:rPr>
          <w:spacing w:val="12"/>
          <w:w w:val="105"/>
          <w:position w:val="7"/>
          <w:sz w:val="12"/>
        </w:rPr>
        <w:t> </w:t>
      </w:r>
      <w:r>
        <w:rPr>
          <w:w w:val="105"/>
          <w:sz w:val="21"/>
        </w:rPr>
        <w:t>For</w:t>
      </w:r>
      <w:r>
        <w:rPr>
          <w:spacing w:val="-11"/>
          <w:w w:val="105"/>
          <w:sz w:val="21"/>
        </w:rPr>
        <w:t> </w:t>
      </w:r>
      <w:r>
        <w:rPr>
          <w:spacing w:val="-3"/>
          <w:w w:val="105"/>
          <w:sz w:val="21"/>
        </w:rPr>
        <w:t>claims</w:t>
      </w:r>
      <w:r>
        <w:rPr>
          <w:spacing w:val="-10"/>
          <w:w w:val="105"/>
          <w:sz w:val="21"/>
        </w:rPr>
        <w:t> </w:t>
      </w:r>
      <w:r>
        <w:rPr>
          <w:spacing w:val="-3"/>
          <w:w w:val="105"/>
          <w:sz w:val="21"/>
        </w:rPr>
        <w:t>relating</w:t>
      </w:r>
      <w:r>
        <w:rPr>
          <w:spacing w:val="-11"/>
          <w:w w:val="105"/>
          <w:sz w:val="21"/>
        </w:rPr>
        <w:t> </w:t>
      </w:r>
      <w:r>
        <w:rPr>
          <w:spacing w:val="-3"/>
          <w:w w:val="105"/>
          <w:sz w:val="21"/>
        </w:rPr>
        <w:t>to</w:t>
      </w:r>
      <w:r>
        <w:rPr>
          <w:spacing w:val="-10"/>
          <w:w w:val="105"/>
          <w:sz w:val="21"/>
        </w:rPr>
        <w:t> </w:t>
      </w:r>
      <w:r>
        <w:rPr>
          <w:w w:val="105"/>
          <w:sz w:val="21"/>
        </w:rPr>
        <w:t>psychological</w:t>
      </w:r>
      <w:r>
        <w:rPr>
          <w:spacing w:val="-11"/>
          <w:w w:val="105"/>
          <w:sz w:val="21"/>
        </w:rPr>
        <w:t> </w:t>
      </w:r>
      <w:r>
        <w:rPr>
          <w:w w:val="105"/>
          <w:sz w:val="21"/>
        </w:rPr>
        <w:t>distress,</w:t>
      </w:r>
      <w:r>
        <w:rPr>
          <w:spacing w:val="-10"/>
          <w:w w:val="105"/>
          <w:sz w:val="21"/>
        </w:rPr>
        <w:t> </w:t>
      </w:r>
      <w:r>
        <w:rPr>
          <w:w w:val="105"/>
          <w:sz w:val="21"/>
        </w:rPr>
        <w:t>the NSWLEC approach is </w:t>
      </w:r>
      <w:r>
        <w:rPr>
          <w:spacing w:val="-3"/>
          <w:w w:val="105"/>
          <w:sz w:val="21"/>
        </w:rPr>
        <w:t>appropriate. </w:t>
      </w:r>
      <w:r>
        <w:rPr>
          <w:w w:val="105"/>
          <w:sz w:val="21"/>
        </w:rPr>
        <w:t>The NSWLEC does </w:t>
      </w:r>
      <w:r>
        <w:rPr>
          <w:spacing w:val="-2"/>
          <w:w w:val="105"/>
          <w:sz w:val="21"/>
        </w:rPr>
        <w:t>not </w:t>
      </w:r>
      <w:r>
        <w:rPr>
          <w:spacing w:val="-4"/>
          <w:w w:val="105"/>
          <w:sz w:val="21"/>
        </w:rPr>
        <w:t>make </w:t>
      </w:r>
      <w:r>
        <w:rPr>
          <w:w w:val="105"/>
          <w:sz w:val="21"/>
        </w:rPr>
        <w:t>orders in </w:t>
      </w:r>
      <w:r>
        <w:rPr>
          <w:spacing w:val="-3"/>
          <w:w w:val="105"/>
          <w:sz w:val="21"/>
        </w:rPr>
        <w:t>relation to </w:t>
      </w:r>
      <w:r>
        <w:rPr>
          <w:w w:val="105"/>
          <w:sz w:val="21"/>
        </w:rPr>
        <w:t>the tree where there is no </w:t>
      </w:r>
      <w:r>
        <w:rPr>
          <w:spacing w:val="-3"/>
          <w:w w:val="105"/>
          <w:sz w:val="21"/>
        </w:rPr>
        <w:t>arboricultural </w:t>
      </w:r>
      <w:r>
        <w:rPr>
          <w:w w:val="105"/>
          <w:sz w:val="21"/>
        </w:rPr>
        <w:t>basis or evidence </w:t>
      </w:r>
      <w:r>
        <w:rPr>
          <w:spacing w:val="-3"/>
          <w:w w:val="105"/>
          <w:sz w:val="21"/>
        </w:rPr>
        <w:t>to </w:t>
      </w:r>
      <w:r>
        <w:rPr>
          <w:w w:val="105"/>
          <w:sz w:val="21"/>
        </w:rPr>
        <w:t>support fears about a tree </w:t>
      </w:r>
      <w:r>
        <w:rPr>
          <w:spacing w:val="-4"/>
          <w:w w:val="105"/>
          <w:sz w:val="21"/>
        </w:rPr>
        <w:t>falling </w:t>
      </w:r>
      <w:r>
        <w:rPr>
          <w:w w:val="105"/>
          <w:sz w:val="21"/>
        </w:rPr>
        <w:t>or </w:t>
      </w:r>
      <w:r>
        <w:rPr>
          <w:spacing w:val="-3"/>
          <w:w w:val="105"/>
          <w:sz w:val="21"/>
        </w:rPr>
        <w:t>dropping </w:t>
      </w:r>
      <w:r>
        <w:rPr>
          <w:w w:val="105"/>
          <w:sz w:val="21"/>
        </w:rPr>
        <w:t>a</w:t>
      </w:r>
      <w:r>
        <w:rPr>
          <w:spacing w:val="14"/>
          <w:w w:val="105"/>
          <w:sz w:val="21"/>
        </w:rPr>
        <w:t> </w:t>
      </w:r>
      <w:r>
        <w:rPr>
          <w:w w:val="105"/>
          <w:sz w:val="21"/>
        </w:rPr>
        <w:t>branch.</w:t>
      </w:r>
      <w:r>
        <w:rPr>
          <w:w w:val="105"/>
          <w:position w:val="7"/>
          <w:sz w:val="12"/>
        </w:rPr>
        <w:t>360</w:t>
      </w:r>
    </w:p>
    <w:p>
      <w:pPr>
        <w:pStyle w:val="ListParagraph"/>
        <w:numPr>
          <w:ilvl w:val="0"/>
          <w:numId w:val="79"/>
        </w:numPr>
        <w:tabs>
          <w:tab w:pos="2381" w:val="left" w:leader="none"/>
          <w:tab w:pos="2382" w:val="left" w:leader="none"/>
        </w:tabs>
        <w:spacing w:line="242" w:lineRule="auto" w:before="126" w:after="0"/>
        <w:ind w:left="2381" w:right="1538" w:hanging="794"/>
        <w:jc w:val="left"/>
        <w:rPr>
          <w:sz w:val="12"/>
        </w:rPr>
      </w:pPr>
      <w:r>
        <w:rPr>
          <w:sz w:val="21"/>
        </w:rPr>
        <w:t>The </w:t>
      </w:r>
      <w:r>
        <w:rPr>
          <w:spacing w:val="-3"/>
          <w:sz w:val="21"/>
        </w:rPr>
        <w:t>potential for future harm </w:t>
      </w:r>
      <w:r>
        <w:rPr>
          <w:sz w:val="21"/>
        </w:rPr>
        <w:t>should extend </w:t>
      </w:r>
      <w:r>
        <w:rPr>
          <w:spacing w:val="-3"/>
          <w:sz w:val="21"/>
        </w:rPr>
        <w:t>to </w:t>
      </w:r>
      <w:r>
        <w:rPr>
          <w:sz w:val="21"/>
        </w:rPr>
        <w:t>owners and occupiers of the affected </w:t>
      </w:r>
      <w:r>
        <w:rPr>
          <w:spacing w:val="-3"/>
          <w:sz w:val="21"/>
        </w:rPr>
        <w:t>land,  </w:t>
      </w:r>
      <w:r>
        <w:rPr>
          <w:sz w:val="21"/>
        </w:rPr>
        <w:t>and </w:t>
      </w:r>
      <w:r>
        <w:rPr>
          <w:spacing w:val="-3"/>
          <w:sz w:val="21"/>
        </w:rPr>
        <w:t>could include </w:t>
      </w:r>
      <w:r>
        <w:rPr>
          <w:sz w:val="21"/>
        </w:rPr>
        <w:t>visitors. This mirrors the interstate </w:t>
      </w:r>
      <w:r>
        <w:rPr>
          <w:spacing w:val="-3"/>
          <w:sz w:val="21"/>
        </w:rPr>
        <w:t>approach.</w:t>
      </w:r>
      <w:r>
        <w:rPr>
          <w:spacing w:val="-3"/>
          <w:position w:val="7"/>
          <w:sz w:val="12"/>
        </w:rPr>
        <w:t>361 </w:t>
      </w:r>
      <w:r>
        <w:rPr>
          <w:sz w:val="21"/>
        </w:rPr>
        <w:t>The </w:t>
      </w:r>
      <w:r>
        <w:rPr>
          <w:spacing w:val="-5"/>
          <w:sz w:val="21"/>
        </w:rPr>
        <w:t>12-month  </w:t>
      </w:r>
      <w:r>
        <w:rPr>
          <w:spacing w:val="-3"/>
          <w:sz w:val="21"/>
        </w:rPr>
        <w:t>limit  </w:t>
      </w:r>
      <w:r>
        <w:rPr>
          <w:sz w:val="21"/>
        </w:rPr>
        <w:t>on </w:t>
      </w:r>
      <w:r>
        <w:rPr>
          <w:spacing w:val="-3"/>
          <w:sz w:val="21"/>
        </w:rPr>
        <w:t>future harm </w:t>
      </w:r>
      <w:r>
        <w:rPr>
          <w:sz w:val="21"/>
        </w:rPr>
        <w:t>is in </w:t>
      </w:r>
      <w:r>
        <w:rPr>
          <w:spacing w:val="-3"/>
          <w:sz w:val="21"/>
        </w:rPr>
        <w:t>keeping </w:t>
      </w:r>
      <w:r>
        <w:rPr>
          <w:sz w:val="21"/>
        </w:rPr>
        <w:t>with </w:t>
      </w:r>
      <w:r>
        <w:rPr>
          <w:spacing w:val="-3"/>
          <w:sz w:val="21"/>
        </w:rPr>
        <w:t>submissions from </w:t>
      </w:r>
      <w:r>
        <w:rPr>
          <w:sz w:val="21"/>
        </w:rPr>
        <w:t>arborists who stated </w:t>
      </w:r>
      <w:r>
        <w:rPr>
          <w:spacing w:val="-3"/>
          <w:sz w:val="21"/>
        </w:rPr>
        <w:t>that </w:t>
      </w:r>
      <w:r>
        <w:rPr>
          <w:sz w:val="21"/>
        </w:rPr>
        <w:t>risk assessments </w:t>
      </w:r>
      <w:r>
        <w:rPr>
          <w:spacing w:val="-3"/>
          <w:sz w:val="21"/>
        </w:rPr>
        <w:t>that </w:t>
      </w:r>
      <w:r>
        <w:rPr>
          <w:sz w:val="21"/>
        </w:rPr>
        <w:t>extend beyond </w:t>
      </w:r>
      <w:r>
        <w:rPr>
          <w:spacing w:val="-9"/>
          <w:sz w:val="21"/>
        </w:rPr>
        <w:t>12 </w:t>
      </w:r>
      <w:r>
        <w:rPr>
          <w:spacing w:val="-3"/>
          <w:sz w:val="21"/>
        </w:rPr>
        <w:t>months </w:t>
      </w:r>
      <w:r>
        <w:rPr>
          <w:sz w:val="21"/>
        </w:rPr>
        <w:t>do </w:t>
      </w:r>
      <w:r>
        <w:rPr>
          <w:spacing w:val="-2"/>
          <w:sz w:val="21"/>
        </w:rPr>
        <w:t>not </w:t>
      </w:r>
      <w:r>
        <w:rPr>
          <w:spacing w:val="-3"/>
          <w:sz w:val="21"/>
        </w:rPr>
        <w:t>accurately represent </w:t>
      </w:r>
      <w:r>
        <w:rPr>
          <w:sz w:val="21"/>
        </w:rPr>
        <w:t>the risk posed by the tree and </w:t>
      </w:r>
      <w:r>
        <w:rPr>
          <w:spacing w:val="-3"/>
          <w:sz w:val="21"/>
        </w:rPr>
        <w:t>appropriate management</w:t>
      </w:r>
      <w:r>
        <w:rPr>
          <w:spacing w:val="21"/>
          <w:sz w:val="21"/>
        </w:rPr>
        <w:t> </w:t>
      </w:r>
      <w:r>
        <w:rPr>
          <w:sz w:val="21"/>
        </w:rPr>
        <w:t>options.</w:t>
      </w:r>
      <w:r>
        <w:rPr>
          <w:position w:val="7"/>
          <w:sz w:val="12"/>
        </w:rPr>
        <w:t>362</w:t>
      </w:r>
    </w:p>
    <w:p>
      <w:pPr>
        <w:pStyle w:val="ListParagraph"/>
        <w:numPr>
          <w:ilvl w:val="0"/>
          <w:numId w:val="79"/>
        </w:numPr>
        <w:tabs>
          <w:tab w:pos="2381" w:val="left" w:leader="none"/>
          <w:tab w:pos="2382" w:val="left" w:leader="none"/>
        </w:tabs>
        <w:spacing w:line="242" w:lineRule="auto" w:before="126" w:after="0"/>
        <w:ind w:left="2381" w:right="1437" w:hanging="794"/>
        <w:jc w:val="left"/>
        <w:rPr>
          <w:sz w:val="21"/>
        </w:rPr>
      </w:pPr>
      <w:r>
        <w:rPr>
          <w:w w:val="105"/>
          <w:sz w:val="21"/>
        </w:rPr>
        <w:t>The new Act is </w:t>
      </w:r>
      <w:r>
        <w:rPr>
          <w:spacing w:val="-3"/>
          <w:w w:val="105"/>
          <w:sz w:val="21"/>
        </w:rPr>
        <w:t>concerned </w:t>
      </w:r>
      <w:r>
        <w:rPr>
          <w:w w:val="105"/>
          <w:sz w:val="21"/>
        </w:rPr>
        <w:t>with the </w:t>
      </w:r>
      <w:r>
        <w:rPr>
          <w:spacing w:val="-3"/>
          <w:w w:val="105"/>
          <w:sz w:val="21"/>
        </w:rPr>
        <w:t>prevention </w:t>
      </w:r>
      <w:r>
        <w:rPr>
          <w:w w:val="105"/>
          <w:sz w:val="21"/>
        </w:rPr>
        <w:t>of </w:t>
      </w:r>
      <w:r>
        <w:rPr>
          <w:spacing w:val="-3"/>
          <w:w w:val="105"/>
          <w:sz w:val="21"/>
        </w:rPr>
        <w:t>harm. </w:t>
      </w:r>
      <w:r>
        <w:rPr>
          <w:w w:val="105"/>
          <w:sz w:val="21"/>
        </w:rPr>
        <w:t>It is </w:t>
      </w:r>
      <w:r>
        <w:rPr>
          <w:spacing w:val="-2"/>
          <w:w w:val="105"/>
          <w:sz w:val="21"/>
        </w:rPr>
        <w:t>not </w:t>
      </w:r>
      <w:r>
        <w:rPr>
          <w:spacing w:val="-3"/>
          <w:w w:val="105"/>
          <w:sz w:val="21"/>
        </w:rPr>
        <w:t>intended to </w:t>
      </w:r>
      <w:r>
        <w:rPr>
          <w:w w:val="105"/>
          <w:sz w:val="21"/>
        </w:rPr>
        <w:t>provide a compensation scheme </w:t>
      </w:r>
      <w:r>
        <w:rPr>
          <w:spacing w:val="-3"/>
          <w:w w:val="105"/>
          <w:sz w:val="21"/>
        </w:rPr>
        <w:t>for </w:t>
      </w:r>
      <w:r>
        <w:rPr>
          <w:w w:val="105"/>
          <w:sz w:val="21"/>
        </w:rPr>
        <w:t>personal </w:t>
      </w:r>
      <w:r>
        <w:rPr>
          <w:spacing w:val="-4"/>
          <w:w w:val="105"/>
          <w:sz w:val="21"/>
        </w:rPr>
        <w:t>injury. </w:t>
      </w:r>
      <w:r>
        <w:rPr>
          <w:w w:val="105"/>
          <w:sz w:val="21"/>
        </w:rPr>
        <w:t>While the orders recommended in </w:t>
      </w:r>
      <w:r>
        <w:rPr>
          <w:spacing w:val="-4"/>
          <w:w w:val="105"/>
          <w:sz w:val="21"/>
        </w:rPr>
        <w:t>Chapter </w:t>
      </w:r>
      <w:r>
        <w:rPr>
          <w:w w:val="105"/>
          <w:sz w:val="21"/>
        </w:rPr>
        <w:t>9 extend </w:t>
      </w:r>
      <w:r>
        <w:rPr>
          <w:spacing w:val="-3"/>
          <w:w w:val="105"/>
          <w:sz w:val="21"/>
        </w:rPr>
        <w:t>to compensating </w:t>
      </w:r>
      <w:r>
        <w:rPr>
          <w:w w:val="105"/>
          <w:sz w:val="21"/>
        </w:rPr>
        <w:t>applicants </w:t>
      </w:r>
      <w:r>
        <w:rPr>
          <w:spacing w:val="-3"/>
          <w:w w:val="105"/>
          <w:sz w:val="21"/>
        </w:rPr>
        <w:t>for </w:t>
      </w:r>
      <w:r>
        <w:rPr>
          <w:w w:val="105"/>
          <w:sz w:val="21"/>
        </w:rPr>
        <w:t>damage caused </w:t>
      </w:r>
      <w:r>
        <w:rPr>
          <w:spacing w:val="-3"/>
          <w:w w:val="105"/>
          <w:sz w:val="21"/>
        </w:rPr>
        <w:t>to </w:t>
      </w:r>
      <w:r>
        <w:rPr>
          <w:w w:val="105"/>
          <w:sz w:val="21"/>
        </w:rPr>
        <w:t>their property or </w:t>
      </w:r>
      <w:r>
        <w:rPr>
          <w:spacing w:val="-3"/>
          <w:w w:val="105"/>
          <w:sz w:val="21"/>
        </w:rPr>
        <w:t>land, </w:t>
      </w:r>
      <w:r>
        <w:rPr>
          <w:w w:val="105"/>
          <w:sz w:val="21"/>
        </w:rPr>
        <w:t>a </w:t>
      </w:r>
      <w:r>
        <w:rPr>
          <w:spacing w:val="-3"/>
          <w:w w:val="105"/>
          <w:sz w:val="21"/>
        </w:rPr>
        <w:t>similar </w:t>
      </w:r>
      <w:r>
        <w:rPr>
          <w:w w:val="105"/>
          <w:sz w:val="21"/>
        </w:rPr>
        <w:t>order is </w:t>
      </w:r>
      <w:r>
        <w:rPr>
          <w:spacing w:val="-2"/>
          <w:w w:val="105"/>
          <w:sz w:val="21"/>
        </w:rPr>
        <w:t>not </w:t>
      </w:r>
      <w:r>
        <w:rPr>
          <w:w w:val="105"/>
          <w:sz w:val="21"/>
        </w:rPr>
        <w:t>recommended </w:t>
      </w:r>
      <w:r>
        <w:rPr>
          <w:spacing w:val="-3"/>
          <w:w w:val="105"/>
          <w:sz w:val="21"/>
        </w:rPr>
        <w:t>for harm </w:t>
      </w:r>
      <w:r>
        <w:rPr>
          <w:w w:val="105"/>
          <w:sz w:val="21"/>
        </w:rPr>
        <w:t>caused </w:t>
      </w:r>
      <w:r>
        <w:rPr>
          <w:spacing w:val="-3"/>
          <w:w w:val="105"/>
          <w:sz w:val="21"/>
        </w:rPr>
        <w:t>to </w:t>
      </w:r>
      <w:r>
        <w:rPr>
          <w:w w:val="105"/>
          <w:sz w:val="21"/>
        </w:rPr>
        <w:t>people. This is </w:t>
      </w:r>
      <w:r>
        <w:rPr>
          <w:spacing w:val="-3"/>
          <w:w w:val="105"/>
          <w:sz w:val="21"/>
        </w:rPr>
        <w:t>consistent </w:t>
      </w:r>
      <w:r>
        <w:rPr>
          <w:w w:val="105"/>
          <w:sz w:val="21"/>
        </w:rPr>
        <w:t>with interstate schemes. These schemes </w:t>
      </w:r>
      <w:r>
        <w:rPr>
          <w:spacing w:val="-3"/>
          <w:w w:val="105"/>
          <w:sz w:val="21"/>
        </w:rPr>
        <w:t>are </w:t>
      </w:r>
      <w:r>
        <w:rPr>
          <w:w w:val="105"/>
          <w:sz w:val="21"/>
        </w:rPr>
        <w:t>also </w:t>
      </w:r>
      <w:r>
        <w:rPr>
          <w:spacing w:val="-3"/>
          <w:w w:val="105"/>
          <w:sz w:val="21"/>
        </w:rPr>
        <w:t>preventative </w:t>
      </w:r>
      <w:r>
        <w:rPr>
          <w:w w:val="105"/>
          <w:sz w:val="21"/>
        </w:rPr>
        <w:t>in </w:t>
      </w:r>
      <w:r>
        <w:rPr>
          <w:spacing w:val="-4"/>
          <w:w w:val="105"/>
          <w:sz w:val="21"/>
        </w:rPr>
        <w:t>nature. </w:t>
      </w:r>
      <w:r>
        <w:rPr>
          <w:w w:val="105"/>
          <w:sz w:val="21"/>
        </w:rPr>
        <w:t>For </w:t>
      </w:r>
      <w:r>
        <w:rPr>
          <w:spacing w:val="-3"/>
          <w:w w:val="105"/>
          <w:sz w:val="21"/>
        </w:rPr>
        <w:t>example, </w:t>
      </w:r>
      <w:r>
        <w:rPr>
          <w:w w:val="105"/>
          <w:sz w:val="21"/>
        </w:rPr>
        <w:t>in </w:t>
      </w:r>
      <w:r>
        <w:rPr>
          <w:i/>
          <w:w w:val="105"/>
          <w:sz w:val="21"/>
        </w:rPr>
        <w:t>Robson v </w:t>
      </w:r>
      <w:r>
        <w:rPr>
          <w:i/>
          <w:spacing w:val="-3"/>
          <w:w w:val="105"/>
          <w:sz w:val="21"/>
        </w:rPr>
        <w:t>Leischke</w:t>
      </w:r>
      <w:r>
        <w:rPr>
          <w:spacing w:val="-3"/>
          <w:w w:val="105"/>
          <w:position w:val="7"/>
          <w:sz w:val="12"/>
        </w:rPr>
        <w:t>363 </w:t>
      </w:r>
      <w:r>
        <w:rPr>
          <w:spacing w:val="-4"/>
          <w:w w:val="105"/>
          <w:sz w:val="21"/>
        </w:rPr>
        <w:t>Chief </w:t>
      </w:r>
      <w:r>
        <w:rPr>
          <w:w w:val="105"/>
          <w:sz w:val="21"/>
        </w:rPr>
        <w:t>Justice Preston </w:t>
      </w:r>
      <w:r>
        <w:rPr>
          <w:spacing w:val="-3"/>
          <w:w w:val="105"/>
          <w:sz w:val="21"/>
        </w:rPr>
        <w:t>distinguished </w:t>
      </w:r>
      <w:r>
        <w:rPr>
          <w:w w:val="105"/>
          <w:sz w:val="21"/>
        </w:rPr>
        <w:t>the causes of action under the NSW Act </w:t>
      </w:r>
      <w:r>
        <w:rPr>
          <w:spacing w:val="-3"/>
          <w:w w:val="105"/>
          <w:sz w:val="21"/>
        </w:rPr>
        <w:t>from breaches </w:t>
      </w:r>
      <w:r>
        <w:rPr>
          <w:w w:val="105"/>
          <w:sz w:val="21"/>
        </w:rPr>
        <w:t>of a duty imposed on a person under tort </w:t>
      </w:r>
      <w:r>
        <w:rPr>
          <w:spacing w:val="-5"/>
          <w:w w:val="105"/>
          <w:sz w:val="21"/>
        </w:rPr>
        <w:t>law, </w:t>
      </w:r>
      <w:r>
        <w:rPr>
          <w:spacing w:val="-3"/>
          <w:w w:val="105"/>
          <w:sz w:val="21"/>
        </w:rPr>
        <w:t>explaining</w:t>
      </w:r>
      <w:r>
        <w:rPr>
          <w:spacing w:val="-2"/>
          <w:w w:val="105"/>
          <w:sz w:val="21"/>
        </w:rPr>
        <w:t> </w:t>
      </w:r>
      <w:r>
        <w:rPr>
          <w:w w:val="105"/>
          <w:sz w:val="21"/>
        </w:rPr>
        <w:t>that:</w:t>
      </w:r>
    </w:p>
    <w:p>
      <w:pPr>
        <w:spacing w:line="254" w:lineRule="auto" w:before="137"/>
        <w:ind w:left="2834" w:right="1636" w:firstLine="0"/>
        <w:jc w:val="left"/>
        <w:rPr>
          <w:sz w:val="11"/>
        </w:rPr>
      </w:pPr>
      <w:r>
        <w:rPr>
          <w:w w:val="105"/>
          <w:sz w:val="20"/>
        </w:rPr>
        <w:t>The necessary nexus is between the ‘tree’ and </w:t>
      </w:r>
      <w:r>
        <w:rPr>
          <w:w w:val="115"/>
          <w:sz w:val="20"/>
        </w:rPr>
        <w:t>… </w:t>
      </w:r>
      <w:r>
        <w:rPr>
          <w:w w:val="105"/>
          <w:sz w:val="20"/>
        </w:rPr>
        <w:t>likely injury to any person; it is not between some act, or omission to act where there was a duty to act, of the owner or occupier of the land on which the tree is situated </w:t>
      </w:r>
      <w:r>
        <w:rPr>
          <w:w w:val="115"/>
          <w:sz w:val="20"/>
        </w:rPr>
        <w:t>… </w:t>
      </w:r>
      <w:r>
        <w:rPr>
          <w:w w:val="105"/>
          <w:sz w:val="20"/>
        </w:rPr>
        <w:t>and likely injury to any person.</w:t>
      </w:r>
      <w:r>
        <w:rPr>
          <w:w w:val="105"/>
          <w:position w:val="7"/>
          <w:sz w:val="11"/>
        </w:rPr>
        <w:t>364</w:t>
      </w:r>
    </w:p>
    <w:p>
      <w:pPr>
        <w:pStyle w:val="ListParagraph"/>
        <w:numPr>
          <w:ilvl w:val="0"/>
          <w:numId w:val="79"/>
        </w:numPr>
        <w:tabs>
          <w:tab w:pos="2381" w:val="left" w:leader="none"/>
          <w:tab w:pos="2382" w:val="left" w:leader="none"/>
        </w:tabs>
        <w:spacing w:line="242" w:lineRule="auto" w:before="114" w:after="0"/>
        <w:ind w:left="2381" w:right="1428" w:hanging="794"/>
        <w:jc w:val="left"/>
        <w:rPr>
          <w:sz w:val="21"/>
        </w:rPr>
      </w:pPr>
      <w:r>
        <w:rPr>
          <w:w w:val="105"/>
          <w:sz w:val="21"/>
        </w:rPr>
        <w:t>The </w:t>
      </w:r>
      <w:r>
        <w:rPr>
          <w:spacing w:val="-3"/>
          <w:w w:val="105"/>
          <w:sz w:val="21"/>
        </w:rPr>
        <w:t>focus </w:t>
      </w:r>
      <w:r>
        <w:rPr>
          <w:w w:val="105"/>
          <w:sz w:val="21"/>
        </w:rPr>
        <w:t>is on action </w:t>
      </w:r>
      <w:r>
        <w:rPr>
          <w:spacing w:val="-3"/>
          <w:w w:val="105"/>
          <w:sz w:val="21"/>
        </w:rPr>
        <w:t>that </w:t>
      </w:r>
      <w:r>
        <w:rPr>
          <w:w w:val="105"/>
          <w:sz w:val="21"/>
        </w:rPr>
        <w:t>can be </w:t>
      </w:r>
      <w:r>
        <w:rPr>
          <w:spacing w:val="-3"/>
          <w:w w:val="105"/>
          <w:sz w:val="21"/>
        </w:rPr>
        <w:t>taken </w:t>
      </w:r>
      <w:r>
        <w:rPr>
          <w:w w:val="105"/>
          <w:sz w:val="21"/>
        </w:rPr>
        <w:t>in </w:t>
      </w:r>
      <w:r>
        <w:rPr>
          <w:spacing w:val="-3"/>
          <w:w w:val="105"/>
          <w:sz w:val="21"/>
        </w:rPr>
        <w:t>relation to </w:t>
      </w:r>
      <w:r>
        <w:rPr>
          <w:w w:val="105"/>
          <w:sz w:val="21"/>
        </w:rPr>
        <w:t>the tree </w:t>
      </w:r>
      <w:r>
        <w:rPr>
          <w:spacing w:val="-3"/>
          <w:w w:val="105"/>
          <w:sz w:val="21"/>
        </w:rPr>
        <w:t>to </w:t>
      </w:r>
      <w:r>
        <w:rPr>
          <w:w w:val="105"/>
          <w:sz w:val="21"/>
        </w:rPr>
        <w:t>address </w:t>
      </w:r>
      <w:r>
        <w:rPr>
          <w:spacing w:val="-3"/>
          <w:w w:val="105"/>
          <w:sz w:val="21"/>
        </w:rPr>
        <w:t>harm that </w:t>
      </w:r>
      <w:r>
        <w:rPr>
          <w:w w:val="105"/>
          <w:sz w:val="21"/>
        </w:rPr>
        <w:t>is </w:t>
      </w:r>
      <w:r>
        <w:rPr>
          <w:spacing w:val="-3"/>
          <w:w w:val="105"/>
          <w:sz w:val="21"/>
        </w:rPr>
        <w:t>occurring </w:t>
      </w:r>
      <w:r>
        <w:rPr>
          <w:w w:val="105"/>
          <w:sz w:val="21"/>
        </w:rPr>
        <w:t>and </w:t>
      </w:r>
      <w:r>
        <w:rPr>
          <w:spacing w:val="-3"/>
          <w:w w:val="105"/>
          <w:sz w:val="21"/>
        </w:rPr>
        <w:t>to prevent harm from occurring </w:t>
      </w:r>
      <w:r>
        <w:rPr>
          <w:w w:val="105"/>
          <w:sz w:val="21"/>
        </w:rPr>
        <w:t>in the </w:t>
      </w:r>
      <w:r>
        <w:rPr>
          <w:spacing w:val="-4"/>
          <w:w w:val="105"/>
          <w:sz w:val="21"/>
        </w:rPr>
        <w:t>future. </w:t>
      </w:r>
      <w:r>
        <w:rPr>
          <w:w w:val="105"/>
          <w:sz w:val="21"/>
        </w:rPr>
        <w:t>Harm </w:t>
      </w:r>
      <w:r>
        <w:rPr>
          <w:spacing w:val="-3"/>
          <w:w w:val="105"/>
          <w:sz w:val="21"/>
        </w:rPr>
        <w:t>that </w:t>
      </w:r>
      <w:r>
        <w:rPr>
          <w:spacing w:val="-2"/>
          <w:w w:val="105"/>
          <w:sz w:val="21"/>
        </w:rPr>
        <w:t>has </w:t>
      </w:r>
      <w:r>
        <w:rPr>
          <w:spacing w:val="-3"/>
          <w:w w:val="105"/>
          <w:sz w:val="21"/>
        </w:rPr>
        <w:t>already </w:t>
      </w:r>
      <w:r>
        <w:rPr>
          <w:w w:val="105"/>
          <w:sz w:val="21"/>
        </w:rPr>
        <w:t>been caused </w:t>
      </w:r>
      <w:r>
        <w:rPr>
          <w:spacing w:val="-3"/>
          <w:w w:val="105"/>
          <w:sz w:val="21"/>
        </w:rPr>
        <w:t>may </w:t>
      </w:r>
      <w:r>
        <w:rPr>
          <w:w w:val="105"/>
          <w:sz w:val="21"/>
        </w:rPr>
        <w:t>be an evidentiary factor </w:t>
      </w:r>
      <w:r>
        <w:rPr>
          <w:spacing w:val="-3"/>
          <w:w w:val="105"/>
          <w:sz w:val="21"/>
        </w:rPr>
        <w:t>that </w:t>
      </w:r>
      <w:r>
        <w:rPr>
          <w:spacing w:val="-5"/>
          <w:w w:val="105"/>
          <w:sz w:val="21"/>
        </w:rPr>
        <w:t>VCAT </w:t>
      </w:r>
      <w:r>
        <w:rPr>
          <w:spacing w:val="-3"/>
          <w:w w:val="105"/>
          <w:sz w:val="21"/>
        </w:rPr>
        <w:t>will consider </w:t>
      </w:r>
      <w:r>
        <w:rPr>
          <w:w w:val="105"/>
          <w:sz w:val="21"/>
        </w:rPr>
        <w:t>in </w:t>
      </w:r>
      <w:r>
        <w:rPr>
          <w:spacing w:val="-3"/>
          <w:w w:val="105"/>
          <w:sz w:val="21"/>
        </w:rPr>
        <w:t>determining </w:t>
      </w:r>
      <w:r>
        <w:rPr>
          <w:w w:val="105"/>
          <w:sz w:val="21"/>
        </w:rPr>
        <w:t>the </w:t>
      </w:r>
      <w:r>
        <w:rPr>
          <w:spacing w:val="-3"/>
          <w:w w:val="105"/>
          <w:sz w:val="21"/>
        </w:rPr>
        <w:t>likelihood </w:t>
      </w:r>
      <w:r>
        <w:rPr>
          <w:w w:val="105"/>
          <w:sz w:val="21"/>
        </w:rPr>
        <w:t>of </w:t>
      </w:r>
      <w:r>
        <w:rPr>
          <w:spacing w:val="-3"/>
          <w:w w:val="105"/>
          <w:sz w:val="21"/>
        </w:rPr>
        <w:t>future harm </w:t>
      </w:r>
      <w:r>
        <w:rPr>
          <w:w w:val="105"/>
          <w:sz w:val="21"/>
        </w:rPr>
        <w:t>and the </w:t>
      </w:r>
      <w:r>
        <w:rPr>
          <w:spacing w:val="-3"/>
          <w:w w:val="105"/>
          <w:sz w:val="21"/>
        </w:rPr>
        <w:t>appropriate</w:t>
      </w:r>
      <w:r>
        <w:rPr>
          <w:spacing w:val="30"/>
          <w:w w:val="105"/>
          <w:sz w:val="21"/>
        </w:rPr>
        <w:t> </w:t>
      </w:r>
      <w:r>
        <w:rPr>
          <w:spacing w:val="-3"/>
          <w:w w:val="105"/>
          <w:sz w:val="21"/>
        </w:rPr>
        <w:t>remedy.</w:t>
      </w:r>
    </w:p>
    <w:p>
      <w:pPr>
        <w:pStyle w:val="ListParagraph"/>
        <w:numPr>
          <w:ilvl w:val="0"/>
          <w:numId w:val="79"/>
        </w:numPr>
        <w:tabs>
          <w:tab w:pos="2380" w:val="left" w:leader="none"/>
          <w:tab w:pos="2381" w:val="left" w:leader="none"/>
        </w:tabs>
        <w:spacing w:line="242" w:lineRule="auto" w:before="124" w:after="0"/>
        <w:ind w:left="2381" w:right="1828" w:hanging="794"/>
        <w:jc w:val="left"/>
        <w:rPr>
          <w:sz w:val="21"/>
        </w:rPr>
      </w:pPr>
      <w:r>
        <w:rPr>
          <w:w w:val="105"/>
          <w:sz w:val="21"/>
        </w:rPr>
        <w:t>A </w:t>
      </w:r>
      <w:r>
        <w:rPr>
          <w:spacing w:val="-3"/>
          <w:w w:val="105"/>
          <w:sz w:val="21"/>
        </w:rPr>
        <w:t>person who </w:t>
      </w:r>
      <w:r>
        <w:rPr>
          <w:spacing w:val="-4"/>
          <w:w w:val="105"/>
          <w:sz w:val="21"/>
        </w:rPr>
        <w:t>commences </w:t>
      </w:r>
      <w:r>
        <w:rPr>
          <w:spacing w:val="-3"/>
          <w:w w:val="105"/>
          <w:sz w:val="21"/>
        </w:rPr>
        <w:t>an action </w:t>
      </w:r>
      <w:r>
        <w:rPr>
          <w:spacing w:val="-4"/>
          <w:w w:val="105"/>
          <w:sz w:val="21"/>
        </w:rPr>
        <w:t>under </w:t>
      </w:r>
      <w:r>
        <w:rPr>
          <w:spacing w:val="-3"/>
          <w:w w:val="105"/>
          <w:sz w:val="21"/>
        </w:rPr>
        <w:t>the new </w:t>
      </w:r>
      <w:r>
        <w:rPr>
          <w:w w:val="105"/>
          <w:sz w:val="21"/>
        </w:rPr>
        <w:t>Act </w:t>
      </w:r>
      <w:r>
        <w:rPr>
          <w:spacing w:val="-4"/>
          <w:w w:val="105"/>
          <w:sz w:val="21"/>
        </w:rPr>
        <w:t>to </w:t>
      </w:r>
      <w:r>
        <w:rPr>
          <w:spacing w:val="-5"/>
          <w:w w:val="105"/>
          <w:sz w:val="21"/>
        </w:rPr>
        <w:t>prevent </w:t>
      </w:r>
      <w:r>
        <w:rPr>
          <w:spacing w:val="-4"/>
          <w:w w:val="105"/>
          <w:sz w:val="21"/>
        </w:rPr>
        <w:t>damage </w:t>
      </w:r>
      <w:r>
        <w:rPr>
          <w:w w:val="105"/>
          <w:sz w:val="21"/>
        </w:rPr>
        <w:t>or </w:t>
      </w:r>
      <w:r>
        <w:rPr>
          <w:spacing w:val="-4"/>
          <w:w w:val="105"/>
          <w:sz w:val="21"/>
        </w:rPr>
        <w:t>harm </w:t>
      </w:r>
      <w:r>
        <w:rPr>
          <w:spacing w:val="-3"/>
          <w:w w:val="105"/>
          <w:sz w:val="21"/>
        </w:rPr>
        <w:t>is </w:t>
      </w:r>
      <w:r>
        <w:rPr>
          <w:spacing w:val="-4"/>
          <w:w w:val="105"/>
          <w:sz w:val="21"/>
        </w:rPr>
        <w:t>not precluded from </w:t>
      </w:r>
      <w:r>
        <w:rPr>
          <w:spacing w:val="-5"/>
          <w:w w:val="105"/>
          <w:sz w:val="21"/>
        </w:rPr>
        <w:t>bringing </w:t>
      </w:r>
      <w:r>
        <w:rPr>
          <w:spacing w:val="-3"/>
          <w:w w:val="105"/>
          <w:sz w:val="21"/>
        </w:rPr>
        <w:t>an action in </w:t>
      </w:r>
      <w:r>
        <w:rPr>
          <w:spacing w:val="-4"/>
          <w:w w:val="105"/>
          <w:sz w:val="21"/>
        </w:rPr>
        <w:t>negligence under </w:t>
      </w:r>
      <w:r>
        <w:rPr>
          <w:spacing w:val="-3"/>
          <w:w w:val="105"/>
          <w:sz w:val="21"/>
        </w:rPr>
        <w:t>the </w:t>
      </w:r>
      <w:r>
        <w:rPr>
          <w:i/>
          <w:spacing w:val="-5"/>
          <w:w w:val="105"/>
          <w:sz w:val="21"/>
        </w:rPr>
        <w:t>Wrongs </w:t>
      </w:r>
      <w:r>
        <w:rPr>
          <w:i/>
          <w:w w:val="105"/>
          <w:sz w:val="21"/>
        </w:rPr>
        <w:t>Act </w:t>
      </w:r>
      <w:r>
        <w:rPr>
          <w:i/>
          <w:spacing w:val="-8"/>
          <w:w w:val="105"/>
          <w:sz w:val="21"/>
        </w:rPr>
        <w:t>1958 </w:t>
      </w:r>
      <w:r>
        <w:rPr>
          <w:spacing w:val="-3"/>
          <w:w w:val="105"/>
          <w:sz w:val="21"/>
        </w:rPr>
        <w:t>(Vic).</w:t>
      </w:r>
      <w:r>
        <w:rPr>
          <w:spacing w:val="-3"/>
          <w:w w:val="105"/>
          <w:position w:val="7"/>
          <w:sz w:val="12"/>
        </w:rPr>
        <w:t>365</w:t>
      </w:r>
      <w:r>
        <w:rPr>
          <w:spacing w:val="-3"/>
          <w:w w:val="105"/>
          <w:sz w:val="12"/>
        </w:rPr>
        <w:t> </w:t>
      </w:r>
      <w:r>
        <w:rPr>
          <w:w w:val="105"/>
          <w:sz w:val="21"/>
        </w:rPr>
        <w:t>An </w:t>
      </w:r>
      <w:r>
        <w:rPr>
          <w:spacing w:val="-5"/>
          <w:w w:val="105"/>
          <w:sz w:val="21"/>
        </w:rPr>
        <w:t>applicant </w:t>
      </w:r>
      <w:r>
        <w:rPr>
          <w:spacing w:val="-4"/>
          <w:w w:val="105"/>
          <w:sz w:val="21"/>
        </w:rPr>
        <w:t>may still </w:t>
      </w:r>
      <w:r>
        <w:rPr>
          <w:spacing w:val="-3"/>
          <w:w w:val="105"/>
          <w:sz w:val="21"/>
        </w:rPr>
        <w:t>choose </w:t>
      </w:r>
      <w:r>
        <w:rPr>
          <w:spacing w:val="-4"/>
          <w:w w:val="105"/>
          <w:sz w:val="21"/>
        </w:rPr>
        <w:t>to pursue </w:t>
      </w:r>
      <w:r>
        <w:rPr>
          <w:w w:val="105"/>
          <w:sz w:val="21"/>
        </w:rPr>
        <w:t>a </w:t>
      </w:r>
      <w:r>
        <w:rPr>
          <w:spacing w:val="-4"/>
          <w:w w:val="105"/>
          <w:sz w:val="21"/>
        </w:rPr>
        <w:t>matter </w:t>
      </w:r>
      <w:r>
        <w:rPr>
          <w:spacing w:val="-3"/>
          <w:w w:val="105"/>
          <w:sz w:val="21"/>
        </w:rPr>
        <w:t>in the </w:t>
      </w:r>
      <w:r>
        <w:rPr>
          <w:spacing w:val="-5"/>
          <w:w w:val="105"/>
          <w:sz w:val="21"/>
        </w:rPr>
        <w:t>Magistrates’ </w:t>
      </w:r>
      <w:r>
        <w:rPr>
          <w:spacing w:val="-4"/>
          <w:w w:val="105"/>
          <w:sz w:val="21"/>
        </w:rPr>
        <w:t>Court for </w:t>
      </w:r>
      <w:r>
        <w:rPr>
          <w:spacing w:val="-5"/>
          <w:w w:val="105"/>
          <w:sz w:val="21"/>
        </w:rPr>
        <w:t>nuisance</w:t>
      </w:r>
      <w:r>
        <w:rPr>
          <w:spacing w:val="-3"/>
          <w:w w:val="105"/>
          <w:sz w:val="21"/>
        </w:rPr>
        <w:t> </w:t>
      </w:r>
      <w:r>
        <w:rPr>
          <w:w w:val="105"/>
          <w:sz w:val="21"/>
        </w:rPr>
        <w:t>or</w:t>
      </w:r>
    </w:p>
    <w:p>
      <w:pPr>
        <w:pStyle w:val="BodyText"/>
        <w:spacing w:before="3"/>
        <w:ind w:left="2381"/>
        <w:rPr>
          <w:sz w:val="12"/>
        </w:rPr>
      </w:pPr>
      <w:r>
        <w:rPr>
          <w:w w:val="105"/>
        </w:rPr>
        <w:t>negligence and seek compensation for personal injury that way if they wish. See Chapter 4.</w:t>
      </w:r>
      <w:r>
        <w:rPr>
          <w:w w:val="105"/>
          <w:position w:val="7"/>
          <w:sz w:val="12"/>
        </w:rPr>
        <w:t>366</w:t>
      </w:r>
    </w:p>
    <w:p>
      <w:pPr>
        <w:pStyle w:val="BodyText"/>
        <w:rPr>
          <w:sz w:val="20"/>
        </w:rPr>
      </w:pPr>
    </w:p>
    <w:p>
      <w:pPr>
        <w:pStyle w:val="BodyText"/>
        <w:spacing w:before="3"/>
        <w:rPr>
          <w:sz w:val="16"/>
        </w:rPr>
      </w:pPr>
      <w:r>
        <w:rPr/>
        <w:pict>
          <v:line style="position:absolute;mso-position-horizontal-relative:page;mso-position-vertical-relative:paragraph;z-index:5288;mso-wrap-distance-left:0;mso-wrap-distance-right:0" from="79.370003pt,12.379394pt" to="524.409003pt,12.37939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80"/>
        </w:numPr>
        <w:tabs>
          <w:tab w:pos="2380" w:val="left" w:leader="none"/>
          <w:tab w:pos="2382" w:val="left" w:leader="none"/>
        </w:tabs>
        <w:spacing w:line="240" w:lineRule="auto" w:before="48" w:after="0"/>
        <w:ind w:left="2381" w:right="0" w:hanging="794"/>
        <w:jc w:val="left"/>
        <w:rPr>
          <w:sz w:val="13"/>
        </w:rPr>
      </w:pPr>
      <w:r>
        <w:rPr>
          <w:w w:val="105"/>
          <w:sz w:val="13"/>
        </w:rPr>
        <w:t>Submission</w:t>
      </w:r>
      <w:r>
        <w:rPr>
          <w:spacing w:val="4"/>
          <w:w w:val="105"/>
          <w:sz w:val="13"/>
        </w:rPr>
        <w:t> </w:t>
      </w:r>
      <w:r>
        <w:rPr>
          <w:w w:val="105"/>
          <w:sz w:val="13"/>
        </w:rPr>
        <w:t>9</w:t>
      </w:r>
      <w:r>
        <w:rPr>
          <w:spacing w:val="5"/>
          <w:w w:val="105"/>
          <w:sz w:val="13"/>
        </w:rPr>
        <w:t> </w:t>
      </w:r>
      <w:r>
        <w:rPr>
          <w:spacing w:val="3"/>
          <w:w w:val="105"/>
          <w:sz w:val="13"/>
        </w:rPr>
        <w:t>(Dr</w:t>
      </w:r>
      <w:r>
        <w:rPr>
          <w:spacing w:val="5"/>
          <w:w w:val="105"/>
          <w:sz w:val="13"/>
        </w:rPr>
        <w:t> </w:t>
      </w:r>
      <w:r>
        <w:rPr>
          <w:w w:val="105"/>
          <w:sz w:val="13"/>
        </w:rPr>
        <w:t>Karen</w:t>
      </w:r>
      <w:r>
        <w:rPr>
          <w:spacing w:val="5"/>
          <w:w w:val="105"/>
          <w:sz w:val="13"/>
        </w:rPr>
        <w:t> </w:t>
      </w:r>
      <w:r>
        <w:rPr>
          <w:w w:val="105"/>
          <w:sz w:val="13"/>
        </w:rPr>
        <w:t>Smith);</w:t>
      </w:r>
      <w:r>
        <w:rPr>
          <w:spacing w:val="5"/>
          <w:w w:val="105"/>
          <w:sz w:val="13"/>
        </w:rPr>
        <w:t> </w:t>
      </w:r>
      <w:r>
        <w:rPr>
          <w:w w:val="105"/>
          <w:sz w:val="13"/>
        </w:rPr>
        <w:t>Consultation</w:t>
      </w:r>
      <w:r>
        <w:rPr>
          <w:spacing w:val="5"/>
          <w:w w:val="105"/>
          <w:sz w:val="13"/>
        </w:rPr>
        <w:t> </w:t>
      </w:r>
      <w:r>
        <w:rPr>
          <w:w w:val="105"/>
          <w:sz w:val="13"/>
        </w:rPr>
        <w:t>8</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p>
    <w:p>
      <w:pPr>
        <w:pStyle w:val="ListParagraph"/>
        <w:numPr>
          <w:ilvl w:val="0"/>
          <w:numId w:val="80"/>
        </w:numPr>
        <w:tabs>
          <w:tab w:pos="2381" w:val="left" w:leader="none"/>
          <w:tab w:pos="2382" w:val="left" w:leader="none"/>
        </w:tabs>
        <w:spacing w:line="240" w:lineRule="auto" w:before="1" w:after="0"/>
        <w:ind w:left="2381" w:right="0" w:hanging="794"/>
        <w:jc w:val="left"/>
        <w:rPr>
          <w:sz w:val="13"/>
        </w:rPr>
      </w:pPr>
      <w:r>
        <w:rPr>
          <w:w w:val="105"/>
          <w:sz w:val="13"/>
        </w:rPr>
        <w:t>See, eg, </w:t>
      </w:r>
      <w:r>
        <w:rPr>
          <w:i/>
          <w:w w:val="105"/>
          <w:sz w:val="13"/>
        </w:rPr>
        <w:t>Turner v O’Donnell </w:t>
      </w:r>
      <w:r>
        <w:rPr>
          <w:spacing w:val="2"/>
          <w:w w:val="105"/>
          <w:sz w:val="13"/>
        </w:rPr>
        <w:t>[2009] </w:t>
      </w:r>
      <w:r>
        <w:rPr>
          <w:w w:val="105"/>
          <w:sz w:val="13"/>
        </w:rPr>
        <w:t>NSWLEC 1349</w:t>
      </w:r>
      <w:r>
        <w:rPr>
          <w:spacing w:val="7"/>
          <w:w w:val="105"/>
          <w:sz w:val="13"/>
        </w:rPr>
        <w:t> </w:t>
      </w:r>
      <w:r>
        <w:rPr>
          <w:w w:val="105"/>
          <w:sz w:val="13"/>
        </w:rPr>
        <w:t>[16]-[17]</w:t>
      </w:r>
    </w:p>
    <w:p>
      <w:pPr>
        <w:pStyle w:val="ListParagraph"/>
        <w:numPr>
          <w:ilvl w:val="0"/>
          <w:numId w:val="80"/>
        </w:numPr>
        <w:tabs>
          <w:tab w:pos="2381" w:val="left" w:leader="none"/>
          <w:tab w:pos="2382" w:val="left" w:leader="none"/>
        </w:tabs>
        <w:spacing w:line="240" w:lineRule="auto" w:before="2"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80"/>
        </w:numPr>
        <w:tabs>
          <w:tab w:pos="2381" w:val="left" w:leader="none"/>
          <w:tab w:pos="2382" w:val="left" w:leader="none"/>
        </w:tabs>
        <w:spacing w:line="240" w:lineRule="auto" w:before="1" w:after="0"/>
        <w:ind w:left="2381" w:right="0" w:hanging="794"/>
        <w:jc w:val="left"/>
        <w:rPr>
          <w:sz w:val="13"/>
        </w:rPr>
      </w:pPr>
      <w:r>
        <w:rPr>
          <w:i/>
          <w:w w:val="105"/>
          <w:sz w:val="13"/>
        </w:rPr>
        <w:t>Trees (Disputes Between Neighbours) Act 2006 </w:t>
      </w:r>
      <w:r>
        <w:rPr>
          <w:spacing w:val="3"/>
          <w:w w:val="105"/>
          <w:sz w:val="13"/>
        </w:rPr>
        <w:t>(NSW) </w:t>
      </w:r>
      <w:r>
        <w:rPr>
          <w:w w:val="105"/>
          <w:sz w:val="13"/>
        </w:rPr>
        <w:t>s 7 (‘any </w:t>
      </w:r>
      <w:r>
        <w:rPr>
          <w:spacing w:val="2"/>
          <w:w w:val="105"/>
          <w:sz w:val="13"/>
        </w:rPr>
        <w:t>person’); </w:t>
      </w: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4"/>
          <w:w w:val="105"/>
          <w:sz w:val="13"/>
        </w:rPr>
        <w:t> </w:t>
      </w:r>
      <w:r>
        <w:rPr>
          <w:spacing w:val="2"/>
          <w:w w:val="105"/>
          <w:sz w:val="13"/>
        </w:rPr>
        <w:t>48</w:t>
      </w:r>
      <w:r>
        <w:rPr>
          <w:spacing w:val="5"/>
          <w:w w:val="105"/>
          <w:sz w:val="13"/>
        </w:rPr>
        <w:t> </w:t>
      </w:r>
      <w:r>
        <w:rPr>
          <w:w w:val="105"/>
          <w:sz w:val="13"/>
        </w:rPr>
        <w:t>(‘a</w:t>
      </w:r>
      <w:r>
        <w:rPr>
          <w:spacing w:val="5"/>
          <w:w w:val="105"/>
          <w:sz w:val="13"/>
        </w:rPr>
        <w:t> </w:t>
      </w:r>
      <w:r>
        <w:rPr>
          <w:w w:val="105"/>
          <w:sz w:val="13"/>
        </w:rPr>
        <w:t>person</w:t>
      </w:r>
      <w:r>
        <w:rPr>
          <w:spacing w:val="5"/>
          <w:w w:val="105"/>
          <w:sz w:val="13"/>
        </w:rPr>
        <w:t> </w:t>
      </w:r>
      <w:r>
        <w:rPr>
          <w:w w:val="105"/>
          <w:sz w:val="13"/>
        </w:rPr>
        <w:t>on</w:t>
      </w:r>
      <w:r>
        <w:rPr>
          <w:spacing w:val="5"/>
          <w:w w:val="105"/>
          <w:sz w:val="13"/>
        </w:rPr>
        <w:t> </w:t>
      </w:r>
      <w:r>
        <w:rPr>
          <w:w w:val="105"/>
          <w:sz w:val="13"/>
        </w:rPr>
        <w:t>the</w:t>
      </w:r>
      <w:r>
        <w:rPr>
          <w:spacing w:val="5"/>
          <w:w w:val="105"/>
          <w:sz w:val="13"/>
        </w:rPr>
        <w:t> </w:t>
      </w:r>
      <w:r>
        <w:rPr>
          <w:spacing w:val="2"/>
          <w:w w:val="105"/>
          <w:sz w:val="13"/>
        </w:rPr>
        <w:t>land’);</w:t>
      </w:r>
      <w:r>
        <w:rPr>
          <w:spacing w:val="5"/>
          <w:w w:val="105"/>
          <w:sz w:val="13"/>
        </w:rPr>
        <w:t> </w:t>
      </w:r>
      <w:r>
        <w:rPr>
          <w:i/>
          <w:w w:val="105"/>
          <w:sz w:val="13"/>
        </w:rPr>
        <w:t>Neighbourhood</w:t>
      </w:r>
      <w:r>
        <w:rPr>
          <w:i/>
          <w:spacing w:val="4"/>
          <w:w w:val="105"/>
          <w:sz w:val="13"/>
        </w:rPr>
        <w:t> </w:t>
      </w:r>
      <w:r>
        <w:rPr>
          <w:i/>
          <w:w w:val="105"/>
          <w:sz w:val="13"/>
        </w:rPr>
        <w:t>Disputes</w:t>
      </w:r>
      <w:r>
        <w:rPr>
          <w:i/>
          <w:spacing w:val="5"/>
          <w:w w:val="105"/>
          <w:sz w:val="13"/>
        </w:rPr>
        <w:t> </w:t>
      </w:r>
      <w:r>
        <w:rPr>
          <w:i/>
          <w:w w:val="105"/>
          <w:sz w:val="13"/>
        </w:rPr>
        <w:t>About</w:t>
      </w:r>
      <w:r>
        <w:rPr>
          <w:i/>
          <w:spacing w:val="5"/>
          <w:w w:val="105"/>
          <w:sz w:val="13"/>
        </w:rPr>
        <w:t> </w:t>
      </w:r>
      <w:r>
        <w:rPr>
          <w:i/>
          <w:w w:val="105"/>
          <w:sz w:val="13"/>
        </w:rPr>
        <w:t>Plants</w:t>
      </w:r>
      <w:r>
        <w:rPr>
          <w:i/>
          <w:spacing w:val="5"/>
          <w:w w:val="105"/>
          <w:sz w:val="13"/>
        </w:rPr>
        <w:t> </w:t>
      </w:r>
      <w:r>
        <w:rPr>
          <w:i/>
          <w:w w:val="105"/>
          <w:sz w:val="13"/>
        </w:rPr>
        <w:t>Act</w:t>
      </w:r>
      <w:r>
        <w:rPr>
          <w:i/>
          <w:spacing w:val="5"/>
          <w:w w:val="105"/>
          <w:sz w:val="13"/>
        </w:rPr>
        <w:t> </w:t>
      </w:r>
      <w:r>
        <w:rPr>
          <w:i/>
          <w:spacing w:val="-4"/>
          <w:w w:val="105"/>
          <w:sz w:val="13"/>
        </w:rPr>
        <w:t>2017</w:t>
      </w:r>
      <w:r>
        <w:rPr>
          <w:i/>
          <w:spacing w:val="5"/>
          <w:w w:val="105"/>
          <w:sz w:val="13"/>
        </w:rPr>
        <w:t> </w:t>
      </w:r>
      <w:r>
        <w:rPr>
          <w:w w:val="105"/>
          <w:sz w:val="13"/>
        </w:rPr>
        <w:t>(Tas)</w:t>
      </w:r>
      <w:r>
        <w:rPr>
          <w:spacing w:val="5"/>
          <w:w w:val="105"/>
          <w:sz w:val="13"/>
        </w:rPr>
        <w:t> </w:t>
      </w:r>
      <w:r>
        <w:rPr>
          <w:w w:val="105"/>
          <w:sz w:val="13"/>
        </w:rPr>
        <w:t>s</w:t>
      </w:r>
      <w:r>
        <w:rPr>
          <w:spacing w:val="5"/>
          <w:w w:val="105"/>
          <w:sz w:val="13"/>
        </w:rPr>
        <w:t> </w:t>
      </w:r>
      <w:r>
        <w:rPr>
          <w:spacing w:val="3"/>
          <w:w w:val="105"/>
          <w:sz w:val="13"/>
        </w:rPr>
        <w:t>7(1)(b)(i).</w:t>
      </w:r>
    </w:p>
    <w:p>
      <w:pPr>
        <w:pStyle w:val="ListParagraph"/>
        <w:numPr>
          <w:ilvl w:val="0"/>
          <w:numId w:val="80"/>
        </w:numPr>
        <w:tabs>
          <w:tab w:pos="2381" w:val="left" w:leader="none"/>
          <w:tab w:pos="2382" w:val="left" w:leader="none"/>
        </w:tabs>
        <w:spacing w:line="240" w:lineRule="auto" w:before="3" w:after="0"/>
        <w:ind w:left="1587" w:right="4147" w:firstLine="0"/>
        <w:jc w:val="left"/>
        <w:rPr>
          <w:sz w:val="13"/>
        </w:rPr>
      </w:pPr>
      <w:r>
        <w:rPr>
          <w:w w:val="105"/>
          <w:sz w:val="13"/>
        </w:rPr>
        <w:t>Submission 9 </w:t>
      </w:r>
      <w:r>
        <w:rPr>
          <w:spacing w:val="3"/>
          <w:w w:val="105"/>
          <w:sz w:val="13"/>
        </w:rPr>
        <w:t>(Dr </w:t>
      </w:r>
      <w:r>
        <w:rPr>
          <w:w w:val="105"/>
          <w:sz w:val="13"/>
        </w:rPr>
        <w:t>Karen Smith); Consultation 8 (City of Boroondara). 363</w:t>
        <w:tab/>
      </w:r>
      <w:r>
        <w:rPr>
          <w:spacing w:val="2"/>
          <w:w w:val="105"/>
          <w:sz w:val="13"/>
        </w:rPr>
        <w:t>(2008) </w:t>
      </w:r>
      <w:r>
        <w:rPr>
          <w:w w:val="105"/>
          <w:sz w:val="13"/>
        </w:rPr>
        <w:t>72 </w:t>
      </w:r>
      <w:r>
        <w:rPr>
          <w:spacing w:val="2"/>
          <w:w w:val="105"/>
          <w:sz w:val="13"/>
        </w:rPr>
        <w:t>NSWLR </w:t>
      </w:r>
      <w:r>
        <w:rPr>
          <w:w w:val="105"/>
          <w:sz w:val="13"/>
        </w:rPr>
        <w:t>98</w:t>
      </w:r>
      <w:r>
        <w:rPr>
          <w:spacing w:val="17"/>
          <w:w w:val="105"/>
          <w:sz w:val="13"/>
        </w:rPr>
        <w:t> </w:t>
      </w:r>
      <w:r>
        <w:rPr>
          <w:w w:val="105"/>
          <w:sz w:val="13"/>
        </w:rPr>
        <w:t>[181]-[184].</w:t>
      </w:r>
    </w:p>
    <w:p>
      <w:pPr>
        <w:pStyle w:val="ListParagraph"/>
        <w:numPr>
          <w:ilvl w:val="0"/>
          <w:numId w:val="81"/>
        </w:numPr>
        <w:tabs>
          <w:tab w:pos="2381" w:val="left" w:leader="none"/>
          <w:tab w:pos="2382" w:val="left" w:leader="none"/>
        </w:tabs>
        <w:spacing w:line="240" w:lineRule="auto" w:before="2" w:after="0"/>
        <w:ind w:left="2381" w:right="0" w:hanging="794"/>
        <w:jc w:val="left"/>
        <w:rPr>
          <w:sz w:val="13"/>
        </w:rPr>
      </w:pPr>
      <w:r>
        <w:rPr>
          <w:i/>
          <w:w w:val="105"/>
          <w:sz w:val="13"/>
        </w:rPr>
        <w:t>Robson v Leischke </w:t>
      </w:r>
      <w:r>
        <w:rPr>
          <w:spacing w:val="2"/>
          <w:w w:val="105"/>
          <w:sz w:val="13"/>
        </w:rPr>
        <w:t>(2008) </w:t>
      </w:r>
      <w:r>
        <w:rPr>
          <w:w w:val="105"/>
          <w:sz w:val="13"/>
        </w:rPr>
        <w:t>72 </w:t>
      </w:r>
      <w:r>
        <w:rPr>
          <w:spacing w:val="2"/>
          <w:w w:val="105"/>
          <w:sz w:val="13"/>
        </w:rPr>
        <w:t>NSWLR </w:t>
      </w:r>
      <w:r>
        <w:rPr>
          <w:w w:val="105"/>
          <w:sz w:val="13"/>
        </w:rPr>
        <w:t>98</w:t>
      </w:r>
      <w:r>
        <w:rPr>
          <w:spacing w:val="29"/>
          <w:w w:val="105"/>
          <w:sz w:val="13"/>
        </w:rPr>
        <w:t> </w:t>
      </w:r>
      <w:r>
        <w:rPr>
          <w:w w:val="105"/>
          <w:sz w:val="13"/>
        </w:rPr>
        <w:t>[181].</w:t>
      </w:r>
    </w:p>
    <w:p>
      <w:pPr>
        <w:pStyle w:val="ListParagraph"/>
        <w:numPr>
          <w:ilvl w:val="0"/>
          <w:numId w:val="81"/>
        </w:numPr>
        <w:tabs>
          <w:tab w:pos="2381" w:val="left" w:leader="none"/>
          <w:tab w:pos="2382" w:val="left" w:leader="none"/>
        </w:tabs>
        <w:spacing w:line="240" w:lineRule="auto" w:before="2" w:after="0"/>
        <w:ind w:left="2381" w:right="0" w:hanging="794"/>
        <w:jc w:val="left"/>
        <w:rPr>
          <w:sz w:val="13"/>
        </w:rPr>
      </w:pPr>
      <w:r>
        <w:rPr>
          <w:sz w:val="13"/>
        </w:rPr>
        <w:t>See </w:t>
      </w:r>
      <w:r>
        <w:rPr>
          <w:spacing w:val="2"/>
          <w:sz w:val="13"/>
        </w:rPr>
        <w:t>Pt </w:t>
      </w:r>
      <w:r>
        <w:rPr>
          <w:sz w:val="13"/>
        </w:rPr>
        <w:t>VB ‘Personal Injury</w:t>
      </w:r>
      <w:r>
        <w:rPr>
          <w:spacing w:val="1"/>
          <w:sz w:val="13"/>
        </w:rPr>
        <w:t> </w:t>
      </w:r>
      <w:r>
        <w:rPr>
          <w:sz w:val="13"/>
        </w:rPr>
        <w:t>Damages’.</w:t>
      </w:r>
    </w:p>
    <w:p>
      <w:pPr>
        <w:pStyle w:val="ListParagraph"/>
        <w:numPr>
          <w:ilvl w:val="0"/>
          <w:numId w:val="81"/>
        </w:numPr>
        <w:tabs>
          <w:tab w:pos="2381" w:val="left" w:leader="none"/>
          <w:tab w:pos="2382" w:val="left" w:leader="none"/>
        </w:tabs>
        <w:spacing w:line="240" w:lineRule="auto" w:before="1" w:after="0"/>
        <w:ind w:left="2381" w:right="20" w:hanging="794"/>
        <w:jc w:val="both"/>
        <w:rPr>
          <w:sz w:val="13"/>
        </w:rPr>
      </w:pPr>
      <w:r>
        <w:rPr>
          <w:sz w:val="13"/>
        </w:rPr>
        <w:t>Where VCAT cannot determine a matter due to the issue of diversity jurisdiction, the applicant may need to pursue action under the new Act                in the Supreme Court. VCAT has the power to refer a matter to the Supreme Court. </w:t>
      </w:r>
      <w:r>
        <w:rPr>
          <w:i/>
          <w:sz w:val="13"/>
        </w:rPr>
        <w:t>Victorian Civil and Administrative Tribunal Act 1998 </w:t>
      </w:r>
      <w:r>
        <w:rPr>
          <w:spacing w:val="2"/>
          <w:sz w:val="13"/>
        </w:rPr>
        <w:t>(Vic)                  </w:t>
      </w:r>
      <w:r>
        <w:rPr>
          <w:sz w:val="13"/>
        </w:rPr>
        <w:t>s </w:t>
      </w:r>
      <w:r>
        <w:rPr>
          <w:spacing w:val="-3"/>
          <w:sz w:val="13"/>
        </w:rPr>
        <w:t>77. </w:t>
      </w:r>
      <w:r>
        <w:rPr>
          <w:sz w:val="13"/>
        </w:rPr>
        <w:t>Diversity jurisdiction is discussed in Ch</w:t>
      </w:r>
      <w:r>
        <w:rPr>
          <w:spacing w:val="1"/>
          <w:sz w:val="13"/>
        </w:rPr>
        <w:t> </w:t>
      </w:r>
      <w:r>
        <w:rPr>
          <w:spacing w:val="-5"/>
          <w:sz w:val="13"/>
        </w:rPr>
        <w:t>7.</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6"/>
        <w:rPr>
          <w:sz w:val="27"/>
        </w:rPr>
      </w:pPr>
    </w:p>
    <w:p>
      <w:pPr>
        <w:spacing w:before="0"/>
        <w:ind w:left="473" w:right="0" w:firstLine="0"/>
        <w:jc w:val="left"/>
        <w:rPr>
          <w:b/>
          <w:sz w:val="24"/>
        </w:rPr>
      </w:pPr>
      <w:r>
        <w:rPr>
          <w:b/>
          <w:color w:val="658464"/>
          <w:w w:val="110"/>
          <w:sz w:val="24"/>
        </w:rPr>
        <w:t>101</w:t>
      </w:r>
    </w:p>
    <w:p>
      <w:pPr>
        <w:spacing w:after="0"/>
        <w:jc w:val="left"/>
        <w:rPr>
          <w:sz w:val="24"/>
        </w:rPr>
        <w:sectPr>
          <w:type w:val="continuous"/>
          <w:pgSz w:w="11910" w:h="16840"/>
          <w:pgMar w:top="300" w:bottom="280" w:left="0" w:right="0"/>
          <w:cols w:num="2" w:equalWidth="0">
            <w:col w:w="10404" w:space="40"/>
            <w:col w:w="1466"/>
          </w:cols>
        </w:sectPr>
      </w:pPr>
    </w:p>
    <w:p>
      <w:pPr>
        <w:pStyle w:val="BodyText"/>
        <w:rPr>
          <w:b/>
          <w:sz w:val="20"/>
        </w:rPr>
      </w:pPr>
    </w:p>
    <w:p>
      <w:pPr>
        <w:pStyle w:val="BodyText"/>
        <w:spacing w:before="9"/>
        <w:rPr>
          <w:b/>
          <w:sz w:val="13"/>
        </w:rPr>
      </w:pPr>
    </w:p>
    <w:p>
      <w:pPr>
        <w:pStyle w:val="BodyText"/>
        <w:ind w:left="1222"/>
        <w:rPr>
          <w:sz w:val="20"/>
        </w:rPr>
      </w:pPr>
      <w:r>
        <w:rPr>
          <w:sz w:val="20"/>
        </w:rPr>
        <w:pict>
          <v:group style="width:479.1pt;height:211.4pt;mso-position-horizontal-relative:char;mso-position-vertical-relative:line" coordorigin="0,0" coordsize="9582,4228">
            <v:rect style="position:absolute;left:340;top:0;width:8731;height:4228" filled="true" fillcolor="#dbe0dd" stroked="false">
              <v:fill type="solid"/>
            </v:rect>
            <v:line style="position:absolute" from="0,747" to="9581,747" stroked="true" strokeweight="2.5pt" strokecolor="#ffffff">
              <v:stroke dashstyle="solid"/>
            </v:line>
            <v:shape style="position:absolute;left:340;top:771;width:8731;height:3456" type="#_x0000_t202" filled="true" fillcolor="#dbe0dd" stroked="false">
              <v:textbox inset="0,0,0,0">
                <w:txbxContent>
                  <w:p>
                    <w:pPr>
                      <w:tabs>
                        <w:tab w:pos="793" w:val="left" w:leader="none"/>
                      </w:tabs>
                      <w:spacing w:line="242" w:lineRule="auto" w:before="208"/>
                      <w:ind w:left="793" w:right="508" w:hanging="567"/>
                      <w:jc w:val="left"/>
                      <w:rPr>
                        <w:sz w:val="21"/>
                      </w:rPr>
                    </w:pPr>
                    <w:r>
                      <w:rPr>
                        <w:b/>
                        <w:spacing w:val="-4"/>
                        <w:w w:val="115"/>
                        <w:sz w:val="21"/>
                      </w:rPr>
                      <w:t>12</w:t>
                      <w:tab/>
                    </w:r>
                    <w:r>
                      <w:rPr>
                        <w:w w:val="115"/>
                        <w:sz w:val="21"/>
                      </w:rPr>
                      <w:t>An applicant may apply to the Victorian Civil and Administrative </w:t>
                    </w:r>
                    <w:r>
                      <w:rPr>
                        <w:spacing w:val="-4"/>
                        <w:w w:val="115"/>
                        <w:sz w:val="21"/>
                      </w:rPr>
                      <w:t>Tribunal </w:t>
                    </w:r>
                    <w:r>
                      <w:rPr>
                        <w:w w:val="115"/>
                        <w:sz w:val="21"/>
                      </w:rPr>
                      <w:t>for an order under the Act</w:t>
                    </w:r>
                    <w:r>
                      <w:rPr>
                        <w:spacing w:val="3"/>
                        <w:w w:val="115"/>
                        <w:sz w:val="21"/>
                      </w:rPr>
                      <w:t> </w:t>
                    </w:r>
                    <w:r>
                      <w:rPr>
                        <w:w w:val="115"/>
                        <w:sz w:val="21"/>
                      </w:rPr>
                      <w:t>to:</w:t>
                    </w:r>
                  </w:p>
                  <w:p>
                    <w:pPr>
                      <w:numPr>
                        <w:ilvl w:val="0"/>
                        <w:numId w:val="82"/>
                      </w:numPr>
                      <w:tabs>
                        <w:tab w:pos="1360" w:val="left" w:leader="none"/>
                        <w:tab w:pos="1361" w:val="left" w:leader="none"/>
                      </w:tabs>
                      <w:spacing w:line="242" w:lineRule="auto" w:before="122"/>
                      <w:ind w:left="1360" w:right="317" w:hanging="567"/>
                      <w:jc w:val="left"/>
                      <w:rPr>
                        <w:sz w:val="21"/>
                      </w:rPr>
                    </w:pPr>
                    <w:r>
                      <w:rPr>
                        <w:w w:val="115"/>
                        <w:sz w:val="21"/>
                      </w:rPr>
                      <w:t>restrain</w:t>
                    </w:r>
                    <w:r>
                      <w:rPr>
                        <w:spacing w:val="-5"/>
                        <w:w w:val="115"/>
                        <w:sz w:val="21"/>
                      </w:rPr>
                      <w:t> </w:t>
                    </w:r>
                    <w:r>
                      <w:rPr>
                        <w:w w:val="115"/>
                        <w:sz w:val="21"/>
                      </w:rPr>
                      <w:t>or</w:t>
                    </w:r>
                    <w:r>
                      <w:rPr>
                        <w:spacing w:val="-5"/>
                        <w:w w:val="115"/>
                        <w:sz w:val="21"/>
                      </w:rPr>
                      <w:t> </w:t>
                    </w:r>
                    <w:r>
                      <w:rPr>
                        <w:w w:val="115"/>
                        <w:sz w:val="21"/>
                      </w:rPr>
                      <w:t>remedy</w:t>
                    </w:r>
                    <w:r>
                      <w:rPr>
                        <w:spacing w:val="-5"/>
                        <w:w w:val="115"/>
                        <w:sz w:val="21"/>
                      </w:rPr>
                      <w:t> </w:t>
                    </w:r>
                    <w:r>
                      <w:rPr>
                        <w:w w:val="115"/>
                        <w:sz w:val="21"/>
                      </w:rPr>
                      <w:t>damage</w:t>
                    </w:r>
                    <w:r>
                      <w:rPr>
                        <w:spacing w:val="-4"/>
                        <w:w w:val="115"/>
                        <w:sz w:val="21"/>
                      </w:rPr>
                      <w:t> </w:t>
                    </w:r>
                    <w:r>
                      <w:rPr>
                        <w:w w:val="115"/>
                        <w:sz w:val="21"/>
                      </w:rPr>
                      <w:t>to</w:t>
                    </w:r>
                    <w:r>
                      <w:rPr>
                        <w:spacing w:val="-5"/>
                        <w:w w:val="115"/>
                        <w:sz w:val="21"/>
                      </w:rPr>
                      <w:t> </w:t>
                    </w:r>
                    <w:r>
                      <w:rPr>
                        <w:w w:val="115"/>
                        <w:sz w:val="21"/>
                      </w:rPr>
                      <w:t>the</w:t>
                    </w:r>
                    <w:r>
                      <w:rPr>
                        <w:spacing w:val="-5"/>
                        <w:w w:val="115"/>
                        <w:sz w:val="21"/>
                      </w:rPr>
                      <w:t> </w:t>
                    </w:r>
                    <w:r>
                      <w:rPr>
                        <w:w w:val="115"/>
                        <w:sz w:val="21"/>
                      </w:rPr>
                      <w:t>affected</w:t>
                    </w:r>
                    <w:r>
                      <w:rPr>
                        <w:spacing w:val="-5"/>
                        <w:w w:val="115"/>
                        <w:sz w:val="21"/>
                      </w:rPr>
                      <w:t> </w:t>
                    </w:r>
                    <w:r>
                      <w:rPr>
                        <w:w w:val="115"/>
                        <w:sz w:val="21"/>
                      </w:rPr>
                      <w:t>neighbour’s</w:t>
                    </w:r>
                    <w:r>
                      <w:rPr>
                        <w:spacing w:val="-4"/>
                        <w:w w:val="115"/>
                        <w:sz w:val="21"/>
                      </w:rPr>
                      <w:t> </w:t>
                    </w:r>
                    <w:r>
                      <w:rPr>
                        <w:w w:val="115"/>
                        <w:sz w:val="21"/>
                      </w:rPr>
                      <w:t>land</w:t>
                    </w:r>
                    <w:r>
                      <w:rPr>
                        <w:spacing w:val="-5"/>
                        <w:w w:val="115"/>
                        <w:sz w:val="21"/>
                      </w:rPr>
                      <w:t> </w:t>
                    </w:r>
                    <w:r>
                      <w:rPr>
                        <w:w w:val="115"/>
                        <w:sz w:val="21"/>
                      </w:rPr>
                      <w:t>or</w:t>
                    </w:r>
                    <w:r>
                      <w:rPr>
                        <w:spacing w:val="-5"/>
                        <w:w w:val="115"/>
                        <w:sz w:val="21"/>
                      </w:rPr>
                      <w:t> </w:t>
                    </w:r>
                    <w:r>
                      <w:rPr>
                        <w:w w:val="115"/>
                        <w:sz w:val="21"/>
                      </w:rPr>
                      <w:t>property that is caused by a</w:t>
                    </w:r>
                    <w:r>
                      <w:rPr>
                        <w:spacing w:val="1"/>
                        <w:w w:val="115"/>
                        <w:sz w:val="21"/>
                      </w:rPr>
                      <w:t> </w:t>
                    </w:r>
                    <w:r>
                      <w:rPr>
                        <w:w w:val="115"/>
                        <w:sz w:val="21"/>
                      </w:rPr>
                      <w:t>tree</w:t>
                    </w:r>
                  </w:p>
                  <w:p>
                    <w:pPr>
                      <w:numPr>
                        <w:ilvl w:val="0"/>
                        <w:numId w:val="82"/>
                      </w:numPr>
                      <w:tabs>
                        <w:tab w:pos="1360" w:val="left" w:leader="none"/>
                        <w:tab w:pos="1361" w:val="left" w:leader="none"/>
                      </w:tabs>
                      <w:spacing w:line="242" w:lineRule="auto" w:before="123"/>
                      <w:ind w:left="1360" w:right="706" w:hanging="567"/>
                      <w:jc w:val="left"/>
                      <w:rPr>
                        <w:sz w:val="21"/>
                      </w:rPr>
                    </w:pPr>
                    <w:r>
                      <w:rPr>
                        <w:w w:val="115"/>
                        <w:sz w:val="21"/>
                      </w:rPr>
                      <w:t>prevent damage to the affected neighbour’s land or property that is caused by a tree that is </w:t>
                    </w:r>
                    <w:r>
                      <w:rPr>
                        <w:spacing w:val="-3"/>
                        <w:w w:val="115"/>
                        <w:sz w:val="21"/>
                      </w:rPr>
                      <w:t>likely </w:t>
                    </w:r>
                    <w:r>
                      <w:rPr>
                        <w:w w:val="115"/>
                        <w:sz w:val="21"/>
                      </w:rPr>
                      <w:t>to occur within the next</w:t>
                    </w:r>
                    <w:r>
                      <w:rPr>
                        <w:spacing w:val="-38"/>
                        <w:w w:val="115"/>
                        <w:sz w:val="21"/>
                      </w:rPr>
                      <w:t> </w:t>
                    </w:r>
                    <w:r>
                      <w:rPr>
                        <w:spacing w:val="-7"/>
                        <w:w w:val="115"/>
                        <w:sz w:val="21"/>
                      </w:rPr>
                      <w:t>12 </w:t>
                    </w:r>
                    <w:r>
                      <w:rPr>
                        <w:w w:val="115"/>
                        <w:sz w:val="21"/>
                      </w:rPr>
                      <w:t>months</w:t>
                    </w:r>
                  </w:p>
                  <w:p>
                    <w:pPr>
                      <w:numPr>
                        <w:ilvl w:val="0"/>
                        <w:numId w:val="82"/>
                      </w:numPr>
                      <w:tabs>
                        <w:tab w:pos="1360" w:val="left" w:leader="none"/>
                        <w:tab w:pos="1361" w:val="left" w:leader="none"/>
                      </w:tabs>
                      <w:spacing w:line="242" w:lineRule="auto" w:before="122"/>
                      <w:ind w:left="1360" w:right="293" w:hanging="567"/>
                      <w:jc w:val="left"/>
                      <w:rPr>
                        <w:sz w:val="21"/>
                      </w:rPr>
                    </w:pPr>
                    <w:r>
                      <w:rPr>
                        <w:w w:val="115"/>
                        <w:sz w:val="21"/>
                      </w:rPr>
                      <w:t>address</w:t>
                    </w:r>
                    <w:r>
                      <w:rPr>
                        <w:spacing w:val="-5"/>
                        <w:w w:val="115"/>
                        <w:sz w:val="21"/>
                      </w:rPr>
                      <w:t> </w:t>
                    </w:r>
                    <w:r>
                      <w:rPr>
                        <w:w w:val="115"/>
                        <w:sz w:val="21"/>
                      </w:rPr>
                      <w:t>existing</w:t>
                    </w:r>
                    <w:r>
                      <w:rPr>
                        <w:spacing w:val="-5"/>
                        <w:w w:val="115"/>
                        <w:sz w:val="21"/>
                      </w:rPr>
                      <w:t> </w:t>
                    </w:r>
                    <w:r>
                      <w:rPr>
                        <w:w w:val="115"/>
                        <w:sz w:val="21"/>
                      </w:rPr>
                      <w:t>harm</w:t>
                    </w:r>
                    <w:r>
                      <w:rPr>
                        <w:spacing w:val="-5"/>
                        <w:w w:val="115"/>
                        <w:sz w:val="21"/>
                      </w:rPr>
                      <w:t> </w:t>
                    </w:r>
                    <w:r>
                      <w:rPr>
                        <w:w w:val="115"/>
                        <w:sz w:val="21"/>
                      </w:rPr>
                      <w:t>to</w:t>
                    </w:r>
                    <w:r>
                      <w:rPr>
                        <w:spacing w:val="-5"/>
                        <w:w w:val="115"/>
                        <w:sz w:val="21"/>
                      </w:rPr>
                      <w:t> </w:t>
                    </w:r>
                    <w:r>
                      <w:rPr>
                        <w:spacing w:val="-2"/>
                        <w:w w:val="115"/>
                        <w:sz w:val="21"/>
                      </w:rPr>
                      <w:t>anyone</w:t>
                    </w:r>
                    <w:r>
                      <w:rPr>
                        <w:spacing w:val="-4"/>
                        <w:w w:val="115"/>
                        <w:sz w:val="21"/>
                      </w:rPr>
                      <w:t> </w:t>
                    </w:r>
                    <w:r>
                      <w:rPr>
                        <w:w w:val="115"/>
                        <w:sz w:val="21"/>
                      </w:rPr>
                      <w:t>on</w:t>
                    </w:r>
                    <w:r>
                      <w:rPr>
                        <w:spacing w:val="-5"/>
                        <w:w w:val="115"/>
                        <w:sz w:val="21"/>
                      </w:rPr>
                      <w:t> </w:t>
                    </w:r>
                    <w:r>
                      <w:rPr>
                        <w:w w:val="115"/>
                        <w:sz w:val="21"/>
                      </w:rPr>
                      <w:t>the</w:t>
                    </w:r>
                    <w:r>
                      <w:rPr>
                        <w:spacing w:val="-5"/>
                        <w:w w:val="115"/>
                        <w:sz w:val="21"/>
                      </w:rPr>
                      <w:t> </w:t>
                    </w:r>
                    <w:r>
                      <w:rPr>
                        <w:w w:val="115"/>
                        <w:sz w:val="21"/>
                      </w:rPr>
                      <w:t>affected</w:t>
                    </w:r>
                    <w:r>
                      <w:rPr>
                        <w:spacing w:val="-5"/>
                        <w:w w:val="115"/>
                        <w:sz w:val="21"/>
                      </w:rPr>
                      <w:t> </w:t>
                    </w:r>
                    <w:r>
                      <w:rPr>
                        <w:w w:val="115"/>
                        <w:sz w:val="21"/>
                      </w:rPr>
                      <w:t>neighbour’s</w:t>
                    </w:r>
                    <w:r>
                      <w:rPr>
                        <w:spacing w:val="-4"/>
                        <w:w w:val="115"/>
                        <w:sz w:val="21"/>
                      </w:rPr>
                      <w:t> </w:t>
                    </w:r>
                    <w:r>
                      <w:rPr>
                        <w:w w:val="115"/>
                        <w:sz w:val="21"/>
                      </w:rPr>
                      <w:t>land</w:t>
                    </w:r>
                    <w:r>
                      <w:rPr>
                        <w:spacing w:val="-5"/>
                        <w:w w:val="115"/>
                        <w:sz w:val="21"/>
                      </w:rPr>
                      <w:t> </w:t>
                    </w:r>
                    <w:r>
                      <w:rPr>
                        <w:w w:val="115"/>
                        <w:sz w:val="21"/>
                      </w:rPr>
                      <w:t>that</w:t>
                    </w:r>
                    <w:r>
                      <w:rPr>
                        <w:spacing w:val="-5"/>
                        <w:w w:val="115"/>
                        <w:sz w:val="21"/>
                      </w:rPr>
                      <w:t> </w:t>
                    </w:r>
                    <w:r>
                      <w:rPr>
                        <w:w w:val="115"/>
                        <w:sz w:val="21"/>
                      </w:rPr>
                      <w:t>is caused by a</w:t>
                    </w:r>
                    <w:r>
                      <w:rPr>
                        <w:spacing w:val="1"/>
                        <w:w w:val="115"/>
                        <w:sz w:val="21"/>
                      </w:rPr>
                      <w:t> </w:t>
                    </w:r>
                    <w:r>
                      <w:rPr>
                        <w:w w:val="115"/>
                        <w:sz w:val="21"/>
                      </w:rPr>
                      <w:t>tree</w:t>
                    </w:r>
                  </w:p>
                  <w:p>
                    <w:pPr>
                      <w:numPr>
                        <w:ilvl w:val="0"/>
                        <w:numId w:val="82"/>
                      </w:numPr>
                      <w:tabs>
                        <w:tab w:pos="1360" w:val="left" w:leader="none"/>
                        <w:tab w:pos="1361" w:val="left" w:leader="none"/>
                      </w:tabs>
                      <w:spacing w:line="242" w:lineRule="auto" w:before="122"/>
                      <w:ind w:left="1360" w:right="731" w:hanging="567"/>
                      <w:jc w:val="left"/>
                      <w:rPr>
                        <w:sz w:val="21"/>
                      </w:rPr>
                    </w:pPr>
                    <w:r>
                      <w:rPr>
                        <w:w w:val="115"/>
                        <w:sz w:val="21"/>
                      </w:rPr>
                      <w:t>prevent</w:t>
                    </w:r>
                    <w:r>
                      <w:rPr>
                        <w:spacing w:val="-6"/>
                        <w:w w:val="115"/>
                        <w:sz w:val="21"/>
                      </w:rPr>
                      <w:t> </w:t>
                    </w:r>
                    <w:r>
                      <w:rPr>
                        <w:w w:val="115"/>
                        <w:sz w:val="21"/>
                      </w:rPr>
                      <w:t>harm</w:t>
                    </w:r>
                    <w:r>
                      <w:rPr>
                        <w:spacing w:val="-5"/>
                        <w:w w:val="115"/>
                        <w:sz w:val="21"/>
                      </w:rPr>
                      <w:t> </w:t>
                    </w:r>
                    <w:r>
                      <w:rPr>
                        <w:w w:val="115"/>
                        <w:sz w:val="21"/>
                      </w:rPr>
                      <w:t>to</w:t>
                    </w:r>
                    <w:r>
                      <w:rPr>
                        <w:spacing w:val="-5"/>
                        <w:w w:val="115"/>
                        <w:sz w:val="21"/>
                      </w:rPr>
                      <w:t> </w:t>
                    </w:r>
                    <w:r>
                      <w:rPr>
                        <w:spacing w:val="-2"/>
                        <w:w w:val="115"/>
                        <w:sz w:val="21"/>
                      </w:rPr>
                      <w:t>any</w:t>
                    </w:r>
                    <w:r>
                      <w:rPr>
                        <w:spacing w:val="-5"/>
                        <w:w w:val="115"/>
                        <w:sz w:val="21"/>
                      </w:rPr>
                      <w:t> </w:t>
                    </w:r>
                    <w:r>
                      <w:rPr>
                        <w:w w:val="115"/>
                        <w:sz w:val="21"/>
                      </w:rPr>
                      <w:t>person</w:t>
                    </w:r>
                    <w:r>
                      <w:rPr>
                        <w:spacing w:val="-5"/>
                        <w:w w:val="115"/>
                        <w:sz w:val="21"/>
                      </w:rPr>
                      <w:t> </w:t>
                    </w:r>
                    <w:r>
                      <w:rPr>
                        <w:w w:val="115"/>
                        <w:sz w:val="21"/>
                      </w:rPr>
                      <w:t>on</w:t>
                    </w:r>
                    <w:r>
                      <w:rPr>
                        <w:spacing w:val="-5"/>
                        <w:w w:val="115"/>
                        <w:sz w:val="21"/>
                      </w:rPr>
                      <w:t> </w:t>
                    </w:r>
                    <w:r>
                      <w:rPr>
                        <w:w w:val="115"/>
                        <w:sz w:val="21"/>
                      </w:rPr>
                      <w:t>the</w:t>
                    </w:r>
                    <w:r>
                      <w:rPr>
                        <w:spacing w:val="-5"/>
                        <w:w w:val="115"/>
                        <w:sz w:val="21"/>
                      </w:rPr>
                      <w:t> </w:t>
                    </w:r>
                    <w:r>
                      <w:rPr>
                        <w:w w:val="115"/>
                        <w:sz w:val="21"/>
                      </w:rPr>
                      <w:t>affected</w:t>
                    </w:r>
                    <w:r>
                      <w:rPr>
                        <w:spacing w:val="-5"/>
                        <w:w w:val="115"/>
                        <w:sz w:val="21"/>
                      </w:rPr>
                      <w:t> </w:t>
                    </w:r>
                    <w:r>
                      <w:rPr>
                        <w:w w:val="115"/>
                        <w:sz w:val="21"/>
                      </w:rPr>
                      <w:t>neighbour’s</w:t>
                    </w:r>
                    <w:r>
                      <w:rPr>
                        <w:spacing w:val="-5"/>
                        <w:w w:val="115"/>
                        <w:sz w:val="21"/>
                      </w:rPr>
                      <w:t> </w:t>
                    </w:r>
                    <w:r>
                      <w:rPr>
                        <w:w w:val="115"/>
                        <w:sz w:val="21"/>
                      </w:rPr>
                      <w:t>land</w:t>
                    </w:r>
                    <w:r>
                      <w:rPr>
                        <w:spacing w:val="-5"/>
                        <w:w w:val="115"/>
                        <w:sz w:val="21"/>
                      </w:rPr>
                      <w:t> </w:t>
                    </w:r>
                    <w:r>
                      <w:rPr>
                        <w:w w:val="115"/>
                        <w:sz w:val="21"/>
                      </w:rPr>
                      <w:t>that</w:t>
                    </w:r>
                    <w:r>
                      <w:rPr>
                        <w:spacing w:val="-5"/>
                        <w:w w:val="115"/>
                        <w:sz w:val="21"/>
                      </w:rPr>
                      <w:t> </w:t>
                    </w:r>
                    <w:r>
                      <w:rPr>
                        <w:w w:val="115"/>
                        <w:sz w:val="21"/>
                      </w:rPr>
                      <w:t>is caused</w:t>
                    </w:r>
                    <w:r>
                      <w:rPr>
                        <w:spacing w:val="-5"/>
                        <w:w w:val="115"/>
                        <w:sz w:val="21"/>
                      </w:rPr>
                      <w:t> </w:t>
                    </w:r>
                    <w:r>
                      <w:rPr>
                        <w:w w:val="115"/>
                        <w:sz w:val="21"/>
                      </w:rPr>
                      <w:t>by</w:t>
                    </w:r>
                    <w:r>
                      <w:rPr>
                        <w:spacing w:val="-4"/>
                        <w:w w:val="115"/>
                        <w:sz w:val="21"/>
                      </w:rPr>
                      <w:t> </w:t>
                    </w:r>
                    <w:r>
                      <w:rPr>
                        <w:w w:val="115"/>
                        <w:sz w:val="21"/>
                      </w:rPr>
                      <w:t>a</w:t>
                    </w:r>
                    <w:r>
                      <w:rPr>
                        <w:spacing w:val="-4"/>
                        <w:w w:val="115"/>
                        <w:sz w:val="21"/>
                      </w:rPr>
                      <w:t> </w:t>
                    </w:r>
                    <w:r>
                      <w:rPr>
                        <w:w w:val="115"/>
                        <w:sz w:val="21"/>
                      </w:rPr>
                      <w:t>tree</w:t>
                    </w:r>
                    <w:r>
                      <w:rPr>
                        <w:spacing w:val="-4"/>
                        <w:w w:val="115"/>
                        <w:sz w:val="21"/>
                      </w:rPr>
                      <w:t> </w:t>
                    </w:r>
                    <w:r>
                      <w:rPr>
                        <w:w w:val="115"/>
                        <w:sz w:val="21"/>
                      </w:rPr>
                      <w:t>that</w:t>
                    </w:r>
                    <w:r>
                      <w:rPr>
                        <w:spacing w:val="-4"/>
                        <w:w w:val="115"/>
                        <w:sz w:val="21"/>
                      </w:rPr>
                      <w:t> </w:t>
                    </w:r>
                    <w:r>
                      <w:rPr>
                        <w:w w:val="115"/>
                        <w:sz w:val="21"/>
                      </w:rPr>
                      <w:t>is</w:t>
                    </w:r>
                    <w:r>
                      <w:rPr>
                        <w:spacing w:val="-4"/>
                        <w:w w:val="115"/>
                        <w:sz w:val="21"/>
                      </w:rPr>
                      <w:t> </w:t>
                    </w:r>
                    <w:r>
                      <w:rPr>
                        <w:spacing w:val="-3"/>
                        <w:w w:val="115"/>
                        <w:sz w:val="21"/>
                      </w:rPr>
                      <w:t>likely</w:t>
                    </w:r>
                    <w:r>
                      <w:rPr>
                        <w:spacing w:val="-4"/>
                        <w:w w:val="115"/>
                        <w:sz w:val="21"/>
                      </w:rPr>
                      <w:t> </w:t>
                    </w:r>
                    <w:r>
                      <w:rPr>
                        <w:w w:val="115"/>
                        <w:sz w:val="21"/>
                      </w:rPr>
                      <w:t>to</w:t>
                    </w:r>
                    <w:r>
                      <w:rPr>
                        <w:spacing w:val="-4"/>
                        <w:w w:val="115"/>
                        <w:sz w:val="21"/>
                      </w:rPr>
                      <w:t> </w:t>
                    </w:r>
                    <w:r>
                      <w:rPr>
                        <w:w w:val="115"/>
                        <w:sz w:val="21"/>
                      </w:rPr>
                      <w:t>occur</w:t>
                    </w:r>
                    <w:r>
                      <w:rPr>
                        <w:spacing w:val="-4"/>
                        <w:w w:val="115"/>
                        <w:sz w:val="21"/>
                      </w:rPr>
                      <w:t> </w:t>
                    </w:r>
                    <w:r>
                      <w:rPr>
                        <w:w w:val="115"/>
                        <w:sz w:val="21"/>
                      </w:rPr>
                      <w:t>within</w:t>
                    </w:r>
                    <w:r>
                      <w:rPr>
                        <w:spacing w:val="-4"/>
                        <w:w w:val="115"/>
                        <w:sz w:val="21"/>
                      </w:rPr>
                      <w:t> </w:t>
                    </w:r>
                    <w:r>
                      <w:rPr>
                        <w:w w:val="115"/>
                        <w:sz w:val="21"/>
                      </w:rPr>
                      <w:t>the</w:t>
                    </w:r>
                    <w:r>
                      <w:rPr>
                        <w:spacing w:val="-4"/>
                        <w:w w:val="115"/>
                        <w:sz w:val="21"/>
                      </w:rPr>
                      <w:t> </w:t>
                    </w:r>
                    <w:r>
                      <w:rPr>
                        <w:w w:val="115"/>
                        <w:sz w:val="21"/>
                      </w:rPr>
                      <w:t>next</w:t>
                    </w:r>
                    <w:r>
                      <w:rPr>
                        <w:spacing w:val="-4"/>
                        <w:w w:val="115"/>
                        <w:sz w:val="21"/>
                      </w:rPr>
                      <w:t> </w:t>
                    </w:r>
                    <w:r>
                      <w:rPr>
                        <w:spacing w:val="-7"/>
                        <w:w w:val="115"/>
                        <w:sz w:val="21"/>
                      </w:rPr>
                      <w:t>12</w:t>
                    </w:r>
                    <w:r>
                      <w:rPr>
                        <w:spacing w:val="-4"/>
                        <w:w w:val="115"/>
                        <w:sz w:val="21"/>
                      </w:rPr>
                      <w:t> </w:t>
                    </w:r>
                    <w:r>
                      <w:rPr>
                        <w:w w:val="115"/>
                        <w:sz w:val="21"/>
                      </w:rPr>
                      <w:t>months.</w:t>
                    </w:r>
                  </w:p>
                </w:txbxContent>
              </v:textbox>
              <v:fill type="solid"/>
              <w10:wrap type="none"/>
            </v:shape>
            <v:shape style="position:absolute;left:340;top:0;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w:t>
                    </w:r>
                  </w:p>
                </w:txbxContent>
              </v:textbox>
              <v:fill type="solid"/>
              <w10:wrap type="none"/>
            </v:shape>
          </v:group>
        </w:pict>
      </w:r>
      <w:r>
        <w:rPr>
          <w:sz w:val="20"/>
        </w:rPr>
      </w:r>
    </w:p>
    <w:p>
      <w:pPr>
        <w:pStyle w:val="BodyText"/>
        <w:spacing w:before="7"/>
        <w:rPr>
          <w:b/>
          <w:sz w:val="27"/>
        </w:rPr>
      </w:pPr>
    </w:p>
    <w:p>
      <w:pPr>
        <w:pStyle w:val="Heading7"/>
        <w:spacing w:before="97"/>
      </w:pPr>
      <w:r>
        <w:rPr>
          <w:w w:val="115"/>
        </w:rPr>
        <w:t>Interference (not causing actual damage)</w:t>
      </w:r>
    </w:p>
    <w:p>
      <w:pPr>
        <w:pStyle w:val="ListParagraph"/>
        <w:numPr>
          <w:ilvl w:val="0"/>
          <w:numId w:val="79"/>
        </w:numPr>
        <w:tabs>
          <w:tab w:pos="2381" w:val="left" w:leader="none"/>
          <w:tab w:pos="2382" w:val="left" w:leader="none"/>
        </w:tabs>
        <w:spacing w:line="242" w:lineRule="auto" w:before="143" w:after="0"/>
        <w:ind w:left="2381" w:right="1829" w:hanging="794"/>
        <w:jc w:val="left"/>
        <w:rPr>
          <w:sz w:val="21"/>
        </w:rPr>
      </w:pPr>
      <w:r>
        <w:rPr>
          <w:sz w:val="21"/>
        </w:rPr>
        <w:t>On </w:t>
      </w:r>
      <w:r>
        <w:rPr>
          <w:spacing w:val="-3"/>
          <w:sz w:val="21"/>
        </w:rPr>
        <w:t>balance </w:t>
      </w:r>
      <w:r>
        <w:rPr>
          <w:sz w:val="21"/>
        </w:rPr>
        <w:t>the </w:t>
      </w:r>
      <w:r>
        <w:rPr>
          <w:spacing w:val="-3"/>
          <w:sz w:val="21"/>
        </w:rPr>
        <w:t>Commission found </w:t>
      </w:r>
      <w:r>
        <w:rPr>
          <w:sz w:val="21"/>
        </w:rPr>
        <w:t>the </w:t>
      </w:r>
      <w:r>
        <w:rPr>
          <w:spacing w:val="-3"/>
          <w:sz w:val="21"/>
        </w:rPr>
        <w:t>submissions against </w:t>
      </w:r>
      <w:r>
        <w:rPr>
          <w:sz w:val="21"/>
        </w:rPr>
        <w:t>the </w:t>
      </w:r>
      <w:r>
        <w:rPr>
          <w:spacing w:val="-3"/>
          <w:sz w:val="21"/>
        </w:rPr>
        <w:t>inclusion </w:t>
      </w:r>
      <w:r>
        <w:rPr>
          <w:sz w:val="21"/>
        </w:rPr>
        <w:t>of </w:t>
      </w:r>
      <w:r>
        <w:rPr>
          <w:spacing w:val="-3"/>
          <w:sz w:val="21"/>
        </w:rPr>
        <w:t>interference persuasive. </w:t>
      </w:r>
      <w:r>
        <w:rPr>
          <w:sz w:val="21"/>
        </w:rPr>
        <w:t>A tree </w:t>
      </w:r>
      <w:r>
        <w:rPr>
          <w:spacing w:val="-3"/>
          <w:sz w:val="21"/>
        </w:rPr>
        <w:t>that interferes </w:t>
      </w:r>
      <w:r>
        <w:rPr>
          <w:sz w:val="21"/>
        </w:rPr>
        <w:t>with a neighbours use and </w:t>
      </w:r>
      <w:r>
        <w:rPr>
          <w:spacing w:val="-2"/>
          <w:sz w:val="21"/>
        </w:rPr>
        <w:t>enjoyment </w:t>
      </w:r>
      <w:r>
        <w:rPr>
          <w:sz w:val="21"/>
        </w:rPr>
        <w:t>of their</w:t>
      </w:r>
      <w:r>
        <w:rPr>
          <w:spacing w:val="39"/>
          <w:sz w:val="21"/>
        </w:rPr>
        <w:t> </w:t>
      </w:r>
      <w:r>
        <w:rPr>
          <w:spacing w:val="-3"/>
          <w:sz w:val="21"/>
        </w:rPr>
        <w:t>land</w:t>
      </w:r>
    </w:p>
    <w:p>
      <w:pPr>
        <w:pStyle w:val="BodyText"/>
        <w:spacing w:line="242" w:lineRule="auto" w:before="2"/>
        <w:ind w:left="2381" w:right="2299"/>
      </w:pPr>
      <w:r>
        <w:rPr/>
        <w:t>in the </w:t>
      </w:r>
      <w:r>
        <w:rPr>
          <w:spacing w:val="-3"/>
        </w:rPr>
        <w:t>form </w:t>
      </w:r>
      <w:r>
        <w:rPr/>
        <w:t>of </w:t>
      </w:r>
      <w:r>
        <w:rPr>
          <w:spacing w:val="-3"/>
        </w:rPr>
        <w:t>annoyance </w:t>
      </w:r>
      <w:r>
        <w:rPr/>
        <w:t>or discomfort should </w:t>
      </w:r>
      <w:r>
        <w:rPr>
          <w:spacing w:val="-2"/>
        </w:rPr>
        <w:t>not  </w:t>
      </w:r>
      <w:r>
        <w:rPr>
          <w:spacing w:val="-4"/>
        </w:rPr>
        <w:t>fall  </w:t>
      </w:r>
      <w:r>
        <w:rPr>
          <w:spacing w:val="-3"/>
        </w:rPr>
        <w:t>within  </w:t>
      </w:r>
      <w:r>
        <w:rPr/>
        <w:t>the scope of the Act.  This approach is </w:t>
      </w:r>
      <w:r>
        <w:rPr>
          <w:spacing w:val="-3"/>
        </w:rPr>
        <w:t>consistent  </w:t>
      </w:r>
      <w:r>
        <w:rPr/>
        <w:t>with the approach in New South </w:t>
      </w:r>
      <w:r>
        <w:rPr>
          <w:spacing w:val="-3"/>
        </w:rPr>
        <w:t>Wales.</w:t>
      </w:r>
      <w:r>
        <w:rPr>
          <w:spacing w:val="41"/>
        </w:rPr>
        <w:t> </w:t>
      </w:r>
      <w:r>
        <w:rPr/>
        <w:t>It also reflects    the underlying policy position </w:t>
      </w:r>
      <w:r>
        <w:rPr>
          <w:spacing w:val="-3"/>
        </w:rPr>
        <w:t>that </w:t>
      </w:r>
      <w:r>
        <w:rPr/>
        <w:t>whilst leaf litter can </w:t>
      </w:r>
      <w:r>
        <w:rPr>
          <w:spacing w:val="-3"/>
        </w:rPr>
        <w:t>create </w:t>
      </w:r>
      <w:r>
        <w:rPr/>
        <w:t>mess on </w:t>
      </w:r>
      <w:r>
        <w:rPr>
          <w:spacing w:val="-3"/>
        </w:rPr>
        <w:t>neighbouring land </w:t>
      </w:r>
      <w:r>
        <w:rPr/>
        <w:t>and property, it is an ordinary part of community </w:t>
      </w:r>
      <w:r>
        <w:rPr>
          <w:spacing w:val="-3"/>
        </w:rPr>
        <w:t>life </w:t>
      </w:r>
      <w:r>
        <w:rPr/>
        <w:t>in urban </w:t>
      </w:r>
      <w:r>
        <w:rPr>
          <w:spacing w:val="-3"/>
        </w:rPr>
        <w:t>environments.  </w:t>
      </w:r>
      <w:r>
        <w:rPr/>
        <w:t>If  the </w:t>
      </w:r>
      <w:r>
        <w:rPr>
          <w:spacing w:val="-3"/>
        </w:rPr>
        <w:t>interference </w:t>
      </w:r>
      <w:r>
        <w:rPr/>
        <w:t>is </w:t>
      </w:r>
      <w:r>
        <w:rPr>
          <w:spacing w:val="-3"/>
        </w:rPr>
        <w:t>such that </w:t>
      </w:r>
      <w:r>
        <w:rPr/>
        <w:t>it causes damage </w:t>
      </w:r>
      <w:r>
        <w:rPr>
          <w:spacing w:val="-3"/>
        </w:rPr>
        <w:t>to </w:t>
      </w:r>
      <w:r>
        <w:rPr/>
        <w:t>the </w:t>
      </w:r>
      <w:r>
        <w:rPr>
          <w:spacing w:val="-3"/>
        </w:rPr>
        <w:t>land </w:t>
      </w:r>
      <w:r>
        <w:rPr/>
        <w:t>or property of the affected </w:t>
      </w:r>
      <w:r>
        <w:rPr>
          <w:spacing w:val="-4"/>
        </w:rPr>
        <w:t>neighbour, </w:t>
      </w:r>
      <w:r>
        <w:rPr/>
        <w:t>the Act </w:t>
      </w:r>
      <w:r>
        <w:rPr>
          <w:spacing w:val="-3"/>
        </w:rPr>
        <w:t>will </w:t>
      </w:r>
      <w:r>
        <w:rPr/>
        <w:t>provide a</w:t>
      </w:r>
      <w:r>
        <w:rPr>
          <w:spacing w:val="20"/>
        </w:rPr>
        <w:t> </w:t>
      </w:r>
      <w:r>
        <w:rPr>
          <w:spacing w:val="-3"/>
        </w:rPr>
        <w:t>remedy.</w:t>
      </w:r>
    </w:p>
    <w:p>
      <w:pPr>
        <w:pStyle w:val="ListParagraph"/>
        <w:numPr>
          <w:ilvl w:val="0"/>
          <w:numId w:val="79"/>
        </w:numPr>
        <w:tabs>
          <w:tab w:pos="2380" w:val="left" w:leader="none"/>
          <w:tab w:pos="2381" w:val="left" w:leader="none"/>
        </w:tabs>
        <w:spacing w:line="242" w:lineRule="auto" w:before="126" w:after="0"/>
        <w:ind w:left="2381" w:right="1653" w:hanging="794"/>
        <w:jc w:val="left"/>
        <w:rPr>
          <w:sz w:val="21"/>
        </w:rPr>
      </w:pPr>
      <w:r>
        <w:rPr>
          <w:w w:val="105"/>
          <w:sz w:val="21"/>
        </w:rPr>
        <w:t>Whilst the </w:t>
      </w:r>
      <w:r>
        <w:rPr>
          <w:spacing w:val="-3"/>
          <w:w w:val="105"/>
          <w:sz w:val="21"/>
        </w:rPr>
        <w:t>Queensland </w:t>
      </w:r>
      <w:r>
        <w:rPr>
          <w:w w:val="105"/>
          <w:sz w:val="21"/>
        </w:rPr>
        <w:t>and </w:t>
      </w:r>
      <w:r>
        <w:rPr>
          <w:spacing w:val="-4"/>
          <w:w w:val="105"/>
          <w:sz w:val="21"/>
        </w:rPr>
        <w:t>Tasmanian </w:t>
      </w:r>
      <w:r>
        <w:rPr>
          <w:w w:val="105"/>
          <w:sz w:val="21"/>
        </w:rPr>
        <w:t>Acts extend </w:t>
      </w:r>
      <w:r>
        <w:rPr>
          <w:spacing w:val="-3"/>
          <w:w w:val="105"/>
          <w:sz w:val="21"/>
        </w:rPr>
        <w:t>liability for interference </w:t>
      </w:r>
      <w:r>
        <w:rPr>
          <w:w w:val="105"/>
          <w:sz w:val="21"/>
        </w:rPr>
        <w:t>it must be </w:t>
      </w:r>
      <w:r>
        <w:rPr>
          <w:spacing w:val="-3"/>
          <w:w w:val="105"/>
          <w:sz w:val="21"/>
        </w:rPr>
        <w:t>‘substantial, </w:t>
      </w:r>
      <w:r>
        <w:rPr>
          <w:w w:val="105"/>
          <w:sz w:val="21"/>
        </w:rPr>
        <w:t>ongoing and </w:t>
      </w:r>
      <w:r>
        <w:rPr>
          <w:spacing w:val="-4"/>
          <w:w w:val="105"/>
          <w:sz w:val="21"/>
        </w:rPr>
        <w:t>unreasonable’. </w:t>
      </w:r>
      <w:r>
        <w:rPr>
          <w:w w:val="105"/>
          <w:sz w:val="21"/>
        </w:rPr>
        <w:t>This is </w:t>
      </w:r>
      <w:r>
        <w:rPr>
          <w:spacing w:val="-3"/>
          <w:w w:val="105"/>
          <w:sz w:val="21"/>
        </w:rPr>
        <w:t>similar to </w:t>
      </w:r>
      <w:r>
        <w:rPr>
          <w:w w:val="105"/>
          <w:sz w:val="21"/>
        </w:rPr>
        <w:t>the approach </w:t>
      </w:r>
      <w:r>
        <w:rPr>
          <w:spacing w:val="-3"/>
          <w:w w:val="105"/>
          <w:sz w:val="21"/>
        </w:rPr>
        <w:t>to nuisance claims </w:t>
      </w:r>
      <w:r>
        <w:rPr>
          <w:w w:val="105"/>
          <w:sz w:val="21"/>
        </w:rPr>
        <w:t>at </w:t>
      </w:r>
      <w:r>
        <w:rPr>
          <w:spacing w:val="-2"/>
          <w:w w:val="105"/>
          <w:sz w:val="21"/>
        </w:rPr>
        <w:t>common </w:t>
      </w:r>
      <w:r>
        <w:rPr>
          <w:spacing w:val="-5"/>
          <w:w w:val="105"/>
          <w:sz w:val="21"/>
        </w:rPr>
        <w:t>law. </w:t>
      </w:r>
      <w:r>
        <w:rPr>
          <w:spacing w:val="-7"/>
          <w:w w:val="105"/>
          <w:sz w:val="21"/>
        </w:rPr>
        <w:t>To </w:t>
      </w:r>
      <w:r>
        <w:rPr>
          <w:w w:val="105"/>
          <w:sz w:val="21"/>
        </w:rPr>
        <w:t>meet this </w:t>
      </w:r>
      <w:r>
        <w:rPr>
          <w:spacing w:val="-3"/>
          <w:w w:val="105"/>
          <w:sz w:val="21"/>
        </w:rPr>
        <w:t>threshold interference </w:t>
      </w:r>
      <w:r>
        <w:rPr>
          <w:w w:val="105"/>
          <w:sz w:val="21"/>
        </w:rPr>
        <w:t>is </w:t>
      </w:r>
      <w:r>
        <w:rPr>
          <w:spacing w:val="-4"/>
          <w:w w:val="105"/>
          <w:sz w:val="21"/>
        </w:rPr>
        <w:t>likely </w:t>
      </w:r>
      <w:r>
        <w:rPr>
          <w:spacing w:val="-3"/>
          <w:w w:val="105"/>
          <w:sz w:val="21"/>
        </w:rPr>
        <w:t>to involve </w:t>
      </w:r>
      <w:r>
        <w:rPr>
          <w:w w:val="105"/>
          <w:sz w:val="21"/>
        </w:rPr>
        <w:t>some sort of property damage or </w:t>
      </w:r>
      <w:r>
        <w:rPr>
          <w:spacing w:val="-3"/>
          <w:w w:val="105"/>
          <w:sz w:val="21"/>
        </w:rPr>
        <w:t>harm. </w:t>
      </w:r>
      <w:r>
        <w:rPr>
          <w:w w:val="105"/>
          <w:sz w:val="21"/>
        </w:rPr>
        <w:t>As </w:t>
      </w:r>
      <w:r>
        <w:rPr>
          <w:spacing w:val="-3"/>
          <w:w w:val="105"/>
          <w:sz w:val="21"/>
        </w:rPr>
        <w:t>noted earlier </w:t>
      </w:r>
      <w:r>
        <w:rPr>
          <w:w w:val="105"/>
          <w:sz w:val="21"/>
        </w:rPr>
        <w:t>it was </w:t>
      </w:r>
      <w:r>
        <w:rPr>
          <w:spacing w:val="-2"/>
          <w:w w:val="105"/>
          <w:sz w:val="21"/>
        </w:rPr>
        <w:t>not </w:t>
      </w:r>
      <w:r>
        <w:rPr>
          <w:w w:val="105"/>
          <w:sz w:val="21"/>
        </w:rPr>
        <w:t>envisaged </w:t>
      </w:r>
      <w:r>
        <w:rPr>
          <w:spacing w:val="-3"/>
          <w:w w:val="105"/>
          <w:sz w:val="21"/>
        </w:rPr>
        <w:t>that </w:t>
      </w:r>
      <w:r>
        <w:rPr>
          <w:w w:val="105"/>
          <w:sz w:val="21"/>
        </w:rPr>
        <w:t>the </w:t>
      </w:r>
      <w:r>
        <w:rPr>
          <w:spacing w:val="-3"/>
          <w:w w:val="105"/>
          <w:sz w:val="21"/>
        </w:rPr>
        <w:t>Queensland </w:t>
      </w:r>
      <w:r>
        <w:rPr>
          <w:w w:val="105"/>
          <w:sz w:val="21"/>
        </w:rPr>
        <w:t>Act provide</w:t>
      </w:r>
      <w:r>
        <w:rPr>
          <w:spacing w:val="-9"/>
          <w:w w:val="105"/>
          <w:sz w:val="21"/>
        </w:rPr>
        <w:t> </w:t>
      </w:r>
      <w:r>
        <w:rPr>
          <w:w w:val="105"/>
          <w:sz w:val="21"/>
        </w:rPr>
        <w:t>a</w:t>
      </w:r>
      <w:r>
        <w:rPr>
          <w:spacing w:val="-9"/>
          <w:w w:val="105"/>
          <w:sz w:val="21"/>
        </w:rPr>
        <w:t> </w:t>
      </w:r>
      <w:r>
        <w:rPr>
          <w:w w:val="105"/>
          <w:sz w:val="21"/>
        </w:rPr>
        <w:t>remedy</w:t>
      </w:r>
      <w:r>
        <w:rPr>
          <w:spacing w:val="-8"/>
          <w:w w:val="105"/>
          <w:sz w:val="21"/>
        </w:rPr>
        <w:t> </w:t>
      </w:r>
      <w:r>
        <w:rPr>
          <w:spacing w:val="-3"/>
          <w:w w:val="105"/>
          <w:sz w:val="21"/>
        </w:rPr>
        <w:t>for</w:t>
      </w:r>
      <w:r>
        <w:rPr>
          <w:spacing w:val="-9"/>
          <w:w w:val="105"/>
          <w:sz w:val="21"/>
        </w:rPr>
        <w:t> </w:t>
      </w:r>
      <w:r>
        <w:rPr>
          <w:w w:val="105"/>
          <w:sz w:val="21"/>
        </w:rPr>
        <w:t>leaf</w:t>
      </w:r>
      <w:r>
        <w:rPr>
          <w:spacing w:val="-9"/>
          <w:w w:val="105"/>
          <w:sz w:val="21"/>
        </w:rPr>
        <w:t> </w:t>
      </w:r>
      <w:r>
        <w:rPr>
          <w:w w:val="105"/>
          <w:sz w:val="21"/>
        </w:rPr>
        <w:t>litter</w:t>
      </w:r>
      <w:r>
        <w:rPr>
          <w:spacing w:val="-8"/>
          <w:w w:val="105"/>
          <w:sz w:val="21"/>
        </w:rPr>
        <w:t> </w:t>
      </w:r>
      <w:r>
        <w:rPr>
          <w:spacing w:val="-3"/>
          <w:w w:val="105"/>
          <w:sz w:val="21"/>
        </w:rPr>
        <w:t>that</w:t>
      </w:r>
      <w:r>
        <w:rPr>
          <w:spacing w:val="-9"/>
          <w:w w:val="105"/>
          <w:sz w:val="21"/>
        </w:rPr>
        <w:t> </w:t>
      </w:r>
      <w:r>
        <w:rPr>
          <w:w w:val="105"/>
          <w:sz w:val="21"/>
        </w:rPr>
        <w:t>is</w:t>
      </w:r>
      <w:r>
        <w:rPr>
          <w:spacing w:val="-9"/>
          <w:w w:val="105"/>
          <w:sz w:val="21"/>
        </w:rPr>
        <w:t> </w:t>
      </w:r>
      <w:r>
        <w:rPr>
          <w:w w:val="105"/>
          <w:sz w:val="21"/>
        </w:rPr>
        <w:t>an</w:t>
      </w:r>
      <w:r>
        <w:rPr>
          <w:spacing w:val="-8"/>
          <w:w w:val="105"/>
          <w:sz w:val="21"/>
        </w:rPr>
        <w:t> </w:t>
      </w:r>
      <w:r>
        <w:rPr>
          <w:w w:val="105"/>
          <w:sz w:val="21"/>
        </w:rPr>
        <w:t>ordinary</w:t>
      </w:r>
      <w:r>
        <w:rPr>
          <w:spacing w:val="-9"/>
          <w:w w:val="105"/>
          <w:sz w:val="21"/>
        </w:rPr>
        <w:t> </w:t>
      </w:r>
      <w:r>
        <w:rPr>
          <w:w w:val="105"/>
          <w:sz w:val="21"/>
        </w:rPr>
        <w:t>part</w:t>
      </w:r>
      <w:r>
        <w:rPr>
          <w:spacing w:val="-9"/>
          <w:w w:val="105"/>
          <w:sz w:val="21"/>
        </w:rPr>
        <w:t> </w:t>
      </w:r>
      <w:r>
        <w:rPr>
          <w:w w:val="105"/>
          <w:sz w:val="21"/>
        </w:rPr>
        <w:t>of</w:t>
      </w:r>
      <w:r>
        <w:rPr>
          <w:spacing w:val="-8"/>
          <w:w w:val="105"/>
          <w:sz w:val="21"/>
        </w:rPr>
        <w:t> </w:t>
      </w:r>
      <w:r>
        <w:rPr>
          <w:spacing w:val="-3"/>
          <w:w w:val="105"/>
          <w:sz w:val="21"/>
        </w:rPr>
        <w:t>suburban</w:t>
      </w:r>
      <w:r>
        <w:rPr>
          <w:spacing w:val="-9"/>
          <w:w w:val="105"/>
          <w:sz w:val="21"/>
        </w:rPr>
        <w:t> </w:t>
      </w:r>
      <w:r>
        <w:rPr>
          <w:spacing w:val="-3"/>
          <w:w w:val="105"/>
          <w:sz w:val="21"/>
        </w:rPr>
        <w:t>life</w:t>
      </w:r>
      <w:r>
        <w:rPr>
          <w:spacing w:val="-9"/>
          <w:w w:val="105"/>
          <w:sz w:val="21"/>
        </w:rPr>
        <w:t> </w:t>
      </w:r>
      <w:r>
        <w:rPr>
          <w:w w:val="105"/>
          <w:sz w:val="21"/>
        </w:rPr>
        <w:t>and</w:t>
      </w:r>
      <w:r>
        <w:rPr>
          <w:spacing w:val="-8"/>
          <w:w w:val="105"/>
          <w:sz w:val="21"/>
        </w:rPr>
        <w:t> </w:t>
      </w:r>
      <w:r>
        <w:rPr>
          <w:spacing w:val="-3"/>
          <w:w w:val="105"/>
          <w:sz w:val="21"/>
        </w:rPr>
        <w:t>that</w:t>
      </w:r>
      <w:r>
        <w:rPr>
          <w:spacing w:val="-9"/>
          <w:w w:val="105"/>
          <w:sz w:val="21"/>
        </w:rPr>
        <w:t> </w:t>
      </w:r>
      <w:r>
        <w:rPr>
          <w:w w:val="105"/>
          <w:sz w:val="21"/>
        </w:rPr>
        <w:t>residents can be expected </w:t>
      </w:r>
      <w:r>
        <w:rPr>
          <w:spacing w:val="-3"/>
          <w:w w:val="105"/>
          <w:sz w:val="21"/>
        </w:rPr>
        <w:t>to </w:t>
      </w:r>
      <w:r>
        <w:rPr>
          <w:w w:val="105"/>
          <w:sz w:val="21"/>
        </w:rPr>
        <w:t>perform some level of </w:t>
      </w:r>
      <w:r>
        <w:rPr>
          <w:spacing w:val="-3"/>
          <w:w w:val="105"/>
          <w:sz w:val="21"/>
        </w:rPr>
        <w:t>regular </w:t>
      </w:r>
      <w:r>
        <w:rPr>
          <w:w w:val="105"/>
          <w:sz w:val="21"/>
        </w:rPr>
        <w:t>associated</w:t>
      </w:r>
      <w:r>
        <w:rPr>
          <w:spacing w:val="17"/>
          <w:w w:val="105"/>
          <w:sz w:val="21"/>
        </w:rPr>
        <w:t> </w:t>
      </w:r>
      <w:r>
        <w:rPr>
          <w:spacing w:val="-4"/>
          <w:w w:val="105"/>
          <w:sz w:val="21"/>
        </w:rPr>
        <w:t>maintenance.</w:t>
      </w:r>
    </w:p>
    <w:p>
      <w:pPr>
        <w:pStyle w:val="ListParagraph"/>
        <w:numPr>
          <w:ilvl w:val="0"/>
          <w:numId w:val="79"/>
        </w:numPr>
        <w:tabs>
          <w:tab w:pos="2380" w:val="left" w:leader="none"/>
          <w:tab w:pos="2381" w:val="left" w:leader="none"/>
        </w:tabs>
        <w:spacing w:line="242" w:lineRule="auto" w:before="127" w:after="0"/>
        <w:ind w:left="2380" w:right="1735" w:hanging="793"/>
        <w:jc w:val="left"/>
        <w:rPr>
          <w:sz w:val="21"/>
        </w:rPr>
      </w:pPr>
      <w:r>
        <w:rPr>
          <w:sz w:val="21"/>
        </w:rPr>
        <w:t>The </w:t>
      </w:r>
      <w:r>
        <w:rPr>
          <w:spacing w:val="-3"/>
          <w:sz w:val="21"/>
        </w:rPr>
        <w:t>Commission </w:t>
      </w:r>
      <w:r>
        <w:rPr>
          <w:sz w:val="21"/>
        </w:rPr>
        <w:t>is </w:t>
      </w:r>
      <w:r>
        <w:rPr>
          <w:spacing w:val="-3"/>
          <w:sz w:val="21"/>
        </w:rPr>
        <w:t>concerned that </w:t>
      </w:r>
      <w:r>
        <w:rPr>
          <w:sz w:val="21"/>
        </w:rPr>
        <w:t>the </w:t>
      </w:r>
      <w:r>
        <w:rPr>
          <w:spacing w:val="-3"/>
          <w:sz w:val="21"/>
        </w:rPr>
        <w:t>inclusion </w:t>
      </w:r>
      <w:r>
        <w:rPr>
          <w:sz w:val="21"/>
        </w:rPr>
        <w:t>of </w:t>
      </w:r>
      <w:r>
        <w:rPr>
          <w:spacing w:val="-3"/>
          <w:sz w:val="21"/>
        </w:rPr>
        <w:t>interference, may result </w:t>
      </w:r>
      <w:r>
        <w:rPr>
          <w:sz w:val="21"/>
        </w:rPr>
        <w:t>in trivial or vexatious </w:t>
      </w:r>
      <w:r>
        <w:rPr>
          <w:spacing w:val="-3"/>
          <w:sz w:val="21"/>
        </w:rPr>
        <w:t>claims </w:t>
      </w:r>
      <w:r>
        <w:rPr>
          <w:sz w:val="21"/>
        </w:rPr>
        <w:t>and </w:t>
      </w:r>
      <w:r>
        <w:rPr>
          <w:spacing w:val="-3"/>
          <w:sz w:val="21"/>
        </w:rPr>
        <w:t>may discourage </w:t>
      </w:r>
      <w:r>
        <w:rPr>
          <w:sz w:val="21"/>
        </w:rPr>
        <w:t>neighbours </w:t>
      </w:r>
      <w:r>
        <w:rPr>
          <w:spacing w:val="-3"/>
          <w:sz w:val="21"/>
        </w:rPr>
        <w:t>from </w:t>
      </w:r>
      <w:r>
        <w:rPr>
          <w:sz w:val="21"/>
        </w:rPr>
        <w:t>resolving </w:t>
      </w:r>
      <w:r>
        <w:rPr>
          <w:spacing w:val="-3"/>
          <w:sz w:val="21"/>
        </w:rPr>
        <w:t>disputes </w:t>
      </w:r>
      <w:r>
        <w:rPr>
          <w:sz w:val="21"/>
        </w:rPr>
        <w:t>on a  more </w:t>
      </w:r>
      <w:r>
        <w:rPr>
          <w:spacing w:val="-3"/>
          <w:sz w:val="21"/>
        </w:rPr>
        <w:t>informal </w:t>
      </w:r>
      <w:r>
        <w:rPr>
          <w:sz w:val="21"/>
        </w:rPr>
        <w:t>basis. The </w:t>
      </w:r>
      <w:r>
        <w:rPr>
          <w:spacing w:val="-3"/>
          <w:sz w:val="21"/>
        </w:rPr>
        <w:t>Nillumbik Shire </w:t>
      </w:r>
      <w:r>
        <w:rPr>
          <w:spacing w:val="-4"/>
          <w:sz w:val="21"/>
        </w:rPr>
        <w:t>Council </w:t>
      </w:r>
      <w:r>
        <w:rPr>
          <w:sz w:val="21"/>
        </w:rPr>
        <w:t>suggested </w:t>
      </w:r>
      <w:r>
        <w:rPr>
          <w:spacing w:val="-3"/>
          <w:sz w:val="21"/>
        </w:rPr>
        <w:t>that </w:t>
      </w:r>
      <w:r>
        <w:rPr>
          <w:sz w:val="21"/>
        </w:rPr>
        <w:t>a new scheme  should  </w:t>
      </w:r>
      <w:r>
        <w:rPr>
          <w:spacing w:val="-2"/>
          <w:sz w:val="21"/>
        </w:rPr>
        <w:t>not </w:t>
      </w:r>
      <w:r>
        <w:rPr>
          <w:sz w:val="21"/>
        </w:rPr>
        <w:t>provide scope </w:t>
      </w:r>
      <w:r>
        <w:rPr>
          <w:spacing w:val="-3"/>
          <w:sz w:val="21"/>
        </w:rPr>
        <w:t>for </w:t>
      </w:r>
      <w:r>
        <w:rPr>
          <w:sz w:val="21"/>
        </w:rPr>
        <w:t>vindictive neighbours </w:t>
      </w:r>
      <w:r>
        <w:rPr>
          <w:spacing w:val="-3"/>
          <w:sz w:val="21"/>
        </w:rPr>
        <w:t>to bring claims  </w:t>
      </w:r>
      <w:r>
        <w:rPr>
          <w:sz w:val="21"/>
        </w:rPr>
        <w:t>without merit </w:t>
      </w:r>
      <w:r>
        <w:rPr>
          <w:spacing w:val="-3"/>
          <w:sz w:val="21"/>
        </w:rPr>
        <w:t>against</w:t>
      </w:r>
      <w:r>
        <w:rPr>
          <w:spacing w:val="41"/>
          <w:sz w:val="21"/>
        </w:rPr>
        <w:t> </w:t>
      </w:r>
      <w:r>
        <w:rPr>
          <w:sz w:val="21"/>
        </w:rPr>
        <w:t>neighbours on </w:t>
      </w:r>
      <w:r>
        <w:rPr>
          <w:spacing w:val="-3"/>
          <w:sz w:val="21"/>
        </w:rPr>
        <w:t>adjoining </w:t>
      </w:r>
      <w:r>
        <w:rPr>
          <w:sz w:val="21"/>
        </w:rPr>
        <w:t>land.</w:t>
      </w:r>
      <w:r>
        <w:rPr>
          <w:position w:val="7"/>
          <w:sz w:val="12"/>
        </w:rPr>
        <w:t>367 </w:t>
      </w:r>
      <w:r>
        <w:rPr>
          <w:spacing w:val="-3"/>
          <w:sz w:val="21"/>
        </w:rPr>
        <w:t>Disputes </w:t>
      </w:r>
      <w:r>
        <w:rPr>
          <w:sz w:val="21"/>
        </w:rPr>
        <w:t>about </w:t>
      </w:r>
      <w:r>
        <w:rPr>
          <w:spacing w:val="-3"/>
          <w:sz w:val="21"/>
        </w:rPr>
        <w:t>interference that </w:t>
      </w:r>
      <w:r>
        <w:rPr>
          <w:sz w:val="21"/>
        </w:rPr>
        <w:t>do </w:t>
      </w:r>
      <w:r>
        <w:rPr>
          <w:spacing w:val="-2"/>
          <w:sz w:val="21"/>
        </w:rPr>
        <w:t>not </w:t>
      </w:r>
      <w:r>
        <w:rPr>
          <w:sz w:val="21"/>
        </w:rPr>
        <w:t>cause damage </w:t>
      </w:r>
      <w:r>
        <w:rPr>
          <w:spacing w:val="-3"/>
          <w:sz w:val="21"/>
        </w:rPr>
        <w:t>are </w:t>
      </w:r>
      <w:r>
        <w:rPr>
          <w:sz w:val="21"/>
        </w:rPr>
        <w:t>more </w:t>
      </w:r>
      <w:r>
        <w:rPr>
          <w:spacing w:val="-3"/>
          <w:sz w:val="21"/>
        </w:rPr>
        <w:t>appropriate</w:t>
      </w:r>
      <w:r>
        <w:rPr>
          <w:spacing w:val="13"/>
          <w:sz w:val="21"/>
        </w:rPr>
        <w:t> </w:t>
      </w:r>
      <w:r>
        <w:rPr>
          <w:spacing w:val="-3"/>
          <w:sz w:val="21"/>
        </w:rPr>
        <w:t>for</w:t>
      </w:r>
      <w:r>
        <w:rPr>
          <w:spacing w:val="13"/>
          <w:sz w:val="21"/>
        </w:rPr>
        <w:t> </w:t>
      </w:r>
      <w:r>
        <w:rPr>
          <w:spacing w:val="-3"/>
          <w:sz w:val="21"/>
        </w:rPr>
        <w:t>alternative</w:t>
      </w:r>
      <w:r>
        <w:rPr>
          <w:spacing w:val="13"/>
          <w:sz w:val="21"/>
        </w:rPr>
        <w:t> </w:t>
      </w:r>
      <w:r>
        <w:rPr>
          <w:spacing w:val="-3"/>
          <w:sz w:val="21"/>
        </w:rPr>
        <w:t>forms</w:t>
      </w:r>
      <w:r>
        <w:rPr>
          <w:spacing w:val="13"/>
          <w:sz w:val="21"/>
        </w:rPr>
        <w:t> </w:t>
      </w:r>
      <w:r>
        <w:rPr>
          <w:sz w:val="21"/>
        </w:rPr>
        <w:t>of</w:t>
      </w:r>
      <w:r>
        <w:rPr>
          <w:spacing w:val="14"/>
          <w:sz w:val="21"/>
        </w:rPr>
        <w:t> </w:t>
      </w:r>
      <w:r>
        <w:rPr>
          <w:spacing w:val="-3"/>
          <w:sz w:val="21"/>
        </w:rPr>
        <w:t>dispute</w:t>
      </w:r>
      <w:r>
        <w:rPr>
          <w:spacing w:val="13"/>
          <w:sz w:val="21"/>
        </w:rPr>
        <w:t> </w:t>
      </w:r>
      <w:r>
        <w:rPr>
          <w:spacing w:val="-3"/>
          <w:sz w:val="21"/>
        </w:rPr>
        <w:t>resolution.</w:t>
      </w:r>
      <w:r>
        <w:rPr>
          <w:spacing w:val="13"/>
          <w:sz w:val="21"/>
        </w:rPr>
        <w:t> </w:t>
      </w:r>
      <w:r>
        <w:rPr>
          <w:sz w:val="21"/>
        </w:rPr>
        <w:t>See</w:t>
      </w:r>
      <w:r>
        <w:rPr>
          <w:spacing w:val="13"/>
          <w:sz w:val="21"/>
        </w:rPr>
        <w:t> </w:t>
      </w:r>
      <w:r>
        <w:rPr>
          <w:spacing w:val="-4"/>
          <w:sz w:val="21"/>
        </w:rPr>
        <w:t>Chapter</w:t>
      </w:r>
      <w:r>
        <w:rPr>
          <w:spacing w:val="14"/>
          <w:sz w:val="21"/>
        </w:rPr>
        <w:t> </w:t>
      </w:r>
      <w:r>
        <w:rPr>
          <w:sz w:val="21"/>
        </w:rPr>
        <w:t>6.</w:t>
      </w:r>
    </w:p>
    <w:p>
      <w:pPr>
        <w:pStyle w:val="ListParagraph"/>
        <w:numPr>
          <w:ilvl w:val="0"/>
          <w:numId w:val="79"/>
        </w:numPr>
        <w:tabs>
          <w:tab w:pos="2380" w:val="left" w:leader="none"/>
          <w:tab w:pos="2381" w:val="left" w:leader="none"/>
        </w:tabs>
        <w:spacing w:line="242" w:lineRule="auto" w:before="126" w:after="0"/>
        <w:ind w:left="2380" w:right="1604" w:hanging="793"/>
        <w:jc w:val="left"/>
        <w:rPr>
          <w:sz w:val="21"/>
        </w:rPr>
      </w:pPr>
      <w:r>
        <w:rPr>
          <w:spacing w:val="-3"/>
          <w:w w:val="105"/>
          <w:sz w:val="21"/>
        </w:rPr>
        <w:t>Excluding interference claims from </w:t>
      </w:r>
      <w:r>
        <w:rPr>
          <w:w w:val="105"/>
          <w:sz w:val="21"/>
        </w:rPr>
        <w:t>the Act </w:t>
      </w:r>
      <w:r>
        <w:rPr>
          <w:spacing w:val="-3"/>
          <w:w w:val="105"/>
          <w:sz w:val="21"/>
        </w:rPr>
        <w:t>will </w:t>
      </w:r>
      <w:r>
        <w:rPr>
          <w:w w:val="105"/>
          <w:sz w:val="21"/>
        </w:rPr>
        <w:t>mean </w:t>
      </w:r>
      <w:r>
        <w:rPr>
          <w:spacing w:val="-3"/>
          <w:w w:val="105"/>
          <w:sz w:val="21"/>
        </w:rPr>
        <w:t>that </w:t>
      </w:r>
      <w:r>
        <w:rPr>
          <w:w w:val="105"/>
          <w:sz w:val="21"/>
        </w:rPr>
        <w:t>an affected </w:t>
      </w:r>
      <w:r>
        <w:rPr>
          <w:spacing w:val="-3"/>
          <w:w w:val="105"/>
          <w:sz w:val="21"/>
        </w:rPr>
        <w:t>neighbour will </w:t>
      </w:r>
      <w:r>
        <w:rPr>
          <w:spacing w:val="-2"/>
          <w:w w:val="105"/>
          <w:sz w:val="21"/>
        </w:rPr>
        <w:t>not </w:t>
      </w:r>
      <w:r>
        <w:rPr>
          <w:w w:val="105"/>
          <w:sz w:val="21"/>
        </w:rPr>
        <w:t>be able </w:t>
      </w:r>
      <w:r>
        <w:rPr>
          <w:spacing w:val="-3"/>
          <w:w w:val="105"/>
          <w:sz w:val="21"/>
        </w:rPr>
        <w:t>to </w:t>
      </w:r>
      <w:r>
        <w:rPr>
          <w:w w:val="105"/>
          <w:sz w:val="21"/>
        </w:rPr>
        <w:t>obtain a remedy </w:t>
      </w:r>
      <w:r>
        <w:rPr>
          <w:spacing w:val="-3"/>
          <w:w w:val="105"/>
          <w:sz w:val="21"/>
        </w:rPr>
        <w:t>for </w:t>
      </w:r>
      <w:r>
        <w:rPr>
          <w:w w:val="105"/>
          <w:sz w:val="21"/>
        </w:rPr>
        <w:t>a tree </w:t>
      </w:r>
      <w:r>
        <w:rPr>
          <w:spacing w:val="-3"/>
          <w:w w:val="105"/>
          <w:sz w:val="21"/>
        </w:rPr>
        <w:t>branch that overhangs </w:t>
      </w:r>
      <w:r>
        <w:rPr>
          <w:w w:val="105"/>
          <w:sz w:val="21"/>
        </w:rPr>
        <w:t>the boundary but does </w:t>
      </w:r>
      <w:r>
        <w:rPr>
          <w:spacing w:val="-2"/>
          <w:w w:val="105"/>
          <w:sz w:val="21"/>
        </w:rPr>
        <w:t>not </w:t>
      </w:r>
      <w:r>
        <w:rPr>
          <w:w w:val="105"/>
          <w:sz w:val="21"/>
        </w:rPr>
        <w:t>cause damage or pose a risk of </w:t>
      </w:r>
      <w:r>
        <w:rPr>
          <w:spacing w:val="-3"/>
          <w:w w:val="105"/>
          <w:sz w:val="21"/>
        </w:rPr>
        <w:t>harm. </w:t>
      </w:r>
      <w:r>
        <w:rPr>
          <w:w w:val="105"/>
          <w:sz w:val="21"/>
        </w:rPr>
        <w:t>In a </w:t>
      </w:r>
      <w:r>
        <w:rPr>
          <w:spacing w:val="-3"/>
          <w:w w:val="105"/>
          <w:sz w:val="21"/>
        </w:rPr>
        <w:t>similar way to </w:t>
      </w:r>
      <w:r>
        <w:rPr>
          <w:w w:val="105"/>
          <w:sz w:val="21"/>
        </w:rPr>
        <w:t>leaf </w:t>
      </w:r>
      <w:r>
        <w:rPr>
          <w:spacing w:val="-4"/>
          <w:w w:val="105"/>
          <w:sz w:val="21"/>
        </w:rPr>
        <w:t>litter, </w:t>
      </w:r>
      <w:r>
        <w:rPr>
          <w:w w:val="105"/>
          <w:sz w:val="21"/>
        </w:rPr>
        <w:t>an </w:t>
      </w:r>
      <w:r>
        <w:rPr>
          <w:spacing w:val="-3"/>
          <w:w w:val="105"/>
          <w:sz w:val="21"/>
        </w:rPr>
        <w:t>overhanging branch </w:t>
      </w:r>
      <w:r>
        <w:rPr>
          <w:w w:val="105"/>
          <w:sz w:val="21"/>
        </w:rPr>
        <w:t>is </w:t>
      </w:r>
      <w:r>
        <w:rPr>
          <w:spacing w:val="-4"/>
          <w:w w:val="105"/>
          <w:sz w:val="21"/>
        </w:rPr>
        <w:t>unlikely </w:t>
      </w:r>
      <w:r>
        <w:rPr>
          <w:spacing w:val="-3"/>
          <w:w w:val="105"/>
          <w:sz w:val="21"/>
        </w:rPr>
        <w:t>to </w:t>
      </w:r>
      <w:r>
        <w:rPr>
          <w:w w:val="105"/>
          <w:sz w:val="21"/>
        </w:rPr>
        <w:t>meet the </w:t>
      </w:r>
      <w:r>
        <w:rPr>
          <w:spacing w:val="-2"/>
          <w:w w:val="105"/>
          <w:sz w:val="21"/>
        </w:rPr>
        <w:t>common </w:t>
      </w:r>
      <w:r>
        <w:rPr>
          <w:w w:val="105"/>
          <w:sz w:val="21"/>
        </w:rPr>
        <w:t>law </w:t>
      </w:r>
      <w:r>
        <w:rPr>
          <w:spacing w:val="-3"/>
          <w:w w:val="105"/>
          <w:sz w:val="21"/>
        </w:rPr>
        <w:t>requirement for </w:t>
      </w:r>
      <w:r>
        <w:rPr>
          <w:w w:val="105"/>
          <w:sz w:val="21"/>
        </w:rPr>
        <w:t>a </w:t>
      </w:r>
      <w:r>
        <w:rPr>
          <w:spacing w:val="-3"/>
          <w:w w:val="105"/>
          <w:sz w:val="21"/>
        </w:rPr>
        <w:t>‘substantial </w:t>
      </w:r>
      <w:r>
        <w:rPr>
          <w:w w:val="105"/>
          <w:sz w:val="21"/>
        </w:rPr>
        <w:t>and </w:t>
      </w:r>
      <w:r>
        <w:rPr>
          <w:spacing w:val="-3"/>
          <w:w w:val="105"/>
          <w:sz w:val="21"/>
        </w:rPr>
        <w:t>unreasonable’ interference </w:t>
      </w:r>
      <w:r>
        <w:rPr>
          <w:w w:val="105"/>
          <w:sz w:val="21"/>
        </w:rPr>
        <w:t>unless some sort of special damage can also be established.</w:t>
      </w:r>
      <w:r>
        <w:rPr>
          <w:w w:val="105"/>
          <w:position w:val="7"/>
          <w:sz w:val="12"/>
        </w:rPr>
        <w:t>368 </w:t>
      </w:r>
      <w:r>
        <w:rPr>
          <w:w w:val="105"/>
          <w:sz w:val="21"/>
        </w:rPr>
        <w:t>The NSWLEC case of </w:t>
      </w:r>
      <w:r>
        <w:rPr>
          <w:i/>
          <w:w w:val="105"/>
          <w:sz w:val="21"/>
        </w:rPr>
        <w:t>Robson v </w:t>
      </w:r>
      <w:r>
        <w:rPr>
          <w:i/>
          <w:spacing w:val="-3"/>
          <w:w w:val="105"/>
          <w:sz w:val="21"/>
        </w:rPr>
        <w:t>Leischke</w:t>
      </w:r>
      <w:r>
        <w:rPr>
          <w:spacing w:val="-3"/>
          <w:w w:val="105"/>
          <w:position w:val="7"/>
          <w:sz w:val="12"/>
        </w:rPr>
        <w:t>369 </w:t>
      </w:r>
      <w:r>
        <w:rPr>
          <w:w w:val="105"/>
          <w:sz w:val="21"/>
        </w:rPr>
        <w:t>set out examples of cases where </w:t>
      </w:r>
      <w:r>
        <w:rPr>
          <w:spacing w:val="-3"/>
          <w:w w:val="105"/>
          <w:sz w:val="21"/>
        </w:rPr>
        <w:t>overhanging branches have </w:t>
      </w:r>
      <w:r>
        <w:rPr>
          <w:w w:val="105"/>
          <w:sz w:val="21"/>
        </w:rPr>
        <w:t>been held </w:t>
      </w:r>
      <w:r>
        <w:rPr>
          <w:spacing w:val="-3"/>
          <w:w w:val="105"/>
          <w:sz w:val="21"/>
        </w:rPr>
        <w:t>to constitute </w:t>
      </w:r>
      <w:r>
        <w:rPr>
          <w:w w:val="105"/>
          <w:sz w:val="21"/>
        </w:rPr>
        <w:t>an actionable </w:t>
      </w:r>
      <w:r>
        <w:rPr>
          <w:spacing w:val="-3"/>
          <w:w w:val="105"/>
          <w:sz w:val="21"/>
        </w:rPr>
        <w:t>private</w:t>
      </w:r>
      <w:r>
        <w:rPr>
          <w:spacing w:val="31"/>
          <w:w w:val="105"/>
          <w:sz w:val="21"/>
        </w:rPr>
        <w:t> </w:t>
      </w:r>
      <w:r>
        <w:rPr>
          <w:w w:val="105"/>
          <w:sz w:val="21"/>
        </w:rPr>
        <w:t>nuisance:</w:t>
      </w:r>
    </w:p>
    <w:p>
      <w:pPr>
        <w:pStyle w:val="ListParagraph"/>
        <w:numPr>
          <w:ilvl w:val="1"/>
          <w:numId w:val="79"/>
        </w:numPr>
        <w:tabs>
          <w:tab w:pos="2721" w:val="left" w:leader="none"/>
          <w:tab w:pos="2722" w:val="left" w:leader="none"/>
        </w:tabs>
        <w:spacing w:line="240" w:lineRule="auto" w:before="128" w:after="0"/>
        <w:ind w:left="2721" w:right="0" w:hanging="340"/>
        <w:jc w:val="left"/>
        <w:rPr>
          <w:sz w:val="12"/>
        </w:rPr>
      </w:pPr>
      <w:r>
        <w:rPr>
          <w:spacing w:val="-3"/>
          <w:w w:val="105"/>
          <w:sz w:val="21"/>
        </w:rPr>
        <w:t>Branches </w:t>
      </w:r>
      <w:r>
        <w:rPr>
          <w:w w:val="105"/>
          <w:sz w:val="21"/>
        </w:rPr>
        <w:t>of a yew tree poisoned stock on </w:t>
      </w:r>
      <w:r>
        <w:rPr>
          <w:spacing w:val="-3"/>
          <w:w w:val="105"/>
          <w:sz w:val="21"/>
        </w:rPr>
        <w:t>adjoining </w:t>
      </w:r>
      <w:r>
        <w:rPr>
          <w:w w:val="105"/>
          <w:sz w:val="21"/>
        </w:rPr>
        <w:t>land;</w:t>
      </w:r>
      <w:r>
        <w:rPr>
          <w:w w:val="105"/>
          <w:position w:val="7"/>
          <w:sz w:val="12"/>
        </w:rPr>
        <w:t>370</w:t>
      </w:r>
    </w:p>
    <w:p>
      <w:pPr>
        <w:pStyle w:val="ListParagraph"/>
        <w:numPr>
          <w:ilvl w:val="1"/>
          <w:numId w:val="79"/>
        </w:numPr>
        <w:tabs>
          <w:tab w:pos="2721" w:val="left" w:leader="none"/>
          <w:tab w:pos="2722" w:val="left" w:leader="none"/>
        </w:tabs>
        <w:spacing w:line="240" w:lineRule="auto" w:before="89" w:after="0"/>
        <w:ind w:left="2721" w:right="0" w:hanging="340"/>
        <w:jc w:val="left"/>
        <w:rPr>
          <w:sz w:val="12"/>
        </w:rPr>
      </w:pPr>
      <w:r>
        <w:rPr>
          <w:spacing w:val="-3"/>
          <w:w w:val="105"/>
          <w:sz w:val="21"/>
        </w:rPr>
        <w:t>Branches </w:t>
      </w:r>
      <w:r>
        <w:rPr>
          <w:w w:val="105"/>
          <w:sz w:val="21"/>
        </w:rPr>
        <w:t>of a tree </w:t>
      </w:r>
      <w:r>
        <w:rPr>
          <w:spacing w:val="-3"/>
          <w:w w:val="105"/>
          <w:sz w:val="21"/>
        </w:rPr>
        <w:t>interfered </w:t>
      </w:r>
      <w:r>
        <w:rPr>
          <w:w w:val="105"/>
          <w:sz w:val="21"/>
        </w:rPr>
        <w:t>with the growth of </w:t>
      </w:r>
      <w:r>
        <w:rPr>
          <w:spacing w:val="-3"/>
          <w:w w:val="105"/>
          <w:sz w:val="21"/>
        </w:rPr>
        <w:t>fruit </w:t>
      </w:r>
      <w:r>
        <w:rPr>
          <w:w w:val="105"/>
          <w:sz w:val="21"/>
        </w:rPr>
        <w:t>trees on the </w:t>
      </w:r>
      <w:r>
        <w:rPr>
          <w:spacing w:val="-3"/>
          <w:w w:val="105"/>
          <w:sz w:val="21"/>
        </w:rPr>
        <w:t>neighbour’s</w:t>
      </w:r>
      <w:r>
        <w:rPr>
          <w:spacing w:val="5"/>
          <w:w w:val="105"/>
          <w:sz w:val="21"/>
        </w:rPr>
        <w:t> </w:t>
      </w:r>
      <w:r>
        <w:rPr>
          <w:spacing w:val="-3"/>
          <w:w w:val="105"/>
          <w:sz w:val="21"/>
        </w:rPr>
        <w:t>land;</w:t>
      </w:r>
      <w:r>
        <w:rPr>
          <w:spacing w:val="-3"/>
          <w:w w:val="105"/>
          <w:position w:val="7"/>
          <w:sz w:val="12"/>
        </w:rPr>
        <w:t>371</w:t>
      </w:r>
    </w:p>
    <w:p>
      <w:pPr>
        <w:pStyle w:val="BodyText"/>
        <w:spacing w:before="4"/>
        <w:rPr>
          <w:sz w:val="10"/>
        </w:rPr>
      </w:pPr>
      <w:r>
        <w:rPr/>
        <w:pict>
          <v:line style="position:absolute;mso-position-horizontal-relative:page;mso-position-vertical-relative:paragraph;z-index:5384;mso-wrap-distance-left:0;mso-wrap-distance-right:0" from="79.370102pt,8.757178pt" to="515.905102pt,8.75717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spacing w:before="241"/>
        <w:ind w:left="720" w:right="0" w:firstLine="0"/>
        <w:jc w:val="left"/>
        <w:rPr>
          <w:b/>
          <w:sz w:val="24"/>
        </w:rPr>
      </w:pPr>
      <w:r>
        <w:rPr>
          <w:b/>
          <w:color w:val="658464"/>
          <w:spacing w:val="-3"/>
          <w:w w:val="110"/>
          <w:sz w:val="24"/>
        </w:rPr>
        <w:t>102</w:t>
      </w:r>
    </w:p>
    <w:p>
      <w:pPr>
        <w:pStyle w:val="ListParagraph"/>
        <w:numPr>
          <w:ilvl w:val="0"/>
          <w:numId w:val="81"/>
        </w:numPr>
        <w:tabs>
          <w:tab w:pos="1227" w:val="left" w:leader="none"/>
          <w:tab w:pos="1228" w:val="left" w:leader="none"/>
        </w:tabs>
        <w:spacing w:line="240" w:lineRule="auto" w:before="48" w:after="0"/>
        <w:ind w:left="1228" w:right="0" w:hanging="794"/>
        <w:jc w:val="left"/>
        <w:rPr>
          <w:sz w:val="13"/>
        </w:rPr>
      </w:pPr>
      <w:r>
        <w:rPr>
          <w:spacing w:val="-3"/>
          <w:w w:val="125"/>
          <w:sz w:val="13"/>
        </w:rPr>
        <w:br w:type="column"/>
      </w:r>
      <w:r>
        <w:rPr>
          <w:w w:val="105"/>
          <w:sz w:val="13"/>
        </w:rPr>
        <w:t>Consultation 9 (Nillumbik Shire</w:t>
      </w:r>
      <w:r>
        <w:rPr>
          <w:spacing w:val="18"/>
          <w:w w:val="105"/>
          <w:sz w:val="13"/>
        </w:rPr>
        <w:t> </w:t>
      </w:r>
      <w:r>
        <w:rPr>
          <w:w w:val="105"/>
          <w:sz w:val="13"/>
        </w:rPr>
        <w:t>Council).</w:t>
      </w:r>
    </w:p>
    <w:p>
      <w:pPr>
        <w:pStyle w:val="ListParagraph"/>
        <w:numPr>
          <w:ilvl w:val="0"/>
          <w:numId w:val="81"/>
        </w:numPr>
        <w:tabs>
          <w:tab w:pos="1228" w:val="left" w:leader="none"/>
          <w:tab w:pos="1229" w:val="left" w:leader="none"/>
        </w:tabs>
        <w:spacing w:line="240" w:lineRule="auto" w:before="1" w:after="0"/>
        <w:ind w:left="434" w:right="3987" w:firstLine="0"/>
        <w:jc w:val="left"/>
        <w:rPr>
          <w:sz w:val="13"/>
        </w:rPr>
      </w:pPr>
      <w:r>
        <w:rPr>
          <w:i/>
          <w:w w:val="105"/>
          <w:sz w:val="13"/>
        </w:rPr>
        <w:t>Robson v Leischke </w:t>
      </w:r>
      <w:r>
        <w:rPr>
          <w:spacing w:val="2"/>
          <w:w w:val="105"/>
          <w:sz w:val="13"/>
        </w:rPr>
        <w:t>(2008) </w:t>
      </w:r>
      <w:r>
        <w:rPr>
          <w:w w:val="105"/>
          <w:sz w:val="13"/>
        </w:rPr>
        <w:t>72 </w:t>
      </w:r>
      <w:r>
        <w:rPr>
          <w:spacing w:val="2"/>
          <w:w w:val="105"/>
          <w:sz w:val="13"/>
        </w:rPr>
        <w:t>NSWLR </w:t>
      </w:r>
      <w:r>
        <w:rPr>
          <w:w w:val="105"/>
          <w:sz w:val="13"/>
        </w:rPr>
        <w:t>98 </w:t>
      </w:r>
      <w:r>
        <w:rPr>
          <w:spacing w:val="2"/>
          <w:w w:val="105"/>
          <w:sz w:val="13"/>
        </w:rPr>
        <w:t>[56] </w:t>
      </w:r>
      <w:r>
        <w:rPr>
          <w:w w:val="105"/>
          <w:sz w:val="13"/>
        </w:rPr>
        <w:t>citing </w:t>
      </w:r>
      <w:r>
        <w:rPr>
          <w:i/>
          <w:w w:val="105"/>
          <w:sz w:val="13"/>
        </w:rPr>
        <w:t>Asman v MacLurcan </w:t>
      </w:r>
      <w:r>
        <w:rPr>
          <w:w w:val="105"/>
          <w:sz w:val="13"/>
        </w:rPr>
        <w:t>(1985) 3 BPR 9592, 9594. 369</w:t>
        <w:tab/>
      </w:r>
      <w:r>
        <w:rPr>
          <w:spacing w:val="2"/>
          <w:w w:val="105"/>
          <w:sz w:val="13"/>
        </w:rPr>
        <w:t>(2008) </w:t>
      </w:r>
      <w:r>
        <w:rPr>
          <w:w w:val="105"/>
          <w:sz w:val="13"/>
        </w:rPr>
        <w:t>72 </w:t>
      </w:r>
      <w:r>
        <w:rPr>
          <w:spacing w:val="2"/>
          <w:w w:val="105"/>
          <w:sz w:val="13"/>
        </w:rPr>
        <w:t>NSWLR </w:t>
      </w:r>
      <w:r>
        <w:rPr>
          <w:w w:val="105"/>
          <w:sz w:val="13"/>
        </w:rPr>
        <w:t>98</w:t>
      </w:r>
      <w:r>
        <w:rPr>
          <w:spacing w:val="14"/>
          <w:w w:val="105"/>
          <w:sz w:val="13"/>
        </w:rPr>
        <w:t> </w:t>
      </w:r>
      <w:r>
        <w:rPr>
          <w:spacing w:val="2"/>
          <w:w w:val="105"/>
          <w:sz w:val="13"/>
        </w:rPr>
        <w:t>[59].</w:t>
      </w:r>
    </w:p>
    <w:p>
      <w:pPr>
        <w:tabs>
          <w:tab w:pos="1228" w:val="left" w:leader="none"/>
        </w:tabs>
        <w:spacing w:before="3"/>
        <w:ind w:left="434" w:right="6551" w:firstLine="0"/>
        <w:jc w:val="left"/>
        <w:rPr>
          <w:sz w:val="13"/>
        </w:rPr>
      </w:pPr>
      <w:r>
        <w:rPr>
          <w:w w:val="105"/>
          <w:sz w:val="13"/>
        </w:rPr>
        <w:t>370</w:t>
        <w:tab/>
      </w:r>
      <w:r>
        <w:rPr>
          <w:i/>
          <w:w w:val="105"/>
          <w:sz w:val="13"/>
        </w:rPr>
        <w:t>Crowhurst v Amersham Burial Board </w:t>
      </w:r>
      <w:r>
        <w:rPr>
          <w:w w:val="105"/>
          <w:sz w:val="13"/>
        </w:rPr>
        <w:t>(1878) 4 </w:t>
      </w:r>
      <w:r>
        <w:rPr>
          <w:spacing w:val="2"/>
          <w:w w:val="105"/>
          <w:sz w:val="13"/>
        </w:rPr>
        <w:t>ExD </w:t>
      </w:r>
      <w:r>
        <w:rPr>
          <w:w w:val="105"/>
          <w:sz w:val="13"/>
        </w:rPr>
        <w:t>5. 371</w:t>
        <w:tab/>
      </w:r>
      <w:r>
        <w:rPr>
          <w:i/>
          <w:w w:val="105"/>
          <w:sz w:val="13"/>
        </w:rPr>
        <w:t>Smith</w:t>
      </w:r>
      <w:r>
        <w:rPr>
          <w:i/>
          <w:spacing w:val="7"/>
          <w:w w:val="105"/>
          <w:sz w:val="13"/>
        </w:rPr>
        <w:t> </w:t>
      </w:r>
      <w:r>
        <w:rPr>
          <w:i/>
          <w:w w:val="105"/>
          <w:sz w:val="13"/>
        </w:rPr>
        <w:t>v</w:t>
      </w:r>
      <w:r>
        <w:rPr>
          <w:i/>
          <w:spacing w:val="7"/>
          <w:w w:val="105"/>
          <w:sz w:val="13"/>
        </w:rPr>
        <w:t> </w:t>
      </w:r>
      <w:r>
        <w:rPr>
          <w:i/>
          <w:w w:val="105"/>
          <w:sz w:val="13"/>
        </w:rPr>
        <w:t>Giddy</w:t>
      </w:r>
      <w:r>
        <w:rPr>
          <w:i/>
          <w:spacing w:val="7"/>
          <w:w w:val="105"/>
          <w:sz w:val="13"/>
        </w:rPr>
        <w:t> </w:t>
      </w:r>
      <w:r>
        <w:rPr>
          <w:w w:val="105"/>
          <w:sz w:val="13"/>
        </w:rPr>
        <w:t>[1904]</w:t>
      </w:r>
      <w:r>
        <w:rPr>
          <w:spacing w:val="8"/>
          <w:w w:val="105"/>
          <w:sz w:val="13"/>
        </w:rPr>
        <w:t> </w:t>
      </w:r>
      <w:r>
        <w:rPr>
          <w:w w:val="105"/>
          <w:sz w:val="13"/>
        </w:rPr>
        <w:t>2</w:t>
      </w:r>
      <w:r>
        <w:rPr>
          <w:spacing w:val="7"/>
          <w:w w:val="105"/>
          <w:sz w:val="13"/>
        </w:rPr>
        <w:t> </w:t>
      </w:r>
      <w:r>
        <w:rPr>
          <w:w w:val="105"/>
          <w:sz w:val="13"/>
        </w:rPr>
        <w:t>KB</w:t>
      </w:r>
      <w:r>
        <w:rPr>
          <w:spacing w:val="7"/>
          <w:w w:val="105"/>
          <w:sz w:val="13"/>
        </w:rPr>
        <w:t> </w:t>
      </w:r>
      <w:r>
        <w:rPr>
          <w:spacing w:val="3"/>
          <w:w w:val="105"/>
          <w:sz w:val="13"/>
        </w:rPr>
        <w:t>448,</w:t>
      </w:r>
      <w:r>
        <w:rPr>
          <w:spacing w:val="7"/>
          <w:w w:val="105"/>
          <w:sz w:val="13"/>
        </w:rPr>
        <w:t> </w:t>
      </w:r>
      <w:r>
        <w:rPr>
          <w:w w:val="105"/>
          <w:sz w:val="13"/>
        </w:rPr>
        <w:t>450-451.</w:t>
      </w:r>
    </w:p>
    <w:p>
      <w:pPr>
        <w:spacing w:after="0"/>
        <w:jc w:val="left"/>
        <w:rPr>
          <w:sz w:val="13"/>
        </w:rPr>
        <w:sectPr>
          <w:type w:val="continuous"/>
          <w:pgSz w:w="11910" w:h="16840"/>
          <w:pgMar w:top="300" w:bottom="280" w:left="0" w:right="0"/>
          <w:cols w:num="2" w:equalWidth="0">
            <w:col w:w="1114" w:space="40"/>
            <w:col w:w="10756"/>
          </w:cols>
        </w:sectPr>
      </w:pPr>
    </w:p>
    <w:p>
      <w:pPr>
        <w:pStyle w:val="BodyText"/>
        <w:rPr>
          <w:sz w:val="20"/>
        </w:rPr>
      </w:pPr>
    </w:p>
    <w:p>
      <w:pPr>
        <w:pStyle w:val="BodyText"/>
        <w:spacing w:before="9"/>
        <w:rPr>
          <w:sz w:val="18"/>
        </w:rPr>
      </w:pPr>
    </w:p>
    <w:p>
      <w:pPr>
        <w:pStyle w:val="ListParagraph"/>
        <w:numPr>
          <w:ilvl w:val="0"/>
          <w:numId w:val="83"/>
        </w:numPr>
        <w:tabs>
          <w:tab w:pos="2721" w:val="left" w:leader="none"/>
          <w:tab w:pos="2722" w:val="left" w:leader="none"/>
        </w:tabs>
        <w:spacing w:line="242" w:lineRule="auto" w:before="91" w:after="0"/>
        <w:ind w:left="2721" w:right="1650" w:hanging="340"/>
        <w:jc w:val="left"/>
        <w:rPr>
          <w:sz w:val="12"/>
        </w:rPr>
      </w:pPr>
      <w:bookmarkStart w:name="Who should be notified of an action?" w:id="132"/>
      <w:bookmarkEnd w:id="132"/>
      <w:r>
        <w:rPr/>
      </w:r>
      <w:bookmarkStart w:name="_bookmark57" w:id="133"/>
      <w:bookmarkEnd w:id="133"/>
      <w:r>
        <w:rPr/>
      </w:r>
      <w:bookmarkStart w:name="_bookmark57" w:id="134"/>
      <w:bookmarkEnd w:id="134"/>
      <w:r>
        <w:rPr>
          <w:spacing w:val="-3"/>
          <w:w w:val="105"/>
          <w:sz w:val="21"/>
        </w:rPr>
        <w:t>B</w:t>
      </w:r>
      <w:r>
        <w:rPr>
          <w:spacing w:val="-3"/>
          <w:w w:val="105"/>
          <w:sz w:val="21"/>
        </w:rPr>
        <w:t>ranches </w:t>
      </w:r>
      <w:r>
        <w:rPr>
          <w:w w:val="105"/>
          <w:sz w:val="21"/>
        </w:rPr>
        <w:t>of trees projected </w:t>
      </w:r>
      <w:r>
        <w:rPr>
          <w:spacing w:val="-3"/>
          <w:w w:val="105"/>
          <w:sz w:val="21"/>
        </w:rPr>
        <w:t>to such </w:t>
      </w:r>
      <w:r>
        <w:rPr>
          <w:w w:val="105"/>
          <w:sz w:val="21"/>
        </w:rPr>
        <w:t>an extent over the </w:t>
      </w:r>
      <w:r>
        <w:rPr>
          <w:spacing w:val="-3"/>
          <w:w w:val="105"/>
          <w:sz w:val="21"/>
        </w:rPr>
        <w:t>neighbour’s land that </w:t>
      </w:r>
      <w:r>
        <w:rPr>
          <w:w w:val="105"/>
          <w:sz w:val="21"/>
        </w:rPr>
        <w:t>they brushed</w:t>
      </w:r>
      <w:r>
        <w:rPr>
          <w:spacing w:val="-5"/>
          <w:w w:val="105"/>
          <w:sz w:val="21"/>
        </w:rPr>
        <w:t> </w:t>
      </w:r>
      <w:r>
        <w:rPr>
          <w:spacing w:val="-3"/>
          <w:w w:val="105"/>
          <w:sz w:val="21"/>
        </w:rPr>
        <w:t>against</w:t>
      </w:r>
      <w:r>
        <w:rPr>
          <w:spacing w:val="-4"/>
          <w:w w:val="105"/>
          <w:sz w:val="21"/>
        </w:rPr>
        <w:t> </w:t>
      </w:r>
      <w:r>
        <w:rPr>
          <w:w w:val="105"/>
          <w:sz w:val="21"/>
        </w:rPr>
        <w:t>their</w:t>
      </w:r>
      <w:r>
        <w:rPr>
          <w:spacing w:val="-4"/>
          <w:w w:val="105"/>
          <w:sz w:val="21"/>
        </w:rPr>
        <w:t> </w:t>
      </w:r>
      <w:r>
        <w:rPr>
          <w:w w:val="105"/>
          <w:sz w:val="21"/>
        </w:rPr>
        <w:t>house</w:t>
      </w:r>
      <w:r>
        <w:rPr>
          <w:spacing w:val="-5"/>
          <w:w w:val="105"/>
          <w:sz w:val="21"/>
        </w:rPr>
        <w:t> </w:t>
      </w:r>
      <w:r>
        <w:rPr>
          <w:w w:val="105"/>
          <w:sz w:val="21"/>
        </w:rPr>
        <w:t>and</w:t>
      </w:r>
      <w:r>
        <w:rPr>
          <w:spacing w:val="-4"/>
          <w:w w:val="105"/>
          <w:sz w:val="21"/>
        </w:rPr>
        <w:t> </w:t>
      </w:r>
      <w:r>
        <w:rPr>
          <w:w w:val="105"/>
          <w:sz w:val="21"/>
        </w:rPr>
        <w:t>the</w:t>
      </w:r>
      <w:r>
        <w:rPr>
          <w:spacing w:val="-4"/>
          <w:w w:val="105"/>
          <w:sz w:val="21"/>
        </w:rPr>
        <w:t> </w:t>
      </w:r>
      <w:r>
        <w:rPr>
          <w:spacing w:val="-3"/>
          <w:w w:val="105"/>
          <w:sz w:val="21"/>
        </w:rPr>
        <w:t>leaves</w:t>
      </w:r>
      <w:r>
        <w:rPr>
          <w:spacing w:val="-5"/>
          <w:w w:val="105"/>
          <w:sz w:val="21"/>
        </w:rPr>
        <w:t> </w:t>
      </w:r>
      <w:r>
        <w:rPr>
          <w:spacing w:val="-3"/>
          <w:w w:val="105"/>
          <w:sz w:val="21"/>
        </w:rPr>
        <w:t>blocked</w:t>
      </w:r>
      <w:r>
        <w:rPr>
          <w:spacing w:val="-4"/>
          <w:w w:val="105"/>
          <w:sz w:val="21"/>
        </w:rPr>
        <w:t> </w:t>
      </w:r>
      <w:r>
        <w:rPr>
          <w:w w:val="105"/>
          <w:sz w:val="21"/>
        </w:rPr>
        <w:t>the</w:t>
      </w:r>
      <w:r>
        <w:rPr>
          <w:spacing w:val="-4"/>
          <w:w w:val="105"/>
          <w:sz w:val="21"/>
        </w:rPr>
        <w:t> </w:t>
      </w:r>
      <w:r>
        <w:rPr>
          <w:w w:val="105"/>
          <w:sz w:val="21"/>
        </w:rPr>
        <w:t>downpipe</w:t>
      </w:r>
      <w:r>
        <w:rPr>
          <w:spacing w:val="-5"/>
          <w:w w:val="105"/>
          <w:sz w:val="21"/>
        </w:rPr>
        <w:t> </w:t>
      </w:r>
      <w:r>
        <w:rPr>
          <w:spacing w:val="-3"/>
          <w:w w:val="105"/>
          <w:sz w:val="21"/>
        </w:rPr>
        <w:t>causing</w:t>
      </w:r>
      <w:r>
        <w:rPr>
          <w:spacing w:val="-4"/>
          <w:w w:val="105"/>
          <w:sz w:val="21"/>
        </w:rPr>
        <w:t> </w:t>
      </w:r>
      <w:r>
        <w:rPr>
          <w:w w:val="105"/>
          <w:sz w:val="21"/>
        </w:rPr>
        <w:t>two</w:t>
      </w:r>
      <w:r>
        <w:rPr>
          <w:spacing w:val="-4"/>
          <w:w w:val="105"/>
          <w:sz w:val="21"/>
        </w:rPr>
        <w:t> </w:t>
      </w:r>
      <w:r>
        <w:rPr>
          <w:w w:val="105"/>
          <w:sz w:val="21"/>
        </w:rPr>
        <w:t>rooms </w:t>
      </w:r>
      <w:r>
        <w:rPr>
          <w:spacing w:val="-3"/>
          <w:w w:val="105"/>
          <w:sz w:val="21"/>
        </w:rPr>
        <w:t>to </w:t>
      </w:r>
      <w:r>
        <w:rPr>
          <w:w w:val="105"/>
          <w:sz w:val="21"/>
        </w:rPr>
        <w:t>be</w:t>
      </w:r>
      <w:r>
        <w:rPr>
          <w:spacing w:val="14"/>
          <w:w w:val="105"/>
          <w:sz w:val="21"/>
        </w:rPr>
        <w:t> </w:t>
      </w:r>
      <w:r>
        <w:rPr>
          <w:w w:val="105"/>
          <w:sz w:val="21"/>
        </w:rPr>
        <w:t>flooded;</w:t>
      </w:r>
      <w:r>
        <w:rPr>
          <w:w w:val="105"/>
          <w:position w:val="7"/>
          <w:sz w:val="12"/>
        </w:rPr>
        <w:t>372</w:t>
      </w:r>
    </w:p>
    <w:p>
      <w:pPr>
        <w:pStyle w:val="ListParagraph"/>
        <w:numPr>
          <w:ilvl w:val="0"/>
          <w:numId w:val="83"/>
        </w:numPr>
        <w:tabs>
          <w:tab w:pos="2721" w:val="left" w:leader="none"/>
          <w:tab w:pos="2722" w:val="left" w:leader="none"/>
        </w:tabs>
        <w:spacing w:line="242" w:lineRule="auto" w:before="89" w:after="0"/>
        <w:ind w:left="2721" w:right="1975" w:hanging="340"/>
        <w:jc w:val="left"/>
        <w:rPr>
          <w:sz w:val="12"/>
        </w:rPr>
      </w:pPr>
      <w:r>
        <w:rPr>
          <w:spacing w:val="-3"/>
          <w:w w:val="105"/>
          <w:sz w:val="21"/>
        </w:rPr>
        <w:t>Branches</w:t>
      </w:r>
      <w:r>
        <w:rPr>
          <w:spacing w:val="-5"/>
          <w:w w:val="105"/>
          <w:sz w:val="21"/>
        </w:rPr>
        <w:t> </w:t>
      </w:r>
      <w:r>
        <w:rPr>
          <w:w w:val="105"/>
          <w:sz w:val="21"/>
        </w:rPr>
        <w:t>of</w:t>
      </w:r>
      <w:r>
        <w:rPr>
          <w:spacing w:val="-5"/>
          <w:w w:val="105"/>
          <w:sz w:val="21"/>
        </w:rPr>
        <w:t> </w:t>
      </w:r>
      <w:r>
        <w:rPr>
          <w:w w:val="105"/>
          <w:sz w:val="21"/>
        </w:rPr>
        <w:t>a</w:t>
      </w:r>
      <w:r>
        <w:rPr>
          <w:spacing w:val="-5"/>
          <w:w w:val="105"/>
          <w:sz w:val="21"/>
        </w:rPr>
        <w:t> </w:t>
      </w:r>
      <w:r>
        <w:rPr>
          <w:spacing w:val="-3"/>
          <w:w w:val="105"/>
          <w:sz w:val="21"/>
        </w:rPr>
        <w:t>row</w:t>
      </w:r>
      <w:r>
        <w:rPr>
          <w:spacing w:val="-4"/>
          <w:w w:val="105"/>
          <w:sz w:val="21"/>
        </w:rPr>
        <w:t> </w:t>
      </w:r>
      <w:r>
        <w:rPr>
          <w:w w:val="105"/>
          <w:sz w:val="21"/>
        </w:rPr>
        <w:t>of</w:t>
      </w:r>
      <w:r>
        <w:rPr>
          <w:spacing w:val="-5"/>
          <w:w w:val="105"/>
          <w:sz w:val="21"/>
        </w:rPr>
        <w:t> </w:t>
      </w:r>
      <w:r>
        <w:rPr>
          <w:w w:val="105"/>
          <w:sz w:val="21"/>
        </w:rPr>
        <w:t>pine</w:t>
      </w:r>
      <w:r>
        <w:rPr>
          <w:spacing w:val="-5"/>
          <w:w w:val="105"/>
          <w:sz w:val="21"/>
        </w:rPr>
        <w:t> </w:t>
      </w:r>
      <w:r>
        <w:rPr>
          <w:w w:val="105"/>
          <w:sz w:val="21"/>
        </w:rPr>
        <w:t>trees</w:t>
      </w:r>
      <w:r>
        <w:rPr>
          <w:spacing w:val="-5"/>
          <w:w w:val="105"/>
          <w:sz w:val="21"/>
        </w:rPr>
        <w:t> </w:t>
      </w:r>
      <w:r>
        <w:rPr>
          <w:spacing w:val="-3"/>
          <w:w w:val="105"/>
          <w:sz w:val="21"/>
        </w:rPr>
        <w:t>overhung</w:t>
      </w:r>
      <w:r>
        <w:rPr>
          <w:spacing w:val="-4"/>
          <w:w w:val="105"/>
          <w:sz w:val="21"/>
        </w:rPr>
        <w:t> </w:t>
      </w:r>
      <w:r>
        <w:rPr>
          <w:w w:val="105"/>
          <w:sz w:val="21"/>
        </w:rPr>
        <w:t>the</w:t>
      </w:r>
      <w:r>
        <w:rPr>
          <w:spacing w:val="-5"/>
          <w:w w:val="105"/>
          <w:sz w:val="21"/>
        </w:rPr>
        <w:t> </w:t>
      </w:r>
      <w:r>
        <w:rPr>
          <w:spacing w:val="-3"/>
          <w:w w:val="105"/>
          <w:sz w:val="21"/>
        </w:rPr>
        <w:t>neighbour’s</w:t>
      </w:r>
      <w:r>
        <w:rPr>
          <w:spacing w:val="-5"/>
          <w:w w:val="105"/>
          <w:sz w:val="21"/>
        </w:rPr>
        <w:t> </w:t>
      </w:r>
      <w:r>
        <w:rPr>
          <w:w w:val="105"/>
          <w:sz w:val="21"/>
        </w:rPr>
        <w:t>property</w:t>
      </w:r>
      <w:r>
        <w:rPr>
          <w:spacing w:val="-5"/>
          <w:w w:val="105"/>
          <w:sz w:val="21"/>
        </w:rPr>
        <w:t> </w:t>
      </w:r>
      <w:r>
        <w:rPr>
          <w:w w:val="105"/>
          <w:sz w:val="21"/>
        </w:rPr>
        <w:t>and</w:t>
      </w:r>
      <w:r>
        <w:rPr>
          <w:spacing w:val="-4"/>
          <w:w w:val="105"/>
          <w:sz w:val="21"/>
        </w:rPr>
        <w:t> </w:t>
      </w:r>
      <w:r>
        <w:rPr>
          <w:w w:val="105"/>
          <w:sz w:val="21"/>
        </w:rPr>
        <w:t>deposited pine needles and </w:t>
      </w:r>
      <w:r>
        <w:rPr>
          <w:spacing w:val="-3"/>
          <w:w w:val="105"/>
          <w:sz w:val="21"/>
        </w:rPr>
        <w:t>rubbish </w:t>
      </w:r>
      <w:r>
        <w:rPr>
          <w:w w:val="105"/>
          <w:sz w:val="21"/>
        </w:rPr>
        <w:t>which poisoned the</w:t>
      </w:r>
      <w:r>
        <w:rPr>
          <w:spacing w:val="28"/>
          <w:w w:val="105"/>
          <w:sz w:val="21"/>
        </w:rPr>
        <w:t> </w:t>
      </w:r>
      <w:r>
        <w:rPr>
          <w:w w:val="105"/>
          <w:sz w:val="21"/>
        </w:rPr>
        <w:t>soil.</w:t>
      </w:r>
      <w:r>
        <w:rPr>
          <w:w w:val="105"/>
          <w:position w:val="7"/>
          <w:sz w:val="12"/>
        </w:rPr>
        <w:t>373</w:t>
      </w:r>
    </w:p>
    <w:p>
      <w:pPr>
        <w:pStyle w:val="ListParagraph"/>
        <w:numPr>
          <w:ilvl w:val="0"/>
          <w:numId w:val="79"/>
        </w:numPr>
        <w:tabs>
          <w:tab w:pos="2381" w:val="left" w:leader="none"/>
        </w:tabs>
        <w:spacing w:line="242" w:lineRule="auto" w:before="87" w:after="0"/>
        <w:ind w:left="2380" w:right="2241" w:hanging="793"/>
        <w:jc w:val="both"/>
        <w:rPr>
          <w:sz w:val="21"/>
        </w:rPr>
      </w:pPr>
      <w:r>
        <w:rPr>
          <w:w w:val="105"/>
          <w:sz w:val="21"/>
        </w:rPr>
        <w:t>Where an affected </w:t>
      </w:r>
      <w:r>
        <w:rPr>
          <w:spacing w:val="-3"/>
          <w:w w:val="105"/>
          <w:sz w:val="21"/>
        </w:rPr>
        <w:t>neighbour </w:t>
      </w:r>
      <w:r>
        <w:rPr>
          <w:w w:val="105"/>
          <w:sz w:val="21"/>
        </w:rPr>
        <w:t>is </w:t>
      </w:r>
      <w:r>
        <w:rPr>
          <w:spacing w:val="-3"/>
          <w:w w:val="105"/>
          <w:sz w:val="21"/>
        </w:rPr>
        <w:t>unable to </w:t>
      </w:r>
      <w:r>
        <w:rPr>
          <w:w w:val="105"/>
          <w:sz w:val="21"/>
        </w:rPr>
        <w:t>establish </w:t>
      </w:r>
      <w:r>
        <w:rPr>
          <w:spacing w:val="-3"/>
          <w:w w:val="105"/>
          <w:sz w:val="21"/>
        </w:rPr>
        <w:t>that </w:t>
      </w:r>
      <w:r>
        <w:rPr>
          <w:w w:val="105"/>
          <w:sz w:val="21"/>
        </w:rPr>
        <w:t>the </w:t>
      </w:r>
      <w:r>
        <w:rPr>
          <w:spacing w:val="-3"/>
          <w:w w:val="105"/>
          <w:sz w:val="21"/>
        </w:rPr>
        <w:t>overhanging branch </w:t>
      </w:r>
      <w:r>
        <w:rPr>
          <w:w w:val="105"/>
          <w:sz w:val="21"/>
        </w:rPr>
        <w:t>is </w:t>
      </w:r>
      <w:r>
        <w:rPr>
          <w:spacing w:val="-3"/>
          <w:w w:val="105"/>
          <w:sz w:val="21"/>
        </w:rPr>
        <w:t>causing </w:t>
      </w:r>
      <w:r>
        <w:rPr>
          <w:w w:val="105"/>
          <w:sz w:val="21"/>
        </w:rPr>
        <w:t>damage or </w:t>
      </w:r>
      <w:r>
        <w:rPr>
          <w:spacing w:val="-3"/>
          <w:w w:val="105"/>
          <w:sz w:val="21"/>
        </w:rPr>
        <w:t>posing </w:t>
      </w:r>
      <w:r>
        <w:rPr>
          <w:w w:val="105"/>
          <w:sz w:val="21"/>
        </w:rPr>
        <w:t>a risk of </w:t>
      </w:r>
      <w:r>
        <w:rPr>
          <w:spacing w:val="-3"/>
          <w:w w:val="105"/>
          <w:sz w:val="21"/>
        </w:rPr>
        <w:t>harm </w:t>
      </w:r>
      <w:r>
        <w:rPr>
          <w:w w:val="105"/>
          <w:sz w:val="21"/>
        </w:rPr>
        <w:t>under the new Act, a remedy </w:t>
      </w:r>
      <w:r>
        <w:rPr>
          <w:spacing w:val="-3"/>
          <w:w w:val="105"/>
          <w:sz w:val="21"/>
        </w:rPr>
        <w:t>may </w:t>
      </w:r>
      <w:r>
        <w:rPr>
          <w:w w:val="105"/>
          <w:sz w:val="21"/>
        </w:rPr>
        <w:t>still be </w:t>
      </w:r>
      <w:r>
        <w:rPr>
          <w:spacing w:val="-3"/>
          <w:w w:val="105"/>
          <w:sz w:val="21"/>
        </w:rPr>
        <w:t>available </w:t>
      </w:r>
      <w:r>
        <w:rPr>
          <w:w w:val="105"/>
          <w:sz w:val="21"/>
        </w:rPr>
        <w:t>at </w:t>
      </w:r>
      <w:r>
        <w:rPr>
          <w:spacing w:val="-2"/>
          <w:w w:val="105"/>
          <w:sz w:val="21"/>
        </w:rPr>
        <w:t>common </w:t>
      </w:r>
      <w:r>
        <w:rPr>
          <w:w w:val="105"/>
          <w:sz w:val="21"/>
        </w:rPr>
        <w:t>law </w:t>
      </w:r>
      <w:r>
        <w:rPr>
          <w:spacing w:val="-3"/>
          <w:w w:val="105"/>
          <w:sz w:val="21"/>
        </w:rPr>
        <w:t>through</w:t>
      </w:r>
      <w:r>
        <w:rPr>
          <w:spacing w:val="30"/>
          <w:w w:val="105"/>
          <w:sz w:val="21"/>
        </w:rPr>
        <w:t> </w:t>
      </w:r>
      <w:r>
        <w:rPr>
          <w:spacing w:val="-3"/>
          <w:w w:val="105"/>
          <w:sz w:val="21"/>
        </w:rPr>
        <w:t>nuisance.</w:t>
      </w:r>
    </w:p>
    <w:p>
      <w:pPr>
        <w:pStyle w:val="ListParagraph"/>
        <w:numPr>
          <w:ilvl w:val="0"/>
          <w:numId w:val="79"/>
        </w:numPr>
        <w:tabs>
          <w:tab w:pos="2380" w:val="left" w:leader="none"/>
          <w:tab w:pos="2381" w:val="left" w:leader="none"/>
        </w:tabs>
        <w:spacing w:line="242" w:lineRule="auto" w:before="123" w:after="0"/>
        <w:ind w:left="2380" w:right="2061" w:hanging="793"/>
        <w:jc w:val="left"/>
        <w:rPr>
          <w:sz w:val="21"/>
        </w:rPr>
      </w:pPr>
      <w:r>
        <w:rPr>
          <w:w w:val="105"/>
          <w:sz w:val="21"/>
        </w:rPr>
        <w:t>Because </w:t>
      </w:r>
      <w:r>
        <w:rPr>
          <w:spacing w:val="-3"/>
          <w:w w:val="105"/>
          <w:sz w:val="21"/>
        </w:rPr>
        <w:t>overhanging branches are </w:t>
      </w:r>
      <w:r>
        <w:rPr>
          <w:w w:val="105"/>
          <w:sz w:val="21"/>
        </w:rPr>
        <w:t>a </w:t>
      </w:r>
      <w:r>
        <w:rPr>
          <w:spacing w:val="-2"/>
          <w:w w:val="105"/>
          <w:sz w:val="21"/>
        </w:rPr>
        <w:t>common </w:t>
      </w:r>
      <w:r>
        <w:rPr>
          <w:w w:val="105"/>
          <w:sz w:val="21"/>
        </w:rPr>
        <w:t>problem in Victoria, the </w:t>
      </w:r>
      <w:r>
        <w:rPr>
          <w:spacing w:val="-3"/>
          <w:w w:val="105"/>
          <w:sz w:val="21"/>
        </w:rPr>
        <w:t>Commission recommends</w:t>
      </w:r>
      <w:r>
        <w:rPr>
          <w:spacing w:val="-9"/>
          <w:w w:val="105"/>
          <w:sz w:val="21"/>
        </w:rPr>
        <w:t> </w:t>
      </w:r>
      <w:r>
        <w:rPr>
          <w:spacing w:val="-3"/>
          <w:w w:val="105"/>
          <w:sz w:val="21"/>
        </w:rPr>
        <w:t>that</w:t>
      </w:r>
      <w:r>
        <w:rPr>
          <w:spacing w:val="-8"/>
          <w:w w:val="105"/>
          <w:sz w:val="21"/>
        </w:rPr>
        <w:t> </w:t>
      </w:r>
      <w:r>
        <w:rPr>
          <w:spacing w:val="-3"/>
          <w:w w:val="105"/>
          <w:sz w:val="21"/>
        </w:rPr>
        <w:t>Government</w:t>
      </w:r>
      <w:r>
        <w:rPr>
          <w:spacing w:val="-8"/>
          <w:w w:val="105"/>
          <w:sz w:val="21"/>
        </w:rPr>
        <w:t> </w:t>
      </w:r>
      <w:r>
        <w:rPr>
          <w:spacing w:val="-3"/>
          <w:w w:val="105"/>
          <w:sz w:val="21"/>
        </w:rPr>
        <w:t>consider</w:t>
      </w:r>
      <w:r>
        <w:rPr>
          <w:spacing w:val="-8"/>
          <w:w w:val="105"/>
          <w:sz w:val="21"/>
        </w:rPr>
        <w:t> </w:t>
      </w:r>
      <w:r>
        <w:rPr>
          <w:w w:val="105"/>
          <w:sz w:val="21"/>
        </w:rPr>
        <w:t>the</w:t>
      </w:r>
      <w:r>
        <w:rPr>
          <w:spacing w:val="-8"/>
          <w:w w:val="105"/>
          <w:sz w:val="21"/>
        </w:rPr>
        <w:t> </w:t>
      </w:r>
      <w:r>
        <w:rPr>
          <w:w w:val="105"/>
          <w:sz w:val="21"/>
        </w:rPr>
        <w:t>usefulness</w:t>
      </w:r>
      <w:r>
        <w:rPr>
          <w:spacing w:val="-9"/>
          <w:w w:val="105"/>
          <w:sz w:val="21"/>
        </w:rPr>
        <w:t> </w:t>
      </w:r>
      <w:r>
        <w:rPr>
          <w:w w:val="105"/>
          <w:sz w:val="21"/>
        </w:rPr>
        <w:t>of</w:t>
      </w:r>
      <w:r>
        <w:rPr>
          <w:spacing w:val="-8"/>
          <w:w w:val="105"/>
          <w:sz w:val="21"/>
        </w:rPr>
        <w:t> </w:t>
      </w:r>
      <w:r>
        <w:rPr>
          <w:w w:val="105"/>
          <w:sz w:val="21"/>
        </w:rPr>
        <w:t>a</w:t>
      </w:r>
      <w:r>
        <w:rPr>
          <w:spacing w:val="-8"/>
          <w:w w:val="105"/>
          <w:sz w:val="21"/>
        </w:rPr>
        <w:t> </w:t>
      </w:r>
      <w:r>
        <w:rPr>
          <w:w w:val="105"/>
          <w:sz w:val="21"/>
        </w:rPr>
        <w:t>statutory</w:t>
      </w:r>
      <w:r>
        <w:rPr>
          <w:spacing w:val="-8"/>
          <w:w w:val="105"/>
          <w:sz w:val="21"/>
        </w:rPr>
        <w:t> </w:t>
      </w:r>
      <w:r>
        <w:rPr>
          <w:spacing w:val="-3"/>
          <w:w w:val="105"/>
          <w:sz w:val="21"/>
        </w:rPr>
        <w:t>branch</w:t>
      </w:r>
      <w:r>
        <w:rPr>
          <w:spacing w:val="-8"/>
          <w:w w:val="105"/>
          <w:sz w:val="21"/>
        </w:rPr>
        <w:t> </w:t>
      </w:r>
      <w:r>
        <w:rPr>
          <w:spacing w:val="-3"/>
          <w:w w:val="105"/>
          <w:sz w:val="21"/>
        </w:rPr>
        <w:t>removal </w:t>
      </w:r>
      <w:r>
        <w:rPr>
          <w:w w:val="105"/>
          <w:sz w:val="21"/>
        </w:rPr>
        <w:t>process</w:t>
      </w:r>
      <w:r>
        <w:rPr>
          <w:spacing w:val="-10"/>
          <w:w w:val="105"/>
          <w:sz w:val="21"/>
        </w:rPr>
        <w:t> </w:t>
      </w:r>
      <w:r>
        <w:rPr>
          <w:w w:val="105"/>
          <w:sz w:val="21"/>
        </w:rPr>
        <w:t>when</w:t>
      </w:r>
      <w:r>
        <w:rPr>
          <w:spacing w:val="-9"/>
          <w:w w:val="105"/>
          <w:sz w:val="21"/>
        </w:rPr>
        <w:t> </w:t>
      </w:r>
      <w:r>
        <w:rPr>
          <w:w w:val="105"/>
          <w:sz w:val="21"/>
        </w:rPr>
        <w:t>the</w:t>
      </w:r>
      <w:r>
        <w:rPr>
          <w:spacing w:val="-9"/>
          <w:w w:val="105"/>
          <w:sz w:val="21"/>
        </w:rPr>
        <w:t> </w:t>
      </w:r>
      <w:r>
        <w:rPr>
          <w:w w:val="105"/>
          <w:sz w:val="21"/>
        </w:rPr>
        <w:t>Act</w:t>
      </w:r>
      <w:r>
        <w:rPr>
          <w:spacing w:val="-10"/>
          <w:w w:val="105"/>
          <w:sz w:val="21"/>
        </w:rPr>
        <w:t> </w:t>
      </w:r>
      <w:r>
        <w:rPr>
          <w:w w:val="105"/>
          <w:sz w:val="21"/>
        </w:rPr>
        <w:t>is</w:t>
      </w:r>
      <w:r>
        <w:rPr>
          <w:spacing w:val="-9"/>
          <w:w w:val="105"/>
          <w:sz w:val="21"/>
        </w:rPr>
        <w:t> </w:t>
      </w:r>
      <w:r>
        <w:rPr>
          <w:w w:val="105"/>
          <w:sz w:val="21"/>
        </w:rPr>
        <w:t>reviewed</w:t>
      </w:r>
      <w:r>
        <w:rPr>
          <w:spacing w:val="-9"/>
          <w:w w:val="105"/>
          <w:sz w:val="21"/>
        </w:rPr>
        <w:t> </w:t>
      </w:r>
      <w:r>
        <w:rPr>
          <w:w w:val="105"/>
          <w:sz w:val="21"/>
        </w:rPr>
        <w:t>after</w:t>
      </w:r>
      <w:r>
        <w:rPr>
          <w:spacing w:val="-9"/>
          <w:w w:val="105"/>
          <w:sz w:val="21"/>
        </w:rPr>
        <w:t> </w:t>
      </w:r>
      <w:r>
        <w:rPr>
          <w:w w:val="105"/>
          <w:sz w:val="21"/>
        </w:rPr>
        <w:t>5</w:t>
      </w:r>
      <w:r>
        <w:rPr>
          <w:spacing w:val="-10"/>
          <w:w w:val="105"/>
          <w:sz w:val="21"/>
        </w:rPr>
        <w:t> </w:t>
      </w:r>
      <w:r>
        <w:rPr>
          <w:w w:val="105"/>
          <w:sz w:val="21"/>
        </w:rPr>
        <w:t>years</w:t>
      </w:r>
      <w:r>
        <w:rPr>
          <w:spacing w:val="-9"/>
          <w:w w:val="105"/>
          <w:sz w:val="21"/>
        </w:rPr>
        <w:t> </w:t>
      </w:r>
      <w:r>
        <w:rPr>
          <w:w w:val="105"/>
          <w:sz w:val="21"/>
        </w:rPr>
        <w:t>of</w:t>
      </w:r>
      <w:r>
        <w:rPr>
          <w:spacing w:val="-9"/>
          <w:w w:val="105"/>
          <w:sz w:val="21"/>
        </w:rPr>
        <w:t> </w:t>
      </w:r>
      <w:r>
        <w:rPr>
          <w:w w:val="105"/>
          <w:sz w:val="21"/>
        </w:rPr>
        <w:t>operation.</w:t>
      </w:r>
      <w:r>
        <w:rPr>
          <w:spacing w:val="-9"/>
          <w:w w:val="105"/>
          <w:sz w:val="21"/>
        </w:rPr>
        <w:t> </w:t>
      </w:r>
      <w:r>
        <w:rPr>
          <w:w w:val="105"/>
          <w:sz w:val="21"/>
        </w:rPr>
        <w:t>This</w:t>
      </w:r>
      <w:r>
        <w:rPr>
          <w:spacing w:val="-10"/>
          <w:w w:val="105"/>
          <w:sz w:val="21"/>
        </w:rPr>
        <w:t> </w:t>
      </w:r>
      <w:r>
        <w:rPr>
          <w:spacing w:val="-3"/>
          <w:w w:val="105"/>
          <w:sz w:val="21"/>
        </w:rPr>
        <w:t>recommendation</w:t>
      </w:r>
      <w:r>
        <w:rPr>
          <w:spacing w:val="-9"/>
          <w:w w:val="105"/>
          <w:sz w:val="21"/>
        </w:rPr>
        <w:t> </w:t>
      </w:r>
      <w:r>
        <w:rPr>
          <w:w w:val="105"/>
          <w:sz w:val="21"/>
        </w:rPr>
        <w:t>is discussed in </w:t>
      </w:r>
      <w:r>
        <w:rPr>
          <w:spacing w:val="-3"/>
          <w:w w:val="105"/>
          <w:sz w:val="21"/>
        </w:rPr>
        <w:t>Chapters </w:t>
      </w:r>
      <w:r>
        <w:rPr>
          <w:w w:val="105"/>
          <w:sz w:val="21"/>
        </w:rPr>
        <w:t>6 and</w:t>
      </w:r>
      <w:r>
        <w:rPr>
          <w:spacing w:val="29"/>
          <w:w w:val="105"/>
          <w:sz w:val="21"/>
        </w:rPr>
        <w:t> </w:t>
      </w:r>
      <w:r>
        <w:rPr>
          <w:spacing w:val="-8"/>
          <w:w w:val="105"/>
          <w:sz w:val="21"/>
        </w:rPr>
        <w:t>13.</w:t>
      </w:r>
    </w:p>
    <w:p>
      <w:pPr>
        <w:pStyle w:val="BodyText"/>
        <w:spacing w:before="12"/>
      </w:pPr>
    </w:p>
    <w:p>
      <w:pPr>
        <w:pStyle w:val="Heading4"/>
      </w:pPr>
      <w:r>
        <w:rPr>
          <w:color w:val="658464"/>
          <w:w w:val="115"/>
        </w:rPr>
        <w:t>Who should be notified of an action?</w:t>
      </w:r>
    </w:p>
    <w:p>
      <w:pPr>
        <w:pStyle w:val="ListParagraph"/>
        <w:numPr>
          <w:ilvl w:val="0"/>
          <w:numId w:val="79"/>
        </w:numPr>
        <w:tabs>
          <w:tab w:pos="2381" w:val="left" w:leader="none"/>
          <w:tab w:pos="2382" w:val="left" w:leader="none"/>
        </w:tabs>
        <w:spacing w:line="242" w:lineRule="auto" w:before="155" w:after="0"/>
        <w:ind w:left="2381" w:right="1707" w:hanging="794"/>
        <w:jc w:val="left"/>
        <w:rPr>
          <w:sz w:val="21"/>
        </w:rPr>
      </w:pPr>
      <w:r>
        <w:rPr>
          <w:sz w:val="21"/>
        </w:rPr>
        <w:t>This part </w:t>
      </w:r>
      <w:r>
        <w:rPr>
          <w:spacing w:val="-2"/>
          <w:sz w:val="21"/>
        </w:rPr>
        <w:t>examines </w:t>
      </w:r>
      <w:r>
        <w:rPr>
          <w:sz w:val="21"/>
        </w:rPr>
        <w:t>who should receive </w:t>
      </w:r>
      <w:r>
        <w:rPr>
          <w:spacing w:val="-3"/>
          <w:sz w:val="21"/>
        </w:rPr>
        <w:t>notice  </w:t>
      </w:r>
      <w:r>
        <w:rPr>
          <w:sz w:val="21"/>
        </w:rPr>
        <w:t>of an application under the new Act. </w:t>
      </w:r>
      <w:r>
        <w:rPr>
          <w:spacing w:val="-4"/>
          <w:sz w:val="21"/>
        </w:rPr>
        <w:t>Trees  </w:t>
      </w:r>
      <w:r>
        <w:rPr>
          <w:sz w:val="21"/>
        </w:rPr>
        <w:t>on </w:t>
      </w:r>
      <w:r>
        <w:rPr>
          <w:spacing w:val="-3"/>
          <w:sz w:val="21"/>
        </w:rPr>
        <w:t>private land may </w:t>
      </w:r>
      <w:r>
        <w:rPr>
          <w:sz w:val="21"/>
        </w:rPr>
        <w:t>be protected by local laws, </w:t>
      </w:r>
      <w:r>
        <w:rPr>
          <w:spacing w:val="-3"/>
          <w:sz w:val="21"/>
        </w:rPr>
        <w:t>planning </w:t>
      </w:r>
      <w:r>
        <w:rPr>
          <w:sz w:val="21"/>
        </w:rPr>
        <w:t>scheme </w:t>
      </w:r>
      <w:r>
        <w:rPr>
          <w:spacing w:val="-3"/>
          <w:sz w:val="21"/>
        </w:rPr>
        <w:t>mechanisms </w:t>
      </w:r>
      <w:r>
        <w:rPr>
          <w:sz w:val="21"/>
        </w:rPr>
        <w:t>or other </w:t>
      </w:r>
      <w:r>
        <w:rPr>
          <w:spacing w:val="-3"/>
          <w:sz w:val="21"/>
        </w:rPr>
        <w:t>laws.</w:t>
      </w:r>
      <w:r>
        <w:rPr>
          <w:spacing w:val="-3"/>
          <w:position w:val="7"/>
          <w:sz w:val="12"/>
        </w:rPr>
        <w:t>374 </w:t>
      </w:r>
      <w:r>
        <w:rPr>
          <w:sz w:val="21"/>
        </w:rPr>
        <w:t>This </w:t>
      </w:r>
      <w:r>
        <w:rPr>
          <w:spacing w:val="-3"/>
          <w:sz w:val="21"/>
        </w:rPr>
        <w:t>means that councils </w:t>
      </w:r>
      <w:r>
        <w:rPr>
          <w:sz w:val="21"/>
        </w:rPr>
        <w:t>and other authorities </w:t>
      </w:r>
      <w:r>
        <w:rPr>
          <w:spacing w:val="-3"/>
          <w:sz w:val="21"/>
        </w:rPr>
        <w:t>may </w:t>
      </w:r>
      <w:r>
        <w:rPr>
          <w:sz w:val="21"/>
        </w:rPr>
        <w:t>be affected by </w:t>
      </w:r>
      <w:r>
        <w:rPr>
          <w:spacing w:val="-5"/>
          <w:sz w:val="21"/>
        </w:rPr>
        <w:t>VCAT  </w:t>
      </w:r>
      <w:r>
        <w:rPr>
          <w:sz w:val="21"/>
        </w:rPr>
        <w:t>orders under the new Act and </w:t>
      </w:r>
      <w:r>
        <w:rPr>
          <w:spacing w:val="-3"/>
          <w:sz w:val="21"/>
        </w:rPr>
        <w:t>may </w:t>
      </w:r>
      <w:r>
        <w:rPr>
          <w:sz w:val="21"/>
        </w:rPr>
        <w:t>need </w:t>
      </w:r>
      <w:r>
        <w:rPr>
          <w:spacing w:val="-3"/>
          <w:sz w:val="21"/>
        </w:rPr>
        <w:t>to </w:t>
      </w:r>
      <w:r>
        <w:rPr>
          <w:sz w:val="21"/>
        </w:rPr>
        <w:t>be notified. </w:t>
      </w:r>
      <w:r>
        <w:rPr>
          <w:spacing w:val="-4"/>
          <w:sz w:val="21"/>
        </w:rPr>
        <w:t>Further, </w:t>
      </w:r>
      <w:r>
        <w:rPr>
          <w:sz w:val="21"/>
        </w:rPr>
        <w:t>the  owner  of  affected  </w:t>
      </w:r>
      <w:r>
        <w:rPr>
          <w:spacing w:val="-3"/>
          <w:sz w:val="21"/>
        </w:rPr>
        <w:t>land </w:t>
      </w:r>
      <w:r>
        <w:rPr>
          <w:sz w:val="21"/>
        </w:rPr>
        <w:t>would need </w:t>
      </w:r>
      <w:r>
        <w:rPr>
          <w:spacing w:val="-3"/>
          <w:sz w:val="21"/>
        </w:rPr>
        <w:t>to </w:t>
      </w:r>
      <w:r>
        <w:rPr>
          <w:sz w:val="21"/>
        </w:rPr>
        <w:t>be notified of </w:t>
      </w:r>
      <w:r>
        <w:rPr>
          <w:spacing w:val="-3"/>
          <w:sz w:val="21"/>
        </w:rPr>
        <w:t>any </w:t>
      </w:r>
      <w:r>
        <w:rPr>
          <w:sz w:val="21"/>
        </w:rPr>
        <w:t>action </w:t>
      </w:r>
      <w:r>
        <w:rPr>
          <w:spacing w:val="-3"/>
          <w:sz w:val="21"/>
        </w:rPr>
        <w:t>taken </w:t>
      </w:r>
      <w:r>
        <w:rPr>
          <w:sz w:val="21"/>
        </w:rPr>
        <w:t>by an </w:t>
      </w:r>
      <w:r>
        <w:rPr>
          <w:spacing w:val="-3"/>
          <w:sz w:val="21"/>
        </w:rPr>
        <w:t>occupier </w:t>
      </w:r>
      <w:r>
        <w:rPr>
          <w:sz w:val="21"/>
        </w:rPr>
        <w:t>of </w:t>
      </w:r>
      <w:r>
        <w:rPr>
          <w:spacing w:val="-3"/>
          <w:sz w:val="21"/>
        </w:rPr>
        <w:t>that land </w:t>
      </w:r>
      <w:r>
        <w:rPr>
          <w:sz w:val="21"/>
        </w:rPr>
        <w:t>in </w:t>
      </w:r>
      <w:r>
        <w:rPr>
          <w:spacing w:val="-3"/>
          <w:sz w:val="21"/>
        </w:rPr>
        <w:t>relation to </w:t>
      </w:r>
      <w:r>
        <w:rPr>
          <w:sz w:val="21"/>
        </w:rPr>
        <w:t>a problem</w:t>
      </w:r>
      <w:r>
        <w:rPr>
          <w:spacing w:val="8"/>
          <w:sz w:val="21"/>
        </w:rPr>
        <w:t> </w:t>
      </w:r>
      <w:r>
        <w:rPr>
          <w:spacing w:val="-3"/>
          <w:sz w:val="21"/>
        </w:rPr>
        <w:t>tree.</w:t>
      </w:r>
    </w:p>
    <w:p>
      <w:pPr>
        <w:pStyle w:val="BodyText"/>
        <w:spacing w:before="7"/>
        <w:rPr>
          <w:sz w:val="20"/>
        </w:rPr>
      </w:pPr>
    </w:p>
    <w:p>
      <w:pPr>
        <w:pStyle w:val="Heading5"/>
      </w:pPr>
      <w:r>
        <w:rPr>
          <w:w w:val="115"/>
        </w:rPr>
        <w:t>Other jurisdictions—who should be notified?</w:t>
      </w:r>
    </w:p>
    <w:p>
      <w:pPr>
        <w:pStyle w:val="ListParagraph"/>
        <w:numPr>
          <w:ilvl w:val="0"/>
          <w:numId w:val="79"/>
        </w:numPr>
        <w:tabs>
          <w:tab w:pos="2381" w:val="left" w:leader="none"/>
          <w:tab w:pos="2382" w:val="left" w:leader="none"/>
        </w:tabs>
        <w:spacing w:line="242" w:lineRule="auto" w:before="137" w:after="0"/>
        <w:ind w:left="2381" w:right="1945" w:hanging="794"/>
        <w:jc w:val="left"/>
        <w:rPr>
          <w:sz w:val="21"/>
        </w:rPr>
      </w:pPr>
      <w:r>
        <w:rPr>
          <w:w w:val="105"/>
          <w:sz w:val="21"/>
        </w:rPr>
        <w:t>The NSW Act </w:t>
      </w:r>
      <w:r>
        <w:rPr>
          <w:spacing w:val="-3"/>
          <w:w w:val="105"/>
          <w:sz w:val="21"/>
        </w:rPr>
        <w:t>requires </w:t>
      </w:r>
      <w:r>
        <w:rPr>
          <w:w w:val="105"/>
          <w:sz w:val="21"/>
        </w:rPr>
        <w:t>an </w:t>
      </w:r>
      <w:r>
        <w:rPr>
          <w:spacing w:val="-3"/>
          <w:w w:val="105"/>
          <w:sz w:val="21"/>
        </w:rPr>
        <w:t>applicant to </w:t>
      </w:r>
      <w:r>
        <w:rPr>
          <w:w w:val="105"/>
          <w:sz w:val="21"/>
        </w:rPr>
        <w:t>provide an application and </w:t>
      </w:r>
      <w:r>
        <w:rPr>
          <w:spacing w:val="-3"/>
          <w:w w:val="105"/>
          <w:sz w:val="21"/>
        </w:rPr>
        <w:t>any </w:t>
      </w:r>
      <w:r>
        <w:rPr>
          <w:w w:val="105"/>
          <w:sz w:val="21"/>
        </w:rPr>
        <w:t>orders </w:t>
      </w:r>
      <w:r>
        <w:rPr>
          <w:spacing w:val="-3"/>
          <w:w w:val="105"/>
          <w:sz w:val="21"/>
        </w:rPr>
        <w:t>sought </w:t>
      </w:r>
      <w:r>
        <w:rPr>
          <w:w w:val="105"/>
          <w:sz w:val="21"/>
        </w:rPr>
        <w:t>at least </w:t>
      </w:r>
      <w:r>
        <w:rPr>
          <w:spacing w:val="-7"/>
          <w:w w:val="105"/>
          <w:sz w:val="21"/>
        </w:rPr>
        <w:t>21 </w:t>
      </w:r>
      <w:r>
        <w:rPr>
          <w:w w:val="105"/>
          <w:sz w:val="21"/>
        </w:rPr>
        <w:t>days </w:t>
      </w:r>
      <w:r>
        <w:rPr>
          <w:spacing w:val="-3"/>
          <w:w w:val="105"/>
          <w:sz w:val="21"/>
        </w:rPr>
        <w:t>before </w:t>
      </w:r>
      <w:r>
        <w:rPr>
          <w:w w:val="105"/>
          <w:sz w:val="21"/>
        </w:rPr>
        <w:t>the </w:t>
      </w:r>
      <w:r>
        <w:rPr>
          <w:spacing w:val="-3"/>
          <w:w w:val="105"/>
          <w:sz w:val="21"/>
        </w:rPr>
        <w:t>date </w:t>
      </w:r>
      <w:r>
        <w:rPr>
          <w:w w:val="105"/>
          <w:sz w:val="21"/>
        </w:rPr>
        <w:t>of the first </w:t>
      </w:r>
      <w:r>
        <w:rPr>
          <w:spacing w:val="-3"/>
          <w:w w:val="105"/>
          <w:sz w:val="21"/>
        </w:rPr>
        <w:t>hearing</w:t>
      </w:r>
      <w:r>
        <w:rPr>
          <w:spacing w:val="8"/>
          <w:w w:val="105"/>
          <w:sz w:val="21"/>
        </w:rPr>
        <w:t> </w:t>
      </w:r>
      <w:r>
        <w:rPr>
          <w:w w:val="105"/>
          <w:sz w:val="21"/>
        </w:rPr>
        <w:t>to:</w:t>
      </w:r>
    </w:p>
    <w:p>
      <w:pPr>
        <w:pStyle w:val="ListParagraph"/>
        <w:numPr>
          <w:ilvl w:val="1"/>
          <w:numId w:val="79"/>
        </w:numPr>
        <w:tabs>
          <w:tab w:pos="2721" w:val="left" w:leader="none"/>
          <w:tab w:pos="2722" w:val="left" w:leader="none"/>
        </w:tabs>
        <w:spacing w:line="240" w:lineRule="auto" w:before="122" w:after="0"/>
        <w:ind w:left="2721" w:right="0" w:hanging="340"/>
        <w:jc w:val="left"/>
        <w:rPr>
          <w:sz w:val="21"/>
        </w:rPr>
      </w:pPr>
      <w:r>
        <w:rPr>
          <w:sz w:val="21"/>
        </w:rPr>
        <w:t>the tree</w:t>
      </w:r>
      <w:r>
        <w:rPr>
          <w:spacing w:val="16"/>
          <w:sz w:val="21"/>
        </w:rPr>
        <w:t> </w:t>
      </w:r>
      <w:r>
        <w:rPr>
          <w:sz w:val="21"/>
        </w:rPr>
        <w:t>owner</w:t>
      </w:r>
    </w:p>
    <w:p>
      <w:pPr>
        <w:pStyle w:val="ListParagraph"/>
        <w:numPr>
          <w:ilvl w:val="1"/>
          <w:numId w:val="79"/>
        </w:numPr>
        <w:tabs>
          <w:tab w:pos="2721" w:val="left" w:leader="none"/>
          <w:tab w:pos="2722" w:val="left" w:leader="none"/>
        </w:tabs>
        <w:spacing w:line="242" w:lineRule="auto" w:before="89" w:after="0"/>
        <w:ind w:left="2721" w:right="1835" w:hanging="340"/>
        <w:jc w:val="left"/>
        <w:rPr>
          <w:sz w:val="21"/>
        </w:rPr>
      </w:pPr>
      <w:r>
        <w:rPr>
          <w:spacing w:val="-3"/>
          <w:sz w:val="21"/>
        </w:rPr>
        <w:t>any relevant </w:t>
      </w:r>
      <w:r>
        <w:rPr>
          <w:sz w:val="21"/>
        </w:rPr>
        <w:t>authority </w:t>
      </w:r>
      <w:r>
        <w:rPr>
          <w:spacing w:val="-3"/>
          <w:sz w:val="21"/>
        </w:rPr>
        <w:t>that </w:t>
      </w:r>
      <w:r>
        <w:rPr>
          <w:sz w:val="21"/>
        </w:rPr>
        <w:t>would be entitled </w:t>
      </w:r>
      <w:r>
        <w:rPr>
          <w:spacing w:val="-3"/>
          <w:sz w:val="21"/>
        </w:rPr>
        <w:t>to </w:t>
      </w:r>
      <w:r>
        <w:rPr>
          <w:sz w:val="21"/>
        </w:rPr>
        <w:t>appear in </w:t>
      </w:r>
      <w:r>
        <w:rPr>
          <w:spacing w:val="-3"/>
          <w:sz w:val="21"/>
        </w:rPr>
        <w:t>proceedings </w:t>
      </w:r>
      <w:r>
        <w:rPr>
          <w:sz w:val="21"/>
        </w:rPr>
        <w:t>in </w:t>
      </w:r>
      <w:r>
        <w:rPr>
          <w:spacing w:val="-3"/>
          <w:sz w:val="21"/>
        </w:rPr>
        <w:t>relation to </w:t>
      </w:r>
      <w:r>
        <w:rPr>
          <w:sz w:val="21"/>
        </w:rPr>
        <w:t>the tree </w:t>
      </w:r>
      <w:r>
        <w:rPr>
          <w:spacing w:val="-3"/>
          <w:sz w:val="21"/>
        </w:rPr>
        <w:t>(council </w:t>
      </w:r>
      <w:r>
        <w:rPr>
          <w:sz w:val="21"/>
        </w:rPr>
        <w:t>or heritage</w:t>
      </w:r>
      <w:r>
        <w:rPr>
          <w:spacing w:val="45"/>
          <w:sz w:val="21"/>
        </w:rPr>
        <w:t> </w:t>
      </w:r>
      <w:r>
        <w:rPr>
          <w:sz w:val="21"/>
        </w:rPr>
        <w:t>officers)</w:t>
      </w:r>
    </w:p>
    <w:p>
      <w:pPr>
        <w:pStyle w:val="ListParagraph"/>
        <w:numPr>
          <w:ilvl w:val="1"/>
          <w:numId w:val="79"/>
        </w:numPr>
        <w:tabs>
          <w:tab w:pos="2721" w:val="left" w:leader="none"/>
          <w:tab w:pos="2722" w:val="left" w:leader="none"/>
        </w:tabs>
        <w:spacing w:line="242" w:lineRule="auto" w:before="87" w:after="0"/>
        <w:ind w:left="2721" w:right="1676" w:hanging="340"/>
        <w:jc w:val="left"/>
        <w:rPr>
          <w:sz w:val="12"/>
        </w:rPr>
      </w:pPr>
      <w:r>
        <w:rPr>
          <w:spacing w:val="-3"/>
          <w:w w:val="105"/>
          <w:sz w:val="21"/>
        </w:rPr>
        <w:t>any </w:t>
      </w:r>
      <w:r>
        <w:rPr>
          <w:w w:val="105"/>
          <w:sz w:val="21"/>
        </w:rPr>
        <w:t>other person </w:t>
      </w:r>
      <w:r>
        <w:rPr>
          <w:spacing w:val="-3"/>
          <w:w w:val="105"/>
          <w:sz w:val="21"/>
        </w:rPr>
        <w:t>that </w:t>
      </w:r>
      <w:r>
        <w:rPr>
          <w:w w:val="105"/>
          <w:sz w:val="21"/>
        </w:rPr>
        <w:t>the </w:t>
      </w:r>
      <w:r>
        <w:rPr>
          <w:spacing w:val="-3"/>
          <w:w w:val="105"/>
          <w:sz w:val="21"/>
        </w:rPr>
        <w:t>applicant </w:t>
      </w:r>
      <w:r>
        <w:rPr>
          <w:spacing w:val="-2"/>
          <w:w w:val="105"/>
          <w:sz w:val="21"/>
        </w:rPr>
        <w:t>has </w:t>
      </w:r>
      <w:r>
        <w:rPr>
          <w:w w:val="105"/>
          <w:sz w:val="21"/>
        </w:rPr>
        <w:t>reason </w:t>
      </w:r>
      <w:r>
        <w:rPr>
          <w:spacing w:val="-3"/>
          <w:w w:val="105"/>
          <w:sz w:val="21"/>
        </w:rPr>
        <w:t>to </w:t>
      </w:r>
      <w:r>
        <w:rPr>
          <w:w w:val="105"/>
          <w:sz w:val="21"/>
        </w:rPr>
        <w:t>believe </w:t>
      </w:r>
      <w:r>
        <w:rPr>
          <w:spacing w:val="-3"/>
          <w:w w:val="105"/>
          <w:sz w:val="21"/>
        </w:rPr>
        <w:t>will </w:t>
      </w:r>
      <w:r>
        <w:rPr>
          <w:w w:val="105"/>
          <w:sz w:val="21"/>
        </w:rPr>
        <w:t>be affected by the order</w:t>
      </w:r>
      <w:r>
        <w:rPr>
          <w:spacing w:val="-5"/>
          <w:w w:val="105"/>
          <w:sz w:val="21"/>
        </w:rPr>
        <w:t> </w:t>
      </w:r>
      <w:r>
        <w:rPr>
          <w:w w:val="105"/>
          <w:sz w:val="21"/>
        </w:rPr>
        <w:t>(this</w:t>
      </w:r>
      <w:r>
        <w:rPr>
          <w:spacing w:val="-4"/>
          <w:w w:val="105"/>
          <w:sz w:val="21"/>
        </w:rPr>
        <w:t> </w:t>
      </w:r>
      <w:r>
        <w:rPr>
          <w:spacing w:val="-3"/>
          <w:w w:val="105"/>
          <w:sz w:val="21"/>
        </w:rPr>
        <w:t>may</w:t>
      </w:r>
      <w:r>
        <w:rPr>
          <w:spacing w:val="-5"/>
          <w:w w:val="105"/>
          <w:sz w:val="21"/>
        </w:rPr>
        <w:t> </w:t>
      </w:r>
      <w:r>
        <w:rPr>
          <w:spacing w:val="-3"/>
          <w:w w:val="105"/>
          <w:sz w:val="21"/>
        </w:rPr>
        <w:t>include</w:t>
      </w:r>
      <w:r>
        <w:rPr>
          <w:spacing w:val="-4"/>
          <w:w w:val="105"/>
          <w:sz w:val="21"/>
        </w:rPr>
        <w:t> </w:t>
      </w:r>
      <w:r>
        <w:rPr>
          <w:w w:val="105"/>
          <w:sz w:val="21"/>
        </w:rPr>
        <w:t>a</w:t>
      </w:r>
      <w:r>
        <w:rPr>
          <w:spacing w:val="-5"/>
          <w:w w:val="105"/>
          <w:sz w:val="21"/>
        </w:rPr>
        <w:t> </w:t>
      </w:r>
      <w:r>
        <w:rPr>
          <w:w w:val="105"/>
          <w:sz w:val="21"/>
        </w:rPr>
        <w:t>person</w:t>
      </w:r>
      <w:r>
        <w:rPr>
          <w:spacing w:val="-5"/>
          <w:w w:val="105"/>
          <w:sz w:val="21"/>
        </w:rPr>
        <w:t> </w:t>
      </w:r>
      <w:r>
        <w:rPr>
          <w:w w:val="105"/>
          <w:sz w:val="21"/>
        </w:rPr>
        <w:t>other</w:t>
      </w:r>
      <w:r>
        <w:rPr>
          <w:spacing w:val="-4"/>
          <w:w w:val="105"/>
          <w:sz w:val="21"/>
        </w:rPr>
        <w:t> </w:t>
      </w:r>
      <w:r>
        <w:rPr>
          <w:spacing w:val="-3"/>
          <w:w w:val="105"/>
          <w:sz w:val="21"/>
        </w:rPr>
        <w:t>than</w:t>
      </w:r>
      <w:r>
        <w:rPr>
          <w:spacing w:val="-5"/>
          <w:w w:val="105"/>
          <w:sz w:val="21"/>
        </w:rPr>
        <w:t> </w:t>
      </w:r>
      <w:r>
        <w:rPr>
          <w:w w:val="105"/>
          <w:sz w:val="21"/>
        </w:rPr>
        <w:t>the</w:t>
      </w:r>
      <w:r>
        <w:rPr>
          <w:spacing w:val="-4"/>
          <w:w w:val="105"/>
          <w:sz w:val="21"/>
        </w:rPr>
        <w:t> </w:t>
      </w:r>
      <w:r>
        <w:rPr>
          <w:w w:val="105"/>
          <w:sz w:val="21"/>
        </w:rPr>
        <w:t>tree</w:t>
      </w:r>
      <w:r>
        <w:rPr>
          <w:spacing w:val="-5"/>
          <w:w w:val="105"/>
          <w:sz w:val="21"/>
        </w:rPr>
        <w:t> </w:t>
      </w:r>
      <w:r>
        <w:rPr>
          <w:w w:val="105"/>
          <w:sz w:val="21"/>
        </w:rPr>
        <w:t>owner</w:t>
      </w:r>
      <w:r>
        <w:rPr>
          <w:spacing w:val="-4"/>
          <w:w w:val="105"/>
          <w:sz w:val="21"/>
        </w:rPr>
        <w:t> </w:t>
      </w:r>
      <w:r>
        <w:rPr>
          <w:w w:val="105"/>
          <w:sz w:val="21"/>
        </w:rPr>
        <w:t>who</w:t>
      </w:r>
      <w:r>
        <w:rPr>
          <w:spacing w:val="-5"/>
          <w:w w:val="105"/>
          <w:sz w:val="21"/>
        </w:rPr>
        <w:t> </w:t>
      </w:r>
      <w:r>
        <w:rPr>
          <w:spacing w:val="-3"/>
          <w:w w:val="105"/>
          <w:sz w:val="21"/>
        </w:rPr>
        <w:t>might</w:t>
      </w:r>
      <w:r>
        <w:rPr>
          <w:spacing w:val="-4"/>
          <w:w w:val="105"/>
          <w:sz w:val="21"/>
        </w:rPr>
        <w:t> </w:t>
      </w:r>
      <w:r>
        <w:rPr>
          <w:w w:val="105"/>
          <w:sz w:val="21"/>
        </w:rPr>
        <w:t>be</w:t>
      </w:r>
      <w:r>
        <w:rPr>
          <w:spacing w:val="-5"/>
          <w:w w:val="105"/>
          <w:sz w:val="21"/>
        </w:rPr>
        <w:t> </w:t>
      </w:r>
      <w:r>
        <w:rPr>
          <w:spacing w:val="-3"/>
          <w:w w:val="105"/>
          <w:sz w:val="21"/>
        </w:rPr>
        <w:t>liable</w:t>
      </w:r>
      <w:r>
        <w:rPr>
          <w:spacing w:val="-4"/>
          <w:w w:val="105"/>
          <w:sz w:val="21"/>
        </w:rPr>
        <w:t> </w:t>
      </w:r>
      <w:r>
        <w:rPr>
          <w:spacing w:val="-3"/>
          <w:w w:val="105"/>
          <w:sz w:val="21"/>
        </w:rPr>
        <w:t>to</w:t>
      </w:r>
      <w:r>
        <w:rPr>
          <w:spacing w:val="-5"/>
          <w:w w:val="105"/>
          <w:sz w:val="21"/>
        </w:rPr>
        <w:t> </w:t>
      </w:r>
      <w:r>
        <w:rPr>
          <w:w w:val="105"/>
          <w:sz w:val="21"/>
        </w:rPr>
        <w:t>be ordered </w:t>
      </w:r>
      <w:r>
        <w:rPr>
          <w:spacing w:val="-3"/>
          <w:w w:val="105"/>
          <w:sz w:val="21"/>
        </w:rPr>
        <w:t>to </w:t>
      </w:r>
      <w:r>
        <w:rPr>
          <w:spacing w:val="-2"/>
          <w:w w:val="105"/>
          <w:sz w:val="21"/>
        </w:rPr>
        <w:t>pay </w:t>
      </w:r>
      <w:r>
        <w:rPr>
          <w:w w:val="105"/>
          <w:sz w:val="21"/>
        </w:rPr>
        <w:t>compensation or undertake </w:t>
      </w:r>
      <w:r>
        <w:rPr>
          <w:spacing w:val="-3"/>
          <w:w w:val="105"/>
          <w:sz w:val="21"/>
        </w:rPr>
        <w:t>remedial</w:t>
      </w:r>
      <w:r>
        <w:rPr>
          <w:spacing w:val="22"/>
          <w:w w:val="105"/>
          <w:sz w:val="21"/>
        </w:rPr>
        <w:t> </w:t>
      </w:r>
      <w:r>
        <w:rPr>
          <w:w w:val="105"/>
          <w:sz w:val="21"/>
        </w:rPr>
        <w:t>work).</w:t>
      </w:r>
      <w:r>
        <w:rPr>
          <w:w w:val="105"/>
          <w:position w:val="7"/>
          <w:sz w:val="12"/>
        </w:rPr>
        <w:t>375</w:t>
      </w:r>
    </w:p>
    <w:p>
      <w:pPr>
        <w:pStyle w:val="ListParagraph"/>
        <w:numPr>
          <w:ilvl w:val="0"/>
          <w:numId w:val="79"/>
        </w:numPr>
        <w:tabs>
          <w:tab w:pos="2380" w:val="left" w:leader="none"/>
          <w:tab w:pos="2381" w:val="left" w:leader="none"/>
        </w:tabs>
        <w:spacing w:line="242" w:lineRule="auto" w:before="89" w:after="0"/>
        <w:ind w:left="2381" w:right="1613" w:hanging="794"/>
        <w:jc w:val="left"/>
        <w:rPr>
          <w:sz w:val="12"/>
        </w:rPr>
      </w:pPr>
      <w:r>
        <w:rPr>
          <w:sz w:val="21"/>
        </w:rPr>
        <w:t>The NSWLEC </w:t>
      </w:r>
      <w:r>
        <w:rPr>
          <w:spacing w:val="-3"/>
          <w:sz w:val="21"/>
        </w:rPr>
        <w:t>may </w:t>
      </w:r>
      <w:r>
        <w:rPr>
          <w:sz w:val="21"/>
        </w:rPr>
        <w:t>waive the </w:t>
      </w:r>
      <w:r>
        <w:rPr>
          <w:spacing w:val="-3"/>
          <w:sz w:val="21"/>
        </w:rPr>
        <w:t>notice requirements </w:t>
      </w:r>
      <w:r>
        <w:rPr>
          <w:sz w:val="21"/>
        </w:rPr>
        <w:t>if it thinks it </w:t>
      </w:r>
      <w:r>
        <w:rPr>
          <w:spacing w:val="-3"/>
          <w:sz w:val="21"/>
        </w:rPr>
        <w:t>appropriate to  </w:t>
      </w:r>
      <w:r>
        <w:rPr>
          <w:sz w:val="21"/>
        </w:rPr>
        <w:t>do so.</w:t>
      </w:r>
      <w:r>
        <w:rPr>
          <w:position w:val="7"/>
          <w:sz w:val="12"/>
        </w:rPr>
        <w:t>376</w:t>
      </w:r>
      <w:r>
        <w:rPr>
          <w:spacing w:val="27"/>
          <w:position w:val="7"/>
          <w:sz w:val="12"/>
        </w:rPr>
        <w:t> </w:t>
      </w:r>
      <w:r>
        <w:rPr>
          <w:sz w:val="21"/>
        </w:rPr>
        <w:t>This  </w:t>
      </w:r>
      <w:r>
        <w:rPr>
          <w:spacing w:val="-2"/>
          <w:sz w:val="21"/>
        </w:rPr>
        <w:t>has</w:t>
      </w:r>
      <w:r>
        <w:rPr>
          <w:spacing w:val="13"/>
          <w:sz w:val="21"/>
        </w:rPr>
        <w:t> </w:t>
      </w:r>
      <w:r>
        <w:rPr>
          <w:spacing w:val="-3"/>
          <w:sz w:val="21"/>
        </w:rPr>
        <w:t>occurred</w:t>
      </w:r>
      <w:r>
        <w:rPr>
          <w:spacing w:val="14"/>
          <w:sz w:val="21"/>
        </w:rPr>
        <w:t> </w:t>
      </w:r>
      <w:r>
        <w:rPr>
          <w:sz w:val="21"/>
        </w:rPr>
        <w:t>in</w:t>
      </w:r>
      <w:r>
        <w:rPr>
          <w:spacing w:val="14"/>
          <w:sz w:val="21"/>
        </w:rPr>
        <w:t> </w:t>
      </w:r>
      <w:r>
        <w:rPr>
          <w:sz w:val="21"/>
        </w:rPr>
        <w:t>a</w:t>
      </w:r>
      <w:r>
        <w:rPr>
          <w:spacing w:val="13"/>
          <w:sz w:val="21"/>
        </w:rPr>
        <w:t> </w:t>
      </w:r>
      <w:r>
        <w:rPr>
          <w:sz w:val="21"/>
        </w:rPr>
        <w:t>number</w:t>
      </w:r>
      <w:r>
        <w:rPr>
          <w:spacing w:val="14"/>
          <w:sz w:val="21"/>
        </w:rPr>
        <w:t> </w:t>
      </w:r>
      <w:r>
        <w:rPr>
          <w:sz w:val="21"/>
        </w:rPr>
        <w:t>of</w:t>
      </w:r>
      <w:r>
        <w:rPr>
          <w:spacing w:val="14"/>
          <w:sz w:val="21"/>
        </w:rPr>
        <w:t> </w:t>
      </w:r>
      <w:r>
        <w:rPr>
          <w:sz w:val="21"/>
        </w:rPr>
        <w:t>cases</w:t>
      </w:r>
      <w:r>
        <w:rPr>
          <w:spacing w:val="13"/>
          <w:sz w:val="21"/>
        </w:rPr>
        <w:t> </w:t>
      </w:r>
      <w:r>
        <w:rPr>
          <w:sz w:val="21"/>
        </w:rPr>
        <w:t>because</w:t>
      </w:r>
      <w:r>
        <w:rPr>
          <w:spacing w:val="14"/>
          <w:sz w:val="21"/>
        </w:rPr>
        <w:t> </w:t>
      </w:r>
      <w:r>
        <w:rPr>
          <w:sz w:val="21"/>
        </w:rPr>
        <w:t>of</w:t>
      </w:r>
      <w:r>
        <w:rPr>
          <w:spacing w:val="14"/>
          <w:sz w:val="21"/>
        </w:rPr>
        <w:t> </w:t>
      </w:r>
      <w:r>
        <w:rPr>
          <w:sz w:val="21"/>
        </w:rPr>
        <w:t>the</w:t>
      </w:r>
      <w:r>
        <w:rPr>
          <w:spacing w:val="13"/>
          <w:sz w:val="21"/>
        </w:rPr>
        <w:t> </w:t>
      </w:r>
      <w:r>
        <w:rPr>
          <w:sz w:val="21"/>
        </w:rPr>
        <w:t>risk</w:t>
      </w:r>
      <w:r>
        <w:rPr>
          <w:spacing w:val="14"/>
          <w:sz w:val="21"/>
        </w:rPr>
        <w:t> </w:t>
      </w:r>
      <w:r>
        <w:rPr>
          <w:sz w:val="21"/>
        </w:rPr>
        <w:t>of</w:t>
      </w:r>
      <w:r>
        <w:rPr>
          <w:spacing w:val="14"/>
          <w:sz w:val="21"/>
        </w:rPr>
        <w:t> </w:t>
      </w:r>
      <w:r>
        <w:rPr>
          <w:sz w:val="21"/>
        </w:rPr>
        <w:t>injury</w:t>
      </w:r>
      <w:r>
        <w:rPr>
          <w:spacing w:val="13"/>
          <w:sz w:val="21"/>
        </w:rPr>
        <w:t> </w:t>
      </w:r>
      <w:r>
        <w:rPr>
          <w:sz w:val="21"/>
        </w:rPr>
        <w:t>if</w:t>
      </w:r>
      <w:r>
        <w:rPr>
          <w:spacing w:val="14"/>
          <w:sz w:val="21"/>
        </w:rPr>
        <w:t> </w:t>
      </w:r>
      <w:r>
        <w:rPr>
          <w:sz w:val="21"/>
        </w:rPr>
        <w:t>a</w:t>
      </w:r>
      <w:r>
        <w:rPr>
          <w:spacing w:val="14"/>
          <w:sz w:val="21"/>
        </w:rPr>
        <w:t> </w:t>
      </w:r>
      <w:r>
        <w:rPr>
          <w:sz w:val="21"/>
        </w:rPr>
        <w:t>tree</w:t>
      </w:r>
      <w:r>
        <w:rPr>
          <w:spacing w:val="13"/>
          <w:sz w:val="21"/>
        </w:rPr>
        <w:t> </w:t>
      </w:r>
      <w:r>
        <w:rPr>
          <w:spacing w:val="-3"/>
          <w:sz w:val="21"/>
        </w:rPr>
        <w:t>were</w:t>
      </w:r>
      <w:r>
        <w:rPr>
          <w:spacing w:val="14"/>
          <w:sz w:val="21"/>
        </w:rPr>
        <w:t> </w:t>
      </w:r>
      <w:r>
        <w:rPr>
          <w:spacing w:val="-3"/>
          <w:sz w:val="21"/>
        </w:rPr>
        <w:t>to</w:t>
      </w:r>
      <w:r>
        <w:rPr>
          <w:spacing w:val="14"/>
          <w:sz w:val="21"/>
        </w:rPr>
        <w:t> </w:t>
      </w:r>
      <w:r>
        <w:rPr>
          <w:spacing w:val="-3"/>
          <w:sz w:val="21"/>
        </w:rPr>
        <w:t>fall.</w:t>
      </w:r>
      <w:r>
        <w:rPr>
          <w:spacing w:val="-3"/>
          <w:position w:val="7"/>
          <w:sz w:val="12"/>
        </w:rPr>
        <w:t>377</w:t>
      </w:r>
    </w:p>
    <w:p>
      <w:pPr>
        <w:pStyle w:val="ListParagraph"/>
        <w:numPr>
          <w:ilvl w:val="0"/>
          <w:numId w:val="79"/>
        </w:numPr>
        <w:tabs>
          <w:tab w:pos="2381" w:val="left" w:leader="none"/>
          <w:tab w:pos="2382" w:val="left" w:leader="none"/>
        </w:tabs>
        <w:spacing w:line="242" w:lineRule="auto" w:before="122" w:after="0"/>
        <w:ind w:left="2381" w:right="1666" w:hanging="794"/>
        <w:jc w:val="left"/>
        <w:rPr>
          <w:sz w:val="12"/>
        </w:rPr>
      </w:pPr>
      <w:r>
        <w:rPr>
          <w:spacing w:val="-3"/>
          <w:w w:val="105"/>
          <w:sz w:val="21"/>
        </w:rPr>
        <w:t>Queensland </w:t>
      </w:r>
      <w:r>
        <w:rPr>
          <w:w w:val="105"/>
          <w:sz w:val="21"/>
        </w:rPr>
        <w:t>mirrors the approach </w:t>
      </w:r>
      <w:r>
        <w:rPr>
          <w:spacing w:val="-3"/>
          <w:w w:val="105"/>
          <w:sz w:val="21"/>
        </w:rPr>
        <w:t>taken </w:t>
      </w:r>
      <w:r>
        <w:rPr>
          <w:w w:val="105"/>
          <w:sz w:val="21"/>
        </w:rPr>
        <w:t>in New South </w:t>
      </w:r>
      <w:r>
        <w:rPr>
          <w:spacing w:val="-3"/>
          <w:w w:val="105"/>
          <w:sz w:val="21"/>
        </w:rPr>
        <w:t>Wales </w:t>
      </w:r>
      <w:r>
        <w:rPr>
          <w:w w:val="105"/>
          <w:sz w:val="21"/>
        </w:rPr>
        <w:t>by </w:t>
      </w:r>
      <w:r>
        <w:rPr>
          <w:spacing w:val="-3"/>
          <w:w w:val="105"/>
          <w:sz w:val="21"/>
        </w:rPr>
        <w:t>requiring </w:t>
      </w:r>
      <w:r>
        <w:rPr>
          <w:w w:val="105"/>
          <w:sz w:val="21"/>
        </w:rPr>
        <w:t>the </w:t>
      </w:r>
      <w:r>
        <w:rPr>
          <w:spacing w:val="-3"/>
          <w:w w:val="105"/>
          <w:sz w:val="21"/>
        </w:rPr>
        <w:t>applicant to </w:t>
      </w:r>
      <w:r>
        <w:rPr>
          <w:w w:val="105"/>
          <w:sz w:val="21"/>
        </w:rPr>
        <w:t>give copies of the application </w:t>
      </w:r>
      <w:r>
        <w:rPr>
          <w:spacing w:val="-3"/>
          <w:w w:val="105"/>
          <w:sz w:val="21"/>
        </w:rPr>
        <w:t>to </w:t>
      </w:r>
      <w:r>
        <w:rPr>
          <w:w w:val="105"/>
          <w:sz w:val="21"/>
        </w:rPr>
        <w:t>the </w:t>
      </w:r>
      <w:r>
        <w:rPr>
          <w:spacing w:val="-3"/>
          <w:w w:val="105"/>
          <w:sz w:val="21"/>
        </w:rPr>
        <w:t>tree-keeper, </w:t>
      </w:r>
      <w:r>
        <w:rPr>
          <w:w w:val="105"/>
          <w:sz w:val="21"/>
        </w:rPr>
        <w:t>the </w:t>
      </w:r>
      <w:r>
        <w:rPr>
          <w:spacing w:val="-3"/>
          <w:w w:val="105"/>
          <w:sz w:val="21"/>
        </w:rPr>
        <w:t>relevant government </w:t>
      </w:r>
      <w:r>
        <w:rPr>
          <w:w w:val="105"/>
          <w:sz w:val="21"/>
        </w:rPr>
        <w:t>authority and </w:t>
      </w:r>
      <w:r>
        <w:rPr>
          <w:spacing w:val="-3"/>
          <w:w w:val="105"/>
          <w:sz w:val="21"/>
        </w:rPr>
        <w:t>any </w:t>
      </w:r>
      <w:r>
        <w:rPr>
          <w:w w:val="105"/>
          <w:sz w:val="21"/>
        </w:rPr>
        <w:t>other person.</w:t>
      </w:r>
      <w:r>
        <w:rPr>
          <w:w w:val="105"/>
          <w:position w:val="7"/>
          <w:sz w:val="12"/>
        </w:rPr>
        <w:t>378 </w:t>
      </w:r>
      <w:r>
        <w:rPr>
          <w:w w:val="105"/>
          <w:sz w:val="21"/>
        </w:rPr>
        <w:t>This </w:t>
      </w:r>
      <w:r>
        <w:rPr>
          <w:spacing w:val="-3"/>
          <w:w w:val="105"/>
          <w:sz w:val="21"/>
        </w:rPr>
        <w:t>requirement may </w:t>
      </w:r>
      <w:r>
        <w:rPr>
          <w:w w:val="105"/>
          <w:sz w:val="21"/>
        </w:rPr>
        <w:t>be waived or varied if </w:t>
      </w:r>
      <w:r>
        <w:rPr>
          <w:spacing w:val="-4"/>
          <w:w w:val="105"/>
          <w:sz w:val="21"/>
        </w:rPr>
        <w:t>QCAT </w:t>
      </w:r>
      <w:r>
        <w:rPr>
          <w:w w:val="105"/>
          <w:sz w:val="21"/>
        </w:rPr>
        <w:t>considers it </w:t>
      </w:r>
      <w:r>
        <w:rPr>
          <w:spacing w:val="-3"/>
          <w:w w:val="105"/>
          <w:sz w:val="21"/>
        </w:rPr>
        <w:t>appropriate</w:t>
      </w:r>
      <w:r>
        <w:rPr>
          <w:spacing w:val="-7"/>
          <w:w w:val="105"/>
          <w:sz w:val="21"/>
        </w:rPr>
        <w:t> </w:t>
      </w:r>
      <w:r>
        <w:rPr>
          <w:spacing w:val="-3"/>
          <w:w w:val="105"/>
          <w:sz w:val="21"/>
        </w:rPr>
        <w:t>to</w:t>
      </w:r>
      <w:r>
        <w:rPr>
          <w:spacing w:val="-7"/>
          <w:w w:val="105"/>
          <w:sz w:val="21"/>
        </w:rPr>
        <w:t> </w:t>
      </w:r>
      <w:r>
        <w:rPr>
          <w:w w:val="105"/>
          <w:sz w:val="21"/>
        </w:rPr>
        <w:t>do</w:t>
      </w:r>
      <w:r>
        <w:rPr>
          <w:spacing w:val="-7"/>
          <w:w w:val="105"/>
          <w:sz w:val="21"/>
        </w:rPr>
        <w:t> </w:t>
      </w:r>
      <w:r>
        <w:rPr>
          <w:spacing w:val="-3"/>
          <w:w w:val="105"/>
          <w:sz w:val="21"/>
        </w:rPr>
        <w:t>so,</w:t>
      </w:r>
      <w:r>
        <w:rPr>
          <w:spacing w:val="-7"/>
          <w:w w:val="105"/>
          <w:sz w:val="21"/>
        </w:rPr>
        <w:t> </w:t>
      </w:r>
      <w:r>
        <w:rPr>
          <w:spacing w:val="-3"/>
          <w:w w:val="105"/>
          <w:sz w:val="21"/>
        </w:rPr>
        <w:t>for</w:t>
      </w:r>
      <w:r>
        <w:rPr>
          <w:spacing w:val="-7"/>
          <w:w w:val="105"/>
          <w:sz w:val="21"/>
        </w:rPr>
        <w:t> </w:t>
      </w:r>
      <w:r>
        <w:rPr>
          <w:w w:val="105"/>
          <w:sz w:val="21"/>
        </w:rPr>
        <w:t>example</w:t>
      </w:r>
      <w:r>
        <w:rPr>
          <w:spacing w:val="-7"/>
          <w:w w:val="105"/>
          <w:sz w:val="21"/>
        </w:rPr>
        <w:t> </w:t>
      </w:r>
      <w:r>
        <w:rPr>
          <w:w w:val="105"/>
          <w:sz w:val="21"/>
        </w:rPr>
        <w:t>if</w:t>
      </w:r>
      <w:r>
        <w:rPr>
          <w:spacing w:val="-7"/>
          <w:w w:val="105"/>
          <w:sz w:val="21"/>
        </w:rPr>
        <w:t> </w:t>
      </w:r>
      <w:r>
        <w:rPr>
          <w:w w:val="105"/>
          <w:sz w:val="21"/>
        </w:rPr>
        <w:t>the</w:t>
      </w:r>
      <w:r>
        <w:rPr>
          <w:spacing w:val="-7"/>
          <w:w w:val="105"/>
          <w:sz w:val="21"/>
        </w:rPr>
        <w:t> </w:t>
      </w:r>
      <w:r>
        <w:rPr>
          <w:w w:val="105"/>
          <w:sz w:val="21"/>
        </w:rPr>
        <w:t>tree</w:t>
      </w:r>
      <w:r>
        <w:rPr>
          <w:spacing w:val="-7"/>
          <w:w w:val="105"/>
          <w:sz w:val="21"/>
        </w:rPr>
        <w:t> </w:t>
      </w:r>
      <w:r>
        <w:rPr>
          <w:w w:val="105"/>
          <w:sz w:val="21"/>
        </w:rPr>
        <w:t>poses</w:t>
      </w:r>
      <w:r>
        <w:rPr>
          <w:spacing w:val="-7"/>
          <w:w w:val="105"/>
          <w:sz w:val="21"/>
        </w:rPr>
        <w:t> </w:t>
      </w:r>
      <w:r>
        <w:rPr>
          <w:w w:val="105"/>
          <w:sz w:val="21"/>
        </w:rPr>
        <w:t>an</w:t>
      </w:r>
      <w:r>
        <w:rPr>
          <w:spacing w:val="-6"/>
          <w:w w:val="105"/>
          <w:sz w:val="21"/>
        </w:rPr>
        <w:t> </w:t>
      </w:r>
      <w:r>
        <w:rPr>
          <w:spacing w:val="-3"/>
          <w:w w:val="105"/>
          <w:sz w:val="21"/>
        </w:rPr>
        <w:t>imminent</w:t>
      </w:r>
      <w:r>
        <w:rPr>
          <w:spacing w:val="-7"/>
          <w:w w:val="105"/>
          <w:sz w:val="21"/>
        </w:rPr>
        <w:t> </w:t>
      </w:r>
      <w:r>
        <w:rPr>
          <w:spacing w:val="-3"/>
          <w:w w:val="105"/>
          <w:sz w:val="21"/>
        </w:rPr>
        <w:t>threat</w:t>
      </w:r>
      <w:r>
        <w:rPr>
          <w:spacing w:val="-7"/>
          <w:w w:val="105"/>
          <w:sz w:val="21"/>
        </w:rPr>
        <w:t> </w:t>
      </w:r>
      <w:r>
        <w:rPr>
          <w:w w:val="105"/>
          <w:sz w:val="21"/>
        </w:rPr>
        <w:t>of</w:t>
      </w:r>
      <w:r>
        <w:rPr>
          <w:spacing w:val="-7"/>
          <w:w w:val="105"/>
          <w:sz w:val="21"/>
        </w:rPr>
        <w:t> </w:t>
      </w:r>
      <w:r>
        <w:rPr>
          <w:w w:val="105"/>
          <w:sz w:val="21"/>
        </w:rPr>
        <w:t>serious</w:t>
      </w:r>
      <w:r>
        <w:rPr>
          <w:spacing w:val="-7"/>
          <w:w w:val="105"/>
          <w:sz w:val="21"/>
        </w:rPr>
        <w:t> </w:t>
      </w:r>
      <w:r>
        <w:rPr>
          <w:w w:val="105"/>
          <w:sz w:val="21"/>
        </w:rPr>
        <w:t>injury</w:t>
      </w:r>
      <w:r>
        <w:rPr>
          <w:spacing w:val="-7"/>
          <w:w w:val="105"/>
          <w:sz w:val="21"/>
        </w:rPr>
        <w:t> </w:t>
      </w:r>
      <w:r>
        <w:rPr>
          <w:spacing w:val="-3"/>
          <w:w w:val="105"/>
          <w:sz w:val="21"/>
        </w:rPr>
        <w:t>to </w:t>
      </w:r>
      <w:r>
        <w:rPr>
          <w:w w:val="105"/>
          <w:sz w:val="21"/>
        </w:rPr>
        <w:t>a person or of damage </w:t>
      </w:r>
      <w:r>
        <w:rPr>
          <w:spacing w:val="-3"/>
          <w:w w:val="105"/>
          <w:sz w:val="21"/>
        </w:rPr>
        <w:t>to </w:t>
      </w:r>
      <w:r>
        <w:rPr>
          <w:w w:val="105"/>
          <w:sz w:val="21"/>
        </w:rPr>
        <w:t>the </w:t>
      </w:r>
      <w:r>
        <w:rPr>
          <w:spacing w:val="-3"/>
          <w:w w:val="105"/>
          <w:sz w:val="21"/>
        </w:rPr>
        <w:t>neighbour’s land </w:t>
      </w:r>
      <w:r>
        <w:rPr>
          <w:w w:val="105"/>
          <w:sz w:val="21"/>
        </w:rPr>
        <w:t>or property.</w:t>
      </w:r>
      <w:r>
        <w:rPr>
          <w:w w:val="105"/>
          <w:position w:val="7"/>
          <w:sz w:val="12"/>
        </w:rPr>
        <w:t>379</w:t>
      </w:r>
    </w:p>
    <w:p>
      <w:pPr>
        <w:pStyle w:val="ListParagraph"/>
        <w:numPr>
          <w:ilvl w:val="0"/>
          <w:numId w:val="79"/>
        </w:numPr>
        <w:tabs>
          <w:tab w:pos="2381" w:val="left" w:leader="none"/>
          <w:tab w:pos="2382" w:val="left" w:leader="none"/>
        </w:tabs>
        <w:spacing w:line="242" w:lineRule="auto" w:before="125" w:after="0"/>
        <w:ind w:left="2381" w:right="1714" w:hanging="794"/>
        <w:jc w:val="left"/>
        <w:rPr>
          <w:sz w:val="21"/>
        </w:rPr>
      </w:pPr>
      <w:r>
        <w:rPr>
          <w:spacing w:val="-3"/>
          <w:sz w:val="21"/>
        </w:rPr>
        <w:t>Similar notice provisions </w:t>
      </w:r>
      <w:r>
        <w:rPr>
          <w:sz w:val="21"/>
        </w:rPr>
        <w:t>apply under the </w:t>
      </w:r>
      <w:r>
        <w:rPr>
          <w:spacing w:val="-4"/>
          <w:sz w:val="21"/>
        </w:rPr>
        <w:t>Tasmanian </w:t>
      </w:r>
      <w:r>
        <w:rPr>
          <w:sz w:val="21"/>
        </w:rPr>
        <w:t>Act.</w:t>
      </w:r>
      <w:r>
        <w:rPr>
          <w:position w:val="7"/>
          <w:sz w:val="12"/>
        </w:rPr>
        <w:t>380 </w:t>
      </w:r>
      <w:r>
        <w:rPr>
          <w:sz w:val="21"/>
        </w:rPr>
        <w:t>The Practice Direction </w:t>
      </w:r>
      <w:r>
        <w:rPr>
          <w:spacing w:val="-3"/>
          <w:sz w:val="21"/>
        </w:rPr>
        <w:t>for applications </w:t>
      </w:r>
      <w:r>
        <w:rPr>
          <w:sz w:val="21"/>
        </w:rPr>
        <w:t>under the </w:t>
      </w:r>
      <w:r>
        <w:rPr>
          <w:spacing w:val="-4"/>
          <w:sz w:val="21"/>
        </w:rPr>
        <w:t>Tasmanian </w:t>
      </w:r>
      <w:r>
        <w:rPr>
          <w:sz w:val="21"/>
        </w:rPr>
        <w:t>Act states </w:t>
      </w:r>
      <w:r>
        <w:rPr>
          <w:spacing w:val="-3"/>
          <w:sz w:val="21"/>
        </w:rPr>
        <w:t>that </w:t>
      </w:r>
      <w:r>
        <w:rPr>
          <w:spacing w:val="-6"/>
          <w:sz w:val="21"/>
        </w:rPr>
        <w:t>RMPAT  </w:t>
      </w:r>
      <w:r>
        <w:rPr>
          <w:spacing w:val="-3"/>
          <w:sz w:val="21"/>
        </w:rPr>
        <w:t>will  </w:t>
      </w:r>
      <w:r>
        <w:rPr>
          <w:spacing w:val="-5"/>
          <w:sz w:val="21"/>
        </w:rPr>
        <w:t>‘also  </w:t>
      </w:r>
      <w:r>
        <w:rPr>
          <w:sz w:val="21"/>
        </w:rPr>
        <w:t>advertise the existence of the application in the </w:t>
      </w:r>
      <w:r>
        <w:rPr>
          <w:spacing w:val="-3"/>
          <w:sz w:val="21"/>
        </w:rPr>
        <w:t>Public  </w:t>
      </w:r>
      <w:r>
        <w:rPr>
          <w:sz w:val="21"/>
        </w:rPr>
        <w:t>Notices section of the </w:t>
      </w:r>
      <w:r>
        <w:rPr>
          <w:spacing w:val="-3"/>
          <w:sz w:val="21"/>
        </w:rPr>
        <w:t>regional</w:t>
      </w:r>
      <w:r>
        <w:rPr>
          <w:spacing w:val="41"/>
          <w:sz w:val="21"/>
        </w:rPr>
        <w:t> </w:t>
      </w:r>
      <w:r>
        <w:rPr>
          <w:sz w:val="21"/>
        </w:rPr>
        <w:t>newspaper </w:t>
      </w:r>
      <w:r>
        <w:rPr>
          <w:spacing w:val="-3"/>
          <w:sz w:val="21"/>
        </w:rPr>
        <w:t>circulating  </w:t>
      </w:r>
      <w:r>
        <w:rPr>
          <w:sz w:val="21"/>
        </w:rPr>
        <w:t>in   the </w:t>
      </w:r>
      <w:r>
        <w:rPr>
          <w:spacing w:val="-3"/>
          <w:sz w:val="21"/>
        </w:rPr>
        <w:t>area </w:t>
      </w:r>
      <w:r>
        <w:rPr>
          <w:sz w:val="21"/>
        </w:rPr>
        <w:t>in </w:t>
      </w:r>
      <w:r>
        <w:rPr>
          <w:spacing w:val="-4"/>
          <w:sz w:val="21"/>
        </w:rPr>
        <w:t>question’.</w:t>
      </w:r>
      <w:r>
        <w:rPr>
          <w:spacing w:val="-4"/>
          <w:position w:val="7"/>
          <w:sz w:val="12"/>
        </w:rPr>
        <w:t>381 </w:t>
      </w:r>
      <w:r>
        <w:rPr>
          <w:sz w:val="21"/>
        </w:rPr>
        <w:t>In this </w:t>
      </w:r>
      <w:r>
        <w:rPr>
          <w:spacing w:val="-5"/>
          <w:sz w:val="21"/>
        </w:rPr>
        <w:t>way, </w:t>
      </w:r>
      <w:r>
        <w:rPr>
          <w:spacing w:val="-3"/>
          <w:sz w:val="21"/>
        </w:rPr>
        <w:t>individuals are invited to </w:t>
      </w:r>
      <w:r>
        <w:rPr>
          <w:spacing w:val="-4"/>
          <w:sz w:val="21"/>
        </w:rPr>
        <w:t>make </w:t>
      </w:r>
      <w:r>
        <w:rPr>
          <w:sz w:val="21"/>
        </w:rPr>
        <w:t>an application </w:t>
      </w:r>
      <w:r>
        <w:rPr>
          <w:spacing w:val="-3"/>
          <w:sz w:val="21"/>
        </w:rPr>
        <w:t>to</w:t>
      </w:r>
      <w:r>
        <w:rPr>
          <w:spacing w:val="-19"/>
          <w:sz w:val="21"/>
        </w:rPr>
        <w:t> </w:t>
      </w:r>
      <w:r>
        <w:rPr>
          <w:sz w:val="21"/>
        </w:rPr>
        <w:t>join</w:t>
      </w:r>
    </w:p>
    <w:p>
      <w:pPr>
        <w:pStyle w:val="BodyText"/>
        <w:spacing w:before="2"/>
        <w:rPr>
          <w:sz w:val="10"/>
        </w:rPr>
      </w:pPr>
      <w:r>
        <w:rPr/>
        <w:pict>
          <v:line style="position:absolute;mso-position-horizontal-relative:page;mso-position-vertical-relative:paragraph;z-index:5408;mso-wrap-distance-left:0;mso-wrap-distance-right:0" from="79.370102pt,8.669724pt" to="515.905102pt,8.66972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84"/>
        </w:numPr>
        <w:tabs>
          <w:tab w:pos="2380" w:val="left" w:leader="none"/>
          <w:tab w:pos="2382" w:val="left" w:leader="none"/>
        </w:tabs>
        <w:spacing w:line="240" w:lineRule="auto" w:before="48" w:after="0"/>
        <w:ind w:left="2381" w:right="0" w:hanging="794"/>
        <w:jc w:val="left"/>
        <w:rPr>
          <w:sz w:val="13"/>
        </w:rPr>
      </w:pPr>
      <w:r>
        <w:rPr>
          <w:i/>
          <w:w w:val="105"/>
          <w:sz w:val="13"/>
        </w:rPr>
        <w:t>Rose</w:t>
      </w:r>
      <w:r>
        <w:rPr>
          <w:i/>
          <w:spacing w:val="4"/>
          <w:w w:val="105"/>
          <w:sz w:val="13"/>
        </w:rPr>
        <w:t> </w:t>
      </w:r>
      <w:r>
        <w:rPr>
          <w:i/>
          <w:w w:val="105"/>
          <w:sz w:val="13"/>
        </w:rPr>
        <w:t>v</w:t>
      </w:r>
      <w:r>
        <w:rPr>
          <w:i/>
          <w:spacing w:val="5"/>
          <w:w w:val="105"/>
          <w:sz w:val="13"/>
        </w:rPr>
        <w:t> </w:t>
      </w:r>
      <w:r>
        <w:rPr>
          <w:i/>
          <w:w w:val="105"/>
          <w:sz w:val="13"/>
        </w:rPr>
        <w:t>Equity</w:t>
      </w:r>
      <w:r>
        <w:rPr>
          <w:i/>
          <w:spacing w:val="4"/>
          <w:w w:val="105"/>
          <w:sz w:val="13"/>
        </w:rPr>
        <w:t> </w:t>
      </w:r>
      <w:r>
        <w:rPr>
          <w:i/>
          <w:w w:val="105"/>
          <w:sz w:val="13"/>
        </w:rPr>
        <w:t>Boot</w:t>
      </w:r>
      <w:r>
        <w:rPr>
          <w:i/>
          <w:spacing w:val="5"/>
          <w:w w:val="105"/>
          <w:sz w:val="13"/>
        </w:rPr>
        <w:t> </w:t>
      </w:r>
      <w:r>
        <w:rPr>
          <w:i/>
          <w:w w:val="105"/>
          <w:sz w:val="13"/>
        </w:rPr>
        <w:t>Co</w:t>
      </w:r>
      <w:r>
        <w:rPr>
          <w:i/>
          <w:spacing w:val="5"/>
          <w:w w:val="105"/>
          <w:sz w:val="13"/>
        </w:rPr>
        <w:t> </w:t>
      </w:r>
      <w:r>
        <w:rPr>
          <w:i/>
          <w:w w:val="105"/>
          <w:sz w:val="13"/>
        </w:rPr>
        <w:t>Ltd</w:t>
      </w:r>
      <w:r>
        <w:rPr>
          <w:i/>
          <w:spacing w:val="4"/>
          <w:w w:val="105"/>
          <w:sz w:val="13"/>
        </w:rPr>
        <w:t> </w:t>
      </w:r>
      <w:r>
        <w:rPr>
          <w:w w:val="105"/>
          <w:sz w:val="13"/>
        </w:rPr>
        <w:t>(1913)</w:t>
      </w:r>
      <w:r>
        <w:rPr>
          <w:spacing w:val="5"/>
          <w:w w:val="105"/>
          <w:sz w:val="13"/>
        </w:rPr>
        <w:t> </w:t>
      </w:r>
      <w:r>
        <w:rPr>
          <w:w w:val="105"/>
          <w:sz w:val="13"/>
        </w:rPr>
        <w:t>32</w:t>
      </w:r>
      <w:r>
        <w:rPr>
          <w:spacing w:val="5"/>
          <w:w w:val="105"/>
          <w:sz w:val="13"/>
        </w:rPr>
        <w:t> </w:t>
      </w:r>
      <w:r>
        <w:rPr>
          <w:w w:val="105"/>
          <w:sz w:val="13"/>
        </w:rPr>
        <w:t>NZLR</w:t>
      </w:r>
      <w:r>
        <w:rPr>
          <w:spacing w:val="4"/>
          <w:w w:val="105"/>
          <w:sz w:val="13"/>
        </w:rPr>
        <w:t> </w:t>
      </w:r>
      <w:r>
        <w:rPr>
          <w:w w:val="105"/>
          <w:sz w:val="13"/>
        </w:rPr>
        <w:t>677.</w:t>
      </w:r>
    </w:p>
    <w:p>
      <w:pPr>
        <w:pStyle w:val="ListParagraph"/>
        <w:numPr>
          <w:ilvl w:val="0"/>
          <w:numId w:val="84"/>
        </w:numPr>
        <w:tabs>
          <w:tab w:pos="2380" w:val="left" w:leader="none"/>
          <w:tab w:pos="2382" w:val="left" w:leader="none"/>
        </w:tabs>
        <w:spacing w:line="240" w:lineRule="auto" w:before="1" w:after="0"/>
        <w:ind w:left="2381" w:right="0" w:hanging="794"/>
        <w:jc w:val="left"/>
        <w:rPr>
          <w:sz w:val="13"/>
        </w:rPr>
      </w:pPr>
      <w:r>
        <w:rPr>
          <w:i/>
          <w:w w:val="105"/>
          <w:sz w:val="13"/>
        </w:rPr>
        <w:t>Mandeno</w:t>
      </w:r>
      <w:r>
        <w:rPr>
          <w:i/>
          <w:spacing w:val="5"/>
          <w:w w:val="105"/>
          <w:sz w:val="13"/>
        </w:rPr>
        <w:t> </w:t>
      </w:r>
      <w:r>
        <w:rPr>
          <w:i/>
          <w:w w:val="105"/>
          <w:sz w:val="13"/>
        </w:rPr>
        <w:t>v</w:t>
      </w:r>
      <w:r>
        <w:rPr>
          <w:i/>
          <w:spacing w:val="5"/>
          <w:w w:val="105"/>
          <w:sz w:val="13"/>
        </w:rPr>
        <w:t> </w:t>
      </w:r>
      <w:r>
        <w:rPr>
          <w:i/>
          <w:w w:val="105"/>
          <w:sz w:val="13"/>
        </w:rPr>
        <w:t>Brown</w:t>
      </w:r>
      <w:r>
        <w:rPr>
          <w:i/>
          <w:spacing w:val="6"/>
          <w:w w:val="105"/>
          <w:sz w:val="13"/>
        </w:rPr>
        <w:t> </w:t>
      </w:r>
      <w:r>
        <w:rPr>
          <w:w w:val="105"/>
          <w:sz w:val="13"/>
        </w:rPr>
        <w:t>[1952]</w:t>
      </w:r>
      <w:r>
        <w:rPr>
          <w:spacing w:val="5"/>
          <w:w w:val="105"/>
          <w:sz w:val="13"/>
        </w:rPr>
        <w:t> </w:t>
      </w:r>
      <w:r>
        <w:rPr>
          <w:w w:val="105"/>
          <w:sz w:val="13"/>
        </w:rPr>
        <w:t>NZLR</w:t>
      </w:r>
      <w:r>
        <w:rPr>
          <w:spacing w:val="6"/>
          <w:w w:val="105"/>
          <w:sz w:val="13"/>
        </w:rPr>
        <w:t> </w:t>
      </w:r>
      <w:r>
        <w:rPr>
          <w:w w:val="105"/>
          <w:sz w:val="13"/>
        </w:rPr>
        <w:t>447;</w:t>
      </w:r>
      <w:r>
        <w:rPr>
          <w:spacing w:val="5"/>
          <w:w w:val="105"/>
          <w:sz w:val="13"/>
        </w:rPr>
        <w:t> </w:t>
      </w:r>
      <w:r>
        <w:rPr>
          <w:w w:val="105"/>
          <w:sz w:val="13"/>
        </w:rPr>
        <w:t>see</w:t>
      </w:r>
      <w:r>
        <w:rPr>
          <w:spacing w:val="6"/>
          <w:w w:val="105"/>
          <w:sz w:val="13"/>
        </w:rPr>
        <w:t> </w:t>
      </w:r>
      <w:r>
        <w:rPr>
          <w:w w:val="105"/>
          <w:sz w:val="13"/>
        </w:rPr>
        <w:t>also</w:t>
      </w:r>
      <w:r>
        <w:rPr>
          <w:spacing w:val="5"/>
          <w:w w:val="105"/>
          <w:sz w:val="13"/>
        </w:rPr>
        <w:t> </w:t>
      </w:r>
      <w:r>
        <w:rPr>
          <w:i/>
          <w:w w:val="105"/>
          <w:sz w:val="13"/>
        </w:rPr>
        <w:t>Woodnorth</w:t>
      </w:r>
      <w:r>
        <w:rPr>
          <w:i/>
          <w:spacing w:val="6"/>
          <w:w w:val="105"/>
          <w:sz w:val="13"/>
        </w:rPr>
        <w:t> </w:t>
      </w:r>
      <w:r>
        <w:rPr>
          <w:i/>
          <w:w w:val="105"/>
          <w:sz w:val="13"/>
        </w:rPr>
        <w:t>v</w:t>
      </w:r>
      <w:r>
        <w:rPr>
          <w:i/>
          <w:spacing w:val="5"/>
          <w:w w:val="105"/>
          <w:sz w:val="13"/>
        </w:rPr>
        <w:t> </w:t>
      </w:r>
      <w:r>
        <w:rPr>
          <w:i/>
          <w:w w:val="105"/>
          <w:sz w:val="13"/>
        </w:rPr>
        <w:t>Holdgate</w:t>
      </w:r>
      <w:r>
        <w:rPr>
          <w:i/>
          <w:spacing w:val="5"/>
          <w:w w:val="105"/>
          <w:sz w:val="13"/>
        </w:rPr>
        <w:t> </w:t>
      </w:r>
      <w:r>
        <w:rPr>
          <w:w w:val="105"/>
          <w:sz w:val="13"/>
        </w:rPr>
        <w:t>[1955]</w:t>
      </w:r>
      <w:r>
        <w:rPr>
          <w:spacing w:val="6"/>
          <w:w w:val="105"/>
          <w:sz w:val="13"/>
        </w:rPr>
        <w:t> </w:t>
      </w:r>
      <w:r>
        <w:rPr>
          <w:w w:val="105"/>
          <w:sz w:val="13"/>
        </w:rPr>
        <w:t>NZLR</w:t>
      </w:r>
      <w:r>
        <w:rPr>
          <w:spacing w:val="5"/>
          <w:w w:val="105"/>
          <w:sz w:val="13"/>
        </w:rPr>
        <w:t> </w:t>
      </w:r>
      <w:r>
        <w:rPr>
          <w:w w:val="105"/>
          <w:sz w:val="13"/>
        </w:rPr>
        <w:t>552,</w:t>
      </w:r>
      <w:r>
        <w:rPr>
          <w:spacing w:val="6"/>
          <w:w w:val="105"/>
          <w:sz w:val="13"/>
        </w:rPr>
        <w:t> </w:t>
      </w:r>
      <w:r>
        <w:rPr>
          <w:w w:val="105"/>
          <w:sz w:val="13"/>
        </w:rPr>
        <w:t>554-555.</w:t>
      </w:r>
    </w:p>
    <w:p>
      <w:pPr>
        <w:pStyle w:val="ListParagraph"/>
        <w:numPr>
          <w:ilvl w:val="0"/>
          <w:numId w:val="84"/>
        </w:numPr>
        <w:tabs>
          <w:tab w:pos="2380" w:val="left" w:leader="none"/>
          <w:tab w:pos="2382" w:val="left" w:leader="none"/>
        </w:tabs>
        <w:spacing w:line="240" w:lineRule="auto" w:before="2" w:after="0"/>
        <w:ind w:left="2381" w:right="0" w:hanging="794"/>
        <w:jc w:val="left"/>
        <w:rPr>
          <w:sz w:val="13"/>
        </w:rPr>
      </w:pPr>
      <w:r>
        <w:rPr>
          <w:w w:val="105"/>
          <w:sz w:val="13"/>
        </w:rPr>
        <w:t>See, eg, 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w:t>
      </w:r>
      <w:r>
        <w:rPr>
          <w:spacing w:val="-5"/>
          <w:w w:val="105"/>
          <w:sz w:val="13"/>
        </w:rPr>
        <w:t>52.17. </w:t>
      </w:r>
      <w:r>
        <w:rPr>
          <w:w w:val="105"/>
          <w:sz w:val="13"/>
        </w:rPr>
        <w:t>The interaction of these</w:t>
      </w:r>
      <w:r>
        <w:rPr>
          <w:spacing w:val="4"/>
          <w:w w:val="105"/>
          <w:sz w:val="13"/>
        </w:rPr>
        <w:t> </w:t>
      </w:r>
      <w:r>
        <w:rPr>
          <w:w w:val="105"/>
          <w:sz w:val="13"/>
        </w:rPr>
        <w:t>existing</w:t>
      </w:r>
      <w:r>
        <w:rPr>
          <w:spacing w:val="5"/>
          <w:w w:val="105"/>
          <w:sz w:val="13"/>
        </w:rPr>
        <w:t> </w:t>
      </w:r>
      <w:r>
        <w:rPr>
          <w:w w:val="105"/>
          <w:sz w:val="13"/>
        </w:rPr>
        <w:t>laws</w:t>
      </w:r>
      <w:r>
        <w:rPr>
          <w:spacing w:val="5"/>
          <w:w w:val="105"/>
          <w:sz w:val="13"/>
        </w:rPr>
        <w:t> </w:t>
      </w:r>
      <w:r>
        <w:rPr>
          <w:w w:val="105"/>
          <w:sz w:val="13"/>
        </w:rPr>
        <w:t>with</w:t>
      </w:r>
      <w:r>
        <w:rPr>
          <w:spacing w:val="5"/>
          <w:w w:val="105"/>
          <w:sz w:val="13"/>
        </w:rPr>
        <w:t> </w:t>
      </w:r>
      <w:r>
        <w:rPr>
          <w:w w:val="105"/>
          <w:sz w:val="13"/>
        </w:rPr>
        <w:t>the</w:t>
      </w:r>
      <w:r>
        <w:rPr>
          <w:spacing w:val="4"/>
          <w:w w:val="105"/>
          <w:sz w:val="13"/>
        </w:rPr>
        <w:t> </w:t>
      </w:r>
      <w:r>
        <w:rPr>
          <w:w w:val="105"/>
          <w:sz w:val="13"/>
        </w:rPr>
        <w:t>new</w:t>
      </w:r>
      <w:r>
        <w:rPr>
          <w:spacing w:val="5"/>
          <w:w w:val="105"/>
          <w:sz w:val="13"/>
        </w:rPr>
        <w:t> </w:t>
      </w:r>
      <w:r>
        <w:rPr>
          <w:w w:val="105"/>
          <w:sz w:val="13"/>
        </w:rPr>
        <w:t>Act</w:t>
      </w:r>
      <w:r>
        <w:rPr>
          <w:spacing w:val="5"/>
          <w:w w:val="105"/>
          <w:sz w:val="13"/>
        </w:rPr>
        <w:t> </w:t>
      </w:r>
      <w:r>
        <w:rPr>
          <w:w w:val="105"/>
          <w:sz w:val="13"/>
        </w:rPr>
        <w:t>is</w:t>
      </w:r>
      <w:r>
        <w:rPr>
          <w:spacing w:val="5"/>
          <w:w w:val="105"/>
          <w:sz w:val="13"/>
        </w:rPr>
        <w:t> </w:t>
      </w:r>
      <w:r>
        <w:rPr>
          <w:w w:val="105"/>
          <w:sz w:val="13"/>
        </w:rPr>
        <w:t>discussed</w:t>
      </w:r>
      <w:r>
        <w:rPr>
          <w:spacing w:val="4"/>
          <w:w w:val="105"/>
          <w:sz w:val="13"/>
        </w:rPr>
        <w:t> </w:t>
      </w:r>
      <w:r>
        <w:rPr>
          <w:w w:val="105"/>
          <w:sz w:val="13"/>
        </w:rPr>
        <w:t>in</w:t>
      </w:r>
      <w:r>
        <w:rPr>
          <w:spacing w:val="5"/>
          <w:w w:val="105"/>
          <w:sz w:val="13"/>
        </w:rPr>
        <w:t> </w:t>
      </w:r>
      <w:r>
        <w:rPr>
          <w:w w:val="105"/>
          <w:sz w:val="13"/>
        </w:rPr>
        <w:t>Ch</w:t>
      </w:r>
      <w:r>
        <w:rPr>
          <w:spacing w:val="5"/>
          <w:w w:val="105"/>
          <w:sz w:val="13"/>
        </w:rPr>
        <w:t> </w:t>
      </w:r>
      <w:r>
        <w:rPr>
          <w:w w:val="105"/>
          <w:sz w:val="13"/>
        </w:rPr>
        <w:t>10.</w:t>
      </w:r>
    </w:p>
    <w:p>
      <w:pPr>
        <w:pStyle w:val="ListParagraph"/>
        <w:numPr>
          <w:ilvl w:val="0"/>
          <w:numId w:val="84"/>
        </w:numPr>
        <w:tabs>
          <w:tab w:pos="2381" w:val="left" w:leader="none"/>
          <w:tab w:pos="2382" w:val="left" w:leader="none"/>
        </w:tabs>
        <w:spacing w:line="240" w:lineRule="auto" w:before="2" w:after="0"/>
        <w:ind w:left="2381" w:right="13" w:hanging="794"/>
        <w:jc w:val="left"/>
        <w:rPr>
          <w:sz w:val="13"/>
        </w:rPr>
      </w:pPr>
      <w:r>
        <w:rPr>
          <w:i/>
          <w:w w:val="105"/>
          <w:sz w:val="13"/>
        </w:rPr>
        <w:t>Trees (Disputes Between Neighbours) Act 2006 </w:t>
      </w:r>
      <w:r>
        <w:rPr>
          <w:spacing w:val="3"/>
          <w:w w:val="105"/>
          <w:sz w:val="13"/>
        </w:rPr>
        <w:t>(NSW) </w:t>
      </w:r>
      <w:r>
        <w:rPr>
          <w:w w:val="105"/>
          <w:sz w:val="13"/>
        </w:rPr>
        <w:t>s </w:t>
      </w:r>
      <w:r>
        <w:rPr>
          <w:spacing w:val="3"/>
          <w:w w:val="105"/>
          <w:sz w:val="13"/>
        </w:rPr>
        <w:t>8; </w:t>
      </w:r>
      <w:r>
        <w:rPr>
          <w:w w:val="105"/>
          <w:sz w:val="13"/>
        </w:rPr>
        <w:t>See also Land and Environment Court of New South Wales, </w:t>
      </w:r>
      <w:r>
        <w:rPr>
          <w:i/>
          <w:w w:val="105"/>
          <w:sz w:val="13"/>
        </w:rPr>
        <w:t>Annotated Trees Act </w:t>
      </w:r>
      <w:r>
        <w:rPr>
          <w:i/>
          <w:w w:val="105"/>
          <w:sz w:val="13"/>
        </w:rPr>
        <w:t>January </w:t>
      </w:r>
      <w:r>
        <w:rPr>
          <w:i/>
          <w:spacing w:val="-3"/>
          <w:w w:val="105"/>
          <w:sz w:val="13"/>
        </w:rPr>
        <w:t>2013 </w:t>
      </w:r>
      <w:r>
        <w:rPr>
          <w:w w:val="105"/>
          <w:sz w:val="13"/>
        </w:rPr>
        <w:t>(1 September 2016)</w:t>
      </w:r>
      <w:r>
        <w:rPr>
          <w:spacing w:val="26"/>
          <w:w w:val="105"/>
          <w:sz w:val="13"/>
        </w:rPr>
        <w:t> </w:t>
      </w:r>
      <w:r>
        <w:rPr>
          <w:spacing w:val="-3"/>
          <w:w w:val="105"/>
          <w:sz w:val="13"/>
        </w:rPr>
        <w:t>12.</w:t>
      </w:r>
    </w:p>
    <w:p>
      <w:pPr>
        <w:pStyle w:val="ListParagraph"/>
        <w:numPr>
          <w:ilvl w:val="0"/>
          <w:numId w:val="84"/>
        </w:numPr>
        <w:tabs>
          <w:tab w:pos="2381" w:val="left" w:leader="none"/>
          <w:tab w:pos="2382" w:val="left" w:leader="none"/>
        </w:tabs>
        <w:spacing w:line="240" w:lineRule="auto" w:before="3" w:after="0"/>
        <w:ind w:left="2381" w:right="0" w:hanging="794"/>
        <w:jc w:val="left"/>
        <w:rPr>
          <w:sz w:val="13"/>
        </w:rPr>
      </w:pPr>
      <w:r>
        <w:rPr>
          <w:i/>
          <w:w w:val="105"/>
          <w:sz w:val="13"/>
        </w:rPr>
        <w:t>Trees (Disputes Between Neighbours) Act 2006 </w:t>
      </w:r>
      <w:r>
        <w:rPr>
          <w:spacing w:val="3"/>
          <w:w w:val="105"/>
          <w:sz w:val="13"/>
        </w:rPr>
        <w:t>(NSW) </w:t>
      </w:r>
      <w:r>
        <w:rPr>
          <w:w w:val="105"/>
          <w:sz w:val="13"/>
        </w:rPr>
        <w:t>s</w:t>
      </w:r>
      <w:r>
        <w:rPr>
          <w:spacing w:val="5"/>
          <w:w w:val="105"/>
          <w:sz w:val="13"/>
        </w:rPr>
        <w:t> </w:t>
      </w:r>
      <w:r>
        <w:rPr>
          <w:spacing w:val="4"/>
          <w:w w:val="105"/>
          <w:sz w:val="13"/>
        </w:rPr>
        <w:t>8(3).</w:t>
      </w:r>
    </w:p>
    <w:p>
      <w:pPr>
        <w:pStyle w:val="ListParagraph"/>
        <w:numPr>
          <w:ilvl w:val="0"/>
          <w:numId w:val="84"/>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5"/>
          <w:w w:val="105"/>
          <w:sz w:val="13"/>
        </w:rPr>
        <w:t> </w:t>
      </w:r>
      <w:r>
        <w:rPr>
          <w:w w:val="105"/>
          <w:sz w:val="13"/>
        </w:rPr>
        <w:t>eg,</w:t>
      </w:r>
      <w:r>
        <w:rPr>
          <w:spacing w:val="6"/>
          <w:w w:val="105"/>
          <w:sz w:val="13"/>
        </w:rPr>
        <w:t> </w:t>
      </w:r>
      <w:r>
        <w:rPr>
          <w:w w:val="105"/>
          <w:sz w:val="13"/>
        </w:rPr>
        <w:t>Land</w:t>
      </w:r>
      <w:r>
        <w:rPr>
          <w:spacing w:val="6"/>
          <w:w w:val="105"/>
          <w:sz w:val="13"/>
        </w:rPr>
        <w:t> </w:t>
      </w:r>
      <w:r>
        <w:rPr>
          <w:w w:val="105"/>
          <w:sz w:val="13"/>
        </w:rPr>
        <w:t>and</w:t>
      </w:r>
      <w:r>
        <w:rPr>
          <w:spacing w:val="6"/>
          <w:w w:val="105"/>
          <w:sz w:val="13"/>
        </w:rPr>
        <w:t> </w:t>
      </w:r>
      <w:r>
        <w:rPr>
          <w:w w:val="105"/>
          <w:sz w:val="13"/>
        </w:rPr>
        <w:t>Environment</w:t>
      </w:r>
      <w:r>
        <w:rPr>
          <w:spacing w:val="6"/>
          <w:w w:val="105"/>
          <w:sz w:val="13"/>
        </w:rPr>
        <w:t> </w:t>
      </w:r>
      <w:r>
        <w:rPr>
          <w:w w:val="105"/>
          <w:sz w:val="13"/>
        </w:rPr>
        <w:t>Court</w:t>
      </w:r>
      <w:r>
        <w:rPr>
          <w:spacing w:val="6"/>
          <w:w w:val="105"/>
          <w:sz w:val="13"/>
        </w:rPr>
        <w:t> </w:t>
      </w:r>
      <w:r>
        <w:rPr>
          <w:w w:val="105"/>
          <w:sz w:val="13"/>
        </w:rPr>
        <w:t>of</w:t>
      </w:r>
      <w:r>
        <w:rPr>
          <w:spacing w:val="6"/>
          <w:w w:val="105"/>
          <w:sz w:val="13"/>
        </w:rPr>
        <w:t> </w:t>
      </w:r>
      <w:r>
        <w:rPr>
          <w:w w:val="105"/>
          <w:sz w:val="13"/>
        </w:rPr>
        <w:t>New</w:t>
      </w:r>
      <w:r>
        <w:rPr>
          <w:spacing w:val="6"/>
          <w:w w:val="105"/>
          <w:sz w:val="13"/>
        </w:rPr>
        <w:t> </w:t>
      </w:r>
      <w:r>
        <w:rPr>
          <w:w w:val="105"/>
          <w:sz w:val="13"/>
        </w:rPr>
        <w:t>South</w:t>
      </w:r>
      <w:r>
        <w:rPr>
          <w:spacing w:val="6"/>
          <w:w w:val="105"/>
          <w:sz w:val="13"/>
        </w:rPr>
        <w:t> </w:t>
      </w:r>
      <w:r>
        <w:rPr>
          <w:w w:val="105"/>
          <w:sz w:val="13"/>
        </w:rPr>
        <w:t>Wales,</w:t>
      </w:r>
      <w:r>
        <w:rPr>
          <w:spacing w:val="6"/>
          <w:w w:val="105"/>
          <w:sz w:val="13"/>
        </w:rPr>
        <w:t> </w:t>
      </w:r>
      <w:r>
        <w:rPr>
          <w:i/>
          <w:w w:val="105"/>
          <w:sz w:val="13"/>
        </w:rPr>
        <w:t>Annotated</w:t>
      </w:r>
      <w:r>
        <w:rPr>
          <w:i/>
          <w:spacing w:val="5"/>
          <w:w w:val="105"/>
          <w:sz w:val="13"/>
        </w:rPr>
        <w:t> </w:t>
      </w:r>
      <w:r>
        <w:rPr>
          <w:i/>
          <w:w w:val="105"/>
          <w:sz w:val="13"/>
        </w:rPr>
        <w:t>Trees</w:t>
      </w:r>
      <w:r>
        <w:rPr>
          <w:i/>
          <w:spacing w:val="6"/>
          <w:w w:val="105"/>
          <w:sz w:val="13"/>
        </w:rPr>
        <w:t> </w:t>
      </w:r>
      <w:r>
        <w:rPr>
          <w:i/>
          <w:w w:val="105"/>
          <w:sz w:val="13"/>
        </w:rPr>
        <w:t>Act</w:t>
      </w:r>
      <w:r>
        <w:rPr>
          <w:i/>
          <w:spacing w:val="6"/>
          <w:w w:val="105"/>
          <w:sz w:val="13"/>
        </w:rPr>
        <w:t> </w:t>
      </w:r>
      <w:r>
        <w:rPr>
          <w:i/>
          <w:w w:val="105"/>
          <w:sz w:val="13"/>
        </w:rPr>
        <w:t>January</w:t>
      </w:r>
      <w:r>
        <w:rPr>
          <w:i/>
          <w:spacing w:val="6"/>
          <w:w w:val="105"/>
          <w:sz w:val="13"/>
        </w:rPr>
        <w:t> </w:t>
      </w:r>
      <w:r>
        <w:rPr>
          <w:i/>
          <w:spacing w:val="-3"/>
          <w:w w:val="105"/>
          <w:sz w:val="13"/>
        </w:rPr>
        <w:t>2013</w:t>
      </w:r>
      <w:r>
        <w:rPr>
          <w:i/>
          <w:spacing w:val="6"/>
          <w:w w:val="105"/>
          <w:sz w:val="13"/>
        </w:rPr>
        <w:t> </w:t>
      </w:r>
      <w:r>
        <w:rPr>
          <w:w w:val="105"/>
          <w:sz w:val="13"/>
        </w:rPr>
        <w:t>(1</w:t>
      </w:r>
      <w:r>
        <w:rPr>
          <w:spacing w:val="6"/>
          <w:w w:val="105"/>
          <w:sz w:val="13"/>
        </w:rPr>
        <w:t> </w:t>
      </w:r>
      <w:r>
        <w:rPr>
          <w:w w:val="105"/>
          <w:sz w:val="13"/>
        </w:rPr>
        <w:t>September</w:t>
      </w:r>
      <w:r>
        <w:rPr>
          <w:spacing w:val="6"/>
          <w:w w:val="105"/>
          <w:sz w:val="13"/>
        </w:rPr>
        <w:t> </w:t>
      </w:r>
      <w:r>
        <w:rPr>
          <w:w w:val="105"/>
          <w:sz w:val="13"/>
        </w:rPr>
        <w:t>2016)</w:t>
      </w:r>
      <w:r>
        <w:rPr>
          <w:spacing w:val="6"/>
          <w:w w:val="105"/>
          <w:sz w:val="13"/>
        </w:rPr>
        <w:t> </w:t>
      </w:r>
      <w:r>
        <w:rPr>
          <w:spacing w:val="-3"/>
          <w:w w:val="105"/>
          <w:sz w:val="13"/>
        </w:rPr>
        <w:t>13.</w:t>
      </w:r>
    </w:p>
    <w:p>
      <w:pPr>
        <w:pStyle w:val="ListParagraph"/>
        <w:numPr>
          <w:ilvl w:val="0"/>
          <w:numId w:val="84"/>
        </w:numPr>
        <w:tabs>
          <w:tab w:pos="2381" w:val="left" w:leader="none"/>
          <w:tab w:pos="2382" w:val="left" w:leader="none"/>
        </w:tabs>
        <w:spacing w:line="240" w:lineRule="auto" w:before="2" w:after="0"/>
        <w:ind w:left="2381" w:right="0" w:hanging="794"/>
        <w:jc w:val="left"/>
        <w:rPr>
          <w:sz w:val="13"/>
        </w:rPr>
      </w:pPr>
      <w:r>
        <w:rPr>
          <w:i/>
          <w:w w:val="105"/>
          <w:sz w:val="13"/>
        </w:rPr>
        <w:t>Neighbourhood Disputes (Dividing Fences and Trees) Act </w:t>
      </w:r>
      <w:r>
        <w:rPr>
          <w:i/>
          <w:spacing w:val="-4"/>
          <w:w w:val="105"/>
          <w:sz w:val="13"/>
        </w:rPr>
        <w:t>2011 </w:t>
      </w:r>
      <w:r>
        <w:rPr>
          <w:spacing w:val="3"/>
          <w:w w:val="105"/>
          <w:sz w:val="13"/>
        </w:rPr>
        <w:t>(QLD) </w:t>
      </w:r>
      <w:r>
        <w:rPr>
          <w:w w:val="105"/>
          <w:sz w:val="13"/>
        </w:rPr>
        <w:t>s</w:t>
      </w:r>
      <w:r>
        <w:rPr>
          <w:spacing w:val="25"/>
          <w:w w:val="105"/>
          <w:sz w:val="13"/>
        </w:rPr>
        <w:t> </w:t>
      </w:r>
      <w:r>
        <w:rPr>
          <w:w w:val="105"/>
          <w:sz w:val="13"/>
        </w:rPr>
        <w:t>63.</w:t>
      </w:r>
    </w:p>
    <w:p>
      <w:pPr>
        <w:tabs>
          <w:tab w:pos="2381" w:val="left" w:leader="none"/>
        </w:tabs>
        <w:spacing w:before="1"/>
        <w:ind w:left="1587" w:right="0" w:firstLine="0"/>
        <w:jc w:val="left"/>
        <w:rPr>
          <w:sz w:val="13"/>
        </w:rPr>
      </w:pPr>
      <w:r>
        <w:rPr>
          <w:w w:val="105"/>
          <w:sz w:val="13"/>
        </w:rPr>
        <w:t>379</w:t>
        <w:tab/>
        <w:t>Ibid s</w:t>
      </w:r>
      <w:r>
        <w:rPr>
          <w:spacing w:val="9"/>
          <w:w w:val="105"/>
          <w:sz w:val="13"/>
        </w:rPr>
        <w:t> </w:t>
      </w:r>
      <w:r>
        <w:rPr>
          <w:spacing w:val="2"/>
          <w:w w:val="105"/>
          <w:sz w:val="13"/>
        </w:rPr>
        <w:t>63(2).</w:t>
      </w:r>
    </w:p>
    <w:p>
      <w:pPr>
        <w:tabs>
          <w:tab w:pos="2381" w:val="left" w:leader="none"/>
        </w:tabs>
        <w:spacing w:before="1"/>
        <w:ind w:left="1587" w:right="0" w:firstLine="0"/>
        <w:jc w:val="left"/>
        <w:rPr>
          <w:sz w:val="13"/>
        </w:rPr>
      </w:pPr>
      <w:r>
        <w:rPr>
          <w:spacing w:val="2"/>
          <w:w w:val="105"/>
          <w:sz w:val="13"/>
        </w:rPr>
        <w:t>380</w:t>
        <w:tab/>
      </w:r>
      <w:r>
        <w:rPr>
          <w:i/>
          <w:w w:val="105"/>
          <w:sz w:val="13"/>
        </w:rPr>
        <w:t>Neighbourhood Disputes About Plants Act </w:t>
      </w:r>
      <w:r>
        <w:rPr>
          <w:i/>
          <w:spacing w:val="-4"/>
          <w:w w:val="105"/>
          <w:sz w:val="13"/>
        </w:rPr>
        <w:t>2017 </w:t>
      </w:r>
      <w:r>
        <w:rPr>
          <w:w w:val="105"/>
          <w:sz w:val="13"/>
        </w:rPr>
        <w:t>(Tas) s</w:t>
      </w:r>
      <w:r>
        <w:rPr>
          <w:spacing w:val="17"/>
          <w:w w:val="105"/>
          <w:sz w:val="13"/>
        </w:rPr>
        <w:t> </w:t>
      </w:r>
      <w:r>
        <w:rPr>
          <w:w w:val="105"/>
          <w:sz w:val="13"/>
        </w:rPr>
        <w:t>24.</w:t>
      </w:r>
    </w:p>
    <w:p>
      <w:pPr>
        <w:tabs>
          <w:tab w:pos="2381" w:val="left" w:leader="none"/>
        </w:tabs>
        <w:spacing w:before="2"/>
        <w:ind w:left="2381" w:right="360" w:hanging="794"/>
        <w:jc w:val="left"/>
        <w:rPr>
          <w:sz w:val="13"/>
        </w:rPr>
      </w:pPr>
      <w:r>
        <w:rPr>
          <w:w w:val="105"/>
          <w:sz w:val="13"/>
        </w:rPr>
        <w:t>381</w:t>
        <w:tab/>
        <w:t>Resource Management and Planning and Appeal Tribunal, </w:t>
      </w:r>
      <w:r>
        <w:rPr>
          <w:i/>
          <w:w w:val="105"/>
          <w:sz w:val="13"/>
        </w:rPr>
        <w:t>Practice Direction No </w:t>
      </w:r>
      <w:r>
        <w:rPr>
          <w:i/>
          <w:spacing w:val="-3"/>
          <w:w w:val="105"/>
          <w:sz w:val="13"/>
        </w:rPr>
        <w:t>18 </w:t>
      </w:r>
      <w:r>
        <w:rPr>
          <w:i/>
          <w:w w:val="105"/>
          <w:sz w:val="13"/>
        </w:rPr>
        <w:t>– Applications under the Neighbourhood Disputes </w:t>
      </w:r>
      <w:r>
        <w:rPr>
          <w:i/>
          <w:w w:val="105"/>
          <w:sz w:val="13"/>
        </w:rPr>
        <w:t>About Plants Act </w:t>
      </w:r>
      <w:r>
        <w:rPr>
          <w:i/>
          <w:spacing w:val="-4"/>
          <w:w w:val="105"/>
          <w:sz w:val="13"/>
        </w:rPr>
        <w:t>2017 </w:t>
      </w:r>
      <w:r>
        <w:rPr>
          <w:spacing w:val="-3"/>
          <w:w w:val="105"/>
          <w:sz w:val="13"/>
        </w:rPr>
        <w:t>(19 </w:t>
      </w:r>
      <w:r>
        <w:rPr>
          <w:w w:val="105"/>
          <w:sz w:val="13"/>
        </w:rPr>
        <w:t>November 2018)</w:t>
      </w:r>
      <w:r>
        <w:rPr>
          <w:spacing w:val="14"/>
          <w:w w:val="105"/>
          <w:sz w:val="13"/>
        </w:rPr>
        <w:t> </w:t>
      </w:r>
      <w:r>
        <w:rPr>
          <w:w w:val="105"/>
          <w:sz w:val="13"/>
        </w:rPr>
        <w:t>18.3.1.</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8"/>
        <w:rPr>
          <w:sz w:val="40"/>
        </w:rPr>
      </w:pPr>
    </w:p>
    <w:p>
      <w:pPr>
        <w:spacing w:before="0"/>
        <w:ind w:left="530" w:right="568" w:firstLine="0"/>
        <w:jc w:val="center"/>
        <w:rPr>
          <w:b/>
          <w:sz w:val="24"/>
        </w:rPr>
      </w:pPr>
      <w:r>
        <w:rPr>
          <w:b/>
          <w:color w:val="658464"/>
          <w:w w:val="110"/>
          <w:sz w:val="24"/>
        </w:rPr>
        <w:t>103</w:t>
      </w:r>
    </w:p>
    <w:p>
      <w:pPr>
        <w:spacing w:after="0"/>
        <w:jc w:val="center"/>
        <w:rPr>
          <w:sz w:val="24"/>
        </w:rPr>
        <w:sectPr>
          <w:type w:val="continuous"/>
          <w:pgSz w:w="11910" w:h="16840"/>
          <w:pgMar w:top="300" w:bottom="280" w:left="0" w:right="0"/>
          <w:cols w:num="2" w:equalWidth="0">
            <w:col w:w="10319" w:space="40"/>
            <w:col w:w="1551"/>
          </w:cols>
        </w:sectPr>
      </w:pPr>
    </w:p>
    <w:p>
      <w:pPr>
        <w:pStyle w:val="BodyText"/>
        <w:spacing w:before="9"/>
        <w:rPr>
          <w:b/>
          <w:sz w:val="22"/>
        </w:rPr>
      </w:pPr>
    </w:p>
    <w:p>
      <w:pPr>
        <w:pStyle w:val="BodyText"/>
        <w:spacing w:line="242" w:lineRule="auto" w:before="92"/>
        <w:ind w:left="2381" w:right="1558"/>
        <w:rPr>
          <w:sz w:val="12"/>
        </w:rPr>
      </w:pPr>
      <w:bookmarkStart w:name="_bookmark58" w:id="135"/>
      <w:bookmarkEnd w:id="135"/>
      <w:r>
        <w:rPr/>
      </w:r>
      <w:r>
        <w:rPr>
          <w:w w:val="105"/>
        </w:rPr>
        <w:t>and</w:t>
      </w:r>
      <w:r>
        <w:rPr>
          <w:spacing w:val="-12"/>
          <w:w w:val="105"/>
        </w:rPr>
        <w:t> </w:t>
      </w:r>
      <w:r>
        <w:rPr>
          <w:w w:val="105"/>
        </w:rPr>
        <w:t>attend</w:t>
      </w:r>
      <w:r>
        <w:rPr>
          <w:spacing w:val="-11"/>
          <w:w w:val="105"/>
        </w:rPr>
        <w:t> </w:t>
      </w:r>
      <w:r>
        <w:rPr>
          <w:w w:val="105"/>
        </w:rPr>
        <w:t>the</w:t>
      </w:r>
      <w:r>
        <w:rPr>
          <w:spacing w:val="-11"/>
          <w:w w:val="105"/>
        </w:rPr>
        <w:t> </w:t>
      </w:r>
      <w:r>
        <w:rPr>
          <w:spacing w:val="-3"/>
          <w:w w:val="105"/>
        </w:rPr>
        <w:t>Preliminary</w:t>
      </w:r>
      <w:r>
        <w:rPr>
          <w:spacing w:val="-11"/>
          <w:w w:val="105"/>
        </w:rPr>
        <w:t> </w:t>
      </w:r>
      <w:r>
        <w:rPr>
          <w:spacing w:val="-4"/>
          <w:w w:val="105"/>
        </w:rPr>
        <w:t>Conference</w:t>
      </w:r>
      <w:r>
        <w:rPr>
          <w:spacing w:val="-12"/>
          <w:w w:val="105"/>
        </w:rPr>
        <w:t> </w:t>
      </w:r>
      <w:r>
        <w:rPr>
          <w:w w:val="105"/>
        </w:rPr>
        <w:t>if</w:t>
      </w:r>
      <w:r>
        <w:rPr>
          <w:spacing w:val="-11"/>
          <w:w w:val="105"/>
        </w:rPr>
        <w:t> </w:t>
      </w:r>
      <w:r>
        <w:rPr>
          <w:w w:val="105"/>
        </w:rPr>
        <w:t>they</w:t>
      </w:r>
      <w:r>
        <w:rPr>
          <w:spacing w:val="-11"/>
          <w:w w:val="105"/>
        </w:rPr>
        <w:t> </w:t>
      </w:r>
      <w:r>
        <w:rPr>
          <w:w w:val="105"/>
        </w:rPr>
        <w:t>believe</w:t>
      </w:r>
      <w:r>
        <w:rPr>
          <w:spacing w:val="-11"/>
          <w:w w:val="105"/>
        </w:rPr>
        <w:t> </w:t>
      </w:r>
      <w:r>
        <w:rPr>
          <w:w w:val="105"/>
        </w:rPr>
        <w:t>their</w:t>
      </w:r>
      <w:r>
        <w:rPr>
          <w:spacing w:val="-11"/>
          <w:w w:val="105"/>
        </w:rPr>
        <w:t> </w:t>
      </w:r>
      <w:r>
        <w:rPr>
          <w:w w:val="105"/>
        </w:rPr>
        <w:t>interests</w:t>
      </w:r>
      <w:r>
        <w:rPr>
          <w:spacing w:val="-12"/>
          <w:w w:val="105"/>
        </w:rPr>
        <w:t> </w:t>
      </w:r>
      <w:r>
        <w:rPr>
          <w:spacing w:val="-3"/>
          <w:w w:val="105"/>
        </w:rPr>
        <w:t>may</w:t>
      </w:r>
      <w:r>
        <w:rPr>
          <w:spacing w:val="-11"/>
          <w:w w:val="105"/>
        </w:rPr>
        <w:t> </w:t>
      </w:r>
      <w:r>
        <w:rPr>
          <w:w w:val="105"/>
        </w:rPr>
        <w:t>be</w:t>
      </w:r>
      <w:r>
        <w:rPr>
          <w:spacing w:val="-11"/>
          <w:w w:val="105"/>
        </w:rPr>
        <w:t> </w:t>
      </w:r>
      <w:r>
        <w:rPr>
          <w:w w:val="105"/>
        </w:rPr>
        <w:t>affected</w:t>
      </w:r>
      <w:r>
        <w:rPr>
          <w:spacing w:val="-11"/>
          <w:w w:val="105"/>
        </w:rPr>
        <w:t> </w:t>
      </w:r>
      <w:r>
        <w:rPr>
          <w:w w:val="105"/>
        </w:rPr>
        <w:t>by</w:t>
      </w:r>
      <w:r>
        <w:rPr>
          <w:spacing w:val="-11"/>
          <w:w w:val="105"/>
        </w:rPr>
        <w:t> </w:t>
      </w:r>
      <w:r>
        <w:rPr>
          <w:w w:val="105"/>
        </w:rPr>
        <w:t>an order </w:t>
      </w:r>
      <w:r>
        <w:rPr>
          <w:spacing w:val="-3"/>
          <w:w w:val="105"/>
        </w:rPr>
        <w:t>related to </w:t>
      </w:r>
      <w:r>
        <w:rPr>
          <w:w w:val="105"/>
        </w:rPr>
        <w:t>a</w:t>
      </w:r>
      <w:r>
        <w:rPr>
          <w:spacing w:val="26"/>
          <w:w w:val="105"/>
        </w:rPr>
        <w:t> </w:t>
      </w:r>
      <w:r>
        <w:rPr>
          <w:w w:val="105"/>
        </w:rPr>
        <w:t>plant.</w:t>
      </w:r>
      <w:r>
        <w:rPr>
          <w:w w:val="105"/>
          <w:position w:val="7"/>
          <w:sz w:val="12"/>
        </w:rPr>
        <w:t>382</w:t>
      </w:r>
    </w:p>
    <w:p>
      <w:pPr>
        <w:pStyle w:val="BodyText"/>
        <w:spacing w:before="2"/>
        <w:rPr>
          <w:sz w:val="20"/>
        </w:rPr>
      </w:pPr>
    </w:p>
    <w:p>
      <w:pPr>
        <w:pStyle w:val="Heading5"/>
        <w:spacing w:before="1"/>
      </w:pPr>
      <w:r>
        <w:rPr>
          <w:w w:val="115"/>
        </w:rPr>
        <w:t>Community responses—who should be notified?</w:t>
      </w:r>
    </w:p>
    <w:p>
      <w:pPr>
        <w:pStyle w:val="ListParagraph"/>
        <w:numPr>
          <w:ilvl w:val="0"/>
          <w:numId w:val="79"/>
        </w:numPr>
        <w:tabs>
          <w:tab w:pos="2380" w:val="left" w:leader="none"/>
          <w:tab w:pos="2381" w:val="left" w:leader="none"/>
        </w:tabs>
        <w:spacing w:line="242" w:lineRule="auto" w:before="137" w:after="0"/>
        <w:ind w:left="2381" w:right="1740" w:hanging="794"/>
        <w:jc w:val="left"/>
        <w:rPr>
          <w:sz w:val="21"/>
        </w:rPr>
      </w:pPr>
      <w:r>
        <w:rPr>
          <w:spacing w:val="-3"/>
          <w:w w:val="105"/>
          <w:sz w:val="21"/>
        </w:rPr>
        <w:t>Pointon </w:t>
      </w:r>
      <w:r>
        <w:rPr>
          <w:w w:val="105"/>
          <w:sz w:val="21"/>
        </w:rPr>
        <w:t>Partners </w:t>
      </w:r>
      <w:r>
        <w:rPr>
          <w:spacing w:val="-3"/>
          <w:w w:val="105"/>
          <w:sz w:val="21"/>
        </w:rPr>
        <w:t>commented that all </w:t>
      </w:r>
      <w:r>
        <w:rPr>
          <w:w w:val="105"/>
          <w:sz w:val="21"/>
        </w:rPr>
        <w:t>persons affected by the application should be notified,</w:t>
      </w:r>
      <w:r>
        <w:rPr>
          <w:spacing w:val="-8"/>
          <w:w w:val="105"/>
          <w:sz w:val="21"/>
        </w:rPr>
        <w:t> </w:t>
      </w:r>
      <w:r>
        <w:rPr>
          <w:spacing w:val="-3"/>
          <w:w w:val="105"/>
          <w:sz w:val="21"/>
        </w:rPr>
        <w:t>including</w:t>
      </w:r>
      <w:r>
        <w:rPr>
          <w:spacing w:val="-8"/>
          <w:w w:val="105"/>
          <w:sz w:val="21"/>
        </w:rPr>
        <w:t> </w:t>
      </w:r>
      <w:r>
        <w:rPr>
          <w:w w:val="105"/>
          <w:sz w:val="21"/>
        </w:rPr>
        <w:t>the</w:t>
      </w:r>
      <w:r>
        <w:rPr>
          <w:spacing w:val="-8"/>
          <w:w w:val="105"/>
          <w:sz w:val="21"/>
        </w:rPr>
        <w:t> </w:t>
      </w:r>
      <w:r>
        <w:rPr>
          <w:w w:val="105"/>
          <w:sz w:val="21"/>
        </w:rPr>
        <w:t>local</w:t>
      </w:r>
      <w:r>
        <w:rPr>
          <w:spacing w:val="-8"/>
          <w:w w:val="105"/>
          <w:sz w:val="21"/>
        </w:rPr>
        <w:t> </w:t>
      </w:r>
      <w:r>
        <w:rPr>
          <w:w w:val="105"/>
          <w:sz w:val="21"/>
        </w:rPr>
        <w:t>council.</w:t>
      </w:r>
      <w:r>
        <w:rPr>
          <w:w w:val="105"/>
          <w:position w:val="7"/>
          <w:sz w:val="12"/>
        </w:rPr>
        <w:t>383</w:t>
      </w:r>
      <w:r>
        <w:rPr>
          <w:spacing w:val="14"/>
          <w:w w:val="105"/>
          <w:position w:val="7"/>
          <w:sz w:val="12"/>
        </w:rPr>
        <w:t> </w:t>
      </w:r>
      <w:r>
        <w:rPr>
          <w:w w:val="105"/>
          <w:sz w:val="21"/>
        </w:rPr>
        <w:t>This</w:t>
      </w:r>
      <w:r>
        <w:rPr>
          <w:spacing w:val="-8"/>
          <w:w w:val="105"/>
          <w:sz w:val="21"/>
        </w:rPr>
        <w:t> </w:t>
      </w:r>
      <w:r>
        <w:rPr>
          <w:w w:val="105"/>
          <w:sz w:val="21"/>
        </w:rPr>
        <w:t>would</w:t>
      </w:r>
      <w:r>
        <w:rPr>
          <w:spacing w:val="-8"/>
          <w:w w:val="105"/>
          <w:sz w:val="21"/>
        </w:rPr>
        <w:t> </w:t>
      </w:r>
      <w:r>
        <w:rPr>
          <w:w w:val="105"/>
          <w:sz w:val="21"/>
        </w:rPr>
        <w:t>enable</w:t>
      </w:r>
      <w:r>
        <w:rPr>
          <w:spacing w:val="-8"/>
          <w:w w:val="105"/>
          <w:sz w:val="21"/>
        </w:rPr>
        <w:t> </w:t>
      </w:r>
      <w:r>
        <w:rPr>
          <w:spacing w:val="-3"/>
          <w:w w:val="105"/>
          <w:sz w:val="21"/>
        </w:rPr>
        <w:t>council</w:t>
      </w:r>
      <w:r>
        <w:rPr>
          <w:spacing w:val="-8"/>
          <w:w w:val="105"/>
          <w:sz w:val="21"/>
        </w:rPr>
        <w:t> </w:t>
      </w:r>
      <w:r>
        <w:rPr>
          <w:spacing w:val="-3"/>
          <w:w w:val="105"/>
          <w:sz w:val="21"/>
        </w:rPr>
        <w:t>to</w:t>
      </w:r>
      <w:r>
        <w:rPr>
          <w:spacing w:val="-8"/>
          <w:w w:val="105"/>
          <w:sz w:val="21"/>
        </w:rPr>
        <w:t> </w:t>
      </w:r>
      <w:r>
        <w:rPr>
          <w:w w:val="105"/>
          <w:sz w:val="21"/>
        </w:rPr>
        <w:t>provide</w:t>
      </w:r>
      <w:r>
        <w:rPr>
          <w:spacing w:val="-8"/>
          <w:w w:val="105"/>
          <w:sz w:val="21"/>
        </w:rPr>
        <w:t> </w:t>
      </w:r>
      <w:r>
        <w:rPr>
          <w:w w:val="105"/>
          <w:sz w:val="21"/>
        </w:rPr>
        <w:t>the</w:t>
      </w:r>
      <w:r>
        <w:rPr>
          <w:spacing w:val="-8"/>
          <w:w w:val="105"/>
          <w:sz w:val="21"/>
        </w:rPr>
        <w:t> </w:t>
      </w:r>
      <w:r>
        <w:rPr>
          <w:w w:val="105"/>
          <w:sz w:val="21"/>
        </w:rPr>
        <w:t>decision- </w:t>
      </w:r>
      <w:r>
        <w:rPr>
          <w:spacing w:val="-3"/>
          <w:w w:val="105"/>
          <w:sz w:val="21"/>
        </w:rPr>
        <w:t>making </w:t>
      </w:r>
      <w:r>
        <w:rPr>
          <w:w w:val="105"/>
          <w:sz w:val="21"/>
        </w:rPr>
        <w:t>body with </w:t>
      </w:r>
      <w:r>
        <w:rPr>
          <w:spacing w:val="-3"/>
          <w:w w:val="105"/>
          <w:sz w:val="21"/>
        </w:rPr>
        <w:t>any relevant information concerning </w:t>
      </w:r>
      <w:r>
        <w:rPr>
          <w:w w:val="105"/>
          <w:sz w:val="21"/>
        </w:rPr>
        <w:t>the</w:t>
      </w:r>
      <w:r>
        <w:rPr>
          <w:spacing w:val="49"/>
          <w:w w:val="105"/>
          <w:sz w:val="21"/>
        </w:rPr>
        <w:t> </w:t>
      </w:r>
      <w:r>
        <w:rPr>
          <w:spacing w:val="-3"/>
          <w:w w:val="105"/>
          <w:sz w:val="21"/>
        </w:rPr>
        <w:t>tree.</w:t>
      </w:r>
    </w:p>
    <w:p>
      <w:pPr>
        <w:pStyle w:val="ListParagraph"/>
        <w:numPr>
          <w:ilvl w:val="0"/>
          <w:numId w:val="79"/>
        </w:numPr>
        <w:tabs>
          <w:tab w:pos="2381" w:val="left" w:leader="none"/>
        </w:tabs>
        <w:spacing w:line="242" w:lineRule="auto" w:before="123" w:after="0"/>
        <w:ind w:left="2381" w:right="1606" w:hanging="794"/>
        <w:jc w:val="both"/>
        <w:rPr>
          <w:sz w:val="12"/>
        </w:rPr>
      </w:pPr>
      <w:r>
        <w:rPr>
          <w:w w:val="105"/>
          <w:sz w:val="21"/>
        </w:rPr>
        <w:t>Baw Baw </w:t>
      </w:r>
      <w:r>
        <w:rPr>
          <w:spacing w:val="-3"/>
          <w:w w:val="105"/>
          <w:sz w:val="21"/>
        </w:rPr>
        <w:t>Shire </w:t>
      </w:r>
      <w:r>
        <w:rPr>
          <w:spacing w:val="-4"/>
          <w:w w:val="105"/>
          <w:sz w:val="21"/>
        </w:rPr>
        <w:t>Council </w:t>
      </w:r>
      <w:r>
        <w:rPr>
          <w:w w:val="105"/>
          <w:sz w:val="21"/>
        </w:rPr>
        <w:t>explained </w:t>
      </w:r>
      <w:r>
        <w:rPr>
          <w:spacing w:val="-3"/>
          <w:w w:val="105"/>
          <w:sz w:val="21"/>
        </w:rPr>
        <w:t>that </w:t>
      </w:r>
      <w:r>
        <w:rPr>
          <w:w w:val="105"/>
          <w:sz w:val="21"/>
        </w:rPr>
        <w:t>it </w:t>
      </w:r>
      <w:r>
        <w:rPr>
          <w:spacing w:val="-3"/>
          <w:w w:val="105"/>
          <w:sz w:val="21"/>
        </w:rPr>
        <w:t>‘needed to </w:t>
      </w:r>
      <w:r>
        <w:rPr>
          <w:w w:val="105"/>
          <w:sz w:val="21"/>
        </w:rPr>
        <w:t>be </w:t>
      </w:r>
      <w:r>
        <w:rPr>
          <w:spacing w:val="-3"/>
          <w:w w:val="105"/>
          <w:sz w:val="21"/>
        </w:rPr>
        <w:t>involved </w:t>
      </w:r>
      <w:r>
        <w:rPr>
          <w:w w:val="105"/>
          <w:sz w:val="21"/>
        </w:rPr>
        <w:t>in decision-making where it </w:t>
      </w:r>
      <w:r>
        <w:rPr>
          <w:spacing w:val="-3"/>
          <w:w w:val="105"/>
          <w:sz w:val="21"/>
        </w:rPr>
        <w:t>currently </w:t>
      </w:r>
      <w:r>
        <w:rPr>
          <w:w w:val="105"/>
          <w:sz w:val="21"/>
        </w:rPr>
        <w:t>plays a part’.</w:t>
      </w:r>
      <w:r>
        <w:rPr>
          <w:w w:val="105"/>
          <w:position w:val="7"/>
          <w:sz w:val="12"/>
        </w:rPr>
        <w:t>384 </w:t>
      </w:r>
      <w:r>
        <w:rPr>
          <w:spacing w:val="-3"/>
          <w:w w:val="105"/>
          <w:sz w:val="21"/>
        </w:rPr>
        <w:t>Nillumbik Shire </w:t>
      </w:r>
      <w:r>
        <w:rPr>
          <w:spacing w:val="-4"/>
          <w:w w:val="105"/>
          <w:sz w:val="21"/>
        </w:rPr>
        <w:t>Council </w:t>
      </w:r>
      <w:r>
        <w:rPr>
          <w:spacing w:val="-3"/>
          <w:w w:val="105"/>
          <w:sz w:val="21"/>
        </w:rPr>
        <w:t>informed </w:t>
      </w:r>
      <w:r>
        <w:rPr>
          <w:w w:val="105"/>
          <w:sz w:val="21"/>
        </w:rPr>
        <w:t>the </w:t>
      </w:r>
      <w:r>
        <w:rPr>
          <w:spacing w:val="-3"/>
          <w:w w:val="105"/>
          <w:sz w:val="21"/>
        </w:rPr>
        <w:t>Commission that </w:t>
      </w:r>
      <w:r>
        <w:rPr>
          <w:w w:val="105"/>
          <w:sz w:val="21"/>
        </w:rPr>
        <w:t>it would be open </w:t>
      </w:r>
      <w:r>
        <w:rPr>
          <w:spacing w:val="-3"/>
          <w:w w:val="105"/>
          <w:sz w:val="21"/>
        </w:rPr>
        <w:t>to having </w:t>
      </w:r>
      <w:r>
        <w:rPr>
          <w:w w:val="105"/>
          <w:sz w:val="21"/>
        </w:rPr>
        <w:t>some level of </w:t>
      </w:r>
      <w:r>
        <w:rPr>
          <w:spacing w:val="-3"/>
          <w:w w:val="105"/>
          <w:sz w:val="21"/>
        </w:rPr>
        <w:t>involvement during </w:t>
      </w:r>
      <w:r>
        <w:rPr>
          <w:w w:val="105"/>
          <w:sz w:val="21"/>
        </w:rPr>
        <w:t>the </w:t>
      </w:r>
      <w:r>
        <w:rPr>
          <w:spacing w:val="-3"/>
          <w:w w:val="105"/>
          <w:sz w:val="21"/>
        </w:rPr>
        <w:t>hearing</w:t>
      </w:r>
      <w:r>
        <w:rPr>
          <w:spacing w:val="43"/>
          <w:w w:val="105"/>
          <w:sz w:val="21"/>
        </w:rPr>
        <w:t> </w:t>
      </w:r>
      <w:r>
        <w:rPr>
          <w:w w:val="105"/>
          <w:sz w:val="21"/>
        </w:rPr>
        <w:t>process.</w:t>
      </w:r>
      <w:r>
        <w:rPr>
          <w:w w:val="105"/>
          <w:position w:val="7"/>
          <w:sz w:val="12"/>
        </w:rPr>
        <w:t>385</w:t>
      </w:r>
    </w:p>
    <w:p>
      <w:pPr>
        <w:pStyle w:val="ListParagraph"/>
        <w:numPr>
          <w:ilvl w:val="0"/>
          <w:numId w:val="79"/>
        </w:numPr>
        <w:tabs>
          <w:tab w:pos="2381" w:val="left" w:leader="none"/>
          <w:tab w:pos="2382" w:val="left" w:leader="none"/>
        </w:tabs>
        <w:spacing w:line="242" w:lineRule="auto" w:before="123" w:after="0"/>
        <w:ind w:left="2381" w:right="1859" w:hanging="794"/>
        <w:jc w:val="left"/>
        <w:rPr>
          <w:sz w:val="12"/>
        </w:rPr>
      </w:pPr>
      <w:r>
        <w:rPr>
          <w:w w:val="105"/>
          <w:sz w:val="21"/>
        </w:rPr>
        <w:t>In </w:t>
      </w:r>
      <w:r>
        <w:rPr>
          <w:spacing w:val="-3"/>
          <w:w w:val="105"/>
          <w:sz w:val="21"/>
        </w:rPr>
        <w:t>contrast </w:t>
      </w:r>
      <w:r>
        <w:rPr>
          <w:w w:val="105"/>
          <w:sz w:val="21"/>
        </w:rPr>
        <w:t>the </w:t>
      </w:r>
      <w:r>
        <w:rPr>
          <w:spacing w:val="-3"/>
          <w:w w:val="105"/>
          <w:sz w:val="21"/>
        </w:rPr>
        <w:t>City </w:t>
      </w:r>
      <w:r>
        <w:rPr>
          <w:w w:val="105"/>
          <w:sz w:val="21"/>
        </w:rPr>
        <w:t>of </w:t>
      </w:r>
      <w:r>
        <w:rPr>
          <w:spacing w:val="-3"/>
          <w:w w:val="105"/>
          <w:sz w:val="21"/>
        </w:rPr>
        <w:t>Boroondara noted that </w:t>
      </w:r>
      <w:r>
        <w:rPr>
          <w:spacing w:val="-6"/>
          <w:w w:val="105"/>
          <w:sz w:val="21"/>
        </w:rPr>
        <w:t>‘any  </w:t>
      </w:r>
      <w:r>
        <w:rPr>
          <w:spacing w:val="-3"/>
          <w:w w:val="105"/>
          <w:sz w:val="21"/>
        </w:rPr>
        <w:t>requirement for </w:t>
      </w:r>
      <w:r>
        <w:rPr>
          <w:spacing w:val="-4"/>
          <w:w w:val="105"/>
          <w:sz w:val="21"/>
        </w:rPr>
        <w:t>Council </w:t>
      </w:r>
      <w:r>
        <w:rPr>
          <w:spacing w:val="-3"/>
          <w:w w:val="105"/>
          <w:sz w:val="21"/>
        </w:rPr>
        <w:t>to </w:t>
      </w:r>
      <w:r>
        <w:rPr>
          <w:w w:val="105"/>
          <w:sz w:val="21"/>
        </w:rPr>
        <w:t>appear  in</w:t>
      </w:r>
      <w:r>
        <w:rPr>
          <w:spacing w:val="-13"/>
          <w:w w:val="105"/>
          <w:sz w:val="21"/>
        </w:rPr>
        <w:t> </w:t>
      </w:r>
      <w:r>
        <w:rPr>
          <w:w w:val="105"/>
          <w:sz w:val="21"/>
        </w:rPr>
        <w:t>a</w:t>
      </w:r>
      <w:r>
        <w:rPr>
          <w:spacing w:val="-12"/>
          <w:w w:val="105"/>
          <w:sz w:val="21"/>
        </w:rPr>
        <w:t> </w:t>
      </w:r>
      <w:r>
        <w:rPr>
          <w:w w:val="105"/>
          <w:sz w:val="21"/>
        </w:rPr>
        <w:t>tree</w:t>
      </w:r>
      <w:r>
        <w:rPr>
          <w:spacing w:val="-13"/>
          <w:w w:val="105"/>
          <w:sz w:val="21"/>
        </w:rPr>
        <w:t> </w:t>
      </w:r>
      <w:r>
        <w:rPr>
          <w:spacing w:val="-3"/>
          <w:w w:val="105"/>
          <w:sz w:val="21"/>
        </w:rPr>
        <w:t>dispute</w:t>
      </w:r>
      <w:r>
        <w:rPr>
          <w:spacing w:val="-12"/>
          <w:w w:val="105"/>
          <w:sz w:val="21"/>
        </w:rPr>
        <w:t> </w:t>
      </w:r>
      <w:r>
        <w:rPr>
          <w:w w:val="105"/>
          <w:sz w:val="21"/>
        </w:rPr>
        <w:t>matter</w:t>
      </w:r>
      <w:r>
        <w:rPr>
          <w:spacing w:val="-12"/>
          <w:w w:val="105"/>
          <w:sz w:val="21"/>
        </w:rPr>
        <w:t> </w:t>
      </w:r>
      <w:r>
        <w:rPr>
          <w:spacing w:val="-3"/>
          <w:w w:val="105"/>
          <w:sz w:val="21"/>
        </w:rPr>
        <w:t>may</w:t>
      </w:r>
      <w:r>
        <w:rPr>
          <w:spacing w:val="-13"/>
          <w:w w:val="105"/>
          <w:sz w:val="21"/>
        </w:rPr>
        <w:t> </w:t>
      </w:r>
      <w:r>
        <w:rPr>
          <w:w w:val="105"/>
          <w:sz w:val="21"/>
        </w:rPr>
        <w:t>be</w:t>
      </w:r>
      <w:r>
        <w:rPr>
          <w:spacing w:val="-12"/>
          <w:w w:val="105"/>
          <w:sz w:val="21"/>
        </w:rPr>
        <w:t> </w:t>
      </w:r>
      <w:r>
        <w:rPr>
          <w:spacing w:val="-3"/>
          <w:w w:val="105"/>
          <w:sz w:val="21"/>
        </w:rPr>
        <w:t>problematic,</w:t>
      </w:r>
      <w:r>
        <w:rPr>
          <w:spacing w:val="-13"/>
          <w:w w:val="105"/>
          <w:sz w:val="21"/>
        </w:rPr>
        <w:t> </w:t>
      </w:r>
      <w:r>
        <w:rPr>
          <w:w w:val="105"/>
          <w:sz w:val="21"/>
        </w:rPr>
        <w:t>particularly</w:t>
      </w:r>
      <w:r>
        <w:rPr>
          <w:spacing w:val="-12"/>
          <w:w w:val="105"/>
          <w:sz w:val="21"/>
        </w:rPr>
        <w:t> </w:t>
      </w:r>
      <w:r>
        <w:rPr>
          <w:w w:val="105"/>
          <w:sz w:val="21"/>
        </w:rPr>
        <w:t>if</w:t>
      </w:r>
      <w:r>
        <w:rPr>
          <w:spacing w:val="-12"/>
          <w:w w:val="105"/>
          <w:sz w:val="21"/>
        </w:rPr>
        <w:t> </w:t>
      </w:r>
      <w:r>
        <w:rPr>
          <w:w w:val="105"/>
          <w:sz w:val="21"/>
        </w:rPr>
        <w:t>it</w:t>
      </w:r>
      <w:r>
        <w:rPr>
          <w:spacing w:val="-13"/>
          <w:w w:val="105"/>
          <w:sz w:val="21"/>
        </w:rPr>
        <w:t> </w:t>
      </w:r>
      <w:r>
        <w:rPr>
          <w:w w:val="105"/>
          <w:sz w:val="21"/>
        </w:rPr>
        <w:t>is</w:t>
      </w:r>
      <w:r>
        <w:rPr>
          <w:spacing w:val="-12"/>
          <w:w w:val="105"/>
          <w:sz w:val="21"/>
        </w:rPr>
        <w:t> </w:t>
      </w:r>
      <w:r>
        <w:rPr>
          <w:w w:val="105"/>
          <w:sz w:val="21"/>
        </w:rPr>
        <w:t>perceived</w:t>
      </w:r>
      <w:r>
        <w:rPr>
          <w:spacing w:val="-12"/>
          <w:w w:val="105"/>
          <w:sz w:val="21"/>
        </w:rPr>
        <w:t> </w:t>
      </w:r>
      <w:r>
        <w:rPr>
          <w:w w:val="105"/>
          <w:sz w:val="21"/>
        </w:rPr>
        <w:t>by</w:t>
      </w:r>
      <w:r>
        <w:rPr>
          <w:spacing w:val="-13"/>
          <w:w w:val="105"/>
          <w:sz w:val="21"/>
        </w:rPr>
        <w:t> </w:t>
      </w:r>
      <w:r>
        <w:rPr>
          <w:w w:val="105"/>
          <w:sz w:val="21"/>
        </w:rPr>
        <w:t>community members </w:t>
      </w:r>
      <w:r>
        <w:rPr>
          <w:spacing w:val="-3"/>
          <w:w w:val="105"/>
          <w:sz w:val="21"/>
        </w:rPr>
        <w:t>that </w:t>
      </w:r>
      <w:r>
        <w:rPr>
          <w:spacing w:val="-4"/>
          <w:w w:val="105"/>
          <w:sz w:val="21"/>
        </w:rPr>
        <w:t>Council </w:t>
      </w:r>
      <w:r>
        <w:rPr>
          <w:w w:val="105"/>
          <w:sz w:val="21"/>
        </w:rPr>
        <w:t>is </w:t>
      </w:r>
      <w:r>
        <w:rPr>
          <w:spacing w:val="-3"/>
          <w:w w:val="105"/>
          <w:sz w:val="21"/>
        </w:rPr>
        <w:t>“taking </w:t>
      </w:r>
      <w:r>
        <w:rPr>
          <w:w w:val="105"/>
          <w:sz w:val="21"/>
        </w:rPr>
        <w:t>a </w:t>
      </w:r>
      <w:r>
        <w:rPr>
          <w:spacing w:val="-4"/>
          <w:w w:val="105"/>
          <w:sz w:val="21"/>
        </w:rPr>
        <w:t>side” </w:t>
      </w:r>
      <w:r>
        <w:rPr>
          <w:w w:val="105"/>
          <w:sz w:val="21"/>
        </w:rPr>
        <w:t>where both parties </w:t>
      </w:r>
      <w:r>
        <w:rPr>
          <w:spacing w:val="-3"/>
          <w:w w:val="105"/>
          <w:sz w:val="21"/>
        </w:rPr>
        <w:t>are</w:t>
      </w:r>
      <w:r>
        <w:rPr>
          <w:spacing w:val="5"/>
          <w:w w:val="105"/>
          <w:sz w:val="21"/>
        </w:rPr>
        <w:t> </w:t>
      </w:r>
      <w:r>
        <w:rPr>
          <w:spacing w:val="-3"/>
          <w:w w:val="105"/>
          <w:sz w:val="21"/>
        </w:rPr>
        <w:t>ratepayers’.</w:t>
      </w:r>
      <w:r>
        <w:rPr>
          <w:spacing w:val="-3"/>
          <w:w w:val="105"/>
          <w:position w:val="7"/>
          <w:sz w:val="12"/>
        </w:rPr>
        <w:t>386</w:t>
      </w:r>
    </w:p>
    <w:p>
      <w:pPr>
        <w:pStyle w:val="BodyText"/>
        <w:spacing w:before="4"/>
        <w:rPr>
          <w:sz w:val="20"/>
        </w:rPr>
      </w:pPr>
    </w:p>
    <w:p>
      <w:pPr>
        <w:pStyle w:val="Heading5"/>
      </w:pPr>
      <w:r>
        <w:rPr>
          <w:w w:val="115"/>
        </w:rPr>
        <w:t>The Commission’s conclusions—who should be notified?</w:t>
      </w:r>
    </w:p>
    <w:p>
      <w:pPr>
        <w:pStyle w:val="ListParagraph"/>
        <w:numPr>
          <w:ilvl w:val="0"/>
          <w:numId w:val="79"/>
        </w:numPr>
        <w:tabs>
          <w:tab w:pos="2381" w:val="left" w:leader="none"/>
          <w:tab w:pos="2382" w:val="left" w:leader="none"/>
        </w:tabs>
        <w:spacing w:line="242" w:lineRule="auto" w:before="138" w:after="0"/>
        <w:ind w:left="2381" w:right="1793" w:hanging="794"/>
        <w:jc w:val="left"/>
        <w:rPr>
          <w:sz w:val="21"/>
        </w:rPr>
      </w:pPr>
      <w:r>
        <w:rPr>
          <w:sz w:val="21"/>
        </w:rPr>
        <w:t>An approach </w:t>
      </w:r>
      <w:r>
        <w:rPr>
          <w:spacing w:val="-3"/>
          <w:sz w:val="21"/>
        </w:rPr>
        <w:t>similar to </w:t>
      </w:r>
      <w:r>
        <w:rPr>
          <w:sz w:val="21"/>
        </w:rPr>
        <w:t>the interstate schemes should be </w:t>
      </w:r>
      <w:r>
        <w:rPr>
          <w:spacing w:val="-3"/>
          <w:sz w:val="21"/>
        </w:rPr>
        <w:t>taken  </w:t>
      </w:r>
      <w:r>
        <w:rPr>
          <w:sz w:val="21"/>
        </w:rPr>
        <w:t>by </w:t>
      </w:r>
      <w:r>
        <w:rPr>
          <w:spacing w:val="-3"/>
          <w:sz w:val="21"/>
        </w:rPr>
        <w:t>requiring</w:t>
      </w:r>
      <w:r>
        <w:rPr>
          <w:spacing w:val="41"/>
          <w:sz w:val="21"/>
        </w:rPr>
        <w:t> </w:t>
      </w:r>
      <w:r>
        <w:rPr>
          <w:sz w:val="21"/>
        </w:rPr>
        <w:t>an </w:t>
      </w:r>
      <w:r>
        <w:rPr>
          <w:spacing w:val="-3"/>
          <w:sz w:val="21"/>
        </w:rPr>
        <w:t>applicant  to </w:t>
      </w:r>
      <w:r>
        <w:rPr>
          <w:sz w:val="21"/>
        </w:rPr>
        <w:t>provide </w:t>
      </w:r>
      <w:r>
        <w:rPr>
          <w:spacing w:val="-3"/>
          <w:sz w:val="21"/>
        </w:rPr>
        <w:t>notice </w:t>
      </w:r>
      <w:r>
        <w:rPr>
          <w:sz w:val="21"/>
        </w:rPr>
        <w:t>of an application and of the remedies </w:t>
      </w:r>
      <w:r>
        <w:rPr>
          <w:spacing w:val="-3"/>
          <w:sz w:val="21"/>
        </w:rPr>
        <w:t>sought to </w:t>
      </w:r>
      <w:r>
        <w:rPr>
          <w:sz w:val="21"/>
        </w:rPr>
        <w:t>people who </w:t>
      </w:r>
      <w:r>
        <w:rPr>
          <w:spacing w:val="-3"/>
          <w:sz w:val="21"/>
        </w:rPr>
        <w:t>may </w:t>
      </w:r>
      <w:r>
        <w:rPr>
          <w:sz w:val="21"/>
        </w:rPr>
        <w:t>be affected by the tree </w:t>
      </w:r>
      <w:r>
        <w:rPr>
          <w:spacing w:val="-3"/>
          <w:sz w:val="21"/>
        </w:rPr>
        <w:t>dispute hearing. </w:t>
      </w:r>
      <w:r>
        <w:rPr>
          <w:sz w:val="21"/>
        </w:rPr>
        <w:t>Notified parties </w:t>
      </w:r>
      <w:r>
        <w:rPr>
          <w:spacing w:val="-3"/>
          <w:sz w:val="21"/>
        </w:rPr>
        <w:t>could </w:t>
      </w:r>
      <w:r>
        <w:rPr>
          <w:sz w:val="21"/>
        </w:rPr>
        <w:t>then decide on their level of </w:t>
      </w:r>
      <w:r>
        <w:rPr>
          <w:spacing w:val="-3"/>
          <w:sz w:val="21"/>
        </w:rPr>
        <w:t>involvement </w:t>
      </w:r>
      <w:r>
        <w:rPr>
          <w:sz w:val="21"/>
        </w:rPr>
        <w:t>in the</w:t>
      </w:r>
      <w:r>
        <w:rPr>
          <w:spacing w:val="28"/>
          <w:sz w:val="21"/>
        </w:rPr>
        <w:t> </w:t>
      </w:r>
      <w:r>
        <w:rPr>
          <w:spacing w:val="-4"/>
          <w:sz w:val="21"/>
        </w:rPr>
        <w:t>matter.</w:t>
      </w:r>
    </w:p>
    <w:p>
      <w:pPr>
        <w:pStyle w:val="ListParagraph"/>
        <w:numPr>
          <w:ilvl w:val="0"/>
          <w:numId w:val="79"/>
        </w:numPr>
        <w:tabs>
          <w:tab w:pos="2381" w:val="left" w:leader="none"/>
          <w:tab w:pos="2382" w:val="left" w:leader="none"/>
        </w:tabs>
        <w:spacing w:line="242" w:lineRule="auto" w:before="124" w:after="0"/>
        <w:ind w:left="2381" w:right="1782" w:hanging="794"/>
        <w:jc w:val="left"/>
        <w:rPr>
          <w:sz w:val="21"/>
        </w:rPr>
      </w:pPr>
      <w:r>
        <w:rPr>
          <w:spacing w:val="-4"/>
          <w:sz w:val="21"/>
        </w:rPr>
        <w:t>Councils </w:t>
      </w:r>
      <w:r>
        <w:rPr>
          <w:spacing w:val="-3"/>
          <w:sz w:val="21"/>
        </w:rPr>
        <w:t>may </w:t>
      </w:r>
      <w:r>
        <w:rPr>
          <w:sz w:val="21"/>
        </w:rPr>
        <w:t>choose </w:t>
      </w:r>
      <w:r>
        <w:rPr>
          <w:spacing w:val="-3"/>
          <w:sz w:val="21"/>
        </w:rPr>
        <w:t>to </w:t>
      </w:r>
      <w:r>
        <w:rPr>
          <w:sz w:val="21"/>
        </w:rPr>
        <w:t>participate in </w:t>
      </w:r>
      <w:r>
        <w:rPr>
          <w:spacing w:val="-3"/>
          <w:sz w:val="21"/>
        </w:rPr>
        <w:t>hearings </w:t>
      </w:r>
      <w:r>
        <w:rPr>
          <w:sz w:val="21"/>
        </w:rPr>
        <w:t>in a </w:t>
      </w:r>
      <w:r>
        <w:rPr>
          <w:spacing w:val="-3"/>
          <w:sz w:val="21"/>
        </w:rPr>
        <w:t>limited </w:t>
      </w:r>
      <w:r>
        <w:rPr>
          <w:spacing w:val="-5"/>
          <w:sz w:val="21"/>
        </w:rPr>
        <w:t>way, </w:t>
      </w:r>
      <w:r>
        <w:rPr>
          <w:spacing w:val="-3"/>
          <w:sz w:val="21"/>
        </w:rPr>
        <w:t>for </w:t>
      </w:r>
      <w:r>
        <w:rPr>
          <w:sz w:val="21"/>
        </w:rPr>
        <w:t>example in matters </w:t>
      </w:r>
      <w:r>
        <w:rPr>
          <w:spacing w:val="-3"/>
          <w:sz w:val="21"/>
        </w:rPr>
        <w:t>concerning significant </w:t>
      </w:r>
      <w:r>
        <w:rPr>
          <w:sz w:val="21"/>
        </w:rPr>
        <w:t>trees protected under local laws, but </w:t>
      </w:r>
      <w:r>
        <w:rPr>
          <w:spacing w:val="-2"/>
          <w:sz w:val="21"/>
        </w:rPr>
        <w:t>not </w:t>
      </w:r>
      <w:r>
        <w:rPr>
          <w:sz w:val="21"/>
        </w:rPr>
        <w:t>in </w:t>
      </w:r>
      <w:r>
        <w:rPr>
          <w:spacing w:val="-3"/>
          <w:sz w:val="21"/>
        </w:rPr>
        <w:t>hearings that concern </w:t>
      </w:r>
      <w:r>
        <w:rPr>
          <w:sz w:val="21"/>
        </w:rPr>
        <w:t>other</w:t>
      </w:r>
      <w:r>
        <w:rPr>
          <w:spacing w:val="9"/>
          <w:sz w:val="21"/>
        </w:rPr>
        <w:t> </w:t>
      </w:r>
      <w:r>
        <w:rPr>
          <w:sz w:val="21"/>
        </w:rPr>
        <w:t>trees</w:t>
      </w:r>
      <w:r>
        <w:rPr>
          <w:spacing w:val="9"/>
          <w:sz w:val="21"/>
        </w:rPr>
        <w:t> </w:t>
      </w:r>
      <w:r>
        <w:rPr>
          <w:sz w:val="21"/>
        </w:rPr>
        <w:t>on</w:t>
      </w:r>
      <w:r>
        <w:rPr>
          <w:spacing w:val="9"/>
          <w:sz w:val="21"/>
        </w:rPr>
        <w:t> </w:t>
      </w:r>
      <w:r>
        <w:rPr>
          <w:spacing w:val="-3"/>
          <w:sz w:val="21"/>
        </w:rPr>
        <w:t>private</w:t>
      </w:r>
      <w:r>
        <w:rPr>
          <w:spacing w:val="9"/>
          <w:sz w:val="21"/>
        </w:rPr>
        <w:t> </w:t>
      </w:r>
      <w:r>
        <w:rPr>
          <w:spacing w:val="-3"/>
          <w:sz w:val="21"/>
        </w:rPr>
        <w:t>land</w:t>
      </w:r>
      <w:r>
        <w:rPr>
          <w:spacing w:val="10"/>
          <w:sz w:val="21"/>
        </w:rPr>
        <w:t> </w:t>
      </w:r>
      <w:r>
        <w:rPr>
          <w:spacing w:val="-3"/>
          <w:sz w:val="21"/>
        </w:rPr>
        <w:t>within</w:t>
      </w:r>
      <w:r>
        <w:rPr>
          <w:spacing w:val="9"/>
          <w:sz w:val="21"/>
        </w:rPr>
        <w:t> </w:t>
      </w:r>
      <w:r>
        <w:rPr>
          <w:sz w:val="21"/>
        </w:rPr>
        <w:t>their</w:t>
      </w:r>
      <w:r>
        <w:rPr>
          <w:spacing w:val="9"/>
          <w:sz w:val="21"/>
        </w:rPr>
        <w:t> </w:t>
      </w:r>
      <w:r>
        <w:rPr>
          <w:spacing w:val="-3"/>
          <w:sz w:val="21"/>
        </w:rPr>
        <w:t>municipality.</w:t>
      </w:r>
    </w:p>
    <w:p>
      <w:pPr>
        <w:pStyle w:val="ListParagraph"/>
        <w:numPr>
          <w:ilvl w:val="0"/>
          <w:numId w:val="79"/>
        </w:numPr>
        <w:tabs>
          <w:tab w:pos="2381" w:val="left" w:leader="none"/>
          <w:tab w:pos="2382" w:val="left" w:leader="none"/>
        </w:tabs>
        <w:spacing w:line="242" w:lineRule="auto" w:before="123" w:after="0"/>
        <w:ind w:left="2381" w:right="1660" w:hanging="794"/>
        <w:jc w:val="left"/>
        <w:rPr>
          <w:sz w:val="21"/>
        </w:rPr>
      </w:pPr>
      <w:r>
        <w:rPr>
          <w:w w:val="105"/>
          <w:sz w:val="21"/>
        </w:rPr>
        <w:t>This</w:t>
      </w:r>
      <w:r>
        <w:rPr>
          <w:spacing w:val="-9"/>
          <w:w w:val="105"/>
          <w:sz w:val="21"/>
        </w:rPr>
        <w:t> </w:t>
      </w:r>
      <w:r>
        <w:rPr>
          <w:spacing w:val="-3"/>
          <w:w w:val="105"/>
          <w:sz w:val="21"/>
        </w:rPr>
        <w:t>requirement</w:t>
      </w:r>
      <w:r>
        <w:rPr>
          <w:spacing w:val="-9"/>
          <w:w w:val="105"/>
          <w:sz w:val="21"/>
        </w:rPr>
        <w:t> </w:t>
      </w:r>
      <w:r>
        <w:rPr>
          <w:w w:val="105"/>
          <w:sz w:val="21"/>
        </w:rPr>
        <w:t>should</w:t>
      </w:r>
      <w:r>
        <w:rPr>
          <w:spacing w:val="-8"/>
          <w:w w:val="105"/>
          <w:sz w:val="21"/>
        </w:rPr>
        <w:t> </w:t>
      </w:r>
      <w:r>
        <w:rPr>
          <w:w w:val="105"/>
          <w:sz w:val="21"/>
        </w:rPr>
        <w:t>be</w:t>
      </w:r>
      <w:r>
        <w:rPr>
          <w:spacing w:val="-9"/>
          <w:w w:val="105"/>
          <w:sz w:val="21"/>
        </w:rPr>
        <w:t> </w:t>
      </w:r>
      <w:r>
        <w:rPr>
          <w:w w:val="105"/>
          <w:sz w:val="21"/>
        </w:rPr>
        <w:t>waived</w:t>
      </w:r>
      <w:r>
        <w:rPr>
          <w:spacing w:val="-8"/>
          <w:w w:val="105"/>
          <w:sz w:val="21"/>
        </w:rPr>
        <w:t> </w:t>
      </w:r>
      <w:r>
        <w:rPr>
          <w:w w:val="105"/>
          <w:sz w:val="21"/>
        </w:rPr>
        <w:t>at</w:t>
      </w:r>
      <w:r>
        <w:rPr>
          <w:spacing w:val="-9"/>
          <w:w w:val="105"/>
          <w:sz w:val="21"/>
        </w:rPr>
        <w:t> </w:t>
      </w:r>
      <w:r>
        <w:rPr>
          <w:w w:val="105"/>
          <w:sz w:val="21"/>
        </w:rPr>
        <w:t>the</w:t>
      </w:r>
      <w:r>
        <w:rPr>
          <w:spacing w:val="-9"/>
          <w:w w:val="105"/>
          <w:sz w:val="21"/>
        </w:rPr>
        <w:t> </w:t>
      </w:r>
      <w:r>
        <w:rPr>
          <w:spacing w:val="-3"/>
          <w:w w:val="105"/>
          <w:sz w:val="21"/>
        </w:rPr>
        <w:t>discretion</w:t>
      </w:r>
      <w:r>
        <w:rPr>
          <w:spacing w:val="-8"/>
          <w:w w:val="105"/>
          <w:sz w:val="21"/>
        </w:rPr>
        <w:t> </w:t>
      </w:r>
      <w:r>
        <w:rPr>
          <w:w w:val="105"/>
          <w:sz w:val="21"/>
        </w:rPr>
        <w:t>of</w:t>
      </w:r>
      <w:r>
        <w:rPr>
          <w:spacing w:val="-9"/>
          <w:w w:val="105"/>
          <w:sz w:val="21"/>
        </w:rPr>
        <w:t> </w:t>
      </w:r>
      <w:r>
        <w:rPr>
          <w:w w:val="105"/>
          <w:sz w:val="21"/>
        </w:rPr>
        <w:t>the</w:t>
      </w:r>
      <w:r>
        <w:rPr>
          <w:spacing w:val="-8"/>
          <w:w w:val="105"/>
          <w:sz w:val="21"/>
        </w:rPr>
        <w:t> </w:t>
      </w:r>
      <w:r>
        <w:rPr>
          <w:w w:val="105"/>
          <w:sz w:val="21"/>
        </w:rPr>
        <w:t>decision-making</w:t>
      </w:r>
      <w:r>
        <w:rPr>
          <w:spacing w:val="-9"/>
          <w:w w:val="105"/>
          <w:sz w:val="21"/>
        </w:rPr>
        <w:t> </w:t>
      </w:r>
      <w:r>
        <w:rPr>
          <w:w w:val="105"/>
          <w:sz w:val="21"/>
        </w:rPr>
        <w:t>body</w:t>
      </w:r>
      <w:r>
        <w:rPr>
          <w:spacing w:val="-9"/>
          <w:w w:val="105"/>
          <w:sz w:val="21"/>
        </w:rPr>
        <w:t> </w:t>
      </w:r>
      <w:r>
        <w:rPr>
          <w:w w:val="105"/>
          <w:sz w:val="21"/>
        </w:rPr>
        <w:t>in</w:t>
      </w:r>
      <w:r>
        <w:rPr>
          <w:spacing w:val="-8"/>
          <w:w w:val="105"/>
          <w:sz w:val="21"/>
        </w:rPr>
        <w:t> </w:t>
      </w:r>
      <w:r>
        <w:rPr>
          <w:w w:val="105"/>
          <w:sz w:val="21"/>
        </w:rPr>
        <w:t>cases where the tree poses an </w:t>
      </w:r>
      <w:r>
        <w:rPr>
          <w:spacing w:val="-3"/>
          <w:w w:val="105"/>
          <w:sz w:val="21"/>
        </w:rPr>
        <w:t>imminent </w:t>
      </w:r>
      <w:r>
        <w:rPr>
          <w:w w:val="105"/>
          <w:sz w:val="21"/>
        </w:rPr>
        <w:t>risk of damage or</w:t>
      </w:r>
      <w:r>
        <w:rPr>
          <w:spacing w:val="37"/>
          <w:w w:val="105"/>
          <w:sz w:val="21"/>
        </w:rPr>
        <w:t> </w:t>
      </w:r>
      <w:r>
        <w:rPr>
          <w:spacing w:val="-3"/>
          <w:w w:val="105"/>
          <w:sz w:val="21"/>
        </w:rPr>
        <w:t>harm.</w:t>
      </w:r>
    </w:p>
    <w:p>
      <w:pPr>
        <w:pStyle w:val="ListParagraph"/>
        <w:numPr>
          <w:ilvl w:val="0"/>
          <w:numId w:val="79"/>
        </w:numPr>
        <w:tabs>
          <w:tab w:pos="2381" w:val="left" w:leader="none"/>
          <w:tab w:pos="2382" w:val="left" w:leader="none"/>
        </w:tabs>
        <w:spacing w:line="240" w:lineRule="auto" w:before="123" w:after="0"/>
        <w:ind w:left="2381" w:right="0" w:hanging="794"/>
        <w:jc w:val="left"/>
        <w:rPr>
          <w:sz w:val="21"/>
        </w:rPr>
      </w:pPr>
      <w:r>
        <w:rPr>
          <w:sz w:val="21"/>
        </w:rPr>
        <w:t>Parties </w:t>
      </w:r>
      <w:r>
        <w:rPr>
          <w:spacing w:val="-3"/>
          <w:sz w:val="21"/>
        </w:rPr>
        <w:t>requiring notice </w:t>
      </w:r>
      <w:r>
        <w:rPr>
          <w:sz w:val="21"/>
        </w:rPr>
        <w:t>would</w:t>
      </w:r>
      <w:r>
        <w:rPr>
          <w:spacing w:val="40"/>
          <w:sz w:val="21"/>
        </w:rPr>
        <w:t> </w:t>
      </w:r>
      <w:r>
        <w:rPr>
          <w:sz w:val="21"/>
        </w:rPr>
        <w:t>be:</w:t>
      </w:r>
    </w:p>
    <w:p>
      <w:pPr>
        <w:pStyle w:val="ListParagraph"/>
        <w:numPr>
          <w:ilvl w:val="1"/>
          <w:numId w:val="79"/>
        </w:numPr>
        <w:tabs>
          <w:tab w:pos="2721" w:val="left" w:leader="none"/>
          <w:tab w:pos="2722" w:val="left" w:leader="none"/>
        </w:tabs>
        <w:spacing w:line="240" w:lineRule="auto" w:before="123" w:after="0"/>
        <w:ind w:left="2721" w:right="0" w:hanging="340"/>
        <w:jc w:val="left"/>
        <w:rPr>
          <w:sz w:val="21"/>
        </w:rPr>
      </w:pPr>
      <w:r>
        <w:rPr>
          <w:sz w:val="21"/>
        </w:rPr>
        <w:t>the tree</w:t>
      </w:r>
      <w:r>
        <w:rPr>
          <w:spacing w:val="15"/>
          <w:sz w:val="21"/>
        </w:rPr>
        <w:t> </w:t>
      </w:r>
      <w:r>
        <w:rPr>
          <w:sz w:val="21"/>
        </w:rPr>
        <w:t>owner/s</w:t>
      </w:r>
    </w:p>
    <w:p>
      <w:pPr>
        <w:pStyle w:val="ListParagraph"/>
        <w:numPr>
          <w:ilvl w:val="1"/>
          <w:numId w:val="79"/>
        </w:numPr>
        <w:tabs>
          <w:tab w:pos="2721" w:val="left" w:leader="none"/>
          <w:tab w:pos="2722" w:val="left" w:leader="none"/>
        </w:tabs>
        <w:spacing w:line="240" w:lineRule="auto" w:before="89" w:after="0"/>
        <w:ind w:left="2721" w:right="0" w:hanging="340"/>
        <w:jc w:val="left"/>
        <w:rPr>
          <w:sz w:val="21"/>
        </w:rPr>
      </w:pPr>
      <w:r>
        <w:rPr>
          <w:w w:val="105"/>
          <w:sz w:val="21"/>
        </w:rPr>
        <w:t>the</w:t>
      </w:r>
      <w:r>
        <w:rPr>
          <w:spacing w:val="3"/>
          <w:w w:val="105"/>
          <w:sz w:val="21"/>
        </w:rPr>
        <w:t> </w:t>
      </w:r>
      <w:r>
        <w:rPr>
          <w:w w:val="105"/>
          <w:sz w:val="21"/>
        </w:rPr>
        <w:t>owner</w:t>
      </w:r>
      <w:r>
        <w:rPr>
          <w:spacing w:val="3"/>
          <w:w w:val="105"/>
          <w:sz w:val="21"/>
        </w:rPr>
        <w:t> </w:t>
      </w:r>
      <w:r>
        <w:rPr>
          <w:w w:val="105"/>
          <w:sz w:val="21"/>
        </w:rPr>
        <w:t>of</w:t>
      </w:r>
      <w:r>
        <w:rPr>
          <w:spacing w:val="3"/>
          <w:w w:val="105"/>
          <w:sz w:val="21"/>
        </w:rPr>
        <w:t> </w:t>
      </w:r>
      <w:r>
        <w:rPr>
          <w:w w:val="105"/>
          <w:sz w:val="21"/>
        </w:rPr>
        <w:t>the</w:t>
      </w:r>
      <w:r>
        <w:rPr>
          <w:spacing w:val="3"/>
          <w:w w:val="105"/>
          <w:sz w:val="21"/>
        </w:rPr>
        <w:t> </w:t>
      </w:r>
      <w:r>
        <w:rPr>
          <w:w w:val="105"/>
          <w:sz w:val="21"/>
        </w:rPr>
        <w:t>affected</w:t>
      </w:r>
      <w:r>
        <w:rPr>
          <w:spacing w:val="3"/>
          <w:w w:val="105"/>
          <w:sz w:val="21"/>
        </w:rPr>
        <w:t> </w:t>
      </w:r>
      <w:r>
        <w:rPr>
          <w:spacing w:val="-3"/>
          <w:w w:val="105"/>
          <w:sz w:val="21"/>
        </w:rPr>
        <w:t>land</w:t>
      </w:r>
      <w:r>
        <w:rPr>
          <w:spacing w:val="3"/>
          <w:w w:val="105"/>
          <w:sz w:val="21"/>
        </w:rPr>
        <w:t> </w:t>
      </w:r>
      <w:r>
        <w:rPr>
          <w:w w:val="105"/>
          <w:sz w:val="21"/>
        </w:rPr>
        <w:t>if</w:t>
      </w:r>
      <w:r>
        <w:rPr>
          <w:spacing w:val="3"/>
          <w:w w:val="105"/>
          <w:sz w:val="21"/>
        </w:rPr>
        <w:t> </w:t>
      </w:r>
      <w:r>
        <w:rPr>
          <w:w w:val="105"/>
          <w:sz w:val="21"/>
        </w:rPr>
        <w:t>the</w:t>
      </w:r>
      <w:r>
        <w:rPr>
          <w:spacing w:val="3"/>
          <w:w w:val="105"/>
          <w:sz w:val="21"/>
        </w:rPr>
        <w:t> </w:t>
      </w:r>
      <w:r>
        <w:rPr>
          <w:w w:val="105"/>
          <w:sz w:val="21"/>
        </w:rPr>
        <w:t>action</w:t>
      </w:r>
      <w:r>
        <w:rPr>
          <w:spacing w:val="3"/>
          <w:w w:val="105"/>
          <w:sz w:val="21"/>
        </w:rPr>
        <w:t> </w:t>
      </w:r>
      <w:r>
        <w:rPr>
          <w:w w:val="105"/>
          <w:sz w:val="21"/>
        </w:rPr>
        <w:t>is</w:t>
      </w:r>
      <w:r>
        <w:rPr>
          <w:spacing w:val="3"/>
          <w:w w:val="105"/>
          <w:sz w:val="21"/>
        </w:rPr>
        <w:t> </w:t>
      </w:r>
      <w:r>
        <w:rPr>
          <w:spacing w:val="-3"/>
          <w:w w:val="105"/>
          <w:sz w:val="21"/>
        </w:rPr>
        <w:t>commenced</w:t>
      </w:r>
      <w:r>
        <w:rPr>
          <w:spacing w:val="4"/>
          <w:w w:val="105"/>
          <w:sz w:val="21"/>
        </w:rPr>
        <w:t> </w:t>
      </w:r>
      <w:r>
        <w:rPr>
          <w:w w:val="105"/>
          <w:sz w:val="21"/>
        </w:rPr>
        <w:t>by</w:t>
      </w:r>
      <w:r>
        <w:rPr>
          <w:spacing w:val="3"/>
          <w:w w:val="105"/>
          <w:sz w:val="21"/>
        </w:rPr>
        <w:t> </w:t>
      </w:r>
      <w:r>
        <w:rPr>
          <w:w w:val="105"/>
          <w:sz w:val="21"/>
        </w:rPr>
        <w:t>an</w:t>
      </w:r>
      <w:r>
        <w:rPr>
          <w:spacing w:val="3"/>
          <w:w w:val="105"/>
          <w:sz w:val="21"/>
        </w:rPr>
        <w:t> </w:t>
      </w:r>
      <w:r>
        <w:rPr>
          <w:spacing w:val="-3"/>
          <w:w w:val="105"/>
          <w:sz w:val="21"/>
        </w:rPr>
        <w:t>occupier</w:t>
      </w:r>
      <w:r>
        <w:rPr>
          <w:spacing w:val="3"/>
          <w:w w:val="105"/>
          <w:sz w:val="21"/>
        </w:rPr>
        <w:t> </w:t>
      </w:r>
      <w:r>
        <w:rPr>
          <w:w w:val="105"/>
          <w:sz w:val="21"/>
        </w:rPr>
        <w:t>of</w:t>
      </w:r>
      <w:r>
        <w:rPr>
          <w:spacing w:val="3"/>
          <w:w w:val="105"/>
          <w:sz w:val="21"/>
        </w:rPr>
        <w:t> </w:t>
      </w:r>
      <w:r>
        <w:rPr>
          <w:spacing w:val="-3"/>
          <w:w w:val="105"/>
          <w:sz w:val="21"/>
        </w:rPr>
        <w:t>that</w:t>
      </w:r>
      <w:r>
        <w:rPr>
          <w:spacing w:val="3"/>
          <w:w w:val="105"/>
          <w:sz w:val="21"/>
        </w:rPr>
        <w:t> </w:t>
      </w:r>
      <w:r>
        <w:rPr>
          <w:spacing w:val="-3"/>
          <w:w w:val="105"/>
          <w:sz w:val="21"/>
        </w:rPr>
        <w:t>land</w:t>
      </w:r>
    </w:p>
    <w:p>
      <w:pPr>
        <w:pStyle w:val="ListParagraph"/>
        <w:numPr>
          <w:ilvl w:val="1"/>
          <w:numId w:val="79"/>
        </w:numPr>
        <w:tabs>
          <w:tab w:pos="2721" w:val="left" w:leader="none"/>
          <w:tab w:pos="2722" w:val="left" w:leader="none"/>
        </w:tabs>
        <w:spacing w:line="242" w:lineRule="auto" w:before="89" w:after="0"/>
        <w:ind w:left="2721" w:right="1691" w:hanging="340"/>
        <w:jc w:val="left"/>
        <w:rPr>
          <w:sz w:val="21"/>
        </w:rPr>
      </w:pPr>
      <w:r>
        <w:rPr>
          <w:spacing w:val="-3"/>
          <w:sz w:val="21"/>
        </w:rPr>
        <w:t>any relevant </w:t>
      </w:r>
      <w:r>
        <w:rPr>
          <w:sz w:val="21"/>
        </w:rPr>
        <w:t>authority who would otherwise be </w:t>
      </w:r>
      <w:r>
        <w:rPr>
          <w:spacing w:val="-3"/>
          <w:sz w:val="21"/>
        </w:rPr>
        <w:t>required to  </w:t>
      </w:r>
      <w:r>
        <w:rPr>
          <w:sz w:val="21"/>
        </w:rPr>
        <w:t>provide </w:t>
      </w:r>
      <w:r>
        <w:rPr>
          <w:spacing w:val="-3"/>
          <w:sz w:val="21"/>
        </w:rPr>
        <w:t>any</w:t>
      </w:r>
      <w:r>
        <w:rPr>
          <w:spacing w:val="41"/>
          <w:sz w:val="21"/>
        </w:rPr>
        <w:t> </w:t>
      </w:r>
      <w:r>
        <w:rPr>
          <w:sz w:val="21"/>
        </w:rPr>
        <w:t>authorisation in</w:t>
      </w:r>
      <w:r>
        <w:rPr>
          <w:spacing w:val="9"/>
          <w:sz w:val="21"/>
        </w:rPr>
        <w:t> </w:t>
      </w:r>
      <w:r>
        <w:rPr>
          <w:spacing w:val="-3"/>
          <w:sz w:val="21"/>
        </w:rPr>
        <w:t>relation</w:t>
      </w:r>
      <w:r>
        <w:rPr>
          <w:spacing w:val="9"/>
          <w:sz w:val="21"/>
        </w:rPr>
        <w:t> </w:t>
      </w:r>
      <w:r>
        <w:rPr>
          <w:spacing w:val="-3"/>
          <w:sz w:val="21"/>
        </w:rPr>
        <w:t>to</w:t>
      </w:r>
      <w:r>
        <w:rPr>
          <w:spacing w:val="9"/>
          <w:sz w:val="21"/>
        </w:rPr>
        <w:t> </w:t>
      </w:r>
      <w:r>
        <w:rPr>
          <w:sz w:val="21"/>
        </w:rPr>
        <w:t>the</w:t>
      </w:r>
      <w:r>
        <w:rPr>
          <w:spacing w:val="9"/>
          <w:sz w:val="21"/>
        </w:rPr>
        <w:t> </w:t>
      </w:r>
      <w:r>
        <w:rPr>
          <w:sz w:val="21"/>
        </w:rPr>
        <w:t>carrying</w:t>
      </w:r>
      <w:r>
        <w:rPr>
          <w:spacing w:val="10"/>
          <w:sz w:val="21"/>
        </w:rPr>
        <w:t> </w:t>
      </w:r>
      <w:r>
        <w:rPr>
          <w:sz w:val="21"/>
        </w:rPr>
        <w:t>out</w:t>
      </w:r>
      <w:r>
        <w:rPr>
          <w:spacing w:val="9"/>
          <w:sz w:val="21"/>
        </w:rPr>
        <w:t> </w:t>
      </w:r>
      <w:r>
        <w:rPr>
          <w:sz w:val="21"/>
        </w:rPr>
        <w:t>of</w:t>
      </w:r>
      <w:r>
        <w:rPr>
          <w:spacing w:val="9"/>
          <w:sz w:val="21"/>
        </w:rPr>
        <w:t> </w:t>
      </w:r>
      <w:r>
        <w:rPr>
          <w:sz w:val="21"/>
        </w:rPr>
        <w:t>works</w:t>
      </w:r>
      <w:r>
        <w:rPr>
          <w:spacing w:val="9"/>
          <w:sz w:val="21"/>
        </w:rPr>
        <w:t> </w:t>
      </w:r>
      <w:r>
        <w:rPr>
          <w:sz w:val="21"/>
        </w:rPr>
        <w:t>on</w:t>
      </w:r>
      <w:r>
        <w:rPr>
          <w:spacing w:val="10"/>
          <w:sz w:val="21"/>
        </w:rPr>
        <w:t> </w:t>
      </w:r>
      <w:r>
        <w:rPr>
          <w:sz w:val="21"/>
        </w:rPr>
        <w:t>the</w:t>
      </w:r>
      <w:r>
        <w:rPr>
          <w:spacing w:val="9"/>
          <w:sz w:val="21"/>
        </w:rPr>
        <w:t> </w:t>
      </w:r>
      <w:r>
        <w:rPr>
          <w:sz w:val="21"/>
        </w:rPr>
        <w:t>tree</w:t>
      </w:r>
    </w:p>
    <w:p>
      <w:pPr>
        <w:pStyle w:val="ListParagraph"/>
        <w:numPr>
          <w:ilvl w:val="1"/>
          <w:numId w:val="79"/>
        </w:numPr>
        <w:tabs>
          <w:tab w:pos="2721" w:val="left" w:leader="none"/>
          <w:tab w:pos="2722" w:val="left" w:leader="none"/>
        </w:tabs>
        <w:spacing w:line="242" w:lineRule="auto" w:before="87" w:after="0"/>
        <w:ind w:left="2721" w:right="1745" w:hanging="340"/>
        <w:jc w:val="left"/>
        <w:rPr>
          <w:sz w:val="21"/>
        </w:rPr>
      </w:pPr>
      <w:r>
        <w:rPr>
          <w:spacing w:val="-3"/>
          <w:w w:val="105"/>
          <w:sz w:val="21"/>
        </w:rPr>
        <w:t>any</w:t>
      </w:r>
      <w:r>
        <w:rPr>
          <w:spacing w:val="-6"/>
          <w:w w:val="105"/>
          <w:sz w:val="21"/>
        </w:rPr>
        <w:t> </w:t>
      </w:r>
      <w:r>
        <w:rPr>
          <w:w w:val="105"/>
          <w:sz w:val="21"/>
        </w:rPr>
        <w:t>other</w:t>
      </w:r>
      <w:r>
        <w:rPr>
          <w:spacing w:val="-6"/>
          <w:w w:val="105"/>
          <w:sz w:val="21"/>
        </w:rPr>
        <w:t> </w:t>
      </w:r>
      <w:r>
        <w:rPr>
          <w:w w:val="105"/>
          <w:sz w:val="21"/>
        </w:rPr>
        <w:t>person</w:t>
      </w:r>
      <w:r>
        <w:rPr>
          <w:spacing w:val="-6"/>
          <w:w w:val="105"/>
          <w:sz w:val="21"/>
        </w:rPr>
        <w:t> </w:t>
      </w:r>
      <w:r>
        <w:rPr>
          <w:spacing w:val="-3"/>
          <w:w w:val="105"/>
          <w:sz w:val="21"/>
        </w:rPr>
        <w:t>that</w:t>
      </w:r>
      <w:r>
        <w:rPr>
          <w:spacing w:val="-5"/>
          <w:w w:val="105"/>
          <w:sz w:val="21"/>
        </w:rPr>
        <w:t> </w:t>
      </w:r>
      <w:r>
        <w:rPr>
          <w:w w:val="105"/>
          <w:sz w:val="21"/>
        </w:rPr>
        <w:t>the</w:t>
      </w:r>
      <w:r>
        <w:rPr>
          <w:spacing w:val="-6"/>
          <w:w w:val="105"/>
          <w:sz w:val="21"/>
        </w:rPr>
        <w:t> </w:t>
      </w:r>
      <w:r>
        <w:rPr>
          <w:spacing w:val="-3"/>
          <w:w w:val="105"/>
          <w:sz w:val="21"/>
        </w:rPr>
        <w:t>applicant</w:t>
      </w:r>
      <w:r>
        <w:rPr>
          <w:spacing w:val="-6"/>
          <w:w w:val="105"/>
          <w:sz w:val="21"/>
        </w:rPr>
        <w:t> </w:t>
      </w:r>
      <w:r>
        <w:rPr>
          <w:w w:val="105"/>
          <w:sz w:val="21"/>
        </w:rPr>
        <w:t>thinks</w:t>
      </w:r>
      <w:r>
        <w:rPr>
          <w:spacing w:val="-5"/>
          <w:w w:val="105"/>
          <w:sz w:val="21"/>
        </w:rPr>
        <w:t> </w:t>
      </w:r>
      <w:r>
        <w:rPr>
          <w:spacing w:val="-3"/>
          <w:w w:val="105"/>
          <w:sz w:val="21"/>
        </w:rPr>
        <w:t>may</w:t>
      </w:r>
      <w:r>
        <w:rPr>
          <w:spacing w:val="-6"/>
          <w:w w:val="105"/>
          <w:sz w:val="21"/>
        </w:rPr>
        <w:t> </w:t>
      </w:r>
      <w:r>
        <w:rPr>
          <w:w w:val="105"/>
          <w:sz w:val="21"/>
        </w:rPr>
        <w:t>be</w:t>
      </w:r>
      <w:r>
        <w:rPr>
          <w:spacing w:val="-6"/>
          <w:w w:val="105"/>
          <w:sz w:val="21"/>
        </w:rPr>
        <w:t> </w:t>
      </w:r>
      <w:r>
        <w:rPr>
          <w:w w:val="105"/>
          <w:sz w:val="21"/>
        </w:rPr>
        <w:t>affected</w:t>
      </w:r>
      <w:r>
        <w:rPr>
          <w:spacing w:val="-5"/>
          <w:w w:val="105"/>
          <w:sz w:val="21"/>
        </w:rPr>
        <w:t> </w:t>
      </w:r>
      <w:r>
        <w:rPr>
          <w:w w:val="105"/>
          <w:sz w:val="21"/>
        </w:rPr>
        <w:t>by</w:t>
      </w:r>
      <w:r>
        <w:rPr>
          <w:spacing w:val="-6"/>
          <w:w w:val="105"/>
          <w:sz w:val="21"/>
        </w:rPr>
        <w:t> </w:t>
      </w:r>
      <w:r>
        <w:rPr>
          <w:w w:val="105"/>
          <w:sz w:val="21"/>
        </w:rPr>
        <w:t>the</w:t>
      </w:r>
      <w:r>
        <w:rPr>
          <w:spacing w:val="-6"/>
          <w:w w:val="105"/>
          <w:sz w:val="21"/>
        </w:rPr>
        <w:t> </w:t>
      </w:r>
      <w:r>
        <w:rPr>
          <w:spacing w:val="-4"/>
          <w:w w:val="105"/>
          <w:sz w:val="21"/>
        </w:rPr>
        <w:t>order,</w:t>
      </w:r>
      <w:r>
        <w:rPr>
          <w:spacing w:val="-5"/>
          <w:w w:val="105"/>
          <w:sz w:val="21"/>
        </w:rPr>
        <w:t> </w:t>
      </w:r>
      <w:r>
        <w:rPr>
          <w:w w:val="105"/>
          <w:sz w:val="21"/>
        </w:rPr>
        <w:t>as</w:t>
      </w:r>
      <w:r>
        <w:rPr>
          <w:spacing w:val="-6"/>
          <w:w w:val="105"/>
          <w:sz w:val="21"/>
        </w:rPr>
        <w:t> </w:t>
      </w:r>
      <w:r>
        <w:rPr>
          <w:w w:val="105"/>
          <w:sz w:val="21"/>
        </w:rPr>
        <w:t>occurs</w:t>
      </w:r>
      <w:r>
        <w:rPr>
          <w:spacing w:val="-6"/>
          <w:w w:val="105"/>
          <w:sz w:val="21"/>
        </w:rPr>
        <w:t> </w:t>
      </w:r>
      <w:r>
        <w:rPr>
          <w:w w:val="105"/>
          <w:sz w:val="21"/>
        </w:rPr>
        <w:t>in the</w:t>
      </w:r>
      <w:r>
        <w:rPr>
          <w:spacing w:val="5"/>
          <w:w w:val="105"/>
          <w:sz w:val="21"/>
        </w:rPr>
        <w:t> </w:t>
      </w:r>
      <w:r>
        <w:rPr>
          <w:spacing w:val="-3"/>
          <w:w w:val="105"/>
          <w:sz w:val="21"/>
        </w:rPr>
        <w:t>NSWLEC.</w:t>
      </w:r>
    </w:p>
    <w:p>
      <w:pPr>
        <w:pStyle w:val="ListParagraph"/>
        <w:numPr>
          <w:ilvl w:val="0"/>
          <w:numId w:val="79"/>
        </w:numPr>
        <w:tabs>
          <w:tab w:pos="2381" w:val="left" w:leader="none"/>
          <w:tab w:pos="2382" w:val="left" w:leader="none"/>
        </w:tabs>
        <w:spacing w:line="242" w:lineRule="auto" w:before="87" w:after="0"/>
        <w:ind w:left="2381" w:right="1698" w:hanging="794"/>
        <w:jc w:val="left"/>
        <w:rPr>
          <w:sz w:val="12"/>
        </w:rPr>
      </w:pPr>
      <w:r>
        <w:rPr>
          <w:spacing w:val="-5"/>
          <w:w w:val="105"/>
          <w:sz w:val="21"/>
        </w:rPr>
        <w:t>VCAT </w:t>
      </w:r>
      <w:r>
        <w:rPr>
          <w:spacing w:val="-3"/>
          <w:w w:val="105"/>
          <w:sz w:val="21"/>
        </w:rPr>
        <w:t>could</w:t>
      </w:r>
      <w:r>
        <w:rPr>
          <w:spacing w:val="-4"/>
          <w:w w:val="105"/>
          <w:sz w:val="21"/>
        </w:rPr>
        <w:t> </w:t>
      </w:r>
      <w:r>
        <w:rPr>
          <w:w w:val="105"/>
          <w:sz w:val="21"/>
        </w:rPr>
        <w:t>also</w:t>
      </w:r>
      <w:r>
        <w:rPr>
          <w:spacing w:val="-4"/>
          <w:w w:val="105"/>
          <w:sz w:val="21"/>
        </w:rPr>
        <w:t> </w:t>
      </w:r>
      <w:r>
        <w:rPr>
          <w:spacing w:val="-3"/>
          <w:w w:val="105"/>
          <w:sz w:val="21"/>
        </w:rPr>
        <w:t>utilise</w:t>
      </w:r>
      <w:r>
        <w:rPr>
          <w:spacing w:val="-4"/>
          <w:w w:val="105"/>
          <w:sz w:val="21"/>
        </w:rPr>
        <w:t> </w:t>
      </w:r>
      <w:r>
        <w:rPr>
          <w:w w:val="105"/>
          <w:sz w:val="21"/>
        </w:rPr>
        <w:t>its</w:t>
      </w:r>
      <w:r>
        <w:rPr>
          <w:spacing w:val="-4"/>
          <w:w w:val="105"/>
          <w:sz w:val="21"/>
        </w:rPr>
        <w:t> </w:t>
      </w:r>
      <w:r>
        <w:rPr>
          <w:w w:val="105"/>
          <w:sz w:val="21"/>
        </w:rPr>
        <w:t>existing</w:t>
      </w:r>
      <w:r>
        <w:rPr>
          <w:spacing w:val="-4"/>
          <w:w w:val="105"/>
          <w:sz w:val="21"/>
        </w:rPr>
        <w:t> </w:t>
      </w:r>
      <w:r>
        <w:rPr>
          <w:w w:val="105"/>
          <w:sz w:val="21"/>
        </w:rPr>
        <w:t>powers</w:t>
      </w:r>
      <w:r>
        <w:rPr>
          <w:spacing w:val="-4"/>
          <w:w w:val="105"/>
          <w:sz w:val="21"/>
        </w:rPr>
        <w:t> </w:t>
      </w:r>
      <w:r>
        <w:rPr>
          <w:spacing w:val="-3"/>
          <w:w w:val="105"/>
          <w:sz w:val="21"/>
        </w:rPr>
        <w:t>to</w:t>
      </w:r>
      <w:r>
        <w:rPr>
          <w:spacing w:val="-4"/>
          <w:w w:val="105"/>
          <w:sz w:val="21"/>
        </w:rPr>
        <w:t> </w:t>
      </w:r>
      <w:r>
        <w:rPr>
          <w:w w:val="105"/>
          <w:sz w:val="21"/>
        </w:rPr>
        <w:t>direct</w:t>
      </w:r>
      <w:r>
        <w:rPr>
          <w:spacing w:val="-4"/>
          <w:w w:val="105"/>
          <w:sz w:val="21"/>
        </w:rPr>
        <w:t> </w:t>
      </w:r>
      <w:r>
        <w:rPr>
          <w:spacing w:val="-3"/>
          <w:w w:val="105"/>
          <w:sz w:val="21"/>
        </w:rPr>
        <w:t>that</w:t>
      </w:r>
      <w:r>
        <w:rPr>
          <w:spacing w:val="-4"/>
          <w:w w:val="105"/>
          <w:sz w:val="21"/>
        </w:rPr>
        <w:t> </w:t>
      </w:r>
      <w:r>
        <w:rPr>
          <w:spacing w:val="-3"/>
          <w:w w:val="105"/>
          <w:sz w:val="21"/>
        </w:rPr>
        <w:t>any</w:t>
      </w:r>
      <w:r>
        <w:rPr>
          <w:spacing w:val="-4"/>
          <w:w w:val="105"/>
          <w:sz w:val="21"/>
        </w:rPr>
        <w:t> </w:t>
      </w:r>
      <w:r>
        <w:rPr>
          <w:w w:val="105"/>
          <w:sz w:val="21"/>
        </w:rPr>
        <w:t>other</w:t>
      </w:r>
      <w:r>
        <w:rPr>
          <w:spacing w:val="-4"/>
          <w:w w:val="105"/>
          <w:sz w:val="21"/>
        </w:rPr>
        <w:t> </w:t>
      </w:r>
      <w:r>
        <w:rPr>
          <w:w w:val="105"/>
          <w:sz w:val="21"/>
        </w:rPr>
        <w:t>person</w:t>
      </w:r>
      <w:r>
        <w:rPr>
          <w:spacing w:val="-4"/>
          <w:w w:val="105"/>
          <w:sz w:val="21"/>
        </w:rPr>
        <w:t> </w:t>
      </w:r>
      <w:r>
        <w:rPr>
          <w:w w:val="105"/>
          <w:sz w:val="21"/>
        </w:rPr>
        <w:t>be</w:t>
      </w:r>
      <w:r>
        <w:rPr>
          <w:spacing w:val="-4"/>
          <w:w w:val="105"/>
          <w:sz w:val="21"/>
        </w:rPr>
        <w:t> </w:t>
      </w:r>
      <w:r>
        <w:rPr>
          <w:w w:val="105"/>
          <w:sz w:val="21"/>
        </w:rPr>
        <w:t>given</w:t>
      </w:r>
      <w:r>
        <w:rPr>
          <w:spacing w:val="-4"/>
          <w:w w:val="105"/>
          <w:sz w:val="21"/>
        </w:rPr>
        <w:t> </w:t>
      </w:r>
      <w:r>
        <w:rPr>
          <w:spacing w:val="-3"/>
          <w:w w:val="105"/>
          <w:sz w:val="21"/>
        </w:rPr>
        <w:t>notice </w:t>
      </w:r>
      <w:r>
        <w:rPr>
          <w:w w:val="105"/>
          <w:sz w:val="21"/>
        </w:rPr>
        <w:t>of the </w:t>
      </w:r>
      <w:r>
        <w:rPr>
          <w:spacing w:val="-3"/>
          <w:w w:val="105"/>
          <w:sz w:val="21"/>
        </w:rPr>
        <w:t>hearing.</w:t>
      </w:r>
      <w:r>
        <w:rPr>
          <w:spacing w:val="17"/>
          <w:w w:val="105"/>
          <w:sz w:val="21"/>
        </w:rPr>
        <w:t> </w:t>
      </w:r>
      <w:r>
        <w:rPr>
          <w:w w:val="105"/>
          <w:position w:val="7"/>
          <w:sz w:val="12"/>
        </w:rPr>
        <w:t>387</w:t>
      </w:r>
    </w:p>
    <w:p>
      <w:pPr>
        <w:pStyle w:val="ListParagraph"/>
        <w:numPr>
          <w:ilvl w:val="0"/>
          <w:numId w:val="79"/>
        </w:numPr>
        <w:tabs>
          <w:tab w:pos="2381" w:val="left" w:leader="none"/>
          <w:tab w:pos="2382" w:val="left" w:leader="none"/>
        </w:tabs>
        <w:spacing w:line="242" w:lineRule="auto" w:before="122" w:after="0"/>
        <w:ind w:left="2381" w:right="1737" w:hanging="794"/>
        <w:jc w:val="left"/>
        <w:rPr>
          <w:sz w:val="21"/>
        </w:rPr>
      </w:pPr>
      <w:r>
        <w:rPr>
          <w:w w:val="105"/>
          <w:sz w:val="21"/>
        </w:rPr>
        <w:t>Applications under new laws should </w:t>
      </w:r>
      <w:r>
        <w:rPr>
          <w:spacing w:val="-2"/>
          <w:w w:val="105"/>
          <w:sz w:val="21"/>
        </w:rPr>
        <w:t>not </w:t>
      </w:r>
      <w:r>
        <w:rPr>
          <w:w w:val="105"/>
          <w:sz w:val="21"/>
        </w:rPr>
        <w:t>be </w:t>
      </w:r>
      <w:r>
        <w:rPr>
          <w:spacing w:val="-3"/>
          <w:w w:val="105"/>
          <w:sz w:val="21"/>
        </w:rPr>
        <w:t>required to </w:t>
      </w:r>
      <w:r>
        <w:rPr>
          <w:w w:val="105"/>
          <w:sz w:val="21"/>
        </w:rPr>
        <w:t>be </w:t>
      </w:r>
      <w:r>
        <w:rPr>
          <w:spacing w:val="-3"/>
          <w:w w:val="105"/>
          <w:sz w:val="21"/>
        </w:rPr>
        <w:t>publicly </w:t>
      </w:r>
      <w:r>
        <w:rPr>
          <w:w w:val="105"/>
          <w:sz w:val="21"/>
        </w:rPr>
        <w:t>advertised as occurs in </w:t>
      </w:r>
      <w:r>
        <w:rPr>
          <w:spacing w:val="-4"/>
          <w:w w:val="105"/>
          <w:sz w:val="21"/>
        </w:rPr>
        <w:t>Tasmania. </w:t>
      </w:r>
      <w:r>
        <w:rPr>
          <w:w w:val="105"/>
          <w:sz w:val="21"/>
        </w:rPr>
        <w:t>This </w:t>
      </w:r>
      <w:r>
        <w:rPr>
          <w:spacing w:val="-3"/>
          <w:w w:val="105"/>
          <w:sz w:val="21"/>
        </w:rPr>
        <w:t>requirement </w:t>
      </w:r>
      <w:r>
        <w:rPr>
          <w:w w:val="105"/>
          <w:sz w:val="21"/>
        </w:rPr>
        <w:t>is </w:t>
      </w:r>
      <w:r>
        <w:rPr>
          <w:spacing w:val="-3"/>
          <w:w w:val="105"/>
          <w:sz w:val="21"/>
        </w:rPr>
        <w:t>unique to </w:t>
      </w:r>
      <w:r>
        <w:rPr>
          <w:w w:val="105"/>
          <w:sz w:val="21"/>
        </w:rPr>
        <w:t>the </w:t>
      </w:r>
      <w:r>
        <w:rPr>
          <w:spacing w:val="-4"/>
          <w:w w:val="105"/>
          <w:sz w:val="21"/>
        </w:rPr>
        <w:t>Tasmanian </w:t>
      </w:r>
      <w:r>
        <w:rPr>
          <w:w w:val="105"/>
          <w:sz w:val="21"/>
        </w:rPr>
        <w:t>scheme and </w:t>
      </w:r>
      <w:r>
        <w:rPr>
          <w:spacing w:val="-3"/>
          <w:w w:val="105"/>
          <w:sz w:val="21"/>
        </w:rPr>
        <w:t>could </w:t>
      </w:r>
      <w:r>
        <w:rPr>
          <w:spacing w:val="-2"/>
          <w:w w:val="105"/>
          <w:sz w:val="21"/>
        </w:rPr>
        <w:t>add </w:t>
      </w:r>
      <w:r>
        <w:rPr>
          <w:w w:val="105"/>
          <w:sz w:val="21"/>
        </w:rPr>
        <w:t>unnecessary complexity </w:t>
      </w:r>
      <w:r>
        <w:rPr>
          <w:spacing w:val="-3"/>
          <w:w w:val="105"/>
          <w:sz w:val="21"/>
        </w:rPr>
        <w:t>to </w:t>
      </w:r>
      <w:r>
        <w:rPr>
          <w:w w:val="105"/>
          <w:sz w:val="21"/>
        </w:rPr>
        <w:t>the new Act. Under Victorian </w:t>
      </w:r>
      <w:r>
        <w:rPr>
          <w:spacing w:val="-3"/>
          <w:w w:val="105"/>
          <w:sz w:val="21"/>
        </w:rPr>
        <w:t>planning </w:t>
      </w:r>
      <w:r>
        <w:rPr>
          <w:w w:val="105"/>
          <w:sz w:val="21"/>
        </w:rPr>
        <w:t>legislation,</w:t>
      </w:r>
      <w:r>
        <w:rPr>
          <w:w w:val="105"/>
          <w:position w:val="7"/>
          <w:sz w:val="12"/>
        </w:rPr>
        <w:t>388 </w:t>
      </w:r>
      <w:r>
        <w:rPr>
          <w:spacing w:val="-3"/>
          <w:w w:val="105"/>
          <w:sz w:val="21"/>
        </w:rPr>
        <w:t>public </w:t>
      </w:r>
      <w:r>
        <w:rPr>
          <w:w w:val="105"/>
          <w:sz w:val="21"/>
        </w:rPr>
        <w:t>notification</w:t>
      </w:r>
      <w:r>
        <w:rPr>
          <w:spacing w:val="-9"/>
          <w:w w:val="105"/>
          <w:sz w:val="21"/>
        </w:rPr>
        <w:t> </w:t>
      </w:r>
      <w:r>
        <w:rPr>
          <w:w w:val="105"/>
          <w:sz w:val="21"/>
        </w:rPr>
        <w:t>of</w:t>
      </w:r>
      <w:r>
        <w:rPr>
          <w:spacing w:val="-8"/>
          <w:w w:val="105"/>
          <w:sz w:val="21"/>
        </w:rPr>
        <w:t> </w:t>
      </w:r>
      <w:r>
        <w:rPr>
          <w:w w:val="105"/>
          <w:sz w:val="21"/>
        </w:rPr>
        <w:t>permit</w:t>
      </w:r>
      <w:r>
        <w:rPr>
          <w:spacing w:val="-8"/>
          <w:w w:val="105"/>
          <w:sz w:val="21"/>
        </w:rPr>
        <w:t> </w:t>
      </w:r>
      <w:r>
        <w:rPr>
          <w:spacing w:val="-3"/>
          <w:w w:val="105"/>
          <w:sz w:val="21"/>
        </w:rPr>
        <w:t>applications</w:t>
      </w:r>
      <w:r>
        <w:rPr>
          <w:spacing w:val="-8"/>
          <w:w w:val="105"/>
          <w:sz w:val="21"/>
        </w:rPr>
        <w:t> </w:t>
      </w:r>
      <w:r>
        <w:rPr>
          <w:w w:val="105"/>
          <w:sz w:val="21"/>
        </w:rPr>
        <w:t>is</w:t>
      </w:r>
      <w:r>
        <w:rPr>
          <w:spacing w:val="-8"/>
          <w:w w:val="105"/>
          <w:sz w:val="21"/>
        </w:rPr>
        <w:t> </w:t>
      </w:r>
      <w:r>
        <w:rPr>
          <w:spacing w:val="-3"/>
          <w:w w:val="105"/>
          <w:sz w:val="21"/>
        </w:rPr>
        <w:t>generally</w:t>
      </w:r>
      <w:r>
        <w:rPr>
          <w:spacing w:val="-8"/>
          <w:w w:val="105"/>
          <w:sz w:val="21"/>
        </w:rPr>
        <w:t> </w:t>
      </w:r>
      <w:r>
        <w:rPr>
          <w:spacing w:val="-2"/>
          <w:w w:val="105"/>
          <w:sz w:val="21"/>
        </w:rPr>
        <w:t>not</w:t>
      </w:r>
      <w:r>
        <w:rPr>
          <w:spacing w:val="-8"/>
          <w:w w:val="105"/>
          <w:sz w:val="21"/>
        </w:rPr>
        <w:t> </w:t>
      </w:r>
      <w:r>
        <w:rPr>
          <w:spacing w:val="-3"/>
          <w:w w:val="105"/>
          <w:sz w:val="21"/>
        </w:rPr>
        <w:t>required</w:t>
      </w:r>
      <w:r>
        <w:rPr>
          <w:spacing w:val="-8"/>
          <w:w w:val="105"/>
          <w:sz w:val="21"/>
        </w:rPr>
        <w:t> </w:t>
      </w:r>
      <w:r>
        <w:rPr>
          <w:spacing w:val="-3"/>
          <w:w w:val="105"/>
          <w:sz w:val="21"/>
        </w:rPr>
        <w:t>for</w:t>
      </w:r>
      <w:r>
        <w:rPr>
          <w:spacing w:val="-8"/>
          <w:w w:val="105"/>
          <w:sz w:val="21"/>
        </w:rPr>
        <w:t> </w:t>
      </w:r>
      <w:r>
        <w:rPr>
          <w:w w:val="105"/>
          <w:sz w:val="21"/>
        </w:rPr>
        <w:t>proposed</w:t>
      </w:r>
      <w:r>
        <w:rPr>
          <w:spacing w:val="-8"/>
          <w:w w:val="105"/>
          <w:sz w:val="21"/>
        </w:rPr>
        <w:t> </w:t>
      </w:r>
      <w:r>
        <w:rPr>
          <w:w w:val="105"/>
          <w:sz w:val="21"/>
        </w:rPr>
        <w:t>tree</w:t>
      </w:r>
      <w:r>
        <w:rPr>
          <w:spacing w:val="-8"/>
          <w:w w:val="105"/>
          <w:sz w:val="21"/>
        </w:rPr>
        <w:t> </w:t>
      </w:r>
      <w:r>
        <w:rPr>
          <w:w w:val="105"/>
          <w:sz w:val="21"/>
        </w:rPr>
        <w:t>works</w:t>
      </w:r>
      <w:r>
        <w:rPr>
          <w:spacing w:val="-8"/>
          <w:w w:val="105"/>
          <w:sz w:val="21"/>
        </w:rPr>
        <w:t> </w:t>
      </w:r>
      <w:r>
        <w:rPr>
          <w:spacing w:val="-3"/>
          <w:w w:val="105"/>
          <w:sz w:val="21"/>
        </w:rPr>
        <w:t>such</w:t>
      </w:r>
    </w:p>
    <w:p>
      <w:pPr>
        <w:pStyle w:val="BodyText"/>
        <w:spacing w:line="242" w:lineRule="auto" w:before="4"/>
        <w:ind w:left="2381" w:right="1571"/>
      </w:pPr>
      <w:r>
        <w:rPr>
          <w:w w:val="105"/>
        </w:rPr>
        <w:t>as </w:t>
      </w:r>
      <w:r>
        <w:rPr>
          <w:spacing w:val="-3"/>
          <w:w w:val="105"/>
        </w:rPr>
        <w:t>pruning </w:t>
      </w:r>
      <w:r>
        <w:rPr>
          <w:w w:val="105"/>
        </w:rPr>
        <w:t>or tree </w:t>
      </w:r>
      <w:r>
        <w:rPr>
          <w:spacing w:val="-3"/>
          <w:w w:val="105"/>
        </w:rPr>
        <w:t>removal </w:t>
      </w:r>
      <w:r>
        <w:rPr>
          <w:w w:val="105"/>
        </w:rPr>
        <w:t>of a </w:t>
      </w:r>
      <w:r>
        <w:rPr>
          <w:spacing w:val="-3"/>
          <w:w w:val="105"/>
        </w:rPr>
        <w:t>single </w:t>
      </w:r>
      <w:r>
        <w:rPr>
          <w:w w:val="105"/>
        </w:rPr>
        <w:t>tree.</w:t>
      </w:r>
      <w:r>
        <w:rPr>
          <w:w w:val="105"/>
          <w:position w:val="7"/>
          <w:sz w:val="12"/>
        </w:rPr>
        <w:t>389 </w:t>
      </w:r>
      <w:r>
        <w:rPr>
          <w:w w:val="105"/>
        </w:rPr>
        <w:t>The </w:t>
      </w:r>
      <w:r>
        <w:rPr>
          <w:spacing w:val="-3"/>
          <w:w w:val="105"/>
        </w:rPr>
        <w:t>Commission </w:t>
      </w:r>
      <w:r>
        <w:rPr>
          <w:w w:val="105"/>
        </w:rPr>
        <w:t>considers </w:t>
      </w:r>
      <w:r>
        <w:rPr>
          <w:spacing w:val="-3"/>
          <w:w w:val="105"/>
        </w:rPr>
        <w:t>that </w:t>
      </w:r>
      <w:r>
        <w:rPr>
          <w:w w:val="105"/>
        </w:rPr>
        <w:t>these </w:t>
      </w:r>
      <w:r>
        <w:rPr>
          <w:spacing w:val="-3"/>
          <w:w w:val="105"/>
        </w:rPr>
        <w:t>are </w:t>
      </w:r>
      <w:r>
        <w:rPr>
          <w:w w:val="105"/>
        </w:rPr>
        <w:t>the types of order </w:t>
      </w:r>
      <w:r>
        <w:rPr>
          <w:spacing w:val="-3"/>
          <w:w w:val="105"/>
        </w:rPr>
        <w:t>that are </w:t>
      </w:r>
      <w:r>
        <w:rPr>
          <w:w w:val="105"/>
        </w:rPr>
        <w:t>most </w:t>
      </w:r>
      <w:r>
        <w:rPr>
          <w:spacing w:val="-4"/>
          <w:w w:val="105"/>
        </w:rPr>
        <w:t>likely </w:t>
      </w:r>
      <w:r>
        <w:rPr>
          <w:spacing w:val="-3"/>
          <w:w w:val="105"/>
        </w:rPr>
        <w:t>to </w:t>
      </w:r>
      <w:r>
        <w:rPr>
          <w:w w:val="105"/>
        </w:rPr>
        <w:t>be made under a new Act.</w:t>
      </w: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5432;mso-wrap-distance-left:0;mso-wrap-distance-right:0" from="79.370102pt,8.665205pt" to="515.905102pt,8.66520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27"/>
        </w:rPr>
      </w:pPr>
    </w:p>
    <w:p>
      <w:pPr>
        <w:spacing w:before="0"/>
        <w:ind w:left="720" w:right="0" w:firstLine="0"/>
        <w:jc w:val="left"/>
        <w:rPr>
          <w:b/>
          <w:sz w:val="24"/>
        </w:rPr>
      </w:pPr>
      <w:r>
        <w:rPr>
          <w:b/>
          <w:color w:val="658464"/>
          <w:spacing w:val="-1"/>
          <w:w w:val="110"/>
          <w:sz w:val="24"/>
        </w:rPr>
        <w:t>104</w:t>
      </w:r>
    </w:p>
    <w:p>
      <w:pPr>
        <w:pStyle w:val="ListParagraph"/>
        <w:numPr>
          <w:ilvl w:val="0"/>
          <w:numId w:val="85"/>
        </w:numPr>
        <w:tabs>
          <w:tab w:pos="1221" w:val="left" w:leader="none"/>
          <w:tab w:pos="1222" w:val="left" w:leader="none"/>
        </w:tabs>
        <w:spacing w:line="240" w:lineRule="auto" w:before="48" w:after="0"/>
        <w:ind w:left="1221" w:right="0" w:hanging="793"/>
        <w:jc w:val="left"/>
        <w:rPr>
          <w:sz w:val="13"/>
        </w:rPr>
      </w:pPr>
      <w:r>
        <w:rPr>
          <w:spacing w:val="3"/>
          <w:w w:val="88"/>
          <w:sz w:val="13"/>
        </w:rPr>
        <w:br w:type="column"/>
      </w:r>
      <w:r>
        <w:rPr>
          <w:sz w:val="13"/>
        </w:rPr>
        <w:t>Ibid.</w:t>
      </w:r>
    </w:p>
    <w:p>
      <w:pPr>
        <w:pStyle w:val="ListParagraph"/>
        <w:numPr>
          <w:ilvl w:val="0"/>
          <w:numId w:val="85"/>
        </w:numPr>
        <w:tabs>
          <w:tab w:pos="1221" w:val="left" w:leader="none"/>
          <w:tab w:pos="1222" w:val="left" w:leader="none"/>
        </w:tabs>
        <w:spacing w:line="240" w:lineRule="auto" w:before="1" w:after="0"/>
        <w:ind w:left="1221" w:right="0" w:hanging="793"/>
        <w:jc w:val="left"/>
        <w:rPr>
          <w:sz w:val="13"/>
        </w:rPr>
      </w:pPr>
      <w:r>
        <w:rPr>
          <w:w w:val="105"/>
          <w:sz w:val="13"/>
        </w:rPr>
        <w:t>Submission 21 (Pointon Partners</w:t>
      </w:r>
      <w:r>
        <w:rPr>
          <w:spacing w:val="17"/>
          <w:w w:val="105"/>
          <w:sz w:val="13"/>
        </w:rPr>
        <w:t> </w:t>
      </w:r>
      <w:r>
        <w:rPr>
          <w:spacing w:val="2"/>
          <w:w w:val="105"/>
          <w:sz w:val="13"/>
        </w:rPr>
        <w:t>Lawyers).</w:t>
      </w:r>
    </w:p>
    <w:p>
      <w:pPr>
        <w:pStyle w:val="ListParagraph"/>
        <w:numPr>
          <w:ilvl w:val="0"/>
          <w:numId w:val="85"/>
        </w:numPr>
        <w:tabs>
          <w:tab w:pos="1221" w:val="left" w:leader="none"/>
          <w:tab w:pos="1222" w:val="left" w:leader="none"/>
        </w:tabs>
        <w:spacing w:line="240" w:lineRule="auto" w:before="2" w:after="0"/>
        <w:ind w:left="1221" w:right="0" w:hanging="793"/>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85"/>
        </w:numPr>
        <w:tabs>
          <w:tab w:pos="1221" w:val="left" w:leader="none"/>
          <w:tab w:pos="1222" w:val="left" w:leader="none"/>
        </w:tabs>
        <w:spacing w:line="240" w:lineRule="auto" w:before="1" w:after="0"/>
        <w:ind w:left="1221" w:right="0" w:hanging="793"/>
        <w:jc w:val="left"/>
        <w:rPr>
          <w:sz w:val="13"/>
        </w:rPr>
      </w:pPr>
      <w:r>
        <w:rPr>
          <w:w w:val="105"/>
          <w:sz w:val="13"/>
        </w:rPr>
        <w:t>Consultation 9 (Nillumbik Shire</w:t>
      </w:r>
      <w:r>
        <w:rPr>
          <w:spacing w:val="18"/>
          <w:w w:val="105"/>
          <w:sz w:val="13"/>
        </w:rPr>
        <w:t> </w:t>
      </w:r>
      <w:r>
        <w:rPr>
          <w:w w:val="105"/>
          <w:sz w:val="13"/>
        </w:rPr>
        <w:t>Council).</w:t>
      </w:r>
    </w:p>
    <w:p>
      <w:pPr>
        <w:pStyle w:val="ListParagraph"/>
        <w:numPr>
          <w:ilvl w:val="0"/>
          <w:numId w:val="85"/>
        </w:numPr>
        <w:tabs>
          <w:tab w:pos="1221" w:val="left" w:leader="none"/>
          <w:tab w:pos="1222" w:val="left" w:leader="none"/>
        </w:tabs>
        <w:spacing w:line="240" w:lineRule="auto" w:before="1" w:after="0"/>
        <w:ind w:left="1221" w:right="0" w:hanging="793"/>
        <w:jc w:val="left"/>
        <w:rPr>
          <w:sz w:val="13"/>
        </w:rPr>
      </w:pPr>
      <w:r>
        <w:rPr>
          <w:w w:val="105"/>
          <w:sz w:val="13"/>
        </w:rPr>
        <w:t>Consultation 8 (City of</w:t>
      </w:r>
      <w:r>
        <w:rPr>
          <w:spacing w:val="18"/>
          <w:w w:val="105"/>
          <w:sz w:val="13"/>
        </w:rPr>
        <w:t> </w:t>
      </w:r>
      <w:r>
        <w:rPr>
          <w:w w:val="105"/>
          <w:sz w:val="13"/>
        </w:rPr>
        <w:t>Boroondara).</w:t>
      </w:r>
    </w:p>
    <w:p>
      <w:pPr>
        <w:pStyle w:val="ListParagraph"/>
        <w:numPr>
          <w:ilvl w:val="0"/>
          <w:numId w:val="85"/>
        </w:numPr>
        <w:tabs>
          <w:tab w:pos="1221" w:val="left" w:leader="none"/>
          <w:tab w:pos="1223" w:val="left" w:leader="none"/>
        </w:tabs>
        <w:spacing w:line="240" w:lineRule="auto" w:before="2" w:after="0"/>
        <w:ind w:left="1222" w:right="0" w:hanging="794"/>
        <w:jc w:val="left"/>
        <w:rPr>
          <w:sz w:val="13"/>
        </w:rPr>
      </w:pPr>
      <w:r>
        <w:rPr>
          <w:i/>
          <w:w w:val="105"/>
          <w:sz w:val="13"/>
        </w:rPr>
        <w:t>Victorian Civil and Administrative Tribunal Act 1998 </w:t>
      </w:r>
      <w:r>
        <w:rPr>
          <w:spacing w:val="2"/>
          <w:w w:val="105"/>
          <w:sz w:val="13"/>
        </w:rPr>
        <w:t>(Vic) </w:t>
      </w:r>
      <w:r>
        <w:rPr>
          <w:w w:val="105"/>
          <w:sz w:val="13"/>
        </w:rPr>
        <w:t>s</w:t>
      </w:r>
      <w:r>
        <w:rPr>
          <w:spacing w:val="8"/>
          <w:w w:val="105"/>
          <w:sz w:val="13"/>
        </w:rPr>
        <w:t> </w:t>
      </w:r>
      <w:r>
        <w:rPr>
          <w:w w:val="105"/>
          <w:sz w:val="13"/>
        </w:rPr>
        <w:t>99.</w:t>
      </w:r>
    </w:p>
    <w:p>
      <w:pPr>
        <w:pStyle w:val="ListParagraph"/>
        <w:numPr>
          <w:ilvl w:val="0"/>
          <w:numId w:val="85"/>
        </w:numPr>
        <w:tabs>
          <w:tab w:pos="1221" w:val="left" w:leader="none"/>
          <w:tab w:pos="1223" w:val="left" w:leader="none"/>
        </w:tabs>
        <w:spacing w:line="240" w:lineRule="auto" w:before="1" w:after="0"/>
        <w:ind w:left="1222" w:right="0" w:hanging="794"/>
        <w:jc w:val="left"/>
        <w:rPr>
          <w:sz w:val="13"/>
        </w:rPr>
      </w:pPr>
      <w:r>
        <w:rPr>
          <w:w w:val="105"/>
          <w:sz w:val="13"/>
        </w:rPr>
        <w:t>See </w:t>
      </w:r>
      <w:r>
        <w:rPr>
          <w:i/>
          <w:w w:val="105"/>
          <w:sz w:val="13"/>
        </w:rPr>
        <w:t>Planning and Environment Act 1987</w:t>
      </w:r>
      <w:r>
        <w:rPr>
          <w:i/>
          <w:spacing w:val="27"/>
          <w:w w:val="105"/>
          <w:sz w:val="13"/>
        </w:rPr>
        <w:t> </w:t>
      </w:r>
      <w:r>
        <w:rPr>
          <w:spacing w:val="2"/>
          <w:w w:val="105"/>
          <w:sz w:val="13"/>
        </w:rPr>
        <w:t>(Vic).</w:t>
      </w:r>
    </w:p>
    <w:p>
      <w:pPr>
        <w:pStyle w:val="ListParagraph"/>
        <w:numPr>
          <w:ilvl w:val="0"/>
          <w:numId w:val="85"/>
        </w:numPr>
        <w:tabs>
          <w:tab w:pos="1221" w:val="left" w:leader="none"/>
          <w:tab w:pos="1222" w:val="left" w:leader="none"/>
        </w:tabs>
        <w:spacing w:line="240" w:lineRule="auto" w:before="1" w:after="0"/>
        <w:ind w:left="1221" w:right="1813" w:hanging="793"/>
        <w:jc w:val="left"/>
        <w:rPr>
          <w:sz w:val="13"/>
        </w:rPr>
      </w:pPr>
      <w:r>
        <w:rPr>
          <w:w w:val="105"/>
          <w:sz w:val="13"/>
        </w:rPr>
        <w:t>The removal, destruction or lopping of one tree generally triggers a fast-track permit assessment process, known as VicSmart. VicSmart applications are exempt from the notice requirements under section 52 of the </w:t>
      </w:r>
      <w:r>
        <w:rPr>
          <w:i/>
          <w:w w:val="105"/>
          <w:sz w:val="13"/>
        </w:rPr>
        <w:t>Planning and Environment Act 1987 </w:t>
      </w:r>
      <w:r>
        <w:rPr>
          <w:spacing w:val="2"/>
          <w:w w:val="105"/>
          <w:sz w:val="13"/>
        </w:rPr>
        <w:t>(Vic). </w:t>
      </w:r>
      <w:r>
        <w:rPr>
          <w:w w:val="105"/>
          <w:sz w:val="13"/>
        </w:rPr>
        <w:t>This means      that they are not required to be publicly advertised. See Department of Environment, Land, Water and Planning </w:t>
      </w:r>
      <w:r>
        <w:rPr>
          <w:spacing w:val="2"/>
          <w:w w:val="105"/>
          <w:sz w:val="13"/>
        </w:rPr>
        <w:t>(Vic), </w:t>
      </w:r>
      <w:r>
        <w:rPr>
          <w:w w:val="105"/>
          <w:sz w:val="13"/>
        </w:rPr>
        <w:t>‘</w:t>
      </w:r>
      <w:r>
        <w:rPr>
          <w:i/>
          <w:w w:val="105"/>
          <w:sz w:val="13"/>
        </w:rPr>
        <w:t>VicSmart – A </w:t>
      </w:r>
      <w:r>
        <w:rPr>
          <w:i/>
          <w:w w:val="105"/>
          <w:sz w:val="13"/>
        </w:rPr>
        <w:t>Simpler Planning Permit Process’, Permits and Applications </w:t>
      </w:r>
      <w:r>
        <w:rPr>
          <w:w w:val="105"/>
          <w:sz w:val="13"/>
        </w:rPr>
        <w:t>(Web Page, 20 March 2019) &lt;</w:t>
      </w:r>
      <w:hyperlink r:id="rId111">
        <w:r>
          <w:rPr>
            <w:w w:val="105"/>
            <w:sz w:val="13"/>
          </w:rPr>
          <w:t>https://www.planning.vic.gov.au/permits-and-</w:t>
        </w:r>
      </w:hyperlink>
      <w:hyperlink r:id="rId111">
        <w:r>
          <w:rPr>
            <w:w w:val="105"/>
            <w:sz w:val="13"/>
          </w:rPr>
          <w:t> </w:t>
        </w:r>
        <w:r>
          <w:rPr>
            <w:spacing w:val="2"/>
            <w:w w:val="105"/>
            <w:sz w:val="13"/>
          </w:rPr>
          <w:t>applications/vicsmart</w:t>
        </w:r>
      </w:hyperlink>
      <w:r>
        <w:rPr>
          <w:spacing w:val="2"/>
          <w:w w:val="105"/>
          <w:sz w:val="13"/>
        </w:rPr>
        <w:t>&gt;. </w:t>
      </w:r>
      <w:r>
        <w:rPr>
          <w:w w:val="105"/>
          <w:sz w:val="13"/>
        </w:rPr>
        <w:t>This is discussed in Ch</w:t>
      </w:r>
      <w:r>
        <w:rPr>
          <w:spacing w:val="24"/>
          <w:w w:val="105"/>
          <w:sz w:val="13"/>
        </w:rPr>
        <w:t> </w:t>
      </w:r>
      <w:r>
        <w:rPr>
          <w:w w:val="105"/>
          <w:sz w:val="13"/>
        </w:rPr>
        <w:t>10.</w:t>
      </w:r>
    </w:p>
    <w:p>
      <w:pPr>
        <w:spacing w:after="0" w:line="240" w:lineRule="auto"/>
        <w:jc w:val="left"/>
        <w:rPr>
          <w:sz w:val="13"/>
        </w:rPr>
        <w:sectPr>
          <w:type w:val="continuous"/>
          <w:pgSz w:w="11910" w:h="16840"/>
          <w:pgMar w:top="300" w:bottom="280" w:left="0" w:right="0"/>
          <w:cols w:num="2" w:equalWidth="0">
            <w:col w:w="1120" w:space="40"/>
            <w:col w:w="10750"/>
          </w:cols>
        </w:sectPr>
      </w:pPr>
    </w:p>
    <w:p>
      <w:pPr>
        <w:pStyle w:val="BodyText"/>
        <w:rPr>
          <w:sz w:val="20"/>
        </w:rPr>
      </w:pPr>
    </w:p>
    <w:p>
      <w:pPr>
        <w:pStyle w:val="BodyText"/>
        <w:spacing w:before="8" w:after="1"/>
        <w:rPr>
          <w:sz w:val="29"/>
        </w:rPr>
      </w:pPr>
    </w:p>
    <w:p>
      <w:pPr>
        <w:pStyle w:val="BodyText"/>
        <w:ind w:left="1222"/>
        <w:rPr>
          <w:sz w:val="20"/>
        </w:rPr>
      </w:pPr>
      <w:r>
        <w:rPr>
          <w:sz w:val="20"/>
        </w:rPr>
        <w:pict>
          <v:group style="width:479.1pt;height:230.4pt;mso-position-horizontal-relative:char;mso-position-vertical-relative:line" coordorigin="0,0" coordsize="9582,4608">
            <v:rect style="position:absolute;left:340;top:0;width:8731;height:4608" filled="true" fillcolor="#dbe0dd" stroked="false">
              <v:fill type="solid"/>
            </v:rect>
            <v:line style="position:absolute" from="0,747" to="9581,747" stroked="true" strokeweight="2.5pt" strokecolor="#ffffff">
              <v:stroke dashstyle="solid"/>
            </v:line>
            <v:shape style="position:absolute;left:340;top:771;width:8731;height:3836" type="#_x0000_t202" filled="true" fillcolor="#dbe0dd" stroked="false">
              <v:textbox inset="0,0,0,0">
                <w:txbxContent>
                  <w:p>
                    <w:pPr>
                      <w:numPr>
                        <w:ilvl w:val="0"/>
                        <w:numId w:val="86"/>
                      </w:numPr>
                      <w:tabs>
                        <w:tab w:pos="793" w:val="left" w:leader="none"/>
                        <w:tab w:pos="794" w:val="left" w:leader="none"/>
                      </w:tabs>
                      <w:spacing w:line="242" w:lineRule="auto" w:before="208"/>
                      <w:ind w:left="793" w:right="269" w:hanging="567"/>
                      <w:jc w:val="left"/>
                      <w:rPr>
                        <w:sz w:val="21"/>
                      </w:rPr>
                    </w:pPr>
                    <w:bookmarkStart w:name="Application requirements" w:id="136"/>
                    <w:bookmarkEnd w:id="136"/>
                    <w:r>
                      <w:rPr/>
                    </w:r>
                    <w:bookmarkStart w:name="_bookmark59" w:id="137"/>
                    <w:bookmarkEnd w:id="137"/>
                    <w:r>
                      <w:rPr/>
                    </w:r>
                    <w:bookmarkStart w:name="_bookmark59" w:id="138"/>
                    <w:bookmarkEnd w:id="138"/>
                    <w:r>
                      <w:rPr>
                        <w:w w:val="115"/>
                        <w:sz w:val="21"/>
                      </w:rPr>
                      <w:t>T</w:t>
                    </w:r>
                    <w:r>
                      <w:rPr>
                        <w:w w:val="115"/>
                        <w:sz w:val="21"/>
                      </w:rPr>
                      <w:t>he affected neighbour should be required to notify affected parties of an application and the remedies sought within </w:t>
                    </w:r>
                    <w:r>
                      <w:rPr>
                        <w:spacing w:val="-5"/>
                        <w:w w:val="115"/>
                        <w:sz w:val="21"/>
                      </w:rPr>
                      <w:t>21 </w:t>
                    </w:r>
                    <w:r>
                      <w:rPr>
                        <w:w w:val="115"/>
                        <w:sz w:val="21"/>
                      </w:rPr>
                      <w:t>days of lodging the</w:t>
                    </w:r>
                    <w:r>
                      <w:rPr>
                        <w:spacing w:val="-34"/>
                        <w:w w:val="115"/>
                        <w:sz w:val="21"/>
                      </w:rPr>
                      <w:t> </w:t>
                    </w:r>
                    <w:r>
                      <w:rPr>
                        <w:w w:val="115"/>
                        <w:sz w:val="21"/>
                      </w:rPr>
                      <w:t>application.</w:t>
                    </w:r>
                  </w:p>
                  <w:p>
                    <w:pPr>
                      <w:numPr>
                        <w:ilvl w:val="0"/>
                        <w:numId w:val="86"/>
                      </w:numPr>
                      <w:tabs>
                        <w:tab w:pos="793" w:val="left" w:leader="none"/>
                        <w:tab w:pos="794" w:val="left" w:leader="none"/>
                      </w:tabs>
                      <w:spacing w:before="122"/>
                      <w:ind w:left="793" w:right="0" w:hanging="567"/>
                      <w:jc w:val="left"/>
                      <w:rPr>
                        <w:sz w:val="21"/>
                      </w:rPr>
                    </w:pPr>
                    <w:r>
                      <w:rPr>
                        <w:w w:val="115"/>
                        <w:sz w:val="21"/>
                      </w:rPr>
                      <w:t>‘Affected parties’ should be defined in the Act to</w:t>
                    </w:r>
                    <w:r>
                      <w:rPr>
                        <w:spacing w:val="1"/>
                        <w:w w:val="115"/>
                        <w:sz w:val="21"/>
                      </w:rPr>
                      <w:t> </w:t>
                    </w:r>
                    <w:r>
                      <w:rPr>
                        <w:w w:val="115"/>
                        <w:sz w:val="21"/>
                      </w:rPr>
                      <w:t>mean:</w:t>
                    </w:r>
                  </w:p>
                  <w:p>
                    <w:pPr>
                      <w:numPr>
                        <w:ilvl w:val="1"/>
                        <w:numId w:val="86"/>
                      </w:numPr>
                      <w:tabs>
                        <w:tab w:pos="1360" w:val="left" w:leader="none"/>
                        <w:tab w:pos="1361" w:val="left" w:leader="none"/>
                      </w:tabs>
                      <w:spacing w:before="124"/>
                      <w:ind w:left="1360" w:right="0" w:hanging="567"/>
                      <w:jc w:val="left"/>
                      <w:rPr>
                        <w:sz w:val="21"/>
                      </w:rPr>
                    </w:pPr>
                    <w:r>
                      <w:rPr>
                        <w:w w:val="110"/>
                        <w:sz w:val="21"/>
                      </w:rPr>
                      <w:t>the tree</w:t>
                    </w:r>
                    <w:r>
                      <w:rPr>
                        <w:spacing w:val="6"/>
                        <w:w w:val="110"/>
                        <w:sz w:val="21"/>
                      </w:rPr>
                      <w:t> </w:t>
                    </w:r>
                    <w:r>
                      <w:rPr>
                        <w:w w:val="110"/>
                        <w:sz w:val="21"/>
                      </w:rPr>
                      <w:t>owner/s</w:t>
                    </w:r>
                  </w:p>
                  <w:p>
                    <w:pPr>
                      <w:numPr>
                        <w:ilvl w:val="1"/>
                        <w:numId w:val="86"/>
                      </w:numPr>
                      <w:tabs>
                        <w:tab w:pos="1360" w:val="left" w:leader="none"/>
                        <w:tab w:pos="1361" w:val="left" w:leader="none"/>
                      </w:tabs>
                      <w:spacing w:line="242" w:lineRule="auto" w:before="124"/>
                      <w:ind w:left="1360" w:right="262" w:hanging="567"/>
                      <w:jc w:val="left"/>
                      <w:rPr>
                        <w:sz w:val="21"/>
                      </w:rPr>
                    </w:pPr>
                    <w:r>
                      <w:rPr>
                        <w:spacing w:val="-2"/>
                        <w:w w:val="115"/>
                        <w:sz w:val="21"/>
                      </w:rPr>
                      <w:t>any</w:t>
                    </w:r>
                    <w:r>
                      <w:rPr>
                        <w:spacing w:val="-8"/>
                        <w:w w:val="115"/>
                        <w:sz w:val="21"/>
                      </w:rPr>
                      <w:t> </w:t>
                    </w:r>
                    <w:r>
                      <w:rPr>
                        <w:spacing w:val="-3"/>
                        <w:w w:val="115"/>
                        <w:sz w:val="21"/>
                      </w:rPr>
                      <w:t>relevant</w:t>
                    </w:r>
                    <w:r>
                      <w:rPr>
                        <w:spacing w:val="-8"/>
                        <w:w w:val="115"/>
                        <w:sz w:val="21"/>
                      </w:rPr>
                      <w:t> </w:t>
                    </w:r>
                    <w:r>
                      <w:rPr>
                        <w:w w:val="115"/>
                        <w:sz w:val="21"/>
                      </w:rPr>
                      <w:t>authority</w:t>
                    </w:r>
                    <w:r>
                      <w:rPr>
                        <w:spacing w:val="-8"/>
                        <w:w w:val="115"/>
                        <w:sz w:val="21"/>
                      </w:rPr>
                      <w:t> </w:t>
                    </w:r>
                    <w:r>
                      <w:rPr>
                        <w:w w:val="115"/>
                        <w:sz w:val="21"/>
                      </w:rPr>
                      <w:t>that</w:t>
                    </w:r>
                    <w:r>
                      <w:rPr>
                        <w:spacing w:val="-8"/>
                        <w:w w:val="115"/>
                        <w:sz w:val="21"/>
                      </w:rPr>
                      <w:t> </w:t>
                    </w:r>
                    <w:r>
                      <w:rPr>
                        <w:w w:val="115"/>
                        <w:sz w:val="21"/>
                      </w:rPr>
                      <w:t>would</w:t>
                    </w:r>
                    <w:r>
                      <w:rPr>
                        <w:spacing w:val="-8"/>
                        <w:w w:val="115"/>
                        <w:sz w:val="21"/>
                      </w:rPr>
                      <w:t> </w:t>
                    </w:r>
                    <w:r>
                      <w:rPr>
                        <w:w w:val="115"/>
                        <w:sz w:val="21"/>
                      </w:rPr>
                      <w:t>otherwise</w:t>
                    </w:r>
                    <w:r>
                      <w:rPr>
                        <w:spacing w:val="-8"/>
                        <w:w w:val="115"/>
                        <w:sz w:val="21"/>
                      </w:rPr>
                      <w:t> </w:t>
                    </w:r>
                    <w:r>
                      <w:rPr>
                        <w:w w:val="115"/>
                        <w:sz w:val="21"/>
                      </w:rPr>
                      <w:t>be</w:t>
                    </w:r>
                    <w:r>
                      <w:rPr>
                        <w:spacing w:val="-8"/>
                        <w:w w:val="115"/>
                        <w:sz w:val="21"/>
                      </w:rPr>
                      <w:t> </w:t>
                    </w:r>
                    <w:r>
                      <w:rPr>
                        <w:w w:val="115"/>
                        <w:sz w:val="21"/>
                      </w:rPr>
                      <w:t>required</w:t>
                    </w:r>
                    <w:r>
                      <w:rPr>
                        <w:spacing w:val="-8"/>
                        <w:w w:val="115"/>
                        <w:sz w:val="21"/>
                      </w:rPr>
                      <w:t> </w:t>
                    </w:r>
                    <w:r>
                      <w:rPr>
                        <w:w w:val="115"/>
                        <w:sz w:val="21"/>
                      </w:rPr>
                      <w:t>to</w:t>
                    </w:r>
                    <w:r>
                      <w:rPr>
                        <w:spacing w:val="-8"/>
                        <w:w w:val="115"/>
                        <w:sz w:val="21"/>
                      </w:rPr>
                      <w:t> </w:t>
                    </w:r>
                    <w:r>
                      <w:rPr>
                        <w:w w:val="115"/>
                        <w:sz w:val="21"/>
                      </w:rPr>
                      <w:t>issue</w:t>
                    </w:r>
                    <w:r>
                      <w:rPr>
                        <w:spacing w:val="-8"/>
                        <w:w w:val="115"/>
                        <w:sz w:val="21"/>
                      </w:rPr>
                      <w:t> </w:t>
                    </w:r>
                    <w:r>
                      <w:rPr>
                        <w:w w:val="115"/>
                        <w:sz w:val="21"/>
                      </w:rPr>
                      <w:t>consent in relation to </w:t>
                    </w:r>
                    <w:r>
                      <w:rPr>
                        <w:spacing w:val="-2"/>
                        <w:w w:val="115"/>
                        <w:sz w:val="21"/>
                      </w:rPr>
                      <w:t>any </w:t>
                    </w:r>
                    <w:r>
                      <w:rPr>
                        <w:w w:val="115"/>
                        <w:sz w:val="21"/>
                      </w:rPr>
                      <w:t>works to the</w:t>
                    </w:r>
                    <w:r>
                      <w:rPr>
                        <w:spacing w:val="4"/>
                        <w:w w:val="115"/>
                        <w:sz w:val="21"/>
                      </w:rPr>
                      <w:t> </w:t>
                    </w:r>
                    <w:r>
                      <w:rPr>
                        <w:w w:val="115"/>
                        <w:sz w:val="21"/>
                      </w:rPr>
                      <w:t>tree</w:t>
                    </w:r>
                  </w:p>
                  <w:p>
                    <w:pPr>
                      <w:numPr>
                        <w:ilvl w:val="1"/>
                        <w:numId w:val="86"/>
                      </w:numPr>
                      <w:tabs>
                        <w:tab w:pos="1360" w:val="left" w:leader="none"/>
                        <w:tab w:pos="1361" w:val="left" w:leader="none"/>
                      </w:tabs>
                      <w:spacing w:before="122"/>
                      <w:ind w:left="1360" w:right="0" w:hanging="567"/>
                      <w:jc w:val="left"/>
                      <w:rPr>
                        <w:sz w:val="21"/>
                      </w:rPr>
                    </w:pPr>
                    <w:r>
                      <w:rPr>
                        <w:spacing w:val="-2"/>
                        <w:w w:val="115"/>
                        <w:sz w:val="21"/>
                      </w:rPr>
                      <w:t>any </w:t>
                    </w:r>
                    <w:r>
                      <w:rPr>
                        <w:w w:val="115"/>
                        <w:sz w:val="21"/>
                      </w:rPr>
                      <w:t>other person that the applicant thinks </w:t>
                    </w:r>
                    <w:r>
                      <w:rPr>
                        <w:spacing w:val="-3"/>
                        <w:w w:val="115"/>
                        <w:sz w:val="21"/>
                      </w:rPr>
                      <w:t>will </w:t>
                    </w:r>
                    <w:r>
                      <w:rPr>
                        <w:w w:val="115"/>
                        <w:sz w:val="21"/>
                      </w:rPr>
                      <w:t>be affected by the</w:t>
                    </w:r>
                    <w:r>
                      <w:rPr>
                        <w:spacing w:val="-8"/>
                        <w:w w:val="115"/>
                        <w:sz w:val="21"/>
                      </w:rPr>
                      <w:t> </w:t>
                    </w:r>
                    <w:r>
                      <w:rPr>
                        <w:spacing w:val="-4"/>
                        <w:w w:val="115"/>
                        <w:sz w:val="21"/>
                      </w:rPr>
                      <w:t>order.</w:t>
                    </w:r>
                  </w:p>
                  <w:p>
                    <w:pPr>
                      <w:numPr>
                        <w:ilvl w:val="0"/>
                        <w:numId w:val="86"/>
                      </w:numPr>
                      <w:tabs>
                        <w:tab w:pos="793" w:val="left" w:leader="none"/>
                        <w:tab w:pos="794" w:val="left" w:leader="none"/>
                      </w:tabs>
                      <w:spacing w:line="242" w:lineRule="auto" w:before="124"/>
                      <w:ind w:left="793" w:right="392" w:hanging="567"/>
                      <w:jc w:val="left"/>
                      <w:rPr>
                        <w:sz w:val="21"/>
                      </w:rPr>
                    </w:pPr>
                    <w:r>
                      <w:rPr>
                        <w:w w:val="115"/>
                        <w:sz w:val="21"/>
                      </w:rPr>
                      <w:t>The Act should state that the Victorian Civil and Administrative </w:t>
                    </w:r>
                    <w:r>
                      <w:rPr>
                        <w:spacing w:val="-4"/>
                        <w:w w:val="115"/>
                        <w:sz w:val="21"/>
                      </w:rPr>
                      <w:t>Tribunal </w:t>
                    </w:r>
                    <w:r>
                      <w:rPr>
                        <w:w w:val="115"/>
                        <w:sz w:val="21"/>
                      </w:rPr>
                      <w:t>may </w:t>
                    </w:r>
                    <w:r>
                      <w:rPr>
                        <w:spacing w:val="-3"/>
                        <w:w w:val="115"/>
                        <w:sz w:val="21"/>
                      </w:rPr>
                      <w:t>waive </w:t>
                    </w:r>
                    <w:r>
                      <w:rPr>
                        <w:w w:val="115"/>
                        <w:sz w:val="21"/>
                      </w:rPr>
                      <w:t>these notice requirements where the tree poses an imminent risk of causing</w:t>
                    </w:r>
                    <w:r>
                      <w:rPr>
                        <w:spacing w:val="-9"/>
                        <w:w w:val="115"/>
                        <w:sz w:val="21"/>
                      </w:rPr>
                      <w:t> </w:t>
                    </w:r>
                    <w:r>
                      <w:rPr>
                        <w:w w:val="115"/>
                        <w:sz w:val="21"/>
                      </w:rPr>
                      <w:t>damage</w:t>
                    </w:r>
                    <w:r>
                      <w:rPr>
                        <w:spacing w:val="-8"/>
                        <w:w w:val="115"/>
                        <w:sz w:val="21"/>
                      </w:rPr>
                      <w:t> </w:t>
                    </w:r>
                    <w:r>
                      <w:rPr>
                        <w:w w:val="115"/>
                        <w:sz w:val="21"/>
                      </w:rPr>
                      <w:t>or</w:t>
                    </w:r>
                    <w:r>
                      <w:rPr>
                        <w:spacing w:val="-8"/>
                        <w:w w:val="115"/>
                        <w:sz w:val="21"/>
                      </w:rPr>
                      <w:t> </w:t>
                    </w:r>
                    <w:r>
                      <w:rPr>
                        <w:w w:val="115"/>
                        <w:sz w:val="21"/>
                      </w:rPr>
                      <w:t>harm</w:t>
                    </w:r>
                    <w:r>
                      <w:rPr>
                        <w:spacing w:val="-9"/>
                        <w:w w:val="115"/>
                        <w:sz w:val="21"/>
                      </w:rPr>
                      <w:t> </w:t>
                    </w:r>
                    <w:r>
                      <w:rPr>
                        <w:w w:val="115"/>
                        <w:sz w:val="21"/>
                      </w:rPr>
                      <w:t>or</w:t>
                    </w:r>
                    <w:r>
                      <w:rPr>
                        <w:spacing w:val="-8"/>
                        <w:w w:val="115"/>
                        <w:sz w:val="21"/>
                      </w:rPr>
                      <w:t> </w:t>
                    </w:r>
                    <w:r>
                      <w:rPr>
                        <w:w w:val="115"/>
                        <w:sz w:val="21"/>
                      </w:rPr>
                      <w:t>where</w:t>
                    </w:r>
                    <w:r>
                      <w:rPr>
                        <w:spacing w:val="-8"/>
                        <w:w w:val="115"/>
                        <w:sz w:val="21"/>
                      </w:rPr>
                      <w:t> </w:t>
                    </w:r>
                    <w:r>
                      <w:rPr>
                        <w:w w:val="115"/>
                        <w:sz w:val="21"/>
                      </w:rPr>
                      <w:t>it</w:t>
                    </w:r>
                    <w:r>
                      <w:rPr>
                        <w:spacing w:val="-8"/>
                        <w:w w:val="115"/>
                        <w:sz w:val="21"/>
                      </w:rPr>
                      <w:t> </w:t>
                    </w:r>
                    <w:r>
                      <w:rPr>
                        <w:w w:val="115"/>
                        <w:sz w:val="21"/>
                      </w:rPr>
                      <w:t>is</w:t>
                    </w:r>
                    <w:r>
                      <w:rPr>
                        <w:spacing w:val="-9"/>
                        <w:w w:val="115"/>
                        <w:sz w:val="21"/>
                      </w:rPr>
                      <w:t> </w:t>
                    </w:r>
                    <w:r>
                      <w:rPr>
                        <w:w w:val="115"/>
                        <w:sz w:val="21"/>
                      </w:rPr>
                      <w:t>appropriate</w:t>
                    </w:r>
                    <w:r>
                      <w:rPr>
                        <w:spacing w:val="-8"/>
                        <w:w w:val="115"/>
                        <w:sz w:val="21"/>
                      </w:rPr>
                      <w:t> </w:t>
                    </w:r>
                    <w:r>
                      <w:rPr>
                        <w:w w:val="115"/>
                        <w:sz w:val="21"/>
                      </w:rPr>
                      <w:t>in</w:t>
                    </w:r>
                    <w:r>
                      <w:rPr>
                        <w:spacing w:val="-8"/>
                        <w:w w:val="115"/>
                        <w:sz w:val="21"/>
                      </w:rPr>
                      <w:t> </w:t>
                    </w:r>
                    <w:r>
                      <w:rPr>
                        <w:w w:val="115"/>
                        <w:sz w:val="21"/>
                      </w:rPr>
                      <w:t>the</w:t>
                    </w:r>
                    <w:r>
                      <w:rPr>
                        <w:spacing w:val="-8"/>
                        <w:w w:val="115"/>
                        <w:sz w:val="21"/>
                      </w:rPr>
                      <w:t> </w:t>
                    </w:r>
                    <w:r>
                      <w:rPr>
                        <w:w w:val="115"/>
                        <w:sz w:val="21"/>
                      </w:rPr>
                      <w:t>circumstances</w:t>
                    </w:r>
                    <w:r>
                      <w:rPr>
                        <w:spacing w:val="-9"/>
                        <w:w w:val="115"/>
                        <w:sz w:val="21"/>
                      </w:rPr>
                      <w:t> </w:t>
                    </w:r>
                    <w:r>
                      <w:rPr>
                        <w:w w:val="115"/>
                        <w:sz w:val="21"/>
                      </w:rPr>
                      <w:t>to</w:t>
                    </w:r>
                    <w:r>
                      <w:rPr>
                        <w:spacing w:val="-8"/>
                        <w:w w:val="115"/>
                        <w:sz w:val="21"/>
                      </w:rPr>
                      <w:t> </w:t>
                    </w:r>
                    <w:r>
                      <w:rPr>
                        <w:w w:val="115"/>
                        <w:sz w:val="21"/>
                      </w:rPr>
                      <w:t>do so.</w:t>
                    </w:r>
                  </w:p>
                </w:txbxContent>
              </v:textbox>
              <v:fill type="solid"/>
              <w10:wrap type="none"/>
            </v:shape>
            <v:shape style="position:absolute;left:340;top:0;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Recommendations</w:t>
                    </w:r>
                  </w:p>
                </w:txbxContent>
              </v:textbox>
              <v:fill type="solid"/>
              <w10:wrap type="none"/>
            </v:shape>
          </v:group>
        </w:pict>
      </w:r>
      <w:r>
        <w:rPr>
          <w:sz w:val="20"/>
        </w:rPr>
      </w:r>
    </w:p>
    <w:p>
      <w:pPr>
        <w:pStyle w:val="BodyText"/>
        <w:spacing w:before="5"/>
        <w:rPr>
          <w:sz w:val="16"/>
        </w:rPr>
      </w:pPr>
    </w:p>
    <w:p>
      <w:pPr>
        <w:pStyle w:val="Heading4"/>
        <w:spacing w:before="95"/>
      </w:pPr>
      <w:r>
        <w:rPr>
          <w:color w:val="658464"/>
          <w:w w:val="110"/>
        </w:rPr>
        <w:t>Application requirements</w:t>
      </w:r>
    </w:p>
    <w:p>
      <w:pPr>
        <w:pStyle w:val="ListParagraph"/>
        <w:numPr>
          <w:ilvl w:val="0"/>
          <w:numId w:val="79"/>
        </w:numPr>
        <w:tabs>
          <w:tab w:pos="2381" w:val="left" w:leader="none"/>
          <w:tab w:pos="2382" w:val="left" w:leader="none"/>
        </w:tabs>
        <w:spacing w:line="242" w:lineRule="auto" w:before="155" w:after="0"/>
        <w:ind w:left="2381" w:right="2150" w:hanging="794"/>
        <w:jc w:val="left"/>
        <w:rPr>
          <w:sz w:val="21"/>
        </w:rPr>
      </w:pPr>
      <w:r>
        <w:rPr>
          <w:sz w:val="21"/>
        </w:rPr>
        <w:t>The application </w:t>
      </w:r>
      <w:r>
        <w:rPr>
          <w:spacing w:val="-3"/>
          <w:sz w:val="21"/>
        </w:rPr>
        <w:t>form for </w:t>
      </w:r>
      <w:r>
        <w:rPr>
          <w:sz w:val="21"/>
        </w:rPr>
        <w:t>tree </w:t>
      </w:r>
      <w:r>
        <w:rPr>
          <w:spacing w:val="-3"/>
          <w:sz w:val="21"/>
        </w:rPr>
        <w:t>disputes  </w:t>
      </w:r>
      <w:r>
        <w:rPr>
          <w:sz w:val="21"/>
        </w:rPr>
        <w:t>should </w:t>
      </w:r>
      <w:r>
        <w:rPr>
          <w:spacing w:val="-3"/>
          <w:sz w:val="21"/>
        </w:rPr>
        <w:t>elicit</w:t>
      </w:r>
      <w:r>
        <w:rPr>
          <w:spacing w:val="41"/>
          <w:sz w:val="21"/>
        </w:rPr>
        <w:t> </w:t>
      </w:r>
      <w:r>
        <w:rPr>
          <w:spacing w:val="-3"/>
          <w:sz w:val="21"/>
        </w:rPr>
        <w:t>information  from  </w:t>
      </w:r>
      <w:r>
        <w:rPr>
          <w:sz w:val="21"/>
        </w:rPr>
        <w:t>the parties </w:t>
      </w:r>
      <w:r>
        <w:rPr>
          <w:spacing w:val="-3"/>
          <w:sz w:val="21"/>
        </w:rPr>
        <w:t>that </w:t>
      </w:r>
      <w:r>
        <w:rPr>
          <w:sz w:val="21"/>
        </w:rPr>
        <w:t>is targeted at </w:t>
      </w:r>
      <w:r>
        <w:rPr>
          <w:spacing w:val="-3"/>
          <w:sz w:val="21"/>
        </w:rPr>
        <w:t>narrowing </w:t>
      </w:r>
      <w:r>
        <w:rPr>
          <w:sz w:val="21"/>
        </w:rPr>
        <w:t>the issues in </w:t>
      </w:r>
      <w:r>
        <w:rPr>
          <w:spacing w:val="-3"/>
          <w:sz w:val="21"/>
        </w:rPr>
        <w:t>dispute, helping </w:t>
      </w:r>
      <w:r>
        <w:rPr>
          <w:spacing w:val="-5"/>
          <w:sz w:val="21"/>
        </w:rPr>
        <w:t>VCAT </w:t>
      </w:r>
      <w:r>
        <w:rPr>
          <w:spacing w:val="-3"/>
          <w:sz w:val="21"/>
        </w:rPr>
        <w:t>to determine </w:t>
      </w:r>
      <w:r>
        <w:rPr>
          <w:sz w:val="21"/>
        </w:rPr>
        <w:t>whether </w:t>
      </w:r>
      <w:r>
        <w:rPr>
          <w:spacing w:val="-3"/>
          <w:sz w:val="21"/>
        </w:rPr>
        <w:t>Alternative Dispute </w:t>
      </w:r>
      <w:r>
        <w:rPr>
          <w:sz w:val="21"/>
        </w:rPr>
        <w:t>Resolution is </w:t>
      </w:r>
      <w:r>
        <w:rPr>
          <w:spacing w:val="-3"/>
          <w:sz w:val="21"/>
        </w:rPr>
        <w:t>appropriate </w:t>
      </w:r>
      <w:r>
        <w:rPr>
          <w:sz w:val="21"/>
        </w:rPr>
        <w:t>and assisting it </w:t>
      </w:r>
      <w:r>
        <w:rPr>
          <w:spacing w:val="-3"/>
          <w:sz w:val="21"/>
        </w:rPr>
        <w:t>to </w:t>
      </w:r>
      <w:r>
        <w:rPr>
          <w:sz w:val="21"/>
        </w:rPr>
        <w:t>resolve the </w:t>
      </w:r>
      <w:r>
        <w:rPr>
          <w:spacing w:val="-3"/>
          <w:sz w:val="21"/>
        </w:rPr>
        <w:t>dispute efficiently.</w:t>
      </w:r>
    </w:p>
    <w:p>
      <w:pPr>
        <w:pStyle w:val="BodyText"/>
        <w:spacing w:before="5"/>
        <w:rPr>
          <w:sz w:val="20"/>
        </w:rPr>
      </w:pPr>
    </w:p>
    <w:p>
      <w:pPr>
        <w:pStyle w:val="Heading5"/>
      </w:pPr>
      <w:r>
        <w:rPr>
          <w:w w:val="110"/>
        </w:rPr>
        <w:t>Other jurisdictions—application requirements</w:t>
      </w:r>
    </w:p>
    <w:p>
      <w:pPr>
        <w:pStyle w:val="ListParagraph"/>
        <w:numPr>
          <w:ilvl w:val="0"/>
          <w:numId w:val="79"/>
        </w:numPr>
        <w:tabs>
          <w:tab w:pos="2381" w:val="left" w:leader="none"/>
          <w:tab w:pos="2382" w:val="left" w:leader="none"/>
        </w:tabs>
        <w:spacing w:line="242" w:lineRule="auto" w:before="137" w:after="0"/>
        <w:ind w:left="2381" w:right="2172" w:hanging="794"/>
        <w:jc w:val="left"/>
        <w:rPr>
          <w:sz w:val="21"/>
        </w:rPr>
      </w:pPr>
      <w:r>
        <w:rPr>
          <w:sz w:val="21"/>
        </w:rPr>
        <w:t>All of the dedicated interstate tree </w:t>
      </w:r>
      <w:r>
        <w:rPr>
          <w:spacing w:val="-3"/>
          <w:sz w:val="21"/>
        </w:rPr>
        <w:t>dispute </w:t>
      </w:r>
      <w:r>
        <w:rPr>
          <w:sz w:val="21"/>
        </w:rPr>
        <w:t>Acts</w:t>
      </w:r>
      <w:r>
        <w:rPr>
          <w:position w:val="7"/>
          <w:sz w:val="12"/>
        </w:rPr>
        <w:t>390 </w:t>
      </w:r>
      <w:r>
        <w:rPr>
          <w:spacing w:val="-3"/>
          <w:sz w:val="21"/>
        </w:rPr>
        <w:t>require </w:t>
      </w:r>
      <w:r>
        <w:rPr>
          <w:sz w:val="21"/>
        </w:rPr>
        <w:t>applicants </w:t>
      </w:r>
      <w:r>
        <w:rPr>
          <w:spacing w:val="-3"/>
          <w:sz w:val="21"/>
        </w:rPr>
        <w:t>to </w:t>
      </w:r>
      <w:r>
        <w:rPr>
          <w:sz w:val="21"/>
        </w:rPr>
        <w:t>provide very detailed </w:t>
      </w:r>
      <w:r>
        <w:rPr>
          <w:spacing w:val="-3"/>
          <w:sz w:val="21"/>
        </w:rPr>
        <w:t>information </w:t>
      </w:r>
      <w:r>
        <w:rPr>
          <w:sz w:val="21"/>
        </w:rPr>
        <w:t>about their </w:t>
      </w:r>
      <w:r>
        <w:rPr>
          <w:spacing w:val="-3"/>
          <w:sz w:val="21"/>
        </w:rPr>
        <w:t>dispute </w:t>
      </w:r>
      <w:r>
        <w:rPr>
          <w:sz w:val="21"/>
        </w:rPr>
        <w:t>in the application </w:t>
      </w:r>
      <w:r>
        <w:rPr>
          <w:spacing w:val="-3"/>
          <w:sz w:val="21"/>
        </w:rPr>
        <w:t>form,</w:t>
      </w:r>
      <w:r>
        <w:rPr>
          <w:spacing w:val="4"/>
          <w:sz w:val="21"/>
        </w:rPr>
        <w:t> </w:t>
      </w:r>
      <w:r>
        <w:rPr>
          <w:spacing w:val="-3"/>
          <w:sz w:val="21"/>
        </w:rPr>
        <w:t>including:</w:t>
      </w:r>
    </w:p>
    <w:p>
      <w:pPr>
        <w:pStyle w:val="ListParagraph"/>
        <w:numPr>
          <w:ilvl w:val="1"/>
          <w:numId w:val="79"/>
        </w:numPr>
        <w:tabs>
          <w:tab w:pos="2721" w:val="left" w:leader="none"/>
          <w:tab w:pos="2722" w:val="left" w:leader="none"/>
        </w:tabs>
        <w:spacing w:line="240" w:lineRule="auto" w:before="123" w:after="0"/>
        <w:ind w:left="2721" w:right="0" w:hanging="340"/>
        <w:jc w:val="left"/>
        <w:rPr>
          <w:sz w:val="21"/>
        </w:rPr>
      </w:pPr>
      <w:r>
        <w:rPr>
          <w:w w:val="105"/>
          <w:sz w:val="21"/>
        </w:rPr>
        <w:t>the </w:t>
      </w:r>
      <w:r>
        <w:rPr>
          <w:spacing w:val="-3"/>
          <w:w w:val="105"/>
          <w:sz w:val="21"/>
        </w:rPr>
        <w:t>applicant’s name, </w:t>
      </w:r>
      <w:r>
        <w:rPr>
          <w:w w:val="105"/>
          <w:sz w:val="21"/>
        </w:rPr>
        <w:t>address and contact</w:t>
      </w:r>
      <w:r>
        <w:rPr>
          <w:spacing w:val="33"/>
          <w:w w:val="105"/>
          <w:sz w:val="21"/>
        </w:rPr>
        <w:t> </w:t>
      </w:r>
      <w:r>
        <w:rPr>
          <w:w w:val="105"/>
          <w:sz w:val="21"/>
        </w:rPr>
        <w:t>details</w:t>
      </w:r>
    </w:p>
    <w:p>
      <w:pPr>
        <w:pStyle w:val="ListParagraph"/>
        <w:numPr>
          <w:ilvl w:val="1"/>
          <w:numId w:val="79"/>
        </w:numPr>
        <w:tabs>
          <w:tab w:pos="2721" w:val="left" w:leader="none"/>
          <w:tab w:pos="2722" w:val="left" w:leader="none"/>
        </w:tabs>
        <w:spacing w:line="242" w:lineRule="auto" w:before="88" w:after="0"/>
        <w:ind w:left="2721" w:right="1908" w:hanging="340"/>
        <w:jc w:val="left"/>
        <w:rPr>
          <w:sz w:val="21"/>
        </w:rPr>
      </w:pPr>
      <w:r>
        <w:rPr>
          <w:spacing w:val="-3"/>
          <w:w w:val="105"/>
          <w:sz w:val="21"/>
        </w:rPr>
        <w:t>information</w:t>
      </w:r>
      <w:r>
        <w:rPr>
          <w:spacing w:val="-9"/>
          <w:w w:val="105"/>
          <w:sz w:val="21"/>
        </w:rPr>
        <w:t> </w:t>
      </w:r>
      <w:r>
        <w:rPr>
          <w:w w:val="105"/>
          <w:sz w:val="21"/>
        </w:rPr>
        <w:t>about</w:t>
      </w:r>
      <w:r>
        <w:rPr>
          <w:spacing w:val="-8"/>
          <w:w w:val="105"/>
          <w:sz w:val="21"/>
        </w:rPr>
        <w:t> </w:t>
      </w:r>
      <w:r>
        <w:rPr>
          <w:w w:val="105"/>
          <w:sz w:val="21"/>
        </w:rPr>
        <w:t>the</w:t>
      </w:r>
      <w:r>
        <w:rPr>
          <w:spacing w:val="-8"/>
          <w:w w:val="105"/>
          <w:sz w:val="21"/>
        </w:rPr>
        <w:t> </w:t>
      </w:r>
      <w:r>
        <w:rPr>
          <w:w w:val="105"/>
          <w:sz w:val="21"/>
        </w:rPr>
        <w:t>property</w:t>
      </w:r>
      <w:r>
        <w:rPr>
          <w:spacing w:val="-8"/>
          <w:w w:val="105"/>
          <w:sz w:val="21"/>
        </w:rPr>
        <w:t> </w:t>
      </w:r>
      <w:r>
        <w:rPr>
          <w:w w:val="105"/>
          <w:sz w:val="21"/>
        </w:rPr>
        <w:t>on</w:t>
      </w:r>
      <w:r>
        <w:rPr>
          <w:spacing w:val="-8"/>
          <w:w w:val="105"/>
          <w:sz w:val="21"/>
        </w:rPr>
        <w:t> </w:t>
      </w:r>
      <w:r>
        <w:rPr>
          <w:w w:val="105"/>
          <w:sz w:val="21"/>
        </w:rPr>
        <w:t>which</w:t>
      </w:r>
      <w:r>
        <w:rPr>
          <w:spacing w:val="-8"/>
          <w:w w:val="105"/>
          <w:sz w:val="21"/>
        </w:rPr>
        <w:t> </w:t>
      </w:r>
      <w:r>
        <w:rPr>
          <w:w w:val="105"/>
          <w:sz w:val="21"/>
        </w:rPr>
        <w:t>the</w:t>
      </w:r>
      <w:r>
        <w:rPr>
          <w:spacing w:val="-9"/>
          <w:w w:val="105"/>
          <w:sz w:val="21"/>
        </w:rPr>
        <w:t> </w:t>
      </w:r>
      <w:r>
        <w:rPr>
          <w:w w:val="105"/>
          <w:sz w:val="21"/>
        </w:rPr>
        <w:t>tree</w:t>
      </w:r>
      <w:r>
        <w:rPr>
          <w:spacing w:val="-8"/>
          <w:w w:val="105"/>
          <w:sz w:val="21"/>
        </w:rPr>
        <w:t> </w:t>
      </w:r>
      <w:r>
        <w:rPr>
          <w:w w:val="105"/>
          <w:sz w:val="21"/>
        </w:rPr>
        <w:t>is</w:t>
      </w:r>
      <w:r>
        <w:rPr>
          <w:spacing w:val="-8"/>
          <w:w w:val="105"/>
          <w:sz w:val="21"/>
        </w:rPr>
        <w:t> </w:t>
      </w:r>
      <w:r>
        <w:rPr>
          <w:w w:val="105"/>
          <w:sz w:val="21"/>
        </w:rPr>
        <w:t>located</w:t>
      </w:r>
      <w:r>
        <w:rPr>
          <w:spacing w:val="-8"/>
          <w:w w:val="105"/>
          <w:sz w:val="21"/>
        </w:rPr>
        <w:t> </w:t>
      </w:r>
      <w:r>
        <w:rPr>
          <w:spacing w:val="-3"/>
          <w:w w:val="105"/>
          <w:sz w:val="21"/>
        </w:rPr>
        <w:t>(including</w:t>
      </w:r>
      <w:r>
        <w:rPr>
          <w:spacing w:val="-8"/>
          <w:w w:val="105"/>
          <w:sz w:val="21"/>
        </w:rPr>
        <w:t> </w:t>
      </w:r>
      <w:r>
        <w:rPr>
          <w:w w:val="105"/>
          <w:sz w:val="21"/>
        </w:rPr>
        <w:t>the</w:t>
      </w:r>
      <w:r>
        <w:rPr>
          <w:spacing w:val="-8"/>
          <w:w w:val="105"/>
          <w:sz w:val="21"/>
        </w:rPr>
        <w:t> </w:t>
      </w:r>
      <w:r>
        <w:rPr>
          <w:spacing w:val="-3"/>
          <w:w w:val="105"/>
          <w:sz w:val="21"/>
        </w:rPr>
        <w:t>relevant </w:t>
      </w:r>
      <w:r>
        <w:rPr>
          <w:w w:val="105"/>
          <w:sz w:val="21"/>
        </w:rPr>
        <w:t>local </w:t>
      </w:r>
      <w:r>
        <w:rPr>
          <w:spacing w:val="-3"/>
          <w:w w:val="105"/>
          <w:sz w:val="21"/>
        </w:rPr>
        <w:t>council, </w:t>
      </w:r>
      <w:r>
        <w:rPr>
          <w:w w:val="105"/>
          <w:sz w:val="21"/>
        </w:rPr>
        <w:t>the </w:t>
      </w:r>
      <w:r>
        <w:rPr>
          <w:spacing w:val="-3"/>
          <w:w w:val="105"/>
          <w:sz w:val="21"/>
        </w:rPr>
        <w:t>land </w:t>
      </w:r>
      <w:r>
        <w:rPr>
          <w:w w:val="105"/>
          <w:sz w:val="21"/>
        </w:rPr>
        <w:t>use </w:t>
      </w:r>
      <w:r>
        <w:rPr>
          <w:spacing w:val="-3"/>
          <w:w w:val="105"/>
          <w:sz w:val="21"/>
        </w:rPr>
        <w:t>zone </w:t>
      </w:r>
      <w:r>
        <w:rPr>
          <w:w w:val="105"/>
          <w:sz w:val="21"/>
        </w:rPr>
        <w:t>of the property, and the name of the property owner/s)</w:t>
      </w:r>
    </w:p>
    <w:p>
      <w:pPr>
        <w:pStyle w:val="ListParagraph"/>
        <w:numPr>
          <w:ilvl w:val="1"/>
          <w:numId w:val="79"/>
        </w:numPr>
        <w:tabs>
          <w:tab w:pos="2721" w:val="left" w:leader="none"/>
          <w:tab w:pos="2722" w:val="left" w:leader="none"/>
        </w:tabs>
        <w:spacing w:line="240" w:lineRule="auto" w:before="88" w:after="0"/>
        <w:ind w:left="2721" w:right="0" w:hanging="340"/>
        <w:jc w:val="left"/>
        <w:rPr>
          <w:sz w:val="21"/>
        </w:rPr>
      </w:pPr>
      <w:r>
        <w:rPr>
          <w:sz w:val="21"/>
        </w:rPr>
        <w:t>the orders (or remedies) </w:t>
      </w:r>
      <w:r>
        <w:rPr>
          <w:spacing w:val="-3"/>
          <w:sz w:val="21"/>
        </w:rPr>
        <w:t>sought </w:t>
      </w:r>
      <w:r>
        <w:rPr>
          <w:sz w:val="21"/>
        </w:rPr>
        <w:t>by the</w:t>
      </w:r>
      <w:r>
        <w:rPr>
          <w:spacing w:val="16"/>
          <w:sz w:val="21"/>
        </w:rPr>
        <w:t> </w:t>
      </w:r>
      <w:r>
        <w:rPr>
          <w:spacing w:val="-3"/>
          <w:sz w:val="21"/>
        </w:rPr>
        <w:t>applicant</w:t>
      </w:r>
    </w:p>
    <w:p>
      <w:pPr>
        <w:pStyle w:val="ListParagraph"/>
        <w:numPr>
          <w:ilvl w:val="1"/>
          <w:numId w:val="79"/>
        </w:numPr>
        <w:tabs>
          <w:tab w:pos="2721" w:val="left" w:leader="none"/>
          <w:tab w:pos="2722" w:val="left" w:leader="none"/>
        </w:tabs>
        <w:spacing w:line="242" w:lineRule="auto" w:before="89" w:after="0"/>
        <w:ind w:left="2721" w:right="2388" w:hanging="340"/>
        <w:jc w:val="left"/>
        <w:rPr>
          <w:sz w:val="21"/>
        </w:rPr>
      </w:pPr>
      <w:r>
        <w:rPr>
          <w:sz w:val="21"/>
        </w:rPr>
        <w:t>whether the </w:t>
      </w:r>
      <w:r>
        <w:rPr>
          <w:spacing w:val="-3"/>
          <w:sz w:val="21"/>
        </w:rPr>
        <w:t>applicant </w:t>
      </w:r>
      <w:r>
        <w:rPr>
          <w:spacing w:val="-2"/>
          <w:sz w:val="21"/>
        </w:rPr>
        <w:t>has </w:t>
      </w:r>
      <w:r>
        <w:rPr>
          <w:sz w:val="21"/>
        </w:rPr>
        <w:t>made </w:t>
      </w:r>
      <w:r>
        <w:rPr>
          <w:spacing w:val="-3"/>
          <w:sz w:val="21"/>
        </w:rPr>
        <w:t>any </w:t>
      </w:r>
      <w:r>
        <w:rPr>
          <w:sz w:val="21"/>
        </w:rPr>
        <w:t>attempts </w:t>
      </w:r>
      <w:r>
        <w:rPr>
          <w:spacing w:val="-3"/>
          <w:sz w:val="21"/>
        </w:rPr>
        <w:t>to </w:t>
      </w:r>
      <w:r>
        <w:rPr>
          <w:sz w:val="21"/>
        </w:rPr>
        <w:t>resolve the </w:t>
      </w:r>
      <w:r>
        <w:rPr>
          <w:spacing w:val="-3"/>
          <w:sz w:val="21"/>
        </w:rPr>
        <w:t>dispute </w:t>
      </w:r>
      <w:r>
        <w:rPr>
          <w:sz w:val="21"/>
        </w:rPr>
        <w:t>with the respondent</w:t>
      </w:r>
    </w:p>
    <w:p>
      <w:pPr>
        <w:pStyle w:val="ListParagraph"/>
        <w:numPr>
          <w:ilvl w:val="1"/>
          <w:numId w:val="79"/>
        </w:numPr>
        <w:tabs>
          <w:tab w:pos="2721" w:val="left" w:leader="none"/>
          <w:tab w:pos="2722" w:val="left" w:leader="none"/>
        </w:tabs>
        <w:spacing w:line="242" w:lineRule="auto" w:before="87" w:after="0"/>
        <w:ind w:left="2721" w:right="2056" w:hanging="340"/>
        <w:jc w:val="left"/>
        <w:rPr>
          <w:sz w:val="12"/>
        </w:rPr>
      </w:pPr>
      <w:r>
        <w:rPr>
          <w:sz w:val="21"/>
        </w:rPr>
        <w:t>whether </w:t>
      </w:r>
      <w:r>
        <w:rPr>
          <w:spacing w:val="-3"/>
          <w:sz w:val="21"/>
        </w:rPr>
        <w:t>any consent </w:t>
      </w:r>
      <w:r>
        <w:rPr>
          <w:sz w:val="21"/>
        </w:rPr>
        <w:t>or authorisation </w:t>
      </w:r>
      <w:r>
        <w:rPr>
          <w:spacing w:val="-3"/>
          <w:sz w:val="21"/>
        </w:rPr>
        <w:t>from </w:t>
      </w:r>
      <w:r>
        <w:rPr>
          <w:sz w:val="21"/>
        </w:rPr>
        <w:t>a </w:t>
      </w:r>
      <w:r>
        <w:rPr>
          <w:spacing w:val="-3"/>
          <w:sz w:val="21"/>
        </w:rPr>
        <w:t>government </w:t>
      </w:r>
      <w:r>
        <w:rPr>
          <w:sz w:val="21"/>
        </w:rPr>
        <w:t>authority is </w:t>
      </w:r>
      <w:r>
        <w:rPr>
          <w:spacing w:val="-3"/>
          <w:sz w:val="21"/>
        </w:rPr>
        <w:t>required to </w:t>
      </w:r>
      <w:r>
        <w:rPr>
          <w:sz w:val="21"/>
        </w:rPr>
        <w:t>carry out work on the</w:t>
      </w:r>
      <w:r>
        <w:rPr>
          <w:spacing w:val="43"/>
          <w:sz w:val="21"/>
        </w:rPr>
        <w:t> </w:t>
      </w:r>
      <w:r>
        <w:rPr>
          <w:spacing w:val="-3"/>
          <w:sz w:val="21"/>
        </w:rPr>
        <w:t>tree.</w:t>
      </w:r>
      <w:r>
        <w:rPr>
          <w:spacing w:val="-3"/>
          <w:position w:val="7"/>
          <w:sz w:val="12"/>
        </w:rPr>
        <w:t>391</w:t>
      </w:r>
    </w:p>
    <w:p>
      <w:pPr>
        <w:pStyle w:val="ListParagraph"/>
        <w:numPr>
          <w:ilvl w:val="0"/>
          <w:numId w:val="79"/>
        </w:numPr>
        <w:tabs>
          <w:tab w:pos="2381" w:val="left" w:leader="none"/>
          <w:tab w:pos="2382" w:val="left" w:leader="none"/>
        </w:tabs>
        <w:spacing w:line="240" w:lineRule="auto" w:before="88" w:after="0"/>
        <w:ind w:left="2381" w:right="0" w:hanging="794"/>
        <w:jc w:val="left"/>
        <w:rPr>
          <w:sz w:val="21"/>
        </w:rPr>
      </w:pPr>
      <w:r>
        <w:rPr>
          <w:w w:val="105"/>
          <w:sz w:val="21"/>
        </w:rPr>
        <w:t>In </w:t>
      </w:r>
      <w:r>
        <w:rPr>
          <w:spacing w:val="-3"/>
          <w:w w:val="105"/>
          <w:sz w:val="21"/>
        </w:rPr>
        <w:t>addition, </w:t>
      </w:r>
      <w:r>
        <w:rPr>
          <w:w w:val="105"/>
          <w:sz w:val="21"/>
        </w:rPr>
        <w:t>the NSW and </w:t>
      </w:r>
      <w:r>
        <w:rPr>
          <w:spacing w:val="-3"/>
          <w:w w:val="105"/>
          <w:sz w:val="21"/>
        </w:rPr>
        <w:t>Queensland </w:t>
      </w:r>
      <w:r>
        <w:rPr>
          <w:w w:val="105"/>
          <w:sz w:val="21"/>
        </w:rPr>
        <w:t>Acts </w:t>
      </w:r>
      <w:r>
        <w:rPr>
          <w:spacing w:val="-3"/>
          <w:w w:val="105"/>
          <w:sz w:val="21"/>
        </w:rPr>
        <w:t>require </w:t>
      </w:r>
      <w:r>
        <w:rPr>
          <w:w w:val="105"/>
          <w:sz w:val="21"/>
        </w:rPr>
        <w:t>applicants </w:t>
      </w:r>
      <w:r>
        <w:rPr>
          <w:spacing w:val="-3"/>
          <w:w w:val="105"/>
          <w:sz w:val="21"/>
        </w:rPr>
        <w:t>to</w:t>
      </w:r>
      <w:r>
        <w:rPr>
          <w:spacing w:val="1"/>
          <w:w w:val="105"/>
          <w:sz w:val="21"/>
        </w:rPr>
        <w:t> </w:t>
      </w:r>
      <w:r>
        <w:rPr>
          <w:w w:val="105"/>
          <w:sz w:val="21"/>
        </w:rPr>
        <w:t>describe:</w:t>
      </w:r>
    </w:p>
    <w:p>
      <w:pPr>
        <w:pStyle w:val="ListParagraph"/>
        <w:numPr>
          <w:ilvl w:val="1"/>
          <w:numId w:val="79"/>
        </w:numPr>
        <w:tabs>
          <w:tab w:pos="2721" w:val="left" w:leader="none"/>
          <w:tab w:pos="2722" w:val="left" w:leader="none"/>
        </w:tabs>
        <w:spacing w:line="242" w:lineRule="auto" w:before="123" w:after="0"/>
        <w:ind w:left="2721" w:right="1679" w:hanging="340"/>
        <w:jc w:val="left"/>
        <w:rPr>
          <w:sz w:val="21"/>
        </w:rPr>
      </w:pPr>
      <w:r>
        <w:rPr>
          <w:sz w:val="21"/>
        </w:rPr>
        <w:t>whether anything other </w:t>
      </w:r>
      <w:r>
        <w:rPr>
          <w:spacing w:val="-3"/>
          <w:sz w:val="21"/>
        </w:rPr>
        <w:t>than </w:t>
      </w:r>
      <w:r>
        <w:rPr>
          <w:sz w:val="21"/>
        </w:rPr>
        <w:t>the tree </w:t>
      </w:r>
      <w:r>
        <w:rPr>
          <w:spacing w:val="-2"/>
          <w:sz w:val="21"/>
        </w:rPr>
        <w:t>has </w:t>
      </w:r>
      <w:r>
        <w:rPr>
          <w:spacing w:val="-3"/>
          <w:sz w:val="21"/>
        </w:rPr>
        <w:t>contributed, </w:t>
      </w:r>
      <w:r>
        <w:rPr>
          <w:sz w:val="21"/>
        </w:rPr>
        <w:t>or is </w:t>
      </w:r>
      <w:r>
        <w:rPr>
          <w:spacing w:val="-3"/>
          <w:sz w:val="21"/>
        </w:rPr>
        <w:t>contributing,  to  </w:t>
      </w:r>
      <w:r>
        <w:rPr>
          <w:sz w:val="21"/>
        </w:rPr>
        <w:t>the injury or</w:t>
      </w:r>
      <w:r>
        <w:rPr>
          <w:spacing w:val="8"/>
          <w:sz w:val="21"/>
        </w:rPr>
        <w:t> </w:t>
      </w:r>
      <w:r>
        <w:rPr>
          <w:sz w:val="21"/>
        </w:rPr>
        <w:t>damage</w:t>
      </w:r>
    </w:p>
    <w:p>
      <w:pPr>
        <w:pStyle w:val="ListParagraph"/>
        <w:numPr>
          <w:ilvl w:val="1"/>
          <w:numId w:val="79"/>
        </w:numPr>
        <w:tabs>
          <w:tab w:pos="2721" w:val="left" w:leader="none"/>
          <w:tab w:pos="2722" w:val="left" w:leader="none"/>
        </w:tabs>
        <w:spacing w:line="240" w:lineRule="auto" w:before="87" w:after="0"/>
        <w:ind w:left="2721" w:right="0" w:hanging="340"/>
        <w:jc w:val="left"/>
        <w:rPr>
          <w:sz w:val="21"/>
        </w:rPr>
      </w:pPr>
      <w:r>
        <w:rPr>
          <w:sz w:val="21"/>
        </w:rPr>
        <w:t>whether</w:t>
      </w:r>
      <w:r>
        <w:rPr>
          <w:spacing w:val="11"/>
          <w:sz w:val="21"/>
        </w:rPr>
        <w:t> </w:t>
      </w:r>
      <w:r>
        <w:rPr>
          <w:sz w:val="21"/>
        </w:rPr>
        <w:t>the</w:t>
      </w:r>
      <w:r>
        <w:rPr>
          <w:spacing w:val="11"/>
          <w:sz w:val="21"/>
        </w:rPr>
        <w:t> </w:t>
      </w:r>
      <w:r>
        <w:rPr>
          <w:spacing w:val="-3"/>
          <w:sz w:val="21"/>
        </w:rPr>
        <w:t>applicant</w:t>
      </w:r>
      <w:r>
        <w:rPr>
          <w:spacing w:val="11"/>
          <w:sz w:val="21"/>
        </w:rPr>
        <w:t> </w:t>
      </w:r>
      <w:r>
        <w:rPr>
          <w:spacing w:val="-2"/>
          <w:sz w:val="21"/>
        </w:rPr>
        <w:t>has</w:t>
      </w:r>
      <w:r>
        <w:rPr>
          <w:spacing w:val="11"/>
          <w:sz w:val="21"/>
        </w:rPr>
        <w:t> </w:t>
      </w:r>
      <w:r>
        <w:rPr>
          <w:spacing w:val="-3"/>
          <w:sz w:val="21"/>
        </w:rPr>
        <w:t>taken</w:t>
      </w:r>
      <w:r>
        <w:rPr>
          <w:spacing w:val="11"/>
          <w:sz w:val="21"/>
        </w:rPr>
        <w:t> </w:t>
      </w:r>
      <w:r>
        <w:rPr>
          <w:spacing w:val="-3"/>
          <w:sz w:val="21"/>
        </w:rPr>
        <w:t>any</w:t>
      </w:r>
      <w:r>
        <w:rPr>
          <w:spacing w:val="11"/>
          <w:sz w:val="21"/>
        </w:rPr>
        <w:t> </w:t>
      </w:r>
      <w:r>
        <w:rPr>
          <w:sz w:val="21"/>
        </w:rPr>
        <w:t>steps</w:t>
      </w:r>
      <w:r>
        <w:rPr>
          <w:spacing w:val="12"/>
          <w:sz w:val="21"/>
        </w:rPr>
        <w:t> </w:t>
      </w:r>
      <w:r>
        <w:rPr>
          <w:spacing w:val="-3"/>
          <w:sz w:val="21"/>
        </w:rPr>
        <w:t>to</w:t>
      </w:r>
      <w:r>
        <w:rPr>
          <w:spacing w:val="11"/>
          <w:sz w:val="21"/>
        </w:rPr>
        <w:t> </w:t>
      </w:r>
      <w:r>
        <w:rPr>
          <w:spacing w:val="-3"/>
          <w:sz w:val="21"/>
        </w:rPr>
        <w:t>prevent</w:t>
      </w:r>
      <w:r>
        <w:rPr>
          <w:spacing w:val="11"/>
          <w:sz w:val="21"/>
        </w:rPr>
        <w:t> </w:t>
      </w:r>
      <w:r>
        <w:rPr>
          <w:sz w:val="21"/>
        </w:rPr>
        <w:t>or</w:t>
      </w:r>
      <w:r>
        <w:rPr>
          <w:spacing w:val="11"/>
          <w:sz w:val="21"/>
        </w:rPr>
        <w:t> </w:t>
      </w:r>
      <w:r>
        <w:rPr>
          <w:sz w:val="21"/>
        </w:rPr>
        <w:t>rectify</w:t>
      </w:r>
      <w:r>
        <w:rPr>
          <w:spacing w:val="11"/>
          <w:sz w:val="21"/>
        </w:rPr>
        <w:t> </w:t>
      </w:r>
      <w:r>
        <w:rPr>
          <w:spacing w:val="-3"/>
          <w:sz w:val="21"/>
        </w:rPr>
        <w:t>any</w:t>
      </w:r>
      <w:r>
        <w:rPr>
          <w:spacing w:val="11"/>
          <w:sz w:val="21"/>
        </w:rPr>
        <w:t> </w:t>
      </w:r>
      <w:r>
        <w:rPr>
          <w:sz w:val="21"/>
        </w:rPr>
        <w:t>damage</w:t>
      </w:r>
      <w:r>
        <w:rPr>
          <w:spacing w:val="12"/>
          <w:sz w:val="21"/>
        </w:rPr>
        <w:t> </w:t>
      </w:r>
      <w:r>
        <w:rPr>
          <w:sz w:val="21"/>
        </w:rPr>
        <w:t>or</w:t>
      </w:r>
      <w:r>
        <w:rPr>
          <w:spacing w:val="11"/>
          <w:sz w:val="21"/>
        </w:rPr>
        <w:t> </w:t>
      </w:r>
      <w:r>
        <w:rPr>
          <w:sz w:val="21"/>
        </w:rPr>
        <w:t>injury</w:t>
      </w:r>
    </w:p>
    <w:p>
      <w:pPr>
        <w:pStyle w:val="ListParagraph"/>
        <w:numPr>
          <w:ilvl w:val="1"/>
          <w:numId w:val="79"/>
        </w:numPr>
        <w:tabs>
          <w:tab w:pos="2721" w:val="left" w:leader="none"/>
          <w:tab w:pos="2722" w:val="left" w:leader="none"/>
        </w:tabs>
        <w:spacing w:line="242" w:lineRule="auto" w:before="89" w:after="0"/>
        <w:ind w:left="2721" w:right="2212" w:hanging="340"/>
        <w:jc w:val="left"/>
        <w:rPr>
          <w:sz w:val="21"/>
        </w:rPr>
      </w:pPr>
      <w:r>
        <w:rPr>
          <w:sz w:val="21"/>
        </w:rPr>
        <w:t>whether </w:t>
      </w:r>
      <w:r>
        <w:rPr>
          <w:spacing w:val="-3"/>
          <w:sz w:val="21"/>
        </w:rPr>
        <w:t>any </w:t>
      </w:r>
      <w:r>
        <w:rPr>
          <w:sz w:val="21"/>
        </w:rPr>
        <w:t>trees on the </w:t>
      </w:r>
      <w:r>
        <w:rPr>
          <w:spacing w:val="-3"/>
          <w:sz w:val="21"/>
        </w:rPr>
        <w:t>applicant’s land may have contributed to </w:t>
      </w:r>
      <w:r>
        <w:rPr>
          <w:sz w:val="21"/>
        </w:rPr>
        <w:t>the injury or </w:t>
      </w:r>
      <w:r>
        <w:rPr>
          <w:spacing w:val="-3"/>
          <w:sz w:val="21"/>
        </w:rPr>
        <w:t>damage.</w:t>
      </w:r>
    </w:p>
    <w:p>
      <w:pPr>
        <w:pStyle w:val="BodyText"/>
        <w:rPr>
          <w:sz w:val="20"/>
        </w:rPr>
      </w:pPr>
    </w:p>
    <w:p>
      <w:pPr>
        <w:pStyle w:val="BodyText"/>
        <w:spacing w:before="3"/>
        <w:rPr>
          <w:sz w:val="16"/>
        </w:rPr>
      </w:pPr>
      <w:r>
        <w:rPr/>
        <w:pict>
          <v:line style="position:absolute;mso-position-horizontal-relative:page;mso-position-vertical-relative:paragraph;z-index:5528;mso-wrap-distance-left:0;mso-wrap-distance-right:0" from="79.370102pt,12.367537pt" to="515.905102pt,12.36753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tabs>
          <w:tab w:pos="2380" w:val="left" w:leader="none"/>
        </w:tabs>
        <w:spacing w:before="48"/>
        <w:ind w:left="1587" w:right="0" w:firstLine="0"/>
        <w:jc w:val="left"/>
        <w:rPr>
          <w:sz w:val="13"/>
        </w:rPr>
      </w:pPr>
      <w:r>
        <w:rPr>
          <w:w w:val="105"/>
          <w:sz w:val="13"/>
        </w:rPr>
        <w:t>390</w:t>
        <w:tab/>
        <w:t>See</w:t>
      </w:r>
      <w:r>
        <w:rPr>
          <w:spacing w:val="10"/>
          <w:w w:val="105"/>
          <w:sz w:val="13"/>
        </w:rPr>
        <w:t> </w:t>
      </w:r>
      <w:r>
        <w:rPr>
          <w:w w:val="105"/>
          <w:sz w:val="13"/>
        </w:rPr>
        <w:t>generally,</w:t>
      </w:r>
      <w:r>
        <w:rPr>
          <w:spacing w:val="11"/>
          <w:w w:val="105"/>
          <w:sz w:val="13"/>
        </w:rPr>
        <w:t> </w:t>
      </w:r>
      <w:r>
        <w:rPr>
          <w:i/>
          <w:w w:val="105"/>
          <w:sz w:val="13"/>
        </w:rPr>
        <w:t>Trees</w:t>
      </w:r>
      <w:r>
        <w:rPr>
          <w:i/>
          <w:spacing w:val="11"/>
          <w:w w:val="105"/>
          <w:sz w:val="13"/>
        </w:rPr>
        <w:t> </w:t>
      </w:r>
      <w:r>
        <w:rPr>
          <w:i/>
          <w:w w:val="105"/>
          <w:sz w:val="13"/>
        </w:rPr>
        <w:t>(Disputes</w:t>
      </w:r>
      <w:r>
        <w:rPr>
          <w:i/>
          <w:spacing w:val="11"/>
          <w:w w:val="105"/>
          <w:sz w:val="13"/>
        </w:rPr>
        <w:t> </w:t>
      </w:r>
      <w:r>
        <w:rPr>
          <w:i/>
          <w:w w:val="105"/>
          <w:sz w:val="13"/>
        </w:rPr>
        <w:t>Between</w:t>
      </w:r>
      <w:r>
        <w:rPr>
          <w:i/>
          <w:spacing w:val="10"/>
          <w:w w:val="105"/>
          <w:sz w:val="13"/>
        </w:rPr>
        <w:t> </w:t>
      </w:r>
      <w:r>
        <w:rPr>
          <w:i/>
          <w:w w:val="105"/>
          <w:sz w:val="13"/>
        </w:rPr>
        <w:t>Neighbours)</w:t>
      </w:r>
      <w:r>
        <w:rPr>
          <w:i/>
          <w:spacing w:val="11"/>
          <w:w w:val="105"/>
          <w:sz w:val="13"/>
        </w:rPr>
        <w:t> </w:t>
      </w:r>
      <w:r>
        <w:rPr>
          <w:i/>
          <w:w w:val="105"/>
          <w:sz w:val="13"/>
        </w:rPr>
        <w:t>Act</w:t>
      </w:r>
      <w:r>
        <w:rPr>
          <w:i/>
          <w:spacing w:val="11"/>
          <w:w w:val="105"/>
          <w:sz w:val="13"/>
        </w:rPr>
        <w:t> </w:t>
      </w:r>
      <w:r>
        <w:rPr>
          <w:i/>
          <w:w w:val="105"/>
          <w:sz w:val="13"/>
        </w:rPr>
        <w:t>2006</w:t>
      </w:r>
      <w:r>
        <w:rPr>
          <w:i/>
          <w:spacing w:val="11"/>
          <w:w w:val="105"/>
          <w:sz w:val="13"/>
        </w:rPr>
        <w:t> </w:t>
      </w:r>
      <w:r>
        <w:rPr>
          <w:spacing w:val="3"/>
          <w:w w:val="105"/>
          <w:sz w:val="13"/>
        </w:rPr>
        <w:t>(NSW);</w:t>
      </w:r>
      <w:r>
        <w:rPr>
          <w:spacing w:val="11"/>
          <w:w w:val="105"/>
          <w:sz w:val="13"/>
        </w:rPr>
        <w:t> </w:t>
      </w:r>
      <w:r>
        <w:rPr>
          <w:i/>
          <w:w w:val="105"/>
          <w:sz w:val="13"/>
        </w:rPr>
        <w:t>Neighbourhood</w:t>
      </w:r>
      <w:r>
        <w:rPr>
          <w:i/>
          <w:spacing w:val="10"/>
          <w:w w:val="105"/>
          <w:sz w:val="13"/>
        </w:rPr>
        <w:t> </w:t>
      </w:r>
      <w:r>
        <w:rPr>
          <w:i/>
          <w:w w:val="105"/>
          <w:sz w:val="13"/>
        </w:rPr>
        <w:t>Disputes</w:t>
      </w:r>
      <w:r>
        <w:rPr>
          <w:i/>
          <w:spacing w:val="11"/>
          <w:w w:val="105"/>
          <w:sz w:val="13"/>
        </w:rPr>
        <w:t> </w:t>
      </w:r>
      <w:r>
        <w:rPr>
          <w:i/>
          <w:w w:val="105"/>
          <w:sz w:val="13"/>
        </w:rPr>
        <w:t>(Dividing</w:t>
      </w:r>
      <w:r>
        <w:rPr>
          <w:i/>
          <w:spacing w:val="11"/>
          <w:w w:val="105"/>
          <w:sz w:val="13"/>
        </w:rPr>
        <w:t> </w:t>
      </w:r>
      <w:r>
        <w:rPr>
          <w:i/>
          <w:w w:val="105"/>
          <w:sz w:val="13"/>
        </w:rPr>
        <w:t>Fences</w:t>
      </w:r>
      <w:r>
        <w:rPr>
          <w:i/>
          <w:spacing w:val="11"/>
          <w:w w:val="105"/>
          <w:sz w:val="13"/>
        </w:rPr>
        <w:t> </w:t>
      </w:r>
      <w:r>
        <w:rPr>
          <w:i/>
          <w:w w:val="105"/>
          <w:sz w:val="13"/>
        </w:rPr>
        <w:t>and</w:t>
      </w:r>
      <w:r>
        <w:rPr>
          <w:i/>
          <w:spacing w:val="11"/>
          <w:w w:val="105"/>
          <w:sz w:val="13"/>
        </w:rPr>
        <w:t> </w:t>
      </w:r>
      <w:r>
        <w:rPr>
          <w:i/>
          <w:w w:val="105"/>
          <w:sz w:val="13"/>
        </w:rPr>
        <w:t>Trees)</w:t>
      </w:r>
      <w:r>
        <w:rPr>
          <w:i/>
          <w:spacing w:val="10"/>
          <w:w w:val="105"/>
          <w:sz w:val="13"/>
        </w:rPr>
        <w:t> </w:t>
      </w:r>
      <w:r>
        <w:rPr>
          <w:i/>
          <w:w w:val="105"/>
          <w:sz w:val="13"/>
        </w:rPr>
        <w:t>Act</w:t>
      </w:r>
      <w:r>
        <w:rPr>
          <w:i/>
          <w:spacing w:val="11"/>
          <w:w w:val="105"/>
          <w:sz w:val="13"/>
        </w:rPr>
        <w:t> </w:t>
      </w:r>
      <w:r>
        <w:rPr>
          <w:i/>
          <w:spacing w:val="-4"/>
          <w:w w:val="105"/>
          <w:sz w:val="13"/>
        </w:rPr>
        <w:t>2011</w:t>
      </w:r>
      <w:r>
        <w:rPr>
          <w:i/>
          <w:spacing w:val="11"/>
          <w:w w:val="105"/>
          <w:sz w:val="13"/>
        </w:rPr>
        <w:t> </w:t>
      </w:r>
      <w:r>
        <w:rPr>
          <w:spacing w:val="3"/>
          <w:w w:val="105"/>
          <w:sz w:val="13"/>
        </w:rPr>
        <w:t>(QLD);</w:t>
      </w:r>
    </w:p>
    <w:p>
      <w:pPr>
        <w:spacing w:before="1"/>
        <w:ind w:left="2381" w:right="0" w:firstLine="0"/>
        <w:jc w:val="left"/>
        <w:rPr>
          <w:sz w:val="13"/>
        </w:rPr>
      </w:pPr>
      <w:r>
        <w:rPr>
          <w:i/>
          <w:w w:val="105"/>
          <w:sz w:val="13"/>
        </w:rPr>
        <w:t>Neighbourhood Disputes About Plants Act 2017 </w:t>
      </w:r>
      <w:r>
        <w:rPr>
          <w:w w:val="105"/>
          <w:sz w:val="13"/>
        </w:rPr>
        <w:t>(Tas).</w:t>
      </w:r>
    </w:p>
    <w:p>
      <w:pPr>
        <w:tabs>
          <w:tab w:pos="2381" w:val="left" w:leader="none"/>
        </w:tabs>
        <w:spacing w:before="2"/>
        <w:ind w:left="2381" w:right="105" w:hanging="794"/>
        <w:jc w:val="left"/>
        <w:rPr>
          <w:sz w:val="13"/>
        </w:rPr>
      </w:pPr>
      <w:r>
        <w:rPr>
          <w:w w:val="105"/>
          <w:sz w:val="13"/>
        </w:rPr>
        <w:t>391</w:t>
        <w:tab/>
        <w:t>See, eg, Land and Environment Court of New South Wales, </w:t>
      </w:r>
      <w:r>
        <w:rPr>
          <w:i/>
          <w:w w:val="105"/>
          <w:sz w:val="13"/>
        </w:rPr>
        <w:t>Form C: Tree Dispute Application </w:t>
      </w:r>
      <w:r>
        <w:rPr>
          <w:w w:val="105"/>
          <w:sz w:val="13"/>
        </w:rPr>
        <w:t>(Version </w:t>
      </w:r>
      <w:r>
        <w:rPr>
          <w:spacing w:val="3"/>
          <w:w w:val="105"/>
          <w:sz w:val="13"/>
        </w:rPr>
        <w:t>3); </w:t>
      </w:r>
      <w:r>
        <w:rPr>
          <w:w w:val="105"/>
          <w:sz w:val="13"/>
        </w:rPr>
        <w:t>Land and Environment Court of</w:t>
      </w:r>
      <w:r>
        <w:rPr>
          <w:spacing w:val="30"/>
          <w:w w:val="105"/>
          <w:sz w:val="13"/>
        </w:rPr>
        <w:t> </w:t>
      </w:r>
      <w:r>
        <w:rPr>
          <w:w w:val="105"/>
          <w:sz w:val="13"/>
        </w:rPr>
        <w:t>New South Wales, Form </w:t>
      </w:r>
      <w:r>
        <w:rPr>
          <w:spacing w:val="3"/>
          <w:w w:val="105"/>
          <w:sz w:val="13"/>
        </w:rPr>
        <w:t>H: </w:t>
      </w:r>
      <w:r>
        <w:rPr>
          <w:w w:val="105"/>
          <w:sz w:val="13"/>
        </w:rPr>
        <w:t>Tree Dispute Claim Details (Damage to </w:t>
      </w:r>
      <w:r>
        <w:rPr>
          <w:spacing w:val="2"/>
          <w:w w:val="105"/>
          <w:sz w:val="13"/>
        </w:rPr>
        <w:t>Property </w:t>
      </w:r>
      <w:r>
        <w:rPr>
          <w:w w:val="105"/>
          <w:sz w:val="13"/>
        </w:rPr>
        <w:t>or Injury to a Person) (Version 1) &lt;</w:t>
      </w:r>
      <w:hyperlink r:id="rId112">
        <w:r>
          <w:rPr>
            <w:w w:val="105"/>
            <w:sz w:val="13"/>
          </w:rPr>
          <w:t>http://www.lec.justice.nsw.</w:t>
        </w:r>
      </w:hyperlink>
      <w:r>
        <w:rPr>
          <w:w w:val="105"/>
          <w:sz w:val="13"/>
        </w:rPr>
        <w:t> </w:t>
      </w:r>
      <w:r>
        <w:rPr>
          <w:spacing w:val="2"/>
          <w:w w:val="105"/>
          <w:sz w:val="13"/>
        </w:rPr>
        <w:t>gov.au/Pages/types_of_disputes/class_2/Trees-hedge-disputes-process/treedisputes_how.aspx&gt;; </w:t>
      </w:r>
      <w:r>
        <w:rPr>
          <w:w w:val="105"/>
          <w:sz w:val="13"/>
        </w:rPr>
        <w:t>Queensland Civil and Administrative Tribunal, </w:t>
      </w:r>
      <w:r>
        <w:rPr>
          <w:i/>
          <w:w w:val="105"/>
          <w:sz w:val="13"/>
        </w:rPr>
        <w:t>Form </w:t>
      </w:r>
      <w:r>
        <w:rPr>
          <w:i/>
          <w:spacing w:val="-4"/>
          <w:w w:val="105"/>
          <w:sz w:val="13"/>
        </w:rPr>
        <w:t>51: </w:t>
      </w:r>
      <w:r>
        <w:rPr>
          <w:i/>
          <w:w w:val="105"/>
          <w:sz w:val="13"/>
        </w:rPr>
        <w:t>Application for Tree Dispute –Neighbourhood Disputes (Dividing Fences and Trees) Act </w:t>
      </w:r>
      <w:r>
        <w:rPr>
          <w:i/>
          <w:spacing w:val="-4"/>
          <w:w w:val="105"/>
          <w:sz w:val="13"/>
        </w:rPr>
        <w:t>2011 </w:t>
      </w:r>
      <w:r>
        <w:rPr>
          <w:spacing w:val="2"/>
          <w:w w:val="105"/>
          <w:sz w:val="13"/>
        </w:rPr>
        <w:t>&lt;https://</w:t>
      </w:r>
      <w:hyperlink r:id="rId113">
        <w:r>
          <w:rPr>
            <w:spacing w:val="2"/>
            <w:w w:val="105"/>
            <w:sz w:val="13"/>
          </w:rPr>
          <w:t>www.qcat.qld.</w:t>
        </w:r>
      </w:hyperlink>
      <w:r>
        <w:rPr>
          <w:spacing w:val="2"/>
          <w:w w:val="105"/>
          <w:sz w:val="13"/>
        </w:rPr>
        <w:t> gov.au/matter-types/tree-disputes/tree-dispute-application&gt;; </w:t>
      </w:r>
      <w:r>
        <w:rPr>
          <w:w w:val="105"/>
          <w:sz w:val="13"/>
        </w:rPr>
        <w:t>Resource Management and Planning Appeal Tribunal, Application under </w:t>
      </w:r>
      <w:r>
        <w:rPr>
          <w:i/>
          <w:w w:val="105"/>
          <w:sz w:val="13"/>
        </w:rPr>
        <w:t>Neighbourhood Disputes About Plants Act </w:t>
      </w:r>
      <w:r>
        <w:rPr>
          <w:i/>
          <w:spacing w:val="-4"/>
          <w:w w:val="105"/>
          <w:sz w:val="13"/>
        </w:rPr>
        <w:t>2017 </w:t>
      </w:r>
      <w:r>
        <w:rPr>
          <w:w w:val="105"/>
          <w:sz w:val="13"/>
        </w:rPr>
        <w:t>(Web Page)</w:t>
      </w:r>
      <w:r>
        <w:rPr>
          <w:spacing w:val="20"/>
          <w:w w:val="105"/>
          <w:sz w:val="13"/>
        </w:rPr>
        <w:t> </w:t>
      </w:r>
      <w:r>
        <w:rPr>
          <w:spacing w:val="2"/>
          <w:w w:val="105"/>
          <w:sz w:val="13"/>
        </w:rPr>
        <w:t>&lt;https://</w:t>
      </w:r>
      <w:hyperlink r:id="rId114">
        <w:r>
          <w:rPr>
            <w:spacing w:val="2"/>
            <w:w w:val="105"/>
            <w:sz w:val="13"/>
          </w:rPr>
          <w:t>www.rmpat.tas.gov.au/forms#application</w:t>
        </w:r>
      </w:hyperlink>
      <w:r>
        <w:rPr>
          <w:spacing w:val="2"/>
          <w:w w:val="105"/>
          <w:sz w:val="13"/>
        </w:rPr>
        <w:t>&gt;.</w:t>
      </w:r>
    </w:p>
    <w:p>
      <w:pPr>
        <w:pStyle w:val="BodyText"/>
        <w:rPr>
          <w:sz w:val="28"/>
        </w:rPr>
      </w:pPr>
      <w:r>
        <w:rPr/>
        <w:br w:type="column"/>
      </w:r>
      <w:r>
        <w:rPr>
          <w:sz w:val="28"/>
        </w:rPr>
      </w:r>
    </w:p>
    <w:p>
      <w:pPr>
        <w:pStyle w:val="BodyText"/>
        <w:rPr>
          <w:sz w:val="28"/>
        </w:rPr>
      </w:pPr>
    </w:p>
    <w:p>
      <w:pPr>
        <w:pStyle w:val="BodyText"/>
        <w:spacing w:before="1"/>
        <w:rPr>
          <w:sz w:val="31"/>
        </w:rPr>
      </w:pPr>
    </w:p>
    <w:p>
      <w:pPr>
        <w:spacing w:before="0"/>
        <w:ind w:left="549" w:right="573" w:firstLine="0"/>
        <w:jc w:val="center"/>
        <w:rPr>
          <w:b/>
          <w:sz w:val="24"/>
        </w:rPr>
      </w:pPr>
      <w:r>
        <w:rPr>
          <w:b/>
          <w:color w:val="658464"/>
          <w:w w:val="110"/>
          <w:sz w:val="24"/>
        </w:rPr>
        <w:t>105</w:t>
      </w:r>
    </w:p>
    <w:p>
      <w:pPr>
        <w:spacing w:after="0"/>
        <w:jc w:val="center"/>
        <w:rPr>
          <w:sz w:val="24"/>
        </w:rPr>
        <w:sectPr>
          <w:type w:val="continuous"/>
          <w:pgSz w:w="11910" w:h="16840"/>
          <w:pgMar w:top="300" w:bottom="280" w:left="0" w:right="0"/>
          <w:cols w:num="2" w:equalWidth="0">
            <w:col w:w="10305" w:space="40"/>
            <w:col w:w="1565"/>
          </w:cols>
        </w:sectPr>
      </w:pPr>
    </w:p>
    <w:p>
      <w:pPr>
        <w:pStyle w:val="BodyText"/>
        <w:spacing w:before="9"/>
        <w:rPr>
          <w:b/>
          <w:sz w:val="22"/>
        </w:rPr>
      </w:pPr>
    </w:p>
    <w:p>
      <w:pPr>
        <w:pStyle w:val="ListParagraph"/>
        <w:numPr>
          <w:ilvl w:val="0"/>
          <w:numId w:val="79"/>
        </w:numPr>
        <w:tabs>
          <w:tab w:pos="2380" w:val="left" w:leader="none"/>
          <w:tab w:pos="2381" w:val="left" w:leader="none"/>
        </w:tabs>
        <w:spacing w:line="242" w:lineRule="auto" w:before="92" w:after="0"/>
        <w:ind w:left="2381" w:right="2320" w:hanging="794"/>
        <w:jc w:val="left"/>
        <w:rPr>
          <w:sz w:val="21"/>
        </w:rPr>
      </w:pPr>
      <w:r>
        <w:rPr>
          <w:w w:val="105"/>
          <w:sz w:val="21"/>
        </w:rPr>
        <w:t>Applicants</w:t>
      </w:r>
      <w:r>
        <w:rPr>
          <w:spacing w:val="-10"/>
          <w:w w:val="105"/>
          <w:sz w:val="21"/>
        </w:rPr>
        <w:t> </w:t>
      </w:r>
      <w:r>
        <w:rPr>
          <w:spacing w:val="-3"/>
          <w:w w:val="105"/>
          <w:sz w:val="21"/>
        </w:rPr>
        <w:t>are</w:t>
      </w:r>
      <w:r>
        <w:rPr>
          <w:spacing w:val="-9"/>
          <w:w w:val="105"/>
          <w:sz w:val="21"/>
        </w:rPr>
        <w:t> </w:t>
      </w:r>
      <w:r>
        <w:rPr>
          <w:w w:val="105"/>
          <w:sz w:val="21"/>
        </w:rPr>
        <w:t>also</w:t>
      </w:r>
      <w:r>
        <w:rPr>
          <w:spacing w:val="-10"/>
          <w:w w:val="105"/>
          <w:sz w:val="21"/>
        </w:rPr>
        <w:t> </w:t>
      </w:r>
      <w:r>
        <w:rPr>
          <w:spacing w:val="-3"/>
          <w:w w:val="105"/>
          <w:sz w:val="21"/>
        </w:rPr>
        <w:t>asked</w:t>
      </w:r>
      <w:r>
        <w:rPr>
          <w:spacing w:val="-9"/>
          <w:w w:val="105"/>
          <w:sz w:val="21"/>
        </w:rPr>
        <w:t> </w:t>
      </w:r>
      <w:r>
        <w:rPr>
          <w:spacing w:val="-3"/>
          <w:w w:val="105"/>
          <w:sz w:val="21"/>
        </w:rPr>
        <w:t>to</w:t>
      </w:r>
      <w:r>
        <w:rPr>
          <w:spacing w:val="-9"/>
          <w:w w:val="105"/>
          <w:sz w:val="21"/>
        </w:rPr>
        <w:t> </w:t>
      </w:r>
      <w:r>
        <w:rPr>
          <w:w w:val="105"/>
          <w:sz w:val="21"/>
        </w:rPr>
        <w:t>respond</w:t>
      </w:r>
      <w:r>
        <w:rPr>
          <w:spacing w:val="-10"/>
          <w:w w:val="105"/>
          <w:sz w:val="21"/>
        </w:rPr>
        <w:t> </w:t>
      </w:r>
      <w:r>
        <w:rPr>
          <w:w w:val="105"/>
          <w:sz w:val="21"/>
        </w:rPr>
        <w:t>broadly</w:t>
      </w:r>
      <w:r>
        <w:rPr>
          <w:spacing w:val="-9"/>
          <w:w w:val="105"/>
          <w:sz w:val="21"/>
        </w:rPr>
        <w:t> </w:t>
      </w:r>
      <w:r>
        <w:rPr>
          <w:spacing w:val="-3"/>
          <w:w w:val="105"/>
          <w:sz w:val="21"/>
        </w:rPr>
        <w:t>to</w:t>
      </w:r>
      <w:r>
        <w:rPr>
          <w:spacing w:val="-10"/>
          <w:w w:val="105"/>
          <w:sz w:val="21"/>
        </w:rPr>
        <w:t> </w:t>
      </w:r>
      <w:r>
        <w:rPr>
          <w:w w:val="105"/>
          <w:sz w:val="21"/>
        </w:rPr>
        <w:t>list</w:t>
      </w:r>
      <w:r>
        <w:rPr>
          <w:spacing w:val="-9"/>
          <w:w w:val="105"/>
          <w:sz w:val="21"/>
        </w:rPr>
        <w:t> </w:t>
      </w:r>
      <w:r>
        <w:rPr>
          <w:w w:val="105"/>
          <w:sz w:val="21"/>
        </w:rPr>
        <w:t>of</w:t>
      </w:r>
      <w:r>
        <w:rPr>
          <w:spacing w:val="-9"/>
          <w:w w:val="105"/>
          <w:sz w:val="21"/>
        </w:rPr>
        <w:t> </w:t>
      </w:r>
      <w:r>
        <w:rPr>
          <w:w w:val="105"/>
          <w:sz w:val="21"/>
        </w:rPr>
        <w:t>decision-making</w:t>
      </w:r>
      <w:r>
        <w:rPr>
          <w:spacing w:val="-10"/>
          <w:w w:val="105"/>
          <w:sz w:val="21"/>
        </w:rPr>
        <w:t> </w:t>
      </w:r>
      <w:r>
        <w:rPr>
          <w:w w:val="105"/>
          <w:sz w:val="21"/>
        </w:rPr>
        <w:t>factors</w:t>
      </w:r>
      <w:r>
        <w:rPr>
          <w:spacing w:val="-9"/>
          <w:w w:val="105"/>
          <w:sz w:val="21"/>
        </w:rPr>
        <w:t> </w:t>
      </w:r>
      <w:r>
        <w:rPr>
          <w:w w:val="105"/>
          <w:sz w:val="21"/>
        </w:rPr>
        <w:t>the decision </w:t>
      </w:r>
      <w:r>
        <w:rPr>
          <w:spacing w:val="-4"/>
          <w:w w:val="105"/>
          <w:sz w:val="21"/>
        </w:rPr>
        <w:t>maker </w:t>
      </w:r>
      <w:r>
        <w:rPr>
          <w:spacing w:val="-3"/>
          <w:w w:val="105"/>
          <w:sz w:val="21"/>
        </w:rPr>
        <w:t>will take </w:t>
      </w:r>
      <w:r>
        <w:rPr>
          <w:spacing w:val="-4"/>
          <w:w w:val="105"/>
          <w:sz w:val="21"/>
        </w:rPr>
        <w:t>into</w:t>
      </w:r>
      <w:r>
        <w:rPr>
          <w:spacing w:val="12"/>
          <w:w w:val="105"/>
          <w:sz w:val="21"/>
        </w:rPr>
        <w:t> </w:t>
      </w:r>
      <w:r>
        <w:rPr>
          <w:spacing w:val="-3"/>
          <w:w w:val="105"/>
          <w:sz w:val="21"/>
        </w:rPr>
        <w:t>account before making </w:t>
      </w:r>
      <w:r>
        <w:rPr>
          <w:w w:val="105"/>
          <w:sz w:val="21"/>
        </w:rPr>
        <w:t>an </w:t>
      </w:r>
      <w:r>
        <w:rPr>
          <w:spacing w:val="-4"/>
          <w:w w:val="105"/>
          <w:sz w:val="21"/>
        </w:rPr>
        <w:t>order.</w:t>
      </w:r>
    </w:p>
    <w:p>
      <w:pPr>
        <w:pStyle w:val="Heading7"/>
        <w:spacing w:before="152"/>
      </w:pPr>
      <w:r>
        <w:rPr>
          <w:w w:val="115"/>
        </w:rPr>
        <w:t>New South Wales</w:t>
      </w:r>
    </w:p>
    <w:p>
      <w:pPr>
        <w:pStyle w:val="ListParagraph"/>
        <w:numPr>
          <w:ilvl w:val="0"/>
          <w:numId w:val="79"/>
        </w:numPr>
        <w:tabs>
          <w:tab w:pos="2380" w:val="left" w:leader="none"/>
          <w:tab w:pos="2381" w:val="left" w:leader="none"/>
        </w:tabs>
        <w:spacing w:line="242" w:lineRule="auto" w:before="143" w:after="0"/>
        <w:ind w:left="2381" w:right="1912" w:hanging="794"/>
        <w:jc w:val="left"/>
        <w:rPr>
          <w:sz w:val="21"/>
        </w:rPr>
      </w:pPr>
      <w:r>
        <w:rPr>
          <w:w w:val="105"/>
          <w:sz w:val="21"/>
        </w:rPr>
        <w:t>The NSW Act is supported by extensive </w:t>
      </w:r>
      <w:r>
        <w:rPr>
          <w:spacing w:val="-3"/>
          <w:w w:val="105"/>
          <w:sz w:val="21"/>
        </w:rPr>
        <w:t>resources that </w:t>
      </w:r>
      <w:r>
        <w:rPr>
          <w:w w:val="105"/>
          <w:sz w:val="21"/>
        </w:rPr>
        <w:t>help applicants </w:t>
      </w:r>
      <w:r>
        <w:rPr>
          <w:spacing w:val="-3"/>
          <w:w w:val="105"/>
          <w:sz w:val="21"/>
        </w:rPr>
        <w:t>to complete </w:t>
      </w:r>
      <w:r>
        <w:rPr>
          <w:w w:val="105"/>
          <w:sz w:val="21"/>
        </w:rPr>
        <w:t>application </w:t>
      </w:r>
      <w:r>
        <w:rPr>
          <w:spacing w:val="-3"/>
          <w:w w:val="105"/>
          <w:sz w:val="21"/>
        </w:rPr>
        <w:t>forms </w:t>
      </w:r>
      <w:r>
        <w:rPr>
          <w:w w:val="105"/>
          <w:sz w:val="21"/>
        </w:rPr>
        <w:t>and </w:t>
      </w:r>
      <w:r>
        <w:rPr>
          <w:spacing w:val="-3"/>
          <w:w w:val="105"/>
          <w:sz w:val="21"/>
        </w:rPr>
        <w:t>initiate proceedings </w:t>
      </w:r>
      <w:r>
        <w:rPr>
          <w:w w:val="105"/>
          <w:sz w:val="21"/>
        </w:rPr>
        <w:t>in the NSWLEC. A step-by-step </w:t>
      </w:r>
      <w:r>
        <w:rPr>
          <w:spacing w:val="-3"/>
          <w:w w:val="105"/>
          <w:sz w:val="21"/>
        </w:rPr>
        <w:t>Plain English </w:t>
      </w:r>
      <w:r>
        <w:rPr>
          <w:w w:val="105"/>
          <w:sz w:val="21"/>
        </w:rPr>
        <w:t>guide </w:t>
      </w:r>
      <w:r>
        <w:rPr>
          <w:spacing w:val="-3"/>
          <w:w w:val="105"/>
          <w:sz w:val="21"/>
        </w:rPr>
        <w:t>informs </w:t>
      </w:r>
      <w:r>
        <w:rPr>
          <w:w w:val="105"/>
          <w:sz w:val="21"/>
        </w:rPr>
        <w:t>applicants of the </w:t>
      </w:r>
      <w:r>
        <w:rPr>
          <w:spacing w:val="-3"/>
          <w:w w:val="105"/>
          <w:sz w:val="21"/>
        </w:rPr>
        <w:t>requirements </w:t>
      </w:r>
      <w:r>
        <w:rPr>
          <w:w w:val="105"/>
          <w:sz w:val="21"/>
        </w:rPr>
        <w:t>and what happens at each stage of the </w:t>
      </w:r>
      <w:r>
        <w:rPr>
          <w:spacing w:val="-3"/>
          <w:w w:val="105"/>
          <w:sz w:val="21"/>
        </w:rPr>
        <w:t>dispute </w:t>
      </w:r>
      <w:r>
        <w:rPr>
          <w:w w:val="105"/>
          <w:sz w:val="21"/>
        </w:rPr>
        <w:t>process.</w:t>
      </w:r>
      <w:r>
        <w:rPr>
          <w:w w:val="105"/>
          <w:position w:val="7"/>
          <w:sz w:val="12"/>
        </w:rPr>
        <w:t>392 </w:t>
      </w:r>
      <w:r>
        <w:rPr>
          <w:w w:val="105"/>
          <w:sz w:val="21"/>
        </w:rPr>
        <w:t>See </w:t>
      </w:r>
      <w:r>
        <w:rPr>
          <w:spacing w:val="-4"/>
          <w:w w:val="105"/>
          <w:sz w:val="21"/>
        </w:rPr>
        <w:t>Chapter</w:t>
      </w:r>
      <w:r>
        <w:rPr>
          <w:spacing w:val="19"/>
          <w:w w:val="105"/>
          <w:sz w:val="21"/>
        </w:rPr>
        <w:t> </w:t>
      </w:r>
      <w:r>
        <w:rPr>
          <w:spacing w:val="-9"/>
          <w:w w:val="105"/>
          <w:sz w:val="21"/>
        </w:rPr>
        <w:t>12.</w:t>
      </w:r>
    </w:p>
    <w:p>
      <w:pPr>
        <w:pStyle w:val="ListParagraph"/>
        <w:numPr>
          <w:ilvl w:val="0"/>
          <w:numId w:val="79"/>
        </w:numPr>
        <w:tabs>
          <w:tab w:pos="2380" w:val="left" w:leader="none"/>
          <w:tab w:pos="2382" w:val="left" w:leader="none"/>
        </w:tabs>
        <w:spacing w:line="242" w:lineRule="auto" w:before="124" w:after="0"/>
        <w:ind w:left="2381" w:right="1664" w:hanging="794"/>
        <w:jc w:val="left"/>
        <w:rPr>
          <w:sz w:val="21"/>
        </w:rPr>
      </w:pPr>
      <w:r>
        <w:rPr>
          <w:w w:val="105"/>
          <w:sz w:val="21"/>
        </w:rPr>
        <w:t>The </w:t>
      </w:r>
      <w:r>
        <w:rPr>
          <w:spacing w:val="-3"/>
          <w:w w:val="105"/>
          <w:sz w:val="21"/>
        </w:rPr>
        <w:t>Court </w:t>
      </w:r>
      <w:r>
        <w:rPr>
          <w:spacing w:val="-2"/>
          <w:w w:val="105"/>
          <w:sz w:val="21"/>
        </w:rPr>
        <w:t>has </w:t>
      </w:r>
      <w:r>
        <w:rPr>
          <w:w w:val="105"/>
          <w:sz w:val="21"/>
        </w:rPr>
        <w:t>an </w:t>
      </w:r>
      <w:r>
        <w:rPr>
          <w:spacing w:val="-3"/>
          <w:w w:val="105"/>
          <w:sz w:val="21"/>
        </w:rPr>
        <w:t>eight-page </w:t>
      </w:r>
      <w:r>
        <w:rPr>
          <w:w w:val="105"/>
          <w:sz w:val="21"/>
        </w:rPr>
        <w:t>application form</w:t>
      </w:r>
      <w:r>
        <w:rPr>
          <w:w w:val="105"/>
          <w:position w:val="7"/>
          <w:sz w:val="12"/>
        </w:rPr>
        <w:t>393 </w:t>
      </w:r>
      <w:r>
        <w:rPr>
          <w:spacing w:val="-3"/>
          <w:w w:val="105"/>
          <w:sz w:val="21"/>
        </w:rPr>
        <w:t>that </w:t>
      </w:r>
      <w:r>
        <w:rPr>
          <w:w w:val="105"/>
          <w:sz w:val="21"/>
        </w:rPr>
        <w:t>is supported by a 16-page </w:t>
      </w:r>
      <w:r>
        <w:rPr>
          <w:spacing w:val="-5"/>
          <w:w w:val="105"/>
          <w:sz w:val="21"/>
        </w:rPr>
        <w:t>Tree </w:t>
      </w:r>
      <w:r>
        <w:rPr>
          <w:spacing w:val="-3"/>
          <w:w w:val="105"/>
          <w:sz w:val="21"/>
        </w:rPr>
        <w:t>Dispute </w:t>
      </w:r>
      <w:r>
        <w:rPr>
          <w:spacing w:val="-4"/>
          <w:w w:val="105"/>
          <w:sz w:val="21"/>
        </w:rPr>
        <w:t>Claim </w:t>
      </w:r>
      <w:r>
        <w:rPr>
          <w:w w:val="105"/>
          <w:sz w:val="21"/>
        </w:rPr>
        <w:t>Details Form.</w:t>
      </w:r>
      <w:r>
        <w:rPr>
          <w:w w:val="105"/>
          <w:position w:val="7"/>
          <w:sz w:val="12"/>
        </w:rPr>
        <w:t>394 </w:t>
      </w:r>
      <w:r>
        <w:rPr>
          <w:w w:val="105"/>
          <w:sz w:val="21"/>
        </w:rPr>
        <w:t>The latter </w:t>
      </w:r>
      <w:r>
        <w:rPr>
          <w:spacing w:val="-3"/>
          <w:w w:val="105"/>
          <w:sz w:val="21"/>
        </w:rPr>
        <w:t>requires </w:t>
      </w:r>
      <w:r>
        <w:rPr>
          <w:w w:val="105"/>
          <w:sz w:val="21"/>
        </w:rPr>
        <w:t>the </w:t>
      </w:r>
      <w:r>
        <w:rPr>
          <w:spacing w:val="-3"/>
          <w:w w:val="105"/>
          <w:sz w:val="21"/>
        </w:rPr>
        <w:t>applicant to draw </w:t>
      </w:r>
      <w:r>
        <w:rPr>
          <w:w w:val="105"/>
          <w:sz w:val="21"/>
        </w:rPr>
        <w:t>a </w:t>
      </w:r>
      <w:r>
        <w:rPr>
          <w:spacing w:val="-3"/>
          <w:w w:val="105"/>
          <w:sz w:val="21"/>
        </w:rPr>
        <w:t>diagram </w:t>
      </w:r>
      <w:r>
        <w:rPr>
          <w:w w:val="105"/>
          <w:sz w:val="21"/>
        </w:rPr>
        <w:t>of their property and the </w:t>
      </w:r>
      <w:r>
        <w:rPr>
          <w:spacing w:val="-3"/>
          <w:w w:val="105"/>
          <w:sz w:val="21"/>
        </w:rPr>
        <w:t>adjoining </w:t>
      </w:r>
      <w:r>
        <w:rPr>
          <w:w w:val="105"/>
          <w:sz w:val="21"/>
        </w:rPr>
        <w:t>property where the tree is located</w:t>
      </w:r>
      <w:r>
        <w:rPr>
          <w:spacing w:val="18"/>
          <w:w w:val="105"/>
          <w:sz w:val="21"/>
        </w:rPr>
        <w:t> </w:t>
      </w:r>
      <w:r>
        <w:rPr>
          <w:w w:val="105"/>
          <w:sz w:val="21"/>
        </w:rPr>
        <w:t>showing:</w:t>
      </w:r>
    </w:p>
    <w:p>
      <w:pPr>
        <w:pStyle w:val="ListParagraph"/>
        <w:numPr>
          <w:ilvl w:val="0"/>
          <w:numId w:val="87"/>
        </w:numPr>
        <w:tabs>
          <w:tab w:pos="2722" w:val="left" w:leader="none"/>
        </w:tabs>
        <w:spacing w:line="240" w:lineRule="auto" w:before="124" w:after="0"/>
        <w:ind w:left="2721" w:right="0" w:hanging="340"/>
        <w:jc w:val="left"/>
        <w:rPr>
          <w:sz w:val="21"/>
        </w:rPr>
      </w:pPr>
      <w:r>
        <w:rPr>
          <w:sz w:val="21"/>
        </w:rPr>
        <w:t>the</w:t>
      </w:r>
      <w:r>
        <w:rPr>
          <w:spacing w:val="8"/>
          <w:sz w:val="21"/>
        </w:rPr>
        <w:t> </w:t>
      </w:r>
      <w:r>
        <w:rPr>
          <w:sz w:val="21"/>
        </w:rPr>
        <w:t>location</w:t>
      </w:r>
      <w:r>
        <w:rPr>
          <w:spacing w:val="9"/>
          <w:sz w:val="21"/>
        </w:rPr>
        <w:t> </w:t>
      </w:r>
      <w:r>
        <w:rPr>
          <w:sz w:val="21"/>
        </w:rPr>
        <w:t>of</w:t>
      </w:r>
      <w:r>
        <w:rPr>
          <w:spacing w:val="8"/>
          <w:sz w:val="21"/>
        </w:rPr>
        <w:t> </w:t>
      </w:r>
      <w:r>
        <w:rPr>
          <w:sz w:val="21"/>
        </w:rPr>
        <w:t>the</w:t>
      </w:r>
      <w:r>
        <w:rPr>
          <w:spacing w:val="9"/>
          <w:sz w:val="21"/>
        </w:rPr>
        <w:t> </w:t>
      </w:r>
      <w:r>
        <w:rPr>
          <w:sz w:val="21"/>
        </w:rPr>
        <w:t>tree</w:t>
      </w:r>
      <w:r>
        <w:rPr>
          <w:spacing w:val="8"/>
          <w:sz w:val="21"/>
        </w:rPr>
        <w:t> </w:t>
      </w:r>
      <w:r>
        <w:rPr>
          <w:spacing w:val="-3"/>
          <w:sz w:val="21"/>
        </w:rPr>
        <w:t>that</w:t>
      </w:r>
      <w:r>
        <w:rPr>
          <w:spacing w:val="9"/>
          <w:sz w:val="21"/>
        </w:rPr>
        <w:t> </w:t>
      </w:r>
      <w:r>
        <w:rPr>
          <w:sz w:val="21"/>
        </w:rPr>
        <w:t>is</w:t>
      </w:r>
      <w:r>
        <w:rPr>
          <w:spacing w:val="8"/>
          <w:sz w:val="21"/>
        </w:rPr>
        <w:t> </w:t>
      </w:r>
      <w:r>
        <w:rPr>
          <w:sz w:val="21"/>
        </w:rPr>
        <w:t>subject</w:t>
      </w:r>
      <w:r>
        <w:rPr>
          <w:spacing w:val="9"/>
          <w:sz w:val="21"/>
        </w:rPr>
        <w:t> </w:t>
      </w:r>
      <w:r>
        <w:rPr>
          <w:spacing w:val="-3"/>
          <w:sz w:val="21"/>
        </w:rPr>
        <w:t>to</w:t>
      </w:r>
      <w:r>
        <w:rPr>
          <w:spacing w:val="9"/>
          <w:sz w:val="21"/>
        </w:rPr>
        <w:t> </w:t>
      </w:r>
      <w:r>
        <w:rPr>
          <w:sz w:val="21"/>
        </w:rPr>
        <w:t>the</w:t>
      </w:r>
      <w:r>
        <w:rPr>
          <w:spacing w:val="8"/>
          <w:sz w:val="21"/>
        </w:rPr>
        <w:t> </w:t>
      </w:r>
      <w:r>
        <w:rPr>
          <w:sz w:val="21"/>
        </w:rPr>
        <w:t>application</w:t>
      </w:r>
    </w:p>
    <w:p>
      <w:pPr>
        <w:pStyle w:val="ListParagraph"/>
        <w:numPr>
          <w:ilvl w:val="0"/>
          <w:numId w:val="87"/>
        </w:numPr>
        <w:tabs>
          <w:tab w:pos="2722" w:val="left" w:leader="none"/>
        </w:tabs>
        <w:spacing w:line="242" w:lineRule="auto" w:before="88" w:after="0"/>
        <w:ind w:left="2721" w:right="1751" w:hanging="340"/>
        <w:jc w:val="left"/>
        <w:rPr>
          <w:sz w:val="21"/>
        </w:rPr>
      </w:pPr>
      <w:r>
        <w:rPr>
          <w:w w:val="105"/>
          <w:sz w:val="21"/>
        </w:rPr>
        <w:t>the location of the </w:t>
      </w:r>
      <w:r>
        <w:rPr>
          <w:spacing w:val="-3"/>
          <w:w w:val="105"/>
          <w:sz w:val="21"/>
        </w:rPr>
        <w:t>applicant’s dwelling </w:t>
      </w:r>
      <w:r>
        <w:rPr>
          <w:w w:val="105"/>
          <w:sz w:val="21"/>
        </w:rPr>
        <w:t>and the location of each part of the </w:t>
      </w:r>
      <w:r>
        <w:rPr>
          <w:spacing w:val="-3"/>
          <w:w w:val="105"/>
          <w:sz w:val="21"/>
        </w:rPr>
        <w:t>dwelling that </w:t>
      </w:r>
      <w:r>
        <w:rPr>
          <w:spacing w:val="-2"/>
          <w:w w:val="105"/>
          <w:sz w:val="21"/>
        </w:rPr>
        <w:t>has </w:t>
      </w:r>
      <w:r>
        <w:rPr>
          <w:w w:val="105"/>
          <w:sz w:val="21"/>
        </w:rPr>
        <w:t>been, is being or is </w:t>
      </w:r>
      <w:r>
        <w:rPr>
          <w:spacing w:val="-4"/>
          <w:w w:val="105"/>
          <w:sz w:val="21"/>
        </w:rPr>
        <w:t>likely </w:t>
      </w:r>
      <w:r>
        <w:rPr>
          <w:spacing w:val="-3"/>
          <w:w w:val="105"/>
          <w:sz w:val="21"/>
        </w:rPr>
        <w:t>to</w:t>
      </w:r>
      <w:r>
        <w:rPr>
          <w:spacing w:val="7"/>
          <w:w w:val="105"/>
          <w:sz w:val="21"/>
        </w:rPr>
        <w:t> </w:t>
      </w:r>
      <w:r>
        <w:rPr>
          <w:w w:val="105"/>
          <w:sz w:val="21"/>
        </w:rPr>
        <w:t>be damaged by a tree</w:t>
      </w:r>
    </w:p>
    <w:p>
      <w:pPr>
        <w:pStyle w:val="ListParagraph"/>
        <w:numPr>
          <w:ilvl w:val="0"/>
          <w:numId w:val="87"/>
        </w:numPr>
        <w:tabs>
          <w:tab w:pos="2722" w:val="left" w:leader="none"/>
        </w:tabs>
        <w:spacing w:line="242" w:lineRule="auto" w:before="88" w:after="0"/>
        <w:ind w:left="2721" w:right="1658" w:hanging="340"/>
        <w:jc w:val="left"/>
        <w:rPr>
          <w:sz w:val="21"/>
        </w:rPr>
      </w:pPr>
      <w:r>
        <w:rPr>
          <w:w w:val="105"/>
          <w:sz w:val="21"/>
        </w:rPr>
        <w:t>the</w:t>
      </w:r>
      <w:r>
        <w:rPr>
          <w:spacing w:val="-7"/>
          <w:w w:val="105"/>
          <w:sz w:val="21"/>
        </w:rPr>
        <w:t> </w:t>
      </w:r>
      <w:r>
        <w:rPr>
          <w:w w:val="105"/>
          <w:sz w:val="21"/>
        </w:rPr>
        <w:t>location</w:t>
      </w:r>
      <w:r>
        <w:rPr>
          <w:spacing w:val="-7"/>
          <w:w w:val="105"/>
          <w:sz w:val="21"/>
        </w:rPr>
        <w:t> </w:t>
      </w:r>
      <w:r>
        <w:rPr>
          <w:w w:val="105"/>
          <w:sz w:val="21"/>
        </w:rPr>
        <w:t>of</w:t>
      </w:r>
      <w:r>
        <w:rPr>
          <w:spacing w:val="-7"/>
          <w:w w:val="105"/>
          <w:sz w:val="21"/>
        </w:rPr>
        <w:t> </w:t>
      </w:r>
      <w:r>
        <w:rPr>
          <w:w w:val="105"/>
          <w:sz w:val="21"/>
        </w:rPr>
        <w:t>each</w:t>
      </w:r>
      <w:r>
        <w:rPr>
          <w:spacing w:val="-7"/>
          <w:w w:val="105"/>
          <w:sz w:val="21"/>
        </w:rPr>
        <w:t> </w:t>
      </w:r>
      <w:r>
        <w:rPr>
          <w:spacing w:val="-3"/>
          <w:w w:val="105"/>
          <w:sz w:val="21"/>
        </w:rPr>
        <w:t>place</w:t>
      </w:r>
      <w:r>
        <w:rPr>
          <w:spacing w:val="-7"/>
          <w:w w:val="105"/>
          <w:sz w:val="21"/>
        </w:rPr>
        <w:t> </w:t>
      </w:r>
      <w:r>
        <w:rPr>
          <w:w w:val="105"/>
          <w:sz w:val="21"/>
        </w:rPr>
        <w:t>on</w:t>
      </w:r>
      <w:r>
        <w:rPr>
          <w:spacing w:val="-7"/>
          <w:w w:val="105"/>
          <w:sz w:val="21"/>
        </w:rPr>
        <w:t> </w:t>
      </w:r>
      <w:r>
        <w:rPr>
          <w:w w:val="105"/>
          <w:sz w:val="21"/>
        </w:rPr>
        <w:t>the</w:t>
      </w:r>
      <w:r>
        <w:rPr>
          <w:spacing w:val="-7"/>
          <w:w w:val="105"/>
          <w:sz w:val="21"/>
        </w:rPr>
        <w:t> </w:t>
      </w:r>
      <w:r>
        <w:rPr>
          <w:spacing w:val="-3"/>
          <w:w w:val="105"/>
          <w:sz w:val="21"/>
        </w:rPr>
        <w:t>applicant’s</w:t>
      </w:r>
      <w:r>
        <w:rPr>
          <w:spacing w:val="-7"/>
          <w:w w:val="105"/>
          <w:sz w:val="21"/>
        </w:rPr>
        <w:t> </w:t>
      </w:r>
      <w:r>
        <w:rPr>
          <w:w w:val="105"/>
          <w:sz w:val="21"/>
        </w:rPr>
        <w:t>property</w:t>
      </w:r>
      <w:r>
        <w:rPr>
          <w:spacing w:val="-7"/>
          <w:w w:val="105"/>
          <w:sz w:val="21"/>
        </w:rPr>
        <w:t> </w:t>
      </w:r>
      <w:r>
        <w:rPr>
          <w:w w:val="105"/>
          <w:sz w:val="21"/>
        </w:rPr>
        <w:t>where</w:t>
      </w:r>
      <w:r>
        <w:rPr>
          <w:spacing w:val="-7"/>
          <w:w w:val="105"/>
          <w:sz w:val="21"/>
        </w:rPr>
        <w:t> </w:t>
      </w:r>
      <w:r>
        <w:rPr>
          <w:w w:val="105"/>
          <w:sz w:val="21"/>
        </w:rPr>
        <w:t>the</w:t>
      </w:r>
      <w:r>
        <w:rPr>
          <w:spacing w:val="-7"/>
          <w:w w:val="105"/>
          <w:sz w:val="21"/>
        </w:rPr>
        <w:t> </w:t>
      </w:r>
      <w:r>
        <w:rPr>
          <w:w w:val="105"/>
          <w:sz w:val="21"/>
        </w:rPr>
        <w:t>tree</w:t>
      </w:r>
      <w:r>
        <w:rPr>
          <w:spacing w:val="-7"/>
          <w:w w:val="105"/>
          <w:sz w:val="21"/>
        </w:rPr>
        <w:t> </w:t>
      </w:r>
      <w:r>
        <w:rPr>
          <w:w w:val="105"/>
          <w:sz w:val="21"/>
        </w:rPr>
        <w:t>is</w:t>
      </w:r>
      <w:r>
        <w:rPr>
          <w:spacing w:val="-6"/>
          <w:w w:val="105"/>
          <w:sz w:val="21"/>
        </w:rPr>
        <w:t> </w:t>
      </w:r>
      <w:r>
        <w:rPr>
          <w:spacing w:val="-4"/>
          <w:w w:val="105"/>
          <w:sz w:val="21"/>
        </w:rPr>
        <w:t>likely</w:t>
      </w:r>
      <w:r>
        <w:rPr>
          <w:spacing w:val="-7"/>
          <w:w w:val="105"/>
          <w:sz w:val="21"/>
        </w:rPr>
        <w:t> </w:t>
      </w:r>
      <w:r>
        <w:rPr>
          <w:spacing w:val="-3"/>
          <w:w w:val="105"/>
          <w:sz w:val="21"/>
        </w:rPr>
        <w:t>to</w:t>
      </w:r>
      <w:r>
        <w:rPr>
          <w:spacing w:val="-7"/>
          <w:w w:val="105"/>
          <w:sz w:val="21"/>
        </w:rPr>
        <w:t> </w:t>
      </w:r>
      <w:r>
        <w:rPr>
          <w:w w:val="105"/>
          <w:sz w:val="21"/>
        </w:rPr>
        <w:t>cause injury </w:t>
      </w:r>
      <w:r>
        <w:rPr>
          <w:spacing w:val="-3"/>
          <w:w w:val="105"/>
          <w:sz w:val="21"/>
        </w:rPr>
        <w:t>to </w:t>
      </w:r>
      <w:r>
        <w:rPr>
          <w:w w:val="105"/>
          <w:sz w:val="21"/>
        </w:rPr>
        <w:t>a</w:t>
      </w:r>
      <w:r>
        <w:rPr>
          <w:spacing w:val="18"/>
          <w:w w:val="105"/>
          <w:sz w:val="21"/>
        </w:rPr>
        <w:t> </w:t>
      </w:r>
      <w:r>
        <w:rPr>
          <w:w w:val="105"/>
          <w:sz w:val="21"/>
        </w:rPr>
        <w:t>person</w:t>
      </w:r>
    </w:p>
    <w:p>
      <w:pPr>
        <w:pStyle w:val="ListParagraph"/>
        <w:numPr>
          <w:ilvl w:val="0"/>
          <w:numId w:val="87"/>
        </w:numPr>
        <w:tabs>
          <w:tab w:pos="2722" w:val="left" w:leader="none"/>
        </w:tabs>
        <w:spacing w:line="242" w:lineRule="auto" w:before="87" w:after="0"/>
        <w:ind w:left="2721" w:right="1915" w:hanging="341"/>
        <w:jc w:val="left"/>
        <w:rPr>
          <w:sz w:val="21"/>
        </w:rPr>
      </w:pPr>
      <w:r>
        <w:rPr>
          <w:sz w:val="21"/>
        </w:rPr>
        <w:t>the boundary between the </w:t>
      </w:r>
      <w:r>
        <w:rPr>
          <w:spacing w:val="-3"/>
          <w:sz w:val="21"/>
        </w:rPr>
        <w:t>applicant’s </w:t>
      </w:r>
      <w:r>
        <w:rPr>
          <w:sz w:val="21"/>
        </w:rPr>
        <w:t>property and the property where the tree is located</w:t>
      </w:r>
    </w:p>
    <w:p>
      <w:pPr>
        <w:pStyle w:val="ListParagraph"/>
        <w:numPr>
          <w:ilvl w:val="0"/>
          <w:numId w:val="87"/>
        </w:numPr>
        <w:tabs>
          <w:tab w:pos="2722" w:val="left" w:leader="none"/>
        </w:tabs>
        <w:spacing w:line="242" w:lineRule="auto" w:before="87" w:after="0"/>
        <w:ind w:left="2721" w:right="1597" w:hanging="341"/>
        <w:jc w:val="left"/>
        <w:rPr>
          <w:sz w:val="21"/>
        </w:rPr>
      </w:pPr>
      <w:r>
        <w:rPr>
          <w:w w:val="105"/>
          <w:sz w:val="21"/>
        </w:rPr>
        <w:t>the</w:t>
      </w:r>
      <w:r>
        <w:rPr>
          <w:spacing w:val="-5"/>
          <w:w w:val="105"/>
          <w:sz w:val="21"/>
        </w:rPr>
        <w:t> </w:t>
      </w:r>
      <w:r>
        <w:rPr>
          <w:w w:val="105"/>
          <w:sz w:val="21"/>
        </w:rPr>
        <w:t>location</w:t>
      </w:r>
      <w:r>
        <w:rPr>
          <w:spacing w:val="-5"/>
          <w:w w:val="105"/>
          <w:sz w:val="21"/>
        </w:rPr>
        <w:t> </w:t>
      </w:r>
      <w:r>
        <w:rPr>
          <w:w w:val="105"/>
          <w:sz w:val="21"/>
        </w:rPr>
        <w:t>of</w:t>
      </w:r>
      <w:r>
        <w:rPr>
          <w:spacing w:val="-5"/>
          <w:w w:val="105"/>
          <w:sz w:val="21"/>
        </w:rPr>
        <w:t> </w:t>
      </w:r>
      <w:r>
        <w:rPr>
          <w:spacing w:val="-2"/>
          <w:w w:val="105"/>
          <w:sz w:val="21"/>
        </w:rPr>
        <w:t>anything,</w:t>
      </w:r>
      <w:r>
        <w:rPr>
          <w:spacing w:val="-5"/>
          <w:w w:val="105"/>
          <w:sz w:val="21"/>
        </w:rPr>
        <w:t> </w:t>
      </w:r>
      <w:r>
        <w:rPr>
          <w:w w:val="105"/>
          <w:sz w:val="21"/>
        </w:rPr>
        <w:t>other</w:t>
      </w:r>
      <w:r>
        <w:rPr>
          <w:spacing w:val="-5"/>
          <w:w w:val="105"/>
          <w:sz w:val="21"/>
        </w:rPr>
        <w:t> </w:t>
      </w:r>
      <w:r>
        <w:rPr>
          <w:spacing w:val="-3"/>
          <w:w w:val="105"/>
          <w:sz w:val="21"/>
        </w:rPr>
        <w:t>than</w:t>
      </w:r>
      <w:r>
        <w:rPr>
          <w:spacing w:val="-4"/>
          <w:w w:val="105"/>
          <w:sz w:val="21"/>
        </w:rPr>
        <w:t> </w:t>
      </w:r>
      <w:r>
        <w:rPr>
          <w:w w:val="105"/>
          <w:sz w:val="21"/>
        </w:rPr>
        <w:t>the</w:t>
      </w:r>
      <w:r>
        <w:rPr>
          <w:spacing w:val="-5"/>
          <w:w w:val="105"/>
          <w:sz w:val="21"/>
        </w:rPr>
        <w:t> </w:t>
      </w:r>
      <w:r>
        <w:rPr>
          <w:w w:val="105"/>
          <w:sz w:val="21"/>
        </w:rPr>
        <w:t>tree</w:t>
      </w:r>
      <w:r>
        <w:rPr>
          <w:spacing w:val="-5"/>
          <w:w w:val="105"/>
          <w:sz w:val="21"/>
        </w:rPr>
        <w:t> </w:t>
      </w:r>
      <w:r>
        <w:rPr>
          <w:spacing w:val="-3"/>
          <w:w w:val="105"/>
          <w:sz w:val="21"/>
        </w:rPr>
        <w:t>that</w:t>
      </w:r>
      <w:r>
        <w:rPr>
          <w:spacing w:val="-5"/>
          <w:w w:val="105"/>
          <w:sz w:val="21"/>
        </w:rPr>
        <w:t> </w:t>
      </w:r>
      <w:r>
        <w:rPr>
          <w:w w:val="105"/>
          <w:sz w:val="21"/>
        </w:rPr>
        <w:t>is</w:t>
      </w:r>
      <w:r>
        <w:rPr>
          <w:spacing w:val="-5"/>
          <w:w w:val="105"/>
          <w:sz w:val="21"/>
        </w:rPr>
        <w:t> </w:t>
      </w:r>
      <w:r>
        <w:rPr>
          <w:w w:val="105"/>
          <w:sz w:val="21"/>
        </w:rPr>
        <w:t>the</w:t>
      </w:r>
      <w:r>
        <w:rPr>
          <w:spacing w:val="-4"/>
          <w:w w:val="105"/>
          <w:sz w:val="21"/>
        </w:rPr>
        <w:t> </w:t>
      </w:r>
      <w:r>
        <w:rPr>
          <w:w w:val="105"/>
          <w:sz w:val="21"/>
        </w:rPr>
        <w:t>subject</w:t>
      </w:r>
      <w:r>
        <w:rPr>
          <w:spacing w:val="-5"/>
          <w:w w:val="105"/>
          <w:sz w:val="21"/>
        </w:rPr>
        <w:t> </w:t>
      </w:r>
      <w:r>
        <w:rPr>
          <w:w w:val="105"/>
          <w:sz w:val="21"/>
        </w:rPr>
        <w:t>of</w:t>
      </w:r>
      <w:r>
        <w:rPr>
          <w:spacing w:val="-5"/>
          <w:w w:val="105"/>
          <w:sz w:val="21"/>
        </w:rPr>
        <w:t> </w:t>
      </w:r>
      <w:r>
        <w:rPr>
          <w:w w:val="105"/>
          <w:sz w:val="21"/>
        </w:rPr>
        <w:t>the</w:t>
      </w:r>
      <w:r>
        <w:rPr>
          <w:spacing w:val="-5"/>
          <w:w w:val="105"/>
          <w:sz w:val="21"/>
        </w:rPr>
        <w:t> </w:t>
      </w:r>
      <w:r>
        <w:rPr>
          <w:spacing w:val="-3"/>
          <w:w w:val="105"/>
          <w:sz w:val="21"/>
        </w:rPr>
        <w:t>application,</w:t>
      </w:r>
      <w:r>
        <w:rPr>
          <w:spacing w:val="-5"/>
          <w:w w:val="105"/>
          <w:sz w:val="21"/>
        </w:rPr>
        <w:t> </w:t>
      </w:r>
      <w:r>
        <w:rPr>
          <w:spacing w:val="-3"/>
          <w:w w:val="105"/>
          <w:sz w:val="21"/>
        </w:rPr>
        <w:t>that </w:t>
      </w:r>
      <w:r>
        <w:rPr>
          <w:spacing w:val="-2"/>
          <w:w w:val="105"/>
          <w:sz w:val="21"/>
        </w:rPr>
        <w:t>has </w:t>
      </w:r>
      <w:r>
        <w:rPr>
          <w:w w:val="105"/>
          <w:sz w:val="21"/>
        </w:rPr>
        <w:t>caused, is </w:t>
      </w:r>
      <w:r>
        <w:rPr>
          <w:spacing w:val="-3"/>
          <w:w w:val="105"/>
          <w:sz w:val="21"/>
        </w:rPr>
        <w:t>causing </w:t>
      </w:r>
      <w:r>
        <w:rPr>
          <w:w w:val="105"/>
          <w:sz w:val="21"/>
        </w:rPr>
        <w:t>or is </w:t>
      </w:r>
      <w:r>
        <w:rPr>
          <w:spacing w:val="-4"/>
          <w:w w:val="105"/>
          <w:sz w:val="21"/>
        </w:rPr>
        <w:t>likely </w:t>
      </w:r>
      <w:r>
        <w:rPr>
          <w:spacing w:val="-3"/>
          <w:w w:val="105"/>
          <w:sz w:val="21"/>
        </w:rPr>
        <w:t>to </w:t>
      </w:r>
      <w:r>
        <w:rPr>
          <w:w w:val="105"/>
          <w:sz w:val="21"/>
        </w:rPr>
        <w:t>cause damage </w:t>
      </w:r>
      <w:r>
        <w:rPr>
          <w:spacing w:val="-3"/>
          <w:w w:val="105"/>
          <w:sz w:val="21"/>
        </w:rPr>
        <w:t>to </w:t>
      </w:r>
      <w:r>
        <w:rPr>
          <w:w w:val="105"/>
          <w:sz w:val="21"/>
        </w:rPr>
        <w:t>the </w:t>
      </w:r>
      <w:r>
        <w:rPr>
          <w:spacing w:val="-3"/>
          <w:w w:val="105"/>
          <w:sz w:val="21"/>
        </w:rPr>
        <w:t>applicant’s</w:t>
      </w:r>
      <w:r>
        <w:rPr>
          <w:spacing w:val="-1"/>
          <w:w w:val="105"/>
          <w:sz w:val="21"/>
        </w:rPr>
        <w:t> </w:t>
      </w:r>
      <w:r>
        <w:rPr>
          <w:spacing w:val="-3"/>
          <w:w w:val="105"/>
          <w:sz w:val="21"/>
        </w:rPr>
        <w:t>dwelling</w:t>
      </w:r>
    </w:p>
    <w:p>
      <w:pPr>
        <w:pStyle w:val="ListParagraph"/>
        <w:numPr>
          <w:ilvl w:val="0"/>
          <w:numId w:val="87"/>
        </w:numPr>
        <w:tabs>
          <w:tab w:pos="2720" w:val="left" w:leader="none"/>
          <w:tab w:pos="2722" w:val="left" w:leader="none"/>
        </w:tabs>
        <w:spacing w:line="242" w:lineRule="auto" w:before="87" w:after="0"/>
        <w:ind w:left="2721" w:right="1597" w:hanging="341"/>
        <w:jc w:val="left"/>
        <w:rPr>
          <w:sz w:val="21"/>
        </w:rPr>
      </w:pPr>
      <w:r>
        <w:rPr>
          <w:w w:val="105"/>
          <w:sz w:val="21"/>
        </w:rPr>
        <w:t>the</w:t>
      </w:r>
      <w:r>
        <w:rPr>
          <w:spacing w:val="-5"/>
          <w:w w:val="105"/>
          <w:sz w:val="21"/>
        </w:rPr>
        <w:t> </w:t>
      </w:r>
      <w:r>
        <w:rPr>
          <w:w w:val="105"/>
          <w:sz w:val="21"/>
        </w:rPr>
        <w:t>location</w:t>
      </w:r>
      <w:r>
        <w:rPr>
          <w:spacing w:val="-5"/>
          <w:w w:val="105"/>
          <w:sz w:val="21"/>
        </w:rPr>
        <w:t> </w:t>
      </w:r>
      <w:r>
        <w:rPr>
          <w:w w:val="105"/>
          <w:sz w:val="21"/>
        </w:rPr>
        <w:t>of</w:t>
      </w:r>
      <w:r>
        <w:rPr>
          <w:spacing w:val="-5"/>
          <w:w w:val="105"/>
          <w:sz w:val="21"/>
        </w:rPr>
        <w:t> </w:t>
      </w:r>
      <w:r>
        <w:rPr>
          <w:spacing w:val="-2"/>
          <w:w w:val="105"/>
          <w:sz w:val="21"/>
        </w:rPr>
        <w:t>anything,</w:t>
      </w:r>
      <w:r>
        <w:rPr>
          <w:spacing w:val="-5"/>
          <w:w w:val="105"/>
          <w:sz w:val="21"/>
        </w:rPr>
        <w:t> </w:t>
      </w:r>
      <w:r>
        <w:rPr>
          <w:w w:val="105"/>
          <w:sz w:val="21"/>
        </w:rPr>
        <w:t>other</w:t>
      </w:r>
      <w:r>
        <w:rPr>
          <w:spacing w:val="-5"/>
          <w:w w:val="105"/>
          <w:sz w:val="21"/>
        </w:rPr>
        <w:t> </w:t>
      </w:r>
      <w:r>
        <w:rPr>
          <w:spacing w:val="-3"/>
          <w:w w:val="105"/>
          <w:sz w:val="21"/>
        </w:rPr>
        <w:t>than</w:t>
      </w:r>
      <w:r>
        <w:rPr>
          <w:spacing w:val="-4"/>
          <w:w w:val="105"/>
          <w:sz w:val="21"/>
        </w:rPr>
        <w:t> </w:t>
      </w:r>
      <w:r>
        <w:rPr>
          <w:w w:val="105"/>
          <w:sz w:val="21"/>
        </w:rPr>
        <w:t>the</w:t>
      </w:r>
      <w:r>
        <w:rPr>
          <w:spacing w:val="-5"/>
          <w:w w:val="105"/>
          <w:sz w:val="21"/>
        </w:rPr>
        <w:t> </w:t>
      </w:r>
      <w:r>
        <w:rPr>
          <w:w w:val="105"/>
          <w:sz w:val="21"/>
        </w:rPr>
        <w:t>tree</w:t>
      </w:r>
      <w:r>
        <w:rPr>
          <w:spacing w:val="-5"/>
          <w:w w:val="105"/>
          <w:sz w:val="21"/>
        </w:rPr>
        <w:t> </w:t>
      </w:r>
      <w:r>
        <w:rPr>
          <w:spacing w:val="-3"/>
          <w:w w:val="105"/>
          <w:sz w:val="21"/>
        </w:rPr>
        <w:t>that</w:t>
      </w:r>
      <w:r>
        <w:rPr>
          <w:spacing w:val="-5"/>
          <w:w w:val="105"/>
          <w:sz w:val="21"/>
        </w:rPr>
        <w:t> </w:t>
      </w:r>
      <w:r>
        <w:rPr>
          <w:w w:val="105"/>
          <w:sz w:val="21"/>
        </w:rPr>
        <w:t>is</w:t>
      </w:r>
      <w:r>
        <w:rPr>
          <w:spacing w:val="-5"/>
          <w:w w:val="105"/>
          <w:sz w:val="21"/>
        </w:rPr>
        <w:t> </w:t>
      </w:r>
      <w:r>
        <w:rPr>
          <w:w w:val="105"/>
          <w:sz w:val="21"/>
        </w:rPr>
        <w:t>the</w:t>
      </w:r>
      <w:r>
        <w:rPr>
          <w:spacing w:val="-4"/>
          <w:w w:val="105"/>
          <w:sz w:val="21"/>
        </w:rPr>
        <w:t> </w:t>
      </w:r>
      <w:r>
        <w:rPr>
          <w:w w:val="105"/>
          <w:sz w:val="21"/>
        </w:rPr>
        <w:t>subject</w:t>
      </w:r>
      <w:r>
        <w:rPr>
          <w:spacing w:val="-5"/>
          <w:w w:val="105"/>
          <w:sz w:val="21"/>
        </w:rPr>
        <w:t> </w:t>
      </w:r>
      <w:r>
        <w:rPr>
          <w:w w:val="105"/>
          <w:sz w:val="21"/>
        </w:rPr>
        <w:t>of</w:t>
      </w:r>
      <w:r>
        <w:rPr>
          <w:spacing w:val="-5"/>
          <w:w w:val="105"/>
          <w:sz w:val="21"/>
        </w:rPr>
        <w:t> </w:t>
      </w:r>
      <w:r>
        <w:rPr>
          <w:w w:val="105"/>
          <w:sz w:val="21"/>
        </w:rPr>
        <w:t>the</w:t>
      </w:r>
      <w:r>
        <w:rPr>
          <w:spacing w:val="-5"/>
          <w:w w:val="105"/>
          <w:sz w:val="21"/>
        </w:rPr>
        <w:t> </w:t>
      </w:r>
      <w:r>
        <w:rPr>
          <w:spacing w:val="-3"/>
          <w:w w:val="105"/>
          <w:sz w:val="21"/>
        </w:rPr>
        <w:t>application,</w:t>
      </w:r>
      <w:r>
        <w:rPr>
          <w:spacing w:val="-5"/>
          <w:w w:val="105"/>
          <w:sz w:val="21"/>
        </w:rPr>
        <w:t> </w:t>
      </w:r>
      <w:r>
        <w:rPr>
          <w:spacing w:val="-3"/>
          <w:w w:val="105"/>
          <w:sz w:val="21"/>
        </w:rPr>
        <w:t>that </w:t>
      </w:r>
      <w:r>
        <w:rPr>
          <w:spacing w:val="-2"/>
          <w:w w:val="105"/>
          <w:sz w:val="21"/>
        </w:rPr>
        <w:t>has </w:t>
      </w:r>
      <w:r>
        <w:rPr>
          <w:spacing w:val="-3"/>
          <w:w w:val="105"/>
          <w:sz w:val="21"/>
        </w:rPr>
        <w:t>contributed, </w:t>
      </w:r>
      <w:r>
        <w:rPr>
          <w:w w:val="105"/>
          <w:sz w:val="21"/>
        </w:rPr>
        <w:t>or is </w:t>
      </w:r>
      <w:r>
        <w:rPr>
          <w:spacing w:val="-3"/>
          <w:w w:val="105"/>
          <w:sz w:val="21"/>
        </w:rPr>
        <w:t>contributing, to </w:t>
      </w:r>
      <w:r>
        <w:rPr>
          <w:w w:val="105"/>
          <w:sz w:val="21"/>
        </w:rPr>
        <w:t>the </w:t>
      </w:r>
      <w:r>
        <w:rPr>
          <w:spacing w:val="-3"/>
          <w:w w:val="105"/>
          <w:sz w:val="21"/>
        </w:rPr>
        <w:t>likelihood </w:t>
      </w:r>
      <w:r>
        <w:rPr>
          <w:w w:val="105"/>
          <w:sz w:val="21"/>
        </w:rPr>
        <w:t>of</w:t>
      </w:r>
      <w:r>
        <w:rPr>
          <w:spacing w:val="1"/>
          <w:w w:val="105"/>
          <w:sz w:val="21"/>
        </w:rPr>
        <w:t> </w:t>
      </w:r>
      <w:r>
        <w:rPr>
          <w:spacing w:val="-4"/>
          <w:w w:val="105"/>
          <w:sz w:val="21"/>
        </w:rPr>
        <w:t>injury.</w:t>
      </w:r>
    </w:p>
    <w:p>
      <w:pPr>
        <w:pStyle w:val="ListParagraph"/>
        <w:numPr>
          <w:ilvl w:val="0"/>
          <w:numId w:val="79"/>
        </w:numPr>
        <w:tabs>
          <w:tab w:pos="2380" w:val="left" w:leader="none"/>
          <w:tab w:pos="2381" w:val="left" w:leader="none"/>
        </w:tabs>
        <w:spacing w:line="240" w:lineRule="auto" w:before="87" w:after="0"/>
        <w:ind w:left="2380" w:right="0" w:hanging="793"/>
        <w:jc w:val="left"/>
        <w:rPr>
          <w:sz w:val="21"/>
        </w:rPr>
      </w:pPr>
      <w:r>
        <w:rPr>
          <w:sz w:val="21"/>
        </w:rPr>
        <w:t>The </w:t>
      </w:r>
      <w:r>
        <w:rPr>
          <w:spacing w:val="-3"/>
          <w:sz w:val="21"/>
        </w:rPr>
        <w:t>applicant  </w:t>
      </w:r>
      <w:r>
        <w:rPr>
          <w:sz w:val="21"/>
        </w:rPr>
        <w:t>is also </w:t>
      </w:r>
      <w:r>
        <w:rPr>
          <w:spacing w:val="-3"/>
          <w:sz w:val="21"/>
        </w:rPr>
        <w:t>required</w:t>
      </w:r>
      <w:r>
        <w:rPr>
          <w:spacing w:val="41"/>
          <w:sz w:val="21"/>
        </w:rPr>
        <w:t> </w:t>
      </w:r>
      <w:r>
        <w:rPr>
          <w:spacing w:val="-3"/>
          <w:sz w:val="21"/>
        </w:rPr>
        <w:t>to  </w:t>
      </w:r>
      <w:r>
        <w:rPr>
          <w:sz w:val="21"/>
        </w:rPr>
        <w:t>provide the </w:t>
      </w:r>
      <w:r>
        <w:rPr>
          <w:spacing w:val="-3"/>
          <w:sz w:val="21"/>
        </w:rPr>
        <w:t>Court  </w:t>
      </w:r>
      <w:r>
        <w:rPr>
          <w:sz w:val="21"/>
        </w:rPr>
        <w:t>with   </w:t>
      </w:r>
      <w:r>
        <w:rPr>
          <w:spacing w:val="-3"/>
          <w:sz w:val="21"/>
        </w:rPr>
        <w:t>additional  information  including:</w:t>
      </w:r>
    </w:p>
    <w:p>
      <w:pPr>
        <w:pStyle w:val="ListParagraph"/>
        <w:numPr>
          <w:ilvl w:val="1"/>
          <w:numId w:val="79"/>
        </w:numPr>
        <w:tabs>
          <w:tab w:pos="2720" w:val="left" w:leader="none"/>
          <w:tab w:pos="2722" w:val="left" w:leader="none"/>
        </w:tabs>
        <w:spacing w:line="240" w:lineRule="auto" w:before="124" w:after="0"/>
        <w:ind w:left="2721" w:right="0" w:hanging="341"/>
        <w:jc w:val="left"/>
        <w:rPr>
          <w:sz w:val="21"/>
        </w:rPr>
      </w:pPr>
      <w:r>
        <w:rPr>
          <w:sz w:val="21"/>
        </w:rPr>
        <w:t>the species of</w:t>
      </w:r>
      <w:r>
        <w:rPr>
          <w:spacing w:val="24"/>
          <w:sz w:val="21"/>
        </w:rPr>
        <w:t> </w:t>
      </w:r>
      <w:r>
        <w:rPr>
          <w:sz w:val="21"/>
        </w:rPr>
        <w:t>tree</w:t>
      </w:r>
    </w:p>
    <w:p>
      <w:pPr>
        <w:pStyle w:val="ListParagraph"/>
        <w:numPr>
          <w:ilvl w:val="1"/>
          <w:numId w:val="79"/>
        </w:numPr>
        <w:tabs>
          <w:tab w:pos="2720" w:val="left" w:leader="none"/>
          <w:tab w:pos="2722" w:val="left" w:leader="none"/>
        </w:tabs>
        <w:spacing w:line="242" w:lineRule="auto" w:before="89" w:after="0"/>
        <w:ind w:left="2721" w:right="2239" w:hanging="341"/>
        <w:jc w:val="left"/>
        <w:rPr>
          <w:sz w:val="21"/>
        </w:rPr>
      </w:pPr>
      <w:r>
        <w:rPr>
          <w:sz w:val="21"/>
        </w:rPr>
        <w:t>a detailed description of the damage the </w:t>
      </w:r>
      <w:r>
        <w:rPr>
          <w:spacing w:val="-3"/>
          <w:sz w:val="21"/>
        </w:rPr>
        <w:t>applicant </w:t>
      </w:r>
      <w:r>
        <w:rPr>
          <w:spacing w:val="-2"/>
          <w:sz w:val="21"/>
        </w:rPr>
        <w:t>has </w:t>
      </w:r>
      <w:r>
        <w:rPr>
          <w:spacing w:val="-3"/>
          <w:sz w:val="21"/>
        </w:rPr>
        <w:t>claimed </w:t>
      </w:r>
      <w:r>
        <w:rPr>
          <w:spacing w:val="-2"/>
          <w:sz w:val="21"/>
        </w:rPr>
        <w:t>has </w:t>
      </w:r>
      <w:r>
        <w:rPr>
          <w:spacing w:val="-3"/>
          <w:sz w:val="21"/>
        </w:rPr>
        <w:t>occurred, </w:t>
      </w:r>
      <w:r>
        <w:rPr>
          <w:sz w:val="21"/>
        </w:rPr>
        <w:t>is </w:t>
      </w:r>
      <w:r>
        <w:rPr>
          <w:spacing w:val="-3"/>
          <w:sz w:val="21"/>
        </w:rPr>
        <w:t>occurring</w:t>
      </w:r>
      <w:r>
        <w:rPr>
          <w:spacing w:val="8"/>
          <w:sz w:val="21"/>
        </w:rPr>
        <w:t> </w:t>
      </w:r>
      <w:r>
        <w:rPr>
          <w:sz w:val="21"/>
        </w:rPr>
        <w:t>or</w:t>
      </w:r>
      <w:r>
        <w:rPr>
          <w:spacing w:val="9"/>
          <w:sz w:val="21"/>
        </w:rPr>
        <w:t> </w:t>
      </w:r>
      <w:r>
        <w:rPr>
          <w:sz w:val="21"/>
        </w:rPr>
        <w:t>is</w:t>
      </w:r>
      <w:r>
        <w:rPr>
          <w:spacing w:val="9"/>
          <w:sz w:val="21"/>
        </w:rPr>
        <w:t> </w:t>
      </w:r>
      <w:r>
        <w:rPr>
          <w:spacing w:val="-4"/>
          <w:sz w:val="21"/>
        </w:rPr>
        <w:t>likely</w:t>
      </w:r>
      <w:r>
        <w:rPr>
          <w:spacing w:val="9"/>
          <w:sz w:val="21"/>
        </w:rPr>
        <w:t> </w:t>
      </w:r>
      <w:r>
        <w:rPr>
          <w:sz w:val="21"/>
        </w:rPr>
        <w:t>or</w:t>
      </w:r>
      <w:r>
        <w:rPr>
          <w:spacing w:val="9"/>
          <w:sz w:val="21"/>
        </w:rPr>
        <w:t> </w:t>
      </w:r>
      <w:r>
        <w:rPr>
          <w:sz w:val="21"/>
        </w:rPr>
        <w:t>the</w:t>
      </w:r>
      <w:r>
        <w:rPr>
          <w:spacing w:val="9"/>
          <w:sz w:val="21"/>
        </w:rPr>
        <w:t> </w:t>
      </w:r>
      <w:r>
        <w:rPr>
          <w:sz w:val="21"/>
        </w:rPr>
        <w:t>injury</w:t>
      </w:r>
      <w:r>
        <w:rPr>
          <w:spacing w:val="9"/>
          <w:sz w:val="21"/>
        </w:rPr>
        <w:t> </w:t>
      </w:r>
      <w:r>
        <w:rPr>
          <w:spacing w:val="-3"/>
          <w:sz w:val="21"/>
        </w:rPr>
        <w:t>that</w:t>
      </w:r>
      <w:r>
        <w:rPr>
          <w:spacing w:val="9"/>
          <w:sz w:val="21"/>
        </w:rPr>
        <w:t> </w:t>
      </w:r>
      <w:r>
        <w:rPr>
          <w:sz w:val="21"/>
        </w:rPr>
        <w:t>is</w:t>
      </w:r>
      <w:r>
        <w:rPr>
          <w:spacing w:val="9"/>
          <w:sz w:val="21"/>
        </w:rPr>
        <w:t> </w:t>
      </w:r>
      <w:r>
        <w:rPr>
          <w:spacing w:val="-4"/>
          <w:sz w:val="21"/>
        </w:rPr>
        <w:t>likely</w:t>
      </w:r>
    </w:p>
    <w:p>
      <w:pPr>
        <w:pStyle w:val="ListParagraph"/>
        <w:numPr>
          <w:ilvl w:val="1"/>
          <w:numId w:val="79"/>
        </w:numPr>
        <w:tabs>
          <w:tab w:pos="2720" w:val="left" w:leader="none"/>
          <w:tab w:pos="2722" w:val="left" w:leader="none"/>
        </w:tabs>
        <w:spacing w:line="242" w:lineRule="auto" w:before="87" w:after="0"/>
        <w:ind w:left="2721" w:right="1845" w:hanging="341"/>
        <w:jc w:val="left"/>
        <w:rPr>
          <w:sz w:val="21"/>
        </w:rPr>
      </w:pPr>
      <w:r>
        <w:rPr>
          <w:w w:val="105"/>
          <w:sz w:val="21"/>
        </w:rPr>
        <w:t>details</w:t>
      </w:r>
      <w:r>
        <w:rPr>
          <w:spacing w:val="-11"/>
          <w:w w:val="105"/>
          <w:sz w:val="21"/>
        </w:rPr>
        <w:t> </w:t>
      </w:r>
      <w:r>
        <w:rPr>
          <w:w w:val="105"/>
          <w:sz w:val="21"/>
        </w:rPr>
        <w:t>of</w:t>
      </w:r>
      <w:r>
        <w:rPr>
          <w:spacing w:val="-10"/>
          <w:w w:val="105"/>
          <w:sz w:val="21"/>
        </w:rPr>
        <w:t> </w:t>
      </w:r>
      <w:r>
        <w:rPr>
          <w:w w:val="105"/>
          <w:sz w:val="21"/>
        </w:rPr>
        <w:t>statements</w:t>
      </w:r>
      <w:r>
        <w:rPr>
          <w:spacing w:val="-11"/>
          <w:w w:val="105"/>
          <w:sz w:val="21"/>
        </w:rPr>
        <w:t> </w:t>
      </w:r>
      <w:r>
        <w:rPr>
          <w:spacing w:val="-3"/>
          <w:w w:val="105"/>
          <w:sz w:val="21"/>
        </w:rPr>
        <w:t>from</w:t>
      </w:r>
      <w:r>
        <w:rPr>
          <w:spacing w:val="-10"/>
          <w:w w:val="105"/>
          <w:sz w:val="21"/>
        </w:rPr>
        <w:t> </w:t>
      </w:r>
      <w:r>
        <w:rPr>
          <w:w w:val="105"/>
          <w:sz w:val="21"/>
        </w:rPr>
        <w:t>other</w:t>
      </w:r>
      <w:r>
        <w:rPr>
          <w:spacing w:val="-10"/>
          <w:w w:val="105"/>
          <w:sz w:val="21"/>
        </w:rPr>
        <w:t> </w:t>
      </w:r>
      <w:r>
        <w:rPr>
          <w:w w:val="105"/>
          <w:sz w:val="21"/>
        </w:rPr>
        <w:t>people,</w:t>
      </w:r>
      <w:r>
        <w:rPr>
          <w:spacing w:val="-11"/>
          <w:w w:val="105"/>
          <w:sz w:val="21"/>
        </w:rPr>
        <w:t> </w:t>
      </w:r>
      <w:r>
        <w:rPr>
          <w:spacing w:val="-3"/>
          <w:w w:val="105"/>
          <w:sz w:val="21"/>
        </w:rPr>
        <w:t>such</w:t>
      </w:r>
      <w:r>
        <w:rPr>
          <w:spacing w:val="-10"/>
          <w:w w:val="105"/>
          <w:sz w:val="21"/>
        </w:rPr>
        <w:t> </w:t>
      </w:r>
      <w:r>
        <w:rPr>
          <w:w w:val="105"/>
          <w:sz w:val="21"/>
        </w:rPr>
        <w:t>as</w:t>
      </w:r>
      <w:r>
        <w:rPr>
          <w:spacing w:val="-11"/>
          <w:w w:val="105"/>
          <w:sz w:val="21"/>
        </w:rPr>
        <w:t> </w:t>
      </w:r>
      <w:r>
        <w:rPr>
          <w:w w:val="105"/>
          <w:sz w:val="21"/>
        </w:rPr>
        <w:t>an</w:t>
      </w:r>
      <w:r>
        <w:rPr>
          <w:spacing w:val="-10"/>
          <w:w w:val="105"/>
          <w:sz w:val="21"/>
        </w:rPr>
        <w:t> </w:t>
      </w:r>
      <w:r>
        <w:rPr>
          <w:w w:val="105"/>
          <w:sz w:val="21"/>
        </w:rPr>
        <w:t>arborist</w:t>
      </w:r>
      <w:r>
        <w:rPr>
          <w:spacing w:val="-10"/>
          <w:w w:val="105"/>
          <w:sz w:val="21"/>
        </w:rPr>
        <w:t> </w:t>
      </w:r>
      <w:r>
        <w:rPr>
          <w:w w:val="105"/>
          <w:sz w:val="21"/>
        </w:rPr>
        <w:t>or</w:t>
      </w:r>
      <w:r>
        <w:rPr>
          <w:spacing w:val="-11"/>
          <w:w w:val="105"/>
          <w:sz w:val="21"/>
        </w:rPr>
        <w:t> </w:t>
      </w:r>
      <w:r>
        <w:rPr>
          <w:w w:val="105"/>
          <w:sz w:val="21"/>
        </w:rPr>
        <w:t>engineer</w:t>
      </w:r>
      <w:r>
        <w:rPr>
          <w:spacing w:val="-10"/>
          <w:w w:val="105"/>
          <w:sz w:val="21"/>
        </w:rPr>
        <w:t> </w:t>
      </w:r>
      <w:r>
        <w:rPr>
          <w:spacing w:val="-3"/>
          <w:w w:val="105"/>
          <w:sz w:val="21"/>
        </w:rPr>
        <w:t>concerning </w:t>
      </w:r>
      <w:r>
        <w:rPr>
          <w:w w:val="105"/>
          <w:sz w:val="21"/>
        </w:rPr>
        <w:t>the damage or </w:t>
      </w:r>
      <w:r>
        <w:rPr>
          <w:spacing w:val="-3"/>
          <w:w w:val="105"/>
          <w:sz w:val="21"/>
        </w:rPr>
        <w:t>likelihood </w:t>
      </w:r>
      <w:r>
        <w:rPr>
          <w:w w:val="105"/>
          <w:sz w:val="21"/>
        </w:rPr>
        <w:t>of</w:t>
      </w:r>
      <w:r>
        <w:rPr>
          <w:spacing w:val="27"/>
          <w:w w:val="105"/>
          <w:sz w:val="21"/>
        </w:rPr>
        <w:t> </w:t>
      </w:r>
      <w:r>
        <w:rPr>
          <w:w w:val="105"/>
          <w:sz w:val="21"/>
        </w:rPr>
        <w:t>injury</w:t>
      </w:r>
    </w:p>
    <w:p>
      <w:pPr>
        <w:pStyle w:val="ListParagraph"/>
        <w:numPr>
          <w:ilvl w:val="1"/>
          <w:numId w:val="79"/>
        </w:numPr>
        <w:tabs>
          <w:tab w:pos="2720" w:val="left" w:leader="none"/>
          <w:tab w:pos="2722" w:val="left" w:leader="none"/>
        </w:tabs>
        <w:spacing w:line="242" w:lineRule="auto" w:before="87" w:after="0"/>
        <w:ind w:left="2721" w:right="2100" w:hanging="341"/>
        <w:jc w:val="left"/>
        <w:rPr>
          <w:sz w:val="21"/>
        </w:rPr>
      </w:pPr>
      <w:r>
        <w:rPr>
          <w:w w:val="105"/>
          <w:sz w:val="21"/>
        </w:rPr>
        <w:t>the</w:t>
      </w:r>
      <w:r>
        <w:rPr>
          <w:spacing w:val="-7"/>
          <w:w w:val="105"/>
          <w:sz w:val="21"/>
        </w:rPr>
        <w:t> </w:t>
      </w:r>
      <w:r>
        <w:rPr>
          <w:spacing w:val="-3"/>
          <w:w w:val="105"/>
          <w:sz w:val="21"/>
        </w:rPr>
        <w:t>amount</w:t>
      </w:r>
      <w:r>
        <w:rPr>
          <w:spacing w:val="-6"/>
          <w:w w:val="105"/>
          <w:sz w:val="21"/>
        </w:rPr>
        <w:t> </w:t>
      </w:r>
      <w:r>
        <w:rPr>
          <w:w w:val="105"/>
          <w:sz w:val="21"/>
        </w:rPr>
        <w:t>of</w:t>
      </w:r>
      <w:r>
        <w:rPr>
          <w:spacing w:val="-7"/>
          <w:w w:val="105"/>
          <w:sz w:val="21"/>
        </w:rPr>
        <w:t> </w:t>
      </w:r>
      <w:r>
        <w:rPr>
          <w:w w:val="105"/>
          <w:sz w:val="21"/>
        </w:rPr>
        <w:t>compensation</w:t>
      </w:r>
      <w:r>
        <w:rPr>
          <w:spacing w:val="-6"/>
          <w:w w:val="105"/>
          <w:sz w:val="21"/>
        </w:rPr>
        <w:t> </w:t>
      </w:r>
      <w:r>
        <w:rPr>
          <w:spacing w:val="-3"/>
          <w:w w:val="105"/>
          <w:sz w:val="21"/>
        </w:rPr>
        <w:t>claimed</w:t>
      </w:r>
      <w:r>
        <w:rPr>
          <w:spacing w:val="-7"/>
          <w:w w:val="105"/>
          <w:sz w:val="21"/>
        </w:rPr>
        <w:t> </w:t>
      </w:r>
      <w:r>
        <w:rPr>
          <w:spacing w:val="-3"/>
          <w:w w:val="105"/>
          <w:sz w:val="21"/>
        </w:rPr>
        <w:t>for</w:t>
      </w:r>
      <w:r>
        <w:rPr>
          <w:spacing w:val="-6"/>
          <w:w w:val="105"/>
          <w:sz w:val="21"/>
        </w:rPr>
        <w:t> </w:t>
      </w:r>
      <w:r>
        <w:rPr>
          <w:w w:val="105"/>
          <w:sz w:val="21"/>
        </w:rPr>
        <w:t>property</w:t>
      </w:r>
      <w:r>
        <w:rPr>
          <w:spacing w:val="-7"/>
          <w:w w:val="105"/>
          <w:sz w:val="21"/>
        </w:rPr>
        <w:t> </w:t>
      </w:r>
      <w:r>
        <w:rPr>
          <w:w w:val="105"/>
          <w:sz w:val="21"/>
        </w:rPr>
        <w:t>damage</w:t>
      </w:r>
      <w:r>
        <w:rPr>
          <w:spacing w:val="-6"/>
          <w:w w:val="105"/>
          <w:sz w:val="21"/>
        </w:rPr>
        <w:t> </w:t>
      </w:r>
      <w:r>
        <w:rPr>
          <w:w w:val="105"/>
          <w:sz w:val="21"/>
        </w:rPr>
        <w:t>and</w:t>
      </w:r>
      <w:r>
        <w:rPr>
          <w:spacing w:val="-7"/>
          <w:w w:val="105"/>
          <w:sz w:val="21"/>
        </w:rPr>
        <w:t> </w:t>
      </w:r>
      <w:r>
        <w:rPr>
          <w:w w:val="105"/>
          <w:sz w:val="21"/>
        </w:rPr>
        <w:t>the</w:t>
      </w:r>
      <w:r>
        <w:rPr>
          <w:spacing w:val="-6"/>
          <w:w w:val="105"/>
          <w:sz w:val="21"/>
        </w:rPr>
        <w:t> </w:t>
      </w:r>
      <w:r>
        <w:rPr>
          <w:w w:val="105"/>
          <w:sz w:val="21"/>
        </w:rPr>
        <w:t>basis</w:t>
      </w:r>
      <w:r>
        <w:rPr>
          <w:spacing w:val="-6"/>
          <w:w w:val="105"/>
          <w:sz w:val="21"/>
        </w:rPr>
        <w:t> </w:t>
      </w:r>
      <w:r>
        <w:rPr>
          <w:spacing w:val="-3"/>
          <w:w w:val="105"/>
          <w:sz w:val="21"/>
        </w:rPr>
        <w:t>for</w:t>
      </w:r>
      <w:r>
        <w:rPr>
          <w:spacing w:val="-7"/>
          <w:w w:val="105"/>
          <w:sz w:val="21"/>
        </w:rPr>
        <w:t> </w:t>
      </w:r>
      <w:r>
        <w:rPr>
          <w:w w:val="105"/>
          <w:sz w:val="21"/>
        </w:rPr>
        <w:t>this </w:t>
      </w:r>
      <w:r>
        <w:rPr>
          <w:spacing w:val="-3"/>
          <w:w w:val="105"/>
          <w:sz w:val="21"/>
        </w:rPr>
        <w:t>amount</w:t>
      </w:r>
    </w:p>
    <w:p>
      <w:pPr>
        <w:pStyle w:val="ListParagraph"/>
        <w:numPr>
          <w:ilvl w:val="1"/>
          <w:numId w:val="79"/>
        </w:numPr>
        <w:tabs>
          <w:tab w:pos="2720" w:val="left" w:leader="none"/>
          <w:tab w:pos="2722" w:val="left" w:leader="none"/>
        </w:tabs>
        <w:spacing w:line="240" w:lineRule="auto" w:before="87" w:after="0"/>
        <w:ind w:left="2721" w:right="0" w:hanging="341"/>
        <w:jc w:val="left"/>
        <w:rPr>
          <w:sz w:val="21"/>
        </w:rPr>
      </w:pPr>
      <w:r>
        <w:rPr>
          <w:w w:val="105"/>
          <w:sz w:val="21"/>
        </w:rPr>
        <w:t>the basis </w:t>
      </w:r>
      <w:r>
        <w:rPr>
          <w:spacing w:val="-3"/>
          <w:w w:val="105"/>
          <w:sz w:val="21"/>
        </w:rPr>
        <w:t>for </w:t>
      </w:r>
      <w:r>
        <w:rPr>
          <w:w w:val="105"/>
          <w:sz w:val="21"/>
        </w:rPr>
        <w:t>seeking an order </w:t>
      </w:r>
      <w:r>
        <w:rPr>
          <w:spacing w:val="-3"/>
          <w:w w:val="105"/>
          <w:sz w:val="21"/>
        </w:rPr>
        <w:t>for </w:t>
      </w:r>
      <w:r>
        <w:rPr>
          <w:w w:val="105"/>
          <w:sz w:val="21"/>
        </w:rPr>
        <w:t>rectification works </w:t>
      </w:r>
      <w:r>
        <w:rPr>
          <w:spacing w:val="-3"/>
          <w:w w:val="105"/>
          <w:sz w:val="21"/>
        </w:rPr>
        <w:t>to </w:t>
      </w:r>
      <w:r>
        <w:rPr>
          <w:w w:val="105"/>
          <w:sz w:val="21"/>
        </w:rPr>
        <w:t>the </w:t>
      </w:r>
      <w:r>
        <w:rPr>
          <w:spacing w:val="-3"/>
          <w:w w:val="105"/>
          <w:sz w:val="21"/>
        </w:rPr>
        <w:t>applicant’s</w:t>
      </w:r>
      <w:r>
        <w:rPr>
          <w:spacing w:val="36"/>
          <w:w w:val="105"/>
          <w:sz w:val="21"/>
        </w:rPr>
        <w:t> </w:t>
      </w:r>
      <w:r>
        <w:rPr>
          <w:w w:val="105"/>
          <w:sz w:val="21"/>
        </w:rPr>
        <w:t>property</w:t>
      </w:r>
    </w:p>
    <w:p>
      <w:pPr>
        <w:pStyle w:val="ListParagraph"/>
        <w:numPr>
          <w:ilvl w:val="1"/>
          <w:numId w:val="79"/>
        </w:numPr>
        <w:tabs>
          <w:tab w:pos="2720" w:val="left" w:leader="none"/>
          <w:tab w:pos="2722" w:val="left" w:leader="none"/>
        </w:tabs>
        <w:spacing w:line="240" w:lineRule="auto" w:before="89" w:after="0"/>
        <w:ind w:left="2721" w:right="0" w:hanging="341"/>
        <w:jc w:val="left"/>
        <w:rPr>
          <w:i/>
          <w:sz w:val="21"/>
        </w:rPr>
      </w:pPr>
      <w:r>
        <w:rPr>
          <w:w w:val="105"/>
          <w:sz w:val="21"/>
        </w:rPr>
        <w:t>whether the </w:t>
      </w:r>
      <w:r>
        <w:rPr>
          <w:spacing w:val="-3"/>
          <w:w w:val="105"/>
          <w:sz w:val="21"/>
        </w:rPr>
        <w:t>applicant </w:t>
      </w:r>
      <w:r>
        <w:rPr>
          <w:w w:val="105"/>
          <w:sz w:val="21"/>
        </w:rPr>
        <w:t>is seeking </w:t>
      </w:r>
      <w:r>
        <w:rPr>
          <w:spacing w:val="-3"/>
          <w:w w:val="105"/>
          <w:sz w:val="21"/>
        </w:rPr>
        <w:t>any </w:t>
      </w:r>
      <w:r>
        <w:rPr>
          <w:w w:val="105"/>
          <w:sz w:val="21"/>
        </w:rPr>
        <w:t>orders </w:t>
      </w:r>
      <w:r>
        <w:rPr>
          <w:spacing w:val="-3"/>
          <w:w w:val="105"/>
          <w:sz w:val="21"/>
        </w:rPr>
        <w:t>pursuant to </w:t>
      </w:r>
      <w:r>
        <w:rPr>
          <w:w w:val="105"/>
          <w:sz w:val="21"/>
        </w:rPr>
        <w:t>the </w:t>
      </w:r>
      <w:r>
        <w:rPr>
          <w:i/>
          <w:w w:val="105"/>
          <w:sz w:val="21"/>
        </w:rPr>
        <w:t>Dividing Fences Act</w:t>
      </w:r>
      <w:r>
        <w:rPr>
          <w:i/>
          <w:spacing w:val="49"/>
          <w:w w:val="105"/>
          <w:sz w:val="21"/>
        </w:rPr>
        <w:t> </w:t>
      </w:r>
      <w:r>
        <w:rPr>
          <w:i/>
          <w:spacing w:val="-8"/>
          <w:w w:val="105"/>
          <w:sz w:val="21"/>
        </w:rPr>
        <w:t>1991</w:t>
      </w:r>
    </w:p>
    <w:p>
      <w:pPr>
        <w:pStyle w:val="BodyText"/>
        <w:spacing w:before="4"/>
        <w:ind w:left="2721"/>
      </w:pPr>
      <w:r>
        <w:rPr>
          <w:w w:val="105"/>
        </w:rPr>
        <w:t>(NSW) concerning any portion of the fence that has not been damaged by the tree.</w:t>
      </w:r>
    </w:p>
    <w:p>
      <w:pPr>
        <w:pStyle w:val="ListParagraph"/>
        <w:numPr>
          <w:ilvl w:val="0"/>
          <w:numId w:val="79"/>
        </w:numPr>
        <w:tabs>
          <w:tab w:pos="2380" w:val="left" w:leader="none"/>
          <w:tab w:pos="2381" w:val="left" w:leader="none"/>
        </w:tabs>
        <w:spacing w:line="242" w:lineRule="auto" w:before="88" w:after="0"/>
        <w:ind w:left="2380" w:right="1632" w:hanging="793"/>
        <w:jc w:val="left"/>
        <w:rPr>
          <w:sz w:val="12"/>
        </w:rPr>
      </w:pPr>
      <w:r>
        <w:rPr>
          <w:sz w:val="21"/>
        </w:rPr>
        <w:t>The respondent </w:t>
      </w:r>
      <w:r>
        <w:rPr>
          <w:spacing w:val="-3"/>
          <w:sz w:val="21"/>
        </w:rPr>
        <w:t>to </w:t>
      </w:r>
      <w:r>
        <w:rPr>
          <w:sz w:val="21"/>
        </w:rPr>
        <w:t>the application is </w:t>
      </w:r>
      <w:r>
        <w:rPr>
          <w:spacing w:val="-3"/>
          <w:sz w:val="21"/>
        </w:rPr>
        <w:t>required  to  </w:t>
      </w:r>
      <w:r>
        <w:rPr>
          <w:sz w:val="21"/>
        </w:rPr>
        <w:t>file with the </w:t>
      </w:r>
      <w:r>
        <w:rPr>
          <w:spacing w:val="-3"/>
          <w:sz w:val="21"/>
        </w:rPr>
        <w:t>Court</w:t>
      </w:r>
      <w:r>
        <w:rPr>
          <w:spacing w:val="41"/>
          <w:sz w:val="21"/>
        </w:rPr>
        <w:t> </w:t>
      </w:r>
      <w:r>
        <w:rPr>
          <w:spacing w:val="-3"/>
          <w:sz w:val="21"/>
        </w:rPr>
        <w:t>any  </w:t>
      </w:r>
      <w:r>
        <w:rPr>
          <w:sz w:val="21"/>
        </w:rPr>
        <w:t>statements, reports, </w:t>
      </w:r>
      <w:r>
        <w:rPr>
          <w:spacing w:val="-3"/>
          <w:sz w:val="21"/>
        </w:rPr>
        <w:t>photographs </w:t>
      </w:r>
      <w:r>
        <w:rPr>
          <w:sz w:val="21"/>
        </w:rPr>
        <w:t>or other documents </w:t>
      </w:r>
      <w:r>
        <w:rPr>
          <w:spacing w:val="-3"/>
          <w:sz w:val="21"/>
        </w:rPr>
        <w:t>that </w:t>
      </w:r>
      <w:r>
        <w:rPr>
          <w:sz w:val="21"/>
        </w:rPr>
        <w:t>the respondent </w:t>
      </w:r>
      <w:r>
        <w:rPr>
          <w:spacing w:val="-3"/>
          <w:sz w:val="21"/>
        </w:rPr>
        <w:t>plans to </w:t>
      </w:r>
      <w:r>
        <w:rPr>
          <w:sz w:val="21"/>
        </w:rPr>
        <w:t>rely on at  the </w:t>
      </w:r>
      <w:r>
        <w:rPr>
          <w:spacing w:val="-3"/>
          <w:sz w:val="21"/>
        </w:rPr>
        <w:t>hearing. </w:t>
      </w:r>
      <w:r>
        <w:rPr>
          <w:sz w:val="21"/>
        </w:rPr>
        <w:t>This </w:t>
      </w:r>
      <w:r>
        <w:rPr>
          <w:spacing w:val="-3"/>
          <w:sz w:val="21"/>
        </w:rPr>
        <w:t>includes any </w:t>
      </w:r>
      <w:r>
        <w:rPr>
          <w:sz w:val="21"/>
        </w:rPr>
        <w:t>orders proposed by the respondent as an </w:t>
      </w:r>
      <w:r>
        <w:rPr>
          <w:spacing w:val="-3"/>
          <w:sz w:val="21"/>
        </w:rPr>
        <w:t>alternative to </w:t>
      </w:r>
      <w:r>
        <w:rPr>
          <w:sz w:val="21"/>
        </w:rPr>
        <w:t>or in addition </w:t>
      </w:r>
      <w:r>
        <w:rPr>
          <w:spacing w:val="-3"/>
          <w:sz w:val="21"/>
        </w:rPr>
        <w:t>to </w:t>
      </w:r>
      <w:r>
        <w:rPr>
          <w:sz w:val="21"/>
        </w:rPr>
        <w:t>the orders </w:t>
      </w:r>
      <w:r>
        <w:rPr>
          <w:spacing w:val="-3"/>
          <w:sz w:val="21"/>
        </w:rPr>
        <w:t>sought </w:t>
      </w:r>
      <w:r>
        <w:rPr>
          <w:sz w:val="21"/>
        </w:rPr>
        <w:t>by the </w:t>
      </w:r>
      <w:r>
        <w:rPr>
          <w:spacing w:val="-3"/>
          <w:sz w:val="21"/>
        </w:rPr>
        <w:t>applicant.  </w:t>
      </w:r>
      <w:r>
        <w:rPr>
          <w:sz w:val="21"/>
        </w:rPr>
        <w:t>If  the  respondent  wishes  </w:t>
      </w:r>
      <w:r>
        <w:rPr>
          <w:spacing w:val="-3"/>
          <w:sz w:val="21"/>
        </w:rPr>
        <w:t>to  retain  </w:t>
      </w:r>
      <w:r>
        <w:rPr>
          <w:sz w:val="21"/>
        </w:rPr>
        <w:t>the </w:t>
      </w:r>
      <w:r>
        <w:rPr>
          <w:spacing w:val="-3"/>
          <w:sz w:val="21"/>
        </w:rPr>
        <w:t>tree, </w:t>
      </w:r>
      <w:r>
        <w:rPr>
          <w:sz w:val="21"/>
        </w:rPr>
        <w:t>the NSWLEC requests </w:t>
      </w:r>
      <w:r>
        <w:rPr>
          <w:spacing w:val="-3"/>
          <w:sz w:val="21"/>
        </w:rPr>
        <w:t>that </w:t>
      </w:r>
      <w:r>
        <w:rPr>
          <w:sz w:val="21"/>
        </w:rPr>
        <w:t>the reply </w:t>
      </w:r>
      <w:r>
        <w:rPr>
          <w:spacing w:val="-3"/>
          <w:sz w:val="21"/>
        </w:rPr>
        <w:t>to </w:t>
      </w:r>
      <w:r>
        <w:rPr>
          <w:sz w:val="21"/>
        </w:rPr>
        <w:t>the proposed order </w:t>
      </w:r>
      <w:r>
        <w:rPr>
          <w:spacing w:val="-3"/>
          <w:sz w:val="21"/>
        </w:rPr>
        <w:t>include </w:t>
      </w:r>
      <w:r>
        <w:rPr>
          <w:spacing w:val="-6"/>
          <w:sz w:val="21"/>
        </w:rPr>
        <w:t>‘any </w:t>
      </w:r>
      <w:r>
        <w:rPr>
          <w:sz w:val="21"/>
        </w:rPr>
        <w:t>solution </w:t>
      </w:r>
      <w:r>
        <w:rPr>
          <w:spacing w:val="-3"/>
          <w:sz w:val="21"/>
        </w:rPr>
        <w:t>to prevent </w:t>
      </w:r>
      <w:r>
        <w:rPr>
          <w:sz w:val="21"/>
        </w:rPr>
        <w:t>the tree </w:t>
      </w:r>
      <w:r>
        <w:rPr>
          <w:spacing w:val="-3"/>
          <w:sz w:val="21"/>
        </w:rPr>
        <w:t>causing </w:t>
      </w:r>
      <w:r>
        <w:rPr>
          <w:sz w:val="21"/>
        </w:rPr>
        <w:t>damage </w:t>
      </w:r>
      <w:r>
        <w:rPr>
          <w:spacing w:val="-3"/>
          <w:sz w:val="21"/>
        </w:rPr>
        <w:t>to </w:t>
      </w:r>
      <w:r>
        <w:rPr>
          <w:sz w:val="21"/>
        </w:rPr>
        <w:t>the </w:t>
      </w:r>
      <w:r>
        <w:rPr>
          <w:spacing w:val="-3"/>
          <w:sz w:val="21"/>
        </w:rPr>
        <w:t>applicant’s </w:t>
      </w:r>
      <w:r>
        <w:rPr>
          <w:sz w:val="21"/>
        </w:rPr>
        <w:t>property, </w:t>
      </w:r>
      <w:r>
        <w:rPr>
          <w:spacing w:val="-3"/>
          <w:sz w:val="21"/>
        </w:rPr>
        <w:t>including any engineering </w:t>
      </w:r>
      <w:r>
        <w:rPr>
          <w:sz w:val="21"/>
        </w:rPr>
        <w:t>or construction </w:t>
      </w:r>
      <w:r>
        <w:rPr>
          <w:spacing w:val="-3"/>
          <w:sz w:val="21"/>
        </w:rPr>
        <w:t>solution, </w:t>
      </w:r>
      <w:r>
        <w:rPr>
          <w:sz w:val="21"/>
        </w:rPr>
        <w:t>which would enable the tree </w:t>
      </w:r>
      <w:r>
        <w:rPr>
          <w:spacing w:val="-3"/>
          <w:sz w:val="21"/>
        </w:rPr>
        <w:t>to </w:t>
      </w:r>
      <w:r>
        <w:rPr>
          <w:sz w:val="21"/>
        </w:rPr>
        <w:t>be</w:t>
      </w:r>
      <w:r>
        <w:rPr>
          <w:spacing w:val="21"/>
          <w:sz w:val="21"/>
        </w:rPr>
        <w:t> </w:t>
      </w:r>
      <w:r>
        <w:rPr>
          <w:spacing w:val="-3"/>
          <w:sz w:val="21"/>
        </w:rPr>
        <w:t>retained’.</w:t>
      </w:r>
      <w:r>
        <w:rPr>
          <w:spacing w:val="-3"/>
          <w:position w:val="7"/>
          <w:sz w:val="12"/>
        </w:rPr>
        <w:t>395</w:t>
      </w:r>
    </w:p>
    <w:p>
      <w:pPr>
        <w:pStyle w:val="BodyText"/>
        <w:rPr>
          <w:sz w:val="20"/>
        </w:rPr>
      </w:pPr>
    </w:p>
    <w:p>
      <w:pPr>
        <w:pStyle w:val="BodyText"/>
        <w:rPr>
          <w:sz w:val="20"/>
        </w:rPr>
      </w:pPr>
    </w:p>
    <w:p>
      <w:pPr>
        <w:pStyle w:val="BodyText"/>
        <w:rPr>
          <w:sz w:val="20"/>
        </w:rPr>
      </w:pPr>
    </w:p>
    <w:p>
      <w:pPr>
        <w:pStyle w:val="BodyText"/>
        <w:spacing w:before="4"/>
        <w:rPr>
          <w:sz w:val="27"/>
        </w:rPr>
      </w:pPr>
      <w:r>
        <w:rPr/>
        <w:pict>
          <v:line style="position:absolute;mso-position-horizontal-relative:page;mso-position-vertical-relative:paragraph;z-index:5552;mso-wrap-distance-left:0;mso-wrap-distance-right:0" from="79.370102pt,19.139528pt" to="515.905102pt,19.13952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spacing w:before="1"/>
        <w:rPr>
          <w:sz w:val="31"/>
        </w:rPr>
      </w:pPr>
    </w:p>
    <w:p>
      <w:pPr>
        <w:spacing w:before="0"/>
        <w:ind w:left="720" w:right="0" w:firstLine="0"/>
        <w:jc w:val="left"/>
        <w:rPr>
          <w:b/>
          <w:sz w:val="24"/>
        </w:rPr>
      </w:pPr>
      <w:r>
        <w:rPr>
          <w:b/>
          <w:color w:val="658464"/>
          <w:spacing w:val="-1"/>
          <w:w w:val="110"/>
          <w:sz w:val="24"/>
        </w:rPr>
        <w:t>106</w:t>
      </w:r>
    </w:p>
    <w:p>
      <w:pPr>
        <w:pStyle w:val="ListParagraph"/>
        <w:numPr>
          <w:ilvl w:val="0"/>
          <w:numId w:val="88"/>
        </w:numPr>
        <w:tabs>
          <w:tab w:pos="1222" w:val="left" w:leader="none"/>
          <w:tab w:pos="1223" w:val="left" w:leader="none"/>
        </w:tabs>
        <w:spacing w:line="240" w:lineRule="auto" w:before="48" w:after="0"/>
        <w:ind w:left="1222" w:right="1685" w:hanging="794"/>
        <w:jc w:val="both"/>
        <w:rPr>
          <w:sz w:val="13"/>
        </w:rPr>
      </w:pPr>
      <w:r>
        <w:rPr>
          <w:spacing w:val="-3"/>
          <w:w w:val="125"/>
          <w:sz w:val="13"/>
        </w:rPr>
        <w:br w:type="column"/>
      </w:r>
      <w:r>
        <w:rPr>
          <w:w w:val="105"/>
          <w:sz w:val="13"/>
        </w:rPr>
        <w:t>Consultation </w:t>
      </w:r>
      <w:r>
        <w:rPr>
          <w:spacing w:val="-6"/>
          <w:w w:val="105"/>
          <w:sz w:val="13"/>
        </w:rPr>
        <w:t>11 </w:t>
      </w:r>
      <w:r>
        <w:rPr>
          <w:spacing w:val="2"/>
          <w:w w:val="105"/>
          <w:sz w:val="13"/>
        </w:rPr>
        <w:t>(Land </w:t>
      </w:r>
      <w:r>
        <w:rPr>
          <w:w w:val="105"/>
          <w:sz w:val="13"/>
        </w:rPr>
        <w:t>and Environment Court of New South Wales); see Land and Environment Court of New South Wales, </w:t>
      </w:r>
      <w:r>
        <w:rPr>
          <w:i/>
          <w:w w:val="105"/>
          <w:sz w:val="13"/>
        </w:rPr>
        <w:t>Tree Disputes: </w:t>
      </w:r>
      <w:r>
        <w:rPr>
          <w:i/>
          <w:w w:val="105"/>
          <w:sz w:val="13"/>
        </w:rPr>
        <w:t>Understanding</w:t>
      </w:r>
      <w:r>
        <w:rPr>
          <w:i/>
          <w:spacing w:val="-13"/>
          <w:w w:val="105"/>
          <w:sz w:val="13"/>
        </w:rPr>
        <w:t> </w:t>
      </w:r>
      <w:r>
        <w:rPr>
          <w:i/>
          <w:w w:val="105"/>
          <w:sz w:val="13"/>
        </w:rPr>
        <w:t>the</w:t>
      </w:r>
      <w:r>
        <w:rPr>
          <w:i/>
          <w:spacing w:val="-13"/>
          <w:w w:val="105"/>
          <w:sz w:val="13"/>
        </w:rPr>
        <w:t> </w:t>
      </w:r>
      <w:r>
        <w:rPr>
          <w:i/>
          <w:w w:val="105"/>
          <w:sz w:val="13"/>
        </w:rPr>
        <w:t>Law</w:t>
      </w:r>
      <w:r>
        <w:rPr>
          <w:i/>
          <w:spacing w:val="-12"/>
          <w:w w:val="105"/>
          <w:sz w:val="13"/>
        </w:rPr>
        <w:t> </w:t>
      </w:r>
      <w:r>
        <w:rPr>
          <w:i/>
          <w:spacing w:val="2"/>
          <w:w w:val="105"/>
          <w:sz w:val="13"/>
        </w:rPr>
        <w:t>(Fact</w:t>
      </w:r>
      <w:r>
        <w:rPr>
          <w:i/>
          <w:spacing w:val="-13"/>
          <w:w w:val="105"/>
          <w:sz w:val="13"/>
        </w:rPr>
        <w:t> </w:t>
      </w:r>
      <w:r>
        <w:rPr>
          <w:i/>
          <w:w w:val="105"/>
          <w:sz w:val="13"/>
        </w:rPr>
        <w:t>Sheet)</w:t>
      </w:r>
      <w:r>
        <w:rPr>
          <w:i/>
          <w:spacing w:val="-12"/>
          <w:w w:val="105"/>
          <w:sz w:val="13"/>
        </w:rPr>
        <w:t> </w:t>
      </w:r>
      <w:r>
        <w:rPr>
          <w:spacing w:val="2"/>
          <w:w w:val="105"/>
          <w:sz w:val="13"/>
        </w:rPr>
        <w:t>&lt;</w:t>
      </w:r>
      <w:hyperlink r:id="rId115">
        <w:r>
          <w:rPr>
            <w:spacing w:val="2"/>
            <w:w w:val="105"/>
            <w:sz w:val="13"/>
          </w:rPr>
          <w:t>http://www.lec.justice.nsw.gov.au/Pages/types_of_disputes/class_2/Trees-hedge-disputes-process/</w:t>
        </w:r>
      </w:hyperlink>
      <w:r>
        <w:rPr>
          <w:spacing w:val="2"/>
          <w:w w:val="105"/>
          <w:sz w:val="13"/>
        </w:rPr>
        <w:t> </w:t>
      </w:r>
      <w:r>
        <w:rPr>
          <w:w w:val="105"/>
          <w:sz w:val="13"/>
        </w:rPr>
        <w:t>Treedisputes-helpfulmaterials/treedisputes_helpfulmaterial.aspx#Information_material&gt;.</w:t>
      </w:r>
    </w:p>
    <w:p>
      <w:pPr>
        <w:pStyle w:val="ListParagraph"/>
        <w:numPr>
          <w:ilvl w:val="0"/>
          <w:numId w:val="88"/>
        </w:numPr>
        <w:tabs>
          <w:tab w:pos="1222" w:val="left" w:leader="none"/>
          <w:tab w:pos="1223" w:val="left" w:leader="none"/>
        </w:tabs>
        <w:spacing w:line="240" w:lineRule="auto" w:before="4" w:after="0"/>
        <w:ind w:left="1222" w:right="1612" w:hanging="794"/>
        <w:jc w:val="both"/>
        <w:rPr>
          <w:sz w:val="13"/>
        </w:rPr>
      </w:pPr>
      <w:r>
        <w:rPr>
          <w:w w:val="105"/>
          <w:sz w:val="13"/>
        </w:rPr>
        <w:t>Land and Environment Court of New South Wales, </w:t>
      </w:r>
      <w:r>
        <w:rPr>
          <w:i/>
          <w:w w:val="105"/>
          <w:sz w:val="13"/>
        </w:rPr>
        <w:t>Form C: Tree Dispute Application </w:t>
      </w:r>
      <w:r>
        <w:rPr>
          <w:w w:val="105"/>
          <w:sz w:val="13"/>
        </w:rPr>
        <w:t>(Version </w:t>
      </w:r>
      <w:r>
        <w:rPr>
          <w:spacing w:val="2"/>
          <w:w w:val="105"/>
          <w:sz w:val="13"/>
        </w:rPr>
        <w:t>3) &lt;</w:t>
      </w:r>
      <w:hyperlink r:id="rId116">
        <w:r>
          <w:rPr>
            <w:spacing w:val="2"/>
            <w:w w:val="105"/>
            <w:sz w:val="13"/>
          </w:rPr>
          <w:t>http://www.lec.justice.nsw.gov.au/Pages/</w:t>
        </w:r>
      </w:hyperlink>
      <w:r>
        <w:rPr>
          <w:spacing w:val="2"/>
          <w:w w:val="105"/>
          <w:sz w:val="13"/>
        </w:rPr>
        <w:t> types_of_disputes/class_2/Trees-hedge-disputes-process/treedisputes_how.aspx&gt;.</w:t>
      </w:r>
    </w:p>
    <w:p>
      <w:pPr>
        <w:pStyle w:val="ListParagraph"/>
        <w:numPr>
          <w:ilvl w:val="0"/>
          <w:numId w:val="88"/>
        </w:numPr>
        <w:tabs>
          <w:tab w:pos="1222" w:val="left" w:leader="none"/>
          <w:tab w:pos="1223" w:val="left" w:leader="none"/>
        </w:tabs>
        <w:spacing w:line="240" w:lineRule="auto" w:before="3" w:after="0"/>
        <w:ind w:left="1222" w:right="0" w:hanging="794"/>
        <w:jc w:val="left"/>
        <w:rPr>
          <w:sz w:val="13"/>
        </w:rPr>
      </w:pPr>
      <w:r>
        <w:rPr>
          <w:sz w:val="13"/>
        </w:rPr>
        <w:t>Land</w:t>
      </w:r>
      <w:r>
        <w:rPr>
          <w:spacing w:val="10"/>
          <w:sz w:val="13"/>
        </w:rPr>
        <w:t> </w:t>
      </w:r>
      <w:r>
        <w:rPr>
          <w:sz w:val="13"/>
        </w:rPr>
        <w:t>and</w:t>
      </w:r>
      <w:r>
        <w:rPr>
          <w:spacing w:val="11"/>
          <w:sz w:val="13"/>
        </w:rPr>
        <w:t> </w:t>
      </w:r>
      <w:r>
        <w:rPr>
          <w:sz w:val="13"/>
        </w:rPr>
        <w:t>Environment</w:t>
      </w:r>
      <w:r>
        <w:rPr>
          <w:spacing w:val="10"/>
          <w:sz w:val="13"/>
        </w:rPr>
        <w:t> </w:t>
      </w:r>
      <w:r>
        <w:rPr>
          <w:sz w:val="13"/>
        </w:rPr>
        <w:t>Court</w:t>
      </w:r>
      <w:r>
        <w:rPr>
          <w:spacing w:val="11"/>
          <w:sz w:val="13"/>
        </w:rPr>
        <w:t> </w:t>
      </w:r>
      <w:r>
        <w:rPr>
          <w:sz w:val="13"/>
        </w:rPr>
        <w:t>of</w:t>
      </w:r>
      <w:r>
        <w:rPr>
          <w:spacing w:val="10"/>
          <w:sz w:val="13"/>
        </w:rPr>
        <w:t> </w:t>
      </w:r>
      <w:r>
        <w:rPr>
          <w:sz w:val="13"/>
        </w:rPr>
        <w:t>New</w:t>
      </w:r>
      <w:r>
        <w:rPr>
          <w:spacing w:val="11"/>
          <w:sz w:val="13"/>
        </w:rPr>
        <w:t> </w:t>
      </w:r>
      <w:r>
        <w:rPr>
          <w:sz w:val="13"/>
        </w:rPr>
        <w:t>South</w:t>
      </w:r>
      <w:r>
        <w:rPr>
          <w:spacing w:val="11"/>
          <w:sz w:val="13"/>
        </w:rPr>
        <w:t> </w:t>
      </w:r>
      <w:r>
        <w:rPr>
          <w:sz w:val="13"/>
        </w:rPr>
        <w:t>Wales,</w:t>
      </w:r>
      <w:r>
        <w:rPr>
          <w:spacing w:val="10"/>
          <w:sz w:val="13"/>
        </w:rPr>
        <w:t> </w:t>
      </w:r>
      <w:r>
        <w:rPr>
          <w:i/>
          <w:sz w:val="13"/>
        </w:rPr>
        <w:t>Form</w:t>
      </w:r>
      <w:r>
        <w:rPr>
          <w:i/>
          <w:spacing w:val="11"/>
          <w:sz w:val="13"/>
        </w:rPr>
        <w:t> </w:t>
      </w:r>
      <w:r>
        <w:rPr>
          <w:i/>
          <w:sz w:val="13"/>
        </w:rPr>
        <w:t>H:</w:t>
      </w:r>
      <w:r>
        <w:rPr>
          <w:i/>
          <w:spacing w:val="10"/>
          <w:sz w:val="13"/>
        </w:rPr>
        <w:t> </w:t>
      </w:r>
      <w:r>
        <w:rPr>
          <w:i/>
          <w:sz w:val="13"/>
        </w:rPr>
        <w:t>Tree</w:t>
      </w:r>
      <w:r>
        <w:rPr>
          <w:i/>
          <w:spacing w:val="11"/>
          <w:sz w:val="13"/>
        </w:rPr>
        <w:t> </w:t>
      </w:r>
      <w:r>
        <w:rPr>
          <w:i/>
          <w:sz w:val="13"/>
        </w:rPr>
        <w:t>Dispute</w:t>
      </w:r>
      <w:r>
        <w:rPr>
          <w:i/>
          <w:spacing w:val="10"/>
          <w:sz w:val="13"/>
        </w:rPr>
        <w:t> </w:t>
      </w:r>
      <w:r>
        <w:rPr>
          <w:i/>
          <w:sz w:val="13"/>
        </w:rPr>
        <w:t>Claim</w:t>
      </w:r>
      <w:r>
        <w:rPr>
          <w:i/>
          <w:spacing w:val="11"/>
          <w:sz w:val="13"/>
        </w:rPr>
        <w:t> </w:t>
      </w:r>
      <w:r>
        <w:rPr>
          <w:i/>
          <w:sz w:val="13"/>
        </w:rPr>
        <w:t>Details</w:t>
      </w:r>
      <w:r>
        <w:rPr>
          <w:i/>
          <w:spacing w:val="11"/>
          <w:sz w:val="13"/>
        </w:rPr>
        <w:t> </w:t>
      </w:r>
      <w:r>
        <w:rPr>
          <w:sz w:val="13"/>
        </w:rPr>
        <w:t>(Damage</w:t>
      </w:r>
      <w:r>
        <w:rPr>
          <w:spacing w:val="10"/>
          <w:sz w:val="13"/>
        </w:rPr>
        <w:t> </w:t>
      </w:r>
      <w:r>
        <w:rPr>
          <w:sz w:val="13"/>
        </w:rPr>
        <w:t>to</w:t>
      </w:r>
      <w:r>
        <w:rPr>
          <w:spacing w:val="11"/>
          <w:sz w:val="13"/>
        </w:rPr>
        <w:t> </w:t>
      </w:r>
      <w:r>
        <w:rPr>
          <w:spacing w:val="2"/>
          <w:sz w:val="13"/>
        </w:rPr>
        <w:t>Property</w:t>
      </w:r>
      <w:r>
        <w:rPr>
          <w:spacing w:val="10"/>
          <w:sz w:val="13"/>
        </w:rPr>
        <w:t> </w:t>
      </w:r>
      <w:r>
        <w:rPr>
          <w:sz w:val="13"/>
        </w:rPr>
        <w:t>or</w:t>
      </w:r>
      <w:r>
        <w:rPr>
          <w:spacing w:val="11"/>
          <w:sz w:val="13"/>
        </w:rPr>
        <w:t> </w:t>
      </w:r>
      <w:r>
        <w:rPr>
          <w:sz w:val="13"/>
        </w:rPr>
        <w:t>Injury</w:t>
      </w:r>
      <w:r>
        <w:rPr>
          <w:spacing w:val="11"/>
          <w:sz w:val="13"/>
        </w:rPr>
        <w:t> </w:t>
      </w:r>
      <w:r>
        <w:rPr>
          <w:sz w:val="13"/>
        </w:rPr>
        <w:t>to</w:t>
      </w:r>
      <w:r>
        <w:rPr>
          <w:spacing w:val="10"/>
          <w:sz w:val="13"/>
        </w:rPr>
        <w:t> </w:t>
      </w:r>
      <w:r>
        <w:rPr>
          <w:sz w:val="13"/>
        </w:rPr>
        <w:t>a</w:t>
      </w:r>
      <w:r>
        <w:rPr>
          <w:spacing w:val="11"/>
          <w:sz w:val="13"/>
        </w:rPr>
        <w:t> </w:t>
      </w:r>
      <w:r>
        <w:rPr>
          <w:sz w:val="13"/>
        </w:rPr>
        <w:t>Person)</w:t>
      </w:r>
      <w:r>
        <w:rPr>
          <w:spacing w:val="10"/>
          <w:sz w:val="13"/>
        </w:rPr>
        <w:t> </w:t>
      </w:r>
      <w:r>
        <w:rPr>
          <w:sz w:val="13"/>
        </w:rPr>
        <w:t>(Version</w:t>
      </w:r>
    </w:p>
    <w:p>
      <w:pPr>
        <w:pStyle w:val="ListParagraph"/>
        <w:numPr>
          <w:ilvl w:val="1"/>
          <w:numId w:val="88"/>
        </w:numPr>
        <w:tabs>
          <w:tab w:pos="1367" w:val="left" w:leader="none"/>
        </w:tabs>
        <w:spacing w:line="240" w:lineRule="auto" w:before="1" w:after="0"/>
        <w:ind w:left="1366" w:right="0" w:hanging="144"/>
        <w:jc w:val="left"/>
        <w:rPr>
          <w:sz w:val="13"/>
        </w:rPr>
      </w:pPr>
      <w:r>
        <w:rPr>
          <w:spacing w:val="2"/>
          <w:sz w:val="13"/>
        </w:rPr>
        <w:t>&lt;</w:t>
      </w:r>
      <w:hyperlink r:id="rId117">
        <w:r>
          <w:rPr>
            <w:spacing w:val="2"/>
            <w:sz w:val="13"/>
          </w:rPr>
          <w:t>http://www.lec.justice.nsw.gov.au/Pages/types_of_disputes/class_2/Trees-hedge-disputes-process/treedisputes_how.aspx</w:t>
        </w:r>
      </w:hyperlink>
      <w:r>
        <w:rPr>
          <w:spacing w:val="2"/>
          <w:sz w:val="13"/>
        </w:rPr>
        <w:t>&gt;.</w:t>
      </w:r>
    </w:p>
    <w:p>
      <w:pPr>
        <w:pStyle w:val="ListParagraph"/>
        <w:numPr>
          <w:ilvl w:val="0"/>
          <w:numId w:val="88"/>
        </w:numPr>
        <w:tabs>
          <w:tab w:pos="1222" w:val="left" w:leader="none"/>
          <w:tab w:pos="1223" w:val="left" w:leader="none"/>
        </w:tabs>
        <w:spacing w:line="240" w:lineRule="auto" w:before="1" w:after="0"/>
        <w:ind w:left="1222" w:right="0" w:hanging="793"/>
        <w:jc w:val="left"/>
        <w:rPr>
          <w:sz w:val="13"/>
        </w:rPr>
      </w:pPr>
      <w:r>
        <w:rPr>
          <w:w w:val="105"/>
          <w:sz w:val="13"/>
        </w:rPr>
        <w:t>Land</w:t>
      </w:r>
      <w:r>
        <w:rPr>
          <w:spacing w:val="5"/>
          <w:w w:val="105"/>
          <w:sz w:val="13"/>
        </w:rPr>
        <w:t> </w:t>
      </w:r>
      <w:r>
        <w:rPr>
          <w:w w:val="105"/>
          <w:sz w:val="13"/>
        </w:rPr>
        <w:t>and</w:t>
      </w:r>
      <w:r>
        <w:rPr>
          <w:spacing w:val="5"/>
          <w:w w:val="105"/>
          <w:sz w:val="13"/>
        </w:rPr>
        <w:t> </w:t>
      </w:r>
      <w:r>
        <w:rPr>
          <w:w w:val="105"/>
          <w:sz w:val="13"/>
        </w:rPr>
        <w:t>Environment</w:t>
      </w:r>
      <w:r>
        <w:rPr>
          <w:spacing w:val="5"/>
          <w:w w:val="105"/>
          <w:sz w:val="13"/>
        </w:rPr>
        <w:t> </w:t>
      </w:r>
      <w:r>
        <w:rPr>
          <w:w w:val="105"/>
          <w:sz w:val="13"/>
        </w:rPr>
        <w:t>Court</w:t>
      </w:r>
      <w:r>
        <w:rPr>
          <w:spacing w:val="5"/>
          <w:w w:val="105"/>
          <w:sz w:val="13"/>
        </w:rPr>
        <w:t> </w:t>
      </w:r>
      <w:r>
        <w:rPr>
          <w:w w:val="105"/>
          <w:sz w:val="13"/>
        </w:rPr>
        <w:t>of</w:t>
      </w:r>
      <w:r>
        <w:rPr>
          <w:spacing w:val="6"/>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r>
        <w:rPr>
          <w:spacing w:val="5"/>
          <w:w w:val="105"/>
          <w:sz w:val="13"/>
        </w:rPr>
        <w:t> </w:t>
      </w:r>
      <w:r>
        <w:rPr>
          <w:i/>
          <w:w w:val="105"/>
          <w:sz w:val="13"/>
        </w:rPr>
        <w:t>Practice</w:t>
      </w:r>
      <w:r>
        <w:rPr>
          <w:i/>
          <w:spacing w:val="6"/>
          <w:w w:val="105"/>
          <w:sz w:val="13"/>
        </w:rPr>
        <w:t> </w:t>
      </w:r>
      <w:r>
        <w:rPr>
          <w:i/>
          <w:w w:val="105"/>
          <w:sz w:val="13"/>
        </w:rPr>
        <w:t>Note</w:t>
      </w:r>
      <w:r>
        <w:rPr>
          <w:i/>
          <w:spacing w:val="5"/>
          <w:w w:val="105"/>
          <w:sz w:val="13"/>
        </w:rPr>
        <w:t> </w:t>
      </w:r>
      <w:r>
        <w:rPr>
          <w:i/>
          <w:w w:val="105"/>
          <w:sz w:val="13"/>
        </w:rPr>
        <w:t>Class</w:t>
      </w:r>
      <w:r>
        <w:rPr>
          <w:i/>
          <w:spacing w:val="5"/>
          <w:w w:val="105"/>
          <w:sz w:val="13"/>
        </w:rPr>
        <w:t> </w:t>
      </w:r>
      <w:r>
        <w:rPr>
          <w:i/>
          <w:w w:val="105"/>
          <w:sz w:val="13"/>
        </w:rPr>
        <w:t>2:</w:t>
      </w:r>
      <w:r>
        <w:rPr>
          <w:i/>
          <w:spacing w:val="5"/>
          <w:w w:val="105"/>
          <w:sz w:val="13"/>
        </w:rPr>
        <w:t> </w:t>
      </w:r>
      <w:r>
        <w:rPr>
          <w:i/>
          <w:w w:val="105"/>
          <w:sz w:val="13"/>
        </w:rPr>
        <w:t>Tree</w:t>
      </w:r>
      <w:r>
        <w:rPr>
          <w:i/>
          <w:spacing w:val="6"/>
          <w:w w:val="105"/>
          <w:sz w:val="13"/>
        </w:rPr>
        <w:t> </w:t>
      </w:r>
      <w:r>
        <w:rPr>
          <w:i/>
          <w:w w:val="105"/>
          <w:sz w:val="13"/>
        </w:rPr>
        <w:t>Applications,</w:t>
      </w:r>
      <w:r>
        <w:rPr>
          <w:i/>
          <w:spacing w:val="5"/>
          <w:w w:val="105"/>
          <w:sz w:val="13"/>
        </w:rPr>
        <w:t> </w:t>
      </w:r>
      <w:r>
        <w:rPr>
          <w:w w:val="105"/>
          <w:sz w:val="13"/>
        </w:rPr>
        <w:t>1</w:t>
      </w:r>
      <w:r>
        <w:rPr>
          <w:spacing w:val="5"/>
          <w:w w:val="105"/>
          <w:sz w:val="13"/>
        </w:rPr>
        <w:t> </w:t>
      </w:r>
      <w:r>
        <w:rPr>
          <w:w w:val="105"/>
          <w:sz w:val="13"/>
        </w:rPr>
        <w:t>December</w:t>
      </w:r>
      <w:r>
        <w:rPr>
          <w:spacing w:val="5"/>
          <w:w w:val="105"/>
          <w:sz w:val="13"/>
        </w:rPr>
        <w:t> </w:t>
      </w:r>
      <w:r>
        <w:rPr>
          <w:w w:val="105"/>
          <w:sz w:val="13"/>
        </w:rPr>
        <w:t>2018,</w:t>
      </w:r>
      <w:r>
        <w:rPr>
          <w:spacing w:val="5"/>
          <w:w w:val="105"/>
          <w:sz w:val="13"/>
        </w:rPr>
        <w:t> </w:t>
      </w:r>
      <w:r>
        <w:rPr>
          <w:w w:val="105"/>
          <w:sz w:val="13"/>
        </w:rPr>
        <w:t>sch</w:t>
      </w:r>
      <w:r>
        <w:rPr>
          <w:spacing w:val="6"/>
          <w:w w:val="105"/>
          <w:sz w:val="13"/>
        </w:rPr>
        <w:t> </w:t>
      </w:r>
      <w:r>
        <w:rPr>
          <w:w w:val="105"/>
          <w:sz w:val="13"/>
        </w:rPr>
        <w:t>A,</w:t>
      </w:r>
      <w:r>
        <w:rPr>
          <w:spacing w:val="5"/>
          <w:w w:val="105"/>
          <w:sz w:val="13"/>
        </w:rPr>
        <w:t> </w:t>
      </w:r>
      <w:r>
        <w:rPr>
          <w:w w:val="105"/>
          <w:sz w:val="13"/>
        </w:rPr>
        <w:t>cl</w:t>
      </w:r>
      <w:r>
        <w:rPr>
          <w:spacing w:val="5"/>
          <w:w w:val="105"/>
          <w:sz w:val="13"/>
        </w:rPr>
        <w:t> </w:t>
      </w:r>
      <w:r>
        <w:rPr>
          <w:w w:val="105"/>
          <w:sz w:val="13"/>
        </w:rPr>
        <w:t>10.</w:t>
      </w:r>
    </w:p>
    <w:p>
      <w:pPr>
        <w:spacing w:after="0" w:line="240" w:lineRule="auto"/>
        <w:jc w:val="left"/>
        <w:rPr>
          <w:sz w:val="13"/>
        </w:rPr>
        <w:sectPr>
          <w:type w:val="continuous"/>
          <w:pgSz w:w="11910" w:h="16840"/>
          <w:pgMar w:top="300" w:bottom="280" w:left="0" w:right="0"/>
          <w:cols w:num="2" w:equalWidth="0">
            <w:col w:w="1119" w:space="40"/>
            <w:col w:w="10751"/>
          </w:cols>
        </w:sectPr>
      </w:pPr>
    </w:p>
    <w:p>
      <w:pPr>
        <w:pStyle w:val="BodyText"/>
        <w:rPr>
          <w:sz w:val="20"/>
        </w:rPr>
      </w:pPr>
    </w:p>
    <w:p>
      <w:pPr>
        <w:pStyle w:val="BodyText"/>
        <w:spacing w:before="2"/>
        <w:rPr>
          <w:sz w:val="18"/>
        </w:rPr>
      </w:pPr>
    </w:p>
    <w:p>
      <w:pPr>
        <w:pStyle w:val="Heading7"/>
        <w:spacing w:before="96"/>
      </w:pPr>
      <w:r>
        <w:rPr>
          <w:w w:val="115"/>
        </w:rPr>
        <w:t>Queensland</w:t>
      </w:r>
    </w:p>
    <w:p>
      <w:pPr>
        <w:pStyle w:val="ListParagraph"/>
        <w:numPr>
          <w:ilvl w:val="0"/>
          <w:numId w:val="79"/>
        </w:numPr>
        <w:tabs>
          <w:tab w:pos="2380" w:val="left" w:leader="none"/>
          <w:tab w:pos="2381" w:val="left" w:leader="none"/>
        </w:tabs>
        <w:spacing w:line="242" w:lineRule="auto" w:before="143" w:after="0"/>
        <w:ind w:left="2381" w:right="1677" w:hanging="794"/>
        <w:jc w:val="left"/>
        <w:rPr>
          <w:sz w:val="12"/>
        </w:rPr>
      </w:pPr>
      <w:r>
        <w:rPr>
          <w:w w:val="105"/>
          <w:sz w:val="21"/>
        </w:rPr>
        <w:t>In </w:t>
      </w:r>
      <w:r>
        <w:rPr>
          <w:spacing w:val="-3"/>
          <w:w w:val="105"/>
          <w:sz w:val="21"/>
        </w:rPr>
        <w:t>Queensland </w:t>
      </w:r>
      <w:r>
        <w:rPr>
          <w:w w:val="105"/>
          <w:sz w:val="21"/>
        </w:rPr>
        <w:t>applicants </w:t>
      </w:r>
      <w:r>
        <w:rPr>
          <w:spacing w:val="-3"/>
          <w:w w:val="105"/>
          <w:sz w:val="21"/>
        </w:rPr>
        <w:t>are required to complete </w:t>
      </w:r>
      <w:r>
        <w:rPr>
          <w:w w:val="105"/>
          <w:sz w:val="21"/>
        </w:rPr>
        <w:t>a checklist </w:t>
      </w:r>
      <w:r>
        <w:rPr>
          <w:spacing w:val="-3"/>
          <w:w w:val="105"/>
          <w:sz w:val="21"/>
        </w:rPr>
        <w:t>to </w:t>
      </w:r>
      <w:r>
        <w:rPr>
          <w:w w:val="105"/>
          <w:sz w:val="21"/>
        </w:rPr>
        <w:t>assess whether their application </w:t>
      </w:r>
      <w:r>
        <w:rPr>
          <w:spacing w:val="-4"/>
          <w:w w:val="105"/>
          <w:sz w:val="21"/>
        </w:rPr>
        <w:t>falls </w:t>
      </w:r>
      <w:r>
        <w:rPr>
          <w:spacing w:val="-3"/>
          <w:w w:val="105"/>
          <w:sz w:val="21"/>
        </w:rPr>
        <w:t>within </w:t>
      </w:r>
      <w:r>
        <w:rPr>
          <w:spacing w:val="-5"/>
          <w:w w:val="105"/>
          <w:sz w:val="21"/>
        </w:rPr>
        <w:t>QCAT’s </w:t>
      </w:r>
      <w:r>
        <w:rPr>
          <w:w w:val="105"/>
          <w:sz w:val="21"/>
        </w:rPr>
        <w:t>jurisdiction and </w:t>
      </w:r>
      <w:r>
        <w:rPr>
          <w:spacing w:val="-3"/>
          <w:w w:val="105"/>
          <w:sz w:val="21"/>
        </w:rPr>
        <w:t>to ensure </w:t>
      </w:r>
      <w:r>
        <w:rPr>
          <w:w w:val="105"/>
          <w:sz w:val="21"/>
        </w:rPr>
        <w:t>the application </w:t>
      </w:r>
      <w:r>
        <w:rPr>
          <w:spacing w:val="-2"/>
          <w:w w:val="105"/>
          <w:sz w:val="21"/>
        </w:rPr>
        <w:t>has </w:t>
      </w:r>
      <w:r>
        <w:rPr>
          <w:w w:val="105"/>
          <w:sz w:val="21"/>
        </w:rPr>
        <w:t>been </w:t>
      </w:r>
      <w:r>
        <w:rPr>
          <w:spacing w:val="-3"/>
          <w:w w:val="105"/>
          <w:sz w:val="21"/>
        </w:rPr>
        <w:t>completed </w:t>
      </w:r>
      <w:r>
        <w:rPr>
          <w:w w:val="105"/>
          <w:sz w:val="21"/>
        </w:rPr>
        <w:t>and lodged correctly.</w:t>
      </w:r>
      <w:r>
        <w:rPr>
          <w:w w:val="105"/>
          <w:position w:val="7"/>
          <w:sz w:val="12"/>
        </w:rPr>
        <w:t>396 </w:t>
      </w:r>
      <w:r>
        <w:rPr>
          <w:w w:val="105"/>
          <w:sz w:val="21"/>
        </w:rPr>
        <w:t>The checklist asks whether the tree/s is located in a park</w:t>
      </w:r>
      <w:r>
        <w:rPr>
          <w:spacing w:val="-7"/>
          <w:w w:val="105"/>
          <w:sz w:val="21"/>
        </w:rPr>
        <w:t> </w:t>
      </w:r>
      <w:r>
        <w:rPr>
          <w:w w:val="105"/>
          <w:sz w:val="21"/>
        </w:rPr>
        <w:t>owned</w:t>
      </w:r>
      <w:r>
        <w:rPr>
          <w:spacing w:val="-7"/>
          <w:w w:val="105"/>
          <w:sz w:val="21"/>
        </w:rPr>
        <w:t> </w:t>
      </w:r>
      <w:r>
        <w:rPr>
          <w:w w:val="105"/>
          <w:sz w:val="21"/>
        </w:rPr>
        <w:t>by</w:t>
      </w:r>
      <w:r>
        <w:rPr>
          <w:spacing w:val="-6"/>
          <w:w w:val="105"/>
          <w:sz w:val="21"/>
        </w:rPr>
        <w:t> </w:t>
      </w:r>
      <w:r>
        <w:rPr>
          <w:w w:val="105"/>
          <w:sz w:val="21"/>
        </w:rPr>
        <w:t>the</w:t>
      </w:r>
      <w:r>
        <w:rPr>
          <w:spacing w:val="-7"/>
          <w:w w:val="105"/>
          <w:sz w:val="21"/>
        </w:rPr>
        <w:t> </w:t>
      </w:r>
      <w:r>
        <w:rPr>
          <w:w w:val="105"/>
          <w:sz w:val="21"/>
        </w:rPr>
        <w:t>local</w:t>
      </w:r>
      <w:r>
        <w:rPr>
          <w:spacing w:val="-7"/>
          <w:w w:val="105"/>
          <w:sz w:val="21"/>
        </w:rPr>
        <w:t> </w:t>
      </w:r>
      <w:r>
        <w:rPr>
          <w:spacing w:val="-3"/>
          <w:w w:val="105"/>
          <w:sz w:val="21"/>
        </w:rPr>
        <w:t>government</w:t>
      </w:r>
      <w:r>
        <w:rPr>
          <w:spacing w:val="-6"/>
          <w:w w:val="105"/>
          <w:sz w:val="21"/>
        </w:rPr>
        <w:t> </w:t>
      </w:r>
      <w:r>
        <w:rPr>
          <w:w w:val="105"/>
          <w:sz w:val="21"/>
        </w:rPr>
        <w:t>or</w:t>
      </w:r>
      <w:r>
        <w:rPr>
          <w:spacing w:val="-7"/>
          <w:w w:val="105"/>
          <w:sz w:val="21"/>
        </w:rPr>
        <w:t> </w:t>
      </w:r>
      <w:r>
        <w:rPr>
          <w:spacing w:val="-3"/>
          <w:w w:val="105"/>
          <w:sz w:val="21"/>
        </w:rPr>
        <w:t>council</w:t>
      </w:r>
      <w:r>
        <w:rPr>
          <w:spacing w:val="-7"/>
          <w:w w:val="105"/>
          <w:sz w:val="21"/>
        </w:rPr>
        <w:t> </w:t>
      </w:r>
      <w:r>
        <w:rPr>
          <w:w w:val="105"/>
          <w:sz w:val="21"/>
        </w:rPr>
        <w:t>or</w:t>
      </w:r>
      <w:r>
        <w:rPr>
          <w:spacing w:val="-6"/>
          <w:w w:val="105"/>
          <w:sz w:val="21"/>
        </w:rPr>
        <w:t> </w:t>
      </w:r>
      <w:r>
        <w:rPr>
          <w:w w:val="105"/>
          <w:sz w:val="21"/>
        </w:rPr>
        <w:t>on</w:t>
      </w:r>
      <w:r>
        <w:rPr>
          <w:spacing w:val="-7"/>
          <w:w w:val="105"/>
          <w:sz w:val="21"/>
        </w:rPr>
        <w:t> </w:t>
      </w:r>
      <w:r>
        <w:rPr>
          <w:w w:val="105"/>
          <w:sz w:val="21"/>
        </w:rPr>
        <w:t>a</w:t>
      </w:r>
      <w:r>
        <w:rPr>
          <w:spacing w:val="-7"/>
          <w:w w:val="105"/>
          <w:sz w:val="21"/>
        </w:rPr>
        <w:t> </w:t>
      </w:r>
      <w:r>
        <w:rPr>
          <w:w w:val="105"/>
          <w:sz w:val="21"/>
        </w:rPr>
        <w:t>community</w:t>
      </w:r>
      <w:r>
        <w:rPr>
          <w:spacing w:val="-6"/>
          <w:w w:val="105"/>
          <w:sz w:val="21"/>
        </w:rPr>
        <w:t> </w:t>
      </w:r>
      <w:r>
        <w:rPr>
          <w:w w:val="105"/>
          <w:sz w:val="21"/>
        </w:rPr>
        <w:t>reserve.</w:t>
      </w:r>
      <w:r>
        <w:rPr>
          <w:spacing w:val="-7"/>
          <w:w w:val="105"/>
          <w:sz w:val="21"/>
        </w:rPr>
        <w:t> </w:t>
      </w:r>
      <w:r>
        <w:rPr>
          <w:w w:val="105"/>
          <w:sz w:val="21"/>
        </w:rPr>
        <w:t>If</w:t>
      </w:r>
      <w:r>
        <w:rPr>
          <w:spacing w:val="-7"/>
          <w:w w:val="105"/>
          <w:sz w:val="21"/>
        </w:rPr>
        <w:t> </w:t>
      </w:r>
      <w:r>
        <w:rPr>
          <w:w w:val="105"/>
          <w:sz w:val="21"/>
        </w:rPr>
        <w:t>the</w:t>
      </w:r>
      <w:r>
        <w:rPr>
          <w:spacing w:val="-6"/>
          <w:w w:val="105"/>
          <w:sz w:val="21"/>
        </w:rPr>
        <w:t> </w:t>
      </w:r>
      <w:r>
        <w:rPr>
          <w:w w:val="105"/>
          <w:sz w:val="21"/>
        </w:rPr>
        <w:t>answer is yes, the </w:t>
      </w:r>
      <w:r>
        <w:rPr>
          <w:spacing w:val="-3"/>
          <w:w w:val="105"/>
          <w:sz w:val="21"/>
        </w:rPr>
        <w:t>applicant </w:t>
      </w:r>
      <w:r>
        <w:rPr>
          <w:w w:val="105"/>
          <w:sz w:val="21"/>
        </w:rPr>
        <w:t>is </w:t>
      </w:r>
      <w:r>
        <w:rPr>
          <w:spacing w:val="-3"/>
          <w:w w:val="105"/>
          <w:sz w:val="21"/>
        </w:rPr>
        <w:t>informed that </w:t>
      </w:r>
      <w:r>
        <w:rPr>
          <w:w w:val="105"/>
          <w:sz w:val="21"/>
        </w:rPr>
        <w:t>the tree/s is </w:t>
      </w:r>
      <w:r>
        <w:rPr>
          <w:spacing w:val="-2"/>
          <w:w w:val="105"/>
          <w:sz w:val="21"/>
        </w:rPr>
        <w:t>not </w:t>
      </w:r>
      <w:r>
        <w:rPr>
          <w:spacing w:val="-3"/>
          <w:w w:val="105"/>
          <w:sz w:val="21"/>
        </w:rPr>
        <w:t>within </w:t>
      </w:r>
      <w:r>
        <w:rPr>
          <w:spacing w:val="-5"/>
          <w:w w:val="105"/>
          <w:sz w:val="21"/>
        </w:rPr>
        <w:t>QCAT’s </w:t>
      </w:r>
      <w:r>
        <w:rPr>
          <w:w w:val="105"/>
          <w:sz w:val="21"/>
        </w:rPr>
        <w:t>jurisdiction and </w:t>
      </w:r>
      <w:r>
        <w:rPr>
          <w:spacing w:val="-3"/>
          <w:w w:val="105"/>
          <w:sz w:val="21"/>
        </w:rPr>
        <w:t>to </w:t>
      </w:r>
      <w:r>
        <w:rPr>
          <w:w w:val="105"/>
          <w:sz w:val="21"/>
        </w:rPr>
        <w:t>contact the </w:t>
      </w:r>
      <w:r>
        <w:rPr>
          <w:spacing w:val="-3"/>
          <w:w w:val="105"/>
          <w:sz w:val="21"/>
        </w:rPr>
        <w:t>relevant </w:t>
      </w:r>
      <w:r>
        <w:rPr>
          <w:w w:val="105"/>
          <w:sz w:val="21"/>
        </w:rPr>
        <w:t>local</w:t>
      </w:r>
      <w:r>
        <w:rPr>
          <w:spacing w:val="23"/>
          <w:w w:val="105"/>
          <w:sz w:val="21"/>
        </w:rPr>
        <w:t> </w:t>
      </w:r>
      <w:r>
        <w:rPr>
          <w:spacing w:val="-3"/>
          <w:w w:val="105"/>
          <w:sz w:val="21"/>
        </w:rPr>
        <w:t>council.</w:t>
      </w:r>
      <w:r>
        <w:rPr>
          <w:spacing w:val="-3"/>
          <w:w w:val="105"/>
          <w:position w:val="7"/>
          <w:sz w:val="12"/>
        </w:rPr>
        <w:t>397</w:t>
      </w:r>
    </w:p>
    <w:p>
      <w:pPr>
        <w:pStyle w:val="ListParagraph"/>
        <w:numPr>
          <w:ilvl w:val="0"/>
          <w:numId w:val="79"/>
        </w:numPr>
        <w:tabs>
          <w:tab w:pos="2380" w:val="left" w:leader="none"/>
          <w:tab w:pos="2381" w:val="left" w:leader="none"/>
        </w:tabs>
        <w:spacing w:line="240" w:lineRule="auto" w:before="127" w:after="0"/>
        <w:ind w:left="2381" w:right="0" w:hanging="794"/>
        <w:jc w:val="left"/>
        <w:rPr>
          <w:sz w:val="21"/>
        </w:rPr>
      </w:pPr>
      <w:r>
        <w:rPr>
          <w:w w:val="105"/>
          <w:sz w:val="21"/>
        </w:rPr>
        <w:t>In </w:t>
      </w:r>
      <w:r>
        <w:rPr>
          <w:spacing w:val="-3"/>
          <w:w w:val="105"/>
          <w:sz w:val="21"/>
        </w:rPr>
        <w:t>addition, </w:t>
      </w:r>
      <w:r>
        <w:rPr>
          <w:spacing w:val="-4"/>
          <w:w w:val="105"/>
          <w:sz w:val="21"/>
        </w:rPr>
        <w:t>QCAT </w:t>
      </w:r>
      <w:r>
        <w:rPr>
          <w:spacing w:val="-3"/>
          <w:w w:val="105"/>
          <w:sz w:val="21"/>
        </w:rPr>
        <w:t>requires </w:t>
      </w:r>
      <w:r>
        <w:rPr>
          <w:w w:val="105"/>
          <w:sz w:val="21"/>
        </w:rPr>
        <w:t>applicants </w:t>
      </w:r>
      <w:r>
        <w:rPr>
          <w:spacing w:val="-3"/>
          <w:w w:val="105"/>
          <w:sz w:val="21"/>
        </w:rPr>
        <w:t>to </w:t>
      </w:r>
      <w:r>
        <w:rPr>
          <w:w w:val="105"/>
          <w:sz w:val="21"/>
        </w:rPr>
        <w:t>provide </w:t>
      </w:r>
      <w:r>
        <w:rPr>
          <w:spacing w:val="-3"/>
          <w:w w:val="105"/>
          <w:sz w:val="21"/>
        </w:rPr>
        <w:t>information</w:t>
      </w:r>
      <w:r>
        <w:rPr>
          <w:spacing w:val="1"/>
          <w:w w:val="105"/>
          <w:sz w:val="21"/>
        </w:rPr>
        <w:t> </w:t>
      </w:r>
      <w:r>
        <w:rPr>
          <w:w w:val="105"/>
          <w:sz w:val="21"/>
        </w:rPr>
        <w:t>about:</w:t>
      </w:r>
    </w:p>
    <w:p>
      <w:pPr>
        <w:pStyle w:val="ListParagraph"/>
        <w:numPr>
          <w:ilvl w:val="1"/>
          <w:numId w:val="79"/>
        </w:numPr>
        <w:tabs>
          <w:tab w:pos="2721" w:val="left" w:leader="none"/>
          <w:tab w:pos="2722" w:val="left" w:leader="none"/>
        </w:tabs>
        <w:spacing w:line="242" w:lineRule="auto" w:before="123" w:after="0"/>
        <w:ind w:left="2721" w:right="2039" w:hanging="340"/>
        <w:jc w:val="left"/>
        <w:rPr>
          <w:sz w:val="21"/>
        </w:rPr>
      </w:pPr>
      <w:r>
        <w:rPr>
          <w:sz w:val="21"/>
        </w:rPr>
        <w:t>the </w:t>
      </w:r>
      <w:r>
        <w:rPr>
          <w:spacing w:val="-3"/>
          <w:sz w:val="21"/>
        </w:rPr>
        <w:t>applicant’s </w:t>
      </w:r>
      <w:r>
        <w:rPr>
          <w:sz w:val="21"/>
        </w:rPr>
        <w:t>connection with the </w:t>
      </w:r>
      <w:r>
        <w:rPr>
          <w:spacing w:val="-3"/>
          <w:sz w:val="21"/>
        </w:rPr>
        <w:t>land that </w:t>
      </w:r>
      <w:r>
        <w:rPr>
          <w:sz w:val="21"/>
        </w:rPr>
        <w:t>is affected by the tree </w:t>
      </w:r>
      <w:r>
        <w:rPr>
          <w:spacing w:val="-3"/>
          <w:sz w:val="21"/>
        </w:rPr>
        <w:t>(for example, </w:t>
      </w:r>
      <w:r>
        <w:rPr>
          <w:sz w:val="21"/>
        </w:rPr>
        <w:t>whether</w:t>
      </w:r>
      <w:r>
        <w:rPr>
          <w:spacing w:val="10"/>
          <w:sz w:val="21"/>
        </w:rPr>
        <w:t> </w:t>
      </w:r>
      <w:r>
        <w:rPr>
          <w:sz w:val="21"/>
        </w:rPr>
        <w:t>the</w:t>
      </w:r>
      <w:r>
        <w:rPr>
          <w:spacing w:val="10"/>
          <w:sz w:val="21"/>
        </w:rPr>
        <w:t> </w:t>
      </w:r>
      <w:r>
        <w:rPr>
          <w:spacing w:val="-3"/>
          <w:sz w:val="21"/>
        </w:rPr>
        <w:t>applicant</w:t>
      </w:r>
      <w:r>
        <w:rPr>
          <w:spacing w:val="10"/>
          <w:sz w:val="21"/>
        </w:rPr>
        <w:t> </w:t>
      </w:r>
      <w:r>
        <w:rPr>
          <w:sz w:val="21"/>
        </w:rPr>
        <w:t>is</w:t>
      </w:r>
      <w:r>
        <w:rPr>
          <w:spacing w:val="10"/>
          <w:sz w:val="21"/>
        </w:rPr>
        <w:t> </w:t>
      </w:r>
      <w:r>
        <w:rPr>
          <w:sz w:val="21"/>
        </w:rPr>
        <w:t>an</w:t>
      </w:r>
      <w:r>
        <w:rPr>
          <w:spacing w:val="10"/>
          <w:sz w:val="21"/>
        </w:rPr>
        <w:t> </w:t>
      </w:r>
      <w:r>
        <w:rPr>
          <w:sz w:val="21"/>
        </w:rPr>
        <w:t>owner</w:t>
      </w:r>
      <w:r>
        <w:rPr>
          <w:spacing w:val="10"/>
          <w:sz w:val="21"/>
        </w:rPr>
        <w:t> </w:t>
      </w:r>
      <w:r>
        <w:rPr>
          <w:sz w:val="21"/>
        </w:rPr>
        <w:t>or</w:t>
      </w:r>
      <w:r>
        <w:rPr>
          <w:spacing w:val="11"/>
          <w:sz w:val="21"/>
        </w:rPr>
        <w:t> </w:t>
      </w:r>
      <w:r>
        <w:rPr>
          <w:spacing w:val="-3"/>
          <w:sz w:val="21"/>
        </w:rPr>
        <w:t>occupier</w:t>
      </w:r>
      <w:r>
        <w:rPr>
          <w:spacing w:val="10"/>
          <w:sz w:val="21"/>
        </w:rPr>
        <w:t> </w:t>
      </w:r>
      <w:r>
        <w:rPr>
          <w:sz w:val="21"/>
        </w:rPr>
        <w:t>of</w:t>
      </w:r>
      <w:r>
        <w:rPr>
          <w:spacing w:val="10"/>
          <w:sz w:val="21"/>
        </w:rPr>
        <w:t> </w:t>
      </w:r>
      <w:r>
        <w:rPr>
          <w:sz w:val="21"/>
        </w:rPr>
        <w:t>land)</w:t>
      </w:r>
    </w:p>
    <w:p>
      <w:pPr>
        <w:pStyle w:val="ListParagraph"/>
        <w:numPr>
          <w:ilvl w:val="1"/>
          <w:numId w:val="79"/>
        </w:numPr>
        <w:tabs>
          <w:tab w:pos="2721" w:val="left" w:leader="none"/>
          <w:tab w:pos="2722" w:val="left" w:leader="none"/>
        </w:tabs>
        <w:spacing w:line="242" w:lineRule="auto" w:before="88" w:after="0"/>
        <w:ind w:left="2721" w:right="1987" w:hanging="340"/>
        <w:jc w:val="left"/>
        <w:rPr>
          <w:sz w:val="21"/>
        </w:rPr>
      </w:pPr>
      <w:r>
        <w:rPr>
          <w:w w:val="105"/>
          <w:sz w:val="21"/>
        </w:rPr>
        <w:t>if</w:t>
      </w:r>
      <w:r>
        <w:rPr>
          <w:spacing w:val="-6"/>
          <w:w w:val="105"/>
          <w:sz w:val="21"/>
        </w:rPr>
        <w:t> </w:t>
      </w:r>
      <w:r>
        <w:rPr>
          <w:w w:val="105"/>
          <w:sz w:val="21"/>
        </w:rPr>
        <w:t>the</w:t>
      </w:r>
      <w:r>
        <w:rPr>
          <w:spacing w:val="-5"/>
          <w:w w:val="105"/>
          <w:sz w:val="21"/>
        </w:rPr>
        <w:t> </w:t>
      </w:r>
      <w:r>
        <w:rPr>
          <w:spacing w:val="-3"/>
          <w:w w:val="105"/>
          <w:sz w:val="21"/>
        </w:rPr>
        <w:t>applicant</w:t>
      </w:r>
      <w:r>
        <w:rPr>
          <w:spacing w:val="-5"/>
          <w:w w:val="105"/>
          <w:sz w:val="21"/>
        </w:rPr>
        <w:t> </w:t>
      </w:r>
      <w:r>
        <w:rPr>
          <w:w w:val="105"/>
          <w:sz w:val="21"/>
        </w:rPr>
        <w:t>is</w:t>
      </w:r>
      <w:r>
        <w:rPr>
          <w:spacing w:val="-5"/>
          <w:w w:val="105"/>
          <w:sz w:val="21"/>
        </w:rPr>
        <w:t> </w:t>
      </w:r>
      <w:r>
        <w:rPr>
          <w:w w:val="105"/>
          <w:sz w:val="21"/>
        </w:rPr>
        <w:t>an</w:t>
      </w:r>
      <w:r>
        <w:rPr>
          <w:spacing w:val="-5"/>
          <w:w w:val="105"/>
          <w:sz w:val="21"/>
        </w:rPr>
        <w:t> </w:t>
      </w:r>
      <w:r>
        <w:rPr>
          <w:spacing w:val="-4"/>
          <w:w w:val="105"/>
          <w:sz w:val="21"/>
        </w:rPr>
        <w:t>occupier,</w:t>
      </w:r>
      <w:r>
        <w:rPr>
          <w:spacing w:val="-5"/>
          <w:w w:val="105"/>
          <w:sz w:val="21"/>
        </w:rPr>
        <w:t> </w:t>
      </w:r>
      <w:r>
        <w:rPr>
          <w:w w:val="105"/>
          <w:sz w:val="21"/>
        </w:rPr>
        <w:t>the</w:t>
      </w:r>
      <w:r>
        <w:rPr>
          <w:spacing w:val="-5"/>
          <w:w w:val="105"/>
          <w:sz w:val="21"/>
        </w:rPr>
        <w:t> </w:t>
      </w:r>
      <w:r>
        <w:rPr>
          <w:w w:val="105"/>
          <w:sz w:val="21"/>
        </w:rPr>
        <w:t>details</w:t>
      </w:r>
      <w:r>
        <w:rPr>
          <w:spacing w:val="-5"/>
          <w:w w:val="105"/>
          <w:sz w:val="21"/>
        </w:rPr>
        <w:t> </w:t>
      </w:r>
      <w:r>
        <w:rPr>
          <w:w w:val="105"/>
          <w:sz w:val="21"/>
        </w:rPr>
        <w:t>of</w:t>
      </w:r>
      <w:r>
        <w:rPr>
          <w:spacing w:val="-5"/>
          <w:w w:val="105"/>
          <w:sz w:val="21"/>
        </w:rPr>
        <w:t> </w:t>
      </w:r>
      <w:r>
        <w:rPr>
          <w:w w:val="105"/>
          <w:sz w:val="21"/>
        </w:rPr>
        <w:t>the</w:t>
      </w:r>
      <w:r>
        <w:rPr>
          <w:spacing w:val="-5"/>
          <w:w w:val="105"/>
          <w:sz w:val="21"/>
        </w:rPr>
        <w:t> </w:t>
      </w:r>
      <w:r>
        <w:rPr>
          <w:w w:val="105"/>
          <w:sz w:val="21"/>
        </w:rPr>
        <w:t>owner;</w:t>
      </w:r>
      <w:r>
        <w:rPr>
          <w:spacing w:val="-5"/>
          <w:w w:val="105"/>
          <w:sz w:val="21"/>
        </w:rPr>
        <w:t> </w:t>
      </w:r>
      <w:r>
        <w:rPr>
          <w:w w:val="105"/>
          <w:sz w:val="21"/>
        </w:rPr>
        <w:t>whether</w:t>
      </w:r>
      <w:r>
        <w:rPr>
          <w:spacing w:val="-5"/>
          <w:w w:val="105"/>
          <w:sz w:val="21"/>
        </w:rPr>
        <w:t> </w:t>
      </w:r>
      <w:r>
        <w:rPr>
          <w:w w:val="105"/>
          <w:sz w:val="21"/>
        </w:rPr>
        <w:t>the</w:t>
      </w:r>
      <w:r>
        <w:rPr>
          <w:spacing w:val="-5"/>
          <w:w w:val="105"/>
          <w:sz w:val="21"/>
        </w:rPr>
        <w:t> </w:t>
      </w:r>
      <w:r>
        <w:rPr>
          <w:spacing w:val="-3"/>
          <w:w w:val="105"/>
          <w:sz w:val="21"/>
        </w:rPr>
        <w:t>applicant</w:t>
      </w:r>
      <w:r>
        <w:rPr>
          <w:spacing w:val="-5"/>
          <w:w w:val="105"/>
          <w:sz w:val="21"/>
        </w:rPr>
        <w:t> </w:t>
      </w:r>
      <w:r>
        <w:rPr>
          <w:spacing w:val="-2"/>
          <w:w w:val="105"/>
          <w:sz w:val="21"/>
        </w:rPr>
        <w:t>has </w:t>
      </w:r>
      <w:r>
        <w:rPr>
          <w:spacing w:val="-3"/>
          <w:w w:val="105"/>
          <w:sz w:val="21"/>
        </w:rPr>
        <w:t>asked </w:t>
      </w:r>
      <w:r>
        <w:rPr>
          <w:w w:val="105"/>
          <w:sz w:val="21"/>
        </w:rPr>
        <w:t>the owner </w:t>
      </w:r>
      <w:r>
        <w:rPr>
          <w:spacing w:val="-3"/>
          <w:w w:val="105"/>
          <w:sz w:val="21"/>
        </w:rPr>
        <w:t>to </w:t>
      </w:r>
      <w:r>
        <w:rPr>
          <w:spacing w:val="-4"/>
          <w:w w:val="105"/>
          <w:sz w:val="21"/>
        </w:rPr>
        <w:t>make </w:t>
      </w:r>
      <w:r>
        <w:rPr>
          <w:w w:val="105"/>
          <w:sz w:val="21"/>
        </w:rPr>
        <w:t>an application about the tree; and whether the owner </w:t>
      </w:r>
      <w:r>
        <w:rPr>
          <w:spacing w:val="-3"/>
          <w:w w:val="105"/>
          <w:sz w:val="21"/>
        </w:rPr>
        <w:t>refused</w:t>
      </w:r>
    </w:p>
    <w:p>
      <w:pPr>
        <w:pStyle w:val="ListParagraph"/>
        <w:numPr>
          <w:ilvl w:val="1"/>
          <w:numId w:val="79"/>
        </w:numPr>
        <w:tabs>
          <w:tab w:pos="2721" w:val="left" w:leader="none"/>
          <w:tab w:pos="2722" w:val="left" w:leader="none"/>
        </w:tabs>
        <w:spacing w:line="240" w:lineRule="auto" w:before="88" w:after="0"/>
        <w:ind w:left="2721" w:right="0" w:hanging="340"/>
        <w:jc w:val="left"/>
        <w:rPr>
          <w:sz w:val="21"/>
        </w:rPr>
      </w:pPr>
      <w:r>
        <w:rPr>
          <w:sz w:val="21"/>
        </w:rPr>
        <w:t>whether</w:t>
      </w:r>
      <w:r>
        <w:rPr>
          <w:spacing w:val="9"/>
          <w:sz w:val="21"/>
        </w:rPr>
        <w:t> </w:t>
      </w:r>
      <w:r>
        <w:rPr>
          <w:sz w:val="21"/>
        </w:rPr>
        <w:t>the</w:t>
      </w:r>
      <w:r>
        <w:rPr>
          <w:spacing w:val="9"/>
          <w:sz w:val="21"/>
        </w:rPr>
        <w:t> </w:t>
      </w:r>
      <w:r>
        <w:rPr>
          <w:spacing w:val="-3"/>
          <w:sz w:val="21"/>
        </w:rPr>
        <w:t>applicant</w:t>
      </w:r>
      <w:r>
        <w:rPr>
          <w:spacing w:val="9"/>
          <w:sz w:val="21"/>
        </w:rPr>
        <w:t> </w:t>
      </w:r>
      <w:r>
        <w:rPr>
          <w:spacing w:val="-2"/>
          <w:sz w:val="21"/>
        </w:rPr>
        <w:t>has</w:t>
      </w:r>
      <w:r>
        <w:rPr>
          <w:spacing w:val="9"/>
          <w:sz w:val="21"/>
        </w:rPr>
        <w:t> </w:t>
      </w:r>
      <w:r>
        <w:rPr>
          <w:sz w:val="21"/>
        </w:rPr>
        <w:t>attempted</w:t>
      </w:r>
      <w:r>
        <w:rPr>
          <w:spacing w:val="9"/>
          <w:sz w:val="21"/>
        </w:rPr>
        <w:t> </w:t>
      </w:r>
      <w:r>
        <w:rPr>
          <w:spacing w:val="-3"/>
          <w:sz w:val="21"/>
        </w:rPr>
        <w:t>to</w:t>
      </w:r>
      <w:r>
        <w:rPr>
          <w:spacing w:val="9"/>
          <w:sz w:val="21"/>
        </w:rPr>
        <w:t> </w:t>
      </w:r>
      <w:r>
        <w:rPr>
          <w:sz w:val="21"/>
        </w:rPr>
        <w:t>resolve</w:t>
      </w:r>
      <w:r>
        <w:rPr>
          <w:spacing w:val="9"/>
          <w:sz w:val="21"/>
        </w:rPr>
        <w:t> </w:t>
      </w:r>
      <w:r>
        <w:rPr>
          <w:sz w:val="21"/>
        </w:rPr>
        <w:t>the</w:t>
      </w:r>
      <w:r>
        <w:rPr>
          <w:spacing w:val="9"/>
          <w:sz w:val="21"/>
        </w:rPr>
        <w:t> </w:t>
      </w:r>
      <w:r>
        <w:rPr>
          <w:spacing w:val="-3"/>
          <w:sz w:val="21"/>
        </w:rPr>
        <w:t>dispute</w:t>
      </w:r>
    </w:p>
    <w:p>
      <w:pPr>
        <w:pStyle w:val="ListParagraph"/>
        <w:numPr>
          <w:ilvl w:val="1"/>
          <w:numId w:val="79"/>
        </w:numPr>
        <w:tabs>
          <w:tab w:pos="2721" w:val="left" w:leader="none"/>
          <w:tab w:pos="2722" w:val="left" w:leader="none"/>
        </w:tabs>
        <w:spacing w:line="242" w:lineRule="auto" w:before="89" w:after="0"/>
        <w:ind w:left="2721" w:right="1632" w:hanging="340"/>
        <w:jc w:val="left"/>
        <w:rPr>
          <w:sz w:val="12"/>
        </w:rPr>
      </w:pPr>
      <w:r>
        <w:rPr>
          <w:spacing w:val="-4"/>
          <w:w w:val="105"/>
          <w:sz w:val="21"/>
        </w:rPr>
        <w:t>whether, </w:t>
      </w:r>
      <w:r>
        <w:rPr>
          <w:w w:val="105"/>
          <w:sz w:val="21"/>
        </w:rPr>
        <w:t>if the </w:t>
      </w:r>
      <w:r>
        <w:rPr>
          <w:spacing w:val="-3"/>
          <w:w w:val="105"/>
          <w:sz w:val="21"/>
        </w:rPr>
        <w:t>dispute </w:t>
      </w:r>
      <w:r>
        <w:rPr>
          <w:w w:val="105"/>
          <w:sz w:val="21"/>
        </w:rPr>
        <w:t>is about </w:t>
      </w:r>
      <w:r>
        <w:rPr>
          <w:spacing w:val="-3"/>
          <w:w w:val="105"/>
          <w:sz w:val="21"/>
        </w:rPr>
        <w:t>overhanging branches, </w:t>
      </w:r>
      <w:r>
        <w:rPr>
          <w:w w:val="105"/>
          <w:sz w:val="21"/>
        </w:rPr>
        <w:t>the </w:t>
      </w:r>
      <w:r>
        <w:rPr>
          <w:spacing w:val="-3"/>
          <w:w w:val="105"/>
          <w:sz w:val="21"/>
        </w:rPr>
        <w:t>branches </w:t>
      </w:r>
      <w:r>
        <w:rPr>
          <w:w w:val="105"/>
          <w:sz w:val="21"/>
        </w:rPr>
        <w:t>extend over the </w:t>
      </w:r>
      <w:r>
        <w:rPr>
          <w:spacing w:val="-3"/>
          <w:w w:val="105"/>
          <w:sz w:val="21"/>
        </w:rPr>
        <w:t>applicant’s</w:t>
      </w:r>
      <w:r>
        <w:rPr>
          <w:spacing w:val="-8"/>
          <w:w w:val="105"/>
          <w:sz w:val="21"/>
        </w:rPr>
        <w:t> </w:t>
      </w:r>
      <w:r>
        <w:rPr>
          <w:w w:val="105"/>
          <w:sz w:val="21"/>
        </w:rPr>
        <w:t>property</w:t>
      </w:r>
      <w:r>
        <w:rPr>
          <w:spacing w:val="-7"/>
          <w:w w:val="105"/>
          <w:sz w:val="21"/>
        </w:rPr>
        <w:t> </w:t>
      </w:r>
      <w:r>
        <w:rPr>
          <w:w w:val="105"/>
          <w:sz w:val="21"/>
        </w:rPr>
        <w:t>50</w:t>
      </w:r>
      <w:r>
        <w:rPr>
          <w:spacing w:val="-7"/>
          <w:w w:val="105"/>
          <w:sz w:val="21"/>
        </w:rPr>
        <w:t> </w:t>
      </w:r>
      <w:r>
        <w:rPr>
          <w:w w:val="105"/>
          <w:sz w:val="21"/>
        </w:rPr>
        <w:t>metres</w:t>
      </w:r>
      <w:r>
        <w:rPr>
          <w:spacing w:val="-8"/>
          <w:w w:val="105"/>
          <w:sz w:val="21"/>
        </w:rPr>
        <w:t> </w:t>
      </w:r>
      <w:r>
        <w:rPr>
          <w:w w:val="105"/>
          <w:sz w:val="21"/>
        </w:rPr>
        <w:t>or</w:t>
      </w:r>
      <w:r>
        <w:rPr>
          <w:spacing w:val="-7"/>
          <w:w w:val="105"/>
          <w:sz w:val="21"/>
        </w:rPr>
        <w:t> </w:t>
      </w:r>
      <w:r>
        <w:rPr>
          <w:w w:val="105"/>
          <w:sz w:val="21"/>
        </w:rPr>
        <w:t>more</w:t>
      </w:r>
      <w:r>
        <w:rPr>
          <w:spacing w:val="-7"/>
          <w:w w:val="105"/>
          <w:sz w:val="21"/>
        </w:rPr>
        <w:t> </w:t>
      </w:r>
      <w:r>
        <w:rPr>
          <w:spacing w:val="-3"/>
          <w:w w:val="105"/>
          <w:sz w:val="21"/>
        </w:rPr>
        <w:t>from</w:t>
      </w:r>
      <w:r>
        <w:rPr>
          <w:spacing w:val="-8"/>
          <w:w w:val="105"/>
          <w:sz w:val="21"/>
        </w:rPr>
        <w:t> </w:t>
      </w:r>
      <w:r>
        <w:rPr>
          <w:w w:val="105"/>
          <w:sz w:val="21"/>
        </w:rPr>
        <w:t>the</w:t>
      </w:r>
      <w:r>
        <w:rPr>
          <w:spacing w:val="-7"/>
          <w:w w:val="105"/>
          <w:sz w:val="21"/>
        </w:rPr>
        <w:t> </w:t>
      </w:r>
      <w:r>
        <w:rPr>
          <w:spacing w:val="-2"/>
          <w:w w:val="105"/>
          <w:sz w:val="21"/>
        </w:rPr>
        <w:t>common</w:t>
      </w:r>
      <w:r>
        <w:rPr>
          <w:spacing w:val="-7"/>
          <w:w w:val="105"/>
          <w:sz w:val="21"/>
        </w:rPr>
        <w:t> </w:t>
      </w:r>
      <w:r>
        <w:rPr>
          <w:w w:val="105"/>
          <w:sz w:val="21"/>
        </w:rPr>
        <w:t>boundary</w:t>
      </w:r>
      <w:r>
        <w:rPr>
          <w:spacing w:val="-8"/>
          <w:w w:val="105"/>
          <w:sz w:val="21"/>
        </w:rPr>
        <w:t> </w:t>
      </w:r>
      <w:r>
        <w:rPr>
          <w:w w:val="105"/>
          <w:sz w:val="21"/>
        </w:rPr>
        <w:t>and</w:t>
      </w:r>
      <w:r>
        <w:rPr>
          <w:spacing w:val="-7"/>
          <w:w w:val="105"/>
          <w:sz w:val="21"/>
        </w:rPr>
        <w:t> </w:t>
      </w:r>
      <w:r>
        <w:rPr>
          <w:w w:val="105"/>
          <w:sz w:val="21"/>
        </w:rPr>
        <w:t>whether</w:t>
      </w:r>
      <w:r>
        <w:rPr>
          <w:spacing w:val="-7"/>
          <w:w w:val="105"/>
          <w:sz w:val="21"/>
        </w:rPr>
        <w:t> </w:t>
      </w:r>
      <w:r>
        <w:rPr>
          <w:w w:val="105"/>
          <w:sz w:val="21"/>
        </w:rPr>
        <w:t>the </w:t>
      </w:r>
      <w:r>
        <w:rPr>
          <w:spacing w:val="-3"/>
          <w:w w:val="105"/>
          <w:sz w:val="21"/>
        </w:rPr>
        <w:t>branches are </w:t>
      </w:r>
      <w:r>
        <w:rPr>
          <w:w w:val="105"/>
          <w:sz w:val="21"/>
        </w:rPr>
        <w:t>more </w:t>
      </w:r>
      <w:r>
        <w:rPr>
          <w:spacing w:val="-3"/>
          <w:w w:val="105"/>
          <w:sz w:val="21"/>
        </w:rPr>
        <w:t>than </w:t>
      </w:r>
      <w:r>
        <w:rPr>
          <w:spacing w:val="-5"/>
          <w:w w:val="105"/>
          <w:sz w:val="21"/>
        </w:rPr>
        <w:t>2.5 </w:t>
      </w:r>
      <w:r>
        <w:rPr>
          <w:w w:val="105"/>
          <w:sz w:val="21"/>
        </w:rPr>
        <w:t>metres above the</w:t>
      </w:r>
      <w:r>
        <w:rPr>
          <w:spacing w:val="46"/>
          <w:w w:val="105"/>
          <w:sz w:val="21"/>
        </w:rPr>
        <w:t> </w:t>
      </w:r>
      <w:r>
        <w:rPr>
          <w:w w:val="105"/>
          <w:sz w:val="21"/>
        </w:rPr>
        <w:t>ground.</w:t>
      </w:r>
      <w:r>
        <w:rPr>
          <w:w w:val="105"/>
          <w:position w:val="7"/>
          <w:sz w:val="12"/>
        </w:rPr>
        <w:t>398</w:t>
      </w:r>
    </w:p>
    <w:p>
      <w:pPr>
        <w:pStyle w:val="ListParagraph"/>
        <w:numPr>
          <w:ilvl w:val="0"/>
          <w:numId w:val="79"/>
        </w:numPr>
        <w:tabs>
          <w:tab w:pos="2381" w:val="left" w:leader="none"/>
          <w:tab w:pos="2382" w:val="left" w:leader="none"/>
        </w:tabs>
        <w:spacing w:line="242" w:lineRule="auto" w:before="88" w:after="0"/>
        <w:ind w:left="2381" w:right="2185" w:hanging="794"/>
        <w:jc w:val="left"/>
        <w:rPr>
          <w:sz w:val="21"/>
        </w:rPr>
      </w:pPr>
      <w:r>
        <w:rPr>
          <w:sz w:val="21"/>
        </w:rPr>
        <w:t>If the </w:t>
      </w:r>
      <w:r>
        <w:rPr>
          <w:spacing w:val="-3"/>
          <w:sz w:val="21"/>
        </w:rPr>
        <w:t>applicant </w:t>
      </w:r>
      <w:r>
        <w:rPr>
          <w:sz w:val="21"/>
        </w:rPr>
        <w:t>is seeking an order </w:t>
      </w:r>
      <w:r>
        <w:rPr>
          <w:spacing w:val="-3"/>
          <w:sz w:val="21"/>
        </w:rPr>
        <w:t>that involves </w:t>
      </w:r>
      <w:r>
        <w:rPr>
          <w:sz w:val="21"/>
        </w:rPr>
        <w:t>destroying the </w:t>
      </w:r>
      <w:r>
        <w:rPr>
          <w:spacing w:val="-3"/>
          <w:sz w:val="21"/>
        </w:rPr>
        <w:t>tree, </w:t>
      </w:r>
      <w:r>
        <w:rPr>
          <w:sz w:val="21"/>
        </w:rPr>
        <w:t>the </w:t>
      </w:r>
      <w:r>
        <w:rPr>
          <w:spacing w:val="-3"/>
          <w:sz w:val="21"/>
        </w:rPr>
        <w:t>applicant </w:t>
      </w:r>
      <w:r>
        <w:rPr>
          <w:sz w:val="21"/>
        </w:rPr>
        <w:t>is </w:t>
      </w:r>
      <w:r>
        <w:rPr>
          <w:spacing w:val="-3"/>
          <w:sz w:val="21"/>
        </w:rPr>
        <w:t>required to inform</w:t>
      </w:r>
      <w:r>
        <w:rPr>
          <w:spacing w:val="33"/>
          <w:sz w:val="21"/>
        </w:rPr>
        <w:t> </w:t>
      </w:r>
      <w:r>
        <w:rPr>
          <w:spacing w:val="-5"/>
          <w:sz w:val="21"/>
        </w:rPr>
        <w:t>QCAT:</w:t>
      </w:r>
    </w:p>
    <w:p>
      <w:pPr>
        <w:pStyle w:val="ListParagraph"/>
        <w:numPr>
          <w:ilvl w:val="1"/>
          <w:numId w:val="79"/>
        </w:numPr>
        <w:tabs>
          <w:tab w:pos="2721" w:val="left" w:leader="none"/>
          <w:tab w:pos="2722" w:val="left" w:leader="none"/>
        </w:tabs>
        <w:spacing w:line="240" w:lineRule="auto" w:before="122" w:after="0"/>
        <w:ind w:left="2721" w:right="0" w:hanging="340"/>
        <w:jc w:val="left"/>
        <w:rPr>
          <w:sz w:val="21"/>
        </w:rPr>
      </w:pPr>
      <w:r>
        <w:rPr>
          <w:w w:val="105"/>
          <w:sz w:val="21"/>
        </w:rPr>
        <w:t>how long they </w:t>
      </w:r>
      <w:r>
        <w:rPr>
          <w:spacing w:val="-3"/>
          <w:w w:val="105"/>
          <w:sz w:val="21"/>
        </w:rPr>
        <w:t>have </w:t>
      </w:r>
      <w:r>
        <w:rPr>
          <w:w w:val="105"/>
          <w:sz w:val="21"/>
        </w:rPr>
        <w:t>known about the injury or</w:t>
      </w:r>
      <w:r>
        <w:rPr>
          <w:spacing w:val="44"/>
          <w:w w:val="105"/>
          <w:sz w:val="21"/>
        </w:rPr>
        <w:t> </w:t>
      </w:r>
      <w:r>
        <w:rPr>
          <w:w w:val="105"/>
          <w:sz w:val="21"/>
        </w:rPr>
        <w:t>damage</w:t>
      </w:r>
    </w:p>
    <w:p>
      <w:pPr>
        <w:pStyle w:val="ListParagraph"/>
        <w:numPr>
          <w:ilvl w:val="1"/>
          <w:numId w:val="79"/>
        </w:numPr>
        <w:tabs>
          <w:tab w:pos="2721" w:val="left" w:leader="none"/>
          <w:tab w:pos="2722" w:val="left" w:leader="none"/>
        </w:tabs>
        <w:spacing w:line="240" w:lineRule="auto" w:before="89" w:after="0"/>
        <w:ind w:left="2721" w:right="0" w:hanging="340"/>
        <w:jc w:val="left"/>
        <w:rPr>
          <w:sz w:val="21"/>
        </w:rPr>
      </w:pPr>
      <w:r>
        <w:rPr>
          <w:sz w:val="21"/>
        </w:rPr>
        <w:t>whether</w:t>
      </w:r>
      <w:r>
        <w:rPr>
          <w:spacing w:val="10"/>
          <w:sz w:val="21"/>
        </w:rPr>
        <w:t> </w:t>
      </w:r>
      <w:r>
        <w:rPr>
          <w:sz w:val="21"/>
        </w:rPr>
        <w:t>the</w:t>
      </w:r>
      <w:r>
        <w:rPr>
          <w:spacing w:val="10"/>
          <w:sz w:val="21"/>
        </w:rPr>
        <w:t> </w:t>
      </w:r>
      <w:r>
        <w:rPr>
          <w:sz w:val="21"/>
        </w:rPr>
        <w:t>tree</w:t>
      </w:r>
      <w:r>
        <w:rPr>
          <w:spacing w:val="10"/>
          <w:sz w:val="21"/>
        </w:rPr>
        <w:t> </w:t>
      </w:r>
      <w:r>
        <w:rPr>
          <w:sz w:val="21"/>
        </w:rPr>
        <w:t>owner</w:t>
      </w:r>
      <w:r>
        <w:rPr>
          <w:spacing w:val="10"/>
          <w:sz w:val="21"/>
        </w:rPr>
        <w:t> </w:t>
      </w:r>
      <w:r>
        <w:rPr>
          <w:spacing w:val="-2"/>
          <w:sz w:val="21"/>
        </w:rPr>
        <w:t>has</w:t>
      </w:r>
      <w:r>
        <w:rPr>
          <w:spacing w:val="10"/>
          <w:sz w:val="21"/>
        </w:rPr>
        <w:t> </w:t>
      </w:r>
      <w:r>
        <w:rPr>
          <w:spacing w:val="-3"/>
          <w:sz w:val="21"/>
        </w:rPr>
        <w:t>taken</w:t>
      </w:r>
      <w:r>
        <w:rPr>
          <w:spacing w:val="10"/>
          <w:sz w:val="21"/>
        </w:rPr>
        <w:t> </w:t>
      </w:r>
      <w:r>
        <w:rPr>
          <w:spacing w:val="-3"/>
          <w:sz w:val="21"/>
        </w:rPr>
        <w:t>any</w:t>
      </w:r>
      <w:r>
        <w:rPr>
          <w:spacing w:val="10"/>
          <w:sz w:val="21"/>
        </w:rPr>
        <w:t> </w:t>
      </w:r>
      <w:r>
        <w:rPr>
          <w:sz w:val="21"/>
        </w:rPr>
        <w:t>steps</w:t>
      </w:r>
      <w:r>
        <w:rPr>
          <w:spacing w:val="10"/>
          <w:sz w:val="21"/>
        </w:rPr>
        <w:t> </w:t>
      </w:r>
      <w:r>
        <w:rPr>
          <w:spacing w:val="-3"/>
          <w:sz w:val="21"/>
        </w:rPr>
        <w:t>to</w:t>
      </w:r>
      <w:r>
        <w:rPr>
          <w:spacing w:val="10"/>
          <w:sz w:val="21"/>
        </w:rPr>
        <w:t> </w:t>
      </w:r>
      <w:r>
        <w:rPr>
          <w:spacing w:val="-3"/>
          <w:sz w:val="21"/>
        </w:rPr>
        <w:t>prevent</w:t>
      </w:r>
      <w:r>
        <w:rPr>
          <w:spacing w:val="10"/>
          <w:sz w:val="21"/>
        </w:rPr>
        <w:t> </w:t>
      </w:r>
      <w:r>
        <w:rPr>
          <w:sz w:val="21"/>
        </w:rPr>
        <w:t>further</w:t>
      </w:r>
      <w:r>
        <w:rPr>
          <w:spacing w:val="10"/>
          <w:sz w:val="21"/>
        </w:rPr>
        <w:t> </w:t>
      </w:r>
      <w:r>
        <w:rPr>
          <w:sz w:val="21"/>
        </w:rPr>
        <w:t>injury</w:t>
      </w:r>
      <w:r>
        <w:rPr>
          <w:spacing w:val="10"/>
          <w:sz w:val="21"/>
        </w:rPr>
        <w:t> </w:t>
      </w:r>
      <w:r>
        <w:rPr>
          <w:sz w:val="21"/>
        </w:rPr>
        <w:t>or</w:t>
      </w:r>
      <w:r>
        <w:rPr>
          <w:spacing w:val="10"/>
          <w:sz w:val="21"/>
        </w:rPr>
        <w:t> </w:t>
      </w:r>
      <w:r>
        <w:rPr>
          <w:sz w:val="21"/>
        </w:rPr>
        <w:t>damage</w:t>
      </w:r>
    </w:p>
    <w:p>
      <w:pPr>
        <w:pStyle w:val="ListParagraph"/>
        <w:numPr>
          <w:ilvl w:val="1"/>
          <w:numId w:val="79"/>
        </w:numPr>
        <w:tabs>
          <w:tab w:pos="2721" w:val="left" w:leader="none"/>
          <w:tab w:pos="2722" w:val="left" w:leader="none"/>
        </w:tabs>
        <w:spacing w:line="240" w:lineRule="auto" w:before="88" w:after="0"/>
        <w:ind w:left="2721" w:right="0" w:hanging="340"/>
        <w:jc w:val="left"/>
        <w:rPr>
          <w:sz w:val="21"/>
        </w:rPr>
      </w:pPr>
      <w:r>
        <w:rPr>
          <w:w w:val="105"/>
          <w:sz w:val="21"/>
        </w:rPr>
        <w:t>whether the </w:t>
      </w:r>
      <w:r>
        <w:rPr>
          <w:spacing w:val="-3"/>
          <w:w w:val="105"/>
          <w:sz w:val="21"/>
        </w:rPr>
        <w:t>applicant </w:t>
      </w:r>
      <w:r>
        <w:rPr>
          <w:spacing w:val="-2"/>
          <w:w w:val="105"/>
          <w:sz w:val="21"/>
        </w:rPr>
        <w:t>has </w:t>
      </w:r>
      <w:r>
        <w:rPr>
          <w:spacing w:val="-3"/>
          <w:w w:val="105"/>
          <w:sz w:val="21"/>
        </w:rPr>
        <w:t>taken any </w:t>
      </w:r>
      <w:r>
        <w:rPr>
          <w:w w:val="105"/>
          <w:sz w:val="21"/>
        </w:rPr>
        <w:t>steps </w:t>
      </w:r>
      <w:r>
        <w:rPr>
          <w:spacing w:val="-3"/>
          <w:w w:val="105"/>
          <w:sz w:val="21"/>
        </w:rPr>
        <w:t>to prevent </w:t>
      </w:r>
      <w:r>
        <w:rPr>
          <w:w w:val="105"/>
          <w:sz w:val="21"/>
        </w:rPr>
        <w:t>further injury or</w:t>
      </w:r>
      <w:r>
        <w:rPr>
          <w:spacing w:val="49"/>
          <w:w w:val="105"/>
          <w:sz w:val="21"/>
        </w:rPr>
        <w:t> </w:t>
      </w:r>
      <w:r>
        <w:rPr>
          <w:spacing w:val="-3"/>
          <w:w w:val="105"/>
          <w:sz w:val="21"/>
        </w:rPr>
        <w:t>damage.</w:t>
      </w:r>
    </w:p>
    <w:p>
      <w:pPr>
        <w:pStyle w:val="ListParagraph"/>
        <w:numPr>
          <w:ilvl w:val="0"/>
          <w:numId w:val="79"/>
        </w:numPr>
        <w:tabs>
          <w:tab w:pos="2381" w:val="left" w:leader="none"/>
          <w:tab w:pos="2382" w:val="left" w:leader="none"/>
        </w:tabs>
        <w:spacing w:line="242" w:lineRule="auto" w:before="89" w:after="0"/>
        <w:ind w:left="2381" w:right="1660" w:hanging="794"/>
        <w:jc w:val="left"/>
        <w:rPr>
          <w:sz w:val="21"/>
        </w:rPr>
      </w:pPr>
      <w:r>
        <w:rPr>
          <w:w w:val="105"/>
          <w:sz w:val="21"/>
        </w:rPr>
        <w:t>Because the </w:t>
      </w:r>
      <w:r>
        <w:rPr>
          <w:spacing w:val="-3"/>
          <w:w w:val="105"/>
          <w:sz w:val="21"/>
        </w:rPr>
        <w:t>Queensland </w:t>
      </w:r>
      <w:r>
        <w:rPr>
          <w:w w:val="105"/>
          <w:sz w:val="21"/>
        </w:rPr>
        <w:t>Act </w:t>
      </w:r>
      <w:r>
        <w:rPr>
          <w:spacing w:val="-3"/>
          <w:w w:val="105"/>
          <w:sz w:val="21"/>
        </w:rPr>
        <w:t>includes substantial, </w:t>
      </w:r>
      <w:r>
        <w:rPr>
          <w:w w:val="105"/>
          <w:sz w:val="21"/>
        </w:rPr>
        <w:t>ongoing and </w:t>
      </w:r>
      <w:r>
        <w:rPr>
          <w:spacing w:val="-3"/>
          <w:w w:val="105"/>
          <w:sz w:val="21"/>
        </w:rPr>
        <w:t>unreasonable interference </w:t>
      </w:r>
      <w:r>
        <w:rPr>
          <w:w w:val="105"/>
          <w:sz w:val="21"/>
        </w:rPr>
        <w:t>as a cause of action, the </w:t>
      </w:r>
      <w:r>
        <w:rPr>
          <w:spacing w:val="-3"/>
          <w:w w:val="105"/>
          <w:sz w:val="21"/>
        </w:rPr>
        <w:t>applicant </w:t>
      </w:r>
      <w:r>
        <w:rPr>
          <w:w w:val="105"/>
          <w:sz w:val="21"/>
        </w:rPr>
        <w:t>is </w:t>
      </w:r>
      <w:r>
        <w:rPr>
          <w:spacing w:val="-3"/>
          <w:w w:val="105"/>
          <w:sz w:val="21"/>
        </w:rPr>
        <w:t>asked additional </w:t>
      </w:r>
      <w:r>
        <w:rPr>
          <w:w w:val="105"/>
          <w:sz w:val="21"/>
        </w:rPr>
        <w:t>questions about this cause of action.</w:t>
      </w:r>
    </w:p>
    <w:p>
      <w:pPr>
        <w:pStyle w:val="ListParagraph"/>
        <w:numPr>
          <w:ilvl w:val="0"/>
          <w:numId w:val="79"/>
        </w:numPr>
        <w:tabs>
          <w:tab w:pos="2381" w:val="left" w:leader="none"/>
          <w:tab w:pos="2382" w:val="left" w:leader="none"/>
        </w:tabs>
        <w:spacing w:line="242" w:lineRule="auto" w:before="123" w:after="0"/>
        <w:ind w:left="2381" w:right="1690" w:hanging="794"/>
        <w:jc w:val="left"/>
        <w:rPr>
          <w:sz w:val="21"/>
        </w:rPr>
      </w:pPr>
      <w:r>
        <w:rPr>
          <w:w w:val="105"/>
          <w:sz w:val="21"/>
        </w:rPr>
        <w:t>The </w:t>
      </w:r>
      <w:r>
        <w:rPr>
          <w:spacing w:val="-3"/>
          <w:w w:val="105"/>
          <w:sz w:val="21"/>
        </w:rPr>
        <w:t>applicant </w:t>
      </w:r>
      <w:r>
        <w:rPr>
          <w:w w:val="105"/>
          <w:sz w:val="21"/>
        </w:rPr>
        <w:t>is also </w:t>
      </w:r>
      <w:r>
        <w:rPr>
          <w:spacing w:val="-3"/>
          <w:w w:val="105"/>
          <w:sz w:val="21"/>
        </w:rPr>
        <w:t>asked </w:t>
      </w:r>
      <w:r>
        <w:rPr>
          <w:w w:val="105"/>
          <w:sz w:val="21"/>
        </w:rPr>
        <w:t>whether the tree </w:t>
      </w:r>
      <w:r>
        <w:rPr>
          <w:spacing w:val="-3"/>
          <w:w w:val="105"/>
          <w:sz w:val="21"/>
        </w:rPr>
        <w:t>forms </w:t>
      </w:r>
      <w:r>
        <w:rPr>
          <w:w w:val="105"/>
          <w:sz w:val="21"/>
        </w:rPr>
        <w:t>part of the </w:t>
      </w:r>
      <w:r>
        <w:rPr>
          <w:spacing w:val="-3"/>
          <w:w w:val="105"/>
          <w:sz w:val="21"/>
        </w:rPr>
        <w:t>dividing fence </w:t>
      </w:r>
      <w:r>
        <w:rPr>
          <w:w w:val="105"/>
          <w:sz w:val="21"/>
        </w:rPr>
        <w:t>between their</w:t>
      </w:r>
      <w:r>
        <w:rPr>
          <w:spacing w:val="-7"/>
          <w:w w:val="105"/>
          <w:sz w:val="21"/>
        </w:rPr>
        <w:t> </w:t>
      </w:r>
      <w:r>
        <w:rPr>
          <w:spacing w:val="-3"/>
          <w:w w:val="105"/>
          <w:sz w:val="21"/>
        </w:rPr>
        <w:t>land</w:t>
      </w:r>
      <w:r>
        <w:rPr>
          <w:spacing w:val="-6"/>
          <w:w w:val="105"/>
          <w:sz w:val="21"/>
        </w:rPr>
        <w:t> </w:t>
      </w:r>
      <w:r>
        <w:rPr>
          <w:w w:val="105"/>
          <w:sz w:val="21"/>
        </w:rPr>
        <w:t>and</w:t>
      </w:r>
      <w:r>
        <w:rPr>
          <w:spacing w:val="-7"/>
          <w:w w:val="105"/>
          <w:sz w:val="21"/>
        </w:rPr>
        <w:t> </w:t>
      </w:r>
      <w:r>
        <w:rPr>
          <w:w w:val="105"/>
          <w:sz w:val="21"/>
        </w:rPr>
        <w:t>the</w:t>
      </w:r>
      <w:r>
        <w:rPr>
          <w:spacing w:val="-6"/>
          <w:w w:val="105"/>
          <w:sz w:val="21"/>
        </w:rPr>
        <w:t> </w:t>
      </w:r>
      <w:r>
        <w:rPr>
          <w:spacing w:val="-3"/>
          <w:w w:val="105"/>
          <w:sz w:val="21"/>
        </w:rPr>
        <w:t>respondent’s</w:t>
      </w:r>
      <w:r>
        <w:rPr>
          <w:spacing w:val="-6"/>
          <w:w w:val="105"/>
          <w:sz w:val="21"/>
        </w:rPr>
        <w:t> </w:t>
      </w:r>
      <w:r>
        <w:rPr>
          <w:spacing w:val="-3"/>
          <w:w w:val="105"/>
          <w:sz w:val="21"/>
        </w:rPr>
        <w:t>land,</w:t>
      </w:r>
      <w:r>
        <w:rPr>
          <w:spacing w:val="-7"/>
          <w:w w:val="105"/>
          <w:sz w:val="21"/>
        </w:rPr>
        <w:t> </w:t>
      </w:r>
      <w:r>
        <w:rPr>
          <w:w w:val="105"/>
          <w:sz w:val="21"/>
        </w:rPr>
        <w:t>and</w:t>
      </w:r>
      <w:r>
        <w:rPr>
          <w:spacing w:val="-6"/>
          <w:w w:val="105"/>
          <w:sz w:val="21"/>
        </w:rPr>
        <w:t> </w:t>
      </w:r>
      <w:r>
        <w:rPr>
          <w:w w:val="105"/>
          <w:sz w:val="21"/>
        </w:rPr>
        <w:t>other</w:t>
      </w:r>
      <w:r>
        <w:rPr>
          <w:spacing w:val="-7"/>
          <w:w w:val="105"/>
          <w:sz w:val="21"/>
        </w:rPr>
        <w:t> </w:t>
      </w:r>
      <w:r>
        <w:rPr>
          <w:w w:val="105"/>
          <w:sz w:val="21"/>
        </w:rPr>
        <w:t>questions</w:t>
      </w:r>
      <w:r>
        <w:rPr>
          <w:spacing w:val="-6"/>
          <w:w w:val="105"/>
          <w:sz w:val="21"/>
        </w:rPr>
        <w:t> </w:t>
      </w:r>
      <w:r>
        <w:rPr>
          <w:spacing w:val="-3"/>
          <w:w w:val="105"/>
          <w:sz w:val="21"/>
        </w:rPr>
        <w:t>relevant</w:t>
      </w:r>
      <w:r>
        <w:rPr>
          <w:spacing w:val="-6"/>
          <w:w w:val="105"/>
          <w:sz w:val="21"/>
        </w:rPr>
        <w:t> </w:t>
      </w:r>
      <w:r>
        <w:rPr>
          <w:spacing w:val="-3"/>
          <w:w w:val="105"/>
          <w:sz w:val="21"/>
        </w:rPr>
        <w:t>to</w:t>
      </w:r>
      <w:r>
        <w:rPr>
          <w:spacing w:val="-7"/>
          <w:w w:val="105"/>
          <w:sz w:val="21"/>
        </w:rPr>
        <w:t> </w:t>
      </w:r>
      <w:r>
        <w:rPr>
          <w:spacing w:val="-3"/>
          <w:w w:val="105"/>
          <w:sz w:val="21"/>
        </w:rPr>
        <w:t>fencing</w:t>
      </w:r>
      <w:r>
        <w:rPr>
          <w:spacing w:val="-6"/>
          <w:w w:val="105"/>
          <w:sz w:val="21"/>
        </w:rPr>
        <w:t> </w:t>
      </w:r>
      <w:r>
        <w:rPr>
          <w:w w:val="105"/>
          <w:sz w:val="21"/>
        </w:rPr>
        <w:t>issues,</w:t>
      </w:r>
      <w:r>
        <w:rPr>
          <w:spacing w:val="-6"/>
          <w:w w:val="105"/>
          <w:sz w:val="21"/>
        </w:rPr>
        <w:t> </w:t>
      </w:r>
      <w:r>
        <w:rPr>
          <w:spacing w:val="-3"/>
          <w:w w:val="105"/>
          <w:sz w:val="21"/>
        </w:rPr>
        <w:t>such </w:t>
      </w:r>
      <w:r>
        <w:rPr>
          <w:w w:val="105"/>
          <w:sz w:val="21"/>
        </w:rPr>
        <w:t>as whether the tree </w:t>
      </w:r>
      <w:r>
        <w:rPr>
          <w:spacing w:val="-2"/>
          <w:w w:val="105"/>
          <w:sz w:val="21"/>
        </w:rPr>
        <w:t>has </w:t>
      </w:r>
      <w:r>
        <w:rPr>
          <w:w w:val="105"/>
          <w:sz w:val="21"/>
        </w:rPr>
        <w:t>damaged the </w:t>
      </w:r>
      <w:r>
        <w:rPr>
          <w:spacing w:val="-3"/>
          <w:w w:val="105"/>
          <w:sz w:val="21"/>
        </w:rPr>
        <w:t>dividing fence </w:t>
      </w:r>
      <w:r>
        <w:rPr>
          <w:w w:val="105"/>
          <w:sz w:val="21"/>
        </w:rPr>
        <w:t>and whether the respondent </w:t>
      </w:r>
      <w:r>
        <w:rPr>
          <w:spacing w:val="-3"/>
          <w:w w:val="105"/>
          <w:sz w:val="21"/>
        </w:rPr>
        <w:t>has </w:t>
      </w:r>
      <w:r>
        <w:rPr>
          <w:w w:val="105"/>
          <w:sz w:val="21"/>
        </w:rPr>
        <w:t>been given a </w:t>
      </w:r>
      <w:r>
        <w:rPr>
          <w:spacing w:val="-3"/>
          <w:w w:val="105"/>
          <w:sz w:val="21"/>
        </w:rPr>
        <w:t>notice to contribute for fencing</w:t>
      </w:r>
      <w:r>
        <w:rPr>
          <w:spacing w:val="5"/>
          <w:w w:val="105"/>
          <w:sz w:val="21"/>
        </w:rPr>
        <w:t> </w:t>
      </w:r>
      <w:r>
        <w:rPr>
          <w:w w:val="105"/>
          <w:sz w:val="21"/>
        </w:rPr>
        <w:t>work.</w:t>
      </w:r>
    </w:p>
    <w:p>
      <w:pPr>
        <w:pStyle w:val="Heading7"/>
        <w:spacing w:before="155"/>
      </w:pPr>
      <w:r>
        <w:rPr>
          <w:w w:val="115"/>
        </w:rPr>
        <w:t>Tasmania</w:t>
      </w:r>
    </w:p>
    <w:p>
      <w:pPr>
        <w:pStyle w:val="ListParagraph"/>
        <w:numPr>
          <w:ilvl w:val="0"/>
          <w:numId w:val="79"/>
        </w:numPr>
        <w:tabs>
          <w:tab w:pos="2381" w:val="left" w:leader="none"/>
          <w:tab w:pos="2382" w:val="left" w:leader="none"/>
        </w:tabs>
        <w:spacing w:line="242" w:lineRule="auto" w:before="143" w:after="0"/>
        <w:ind w:left="2381" w:right="1859" w:hanging="794"/>
        <w:jc w:val="left"/>
        <w:rPr>
          <w:sz w:val="12"/>
        </w:rPr>
      </w:pPr>
      <w:r>
        <w:rPr>
          <w:w w:val="105"/>
          <w:sz w:val="21"/>
        </w:rPr>
        <w:t>The application </w:t>
      </w:r>
      <w:r>
        <w:rPr>
          <w:spacing w:val="-3"/>
          <w:w w:val="105"/>
          <w:sz w:val="21"/>
        </w:rPr>
        <w:t>form to initiate proceedings </w:t>
      </w:r>
      <w:r>
        <w:rPr>
          <w:w w:val="105"/>
          <w:sz w:val="21"/>
        </w:rPr>
        <w:t>in </w:t>
      </w:r>
      <w:r>
        <w:rPr>
          <w:spacing w:val="-6"/>
          <w:w w:val="105"/>
          <w:sz w:val="21"/>
        </w:rPr>
        <w:t>RMPAT </w:t>
      </w:r>
      <w:r>
        <w:rPr>
          <w:w w:val="105"/>
          <w:sz w:val="21"/>
        </w:rPr>
        <w:t>is </w:t>
      </w:r>
      <w:r>
        <w:rPr>
          <w:spacing w:val="-3"/>
          <w:w w:val="105"/>
          <w:sz w:val="21"/>
        </w:rPr>
        <w:t>relatively </w:t>
      </w:r>
      <w:r>
        <w:rPr>
          <w:w w:val="105"/>
          <w:sz w:val="21"/>
        </w:rPr>
        <w:t>straightforward and asks </w:t>
      </w:r>
      <w:r>
        <w:rPr>
          <w:spacing w:val="-3"/>
          <w:w w:val="105"/>
          <w:sz w:val="21"/>
        </w:rPr>
        <w:t>for similar information to </w:t>
      </w:r>
      <w:r>
        <w:rPr>
          <w:w w:val="105"/>
          <w:sz w:val="21"/>
        </w:rPr>
        <w:t>the NSWLEC and </w:t>
      </w:r>
      <w:r>
        <w:rPr>
          <w:spacing w:val="-4"/>
          <w:w w:val="105"/>
          <w:sz w:val="21"/>
        </w:rPr>
        <w:t>QCAT </w:t>
      </w:r>
      <w:r>
        <w:rPr>
          <w:w w:val="105"/>
          <w:sz w:val="21"/>
        </w:rPr>
        <w:t>application forms.</w:t>
      </w:r>
      <w:r>
        <w:rPr>
          <w:w w:val="105"/>
          <w:position w:val="7"/>
          <w:sz w:val="12"/>
        </w:rPr>
        <w:t>399 </w:t>
      </w:r>
      <w:r>
        <w:rPr>
          <w:w w:val="105"/>
          <w:sz w:val="21"/>
        </w:rPr>
        <w:t>The </w:t>
      </w:r>
      <w:r>
        <w:rPr>
          <w:spacing w:val="-3"/>
          <w:w w:val="105"/>
          <w:sz w:val="21"/>
        </w:rPr>
        <w:t>form contains</w:t>
      </w:r>
      <w:r>
        <w:rPr>
          <w:spacing w:val="-5"/>
          <w:w w:val="105"/>
          <w:sz w:val="21"/>
        </w:rPr>
        <w:t> </w:t>
      </w:r>
      <w:r>
        <w:rPr>
          <w:w w:val="105"/>
          <w:sz w:val="21"/>
        </w:rPr>
        <w:t>a</w:t>
      </w:r>
      <w:r>
        <w:rPr>
          <w:spacing w:val="-5"/>
          <w:w w:val="105"/>
          <w:sz w:val="21"/>
        </w:rPr>
        <w:t> </w:t>
      </w:r>
      <w:r>
        <w:rPr>
          <w:spacing w:val="-3"/>
          <w:w w:val="105"/>
          <w:sz w:val="21"/>
        </w:rPr>
        <w:t>helpful</w:t>
      </w:r>
      <w:r>
        <w:rPr>
          <w:spacing w:val="-4"/>
          <w:w w:val="105"/>
          <w:sz w:val="21"/>
        </w:rPr>
        <w:t> </w:t>
      </w:r>
      <w:r>
        <w:rPr>
          <w:w w:val="105"/>
          <w:sz w:val="21"/>
        </w:rPr>
        <w:t>checklist</w:t>
      </w:r>
      <w:r>
        <w:rPr>
          <w:spacing w:val="-5"/>
          <w:w w:val="105"/>
          <w:sz w:val="21"/>
        </w:rPr>
        <w:t> </w:t>
      </w:r>
      <w:r>
        <w:rPr>
          <w:spacing w:val="-3"/>
          <w:w w:val="105"/>
          <w:sz w:val="21"/>
        </w:rPr>
        <w:t>for</w:t>
      </w:r>
      <w:r>
        <w:rPr>
          <w:spacing w:val="-4"/>
          <w:w w:val="105"/>
          <w:sz w:val="21"/>
        </w:rPr>
        <w:t> </w:t>
      </w:r>
      <w:r>
        <w:rPr>
          <w:w w:val="105"/>
          <w:sz w:val="21"/>
        </w:rPr>
        <w:t>applicants</w:t>
      </w:r>
      <w:r>
        <w:rPr>
          <w:spacing w:val="-5"/>
          <w:w w:val="105"/>
          <w:sz w:val="21"/>
        </w:rPr>
        <w:t> </w:t>
      </w:r>
      <w:r>
        <w:rPr>
          <w:spacing w:val="-3"/>
          <w:w w:val="105"/>
          <w:sz w:val="21"/>
        </w:rPr>
        <w:t>to</w:t>
      </w:r>
      <w:r>
        <w:rPr>
          <w:spacing w:val="-4"/>
          <w:w w:val="105"/>
          <w:sz w:val="21"/>
        </w:rPr>
        <w:t> </w:t>
      </w:r>
      <w:r>
        <w:rPr>
          <w:w w:val="105"/>
          <w:sz w:val="21"/>
        </w:rPr>
        <w:t>‘tick</w:t>
      </w:r>
      <w:r>
        <w:rPr>
          <w:spacing w:val="-5"/>
          <w:w w:val="105"/>
          <w:sz w:val="21"/>
        </w:rPr>
        <w:t> </w:t>
      </w:r>
      <w:r>
        <w:rPr>
          <w:w w:val="105"/>
          <w:sz w:val="21"/>
        </w:rPr>
        <w:t>off’</w:t>
      </w:r>
      <w:r>
        <w:rPr>
          <w:spacing w:val="-5"/>
          <w:w w:val="105"/>
          <w:sz w:val="21"/>
        </w:rPr>
        <w:t> </w:t>
      </w:r>
      <w:r>
        <w:rPr>
          <w:w w:val="105"/>
          <w:sz w:val="21"/>
        </w:rPr>
        <w:t>as</w:t>
      </w:r>
      <w:r>
        <w:rPr>
          <w:spacing w:val="-4"/>
          <w:w w:val="105"/>
          <w:sz w:val="21"/>
        </w:rPr>
        <w:t> </w:t>
      </w:r>
      <w:r>
        <w:rPr>
          <w:w w:val="105"/>
          <w:sz w:val="21"/>
        </w:rPr>
        <w:t>they</w:t>
      </w:r>
      <w:r>
        <w:rPr>
          <w:spacing w:val="-5"/>
          <w:w w:val="105"/>
          <w:sz w:val="21"/>
        </w:rPr>
        <w:t> </w:t>
      </w:r>
      <w:r>
        <w:rPr>
          <w:spacing w:val="-3"/>
          <w:w w:val="105"/>
          <w:sz w:val="21"/>
        </w:rPr>
        <w:t>complete</w:t>
      </w:r>
      <w:r>
        <w:rPr>
          <w:spacing w:val="-4"/>
          <w:w w:val="105"/>
          <w:sz w:val="21"/>
        </w:rPr>
        <w:t> </w:t>
      </w:r>
      <w:r>
        <w:rPr>
          <w:w w:val="105"/>
          <w:sz w:val="21"/>
        </w:rPr>
        <w:t>each</w:t>
      </w:r>
      <w:r>
        <w:rPr>
          <w:spacing w:val="-5"/>
          <w:w w:val="105"/>
          <w:sz w:val="21"/>
        </w:rPr>
        <w:t> </w:t>
      </w:r>
      <w:r>
        <w:rPr>
          <w:w w:val="105"/>
          <w:sz w:val="21"/>
        </w:rPr>
        <w:t>step</w:t>
      </w:r>
      <w:r>
        <w:rPr>
          <w:spacing w:val="-5"/>
          <w:w w:val="105"/>
          <w:sz w:val="21"/>
        </w:rPr>
        <w:t> </w:t>
      </w:r>
      <w:r>
        <w:rPr>
          <w:w w:val="105"/>
          <w:sz w:val="21"/>
        </w:rPr>
        <w:t>of</w:t>
      </w:r>
      <w:r>
        <w:rPr>
          <w:spacing w:val="-4"/>
          <w:w w:val="105"/>
          <w:sz w:val="21"/>
        </w:rPr>
        <w:t> </w:t>
      </w:r>
      <w:r>
        <w:rPr>
          <w:w w:val="105"/>
          <w:sz w:val="21"/>
        </w:rPr>
        <w:t>the application</w:t>
      </w:r>
      <w:r>
        <w:rPr>
          <w:spacing w:val="5"/>
          <w:w w:val="105"/>
          <w:sz w:val="21"/>
        </w:rPr>
        <w:t> </w:t>
      </w:r>
      <w:r>
        <w:rPr>
          <w:w w:val="105"/>
          <w:sz w:val="21"/>
        </w:rPr>
        <w:t>process.</w:t>
      </w:r>
      <w:r>
        <w:rPr>
          <w:w w:val="105"/>
          <w:position w:val="7"/>
          <w:sz w:val="12"/>
        </w:rPr>
        <w:t>400</w:t>
      </w:r>
    </w:p>
    <w:p>
      <w:pPr>
        <w:pStyle w:val="ListParagraph"/>
        <w:numPr>
          <w:ilvl w:val="0"/>
          <w:numId w:val="79"/>
        </w:numPr>
        <w:tabs>
          <w:tab w:pos="2381" w:val="left" w:leader="none"/>
          <w:tab w:pos="2382" w:val="left" w:leader="none"/>
        </w:tabs>
        <w:spacing w:line="242" w:lineRule="auto" w:before="124" w:after="0"/>
        <w:ind w:left="2381" w:right="1647" w:hanging="794"/>
        <w:jc w:val="left"/>
        <w:rPr>
          <w:sz w:val="12"/>
        </w:rPr>
      </w:pPr>
      <w:r>
        <w:rPr>
          <w:sz w:val="21"/>
        </w:rPr>
        <w:t>The </w:t>
      </w:r>
      <w:r>
        <w:rPr>
          <w:spacing w:val="-3"/>
          <w:sz w:val="21"/>
        </w:rPr>
        <w:t>applicant </w:t>
      </w:r>
      <w:r>
        <w:rPr>
          <w:sz w:val="21"/>
        </w:rPr>
        <w:t>is </w:t>
      </w:r>
      <w:r>
        <w:rPr>
          <w:spacing w:val="-3"/>
          <w:sz w:val="21"/>
        </w:rPr>
        <w:t>required to </w:t>
      </w:r>
      <w:r>
        <w:rPr>
          <w:sz w:val="21"/>
        </w:rPr>
        <w:t>provide evidence of attempts made </w:t>
      </w:r>
      <w:r>
        <w:rPr>
          <w:spacing w:val="-3"/>
          <w:sz w:val="21"/>
        </w:rPr>
        <w:t>to  </w:t>
      </w:r>
      <w:r>
        <w:rPr>
          <w:sz w:val="21"/>
        </w:rPr>
        <w:t>resolve the </w:t>
      </w:r>
      <w:r>
        <w:rPr>
          <w:spacing w:val="-3"/>
          <w:sz w:val="21"/>
        </w:rPr>
        <w:t>dispute before lodging </w:t>
      </w:r>
      <w:r>
        <w:rPr>
          <w:sz w:val="21"/>
        </w:rPr>
        <w:t>an </w:t>
      </w:r>
      <w:r>
        <w:rPr>
          <w:spacing w:val="-3"/>
          <w:sz w:val="21"/>
        </w:rPr>
        <w:t>application, such </w:t>
      </w:r>
      <w:r>
        <w:rPr>
          <w:sz w:val="21"/>
        </w:rPr>
        <w:t>as </w:t>
      </w:r>
      <w:r>
        <w:rPr>
          <w:spacing w:val="-3"/>
          <w:sz w:val="21"/>
        </w:rPr>
        <w:t>correspondence </w:t>
      </w:r>
      <w:r>
        <w:rPr>
          <w:sz w:val="21"/>
        </w:rPr>
        <w:t>between the parties or a statutory </w:t>
      </w:r>
      <w:r>
        <w:rPr>
          <w:spacing w:val="-3"/>
          <w:sz w:val="21"/>
        </w:rPr>
        <w:t>declaration </w:t>
      </w:r>
      <w:r>
        <w:rPr>
          <w:sz w:val="21"/>
        </w:rPr>
        <w:t>or</w:t>
      </w:r>
      <w:r>
        <w:rPr>
          <w:spacing w:val="20"/>
          <w:sz w:val="21"/>
        </w:rPr>
        <w:t> </w:t>
      </w:r>
      <w:r>
        <w:rPr>
          <w:sz w:val="21"/>
        </w:rPr>
        <w:t>affidavit.</w:t>
      </w:r>
      <w:r>
        <w:rPr>
          <w:position w:val="7"/>
          <w:sz w:val="12"/>
        </w:rPr>
        <w:t>401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r>
        <w:rPr/>
        <w:pict>
          <v:line style="position:absolute;mso-position-horizontal-relative:page;mso-position-vertical-relative:paragraph;z-index:5576;mso-wrap-distance-left:0;mso-wrap-distance-right:0" from="79.370102pt,14.296002pt" to="515.905102pt,14.296002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89"/>
        </w:numPr>
        <w:tabs>
          <w:tab w:pos="2380" w:val="left" w:leader="none"/>
          <w:tab w:pos="2382" w:val="left" w:leader="none"/>
        </w:tabs>
        <w:spacing w:line="240" w:lineRule="auto" w:before="48" w:after="0"/>
        <w:ind w:left="2381" w:right="0" w:hanging="794"/>
        <w:jc w:val="left"/>
        <w:rPr>
          <w:sz w:val="13"/>
        </w:rPr>
      </w:pPr>
      <w:r>
        <w:rPr>
          <w:w w:val="105"/>
          <w:sz w:val="13"/>
        </w:rPr>
        <w:t>Queensland</w:t>
      </w:r>
      <w:r>
        <w:rPr>
          <w:spacing w:val="5"/>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6"/>
          <w:w w:val="105"/>
          <w:sz w:val="13"/>
        </w:rPr>
        <w:t> </w:t>
      </w:r>
      <w:r>
        <w:rPr>
          <w:w w:val="105"/>
          <w:sz w:val="13"/>
        </w:rPr>
        <w:t>Tribunal,</w:t>
      </w:r>
      <w:r>
        <w:rPr>
          <w:spacing w:val="5"/>
          <w:w w:val="105"/>
          <w:sz w:val="13"/>
        </w:rPr>
        <w:t> </w:t>
      </w:r>
      <w:r>
        <w:rPr>
          <w:i/>
          <w:w w:val="105"/>
          <w:sz w:val="13"/>
        </w:rPr>
        <w:t>Application</w:t>
      </w:r>
      <w:r>
        <w:rPr>
          <w:i/>
          <w:spacing w:val="5"/>
          <w:w w:val="105"/>
          <w:sz w:val="13"/>
        </w:rPr>
        <w:t> </w:t>
      </w:r>
      <w:r>
        <w:rPr>
          <w:i/>
          <w:w w:val="105"/>
          <w:sz w:val="13"/>
        </w:rPr>
        <w:t>Checklist:</w:t>
      </w:r>
      <w:r>
        <w:rPr>
          <w:i/>
          <w:spacing w:val="6"/>
          <w:w w:val="105"/>
          <w:sz w:val="13"/>
        </w:rPr>
        <w:t> </w:t>
      </w:r>
      <w:r>
        <w:rPr>
          <w:i/>
          <w:w w:val="105"/>
          <w:sz w:val="13"/>
        </w:rPr>
        <w:t>Tree</w:t>
      </w:r>
      <w:r>
        <w:rPr>
          <w:i/>
          <w:spacing w:val="5"/>
          <w:w w:val="105"/>
          <w:sz w:val="13"/>
        </w:rPr>
        <w:t> </w:t>
      </w:r>
      <w:r>
        <w:rPr>
          <w:i/>
          <w:w w:val="105"/>
          <w:sz w:val="13"/>
        </w:rPr>
        <w:t>Dispute</w:t>
      </w:r>
      <w:r>
        <w:rPr>
          <w:i/>
          <w:spacing w:val="5"/>
          <w:w w:val="105"/>
          <w:sz w:val="13"/>
        </w:rPr>
        <w:t> </w:t>
      </w:r>
      <w:r>
        <w:rPr>
          <w:i/>
          <w:w w:val="105"/>
          <w:sz w:val="13"/>
        </w:rPr>
        <w:t>Resolution</w:t>
      </w:r>
      <w:r>
        <w:rPr>
          <w:i/>
          <w:spacing w:val="6"/>
          <w:w w:val="105"/>
          <w:sz w:val="13"/>
        </w:rPr>
        <w:t> </w:t>
      </w:r>
      <w:r>
        <w:rPr>
          <w:spacing w:val="2"/>
          <w:w w:val="105"/>
          <w:sz w:val="13"/>
        </w:rPr>
        <w:t>(Form,</w:t>
      </w:r>
      <w:r>
        <w:rPr>
          <w:spacing w:val="5"/>
          <w:w w:val="105"/>
          <w:sz w:val="13"/>
        </w:rPr>
        <w:t> </w:t>
      </w:r>
      <w:r>
        <w:rPr>
          <w:w w:val="105"/>
          <w:sz w:val="13"/>
        </w:rPr>
        <w:t>version</w:t>
      </w:r>
      <w:r>
        <w:rPr>
          <w:spacing w:val="5"/>
          <w:w w:val="105"/>
          <w:sz w:val="13"/>
        </w:rPr>
        <w:t> </w:t>
      </w:r>
      <w:r>
        <w:rPr>
          <w:w w:val="105"/>
          <w:sz w:val="13"/>
        </w:rPr>
        <w:t>3,</w:t>
      </w:r>
      <w:r>
        <w:rPr>
          <w:spacing w:val="5"/>
          <w:w w:val="105"/>
          <w:sz w:val="13"/>
        </w:rPr>
        <w:t> </w:t>
      </w:r>
      <w:r>
        <w:rPr>
          <w:w w:val="105"/>
          <w:sz w:val="13"/>
        </w:rPr>
        <w:t>3</w:t>
      </w:r>
      <w:r>
        <w:rPr>
          <w:spacing w:val="6"/>
          <w:w w:val="105"/>
          <w:sz w:val="13"/>
        </w:rPr>
        <w:t> </w:t>
      </w:r>
      <w:r>
        <w:rPr>
          <w:w w:val="105"/>
          <w:sz w:val="13"/>
        </w:rPr>
        <w:t>March</w:t>
      </w:r>
      <w:r>
        <w:rPr>
          <w:spacing w:val="5"/>
          <w:w w:val="105"/>
          <w:sz w:val="13"/>
        </w:rPr>
        <w:t> </w:t>
      </w:r>
      <w:r>
        <w:rPr>
          <w:w w:val="105"/>
          <w:sz w:val="13"/>
        </w:rPr>
        <w:t>2017)</w:t>
      </w:r>
    </w:p>
    <w:p>
      <w:pPr>
        <w:spacing w:before="1"/>
        <w:ind w:left="2381" w:right="0" w:firstLine="0"/>
        <w:jc w:val="left"/>
        <w:rPr>
          <w:sz w:val="13"/>
        </w:rPr>
      </w:pPr>
      <w:r>
        <w:rPr>
          <w:sz w:val="13"/>
        </w:rPr>
        <w:t>&lt;https://</w:t>
      </w:r>
      <w:hyperlink r:id="rId118">
        <w:r>
          <w:rPr>
            <w:sz w:val="13"/>
          </w:rPr>
          <w:t>www.qcat.qld.gov.au/matter-types/tree-disputes</w:t>
        </w:r>
      </w:hyperlink>
      <w:r>
        <w:rPr>
          <w:sz w:val="13"/>
        </w:rPr>
        <w:t>&gt;.</w:t>
      </w:r>
    </w:p>
    <w:p>
      <w:pPr>
        <w:pStyle w:val="ListParagraph"/>
        <w:numPr>
          <w:ilvl w:val="0"/>
          <w:numId w:val="89"/>
        </w:numPr>
        <w:tabs>
          <w:tab w:pos="2380"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89"/>
        </w:numPr>
        <w:tabs>
          <w:tab w:pos="2380" w:val="left" w:leader="none"/>
          <w:tab w:pos="2382" w:val="left" w:leader="none"/>
        </w:tabs>
        <w:spacing w:line="240" w:lineRule="auto" w:before="1" w:after="0"/>
        <w:ind w:left="2381" w:right="0" w:hanging="794"/>
        <w:jc w:val="left"/>
        <w:rPr>
          <w:sz w:val="13"/>
        </w:rPr>
      </w:pPr>
      <w:r>
        <w:rPr>
          <w:w w:val="105"/>
          <w:sz w:val="13"/>
        </w:rPr>
        <w:t>Queensland Civil and Administrative Tribunal, </w:t>
      </w:r>
      <w:r>
        <w:rPr>
          <w:i/>
          <w:w w:val="105"/>
          <w:sz w:val="13"/>
        </w:rPr>
        <w:t>Form </w:t>
      </w:r>
      <w:r>
        <w:rPr>
          <w:i/>
          <w:spacing w:val="-4"/>
          <w:w w:val="105"/>
          <w:sz w:val="13"/>
        </w:rPr>
        <w:t>51: </w:t>
      </w:r>
      <w:r>
        <w:rPr>
          <w:i/>
          <w:w w:val="105"/>
          <w:sz w:val="13"/>
        </w:rPr>
        <w:t>Application for Tree Dispute—Neighbourhood Disputes (Dividing Fences and Trees)</w:t>
      </w:r>
      <w:r>
        <w:rPr>
          <w:i/>
          <w:spacing w:val="30"/>
          <w:w w:val="105"/>
          <w:sz w:val="13"/>
        </w:rPr>
        <w:t> </w:t>
      </w:r>
      <w:r>
        <w:rPr>
          <w:i/>
          <w:w w:val="105"/>
          <w:sz w:val="13"/>
        </w:rPr>
        <w:t>Act </w:t>
      </w:r>
      <w:r>
        <w:rPr>
          <w:i/>
          <w:spacing w:val="-4"/>
          <w:w w:val="105"/>
          <w:sz w:val="13"/>
        </w:rPr>
        <w:t>2011</w:t>
      </w:r>
      <w:r>
        <w:rPr>
          <w:i/>
          <w:spacing w:val="6"/>
          <w:w w:val="105"/>
          <w:sz w:val="13"/>
        </w:rPr>
        <w:t> </w:t>
      </w:r>
      <w:r>
        <w:rPr>
          <w:spacing w:val="2"/>
          <w:w w:val="105"/>
          <w:sz w:val="13"/>
        </w:rPr>
        <w:t>&lt;https://</w:t>
      </w:r>
      <w:hyperlink r:id="rId119">
        <w:r>
          <w:rPr>
            <w:spacing w:val="2"/>
            <w:w w:val="105"/>
            <w:sz w:val="13"/>
          </w:rPr>
          <w:t>www.qcat.qld.gov.au/matter-types/tree-disputes/tree-dispute-application</w:t>
        </w:r>
      </w:hyperlink>
      <w:r>
        <w:rPr>
          <w:spacing w:val="2"/>
          <w:w w:val="105"/>
          <w:sz w:val="13"/>
        </w:rPr>
        <w:t>&gt;.</w:t>
      </w:r>
    </w:p>
    <w:p>
      <w:pPr>
        <w:pStyle w:val="ListParagraph"/>
        <w:numPr>
          <w:ilvl w:val="0"/>
          <w:numId w:val="89"/>
        </w:numPr>
        <w:tabs>
          <w:tab w:pos="2380" w:val="left" w:leader="none"/>
          <w:tab w:pos="2382" w:val="left" w:leader="none"/>
        </w:tabs>
        <w:spacing w:line="240" w:lineRule="auto" w:before="3" w:after="0"/>
        <w:ind w:left="2381" w:right="0" w:hanging="794"/>
        <w:jc w:val="left"/>
        <w:rPr>
          <w:i/>
          <w:sz w:val="13"/>
        </w:rPr>
      </w:pPr>
      <w:r>
        <w:rPr>
          <w:w w:val="105"/>
          <w:sz w:val="13"/>
        </w:rPr>
        <w:t>Resource</w:t>
      </w:r>
      <w:r>
        <w:rPr>
          <w:spacing w:val="7"/>
          <w:w w:val="105"/>
          <w:sz w:val="13"/>
        </w:rPr>
        <w:t> </w:t>
      </w:r>
      <w:r>
        <w:rPr>
          <w:w w:val="105"/>
          <w:sz w:val="13"/>
        </w:rPr>
        <w:t>Management</w:t>
      </w:r>
      <w:r>
        <w:rPr>
          <w:spacing w:val="7"/>
          <w:w w:val="105"/>
          <w:sz w:val="13"/>
        </w:rPr>
        <w:t> </w:t>
      </w:r>
      <w:r>
        <w:rPr>
          <w:w w:val="105"/>
          <w:sz w:val="13"/>
        </w:rPr>
        <w:t>and</w:t>
      </w:r>
      <w:r>
        <w:rPr>
          <w:spacing w:val="7"/>
          <w:w w:val="105"/>
          <w:sz w:val="13"/>
        </w:rPr>
        <w:t> </w:t>
      </w:r>
      <w:r>
        <w:rPr>
          <w:w w:val="105"/>
          <w:sz w:val="13"/>
        </w:rPr>
        <w:t>Planning</w:t>
      </w:r>
      <w:r>
        <w:rPr>
          <w:spacing w:val="7"/>
          <w:w w:val="105"/>
          <w:sz w:val="13"/>
        </w:rPr>
        <w:t> </w:t>
      </w:r>
      <w:r>
        <w:rPr>
          <w:w w:val="105"/>
          <w:sz w:val="13"/>
        </w:rPr>
        <w:t>Appeal</w:t>
      </w:r>
      <w:r>
        <w:rPr>
          <w:spacing w:val="7"/>
          <w:w w:val="105"/>
          <w:sz w:val="13"/>
        </w:rPr>
        <w:t> </w:t>
      </w:r>
      <w:r>
        <w:rPr>
          <w:w w:val="105"/>
          <w:sz w:val="13"/>
        </w:rPr>
        <w:t>Tribunal,</w:t>
      </w:r>
      <w:r>
        <w:rPr>
          <w:spacing w:val="7"/>
          <w:w w:val="105"/>
          <w:sz w:val="13"/>
        </w:rPr>
        <w:t> </w:t>
      </w:r>
      <w:r>
        <w:rPr>
          <w:i/>
          <w:w w:val="105"/>
          <w:sz w:val="13"/>
        </w:rPr>
        <w:t>Application</w:t>
      </w:r>
      <w:r>
        <w:rPr>
          <w:i/>
          <w:spacing w:val="8"/>
          <w:w w:val="105"/>
          <w:sz w:val="13"/>
        </w:rPr>
        <w:t> </w:t>
      </w:r>
      <w:r>
        <w:rPr>
          <w:i/>
          <w:w w:val="105"/>
          <w:sz w:val="13"/>
        </w:rPr>
        <w:t>under</w:t>
      </w:r>
      <w:r>
        <w:rPr>
          <w:i/>
          <w:spacing w:val="7"/>
          <w:w w:val="105"/>
          <w:sz w:val="13"/>
        </w:rPr>
        <w:t> </w:t>
      </w:r>
      <w:r>
        <w:rPr>
          <w:i/>
          <w:w w:val="105"/>
          <w:sz w:val="13"/>
        </w:rPr>
        <w:t>Neighbourhood</w:t>
      </w:r>
      <w:r>
        <w:rPr>
          <w:i/>
          <w:spacing w:val="7"/>
          <w:w w:val="105"/>
          <w:sz w:val="13"/>
        </w:rPr>
        <w:t> </w:t>
      </w:r>
      <w:r>
        <w:rPr>
          <w:i/>
          <w:w w:val="105"/>
          <w:sz w:val="13"/>
        </w:rPr>
        <w:t>Disputes</w:t>
      </w:r>
      <w:r>
        <w:rPr>
          <w:i/>
          <w:spacing w:val="7"/>
          <w:w w:val="105"/>
          <w:sz w:val="13"/>
        </w:rPr>
        <w:t> </w:t>
      </w:r>
      <w:r>
        <w:rPr>
          <w:i/>
          <w:w w:val="105"/>
          <w:sz w:val="13"/>
        </w:rPr>
        <w:t>About</w:t>
      </w:r>
      <w:r>
        <w:rPr>
          <w:i/>
          <w:spacing w:val="7"/>
          <w:w w:val="105"/>
          <w:sz w:val="13"/>
        </w:rPr>
        <w:t> </w:t>
      </w:r>
      <w:r>
        <w:rPr>
          <w:i/>
          <w:w w:val="105"/>
          <w:sz w:val="13"/>
        </w:rPr>
        <w:t>Plants</w:t>
      </w:r>
      <w:r>
        <w:rPr>
          <w:i/>
          <w:spacing w:val="7"/>
          <w:w w:val="105"/>
          <w:sz w:val="13"/>
        </w:rPr>
        <w:t> </w:t>
      </w:r>
      <w:r>
        <w:rPr>
          <w:i/>
          <w:w w:val="105"/>
          <w:sz w:val="13"/>
        </w:rPr>
        <w:t>Act</w:t>
      </w:r>
      <w:r>
        <w:rPr>
          <w:i/>
          <w:spacing w:val="7"/>
          <w:w w:val="105"/>
          <w:sz w:val="13"/>
        </w:rPr>
        <w:t> </w:t>
      </w:r>
      <w:r>
        <w:rPr>
          <w:i/>
          <w:spacing w:val="-4"/>
          <w:w w:val="105"/>
          <w:sz w:val="13"/>
        </w:rPr>
        <w:t>2017</w:t>
      </w:r>
    </w:p>
    <w:p>
      <w:pPr>
        <w:spacing w:before="1"/>
        <w:ind w:left="2381" w:right="0" w:firstLine="0"/>
        <w:jc w:val="left"/>
        <w:rPr>
          <w:sz w:val="13"/>
        </w:rPr>
      </w:pPr>
      <w:r>
        <w:rPr>
          <w:w w:val="105"/>
          <w:sz w:val="13"/>
        </w:rPr>
        <w:t>&lt;https://</w:t>
      </w:r>
      <w:hyperlink r:id="rId114">
        <w:r>
          <w:rPr>
            <w:w w:val="105"/>
            <w:sz w:val="13"/>
          </w:rPr>
          <w:t>www.rmpat.tas.gov.au/forms#application</w:t>
        </w:r>
      </w:hyperlink>
      <w:r>
        <w:rPr>
          <w:w w:val="105"/>
          <w:sz w:val="13"/>
        </w:rPr>
        <w:t>&gt;.</w:t>
      </w:r>
    </w:p>
    <w:p>
      <w:pPr>
        <w:pStyle w:val="ListParagraph"/>
        <w:numPr>
          <w:ilvl w:val="0"/>
          <w:numId w:val="89"/>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89"/>
        </w:numPr>
        <w:tabs>
          <w:tab w:pos="2380" w:val="left" w:leader="none"/>
          <w:tab w:pos="2382" w:val="left" w:leader="none"/>
        </w:tabs>
        <w:spacing w:line="240" w:lineRule="auto" w:before="2" w:after="0"/>
        <w:ind w:left="2381" w:right="0" w:hanging="794"/>
        <w:jc w:val="left"/>
        <w:rPr>
          <w:sz w:val="13"/>
        </w:rPr>
      </w:pPr>
      <w:r>
        <w:rPr>
          <w:sz w:val="13"/>
        </w:rPr>
        <w:t>Ibid.</w:t>
      </w:r>
    </w:p>
    <w:p>
      <w:pPr>
        <w:pStyle w:val="BodyText"/>
        <w:rPr>
          <w:sz w:val="28"/>
        </w:rPr>
      </w:pPr>
      <w:r>
        <w:rPr/>
        <w:br w:type="column"/>
      </w:r>
      <w:r>
        <w:rPr>
          <w:sz w:val="28"/>
        </w:rPr>
      </w:r>
    </w:p>
    <w:p>
      <w:pPr>
        <w:pStyle w:val="BodyText"/>
        <w:rPr>
          <w:sz w:val="28"/>
        </w:rPr>
      </w:pPr>
    </w:p>
    <w:p>
      <w:pPr>
        <w:pStyle w:val="BodyText"/>
        <w:rPr>
          <w:sz w:val="28"/>
        </w:rPr>
      </w:pPr>
    </w:p>
    <w:p>
      <w:pPr>
        <w:spacing w:before="198"/>
        <w:ind w:left="611" w:right="575" w:firstLine="0"/>
        <w:jc w:val="center"/>
        <w:rPr>
          <w:b/>
          <w:sz w:val="24"/>
        </w:rPr>
      </w:pPr>
      <w:r>
        <w:rPr>
          <w:b/>
          <w:color w:val="658464"/>
          <w:w w:val="110"/>
          <w:sz w:val="24"/>
        </w:rPr>
        <w:t>107</w:t>
      </w:r>
    </w:p>
    <w:p>
      <w:pPr>
        <w:spacing w:after="0"/>
        <w:jc w:val="center"/>
        <w:rPr>
          <w:sz w:val="24"/>
        </w:rPr>
        <w:sectPr>
          <w:type w:val="continuous"/>
          <w:pgSz w:w="11910" w:h="16840"/>
          <w:pgMar w:top="300" w:bottom="280" w:left="0" w:right="0"/>
          <w:cols w:num="2" w:equalWidth="0">
            <w:col w:w="10242" w:space="40"/>
            <w:col w:w="1628"/>
          </w:cols>
        </w:sectPr>
      </w:pPr>
    </w:p>
    <w:p>
      <w:pPr>
        <w:pStyle w:val="BodyText"/>
        <w:spacing w:before="9"/>
        <w:rPr>
          <w:b/>
          <w:sz w:val="22"/>
        </w:rPr>
      </w:pPr>
    </w:p>
    <w:p>
      <w:pPr>
        <w:pStyle w:val="ListParagraph"/>
        <w:numPr>
          <w:ilvl w:val="0"/>
          <w:numId w:val="79"/>
        </w:numPr>
        <w:tabs>
          <w:tab w:pos="2380" w:val="left" w:leader="none"/>
          <w:tab w:pos="2381" w:val="left" w:leader="none"/>
        </w:tabs>
        <w:spacing w:line="242" w:lineRule="auto" w:before="92" w:after="0"/>
        <w:ind w:left="2381" w:right="1659" w:hanging="794"/>
        <w:jc w:val="left"/>
        <w:rPr>
          <w:sz w:val="21"/>
        </w:rPr>
      </w:pPr>
      <w:bookmarkStart w:name="_bookmark60" w:id="139"/>
      <w:bookmarkEnd w:id="139"/>
      <w:r>
        <w:rPr/>
      </w:r>
      <w:bookmarkStart w:name="_bookmark60" w:id="140"/>
      <w:bookmarkEnd w:id="140"/>
      <w:r>
        <w:rPr>
          <w:w w:val="105"/>
          <w:sz w:val="21"/>
        </w:rPr>
        <w:t>T</w:t>
      </w:r>
      <w:r>
        <w:rPr>
          <w:w w:val="105"/>
          <w:sz w:val="21"/>
        </w:rPr>
        <w:t>he </w:t>
      </w:r>
      <w:r>
        <w:rPr>
          <w:spacing w:val="-3"/>
          <w:w w:val="105"/>
          <w:sz w:val="21"/>
        </w:rPr>
        <w:t>applicant </w:t>
      </w:r>
      <w:r>
        <w:rPr>
          <w:w w:val="105"/>
          <w:sz w:val="21"/>
        </w:rPr>
        <w:t>also needs </w:t>
      </w:r>
      <w:r>
        <w:rPr>
          <w:spacing w:val="-3"/>
          <w:w w:val="105"/>
          <w:sz w:val="21"/>
        </w:rPr>
        <w:t>to </w:t>
      </w:r>
      <w:r>
        <w:rPr>
          <w:w w:val="105"/>
          <w:sz w:val="21"/>
        </w:rPr>
        <w:t>notify </w:t>
      </w:r>
      <w:r>
        <w:rPr>
          <w:spacing w:val="-6"/>
          <w:w w:val="105"/>
          <w:sz w:val="21"/>
        </w:rPr>
        <w:t>RMPAT </w:t>
      </w:r>
      <w:r>
        <w:rPr>
          <w:w w:val="105"/>
          <w:sz w:val="21"/>
        </w:rPr>
        <w:t>if they </w:t>
      </w:r>
      <w:r>
        <w:rPr>
          <w:spacing w:val="-3"/>
          <w:w w:val="105"/>
          <w:sz w:val="21"/>
        </w:rPr>
        <w:t>are aware </w:t>
      </w:r>
      <w:r>
        <w:rPr>
          <w:w w:val="105"/>
          <w:sz w:val="21"/>
        </w:rPr>
        <w:t>of </w:t>
      </w:r>
      <w:r>
        <w:rPr>
          <w:spacing w:val="-3"/>
          <w:w w:val="105"/>
          <w:sz w:val="21"/>
        </w:rPr>
        <w:t>any </w:t>
      </w:r>
      <w:r>
        <w:rPr>
          <w:w w:val="105"/>
          <w:sz w:val="21"/>
        </w:rPr>
        <w:t>other person whose interests </w:t>
      </w:r>
      <w:r>
        <w:rPr>
          <w:spacing w:val="-3"/>
          <w:w w:val="105"/>
          <w:sz w:val="21"/>
        </w:rPr>
        <w:t>may </w:t>
      </w:r>
      <w:r>
        <w:rPr>
          <w:w w:val="105"/>
          <w:sz w:val="21"/>
        </w:rPr>
        <w:t>be affected by the application.</w:t>
      </w:r>
      <w:r>
        <w:rPr>
          <w:w w:val="105"/>
          <w:position w:val="7"/>
          <w:sz w:val="12"/>
        </w:rPr>
        <w:t>402 </w:t>
      </w:r>
      <w:r>
        <w:rPr>
          <w:w w:val="105"/>
          <w:sz w:val="21"/>
        </w:rPr>
        <w:t>The </w:t>
      </w:r>
      <w:r>
        <w:rPr>
          <w:spacing w:val="-5"/>
          <w:w w:val="105"/>
          <w:sz w:val="21"/>
        </w:rPr>
        <w:t>Tribunal </w:t>
      </w:r>
      <w:r>
        <w:rPr>
          <w:w w:val="105"/>
          <w:sz w:val="21"/>
        </w:rPr>
        <w:t>asks applicants </w:t>
      </w:r>
      <w:r>
        <w:rPr>
          <w:spacing w:val="-3"/>
          <w:w w:val="105"/>
          <w:sz w:val="21"/>
        </w:rPr>
        <w:t>to outline any</w:t>
      </w:r>
      <w:r>
        <w:rPr>
          <w:spacing w:val="-8"/>
          <w:w w:val="105"/>
          <w:sz w:val="21"/>
        </w:rPr>
        <w:t> </w:t>
      </w:r>
      <w:r>
        <w:rPr>
          <w:spacing w:val="-3"/>
          <w:w w:val="105"/>
          <w:sz w:val="21"/>
        </w:rPr>
        <w:t>interim</w:t>
      </w:r>
      <w:r>
        <w:rPr>
          <w:spacing w:val="-7"/>
          <w:w w:val="105"/>
          <w:sz w:val="21"/>
        </w:rPr>
        <w:t> </w:t>
      </w:r>
      <w:r>
        <w:rPr>
          <w:w w:val="105"/>
          <w:sz w:val="21"/>
        </w:rPr>
        <w:t>order</w:t>
      </w:r>
      <w:r>
        <w:rPr>
          <w:spacing w:val="-7"/>
          <w:w w:val="105"/>
          <w:sz w:val="21"/>
        </w:rPr>
        <w:t> </w:t>
      </w:r>
      <w:r>
        <w:rPr>
          <w:spacing w:val="-3"/>
          <w:w w:val="105"/>
          <w:sz w:val="21"/>
        </w:rPr>
        <w:t>sought,</w:t>
      </w:r>
      <w:r>
        <w:rPr>
          <w:spacing w:val="-8"/>
          <w:w w:val="105"/>
          <w:sz w:val="21"/>
        </w:rPr>
        <w:t> </w:t>
      </w:r>
      <w:r>
        <w:rPr>
          <w:w w:val="105"/>
          <w:sz w:val="21"/>
        </w:rPr>
        <w:t>and</w:t>
      </w:r>
      <w:r>
        <w:rPr>
          <w:spacing w:val="-7"/>
          <w:w w:val="105"/>
          <w:sz w:val="21"/>
        </w:rPr>
        <w:t> </w:t>
      </w:r>
      <w:r>
        <w:rPr>
          <w:spacing w:val="-3"/>
          <w:w w:val="105"/>
          <w:sz w:val="21"/>
        </w:rPr>
        <w:t>to</w:t>
      </w:r>
      <w:r>
        <w:rPr>
          <w:spacing w:val="-7"/>
          <w:w w:val="105"/>
          <w:sz w:val="21"/>
        </w:rPr>
        <w:t> </w:t>
      </w:r>
      <w:r>
        <w:rPr>
          <w:w w:val="105"/>
          <w:sz w:val="21"/>
        </w:rPr>
        <w:t>provide</w:t>
      </w:r>
      <w:r>
        <w:rPr>
          <w:spacing w:val="-7"/>
          <w:w w:val="105"/>
          <w:sz w:val="21"/>
        </w:rPr>
        <w:t> </w:t>
      </w:r>
      <w:r>
        <w:rPr>
          <w:w w:val="105"/>
          <w:sz w:val="21"/>
        </w:rPr>
        <w:t>evidence</w:t>
      </w:r>
      <w:r>
        <w:rPr>
          <w:spacing w:val="-8"/>
          <w:w w:val="105"/>
          <w:sz w:val="21"/>
        </w:rPr>
        <w:t> </w:t>
      </w:r>
      <w:r>
        <w:rPr>
          <w:spacing w:val="-3"/>
          <w:w w:val="105"/>
          <w:sz w:val="21"/>
        </w:rPr>
        <w:t>that</w:t>
      </w:r>
      <w:r>
        <w:rPr>
          <w:spacing w:val="-7"/>
          <w:w w:val="105"/>
          <w:sz w:val="21"/>
        </w:rPr>
        <w:t> </w:t>
      </w:r>
      <w:r>
        <w:rPr>
          <w:w w:val="105"/>
          <w:sz w:val="21"/>
        </w:rPr>
        <w:t>is</w:t>
      </w:r>
      <w:r>
        <w:rPr>
          <w:spacing w:val="-7"/>
          <w:w w:val="105"/>
          <w:sz w:val="21"/>
        </w:rPr>
        <w:t> </w:t>
      </w:r>
      <w:r>
        <w:rPr>
          <w:w w:val="105"/>
          <w:sz w:val="21"/>
        </w:rPr>
        <w:t>the</w:t>
      </w:r>
      <w:r>
        <w:rPr>
          <w:spacing w:val="-7"/>
          <w:w w:val="105"/>
          <w:sz w:val="21"/>
        </w:rPr>
        <w:t> </w:t>
      </w:r>
      <w:r>
        <w:rPr>
          <w:w w:val="105"/>
          <w:sz w:val="21"/>
        </w:rPr>
        <w:t>basis</w:t>
      </w:r>
      <w:r>
        <w:rPr>
          <w:spacing w:val="-8"/>
          <w:w w:val="105"/>
          <w:sz w:val="21"/>
        </w:rPr>
        <w:t> </w:t>
      </w:r>
      <w:r>
        <w:rPr>
          <w:w w:val="105"/>
          <w:sz w:val="21"/>
        </w:rPr>
        <w:t>of</w:t>
      </w:r>
      <w:r>
        <w:rPr>
          <w:spacing w:val="-7"/>
          <w:w w:val="105"/>
          <w:sz w:val="21"/>
        </w:rPr>
        <w:t> </w:t>
      </w:r>
      <w:r>
        <w:rPr>
          <w:w w:val="105"/>
          <w:sz w:val="21"/>
        </w:rPr>
        <w:t>the</w:t>
      </w:r>
      <w:r>
        <w:rPr>
          <w:spacing w:val="-7"/>
          <w:w w:val="105"/>
          <w:sz w:val="21"/>
        </w:rPr>
        <w:t> </w:t>
      </w:r>
      <w:r>
        <w:rPr>
          <w:w w:val="105"/>
          <w:sz w:val="21"/>
        </w:rPr>
        <w:t>request,</w:t>
      </w:r>
      <w:r>
        <w:rPr>
          <w:spacing w:val="-8"/>
          <w:w w:val="105"/>
          <w:sz w:val="21"/>
        </w:rPr>
        <w:t> </w:t>
      </w:r>
      <w:r>
        <w:rPr>
          <w:spacing w:val="-3"/>
          <w:w w:val="105"/>
          <w:sz w:val="21"/>
        </w:rPr>
        <w:t>such</w:t>
      </w:r>
      <w:r>
        <w:rPr>
          <w:spacing w:val="-7"/>
          <w:w w:val="105"/>
          <w:sz w:val="21"/>
        </w:rPr>
        <w:t> </w:t>
      </w:r>
      <w:r>
        <w:rPr>
          <w:w w:val="105"/>
          <w:sz w:val="21"/>
        </w:rPr>
        <w:t>as evidence of an </w:t>
      </w:r>
      <w:r>
        <w:rPr>
          <w:spacing w:val="-3"/>
          <w:w w:val="105"/>
          <w:sz w:val="21"/>
        </w:rPr>
        <w:t>imminent threat </w:t>
      </w:r>
      <w:r>
        <w:rPr>
          <w:w w:val="105"/>
          <w:sz w:val="21"/>
        </w:rPr>
        <w:t>or injury </w:t>
      </w:r>
      <w:r>
        <w:rPr>
          <w:spacing w:val="-3"/>
          <w:w w:val="105"/>
          <w:sz w:val="21"/>
        </w:rPr>
        <w:t>to </w:t>
      </w:r>
      <w:r>
        <w:rPr>
          <w:w w:val="105"/>
          <w:sz w:val="21"/>
        </w:rPr>
        <w:t>person or</w:t>
      </w:r>
      <w:r>
        <w:rPr>
          <w:spacing w:val="30"/>
          <w:w w:val="105"/>
          <w:sz w:val="21"/>
        </w:rPr>
        <w:t> </w:t>
      </w:r>
      <w:r>
        <w:rPr>
          <w:w w:val="105"/>
          <w:sz w:val="21"/>
        </w:rPr>
        <w:t>property.</w:t>
      </w:r>
    </w:p>
    <w:p>
      <w:pPr>
        <w:pStyle w:val="ListParagraph"/>
        <w:numPr>
          <w:ilvl w:val="0"/>
          <w:numId w:val="79"/>
        </w:numPr>
        <w:tabs>
          <w:tab w:pos="2381" w:val="left" w:leader="none"/>
          <w:tab w:pos="2382" w:val="left" w:leader="none"/>
        </w:tabs>
        <w:spacing w:line="242" w:lineRule="auto" w:before="124" w:after="0"/>
        <w:ind w:left="2381" w:right="1750" w:hanging="794"/>
        <w:jc w:val="left"/>
        <w:rPr>
          <w:sz w:val="12"/>
        </w:rPr>
      </w:pPr>
      <w:r>
        <w:rPr>
          <w:w w:val="105"/>
          <w:sz w:val="21"/>
        </w:rPr>
        <w:t>Once</w:t>
      </w:r>
      <w:r>
        <w:rPr>
          <w:spacing w:val="-10"/>
          <w:w w:val="105"/>
          <w:sz w:val="21"/>
        </w:rPr>
        <w:t> </w:t>
      </w:r>
      <w:r>
        <w:rPr>
          <w:w w:val="105"/>
          <w:sz w:val="21"/>
        </w:rPr>
        <w:t>an</w:t>
      </w:r>
      <w:r>
        <w:rPr>
          <w:spacing w:val="-10"/>
          <w:w w:val="105"/>
          <w:sz w:val="21"/>
        </w:rPr>
        <w:t> </w:t>
      </w:r>
      <w:r>
        <w:rPr>
          <w:w w:val="105"/>
          <w:sz w:val="21"/>
        </w:rPr>
        <w:t>application</w:t>
      </w:r>
      <w:r>
        <w:rPr>
          <w:spacing w:val="-10"/>
          <w:w w:val="105"/>
          <w:sz w:val="21"/>
        </w:rPr>
        <w:t> </w:t>
      </w:r>
      <w:r>
        <w:rPr>
          <w:w w:val="105"/>
          <w:sz w:val="21"/>
        </w:rPr>
        <w:t>is</w:t>
      </w:r>
      <w:r>
        <w:rPr>
          <w:spacing w:val="-10"/>
          <w:w w:val="105"/>
          <w:sz w:val="21"/>
        </w:rPr>
        <w:t> </w:t>
      </w:r>
      <w:r>
        <w:rPr>
          <w:w w:val="105"/>
          <w:sz w:val="21"/>
        </w:rPr>
        <w:t>filed,</w:t>
      </w:r>
      <w:r>
        <w:rPr>
          <w:spacing w:val="-10"/>
          <w:w w:val="105"/>
          <w:sz w:val="21"/>
        </w:rPr>
        <w:t> </w:t>
      </w:r>
      <w:r>
        <w:rPr>
          <w:spacing w:val="-6"/>
          <w:w w:val="105"/>
          <w:sz w:val="21"/>
        </w:rPr>
        <w:t>RMPAT</w:t>
      </w:r>
      <w:r>
        <w:rPr>
          <w:spacing w:val="-10"/>
          <w:w w:val="105"/>
          <w:sz w:val="21"/>
        </w:rPr>
        <w:t> </w:t>
      </w:r>
      <w:r>
        <w:rPr>
          <w:spacing w:val="-3"/>
          <w:w w:val="105"/>
          <w:sz w:val="21"/>
        </w:rPr>
        <w:t>will</w:t>
      </w:r>
      <w:r>
        <w:rPr>
          <w:spacing w:val="-10"/>
          <w:w w:val="105"/>
          <w:sz w:val="21"/>
        </w:rPr>
        <w:t> </w:t>
      </w:r>
      <w:r>
        <w:rPr>
          <w:w w:val="105"/>
          <w:sz w:val="21"/>
        </w:rPr>
        <w:t>review</w:t>
      </w:r>
      <w:r>
        <w:rPr>
          <w:spacing w:val="-9"/>
          <w:w w:val="105"/>
          <w:sz w:val="21"/>
        </w:rPr>
        <w:t> </w:t>
      </w:r>
      <w:r>
        <w:rPr>
          <w:w w:val="105"/>
          <w:sz w:val="21"/>
        </w:rPr>
        <w:t>the</w:t>
      </w:r>
      <w:r>
        <w:rPr>
          <w:spacing w:val="-10"/>
          <w:w w:val="105"/>
          <w:sz w:val="21"/>
        </w:rPr>
        <w:t> </w:t>
      </w:r>
      <w:r>
        <w:rPr>
          <w:w w:val="105"/>
          <w:sz w:val="21"/>
        </w:rPr>
        <w:t>application</w:t>
      </w:r>
      <w:r>
        <w:rPr>
          <w:spacing w:val="-10"/>
          <w:w w:val="105"/>
          <w:sz w:val="21"/>
        </w:rPr>
        <w:t> </w:t>
      </w:r>
      <w:r>
        <w:rPr>
          <w:w w:val="105"/>
          <w:sz w:val="21"/>
        </w:rPr>
        <w:t>and</w:t>
      </w:r>
      <w:r>
        <w:rPr>
          <w:spacing w:val="-10"/>
          <w:w w:val="105"/>
          <w:sz w:val="21"/>
        </w:rPr>
        <w:t> </w:t>
      </w:r>
      <w:r>
        <w:rPr>
          <w:spacing w:val="-3"/>
          <w:w w:val="105"/>
          <w:sz w:val="21"/>
        </w:rPr>
        <w:t>determine</w:t>
      </w:r>
      <w:r>
        <w:rPr>
          <w:spacing w:val="-10"/>
          <w:w w:val="105"/>
          <w:sz w:val="21"/>
        </w:rPr>
        <w:t> </w:t>
      </w:r>
      <w:r>
        <w:rPr>
          <w:w w:val="105"/>
          <w:sz w:val="21"/>
        </w:rPr>
        <w:t>whether</w:t>
      </w:r>
      <w:r>
        <w:rPr>
          <w:spacing w:val="-10"/>
          <w:w w:val="105"/>
          <w:sz w:val="21"/>
        </w:rPr>
        <w:t> </w:t>
      </w:r>
      <w:r>
        <w:rPr>
          <w:w w:val="105"/>
          <w:sz w:val="21"/>
        </w:rPr>
        <w:t>it </w:t>
      </w:r>
      <w:r>
        <w:rPr>
          <w:spacing w:val="-3"/>
          <w:w w:val="105"/>
          <w:sz w:val="21"/>
        </w:rPr>
        <w:t>requires </w:t>
      </w:r>
      <w:r>
        <w:rPr>
          <w:w w:val="105"/>
          <w:sz w:val="21"/>
        </w:rPr>
        <w:t>the parties </w:t>
      </w:r>
      <w:r>
        <w:rPr>
          <w:spacing w:val="-3"/>
          <w:w w:val="105"/>
          <w:sz w:val="21"/>
        </w:rPr>
        <w:t>to </w:t>
      </w:r>
      <w:r>
        <w:rPr>
          <w:w w:val="105"/>
          <w:sz w:val="21"/>
        </w:rPr>
        <w:t>provide </w:t>
      </w:r>
      <w:r>
        <w:rPr>
          <w:spacing w:val="-3"/>
          <w:w w:val="105"/>
          <w:sz w:val="21"/>
        </w:rPr>
        <w:t>any additional</w:t>
      </w:r>
      <w:r>
        <w:rPr>
          <w:spacing w:val="35"/>
          <w:w w:val="105"/>
          <w:sz w:val="21"/>
        </w:rPr>
        <w:t> </w:t>
      </w:r>
      <w:r>
        <w:rPr>
          <w:spacing w:val="-3"/>
          <w:w w:val="105"/>
          <w:sz w:val="21"/>
        </w:rPr>
        <w:t>information.</w:t>
      </w:r>
      <w:r>
        <w:rPr>
          <w:spacing w:val="-3"/>
          <w:w w:val="105"/>
          <w:position w:val="7"/>
          <w:sz w:val="12"/>
        </w:rPr>
        <w:t>403</w:t>
      </w:r>
    </w:p>
    <w:p>
      <w:pPr>
        <w:pStyle w:val="BodyText"/>
        <w:spacing w:before="3"/>
        <w:rPr>
          <w:sz w:val="20"/>
        </w:rPr>
      </w:pPr>
    </w:p>
    <w:p>
      <w:pPr>
        <w:pStyle w:val="Heading5"/>
      </w:pPr>
      <w:r>
        <w:rPr>
          <w:w w:val="110"/>
        </w:rPr>
        <w:t>The Commission’s conclusions—application requirements</w:t>
      </w:r>
    </w:p>
    <w:p>
      <w:pPr>
        <w:pStyle w:val="ListParagraph"/>
        <w:numPr>
          <w:ilvl w:val="0"/>
          <w:numId w:val="79"/>
        </w:numPr>
        <w:tabs>
          <w:tab w:pos="2381" w:val="left" w:leader="none"/>
          <w:tab w:pos="2382" w:val="left" w:leader="none"/>
        </w:tabs>
        <w:spacing w:line="242" w:lineRule="auto" w:before="137" w:after="0"/>
        <w:ind w:left="2381" w:right="1717" w:hanging="794"/>
        <w:jc w:val="left"/>
        <w:rPr>
          <w:sz w:val="21"/>
        </w:rPr>
      </w:pPr>
      <w:r>
        <w:rPr>
          <w:sz w:val="21"/>
        </w:rPr>
        <w:t>Application </w:t>
      </w:r>
      <w:r>
        <w:rPr>
          <w:spacing w:val="-3"/>
          <w:sz w:val="21"/>
        </w:rPr>
        <w:t>forms for </w:t>
      </w:r>
      <w:r>
        <w:rPr>
          <w:sz w:val="21"/>
        </w:rPr>
        <w:t>a </w:t>
      </w:r>
      <w:r>
        <w:rPr>
          <w:spacing w:val="-3"/>
          <w:sz w:val="21"/>
        </w:rPr>
        <w:t>range </w:t>
      </w:r>
      <w:r>
        <w:rPr>
          <w:sz w:val="21"/>
        </w:rPr>
        <w:t>of </w:t>
      </w:r>
      <w:r>
        <w:rPr>
          <w:spacing w:val="-3"/>
          <w:sz w:val="21"/>
        </w:rPr>
        <w:t>different </w:t>
      </w:r>
      <w:r>
        <w:rPr>
          <w:sz w:val="21"/>
        </w:rPr>
        <w:t>civil and </w:t>
      </w:r>
      <w:r>
        <w:rPr>
          <w:spacing w:val="-3"/>
          <w:sz w:val="21"/>
        </w:rPr>
        <w:t>administrative </w:t>
      </w:r>
      <w:r>
        <w:rPr>
          <w:sz w:val="21"/>
        </w:rPr>
        <w:t>cases </w:t>
      </w:r>
      <w:r>
        <w:rPr>
          <w:spacing w:val="-3"/>
          <w:sz w:val="21"/>
        </w:rPr>
        <w:t>are  currently available </w:t>
      </w:r>
      <w:r>
        <w:rPr>
          <w:sz w:val="21"/>
        </w:rPr>
        <w:t>on </w:t>
      </w:r>
      <w:r>
        <w:rPr>
          <w:spacing w:val="-6"/>
          <w:sz w:val="21"/>
        </w:rPr>
        <w:t>VCAT’s </w:t>
      </w:r>
      <w:r>
        <w:rPr>
          <w:sz w:val="21"/>
        </w:rPr>
        <w:t>website.</w:t>
      </w:r>
      <w:r>
        <w:rPr>
          <w:position w:val="7"/>
          <w:sz w:val="12"/>
        </w:rPr>
        <w:t>404 </w:t>
      </w:r>
      <w:r>
        <w:rPr>
          <w:spacing w:val="-5"/>
          <w:sz w:val="21"/>
        </w:rPr>
        <w:t>VCAT </w:t>
      </w:r>
      <w:r>
        <w:rPr>
          <w:sz w:val="21"/>
        </w:rPr>
        <w:t>should </w:t>
      </w:r>
      <w:r>
        <w:rPr>
          <w:spacing w:val="-3"/>
          <w:sz w:val="21"/>
        </w:rPr>
        <w:t>consider  developing  </w:t>
      </w:r>
      <w:r>
        <w:rPr>
          <w:sz w:val="21"/>
        </w:rPr>
        <w:t>a  detailed  application </w:t>
      </w:r>
      <w:r>
        <w:rPr>
          <w:spacing w:val="-3"/>
          <w:sz w:val="21"/>
        </w:rPr>
        <w:t>form that </w:t>
      </w:r>
      <w:r>
        <w:rPr>
          <w:sz w:val="21"/>
        </w:rPr>
        <w:t>is modelled on the application </w:t>
      </w:r>
      <w:r>
        <w:rPr>
          <w:spacing w:val="-3"/>
          <w:sz w:val="21"/>
        </w:rPr>
        <w:t>forms for initiating </w:t>
      </w:r>
      <w:r>
        <w:rPr>
          <w:sz w:val="21"/>
        </w:rPr>
        <w:t>tree </w:t>
      </w:r>
      <w:r>
        <w:rPr>
          <w:spacing w:val="-3"/>
          <w:sz w:val="21"/>
        </w:rPr>
        <w:t>disputes </w:t>
      </w:r>
      <w:r>
        <w:rPr>
          <w:sz w:val="21"/>
        </w:rPr>
        <w:t>in the NSWLEC  and</w:t>
      </w:r>
      <w:r>
        <w:rPr>
          <w:spacing w:val="8"/>
          <w:sz w:val="21"/>
        </w:rPr>
        <w:t> </w:t>
      </w:r>
      <w:r>
        <w:rPr>
          <w:spacing w:val="-10"/>
          <w:sz w:val="21"/>
        </w:rPr>
        <w:t>QCAT.</w:t>
      </w:r>
    </w:p>
    <w:p>
      <w:pPr>
        <w:pStyle w:val="ListParagraph"/>
        <w:numPr>
          <w:ilvl w:val="0"/>
          <w:numId w:val="79"/>
        </w:numPr>
        <w:tabs>
          <w:tab w:pos="2380" w:val="left" w:leader="none"/>
          <w:tab w:pos="2382" w:val="left" w:leader="none"/>
        </w:tabs>
        <w:spacing w:line="242" w:lineRule="auto" w:before="125" w:after="0"/>
        <w:ind w:left="2381" w:right="2210" w:hanging="794"/>
        <w:jc w:val="left"/>
        <w:rPr>
          <w:sz w:val="21"/>
        </w:rPr>
      </w:pPr>
      <w:r>
        <w:rPr>
          <w:sz w:val="21"/>
        </w:rPr>
        <w:t>There should be a </w:t>
      </w:r>
      <w:r>
        <w:rPr>
          <w:spacing w:val="-3"/>
          <w:sz w:val="21"/>
        </w:rPr>
        <w:t>single </w:t>
      </w:r>
      <w:r>
        <w:rPr>
          <w:sz w:val="21"/>
        </w:rPr>
        <w:t>application </w:t>
      </w:r>
      <w:r>
        <w:rPr>
          <w:spacing w:val="-3"/>
          <w:sz w:val="21"/>
        </w:rPr>
        <w:t>form to </w:t>
      </w:r>
      <w:r>
        <w:rPr>
          <w:sz w:val="21"/>
        </w:rPr>
        <w:t>simplify and </w:t>
      </w:r>
      <w:r>
        <w:rPr>
          <w:spacing w:val="-3"/>
          <w:sz w:val="21"/>
        </w:rPr>
        <w:t>streamline </w:t>
      </w:r>
      <w:r>
        <w:rPr>
          <w:sz w:val="21"/>
        </w:rPr>
        <w:t>the application process.</w:t>
      </w:r>
      <w:r>
        <w:rPr>
          <w:spacing w:val="20"/>
          <w:sz w:val="21"/>
        </w:rPr>
        <w:t> </w:t>
      </w:r>
      <w:r>
        <w:rPr>
          <w:sz w:val="21"/>
        </w:rPr>
        <w:t>Applicants</w:t>
      </w:r>
      <w:r>
        <w:rPr>
          <w:spacing w:val="21"/>
          <w:sz w:val="21"/>
        </w:rPr>
        <w:t> </w:t>
      </w:r>
      <w:r>
        <w:rPr>
          <w:sz w:val="21"/>
        </w:rPr>
        <w:t>should</w:t>
      </w:r>
      <w:r>
        <w:rPr>
          <w:spacing w:val="21"/>
          <w:sz w:val="21"/>
        </w:rPr>
        <w:t> </w:t>
      </w:r>
      <w:r>
        <w:rPr>
          <w:sz w:val="21"/>
        </w:rPr>
        <w:t>supported</w:t>
      </w:r>
      <w:r>
        <w:rPr>
          <w:spacing w:val="21"/>
          <w:sz w:val="21"/>
        </w:rPr>
        <w:t> </w:t>
      </w:r>
      <w:r>
        <w:rPr>
          <w:sz w:val="21"/>
        </w:rPr>
        <w:t>with</w:t>
      </w:r>
      <w:r>
        <w:rPr>
          <w:spacing w:val="20"/>
          <w:sz w:val="21"/>
        </w:rPr>
        <w:t> </w:t>
      </w:r>
      <w:r>
        <w:rPr>
          <w:sz w:val="21"/>
        </w:rPr>
        <w:t>explanatory</w:t>
      </w:r>
      <w:r>
        <w:rPr>
          <w:spacing w:val="21"/>
          <w:sz w:val="21"/>
        </w:rPr>
        <w:t> </w:t>
      </w:r>
      <w:r>
        <w:rPr>
          <w:spacing w:val="-3"/>
          <w:sz w:val="21"/>
        </w:rPr>
        <w:t>material.</w:t>
      </w:r>
      <w:r>
        <w:rPr>
          <w:spacing w:val="21"/>
          <w:sz w:val="21"/>
        </w:rPr>
        <w:t> </w:t>
      </w:r>
      <w:r>
        <w:rPr>
          <w:sz w:val="21"/>
        </w:rPr>
        <w:t>See</w:t>
      </w:r>
      <w:r>
        <w:rPr>
          <w:spacing w:val="21"/>
          <w:sz w:val="21"/>
        </w:rPr>
        <w:t> </w:t>
      </w:r>
      <w:r>
        <w:rPr>
          <w:spacing w:val="-4"/>
          <w:sz w:val="21"/>
        </w:rPr>
        <w:t>Chapter</w:t>
      </w:r>
      <w:r>
        <w:rPr>
          <w:spacing w:val="20"/>
          <w:sz w:val="21"/>
        </w:rPr>
        <w:t> </w:t>
      </w:r>
      <w:r>
        <w:rPr>
          <w:spacing w:val="-9"/>
          <w:sz w:val="21"/>
        </w:rPr>
        <w:t>12.</w:t>
      </w:r>
    </w:p>
    <w:p>
      <w:pPr>
        <w:pStyle w:val="ListParagraph"/>
        <w:numPr>
          <w:ilvl w:val="0"/>
          <w:numId w:val="79"/>
        </w:numPr>
        <w:tabs>
          <w:tab w:pos="2380" w:val="left" w:leader="none"/>
          <w:tab w:pos="2381" w:val="left" w:leader="none"/>
        </w:tabs>
        <w:spacing w:line="242" w:lineRule="auto" w:before="122" w:after="0"/>
        <w:ind w:left="2380" w:right="1584" w:hanging="793"/>
        <w:jc w:val="left"/>
        <w:rPr>
          <w:sz w:val="12"/>
        </w:rPr>
      </w:pPr>
      <w:r>
        <w:rPr>
          <w:w w:val="105"/>
          <w:sz w:val="21"/>
        </w:rPr>
        <w:t>The </w:t>
      </w:r>
      <w:r>
        <w:rPr>
          <w:spacing w:val="-3"/>
          <w:w w:val="105"/>
          <w:sz w:val="21"/>
        </w:rPr>
        <w:t>Commission </w:t>
      </w:r>
      <w:r>
        <w:rPr>
          <w:w w:val="105"/>
          <w:sz w:val="21"/>
        </w:rPr>
        <w:t>was </w:t>
      </w:r>
      <w:r>
        <w:rPr>
          <w:spacing w:val="-3"/>
          <w:w w:val="105"/>
          <w:sz w:val="21"/>
        </w:rPr>
        <w:t>informed that </w:t>
      </w:r>
      <w:r>
        <w:rPr>
          <w:w w:val="105"/>
          <w:sz w:val="21"/>
        </w:rPr>
        <w:t>the detailed application </w:t>
      </w:r>
      <w:r>
        <w:rPr>
          <w:spacing w:val="-3"/>
          <w:w w:val="105"/>
          <w:sz w:val="21"/>
        </w:rPr>
        <w:t>form </w:t>
      </w:r>
      <w:r>
        <w:rPr>
          <w:w w:val="105"/>
          <w:sz w:val="21"/>
        </w:rPr>
        <w:t>in New South </w:t>
      </w:r>
      <w:r>
        <w:rPr>
          <w:spacing w:val="-3"/>
          <w:w w:val="105"/>
          <w:sz w:val="21"/>
        </w:rPr>
        <w:t>Wales </w:t>
      </w:r>
      <w:r>
        <w:rPr>
          <w:w w:val="105"/>
          <w:sz w:val="21"/>
        </w:rPr>
        <w:t>can assist the </w:t>
      </w:r>
      <w:r>
        <w:rPr>
          <w:spacing w:val="-3"/>
          <w:w w:val="105"/>
          <w:sz w:val="21"/>
        </w:rPr>
        <w:t>Court </w:t>
      </w:r>
      <w:r>
        <w:rPr>
          <w:w w:val="105"/>
          <w:sz w:val="21"/>
        </w:rPr>
        <w:t>by </w:t>
      </w:r>
      <w:r>
        <w:rPr>
          <w:spacing w:val="-3"/>
          <w:w w:val="105"/>
          <w:sz w:val="21"/>
        </w:rPr>
        <w:t>requiring </w:t>
      </w:r>
      <w:r>
        <w:rPr>
          <w:w w:val="105"/>
          <w:sz w:val="21"/>
        </w:rPr>
        <w:t>an </w:t>
      </w:r>
      <w:r>
        <w:rPr>
          <w:spacing w:val="-3"/>
          <w:w w:val="105"/>
          <w:sz w:val="21"/>
        </w:rPr>
        <w:t>applicant to ‘respond to all jurisdictional </w:t>
      </w:r>
      <w:r>
        <w:rPr>
          <w:w w:val="105"/>
          <w:sz w:val="21"/>
        </w:rPr>
        <w:t>and discretionary issues </w:t>
      </w:r>
      <w:r>
        <w:rPr>
          <w:spacing w:val="-3"/>
          <w:w w:val="105"/>
          <w:sz w:val="21"/>
        </w:rPr>
        <w:t>upfront’.</w:t>
      </w:r>
      <w:r>
        <w:rPr>
          <w:spacing w:val="-3"/>
          <w:w w:val="105"/>
          <w:position w:val="7"/>
          <w:sz w:val="12"/>
        </w:rPr>
        <w:t>405 </w:t>
      </w:r>
      <w:r>
        <w:rPr>
          <w:w w:val="105"/>
          <w:sz w:val="21"/>
        </w:rPr>
        <w:t>The </w:t>
      </w:r>
      <w:r>
        <w:rPr>
          <w:spacing w:val="-3"/>
          <w:w w:val="105"/>
          <w:sz w:val="21"/>
        </w:rPr>
        <w:t>Court noted that although </w:t>
      </w:r>
      <w:r>
        <w:rPr>
          <w:w w:val="105"/>
          <w:sz w:val="21"/>
        </w:rPr>
        <w:t>some applicants </w:t>
      </w:r>
      <w:r>
        <w:rPr>
          <w:spacing w:val="-3"/>
          <w:w w:val="105"/>
          <w:sz w:val="21"/>
        </w:rPr>
        <w:t>may </w:t>
      </w:r>
      <w:r>
        <w:rPr>
          <w:spacing w:val="-2"/>
          <w:w w:val="105"/>
          <w:sz w:val="21"/>
        </w:rPr>
        <w:t>not </w:t>
      </w:r>
      <w:r>
        <w:rPr>
          <w:w w:val="105"/>
          <w:sz w:val="21"/>
        </w:rPr>
        <w:t>provide </w:t>
      </w:r>
      <w:r>
        <w:rPr>
          <w:spacing w:val="-3"/>
          <w:w w:val="105"/>
          <w:sz w:val="21"/>
        </w:rPr>
        <w:t>complete information, </w:t>
      </w:r>
      <w:r>
        <w:rPr>
          <w:w w:val="105"/>
          <w:sz w:val="21"/>
        </w:rPr>
        <w:t>others </w:t>
      </w:r>
      <w:r>
        <w:rPr>
          <w:spacing w:val="-2"/>
          <w:w w:val="105"/>
          <w:sz w:val="21"/>
        </w:rPr>
        <w:t>pay </w:t>
      </w:r>
      <w:r>
        <w:rPr>
          <w:w w:val="105"/>
          <w:sz w:val="21"/>
        </w:rPr>
        <w:t>a </w:t>
      </w:r>
      <w:r>
        <w:rPr>
          <w:spacing w:val="-2"/>
          <w:w w:val="105"/>
          <w:sz w:val="21"/>
        </w:rPr>
        <w:t>lot </w:t>
      </w:r>
      <w:r>
        <w:rPr>
          <w:w w:val="105"/>
          <w:sz w:val="21"/>
        </w:rPr>
        <w:t>of attention </w:t>
      </w:r>
      <w:r>
        <w:rPr>
          <w:spacing w:val="-3"/>
          <w:w w:val="105"/>
          <w:sz w:val="21"/>
        </w:rPr>
        <w:t>to </w:t>
      </w:r>
      <w:r>
        <w:rPr>
          <w:w w:val="105"/>
          <w:sz w:val="21"/>
        </w:rPr>
        <w:t>the </w:t>
      </w:r>
      <w:r>
        <w:rPr>
          <w:spacing w:val="-3"/>
          <w:w w:val="105"/>
          <w:sz w:val="21"/>
        </w:rPr>
        <w:t>form </w:t>
      </w:r>
      <w:r>
        <w:rPr>
          <w:w w:val="105"/>
          <w:sz w:val="21"/>
        </w:rPr>
        <w:t>and </w:t>
      </w:r>
      <w:r>
        <w:rPr>
          <w:spacing w:val="-3"/>
          <w:w w:val="105"/>
          <w:sz w:val="21"/>
        </w:rPr>
        <w:t>complete </w:t>
      </w:r>
      <w:r>
        <w:rPr>
          <w:w w:val="105"/>
          <w:sz w:val="21"/>
        </w:rPr>
        <w:t>it with detailed</w:t>
      </w:r>
      <w:r>
        <w:rPr>
          <w:spacing w:val="5"/>
          <w:w w:val="105"/>
          <w:sz w:val="21"/>
        </w:rPr>
        <w:t> </w:t>
      </w:r>
      <w:r>
        <w:rPr>
          <w:w w:val="105"/>
          <w:sz w:val="21"/>
        </w:rPr>
        <w:t>responses.</w:t>
      </w:r>
      <w:r>
        <w:rPr>
          <w:w w:val="105"/>
          <w:position w:val="7"/>
          <w:sz w:val="12"/>
        </w:rPr>
        <w:t>406</w:t>
      </w:r>
    </w:p>
    <w:p>
      <w:pPr>
        <w:pStyle w:val="ListParagraph"/>
        <w:numPr>
          <w:ilvl w:val="0"/>
          <w:numId w:val="79"/>
        </w:numPr>
        <w:tabs>
          <w:tab w:pos="2381" w:val="left" w:leader="none"/>
          <w:tab w:pos="2382" w:val="left" w:leader="none"/>
        </w:tabs>
        <w:spacing w:line="242" w:lineRule="auto" w:before="125" w:after="0"/>
        <w:ind w:left="2381" w:right="2360" w:hanging="794"/>
        <w:jc w:val="left"/>
        <w:rPr>
          <w:sz w:val="21"/>
        </w:rPr>
      </w:pPr>
      <w:r>
        <w:rPr>
          <w:w w:val="105"/>
          <w:sz w:val="21"/>
        </w:rPr>
        <w:t>The</w:t>
      </w:r>
      <w:r>
        <w:rPr>
          <w:spacing w:val="-7"/>
          <w:w w:val="105"/>
          <w:sz w:val="21"/>
        </w:rPr>
        <w:t> </w:t>
      </w:r>
      <w:r>
        <w:rPr>
          <w:spacing w:val="-3"/>
          <w:w w:val="105"/>
          <w:sz w:val="21"/>
        </w:rPr>
        <w:t>Commission</w:t>
      </w:r>
      <w:r>
        <w:rPr>
          <w:spacing w:val="-7"/>
          <w:w w:val="105"/>
          <w:sz w:val="21"/>
        </w:rPr>
        <w:t> </w:t>
      </w:r>
      <w:r>
        <w:rPr>
          <w:w w:val="105"/>
          <w:sz w:val="21"/>
        </w:rPr>
        <w:t>supports</w:t>
      </w:r>
      <w:r>
        <w:rPr>
          <w:spacing w:val="-6"/>
          <w:w w:val="105"/>
          <w:sz w:val="21"/>
        </w:rPr>
        <w:t> </w:t>
      </w:r>
      <w:r>
        <w:rPr>
          <w:w w:val="105"/>
          <w:sz w:val="21"/>
        </w:rPr>
        <w:t>the</w:t>
      </w:r>
      <w:r>
        <w:rPr>
          <w:spacing w:val="-7"/>
          <w:w w:val="105"/>
          <w:sz w:val="21"/>
        </w:rPr>
        <w:t> </w:t>
      </w:r>
      <w:r>
        <w:rPr>
          <w:w w:val="105"/>
          <w:sz w:val="21"/>
        </w:rPr>
        <w:t>approach</w:t>
      </w:r>
      <w:r>
        <w:rPr>
          <w:spacing w:val="-7"/>
          <w:w w:val="105"/>
          <w:sz w:val="21"/>
        </w:rPr>
        <w:t> </w:t>
      </w:r>
      <w:r>
        <w:rPr>
          <w:spacing w:val="-3"/>
          <w:w w:val="105"/>
          <w:sz w:val="21"/>
        </w:rPr>
        <w:t>taken</w:t>
      </w:r>
      <w:r>
        <w:rPr>
          <w:spacing w:val="-6"/>
          <w:w w:val="105"/>
          <w:sz w:val="21"/>
        </w:rPr>
        <w:t> </w:t>
      </w:r>
      <w:r>
        <w:rPr>
          <w:w w:val="105"/>
          <w:sz w:val="21"/>
        </w:rPr>
        <w:t>in</w:t>
      </w:r>
      <w:r>
        <w:rPr>
          <w:spacing w:val="-7"/>
          <w:w w:val="105"/>
          <w:sz w:val="21"/>
        </w:rPr>
        <w:t> </w:t>
      </w:r>
      <w:r>
        <w:rPr>
          <w:w w:val="105"/>
          <w:sz w:val="21"/>
        </w:rPr>
        <w:t>application</w:t>
      </w:r>
      <w:r>
        <w:rPr>
          <w:spacing w:val="-6"/>
          <w:w w:val="105"/>
          <w:sz w:val="21"/>
        </w:rPr>
        <w:t> </w:t>
      </w:r>
      <w:r>
        <w:rPr>
          <w:spacing w:val="-3"/>
          <w:w w:val="105"/>
          <w:sz w:val="21"/>
        </w:rPr>
        <w:t>forms</w:t>
      </w:r>
      <w:r>
        <w:rPr>
          <w:spacing w:val="-7"/>
          <w:w w:val="105"/>
          <w:sz w:val="21"/>
        </w:rPr>
        <w:t> </w:t>
      </w:r>
      <w:r>
        <w:rPr>
          <w:spacing w:val="-3"/>
          <w:w w:val="105"/>
          <w:sz w:val="21"/>
        </w:rPr>
        <w:t>interstate.</w:t>
      </w:r>
      <w:r>
        <w:rPr>
          <w:spacing w:val="-7"/>
          <w:w w:val="105"/>
          <w:sz w:val="21"/>
        </w:rPr>
        <w:t> </w:t>
      </w:r>
      <w:r>
        <w:rPr>
          <w:spacing w:val="-3"/>
          <w:w w:val="105"/>
          <w:sz w:val="21"/>
        </w:rPr>
        <w:t>Key information sought from </w:t>
      </w:r>
      <w:r>
        <w:rPr>
          <w:w w:val="105"/>
          <w:sz w:val="21"/>
        </w:rPr>
        <w:t>the </w:t>
      </w:r>
      <w:r>
        <w:rPr>
          <w:spacing w:val="-3"/>
          <w:w w:val="105"/>
          <w:sz w:val="21"/>
        </w:rPr>
        <w:t>applicant </w:t>
      </w:r>
      <w:r>
        <w:rPr>
          <w:w w:val="105"/>
          <w:sz w:val="21"/>
        </w:rPr>
        <w:t>should</w:t>
      </w:r>
      <w:r>
        <w:rPr>
          <w:spacing w:val="38"/>
          <w:w w:val="105"/>
          <w:sz w:val="21"/>
        </w:rPr>
        <w:t> </w:t>
      </w:r>
      <w:r>
        <w:rPr>
          <w:w w:val="105"/>
          <w:sz w:val="21"/>
        </w:rPr>
        <w:t>include:</w:t>
      </w:r>
    </w:p>
    <w:p>
      <w:pPr>
        <w:pStyle w:val="ListParagraph"/>
        <w:numPr>
          <w:ilvl w:val="1"/>
          <w:numId w:val="79"/>
        </w:numPr>
        <w:tabs>
          <w:tab w:pos="2721" w:val="left" w:leader="none"/>
          <w:tab w:pos="2722" w:val="left" w:leader="none"/>
        </w:tabs>
        <w:spacing w:line="242" w:lineRule="auto" w:before="123" w:after="0"/>
        <w:ind w:left="2721" w:right="1615" w:hanging="340"/>
        <w:jc w:val="left"/>
        <w:rPr>
          <w:sz w:val="21"/>
        </w:rPr>
      </w:pPr>
      <w:r>
        <w:rPr>
          <w:sz w:val="21"/>
        </w:rPr>
        <w:t>a detailed description of the damage the </w:t>
      </w:r>
      <w:r>
        <w:rPr>
          <w:spacing w:val="-3"/>
          <w:sz w:val="21"/>
        </w:rPr>
        <w:t>applicant claims  </w:t>
      </w:r>
      <w:r>
        <w:rPr>
          <w:spacing w:val="-2"/>
          <w:sz w:val="21"/>
        </w:rPr>
        <w:t>has </w:t>
      </w:r>
      <w:r>
        <w:rPr>
          <w:spacing w:val="-3"/>
          <w:sz w:val="21"/>
        </w:rPr>
        <w:t>occurred,</w:t>
      </w:r>
      <w:r>
        <w:rPr>
          <w:spacing w:val="41"/>
          <w:sz w:val="21"/>
        </w:rPr>
        <w:t> </w:t>
      </w:r>
      <w:r>
        <w:rPr>
          <w:sz w:val="21"/>
        </w:rPr>
        <w:t>is </w:t>
      </w:r>
      <w:r>
        <w:rPr>
          <w:spacing w:val="-3"/>
          <w:sz w:val="21"/>
        </w:rPr>
        <w:t>occurring  </w:t>
      </w:r>
      <w:r>
        <w:rPr>
          <w:sz w:val="21"/>
        </w:rPr>
        <w:t>or  is </w:t>
      </w:r>
      <w:r>
        <w:rPr>
          <w:spacing w:val="-4"/>
          <w:sz w:val="21"/>
        </w:rPr>
        <w:t>likely </w:t>
      </w:r>
      <w:r>
        <w:rPr>
          <w:spacing w:val="-3"/>
          <w:sz w:val="21"/>
        </w:rPr>
        <w:t>to</w:t>
      </w:r>
      <w:r>
        <w:rPr>
          <w:spacing w:val="28"/>
          <w:sz w:val="21"/>
        </w:rPr>
        <w:t> </w:t>
      </w:r>
      <w:r>
        <w:rPr>
          <w:spacing w:val="-3"/>
          <w:sz w:val="21"/>
        </w:rPr>
        <w:t>occur</w:t>
      </w:r>
    </w:p>
    <w:p>
      <w:pPr>
        <w:pStyle w:val="ListParagraph"/>
        <w:numPr>
          <w:ilvl w:val="1"/>
          <w:numId w:val="79"/>
        </w:numPr>
        <w:tabs>
          <w:tab w:pos="2721" w:val="left" w:leader="none"/>
          <w:tab w:pos="2722" w:val="left" w:leader="none"/>
        </w:tabs>
        <w:spacing w:line="240" w:lineRule="auto" w:before="87" w:after="0"/>
        <w:ind w:left="2721" w:right="0" w:hanging="340"/>
        <w:jc w:val="left"/>
        <w:rPr>
          <w:sz w:val="21"/>
        </w:rPr>
      </w:pPr>
      <w:r>
        <w:rPr>
          <w:sz w:val="21"/>
        </w:rPr>
        <w:t>a</w:t>
      </w:r>
      <w:r>
        <w:rPr>
          <w:spacing w:val="11"/>
          <w:sz w:val="21"/>
        </w:rPr>
        <w:t> </w:t>
      </w:r>
      <w:r>
        <w:rPr>
          <w:sz w:val="21"/>
        </w:rPr>
        <w:t>detailed</w:t>
      </w:r>
      <w:r>
        <w:rPr>
          <w:spacing w:val="11"/>
          <w:sz w:val="21"/>
        </w:rPr>
        <w:t> </w:t>
      </w:r>
      <w:r>
        <w:rPr>
          <w:sz w:val="21"/>
        </w:rPr>
        <w:t>description</w:t>
      </w:r>
      <w:r>
        <w:rPr>
          <w:spacing w:val="12"/>
          <w:sz w:val="21"/>
        </w:rPr>
        <w:t> </w:t>
      </w:r>
      <w:r>
        <w:rPr>
          <w:sz w:val="21"/>
        </w:rPr>
        <w:t>of</w:t>
      </w:r>
      <w:r>
        <w:rPr>
          <w:spacing w:val="11"/>
          <w:sz w:val="21"/>
        </w:rPr>
        <w:t> </w:t>
      </w:r>
      <w:r>
        <w:rPr>
          <w:sz w:val="21"/>
        </w:rPr>
        <w:t>the</w:t>
      </w:r>
      <w:r>
        <w:rPr>
          <w:spacing w:val="12"/>
          <w:sz w:val="21"/>
        </w:rPr>
        <w:t> </w:t>
      </w:r>
      <w:r>
        <w:rPr>
          <w:spacing w:val="-3"/>
          <w:sz w:val="21"/>
        </w:rPr>
        <w:t>harm</w:t>
      </w:r>
      <w:r>
        <w:rPr>
          <w:spacing w:val="11"/>
          <w:sz w:val="21"/>
        </w:rPr>
        <w:t> </w:t>
      </w:r>
      <w:r>
        <w:rPr>
          <w:sz w:val="21"/>
        </w:rPr>
        <w:t>the</w:t>
      </w:r>
      <w:r>
        <w:rPr>
          <w:spacing w:val="12"/>
          <w:sz w:val="21"/>
        </w:rPr>
        <w:t> </w:t>
      </w:r>
      <w:r>
        <w:rPr>
          <w:spacing w:val="-3"/>
          <w:sz w:val="21"/>
        </w:rPr>
        <w:t>applicant</w:t>
      </w:r>
      <w:r>
        <w:rPr>
          <w:spacing w:val="11"/>
          <w:sz w:val="21"/>
        </w:rPr>
        <w:t> </w:t>
      </w:r>
      <w:r>
        <w:rPr>
          <w:spacing w:val="-3"/>
          <w:sz w:val="21"/>
        </w:rPr>
        <w:t>claims</w:t>
      </w:r>
      <w:r>
        <w:rPr>
          <w:spacing w:val="12"/>
          <w:sz w:val="21"/>
        </w:rPr>
        <w:t> </w:t>
      </w:r>
      <w:r>
        <w:rPr>
          <w:sz w:val="21"/>
        </w:rPr>
        <w:t>is</w:t>
      </w:r>
      <w:r>
        <w:rPr>
          <w:spacing w:val="11"/>
          <w:sz w:val="21"/>
        </w:rPr>
        <w:t> </w:t>
      </w:r>
      <w:r>
        <w:rPr>
          <w:spacing w:val="-3"/>
          <w:sz w:val="21"/>
        </w:rPr>
        <w:t>occurring</w:t>
      </w:r>
      <w:r>
        <w:rPr>
          <w:spacing w:val="12"/>
          <w:sz w:val="21"/>
        </w:rPr>
        <w:t> </w:t>
      </w:r>
      <w:r>
        <w:rPr>
          <w:sz w:val="21"/>
        </w:rPr>
        <w:t>or</w:t>
      </w:r>
      <w:r>
        <w:rPr>
          <w:spacing w:val="11"/>
          <w:sz w:val="21"/>
        </w:rPr>
        <w:t> </w:t>
      </w:r>
      <w:r>
        <w:rPr>
          <w:sz w:val="21"/>
        </w:rPr>
        <w:t>is</w:t>
      </w:r>
      <w:r>
        <w:rPr>
          <w:spacing w:val="12"/>
          <w:sz w:val="21"/>
        </w:rPr>
        <w:t> </w:t>
      </w:r>
      <w:r>
        <w:rPr>
          <w:spacing w:val="-4"/>
          <w:sz w:val="21"/>
        </w:rPr>
        <w:t>likely</w:t>
      </w:r>
      <w:r>
        <w:rPr>
          <w:spacing w:val="11"/>
          <w:sz w:val="21"/>
        </w:rPr>
        <w:t> </w:t>
      </w:r>
      <w:r>
        <w:rPr>
          <w:spacing w:val="-3"/>
          <w:sz w:val="21"/>
        </w:rPr>
        <w:t>to</w:t>
      </w:r>
      <w:r>
        <w:rPr>
          <w:spacing w:val="12"/>
          <w:sz w:val="21"/>
        </w:rPr>
        <w:t> </w:t>
      </w:r>
      <w:r>
        <w:rPr>
          <w:spacing w:val="-3"/>
          <w:sz w:val="21"/>
        </w:rPr>
        <w:t>occur</w:t>
      </w:r>
    </w:p>
    <w:p>
      <w:pPr>
        <w:pStyle w:val="ListParagraph"/>
        <w:numPr>
          <w:ilvl w:val="1"/>
          <w:numId w:val="79"/>
        </w:numPr>
        <w:tabs>
          <w:tab w:pos="2721" w:val="left" w:leader="none"/>
          <w:tab w:pos="2722" w:val="left" w:leader="none"/>
        </w:tabs>
        <w:spacing w:line="240" w:lineRule="auto" w:before="88" w:after="0"/>
        <w:ind w:left="2721" w:right="0" w:hanging="340"/>
        <w:jc w:val="left"/>
        <w:rPr>
          <w:sz w:val="21"/>
        </w:rPr>
      </w:pPr>
      <w:r>
        <w:rPr>
          <w:sz w:val="21"/>
        </w:rPr>
        <w:t>the</w:t>
      </w:r>
      <w:r>
        <w:rPr>
          <w:spacing w:val="8"/>
          <w:sz w:val="21"/>
        </w:rPr>
        <w:t> </w:t>
      </w:r>
      <w:r>
        <w:rPr>
          <w:sz w:val="21"/>
        </w:rPr>
        <w:t>location</w:t>
      </w:r>
      <w:r>
        <w:rPr>
          <w:spacing w:val="9"/>
          <w:sz w:val="21"/>
        </w:rPr>
        <w:t> </w:t>
      </w:r>
      <w:r>
        <w:rPr>
          <w:sz w:val="21"/>
        </w:rPr>
        <w:t>of</w:t>
      </w:r>
      <w:r>
        <w:rPr>
          <w:spacing w:val="9"/>
          <w:sz w:val="21"/>
        </w:rPr>
        <w:t> </w:t>
      </w:r>
      <w:r>
        <w:rPr>
          <w:sz w:val="21"/>
        </w:rPr>
        <w:t>the</w:t>
      </w:r>
      <w:r>
        <w:rPr>
          <w:spacing w:val="9"/>
          <w:sz w:val="21"/>
        </w:rPr>
        <w:t> </w:t>
      </w:r>
      <w:r>
        <w:rPr>
          <w:sz w:val="21"/>
        </w:rPr>
        <w:t>properties</w:t>
      </w:r>
      <w:r>
        <w:rPr>
          <w:spacing w:val="8"/>
          <w:sz w:val="21"/>
        </w:rPr>
        <w:t> </w:t>
      </w:r>
      <w:r>
        <w:rPr>
          <w:spacing w:val="-3"/>
          <w:sz w:val="21"/>
        </w:rPr>
        <w:t>involved</w:t>
      </w:r>
      <w:r>
        <w:rPr>
          <w:spacing w:val="9"/>
          <w:sz w:val="21"/>
        </w:rPr>
        <w:t> </w:t>
      </w:r>
      <w:r>
        <w:rPr>
          <w:sz w:val="21"/>
        </w:rPr>
        <w:t>in</w:t>
      </w:r>
      <w:r>
        <w:rPr>
          <w:spacing w:val="9"/>
          <w:sz w:val="21"/>
        </w:rPr>
        <w:t> </w:t>
      </w:r>
      <w:r>
        <w:rPr>
          <w:sz w:val="21"/>
        </w:rPr>
        <w:t>the</w:t>
      </w:r>
      <w:r>
        <w:rPr>
          <w:spacing w:val="9"/>
          <w:sz w:val="21"/>
        </w:rPr>
        <w:t> </w:t>
      </w:r>
      <w:r>
        <w:rPr>
          <w:spacing w:val="-3"/>
          <w:sz w:val="21"/>
        </w:rPr>
        <w:t>dispute</w:t>
      </w:r>
    </w:p>
    <w:p>
      <w:pPr>
        <w:pStyle w:val="ListParagraph"/>
        <w:numPr>
          <w:ilvl w:val="1"/>
          <w:numId w:val="79"/>
        </w:numPr>
        <w:tabs>
          <w:tab w:pos="2721" w:val="left" w:leader="none"/>
          <w:tab w:pos="2722" w:val="left" w:leader="none"/>
        </w:tabs>
        <w:spacing w:line="240" w:lineRule="auto" w:before="89" w:after="0"/>
        <w:ind w:left="2721" w:right="0" w:hanging="340"/>
        <w:jc w:val="left"/>
        <w:rPr>
          <w:sz w:val="21"/>
        </w:rPr>
      </w:pPr>
      <w:r>
        <w:rPr>
          <w:spacing w:val="-3"/>
          <w:sz w:val="21"/>
        </w:rPr>
        <w:t>any</w:t>
      </w:r>
      <w:r>
        <w:rPr>
          <w:spacing w:val="9"/>
          <w:sz w:val="21"/>
        </w:rPr>
        <w:t> </w:t>
      </w:r>
      <w:r>
        <w:rPr>
          <w:sz w:val="21"/>
        </w:rPr>
        <w:t>attempt</w:t>
      </w:r>
      <w:r>
        <w:rPr>
          <w:spacing w:val="10"/>
          <w:sz w:val="21"/>
        </w:rPr>
        <w:t> </w:t>
      </w:r>
      <w:r>
        <w:rPr>
          <w:sz w:val="21"/>
        </w:rPr>
        <w:t>the</w:t>
      </w:r>
      <w:r>
        <w:rPr>
          <w:spacing w:val="10"/>
          <w:sz w:val="21"/>
        </w:rPr>
        <w:t> </w:t>
      </w:r>
      <w:r>
        <w:rPr>
          <w:spacing w:val="-3"/>
          <w:sz w:val="21"/>
        </w:rPr>
        <w:t>applicant</w:t>
      </w:r>
      <w:r>
        <w:rPr>
          <w:spacing w:val="10"/>
          <w:sz w:val="21"/>
        </w:rPr>
        <w:t> </w:t>
      </w:r>
      <w:r>
        <w:rPr>
          <w:spacing w:val="-2"/>
          <w:sz w:val="21"/>
        </w:rPr>
        <w:t>has</w:t>
      </w:r>
      <w:r>
        <w:rPr>
          <w:spacing w:val="9"/>
          <w:sz w:val="21"/>
        </w:rPr>
        <w:t> </w:t>
      </w:r>
      <w:r>
        <w:rPr>
          <w:sz w:val="21"/>
        </w:rPr>
        <w:t>made</w:t>
      </w:r>
      <w:r>
        <w:rPr>
          <w:spacing w:val="10"/>
          <w:sz w:val="21"/>
        </w:rPr>
        <w:t> </w:t>
      </w:r>
      <w:r>
        <w:rPr>
          <w:spacing w:val="-3"/>
          <w:sz w:val="21"/>
        </w:rPr>
        <w:t>to</w:t>
      </w:r>
      <w:r>
        <w:rPr>
          <w:spacing w:val="10"/>
          <w:sz w:val="21"/>
        </w:rPr>
        <w:t> </w:t>
      </w:r>
      <w:r>
        <w:rPr>
          <w:sz w:val="21"/>
        </w:rPr>
        <w:t>resolve</w:t>
      </w:r>
      <w:r>
        <w:rPr>
          <w:spacing w:val="10"/>
          <w:sz w:val="21"/>
        </w:rPr>
        <w:t> </w:t>
      </w:r>
      <w:r>
        <w:rPr>
          <w:sz w:val="21"/>
        </w:rPr>
        <w:t>the</w:t>
      </w:r>
      <w:r>
        <w:rPr>
          <w:spacing w:val="9"/>
          <w:sz w:val="21"/>
        </w:rPr>
        <w:t> </w:t>
      </w:r>
      <w:r>
        <w:rPr>
          <w:spacing w:val="-3"/>
          <w:sz w:val="21"/>
        </w:rPr>
        <w:t>dispute</w:t>
      </w:r>
      <w:r>
        <w:rPr>
          <w:spacing w:val="10"/>
          <w:sz w:val="21"/>
        </w:rPr>
        <w:t> </w:t>
      </w:r>
      <w:r>
        <w:rPr>
          <w:spacing w:val="-3"/>
          <w:sz w:val="21"/>
        </w:rPr>
        <w:t>informally</w:t>
      </w:r>
    </w:p>
    <w:p>
      <w:pPr>
        <w:pStyle w:val="ListParagraph"/>
        <w:numPr>
          <w:ilvl w:val="1"/>
          <w:numId w:val="79"/>
        </w:numPr>
        <w:tabs>
          <w:tab w:pos="2721" w:val="left" w:leader="none"/>
          <w:tab w:pos="2722" w:val="left" w:leader="none"/>
        </w:tabs>
        <w:spacing w:line="240" w:lineRule="auto" w:before="89" w:after="0"/>
        <w:ind w:left="2721" w:right="0" w:hanging="340"/>
        <w:jc w:val="left"/>
        <w:rPr>
          <w:sz w:val="21"/>
        </w:rPr>
      </w:pPr>
      <w:r>
        <w:rPr>
          <w:w w:val="105"/>
          <w:sz w:val="21"/>
        </w:rPr>
        <w:t>the species of tree and whether it is a recognised</w:t>
      </w:r>
      <w:r>
        <w:rPr>
          <w:spacing w:val="38"/>
          <w:w w:val="105"/>
          <w:sz w:val="21"/>
        </w:rPr>
        <w:t> </w:t>
      </w:r>
      <w:r>
        <w:rPr>
          <w:w w:val="105"/>
          <w:sz w:val="21"/>
        </w:rPr>
        <w:t>weed</w:t>
      </w:r>
    </w:p>
    <w:p>
      <w:pPr>
        <w:pStyle w:val="ListParagraph"/>
        <w:numPr>
          <w:ilvl w:val="1"/>
          <w:numId w:val="79"/>
        </w:numPr>
        <w:tabs>
          <w:tab w:pos="2721" w:val="left" w:leader="none"/>
          <w:tab w:pos="2722" w:val="left" w:leader="none"/>
        </w:tabs>
        <w:spacing w:line="242" w:lineRule="auto" w:before="88" w:after="0"/>
        <w:ind w:left="2721" w:right="1586" w:hanging="340"/>
        <w:jc w:val="left"/>
        <w:rPr>
          <w:sz w:val="21"/>
        </w:rPr>
      </w:pPr>
      <w:r>
        <w:rPr>
          <w:spacing w:val="-3"/>
          <w:sz w:val="21"/>
        </w:rPr>
        <w:t>any planning </w:t>
      </w:r>
      <w:r>
        <w:rPr>
          <w:sz w:val="21"/>
        </w:rPr>
        <w:t>scheme </w:t>
      </w:r>
      <w:r>
        <w:rPr>
          <w:spacing w:val="-3"/>
          <w:sz w:val="21"/>
        </w:rPr>
        <w:t>requirements </w:t>
      </w:r>
      <w:r>
        <w:rPr>
          <w:sz w:val="21"/>
        </w:rPr>
        <w:t>or </w:t>
      </w:r>
      <w:r>
        <w:rPr>
          <w:spacing w:val="-3"/>
          <w:sz w:val="21"/>
        </w:rPr>
        <w:t>requirements </w:t>
      </w:r>
      <w:r>
        <w:rPr>
          <w:sz w:val="21"/>
        </w:rPr>
        <w:t>under other laws </w:t>
      </w:r>
      <w:r>
        <w:rPr>
          <w:spacing w:val="-3"/>
          <w:sz w:val="21"/>
        </w:rPr>
        <w:t>that </w:t>
      </w:r>
      <w:r>
        <w:rPr>
          <w:sz w:val="21"/>
        </w:rPr>
        <w:t>apply </w:t>
      </w:r>
      <w:r>
        <w:rPr>
          <w:spacing w:val="-3"/>
          <w:sz w:val="21"/>
        </w:rPr>
        <w:t>to </w:t>
      </w:r>
      <w:r>
        <w:rPr>
          <w:sz w:val="21"/>
        </w:rPr>
        <w:t>the tree</w:t>
      </w:r>
    </w:p>
    <w:p>
      <w:pPr>
        <w:pStyle w:val="ListParagraph"/>
        <w:numPr>
          <w:ilvl w:val="1"/>
          <w:numId w:val="79"/>
        </w:numPr>
        <w:tabs>
          <w:tab w:pos="2721" w:val="left" w:leader="none"/>
          <w:tab w:pos="2722" w:val="left" w:leader="none"/>
        </w:tabs>
        <w:spacing w:line="242" w:lineRule="auto" w:before="88" w:after="0"/>
        <w:ind w:left="2721" w:right="1780" w:hanging="340"/>
        <w:jc w:val="left"/>
        <w:rPr>
          <w:sz w:val="21"/>
        </w:rPr>
      </w:pPr>
      <w:r>
        <w:rPr>
          <w:sz w:val="21"/>
        </w:rPr>
        <w:t>whether the remedies </w:t>
      </w:r>
      <w:r>
        <w:rPr>
          <w:spacing w:val="-3"/>
          <w:sz w:val="21"/>
        </w:rPr>
        <w:t>sought </w:t>
      </w:r>
      <w:r>
        <w:rPr>
          <w:sz w:val="21"/>
        </w:rPr>
        <w:t>would </w:t>
      </w:r>
      <w:r>
        <w:rPr>
          <w:spacing w:val="-3"/>
          <w:sz w:val="21"/>
        </w:rPr>
        <w:t>require </w:t>
      </w:r>
      <w:r>
        <w:rPr>
          <w:sz w:val="21"/>
        </w:rPr>
        <w:t>the </w:t>
      </w:r>
      <w:r>
        <w:rPr>
          <w:spacing w:val="-3"/>
          <w:sz w:val="21"/>
        </w:rPr>
        <w:t>consent </w:t>
      </w:r>
      <w:r>
        <w:rPr>
          <w:sz w:val="21"/>
        </w:rPr>
        <w:t>or authorisation of </w:t>
      </w:r>
      <w:r>
        <w:rPr>
          <w:spacing w:val="-3"/>
          <w:sz w:val="21"/>
        </w:rPr>
        <w:t>another government </w:t>
      </w:r>
      <w:r>
        <w:rPr>
          <w:sz w:val="21"/>
        </w:rPr>
        <w:t>body </w:t>
      </w:r>
      <w:r>
        <w:rPr>
          <w:spacing w:val="-3"/>
          <w:sz w:val="21"/>
        </w:rPr>
        <w:t>(for example, </w:t>
      </w:r>
      <w:r>
        <w:rPr>
          <w:sz w:val="21"/>
        </w:rPr>
        <w:t>whether a permit would </w:t>
      </w:r>
      <w:r>
        <w:rPr>
          <w:spacing w:val="-3"/>
          <w:sz w:val="21"/>
        </w:rPr>
        <w:t>normally </w:t>
      </w:r>
      <w:r>
        <w:rPr>
          <w:sz w:val="21"/>
        </w:rPr>
        <w:t>be </w:t>
      </w:r>
      <w:r>
        <w:rPr>
          <w:spacing w:val="-3"/>
          <w:sz w:val="21"/>
        </w:rPr>
        <w:t>required to interfere </w:t>
      </w:r>
      <w:r>
        <w:rPr>
          <w:sz w:val="21"/>
        </w:rPr>
        <w:t>with the</w:t>
      </w:r>
      <w:r>
        <w:rPr>
          <w:spacing w:val="27"/>
          <w:sz w:val="21"/>
        </w:rPr>
        <w:t> </w:t>
      </w:r>
      <w:r>
        <w:rPr>
          <w:sz w:val="21"/>
        </w:rPr>
        <w:t>tree)</w:t>
      </w:r>
    </w:p>
    <w:p>
      <w:pPr>
        <w:pStyle w:val="ListParagraph"/>
        <w:numPr>
          <w:ilvl w:val="1"/>
          <w:numId w:val="79"/>
        </w:numPr>
        <w:tabs>
          <w:tab w:pos="2721" w:val="left" w:leader="none"/>
          <w:tab w:pos="2722" w:val="left" w:leader="none"/>
        </w:tabs>
        <w:spacing w:line="240" w:lineRule="auto" w:before="88" w:after="0"/>
        <w:ind w:left="2721" w:right="0" w:hanging="340"/>
        <w:jc w:val="left"/>
        <w:rPr>
          <w:sz w:val="21"/>
        </w:rPr>
      </w:pPr>
      <w:r>
        <w:rPr>
          <w:sz w:val="21"/>
        </w:rPr>
        <w:t>whether the matter </w:t>
      </w:r>
      <w:r>
        <w:rPr>
          <w:spacing w:val="-3"/>
          <w:sz w:val="21"/>
        </w:rPr>
        <w:t>relates to </w:t>
      </w:r>
      <w:r>
        <w:rPr>
          <w:sz w:val="21"/>
        </w:rPr>
        <w:t>a</w:t>
      </w:r>
      <w:r>
        <w:rPr>
          <w:spacing w:val="9"/>
          <w:sz w:val="21"/>
        </w:rPr>
        <w:t> </w:t>
      </w:r>
      <w:r>
        <w:rPr>
          <w:spacing w:val="-3"/>
          <w:sz w:val="21"/>
        </w:rPr>
        <w:t>fence</w:t>
      </w:r>
    </w:p>
    <w:p>
      <w:pPr>
        <w:pStyle w:val="ListParagraph"/>
        <w:numPr>
          <w:ilvl w:val="1"/>
          <w:numId w:val="79"/>
        </w:numPr>
        <w:tabs>
          <w:tab w:pos="2721" w:val="left" w:leader="none"/>
          <w:tab w:pos="2722" w:val="left" w:leader="none"/>
        </w:tabs>
        <w:spacing w:line="242" w:lineRule="auto" w:before="89" w:after="0"/>
        <w:ind w:left="2721" w:right="1624" w:hanging="340"/>
        <w:jc w:val="left"/>
        <w:rPr>
          <w:sz w:val="21"/>
        </w:rPr>
      </w:pPr>
      <w:r>
        <w:rPr>
          <w:w w:val="105"/>
          <w:sz w:val="21"/>
        </w:rPr>
        <w:t>details</w:t>
      </w:r>
      <w:r>
        <w:rPr>
          <w:spacing w:val="-6"/>
          <w:w w:val="105"/>
          <w:sz w:val="21"/>
        </w:rPr>
        <w:t> </w:t>
      </w:r>
      <w:r>
        <w:rPr>
          <w:w w:val="105"/>
          <w:sz w:val="21"/>
        </w:rPr>
        <w:t>of</w:t>
      </w:r>
      <w:r>
        <w:rPr>
          <w:spacing w:val="-5"/>
          <w:w w:val="105"/>
          <w:sz w:val="21"/>
        </w:rPr>
        <w:t> </w:t>
      </w:r>
      <w:r>
        <w:rPr>
          <w:w w:val="105"/>
          <w:sz w:val="21"/>
        </w:rPr>
        <w:t>statements</w:t>
      </w:r>
      <w:r>
        <w:rPr>
          <w:spacing w:val="-6"/>
          <w:w w:val="105"/>
          <w:sz w:val="21"/>
        </w:rPr>
        <w:t> </w:t>
      </w:r>
      <w:r>
        <w:rPr>
          <w:spacing w:val="-3"/>
          <w:w w:val="105"/>
          <w:sz w:val="21"/>
        </w:rPr>
        <w:t>from</w:t>
      </w:r>
      <w:r>
        <w:rPr>
          <w:spacing w:val="-5"/>
          <w:w w:val="105"/>
          <w:sz w:val="21"/>
        </w:rPr>
        <w:t> </w:t>
      </w:r>
      <w:r>
        <w:rPr>
          <w:w w:val="105"/>
          <w:sz w:val="21"/>
        </w:rPr>
        <w:t>experts</w:t>
      </w:r>
      <w:r>
        <w:rPr>
          <w:spacing w:val="-6"/>
          <w:w w:val="105"/>
          <w:sz w:val="21"/>
        </w:rPr>
        <w:t> </w:t>
      </w:r>
      <w:r>
        <w:rPr>
          <w:spacing w:val="-3"/>
          <w:w w:val="105"/>
          <w:sz w:val="21"/>
        </w:rPr>
        <w:t>concerning</w:t>
      </w:r>
      <w:r>
        <w:rPr>
          <w:spacing w:val="-5"/>
          <w:w w:val="105"/>
          <w:sz w:val="21"/>
        </w:rPr>
        <w:t> </w:t>
      </w:r>
      <w:r>
        <w:rPr>
          <w:w w:val="105"/>
          <w:sz w:val="21"/>
        </w:rPr>
        <w:t>the</w:t>
      </w:r>
      <w:r>
        <w:rPr>
          <w:spacing w:val="-6"/>
          <w:w w:val="105"/>
          <w:sz w:val="21"/>
        </w:rPr>
        <w:t> </w:t>
      </w:r>
      <w:r>
        <w:rPr>
          <w:w w:val="105"/>
          <w:sz w:val="21"/>
        </w:rPr>
        <w:t>damage</w:t>
      </w:r>
      <w:r>
        <w:rPr>
          <w:spacing w:val="-5"/>
          <w:w w:val="105"/>
          <w:sz w:val="21"/>
        </w:rPr>
        <w:t> </w:t>
      </w:r>
      <w:r>
        <w:rPr>
          <w:w w:val="105"/>
          <w:sz w:val="21"/>
        </w:rPr>
        <w:t>or</w:t>
      </w:r>
      <w:r>
        <w:rPr>
          <w:spacing w:val="-5"/>
          <w:w w:val="105"/>
          <w:sz w:val="21"/>
        </w:rPr>
        <w:t> </w:t>
      </w:r>
      <w:r>
        <w:rPr>
          <w:spacing w:val="-3"/>
          <w:w w:val="105"/>
          <w:sz w:val="21"/>
        </w:rPr>
        <w:t>likelihood</w:t>
      </w:r>
      <w:r>
        <w:rPr>
          <w:spacing w:val="-6"/>
          <w:w w:val="105"/>
          <w:sz w:val="21"/>
        </w:rPr>
        <w:t> </w:t>
      </w:r>
      <w:r>
        <w:rPr>
          <w:w w:val="105"/>
          <w:sz w:val="21"/>
        </w:rPr>
        <w:t>of</w:t>
      </w:r>
      <w:r>
        <w:rPr>
          <w:spacing w:val="-5"/>
          <w:w w:val="105"/>
          <w:sz w:val="21"/>
        </w:rPr>
        <w:t> </w:t>
      </w:r>
      <w:r>
        <w:rPr>
          <w:spacing w:val="-3"/>
          <w:w w:val="105"/>
          <w:sz w:val="21"/>
        </w:rPr>
        <w:t>harm,</w:t>
      </w:r>
      <w:r>
        <w:rPr>
          <w:spacing w:val="-6"/>
          <w:w w:val="105"/>
          <w:sz w:val="21"/>
        </w:rPr>
        <w:t> </w:t>
      </w:r>
      <w:r>
        <w:rPr>
          <w:spacing w:val="-3"/>
          <w:w w:val="105"/>
          <w:sz w:val="21"/>
        </w:rPr>
        <w:t>such </w:t>
      </w:r>
      <w:r>
        <w:rPr>
          <w:w w:val="105"/>
          <w:sz w:val="21"/>
        </w:rPr>
        <w:t>as an arborist’s report or structural </w:t>
      </w:r>
      <w:r>
        <w:rPr>
          <w:spacing w:val="-3"/>
          <w:w w:val="105"/>
          <w:sz w:val="21"/>
        </w:rPr>
        <w:t>engineering</w:t>
      </w:r>
      <w:r>
        <w:rPr>
          <w:spacing w:val="21"/>
          <w:w w:val="105"/>
          <w:sz w:val="21"/>
        </w:rPr>
        <w:t> </w:t>
      </w:r>
      <w:r>
        <w:rPr>
          <w:w w:val="105"/>
          <w:sz w:val="21"/>
        </w:rPr>
        <w:t>advice</w:t>
      </w:r>
    </w:p>
    <w:p>
      <w:pPr>
        <w:pStyle w:val="ListParagraph"/>
        <w:numPr>
          <w:ilvl w:val="1"/>
          <w:numId w:val="79"/>
        </w:numPr>
        <w:tabs>
          <w:tab w:pos="2721" w:val="left" w:leader="none"/>
          <w:tab w:pos="2722" w:val="left" w:leader="none"/>
        </w:tabs>
        <w:spacing w:line="242" w:lineRule="auto" w:before="87" w:after="0"/>
        <w:ind w:left="2721" w:right="2100" w:hanging="340"/>
        <w:jc w:val="left"/>
        <w:rPr>
          <w:sz w:val="21"/>
        </w:rPr>
      </w:pPr>
      <w:r>
        <w:rPr>
          <w:w w:val="105"/>
          <w:sz w:val="21"/>
        </w:rPr>
        <w:t>the</w:t>
      </w:r>
      <w:r>
        <w:rPr>
          <w:spacing w:val="-7"/>
          <w:w w:val="105"/>
          <w:sz w:val="21"/>
        </w:rPr>
        <w:t> </w:t>
      </w:r>
      <w:r>
        <w:rPr>
          <w:spacing w:val="-3"/>
          <w:w w:val="105"/>
          <w:sz w:val="21"/>
        </w:rPr>
        <w:t>amount</w:t>
      </w:r>
      <w:r>
        <w:rPr>
          <w:spacing w:val="-6"/>
          <w:w w:val="105"/>
          <w:sz w:val="21"/>
        </w:rPr>
        <w:t> </w:t>
      </w:r>
      <w:r>
        <w:rPr>
          <w:w w:val="105"/>
          <w:sz w:val="21"/>
        </w:rPr>
        <w:t>of</w:t>
      </w:r>
      <w:r>
        <w:rPr>
          <w:spacing w:val="-7"/>
          <w:w w:val="105"/>
          <w:sz w:val="21"/>
        </w:rPr>
        <w:t> </w:t>
      </w:r>
      <w:r>
        <w:rPr>
          <w:w w:val="105"/>
          <w:sz w:val="21"/>
        </w:rPr>
        <w:t>compensation</w:t>
      </w:r>
      <w:r>
        <w:rPr>
          <w:spacing w:val="-6"/>
          <w:w w:val="105"/>
          <w:sz w:val="21"/>
        </w:rPr>
        <w:t> </w:t>
      </w:r>
      <w:r>
        <w:rPr>
          <w:spacing w:val="-3"/>
          <w:w w:val="105"/>
          <w:sz w:val="21"/>
        </w:rPr>
        <w:t>claimed</w:t>
      </w:r>
      <w:r>
        <w:rPr>
          <w:spacing w:val="-7"/>
          <w:w w:val="105"/>
          <w:sz w:val="21"/>
        </w:rPr>
        <w:t> </w:t>
      </w:r>
      <w:r>
        <w:rPr>
          <w:spacing w:val="-3"/>
          <w:w w:val="105"/>
          <w:sz w:val="21"/>
        </w:rPr>
        <w:t>for</w:t>
      </w:r>
      <w:r>
        <w:rPr>
          <w:spacing w:val="-6"/>
          <w:w w:val="105"/>
          <w:sz w:val="21"/>
        </w:rPr>
        <w:t> </w:t>
      </w:r>
      <w:r>
        <w:rPr>
          <w:w w:val="105"/>
          <w:sz w:val="21"/>
        </w:rPr>
        <w:t>property</w:t>
      </w:r>
      <w:r>
        <w:rPr>
          <w:spacing w:val="-7"/>
          <w:w w:val="105"/>
          <w:sz w:val="21"/>
        </w:rPr>
        <w:t> </w:t>
      </w:r>
      <w:r>
        <w:rPr>
          <w:w w:val="105"/>
          <w:sz w:val="21"/>
        </w:rPr>
        <w:t>damage</w:t>
      </w:r>
      <w:r>
        <w:rPr>
          <w:spacing w:val="-6"/>
          <w:w w:val="105"/>
          <w:sz w:val="21"/>
        </w:rPr>
        <w:t> </w:t>
      </w:r>
      <w:r>
        <w:rPr>
          <w:w w:val="105"/>
          <w:sz w:val="21"/>
        </w:rPr>
        <w:t>and</w:t>
      </w:r>
      <w:r>
        <w:rPr>
          <w:spacing w:val="-7"/>
          <w:w w:val="105"/>
          <w:sz w:val="21"/>
        </w:rPr>
        <w:t> </w:t>
      </w:r>
      <w:r>
        <w:rPr>
          <w:w w:val="105"/>
          <w:sz w:val="21"/>
        </w:rPr>
        <w:t>the</w:t>
      </w:r>
      <w:r>
        <w:rPr>
          <w:spacing w:val="-6"/>
          <w:w w:val="105"/>
          <w:sz w:val="21"/>
        </w:rPr>
        <w:t> </w:t>
      </w:r>
      <w:r>
        <w:rPr>
          <w:w w:val="105"/>
          <w:sz w:val="21"/>
        </w:rPr>
        <w:t>basis</w:t>
      </w:r>
      <w:r>
        <w:rPr>
          <w:spacing w:val="-6"/>
          <w:w w:val="105"/>
          <w:sz w:val="21"/>
        </w:rPr>
        <w:t> </w:t>
      </w:r>
      <w:r>
        <w:rPr>
          <w:spacing w:val="-3"/>
          <w:w w:val="105"/>
          <w:sz w:val="21"/>
        </w:rPr>
        <w:t>for</w:t>
      </w:r>
      <w:r>
        <w:rPr>
          <w:spacing w:val="-7"/>
          <w:w w:val="105"/>
          <w:sz w:val="21"/>
        </w:rPr>
        <w:t> </w:t>
      </w:r>
      <w:r>
        <w:rPr>
          <w:w w:val="105"/>
          <w:sz w:val="21"/>
        </w:rPr>
        <w:t>this </w:t>
      </w:r>
      <w:r>
        <w:rPr>
          <w:spacing w:val="-3"/>
          <w:w w:val="105"/>
          <w:sz w:val="21"/>
        </w:rPr>
        <w:t>amount</w:t>
      </w:r>
    </w:p>
    <w:p>
      <w:pPr>
        <w:pStyle w:val="ListParagraph"/>
        <w:numPr>
          <w:ilvl w:val="1"/>
          <w:numId w:val="79"/>
        </w:numPr>
        <w:tabs>
          <w:tab w:pos="2721" w:val="left" w:leader="none"/>
          <w:tab w:pos="2722" w:val="left" w:leader="none"/>
        </w:tabs>
        <w:spacing w:line="242" w:lineRule="auto" w:before="87" w:after="0"/>
        <w:ind w:left="2721" w:right="1666" w:hanging="340"/>
        <w:jc w:val="left"/>
        <w:rPr>
          <w:sz w:val="21"/>
        </w:rPr>
      </w:pPr>
      <w:r>
        <w:rPr>
          <w:w w:val="105"/>
          <w:sz w:val="21"/>
        </w:rPr>
        <w:t>whether the </w:t>
      </w:r>
      <w:r>
        <w:rPr>
          <w:spacing w:val="-3"/>
          <w:w w:val="105"/>
          <w:sz w:val="21"/>
        </w:rPr>
        <w:t>applicant </w:t>
      </w:r>
      <w:r>
        <w:rPr>
          <w:w w:val="105"/>
          <w:sz w:val="21"/>
        </w:rPr>
        <w:t>is an owner or </w:t>
      </w:r>
      <w:r>
        <w:rPr>
          <w:spacing w:val="-3"/>
          <w:w w:val="105"/>
          <w:sz w:val="21"/>
        </w:rPr>
        <w:t>occupier </w:t>
      </w:r>
      <w:r>
        <w:rPr>
          <w:w w:val="105"/>
          <w:sz w:val="21"/>
        </w:rPr>
        <w:t>of the </w:t>
      </w:r>
      <w:r>
        <w:rPr>
          <w:spacing w:val="-3"/>
          <w:w w:val="105"/>
          <w:sz w:val="21"/>
        </w:rPr>
        <w:t>land </w:t>
      </w:r>
      <w:r>
        <w:rPr>
          <w:w w:val="105"/>
          <w:sz w:val="21"/>
        </w:rPr>
        <w:t>affected by the </w:t>
      </w:r>
      <w:r>
        <w:rPr>
          <w:spacing w:val="-3"/>
          <w:w w:val="105"/>
          <w:sz w:val="21"/>
        </w:rPr>
        <w:t>tree. </w:t>
      </w:r>
      <w:r>
        <w:rPr>
          <w:w w:val="105"/>
          <w:sz w:val="21"/>
        </w:rPr>
        <w:t>If the </w:t>
      </w:r>
      <w:r>
        <w:rPr>
          <w:spacing w:val="-3"/>
          <w:w w:val="105"/>
          <w:sz w:val="21"/>
        </w:rPr>
        <w:t>applicant </w:t>
      </w:r>
      <w:r>
        <w:rPr>
          <w:w w:val="105"/>
          <w:sz w:val="21"/>
        </w:rPr>
        <w:t>is an </w:t>
      </w:r>
      <w:r>
        <w:rPr>
          <w:spacing w:val="-3"/>
          <w:w w:val="105"/>
          <w:sz w:val="21"/>
        </w:rPr>
        <w:t>occupier </w:t>
      </w:r>
      <w:r>
        <w:rPr>
          <w:w w:val="105"/>
          <w:sz w:val="21"/>
        </w:rPr>
        <w:t>of the </w:t>
      </w:r>
      <w:r>
        <w:rPr>
          <w:spacing w:val="-3"/>
          <w:w w:val="105"/>
          <w:sz w:val="21"/>
        </w:rPr>
        <w:t>land, </w:t>
      </w:r>
      <w:r>
        <w:rPr>
          <w:w w:val="105"/>
          <w:sz w:val="21"/>
        </w:rPr>
        <w:t>they </w:t>
      </w:r>
      <w:r>
        <w:rPr>
          <w:spacing w:val="-3"/>
          <w:w w:val="105"/>
          <w:sz w:val="21"/>
        </w:rPr>
        <w:t>will </w:t>
      </w:r>
      <w:r>
        <w:rPr>
          <w:w w:val="105"/>
          <w:sz w:val="21"/>
        </w:rPr>
        <w:t>need </w:t>
      </w:r>
      <w:r>
        <w:rPr>
          <w:spacing w:val="-3"/>
          <w:w w:val="105"/>
          <w:sz w:val="21"/>
        </w:rPr>
        <w:t>to </w:t>
      </w:r>
      <w:r>
        <w:rPr>
          <w:w w:val="105"/>
          <w:sz w:val="21"/>
        </w:rPr>
        <w:t>satisfy the decision </w:t>
      </w:r>
      <w:r>
        <w:rPr>
          <w:spacing w:val="-4"/>
          <w:w w:val="105"/>
          <w:sz w:val="21"/>
        </w:rPr>
        <w:t>maker </w:t>
      </w:r>
      <w:r>
        <w:rPr>
          <w:spacing w:val="-3"/>
          <w:w w:val="105"/>
          <w:sz w:val="21"/>
        </w:rPr>
        <w:t>that </w:t>
      </w:r>
      <w:r>
        <w:rPr>
          <w:w w:val="105"/>
          <w:sz w:val="21"/>
        </w:rPr>
        <w:t>they</w:t>
      </w:r>
      <w:r>
        <w:rPr>
          <w:spacing w:val="-5"/>
          <w:w w:val="105"/>
          <w:sz w:val="21"/>
        </w:rPr>
        <w:t> </w:t>
      </w:r>
      <w:r>
        <w:rPr>
          <w:spacing w:val="-3"/>
          <w:w w:val="105"/>
          <w:sz w:val="21"/>
        </w:rPr>
        <w:t>have</w:t>
      </w:r>
      <w:r>
        <w:rPr>
          <w:spacing w:val="-5"/>
          <w:w w:val="105"/>
          <w:sz w:val="21"/>
        </w:rPr>
        <w:t> </w:t>
      </w:r>
      <w:r>
        <w:rPr>
          <w:spacing w:val="-3"/>
          <w:w w:val="105"/>
          <w:sz w:val="21"/>
        </w:rPr>
        <w:t>asked</w:t>
      </w:r>
      <w:r>
        <w:rPr>
          <w:spacing w:val="-5"/>
          <w:w w:val="105"/>
          <w:sz w:val="21"/>
        </w:rPr>
        <w:t> </w:t>
      </w:r>
      <w:r>
        <w:rPr>
          <w:w w:val="105"/>
          <w:sz w:val="21"/>
        </w:rPr>
        <w:t>the</w:t>
      </w:r>
      <w:r>
        <w:rPr>
          <w:spacing w:val="-4"/>
          <w:w w:val="105"/>
          <w:sz w:val="21"/>
        </w:rPr>
        <w:t> </w:t>
      </w:r>
      <w:r>
        <w:rPr>
          <w:w w:val="105"/>
          <w:sz w:val="21"/>
        </w:rPr>
        <w:t>owner</w:t>
      </w:r>
      <w:r>
        <w:rPr>
          <w:spacing w:val="-5"/>
          <w:w w:val="105"/>
          <w:sz w:val="21"/>
        </w:rPr>
        <w:t> </w:t>
      </w:r>
      <w:r>
        <w:rPr>
          <w:w w:val="105"/>
          <w:sz w:val="21"/>
        </w:rPr>
        <w:t>of</w:t>
      </w:r>
      <w:r>
        <w:rPr>
          <w:spacing w:val="-5"/>
          <w:w w:val="105"/>
          <w:sz w:val="21"/>
        </w:rPr>
        <w:t> </w:t>
      </w:r>
      <w:r>
        <w:rPr>
          <w:w w:val="105"/>
          <w:sz w:val="21"/>
        </w:rPr>
        <w:t>the</w:t>
      </w:r>
      <w:r>
        <w:rPr>
          <w:spacing w:val="-5"/>
          <w:w w:val="105"/>
          <w:sz w:val="21"/>
        </w:rPr>
        <w:t> </w:t>
      </w:r>
      <w:r>
        <w:rPr>
          <w:spacing w:val="-3"/>
          <w:w w:val="105"/>
          <w:sz w:val="21"/>
        </w:rPr>
        <w:t>land</w:t>
      </w:r>
      <w:r>
        <w:rPr>
          <w:spacing w:val="-4"/>
          <w:w w:val="105"/>
          <w:sz w:val="21"/>
        </w:rPr>
        <w:t> </w:t>
      </w:r>
      <w:r>
        <w:rPr>
          <w:spacing w:val="-3"/>
          <w:w w:val="105"/>
          <w:sz w:val="21"/>
        </w:rPr>
        <w:t>to</w:t>
      </w:r>
      <w:r>
        <w:rPr>
          <w:spacing w:val="-5"/>
          <w:w w:val="105"/>
          <w:sz w:val="21"/>
        </w:rPr>
        <w:t> </w:t>
      </w:r>
      <w:r>
        <w:rPr>
          <w:spacing w:val="-4"/>
          <w:w w:val="105"/>
          <w:sz w:val="21"/>
        </w:rPr>
        <w:t>make</w:t>
      </w:r>
      <w:r>
        <w:rPr>
          <w:spacing w:val="-5"/>
          <w:w w:val="105"/>
          <w:sz w:val="21"/>
        </w:rPr>
        <w:t> </w:t>
      </w:r>
      <w:r>
        <w:rPr>
          <w:w w:val="105"/>
          <w:sz w:val="21"/>
        </w:rPr>
        <w:t>an</w:t>
      </w:r>
      <w:r>
        <w:rPr>
          <w:spacing w:val="-5"/>
          <w:w w:val="105"/>
          <w:sz w:val="21"/>
        </w:rPr>
        <w:t> </w:t>
      </w:r>
      <w:r>
        <w:rPr>
          <w:w w:val="105"/>
          <w:sz w:val="21"/>
        </w:rPr>
        <w:t>application</w:t>
      </w:r>
      <w:r>
        <w:rPr>
          <w:spacing w:val="-4"/>
          <w:w w:val="105"/>
          <w:sz w:val="21"/>
        </w:rPr>
        <w:t> </w:t>
      </w:r>
      <w:r>
        <w:rPr>
          <w:w w:val="105"/>
          <w:sz w:val="21"/>
        </w:rPr>
        <w:t>about</w:t>
      </w:r>
      <w:r>
        <w:rPr>
          <w:spacing w:val="-5"/>
          <w:w w:val="105"/>
          <w:sz w:val="21"/>
        </w:rPr>
        <w:t> </w:t>
      </w:r>
      <w:r>
        <w:rPr>
          <w:w w:val="105"/>
          <w:sz w:val="21"/>
        </w:rPr>
        <w:t>the</w:t>
      </w:r>
      <w:r>
        <w:rPr>
          <w:spacing w:val="-5"/>
          <w:w w:val="105"/>
          <w:sz w:val="21"/>
        </w:rPr>
        <w:t> </w:t>
      </w:r>
      <w:r>
        <w:rPr>
          <w:w w:val="105"/>
          <w:sz w:val="21"/>
        </w:rPr>
        <w:t>tree</w:t>
      </w:r>
      <w:r>
        <w:rPr>
          <w:spacing w:val="-5"/>
          <w:w w:val="105"/>
          <w:sz w:val="21"/>
        </w:rPr>
        <w:t> </w:t>
      </w:r>
      <w:r>
        <w:rPr>
          <w:w w:val="105"/>
          <w:sz w:val="21"/>
        </w:rPr>
        <w:t>and</w:t>
      </w:r>
      <w:r>
        <w:rPr>
          <w:spacing w:val="-4"/>
          <w:w w:val="105"/>
          <w:sz w:val="21"/>
        </w:rPr>
        <w:t> </w:t>
      </w:r>
      <w:r>
        <w:rPr>
          <w:w w:val="105"/>
          <w:sz w:val="21"/>
        </w:rPr>
        <w:t>the owner </w:t>
      </w:r>
      <w:r>
        <w:rPr>
          <w:spacing w:val="-2"/>
          <w:w w:val="105"/>
          <w:sz w:val="21"/>
        </w:rPr>
        <w:t>has</w:t>
      </w:r>
      <w:r>
        <w:rPr>
          <w:spacing w:val="10"/>
          <w:w w:val="105"/>
          <w:sz w:val="21"/>
        </w:rPr>
        <w:t> </w:t>
      </w:r>
      <w:r>
        <w:rPr>
          <w:spacing w:val="-3"/>
          <w:w w:val="105"/>
          <w:sz w:val="21"/>
        </w:rPr>
        <w:t>refused.</w:t>
      </w:r>
    </w:p>
    <w:p>
      <w:pPr>
        <w:pStyle w:val="BodyText"/>
        <w:spacing w:before="6"/>
        <w:rPr>
          <w:sz w:val="24"/>
        </w:rPr>
      </w:pPr>
      <w:r>
        <w:rPr/>
        <w:pict>
          <v:line style="position:absolute;mso-position-horizontal-relative:page;mso-position-vertical-relative:paragraph;z-index:5600;mso-wrap-distance-left:0;mso-wrap-distance-right:0" from="79.370003pt,17.409157pt" to="515.905003pt,17.40915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spacing w:before="4"/>
        <w:rPr>
          <w:sz w:val="29"/>
        </w:rPr>
      </w:pPr>
    </w:p>
    <w:p>
      <w:pPr>
        <w:spacing w:before="0"/>
        <w:ind w:left="720" w:right="0" w:firstLine="0"/>
        <w:jc w:val="left"/>
        <w:rPr>
          <w:b/>
          <w:sz w:val="24"/>
        </w:rPr>
      </w:pPr>
      <w:r>
        <w:rPr>
          <w:b/>
          <w:color w:val="658464"/>
          <w:spacing w:val="-1"/>
          <w:w w:val="110"/>
          <w:sz w:val="24"/>
        </w:rPr>
        <w:t>108</w:t>
      </w:r>
    </w:p>
    <w:p>
      <w:pPr>
        <w:pStyle w:val="ListParagraph"/>
        <w:numPr>
          <w:ilvl w:val="0"/>
          <w:numId w:val="89"/>
        </w:numPr>
        <w:tabs>
          <w:tab w:pos="1222" w:val="left" w:leader="none"/>
          <w:tab w:pos="1223" w:val="left" w:leader="none"/>
        </w:tabs>
        <w:spacing w:line="240" w:lineRule="auto" w:before="48" w:after="0"/>
        <w:ind w:left="1222" w:right="1864" w:hanging="793"/>
        <w:jc w:val="left"/>
        <w:rPr>
          <w:sz w:val="13"/>
        </w:rPr>
      </w:pPr>
      <w:r>
        <w:rPr>
          <w:spacing w:val="5"/>
          <w:w w:val="115"/>
          <w:sz w:val="13"/>
        </w:rPr>
        <w:br w:type="column"/>
      </w:r>
      <w:r>
        <w:rPr>
          <w:spacing w:val="2"/>
          <w:w w:val="105"/>
          <w:sz w:val="13"/>
        </w:rPr>
        <w:t>As </w:t>
      </w:r>
      <w:r>
        <w:rPr>
          <w:w w:val="105"/>
          <w:sz w:val="13"/>
        </w:rPr>
        <w:t>per the Practice Direction for applications under the Tasmanian Act, RMPAT will ‘also advertise the existence of the application in     the Public Notices section of the regional newspaper circulating in the area in question’. In this way, individuals are invited to make an application to join and attend the Preliminary Conference if they believe their interests may be affected by an order related to a plant: Resource Management and Planning Appeal Tribunal, </w:t>
      </w:r>
      <w:r>
        <w:rPr>
          <w:i/>
          <w:w w:val="105"/>
          <w:sz w:val="13"/>
        </w:rPr>
        <w:t>Practice Direction No 18: Applications under the Neighbourhood Disputes About </w:t>
      </w:r>
      <w:r>
        <w:rPr>
          <w:i/>
          <w:w w:val="105"/>
          <w:sz w:val="13"/>
        </w:rPr>
        <w:t>Plants Act </w:t>
      </w:r>
      <w:r>
        <w:rPr>
          <w:i/>
          <w:spacing w:val="-4"/>
          <w:w w:val="105"/>
          <w:sz w:val="13"/>
        </w:rPr>
        <w:t>2017 </w:t>
      </w:r>
      <w:r>
        <w:rPr>
          <w:spacing w:val="-3"/>
          <w:w w:val="105"/>
          <w:sz w:val="13"/>
        </w:rPr>
        <w:t>(19 </w:t>
      </w:r>
      <w:r>
        <w:rPr>
          <w:w w:val="105"/>
          <w:sz w:val="13"/>
        </w:rPr>
        <w:t>November 2018)</w:t>
      </w:r>
      <w:r>
        <w:rPr>
          <w:spacing w:val="8"/>
          <w:w w:val="105"/>
          <w:sz w:val="13"/>
        </w:rPr>
        <w:t> </w:t>
      </w:r>
      <w:r>
        <w:rPr>
          <w:w w:val="105"/>
          <w:sz w:val="13"/>
        </w:rPr>
        <w:t>18.3.1.</w:t>
      </w:r>
    </w:p>
    <w:p>
      <w:pPr>
        <w:pStyle w:val="ListParagraph"/>
        <w:numPr>
          <w:ilvl w:val="0"/>
          <w:numId w:val="89"/>
        </w:numPr>
        <w:tabs>
          <w:tab w:pos="1222" w:val="left" w:leader="none"/>
          <w:tab w:pos="1223" w:val="left" w:leader="none"/>
        </w:tabs>
        <w:spacing w:line="240" w:lineRule="auto" w:before="7" w:after="0"/>
        <w:ind w:left="1222" w:right="1864" w:hanging="793"/>
        <w:jc w:val="left"/>
        <w:rPr>
          <w:sz w:val="13"/>
        </w:rPr>
      </w:pPr>
      <w:r>
        <w:rPr>
          <w:w w:val="105"/>
          <w:sz w:val="13"/>
        </w:rPr>
        <w:t>Resource Management and Planning Appeal Tribunal, </w:t>
      </w:r>
      <w:r>
        <w:rPr>
          <w:i/>
          <w:w w:val="105"/>
          <w:sz w:val="13"/>
        </w:rPr>
        <w:t>Practice Direction No 18: Applications under the Neighbourhood Disputes About </w:t>
      </w:r>
      <w:r>
        <w:rPr>
          <w:i/>
          <w:w w:val="105"/>
          <w:sz w:val="13"/>
        </w:rPr>
        <w:t>Plants Act </w:t>
      </w:r>
      <w:r>
        <w:rPr>
          <w:i/>
          <w:spacing w:val="-4"/>
          <w:w w:val="105"/>
          <w:sz w:val="13"/>
        </w:rPr>
        <w:t>2017 </w:t>
      </w:r>
      <w:r>
        <w:rPr>
          <w:spacing w:val="-3"/>
          <w:w w:val="105"/>
          <w:sz w:val="13"/>
        </w:rPr>
        <w:t>(19 </w:t>
      </w:r>
      <w:r>
        <w:rPr>
          <w:w w:val="105"/>
          <w:sz w:val="13"/>
        </w:rPr>
        <w:t>November 2018) [18.2.5]; See </w:t>
      </w:r>
      <w:r>
        <w:rPr>
          <w:i/>
          <w:w w:val="105"/>
          <w:sz w:val="13"/>
        </w:rPr>
        <w:t>Neighbourhood Disputes About Plants Act </w:t>
      </w:r>
      <w:r>
        <w:rPr>
          <w:i/>
          <w:spacing w:val="-4"/>
          <w:w w:val="105"/>
          <w:sz w:val="13"/>
        </w:rPr>
        <w:t>2017 </w:t>
      </w:r>
      <w:r>
        <w:rPr>
          <w:w w:val="105"/>
          <w:sz w:val="13"/>
        </w:rPr>
        <w:t>(Tas) s</w:t>
      </w:r>
      <w:r>
        <w:rPr>
          <w:spacing w:val="27"/>
          <w:w w:val="105"/>
          <w:sz w:val="13"/>
        </w:rPr>
        <w:t> </w:t>
      </w:r>
      <w:r>
        <w:rPr>
          <w:w w:val="105"/>
          <w:sz w:val="13"/>
        </w:rPr>
        <w:t>25.</w:t>
      </w:r>
    </w:p>
    <w:p>
      <w:pPr>
        <w:pStyle w:val="ListParagraph"/>
        <w:numPr>
          <w:ilvl w:val="0"/>
          <w:numId w:val="89"/>
        </w:numPr>
        <w:tabs>
          <w:tab w:pos="1222" w:val="left" w:leader="none"/>
          <w:tab w:pos="1223" w:val="left" w:leader="none"/>
        </w:tabs>
        <w:spacing w:line="240" w:lineRule="auto" w:before="2" w:after="0"/>
        <w:ind w:left="1222" w:right="0" w:hanging="793"/>
        <w:jc w:val="left"/>
        <w:rPr>
          <w:sz w:val="13"/>
        </w:rPr>
      </w:pPr>
      <w:r>
        <w:rPr>
          <w:sz w:val="13"/>
        </w:rPr>
        <w:t>Victorian</w:t>
      </w:r>
      <w:r>
        <w:rPr>
          <w:spacing w:val="12"/>
          <w:sz w:val="13"/>
        </w:rPr>
        <w:t> </w:t>
      </w:r>
      <w:r>
        <w:rPr>
          <w:sz w:val="13"/>
        </w:rPr>
        <w:t>Civil</w:t>
      </w:r>
      <w:r>
        <w:rPr>
          <w:spacing w:val="12"/>
          <w:sz w:val="13"/>
        </w:rPr>
        <w:t> </w:t>
      </w:r>
      <w:r>
        <w:rPr>
          <w:sz w:val="13"/>
        </w:rPr>
        <w:t>and</w:t>
      </w:r>
      <w:r>
        <w:rPr>
          <w:spacing w:val="12"/>
          <w:sz w:val="13"/>
        </w:rPr>
        <w:t> </w:t>
      </w:r>
      <w:r>
        <w:rPr>
          <w:sz w:val="13"/>
        </w:rPr>
        <w:t>Administrative</w:t>
      </w:r>
      <w:r>
        <w:rPr>
          <w:spacing w:val="12"/>
          <w:sz w:val="13"/>
        </w:rPr>
        <w:t> </w:t>
      </w:r>
      <w:r>
        <w:rPr>
          <w:sz w:val="13"/>
        </w:rPr>
        <w:t>Tribunal,</w:t>
      </w:r>
      <w:r>
        <w:rPr>
          <w:spacing w:val="12"/>
          <w:sz w:val="13"/>
        </w:rPr>
        <w:t> </w:t>
      </w:r>
      <w:r>
        <w:rPr>
          <w:i/>
          <w:sz w:val="13"/>
        </w:rPr>
        <w:t>Application</w:t>
      </w:r>
      <w:r>
        <w:rPr>
          <w:i/>
          <w:spacing w:val="12"/>
          <w:sz w:val="13"/>
        </w:rPr>
        <w:t> </w:t>
      </w:r>
      <w:r>
        <w:rPr>
          <w:i/>
          <w:sz w:val="13"/>
        </w:rPr>
        <w:t>Forms</w:t>
      </w:r>
      <w:r>
        <w:rPr>
          <w:i/>
          <w:spacing w:val="12"/>
          <w:sz w:val="13"/>
        </w:rPr>
        <w:t> </w:t>
      </w:r>
      <w:r>
        <w:rPr>
          <w:sz w:val="13"/>
        </w:rPr>
        <w:t>(Web</w:t>
      </w:r>
      <w:r>
        <w:rPr>
          <w:spacing w:val="12"/>
          <w:sz w:val="13"/>
        </w:rPr>
        <w:t> </w:t>
      </w:r>
      <w:r>
        <w:rPr>
          <w:sz w:val="13"/>
        </w:rPr>
        <w:t>Page)</w:t>
      </w:r>
      <w:r>
        <w:rPr>
          <w:spacing w:val="12"/>
          <w:sz w:val="13"/>
        </w:rPr>
        <w:t> </w:t>
      </w:r>
      <w:r>
        <w:rPr>
          <w:sz w:val="13"/>
        </w:rPr>
        <w:t>&lt;https://</w:t>
      </w:r>
      <w:hyperlink r:id="rId120">
        <w:r>
          <w:rPr>
            <w:sz w:val="13"/>
          </w:rPr>
          <w:t>www.vcat.vic.gov.au/resources/application-forms</w:t>
        </w:r>
      </w:hyperlink>
      <w:r>
        <w:rPr>
          <w:sz w:val="13"/>
        </w:rPr>
        <w:t>&gt;.</w:t>
      </w:r>
    </w:p>
    <w:p>
      <w:pPr>
        <w:pStyle w:val="ListParagraph"/>
        <w:numPr>
          <w:ilvl w:val="0"/>
          <w:numId w:val="89"/>
        </w:numPr>
        <w:tabs>
          <w:tab w:pos="1222" w:val="left" w:leader="none"/>
          <w:tab w:pos="1223" w:val="left" w:leader="none"/>
        </w:tabs>
        <w:spacing w:line="240" w:lineRule="auto" w:before="2" w:after="0"/>
        <w:ind w:left="1222" w:right="0" w:hanging="793"/>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89"/>
        </w:numPr>
        <w:tabs>
          <w:tab w:pos="1222" w:val="left" w:leader="none"/>
          <w:tab w:pos="1223" w:val="left" w:leader="none"/>
        </w:tabs>
        <w:spacing w:line="240" w:lineRule="auto" w:before="1" w:after="0"/>
        <w:ind w:left="1222" w:right="0" w:hanging="793"/>
        <w:jc w:val="left"/>
        <w:rPr>
          <w:sz w:val="13"/>
        </w:rPr>
      </w:pPr>
      <w:r>
        <w:rPr>
          <w:sz w:val="13"/>
        </w:rPr>
        <w:t>Ibid.</w:t>
      </w:r>
    </w:p>
    <w:p>
      <w:pPr>
        <w:spacing w:after="0" w:line="240" w:lineRule="auto"/>
        <w:jc w:val="left"/>
        <w:rPr>
          <w:sz w:val="13"/>
        </w:rPr>
        <w:sectPr>
          <w:type w:val="continuous"/>
          <w:pgSz w:w="11910" w:h="16840"/>
          <w:pgMar w:top="300" w:bottom="280" w:left="0" w:right="0"/>
          <w:cols w:num="2" w:equalWidth="0">
            <w:col w:w="1119" w:space="40"/>
            <w:col w:w="10751"/>
          </w:cols>
        </w:sectPr>
      </w:pPr>
    </w:p>
    <w:p>
      <w:pPr>
        <w:pStyle w:val="BodyText"/>
        <w:rPr>
          <w:sz w:val="20"/>
        </w:rPr>
      </w:pPr>
    </w:p>
    <w:p>
      <w:pPr>
        <w:pStyle w:val="BodyText"/>
        <w:spacing w:before="9"/>
        <w:rPr>
          <w:sz w:val="18"/>
        </w:rPr>
      </w:pPr>
    </w:p>
    <w:p>
      <w:pPr>
        <w:pStyle w:val="ListParagraph"/>
        <w:numPr>
          <w:ilvl w:val="1"/>
          <w:numId w:val="89"/>
        </w:numPr>
        <w:tabs>
          <w:tab w:pos="2721" w:val="left" w:leader="none"/>
          <w:tab w:pos="2722" w:val="left" w:leader="none"/>
        </w:tabs>
        <w:spacing w:line="242" w:lineRule="auto" w:before="91" w:after="0"/>
        <w:ind w:left="2721" w:right="1614" w:hanging="340"/>
        <w:jc w:val="left"/>
        <w:rPr>
          <w:sz w:val="21"/>
        </w:rPr>
      </w:pPr>
      <w:r>
        <w:rPr>
          <w:w w:val="105"/>
          <w:sz w:val="21"/>
        </w:rPr>
        <w:t>a detailed </w:t>
      </w:r>
      <w:r>
        <w:rPr>
          <w:spacing w:val="-3"/>
          <w:w w:val="105"/>
          <w:sz w:val="21"/>
        </w:rPr>
        <w:t>diagram </w:t>
      </w:r>
      <w:r>
        <w:rPr>
          <w:w w:val="105"/>
          <w:sz w:val="21"/>
        </w:rPr>
        <w:t>and/or </w:t>
      </w:r>
      <w:r>
        <w:rPr>
          <w:spacing w:val="-3"/>
          <w:w w:val="105"/>
          <w:sz w:val="21"/>
        </w:rPr>
        <w:t>photographic </w:t>
      </w:r>
      <w:r>
        <w:rPr>
          <w:w w:val="105"/>
          <w:sz w:val="21"/>
        </w:rPr>
        <w:t>evidence clearly </w:t>
      </w:r>
      <w:r>
        <w:rPr>
          <w:spacing w:val="-3"/>
          <w:w w:val="105"/>
          <w:sz w:val="21"/>
        </w:rPr>
        <w:t>showing </w:t>
      </w:r>
      <w:r>
        <w:rPr>
          <w:w w:val="105"/>
          <w:sz w:val="21"/>
        </w:rPr>
        <w:t>the location of the </w:t>
      </w:r>
      <w:r>
        <w:rPr>
          <w:spacing w:val="-3"/>
          <w:w w:val="105"/>
          <w:sz w:val="21"/>
        </w:rPr>
        <w:t>tree.</w:t>
      </w:r>
      <w:r>
        <w:rPr>
          <w:spacing w:val="-12"/>
          <w:w w:val="105"/>
          <w:sz w:val="21"/>
        </w:rPr>
        <w:t> </w:t>
      </w:r>
      <w:r>
        <w:rPr>
          <w:w w:val="105"/>
          <w:sz w:val="21"/>
        </w:rPr>
        <w:t>This</w:t>
      </w:r>
      <w:r>
        <w:rPr>
          <w:spacing w:val="-12"/>
          <w:w w:val="105"/>
          <w:sz w:val="21"/>
        </w:rPr>
        <w:t> </w:t>
      </w:r>
      <w:r>
        <w:rPr>
          <w:w w:val="105"/>
          <w:sz w:val="21"/>
        </w:rPr>
        <w:t>should</w:t>
      </w:r>
      <w:r>
        <w:rPr>
          <w:spacing w:val="-12"/>
          <w:w w:val="105"/>
          <w:sz w:val="21"/>
        </w:rPr>
        <w:t> </w:t>
      </w:r>
      <w:r>
        <w:rPr>
          <w:w w:val="105"/>
          <w:sz w:val="21"/>
        </w:rPr>
        <w:t>identify</w:t>
      </w:r>
      <w:r>
        <w:rPr>
          <w:spacing w:val="-12"/>
          <w:w w:val="105"/>
          <w:sz w:val="21"/>
        </w:rPr>
        <w:t> </w:t>
      </w:r>
      <w:r>
        <w:rPr>
          <w:w w:val="105"/>
          <w:sz w:val="21"/>
        </w:rPr>
        <w:t>the</w:t>
      </w:r>
      <w:r>
        <w:rPr>
          <w:spacing w:val="-12"/>
          <w:w w:val="105"/>
          <w:sz w:val="21"/>
        </w:rPr>
        <w:t> </w:t>
      </w:r>
      <w:r>
        <w:rPr>
          <w:spacing w:val="-2"/>
          <w:w w:val="105"/>
          <w:sz w:val="21"/>
        </w:rPr>
        <w:t>common</w:t>
      </w:r>
      <w:r>
        <w:rPr>
          <w:spacing w:val="-12"/>
          <w:w w:val="105"/>
          <w:sz w:val="21"/>
        </w:rPr>
        <w:t> </w:t>
      </w:r>
      <w:r>
        <w:rPr>
          <w:w w:val="105"/>
          <w:sz w:val="21"/>
        </w:rPr>
        <w:t>boundary</w:t>
      </w:r>
      <w:r>
        <w:rPr>
          <w:spacing w:val="-12"/>
          <w:w w:val="105"/>
          <w:sz w:val="21"/>
        </w:rPr>
        <w:t> </w:t>
      </w:r>
      <w:r>
        <w:rPr>
          <w:w w:val="105"/>
          <w:sz w:val="21"/>
        </w:rPr>
        <w:t>between</w:t>
      </w:r>
      <w:r>
        <w:rPr>
          <w:spacing w:val="-12"/>
          <w:w w:val="105"/>
          <w:sz w:val="21"/>
        </w:rPr>
        <w:t> </w:t>
      </w:r>
      <w:r>
        <w:rPr>
          <w:w w:val="105"/>
          <w:sz w:val="21"/>
        </w:rPr>
        <w:t>the</w:t>
      </w:r>
      <w:r>
        <w:rPr>
          <w:spacing w:val="-11"/>
          <w:w w:val="105"/>
          <w:sz w:val="21"/>
        </w:rPr>
        <w:t> </w:t>
      </w:r>
      <w:r>
        <w:rPr>
          <w:w w:val="105"/>
          <w:sz w:val="21"/>
        </w:rPr>
        <w:t>neighbours’</w:t>
      </w:r>
      <w:r>
        <w:rPr>
          <w:spacing w:val="-12"/>
          <w:w w:val="105"/>
          <w:sz w:val="21"/>
        </w:rPr>
        <w:t> </w:t>
      </w:r>
      <w:r>
        <w:rPr>
          <w:w w:val="105"/>
          <w:sz w:val="21"/>
        </w:rPr>
        <w:t>properties, where the </w:t>
      </w:r>
      <w:r>
        <w:rPr>
          <w:spacing w:val="-3"/>
          <w:w w:val="105"/>
          <w:sz w:val="21"/>
        </w:rPr>
        <w:t>dwellings are </w:t>
      </w:r>
      <w:r>
        <w:rPr>
          <w:w w:val="105"/>
          <w:sz w:val="21"/>
        </w:rPr>
        <w:t>located and </w:t>
      </w:r>
      <w:r>
        <w:rPr>
          <w:spacing w:val="-3"/>
          <w:w w:val="105"/>
          <w:sz w:val="21"/>
        </w:rPr>
        <w:t>any </w:t>
      </w:r>
      <w:r>
        <w:rPr>
          <w:w w:val="105"/>
          <w:sz w:val="21"/>
        </w:rPr>
        <w:t>part of the </w:t>
      </w:r>
      <w:r>
        <w:rPr>
          <w:spacing w:val="-3"/>
          <w:w w:val="105"/>
          <w:sz w:val="21"/>
        </w:rPr>
        <w:t>dwelling that </w:t>
      </w:r>
      <w:r>
        <w:rPr>
          <w:spacing w:val="-2"/>
          <w:w w:val="105"/>
          <w:sz w:val="21"/>
        </w:rPr>
        <w:t>has </w:t>
      </w:r>
      <w:r>
        <w:rPr>
          <w:w w:val="105"/>
          <w:sz w:val="21"/>
        </w:rPr>
        <w:t>been, is </w:t>
      </w:r>
      <w:r>
        <w:rPr>
          <w:spacing w:val="-2"/>
          <w:w w:val="105"/>
          <w:sz w:val="21"/>
        </w:rPr>
        <w:t>being, </w:t>
      </w:r>
      <w:r>
        <w:rPr>
          <w:w w:val="105"/>
          <w:sz w:val="21"/>
        </w:rPr>
        <w:t>or is </w:t>
      </w:r>
      <w:r>
        <w:rPr>
          <w:spacing w:val="-4"/>
          <w:w w:val="105"/>
          <w:sz w:val="21"/>
        </w:rPr>
        <w:t>likely </w:t>
      </w:r>
      <w:r>
        <w:rPr>
          <w:spacing w:val="-3"/>
          <w:w w:val="105"/>
          <w:sz w:val="21"/>
        </w:rPr>
        <w:t>to </w:t>
      </w:r>
      <w:r>
        <w:rPr>
          <w:w w:val="105"/>
          <w:sz w:val="21"/>
        </w:rPr>
        <w:t>be damaged by the </w:t>
      </w:r>
      <w:r>
        <w:rPr>
          <w:spacing w:val="-3"/>
          <w:w w:val="105"/>
          <w:sz w:val="21"/>
        </w:rPr>
        <w:t>tree. </w:t>
      </w:r>
      <w:r>
        <w:rPr>
          <w:w w:val="105"/>
          <w:sz w:val="21"/>
        </w:rPr>
        <w:t>If </w:t>
      </w:r>
      <w:r>
        <w:rPr>
          <w:spacing w:val="-3"/>
          <w:w w:val="105"/>
          <w:sz w:val="21"/>
        </w:rPr>
        <w:t>relief for future harm </w:t>
      </w:r>
      <w:r>
        <w:rPr>
          <w:w w:val="105"/>
          <w:sz w:val="21"/>
        </w:rPr>
        <w:t>is </w:t>
      </w:r>
      <w:r>
        <w:rPr>
          <w:spacing w:val="-3"/>
          <w:w w:val="105"/>
          <w:sz w:val="21"/>
        </w:rPr>
        <w:t>claimed, </w:t>
      </w:r>
      <w:r>
        <w:rPr>
          <w:w w:val="105"/>
          <w:sz w:val="21"/>
        </w:rPr>
        <w:t>the </w:t>
      </w:r>
      <w:r>
        <w:rPr>
          <w:spacing w:val="-3"/>
          <w:w w:val="105"/>
          <w:sz w:val="21"/>
        </w:rPr>
        <w:t>applicant </w:t>
      </w:r>
      <w:r>
        <w:rPr>
          <w:w w:val="105"/>
          <w:sz w:val="21"/>
        </w:rPr>
        <w:t>should</w:t>
      </w:r>
      <w:r>
        <w:rPr>
          <w:spacing w:val="-8"/>
          <w:w w:val="105"/>
          <w:sz w:val="21"/>
        </w:rPr>
        <w:t> </w:t>
      </w:r>
      <w:r>
        <w:rPr>
          <w:w w:val="105"/>
          <w:sz w:val="21"/>
        </w:rPr>
        <w:t>point</w:t>
      </w:r>
      <w:r>
        <w:rPr>
          <w:spacing w:val="-8"/>
          <w:w w:val="105"/>
          <w:sz w:val="21"/>
        </w:rPr>
        <w:t> </w:t>
      </w:r>
      <w:r>
        <w:rPr>
          <w:w w:val="105"/>
          <w:sz w:val="21"/>
        </w:rPr>
        <w:t>out</w:t>
      </w:r>
      <w:r>
        <w:rPr>
          <w:spacing w:val="-7"/>
          <w:w w:val="105"/>
          <w:sz w:val="21"/>
        </w:rPr>
        <w:t> </w:t>
      </w:r>
      <w:r>
        <w:rPr>
          <w:w w:val="105"/>
          <w:sz w:val="21"/>
        </w:rPr>
        <w:t>each</w:t>
      </w:r>
      <w:r>
        <w:rPr>
          <w:spacing w:val="-8"/>
          <w:w w:val="105"/>
          <w:sz w:val="21"/>
        </w:rPr>
        <w:t> </w:t>
      </w:r>
      <w:r>
        <w:rPr>
          <w:spacing w:val="-3"/>
          <w:w w:val="105"/>
          <w:sz w:val="21"/>
        </w:rPr>
        <w:t>place</w:t>
      </w:r>
      <w:r>
        <w:rPr>
          <w:spacing w:val="-7"/>
          <w:w w:val="105"/>
          <w:sz w:val="21"/>
        </w:rPr>
        <w:t> </w:t>
      </w:r>
      <w:r>
        <w:rPr>
          <w:w w:val="105"/>
          <w:sz w:val="21"/>
        </w:rPr>
        <w:t>on</w:t>
      </w:r>
      <w:r>
        <w:rPr>
          <w:spacing w:val="-8"/>
          <w:w w:val="105"/>
          <w:sz w:val="21"/>
        </w:rPr>
        <w:t> </w:t>
      </w:r>
      <w:r>
        <w:rPr>
          <w:w w:val="105"/>
          <w:sz w:val="21"/>
        </w:rPr>
        <w:t>their</w:t>
      </w:r>
      <w:r>
        <w:rPr>
          <w:spacing w:val="-8"/>
          <w:w w:val="105"/>
          <w:sz w:val="21"/>
        </w:rPr>
        <w:t> </w:t>
      </w:r>
      <w:r>
        <w:rPr>
          <w:w w:val="105"/>
          <w:sz w:val="21"/>
        </w:rPr>
        <w:t>property</w:t>
      </w:r>
      <w:r>
        <w:rPr>
          <w:spacing w:val="-7"/>
          <w:w w:val="105"/>
          <w:sz w:val="21"/>
        </w:rPr>
        <w:t> </w:t>
      </w:r>
      <w:r>
        <w:rPr>
          <w:w w:val="105"/>
          <w:sz w:val="21"/>
        </w:rPr>
        <w:t>where</w:t>
      </w:r>
      <w:r>
        <w:rPr>
          <w:spacing w:val="-8"/>
          <w:w w:val="105"/>
          <w:sz w:val="21"/>
        </w:rPr>
        <w:t> </w:t>
      </w:r>
      <w:r>
        <w:rPr>
          <w:w w:val="105"/>
          <w:sz w:val="21"/>
        </w:rPr>
        <w:t>the</w:t>
      </w:r>
      <w:r>
        <w:rPr>
          <w:spacing w:val="-7"/>
          <w:w w:val="105"/>
          <w:sz w:val="21"/>
        </w:rPr>
        <w:t> </w:t>
      </w:r>
      <w:r>
        <w:rPr>
          <w:w w:val="105"/>
          <w:sz w:val="21"/>
        </w:rPr>
        <w:t>tree</w:t>
      </w:r>
      <w:r>
        <w:rPr>
          <w:spacing w:val="-8"/>
          <w:w w:val="105"/>
          <w:sz w:val="21"/>
        </w:rPr>
        <w:t> </w:t>
      </w:r>
      <w:r>
        <w:rPr>
          <w:w w:val="105"/>
          <w:sz w:val="21"/>
        </w:rPr>
        <w:t>is</w:t>
      </w:r>
      <w:r>
        <w:rPr>
          <w:spacing w:val="-8"/>
          <w:w w:val="105"/>
          <w:sz w:val="21"/>
        </w:rPr>
        <w:t> </w:t>
      </w:r>
      <w:r>
        <w:rPr>
          <w:spacing w:val="-4"/>
          <w:w w:val="105"/>
          <w:sz w:val="21"/>
        </w:rPr>
        <w:t>likely</w:t>
      </w:r>
      <w:r>
        <w:rPr>
          <w:spacing w:val="-7"/>
          <w:w w:val="105"/>
          <w:sz w:val="21"/>
        </w:rPr>
        <w:t> </w:t>
      </w:r>
      <w:r>
        <w:rPr>
          <w:spacing w:val="-3"/>
          <w:w w:val="105"/>
          <w:sz w:val="21"/>
        </w:rPr>
        <w:t>to</w:t>
      </w:r>
      <w:r>
        <w:rPr>
          <w:spacing w:val="-8"/>
          <w:w w:val="105"/>
          <w:sz w:val="21"/>
        </w:rPr>
        <w:t> </w:t>
      </w:r>
      <w:r>
        <w:rPr>
          <w:w w:val="105"/>
          <w:sz w:val="21"/>
        </w:rPr>
        <w:t>cause</w:t>
      </w:r>
      <w:r>
        <w:rPr>
          <w:spacing w:val="-7"/>
          <w:w w:val="105"/>
          <w:sz w:val="21"/>
        </w:rPr>
        <w:t> </w:t>
      </w:r>
      <w:r>
        <w:rPr>
          <w:spacing w:val="-3"/>
          <w:w w:val="105"/>
          <w:sz w:val="21"/>
        </w:rPr>
        <w:t>harm</w:t>
      </w:r>
      <w:r>
        <w:rPr>
          <w:spacing w:val="-8"/>
          <w:w w:val="105"/>
          <w:sz w:val="21"/>
        </w:rPr>
        <w:t> </w:t>
      </w:r>
      <w:r>
        <w:rPr>
          <w:spacing w:val="-3"/>
          <w:w w:val="105"/>
          <w:sz w:val="21"/>
        </w:rPr>
        <w:t>to </w:t>
      </w:r>
      <w:r>
        <w:rPr>
          <w:w w:val="105"/>
          <w:sz w:val="21"/>
        </w:rPr>
        <w:t>a</w:t>
      </w:r>
      <w:r>
        <w:rPr>
          <w:spacing w:val="5"/>
          <w:w w:val="105"/>
          <w:sz w:val="21"/>
        </w:rPr>
        <w:t> </w:t>
      </w:r>
      <w:r>
        <w:rPr>
          <w:w w:val="105"/>
          <w:sz w:val="21"/>
        </w:rPr>
        <w:t>person.</w:t>
      </w:r>
    </w:p>
    <w:p>
      <w:pPr>
        <w:pStyle w:val="ListParagraph"/>
        <w:numPr>
          <w:ilvl w:val="1"/>
          <w:numId w:val="89"/>
        </w:numPr>
        <w:tabs>
          <w:tab w:pos="2721" w:val="left" w:leader="none"/>
          <w:tab w:pos="2722" w:val="left" w:leader="none"/>
        </w:tabs>
        <w:spacing w:line="242" w:lineRule="auto" w:before="92" w:after="0"/>
        <w:ind w:left="2721" w:right="2086" w:hanging="340"/>
        <w:jc w:val="left"/>
        <w:rPr>
          <w:sz w:val="21"/>
        </w:rPr>
      </w:pPr>
      <w:r>
        <w:rPr>
          <w:sz w:val="21"/>
        </w:rPr>
        <w:t>whether </w:t>
      </w:r>
      <w:r>
        <w:rPr>
          <w:spacing w:val="-3"/>
          <w:sz w:val="21"/>
        </w:rPr>
        <w:t>any </w:t>
      </w:r>
      <w:r>
        <w:rPr>
          <w:sz w:val="21"/>
        </w:rPr>
        <w:t>party </w:t>
      </w:r>
      <w:r>
        <w:rPr>
          <w:spacing w:val="-2"/>
          <w:sz w:val="21"/>
        </w:rPr>
        <w:t>has </w:t>
      </w:r>
      <w:r>
        <w:rPr>
          <w:spacing w:val="-3"/>
          <w:sz w:val="21"/>
        </w:rPr>
        <w:t>entered </w:t>
      </w:r>
      <w:r>
        <w:rPr>
          <w:spacing w:val="-4"/>
          <w:sz w:val="21"/>
        </w:rPr>
        <w:t>into </w:t>
      </w:r>
      <w:r>
        <w:rPr>
          <w:sz w:val="21"/>
        </w:rPr>
        <w:t>a contract </w:t>
      </w:r>
      <w:r>
        <w:rPr>
          <w:spacing w:val="-3"/>
          <w:sz w:val="21"/>
        </w:rPr>
        <w:t>for </w:t>
      </w:r>
      <w:r>
        <w:rPr>
          <w:sz w:val="21"/>
        </w:rPr>
        <w:t>the sale of </w:t>
      </w:r>
      <w:r>
        <w:rPr>
          <w:spacing w:val="-3"/>
          <w:sz w:val="21"/>
        </w:rPr>
        <w:t>land, to ensure that </w:t>
      </w:r>
      <w:r>
        <w:rPr>
          <w:spacing w:val="-5"/>
          <w:sz w:val="21"/>
        </w:rPr>
        <w:t>VCAT</w:t>
      </w:r>
      <w:r>
        <w:rPr>
          <w:spacing w:val="12"/>
          <w:sz w:val="21"/>
        </w:rPr>
        <w:t> </w:t>
      </w:r>
      <w:r>
        <w:rPr>
          <w:sz w:val="21"/>
        </w:rPr>
        <w:t>is</w:t>
      </w:r>
      <w:r>
        <w:rPr>
          <w:spacing w:val="13"/>
          <w:sz w:val="21"/>
        </w:rPr>
        <w:t> </w:t>
      </w:r>
      <w:r>
        <w:rPr>
          <w:spacing w:val="-3"/>
          <w:sz w:val="21"/>
        </w:rPr>
        <w:t>aware</w:t>
      </w:r>
      <w:r>
        <w:rPr>
          <w:spacing w:val="13"/>
          <w:sz w:val="21"/>
        </w:rPr>
        <w:t> </w:t>
      </w:r>
      <w:r>
        <w:rPr>
          <w:sz w:val="21"/>
        </w:rPr>
        <w:t>of</w:t>
      </w:r>
      <w:r>
        <w:rPr>
          <w:spacing w:val="13"/>
          <w:sz w:val="21"/>
        </w:rPr>
        <w:t> </w:t>
      </w:r>
      <w:r>
        <w:rPr>
          <w:spacing w:val="-3"/>
          <w:sz w:val="21"/>
        </w:rPr>
        <w:t>all</w:t>
      </w:r>
      <w:r>
        <w:rPr>
          <w:spacing w:val="13"/>
          <w:sz w:val="21"/>
        </w:rPr>
        <w:t> </w:t>
      </w:r>
      <w:r>
        <w:rPr>
          <w:spacing w:val="-3"/>
          <w:sz w:val="21"/>
        </w:rPr>
        <w:t>relevant</w:t>
      </w:r>
      <w:r>
        <w:rPr>
          <w:spacing w:val="13"/>
          <w:sz w:val="21"/>
        </w:rPr>
        <w:t> </w:t>
      </w:r>
      <w:r>
        <w:rPr>
          <w:sz w:val="21"/>
        </w:rPr>
        <w:t>parties</w:t>
      </w:r>
      <w:r>
        <w:rPr>
          <w:spacing w:val="13"/>
          <w:sz w:val="21"/>
        </w:rPr>
        <w:t> </w:t>
      </w:r>
      <w:r>
        <w:rPr>
          <w:spacing w:val="-3"/>
          <w:sz w:val="21"/>
        </w:rPr>
        <w:t>to</w:t>
      </w:r>
      <w:r>
        <w:rPr>
          <w:spacing w:val="13"/>
          <w:sz w:val="21"/>
        </w:rPr>
        <w:t> </w:t>
      </w:r>
      <w:r>
        <w:rPr>
          <w:sz w:val="21"/>
        </w:rPr>
        <w:t>the</w:t>
      </w:r>
      <w:r>
        <w:rPr>
          <w:spacing w:val="13"/>
          <w:sz w:val="21"/>
        </w:rPr>
        <w:t> </w:t>
      </w:r>
      <w:r>
        <w:rPr>
          <w:spacing w:val="-3"/>
          <w:sz w:val="21"/>
        </w:rPr>
        <w:t>dispute</w:t>
      </w:r>
      <w:r>
        <w:rPr>
          <w:spacing w:val="13"/>
          <w:sz w:val="21"/>
        </w:rPr>
        <w:t> </w:t>
      </w:r>
      <w:r>
        <w:rPr>
          <w:spacing w:val="-3"/>
          <w:sz w:val="21"/>
        </w:rPr>
        <w:t>(Chapter</w:t>
      </w:r>
      <w:r>
        <w:rPr>
          <w:spacing w:val="13"/>
          <w:sz w:val="21"/>
        </w:rPr>
        <w:t> </w:t>
      </w:r>
      <w:r>
        <w:rPr>
          <w:spacing w:val="-8"/>
          <w:sz w:val="21"/>
        </w:rPr>
        <w:t>11).</w:t>
      </w:r>
    </w:p>
    <w:p>
      <w:pPr>
        <w:pStyle w:val="ListParagraph"/>
        <w:numPr>
          <w:ilvl w:val="1"/>
          <w:numId w:val="89"/>
        </w:numPr>
        <w:tabs>
          <w:tab w:pos="2721" w:val="left" w:leader="none"/>
          <w:tab w:pos="2722" w:val="left" w:leader="none"/>
        </w:tabs>
        <w:spacing w:line="242" w:lineRule="auto" w:before="87" w:after="0"/>
        <w:ind w:left="2721" w:right="1649" w:hanging="340"/>
        <w:jc w:val="left"/>
        <w:rPr>
          <w:sz w:val="21"/>
        </w:rPr>
      </w:pPr>
      <w:r>
        <w:rPr>
          <w:w w:val="105"/>
          <w:sz w:val="21"/>
        </w:rPr>
        <w:t>where a tree straddles the boundary of more </w:t>
      </w:r>
      <w:r>
        <w:rPr>
          <w:spacing w:val="-3"/>
          <w:w w:val="105"/>
          <w:sz w:val="21"/>
        </w:rPr>
        <w:t>than </w:t>
      </w:r>
      <w:r>
        <w:rPr>
          <w:w w:val="105"/>
          <w:sz w:val="21"/>
        </w:rPr>
        <w:t>two properties, the names of </w:t>
      </w:r>
      <w:r>
        <w:rPr>
          <w:spacing w:val="-3"/>
          <w:w w:val="105"/>
          <w:sz w:val="21"/>
        </w:rPr>
        <w:t>all </w:t>
      </w:r>
      <w:r>
        <w:rPr>
          <w:w w:val="105"/>
          <w:sz w:val="21"/>
        </w:rPr>
        <w:t>owners</w:t>
      </w:r>
      <w:r>
        <w:rPr>
          <w:spacing w:val="-10"/>
          <w:w w:val="105"/>
          <w:sz w:val="21"/>
        </w:rPr>
        <w:t> </w:t>
      </w:r>
      <w:r>
        <w:rPr>
          <w:w w:val="105"/>
          <w:sz w:val="21"/>
        </w:rPr>
        <w:t>and</w:t>
      </w:r>
      <w:r>
        <w:rPr>
          <w:spacing w:val="-10"/>
          <w:w w:val="105"/>
          <w:sz w:val="21"/>
        </w:rPr>
        <w:t> </w:t>
      </w:r>
      <w:r>
        <w:rPr>
          <w:spacing w:val="-3"/>
          <w:w w:val="105"/>
          <w:sz w:val="21"/>
        </w:rPr>
        <w:t>information</w:t>
      </w:r>
      <w:r>
        <w:rPr>
          <w:spacing w:val="-10"/>
          <w:w w:val="105"/>
          <w:sz w:val="21"/>
        </w:rPr>
        <w:t> </w:t>
      </w:r>
      <w:r>
        <w:rPr>
          <w:w w:val="105"/>
          <w:sz w:val="21"/>
        </w:rPr>
        <w:t>about</w:t>
      </w:r>
      <w:r>
        <w:rPr>
          <w:spacing w:val="-10"/>
          <w:w w:val="105"/>
          <w:sz w:val="21"/>
        </w:rPr>
        <w:t> </w:t>
      </w:r>
      <w:r>
        <w:rPr>
          <w:w w:val="105"/>
          <w:sz w:val="21"/>
        </w:rPr>
        <w:t>proportional</w:t>
      </w:r>
      <w:r>
        <w:rPr>
          <w:spacing w:val="-9"/>
          <w:w w:val="105"/>
          <w:sz w:val="21"/>
        </w:rPr>
        <w:t> </w:t>
      </w:r>
      <w:r>
        <w:rPr>
          <w:w w:val="105"/>
          <w:sz w:val="21"/>
        </w:rPr>
        <w:t>ownership</w:t>
      </w:r>
      <w:r>
        <w:rPr>
          <w:spacing w:val="-10"/>
          <w:w w:val="105"/>
          <w:sz w:val="21"/>
        </w:rPr>
        <w:t> </w:t>
      </w:r>
      <w:r>
        <w:rPr>
          <w:w w:val="105"/>
          <w:sz w:val="21"/>
        </w:rPr>
        <w:t>by</w:t>
      </w:r>
      <w:r>
        <w:rPr>
          <w:spacing w:val="-10"/>
          <w:w w:val="105"/>
          <w:sz w:val="21"/>
        </w:rPr>
        <w:t> </w:t>
      </w:r>
      <w:r>
        <w:rPr>
          <w:spacing w:val="-3"/>
          <w:w w:val="105"/>
          <w:sz w:val="21"/>
        </w:rPr>
        <w:t>reference</w:t>
      </w:r>
      <w:r>
        <w:rPr>
          <w:spacing w:val="-10"/>
          <w:w w:val="105"/>
          <w:sz w:val="21"/>
        </w:rPr>
        <w:t> </w:t>
      </w:r>
      <w:r>
        <w:rPr>
          <w:spacing w:val="-3"/>
          <w:w w:val="105"/>
          <w:sz w:val="21"/>
        </w:rPr>
        <w:t>to</w:t>
      </w:r>
      <w:r>
        <w:rPr>
          <w:spacing w:val="-9"/>
          <w:w w:val="105"/>
          <w:sz w:val="21"/>
        </w:rPr>
        <w:t> </w:t>
      </w:r>
      <w:r>
        <w:rPr>
          <w:w w:val="105"/>
          <w:sz w:val="21"/>
        </w:rPr>
        <w:t>the</w:t>
      </w:r>
      <w:r>
        <w:rPr>
          <w:spacing w:val="-10"/>
          <w:w w:val="105"/>
          <w:sz w:val="21"/>
        </w:rPr>
        <w:t> </w:t>
      </w:r>
      <w:r>
        <w:rPr>
          <w:w w:val="105"/>
          <w:sz w:val="21"/>
        </w:rPr>
        <w:t>tree</w:t>
      </w:r>
      <w:r>
        <w:rPr>
          <w:spacing w:val="-10"/>
          <w:w w:val="105"/>
          <w:sz w:val="21"/>
        </w:rPr>
        <w:t> </w:t>
      </w:r>
      <w:r>
        <w:rPr>
          <w:spacing w:val="-3"/>
          <w:w w:val="105"/>
          <w:sz w:val="21"/>
        </w:rPr>
        <w:t>trunk.</w:t>
      </w:r>
    </w:p>
    <w:p>
      <w:pPr>
        <w:pStyle w:val="Heading7"/>
        <w:spacing w:before="118"/>
      </w:pPr>
      <w:r>
        <w:rPr>
          <w:w w:val="115"/>
        </w:rPr>
        <w:t>The Victorian context</w:t>
      </w:r>
    </w:p>
    <w:p>
      <w:pPr>
        <w:pStyle w:val="ListParagraph"/>
        <w:numPr>
          <w:ilvl w:val="0"/>
          <w:numId w:val="79"/>
        </w:numPr>
        <w:tabs>
          <w:tab w:pos="2381" w:val="left" w:leader="none"/>
          <w:tab w:pos="2382" w:val="left" w:leader="none"/>
        </w:tabs>
        <w:spacing w:line="242" w:lineRule="auto" w:before="143" w:after="0"/>
        <w:ind w:left="2381" w:right="1693" w:hanging="794"/>
        <w:jc w:val="left"/>
        <w:rPr>
          <w:sz w:val="21"/>
        </w:rPr>
      </w:pPr>
      <w:r>
        <w:rPr>
          <w:w w:val="105"/>
          <w:sz w:val="21"/>
        </w:rPr>
        <w:t>Some </w:t>
      </w:r>
      <w:r>
        <w:rPr>
          <w:spacing w:val="-3"/>
          <w:w w:val="105"/>
          <w:sz w:val="21"/>
        </w:rPr>
        <w:t>information sought </w:t>
      </w:r>
      <w:r>
        <w:rPr>
          <w:w w:val="105"/>
          <w:sz w:val="21"/>
        </w:rPr>
        <w:t>in the application </w:t>
      </w:r>
      <w:r>
        <w:rPr>
          <w:spacing w:val="-3"/>
          <w:w w:val="105"/>
          <w:sz w:val="21"/>
        </w:rPr>
        <w:t>form will </w:t>
      </w:r>
      <w:r>
        <w:rPr>
          <w:w w:val="105"/>
          <w:sz w:val="21"/>
        </w:rPr>
        <w:t>be particular </w:t>
      </w:r>
      <w:r>
        <w:rPr>
          <w:spacing w:val="-3"/>
          <w:w w:val="105"/>
          <w:sz w:val="21"/>
        </w:rPr>
        <w:t>to </w:t>
      </w:r>
      <w:r>
        <w:rPr>
          <w:w w:val="105"/>
          <w:sz w:val="21"/>
        </w:rPr>
        <w:t>the Victorian context and the </w:t>
      </w:r>
      <w:r>
        <w:rPr>
          <w:spacing w:val="-3"/>
          <w:w w:val="105"/>
          <w:sz w:val="21"/>
        </w:rPr>
        <w:t>recommendations </w:t>
      </w:r>
      <w:r>
        <w:rPr>
          <w:w w:val="105"/>
          <w:sz w:val="21"/>
        </w:rPr>
        <w:t>made in this report, and is specifically identified in the </w:t>
      </w:r>
      <w:r>
        <w:rPr>
          <w:spacing w:val="-3"/>
          <w:w w:val="105"/>
          <w:sz w:val="21"/>
        </w:rPr>
        <w:t>recommendation below. </w:t>
      </w:r>
      <w:r>
        <w:rPr>
          <w:w w:val="105"/>
          <w:sz w:val="21"/>
        </w:rPr>
        <w:t>For </w:t>
      </w:r>
      <w:r>
        <w:rPr>
          <w:spacing w:val="-3"/>
          <w:w w:val="105"/>
          <w:sz w:val="21"/>
        </w:rPr>
        <w:t>example, </w:t>
      </w:r>
      <w:r>
        <w:rPr>
          <w:w w:val="105"/>
          <w:sz w:val="21"/>
        </w:rPr>
        <w:t>specific </w:t>
      </w:r>
      <w:r>
        <w:rPr>
          <w:spacing w:val="-3"/>
          <w:w w:val="105"/>
          <w:sz w:val="21"/>
        </w:rPr>
        <w:t>information </w:t>
      </w:r>
      <w:r>
        <w:rPr>
          <w:w w:val="105"/>
          <w:sz w:val="21"/>
        </w:rPr>
        <w:t>should be </w:t>
      </w:r>
      <w:r>
        <w:rPr>
          <w:spacing w:val="-3"/>
          <w:w w:val="105"/>
          <w:sz w:val="21"/>
        </w:rPr>
        <w:t>sought </w:t>
      </w:r>
      <w:r>
        <w:rPr>
          <w:w w:val="105"/>
          <w:sz w:val="21"/>
        </w:rPr>
        <w:t>about whether</w:t>
      </w:r>
      <w:r>
        <w:rPr>
          <w:spacing w:val="-10"/>
          <w:w w:val="105"/>
          <w:sz w:val="21"/>
        </w:rPr>
        <w:t> </w:t>
      </w:r>
      <w:r>
        <w:rPr>
          <w:w w:val="105"/>
          <w:sz w:val="21"/>
        </w:rPr>
        <w:t>there</w:t>
      </w:r>
      <w:r>
        <w:rPr>
          <w:spacing w:val="-9"/>
          <w:w w:val="105"/>
          <w:sz w:val="21"/>
        </w:rPr>
        <w:t> </w:t>
      </w:r>
      <w:r>
        <w:rPr>
          <w:spacing w:val="-3"/>
          <w:w w:val="105"/>
          <w:sz w:val="21"/>
        </w:rPr>
        <w:t>are</w:t>
      </w:r>
      <w:r>
        <w:rPr>
          <w:spacing w:val="-9"/>
          <w:w w:val="105"/>
          <w:sz w:val="21"/>
        </w:rPr>
        <w:t> </w:t>
      </w:r>
      <w:r>
        <w:rPr>
          <w:w w:val="105"/>
          <w:sz w:val="21"/>
        </w:rPr>
        <w:t>other</w:t>
      </w:r>
      <w:r>
        <w:rPr>
          <w:spacing w:val="-9"/>
          <w:w w:val="105"/>
          <w:sz w:val="21"/>
        </w:rPr>
        <w:t> </w:t>
      </w:r>
      <w:r>
        <w:rPr>
          <w:spacing w:val="-3"/>
          <w:w w:val="105"/>
          <w:sz w:val="21"/>
        </w:rPr>
        <w:t>relevant</w:t>
      </w:r>
      <w:r>
        <w:rPr>
          <w:spacing w:val="-9"/>
          <w:w w:val="105"/>
          <w:sz w:val="21"/>
        </w:rPr>
        <w:t> </w:t>
      </w:r>
      <w:r>
        <w:rPr>
          <w:w w:val="105"/>
          <w:sz w:val="21"/>
        </w:rPr>
        <w:t>laws</w:t>
      </w:r>
      <w:r>
        <w:rPr>
          <w:spacing w:val="-9"/>
          <w:w w:val="105"/>
          <w:sz w:val="21"/>
        </w:rPr>
        <w:t> </w:t>
      </w:r>
      <w:r>
        <w:rPr>
          <w:w w:val="105"/>
          <w:sz w:val="21"/>
        </w:rPr>
        <w:t>which</w:t>
      </w:r>
      <w:r>
        <w:rPr>
          <w:spacing w:val="-9"/>
          <w:w w:val="105"/>
          <w:sz w:val="21"/>
        </w:rPr>
        <w:t> </w:t>
      </w:r>
      <w:r>
        <w:rPr>
          <w:w w:val="105"/>
          <w:sz w:val="21"/>
        </w:rPr>
        <w:t>would</w:t>
      </w:r>
      <w:r>
        <w:rPr>
          <w:spacing w:val="-9"/>
          <w:w w:val="105"/>
          <w:sz w:val="21"/>
        </w:rPr>
        <w:t> </w:t>
      </w:r>
      <w:r>
        <w:rPr>
          <w:w w:val="105"/>
          <w:sz w:val="21"/>
        </w:rPr>
        <w:t>help</w:t>
      </w:r>
      <w:r>
        <w:rPr>
          <w:spacing w:val="-9"/>
          <w:w w:val="105"/>
          <w:sz w:val="21"/>
        </w:rPr>
        <w:t> </w:t>
      </w:r>
      <w:r>
        <w:rPr>
          <w:spacing w:val="-5"/>
          <w:w w:val="105"/>
          <w:sz w:val="21"/>
        </w:rPr>
        <w:t>VCAT</w:t>
      </w:r>
      <w:r>
        <w:rPr>
          <w:spacing w:val="-9"/>
          <w:w w:val="105"/>
          <w:sz w:val="21"/>
        </w:rPr>
        <w:t> </w:t>
      </w:r>
      <w:r>
        <w:rPr>
          <w:w w:val="105"/>
          <w:sz w:val="21"/>
        </w:rPr>
        <w:t>identify</w:t>
      </w:r>
      <w:r>
        <w:rPr>
          <w:spacing w:val="-9"/>
          <w:w w:val="105"/>
          <w:sz w:val="21"/>
        </w:rPr>
        <w:t> </w:t>
      </w:r>
      <w:r>
        <w:rPr>
          <w:w w:val="105"/>
          <w:sz w:val="21"/>
        </w:rPr>
        <w:t>broader</w:t>
      </w:r>
      <w:r>
        <w:rPr>
          <w:spacing w:val="-9"/>
          <w:w w:val="105"/>
          <w:sz w:val="21"/>
        </w:rPr>
        <w:t> </w:t>
      </w:r>
      <w:r>
        <w:rPr>
          <w:spacing w:val="-3"/>
          <w:w w:val="105"/>
          <w:sz w:val="21"/>
        </w:rPr>
        <w:t>principles that may </w:t>
      </w:r>
      <w:r>
        <w:rPr>
          <w:w w:val="105"/>
          <w:sz w:val="21"/>
        </w:rPr>
        <w:t>need </w:t>
      </w:r>
      <w:r>
        <w:rPr>
          <w:spacing w:val="-3"/>
          <w:w w:val="105"/>
          <w:sz w:val="21"/>
        </w:rPr>
        <w:t>to </w:t>
      </w:r>
      <w:r>
        <w:rPr>
          <w:w w:val="105"/>
          <w:sz w:val="21"/>
        </w:rPr>
        <w:t>be </w:t>
      </w:r>
      <w:r>
        <w:rPr>
          <w:spacing w:val="-3"/>
          <w:w w:val="105"/>
          <w:sz w:val="21"/>
        </w:rPr>
        <w:t>considered </w:t>
      </w:r>
      <w:r>
        <w:rPr>
          <w:w w:val="105"/>
          <w:sz w:val="21"/>
        </w:rPr>
        <w:t>in decision making; and about who </w:t>
      </w:r>
      <w:r>
        <w:rPr>
          <w:spacing w:val="-3"/>
          <w:w w:val="105"/>
          <w:sz w:val="21"/>
        </w:rPr>
        <w:t>may </w:t>
      </w:r>
      <w:r>
        <w:rPr>
          <w:w w:val="105"/>
          <w:sz w:val="21"/>
        </w:rPr>
        <w:t>need </w:t>
      </w:r>
      <w:r>
        <w:rPr>
          <w:spacing w:val="-3"/>
          <w:w w:val="105"/>
          <w:sz w:val="21"/>
        </w:rPr>
        <w:t>to</w:t>
      </w:r>
      <w:r>
        <w:rPr>
          <w:spacing w:val="27"/>
          <w:w w:val="105"/>
          <w:sz w:val="21"/>
        </w:rPr>
        <w:t> </w:t>
      </w:r>
      <w:r>
        <w:rPr>
          <w:w w:val="105"/>
          <w:sz w:val="21"/>
        </w:rPr>
        <w:t>be</w:t>
      </w:r>
    </w:p>
    <w:p>
      <w:pPr>
        <w:pStyle w:val="BodyText"/>
        <w:spacing w:line="242" w:lineRule="auto" w:before="5"/>
        <w:ind w:left="2381" w:right="1636"/>
      </w:pPr>
      <w:r>
        <w:rPr>
          <w:spacing w:val="-3"/>
          <w:w w:val="105"/>
        </w:rPr>
        <w:t>invited to </w:t>
      </w:r>
      <w:r>
        <w:rPr>
          <w:w w:val="105"/>
        </w:rPr>
        <w:t>participate in a </w:t>
      </w:r>
      <w:r>
        <w:rPr>
          <w:spacing w:val="-3"/>
          <w:w w:val="105"/>
        </w:rPr>
        <w:t>hearing. </w:t>
      </w:r>
      <w:r>
        <w:rPr>
          <w:w w:val="105"/>
        </w:rPr>
        <w:t>The </w:t>
      </w:r>
      <w:r>
        <w:rPr>
          <w:spacing w:val="-3"/>
          <w:w w:val="105"/>
        </w:rPr>
        <w:t>zoning </w:t>
      </w:r>
      <w:r>
        <w:rPr>
          <w:w w:val="105"/>
        </w:rPr>
        <w:t>of the </w:t>
      </w:r>
      <w:r>
        <w:rPr>
          <w:spacing w:val="-3"/>
          <w:w w:val="105"/>
        </w:rPr>
        <w:t>land </w:t>
      </w:r>
      <w:r>
        <w:rPr>
          <w:w w:val="105"/>
        </w:rPr>
        <w:t>should be identified. In </w:t>
      </w:r>
      <w:r>
        <w:rPr>
          <w:spacing w:val="-4"/>
          <w:w w:val="105"/>
        </w:rPr>
        <w:t>Chapter </w:t>
      </w:r>
      <w:r>
        <w:rPr>
          <w:spacing w:val="-6"/>
          <w:w w:val="105"/>
        </w:rPr>
        <w:t>10 </w:t>
      </w:r>
      <w:r>
        <w:rPr>
          <w:w w:val="105"/>
        </w:rPr>
        <w:t>it is recommended </w:t>
      </w:r>
      <w:r>
        <w:rPr>
          <w:spacing w:val="-3"/>
          <w:w w:val="105"/>
        </w:rPr>
        <w:t>that </w:t>
      </w:r>
      <w:r>
        <w:rPr>
          <w:w w:val="105"/>
        </w:rPr>
        <w:t>the new Act provide </w:t>
      </w:r>
      <w:r>
        <w:rPr>
          <w:spacing w:val="-5"/>
          <w:w w:val="105"/>
        </w:rPr>
        <w:t>VCAT </w:t>
      </w:r>
      <w:r>
        <w:rPr>
          <w:w w:val="105"/>
        </w:rPr>
        <w:t>with the power </w:t>
      </w:r>
      <w:r>
        <w:rPr>
          <w:spacing w:val="-3"/>
          <w:w w:val="105"/>
        </w:rPr>
        <w:t>to </w:t>
      </w:r>
      <w:r>
        <w:rPr>
          <w:spacing w:val="-4"/>
          <w:w w:val="105"/>
        </w:rPr>
        <w:t>make </w:t>
      </w:r>
      <w:r>
        <w:rPr>
          <w:w w:val="105"/>
        </w:rPr>
        <w:t>orders under the Fences Act </w:t>
      </w:r>
      <w:r>
        <w:rPr>
          <w:spacing w:val="-3"/>
          <w:w w:val="105"/>
        </w:rPr>
        <w:t>1968 </w:t>
      </w:r>
      <w:r>
        <w:rPr>
          <w:w w:val="105"/>
        </w:rPr>
        <w:t>(Vic). </w:t>
      </w:r>
      <w:r>
        <w:rPr>
          <w:spacing w:val="-3"/>
          <w:w w:val="105"/>
        </w:rPr>
        <w:t>Information </w:t>
      </w:r>
      <w:r>
        <w:rPr>
          <w:w w:val="105"/>
        </w:rPr>
        <w:t>should be </w:t>
      </w:r>
      <w:r>
        <w:rPr>
          <w:spacing w:val="-3"/>
          <w:w w:val="105"/>
        </w:rPr>
        <w:t>sought for </w:t>
      </w:r>
      <w:r>
        <w:rPr>
          <w:w w:val="105"/>
        </w:rPr>
        <w:t>these types of </w:t>
      </w:r>
      <w:r>
        <w:rPr>
          <w:spacing w:val="-3"/>
          <w:w w:val="105"/>
        </w:rPr>
        <w:t>claims </w:t>
      </w:r>
      <w:r>
        <w:rPr>
          <w:w w:val="105"/>
        </w:rPr>
        <w:t>at the start of the </w:t>
      </w:r>
      <w:r>
        <w:rPr>
          <w:spacing w:val="-5"/>
          <w:w w:val="105"/>
        </w:rPr>
        <w:t>VCAT </w:t>
      </w:r>
      <w:r>
        <w:rPr>
          <w:w w:val="105"/>
        </w:rPr>
        <w:t>process.</w:t>
      </w:r>
    </w:p>
    <w:p>
      <w:pPr>
        <w:pStyle w:val="ListParagraph"/>
        <w:numPr>
          <w:ilvl w:val="0"/>
          <w:numId w:val="79"/>
        </w:numPr>
        <w:tabs>
          <w:tab w:pos="2381" w:val="left" w:leader="none"/>
          <w:tab w:pos="2382" w:val="left" w:leader="none"/>
        </w:tabs>
        <w:spacing w:line="242" w:lineRule="auto" w:before="124" w:after="0"/>
        <w:ind w:left="2381" w:right="1779" w:hanging="794"/>
        <w:jc w:val="left"/>
        <w:rPr>
          <w:sz w:val="21"/>
        </w:rPr>
      </w:pPr>
      <w:r>
        <w:rPr>
          <w:sz w:val="21"/>
        </w:rPr>
        <w:t>The application </w:t>
      </w:r>
      <w:r>
        <w:rPr>
          <w:spacing w:val="-3"/>
          <w:sz w:val="21"/>
        </w:rPr>
        <w:t>form </w:t>
      </w:r>
      <w:r>
        <w:rPr>
          <w:sz w:val="21"/>
        </w:rPr>
        <w:t>should </w:t>
      </w:r>
      <w:r>
        <w:rPr>
          <w:spacing w:val="-3"/>
          <w:sz w:val="21"/>
        </w:rPr>
        <w:t>require </w:t>
      </w:r>
      <w:r>
        <w:rPr>
          <w:sz w:val="21"/>
        </w:rPr>
        <w:t>the </w:t>
      </w:r>
      <w:r>
        <w:rPr>
          <w:spacing w:val="-3"/>
          <w:sz w:val="21"/>
        </w:rPr>
        <w:t>applicant to </w:t>
      </w:r>
      <w:r>
        <w:rPr>
          <w:sz w:val="21"/>
        </w:rPr>
        <w:t>provide </w:t>
      </w:r>
      <w:r>
        <w:rPr>
          <w:spacing w:val="-3"/>
          <w:sz w:val="21"/>
        </w:rPr>
        <w:t>information  </w:t>
      </w:r>
      <w:r>
        <w:rPr>
          <w:sz w:val="21"/>
        </w:rPr>
        <w:t>about  </w:t>
      </w:r>
      <w:r>
        <w:rPr>
          <w:spacing w:val="-3"/>
          <w:sz w:val="21"/>
        </w:rPr>
        <w:t>any </w:t>
      </w:r>
      <w:r>
        <w:rPr>
          <w:sz w:val="21"/>
        </w:rPr>
        <w:t>actions they or the tree owner </w:t>
      </w:r>
      <w:r>
        <w:rPr>
          <w:spacing w:val="-3"/>
          <w:sz w:val="21"/>
        </w:rPr>
        <w:t>have taken, </w:t>
      </w:r>
      <w:r>
        <w:rPr>
          <w:sz w:val="21"/>
        </w:rPr>
        <w:t>or </w:t>
      </w:r>
      <w:r>
        <w:rPr>
          <w:spacing w:val="-2"/>
          <w:sz w:val="21"/>
        </w:rPr>
        <w:t>not </w:t>
      </w:r>
      <w:r>
        <w:rPr>
          <w:spacing w:val="-3"/>
          <w:sz w:val="21"/>
        </w:rPr>
        <w:t>taken, to  prevent  harm  </w:t>
      </w:r>
      <w:r>
        <w:rPr>
          <w:sz w:val="21"/>
        </w:rPr>
        <w:t>or damage or the </w:t>
      </w:r>
      <w:r>
        <w:rPr>
          <w:spacing w:val="-3"/>
          <w:sz w:val="21"/>
        </w:rPr>
        <w:t>likelihood </w:t>
      </w:r>
      <w:r>
        <w:rPr>
          <w:sz w:val="21"/>
        </w:rPr>
        <w:t>of it. This is </w:t>
      </w:r>
      <w:r>
        <w:rPr>
          <w:spacing w:val="-3"/>
          <w:sz w:val="21"/>
        </w:rPr>
        <w:t>required </w:t>
      </w:r>
      <w:r>
        <w:rPr>
          <w:sz w:val="21"/>
        </w:rPr>
        <w:t>in application </w:t>
      </w:r>
      <w:r>
        <w:rPr>
          <w:spacing w:val="-3"/>
          <w:sz w:val="21"/>
        </w:rPr>
        <w:t>forms </w:t>
      </w:r>
      <w:r>
        <w:rPr>
          <w:sz w:val="21"/>
        </w:rPr>
        <w:t>prescribed under the New South </w:t>
      </w:r>
      <w:r>
        <w:rPr>
          <w:spacing w:val="-3"/>
          <w:sz w:val="21"/>
        </w:rPr>
        <w:t>Wales </w:t>
      </w:r>
      <w:r>
        <w:rPr>
          <w:sz w:val="21"/>
        </w:rPr>
        <w:t>and </w:t>
      </w:r>
      <w:r>
        <w:rPr>
          <w:spacing w:val="-3"/>
          <w:sz w:val="21"/>
        </w:rPr>
        <w:t>Queensland</w:t>
      </w:r>
      <w:r>
        <w:rPr>
          <w:spacing w:val="29"/>
          <w:sz w:val="21"/>
        </w:rPr>
        <w:t> </w:t>
      </w:r>
      <w:r>
        <w:rPr>
          <w:sz w:val="21"/>
        </w:rPr>
        <w:t>schemes.</w:t>
      </w:r>
    </w:p>
    <w:p>
      <w:pPr>
        <w:pStyle w:val="ListParagraph"/>
        <w:numPr>
          <w:ilvl w:val="0"/>
          <w:numId w:val="79"/>
        </w:numPr>
        <w:tabs>
          <w:tab w:pos="2380" w:val="left" w:leader="none"/>
          <w:tab w:pos="2381" w:val="left" w:leader="none"/>
        </w:tabs>
        <w:spacing w:line="242" w:lineRule="auto" w:before="125" w:after="0"/>
        <w:ind w:left="2381" w:right="1650" w:hanging="794"/>
        <w:jc w:val="left"/>
        <w:rPr>
          <w:sz w:val="21"/>
        </w:rPr>
      </w:pPr>
      <w:r>
        <w:rPr>
          <w:w w:val="105"/>
          <w:sz w:val="21"/>
        </w:rPr>
        <w:t>The application </w:t>
      </w:r>
      <w:r>
        <w:rPr>
          <w:spacing w:val="-3"/>
          <w:w w:val="105"/>
          <w:sz w:val="21"/>
        </w:rPr>
        <w:t>form </w:t>
      </w:r>
      <w:r>
        <w:rPr>
          <w:w w:val="105"/>
          <w:sz w:val="21"/>
        </w:rPr>
        <w:t>should </w:t>
      </w:r>
      <w:r>
        <w:rPr>
          <w:spacing w:val="-3"/>
          <w:w w:val="105"/>
          <w:sz w:val="21"/>
        </w:rPr>
        <w:t>require </w:t>
      </w:r>
      <w:r>
        <w:rPr>
          <w:w w:val="105"/>
          <w:sz w:val="21"/>
        </w:rPr>
        <w:t>applicants </w:t>
      </w:r>
      <w:r>
        <w:rPr>
          <w:spacing w:val="-3"/>
          <w:w w:val="105"/>
          <w:sz w:val="21"/>
        </w:rPr>
        <w:t>to turn </w:t>
      </w:r>
      <w:r>
        <w:rPr>
          <w:w w:val="105"/>
          <w:sz w:val="21"/>
        </w:rPr>
        <w:t>their </w:t>
      </w:r>
      <w:r>
        <w:rPr>
          <w:spacing w:val="-3"/>
          <w:w w:val="105"/>
          <w:sz w:val="21"/>
        </w:rPr>
        <w:t>mind to </w:t>
      </w:r>
      <w:r>
        <w:rPr>
          <w:w w:val="105"/>
          <w:sz w:val="21"/>
        </w:rPr>
        <w:t>the decision-making factors recommended in </w:t>
      </w:r>
      <w:r>
        <w:rPr>
          <w:spacing w:val="-4"/>
          <w:w w:val="105"/>
          <w:sz w:val="21"/>
        </w:rPr>
        <w:t>Chapter </w:t>
      </w:r>
      <w:r>
        <w:rPr>
          <w:w w:val="105"/>
          <w:sz w:val="21"/>
        </w:rPr>
        <w:t>8. This </w:t>
      </w:r>
      <w:r>
        <w:rPr>
          <w:spacing w:val="-3"/>
          <w:w w:val="105"/>
          <w:sz w:val="21"/>
        </w:rPr>
        <w:t>requirement will </w:t>
      </w:r>
      <w:r>
        <w:rPr>
          <w:w w:val="105"/>
          <w:sz w:val="21"/>
        </w:rPr>
        <w:t>help the parties </w:t>
      </w:r>
      <w:r>
        <w:rPr>
          <w:spacing w:val="-3"/>
          <w:w w:val="105"/>
          <w:sz w:val="21"/>
        </w:rPr>
        <w:t>to </w:t>
      </w:r>
      <w:r>
        <w:rPr>
          <w:w w:val="105"/>
          <w:sz w:val="21"/>
        </w:rPr>
        <w:t>better understand</w:t>
      </w:r>
      <w:r>
        <w:rPr>
          <w:spacing w:val="-11"/>
          <w:w w:val="105"/>
          <w:sz w:val="21"/>
        </w:rPr>
        <w:t> </w:t>
      </w:r>
      <w:r>
        <w:rPr>
          <w:w w:val="105"/>
          <w:sz w:val="21"/>
        </w:rPr>
        <w:t>the</w:t>
      </w:r>
      <w:r>
        <w:rPr>
          <w:spacing w:val="-10"/>
          <w:w w:val="105"/>
          <w:sz w:val="21"/>
        </w:rPr>
        <w:t> </w:t>
      </w:r>
      <w:r>
        <w:rPr>
          <w:w w:val="105"/>
          <w:sz w:val="21"/>
        </w:rPr>
        <w:t>decision-making</w:t>
      </w:r>
      <w:r>
        <w:rPr>
          <w:spacing w:val="-10"/>
          <w:w w:val="105"/>
          <w:sz w:val="21"/>
        </w:rPr>
        <w:t> </w:t>
      </w:r>
      <w:r>
        <w:rPr>
          <w:w w:val="105"/>
          <w:sz w:val="21"/>
        </w:rPr>
        <w:t>process</w:t>
      </w:r>
      <w:r>
        <w:rPr>
          <w:spacing w:val="-11"/>
          <w:w w:val="105"/>
          <w:sz w:val="21"/>
        </w:rPr>
        <w:t> </w:t>
      </w:r>
      <w:r>
        <w:rPr>
          <w:w w:val="105"/>
          <w:sz w:val="21"/>
        </w:rPr>
        <w:t>and</w:t>
      </w:r>
      <w:r>
        <w:rPr>
          <w:spacing w:val="-10"/>
          <w:w w:val="105"/>
          <w:sz w:val="21"/>
        </w:rPr>
        <w:t> </w:t>
      </w:r>
      <w:r>
        <w:rPr>
          <w:spacing w:val="-3"/>
          <w:w w:val="105"/>
          <w:sz w:val="21"/>
        </w:rPr>
        <w:t>may</w:t>
      </w:r>
      <w:r>
        <w:rPr>
          <w:spacing w:val="-10"/>
          <w:w w:val="105"/>
          <w:sz w:val="21"/>
        </w:rPr>
        <w:t> </w:t>
      </w:r>
      <w:r>
        <w:rPr>
          <w:spacing w:val="-4"/>
          <w:w w:val="105"/>
          <w:sz w:val="21"/>
        </w:rPr>
        <w:t>make</w:t>
      </w:r>
      <w:r>
        <w:rPr>
          <w:spacing w:val="-10"/>
          <w:w w:val="105"/>
          <w:sz w:val="21"/>
        </w:rPr>
        <w:t> </w:t>
      </w:r>
      <w:r>
        <w:rPr>
          <w:w w:val="105"/>
          <w:sz w:val="21"/>
        </w:rPr>
        <w:t>resolution</w:t>
      </w:r>
      <w:r>
        <w:rPr>
          <w:spacing w:val="-11"/>
          <w:w w:val="105"/>
          <w:sz w:val="21"/>
        </w:rPr>
        <w:t> </w:t>
      </w:r>
      <w:r>
        <w:rPr>
          <w:spacing w:val="-3"/>
          <w:w w:val="105"/>
          <w:sz w:val="21"/>
        </w:rPr>
        <w:t>through</w:t>
      </w:r>
      <w:r>
        <w:rPr>
          <w:spacing w:val="-10"/>
          <w:w w:val="105"/>
          <w:sz w:val="21"/>
        </w:rPr>
        <w:t> </w:t>
      </w:r>
      <w:r>
        <w:rPr>
          <w:w w:val="105"/>
          <w:sz w:val="21"/>
        </w:rPr>
        <w:t>an</w:t>
      </w:r>
      <w:r>
        <w:rPr>
          <w:spacing w:val="-10"/>
          <w:w w:val="105"/>
          <w:sz w:val="21"/>
        </w:rPr>
        <w:t> </w:t>
      </w:r>
      <w:r>
        <w:rPr>
          <w:spacing w:val="-3"/>
          <w:w w:val="105"/>
          <w:sz w:val="21"/>
        </w:rPr>
        <w:t>alternative dispute </w:t>
      </w:r>
      <w:r>
        <w:rPr>
          <w:w w:val="105"/>
          <w:sz w:val="21"/>
        </w:rPr>
        <w:t>resolution process more </w:t>
      </w:r>
      <w:r>
        <w:rPr>
          <w:spacing w:val="-4"/>
          <w:w w:val="105"/>
          <w:sz w:val="21"/>
        </w:rPr>
        <w:t>likely </w:t>
      </w:r>
      <w:r>
        <w:rPr>
          <w:w w:val="105"/>
          <w:sz w:val="21"/>
        </w:rPr>
        <w:t>if </w:t>
      </w:r>
      <w:r>
        <w:rPr>
          <w:spacing w:val="-5"/>
          <w:w w:val="105"/>
          <w:sz w:val="21"/>
        </w:rPr>
        <w:t>VCAT </w:t>
      </w:r>
      <w:r>
        <w:rPr>
          <w:w w:val="105"/>
          <w:sz w:val="21"/>
        </w:rPr>
        <w:t>decides it should direct the parties </w:t>
      </w:r>
      <w:r>
        <w:rPr>
          <w:spacing w:val="-3"/>
          <w:w w:val="105"/>
          <w:sz w:val="21"/>
        </w:rPr>
        <w:t>to </w:t>
      </w:r>
      <w:r>
        <w:rPr>
          <w:w w:val="105"/>
          <w:sz w:val="21"/>
        </w:rPr>
        <w:t>participate</w:t>
      </w:r>
      <w:r>
        <w:rPr>
          <w:spacing w:val="-10"/>
          <w:w w:val="105"/>
          <w:sz w:val="21"/>
        </w:rPr>
        <w:t> </w:t>
      </w:r>
      <w:r>
        <w:rPr>
          <w:w w:val="105"/>
          <w:sz w:val="21"/>
        </w:rPr>
        <w:t>in</w:t>
      </w:r>
      <w:r>
        <w:rPr>
          <w:spacing w:val="-9"/>
          <w:w w:val="105"/>
          <w:sz w:val="21"/>
        </w:rPr>
        <w:t> </w:t>
      </w:r>
      <w:r>
        <w:rPr>
          <w:w w:val="105"/>
          <w:sz w:val="21"/>
        </w:rPr>
        <w:t>ADR.</w:t>
      </w:r>
      <w:r>
        <w:rPr>
          <w:spacing w:val="-9"/>
          <w:w w:val="105"/>
          <w:sz w:val="21"/>
        </w:rPr>
        <w:t> </w:t>
      </w:r>
      <w:r>
        <w:rPr>
          <w:w w:val="105"/>
          <w:sz w:val="21"/>
        </w:rPr>
        <w:t>Asking</w:t>
      </w:r>
      <w:r>
        <w:rPr>
          <w:spacing w:val="-9"/>
          <w:w w:val="105"/>
          <w:sz w:val="21"/>
        </w:rPr>
        <w:t> </w:t>
      </w:r>
      <w:r>
        <w:rPr>
          <w:w w:val="105"/>
          <w:sz w:val="21"/>
        </w:rPr>
        <w:t>the</w:t>
      </w:r>
      <w:r>
        <w:rPr>
          <w:spacing w:val="-9"/>
          <w:w w:val="105"/>
          <w:sz w:val="21"/>
        </w:rPr>
        <w:t> </w:t>
      </w:r>
      <w:r>
        <w:rPr>
          <w:w w:val="105"/>
          <w:sz w:val="21"/>
        </w:rPr>
        <w:t>parties</w:t>
      </w:r>
      <w:r>
        <w:rPr>
          <w:spacing w:val="-9"/>
          <w:w w:val="105"/>
          <w:sz w:val="21"/>
        </w:rPr>
        <w:t> </w:t>
      </w:r>
      <w:r>
        <w:rPr>
          <w:spacing w:val="-3"/>
          <w:w w:val="105"/>
          <w:sz w:val="21"/>
        </w:rPr>
        <w:t>to</w:t>
      </w:r>
      <w:r>
        <w:rPr>
          <w:spacing w:val="-9"/>
          <w:w w:val="105"/>
          <w:sz w:val="21"/>
        </w:rPr>
        <w:t> </w:t>
      </w:r>
      <w:r>
        <w:rPr>
          <w:w w:val="105"/>
          <w:sz w:val="21"/>
        </w:rPr>
        <w:t>address</w:t>
      </w:r>
      <w:r>
        <w:rPr>
          <w:spacing w:val="-10"/>
          <w:w w:val="105"/>
          <w:sz w:val="21"/>
        </w:rPr>
        <w:t> </w:t>
      </w:r>
      <w:r>
        <w:rPr>
          <w:w w:val="105"/>
          <w:sz w:val="21"/>
        </w:rPr>
        <w:t>decision-making</w:t>
      </w:r>
      <w:r>
        <w:rPr>
          <w:spacing w:val="-9"/>
          <w:w w:val="105"/>
          <w:sz w:val="21"/>
        </w:rPr>
        <w:t> </w:t>
      </w:r>
      <w:r>
        <w:rPr>
          <w:spacing w:val="-3"/>
          <w:w w:val="105"/>
          <w:sz w:val="21"/>
        </w:rPr>
        <w:t>principles</w:t>
      </w:r>
      <w:r>
        <w:rPr>
          <w:spacing w:val="-9"/>
          <w:w w:val="105"/>
          <w:sz w:val="21"/>
        </w:rPr>
        <w:t> </w:t>
      </w:r>
      <w:r>
        <w:rPr>
          <w:w w:val="105"/>
          <w:sz w:val="21"/>
        </w:rPr>
        <w:t>early</w:t>
      </w:r>
      <w:r>
        <w:rPr>
          <w:spacing w:val="-9"/>
          <w:w w:val="105"/>
          <w:sz w:val="21"/>
        </w:rPr>
        <w:t> </w:t>
      </w:r>
      <w:r>
        <w:rPr>
          <w:spacing w:val="-3"/>
          <w:w w:val="105"/>
          <w:sz w:val="21"/>
        </w:rPr>
        <w:t>will</w:t>
      </w:r>
      <w:r>
        <w:rPr>
          <w:spacing w:val="-9"/>
          <w:w w:val="105"/>
          <w:sz w:val="21"/>
        </w:rPr>
        <w:t> </w:t>
      </w:r>
      <w:r>
        <w:rPr>
          <w:w w:val="105"/>
          <w:sz w:val="21"/>
        </w:rPr>
        <w:t>also help </w:t>
      </w:r>
      <w:r>
        <w:rPr>
          <w:spacing w:val="-5"/>
          <w:w w:val="105"/>
          <w:sz w:val="21"/>
        </w:rPr>
        <w:t>VCAT </w:t>
      </w:r>
      <w:r>
        <w:rPr>
          <w:spacing w:val="-3"/>
          <w:w w:val="105"/>
          <w:sz w:val="21"/>
        </w:rPr>
        <w:t>to </w:t>
      </w:r>
      <w:r>
        <w:rPr>
          <w:w w:val="105"/>
          <w:sz w:val="21"/>
        </w:rPr>
        <w:t>resolve the matter</w:t>
      </w:r>
      <w:r>
        <w:rPr>
          <w:spacing w:val="35"/>
          <w:w w:val="105"/>
          <w:sz w:val="21"/>
        </w:rPr>
        <w:t> </w:t>
      </w:r>
      <w:r>
        <w:rPr>
          <w:spacing w:val="-3"/>
          <w:w w:val="105"/>
          <w:sz w:val="21"/>
        </w:rPr>
        <w:t>efficiently.</w:t>
      </w:r>
    </w:p>
    <w:p>
      <w:pPr>
        <w:pStyle w:val="ListParagraph"/>
        <w:numPr>
          <w:ilvl w:val="0"/>
          <w:numId w:val="79"/>
        </w:numPr>
        <w:tabs>
          <w:tab w:pos="2380" w:val="left" w:leader="none"/>
          <w:tab w:pos="2381" w:val="left" w:leader="none"/>
        </w:tabs>
        <w:spacing w:line="242" w:lineRule="auto" w:before="126" w:after="0"/>
        <w:ind w:left="2381" w:right="1744" w:hanging="794"/>
        <w:jc w:val="left"/>
        <w:rPr>
          <w:sz w:val="21"/>
        </w:rPr>
      </w:pPr>
      <w:r>
        <w:rPr>
          <w:sz w:val="21"/>
        </w:rPr>
        <w:t>A checklist should </w:t>
      </w:r>
      <w:r>
        <w:rPr>
          <w:spacing w:val="-3"/>
          <w:sz w:val="21"/>
        </w:rPr>
        <w:t>accompany </w:t>
      </w:r>
      <w:r>
        <w:rPr>
          <w:sz w:val="21"/>
        </w:rPr>
        <w:t>the application  </w:t>
      </w:r>
      <w:r>
        <w:rPr>
          <w:spacing w:val="-3"/>
          <w:sz w:val="21"/>
        </w:rPr>
        <w:t>form  to  ensure  that  </w:t>
      </w:r>
      <w:r>
        <w:rPr>
          <w:sz w:val="21"/>
        </w:rPr>
        <w:t>the  tree  </w:t>
      </w:r>
      <w:r>
        <w:rPr>
          <w:spacing w:val="-3"/>
          <w:sz w:val="21"/>
        </w:rPr>
        <w:t>dispute </w:t>
      </w:r>
      <w:r>
        <w:rPr>
          <w:sz w:val="21"/>
        </w:rPr>
        <w:t>meets the </w:t>
      </w:r>
      <w:r>
        <w:rPr>
          <w:spacing w:val="-3"/>
          <w:sz w:val="21"/>
        </w:rPr>
        <w:t>jurisdictional requirements </w:t>
      </w:r>
      <w:r>
        <w:rPr>
          <w:sz w:val="21"/>
        </w:rPr>
        <w:t>under the new Act and can be </w:t>
      </w:r>
      <w:r>
        <w:rPr>
          <w:spacing w:val="-3"/>
          <w:sz w:val="21"/>
        </w:rPr>
        <w:t>heard </w:t>
      </w:r>
      <w:r>
        <w:rPr>
          <w:sz w:val="21"/>
        </w:rPr>
        <w:t>in </w:t>
      </w:r>
      <w:r>
        <w:rPr>
          <w:spacing w:val="-8"/>
          <w:sz w:val="21"/>
        </w:rPr>
        <w:t>VCAT.  </w:t>
      </w:r>
      <w:r>
        <w:rPr>
          <w:sz w:val="21"/>
        </w:rPr>
        <w:t>This  </w:t>
      </w:r>
      <w:r>
        <w:rPr>
          <w:spacing w:val="-3"/>
          <w:sz w:val="21"/>
        </w:rPr>
        <w:t>will</w:t>
      </w:r>
      <w:r>
        <w:rPr>
          <w:spacing w:val="17"/>
          <w:sz w:val="21"/>
        </w:rPr>
        <w:t> </w:t>
      </w:r>
      <w:r>
        <w:rPr>
          <w:sz w:val="21"/>
        </w:rPr>
        <w:t>help</w:t>
      </w:r>
      <w:r>
        <w:rPr>
          <w:spacing w:val="17"/>
          <w:sz w:val="21"/>
        </w:rPr>
        <w:t> </w:t>
      </w:r>
      <w:r>
        <w:rPr>
          <w:spacing w:val="-3"/>
          <w:sz w:val="21"/>
        </w:rPr>
        <w:t>to</w:t>
      </w:r>
      <w:r>
        <w:rPr>
          <w:spacing w:val="17"/>
          <w:sz w:val="21"/>
        </w:rPr>
        <w:t> </w:t>
      </w:r>
      <w:r>
        <w:rPr>
          <w:spacing w:val="-3"/>
          <w:sz w:val="21"/>
        </w:rPr>
        <w:t>remove</w:t>
      </w:r>
      <w:r>
        <w:rPr>
          <w:spacing w:val="17"/>
          <w:sz w:val="21"/>
        </w:rPr>
        <w:t> </w:t>
      </w:r>
      <w:r>
        <w:rPr>
          <w:sz w:val="21"/>
        </w:rPr>
        <w:t>vexatious</w:t>
      </w:r>
      <w:r>
        <w:rPr>
          <w:spacing w:val="17"/>
          <w:sz w:val="21"/>
        </w:rPr>
        <w:t> </w:t>
      </w:r>
      <w:r>
        <w:rPr>
          <w:spacing w:val="-3"/>
          <w:sz w:val="21"/>
        </w:rPr>
        <w:t>applications</w:t>
      </w:r>
      <w:r>
        <w:rPr>
          <w:spacing w:val="17"/>
          <w:sz w:val="21"/>
        </w:rPr>
        <w:t> </w:t>
      </w:r>
      <w:r>
        <w:rPr>
          <w:sz w:val="21"/>
        </w:rPr>
        <w:t>or</w:t>
      </w:r>
      <w:r>
        <w:rPr>
          <w:spacing w:val="17"/>
          <w:sz w:val="21"/>
        </w:rPr>
        <w:t> </w:t>
      </w:r>
      <w:r>
        <w:rPr>
          <w:spacing w:val="-3"/>
          <w:sz w:val="21"/>
        </w:rPr>
        <w:t>applications</w:t>
      </w:r>
      <w:r>
        <w:rPr>
          <w:spacing w:val="17"/>
          <w:sz w:val="21"/>
        </w:rPr>
        <w:t> </w:t>
      </w:r>
      <w:r>
        <w:rPr>
          <w:spacing w:val="-3"/>
          <w:sz w:val="21"/>
        </w:rPr>
        <w:t>that</w:t>
      </w:r>
      <w:r>
        <w:rPr>
          <w:spacing w:val="17"/>
          <w:sz w:val="21"/>
        </w:rPr>
        <w:t> </w:t>
      </w:r>
      <w:r>
        <w:rPr>
          <w:spacing w:val="-3"/>
          <w:sz w:val="21"/>
        </w:rPr>
        <w:t>may</w:t>
      </w:r>
      <w:r>
        <w:rPr>
          <w:spacing w:val="17"/>
          <w:sz w:val="21"/>
        </w:rPr>
        <w:t> </w:t>
      </w:r>
      <w:r>
        <w:rPr>
          <w:sz w:val="21"/>
        </w:rPr>
        <w:t>be</w:t>
      </w:r>
      <w:r>
        <w:rPr>
          <w:spacing w:val="17"/>
          <w:sz w:val="21"/>
        </w:rPr>
        <w:t> </w:t>
      </w:r>
      <w:r>
        <w:rPr>
          <w:sz w:val="21"/>
        </w:rPr>
        <w:t>better</w:t>
      </w:r>
      <w:r>
        <w:rPr>
          <w:spacing w:val="18"/>
          <w:sz w:val="21"/>
        </w:rPr>
        <w:t> </w:t>
      </w:r>
      <w:r>
        <w:rPr>
          <w:spacing w:val="-3"/>
          <w:sz w:val="21"/>
        </w:rPr>
        <w:t>suited</w:t>
      </w:r>
      <w:r>
        <w:rPr>
          <w:spacing w:val="17"/>
          <w:sz w:val="21"/>
        </w:rPr>
        <w:t> </w:t>
      </w:r>
      <w:r>
        <w:rPr>
          <w:spacing w:val="-3"/>
          <w:sz w:val="21"/>
        </w:rPr>
        <w:t>to</w:t>
      </w:r>
    </w:p>
    <w:p>
      <w:pPr>
        <w:pStyle w:val="BodyText"/>
        <w:spacing w:line="242" w:lineRule="auto" w:before="4"/>
        <w:ind w:left="2380" w:right="1810"/>
      </w:pPr>
      <w:r>
        <w:rPr>
          <w:spacing w:val="-3"/>
        </w:rPr>
        <w:t>litigation through </w:t>
      </w:r>
      <w:r>
        <w:rPr/>
        <w:t>the court process </w:t>
      </w:r>
      <w:r>
        <w:rPr>
          <w:spacing w:val="-3"/>
        </w:rPr>
        <w:t>such </w:t>
      </w:r>
      <w:r>
        <w:rPr/>
        <w:t>as personal injury compensation </w:t>
      </w:r>
      <w:r>
        <w:rPr>
          <w:spacing w:val="-3"/>
        </w:rPr>
        <w:t>claims,  </w:t>
      </w:r>
      <w:r>
        <w:rPr/>
        <w:t>trespass  or </w:t>
      </w:r>
      <w:r>
        <w:rPr>
          <w:spacing w:val="-3"/>
        </w:rPr>
        <w:t>criminal </w:t>
      </w:r>
      <w:r>
        <w:rPr/>
        <w:t>damage</w:t>
      </w:r>
      <w:r>
        <w:rPr>
          <w:spacing w:val="28"/>
        </w:rPr>
        <w:t> </w:t>
      </w:r>
      <w:r>
        <w:rPr>
          <w:spacing w:val="-3"/>
        </w:rPr>
        <w:t>claims.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spacing w:before="96"/>
        <w:ind w:left="0" w:right="593" w:firstLine="0"/>
        <w:jc w:val="right"/>
        <w:rPr>
          <w:b/>
          <w:sz w:val="24"/>
        </w:rPr>
      </w:pPr>
      <w:r>
        <w:rPr>
          <w:b/>
          <w:color w:val="658464"/>
          <w:w w:val="110"/>
          <w:sz w:val="24"/>
        </w:rPr>
        <w:t>109</w:t>
      </w:r>
    </w:p>
    <w:p>
      <w:pPr>
        <w:spacing w:after="0"/>
        <w:jc w:val="right"/>
        <w:rPr>
          <w:sz w:val="24"/>
        </w:rPr>
        <w:sectPr>
          <w:pgSz w:w="11910" w:h="16840"/>
          <w:pgMar w:header="808" w:footer="0" w:top="1360" w:bottom="280" w:left="0" w:right="0"/>
        </w:sectPr>
      </w:pPr>
    </w:p>
    <w:p>
      <w:pPr>
        <w:pStyle w:val="BodyText"/>
        <w:rPr>
          <w:b/>
          <w:sz w:val="20"/>
        </w:rPr>
      </w:pPr>
    </w:p>
    <w:p>
      <w:pPr>
        <w:pStyle w:val="BodyText"/>
        <w:spacing w:before="3"/>
        <w:rPr>
          <w:b/>
          <w:sz w:val="19"/>
        </w:rPr>
      </w:pPr>
    </w:p>
    <w:p>
      <w:pPr>
        <w:spacing w:before="95"/>
        <w:ind w:left="1814" w:right="0" w:firstLine="0"/>
        <w:jc w:val="left"/>
        <w:rPr>
          <w:b/>
          <w:sz w:val="32"/>
        </w:rPr>
      </w:pPr>
      <w:r>
        <w:rPr/>
        <w:pict>
          <v:group style="position:absolute;margin-left:62.362202pt;margin-top:-3.354124pt;width:479.1pt;height:436.4pt;mso-position-horizontal-relative:page;mso-position-vertical-relative:paragraph;z-index:-451432" coordorigin="1247,-67" coordsize="9582,8728">
            <v:rect style="position:absolute;left:1587;top:-68;width:8731;height:8728" filled="true" fillcolor="#dbe0dd" stroked="false">
              <v:fill type="solid"/>
            </v:rect>
            <v:line style="position:absolute" from="1247,680" to="10828,680" stroked="true" strokeweight="2.5pt" strokecolor="#ffffff">
              <v:stroke dashstyle="solid"/>
            </v:line>
            <w10:wrap type="none"/>
          </v:group>
        </w:pict>
      </w:r>
      <w:r>
        <w:rPr>
          <w:b/>
          <w:color w:val="658464"/>
          <w:w w:val="110"/>
          <w:sz w:val="32"/>
        </w:rPr>
        <w:t>Recommendation</w:t>
      </w:r>
    </w:p>
    <w:p>
      <w:pPr>
        <w:pStyle w:val="BodyText"/>
        <w:rPr>
          <w:b/>
          <w:sz w:val="35"/>
        </w:rPr>
      </w:pPr>
    </w:p>
    <w:p>
      <w:pPr>
        <w:pStyle w:val="BodyText"/>
        <w:tabs>
          <w:tab w:pos="2381" w:val="left" w:leader="none"/>
        </w:tabs>
        <w:spacing w:line="242" w:lineRule="auto"/>
        <w:ind w:left="2381" w:right="2299" w:hanging="567"/>
      </w:pPr>
      <w:r>
        <w:rPr>
          <w:b/>
          <w:spacing w:val="-3"/>
          <w:w w:val="115"/>
        </w:rPr>
        <w:t>16</w:t>
        <w:tab/>
      </w:r>
      <w:r>
        <w:rPr>
          <w:w w:val="115"/>
        </w:rPr>
        <w:t>The</w:t>
      </w:r>
      <w:r>
        <w:rPr>
          <w:spacing w:val="-8"/>
          <w:w w:val="115"/>
        </w:rPr>
        <w:t> </w:t>
      </w:r>
      <w:r>
        <w:rPr>
          <w:w w:val="115"/>
        </w:rPr>
        <w:t>Victorian</w:t>
      </w:r>
      <w:r>
        <w:rPr>
          <w:spacing w:val="-9"/>
          <w:w w:val="115"/>
        </w:rPr>
        <w:t> </w:t>
      </w:r>
      <w:r>
        <w:rPr>
          <w:w w:val="115"/>
        </w:rPr>
        <w:t>Civil</w:t>
      </w:r>
      <w:r>
        <w:rPr>
          <w:spacing w:val="-8"/>
          <w:w w:val="115"/>
        </w:rPr>
        <w:t> </w:t>
      </w:r>
      <w:r>
        <w:rPr>
          <w:w w:val="115"/>
        </w:rPr>
        <w:t>and</w:t>
      </w:r>
      <w:r>
        <w:rPr>
          <w:spacing w:val="-8"/>
          <w:w w:val="115"/>
        </w:rPr>
        <w:t> </w:t>
      </w:r>
      <w:r>
        <w:rPr>
          <w:w w:val="115"/>
        </w:rPr>
        <w:t>Administrative</w:t>
      </w:r>
      <w:r>
        <w:rPr>
          <w:spacing w:val="-8"/>
          <w:w w:val="115"/>
        </w:rPr>
        <w:t> </w:t>
      </w:r>
      <w:r>
        <w:rPr>
          <w:spacing w:val="-4"/>
          <w:w w:val="115"/>
        </w:rPr>
        <w:t>Tribunal</w:t>
      </w:r>
      <w:r>
        <w:rPr>
          <w:spacing w:val="-8"/>
          <w:w w:val="115"/>
        </w:rPr>
        <w:t> </w:t>
      </w:r>
      <w:r>
        <w:rPr>
          <w:w w:val="115"/>
        </w:rPr>
        <w:t>should</w:t>
      </w:r>
      <w:r>
        <w:rPr>
          <w:spacing w:val="-8"/>
          <w:w w:val="115"/>
        </w:rPr>
        <w:t> </w:t>
      </w:r>
      <w:r>
        <w:rPr>
          <w:w w:val="115"/>
        </w:rPr>
        <w:t>consider</w:t>
      </w:r>
      <w:r>
        <w:rPr>
          <w:spacing w:val="-8"/>
          <w:w w:val="115"/>
        </w:rPr>
        <w:t> </w:t>
      </w:r>
      <w:r>
        <w:rPr>
          <w:w w:val="115"/>
        </w:rPr>
        <w:t>developing a detailed application form that is modelled on the application forms for </w:t>
      </w:r>
      <w:r>
        <w:rPr>
          <w:spacing w:val="-3"/>
          <w:w w:val="115"/>
        </w:rPr>
        <w:t>initiating </w:t>
      </w:r>
      <w:r>
        <w:rPr>
          <w:w w:val="115"/>
        </w:rPr>
        <w:t>a tree dispute in the Land and Environment Court of New South </w:t>
      </w:r>
      <w:r>
        <w:rPr>
          <w:spacing w:val="-3"/>
          <w:w w:val="115"/>
        </w:rPr>
        <w:t>Wales </w:t>
      </w:r>
      <w:r>
        <w:rPr>
          <w:w w:val="115"/>
        </w:rPr>
        <w:t>and the Queensland Civil and Administrative </w:t>
      </w:r>
      <w:r>
        <w:rPr>
          <w:spacing w:val="-4"/>
          <w:w w:val="115"/>
        </w:rPr>
        <w:t>Tribunal. </w:t>
      </w:r>
      <w:r>
        <w:rPr>
          <w:w w:val="115"/>
        </w:rPr>
        <w:t>Additional information should be sought in the application form</w:t>
      </w:r>
      <w:r>
        <w:rPr>
          <w:spacing w:val="-3"/>
          <w:w w:val="115"/>
        </w:rPr>
        <w:t> </w:t>
      </w:r>
      <w:r>
        <w:rPr>
          <w:w w:val="115"/>
        </w:rPr>
        <w:t>about:</w:t>
      </w:r>
    </w:p>
    <w:p>
      <w:pPr>
        <w:pStyle w:val="ListParagraph"/>
        <w:numPr>
          <w:ilvl w:val="0"/>
          <w:numId w:val="90"/>
        </w:numPr>
        <w:tabs>
          <w:tab w:pos="2948" w:val="left" w:leader="none"/>
          <w:tab w:pos="2949" w:val="left" w:leader="none"/>
        </w:tabs>
        <w:spacing w:line="240" w:lineRule="auto" w:before="126" w:after="0"/>
        <w:ind w:left="2948" w:right="0" w:hanging="567"/>
        <w:jc w:val="left"/>
        <w:rPr>
          <w:sz w:val="21"/>
        </w:rPr>
      </w:pPr>
      <w:r>
        <w:rPr>
          <w:w w:val="115"/>
          <w:sz w:val="21"/>
        </w:rPr>
        <w:t>the species of the tree and whether it is a recognised</w:t>
      </w:r>
      <w:r>
        <w:rPr>
          <w:spacing w:val="-5"/>
          <w:w w:val="115"/>
          <w:sz w:val="21"/>
        </w:rPr>
        <w:t> </w:t>
      </w:r>
      <w:r>
        <w:rPr>
          <w:w w:val="115"/>
          <w:sz w:val="21"/>
        </w:rPr>
        <w:t>weed</w:t>
      </w:r>
    </w:p>
    <w:p>
      <w:pPr>
        <w:pStyle w:val="ListParagraph"/>
        <w:numPr>
          <w:ilvl w:val="0"/>
          <w:numId w:val="90"/>
        </w:numPr>
        <w:tabs>
          <w:tab w:pos="2948" w:val="left" w:leader="none"/>
          <w:tab w:pos="2949" w:val="left" w:leader="none"/>
        </w:tabs>
        <w:spacing w:line="240" w:lineRule="auto" w:before="123" w:after="0"/>
        <w:ind w:left="2948" w:right="0" w:hanging="567"/>
        <w:jc w:val="left"/>
        <w:rPr>
          <w:sz w:val="21"/>
        </w:rPr>
      </w:pPr>
      <w:r>
        <w:rPr>
          <w:w w:val="115"/>
          <w:sz w:val="21"/>
        </w:rPr>
        <w:t>the steps the parties may </w:t>
      </w:r>
      <w:r>
        <w:rPr>
          <w:spacing w:val="-3"/>
          <w:w w:val="115"/>
          <w:sz w:val="21"/>
        </w:rPr>
        <w:t>have </w:t>
      </w:r>
      <w:r>
        <w:rPr>
          <w:w w:val="115"/>
          <w:sz w:val="21"/>
        </w:rPr>
        <w:t>already taken to resolve their</w:t>
      </w:r>
      <w:r>
        <w:rPr>
          <w:spacing w:val="-16"/>
          <w:w w:val="115"/>
          <w:sz w:val="21"/>
        </w:rPr>
        <w:t> </w:t>
      </w:r>
      <w:r>
        <w:rPr>
          <w:w w:val="115"/>
          <w:sz w:val="21"/>
        </w:rPr>
        <w:t>dispute</w:t>
      </w:r>
    </w:p>
    <w:p>
      <w:pPr>
        <w:pStyle w:val="ListParagraph"/>
        <w:numPr>
          <w:ilvl w:val="0"/>
          <w:numId w:val="90"/>
        </w:numPr>
        <w:tabs>
          <w:tab w:pos="2948" w:val="left" w:leader="none"/>
          <w:tab w:pos="2949" w:val="left" w:leader="none"/>
        </w:tabs>
        <w:spacing w:line="240" w:lineRule="auto" w:before="124" w:after="0"/>
        <w:ind w:left="2948" w:right="0" w:hanging="567"/>
        <w:jc w:val="left"/>
        <w:rPr>
          <w:sz w:val="21"/>
        </w:rPr>
      </w:pPr>
      <w:r>
        <w:rPr>
          <w:w w:val="115"/>
          <w:sz w:val="21"/>
        </w:rPr>
        <w:t>how the decision-making principles in the Act are</w:t>
      </w:r>
      <w:r>
        <w:rPr>
          <w:spacing w:val="-3"/>
          <w:w w:val="115"/>
          <w:sz w:val="21"/>
        </w:rPr>
        <w:t> </w:t>
      </w:r>
      <w:r>
        <w:rPr>
          <w:w w:val="115"/>
          <w:sz w:val="21"/>
        </w:rPr>
        <w:t>addressed</w:t>
      </w:r>
    </w:p>
    <w:p>
      <w:pPr>
        <w:pStyle w:val="ListParagraph"/>
        <w:numPr>
          <w:ilvl w:val="0"/>
          <w:numId w:val="90"/>
        </w:numPr>
        <w:tabs>
          <w:tab w:pos="2949" w:val="left" w:leader="none"/>
        </w:tabs>
        <w:spacing w:line="242" w:lineRule="auto" w:before="124" w:after="0"/>
        <w:ind w:left="2948" w:right="1959" w:hanging="567"/>
        <w:jc w:val="both"/>
        <w:rPr>
          <w:sz w:val="21"/>
        </w:rPr>
      </w:pPr>
      <w:r>
        <w:rPr>
          <w:w w:val="110"/>
          <w:sz w:val="21"/>
        </w:rPr>
        <w:t>the zone of the land the tree is situated on and </w:t>
      </w:r>
      <w:r>
        <w:rPr>
          <w:spacing w:val="-2"/>
          <w:w w:val="110"/>
          <w:sz w:val="21"/>
        </w:rPr>
        <w:t>any </w:t>
      </w:r>
      <w:r>
        <w:rPr>
          <w:w w:val="110"/>
          <w:sz w:val="21"/>
        </w:rPr>
        <w:t>applicable planning scheme, </w:t>
      </w:r>
      <w:r>
        <w:rPr>
          <w:spacing w:val="-3"/>
          <w:w w:val="110"/>
          <w:sz w:val="21"/>
        </w:rPr>
        <w:t>overlay </w:t>
      </w:r>
      <w:r>
        <w:rPr>
          <w:w w:val="110"/>
          <w:sz w:val="21"/>
        </w:rPr>
        <w:t>or other requirement affecting the management of the tree</w:t>
      </w:r>
      <w:r>
        <w:rPr>
          <w:spacing w:val="-15"/>
          <w:w w:val="110"/>
          <w:sz w:val="21"/>
        </w:rPr>
        <w:t> </w:t>
      </w:r>
      <w:r>
        <w:rPr>
          <w:w w:val="110"/>
          <w:sz w:val="21"/>
        </w:rPr>
        <w:t>that</w:t>
      </w:r>
      <w:r>
        <w:rPr>
          <w:spacing w:val="-14"/>
          <w:w w:val="110"/>
          <w:sz w:val="21"/>
        </w:rPr>
        <w:t> </w:t>
      </w:r>
      <w:r>
        <w:rPr>
          <w:w w:val="110"/>
          <w:sz w:val="21"/>
        </w:rPr>
        <w:t>the</w:t>
      </w:r>
      <w:r>
        <w:rPr>
          <w:spacing w:val="-14"/>
          <w:w w:val="110"/>
          <w:sz w:val="21"/>
        </w:rPr>
        <w:t> </w:t>
      </w:r>
      <w:r>
        <w:rPr>
          <w:w w:val="110"/>
          <w:sz w:val="21"/>
        </w:rPr>
        <w:t>applicant</w:t>
      </w:r>
      <w:r>
        <w:rPr>
          <w:spacing w:val="-14"/>
          <w:w w:val="110"/>
          <w:sz w:val="21"/>
        </w:rPr>
        <w:t> </w:t>
      </w:r>
      <w:r>
        <w:rPr>
          <w:w w:val="110"/>
          <w:sz w:val="21"/>
        </w:rPr>
        <w:t>is</w:t>
      </w:r>
      <w:r>
        <w:rPr>
          <w:spacing w:val="-14"/>
          <w:w w:val="110"/>
          <w:sz w:val="21"/>
        </w:rPr>
        <w:t> </w:t>
      </w:r>
      <w:r>
        <w:rPr>
          <w:w w:val="110"/>
          <w:sz w:val="21"/>
        </w:rPr>
        <w:t>aware</w:t>
      </w:r>
      <w:r>
        <w:rPr>
          <w:spacing w:val="-14"/>
          <w:w w:val="110"/>
          <w:sz w:val="21"/>
        </w:rPr>
        <w:t> </w:t>
      </w:r>
      <w:r>
        <w:rPr>
          <w:w w:val="110"/>
          <w:sz w:val="21"/>
        </w:rPr>
        <w:t>of</w:t>
      </w:r>
      <w:r>
        <w:rPr>
          <w:spacing w:val="-14"/>
          <w:w w:val="110"/>
          <w:sz w:val="21"/>
        </w:rPr>
        <w:t> </w:t>
      </w:r>
      <w:r>
        <w:rPr>
          <w:w w:val="110"/>
          <w:sz w:val="21"/>
        </w:rPr>
        <w:t>under</w:t>
      </w:r>
      <w:r>
        <w:rPr>
          <w:spacing w:val="-14"/>
          <w:w w:val="110"/>
          <w:sz w:val="21"/>
        </w:rPr>
        <w:t> </w:t>
      </w:r>
      <w:r>
        <w:rPr>
          <w:w w:val="110"/>
          <w:sz w:val="21"/>
        </w:rPr>
        <w:t>the</w:t>
      </w:r>
      <w:r>
        <w:rPr>
          <w:spacing w:val="-14"/>
          <w:w w:val="110"/>
          <w:sz w:val="21"/>
        </w:rPr>
        <w:t> </w:t>
      </w:r>
      <w:r>
        <w:rPr>
          <w:rFonts w:ascii="Lucida Sans"/>
          <w:i/>
          <w:w w:val="110"/>
          <w:sz w:val="21"/>
        </w:rPr>
        <w:t>Planning</w:t>
      </w:r>
      <w:r>
        <w:rPr>
          <w:rFonts w:ascii="Lucida Sans"/>
          <w:i/>
          <w:spacing w:val="-35"/>
          <w:w w:val="110"/>
          <w:sz w:val="21"/>
        </w:rPr>
        <w:t> </w:t>
      </w:r>
      <w:r>
        <w:rPr>
          <w:rFonts w:ascii="Lucida Sans"/>
          <w:i/>
          <w:w w:val="110"/>
          <w:sz w:val="21"/>
        </w:rPr>
        <w:t>and</w:t>
      </w:r>
      <w:r>
        <w:rPr>
          <w:rFonts w:ascii="Lucida Sans"/>
          <w:i/>
          <w:spacing w:val="-35"/>
          <w:w w:val="110"/>
          <w:sz w:val="21"/>
        </w:rPr>
        <w:t> </w:t>
      </w:r>
      <w:r>
        <w:rPr>
          <w:rFonts w:ascii="Lucida Sans"/>
          <w:i/>
          <w:spacing w:val="-3"/>
          <w:w w:val="110"/>
          <w:sz w:val="21"/>
        </w:rPr>
        <w:t>Environment </w:t>
      </w:r>
      <w:r>
        <w:rPr>
          <w:rFonts w:ascii="Lucida Sans"/>
          <w:i/>
          <w:w w:val="110"/>
          <w:sz w:val="21"/>
        </w:rPr>
        <w:t>Act </w:t>
      </w:r>
      <w:r>
        <w:rPr>
          <w:rFonts w:ascii="Lucida Sans"/>
          <w:i/>
          <w:spacing w:val="-4"/>
          <w:w w:val="110"/>
          <w:sz w:val="21"/>
        </w:rPr>
        <w:t>1987 </w:t>
      </w:r>
      <w:r>
        <w:rPr>
          <w:w w:val="110"/>
          <w:sz w:val="21"/>
        </w:rPr>
        <w:t>(Vic) or </w:t>
      </w:r>
      <w:r>
        <w:rPr>
          <w:spacing w:val="-2"/>
          <w:w w:val="110"/>
          <w:sz w:val="21"/>
        </w:rPr>
        <w:t>any </w:t>
      </w:r>
      <w:r>
        <w:rPr>
          <w:w w:val="110"/>
          <w:sz w:val="21"/>
        </w:rPr>
        <w:t>other Act or</w:t>
      </w:r>
      <w:r>
        <w:rPr>
          <w:spacing w:val="-17"/>
          <w:w w:val="110"/>
          <w:sz w:val="21"/>
        </w:rPr>
        <w:t> </w:t>
      </w:r>
      <w:r>
        <w:rPr>
          <w:w w:val="110"/>
          <w:sz w:val="21"/>
        </w:rPr>
        <w:t>law</w:t>
      </w:r>
    </w:p>
    <w:p>
      <w:pPr>
        <w:pStyle w:val="ListParagraph"/>
        <w:numPr>
          <w:ilvl w:val="0"/>
          <w:numId w:val="90"/>
        </w:numPr>
        <w:tabs>
          <w:tab w:pos="2948" w:val="left" w:leader="none"/>
          <w:tab w:pos="2949" w:val="left" w:leader="none"/>
        </w:tabs>
        <w:spacing w:line="242" w:lineRule="auto" w:before="115" w:after="0"/>
        <w:ind w:left="2948" w:right="1812" w:hanging="567"/>
        <w:jc w:val="left"/>
        <w:rPr>
          <w:sz w:val="21"/>
        </w:rPr>
      </w:pPr>
      <w:r>
        <w:rPr>
          <w:w w:val="110"/>
          <w:sz w:val="21"/>
        </w:rPr>
        <w:t>whether </w:t>
      </w:r>
      <w:r>
        <w:rPr>
          <w:spacing w:val="-2"/>
          <w:w w:val="110"/>
          <w:sz w:val="21"/>
        </w:rPr>
        <w:t>any </w:t>
      </w:r>
      <w:r>
        <w:rPr>
          <w:w w:val="110"/>
          <w:sz w:val="21"/>
        </w:rPr>
        <w:t>remedies are sought under the </w:t>
      </w:r>
      <w:r>
        <w:rPr>
          <w:rFonts w:ascii="Lucida Sans"/>
          <w:i/>
          <w:w w:val="110"/>
          <w:sz w:val="21"/>
        </w:rPr>
        <w:t>Fences Act </w:t>
      </w:r>
      <w:r>
        <w:rPr>
          <w:rFonts w:ascii="Lucida Sans"/>
          <w:i/>
          <w:spacing w:val="-3"/>
          <w:w w:val="110"/>
          <w:sz w:val="21"/>
        </w:rPr>
        <w:t>1968 </w:t>
      </w:r>
      <w:r>
        <w:rPr>
          <w:w w:val="110"/>
          <w:sz w:val="21"/>
        </w:rPr>
        <w:t>(Vic) to rectify damage to a fence caused by a tree or to prevent damage or harm from a tree that forms part of a</w:t>
      </w:r>
      <w:r>
        <w:rPr>
          <w:spacing w:val="37"/>
          <w:w w:val="110"/>
          <w:sz w:val="21"/>
        </w:rPr>
        <w:t> </w:t>
      </w:r>
      <w:r>
        <w:rPr>
          <w:w w:val="110"/>
          <w:sz w:val="21"/>
        </w:rPr>
        <w:t>fence</w:t>
      </w:r>
    </w:p>
    <w:p>
      <w:pPr>
        <w:pStyle w:val="ListParagraph"/>
        <w:numPr>
          <w:ilvl w:val="0"/>
          <w:numId w:val="90"/>
        </w:numPr>
        <w:tabs>
          <w:tab w:pos="2948" w:val="left" w:leader="none"/>
          <w:tab w:pos="2949" w:val="left" w:leader="none"/>
        </w:tabs>
        <w:spacing w:line="242" w:lineRule="auto" w:before="123" w:after="0"/>
        <w:ind w:left="2948" w:right="2175" w:hanging="567"/>
        <w:jc w:val="left"/>
        <w:rPr>
          <w:sz w:val="21"/>
        </w:rPr>
      </w:pPr>
      <w:r>
        <w:rPr>
          <w:spacing w:val="-2"/>
          <w:w w:val="115"/>
          <w:sz w:val="21"/>
        </w:rPr>
        <w:t>any</w:t>
      </w:r>
      <w:r>
        <w:rPr>
          <w:spacing w:val="-12"/>
          <w:w w:val="115"/>
          <w:sz w:val="21"/>
        </w:rPr>
        <w:t> </w:t>
      </w:r>
      <w:r>
        <w:rPr>
          <w:w w:val="115"/>
          <w:sz w:val="21"/>
        </w:rPr>
        <w:t>assessments</w:t>
      </w:r>
      <w:r>
        <w:rPr>
          <w:spacing w:val="-12"/>
          <w:w w:val="115"/>
          <w:sz w:val="21"/>
        </w:rPr>
        <w:t> </w:t>
      </w:r>
      <w:r>
        <w:rPr>
          <w:w w:val="115"/>
          <w:sz w:val="21"/>
        </w:rPr>
        <w:t>or</w:t>
      </w:r>
      <w:r>
        <w:rPr>
          <w:spacing w:val="-11"/>
          <w:w w:val="115"/>
          <w:sz w:val="21"/>
        </w:rPr>
        <w:t> </w:t>
      </w:r>
      <w:r>
        <w:rPr>
          <w:w w:val="115"/>
          <w:sz w:val="21"/>
        </w:rPr>
        <w:t>quotes</w:t>
      </w:r>
      <w:r>
        <w:rPr>
          <w:spacing w:val="-12"/>
          <w:w w:val="115"/>
          <w:sz w:val="21"/>
        </w:rPr>
        <w:t> </w:t>
      </w:r>
      <w:r>
        <w:rPr>
          <w:w w:val="115"/>
          <w:sz w:val="21"/>
        </w:rPr>
        <w:t>that</w:t>
      </w:r>
      <w:r>
        <w:rPr>
          <w:spacing w:val="-12"/>
          <w:w w:val="115"/>
          <w:sz w:val="21"/>
        </w:rPr>
        <w:t> </w:t>
      </w:r>
      <w:r>
        <w:rPr>
          <w:w w:val="115"/>
          <w:sz w:val="21"/>
        </w:rPr>
        <w:t>may</w:t>
      </w:r>
      <w:r>
        <w:rPr>
          <w:spacing w:val="-11"/>
          <w:w w:val="115"/>
          <w:sz w:val="21"/>
        </w:rPr>
        <w:t> </w:t>
      </w:r>
      <w:r>
        <w:rPr>
          <w:spacing w:val="-3"/>
          <w:w w:val="115"/>
          <w:sz w:val="21"/>
        </w:rPr>
        <w:t>have</w:t>
      </w:r>
      <w:r>
        <w:rPr>
          <w:spacing w:val="-12"/>
          <w:w w:val="115"/>
          <w:sz w:val="21"/>
        </w:rPr>
        <w:t> </w:t>
      </w:r>
      <w:r>
        <w:rPr>
          <w:w w:val="115"/>
          <w:sz w:val="21"/>
        </w:rPr>
        <w:t>already</w:t>
      </w:r>
      <w:r>
        <w:rPr>
          <w:spacing w:val="-11"/>
          <w:w w:val="115"/>
          <w:sz w:val="21"/>
        </w:rPr>
        <w:t> </w:t>
      </w:r>
      <w:r>
        <w:rPr>
          <w:w w:val="115"/>
          <w:sz w:val="21"/>
        </w:rPr>
        <w:t>been</w:t>
      </w:r>
      <w:r>
        <w:rPr>
          <w:spacing w:val="-12"/>
          <w:w w:val="115"/>
          <w:sz w:val="21"/>
        </w:rPr>
        <w:t> </w:t>
      </w:r>
      <w:r>
        <w:rPr>
          <w:w w:val="115"/>
          <w:sz w:val="21"/>
        </w:rPr>
        <w:t>obtained</w:t>
      </w:r>
      <w:r>
        <w:rPr>
          <w:spacing w:val="-12"/>
          <w:w w:val="115"/>
          <w:sz w:val="21"/>
        </w:rPr>
        <w:t> </w:t>
      </w:r>
      <w:r>
        <w:rPr>
          <w:w w:val="115"/>
          <w:sz w:val="21"/>
        </w:rPr>
        <w:t>from experts</w:t>
      </w:r>
    </w:p>
    <w:p>
      <w:pPr>
        <w:pStyle w:val="ListParagraph"/>
        <w:numPr>
          <w:ilvl w:val="0"/>
          <w:numId w:val="90"/>
        </w:numPr>
        <w:tabs>
          <w:tab w:pos="2948" w:val="left" w:leader="none"/>
          <w:tab w:pos="2949" w:val="left" w:leader="none"/>
        </w:tabs>
        <w:spacing w:line="242" w:lineRule="auto" w:before="123" w:after="0"/>
        <w:ind w:left="2948" w:right="1994" w:hanging="567"/>
        <w:jc w:val="left"/>
        <w:rPr>
          <w:sz w:val="21"/>
        </w:rPr>
      </w:pPr>
      <w:r>
        <w:rPr>
          <w:w w:val="115"/>
          <w:sz w:val="21"/>
        </w:rPr>
        <w:t>whether the applicant is the owner or occupier of the land. If the applicant</w:t>
      </w:r>
      <w:r>
        <w:rPr>
          <w:spacing w:val="-8"/>
          <w:w w:val="115"/>
          <w:sz w:val="21"/>
        </w:rPr>
        <w:t> </w:t>
      </w:r>
      <w:r>
        <w:rPr>
          <w:w w:val="115"/>
          <w:sz w:val="21"/>
        </w:rPr>
        <w:t>is</w:t>
      </w:r>
      <w:r>
        <w:rPr>
          <w:spacing w:val="-8"/>
          <w:w w:val="115"/>
          <w:sz w:val="21"/>
        </w:rPr>
        <w:t> </w:t>
      </w:r>
      <w:r>
        <w:rPr>
          <w:w w:val="115"/>
          <w:sz w:val="21"/>
        </w:rPr>
        <w:t>an</w:t>
      </w:r>
      <w:r>
        <w:rPr>
          <w:spacing w:val="-7"/>
          <w:w w:val="115"/>
          <w:sz w:val="21"/>
        </w:rPr>
        <w:t> </w:t>
      </w:r>
      <w:r>
        <w:rPr>
          <w:w w:val="115"/>
          <w:sz w:val="21"/>
        </w:rPr>
        <w:t>occupier</w:t>
      </w:r>
      <w:r>
        <w:rPr>
          <w:spacing w:val="-8"/>
          <w:w w:val="115"/>
          <w:sz w:val="21"/>
        </w:rPr>
        <w:t> </w:t>
      </w:r>
      <w:r>
        <w:rPr>
          <w:w w:val="115"/>
          <w:sz w:val="21"/>
        </w:rPr>
        <w:t>of</w:t>
      </w:r>
      <w:r>
        <w:rPr>
          <w:spacing w:val="-7"/>
          <w:w w:val="115"/>
          <w:sz w:val="21"/>
        </w:rPr>
        <w:t> </w:t>
      </w:r>
      <w:r>
        <w:rPr>
          <w:w w:val="115"/>
          <w:sz w:val="21"/>
        </w:rPr>
        <w:t>land,</w:t>
      </w:r>
      <w:r>
        <w:rPr>
          <w:spacing w:val="-8"/>
          <w:w w:val="115"/>
          <w:sz w:val="21"/>
        </w:rPr>
        <w:t> </w:t>
      </w:r>
      <w:r>
        <w:rPr>
          <w:w w:val="115"/>
          <w:sz w:val="21"/>
        </w:rPr>
        <w:t>evidence</w:t>
      </w:r>
      <w:r>
        <w:rPr>
          <w:spacing w:val="-7"/>
          <w:w w:val="115"/>
          <w:sz w:val="21"/>
        </w:rPr>
        <w:t> </w:t>
      </w:r>
      <w:r>
        <w:rPr>
          <w:w w:val="115"/>
          <w:sz w:val="21"/>
        </w:rPr>
        <w:t>that</w:t>
      </w:r>
      <w:r>
        <w:rPr>
          <w:spacing w:val="-8"/>
          <w:w w:val="115"/>
          <w:sz w:val="21"/>
        </w:rPr>
        <w:t> </w:t>
      </w:r>
      <w:r>
        <w:rPr>
          <w:w w:val="115"/>
          <w:sz w:val="21"/>
        </w:rPr>
        <w:t>the</w:t>
      </w:r>
      <w:r>
        <w:rPr>
          <w:spacing w:val="-7"/>
          <w:w w:val="115"/>
          <w:sz w:val="21"/>
        </w:rPr>
        <w:t> </w:t>
      </w:r>
      <w:r>
        <w:rPr>
          <w:w w:val="115"/>
          <w:sz w:val="21"/>
        </w:rPr>
        <w:t>owner</w:t>
      </w:r>
      <w:r>
        <w:rPr>
          <w:spacing w:val="-8"/>
          <w:w w:val="115"/>
          <w:sz w:val="21"/>
        </w:rPr>
        <w:t> </w:t>
      </w:r>
      <w:r>
        <w:rPr>
          <w:w w:val="115"/>
          <w:sz w:val="21"/>
        </w:rPr>
        <w:t>has</w:t>
      </w:r>
      <w:r>
        <w:rPr>
          <w:spacing w:val="-7"/>
          <w:w w:val="115"/>
          <w:sz w:val="21"/>
        </w:rPr>
        <w:t> </w:t>
      </w:r>
      <w:r>
        <w:rPr>
          <w:w w:val="115"/>
          <w:sz w:val="21"/>
        </w:rPr>
        <w:t>refused</w:t>
      </w:r>
      <w:r>
        <w:rPr>
          <w:spacing w:val="-8"/>
          <w:w w:val="115"/>
          <w:sz w:val="21"/>
        </w:rPr>
        <w:t> </w:t>
      </w:r>
      <w:r>
        <w:rPr>
          <w:w w:val="115"/>
          <w:sz w:val="21"/>
        </w:rPr>
        <w:t>to </w:t>
      </w:r>
      <w:r>
        <w:rPr>
          <w:spacing w:val="-3"/>
          <w:w w:val="115"/>
          <w:sz w:val="21"/>
        </w:rPr>
        <w:t>make </w:t>
      </w:r>
      <w:r>
        <w:rPr>
          <w:w w:val="115"/>
          <w:sz w:val="21"/>
        </w:rPr>
        <w:t>an</w:t>
      </w:r>
      <w:r>
        <w:rPr>
          <w:spacing w:val="4"/>
          <w:w w:val="115"/>
          <w:sz w:val="21"/>
        </w:rPr>
        <w:t> </w:t>
      </w:r>
      <w:r>
        <w:rPr>
          <w:w w:val="115"/>
          <w:sz w:val="21"/>
        </w:rPr>
        <w:t>application</w:t>
      </w:r>
    </w:p>
    <w:p>
      <w:pPr>
        <w:pStyle w:val="ListParagraph"/>
        <w:numPr>
          <w:ilvl w:val="0"/>
          <w:numId w:val="90"/>
        </w:numPr>
        <w:tabs>
          <w:tab w:pos="2948" w:val="left" w:leader="none"/>
          <w:tab w:pos="2949" w:val="left" w:leader="none"/>
        </w:tabs>
        <w:spacing w:line="242" w:lineRule="auto" w:before="123" w:after="0"/>
        <w:ind w:left="2948" w:right="1920" w:hanging="567"/>
        <w:jc w:val="left"/>
        <w:rPr>
          <w:sz w:val="21"/>
        </w:rPr>
      </w:pPr>
      <w:r>
        <w:rPr>
          <w:w w:val="115"/>
          <w:sz w:val="21"/>
        </w:rPr>
        <w:t>whether </w:t>
      </w:r>
      <w:r>
        <w:rPr>
          <w:spacing w:val="-2"/>
          <w:w w:val="115"/>
          <w:sz w:val="21"/>
        </w:rPr>
        <w:t>any </w:t>
      </w:r>
      <w:r>
        <w:rPr>
          <w:w w:val="115"/>
          <w:sz w:val="21"/>
        </w:rPr>
        <w:t>party has entered into a contract for the sale of land to ensure</w:t>
      </w:r>
      <w:r>
        <w:rPr>
          <w:spacing w:val="-5"/>
          <w:w w:val="115"/>
          <w:sz w:val="21"/>
        </w:rPr>
        <w:t> </w:t>
      </w:r>
      <w:r>
        <w:rPr>
          <w:w w:val="115"/>
          <w:sz w:val="21"/>
        </w:rPr>
        <w:t>that</w:t>
      </w:r>
      <w:r>
        <w:rPr>
          <w:spacing w:val="-5"/>
          <w:w w:val="115"/>
          <w:sz w:val="21"/>
        </w:rPr>
        <w:t> </w:t>
      </w:r>
      <w:r>
        <w:rPr>
          <w:w w:val="115"/>
          <w:sz w:val="21"/>
        </w:rPr>
        <w:t>the</w:t>
      </w:r>
      <w:r>
        <w:rPr>
          <w:spacing w:val="-5"/>
          <w:w w:val="115"/>
          <w:sz w:val="21"/>
        </w:rPr>
        <w:t> </w:t>
      </w:r>
      <w:r>
        <w:rPr>
          <w:w w:val="115"/>
          <w:sz w:val="21"/>
        </w:rPr>
        <w:t>Victorian</w:t>
      </w:r>
      <w:r>
        <w:rPr>
          <w:spacing w:val="-5"/>
          <w:w w:val="115"/>
          <w:sz w:val="21"/>
        </w:rPr>
        <w:t> </w:t>
      </w:r>
      <w:r>
        <w:rPr>
          <w:w w:val="115"/>
          <w:sz w:val="21"/>
        </w:rPr>
        <w:t>Civil</w:t>
      </w:r>
      <w:r>
        <w:rPr>
          <w:spacing w:val="-5"/>
          <w:w w:val="115"/>
          <w:sz w:val="21"/>
        </w:rPr>
        <w:t> </w:t>
      </w:r>
      <w:r>
        <w:rPr>
          <w:w w:val="115"/>
          <w:sz w:val="21"/>
        </w:rPr>
        <w:t>and</w:t>
      </w:r>
      <w:r>
        <w:rPr>
          <w:spacing w:val="-5"/>
          <w:w w:val="115"/>
          <w:sz w:val="21"/>
        </w:rPr>
        <w:t> </w:t>
      </w:r>
      <w:r>
        <w:rPr>
          <w:w w:val="115"/>
          <w:sz w:val="21"/>
        </w:rPr>
        <w:t>Administrative</w:t>
      </w:r>
      <w:r>
        <w:rPr>
          <w:spacing w:val="-5"/>
          <w:w w:val="115"/>
          <w:sz w:val="21"/>
        </w:rPr>
        <w:t> </w:t>
      </w:r>
      <w:r>
        <w:rPr>
          <w:spacing w:val="-4"/>
          <w:w w:val="115"/>
          <w:sz w:val="21"/>
        </w:rPr>
        <w:t>Tribunal</w:t>
      </w:r>
      <w:r>
        <w:rPr>
          <w:spacing w:val="-5"/>
          <w:w w:val="115"/>
          <w:sz w:val="21"/>
        </w:rPr>
        <w:t> </w:t>
      </w:r>
      <w:r>
        <w:rPr>
          <w:w w:val="115"/>
          <w:sz w:val="21"/>
        </w:rPr>
        <w:t>is</w:t>
      </w:r>
      <w:r>
        <w:rPr>
          <w:spacing w:val="-5"/>
          <w:w w:val="115"/>
          <w:sz w:val="21"/>
        </w:rPr>
        <w:t> </w:t>
      </w:r>
      <w:r>
        <w:rPr>
          <w:w w:val="115"/>
          <w:sz w:val="21"/>
        </w:rPr>
        <w:t>aware</w:t>
      </w:r>
      <w:r>
        <w:rPr>
          <w:spacing w:val="-5"/>
          <w:w w:val="115"/>
          <w:sz w:val="21"/>
        </w:rPr>
        <w:t> </w:t>
      </w:r>
      <w:r>
        <w:rPr>
          <w:w w:val="115"/>
          <w:sz w:val="21"/>
        </w:rPr>
        <w:t>of</w:t>
      </w:r>
      <w:r>
        <w:rPr>
          <w:spacing w:val="-5"/>
          <w:w w:val="115"/>
          <w:sz w:val="21"/>
        </w:rPr>
        <w:t> </w:t>
      </w:r>
      <w:r>
        <w:rPr>
          <w:spacing w:val="-3"/>
          <w:w w:val="115"/>
          <w:sz w:val="21"/>
        </w:rPr>
        <w:t>all relevant </w:t>
      </w:r>
      <w:r>
        <w:rPr>
          <w:w w:val="115"/>
          <w:sz w:val="21"/>
        </w:rPr>
        <w:t>parties to the</w:t>
      </w:r>
      <w:r>
        <w:rPr>
          <w:spacing w:val="4"/>
          <w:w w:val="115"/>
          <w:sz w:val="21"/>
        </w:rPr>
        <w:t> </w:t>
      </w:r>
      <w:r>
        <w:rPr>
          <w:w w:val="115"/>
          <w:sz w:val="21"/>
        </w:rPr>
        <w:t>dispute.</w:t>
      </w:r>
    </w:p>
    <w:p>
      <w:pPr>
        <w:pStyle w:val="ListParagraph"/>
        <w:numPr>
          <w:ilvl w:val="0"/>
          <w:numId w:val="90"/>
        </w:numPr>
        <w:tabs>
          <w:tab w:pos="2948" w:val="left" w:leader="none"/>
          <w:tab w:pos="2949" w:val="left" w:leader="none"/>
        </w:tabs>
        <w:spacing w:line="242" w:lineRule="auto" w:before="123" w:after="0"/>
        <w:ind w:left="2948" w:right="2780" w:hanging="567"/>
        <w:jc w:val="left"/>
        <w:rPr>
          <w:sz w:val="21"/>
        </w:rPr>
      </w:pPr>
      <w:r>
        <w:rPr>
          <w:w w:val="115"/>
          <w:sz w:val="21"/>
        </w:rPr>
        <w:t>the names of other parties and information about</w:t>
      </w:r>
      <w:r>
        <w:rPr>
          <w:spacing w:val="-38"/>
          <w:w w:val="115"/>
          <w:sz w:val="21"/>
        </w:rPr>
        <w:t> </w:t>
      </w:r>
      <w:r>
        <w:rPr>
          <w:w w:val="115"/>
          <w:sz w:val="21"/>
        </w:rPr>
        <w:t>proportional ownership if a tree trunk straddles a</w:t>
      </w:r>
      <w:r>
        <w:rPr>
          <w:spacing w:val="-7"/>
          <w:w w:val="115"/>
          <w:sz w:val="21"/>
        </w:rPr>
        <w:t> </w:t>
      </w:r>
      <w:r>
        <w:rPr>
          <w:w w:val="115"/>
          <w:sz w:val="21"/>
        </w:rPr>
        <w:t>boundary.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96"/>
        <w:ind w:left="720" w:right="0" w:firstLine="0"/>
        <w:jc w:val="left"/>
        <w:rPr>
          <w:b/>
          <w:sz w:val="24"/>
        </w:rPr>
      </w:pPr>
      <w:r>
        <w:rPr>
          <w:b/>
          <w:color w:val="658464"/>
          <w:w w:val="110"/>
          <w:sz w:val="24"/>
        </w:rPr>
        <w:t>110</w:t>
      </w:r>
    </w:p>
    <w:p>
      <w:pPr>
        <w:spacing w:after="0"/>
        <w:jc w:val="left"/>
        <w:rPr>
          <w:sz w:val="24"/>
        </w:rPr>
        <w:sectPr>
          <w:pgSz w:w="11910" w:h="16840"/>
          <w:pgMar w:header="546" w:footer="0" w:top="156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451360" filled="true" fillcolor="#ecefee" stroked="false">
            <v:fill type="solid"/>
            <w10:wrap type="none"/>
          </v:rect>
        </w:pict>
      </w:r>
      <w:bookmarkStart w:name="6. Informal resolution of neighbourhood " w:id="141"/>
      <w:bookmarkEnd w:id="141"/>
      <w:r>
        <w:rPr/>
      </w:r>
      <w:bookmarkStart w:name="Introduction" w:id="142"/>
      <w:bookmarkEnd w:id="142"/>
      <w:r>
        <w:rPr/>
      </w:r>
      <w:r>
        <w:rPr>
          <w:b/>
          <w:color w:val="FFFFFF"/>
          <w:w w:val="122"/>
          <w:sz w:val="48"/>
          <w:shd w:fill="658464" w:color="auto" w:val="clear"/>
        </w:rPr>
        <w:t> </w:t>
      </w:r>
      <w:r>
        <w:rPr>
          <w:b/>
          <w:color w:val="FFFFFF"/>
          <w:spacing w:val="41"/>
          <w:sz w:val="48"/>
          <w:shd w:fill="658464" w:color="auto" w:val="clear"/>
        </w:rPr>
        <w:t> </w:t>
      </w:r>
      <w:r>
        <w:rPr>
          <w:b/>
          <w:color w:val="FFFFFF"/>
          <w:w w:val="105"/>
          <w:sz w:val="48"/>
          <w:shd w:fill="658464" w:color="auto" w:val="clear"/>
        </w:rPr>
        <w:t>6</w:t>
      </w:r>
      <w:r>
        <w:rPr>
          <w:b/>
          <w:color w:val="FFFFFF"/>
          <w:sz w:val="48"/>
          <w:shd w:fill="658464"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tabs>
          <w:tab w:pos="1587" w:val="left" w:leader="none"/>
          <w:tab w:pos="10096" w:val="left" w:leader="none"/>
        </w:tabs>
        <w:spacing w:before="84"/>
        <w:ind w:left="0" w:right="0" w:firstLine="0"/>
        <w:jc w:val="left"/>
        <w:rPr>
          <w:b/>
          <w:sz w:val="96"/>
        </w:rPr>
      </w:pPr>
      <w:r>
        <w:rPr>
          <w:b/>
          <w:color w:val="658464"/>
          <w:w w:val="122"/>
          <w:sz w:val="96"/>
          <w:shd w:fill="FFFFFF" w:color="auto" w:val="clear"/>
        </w:rPr>
        <w:t> </w:t>
      </w:r>
      <w:r>
        <w:rPr>
          <w:b/>
          <w:color w:val="658464"/>
          <w:sz w:val="96"/>
          <w:shd w:fill="FFFFFF" w:color="auto" w:val="clear"/>
        </w:rPr>
        <w:tab/>
      </w:r>
      <w:r>
        <w:rPr>
          <w:b/>
          <w:color w:val="658464"/>
          <w:spacing w:val="-27"/>
          <w:w w:val="110"/>
          <w:sz w:val="96"/>
          <w:shd w:fill="FFFFFF" w:color="auto" w:val="clear"/>
        </w:rPr>
        <w:t>Informal</w:t>
      </w:r>
      <w:r>
        <w:rPr>
          <w:b/>
          <w:color w:val="658464"/>
          <w:spacing w:val="184"/>
          <w:w w:val="110"/>
          <w:sz w:val="96"/>
          <w:shd w:fill="FFFFFF" w:color="auto" w:val="clear"/>
        </w:rPr>
        <w:t> </w:t>
      </w:r>
      <w:r>
        <w:rPr>
          <w:b/>
          <w:color w:val="658464"/>
          <w:spacing w:val="-25"/>
          <w:w w:val="110"/>
          <w:sz w:val="96"/>
          <w:shd w:fill="FFFFFF" w:color="auto" w:val="clear"/>
        </w:rPr>
        <w:t>resolution</w:t>
      </w:r>
      <w:r>
        <w:rPr>
          <w:b/>
          <w:color w:val="658464"/>
          <w:spacing w:val="-25"/>
          <w:sz w:val="96"/>
          <w:shd w:fill="FFFFFF" w:color="auto" w:val="clear"/>
        </w:rPr>
        <w:tab/>
      </w:r>
    </w:p>
    <w:p>
      <w:pPr>
        <w:pStyle w:val="BodyText"/>
        <w:rPr>
          <w:sz w:val="20"/>
        </w:rPr>
      </w:pPr>
      <w:r>
        <w:rPr>
          <w:sz w:val="20"/>
        </w:rPr>
        <w:pict>
          <v:shape style="width:488.55pt;height:52pt;mso-position-horizontal-relative:char;mso-position-vertical-relative:line" type="#_x0000_t202" filled="true" fillcolor="#ffffff" stroked="false">
            <w10:anchorlock/>
            <v:textbox inset="0,0,0,0">
              <w:txbxContent>
                <w:p>
                  <w:pPr>
                    <w:spacing w:line="1040" w:lineRule="exact" w:before="0"/>
                    <w:ind w:left="1587" w:right="0" w:firstLine="0"/>
                    <w:jc w:val="left"/>
                    <w:rPr>
                      <w:b/>
                      <w:sz w:val="96"/>
                    </w:rPr>
                  </w:pPr>
                  <w:r>
                    <w:rPr>
                      <w:b/>
                      <w:color w:val="658464"/>
                      <w:spacing w:val="-17"/>
                      <w:w w:val="115"/>
                      <w:sz w:val="96"/>
                    </w:rPr>
                    <w:t>of </w:t>
                  </w:r>
                  <w:r>
                    <w:rPr>
                      <w:b/>
                      <w:color w:val="658464"/>
                      <w:spacing w:val="-25"/>
                      <w:w w:val="115"/>
                      <w:sz w:val="96"/>
                    </w:rPr>
                    <w:t>neighbourhood</w:t>
                  </w:r>
                </w:p>
              </w:txbxContent>
            </v:textbox>
            <v:fill type="solid"/>
          </v:shape>
        </w:pict>
      </w:r>
      <w:r>
        <w:rPr>
          <w:sz w:val="20"/>
        </w:rPr>
      </w:r>
    </w:p>
    <w:p>
      <w:pPr>
        <w:pStyle w:val="BodyText"/>
        <w:spacing w:before="1"/>
        <w:rPr>
          <w:b/>
          <w:sz w:val="3"/>
        </w:rPr>
      </w:pPr>
    </w:p>
    <w:p>
      <w:pPr>
        <w:pStyle w:val="BodyText"/>
        <w:rPr>
          <w:sz w:val="20"/>
        </w:rPr>
      </w:pPr>
      <w:r>
        <w:rPr>
          <w:sz w:val="20"/>
        </w:rPr>
        <w:pict>
          <v:shape style="width:373.3pt;height:52pt;mso-position-horizontal-relative:char;mso-position-vertical-relative:line" type="#_x0000_t202" filled="true" fillcolor="#ffffff" stroked="false">
            <w10:anchorlock/>
            <v:textbox inset="0,0,0,0">
              <w:txbxContent>
                <w:p>
                  <w:pPr>
                    <w:spacing w:line="1040" w:lineRule="exact" w:before="0"/>
                    <w:ind w:left="1587" w:right="0" w:firstLine="0"/>
                    <w:jc w:val="left"/>
                    <w:rPr>
                      <w:b/>
                      <w:sz w:val="96"/>
                    </w:rPr>
                  </w:pPr>
                  <w:r>
                    <w:rPr>
                      <w:b/>
                      <w:color w:val="658464"/>
                      <w:spacing w:val="-18"/>
                      <w:w w:val="110"/>
                      <w:sz w:val="96"/>
                    </w:rPr>
                    <w:t>tree</w:t>
                  </w:r>
                  <w:r>
                    <w:rPr>
                      <w:b/>
                      <w:color w:val="658464"/>
                      <w:spacing w:val="41"/>
                      <w:w w:val="110"/>
                      <w:sz w:val="96"/>
                    </w:rPr>
                    <w:t> </w:t>
                  </w:r>
                  <w:r>
                    <w:rPr>
                      <w:b/>
                      <w:color w:val="658464"/>
                      <w:spacing w:val="-24"/>
                      <w:w w:val="110"/>
                      <w:sz w:val="96"/>
                    </w:rPr>
                    <w:t>disputes</w:t>
                  </w:r>
                </w:p>
              </w:txbxContent>
            </v:textbox>
            <v:fill type="solid"/>
          </v:shape>
        </w:pict>
      </w:r>
      <w:r>
        <w:rPr>
          <w:sz w:val="20"/>
        </w:rPr>
      </w:r>
    </w:p>
    <w:p>
      <w:pPr>
        <w:pStyle w:val="BodyText"/>
        <w:rPr>
          <w:b/>
          <w:sz w:val="20"/>
        </w:rPr>
      </w:pPr>
    </w:p>
    <w:p>
      <w:pPr>
        <w:pStyle w:val="BodyText"/>
        <w:rPr>
          <w:b/>
          <w:sz w:val="20"/>
        </w:rPr>
      </w:pPr>
    </w:p>
    <w:p>
      <w:pPr>
        <w:pStyle w:val="BodyText"/>
        <w:rPr>
          <w:b/>
          <w:sz w:val="20"/>
        </w:rPr>
      </w:pPr>
    </w:p>
    <w:p>
      <w:pPr>
        <w:pStyle w:val="BodyText"/>
        <w:spacing w:before="2" w:after="1"/>
        <w:rPr>
          <w:b/>
          <w:sz w:val="18"/>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6971"/>
      </w:tblGrid>
      <w:tr>
        <w:trPr>
          <w:trHeight w:val="335" w:hRule="atLeast"/>
        </w:trPr>
        <w:tc>
          <w:tcPr>
            <w:tcW w:w="510" w:type="dxa"/>
            <w:tcBorders>
              <w:bottom w:val="single" w:sz="18" w:space="0" w:color="FFFFFF"/>
            </w:tcBorders>
            <w:shd w:val="clear" w:color="auto" w:fill="ECEFEE"/>
          </w:tcPr>
          <w:p>
            <w:pPr>
              <w:pStyle w:val="TableParagraph"/>
              <w:spacing w:line="289" w:lineRule="exact"/>
              <w:rPr>
                <w:b/>
                <w:sz w:val="24"/>
              </w:rPr>
            </w:pPr>
            <w:hyperlink w:history="true" w:anchor="_bookmark61">
              <w:r>
                <w:rPr>
                  <w:b/>
                  <w:w w:val="110"/>
                  <w:sz w:val="24"/>
                </w:rPr>
                <w:t>112</w:t>
              </w:r>
            </w:hyperlink>
          </w:p>
        </w:tc>
        <w:tc>
          <w:tcPr>
            <w:tcW w:w="6971" w:type="dxa"/>
            <w:shd w:val="clear" w:color="auto" w:fill="ECEFEE"/>
          </w:tcPr>
          <w:p>
            <w:pPr>
              <w:pStyle w:val="TableParagraph"/>
              <w:spacing w:line="289" w:lineRule="exact"/>
              <w:ind w:left="57"/>
              <w:rPr>
                <w:b/>
                <w:sz w:val="24"/>
              </w:rPr>
            </w:pPr>
            <w:hyperlink w:history="true" w:anchor="_bookmark61">
              <w:r>
                <w:rPr>
                  <w:b/>
                  <w:w w:val="110"/>
                  <w:sz w:val="24"/>
                </w:rPr>
                <w:t>Introduction</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9"/>
              <w:rPr>
                <w:b/>
                <w:sz w:val="24"/>
              </w:rPr>
            </w:pPr>
            <w:hyperlink w:history="true" w:anchor="_bookmark61">
              <w:r>
                <w:rPr>
                  <w:b/>
                  <w:w w:val="110"/>
                  <w:sz w:val="24"/>
                </w:rPr>
                <w:t>112</w:t>
              </w:r>
            </w:hyperlink>
          </w:p>
        </w:tc>
        <w:tc>
          <w:tcPr>
            <w:tcW w:w="6971" w:type="dxa"/>
            <w:shd w:val="clear" w:color="auto" w:fill="ECEFEE"/>
          </w:tcPr>
          <w:p>
            <w:pPr>
              <w:pStyle w:val="TableParagraph"/>
              <w:spacing w:before="89"/>
              <w:ind w:left="56"/>
              <w:rPr>
                <w:b/>
                <w:sz w:val="24"/>
              </w:rPr>
            </w:pPr>
            <w:hyperlink w:history="true" w:anchor="_bookmark61">
              <w:r>
                <w:rPr>
                  <w:b/>
                  <w:w w:val="115"/>
                  <w:sz w:val="24"/>
                </w:rPr>
                <w:t>The approach to informal resolution in other jurisdictions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66">
              <w:r>
                <w:rPr>
                  <w:b/>
                  <w:w w:val="110"/>
                  <w:sz w:val="24"/>
                </w:rPr>
                <w:t>119</w:t>
              </w:r>
            </w:hyperlink>
          </w:p>
        </w:tc>
        <w:tc>
          <w:tcPr>
            <w:tcW w:w="6971" w:type="dxa"/>
            <w:shd w:val="clear" w:color="auto" w:fill="ECEFEE"/>
          </w:tcPr>
          <w:p>
            <w:pPr>
              <w:pStyle w:val="TableParagraph"/>
              <w:spacing w:before="88"/>
              <w:ind w:left="56"/>
              <w:rPr>
                <w:b/>
                <w:sz w:val="24"/>
              </w:rPr>
            </w:pPr>
            <w:hyperlink w:history="true" w:anchor="_bookmark66">
              <w:r>
                <w:rPr>
                  <w:b/>
                  <w:w w:val="115"/>
                  <w:sz w:val="24"/>
                </w:rPr>
                <w:t>Community responses—resolving disputes informally</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67">
              <w:r>
                <w:rPr>
                  <w:b/>
                  <w:w w:val="110"/>
                  <w:sz w:val="24"/>
                </w:rPr>
                <w:t>125</w:t>
              </w:r>
            </w:hyperlink>
          </w:p>
        </w:tc>
        <w:tc>
          <w:tcPr>
            <w:tcW w:w="6971" w:type="dxa"/>
            <w:shd w:val="clear" w:color="auto" w:fill="ECEFEE"/>
          </w:tcPr>
          <w:p>
            <w:pPr>
              <w:pStyle w:val="TableParagraph"/>
              <w:spacing w:before="88"/>
              <w:ind w:left="56"/>
              <w:rPr>
                <w:b/>
                <w:sz w:val="24"/>
              </w:rPr>
            </w:pPr>
            <w:hyperlink w:history="true" w:anchor="_bookmark67">
              <w:r>
                <w:rPr>
                  <w:b/>
                  <w:w w:val="115"/>
                  <w:sz w:val="24"/>
                </w:rPr>
                <w:t>The</w:t>
              </w:r>
              <w:r>
                <w:rPr>
                  <w:b/>
                  <w:spacing w:val="-33"/>
                  <w:w w:val="115"/>
                  <w:sz w:val="24"/>
                </w:rPr>
                <w:t> </w:t>
              </w:r>
              <w:r>
                <w:rPr>
                  <w:b/>
                  <w:w w:val="115"/>
                  <w:sz w:val="24"/>
                </w:rPr>
                <w:t>Commission’s</w:t>
              </w:r>
              <w:r>
                <w:rPr>
                  <w:b/>
                  <w:spacing w:val="-33"/>
                  <w:w w:val="115"/>
                  <w:sz w:val="24"/>
                </w:rPr>
                <w:t> </w:t>
              </w:r>
              <w:r>
                <w:rPr>
                  <w:b/>
                  <w:w w:val="115"/>
                  <w:sz w:val="24"/>
                </w:rPr>
                <w:t>conclusions—resolving</w:t>
              </w:r>
              <w:r>
                <w:rPr>
                  <w:b/>
                  <w:spacing w:val="-33"/>
                  <w:w w:val="115"/>
                  <w:sz w:val="24"/>
                </w:rPr>
                <w:t> </w:t>
              </w:r>
              <w:r>
                <w:rPr>
                  <w:b/>
                  <w:w w:val="115"/>
                  <w:sz w:val="24"/>
                </w:rPr>
                <w:t>disputes</w:t>
              </w:r>
              <w:r>
                <w:rPr>
                  <w:b/>
                  <w:spacing w:val="-33"/>
                  <w:w w:val="115"/>
                  <w:sz w:val="24"/>
                </w:rPr>
                <w:t> </w:t>
              </w:r>
              <w:r>
                <w:rPr>
                  <w:b/>
                  <w:w w:val="115"/>
                  <w:sz w:val="24"/>
                </w:rPr>
                <w:t>informally</w:t>
              </w:r>
            </w:hyperlink>
          </w:p>
        </w:tc>
      </w:tr>
    </w:tbl>
    <w:p>
      <w:pPr>
        <w:spacing w:after="0"/>
        <w:rPr>
          <w:sz w:val="24"/>
        </w:rPr>
        <w:sectPr>
          <w:headerReference w:type="default" r:id="rId121"/>
          <w:headerReference w:type="even" r:id="rId122"/>
          <w:pgSz w:w="11910" w:h="16840"/>
          <w:pgMar w:header="0" w:footer="0" w:top="720" w:bottom="280" w:left="0" w:right="0"/>
        </w:sectPr>
      </w:pPr>
    </w:p>
    <w:p>
      <w:pPr>
        <w:pStyle w:val="BodyText"/>
        <w:spacing w:before="10"/>
        <w:rPr>
          <w:b/>
          <w:sz w:val="18"/>
        </w:rPr>
      </w:pPr>
    </w:p>
    <w:p>
      <w:pPr>
        <w:pStyle w:val="ListParagraph"/>
        <w:numPr>
          <w:ilvl w:val="0"/>
          <w:numId w:val="16"/>
        </w:numPr>
        <w:tabs>
          <w:tab w:pos="1247" w:val="left" w:leader="none"/>
          <w:tab w:pos="1248" w:val="left" w:leader="none"/>
        </w:tabs>
        <w:spacing w:line="232" w:lineRule="auto" w:before="106" w:after="0"/>
        <w:ind w:left="1247" w:right="2844" w:hanging="681"/>
        <w:jc w:val="left"/>
        <w:rPr>
          <w:b/>
          <w:sz w:val="44"/>
        </w:rPr>
      </w:pPr>
      <w:bookmarkStart w:name="Other jurisdictions—resolving disputes i" w:id="143"/>
      <w:bookmarkEnd w:id="143"/>
      <w:r>
        <w:rPr/>
      </w:r>
      <w:bookmarkStart w:name="_bookmark61" w:id="144"/>
      <w:bookmarkEnd w:id="144"/>
      <w:r>
        <w:rPr/>
      </w:r>
      <w:bookmarkStart w:name="_bookmark61" w:id="145"/>
      <w:bookmarkEnd w:id="145"/>
      <w:r>
        <w:rPr>
          <w:b/>
          <w:color w:val="658464"/>
          <w:spacing w:val="-4"/>
          <w:w w:val="115"/>
          <w:sz w:val="44"/>
        </w:rPr>
        <w:t>I</w:t>
      </w:r>
      <w:r>
        <w:rPr>
          <w:b/>
          <w:color w:val="658464"/>
          <w:spacing w:val="-4"/>
          <w:w w:val="115"/>
          <w:sz w:val="44"/>
        </w:rPr>
        <w:t>nformal </w:t>
      </w:r>
      <w:r>
        <w:rPr>
          <w:b/>
          <w:color w:val="658464"/>
          <w:spacing w:val="-3"/>
          <w:w w:val="115"/>
          <w:sz w:val="44"/>
        </w:rPr>
        <w:t>resolution of</w:t>
      </w:r>
      <w:r>
        <w:rPr>
          <w:b/>
          <w:color w:val="658464"/>
          <w:spacing w:val="-56"/>
          <w:w w:val="115"/>
          <w:sz w:val="44"/>
        </w:rPr>
        <w:t> </w:t>
      </w:r>
      <w:r>
        <w:rPr>
          <w:b/>
          <w:color w:val="658464"/>
          <w:spacing w:val="-3"/>
          <w:w w:val="115"/>
          <w:sz w:val="44"/>
        </w:rPr>
        <w:t>neighbourhood </w:t>
      </w:r>
      <w:r>
        <w:rPr>
          <w:b/>
          <w:color w:val="658464"/>
          <w:w w:val="115"/>
          <w:sz w:val="44"/>
        </w:rPr>
        <w:t>tree</w:t>
      </w:r>
      <w:r>
        <w:rPr>
          <w:b/>
          <w:color w:val="658464"/>
          <w:spacing w:val="5"/>
          <w:w w:val="115"/>
          <w:sz w:val="44"/>
        </w:rPr>
        <w:t> </w:t>
      </w:r>
      <w:r>
        <w:rPr>
          <w:b/>
          <w:color w:val="658464"/>
          <w:spacing w:val="-3"/>
          <w:w w:val="115"/>
          <w:sz w:val="44"/>
        </w:rPr>
        <w:t>disputes</w:t>
      </w:r>
    </w:p>
    <w:p>
      <w:pPr>
        <w:pStyle w:val="BodyText"/>
        <w:rPr>
          <w:b/>
          <w:sz w:val="52"/>
        </w:rPr>
      </w:pPr>
    </w:p>
    <w:p>
      <w:pPr>
        <w:pStyle w:val="BodyText"/>
        <w:rPr>
          <w:b/>
          <w:sz w:val="52"/>
        </w:rPr>
      </w:pPr>
    </w:p>
    <w:p>
      <w:pPr>
        <w:pStyle w:val="BodyText"/>
        <w:rPr>
          <w:b/>
          <w:sz w:val="52"/>
        </w:rPr>
      </w:pPr>
    </w:p>
    <w:p>
      <w:pPr>
        <w:pStyle w:val="BodyText"/>
        <w:spacing w:before="5"/>
        <w:rPr>
          <w:b/>
          <w:sz w:val="57"/>
        </w:rPr>
      </w:pPr>
    </w:p>
    <w:p>
      <w:pPr>
        <w:spacing w:before="1"/>
        <w:ind w:left="1587" w:right="0" w:firstLine="0"/>
        <w:jc w:val="left"/>
        <w:rPr>
          <w:b/>
          <w:sz w:val="28"/>
        </w:rPr>
      </w:pPr>
      <w:r>
        <w:rPr>
          <w:b/>
          <w:color w:val="658464"/>
          <w:w w:val="110"/>
          <w:sz w:val="28"/>
        </w:rPr>
        <w:t>Introduction</w:t>
      </w:r>
    </w:p>
    <w:p>
      <w:pPr>
        <w:pStyle w:val="ListParagraph"/>
        <w:numPr>
          <w:ilvl w:val="1"/>
          <w:numId w:val="16"/>
        </w:numPr>
        <w:tabs>
          <w:tab w:pos="2380" w:val="left" w:leader="none"/>
          <w:tab w:pos="2381" w:val="left" w:leader="none"/>
        </w:tabs>
        <w:spacing w:line="242" w:lineRule="auto" w:before="155" w:after="0"/>
        <w:ind w:left="2381" w:right="1648" w:hanging="794"/>
        <w:jc w:val="left"/>
        <w:rPr>
          <w:sz w:val="21"/>
        </w:rPr>
      </w:pPr>
      <w:r>
        <w:rPr>
          <w:spacing w:val="-3"/>
          <w:sz w:val="21"/>
        </w:rPr>
        <w:t>Informal  </w:t>
      </w:r>
      <w:r>
        <w:rPr>
          <w:sz w:val="21"/>
        </w:rPr>
        <w:t>resolution refers </w:t>
      </w:r>
      <w:r>
        <w:rPr>
          <w:spacing w:val="-3"/>
          <w:sz w:val="21"/>
        </w:rPr>
        <w:t>to</w:t>
      </w:r>
      <w:r>
        <w:rPr>
          <w:spacing w:val="41"/>
          <w:sz w:val="21"/>
        </w:rPr>
        <w:t> </w:t>
      </w:r>
      <w:r>
        <w:rPr>
          <w:spacing w:val="-3"/>
          <w:sz w:val="21"/>
        </w:rPr>
        <w:t>negotiating  </w:t>
      </w:r>
      <w:r>
        <w:rPr>
          <w:sz w:val="21"/>
        </w:rPr>
        <w:t>an </w:t>
      </w:r>
      <w:r>
        <w:rPr>
          <w:spacing w:val="-3"/>
          <w:sz w:val="21"/>
        </w:rPr>
        <w:t>outcome  </w:t>
      </w:r>
      <w:r>
        <w:rPr>
          <w:sz w:val="21"/>
        </w:rPr>
        <w:t>without going </w:t>
      </w:r>
      <w:r>
        <w:rPr>
          <w:spacing w:val="-3"/>
          <w:sz w:val="21"/>
        </w:rPr>
        <w:t>to  </w:t>
      </w:r>
      <w:r>
        <w:rPr>
          <w:sz w:val="21"/>
        </w:rPr>
        <w:t>court or a </w:t>
      </w:r>
      <w:r>
        <w:rPr>
          <w:spacing w:val="-3"/>
          <w:sz w:val="21"/>
        </w:rPr>
        <w:t>tribunal.  </w:t>
      </w:r>
      <w:r>
        <w:rPr>
          <w:sz w:val="21"/>
        </w:rPr>
        <w:t>It can </w:t>
      </w:r>
      <w:r>
        <w:rPr>
          <w:spacing w:val="-3"/>
          <w:sz w:val="21"/>
        </w:rPr>
        <w:t>involve  </w:t>
      </w:r>
      <w:r>
        <w:rPr>
          <w:sz w:val="21"/>
        </w:rPr>
        <w:t>legal tools </w:t>
      </w:r>
      <w:r>
        <w:rPr>
          <w:spacing w:val="-3"/>
          <w:sz w:val="21"/>
        </w:rPr>
        <w:t>such</w:t>
      </w:r>
      <w:r>
        <w:rPr>
          <w:spacing w:val="41"/>
          <w:sz w:val="21"/>
        </w:rPr>
        <w:t> </w:t>
      </w:r>
      <w:r>
        <w:rPr>
          <w:sz w:val="21"/>
        </w:rPr>
        <w:t>as mediation or it </w:t>
      </w:r>
      <w:r>
        <w:rPr>
          <w:spacing w:val="-3"/>
          <w:sz w:val="21"/>
        </w:rPr>
        <w:t>might  </w:t>
      </w:r>
      <w:r>
        <w:rPr>
          <w:sz w:val="21"/>
        </w:rPr>
        <w:t>simply </w:t>
      </w:r>
      <w:r>
        <w:rPr>
          <w:spacing w:val="-3"/>
          <w:sz w:val="21"/>
        </w:rPr>
        <w:t>involve  </w:t>
      </w:r>
      <w:r>
        <w:rPr>
          <w:sz w:val="21"/>
        </w:rPr>
        <w:t>neighbours </w:t>
      </w:r>
      <w:r>
        <w:rPr>
          <w:spacing w:val="-3"/>
          <w:sz w:val="21"/>
        </w:rPr>
        <w:t>talking    to </w:t>
      </w:r>
      <w:r>
        <w:rPr>
          <w:sz w:val="21"/>
        </w:rPr>
        <w:t>each </w:t>
      </w:r>
      <w:r>
        <w:rPr>
          <w:spacing w:val="-5"/>
          <w:sz w:val="21"/>
        </w:rPr>
        <w:t>other. </w:t>
      </w:r>
      <w:r>
        <w:rPr>
          <w:sz w:val="21"/>
        </w:rPr>
        <w:t>Because neighbours live close together and </w:t>
      </w:r>
      <w:r>
        <w:rPr>
          <w:spacing w:val="-3"/>
          <w:sz w:val="21"/>
        </w:rPr>
        <w:t>have </w:t>
      </w:r>
      <w:r>
        <w:rPr>
          <w:sz w:val="21"/>
        </w:rPr>
        <w:t>ongoing  </w:t>
      </w:r>
      <w:r>
        <w:rPr>
          <w:spacing w:val="-3"/>
          <w:sz w:val="21"/>
        </w:rPr>
        <w:t>relationships, </w:t>
      </w:r>
      <w:r>
        <w:rPr>
          <w:sz w:val="21"/>
        </w:rPr>
        <w:t>solving</w:t>
      </w:r>
      <w:r>
        <w:rPr>
          <w:spacing w:val="9"/>
          <w:sz w:val="21"/>
        </w:rPr>
        <w:t> </w:t>
      </w:r>
      <w:r>
        <w:rPr>
          <w:sz w:val="21"/>
        </w:rPr>
        <w:t>a</w:t>
      </w:r>
      <w:r>
        <w:rPr>
          <w:spacing w:val="10"/>
          <w:sz w:val="21"/>
        </w:rPr>
        <w:t> </w:t>
      </w:r>
      <w:r>
        <w:rPr>
          <w:sz w:val="21"/>
        </w:rPr>
        <w:t>tree</w:t>
      </w:r>
      <w:r>
        <w:rPr>
          <w:spacing w:val="9"/>
          <w:sz w:val="21"/>
        </w:rPr>
        <w:t> </w:t>
      </w:r>
      <w:r>
        <w:rPr>
          <w:sz w:val="21"/>
        </w:rPr>
        <w:t>problem</w:t>
      </w:r>
      <w:r>
        <w:rPr>
          <w:spacing w:val="10"/>
          <w:sz w:val="21"/>
        </w:rPr>
        <w:t> </w:t>
      </w:r>
      <w:r>
        <w:rPr>
          <w:spacing w:val="-3"/>
          <w:sz w:val="21"/>
        </w:rPr>
        <w:t>informally</w:t>
      </w:r>
      <w:r>
        <w:rPr>
          <w:spacing w:val="9"/>
          <w:sz w:val="21"/>
        </w:rPr>
        <w:t> </w:t>
      </w:r>
      <w:r>
        <w:rPr>
          <w:spacing w:val="-3"/>
          <w:sz w:val="21"/>
        </w:rPr>
        <w:t>will</w:t>
      </w:r>
      <w:r>
        <w:rPr>
          <w:spacing w:val="10"/>
          <w:sz w:val="21"/>
        </w:rPr>
        <w:t> </w:t>
      </w:r>
      <w:r>
        <w:rPr>
          <w:sz w:val="21"/>
        </w:rPr>
        <w:t>often</w:t>
      </w:r>
      <w:r>
        <w:rPr>
          <w:spacing w:val="9"/>
          <w:sz w:val="21"/>
        </w:rPr>
        <w:t> </w:t>
      </w:r>
      <w:r>
        <w:rPr>
          <w:sz w:val="21"/>
        </w:rPr>
        <w:t>provide</w:t>
      </w:r>
      <w:r>
        <w:rPr>
          <w:spacing w:val="10"/>
          <w:sz w:val="21"/>
        </w:rPr>
        <w:t> </w:t>
      </w:r>
      <w:r>
        <w:rPr>
          <w:sz w:val="21"/>
        </w:rPr>
        <w:t>a</w:t>
      </w:r>
      <w:r>
        <w:rPr>
          <w:spacing w:val="9"/>
          <w:sz w:val="21"/>
        </w:rPr>
        <w:t> </w:t>
      </w:r>
      <w:r>
        <w:rPr>
          <w:sz w:val="21"/>
        </w:rPr>
        <w:t>better</w:t>
      </w:r>
      <w:r>
        <w:rPr>
          <w:spacing w:val="10"/>
          <w:sz w:val="21"/>
        </w:rPr>
        <w:t> </w:t>
      </w:r>
      <w:r>
        <w:rPr>
          <w:spacing w:val="-3"/>
          <w:sz w:val="21"/>
        </w:rPr>
        <w:t>result.</w:t>
      </w:r>
    </w:p>
    <w:p>
      <w:pPr>
        <w:pStyle w:val="ListParagraph"/>
        <w:numPr>
          <w:ilvl w:val="1"/>
          <w:numId w:val="16"/>
        </w:numPr>
        <w:tabs>
          <w:tab w:pos="2380" w:val="left" w:leader="none"/>
          <w:tab w:pos="2381" w:val="left" w:leader="none"/>
        </w:tabs>
        <w:spacing w:line="242" w:lineRule="auto" w:before="124" w:after="0"/>
        <w:ind w:left="2381" w:right="1630" w:hanging="794"/>
        <w:jc w:val="left"/>
        <w:rPr>
          <w:sz w:val="21"/>
        </w:rPr>
      </w:pPr>
      <w:r>
        <w:rPr>
          <w:w w:val="105"/>
          <w:sz w:val="21"/>
        </w:rPr>
        <w:t>In Victoria, neighbours can resolve their </w:t>
      </w:r>
      <w:r>
        <w:rPr>
          <w:spacing w:val="-3"/>
          <w:w w:val="105"/>
          <w:sz w:val="21"/>
        </w:rPr>
        <w:t>dispute </w:t>
      </w:r>
      <w:r>
        <w:rPr>
          <w:w w:val="105"/>
          <w:sz w:val="21"/>
        </w:rPr>
        <w:t>without </w:t>
      </w:r>
      <w:r>
        <w:rPr>
          <w:spacing w:val="-3"/>
          <w:w w:val="105"/>
          <w:sz w:val="21"/>
        </w:rPr>
        <w:t>initiating </w:t>
      </w:r>
      <w:r>
        <w:rPr>
          <w:w w:val="105"/>
          <w:sz w:val="21"/>
        </w:rPr>
        <w:t>legal </w:t>
      </w:r>
      <w:r>
        <w:rPr>
          <w:spacing w:val="-3"/>
          <w:w w:val="105"/>
          <w:sz w:val="21"/>
        </w:rPr>
        <w:t>proceedings through neighbour-led resolution, abatement </w:t>
      </w:r>
      <w:r>
        <w:rPr>
          <w:w w:val="105"/>
          <w:sz w:val="21"/>
        </w:rPr>
        <w:t>and community-based </w:t>
      </w:r>
      <w:r>
        <w:rPr>
          <w:spacing w:val="-3"/>
          <w:w w:val="105"/>
          <w:sz w:val="21"/>
        </w:rPr>
        <w:t>alternative dispute </w:t>
      </w:r>
      <w:r>
        <w:rPr>
          <w:w w:val="105"/>
          <w:sz w:val="21"/>
        </w:rPr>
        <w:t>resolution </w:t>
      </w:r>
      <w:r>
        <w:rPr>
          <w:spacing w:val="-3"/>
          <w:w w:val="105"/>
          <w:sz w:val="21"/>
        </w:rPr>
        <w:t>(ADR).</w:t>
      </w:r>
      <w:r>
        <w:rPr>
          <w:spacing w:val="-3"/>
          <w:w w:val="105"/>
          <w:position w:val="7"/>
          <w:sz w:val="12"/>
        </w:rPr>
        <w:t>1 </w:t>
      </w:r>
      <w:r>
        <w:rPr>
          <w:w w:val="105"/>
          <w:sz w:val="21"/>
        </w:rPr>
        <w:t>This </w:t>
      </w:r>
      <w:r>
        <w:rPr>
          <w:spacing w:val="-3"/>
          <w:w w:val="105"/>
          <w:sz w:val="21"/>
        </w:rPr>
        <w:t>chapter </w:t>
      </w:r>
      <w:r>
        <w:rPr>
          <w:w w:val="105"/>
          <w:sz w:val="21"/>
        </w:rPr>
        <w:t>discusses how these </w:t>
      </w:r>
      <w:r>
        <w:rPr>
          <w:spacing w:val="-3"/>
          <w:w w:val="105"/>
          <w:sz w:val="21"/>
        </w:rPr>
        <w:t>informal </w:t>
      </w:r>
      <w:r>
        <w:rPr>
          <w:w w:val="105"/>
          <w:sz w:val="21"/>
        </w:rPr>
        <w:t>resolution approaches in Victoria should fit </w:t>
      </w:r>
      <w:r>
        <w:rPr>
          <w:spacing w:val="-3"/>
          <w:w w:val="105"/>
          <w:sz w:val="21"/>
        </w:rPr>
        <w:t>within </w:t>
      </w:r>
      <w:r>
        <w:rPr>
          <w:w w:val="105"/>
          <w:sz w:val="21"/>
        </w:rPr>
        <w:t>the </w:t>
      </w:r>
      <w:r>
        <w:rPr>
          <w:spacing w:val="-3"/>
          <w:w w:val="105"/>
          <w:sz w:val="21"/>
        </w:rPr>
        <w:t>framework </w:t>
      </w:r>
      <w:r>
        <w:rPr>
          <w:w w:val="105"/>
          <w:sz w:val="21"/>
        </w:rPr>
        <w:t>of a new tree </w:t>
      </w:r>
      <w:r>
        <w:rPr>
          <w:spacing w:val="-3"/>
          <w:w w:val="105"/>
          <w:sz w:val="21"/>
        </w:rPr>
        <w:t>disputes </w:t>
      </w:r>
      <w:r>
        <w:rPr>
          <w:w w:val="105"/>
          <w:sz w:val="21"/>
        </w:rPr>
        <w:t>Act. The approach </w:t>
      </w:r>
      <w:r>
        <w:rPr>
          <w:spacing w:val="-3"/>
          <w:w w:val="105"/>
          <w:sz w:val="21"/>
        </w:rPr>
        <w:t>to informal</w:t>
      </w:r>
      <w:r>
        <w:rPr>
          <w:spacing w:val="-9"/>
          <w:w w:val="105"/>
          <w:sz w:val="21"/>
        </w:rPr>
        <w:t> </w:t>
      </w:r>
      <w:r>
        <w:rPr>
          <w:w w:val="105"/>
          <w:sz w:val="21"/>
        </w:rPr>
        <w:t>resolution</w:t>
      </w:r>
      <w:r>
        <w:rPr>
          <w:spacing w:val="-9"/>
          <w:w w:val="105"/>
          <w:sz w:val="21"/>
        </w:rPr>
        <w:t> </w:t>
      </w:r>
      <w:r>
        <w:rPr>
          <w:w w:val="105"/>
          <w:sz w:val="21"/>
        </w:rPr>
        <w:t>in</w:t>
      </w:r>
      <w:r>
        <w:rPr>
          <w:spacing w:val="-9"/>
          <w:w w:val="105"/>
          <w:sz w:val="21"/>
        </w:rPr>
        <w:t> </w:t>
      </w:r>
      <w:r>
        <w:rPr>
          <w:w w:val="105"/>
          <w:sz w:val="21"/>
        </w:rPr>
        <w:t>other</w:t>
      </w:r>
      <w:r>
        <w:rPr>
          <w:spacing w:val="-8"/>
          <w:w w:val="105"/>
          <w:sz w:val="21"/>
        </w:rPr>
        <w:t> </w:t>
      </w:r>
      <w:r>
        <w:rPr>
          <w:w w:val="105"/>
          <w:sz w:val="21"/>
        </w:rPr>
        <w:t>states</w:t>
      </w:r>
      <w:r>
        <w:rPr>
          <w:spacing w:val="-9"/>
          <w:w w:val="105"/>
          <w:sz w:val="21"/>
        </w:rPr>
        <w:t> </w:t>
      </w:r>
      <w:r>
        <w:rPr>
          <w:w w:val="105"/>
          <w:sz w:val="21"/>
        </w:rPr>
        <w:t>is</w:t>
      </w:r>
      <w:r>
        <w:rPr>
          <w:spacing w:val="-9"/>
          <w:w w:val="105"/>
          <w:sz w:val="21"/>
        </w:rPr>
        <w:t> </w:t>
      </w:r>
      <w:r>
        <w:rPr>
          <w:spacing w:val="-3"/>
          <w:w w:val="105"/>
          <w:sz w:val="21"/>
        </w:rPr>
        <w:t>considered</w:t>
      </w:r>
      <w:r>
        <w:rPr>
          <w:spacing w:val="-9"/>
          <w:w w:val="105"/>
          <w:sz w:val="21"/>
        </w:rPr>
        <w:t> </w:t>
      </w:r>
      <w:r>
        <w:rPr>
          <w:w w:val="105"/>
          <w:sz w:val="21"/>
        </w:rPr>
        <w:t>as</w:t>
      </w:r>
      <w:r>
        <w:rPr>
          <w:spacing w:val="-8"/>
          <w:w w:val="105"/>
          <w:sz w:val="21"/>
        </w:rPr>
        <w:t> </w:t>
      </w:r>
      <w:r>
        <w:rPr>
          <w:spacing w:val="-3"/>
          <w:w w:val="105"/>
          <w:sz w:val="21"/>
        </w:rPr>
        <w:t>well</w:t>
      </w:r>
      <w:r>
        <w:rPr>
          <w:spacing w:val="-9"/>
          <w:w w:val="105"/>
          <w:sz w:val="21"/>
        </w:rPr>
        <w:t> </w:t>
      </w:r>
      <w:r>
        <w:rPr>
          <w:w w:val="105"/>
          <w:sz w:val="21"/>
        </w:rPr>
        <w:t>as</w:t>
      </w:r>
      <w:r>
        <w:rPr>
          <w:spacing w:val="-9"/>
          <w:w w:val="105"/>
          <w:sz w:val="21"/>
        </w:rPr>
        <w:t> </w:t>
      </w:r>
      <w:r>
        <w:rPr>
          <w:w w:val="105"/>
          <w:sz w:val="21"/>
        </w:rPr>
        <w:t>the</w:t>
      </w:r>
      <w:r>
        <w:rPr>
          <w:spacing w:val="-8"/>
          <w:w w:val="105"/>
          <w:sz w:val="21"/>
        </w:rPr>
        <w:t> </w:t>
      </w:r>
      <w:r>
        <w:rPr>
          <w:w w:val="105"/>
          <w:sz w:val="21"/>
        </w:rPr>
        <w:t>views</w:t>
      </w:r>
      <w:r>
        <w:rPr>
          <w:spacing w:val="-9"/>
          <w:w w:val="105"/>
          <w:sz w:val="21"/>
        </w:rPr>
        <w:t> </w:t>
      </w:r>
      <w:r>
        <w:rPr>
          <w:w w:val="105"/>
          <w:sz w:val="21"/>
        </w:rPr>
        <w:t>of</w:t>
      </w:r>
      <w:r>
        <w:rPr>
          <w:spacing w:val="-9"/>
          <w:w w:val="105"/>
          <w:sz w:val="21"/>
        </w:rPr>
        <w:t> </w:t>
      </w:r>
      <w:r>
        <w:rPr>
          <w:w w:val="105"/>
          <w:sz w:val="21"/>
        </w:rPr>
        <w:t>the</w:t>
      </w:r>
      <w:r>
        <w:rPr>
          <w:spacing w:val="-9"/>
          <w:w w:val="105"/>
          <w:sz w:val="21"/>
        </w:rPr>
        <w:t> </w:t>
      </w:r>
      <w:r>
        <w:rPr>
          <w:w w:val="105"/>
          <w:sz w:val="21"/>
        </w:rPr>
        <w:t>community</w:t>
      </w:r>
      <w:r>
        <w:rPr>
          <w:spacing w:val="-8"/>
          <w:w w:val="105"/>
          <w:sz w:val="21"/>
        </w:rPr>
        <w:t> </w:t>
      </w:r>
      <w:r>
        <w:rPr>
          <w:w w:val="105"/>
          <w:sz w:val="21"/>
        </w:rPr>
        <w:t>on these</w:t>
      </w:r>
      <w:r>
        <w:rPr>
          <w:spacing w:val="-6"/>
          <w:w w:val="105"/>
          <w:sz w:val="21"/>
        </w:rPr>
        <w:t> </w:t>
      </w:r>
      <w:r>
        <w:rPr>
          <w:w w:val="105"/>
          <w:sz w:val="21"/>
        </w:rPr>
        <w:t>matters.</w:t>
      </w:r>
      <w:r>
        <w:rPr>
          <w:spacing w:val="-6"/>
          <w:w w:val="105"/>
          <w:sz w:val="21"/>
        </w:rPr>
        <w:t> </w:t>
      </w:r>
      <w:r>
        <w:rPr>
          <w:w w:val="105"/>
          <w:sz w:val="21"/>
        </w:rPr>
        <w:t>The</w:t>
      </w:r>
      <w:r>
        <w:rPr>
          <w:spacing w:val="-6"/>
          <w:w w:val="105"/>
          <w:sz w:val="21"/>
        </w:rPr>
        <w:t> </w:t>
      </w:r>
      <w:r>
        <w:rPr>
          <w:spacing w:val="-3"/>
          <w:w w:val="105"/>
          <w:sz w:val="21"/>
        </w:rPr>
        <w:t>chapter</w:t>
      </w:r>
      <w:r>
        <w:rPr>
          <w:spacing w:val="-6"/>
          <w:w w:val="105"/>
          <w:sz w:val="21"/>
        </w:rPr>
        <w:t> </w:t>
      </w:r>
      <w:r>
        <w:rPr>
          <w:spacing w:val="-3"/>
          <w:w w:val="105"/>
          <w:sz w:val="21"/>
        </w:rPr>
        <w:t>concludes</w:t>
      </w:r>
      <w:r>
        <w:rPr>
          <w:spacing w:val="-6"/>
          <w:w w:val="105"/>
          <w:sz w:val="21"/>
        </w:rPr>
        <w:t> </w:t>
      </w:r>
      <w:r>
        <w:rPr>
          <w:w w:val="105"/>
          <w:sz w:val="21"/>
        </w:rPr>
        <w:t>with</w:t>
      </w:r>
      <w:r>
        <w:rPr>
          <w:spacing w:val="-6"/>
          <w:w w:val="105"/>
          <w:sz w:val="21"/>
        </w:rPr>
        <w:t> </w:t>
      </w:r>
      <w:r>
        <w:rPr>
          <w:spacing w:val="-3"/>
          <w:w w:val="105"/>
          <w:sz w:val="21"/>
        </w:rPr>
        <w:t>recommendations</w:t>
      </w:r>
      <w:r>
        <w:rPr>
          <w:spacing w:val="-6"/>
          <w:w w:val="105"/>
          <w:sz w:val="21"/>
        </w:rPr>
        <w:t> </w:t>
      </w:r>
      <w:r>
        <w:rPr>
          <w:spacing w:val="-3"/>
          <w:w w:val="105"/>
          <w:sz w:val="21"/>
        </w:rPr>
        <w:t>that</w:t>
      </w:r>
      <w:r>
        <w:rPr>
          <w:spacing w:val="-6"/>
          <w:w w:val="105"/>
          <w:sz w:val="21"/>
        </w:rPr>
        <w:t> </w:t>
      </w:r>
      <w:r>
        <w:rPr>
          <w:spacing w:val="-3"/>
          <w:w w:val="105"/>
          <w:sz w:val="21"/>
        </w:rPr>
        <w:t>emphasise</w:t>
      </w:r>
      <w:r>
        <w:rPr>
          <w:spacing w:val="-6"/>
          <w:w w:val="105"/>
          <w:sz w:val="21"/>
        </w:rPr>
        <w:t> </w:t>
      </w:r>
      <w:r>
        <w:rPr>
          <w:w w:val="105"/>
          <w:sz w:val="21"/>
        </w:rPr>
        <w:t>the</w:t>
      </w:r>
      <w:r>
        <w:rPr>
          <w:spacing w:val="-6"/>
          <w:w w:val="105"/>
          <w:sz w:val="21"/>
        </w:rPr>
        <w:t> </w:t>
      </w:r>
      <w:r>
        <w:rPr>
          <w:w w:val="105"/>
          <w:sz w:val="21"/>
        </w:rPr>
        <w:t>ongoing importance of </w:t>
      </w:r>
      <w:r>
        <w:rPr>
          <w:spacing w:val="-3"/>
          <w:w w:val="105"/>
          <w:sz w:val="21"/>
        </w:rPr>
        <w:t>informal </w:t>
      </w:r>
      <w:r>
        <w:rPr>
          <w:w w:val="105"/>
          <w:sz w:val="21"/>
        </w:rPr>
        <w:t>resolution when a new Act is</w:t>
      </w:r>
      <w:r>
        <w:rPr>
          <w:spacing w:val="34"/>
          <w:w w:val="105"/>
          <w:sz w:val="21"/>
        </w:rPr>
        <w:t> </w:t>
      </w:r>
      <w:r>
        <w:rPr>
          <w:spacing w:val="-3"/>
          <w:w w:val="105"/>
          <w:sz w:val="21"/>
        </w:rPr>
        <w:t>introduced.</w:t>
      </w:r>
    </w:p>
    <w:p>
      <w:pPr>
        <w:pStyle w:val="ListParagraph"/>
        <w:numPr>
          <w:ilvl w:val="1"/>
          <w:numId w:val="16"/>
        </w:numPr>
        <w:tabs>
          <w:tab w:pos="2380" w:val="left" w:leader="none"/>
          <w:tab w:pos="2381" w:val="left" w:leader="none"/>
        </w:tabs>
        <w:spacing w:line="240" w:lineRule="auto" w:before="128" w:after="0"/>
        <w:ind w:left="2380" w:right="0" w:hanging="793"/>
        <w:jc w:val="left"/>
        <w:rPr>
          <w:sz w:val="21"/>
        </w:rPr>
      </w:pPr>
      <w:r>
        <w:rPr>
          <w:sz w:val="21"/>
        </w:rPr>
        <w:t>The approaches </w:t>
      </w:r>
      <w:r>
        <w:rPr>
          <w:spacing w:val="-3"/>
          <w:sz w:val="21"/>
        </w:rPr>
        <w:t>considered </w:t>
      </w:r>
      <w:r>
        <w:rPr>
          <w:sz w:val="21"/>
        </w:rPr>
        <w:t>in this </w:t>
      </w:r>
      <w:r>
        <w:rPr>
          <w:spacing w:val="-3"/>
          <w:sz w:val="21"/>
        </w:rPr>
        <w:t>chapter</w:t>
      </w:r>
      <w:r>
        <w:rPr>
          <w:spacing w:val="10"/>
          <w:sz w:val="21"/>
        </w:rPr>
        <w:t> </w:t>
      </w:r>
      <w:r>
        <w:rPr>
          <w:sz w:val="21"/>
        </w:rPr>
        <w:t>are:</w:t>
      </w:r>
    </w:p>
    <w:p>
      <w:pPr>
        <w:pStyle w:val="ListParagraph"/>
        <w:numPr>
          <w:ilvl w:val="2"/>
          <w:numId w:val="16"/>
        </w:numPr>
        <w:tabs>
          <w:tab w:pos="2720" w:val="left" w:leader="none"/>
          <w:tab w:pos="2722" w:val="left" w:leader="none"/>
        </w:tabs>
        <w:spacing w:line="240" w:lineRule="auto" w:before="123" w:after="0"/>
        <w:ind w:left="2721" w:right="0" w:hanging="341"/>
        <w:jc w:val="left"/>
        <w:rPr>
          <w:sz w:val="21"/>
        </w:rPr>
      </w:pPr>
      <w:r>
        <w:rPr>
          <w:spacing w:val="-3"/>
          <w:w w:val="105"/>
          <w:sz w:val="21"/>
        </w:rPr>
        <w:t>neighbour </w:t>
      </w:r>
      <w:r>
        <w:rPr>
          <w:w w:val="105"/>
          <w:sz w:val="21"/>
        </w:rPr>
        <w:t>negotiation and community-based</w:t>
      </w:r>
      <w:r>
        <w:rPr>
          <w:spacing w:val="20"/>
          <w:w w:val="105"/>
          <w:sz w:val="21"/>
        </w:rPr>
        <w:t> </w:t>
      </w:r>
      <w:r>
        <w:rPr>
          <w:w w:val="105"/>
          <w:sz w:val="21"/>
        </w:rPr>
        <w:t>mediation</w:t>
      </w:r>
    </w:p>
    <w:p>
      <w:pPr>
        <w:pStyle w:val="ListParagraph"/>
        <w:numPr>
          <w:ilvl w:val="2"/>
          <w:numId w:val="16"/>
        </w:numPr>
        <w:tabs>
          <w:tab w:pos="2720" w:val="left" w:leader="none"/>
          <w:tab w:pos="2722" w:val="left" w:leader="none"/>
        </w:tabs>
        <w:spacing w:line="240" w:lineRule="auto" w:before="89" w:after="0"/>
        <w:ind w:left="2721" w:right="0" w:hanging="341"/>
        <w:jc w:val="left"/>
        <w:rPr>
          <w:sz w:val="21"/>
        </w:rPr>
      </w:pPr>
      <w:r>
        <w:rPr>
          <w:spacing w:val="-3"/>
          <w:w w:val="105"/>
          <w:sz w:val="21"/>
        </w:rPr>
        <w:t>abatement</w:t>
      </w:r>
    </w:p>
    <w:p>
      <w:pPr>
        <w:pStyle w:val="ListParagraph"/>
        <w:numPr>
          <w:ilvl w:val="2"/>
          <w:numId w:val="16"/>
        </w:numPr>
        <w:tabs>
          <w:tab w:pos="2720" w:val="left" w:leader="none"/>
          <w:tab w:pos="2722" w:val="left" w:leader="none"/>
        </w:tabs>
        <w:spacing w:line="240" w:lineRule="auto" w:before="89" w:after="0"/>
        <w:ind w:left="2721" w:right="0" w:hanging="341"/>
        <w:jc w:val="left"/>
        <w:rPr>
          <w:sz w:val="21"/>
        </w:rPr>
      </w:pPr>
      <w:r>
        <w:rPr>
          <w:w w:val="105"/>
          <w:sz w:val="21"/>
        </w:rPr>
        <w:t>a </w:t>
      </w:r>
      <w:r>
        <w:rPr>
          <w:spacing w:val="-3"/>
          <w:w w:val="105"/>
          <w:sz w:val="21"/>
        </w:rPr>
        <w:t>formal requirement </w:t>
      </w:r>
      <w:r>
        <w:rPr>
          <w:w w:val="105"/>
          <w:sz w:val="21"/>
        </w:rPr>
        <w:t>in </w:t>
      </w:r>
      <w:r>
        <w:rPr>
          <w:spacing w:val="-3"/>
          <w:w w:val="105"/>
          <w:sz w:val="21"/>
        </w:rPr>
        <w:t>legislation for ‘reasonable </w:t>
      </w:r>
      <w:r>
        <w:rPr>
          <w:w w:val="105"/>
          <w:sz w:val="21"/>
        </w:rPr>
        <w:t>attempts </w:t>
      </w:r>
      <w:r>
        <w:rPr>
          <w:spacing w:val="-3"/>
          <w:w w:val="105"/>
          <w:sz w:val="21"/>
        </w:rPr>
        <w:t>to reach</w:t>
      </w:r>
      <w:r>
        <w:rPr>
          <w:spacing w:val="4"/>
          <w:w w:val="105"/>
          <w:sz w:val="21"/>
        </w:rPr>
        <w:t> </w:t>
      </w:r>
      <w:r>
        <w:rPr>
          <w:spacing w:val="-3"/>
          <w:w w:val="105"/>
          <w:sz w:val="21"/>
        </w:rPr>
        <w:t>negotiation’</w:t>
      </w:r>
    </w:p>
    <w:p>
      <w:pPr>
        <w:pStyle w:val="ListParagraph"/>
        <w:numPr>
          <w:ilvl w:val="2"/>
          <w:numId w:val="16"/>
        </w:numPr>
        <w:tabs>
          <w:tab w:pos="2720" w:val="left" w:leader="none"/>
          <w:tab w:pos="2722" w:val="left" w:leader="none"/>
        </w:tabs>
        <w:spacing w:line="240" w:lineRule="auto" w:before="88" w:after="0"/>
        <w:ind w:left="2721" w:right="0" w:hanging="341"/>
        <w:jc w:val="left"/>
        <w:rPr>
          <w:sz w:val="21"/>
        </w:rPr>
      </w:pPr>
      <w:r>
        <w:rPr>
          <w:sz w:val="21"/>
        </w:rPr>
        <w:t>the</w:t>
      </w:r>
      <w:r>
        <w:rPr>
          <w:spacing w:val="9"/>
          <w:sz w:val="21"/>
        </w:rPr>
        <w:t> </w:t>
      </w:r>
      <w:r>
        <w:rPr>
          <w:spacing w:val="-3"/>
          <w:sz w:val="21"/>
        </w:rPr>
        <w:t>inclusion</w:t>
      </w:r>
      <w:r>
        <w:rPr>
          <w:spacing w:val="9"/>
          <w:sz w:val="21"/>
        </w:rPr>
        <w:t> </w:t>
      </w:r>
      <w:r>
        <w:rPr>
          <w:sz w:val="21"/>
        </w:rPr>
        <w:t>of</w:t>
      </w:r>
      <w:r>
        <w:rPr>
          <w:spacing w:val="9"/>
          <w:sz w:val="21"/>
        </w:rPr>
        <w:t> </w:t>
      </w:r>
      <w:r>
        <w:rPr>
          <w:sz w:val="21"/>
        </w:rPr>
        <w:t>tree</w:t>
      </w:r>
      <w:r>
        <w:rPr>
          <w:spacing w:val="10"/>
          <w:sz w:val="21"/>
        </w:rPr>
        <w:t> </w:t>
      </w:r>
      <w:r>
        <w:rPr>
          <w:sz w:val="21"/>
        </w:rPr>
        <w:t>owner</w:t>
      </w:r>
      <w:r>
        <w:rPr>
          <w:spacing w:val="9"/>
          <w:sz w:val="21"/>
        </w:rPr>
        <w:t> </w:t>
      </w:r>
      <w:r>
        <w:rPr>
          <w:spacing w:val="-3"/>
          <w:sz w:val="21"/>
        </w:rPr>
        <w:t>responsibilities</w:t>
      </w:r>
      <w:r>
        <w:rPr>
          <w:spacing w:val="9"/>
          <w:sz w:val="21"/>
        </w:rPr>
        <w:t> </w:t>
      </w:r>
      <w:r>
        <w:rPr>
          <w:sz w:val="21"/>
        </w:rPr>
        <w:t>in</w:t>
      </w:r>
      <w:r>
        <w:rPr>
          <w:spacing w:val="9"/>
          <w:sz w:val="21"/>
        </w:rPr>
        <w:t> </w:t>
      </w:r>
      <w:r>
        <w:rPr>
          <w:spacing w:val="-3"/>
          <w:sz w:val="21"/>
        </w:rPr>
        <w:t>legislation</w:t>
      </w:r>
    </w:p>
    <w:p>
      <w:pPr>
        <w:pStyle w:val="ListParagraph"/>
        <w:numPr>
          <w:ilvl w:val="2"/>
          <w:numId w:val="16"/>
        </w:numPr>
        <w:tabs>
          <w:tab w:pos="2720" w:val="left" w:leader="none"/>
          <w:tab w:pos="2722" w:val="left" w:leader="none"/>
        </w:tabs>
        <w:spacing w:line="240" w:lineRule="auto" w:before="89" w:after="0"/>
        <w:ind w:left="2721" w:right="0" w:hanging="341"/>
        <w:jc w:val="left"/>
        <w:rPr>
          <w:sz w:val="21"/>
        </w:rPr>
      </w:pPr>
      <w:r>
        <w:rPr>
          <w:sz w:val="21"/>
        </w:rPr>
        <w:t>the</w:t>
      </w:r>
      <w:r>
        <w:rPr>
          <w:spacing w:val="9"/>
          <w:sz w:val="21"/>
        </w:rPr>
        <w:t> </w:t>
      </w:r>
      <w:r>
        <w:rPr>
          <w:spacing w:val="-3"/>
          <w:sz w:val="21"/>
        </w:rPr>
        <w:t>inclusion</w:t>
      </w:r>
      <w:r>
        <w:rPr>
          <w:spacing w:val="10"/>
          <w:sz w:val="21"/>
        </w:rPr>
        <w:t> </w:t>
      </w:r>
      <w:r>
        <w:rPr>
          <w:sz w:val="21"/>
        </w:rPr>
        <w:t>of</w:t>
      </w:r>
      <w:r>
        <w:rPr>
          <w:spacing w:val="9"/>
          <w:sz w:val="21"/>
        </w:rPr>
        <w:t> </w:t>
      </w:r>
      <w:r>
        <w:rPr>
          <w:spacing w:val="-3"/>
          <w:sz w:val="21"/>
        </w:rPr>
        <w:t>branch</w:t>
      </w:r>
      <w:r>
        <w:rPr>
          <w:spacing w:val="10"/>
          <w:sz w:val="21"/>
        </w:rPr>
        <w:t> </w:t>
      </w:r>
      <w:r>
        <w:rPr>
          <w:spacing w:val="-3"/>
          <w:sz w:val="21"/>
        </w:rPr>
        <w:t>removal</w:t>
      </w:r>
      <w:r>
        <w:rPr>
          <w:spacing w:val="9"/>
          <w:sz w:val="21"/>
        </w:rPr>
        <w:t> </w:t>
      </w:r>
      <w:r>
        <w:rPr>
          <w:spacing w:val="-3"/>
          <w:sz w:val="21"/>
        </w:rPr>
        <w:t>notices</w:t>
      </w:r>
      <w:r>
        <w:rPr>
          <w:spacing w:val="10"/>
          <w:sz w:val="21"/>
        </w:rPr>
        <w:t> </w:t>
      </w:r>
      <w:r>
        <w:rPr>
          <w:sz w:val="21"/>
        </w:rPr>
        <w:t>in</w:t>
      </w:r>
      <w:r>
        <w:rPr>
          <w:spacing w:val="10"/>
          <w:sz w:val="21"/>
        </w:rPr>
        <w:t> </w:t>
      </w:r>
      <w:r>
        <w:rPr>
          <w:spacing w:val="-3"/>
          <w:sz w:val="21"/>
        </w:rPr>
        <w:t>legislation</w:t>
      </w:r>
    </w:p>
    <w:p>
      <w:pPr>
        <w:pStyle w:val="ListParagraph"/>
        <w:numPr>
          <w:ilvl w:val="2"/>
          <w:numId w:val="16"/>
        </w:numPr>
        <w:tabs>
          <w:tab w:pos="2720" w:val="left" w:leader="none"/>
          <w:tab w:pos="2722" w:val="left" w:leader="none"/>
        </w:tabs>
        <w:spacing w:line="240" w:lineRule="auto" w:before="89" w:after="0"/>
        <w:ind w:left="2721" w:right="0" w:hanging="341"/>
        <w:jc w:val="left"/>
        <w:rPr>
          <w:sz w:val="21"/>
        </w:rPr>
      </w:pPr>
      <w:r>
        <w:rPr>
          <w:sz w:val="21"/>
        </w:rPr>
        <w:t>the</w:t>
      </w:r>
      <w:r>
        <w:rPr>
          <w:spacing w:val="9"/>
          <w:sz w:val="21"/>
        </w:rPr>
        <w:t> </w:t>
      </w:r>
      <w:r>
        <w:rPr>
          <w:spacing w:val="-3"/>
          <w:sz w:val="21"/>
        </w:rPr>
        <w:t>inclusion</w:t>
      </w:r>
      <w:r>
        <w:rPr>
          <w:spacing w:val="9"/>
          <w:sz w:val="21"/>
        </w:rPr>
        <w:t> </w:t>
      </w:r>
      <w:r>
        <w:rPr>
          <w:sz w:val="21"/>
        </w:rPr>
        <w:t>of</w:t>
      </w:r>
      <w:r>
        <w:rPr>
          <w:spacing w:val="9"/>
          <w:sz w:val="21"/>
        </w:rPr>
        <w:t> </w:t>
      </w:r>
      <w:r>
        <w:rPr>
          <w:sz w:val="21"/>
        </w:rPr>
        <w:t>a</w:t>
      </w:r>
      <w:r>
        <w:rPr>
          <w:spacing w:val="9"/>
          <w:sz w:val="21"/>
        </w:rPr>
        <w:t> </w:t>
      </w:r>
      <w:r>
        <w:rPr>
          <w:sz w:val="21"/>
        </w:rPr>
        <w:t>written</w:t>
      </w:r>
      <w:r>
        <w:rPr>
          <w:spacing w:val="10"/>
          <w:sz w:val="21"/>
        </w:rPr>
        <w:t> </w:t>
      </w:r>
      <w:r>
        <w:rPr>
          <w:spacing w:val="-3"/>
          <w:sz w:val="21"/>
        </w:rPr>
        <w:t>notice</w:t>
      </w:r>
      <w:r>
        <w:rPr>
          <w:spacing w:val="9"/>
          <w:sz w:val="21"/>
        </w:rPr>
        <w:t> </w:t>
      </w:r>
      <w:r>
        <w:rPr>
          <w:sz w:val="21"/>
        </w:rPr>
        <w:t>process</w:t>
      </w:r>
      <w:r>
        <w:rPr>
          <w:spacing w:val="9"/>
          <w:sz w:val="21"/>
        </w:rPr>
        <w:t> </w:t>
      </w:r>
      <w:r>
        <w:rPr>
          <w:sz w:val="21"/>
        </w:rPr>
        <w:t>in</w:t>
      </w:r>
      <w:r>
        <w:rPr>
          <w:spacing w:val="9"/>
          <w:sz w:val="21"/>
        </w:rPr>
        <w:t> </w:t>
      </w:r>
      <w:r>
        <w:rPr>
          <w:spacing w:val="-3"/>
          <w:sz w:val="21"/>
        </w:rPr>
        <w:t>legislation</w:t>
      </w:r>
    </w:p>
    <w:p>
      <w:pPr>
        <w:pStyle w:val="BodyText"/>
        <w:rPr>
          <w:sz w:val="19"/>
        </w:rPr>
      </w:pPr>
    </w:p>
    <w:p>
      <w:pPr>
        <w:pStyle w:val="Heading4"/>
      </w:pPr>
      <w:r>
        <w:rPr>
          <w:color w:val="658464"/>
          <w:w w:val="115"/>
        </w:rPr>
        <w:t>Other jurisdictions—resolving disputes informally</w:t>
      </w:r>
    </w:p>
    <w:p>
      <w:pPr>
        <w:pStyle w:val="Heading5"/>
        <w:spacing w:before="280"/>
      </w:pPr>
      <w:r>
        <w:rPr>
          <w:w w:val="115"/>
        </w:rPr>
        <w:t>Neighbour-led negotiation and community-based mediation</w:t>
      </w:r>
    </w:p>
    <w:p>
      <w:pPr>
        <w:pStyle w:val="ListParagraph"/>
        <w:numPr>
          <w:ilvl w:val="1"/>
          <w:numId w:val="16"/>
        </w:numPr>
        <w:tabs>
          <w:tab w:pos="2380" w:val="left" w:leader="none"/>
          <w:tab w:pos="2381" w:val="left" w:leader="none"/>
        </w:tabs>
        <w:spacing w:line="242" w:lineRule="auto" w:before="137" w:after="0"/>
        <w:ind w:left="2381" w:right="1695" w:hanging="794"/>
        <w:jc w:val="left"/>
        <w:rPr>
          <w:sz w:val="21"/>
        </w:rPr>
      </w:pPr>
      <w:r>
        <w:rPr>
          <w:w w:val="105"/>
          <w:sz w:val="21"/>
        </w:rPr>
        <w:t>The</w:t>
      </w:r>
      <w:r>
        <w:rPr>
          <w:spacing w:val="-9"/>
          <w:w w:val="105"/>
          <w:sz w:val="21"/>
        </w:rPr>
        <w:t> </w:t>
      </w:r>
      <w:r>
        <w:rPr>
          <w:spacing w:val="-3"/>
          <w:w w:val="105"/>
          <w:sz w:val="21"/>
        </w:rPr>
        <w:t>Queensland</w:t>
      </w:r>
      <w:r>
        <w:rPr>
          <w:spacing w:val="-8"/>
          <w:w w:val="105"/>
          <w:sz w:val="21"/>
        </w:rPr>
        <w:t> </w:t>
      </w:r>
      <w:r>
        <w:rPr>
          <w:spacing w:val="-3"/>
          <w:w w:val="105"/>
          <w:sz w:val="21"/>
        </w:rPr>
        <w:t>Government</w:t>
      </w:r>
      <w:r>
        <w:rPr>
          <w:spacing w:val="-8"/>
          <w:w w:val="105"/>
          <w:sz w:val="21"/>
        </w:rPr>
        <w:t> </w:t>
      </w:r>
      <w:r>
        <w:rPr>
          <w:spacing w:val="-3"/>
          <w:w w:val="105"/>
          <w:sz w:val="21"/>
        </w:rPr>
        <w:t>encourages</w:t>
      </w:r>
      <w:r>
        <w:rPr>
          <w:spacing w:val="-8"/>
          <w:w w:val="105"/>
          <w:sz w:val="21"/>
        </w:rPr>
        <w:t> </w:t>
      </w:r>
      <w:r>
        <w:rPr>
          <w:w w:val="105"/>
          <w:sz w:val="21"/>
        </w:rPr>
        <w:t>neighbours</w:t>
      </w:r>
      <w:r>
        <w:rPr>
          <w:spacing w:val="-8"/>
          <w:w w:val="105"/>
          <w:sz w:val="21"/>
        </w:rPr>
        <w:t> </w:t>
      </w:r>
      <w:r>
        <w:rPr>
          <w:spacing w:val="-3"/>
          <w:w w:val="105"/>
          <w:sz w:val="21"/>
        </w:rPr>
        <w:t>to</w:t>
      </w:r>
      <w:r>
        <w:rPr>
          <w:spacing w:val="-8"/>
          <w:w w:val="105"/>
          <w:sz w:val="21"/>
        </w:rPr>
        <w:t> </w:t>
      </w:r>
      <w:r>
        <w:rPr>
          <w:w w:val="105"/>
          <w:sz w:val="21"/>
        </w:rPr>
        <w:t>discuss</w:t>
      </w:r>
      <w:r>
        <w:rPr>
          <w:spacing w:val="-8"/>
          <w:w w:val="105"/>
          <w:sz w:val="21"/>
        </w:rPr>
        <w:t> </w:t>
      </w:r>
      <w:r>
        <w:rPr>
          <w:w w:val="105"/>
          <w:sz w:val="21"/>
        </w:rPr>
        <w:t>the</w:t>
      </w:r>
      <w:r>
        <w:rPr>
          <w:spacing w:val="-8"/>
          <w:w w:val="105"/>
          <w:sz w:val="21"/>
        </w:rPr>
        <w:t> </w:t>
      </w:r>
      <w:r>
        <w:rPr>
          <w:w w:val="105"/>
          <w:sz w:val="21"/>
        </w:rPr>
        <w:t>issue</w:t>
      </w:r>
      <w:r>
        <w:rPr>
          <w:spacing w:val="-8"/>
          <w:w w:val="105"/>
          <w:sz w:val="21"/>
        </w:rPr>
        <w:t> </w:t>
      </w:r>
      <w:r>
        <w:rPr>
          <w:w w:val="105"/>
          <w:sz w:val="21"/>
        </w:rPr>
        <w:t>and</w:t>
      </w:r>
      <w:r>
        <w:rPr>
          <w:spacing w:val="-8"/>
          <w:w w:val="105"/>
          <w:sz w:val="21"/>
        </w:rPr>
        <w:t> </w:t>
      </w:r>
      <w:r>
        <w:rPr>
          <w:w w:val="105"/>
          <w:sz w:val="21"/>
        </w:rPr>
        <w:t>resolve</w:t>
      </w:r>
      <w:r>
        <w:rPr>
          <w:spacing w:val="-8"/>
          <w:w w:val="105"/>
          <w:sz w:val="21"/>
        </w:rPr>
        <w:t> </w:t>
      </w:r>
      <w:r>
        <w:rPr>
          <w:w w:val="105"/>
          <w:sz w:val="21"/>
        </w:rPr>
        <w:t>the matter between themselves: ‘taking time </w:t>
      </w:r>
      <w:r>
        <w:rPr>
          <w:spacing w:val="-3"/>
          <w:w w:val="105"/>
          <w:sz w:val="21"/>
        </w:rPr>
        <w:t>to </w:t>
      </w:r>
      <w:r>
        <w:rPr>
          <w:w w:val="105"/>
          <w:sz w:val="21"/>
        </w:rPr>
        <w:t>talk the problem </w:t>
      </w:r>
      <w:r>
        <w:rPr>
          <w:spacing w:val="-3"/>
          <w:w w:val="105"/>
          <w:sz w:val="21"/>
        </w:rPr>
        <w:t>through could </w:t>
      </w:r>
      <w:r>
        <w:rPr>
          <w:w w:val="105"/>
          <w:sz w:val="21"/>
        </w:rPr>
        <w:t>save you time</w:t>
      </w:r>
      <w:r>
        <w:rPr>
          <w:spacing w:val="-6"/>
          <w:w w:val="105"/>
          <w:sz w:val="21"/>
        </w:rPr>
        <w:t> </w:t>
      </w:r>
      <w:r>
        <w:rPr>
          <w:w w:val="105"/>
          <w:sz w:val="21"/>
        </w:rPr>
        <w:t>and</w:t>
      </w:r>
      <w:r>
        <w:rPr>
          <w:spacing w:val="-6"/>
          <w:w w:val="105"/>
          <w:sz w:val="21"/>
        </w:rPr>
        <w:t> </w:t>
      </w:r>
      <w:r>
        <w:rPr>
          <w:spacing w:val="-4"/>
          <w:w w:val="105"/>
          <w:sz w:val="21"/>
        </w:rPr>
        <w:t>money’.</w:t>
      </w:r>
      <w:r>
        <w:rPr>
          <w:spacing w:val="-4"/>
          <w:w w:val="105"/>
          <w:position w:val="7"/>
          <w:sz w:val="12"/>
        </w:rPr>
        <w:t>2</w:t>
      </w:r>
      <w:r>
        <w:rPr>
          <w:spacing w:val="16"/>
          <w:w w:val="105"/>
          <w:position w:val="7"/>
          <w:sz w:val="12"/>
        </w:rPr>
        <w:t> </w:t>
      </w:r>
      <w:r>
        <w:rPr>
          <w:w w:val="105"/>
          <w:sz w:val="21"/>
        </w:rPr>
        <w:t>The</w:t>
      </w:r>
      <w:r>
        <w:rPr>
          <w:spacing w:val="-6"/>
          <w:w w:val="105"/>
          <w:sz w:val="21"/>
        </w:rPr>
        <w:t> </w:t>
      </w:r>
      <w:r>
        <w:rPr>
          <w:spacing w:val="-3"/>
          <w:w w:val="105"/>
          <w:sz w:val="21"/>
        </w:rPr>
        <w:t>website</w:t>
      </w:r>
      <w:r>
        <w:rPr>
          <w:spacing w:val="-6"/>
          <w:w w:val="105"/>
          <w:sz w:val="21"/>
        </w:rPr>
        <w:t> </w:t>
      </w:r>
      <w:r>
        <w:rPr>
          <w:w w:val="105"/>
          <w:sz w:val="21"/>
        </w:rPr>
        <w:t>provides</w:t>
      </w:r>
      <w:r>
        <w:rPr>
          <w:spacing w:val="-6"/>
          <w:w w:val="105"/>
          <w:sz w:val="21"/>
        </w:rPr>
        <w:t> </w:t>
      </w:r>
      <w:r>
        <w:rPr>
          <w:spacing w:val="-3"/>
          <w:w w:val="105"/>
          <w:sz w:val="21"/>
        </w:rPr>
        <w:t>information</w:t>
      </w:r>
      <w:r>
        <w:rPr>
          <w:spacing w:val="-6"/>
          <w:w w:val="105"/>
          <w:sz w:val="21"/>
        </w:rPr>
        <w:t> </w:t>
      </w:r>
      <w:r>
        <w:rPr>
          <w:w w:val="105"/>
          <w:sz w:val="21"/>
        </w:rPr>
        <w:t>on</w:t>
      </w:r>
      <w:r>
        <w:rPr>
          <w:spacing w:val="-6"/>
          <w:w w:val="105"/>
          <w:sz w:val="21"/>
        </w:rPr>
        <w:t> </w:t>
      </w:r>
      <w:r>
        <w:rPr>
          <w:w w:val="105"/>
          <w:sz w:val="21"/>
        </w:rPr>
        <w:t>the</w:t>
      </w:r>
      <w:r>
        <w:rPr>
          <w:spacing w:val="-6"/>
          <w:w w:val="105"/>
          <w:sz w:val="21"/>
        </w:rPr>
        <w:t> </w:t>
      </w:r>
      <w:r>
        <w:rPr>
          <w:w w:val="105"/>
          <w:sz w:val="21"/>
        </w:rPr>
        <w:t>most</w:t>
      </w:r>
      <w:r>
        <w:rPr>
          <w:spacing w:val="-6"/>
          <w:w w:val="105"/>
          <w:sz w:val="21"/>
        </w:rPr>
        <w:t> </w:t>
      </w:r>
      <w:r>
        <w:rPr>
          <w:w w:val="105"/>
          <w:sz w:val="21"/>
        </w:rPr>
        <w:t>effective</w:t>
      </w:r>
      <w:r>
        <w:rPr>
          <w:spacing w:val="-6"/>
          <w:w w:val="105"/>
          <w:sz w:val="21"/>
        </w:rPr>
        <w:t> </w:t>
      </w:r>
      <w:r>
        <w:rPr>
          <w:w w:val="105"/>
          <w:sz w:val="21"/>
        </w:rPr>
        <w:t>ways</w:t>
      </w:r>
      <w:r>
        <w:rPr>
          <w:spacing w:val="-6"/>
          <w:w w:val="105"/>
          <w:sz w:val="21"/>
        </w:rPr>
        <w:t> </w:t>
      </w:r>
      <w:r>
        <w:rPr>
          <w:spacing w:val="-3"/>
          <w:w w:val="105"/>
          <w:sz w:val="21"/>
        </w:rPr>
        <w:t>to</w:t>
      </w:r>
      <w:r>
        <w:rPr>
          <w:spacing w:val="-6"/>
          <w:w w:val="105"/>
          <w:sz w:val="21"/>
        </w:rPr>
        <w:t> </w:t>
      </w:r>
      <w:r>
        <w:rPr>
          <w:w w:val="105"/>
          <w:sz w:val="21"/>
        </w:rPr>
        <w:t>begin this process.</w:t>
      </w:r>
      <w:r>
        <w:rPr>
          <w:w w:val="105"/>
          <w:position w:val="7"/>
          <w:sz w:val="12"/>
        </w:rPr>
        <w:t>3 </w:t>
      </w:r>
      <w:r>
        <w:rPr>
          <w:spacing w:val="-4"/>
          <w:w w:val="105"/>
          <w:sz w:val="21"/>
        </w:rPr>
        <w:t>Similarly, </w:t>
      </w:r>
      <w:r>
        <w:rPr>
          <w:w w:val="105"/>
          <w:sz w:val="21"/>
        </w:rPr>
        <w:t>the New South </w:t>
      </w:r>
      <w:r>
        <w:rPr>
          <w:spacing w:val="-3"/>
          <w:w w:val="105"/>
          <w:sz w:val="21"/>
        </w:rPr>
        <w:t>Wales Government’s Community </w:t>
      </w:r>
      <w:r>
        <w:rPr>
          <w:w w:val="105"/>
          <w:sz w:val="21"/>
        </w:rPr>
        <w:t>Justice </w:t>
      </w:r>
      <w:r>
        <w:rPr>
          <w:spacing w:val="-4"/>
          <w:w w:val="105"/>
          <w:sz w:val="21"/>
        </w:rPr>
        <w:t>Centres </w:t>
      </w:r>
      <w:r>
        <w:rPr>
          <w:w w:val="105"/>
          <w:sz w:val="21"/>
        </w:rPr>
        <w:t>(CJCs) </w:t>
      </w:r>
      <w:r>
        <w:rPr>
          <w:spacing w:val="-3"/>
          <w:w w:val="105"/>
          <w:sz w:val="21"/>
        </w:rPr>
        <w:t>encourage </w:t>
      </w:r>
      <w:r>
        <w:rPr>
          <w:w w:val="105"/>
          <w:sz w:val="21"/>
        </w:rPr>
        <w:t>neighbours </w:t>
      </w:r>
      <w:r>
        <w:rPr>
          <w:spacing w:val="-3"/>
          <w:w w:val="105"/>
          <w:sz w:val="21"/>
        </w:rPr>
        <w:t>to </w:t>
      </w:r>
      <w:r>
        <w:rPr>
          <w:w w:val="105"/>
          <w:sz w:val="21"/>
        </w:rPr>
        <w:t>talk </w:t>
      </w:r>
      <w:r>
        <w:rPr>
          <w:spacing w:val="-3"/>
          <w:w w:val="105"/>
          <w:sz w:val="21"/>
        </w:rPr>
        <w:t>to </w:t>
      </w:r>
      <w:r>
        <w:rPr>
          <w:w w:val="105"/>
          <w:sz w:val="21"/>
        </w:rPr>
        <w:t>one </w:t>
      </w:r>
      <w:r>
        <w:rPr>
          <w:spacing w:val="-3"/>
          <w:w w:val="105"/>
          <w:sz w:val="21"/>
        </w:rPr>
        <w:t>another </w:t>
      </w:r>
      <w:r>
        <w:rPr>
          <w:w w:val="105"/>
          <w:sz w:val="21"/>
        </w:rPr>
        <w:t>when the tree </w:t>
      </w:r>
      <w:r>
        <w:rPr>
          <w:spacing w:val="-3"/>
          <w:w w:val="105"/>
          <w:sz w:val="21"/>
        </w:rPr>
        <w:t>dispute </w:t>
      </w:r>
      <w:r>
        <w:rPr>
          <w:w w:val="105"/>
          <w:sz w:val="21"/>
        </w:rPr>
        <w:t>arises. Their </w:t>
      </w:r>
      <w:r>
        <w:rPr>
          <w:spacing w:val="-3"/>
          <w:w w:val="105"/>
          <w:sz w:val="21"/>
        </w:rPr>
        <w:t>website </w:t>
      </w:r>
      <w:r>
        <w:rPr>
          <w:w w:val="105"/>
          <w:sz w:val="21"/>
        </w:rPr>
        <w:t>states, </w:t>
      </w:r>
      <w:r>
        <w:rPr>
          <w:spacing w:val="-4"/>
          <w:w w:val="105"/>
          <w:sz w:val="21"/>
        </w:rPr>
        <w:t>‘Talking </w:t>
      </w:r>
      <w:r>
        <w:rPr>
          <w:spacing w:val="-3"/>
          <w:w w:val="105"/>
          <w:sz w:val="21"/>
        </w:rPr>
        <w:t>to </w:t>
      </w:r>
      <w:r>
        <w:rPr>
          <w:w w:val="105"/>
          <w:sz w:val="21"/>
        </w:rPr>
        <w:t>your </w:t>
      </w:r>
      <w:r>
        <w:rPr>
          <w:spacing w:val="-3"/>
          <w:w w:val="105"/>
          <w:sz w:val="21"/>
        </w:rPr>
        <w:t>neighbour </w:t>
      </w:r>
      <w:r>
        <w:rPr>
          <w:w w:val="105"/>
          <w:sz w:val="21"/>
        </w:rPr>
        <w:t>as soon as possible </w:t>
      </w:r>
      <w:r>
        <w:rPr>
          <w:spacing w:val="-3"/>
          <w:w w:val="105"/>
          <w:sz w:val="21"/>
        </w:rPr>
        <w:t>may </w:t>
      </w:r>
      <w:r>
        <w:rPr>
          <w:w w:val="105"/>
          <w:sz w:val="21"/>
        </w:rPr>
        <w:t>avoid or resolve </w:t>
      </w:r>
      <w:r>
        <w:rPr>
          <w:spacing w:val="-3"/>
          <w:w w:val="105"/>
          <w:sz w:val="21"/>
        </w:rPr>
        <w:t>any </w:t>
      </w:r>
      <w:r>
        <w:rPr>
          <w:spacing w:val="-2"/>
          <w:w w:val="105"/>
          <w:sz w:val="21"/>
        </w:rPr>
        <w:t>problems.</w:t>
      </w:r>
      <w:r>
        <w:rPr>
          <w:spacing w:val="-5"/>
          <w:w w:val="105"/>
          <w:sz w:val="21"/>
        </w:rPr>
        <w:t> </w:t>
      </w:r>
      <w:r>
        <w:rPr>
          <w:w w:val="105"/>
          <w:sz w:val="21"/>
        </w:rPr>
        <w:t>It</w:t>
      </w:r>
      <w:r>
        <w:rPr>
          <w:spacing w:val="-4"/>
          <w:w w:val="105"/>
          <w:sz w:val="21"/>
        </w:rPr>
        <w:t> </w:t>
      </w:r>
      <w:r>
        <w:rPr>
          <w:spacing w:val="-3"/>
          <w:w w:val="105"/>
          <w:sz w:val="21"/>
        </w:rPr>
        <w:t>will</w:t>
      </w:r>
      <w:r>
        <w:rPr>
          <w:spacing w:val="-4"/>
          <w:w w:val="105"/>
          <w:sz w:val="21"/>
        </w:rPr>
        <w:t> </w:t>
      </w:r>
      <w:r>
        <w:rPr>
          <w:w w:val="105"/>
          <w:sz w:val="21"/>
        </w:rPr>
        <w:t>also</w:t>
      </w:r>
      <w:r>
        <w:rPr>
          <w:spacing w:val="-4"/>
          <w:w w:val="105"/>
          <w:sz w:val="21"/>
        </w:rPr>
        <w:t> </w:t>
      </w:r>
      <w:r>
        <w:rPr>
          <w:w w:val="105"/>
          <w:sz w:val="21"/>
        </w:rPr>
        <w:t>help</w:t>
      </w:r>
      <w:r>
        <w:rPr>
          <w:spacing w:val="-5"/>
          <w:w w:val="105"/>
          <w:sz w:val="21"/>
        </w:rPr>
        <w:t> </w:t>
      </w:r>
      <w:r>
        <w:rPr>
          <w:spacing w:val="-3"/>
          <w:w w:val="105"/>
          <w:sz w:val="21"/>
        </w:rPr>
        <w:t>maintain</w:t>
      </w:r>
      <w:r>
        <w:rPr>
          <w:spacing w:val="-4"/>
          <w:w w:val="105"/>
          <w:sz w:val="21"/>
        </w:rPr>
        <w:t> </w:t>
      </w:r>
      <w:r>
        <w:rPr>
          <w:w w:val="105"/>
          <w:sz w:val="21"/>
        </w:rPr>
        <w:t>a</w:t>
      </w:r>
      <w:r>
        <w:rPr>
          <w:spacing w:val="-4"/>
          <w:w w:val="105"/>
          <w:sz w:val="21"/>
        </w:rPr>
        <w:t> </w:t>
      </w:r>
      <w:r>
        <w:rPr>
          <w:w w:val="105"/>
          <w:sz w:val="21"/>
        </w:rPr>
        <w:t>positive</w:t>
      </w:r>
      <w:r>
        <w:rPr>
          <w:spacing w:val="-4"/>
          <w:w w:val="105"/>
          <w:sz w:val="21"/>
        </w:rPr>
        <w:t> </w:t>
      </w:r>
      <w:r>
        <w:rPr>
          <w:spacing w:val="-3"/>
          <w:w w:val="105"/>
          <w:sz w:val="21"/>
        </w:rPr>
        <w:t>relationship,</w:t>
      </w:r>
      <w:r>
        <w:rPr>
          <w:spacing w:val="-5"/>
          <w:w w:val="105"/>
          <w:sz w:val="21"/>
        </w:rPr>
        <w:t> </w:t>
      </w:r>
      <w:r>
        <w:rPr>
          <w:spacing w:val="-3"/>
          <w:w w:val="105"/>
          <w:sz w:val="21"/>
        </w:rPr>
        <w:t>making</w:t>
      </w:r>
      <w:r>
        <w:rPr>
          <w:spacing w:val="-4"/>
          <w:w w:val="105"/>
          <w:sz w:val="21"/>
        </w:rPr>
        <w:t> </w:t>
      </w:r>
      <w:r>
        <w:rPr>
          <w:w w:val="105"/>
          <w:sz w:val="21"/>
        </w:rPr>
        <w:t>it</w:t>
      </w:r>
      <w:r>
        <w:rPr>
          <w:spacing w:val="-4"/>
          <w:w w:val="105"/>
          <w:sz w:val="21"/>
        </w:rPr>
        <w:t> </w:t>
      </w:r>
      <w:r>
        <w:rPr>
          <w:spacing w:val="-2"/>
          <w:w w:val="105"/>
          <w:sz w:val="21"/>
        </w:rPr>
        <w:t>easier</w:t>
      </w:r>
      <w:r>
        <w:rPr>
          <w:spacing w:val="-4"/>
          <w:w w:val="105"/>
          <w:sz w:val="21"/>
        </w:rPr>
        <w:t> </w:t>
      </w:r>
      <w:r>
        <w:rPr>
          <w:spacing w:val="-3"/>
          <w:w w:val="105"/>
          <w:sz w:val="21"/>
        </w:rPr>
        <w:t>to</w:t>
      </w:r>
      <w:r>
        <w:rPr>
          <w:spacing w:val="-5"/>
          <w:w w:val="105"/>
          <w:sz w:val="21"/>
        </w:rPr>
        <w:t> </w:t>
      </w:r>
      <w:r>
        <w:rPr>
          <w:w w:val="105"/>
          <w:sz w:val="21"/>
        </w:rPr>
        <w:t>deal</w:t>
      </w:r>
      <w:r>
        <w:rPr>
          <w:spacing w:val="-4"/>
          <w:w w:val="105"/>
          <w:sz w:val="21"/>
        </w:rPr>
        <w:t> </w:t>
      </w:r>
      <w:r>
        <w:rPr>
          <w:w w:val="105"/>
          <w:sz w:val="21"/>
        </w:rPr>
        <w:t>with</w:t>
      </w:r>
    </w:p>
    <w:p>
      <w:pPr>
        <w:pStyle w:val="BodyText"/>
        <w:rPr>
          <w:sz w:val="20"/>
        </w:rPr>
      </w:pPr>
    </w:p>
    <w:p>
      <w:pPr>
        <w:pStyle w:val="BodyText"/>
        <w:spacing w:before="6"/>
        <w:rPr>
          <w:sz w:val="23"/>
        </w:rPr>
      </w:pPr>
      <w:r>
        <w:rPr/>
        <w:pict>
          <v:line style="position:absolute;mso-position-horizontal-relative:page;mso-position-vertical-relative:paragraph;z-index:5720;mso-wrap-distance-left:0;mso-wrap-distance-right:0" from="79.370102pt,16.814045pt" to="515.905102pt,16.81404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spacing w:before="11"/>
        <w:rPr>
          <w:sz w:val="32"/>
        </w:rPr>
      </w:pPr>
    </w:p>
    <w:p>
      <w:pPr>
        <w:spacing w:before="0"/>
        <w:ind w:left="720" w:right="0" w:firstLine="0"/>
        <w:jc w:val="left"/>
        <w:rPr>
          <w:b/>
          <w:sz w:val="24"/>
        </w:rPr>
      </w:pPr>
      <w:r>
        <w:rPr>
          <w:b/>
          <w:color w:val="658464"/>
          <w:spacing w:val="-9"/>
          <w:w w:val="110"/>
          <w:sz w:val="24"/>
        </w:rPr>
        <w:t>112</w:t>
      </w:r>
    </w:p>
    <w:p>
      <w:pPr>
        <w:pStyle w:val="ListParagraph"/>
        <w:numPr>
          <w:ilvl w:val="0"/>
          <w:numId w:val="91"/>
        </w:numPr>
        <w:tabs>
          <w:tab w:pos="1246" w:val="left" w:leader="none"/>
          <w:tab w:pos="1247" w:val="left" w:leader="none"/>
        </w:tabs>
        <w:spacing w:line="240" w:lineRule="auto" w:before="48" w:after="0"/>
        <w:ind w:left="1246" w:right="0" w:hanging="793"/>
        <w:jc w:val="left"/>
        <w:rPr>
          <w:sz w:val="13"/>
        </w:rPr>
      </w:pPr>
      <w:r>
        <w:rPr>
          <w:spacing w:val="3"/>
          <w:w w:val="102"/>
          <w:sz w:val="13"/>
        </w:rPr>
        <w:br w:type="column"/>
      </w:r>
      <w:r>
        <w:rPr>
          <w:w w:val="105"/>
          <w:sz w:val="13"/>
        </w:rPr>
        <w:t>The</w:t>
      </w:r>
      <w:r>
        <w:rPr>
          <w:spacing w:val="4"/>
          <w:w w:val="105"/>
          <w:sz w:val="13"/>
        </w:rPr>
        <w:t> </w:t>
      </w:r>
      <w:r>
        <w:rPr>
          <w:w w:val="105"/>
          <w:sz w:val="13"/>
        </w:rPr>
        <w:t>Dispute</w:t>
      </w:r>
      <w:r>
        <w:rPr>
          <w:spacing w:val="5"/>
          <w:w w:val="105"/>
          <w:sz w:val="13"/>
        </w:rPr>
        <w:t> </w:t>
      </w:r>
      <w:r>
        <w:rPr>
          <w:w w:val="105"/>
          <w:sz w:val="13"/>
        </w:rPr>
        <w:t>Settlement</w:t>
      </w:r>
      <w:r>
        <w:rPr>
          <w:spacing w:val="5"/>
          <w:w w:val="105"/>
          <w:sz w:val="13"/>
        </w:rPr>
        <w:t> </w:t>
      </w:r>
      <w:r>
        <w:rPr>
          <w:w w:val="105"/>
          <w:sz w:val="13"/>
        </w:rPr>
        <w:t>Centre</w:t>
      </w:r>
      <w:r>
        <w:rPr>
          <w:spacing w:val="5"/>
          <w:w w:val="105"/>
          <w:sz w:val="13"/>
        </w:rPr>
        <w:t> </w:t>
      </w:r>
      <w:r>
        <w:rPr>
          <w:w w:val="105"/>
          <w:sz w:val="13"/>
        </w:rPr>
        <w:t>of</w:t>
      </w:r>
      <w:r>
        <w:rPr>
          <w:spacing w:val="5"/>
          <w:w w:val="105"/>
          <w:sz w:val="13"/>
        </w:rPr>
        <w:t> </w:t>
      </w:r>
      <w:r>
        <w:rPr>
          <w:w w:val="105"/>
          <w:sz w:val="13"/>
        </w:rPr>
        <w:t>Victoria</w:t>
      </w:r>
      <w:r>
        <w:rPr>
          <w:spacing w:val="4"/>
          <w:w w:val="105"/>
          <w:sz w:val="13"/>
        </w:rPr>
        <w:t> </w:t>
      </w:r>
      <w:r>
        <w:rPr>
          <w:spacing w:val="3"/>
          <w:w w:val="105"/>
          <w:sz w:val="13"/>
        </w:rPr>
        <w:t>(DSCV)</w:t>
      </w:r>
      <w:r>
        <w:rPr>
          <w:spacing w:val="5"/>
          <w:w w:val="105"/>
          <w:sz w:val="13"/>
        </w:rPr>
        <w:t> </w:t>
      </w:r>
      <w:r>
        <w:rPr>
          <w:w w:val="105"/>
          <w:sz w:val="13"/>
        </w:rPr>
        <w:t>provides</w:t>
      </w:r>
      <w:r>
        <w:rPr>
          <w:spacing w:val="5"/>
          <w:w w:val="105"/>
          <w:sz w:val="13"/>
        </w:rPr>
        <w:t> </w:t>
      </w:r>
      <w:r>
        <w:rPr>
          <w:w w:val="105"/>
          <w:sz w:val="13"/>
        </w:rPr>
        <w:t>free</w:t>
      </w:r>
      <w:r>
        <w:rPr>
          <w:spacing w:val="5"/>
          <w:w w:val="105"/>
          <w:sz w:val="13"/>
        </w:rPr>
        <w:t> </w:t>
      </w:r>
      <w:r>
        <w:rPr>
          <w:w w:val="105"/>
          <w:sz w:val="13"/>
        </w:rPr>
        <w:t>dispute</w:t>
      </w:r>
      <w:r>
        <w:rPr>
          <w:spacing w:val="5"/>
          <w:w w:val="105"/>
          <w:sz w:val="13"/>
        </w:rPr>
        <w:t> </w:t>
      </w:r>
      <w:r>
        <w:rPr>
          <w:w w:val="105"/>
          <w:sz w:val="13"/>
        </w:rPr>
        <w:t>resolution</w:t>
      </w:r>
      <w:r>
        <w:rPr>
          <w:spacing w:val="5"/>
          <w:w w:val="105"/>
          <w:sz w:val="13"/>
        </w:rPr>
        <w:t> </w:t>
      </w:r>
      <w:r>
        <w:rPr>
          <w:w w:val="105"/>
          <w:sz w:val="13"/>
        </w:rPr>
        <w:t>services</w:t>
      </w:r>
      <w:r>
        <w:rPr>
          <w:spacing w:val="4"/>
          <w:w w:val="105"/>
          <w:sz w:val="13"/>
        </w:rPr>
        <w:t> </w:t>
      </w:r>
      <w:r>
        <w:rPr>
          <w:w w:val="105"/>
          <w:sz w:val="13"/>
        </w:rPr>
        <w:t>across</w:t>
      </w:r>
      <w:r>
        <w:rPr>
          <w:spacing w:val="5"/>
          <w:w w:val="105"/>
          <w:sz w:val="13"/>
        </w:rPr>
        <w:t> </w:t>
      </w:r>
      <w:r>
        <w:rPr>
          <w:w w:val="105"/>
          <w:sz w:val="13"/>
        </w:rPr>
        <w:t>Victoria.</w:t>
      </w:r>
      <w:r>
        <w:rPr>
          <w:spacing w:val="5"/>
          <w:w w:val="105"/>
          <w:sz w:val="13"/>
        </w:rPr>
        <w:t> </w:t>
      </w:r>
      <w:r>
        <w:rPr>
          <w:w w:val="105"/>
          <w:sz w:val="13"/>
        </w:rPr>
        <w:t>See</w:t>
      </w:r>
      <w:r>
        <w:rPr>
          <w:spacing w:val="5"/>
          <w:w w:val="105"/>
          <w:sz w:val="13"/>
        </w:rPr>
        <w:t> </w:t>
      </w:r>
      <w:r>
        <w:rPr>
          <w:w w:val="105"/>
          <w:sz w:val="13"/>
        </w:rPr>
        <w:t>Ch</w:t>
      </w:r>
      <w:r>
        <w:rPr>
          <w:spacing w:val="5"/>
          <w:w w:val="105"/>
          <w:sz w:val="13"/>
        </w:rPr>
        <w:t> </w:t>
      </w:r>
      <w:r>
        <w:rPr>
          <w:w w:val="105"/>
          <w:sz w:val="13"/>
        </w:rPr>
        <w:t>3</w:t>
      </w:r>
      <w:r>
        <w:rPr>
          <w:spacing w:val="5"/>
          <w:w w:val="105"/>
          <w:sz w:val="13"/>
        </w:rPr>
        <w:t> </w:t>
      </w:r>
      <w:r>
        <w:rPr>
          <w:w w:val="105"/>
          <w:sz w:val="13"/>
        </w:rPr>
        <w:t>for</w:t>
      </w:r>
      <w:r>
        <w:rPr>
          <w:spacing w:val="4"/>
          <w:w w:val="105"/>
          <w:sz w:val="13"/>
        </w:rPr>
        <w:t> </w:t>
      </w:r>
      <w:r>
        <w:rPr>
          <w:w w:val="105"/>
          <w:sz w:val="13"/>
        </w:rPr>
        <w:t>more</w:t>
      </w:r>
      <w:r>
        <w:rPr>
          <w:spacing w:val="5"/>
          <w:w w:val="105"/>
          <w:sz w:val="13"/>
        </w:rPr>
        <w:t> </w:t>
      </w:r>
      <w:r>
        <w:rPr>
          <w:w w:val="105"/>
          <w:sz w:val="13"/>
        </w:rPr>
        <w:t>information.</w:t>
      </w:r>
    </w:p>
    <w:p>
      <w:pPr>
        <w:pStyle w:val="ListParagraph"/>
        <w:numPr>
          <w:ilvl w:val="0"/>
          <w:numId w:val="91"/>
        </w:numPr>
        <w:tabs>
          <w:tab w:pos="1246" w:val="left" w:leader="none"/>
          <w:tab w:pos="1247" w:val="left" w:leader="none"/>
        </w:tabs>
        <w:spacing w:line="240" w:lineRule="auto" w:before="1" w:after="0"/>
        <w:ind w:left="1246" w:right="1912" w:hanging="793"/>
        <w:jc w:val="left"/>
        <w:rPr>
          <w:sz w:val="13"/>
        </w:rPr>
      </w:pPr>
      <w:r>
        <w:rPr>
          <w:w w:val="105"/>
          <w:sz w:val="13"/>
        </w:rPr>
        <w:t>Queensland Government, </w:t>
      </w:r>
      <w:r>
        <w:rPr>
          <w:i/>
          <w:w w:val="105"/>
          <w:sz w:val="13"/>
        </w:rPr>
        <w:t>Step-by-step Guide to Resolving Tree and Fence Disputes </w:t>
      </w:r>
      <w:r>
        <w:rPr>
          <w:w w:val="105"/>
          <w:sz w:val="13"/>
        </w:rPr>
        <w:t>(Web Page, </w:t>
      </w:r>
      <w:r>
        <w:rPr>
          <w:spacing w:val="-3"/>
          <w:w w:val="105"/>
          <w:sz w:val="13"/>
        </w:rPr>
        <w:t>14 </w:t>
      </w:r>
      <w:r>
        <w:rPr>
          <w:w w:val="105"/>
          <w:sz w:val="13"/>
        </w:rPr>
        <w:t>July 2017) </w:t>
      </w:r>
      <w:r>
        <w:rPr>
          <w:spacing w:val="2"/>
          <w:w w:val="105"/>
          <w:sz w:val="13"/>
        </w:rPr>
        <w:t>&lt;https://</w:t>
      </w:r>
      <w:hyperlink r:id="rId123">
        <w:r>
          <w:rPr>
            <w:spacing w:val="2"/>
            <w:w w:val="105"/>
            <w:sz w:val="13"/>
          </w:rPr>
          <w:t>www.qld.gov.</w:t>
        </w:r>
      </w:hyperlink>
      <w:r>
        <w:rPr>
          <w:spacing w:val="2"/>
          <w:w w:val="105"/>
          <w:sz w:val="13"/>
        </w:rPr>
        <w:t> </w:t>
      </w:r>
      <w:r>
        <w:rPr>
          <w:spacing w:val="2"/>
          <w:sz w:val="13"/>
        </w:rPr>
        <w:t>au/law/housing-and-neighbours/disputes-about-fences-trees-and-buildings/resolving-tree-and-fence-disputes/step-by-step-guide-to- </w:t>
      </w:r>
      <w:r>
        <w:rPr>
          <w:w w:val="105"/>
          <w:sz w:val="13"/>
        </w:rPr>
        <w:t>resolving-tree-and-fence-disputes&gt;.</w:t>
      </w:r>
    </w:p>
    <w:p>
      <w:pPr>
        <w:pStyle w:val="ListParagraph"/>
        <w:numPr>
          <w:ilvl w:val="0"/>
          <w:numId w:val="91"/>
        </w:numPr>
        <w:tabs>
          <w:tab w:pos="1246" w:val="left" w:leader="none"/>
          <w:tab w:pos="1247" w:val="left" w:leader="none"/>
        </w:tabs>
        <w:spacing w:line="240" w:lineRule="auto" w:before="4" w:after="0"/>
        <w:ind w:left="1246" w:right="1806" w:hanging="793"/>
        <w:jc w:val="left"/>
        <w:rPr>
          <w:sz w:val="13"/>
        </w:rPr>
      </w:pPr>
      <w:r>
        <w:rPr>
          <w:w w:val="105"/>
          <w:sz w:val="13"/>
        </w:rPr>
        <w:t>Queensland Government, </w:t>
      </w:r>
      <w:r>
        <w:rPr>
          <w:i/>
          <w:w w:val="105"/>
          <w:sz w:val="13"/>
        </w:rPr>
        <w:t>Ways to Approach Your Neighbour </w:t>
      </w:r>
      <w:r>
        <w:rPr>
          <w:w w:val="105"/>
          <w:sz w:val="13"/>
        </w:rPr>
        <w:t>(Web Page, </w:t>
      </w:r>
      <w:r>
        <w:rPr>
          <w:spacing w:val="-4"/>
          <w:w w:val="105"/>
          <w:sz w:val="13"/>
        </w:rPr>
        <w:t>17 </w:t>
      </w:r>
      <w:r>
        <w:rPr>
          <w:w w:val="105"/>
          <w:sz w:val="13"/>
        </w:rPr>
        <w:t>January 2018) </w:t>
      </w:r>
      <w:r>
        <w:rPr>
          <w:spacing w:val="2"/>
          <w:w w:val="105"/>
          <w:sz w:val="13"/>
        </w:rPr>
        <w:t>&lt;https://</w:t>
      </w:r>
      <w:hyperlink r:id="rId124">
        <w:r>
          <w:rPr>
            <w:spacing w:val="2"/>
            <w:w w:val="105"/>
            <w:sz w:val="13"/>
          </w:rPr>
          <w:t>www.qld.gov.au/law/housing-and-</w:t>
        </w:r>
      </w:hyperlink>
      <w:r>
        <w:rPr>
          <w:spacing w:val="2"/>
          <w:w w:val="105"/>
          <w:sz w:val="13"/>
        </w:rPr>
        <w:t> </w:t>
      </w:r>
      <w:r>
        <w:rPr>
          <w:w w:val="105"/>
          <w:sz w:val="13"/>
        </w:rPr>
        <w:t>neighbours/disputes-about-fences-trees-and-buildings/ways-to-approach-your-neighbour&gt;.</w:t>
      </w:r>
    </w:p>
    <w:p>
      <w:pPr>
        <w:spacing w:after="0" w:line="240" w:lineRule="auto"/>
        <w:jc w:val="left"/>
        <w:rPr>
          <w:sz w:val="13"/>
        </w:rPr>
        <w:sectPr>
          <w:type w:val="continuous"/>
          <w:pgSz w:w="11910" w:h="16840"/>
          <w:pgMar w:top="300" w:bottom="280" w:left="0" w:right="0"/>
          <w:cols w:num="2" w:equalWidth="0">
            <w:col w:w="1095" w:space="40"/>
            <w:col w:w="10775"/>
          </w:cols>
        </w:sectPr>
      </w:pPr>
    </w:p>
    <w:p>
      <w:pPr>
        <w:pStyle w:val="BodyText"/>
        <w:rPr>
          <w:sz w:val="20"/>
        </w:rPr>
      </w:pPr>
    </w:p>
    <w:p>
      <w:pPr>
        <w:pStyle w:val="BodyText"/>
        <w:spacing w:before="9"/>
        <w:rPr>
          <w:sz w:val="18"/>
        </w:rPr>
      </w:pPr>
    </w:p>
    <w:p>
      <w:pPr>
        <w:pStyle w:val="BodyText"/>
        <w:spacing w:line="242" w:lineRule="auto" w:before="91"/>
        <w:ind w:left="2381" w:right="1636"/>
        <w:rPr>
          <w:sz w:val="12"/>
        </w:rPr>
      </w:pPr>
      <w:bookmarkStart w:name="_bookmark62" w:id="146"/>
      <w:bookmarkEnd w:id="146"/>
      <w:r>
        <w:rPr/>
      </w:r>
      <w:r>
        <w:rPr>
          <w:w w:val="105"/>
        </w:rPr>
        <w:t>other issues in the </w:t>
      </w:r>
      <w:r>
        <w:rPr>
          <w:spacing w:val="-7"/>
          <w:w w:val="105"/>
        </w:rPr>
        <w:t>future.’</w:t>
      </w:r>
      <w:r>
        <w:rPr>
          <w:spacing w:val="-7"/>
          <w:w w:val="105"/>
          <w:position w:val="7"/>
          <w:sz w:val="12"/>
        </w:rPr>
        <w:t>4 </w:t>
      </w:r>
      <w:r>
        <w:rPr>
          <w:w w:val="105"/>
        </w:rPr>
        <w:t>It states </w:t>
      </w:r>
      <w:r>
        <w:rPr>
          <w:spacing w:val="-3"/>
          <w:w w:val="105"/>
        </w:rPr>
        <w:t>that </w:t>
      </w:r>
      <w:r>
        <w:rPr>
          <w:w w:val="105"/>
        </w:rPr>
        <w:t>taking a matter </w:t>
      </w:r>
      <w:r>
        <w:rPr>
          <w:spacing w:val="-3"/>
          <w:w w:val="105"/>
        </w:rPr>
        <w:t>to </w:t>
      </w:r>
      <w:r>
        <w:rPr>
          <w:w w:val="105"/>
        </w:rPr>
        <w:t>court </w:t>
      </w:r>
      <w:r>
        <w:rPr>
          <w:spacing w:val="-3"/>
          <w:w w:val="105"/>
        </w:rPr>
        <w:t>‘should </w:t>
      </w:r>
      <w:r>
        <w:rPr>
          <w:w w:val="105"/>
        </w:rPr>
        <w:t>always be the last resort’ and </w:t>
      </w:r>
      <w:r>
        <w:rPr>
          <w:spacing w:val="-3"/>
          <w:w w:val="105"/>
        </w:rPr>
        <w:t>that ‘knowing </w:t>
      </w:r>
      <w:r>
        <w:rPr>
          <w:w w:val="105"/>
        </w:rPr>
        <w:t>your legal rights and </w:t>
      </w:r>
      <w:r>
        <w:rPr>
          <w:spacing w:val="-3"/>
          <w:w w:val="105"/>
        </w:rPr>
        <w:t>obligations may </w:t>
      </w:r>
      <w:r>
        <w:rPr>
          <w:w w:val="105"/>
        </w:rPr>
        <w:t>also help you resolve your </w:t>
      </w:r>
      <w:r>
        <w:rPr>
          <w:spacing w:val="-3"/>
          <w:w w:val="105"/>
        </w:rPr>
        <w:t>neighbour </w:t>
      </w:r>
      <w:r>
        <w:rPr>
          <w:spacing w:val="-5"/>
          <w:w w:val="105"/>
        </w:rPr>
        <w:t>dispute’.</w:t>
      </w:r>
      <w:r>
        <w:rPr>
          <w:spacing w:val="-5"/>
          <w:w w:val="105"/>
          <w:position w:val="7"/>
          <w:sz w:val="12"/>
        </w:rPr>
        <w:t>5</w:t>
      </w:r>
    </w:p>
    <w:p>
      <w:pPr>
        <w:pStyle w:val="ListParagraph"/>
        <w:numPr>
          <w:ilvl w:val="1"/>
          <w:numId w:val="16"/>
        </w:numPr>
        <w:tabs>
          <w:tab w:pos="2381" w:val="left" w:leader="none"/>
          <w:tab w:pos="2382" w:val="left" w:leader="none"/>
        </w:tabs>
        <w:spacing w:line="242" w:lineRule="auto" w:before="124" w:after="0"/>
        <w:ind w:left="2381" w:right="1656" w:hanging="794"/>
        <w:jc w:val="left"/>
        <w:rPr>
          <w:sz w:val="21"/>
        </w:rPr>
      </w:pPr>
      <w:r>
        <w:rPr>
          <w:w w:val="105"/>
          <w:sz w:val="21"/>
        </w:rPr>
        <w:t>Neighbours </w:t>
      </w:r>
      <w:r>
        <w:rPr>
          <w:spacing w:val="-3"/>
          <w:w w:val="105"/>
          <w:sz w:val="21"/>
        </w:rPr>
        <w:t>may </w:t>
      </w:r>
      <w:r>
        <w:rPr>
          <w:w w:val="105"/>
          <w:sz w:val="21"/>
        </w:rPr>
        <w:t>need </w:t>
      </w:r>
      <w:r>
        <w:rPr>
          <w:spacing w:val="-3"/>
          <w:w w:val="105"/>
          <w:sz w:val="21"/>
        </w:rPr>
        <w:t>to </w:t>
      </w:r>
      <w:r>
        <w:rPr>
          <w:w w:val="105"/>
          <w:sz w:val="21"/>
        </w:rPr>
        <w:t>enlist the help of an independent </w:t>
      </w:r>
      <w:r>
        <w:rPr>
          <w:spacing w:val="-3"/>
          <w:w w:val="105"/>
          <w:sz w:val="21"/>
        </w:rPr>
        <w:t>third </w:t>
      </w:r>
      <w:r>
        <w:rPr>
          <w:w w:val="105"/>
          <w:sz w:val="21"/>
        </w:rPr>
        <w:t>party </w:t>
      </w:r>
      <w:r>
        <w:rPr>
          <w:spacing w:val="-3"/>
          <w:w w:val="105"/>
          <w:sz w:val="21"/>
        </w:rPr>
        <w:t>to facilitate </w:t>
      </w:r>
      <w:r>
        <w:rPr>
          <w:w w:val="105"/>
          <w:sz w:val="21"/>
        </w:rPr>
        <w:t>negotiation where </w:t>
      </w:r>
      <w:r>
        <w:rPr>
          <w:spacing w:val="-3"/>
          <w:w w:val="105"/>
          <w:sz w:val="21"/>
        </w:rPr>
        <w:t>neighbour </w:t>
      </w:r>
      <w:r>
        <w:rPr>
          <w:w w:val="105"/>
          <w:sz w:val="21"/>
        </w:rPr>
        <w:t>led negotiation </w:t>
      </w:r>
      <w:r>
        <w:rPr>
          <w:spacing w:val="-3"/>
          <w:w w:val="105"/>
          <w:sz w:val="21"/>
        </w:rPr>
        <w:t>fails. </w:t>
      </w:r>
      <w:r>
        <w:rPr>
          <w:w w:val="105"/>
          <w:sz w:val="21"/>
        </w:rPr>
        <w:t>Free mediation services </w:t>
      </w:r>
      <w:r>
        <w:rPr>
          <w:spacing w:val="-3"/>
          <w:w w:val="105"/>
          <w:sz w:val="21"/>
        </w:rPr>
        <w:t>are available to</w:t>
      </w:r>
      <w:r>
        <w:rPr>
          <w:spacing w:val="-6"/>
          <w:w w:val="105"/>
          <w:sz w:val="21"/>
        </w:rPr>
        <w:t> </w:t>
      </w:r>
      <w:r>
        <w:rPr>
          <w:w w:val="105"/>
          <w:sz w:val="21"/>
        </w:rPr>
        <w:t>the</w:t>
      </w:r>
      <w:r>
        <w:rPr>
          <w:spacing w:val="-6"/>
          <w:w w:val="105"/>
          <w:sz w:val="21"/>
        </w:rPr>
        <w:t> </w:t>
      </w:r>
      <w:r>
        <w:rPr>
          <w:w w:val="105"/>
          <w:sz w:val="21"/>
        </w:rPr>
        <w:t>community</w:t>
      </w:r>
      <w:r>
        <w:rPr>
          <w:spacing w:val="-6"/>
          <w:w w:val="105"/>
          <w:sz w:val="21"/>
        </w:rPr>
        <w:t> </w:t>
      </w:r>
      <w:r>
        <w:rPr>
          <w:w w:val="105"/>
          <w:sz w:val="21"/>
        </w:rPr>
        <w:t>in</w:t>
      </w:r>
      <w:r>
        <w:rPr>
          <w:spacing w:val="-6"/>
          <w:w w:val="105"/>
          <w:sz w:val="21"/>
        </w:rPr>
        <w:t> </w:t>
      </w:r>
      <w:r>
        <w:rPr>
          <w:spacing w:val="-3"/>
          <w:w w:val="105"/>
          <w:sz w:val="21"/>
        </w:rPr>
        <w:t>Queensland</w:t>
      </w:r>
      <w:r>
        <w:rPr>
          <w:spacing w:val="-6"/>
          <w:w w:val="105"/>
          <w:sz w:val="21"/>
        </w:rPr>
        <w:t> </w:t>
      </w:r>
      <w:r>
        <w:rPr>
          <w:spacing w:val="-3"/>
          <w:w w:val="105"/>
          <w:sz w:val="21"/>
        </w:rPr>
        <w:t>for</w:t>
      </w:r>
      <w:r>
        <w:rPr>
          <w:spacing w:val="-6"/>
          <w:w w:val="105"/>
          <w:sz w:val="21"/>
        </w:rPr>
        <w:t> </w:t>
      </w:r>
      <w:r>
        <w:rPr>
          <w:w w:val="105"/>
          <w:sz w:val="21"/>
        </w:rPr>
        <w:t>neighbourhood</w:t>
      </w:r>
      <w:r>
        <w:rPr>
          <w:spacing w:val="-6"/>
          <w:w w:val="105"/>
          <w:sz w:val="21"/>
        </w:rPr>
        <w:t> </w:t>
      </w:r>
      <w:r>
        <w:rPr>
          <w:spacing w:val="-3"/>
          <w:w w:val="105"/>
          <w:sz w:val="21"/>
        </w:rPr>
        <w:t>disputes</w:t>
      </w:r>
      <w:r>
        <w:rPr>
          <w:spacing w:val="-6"/>
          <w:w w:val="105"/>
          <w:sz w:val="21"/>
        </w:rPr>
        <w:t> </w:t>
      </w:r>
      <w:r>
        <w:rPr>
          <w:spacing w:val="-3"/>
          <w:w w:val="105"/>
          <w:sz w:val="21"/>
        </w:rPr>
        <w:t>through</w:t>
      </w:r>
      <w:r>
        <w:rPr>
          <w:spacing w:val="-6"/>
          <w:w w:val="105"/>
          <w:sz w:val="21"/>
        </w:rPr>
        <w:t> </w:t>
      </w:r>
      <w:r>
        <w:rPr>
          <w:spacing w:val="-3"/>
          <w:w w:val="105"/>
          <w:sz w:val="21"/>
        </w:rPr>
        <w:t>Dispute</w:t>
      </w:r>
      <w:r>
        <w:rPr>
          <w:spacing w:val="-6"/>
          <w:w w:val="105"/>
          <w:sz w:val="21"/>
        </w:rPr>
        <w:t> </w:t>
      </w:r>
      <w:r>
        <w:rPr>
          <w:w w:val="105"/>
          <w:sz w:val="21"/>
        </w:rPr>
        <w:t>Resolution </w:t>
      </w:r>
      <w:r>
        <w:rPr>
          <w:spacing w:val="-3"/>
          <w:w w:val="105"/>
          <w:sz w:val="21"/>
        </w:rPr>
        <w:t>Centres. </w:t>
      </w:r>
      <w:r>
        <w:rPr>
          <w:w w:val="105"/>
          <w:position w:val="7"/>
          <w:sz w:val="12"/>
        </w:rPr>
        <w:t>6 </w:t>
      </w:r>
      <w:r>
        <w:rPr>
          <w:w w:val="105"/>
          <w:sz w:val="21"/>
        </w:rPr>
        <w:t>CJCs in New South </w:t>
      </w:r>
      <w:r>
        <w:rPr>
          <w:spacing w:val="-3"/>
          <w:w w:val="105"/>
          <w:sz w:val="21"/>
        </w:rPr>
        <w:t>Wales </w:t>
      </w:r>
      <w:r>
        <w:rPr>
          <w:w w:val="105"/>
          <w:sz w:val="21"/>
        </w:rPr>
        <w:t>provide free mediation services.</w:t>
      </w:r>
      <w:r>
        <w:rPr>
          <w:w w:val="105"/>
          <w:position w:val="7"/>
          <w:sz w:val="12"/>
        </w:rPr>
        <w:t>7 </w:t>
      </w:r>
      <w:r>
        <w:rPr>
          <w:w w:val="105"/>
          <w:sz w:val="21"/>
        </w:rPr>
        <w:t>In New South </w:t>
      </w:r>
      <w:r>
        <w:rPr>
          <w:spacing w:val="-3"/>
          <w:w w:val="105"/>
          <w:sz w:val="21"/>
        </w:rPr>
        <w:t>Wales disputes </w:t>
      </w:r>
      <w:r>
        <w:rPr>
          <w:w w:val="105"/>
          <w:sz w:val="21"/>
        </w:rPr>
        <w:t>between neighbours </w:t>
      </w:r>
      <w:r>
        <w:rPr>
          <w:spacing w:val="-3"/>
          <w:w w:val="105"/>
          <w:sz w:val="21"/>
        </w:rPr>
        <w:t>are </w:t>
      </w:r>
      <w:r>
        <w:rPr>
          <w:w w:val="105"/>
          <w:sz w:val="21"/>
        </w:rPr>
        <w:t>the most </w:t>
      </w:r>
      <w:r>
        <w:rPr>
          <w:spacing w:val="-3"/>
          <w:w w:val="105"/>
          <w:sz w:val="21"/>
        </w:rPr>
        <w:t>frequent </w:t>
      </w:r>
      <w:r>
        <w:rPr>
          <w:w w:val="105"/>
          <w:sz w:val="21"/>
        </w:rPr>
        <w:t>type of </w:t>
      </w:r>
      <w:r>
        <w:rPr>
          <w:spacing w:val="-3"/>
          <w:w w:val="105"/>
          <w:sz w:val="21"/>
        </w:rPr>
        <w:t>dispute </w:t>
      </w:r>
      <w:r>
        <w:rPr>
          <w:w w:val="105"/>
          <w:sz w:val="21"/>
        </w:rPr>
        <w:t>received by CJCs, and when neighbours agree </w:t>
      </w:r>
      <w:r>
        <w:rPr>
          <w:spacing w:val="-3"/>
          <w:w w:val="105"/>
          <w:sz w:val="21"/>
        </w:rPr>
        <w:t>to mediation, </w:t>
      </w:r>
      <w:r>
        <w:rPr>
          <w:w w:val="105"/>
          <w:sz w:val="21"/>
        </w:rPr>
        <w:t>most </w:t>
      </w:r>
      <w:r>
        <w:rPr>
          <w:spacing w:val="-3"/>
          <w:w w:val="105"/>
          <w:sz w:val="21"/>
        </w:rPr>
        <w:t>disputes are </w:t>
      </w:r>
      <w:r>
        <w:rPr>
          <w:w w:val="105"/>
          <w:sz w:val="21"/>
        </w:rPr>
        <w:t>resolved—81 per  </w:t>
      </w:r>
      <w:r>
        <w:rPr>
          <w:spacing w:val="-3"/>
          <w:w w:val="105"/>
          <w:sz w:val="21"/>
        </w:rPr>
        <w:t>cent </w:t>
      </w:r>
      <w:r>
        <w:rPr>
          <w:w w:val="105"/>
          <w:sz w:val="21"/>
        </w:rPr>
        <w:t>in </w:t>
      </w:r>
      <w:r>
        <w:rPr>
          <w:spacing w:val="-8"/>
          <w:w w:val="105"/>
          <w:sz w:val="21"/>
        </w:rPr>
        <w:t>2017–18.</w:t>
      </w:r>
      <w:r>
        <w:rPr>
          <w:spacing w:val="-8"/>
          <w:w w:val="105"/>
          <w:position w:val="7"/>
          <w:sz w:val="12"/>
        </w:rPr>
        <w:t>8 </w:t>
      </w:r>
      <w:r>
        <w:rPr>
          <w:spacing w:val="-4"/>
          <w:w w:val="105"/>
          <w:sz w:val="21"/>
        </w:rPr>
        <w:t>However, </w:t>
      </w:r>
      <w:r>
        <w:rPr>
          <w:w w:val="105"/>
          <w:sz w:val="21"/>
        </w:rPr>
        <w:t>the NSWLEC </w:t>
      </w:r>
      <w:r>
        <w:rPr>
          <w:spacing w:val="-3"/>
          <w:w w:val="105"/>
          <w:sz w:val="21"/>
        </w:rPr>
        <w:t>noted that approximately half </w:t>
      </w:r>
      <w:r>
        <w:rPr>
          <w:w w:val="105"/>
          <w:sz w:val="21"/>
        </w:rPr>
        <w:t>the applicants provide the </w:t>
      </w:r>
      <w:r>
        <w:rPr>
          <w:spacing w:val="-3"/>
          <w:w w:val="105"/>
          <w:sz w:val="21"/>
        </w:rPr>
        <w:t>Court </w:t>
      </w:r>
      <w:r>
        <w:rPr>
          <w:w w:val="105"/>
          <w:sz w:val="21"/>
        </w:rPr>
        <w:t>with a letter </w:t>
      </w:r>
      <w:r>
        <w:rPr>
          <w:spacing w:val="-3"/>
          <w:w w:val="105"/>
          <w:sz w:val="21"/>
        </w:rPr>
        <w:t>from </w:t>
      </w:r>
      <w:r>
        <w:rPr>
          <w:w w:val="105"/>
          <w:sz w:val="21"/>
        </w:rPr>
        <w:t>the CJC stating </w:t>
      </w:r>
      <w:r>
        <w:rPr>
          <w:spacing w:val="-3"/>
          <w:w w:val="105"/>
          <w:sz w:val="21"/>
        </w:rPr>
        <w:t>that </w:t>
      </w:r>
      <w:r>
        <w:rPr>
          <w:w w:val="105"/>
          <w:sz w:val="21"/>
        </w:rPr>
        <w:t>the </w:t>
      </w:r>
      <w:r>
        <w:rPr>
          <w:spacing w:val="-3"/>
          <w:w w:val="105"/>
          <w:sz w:val="21"/>
        </w:rPr>
        <w:t>neighbour refused to </w:t>
      </w:r>
      <w:r>
        <w:rPr>
          <w:w w:val="105"/>
          <w:sz w:val="21"/>
        </w:rPr>
        <w:t>participate in voluntary</w:t>
      </w:r>
      <w:r>
        <w:rPr>
          <w:spacing w:val="13"/>
          <w:w w:val="105"/>
          <w:sz w:val="21"/>
        </w:rPr>
        <w:t> </w:t>
      </w:r>
      <w:r>
        <w:rPr>
          <w:spacing w:val="-3"/>
          <w:w w:val="105"/>
          <w:sz w:val="21"/>
        </w:rPr>
        <w:t>mediation.</w:t>
      </w:r>
      <w:r>
        <w:rPr>
          <w:spacing w:val="-3"/>
          <w:w w:val="105"/>
          <w:position w:val="7"/>
          <w:sz w:val="12"/>
        </w:rPr>
        <w:t>9</w:t>
      </w:r>
    </w:p>
    <w:p>
      <w:pPr>
        <w:pStyle w:val="ListParagraph"/>
        <w:numPr>
          <w:ilvl w:val="1"/>
          <w:numId w:val="16"/>
        </w:numPr>
        <w:tabs>
          <w:tab w:pos="2381" w:val="left" w:leader="none"/>
          <w:tab w:pos="2382" w:val="left" w:leader="none"/>
        </w:tabs>
        <w:spacing w:line="242" w:lineRule="auto" w:before="130" w:after="0"/>
        <w:ind w:left="2381" w:right="1886" w:hanging="794"/>
        <w:jc w:val="left"/>
        <w:rPr>
          <w:sz w:val="21"/>
        </w:rPr>
      </w:pPr>
      <w:r>
        <w:rPr>
          <w:sz w:val="21"/>
        </w:rPr>
        <w:t>In </w:t>
      </w:r>
      <w:r>
        <w:rPr>
          <w:spacing w:val="-5"/>
          <w:sz w:val="21"/>
        </w:rPr>
        <w:t>Tasmania, </w:t>
      </w:r>
      <w:r>
        <w:rPr>
          <w:spacing w:val="-3"/>
          <w:sz w:val="21"/>
        </w:rPr>
        <w:t>private </w:t>
      </w:r>
      <w:r>
        <w:rPr>
          <w:sz w:val="21"/>
        </w:rPr>
        <w:t>and </w:t>
      </w:r>
      <w:r>
        <w:rPr>
          <w:spacing w:val="-3"/>
          <w:sz w:val="21"/>
        </w:rPr>
        <w:t>government organisations  </w:t>
      </w:r>
      <w:r>
        <w:rPr>
          <w:sz w:val="21"/>
        </w:rPr>
        <w:t>provide  mediation  </w:t>
      </w:r>
      <w:r>
        <w:rPr>
          <w:spacing w:val="-4"/>
          <w:sz w:val="21"/>
        </w:rPr>
        <w:t>services.</w:t>
      </w:r>
      <w:r>
        <w:rPr>
          <w:spacing w:val="-4"/>
          <w:position w:val="7"/>
          <w:sz w:val="12"/>
        </w:rPr>
        <w:t>10</w:t>
      </w:r>
      <w:r>
        <w:rPr>
          <w:spacing w:val="-4"/>
          <w:sz w:val="12"/>
        </w:rPr>
        <w:t> </w:t>
      </w:r>
      <w:r>
        <w:rPr>
          <w:spacing w:val="-4"/>
          <w:sz w:val="21"/>
        </w:rPr>
        <w:t>However, </w:t>
      </w:r>
      <w:r>
        <w:rPr>
          <w:sz w:val="21"/>
        </w:rPr>
        <w:t>there is a lack of free </w:t>
      </w:r>
      <w:r>
        <w:rPr>
          <w:spacing w:val="-3"/>
          <w:sz w:val="21"/>
        </w:rPr>
        <w:t>alternative dispute </w:t>
      </w:r>
      <w:r>
        <w:rPr>
          <w:sz w:val="21"/>
        </w:rPr>
        <w:t>resolution (ADR) services </w:t>
      </w:r>
      <w:r>
        <w:rPr>
          <w:spacing w:val="-3"/>
          <w:sz w:val="21"/>
        </w:rPr>
        <w:t>for </w:t>
      </w:r>
      <w:r>
        <w:rPr>
          <w:sz w:val="21"/>
        </w:rPr>
        <w:t>general </w:t>
      </w:r>
      <w:r>
        <w:rPr>
          <w:spacing w:val="-3"/>
          <w:sz w:val="21"/>
        </w:rPr>
        <w:t>disputes </w:t>
      </w:r>
      <w:r>
        <w:rPr>
          <w:sz w:val="21"/>
        </w:rPr>
        <w:t>in</w:t>
      </w:r>
      <w:r>
        <w:rPr>
          <w:spacing w:val="20"/>
          <w:sz w:val="21"/>
        </w:rPr>
        <w:t> </w:t>
      </w:r>
      <w:r>
        <w:rPr>
          <w:spacing w:val="-7"/>
          <w:sz w:val="21"/>
        </w:rPr>
        <w:t>Tasmania.</w:t>
      </w:r>
      <w:r>
        <w:rPr>
          <w:spacing w:val="-7"/>
          <w:position w:val="7"/>
          <w:sz w:val="12"/>
        </w:rPr>
        <w:t>11</w:t>
      </w:r>
    </w:p>
    <w:p>
      <w:pPr>
        <w:pStyle w:val="BodyText"/>
        <w:spacing w:before="3"/>
        <w:rPr>
          <w:sz w:val="20"/>
        </w:rPr>
      </w:pPr>
    </w:p>
    <w:p>
      <w:pPr>
        <w:pStyle w:val="Heading5"/>
      </w:pPr>
      <w:r>
        <w:rPr>
          <w:w w:val="115"/>
        </w:rPr>
        <w:t>Abatement</w:t>
      </w:r>
    </w:p>
    <w:p>
      <w:pPr>
        <w:pStyle w:val="ListParagraph"/>
        <w:numPr>
          <w:ilvl w:val="1"/>
          <w:numId w:val="16"/>
        </w:numPr>
        <w:tabs>
          <w:tab w:pos="2381" w:val="left" w:leader="none"/>
          <w:tab w:pos="2382" w:val="left" w:leader="none"/>
        </w:tabs>
        <w:spacing w:line="242" w:lineRule="auto" w:before="138" w:after="0"/>
        <w:ind w:left="2381" w:right="1645" w:hanging="794"/>
        <w:jc w:val="left"/>
        <w:rPr>
          <w:sz w:val="21"/>
        </w:rPr>
      </w:pPr>
      <w:r>
        <w:rPr>
          <w:w w:val="105"/>
          <w:sz w:val="21"/>
        </w:rPr>
        <w:t>The</w:t>
      </w:r>
      <w:r>
        <w:rPr>
          <w:spacing w:val="-6"/>
          <w:w w:val="105"/>
          <w:sz w:val="21"/>
        </w:rPr>
        <w:t> </w:t>
      </w:r>
      <w:r>
        <w:rPr>
          <w:spacing w:val="-2"/>
          <w:w w:val="105"/>
          <w:sz w:val="21"/>
        </w:rPr>
        <w:t>common</w:t>
      </w:r>
      <w:r>
        <w:rPr>
          <w:spacing w:val="-5"/>
          <w:w w:val="105"/>
          <w:sz w:val="21"/>
        </w:rPr>
        <w:t> </w:t>
      </w:r>
      <w:r>
        <w:rPr>
          <w:w w:val="105"/>
          <w:sz w:val="21"/>
        </w:rPr>
        <w:t>law</w:t>
      </w:r>
      <w:r>
        <w:rPr>
          <w:spacing w:val="-5"/>
          <w:w w:val="105"/>
          <w:sz w:val="21"/>
        </w:rPr>
        <w:t> </w:t>
      </w:r>
      <w:r>
        <w:rPr>
          <w:w w:val="105"/>
          <w:sz w:val="21"/>
        </w:rPr>
        <w:t>self-help</w:t>
      </w:r>
      <w:r>
        <w:rPr>
          <w:spacing w:val="-5"/>
          <w:w w:val="105"/>
          <w:sz w:val="21"/>
        </w:rPr>
        <w:t> </w:t>
      </w:r>
      <w:r>
        <w:rPr>
          <w:w w:val="105"/>
          <w:sz w:val="21"/>
        </w:rPr>
        <w:t>remedy</w:t>
      </w:r>
      <w:r>
        <w:rPr>
          <w:spacing w:val="-5"/>
          <w:w w:val="105"/>
          <w:sz w:val="21"/>
        </w:rPr>
        <w:t> </w:t>
      </w:r>
      <w:r>
        <w:rPr>
          <w:w w:val="105"/>
          <w:sz w:val="21"/>
        </w:rPr>
        <w:t>of</w:t>
      </w:r>
      <w:r>
        <w:rPr>
          <w:spacing w:val="-6"/>
          <w:w w:val="105"/>
          <w:sz w:val="21"/>
        </w:rPr>
        <w:t> </w:t>
      </w:r>
      <w:r>
        <w:rPr>
          <w:spacing w:val="-3"/>
          <w:w w:val="105"/>
          <w:sz w:val="21"/>
        </w:rPr>
        <w:t>abatement</w:t>
      </w:r>
      <w:r>
        <w:rPr>
          <w:spacing w:val="-5"/>
          <w:w w:val="105"/>
          <w:sz w:val="21"/>
        </w:rPr>
        <w:t> </w:t>
      </w:r>
      <w:r>
        <w:rPr>
          <w:w w:val="105"/>
          <w:sz w:val="21"/>
        </w:rPr>
        <w:t>allows</w:t>
      </w:r>
      <w:r>
        <w:rPr>
          <w:spacing w:val="-5"/>
          <w:w w:val="105"/>
          <w:sz w:val="21"/>
        </w:rPr>
        <w:t> </w:t>
      </w:r>
      <w:r>
        <w:rPr>
          <w:w w:val="105"/>
          <w:sz w:val="21"/>
        </w:rPr>
        <w:t>an</w:t>
      </w:r>
      <w:r>
        <w:rPr>
          <w:spacing w:val="-5"/>
          <w:w w:val="105"/>
          <w:sz w:val="21"/>
        </w:rPr>
        <w:t> </w:t>
      </w:r>
      <w:r>
        <w:rPr>
          <w:w w:val="105"/>
          <w:sz w:val="21"/>
        </w:rPr>
        <w:t>affected</w:t>
      </w:r>
      <w:r>
        <w:rPr>
          <w:spacing w:val="-5"/>
          <w:w w:val="105"/>
          <w:sz w:val="21"/>
        </w:rPr>
        <w:t> </w:t>
      </w:r>
      <w:r>
        <w:rPr>
          <w:spacing w:val="-3"/>
          <w:w w:val="105"/>
          <w:sz w:val="21"/>
        </w:rPr>
        <w:t>neighbour</w:t>
      </w:r>
      <w:r>
        <w:rPr>
          <w:spacing w:val="-6"/>
          <w:w w:val="105"/>
          <w:sz w:val="21"/>
        </w:rPr>
        <w:t> </w:t>
      </w:r>
      <w:r>
        <w:rPr>
          <w:spacing w:val="-3"/>
          <w:w w:val="105"/>
          <w:sz w:val="21"/>
        </w:rPr>
        <w:t>to</w:t>
      </w:r>
      <w:r>
        <w:rPr>
          <w:spacing w:val="-5"/>
          <w:w w:val="105"/>
          <w:sz w:val="21"/>
        </w:rPr>
        <w:t> </w:t>
      </w:r>
      <w:r>
        <w:rPr>
          <w:spacing w:val="-3"/>
          <w:w w:val="105"/>
          <w:sz w:val="21"/>
        </w:rPr>
        <w:t>remove </w:t>
      </w:r>
      <w:r>
        <w:rPr>
          <w:w w:val="105"/>
          <w:sz w:val="21"/>
        </w:rPr>
        <w:t>parts of a tree </w:t>
      </w:r>
      <w:r>
        <w:rPr>
          <w:spacing w:val="-3"/>
          <w:w w:val="105"/>
          <w:sz w:val="21"/>
        </w:rPr>
        <w:t>that encroach onto </w:t>
      </w:r>
      <w:r>
        <w:rPr>
          <w:w w:val="105"/>
          <w:sz w:val="21"/>
        </w:rPr>
        <w:t>their </w:t>
      </w:r>
      <w:r>
        <w:rPr>
          <w:spacing w:val="-3"/>
          <w:w w:val="105"/>
          <w:sz w:val="21"/>
        </w:rPr>
        <w:t>land </w:t>
      </w:r>
      <w:r>
        <w:rPr>
          <w:w w:val="105"/>
          <w:sz w:val="21"/>
        </w:rPr>
        <w:t>up </w:t>
      </w:r>
      <w:r>
        <w:rPr>
          <w:spacing w:val="-3"/>
          <w:w w:val="105"/>
          <w:sz w:val="21"/>
        </w:rPr>
        <w:t>to </w:t>
      </w:r>
      <w:r>
        <w:rPr>
          <w:w w:val="105"/>
          <w:sz w:val="21"/>
        </w:rPr>
        <w:t>their boundary</w:t>
      </w:r>
      <w:r>
        <w:rPr>
          <w:spacing w:val="47"/>
          <w:w w:val="105"/>
          <w:sz w:val="21"/>
        </w:rPr>
        <w:t> </w:t>
      </w:r>
      <w:r>
        <w:rPr>
          <w:spacing w:val="-4"/>
          <w:w w:val="105"/>
          <w:sz w:val="21"/>
        </w:rPr>
        <w:t>line.</w:t>
      </w:r>
    </w:p>
    <w:p>
      <w:pPr>
        <w:pStyle w:val="ListParagraph"/>
        <w:numPr>
          <w:ilvl w:val="1"/>
          <w:numId w:val="16"/>
        </w:numPr>
        <w:tabs>
          <w:tab w:pos="2380" w:val="left" w:leader="none"/>
          <w:tab w:pos="2381" w:val="left" w:leader="none"/>
        </w:tabs>
        <w:spacing w:line="242" w:lineRule="auto" w:before="122" w:after="0"/>
        <w:ind w:left="2381" w:right="1884" w:hanging="794"/>
        <w:jc w:val="left"/>
        <w:rPr>
          <w:sz w:val="21"/>
        </w:rPr>
      </w:pPr>
      <w:r>
        <w:rPr>
          <w:sz w:val="21"/>
        </w:rPr>
        <w:t>The remedy of </w:t>
      </w:r>
      <w:r>
        <w:rPr>
          <w:spacing w:val="-3"/>
          <w:sz w:val="21"/>
        </w:rPr>
        <w:t>abatement </w:t>
      </w:r>
      <w:r>
        <w:rPr>
          <w:spacing w:val="-2"/>
          <w:sz w:val="21"/>
        </w:rPr>
        <w:t>has not </w:t>
      </w:r>
      <w:r>
        <w:rPr>
          <w:sz w:val="21"/>
        </w:rPr>
        <w:t>been modified under the NSW </w:t>
      </w:r>
      <w:r>
        <w:rPr>
          <w:spacing w:val="-5"/>
          <w:sz w:val="21"/>
        </w:rPr>
        <w:t>Act.</w:t>
      </w:r>
      <w:r>
        <w:rPr>
          <w:spacing w:val="-5"/>
          <w:position w:val="7"/>
          <w:sz w:val="12"/>
        </w:rPr>
        <w:t>12 </w:t>
      </w:r>
      <w:r>
        <w:rPr>
          <w:sz w:val="21"/>
        </w:rPr>
        <w:t>An affected </w:t>
      </w:r>
      <w:r>
        <w:rPr>
          <w:spacing w:val="-3"/>
          <w:sz w:val="21"/>
        </w:rPr>
        <w:t>neighbour </w:t>
      </w:r>
      <w:r>
        <w:rPr>
          <w:sz w:val="21"/>
        </w:rPr>
        <w:t>is entitled </w:t>
      </w:r>
      <w:r>
        <w:rPr>
          <w:spacing w:val="-3"/>
          <w:sz w:val="21"/>
        </w:rPr>
        <w:t>to </w:t>
      </w:r>
      <w:r>
        <w:rPr>
          <w:sz w:val="21"/>
        </w:rPr>
        <w:t>trim </w:t>
      </w:r>
      <w:r>
        <w:rPr>
          <w:spacing w:val="-3"/>
          <w:sz w:val="21"/>
        </w:rPr>
        <w:t>overhanging branches </w:t>
      </w:r>
      <w:r>
        <w:rPr>
          <w:sz w:val="21"/>
        </w:rPr>
        <w:t>up </w:t>
      </w:r>
      <w:r>
        <w:rPr>
          <w:spacing w:val="-3"/>
          <w:sz w:val="21"/>
        </w:rPr>
        <w:t>to </w:t>
      </w:r>
      <w:r>
        <w:rPr>
          <w:sz w:val="21"/>
        </w:rPr>
        <w:t>boundary </w:t>
      </w:r>
      <w:r>
        <w:rPr>
          <w:spacing w:val="-3"/>
          <w:sz w:val="21"/>
        </w:rPr>
        <w:t>lines </w:t>
      </w:r>
      <w:r>
        <w:rPr>
          <w:sz w:val="21"/>
        </w:rPr>
        <w:t>or </w:t>
      </w:r>
      <w:r>
        <w:rPr>
          <w:spacing w:val="-3"/>
          <w:sz w:val="21"/>
        </w:rPr>
        <w:t>install </w:t>
      </w:r>
      <w:r>
        <w:rPr>
          <w:sz w:val="21"/>
        </w:rPr>
        <w:t>root barriers on boundary </w:t>
      </w:r>
      <w:r>
        <w:rPr>
          <w:spacing w:val="-3"/>
          <w:sz w:val="21"/>
        </w:rPr>
        <w:t>lines. </w:t>
      </w:r>
      <w:r>
        <w:rPr>
          <w:sz w:val="21"/>
        </w:rPr>
        <w:t>Any trimmed </w:t>
      </w:r>
      <w:r>
        <w:rPr>
          <w:spacing w:val="-3"/>
          <w:sz w:val="21"/>
        </w:rPr>
        <w:t>branches </w:t>
      </w:r>
      <w:r>
        <w:rPr>
          <w:sz w:val="21"/>
        </w:rPr>
        <w:t>must be </w:t>
      </w:r>
      <w:r>
        <w:rPr>
          <w:spacing w:val="-3"/>
          <w:sz w:val="21"/>
        </w:rPr>
        <w:t>returned to </w:t>
      </w:r>
      <w:r>
        <w:rPr>
          <w:sz w:val="21"/>
        </w:rPr>
        <w:t>the tree </w:t>
      </w:r>
      <w:r>
        <w:rPr>
          <w:spacing w:val="-4"/>
          <w:sz w:val="21"/>
        </w:rPr>
        <w:t>owner. </w:t>
      </w:r>
      <w:r>
        <w:rPr>
          <w:sz w:val="21"/>
        </w:rPr>
        <w:t>The </w:t>
      </w:r>
      <w:r>
        <w:rPr>
          <w:spacing w:val="-3"/>
          <w:sz w:val="21"/>
        </w:rPr>
        <w:t>neighbour </w:t>
      </w:r>
      <w:r>
        <w:rPr>
          <w:sz w:val="21"/>
        </w:rPr>
        <w:t>does </w:t>
      </w:r>
      <w:r>
        <w:rPr>
          <w:spacing w:val="-2"/>
          <w:sz w:val="21"/>
        </w:rPr>
        <w:t>not </w:t>
      </w:r>
      <w:r>
        <w:rPr>
          <w:spacing w:val="-3"/>
          <w:sz w:val="21"/>
        </w:rPr>
        <w:t>have to </w:t>
      </w:r>
      <w:r>
        <w:rPr>
          <w:sz w:val="21"/>
        </w:rPr>
        <w:t>provide </w:t>
      </w:r>
      <w:r>
        <w:rPr>
          <w:spacing w:val="-3"/>
          <w:sz w:val="21"/>
        </w:rPr>
        <w:t>notice before </w:t>
      </w:r>
      <w:r>
        <w:rPr>
          <w:sz w:val="21"/>
        </w:rPr>
        <w:t>carrying out </w:t>
      </w:r>
      <w:r>
        <w:rPr>
          <w:spacing w:val="-3"/>
          <w:sz w:val="21"/>
        </w:rPr>
        <w:t>abatement.  </w:t>
      </w:r>
      <w:r>
        <w:rPr>
          <w:sz w:val="21"/>
        </w:rPr>
        <w:t>An affected </w:t>
      </w:r>
      <w:r>
        <w:rPr>
          <w:spacing w:val="-3"/>
          <w:sz w:val="21"/>
        </w:rPr>
        <w:t>neighbour’s right to abate  may  </w:t>
      </w:r>
      <w:r>
        <w:rPr>
          <w:sz w:val="21"/>
        </w:rPr>
        <w:t>be </w:t>
      </w:r>
      <w:r>
        <w:rPr>
          <w:spacing w:val="-3"/>
          <w:sz w:val="21"/>
        </w:rPr>
        <w:t>limited</w:t>
      </w:r>
      <w:r>
        <w:rPr>
          <w:spacing w:val="41"/>
          <w:sz w:val="21"/>
        </w:rPr>
        <w:t> </w:t>
      </w:r>
      <w:r>
        <w:rPr>
          <w:sz w:val="21"/>
        </w:rPr>
        <w:t>by </w:t>
      </w:r>
      <w:r>
        <w:rPr>
          <w:spacing w:val="-3"/>
          <w:sz w:val="21"/>
        </w:rPr>
        <w:t>environmental  planning  </w:t>
      </w:r>
      <w:r>
        <w:rPr>
          <w:spacing w:val="-4"/>
          <w:sz w:val="21"/>
        </w:rPr>
        <w:t>policies</w:t>
      </w:r>
      <w:r>
        <w:rPr>
          <w:spacing w:val="-4"/>
          <w:position w:val="7"/>
          <w:sz w:val="12"/>
        </w:rPr>
        <w:t>13</w:t>
      </w:r>
      <w:r>
        <w:rPr>
          <w:spacing w:val="-4"/>
          <w:sz w:val="12"/>
        </w:rPr>
        <w:t> </w:t>
      </w:r>
      <w:r>
        <w:rPr>
          <w:sz w:val="21"/>
        </w:rPr>
        <w:t>or </w:t>
      </w:r>
      <w:r>
        <w:rPr>
          <w:spacing w:val="-5"/>
          <w:sz w:val="21"/>
        </w:rPr>
        <w:t>Tree </w:t>
      </w:r>
      <w:r>
        <w:rPr>
          <w:sz w:val="21"/>
        </w:rPr>
        <w:t>Preservation Orders in New South </w:t>
      </w:r>
      <w:r>
        <w:rPr>
          <w:spacing w:val="-6"/>
          <w:sz w:val="21"/>
        </w:rPr>
        <w:t>Wales.</w:t>
      </w:r>
      <w:r>
        <w:rPr>
          <w:spacing w:val="-6"/>
          <w:position w:val="7"/>
          <w:sz w:val="12"/>
        </w:rPr>
        <w:t>14 </w:t>
      </w:r>
      <w:r>
        <w:rPr>
          <w:sz w:val="21"/>
        </w:rPr>
        <w:t>If these protections </w:t>
      </w:r>
      <w:r>
        <w:rPr>
          <w:spacing w:val="-4"/>
          <w:sz w:val="21"/>
        </w:rPr>
        <w:t>apply, </w:t>
      </w:r>
      <w:r>
        <w:rPr>
          <w:spacing w:val="-3"/>
          <w:sz w:val="21"/>
        </w:rPr>
        <w:t>council </w:t>
      </w:r>
      <w:r>
        <w:rPr>
          <w:sz w:val="21"/>
        </w:rPr>
        <w:t>authorisation</w:t>
      </w:r>
      <w:r>
        <w:rPr>
          <w:spacing w:val="10"/>
          <w:sz w:val="21"/>
        </w:rPr>
        <w:t> </w:t>
      </w:r>
      <w:r>
        <w:rPr>
          <w:spacing w:val="-3"/>
          <w:sz w:val="21"/>
        </w:rPr>
        <w:t>may</w:t>
      </w:r>
      <w:r>
        <w:rPr>
          <w:spacing w:val="10"/>
          <w:sz w:val="21"/>
        </w:rPr>
        <w:t> </w:t>
      </w:r>
      <w:r>
        <w:rPr>
          <w:sz w:val="21"/>
        </w:rPr>
        <w:t>be</w:t>
      </w:r>
      <w:r>
        <w:rPr>
          <w:spacing w:val="10"/>
          <w:sz w:val="21"/>
        </w:rPr>
        <w:t> </w:t>
      </w:r>
      <w:r>
        <w:rPr>
          <w:spacing w:val="-3"/>
          <w:sz w:val="21"/>
        </w:rPr>
        <w:t>required</w:t>
      </w:r>
      <w:r>
        <w:rPr>
          <w:spacing w:val="10"/>
          <w:sz w:val="21"/>
        </w:rPr>
        <w:t> </w:t>
      </w:r>
      <w:r>
        <w:rPr>
          <w:spacing w:val="-3"/>
          <w:sz w:val="21"/>
        </w:rPr>
        <w:t>to</w:t>
      </w:r>
      <w:r>
        <w:rPr>
          <w:spacing w:val="10"/>
          <w:sz w:val="21"/>
        </w:rPr>
        <w:t> </w:t>
      </w:r>
      <w:r>
        <w:rPr>
          <w:sz w:val="21"/>
        </w:rPr>
        <w:t>carry</w:t>
      </w:r>
      <w:r>
        <w:rPr>
          <w:spacing w:val="11"/>
          <w:sz w:val="21"/>
        </w:rPr>
        <w:t> </w:t>
      </w:r>
      <w:r>
        <w:rPr>
          <w:sz w:val="21"/>
        </w:rPr>
        <w:t>out</w:t>
      </w:r>
      <w:r>
        <w:rPr>
          <w:spacing w:val="10"/>
          <w:sz w:val="21"/>
        </w:rPr>
        <w:t> </w:t>
      </w:r>
      <w:r>
        <w:rPr>
          <w:sz w:val="21"/>
        </w:rPr>
        <w:t>works</w:t>
      </w:r>
      <w:r>
        <w:rPr>
          <w:spacing w:val="10"/>
          <w:sz w:val="21"/>
        </w:rPr>
        <w:t> </w:t>
      </w:r>
      <w:r>
        <w:rPr>
          <w:spacing w:val="-3"/>
          <w:sz w:val="21"/>
        </w:rPr>
        <w:t>to</w:t>
      </w:r>
      <w:r>
        <w:rPr>
          <w:spacing w:val="10"/>
          <w:sz w:val="21"/>
        </w:rPr>
        <w:t> </w:t>
      </w:r>
      <w:r>
        <w:rPr>
          <w:sz w:val="21"/>
        </w:rPr>
        <w:t>the</w:t>
      </w:r>
      <w:r>
        <w:rPr>
          <w:spacing w:val="10"/>
          <w:sz w:val="21"/>
        </w:rPr>
        <w:t> </w:t>
      </w:r>
      <w:r>
        <w:rPr>
          <w:spacing w:val="-7"/>
          <w:sz w:val="21"/>
        </w:rPr>
        <w:t>tree.</w:t>
      </w:r>
      <w:r>
        <w:rPr>
          <w:spacing w:val="-7"/>
          <w:position w:val="7"/>
          <w:sz w:val="12"/>
        </w:rPr>
        <w:t>15</w:t>
      </w:r>
    </w:p>
    <w:p>
      <w:pPr>
        <w:pStyle w:val="ListParagraph"/>
        <w:numPr>
          <w:ilvl w:val="1"/>
          <w:numId w:val="16"/>
        </w:numPr>
        <w:tabs>
          <w:tab w:pos="2381" w:val="left" w:leader="none"/>
          <w:tab w:pos="2382" w:val="left" w:leader="none"/>
        </w:tabs>
        <w:spacing w:line="242" w:lineRule="auto" w:before="128" w:after="0"/>
        <w:ind w:left="2381" w:right="1892" w:hanging="794"/>
        <w:jc w:val="left"/>
        <w:rPr>
          <w:sz w:val="21"/>
        </w:rPr>
      </w:pPr>
      <w:r>
        <w:rPr>
          <w:w w:val="105"/>
          <w:sz w:val="21"/>
        </w:rPr>
        <w:t>The </w:t>
      </w:r>
      <w:r>
        <w:rPr>
          <w:spacing w:val="-3"/>
          <w:w w:val="105"/>
          <w:sz w:val="21"/>
        </w:rPr>
        <w:t>Queensland </w:t>
      </w:r>
      <w:r>
        <w:rPr>
          <w:w w:val="105"/>
          <w:sz w:val="21"/>
        </w:rPr>
        <w:t>Act modifies the </w:t>
      </w:r>
      <w:r>
        <w:rPr>
          <w:spacing w:val="-2"/>
          <w:w w:val="105"/>
          <w:sz w:val="21"/>
        </w:rPr>
        <w:t>common </w:t>
      </w:r>
      <w:r>
        <w:rPr>
          <w:w w:val="105"/>
          <w:sz w:val="21"/>
        </w:rPr>
        <w:t>law </w:t>
      </w:r>
      <w:r>
        <w:rPr>
          <w:spacing w:val="-3"/>
          <w:w w:val="105"/>
          <w:sz w:val="21"/>
        </w:rPr>
        <w:t>right to abatement to </w:t>
      </w:r>
      <w:r>
        <w:rPr>
          <w:w w:val="105"/>
          <w:sz w:val="21"/>
        </w:rPr>
        <w:t>the extent </w:t>
      </w:r>
      <w:r>
        <w:rPr>
          <w:spacing w:val="-3"/>
          <w:w w:val="105"/>
          <w:sz w:val="21"/>
        </w:rPr>
        <w:t>that </w:t>
      </w:r>
      <w:r>
        <w:rPr>
          <w:w w:val="105"/>
          <w:sz w:val="21"/>
        </w:rPr>
        <w:t>the affected </w:t>
      </w:r>
      <w:r>
        <w:rPr>
          <w:spacing w:val="-3"/>
          <w:w w:val="105"/>
          <w:sz w:val="21"/>
        </w:rPr>
        <w:t>neighbour </w:t>
      </w:r>
      <w:r>
        <w:rPr>
          <w:w w:val="105"/>
          <w:sz w:val="21"/>
        </w:rPr>
        <w:t>can now choose whether or </w:t>
      </w:r>
      <w:r>
        <w:rPr>
          <w:spacing w:val="-2"/>
          <w:w w:val="105"/>
          <w:sz w:val="21"/>
        </w:rPr>
        <w:t>not </w:t>
      </w:r>
      <w:r>
        <w:rPr>
          <w:spacing w:val="-3"/>
          <w:w w:val="105"/>
          <w:sz w:val="21"/>
        </w:rPr>
        <w:t>to return </w:t>
      </w:r>
      <w:r>
        <w:rPr>
          <w:spacing w:val="-2"/>
          <w:w w:val="105"/>
          <w:sz w:val="21"/>
        </w:rPr>
        <w:t>abated </w:t>
      </w:r>
      <w:r>
        <w:rPr>
          <w:w w:val="105"/>
          <w:sz w:val="21"/>
        </w:rPr>
        <w:t>parts of the tree</w:t>
      </w:r>
      <w:r>
        <w:rPr>
          <w:spacing w:val="-7"/>
          <w:w w:val="105"/>
          <w:sz w:val="21"/>
        </w:rPr>
        <w:t> </w:t>
      </w:r>
      <w:r>
        <w:rPr>
          <w:spacing w:val="-3"/>
          <w:w w:val="105"/>
          <w:sz w:val="21"/>
        </w:rPr>
        <w:t>to</w:t>
      </w:r>
      <w:r>
        <w:rPr>
          <w:spacing w:val="-8"/>
          <w:w w:val="105"/>
          <w:sz w:val="21"/>
        </w:rPr>
        <w:t> </w:t>
      </w:r>
      <w:r>
        <w:rPr>
          <w:w w:val="105"/>
          <w:sz w:val="21"/>
        </w:rPr>
        <w:t>the</w:t>
      </w:r>
      <w:r>
        <w:rPr>
          <w:spacing w:val="-7"/>
          <w:w w:val="105"/>
          <w:sz w:val="21"/>
        </w:rPr>
        <w:t> </w:t>
      </w:r>
      <w:r>
        <w:rPr>
          <w:w w:val="105"/>
          <w:sz w:val="21"/>
        </w:rPr>
        <w:t>tree</w:t>
      </w:r>
      <w:r>
        <w:rPr>
          <w:spacing w:val="-7"/>
          <w:w w:val="105"/>
          <w:sz w:val="21"/>
        </w:rPr>
        <w:t> </w:t>
      </w:r>
      <w:r>
        <w:rPr>
          <w:spacing w:val="-4"/>
          <w:w w:val="105"/>
          <w:sz w:val="21"/>
        </w:rPr>
        <w:t>owner,</w:t>
      </w:r>
      <w:r>
        <w:rPr>
          <w:spacing w:val="-7"/>
          <w:w w:val="105"/>
          <w:sz w:val="21"/>
        </w:rPr>
        <w:t> </w:t>
      </w:r>
      <w:r>
        <w:rPr>
          <w:spacing w:val="-3"/>
          <w:w w:val="105"/>
          <w:sz w:val="21"/>
        </w:rPr>
        <w:t>including</w:t>
      </w:r>
      <w:r>
        <w:rPr>
          <w:spacing w:val="-7"/>
          <w:w w:val="105"/>
          <w:sz w:val="21"/>
        </w:rPr>
        <w:t> </w:t>
      </w:r>
      <w:r>
        <w:rPr>
          <w:spacing w:val="-5"/>
          <w:w w:val="105"/>
          <w:sz w:val="21"/>
        </w:rPr>
        <w:t>fruit.</w:t>
      </w:r>
      <w:r>
        <w:rPr>
          <w:spacing w:val="-5"/>
          <w:w w:val="105"/>
          <w:position w:val="7"/>
          <w:sz w:val="12"/>
        </w:rPr>
        <w:t>16</w:t>
      </w:r>
      <w:r>
        <w:rPr>
          <w:spacing w:val="16"/>
          <w:w w:val="105"/>
          <w:position w:val="7"/>
          <w:sz w:val="12"/>
        </w:rPr>
        <w:t> </w:t>
      </w:r>
      <w:r>
        <w:rPr>
          <w:w w:val="105"/>
          <w:sz w:val="21"/>
        </w:rPr>
        <w:t>This</w:t>
      </w:r>
      <w:r>
        <w:rPr>
          <w:spacing w:val="-7"/>
          <w:w w:val="105"/>
          <w:sz w:val="21"/>
        </w:rPr>
        <w:t> </w:t>
      </w:r>
      <w:r>
        <w:rPr>
          <w:w w:val="105"/>
          <w:sz w:val="21"/>
        </w:rPr>
        <w:t>modification</w:t>
      </w:r>
      <w:r>
        <w:rPr>
          <w:spacing w:val="-7"/>
          <w:w w:val="105"/>
          <w:sz w:val="21"/>
        </w:rPr>
        <w:t> </w:t>
      </w:r>
      <w:r>
        <w:rPr>
          <w:w w:val="105"/>
          <w:sz w:val="21"/>
        </w:rPr>
        <w:t>only</w:t>
      </w:r>
      <w:r>
        <w:rPr>
          <w:spacing w:val="-7"/>
          <w:w w:val="105"/>
          <w:sz w:val="21"/>
        </w:rPr>
        <w:t> </w:t>
      </w:r>
      <w:r>
        <w:rPr>
          <w:w w:val="105"/>
          <w:sz w:val="21"/>
        </w:rPr>
        <w:t>applies</w:t>
      </w:r>
      <w:r>
        <w:rPr>
          <w:spacing w:val="-7"/>
          <w:w w:val="105"/>
          <w:sz w:val="21"/>
        </w:rPr>
        <w:t> </w:t>
      </w:r>
      <w:r>
        <w:rPr>
          <w:spacing w:val="-3"/>
          <w:w w:val="105"/>
          <w:sz w:val="21"/>
        </w:rPr>
        <w:t>to</w:t>
      </w:r>
      <w:r>
        <w:rPr>
          <w:spacing w:val="-7"/>
          <w:w w:val="105"/>
          <w:sz w:val="21"/>
        </w:rPr>
        <w:t> </w:t>
      </w:r>
      <w:r>
        <w:rPr>
          <w:spacing w:val="-3"/>
          <w:w w:val="105"/>
          <w:sz w:val="21"/>
        </w:rPr>
        <w:t>situations</w:t>
      </w:r>
      <w:r>
        <w:rPr>
          <w:spacing w:val="-7"/>
          <w:w w:val="105"/>
          <w:sz w:val="21"/>
        </w:rPr>
        <w:t> </w:t>
      </w:r>
      <w:r>
        <w:rPr>
          <w:spacing w:val="-3"/>
          <w:w w:val="105"/>
          <w:sz w:val="21"/>
        </w:rPr>
        <w:t>that </w:t>
      </w:r>
      <w:r>
        <w:rPr>
          <w:spacing w:val="-4"/>
          <w:w w:val="105"/>
          <w:sz w:val="21"/>
        </w:rPr>
        <w:t>fall </w:t>
      </w:r>
      <w:r>
        <w:rPr>
          <w:spacing w:val="-3"/>
          <w:w w:val="105"/>
          <w:sz w:val="21"/>
        </w:rPr>
        <w:t>within </w:t>
      </w:r>
      <w:r>
        <w:rPr>
          <w:w w:val="105"/>
          <w:sz w:val="21"/>
        </w:rPr>
        <w:t>the jurisdiction of the </w:t>
      </w:r>
      <w:r>
        <w:rPr>
          <w:spacing w:val="-3"/>
          <w:w w:val="105"/>
          <w:sz w:val="21"/>
        </w:rPr>
        <w:t>Queensland </w:t>
      </w:r>
      <w:r>
        <w:rPr>
          <w:spacing w:val="-5"/>
          <w:w w:val="105"/>
          <w:sz w:val="21"/>
        </w:rPr>
        <w:t>Act.</w:t>
      </w:r>
      <w:r>
        <w:rPr>
          <w:spacing w:val="-5"/>
          <w:w w:val="105"/>
          <w:position w:val="7"/>
          <w:sz w:val="12"/>
        </w:rPr>
        <w:t>17 </w:t>
      </w:r>
      <w:r>
        <w:rPr>
          <w:w w:val="105"/>
          <w:sz w:val="21"/>
        </w:rPr>
        <w:t>The </w:t>
      </w:r>
      <w:r>
        <w:rPr>
          <w:spacing w:val="-3"/>
          <w:w w:val="105"/>
          <w:sz w:val="21"/>
        </w:rPr>
        <w:t>right to abatement may</w:t>
      </w:r>
      <w:r>
        <w:rPr>
          <w:spacing w:val="24"/>
          <w:w w:val="105"/>
          <w:sz w:val="21"/>
        </w:rPr>
        <w:t> </w:t>
      </w:r>
      <w:r>
        <w:rPr>
          <w:w w:val="105"/>
          <w:sz w:val="21"/>
        </w:rPr>
        <w:t>also</w:t>
      </w:r>
    </w:p>
    <w:p>
      <w:pPr>
        <w:pStyle w:val="BodyText"/>
        <w:spacing w:line="242" w:lineRule="auto" w:before="4"/>
        <w:ind w:left="2381" w:right="1636"/>
        <w:rPr>
          <w:sz w:val="12"/>
        </w:rPr>
      </w:pPr>
      <w:r>
        <w:rPr/>
        <w:t>be limited by Vegetation Protection Orders and other orders imposed by local and state government to protect trees in Queensland.</w:t>
      </w:r>
      <w:r>
        <w:rPr>
          <w:position w:val="7"/>
          <w:sz w:val="12"/>
        </w:rPr>
        <w:t>18</w:t>
      </w:r>
    </w:p>
    <w:p>
      <w:pPr>
        <w:pStyle w:val="ListParagraph"/>
        <w:numPr>
          <w:ilvl w:val="1"/>
          <w:numId w:val="16"/>
        </w:numPr>
        <w:tabs>
          <w:tab w:pos="2380" w:val="left" w:leader="none"/>
          <w:tab w:pos="2382" w:val="left" w:leader="none"/>
        </w:tabs>
        <w:spacing w:line="242" w:lineRule="auto" w:before="122" w:after="0"/>
        <w:ind w:left="2381" w:right="1799" w:hanging="794"/>
        <w:jc w:val="left"/>
        <w:rPr>
          <w:sz w:val="21"/>
        </w:rPr>
      </w:pPr>
      <w:r>
        <w:rPr/>
        <w:pict>
          <v:line style="position:absolute;mso-position-horizontal-relative:page;mso-position-vertical-relative:paragraph;z-index:5744;mso-wrap-distance-left:0;mso-wrap-distance-right:0" from="79.370102pt,38.789757pt" to="515.905102pt,38.789757pt" stroked="true" strokeweight="1pt" strokecolor="#c9d2cb">
            <v:stroke dashstyle="solid"/>
            <w10:wrap type="topAndBottom"/>
          </v:line>
        </w:pict>
      </w:r>
      <w:r>
        <w:rPr>
          <w:w w:val="105"/>
          <w:sz w:val="21"/>
        </w:rPr>
        <w:t>The </w:t>
      </w:r>
      <w:r>
        <w:rPr>
          <w:spacing w:val="-4"/>
          <w:w w:val="105"/>
          <w:sz w:val="21"/>
        </w:rPr>
        <w:t>Tasmanian </w:t>
      </w:r>
      <w:r>
        <w:rPr>
          <w:w w:val="105"/>
          <w:sz w:val="21"/>
        </w:rPr>
        <w:t>Act modifies the </w:t>
      </w:r>
      <w:r>
        <w:rPr>
          <w:spacing w:val="-2"/>
          <w:w w:val="105"/>
          <w:sz w:val="21"/>
        </w:rPr>
        <w:t>common </w:t>
      </w:r>
      <w:r>
        <w:rPr>
          <w:w w:val="105"/>
          <w:sz w:val="21"/>
        </w:rPr>
        <w:t>law </w:t>
      </w:r>
      <w:r>
        <w:rPr>
          <w:spacing w:val="-3"/>
          <w:w w:val="105"/>
          <w:sz w:val="21"/>
        </w:rPr>
        <w:t>right to abatement </w:t>
      </w:r>
      <w:r>
        <w:rPr>
          <w:w w:val="105"/>
          <w:sz w:val="21"/>
        </w:rPr>
        <w:t>in a </w:t>
      </w:r>
      <w:r>
        <w:rPr>
          <w:spacing w:val="-3"/>
          <w:w w:val="105"/>
          <w:sz w:val="21"/>
        </w:rPr>
        <w:t>similar way to </w:t>
      </w:r>
      <w:r>
        <w:rPr>
          <w:w w:val="105"/>
          <w:sz w:val="21"/>
        </w:rPr>
        <w:t>the </w:t>
      </w:r>
      <w:r>
        <w:rPr>
          <w:spacing w:val="-3"/>
          <w:w w:val="105"/>
          <w:sz w:val="21"/>
        </w:rPr>
        <w:t>Queensland</w:t>
      </w:r>
      <w:r>
        <w:rPr>
          <w:spacing w:val="5"/>
          <w:w w:val="105"/>
          <w:sz w:val="21"/>
        </w:rPr>
        <w:t> </w:t>
      </w:r>
      <w:r>
        <w:rPr>
          <w:spacing w:val="-5"/>
          <w:w w:val="105"/>
          <w:sz w:val="21"/>
        </w:rPr>
        <w:t>Act.</w:t>
      </w:r>
      <w:r>
        <w:rPr>
          <w:spacing w:val="-5"/>
          <w:w w:val="105"/>
          <w:position w:val="7"/>
          <w:sz w:val="12"/>
        </w:rPr>
        <w:t>19</w:t>
      </w:r>
    </w:p>
    <w:p>
      <w:pPr>
        <w:pStyle w:val="BodyText"/>
        <w:spacing w:before="8"/>
        <w:rPr>
          <w:sz w:val="5"/>
        </w:rPr>
      </w:pPr>
    </w:p>
    <w:p>
      <w:pPr>
        <w:spacing w:after="0"/>
        <w:rPr>
          <w:sz w:val="5"/>
        </w:rPr>
        <w:sectPr>
          <w:headerReference w:type="default" r:id="rId125"/>
          <w:headerReference w:type="even" r:id="rId126"/>
          <w:pgSz w:w="11910" w:h="16840"/>
          <w:pgMar w:header="808" w:footer="0" w:top="1360" w:bottom="280" w:left="0" w:right="0"/>
        </w:sectPr>
      </w:pPr>
    </w:p>
    <w:p>
      <w:pPr>
        <w:pStyle w:val="ListParagraph"/>
        <w:numPr>
          <w:ilvl w:val="0"/>
          <w:numId w:val="91"/>
        </w:numPr>
        <w:tabs>
          <w:tab w:pos="2380" w:val="left" w:leader="none"/>
          <w:tab w:pos="2382" w:val="left" w:leader="none"/>
        </w:tabs>
        <w:spacing w:line="240" w:lineRule="auto" w:before="48" w:after="0"/>
        <w:ind w:left="2381" w:right="162" w:hanging="794"/>
        <w:jc w:val="left"/>
        <w:rPr>
          <w:sz w:val="13"/>
        </w:rPr>
      </w:pPr>
      <w:r>
        <w:rPr>
          <w:w w:val="105"/>
          <w:sz w:val="13"/>
        </w:rPr>
        <w:t>Community Justice Centres, Government of New South Wales, </w:t>
      </w:r>
      <w:r>
        <w:rPr>
          <w:i/>
          <w:w w:val="105"/>
          <w:sz w:val="13"/>
        </w:rPr>
        <w:t>Neighbours </w:t>
      </w:r>
      <w:r>
        <w:rPr>
          <w:w w:val="105"/>
          <w:sz w:val="13"/>
        </w:rPr>
        <w:t>(Web Page, 5 July 2018) &lt;</w:t>
      </w:r>
      <w:hyperlink r:id="rId127">
        <w:r>
          <w:rPr>
            <w:w w:val="105"/>
            <w:sz w:val="13"/>
          </w:rPr>
          <w:t>http://www.cjc.justice.nsw.gov.au/</w:t>
        </w:r>
      </w:hyperlink>
      <w:r>
        <w:rPr>
          <w:w w:val="105"/>
          <w:sz w:val="13"/>
        </w:rPr>
        <w:t> </w:t>
      </w:r>
      <w:r>
        <w:rPr>
          <w:spacing w:val="2"/>
          <w:w w:val="105"/>
          <w:sz w:val="13"/>
        </w:rPr>
        <w:t>Pages/cjc_whatis_mediation/cjc_common_disputes/com_justice_neighbours.aspx&gt;.</w:t>
      </w:r>
    </w:p>
    <w:p>
      <w:pPr>
        <w:pStyle w:val="ListParagraph"/>
        <w:numPr>
          <w:ilvl w:val="0"/>
          <w:numId w:val="91"/>
        </w:numPr>
        <w:tabs>
          <w:tab w:pos="2380"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91"/>
        </w:numPr>
        <w:tabs>
          <w:tab w:pos="2380" w:val="left" w:leader="none"/>
          <w:tab w:pos="2382" w:val="left" w:leader="none"/>
        </w:tabs>
        <w:spacing w:line="240" w:lineRule="auto" w:before="1" w:after="0"/>
        <w:ind w:left="2381" w:right="60" w:hanging="794"/>
        <w:jc w:val="left"/>
        <w:rPr>
          <w:sz w:val="13"/>
        </w:rPr>
      </w:pPr>
      <w:r>
        <w:rPr>
          <w:w w:val="105"/>
          <w:sz w:val="13"/>
        </w:rPr>
        <w:t>Queensland Government</w:t>
      </w:r>
      <w:r>
        <w:rPr>
          <w:i/>
          <w:w w:val="105"/>
          <w:sz w:val="13"/>
        </w:rPr>
        <w:t>, Neighbourhood Mediation </w:t>
      </w:r>
      <w:r>
        <w:rPr>
          <w:w w:val="105"/>
          <w:sz w:val="13"/>
        </w:rPr>
        <w:t>(Web Page, 2019) </w:t>
      </w:r>
      <w:r>
        <w:rPr>
          <w:spacing w:val="2"/>
          <w:w w:val="105"/>
          <w:sz w:val="13"/>
        </w:rPr>
        <w:t>&lt;https://</w:t>
      </w:r>
      <w:hyperlink r:id="rId128">
        <w:r>
          <w:rPr>
            <w:spacing w:val="2"/>
            <w:w w:val="105"/>
            <w:sz w:val="13"/>
          </w:rPr>
          <w:t>www.qld.gov.au/law/legal-mediation-and-justice-of-the-</w:t>
        </w:r>
      </w:hyperlink>
      <w:r>
        <w:rPr>
          <w:spacing w:val="2"/>
          <w:w w:val="105"/>
          <w:sz w:val="13"/>
        </w:rPr>
        <w:t> </w:t>
      </w:r>
      <w:r>
        <w:rPr>
          <w:w w:val="105"/>
          <w:sz w:val="13"/>
        </w:rPr>
        <w:t>peace/settling-disputes-out-of-court/neighbourhood-mediation&gt;.</w:t>
      </w:r>
    </w:p>
    <w:p>
      <w:pPr>
        <w:pStyle w:val="ListParagraph"/>
        <w:numPr>
          <w:ilvl w:val="0"/>
          <w:numId w:val="91"/>
        </w:numPr>
        <w:tabs>
          <w:tab w:pos="2380" w:val="left" w:leader="none"/>
          <w:tab w:pos="2382" w:val="left" w:leader="none"/>
        </w:tabs>
        <w:spacing w:line="240" w:lineRule="auto" w:before="3" w:after="0"/>
        <w:ind w:left="2381" w:right="162" w:hanging="794"/>
        <w:jc w:val="left"/>
        <w:rPr>
          <w:sz w:val="13"/>
        </w:rPr>
      </w:pPr>
      <w:r>
        <w:rPr>
          <w:w w:val="105"/>
          <w:sz w:val="13"/>
        </w:rPr>
        <w:t>Community Justice Centres, Government of New South Wales, </w:t>
      </w:r>
      <w:r>
        <w:rPr>
          <w:i/>
          <w:w w:val="105"/>
          <w:sz w:val="13"/>
        </w:rPr>
        <w:t>Neighbours </w:t>
      </w:r>
      <w:r>
        <w:rPr>
          <w:w w:val="105"/>
          <w:sz w:val="13"/>
        </w:rPr>
        <w:t>(Web Page, 5 July 2018) &lt;</w:t>
      </w:r>
      <w:hyperlink r:id="rId127">
        <w:r>
          <w:rPr>
            <w:w w:val="105"/>
            <w:sz w:val="13"/>
          </w:rPr>
          <w:t>http://www.cjc.justice.nsw.gov.au/</w:t>
        </w:r>
      </w:hyperlink>
      <w:r>
        <w:rPr>
          <w:w w:val="105"/>
          <w:sz w:val="13"/>
        </w:rPr>
        <w:t> </w:t>
      </w:r>
      <w:r>
        <w:rPr>
          <w:spacing w:val="2"/>
          <w:w w:val="105"/>
          <w:sz w:val="13"/>
        </w:rPr>
        <w:t>Pages/cjc_whatis_mediation/cjc_common_disputes/com_justice_neighbours.aspx&gt;.</w:t>
      </w:r>
    </w:p>
    <w:p>
      <w:pPr>
        <w:pStyle w:val="ListParagraph"/>
        <w:numPr>
          <w:ilvl w:val="0"/>
          <w:numId w:val="91"/>
        </w:numPr>
        <w:tabs>
          <w:tab w:pos="2380" w:val="left" w:leader="none"/>
          <w:tab w:pos="2382" w:val="left" w:leader="none"/>
        </w:tabs>
        <w:spacing w:line="240" w:lineRule="auto" w:before="2" w:after="0"/>
        <w:ind w:left="2381" w:right="0" w:hanging="794"/>
        <w:jc w:val="left"/>
        <w:rPr>
          <w:sz w:val="13"/>
        </w:rPr>
      </w:pPr>
      <w:r>
        <w:rPr>
          <w:w w:val="105"/>
          <w:sz w:val="13"/>
        </w:rPr>
        <w:t>Community Justice Centres, Government of New South Wales, </w:t>
      </w:r>
      <w:r>
        <w:rPr>
          <w:i/>
          <w:w w:val="105"/>
          <w:sz w:val="13"/>
        </w:rPr>
        <w:t>About </w:t>
      </w:r>
      <w:r>
        <w:rPr>
          <w:i/>
          <w:spacing w:val="2"/>
          <w:w w:val="105"/>
          <w:sz w:val="13"/>
        </w:rPr>
        <w:t>CJC (Web </w:t>
      </w:r>
      <w:r>
        <w:rPr>
          <w:i/>
          <w:w w:val="105"/>
          <w:sz w:val="13"/>
        </w:rPr>
        <w:t>Page, </w:t>
      </w:r>
      <w:r>
        <w:rPr>
          <w:i/>
          <w:spacing w:val="-4"/>
          <w:w w:val="105"/>
          <w:sz w:val="13"/>
        </w:rPr>
        <w:t>13 </w:t>
      </w:r>
      <w:r>
        <w:rPr>
          <w:i/>
          <w:w w:val="105"/>
          <w:sz w:val="13"/>
        </w:rPr>
        <w:t>March 2019) </w:t>
      </w:r>
      <w:r>
        <w:rPr>
          <w:w w:val="105"/>
          <w:sz w:val="13"/>
        </w:rPr>
        <w:t>&lt;</w:t>
      </w:r>
      <w:hyperlink r:id="rId127">
        <w:r>
          <w:rPr>
            <w:w w:val="105"/>
            <w:sz w:val="13"/>
          </w:rPr>
          <w:t>http://www.cjc.justice.nsw.gov.au/</w:t>
        </w:r>
      </w:hyperlink>
      <w:r>
        <w:rPr>
          <w:w w:val="105"/>
          <w:sz w:val="13"/>
        </w:rPr>
        <w:t> </w:t>
      </w:r>
      <w:r>
        <w:rPr>
          <w:spacing w:val="2"/>
          <w:w w:val="105"/>
          <w:sz w:val="13"/>
        </w:rPr>
        <w:t>Pages/com_justice_aboutus/com_justice_aboutus.aspx&gt;.</w:t>
      </w:r>
    </w:p>
    <w:p>
      <w:pPr>
        <w:pStyle w:val="ListParagraph"/>
        <w:numPr>
          <w:ilvl w:val="0"/>
          <w:numId w:val="91"/>
        </w:numPr>
        <w:tabs>
          <w:tab w:pos="2380" w:val="left" w:leader="none"/>
          <w:tab w:pos="2382" w:val="left" w:leader="none"/>
        </w:tabs>
        <w:spacing w:line="240" w:lineRule="auto" w:before="3"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91"/>
        </w:numPr>
        <w:tabs>
          <w:tab w:pos="2380" w:val="left" w:leader="none"/>
          <w:tab w:pos="2382" w:val="left" w:leader="none"/>
        </w:tabs>
        <w:spacing w:line="240" w:lineRule="auto" w:before="1" w:after="0"/>
        <w:ind w:left="2381" w:right="0" w:hanging="794"/>
        <w:jc w:val="left"/>
        <w:rPr>
          <w:sz w:val="13"/>
        </w:rPr>
      </w:pPr>
      <w:r>
        <w:rPr>
          <w:w w:val="105"/>
          <w:sz w:val="13"/>
        </w:rPr>
        <w:t>Legal</w:t>
      </w:r>
      <w:r>
        <w:rPr>
          <w:spacing w:val="5"/>
          <w:w w:val="105"/>
          <w:sz w:val="13"/>
        </w:rPr>
        <w:t> </w:t>
      </w:r>
      <w:r>
        <w:rPr>
          <w:w w:val="105"/>
          <w:sz w:val="13"/>
        </w:rPr>
        <w:t>Aid</w:t>
      </w:r>
      <w:r>
        <w:rPr>
          <w:spacing w:val="6"/>
          <w:w w:val="105"/>
          <w:sz w:val="13"/>
        </w:rPr>
        <w:t> </w:t>
      </w:r>
      <w:r>
        <w:rPr>
          <w:w w:val="105"/>
          <w:sz w:val="13"/>
        </w:rPr>
        <w:t>Commission</w:t>
      </w:r>
      <w:r>
        <w:rPr>
          <w:spacing w:val="6"/>
          <w:w w:val="105"/>
          <w:sz w:val="13"/>
        </w:rPr>
        <w:t> </w:t>
      </w:r>
      <w:r>
        <w:rPr>
          <w:w w:val="105"/>
          <w:sz w:val="13"/>
        </w:rPr>
        <w:t>of</w:t>
      </w:r>
      <w:r>
        <w:rPr>
          <w:spacing w:val="5"/>
          <w:w w:val="105"/>
          <w:sz w:val="13"/>
        </w:rPr>
        <w:t> </w:t>
      </w:r>
      <w:r>
        <w:rPr>
          <w:w w:val="105"/>
          <w:sz w:val="13"/>
        </w:rPr>
        <w:t>Tasmania</w:t>
      </w:r>
      <w:r>
        <w:rPr>
          <w:spacing w:val="6"/>
          <w:w w:val="105"/>
          <w:sz w:val="13"/>
        </w:rPr>
        <w:t> </w:t>
      </w:r>
      <w:r>
        <w:rPr>
          <w:w w:val="105"/>
          <w:sz w:val="13"/>
        </w:rPr>
        <w:t>(Online</w:t>
      </w:r>
      <w:r>
        <w:rPr>
          <w:spacing w:val="6"/>
          <w:w w:val="105"/>
          <w:sz w:val="13"/>
        </w:rPr>
        <w:t> </w:t>
      </w:r>
      <w:r>
        <w:rPr>
          <w:w w:val="105"/>
          <w:sz w:val="13"/>
        </w:rPr>
        <w:t>Directory,</w:t>
      </w:r>
      <w:r>
        <w:rPr>
          <w:spacing w:val="5"/>
          <w:w w:val="105"/>
          <w:sz w:val="13"/>
        </w:rPr>
        <w:t> </w:t>
      </w:r>
      <w:r>
        <w:rPr>
          <w:w w:val="105"/>
          <w:sz w:val="13"/>
        </w:rPr>
        <w:t>2019)</w:t>
      </w:r>
      <w:r>
        <w:rPr>
          <w:spacing w:val="6"/>
          <w:w w:val="105"/>
          <w:sz w:val="13"/>
        </w:rPr>
        <w:t> </w:t>
      </w:r>
      <w:r>
        <w:rPr>
          <w:w w:val="105"/>
          <w:sz w:val="13"/>
        </w:rPr>
        <w:t>&lt;https://</w:t>
      </w:r>
      <w:hyperlink r:id="rId129">
        <w:r>
          <w:rPr>
            <w:w w:val="105"/>
            <w:sz w:val="13"/>
          </w:rPr>
          <w:t>www.legalaid.tas.gov.au/referral-list</w:t>
        </w:r>
      </w:hyperlink>
      <w:r>
        <w:rPr>
          <w:w w:val="105"/>
          <w:sz w:val="13"/>
        </w:rPr>
        <w:t>&gt;.</w:t>
      </w:r>
    </w:p>
    <w:p>
      <w:pPr>
        <w:pStyle w:val="ListParagraph"/>
        <w:numPr>
          <w:ilvl w:val="0"/>
          <w:numId w:val="91"/>
        </w:numPr>
        <w:tabs>
          <w:tab w:pos="2381" w:val="left" w:leader="none"/>
          <w:tab w:pos="2382" w:val="left" w:leader="none"/>
        </w:tabs>
        <w:spacing w:line="240" w:lineRule="auto" w:before="2" w:after="0"/>
        <w:ind w:left="2381" w:right="0" w:hanging="794"/>
        <w:jc w:val="left"/>
        <w:rPr>
          <w:sz w:val="13"/>
        </w:rPr>
      </w:pPr>
      <w:r>
        <w:rPr>
          <w:w w:val="105"/>
          <w:sz w:val="13"/>
        </w:rPr>
        <w:t>Tasmania</w:t>
      </w:r>
      <w:r>
        <w:rPr>
          <w:spacing w:val="4"/>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Institute,</w:t>
      </w:r>
      <w:r>
        <w:rPr>
          <w:spacing w:val="5"/>
          <w:w w:val="105"/>
          <w:sz w:val="13"/>
        </w:rPr>
        <w:t> </w:t>
      </w:r>
      <w:r>
        <w:rPr>
          <w:i/>
          <w:w w:val="105"/>
          <w:sz w:val="13"/>
        </w:rPr>
        <w:t>Neighbours’</w:t>
      </w:r>
      <w:r>
        <w:rPr>
          <w:i/>
          <w:spacing w:val="4"/>
          <w:w w:val="105"/>
          <w:sz w:val="13"/>
        </w:rPr>
        <w:t> </w:t>
      </w:r>
      <w:r>
        <w:rPr>
          <w:i/>
          <w:w w:val="105"/>
          <w:sz w:val="13"/>
        </w:rPr>
        <w:t>Hedges</w:t>
      </w:r>
      <w:r>
        <w:rPr>
          <w:i/>
          <w:spacing w:val="5"/>
          <w:w w:val="105"/>
          <w:sz w:val="13"/>
        </w:rPr>
        <w:t> </w:t>
      </w:r>
      <w:r>
        <w:rPr>
          <w:i/>
          <w:w w:val="105"/>
          <w:sz w:val="13"/>
        </w:rPr>
        <w:t>as</w:t>
      </w:r>
      <w:r>
        <w:rPr>
          <w:i/>
          <w:spacing w:val="5"/>
          <w:w w:val="105"/>
          <w:sz w:val="13"/>
        </w:rPr>
        <w:t> </w:t>
      </w:r>
      <w:r>
        <w:rPr>
          <w:i/>
          <w:w w:val="105"/>
          <w:sz w:val="13"/>
        </w:rPr>
        <w:t>Barriers</w:t>
      </w:r>
      <w:r>
        <w:rPr>
          <w:i/>
          <w:spacing w:val="5"/>
          <w:w w:val="105"/>
          <w:sz w:val="13"/>
        </w:rPr>
        <w:t> </w:t>
      </w:r>
      <w:r>
        <w:rPr>
          <w:i/>
          <w:w w:val="105"/>
          <w:sz w:val="13"/>
        </w:rPr>
        <w:t>to</w:t>
      </w:r>
      <w:r>
        <w:rPr>
          <w:i/>
          <w:spacing w:val="4"/>
          <w:w w:val="105"/>
          <w:sz w:val="13"/>
        </w:rPr>
        <w:t> </w:t>
      </w:r>
      <w:r>
        <w:rPr>
          <w:i/>
          <w:w w:val="105"/>
          <w:sz w:val="13"/>
        </w:rPr>
        <w:t>Sunlight</w:t>
      </w:r>
      <w:r>
        <w:rPr>
          <w:i/>
          <w:spacing w:val="5"/>
          <w:w w:val="105"/>
          <w:sz w:val="13"/>
        </w:rPr>
        <w:t> </w:t>
      </w:r>
      <w:r>
        <w:rPr>
          <w:i/>
          <w:w w:val="105"/>
          <w:sz w:val="13"/>
        </w:rPr>
        <w:t>and</w:t>
      </w:r>
      <w:r>
        <w:rPr>
          <w:i/>
          <w:spacing w:val="5"/>
          <w:w w:val="105"/>
          <w:sz w:val="13"/>
        </w:rPr>
        <w:t> </w:t>
      </w:r>
      <w:r>
        <w:rPr>
          <w:i/>
          <w:w w:val="105"/>
          <w:sz w:val="13"/>
        </w:rPr>
        <w:t>a</w:t>
      </w:r>
      <w:r>
        <w:rPr>
          <w:i/>
          <w:spacing w:val="5"/>
          <w:w w:val="105"/>
          <w:sz w:val="13"/>
        </w:rPr>
        <w:t> </w:t>
      </w:r>
      <w:r>
        <w:rPr>
          <w:i/>
          <w:w w:val="105"/>
          <w:sz w:val="13"/>
        </w:rPr>
        <w:t>View</w:t>
      </w:r>
      <w:r>
        <w:rPr>
          <w:i/>
          <w:spacing w:val="5"/>
          <w:w w:val="105"/>
          <w:sz w:val="13"/>
        </w:rPr>
        <w:t> </w:t>
      </w:r>
      <w:r>
        <w:rPr>
          <w:spacing w:val="2"/>
          <w:w w:val="105"/>
          <w:sz w:val="13"/>
        </w:rPr>
        <w:t>(Issues</w:t>
      </w:r>
      <w:r>
        <w:rPr>
          <w:spacing w:val="4"/>
          <w:w w:val="105"/>
          <w:sz w:val="13"/>
        </w:rPr>
        <w:t> </w:t>
      </w:r>
      <w:r>
        <w:rPr>
          <w:w w:val="105"/>
          <w:sz w:val="13"/>
        </w:rPr>
        <w:t>Paper</w:t>
      </w:r>
      <w:r>
        <w:rPr>
          <w:spacing w:val="5"/>
          <w:w w:val="105"/>
          <w:sz w:val="13"/>
        </w:rPr>
        <w:t> </w:t>
      </w:r>
      <w:r>
        <w:rPr>
          <w:w w:val="105"/>
          <w:sz w:val="13"/>
        </w:rPr>
        <w:t>No</w:t>
      </w:r>
      <w:r>
        <w:rPr>
          <w:spacing w:val="5"/>
          <w:w w:val="105"/>
          <w:sz w:val="13"/>
        </w:rPr>
        <w:t> </w:t>
      </w:r>
      <w:r>
        <w:rPr>
          <w:w w:val="105"/>
          <w:sz w:val="13"/>
        </w:rPr>
        <w:t>19,</w:t>
      </w:r>
      <w:r>
        <w:rPr>
          <w:spacing w:val="5"/>
          <w:w w:val="105"/>
          <w:sz w:val="13"/>
        </w:rPr>
        <w:t> </w:t>
      </w:r>
      <w:r>
        <w:rPr>
          <w:w w:val="105"/>
          <w:sz w:val="13"/>
        </w:rPr>
        <w:t>2014)</w:t>
      </w:r>
      <w:r>
        <w:rPr>
          <w:spacing w:val="4"/>
          <w:w w:val="105"/>
          <w:sz w:val="13"/>
        </w:rPr>
        <w:t> </w:t>
      </w:r>
      <w:r>
        <w:rPr>
          <w:spacing w:val="2"/>
          <w:w w:val="105"/>
          <w:sz w:val="13"/>
        </w:rPr>
        <w:t>[4.4.9].</w:t>
      </w:r>
    </w:p>
    <w:p>
      <w:pPr>
        <w:pStyle w:val="ListParagraph"/>
        <w:numPr>
          <w:ilvl w:val="0"/>
          <w:numId w:val="91"/>
        </w:numPr>
        <w:tabs>
          <w:tab w:pos="2381" w:val="left" w:leader="none"/>
          <w:tab w:pos="2382" w:val="left" w:leader="none"/>
        </w:tabs>
        <w:spacing w:line="240" w:lineRule="auto" w:before="1" w:after="0"/>
        <w:ind w:left="2381" w:right="464" w:hanging="794"/>
        <w:jc w:val="left"/>
        <w:rPr>
          <w:sz w:val="13"/>
        </w:rPr>
      </w:pPr>
      <w:r>
        <w:rPr>
          <w:i/>
          <w:w w:val="105"/>
          <w:sz w:val="13"/>
        </w:rPr>
        <w:t>Trees (Disputes Between Neighbours) Act 2006 </w:t>
      </w:r>
      <w:r>
        <w:rPr>
          <w:spacing w:val="3"/>
          <w:w w:val="105"/>
          <w:sz w:val="13"/>
        </w:rPr>
        <w:t>(NSW) </w:t>
      </w:r>
      <w:r>
        <w:rPr>
          <w:w w:val="105"/>
          <w:sz w:val="13"/>
        </w:rPr>
        <w:t>s 5; Department of Justice and Attorney General </w:t>
      </w:r>
      <w:r>
        <w:rPr>
          <w:spacing w:val="3"/>
          <w:w w:val="105"/>
          <w:sz w:val="13"/>
        </w:rPr>
        <w:t>(NSW), </w:t>
      </w:r>
      <w:r>
        <w:rPr>
          <w:i/>
          <w:w w:val="105"/>
          <w:sz w:val="13"/>
        </w:rPr>
        <w:t>Review of the Trees </w:t>
      </w:r>
      <w:r>
        <w:rPr>
          <w:i/>
          <w:w w:val="105"/>
          <w:sz w:val="13"/>
        </w:rPr>
        <w:t>(Disputes Between Neighbours) Act 2006 </w:t>
      </w:r>
      <w:r>
        <w:rPr>
          <w:spacing w:val="2"/>
          <w:w w:val="105"/>
          <w:sz w:val="13"/>
        </w:rPr>
        <w:t>(Report, 2009)</w:t>
      </w:r>
      <w:r>
        <w:rPr>
          <w:spacing w:val="34"/>
          <w:w w:val="105"/>
          <w:sz w:val="13"/>
        </w:rPr>
        <w:t> </w:t>
      </w:r>
      <w:r>
        <w:rPr>
          <w:w w:val="105"/>
          <w:sz w:val="13"/>
        </w:rPr>
        <w:t>42–3.</w:t>
      </w:r>
    </w:p>
    <w:p>
      <w:pPr>
        <w:pStyle w:val="ListParagraph"/>
        <w:numPr>
          <w:ilvl w:val="0"/>
          <w:numId w:val="91"/>
        </w:numPr>
        <w:tabs>
          <w:tab w:pos="2381" w:val="left" w:leader="none"/>
          <w:tab w:pos="2382" w:val="left" w:leader="none"/>
        </w:tabs>
        <w:spacing w:line="240" w:lineRule="auto" w:before="3" w:after="0"/>
        <w:ind w:left="2381" w:right="132" w:hanging="794"/>
        <w:jc w:val="left"/>
        <w:rPr>
          <w:sz w:val="13"/>
        </w:rPr>
      </w:pPr>
      <w:r>
        <w:rPr>
          <w:w w:val="105"/>
          <w:sz w:val="13"/>
        </w:rPr>
        <w:t>The </w:t>
      </w:r>
      <w:r>
        <w:rPr>
          <w:i/>
          <w:w w:val="105"/>
          <w:sz w:val="13"/>
        </w:rPr>
        <w:t>Environmental Planning and Assessment Act </w:t>
      </w:r>
      <w:r>
        <w:rPr>
          <w:i/>
          <w:spacing w:val="-3"/>
          <w:w w:val="105"/>
          <w:sz w:val="13"/>
        </w:rPr>
        <w:t>1979 </w:t>
      </w:r>
      <w:r>
        <w:rPr>
          <w:spacing w:val="3"/>
          <w:w w:val="105"/>
          <w:sz w:val="13"/>
        </w:rPr>
        <w:t>(NSW) </w:t>
      </w:r>
      <w:r>
        <w:rPr>
          <w:w w:val="105"/>
          <w:sz w:val="13"/>
        </w:rPr>
        <w:t>establishes the framework for the planning system in New South Wales. Environmental planning instruments sit under the EPA Act to introduce controls and requirements for specific issues in local government areas. These instruments include both the State Environment Planning Policies and Local Environmental Plans. Development Control Plans </w:t>
      </w:r>
      <w:r>
        <w:rPr>
          <w:spacing w:val="2"/>
          <w:w w:val="105"/>
          <w:sz w:val="13"/>
        </w:rPr>
        <w:t>(DCPs)</w:t>
      </w:r>
      <w:r>
        <w:rPr>
          <w:spacing w:val="4"/>
          <w:w w:val="105"/>
          <w:sz w:val="13"/>
        </w:rPr>
        <w:t> </w:t>
      </w:r>
      <w:r>
        <w:rPr>
          <w:w w:val="105"/>
          <w:sz w:val="13"/>
        </w:rPr>
        <w:t>provide</w:t>
      </w:r>
      <w:r>
        <w:rPr>
          <w:spacing w:val="5"/>
          <w:w w:val="105"/>
          <w:sz w:val="13"/>
        </w:rPr>
        <w:t> </w:t>
      </w:r>
      <w:r>
        <w:rPr>
          <w:w w:val="105"/>
          <w:sz w:val="13"/>
        </w:rPr>
        <w:t>more</w:t>
      </w:r>
      <w:r>
        <w:rPr>
          <w:spacing w:val="4"/>
          <w:w w:val="105"/>
          <w:sz w:val="13"/>
        </w:rPr>
        <w:t> </w:t>
      </w:r>
      <w:r>
        <w:rPr>
          <w:w w:val="105"/>
          <w:sz w:val="13"/>
        </w:rPr>
        <w:t>detailed</w:t>
      </w:r>
      <w:r>
        <w:rPr>
          <w:spacing w:val="5"/>
          <w:w w:val="105"/>
          <w:sz w:val="13"/>
        </w:rPr>
        <w:t> </w:t>
      </w:r>
      <w:r>
        <w:rPr>
          <w:w w:val="105"/>
          <w:sz w:val="13"/>
        </w:rPr>
        <w:t>planning</w:t>
      </w:r>
      <w:r>
        <w:rPr>
          <w:spacing w:val="5"/>
          <w:w w:val="105"/>
          <w:sz w:val="13"/>
        </w:rPr>
        <w:t> </w:t>
      </w:r>
      <w:r>
        <w:rPr>
          <w:w w:val="105"/>
          <w:sz w:val="13"/>
        </w:rPr>
        <w:t>requirements.</w:t>
      </w:r>
      <w:r>
        <w:rPr>
          <w:spacing w:val="4"/>
          <w:w w:val="105"/>
          <w:sz w:val="13"/>
        </w:rPr>
        <w:t> </w:t>
      </w:r>
      <w:r>
        <w:rPr>
          <w:w w:val="105"/>
          <w:sz w:val="13"/>
        </w:rPr>
        <w:t>For</w:t>
      </w:r>
      <w:r>
        <w:rPr>
          <w:spacing w:val="5"/>
          <w:w w:val="105"/>
          <w:sz w:val="13"/>
        </w:rPr>
        <w:t> </w:t>
      </w:r>
      <w:r>
        <w:rPr>
          <w:w w:val="105"/>
          <w:sz w:val="13"/>
        </w:rPr>
        <w:t>more</w:t>
      </w:r>
      <w:r>
        <w:rPr>
          <w:spacing w:val="4"/>
          <w:w w:val="105"/>
          <w:sz w:val="13"/>
        </w:rPr>
        <w:t> </w:t>
      </w:r>
      <w:r>
        <w:rPr>
          <w:w w:val="105"/>
          <w:sz w:val="13"/>
        </w:rPr>
        <w:t>information</w:t>
      </w:r>
      <w:r>
        <w:rPr>
          <w:spacing w:val="5"/>
          <w:w w:val="105"/>
          <w:sz w:val="13"/>
        </w:rPr>
        <w:t> </w:t>
      </w:r>
      <w:r>
        <w:rPr>
          <w:w w:val="105"/>
          <w:sz w:val="13"/>
        </w:rPr>
        <w:t>see</w:t>
      </w:r>
      <w:r>
        <w:rPr>
          <w:spacing w:val="5"/>
          <w:w w:val="105"/>
          <w:sz w:val="13"/>
        </w:rPr>
        <w:t> </w:t>
      </w:r>
      <w:r>
        <w:rPr>
          <w:w w:val="105"/>
          <w:sz w:val="13"/>
        </w:rPr>
        <w:t>Ch</w:t>
      </w:r>
      <w:r>
        <w:rPr>
          <w:spacing w:val="4"/>
          <w:w w:val="105"/>
          <w:sz w:val="13"/>
        </w:rPr>
        <w:t> </w:t>
      </w:r>
      <w:r>
        <w:rPr>
          <w:w w:val="105"/>
          <w:sz w:val="13"/>
        </w:rPr>
        <w:t>10.</w:t>
      </w:r>
    </w:p>
    <w:p>
      <w:pPr>
        <w:pStyle w:val="ListParagraph"/>
        <w:numPr>
          <w:ilvl w:val="0"/>
          <w:numId w:val="91"/>
        </w:numPr>
        <w:tabs>
          <w:tab w:pos="2381" w:val="left" w:leader="none"/>
          <w:tab w:pos="2382" w:val="left" w:leader="none"/>
        </w:tabs>
        <w:spacing w:line="240" w:lineRule="auto" w:before="5" w:after="0"/>
        <w:ind w:left="2381" w:right="158" w:hanging="794"/>
        <w:jc w:val="left"/>
        <w:rPr>
          <w:sz w:val="13"/>
        </w:rPr>
      </w:pPr>
      <w:r>
        <w:rPr>
          <w:sz w:val="13"/>
        </w:rPr>
        <w:t>The Commission understands that Tree Preservation Orders  </w:t>
      </w:r>
      <w:r>
        <w:rPr>
          <w:spacing w:val="3"/>
          <w:sz w:val="13"/>
        </w:rPr>
        <w:t>(TPOs)  </w:t>
      </w:r>
      <w:r>
        <w:rPr>
          <w:sz w:val="13"/>
        </w:rPr>
        <w:t>previously  made  under  clauses  5.9  and  5.9AA  of  the  Standard Instrument </w:t>
      </w:r>
      <w:r>
        <w:rPr>
          <w:spacing w:val="2"/>
          <w:sz w:val="13"/>
        </w:rPr>
        <w:t>(Local </w:t>
      </w:r>
      <w:r>
        <w:rPr>
          <w:sz w:val="13"/>
        </w:rPr>
        <w:t>Environmental Plans) have largely  been  replaced  by  the  State  Environment  Planning  Policy  (Vegetation  in  Non-Rural areas) but that existing </w:t>
      </w:r>
      <w:r>
        <w:rPr>
          <w:spacing w:val="2"/>
          <w:sz w:val="13"/>
        </w:rPr>
        <w:t>TPOs </w:t>
      </w:r>
      <w:r>
        <w:rPr>
          <w:sz w:val="13"/>
        </w:rPr>
        <w:t>will continue to have effect: Office of Environment and Heritage </w:t>
      </w:r>
      <w:r>
        <w:rPr>
          <w:spacing w:val="3"/>
          <w:sz w:val="13"/>
        </w:rPr>
        <w:t>(NSW), </w:t>
      </w:r>
      <w:r>
        <w:rPr>
          <w:i/>
          <w:sz w:val="13"/>
        </w:rPr>
        <w:t>Local Government Information and </w:t>
      </w:r>
      <w:r>
        <w:rPr>
          <w:i/>
          <w:sz w:val="13"/>
        </w:rPr>
        <w:t>Resources</w:t>
      </w:r>
      <w:r>
        <w:rPr>
          <w:i/>
          <w:spacing w:val="7"/>
          <w:sz w:val="13"/>
        </w:rPr>
        <w:t> </w:t>
      </w:r>
      <w:r>
        <w:rPr>
          <w:sz w:val="13"/>
        </w:rPr>
        <w:t>(Web</w:t>
      </w:r>
      <w:r>
        <w:rPr>
          <w:spacing w:val="7"/>
          <w:sz w:val="13"/>
        </w:rPr>
        <w:t> </w:t>
      </w:r>
      <w:r>
        <w:rPr>
          <w:sz w:val="13"/>
        </w:rPr>
        <w:t>Page,</w:t>
      </w:r>
      <w:r>
        <w:rPr>
          <w:spacing w:val="7"/>
          <w:sz w:val="13"/>
        </w:rPr>
        <w:t> </w:t>
      </w:r>
      <w:r>
        <w:rPr>
          <w:sz w:val="13"/>
        </w:rPr>
        <w:t>23</w:t>
      </w:r>
      <w:r>
        <w:rPr>
          <w:spacing w:val="7"/>
          <w:sz w:val="13"/>
        </w:rPr>
        <w:t> </w:t>
      </w:r>
      <w:r>
        <w:rPr>
          <w:sz w:val="13"/>
        </w:rPr>
        <w:t>November</w:t>
      </w:r>
      <w:r>
        <w:rPr>
          <w:spacing w:val="8"/>
          <w:sz w:val="13"/>
        </w:rPr>
        <w:t> </w:t>
      </w:r>
      <w:r>
        <w:rPr>
          <w:sz w:val="13"/>
        </w:rPr>
        <w:t>2018)</w:t>
      </w:r>
      <w:r>
        <w:rPr>
          <w:spacing w:val="7"/>
          <w:sz w:val="13"/>
        </w:rPr>
        <w:t> </w:t>
      </w:r>
      <w:r>
        <w:rPr>
          <w:sz w:val="13"/>
        </w:rPr>
        <w:t>&lt;https://</w:t>
      </w:r>
      <w:hyperlink r:id="rId130">
        <w:r>
          <w:rPr>
            <w:sz w:val="13"/>
          </w:rPr>
          <w:t>www.environment.nsw.gov.au/biodiversity/localgovernment.htm</w:t>
        </w:r>
      </w:hyperlink>
      <w:r>
        <w:rPr>
          <w:sz w:val="13"/>
        </w:rPr>
        <w:t>&gt;.</w:t>
      </w:r>
      <w:r>
        <w:rPr>
          <w:spacing w:val="7"/>
          <w:sz w:val="13"/>
        </w:rPr>
        <w:t> </w:t>
      </w:r>
      <w:r>
        <w:rPr>
          <w:sz w:val="13"/>
        </w:rPr>
        <w:t>See</w:t>
      </w:r>
      <w:r>
        <w:rPr>
          <w:spacing w:val="7"/>
          <w:sz w:val="13"/>
        </w:rPr>
        <w:t> </w:t>
      </w:r>
      <w:r>
        <w:rPr>
          <w:sz w:val="13"/>
        </w:rPr>
        <w:t>also</w:t>
      </w:r>
      <w:r>
        <w:rPr>
          <w:spacing w:val="8"/>
          <w:sz w:val="13"/>
        </w:rPr>
        <w:t> </w:t>
      </w:r>
      <w:r>
        <w:rPr>
          <w:sz w:val="13"/>
        </w:rPr>
        <w:t>Ch</w:t>
      </w:r>
      <w:r>
        <w:rPr>
          <w:spacing w:val="7"/>
          <w:sz w:val="13"/>
        </w:rPr>
        <w:t> </w:t>
      </w:r>
      <w:r>
        <w:rPr>
          <w:sz w:val="13"/>
        </w:rPr>
        <w:t>10.</w:t>
      </w:r>
    </w:p>
    <w:p>
      <w:pPr>
        <w:pStyle w:val="ListParagraph"/>
        <w:numPr>
          <w:ilvl w:val="0"/>
          <w:numId w:val="91"/>
        </w:numPr>
        <w:tabs>
          <w:tab w:pos="2381" w:val="left" w:leader="none"/>
          <w:tab w:pos="2382" w:val="left" w:leader="none"/>
        </w:tabs>
        <w:spacing w:line="240" w:lineRule="auto" w:before="5" w:after="0"/>
        <w:ind w:left="2381" w:right="0" w:hanging="794"/>
        <w:jc w:val="left"/>
        <w:rPr>
          <w:sz w:val="13"/>
        </w:rPr>
      </w:pPr>
      <w:r>
        <w:rPr>
          <w:w w:val="105"/>
          <w:sz w:val="13"/>
        </w:rPr>
        <w:t>For more information see Ch</w:t>
      </w:r>
      <w:r>
        <w:rPr>
          <w:spacing w:val="22"/>
          <w:w w:val="105"/>
          <w:sz w:val="13"/>
        </w:rPr>
        <w:t> </w:t>
      </w:r>
      <w:r>
        <w:rPr>
          <w:w w:val="105"/>
          <w:sz w:val="13"/>
        </w:rPr>
        <w:t>10.</w:t>
      </w:r>
    </w:p>
    <w:p>
      <w:pPr>
        <w:pStyle w:val="ListParagraph"/>
        <w:numPr>
          <w:ilvl w:val="0"/>
          <w:numId w:val="91"/>
        </w:numPr>
        <w:tabs>
          <w:tab w:pos="2381" w:val="left" w:leader="none"/>
          <w:tab w:pos="2382" w:val="left" w:leader="none"/>
        </w:tabs>
        <w:spacing w:line="240" w:lineRule="auto" w:before="2" w:after="0"/>
        <w:ind w:left="2381"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5"/>
          <w:w w:val="105"/>
          <w:sz w:val="13"/>
        </w:rPr>
        <w:t> </w:t>
      </w:r>
      <w:r>
        <w:rPr>
          <w:spacing w:val="3"/>
          <w:w w:val="105"/>
          <w:sz w:val="13"/>
        </w:rPr>
        <w:t>54(2).</w:t>
      </w:r>
    </w:p>
    <w:p>
      <w:pPr>
        <w:pStyle w:val="ListParagraph"/>
        <w:numPr>
          <w:ilvl w:val="0"/>
          <w:numId w:val="91"/>
        </w:numPr>
        <w:tabs>
          <w:tab w:pos="2381" w:val="left" w:leader="none"/>
          <w:tab w:pos="2382" w:val="left" w:leader="none"/>
        </w:tabs>
        <w:spacing w:line="240" w:lineRule="auto" w:before="1" w:after="0"/>
        <w:ind w:left="2381" w:right="172" w:hanging="793"/>
        <w:jc w:val="left"/>
        <w:rPr>
          <w:sz w:val="13"/>
        </w:rPr>
      </w:pPr>
      <w:r>
        <w:rPr>
          <w:w w:val="105"/>
          <w:sz w:val="13"/>
        </w:rPr>
        <w:t>Ibid s 42; 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w:t>
      </w:r>
      <w:r>
        <w:rPr>
          <w:spacing w:val="30"/>
          <w:w w:val="105"/>
          <w:sz w:val="13"/>
        </w:rPr>
        <w:t> </w:t>
      </w:r>
      <w:r>
        <w:rPr>
          <w:w w:val="105"/>
          <w:sz w:val="13"/>
        </w:rPr>
        <w:t>72, 2015)</w:t>
      </w:r>
      <w:r>
        <w:rPr>
          <w:spacing w:val="9"/>
          <w:w w:val="105"/>
          <w:sz w:val="13"/>
        </w:rPr>
        <w:t> </w:t>
      </w:r>
      <w:r>
        <w:rPr>
          <w:w w:val="105"/>
          <w:sz w:val="13"/>
        </w:rPr>
        <w:t>[3.221].</w:t>
      </w:r>
    </w:p>
    <w:p>
      <w:pPr>
        <w:pStyle w:val="ListParagraph"/>
        <w:numPr>
          <w:ilvl w:val="0"/>
          <w:numId w:val="91"/>
        </w:numPr>
        <w:tabs>
          <w:tab w:pos="2381" w:val="left" w:leader="none"/>
          <w:tab w:pos="2382" w:val="left" w:leader="none"/>
        </w:tabs>
        <w:spacing w:line="240" w:lineRule="auto" w:before="3" w:after="0"/>
        <w:ind w:left="2381" w:right="0" w:hanging="793"/>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5"/>
          <w:w w:val="105"/>
          <w:sz w:val="13"/>
        </w:rPr>
        <w:t> </w:t>
      </w:r>
      <w:r>
        <w:rPr>
          <w:w w:val="105"/>
          <w:sz w:val="13"/>
        </w:rPr>
        <w:t>43.</w:t>
      </w:r>
    </w:p>
    <w:p>
      <w:pPr>
        <w:pStyle w:val="ListParagraph"/>
        <w:numPr>
          <w:ilvl w:val="0"/>
          <w:numId w:val="91"/>
        </w:numPr>
        <w:tabs>
          <w:tab w:pos="2381" w:val="left" w:leader="none"/>
          <w:tab w:pos="2382" w:val="left" w:leader="none"/>
        </w:tabs>
        <w:spacing w:line="240" w:lineRule="auto" w:before="1" w:after="0"/>
        <w:ind w:left="2381" w:right="0" w:hanging="793"/>
        <w:jc w:val="left"/>
        <w:rPr>
          <w:sz w:val="13"/>
        </w:rPr>
      </w:pPr>
      <w:r>
        <w:rPr>
          <w:i/>
          <w:w w:val="105"/>
          <w:sz w:val="13"/>
        </w:rPr>
        <w:t>Neighbourhood</w:t>
      </w:r>
      <w:r>
        <w:rPr>
          <w:i/>
          <w:spacing w:val="5"/>
          <w:w w:val="105"/>
          <w:sz w:val="13"/>
        </w:rPr>
        <w:t> </w:t>
      </w:r>
      <w:r>
        <w:rPr>
          <w:i/>
          <w:w w:val="105"/>
          <w:sz w:val="13"/>
        </w:rPr>
        <w:t>Disputes</w:t>
      </w:r>
      <w:r>
        <w:rPr>
          <w:i/>
          <w:spacing w:val="6"/>
          <w:w w:val="105"/>
          <w:sz w:val="13"/>
        </w:rPr>
        <w:t> </w:t>
      </w:r>
      <w:r>
        <w:rPr>
          <w:i/>
          <w:w w:val="105"/>
          <w:sz w:val="13"/>
        </w:rPr>
        <w:t>About</w:t>
      </w:r>
      <w:r>
        <w:rPr>
          <w:i/>
          <w:spacing w:val="6"/>
          <w:w w:val="105"/>
          <w:sz w:val="13"/>
        </w:rPr>
        <w:t> </w:t>
      </w:r>
      <w:r>
        <w:rPr>
          <w:i/>
          <w:w w:val="105"/>
          <w:sz w:val="13"/>
        </w:rPr>
        <w:t>Plants</w:t>
      </w:r>
      <w:r>
        <w:rPr>
          <w:i/>
          <w:spacing w:val="5"/>
          <w:w w:val="105"/>
          <w:sz w:val="13"/>
        </w:rPr>
        <w:t> </w:t>
      </w:r>
      <w:r>
        <w:rPr>
          <w:i/>
          <w:w w:val="105"/>
          <w:sz w:val="13"/>
        </w:rPr>
        <w:t>Act</w:t>
      </w:r>
      <w:r>
        <w:rPr>
          <w:i/>
          <w:spacing w:val="6"/>
          <w:w w:val="105"/>
          <w:sz w:val="13"/>
        </w:rPr>
        <w:t> </w:t>
      </w:r>
      <w:r>
        <w:rPr>
          <w:i/>
          <w:spacing w:val="-4"/>
          <w:w w:val="105"/>
          <w:sz w:val="13"/>
        </w:rPr>
        <w:t>2017</w:t>
      </w:r>
      <w:r>
        <w:rPr>
          <w:i/>
          <w:spacing w:val="6"/>
          <w:w w:val="105"/>
          <w:sz w:val="13"/>
        </w:rPr>
        <w:t> </w:t>
      </w:r>
      <w:r>
        <w:rPr>
          <w:w w:val="105"/>
          <w:sz w:val="13"/>
        </w:rPr>
        <w:t>(Tas)</w:t>
      </w:r>
      <w:r>
        <w:rPr>
          <w:spacing w:val="5"/>
          <w:w w:val="105"/>
          <w:sz w:val="13"/>
        </w:rPr>
        <w:t> </w:t>
      </w:r>
      <w:r>
        <w:rPr>
          <w:w w:val="105"/>
          <w:sz w:val="13"/>
        </w:rPr>
        <w:t>s</w:t>
      </w:r>
      <w:r>
        <w:rPr>
          <w:spacing w:val="6"/>
          <w:w w:val="105"/>
          <w:sz w:val="13"/>
        </w:rPr>
        <w:t> </w:t>
      </w:r>
      <w:r>
        <w:rPr>
          <w:w w:val="105"/>
          <w:sz w:val="13"/>
        </w:rPr>
        <w:t>12(2).</w:t>
      </w:r>
      <w:r>
        <w:rPr>
          <w:spacing w:val="6"/>
          <w:w w:val="105"/>
          <w:sz w:val="13"/>
        </w:rPr>
        <w:t> </w:t>
      </w:r>
      <w:r>
        <w:rPr>
          <w:w w:val="105"/>
          <w:sz w:val="13"/>
        </w:rPr>
        <w:t>This</w:t>
      </w:r>
      <w:r>
        <w:rPr>
          <w:spacing w:val="5"/>
          <w:w w:val="105"/>
          <w:sz w:val="13"/>
        </w:rPr>
        <w:t> </w:t>
      </w:r>
      <w:r>
        <w:rPr>
          <w:w w:val="105"/>
          <w:sz w:val="13"/>
        </w:rPr>
        <w:t>does</w:t>
      </w:r>
      <w:r>
        <w:rPr>
          <w:spacing w:val="6"/>
          <w:w w:val="105"/>
          <w:sz w:val="13"/>
        </w:rPr>
        <w:t> </w:t>
      </w:r>
      <w:r>
        <w:rPr>
          <w:w w:val="105"/>
          <w:sz w:val="13"/>
        </w:rPr>
        <w:t>not</w:t>
      </w:r>
      <w:r>
        <w:rPr>
          <w:spacing w:val="6"/>
          <w:w w:val="105"/>
          <w:sz w:val="13"/>
        </w:rPr>
        <w:t> </w:t>
      </w:r>
      <w:r>
        <w:rPr>
          <w:w w:val="105"/>
          <w:sz w:val="13"/>
        </w:rPr>
        <w:t>apply</w:t>
      </w:r>
      <w:r>
        <w:rPr>
          <w:spacing w:val="5"/>
          <w:w w:val="105"/>
          <w:sz w:val="13"/>
        </w:rPr>
        <w:t> </w:t>
      </w:r>
      <w:r>
        <w:rPr>
          <w:w w:val="105"/>
          <w:sz w:val="13"/>
        </w:rPr>
        <w:t>to</w:t>
      </w:r>
      <w:r>
        <w:rPr>
          <w:spacing w:val="6"/>
          <w:w w:val="105"/>
          <w:sz w:val="13"/>
        </w:rPr>
        <w:t> </w:t>
      </w:r>
      <w:r>
        <w:rPr>
          <w:w w:val="105"/>
          <w:sz w:val="13"/>
        </w:rPr>
        <w:t>trees</w:t>
      </w:r>
      <w:r>
        <w:rPr>
          <w:spacing w:val="6"/>
          <w:w w:val="105"/>
          <w:sz w:val="13"/>
        </w:rPr>
        <w:t> </w:t>
      </w:r>
      <w:r>
        <w:rPr>
          <w:w w:val="105"/>
          <w:sz w:val="13"/>
        </w:rPr>
        <w:t>that</w:t>
      </w:r>
      <w:r>
        <w:rPr>
          <w:spacing w:val="6"/>
          <w:w w:val="105"/>
          <w:sz w:val="13"/>
        </w:rPr>
        <w:t> </w:t>
      </w:r>
      <w:r>
        <w:rPr>
          <w:w w:val="105"/>
          <w:sz w:val="13"/>
        </w:rPr>
        <w:t>are</w:t>
      </w:r>
      <w:r>
        <w:rPr>
          <w:spacing w:val="5"/>
          <w:w w:val="105"/>
          <w:sz w:val="13"/>
        </w:rPr>
        <w:t> </w:t>
      </w:r>
      <w:r>
        <w:rPr>
          <w:w w:val="105"/>
          <w:sz w:val="13"/>
        </w:rPr>
        <w:t>not</w:t>
      </w:r>
      <w:r>
        <w:rPr>
          <w:spacing w:val="6"/>
          <w:w w:val="105"/>
          <w:sz w:val="13"/>
        </w:rPr>
        <w:t> </w:t>
      </w:r>
      <w:r>
        <w:rPr>
          <w:w w:val="105"/>
          <w:sz w:val="13"/>
        </w:rPr>
        <w:t>covered</w:t>
      </w:r>
      <w:r>
        <w:rPr>
          <w:spacing w:val="6"/>
          <w:w w:val="105"/>
          <w:sz w:val="13"/>
        </w:rPr>
        <w:t> </w:t>
      </w:r>
      <w:r>
        <w:rPr>
          <w:w w:val="105"/>
          <w:sz w:val="13"/>
        </w:rPr>
        <w:t>by</w:t>
      </w:r>
      <w:r>
        <w:rPr>
          <w:spacing w:val="5"/>
          <w:w w:val="105"/>
          <w:sz w:val="13"/>
        </w:rPr>
        <w:t> </w:t>
      </w:r>
      <w:r>
        <w:rPr>
          <w:w w:val="105"/>
          <w:sz w:val="13"/>
        </w:rPr>
        <w:t>the</w:t>
      </w:r>
      <w:r>
        <w:rPr>
          <w:spacing w:val="6"/>
          <w:w w:val="105"/>
          <w:sz w:val="13"/>
        </w:rPr>
        <w:t> </w:t>
      </w:r>
      <w:r>
        <w:rPr>
          <w:w w:val="105"/>
          <w:sz w:val="13"/>
        </w:rPr>
        <w:t>Act:</w:t>
      </w:r>
      <w:r>
        <w:rPr>
          <w:spacing w:val="6"/>
          <w:w w:val="105"/>
          <w:sz w:val="13"/>
        </w:rPr>
        <w:t> </w:t>
      </w:r>
      <w:r>
        <w:rPr>
          <w:w w:val="105"/>
          <w:sz w:val="13"/>
        </w:rPr>
        <w:t>s</w:t>
      </w:r>
      <w:r>
        <w:rPr>
          <w:spacing w:val="5"/>
          <w:w w:val="105"/>
          <w:sz w:val="13"/>
        </w:rPr>
        <w:t> </w:t>
      </w:r>
      <w:r>
        <w:rPr>
          <w:w w:val="105"/>
          <w:sz w:val="13"/>
        </w:rPr>
        <w:t>5.</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41"/>
        </w:rPr>
      </w:pPr>
    </w:p>
    <w:p>
      <w:pPr>
        <w:spacing w:before="0"/>
        <w:ind w:left="555" w:right="572" w:firstLine="0"/>
        <w:jc w:val="center"/>
        <w:rPr>
          <w:b/>
          <w:sz w:val="24"/>
        </w:rPr>
      </w:pPr>
      <w:r>
        <w:rPr>
          <w:b/>
          <w:color w:val="658464"/>
          <w:w w:val="110"/>
          <w:sz w:val="24"/>
        </w:rPr>
        <w:t>113</w:t>
      </w:r>
    </w:p>
    <w:p>
      <w:pPr>
        <w:spacing w:after="0"/>
        <w:jc w:val="center"/>
        <w:rPr>
          <w:sz w:val="24"/>
        </w:rPr>
        <w:sectPr>
          <w:type w:val="continuous"/>
          <w:pgSz w:w="11910" w:h="16840"/>
          <w:pgMar w:top="300" w:bottom="280" w:left="0" w:right="0"/>
          <w:cols w:num="2" w:equalWidth="0">
            <w:col w:w="10298" w:space="40"/>
            <w:col w:w="1572"/>
          </w:cols>
        </w:sectPr>
      </w:pPr>
    </w:p>
    <w:p>
      <w:pPr>
        <w:pStyle w:val="BodyText"/>
        <w:spacing w:before="11"/>
        <w:rPr>
          <w:b/>
        </w:rPr>
      </w:pPr>
    </w:p>
    <w:p>
      <w:pPr>
        <w:spacing w:before="96"/>
        <w:ind w:left="1587" w:right="0" w:firstLine="0"/>
        <w:jc w:val="left"/>
        <w:rPr>
          <w:b/>
          <w:sz w:val="24"/>
        </w:rPr>
      </w:pPr>
      <w:bookmarkStart w:name="_bookmark63" w:id="147"/>
      <w:bookmarkEnd w:id="147"/>
      <w:r>
        <w:rPr/>
      </w:r>
      <w:r>
        <w:rPr>
          <w:b/>
          <w:w w:val="110"/>
          <w:sz w:val="24"/>
        </w:rPr>
        <w:t>Informal resolution in the interstate Acts</w:t>
      </w:r>
    </w:p>
    <w:p>
      <w:pPr>
        <w:pStyle w:val="ListParagraph"/>
        <w:numPr>
          <w:ilvl w:val="1"/>
          <w:numId w:val="16"/>
        </w:numPr>
        <w:tabs>
          <w:tab w:pos="2381" w:val="left" w:leader="none"/>
          <w:tab w:pos="2382" w:val="left" w:leader="none"/>
        </w:tabs>
        <w:spacing w:line="242" w:lineRule="auto" w:before="137" w:after="0"/>
        <w:ind w:left="2381" w:right="1650" w:hanging="794"/>
        <w:jc w:val="left"/>
        <w:rPr>
          <w:sz w:val="21"/>
        </w:rPr>
      </w:pPr>
      <w:r>
        <w:rPr>
          <w:w w:val="105"/>
          <w:sz w:val="21"/>
        </w:rPr>
        <w:t>The</w:t>
      </w:r>
      <w:r>
        <w:rPr>
          <w:spacing w:val="-5"/>
          <w:w w:val="105"/>
          <w:sz w:val="21"/>
        </w:rPr>
        <w:t> </w:t>
      </w:r>
      <w:r>
        <w:rPr>
          <w:w w:val="105"/>
          <w:sz w:val="21"/>
        </w:rPr>
        <w:t>statutory</w:t>
      </w:r>
      <w:r>
        <w:rPr>
          <w:spacing w:val="-5"/>
          <w:w w:val="105"/>
          <w:sz w:val="21"/>
        </w:rPr>
        <w:t> </w:t>
      </w:r>
      <w:r>
        <w:rPr>
          <w:w w:val="105"/>
          <w:sz w:val="21"/>
        </w:rPr>
        <w:t>schemes</w:t>
      </w:r>
      <w:r>
        <w:rPr>
          <w:spacing w:val="-5"/>
          <w:w w:val="105"/>
          <w:sz w:val="21"/>
        </w:rPr>
        <w:t> </w:t>
      </w:r>
      <w:r>
        <w:rPr>
          <w:w w:val="105"/>
          <w:sz w:val="21"/>
        </w:rPr>
        <w:t>in</w:t>
      </w:r>
      <w:r>
        <w:rPr>
          <w:spacing w:val="-5"/>
          <w:w w:val="105"/>
          <w:sz w:val="21"/>
        </w:rPr>
        <w:t> </w:t>
      </w:r>
      <w:r>
        <w:rPr>
          <w:w w:val="105"/>
          <w:sz w:val="21"/>
        </w:rPr>
        <w:t>New</w:t>
      </w:r>
      <w:r>
        <w:rPr>
          <w:spacing w:val="-5"/>
          <w:w w:val="105"/>
          <w:sz w:val="21"/>
        </w:rPr>
        <w:t> </w:t>
      </w:r>
      <w:r>
        <w:rPr>
          <w:w w:val="105"/>
          <w:sz w:val="21"/>
        </w:rPr>
        <w:t>South</w:t>
      </w:r>
      <w:r>
        <w:rPr>
          <w:spacing w:val="-5"/>
          <w:w w:val="105"/>
          <w:sz w:val="21"/>
        </w:rPr>
        <w:t> </w:t>
      </w:r>
      <w:r>
        <w:rPr>
          <w:spacing w:val="-3"/>
          <w:w w:val="105"/>
          <w:sz w:val="21"/>
        </w:rPr>
        <w:t>Wales,</w:t>
      </w:r>
      <w:r>
        <w:rPr>
          <w:spacing w:val="-4"/>
          <w:w w:val="105"/>
          <w:sz w:val="21"/>
        </w:rPr>
        <w:t> </w:t>
      </w:r>
      <w:r>
        <w:rPr>
          <w:spacing w:val="-3"/>
          <w:w w:val="105"/>
          <w:sz w:val="21"/>
        </w:rPr>
        <w:t>Queensland</w:t>
      </w:r>
      <w:r>
        <w:rPr>
          <w:spacing w:val="-5"/>
          <w:w w:val="105"/>
          <w:sz w:val="21"/>
        </w:rPr>
        <w:t> </w:t>
      </w:r>
      <w:r>
        <w:rPr>
          <w:w w:val="105"/>
          <w:sz w:val="21"/>
        </w:rPr>
        <w:t>and</w:t>
      </w:r>
      <w:r>
        <w:rPr>
          <w:spacing w:val="-5"/>
          <w:w w:val="105"/>
          <w:sz w:val="21"/>
        </w:rPr>
        <w:t> Tasmania </w:t>
      </w:r>
      <w:r>
        <w:rPr>
          <w:spacing w:val="-3"/>
          <w:w w:val="105"/>
          <w:sz w:val="21"/>
        </w:rPr>
        <w:t>encourage</w:t>
      </w:r>
      <w:r>
        <w:rPr>
          <w:spacing w:val="-5"/>
          <w:w w:val="105"/>
          <w:sz w:val="21"/>
        </w:rPr>
        <w:t> </w:t>
      </w:r>
      <w:r>
        <w:rPr>
          <w:w w:val="105"/>
          <w:sz w:val="21"/>
        </w:rPr>
        <w:t>people </w:t>
      </w:r>
      <w:r>
        <w:rPr>
          <w:spacing w:val="-3"/>
          <w:w w:val="105"/>
          <w:sz w:val="21"/>
        </w:rPr>
        <w:t>involved </w:t>
      </w:r>
      <w:r>
        <w:rPr>
          <w:w w:val="105"/>
          <w:sz w:val="21"/>
        </w:rPr>
        <w:t>in tree </w:t>
      </w:r>
      <w:r>
        <w:rPr>
          <w:spacing w:val="-3"/>
          <w:w w:val="105"/>
          <w:sz w:val="21"/>
        </w:rPr>
        <w:t>disputes to </w:t>
      </w:r>
      <w:r>
        <w:rPr>
          <w:w w:val="105"/>
          <w:sz w:val="21"/>
        </w:rPr>
        <w:t>resolve them </w:t>
      </w:r>
      <w:r>
        <w:rPr>
          <w:spacing w:val="-4"/>
          <w:w w:val="105"/>
          <w:sz w:val="21"/>
        </w:rPr>
        <w:t>informally. </w:t>
      </w:r>
      <w:r>
        <w:rPr>
          <w:w w:val="105"/>
          <w:sz w:val="21"/>
        </w:rPr>
        <w:t>There </w:t>
      </w:r>
      <w:r>
        <w:rPr>
          <w:spacing w:val="-3"/>
          <w:w w:val="105"/>
          <w:sz w:val="21"/>
        </w:rPr>
        <w:t>are subtle differences </w:t>
      </w:r>
      <w:r>
        <w:rPr>
          <w:w w:val="105"/>
          <w:sz w:val="21"/>
        </w:rPr>
        <w:t>in how the schemes </w:t>
      </w:r>
      <w:r>
        <w:rPr>
          <w:spacing w:val="-3"/>
          <w:w w:val="105"/>
          <w:sz w:val="21"/>
        </w:rPr>
        <w:t>accommodate informal</w:t>
      </w:r>
      <w:r>
        <w:rPr>
          <w:spacing w:val="21"/>
          <w:w w:val="105"/>
          <w:sz w:val="21"/>
        </w:rPr>
        <w:t> </w:t>
      </w:r>
      <w:r>
        <w:rPr>
          <w:spacing w:val="-3"/>
          <w:w w:val="105"/>
          <w:sz w:val="21"/>
        </w:rPr>
        <w:t>resolution.</w:t>
      </w:r>
    </w:p>
    <w:p>
      <w:pPr>
        <w:pStyle w:val="ListParagraph"/>
        <w:numPr>
          <w:ilvl w:val="1"/>
          <w:numId w:val="16"/>
        </w:numPr>
        <w:tabs>
          <w:tab w:pos="2380" w:val="left" w:leader="none"/>
          <w:tab w:pos="2381" w:val="left" w:leader="none"/>
        </w:tabs>
        <w:spacing w:line="242" w:lineRule="auto" w:before="123" w:after="0"/>
        <w:ind w:left="2381" w:right="1751" w:hanging="794"/>
        <w:jc w:val="left"/>
        <w:rPr>
          <w:sz w:val="21"/>
        </w:rPr>
      </w:pPr>
      <w:r>
        <w:rPr>
          <w:w w:val="105"/>
          <w:sz w:val="21"/>
        </w:rPr>
        <w:t>The </w:t>
      </w:r>
      <w:r>
        <w:rPr>
          <w:spacing w:val="-3"/>
          <w:w w:val="105"/>
          <w:sz w:val="21"/>
        </w:rPr>
        <w:t>Queensland </w:t>
      </w:r>
      <w:r>
        <w:rPr>
          <w:w w:val="105"/>
          <w:sz w:val="21"/>
        </w:rPr>
        <w:t>and </w:t>
      </w:r>
      <w:r>
        <w:rPr>
          <w:spacing w:val="-4"/>
          <w:w w:val="105"/>
          <w:sz w:val="21"/>
        </w:rPr>
        <w:t>Tasmanian </w:t>
      </w:r>
      <w:r>
        <w:rPr>
          <w:w w:val="105"/>
          <w:sz w:val="21"/>
        </w:rPr>
        <w:t>Acts </w:t>
      </w:r>
      <w:r>
        <w:rPr>
          <w:spacing w:val="-3"/>
          <w:w w:val="105"/>
          <w:sz w:val="21"/>
        </w:rPr>
        <w:t>contain overarching provisions that encourage </w:t>
      </w:r>
      <w:r>
        <w:rPr>
          <w:w w:val="105"/>
          <w:sz w:val="21"/>
        </w:rPr>
        <w:t>the use</w:t>
      </w:r>
      <w:r>
        <w:rPr>
          <w:spacing w:val="-8"/>
          <w:w w:val="105"/>
          <w:sz w:val="21"/>
        </w:rPr>
        <w:t> </w:t>
      </w:r>
      <w:r>
        <w:rPr>
          <w:w w:val="105"/>
          <w:sz w:val="21"/>
        </w:rPr>
        <w:t>of</w:t>
      </w:r>
      <w:r>
        <w:rPr>
          <w:spacing w:val="-7"/>
          <w:w w:val="105"/>
          <w:sz w:val="21"/>
        </w:rPr>
        <w:t> </w:t>
      </w:r>
      <w:r>
        <w:rPr>
          <w:spacing w:val="-3"/>
          <w:w w:val="105"/>
          <w:sz w:val="21"/>
        </w:rPr>
        <w:t>informal</w:t>
      </w:r>
      <w:r>
        <w:rPr>
          <w:spacing w:val="-8"/>
          <w:w w:val="105"/>
          <w:sz w:val="21"/>
        </w:rPr>
        <w:t> </w:t>
      </w:r>
      <w:r>
        <w:rPr>
          <w:spacing w:val="-3"/>
          <w:w w:val="105"/>
          <w:sz w:val="21"/>
        </w:rPr>
        <w:t>resolution.</w:t>
      </w:r>
      <w:r>
        <w:rPr>
          <w:spacing w:val="-7"/>
          <w:w w:val="105"/>
          <w:sz w:val="21"/>
        </w:rPr>
        <w:t> </w:t>
      </w:r>
      <w:r>
        <w:rPr>
          <w:w w:val="105"/>
          <w:sz w:val="21"/>
        </w:rPr>
        <w:t>These</w:t>
      </w:r>
      <w:r>
        <w:rPr>
          <w:spacing w:val="-7"/>
          <w:w w:val="105"/>
          <w:sz w:val="21"/>
        </w:rPr>
        <w:t> </w:t>
      </w:r>
      <w:r>
        <w:rPr>
          <w:spacing w:val="-3"/>
          <w:w w:val="105"/>
          <w:sz w:val="21"/>
        </w:rPr>
        <w:t>provisions</w:t>
      </w:r>
      <w:r>
        <w:rPr>
          <w:spacing w:val="-8"/>
          <w:w w:val="105"/>
          <w:sz w:val="21"/>
        </w:rPr>
        <w:t> </w:t>
      </w:r>
      <w:r>
        <w:rPr>
          <w:spacing w:val="-3"/>
          <w:w w:val="105"/>
          <w:sz w:val="21"/>
        </w:rPr>
        <w:t>are</w:t>
      </w:r>
      <w:r>
        <w:rPr>
          <w:spacing w:val="-7"/>
          <w:w w:val="105"/>
          <w:sz w:val="21"/>
        </w:rPr>
        <w:t> </w:t>
      </w:r>
      <w:r>
        <w:rPr>
          <w:spacing w:val="-2"/>
          <w:w w:val="105"/>
          <w:sz w:val="21"/>
        </w:rPr>
        <w:t>not</w:t>
      </w:r>
      <w:r>
        <w:rPr>
          <w:spacing w:val="-7"/>
          <w:w w:val="105"/>
          <w:sz w:val="21"/>
        </w:rPr>
        <w:t> </w:t>
      </w:r>
      <w:r>
        <w:rPr>
          <w:spacing w:val="-3"/>
          <w:w w:val="105"/>
          <w:sz w:val="21"/>
        </w:rPr>
        <w:t>binding.</w:t>
      </w:r>
      <w:r>
        <w:rPr>
          <w:spacing w:val="-8"/>
          <w:w w:val="105"/>
          <w:sz w:val="21"/>
        </w:rPr>
        <w:t> </w:t>
      </w:r>
      <w:r>
        <w:rPr>
          <w:w w:val="105"/>
          <w:sz w:val="21"/>
        </w:rPr>
        <w:t>They</w:t>
      </w:r>
      <w:r>
        <w:rPr>
          <w:spacing w:val="-7"/>
          <w:w w:val="105"/>
          <w:sz w:val="21"/>
        </w:rPr>
        <w:t> </w:t>
      </w:r>
      <w:r>
        <w:rPr>
          <w:w w:val="105"/>
          <w:sz w:val="21"/>
        </w:rPr>
        <w:t>operate</w:t>
      </w:r>
      <w:r>
        <w:rPr>
          <w:spacing w:val="-8"/>
          <w:w w:val="105"/>
          <w:sz w:val="21"/>
        </w:rPr>
        <w:t> </w:t>
      </w:r>
      <w:r>
        <w:rPr>
          <w:w w:val="105"/>
          <w:sz w:val="21"/>
        </w:rPr>
        <w:t>in</w:t>
      </w:r>
      <w:r>
        <w:rPr>
          <w:spacing w:val="-7"/>
          <w:w w:val="105"/>
          <w:sz w:val="21"/>
        </w:rPr>
        <w:t> </w:t>
      </w:r>
      <w:r>
        <w:rPr>
          <w:w w:val="105"/>
          <w:sz w:val="21"/>
        </w:rPr>
        <w:t>conjunction with other </w:t>
      </w:r>
      <w:r>
        <w:rPr>
          <w:spacing w:val="-3"/>
          <w:w w:val="105"/>
          <w:sz w:val="21"/>
        </w:rPr>
        <w:t>legislative</w:t>
      </w:r>
      <w:r>
        <w:rPr>
          <w:spacing w:val="14"/>
          <w:w w:val="105"/>
          <w:sz w:val="21"/>
        </w:rPr>
        <w:t> </w:t>
      </w:r>
      <w:r>
        <w:rPr>
          <w:spacing w:val="-3"/>
          <w:w w:val="105"/>
          <w:sz w:val="21"/>
        </w:rPr>
        <w:t>mechanisms.</w:t>
      </w:r>
    </w:p>
    <w:p>
      <w:pPr>
        <w:pStyle w:val="ListParagraph"/>
        <w:numPr>
          <w:ilvl w:val="1"/>
          <w:numId w:val="16"/>
        </w:numPr>
        <w:tabs>
          <w:tab w:pos="2380" w:val="left" w:leader="none"/>
          <w:tab w:pos="2381" w:val="left" w:leader="none"/>
        </w:tabs>
        <w:spacing w:line="242" w:lineRule="auto" w:before="124" w:after="0"/>
        <w:ind w:left="2380" w:right="1972" w:hanging="793"/>
        <w:jc w:val="left"/>
        <w:rPr>
          <w:sz w:val="21"/>
        </w:rPr>
      </w:pPr>
      <w:r>
        <w:rPr>
          <w:sz w:val="21"/>
        </w:rPr>
        <w:t>The </w:t>
      </w:r>
      <w:r>
        <w:rPr>
          <w:spacing w:val="-4"/>
          <w:sz w:val="21"/>
        </w:rPr>
        <w:t>Tasmanian </w:t>
      </w:r>
      <w:r>
        <w:rPr>
          <w:sz w:val="21"/>
        </w:rPr>
        <w:t>Act </w:t>
      </w:r>
      <w:r>
        <w:rPr>
          <w:spacing w:val="-3"/>
          <w:sz w:val="21"/>
        </w:rPr>
        <w:t>includes  </w:t>
      </w:r>
      <w:r>
        <w:rPr>
          <w:sz w:val="21"/>
        </w:rPr>
        <w:t>a </w:t>
      </w:r>
      <w:r>
        <w:rPr>
          <w:spacing w:val="-3"/>
          <w:sz w:val="21"/>
        </w:rPr>
        <w:t>provision</w:t>
      </w:r>
      <w:r>
        <w:rPr>
          <w:spacing w:val="41"/>
          <w:sz w:val="21"/>
        </w:rPr>
        <w:t> </w:t>
      </w:r>
      <w:r>
        <w:rPr>
          <w:spacing w:val="-3"/>
          <w:sz w:val="21"/>
        </w:rPr>
        <w:t>that  </w:t>
      </w:r>
      <w:r>
        <w:rPr>
          <w:sz w:val="21"/>
        </w:rPr>
        <w:t>enables an affected </w:t>
      </w:r>
      <w:r>
        <w:rPr>
          <w:spacing w:val="-3"/>
          <w:sz w:val="21"/>
        </w:rPr>
        <w:t>neighbour  to  </w:t>
      </w:r>
      <w:r>
        <w:rPr>
          <w:sz w:val="21"/>
        </w:rPr>
        <w:t>request  a tree owner </w:t>
      </w:r>
      <w:r>
        <w:rPr>
          <w:spacing w:val="-3"/>
          <w:sz w:val="21"/>
        </w:rPr>
        <w:t>to take </w:t>
      </w:r>
      <w:r>
        <w:rPr>
          <w:sz w:val="21"/>
        </w:rPr>
        <w:t>action </w:t>
      </w:r>
      <w:r>
        <w:rPr>
          <w:spacing w:val="-3"/>
          <w:sz w:val="21"/>
        </w:rPr>
        <w:t>to ensure that land  </w:t>
      </w:r>
      <w:r>
        <w:rPr>
          <w:sz w:val="21"/>
        </w:rPr>
        <w:t>is  no  longer  affected  by  the  tree either </w:t>
      </w:r>
      <w:r>
        <w:rPr>
          <w:spacing w:val="-3"/>
          <w:sz w:val="21"/>
        </w:rPr>
        <w:t>verbally </w:t>
      </w:r>
      <w:r>
        <w:rPr>
          <w:sz w:val="21"/>
        </w:rPr>
        <w:t>or in </w:t>
      </w:r>
      <w:r>
        <w:rPr>
          <w:spacing w:val="-3"/>
          <w:sz w:val="21"/>
        </w:rPr>
        <w:t>writing. </w:t>
      </w:r>
      <w:r>
        <w:rPr>
          <w:sz w:val="21"/>
        </w:rPr>
        <w:t>Both parties </w:t>
      </w:r>
      <w:r>
        <w:rPr>
          <w:spacing w:val="-3"/>
          <w:sz w:val="21"/>
        </w:rPr>
        <w:t>are required to </w:t>
      </w:r>
      <w:r>
        <w:rPr>
          <w:spacing w:val="-4"/>
          <w:sz w:val="21"/>
        </w:rPr>
        <w:t>make </w:t>
      </w:r>
      <w:r>
        <w:rPr>
          <w:spacing w:val="-3"/>
          <w:sz w:val="21"/>
        </w:rPr>
        <w:t>reasonable</w:t>
      </w:r>
      <w:r>
        <w:rPr>
          <w:spacing w:val="-15"/>
          <w:sz w:val="21"/>
        </w:rPr>
        <w:t> </w:t>
      </w:r>
      <w:r>
        <w:rPr>
          <w:sz w:val="21"/>
        </w:rPr>
        <w:t>attempts </w:t>
      </w:r>
      <w:r>
        <w:rPr>
          <w:spacing w:val="-3"/>
          <w:sz w:val="21"/>
        </w:rPr>
        <w:t>to</w:t>
      </w:r>
    </w:p>
    <w:p>
      <w:pPr>
        <w:pStyle w:val="BodyText"/>
        <w:spacing w:line="242" w:lineRule="auto" w:before="3"/>
        <w:ind w:left="2380" w:right="1853"/>
        <w:rPr>
          <w:sz w:val="12"/>
        </w:rPr>
      </w:pPr>
      <w:r>
        <w:rPr>
          <w:spacing w:val="-3"/>
          <w:w w:val="105"/>
        </w:rPr>
        <w:t>prevent </w:t>
      </w:r>
      <w:r>
        <w:rPr>
          <w:w w:val="105"/>
        </w:rPr>
        <w:t>the </w:t>
      </w:r>
      <w:r>
        <w:rPr>
          <w:spacing w:val="-3"/>
          <w:w w:val="105"/>
        </w:rPr>
        <w:t>land </w:t>
      </w:r>
      <w:r>
        <w:rPr>
          <w:w w:val="105"/>
        </w:rPr>
        <w:t>being affected by the </w:t>
      </w:r>
      <w:r>
        <w:rPr>
          <w:spacing w:val="-3"/>
          <w:w w:val="105"/>
        </w:rPr>
        <w:t>plant </w:t>
      </w:r>
      <w:r>
        <w:rPr>
          <w:w w:val="105"/>
        </w:rPr>
        <w:t>or </w:t>
      </w:r>
      <w:r>
        <w:rPr>
          <w:spacing w:val="-3"/>
          <w:w w:val="105"/>
        </w:rPr>
        <w:t>to minimise </w:t>
      </w:r>
      <w:r>
        <w:rPr>
          <w:w w:val="105"/>
        </w:rPr>
        <w:t>the degree </w:t>
      </w:r>
      <w:r>
        <w:rPr>
          <w:spacing w:val="-3"/>
          <w:w w:val="105"/>
        </w:rPr>
        <w:t>to </w:t>
      </w:r>
      <w:r>
        <w:rPr>
          <w:w w:val="105"/>
        </w:rPr>
        <w:t>which </w:t>
      </w:r>
      <w:r>
        <w:rPr>
          <w:spacing w:val="-3"/>
          <w:w w:val="105"/>
        </w:rPr>
        <w:t>land </w:t>
      </w:r>
      <w:r>
        <w:rPr>
          <w:w w:val="105"/>
        </w:rPr>
        <w:t>is affected.</w:t>
      </w:r>
      <w:r>
        <w:rPr>
          <w:w w:val="105"/>
          <w:position w:val="7"/>
          <w:sz w:val="12"/>
        </w:rPr>
        <w:t>20</w:t>
      </w:r>
    </w:p>
    <w:p>
      <w:pPr>
        <w:pStyle w:val="ListParagraph"/>
        <w:numPr>
          <w:ilvl w:val="1"/>
          <w:numId w:val="16"/>
        </w:numPr>
        <w:tabs>
          <w:tab w:pos="2381" w:val="left" w:leader="none"/>
        </w:tabs>
        <w:spacing w:line="242" w:lineRule="auto" w:before="122" w:after="0"/>
        <w:ind w:left="2381" w:right="2026" w:hanging="794"/>
        <w:jc w:val="both"/>
        <w:rPr>
          <w:sz w:val="21"/>
        </w:rPr>
      </w:pPr>
      <w:r>
        <w:rPr>
          <w:w w:val="105"/>
          <w:sz w:val="21"/>
        </w:rPr>
        <w:t>The </w:t>
      </w:r>
      <w:r>
        <w:rPr>
          <w:spacing w:val="-3"/>
          <w:w w:val="105"/>
          <w:sz w:val="21"/>
        </w:rPr>
        <w:t>Queensland </w:t>
      </w:r>
      <w:r>
        <w:rPr>
          <w:w w:val="105"/>
          <w:sz w:val="21"/>
        </w:rPr>
        <w:t>Act </w:t>
      </w:r>
      <w:r>
        <w:rPr>
          <w:spacing w:val="-3"/>
          <w:w w:val="105"/>
          <w:sz w:val="21"/>
        </w:rPr>
        <w:t>encourages informal </w:t>
      </w:r>
      <w:r>
        <w:rPr>
          <w:w w:val="105"/>
          <w:sz w:val="21"/>
        </w:rPr>
        <w:t>resolution and </w:t>
      </w:r>
      <w:r>
        <w:rPr>
          <w:spacing w:val="-3"/>
          <w:w w:val="105"/>
          <w:sz w:val="21"/>
        </w:rPr>
        <w:t>makes </w:t>
      </w:r>
      <w:r>
        <w:rPr>
          <w:w w:val="105"/>
          <w:sz w:val="21"/>
        </w:rPr>
        <w:t>it </w:t>
      </w:r>
      <w:r>
        <w:rPr>
          <w:spacing w:val="-3"/>
          <w:w w:val="105"/>
          <w:sz w:val="21"/>
        </w:rPr>
        <w:t>clear to </w:t>
      </w:r>
      <w:r>
        <w:rPr>
          <w:w w:val="105"/>
          <w:sz w:val="21"/>
        </w:rPr>
        <w:t>neighbours </w:t>
      </w:r>
      <w:r>
        <w:rPr>
          <w:spacing w:val="-3"/>
          <w:w w:val="105"/>
          <w:sz w:val="21"/>
        </w:rPr>
        <w:t>that </w:t>
      </w:r>
      <w:r>
        <w:rPr>
          <w:w w:val="105"/>
          <w:sz w:val="21"/>
        </w:rPr>
        <w:t>they </w:t>
      </w:r>
      <w:r>
        <w:rPr>
          <w:spacing w:val="-3"/>
          <w:w w:val="105"/>
          <w:sz w:val="21"/>
        </w:rPr>
        <w:t>have </w:t>
      </w:r>
      <w:r>
        <w:rPr>
          <w:w w:val="105"/>
          <w:sz w:val="21"/>
        </w:rPr>
        <w:t>the option </w:t>
      </w:r>
      <w:r>
        <w:rPr>
          <w:spacing w:val="-3"/>
          <w:w w:val="105"/>
          <w:sz w:val="21"/>
        </w:rPr>
        <w:t>to </w:t>
      </w:r>
      <w:r>
        <w:rPr>
          <w:w w:val="105"/>
          <w:sz w:val="21"/>
        </w:rPr>
        <w:t>resolve their </w:t>
      </w:r>
      <w:r>
        <w:rPr>
          <w:spacing w:val="-3"/>
          <w:w w:val="105"/>
          <w:sz w:val="21"/>
        </w:rPr>
        <w:t>dispute through neighbour-led negotiation, </w:t>
      </w:r>
      <w:r>
        <w:rPr>
          <w:w w:val="105"/>
          <w:sz w:val="21"/>
        </w:rPr>
        <w:t>as </w:t>
      </w:r>
      <w:r>
        <w:rPr>
          <w:spacing w:val="-3"/>
          <w:w w:val="105"/>
          <w:sz w:val="21"/>
        </w:rPr>
        <w:t>well </w:t>
      </w:r>
      <w:r>
        <w:rPr>
          <w:w w:val="105"/>
          <w:sz w:val="21"/>
        </w:rPr>
        <w:t>as the </w:t>
      </w:r>
      <w:r>
        <w:rPr>
          <w:spacing w:val="-3"/>
          <w:w w:val="105"/>
          <w:sz w:val="21"/>
        </w:rPr>
        <w:t>formal </w:t>
      </w:r>
      <w:r>
        <w:rPr>
          <w:w w:val="105"/>
          <w:sz w:val="21"/>
        </w:rPr>
        <w:t>rights and processes </w:t>
      </w:r>
      <w:r>
        <w:rPr>
          <w:spacing w:val="-3"/>
          <w:w w:val="105"/>
          <w:sz w:val="21"/>
        </w:rPr>
        <w:t>available </w:t>
      </w:r>
      <w:r>
        <w:rPr>
          <w:w w:val="105"/>
          <w:sz w:val="21"/>
        </w:rPr>
        <w:t>under the </w:t>
      </w:r>
      <w:r>
        <w:rPr>
          <w:spacing w:val="-3"/>
          <w:w w:val="105"/>
          <w:sz w:val="21"/>
        </w:rPr>
        <w:t>Queensland</w:t>
      </w:r>
      <w:r>
        <w:rPr>
          <w:spacing w:val="-20"/>
          <w:w w:val="105"/>
          <w:sz w:val="21"/>
        </w:rPr>
        <w:t> </w:t>
      </w:r>
      <w:r>
        <w:rPr>
          <w:w w:val="105"/>
          <w:sz w:val="21"/>
        </w:rPr>
        <w:t>Act.</w:t>
      </w:r>
      <w:r>
        <w:rPr>
          <w:w w:val="105"/>
          <w:position w:val="7"/>
          <w:sz w:val="12"/>
        </w:rPr>
        <w:t>21 </w:t>
      </w:r>
      <w:r>
        <w:rPr>
          <w:w w:val="105"/>
          <w:sz w:val="21"/>
        </w:rPr>
        <w:t>The</w:t>
      </w:r>
    </w:p>
    <w:p>
      <w:pPr>
        <w:pStyle w:val="BodyText"/>
        <w:spacing w:line="242" w:lineRule="auto" w:before="3"/>
        <w:ind w:left="2381" w:right="1636"/>
      </w:pPr>
      <w:r>
        <w:rPr>
          <w:w w:val="105"/>
        </w:rPr>
        <w:t>QLRC </w:t>
      </w:r>
      <w:r>
        <w:rPr>
          <w:spacing w:val="-3"/>
          <w:w w:val="105"/>
        </w:rPr>
        <w:t>recently </w:t>
      </w:r>
      <w:r>
        <w:rPr>
          <w:w w:val="105"/>
        </w:rPr>
        <w:t>recommended </w:t>
      </w:r>
      <w:r>
        <w:rPr>
          <w:spacing w:val="-3"/>
          <w:w w:val="105"/>
        </w:rPr>
        <w:t>that </w:t>
      </w:r>
      <w:r>
        <w:rPr>
          <w:w w:val="105"/>
        </w:rPr>
        <w:t>the </w:t>
      </w:r>
      <w:r>
        <w:rPr>
          <w:spacing w:val="-3"/>
          <w:w w:val="105"/>
        </w:rPr>
        <w:t>Queensland </w:t>
      </w:r>
      <w:r>
        <w:rPr>
          <w:w w:val="105"/>
        </w:rPr>
        <w:t>Act should </w:t>
      </w:r>
      <w:r>
        <w:rPr>
          <w:spacing w:val="-3"/>
          <w:w w:val="105"/>
        </w:rPr>
        <w:t>include </w:t>
      </w:r>
      <w:r>
        <w:rPr>
          <w:w w:val="105"/>
        </w:rPr>
        <w:t>a ‘non-exhaustive list of examples of steps </w:t>
      </w:r>
      <w:r>
        <w:rPr>
          <w:spacing w:val="-3"/>
          <w:w w:val="105"/>
        </w:rPr>
        <w:t>that could </w:t>
      </w:r>
      <w:r>
        <w:rPr>
          <w:w w:val="105"/>
        </w:rPr>
        <w:t>be </w:t>
      </w:r>
      <w:r>
        <w:rPr>
          <w:spacing w:val="-3"/>
          <w:w w:val="105"/>
        </w:rPr>
        <w:t>taken </w:t>
      </w:r>
      <w:r>
        <w:rPr>
          <w:w w:val="105"/>
        </w:rPr>
        <w:t>by a person </w:t>
      </w:r>
      <w:r>
        <w:rPr>
          <w:spacing w:val="-3"/>
          <w:w w:val="105"/>
        </w:rPr>
        <w:t>to </w:t>
      </w:r>
      <w:r>
        <w:rPr>
          <w:w w:val="105"/>
        </w:rPr>
        <w:t>attempt </w:t>
      </w:r>
      <w:r>
        <w:rPr>
          <w:spacing w:val="-3"/>
          <w:w w:val="105"/>
        </w:rPr>
        <w:t>to </w:t>
      </w:r>
      <w:r>
        <w:rPr>
          <w:w w:val="105"/>
        </w:rPr>
        <w:t>resolve an </w:t>
      </w:r>
      <w:r>
        <w:rPr>
          <w:spacing w:val="-3"/>
          <w:w w:val="105"/>
        </w:rPr>
        <w:t>issue </w:t>
      </w:r>
      <w:r>
        <w:rPr>
          <w:spacing w:val="-4"/>
          <w:w w:val="105"/>
        </w:rPr>
        <w:t>informally’.</w:t>
      </w:r>
      <w:r>
        <w:rPr>
          <w:spacing w:val="-4"/>
          <w:w w:val="105"/>
          <w:position w:val="7"/>
          <w:sz w:val="12"/>
        </w:rPr>
        <w:t>22 </w:t>
      </w:r>
      <w:r>
        <w:rPr>
          <w:w w:val="105"/>
        </w:rPr>
        <w:t>The QLRC observed ‘that users of the </w:t>
      </w:r>
      <w:r>
        <w:rPr>
          <w:spacing w:val="-3"/>
          <w:w w:val="105"/>
        </w:rPr>
        <w:t>legislation are </w:t>
      </w:r>
      <w:r>
        <w:rPr>
          <w:w w:val="105"/>
        </w:rPr>
        <w:t>often </w:t>
      </w:r>
      <w:r>
        <w:rPr>
          <w:spacing w:val="-3"/>
          <w:w w:val="105"/>
        </w:rPr>
        <w:t>unsure </w:t>
      </w:r>
      <w:r>
        <w:rPr>
          <w:w w:val="105"/>
        </w:rPr>
        <w:t>what is </w:t>
      </w:r>
      <w:r>
        <w:rPr>
          <w:spacing w:val="-3"/>
          <w:w w:val="105"/>
        </w:rPr>
        <w:t>intended </w:t>
      </w:r>
      <w:r>
        <w:rPr>
          <w:w w:val="105"/>
        </w:rPr>
        <w:t>by the </w:t>
      </w:r>
      <w:r>
        <w:rPr>
          <w:spacing w:val="-3"/>
          <w:w w:val="105"/>
        </w:rPr>
        <w:t>references to </w:t>
      </w:r>
      <w:r>
        <w:rPr>
          <w:spacing w:val="-4"/>
          <w:w w:val="105"/>
        </w:rPr>
        <w:t>‘informal’ </w:t>
      </w:r>
      <w:r>
        <w:rPr>
          <w:spacing w:val="-3"/>
          <w:w w:val="105"/>
        </w:rPr>
        <w:t>resolution. </w:t>
      </w:r>
      <w:r>
        <w:rPr>
          <w:w w:val="105"/>
        </w:rPr>
        <w:t>This </w:t>
      </w:r>
      <w:r>
        <w:rPr>
          <w:spacing w:val="-2"/>
          <w:w w:val="105"/>
        </w:rPr>
        <w:t>has </w:t>
      </w:r>
      <w:r>
        <w:rPr>
          <w:w w:val="105"/>
        </w:rPr>
        <w:t>the </w:t>
      </w:r>
      <w:r>
        <w:rPr>
          <w:spacing w:val="-3"/>
          <w:w w:val="105"/>
        </w:rPr>
        <w:t>potential to undermine </w:t>
      </w:r>
      <w:r>
        <w:rPr>
          <w:w w:val="105"/>
        </w:rPr>
        <w:t>the </w:t>
      </w:r>
      <w:r>
        <w:rPr>
          <w:spacing w:val="-3"/>
          <w:w w:val="105"/>
        </w:rPr>
        <w:t>aim </w:t>
      </w:r>
      <w:r>
        <w:rPr>
          <w:w w:val="105"/>
        </w:rPr>
        <w:t>of the </w:t>
      </w:r>
      <w:r>
        <w:rPr>
          <w:spacing w:val="-3"/>
          <w:w w:val="105"/>
        </w:rPr>
        <w:t>provisions, </w:t>
      </w:r>
      <w:r>
        <w:rPr>
          <w:w w:val="105"/>
        </w:rPr>
        <w:t>and the wider objectives of the Act, </w:t>
      </w:r>
      <w:r>
        <w:rPr>
          <w:spacing w:val="-3"/>
          <w:w w:val="105"/>
        </w:rPr>
        <w:t>to encourage </w:t>
      </w:r>
      <w:r>
        <w:rPr>
          <w:w w:val="105"/>
        </w:rPr>
        <w:t>and assist neighbours </w:t>
      </w:r>
      <w:r>
        <w:rPr>
          <w:spacing w:val="-3"/>
          <w:w w:val="105"/>
        </w:rPr>
        <w:t>to </w:t>
      </w:r>
      <w:r>
        <w:rPr>
          <w:w w:val="105"/>
        </w:rPr>
        <w:t>resolve issues </w:t>
      </w:r>
      <w:r>
        <w:rPr>
          <w:spacing w:val="-3"/>
          <w:w w:val="105"/>
        </w:rPr>
        <w:t>themselves’.</w:t>
      </w:r>
      <w:r>
        <w:rPr>
          <w:spacing w:val="-3"/>
          <w:w w:val="105"/>
          <w:position w:val="7"/>
          <w:sz w:val="12"/>
        </w:rPr>
        <w:t>23 </w:t>
      </w:r>
      <w:r>
        <w:rPr>
          <w:spacing w:val="-3"/>
          <w:w w:val="105"/>
        </w:rPr>
        <w:t>Specifically, </w:t>
      </w:r>
      <w:r>
        <w:rPr>
          <w:w w:val="105"/>
        </w:rPr>
        <w:t>the QLRC suggested:</w:t>
      </w:r>
    </w:p>
    <w:p>
      <w:pPr>
        <w:pStyle w:val="ListParagraph"/>
        <w:numPr>
          <w:ilvl w:val="2"/>
          <w:numId w:val="16"/>
        </w:numPr>
        <w:tabs>
          <w:tab w:pos="2721" w:val="left" w:leader="none"/>
          <w:tab w:pos="2722" w:val="left" w:leader="none"/>
        </w:tabs>
        <w:spacing w:line="242" w:lineRule="auto" w:before="127" w:after="0"/>
        <w:ind w:left="2721" w:right="1758" w:hanging="340"/>
        <w:jc w:val="left"/>
        <w:rPr>
          <w:sz w:val="21"/>
        </w:rPr>
      </w:pPr>
      <w:r>
        <w:rPr>
          <w:spacing w:val="-3"/>
          <w:w w:val="105"/>
          <w:sz w:val="21"/>
        </w:rPr>
        <w:t>approaching</w:t>
      </w:r>
      <w:r>
        <w:rPr>
          <w:spacing w:val="-6"/>
          <w:w w:val="105"/>
          <w:sz w:val="21"/>
        </w:rPr>
        <w:t> </w:t>
      </w:r>
      <w:r>
        <w:rPr>
          <w:w w:val="105"/>
          <w:sz w:val="21"/>
        </w:rPr>
        <w:t>the</w:t>
      </w:r>
      <w:r>
        <w:rPr>
          <w:spacing w:val="-6"/>
          <w:w w:val="105"/>
          <w:sz w:val="21"/>
        </w:rPr>
        <w:t> </w:t>
      </w:r>
      <w:r>
        <w:rPr>
          <w:w w:val="105"/>
          <w:sz w:val="21"/>
        </w:rPr>
        <w:t>other</w:t>
      </w:r>
      <w:r>
        <w:rPr>
          <w:spacing w:val="-6"/>
          <w:w w:val="105"/>
          <w:sz w:val="21"/>
        </w:rPr>
        <w:t> </w:t>
      </w:r>
      <w:r>
        <w:rPr>
          <w:w w:val="105"/>
          <w:sz w:val="21"/>
        </w:rPr>
        <w:t>person,</w:t>
      </w:r>
      <w:r>
        <w:rPr>
          <w:spacing w:val="-6"/>
          <w:w w:val="105"/>
          <w:sz w:val="21"/>
        </w:rPr>
        <w:t> </w:t>
      </w:r>
      <w:r>
        <w:rPr>
          <w:w w:val="105"/>
          <w:sz w:val="21"/>
        </w:rPr>
        <w:t>directly</w:t>
      </w:r>
      <w:r>
        <w:rPr>
          <w:spacing w:val="-6"/>
          <w:w w:val="105"/>
          <w:sz w:val="21"/>
        </w:rPr>
        <w:t> </w:t>
      </w:r>
      <w:r>
        <w:rPr>
          <w:w w:val="105"/>
          <w:sz w:val="21"/>
        </w:rPr>
        <w:t>or</w:t>
      </w:r>
      <w:r>
        <w:rPr>
          <w:spacing w:val="-6"/>
          <w:w w:val="105"/>
          <w:sz w:val="21"/>
        </w:rPr>
        <w:t> </w:t>
      </w:r>
      <w:r>
        <w:rPr>
          <w:w w:val="105"/>
          <w:sz w:val="21"/>
        </w:rPr>
        <w:t>in</w:t>
      </w:r>
      <w:r>
        <w:rPr>
          <w:spacing w:val="-6"/>
          <w:w w:val="105"/>
          <w:sz w:val="21"/>
        </w:rPr>
        <w:t> </w:t>
      </w:r>
      <w:r>
        <w:rPr>
          <w:spacing w:val="-3"/>
          <w:w w:val="105"/>
          <w:sz w:val="21"/>
        </w:rPr>
        <w:t>writing,</w:t>
      </w:r>
      <w:r>
        <w:rPr>
          <w:spacing w:val="-6"/>
          <w:w w:val="105"/>
          <w:sz w:val="21"/>
        </w:rPr>
        <w:t> </w:t>
      </w:r>
      <w:r>
        <w:rPr>
          <w:spacing w:val="-3"/>
          <w:w w:val="105"/>
          <w:sz w:val="21"/>
        </w:rPr>
        <w:t>to</w:t>
      </w:r>
      <w:r>
        <w:rPr>
          <w:spacing w:val="-6"/>
          <w:w w:val="105"/>
          <w:sz w:val="21"/>
        </w:rPr>
        <w:t> </w:t>
      </w:r>
      <w:r>
        <w:rPr>
          <w:w w:val="105"/>
          <w:sz w:val="21"/>
        </w:rPr>
        <w:t>notify</w:t>
      </w:r>
      <w:r>
        <w:rPr>
          <w:spacing w:val="-5"/>
          <w:w w:val="105"/>
          <w:sz w:val="21"/>
        </w:rPr>
        <w:t> </w:t>
      </w:r>
      <w:r>
        <w:rPr>
          <w:w w:val="105"/>
          <w:sz w:val="21"/>
        </w:rPr>
        <w:t>them</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w w:val="105"/>
          <w:sz w:val="21"/>
        </w:rPr>
        <w:t>issues</w:t>
      </w:r>
      <w:r>
        <w:rPr>
          <w:spacing w:val="-6"/>
          <w:w w:val="105"/>
          <w:sz w:val="21"/>
        </w:rPr>
        <w:t> </w:t>
      </w:r>
      <w:r>
        <w:rPr>
          <w:w w:val="105"/>
          <w:sz w:val="21"/>
        </w:rPr>
        <w:t>and </w:t>
      </w:r>
      <w:r>
        <w:rPr>
          <w:spacing w:val="-3"/>
          <w:w w:val="105"/>
          <w:sz w:val="21"/>
        </w:rPr>
        <w:t>offering to </w:t>
      </w:r>
      <w:r>
        <w:rPr>
          <w:w w:val="105"/>
          <w:sz w:val="21"/>
        </w:rPr>
        <w:t>discuss</w:t>
      </w:r>
      <w:r>
        <w:rPr>
          <w:spacing w:val="21"/>
          <w:w w:val="105"/>
          <w:sz w:val="21"/>
        </w:rPr>
        <w:t> </w:t>
      </w:r>
      <w:r>
        <w:rPr>
          <w:w w:val="105"/>
          <w:sz w:val="21"/>
        </w:rPr>
        <w:t>them;</w:t>
      </w:r>
    </w:p>
    <w:p>
      <w:pPr>
        <w:pStyle w:val="ListParagraph"/>
        <w:numPr>
          <w:ilvl w:val="2"/>
          <w:numId w:val="16"/>
        </w:numPr>
        <w:tabs>
          <w:tab w:pos="2722" w:val="left" w:leader="none"/>
        </w:tabs>
        <w:spacing w:line="242" w:lineRule="auto" w:before="87" w:after="0"/>
        <w:ind w:left="2721" w:right="1904" w:hanging="340"/>
        <w:jc w:val="both"/>
        <w:rPr>
          <w:sz w:val="21"/>
        </w:rPr>
      </w:pPr>
      <w:r>
        <w:rPr>
          <w:spacing w:val="-3"/>
          <w:w w:val="105"/>
          <w:sz w:val="21"/>
        </w:rPr>
        <w:t>providing</w:t>
      </w:r>
      <w:r>
        <w:rPr>
          <w:spacing w:val="-8"/>
          <w:w w:val="105"/>
          <w:sz w:val="21"/>
        </w:rPr>
        <w:t> </w:t>
      </w:r>
      <w:r>
        <w:rPr>
          <w:spacing w:val="-3"/>
          <w:w w:val="105"/>
          <w:sz w:val="21"/>
        </w:rPr>
        <w:t>information</w:t>
      </w:r>
      <w:r>
        <w:rPr>
          <w:spacing w:val="-7"/>
          <w:w w:val="105"/>
          <w:sz w:val="21"/>
        </w:rPr>
        <w:t> </w:t>
      </w:r>
      <w:r>
        <w:rPr>
          <w:spacing w:val="-3"/>
          <w:w w:val="105"/>
          <w:sz w:val="21"/>
        </w:rPr>
        <w:t>to</w:t>
      </w:r>
      <w:r>
        <w:rPr>
          <w:spacing w:val="-7"/>
          <w:w w:val="105"/>
          <w:sz w:val="21"/>
        </w:rPr>
        <w:t> </w:t>
      </w:r>
      <w:r>
        <w:rPr>
          <w:w w:val="105"/>
          <w:sz w:val="21"/>
        </w:rPr>
        <w:t>the</w:t>
      </w:r>
      <w:r>
        <w:rPr>
          <w:spacing w:val="-8"/>
          <w:w w:val="105"/>
          <w:sz w:val="21"/>
        </w:rPr>
        <w:t> </w:t>
      </w:r>
      <w:r>
        <w:rPr>
          <w:w w:val="105"/>
          <w:sz w:val="21"/>
        </w:rPr>
        <w:t>other</w:t>
      </w:r>
      <w:r>
        <w:rPr>
          <w:spacing w:val="-7"/>
          <w:w w:val="105"/>
          <w:sz w:val="21"/>
        </w:rPr>
        <w:t> </w:t>
      </w:r>
      <w:r>
        <w:rPr>
          <w:w w:val="105"/>
          <w:sz w:val="21"/>
        </w:rPr>
        <w:t>person</w:t>
      </w:r>
      <w:r>
        <w:rPr>
          <w:spacing w:val="-7"/>
          <w:w w:val="105"/>
          <w:sz w:val="21"/>
        </w:rPr>
        <w:t> </w:t>
      </w:r>
      <w:r>
        <w:rPr>
          <w:spacing w:val="-3"/>
          <w:w w:val="105"/>
          <w:sz w:val="21"/>
        </w:rPr>
        <w:t>to</w:t>
      </w:r>
      <w:r>
        <w:rPr>
          <w:spacing w:val="-8"/>
          <w:w w:val="105"/>
          <w:sz w:val="21"/>
        </w:rPr>
        <w:t> </w:t>
      </w:r>
      <w:r>
        <w:rPr>
          <w:w w:val="105"/>
          <w:sz w:val="21"/>
        </w:rPr>
        <w:t>help</w:t>
      </w:r>
      <w:r>
        <w:rPr>
          <w:spacing w:val="-7"/>
          <w:w w:val="105"/>
          <w:sz w:val="21"/>
        </w:rPr>
        <w:t> </w:t>
      </w:r>
      <w:r>
        <w:rPr>
          <w:w w:val="105"/>
          <w:sz w:val="21"/>
        </w:rPr>
        <w:t>them</w:t>
      </w:r>
      <w:r>
        <w:rPr>
          <w:spacing w:val="-7"/>
          <w:w w:val="105"/>
          <w:sz w:val="21"/>
        </w:rPr>
        <w:t> </w:t>
      </w:r>
      <w:r>
        <w:rPr>
          <w:w w:val="105"/>
          <w:sz w:val="21"/>
        </w:rPr>
        <w:t>understand</w:t>
      </w:r>
      <w:r>
        <w:rPr>
          <w:spacing w:val="-7"/>
          <w:w w:val="105"/>
          <w:sz w:val="21"/>
        </w:rPr>
        <w:t> </w:t>
      </w:r>
      <w:r>
        <w:rPr>
          <w:w w:val="105"/>
          <w:sz w:val="21"/>
        </w:rPr>
        <w:t>the</w:t>
      </w:r>
      <w:r>
        <w:rPr>
          <w:spacing w:val="-8"/>
          <w:w w:val="105"/>
          <w:sz w:val="21"/>
        </w:rPr>
        <w:t> </w:t>
      </w:r>
      <w:r>
        <w:rPr>
          <w:w w:val="105"/>
          <w:sz w:val="21"/>
        </w:rPr>
        <w:t>issues</w:t>
      </w:r>
      <w:r>
        <w:rPr>
          <w:spacing w:val="-7"/>
          <w:w w:val="105"/>
          <w:sz w:val="21"/>
        </w:rPr>
        <w:t> </w:t>
      </w:r>
      <w:r>
        <w:rPr>
          <w:w w:val="105"/>
          <w:sz w:val="21"/>
        </w:rPr>
        <w:t>and how</w:t>
      </w:r>
      <w:r>
        <w:rPr>
          <w:spacing w:val="-6"/>
          <w:w w:val="105"/>
          <w:sz w:val="21"/>
        </w:rPr>
        <w:t> </w:t>
      </w:r>
      <w:r>
        <w:rPr>
          <w:w w:val="105"/>
          <w:sz w:val="21"/>
        </w:rPr>
        <w:t>they</w:t>
      </w:r>
      <w:r>
        <w:rPr>
          <w:spacing w:val="-5"/>
          <w:w w:val="105"/>
          <w:sz w:val="21"/>
        </w:rPr>
        <w:t> </w:t>
      </w:r>
      <w:r>
        <w:rPr>
          <w:spacing w:val="-3"/>
          <w:w w:val="105"/>
          <w:sz w:val="21"/>
        </w:rPr>
        <w:t>might</w:t>
      </w:r>
      <w:r>
        <w:rPr>
          <w:spacing w:val="-6"/>
          <w:w w:val="105"/>
          <w:sz w:val="21"/>
        </w:rPr>
        <w:t> </w:t>
      </w:r>
      <w:r>
        <w:rPr>
          <w:w w:val="105"/>
          <w:sz w:val="21"/>
        </w:rPr>
        <w:t>be</w:t>
      </w:r>
      <w:r>
        <w:rPr>
          <w:spacing w:val="-5"/>
          <w:w w:val="105"/>
          <w:sz w:val="21"/>
        </w:rPr>
        <w:t> </w:t>
      </w:r>
      <w:r>
        <w:rPr>
          <w:w w:val="105"/>
          <w:sz w:val="21"/>
        </w:rPr>
        <w:t>resolved,</w:t>
      </w:r>
      <w:r>
        <w:rPr>
          <w:spacing w:val="-6"/>
          <w:w w:val="105"/>
          <w:sz w:val="21"/>
        </w:rPr>
        <w:t> </w:t>
      </w:r>
      <w:r>
        <w:rPr>
          <w:spacing w:val="-3"/>
          <w:w w:val="105"/>
          <w:sz w:val="21"/>
        </w:rPr>
        <w:t>such</w:t>
      </w:r>
      <w:r>
        <w:rPr>
          <w:spacing w:val="-5"/>
          <w:w w:val="105"/>
          <w:sz w:val="21"/>
        </w:rPr>
        <w:t> </w:t>
      </w:r>
      <w:r>
        <w:rPr>
          <w:w w:val="105"/>
          <w:sz w:val="21"/>
        </w:rPr>
        <w:t>as</w:t>
      </w:r>
      <w:r>
        <w:rPr>
          <w:spacing w:val="-5"/>
          <w:w w:val="105"/>
          <w:sz w:val="21"/>
        </w:rPr>
        <w:t> </w:t>
      </w:r>
      <w:r>
        <w:rPr>
          <w:w w:val="105"/>
          <w:sz w:val="21"/>
        </w:rPr>
        <w:t>a</w:t>
      </w:r>
      <w:r>
        <w:rPr>
          <w:spacing w:val="-6"/>
          <w:w w:val="105"/>
          <w:sz w:val="21"/>
        </w:rPr>
        <w:t> </w:t>
      </w:r>
      <w:r>
        <w:rPr>
          <w:w w:val="105"/>
          <w:sz w:val="21"/>
        </w:rPr>
        <w:t>quotation</w:t>
      </w:r>
      <w:r>
        <w:rPr>
          <w:spacing w:val="-5"/>
          <w:w w:val="105"/>
          <w:sz w:val="21"/>
        </w:rPr>
        <w:t> </w:t>
      </w:r>
      <w:r>
        <w:rPr>
          <w:spacing w:val="-3"/>
          <w:w w:val="105"/>
          <w:sz w:val="21"/>
        </w:rPr>
        <w:t>for</w:t>
      </w:r>
      <w:r>
        <w:rPr>
          <w:spacing w:val="-6"/>
          <w:w w:val="105"/>
          <w:sz w:val="21"/>
        </w:rPr>
        <w:t> </w:t>
      </w:r>
      <w:r>
        <w:rPr>
          <w:spacing w:val="-3"/>
          <w:w w:val="105"/>
          <w:sz w:val="21"/>
        </w:rPr>
        <w:t>any</w:t>
      </w:r>
      <w:r>
        <w:rPr>
          <w:spacing w:val="-5"/>
          <w:w w:val="105"/>
          <w:sz w:val="21"/>
        </w:rPr>
        <w:t> </w:t>
      </w:r>
      <w:r>
        <w:rPr>
          <w:w w:val="105"/>
          <w:sz w:val="21"/>
        </w:rPr>
        <w:t>proposed</w:t>
      </w:r>
      <w:r>
        <w:rPr>
          <w:spacing w:val="-5"/>
          <w:w w:val="105"/>
          <w:sz w:val="21"/>
        </w:rPr>
        <w:t> </w:t>
      </w:r>
      <w:r>
        <w:rPr>
          <w:w w:val="105"/>
          <w:sz w:val="21"/>
        </w:rPr>
        <w:t>work</w:t>
      </w:r>
      <w:r>
        <w:rPr>
          <w:spacing w:val="-6"/>
          <w:w w:val="105"/>
          <w:sz w:val="21"/>
        </w:rPr>
        <w:t> </w:t>
      </w:r>
      <w:r>
        <w:rPr>
          <w:w w:val="105"/>
          <w:sz w:val="21"/>
        </w:rPr>
        <w:t>or</w:t>
      </w:r>
      <w:r>
        <w:rPr>
          <w:spacing w:val="-5"/>
          <w:w w:val="105"/>
          <w:sz w:val="21"/>
        </w:rPr>
        <w:t> </w:t>
      </w:r>
      <w:r>
        <w:rPr>
          <w:w w:val="105"/>
          <w:sz w:val="21"/>
        </w:rPr>
        <w:t>a</w:t>
      </w:r>
      <w:r>
        <w:rPr>
          <w:spacing w:val="-6"/>
          <w:w w:val="105"/>
          <w:sz w:val="21"/>
        </w:rPr>
        <w:t> </w:t>
      </w:r>
      <w:r>
        <w:rPr>
          <w:w w:val="105"/>
          <w:sz w:val="21"/>
        </w:rPr>
        <w:t>letter </w:t>
      </w:r>
      <w:r>
        <w:rPr>
          <w:spacing w:val="-3"/>
          <w:w w:val="105"/>
          <w:sz w:val="21"/>
        </w:rPr>
        <w:t>from </w:t>
      </w:r>
      <w:r>
        <w:rPr>
          <w:w w:val="105"/>
          <w:sz w:val="21"/>
        </w:rPr>
        <w:t>a tree expert about the danger posed by the</w:t>
      </w:r>
      <w:r>
        <w:rPr>
          <w:spacing w:val="33"/>
          <w:w w:val="105"/>
          <w:sz w:val="21"/>
        </w:rPr>
        <w:t> </w:t>
      </w:r>
      <w:r>
        <w:rPr>
          <w:w w:val="105"/>
          <w:sz w:val="21"/>
        </w:rPr>
        <w:t>tree;</w:t>
      </w:r>
    </w:p>
    <w:p>
      <w:pPr>
        <w:pStyle w:val="ListParagraph"/>
        <w:numPr>
          <w:ilvl w:val="2"/>
          <w:numId w:val="16"/>
        </w:numPr>
        <w:tabs>
          <w:tab w:pos="2721" w:val="left" w:leader="none"/>
          <w:tab w:pos="2722" w:val="left" w:leader="none"/>
        </w:tabs>
        <w:spacing w:line="242" w:lineRule="auto" w:before="88" w:after="0"/>
        <w:ind w:left="2721" w:right="1715" w:hanging="340"/>
        <w:jc w:val="left"/>
        <w:rPr>
          <w:sz w:val="21"/>
        </w:rPr>
      </w:pPr>
      <w:r>
        <w:rPr>
          <w:spacing w:val="-3"/>
          <w:w w:val="105"/>
          <w:sz w:val="21"/>
        </w:rPr>
        <w:t>inviting</w:t>
      </w:r>
      <w:r>
        <w:rPr>
          <w:spacing w:val="-5"/>
          <w:w w:val="105"/>
          <w:sz w:val="21"/>
        </w:rPr>
        <w:t> </w:t>
      </w:r>
      <w:r>
        <w:rPr>
          <w:w w:val="105"/>
          <w:sz w:val="21"/>
        </w:rPr>
        <w:t>the</w:t>
      </w:r>
      <w:r>
        <w:rPr>
          <w:spacing w:val="-4"/>
          <w:w w:val="105"/>
          <w:sz w:val="21"/>
        </w:rPr>
        <w:t> </w:t>
      </w:r>
      <w:r>
        <w:rPr>
          <w:w w:val="105"/>
          <w:sz w:val="21"/>
        </w:rPr>
        <w:t>other</w:t>
      </w:r>
      <w:r>
        <w:rPr>
          <w:spacing w:val="-4"/>
          <w:w w:val="105"/>
          <w:sz w:val="21"/>
        </w:rPr>
        <w:t> </w:t>
      </w:r>
      <w:r>
        <w:rPr>
          <w:w w:val="105"/>
          <w:sz w:val="21"/>
        </w:rPr>
        <w:t>person</w:t>
      </w:r>
      <w:r>
        <w:rPr>
          <w:spacing w:val="-4"/>
          <w:w w:val="105"/>
          <w:sz w:val="21"/>
        </w:rPr>
        <w:t> </w:t>
      </w:r>
      <w:r>
        <w:rPr>
          <w:spacing w:val="-3"/>
          <w:w w:val="105"/>
          <w:sz w:val="21"/>
        </w:rPr>
        <w:t>to</w:t>
      </w:r>
      <w:r>
        <w:rPr>
          <w:spacing w:val="-5"/>
          <w:w w:val="105"/>
          <w:sz w:val="21"/>
        </w:rPr>
        <w:t> </w:t>
      </w:r>
      <w:r>
        <w:rPr>
          <w:spacing w:val="-3"/>
          <w:w w:val="105"/>
          <w:sz w:val="21"/>
        </w:rPr>
        <w:t>take</w:t>
      </w:r>
      <w:r>
        <w:rPr>
          <w:spacing w:val="-4"/>
          <w:w w:val="105"/>
          <w:sz w:val="21"/>
        </w:rPr>
        <w:t> </w:t>
      </w:r>
      <w:r>
        <w:rPr>
          <w:w w:val="105"/>
          <w:sz w:val="21"/>
        </w:rPr>
        <w:t>part</w:t>
      </w:r>
      <w:r>
        <w:rPr>
          <w:spacing w:val="-4"/>
          <w:w w:val="105"/>
          <w:sz w:val="21"/>
        </w:rPr>
        <w:t> </w:t>
      </w:r>
      <w:r>
        <w:rPr>
          <w:w w:val="105"/>
          <w:sz w:val="21"/>
        </w:rPr>
        <w:t>in</w:t>
      </w:r>
      <w:r>
        <w:rPr>
          <w:spacing w:val="-4"/>
          <w:w w:val="105"/>
          <w:sz w:val="21"/>
        </w:rPr>
        <w:t> </w:t>
      </w:r>
      <w:r>
        <w:rPr>
          <w:w w:val="105"/>
          <w:sz w:val="21"/>
        </w:rPr>
        <w:t>a</w:t>
      </w:r>
      <w:r>
        <w:rPr>
          <w:spacing w:val="-5"/>
          <w:w w:val="105"/>
          <w:sz w:val="21"/>
        </w:rPr>
        <w:t> </w:t>
      </w:r>
      <w:r>
        <w:rPr>
          <w:spacing w:val="-3"/>
          <w:w w:val="105"/>
          <w:sz w:val="21"/>
        </w:rPr>
        <w:t>form</w:t>
      </w:r>
      <w:r>
        <w:rPr>
          <w:spacing w:val="-4"/>
          <w:w w:val="105"/>
          <w:sz w:val="21"/>
        </w:rPr>
        <w:t> </w:t>
      </w:r>
      <w:r>
        <w:rPr>
          <w:w w:val="105"/>
          <w:sz w:val="21"/>
        </w:rPr>
        <w:t>of</w:t>
      </w:r>
      <w:r>
        <w:rPr>
          <w:spacing w:val="-4"/>
          <w:w w:val="105"/>
          <w:sz w:val="21"/>
        </w:rPr>
        <w:t> </w:t>
      </w:r>
      <w:r>
        <w:rPr>
          <w:w w:val="105"/>
          <w:sz w:val="21"/>
        </w:rPr>
        <w:t>assisted</w:t>
      </w:r>
      <w:r>
        <w:rPr>
          <w:spacing w:val="-4"/>
          <w:w w:val="105"/>
          <w:sz w:val="21"/>
        </w:rPr>
        <w:t> </w:t>
      </w:r>
      <w:r>
        <w:rPr>
          <w:spacing w:val="-3"/>
          <w:w w:val="105"/>
          <w:sz w:val="21"/>
        </w:rPr>
        <w:t>dispute</w:t>
      </w:r>
      <w:r>
        <w:rPr>
          <w:spacing w:val="-5"/>
          <w:w w:val="105"/>
          <w:sz w:val="21"/>
        </w:rPr>
        <w:t> </w:t>
      </w:r>
      <w:r>
        <w:rPr>
          <w:spacing w:val="-3"/>
          <w:w w:val="105"/>
          <w:sz w:val="21"/>
        </w:rPr>
        <w:t>resolution,</w:t>
      </w:r>
      <w:r>
        <w:rPr>
          <w:spacing w:val="-4"/>
          <w:w w:val="105"/>
          <w:sz w:val="21"/>
        </w:rPr>
        <w:t> </w:t>
      </w:r>
      <w:r>
        <w:rPr>
          <w:spacing w:val="-3"/>
          <w:w w:val="105"/>
          <w:sz w:val="21"/>
        </w:rPr>
        <w:t>such</w:t>
      </w:r>
      <w:r>
        <w:rPr>
          <w:spacing w:val="-4"/>
          <w:w w:val="105"/>
          <w:sz w:val="21"/>
        </w:rPr>
        <w:t> </w:t>
      </w:r>
      <w:r>
        <w:rPr>
          <w:w w:val="105"/>
          <w:sz w:val="21"/>
        </w:rPr>
        <w:t>as negotiation or</w:t>
      </w:r>
      <w:r>
        <w:rPr>
          <w:spacing w:val="9"/>
          <w:w w:val="105"/>
          <w:sz w:val="21"/>
        </w:rPr>
        <w:t> </w:t>
      </w:r>
      <w:r>
        <w:rPr>
          <w:w w:val="105"/>
          <w:sz w:val="21"/>
        </w:rPr>
        <w:t>mediation;</w:t>
      </w:r>
    </w:p>
    <w:p>
      <w:pPr>
        <w:pStyle w:val="ListParagraph"/>
        <w:numPr>
          <w:ilvl w:val="2"/>
          <w:numId w:val="16"/>
        </w:numPr>
        <w:tabs>
          <w:tab w:pos="2721" w:val="left" w:leader="none"/>
          <w:tab w:pos="2722" w:val="left" w:leader="none"/>
        </w:tabs>
        <w:spacing w:line="240" w:lineRule="auto" w:before="88" w:after="0"/>
        <w:ind w:left="2721" w:right="0" w:hanging="340"/>
        <w:jc w:val="left"/>
        <w:rPr>
          <w:sz w:val="12"/>
        </w:rPr>
      </w:pPr>
      <w:r>
        <w:rPr>
          <w:w w:val="105"/>
          <w:sz w:val="21"/>
        </w:rPr>
        <w:t>taking steps </w:t>
      </w:r>
      <w:r>
        <w:rPr>
          <w:spacing w:val="-3"/>
          <w:w w:val="105"/>
          <w:sz w:val="21"/>
        </w:rPr>
        <w:t>to follow any </w:t>
      </w:r>
      <w:r>
        <w:rPr>
          <w:w w:val="105"/>
          <w:sz w:val="21"/>
        </w:rPr>
        <w:t>local </w:t>
      </w:r>
      <w:r>
        <w:rPr>
          <w:spacing w:val="-3"/>
          <w:w w:val="105"/>
          <w:sz w:val="21"/>
        </w:rPr>
        <w:t>council </w:t>
      </w:r>
      <w:r>
        <w:rPr>
          <w:w w:val="105"/>
          <w:sz w:val="21"/>
        </w:rPr>
        <w:t>process </w:t>
      </w:r>
      <w:r>
        <w:rPr>
          <w:spacing w:val="-3"/>
          <w:w w:val="105"/>
          <w:sz w:val="21"/>
        </w:rPr>
        <w:t>for </w:t>
      </w:r>
      <w:r>
        <w:rPr>
          <w:w w:val="105"/>
          <w:sz w:val="21"/>
        </w:rPr>
        <w:t>resolving </w:t>
      </w:r>
      <w:r>
        <w:rPr>
          <w:spacing w:val="-3"/>
          <w:w w:val="105"/>
          <w:sz w:val="21"/>
        </w:rPr>
        <w:t>nuisance</w:t>
      </w:r>
      <w:r>
        <w:rPr>
          <w:spacing w:val="1"/>
          <w:w w:val="105"/>
          <w:sz w:val="21"/>
        </w:rPr>
        <w:t> </w:t>
      </w:r>
      <w:r>
        <w:rPr>
          <w:w w:val="105"/>
          <w:sz w:val="21"/>
        </w:rPr>
        <w:t>trees</w:t>
      </w:r>
      <w:r>
        <w:rPr>
          <w:w w:val="105"/>
          <w:position w:val="7"/>
          <w:sz w:val="12"/>
        </w:rPr>
        <w:t>24</w:t>
      </w:r>
    </w:p>
    <w:p>
      <w:pPr>
        <w:pStyle w:val="ListParagraph"/>
        <w:numPr>
          <w:ilvl w:val="2"/>
          <w:numId w:val="16"/>
        </w:numPr>
        <w:tabs>
          <w:tab w:pos="2721" w:val="left" w:leader="none"/>
          <w:tab w:pos="2722" w:val="left" w:leader="none"/>
        </w:tabs>
        <w:spacing w:line="242" w:lineRule="auto" w:before="88" w:after="0"/>
        <w:ind w:left="2721" w:right="1855" w:hanging="340"/>
        <w:jc w:val="left"/>
        <w:rPr>
          <w:sz w:val="12"/>
        </w:rPr>
      </w:pPr>
      <w:r>
        <w:rPr>
          <w:w w:val="105"/>
          <w:sz w:val="21"/>
        </w:rPr>
        <w:t>other</w:t>
      </w:r>
      <w:r>
        <w:rPr>
          <w:spacing w:val="-13"/>
          <w:w w:val="105"/>
          <w:sz w:val="21"/>
        </w:rPr>
        <w:t> </w:t>
      </w:r>
      <w:r>
        <w:rPr>
          <w:spacing w:val="-3"/>
          <w:w w:val="105"/>
          <w:sz w:val="21"/>
        </w:rPr>
        <w:t>informal</w:t>
      </w:r>
      <w:r>
        <w:rPr>
          <w:spacing w:val="-13"/>
          <w:w w:val="105"/>
          <w:sz w:val="21"/>
        </w:rPr>
        <w:t> </w:t>
      </w:r>
      <w:r>
        <w:rPr>
          <w:w w:val="105"/>
          <w:sz w:val="21"/>
        </w:rPr>
        <w:t>resolution</w:t>
      </w:r>
      <w:r>
        <w:rPr>
          <w:spacing w:val="-12"/>
          <w:w w:val="105"/>
          <w:sz w:val="21"/>
        </w:rPr>
        <w:t> </w:t>
      </w:r>
      <w:r>
        <w:rPr>
          <w:w w:val="105"/>
          <w:sz w:val="21"/>
        </w:rPr>
        <w:t>processes</w:t>
      </w:r>
      <w:r>
        <w:rPr>
          <w:spacing w:val="-13"/>
          <w:w w:val="105"/>
          <w:sz w:val="21"/>
        </w:rPr>
        <w:t> </w:t>
      </w:r>
      <w:r>
        <w:rPr>
          <w:w w:val="105"/>
          <w:sz w:val="21"/>
        </w:rPr>
        <w:t>provided</w:t>
      </w:r>
      <w:r>
        <w:rPr>
          <w:spacing w:val="-12"/>
          <w:w w:val="105"/>
          <w:sz w:val="21"/>
        </w:rPr>
        <w:t> </w:t>
      </w:r>
      <w:r>
        <w:rPr>
          <w:w w:val="105"/>
          <w:sz w:val="21"/>
        </w:rPr>
        <w:t>under</w:t>
      </w:r>
      <w:r>
        <w:rPr>
          <w:spacing w:val="-13"/>
          <w:w w:val="105"/>
          <w:sz w:val="21"/>
        </w:rPr>
        <w:t> </w:t>
      </w:r>
      <w:r>
        <w:rPr>
          <w:w w:val="105"/>
          <w:sz w:val="21"/>
        </w:rPr>
        <w:t>the</w:t>
      </w:r>
      <w:r>
        <w:rPr>
          <w:spacing w:val="-12"/>
          <w:w w:val="105"/>
          <w:sz w:val="21"/>
        </w:rPr>
        <w:t> </w:t>
      </w:r>
      <w:r>
        <w:rPr>
          <w:spacing w:val="-3"/>
          <w:w w:val="105"/>
          <w:sz w:val="21"/>
        </w:rPr>
        <w:t>Queensland</w:t>
      </w:r>
      <w:r>
        <w:rPr>
          <w:spacing w:val="-13"/>
          <w:w w:val="105"/>
          <w:sz w:val="21"/>
        </w:rPr>
        <w:t> </w:t>
      </w:r>
      <w:r>
        <w:rPr>
          <w:w w:val="105"/>
          <w:sz w:val="21"/>
        </w:rPr>
        <w:t>Act</w:t>
      </w:r>
      <w:r>
        <w:rPr>
          <w:spacing w:val="-12"/>
          <w:w w:val="105"/>
          <w:sz w:val="21"/>
        </w:rPr>
        <w:t> </w:t>
      </w:r>
      <w:r>
        <w:rPr>
          <w:spacing w:val="-3"/>
          <w:w w:val="105"/>
          <w:sz w:val="21"/>
        </w:rPr>
        <w:t>rather</w:t>
      </w:r>
      <w:r>
        <w:rPr>
          <w:spacing w:val="-13"/>
          <w:w w:val="105"/>
          <w:sz w:val="21"/>
        </w:rPr>
        <w:t> </w:t>
      </w:r>
      <w:r>
        <w:rPr>
          <w:spacing w:val="-3"/>
          <w:w w:val="105"/>
          <w:sz w:val="21"/>
        </w:rPr>
        <w:t>than </w:t>
      </w:r>
      <w:r>
        <w:rPr>
          <w:w w:val="105"/>
          <w:sz w:val="21"/>
        </w:rPr>
        <w:t>legal</w:t>
      </w:r>
      <w:r>
        <w:rPr>
          <w:spacing w:val="5"/>
          <w:w w:val="105"/>
          <w:sz w:val="21"/>
        </w:rPr>
        <w:t> </w:t>
      </w:r>
      <w:r>
        <w:rPr>
          <w:w w:val="105"/>
          <w:sz w:val="21"/>
        </w:rPr>
        <w:t>action.</w:t>
      </w:r>
      <w:r>
        <w:rPr>
          <w:w w:val="105"/>
          <w:position w:val="7"/>
          <w:sz w:val="12"/>
        </w:rPr>
        <w:t>25</w:t>
      </w:r>
    </w:p>
    <w:p>
      <w:pPr>
        <w:pStyle w:val="ListParagraph"/>
        <w:numPr>
          <w:ilvl w:val="1"/>
          <w:numId w:val="16"/>
        </w:numPr>
        <w:tabs>
          <w:tab w:pos="2381" w:val="left" w:leader="none"/>
          <w:tab w:pos="2382" w:val="left" w:leader="none"/>
        </w:tabs>
        <w:spacing w:line="242" w:lineRule="auto" w:before="88" w:after="0"/>
        <w:ind w:left="2381" w:right="1756" w:hanging="794"/>
        <w:jc w:val="left"/>
        <w:rPr>
          <w:sz w:val="21"/>
        </w:rPr>
      </w:pPr>
      <w:r>
        <w:rPr>
          <w:w w:val="105"/>
          <w:sz w:val="21"/>
        </w:rPr>
        <w:t>The QLRC also recommended </w:t>
      </w:r>
      <w:r>
        <w:rPr>
          <w:spacing w:val="-3"/>
          <w:w w:val="105"/>
          <w:sz w:val="21"/>
        </w:rPr>
        <w:t>that </w:t>
      </w:r>
      <w:r>
        <w:rPr>
          <w:w w:val="105"/>
          <w:sz w:val="21"/>
        </w:rPr>
        <w:t>the </w:t>
      </w:r>
      <w:r>
        <w:rPr>
          <w:spacing w:val="-3"/>
          <w:w w:val="105"/>
          <w:sz w:val="21"/>
        </w:rPr>
        <w:t>Queensland </w:t>
      </w:r>
      <w:r>
        <w:rPr>
          <w:w w:val="105"/>
          <w:sz w:val="21"/>
        </w:rPr>
        <w:t>Act should </w:t>
      </w:r>
      <w:r>
        <w:rPr>
          <w:spacing w:val="-3"/>
          <w:w w:val="105"/>
          <w:sz w:val="21"/>
        </w:rPr>
        <w:t>refer to </w:t>
      </w:r>
      <w:r>
        <w:rPr>
          <w:w w:val="105"/>
          <w:sz w:val="21"/>
        </w:rPr>
        <w:t>mediation provided</w:t>
      </w:r>
      <w:r>
        <w:rPr>
          <w:spacing w:val="-8"/>
          <w:w w:val="105"/>
          <w:sz w:val="21"/>
        </w:rPr>
        <w:t> </w:t>
      </w:r>
      <w:r>
        <w:rPr>
          <w:w w:val="105"/>
          <w:sz w:val="21"/>
        </w:rPr>
        <w:t>by</w:t>
      </w:r>
      <w:r>
        <w:rPr>
          <w:spacing w:val="-7"/>
          <w:w w:val="105"/>
          <w:sz w:val="21"/>
        </w:rPr>
        <w:t> </w:t>
      </w:r>
      <w:r>
        <w:rPr>
          <w:w w:val="105"/>
          <w:sz w:val="21"/>
        </w:rPr>
        <w:t>a</w:t>
      </w:r>
      <w:r>
        <w:rPr>
          <w:spacing w:val="-7"/>
          <w:w w:val="105"/>
          <w:sz w:val="21"/>
        </w:rPr>
        <w:t> </w:t>
      </w:r>
      <w:r>
        <w:rPr>
          <w:spacing w:val="-3"/>
          <w:w w:val="105"/>
          <w:sz w:val="21"/>
        </w:rPr>
        <w:t>Dispute</w:t>
      </w:r>
      <w:r>
        <w:rPr>
          <w:spacing w:val="-7"/>
          <w:w w:val="105"/>
          <w:sz w:val="21"/>
        </w:rPr>
        <w:t> </w:t>
      </w:r>
      <w:r>
        <w:rPr>
          <w:w w:val="105"/>
          <w:sz w:val="21"/>
        </w:rPr>
        <w:t>Resolution</w:t>
      </w:r>
      <w:r>
        <w:rPr>
          <w:spacing w:val="-7"/>
          <w:w w:val="105"/>
          <w:sz w:val="21"/>
        </w:rPr>
        <w:t> </w:t>
      </w:r>
      <w:r>
        <w:rPr>
          <w:spacing w:val="-4"/>
          <w:w w:val="105"/>
          <w:sz w:val="21"/>
        </w:rPr>
        <w:t>Centre</w:t>
      </w:r>
      <w:r>
        <w:rPr>
          <w:spacing w:val="-7"/>
          <w:w w:val="105"/>
          <w:sz w:val="21"/>
        </w:rPr>
        <w:t> </w:t>
      </w:r>
      <w:r>
        <w:rPr>
          <w:w w:val="105"/>
          <w:sz w:val="21"/>
        </w:rPr>
        <w:t>as</w:t>
      </w:r>
      <w:r>
        <w:rPr>
          <w:spacing w:val="-7"/>
          <w:w w:val="105"/>
          <w:sz w:val="21"/>
        </w:rPr>
        <w:t> </w:t>
      </w:r>
      <w:r>
        <w:rPr>
          <w:w w:val="105"/>
          <w:sz w:val="21"/>
        </w:rPr>
        <w:t>an</w:t>
      </w:r>
      <w:r>
        <w:rPr>
          <w:spacing w:val="-7"/>
          <w:w w:val="105"/>
          <w:sz w:val="21"/>
        </w:rPr>
        <w:t> </w:t>
      </w:r>
      <w:r>
        <w:rPr>
          <w:w w:val="105"/>
          <w:sz w:val="21"/>
        </w:rPr>
        <w:t>example</w:t>
      </w:r>
      <w:r>
        <w:rPr>
          <w:spacing w:val="-7"/>
          <w:w w:val="105"/>
          <w:sz w:val="21"/>
        </w:rPr>
        <w:t> </w:t>
      </w:r>
      <w:r>
        <w:rPr>
          <w:w w:val="105"/>
          <w:sz w:val="21"/>
        </w:rPr>
        <w:t>of</w:t>
      </w:r>
      <w:r>
        <w:rPr>
          <w:spacing w:val="-7"/>
          <w:w w:val="105"/>
          <w:sz w:val="21"/>
        </w:rPr>
        <w:t> </w:t>
      </w:r>
      <w:r>
        <w:rPr>
          <w:w w:val="105"/>
          <w:sz w:val="21"/>
        </w:rPr>
        <w:t>how</w:t>
      </w:r>
      <w:r>
        <w:rPr>
          <w:spacing w:val="-7"/>
          <w:w w:val="105"/>
          <w:sz w:val="21"/>
        </w:rPr>
        <w:t> </w:t>
      </w:r>
      <w:r>
        <w:rPr>
          <w:w w:val="105"/>
          <w:sz w:val="21"/>
        </w:rPr>
        <w:t>neighbours</w:t>
      </w:r>
      <w:r>
        <w:rPr>
          <w:spacing w:val="-7"/>
          <w:w w:val="105"/>
          <w:sz w:val="21"/>
        </w:rPr>
        <w:t> </w:t>
      </w:r>
      <w:r>
        <w:rPr>
          <w:spacing w:val="-3"/>
          <w:w w:val="105"/>
          <w:sz w:val="21"/>
        </w:rPr>
        <w:t>may</w:t>
      </w:r>
      <w:r>
        <w:rPr>
          <w:spacing w:val="-7"/>
          <w:w w:val="105"/>
          <w:sz w:val="21"/>
        </w:rPr>
        <w:t> </w:t>
      </w:r>
      <w:r>
        <w:rPr>
          <w:w w:val="105"/>
          <w:sz w:val="21"/>
        </w:rPr>
        <w:t>attempt </w:t>
      </w:r>
      <w:r>
        <w:rPr>
          <w:spacing w:val="-3"/>
          <w:w w:val="105"/>
          <w:sz w:val="21"/>
        </w:rPr>
        <w:t>to </w:t>
      </w:r>
      <w:r>
        <w:rPr>
          <w:w w:val="105"/>
          <w:sz w:val="21"/>
        </w:rPr>
        <w:t>resolve their </w:t>
      </w:r>
      <w:r>
        <w:rPr>
          <w:spacing w:val="-3"/>
          <w:w w:val="105"/>
          <w:sz w:val="21"/>
        </w:rPr>
        <w:t>dispute </w:t>
      </w:r>
      <w:r>
        <w:rPr>
          <w:spacing w:val="-4"/>
          <w:w w:val="105"/>
          <w:sz w:val="21"/>
        </w:rPr>
        <w:t>informally.</w:t>
      </w:r>
      <w:r>
        <w:rPr>
          <w:spacing w:val="-4"/>
          <w:w w:val="105"/>
          <w:position w:val="7"/>
          <w:sz w:val="12"/>
        </w:rPr>
        <w:t>26 </w:t>
      </w:r>
      <w:r>
        <w:rPr>
          <w:w w:val="105"/>
          <w:sz w:val="21"/>
        </w:rPr>
        <w:t>Neither of these </w:t>
      </w:r>
      <w:r>
        <w:rPr>
          <w:spacing w:val="-3"/>
          <w:w w:val="105"/>
          <w:sz w:val="21"/>
        </w:rPr>
        <w:t>recommendations have </w:t>
      </w:r>
      <w:r>
        <w:rPr>
          <w:w w:val="105"/>
          <w:sz w:val="21"/>
        </w:rPr>
        <w:t>been </w:t>
      </w:r>
      <w:r>
        <w:rPr>
          <w:spacing w:val="-3"/>
          <w:w w:val="105"/>
          <w:sz w:val="21"/>
        </w:rPr>
        <w:t>implemented </w:t>
      </w:r>
      <w:r>
        <w:rPr>
          <w:w w:val="105"/>
          <w:sz w:val="21"/>
        </w:rPr>
        <w:t>at the time of</w:t>
      </w:r>
      <w:r>
        <w:rPr>
          <w:spacing w:val="29"/>
          <w:w w:val="105"/>
          <w:sz w:val="21"/>
        </w:rPr>
        <w:t> </w:t>
      </w:r>
      <w:r>
        <w:rPr>
          <w:spacing w:val="-3"/>
          <w:w w:val="105"/>
          <w:sz w:val="21"/>
        </w:rPr>
        <w:t>writing.</w:t>
      </w:r>
      <w:r>
        <w:rPr>
          <w:spacing w:val="-3"/>
          <w:w w:val="105"/>
          <w:position w:val="7"/>
          <w:sz w:val="12"/>
        </w:rPr>
        <w:t>27</w:t>
      </w:r>
    </w:p>
    <w:p>
      <w:pPr>
        <w:pStyle w:val="ListParagraph"/>
        <w:numPr>
          <w:ilvl w:val="1"/>
          <w:numId w:val="16"/>
        </w:numPr>
        <w:tabs>
          <w:tab w:pos="2381" w:val="left" w:leader="none"/>
          <w:tab w:pos="2382" w:val="left" w:leader="none"/>
        </w:tabs>
        <w:spacing w:line="242" w:lineRule="auto" w:before="124" w:after="0"/>
        <w:ind w:left="2381" w:right="1674" w:hanging="794"/>
        <w:jc w:val="left"/>
        <w:rPr>
          <w:sz w:val="21"/>
        </w:rPr>
      </w:pPr>
      <w:r>
        <w:rPr>
          <w:spacing w:val="-3"/>
          <w:sz w:val="21"/>
        </w:rPr>
        <w:t>Additional informal </w:t>
      </w:r>
      <w:r>
        <w:rPr>
          <w:sz w:val="21"/>
        </w:rPr>
        <w:t>resolution </w:t>
      </w:r>
      <w:r>
        <w:rPr>
          <w:spacing w:val="-3"/>
          <w:sz w:val="21"/>
        </w:rPr>
        <w:t>mechanisms </w:t>
      </w:r>
      <w:r>
        <w:rPr>
          <w:sz w:val="21"/>
        </w:rPr>
        <w:t>and pre-conditions </w:t>
      </w:r>
      <w:r>
        <w:rPr>
          <w:spacing w:val="-3"/>
          <w:sz w:val="21"/>
        </w:rPr>
        <w:t>to  </w:t>
      </w:r>
      <w:r>
        <w:rPr>
          <w:sz w:val="21"/>
        </w:rPr>
        <w:t>orders </w:t>
      </w:r>
      <w:r>
        <w:rPr>
          <w:spacing w:val="-3"/>
          <w:sz w:val="21"/>
        </w:rPr>
        <w:t>are</w:t>
      </w:r>
      <w:r>
        <w:rPr>
          <w:spacing w:val="41"/>
          <w:sz w:val="21"/>
        </w:rPr>
        <w:t> </w:t>
      </w:r>
      <w:r>
        <w:rPr>
          <w:sz w:val="21"/>
        </w:rPr>
        <w:t>also </w:t>
      </w:r>
      <w:r>
        <w:rPr>
          <w:spacing w:val="-3"/>
          <w:sz w:val="21"/>
        </w:rPr>
        <w:t>included  </w:t>
      </w:r>
      <w:r>
        <w:rPr>
          <w:sz w:val="21"/>
        </w:rPr>
        <w:t>in the interstate Acts and </w:t>
      </w:r>
      <w:r>
        <w:rPr>
          <w:spacing w:val="-3"/>
          <w:sz w:val="21"/>
        </w:rPr>
        <w:t>are </w:t>
      </w:r>
      <w:r>
        <w:rPr>
          <w:sz w:val="21"/>
        </w:rPr>
        <w:t>discussed</w:t>
      </w:r>
      <w:r>
        <w:rPr>
          <w:spacing w:val="15"/>
          <w:sz w:val="21"/>
        </w:rPr>
        <w:t> </w:t>
      </w:r>
      <w:r>
        <w:rPr>
          <w:sz w:val="21"/>
        </w:rPr>
        <w:t>next.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r>
        <w:rPr/>
        <w:pict>
          <v:line style="position:absolute;mso-position-horizontal-relative:page;mso-position-vertical-relative:paragraph;z-index:5768;mso-wrap-distance-left:0;mso-wrap-distance-right:0" from="79.370102pt,12.650995pt" to="515.905102pt,12.65099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spacing w:before="198"/>
        <w:ind w:left="720" w:right="0" w:firstLine="0"/>
        <w:jc w:val="left"/>
        <w:rPr>
          <w:b/>
          <w:sz w:val="24"/>
        </w:rPr>
      </w:pPr>
      <w:r>
        <w:rPr>
          <w:b/>
          <w:color w:val="658464"/>
          <w:spacing w:val="-9"/>
          <w:w w:val="110"/>
          <w:sz w:val="24"/>
        </w:rPr>
        <w:t>114</w:t>
      </w:r>
    </w:p>
    <w:p>
      <w:pPr>
        <w:pStyle w:val="ListParagraph"/>
        <w:numPr>
          <w:ilvl w:val="0"/>
          <w:numId w:val="91"/>
        </w:numPr>
        <w:tabs>
          <w:tab w:pos="1245" w:val="left" w:leader="none"/>
          <w:tab w:pos="1247" w:val="left" w:leader="none"/>
        </w:tabs>
        <w:spacing w:line="240" w:lineRule="auto" w:before="48" w:after="0"/>
        <w:ind w:left="1246" w:right="0" w:hanging="794"/>
        <w:jc w:val="left"/>
        <w:rPr>
          <w:sz w:val="13"/>
        </w:rPr>
      </w:pPr>
      <w:r>
        <w:rPr>
          <w:i/>
          <w:spacing w:val="3"/>
          <w:w w:val="103"/>
          <w:sz w:val="13"/>
        </w:rPr>
        <w:br w:type="column"/>
      </w:r>
      <w:r>
        <w:rPr>
          <w:i/>
          <w:w w:val="105"/>
          <w:sz w:val="13"/>
        </w:rPr>
        <w:t>Neighbourhood Disputes About Plants Act </w:t>
      </w:r>
      <w:r>
        <w:rPr>
          <w:i/>
          <w:spacing w:val="-4"/>
          <w:w w:val="105"/>
          <w:sz w:val="13"/>
        </w:rPr>
        <w:t>2017 </w:t>
      </w:r>
      <w:r>
        <w:rPr>
          <w:w w:val="105"/>
          <w:sz w:val="13"/>
        </w:rPr>
        <w:t>(Tas) s</w:t>
      </w:r>
      <w:r>
        <w:rPr>
          <w:spacing w:val="15"/>
          <w:w w:val="105"/>
          <w:sz w:val="13"/>
        </w:rPr>
        <w:t> </w:t>
      </w:r>
      <w:r>
        <w:rPr>
          <w:w w:val="105"/>
          <w:sz w:val="13"/>
        </w:rPr>
        <w:t>19.</w:t>
      </w:r>
    </w:p>
    <w:p>
      <w:pPr>
        <w:pStyle w:val="ListParagraph"/>
        <w:numPr>
          <w:ilvl w:val="0"/>
          <w:numId w:val="91"/>
        </w:numPr>
        <w:tabs>
          <w:tab w:pos="1245" w:val="left" w:leader="none"/>
          <w:tab w:pos="1247" w:val="left" w:leader="none"/>
        </w:tabs>
        <w:spacing w:line="240" w:lineRule="auto" w:before="1" w:after="0"/>
        <w:ind w:left="1246"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ss </w:t>
      </w:r>
      <w:r>
        <w:rPr>
          <w:spacing w:val="2"/>
          <w:w w:val="105"/>
          <w:sz w:val="13"/>
        </w:rPr>
        <w:t>56(1),</w:t>
      </w:r>
      <w:r>
        <w:rPr>
          <w:spacing w:val="29"/>
          <w:w w:val="105"/>
          <w:sz w:val="13"/>
        </w:rPr>
        <w:t> </w:t>
      </w:r>
      <w:r>
        <w:rPr>
          <w:spacing w:val="2"/>
          <w:w w:val="105"/>
          <w:sz w:val="13"/>
        </w:rPr>
        <w:t>60(1).</w:t>
      </w:r>
    </w:p>
    <w:p>
      <w:pPr>
        <w:pStyle w:val="ListParagraph"/>
        <w:numPr>
          <w:ilvl w:val="0"/>
          <w:numId w:val="91"/>
        </w:numPr>
        <w:tabs>
          <w:tab w:pos="1245" w:val="left" w:leader="none"/>
          <w:tab w:pos="1247" w:val="left" w:leader="none"/>
        </w:tabs>
        <w:spacing w:line="240" w:lineRule="auto" w:before="2" w:after="0"/>
        <w:ind w:left="1246" w:right="1756" w:hanging="794"/>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2015) Recommendations 4-3, 4-5,</w:t>
      </w:r>
      <w:r>
        <w:rPr>
          <w:spacing w:val="14"/>
          <w:w w:val="105"/>
          <w:sz w:val="13"/>
        </w:rPr>
        <w:t> </w:t>
      </w:r>
      <w:r>
        <w:rPr>
          <w:w w:val="105"/>
          <w:sz w:val="13"/>
        </w:rPr>
        <w:t>4-10.</w:t>
      </w:r>
    </w:p>
    <w:p>
      <w:pPr>
        <w:tabs>
          <w:tab w:pos="1245" w:val="left" w:leader="none"/>
        </w:tabs>
        <w:spacing w:before="2"/>
        <w:ind w:left="452" w:right="0" w:firstLine="0"/>
        <w:jc w:val="left"/>
        <w:rPr>
          <w:sz w:val="13"/>
        </w:rPr>
      </w:pPr>
      <w:r>
        <w:rPr>
          <w:w w:val="105"/>
          <w:sz w:val="13"/>
        </w:rPr>
        <w:t>23</w:t>
        <w:tab/>
        <w:t>Ibid</w:t>
      </w:r>
      <w:r>
        <w:rPr>
          <w:spacing w:val="4"/>
          <w:w w:val="105"/>
          <w:sz w:val="13"/>
        </w:rPr>
        <w:t> </w:t>
      </w:r>
      <w:r>
        <w:rPr>
          <w:w w:val="105"/>
          <w:sz w:val="13"/>
        </w:rPr>
        <w:t>[4.51].</w:t>
      </w:r>
    </w:p>
    <w:p>
      <w:pPr>
        <w:pStyle w:val="ListParagraph"/>
        <w:numPr>
          <w:ilvl w:val="0"/>
          <w:numId w:val="92"/>
        </w:numPr>
        <w:tabs>
          <w:tab w:pos="1246" w:val="left" w:leader="none"/>
          <w:tab w:pos="1247" w:val="left" w:leader="none"/>
        </w:tabs>
        <w:spacing w:line="240" w:lineRule="auto" w:before="2" w:after="0"/>
        <w:ind w:left="1246" w:right="0" w:hanging="794"/>
        <w:jc w:val="left"/>
        <w:rPr>
          <w:sz w:val="13"/>
        </w:rPr>
      </w:pPr>
      <w:r>
        <w:rPr>
          <w:w w:val="105"/>
          <w:sz w:val="13"/>
        </w:rPr>
        <w:t>Ibid  Recommendation</w:t>
      </w:r>
      <w:r>
        <w:rPr>
          <w:spacing w:val="-5"/>
          <w:w w:val="105"/>
          <w:sz w:val="13"/>
        </w:rPr>
        <w:t> </w:t>
      </w:r>
      <w:r>
        <w:rPr>
          <w:w w:val="105"/>
          <w:sz w:val="13"/>
        </w:rPr>
        <w:t>4-3.</w:t>
      </w:r>
    </w:p>
    <w:p>
      <w:pPr>
        <w:pStyle w:val="ListParagraph"/>
        <w:numPr>
          <w:ilvl w:val="0"/>
          <w:numId w:val="92"/>
        </w:numPr>
        <w:tabs>
          <w:tab w:pos="1246" w:val="left" w:leader="none"/>
          <w:tab w:pos="1247" w:val="left" w:leader="none"/>
        </w:tabs>
        <w:spacing w:line="240" w:lineRule="auto" w:before="1" w:after="0"/>
        <w:ind w:left="1246" w:right="0" w:hanging="794"/>
        <w:jc w:val="left"/>
        <w:rPr>
          <w:sz w:val="13"/>
        </w:rPr>
      </w:pPr>
      <w:r>
        <w:rPr>
          <w:w w:val="105"/>
          <w:sz w:val="13"/>
        </w:rPr>
        <w:t>Ibid  Recommendation</w:t>
      </w:r>
      <w:r>
        <w:rPr>
          <w:spacing w:val="-6"/>
          <w:w w:val="105"/>
          <w:sz w:val="13"/>
        </w:rPr>
        <w:t> </w:t>
      </w:r>
      <w:r>
        <w:rPr>
          <w:spacing w:val="3"/>
          <w:w w:val="105"/>
          <w:sz w:val="13"/>
        </w:rPr>
        <w:t>4-4.</w:t>
      </w:r>
    </w:p>
    <w:p>
      <w:pPr>
        <w:pStyle w:val="ListParagraph"/>
        <w:numPr>
          <w:ilvl w:val="0"/>
          <w:numId w:val="92"/>
        </w:numPr>
        <w:tabs>
          <w:tab w:pos="1246" w:val="left" w:leader="none"/>
          <w:tab w:pos="1247" w:val="left" w:leader="none"/>
        </w:tabs>
        <w:spacing w:line="240" w:lineRule="auto" w:before="1" w:after="0"/>
        <w:ind w:left="1246" w:right="0" w:hanging="794"/>
        <w:jc w:val="left"/>
        <w:rPr>
          <w:sz w:val="13"/>
        </w:rPr>
      </w:pPr>
      <w:r>
        <w:rPr>
          <w:w w:val="105"/>
          <w:sz w:val="13"/>
        </w:rPr>
        <w:t>Ibid  Recommendation</w:t>
      </w:r>
      <w:r>
        <w:rPr>
          <w:spacing w:val="-6"/>
          <w:w w:val="105"/>
          <w:sz w:val="13"/>
        </w:rPr>
        <w:t> </w:t>
      </w:r>
      <w:r>
        <w:rPr>
          <w:spacing w:val="3"/>
          <w:w w:val="105"/>
          <w:sz w:val="13"/>
        </w:rPr>
        <w:t>4-6.</w:t>
      </w:r>
    </w:p>
    <w:p>
      <w:pPr>
        <w:pStyle w:val="ListParagraph"/>
        <w:numPr>
          <w:ilvl w:val="0"/>
          <w:numId w:val="92"/>
        </w:numPr>
        <w:tabs>
          <w:tab w:pos="1246" w:val="left" w:leader="none"/>
          <w:tab w:pos="1247" w:val="left" w:leader="none"/>
        </w:tabs>
        <w:spacing w:line="240" w:lineRule="auto" w:before="2" w:after="0"/>
        <w:ind w:left="1246" w:right="0" w:hanging="794"/>
        <w:jc w:val="left"/>
        <w:rPr>
          <w:sz w:val="13"/>
        </w:rPr>
      </w:pPr>
      <w:r>
        <w:rPr>
          <w:w w:val="105"/>
          <w:sz w:val="13"/>
        </w:rPr>
        <w:t>See </w:t>
      </w: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8"/>
          <w:w w:val="105"/>
          <w:sz w:val="13"/>
        </w:rPr>
        <w:t> </w:t>
      </w:r>
      <w:r>
        <w:rPr>
          <w:spacing w:val="3"/>
          <w:w w:val="105"/>
          <w:sz w:val="13"/>
        </w:rPr>
        <w:t>65(a).</w:t>
      </w:r>
    </w:p>
    <w:p>
      <w:pPr>
        <w:spacing w:after="0" w:line="240" w:lineRule="auto"/>
        <w:jc w:val="left"/>
        <w:rPr>
          <w:sz w:val="13"/>
        </w:rPr>
        <w:sectPr>
          <w:type w:val="continuous"/>
          <w:pgSz w:w="11910" w:h="16840"/>
          <w:pgMar w:top="300" w:bottom="280" w:left="0" w:right="0"/>
          <w:cols w:num="2" w:equalWidth="0">
            <w:col w:w="1096" w:space="40"/>
            <w:col w:w="10774"/>
          </w:cols>
        </w:sectPr>
      </w:pPr>
    </w:p>
    <w:p>
      <w:pPr>
        <w:pStyle w:val="BodyText"/>
        <w:rPr>
          <w:sz w:val="20"/>
        </w:rPr>
      </w:pPr>
    </w:p>
    <w:p>
      <w:pPr>
        <w:pStyle w:val="BodyText"/>
        <w:spacing w:before="11"/>
        <w:rPr>
          <w:sz w:val="17"/>
        </w:rPr>
      </w:pPr>
    </w:p>
    <w:p>
      <w:pPr>
        <w:pStyle w:val="Heading5"/>
        <w:spacing w:line="244" w:lineRule="auto" w:before="96"/>
        <w:ind w:right="1636"/>
      </w:pPr>
      <w:bookmarkStart w:name="_bookmark64" w:id="148"/>
      <w:bookmarkEnd w:id="148"/>
      <w:r>
        <w:rPr>
          <w:b w:val="0"/>
        </w:rPr>
      </w:r>
      <w:r>
        <w:rPr>
          <w:w w:val="110"/>
        </w:rPr>
        <w:t>A formal requirement in the interstate Acts for ‘reasonable attempts to reach agreement’</w:t>
      </w:r>
    </w:p>
    <w:p>
      <w:pPr>
        <w:pStyle w:val="ListParagraph"/>
        <w:numPr>
          <w:ilvl w:val="1"/>
          <w:numId w:val="16"/>
        </w:numPr>
        <w:tabs>
          <w:tab w:pos="2381" w:val="left" w:leader="none"/>
          <w:tab w:pos="2382" w:val="left" w:leader="none"/>
        </w:tabs>
        <w:spacing w:line="242" w:lineRule="auto" w:before="132" w:after="0"/>
        <w:ind w:left="2381" w:right="1590" w:hanging="794"/>
        <w:jc w:val="left"/>
        <w:rPr>
          <w:sz w:val="21"/>
        </w:rPr>
      </w:pPr>
      <w:r>
        <w:rPr>
          <w:w w:val="105"/>
          <w:sz w:val="21"/>
        </w:rPr>
        <w:t>The Land and </w:t>
      </w:r>
      <w:r>
        <w:rPr>
          <w:spacing w:val="-3"/>
          <w:w w:val="105"/>
          <w:sz w:val="21"/>
        </w:rPr>
        <w:t>Environment Court </w:t>
      </w:r>
      <w:r>
        <w:rPr>
          <w:w w:val="105"/>
          <w:sz w:val="21"/>
        </w:rPr>
        <w:t>of New South </w:t>
      </w:r>
      <w:r>
        <w:rPr>
          <w:spacing w:val="-3"/>
          <w:w w:val="105"/>
          <w:sz w:val="21"/>
        </w:rPr>
        <w:t>Wales </w:t>
      </w:r>
      <w:r>
        <w:rPr>
          <w:w w:val="105"/>
          <w:sz w:val="21"/>
        </w:rPr>
        <w:t>(NSWLEC) must </w:t>
      </w:r>
      <w:r>
        <w:rPr>
          <w:spacing w:val="-2"/>
          <w:w w:val="105"/>
          <w:sz w:val="21"/>
        </w:rPr>
        <w:t>not </w:t>
      </w:r>
      <w:r>
        <w:rPr>
          <w:spacing w:val="-4"/>
          <w:w w:val="105"/>
          <w:sz w:val="21"/>
        </w:rPr>
        <w:t>make </w:t>
      </w:r>
      <w:r>
        <w:rPr>
          <w:w w:val="105"/>
          <w:sz w:val="21"/>
        </w:rPr>
        <w:t>an order under the </w:t>
      </w:r>
      <w:r>
        <w:rPr>
          <w:i/>
          <w:spacing w:val="-4"/>
          <w:w w:val="105"/>
          <w:sz w:val="21"/>
        </w:rPr>
        <w:t>Trees </w:t>
      </w:r>
      <w:r>
        <w:rPr>
          <w:i/>
          <w:w w:val="105"/>
          <w:sz w:val="21"/>
        </w:rPr>
        <w:t>(Disputes Between Neighbours) Act 2006 </w:t>
      </w:r>
      <w:r>
        <w:rPr>
          <w:spacing w:val="2"/>
          <w:w w:val="105"/>
          <w:sz w:val="21"/>
        </w:rPr>
        <w:t>(NSW) </w:t>
      </w:r>
      <w:r>
        <w:rPr>
          <w:w w:val="105"/>
          <w:sz w:val="21"/>
        </w:rPr>
        <w:t>(NSW Act) unless it is satisfied </w:t>
      </w:r>
      <w:r>
        <w:rPr>
          <w:spacing w:val="-3"/>
          <w:w w:val="105"/>
          <w:sz w:val="21"/>
        </w:rPr>
        <w:t>that </w:t>
      </w:r>
      <w:r>
        <w:rPr>
          <w:w w:val="105"/>
          <w:sz w:val="21"/>
        </w:rPr>
        <w:t>the </w:t>
      </w:r>
      <w:r>
        <w:rPr>
          <w:spacing w:val="-3"/>
          <w:w w:val="105"/>
          <w:sz w:val="21"/>
        </w:rPr>
        <w:t>applicant </w:t>
      </w:r>
      <w:r>
        <w:rPr>
          <w:spacing w:val="-2"/>
          <w:w w:val="105"/>
          <w:sz w:val="21"/>
        </w:rPr>
        <w:t>has </w:t>
      </w:r>
      <w:r>
        <w:rPr>
          <w:w w:val="105"/>
          <w:sz w:val="21"/>
        </w:rPr>
        <w:t>made a </w:t>
      </w:r>
      <w:r>
        <w:rPr>
          <w:spacing w:val="-3"/>
          <w:w w:val="105"/>
          <w:sz w:val="21"/>
        </w:rPr>
        <w:t>reasonable </w:t>
      </w:r>
      <w:r>
        <w:rPr>
          <w:w w:val="105"/>
          <w:sz w:val="21"/>
        </w:rPr>
        <w:t>effort </w:t>
      </w:r>
      <w:r>
        <w:rPr>
          <w:spacing w:val="-3"/>
          <w:w w:val="105"/>
          <w:sz w:val="21"/>
        </w:rPr>
        <w:t>to reach </w:t>
      </w:r>
      <w:r>
        <w:rPr>
          <w:spacing w:val="-2"/>
          <w:w w:val="105"/>
          <w:sz w:val="21"/>
        </w:rPr>
        <w:t>agreement </w:t>
      </w:r>
      <w:r>
        <w:rPr>
          <w:w w:val="105"/>
          <w:sz w:val="21"/>
        </w:rPr>
        <w:t>with the owner of the </w:t>
      </w:r>
      <w:r>
        <w:rPr>
          <w:spacing w:val="-3"/>
          <w:w w:val="105"/>
          <w:sz w:val="21"/>
        </w:rPr>
        <w:t>land </w:t>
      </w:r>
      <w:r>
        <w:rPr>
          <w:w w:val="105"/>
          <w:sz w:val="21"/>
        </w:rPr>
        <w:t>on which the tree is </w:t>
      </w:r>
      <w:r>
        <w:rPr>
          <w:spacing w:val="-3"/>
          <w:w w:val="105"/>
          <w:sz w:val="21"/>
        </w:rPr>
        <w:t>situated.</w:t>
      </w:r>
      <w:r>
        <w:rPr>
          <w:spacing w:val="-3"/>
          <w:w w:val="105"/>
          <w:position w:val="7"/>
          <w:sz w:val="12"/>
        </w:rPr>
        <w:t>28 </w:t>
      </w:r>
      <w:r>
        <w:rPr>
          <w:w w:val="105"/>
          <w:sz w:val="21"/>
        </w:rPr>
        <w:t>The </w:t>
      </w:r>
      <w:r>
        <w:rPr>
          <w:spacing w:val="-3"/>
          <w:w w:val="105"/>
          <w:sz w:val="21"/>
        </w:rPr>
        <w:t>intention </w:t>
      </w:r>
      <w:r>
        <w:rPr>
          <w:w w:val="105"/>
          <w:sz w:val="21"/>
        </w:rPr>
        <w:t>is </w:t>
      </w:r>
      <w:r>
        <w:rPr>
          <w:spacing w:val="-3"/>
          <w:w w:val="105"/>
          <w:sz w:val="21"/>
        </w:rPr>
        <w:t>that </w:t>
      </w:r>
      <w:r>
        <w:rPr>
          <w:w w:val="105"/>
          <w:sz w:val="21"/>
        </w:rPr>
        <w:t>legal action should be a last</w:t>
      </w:r>
      <w:r>
        <w:rPr>
          <w:spacing w:val="15"/>
          <w:w w:val="105"/>
          <w:sz w:val="21"/>
        </w:rPr>
        <w:t> </w:t>
      </w:r>
      <w:r>
        <w:rPr>
          <w:w w:val="105"/>
          <w:sz w:val="21"/>
        </w:rPr>
        <w:t>resort.</w:t>
      </w:r>
      <w:r>
        <w:rPr>
          <w:w w:val="105"/>
          <w:position w:val="7"/>
          <w:sz w:val="12"/>
        </w:rPr>
        <w:t>29</w:t>
      </w:r>
    </w:p>
    <w:p>
      <w:pPr>
        <w:pStyle w:val="ListParagraph"/>
        <w:numPr>
          <w:ilvl w:val="1"/>
          <w:numId w:val="16"/>
        </w:numPr>
        <w:tabs>
          <w:tab w:pos="2381" w:val="left" w:leader="none"/>
          <w:tab w:pos="2382" w:val="left" w:leader="none"/>
        </w:tabs>
        <w:spacing w:line="242" w:lineRule="auto" w:before="126" w:after="0"/>
        <w:ind w:left="2381" w:right="1709" w:hanging="794"/>
        <w:jc w:val="left"/>
        <w:rPr>
          <w:sz w:val="21"/>
        </w:rPr>
      </w:pPr>
      <w:r>
        <w:rPr>
          <w:w w:val="105"/>
          <w:sz w:val="21"/>
        </w:rPr>
        <w:t>This </w:t>
      </w:r>
      <w:r>
        <w:rPr>
          <w:spacing w:val="-3"/>
          <w:w w:val="105"/>
          <w:sz w:val="21"/>
        </w:rPr>
        <w:t>reasonable </w:t>
      </w:r>
      <w:r>
        <w:rPr>
          <w:w w:val="105"/>
          <w:sz w:val="21"/>
        </w:rPr>
        <w:t>effort does </w:t>
      </w:r>
      <w:r>
        <w:rPr>
          <w:spacing w:val="-2"/>
          <w:w w:val="105"/>
          <w:sz w:val="21"/>
        </w:rPr>
        <w:t>not </w:t>
      </w:r>
      <w:r>
        <w:rPr>
          <w:spacing w:val="-3"/>
          <w:w w:val="105"/>
          <w:sz w:val="21"/>
        </w:rPr>
        <w:t>have to </w:t>
      </w:r>
      <w:r>
        <w:rPr>
          <w:w w:val="105"/>
          <w:sz w:val="21"/>
        </w:rPr>
        <w:t>be made </w:t>
      </w:r>
      <w:r>
        <w:rPr>
          <w:spacing w:val="-3"/>
          <w:w w:val="105"/>
          <w:sz w:val="21"/>
        </w:rPr>
        <w:t>before </w:t>
      </w:r>
      <w:r>
        <w:rPr>
          <w:w w:val="105"/>
          <w:sz w:val="21"/>
        </w:rPr>
        <w:t>the </w:t>
      </w:r>
      <w:r>
        <w:rPr>
          <w:spacing w:val="-3"/>
          <w:w w:val="105"/>
          <w:sz w:val="21"/>
        </w:rPr>
        <w:t>filing </w:t>
      </w:r>
      <w:r>
        <w:rPr>
          <w:w w:val="105"/>
          <w:sz w:val="21"/>
        </w:rPr>
        <w:t>of an application (though this is desirable) but it must be made </w:t>
      </w:r>
      <w:r>
        <w:rPr>
          <w:spacing w:val="-3"/>
          <w:w w:val="105"/>
          <w:sz w:val="21"/>
        </w:rPr>
        <w:t>before </w:t>
      </w:r>
      <w:r>
        <w:rPr>
          <w:w w:val="105"/>
          <w:sz w:val="21"/>
        </w:rPr>
        <w:t>the </w:t>
      </w:r>
      <w:r>
        <w:rPr>
          <w:spacing w:val="-3"/>
          <w:w w:val="105"/>
          <w:sz w:val="21"/>
        </w:rPr>
        <w:t>Court makes any </w:t>
      </w:r>
      <w:r>
        <w:rPr>
          <w:w w:val="105"/>
          <w:sz w:val="21"/>
        </w:rPr>
        <w:t>orders.</w:t>
      </w:r>
      <w:r>
        <w:rPr>
          <w:w w:val="105"/>
          <w:position w:val="7"/>
          <w:sz w:val="12"/>
        </w:rPr>
        <w:t>30</w:t>
      </w:r>
      <w:r>
        <w:rPr>
          <w:w w:val="105"/>
          <w:sz w:val="12"/>
        </w:rPr>
        <w:t> </w:t>
      </w:r>
      <w:r>
        <w:rPr>
          <w:spacing w:val="-3"/>
          <w:w w:val="105"/>
          <w:sz w:val="21"/>
        </w:rPr>
        <w:t>Writing to </w:t>
      </w:r>
      <w:r>
        <w:rPr>
          <w:w w:val="105"/>
          <w:sz w:val="21"/>
        </w:rPr>
        <w:t>the tree </w:t>
      </w:r>
      <w:r>
        <w:rPr>
          <w:spacing w:val="-4"/>
          <w:w w:val="105"/>
          <w:sz w:val="21"/>
        </w:rPr>
        <w:t>owner, </w:t>
      </w:r>
      <w:r>
        <w:rPr>
          <w:w w:val="105"/>
          <w:sz w:val="21"/>
        </w:rPr>
        <w:t>serving them with an </w:t>
      </w:r>
      <w:r>
        <w:rPr>
          <w:spacing w:val="-3"/>
          <w:w w:val="105"/>
          <w:sz w:val="21"/>
        </w:rPr>
        <w:t>application, </w:t>
      </w:r>
      <w:r>
        <w:rPr>
          <w:w w:val="105"/>
          <w:sz w:val="21"/>
        </w:rPr>
        <w:t>or </w:t>
      </w:r>
      <w:r>
        <w:rPr>
          <w:spacing w:val="-3"/>
          <w:w w:val="105"/>
          <w:sz w:val="21"/>
        </w:rPr>
        <w:t>engaging </w:t>
      </w:r>
      <w:r>
        <w:rPr>
          <w:w w:val="105"/>
          <w:sz w:val="21"/>
        </w:rPr>
        <w:t>in </w:t>
      </w:r>
      <w:r>
        <w:rPr>
          <w:spacing w:val="-3"/>
          <w:w w:val="105"/>
          <w:sz w:val="21"/>
        </w:rPr>
        <w:t>Alternative Dispute</w:t>
      </w:r>
      <w:r>
        <w:rPr>
          <w:spacing w:val="-10"/>
          <w:w w:val="105"/>
          <w:sz w:val="21"/>
        </w:rPr>
        <w:t> </w:t>
      </w:r>
      <w:r>
        <w:rPr>
          <w:w w:val="105"/>
          <w:sz w:val="21"/>
        </w:rPr>
        <w:t>Resolution</w:t>
      </w:r>
      <w:r>
        <w:rPr>
          <w:spacing w:val="-9"/>
          <w:w w:val="105"/>
          <w:sz w:val="21"/>
        </w:rPr>
        <w:t> </w:t>
      </w:r>
      <w:r>
        <w:rPr>
          <w:w w:val="105"/>
          <w:sz w:val="21"/>
        </w:rPr>
        <w:t>would</w:t>
      </w:r>
      <w:r>
        <w:rPr>
          <w:spacing w:val="-9"/>
          <w:w w:val="105"/>
          <w:sz w:val="21"/>
        </w:rPr>
        <w:t> </w:t>
      </w:r>
      <w:r>
        <w:rPr>
          <w:w w:val="105"/>
          <w:sz w:val="21"/>
        </w:rPr>
        <w:t>qualify</w:t>
      </w:r>
      <w:r>
        <w:rPr>
          <w:spacing w:val="-9"/>
          <w:w w:val="105"/>
          <w:sz w:val="21"/>
        </w:rPr>
        <w:t> </w:t>
      </w:r>
      <w:r>
        <w:rPr>
          <w:w w:val="105"/>
          <w:sz w:val="21"/>
        </w:rPr>
        <w:t>as</w:t>
      </w:r>
      <w:r>
        <w:rPr>
          <w:spacing w:val="-10"/>
          <w:w w:val="105"/>
          <w:sz w:val="21"/>
        </w:rPr>
        <w:t> </w:t>
      </w:r>
      <w:r>
        <w:rPr>
          <w:w w:val="105"/>
          <w:sz w:val="21"/>
        </w:rPr>
        <w:t>a</w:t>
      </w:r>
      <w:r>
        <w:rPr>
          <w:spacing w:val="-9"/>
          <w:w w:val="105"/>
          <w:sz w:val="21"/>
        </w:rPr>
        <w:t> </w:t>
      </w:r>
      <w:r>
        <w:rPr>
          <w:spacing w:val="-3"/>
          <w:w w:val="105"/>
          <w:sz w:val="21"/>
        </w:rPr>
        <w:t>reasonable</w:t>
      </w:r>
      <w:r>
        <w:rPr>
          <w:spacing w:val="-9"/>
          <w:w w:val="105"/>
          <w:sz w:val="21"/>
        </w:rPr>
        <w:t> </w:t>
      </w:r>
      <w:r>
        <w:rPr>
          <w:w w:val="105"/>
          <w:sz w:val="21"/>
        </w:rPr>
        <w:t>effort.</w:t>
      </w:r>
      <w:r>
        <w:rPr>
          <w:w w:val="105"/>
          <w:position w:val="7"/>
          <w:sz w:val="12"/>
        </w:rPr>
        <w:t>31</w:t>
      </w:r>
      <w:r>
        <w:rPr>
          <w:spacing w:val="13"/>
          <w:w w:val="105"/>
          <w:position w:val="7"/>
          <w:sz w:val="12"/>
        </w:rPr>
        <w:t> </w:t>
      </w:r>
      <w:r>
        <w:rPr>
          <w:spacing w:val="-3"/>
          <w:w w:val="105"/>
          <w:sz w:val="21"/>
        </w:rPr>
        <w:t>Even</w:t>
      </w:r>
      <w:r>
        <w:rPr>
          <w:spacing w:val="-9"/>
          <w:w w:val="105"/>
          <w:sz w:val="21"/>
        </w:rPr>
        <w:t> </w:t>
      </w:r>
      <w:r>
        <w:rPr>
          <w:w w:val="105"/>
          <w:sz w:val="21"/>
        </w:rPr>
        <w:t>the</w:t>
      </w:r>
      <w:r>
        <w:rPr>
          <w:spacing w:val="-9"/>
          <w:w w:val="105"/>
          <w:sz w:val="21"/>
        </w:rPr>
        <w:t> </w:t>
      </w:r>
      <w:r>
        <w:rPr>
          <w:w w:val="105"/>
          <w:sz w:val="21"/>
        </w:rPr>
        <w:t>presence</w:t>
      </w:r>
      <w:r>
        <w:rPr>
          <w:spacing w:val="-9"/>
          <w:w w:val="105"/>
          <w:sz w:val="21"/>
        </w:rPr>
        <w:t> </w:t>
      </w:r>
      <w:r>
        <w:rPr>
          <w:w w:val="105"/>
          <w:sz w:val="21"/>
        </w:rPr>
        <w:t>of</w:t>
      </w:r>
      <w:r>
        <w:rPr>
          <w:spacing w:val="-10"/>
          <w:w w:val="105"/>
          <w:sz w:val="21"/>
        </w:rPr>
        <w:t> </w:t>
      </w:r>
      <w:r>
        <w:rPr>
          <w:w w:val="105"/>
          <w:sz w:val="21"/>
        </w:rPr>
        <w:t>parties</w:t>
      </w:r>
      <w:r>
        <w:rPr>
          <w:spacing w:val="-9"/>
          <w:w w:val="105"/>
          <w:sz w:val="21"/>
        </w:rPr>
        <w:t> </w:t>
      </w:r>
      <w:r>
        <w:rPr>
          <w:w w:val="105"/>
          <w:sz w:val="21"/>
        </w:rPr>
        <w:t>at a </w:t>
      </w:r>
      <w:r>
        <w:rPr>
          <w:spacing w:val="-3"/>
          <w:w w:val="105"/>
          <w:sz w:val="21"/>
        </w:rPr>
        <w:t>hearing may demonstrate </w:t>
      </w:r>
      <w:r>
        <w:rPr>
          <w:w w:val="105"/>
          <w:sz w:val="21"/>
        </w:rPr>
        <w:t>a </w:t>
      </w:r>
      <w:r>
        <w:rPr>
          <w:spacing w:val="-3"/>
          <w:w w:val="105"/>
          <w:sz w:val="21"/>
        </w:rPr>
        <w:t>reasonable</w:t>
      </w:r>
      <w:r>
        <w:rPr>
          <w:spacing w:val="38"/>
          <w:w w:val="105"/>
          <w:sz w:val="21"/>
        </w:rPr>
        <w:t> </w:t>
      </w:r>
      <w:r>
        <w:rPr>
          <w:w w:val="105"/>
          <w:sz w:val="21"/>
        </w:rPr>
        <w:t>effort.</w:t>
      </w:r>
      <w:r>
        <w:rPr>
          <w:w w:val="105"/>
          <w:position w:val="7"/>
          <w:sz w:val="12"/>
        </w:rPr>
        <w:t>32</w:t>
      </w:r>
    </w:p>
    <w:p>
      <w:pPr>
        <w:pStyle w:val="ListParagraph"/>
        <w:numPr>
          <w:ilvl w:val="1"/>
          <w:numId w:val="16"/>
        </w:numPr>
        <w:tabs>
          <w:tab w:pos="2381" w:val="left" w:leader="none"/>
          <w:tab w:pos="2382" w:val="left" w:leader="none"/>
        </w:tabs>
        <w:spacing w:line="242" w:lineRule="auto" w:before="125" w:after="0"/>
        <w:ind w:left="2381" w:right="1837" w:hanging="794"/>
        <w:jc w:val="left"/>
        <w:rPr>
          <w:sz w:val="21"/>
        </w:rPr>
      </w:pPr>
      <w:r>
        <w:rPr>
          <w:spacing w:val="-4"/>
          <w:w w:val="105"/>
          <w:sz w:val="21"/>
        </w:rPr>
        <w:t>Chief </w:t>
      </w:r>
      <w:r>
        <w:rPr>
          <w:w w:val="105"/>
          <w:sz w:val="21"/>
        </w:rPr>
        <w:t>Justice Preston </w:t>
      </w:r>
      <w:r>
        <w:rPr>
          <w:spacing w:val="-2"/>
          <w:w w:val="105"/>
          <w:sz w:val="21"/>
        </w:rPr>
        <w:t>has </w:t>
      </w:r>
      <w:r>
        <w:rPr>
          <w:w w:val="105"/>
          <w:sz w:val="21"/>
        </w:rPr>
        <w:t>explained </w:t>
      </w:r>
      <w:r>
        <w:rPr>
          <w:spacing w:val="-3"/>
          <w:w w:val="105"/>
          <w:sz w:val="21"/>
        </w:rPr>
        <w:t>that </w:t>
      </w:r>
      <w:r>
        <w:rPr>
          <w:w w:val="105"/>
          <w:sz w:val="21"/>
        </w:rPr>
        <w:t>this </w:t>
      </w:r>
      <w:r>
        <w:rPr>
          <w:spacing w:val="-3"/>
          <w:w w:val="105"/>
          <w:sz w:val="21"/>
        </w:rPr>
        <w:t>requirement </w:t>
      </w:r>
      <w:r>
        <w:rPr>
          <w:w w:val="105"/>
          <w:sz w:val="21"/>
        </w:rPr>
        <w:t>is ‘less </w:t>
      </w:r>
      <w:r>
        <w:rPr>
          <w:spacing w:val="-3"/>
          <w:w w:val="105"/>
          <w:sz w:val="21"/>
        </w:rPr>
        <w:t>demanding than </w:t>
      </w:r>
      <w:r>
        <w:rPr>
          <w:w w:val="105"/>
          <w:sz w:val="21"/>
        </w:rPr>
        <w:t>the </w:t>
      </w:r>
      <w:r>
        <w:rPr>
          <w:spacing w:val="-3"/>
          <w:w w:val="105"/>
          <w:sz w:val="21"/>
        </w:rPr>
        <w:t>language </w:t>
      </w:r>
      <w:r>
        <w:rPr>
          <w:w w:val="105"/>
          <w:sz w:val="21"/>
        </w:rPr>
        <w:t>used in </w:t>
      </w:r>
      <w:r>
        <w:rPr>
          <w:spacing w:val="-3"/>
          <w:w w:val="105"/>
          <w:sz w:val="21"/>
        </w:rPr>
        <w:t>provisions </w:t>
      </w:r>
      <w:r>
        <w:rPr>
          <w:w w:val="105"/>
          <w:sz w:val="21"/>
        </w:rPr>
        <w:t>of other statutory enactments which </w:t>
      </w:r>
      <w:r>
        <w:rPr>
          <w:spacing w:val="-3"/>
          <w:w w:val="105"/>
          <w:sz w:val="21"/>
        </w:rPr>
        <w:t>require </w:t>
      </w:r>
      <w:r>
        <w:rPr>
          <w:w w:val="105"/>
          <w:sz w:val="21"/>
        </w:rPr>
        <w:t>parties </w:t>
      </w:r>
      <w:r>
        <w:rPr>
          <w:spacing w:val="-3"/>
          <w:w w:val="105"/>
          <w:sz w:val="21"/>
        </w:rPr>
        <w:t>to </w:t>
      </w:r>
      <w:r>
        <w:rPr>
          <w:spacing w:val="-4"/>
          <w:w w:val="105"/>
          <w:sz w:val="21"/>
        </w:rPr>
        <w:t>make</w:t>
      </w:r>
      <w:r>
        <w:rPr>
          <w:spacing w:val="-10"/>
          <w:w w:val="105"/>
          <w:sz w:val="21"/>
        </w:rPr>
        <w:t> </w:t>
      </w:r>
      <w:r>
        <w:rPr>
          <w:spacing w:val="-3"/>
          <w:w w:val="105"/>
          <w:sz w:val="21"/>
        </w:rPr>
        <w:t>reasonable</w:t>
      </w:r>
      <w:r>
        <w:rPr>
          <w:spacing w:val="-9"/>
          <w:w w:val="105"/>
          <w:sz w:val="21"/>
        </w:rPr>
        <w:t> </w:t>
      </w:r>
      <w:r>
        <w:rPr>
          <w:w w:val="105"/>
          <w:sz w:val="21"/>
        </w:rPr>
        <w:t>attempts</w:t>
      </w:r>
      <w:r>
        <w:rPr>
          <w:spacing w:val="-10"/>
          <w:w w:val="105"/>
          <w:sz w:val="21"/>
        </w:rPr>
        <w:t> </w:t>
      </w:r>
      <w:r>
        <w:rPr>
          <w:spacing w:val="-3"/>
          <w:w w:val="105"/>
          <w:sz w:val="21"/>
        </w:rPr>
        <w:t>to</w:t>
      </w:r>
      <w:r>
        <w:rPr>
          <w:spacing w:val="-9"/>
          <w:w w:val="105"/>
          <w:sz w:val="21"/>
        </w:rPr>
        <w:t> </w:t>
      </w:r>
      <w:r>
        <w:rPr>
          <w:spacing w:val="-3"/>
          <w:w w:val="105"/>
          <w:sz w:val="21"/>
        </w:rPr>
        <w:t>reach</w:t>
      </w:r>
      <w:r>
        <w:rPr>
          <w:spacing w:val="-10"/>
          <w:w w:val="105"/>
          <w:sz w:val="21"/>
        </w:rPr>
        <w:t> </w:t>
      </w:r>
      <w:r>
        <w:rPr>
          <w:w w:val="105"/>
          <w:sz w:val="21"/>
        </w:rPr>
        <w:t>agreement’</w:t>
      </w:r>
      <w:r>
        <w:rPr>
          <w:w w:val="105"/>
          <w:position w:val="7"/>
          <w:sz w:val="12"/>
        </w:rPr>
        <w:t>33</w:t>
      </w:r>
      <w:r>
        <w:rPr>
          <w:spacing w:val="13"/>
          <w:w w:val="105"/>
          <w:position w:val="7"/>
          <w:sz w:val="12"/>
        </w:rPr>
        <w:t> </w:t>
      </w:r>
      <w:r>
        <w:rPr>
          <w:w w:val="105"/>
          <w:sz w:val="21"/>
        </w:rPr>
        <w:t>and</w:t>
      </w:r>
      <w:r>
        <w:rPr>
          <w:spacing w:val="-9"/>
          <w:w w:val="105"/>
          <w:sz w:val="21"/>
        </w:rPr>
        <w:t> </w:t>
      </w:r>
      <w:r>
        <w:rPr>
          <w:spacing w:val="-3"/>
          <w:w w:val="105"/>
          <w:sz w:val="21"/>
        </w:rPr>
        <w:t>that</w:t>
      </w:r>
      <w:r>
        <w:rPr>
          <w:spacing w:val="-10"/>
          <w:w w:val="105"/>
          <w:sz w:val="21"/>
        </w:rPr>
        <w:t> </w:t>
      </w:r>
      <w:r>
        <w:rPr>
          <w:w w:val="105"/>
          <w:sz w:val="21"/>
        </w:rPr>
        <w:t>exhaustive</w:t>
      </w:r>
      <w:r>
        <w:rPr>
          <w:spacing w:val="-9"/>
          <w:w w:val="105"/>
          <w:sz w:val="21"/>
        </w:rPr>
        <w:t> </w:t>
      </w:r>
      <w:r>
        <w:rPr>
          <w:w w:val="105"/>
          <w:sz w:val="21"/>
        </w:rPr>
        <w:t>negotiation</w:t>
      </w:r>
      <w:r>
        <w:rPr>
          <w:spacing w:val="-9"/>
          <w:w w:val="105"/>
          <w:sz w:val="21"/>
        </w:rPr>
        <w:t> </w:t>
      </w:r>
      <w:r>
        <w:rPr>
          <w:w w:val="105"/>
          <w:sz w:val="21"/>
        </w:rPr>
        <w:t>is</w:t>
      </w:r>
      <w:r>
        <w:rPr>
          <w:spacing w:val="-10"/>
          <w:w w:val="105"/>
          <w:sz w:val="21"/>
        </w:rPr>
        <w:t> </w:t>
      </w:r>
      <w:r>
        <w:rPr>
          <w:spacing w:val="-2"/>
          <w:w w:val="105"/>
          <w:sz w:val="21"/>
        </w:rPr>
        <w:t>not </w:t>
      </w:r>
      <w:r>
        <w:rPr>
          <w:w w:val="105"/>
          <w:sz w:val="21"/>
        </w:rPr>
        <w:t>required.</w:t>
      </w:r>
      <w:r>
        <w:rPr>
          <w:w w:val="105"/>
          <w:position w:val="7"/>
          <w:sz w:val="12"/>
        </w:rPr>
        <w:t>34</w:t>
      </w:r>
    </w:p>
    <w:p>
      <w:pPr>
        <w:pStyle w:val="ListParagraph"/>
        <w:numPr>
          <w:ilvl w:val="1"/>
          <w:numId w:val="16"/>
        </w:numPr>
        <w:tabs>
          <w:tab w:pos="2381" w:val="left" w:leader="none"/>
          <w:tab w:pos="2382" w:val="left" w:leader="none"/>
        </w:tabs>
        <w:spacing w:line="242" w:lineRule="auto" w:before="125" w:after="0"/>
        <w:ind w:left="2381" w:right="1586" w:hanging="794"/>
        <w:jc w:val="left"/>
        <w:rPr>
          <w:sz w:val="21"/>
        </w:rPr>
      </w:pPr>
      <w:r>
        <w:rPr>
          <w:spacing w:val="-3"/>
          <w:sz w:val="21"/>
        </w:rPr>
        <w:t>Similar provisions </w:t>
      </w:r>
      <w:r>
        <w:rPr>
          <w:sz w:val="21"/>
        </w:rPr>
        <w:t>apply in </w:t>
      </w:r>
      <w:r>
        <w:rPr>
          <w:spacing w:val="-3"/>
          <w:sz w:val="21"/>
        </w:rPr>
        <w:t>Queensland </w:t>
      </w:r>
      <w:r>
        <w:rPr>
          <w:sz w:val="21"/>
        </w:rPr>
        <w:t>and </w:t>
      </w:r>
      <w:r>
        <w:rPr>
          <w:spacing w:val="-4"/>
          <w:sz w:val="21"/>
        </w:rPr>
        <w:t>Tasmania. </w:t>
      </w:r>
      <w:r>
        <w:rPr>
          <w:sz w:val="21"/>
        </w:rPr>
        <w:t>The  </w:t>
      </w:r>
      <w:r>
        <w:rPr>
          <w:spacing w:val="-3"/>
          <w:sz w:val="21"/>
        </w:rPr>
        <w:t>Queensland  Civil  </w:t>
      </w:r>
      <w:r>
        <w:rPr>
          <w:sz w:val="21"/>
        </w:rPr>
        <w:t>and </w:t>
      </w:r>
      <w:r>
        <w:rPr>
          <w:spacing w:val="-3"/>
          <w:sz w:val="21"/>
        </w:rPr>
        <w:t>Administrative </w:t>
      </w:r>
      <w:r>
        <w:rPr>
          <w:spacing w:val="-5"/>
          <w:sz w:val="21"/>
        </w:rPr>
        <w:t>Tribunal </w:t>
      </w:r>
      <w:r>
        <w:rPr>
          <w:sz w:val="21"/>
        </w:rPr>
        <w:t>(QCAT) </w:t>
      </w:r>
      <w:r>
        <w:rPr>
          <w:spacing w:val="-3"/>
          <w:sz w:val="21"/>
        </w:rPr>
        <w:t>may </w:t>
      </w:r>
      <w:r>
        <w:rPr>
          <w:spacing w:val="-4"/>
          <w:sz w:val="21"/>
        </w:rPr>
        <w:t>make  </w:t>
      </w:r>
      <w:r>
        <w:rPr>
          <w:sz w:val="21"/>
        </w:rPr>
        <w:t>an  order  </w:t>
      </w:r>
      <w:r>
        <w:rPr>
          <w:spacing w:val="-3"/>
          <w:sz w:val="21"/>
        </w:rPr>
        <w:t>pursuant  to  </w:t>
      </w:r>
      <w:r>
        <w:rPr>
          <w:sz w:val="21"/>
        </w:rPr>
        <w:t>the  </w:t>
      </w:r>
      <w:r>
        <w:rPr>
          <w:i/>
          <w:sz w:val="21"/>
        </w:rPr>
        <w:t>Neighbourhood </w:t>
      </w:r>
      <w:r>
        <w:rPr>
          <w:i/>
          <w:spacing w:val="-3"/>
          <w:sz w:val="21"/>
        </w:rPr>
        <w:t>Disputes </w:t>
      </w:r>
      <w:r>
        <w:rPr>
          <w:i/>
          <w:sz w:val="21"/>
        </w:rPr>
        <w:t>(Dividing Fences and </w:t>
      </w:r>
      <w:r>
        <w:rPr>
          <w:i/>
          <w:spacing w:val="-3"/>
          <w:sz w:val="21"/>
        </w:rPr>
        <w:t>Trees)  </w:t>
      </w:r>
      <w:r>
        <w:rPr>
          <w:i/>
          <w:sz w:val="21"/>
        </w:rPr>
        <w:t>Act  </w:t>
      </w:r>
      <w:r>
        <w:rPr>
          <w:i/>
          <w:spacing w:val="-11"/>
          <w:sz w:val="21"/>
        </w:rPr>
        <w:t>2011  </w:t>
      </w:r>
      <w:r>
        <w:rPr>
          <w:sz w:val="21"/>
        </w:rPr>
        <w:t>(QLD)  if  it  is  satisfied  </w:t>
      </w:r>
      <w:r>
        <w:rPr>
          <w:spacing w:val="-3"/>
          <w:sz w:val="21"/>
        </w:rPr>
        <w:t>that  </w:t>
      </w:r>
      <w:r>
        <w:rPr>
          <w:sz w:val="21"/>
        </w:rPr>
        <w:t>the  </w:t>
      </w:r>
      <w:r>
        <w:rPr>
          <w:spacing w:val="-3"/>
          <w:sz w:val="21"/>
        </w:rPr>
        <w:t>neighbour </w:t>
      </w:r>
      <w:r>
        <w:rPr>
          <w:spacing w:val="-2"/>
          <w:sz w:val="21"/>
        </w:rPr>
        <w:t>has </w:t>
      </w:r>
      <w:r>
        <w:rPr>
          <w:sz w:val="21"/>
        </w:rPr>
        <w:t>made a </w:t>
      </w:r>
      <w:r>
        <w:rPr>
          <w:spacing w:val="-3"/>
          <w:sz w:val="21"/>
        </w:rPr>
        <w:t>reasonable </w:t>
      </w:r>
      <w:r>
        <w:rPr>
          <w:sz w:val="21"/>
        </w:rPr>
        <w:t>effort </w:t>
      </w:r>
      <w:r>
        <w:rPr>
          <w:spacing w:val="-3"/>
          <w:sz w:val="21"/>
        </w:rPr>
        <w:t>to reach </w:t>
      </w:r>
      <w:r>
        <w:rPr>
          <w:spacing w:val="-2"/>
          <w:sz w:val="21"/>
        </w:rPr>
        <w:t>agreement </w:t>
      </w:r>
      <w:r>
        <w:rPr>
          <w:sz w:val="21"/>
        </w:rPr>
        <w:t>with the tree </w:t>
      </w:r>
      <w:r>
        <w:rPr>
          <w:spacing w:val="-4"/>
          <w:sz w:val="21"/>
        </w:rPr>
        <w:t>owner. </w:t>
      </w:r>
      <w:r>
        <w:rPr>
          <w:sz w:val="21"/>
        </w:rPr>
        <w:t>This </w:t>
      </w:r>
      <w:r>
        <w:rPr>
          <w:spacing w:val="-3"/>
          <w:sz w:val="21"/>
        </w:rPr>
        <w:t>provision </w:t>
      </w:r>
      <w:r>
        <w:rPr>
          <w:sz w:val="21"/>
        </w:rPr>
        <w:t>is </w:t>
      </w:r>
      <w:r>
        <w:rPr>
          <w:spacing w:val="-3"/>
          <w:sz w:val="21"/>
        </w:rPr>
        <w:t>substantially </w:t>
      </w:r>
      <w:r>
        <w:rPr>
          <w:sz w:val="21"/>
        </w:rPr>
        <w:t>the same as in the NSW Act, and the </w:t>
      </w:r>
      <w:r>
        <w:rPr>
          <w:spacing w:val="-3"/>
          <w:sz w:val="21"/>
        </w:rPr>
        <w:t>criteria are </w:t>
      </w:r>
      <w:r>
        <w:rPr>
          <w:sz w:val="21"/>
        </w:rPr>
        <w:t>the same.</w:t>
      </w:r>
      <w:r>
        <w:rPr>
          <w:position w:val="7"/>
          <w:sz w:val="12"/>
        </w:rPr>
        <w:t>35 </w:t>
      </w:r>
      <w:r>
        <w:rPr>
          <w:sz w:val="21"/>
        </w:rPr>
        <w:t>The </w:t>
      </w:r>
      <w:r>
        <w:rPr>
          <w:spacing w:val="-3"/>
          <w:sz w:val="21"/>
        </w:rPr>
        <w:t>requirement  </w:t>
      </w:r>
      <w:r>
        <w:rPr>
          <w:sz w:val="21"/>
        </w:rPr>
        <w:t>can be fulfilled by requesting the tree owner </w:t>
      </w:r>
      <w:r>
        <w:rPr>
          <w:spacing w:val="-3"/>
          <w:sz w:val="21"/>
        </w:rPr>
        <w:t>to  </w:t>
      </w:r>
      <w:r>
        <w:rPr>
          <w:sz w:val="21"/>
        </w:rPr>
        <w:t>fix the issue,</w:t>
      </w:r>
      <w:r>
        <w:rPr>
          <w:position w:val="7"/>
          <w:sz w:val="12"/>
        </w:rPr>
        <w:t>36   </w:t>
      </w:r>
      <w:r>
        <w:rPr>
          <w:spacing w:val="-3"/>
          <w:sz w:val="21"/>
        </w:rPr>
        <w:t>engaging  </w:t>
      </w:r>
      <w:r>
        <w:rPr>
          <w:sz w:val="21"/>
        </w:rPr>
        <w:t>in </w:t>
      </w:r>
      <w:r>
        <w:rPr>
          <w:spacing w:val="-3"/>
          <w:sz w:val="21"/>
        </w:rPr>
        <w:t>mediation,</w:t>
      </w:r>
      <w:r>
        <w:rPr>
          <w:spacing w:val="-3"/>
          <w:position w:val="7"/>
          <w:sz w:val="12"/>
        </w:rPr>
        <w:t>37 </w:t>
      </w:r>
      <w:r>
        <w:rPr>
          <w:spacing w:val="21"/>
          <w:position w:val="7"/>
          <w:sz w:val="12"/>
        </w:rPr>
        <w:t> </w:t>
      </w:r>
      <w:r>
        <w:rPr>
          <w:sz w:val="21"/>
        </w:rPr>
        <w:t>or    a </w:t>
      </w:r>
      <w:r>
        <w:rPr>
          <w:spacing w:val="-3"/>
          <w:sz w:val="21"/>
        </w:rPr>
        <w:t>Tribunal-ordered </w:t>
      </w:r>
      <w:r>
        <w:rPr>
          <w:sz w:val="21"/>
        </w:rPr>
        <w:t>ADR</w:t>
      </w:r>
      <w:r>
        <w:rPr>
          <w:spacing w:val="30"/>
          <w:sz w:val="21"/>
        </w:rPr>
        <w:t> </w:t>
      </w:r>
      <w:r>
        <w:rPr>
          <w:sz w:val="21"/>
        </w:rPr>
        <w:t>process.</w:t>
      </w:r>
      <w:r>
        <w:rPr>
          <w:position w:val="7"/>
          <w:sz w:val="12"/>
        </w:rPr>
        <w:t>38</w:t>
      </w:r>
    </w:p>
    <w:p>
      <w:pPr>
        <w:pStyle w:val="ListParagraph"/>
        <w:numPr>
          <w:ilvl w:val="1"/>
          <w:numId w:val="16"/>
        </w:numPr>
        <w:tabs>
          <w:tab w:pos="2381" w:val="left" w:leader="none"/>
          <w:tab w:pos="2382" w:val="left" w:leader="none"/>
        </w:tabs>
        <w:spacing w:line="242" w:lineRule="auto" w:before="127" w:after="0"/>
        <w:ind w:left="2381" w:right="1620" w:hanging="794"/>
        <w:jc w:val="left"/>
        <w:rPr>
          <w:sz w:val="21"/>
        </w:rPr>
      </w:pPr>
      <w:r>
        <w:rPr>
          <w:spacing w:val="-5"/>
          <w:w w:val="105"/>
          <w:sz w:val="21"/>
        </w:rPr>
        <w:t>Tasmania </w:t>
      </w:r>
      <w:r>
        <w:rPr>
          <w:spacing w:val="-2"/>
          <w:w w:val="105"/>
          <w:sz w:val="21"/>
        </w:rPr>
        <w:t>has </w:t>
      </w:r>
      <w:r>
        <w:rPr>
          <w:w w:val="105"/>
          <w:sz w:val="21"/>
        </w:rPr>
        <w:t>a </w:t>
      </w:r>
      <w:r>
        <w:rPr>
          <w:spacing w:val="-3"/>
          <w:w w:val="105"/>
          <w:sz w:val="21"/>
        </w:rPr>
        <w:t>slightly different approach. Before hearing </w:t>
      </w:r>
      <w:r>
        <w:rPr>
          <w:w w:val="105"/>
          <w:sz w:val="21"/>
        </w:rPr>
        <w:t>an </w:t>
      </w:r>
      <w:r>
        <w:rPr>
          <w:spacing w:val="-3"/>
          <w:w w:val="105"/>
          <w:sz w:val="21"/>
        </w:rPr>
        <w:t>application, </w:t>
      </w:r>
      <w:r>
        <w:rPr>
          <w:w w:val="105"/>
          <w:sz w:val="21"/>
        </w:rPr>
        <w:t>the </w:t>
      </w:r>
      <w:r>
        <w:rPr>
          <w:spacing w:val="-3"/>
          <w:w w:val="105"/>
          <w:sz w:val="21"/>
        </w:rPr>
        <w:t>Resource Management </w:t>
      </w:r>
      <w:r>
        <w:rPr>
          <w:w w:val="105"/>
          <w:sz w:val="21"/>
        </w:rPr>
        <w:t>and </w:t>
      </w:r>
      <w:r>
        <w:rPr>
          <w:spacing w:val="-3"/>
          <w:w w:val="105"/>
          <w:sz w:val="21"/>
        </w:rPr>
        <w:t>Planning </w:t>
      </w:r>
      <w:r>
        <w:rPr>
          <w:w w:val="105"/>
          <w:sz w:val="21"/>
        </w:rPr>
        <w:t>Appeal </w:t>
      </w:r>
      <w:r>
        <w:rPr>
          <w:spacing w:val="-5"/>
          <w:w w:val="105"/>
          <w:sz w:val="21"/>
        </w:rPr>
        <w:t>Tribunal </w:t>
      </w:r>
      <w:r>
        <w:rPr>
          <w:spacing w:val="-3"/>
          <w:w w:val="105"/>
          <w:sz w:val="21"/>
        </w:rPr>
        <w:t>(RMPAT) </w:t>
      </w:r>
      <w:r>
        <w:rPr>
          <w:w w:val="105"/>
          <w:sz w:val="21"/>
        </w:rPr>
        <w:t>must </w:t>
      </w:r>
      <w:r>
        <w:rPr>
          <w:spacing w:val="-3"/>
          <w:w w:val="105"/>
          <w:sz w:val="21"/>
        </w:rPr>
        <w:t>consider </w:t>
      </w:r>
      <w:r>
        <w:rPr>
          <w:w w:val="105"/>
          <w:sz w:val="21"/>
        </w:rPr>
        <w:t>whether the parties </w:t>
      </w:r>
      <w:r>
        <w:rPr>
          <w:spacing w:val="-3"/>
          <w:w w:val="105"/>
          <w:sz w:val="21"/>
        </w:rPr>
        <w:t>have</w:t>
      </w:r>
      <w:r>
        <w:rPr>
          <w:spacing w:val="-12"/>
          <w:w w:val="105"/>
          <w:sz w:val="21"/>
        </w:rPr>
        <w:t> </w:t>
      </w:r>
      <w:r>
        <w:rPr>
          <w:w w:val="105"/>
          <w:sz w:val="21"/>
        </w:rPr>
        <w:t>made</w:t>
      </w:r>
      <w:r>
        <w:rPr>
          <w:spacing w:val="-12"/>
          <w:w w:val="105"/>
          <w:sz w:val="21"/>
        </w:rPr>
        <w:t> </w:t>
      </w:r>
      <w:r>
        <w:rPr>
          <w:spacing w:val="-3"/>
          <w:w w:val="105"/>
          <w:sz w:val="21"/>
        </w:rPr>
        <w:t>reasonable</w:t>
      </w:r>
      <w:r>
        <w:rPr>
          <w:spacing w:val="-12"/>
          <w:w w:val="105"/>
          <w:sz w:val="21"/>
        </w:rPr>
        <w:t> </w:t>
      </w:r>
      <w:r>
        <w:rPr>
          <w:w w:val="105"/>
          <w:sz w:val="21"/>
        </w:rPr>
        <w:t>attempts</w:t>
      </w:r>
      <w:r>
        <w:rPr>
          <w:spacing w:val="-11"/>
          <w:w w:val="105"/>
          <w:sz w:val="21"/>
        </w:rPr>
        <w:t> </w:t>
      </w:r>
      <w:r>
        <w:rPr>
          <w:spacing w:val="-3"/>
          <w:w w:val="105"/>
          <w:sz w:val="21"/>
        </w:rPr>
        <w:t>to</w:t>
      </w:r>
      <w:r>
        <w:rPr>
          <w:spacing w:val="-12"/>
          <w:w w:val="105"/>
          <w:sz w:val="21"/>
        </w:rPr>
        <w:t> </w:t>
      </w:r>
      <w:r>
        <w:rPr>
          <w:w w:val="105"/>
          <w:sz w:val="21"/>
        </w:rPr>
        <w:t>resolve</w:t>
      </w:r>
      <w:r>
        <w:rPr>
          <w:spacing w:val="-12"/>
          <w:w w:val="105"/>
          <w:sz w:val="21"/>
        </w:rPr>
        <w:t> </w:t>
      </w:r>
      <w:r>
        <w:rPr>
          <w:w w:val="105"/>
          <w:sz w:val="21"/>
        </w:rPr>
        <w:t>the</w:t>
      </w:r>
      <w:r>
        <w:rPr>
          <w:spacing w:val="-11"/>
          <w:w w:val="105"/>
          <w:sz w:val="21"/>
        </w:rPr>
        <w:t> </w:t>
      </w:r>
      <w:r>
        <w:rPr>
          <w:spacing w:val="-4"/>
          <w:w w:val="105"/>
          <w:sz w:val="21"/>
        </w:rPr>
        <w:t>matter.</w:t>
      </w:r>
      <w:r>
        <w:rPr>
          <w:spacing w:val="-12"/>
          <w:w w:val="105"/>
          <w:sz w:val="21"/>
        </w:rPr>
        <w:t> </w:t>
      </w:r>
      <w:r>
        <w:rPr>
          <w:w w:val="105"/>
          <w:sz w:val="21"/>
        </w:rPr>
        <w:t>If</w:t>
      </w:r>
      <w:r>
        <w:rPr>
          <w:spacing w:val="-12"/>
          <w:w w:val="105"/>
          <w:sz w:val="21"/>
        </w:rPr>
        <w:t> </w:t>
      </w:r>
      <w:r>
        <w:rPr>
          <w:spacing w:val="-2"/>
          <w:w w:val="105"/>
          <w:sz w:val="21"/>
        </w:rPr>
        <w:t>not</w:t>
      </w:r>
      <w:r>
        <w:rPr>
          <w:spacing w:val="-12"/>
          <w:w w:val="105"/>
          <w:sz w:val="21"/>
        </w:rPr>
        <w:t> </w:t>
      </w:r>
      <w:r>
        <w:rPr>
          <w:w w:val="105"/>
          <w:sz w:val="21"/>
        </w:rPr>
        <w:t>satisfied,</w:t>
      </w:r>
      <w:r>
        <w:rPr>
          <w:spacing w:val="-11"/>
          <w:w w:val="105"/>
          <w:sz w:val="21"/>
        </w:rPr>
        <w:t> </w:t>
      </w:r>
      <w:r>
        <w:rPr>
          <w:w w:val="105"/>
          <w:sz w:val="21"/>
        </w:rPr>
        <w:t>it</w:t>
      </w:r>
      <w:r>
        <w:rPr>
          <w:spacing w:val="-12"/>
          <w:w w:val="105"/>
          <w:sz w:val="21"/>
        </w:rPr>
        <w:t> </w:t>
      </w:r>
      <w:r>
        <w:rPr>
          <w:spacing w:val="-3"/>
          <w:w w:val="105"/>
          <w:sz w:val="21"/>
        </w:rPr>
        <w:t>may</w:t>
      </w:r>
      <w:r>
        <w:rPr>
          <w:spacing w:val="-12"/>
          <w:w w:val="105"/>
          <w:sz w:val="21"/>
        </w:rPr>
        <w:t> </w:t>
      </w:r>
      <w:r>
        <w:rPr>
          <w:w w:val="105"/>
          <w:sz w:val="21"/>
        </w:rPr>
        <w:t>direct</w:t>
      </w:r>
      <w:r>
        <w:rPr>
          <w:spacing w:val="-11"/>
          <w:w w:val="105"/>
          <w:sz w:val="21"/>
        </w:rPr>
        <w:t> </w:t>
      </w:r>
      <w:r>
        <w:rPr>
          <w:w w:val="105"/>
          <w:sz w:val="21"/>
        </w:rPr>
        <w:t>parties </w:t>
      </w:r>
      <w:r>
        <w:rPr>
          <w:spacing w:val="-3"/>
          <w:w w:val="105"/>
          <w:sz w:val="21"/>
        </w:rPr>
        <w:t>to </w:t>
      </w:r>
      <w:r>
        <w:rPr>
          <w:w w:val="105"/>
          <w:sz w:val="21"/>
        </w:rPr>
        <w:t>attempt </w:t>
      </w:r>
      <w:r>
        <w:rPr>
          <w:spacing w:val="-3"/>
          <w:w w:val="105"/>
          <w:sz w:val="21"/>
        </w:rPr>
        <w:t>to </w:t>
      </w:r>
      <w:r>
        <w:rPr>
          <w:w w:val="105"/>
          <w:sz w:val="21"/>
        </w:rPr>
        <w:t>resolve the </w:t>
      </w:r>
      <w:r>
        <w:rPr>
          <w:spacing w:val="-4"/>
          <w:w w:val="105"/>
          <w:sz w:val="21"/>
        </w:rPr>
        <w:t>matter.</w:t>
      </w:r>
      <w:r>
        <w:rPr>
          <w:spacing w:val="-4"/>
          <w:w w:val="105"/>
          <w:position w:val="7"/>
          <w:sz w:val="12"/>
        </w:rPr>
        <w:t>39 </w:t>
      </w:r>
      <w:r>
        <w:rPr>
          <w:w w:val="105"/>
          <w:sz w:val="21"/>
        </w:rPr>
        <w:t>In </w:t>
      </w:r>
      <w:r>
        <w:rPr>
          <w:spacing w:val="-2"/>
          <w:w w:val="105"/>
          <w:sz w:val="21"/>
        </w:rPr>
        <w:t>deciding </w:t>
      </w:r>
      <w:r>
        <w:rPr>
          <w:w w:val="105"/>
          <w:sz w:val="21"/>
        </w:rPr>
        <w:t>this point </w:t>
      </w:r>
      <w:r>
        <w:rPr>
          <w:spacing w:val="-6"/>
          <w:w w:val="105"/>
          <w:sz w:val="21"/>
        </w:rPr>
        <w:t>RMPAT </w:t>
      </w:r>
      <w:r>
        <w:rPr>
          <w:spacing w:val="-3"/>
          <w:w w:val="105"/>
          <w:sz w:val="21"/>
        </w:rPr>
        <w:t>may take </w:t>
      </w:r>
      <w:r>
        <w:rPr>
          <w:spacing w:val="-4"/>
          <w:w w:val="105"/>
          <w:sz w:val="21"/>
        </w:rPr>
        <w:t>into </w:t>
      </w:r>
      <w:r>
        <w:rPr>
          <w:spacing w:val="-3"/>
          <w:w w:val="105"/>
          <w:sz w:val="21"/>
        </w:rPr>
        <w:t>account:</w:t>
      </w:r>
    </w:p>
    <w:p>
      <w:pPr>
        <w:pStyle w:val="ListParagraph"/>
        <w:numPr>
          <w:ilvl w:val="2"/>
          <w:numId w:val="16"/>
        </w:numPr>
        <w:tabs>
          <w:tab w:pos="2721" w:val="left" w:leader="none"/>
          <w:tab w:pos="2722" w:val="left" w:leader="none"/>
        </w:tabs>
        <w:spacing w:line="242" w:lineRule="auto" w:before="125" w:after="0"/>
        <w:ind w:left="2721" w:right="2174" w:hanging="340"/>
        <w:jc w:val="left"/>
        <w:rPr>
          <w:sz w:val="12"/>
        </w:rPr>
      </w:pPr>
      <w:r>
        <w:rPr>
          <w:sz w:val="21"/>
        </w:rPr>
        <w:t>requests made </w:t>
      </w:r>
      <w:r>
        <w:rPr>
          <w:spacing w:val="-3"/>
          <w:sz w:val="21"/>
        </w:rPr>
        <w:t>verbally </w:t>
      </w:r>
      <w:r>
        <w:rPr>
          <w:sz w:val="21"/>
        </w:rPr>
        <w:t>or in </w:t>
      </w:r>
      <w:r>
        <w:rPr>
          <w:spacing w:val="-3"/>
          <w:sz w:val="21"/>
        </w:rPr>
        <w:t>writing, </w:t>
      </w:r>
      <w:r>
        <w:rPr>
          <w:sz w:val="21"/>
        </w:rPr>
        <w:t>in a </w:t>
      </w:r>
      <w:r>
        <w:rPr>
          <w:spacing w:val="-3"/>
          <w:sz w:val="21"/>
        </w:rPr>
        <w:t>Branch </w:t>
      </w:r>
      <w:r>
        <w:rPr>
          <w:sz w:val="21"/>
        </w:rPr>
        <w:t>Removal Notice or in a Written Notice</w:t>
      </w:r>
      <w:r>
        <w:rPr>
          <w:position w:val="7"/>
          <w:sz w:val="12"/>
        </w:rPr>
        <w:t>40</w:t>
      </w:r>
    </w:p>
    <w:p>
      <w:pPr>
        <w:pStyle w:val="ListParagraph"/>
        <w:numPr>
          <w:ilvl w:val="2"/>
          <w:numId w:val="16"/>
        </w:numPr>
        <w:tabs>
          <w:tab w:pos="2721" w:val="left" w:leader="none"/>
          <w:tab w:pos="2722" w:val="left" w:leader="none"/>
        </w:tabs>
        <w:spacing w:line="242" w:lineRule="auto" w:before="87" w:after="0"/>
        <w:ind w:left="2721" w:right="1788" w:hanging="340"/>
        <w:jc w:val="left"/>
        <w:rPr>
          <w:sz w:val="12"/>
        </w:rPr>
      </w:pPr>
      <w:r>
        <w:rPr>
          <w:w w:val="105"/>
          <w:sz w:val="21"/>
        </w:rPr>
        <w:t>whether the tree owner </w:t>
      </w:r>
      <w:r>
        <w:rPr>
          <w:spacing w:val="-2"/>
          <w:w w:val="105"/>
          <w:sz w:val="21"/>
        </w:rPr>
        <w:t>has </w:t>
      </w:r>
      <w:r>
        <w:rPr>
          <w:spacing w:val="-3"/>
          <w:w w:val="105"/>
          <w:sz w:val="21"/>
        </w:rPr>
        <w:t>refused to </w:t>
      </w:r>
      <w:r>
        <w:rPr>
          <w:w w:val="105"/>
          <w:sz w:val="21"/>
        </w:rPr>
        <w:t>carry out work because they </w:t>
      </w:r>
      <w:r>
        <w:rPr>
          <w:spacing w:val="-3"/>
          <w:w w:val="105"/>
          <w:sz w:val="21"/>
        </w:rPr>
        <w:t>reasonably </w:t>
      </w:r>
      <w:r>
        <w:rPr>
          <w:w w:val="105"/>
          <w:sz w:val="21"/>
        </w:rPr>
        <w:t>believe</w:t>
      </w:r>
      <w:r>
        <w:rPr>
          <w:spacing w:val="-11"/>
          <w:w w:val="105"/>
          <w:sz w:val="21"/>
        </w:rPr>
        <w:t> </w:t>
      </w:r>
      <w:r>
        <w:rPr>
          <w:w w:val="105"/>
          <w:sz w:val="21"/>
        </w:rPr>
        <w:t>the</w:t>
      </w:r>
      <w:r>
        <w:rPr>
          <w:spacing w:val="-11"/>
          <w:w w:val="105"/>
          <w:sz w:val="21"/>
        </w:rPr>
        <w:t> </w:t>
      </w:r>
      <w:r>
        <w:rPr>
          <w:spacing w:val="-3"/>
          <w:w w:val="105"/>
          <w:sz w:val="21"/>
        </w:rPr>
        <w:t>health</w:t>
      </w:r>
      <w:r>
        <w:rPr>
          <w:spacing w:val="-11"/>
          <w:w w:val="105"/>
          <w:sz w:val="21"/>
        </w:rPr>
        <w:t> </w:t>
      </w:r>
      <w:r>
        <w:rPr>
          <w:w w:val="105"/>
          <w:sz w:val="21"/>
        </w:rPr>
        <w:t>or</w:t>
      </w:r>
      <w:r>
        <w:rPr>
          <w:spacing w:val="-10"/>
          <w:w w:val="105"/>
          <w:sz w:val="21"/>
        </w:rPr>
        <w:t> </w:t>
      </w:r>
      <w:r>
        <w:rPr>
          <w:w w:val="105"/>
          <w:sz w:val="21"/>
        </w:rPr>
        <w:t>structural</w:t>
      </w:r>
      <w:r>
        <w:rPr>
          <w:spacing w:val="-11"/>
          <w:w w:val="105"/>
          <w:sz w:val="21"/>
        </w:rPr>
        <w:t> </w:t>
      </w:r>
      <w:r>
        <w:rPr>
          <w:w w:val="105"/>
          <w:sz w:val="21"/>
        </w:rPr>
        <w:t>stability</w:t>
      </w:r>
      <w:r>
        <w:rPr>
          <w:spacing w:val="-11"/>
          <w:w w:val="105"/>
          <w:sz w:val="21"/>
        </w:rPr>
        <w:t> </w:t>
      </w:r>
      <w:r>
        <w:rPr>
          <w:w w:val="105"/>
          <w:sz w:val="21"/>
        </w:rPr>
        <w:t>of</w:t>
      </w:r>
      <w:r>
        <w:rPr>
          <w:spacing w:val="-10"/>
          <w:w w:val="105"/>
          <w:sz w:val="21"/>
        </w:rPr>
        <w:t> </w:t>
      </w:r>
      <w:r>
        <w:rPr>
          <w:w w:val="105"/>
          <w:sz w:val="21"/>
        </w:rPr>
        <w:t>the</w:t>
      </w:r>
      <w:r>
        <w:rPr>
          <w:spacing w:val="-11"/>
          <w:w w:val="105"/>
          <w:sz w:val="21"/>
        </w:rPr>
        <w:t> </w:t>
      </w:r>
      <w:r>
        <w:rPr>
          <w:w w:val="105"/>
          <w:sz w:val="21"/>
        </w:rPr>
        <w:t>tree</w:t>
      </w:r>
      <w:r>
        <w:rPr>
          <w:spacing w:val="-11"/>
          <w:w w:val="105"/>
          <w:sz w:val="21"/>
        </w:rPr>
        <w:t> </w:t>
      </w:r>
      <w:r>
        <w:rPr>
          <w:spacing w:val="-3"/>
          <w:w w:val="105"/>
          <w:sz w:val="21"/>
        </w:rPr>
        <w:t>will</w:t>
      </w:r>
      <w:r>
        <w:rPr>
          <w:spacing w:val="-11"/>
          <w:w w:val="105"/>
          <w:sz w:val="21"/>
        </w:rPr>
        <w:t> </w:t>
      </w:r>
      <w:r>
        <w:rPr>
          <w:w w:val="105"/>
          <w:sz w:val="21"/>
        </w:rPr>
        <w:t>be</w:t>
      </w:r>
      <w:r>
        <w:rPr>
          <w:spacing w:val="-10"/>
          <w:w w:val="105"/>
          <w:sz w:val="21"/>
        </w:rPr>
        <w:t> </w:t>
      </w:r>
      <w:r>
        <w:rPr>
          <w:w w:val="105"/>
          <w:sz w:val="21"/>
        </w:rPr>
        <w:t>affected</w:t>
      </w:r>
      <w:r>
        <w:rPr>
          <w:spacing w:val="-11"/>
          <w:w w:val="105"/>
          <w:sz w:val="21"/>
        </w:rPr>
        <w:t> </w:t>
      </w:r>
      <w:r>
        <w:rPr>
          <w:w w:val="105"/>
          <w:sz w:val="21"/>
        </w:rPr>
        <w:t>or</w:t>
      </w:r>
      <w:r>
        <w:rPr>
          <w:spacing w:val="-11"/>
          <w:w w:val="105"/>
          <w:sz w:val="21"/>
        </w:rPr>
        <w:t> </w:t>
      </w:r>
      <w:r>
        <w:rPr>
          <w:spacing w:val="-3"/>
          <w:w w:val="105"/>
          <w:sz w:val="21"/>
        </w:rPr>
        <w:t>that</w:t>
      </w:r>
      <w:r>
        <w:rPr>
          <w:spacing w:val="-10"/>
          <w:w w:val="105"/>
          <w:sz w:val="21"/>
        </w:rPr>
        <w:t> </w:t>
      </w:r>
      <w:r>
        <w:rPr>
          <w:w w:val="105"/>
          <w:sz w:val="21"/>
        </w:rPr>
        <w:t>safety</w:t>
      </w:r>
      <w:r>
        <w:rPr>
          <w:spacing w:val="-11"/>
          <w:w w:val="105"/>
          <w:sz w:val="21"/>
        </w:rPr>
        <w:t> </w:t>
      </w:r>
      <w:r>
        <w:rPr>
          <w:spacing w:val="-3"/>
          <w:w w:val="105"/>
          <w:sz w:val="21"/>
        </w:rPr>
        <w:t>will </w:t>
      </w:r>
      <w:r>
        <w:rPr>
          <w:w w:val="105"/>
          <w:sz w:val="21"/>
        </w:rPr>
        <w:t>be</w:t>
      </w:r>
      <w:r>
        <w:rPr>
          <w:spacing w:val="5"/>
          <w:w w:val="105"/>
          <w:sz w:val="21"/>
        </w:rPr>
        <w:t> </w:t>
      </w:r>
      <w:r>
        <w:rPr>
          <w:spacing w:val="-3"/>
          <w:w w:val="105"/>
          <w:sz w:val="21"/>
        </w:rPr>
        <w:t>compromised.</w:t>
      </w:r>
      <w:r>
        <w:rPr>
          <w:spacing w:val="-3"/>
          <w:w w:val="105"/>
          <w:position w:val="7"/>
          <w:sz w:val="12"/>
        </w:rPr>
        <w:t>41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r>
        <w:rPr/>
        <w:pict>
          <v:line style="position:absolute;mso-position-horizontal-relative:page;mso-position-vertical-relative:paragraph;z-index:5792;mso-wrap-distance-left:0;mso-wrap-distance-right:0" from="79.370102pt,16.494030pt" to="515.905102pt,16.494030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92"/>
        </w:numPr>
        <w:tabs>
          <w:tab w:pos="2380" w:val="left" w:leader="none"/>
          <w:tab w:pos="2382" w:val="left" w:leader="none"/>
        </w:tabs>
        <w:spacing w:line="240" w:lineRule="auto" w:before="48" w:after="0"/>
        <w:ind w:left="2381" w:right="0" w:hanging="794"/>
        <w:jc w:val="left"/>
        <w:rPr>
          <w:sz w:val="13"/>
        </w:rPr>
      </w:pPr>
      <w:r>
        <w:rPr>
          <w:i/>
          <w:w w:val="105"/>
          <w:sz w:val="13"/>
        </w:rPr>
        <w:t>Trees (Disputes Between Neighbours) Act 2006 </w:t>
      </w:r>
      <w:r>
        <w:rPr>
          <w:spacing w:val="3"/>
          <w:w w:val="105"/>
          <w:sz w:val="13"/>
        </w:rPr>
        <w:t>(NSW) </w:t>
      </w:r>
      <w:r>
        <w:rPr>
          <w:w w:val="105"/>
          <w:sz w:val="13"/>
        </w:rPr>
        <w:t>s</w:t>
      </w:r>
      <w:r>
        <w:rPr>
          <w:spacing w:val="5"/>
          <w:w w:val="105"/>
          <w:sz w:val="13"/>
        </w:rPr>
        <w:t> </w:t>
      </w:r>
      <w:r>
        <w:rPr>
          <w:spacing w:val="2"/>
          <w:w w:val="105"/>
          <w:sz w:val="13"/>
        </w:rPr>
        <w:t>10(1)(a).</w:t>
      </w:r>
    </w:p>
    <w:p>
      <w:pPr>
        <w:pStyle w:val="ListParagraph"/>
        <w:numPr>
          <w:ilvl w:val="0"/>
          <w:numId w:val="92"/>
        </w:numPr>
        <w:tabs>
          <w:tab w:pos="2380" w:val="left" w:leader="none"/>
          <w:tab w:pos="2382" w:val="left" w:leader="none"/>
        </w:tabs>
        <w:spacing w:line="240" w:lineRule="auto" w:before="1" w:after="0"/>
        <w:ind w:left="2381" w:right="0" w:hanging="794"/>
        <w:jc w:val="left"/>
        <w:rPr>
          <w:sz w:val="13"/>
        </w:rPr>
      </w:pPr>
      <w:r>
        <w:rPr>
          <w:w w:val="105"/>
          <w:sz w:val="13"/>
        </w:rPr>
        <w:t>Department</w:t>
      </w:r>
      <w:r>
        <w:rPr>
          <w:spacing w:val="9"/>
          <w:w w:val="105"/>
          <w:sz w:val="13"/>
        </w:rPr>
        <w:t> </w:t>
      </w:r>
      <w:r>
        <w:rPr>
          <w:w w:val="105"/>
          <w:sz w:val="13"/>
        </w:rPr>
        <w:t>of</w:t>
      </w:r>
      <w:r>
        <w:rPr>
          <w:spacing w:val="9"/>
          <w:w w:val="105"/>
          <w:sz w:val="13"/>
        </w:rPr>
        <w:t> </w:t>
      </w:r>
      <w:r>
        <w:rPr>
          <w:w w:val="105"/>
          <w:sz w:val="13"/>
        </w:rPr>
        <w:t>Justice</w:t>
      </w:r>
      <w:r>
        <w:rPr>
          <w:spacing w:val="10"/>
          <w:w w:val="105"/>
          <w:sz w:val="13"/>
        </w:rPr>
        <w:t> </w:t>
      </w:r>
      <w:r>
        <w:rPr>
          <w:w w:val="105"/>
          <w:sz w:val="13"/>
        </w:rPr>
        <w:t>and</w:t>
      </w:r>
      <w:r>
        <w:rPr>
          <w:spacing w:val="9"/>
          <w:w w:val="105"/>
          <w:sz w:val="13"/>
        </w:rPr>
        <w:t> </w:t>
      </w:r>
      <w:r>
        <w:rPr>
          <w:w w:val="105"/>
          <w:sz w:val="13"/>
        </w:rPr>
        <w:t>Attorney</w:t>
      </w:r>
      <w:r>
        <w:rPr>
          <w:spacing w:val="10"/>
          <w:w w:val="105"/>
          <w:sz w:val="13"/>
        </w:rPr>
        <w:t> </w:t>
      </w:r>
      <w:r>
        <w:rPr>
          <w:w w:val="105"/>
          <w:sz w:val="13"/>
        </w:rPr>
        <w:t>General</w:t>
      </w:r>
      <w:r>
        <w:rPr>
          <w:spacing w:val="9"/>
          <w:w w:val="105"/>
          <w:sz w:val="13"/>
        </w:rPr>
        <w:t> </w:t>
      </w:r>
      <w:r>
        <w:rPr>
          <w:spacing w:val="3"/>
          <w:w w:val="105"/>
          <w:sz w:val="13"/>
        </w:rPr>
        <w:t>(NSW),</w:t>
      </w:r>
      <w:r>
        <w:rPr>
          <w:spacing w:val="10"/>
          <w:w w:val="105"/>
          <w:sz w:val="13"/>
        </w:rPr>
        <w:t> </w:t>
      </w:r>
      <w:r>
        <w:rPr>
          <w:i/>
          <w:w w:val="105"/>
          <w:sz w:val="13"/>
        </w:rPr>
        <w:t>Review</w:t>
      </w:r>
      <w:r>
        <w:rPr>
          <w:i/>
          <w:spacing w:val="9"/>
          <w:w w:val="105"/>
          <w:sz w:val="13"/>
        </w:rPr>
        <w:t> </w:t>
      </w:r>
      <w:r>
        <w:rPr>
          <w:i/>
          <w:w w:val="105"/>
          <w:sz w:val="13"/>
        </w:rPr>
        <w:t>of</w:t>
      </w:r>
      <w:r>
        <w:rPr>
          <w:i/>
          <w:spacing w:val="9"/>
          <w:w w:val="105"/>
          <w:sz w:val="13"/>
        </w:rPr>
        <w:t> </w:t>
      </w:r>
      <w:r>
        <w:rPr>
          <w:i/>
          <w:w w:val="105"/>
          <w:sz w:val="13"/>
        </w:rPr>
        <w:t>the</w:t>
      </w:r>
      <w:r>
        <w:rPr>
          <w:i/>
          <w:spacing w:val="10"/>
          <w:w w:val="105"/>
          <w:sz w:val="13"/>
        </w:rPr>
        <w:t> </w:t>
      </w:r>
      <w:r>
        <w:rPr>
          <w:i/>
          <w:w w:val="105"/>
          <w:sz w:val="13"/>
        </w:rPr>
        <w:t>Trees</w:t>
      </w:r>
      <w:r>
        <w:rPr>
          <w:i/>
          <w:spacing w:val="9"/>
          <w:w w:val="105"/>
          <w:sz w:val="13"/>
        </w:rPr>
        <w:t> </w:t>
      </w:r>
      <w:r>
        <w:rPr>
          <w:i/>
          <w:w w:val="105"/>
          <w:sz w:val="13"/>
        </w:rPr>
        <w:t>(Disputes</w:t>
      </w:r>
      <w:r>
        <w:rPr>
          <w:i/>
          <w:spacing w:val="10"/>
          <w:w w:val="105"/>
          <w:sz w:val="13"/>
        </w:rPr>
        <w:t> </w:t>
      </w:r>
      <w:r>
        <w:rPr>
          <w:i/>
          <w:w w:val="105"/>
          <w:sz w:val="13"/>
        </w:rPr>
        <w:t>Between</w:t>
      </w:r>
      <w:r>
        <w:rPr>
          <w:i/>
          <w:spacing w:val="9"/>
          <w:w w:val="105"/>
          <w:sz w:val="13"/>
        </w:rPr>
        <w:t> </w:t>
      </w:r>
      <w:r>
        <w:rPr>
          <w:i/>
          <w:w w:val="105"/>
          <w:sz w:val="13"/>
        </w:rPr>
        <w:t>Neighbours)</w:t>
      </w:r>
      <w:r>
        <w:rPr>
          <w:i/>
          <w:spacing w:val="9"/>
          <w:w w:val="105"/>
          <w:sz w:val="13"/>
        </w:rPr>
        <w:t> </w:t>
      </w:r>
      <w:r>
        <w:rPr>
          <w:i/>
          <w:w w:val="105"/>
          <w:sz w:val="13"/>
        </w:rPr>
        <w:t>Act</w:t>
      </w:r>
      <w:r>
        <w:rPr>
          <w:i/>
          <w:spacing w:val="10"/>
          <w:w w:val="105"/>
          <w:sz w:val="13"/>
        </w:rPr>
        <w:t> </w:t>
      </w:r>
      <w:r>
        <w:rPr>
          <w:i/>
          <w:w w:val="105"/>
          <w:sz w:val="13"/>
        </w:rPr>
        <w:t>2006</w:t>
      </w:r>
      <w:r>
        <w:rPr>
          <w:i/>
          <w:spacing w:val="9"/>
          <w:w w:val="105"/>
          <w:sz w:val="13"/>
        </w:rPr>
        <w:t> </w:t>
      </w:r>
      <w:r>
        <w:rPr>
          <w:spacing w:val="2"/>
          <w:w w:val="105"/>
          <w:sz w:val="13"/>
        </w:rPr>
        <w:t>(Report,</w:t>
      </w:r>
      <w:r>
        <w:rPr>
          <w:spacing w:val="10"/>
          <w:w w:val="105"/>
          <w:sz w:val="13"/>
        </w:rPr>
        <w:t> </w:t>
      </w:r>
      <w:r>
        <w:rPr>
          <w:spacing w:val="2"/>
          <w:w w:val="105"/>
          <w:sz w:val="13"/>
        </w:rPr>
        <w:t>2009)</w:t>
      </w:r>
      <w:r>
        <w:rPr>
          <w:spacing w:val="9"/>
          <w:w w:val="105"/>
          <w:sz w:val="13"/>
        </w:rPr>
        <w:t> </w:t>
      </w:r>
      <w:r>
        <w:rPr>
          <w:spacing w:val="-5"/>
          <w:w w:val="105"/>
          <w:sz w:val="13"/>
        </w:rPr>
        <w:t>7.</w:t>
      </w:r>
    </w:p>
    <w:p>
      <w:pPr>
        <w:pStyle w:val="ListParagraph"/>
        <w:numPr>
          <w:ilvl w:val="0"/>
          <w:numId w:val="92"/>
        </w:numPr>
        <w:tabs>
          <w:tab w:pos="2380" w:val="left" w:leader="none"/>
          <w:tab w:pos="2382" w:val="left" w:leader="none"/>
        </w:tabs>
        <w:spacing w:line="240" w:lineRule="auto" w:before="2" w:after="0"/>
        <w:ind w:left="2381" w:right="0" w:hanging="794"/>
        <w:jc w:val="left"/>
        <w:rPr>
          <w:i/>
          <w:sz w:val="13"/>
        </w:rPr>
      </w:pPr>
      <w:r>
        <w:rPr>
          <w:i/>
          <w:w w:val="105"/>
          <w:sz w:val="13"/>
        </w:rPr>
        <w:t>Robson</w:t>
      </w:r>
      <w:r>
        <w:rPr>
          <w:i/>
          <w:spacing w:val="9"/>
          <w:w w:val="105"/>
          <w:sz w:val="13"/>
        </w:rPr>
        <w:t> </w:t>
      </w:r>
      <w:r>
        <w:rPr>
          <w:i/>
          <w:w w:val="105"/>
          <w:sz w:val="13"/>
        </w:rPr>
        <w:t>v</w:t>
      </w:r>
      <w:r>
        <w:rPr>
          <w:i/>
          <w:spacing w:val="9"/>
          <w:w w:val="105"/>
          <w:sz w:val="13"/>
        </w:rPr>
        <w:t> </w:t>
      </w:r>
      <w:r>
        <w:rPr>
          <w:i/>
          <w:w w:val="105"/>
          <w:sz w:val="13"/>
        </w:rPr>
        <w:t>Leischke</w:t>
      </w:r>
      <w:r>
        <w:rPr>
          <w:i/>
          <w:spacing w:val="9"/>
          <w:w w:val="105"/>
          <w:sz w:val="13"/>
        </w:rPr>
        <w:t> </w:t>
      </w:r>
      <w:r>
        <w:rPr>
          <w:spacing w:val="2"/>
          <w:w w:val="105"/>
          <w:sz w:val="13"/>
        </w:rPr>
        <w:t>(2008)</w:t>
      </w:r>
      <w:r>
        <w:rPr>
          <w:spacing w:val="10"/>
          <w:w w:val="105"/>
          <w:sz w:val="13"/>
        </w:rPr>
        <w:t> </w:t>
      </w:r>
      <w:r>
        <w:rPr>
          <w:w w:val="105"/>
          <w:sz w:val="13"/>
        </w:rPr>
        <w:t>72</w:t>
      </w:r>
      <w:r>
        <w:rPr>
          <w:spacing w:val="9"/>
          <w:w w:val="105"/>
          <w:sz w:val="13"/>
        </w:rPr>
        <w:t> </w:t>
      </w:r>
      <w:r>
        <w:rPr>
          <w:spacing w:val="2"/>
          <w:w w:val="105"/>
          <w:sz w:val="13"/>
        </w:rPr>
        <w:t>NSWLR</w:t>
      </w:r>
      <w:r>
        <w:rPr>
          <w:spacing w:val="9"/>
          <w:w w:val="105"/>
          <w:sz w:val="13"/>
        </w:rPr>
        <w:t> </w:t>
      </w:r>
      <w:r>
        <w:rPr>
          <w:w w:val="105"/>
          <w:sz w:val="13"/>
        </w:rPr>
        <w:t>98</w:t>
      </w:r>
      <w:r>
        <w:rPr>
          <w:spacing w:val="9"/>
          <w:w w:val="105"/>
          <w:sz w:val="13"/>
        </w:rPr>
        <w:t> </w:t>
      </w:r>
      <w:r>
        <w:rPr>
          <w:w w:val="105"/>
          <w:sz w:val="13"/>
        </w:rPr>
        <w:t>[194];</w:t>
      </w:r>
      <w:r>
        <w:rPr>
          <w:spacing w:val="10"/>
          <w:w w:val="105"/>
          <w:sz w:val="13"/>
        </w:rPr>
        <w:t> </w:t>
      </w:r>
      <w:r>
        <w:rPr>
          <w:w w:val="105"/>
          <w:sz w:val="13"/>
        </w:rPr>
        <w:t>Land</w:t>
      </w:r>
      <w:r>
        <w:rPr>
          <w:spacing w:val="9"/>
          <w:w w:val="105"/>
          <w:sz w:val="13"/>
        </w:rPr>
        <w:t> </w:t>
      </w:r>
      <w:r>
        <w:rPr>
          <w:w w:val="105"/>
          <w:sz w:val="13"/>
        </w:rPr>
        <w:t>and</w:t>
      </w:r>
      <w:r>
        <w:rPr>
          <w:spacing w:val="9"/>
          <w:w w:val="105"/>
          <w:sz w:val="13"/>
        </w:rPr>
        <w:t> </w:t>
      </w:r>
      <w:r>
        <w:rPr>
          <w:w w:val="105"/>
          <w:sz w:val="13"/>
        </w:rPr>
        <w:t>Environment</w:t>
      </w:r>
      <w:r>
        <w:rPr>
          <w:spacing w:val="9"/>
          <w:w w:val="105"/>
          <w:sz w:val="13"/>
        </w:rPr>
        <w:t> </w:t>
      </w:r>
      <w:r>
        <w:rPr>
          <w:w w:val="105"/>
          <w:sz w:val="13"/>
        </w:rPr>
        <w:t>Court</w:t>
      </w:r>
      <w:r>
        <w:rPr>
          <w:spacing w:val="10"/>
          <w:w w:val="105"/>
          <w:sz w:val="13"/>
        </w:rPr>
        <w:t> </w:t>
      </w:r>
      <w:r>
        <w:rPr>
          <w:w w:val="105"/>
          <w:sz w:val="13"/>
        </w:rPr>
        <w:t>of</w:t>
      </w:r>
      <w:r>
        <w:rPr>
          <w:spacing w:val="9"/>
          <w:w w:val="105"/>
          <w:sz w:val="13"/>
        </w:rPr>
        <w:t> </w:t>
      </w:r>
      <w:r>
        <w:rPr>
          <w:w w:val="105"/>
          <w:sz w:val="13"/>
        </w:rPr>
        <w:t>New</w:t>
      </w:r>
      <w:r>
        <w:rPr>
          <w:spacing w:val="9"/>
          <w:w w:val="105"/>
          <w:sz w:val="13"/>
        </w:rPr>
        <w:t> </w:t>
      </w:r>
      <w:r>
        <w:rPr>
          <w:w w:val="105"/>
          <w:sz w:val="13"/>
        </w:rPr>
        <w:t>South</w:t>
      </w:r>
      <w:r>
        <w:rPr>
          <w:spacing w:val="9"/>
          <w:w w:val="105"/>
          <w:sz w:val="13"/>
        </w:rPr>
        <w:t> </w:t>
      </w:r>
      <w:r>
        <w:rPr>
          <w:w w:val="105"/>
          <w:sz w:val="13"/>
        </w:rPr>
        <w:t>Wales,</w:t>
      </w:r>
      <w:r>
        <w:rPr>
          <w:spacing w:val="10"/>
          <w:w w:val="105"/>
          <w:sz w:val="13"/>
        </w:rPr>
        <w:t> </w:t>
      </w:r>
      <w:r>
        <w:rPr>
          <w:i/>
          <w:w w:val="105"/>
          <w:sz w:val="13"/>
        </w:rPr>
        <w:t>Annotated</w:t>
      </w:r>
      <w:r>
        <w:rPr>
          <w:i/>
          <w:spacing w:val="9"/>
          <w:w w:val="105"/>
          <w:sz w:val="13"/>
        </w:rPr>
        <w:t> </w:t>
      </w:r>
      <w:r>
        <w:rPr>
          <w:i/>
          <w:w w:val="105"/>
          <w:sz w:val="13"/>
        </w:rPr>
        <w:t>Trees</w:t>
      </w:r>
      <w:r>
        <w:rPr>
          <w:i/>
          <w:spacing w:val="9"/>
          <w:w w:val="105"/>
          <w:sz w:val="13"/>
        </w:rPr>
        <w:t> </w:t>
      </w:r>
      <w:r>
        <w:rPr>
          <w:i/>
          <w:w w:val="105"/>
          <w:sz w:val="13"/>
        </w:rPr>
        <w:t>Act</w:t>
      </w:r>
      <w:r>
        <w:rPr>
          <w:i/>
          <w:spacing w:val="9"/>
          <w:w w:val="105"/>
          <w:sz w:val="13"/>
        </w:rPr>
        <w:t> </w:t>
      </w:r>
      <w:r>
        <w:rPr>
          <w:i/>
          <w:w w:val="105"/>
          <w:sz w:val="13"/>
        </w:rPr>
        <w:t>January</w:t>
      </w:r>
      <w:r>
        <w:rPr>
          <w:i/>
          <w:spacing w:val="10"/>
          <w:w w:val="105"/>
          <w:sz w:val="13"/>
        </w:rPr>
        <w:t> </w:t>
      </w:r>
      <w:r>
        <w:rPr>
          <w:i/>
          <w:spacing w:val="-3"/>
          <w:w w:val="105"/>
          <w:sz w:val="13"/>
        </w:rPr>
        <w:t>2013</w:t>
      </w:r>
    </w:p>
    <w:p>
      <w:pPr>
        <w:spacing w:before="1"/>
        <w:ind w:left="2381" w:right="0" w:firstLine="0"/>
        <w:jc w:val="left"/>
        <w:rPr>
          <w:sz w:val="13"/>
        </w:rPr>
      </w:pPr>
      <w:r>
        <w:rPr>
          <w:w w:val="105"/>
          <w:sz w:val="13"/>
        </w:rPr>
        <w:t>(1 September 2016) 19–20.</w:t>
      </w:r>
    </w:p>
    <w:p>
      <w:pPr>
        <w:pStyle w:val="ListParagraph"/>
        <w:numPr>
          <w:ilvl w:val="0"/>
          <w:numId w:val="92"/>
        </w:numPr>
        <w:tabs>
          <w:tab w:pos="2380" w:val="left" w:leader="none"/>
          <w:tab w:pos="2382" w:val="left" w:leader="none"/>
        </w:tabs>
        <w:spacing w:line="240" w:lineRule="auto" w:before="1" w:after="0"/>
        <w:ind w:left="2381" w:right="348"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 Wales); see, eg, </w:t>
      </w:r>
      <w:r>
        <w:rPr>
          <w:i/>
          <w:w w:val="105"/>
          <w:sz w:val="13"/>
        </w:rPr>
        <w:t>Aarons v MacDonell as Executor to the Estate of the late </w:t>
      </w:r>
      <w:r>
        <w:rPr>
          <w:i/>
          <w:w w:val="105"/>
          <w:sz w:val="13"/>
        </w:rPr>
        <w:t>Ronald Ayres </w:t>
      </w:r>
      <w:r>
        <w:rPr>
          <w:w w:val="105"/>
          <w:sz w:val="13"/>
        </w:rPr>
        <w:t>[2015] NSWLEC 1058</w:t>
      </w:r>
      <w:r>
        <w:rPr>
          <w:spacing w:val="23"/>
          <w:w w:val="105"/>
          <w:sz w:val="13"/>
        </w:rPr>
        <w:t> </w:t>
      </w:r>
      <w:r>
        <w:rPr>
          <w:w w:val="105"/>
          <w:sz w:val="13"/>
        </w:rPr>
        <w:t>[15].</w:t>
      </w:r>
    </w:p>
    <w:p>
      <w:pPr>
        <w:pStyle w:val="ListParagraph"/>
        <w:numPr>
          <w:ilvl w:val="0"/>
          <w:numId w:val="92"/>
        </w:numPr>
        <w:tabs>
          <w:tab w:pos="2380" w:val="left" w:leader="none"/>
          <w:tab w:pos="2382" w:val="left" w:leader="none"/>
        </w:tabs>
        <w:spacing w:line="240" w:lineRule="auto" w:before="3" w:after="0"/>
        <w:ind w:left="2381" w:right="0" w:hanging="794"/>
        <w:jc w:val="left"/>
        <w:rPr>
          <w:sz w:val="13"/>
        </w:rPr>
      </w:pPr>
      <w:r>
        <w:rPr>
          <w:i/>
          <w:w w:val="105"/>
          <w:sz w:val="13"/>
        </w:rPr>
        <w:t>Aarons</w:t>
      </w:r>
      <w:r>
        <w:rPr>
          <w:i/>
          <w:spacing w:val="5"/>
          <w:w w:val="105"/>
          <w:sz w:val="13"/>
        </w:rPr>
        <w:t> </w:t>
      </w:r>
      <w:r>
        <w:rPr>
          <w:i/>
          <w:w w:val="105"/>
          <w:sz w:val="13"/>
        </w:rPr>
        <w:t>v</w:t>
      </w:r>
      <w:r>
        <w:rPr>
          <w:i/>
          <w:spacing w:val="5"/>
          <w:w w:val="105"/>
          <w:sz w:val="13"/>
        </w:rPr>
        <w:t> </w:t>
      </w:r>
      <w:r>
        <w:rPr>
          <w:i/>
          <w:w w:val="105"/>
          <w:sz w:val="13"/>
        </w:rPr>
        <w:t>MacDonell</w:t>
      </w:r>
      <w:r>
        <w:rPr>
          <w:i/>
          <w:spacing w:val="5"/>
          <w:w w:val="105"/>
          <w:sz w:val="13"/>
        </w:rPr>
        <w:t> </w:t>
      </w:r>
      <w:r>
        <w:rPr>
          <w:i/>
          <w:w w:val="105"/>
          <w:sz w:val="13"/>
        </w:rPr>
        <w:t>as</w:t>
      </w:r>
      <w:r>
        <w:rPr>
          <w:i/>
          <w:spacing w:val="5"/>
          <w:w w:val="105"/>
          <w:sz w:val="13"/>
        </w:rPr>
        <w:t> </w:t>
      </w:r>
      <w:r>
        <w:rPr>
          <w:i/>
          <w:w w:val="105"/>
          <w:sz w:val="13"/>
        </w:rPr>
        <w:t>Executor</w:t>
      </w:r>
      <w:r>
        <w:rPr>
          <w:i/>
          <w:spacing w:val="5"/>
          <w:w w:val="105"/>
          <w:sz w:val="13"/>
        </w:rPr>
        <w:t> </w:t>
      </w:r>
      <w:r>
        <w:rPr>
          <w:i/>
          <w:w w:val="105"/>
          <w:sz w:val="13"/>
        </w:rPr>
        <w:t>to</w:t>
      </w:r>
      <w:r>
        <w:rPr>
          <w:i/>
          <w:spacing w:val="5"/>
          <w:w w:val="105"/>
          <w:sz w:val="13"/>
        </w:rPr>
        <w:t> </w:t>
      </w:r>
      <w:r>
        <w:rPr>
          <w:i/>
          <w:w w:val="105"/>
          <w:sz w:val="13"/>
        </w:rPr>
        <w:t>the</w:t>
      </w:r>
      <w:r>
        <w:rPr>
          <w:i/>
          <w:spacing w:val="5"/>
          <w:w w:val="105"/>
          <w:sz w:val="13"/>
        </w:rPr>
        <w:t> </w:t>
      </w:r>
      <w:r>
        <w:rPr>
          <w:i/>
          <w:w w:val="105"/>
          <w:sz w:val="13"/>
        </w:rPr>
        <w:t>Estate</w:t>
      </w:r>
      <w:r>
        <w:rPr>
          <w:i/>
          <w:spacing w:val="5"/>
          <w:w w:val="105"/>
          <w:sz w:val="13"/>
        </w:rPr>
        <w:t> </w:t>
      </w:r>
      <w:r>
        <w:rPr>
          <w:i/>
          <w:w w:val="105"/>
          <w:sz w:val="13"/>
        </w:rPr>
        <w:t>of</w:t>
      </w:r>
      <w:r>
        <w:rPr>
          <w:i/>
          <w:spacing w:val="5"/>
          <w:w w:val="105"/>
          <w:sz w:val="13"/>
        </w:rPr>
        <w:t> </w:t>
      </w:r>
      <w:r>
        <w:rPr>
          <w:i/>
          <w:w w:val="105"/>
          <w:sz w:val="13"/>
        </w:rPr>
        <w:t>the</w:t>
      </w:r>
      <w:r>
        <w:rPr>
          <w:i/>
          <w:spacing w:val="5"/>
          <w:w w:val="105"/>
          <w:sz w:val="13"/>
        </w:rPr>
        <w:t> </w:t>
      </w:r>
      <w:r>
        <w:rPr>
          <w:i/>
          <w:w w:val="105"/>
          <w:sz w:val="13"/>
        </w:rPr>
        <w:t>late</w:t>
      </w:r>
      <w:r>
        <w:rPr>
          <w:i/>
          <w:spacing w:val="5"/>
          <w:w w:val="105"/>
          <w:sz w:val="13"/>
        </w:rPr>
        <w:t> </w:t>
      </w:r>
      <w:r>
        <w:rPr>
          <w:i/>
          <w:w w:val="105"/>
          <w:sz w:val="13"/>
        </w:rPr>
        <w:t>Ronald</w:t>
      </w:r>
      <w:r>
        <w:rPr>
          <w:i/>
          <w:spacing w:val="5"/>
          <w:w w:val="105"/>
          <w:sz w:val="13"/>
        </w:rPr>
        <w:t> </w:t>
      </w:r>
      <w:r>
        <w:rPr>
          <w:i/>
          <w:w w:val="105"/>
          <w:sz w:val="13"/>
        </w:rPr>
        <w:t>Ayres</w:t>
      </w:r>
      <w:r>
        <w:rPr>
          <w:i/>
          <w:spacing w:val="5"/>
          <w:w w:val="105"/>
          <w:sz w:val="13"/>
        </w:rPr>
        <w:t> </w:t>
      </w:r>
      <w:r>
        <w:rPr>
          <w:w w:val="105"/>
          <w:sz w:val="13"/>
        </w:rPr>
        <w:t>[2015]</w:t>
      </w:r>
      <w:r>
        <w:rPr>
          <w:spacing w:val="5"/>
          <w:w w:val="105"/>
          <w:sz w:val="13"/>
        </w:rPr>
        <w:t> </w:t>
      </w:r>
      <w:r>
        <w:rPr>
          <w:w w:val="105"/>
          <w:sz w:val="13"/>
        </w:rPr>
        <w:t>NSWLEC</w:t>
      </w:r>
      <w:r>
        <w:rPr>
          <w:spacing w:val="5"/>
          <w:w w:val="105"/>
          <w:sz w:val="13"/>
        </w:rPr>
        <w:t> </w:t>
      </w:r>
      <w:r>
        <w:rPr>
          <w:w w:val="105"/>
          <w:sz w:val="13"/>
        </w:rPr>
        <w:t>1058</w:t>
      </w:r>
      <w:r>
        <w:rPr>
          <w:spacing w:val="5"/>
          <w:w w:val="105"/>
          <w:sz w:val="13"/>
        </w:rPr>
        <w:t> </w:t>
      </w:r>
      <w:r>
        <w:rPr>
          <w:w w:val="105"/>
          <w:sz w:val="13"/>
        </w:rPr>
        <w:t>[15].</w:t>
      </w:r>
    </w:p>
    <w:p>
      <w:pPr>
        <w:pStyle w:val="ListParagraph"/>
        <w:numPr>
          <w:ilvl w:val="0"/>
          <w:numId w:val="92"/>
        </w:numPr>
        <w:tabs>
          <w:tab w:pos="2380" w:val="left" w:leader="none"/>
          <w:tab w:pos="2382" w:val="left" w:leader="none"/>
        </w:tabs>
        <w:spacing w:line="240" w:lineRule="auto" w:before="1" w:after="0"/>
        <w:ind w:left="2381" w:right="0" w:hanging="794"/>
        <w:jc w:val="left"/>
        <w:rPr>
          <w:sz w:val="13"/>
        </w:rPr>
      </w:pPr>
      <w:r>
        <w:rPr>
          <w:i/>
          <w:w w:val="105"/>
          <w:sz w:val="13"/>
        </w:rPr>
        <w:t>Robson v Leischke </w:t>
      </w:r>
      <w:r>
        <w:rPr>
          <w:spacing w:val="2"/>
          <w:w w:val="105"/>
          <w:sz w:val="13"/>
        </w:rPr>
        <w:t>(2008) </w:t>
      </w:r>
      <w:r>
        <w:rPr>
          <w:w w:val="105"/>
          <w:sz w:val="13"/>
        </w:rPr>
        <w:t>72 </w:t>
      </w:r>
      <w:r>
        <w:rPr>
          <w:spacing w:val="2"/>
          <w:w w:val="105"/>
          <w:sz w:val="13"/>
        </w:rPr>
        <w:t>NSWLR </w:t>
      </w:r>
      <w:r>
        <w:rPr>
          <w:w w:val="105"/>
          <w:sz w:val="13"/>
        </w:rPr>
        <w:t>98</w:t>
      </w:r>
      <w:r>
        <w:rPr>
          <w:spacing w:val="29"/>
          <w:w w:val="105"/>
          <w:sz w:val="13"/>
        </w:rPr>
        <w:t> </w:t>
      </w:r>
      <w:r>
        <w:rPr>
          <w:w w:val="105"/>
          <w:sz w:val="13"/>
        </w:rPr>
        <w:t>[195].</w:t>
      </w:r>
    </w:p>
    <w:p>
      <w:pPr>
        <w:pStyle w:val="ListParagraph"/>
        <w:numPr>
          <w:ilvl w:val="0"/>
          <w:numId w:val="92"/>
        </w:numPr>
        <w:tabs>
          <w:tab w:pos="2381" w:val="left" w:leader="none"/>
          <w:tab w:pos="2382" w:val="left" w:leader="none"/>
        </w:tabs>
        <w:spacing w:line="240" w:lineRule="auto" w:before="2" w:after="0"/>
        <w:ind w:left="2381" w:right="0" w:hanging="794"/>
        <w:jc w:val="left"/>
        <w:rPr>
          <w:sz w:val="13"/>
        </w:rPr>
      </w:pPr>
      <w:r>
        <w:rPr>
          <w:i/>
          <w:w w:val="105"/>
          <w:sz w:val="13"/>
        </w:rPr>
        <w:t>Aarons</w:t>
      </w:r>
      <w:r>
        <w:rPr>
          <w:i/>
          <w:spacing w:val="5"/>
          <w:w w:val="105"/>
          <w:sz w:val="13"/>
        </w:rPr>
        <w:t> </w:t>
      </w:r>
      <w:r>
        <w:rPr>
          <w:i/>
          <w:w w:val="105"/>
          <w:sz w:val="13"/>
        </w:rPr>
        <w:t>v</w:t>
      </w:r>
      <w:r>
        <w:rPr>
          <w:i/>
          <w:spacing w:val="5"/>
          <w:w w:val="105"/>
          <w:sz w:val="13"/>
        </w:rPr>
        <w:t> </w:t>
      </w:r>
      <w:r>
        <w:rPr>
          <w:i/>
          <w:w w:val="105"/>
          <w:sz w:val="13"/>
        </w:rPr>
        <w:t>MacDonell</w:t>
      </w:r>
      <w:r>
        <w:rPr>
          <w:i/>
          <w:spacing w:val="5"/>
          <w:w w:val="105"/>
          <w:sz w:val="13"/>
        </w:rPr>
        <w:t> </w:t>
      </w:r>
      <w:r>
        <w:rPr>
          <w:i/>
          <w:w w:val="105"/>
          <w:sz w:val="13"/>
        </w:rPr>
        <w:t>as</w:t>
      </w:r>
      <w:r>
        <w:rPr>
          <w:i/>
          <w:spacing w:val="5"/>
          <w:w w:val="105"/>
          <w:sz w:val="13"/>
        </w:rPr>
        <w:t> </w:t>
      </w:r>
      <w:r>
        <w:rPr>
          <w:i/>
          <w:w w:val="105"/>
          <w:sz w:val="13"/>
        </w:rPr>
        <w:t>Executor</w:t>
      </w:r>
      <w:r>
        <w:rPr>
          <w:i/>
          <w:spacing w:val="5"/>
          <w:w w:val="105"/>
          <w:sz w:val="13"/>
        </w:rPr>
        <w:t> </w:t>
      </w:r>
      <w:r>
        <w:rPr>
          <w:i/>
          <w:w w:val="105"/>
          <w:sz w:val="13"/>
        </w:rPr>
        <w:t>to</w:t>
      </w:r>
      <w:r>
        <w:rPr>
          <w:i/>
          <w:spacing w:val="5"/>
          <w:w w:val="105"/>
          <w:sz w:val="13"/>
        </w:rPr>
        <w:t> </w:t>
      </w:r>
      <w:r>
        <w:rPr>
          <w:i/>
          <w:w w:val="105"/>
          <w:sz w:val="13"/>
        </w:rPr>
        <w:t>the</w:t>
      </w:r>
      <w:r>
        <w:rPr>
          <w:i/>
          <w:spacing w:val="5"/>
          <w:w w:val="105"/>
          <w:sz w:val="13"/>
        </w:rPr>
        <w:t> </w:t>
      </w:r>
      <w:r>
        <w:rPr>
          <w:i/>
          <w:w w:val="105"/>
          <w:sz w:val="13"/>
        </w:rPr>
        <w:t>Estate</w:t>
      </w:r>
      <w:r>
        <w:rPr>
          <w:i/>
          <w:spacing w:val="5"/>
          <w:w w:val="105"/>
          <w:sz w:val="13"/>
        </w:rPr>
        <w:t> </w:t>
      </w:r>
      <w:r>
        <w:rPr>
          <w:i/>
          <w:w w:val="105"/>
          <w:sz w:val="13"/>
        </w:rPr>
        <w:t>of</w:t>
      </w:r>
      <w:r>
        <w:rPr>
          <w:i/>
          <w:spacing w:val="5"/>
          <w:w w:val="105"/>
          <w:sz w:val="13"/>
        </w:rPr>
        <w:t> </w:t>
      </w:r>
      <w:r>
        <w:rPr>
          <w:i/>
          <w:w w:val="105"/>
          <w:sz w:val="13"/>
        </w:rPr>
        <w:t>the</w:t>
      </w:r>
      <w:r>
        <w:rPr>
          <w:i/>
          <w:spacing w:val="5"/>
          <w:w w:val="105"/>
          <w:sz w:val="13"/>
        </w:rPr>
        <w:t> </w:t>
      </w:r>
      <w:r>
        <w:rPr>
          <w:i/>
          <w:w w:val="105"/>
          <w:sz w:val="13"/>
        </w:rPr>
        <w:t>late</w:t>
      </w:r>
      <w:r>
        <w:rPr>
          <w:i/>
          <w:spacing w:val="5"/>
          <w:w w:val="105"/>
          <w:sz w:val="13"/>
        </w:rPr>
        <w:t> </w:t>
      </w:r>
      <w:r>
        <w:rPr>
          <w:i/>
          <w:w w:val="105"/>
          <w:sz w:val="13"/>
        </w:rPr>
        <w:t>Ronald</w:t>
      </w:r>
      <w:r>
        <w:rPr>
          <w:i/>
          <w:spacing w:val="5"/>
          <w:w w:val="105"/>
          <w:sz w:val="13"/>
        </w:rPr>
        <w:t> </w:t>
      </w:r>
      <w:r>
        <w:rPr>
          <w:i/>
          <w:w w:val="105"/>
          <w:sz w:val="13"/>
        </w:rPr>
        <w:t>Ayres</w:t>
      </w:r>
      <w:r>
        <w:rPr>
          <w:i/>
          <w:spacing w:val="5"/>
          <w:w w:val="105"/>
          <w:sz w:val="13"/>
        </w:rPr>
        <w:t> </w:t>
      </w:r>
      <w:r>
        <w:rPr>
          <w:w w:val="105"/>
          <w:sz w:val="13"/>
        </w:rPr>
        <w:t>[2015]</w:t>
      </w:r>
      <w:r>
        <w:rPr>
          <w:spacing w:val="5"/>
          <w:w w:val="105"/>
          <w:sz w:val="13"/>
        </w:rPr>
        <w:t> </w:t>
      </w:r>
      <w:r>
        <w:rPr>
          <w:w w:val="105"/>
          <w:sz w:val="13"/>
        </w:rPr>
        <w:t>NSWLEC</w:t>
      </w:r>
      <w:r>
        <w:rPr>
          <w:spacing w:val="5"/>
          <w:w w:val="105"/>
          <w:sz w:val="13"/>
        </w:rPr>
        <w:t> </w:t>
      </w:r>
      <w:r>
        <w:rPr>
          <w:w w:val="105"/>
          <w:sz w:val="13"/>
        </w:rPr>
        <w:t>1058</w:t>
      </w:r>
      <w:r>
        <w:rPr>
          <w:spacing w:val="5"/>
          <w:w w:val="105"/>
          <w:sz w:val="13"/>
        </w:rPr>
        <w:t> </w:t>
      </w:r>
      <w:r>
        <w:rPr>
          <w:w w:val="105"/>
          <w:sz w:val="13"/>
        </w:rPr>
        <w:t>[15].</w:t>
      </w:r>
    </w:p>
    <w:p>
      <w:pPr>
        <w:pStyle w:val="ListParagraph"/>
        <w:numPr>
          <w:ilvl w:val="0"/>
          <w:numId w:val="92"/>
        </w:numPr>
        <w:tabs>
          <w:tab w:pos="2381" w:val="left" w:leader="none"/>
          <w:tab w:pos="2382" w:val="left" w:leader="none"/>
        </w:tabs>
        <w:spacing w:line="240" w:lineRule="auto" w:before="1" w:after="0"/>
        <w:ind w:left="2381"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5"/>
          <w:w w:val="105"/>
          <w:sz w:val="13"/>
        </w:rPr>
        <w:t> </w:t>
      </w:r>
      <w:r>
        <w:rPr>
          <w:spacing w:val="3"/>
          <w:w w:val="105"/>
          <w:sz w:val="13"/>
        </w:rPr>
        <w:t>65(a).</w:t>
      </w:r>
    </w:p>
    <w:p>
      <w:pPr>
        <w:pStyle w:val="ListParagraph"/>
        <w:numPr>
          <w:ilvl w:val="0"/>
          <w:numId w:val="92"/>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4"/>
          <w:w w:val="105"/>
          <w:sz w:val="13"/>
        </w:rPr>
        <w:t> </w:t>
      </w:r>
      <w:r>
        <w:rPr>
          <w:w w:val="105"/>
          <w:sz w:val="13"/>
        </w:rPr>
        <w:t>eg,</w:t>
      </w:r>
      <w:r>
        <w:rPr>
          <w:spacing w:val="5"/>
          <w:w w:val="105"/>
          <w:sz w:val="13"/>
        </w:rPr>
        <w:t> </w:t>
      </w:r>
      <w:r>
        <w:rPr>
          <w:i/>
          <w:w w:val="105"/>
          <w:sz w:val="13"/>
        </w:rPr>
        <w:t>Collins</w:t>
      </w:r>
      <w:r>
        <w:rPr>
          <w:i/>
          <w:spacing w:val="5"/>
          <w:w w:val="105"/>
          <w:sz w:val="13"/>
        </w:rPr>
        <w:t> </w:t>
      </w:r>
      <w:r>
        <w:rPr>
          <w:i/>
          <w:w w:val="105"/>
          <w:sz w:val="13"/>
        </w:rPr>
        <w:t>v</w:t>
      </w:r>
      <w:r>
        <w:rPr>
          <w:i/>
          <w:spacing w:val="5"/>
          <w:w w:val="105"/>
          <w:sz w:val="13"/>
        </w:rPr>
        <w:t> </w:t>
      </w:r>
      <w:r>
        <w:rPr>
          <w:i/>
          <w:w w:val="105"/>
          <w:sz w:val="13"/>
        </w:rPr>
        <w:t>McNeil</w:t>
      </w:r>
      <w:r>
        <w:rPr>
          <w:i/>
          <w:spacing w:val="5"/>
          <w:w w:val="105"/>
          <w:sz w:val="13"/>
        </w:rPr>
        <w:t> </w:t>
      </w:r>
      <w:r>
        <w:rPr>
          <w:w w:val="105"/>
          <w:sz w:val="13"/>
        </w:rPr>
        <w:t>[2013]</w:t>
      </w:r>
      <w:r>
        <w:rPr>
          <w:spacing w:val="5"/>
          <w:w w:val="105"/>
          <w:sz w:val="13"/>
        </w:rPr>
        <w:t> </w:t>
      </w:r>
      <w:r>
        <w:rPr>
          <w:w w:val="105"/>
          <w:sz w:val="13"/>
        </w:rPr>
        <w:t>QCAT</w:t>
      </w:r>
      <w:r>
        <w:rPr>
          <w:spacing w:val="5"/>
          <w:w w:val="105"/>
          <w:sz w:val="13"/>
        </w:rPr>
        <w:t> </w:t>
      </w:r>
      <w:r>
        <w:rPr>
          <w:w w:val="105"/>
          <w:sz w:val="13"/>
        </w:rPr>
        <w:t>429</w:t>
      </w:r>
      <w:r>
        <w:rPr>
          <w:spacing w:val="5"/>
          <w:w w:val="105"/>
          <w:sz w:val="13"/>
        </w:rPr>
        <w:t> </w:t>
      </w:r>
      <w:r>
        <w:rPr>
          <w:spacing w:val="3"/>
          <w:w w:val="105"/>
          <w:sz w:val="13"/>
        </w:rPr>
        <w:t>[49],</w:t>
      </w:r>
      <w:r>
        <w:rPr>
          <w:spacing w:val="4"/>
          <w:w w:val="105"/>
          <w:sz w:val="13"/>
        </w:rPr>
        <w:t> </w:t>
      </w:r>
      <w:r>
        <w:rPr>
          <w:w w:val="105"/>
          <w:sz w:val="13"/>
        </w:rPr>
        <w:t>n</w:t>
      </w:r>
      <w:r>
        <w:rPr>
          <w:spacing w:val="5"/>
          <w:w w:val="105"/>
          <w:sz w:val="13"/>
        </w:rPr>
        <w:t> </w:t>
      </w:r>
      <w:r>
        <w:rPr>
          <w:w w:val="105"/>
          <w:sz w:val="13"/>
        </w:rPr>
        <w:t>22.</w:t>
      </w:r>
    </w:p>
    <w:p>
      <w:pPr>
        <w:pStyle w:val="ListParagraph"/>
        <w:numPr>
          <w:ilvl w:val="0"/>
          <w:numId w:val="92"/>
        </w:numPr>
        <w:tabs>
          <w:tab w:pos="2381" w:val="left" w:leader="none"/>
          <w:tab w:pos="2382" w:val="left" w:leader="none"/>
        </w:tabs>
        <w:spacing w:line="240" w:lineRule="auto" w:before="2" w:after="0"/>
        <w:ind w:left="2381" w:right="0" w:hanging="794"/>
        <w:jc w:val="left"/>
        <w:rPr>
          <w:sz w:val="13"/>
        </w:rPr>
      </w:pPr>
      <w:r>
        <w:rPr>
          <w:w w:val="105"/>
          <w:sz w:val="13"/>
        </w:rPr>
        <w:t>Queensland Civil and Administrative Tribunal, </w:t>
      </w:r>
      <w:r>
        <w:rPr>
          <w:i/>
          <w:w w:val="105"/>
          <w:sz w:val="13"/>
        </w:rPr>
        <w:t>Tree Dispute Resolution </w:t>
      </w:r>
      <w:r>
        <w:rPr>
          <w:spacing w:val="2"/>
          <w:w w:val="105"/>
          <w:sz w:val="13"/>
        </w:rPr>
        <w:t>(Fact </w:t>
      </w:r>
      <w:r>
        <w:rPr>
          <w:w w:val="105"/>
          <w:sz w:val="13"/>
        </w:rPr>
        <w:t>Sheet, version 4, March 2017) 1; see, eg, </w:t>
      </w:r>
      <w:r>
        <w:rPr>
          <w:i/>
          <w:w w:val="105"/>
          <w:sz w:val="13"/>
        </w:rPr>
        <w:t>Collins v McNeil </w:t>
      </w:r>
      <w:r>
        <w:rPr>
          <w:w w:val="105"/>
          <w:sz w:val="13"/>
        </w:rPr>
        <w:t>[2013] QCAT 429 </w:t>
      </w:r>
      <w:r>
        <w:rPr>
          <w:spacing w:val="3"/>
          <w:w w:val="105"/>
          <w:sz w:val="13"/>
        </w:rPr>
        <w:t>[49], </w:t>
      </w:r>
      <w:r>
        <w:rPr>
          <w:w w:val="105"/>
          <w:sz w:val="13"/>
        </w:rPr>
        <w:t>n</w:t>
      </w:r>
      <w:r>
        <w:rPr>
          <w:spacing w:val="15"/>
          <w:w w:val="105"/>
          <w:sz w:val="13"/>
        </w:rPr>
        <w:t> </w:t>
      </w:r>
      <w:r>
        <w:rPr>
          <w:w w:val="105"/>
          <w:sz w:val="13"/>
        </w:rPr>
        <w:t>22.</w:t>
      </w:r>
    </w:p>
    <w:p>
      <w:pPr>
        <w:pStyle w:val="ListParagraph"/>
        <w:numPr>
          <w:ilvl w:val="0"/>
          <w:numId w:val="92"/>
        </w:numPr>
        <w:tabs>
          <w:tab w:pos="2381" w:val="left" w:leader="none"/>
          <w:tab w:pos="2382" w:val="left" w:leader="none"/>
        </w:tabs>
        <w:spacing w:line="240" w:lineRule="auto" w:before="2" w:after="0"/>
        <w:ind w:left="2381" w:right="0" w:hanging="794"/>
        <w:jc w:val="left"/>
        <w:rPr>
          <w:sz w:val="13"/>
        </w:rPr>
      </w:pPr>
      <w:r>
        <w:rPr>
          <w:w w:val="105"/>
          <w:sz w:val="13"/>
        </w:rPr>
        <w:t>See eg, </w:t>
      </w:r>
      <w:r>
        <w:rPr>
          <w:i/>
          <w:w w:val="105"/>
          <w:sz w:val="13"/>
        </w:rPr>
        <w:t>Moreno v Parer </w:t>
      </w:r>
      <w:r>
        <w:rPr>
          <w:w w:val="105"/>
          <w:sz w:val="13"/>
        </w:rPr>
        <w:t>[2017] QCAT 223</w:t>
      </w:r>
      <w:r>
        <w:rPr>
          <w:spacing w:val="6"/>
          <w:w w:val="105"/>
          <w:sz w:val="13"/>
        </w:rPr>
        <w:t> </w:t>
      </w:r>
      <w:r>
        <w:rPr>
          <w:spacing w:val="2"/>
          <w:w w:val="105"/>
          <w:sz w:val="13"/>
        </w:rPr>
        <w:t>[24].</w:t>
      </w:r>
    </w:p>
    <w:p>
      <w:pPr>
        <w:pStyle w:val="ListParagraph"/>
        <w:numPr>
          <w:ilvl w:val="0"/>
          <w:numId w:val="92"/>
        </w:numPr>
        <w:tabs>
          <w:tab w:pos="2381" w:val="left" w:leader="none"/>
          <w:tab w:pos="2382" w:val="left" w:leader="none"/>
        </w:tabs>
        <w:spacing w:line="240" w:lineRule="auto" w:before="2" w:after="0"/>
        <w:ind w:left="1587" w:right="4039" w:firstLine="0"/>
        <w:jc w:val="left"/>
        <w:rPr>
          <w:sz w:val="13"/>
        </w:rPr>
      </w:pPr>
      <w:r>
        <w:rPr>
          <w:i/>
          <w:w w:val="105"/>
          <w:sz w:val="13"/>
        </w:rPr>
        <w:t>Neighbourhood Disputes About Plants Act </w:t>
      </w:r>
      <w:r>
        <w:rPr>
          <w:i/>
          <w:spacing w:val="-4"/>
          <w:w w:val="105"/>
          <w:sz w:val="13"/>
        </w:rPr>
        <w:t>2017 </w:t>
      </w:r>
      <w:r>
        <w:rPr>
          <w:w w:val="105"/>
          <w:sz w:val="13"/>
        </w:rPr>
        <w:t>(Tas) s </w:t>
      </w:r>
      <w:r>
        <w:rPr>
          <w:spacing w:val="4"/>
          <w:w w:val="105"/>
          <w:sz w:val="13"/>
        </w:rPr>
        <w:t>26(1)(a)–(b). </w:t>
      </w:r>
      <w:r>
        <w:rPr>
          <w:w w:val="105"/>
          <w:sz w:val="13"/>
        </w:rPr>
        <w:t>40</w:t>
        <w:tab/>
        <w:t>Ibid ss 19, 20,</w:t>
      </w:r>
      <w:r>
        <w:rPr>
          <w:spacing w:val="18"/>
          <w:w w:val="105"/>
          <w:sz w:val="13"/>
        </w:rPr>
        <w:t> </w:t>
      </w:r>
      <w:r>
        <w:rPr>
          <w:w w:val="105"/>
          <w:sz w:val="13"/>
        </w:rPr>
        <w:t>22.</w:t>
      </w:r>
    </w:p>
    <w:p>
      <w:pPr>
        <w:tabs>
          <w:tab w:pos="2381" w:val="left" w:leader="none"/>
        </w:tabs>
        <w:spacing w:before="2"/>
        <w:ind w:left="1587" w:right="0" w:firstLine="0"/>
        <w:jc w:val="left"/>
        <w:rPr>
          <w:sz w:val="13"/>
        </w:rPr>
      </w:pPr>
      <w:r>
        <w:rPr>
          <w:spacing w:val="-3"/>
          <w:sz w:val="13"/>
        </w:rPr>
        <w:t>41</w:t>
        <w:tab/>
      </w:r>
      <w:r>
        <w:rPr>
          <w:sz w:val="13"/>
        </w:rPr>
        <w:t>Ibid s</w:t>
      </w:r>
      <w:r>
        <w:rPr>
          <w:spacing w:val="12"/>
          <w:sz w:val="13"/>
        </w:rPr>
        <w:t> </w:t>
      </w:r>
      <w:r>
        <w:rPr>
          <w:spacing w:val="4"/>
          <w:sz w:val="13"/>
        </w:rPr>
        <w:t>26(2)(b)(i)–(ii).</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7"/>
        </w:rPr>
      </w:pPr>
    </w:p>
    <w:p>
      <w:pPr>
        <w:spacing w:before="0"/>
        <w:ind w:left="553" w:right="573" w:firstLine="0"/>
        <w:jc w:val="center"/>
        <w:rPr>
          <w:b/>
          <w:sz w:val="24"/>
        </w:rPr>
      </w:pPr>
      <w:r>
        <w:rPr>
          <w:b/>
          <w:color w:val="658464"/>
          <w:w w:val="110"/>
          <w:sz w:val="24"/>
        </w:rPr>
        <w:t>115</w:t>
      </w:r>
    </w:p>
    <w:p>
      <w:pPr>
        <w:spacing w:after="0"/>
        <w:jc w:val="center"/>
        <w:rPr>
          <w:sz w:val="24"/>
        </w:rPr>
        <w:sectPr>
          <w:type w:val="continuous"/>
          <w:pgSz w:w="11910" w:h="16840"/>
          <w:pgMar w:top="300" w:bottom="280" w:left="0" w:right="0"/>
          <w:cols w:num="2" w:equalWidth="0">
            <w:col w:w="10301" w:space="40"/>
            <w:col w:w="1569"/>
          </w:cols>
        </w:sectPr>
      </w:pPr>
    </w:p>
    <w:p>
      <w:pPr>
        <w:pStyle w:val="BodyText"/>
        <w:spacing w:before="11"/>
        <w:rPr>
          <w:b/>
        </w:rPr>
      </w:pPr>
    </w:p>
    <w:p>
      <w:pPr>
        <w:spacing w:before="96"/>
        <w:ind w:left="1587" w:right="0" w:firstLine="0"/>
        <w:jc w:val="left"/>
        <w:rPr>
          <w:b/>
          <w:sz w:val="24"/>
        </w:rPr>
      </w:pPr>
      <w:bookmarkStart w:name="_bookmark65" w:id="149"/>
      <w:bookmarkEnd w:id="149"/>
      <w:r>
        <w:rPr/>
      </w:r>
      <w:r>
        <w:rPr>
          <w:b/>
          <w:w w:val="110"/>
          <w:sz w:val="24"/>
        </w:rPr>
        <w:t>Tree owner responsibilities in the interstate Acts</w:t>
      </w:r>
    </w:p>
    <w:p>
      <w:pPr>
        <w:pStyle w:val="ListParagraph"/>
        <w:numPr>
          <w:ilvl w:val="1"/>
          <w:numId w:val="16"/>
        </w:numPr>
        <w:tabs>
          <w:tab w:pos="2381" w:val="left" w:leader="none"/>
          <w:tab w:pos="2382" w:val="left" w:leader="none"/>
        </w:tabs>
        <w:spacing w:line="242" w:lineRule="auto" w:before="137" w:after="0"/>
        <w:ind w:left="2381" w:right="2590" w:hanging="794"/>
        <w:jc w:val="left"/>
        <w:rPr>
          <w:sz w:val="21"/>
        </w:rPr>
      </w:pPr>
      <w:r>
        <w:rPr>
          <w:spacing w:val="-4"/>
          <w:w w:val="105"/>
          <w:sz w:val="21"/>
        </w:rPr>
        <w:t>Unlike </w:t>
      </w:r>
      <w:r>
        <w:rPr>
          <w:w w:val="105"/>
          <w:sz w:val="21"/>
        </w:rPr>
        <w:t>the NSW Act, the </w:t>
      </w:r>
      <w:r>
        <w:rPr>
          <w:spacing w:val="-3"/>
          <w:w w:val="105"/>
          <w:sz w:val="21"/>
        </w:rPr>
        <w:t>Queensland </w:t>
      </w:r>
      <w:r>
        <w:rPr>
          <w:w w:val="105"/>
          <w:sz w:val="21"/>
        </w:rPr>
        <w:t>Act </w:t>
      </w:r>
      <w:r>
        <w:rPr>
          <w:spacing w:val="-3"/>
          <w:w w:val="105"/>
          <w:sz w:val="21"/>
        </w:rPr>
        <w:t>includes </w:t>
      </w:r>
      <w:r>
        <w:rPr>
          <w:w w:val="105"/>
          <w:sz w:val="21"/>
        </w:rPr>
        <w:t>tree-keeper (tree </w:t>
      </w:r>
      <w:r>
        <w:rPr>
          <w:spacing w:val="-3"/>
          <w:w w:val="105"/>
          <w:sz w:val="21"/>
        </w:rPr>
        <w:t>owner) responsibilities.</w:t>
      </w:r>
      <w:r>
        <w:rPr>
          <w:spacing w:val="-3"/>
          <w:w w:val="105"/>
          <w:position w:val="7"/>
          <w:sz w:val="12"/>
        </w:rPr>
        <w:t>42</w:t>
      </w:r>
      <w:r>
        <w:rPr>
          <w:spacing w:val="1"/>
          <w:w w:val="105"/>
          <w:position w:val="7"/>
          <w:sz w:val="12"/>
        </w:rPr>
        <w:t> </w:t>
      </w:r>
      <w:r>
        <w:rPr>
          <w:spacing w:val="-3"/>
          <w:w w:val="105"/>
          <w:sz w:val="21"/>
        </w:rPr>
        <w:t>During</w:t>
      </w:r>
      <w:r>
        <w:rPr>
          <w:spacing w:val="-22"/>
          <w:w w:val="105"/>
          <w:sz w:val="21"/>
        </w:rPr>
        <w:t> </w:t>
      </w:r>
      <w:r>
        <w:rPr>
          <w:w w:val="105"/>
          <w:sz w:val="21"/>
        </w:rPr>
        <w:t>parliamentary</w:t>
      </w:r>
      <w:r>
        <w:rPr>
          <w:spacing w:val="-21"/>
          <w:w w:val="105"/>
          <w:sz w:val="21"/>
        </w:rPr>
        <w:t> </w:t>
      </w:r>
      <w:r>
        <w:rPr>
          <w:w w:val="105"/>
          <w:sz w:val="21"/>
        </w:rPr>
        <w:t>debate</w:t>
      </w:r>
      <w:r>
        <w:rPr>
          <w:spacing w:val="-21"/>
          <w:w w:val="105"/>
          <w:sz w:val="21"/>
        </w:rPr>
        <w:t> </w:t>
      </w:r>
      <w:r>
        <w:rPr>
          <w:w w:val="105"/>
          <w:sz w:val="21"/>
        </w:rPr>
        <w:t>the</w:t>
      </w:r>
      <w:r>
        <w:rPr>
          <w:spacing w:val="-21"/>
          <w:w w:val="105"/>
          <w:sz w:val="21"/>
        </w:rPr>
        <w:t> </w:t>
      </w:r>
      <w:r>
        <w:rPr>
          <w:w w:val="105"/>
          <w:sz w:val="21"/>
        </w:rPr>
        <w:t>Attorney-General</w:t>
      </w:r>
      <w:r>
        <w:rPr>
          <w:spacing w:val="-22"/>
          <w:w w:val="105"/>
          <w:sz w:val="21"/>
        </w:rPr>
        <w:t> </w:t>
      </w:r>
      <w:r>
        <w:rPr>
          <w:w w:val="105"/>
          <w:sz w:val="21"/>
        </w:rPr>
        <w:t>explained:</w:t>
      </w:r>
    </w:p>
    <w:p>
      <w:pPr>
        <w:spacing w:line="254" w:lineRule="auto" w:before="132"/>
        <w:ind w:left="2834" w:right="1577" w:firstLine="0"/>
        <w:jc w:val="left"/>
        <w:rPr>
          <w:sz w:val="11"/>
        </w:rPr>
      </w:pPr>
      <w:r>
        <w:rPr>
          <w:w w:val="105"/>
          <w:sz w:val="20"/>
        </w:rPr>
        <w:t>The proposed bill provides clear direction about a tree-keeper’s responsibilities and reflects the strong community view that a tree </w:t>
      </w:r>
      <w:r>
        <w:rPr>
          <w:spacing w:val="-4"/>
          <w:w w:val="105"/>
          <w:sz w:val="20"/>
        </w:rPr>
        <w:t>owner, </w:t>
      </w:r>
      <w:r>
        <w:rPr>
          <w:w w:val="105"/>
          <w:sz w:val="20"/>
        </w:rPr>
        <w:t>known as the ‘tree-keeper’ in the </w:t>
      </w:r>
      <w:r>
        <w:rPr>
          <w:spacing w:val="-3"/>
          <w:w w:val="105"/>
          <w:sz w:val="20"/>
        </w:rPr>
        <w:t>Bill, </w:t>
      </w:r>
      <w:r>
        <w:rPr>
          <w:w w:val="105"/>
          <w:sz w:val="20"/>
        </w:rPr>
        <w:t>should be responsible for the proper care and </w:t>
      </w:r>
      <w:r>
        <w:rPr>
          <w:spacing w:val="-3"/>
          <w:w w:val="105"/>
          <w:sz w:val="20"/>
        </w:rPr>
        <w:t>maintenance </w:t>
      </w:r>
      <w:r>
        <w:rPr>
          <w:w w:val="105"/>
          <w:sz w:val="20"/>
        </w:rPr>
        <w:t>of a tree growing on their land in the neighbourhood.</w:t>
      </w:r>
      <w:r>
        <w:rPr>
          <w:w w:val="105"/>
          <w:position w:val="7"/>
          <w:sz w:val="11"/>
        </w:rPr>
        <w:t>43</w:t>
      </w:r>
    </w:p>
    <w:p>
      <w:pPr>
        <w:pStyle w:val="ListParagraph"/>
        <w:numPr>
          <w:ilvl w:val="1"/>
          <w:numId w:val="16"/>
        </w:numPr>
        <w:tabs>
          <w:tab w:pos="2381" w:val="left" w:leader="none"/>
          <w:tab w:pos="2382" w:val="left" w:leader="none"/>
        </w:tabs>
        <w:spacing w:line="242" w:lineRule="auto" w:before="115" w:after="0"/>
        <w:ind w:left="2381" w:right="1781" w:hanging="794"/>
        <w:jc w:val="left"/>
        <w:rPr>
          <w:sz w:val="21"/>
        </w:rPr>
      </w:pPr>
      <w:r>
        <w:rPr>
          <w:w w:val="105"/>
          <w:sz w:val="21"/>
        </w:rPr>
        <w:t>The </w:t>
      </w:r>
      <w:r>
        <w:rPr>
          <w:spacing w:val="-3"/>
          <w:w w:val="105"/>
          <w:sz w:val="21"/>
        </w:rPr>
        <w:t>Queensland </w:t>
      </w:r>
      <w:r>
        <w:rPr>
          <w:w w:val="105"/>
          <w:sz w:val="21"/>
        </w:rPr>
        <w:t>Act states </w:t>
      </w:r>
      <w:r>
        <w:rPr>
          <w:spacing w:val="-3"/>
          <w:w w:val="105"/>
          <w:sz w:val="21"/>
        </w:rPr>
        <w:t>that </w:t>
      </w:r>
      <w:r>
        <w:rPr>
          <w:w w:val="105"/>
          <w:sz w:val="21"/>
        </w:rPr>
        <w:t>the tree owner is </w:t>
      </w:r>
      <w:r>
        <w:rPr>
          <w:spacing w:val="-3"/>
          <w:w w:val="105"/>
          <w:sz w:val="21"/>
        </w:rPr>
        <w:t>responsible for </w:t>
      </w:r>
      <w:r>
        <w:rPr>
          <w:w w:val="105"/>
          <w:sz w:val="21"/>
        </w:rPr>
        <w:t>cutting and </w:t>
      </w:r>
      <w:r>
        <w:rPr>
          <w:spacing w:val="-3"/>
          <w:w w:val="105"/>
          <w:sz w:val="21"/>
        </w:rPr>
        <w:t>removing any branches </w:t>
      </w:r>
      <w:r>
        <w:rPr>
          <w:w w:val="105"/>
          <w:sz w:val="21"/>
        </w:rPr>
        <w:t>of the tree </w:t>
      </w:r>
      <w:r>
        <w:rPr>
          <w:spacing w:val="-3"/>
          <w:w w:val="105"/>
          <w:sz w:val="21"/>
        </w:rPr>
        <w:t>that overhang </w:t>
      </w:r>
      <w:r>
        <w:rPr>
          <w:w w:val="105"/>
          <w:sz w:val="21"/>
        </w:rPr>
        <w:t>a </w:t>
      </w:r>
      <w:r>
        <w:rPr>
          <w:spacing w:val="-3"/>
          <w:w w:val="105"/>
          <w:sz w:val="21"/>
        </w:rPr>
        <w:t>neighbour’s land, </w:t>
      </w:r>
      <w:r>
        <w:rPr>
          <w:w w:val="105"/>
          <w:sz w:val="21"/>
        </w:rPr>
        <w:t>and </w:t>
      </w:r>
      <w:r>
        <w:rPr>
          <w:spacing w:val="-3"/>
          <w:w w:val="105"/>
          <w:sz w:val="21"/>
        </w:rPr>
        <w:t>ensuring that </w:t>
      </w:r>
      <w:r>
        <w:rPr>
          <w:w w:val="105"/>
          <w:sz w:val="21"/>
        </w:rPr>
        <w:t>the tree does</w:t>
      </w:r>
      <w:r>
        <w:rPr>
          <w:spacing w:val="-6"/>
          <w:w w:val="105"/>
          <w:sz w:val="21"/>
        </w:rPr>
        <w:t> </w:t>
      </w:r>
      <w:r>
        <w:rPr>
          <w:spacing w:val="-2"/>
          <w:w w:val="105"/>
          <w:sz w:val="21"/>
        </w:rPr>
        <w:t>not</w:t>
      </w:r>
      <w:r>
        <w:rPr>
          <w:spacing w:val="-6"/>
          <w:w w:val="105"/>
          <w:sz w:val="21"/>
        </w:rPr>
        <w:t> </w:t>
      </w:r>
      <w:r>
        <w:rPr>
          <w:w w:val="105"/>
          <w:sz w:val="21"/>
        </w:rPr>
        <w:t>cause</w:t>
      </w:r>
      <w:r>
        <w:rPr>
          <w:spacing w:val="-6"/>
          <w:w w:val="105"/>
          <w:sz w:val="21"/>
        </w:rPr>
        <w:t> </w:t>
      </w:r>
      <w:r>
        <w:rPr>
          <w:w w:val="105"/>
          <w:sz w:val="21"/>
        </w:rPr>
        <w:t>serious</w:t>
      </w:r>
      <w:r>
        <w:rPr>
          <w:spacing w:val="-6"/>
          <w:w w:val="105"/>
          <w:sz w:val="21"/>
        </w:rPr>
        <w:t> </w:t>
      </w:r>
      <w:r>
        <w:rPr>
          <w:w w:val="105"/>
          <w:sz w:val="21"/>
        </w:rPr>
        <w:t>injury</w:t>
      </w:r>
      <w:r>
        <w:rPr>
          <w:spacing w:val="-6"/>
          <w:w w:val="105"/>
          <w:sz w:val="21"/>
        </w:rPr>
        <w:t> </w:t>
      </w:r>
      <w:r>
        <w:rPr>
          <w:spacing w:val="-3"/>
          <w:w w:val="105"/>
          <w:sz w:val="21"/>
        </w:rPr>
        <w:t>to</w:t>
      </w:r>
      <w:r>
        <w:rPr>
          <w:spacing w:val="-6"/>
          <w:w w:val="105"/>
          <w:sz w:val="21"/>
        </w:rPr>
        <w:t> </w:t>
      </w:r>
      <w:r>
        <w:rPr>
          <w:w w:val="105"/>
          <w:sz w:val="21"/>
        </w:rPr>
        <w:t>a</w:t>
      </w:r>
      <w:r>
        <w:rPr>
          <w:spacing w:val="-6"/>
          <w:w w:val="105"/>
          <w:sz w:val="21"/>
        </w:rPr>
        <w:t> </w:t>
      </w:r>
      <w:r>
        <w:rPr>
          <w:w w:val="105"/>
          <w:sz w:val="21"/>
        </w:rPr>
        <w:t>person</w:t>
      </w:r>
      <w:r>
        <w:rPr>
          <w:spacing w:val="-6"/>
          <w:w w:val="105"/>
          <w:sz w:val="21"/>
        </w:rPr>
        <w:t> </w:t>
      </w:r>
      <w:r>
        <w:rPr>
          <w:w w:val="105"/>
          <w:sz w:val="21"/>
        </w:rPr>
        <w:t>or</w:t>
      </w:r>
      <w:r>
        <w:rPr>
          <w:spacing w:val="-6"/>
          <w:w w:val="105"/>
          <w:sz w:val="21"/>
        </w:rPr>
        <w:t> </w:t>
      </w:r>
      <w:r>
        <w:rPr>
          <w:w w:val="105"/>
          <w:sz w:val="21"/>
        </w:rPr>
        <w:t>damage</w:t>
      </w:r>
      <w:r>
        <w:rPr>
          <w:spacing w:val="-6"/>
          <w:w w:val="105"/>
          <w:sz w:val="21"/>
        </w:rPr>
        <w:t> </w:t>
      </w:r>
      <w:r>
        <w:rPr>
          <w:spacing w:val="-3"/>
          <w:w w:val="105"/>
          <w:sz w:val="21"/>
        </w:rPr>
        <w:t>to</w:t>
      </w:r>
      <w:r>
        <w:rPr>
          <w:spacing w:val="-6"/>
          <w:w w:val="105"/>
          <w:sz w:val="21"/>
        </w:rPr>
        <w:t> </w:t>
      </w:r>
      <w:r>
        <w:rPr>
          <w:w w:val="105"/>
          <w:sz w:val="21"/>
        </w:rPr>
        <w:t>property</w:t>
      </w:r>
      <w:r>
        <w:rPr>
          <w:spacing w:val="-6"/>
          <w:w w:val="105"/>
          <w:sz w:val="21"/>
        </w:rPr>
        <w:t> </w:t>
      </w:r>
      <w:r>
        <w:rPr>
          <w:w w:val="105"/>
          <w:sz w:val="21"/>
        </w:rPr>
        <w:t>or</w:t>
      </w:r>
      <w:r>
        <w:rPr>
          <w:spacing w:val="-6"/>
          <w:w w:val="105"/>
          <w:sz w:val="21"/>
        </w:rPr>
        <w:t> </w:t>
      </w:r>
      <w:r>
        <w:rPr>
          <w:spacing w:val="-3"/>
          <w:w w:val="105"/>
          <w:sz w:val="21"/>
        </w:rPr>
        <w:t>substantial,</w:t>
      </w:r>
      <w:r>
        <w:rPr>
          <w:spacing w:val="-6"/>
          <w:w w:val="105"/>
          <w:sz w:val="21"/>
        </w:rPr>
        <w:t> </w:t>
      </w:r>
      <w:r>
        <w:rPr>
          <w:w w:val="105"/>
          <w:sz w:val="21"/>
        </w:rPr>
        <w:t>ongoing and </w:t>
      </w:r>
      <w:r>
        <w:rPr>
          <w:spacing w:val="-3"/>
          <w:w w:val="105"/>
          <w:sz w:val="21"/>
        </w:rPr>
        <w:t>unreasonable interference </w:t>
      </w:r>
      <w:r>
        <w:rPr>
          <w:w w:val="105"/>
          <w:sz w:val="21"/>
        </w:rPr>
        <w:t>with a </w:t>
      </w:r>
      <w:r>
        <w:rPr>
          <w:spacing w:val="-3"/>
          <w:w w:val="105"/>
          <w:sz w:val="21"/>
        </w:rPr>
        <w:t>person’s </w:t>
      </w:r>
      <w:r>
        <w:rPr>
          <w:w w:val="105"/>
          <w:sz w:val="21"/>
        </w:rPr>
        <w:t>use and </w:t>
      </w:r>
      <w:r>
        <w:rPr>
          <w:spacing w:val="-2"/>
          <w:w w:val="105"/>
          <w:sz w:val="21"/>
        </w:rPr>
        <w:t>enjoyment </w:t>
      </w:r>
      <w:r>
        <w:rPr>
          <w:w w:val="105"/>
          <w:sz w:val="21"/>
        </w:rPr>
        <w:t>of their land.</w:t>
      </w:r>
      <w:r>
        <w:rPr>
          <w:w w:val="105"/>
          <w:position w:val="7"/>
          <w:sz w:val="12"/>
        </w:rPr>
        <w:t>44 </w:t>
      </w:r>
      <w:r>
        <w:rPr>
          <w:w w:val="105"/>
          <w:sz w:val="21"/>
        </w:rPr>
        <w:t>The Act clearly states </w:t>
      </w:r>
      <w:r>
        <w:rPr>
          <w:spacing w:val="-3"/>
          <w:w w:val="105"/>
          <w:sz w:val="21"/>
        </w:rPr>
        <w:t>that </w:t>
      </w:r>
      <w:r>
        <w:rPr>
          <w:w w:val="105"/>
          <w:sz w:val="21"/>
        </w:rPr>
        <w:t>a </w:t>
      </w:r>
      <w:r>
        <w:rPr>
          <w:spacing w:val="-3"/>
          <w:w w:val="105"/>
          <w:sz w:val="21"/>
        </w:rPr>
        <w:t>separate </w:t>
      </w:r>
      <w:r>
        <w:rPr>
          <w:w w:val="105"/>
          <w:sz w:val="21"/>
        </w:rPr>
        <w:t>cause of action is </w:t>
      </w:r>
      <w:r>
        <w:rPr>
          <w:spacing w:val="-2"/>
          <w:w w:val="105"/>
          <w:sz w:val="21"/>
        </w:rPr>
        <w:t>not </w:t>
      </w:r>
      <w:r>
        <w:rPr>
          <w:spacing w:val="-3"/>
          <w:w w:val="105"/>
          <w:sz w:val="21"/>
        </w:rPr>
        <w:t>created for </w:t>
      </w:r>
      <w:r>
        <w:rPr>
          <w:w w:val="105"/>
          <w:sz w:val="21"/>
        </w:rPr>
        <w:t>a </w:t>
      </w:r>
      <w:r>
        <w:rPr>
          <w:spacing w:val="-3"/>
          <w:w w:val="105"/>
          <w:sz w:val="21"/>
        </w:rPr>
        <w:t>breach </w:t>
      </w:r>
      <w:r>
        <w:rPr>
          <w:w w:val="105"/>
          <w:sz w:val="21"/>
        </w:rPr>
        <w:t>of </w:t>
      </w:r>
      <w:r>
        <w:rPr>
          <w:spacing w:val="-3"/>
          <w:w w:val="105"/>
          <w:sz w:val="21"/>
        </w:rPr>
        <w:t>any </w:t>
      </w:r>
      <w:r>
        <w:rPr>
          <w:w w:val="105"/>
          <w:sz w:val="21"/>
        </w:rPr>
        <w:t>of these</w:t>
      </w:r>
      <w:r>
        <w:rPr>
          <w:spacing w:val="5"/>
          <w:w w:val="105"/>
          <w:sz w:val="21"/>
        </w:rPr>
        <w:t> </w:t>
      </w:r>
      <w:r>
        <w:rPr>
          <w:spacing w:val="-3"/>
          <w:w w:val="105"/>
          <w:sz w:val="21"/>
        </w:rPr>
        <w:t>responsibilities.</w:t>
      </w:r>
      <w:r>
        <w:rPr>
          <w:spacing w:val="-3"/>
          <w:w w:val="105"/>
          <w:position w:val="7"/>
          <w:sz w:val="12"/>
        </w:rPr>
        <w:t>45</w:t>
      </w:r>
    </w:p>
    <w:p>
      <w:pPr>
        <w:pStyle w:val="ListParagraph"/>
        <w:numPr>
          <w:ilvl w:val="1"/>
          <w:numId w:val="16"/>
        </w:numPr>
        <w:tabs>
          <w:tab w:pos="2382" w:val="left" w:leader="none"/>
        </w:tabs>
        <w:spacing w:line="242" w:lineRule="auto" w:before="127" w:after="0"/>
        <w:ind w:left="2381" w:right="1616" w:hanging="794"/>
        <w:jc w:val="both"/>
        <w:rPr>
          <w:sz w:val="21"/>
        </w:rPr>
      </w:pPr>
      <w:r>
        <w:rPr>
          <w:w w:val="105"/>
          <w:sz w:val="21"/>
        </w:rPr>
        <w:t>The</w:t>
      </w:r>
      <w:r>
        <w:rPr>
          <w:spacing w:val="-10"/>
          <w:w w:val="105"/>
          <w:sz w:val="21"/>
        </w:rPr>
        <w:t> </w:t>
      </w:r>
      <w:r>
        <w:rPr>
          <w:spacing w:val="-4"/>
          <w:w w:val="105"/>
          <w:sz w:val="21"/>
        </w:rPr>
        <w:t>Tasmanian</w:t>
      </w:r>
      <w:r>
        <w:rPr>
          <w:spacing w:val="-10"/>
          <w:w w:val="105"/>
          <w:sz w:val="21"/>
        </w:rPr>
        <w:t> </w:t>
      </w:r>
      <w:r>
        <w:rPr>
          <w:w w:val="105"/>
          <w:sz w:val="21"/>
        </w:rPr>
        <w:t>Act</w:t>
      </w:r>
      <w:r>
        <w:rPr>
          <w:spacing w:val="-10"/>
          <w:w w:val="105"/>
          <w:sz w:val="21"/>
        </w:rPr>
        <w:t> </w:t>
      </w:r>
      <w:r>
        <w:rPr>
          <w:w w:val="105"/>
          <w:sz w:val="21"/>
        </w:rPr>
        <w:t>also</w:t>
      </w:r>
      <w:r>
        <w:rPr>
          <w:spacing w:val="-10"/>
          <w:w w:val="105"/>
          <w:sz w:val="21"/>
        </w:rPr>
        <w:t> </w:t>
      </w:r>
      <w:r>
        <w:rPr>
          <w:spacing w:val="-3"/>
          <w:w w:val="105"/>
          <w:sz w:val="21"/>
        </w:rPr>
        <w:t>includes</w:t>
      </w:r>
      <w:r>
        <w:rPr>
          <w:spacing w:val="-10"/>
          <w:w w:val="105"/>
          <w:sz w:val="21"/>
        </w:rPr>
        <w:t> </w:t>
      </w:r>
      <w:r>
        <w:rPr>
          <w:spacing w:val="-3"/>
          <w:w w:val="105"/>
          <w:sz w:val="21"/>
        </w:rPr>
        <w:t>responsibilities</w:t>
      </w:r>
      <w:r>
        <w:rPr>
          <w:spacing w:val="-10"/>
          <w:w w:val="105"/>
          <w:sz w:val="21"/>
        </w:rPr>
        <w:t> </w:t>
      </w:r>
      <w:r>
        <w:rPr>
          <w:spacing w:val="-3"/>
          <w:w w:val="105"/>
          <w:sz w:val="21"/>
        </w:rPr>
        <w:t>for</w:t>
      </w:r>
      <w:r>
        <w:rPr>
          <w:spacing w:val="-10"/>
          <w:w w:val="105"/>
          <w:sz w:val="21"/>
        </w:rPr>
        <w:t> </w:t>
      </w:r>
      <w:r>
        <w:rPr>
          <w:w w:val="105"/>
          <w:sz w:val="21"/>
        </w:rPr>
        <w:t>tree</w:t>
      </w:r>
      <w:r>
        <w:rPr>
          <w:spacing w:val="-9"/>
          <w:w w:val="105"/>
          <w:sz w:val="21"/>
        </w:rPr>
        <w:t> </w:t>
      </w:r>
      <w:r>
        <w:rPr>
          <w:w w:val="105"/>
          <w:sz w:val="21"/>
        </w:rPr>
        <w:t>owners.</w:t>
      </w:r>
      <w:r>
        <w:rPr>
          <w:spacing w:val="-10"/>
          <w:w w:val="105"/>
          <w:sz w:val="21"/>
        </w:rPr>
        <w:t> </w:t>
      </w:r>
      <w:r>
        <w:rPr>
          <w:w w:val="105"/>
          <w:sz w:val="21"/>
        </w:rPr>
        <w:t>The</w:t>
      </w:r>
      <w:r>
        <w:rPr>
          <w:spacing w:val="-10"/>
          <w:w w:val="105"/>
          <w:sz w:val="21"/>
        </w:rPr>
        <w:t> </w:t>
      </w:r>
      <w:r>
        <w:rPr>
          <w:spacing w:val="-3"/>
          <w:w w:val="105"/>
          <w:sz w:val="21"/>
        </w:rPr>
        <w:t>responsibilities</w:t>
      </w:r>
      <w:r>
        <w:rPr>
          <w:spacing w:val="-10"/>
          <w:w w:val="105"/>
          <w:sz w:val="21"/>
        </w:rPr>
        <w:t> </w:t>
      </w:r>
      <w:r>
        <w:rPr>
          <w:w w:val="105"/>
          <w:sz w:val="21"/>
        </w:rPr>
        <w:t>under the </w:t>
      </w:r>
      <w:r>
        <w:rPr>
          <w:spacing w:val="-4"/>
          <w:w w:val="105"/>
          <w:sz w:val="21"/>
        </w:rPr>
        <w:t>Tasmanian </w:t>
      </w:r>
      <w:r>
        <w:rPr>
          <w:w w:val="105"/>
          <w:sz w:val="21"/>
        </w:rPr>
        <w:t>Act essentially </w:t>
      </w:r>
      <w:r>
        <w:rPr>
          <w:spacing w:val="-3"/>
          <w:w w:val="105"/>
          <w:sz w:val="21"/>
        </w:rPr>
        <w:t>mirror </w:t>
      </w:r>
      <w:r>
        <w:rPr>
          <w:w w:val="105"/>
          <w:sz w:val="21"/>
        </w:rPr>
        <w:t>those under the </w:t>
      </w:r>
      <w:r>
        <w:rPr>
          <w:spacing w:val="-3"/>
          <w:w w:val="105"/>
          <w:sz w:val="21"/>
        </w:rPr>
        <w:t>Queensland </w:t>
      </w:r>
      <w:r>
        <w:rPr>
          <w:w w:val="105"/>
          <w:sz w:val="21"/>
        </w:rPr>
        <w:t>Act and do </w:t>
      </w:r>
      <w:r>
        <w:rPr>
          <w:spacing w:val="-2"/>
          <w:w w:val="105"/>
          <w:sz w:val="21"/>
        </w:rPr>
        <w:t>not </w:t>
      </w:r>
      <w:r>
        <w:rPr>
          <w:spacing w:val="-3"/>
          <w:w w:val="105"/>
          <w:sz w:val="21"/>
        </w:rPr>
        <w:t>create </w:t>
      </w:r>
      <w:r>
        <w:rPr>
          <w:w w:val="105"/>
          <w:sz w:val="21"/>
        </w:rPr>
        <w:t>a </w:t>
      </w:r>
      <w:r>
        <w:rPr>
          <w:spacing w:val="-3"/>
          <w:w w:val="105"/>
          <w:sz w:val="21"/>
        </w:rPr>
        <w:t>separate </w:t>
      </w:r>
      <w:r>
        <w:rPr>
          <w:w w:val="105"/>
          <w:sz w:val="21"/>
        </w:rPr>
        <w:t>cause of action </w:t>
      </w:r>
      <w:r>
        <w:rPr>
          <w:spacing w:val="-3"/>
          <w:w w:val="105"/>
          <w:sz w:val="21"/>
        </w:rPr>
        <w:t>for </w:t>
      </w:r>
      <w:r>
        <w:rPr>
          <w:w w:val="105"/>
          <w:sz w:val="21"/>
        </w:rPr>
        <w:t>a </w:t>
      </w:r>
      <w:r>
        <w:rPr>
          <w:spacing w:val="-3"/>
          <w:w w:val="105"/>
          <w:sz w:val="21"/>
        </w:rPr>
        <w:t>breach </w:t>
      </w:r>
      <w:r>
        <w:rPr>
          <w:w w:val="105"/>
          <w:sz w:val="21"/>
        </w:rPr>
        <w:t>of </w:t>
      </w:r>
      <w:r>
        <w:rPr>
          <w:spacing w:val="-3"/>
          <w:w w:val="105"/>
          <w:sz w:val="21"/>
        </w:rPr>
        <w:t>any </w:t>
      </w:r>
      <w:r>
        <w:rPr>
          <w:w w:val="105"/>
          <w:sz w:val="21"/>
        </w:rPr>
        <w:t>of the</w:t>
      </w:r>
      <w:r>
        <w:rPr>
          <w:spacing w:val="37"/>
          <w:w w:val="105"/>
          <w:sz w:val="21"/>
        </w:rPr>
        <w:t> </w:t>
      </w:r>
      <w:r>
        <w:rPr>
          <w:w w:val="105"/>
          <w:sz w:val="21"/>
        </w:rPr>
        <w:t>responsibilities.</w:t>
      </w:r>
      <w:r>
        <w:rPr>
          <w:w w:val="105"/>
          <w:position w:val="7"/>
          <w:sz w:val="12"/>
        </w:rPr>
        <w:t>46</w:t>
      </w:r>
    </w:p>
    <w:p>
      <w:pPr>
        <w:pStyle w:val="BodyText"/>
        <w:spacing w:before="3"/>
        <w:rPr>
          <w:sz w:val="20"/>
        </w:rPr>
      </w:pPr>
    </w:p>
    <w:p>
      <w:pPr>
        <w:pStyle w:val="Heading5"/>
        <w:spacing w:before="1"/>
      </w:pPr>
      <w:r>
        <w:rPr>
          <w:w w:val="110"/>
        </w:rPr>
        <w:t>Branch removal notices in the interstate Acts</w:t>
      </w:r>
    </w:p>
    <w:p>
      <w:pPr>
        <w:pStyle w:val="ListParagraph"/>
        <w:numPr>
          <w:ilvl w:val="1"/>
          <w:numId w:val="16"/>
        </w:numPr>
        <w:tabs>
          <w:tab w:pos="2380" w:val="left" w:leader="none"/>
          <w:tab w:pos="2381" w:val="left" w:leader="none"/>
        </w:tabs>
        <w:spacing w:line="242" w:lineRule="auto" w:before="137" w:after="0"/>
        <w:ind w:left="2381" w:right="1848" w:hanging="794"/>
        <w:jc w:val="left"/>
        <w:rPr>
          <w:sz w:val="21"/>
        </w:rPr>
      </w:pPr>
      <w:r>
        <w:rPr>
          <w:w w:val="105"/>
          <w:sz w:val="21"/>
        </w:rPr>
        <w:t>The </w:t>
      </w:r>
      <w:r>
        <w:rPr>
          <w:spacing w:val="-3"/>
          <w:w w:val="105"/>
          <w:sz w:val="21"/>
        </w:rPr>
        <w:t>Queensland </w:t>
      </w:r>
      <w:r>
        <w:rPr>
          <w:w w:val="105"/>
          <w:sz w:val="21"/>
        </w:rPr>
        <w:t>and </w:t>
      </w:r>
      <w:r>
        <w:rPr>
          <w:spacing w:val="-4"/>
          <w:w w:val="105"/>
          <w:sz w:val="21"/>
        </w:rPr>
        <w:t>Tasmanian </w:t>
      </w:r>
      <w:r>
        <w:rPr>
          <w:w w:val="105"/>
          <w:sz w:val="21"/>
        </w:rPr>
        <w:t>Acts </w:t>
      </w:r>
      <w:r>
        <w:rPr>
          <w:spacing w:val="-3"/>
          <w:w w:val="105"/>
          <w:sz w:val="21"/>
        </w:rPr>
        <w:t>incorporate </w:t>
      </w:r>
      <w:r>
        <w:rPr>
          <w:w w:val="105"/>
          <w:sz w:val="21"/>
        </w:rPr>
        <w:t>a </w:t>
      </w:r>
      <w:r>
        <w:rPr>
          <w:spacing w:val="-3"/>
          <w:w w:val="105"/>
          <w:sz w:val="21"/>
        </w:rPr>
        <w:t>notice </w:t>
      </w:r>
      <w:r>
        <w:rPr>
          <w:w w:val="105"/>
          <w:sz w:val="21"/>
        </w:rPr>
        <w:t>process </w:t>
      </w:r>
      <w:r>
        <w:rPr>
          <w:spacing w:val="-3"/>
          <w:w w:val="105"/>
          <w:sz w:val="21"/>
        </w:rPr>
        <w:t>for </w:t>
      </w:r>
      <w:r>
        <w:rPr>
          <w:w w:val="105"/>
          <w:sz w:val="21"/>
        </w:rPr>
        <w:t>the </w:t>
      </w:r>
      <w:r>
        <w:rPr>
          <w:spacing w:val="-3"/>
          <w:w w:val="105"/>
          <w:sz w:val="21"/>
        </w:rPr>
        <w:t>removal </w:t>
      </w:r>
      <w:r>
        <w:rPr>
          <w:w w:val="105"/>
          <w:sz w:val="21"/>
        </w:rPr>
        <w:t>of certain </w:t>
      </w:r>
      <w:r>
        <w:rPr>
          <w:spacing w:val="-3"/>
          <w:w w:val="105"/>
          <w:sz w:val="21"/>
        </w:rPr>
        <w:t>overhanging branches. </w:t>
      </w:r>
      <w:r>
        <w:rPr>
          <w:w w:val="105"/>
          <w:sz w:val="21"/>
        </w:rPr>
        <w:t>These </w:t>
      </w:r>
      <w:r>
        <w:rPr>
          <w:spacing w:val="-3"/>
          <w:w w:val="105"/>
          <w:sz w:val="21"/>
        </w:rPr>
        <w:t>provisions </w:t>
      </w:r>
      <w:r>
        <w:rPr>
          <w:w w:val="105"/>
          <w:sz w:val="21"/>
        </w:rPr>
        <w:t>provide an affected </w:t>
      </w:r>
      <w:r>
        <w:rPr>
          <w:spacing w:val="-3"/>
          <w:w w:val="105"/>
          <w:sz w:val="21"/>
        </w:rPr>
        <w:t>neighbour </w:t>
      </w:r>
      <w:r>
        <w:rPr>
          <w:w w:val="105"/>
          <w:sz w:val="21"/>
        </w:rPr>
        <w:t>with a </w:t>
      </w:r>
      <w:r>
        <w:rPr>
          <w:spacing w:val="-3"/>
          <w:w w:val="105"/>
          <w:sz w:val="21"/>
        </w:rPr>
        <w:t>mechanism for </w:t>
      </w:r>
      <w:r>
        <w:rPr>
          <w:w w:val="105"/>
          <w:sz w:val="21"/>
        </w:rPr>
        <w:t>requesting the tree owner </w:t>
      </w:r>
      <w:r>
        <w:rPr>
          <w:spacing w:val="-3"/>
          <w:w w:val="105"/>
          <w:sz w:val="21"/>
        </w:rPr>
        <w:t>to </w:t>
      </w:r>
      <w:r>
        <w:rPr>
          <w:w w:val="105"/>
          <w:sz w:val="21"/>
        </w:rPr>
        <w:t>trim </w:t>
      </w:r>
      <w:r>
        <w:rPr>
          <w:spacing w:val="-3"/>
          <w:w w:val="105"/>
          <w:sz w:val="21"/>
        </w:rPr>
        <w:t>overhanging branches. </w:t>
      </w:r>
      <w:r>
        <w:rPr>
          <w:spacing w:val="-4"/>
          <w:w w:val="105"/>
          <w:sz w:val="21"/>
        </w:rPr>
        <w:t>Failure </w:t>
      </w:r>
      <w:r>
        <w:rPr>
          <w:spacing w:val="-3"/>
          <w:w w:val="105"/>
          <w:sz w:val="21"/>
        </w:rPr>
        <w:t>to </w:t>
      </w:r>
      <w:r>
        <w:rPr>
          <w:w w:val="105"/>
          <w:sz w:val="21"/>
        </w:rPr>
        <w:t>do so entitles the affected </w:t>
      </w:r>
      <w:r>
        <w:rPr>
          <w:spacing w:val="-3"/>
          <w:w w:val="105"/>
          <w:sz w:val="21"/>
        </w:rPr>
        <w:t>neighbour to </w:t>
      </w:r>
      <w:r>
        <w:rPr>
          <w:w w:val="105"/>
          <w:sz w:val="21"/>
        </w:rPr>
        <w:t>carry out the work themselves and </w:t>
      </w:r>
      <w:r>
        <w:rPr>
          <w:spacing w:val="-3"/>
          <w:w w:val="105"/>
          <w:sz w:val="21"/>
        </w:rPr>
        <w:t>recoup </w:t>
      </w:r>
      <w:r>
        <w:rPr>
          <w:w w:val="105"/>
          <w:sz w:val="21"/>
        </w:rPr>
        <w:t>the associated costs. This process was </w:t>
      </w:r>
      <w:r>
        <w:rPr>
          <w:spacing w:val="-3"/>
          <w:w w:val="105"/>
          <w:sz w:val="21"/>
        </w:rPr>
        <w:t>introduced </w:t>
      </w:r>
      <w:r>
        <w:rPr>
          <w:w w:val="105"/>
          <w:sz w:val="21"/>
        </w:rPr>
        <w:t>in </w:t>
      </w:r>
      <w:r>
        <w:rPr>
          <w:spacing w:val="-3"/>
          <w:w w:val="105"/>
          <w:sz w:val="21"/>
        </w:rPr>
        <w:t>Queensland to </w:t>
      </w:r>
      <w:r>
        <w:rPr>
          <w:w w:val="105"/>
          <w:sz w:val="21"/>
        </w:rPr>
        <w:t>help people who </w:t>
      </w:r>
      <w:r>
        <w:rPr>
          <w:spacing w:val="-2"/>
          <w:w w:val="105"/>
          <w:sz w:val="21"/>
        </w:rPr>
        <w:t>had </w:t>
      </w:r>
      <w:r>
        <w:rPr>
          <w:w w:val="105"/>
          <w:sz w:val="21"/>
        </w:rPr>
        <w:t>a </w:t>
      </w:r>
      <w:r>
        <w:rPr>
          <w:spacing w:val="-3"/>
          <w:w w:val="105"/>
          <w:sz w:val="21"/>
        </w:rPr>
        <w:t>right to abate </w:t>
      </w:r>
      <w:r>
        <w:rPr>
          <w:w w:val="105"/>
          <w:sz w:val="21"/>
        </w:rPr>
        <w:t>but </w:t>
      </w:r>
      <w:r>
        <w:rPr>
          <w:spacing w:val="-3"/>
          <w:w w:val="105"/>
          <w:sz w:val="21"/>
        </w:rPr>
        <w:t>were unable to </w:t>
      </w:r>
      <w:r>
        <w:rPr>
          <w:w w:val="105"/>
          <w:sz w:val="21"/>
        </w:rPr>
        <w:t>prune or </w:t>
      </w:r>
      <w:r>
        <w:rPr>
          <w:spacing w:val="-3"/>
          <w:w w:val="105"/>
          <w:sz w:val="21"/>
        </w:rPr>
        <w:t>remove overhanding branches</w:t>
      </w:r>
      <w:r>
        <w:rPr>
          <w:spacing w:val="-32"/>
          <w:w w:val="105"/>
          <w:sz w:val="21"/>
        </w:rPr>
        <w:t> </w:t>
      </w:r>
      <w:r>
        <w:rPr>
          <w:w w:val="105"/>
          <w:sz w:val="21"/>
        </w:rPr>
        <w:t>themselves.</w:t>
      </w:r>
      <w:r>
        <w:rPr>
          <w:w w:val="105"/>
          <w:position w:val="7"/>
          <w:sz w:val="12"/>
        </w:rPr>
        <w:t>47</w:t>
      </w:r>
    </w:p>
    <w:p>
      <w:pPr>
        <w:pStyle w:val="Heading7"/>
        <w:spacing w:before="157"/>
      </w:pPr>
      <w:r>
        <w:rPr>
          <w:w w:val="115"/>
        </w:rPr>
        <w:t>Branches need to be a particular size</w:t>
      </w:r>
    </w:p>
    <w:p>
      <w:pPr>
        <w:pStyle w:val="ListParagraph"/>
        <w:numPr>
          <w:ilvl w:val="1"/>
          <w:numId w:val="16"/>
        </w:numPr>
        <w:tabs>
          <w:tab w:pos="2382" w:val="left" w:leader="none"/>
        </w:tabs>
        <w:spacing w:line="242" w:lineRule="auto" w:before="143" w:after="0"/>
        <w:ind w:left="2381" w:right="2111" w:hanging="794"/>
        <w:jc w:val="both"/>
        <w:rPr>
          <w:sz w:val="21"/>
        </w:rPr>
      </w:pPr>
      <w:r>
        <w:rPr>
          <w:w w:val="105"/>
          <w:sz w:val="21"/>
        </w:rPr>
        <w:t>The </w:t>
      </w:r>
      <w:r>
        <w:rPr>
          <w:spacing w:val="-3"/>
          <w:w w:val="105"/>
          <w:sz w:val="21"/>
        </w:rPr>
        <w:t>overhanging branch </w:t>
      </w:r>
      <w:r>
        <w:rPr>
          <w:w w:val="105"/>
          <w:sz w:val="21"/>
        </w:rPr>
        <w:t>must be a maximum of </w:t>
      </w:r>
      <w:r>
        <w:rPr>
          <w:spacing w:val="-5"/>
          <w:w w:val="105"/>
          <w:sz w:val="21"/>
        </w:rPr>
        <w:t>2.5 </w:t>
      </w:r>
      <w:r>
        <w:rPr>
          <w:w w:val="105"/>
          <w:sz w:val="21"/>
        </w:rPr>
        <w:t>metres above </w:t>
      </w:r>
      <w:r>
        <w:rPr>
          <w:spacing w:val="-3"/>
          <w:w w:val="105"/>
          <w:sz w:val="21"/>
        </w:rPr>
        <w:t>ground </w:t>
      </w:r>
      <w:r>
        <w:rPr>
          <w:w w:val="105"/>
          <w:sz w:val="21"/>
        </w:rPr>
        <w:t>level and extend</w:t>
      </w:r>
      <w:r>
        <w:rPr>
          <w:spacing w:val="-6"/>
          <w:w w:val="105"/>
          <w:sz w:val="21"/>
        </w:rPr>
        <w:t> </w:t>
      </w:r>
      <w:r>
        <w:rPr>
          <w:w w:val="105"/>
          <w:sz w:val="21"/>
        </w:rPr>
        <w:t>over</w:t>
      </w:r>
      <w:r>
        <w:rPr>
          <w:spacing w:val="-5"/>
          <w:w w:val="105"/>
          <w:sz w:val="21"/>
        </w:rPr>
        <w:t> </w:t>
      </w:r>
      <w:r>
        <w:rPr>
          <w:w w:val="105"/>
          <w:sz w:val="21"/>
        </w:rPr>
        <w:t>the</w:t>
      </w:r>
      <w:r>
        <w:rPr>
          <w:spacing w:val="-5"/>
          <w:w w:val="105"/>
          <w:sz w:val="21"/>
        </w:rPr>
        <w:t> </w:t>
      </w:r>
      <w:r>
        <w:rPr>
          <w:w w:val="105"/>
          <w:sz w:val="21"/>
        </w:rPr>
        <w:t>affected</w:t>
      </w:r>
      <w:r>
        <w:rPr>
          <w:spacing w:val="-5"/>
          <w:w w:val="105"/>
          <w:sz w:val="21"/>
        </w:rPr>
        <w:t> </w:t>
      </w:r>
      <w:r>
        <w:rPr>
          <w:spacing w:val="-3"/>
          <w:w w:val="105"/>
          <w:sz w:val="21"/>
        </w:rPr>
        <w:t>neighbour’s</w:t>
      </w:r>
      <w:r>
        <w:rPr>
          <w:spacing w:val="-6"/>
          <w:w w:val="105"/>
          <w:sz w:val="21"/>
        </w:rPr>
        <w:t> </w:t>
      </w:r>
      <w:r>
        <w:rPr>
          <w:spacing w:val="-3"/>
          <w:w w:val="105"/>
          <w:sz w:val="21"/>
        </w:rPr>
        <w:t>land</w:t>
      </w:r>
      <w:r>
        <w:rPr>
          <w:spacing w:val="-5"/>
          <w:w w:val="105"/>
          <w:sz w:val="21"/>
        </w:rPr>
        <w:t> </w:t>
      </w:r>
      <w:r>
        <w:rPr>
          <w:w w:val="105"/>
          <w:sz w:val="21"/>
        </w:rPr>
        <w:t>at</w:t>
      </w:r>
      <w:r>
        <w:rPr>
          <w:spacing w:val="-5"/>
          <w:w w:val="105"/>
          <w:sz w:val="21"/>
        </w:rPr>
        <w:t> </w:t>
      </w:r>
      <w:r>
        <w:rPr>
          <w:w w:val="105"/>
          <w:sz w:val="21"/>
        </w:rPr>
        <w:t>least</w:t>
      </w:r>
      <w:r>
        <w:rPr>
          <w:spacing w:val="-5"/>
          <w:w w:val="105"/>
          <w:sz w:val="21"/>
        </w:rPr>
        <w:t> </w:t>
      </w:r>
      <w:r>
        <w:rPr>
          <w:w w:val="105"/>
          <w:sz w:val="21"/>
        </w:rPr>
        <w:t>50</w:t>
      </w:r>
      <w:r>
        <w:rPr>
          <w:spacing w:val="-6"/>
          <w:w w:val="105"/>
          <w:sz w:val="21"/>
        </w:rPr>
        <w:t> </w:t>
      </w:r>
      <w:r>
        <w:rPr>
          <w:spacing w:val="-3"/>
          <w:w w:val="105"/>
          <w:sz w:val="21"/>
        </w:rPr>
        <w:t>centimetres</w:t>
      </w:r>
      <w:r>
        <w:rPr>
          <w:spacing w:val="-5"/>
          <w:w w:val="105"/>
          <w:sz w:val="21"/>
        </w:rPr>
        <w:t> </w:t>
      </w:r>
      <w:r>
        <w:rPr>
          <w:spacing w:val="-3"/>
          <w:w w:val="105"/>
          <w:sz w:val="21"/>
        </w:rPr>
        <w:t>from</w:t>
      </w:r>
      <w:r>
        <w:rPr>
          <w:spacing w:val="-5"/>
          <w:w w:val="105"/>
          <w:sz w:val="21"/>
        </w:rPr>
        <w:t> </w:t>
      </w:r>
      <w:r>
        <w:rPr>
          <w:w w:val="105"/>
          <w:sz w:val="21"/>
        </w:rPr>
        <w:t>the</w:t>
      </w:r>
      <w:r>
        <w:rPr>
          <w:spacing w:val="-5"/>
          <w:w w:val="105"/>
          <w:sz w:val="21"/>
        </w:rPr>
        <w:t> </w:t>
      </w:r>
      <w:r>
        <w:rPr>
          <w:spacing w:val="-2"/>
          <w:w w:val="105"/>
          <w:sz w:val="21"/>
        </w:rPr>
        <w:t>common </w:t>
      </w:r>
      <w:r>
        <w:rPr>
          <w:w w:val="105"/>
          <w:sz w:val="21"/>
        </w:rPr>
        <w:t>boundary.</w:t>
      </w:r>
      <w:r>
        <w:rPr>
          <w:w w:val="105"/>
          <w:position w:val="7"/>
          <w:sz w:val="12"/>
        </w:rPr>
        <w:t>48</w:t>
      </w:r>
    </w:p>
    <w:p>
      <w:pPr>
        <w:pStyle w:val="ListParagraph"/>
        <w:numPr>
          <w:ilvl w:val="1"/>
          <w:numId w:val="16"/>
        </w:numPr>
        <w:tabs>
          <w:tab w:pos="2381" w:val="left" w:leader="none"/>
          <w:tab w:pos="2382" w:val="left" w:leader="none"/>
        </w:tabs>
        <w:spacing w:line="242" w:lineRule="auto" w:before="123" w:after="0"/>
        <w:ind w:left="2381" w:right="1864" w:hanging="794"/>
        <w:jc w:val="left"/>
        <w:rPr>
          <w:sz w:val="21"/>
        </w:rPr>
      </w:pPr>
      <w:r>
        <w:rPr>
          <w:w w:val="105"/>
          <w:sz w:val="21"/>
        </w:rPr>
        <w:t>The maximum </w:t>
      </w:r>
      <w:r>
        <w:rPr>
          <w:spacing w:val="-3"/>
          <w:w w:val="105"/>
          <w:sz w:val="21"/>
        </w:rPr>
        <w:t>height </w:t>
      </w:r>
      <w:r>
        <w:rPr>
          <w:w w:val="105"/>
          <w:sz w:val="21"/>
        </w:rPr>
        <w:t>and </w:t>
      </w:r>
      <w:r>
        <w:rPr>
          <w:spacing w:val="-3"/>
          <w:w w:val="105"/>
          <w:sz w:val="21"/>
        </w:rPr>
        <w:t>minimum </w:t>
      </w:r>
      <w:r>
        <w:rPr>
          <w:w w:val="105"/>
          <w:sz w:val="21"/>
        </w:rPr>
        <w:t>length </w:t>
      </w:r>
      <w:r>
        <w:rPr>
          <w:spacing w:val="-3"/>
          <w:w w:val="105"/>
          <w:sz w:val="21"/>
        </w:rPr>
        <w:t>requirements aim to capture </w:t>
      </w:r>
      <w:r>
        <w:rPr>
          <w:w w:val="105"/>
          <w:sz w:val="21"/>
        </w:rPr>
        <w:t>the spaces </w:t>
      </w:r>
      <w:r>
        <w:rPr>
          <w:spacing w:val="-3"/>
          <w:w w:val="105"/>
          <w:sz w:val="21"/>
        </w:rPr>
        <w:t>that are frequently </w:t>
      </w:r>
      <w:r>
        <w:rPr>
          <w:w w:val="105"/>
          <w:sz w:val="21"/>
        </w:rPr>
        <w:t>encroached upon by </w:t>
      </w:r>
      <w:r>
        <w:rPr>
          <w:spacing w:val="-3"/>
          <w:w w:val="105"/>
          <w:sz w:val="21"/>
        </w:rPr>
        <w:t>overhanging branches. </w:t>
      </w:r>
      <w:r>
        <w:rPr>
          <w:w w:val="105"/>
          <w:sz w:val="21"/>
        </w:rPr>
        <w:t>The QLRC explained </w:t>
      </w:r>
      <w:r>
        <w:rPr>
          <w:spacing w:val="-3"/>
          <w:w w:val="105"/>
          <w:sz w:val="21"/>
        </w:rPr>
        <w:t>that </w:t>
      </w:r>
      <w:r>
        <w:rPr>
          <w:spacing w:val="-4"/>
          <w:w w:val="105"/>
          <w:sz w:val="21"/>
        </w:rPr>
        <w:t>‘overhanging </w:t>
      </w:r>
      <w:r>
        <w:rPr>
          <w:spacing w:val="-3"/>
          <w:w w:val="105"/>
          <w:sz w:val="21"/>
        </w:rPr>
        <w:t>branches that are </w:t>
      </w:r>
      <w:r>
        <w:rPr>
          <w:spacing w:val="-5"/>
          <w:w w:val="105"/>
          <w:sz w:val="21"/>
        </w:rPr>
        <w:t>2.5 </w:t>
      </w:r>
      <w:r>
        <w:rPr>
          <w:w w:val="105"/>
          <w:sz w:val="21"/>
        </w:rPr>
        <w:t>metres or less above the </w:t>
      </w:r>
      <w:r>
        <w:rPr>
          <w:spacing w:val="-3"/>
          <w:w w:val="105"/>
          <w:sz w:val="21"/>
        </w:rPr>
        <w:t>ground may </w:t>
      </w:r>
      <w:r>
        <w:rPr>
          <w:w w:val="105"/>
          <w:sz w:val="21"/>
        </w:rPr>
        <w:t>impede the</w:t>
      </w:r>
      <w:r>
        <w:rPr>
          <w:spacing w:val="-4"/>
          <w:w w:val="105"/>
          <w:sz w:val="21"/>
        </w:rPr>
        <w:t> </w:t>
      </w:r>
      <w:r>
        <w:rPr>
          <w:w w:val="105"/>
          <w:sz w:val="21"/>
        </w:rPr>
        <w:t>passage</w:t>
      </w:r>
      <w:r>
        <w:rPr>
          <w:spacing w:val="-4"/>
          <w:w w:val="105"/>
          <w:sz w:val="21"/>
        </w:rPr>
        <w:t> </w:t>
      </w:r>
      <w:r>
        <w:rPr>
          <w:w w:val="105"/>
          <w:sz w:val="21"/>
        </w:rPr>
        <w:t>of</w:t>
      </w:r>
      <w:r>
        <w:rPr>
          <w:spacing w:val="-4"/>
          <w:w w:val="105"/>
          <w:sz w:val="21"/>
        </w:rPr>
        <w:t> </w:t>
      </w:r>
      <w:r>
        <w:rPr>
          <w:w w:val="105"/>
          <w:sz w:val="21"/>
        </w:rPr>
        <w:t>a</w:t>
      </w:r>
      <w:r>
        <w:rPr>
          <w:spacing w:val="-3"/>
          <w:w w:val="105"/>
          <w:sz w:val="21"/>
        </w:rPr>
        <w:t> </w:t>
      </w:r>
      <w:r>
        <w:rPr>
          <w:w w:val="105"/>
          <w:sz w:val="21"/>
        </w:rPr>
        <w:t>person</w:t>
      </w:r>
      <w:r>
        <w:rPr>
          <w:spacing w:val="-4"/>
          <w:w w:val="105"/>
          <w:sz w:val="21"/>
        </w:rPr>
        <w:t> </w:t>
      </w:r>
      <w:r>
        <w:rPr>
          <w:w w:val="105"/>
          <w:sz w:val="21"/>
        </w:rPr>
        <w:t>or</w:t>
      </w:r>
      <w:r>
        <w:rPr>
          <w:spacing w:val="-4"/>
          <w:w w:val="105"/>
          <w:sz w:val="21"/>
        </w:rPr>
        <w:t> </w:t>
      </w:r>
      <w:r>
        <w:rPr>
          <w:spacing w:val="-3"/>
          <w:w w:val="105"/>
          <w:sz w:val="21"/>
        </w:rPr>
        <w:t>vehicle. </w:t>
      </w:r>
      <w:r>
        <w:rPr>
          <w:w w:val="105"/>
          <w:sz w:val="21"/>
        </w:rPr>
        <w:t>It</w:t>
      </w:r>
      <w:r>
        <w:rPr>
          <w:spacing w:val="-4"/>
          <w:w w:val="105"/>
          <w:sz w:val="21"/>
        </w:rPr>
        <w:t> </w:t>
      </w:r>
      <w:r>
        <w:rPr>
          <w:w w:val="105"/>
          <w:sz w:val="21"/>
        </w:rPr>
        <w:t>is</w:t>
      </w:r>
      <w:r>
        <w:rPr>
          <w:spacing w:val="-4"/>
          <w:w w:val="105"/>
          <w:sz w:val="21"/>
        </w:rPr>
        <w:t> </w:t>
      </w:r>
      <w:r>
        <w:rPr>
          <w:w w:val="105"/>
          <w:sz w:val="21"/>
        </w:rPr>
        <w:t>also</w:t>
      </w:r>
      <w:r>
        <w:rPr>
          <w:spacing w:val="-3"/>
          <w:w w:val="105"/>
          <w:sz w:val="21"/>
        </w:rPr>
        <w:t> </w:t>
      </w:r>
      <w:r>
        <w:rPr>
          <w:w w:val="105"/>
          <w:sz w:val="21"/>
        </w:rPr>
        <w:t>a</w:t>
      </w:r>
      <w:r>
        <w:rPr>
          <w:spacing w:val="-4"/>
          <w:w w:val="105"/>
          <w:sz w:val="21"/>
        </w:rPr>
        <w:t> </w:t>
      </w:r>
      <w:r>
        <w:rPr>
          <w:w w:val="105"/>
          <w:sz w:val="21"/>
        </w:rPr>
        <w:t>lower</w:t>
      </w:r>
      <w:r>
        <w:rPr>
          <w:spacing w:val="-4"/>
          <w:w w:val="105"/>
          <w:sz w:val="21"/>
        </w:rPr>
        <w:t> </w:t>
      </w:r>
      <w:r>
        <w:rPr>
          <w:w w:val="105"/>
          <w:sz w:val="21"/>
        </w:rPr>
        <w:t>and</w:t>
      </w:r>
      <w:r>
        <w:rPr>
          <w:spacing w:val="-4"/>
          <w:w w:val="105"/>
          <w:sz w:val="21"/>
        </w:rPr>
        <w:t> </w:t>
      </w:r>
      <w:r>
        <w:rPr>
          <w:w w:val="105"/>
          <w:sz w:val="21"/>
        </w:rPr>
        <w:t>safer</w:t>
      </w:r>
      <w:r>
        <w:rPr>
          <w:spacing w:val="-3"/>
          <w:w w:val="105"/>
          <w:sz w:val="21"/>
        </w:rPr>
        <w:t> height</w:t>
      </w:r>
      <w:r>
        <w:rPr>
          <w:spacing w:val="-4"/>
          <w:w w:val="105"/>
          <w:sz w:val="21"/>
        </w:rPr>
        <w:t> </w:t>
      </w:r>
      <w:r>
        <w:rPr>
          <w:spacing w:val="-3"/>
          <w:w w:val="105"/>
          <w:sz w:val="21"/>
        </w:rPr>
        <w:t>range</w:t>
      </w:r>
      <w:r>
        <w:rPr>
          <w:spacing w:val="-4"/>
          <w:w w:val="105"/>
          <w:sz w:val="21"/>
        </w:rPr>
        <w:t> </w:t>
      </w:r>
      <w:r>
        <w:rPr>
          <w:spacing w:val="-3"/>
          <w:w w:val="105"/>
          <w:sz w:val="21"/>
        </w:rPr>
        <w:t>to </w:t>
      </w:r>
      <w:r>
        <w:rPr>
          <w:w w:val="105"/>
          <w:sz w:val="21"/>
        </w:rPr>
        <w:t>carry</w:t>
      </w:r>
      <w:r>
        <w:rPr>
          <w:spacing w:val="-4"/>
          <w:w w:val="105"/>
          <w:sz w:val="21"/>
        </w:rPr>
        <w:t> </w:t>
      </w:r>
      <w:r>
        <w:rPr>
          <w:w w:val="105"/>
          <w:sz w:val="21"/>
        </w:rPr>
        <w:t>out the work of cutting and </w:t>
      </w:r>
      <w:r>
        <w:rPr>
          <w:spacing w:val="-3"/>
          <w:w w:val="105"/>
          <w:sz w:val="21"/>
        </w:rPr>
        <w:t>removing </w:t>
      </w:r>
      <w:r>
        <w:rPr>
          <w:w w:val="105"/>
          <w:sz w:val="21"/>
        </w:rPr>
        <w:t>the </w:t>
      </w:r>
      <w:r>
        <w:rPr>
          <w:spacing w:val="-4"/>
          <w:w w:val="105"/>
          <w:sz w:val="21"/>
        </w:rPr>
        <w:t>branches’.</w:t>
      </w:r>
      <w:r>
        <w:rPr>
          <w:spacing w:val="-4"/>
          <w:w w:val="105"/>
          <w:position w:val="7"/>
          <w:sz w:val="12"/>
        </w:rPr>
        <w:t>49 </w:t>
      </w:r>
      <w:r>
        <w:rPr>
          <w:w w:val="105"/>
          <w:sz w:val="21"/>
        </w:rPr>
        <w:t>A length of at least 50 </w:t>
      </w:r>
      <w:r>
        <w:rPr>
          <w:spacing w:val="-3"/>
          <w:w w:val="105"/>
          <w:sz w:val="21"/>
        </w:rPr>
        <w:t>centimetres </w:t>
      </w:r>
      <w:r>
        <w:rPr>
          <w:w w:val="105"/>
          <w:sz w:val="21"/>
        </w:rPr>
        <w:t>beyond the </w:t>
      </w:r>
      <w:r>
        <w:rPr>
          <w:spacing w:val="-2"/>
          <w:w w:val="105"/>
          <w:sz w:val="21"/>
        </w:rPr>
        <w:t>common </w:t>
      </w:r>
      <w:r>
        <w:rPr>
          <w:w w:val="105"/>
          <w:sz w:val="21"/>
        </w:rPr>
        <w:t>boundary provides a </w:t>
      </w:r>
      <w:r>
        <w:rPr>
          <w:spacing w:val="-3"/>
          <w:w w:val="105"/>
          <w:sz w:val="21"/>
        </w:rPr>
        <w:t>‘reasonable balance </w:t>
      </w:r>
      <w:r>
        <w:rPr>
          <w:w w:val="105"/>
          <w:sz w:val="21"/>
        </w:rPr>
        <w:t>between the </w:t>
      </w:r>
      <w:r>
        <w:rPr>
          <w:spacing w:val="-3"/>
          <w:w w:val="105"/>
          <w:sz w:val="21"/>
        </w:rPr>
        <w:t>right </w:t>
      </w:r>
      <w:r>
        <w:rPr>
          <w:w w:val="105"/>
          <w:sz w:val="21"/>
        </w:rPr>
        <w:t>of</w:t>
      </w:r>
      <w:r>
        <w:rPr>
          <w:spacing w:val="-34"/>
          <w:w w:val="105"/>
          <w:sz w:val="21"/>
        </w:rPr>
        <w:t> </w:t>
      </w:r>
      <w:r>
        <w:rPr>
          <w:w w:val="105"/>
          <w:sz w:val="21"/>
        </w:rPr>
        <w:t>a</w:t>
      </w:r>
    </w:p>
    <w:p>
      <w:pPr>
        <w:pStyle w:val="BodyText"/>
        <w:spacing w:line="242" w:lineRule="auto" w:before="6"/>
        <w:ind w:left="2381" w:right="1582"/>
        <w:rPr>
          <w:sz w:val="12"/>
        </w:rPr>
      </w:pPr>
      <w:r>
        <w:rPr>
          <w:spacing w:val="-3"/>
          <w:w w:val="105"/>
        </w:rPr>
        <w:t>neighbour to have uninterrupted </w:t>
      </w:r>
      <w:r>
        <w:rPr>
          <w:w w:val="105"/>
        </w:rPr>
        <w:t>use of their property, and the burden </w:t>
      </w:r>
      <w:r>
        <w:rPr>
          <w:spacing w:val="-3"/>
          <w:w w:val="105"/>
        </w:rPr>
        <w:t>that </w:t>
      </w:r>
      <w:r>
        <w:rPr>
          <w:w w:val="105"/>
        </w:rPr>
        <w:t>a tree-keeper </w:t>
      </w:r>
      <w:r>
        <w:rPr>
          <w:spacing w:val="-3"/>
          <w:w w:val="105"/>
        </w:rPr>
        <w:t>may </w:t>
      </w:r>
      <w:r>
        <w:rPr>
          <w:w w:val="105"/>
        </w:rPr>
        <w:t>experience as a </w:t>
      </w:r>
      <w:r>
        <w:rPr>
          <w:spacing w:val="-3"/>
          <w:w w:val="105"/>
        </w:rPr>
        <w:t>result </w:t>
      </w:r>
      <w:r>
        <w:rPr>
          <w:w w:val="105"/>
        </w:rPr>
        <w:t>of the ongoing need </w:t>
      </w:r>
      <w:r>
        <w:rPr>
          <w:spacing w:val="-3"/>
          <w:w w:val="105"/>
        </w:rPr>
        <w:t>to </w:t>
      </w:r>
      <w:r>
        <w:rPr>
          <w:w w:val="105"/>
        </w:rPr>
        <w:t>trim or cut back trees close </w:t>
      </w:r>
      <w:r>
        <w:rPr>
          <w:spacing w:val="-3"/>
          <w:w w:val="105"/>
        </w:rPr>
        <w:t>to </w:t>
      </w:r>
      <w:r>
        <w:rPr>
          <w:w w:val="105"/>
        </w:rPr>
        <w:t>the </w:t>
      </w:r>
      <w:r>
        <w:rPr>
          <w:spacing w:val="-3"/>
          <w:w w:val="105"/>
        </w:rPr>
        <w:t>boundary’.</w:t>
      </w:r>
      <w:r>
        <w:rPr>
          <w:spacing w:val="-3"/>
          <w:w w:val="105"/>
          <w:position w:val="7"/>
          <w:sz w:val="12"/>
        </w:rPr>
        <w:t>50 </w:t>
      </w:r>
      <w:r>
        <w:rPr>
          <w:w w:val="105"/>
        </w:rPr>
        <w:t>The QLRC acknowledged </w:t>
      </w:r>
      <w:r>
        <w:rPr>
          <w:spacing w:val="-3"/>
          <w:w w:val="105"/>
        </w:rPr>
        <w:t>that that </w:t>
      </w:r>
      <w:r>
        <w:rPr>
          <w:w w:val="105"/>
        </w:rPr>
        <w:t>there is </w:t>
      </w:r>
      <w:r>
        <w:rPr>
          <w:spacing w:val="-3"/>
          <w:w w:val="105"/>
        </w:rPr>
        <w:t>‘scope for </w:t>
      </w:r>
      <w:r>
        <w:rPr>
          <w:w w:val="105"/>
        </w:rPr>
        <w:t>a </w:t>
      </w:r>
      <w:r>
        <w:rPr>
          <w:spacing w:val="-3"/>
          <w:w w:val="105"/>
        </w:rPr>
        <w:t>range </w:t>
      </w:r>
      <w:r>
        <w:rPr>
          <w:w w:val="105"/>
        </w:rPr>
        <w:t>of </w:t>
      </w:r>
      <w:r>
        <w:rPr>
          <w:spacing w:val="-3"/>
          <w:w w:val="105"/>
        </w:rPr>
        <w:t>differing </w:t>
      </w:r>
      <w:r>
        <w:rPr>
          <w:w w:val="105"/>
        </w:rPr>
        <w:t>views about the </w:t>
      </w:r>
      <w:r>
        <w:rPr>
          <w:spacing w:val="-3"/>
          <w:w w:val="105"/>
        </w:rPr>
        <w:t>appropriate </w:t>
      </w:r>
      <w:r>
        <w:rPr>
          <w:spacing w:val="-6"/>
          <w:w w:val="105"/>
        </w:rPr>
        <w:t>height’.</w:t>
      </w:r>
      <w:r>
        <w:rPr>
          <w:spacing w:val="-6"/>
          <w:w w:val="105"/>
          <w:position w:val="7"/>
          <w:sz w:val="12"/>
        </w:rPr>
        <w:t>51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5816;mso-wrap-distance-left:0;mso-wrap-distance-right:0" from="79.370102pt,8.825940pt" to="515.905102pt,8.825940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40"/>
        </w:rPr>
      </w:pPr>
    </w:p>
    <w:p>
      <w:pPr>
        <w:spacing w:before="0"/>
        <w:ind w:left="720" w:right="0" w:firstLine="0"/>
        <w:jc w:val="left"/>
        <w:rPr>
          <w:b/>
          <w:sz w:val="24"/>
        </w:rPr>
      </w:pPr>
      <w:r>
        <w:rPr>
          <w:b/>
          <w:color w:val="658464"/>
          <w:spacing w:val="-8"/>
          <w:w w:val="110"/>
          <w:sz w:val="24"/>
        </w:rPr>
        <w:t>116</w:t>
      </w:r>
    </w:p>
    <w:p>
      <w:pPr>
        <w:pStyle w:val="ListParagraph"/>
        <w:numPr>
          <w:ilvl w:val="0"/>
          <w:numId w:val="93"/>
        </w:numPr>
        <w:tabs>
          <w:tab w:pos="1243" w:val="left" w:leader="none"/>
          <w:tab w:pos="1244" w:val="left" w:leader="none"/>
        </w:tabs>
        <w:spacing w:line="240" w:lineRule="auto" w:before="48" w:after="0"/>
        <w:ind w:left="1243" w:right="0" w:hanging="793"/>
        <w:jc w:val="left"/>
        <w:rPr>
          <w:sz w:val="13"/>
        </w:rPr>
      </w:pPr>
      <w:r>
        <w:rPr>
          <w:i/>
          <w:spacing w:val="3"/>
          <w:w w:val="103"/>
          <w:sz w:val="13"/>
        </w:rPr>
        <w:br w:type="column"/>
      </w: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3"/>
          <w:w w:val="105"/>
          <w:sz w:val="13"/>
        </w:rPr>
        <w:t> </w:t>
      </w:r>
      <w:r>
        <w:rPr>
          <w:spacing w:val="3"/>
          <w:w w:val="105"/>
          <w:sz w:val="13"/>
        </w:rPr>
        <w:t>3(a).</w:t>
      </w:r>
    </w:p>
    <w:p>
      <w:pPr>
        <w:pStyle w:val="ListParagraph"/>
        <w:numPr>
          <w:ilvl w:val="0"/>
          <w:numId w:val="93"/>
        </w:numPr>
        <w:tabs>
          <w:tab w:pos="1243" w:val="left" w:leader="none"/>
          <w:tab w:pos="1244" w:val="left" w:leader="none"/>
        </w:tabs>
        <w:spacing w:line="240" w:lineRule="auto" w:before="1" w:after="0"/>
        <w:ind w:left="1243" w:right="1672" w:hanging="793"/>
        <w:jc w:val="left"/>
        <w:rPr>
          <w:sz w:val="13"/>
        </w:rPr>
      </w:pPr>
      <w:r>
        <w:rPr>
          <w:w w:val="105"/>
          <w:sz w:val="13"/>
        </w:rPr>
        <w:t>Queensland, </w:t>
      </w:r>
      <w:r>
        <w:rPr>
          <w:i/>
          <w:w w:val="105"/>
          <w:sz w:val="13"/>
        </w:rPr>
        <w:t>Parliamentary Debates</w:t>
      </w:r>
      <w:r>
        <w:rPr>
          <w:w w:val="105"/>
          <w:sz w:val="13"/>
        </w:rPr>
        <w:t>, Legislative Assembly, 25 November 2010, 4372 (CR Dick, Attorney-General and Minister for Industrial Relations).</w:t>
      </w:r>
    </w:p>
    <w:p>
      <w:pPr>
        <w:pStyle w:val="ListParagraph"/>
        <w:numPr>
          <w:ilvl w:val="0"/>
          <w:numId w:val="93"/>
        </w:numPr>
        <w:tabs>
          <w:tab w:pos="1243" w:val="left" w:leader="none"/>
          <w:tab w:pos="1244" w:val="left" w:leader="none"/>
        </w:tabs>
        <w:spacing w:line="240" w:lineRule="auto" w:before="3" w:after="0"/>
        <w:ind w:left="450" w:right="4920" w:firstLine="0"/>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ss </w:t>
      </w:r>
      <w:r>
        <w:rPr>
          <w:spacing w:val="3"/>
          <w:w w:val="105"/>
          <w:sz w:val="13"/>
        </w:rPr>
        <w:t>52(1)–(2). </w:t>
      </w:r>
      <w:r>
        <w:rPr>
          <w:w w:val="105"/>
          <w:sz w:val="13"/>
        </w:rPr>
        <w:t>45</w:t>
        <w:tab/>
        <w:t>Ibid s</w:t>
      </w:r>
      <w:r>
        <w:rPr>
          <w:spacing w:val="9"/>
          <w:w w:val="105"/>
          <w:sz w:val="13"/>
        </w:rPr>
        <w:t> </w:t>
      </w:r>
      <w:r>
        <w:rPr>
          <w:spacing w:val="2"/>
          <w:w w:val="105"/>
          <w:sz w:val="13"/>
        </w:rPr>
        <w:t>52(3).</w:t>
      </w:r>
    </w:p>
    <w:p>
      <w:pPr>
        <w:pStyle w:val="ListParagraph"/>
        <w:numPr>
          <w:ilvl w:val="0"/>
          <w:numId w:val="94"/>
        </w:numPr>
        <w:tabs>
          <w:tab w:pos="1243" w:val="left" w:leader="none"/>
          <w:tab w:pos="1244" w:val="left" w:leader="none"/>
        </w:tabs>
        <w:spacing w:line="240" w:lineRule="auto" w:before="3" w:after="0"/>
        <w:ind w:left="1243" w:right="0" w:hanging="793"/>
        <w:jc w:val="left"/>
        <w:rPr>
          <w:sz w:val="13"/>
        </w:rPr>
      </w:pPr>
      <w:r>
        <w:rPr>
          <w:i/>
          <w:w w:val="105"/>
          <w:sz w:val="13"/>
        </w:rPr>
        <w:t>Neighbourhood Disputes About Plants Act </w:t>
      </w:r>
      <w:r>
        <w:rPr>
          <w:i/>
          <w:spacing w:val="-4"/>
          <w:w w:val="105"/>
          <w:sz w:val="13"/>
        </w:rPr>
        <w:t>2017 </w:t>
      </w:r>
      <w:r>
        <w:rPr>
          <w:w w:val="105"/>
          <w:sz w:val="13"/>
        </w:rPr>
        <w:t>(Tas) s</w:t>
      </w:r>
      <w:r>
        <w:rPr>
          <w:spacing w:val="16"/>
          <w:w w:val="105"/>
          <w:sz w:val="13"/>
        </w:rPr>
        <w:t> </w:t>
      </w:r>
      <w:r>
        <w:rPr>
          <w:w w:val="105"/>
          <w:sz w:val="13"/>
        </w:rPr>
        <w:t>10.</w:t>
      </w:r>
    </w:p>
    <w:p>
      <w:pPr>
        <w:pStyle w:val="ListParagraph"/>
        <w:numPr>
          <w:ilvl w:val="0"/>
          <w:numId w:val="94"/>
        </w:numPr>
        <w:tabs>
          <w:tab w:pos="1244" w:val="left" w:leader="none"/>
          <w:tab w:pos="1245" w:val="left" w:leader="none"/>
        </w:tabs>
        <w:spacing w:line="240" w:lineRule="auto" w:before="1" w:after="0"/>
        <w:ind w:left="1244" w:right="1593" w:hanging="794"/>
        <w:jc w:val="left"/>
        <w:rPr>
          <w:sz w:val="13"/>
        </w:rPr>
      </w:pPr>
      <w:r>
        <w:rPr>
          <w:w w:val="105"/>
          <w:sz w:val="13"/>
        </w:rPr>
        <w:t>Queensland, </w:t>
      </w:r>
      <w:r>
        <w:rPr>
          <w:i/>
          <w:w w:val="105"/>
          <w:sz w:val="13"/>
        </w:rPr>
        <w:t>Parliamentary Debates, Legislative Assembly, 2 August </w:t>
      </w:r>
      <w:r>
        <w:rPr>
          <w:i/>
          <w:spacing w:val="-5"/>
          <w:w w:val="105"/>
          <w:sz w:val="13"/>
        </w:rPr>
        <w:t>2011, </w:t>
      </w:r>
      <w:r>
        <w:rPr>
          <w:i/>
          <w:w w:val="105"/>
          <w:sz w:val="13"/>
        </w:rPr>
        <w:t>2306 </w:t>
      </w:r>
      <w:r>
        <w:rPr>
          <w:w w:val="105"/>
          <w:sz w:val="13"/>
        </w:rPr>
        <w:t>(Paul Lucas, Deputy Premier and Attorney-General, Minister</w:t>
      </w:r>
      <w:r>
        <w:rPr>
          <w:spacing w:val="30"/>
          <w:w w:val="105"/>
          <w:sz w:val="13"/>
        </w:rPr>
        <w:t> </w:t>
      </w:r>
      <w:r>
        <w:rPr>
          <w:w w:val="105"/>
          <w:sz w:val="13"/>
        </w:rPr>
        <w:t>for Local Government and Special Minister of</w:t>
      </w:r>
      <w:r>
        <w:rPr>
          <w:spacing w:val="1"/>
          <w:w w:val="105"/>
          <w:sz w:val="13"/>
        </w:rPr>
        <w:t> </w:t>
      </w:r>
      <w:r>
        <w:rPr>
          <w:w w:val="105"/>
          <w:sz w:val="13"/>
        </w:rPr>
        <w:t>State).</w:t>
      </w:r>
    </w:p>
    <w:p>
      <w:pPr>
        <w:pStyle w:val="ListParagraph"/>
        <w:numPr>
          <w:ilvl w:val="0"/>
          <w:numId w:val="94"/>
        </w:numPr>
        <w:tabs>
          <w:tab w:pos="1244" w:val="left" w:leader="none"/>
          <w:tab w:pos="1245" w:val="left" w:leader="none"/>
        </w:tabs>
        <w:spacing w:line="240" w:lineRule="auto" w:before="3" w:after="0"/>
        <w:ind w:left="1244"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2"/>
          <w:w w:val="105"/>
          <w:sz w:val="13"/>
        </w:rPr>
        <w:t> </w:t>
      </w:r>
      <w:r>
        <w:rPr>
          <w:spacing w:val="4"/>
          <w:w w:val="105"/>
          <w:sz w:val="13"/>
        </w:rPr>
        <w:t>57(1)(a)–(b).</w:t>
      </w:r>
    </w:p>
    <w:p>
      <w:pPr>
        <w:pStyle w:val="ListParagraph"/>
        <w:numPr>
          <w:ilvl w:val="0"/>
          <w:numId w:val="94"/>
        </w:numPr>
        <w:tabs>
          <w:tab w:pos="1244" w:val="left" w:leader="none"/>
          <w:tab w:pos="1245" w:val="left" w:leader="none"/>
        </w:tabs>
        <w:spacing w:line="240" w:lineRule="auto" w:before="1" w:after="0"/>
        <w:ind w:left="1244" w:right="2114" w:hanging="794"/>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 2015)</w:t>
      </w:r>
      <w:r>
        <w:rPr>
          <w:spacing w:val="9"/>
          <w:w w:val="105"/>
          <w:sz w:val="13"/>
        </w:rPr>
        <w:t> </w:t>
      </w:r>
      <w:r>
        <w:rPr>
          <w:w w:val="105"/>
          <w:sz w:val="13"/>
        </w:rPr>
        <w:t>[3.295].</w:t>
      </w:r>
    </w:p>
    <w:p>
      <w:pPr>
        <w:tabs>
          <w:tab w:pos="1244" w:val="left" w:leader="none"/>
        </w:tabs>
        <w:spacing w:before="3"/>
        <w:ind w:left="450" w:right="0" w:firstLine="0"/>
        <w:jc w:val="left"/>
        <w:rPr>
          <w:sz w:val="13"/>
        </w:rPr>
      </w:pPr>
      <w:r>
        <w:rPr>
          <w:w w:val="105"/>
          <w:sz w:val="13"/>
        </w:rPr>
        <w:t>50</w:t>
        <w:tab/>
        <w:t>Ibid</w:t>
      </w:r>
      <w:r>
        <w:rPr>
          <w:spacing w:val="10"/>
          <w:w w:val="105"/>
          <w:sz w:val="13"/>
        </w:rPr>
        <w:t> </w:t>
      </w:r>
      <w:r>
        <w:rPr>
          <w:spacing w:val="2"/>
          <w:w w:val="105"/>
          <w:sz w:val="13"/>
        </w:rPr>
        <w:t>[3.299].</w:t>
      </w:r>
    </w:p>
    <w:p>
      <w:pPr>
        <w:tabs>
          <w:tab w:pos="1244" w:val="left" w:leader="none"/>
        </w:tabs>
        <w:spacing w:before="1"/>
        <w:ind w:left="450" w:right="0" w:firstLine="0"/>
        <w:jc w:val="left"/>
        <w:rPr>
          <w:sz w:val="13"/>
        </w:rPr>
      </w:pPr>
      <w:r>
        <w:rPr>
          <w:spacing w:val="-4"/>
          <w:w w:val="105"/>
          <w:sz w:val="13"/>
        </w:rPr>
        <w:t>51</w:t>
        <w:tab/>
      </w:r>
      <w:r>
        <w:rPr>
          <w:w w:val="105"/>
          <w:sz w:val="13"/>
        </w:rPr>
        <w:t>Ibid</w:t>
      </w:r>
      <w:r>
        <w:rPr>
          <w:spacing w:val="10"/>
          <w:w w:val="105"/>
          <w:sz w:val="13"/>
        </w:rPr>
        <w:t> </w:t>
      </w:r>
      <w:r>
        <w:rPr>
          <w:spacing w:val="2"/>
          <w:w w:val="105"/>
          <w:sz w:val="13"/>
        </w:rPr>
        <w:t>[3.296].</w:t>
      </w:r>
    </w:p>
    <w:p>
      <w:pPr>
        <w:spacing w:after="0"/>
        <w:jc w:val="left"/>
        <w:rPr>
          <w:sz w:val="13"/>
        </w:rPr>
        <w:sectPr>
          <w:type w:val="continuous"/>
          <w:pgSz w:w="11910" w:h="16840"/>
          <w:pgMar w:top="300" w:bottom="280" w:left="0" w:right="0"/>
          <w:cols w:num="2" w:equalWidth="0">
            <w:col w:w="1098" w:space="40"/>
            <w:col w:w="10772"/>
          </w:cols>
        </w:sectPr>
      </w:pPr>
    </w:p>
    <w:p>
      <w:pPr>
        <w:pStyle w:val="BodyText"/>
        <w:rPr>
          <w:sz w:val="20"/>
        </w:rPr>
      </w:pPr>
    </w:p>
    <w:p>
      <w:pPr>
        <w:pStyle w:val="BodyText"/>
        <w:spacing w:before="2"/>
        <w:rPr>
          <w:sz w:val="18"/>
        </w:rPr>
      </w:pPr>
    </w:p>
    <w:p>
      <w:pPr>
        <w:pStyle w:val="Heading7"/>
        <w:spacing w:before="96"/>
      </w:pPr>
      <w:r>
        <w:rPr>
          <w:w w:val="115"/>
        </w:rPr>
        <w:t>The effect of the notice</w:t>
      </w:r>
    </w:p>
    <w:p>
      <w:pPr>
        <w:pStyle w:val="ListParagraph"/>
        <w:numPr>
          <w:ilvl w:val="1"/>
          <w:numId w:val="16"/>
        </w:numPr>
        <w:tabs>
          <w:tab w:pos="2381" w:val="left" w:leader="none"/>
          <w:tab w:pos="2382" w:val="left" w:leader="none"/>
        </w:tabs>
        <w:spacing w:line="242" w:lineRule="auto" w:before="143" w:after="0"/>
        <w:ind w:left="2381" w:right="1931" w:hanging="794"/>
        <w:jc w:val="left"/>
        <w:rPr>
          <w:sz w:val="21"/>
        </w:rPr>
      </w:pPr>
      <w:r>
        <w:rPr>
          <w:sz w:val="21"/>
        </w:rPr>
        <w:t>If the </w:t>
      </w:r>
      <w:r>
        <w:rPr>
          <w:spacing w:val="-3"/>
          <w:sz w:val="21"/>
        </w:rPr>
        <w:t>branch </w:t>
      </w:r>
      <w:r>
        <w:rPr>
          <w:sz w:val="21"/>
        </w:rPr>
        <w:t>meets the </w:t>
      </w:r>
      <w:r>
        <w:rPr>
          <w:spacing w:val="-3"/>
          <w:sz w:val="21"/>
        </w:rPr>
        <w:t>height </w:t>
      </w:r>
      <w:r>
        <w:rPr>
          <w:sz w:val="21"/>
        </w:rPr>
        <w:t>and length </w:t>
      </w:r>
      <w:r>
        <w:rPr>
          <w:spacing w:val="-3"/>
          <w:sz w:val="21"/>
        </w:rPr>
        <w:t>requirements, </w:t>
      </w:r>
      <w:r>
        <w:rPr>
          <w:sz w:val="21"/>
        </w:rPr>
        <w:t>the affected </w:t>
      </w:r>
      <w:r>
        <w:rPr>
          <w:spacing w:val="-3"/>
          <w:sz w:val="21"/>
        </w:rPr>
        <w:t>neighbour </w:t>
      </w:r>
      <w:r>
        <w:rPr>
          <w:sz w:val="21"/>
        </w:rPr>
        <w:t>can choose </w:t>
      </w:r>
      <w:r>
        <w:rPr>
          <w:spacing w:val="-3"/>
          <w:sz w:val="21"/>
        </w:rPr>
        <w:t>to </w:t>
      </w:r>
      <w:r>
        <w:rPr>
          <w:sz w:val="21"/>
        </w:rPr>
        <w:t>give the tree owner a written </w:t>
      </w:r>
      <w:r>
        <w:rPr>
          <w:spacing w:val="-3"/>
          <w:sz w:val="21"/>
        </w:rPr>
        <w:t>notice for branch removal. </w:t>
      </w:r>
      <w:r>
        <w:rPr>
          <w:position w:val="7"/>
          <w:sz w:val="12"/>
        </w:rPr>
        <w:t>52 </w:t>
      </w:r>
      <w:r>
        <w:rPr>
          <w:sz w:val="21"/>
        </w:rPr>
        <w:t>The </w:t>
      </w:r>
      <w:r>
        <w:rPr>
          <w:spacing w:val="-3"/>
          <w:sz w:val="21"/>
        </w:rPr>
        <w:t>notice</w:t>
      </w:r>
      <w:r>
        <w:rPr>
          <w:spacing w:val="6"/>
          <w:sz w:val="21"/>
        </w:rPr>
        <w:t> </w:t>
      </w:r>
      <w:r>
        <w:rPr>
          <w:sz w:val="21"/>
        </w:rPr>
        <w:t>must:</w:t>
      </w:r>
    </w:p>
    <w:p>
      <w:pPr>
        <w:pStyle w:val="ListParagraph"/>
        <w:numPr>
          <w:ilvl w:val="2"/>
          <w:numId w:val="16"/>
        </w:numPr>
        <w:tabs>
          <w:tab w:pos="2721" w:val="left" w:leader="none"/>
          <w:tab w:pos="2722" w:val="left" w:leader="none"/>
        </w:tabs>
        <w:spacing w:line="240" w:lineRule="auto" w:before="122" w:after="0"/>
        <w:ind w:left="2721" w:right="0" w:hanging="340"/>
        <w:jc w:val="left"/>
        <w:rPr>
          <w:sz w:val="12"/>
        </w:rPr>
      </w:pPr>
      <w:r>
        <w:rPr>
          <w:sz w:val="21"/>
        </w:rPr>
        <w:t>state</w:t>
      </w:r>
      <w:r>
        <w:rPr>
          <w:spacing w:val="9"/>
          <w:sz w:val="21"/>
        </w:rPr>
        <w:t> </w:t>
      </w:r>
      <w:r>
        <w:rPr>
          <w:sz w:val="21"/>
        </w:rPr>
        <w:t>a</w:t>
      </w:r>
      <w:r>
        <w:rPr>
          <w:spacing w:val="10"/>
          <w:sz w:val="21"/>
        </w:rPr>
        <w:t> </w:t>
      </w:r>
      <w:r>
        <w:rPr>
          <w:sz w:val="21"/>
        </w:rPr>
        <w:t>time</w:t>
      </w:r>
      <w:r>
        <w:rPr>
          <w:spacing w:val="9"/>
          <w:sz w:val="21"/>
        </w:rPr>
        <w:t> </w:t>
      </w:r>
      <w:r>
        <w:rPr>
          <w:spacing w:val="-3"/>
          <w:sz w:val="21"/>
        </w:rPr>
        <w:t>for</w:t>
      </w:r>
      <w:r>
        <w:rPr>
          <w:spacing w:val="10"/>
          <w:sz w:val="21"/>
        </w:rPr>
        <w:t> </w:t>
      </w:r>
      <w:r>
        <w:rPr>
          <w:spacing w:val="-3"/>
          <w:sz w:val="21"/>
        </w:rPr>
        <w:t>pruning</w:t>
      </w:r>
      <w:r>
        <w:rPr>
          <w:spacing w:val="9"/>
          <w:sz w:val="21"/>
        </w:rPr>
        <w:t> </w:t>
      </w:r>
      <w:r>
        <w:rPr>
          <w:sz w:val="21"/>
        </w:rPr>
        <w:t>or</w:t>
      </w:r>
      <w:r>
        <w:rPr>
          <w:spacing w:val="10"/>
          <w:sz w:val="21"/>
        </w:rPr>
        <w:t> </w:t>
      </w:r>
      <w:r>
        <w:rPr>
          <w:spacing w:val="-3"/>
          <w:sz w:val="21"/>
        </w:rPr>
        <w:t>removal</w:t>
      </w:r>
      <w:r>
        <w:rPr>
          <w:spacing w:val="10"/>
          <w:sz w:val="21"/>
        </w:rPr>
        <w:t> </w:t>
      </w:r>
      <w:r>
        <w:rPr>
          <w:spacing w:val="-3"/>
          <w:sz w:val="21"/>
        </w:rPr>
        <w:t>that</w:t>
      </w:r>
      <w:r>
        <w:rPr>
          <w:spacing w:val="9"/>
          <w:sz w:val="21"/>
        </w:rPr>
        <w:t> </w:t>
      </w:r>
      <w:r>
        <w:rPr>
          <w:sz w:val="21"/>
        </w:rPr>
        <w:t>is</w:t>
      </w:r>
      <w:r>
        <w:rPr>
          <w:spacing w:val="10"/>
          <w:sz w:val="21"/>
        </w:rPr>
        <w:t> </w:t>
      </w:r>
      <w:r>
        <w:rPr>
          <w:sz w:val="21"/>
        </w:rPr>
        <w:t>at</w:t>
      </w:r>
      <w:r>
        <w:rPr>
          <w:spacing w:val="9"/>
          <w:sz w:val="21"/>
        </w:rPr>
        <w:t> </w:t>
      </w:r>
      <w:r>
        <w:rPr>
          <w:sz w:val="21"/>
        </w:rPr>
        <w:t>least</w:t>
      </w:r>
      <w:r>
        <w:rPr>
          <w:spacing w:val="10"/>
          <w:sz w:val="21"/>
        </w:rPr>
        <w:t> </w:t>
      </w:r>
      <w:r>
        <w:rPr>
          <w:sz w:val="21"/>
        </w:rPr>
        <w:t>30</w:t>
      </w:r>
      <w:r>
        <w:rPr>
          <w:spacing w:val="9"/>
          <w:sz w:val="21"/>
        </w:rPr>
        <w:t> </w:t>
      </w:r>
      <w:r>
        <w:rPr>
          <w:sz w:val="21"/>
        </w:rPr>
        <w:t>days</w:t>
      </w:r>
      <w:r>
        <w:rPr>
          <w:spacing w:val="10"/>
          <w:sz w:val="21"/>
        </w:rPr>
        <w:t> </w:t>
      </w:r>
      <w:r>
        <w:rPr>
          <w:sz w:val="21"/>
        </w:rPr>
        <w:t>away</w:t>
      </w:r>
      <w:r>
        <w:rPr>
          <w:position w:val="7"/>
          <w:sz w:val="12"/>
        </w:rPr>
        <w:t>53</w:t>
      </w:r>
    </w:p>
    <w:p>
      <w:pPr>
        <w:pStyle w:val="ListParagraph"/>
        <w:numPr>
          <w:ilvl w:val="2"/>
          <w:numId w:val="16"/>
        </w:numPr>
        <w:tabs>
          <w:tab w:pos="2721" w:val="left" w:leader="none"/>
          <w:tab w:pos="2722" w:val="left" w:leader="none"/>
        </w:tabs>
        <w:spacing w:line="242" w:lineRule="auto" w:before="89" w:after="0"/>
        <w:ind w:left="2721" w:right="1856" w:hanging="340"/>
        <w:jc w:val="left"/>
        <w:rPr>
          <w:sz w:val="12"/>
        </w:rPr>
      </w:pPr>
      <w:r>
        <w:rPr>
          <w:w w:val="105"/>
          <w:sz w:val="21"/>
        </w:rPr>
        <w:t>request</w:t>
      </w:r>
      <w:r>
        <w:rPr>
          <w:spacing w:val="-7"/>
          <w:w w:val="105"/>
          <w:sz w:val="21"/>
        </w:rPr>
        <w:t> </w:t>
      </w:r>
      <w:r>
        <w:rPr>
          <w:w w:val="105"/>
          <w:sz w:val="21"/>
        </w:rPr>
        <w:t>the</w:t>
      </w:r>
      <w:r>
        <w:rPr>
          <w:spacing w:val="-6"/>
          <w:w w:val="105"/>
          <w:sz w:val="21"/>
        </w:rPr>
        <w:t> </w:t>
      </w:r>
      <w:r>
        <w:rPr>
          <w:w w:val="105"/>
          <w:sz w:val="21"/>
        </w:rPr>
        <w:t>tree</w:t>
      </w:r>
      <w:r>
        <w:rPr>
          <w:spacing w:val="-6"/>
          <w:w w:val="105"/>
          <w:sz w:val="21"/>
        </w:rPr>
        <w:t> </w:t>
      </w:r>
      <w:r>
        <w:rPr>
          <w:w w:val="105"/>
          <w:sz w:val="21"/>
        </w:rPr>
        <w:t>owner</w:t>
      </w:r>
      <w:r>
        <w:rPr>
          <w:spacing w:val="-6"/>
          <w:w w:val="105"/>
          <w:sz w:val="21"/>
        </w:rPr>
        <w:t> </w:t>
      </w:r>
      <w:r>
        <w:rPr>
          <w:spacing w:val="-3"/>
          <w:w w:val="105"/>
          <w:sz w:val="21"/>
        </w:rPr>
        <w:t>to</w:t>
      </w:r>
      <w:r>
        <w:rPr>
          <w:spacing w:val="-6"/>
          <w:w w:val="105"/>
          <w:sz w:val="21"/>
        </w:rPr>
        <w:t> </w:t>
      </w:r>
      <w:r>
        <w:rPr>
          <w:w w:val="105"/>
          <w:sz w:val="21"/>
        </w:rPr>
        <w:t>respond</w:t>
      </w:r>
      <w:r>
        <w:rPr>
          <w:spacing w:val="-6"/>
          <w:w w:val="105"/>
          <w:sz w:val="21"/>
        </w:rPr>
        <w:t> </w:t>
      </w:r>
      <w:r>
        <w:rPr>
          <w:w w:val="105"/>
          <w:sz w:val="21"/>
        </w:rPr>
        <w:t>in</w:t>
      </w:r>
      <w:r>
        <w:rPr>
          <w:spacing w:val="-6"/>
          <w:w w:val="105"/>
          <w:sz w:val="21"/>
        </w:rPr>
        <w:t> </w:t>
      </w:r>
      <w:r>
        <w:rPr>
          <w:spacing w:val="-3"/>
          <w:w w:val="105"/>
          <w:sz w:val="21"/>
        </w:rPr>
        <w:t>writing,</w:t>
      </w:r>
      <w:r>
        <w:rPr>
          <w:spacing w:val="-7"/>
          <w:w w:val="105"/>
          <w:sz w:val="21"/>
        </w:rPr>
        <w:t> </w:t>
      </w:r>
      <w:r>
        <w:rPr>
          <w:w w:val="105"/>
          <w:sz w:val="21"/>
        </w:rPr>
        <w:t>at</w:t>
      </w:r>
      <w:r>
        <w:rPr>
          <w:spacing w:val="-6"/>
          <w:w w:val="105"/>
          <w:sz w:val="21"/>
        </w:rPr>
        <w:t> </w:t>
      </w:r>
      <w:r>
        <w:rPr>
          <w:w w:val="105"/>
          <w:sz w:val="21"/>
        </w:rPr>
        <w:t>least</w:t>
      </w:r>
      <w:r>
        <w:rPr>
          <w:spacing w:val="-6"/>
          <w:w w:val="105"/>
          <w:sz w:val="21"/>
        </w:rPr>
        <w:t> </w:t>
      </w:r>
      <w:r>
        <w:rPr>
          <w:w w:val="105"/>
          <w:sz w:val="21"/>
        </w:rPr>
        <w:t>one</w:t>
      </w:r>
      <w:r>
        <w:rPr>
          <w:spacing w:val="-6"/>
          <w:w w:val="105"/>
          <w:sz w:val="21"/>
        </w:rPr>
        <w:t> </w:t>
      </w:r>
      <w:r>
        <w:rPr>
          <w:spacing w:val="-3"/>
          <w:w w:val="105"/>
          <w:sz w:val="21"/>
        </w:rPr>
        <w:t>day</w:t>
      </w:r>
      <w:r>
        <w:rPr>
          <w:spacing w:val="-6"/>
          <w:w w:val="105"/>
          <w:sz w:val="21"/>
        </w:rPr>
        <w:t> </w:t>
      </w:r>
      <w:r>
        <w:rPr>
          <w:spacing w:val="-3"/>
          <w:w w:val="105"/>
          <w:sz w:val="21"/>
        </w:rPr>
        <w:t>before</w:t>
      </w:r>
      <w:r>
        <w:rPr>
          <w:spacing w:val="-6"/>
          <w:w w:val="105"/>
          <w:sz w:val="21"/>
        </w:rPr>
        <w:t> </w:t>
      </w:r>
      <w:r>
        <w:rPr>
          <w:w w:val="105"/>
          <w:sz w:val="21"/>
        </w:rPr>
        <w:t>the</w:t>
      </w:r>
      <w:r>
        <w:rPr>
          <w:spacing w:val="-6"/>
          <w:w w:val="105"/>
          <w:sz w:val="21"/>
        </w:rPr>
        <w:t> </w:t>
      </w:r>
      <w:r>
        <w:rPr>
          <w:w w:val="105"/>
          <w:sz w:val="21"/>
        </w:rPr>
        <w:t>works</w:t>
      </w:r>
      <w:r>
        <w:rPr>
          <w:spacing w:val="-6"/>
          <w:w w:val="105"/>
          <w:sz w:val="21"/>
        </w:rPr>
        <w:t> </w:t>
      </w:r>
      <w:r>
        <w:rPr>
          <w:spacing w:val="-3"/>
          <w:w w:val="105"/>
          <w:sz w:val="21"/>
        </w:rPr>
        <w:t>are </w:t>
      </w:r>
      <w:r>
        <w:rPr>
          <w:w w:val="105"/>
          <w:sz w:val="21"/>
        </w:rPr>
        <w:t>scheduled, with </w:t>
      </w:r>
      <w:r>
        <w:rPr>
          <w:spacing w:val="-3"/>
          <w:w w:val="105"/>
          <w:sz w:val="21"/>
        </w:rPr>
        <w:t>information </w:t>
      </w:r>
      <w:r>
        <w:rPr>
          <w:w w:val="105"/>
          <w:sz w:val="21"/>
        </w:rPr>
        <w:t>about who </w:t>
      </w:r>
      <w:r>
        <w:rPr>
          <w:spacing w:val="-3"/>
          <w:w w:val="105"/>
          <w:sz w:val="21"/>
        </w:rPr>
        <w:t>will </w:t>
      </w:r>
      <w:r>
        <w:rPr>
          <w:w w:val="105"/>
          <w:sz w:val="21"/>
        </w:rPr>
        <w:t>be doing the work and</w:t>
      </w:r>
      <w:r>
        <w:rPr>
          <w:spacing w:val="34"/>
          <w:w w:val="105"/>
          <w:sz w:val="21"/>
        </w:rPr>
        <w:t> </w:t>
      </w:r>
      <w:r>
        <w:rPr>
          <w:w w:val="105"/>
          <w:sz w:val="21"/>
        </w:rPr>
        <w:t>when</w:t>
      </w:r>
      <w:r>
        <w:rPr>
          <w:w w:val="105"/>
          <w:position w:val="7"/>
          <w:sz w:val="12"/>
        </w:rPr>
        <w:t>54</w:t>
      </w:r>
    </w:p>
    <w:p>
      <w:pPr>
        <w:pStyle w:val="ListParagraph"/>
        <w:numPr>
          <w:ilvl w:val="2"/>
          <w:numId w:val="16"/>
        </w:numPr>
        <w:tabs>
          <w:tab w:pos="2721" w:val="left" w:leader="none"/>
          <w:tab w:pos="2722" w:val="left" w:leader="none"/>
        </w:tabs>
        <w:spacing w:line="242" w:lineRule="auto" w:before="87" w:after="0"/>
        <w:ind w:left="2721" w:right="1894" w:hanging="340"/>
        <w:jc w:val="left"/>
        <w:rPr>
          <w:sz w:val="12"/>
        </w:rPr>
      </w:pPr>
      <w:r>
        <w:rPr>
          <w:sz w:val="21"/>
        </w:rPr>
        <w:t>give permission </w:t>
      </w:r>
      <w:r>
        <w:rPr>
          <w:spacing w:val="-3"/>
          <w:sz w:val="21"/>
        </w:rPr>
        <w:t>to </w:t>
      </w:r>
      <w:r>
        <w:rPr>
          <w:sz w:val="21"/>
        </w:rPr>
        <w:t>the tree-keeper (owner) or their </w:t>
      </w:r>
      <w:r>
        <w:rPr>
          <w:spacing w:val="-3"/>
          <w:sz w:val="21"/>
        </w:rPr>
        <w:t>contractor to enter </w:t>
      </w:r>
      <w:r>
        <w:rPr>
          <w:sz w:val="21"/>
        </w:rPr>
        <w:t>the affected </w:t>
      </w:r>
      <w:r>
        <w:rPr>
          <w:spacing w:val="-3"/>
          <w:sz w:val="21"/>
        </w:rPr>
        <w:t>neighbour’s</w:t>
      </w:r>
      <w:r>
        <w:rPr>
          <w:spacing w:val="13"/>
          <w:sz w:val="21"/>
        </w:rPr>
        <w:t> </w:t>
      </w:r>
      <w:r>
        <w:rPr>
          <w:spacing w:val="-3"/>
          <w:sz w:val="21"/>
        </w:rPr>
        <w:t>land</w:t>
      </w:r>
      <w:r>
        <w:rPr>
          <w:spacing w:val="14"/>
          <w:sz w:val="21"/>
        </w:rPr>
        <w:t> </w:t>
      </w:r>
      <w:r>
        <w:rPr>
          <w:spacing w:val="-3"/>
          <w:sz w:val="21"/>
        </w:rPr>
        <w:t>to</w:t>
      </w:r>
      <w:r>
        <w:rPr>
          <w:spacing w:val="14"/>
          <w:sz w:val="21"/>
        </w:rPr>
        <w:t> </w:t>
      </w:r>
      <w:r>
        <w:rPr>
          <w:spacing w:val="-3"/>
          <w:sz w:val="21"/>
        </w:rPr>
        <w:t>remove</w:t>
      </w:r>
      <w:r>
        <w:rPr>
          <w:spacing w:val="14"/>
          <w:sz w:val="21"/>
        </w:rPr>
        <w:t> </w:t>
      </w:r>
      <w:r>
        <w:rPr>
          <w:sz w:val="21"/>
        </w:rPr>
        <w:t>the</w:t>
      </w:r>
      <w:r>
        <w:rPr>
          <w:spacing w:val="13"/>
          <w:sz w:val="21"/>
        </w:rPr>
        <w:t> </w:t>
      </w:r>
      <w:r>
        <w:rPr>
          <w:spacing w:val="-3"/>
          <w:sz w:val="21"/>
        </w:rPr>
        <w:t>branch</w:t>
      </w:r>
      <w:r>
        <w:rPr>
          <w:spacing w:val="14"/>
          <w:sz w:val="21"/>
        </w:rPr>
        <w:t> </w:t>
      </w:r>
      <w:r>
        <w:rPr>
          <w:sz w:val="21"/>
        </w:rPr>
        <w:t>between</w:t>
      </w:r>
      <w:r>
        <w:rPr>
          <w:spacing w:val="14"/>
          <w:sz w:val="21"/>
        </w:rPr>
        <w:t> </w:t>
      </w:r>
      <w:r>
        <w:rPr>
          <w:sz w:val="21"/>
        </w:rPr>
        <w:t>8am</w:t>
      </w:r>
      <w:r>
        <w:rPr>
          <w:spacing w:val="14"/>
          <w:sz w:val="21"/>
        </w:rPr>
        <w:t> </w:t>
      </w:r>
      <w:r>
        <w:rPr>
          <w:sz w:val="21"/>
        </w:rPr>
        <w:t>and</w:t>
      </w:r>
      <w:r>
        <w:rPr>
          <w:spacing w:val="13"/>
          <w:sz w:val="21"/>
        </w:rPr>
        <w:t> </w:t>
      </w:r>
      <w:r>
        <w:rPr>
          <w:spacing w:val="-3"/>
          <w:sz w:val="21"/>
        </w:rPr>
        <w:t>5pm</w:t>
      </w:r>
      <w:r>
        <w:rPr>
          <w:spacing w:val="-3"/>
          <w:position w:val="7"/>
          <w:sz w:val="12"/>
        </w:rPr>
        <w:t>55</w:t>
      </w:r>
    </w:p>
    <w:p>
      <w:pPr>
        <w:pStyle w:val="ListParagraph"/>
        <w:numPr>
          <w:ilvl w:val="2"/>
          <w:numId w:val="16"/>
        </w:numPr>
        <w:tabs>
          <w:tab w:pos="2721" w:val="left" w:leader="none"/>
          <w:tab w:pos="2722" w:val="left" w:leader="none"/>
        </w:tabs>
        <w:spacing w:line="240" w:lineRule="auto" w:before="87" w:after="0"/>
        <w:ind w:left="2721" w:right="0" w:hanging="340"/>
        <w:jc w:val="left"/>
        <w:rPr>
          <w:sz w:val="12"/>
        </w:rPr>
      </w:pPr>
      <w:r>
        <w:rPr>
          <w:spacing w:val="-3"/>
          <w:w w:val="105"/>
          <w:sz w:val="21"/>
        </w:rPr>
        <w:t>have </w:t>
      </w:r>
      <w:r>
        <w:rPr>
          <w:w w:val="105"/>
          <w:sz w:val="21"/>
        </w:rPr>
        <w:t>attached at least one </w:t>
      </w:r>
      <w:r>
        <w:rPr>
          <w:spacing w:val="-3"/>
          <w:w w:val="105"/>
          <w:sz w:val="21"/>
        </w:rPr>
        <w:t>quote </w:t>
      </w:r>
      <w:r>
        <w:rPr>
          <w:w w:val="105"/>
          <w:sz w:val="21"/>
        </w:rPr>
        <w:t>of the</w:t>
      </w:r>
      <w:r>
        <w:rPr>
          <w:spacing w:val="43"/>
          <w:w w:val="105"/>
          <w:sz w:val="21"/>
        </w:rPr>
        <w:t> </w:t>
      </w:r>
      <w:r>
        <w:rPr>
          <w:w w:val="105"/>
          <w:sz w:val="21"/>
        </w:rPr>
        <w:t>cost</w:t>
      </w:r>
      <w:r>
        <w:rPr>
          <w:w w:val="105"/>
          <w:position w:val="7"/>
          <w:sz w:val="12"/>
        </w:rPr>
        <w:t>56</w:t>
      </w:r>
    </w:p>
    <w:p>
      <w:pPr>
        <w:pStyle w:val="ListParagraph"/>
        <w:numPr>
          <w:ilvl w:val="2"/>
          <w:numId w:val="16"/>
        </w:numPr>
        <w:tabs>
          <w:tab w:pos="2721" w:val="left" w:leader="none"/>
          <w:tab w:pos="2722" w:val="left" w:leader="none"/>
        </w:tabs>
        <w:spacing w:line="240" w:lineRule="auto" w:before="89" w:after="0"/>
        <w:ind w:left="2721" w:right="0" w:hanging="340"/>
        <w:jc w:val="left"/>
        <w:rPr>
          <w:sz w:val="12"/>
        </w:rPr>
      </w:pPr>
      <w:r>
        <w:rPr>
          <w:w w:val="105"/>
          <w:sz w:val="21"/>
        </w:rPr>
        <w:t>be</w:t>
      </w:r>
      <w:r>
        <w:rPr>
          <w:spacing w:val="4"/>
          <w:w w:val="105"/>
          <w:sz w:val="21"/>
        </w:rPr>
        <w:t> </w:t>
      </w:r>
      <w:r>
        <w:rPr>
          <w:spacing w:val="-3"/>
          <w:w w:val="105"/>
          <w:sz w:val="21"/>
        </w:rPr>
        <w:t>accompanied</w:t>
      </w:r>
      <w:r>
        <w:rPr>
          <w:spacing w:val="4"/>
          <w:w w:val="105"/>
          <w:sz w:val="21"/>
        </w:rPr>
        <w:t> </w:t>
      </w:r>
      <w:r>
        <w:rPr>
          <w:w w:val="105"/>
          <w:sz w:val="21"/>
        </w:rPr>
        <w:t>by</w:t>
      </w:r>
      <w:r>
        <w:rPr>
          <w:spacing w:val="4"/>
          <w:w w:val="105"/>
          <w:sz w:val="21"/>
        </w:rPr>
        <w:t> </w:t>
      </w:r>
      <w:r>
        <w:rPr>
          <w:w w:val="105"/>
          <w:sz w:val="21"/>
        </w:rPr>
        <w:t>a</w:t>
      </w:r>
      <w:r>
        <w:rPr>
          <w:spacing w:val="5"/>
          <w:w w:val="105"/>
          <w:sz w:val="21"/>
        </w:rPr>
        <w:t> </w:t>
      </w:r>
      <w:r>
        <w:rPr>
          <w:spacing w:val="-3"/>
          <w:w w:val="105"/>
          <w:sz w:val="21"/>
        </w:rPr>
        <w:t>copy</w:t>
      </w:r>
      <w:r>
        <w:rPr>
          <w:spacing w:val="4"/>
          <w:w w:val="105"/>
          <w:sz w:val="21"/>
        </w:rPr>
        <w:t> </w:t>
      </w:r>
      <w:r>
        <w:rPr>
          <w:w w:val="105"/>
          <w:sz w:val="21"/>
        </w:rPr>
        <w:t>of</w:t>
      </w:r>
      <w:r>
        <w:rPr>
          <w:spacing w:val="4"/>
          <w:w w:val="105"/>
          <w:sz w:val="21"/>
        </w:rPr>
        <w:t> </w:t>
      </w:r>
      <w:r>
        <w:rPr>
          <w:w w:val="105"/>
          <w:sz w:val="21"/>
        </w:rPr>
        <w:t>the</w:t>
      </w:r>
      <w:r>
        <w:rPr>
          <w:spacing w:val="4"/>
          <w:w w:val="105"/>
          <w:sz w:val="21"/>
        </w:rPr>
        <w:t> </w:t>
      </w:r>
      <w:r>
        <w:rPr>
          <w:spacing w:val="-3"/>
          <w:w w:val="105"/>
          <w:sz w:val="21"/>
        </w:rPr>
        <w:t>relevant</w:t>
      </w:r>
      <w:r>
        <w:rPr>
          <w:spacing w:val="5"/>
          <w:w w:val="105"/>
          <w:sz w:val="21"/>
        </w:rPr>
        <w:t> </w:t>
      </w:r>
      <w:r>
        <w:rPr>
          <w:w w:val="105"/>
          <w:sz w:val="21"/>
        </w:rPr>
        <w:t>section</w:t>
      </w:r>
      <w:r>
        <w:rPr>
          <w:spacing w:val="4"/>
          <w:w w:val="105"/>
          <w:sz w:val="21"/>
        </w:rPr>
        <w:t> </w:t>
      </w:r>
      <w:r>
        <w:rPr>
          <w:w w:val="105"/>
          <w:sz w:val="21"/>
        </w:rPr>
        <w:t>of</w:t>
      </w:r>
      <w:r>
        <w:rPr>
          <w:spacing w:val="4"/>
          <w:w w:val="105"/>
          <w:sz w:val="21"/>
        </w:rPr>
        <w:t> </w:t>
      </w:r>
      <w:r>
        <w:rPr>
          <w:w w:val="105"/>
          <w:sz w:val="21"/>
        </w:rPr>
        <w:t>the</w:t>
      </w:r>
      <w:r>
        <w:rPr>
          <w:spacing w:val="4"/>
          <w:w w:val="105"/>
          <w:sz w:val="21"/>
        </w:rPr>
        <w:t> </w:t>
      </w:r>
      <w:r>
        <w:rPr>
          <w:spacing w:val="-3"/>
          <w:w w:val="105"/>
          <w:sz w:val="21"/>
        </w:rPr>
        <w:t>Queensland</w:t>
      </w:r>
      <w:r>
        <w:rPr>
          <w:spacing w:val="5"/>
          <w:w w:val="105"/>
          <w:sz w:val="21"/>
        </w:rPr>
        <w:t> </w:t>
      </w:r>
      <w:r>
        <w:rPr>
          <w:w w:val="105"/>
          <w:sz w:val="21"/>
        </w:rPr>
        <w:t>Act.</w:t>
      </w:r>
      <w:r>
        <w:rPr>
          <w:w w:val="105"/>
          <w:position w:val="7"/>
          <w:sz w:val="12"/>
        </w:rPr>
        <w:t>57</w:t>
      </w:r>
    </w:p>
    <w:p>
      <w:pPr>
        <w:pStyle w:val="ListParagraph"/>
        <w:numPr>
          <w:ilvl w:val="1"/>
          <w:numId w:val="16"/>
        </w:numPr>
        <w:tabs>
          <w:tab w:pos="2380" w:val="left" w:leader="none"/>
          <w:tab w:pos="2381" w:val="left" w:leader="none"/>
        </w:tabs>
        <w:spacing w:line="240" w:lineRule="auto" w:before="89" w:after="0"/>
        <w:ind w:left="2380" w:right="0" w:hanging="793"/>
        <w:jc w:val="left"/>
        <w:rPr>
          <w:sz w:val="21"/>
        </w:rPr>
      </w:pPr>
      <w:r>
        <w:rPr>
          <w:spacing w:val="-3"/>
          <w:sz w:val="21"/>
        </w:rPr>
        <w:t>Substantial</w:t>
      </w:r>
      <w:r>
        <w:rPr>
          <w:spacing w:val="12"/>
          <w:sz w:val="21"/>
        </w:rPr>
        <w:t> </w:t>
      </w:r>
      <w:r>
        <w:rPr>
          <w:spacing w:val="-3"/>
          <w:sz w:val="21"/>
        </w:rPr>
        <w:t>compliance</w:t>
      </w:r>
      <w:r>
        <w:rPr>
          <w:spacing w:val="-3"/>
          <w:position w:val="7"/>
          <w:sz w:val="12"/>
        </w:rPr>
        <w:t>58</w:t>
      </w:r>
      <w:r>
        <w:rPr>
          <w:spacing w:val="11"/>
          <w:position w:val="7"/>
          <w:sz w:val="12"/>
        </w:rPr>
        <w:t> </w:t>
      </w:r>
      <w:r>
        <w:rPr>
          <w:sz w:val="21"/>
        </w:rPr>
        <w:t>with</w:t>
      </w:r>
      <w:r>
        <w:rPr>
          <w:spacing w:val="12"/>
          <w:sz w:val="21"/>
        </w:rPr>
        <w:t> </w:t>
      </w:r>
      <w:r>
        <w:rPr>
          <w:sz w:val="21"/>
        </w:rPr>
        <w:t>the</w:t>
      </w:r>
      <w:r>
        <w:rPr>
          <w:spacing w:val="12"/>
          <w:sz w:val="21"/>
        </w:rPr>
        <w:t> </w:t>
      </w:r>
      <w:r>
        <w:rPr>
          <w:spacing w:val="-3"/>
          <w:sz w:val="21"/>
        </w:rPr>
        <w:t>notice</w:t>
      </w:r>
      <w:r>
        <w:rPr>
          <w:spacing w:val="13"/>
          <w:sz w:val="21"/>
        </w:rPr>
        <w:t> </w:t>
      </w:r>
      <w:r>
        <w:rPr>
          <w:spacing w:val="-3"/>
          <w:sz w:val="21"/>
        </w:rPr>
        <w:t>requirements</w:t>
      </w:r>
      <w:r>
        <w:rPr>
          <w:spacing w:val="12"/>
          <w:sz w:val="21"/>
        </w:rPr>
        <w:t> </w:t>
      </w:r>
      <w:r>
        <w:rPr>
          <w:sz w:val="21"/>
        </w:rPr>
        <w:t>is</w:t>
      </w:r>
      <w:r>
        <w:rPr>
          <w:spacing w:val="13"/>
          <w:sz w:val="21"/>
        </w:rPr>
        <w:t> </w:t>
      </w:r>
      <w:r>
        <w:rPr>
          <w:spacing w:val="-3"/>
          <w:sz w:val="21"/>
        </w:rPr>
        <w:t>considered</w:t>
      </w:r>
      <w:r>
        <w:rPr>
          <w:spacing w:val="12"/>
          <w:sz w:val="21"/>
        </w:rPr>
        <w:t> </w:t>
      </w:r>
      <w:r>
        <w:rPr>
          <w:spacing w:val="-3"/>
          <w:sz w:val="21"/>
        </w:rPr>
        <w:t>adequate.</w:t>
      </w:r>
      <w:r>
        <w:rPr>
          <w:spacing w:val="-3"/>
          <w:position w:val="7"/>
          <w:sz w:val="12"/>
        </w:rPr>
        <w:t>59</w:t>
      </w:r>
    </w:p>
    <w:p>
      <w:pPr>
        <w:pStyle w:val="ListParagraph"/>
        <w:numPr>
          <w:ilvl w:val="1"/>
          <w:numId w:val="16"/>
        </w:numPr>
        <w:tabs>
          <w:tab w:pos="2380" w:val="left" w:leader="none"/>
          <w:tab w:pos="2381" w:val="left" w:leader="none"/>
        </w:tabs>
        <w:spacing w:line="242" w:lineRule="auto" w:before="124" w:after="0"/>
        <w:ind w:left="2381" w:right="1631" w:hanging="794"/>
        <w:jc w:val="left"/>
        <w:rPr>
          <w:sz w:val="21"/>
        </w:rPr>
      </w:pPr>
      <w:r>
        <w:rPr>
          <w:w w:val="105"/>
          <w:sz w:val="21"/>
        </w:rPr>
        <w:t>The </w:t>
      </w:r>
      <w:r>
        <w:rPr>
          <w:spacing w:val="-3"/>
          <w:w w:val="105"/>
          <w:sz w:val="21"/>
        </w:rPr>
        <w:t>neighbour may </w:t>
      </w:r>
      <w:r>
        <w:rPr>
          <w:w w:val="105"/>
          <w:sz w:val="21"/>
        </w:rPr>
        <w:t>download and use </w:t>
      </w:r>
      <w:r>
        <w:rPr>
          <w:i/>
          <w:w w:val="105"/>
          <w:sz w:val="21"/>
        </w:rPr>
        <w:t>Form 3: </w:t>
      </w:r>
      <w:r>
        <w:rPr>
          <w:i/>
          <w:spacing w:val="-3"/>
          <w:w w:val="105"/>
          <w:sz w:val="21"/>
        </w:rPr>
        <w:t>Notice </w:t>
      </w:r>
      <w:r>
        <w:rPr>
          <w:i/>
          <w:w w:val="105"/>
          <w:sz w:val="21"/>
        </w:rPr>
        <w:t>for Removal </w:t>
      </w:r>
      <w:r>
        <w:rPr>
          <w:i/>
          <w:spacing w:val="-3"/>
          <w:w w:val="105"/>
          <w:sz w:val="21"/>
        </w:rPr>
        <w:t>of </w:t>
      </w:r>
      <w:r>
        <w:rPr>
          <w:i/>
          <w:w w:val="105"/>
          <w:sz w:val="21"/>
        </w:rPr>
        <w:t>Particular </w:t>
      </w:r>
      <w:r>
        <w:rPr>
          <w:i/>
          <w:w w:val="105"/>
          <w:sz w:val="21"/>
        </w:rPr>
        <w:t>Overhanging </w:t>
      </w:r>
      <w:r>
        <w:rPr>
          <w:i/>
          <w:spacing w:val="-3"/>
          <w:w w:val="105"/>
          <w:sz w:val="21"/>
        </w:rPr>
        <w:t>Branches </w:t>
      </w:r>
      <w:r>
        <w:rPr>
          <w:spacing w:val="-3"/>
          <w:w w:val="105"/>
          <w:sz w:val="21"/>
        </w:rPr>
        <w:t>from </w:t>
      </w:r>
      <w:r>
        <w:rPr>
          <w:w w:val="105"/>
          <w:sz w:val="21"/>
        </w:rPr>
        <w:t>the </w:t>
      </w:r>
      <w:r>
        <w:rPr>
          <w:spacing w:val="-3"/>
          <w:w w:val="105"/>
          <w:sz w:val="21"/>
        </w:rPr>
        <w:t>Queensland Government’s website.</w:t>
      </w:r>
      <w:r>
        <w:rPr>
          <w:spacing w:val="-3"/>
          <w:w w:val="105"/>
          <w:position w:val="7"/>
          <w:sz w:val="12"/>
        </w:rPr>
        <w:t>60 </w:t>
      </w:r>
      <w:r>
        <w:rPr>
          <w:w w:val="105"/>
          <w:sz w:val="21"/>
        </w:rPr>
        <w:t>However this </w:t>
      </w:r>
      <w:r>
        <w:rPr>
          <w:spacing w:val="-3"/>
          <w:w w:val="105"/>
          <w:sz w:val="21"/>
        </w:rPr>
        <w:t>form </w:t>
      </w:r>
      <w:r>
        <w:rPr>
          <w:w w:val="105"/>
          <w:sz w:val="21"/>
        </w:rPr>
        <w:t>is</w:t>
      </w:r>
      <w:r>
        <w:rPr>
          <w:spacing w:val="-7"/>
          <w:w w:val="105"/>
          <w:sz w:val="21"/>
        </w:rPr>
        <w:t> </w:t>
      </w:r>
      <w:r>
        <w:rPr>
          <w:spacing w:val="-2"/>
          <w:w w:val="105"/>
          <w:sz w:val="21"/>
        </w:rPr>
        <w:t>not</w:t>
      </w:r>
      <w:r>
        <w:rPr>
          <w:spacing w:val="-6"/>
          <w:w w:val="105"/>
          <w:sz w:val="21"/>
        </w:rPr>
        <w:t> </w:t>
      </w:r>
      <w:r>
        <w:rPr>
          <w:spacing w:val="-3"/>
          <w:w w:val="105"/>
          <w:sz w:val="21"/>
        </w:rPr>
        <w:t>compulsory.</w:t>
      </w:r>
      <w:r>
        <w:rPr>
          <w:spacing w:val="-7"/>
          <w:w w:val="105"/>
          <w:sz w:val="21"/>
        </w:rPr>
        <w:t> </w:t>
      </w:r>
      <w:r>
        <w:rPr>
          <w:w w:val="105"/>
          <w:sz w:val="21"/>
        </w:rPr>
        <w:t>The</w:t>
      </w:r>
      <w:r>
        <w:rPr>
          <w:spacing w:val="-6"/>
          <w:w w:val="105"/>
          <w:sz w:val="21"/>
        </w:rPr>
        <w:t> </w:t>
      </w:r>
      <w:r>
        <w:rPr>
          <w:w w:val="105"/>
          <w:sz w:val="21"/>
        </w:rPr>
        <w:t>QLRC</w:t>
      </w:r>
      <w:r>
        <w:rPr>
          <w:spacing w:val="-6"/>
          <w:w w:val="105"/>
          <w:sz w:val="21"/>
        </w:rPr>
        <w:t> </w:t>
      </w:r>
      <w:r>
        <w:rPr>
          <w:w w:val="105"/>
          <w:sz w:val="21"/>
        </w:rPr>
        <w:t>recommended</w:t>
      </w:r>
      <w:r>
        <w:rPr>
          <w:spacing w:val="-7"/>
          <w:w w:val="105"/>
          <w:sz w:val="21"/>
        </w:rPr>
        <w:t> </w:t>
      </w:r>
      <w:r>
        <w:rPr>
          <w:w w:val="105"/>
          <w:sz w:val="21"/>
        </w:rPr>
        <w:t>the</w:t>
      </w:r>
      <w:r>
        <w:rPr>
          <w:spacing w:val="-6"/>
          <w:w w:val="105"/>
          <w:sz w:val="21"/>
        </w:rPr>
        <w:t> </w:t>
      </w:r>
      <w:r>
        <w:rPr>
          <w:w w:val="105"/>
          <w:sz w:val="21"/>
        </w:rPr>
        <w:t>use</w:t>
      </w:r>
      <w:r>
        <w:rPr>
          <w:spacing w:val="-7"/>
          <w:w w:val="105"/>
          <w:sz w:val="21"/>
        </w:rPr>
        <w:t> </w:t>
      </w:r>
      <w:r>
        <w:rPr>
          <w:w w:val="105"/>
          <w:sz w:val="21"/>
        </w:rPr>
        <w:t>of</w:t>
      </w:r>
      <w:r>
        <w:rPr>
          <w:spacing w:val="-6"/>
          <w:w w:val="105"/>
          <w:sz w:val="21"/>
        </w:rPr>
        <w:t> </w:t>
      </w:r>
      <w:r>
        <w:rPr>
          <w:w w:val="105"/>
          <w:sz w:val="21"/>
        </w:rPr>
        <w:t>a</w:t>
      </w:r>
      <w:r>
        <w:rPr>
          <w:spacing w:val="-6"/>
          <w:w w:val="105"/>
          <w:sz w:val="21"/>
        </w:rPr>
        <w:t> </w:t>
      </w:r>
      <w:r>
        <w:rPr>
          <w:w w:val="105"/>
          <w:sz w:val="21"/>
        </w:rPr>
        <w:t>compulsory</w:t>
      </w:r>
      <w:r>
        <w:rPr>
          <w:spacing w:val="-7"/>
          <w:w w:val="105"/>
          <w:sz w:val="21"/>
        </w:rPr>
        <w:t> </w:t>
      </w:r>
      <w:r>
        <w:rPr>
          <w:spacing w:val="-3"/>
          <w:w w:val="105"/>
          <w:sz w:val="21"/>
        </w:rPr>
        <w:t>form</w:t>
      </w:r>
      <w:r>
        <w:rPr>
          <w:spacing w:val="-6"/>
          <w:w w:val="105"/>
          <w:sz w:val="21"/>
        </w:rPr>
        <w:t> </w:t>
      </w:r>
      <w:r>
        <w:rPr>
          <w:spacing w:val="-3"/>
          <w:w w:val="105"/>
          <w:sz w:val="21"/>
        </w:rPr>
        <w:t>for</w:t>
      </w:r>
      <w:r>
        <w:rPr>
          <w:spacing w:val="-7"/>
          <w:w w:val="105"/>
          <w:sz w:val="21"/>
        </w:rPr>
        <w:t> </w:t>
      </w:r>
      <w:r>
        <w:rPr>
          <w:w w:val="105"/>
          <w:sz w:val="21"/>
        </w:rPr>
        <w:t>consistency and clarity but this </w:t>
      </w:r>
      <w:r>
        <w:rPr>
          <w:spacing w:val="-2"/>
          <w:w w:val="105"/>
          <w:sz w:val="21"/>
        </w:rPr>
        <w:t>has not </w:t>
      </w:r>
      <w:r>
        <w:rPr>
          <w:w w:val="105"/>
          <w:sz w:val="21"/>
        </w:rPr>
        <w:t>been</w:t>
      </w:r>
      <w:r>
        <w:rPr>
          <w:spacing w:val="33"/>
          <w:w w:val="105"/>
          <w:sz w:val="21"/>
        </w:rPr>
        <w:t> </w:t>
      </w:r>
      <w:r>
        <w:rPr>
          <w:spacing w:val="-3"/>
          <w:w w:val="105"/>
          <w:sz w:val="21"/>
        </w:rPr>
        <w:t>implemented.</w:t>
      </w:r>
      <w:r>
        <w:rPr>
          <w:spacing w:val="-3"/>
          <w:w w:val="105"/>
          <w:position w:val="7"/>
          <w:sz w:val="12"/>
        </w:rPr>
        <w:t>61</w:t>
      </w:r>
    </w:p>
    <w:p>
      <w:pPr>
        <w:pStyle w:val="ListParagraph"/>
        <w:numPr>
          <w:ilvl w:val="1"/>
          <w:numId w:val="16"/>
        </w:numPr>
        <w:tabs>
          <w:tab w:pos="2381" w:val="left" w:leader="none"/>
          <w:tab w:pos="2382" w:val="left" w:leader="none"/>
        </w:tabs>
        <w:spacing w:line="242" w:lineRule="auto" w:before="124" w:after="0"/>
        <w:ind w:left="2381" w:right="2332" w:hanging="794"/>
        <w:jc w:val="left"/>
        <w:rPr>
          <w:sz w:val="21"/>
        </w:rPr>
      </w:pPr>
      <w:r>
        <w:rPr>
          <w:w w:val="105"/>
          <w:sz w:val="21"/>
        </w:rPr>
        <w:t>A tree owner acting on the </w:t>
      </w:r>
      <w:r>
        <w:rPr>
          <w:spacing w:val="-3"/>
          <w:w w:val="105"/>
          <w:sz w:val="21"/>
        </w:rPr>
        <w:t>notice </w:t>
      </w:r>
      <w:r>
        <w:rPr>
          <w:w w:val="105"/>
          <w:sz w:val="21"/>
        </w:rPr>
        <w:t>can obtain an independent </w:t>
      </w:r>
      <w:r>
        <w:rPr>
          <w:spacing w:val="-4"/>
          <w:w w:val="105"/>
          <w:sz w:val="21"/>
        </w:rPr>
        <w:t>quote, </w:t>
      </w:r>
      <w:r>
        <w:rPr>
          <w:w w:val="105"/>
          <w:sz w:val="21"/>
        </w:rPr>
        <w:t>do the work themselves, or </w:t>
      </w:r>
      <w:r>
        <w:rPr>
          <w:spacing w:val="-3"/>
          <w:w w:val="105"/>
          <w:sz w:val="21"/>
        </w:rPr>
        <w:t>hire </w:t>
      </w:r>
      <w:r>
        <w:rPr>
          <w:w w:val="105"/>
          <w:sz w:val="21"/>
        </w:rPr>
        <w:t>a</w:t>
      </w:r>
      <w:r>
        <w:rPr>
          <w:spacing w:val="21"/>
          <w:w w:val="105"/>
          <w:sz w:val="21"/>
        </w:rPr>
        <w:t> </w:t>
      </w:r>
      <w:r>
        <w:rPr>
          <w:spacing w:val="-4"/>
          <w:w w:val="105"/>
          <w:sz w:val="21"/>
        </w:rPr>
        <w:t>contractor.</w:t>
      </w:r>
      <w:r>
        <w:rPr>
          <w:spacing w:val="-4"/>
          <w:w w:val="105"/>
          <w:position w:val="7"/>
          <w:sz w:val="12"/>
        </w:rPr>
        <w:t>62</w:t>
      </w:r>
    </w:p>
    <w:p>
      <w:pPr>
        <w:pStyle w:val="ListParagraph"/>
        <w:numPr>
          <w:ilvl w:val="1"/>
          <w:numId w:val="16"/>
        </w:numPr>
        <w:tabs>
          <w:tab w:pos="2381" w:val="left" w:leader="none"/>
          <w:tab w:pos="2382" w:val="left" w:leader="none"/>
        </w:tabs>
        <w:spacing w:line="242" w:lineRule="auto" w:before="122" w:after="0"/>
        <w:ind w:left="2381" w:right="2028" w:hanging="794"/>
        <w:jc w:val="left"/>
        <w:rPr>
          <w:sz w:val="21"/>
        </w:rPr>
      </w:pPr>
      <w:r>
        <w:rPr>
          <w:sz w:val="21"/>
        </w:rPr>
        <w:t>It is the affected </w:t>
      </w:r>
      <w:r>
        <w:rPr>
          <w:spacing w:val="-3"/>
          <w:sz w:val="21"/>
        </w:rPr>
        <w:t>neighbour’s responsibility to consider public liability </w:t>
      </w:r>
      <w:r>
        <w:rPr>
          <w:spacing w:val="-4"/>
          <w:sz w:val="21"/>
        </w:rPr>
        <w:t>insurance </w:t>
      </w:r>
      <w:r>
        <w:rPr>
          <w:spacing w:val="-3"/>
          <w:sz w:val="21"/>
        </w:rPr>
        <w:t>before </w:t>
      </w:r>
      <w:r>
        <w:rPr>
          <w:sz w:val="21"/>
        </w:rPr>
        <w:t>giving a person permission </w:t>
      </w:r>
      <w:r>
        <w:rPr>
          <w:spacing w:val="-3"/>
          <w:sz w:val="21"/>
        </w:rPr>
        <w:t>to enter </w:t>
      </w:r>
      <w:r>
        <w:rPr>
          <w:sz w:val="21"/>
        </w:rPr>
        <w:t>their </w:t>
      </w:r>
      <w:r>
        <w:rPr>
          <w:spacing w:val="-3"/>
          <w:sz w:val="21"/>
        </w:rPr>
        <w:t>land. </w:t>
      </w:r>
      <w:r>
        <w:rPr>
          <w:sz w:val="21"/>
        </w:rPr>
        <w:t>It is the tree </w:t>
      </w:r>
      <w:r>
        <w:rPr>
          <w:spacing w:val="-3"/>
          <w:sz w:val="21"/>
        </w:rPr>
        <w:t>owner’s responsibility to consider </w:t>
      </w:r>
      <w:r>
        <w:rPr>
          <w:sz w:val="21"/>
        </w:rPr>
        <w:t>a </w:t>
      </w:r>
      <w:r>
        <w:rPr>
          <w:spacing w:val="-3"/>
          <w:sz w:val="21"/>
        </w:rPr>
        <w:t>contractor’s</w:t>
      </w:r>
      <w:r>
        <w:rPr>
          <w:spacing w:val="31"/>
          <w:sz w:val="21"/>
        </w:rPr>
        <w:t> </w:t>
      </w:r>
      <w:r>
        <w:rPr>
          <w:spacing w:val="-4"/>
          <w:sz w:val="21"/>
        </w:rPr>
        <w:t>insurance.</w:t>
      </w:r>
      <w:r>
        <w:rPr>
          <w:spacing w:val="-4"/>
          <w:position w:val="7"/>
          <w:sz w:val="12"/>
        </w:rPr>
        <w:t>63</w:t>
      </w:r>
    </w:p>
    <w:p>
      <w:pPr>
        <w:pStyle w:val="Heading7"/>
      </w:pPr>
      <w:r>
        <w:rPr>
          <w:w w:val="115"/>
        </w:rPr>
        <w:t>Failure to act on the notice</w:t>
      </w:r>
    </w:p>
    <w:p>
      <w:pPr>
        <w:pStyle w:val="ListParagraph"/>
        <w:numPr>
          <w:ilvl w:val="1"/>
          <w:numId w:val="16"/>
        </w:numPr>
        <w:tabs>
          <w:tab w:pos="2380" w:val="left" w:leader="none"/>
          <w:tab w:pos="2381" w:val="left" w:leader="none"/>
        </w:tabs>
        <w:spacing w:line="242" w:lineRule="auto" w:before="142" w:after="0"/>
        <w:ind w:left="2381" w:right="1764" w:hanging="794"/>
        <w:jc w:val="left"/>
        <w:rPr>
          <w:sz w:val="21"/>
        </w:rPr>
      </w:pPr>
      <w:r>
        <w:rPr>
          <w:w w:val="105"/>
          <w:sz w:val="21"/>
        </w:rPr>
        <w:t>If</w:t>
      </w:r>
      <w:r>
        <w:rPr>
          <w:spacing w:val="-4"/>
          <w:w w:val="105"/>
          <w:sz w:val="21"/>
        </w:rPr>
        <w:t> </w:t>
      </w:r>
      <w:r>
        <w:rPr>
          <w:w w:val="105"/>
          <w:sz w:val="21"/>
        </w:rPr>
        <w:t>the</w:t>
      </w:r>
      <w:r>
        <w:rPr>
          <w:spacing w:val="-3"/>
          <w:w w:val="105"/>
          <w:sz w:val="21"/>
        </w:rPr>
        <w:t> </w:t>
      </w:r>
      <w:r>
        <w:rPr>
          <w:w w:val="105"/>
          <w:sz w:val="21"/>
        </w:rPr>
        <w:t>tree</w:t>
      </w:r>
      <w:r>
        <w:rPr>
          <w:spacing w:val="-3"/>
          <w:w w:val="105"/>
          <w:sz w:val="21"/>
        </w:rPr>
        <w:t> </w:t>
      </w:r>
      <w:r>
        <w:rPr>
          <w:w w:val="105"/>
          <w:sz w:val="21"/>
        </w:rPr>
        <w:t>owner</w:t>
      </w:r>
      <w:r>
        <w:rPr>
          <w:spacing w:val="-4"/>
          <w:w w:val="105"/>
          <w:sz w:val="21"/>
        </w:rPr>
        <w:t> </w:t>
      </w:r>
      <w:r>
        <w:rPr>
          <w:w w:val="105"/>
          <w:sz w:val="21"/>
        </w:rPr>
        <w:t>does</w:t>
      </w:r>
      <w:r>
        <w:rPr>
          <w:spacing w:val="-3"/>
          <w:w w:val="105"/>
          <w:sz w:val="21"/>
        </w:rPr>
        <w:t> </w:t>
      </w:r>
      <w:r>
        <w:rPr>
          <w:spacing w:val="-2"/>
          <w:w w:val="105"/>
          <w:sz w:val="21"/>
        </w:rPr>
        <w:t>not</w:t>
      </w:r>
      <w:r>
        <w:rPr>
          <w:spacing w:val="-3"/>
          <w:w w:val="105"/>
          <w:sz w:val="21"/>
        </w:rPr>
        <w:t> </w:t>
      </w:r>
      <w:r>
        <w:rPr>
          <w:w w:val="105"/>
          <w:sz w:val="21"/>
        </w:rPr>
        <w:t>respond</w:t>
      </w:r>
      <w:r>
        <w:rPr>
          <w:spacing w:val="-4"/>
          <w:w w:val="105"/>
          <w:sz w:val="21"/>
        </w:rPr>
        <w:t> </w:t>
      </w:r>
      <w:r>
        <w:rPr>
          <w:spacing w:val="-3"/>
          <w:w w:val="105"/>
          <w:sz w:val="21"/>
        </w:rPr>
        <w:t>to </w:t>
      </w:r>
      <w:r>
        <w:rPr>
          <w:w w:val="105"/>
          <w:sz w:val="21"/>
        </w:rPr>
        <w:t>the</w:t>
      </w:r>
      <w:r>
        <w:rPr>
          <w:spacing w:val="-3"/>
          <w:w w:val="105"/>
          <w:sz w:val="21"/>
        </w:rPr>
        <w:t> notice within</w:t>
      </w:r>
      <w:r>
        <w:rPr>
          <w:spacing w:val="-4"/>
          <w:w w:val="105"/>
          <w:sz w:val="21"/>
        </w:rPr>
        <w:t> </w:t>
      </w:r>
      <w:r>
        <w:rPr>
          <w:w w:val="105"/>
          <w:sz w:val="21"/>
        </w:rPr>
        <w:t>30</w:t>
      </w:r>
      <w:r>
        <w:rPr>
          <w:spacing w:val="-3"/>
          <w:w w:val="105"/>
          <w:sz w:val="21"/>
        </w:rPr>
        <w:t> </w:t>
      </w:r>
      <w:r>
        <w:rPr>
          <w:w w:val="105"/>
          <w:sz w:val="21"/>
        </w:rPr>
        <w:t>days,</w:t>
      </w:r>
      <w:r>
        <w:rPr>
          <w:spacing w:val="-3"/>
          <w:w w:val="105"/>
          <w:sz w:val="21"/>
        </w:rPr>
        <w:t> </w:t>
      </w:r>
      <w:r>
        <w:rPr>
          <w:w w:val="105"/>
          <w:sz w:val="21"/>
        </w:rPr>
        <w:t>the</w:t>
      </w:r>
      <w:r>
        <w:rPr>
          <w:spacing w:val="-4"/>
          <w:w w:val="105"/>
          <w:sz w:val="21"/>
        </w:rPr>
        <w:t> </w:t>
      </w:r>
      <w:r>
        <w:rPr>
          <w:w w:val="105"/>
          <w:sz w:val="21"/>
        </w:rPr>
        <w:t>affected</w:t>
      </w:r>
      <w:r>
        <w:rPr>
          <w:spacing w:val="-3"/>
          <w:w w:val="105"/>
          <w:sz w:val="21"/>
        </w:rPr>
        <w:t> neighbour </w:t>
      </w:r>
      <w:r>
        <w:rPr>
          <w:w w:val="105"/>
          <w:sz w:val="21"/>
        </w:rPr>
        <w:t>can </w:t>
      </w:r>
      <w:r>
        <w:rPr>
          <w:spacing w:val="-3"/>
          <w:w w:val="105"/>
          <w:sz w:val="21"/>
        </w:rPr>
        <w:t>arrange for </w:t>
      </w:r>
      <w:r>
        <w:rPr>
          <w:w w:val="105"/>
          <w:sz w:val="21"/>
        </w:rPr>
        <w:t>the </w:t>
      </w:r>
      <w:r>
        <w:rPr>
          <w:spacing w:val="-3"/>
          <w:w w:val="105"/>
          <w:sz w:val="21"/>
        </w:rPr>
        <w:t>overhanging branches to </w:t>
      </w:r>
      <w:r>
        <w:rPr>
          <w:w w:val="105"/>
          <w:sz w:val="21"/>
        </w:rPr>
        <w:t>be pruned or removed up </w:t>
      </w:r>
      <w:r>
        <w:rPr>
          <w:spacing w:val="-3"/>
          <w:w w:val="105"/>
          <w:sz w:val="21"/>
        </w:rPr>
        <w:t>to </w:t>
      </w:r>
      <w:r>
        <w:rPr>
          <w:w w:val="105"/>
          <w:sz w:val="21"/>
        </w:rPr>
        <w:t>the boundary </w:t>
      </w:r>
      <w:r>
        <w:rPr>
          <w:spacing w:val="-3"/>
          <w:w w:val="105"/>
          <w:sz w:val="21"/>
        </w:rPr>
        <w:t>line.</w:t>
      </w:r>
      <w:r>
        <w:rPr>
          <w:spacing w:val="-3"/>
          <w:w w:val="105"/>
          <w:position w:val="7"/>
          <w:sz w:val="12"/>
        </w:rPr>
        <w:t>64 </w:t>
      </w:r>
      <w:r>
        <w:rPr>
          <w:w w:val="105"/>
          <w:sz w:val="21"/>
        </w:rPr>
        <w:t>They can do this themselves or engage an arborist. The affected </w:t>
      </w:r>
      <w:r>
        <w:rPr>
          <w:spacing w:val="-3"/>
          <w:w w:val="105"/>
          <w:sz w:val="21"/>
        </w:rPr>
        <w:t>neighbour may return </w:t>
      </w:r>
      <w:r>
        <w:rPr>
          <w:w w:val="105"/>
          <w:sz w:val="21"/>
        </w:rPr>
        <w:t>the cut </w:t>
      </w:r>
      <w:r>
        <w:rPr>
          <w:spacing w:val="-3"/>
          <w:w w:val="105"/>
          <w:sz w:val="21"/>
        </w:rPr>
        <w:t>branches to </w:t>
      </w:r>
      <w:r>
        <w:rPr>
          <w:w w:val="105"/>
          <w:sz w:val="21"/>
        </w:rPr>
        <w:t>the tree </w:t>
      </w:r>
      <w:r>
        <w:rPr>
          <w:spacing w:val="-4"/>
          <w:w w:val="105"/>
          <w:sz w:val="21"/>
        </w:rPr>
        <w:t>owner, </w:t>
      </w:r>
      <w:r>
        <w:rPr>
          <w:w w:val="105"/>
          <w:sz w:val="21"/>
        </w:rPr>
        <w:t>but this is </w:t>
      </w:r>
      <w:r>
        <w:rPr>
          <w:spacing w:val="-2"/>
          <w:w w:val="105"/>
          <w:sz w:val="21"/>
        </w:rPr>
        <w:t>not</w:t>
      </w:r>
      <w:r>
        <w:rPr>
          <w:spacing w:val="44"/>
          <w:w w:val="105"/>
          <w:sz w:val="21"/>
        </w:rPr>
        <w:t> </w:t>
      </w:r>
      <w:r>
        <w:rPr>
          <w:spacing w:val="-3"/>
          <w:w w:val="105"/>
          <w:sz w:val="21"/>
        </w:rPr>
        <w:t>required.</w:t>
      </w:r>
      <w:r>
        <w:rPr>
          <w:spacing w:val="-3"/>
          <w:w w:val="105"/>
          <w:position w:val="7"/>
          <w:sz w:val="12"/>
        </w:rPr>
        <w:t>65</w:t>
      </w:r>
    </w:p>
    <w:p>
      <w:pPr>
        <w:pStyle w:val="ListParagraph"/>
        <w:numPr>
          <w:ilvl w:val="1"/>
          <w:numId w:val="16"/>
        </w:numPr>
        <w:tabs>
          <w:tab w:pos="2380" w:val="left" w:leader="none"/>
          <w:tab w:pos="2381" w:val="left" w:leader="none"/>
        </w:tabs>
        <w:spacing w:line="242" w:lineRule="auto" w:before="125" w:after="0"/>
        <w:ind w:left="2381" w:right="1740" w:hanging="794"/>
        <w:jc w:val="left"/>
        <w:rPr>
          <w:sz w:val="21"/>
        </w:rPr>
      </w:pPr>
      <w:r>
        <w:rPr>
          <w:w w:val="105"/>
          <w:sz w:val="21"/>
        </w:rPr>
        <w:t>The affected </w:t>
      </w:r>
      <w:r>
        <w:rPr>
          <w:spacing w:val="-3"/>
          <w:w w:val="105"/>
          <w:sz w:val="21"/>
        </w:rPr>
        <w:t>neighbour </w:t>
      </w:r>
      <w:r>
        <w:rPr>
          <w:w w:val="105"/>
          <w:sz w:val="21"/>
        </w:rPr>
        <w:t>can then </w:t>
      </w:r>
      <w:r>
        <w:rPr>
          <w:spacing w:val="-3"/>
          <w:w w:val="105"/>
          <w:sz w:val="21"/>
        </w:rPr>
        <w:t>recoup from </w:t>
      </w:r>
      <w:r>
        <w:rPr>
          <w:w w:val="105"/>
          <w:sz w:val="21"/>
        </w:rPr>
        <w:t>the tree owner up </w:t>
      </w:r>
      <w:r>
        <w:rPr>
          <w:spacing w:val="-3"/>
          <w:w w:val="105"/>
          <w:sz w:val="21"/>
        </w:rPr>
        <w:t>to </w:t>
      </w:r>
      <w:r>
        <w:rPr>
          <w:w w:val="105"/>
          <w:sz w:val="21"/>
        </w:rPr>
        <w:t>$300 </w:t>
      </w:r>
      <w:r>
        <w:rPr>
          <w:spacing w:val="-3"/>
          <w:w w:val="105"/>
          <w:sz w:val="21"/>
        </w:rPr>
        <w:t>for reasonable </w:t>
      </w:r>
      <w:r>
        <w:rPr>
          <w:w w:val="105"/>
          <w:sz w:val="21"/>
        </w:rPr>
        <w:t>expenses. The affected </w:t>
      </w:r>
      <w:r>
        <w:rPr>
          <w:spacing w:val="-3"/>
          <w:w w:val="105"/>
          <w:sz w:val="21"/>
        </w:rPr>
        <w:t>neighbour cannot recover </w:t>
      </w:r>
      <w:r>
        <w:rPr>
          <w:w w:val="105"/>
          <w:sz w:val="21"/>
        </w:rPr>
        <w:t>the costs of their own labour in </w:t>
      </w:r>
      <w:r>
        <w:rPr>
          <w:spacing w:val="-3"/>
          <w:w w:val="105"/>
          <w:sz w:val="21"/>
        </w:rPr>
        <w:t>removing </w:t>
      </w:r>
      <w:r>
        <w:rPr>
          <w:w w:val="105"/>
          <w:sz w:val="21"/>
        </w:rPr>
        <w:t>the </w:t>
      </w:r>
      <w:r>
        <w:rPr>
          <w:spacing w:val="-3"/>
          <w:w w:val="105"/>
          <w:sz w:val="21"/>
        </w:rPr>
        <w:t>branches </w:t>
      </w:r>
      <w:r>
        <w:rPr>
          <w:w w:val="105"/>
          <w:sz w:val="21"/>
        </w:rPr>
        <w:t>themselves.</w:t>
      </w:r>
      <w:r>
        <w:rPr>
          <w:w w:val="105"/>
          <w:position w:val="7"/>
          <w:sz w:val="12"/>
        </w:rPr>
        <w:t>66 </w:t>
      </w:r>
      <w:r>
        <w:rPr>
          <w:w w:val="105"/>
          <w:sz w:val="21"/>
        </w:rPr>
        <w:t>The $300 </w:t>
      </w:r>
      <w:r>
        <w:rPr>
          <w:spacing w:val="-3"/>
          <w:w w:val="105"/>
          <w:sz w:val="21"/>
        </w:rPr>
        <w:t>contribution </w:t>
      </w:r>
      <w:r>
        <w:rPr>
          <w:w w:val="105"/>
          <w:sz w:val="21"/>
        </w:rPr>
        <w:t>is a </w:t>
      </w:r>
      <w:r>
        <w:rPr>
          <w:spacing w:val="-4"/>
          <w:w w:val="105"/>
          <w:sz w:val="21"/>
        </w:rPr>
        <w:t>‘limited </w:t>
      </w:r>
      <w:r>
        <w:rPr>
          <w:w w:val="105"/>
          <w:sz w:val="21"/>
        </w:rPr>
        <w:t>right’</w:t>
      </w:r>
      <w:r>
        <w:rPr>
          <w:spacing w:val="24"/>
          <w:w w:val="105"/>
          <w:sz w:val="21"/>
        </w:rPr>
        <w:t> </w:t>
      </w:r>
      <w:r>
        <w:rPr>
          <w:spacing w:val="-3"/>
          <w:w w:val="105"/>
          <w:sz w:val="21"/>
        </w:rPr>
        <w:t>to</w:t>
      </w:r>
    </w:p>
    <w:p>
      <w:pPr>
        <w:pStyle w:val="BodyText"/>
        <w:spacing w:line="242" w:lineRule="auto" w:before="3"/>
        <w:ind w:left="2381" w:right="1732" w:hanging="1"/>
      </w:pPr>
      <w:r>
        <w:rPr>
          <w:spacing w:val="-3"/>
          <w:w w:val="105"/>
        </w:rPr>
        <w:t>recoup </w:t>
      </w:r>
      <w:r>
        <w:rPr>
          <w:w w:val="105"/>
        </w:rPr>
        <w:t>some of the </w:t>
      </w:r>
      <w:r>
        <w:rPr>
          <w:spacing w:val="-3"/>
          <w:w w:val="105"/>
        </w:rPr>
        <w:t>total </w:t>
      </w:r>
      <w:r>
        <w:rPr>
          <w:w w:val="105"/>
        </w:rPr>
        <w:t>cost.</w:t>
      </w:r>
      <w:r>
        <w:rPr>
          <w:w w:val="105"/>
          <w:position w:val="7"/>
          <w:sz w:val="12"/>
        </w:rPr>
        <w:t>67 </w:t>
      </w:r>
      <w:r>
        <w:rPr>
          <w:w w:val="105"/>
        </w:rPr>
        <w:t>The QLRC recommended </w:t>
      </w:r>
      <w:r>
        <w:rPr>
          <w:spacing w:val="-3"/>
          <w:w w:val="105"/>
        </w:rPr>
        <w:t>increasing </w:t>
      </w:r>
      <w:r>
        <w:rPr>
          <w:w w:val="105"/>
        </w:rPr>
        <w:t>the </w:t>
      </w:r>
      <w:r>
        <w:rPr>
          <w:spacing w:val="-3"/>
          <w:w w:val="105"/>
        </w:rPr>
        <w:t>amount to </w:t>
      </w:r>
      <w:r>
        <w:rPr>
          <w:w w:val="105"/>
        </w:rPr>
        <w:t>a maximum of $500 or </w:t>
      </w:r>
      <w:r>
        <w:rPr>
          <w:spacing w:val="-3"/>
          <w:w w:val="105"/>
        </w:rPr>
        <w:t>any greater amount </w:t>
      </w:r>
      <w:r>
        <w:rPr>
          <w:w w:val="105"/>
        </w:rPr>
        <w:t>prescribed by </w:t>
      </w:r>
      <w:r>
        <w:rPr>
          <w:spacing w:val="-3"/>
          <w:w w:val="105"/>
        </w:rPr>
        <w:t>legislation, however </w:t>
      </w:r>
      <w:r>
        <w:rPr>
          <w:w w:val="105"/>
        </w:rPr>
        <w:t>this </w:t>
      </w:r>
      <w:r>
        <w:rPr>
          <w:spacing w:val="-2"/>
          <w:w w:val="105"/>
        </w:rPr>
        <w:t>has not </w:t>
      </w:r>
      <w:r>
        <w:rPr>
          <w:w w:val="105"/>
        </w:rPr>
        <w:t>been </w:t>
      </w:r>
      <w:r>
        <w:rPr>
          <w:spacing w:val="-3"/>
          <w:w w:val="105"/>
        </w:rPr>
        <w:t>implemented. </w:t>
      </w:r>
      <w:r>
        <w:rPr>
          <w:w w:val="105"/>
        </w:rPr>
        <w:t>The QLRC explained </w:t>
      </w:r>
      <w:r>
        <w:rPr>
          <w:spacing w:val="-3"/>
          <w:w w:val="105"/>
        </w:rPr>
        <w:t>that </w:t>
      </w:r>
      <w:r>
        <w:rPr>
          <w:w w:val="105"/>
        </w:rPr>
        <w:t>the </w:t>
      </w:r>
      <w:r>
        <w:rPr>
          <w:spacing w:val="-3"/>
          <w:w w:val="105"/>
        </w:rPr>
        <w:t>current </w:t>
      </w:r>
      <w:r>
        <w:rPr>
          <w:w w:val="105"/>
        </w:rPr>
        <w:t>maximum $300 </w:t>
      </w:r>
      <w:r>
        <w:rPr>
          <w:spacing w:val="-3"/>
          <w:w w:val="105"/>
        </w:rPr>
        <w:t>liability </w:t>
      </w:r>
      <w:r>
        <w:rPr>
          <w:w w:val="105"/>
        </w:rPr>
        <w:t>was</w:t>
      </w:r>
    </w:p>
    <w:p>
      <w:pPr>
        <w:pStyle w:val="BodyText"/>
        <w:rPr>
          <w:sz w:val="20"/>
        </w:rPr>
      </w:pPr>
    </w:p>
    <w:p>
      <w:pPr>
        <w:pStyle w:val="BodyText"/>
        <w:rPr>
          <w:sz w:val="20"/>
        </w:rPr>
      </w:pPr>
    </w:p>
    <w:p>
      <w:pPr>
        <w:pStyle w:val="BodyText"/>
        <w:spacing w:before="6"/>
        <w:rPr>
          <w:sz w:val="24"/>
        </w:rPr>
      </w:pPr>
      <w:r>
        <w:rPr/>
        <w:pict>
          <v:line style="position:absolute;mso-position-horizontal-relative:page;mso-position-vertical-relative:paragraph;z-index:5840;mso-wrap-distance-left:0;mso-wrap-distance-right:0" from="79.370102pt,17.411263pt" to="515.905102pt,17.41126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tabs>
          <w:tab w:pos="2380" w:val="left" w:leader="none"/>
        </w:tabs>
        <w:spacing w:before="48"/>
        <w:ind w:left="1587" w:right="3589" w:firstLine="0"/>
        <w:jc w:val="left"/>
        <w:rPr>
          <w:sz w:val="13"/>
        </w:rPr>
      </w:pPr>
      <w:r>
        <w:rPr>
          <w:w w:val="105"/>
          <w:sz w:val="13"/>
        </w:rPr>
        <w:t>52</w:t>
        <w:tab/>
      </w:r>
      <w:r>
        <w:rPr>
          <w:i/>
          <w:w w:val="105"/>
          <w:sz w:val="13"/>
        </w:rPr>
        <w:t>Neighbourhood Disputes (Dividing Fences and Trees) Act </w:t>
      </w:r>
      <w:r>
        <w:rPr>
          <w:i/>
          <w:spacing w:val="-4"/>
          <w:w w:val="105"/>
          <w:sz w:val="13"/>
        </w:rPr>
        <w:t>2011 </w:t>
      </w:r>
      <w:r>
        <w:rPr>
          <w:spacing w:val="2"/>
          <w:w w:val="105"/>
          <w:sz w:val="13"/>
        </w:rPr>
        <w:t>(Qld) </w:t>
      </w:r>
      <w:r>
        <w:rPr>
          <w:w w:val="105"/>
          <w:sz w:val="13"/>
        </w:rPr>
        <w:t>s 57(2). 53</w:t>
        <w:tab/>
        <w:t>Ibid s</w:t>
      </w:r>
      <w:r>
        <w:rPr>
          <w:spacing w:val="8"/>
          <w:w w:val="105"/>
          <w:sz w:val="13"/>
        </w:rPr>
        <w:t> </w:t>
      </w:r>
      <w:r>
        <w:rPr>
          <w:spacing w:val="3"/>
          <w:w w:val="105"/>
          <w:sz w:val="13"/>
        </w:rPr>
        <w:t>57(3)(a).</w:t>
      </w:r>
    </w:p>
    <w:p>
      <w:pPr>
        <w:tabs>
          <w:tab w:pos="2381" w:val="left" w:leader="none"/>
        </w:tabs>
        <w:spacing w:before="3"/>
        <w:ind w:left="1587" w:right="0" w:firstLine="0"/>
        <w:jc w:val="left"/>
        <w:rPr>
          <w:sz w:val="13"/>
        </w:rPr>
      </w:pPr>
      <w:r>
        <w:rPr>
          <w:sz w:val="13"/>
        </w:rPr>
        <w:t>54</w:t>
        <w:tab/>
        <w:t>Ibid s</w:t>
      </w:r>
      <w:r>
        <w:rPr>
          <w:spacing w:val="12"/>
          <w:sz w:val="13"/>
        </w:rPr>
        <w:t> </w:t>
      </w:r>
      <w:r>
        <w:rPr>
          <w:spacing w:val="4"/>
          <w:sz w:val="13"/>
        </w:rPr>
        <w:t>57(3)(b)(i)–(ii).</w:t>
      </w:r>
    </w:p>
    <w:p>
      <w:pPr>
        <w:tabs>
          <w:tab w:pos="2381" w:val="left" w:leader="none"/>
        </w:tabs>
        <w:spacing w:before="1"/>
        <w:ind w:left="1587" w:right="0" w:firstLine="0"/>
        <w:jc w:val="left"/>
        <w:rPr>
          <w:sz w:val="13"/>
        </w:rPr>
      </w:pPr>
      <w:r>
        <w:rPr>
          <w:sz w:val="13"/>
        </w:rPr>
        <w:t>55</w:t>
        <w:tab/>
        <w:t>Ibid s</w:t>
      </w:r>
      <w:r>
        <w:rPr>
          <w:spacing w:val="12"/>
          <w:sz w:val="13"/>
        </w:rPr>
        <w:t> </w:t>
      </w:r>
      <w:r>
        <w:rPr>
          <w:spacing w:val="3"/>
          <w:sz w:val="13"/>
        </w:rPr>
        <w:t>57(3)(c).</w:t>
      </w:r>
    </w:p>
    <w:p>
      <w:pPr>
        <w:tabs>
          <w:tab w:pos="2381" w:val="left" w:leader="none"/>
        </w:tabs>
        <w:spacing w:before="1"/>
        <w:ind w:left="1587" w:right="0" w:firstLine="0"/>
        <w:jc w:val="left"/>
        <w:rPr>
          <w:sz w:val="13"/>
        </w:rPr>
      </w:pPr>
      <w:r>
        <w:rPr>
          <w:sz w:val="13"/>
        </w:rPr>
        <w:t>56</w:t>
        <w:tab/>
        <w:t>Ibid  s</w:t>
      </w:r>
      <w:r>
        <w:rPr>
          <w:spacing w:val="5"/>
          <w:sz w:val="13"/>
        </w:rPr>
        <w:t> </w:t>
      </w:r>
      <w:r>
        <w:rPr>
          <w:spacing w:val="3"/>
          <w:sz w:val="13"/>
        </w:rPr>
        <w:t>57(3)(d)(i).</w:t>
      </w:r>
    </w:p>
    <w:p>
      <w:pPr>
        <w:tabs>
          <w:tab w:pos="2381" w:val="left" w:leader="none"/>
        </w:tabs>
        <w:spacing w:before="2"/>
        <w:ind w:left="1587" w:right="0" w:firstLine="0"/>
        <w:jc w:val="left"/>
        <w:rPr>
          <w:sz w:val="13"/>
        </w:rPr>
      </w:pPr>
      <w:r>
        <w:rPr>
          <w:sz w:val="13"/>
        </w:rPr>
        <w:t>57</w:t>
        <w:tab/>
        <w:t>Ibid  s</w:t>
      </w:r>
      <w:r>
        <w:rPr>
          <w:spacing w:val="2"/>
          <w:sz w:val="13"/>
        </w:rPr>
        <w:t> </w:t>
      </w:r>
      <w:r>
        <w:rPr>
          <w:spacing w:val="3"/>
          <w:sz w:val="13"/>
        </w:rPr>
        <w:t>57(3)(d)(ii).</w:t>
      </w:r>
    </w:p>
    <w:p>
      <w:pPr>
        <w:pStyle w:val="ListParagraph"/>
        <w:numPr>
          <w:ilvl w:val="0"/>
          <w:numId w:val="95"/>
        </w:numPr>
        <w:tabs>
          <w:tab w:pos="2381" w:val="left" w:leader="none"/>
          <w:tab w:pos="2382" w:val="left" w:leader="none"/>
        </w:tabs>
        <w:spacing w:line="240" w:lineRule="auto" w:before="1" w:after="0"/>
        <w:ind w:left="2381" w:right="179" w:hanging="794"/>
        <w:jc w:val="both"/>
        <w:rPr>
          <w:sz w:val="13"/>
        </w:rPr>
      </w:pPr>
      <w:r>
        <w:rPr>
          <w:w w:val="105"/>
          <w:sz w:val="13"/>
        </w:rPr>
        <w:t>This is to ‘ensure that unjust results do not flow from minor errors or omissions in a completed form of notice’: 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 2015) [2.1.6.2]; see also </w:t>
      </w:r>
      <w:r>
        <w:rPr>
          <w:i/>
          <w:w w:val="105"/>
          <w:sz w:val="13"/>
        </w:rPr>
        <w:t>Neighbourhood Disputes (Dividing Fences and Trees) Act </w:t>
      </w:r>
      <w:r>
        <w:rPr>
          <w:i/>
          <w:spacing w:val="-4"/>
          <w:w w:val="105"/>
          <w:sz w:val="13"/>
        </w:rPr>
        <w:t>2011 </w:t>
      </w:r>
      <w:r>
        <w:rPr>
          <w:spacing w:val="2"/>
          <w:w w:val="105"/>
          <w:sz w:val="13"/>
        </w:rPr>
        <w:t>(Qld) </w:t>
      </w:r>
      <w:r>
        <w:rPr>
          <w:w w:val="105"/>
          <w:sz w:val="13"/>
        </w:rPr>
        <w:t>s </w:t>
      </w:r>
      <w:r>
        <w:rPr>
          <w:spacing w:val="-3"/>
          <w:w w:val="105"/>
          <w:sz w:val="13"/>
        </w:rPr>
        <w:t>91.</w:t>
      </w:r>
    </w:p>
    <w:p>
      <w:pPr>
        <w:pStyle w:val="ListParagraph"/>
        <w:numPr>
          <w:ilvl w:val="0"/>
          <w:numId w:val="95"/>
        </w:numPr>
        <w:tabs>
          <w:tab w:pos="2381" w:val="left" w:leader="none"/>
          <w:tab w:pos="2382" w:val="left" w:leader="none"/>
        </w:tabs>
        <w:spacing w:line="240" w:lineRule="auto" w:before="4" w:after="0"/>
        <w:ind w:left="2381" w:right="751"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 91; Queensland Law Reform Commission, </w:t>
      </w:r>
      <w:r>
        <w:rPr>
          <w:i/>
          <w:w w:val="105"/>
          <w:sz w:val="13"/>
        </w:rPr>
        <w:t>Review of the </w:t>
      </w:r>
      <w:r>
        <w:rPr>
          <w:i/>
          <w:w w:val="105"/>
          <w:sz w:val="13"/>
        </w:rPr>
        <w:t>Neighbourhood</w:t>
      </w:r>
      <w:r>
        <w:rPr>
          <w:i/>
          <w:spacing w:val="5"/>
          <w:w w:val="105"/>
          <w:sz w:val="13"/>
        </w:rPr>
        <w:t> </w:t>
      </w:r>
      <w:r>
        <w:rPr>
          <w:i/>
          <w:w w:val="105"/>
          <w:sz w:val="13"/>
        </w:rPr>
        <w:t>Disputes</w:t>
      </w:r>
      <w:r>
        <w:rPr>
          <w:i/>
          <w:spacing w:val="6"/>
          <w:w w:val="105"/>
          <w:sz w:val="13"/>
        </w:rPr>
        <w:t> </w:t>
      </w:r>
      <w:r>
        <w:rPr>
          <w:i/>
          <w:w w:val="105"/>
          <w:sz w:val="13"/>
        </w:rPr>
        <w:t>(Dividing</w:t>
      </w:r>
      <w:r>
        <w:rPr>
          <w:i/>
          <w:spacing w:val="6"/>
          <w:w w:val="105"/>
          <w:sz w:val="13"/>
        </w:rPr>
        <w:t> </w:t>
      </w:r>
      <w:r>
        <w:rPr>
          <w:i/>
          <w:w w:val="105"/>
          <w:sz w:val="13"/>
        </w:rPr>
        <w:t>Fences</w:t>
      </w:r>
      <w:r>
        <w:rPr>
          <w:i/>
          <w:spacing w:val="6"/>
          <w:w w:val="105"/>
          <w:sz w:val="13"/>
        </w:rPr>
        <w:t> </w:t>
      </w:r>
      <w:r>
        <w:rPr>
          <w:i/>
          <w:w w:val="105"/>
          <w:sz w:val="13"/>
        </w:rPr>
        <w:t>and</w:t>
      </w:r>
      <w:r>
        <w:rPr>
          <w:i/>
          <w:spacing w:val="6"/>
          <w:w w:val="105"/>
          <w:sz w:val="13"/>
        </w:rPr>
        <w:t> </w:t>
      </w:r>
      <w:r>
        <w:rPr>
          <w:i/>
          <w:w w:val="105"/>
          <w:sz w:val="13"/>
        </w:rPr>
        <w:t>Trees)</w:t>
      </w:r>
      <w:r>
        <w:rPr>
          <w:i/>
          <w:spacing w:val="6"/>
          <w:w w:val="105"/>
          <w:sz w:val="13"/>
        </w:rPr>
        <w:t> </w:t>
      </w:r>
      <w:r>
        <w:rPr>
          <w:i/>
          <w:w w:val="105"/>
          <w:sz w:val="13"/>
        </w:rPr>
        <w:t>Act</w:t>
      </w:r>
      <w:r>
        <w:rPr>
          <w:i/>
          <w:spacing w:val="6"/>
          <w:w w:val="105"/>
          <w:sz w:val="13"/>
        </w:rPr>
        <w:t> </w:t>
      </w:r>
      <w:r>
        <w:rPr>
          <w:i/>
          <w:spacing w:val="-4"/>
          <w:w w:val="105"/>
          <w:sz w:val="13"/>
        </w:rPr>
        <w:t>2011</w:t>
      </w:r>
      <w:r>
        <w:rPr>
          <w:i/>
          <w:spacing w:val="6"/>
          <w:w w:val="105"/>
          <w:sz w:val="13"/>
        </w:rPr>
        <w:t> </w:t>
      </w:r>
      <w:r>
        <w:rPr>
          <w:spacing w:val="2"/>
          <w:w w:val="105"/>
          <w:sz w:val="13"/>
        </w:rPr>
        <w:t>(Report</w:t>
      </w:r>
      <w:r>
        <w:rPr>
          <w:spacing w:val="6"/>
          <w:w w:val="105"/>
          <w:sz w:val="13"/>
        </w:rPr>
        <w:t> </w:t>
      </w:r>
      <w:r>
        <w:rPr>
          <w:w w:val="105"/>
          <w:sz w:val="13"/>
        </w:rPr>
        <w:t>No</w:t>
      </w:r>
      <w:r>
        <w:rPr>
          <w:spacing w:val="6"/>
          <w:w w:val="105"/>
          <w:sz w:val="13"/>
        </w:rPr>
        <w:t> </w:t>
      </w:r>
      <w:r>
        <w:rPr>
          <w:w w:val="105"/>
          <w:sz w:val="13"/>
        </w:rPr>
        <w:t>72,</w:t>
      </w:r>
      <w:r>
        <w:rPr>
          <w:spacing w:val="6"/>
          <w:w w:val="105"/>
          <w:sz w:val="13"/>
        </w:rPr>
        <w:t> </w:t>
      </w:r>
      <w:r>
        <w:rPr>
          <w:w w:val="105"/>
          <w:sz w:val="13"/>
        </w:rPr>
        <w:t>December</w:t>
      </w:r>
      <w:r>
        <w:rPr>
          <w:spacing w:val="6"/>
          <w:w w:val="105"/>
          <w:sz w:val="13"/>
        </w:rPr>
        <w:t> </w:t>
      </w:r>
      <w:r>
        <w:rPr>
          <w:w w:val="105"/>
          <w:sz w:val="13"/>
        </w:rPr>
        <w:t>2015)</w:t>
      </w:r>
      <w:r>
        <w:rPr>
          <w:spacing w:val="6"/>
          <w:w w:val="105"/>
          <w:sz w:val="13"/>
        </w:rPr>
        <w:t> </w:t>
      </w:r>
      <w:r>
        <w:rPr>
          <w:spacing w:val="2"/>
          <w:w w:val="105"/>
          <w:sz w:val="13"/>
        </w:rPr>
        <w:t>[3.280].</w:t>
      </w:r>
    </w:p>
    <w:p>
      <w:pPr>
        <w:pStyle w:val="ListParagraph"/>
        <w:numPr>
          <w:ilvl w:val="0"/>
          <w:numId w:val="95"/>
        </w:numPr>
        <w:tabs>
          <w:tab w:pos="2381" w:val="left" w:leader="none"/>
          <w:tab w:pos="2382" w:val="left" w:leader="none"/>
        </w:tabs>
        <w:spacing w:line="240" w:lineRule="auto" w:before="3" w:after="0"/>
        <w:ind w:left="2381" w:right="0" w:hanging="794"/>
        <w:jc w:val="left"/>
        <w:rPr>
          <w:sz w:val="13"/>
        </w:rPr>
      </w:pPr>
      <w:r>
        <w:rPr>
          <w:w w:val="105"/>
          <w:sz w:val="13"/>
        </w:rPr>
        <w:t>Queensland Government , </w:t>
      </w:r>
      <w:r>
        <w:rPr>
          <w:i/>
          <w:w w:val="105"/>
          <w:sz w:val="13"/>
        </w:rPr>
        <w:t>What to Do if a Neighbour’s Tree is Affecting You </w:t>
      </w:r>
      <w:r>
        <w:rPr>
          <w:w w:val="105"/>
          <w:sz w:val="13"/>
        </w:rPr>
        <w:t>(Web Page, 8 January 2019) </w:t>
      </w:r>
      <w:r>
        <w:rPr>
          <w:spacing w:val="2"/>
          <w:w w:val="105"/>
          <w:sz w:val="13"/>
        </w:rPr>
        <w:t>&lt;https://</w:t>
      </w:r>
      <w:hyperlink r:id="rId131">
        <w:r>
          <w:rPr>
            <w:spacing w:val="2"/>
            <w:w w:val="105"/>
            <w:sz w:val="13"/>
          </w:rPr>
          <w:t>www.qld.gov.au/law/</w:t>
        </w:r>
      </w:hyperlink>
      <w:r>
        <w:rPr>
          <w:spacing w:val="2"/>
          <w:w w:val="105"/>
          <w:sz w:val="13"/>
        </w:rPr>
        <w:t> </w:t>
      </w:r>
      <w:r>
        <w:rPr>
          <w:w w:val="105"/>
          <w:sz w:val="13"/>
        </w:rPr>
        <w:t>housing-and-neighbours/disputes-about-fences-trees-and-buildings/resolving-tree-and-fence-disputes/what-to-do-if-a-neighbours-tree-is- affecting-you&gt;.</w:t>
      </w:r>
    </w:p>
    <w:p>
      <w:pPr>
        <w:pStyle w:val="ListParagraph"/>
        <w:numPr>
          <w:ilvl w:val="0"/>
          <w:numId w:val="95"/>
        </w:numPr>
        <w:tabs>
          <w:tab w:pos="2381" w:val="left" w:leader="none"/>
          <w:tab w:pos="2382" w:val="left" w:leader="none"/>
        </w:tabs>
        <w:spacing w:line="240" w:lineRule="auto" w:before="4" w:after="0"/>
        <w:ind w:left="2381" w:right="76" w:hanging="794"/>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72, December 2015), Recommendation</w:t>
      </w:r>
      <w:r>
        <w:rPr>
          <w:spacing w:val="9"/>
          <w:w w:val="105"/>
          <w:sz w:val="13"/>
        </w:rPr>
        <w:t> </w:t>
      </w:r>
      <w:r>
        <w:rPr>
          <w:w w:val="105"/>
          <w:sz w:val="13"/>
        </w:rPr>
        <w:t>3.9.</w:t>
      </w:r>
    </w:p>
    <w:p>
      <w:pPr>
        <w:pStyle w:val="ListParagraph"/>
        <w:numPr>
          <w:ilvl w:val="0"/>
          <w:numId w:val="95"/>
        </w:numPr>
        <w:tabs>
          <w:tab w:pos="2381" w:val="left" w:leader="none"/>
          <w:tab w:pos="2382" w:val="left" w:leader="none"/>
        </w:tabs>
        <w:spacing w:line="240" w:lineRule="auto" w:before="2" w:after="0"/>
        <w:ind w:left="2381" w:right="0" w:hanging="794"/>
        <w:jc w:val="left"/>
        <w:rPr>
          <w:sz w:val="13"/>
        </w:rPr>
      </w:pPr>
      <w:r>
        <w:rPr>
          <w:w w:val="105"/>
          <w:sz w:val="13"/>
        </w:rPr>
        <w:t>Explanatory Notes, Neighbourhood Disputes Resolution Bill 2010 </w:t>
      </w:r>
      <w:r>
        <w:rPr>
          <w:spacing w:val="2"/>
          <w:w w:val="105"/>
          <w:sz w:val="13"/>
        </w:rPr>
        <w:t>(Qld)</w:t>
      </w:r>
      <w:r>
        <w:rPr>
          <w:spacing w:val="5"/>
          <w:w w:val="105"/>
          <w:sz w:val="13"/>
        </w:rPr>
        <w:t> </w:t>
      </w:r>
      <w:r>
        <w:rPr>
          <w:w w:val="105"/>
          <w:sz w:val="13"/>
        </w:rPr>
        <w:t>30.</w:t>
      </w:r>
    </w:p>
    <w:p>
      <w:pPr>
        <w:pStyle w:val="ListParagraph"/>
        <w:numPr>
          <w:ilvl w:val="0"/>
          <w:numId w:val="95"/>
        </w:numPr>
        <w:tabs>
          <w:tab w:pos="2381" w:val="left" w:leader="none"/>
          <w:tab w:pos="2382" w:val="left" w:leader="none"/>
        </w:tabs>
        <w:spacing w:line="240" w:lineRule="auto" w:before="2" w:after="0"/>
        <w:ind w:left="2381"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4"/>
          <w:w w:val="105"/>
          <w:sz w:val="13"/>
        </w:rPr>
        <w:t> </w:t>
      </w:r>
      <w:r>
        <w:rPr>
          <w:spacing w:val="3"/>
          <w:w w:val="105"/>
          <w:sz w:val="13"/>
        </w:rPr>
        <w:t>57(3)(c).</w:t>
      </w:r>
    </w:p>
    <w:p>
      <w:pPr>
        <w:pStyle w:val="ListParagraph"/>
        <w:numPr>
          <w:ilvl w:val="0"/>
          <w:numId w:val="95"/>
        </w:numPr>
        <w:tabs>
          <w:tab w:pos="2381" w:val="left" w:leader="none"/>
          <w:tab w:pos="2382" w:val="left" w:leader="none"/>
        </w:tabs>
        <w:spacing w:line="240" w:lineRule="auto" w:before="1" w:after="0"/>
        <w:ind w:left="2381" w:right="0" w:hanging="794"/>
        <w:jc w:val="left"/>
        <w:rPr>
          <w:sz w:val="13"/>
        </w:rPr>
      </w:pPr>
      <w:r>
        <w:rPr>
          <w:sz w:val="13"/>
        </w:rPr>
        <w:t>The</w:t>
      </w:r>
      <w:r>
        <w:rPr>
          <w:spacing w:val="16"/>
          <w:sz w:val="13"/>
        </w:rPr>
        <w:t> </w:t>
      </w:r>
      <w:r>
        <w:rPr>
          <w:sz w:val="13"/>
        </w:rPr>
        <w:t>affected</w:t>
      </w:r>
      <w:r>
        <w:rPr>
          <w:spacing w:val="16"/>
          <w:sz w:val="13"/>
        </w:rPr>
        <w:t> </w:t>
      </w:r>
      <w:r>
        <w:rPr>
          <w:sz w:val="13"/>
        </w:rPr>
        <w:t>neighbour</w:t>
      </w:r>
      <w:r>
        <w:rPr>
          <w:spacing w:val="16"/>
          <w:sz w:val="13"/>
        </w:rPr>
        <w:t> </w:t>
      </w:r>
      <w:r>
        <w:rPr>
          <w:sz w:val="13"/>
        </w:rPr>
        <w:t>cannot</w:t>
      </w:r>
      <w:r>
        <w:rPr>
          <w:spacing w:val="16"/>
          <w:sz w:val="13"/>
        </w:rPr>
        <w:t> </w:t>
      </w:r>
      <w:r>
        <w:rPr>
          <w:sz w:val="13"/>
        </w:rPr>
        <w:t>enter</w:t>
      </w:r>
      <w:r>
        <w:rPr>
          <w:spacing w:val="16"/>
          <w:sz w:val="13"/>
        </w:rPr>
        <w:t> </w:t>
      </w:r>
      <w:r>
        <w:rPr>
          <w:sz w:val="13"/>
        </w:rPr>
        <w:t>the</w:t>
      </w:r>
      <w:r>
        <w:rPr>
          <w:spacing w:val="16"/>
          <w:sz w:val="13"/>
        </w:rPr>
        <w:t> </w:t>
      </w:r>
      <w:r>
        <w:rPr>
          <w:sz w:val="13"/>
        </w:rPr>
        <w:t>tree</w:t>
      </w:r>
      <w:r>
        <w:rPr>
          <w:spacing w:val="16"/>
          <w:sz w:val="13"/>
        </w:rPr>
        <w:t> </w:t>
      </w:r>
      <w:r>
        <w:rPr>
          <w:sz w:val="13"/>
        </w:rPr>
        <w:t>owner’s</w:t>
      </w:r>
      <w:r>
        <w:rPr>
          <w:spacing w:val="16"/>
          <w:sz w:val="13"/>
        </w:rPr>
        <w:t> </w:t>
      </w:r>
      <w:r>
        <w:rPr>
          <w:sz w:val="13"/>
        </w:rPr>
        <w:t>land</w:t>
      </w:r>
      <w:r>
        <w:rPr>
          <w:spacing w:val="17"/>
          <w:sz w:val="13"/>
        </w:rPr>
        <w:t> </w:t>
      </w:r>
      <w:r>
        <w:rPr>
          <w:sz w:val="13"/>
        </w:rPr>
        <w:t>without</w:t>
      </w:r>
      <w:r>
        <w:rPr>
          <w:spacing w:val="16"/>
          <w:sz w:val="13"/>
        </w:rPr>
        <w:t> </w:t>
      </w:r>
      <w:r>
        <w:rPr>
          <w:sz w:val="13"/>
        </w:rPr>
        <w:t>permission</w:t>
      </w:r>
      <w:r>
        <w:rPr>
          <w:spacing w:val="16"/>
          <w:sz w:val="13"/>
        </w:rPr>
        <w:t> </w:t>
      </w:r>
      <w:r>
        <w:rPr>
          <w:sz w:val="13"/>
        </w:rPr>
        <w:t>as</w:t>
      </w:r>
      <w:r>
        <w:rPr>
          <w:spacing w:val="16"/>
          <w:sz w:val="13"/>
        </w:rPr>
        <w:t> </w:t>
      </w:r>
      <w:r>
        <w:rPr>
          <w:sz w:val="13"/>
        </w:rPr>
        <w:t>this</w:t>
      </w:r>
      <w:r>
        <w:rPr>
          <w:spacing w:val="16"/>
          <w:sz w:val="13"/>
        </w:rPr>
        <w:t> </w:t>
      </w:r>
      <w:r>
        <w:rPr>
          <w:sz w:val="13"/>
        </w:rPr>
        <w:t>would</w:t>
      </w:r>
      <w:r>
        <w:rPr>
          <w:spacing w:val="16"/>
          <w:sz w:val="13"/>
        </w:rPr>
        <w:t> </w:t>
      </w:r>
      <w:r>
        <w:rPr>
          <w:sz w:val="13"/>
        </w:rPr>
        <w:t>amount</w:t>
      </w:r>
      <w:r>
        <w:rPr>
          <w:spacing w:val="16"/>
          <w:sz w:val="13"/>
        </w:rPr>
        <w:t> </w:t>
      </w:r>
      <w:r>
        <w:rPr>
          <w:sz w:val="13"/>
        </w:rPr>
        <w:t>to</w:t>
      </w:r>
      <w:r>
        <w:rPr>
          <w:spacing w:val="16"/>
          <w:sz w:val="13"/>
        </w:rPr>
        <w:t> </w:t>
      </w:r>
      <w:r>
        <w:rPr>
          <w:sz w:val="13"/>
        </w:rPr>
        <w:t>trespass,</w:t>
      </w:r>
      <w:r>
        <w:rPr>
          <w:spacing w:val="16"/>
          <w:sz w:val="13"/>
        </w:rPr>
        <w:t> </w:t>
      </w:r>
      <w:r>
        <w:rPr>
          <w:sz w:val="13"/>
        </w:rPr>
        <w:t>discussed</w:t>
      </w:r>
      <w:r>
        <w:rPr>
          <w:spacing w:val="17"/>
          <w:sz w:val="13"/>
        </w:rPr>
        <w:t> </w:t>
      </w:r>
      <w:r>
        <w:rPr>
          <w:sz w:val="13"/>
        </w:rPr>
        <w:t>in</w:t>
      </w:r>
      <w:r>
        <w:rPr>
          <w:spacing w:val="16"/>
          <w:sz w:val="13"/>
        </w:rPr>
        <w:t> </w:t>
      </w:r>
      <w:r>
        <w:rPr>
          <w:sz w:val="13"/>
        </w:rPr>
        <w:t>Ch</w:t>
      </w:r>
      <w:r>
        <w:rPr>
          <w:spacing w:val="16"/>
          <w:sz w:val="13"/>
        </w:rPr>
        <w:t> </w:t>
      </w:r>
      <w:r>
        <w:rPr>
          <w:sz w:val="13"/>
        </w:rPr>
        <w:t>3.</w:t>
      </w:r>
    </w:p>
    <w:p>
      <w:pPr>
        <w:pStyle w:val="ListParagraph"/>
        <w:numPr>
          <w:ilvl w:val="0"/>
          <w:numId w:val="95"/>
        </w:numPr>
        <w:tabs>
          <w:tab w:pos="2381" w:val="left" w:leader="none"/>
          <w:tab w:pos="2382" w:val="left" w:leader="none"/>
        </w:tabs>
        <w:spacing w:line="240" w:lineRule="auto" w:before="1" w:after="0"/>
        <w:ind w:left="2381"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4"/>
          <w:w w:val="105"/>
          <w:sz w:val="13"/>
        </w:rPr>
        <w:t> </w:t>
      </w:r>
      <w:r>
        <w:rPr>
          <w:spacing w:val="4"/>
          <w:w w:val="105"/>
          <w:sz w:val="13"/>
        </w:rPr>
        <w:t>58(2)(b).</w:t>
      </w:r>
    </w:p>
    <w:p>
      <w:pPr>
        <w:pStyle w:val="ListParagraph"/>
        <w:numPr>
          <w:ilvl w:val="0"/>
          <w:numId w:val="95"/>
        </w:numPr>
        <w:tabs>
          <w:tab w:pos="2381" w:val="left" w:leader="none"/>
          <w:tab w:pos="2382" w:val="left" w:leader="none"/>
        </w:tabs>
        <w:spacing w:line="240" w:lineRule="auto" w:before="2" w:after="0"/>
        <w:ind w:left="2381" w:right="324" w:hanging="793"/>
        <w:jc w:val="left"/>
        <w:rPr>
          <w:sz w:val="13"/>
        </w:rPr>
      </w:pPr>
      <w:r>
        <w:rPr>
          <w:w w:val="105"/>
          <w:sz w:val="13"/>
        </w:rPr>
        <w:t>Form 3 states ‘this does not include the cost of </w:t>
      </w:r>
      <w:r>
        <w:rPr>
          <w:spacing w:val="2"/>
          <w:w w:val="105"/>
          <w:sz w:val="13"/>
        </w:rPr>
        <w:t>my/our </w:t>
      </w:r>
      <w:r>
        <w:rPr>
          <w:w w:val="105"/>
          <w:sz w:val="13"/>
        </w:rPr>
        <w:t>labour’: Department of Justice and Attorney-General </w:t>
      </w:r>
      <w:r>
        <w:rPr>
          <w:spacing w:val="2"/>
          <w:w w:val="105"/>
          <w:sz w:val="13"/>
        </w:rPr>
        <w:t>(Qld), </w:t>
      </w:r>
      <w:r>
        <w:rPr>
          <w:i/>
          <w:w w:val="105"/>
          <w:sz w:val="13"/>
        </w:rPr>
        <w:t>Form 3: Notice For </w:t>
      </w:r>
      <w:r>
        <w:rPr>
          <w:i/>
          <w:w w:val="105"/>
          <w:sz w:val="13"/>
        </w:rPr>
        <w:t>Removal</w:t>
      </w:r>
      <w:r>
        <w:rPr>
          <w:i/>
          <w:spacing w:val="4"/>
          <w:w w:val="105"/>
          <w:sz w:val="13"/>
        </w:rPr>
        <w:t> </w:t>
      </w:r>
      <w:r>
        <w:rPr>
          <w:i/>
          <w:w w:val="105"/>
          <w:sz w:val="13"/>
        </w:rPr>
        <w:t>of</w:t>
      </w:r>
      <w:r>
        <w:rPr>
          <w:i/>
          <w:spacing w:val="5"/>
          <w:w w:val="105"/>
          <w:sz w:val="13"/>
        </w:rPr>
        <w:t> </w:t>
      </w:r>
      <w:r>
        <w:rPr>
          <w:i/>
          <w:w w:val="105"/>
          <w:sz w:val="13"/>
        </w:rPr>
        <w:t>Particular</w:t>
      </w:r>
      <w:r>
        <w:rPr>
          <w:i/>
          <w:spacing w:val="5"/>
          <w:w w:val="105"/>
          <w:sz w:val="13"/>
        </w:rPr>
        <w:t> </w:t>
      </w:r>
      <w:r>
        <w:rPr>
          <w:i/>
          <w:w w:val="105"/>
          <w:sz w:val="13"/>
        </w:rPr>
        <w:t>Overhanging</w:t>
      </w:r>
      <w:r>
        <w:rPr>
          <w:i/>
          <w:spacing w:val="5"/>
          <w:w w:val="105"/>
          <w:sz w:val="13"/>
        </w:rPr>
        <w:t> </w:t>
      </w:r>
      <w:r>
        <w:rPr>
          <w:i/>
          <w:w w:val="105"/>
          <w:sz w:val="13"/>
        </w:rPr>
        <w:t>Branches</w:t>
      </w:r>
      <w:r>
        <w:rPr>
          <w:i/>
          <w:spacing w:val="4"/>
          <w:w w:val="105"/>
          <w:sz w:val="13"/>
        </w:rPr>
        <w:t> </w:t>
      </w:r>
      <w:r>
        <w:rPr>
          <w:w w:val="105"/>
          <w:sz w:val="13"/>
        </w:rPr>
        <w:t>(Version</w:t>
      </w:r>
      <w:r>
        <w:rPr>
          <w:spacing w:val="5"/>
          <w:w w:val="105"/>
          <w:sz w:val="13"/>
        </w:rPr>
        <w:t> </w:t>
      </w:r>
      <w:r>
        <w:rPr>
          <w:w w:val="105"/>
          <w:sz w:val="13"/>
        </w:rPr>
        <w:t>3,</w:t>
      </w:r>
      <w:r>
        <w:rPr>
          <w:spacing w:val="5"/>
          <w:w w:val="105"/>
          <w:sz w:val="13"/>
        </w:rPr>
        <w:t> </w:t>
      </w:r>
      <w:r>
        <w:rPr>
          <w:w w:val="105"/>
          <w:sz w:val="13"/>
        </w:rPr>
        <w:t>29</w:t>
      </w:r>
      <w:r>
        <w:rPr>
          <w:spacing w:val="5"/>
          <w:w w:val="105"/>
          <w:sz w:val="13"/>
        </w:rPr>
        <w:t> </w:t>
      </w:r>
      <w:r>
        <w:rPr>
          <w:w w:val="105"/>
          <w:sz w:val="13"/>
        </w:rPr>
        <w:t>October</w:t>
      </w:r>
      <w:r>
        <w:rPr>
          <w:spacing w:val="5"/>
          <w:w w:val="105"/>
          <w:sz w:val="13"/>
        </w:rPr>
        <w:t> </w:t>
      </w:r>
      <w:r>
        <w:rPr>
          <w:w w:val="105"/>
          <w:sz w:val="13"/>
        </w:rPr>
        <w:t>2015)</w:t>
      </w:r>
      <w:r>
        <w:rPr>
          <w:spacing w:val="4"/>
          <w:w w:val="105"/>
          <w:sz w:val="13"/>
        </w:rPr>
        <w:t> </w:t>
      </w:r>
      <w:r>
        <w:rPr>
          <w:w w:val="105"/>
          <w:sz w:val="13"/>
        </w:rPr>
        <w:t>2.</w:t>
      </w:r>
    </w:p>
    <w:p>
      <w:pPr>
        <w:pStyle w:val="ListParagraph"/>
        <w:numPr>
          <w:ilvl w:val="0"/>
          <w:numId w:val="95"/>
        </w:numPr>
        <w:tabs>
          <w:tab w:pos="2381" w:val="left" w:leader="none"/>
          <w:tab w:pos="2382" w:val="left" w:leader="none"/>
        </w:tabs>
        <w:spacing w:line="240" w:lineRule="auto" w:before="2" w:after="0"/>
        <w:ind w:left="2381" w:right="491" w:hanging="793"/>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 2015)</w:t>
      </w:r>
      <w:r>
        <w:rPr>
          <w:spacing w:val="9"/>
          <w:w w:val="105"/>
          <w:sz w:val="13"/>
        </w:rPr>
        <w:t> </w:t>
      </w:r>
      <w:r>
        <w:rPr>
          <w:spacing w:val="2"/>
          <w:w w:val="105"/>
          <w:sz w:val="13"/>
        </w:rPr>
        <w:t>[3.260].</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05"/>
        <w:ind w:left="569" w:right="573" w:firstLine="0"/>
        <w:jc w:val="center"/>
        <w:rPr>
          <w:b/>
          <w:sz w:val="24"/>
        </w:rPr>
      </w:pPr>
      <w:r>
        <w:rPr>
          <w:b/>
          <w:color w:val="658464"/>
          <w:w w:val="110"/>
          <w:sz w:val="24"/>
        </w:rPr>
        <w:t>117</w:t>
      </w:r>
    </w:p>
    <w:p>
      <w:pPr>
        <w:spacing w:after="0"/>
        <w:jc w:val="center"/>
        <w:rPr>
          <w:sz w:val="24"/>
        </w:rPr>
        <w:sectPr>
          <w:type w:val="continuous"/>
          <w:pgSz w:w="11910" w:h="16840"/>
          <w:pgMar w:top="300" w:bottom="280" w:left="0" w:right="0"/>
          <w:cols w:num="2" w:equalWidth="0">
            <w:col w:w="10285" w:space="40"/>
            <w:col w:w="1585"/>
          </w:cols>
        </w:sectPr>
      </w:pPr>
    </w:p>
    <w:p>
      <w:pPr>
        <w:pStyle w:val="BodyText"/>
        <w:spacing w:before="9"/>
        <w:rPr>
          <w:b/>
          <w:sz w:val="22"/>
        </w:rPr>
      </w:pPr>
    </w:p>
    <w:p>
      <w:pPr>
        <w:pStyle w:val="BodyText"/>
        <w:spacing w:line="242" w:lineRule="auto" w:before="92"/>
        <w:ind w:left="2381" w:right="1636"/>
        <w:rPr>
          <w:sz w:val="12"/>
        </w:rPr>
      </w:pPr>
      <w:r>
        <w:rPr>
          <w:spacing w:val="-3"/>
          <w:w w:val="105"/>
        </w:rPr>
        <w:t>‘insufficient to </w:t>
      </w:r>
      <w:r>
        <w:rPr>
          <w:w w:val="105"/>
        </w:rPr>
        <w:t>meet the costs </w:t>
      </w:r>
      <w:r>
        <w:rPr>
          <w:spacing w:val="-3"/>
          <w:w w:val="105"/>
        </w:rPr>
        <w:t>to </w:t>
      </w:r>
      <w:r>
        <w:rPr>
          <w:w w:val="105"/>
        </w:rPr>
        <w:t>the </w:t>
      </w:r>
      <w:r>
        <w:rPr>
          <w:spacing w:val="-3"/>
          <w:w w:val="105"/>
        </w:rPr>
        <w:t>neighbour </w:t>
      </w:r>
      <w:r>
        <w:rPr>
          <w:w w:val="105"/>
        </w:rPr>
        <w:t>of </w:t>
      </w:r>
      <w:r>
        <w:rPr>
          <w:spacing w:val="-3"/>
          <w:w w:val="105"/>
        </w:rPr>
        <w:t>having </w:t>
      </w:r>
      <w:r>
        <w:rPr>
          <w:w w:val="105"/>
        </w:rPr>
        <w:t>work done </w:t>
      </w:r>
      <w:r>
        <w:rPr>
          <w:spacing w:val="-3"/>
          <w:w w:val="105"/>
        </w:rPr>
        <w:t>to </w:t>
      </w:r>
      <w:r>
        <w:rPr>
          <w:w w:val="105"/>
        </w:rPr>
        <w:t>cut and </w:t>
      </w:r>
      <w:r>
        <w:rPr>
          <w:spacing w:val="-3"/>
          <w:w w:val="105"/>
        </w:rPr>
        <w:t>remove overhanging branches </w:t>
      </w:r>
      <w:r>
        <w:rPr>
          <w:spacing w:val="-5"/>
          <w:w w:val="105"/>
        </w:rPr>
        <w:t>2.5 </w:t>
      </w:r>
      <w:r>
        <w:rPr>
          <w:w w:val="105"/>
        </w:rPr>
        <w:t>metres or less above the </w:t>
      </w:r>
      <w:r>
        <w:rPr>
          <w:spacing w:val="-3"/>
          <w:w w:val="105"/>
        </w:rPr>
        <w:t>ground </w:t>
      </w:r>
      <w:r>
        <w:rPr>
          <w:w w:val="105"/>
        </w:rPr>
        <w:t>in </w:t>
      </w:r>
      <w:r>
        <w:rPr>
          <w:spacing w:val="-3"/>
          <w:w w:val="105"/>
        </w:rPr>
        <w:t>all cases’.</w:t>
      </w:r>
      <w:r>
        <w:rPr>
          <w:spacing w:val="-3"/>
          <w:w w:val="105"/>
          <w:position w:val="7"/>
          <w:sz w:val="12"/>
        </w:rPr>
        <w:t>68</w:t>
      </w:r>
    </w:p>
    <w:p>
      <w:pPr>
        <w:pStyle w:val="ListParagraph"/>
        <w:numPr>
          <w:ilvl w:val="1"/>
          <w:numId w:val="16"/>
        </w:numPr>
        <w:tabs>
          <w:tab w:pos="2381" w:val="left" w:leader="none"/>
          <w:tab w:pos="2382" w:val="left" w:leader="none"/>
        </w:tabs>
        <w:spacing w:line="242" w:lineRule="auto" w:before="122" w:after="0"/>
        <w:ind w:left="2381" w:right="1670" w:hanging="794"/>
        <w:jc w:val="left"/>
        <w:rPr>
          <w:sz w:val="21"/>
        </w:rPr>
      </w:pPr>
      <w:r>
        <w:rPr>
          <w:w w:val="105"/>
          <w:sz w:val="21"/>
        </w:rPr>
        <w:t>If the tree owner does </w:t>
      </w:r>
      <w:r>
        <w:rPr>
          <w:spacing w:val="-2"/>
          <w:w w:val="105"/>
          <w:sz w:val="21"/>
        </w:rPr>
        <w:t>not </w:t>
      </w:r>
      <w:r>
        <w:rPr>
          <w:spacing w:val="-5"/>
          <w:w w:val="105"/>
          <w:sz w:val="21"/>
        </w:rPr>
        <w:t>pay, </w:t>
      </w:r>
      <w:r>
        <w:rPr>
          <w:w w:val="105"/>
          <w:sz w:val="21"/>
        </w:rPr>
        <w:t>the affected </w:t>
      </w:r>
      <w:r>
        <w:rPr>
          <w:spacing w:val="-3"/>
          <w:w w:val="105"/>
          <w:sz w:val="21"/>
        </w:rPr>
        <w:t>neighbour </w:t>
      </w:r>
      <w:r>
        <w:rPr>
          <w:w w:val="105"/>
          <w:sz w:val="21"/>
        </w:rPr>
        <w:t>can pursue the debt in </w:t>
      </w:r>
      <w:r>
        <w:rPr>
          <w:spacing w:val="-4"/>
          <w:w w:val="105"/>
          <w:sz w:val="21"/>
        </w:rPr>
        <w:t>QCAT </w:t>
      </w:r>
      <w:r>
        <w:rPr>
          <w:w w:val="105"/>
          <w:sz w:val="21"/>
        </w:rPr>
        <w:t>as a </w:t>
      </w:r>
      <w:r>
        <w:rPr>
          <w:spacing w:val="-3"/>
          <w:w w:val="105"/>
          <w:sz w:val="21"/>
        </w:rPr>
        <w:t>minor </w:t>
      </w:r>
      <w:r>
        <w:rPr>
          <w:w w:val="105"/>
          <w:sz w:val="21"/>
        </w:rPr>
        <w:t>civil</w:t>
      </w:r>
      <w:r>
        <w:rPr>
          <w:spacing w:val="13"/>
          <w:w w:val="105"/>
          <w:sz w:val="21"/>
        </w:rPr>
        <w:t> </w:t>
      </w:r>
      <w:r>
        <w:rPr>
          <w:spacing w:val="-3"/>
          <w:w w:val="105"/>
          <w:sz w:val="21"/>
        </w:rPr>
        <w:t>claim.</w:t>
      </w:r>
      <w:r>
        <w:rPr>
          <w:spacing w:val="-3"/>
          <w:w w:val="105"/>
          <w:position w:val="7"/>
          <w:sz w:val="12"/>
        </w:rPr>
        <w:t>69</w:t>
      </w:r>
    </w:p>
    <w:p>
      <w:pPr>
        <w:pStyle w:val="ListParagraph"/>
        <w:numPr>
          <w:ilvl w:val="1"/>
          <w:numId w:val="16"/>
        </w:numPr>
        <w:tabs>
          <w:tab w:pos="2381" w:val="left" w:leader="none"/>
          <w:tab w:pos="2382" w:val="left" w:leader="none"/>
        </w:tabs>
        <w:spacing w:line="242" w:lineRule="auto" w:before="122" w:after="0"/>
        <w:ind w:left="2381" w:right="1714" w:hanging="794"/>
        <w:jc w:val="left"/>
        <w:rPr>
          <w:sz w:val="21"/>
        </w:rPr>
      </w:pPr>
      <w:r>
        <w:rPr>
          <w:sz w:val="21"/>
        </w:rPr>
        <w:t>Where the costs </w:t>
      </w:r>
      <w:r>
        <w:rPr>
          <w:spacing w:val="-3"/>
          <w:sz w:val="21"/>
        </w:rPr>
        <w:t>are significant </w:t>
      </w:r>
      <w:r>
        <w:rPr>
          <w:sz w:val="21"/>
        </w:rPr>
        <w:t>and </w:t>
      </w:r>
      <w:r>
        <w:rPr>
          <w:spacing w:val="-3"/>
          <w:sz w:val="21"/>
        </w:rPr>
        <w:t>substantially </w:t>
      </w:r>
      <w:r>
        <w:rPr>
          <w:sz w:val="21"/>
        </w:rPr>
        <w:t>exceed the $300 </w:t>
      </w:r>
      <w:r>
        <w:rPr>
          <w:spacing w:val="-3"/>
          <w:sz w:val="21"/>
        </w:rPr>
        <w:t>cap, </w:t>
      </w:r>
      <w:r>
        <w:rPr>
          <w:sz w:val="21"/>
        </w:rPr>
        <w:t>then an affected </w:t>
      </w:r>
      <w:r>
        <w:rPr>
          <w:spacing w:val="-3"/>
          <w:sz w:val="21"/>
        </w:rPr>
        <w:t>neighbour </w:t>
      </w:r>
      <w:r>
        <w:rPr>
          <w:sz w:val="21"/>
        </w:rPr>
        <w:t>would </w:t>
      </w:r>
      <w:r>
        <w:rPr>
          <w:spacing w:val="-2"/>
          <w:sz w:val="21"/>
        </w:rPr>
        <w:t>not </w:t>
      </w:r>
      <w:r>
        <w:rPr>
          <w:sz w:val="21"/>
        </w:rPr>
        <w:t>be able </w:t>
      </w:r>
      <w:r>
        <w:rPr>
          <w:spacing w:val="-3"/>
          <w:sz w:val="21"/>
        </w:rPr>
        <w:t>to recover </w:t>
      </w:r>
      <w:r>
        <w:rPr>
          <w:sz w:val="21"/>
        </w:rPr>
        <w:t>those costs </w:t>
      </w:r>
      <w:r>
        <w:rPr>
          <w:spacing w:val="-3"/>
          <w:sz w:val="21"/>
        </w:rPr>
        <w:t>using </w:t>
      </w:r>
      <w:r>
        <w:rPr>
          <w:sz w:val="21"/>
        </w:rPr>
        <w:t>this process. </w:t>
      </w:r>
      <w:r>
        <w:rPr>
          <w:spacing w:val="-3"/>
          <w:sz w:val="21"/>
        </w:rPr>
        <w:t>Instead, </w:t>
      </w:r>
      <w:r>
        <w:rPr>
          <w:sz w:val="21"/>
        </w:rPr>
        <w:t>they </w:t>
      </w:r>
      <w:r>
        <w:rPr>
          <w:spacing w:val="-3"/>
          <w:sz w:val="21"/>
        </w:rPr>
        <w:t>may </w:t>
      </w:r>
      <w:r>
        <w:rPr>
          <w:sz w:val="21"/>
        </w:rPr>
        <w:t>choose </w:t>
      </w:r>
      <w:r>
        <w:rPr>
          <w:spacing w:val="-3"/>
          <w:sz w:val="21"/>
        </w:rPr>
        <w:t>to commence </w:t>
      </w:r>
      <w:r>
        <w:rPr>
          <w:sz w:val="21"/>
        </w:rPr>
        <w:t>legal action in </w:t>
      </w:r>
      <w:r>
        <w:rPr>
          <w:spacing w:val="-4"/>
          <w:sz w:val="21"/>
        </w:rPr>
        <w:t>QCAT </w:t>
      </w:r>
      <w:r>
        <w:rPr>
          <w:sz w:val="21"/>
        </w:rPr>
        <w:t>if the </w:t>
      </w:r>
      <w:r>
        <w:rPr>
          <w:spacing w:val="-3"/>
          <w:sz w:val="21"/>
        </w:rPr>
        <w:t>jurisdictional requirements </w:t>
      </w:r>
      <w:r>
        <w:rPr>
          <w:sz w:val="21"/>
        </w:rPr>
        <w:t>under the </w:t>
      </w:r>
      <w:r>
        <w:rPr>
          <w:spacing w:val="-3"/>
          <w:sz w:val="21"/>
        </w:rPr>
        <w:t>Queensland </w:t>
      </w:r>
      <w:r>
        <w:rPr>
          <w:sz w:val="21"/>
        </w:rPr>
        <w:t>Act </w:t>
      </w:r>
      <w:r>
        <w:rPr>
          <w:spacing w:val="-3"/>
          <w:sz w:val="21"/>
        </w:rPr>
        <w:t>are</w:t>
      </w:r>
      <w:r>
        <w:rPr>
          <w:spacing w:val="30"/>
          <w:sz w:val="21"/>
        </w:rPr>
        <w:t> </w:t>
      </w:r>
      <w:r>
        <w:rPr>
          <w:spacing w:val="-4"/>
          <w:sz w:val="21"/>
        </w:rPr>
        <w:t>met.</w:t>
      </w:r>
      <w:r>
        <w:rPr>
          <w:spacing w:val="-4"/>
          <w:position w:val="7"/>
          <w:sz w:val="12"/>
        </w:rPr>
        <w:t>70</w:t>
      </w:r>
    </w:p>
    <w:p>
      <w:pPr>
        <w:pStyle w:val="Heading7"/>
        <w:spacing w:before="155"/>
      </w:pPr>
      <w:r>
        <w:rPr>
          <w:w w:val="115"/>
        </w:rPr>
        <w:t>Safeguards</w:t>
      </w:r>
    </w:p>
    <w:p>
      <w:pPr>
        <w:pStyle w:val="ListParagraph"/>
        <w:numPr>
          <w:ilvl w:val="1"/>
          <w:numId w:val="16"/>
        </w:numPr>
        <w:tabs>
          <w:tab w:pos="2380" w:val="left" w:leader="none"/>
          <w:tab w:pos="2381" w:val="left" w:leader="none"/>
        </w:tabs>
        <w:spacing w:line="242" w:lineRule="auto" w:before="143" w:after="0"/>
        <w:ind w:left="2381" w:right="1682" w:hanging="794"/>
        <w:jc w:val="left"/>
        <w:rPr>
          <w:sz w:val="21"/>
        </w:rPr>
      </w:pPr>
      <w:r>
        <w:rPr>
          <w:sz w:val="21"/>
        </w:rPr>
        <w:t>This process does </w:t>
      </w:r>
      <w:r>
        <w:rPr>
          <w:spacing w:val="-2"/>
          <w:sz w:val="21"/>
        </w:rPr>
        <w:t>not </w:t>
      </w:r>
      <w:r>
        <w:rPr>
          <w:sz w:val="21"/>
        </w:rPr>
        <w:t>override </w:t>
      </w:r>
      <w:r>
        <w:rPr>
          <w:spacing w:val="-3"/>
          <w:sz w:val="21"/>
        </w:rPr>
        <w:t>any requirements to </w:t>
      </w:r>
      <w:r>
        <w:rPr>
          <w:sz w:val="21"/>
        </w:rPr>
        <w:t>obtain authorisation or permits under </w:t>
      </w:r>
      <w:r>
        <w:rPr>
          <w:spacing w:val="-3"/>
          <w:sz w:val="21"/>
        </w:rPr>
        <w:t>any </w:t>
      </w:r>
      <w:r>
        <w:rPr>
          <w:sz w:val="21"/>
        </w:rPr>
        <w:t>other law or local</w:t>
      </w:r>
      <w:r>
        <w:rPr>
          <w:spacing w:val="46"/>
          <w:sz w:val="21"/>
        </w:rPr>
        <w:t> </w:t>
      </w:r>
      <w:r>
        <w:rPr>
          <w:spacing w:val="-6"/>
          <w:sz w:val="21"/>
        </w:rPr>
        <w:t>law.</w:t>
      </w:r>
      <w:r>
        <w:rPr>
          <w:spacing w:val="-6"/>
          <w:position w:val="7"/>
          <w:sz w:val="12"/>
        </w:rPr>
        <w:t>71</w:t>
      </w:r>
    </w:p>
    <w:p>
      <w:pPr>
        <w:pStyle w:val="ListParagraph"/>
        <w:numPr>
          <w:ilvl w:val="1"/>
          <w:numId w:val="16"/>
        </w:numPr>
        <w:tabs>
          <w:tab w:pos="2380" w:val="left" w:leader="none"/>
          <w:tab w:pos="2381" w:val="left" w:leader="none"/>
        </w:tabs>
        <w:spacing w:line="242" w:lineRule="auto" w:before="122" w:after="0"/>
        <w:ind w:left="2380" w:right="1812" w:hanging="793"/>
        <w:jc w:val="left"/>
        <w:rPr>
          <w:sz w:val="21"/>
        </w:rPr>
      </w:pPr>
      <w:r>
        <w:rPr>
          <w:w w:val="105"/>
          <w:sz w:val="21"/>
        </w:rPr>
        <w:t>An affected </w:t>
      </w:r>
      <w:r>
        <w:rPr>
          <w:spacing w:val="-3"/>
          <w:w w:val="105"/>
          <w:sz w:val="21"/>
        </w:rPr>
        <w:t>neighbour cannot </w:t>
      </w:r>
      <w:r>
        <w:rPr>
          <w:w w:val="105"/>
          <w:sz w:val="21"/>
        </w:rPr>
        <w:t>use this </w:t>
      </w:r>
      <w:r>
        <w:rPr>
          <w:spacing w:val="-3"/>
          <w:w w:val="105"/>
          <w:sz w:val="21"/>
        </w:rPr>
        <w:t>notice </w:t>
      </w:r>
      <w:r>
        <w:rPr>
          <w:w w:val="105"/>
          <w:sz w:val="21"/>
        </w:rPr>
        <w:t>if they </w:t>
      </w:r>
      <w:r>
        <w:rPr>
          <w:spacing w:val="-3"/>
          <w:w w:val="105"/>
          <w:sz w:val="21"/>
        </w:rPr>
        <w:t>have </w:t>
      </w:r>
      <w:r>
        <w:rPr>
          <w:w w:val="105"/>
          <w:sz w:val="21"/>
        </w:rPr>
        <w:t>issued a </w:t>
      </w:r>
      <w:r>
        <w:rPr>
          <w:spacing w:val="-3"/>
          <w:w w:val="105"/>
          <w:sz w:val="21"/>
        </w:rPr>
        <w:t>notice for </w:t>
      </w:r>
      <w:r>
        <w:rPr>
          <w:i/>
          <w:spacing w:val="-3"/>
          <w:w w:val="105"/>
          <w:sz w:val="21"/>
        </w:rPr>
        <w:t>any </w:t>
      </w:r>
      <w:r>
        <w:rPr>
          <w:i/>
          <w:w w:val="105"/>
          <w:sz w:val="21"/>
        </w:rPr>
        <w:t>tree </w:t>
      </w:r>
      <w:r>
        <w:rPr>
          <w:spacing w:val="-3"/>
          <w:w w:val="105"/>
          <w:sz w:val="21"/>
        </w:rPr>
        <w:t>within </w:t>
      </w:r>
      <w:r>
        <w:rPr>
          <w:w w:val="105"/>
          <w:sz w:val="21"/>
        </w:rPr>
        <w:t>the </w:t>
      </w:r>
      <w:r>
        <w:rPr>
          <w:spacing w:val="-3"/>
          <w:w w:val="105"/>
          <w:sz w:val="21"/>
        </w:rPr>
        <w:t>previous </w:t>
      </w:r>
      <w:r>
        <w:rPr>
          <w:spacing w:val="-9"/>
          <w:w w:val="105"/>
          <w:sz w:val="21"/>
        </w:rPr>
        <w:t>12 </w:t>
      </w:r>
      <w:r>
        <w:rPr>
          <w:spacing w:val="-3"/>
          <w:w w:val="105"/>
          <w:sz w:val="21"/>
        </w:rPr>
        <w:t>months.</w:t>
      </w:r>
      <w:r>
        <w:rPr>
          <w:spacing w:val="-3"/>
          <w:w w:val="105"/>
          <w:position w:val="7"/>
          <w:sz w:val="12"/>
        </w:rPr>
        <w:t>72 </w:t>
      </w:r>
      <w:r>
        <w:rPr>
          <w:w w:val="105"/>
          <w:sz w:val="21"/>
        </w:rPr>
        <w:t>The QLRC </w:t>
      </w:r>
      <w:r>
        <w:rPr>
          <w:spacing w:val="-3"/>
          <w:w w:val="105"/>
          <w:sz w:val="21"/>
        </w:rPr>
        <w:t>considered </w:t>
      </w:r>
      <w:r>
        <w:rPr>
          <w:w w:val="105"/>
          <w:sz w:val="21"/>
        </w:rPr>
        <w:t>this a </w:t>
      </w:r>
      <w:r>
        <w:rPr>
          <w:spacing w:val="-4"/>
          <w:w w:val="105"/>
          <w:sz w:val="21"/>
        </w:rPr>
        <w:t>fair </w:t>
      </w:r>
      <w:r>
        <w:rPr>
          <w:spacing w:val="-3"/>
          <w:w w:val="105"/>
          <w:sz w:val="21"/>
        </w:rPr>
        <w:t>balance </w:t>
      </w:r>
      <w:r>
        <w:rPr>
          <w:w w:val="105"/>
          <w:sz w:val="21"/>
        </w:rPr>
        <w:t>between the affected </w:t>
      </w:r>
      <w:r>
        <w:rPr>
          <w:spacing w:val="-3"/>
          <w:w w:val="105"/>
          <w:sz w:val="21"/>
        </w:rPr>
        <w:t>neighbour’s </w:t>
      </w:r>
      <w:r>
        <w:rPr>
          <w:w w:val="105"/>
          <w:sz w:val="21"/>
        </w:rPr>
        <w:t>use and </w:t>
      </w:r>
      <w:r>
        <w:rPr>
          <w:spacing w:val="-2"/>
          <w:w w:val="105"/>
          <w:sz w:val="21"/>
        </w:rPr>
        <w:t>enjoyment </w:t>
      </w:r>
      <w:r>
        <w:rPr>
          <w:w w:val="105"/>
          <w:sz w:val="21"/>
        </w:rPr>
        <w:t>of their </w:t>
      </w:r>
      <w:r>
        <w:rPr>
          <w:spacing w:val="-3"/>
          <w:w w:val="105"/>
          <w:sz w:val="21"/>
        </w:rPr>
        <w:t>land </w:t>
      </w:r>
      <w:r>
        <w:rPr>
          <w:w w:val="105"/>
          <w:sz w:val="21"/>
        </w:rPr>
        <w:t>and the tree </w:t>
      </w:r>
      <w:r>
        <w:rPr>
          <w:spacing w:val="-3"/>
          <w:w w:val="105"/>
          <w:sz w:val="21"/>
        </w:rPr>
        <w:t>owner’s </w:t>
      </w:r>
      <w:r>
        <w:rPr>
          <w:spacing w:val="-4"/>
          <w:w w:val="105"/>
          <w:sz w:val="21"/>
        </w:rPr>
        <w:t>liability. </w:t>
      </w:r>
      <w:r>
        <w:rPr>
          <w:w w:val="105"/>
          <w:sz w:val="21"/>
        </w:rPr>
        <w:t>The QLRC</w:t>
      </w:r>
      <w:r>
        <w:rPr>
          <w:spacing w:val="-5"/>
          <w:w w:val="105"/>
          <w:sz w:val="21"/>
        </w:rPr>
        <w:t> </w:t>
      </w:r>
      <w:r>
        <w:rPr>
          <w:w w:val="105"/>
          <w:sz w:val="21"/>
        </w:rPr>
        <w:t>further</w:t>
      </w:r>
      <w:r>
        <w:rPr>
          <w:spacing w:val="-4"/>
          <w:w w:val="105"/>
          <w:sz w:val="21"/>
        </w:rPr>
        <w:t> </w:t>
      </w:r>
      <w:r>
        <w:rPr>
          <w:w w:val="105"/>
          <w:sz w:val="21"/>
        </w:rPr>
        <w:t>explained</w:t>
      </w:r>
      <w:r>
        <w:rPr>
          <w:spacing w:val="-4"/>
          <w:w w:val="105"/>
          <w:sz w:val="21"/>
        </w:rPr>
        <w:t> </w:t>
      </w:r>
      <w:r>
        <w:rPr>
          <w:spacing w:val="-3"/>
          <w:w w:val="105"/>
          <w:sz w:val="21"/>
        </w:rPr>
        <w:t>that</w:t>
      </w:r>
      <w:r>
        <w:rPr>
          <w:spacing w:val="-4"/>
          <w:w w:val="105"/>
          <w:sz w:val="21"/>
        </w:rPr>
        <w:t> </w:t>
      </w:r>
      <w:r>
        <w:rPr>
          <w:w w:val="105"/>
          <w:sz w:val="21"/>
        </w:rPr>
        <w:t>the</w:t>
      </w:r>
      <w:r>
        <w:rPr>
          <w:spacing w:val="-4"/>
          <w:w w:val="105"/>
          <w:sz w:val="21"/>
        </w:rPr>
        <w:t> </w:t>
      </w:r>
      <w:r>
        <w:rPr>
          <w:spacing w:val="-2"/>
          <w:w w:val="105"/>
          <w:sz w:val="21"/>
        </w:rPr>
        <w:t>common</w:t>
      </w:r>
      <w:r>
        <w:rPr>
          <w:spacing w:val="-4"/>
          <w:w w:val="105"/>
          <w:sz w:val="21"/>
        </w:rPr>
        <w:t> </w:t>
      </w:r>
      <w:r>
        <w:rPr>
          <w:w w:val="105"/>
          <w:sz w:val="21"/>
        </w:rPr>
        <w:t>law</w:t>
      </w:r>
      <w:r>
        <w:rPr>
          <w:spacing w:val="-4"/>
          <w:w w:val="105"/>
          <w:sz w:val="21"/>
        </w:rPr>
        <w:t> </w:t>
      </w:r>
      <w:r>
        <w:rPr>
          <w:w w:val="105"/>
          <w:sz w:val="21"/>
        </w:rPr>
        <w:t>remedy</w:t>
      </w:r>
      <w:r>
        <w:rPr>
          <w:spacing w:val="-4"/>
          <w:w w:val="105"/>
          <w:sz w:val="21"/>
        </w:rPr>
        <w:t> </w:t>
      </w:r>
      <w:r>
        <w:rPr>
          <w:w w:val="105"/>
          <w:sz w:val="21"/>
        </w:rPr>
        <w:t>of</w:t>
      </w:r>
      <w:r>
        <w:rPr>
          <w:spacing w:val="-4"/>
          <w:w w:val="105"/>
          <w:sz w:val="21"/>
        </w:rPr>
        <w:t> </w:t>
      </w:r>
      <w:r>
        <w:rPr>
          <w:spacing w:val="-3"/>
          <w:w w:val="105"/>
          <w:sz w:val="21"/>
        </w:rPr>
        <w:t>abatement</w:t>
      </w:r>
      <w:r>
        <w:rPr>
          <w:spacing w:val="-4"/>
          <w:w w:val="105"/>
          <w:sz w:val="21"/>
        </w:rPr>
        <w:t> </w:t>
      </w:r>
      <w:r>
        <w:rPr>
          <w:w w:val="105"/>
          <w:sz w:val="21"/>
        </w:rPr>
        <w:t>was</w:t>
      </w:r>
      <w:r>
        <w:rPr>
          <w:spacing w:val="-4"/>
          <w:w w:val="105"/>
          <w:sz w:val="21"/>
        </w:rPr>
        <w:t> </w:t>
      </w:r>
      <w:r>
        <w:rPr>
          <w:spacing w:val="-3"/>
          <w:w w:val="105"/>
          <w:sz w:val="21"/>
        </w:rPr>
        <w:t>available</w:t>
      </w:r>
      <w:r>
        <w:rPr>
          <w:spacing w:val="-5"/>
          <w:w w:val="105"/>
          <w:sz w:val="21"/>
        </w:rPr>
        <w:t> </w:t>
      </w:r>
      <w:r>
        <w:rPr>
          <w:spacing w:val="-3"/>
          <w:w w:val="105"/>
          <w:sz w:val="21"/>
        </w:rPr>
        <w:t>to</w:t>
      </w:r>
      <w:r>
        <w:rPr>
          <w:spacing w:val="-4"/>
          <w:w w:val="105"/>
          <w:sz w:val="21"/>
        </w:rPr>
        <w:t> </w:t>
      </w:r>
      <w:r>
        <w:rPr>
          <w:w w:val="105"/>
          <w:sz w:val="21"/>
        </w:rPr>
        <w:t>an affected </w:t>
      </w:r>
      <w:r>
        <w:rPr>
          <w:spacing w:val="-3"/>
          <w:w w:val="105"/>
          <w:sz w:val="21"/>
        </w:rPr>
        <w:t>neighbour </w:t>
      </w:r>
      <w:r>
        <w:rPr>
          <w:w w:val="105"/>
          <w:sz w:val="21"/>
        </w:rPr>
        <w:t>who needed further </w:t>
      </w:r>
      <w:r>
        <w:rPr>
          <w:spacing w:val="-3"/>
          <w:w w:val="105"/>
          <w:sz w:val="21"/>
        </w:rPr>
        <w:t>intervention</w:t>
      </w:r>
      <w:r>
        <w:rPr>
          <w:spacing w:val="-3"/>
          <w:w w:val="105"/>
          <w:position w:val="7"/>
          <w:sz w:val="12"/>
        </w:rPr>
        <w:t>73 </w:t>
      </w:r>
      <w:r>
        <w:rPr>
          <w:w w:val="105"/>
          <w:sz w:val="21"/>
        </w:rPr>
        <w:t>or </w:t>
      </w:r>
      <w:r>
        <w:rPr>
          <w:spacing w:val="-3"/>
          <w:w w:val="105"/>
          <w:sz w:val="21"/>
        </w:rPr>
        <w:t>for </w:t>
      </w:r>
      <w:r>
        <w:rPr>
          <w:w w:val="105"/>
          <w:sz w:val="21"/>
        </w:rPr>
        <w:t>other </w:t>
      </w:r>
      <w:r>
        <w:rPr>
          <w:spacing w:val="-3"/>
          <w:w w:val="105"/>
          <w:sz w:val="21"/>
        </w:rPr>
        <w:t>branches </w:t>
      </w:r>
      <w:r>
        <w:rPr>
          <w:w w:val="105"/>
          <w:sz w:val="21"/>
        </w:rPr>
        <w:t>or parts of the tree </w:t>
      </w:r>
      <w:r>
        <w:rPr>
          <w:spacing w:val="-3"/>
          <w:w w:val="105"/>
          <w:sz w:val="21"/>
        </w:rPr>
        <w:t>that are </w:t>
      </w:r>
      <w:r>
        <w:rPr>
          <w:spacing w:val="-2"/>
          <w:w w:val="105"/>
          <w:sz w:val="21"/>
        </w:rPr>
        <w:t>not </w:t>
      </w:r>
      <w:r>
        <w:rPr>
          <w:spacing w:val="-3"/>
          <w:w w:val="105"/>
          <w:sz w:val="21"/>
        </w:rPr>
        <w:t>captured </w:t>
      </w:r>
      <w:r>
        <w:rPr>
          <w:w w:val="105"/>
          <w:sz w:val="21"/>
        </w:rPr>
        <w:t>by this process. In </w:t>
      </w:r>
      <w:r>
        <w:rPr>
          <w:spacing w:val="-3"/>
          <w:w w:val="105"/>
          <w:sz w:val="21"/>
        </w:rPr>
        <w:t>addition, </w:t>
      </w:r>
      <w:r>
        <w:rPr>
          <w:w w:val="105"/>
          <w:sz w:val="21"/>
        </w:rPr>
        <w:t>an affected </w:t>
      </w:r>
      <w:r>
        <w:rPr>
          <w:spacing w:val="-3"/>
          <w:w w:val="105"/>
          <w:sz w:val="21"/>
        </w:rPr>
        <w:t>neighbour </w:t>
      </w:r>
      <w:r>
        <w:rPr>
          <w:w w:val="105"/>
          <w:sz w:val="21"/>
        </w:rPr>
        <w:t>can </w:t>
      </w:r>
      <w:r>
        <w:rPr>
          <w:spacing w:val="-3"/>
          <w:w w:val="105"/>
          <w:sz w:val="21"/>
        </w:rPr>
        <w:t>exercise </w:t>
      </w:r>
      <w:r>
        <w:rPr>
          <w:w w:val="105"/>
          <w:sz w:val="21"/>
        </w:rPr>
        <w:t>their </w:t>
      </w:r>
      <w:r>
        <w:rPr>
          <w:spacing w:val="-3"/>
          <w:w w:val="105"/>
          <w:sz w:val="21"/>
        </w:rPr>
        <w:t>right to abate </w:t>
      </w:r>
      <w:r>
        <w:rPr>
          <w:w w:val="105"/>
          <w:sz w:val="21"/>
        </w:rPr>
        <w:t>or </w:t>
      </w:r>
      <w:r>
        <w:rPr>
          <w:spacing w:val="-3"/>
          <w:w w:val="105"/>
          <w:sz w:val="21"/>
        </w:rPr>
        <w:t>commence</w:t>
      </w:r>
      <w:r>
        <w:rPr>
          <w:spacing w:val="10"/>
          <w:w w:val="105"/>
          <w:sz w:val="21"/>
        </w:rPr>
        <w:t> </w:t>
      </w:r>
      <w:r>
        <w:rPr>
          <w:w w:val="105"/>
          <w:sz w:val="21"/>
        </w:rPr>
        <w:t>legal action in </w:t>
      </w:r>
      <w:r>
        <w:rPr>
          <w:spacing w:val="-8"/>
          <w:w w:val="105"/>
          <w:sz w:val="21"/>
        </w:rPr>
        <w:t>QCAT.</w:t>
      </w:r>
      <w:r>
        <w:rPr>
          <w:spacing w:val="-8"/>
          <w:w w:val="105"/>
          <w:position w:val="7"/>
          <w:sz w:val="12"/>
        </w:rPr>
        <w:t>74</w:t>
      </w:r>
    </w:p>
    <w:p>
      <w:pPr>
        <w:pStyle w:val="Heading7"/>
        <w:spacing w:before="158"/>
      </w:pPr>
      <w:r>
        <w:rPr>
          <w:w w:val="115"/>
        </w:rPr>
        <w:t>The Tasmanian approach</w:t>
      </w:r>
    </w:p>
    <w:p>
      <w:pPr>
        <w:pStyle w:val="ListParagraph"/>
        <w:numPr>
          <w:ilvl w:val="1"/>
          <w:numId w:val="16"/>
        </w:numPr>
        <w:tabs>
          <w:tab w:pos="2381" w:val="left" w:leader="none"/>
          <w:tab w:pos="2382" w:val="left" w:leader="none"/>
        </w:tabs>
        <w:spacing w:line="242" w:lineRule="auto" w:before="143" w:after="0"/>
        <w:ind w:left="2381" w:right="1639" w:hanging="794"/>
        <w:jc w:val="left"/>
        <w:rPr>
          <w:sz w:val="21"/>
        </w:rPr>
      </w:pPr>
      <w:r>
        <w:rPr>
          <w:sz w:val="21"/>
        </w:rPr>
        <w:t>The </w:t>
      </w:r>
      <w:r>
        <w:rPr>
          <w:spacing w:val="-4"/>
          <w:sz w:val="21"/>
        </w:rPr>
        <w:t>Tasmanian </w:t>
      </w:r>
      <w:r>
        <w:rPr>
          <w:spacing w:val="-3"/>
          <w:sz w:val="21"/>
        </w:rPr>
        <w:t>‘Branch </w:t>
      </w:r>
      <w:r>
        <w:rPr>
          <w:sz w:val="21"/>
        </w:rPr>
        <w:t>Removal </w:t>
      </w:r>
      <w:r>
        <w:rPr>
          <w:spacing w:val="-3"/>
          <w:sz w:val="21"/>
        </w:rPr>
        <w:t>Notice’ procedure </w:t>
      </w:r>
      <w:r>
        <w:rPr>
          <w:sz w:val="21"/>
        </w:rPr>
        <w:t>in Part 3 of the Act is modelled on the </w:t>
      </w:r>
      <w:r>
        <w:rPr>
          <w:spacing w:val="-3"/>
          <w:sz w:val="21"/>
        </w:rPr>
        <w:t>Queensland </w:t>
      </w:r>
      <w:r>
        <w:rPr>
          <w:sz w:val="21"/>
        </w:rPr>
        <w:t>Act and is </w:t>
      </w:r>
      <w:r>
        <w:rPr>
          <w:spacing w:val="-3"/>
          <w:sz w:val="21"/>
        </w:rPr>
        <w:t>substantially </w:t>
      </w:r>
      <w:r>
        <w:rPr>
          <w:sz w:val="21"/>
        </w:rPr>
        <w:t>the </w:t>
      </w:r>
      <w:r>
        <w:rPr>
          <w:spacing w:val="-3"/>
          <w:sz w:val="21"/>
        </w:rPr>
        <w:t>same. </w:t>
      </w:r>
      <w:r>
        <w:rPr>
          <w:sz w:val="21"/>
        </w:rPr>
        <w:t>The </w:t>
      </w:r>
      <w:r>
        <w:rPr>
          <w:spacing w:val="-4"/>
          <w:sz w:val="21"/>
        </w:rPr>
        <w:t>Tasmanian </w:t>
      </w:r>
      <w:r>
        <w:rPr>
          <w:sz w:val="21"/>
        </w:rPr>
        <w:t>Department of Justice </w:t>
      </w:r>
      <w:r>
        <w:rPr>
          <w:spacing w:val="-2"/>
          <w:sz w:val="21"/>
        </w:rPr>
        <w:t>has </w:t>
      </w:r>
      <w:r>
        <w:rPr>
          <w:sz w:val="21"/>
        </w:rPr>
        <w:t>developed a </w:t>
      </w:r>
      <w:r>
        <w:rPr>
          <w:spacing w:val="-3"/>
          <w:sz w:val="21"/>
        </w:rPr>
        <w:t>template notice form </w:t>
      </w:r>
      <w:r>
        <w:rPr>
          <w:sz w:val="21"/>
        </w:rPr>
        <w:t>which it </w:t>
      </w:r>
      <w:r>
        <w:rPr>
          <w:spacing w:val="-3"/>
          <w:sz w:val="21"/>
        </w:rPr>
        <w:t>recommends</w:t>
      </w:r>
      <w:r>
        <w:rPr>
          <w:spacing w:val="-15"/>
          <w:sz w:val="21"/>
        </w:rPr>
        <w:t> </w:t>
      </w:r>
      <w:r>
        <w:rPr>
          <w:sz w:val="21"/>
        </w:rPr>
        <w:t>people </w:t>
      </w:r>
      <w:r>
        <w:rPr>
          <w:spacing w:val="-4"/>
          <w:sz w:val="21"/>
        </w:rPr>
        <w:t>use.</w:t>
      </w:r>
      <w:r>
        <w:rPr>
          <w:spacing w:val="-4"/>
          <w:position w:val="7"/>
          <w:sz w:val="12"/>
        </w:rPr>
        <w:t>75</w:t>
      </w:r>
    </w:p>
    <w:p>
      <w:pPr>
        <w:pStyle w:val="ListParagraph"/>
        <w:numPr>
          <w:ilvl w:val="1"/>
          <w:numId w:val="16"/>
        </w:numPr>
        <w:tabs>
          <w:tab w:pos="2380" w:val="left" w:leader="none"/>
          <w:tab w:pos="2381" w:val="left" w:leader="none"/>
        </w:tabs>
        <w:spacing w:line="242" w:lineRule="auto" w:before="123" w:after="0"/>
        <w:ind w:left="2380" w:right="2328" w:hanging="793"/>
        <w:jc w:val="left"/>
        <w:rPr>
          <w:sz w:val="21"/>
        </w:rPr>
      </w:pPr>
      <w:r>
        <w:rPr>
          <w:w w:val="105"/>
          <w:sz w:val="21"/>
        </w:rPr>
        <w:t>The </w:t>
      </w:r>
      <w:r>
        <w:rPr>
          <w:spacing w:val="-4"/>
          <w:w w:val="105"/>
          <w:sz w:val="21"/>
        </w:rPr>
        <w:t>Tasmanian </w:t>
      </w:r>
      <w:r>
        <w:rPr>
          <w:w w:val="105"/>
          <w:sz w:val="21"/>
        </w:rPr>
        <w:t>Act provides </w:t>
      </w:r>
      <w:r>
        <w:rPr>
          <w:spacing w:val="-3"/>
          <w:w w:val="105"/>
          <w:sz w:val="21"/>
        </w:rPr>
        <w:t>that </w:t>
      </w:r>
      <w:r>
        <w:rPr>
          <w:w w:val="105"/>
          <w:sz w:val="21"/>
        </w:rPr>
        <w:t>a </w:t>
      </w:r>
      <w:r>
        <w:rPr>
          <w:spacing w:val="-3"/>
          <w:w w:val="105"/>
          <w:sz w:val="21"/>
        </w:rPr>
        <w:t>‘prescribed </w:t>
      </w:r>
      <w:r>
        <w:rPr>
          <w:w w:val="105"/>
          <w:sz w:val="21"/>
        </w:rPr>
        <w:t>maximum amount’ of $500 can be recouped </w:t>
      </w:r>
      <w:r>
        <w:rPr>
          <w:spacing w:val="-3"/>
          <w:w w:val="105"/>
          <w:sz w:val="21"/>
        </w:rPr>
        <w:t>from </w:t>
      </w:r>
      <w:r>
        <w:rPr>
          <w:w w:val="105"/>
          <w:sz w:val="21"/>
        </w:rPr>
        <w:t>the affected</w:t>
      </w:r>
      <w:r>
        <w:rPr>
          <w:spacing w:val="23"/>
          <w:w w:val="105"/>
          <w:sz w:val="21"/>
        </w:rPr>
        <w:t> </w:t>
      </w:r>
      <w:r>
        <w:rPr>
          <w:spacing w:val="-5"/>
          <w:w w:val="105"/>
          <w:sz w:val="21"/>
        </w:rPr>
        <w:t>neighbour.</w:t>
      </w:r>
      <w:r>
        <w:rPr>
          <w:spacing w:val="-5"/>
          <w:w w:val="105"/>
          <w:position w:val="7"/>
          <w:sz w:val="12"/>
        </w:rPr>
        <w:t>76</w:t>
      </w:r>
    </w:p>
    <w:p>
      <w:pPr>
        <w:pStyle w:val="ListParagraph"/>
        <w:numPr>
          <w:ilvl w:val="1"/>
          <w:numId w:val="16"/>
        </w:numPr>
        <w:tabs>
          <w:tab w:pos="2380" w:val="left" w:leader="none"/>
          <w:tab w:pos="2381" w:val="left" w:leader="none"/>
        </w:tabs>
        <w:spacing w:line="242" w:lineRule="auto" w:before="122" w:after="0"/>
        <w:ind w:left="2381" w:right="1715" w:hanging="794"/>
        <w:jc w:val="left"/>
        <w:rPr>
          <w:sz w:val="21"/>
        </w:rPr>
      </w:pPr>
      <w:r>
        <w:rPr>
          <w:spacing w:val="-3"/>
          <w:w w:val="105"/>
          <w:sz w:val="21"/>
        </w:rPr>
        <w:t>Similar safeguards </w:t>
      </w:r>
      <w:r>
        <w:rPr>
          <w:w w:val="105"/>
          <w:sz w:val="21"/>
        </w:rPr>
        <w:t>apply under the </w:t>
      </w:r>
      <w:r>
        <w:rPr>
          <w:spacing w:val="-4"/>
          <w:w w:val="105"/>
          <w:sz w:val="21"/>
        </w:rPr>
        <w:t>Tasmanian </w:t>
      </w:r>
      <w:r>
        <w:rPr>
          <w:w w:val="105"/>
          <w:sz w:val="21"/>
        </w:rPr>
        <w:t>and </w:t>
      </w:r>
      <w:r>
        <w:rPr>
          <w:spacing w:val="-3"/>
          <w:w w:val="105"/>
          <w:sz w:val="21"/>
        </w:rPr>
        <w:t>Queensland </w:t>
      </w:r>
      <w:r>
        <w:rPr>
          <w:w w:val="105"/>
          <w:sz w:val="21"/>
        </w:rPr>
        <w:t>Acts. </w:t>
      </w:r>
      <w:r>
        <w:rPr>
          <w:spacing w:val="-4"/>
          <w:w w:val="105"/>
          <w:sz w:val="21"/>
        </w:rPr>
        <w:t>However, </w:t>
      </w:r>
      <w:r>
        <w:rPr>
          <w:w w:val="105"/>
          <w:sz w:val="21"/>
        </w:rPr>
        <w:t>in </w:t>
      </w:r>
      <w:r>
        <w:rPr>
          <w:spacing w:val="-5"/>
          <w:w w:val="105"/>
          <w:sz w:val="21"/>
        </w:rPr>
        <w:t>Tasmania </w:t>
      </w:r>
      <w:r>
        <w:rPr>
          <w:w w:val="105"/>
          <w:sz w:val="21"/>
        </w:rPr>
        <w:t>an affected </w:t>
      </w:r>
      <w:r>
        <w:rPr>
          <w:spacing w:val="-3"/>
          <w:w w:val="105"/>
          <w:sz w:val="21"/>
        </w:rPr>
        <w:t>neighbour cannot </w:t>
      </w:r>
      <w:r>
        <w:rPr>
          <w:w w:val="105"/>
          <w:sz w:val="21"/>
        </w:rPr>
        <w:t>use the </w:t>
      </w:r>
      <w:r>
        <w:rPr>
          <w:spacing w:val="-3"/>
          <w:w w:val="105"/>
          <w:sz w:val="21"/>
        </w:rPr>
        <w:t>notice procedure </w:t>
      </w:r>
      <w:r>
        <w:rPr>
          <w:w w:val="105"/>
          <w:sz w:val="21"/>
        </w:rPr>
        <w:t>if they </w:t>
      </w:r>
      <w:r>
        <w:rPr>
          <w:spacing w:val="-3"/>
          <w:w w:val="105"/>
          <w:sz w:val="21"/>
        </w:rPr>
        <w:t>have </w:t>
      </w:r>
      <w:r>
        <w:rPr>
          <w:w w:val="105"/>
          <w:sz w:val="21"/>
        </w:rPr>
        <w:t>issued a </w:t>
      </w:r>
      <w:r>
        <w:rPr>
          <w:spacing w:val="-3"/>
          <w:w w:val="105"/>
          <w:sz w:val="21"/>
        </w:rPr>
        <w:t>notice</w:t>
      </w:r>
      <w:r>
        <w:rPr>
          <w:spacing w:val="-7"/>
          <w:w w:val="105"/>
          <w:sz w:val="21"/>
        </w:rPr>
        <w:t> </w:t>
      </w:r>
      <w:r>
        <w:rPr>
          <w:spacing w:val="-3"/>
          <w:w w:val="105"/>
          <w:sz w:val="21"/>
        </w:rPr>
        <w:t>within</w:t>
      </w:r>
      <w:r>
        <w:rPr>
          <w:spacing w:val="-7"/>
          <w:w w:val="105"/>
          <w:sz w:val="21"/>
        </w:rPr>
        <w:t> </w:t>
      </w:r>
      <w:r>
        <w:rPr>
          <w:w w:val="105"/>
          <w:sz w:val="21"/>
        </w:rPr>
        <w:t>the</w:t>
      </w:r>
      <w:r>
        <w:rPr>
          <w:spacing w:val="-7"/>
          <w:w w:val="105"/>
          <w:sz w:val="21"/>
        </w:rPr>
        <w:t> </w:t>
      </w:r>
      <w:r>
        <w:rPr>
          <w:spacing w:val="-3"/>
          <w:w w:val="105"/>
          <w:sz w:val="21"/>
        </w:rPr>
        <w:t>previous</w:t>
      </w:r>
      <w:r>
        <w:rPr>
          <w:spacing w:val="-6"/>
          <w:w w:val="105"/>
          <w:sz w:val="21"/>
        </w:rPr>
        <w:t> </w:t>
      </w:r>
      <w:r>
        <w:rPr>
          <w:spacing w:val="-9"/>
          <w:w w:val="105"/>
          <w:sz w:val="21"/>
        </w:rPr>
        <w:t>12</w:t>
      </w:r>
      <w:r>
        <w:rPr>
          <w:spacing w:val="-7"/>
          <w:w w:val="105"/>
          <w:sz w:val="21"/>
        </w:rPr>
        <w:t> </w:t>
      </w:r>
      <w:r>
        <w:rPr>
          <w:spacing w:val="-3"/>
          <w:w w:val="105"/>
          <w:sz w:val="21"/>
        </w:rPr>
        <w:t>months</w:t>
      </w:r>
      <w:r>
        <w:rPr>
          <w:spacing w:val="-7"/>
          <w:w w:val="105"/>
          <w:sz w:val="21"/>
        </w:rPr>
        <w:t> </w:t>
      </w:r>
      <w:r>
        <w:rPr>
          <w:spacing w:val="-3"/>
          <w:w w:val="105"/>
          <w:sz w:val="21"/>
        </w:rPr>
        <w:t>for</w:t>
      </w:r>
      <w:r>
        <w:rPr>
          <w:spacing w:val="-7"/>
          <w:w w:val="105"/>
          <w:sz w:val="21"/>
        </w:rPr>
        <w:t> </w:t>
      </w:r>
      <w:r>
        <w:rPr>
          <w:w w:val="105"/>
          <w:sz w:val="21"/>
        </w:rPr>
        <w:t>the</w:t>
      </w:r>
      <w:r>
        <w:rPr>
          <w:spacing w:val="-6"/>
          <w:w w:val="105"/>
          <w:sz w:val="21"/>
        </w:rPr>
        <w:t> </w:t>
      </w:r>
      <w:r>
        <w:rPr>
          <w:w w:val="105"/>
          <w:sz w:val="21"/>
        </w:rPr>
        <w:t>same</w:t>
      </w:r>
      <w:r>
        <w:rPr>
          <w:spacing w:val="-7"/>
          <w:w w:val="105"/>
          <w:sz w:val="21"/>
        </w:rPr>
        <w:t> </w:t>
      </w:r>
      <w:r>
        <w:rPr>
          <w:w w:val="105"/>
          <w:sz w:val="21"/>
        </w:rPr>
        <w:t>tree</w:t>
      </w:r>
      <w:r>
        <w:rPr>
          <w:spacing w:val="-7"/>
          <w:w w:val="105"/>
          <w:sz w:val="21"/>
        </w:rPr>
        <w:t> </w:t>
      </w:r>
      <w:r>
        <w:rPr>
          <w:spacing w:val="-3"/>
          <w:w w:val="105"/>
          <w:sz w:val="21"/>
        </w:rPr>
        <w:t>to</w:t>
      </w:r>
      <w:r>
        <w:rPr>
          <w:spacing w:val="-7"/>
          <w:w w:val="105"/>
          <w:sz w:val="21"/>
        </w:rPr>
        <w:t> </w:t>
      </w:r>
      <w:r>
        <w:rPr>
          <w:w w:val="105"/>
          <w:sz w:val="21"/>
        </w:rPr>
        <w:t>the</w:t>
      </w:r>
      <w:r>
        <w:rPr>
          <w:spacing w:val="-6"/>
          <w:w w:val="105"/>
          <w:sz w:val="21"/>
        </w:rPr>
        <w:t> </w:t>
      </w:r>
      <w:r>
        <w:rPr>
          <w:w w:val="105"/>
          <w:sz w:val="21"/>
        </w:rPr>
        <w:t>tree</w:t>
      </w:r>
      <w:r>
        <w:rPr>
          <w:spacing w:val="-7"/>
          <w:w w:val="105"/>
          <w:sz w:val="21"/>
        </w:rPr>
        <w:t> </w:t>
      </w:r>
      <w:r>
        <w:rPr>
          <w:w w:val="105"/>
          <w:sz w:val="21"/>
        </w:rPr>
        <w:t>owner</w:t>
      </w:r>
      <w:r>
        <w:rPr>
          <w:spacing w:val="-7"/>
          <w:w w:val="105"/>
          <w:sz w:val="21"/>
        </w:rPr>
        <w:t> </w:t>
      </w:r>
      <w:r>
        <w:rPr>
          <w:w w:val="105"/>
          <w:sz w:val="21"/>
        </w:rPr>
        <w:t>(unless</w:t>
      </w:r>
      <w:r>
        <w:rPr>
          <w:spacing w:val="-7"/>
          <w:w w:val="105"/>
          <w:sz w:val="21"/>
        </w:rPr>
        <w:t> </w:t>
      </w:r>
      <w:r>
        <w:rPr>
          <w:w w:val="105"/>
          <w:sz w:val="21"/>
        </w:rPr>
        <w:t>there</w:t>
      </w:r>
      <w:r>
        <w:rPr>
          <w:spacing w:val="-6"/>
          <w:w w:val="105"/>
          <w:sz w:val="21"/>
        </w:rPr>
        <w:t> </w:t>
      </w:r>
      <w:r>
        <w:rPr>
          <w:w w:val="105"/>
          <w:sz w:val="21"/>
        </w:rPr>
        <w:t>is a new tree </w:t>
      </w:r>
      <w:r>
        <w:rPr>
          <w:spacing w:val="-3"/>
          <w:w w:val="105"/>
          <w:sz w:val="21"/>
        </w:rPr>
        <w:t>owner).</w:t>
      </w:r>
      <w:r>
        <w:rPr>
          <w:spacing w:val="-3"/>
          <w:w w:val="105"/>
          <w:position w:val="7"/>
          <w:sz w:val="12"/>
        </w:rPr>
        <w:t>77 </w:t>
      </w:r>
      <w:r>
        <w:rPr>
          <w:w w:val="105"/>
          <w:sz w:val="21"/>
        </w:rPr>
        <w:t>In </w:t>
      </w:r>
      <w:r>
        <w:rPr>
          <w:spacing w:val="-3"/>
          <w:w w:val="105"/>
          <w:sz w:val="21"/>
        </w:rPr>
        <w:t>Queensland </w:t>
      </w:r>
      <w:r>
        <w:rPr>
          <w:w w:val="105"/>
          <w:sz w:val="21"/>
        </w:rPr>
        <w:t>the </w:t>
      </w:r>
      <w:r>
        <w:rPr>
          <w:spacing w:val="-3"/>
          <w:w w:val="105"/>
          <w:sz w:val="21"/>
        </w:rPr>
        <w:t>safeguard </w:t>
      </w:r>
      <w:r>
        <w:rPr>
          <w:w w:val="105"/>
          <w:sz w:val="21"/>
        </w:rPr>
        <w:t>prohibits </w:t>
      </w:r>
      <w:r>
        <w:rPr>
          <w:spacing w:val="-3"/>
          <w:w w:val="105"/>
          <w:sz w:val="21"/>
        </w:rPr>
        <w:t>issuing </w:t>
      </w:r>
      <w:r>
        <w:rPr>
          <w:w w:val="105"/>
          <w:sz w:val="21"/>
        </w:rPr>
        <w:t>of a </w:t>
      </w:r>
      <w:r>
        <w:rPr>
          <w:spacing w:val="-3"/>
          <w:w w:val="105"/>
          <w:sz w:val="21"/>
        </w:rPr>
        <w:t>notice </w:t>
      </w:r>
      <w:r>
        <w:rPr>
          <w:w w:val="105"/>
          <w:sz w:val="21"/>
        </w:rPr>
        <w:t>if a </w:t>
      </w:r>
      <w:r>
        <w:rPr>
          <w:spacing w:val="-3"/>
          <w:w w:val="105"/>
          <w:sz w:val="21"/>
        </w:rPr>
        <w:t>notice </w:t>
      </w:r>
      <w:r>
        <w:rPr>
          <w:spacing w:val="-2"/>
          <w:w w:val="105"/>
          <w:sz w:val="21"/>
        </w:rPr>
        <w:t>has </w:t>
      </w:r>
      <w:r>
        <w:rPr>
          <w:w w:val="105"/>
          <w:sz w:val="21"/>
        </w:rPr>
        <w:t>been issued </w:t>
      </w:r>
      <w:r>
        <w:rPr>
          <w:spacing w:val="-3"/>
          <w:w w:val="105"/>
          <w:sz w:val="21"/>
        </w:rPr>
        <w:t>for </w:t>
      </w:r>
      <w:r>
        <w:rPr>
          <w:i/>
          <w:spacing w:val="-3"/>
          <w:w w:val="105"/>
          <w:sz w:val="21"/>
        </w:rPr>
        <w:t>any </w:t>
      </w:r>
      <w:r>
        <w:rPr>
          <w:i/>
          <w:w w:val="105"/>
          <w:sz w:val="21"/>
        </w:rPr>
        <w:t>tree </w:t>
      </w:r>
      <w:r>
        <w:rPr>
          <w:spacing w:val="-3"/>
          <w:w w:val="105"/>
          <w:sz w:val="21"/>
        </w:rPr>
        <w:t>within </w:t>
      </w:r>
      <w:r>
        <w:rPr>
          <w:w w:val="105"/>
          <w:sz w:val="21"/>
        </w:rPr>
        <w:t>the </w:t>
      </w:r>
      <w:r>
        <w:rPr>
          <w:spacing w:val="-3"/>
          <w:w w:val="105"/>
          <w:sz w:val="21"/>
        </w:rPr>
        <w:t>previous </w:t>
      </w:r>
      <w:r>
        <w:rPr>
          <w:spacing w:val="-9"/>
          <w:w w:val="105"/>
          <w:sz w:val="21"/>
        </w:rPr>
        <w:t>12</w:t>
      </w:r>
      <w:r>
        <w:rPr>
          <w:spacing w:val="15"/>
          <w:w w:val="105"/>
          <w:sz w:val="21"/>
        </w:rPr>
        <w:t> </w:t>
      </w:r>
      <w:r>
        <w:rPr>
          <w:spacing w:val="-3"/>
          <w:w w:val="105"/>
          <w:sz w:val="21"/>
        </w:rPr>
        <w:t>months.</w:t>
      </w:r>
      <w:r>
        <w:rPr>
          <w:spacing w:val="-3"/>
          <w:w w:val="105"/>
          <w:position w:val="7"/>
          <w:sz w:val="12"/>
        </w:rPr>
        <w:t>78</w:t>
      </w:r>
    </w:p>
    <w:p>
      <w:pPr>
        <w:pStyle w:val="ListParagraph"/>
        <w:numPr>
          <w:ilvl w:val="1"/>
          <w:numId w:val="16"/>
        </w:numPr>
        <w:tabs>
          <w:tab w:pos="2381" w:val="left" w:leader="none"/>
          <w:tab w:pos="2382" w:val="left" w:leader="none"/>
        </w:tabs>
        <w:spacing w:line="242" w:lineRule="auto" w:before="125" w:after="0"/>
        <w:ind w:left="2381" w:right="1725" w:hanging="794"/>
        <w:jc w:val="left"/>
        <w:rPr>
          <w:sz w:val="21"/>
        </w:rPr>
      </w:pPr>
      <w:r>
        <w:rPr>
          <w:sz w:val="21"/>
        </w:rPr>
        <w:t>In </w:t>
      </w:r>
      <w:r>
        <w:rPr>
          <w:spacing w:val="-5"/>
          <w:sz w:val="21"/>
        </w:rPr>
        <w:t>Tasmania, </w:t>
      </w:r>
      <w:r>
        <w:rPr>
          <w:sz w:val="21"/>
        </w:rPr>
        <w:t>the affected  </w:t>
      </w:r>
      <w:r>
        <w:rPr>
          <w:spacing w:val="-3"/>
          <w:sz w:val="21"/>
        </w:rPr>
        <w:t>neighbour  </w:t>
      </w:r>
      <w:r>
        <w:rPr>
          <w:sz w:val="21"/>
        </w:rPr>
        <w:t>can  pursue  money  owed  in  the  </w:t>
      </w:r>
      <w:r>
        <w:rPr>
          <w:spacing w:val="-3"/>
          <w:sz w:val="21"/>
        </w:rPr>
        <w:t>Magistrates’ Court.</w:t>
      </w:r>
      <w:r>
        <w:rPr>
          <w:spacing w:val="-3"/>
          <w:position w:val="7"/>
          <w:sz w:val="12"/>
        </w:rPr>
        <w:t>79 </w:t>
      </w:r>
      <w:r>
        <w:rPr>
          <w:sz w:val="21"/>
        </w:rPr>
        <w:t>If the tree owner disagrees about the  </w:t>
      </w:r>
      <w:r>
        <w:rPr>
          <w:spacing w:val="-3"/>
          <w:sz w:val="21"/>
        </w:rPr>
        <w:t>amount,  </w:t>
      </w:r>
      <w:r>
        <w:rPr>
          <w:sz w:val="21"/>
        </w:rPr>
        <w:t>they  </w:t>
      </w:r>
      <w:r>
        <w:rPr>
          <w:spacing w:val="-3"/>
          <w:sz w:val="21"/>
        </w:rPr>
        <w:t>may  </w:t>
      </w:r>
      <w:r>
        <w:rPr>
          <w:sz w:val="21"/>
        </w:rPr>
        <w:t>apply  </w:t>
      </w:r>
      <w:r>
        <w:rPr>
          <w:spacing w:val="-3"/>
          <w:sz w:val="21"/>
        </w:rPr>
        <w:t>to  </w:t>
      </w:r>
      <w:r>
        <w:rPr>
          <w:sz w:val="21"/>
        </w:rPr>
        <w:t>the </w:t>
      </w:r>
      <w:r>
        <w:rPr>
          <w:spacing w:val="-3"/>
          <w:sz w:val="21"/>
        </w:rPr>
        <w:t>Magistrates’ Court for </w:t>
      </w:r>
      <w:r>
        <w:rPr>
          <w:sz w:val="21"/>
        </w:rPr>
        <w:t>a </w:t>
      </w:r>
      <w:r>
        <w:rPr>
          <w:spacing w:val="-3"/>
          <w:sz w:val="21"/>
        </w:rPr>
        <w:t>determination </w:t>
      </w:r>
      <w:r>
        <w:rPr>
          <w:sz w:val="21"/>
        </w:rPr>
        <w:t>of a </w:t>
      </w:r>
      <w:r>
        <w:rPr>
          <w:spacing w:val="-3"/>
          <w:sz w:val="21"/>
        </w:rPr>
        <w:t>‘fair </w:t>
      </w:r>
      <w:r>
        <w:rPr>
          <w:sz w:val="21"/>
        </w:rPr>
        <w:t>and </w:t>
      </w:r>
      <w:r>
        <w:rPr>
          <w:spacing w:val="-3"/>
          <w:sz w:val="21"/>
        </w:rPr>
        <w:t>reasonable’ amount, </w:t>
      </w:r>
      <w:r>
        <w:rPr>
          <w:sz w:val="21"/>
        </w:rPr>
        <w:t>which they </w:t>
      </w:r>
      <w:r>
        <w:rPr>
          <w:spacing w:val="-3"/>
          <w:sz w:val="21"/>
        </w:rPr>
        <w:t>are  </w:t>
      </w:r>
      <w:r>
        <w:rPr>
          <w:sz w:val="21"/>
        </w:rPr>
        <w:t>then </w:t>
      </w:r>
      <w:r>
        <w:rPr>
          <w:spacing w:val="-3"/>
          <w:sz w:val="21"/>
        </w:rPr>
        <w:t>liable to</w:t>
      </w:r>
      <w:r>
        <w:rPr>
          <w:spacing w:val="28"/>
          <w:sz w:val="21"/>
        </w:rPr>
        <w:t> </w:t>
      </w:r>
      <w:r>
        <w:rPr>
          <w:sz w:val="21"/>
        </w:rPr>
        <w:t>pay.</w:t>
      </w:r>
      <w:r>
        <w:rPr>
          <w:position w:val="7"/>
          <w:sz w:val="12"/>
        </w:rPr>
        <w:t>80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pict>
          <v:line style="position:absolute;mso-position-horizontal-relative:page;mso-position-vertical-relative:paragraph;z-index:5864;mso-wrap-distance-left:0;mso-wrap-distance-right:0" from="79.370003pt,14.703816pt" to="515.905003pt,14.703816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35"/>
        </w:rPr>
      </w:pPr>
    </w:p>
    <w:p>
      <w:pPr>
        <w:spacing w:before="0"/>
        <w:ind w:left="720" w:right="0" w:firstLine="0"/>
        <w:jc w:val="left"/>
        <w:rPr>
          <w:b/>
          <w:sz w:val="24"/>
        </w:rPr>
      </w:pPr>
      <w:r>
        <w:rPr>
          <w:b/>
          <w:color w:val="658464"/>
          <w:spacing w:val="-8"/>
          <w:w w:val="110"/>
          <w:sz w:val="24"/>
        </w:rPr>
        <w:t>118</w:t>
      </w:r>
    </w:p>
    <w:p>
      <w:pPr>
        <w:pStyle w:val="ListParagraph"/>
        <w:numPr>
          <w:ilvl w:val="0"/>
          <w:numId w:val="95"/>
        </w:numPr>
        <w:tabs>
          <w:tab w:pos="1243" w:val="left" w:leader="none"/>
          <w:tab w:pos="1244" w:val="left" w:leader="none"/>
        </w:tabs>
        <w:spacing w:line="240" w:lineRule="auto" w:before="48" w:after="0"/>
        <w:ind w:left="1243" w:right="2088" w:hanging="794"/>
        <w:jc w:val="left"/>
        <w:rPr>
          <w:sz w:val="13"/>
        </w:rPr>
      </w:pPr>
      <w:r>
        <w:rPr>
          <w:spacing w:val="2"/>
          <w:w w:val="107"/>
          <w:sz w:val="13"/>
        </w:rPr>
        <w:br w:type="column"/>
      </w:r>
      <w:r>
        <w:rPr>
          <w:w w:val="105"/>
          <w:sz w:val="13"/>
        </w:rPr>
        <w:t>Queensland Law Reform Commission, </w:t>
      </w:r>
      <w:r>
        <w:rPr>
          <w:i/>
          <w:w w:val="105"/>
          <w:sz w:val="13"/>
        </w:rPr>
        <w:t>Review of the Neighbourhood Disputes (Dividing Fences and Trees) Act </w:t>
      </w:r>
      <w:r>
        <w:rPr>
          <w:i/>
          <w:spacing w:val="-6"/>
          <w:w w:val="105"/>
          <w:sz w:val="13"/>
        </w:rPr>
        <w:t>2011</w:t>
      </w:r>
      <w:r>
        <w:rPr>
          <w:spacing w:val="-6"/>
          <w:w w:val="105"/>
          <w:sz w:val="13"/>
        </w:rPr>
        <w:t>, </w:t>
      </w:r>
      <w:r>
        <w:rPr>
          <w:spacing w:val="2"/>
          <w:w w:val="105"/>
          <w:sz w:val="13"/>
        </w:rPr>
        <w:t>(Report </w:t>
      </w:r>
      <w:r>
        <w:rPr>
          <w:w w:val="105"/>
          <w:sz w:val="13"/>
        </w:rPr>
        <w:t>No 72, December (2015)</w:t>
      </w:r>
      <w:r>
        <w:rPr>
          <w:spacing w:val="9"/>
          <w:w w:val="105"/>
          <w:sz w:val="13"/>
        </w:rPr>
        <w:t> </w:t>
      </w:r>
      <w:r>
        <w:rPr>
          <w:w w:val="105"/>
          <w:sz w:val="13"/>
        </w:rPr>
        <w:t>[3.313].</w:t>
      </w:r>
    </w:p>
    <w:p>
      <w:pPr>
        <w:pStyle w:val="ListParagraph"/>
        <w:numPr>
          <w:ilvl w:val="0"/>
          <w:numId w:val="95"/>
        </w:numPr>
        <w:tabs>
          <w:tab w:pos="1243" w:val="left" w:leader="none"/>
          <w:tab w:pos="1244" w:val="left" w:leader="none"/>
        </w:tabs>
        <w:spacing w:line="240" w:lineRule="auto" w:before="3" w:after="0"/>
        <w:ind w:left="1243"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ss</w:t>
      </w:r>
      <w:r>
        <w:rPr>
          <w:spacing w:val="24"/>
          <w:w w:val="105"/>
          <w:sz w:val="13"/>
        </w:rPr>
        <w:t> </w:t>
      </w:r>
      <w:r>
        <w:rPr>
          <w:spacing w:val="5"/>
          <w:w w:val="105"/>
          <w:sz w:val="13"/>
        </w:rPr>
        <w:t>58(4)–(5).</w:t>
      </w:r>
    </w:p>
    <w:p>
      <w:pPr>
        <w:pStyle w:val="ListParagraph"/>
        <w:numPr>
          <w:ilvl w:val="0"/>
          <w:numId w:val="95"/>
        </w:numPr>
        <w:tabs>
          <w:tab w:pos="1243" w:val="left" w:leader="none"/>
          <w:tab w:pos="1244" w:val="left" w:leader="none"/>
        </w:tabs>
        <w:spacing w:line="240" w:lineRule="auto" w:before="1" w:after="0"/>
        <w:ind w:left="1243" w:right="1771" w:hanging="794"/>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(Discussion </w:t>
      </w:r>
      <w:r>
        <w:rPr>
          <w:w w:val="105"/>
          <w:sz w:val="13"/>
        </w:rPr>
        <w:t>Paper No</w:t>
      </w:r>
      <w:r>
        <w:rPr>
          <w:spacing w:val="30"/>
          <w:w w:val="105"/>
          <w:sz w:val="13"/>
        </w:rPr>
        <w:t> </w:t>
      </w:r>
      <w:r>
        <w:rPr>
          <w:w w:val="105"/>
          <w:sz w:val="13"/>
        </w:rPr>
        <w:t>72, June 2015)</w:t>
      </w:r>
      <w:r>
        <w:rPr>
          <w:spacing w:val="13"/>
          <w:w w:val="105"/>
          <w:sz w:val="13"/>
        </w:rPr>
        <w:t> </w:t>
      </w:r>
      <w:r>
        <w:rPr>
          <w:w w:val="105"/>
          <w:sz w:val="13"/>
        </w:rPr>
        <w:t>[3.81].</w:t>
      </w:r>
    </w:p>
    <w:p>
      <w:pPr>
        <w:pStyle w:val="ListParagraph"/>
        <w:numPr>
          <w:ilvl w:val="0"/>
          <w:numId w:val="95"/>
        </w:numPr>
        <w:tabs>
          <w:tab w:pos="1243" w:val="left" w:leader="none"/>
          <w:tab w:pos="1244" w:val="left" w:leader="none"/>
        </w:tabs>
        <w:spacing w:line="240" w:lineRule="auto" w:before="3" w:after="0"/>
        <w:ind w:left="449" w:right="5097" w:firstLine="0"/>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ss 43, 55. 72</w:t>
        <w:tab/>
        <w:t>Ibid s</w:t>
      </w:r>
      <w:r>
        <w:rPr>
          <w:spacing w:val="9"/>
          <w:w w:val="105"/>
          <w:sz w:val="13"/>
        </w:rPr>
        <w:t> </w:t>
      </w:r>
      <w:r>
        <w:rPr>
          <w:spacing w:val="2"/>
          <w:w w:val="105"/>
          <w:sz w:val="13"/>
        </w:rPr>
        <w:t>57(5).</w:t>
      </w:r>
    </w:p>
    <w:p>
      <w:pPr>
        <w:pStyle w:val="ListParagraph"/>
        <w:numPr>
          <w:ilvl w:val="0"/>
          <w:numId w:val="96"/>
        </w:numPr>
        <w:tabs>
          <w:tab w:pos="1243" w:val="left" w:leader="none"/>
          <w:tab w:pos="1244" w:val="left" w:leader="none"/>
        </w:tabs>
        <w:spacing w:line="240" w:lineRule="auto" w:before="2" w:after="0"/>
        <w:ind w:left="1243" w:right="2113" w:hanging="794"/>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 2015)</w:t>
      </w:r>
      <w:r>
        <w:rPr>
          <w:spacing w:val="9"/>
          <w:w w:val="105"/>
          <w:sz w:val="13"/>
        </w:rPr>
        <w:t> </w:t>
      </w:r>
      <w:r>
        <w:rPr>
          <w:w w:val="105"/>
          <w:sz w:val="13"/>
        </w:rPr>
        <w:t>[3.327].</w:t>
      </w:r>
    </w:p>
    <w:p>
      <w:pPr>
        <w:pStyle w:val="ListParagraph"/>
        <w:numPr>
          <w:ilvl w:val="0"/>
          <w:numId w:val="96"/>
        </w:numPr>
        <w:tabs>
          <w:tab w:pos="1243" w:val="left" w:leader="none"/>
          <w:tab w:pos="1244" w:val="left" w:leader="none"/>
        </w:tabs>
        <w:spacing w:line="240" w:lineRule="auto" w:before="3" w:after="0"/>
        <w:ind w:left="1243" w:right="1902" w:hanging="794"/>
        <w:jc w:val="left"/>
        <w:rPr>
          <w:sz w:val="13"/>
        </w:rPr>
      </w:pPr>
      <w:r>
        <w:rPr>
          <w:w w:val="105"/>
          <w:sz w:val="13"/>
        </w:rPr>
        <w:t>Ibid </w:t>
      </w:r>
      <w:r>
        <w:rPr>
          <w:spacing w:val="2"/>
          <w:w w:val="105"/>
          <w:sz w:val="13"/>
        </w:rPr>
        <w:t>[3.449]. </w:t>
      </w:r>
      <w:r>
        <w:rPr>
          <w:w w:val="105"/>
          <w:sz w:val="13"/>
        </w:rPr>
        <w:t>The QLRC explains that ‘in effect, QCAT may make an order about an overhanging branch or branches only if the “land is affected</w:t>
      </w:r>
      <w:r>
        <w:rPr>
          <w:spacing w:val="5"/>
          <w:w w:val="105"/>
          <w:sz w:val="13"/>
        </w:rPr>
        <w:t> </w:t>
      </w:r>
      <w:r>
        <w:rPr>
          <w:w w:val="105"/>
          <w:sz w:val="13"/>
        </w:rPr>
        <w:t>by</w:t>
      </w:r>
      <w:r>
        <w:rPr>
          <w:spacing w:val="5"/>
          <w:w w:val="105"/>
          <w:sz w:val="13"/>
        </w:rPr>
        <w:t> </w:t>
      </w:r>
      <w:r>
        <w:rPr>
          <w:w w:val="105"/>
          <w:sz w:val="13"/>
        </w:rPr>
        <w:t>a</w:t>
      </w:r>
      <w:r>
        <w:rPr>
          <w:spacing w:val="5"/>
          <w:w w:val="105"/>
          <w:sz w:val="13"/>
        </w:rPr>
        <w:t> </w:t>
      </w:r>
      <w:r>
        <w:rPr>
          <w:w w:val="105"/>
          <w:sz w:val="13"/>
        </w:rPr>
        <w:t>tree”</w:t>
      </w:r>
      <w:r>
        <w:rPr>
          <w:spacing w:val="5"/>
          <w:w w:val="105"/>
          <w:sz w:val="13"/>
        </w:rPr>
        <w:t> </w:t>
      </w:r>
      <w:r>
        <w:rPr>
          <w:w w:val="105"/>
          <w:sz w:val="13"/>
        </w:rPr>
        <w:t>under</w:t>
      </w:r>
      <w:r>
        <w:rPr>
          <w:spacing w:val="5"/>
          <w:w w:val="105"/>
          <w:sz w:val="13"/>
        </w:rPr>
        <w:t> </w:t>
      </w:r>
      <w:r>
        <w:rPr>
          <w:w w:val="105"/>
          <w:sz w:val="13"/>
        </w:rPr>
        <w:t>section</w:t>
      </w:r>
      <w:r>
        <w:rPr>
          <w:spacing w:val="5"/>
          <w:w w:val="105"/>
          <w:sz w:val="13"/>
        </w:rPr>
        <w:t> </w:t>
      </w:r>
      <w:r>
        <w:rPr>
          <w:spacing w:val="3"/>
          <w:w w:val="105"/>
          <w:sz w:val="13"/>
        </w:rPr>
        <w:t>46(a)(ii)</w:t>
      </w:r>
      <w:r>
        <w:rPr>
          <w:spacing w:val="6"/>
          <w:w w:val="105"/>
          <w:sz w:val="13"/>
        </w:rPr>
        <w:t> </w:t>
      </w:r>
      <w:r>
        <w:rPr>
          <w:w w:val="105"/>
          <w:sz w:val="13"/>
        </w:rPr>
        <w:t>and</w:t>
      </w:r>
      <w:r>
        <w:rPr>
          <w:spacing w:val="5"/>
          <w:w w:val="105"/>
          <w:sz w:val="13"/>
        </w:rPr>
        <w:t> </w:t>
      </w:r>
      <w:r>
        <w:rPr>
          <w:w w:val="105"/>
          <w:sz w:val="13"/>
        </w:rPr>
        <w:t>the</w:t>
      </w:r>
      <w:r>
        <w:rPr>
          <w:spacing w:val="5"/>
          <w:w w:val="105"/>
          <w:sz w:val="13"/>
        </w:rPr>
        <w:t> </w:t>
      </w:r>
      <w:r>
        <w:rPr>
          <w:w w:val="105"/>
          <w:sz w:val="13"/>
        </w:rPr>
        <w:t>cognate</w:t>
      </w:r>
      <w:r>
        <w:rPr>
          <w:spacing w:val="5"/>
          <w:w w:val="105"/>
          <w:sz w:val="13"/>
        </w:rPr>
        <w:t> </w:t>
      </w:r>
      <w:r>
        <w:rPr>
          <w:w w:val="105"/>
          <w:sz w:val="13"/>
        </w:rPr>
        <w:t>threshold</w:t>
      </w:r>
      <w:r>
        <w:rPr>
          <w:spacing w:val="5"/>
          <w:w w:val="105"/>
          <w:sz w:val="13"/>
        </w:rPr>
        <w:t> </w:t>
      </w:r>
      <w:r>
        <w:rPr>
          <w:w w:val="105"/>
          <w:sz w:val="13"/>
        </w:rPr>
        <w:t>requirements</w:t>
      </w:r>
      <w:r>
        <w:rPr>
          <w:spacing w:val="5"/>
          <w:w w:val="105"/>
          <w:sz w:val="13"/>
        </w:rPr>
        <w:t> </w:t>
      </w:r>
      <w:r>
        <w:rPr>
          <w:w w:val="105"/>
          <w:sz w:val="13"/>
        </w:rPr>
        <w:t>under</w:t>
      </w:r>
      <w:r>
        <w:rPr>
          <w:spacing w:val="6"/>
          <w:w w:val="105"/>
          <w:sz w:val="13"/>
        </w:rPr>
        <w:t> </w:t>
      </w:r>
      <w:r>
        <w:rPr>
          <w:w w:val="105"/>
          <w:sz w:val="13"/>
        </w:rPr>
        <w:t>sections</w:t>
      </w:r>
      <w:r>
        <w:rPr>
          <w:spacing w:val="5"/>
          <w:w w:val="105"/>
          <w:sz w:val="13"/>
        </w:rPr>
        <w:t> </w:t>
      </w:r>
      <w:r>
        <w:rPr>
          <w:w w:val="105"/>
          <w:sz w:val="13"/>
        </w:rPr>
        <w:t>65</w:t>
      </w:r>
      <w:r>
        <w:rPr>
          <w:spacing w:val="5"/>
          <w:w w:val="105"/>
          <w:sz w:val="13"/>
        </w:rPr>
        <w:t> </w:t>
      </w:r>
      <w:r>
        <w:rPr>
          <w:w w:val="105"/>
          <w:sz w:val="13"/>
        </w:rPr>
        <w:t>and</w:t>
      </w:r>
      <w:r>
        <w:rPr>
          <w:spacing w:val="5"/>
          <w:w w:val="105"/>
          <w:sz w:val="13"/>
        </w:rPr>
        <w:t> </w:t>
      </w:r>
      <w:r>
        <w:rPr>
          <w:w w:val="105"/>
          <w:sz w:val="13"/>
        </w:rPr>
        <w:t>66</w:t>
      </w:r>
      <w:r>
        <w:rPr>
          <w:spacing w:val="5"/>
          <w:w w:val="105"/>
          <w:sz w:val="13"/>
        </w:rPr>
        <w:t> </w:t>
      </w:r>
      <w:r>
        <w:rPr>
          <w:w w:val="105"/>
          <w:sz w:val="13"/>
        </w:rPr>
        <w:t>of</w:t>
      </w:r>
      <w:r>
        <w:rPr>
          <w:spacing w:val="5"/>
          <w:w w:val="105"/>
          <w:sz w:val="13"/>
        </w:rPr>
        <w:t> </w:t>
      </w:r>
      <w:r>
        <w:rPr>
          <w:w w:val="105"/>
          <w:sz w:val="13"/>
        </w:rPr>
        <w:t>the</w:t>
      </w:r>
      <w:r>
        <w:rPr>
          <w:spacing w:val="6"/>
          <w:w w:val="105"/>
          <w:sz w:val="13"/>
        </w:rPr>
        <w:t> </w:t>
      </w:r>
      <w:r>
        <w:rPr>
          <w:w w:val="105"/>
          <w:sz w:val="13"/>
        </w:rPr>
        <w:t>Act</w:t>
      </w:r>
      <w:r>
        <w:rPr>
          <w:spacing w:val="5"/>
          <w:w w:val="105"/>
          <w:sz w:val="13"/>
        </w:rPr>
        <w:t> </w:t>
      </w:r>
      <w:r>
        <w:rPr>
          <w:w w:val="105"/>
          <w:sz w:val="13"/>
        </w:rPr>
        <w:t>are</w:t>
      </w:r>
      <w:r>
        <w:rPr>
          <w:spacing w:val="5"/>
          <w:w w:val="105"/>
          <w:sz w:val="13"/>
        </w:rPr>
        <w:t> </w:t>
      </w:r>
      <w:r>
        <w:rPr>
          <w:w w:val="105"/>
          <w:sz w:val="13"/>
        </w:rPr>
        <w:t>met’.</w:t>
      </w:r>
    </w:p>
    <w:p>
      <w:pPr>
        <w:pStyle w:val="ListParagraph"/>
        <w:numPr>
          <w:ilvl w:val="0"/>
          <w:numId w:val="96"/>
        </w:numPr>
        <w:tabs>
          <w:tab w:pos="1243" w:val="left" w:leader="none"/>
          <w:tab w:pos="1244" w:val="left" w:leader="none"/>
        </w:tabs>
        <w:spacing w:line="240" w:lineRule="auto" w:before="3" w:after="0"/>
        <w:ind w:left="1243" w:right="1696" w:hanging="794"/>
        <w:jc w:val="left"/>
        <w:rPr>
          <w:sz w:val="13"/>
        </w:rPr>
      </w:pPr>
      <w:r>
        <w:rPr>
          <w:w w:val="105"/>
          <w:sz w:val="13"/>
        </w:rPr>
        <w:t>Department of Justice (Tas), </w:t>
      </w:r>
      <w:r>
        <w:rPr>
          <w:i/>
          <w:w w:val="105"/>
          <w:sz w:val="13"/>
        </w:rPr>
        <w:t>Neighbourhood Disputes About Plants </w:t>
      </w:r>
      <w:r>
        <w:rPr>
          <w:w w:val="105"/>
          <w:sz w:val="13"/>
        </w:rPr>
        <w:t>(Web Page) </w:t>
      </w:r>
      <w:r>
        <w:rPr>
          <w:spacing w:val="2"/>
          <w:w w:val="105"/>
          <w:sz w:val="13"/>
        </w:rPr>
        <w:t>&lt;https://</w:t>
      </w:r>
      <w:hyperlink r:id="rId132">
        <w:r>
          <w:rPr>
            <w:spacing w:val="2"/>
            <w:w w:val="105"/>
            <w:sz w:val="13"/>
          </w:rPr>
          <w:t>www.justice.tas.gov.au/mediation_and_dispute_</w:t>
        </w:r>
      </w:hyperlink>
      <w:r>
        <w:rPr>
          <w:spacing w:val="2"/>
          <w:w w:val="105"/>
          <w:sz w:val="13"/>
        </w:rPr>
        <w:t> </w:t>
      </w:r>
      <w:r>
        <w:rPr>
          <w:w w:val="105"/>
          <w:sz w:val="13"/>
        </w:rPr>
        <w:t>resolution/neighbourhood-disputes-about-plants&gt;.</w:t>
      </w:r>
    </w:p>
    <w:p>
      <w:pPr>
        <w:pStyle w:val="ListParagraph"/>
        <w:numPr>
          <w:ilvl w:val="0"/>
          <w:numId w:val="96"/>
        </w:numPr>
        <w:tabs>
          <w:tab w:pos="1243" w:val="left" w:leader="none"/>
          <w:tab w:pos="1244" w:val="left" w:leader="none"/>
        </w:tabs>
        <w:spacing w:line="240" w:lineRule="auto" w:before="2" w:after="0"/>
        <w:ind w:left="1243" w:right="1865" w:hanging="794"/>
        <w:jc w:val="left"/>
        <w:rPr>
          <w:sz w:val="13"/>
        </w:rPr>
      </w:pPr>
      <w:r>
        <w:rPr>
          <w:i/>
          <w:w w:val="105"/>
          <w:sz w:val="13"/>
        </w:rPr>
        <w:t>Neighbourhood Disputes About Plants Act </w:t>
      </w:r>
      <w:r>
        <w:rPr>
          <w:i/>
          <w:spacing w:val="-4"/>
          <w:w w:val="105"/>
          <w:sz w:val="13"/>
        </w:rPr>
        <w:t>2017 </w:t>
      </w:r>
      <w:r>
        <w:rPr>
          <w:w w:val="105"/>
          <w:sz w:val="13"/>
        </w:rPr>
        <w:t>(Tas) s 21(3); Department of Justice (Tas), </w:t>
      </w:r>
      <w:r>
        <w:rPr>
          <w:i/>
          <w:w w:val="105"/>
          <w:sz w:val="13"/>
        </w:rPr>
        <w:t>Neighbourhood Disputes About Plants </w:t>
      </w:r>
      <w:r>
        <w:rPr>
          <w:w w:val="105"/>
          <w:sz w:val="13"/>
        </w:rPr>
        <w:t>(Web Page)</w:t>
      </w:r>
      <w:r>
        <w:rPr>
          <w:spacing w:val="7"/>
          <w:w w:val="105"/>
          <w:sz w:val="13"/>
        </w:rPr>
        <w:t> </w:t>
      </w:r>
      <w:r>
        <w:rPr>
          <w:w w:val="105"/>
          <w:sz w:val="13"/>
        </w:rPr>
        <w:t>&lt;https://</w:t>
      </w:r>
      <w:hyperlink r:id="rId133">
        <w:r>
          <w:rPr>
            <w:w w:val="105"/>
            <w:sz w:val="13"/>
          </w:rPr>
          <w:t>www.justice.tas.gov.au/mediation_and_dispute_resolution/neighbourhood-disputes-about-plants</w:t>
        </w:r>
      </w:hyperlink>
      <w:r>
        <w:rPr>
          <w:w w:val="105"/>
          <w:sz w:val="13"/>
        </w:rPr>
        <w:t>&gt;.</w:t>
      </w:r>
    </w:p>
    <w:p>
      <w:pPr>
        <w:pStyle w:val="ListParagraph"/>
        <w:numPr>
          <w:ilvl w:val="0"/>
          <w:numId w:val="96"/>
        </w:numPr>
        <w:tabs>
          <w:tab w:pos="1243" w:val="left" w:leader="none"/>
          <w:tab w:pos="1244" w:val="left" w:leader="none"/>
        </w:tabs>
        <w:spacing w:line="240" w:lineRule="auto" w:before="3" w:after="0"/>
        <w:ind w:left="1243" w:right="0" w:hanging="794"/>
        <w:jc w:val="left"/>
        <w:rPr>
          <w:sz w:val="13"/>
        </w:rPr>
      </w:pPr>
      <w:r>
        <w:rPr>
          <w:i/>
          <w:w w:val="105"/>
          <w:sz w:val="13"/>
        </w:rPr>
        <w:t>Neighbourhood Disputes About Plants Act </w:t>
      </w:r>
      <w:r>
        <w:rPr>
          <w:i/>
          <w:spacing w:val="-4"/>
          <w:w w:val="105"/>
          <w:sz w:val="13"/>
        </w:rPr>
        <w:t>2017 </w:t>
      </w:r>
      <w:r>
        <w:rPr>
          <w:w w:val="105"/>
          <w:sz w:val="13"/>
        </w:rPr>
        <w:t>(Tas) ss</w:t>
      </w:r>
      <w:r>
        <w:rPr>
          <w:spacing w:val="16"/>
          <w:w w:val="105"/>
          <w:sz w:val="13"/>
        </w:rPr>
        <w:t> </w:t>
      </w:r>
      <w:r>
        <w:rPr>
          <w:spacing w:val="4"/>
          <w:w w:val="105"/>
          <w:sz w:val="13"/>
        </w:rPr>
        <w:t>20(9)–(10).</w:t>
      </w:r>
    </w:p>
    <w:p>
      <w:pPr>
        <w:pStyle w:val="ListParagraph"/>
        <w:numPr>
          <w:ilvl w:val="0"/>
          <w:numId w:val="96"/>
        </w:numPr>
        <w:tabs>
          <w:tab w:pos="1243" w:val="left" w:leader="none"/>
          <w:tab w:pos="1244" w:val="left" w:leader="none"/>
        </w:tabs>
        <w:spacing w:line="240" w:lineRule="auto" w:before="1" w:after="0"/>
        <w:ind w:left="1243" w:right="0" w:hanging="794"/>
        <w:jc w:val="left"/>
        <w:rPr>
          <w:i/>
          <w:sz w:val="13"/>
        </w:rPr>
      </w:pPr>
      <w:r>
        <w:rPr>
          <w:i/>
          <w:w w:val="105"/>
          <w:sz w:val="13"/>
        </w:rPr>
        <w:t>Neighbourhood Disputes (Dividing Fences and Trees) Act </w:t>
      </w:r>
      <w:r>
        <w:rPr>
          <w:i/>
          <w:spacing w:val="-4"/>
          <w:w w:val="105"/>
          <w:sz w:val="13"/>
        </w:rPr>
        <w:t>2011 </w:t>
      </w:r>
      <w:r>
        <w:rPr>
          <w:spacing w:val="2"/>
          <w:w w:val="105"/>
          <w:sz w:val="13"/>
        </w:rPr>
        <w:t>(Qld)</w:t>
      </w:r>
      <w:r>
        <w:rPr>
          <w:spacing w:val="21"/>
          <w:w w:val="105"/>
          <w:sz w:val="13"/>
        </w:rPr>
        <w:t> </w:t>
      </w:r>
      <w:r>
        <w:rPr>
          <w:spacing w:val="2"/>
          <w:w w:val="105"/>
          <w:sz w:val="13"/>
        </w:rPr>
        <w:t>57(5)</w:t>
      </w:r>
      <w:r>
        <w:rPr>
          <w:i/>
          <w:spacing w:val="2"/>
          <w:w w:val="105"/>
          <w:sz w:val="13"/>
        </w:rPr>
        <w:t>.</w:t>
      </w:r>
    </w:p>
    <w:p>
      <w:pPr>
        <w:pStyle w:val="ListParagraph"/>
        <w:numPr>
          <w:ilvl w:val="0"/>
          <w:numId w:val="96"/>
        </w:numPr>
        <w:tabs>
          <w:tab w:pos="1243" w:val="left" w:leader="none"/>
          <w:tab w:pos="1244" w:val="left" w:leader="none"/>
        </w:tabs>
        <w:spacing w:line="240" w:lineRule="auto" w:before="2" w:after="0"/>
        <w:ind w:left="449" w:right="6042" w:firstLine="0"/>
        <w:jc w:val="left"/>
        <w:rPr>
          <w:sz w:val="13"/>
        </w:rPr>
      </w:pPr>
      <w:r>
        <w:rPr>
          <w:i/>
          <w:w w:val="105"/>
          <w:sz w:val="13"/>
        </w:rPr>
        <w:t>Neighbourhood Disputes About Plants Act </w:t>
      </w:r>
      <w:r>
        <w:rPr>
          <w:i/>
          <w:spacing w:val="-4"/>
          <w:w w:val="105"/>
          <w:sz w:val="13"/>
        </w:rPr>
        <w:t>2017 </w:t>
      </w:r>
      <w:r>
        <w:rPr>
          <w:w w:val="105"/>
          <w:sz w:val="13"/>
        </w:rPr>
        <w:t>(Tas) s 21(4). 80</w:t>
        <w:tab/>
        <w:t>Ibid ss</w:t>
      </w:r>
      <w:r>
        <w:rPr>
          <w:spacing w:val="8"/>
          <w:w w:val="105"/>
          <w:sz w:val="13"/>
        </w:rPr>
        <w:t> </w:t>
      </w:r>
      <w:r>
        <w:rPr>
          <w:spacing w:val="4"/>
          <w:w w:val="105"/>
          <w:sz w:val="13"/>
        </w:rPr>
        <w:t>21(5)–(7).</w:t>
      </w:r>
    </w:p>
    <w:p>
      <w:pPr>
        <w:spacing w:after="0" w:line="240" w:lineRule="auto"/>
        <w:jc w:val="left"/>
        <w:rPr>
          <w:sz w:val="13"/>
        </w:rPr>
        <w:sectPr>
          <w:type w:val="continuous"/>
          <w:pgSz w:w="11910" w:h="16840"/>
          <w:pgMar w:top="300" w:bottom="280" w:left="0" w:right="0"/>
          <w:cols w:num="2" w:equalWidth="0">
            <w:col w:w="1098" w:space="40"/>
            <w:col w:w="10772"/>
          </w:cols>
        </w:sectPr>
      </w:pPr>
    </w:p>
    <w:p>
      <w:pPr>
        <w:pStyle w:val="BodyText"/>
        <w:rPr>
          <w:sz w:val="20"/>
        </w:rPr>
      </w:pPr>
    </w:p>
    <w:p>
      <w:pPr>
        <w:pStyle w:val="BodyText"/>
        <w:spacing w:before="11"/>
        <w:rPr>
          <w:sz w:val="17"/>
        </w:rPr>
      </w:pPr>
    </w:p>
    <w:p>
      <w:pPr>
        <w:pStyle w:val="Heading5"/>
        <w:spacing w:before="96"/>
      </w:pPr>
      <w:bookmarkStart w:name="Community responses—resolving disputes i" w:id="150"/>
      <w:bookmarkEnd w:id="150"/>
      <w:r>
        <w:rPr>
          <w:b w:val="0"/>
        </w:rPr>
      </w:r>
      <w:bookmarkStart w:name="_bookmark66" w:id="151"/>
      <w:bookmarkEnd w:id="151"/>
      <w:r>
        <w:rPr>
          <w:b w:val="0"/>
        </w:rPr>
      </w:r>
      <w:r>
        <w:rPr>
          <w:w w:val="110"/>
        </w:rPr>
        <w:t>General notice process in the Tasmanian Act</w:t>
      </w:r>
    </w:p>
    <w:p>
      <w:pPr>
        <w:pStyle w:val="ListParagraph"/>
        <w:numPr>
          <w:ilvl w:val="1"/>
          <w:numId w:val="16"/>
        </w:numPr>
        <w:tabs>
          <w:tab w:pos="2381" w:val="left" w:leader="none"/>
          <w:tab w:pos="2382" w:val="left" w:leader="none"/>
        </w:tabs>
        <w:spacing w:line="242" w:lineRule="auto" w:before="137" w:after="0"/>
        <w:ind w:left="2381" w:right="1586" w:hanging="794"/>
        <w:jc w:val="left"/>
        <w:rPr>
          <w:sz w:val="21"/>
        </w:rPr>
      </w:pPr>
      <w:r>
        <w:rPr>
          <w:w w:val="105"/>
          <w:sz w:val="21"/>
        </w:rPr>
        <w:t>Under</w:t>
      </w:r>
      <w:r>
        <w:rPr>
          <w:spacing w:val="-5"/>
          <w:w w:val="105"/>
          <w:sz w:val="21"/>
        </w:rPr>
        <w:t> </w:t>
      </w:r>
      <w:r>
        <w:rPr>
          <w:w w:val="105"/>
          <w:sz w:val="21"/>
        </w:rPr>
        <w:t>the</w:t>
      </w:r>
      <w:r>
        <w:rPr>
          <w:spacing w:val="-5"/>
          <w:w w:val="105"/>
          <w:sz w:val="21"/>
        </w:rPr>
        <w:t> </w:t>
      </w:r>
      <w:r>
        <w:rPr>
          <w:spacing w:val="-4"/>
          <w:w w:val="105"/>
          <w:sz w:val="21"/>
        </w:rPr>
        <w:t>Tasmanian </w:t>
      </w:r>
      <w:r>
        <w:rPr>
          <w:w w:val="105"/>
          <w:sz w:val="21"/>
        </w:rPr>
        <w:t>Act</w:t>
      </w:r>
      <w:r>
        <w:rPr>
          <w:spacing w:val="-5"/>
          <w:w w:val="105"/>
          <w:sz w:val="21"/>
        </w:rPr>
        <w:t> </w:t>
      </w:r>
      <w:r>
        <w:rPr>
          <w:w w:val="105"/>
          <w:sz w:val="21"/>
        </w:rPr>
        <w:t>an</w:t>
      </w:r>
      <w:r>
        <w:rPr>
          <w:spacing w:val="-5"/>
          <w:w w:val="105"/>
          <w:sz w:val="21"/>
        </w:rPr>
        <w:t> </w:t>
      </w:r>
      <w:r>
        <w:rPr>
          <w:w w:val="105"/>
          <w:sz w:val="21"/>
        </w:rPr>
        <w:t>affected</w:t>
      </w:r>
      <w:r>
        <w:rPr>
          <w:spacing w:val="-4"/>
          <w:w w:val="105"/>
          <w:sz w:val="21"/>
        </w:rPr>
        <w:t> </w:t>
      </w:r>
      <w:r>
        <w:rPr>
          <w:spacing w:val="-3"/>
          <w:w w:val="105"/>
          <w:sz w:val="21"/>
        </w:rPr>
        <w:t>neighbour</w:t>
      </w:r>
      <w:r>
        <w:rPr>
          <w:spacing w:val="-5"/>
          <w:w w:val="105"/>
          <w:sz w:val="21"/>
        </w:rPr>
        <w:t> </w:t>
      </w:r>
      <w:r>
        <w:rPr>
          <w:w w:val="105"/>
          <w:sz w:val="21"/>
        </w:rPr>
        <w:t>can</w:t>
      </w:r>
      <w:r>
        <w:rPr>
          <w:spacing w:val="-5"/>
          <w:w w:val="105"/>
          <w:sz w:val="21"/>
        </w:rPr>
        <w:t> </w:t>
      </w:r>
      <w:r>
        <w:rPr>
          <w:w w:val="105"/>
          <w:sz w:val="21"/>
        </w:rPr>
        <w:t>also</w:t>
      </w:r>
      <w:r>
        <w:rPr>
          <w:spacing w:val="-4"/>
          <w:w w:val="105"/>
          <w:sz w:val="21"/>
        </w:rPr>
        <w:t> </w:t>
      </w:r>
      <w:r>
        <w:rPr>
          <w:w w:val="105"/>
          <w:sz w:val="21"/>
        </w:rPr>
        <w:t>issue</w:t>
      </w:r>
      <w:r>
        <w:rPr>
          <w:spacing w:val="-5"/>
          <w:w w:val="105"/>
          <w:sz w:val="21"/>
        </w:rPr>
        <w:t> </w:t>
      </w:r>
      <w:r>
        <w:rPr>
          <w:w w:val="105"/>
          <w:sz w:val="21"/>
        </w:rPr>
        <w:t>a</w:t>
      </w:r>
      <w:r>
        <w:rPr>
          <w:spacing w:val="-5"/>
          <w:w w:val="105"/>
          <w:sz w:val="21"/>
        </w:rPr>
        <w:t> </w:t>
      </w:r>
      <w:r>
        <w:rPr>
          <w:w w:val="105"/>
          <w:sz w:val="21"/>
        </w:rPr>
        <w:t>written</w:t>
      </w:r>
      <w:r>
        <w:rPr>
          <w:spacing w:val="-4"/>
          <w:w w:val="105"/>
          <w:sz w:val="21"/>
        </w:rPr>
        <w:t> </w:t>
      </w:r>
      <w:r>
        <w:rPr>
          <w:spacing w:val="-3"/>
          <w:w w:val="105"/>
          <w:sz w:val="21"/>
        </w:rPr>
        <w:t>notice</w:t>
      </w:r>
      <w:r>
        <w:rPr>
          <w:spacing w:val="-5"/>
          <w:w w:val="105"/>
          <w:sz w:val="21"/>
        </w:rPr>
        <w:t> </w:t>
      </w:r>
      <w:r>
        <w:rPr>
          <w:spacing w:val="-3"/>
          <w:w w:val="105"/>
          <w:sz w:val="21"/>
        </w:rPr>
        <w:t>to</w:t>
      </w:r>
      <w:r>
        <w:rPr>
          <w:spacing w:val="-5"/>
          <w:w w:val="105"/>
          <w:sz w:val="21"/>
        </w:rPr>
        <w:t> </w:t>
      </w:r>
      <w:r>
        <w:rPr>
          <w:w w:val="105"/>
          <w:sz w:val="21"/>
        </w:rPr>
        <w:t>the</w:t>
      </w:r>
      <w:r>
        <w:rPr>
          <w:spacing w:val="-4"/>
          <w:w w:val="105"/>
          <w:sz w:val="21"/>
        </w:rPr>
        <w:t> </w:t>
      </w:r>
      <w:r>
        <w:rPr>
          <w:w w:val="105"/>
          <w:sz w:val="21"/>
        </w:rPr>
        <w:t>tree owner</w:t>
      </w:r>
      <w:r>
        <w:rPr>
          <w:spacing w:val="5"/>
          <w:w w:val="105"/>
          <w:sz w:val="21"/>
        </w:rPr>
        <w:t> </w:t>
      </w:r>
      <w:r>
        <w:rPr>
          <w:w w:val="105"/>
          <w:sz w:val="21"/>
        </w:rPr>
        <w:t>that:</w:t>
      </w:r>
    </w:p>
    <w:p>
      <w:pPr>
        <w:pStyle w:val="ListParagraph"/>
        <w:numPr>
          <w:ilvl w:val="2"/>
          <w:numId w:val="16"/>
        </w:numPr>
        <w:tabs>
          <w:tab w:pos="2721" w:val="left" w:leader="none"/>
          <w:tab w:pos="2722" w:val="left" w:leader="none"/>
        </w:tabs>
        <w:spacing w:line="240" w:lineRule="auto" w:before="122" w:after="0"/>
        <w:ind w:left="2721" w:right="0" w:hanging="340"/>
        <w:jc w:val="left"/>
        <w:rPr>
          <w:sz w:val="12"/>
        </w:rPr>
      </w:pPr>
      <w:r>
        <w:rPr>
          <w:w w:val="105"/>
          <w:sz w:val="21"/>
        </w:rPr>
        <w:t>states the </w:t>
      </w:r>
      <w:r>
        <w:rPr>
          <w:spacing w:val="-3"/>
          <w:w w:val="105"/>
          <w:sz w:val="21"/>
        </w:rPr>
        <w:t>grounds </w:t>
      </w:r>
      <w:r>
        <w:rPr>
          <w:w w:val="105"/>
          <w:sz w:val="21"/>
        </w:rPr>
        <w:t>on which the tree is affecting their</w:t>
      </w:r>
      <w:r>
        <w:rPr>
          <w:spacing w:val="43"/>
          <w:w w:val="105"/>
          <w:sz w:val="21"/>
        </w:rPr>
        <w:t> </w:t>
      </w:r>
      <w:r>
        <w:rPr>
          <w:w w:val="105"/>
          <w:sz w:val="21"/>
        </w:rPr>
        <w:t>land</w:t>
      </w:r>
      <w:r>
        <w:rPr>
          <w:w w:val="105"/>
          <w:position w:val="7"/>
          <w:sz w:val="12"/>
        </w:rPr>
        <w:t>81</w:t>
      </w:r>
    </w:p>
    <w:p>
      <w:pPr>
        <w:pStyle w:val="ListParagraph"/>
        <w:numPr>
          <w:ilvl w:val="2"/>
          <w:numId w:val="16"/>
        </w:numPr>
        <w:tabs>
          <w:tab w:pos="2721" w:val="left" w:leader="none"/>
          <w:tab w:pos="2722" w:val="left" w:leader="none"/>
        </w:tabs>
        <w:spacing w:line="242" w:lineRule="auto" w:before="89" w:after="0"/>
        <w:ind w:left="2721" w:right="2080" w:hanging="340"/>
        <w:jc w:val="left"/>
        <w:rPr>
          <w:sz w:val="12"/>
        </w:rPr>
      </w:pPr>
      <w:r>
        <w:rPr>
          <w:sz w:val="21"/>
        </w:rPr>
        <w:t>states the action the affected </w:t>
      </w:r>
      <w:r>
        <w:rPr>
          <w:spacing w:val="-3"/>
          <w:sz w:val="21"/>
        </w:rPr>
        <w:t>neighbour </w:t>
      </w:r>
      <w:r>
        <w:rPr>
          <w:sz w:val="21"/>
        </w:rPr>
        <w:t>considers the tree owner should </w:t>
      </w:r>
      <w:r>
        <w:rPr>
          <w:spacing w:val="-3"/>
          <w:sz w:val="21"/>
        </w:rPr>
        <w:t>take to </w:t>
      </w:r>
      <w:r>
        <w:rPr>
          <w:sz w:val="21"/>
        </w:rPr>
        <w:t>remedy the</w:t>
      </w:r>
      <w:r>
        <w:rPr>
          <w:spacing w:val="16"/>
          <w:sz w:val="21"/>
        </w:rPr>
        <w:t> </w:t>
      </w:r>
      <w:r>
        <w:rPr>
          <w:sz w:val="21"/>
        </w:rPr>
        <w:t>issue</w:t>
      </w:r>
      <w:r>
        <w:rPr>
          <w:position w:val="7"/>
          <w:sz w:val="12"/>
        </w:rPr>
        <w:t>82</w:t>
      </w:r>
    </w:p>
    <w:p>
      <w:pPr>
        <w:pStyle w:val="ListParagraph"/>
        <w:numPr>
          <w:ilvl w:val="2"/>
          <w:numId w:val="16"/>
        </w:numPr>
        <w:tabs>
          <w:tab w:pos="2721" w:val="left" w:leader="none"/>
          <w:tab w:pos="2722" w:val="left" w:leader="none"/>
        </w:tabs>
        <w:spacing w:line="242" w:lineRule="auto" w:before="87" w:after="0"/>
        <w:ind w:left="2721" w:right="1808" w:hanging="340"/>
        <w:jc w:val="left"/>
        <w:rPr>
          <w:sz w:val="12"/>
        </w:rPr>
      </w:pPr>
      <w:r>
        <w:rPr>
          <w:sz w:val="21"/>
        </w:rPr>
        <w:t>requests a written response </w:t>
      </w:r>
      <w:r>
        <w:rPr>
          <w:spacing w:val="-3"/>
          <w:sz w:val="21"/>
        </w:rPr>
        <w:t>from </w:t>
      </w:r>
      <w:r>
        <w:rPr>
          <w:sz w:val="21"/>
        </w:rPr>
        <w:t>the tree owner </w:t>
      </w:r>
      <w:r>
        <w:rPr>
          <w:spacing w:val="-3"/>
          <w:sz w:val="21"/>
        </w:rPr>
        <w:t>within </w:t>
      </w:r>
      <w:r>
        <w:rPr>
          <w:sz w:val="21"/>
        </w:rPr>
        <w:t>a period of </w:t>
      </w:r>
      <w:r>
        <w:rPr>
          <w:spacing w:val="-2"/>
          <w:sz w:val="21"/>
        </w:rPr>
        <w:t>not </w:t>
      </w:r>
      <w:r>
        <w:rPr>
          <w:sz w:val="21"/>
        </w:rPr>
        <w:t>less </w:t>
      </w:r>
      <w:r>
        <w:rPr>
          <w:spacing w:val="-3"/>
          <w:sz w:val="21"/>
        </w:rPr>
        <w:t>than </w:t>
      </w:r>
      <w:r>
        <w:rPr>
          <w:spacing w:val="-7"/>
          <w:sz w:val="21"/>
        </w:rPr>
        <w:t>14 </w:t>
      </w:r>
      <w:r>
        <w:rPr>
          <w:sz w:val="21"/>
        </w:rPr>
        <w:t>days.</w:t>
      </w:r>
      <w:r>
        <w:rPr>
          <w:position w:val="7"/>
          <w:sz w:val="12"/>
        </w:rPr>
        <w:t>83</w:t>
      </w:r>
    </w:p>
    <w:p>
      <w:pPr>
        <w:pStyle w:val="ListParagraph"/>
        <w:numPr>
          <w:ilvl w:val="1"/>
          <w:numId w:val="16"/>
        </w:numPr>
        <w:tabs>
          <w:tab w:pos="2380" w:val="left" w:leader="none"/>
          <w:tab w:pos="2381" w:val="left" w:leader="none"/>
        </w:tabs>
        <w:spacing w:line="242" w:lineRule="auto" w:before="87" w:after="0"/>
        <w:ind w:left="2381" w:right="1695" w:hanging="794"/>
        <w:jc w:val="left"/>
        <w:rPr>
          <w:sz w:val="21"/>
        </w:rPr>
      </w:pPr>
      <w:r>
        <w:rPr>
          <w:w w:val="105"/>
          <w:sz w:val="21"/>
        </w:rPr>
        <w:t>The </w:t>
      </w:r>
      <w:r>
        <w:rPr>
          <w:spacing w:val="-4"/>
          <w:w w:val="105"/>
          <w:sz w:val="21"/>
        </w:rPr>
        <w:t>Tasmanian </w:t>
      </w:r>
      <w:r>
        <w:rPr>
          <w:w w:val="105"/>
          <w:sz w:val="21"/>
        </w:rPr>
        <w:t>Department of Justice </w:t>
      </w:r>
      <w:r>
        <w:rPr>
          <w:spacing w:val="-2"/>
          <w:w w:val="105"/>
          <w:sz w:val="21"/>
        </w:rPr>
        <w:t>has </w:t>
      </w:r>
      <w:r>
        <w:rPr>
          <w:w w:val="105"/>
          <w:sz w:val="21"/>
        </w:rPr>
        <w:t>developed a </w:t>
      </w:r>
      <w:r>
        <w:rPr>
          <w:spacing w:val="-3"/>
          <w:w w:val="105"/>
          <w:sz w:val="21"/>
        </w:rPr>
        <w:t>template notice form </w:t>
      </w:r>
      <w:r>
        <w:rPr>
          <w:w w:val="105"/>
          <w:sz w:val="21"/>
        </w:rPr>
        <w:t>which it </w:t>
      </w:r>
      <w:r>
        <w:rPr>
          <w:spacing w:val="-3"/>
          <w:w w:val="105"/>
          <w:sz w:val="21"/>
        </w:rPr>
        <w:t>recommends </w:t>
      </w:r>
      <w:r>
        <w:rPr>
          <w:w w:val="105"/>
          <w:sz w:val="21"/>
        </w:rPr>
        <w:t>people use.</w:t>
      </w:r>
      <w:r>
        <w:rPr>
          <w:w w:val="105"/>
          <w:position w:val="7"/>
          <w:sz w:val="12"/>
        </w:rPr>
        <w:t>84 </w:t>
      </w:r>
      <w:r>
        <w:rPr>
          <w:w w:val="105"/>
          <w:sz w:val="21"/>
        </w:rPr>
        <w:t>This process is </w:t>
      </w:r>
      <w:r>
        <w:rPr>
          <w:spacing w:val="-4"/>
          <w:w w:val="105"/>
          <w:sz w:val="21"/>
        </w:rPr>
        <w:t>likely </w:t>
      </w:r>
      <w:r>
        <w:rPr>
          <w:spacing w:val="-3"/>
          <w:w w:val="105"/>
          <w:sz w:val="21"/>
        </w:rPr>
        <w:t>to </w:t>
      </w:r>
      <w:r>
        <w:rPr>
          <w:w w:val="105"/>
          <w:sz w:val="21"/>
        </w:rPr>
        <w:t>be of benefit where an affected </w:t>
      </w:r>
      <w:r>
        <w:rPr>
          <w:spacing w:val="-3"/>
          <w:w w:val="105"/>
          <w:sz w:val="21"/>
        </w:rPr>
        <w:t>neighbour </w:t>
      </w:r>
      <w:r>
        <w:rPr>
          <w:w w:val="105"/>
          <w:sz w:val="21"/>
        </w:rPr>
        <w:t>seeks </w:t>
      </w:r>
      <w:r>
        <w:rPr>
          <w:spacing w:val="-3"/>
          <w:w w:val="105"/>
          <w:sz w:val="21"/>
        </w:rPr>
        <w:t>to </w:t>
      </w:r>
      <w:r>
        <w:rPr>
          <w:w w:val="105"/>
          <w:sz w:val="21"/>
        </w:rPr>
        <w:t>resolve the tree </w:t>
      </w:r>
      <w:r>
        <w:rPr>
          <w:spacing w:val="-3"/>
          <w:w w:val="105"/>
          <w:sz w:val="21"/>
        </w:rPr>
        <w:t>dispute informally </w:t>
      </w:r>
      <w:r>
        <w:rPr>
          <w:w w:val="105"/>
          <w:sz w:val="21"/>
        </w:rPr>
        <w:t>but the tree or tree parts </w:t>
      </w:r>
      <w:r>
        <w:rPr>
          <w:spacing w:val="-3"/>
          <w:w w:val="105"/>
          <w:sz w:val="21"/>
        </w:rPr>
        <w:t>are </w:t>
      </w:r>
      <w:r>
        <w:rPr>
          <w:spacing w:val="-2"/>
          <w:w w:val="105"/>
          <w:sz w:val="21"/>
        </w:rPr>
        <w:t>not </w:t>
      </w:r>
      <w:r>
        <w:rPr>
          <w:spacing w:val="-3"/>
          <w:w w:val="105"/>
          <w:sz w:val="21"/>
        </w:rPr>
        <w:t>captured </w:t>
      </w:r>
      <w:r>
        <w:rPr>
          <w:w w:val="105"/>
          <w:sz w:val="21"/>
        </w:rPr>
        <w:t>by the </w:t>
      </w:r>
      <w:r>
        <w:rPr>
          <w:spacing w:val="-3"/>
          <w:w w:val="105"/>
          <w:sz w:val="21"/>
        </w:rPr>
        <w:t>branch removal </w:t>
      </w:r>
      <w:r>
        <w:rPr>
          <w:w w:val="105"/>
          <w:sz w:val="21"/>
        </w:rPr>
        <w:t>process or </w:t>
      </w:r>
      <w:r>
        <w:rPr>
          <w:spacing w:val="-3"/>
          <w:w w:val="105"/>
          <w:sz w:val="21"/>
        </w:rPr>
        <w:t>are unable to </w:t>
      </w:r>
      <w:r>
        <w:rPr>
          <w:w w:val="105"/>
          <w:sz w:val="21"/>
        </w:rPr>
        <w:t>be </w:t>
      </w:r>
      <w:r>
        <w:rPr>
          <w:spacing w:val="-3"/>
          <w:w w:val="105"/>
          <w:sz w:val="21"/>
        </w:rPr>
        <w:t>abated. </w:t>
      </w:r>
      <w:r>
        <w:rPr>
          <w:w w:val="105"/>
          <w:sz w:val="21"/>
        </w:rPr>
        <w:t>This written </w:t>
      </w:r>
      <w:r>
        <w:rPr>
          <w:spacing w:val="-3"/>
          <w:w w:val="105"/>
          <w:sz w:val="21"/>
        </w:rPr>
        <w:t>notice </w:t>
      </w:r>
      <w:r>
        <w:rPr>
          <w:w w:val="105"/>
          <w:sz w:val="21"/>
        </w:rPr>
        <w:t>appears</w:t>
      </w:r>
      <w:r>
        <w:rPr>
          <w:spacing w:val="-5"/>
          <w:w w:val="105"/>
          <w:sz w:val="21"/>
        </w:rPr>
        <w:t> </w:t>
      </w:r>
      <w:r>
        <w:rPr>
          <w:spacing w:val="-3"/>
          <w:w w:val="105"/>
          <w:sz w:val="21"/>
        </w:rPr>
        <w:t>to</w:t>
      </w:r>
      <w:r>
        <w:rPr>
          <w:spacing w:val="-5"/>
          <w:w w:val="105"/>
          <w:sz w:val="21"/>
        </w:rPr>
        <w:t> </w:t>
      </w:r>
      <w:r>
        <w:rPr>
          <w:spacing w:val="-3"/>
          <w:w w:val="105"/>
          <w:sz w:val="21"/>
        </w:rPr>
        <w:t>have</w:t>
      </w:r>
      <w:r>
        <w:rPr>
          <w:spacing w:val="-4"/>
          <w:w w:val="105"/>
          <w:sz w:val="21"/>
        </w:rPr>
        <w:t> </w:t>
      </w:r>
      <w:r>
        <w:rPr>
          <w:w w:val="105"/>
          <w:sz w:val="21"/>
        </w:rPr>
        <w:t>been</w:t>
      </w:r>
      <w:r>
        <w:rPr>
          <w:spacing w:val="-5"/>
          <w:w w:val="105"/>
          <w:sz w:val="21"/>
        </w:rPr>
        <w:t> </w:t>
      </w:r>
      <w:r>
        <w:rPr>
          <w:w w:val="105"/>
          <w:sz w:val="21"/>
        </w:rPr>
        <w:t>developed</w:t>
      </w:r>
      <w:r>
        <w:rPr>
          <w:spacing w:val="-4"/>
          <w:w w:val="105"/>
          <w:sz w:val="21"/>
        </w:rPr>
        <w:t> </w:t>
      </w:r>
      <w:r>
        <w:rPr>
          <w:w w:val="105"/>
          <w:sz w:val="21"/>
        </w:rPr>
        <w:t>as</w:t>
      </w:r>
      <w:r>
        <w:rPr>
          <w:spacing w:val="-5"/>
          <w:w w:val="105"/>
          <w:sz w:val="21"/>
        </w:rPr>
        <w:t> </w:t>
      </w:r>
      <w:r>
        <w:rPr>
          <w:w w:val="105"/>
          <w:sz w:val="21"/>
        </w:rPr>
        <w:t>a</w:t>
      </w:r>
      <w:r>
        <w:rPr>
          <w:spacing w:val="-4"/>
          <w:w w:val="105"/>
          <w:sz w:val="21"/>
        </w:rPr>
        <w:t> </w:t>
      </w:r>
      <w:r>
        <w:rPr>
          <w:spacing w:val="-3"/>
          <w:w w:val="105"/>
          <w:sz w:val="21"/>
        </w:rPr>
        <w:t>means</w:t>
      </w:r>
      <w:r>
        <w:rPr>
          <w:spacing w:val="-5"/>
          <w:w w:val="105"/>
          <w:sz w:val="21"/>
        </w:rPr>
        <w:t> </w:t>
      </w:r>
      <w:r>
        <w:rPr>
          <w:w w:val="105"/>
          <w:sz w:val="21"/>
        </w:rPr>
        <w:t>of</w:t>
      </w:r>
      <w:r>
        <w:rPr>
          <w:spacing w:val="-5"/>
          <w:w w:val="105"/>
          <w:sz w:val="21"/>
        </w:rPr>
        <w:t> </w:t>
      </w:r>
      <w:r>
        <w:rPr>
          <w:spacing w:val="-3"/>
          <w:w w:val="105"/>
          <w:sz w:val="21"/>
        </w:rPr>
        <w:t>facilitating</w:t>
      </w:r>
      <w:r>
        <w:rPr>
          <w:spacing w:val="-4"/>
          <w:w w:val="105"/>
          <w:sz w:val="21"/>
        </w:rPr>
        <w:t> </w:t>
      </w:r>
      <w:r>
        <w:rPr>
          <w:spacing w:val="-3"/>
          <w:w w:val="105"/>
          <w:sz w:val="21"/>
        </w:rPr>
        <w:t>clear</w:t>
      </w:r>
      <w:r>
        <w:rPr>
          <w:spacing w:val="-5"/>
          <w:w w:val="105"/>
          <w:sz w:val="21"/>
        </w:rPr>
        <w:t> </w:t>
      </w:r>
      <w:r>
        <w:rPr>
          <w:spacing w:val="-3"/>
          <w:w w:val="105"/>
          <w:sz w:val="21"/>
        </w:rPr>
        <w:t>communication</w:t>
      </w:r>
      <w:r>
        <w:rPr>
          <w:spacing w:val="-4"/>
          <w:w w:val="105"/>
          <w:sz w:val="21"/>
        </w:rPr>
        <w:t> </w:t>
      </w:r>
      <w:r>
        <w:rPr>
          <w:w w:val="105"/>
          <w:sz w:val="21"/>
        </w:rPr>
        <w:t>between neighbours. It does </w:t>
      </w:r>
      <w:r>
        <w:rPr>
          <w:spacing w:val="-2"/>
          <w:w w:val="105"/>
          <w:sz w:val="21"/>
        </w:rPr>
        <w:t>not </w:t>
      </w:r>
      <w:r>
        <w:rPr>
          <w:w w:val="105"/>
          <w:sz w:val="21"/>
        </w:rPr>
        <w:t>set out </w:t>
      </w:r>
      <w:r>
        <w:rPr>
          <w:spacing w:val="-3"/>
          <w:w w:val="105"/>
          <w:sz w:val="21"/>
        </w:rPr>
        <w:t>any </w:t>
      </w:r>
      <w:r>
        <w:rPr>
          <w:w w:val="105"/>
          <w:sz w:val="21"/>
        </w:rPr>
        <w:t>monetary amounts able </w:t>
      </w:r>
      <w:r>
        <w:rPr>
          <w:spacing w:val="-3"/>
          <w:w w:val="105"/>
          <w:sz w:val="21"/>
        </w:rPr>
        <w:t>to </w:t>
      </w:r>
      <w:r>
        <w:rPr>
          <w:w w:val="105"/>
          <w:sz w:val="21"/>
        </w:rPr>
        <w:t>be </w:t>
      </w:r>
      <w:r>
        <w:rPr>
          <w:spacing w:val="-3"/>
          <w:w w:val="105"/>
          <w:sz w:val="21"/>
        </w:rPr>
        <w:t>recovered </w:t>
      </w:r>
      <w:r>
        <w:rPr>
          <w:w w:val="105"/>
          <w:sz w:val="21"/>
        </w:rPr>
        <w:t>or what happens if the tree owner </w:t>
      </w:r>
      <w:r>
        <w:rPr>
          <w:spacing w:val="-3"/>
          <w:w w:val="105"/>
          <w:sz w:val="21"/>
        </w:rPr>
        <w:t>ignores </w:t>
      </w:r>
      <w:r>
        <w:rPr>
          <w:w w:val="105"/>
          <w:sz w:val="21"/>
        </w:rPr>
        <w:t>the</w:t>
      </w:r>
      <w:r>
        <w:rPr>
          <w:spacing w:val="33"/>
          <w:w w:val="105"/>
          <w:sz w:val="21"/>
        </w:rPr>
        <w:t> </w:t>
      </w:r>
      <w:r>
        <w:rPr>
          <w:spacing w:val="-3"/>
          <w:w w:val="105"/>
          <w:sz w:val="21"/>
        </w:rPr>
        <w:t>notice.</w:t>
      </w:r>
    </w:p>
    <w:p>
      <w:pPr>
        <w:pStyle w:val="BodyText"/>
        <w:spacing w:before="3"/>
        <w:rPr>
          <w:sz w:val="22"/>
        </w:rPr>
      </w:pPr>
    </w:p>
    <w:p>
      <w:pPr>
        <w:pStyle w:val="Heading4"/>
      </w:pPr>
      <w:r>
        <w:rPr>
          <w:color w:val="658464"/>
          <w:w w:val="115"/>
        </w:rPr>
        <w:t>Community responses—resolving disputes informally</w:t>
      </w:r>
    </w:p>
    <w:p>
      <w:pPr>
        <w:pStyle w:val="ListParagraph"/>
        <w:numPr>
          <w:ilvl w:val="1"/>
          <w:numId w:val="16"/>
        </w:numPr>
        <w:tabs>
          <w:tab w:pos="2381" w:val="left" w:leader="none"/>
          <w:tab w:pos="2382" w:val="left" w:leader="none"/>
        </w:tabs>
        <w:spacing w:line="242" w:lineRule="auto" w:before="155" w:after="0"/>
        <w:ind w:left="2381" w:right="1718" w:hanging="794"/>
        <w:jc w:val="left"/>
        <w:rPr>
          <w:sz w:val="21"/>
        </w:rPr>
      </w:pPr>
      <w:r>
        <w:rPr>
          <w:sz w:val="21"/>
        </w:rPr>
        <w:t>Responses </w:t>
      </w:r>
      <w:r>
        <w:rPr>
          <w:spacing w:val="-3"/>
          <w:sz w:val="21"/>
        </w:rPr>
        <w:t>from </w:t>
      </w:r>
      <w:r>
        <w:rPr>
          <w:sz w:val="21"/>
        </w:rPr>
        <w:t>the community suggest </w:t>
      </w:r>
      <w:r>
        <w:rPr>
          <w:spacing w:val="-3"/>
          <w:sz w:val="21"/>
        </w:rPr>
        <w:t>that informal </w:t>
      </w:r>
      <w:r>
        <w:rPr>
          <w:sz w:val="21"/>
        </w:rPr>
        <w:t>resolution is  the  primary  </w:t>
      </w:r>
      <w:r>
        <w:rPr>
          <w:spacing w:val="-3"/>
          <w:sz w:val="21"/>
        </w:rPr>
        <w:t>way </w:t>
      </w:r>
      <w:r>
        <w:rPr>
          <w:sz w:val="21"/>
        </w:rPr>
        <w:t>people </w:t>
      </w:r>
      <w:r>
        <w:rPr>
          <w:spacing w:val="-3"/>
          <w:sz w:val="21"/>
        </w:rPr>
        <w:t>currently </w:t>
      </w:r>
      <w:r>
        <w:rPr>
          <w:sz w:val="21"/>
        </w:rPr>
        <w:t>try </w:t>
      </w:r>
      <w:r>
        <w:rPr>
          <w:spacing w:val="-3"/>
          <w:sz w:val="21"/>
        </w:rPr>
        <w:t>to </w:t>
      </w:r>
      <w:r>
        <w:rPr>
          <w:sz w:val="21"/>
        </w:rPr>
        <w:t>resolve their tree disputes.</w:t>
      </w:r>
      <w:r>
        <w:rPr>
          <w:position w:val="7"/>
          <w:sz w:val="12"/>
        </w:rPr>
        <w:t>85 </w:t>
      </w:r>
      <w:r>
        <w:rPr>
          <w:sz w:val="21"/>
        </w:rPr>
        <w:t>Most people explained </w:t>
      </w:r>
      <w:r>
        <w:rPr>
          <w:spacing w:val="-3"/>
          <w:sz w:val="21"/>
        </w:rPr>
        <w:t>that  </w:t>
      </w:r>
      <w:r>
        <w:rPr>
          <w:sz w:val="21"/>
        </w:rPr>
        <w:t>they did </w:t>
      </w:r>
      <w:r>
        <w:rPr>
          <w:spacing w:val="-2"/>
          <w:sz w:val="21"/>
        </w:rPr>
        <w:t>not  </w:t>
      </w:r>
      <w:r>
        <w:rPr>
          <w:spacing w:val="-3"/>
          <w:sz w:val="21"/>
        </w:rPr>
        <w:t>take  </w:t>
      </w:r>
      <w:r>
        <w:rPr>
          <w:sz w:val="21"/>
        </w:rPr>
        <w:t>legal action</w:t>
      </w:r>
      <w:r>
        <w:rPr>
          <w:position w:val="7"/>
          <w:sz w:val="12"/>
        </w:rPr>
        <w:t>86</w:t>
      </w:r>
      <w:r>
        <w:rPr>
          <w:spacing w:val="27"/>
          <w:position w:val="7"/>
          <w:sz w:val="12"/>
        </w:rPr>
        <w:t> </w:t>
      </w:r>
      <w:r>
        <w:rPr>
          <w:sz w:val="21"/>
        </w:rPr>
        <w:t>because it was too </w:t>
      </w:r>
      <w:r>
        <w:rPr>
          <w:spacing w:val="-3"/>
          <w:sz w:val="21"/>
        </w:rPr>
        <w:t>costly,</w:t>
      </w:r>
      <w:r>
        <w:rPr>
          <w:spacing w:val="-3"/>
          <w:position w:val="7"/>
          <w:sz w:val="12"/>
        </w:rPr>
        <w:t>87  </w:t>
      </w:r>
      <w:r>
        <w:rPr>
          <w:sz w:val="21"/>
        </w:rPr>
        <w:t>would damage neighbourly relations</w:t>
      </w:r>
      <w:r>
        <w:rPr>
          <w:position w:val="7"/>
          <w:sz w:val="12"/>
        </w:rPr>
        <w:t>88  </w:t>
      </w:r>
      <w:r>
        <w:rPr>
          <w:sz w:val="12"/>
        </w:rPr>
        <w:t> </w:t>
      </w:r>
      <w:r>
        <w:rPr>
          <w:sz w:val="21"/>
        </w:rPr>
        <w:t>or because the issues </w:t>
      </w:r>
      <w:r>
        <w:rPr>
          <w:spacing w:val="-2"/>
          <w:sz w:val="21"/>
        </w:rPr>
        <w:t>raised </w:t>
      </w:r>
      <w:r>
        <w:rPr>
          <w:spacing w:val="-3"/>
          <w:sz w:val="21"/>
        </w:rPr>
        <w:t>were </w:t>
      </w:r>
      <w:r>
        <w:rPr>
          <w:spacing w:val="-4"/>
          <w:sz w:val="21"/>
        </w:rPr>
        <w:t>unlikely </w:t>
      </w:r>
      <w:r>
        <w:rPr>
          <w:spacing w:val="-3"/>
          <w:sz w:val="21"/>
        </w:rPr>
        <w:t>to </w:t>
      </w:r>
      <w:r>
        <w:rPr>
          <w:sz w:val="21"/>
        </w:rPr>
        <w:t>meet the </w:t>
      </w:r>
      <w:r>
        <w:rPr>
          <w:spacing w:val="-3"/>
          <w:sz w:val="21"/>
        </w:rPr>
        <w:t>requirements </w:t>
      </w:r>
      <w:r>
        <w:rPr>
          <w:sz w:val="21"/>
        </w:rPr>
        <w:t>of a legal</w:t>
      </w:r>
      <w:r>
        <w:rPr>
          <w:spacing w:val="2"/>
          <w:sz w:val="21"/>
        </w:rPr>
        <w:t> </w:t>
      </w:r>
      <w:r>
        <w:rPr>
          <w:sz w:val="21"/>
        </w:rPr>
        <w:t>claim.</w:t>
      </w:r>
      <w:r>
        <w:rPr>
          <w:position w:val="7"/>
          <w:sz w:val="12"/>
        </w:rPr>
        <w:t>89</w:t>
      </w:r>
    </w:p>
    <w:p>
      <w:pPr>
        <w:pStyle w:val="ListParagraph"/>
        <w:numPr>
          <w:ilvl w:val="1"/>
          <w:numId w:val="16"/>
        </w:numPr>
        <w:tabs>
          <w:tab w:pos="2381" w:val="left" w:leader="none"/>
          <w:tab w:pos="2382" w:val="left" w:leader="none"/>
        </w:tabs>
        <w:spacing w:line="242" w:lineRule="auto" w:before="124" w:after="0"/>
        <w:ind w:left="2381" w:right="1961" w:hanging="794"/>
        <w:jc w:val="left"/>
        <w:rPr>
          <w:sz w:val="21"/>
        </w:rPr>
      </w:pPr>
      <w:r>
        <w:rPr>
          <w:w w:val="105"/>
          <w:sz w:val="21"/>
        </w:rPr>
        <w:t>The</w:t>
      </w:r>
      <w:r>
        <w:rPr>
          <w:spacing w:val="-5"/>
          <w:w w:val="105"/>
          <w:sz w:val="21"/>
        </w:rPr>
        <w:t> </w:t>
      </w:r>
      <w:r>
        <w:rPr>
          <w:spacing w:val="-3"/>
          <w:w w:val="105"/>
          <w:sz w:val="21"/>
        </w:rPr>
        <w:t>City</w:t>
      </w:r>
      <w:r>
        <w:rPr>
          <w:spacing w:val="-5"/>
          <w:w w:val="105"/>
          <w:sz w:val="21"/>
        </w:rPr>
        <w:t> </w:t>
      </w:r>
      <w:r>
        <w:rPr>
          <w:w w:val="105"/>
          <w:sz w:val="21"/>
        </w:rPr>
        <w:t>of</w:t>
      </w:r>
      <w:r>
        <w:rPr>
          <w:spacing w:val="-5"/>
          <w:w w:val="105"/>
          <w:sz w:val="21"/>
        </w:rPr>
        <w:t> </w:t>
      </w:r>
      <w:r>
        <w:rPr>
          <w:spacing w:val="-3"/>
          <w:w w:val="105"/>
          <w:sz w:val="21"/>
        </w:rPr>
        <w:t>Boroondara</w:t>
      </w:r>
      <w:r>
        <w:rPr>
          <w:spacing w:val="-5"/>
          <w:w w:val="105"/>
          <w:sz w:val="21"/>
        </w:rPr>
        <w:t> </w:t>
      </w:r>
      <w:r>
        <w:rPr>
          <w:w w:val="105"/>
          <w:sz w:val="21"/>
        </w:rPr>
        <w:t>stated</w:t>
      </w:r>
      <w:r>
        <w:rPr>
          <w:spacing w:val="-5"/>
          <w:w w:val="105"/>
          <w:sz w:val="21"/>
        </w:rPr>
        <w:t> </w:t>
      </w:r>
      <w:r>
        <w:rPr>
          <w:spacing w:val="-3"/>
          <w:w w:val="105"/>
          <w:sz w:val="21"/>
        </w:rPr>
        <w:t>that</w:t>
      </w:r>
      <w:r>
        <w:rPr>
          <w:spacing w:val="-5"/>
          <w:w w:val="105"/>
          <w:sz w:val="21"/>
        </w:rPr>
        <w:t> </w:t>
      </w:r>
      <w:r>
        <w:rPr>
          <w:spacing w:val="-3"/>
          <w:w w:val="105"/>
          <w:sz w:val="21"/>
        </w:rPr>
        <w:t>informal</w:t>
      </w:r>
      <w:r>
        <w:rPr>
          <w:spacing w:val="-5"/>
          <w:w w:val="105"/>
          <w:sz w:val="21"/>
        </w:rPr>
        <w:t> </w:t>
      </w:r>
      <w:r>
        <w:rPr>
          <w:w w:val="105"/>
          <w:sz w:val="21"/>
        </w:rPr>
        <w:t>negotiation</w:t>
      </w:r>
      <w:r>
        <w:rPr>
          <w:spacing w:val="-5"/>
          <w:w w:val="105"/>
          <w:sz w:val="21"/>
        </w:rPr>
        <w:t> </w:t>
      </w:r>
      <w:r>
        <w:rPr>
          <w:w w:val="105"/>
          <w:sz w:val="21"/>
        </w:rPr>
        <w:t>between</w:t>
      </w:r>
      <w:r>
        <w:rPr>
          <w:spacing w:val="-5"/>
          <w:w w:val="105"/>
          <w:sz w:val="21"/>
        </w:rPr>
        <w:t> </w:t>
      </w:r>
      <w:r>
        <w:rPr>
          <w:w w:val="105"/>
          <w:sz w:val="21"/>
        </w:rPr>
        <w:t>neighbours</w:t>
      </w:r>
      <w:r>
        <w:rPr>
          <w:spacing w:val="-5"/>
          <w:w w:val="105"/>
          <w:sz w:val="21"/>
        </w:rPr>
        <w:t> </w:t>
      </w:r>
      <w:r>
        <w:rPr>
          <w:w w:val="105"/>
          <w:sz w:val="21"/>
        </w:rPr>
        <w:t>is</w:t>
      </w:r>
      <w:r>
        <w:rPr>
          <w:spacing w:val="-5"/>
          <w:w w:val="105"/>
          <w:sz w:val="21"/>
        </w:rPr>
        <w:t> </w:t>
      </w:r>
      <w:r>
        <w:rPr>
          <w:spacing w:val="-3"/>
          <w:w w:val="105"/>
          <w:sz w:val="21"/>
        </w:rPr>
        <w:t>useful </w:t>
      </w:r>
      <w:r>
        <w:rPr>
          <w:w w:val="105"/>
          <w:sz w:val="21"/>
        </w:rPr>
        <w:t>and </w:t>
      </w:r>
      <w:r>
        <w:rPr>
          <w:spacing w:val="-2"/>
          <w:w w:val="105"/>
          <w:sz w:val="21"/>
        </w:rPr>
        <w:t>has </w:t>
      </w:r>
      <w:r>
        <w:rPr>
          <w:w w:val="105"/>
          <w:sz w:val="21"/>
        </w:rPr>
        <w:t>helped </w:t>
      </w:r>
      <w:r>
        <w:rPr>
          <w:spacing w:val="-3"/>
          <w:w w:val="105"/>
          <w:sz w:val="21"/>
        </w:rPr>
        <w:t>to </w:t>
      </w:r>
      <w:r>
        <w:rPr>
          <w:w w:val="105"/>
          <w:sz w:val="21"/>
        </w:rPr>
        <w:t>resolve </w:t>
      </w:r>
      <w:r>
        <w:rPr>
          <w:spacing w:val="-3"/>
          <w:w w:val="105"/>
          <w:sz w:val="21"/>
        </w:rPr>
        <w:t>many disputes.</w:t>
      </w:r>
      <w:r>
        <w:rPr>
          <w:spacing w:val="-3"/>
          <w:w w:val="105"/>
          <w:position w:val="7"/>
          <w:sz w:val="12"/>
        </w:rPr>
        <w:t>90 </w:t>
      </w:r>
      <w:r>
        <w:rPr>
          <w:spacing w:val="-4"/>
          <w:w w:val="105"/>
          <w:sz w:val="21"/>
        </w:rPr>
        <w:t>However, </w:t>
      </w:r>
      <w:r>
        <w:rPr>
          <w:spacing w:val="-3"/>
          <w:w w:val="105"/>
          <w:sz w:val="21"/>
        </w:rPr>
        <w:t>many </w:t>
      </w:r>
      <w:r>
        <w:rPr>
          <w:w w:val="105"/>
          <w:sz w:val="21"/>
        </w:rPr>
        <w:t>affected neighbours who responded </w:t>
      </w:r>
      <w:r>
        <w:rPr>
          <w:spacing w:val="-3"/>
          <w:w w:val="105"/>
          <w:sz w:val="21"/>
        </w:rPr>
        <w:t>to </w:t>
      </w:r>
      <w:r>
        <w:rPr>
          <w:w w:val="105"/>
          <w:sz w:val="21"/>
        </w:rPr>
        <w:t>the </w:t>
      </w:r>
      <w:r>
        <w:rPr>
          <w:spacing w:val="-3"/>
          <w:w w:val="105"/>
          <w:sz w:val="21"/>
        </w:rPr>
        <w:t>Commission </w:t>
      </w:r>
      <w:r>
        <w:rPr>
          <w:w w:val="105"/>
          <w:sz w:val="21"/>
        </w:rPr>
        <w:t>reported </w:t>
      </w:r>
      <w:r>
        <w:rPr>
          <w:spacing w:val="-3"/>
          <w:w w:val="105"/>
          <w:sz w:val="21"/>
        </w:rPr>
        <w:t>that </w:t>
      </w:r>
      <w:r>
        <w:rPr>
          <w:w w:val="105"/>
          <w:sz w:val="21"/>
        </w:rPr>
        <w:t>when they attempted </w:t>
      </w:r>
      <w:r>
        <w:rPr>
          <w:spacing w:val="-3"/>
          <w:w w:val="105"/>
          <w:sz w:val="21"/>
        </w:rPr>
        <w:t>to negotiate, </w:t>
      </w:r>
      <w:r>
        <w:rPr>
          <w:w w:val="105"/>
          <w:sz w:val="21"/>
        </w:rPr>
        <w:t>the tree owner was </w:t>
      </w:r>
      <w:r>
        <w:rPr>
          <w:spacing w:val="-3"/>
          <w:w w:val="105"/>
          <w:sz w:val="21"/>
        </w:rPr>
        <w:t>uncooperative,</w:t>
      </w:r>
      <w:r>
        <w:rPr>
          <w:spacing w:val="-3"/>
          <w:w w:val="105"/>
          <w:position w:val="7"/>
          <w:sz w:val="12"/>
        </w:rPr>
        <w:t>91 </w:t>
      </w:r>
      <w:r>
        <w:rPr>
          <w:spacing w:val="-3"/>
          <w:w w:val="105"/>
          <w:sz w:val="21"/>
        </w:rPr>
        <w:t>ignored </w:t>
      </w:r>
      <w:r>
        <w:rPr>
          <w:w w:val="105"/>
          <w:sz w:val="21"/>
        </w:rPr>
        <w:t>them</w:t>
      </w:r>
      <w:r>
        <w:rPr>
          <w:w w:val="105"/>
          <w:position w:val="7"/>
          <w:sz w:val="12"/>
        </w:rPr>
        <w:t>92 </w:t>
      </w:r>
      <w:r>
        <w:rPr>
          <w:w w:val="105"/>
          <w:sz w:val="21"/>
        </w:rPr>
        <w:t>or was </w:t>
      </w:r>
      <w:r>
        <w:rPr>
          <w:spacing w:val="-3"/>
          <w:w w:val="105"/>
          <w:sz w:val="21"/>
        </w:rPr>
        <w:t>hostile.</w:t>
      </w:r>
      <w:r>
        <w:rPr>
          <w:spacing w:val="-3"/>
          <w:w w:val="105"/>
          <w:position w:val="7"/>
          <w:sz w:val="12"/>
        </w:rPr>
        <w:t>93 </w:t>
      </w:r>
      <w:r>
        <w:rPr>
          <w:w w:val="105"/>
          <w:sz w:val="21"/>
        </w:rPr>
        <w:t>Some community members reported </w:t>
      </w:r>
      <w:r>
        <w:rPr>
          <w:spacing w:val="-3"/>
          <w:w w:val="105"/>
          <w:sz w:val="21"/>
        </w:rPr>
        <w:t>that </w:t>
      </w:r>
      <w:r>
        <w:rPr>
          <w:w w:val="105"/>
          <w:sz w:val="21"/>
        </w:rPr>
        <w:t>lawyers </w:t>
      </w:r>
      <w:r>
        <w:rPr>
          <w:spacing w:val="-3"/>
          <w:w w:val="105"/>
          <w:sz w:val="21"/>
        </w:rPr>
        <w:t>were </w:t>
      </w:r>
      <w:r>
        <w:rPr>
          <w:w w:val="105"/>
          <w:sz w:val="21"/>
        </w:rPr>
        <w:t>engaged because their </w:t>
      </w:r>
      <w:r>
        <w:rPr>
          <w:spacing w:val="-3"/>
          <w:w w:val="105"/>
          <w:sz w:val="21"/>
        </w:rPr>
        <w:t>neighbour refused to communicate</w:t>
      </w:r>
      <w:r>
        <w:rPr>
          <w:spacing w:val="5"/>
          <w:w w:val="105"/>
          <w:sz w:val="21"/>
        </w:rPr>
        <w:t> </w:t>
      </w:r>
      <w:r>
        <w:rPr>
          <w:spacing w:val="-4"/>
          <w:w w:val="105"/>
          <w:sz w:val="21"/>
        </w:rPr>
        <w:t>informally.</w:t>
      </w:r>
      <w:r>
        <w:rPr>
          <w:spacing w:val="-4"/>
          <w:w w:val="105"/>
          <w:position w:val="7"/>
          <w:sz w:val="12"/>
        </w:rPr>
        <w:t>94</w:t>
      </w:r>
    </w:p>
    <w:p>
      <w:pPr>
        <w:pStyle w:val="ListParagraph"/>
        <w:numPr>
          <w:ilvl w:val="1"/>
          <w:numId w:val="16"/>
        </w:numPr>
        <w:tabs>
          <w:tab w:pos="2381" w:val="left" w:leader="none"/>
          <w:tab w:pos="2382" w:val="left" w:leader="none"/>
        </w:tabs>
        <w:spacing w:line="242" w:lineRule="auto" w:before="127" w:after="0"/>
        <w:ind w:left="2381" w:right="1654" w:hanging="794"/>
        <w:jc w:val="left"/>
        <w:rPr>
          <w:sz w:val="21"/>
        </w:rPr>
      </w:pPr>
      <w:r>
        <w:rPr>
          <w:sz w:val="21"/>
        </w:rPr>
        <w:t>The </w:t>
      </w:r>
      <w:r>
        <w:rPr>
          <w:spacing w:val="-3"/>
          <w:sz w:val="21"/>
        </w:rPr>
        <w:t>Commission </w:t>
      </w:r>
      <w:r>
        <w:rPr>
          <w:sz w:val="21"/>
        </w:rPr>
        <w:t>observes </w:t>
      </w:r>
      <w:r>
        <w:rPr>
          <w:spacing w:val="-3"/>
          <w:sz w:val="21"/>
        </w:rPr>
        <w:t>that </w:t>
      </w:r>
      <w:r>
        <w:rPr>
          <w:sz w:val="21"/>
        </w:rPr>
        <w:t>members of the community who </w:t>
      </w:r>
      <w:r>
        <w:rPr>
          <w:spacing w:val="-3"/>
          <w:sz w:val="21"/>
        </w:rPr>
        <w:t>were </w:t>
      </w:r>
      <w:r>
        <w:rPr>
          <w:sz w:val="21"/>
        </w:rPr>
        <w:t>most  </w:t>
      </w:r>
      <w:r>
        <w:rPr>
          <w:spacing w:val="-4"/>
          <w:sz w:val="21"/>
        </w:rPr>
        <w:t>likely  </w:t>
      </w:r>
      <w:r>
        <w:rPr>
          <w:spacing w:val="-3"/>
          <w:sz w:val="21"/>
        </w:rPr>
        <w:t>to </w:t>
      </w:r>
      <w:r>
        <w:rPr>
          <w:sz w:val="21"/>
        </w:rPr>
        <w:t>respond </w:t>
      </w:r>
      <w:r>
        <w:rPr>
          <w:spacing w:val="-3"/>
          <w:sz w:val="21"/>
        </w:rPr>
        <w:t>to </w:t>
      </w:r>
      <w:r>
        <w:rPr>
          <w:sz w:val="21"/>
        </w:rPr>
        <w:t>the inquiry </w:t>
      </w:r>
      <w:r>
        <w:rPr>
          <w:spacing w:val="-3"/>
          <w:sz w:val="21"/>
        </w:rPr>
        <w:t>were </w:t>
      </w:r>
      <w:r>
        <w:rPr>
          <w:sz w:val="21"/>
        </w:rPr>
        <w:t>those who </w:t>
      </w:r>
      <w:r>
        <w:rPr>
          <w:spacing w:val="-2"/>
          <w:sz w:val="21"/>
        </w:rPr>
        <w:t>had </w:t>
      </w:r>
      <w:r>
        <w:rPr>
          <w:sz w:val="21"/>
        </w:rPr>
        <w:t>a poor experience trying </w:t>
      </w:r>
      <w:r>
        <w:rPr>
          <w:spacing w:val="-3"/>
          <w:sz w:val="21"/>
        </w:rPr>
        <w:t>to </w:t>
      </w:r>
      <w:r>
        <w:rPr>
          <w:sz w:val="21"/>
        </w:rPr>
        <w:t>resolve their </w:t>
      </w:r>
      <w:r>
        <w:rPr>
          <w:spacing w:val="-3"/>
          <w:sz w:val="21"/>
        </w:rPr>
        <w:t>disputes </w:t>
      </w:r>
      <w:r>
        <w:rPr>
          <w:spacing w:val="-4"/>
          <w:sz w:val="21"/>
        </w:rPr>
        <w:t>informally. </w:t>
      </w:r>
      <w:r>
        <w:rPr>
          <w:spacing w:val="-3"/>
          <w:sz w:val="21"/>
        </w:rPr>
        <w:t>Therefore, </w:t>
      </w:r>
      <w:r>
        <w:rPr>
          <w:sz w:val="21"/>
        </w:rPr>
        <w:t>the views and experiences of those who </w:t>
      </w:r>
      <w:r>
        <w:rPr>
          <w:spacing w:val="-3"/>
          <w:sz w:val="21"/>
        </w:rPr>
        <w:t>were successful </w:t>
      </w:r>
      <w:r>
        <w:rPr>
          <w:sz w:val="21"/>
        </w:rPr>
        <w:t>in resolving</w:t>
      </w:r>
      <w:r>
        <w:rPr>
          <w:spacing w:val="13"/>
          <w:sz w:val="21"/>
        </w:rPr>
        <w:t> </w:t>
      </w:r>
      <w:r>
        <w:rPr>
          <w:sz w:val="21"/>
        </w:rPr>
        <w:t>their</w:t>
      </w:r>
      <w:r>
        <w:rPr>
          <w:spacing w:val="14"/>
          <w:sz w:val="21"/>
        </w:rPr>
        <w:t> </w:t>
      </w:r>
      <w:r>
        <w:rPr>
          <w:spacing w:val="-3"/>
          <w:sz w:val="21"/>
        </w:rPr>
        <w:t>dispute</w:t>
      </w:r>
      <w:r>
        <w:rPr>
          <w:spacing w:val="13"/>
          <w:sz w:val="21"/>
        </w:rPr>
        <w:t> </w:t>
      </w:r>
      <w:r>
        <w:rPr>
          <w:spacing w:val="-3"/>
          <w:sz w:val="21"/>
        </w:rPr>
        <w:t>informally</w:t>
      </w:r>
      <w:r>
        <w:rPr>
          <w:spacing w:val="14"/>
          <w:sz w:val="21"/>
        </w:rPr>
        <w:t> </w:t>
      </w:r>
      <w:r>
        <w:rPr>
          <w:spacing w:val="-3"/>
          <w:sz w:val="21"/>
        </w:rPr>
        <w:t>may</w:t>
      </w:r>
      <w:r>
        <w:rPr>
          <w:spacing w:val="14"/>
          <w:sz w:val="21"/>
        </w:rPr>
        <w:t> </w:t>
      </w:r>
      <w:r>
        <w:rPr>
          <w:spacing w:val="-2"/>
          <w:sz w:val="21"/>
        </w:rPr>
        <w:t>not</w:t>
      </w:r>
      <w:r>
        <w:rPr>
          <w:spacing w:val="13"/>
          <w:sz w:val="21"/>
        </w:rPr>
        <w:t> </w:t>
      </w:r>
      <w:r>
        <w:rPr>
          <w:spacing w:val="-3"/>
          <w:sz w:val="21"/>
        </w:rPr>
        <w:t>have</w:t>
      </w:r>
      <w:r>
        <w:rPr>
          <w:spacing w:val="14"/>
          <w:sz w:val="21"/>
        </w:rPr>
        <w:t> </w:t>
      </w:r>
      <w:r>
        <w:rPr>
          <w:sz w:val="21"/>
        </w:rPr>
        <w:t>been</w:t>
      </w:r>
      <w:r>
        <w:rPr>
          <w:spacing w:val="13"/>
          <w:sz w:val="21"/>
        </w:rPr>
        <w:t> </w:t>
      </w:r>
      <w:r>
        <w:rPr>
          <w:spacing w:val="-3"/>
          <w:sz w:val="21"/>
        </w:rPr>
        <w:t>captured</w:t>
      </w:r>
      <w:r>
        <w:rPr>
          <w:spacing w:val="14"/>
          <w:sz w:val="21"/>
        </w:rPr>
        <w:t> </w:t>
      </w:r>
      <w:r>
        <w:rPr>
          <w:spacing w:val="-3"/>
          <w:sz w:val="21"/>
        </w:rPr>
        <w:t>to</w:t>
      </w:r>
      <w:r>
        <w:rPr>
          <w:spacing w:val="14"/>
          <w:sz w:val="21"/>
        </w:rPr>
        <w:t> </w:t>
      </w:r>
      <w:r>
        <w:rPr>
          <w:sz w:val="21"/>
        </w:rPr>
        <w:t>the</w:t>
      </w:r>
      <w:r>
        <w:rPr>
          <w:spacing w:val="13"/>
          <w:sz w:val="21"/>
        </w:rPr>
        <w:t> </w:t>
      </w:r>
      <w:r>
        <w:rPr>
          <w:sz w:val="21"/>
        </w:rPr>
        <w:t>same</w:t>
      </w:r>
      <w:r>
        <w:rPr>
          <w:spacing w:val="14"/>
          <w:sz w:val="21"/>
        </w:rPr>
        <w:t> </w:t>
      </w:r>
      <w:r>
        <w:rPr>
          <w:sz w:val="21"/>
        </w:rPr>
        <w:t>extent.</w:t>
      </w:r>
    </w:p>
    <w:p>
      <w:pPr>
        <w:pStyle w:val="BodyText"/>
        <w:spacing w:before="4"/>
        <w:rPr>
          <w:sz w:val="20"/>
        </w:rPr>
      </w:pPr>
    </w:p>
    <w:p>
      <w:pPr>
        <w:pStyle w:val="Heading5"/>
        <w:spacing w:before="1"/>
      </w:pPr>
      <w:r>
        <w:rPr>
          <w:w w:val="115"/>
        </w:rPr>
        <w:t>Community responses—Community-based alternative dispute resolution</w:t>
      </w:r>
    </w:p>
    <w:p>
      <w:pPr>
        <w:pStyle w:val="ListParagraph"/>
        <w:numPr>
          <w:ilvl w:val="1"/>
          <w:numId w:val="16"/>
        </w:numPr>
        <w:tabs>
          <w:tab w:pos="2381" w:val="left" w:leader="none"/>
          <w:tab w:pos="2382" w:val="left" w:leader="none"/>
        </w:tabs>
        <w:spacing w:line="242" w:lineRule="auto" w:before="137" w:after="0"/>
        <w:ind w:left="2381" w:right="2041" w:hanging="794"/>
        <w:jc w:val="left"/>
        <w:rPr>
          <w:sz w:val="21"/>
        </w:rPr>
      </w:pPr>
      <w:r>
        <w:rPr>
          <w:sz w:val="21"/>
        </w:rPr>
        <w:t>The most </w:t>
      </w:r>
      <w:r>
        <w:rPr>
          <w:spacing w:val="-3"/>
          <w:sz w:val="21"/>
        </w:rPr>
        <w:t>accessible form </w:t>
      </w:r>
      <w:r>
        <w:rPr>
          <w:sz w:val="21"/>
        </w:rPr>
        <w:t>of ADR in Victoria is </w:t>
      </w:r>
      <w:r>
        <w:rPr>
          <w:spacing w:val="-3"/>
          <w:sz w:val="21"/>
        </w:rPr>
        <w:t>through </w:t>
      </w:r>
      <w:r>
        <w:rPr>
          <w:sz w:val="21"/>
        </w:rPr>
        <w:t>the free mediation services by </w:t>
      </w:r>
      <w:r>
        <w:rPr>
          <w:spacing w:val="-8"/>
          <w:sz w:val="21"/>
        </w:rPr>
        <w:t>DSCV.</w:t>
      </w:r>
    </w:p>
    <w:p>
      <w:pPr>
        <w:pStyle w:val="ListParagraph"/>
        <w:numPr>
          <w:ilvl w:val="1"/>
          <w:numId w:val="16"/>
        </w:numPr>
        <w:tabs>
          <w:tab w:pos="2380" w:val="left" w:leader="none"/>
          <w:tab w:pos="2381" w:val="left" w:leader="none"/>
        </w:tabs>
        <w:spacing w:line="242" w:lineRule="auto" w:before="122" w:after="0"/>
        <w:ind w:left="2381" w:right="2031" w:hanging="794"/>
        <w:jc w:val="left"/>
        <w:rPr>
          <w:sz w:val="21"/>
        </w:rPr>
      </w:pPr>
      <w:r>
        <w:rPr>
          <w:w w:val="105"/>
          <w:sz w:val="21"/>
        </w:rPr>
        <w:t>DSCV provided the </w:t>
      </w:r>
      <w:r>
        <w:rPr>
          <w:spacing w:val="-3"/>
          <w:w w:val="105"/>
          <w:sz w:val="21"/>
        </w:rPr>
        <w:t>Commission </w:t>
      </w:r>
      <w:r>
        <w:rPr>
          <w:w w:val="105"/>
          <w:sz w:val="21"/>
        </w:rPr>
        <w:t>with examples of </w:t>
      </w:r>
      <w:r>
        <w:rPr>
          <w:spacing w:val="-3"/>
          <w:w w:val="105"/>
          <w:sz w:val="21"/>
        </w:rPr>
        <w:t>successful mediations </w:t>
      </w:r>
      <w:r>
        <w:rPr>
          <w:w w:val="105"/>
          <w:sz w:val="21"/>
        </w:rPr>
        <w:t>in </w:t>
      </w:r>
      <w:r>
        <w:rPr>
          <w:spacing w:val="-3"/>
          <w:w w:val="105"/>
          <w:sz w:val="21"/>
        </w:rPr>
        <w:t>relation to </w:t>
      </w:r>
      <w:r>
        <w:rPr>
          <w:w w:val="105"/>
          <w:sz w:val="21"/>
        </w:rPr>
        <w:t>neighbourhood tree</w:t>
      </w:r>
      <w:r>
        <w:rPr>
          <w:spacing w:val="9"/>
          <w:w w:val="105"/>
          <w:sz w:val="21"/>
        </w:rPr>
        <w:t> </w:t>
      </w:r>
      <w:r>
        <w:rPr>
          <w:w w:val="105"/>
          <w:sz w:val="21"/>
        </w:rPr>
        <w:t>disputes:</w:t>
      </w:r>
    </w:p>
    <w:p>
      <w:pPr>
        <w:pStyle w:val="BodyText"/>
        <w:rPr>
          <w:sz w:val="20"/>
        </w:rPr>
      </w:pPr>
    </w:p>
    <w:p>
      <w:pPr>
        <w:pStyle w:val="BodyText"/>
        <w:spacing w:before="3"/>
        <w:rPr>
          <w:sz w:val="23"/>
        </w:rPr>
      </w:pPr>
      <w:r>
        <w:rPr/>
        <w:pict>
          <v:line style="position:absolute;mso-position-horizontal-relative:page;mso-position-vertical-relative:paragraph;z-index:5888;mso-wrap-distance-left:0;mso-wrap-distance-right:0" from="79.370003pt,16.641638pt" to="515.905003pt,16.64163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tabs>
          <w:tab w:pos="2380" w:val="left" w:leader="none"/>
        </w:tabs>
        <w:spacing w:before="48"/>
        <w:ind w:left="1587" w:right="4187" w:firstLine="0"/>
        <w:jc w:val="left"/>
        <w:rPr>
          <w:sz w:val="13"/>
        </w:rPr>
      </w:pPr>
      <w:r>
        <w:rPr>
          <w:w w:val="105"/>
          <w:sz w:val="13"/>
        </w:rPr>
        <w:t>81</w:t>
        <w:tab/>
      </w:r>
      <w:r>
        <w:rPr>
          <w:i/>
          <w:w w:val="105"/>
          <w:sz w:val="13"/>
        </w:rPr>
        <w:t>Neighbourhood Disputes About Plants Act </w:t>
      </w:r>
      <w:r>
        <w:rPr>
          <w:i/>
          <w:spacing w:val="-4"/>
          <w:w w:val="105"/>
          <w:sz w:val="13"/>
        </w:rPr>
        <w:t>2017 </w:t>
      </w:r>
      <w:r>
        <w:rPr>
          <w:w w:val="105"/>
          <w:sz w:val="13"/>
        </w:rPr>
        <w:t>(Tas) s </w:t>
      </w:r>
      <w:r>
        <w:rPr>
          <w:spacing w:val="3"/>
          <w:w w:val="105"/>
          <w:sz w:val="13"/>
        </w:rPr>
        <w:t>22(2)(a). </w:t>
      </w:r>
      <w:r>
        <w:rPr>
          <w:w w:val="105"/>
          <w:sz w:val="13"/>
        </w:rPr>
        <w:t>82</w:t>
        <w:tab/>
        <w:t>Ibid s</w:t>
      </w:r>
      <w:r>
        <w:rPr>
          <w:spacing w:val="8"/>
          <w:w w:val="105"/>
          <w:sz w:val="13"/>
        </w:rPr>
        <w:t> </w:t>
      </w:r>
      <w:r>
        <w:rPr>
          <w:spacing w:val="3"/>
          <w:w w:val="105"/>
          <w:sz w:val="13"/>
        </w:rPr>
        <w:t>22(2)(b).</w:t>
      </w:r>
    </w:p>
    <w:p>
      <w:pPr>
        <w:tabs>
          <w:tab w:pos="2380" w:val="left" w:leader="none"/>
        </w:tabs>
        <w:spacing w:before="3"/>
        <w:ind w:left="1587" w:right="0" w:firstLine="0"/>
        <w:jc w:val="left"/>
        <w:rPr>
          <w:sz w:val="13"/>
        </w:rPr>
      </w:pPr>
      <w:r>
        <w:rPr>
          <w:sz w:val="13"/>
        </w:rPr>
        <w:t>83</w:t>
        <w:tab/>
        <w:t>Ibid  s</w:t>
      </w:r>
      <w:r>
        <w:rPr>
          <w:spacing w:val="3"/>
          <w:sz w:val="13"/>
        </w:rPr>
        <w:t> 22(2)(c).</w:t>
      </w:r>
    </w:p>
    <w:p>
      <w:pPr>
        <w:pStyle w:val="ListParagraph"/>
        <w:numPr>
          <w:ilvl w:val="0"/>
          <w:numId w:val="97"/>
        </w:numPr>
        <w:tabs>
          <w:tab w:pos="2380" w:val="left" w:leader="none"/>
          <w:tab w:pos="2382" w:val="left" w:leader="none"/>
        </w:tabs>
        <w:spacing w:line="240" w:lineRule="auto" w:before="1" w:after="0"/>
        <w:ind w:left="2381" w:right="0" w:hanging="794"/>
        <w:jc w:val="left"/>
        <w:rPr>
          <w:sz w:val="13"/>
        </w:rPr>
      </w:pPr>
      <w:r>
        <w:rPr>
          <w:w w:val="105"/>
          <w:sz w:val="13"/>
        </w:rPr>
        <w:t>Department of Justice (Tas), </w:t>
      </w:r>
      <w:r>
        <w:rPr>
          <w:i/>
          <w:w w:val="105"/>
          <w:sz w:val="13"/>
        </w:rPr>
        <w:t>Neighbourhood Disputes About Plants </w:t>
      </w:r>
      <w:r>
        <w:rPr>
          <w:w w:val="105"/>
          <w:sz w:val="13"/>
        </w:rPr>
        <w:t>(Web Page) </w:t>
      </w:r>
      <w:r>
        <w:rPr>
          <w:spacing w:val="2"/>
          <w:w w:val="105"/>
          <w:sz w:val="13"/>
        </w:rPr>
        <w:t>&lt;https://</w:t>
      </w:r>
      <w:hyperlink r:id="rId132">
        <w:r>
          <w:rPr>
            <w:spacing w:val="2"/>
            <w:w w:val="105"/>
            <w:sz w:val="13"/>
          </w:rPr>
          <w:t>www.justice.tas.gov.au/mediation_and_dispute_</w:t>
        </w:r>
      </w:hyperlink>
      <w:r>
        <w:rPr>
          <w:spacing w:val="2"/>
          <w:w w:val="105"/>
          <w:sz w:val="13"/>
        </w:rPr>
        <w:t> </w:t>
      </w:r>
      <w:r>
        <w:rPr>
          <w:w w:val="105"/>
          <w:sz w:val="13"/>
        </w:rPr>
        <w:t>resolution/neighbourhood-disputes-about-plants&gt;.</w:t>
      </w:r>
    </w:p>
    <w:p>
      <w:pPr>
        <w:pStyle w:val="ListParagraph"/>
        <w:numPr>
          <w:ilvl w:val="0"/>
          <w:numId w:val="97"/>
        </w:numPr>
        <w:tabs>
          <w:tab w:pos="2380" w:val="left" w:leader="none"/>
          <w:tab w:pos="2382" w:val="left" w:leader="none"/>
        </w:tabs>
        <w:spacing w:line="240" w:lineRule="auto" w:before="3" w:after="0"/>
        <w:ind w:left="2381" w:right="188" w:hanging="794"/>
        <w:jc w:val="left"/>
        <w:rPr>
          <w:sz w:val="13"/>
        </w:rPr>
      </w:pPr>
      <w:r>
        <w:rPr>
          <w:w w:val="105"/>
          <w:sz w:val="13"/>
        </w:rPr>
        <w:t>Over </w:t>
      </w:r>
      <w:r>
        <w:rPr>
          <w:spacing w:val="2"/>
          <w:w w:val="105"/>
          <w:sz w:val="13"/>
        </w:rPr>
        <w:t>90% </w:t>
      </w:r>
      <w:r>
        <w:rPr>
          <w:w w:val="105"/>
          <w:sz w:val="13"/>
        </w:rPr>
        <w:t>of survey respondents reported that they did not take legal </w:t>
      </w:r>
      <w:r>
        <w:rPr>
          <w:spacing w:val="2"/>
          <w:w w:val="105"/>
          <w:sz w:val="13"/>
        </w:rPr>
        <w:t>action: </w:t>
      </w:r>
      <w:r>
        <w:rPr>
          <w:w w:val="105"/>
          <w:sz w:val="13"/>
        </w:rPr>
        <w:t>Victorian Law Reform Commission, </w:t>
      </w:r>
      <w:r>
        <w:rPr>
          <w:i/>
          <w:w w:val="105"/>
          <w:sz w:val="13"/>
        </w:rPr>
        <w:t>Neighbourhood Tree </w:t>
      </w:r>
      <w:r>
        <w:rPr>
          <w:i/>
          <w:w w:val="105"/>
          <w:sz w:val="13"/>
        </w:rPr>
        <w:t>Disputes</w:t>
      </w:r>
      <w:r>
        <w:rPr>
          <w:i/>
          <w:spacing w:val="4"/>
          <w:w w:val="105"/>
          <w:sz w:val="13"/>
        </w:rPr>
        <w:t> </w:t>
      </w:r>
      <w:r>
        <w:rPr>
          <w:i/>
          <w:w w:val="105"/>
          <w:sz w:val="13"/>
        </w:rPr>
        <w:t>Survey</w:t>
      </w:r>
      <w:r>
        <w:rPr>
          <w:i/>
          <w:spacing w:val="5"/>
          <w:w w:val="105"/>
          <w:sz w:val="13"/>
        </w:rPr>
        <w:t> </w:t>
      </w:r>
      <w:r>
        <w:rPr>
          <w:w w:val="105"/>
          <w:sz w:val="13"/>
        </w:rPr>
        <w:t>(2018).</w:t>
      </w:r>
      <w:r>
        <w:rPr>
          <w:spacing w:val="5"/>
          <w:w w:val="105"/>
          <w:sz w:val="13"/>
        </w:rPr>
        <w:t> </w:t>
      </w:r>
      <w:r>
        <w:rPr>
          <w:w w:val="105"/>
          <w:sz w:val="13"/>
        </w:rPr>
        <w:t>This</w:t>
      </w:r>
      <w:r>
        <w:rPr>
          <w:spacing w:val="4"/>
          <w:w w:val="105"/>
          <w:sz w:val="13"/>
        </w:rPr>
        <w:t> </w:t>
      </w:r>
      <w:r>
        <w:rPr>
          <w:w w:val="105"/>
          <w:sz w:val="13"/>
        </w:rPr>
        <w:t>is</w:t>
      </w:r>
      <w:r>
        <w:rPr>
          <w:spacing w:val="5"/>
          <w:w w:val="105"/>
          <w:sz w:val="13"/>
        </w:rPr>
        <w:t> </w:t>
      </w:r>
      <w:r>
        <w:rPr>
          <w:w w:val="105"/>
          <w:sz w:val="13"/>
        </w:rPr>
        <w:t>also</w:t>
      </w:r>
      <w:r>
        <w:rPr>
          <w:spacing w:val="5"/>
          <w:w w:val="105"/>
          <w:sz w:val="13"/>
        </w:rPr>
        <w:t> </w:t>
      </w:r>
      <w:r>
        <w:rPr>
          <w:w w:val="105"/>
          <w:sz w:val="13"/>
        </w:rPr>
        <w:t>discussed</w:t>
      </w:r>
      <w:r>
        <w:rPr>
          <w:spacing w:val="5"/>
          <w:w w:val="105"/>
          <w:sz w:val="13"/>
        </w:rPr>
        <w:t> </w:t>
      </w:r>
      <w:r>
        <w:rPr>
          <w:w w:val="105"/>
          <w:sz w:val="13"/>
        </w:rPr>
        <w:t>in</w:t>
      </w:r>
      <w:r>
        <w:rPr>
          <w:spacing w:val="4"/>
          <w:w w:val="105"/>
          <w:sz w:val="13"/>
        </w:rPr>
        <w:t> </w:t>
      </w:r>
      <w:r>
        <w:rPr>
          <w:w w:val="105"/>
          <w:sz w:val="13"/>
        </w:rPr>
        <w:t>Ch</w:t>
      </w:r>
      <w:r>
        <w:rPr>
          <w:spacing w:val="5"/>
          <w:w w:val="105"/>
          <w:sz w:val="13"/>
        </w:rPr>
        <w:t> </w:t>
      </w:r>
      <w:r>
        <w:rPr>
          <w:w w:val="105"/>
          <w:sz w:val="13"/>
        </w:rPr>
        <w:t>3.</w:t>
      </w:r>
    </w:p>
    <w:p>
      <w:pPr>
        <w:pStyle w:val="ListParagraph"/>
        <w:numPr>
          <w:ilvl w:val="0"/>
          <w:numId w:val="97"/>
        </w:numPr>
        <w:tabs>
          <w:tab w:pos="2380" w:val="left" w:leader="none"/>
          <w:tab w:pos="2382" w:val="left" w:leader="none"/>
        </w:tabs>
        <w:spacing w:line="240" w:lineRule="auto" w:before="2" w:after="0"/>
        <w:ind w:left="2381" w:right="0" w:hanging="794"/>
        <w:jc w:val="left"/>
        <w:rPr>
          <w:sz w:val="13"/>
        </w:rPr>
      </w:pPr>
      <w:r>
        <w:rPr>
          <w:w w:val="105"/>
          <w:sz w:val="13"/>
        </w:rPr>
        <w:t>Submissions 6 </w:t>
      </w:r>
      <w:r>
        <w:rPr>
          <w:spacing w:val="2"/>
          <w:w w:val="105"/>
          <w:sz w:val="13"/>
        </w:rPr>
        <w:t>(Name </w:t>
      </w:r>
      <w:r>
        <w:rPr>
          <w:w w:val="105"/>
          <w:sz w:val="13"/>
        </w:rPr>
        <w:t>withheld), </w:t>
      </w:r>
      <w:r>
        <w:rPr>
          <w:spacing w:val="-6"/>
          <w:w w:val="105"/>
          <w:sz w:val="13"/>
        </w:rPr>
        <w:t>11 </w:t>
      </w:r>
      <w:r>
        <w:rPr>
          <w:spacing w:val="2"/>
          <w:w w:val="105"/>
          <w:sz w:val="13"/>
        </w:rPr>
        <w:t>(Name </w:t>
      </w:r>
      <w:r>
        <w:rPr>
          <w:w w:val="105"/>
          <w:sz w:val="13"/>
        </w:rPr>
        <w:t>withheld), </w:t>
      </w:r>
      <w:r>
        <w:rPr>
          <w:spacing w:val="-4"/>
          <w:w w:val="105"/>
          <w:sz w:val="13"/>
        </w:rPr>
        <w:t>13 </w:t>
      </w:r>
      <w:r>
        <w:rPr>
          <w:w w:val="105"/>
          <w:sz w:val="13"/>
        </w:rPr>
        <w:t>(Mandy Collins), </w:t>
      </w:r>
      <w:r>
        <w:rPr>
          <w:spacing w:val="-3"/>
          <w:w w:val="105"/>
          <w:sz w:val="13"/>
        </w:rPr>
        <w:t>19 </w:t>
      </w:r>
      <w:r>
        <w:rPr>
          <w:spacing w:val="2"/>
          <w:w w:val="105"/>
          <w:sz w:val="13"/>
        </w:rPr>
        <w:t>(Name </w:t>
      </w:r>
      <w:r>
        <w:rPr>
          <w:w w:val="105"/>
          <w:sz w:val="13"/>
        </w:rPr>
        <w:t>withheld), 23 </w:t>
      </w:r>
      <w:r>
        <w:rPr>
          <w:spacing w:val="2"/>
          <w:w w:val="105"/>
          <w:sz w:val="13"/>
        </w:rPr>
        <w:t>(Name </w:t>
      </w:r>
      <w:r>
        <w:rPr>
          <w:w w:val="105"/>
          <w:sz w:val="13"/>
        </w:rPr>
        <w:t>withheld), 33 (Annette</w:t>
      </w:r>
      <w:r>
        <w:rPr>
          <w:spacing w:val="11"/>
          <w:w w:val="105"/>
          <w:sz w:val="13"/>
        </w:rPr>
        <w:t> </w:t>
      </w:r>
      <w:r>
        <w:rPr>
          <w:spacing w:val="2"/>
          <w:w w:val="105"/>
          <w:sz w:val="13"/>
        </w:rPr>
        <w:t>Neville).</w:t>
      </w:r>
    </w:p>
    <w:p>
      <w:pPr>
        <w:pStyle w:val="ListParagraph"/>
        <w:numPr>
          <w:ilvl w:val="0"/>
          <w:numId w:val="97"/>
        </w:numPr>
        <w:tabs>
          <w:tab w:pos="2380" w:val="left" w:leader="none"/>
          <w:tab w:pos="2382" w:val="left" w:leader="none"/>
        </w:tabs>
        <w:spacing w:line="240" w:lineRule="auto" w:before="2" w:after="0"/>
        <w:ind w:left="2381" w:right="0" w:hanging="794"/>
        <w:jc w:val="left"/>
        <w:rPr>
          <w:sz w:val="13"/>
        </w:rPr>
      </w:pPr>
      <w:r>
        <w:rPr>
          <w:w w:val="105"/>
          <w:sz w:val="13"/>
        </w:rPr>
        <w:t>Submissions</w:t>
      </w:r>
      <w:r>
        <w:rPr>
          <w:spacing w:val="4"/>
          <w:w w:val="105"/>
          <w:sz w:val="13"/>
        </w:rPr>
        <w:t> </w:t>
      </w:r>
      <w:r>
        <w:rPr>
          <w:w w:val="105"/>
          <w:sz w:val="13"/>
        </w:rPr>
        <w:t>6</w:t>
      </w:r>
      <w:r>
        <w:rPr>
          <w:spacing w:val="4"/>
          <w:w w:val="105"/>
          <w:sz w:val="13"/>
        </w:rPr>
        <w:t> </w:t>
      </w:r>
      <w:r>
        <w:rPr>
          <w:spacing w:val="2"/>
          <w:w w:val="105"/>
          <w:sz w:val="13"/>
        </w:rPr>
        <w:t>(Name</w:t>
      </w:r>
      <w:r>
        <w:rPr>
          <w:spacing w:val="4"/>
          <w:w w:val="105"/>
          <w:sz w:val="13"/>
        </w:rPr>
        <w:t> </w:t>
      </w:r>
      <w:r>
        <w:rPr>
          <w:w w:val="105"/>
          <w:sz w:val="13"/>
        </w:rPr>
        <w:t>withheld)</w:t>
      </w:r>
      <w:r>
        <w:rPr>
          <w:spacing w:val="4"/>
          <w:w w:val="105"/>
          <w:sz w:val="13"/>
        </w:rPr>
        <w:t> </w:t>
      </w:r>
      <w:r>
        <w:rPr>
          <w:w w:val="105"/>
          <w:sz w:val="13"/>
        </w:rPr>
        <w:t>21</w:t>
      </w:r>
      <w:r>
        <w:rPr>
          <w:spacing w:val="5"/>
          <w:w w:val="105"/>
          <w:sz w:val="13"/>
        </w:rPr>
        <w:t> </w:t>
      </w:r>
      <w:r>
        <w:rPr>
          <w:w w:val="105"/>
          <w:sz w:val="13"/>
        </w:rPr>
        <w:t>(Pointon</w:t>
      </w:r>
      <w:r>
        <w:rPr>
          <w:spacing w:val="4"/>
          <w:w w:val="105"/>
          <w:sz w:val="13"/>
        </w:rPr>
        <w:t> </w:t>
      </w:r>
      <w:r>
        <w:rPr>
          <w:w w:val="105"/>
          <w:sz w:val="13"/>
        </w:rPr>
        <w:t>Partners</w:t>
      </w:r>
      <w:r>
        <w:rPr>
          <w:spacing w:val="4"/>
          <w:w w:val="105"/>
          <w:sz w:val="13"/>
        </w:rPr>
        <w:t> </w:t>
      </w:r>
      <w:r>
        <w:rPr>
          <w:spacing w:val="2"/>
          <w:w w:val="105"/>
          <w:sz w:val="13"/>
        </w:rPr>
        <w:t>Lawyers),</w:t>
      </w:r>
      <w:r>
        <w:rPr>
          <w:spacing w:val="4"/>
          <w:w w:val="105"/>
          <w:sz w:val="13"/>
        </w:rPr>
        <w:t> </w:t>
      </w:r>
      <w:r>
        <w:rPr>
          <w:w w:val="105"/>
          <w:sz w:val="13"/>
        </w:rPr>
        <w:t>30</w:t>
      </w:r>
      <w:r>
        <w:rPr>
          <w:spacing w:val="4"/>
          <w:w w:val="105"/>
          <w:sz w:val="13"/>
        </w:rPr>
        <w:t> </w:t>
      </w:r>
      <w:r>
        <w:rPr>
          <w:spacing w:val="3"/>
          <w:w w:val="105"/>
          <w:sz w:val="13"/>
        </w:rPr>
        <w:t>(Law</w:t>
      </w:r>
      <w:r>
        <w:rPr>
          <w:spacing w:val="5"/>
          <w:w w:val="105"/>
          <w:sz w:val="13"/>
        </w:rPr>
        <w:t> </w:t>
      </w:r>
      <w:r>
        <w:rPr>
          <w:w w:val="105"/>
          <w:sz w:val="13"/>
        </w:rPr>
        <w:t>Institute</w:t>
      </w:r>
      <w:r>
        <w:rPr>
          <w:spacing w:val="4"/>
          <w:w w:val="105"/>
          <w:sz w:val="13"/>
        </w:rPr>
        <w:t> </w:t>
      </w:r>
      <w:r>
        <w:rPr>
          <w:w w:val="105"/>
          <w:sz w:val="13"/>
        </w:rPr>
        <w:t>of</w:t>
      </w:r>
      <w:r>
        <w:rPr>
          <w:spacing w:val="4"/>
          <w:w w:val="105"/>
          <w:sz w:val="13"/>
        </w:rPr>
        <w:t> </w:t>
      </w:r>
      <w:r>
        <w:rPr>
          <w:spacing w:val="2"/>
          <w:w w:val="105"/>
          <w:sz w:val="13"/>
        </w:rPr>
        <w:t>Victoria).</w:t>
      </w:r>
    </w:p>
    <w:p>
      <w:pPr>
        <w:pStyle w:val="ListParagraph"/>
        <w:numPr>
          <w:ilvl w:val="0"/>
          <w:numId w:val="97"/>
        </w:numPr>
        <w:tabs>
          <w:tab w:pos="2380" w:val="left" w:leader="none"/>
          <w:tab w:pos="2382" w:val="left" w:leader="none"/>
        </w:tabs>
        <w:spacing w:line="240" w:lineRule="auto" w:before="1" w:after="0"/>
        <w:ind w:left="2381" w:right="0" w:hanging="794"/>
        <w:jc w:val="left"/>
        <w:rPr>
          <w:sz w:val="13"/>
        </w:rPr>
      </w:pPr>
      <w:r>
        <w:rPr>
          <w:w w:val="105"/>
          <w:sz w:val="13"/>
        </w:rPr>
        <w:t>Submission 22 </w:t>
      </w:r>
      <w:r>
        <w:rPr>
          <w:spacing w:val="2"/>
          <w:w w:val="105"/>
          <w:sz w:val="13"/>
        </w:rPr>
        <w:t>(Name </w:t>
      </w:r>
      <w:r>
        <w:rPr>
          <w:w w:val="105"/>
          <w:sz w:val="13"/>
        </w:rPr>
        <w:t>withheld); Survey Respondent</w:t>
      </w:r>
      <w:r>
        <w:rPr>
          <w:spacing w:val="25"/>
          <w:w w:val="105"/>
          <w:sz w:val="13"/>
        </w:rPr>
        <w:t> </w:t>
      </w:r>
      <w:r>
        <w:rPr>
          <w:w w:val="105"/>
          <w:sz w:val="13"/>
        </w:rPr>
        <w:t>123.</w:t>
      </w:r>
    </w:p>
    <w:p>
      <w:pPr>
        <w:pStyle w:val="ListParagraph"/>
        <w:numPr>
          <w:ilvl w:val="0"/>
          <w:numId w:val="97"/>
        </w:numPr>
        <w:tabs>
          <w:tab w:pos="2381" w:val="left" w:leader="none"/>
          <w:tab w:pos="2382" w:val="left" w:leader="none"/>
        </w:tabs>
        <w:spacing w:line="240" w:lineRule="auto" w:before="1" w:after="0"/>
        <w:ind w:left="2381" w:right="237" w:hanging="794"/>
        <w:jc w:val="left"/>
        <w:rPr>
          <w:sz w:val="13"/>
        </w:rPr>
      </w:pPr>
      <w:r>
        <w:rPr>
          <w:w w:val="105"/>
          <w:sz w:val="13"/>
        </w:rPr>
        <w:t>For example, one survey respondent explained, ‘we were advised that as the tree had not previously caused damage, the owner could argue</w:t>
      </w:r>
      <w:r>
        <w:rPr>
          <w:spacing w:val="5"/>
          <w:w w:val="105"/>
          <w:sz w:val="13"/>
        </w:rPr>
        <w:t> </w:t>
      </w:r>
      <w:r>
        <w:rPr>
          <w:w w:val="105"/>
          <w:sz w:val="13"/>
        </w:rPr>
        <w:t>[they]</w:t>
      </w:r>
      <w:r>
        <w:rPr>
          <w:spacing w:val="5"/>
          <w:w w:val="105"/>
          <w:sz w:val="13"/>
        </w:rPr>
        <w:t> </w:t>
      </w:r>
      <w:r>
        <w:rPr>
          <w:w w:val="105"/>
          <w:sz w:val="13"/>
        </w:rPr>
        <w:t>did</w:t>
      </w:r>
      <w:r>
        <w:rPr>
          <w:spacing w:val="5"/>
          <w:w w:val="105"/>
          <w:sz w:val="13"/>
        </w:rPr>
        <w:t> </w:t>
      </w:r>
      <w:r>
        <w:rPr>
          <w:w w:val="105"/>
          <w:sz w:val="13"/>
        </w:rPr>
        <w:t>not</w:t>
      </w:r>
      <w:r>
        <w:rPr>
          <w:spacing w:val="5"/>
          <w:w w:val="105"/>
          <w:sz w:val="13"/>
        </w:rPr>
        <w:t> </w:t>
      </w:r>
      <w:r>
        <w:rPr>
          <w:w w:val="105"/>
          <w:sz w:val="13"/>
        </w:rPr>
        <w:t>know</w:t>
      </w:r>
      <w:r>
        <w:rPr>
          <w:spacing w:val="5"/>
          <w:w w:val="105"/>
          <w:sz w:val="13"/>
        </w:rPr>
        <w:t> </w:t>
      </w:r>
      <w:r>
        <w:rPr>
          <w:w w:val="105"/>
          <w:sz w:val="13"/>
        </w:rPr>
        <w:t>it</w:t>
      </w:r>
      <w:r>
        <w:rPr>
          <w:spacing w:val="5"/>
          <w:w w:val="105"/>
          <w:sz w:val="13"/>
        </w:rPr>
        <w:t> </w:t>
      </w:r>
      <w:r>
        <w:rPr>
          <w:w w:val="105"/>
          <w:sz w:val="13"/>
        </w:rPr>
        <w:t>might</w:t>
      </w:r>
      <w:r>
        <w:rPr>
          <w:spacing w:val="5"/>
          <w:w w:val="105"/>
          <w:sz w:val="13"/>
        </w:rPr>
        <w:t> </w:t>
      </w:r>
      <w:r>
        <w:rPr>
          <w:w w:val="105"/>
          <w:sz w:val="13"/>
        </w:rPr>
        <w:t>cause</w:t>
      </w:r>
      <w:r>
        <w:rPr>
          <w:spacing w:val="5"/>
          <w:w w:val="105"/>
          <w:sz w:val="13"/>
        </w:rPr>
        <w:t> </w:t>
      </w:r>
      <w:r>
        <w:rPr>
          <w:w w:val="105"/>
          <w:sz w:val="13"/>
        </w:rPr>
        <w:t>damage</w:t>
      </w:r>
      <w:r>
        <w:rPr>
          <w:spacing w:val="5"/>
          <w:w w:val="105"/>
          <w:sz w:val="13"/>
        </w:rPr>
        <w:t> </w:t>
      </w:r>
      <w:r>
        <w:rPr>
          <w:w w:val="105"/>
          <w:sz w:val="13"/>
        </w:rPr>
        <w:t>and</w:t>
      </w:r>
      <w:r>
        <w:rPr>
          <w:spacing w:val="5"/>
          <w:w w:val="105"/>
          <w:sz w:val="13"/>
        </w:rPr>
        <w:t> </w:t>
      </w:r>
      <w:r>
        <w:rPr>
          <w:w w:val="105"/>
          <w:sz w:val="13"/>
        </w:rPr>
        <w:t>therefore</w:t>
      </w:r>
      <w:r>
        <w:rPr>
          <w:spacing w:val="5"/>
          <w:w w:val="105"/>
          <w:sz w:val="13"/>
        </w:rPr>
        <w:t> </w:t>
      </w:r>
      <w:r>
        <w:rPr>
          <w:w w:val="105"/>
          <w:sz w:val="13"/>
        </w:rPr>
        <w:t>would</w:t>
      </w:r>
      <w:r>
        <w:rPr>
          <w:spacing w:val="5"/>
          <w:w w:val="105"/>
          <w:sz w:val="13"/>
        </w:rPr>
        <w:t> </w:t>
      </w:r>
      <w:r>
        <w:rPr>
          <w:w w:val="105"/>
          <w:sz w:val="13"/>
        </w:rPr>
        <w:t>not</w:t>
      </w:r>
      <w:r>
        <w:rPr>
          <w:spacing w:val="5"/>
          <w:w w:val="105"/>
          <w:sz w:val="13"/>
        </w:rPr>
        <w:t> </w:t>
      </w:r>
      <w:r>
        <w:rPr>
          <w:w w:val="105"/>
          <w:sz w:val="13"/>
        </w:rPr>
        <w:t>be</w:t>
      </w:r>
      <w:r>
        <w:rPr>
          <w:spacing w:val="5"/>
          <w:w w:val="105"/>
          <w:sz w:val="13"/>
        </w:rPr>
        <w:t> </w:t>
      </w:r>
      <w:r>
        <w:rPr>
          <w:w w:val="105"/>
          <w:sz w:val="13"/>
        </w:rPr>
        <w:t>liable’:</w:t>
      </w:r>
      <w:r>
        <w:rPr>
          <w:spacing w:val="5"/>
          <w:w w:val="105"/>
          <w:sz w:val="13"/>
        </w:rPr>
        <w:t> </w:t>
      </w:r>
      <w:r>
        <w:rPr>
          <w:w w:val="105"/>
          <w:sz w:val="13"/>
        </w:rPr>
        <w:t>Survey</w:t>
      </w:r>
      <w:r>
        <w:rPr>
          <w:spacing w:val="5"/>
          <w:w w:val="105"/>
          <w:sz w:val="13"/>
        </w:rPr>
        <w:t> </w:t>
      </w:r>
      <w:r>
        <w:rPr>
          <w:w w:val="105"/>
          <w:sz w:val="13"/>
        </w:rPr>
        <w:t>Respondent</w:t>
      </w:r>
      <w:r>
        <w:rPr>
          <w:spacing w:val="5"/>
          <w:w w:val="105"/>
          <w:sz w:val="13"/>
        </w:rPr>
        <w:t> </w:t>
      </w:r>
      <w:r>
        <w:rPr>
          <w:w w:val="105"/>
          <w:sz w:val="13"/>
        </w:rPr>
        <w:t>42.</w:t>
      </w:r>
    </w:p>
    <w:p>
      <w:pPr>
        <w:pStyle w:val="ListParagraph"/>
        <w:numPr>
          <w:ilvl w:val="0"/>
          <w:numId w:val="97"/>
        </w:numPr>
        <w:tabs>
          <w:tab w:pos="2381" w:val="left" w:leader="none"/>
          <w:tab w:pos="2382" w:val="left" w:leader="none"/>
        </w:tabs>
        <w:spacing w:line="240" w:lineRule="auto" w:before="3" w:after="0"/>
        <w:ind w:left="2381" w:right="0" w:hanging="794"/>
        <w:jc w:val="left"/>
        <w:rPr>
          <w:sz w:val="13"/>
        </w:rPr>
      </w:pPr>
      <w:r>
        <w:rPr>
          <w:w w:val="105"/>
          <w:sz w:val="13"/>
        </w:rPr>
        <w:t>Consultation 8 (City of</w:t>
      </w:r>
      <w:r>
        <w:rPr>
          <w:spacing w:val="19"/>
          <w:w w:val="105"/>
          <w:sz w:val="13"/>
        </w:rPr>
        <w:t> </w:t>
      </w:r>
      <w:r>
        <w:rPr>
          <w:w w:val="105"/>
          <w:sz w:val="13"/>
        </w:rPr>
        <w:t>Boroondara).</w:t>
      </w:r>
    </w:p>
    <w:p>
      <w:pPr>
        <w:pStyle w:val="ListParagraph"/>
        <w:numPr>
          <w:ilvl w:val="0"/>
          <w:numId w:val="97"/>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5</w:t>
      </w:r>
      <w:r>
        <w:rPr>
          <w:spacing w:val="5"/>
          <w:w w:val="105"/>
          <w:sz w:val="13"/>
        </w:rPr>
        <w:t> </w:t>
      </w:r>
      <w:r>
        <w:rPr>
          <w:spacing w:val="2"/>
          <w:w w:val="105"/>
          <w:sz w:val="13"/>
        </w:rPr>
        <w:t>(Name</w:t>
      </w:r>
      <w:r>
        <w:rPr>
          <w:spacing w:val="4"/>
          <w:w w:val="105"/>
          <w:sz w:val="13"/>
        </w:rPr>
        <w:t> </w:t>
      </w:r>
      <w:r>
        <w:rPr>
          <w:w w:val="105"/>
          <w:sz w:val="13"/>
        </w:rPr>
        <w:t>withheld)</w:t>
      </w:r>
      <w:r>
        <w:rPr>
          <w:spacing w:val="5"/>
          <w:w w:val="105"/>
          <w:sz w:val="13"/>
        </w:rPr>
        <w:t> </w:t>
      </w:r>
      <w:r>
        <w:rPr>
          <w:w w:val="105"/>
          <w:sz w:val="13"/>
        </w:rPr>
        <w:t>22</w:t>
      </w:r>
      <w:r>
        <w:rPr>
          <w:spacing w:val="5"/>
          <w:w w:val="105"/>
          <w:sz w:val="13"/>
        </w:rPr>
        <w:t> </w:t>
      </w:r>
      <w:r>
        <w:rPr>
          <w:spacing w:val="2"/>
          <w:w w:val="105"/>
          <w:sz w:val="13"/>
        </w:rPr>
        <w:t>(Name</w:t>
      </w:r>
      <w:r>
        <w:rPr>
          <w:spacing w:val="4"/>
          <w:w w:val="105"/>
          <w:sz w:val="13"/>
        </w:rPr>
        <w:t> </w:t>
      </w:r>
      <w:r>
        <w:rPr>
          <w:w w:val="105"/>
          <w:sz w:val="13"/>
        </w:rPr>
        <w:t>withheld),</w:t>
      </w:r>
      <w:r>
        <w:rPr>
          <w:spacing w:val="5"/>
          <w:w w:val="105"/>
          <w:sz w:val="13"/>
        </w:rPr>
        <w:t> </w:t>
      </w:r>
      <w:r>
        <w:rPr>
          <w:w w:val="105"/>
          <w:sz w:val="13"/>
        </w:rPr>
        <w:t>33</w:t>
      </w:r>
      <w:r>
        <w:rPr>
          <w:spacing w:val="4"/>
          <w:w w:val="105"/>
          <w:sz w:val="13"/>
        </w:rPr>
        <w:t> </w:t>
      </w:r>
      <w:r>
        <w:rPr>
          <w:w w:val="105"/>
          <w:sz w:val="13"/>
        </w:rPr>
        <w:t>(Annette</w:t>
      </w:r>
      <w:r>
        <w:rPr>
          <w:spacing w:val="5"/>
          <w:w w:val="105"/>
          <w:sz w:val="13"/>
        </w:rPr>
        <w:t> </w:t>
      </w:r>
      <w:r>
        <w:rPr>
          <w:spacing w:val="2"/>
          <w:w w:val="105"/>
          <w:sz w:val="13"/>
        </w:rPr>
        <w:t>Neville),</w:t>
      </w:r>
      <w:r>
        <w:rPr>
          <w:spacing w:val="5"/>
          <w:w w:val="105"/>
          <w:sz w:val="13"/>
        </w:rPr>
        <w:t> </w:t>
      </w:r>
      <w:r>
        <w:rPr>
          <w:w w:val="105"/>
          <w:sz w:val="13"/>
        </w:rPr>
        <w:t>34</w:t>
      </w:r>
      <w:r>
        <w:rPr>
          <w:spacing w:val="4"/>
          <w:w w:val="105"/>
          <w:sz w:val="13"/>
        </w:rPr>
        <w:t> </w:t>
      </w:r>
      <w:r>
        <w:rPr>
          <w:w w:val="105"/>
          <w:sz w:val="13"/>
        </w:rPr>
        <w:t>(Allan</w:t>
      </w:r>
      <w:r>
        <w:rPr>
          <w:spacing w:val="5"/>
          <w:w w:val="105"/>
          <w:sz w:val="13"/>
        </w:rPr>
        <w:t> </w:t>
      </w:r>
      <w:r>
        <w:rPr>
          <w:w w:val="105"/>
          <w:sz w:val="13"/>
        </w:rPr>
        <w:t>Day),</w:t>
      </w:r>
      <w:r>
        <w:rPr>
          <w:spacing w:val="4"/>
          <w:w w:val="105"/>
          <w:sz w:val="13"/>
        </w:rPr>
        <w:t> </w:t>
      </w:r>
      <w:r>
        <w:rPr>
          <w:w w:val="105"/>
          <w:sz w:val="13"/>
        </w:rPr>
        <w:t>38</w:t>
      </w:r>
      <w:r>
        <w:rPr>
          <w:spacing w:val="5"/>
          <w:w w:val="105"/>
          <w:sz w:val="13"/>
        </w:rPr>
        <w:t> </w:t>
      </w:r>
      <w:r>
        <w:rPr>
          <w:spacing w:val="3"/>
          <w:w w:val="105"/>
          <w:sz w:val="13"/>
        </w:rPr>
        <w:t>(L.</w:t>
      </w:r>
      <w:r>
        <w:rPr>
          <w:spacing w:val="4"/>
          <w:w w:val="105"/>
          <w:sz w:val="13"/>
        </w:rPr>
        <w:t> </w:t>
      </w:r>
      <w:r>
        <w:rPr>
          <w:spacing w:val="2"/>
          <w:w w:val="105"/>
          <w:sz w:val="13"/>
        </w:rPr>
        <w:t>Barry</w:t>
      </w:r>
      <w:r>
        <w:rPr>
          <w:spacing w:val="5"/>
          <w:w w:val="105"/>
          <w:sz w:val="13"/>
        </w:rPr>
        <w:t> </w:t>
      </w:r>
      <w:r>
        <w:rPr>
          <w:w w:val="105"/>
          <w:sz w:val="13"/>
        </w:rPr>
        <w:t>Wollmer).</w:t>
      </w:r>
    </w:p>
    <w:p>
      <w:pPr>
        <w:pStyle w:val="ListParagraph"/>
        <w:numPr>
          <w:ilvl w:val="0"/>
          <w:numId w:val="97"/>
        </w:numPr>
        <w:tabs>
          <w:tab w:pos="2381" w:val="left" w:leader="none"/>
          <w:tab w:pos="2382" w:val="left" w:leader="none"/>
        </w:tabs>
        <w:spacing w:line="240" w:lineRule="auto" w:before="2" w:after="0"/>
        <w:ind w:left="2381" w:right="0" w:hanging="794"/>
        <w:jc w:val="left"/>
        <w:rPr>
          <w:sz w:val="13"/>
        </w:rPr>
      </w:pPr>
      <w:r>
        <w:rPr>
          <w:w w:val="105"/>
          <w:sz w:val="13"/>
        </w:rPr>
        <w:t>See, eg, Submission 36 (Monique </w:t>
      </w:r>
      <w:r>
        <w:rPr>
          <w:spacing w:val="2"/>
          <w:w w:val="105"/>
          <w:sz w:val="13"/>
        </w:rPr>
        <w:t>Onezime); </w:t>
      </w:r>
      <w:r>
        <w:rPr>
          <w:w w:val="105"/>
          <w:sz w:val="13"/>
        </w:rPr>
        <w:t>Survey Respondent</w:t>
      </w:r>
      <w:r>
        <w:rPr>
          <w:spacing w:val="5"/>
          <w:w w:val="105"/>
          <w:sz w:val="13"/>
        </w:rPr>
        <w:t> </w:t>
      </w:r>
      <w:r>
        <w:rPr>
          <w:w w:val="105"/>
          <w:sz w:val="13"/>
        </w:rPr>
        <w:t>60.</w:t>
      </w:r>
    </w:p>
    <w:p>
      <w:pPr>
        <w:pStyle w:val="ListParagraph"/>
        <w:numPr>
          <w:ilvl w:val="0"/>
          <w:numId w:val="97"/>
        </w:numPr>
        <w:tabs>
          <w:tab w:pos="2381" w:val="left" w:leader="none"/>
          <w:tab w:pos="2382" w:val="left" w:leader="none"/>
        </w:tabs>
        <w:spacing w:line="240" w:lineRule="auto" w:before="1" w:after="0"/>
        <w:ind w:left="2381" w:right="0" w:hanging="794"/>
        <w:jc w:val="left"/>
        <w:rPr>
          <w:sz w:val="13"/>
        </w:rPr>
      </w:pPr>
      <w:r>
        <w:rPr>
          <w:w w:val="105"/>
          <w:sz w:val="13"/>
        </w:rPr>
        <w:t>Confidential submission; Consultation 1 (Aldo</w:t>
      </w:r>
      <w:r>
        <w:rPr>
          <w:spacing w:val="23"/>
          <w:w w:val="105"/>
          <w:sz w:val="13"/>
        </w:rPr>
        <w:t> </w:t>
      </w:r>
      <w:r>
        <w:rPr>
          <w:w w:val="105"/>
          <w:sz w:val="13"/>
        </w:rPr>
        <w:t>Taranto).</w:t>
      </w:r>
    </w:p>
    <w:p>
      <w:pPr>
        <w:pStyle w:val="ListParagraph"/>
        <w:numPr>
          <w:ilvl w:val="0"/>
          <w:numId w:val="97"/>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4"/>
          <w:w w:val="105"/>
          <w:sz w:val="13"/>
        </w:rPr>
        <w:t>17 </w:t>
      </w:r>
      <w:r>
        <w:rPr>
          <w:spacing w:val="2"/>
          <w:w w:val="105"/>
          <w:sz w:val="13"/>
        </w:rPr>
        <w:t>(Name </w:t>
      </w:r>
      <w:r>
        <w:rPr>
          <w:w w:val="105"/>
          <w:sz w:val="13"/>
        </w:rPr>
        <w:t>withheld); Consultation 1 (Aldo</w:t>
      </w:r>
      <w:r>
        <w:rPr>
          <w:spacing w:val="8"/>
          <w:w w:val="105"/>
          <w:sz w:val="13"/>
        </w:rPr>
        <w:t> </w:t>
      </w:r>
      <w:r>
        <w:rPr>
          <w:w w:val="105"/>
          <w:sz w:val="13"/>
        </w:rPr>
        <w:t>Taranto).</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7"/>
        </w:rPr>
      </w:pPr>
    </w:p>
    <w:p>
      <w:pPr>
        <w:spacing w:before="0"/>
        <w:ind w:left="646" w:right="575" w:firstLine="0"/>
        <w:jc w:val="center"/>
        <w:rPr>
          <w:b/>
          <w:sz w:val="24"/>
        </w:rPr>
      </w:pPr>
      <w:r>
        <w:rPr>
          <w:b/>
          <w:color w:val="658464"/>
          <w:w w:val="110"/>
          <w:sz w:val="24"/>
        </w:rPr>
        <w:t>119</w:t>
      </w:r>
    </w:p>
    <w:p>
      <w:pPr>
        <w:spacing w:after="0"/>
        <w:jc w:val="center"/>
        <w:rPr>
          <w:sz w:val="24"/>
        </w:rPr>
        <w:sectPr>
          <w:type w:val="continuous"/>
          <w:pgSz w:w="11910" w:h="16840"/>
          <w:pgMar w:top="300" w:bottom="280" w:left="0" w:right="0"/>
          <w:cols w:num="2" w:equalWidth="0">
            <w:col w:w="10207" w:space="39"/>
            <w:col w:w="1664"/>
          </w:cols>
        </w:sectPr>
      </w:pPr>
    </w:p>
    <w:p>
      <w:pPr>
        <w:pStyle w:val="BodyText"/>
        <w:spacing w:before="11"/>
        <w:rPr>
          <w:b/>
          <w:sz w:val="22"/>
        </w:rPr>
      </w:pPr>
    </w:p>
    <w:p>
      <w:pPr>
        <w:spacing w:line="254" w:lineRule="auto" w:before="92"/>
        <w:ind w:left="2834" w:right="1644" w:firstLine="0"/>
        <w:jc w:val="left"/>
        <w:rPr>
          <w:sz w:val="20"/>
        </w:rPr>
      </w:pPr>
      <w:r>
        <w:rPr>
          <w:w w:val="105"/>
          <w:sz w:val="20"/>
        </w:rPr>
        <w:t>Issue </w:t>
      </w:r>
      <w:r>
        <w:rPr>
          <w:spacing w:val="-3"/>
          <w:w w:val="105"/>
          <w:sz w:val="20"/>
        </w:rPr>
        <w:t>1: </w:t>
      </w:r>
      <w:r>
        <w:rPr>
          <w:w w:val="105"/>
          <w:sz w:val="20"/>
        </w:rPr>
        <w:t>Party A is tired of cleaning leaf litter from their gutter and pool. Party A has approached</w:t>
      </w:r>
      <w:r>
        <w:rPr>
          <w:spacing w:val="-11"/>
          <w:w w:val="105"/>
          <w:sz w:val="20"/>
        </w:rPr>
        <w:t> </w:t>
      </w:r>
      <w:r>
        <w:rPr>
          <w:w w:val="105"/>
          <w:sz w:val="20"/>
        </w:rPr>
        <w:t>Party</w:t>
      </w:r>
      <w:r>
        <w:rPr>
          <w:spacing w:val="-10"/>
          <w:w w:val="105"/>
          <w:sz w:val="20"/>
        </w:rPr>
        <w:t> </w:t>
      </w:r>
      <w:r>
        <w:rPr>
          <w:w w:val="105"/>
          <w:sz w:val="20"/>
        </w:rPr>
        <w:t>B</w:t>
      </w:r>
      <w:r>
        <w:rPr>
          <w:spacing w:val="-11"/>
          <w:w w:val="105"/>
          <w:sz w:val="20"/>
        </w:rPr>
        <w:t> </w:t>
      </w:r>
      <w:r>
        <w:rPr>
          <w:w w:val="105"/>
          <w:sz w:val="20"/>
        </w:rPr>
        <w:t>on</w:t>
      </w:r>
      <w:r>
        <w:rPr>
          <w:spacing w:val="-10"/>
          <w:w w:val="105"/>
          <w:sz w:val="20"/>
        </w:rPr>
        <w:t> </w:t>
      </w:r>
      <w:r>
        <w:rPr>
          <w:w w:val="105"/>
          <w:sz w:val="20"/>
        </w:rPr>
        <w:t>a</w:t>
      </w:r>
      <w:r>
        <w:rPr>
          <w:spacing w:val="-10"/>
          <w:w w:val="105"/>
          <w:sz w:val="20"/>
        </w:rPr>
        <w:t> </w:t>
      </w:r>
      <w:r>
        <w:rPr>
          <w:w w:val="105"/>
          <w:sz w:val="20"/>
        </w:rPr>
        <w:t>number</w:t>
      </w:r>
      <w:r>
        <w:rPr>
          <w:spacing w:val="-11"/>
          <w:w w:val="105"/>
          <w:sz w:val="20"/>
        </w:rPr>
        <w:t> </w:t>
      </w:r>
      <w:r>
        <w:rPr>
          <w:w w:val="105"/>
          <w:sz w:val="20"/>
        </w:rPr>
        <w:t>of</w:t>
      </w:r>
      <w:r>
        <w:rPr>
          <w:spacing w:val="-10"/>
          <w:w w:val="105"/>
          <w:sz w:val="20"/>
        </w:rPr>
        <w:t> </w:t>
      </w:r>
      <w:r>
        <w:rPr>
          <w:w w:val="105"/>
          <w:sz w:val="20"/>
        </w:rPr>
        <w:t>occasions</w:t>
      </w:r>
      <w:r>
        <w:rPr>
          <w:spacing w:val="-11"/>
          <w:w w:val="105"/>
          <w:sz w:val="20"/>
        </w:rPr>
        <w:t> </w:t>
      </w:r>
      <w:r>
        <w:rPr>
          <w:w w:val="105"/>
          <w:sz w:val="20"/>
        </w:rPr>
        <w:t>requesting</w:t>
      </w:r>
      <w:r>
        <w:rPr>
          <w:spacing w:val="-10"/>
          <w:w w:val="105"/>
          <w:sz w:val="20"/>
        </w:rPr>
        <w:t> </w:t>
      </w:r>
      <w:r>
        <w:rPr>
          <w:w w:val="105"/>
          <w:sz w:val="20"/>
        </w:rPr>
        <w:t>that</w:t>
      </w:r>
      <w:r>
        <w:rPr>
          <w:spacing w:val="-10"/>
          <w:w w:val="105"/>
          <w:sz w:val="20"/>
        </w:rPr>
        <w:t> </w:t>
      </w:r>
      <w:r>
        <w:rPr>
          <w:w w:val="105"/>
          <w:sz w:val="20"/>
        </w:rPr>
        <w:t>they</w:t>
      </w:r>
      <w:r>
        <w:rPr>
          <w:spacing w:val="-11"/>
          <w:w w:val="105"/>
          <w:sz w:val="20"/>
        </w:rPr>
        <w:t> </w:t>
      </w:r>
      <w:r>
        <w:rPr>
          <w:w w:val="105"/>
          <w:sz w:val="20"/>
        </w:rPr>
        <w:t>trim</w:t>
      </w:r>
      <w:r>
        <w:rPr>
          <w:spacing w:val="-10"/>
          <w:w w:val="105"/>
          <w:sz w:val="20"/>
        </w:rPr>
        <w:t> </w:t>
      </w:r>
      <w:r>
        <w:rPr>
          <w:w w:val="105"/>
          <w:sz w:val="20"/>
        </w:rPr>
        <w:t>their</w:t>
      </w:r>
      <w:r>
        <w:rPr>
          <w:spacing w:val="-10"/>
          <w:w w:val="105"/>
          <w:sz w:val="20"/>
        </w:rPr>
        <w:t> </w:t>
      </w:r>
      <w:r>
        <w:rPr>
          <w:spacing w:val="-3"/>
          <w:w w:val="105"/>
          <w:sz w:val="20"/>
        </w:rPr>
        <w:t>tree.</w:t>
      </w:r>
      <w:r>
        <w:rPr>
          <w:spacing w:val="-11"/>
          <w:w w:val="105"/>
          <w:sz w:val="20"/>
        </w:rPr>
        <w:t> </w:t>
      </w:r>
      <w:r>
        <w:rPr>
          <w:w w:val="105"/>
          <w:sz w:val="20"/>
        </w:rPr>
        <w:t>Party B advises that Party A has the right of </w:t>
      </w:r>
      <w:r>
        <w:rPr>
          <w:spacing w:val="-2"/>
          <w:w w:val="105"/>
          <w:sz w:val="20"/>
        </w:rPr>
        <w:t>abatement </w:t>
      </w:r>
      <w:r>
        <w:rPr>
          <w:w w:val="105"/>
          <w:sz w:val="20"/>
        </w:rPr>
        <w:t>and can trim them himself up to the </w:t>
      </w:r>
      <w:r>
        <w:rPr>
          <w:spacing w:val="-3"/>
          <w:w w:val="105"/>
          <w:sz w:val="20"/>
        </w:rPr>
        <w:t>fence </w:t>
      </w:r>
      <w:r>
        <w:rPr>
          <w:w w:val="105"/>
          <w:sz w:val="20"/>
        </w:rPr>
        <w:t>line at his own</w:t>
      </w:r>
      <w:r>
        <w:rPr>
          <w:spacing w:val="29"/>
          <w:w w:val="105"/>
          <w:sz w:val="20"/>
        </w:rPr>
        <w:t> </w:t>
      </w:r>
      <w:r>
        <w:rPr>
          <w:w w:val="105"/>
          <w:sz w:val="20"/>
        </w:rPr>
        <w:t>cost.</w:t>
      </w:r>
    </w:p>
    <w:p>
      <w:pPr>
        <w:spacing w:line="254" w:lineRule="auto" w:before="125"/>
        <w:ind w:left="2834" w:right="1727" w:firstLine="0"/>
        <w:jc w:val="left"/>
        <w:rPr>
          <w:sz w:val="20"/>
        </w:rPr>
      </w:pPr>
      <w:r>
        <w:rPr>
          <w:w w:val="105"/>
          <w:sz w:val="20"/>
        </w:rPr>
        <w:t>Outcome: Party A seeks a contribution from Party B </w:t>
      </w:r>
      <w:r>
        <w:rPr>
          <w:spacing w:val="-3"/>
          <w:w w:val="105"/>
          <w:sz w:val="20"/>
        </w:rPr>
        <w:t>towards </w:t>
      </w:r>
      <w:r>
        <w:rPr>
          <w:w w:val="105"/>
          <w:sz w:val="20"/>
        </w:rPr>
        <w:t>the trimming of the trees on an </w:t>
      </w:r>
      <w:r>
        <w:rPr>
          <w:spacing w:val="-3"/>
          <w:w w:val="105"/>
          <w:sz w:val="20"/>
        </w:rPr>
        <w:t>annual </w:t>
      </w:r>
      <w:r>
        <w:rPr>
          <w:w w:val="105"/>
          <w:sz w:val="20"/>
        </w:rPr>
        <w:t>basis. Party B agrees in principle pending the provision of a number of quotes.</w:t>
      </w:r>
    </w:p>
    <w:p>
      <w:pPr>
        <w:spacing w:line="254" w:lineRule="auto" w:before="123"/>
        <w:ind w:left="2834" w:right="1847" w:firstLine="0"/>
        <w:jc w:val="both"/>
        <w:rPr>
          <w:sz w:val="20"/>
        </w:rPr>
      </w:pPr>
      <w:r>
        <w:rPr>
          <w:w w:val="105"/>
          <w:sz w:val="20"/>
        </w:rPr>
        <w:t>Issue</w:t>
      </w:r>
      <w:r>
        <w:rPr>
          <w:spacing w:val="-4"/>
          <w:w w:val="105"/>
          <w:sz w:val="20"/>
        </w:rPr>
        <w:t> </w:t>
      </w:r>
      <w:r>
        <w:rPr>
          <w:w w:val="105"/>
          <w:sz w:val="20"/>
        </w:rPr>
        <w:t>2:</w:t>
      </w:r>
      <w:r>
        <w:rPr>
          <w:spacing w:val="-4"/>
          <w:w w:val="105"/>
          <w:sz w:val="20"/>
        </w:rPr>
        <w:t> </w:t>
      </w:r>
      <w:r>
        <w:rPr>
          <w:w w:val="105"/>
          <w:sz w:val="20"/>
        </w:rPr>
        <w:t>Party</w:t>
      </w:r>
      <w:r>
        <w:rPr>
          <w:spacing w:val="-4"/>
          <w:w w:val="105"/>
          <w:sz w:val="20"/>
        </w:rPr>
        <w:t> </w:t>
      </w:r>
      <w:r>
        <w:rPr>
          <w:w w:val="105"/>
          <w:sz w:val="20"/>
        </w:rPr>
        <w:t>A,</w:t>
      </w:r>
      <w:r>
        <w:rPr>
          <w:spacing w:val="-4"/>
          <w:w w:val="105"/>
          <w:sz w:val="20"/>
        </w:rPr>
        <w:t> </w:t>
      </w:r>
      <w:r>
        <w:rPr>
          <w:w w:val="105"/>
          <w:sz w:val="20"/>
        </w:rPr>
        <w:t>without</w:t>
      </w:r>
      <w:r>
        <w:rPr>
          <w:spacing w:val="-3"/>
          <w:w w:val="105"/>
          <w:sz w:val="20"/>
        </w:rPr>
        <w:t> notice,</w:t>
      </w:r>
      <w:r>
        <w:rPr>
          <w:spacing w:val="-4"/>
          <w:w w:val="105"/>
          <w:sz w:val="20"/>
        </w:rPr>
        <w:t> </w:t>
      </w:r>
      <w:r>
        <w:rPr>
          <w:w w:val="105"/>
          <w:sz w:val="20"/>
        </w:rPr>
        <w:t>elected</w:t>
      </w:r>
      <w:r>
        <w:rPr>
          <w:spacing w:val="-4"/>
          <w:w w:val="105"/>
          <w:sz w:val="20"/>
        </w:rPr>
        <w:t> </w:t>
      </w:r>
      <w:r>
        <w:rPr>
          <w:w w:val="105"/>
          <w:sz w:val="20"/>
        </w:rPr>
        <w:t>to</w:t>
      </w:r>
      <w:r>
        <w:rPr>
          <w:spacing w:val="-4"/>
          <w:w w:val="105"/>
          <w:sz w:val="20"/>
        </w:rPr>
        <w:t> </w:t>
      </w:r>
      <w:r>
        <w:rPr>
          <w:w w:val="105"/>
          <w:sz w:val="20"/>
        </w:rPr>
        <w:t>trim</w:t>
      </w:r>
      <w:r>
        <w:rPr>
          <w:spacing w:val="-4"/>
          <w:w w:val="105"/>
          <w:sz w:val="20"/>
        </w:rPr>
        <w:t> </w:t>
      </w:r>
      <w:r>
        <w:rPr>
          <w:spacing w:val="-2"/>
          <w:w w:val="105"/>
          <w:sz w:val="20"/>
        </w:rPr>
        <w:t>encroaching</w:t>
      </w:r>
      <w:r>
        <w:rPr>
          <w:spacing w:val="-3"/>
          <w:w w:val="105"/>
          <w:sz w:val="20"/>
        </w:rPr>
        <w:t> </w:t>
      </w:r>
      <w:r>
        <w:rPr>
          <w:w w:val="105"/>
          <w:sz w:val="20"/>
        </w:rPr>
        <w:t>branches</w:t>
      </w:r>
      <w:r>
        <w:rPr>
          <w:spacing w:val="-4"/>
          <w:w w:val="105"/>
          <w:sz w:val="20"/>
        </w:rPr>
        <w:t> </w:t>
      </w:r>
      <w:r>
        <w:rPr>
          <w:w w:val="105"/>
          <w:sz w:val="20"/>
        </w:rPr>
        <w:t>up</w:t>
      </w:r>
      <w:r>
        <w:rPr>
          <w:spacing w:val="-4"/>
          <w:w w:val="105"/>
          <w:sz w:val="20"/>
        </w:rPr>
        <w:t> </w:t>
      </w:r>
      <w:r>
        <w:rPr>
          <w:w w:val="105"/>
          <w:sz w:val="20"/>
        </w:rPr>
        <w:t>to</w:t>
      </w:r>
      <w:r>
        <w:rPr>
          <w:spacing w:val="-4"/>
          <w:w w:val="105"/>
          <w:sz w:val="20"/>
        </w:rPr>
        <w:t> </w:t>
      </w:r>
      <w:r>
        <w:rPr>
          <w:w w:val="105"/>
          <w:sz w:val="20"/>
        </w:rPr>
        <w:t>the</w:t>
      </w:r>
      <w:r>
        <w:rPr>
          <w:spacing w:val="-4"/>
          <w:w w:val="105"/>
          <w:sz w:val="20"/>
        </w:rPr>
        <w:t> </w:t>
      </w:r>
      <w:r>
        <w:rPr>
          <w:spacing w:val="-3"/>
          <w:w w:val="105"/>
          <w:sz w:val="20"/>
        </w:rPr>
        <w:t>fence line.</w:t>
      </w:r>
      <w:r>
        <w:rPr>
          <w:spacing w:val="-7"/>
          <w:w w:val="105"/>
          <w:sz w:val="20"/>
        </w:rPr>
        <w:t> </w:t>
      </w:r>
      <w:r>
        <w:rPr>
          <w:w w:val="105"/>
          <w:sz w:val="20"/>
        </w:rPr>
        <w:t>Party</w:t>
      </w:r>
      <w:r>
        <w:rPr>
          <w:spacing w:val="-7"/>
          <w:w w:val="105"/>
          <w:sz w:val="20"/>
        </w:rPr>
        <w:t> </w:t>
      </w:r>
      <w:r>
        <w:rPr>
          <w:w w:val="105"/>
          <w:sz w:val="20"/>
        </w:rPr>
        <w:t>B</w:t>
      </w:r>
      <w:r>
        <w:rPr>
          <w:spacing w:val="-7"/>
          <w:w w:val="105"/>
          <w:sz w:val="20"/>
        </w:rPr>
        <w:t> </w:t>
      </w:r>
      <w:r>
        <w:rPr>
          <w:w w:val="105"/>
          <w:sz w:val="20"/>
        </w:rPr>
        <w:t>forms</w:t>
      </w:r>
      <w:r>
        <w:rPr>
          <w:spacing w:val="-7"/>
          <w:w w:val="105"/>
          <w:sz w:val="20"/>
        </w:rPr>
        <w:t> </w:t>
      </w:r>
      <w:r>
        <w:rPr>
          <w:w w:val="105"/>
          <w:sz w:val="20"/>
        </w:rPr>
        <w:t>the</w:t>
      </w:r>
      <w:r>
        <w:rPr>
          <w:spacing w:val="-7"/>
          <w:w w:val="105"/>
          <w:sz w:val="20"/>
        </w:rPr>
        <w:t> </w:t>
      </w:r>
      <w:r>
        <w:rPr>
          <w:w w:val="105"/>
          <w:sz w:val="20"/>
        </w:rPr>
        <w:t>view</w:t>
      </w:r>
      <w:r>
        <w:rPr>
          <w:spacing w:val="-7"/>
          <w:w w:val="105"/>
          <w:sz w:val="20"/>
        </w:rPr>
        <w:t> </w:t>
      </w:r>
      <w:r>
        <w:rPr>
          <w:w w:val="105"/>
          <w:sz w:val="20"/>
        </w:rPr>
        <w:t>that</w:t>
      </w:r>
      <w:r>
        <w:rPr>
          <w:spacing w:val="-7"/>
          <w:w w:val="105"/>
          <w:sz w:val="20"/>
        </w:rPr>
        <w:t> </w:t>
      </w:r>
      <w:r>
        <w:rPr>
          <w:w w:val="105"/>
          <w:sz w:val="20"/>
        </w:rPr>
        <w:t>the</w:t>
      </w:r>
      <w:r>
        <w:rPr>
          <w:spacing w:val="-7"/>
          <w:w w:val="105"/>
          <w:sz w:val="20"/>
        </w:rPr>
        <w:t> </w:t>
      </w:r>
      <w:r>
        <w:rPr>
          <w:w w:val="105"/>
          <w:sz w:val="20"/>
        </w:rPr>
        <w:t>trimming</w:t>
      </w:r>
      <w:r>
        <w:rPr>
          <w:spacing w:val="-7"/>
          <w:w w:val="105"/>
          <w:sz w:val="20"/>
        </w:rPr>
        <w:t> </w:t>
      </w:r>
      <w:r>
        <w:rPr>
          <w:w w:val="105"/>
          <w:sz w:val="20"/>
        </w:rPr>
        <w:t>was</w:t>
      </w:r>
      <w:r>
        <w:rPr>
          <w:spacing w:val="-7"/>
          <w:w w:val="105"/>
          <w:sz w:val="20"/>
        </w:rPr>
        <w:t> </w:t>
      </w:r>
      <w:r>
        <w:rPr>
          <w:w w:val="105"/>
          <w:sz w:val="20"/>
        </w:rPr>
        <w:t>too</w:t>
      </w:r>
      <w:r>
        <w:rPr>
          <w:spacing w:val="-7"/>
          <w:w w:val="105"/>
          <w:sz w:val="20"/>
        </w:rPr>
        <w:t> </w:t>
      </w:r>
      <w:r>
        <w:rPr>
          <w:w w:val="105"/>
          <w:sz w:val="20"/>
        </w:rPr>
        <w:t>aggressive</w:t>
      </w:r>
      <w:r>
        <w:rPr>
          <w:spacing w:val="-7"/>
          <w:w w:val="105"/>
          <w:sz w:val="20"/>
        </w:rPr>
        <w:t> </w:t>
      </w:r>
      <w:r>
        <w:rPr>
          <w:w w:val="105"/>
          <w:sz w:val="20"/>
        </w:rPr>
        <w:t>and</w:t>
      </w:r>
      <w:r>
        <w:rPr>
          <w:spacing w:val="-6"/>
          <w:w w:val="105"/>
          <w:sz w:val="20"/>
        </w:rPr>
        <w:t> </w:t>
      </w:r>
      <w:r>
        <w:rPr>
          <w:w w:val="105"/>
          <w:sz w:val="20"/>
        </w:rPr>
        <w:t>has</w:t>
      </w:r>
      <w:r>
        <w:rPr>
          <w:spacing w:val="-7"/>
          <w:w w:val="105"/>
          <w:sz w:val="20"/>
        </w:rPr>
        <w:t> </w:t>
      </w:r>
      <w:r>
        <w:rPr>
          <w:w w:val="105"/>
          <w:sz w:val="20"/>
        </w:rPr>
        <w:t>harmed</w:t>
      </w:r>
      <w:r>
        <w:rPr>
          <w:spacing w:val="-7"/>
          <w:w w:val="105"/>
          <w:sz w:val="20"/>
        </w:rPr>
        <w:t> </w:t>
      </w:r>
      <w:r>
        <w:rPr>
          <w:w w:val="105"/>
          <w:sz w:val="20"/>
        </w:rPr>
        <w:t>the tree and/or encroached on their</w:t>
      </w:r>
      <w:r>
        <w:rPr>
          <w:spacing w:val="20"/>
          <w:w w:val="105"/>
          <w:sz w:val="20"/>
        </w:rPr>
        <w:t> </w:t>
      </w:r>
      <w:r>
        <w:rPr>
          <w:w w:val="105"/>
          <w:sz w:val="20"/>
        </w:rPr>
        <w:t>boundary.</w:t>
      </w:r>
    </w:p>
    <w:p>
      <w:pPr>
        <w:spacing w:line="254" w:lineRule="auto" w:before="124"/>
        <w:ind w:left="2834" w:right="1810" w:firstLine="0"/>
        <w:jc w:val="left"/>
        <w:rPr>
          <w:sz w:val="11"/>
        </w:rPr>
      </w:pPr>
      <w:r>
        <w:rPr>
          <w:sz w:val="20"/>
        </w:rPr>
        <w:t>Outcome: the parties agreed to a maintenance schedule for the trees and a communication plan where either party elects to trim the tree.</w:t>
      </w:r>
      <w:r>
        <w:rPr>
          <w:position w:val="7"/>
          <w:sz w:val="11"/>
        </w:rPr>
        <w:t>95</w:t>
      </w:r>
    </w:p>
    <w:p>
      <w:pPr>
        <w:pStyle w:val="ListParagraph"/>
        <w:numPr>
          <w:ilvl w:val="1"/>
          <w:numId w:val="16"/>
        </w:numPr>
        <w:tabs>
          <w:tab w:pos="2381" w:val="left" w:leader="none"/>
          <w:tab w:pos="2382" w:val="left" w:leader="none"/>
        </w:tabs>
        <w:spacing w:line="242" w:lineRule="auto" w:before="113" w:after="0"/>
        <w:ind w:left="2381" w:right="1585" w:hanging="794"/>
        <w:jc w:val="left"/>
        <w:rPr>
          <w:sz w:val="21"/>
        </w:rPr>
      </w:pPr>
      <w:r>
        <w:rPr>
          <w:spacing w:val="-3"/>
          <w:w w:val="105"/>
          <w:sz w:val="21"/>
        </w:rPr>
        <w:t>Many </w:t>
      </w:r>
      <w:r>
        <w:rPr>
          <w:w w:val="105"/>
          <w:sz w:val="21"/>
        </w:rPr>
        <w:t>people </w:t>
      </w:r>
      <w:r>
        <w:rPr>
          <w:spacing w:val="-3"/>
          <w:w w:val="105"/>
          <w:sz w:val="21"/>
        </w:rPr>
        <w:t>were keen to </w:t>
      </w:r>
      <w:r>
        <w:rPr>
          <w:w w:val="105"/>
          <w:sz w:val="21"/>
        </w:rPr>
        <w:t>try </w:t>
      </w:r>
      <w:r>
        <w:rPr>
          <w:spacing w:val="-3"/>
          <w:w w:val="105"/>
          <w:sz w:val="21"/>
        </w:rPr>
        <w:t>to mediate </w:t>
      </w:r>
      <w:r>
        <w:rPr>
          <w:w w:val="105"/>
          <w:sz w:val="21"/>
        </w:rPr>
        <w:t>a resolution </w:t>
      </w:r>
      <w:r>
        <w:rPr>
          <w:spacing w:val="-3"/>
          <w:w w:val="105"/>
          <w:sz w:val="21"/>
        </w:rPr>
        <w:t>to </w:t>
      </w:r>
      <w:r>
        <w:rPr>
          <w:w w:val="105"/>
          <w:sz w:val="21"/>
        </w:rPr>
        <w:t>their </w:t>
      </w:r>
      <w:r>
        <w:rPr>
          <w:spacing w:val="-3"/>
          <w:w w:val="105"/>
          <w:sz w:val="21"/>
        </w:rPr>
        <w:t>disputes </w:t>
      </w:r>
      <w:r>
        <w:rPr>
          <w:w w:val="105"/>
          <w:sz w:val="21"/>
        </w:rPr>
        <w:t>but </w:t>
      </w:r>
      <w:r>
        <w:rPr>
          <w:spacing w:val="-3"/>
          <w:w w:val="105"/>
          <w:sz w:val="21"/>
        </w:rPr>
        <w:t>were unable to </w:t>
      </w:r>
      <w:r>
        <w:rPr>
          <w:w w:val="105"/>
          <w:sz w:val="21"/>
        </w:rPr>
        <w:t>engage in mediation because their </w:t>
      </w:r>
      <w:r>
        <w:rPr>
          <w:spacing w:val="-3"/>
          <w:w w:val="105"/>
          <w:sz w:val="21"/>
        </w:rPr>
        <w:t>neighbour </w:t>
      </w:r>
      <w:r>
        <w:rPr>
          <w:w w:val="105"/>
          <w:sz w:val="21"/>
        </w:rPr>
        <w:t>would </w:t>
      </w:r>
      <w:r>
        <w:rPr>
          <w:spacing w:val="-2"/>
          <w:w w:val="105"/>
          <w:sz w:val="21"/>
        </w:rPr>
        <w:t>not </w:t>
      </w:r>
      <w:r>
        <w:rPr>
          <w:w w:val="105"/>
          <w:sz w:val="21"/>
        </w:rPr>
        <w:t>agree </w:t>
      </w:r>
      <w:r>
        <w:rPr>
          <w:spacing w:val="-3"/>
          <w:w w:val="105"/>
          <w:sz w:val="21"/>
        </w:rPr>
        <w:t>to participate.</w:t>
      </w:r>
      <w:r>
        <w:rPr>
          <w:spacing w:val="-3"/>
          <w:w w:val="105"/>
          <w:position w:val="7"/>
          <w:sz w:val="12"/>
        </w:rPr>
        <w:t>96 </w:t>
      </w:r>
      <w:r>
        <w:rPr>
          <w:w w:val="105"/>
          <w:sz w:val="21"/>
        </w:rPr>
        <w:t>Other </w:t>
      </w:r>
      <w:r>
        <w:rPr>
          <w:spacing w:val="-3"/>
          <w:w w:val="105"/>
          <w:sz w:val="21"/>
        </w:rPr>
        <w:t>concerns were </w:t>
      </w:r>
      <w:r>
        <w:rPr>
          <w:w w:val="105"/>
          <w:sz w:val="21"/>
        </w:rPr>
        <w:t>expressed about the non-binding </w:t>
      </w:r>
      <w:r>
        <w:rPr>
          <w:spacing w:val="-3"/>
          <w:w w:val="105"/>
          <w:sz w:val="21"/>
        </w:rPr>
        <w:t>nature </w:t>
      </w:r>
      <w:r>
        <w:rPr>
          <w:w w:val="105"/>
          <w:sz w:val="21"/>
        </w:rPr>
        <w:t>of mediated </w:t>
      </w:r>
      <w:r>
        <w:rPr>
          <w:spacing w:val="-3"/>
          <w:w w:val="105"/>
          <w:sz w:val="21"/>
        </w:rPr>
        <w:t>resolution,</w:t>
      </w:r>
      <w:r>
        <w:rPr>
          <w:spacing w:val="-3"/>
          <w:w w:val="105"/>
          <w:position w:val="7"/>
          <w:sz w:val="12"/>
        </w:rPr>
        <w:t>97 </w:t>
      </w:r>
      <w:r>
        <w:rPr>
          <w:w w:val="105"/>
          <w:sz w:val="21"/>
        </w:rPr>
        <w:t>and </w:t>
      </w:r>
      <w:r>
        <w:rPr>
          <w:spacing w:val="-3"/>
          <w:w w:val="105"/>
          <w:sz w:val="21"/>
        </w:rPr>
        <w:t>an inability to </w:t>
      </w:r>
      <w:r>
        <w:rPr>
          <w:w w:val="105"/>
          <w:sz w:val="21"/>
        </w:rPr>
        <w:t>locate a </w:t>
      </w:r>
      <w:r>
        <w:rPr>
          <w:spacing w:val="-3"/>
          <w:w w:val="105"/>
          <w:sz w:val="21"/>
        </w:rPr>
        <w:t>neighbour to organise </w:t>
      </w:r>
      <w:r>
        <w:rPr>
          <w:w w:val="105"/>
          <w:sz w:val="21"/>
        </w:rPr>
        <w:t>mediation </w:t>
      </w:r>
      <w:r>
        <w:rPr>
          <w:spacing w:val="-3"/>
          <w:w w:val="105"/>
          <w:sz w:val="21"/>
        </w:rPr>
        <w:t>where, for example, </w:t>
      </w:r>
      <w:r>
        <w:rPr>
          <w:w w:val="105"/>
          <w:sz w:val="21"/>
        </w:rPr>
        <w:t>the home is only occupied</w:t>
      </w:r>
      <w:r>
        <w:rPr>
          <w:spacing w:val="5"/>
          <w:w w:val="105"/>
          <w:sz w:val="21"/>
        </w:rPr>
        <w:t> </w:t>
      </w:r>
      <w:r>
        <w:rPr>
          <w:spacing w:val="-3"/>
          <w:w w:val="105"/>
          <w:sz w:val="21"/>
        </w:rPr>
        <w:t>periodically.</w:t>
      </w:r>
      <w:r>
        <w:rPr>
          <w:spacing w:val="-3"/>
          <w:w w:val="105"/>
          <w:position w:val="7"/>
          <w:sz w:val="12"/>
        </w:rPr>
        <w:t>98</w:t>
      </w:r>
    </w:p>
    <w:p>
      <w:pPr>
        <w:pStyle w:val="ListParagraph"/>
        <w:numPr>
          <w:ilvl w:val="1"/>
          <w:numId w:val="16"/>
        </w:numPr>
        <w:tabs>
          <w:tab w:pos="2381" w:val="left" w:leader="none"/>
          <w:tab w:pos="2382" w:val="left" w:leader="none"/>
        </w:tabs>
        <w:spacing w:line="242" w:lineRule="auto" w:before="125" w:after="0"/>
        <w:ind w:left="2381" w:right="1636" w:hanging="794"/>
        <w:jc w:val="left"/>
        <w:rPr>
          <w:sz w:val="21"/>
        </w:rPr>
      </w:pPr>
      <w:r>
        <w:rPr>
          <w:w w:val="105"/>
          <w:sz w:val="21"/>
        </w:rPr>
        <w:t>In </w:t>
      </w:r>
      <w:r>
        <w:rPr>
          <w:spacing w:val="-4"/>
          <w:w w:val="105"/>
          <w:sz w:val="21"/>
        </w:rPr>
        <w:t>Chapter </w:t>
      </w:r>
      <w:r>
        <w:rPr>
          <w:w w:val="105"/>
          <w:sz w:val="21"/>
        </w:rPr>
        <w:t>3 it was identified </w:t>
      </w:r>
      <w:r>
        <w:rPr>
          <w:spacing w:val="-3"/>
          <w:w w:val="105"/>
          <w:sz w:val="21"/>
        </w:rPr>
        <w:t>that </w:t>
      </w:r>
      <w:r>
        <w:rPr>
          <w:w w:val="105"/>
          <w:sz w:val="21"/>
        </w:rPr>
        <w:t>DSCV data </w:t>
      </w:r>
      <w:r>
        <w:rPr>
          <w:spacing w:val="-3"/>
          <w:w w:val="105"/>
          <w:sz w:val="21"/>
        </w:rPr>
        <w:t>from </w:t>
      </w:r>
      <w:r>
        <w:rPr>
          <w:w w:val="105"/>
          <w:sz w:val="21"/>
        </w:rPr>
        <w:t>December </w:t>
      </w:r>
      <w:r>
        <w:rPr>
          <w:spacing w:val="-10"/>
          <w:w w:val="105"/>
          <w:sz w:val="21"/>
        </w:rPr>
        <w:t>2011 </w:t>
      </w:r>
      <w:r>
        <w:rPr>
          <w:spacing w:val="-3"/>
          <w:w w:val="105"/>
          <w:sz w:val="21"/>
        </w:rPr>
        <w:t>to </w:t>
      </w:r>
      <w:r>
        <w:rPr>
          <w:spacing w:val="-2"/>
          <w:w w:val="105"/>
          <w:sz w:val="21"/>
        </w:rPr>
        <w:t>May </w:t>
      </w:r>
      <w:r>
        <w:rPr>
          <w:spacing w:val="-9"/>
          <w:w w:val="105"/>
          <w:sz w:val="21"/>
        </w:rPr>
        <w:t>2017 </w:t>
      </w:r>
      <w:r>
        <w:rPr>
          <w:w w:val="105"/>
          <w:sz w:val="21"/>
        </w:rPr>
        <w:t>suggests </w:t>
      </w:r>
      <w:r>
        <w:rPr>
          <w:spacing w:val="-3"/>
          <w:w w:val="105"/>
          <w:sz w:val="21"/>
        </w:rPr>
        <w:t>that </w:t>
      </w:r>
      <w:r>
        <w:rPr>
          <w:w w:val="105"/>
          <w:sz w:val="21"/>
        </w:rPr>
        <w:t>tree </w:t>
      </w:r>
      <w:r>
        <w:rPr>
          <w:spacing w:val="-3"/>
          <w:w w:val="105"/>
          <w:sz w:val="21"/>
        </w:rPr>
        <w:t>enquiries are </w:t>
      </w:r>
      <w:r>
        <w:rPr>
          <w:w w:val="105"/>
          <w:sz w:val="21"/>
        </w:rPr>
        <w:t>less </w:t>
      </w:r>
      <w:r>
        <w:rPr>
          <w:spacing w:val="-4"/>
          <w:w w:val="105"/>
          <w:sz w:val="21"/>
        </w:rPr>
        <w:t>likely </w:t>
      </w:r>
      <w:r>
        <w:rPr>
          <w:spacing w:val="-3"/>
          <w:w w:val="105"/>
          <w:sz w:val="21"/>
        </w:rPr>
        <w:t>than </w:t>
      </w:r>
      <w:r>
        <w:rPr>
          <w:w w:val="105"/>
          <w:sz w:val="21"/>
        </w:rPr>
        <w:t>other matters </w:t>
      </w:r>
      <w:r>
        <w:rPr>
          <w:spacing w:val="-3"/>
          <w:w w:val="105"/>
          <w:sz w:val="21"/>
        </w:rPr>
        <w:t>to </w:t>
      </w:r>
      <w:r>
        <w:rPr>
          <w:w w:val="105"/>
          <w:sz w:val="21"/>
        </w:rPr>
        <w:t>progress </w:t>
      </w:r>
      <w:r>
        <w:rPr>
          <w:spacing w:val="-3"/>
          <w:w w:val="105"/>
          <w:sz w:val="21"/>
        </w:rPr>
        <w:t>to </w:t>
      </w:r>
      <w:r>
        <w:rPr>
          <w:w w:val="105"/>
          <w:sz w:val="21"/>
        </w:rPr>
        <w:t>a </w:t>
      </w:r>
      <w:r>
        <w:rPr>
          <w:spacing w:val="-3"/>
          <w:w w:val="105"/>
          <w:sz w:val="21"/>
        </w:rPr>
        <w:t>dispute </w:t>
      </w:r>
      <w:r>
        <w:rPr>
          <w:w w:val="105"/>
          <w:sz w:val="21"/>
        </w:rPr>
        <w:t>resolution </w:t>
      </w:r>
      <w:r>
        <w:rPr>
          <w:spacing w:val="-3"/>
          <w:w w:val="105"/>
          <w:sz w:val="21"/>
        </w:rPr>
        <w:t>outcome including through mediation.</w:t>
      </w:r>
      <w:r>
        <w:rPr>
          <w:spacing w:val="-3"/>
          <w:w w:val="105"/>
          <w:position w:val="7"/>
          <w:sz w:val="12"/>
        </w:rPr>
        <w:t>99 </w:t>
      </w:r>
      <w:r>
        <w:rPr>
          <w:w w:val="105"/>
          <w:sz w:val="21"/>
        </w:rPr>
        <w:t>The factors </w:t>
      </w:r>
      <w:r>
        <w:rPr>
          <w:spacing w:val="-3"/>
          <w:w w:val="105"/>
          <w:sz w:val="21"/>
        </w:rPr>
        <w:t>to </w:t>
      </w:r>
      <w:r>
        <w:rPr>
          <w:w w:val="105"/>
          <w:sz w:val="21"/>
        </w:rPr>
        <w:t>which DSCV attributed the low resolution </w:t>
      </w:r>
      <w:r>
        <w:rPr>
          <w:spacing w:val="-3"/>
          <w:w w:val="105"/>
          <w:sz w:val="21"/>
        </w:rPr>
        <w:t>rates for </w:t>
      </w:r>
      <w:r>
        <w:rPr>
          <w:w w:val="105"/>
          <w:sz w:val="21"/>
        </w:rPr>
        <w:t>these </w:t>
      </w:r>
      <w:r>
        <w:rPr>
          <w:spacing w:val="-3"/>
          <w:w w:val="105"/>
          <w:sz w:val="21"/>
        </w:rPr>
        <w:t>disputes were noted. </w:t>
      </w:r>
      <w:r>
        <w:rPr>
          <w:w w:val="105"/>
          <w:sz w:val="21"/>
        </w:rPr>
        <w:t>Some of the </w:t>
      </w:r>
      <w:r>
        <w:rPr>
          <w:spacing w:val="-3"/>
          <w:w w:val="105"/>
          <w:sz w:val="21"/>
        </w:rPr>
        <w:t>reasons include</w:t>
      </w:r>
      <w:r>
        <w:rPr>
          <w:spacing w:val="12"/>
          <w:w w:val="105"/>
          <w:sz w:val="21"/>
        </w:rPr>
        <w:t> </w:t>
      </w:r>
      <w:r>
        <w:rPr>
          <w:w w:val="105"/>
          <w:sz w:val="21"/>
        </w:rPr>
        <w:t>that:</w:t>
      </w:r>
    </w:p>
    <w:p>
      <w:pPr>
        <w:pStyle w:val="ListParagraph"/>
        <w:numPr>
          <w:ilvl w:val="2"/>
          <w:numId w:val="16"/>
        </w:numPr>
        <w:tabs>
          <w:tab w:pos="2721" w:val="left" w:leader="none"/>
          <w:tab w:pos="2722" w:val="left" w:leader="none"/>
        </w:tabs>
        <w:spacing w:line="242" w:lineRule="auto" w:before="125" w:after="0"/>
        <w:ind w:left="2721" w:right="1871" w:hanging="340"/>
        <w:jc w:val="left"/>
        <w:rPr>
          <w:sz w:val="21"/>
        </w:rPr>
      </w:pPr>
      <w:r>
        <w:rPr>
          <w:w w:val="105"/>
          <w:sz w:val="21"/>
        </w:rPr>
        <w:t>rights and </w:t>
      </w:r>
      <w:r>
        <w:rPr>
          <w:spacing w:val="-3"/>
          <w:w w:val="105"/>
          <w:sz w:val="21"/>
        </w:rPr>
        <w:t>obligations </w:t>
      </w:r>
      <w:r>
        <w:rPr>
          <w:w w:val="105"/>
          <w:sz w:val="21"/>
        </w:rPr>
        <w:t>under the law </w:t>
      </w:r>
      <w:r>
        <w:rPr>
          <w:spacing w:val="-3"/>
          <w:w w:val="105"/>
          <w:sz w:val="21"/>
        </w:rPr>
        <w:t>are </w:t>
      </w:r>
      <w:r>
        <w:rPr>
          <w:spacing w:val="-4"/>
          <w:w w:val="105"/>
          <w:sz w:val="21"/>
        </w:rPr>
        <w:t>unclear, </w:t>
      </w:r>
      <w:r>
        <w:rPr>
          <w:spacing w:val="-3"/>
          <w:w w:val="105"/>
          <w:sz w:val="21"/>
        </w:rPr>
        <w:t>making </w:t>
      </w:r>
      <w:r>
        <w:rPr>
          <w:w w:val="105"/>
          <w:sz w:val="21"/>
        </w:rPr>
        <w:t>it </w:t>
      </w:r>
      <w:r>
        <w:rPr>
          <w:spacing w:val="-3"/>
          <w:w w:val="105"/>
          <w:sz w:val="21"/>
        </w:rPr>
        <w:t>hard to </w:t>
      </w:r>
      <w:r>
        <w:rPr>
          <w:w w:val="105"/>
          <w:sz w:val="21"/>
        </w:rPr>
        <w:t>identify what parties can or </w:t>
      </w:r>
      <w:r>
        <w:rPr>
          <w:spacing w:val="-3"/>
          <w:w w:val="105"/>
          <w:sz w:val="21"/>
        </w:rPr>
        <w:t>cannot </w:t>
      </w:r>
      <w:r>
        <w:rPr>
          <w:w w:val="105"/>
          <w:sz w:val="21"/>
        </w:rPr>
        <w:t>do without </w:t>
      </w:r>
      <w:r>
        <w:rPr>
          <w:spacing w:val="-3"/>
          <w:w w:val="105"/>
          <w:sz w:val="21"/>
        </w:rPr>
        <w:t>having to </w:t>
      </w:r>
      <w:r>
        <w:rPr>
          <w:w w:val="105"/>
          <w:sz w:val="21"/>
        </w:rPr>
        <w:t>go </w:t>
      </w:r>
      <w:r>
        <w:rPr>
          <w:spacing w:val="-3"/>
          <w:w w:val="105"/>
          <w:sz w:val="21"/>
        </w:rPr>
        <w:t>to </w:t>
      </w:r>
      <w:r>
        <w:rPr>
          <w:w w:val="105"/>
          <w:sz w:val="21"/>
        </w:rPr>
        <w:t>court </w:t>
      </w:r>
      <w:r>
        <w:rPr>
          <w:spacing w:val="-3"/>
          <w:w w:val="105"/>
          <w:sz w:val="21"/>
        </w:rPr>
        <w:t>to have </w:t>
      </w:r>
      <w:r>
        <w:rPr>
          <w:w w:val="105"/>
          <w:sz w:val="21"/>
        </w:rPr>
        <w:t>a </w:t>
      </w:r>
      <w:r>
        <w:rPr>
          <w:spacing w:val="-3"/>
          <w:w w:val="105"/>
          <w:sz w:val="21"/>
        </w:rPr>
        <w:t>magistrate</w:t>
      </w:r>
      <w:r>
        <w:rPr>
          <w:spacing w:val="8"/>
          <w:w w:val="105"/>
          <w:sz w:val="21"/>
        </w:rPr>
        <w:t> </w:t>
      </w:r>
      <w:r>
        <w:rPr>
          <w:w w:val="105"/>
          <w:sz w:val="21"/>
        </w:rPr>
        <w:t>decide</w:t>
      </w:r>
    </w:p>
    <w:p>
      <w:pPr>
        <w:pStyle w:val="ListParagraph"/>
        <w:numPr>
          <w:ilvl w:val="2"/>
          <w:numId w:val="16"/>
        </w:numPr>
        <w:tabs>
          <w:tab w:pos="2721" w:val="left" w:leader="none"/>
          <w:tab w:pos="2722" w:val="left" w:leader="none"/>
        </w:tabs>
        <w:spacing w:line="242" w:lineRule="auto" w:before="87" w:after="0"/>
        <w:ind w:left="2721" w:right="1616" w:hanging="340"/>
        <w:jc w:val="left"/>
        <w:rPr>
          <w:sz w:val="12"/>
        </w:rPr>
      </w:pPr>
      <w:r>
        <w:rPr>
          <w:w w:val="105"/>
          <w:sz w:val="21"/>
        </w:rPr>
        <w:t>neighbours</w:t>
      </w:r>
      <w:r>
        <w:rPr>
          <w:spacing w:val="-7"/>
          <w:w w:val="105"/>
          <w:sz w:val="21"/>
        </w:rPr>
        <w:t> </w:t>
      </w:r>
      <w:r>
        <w:rPr>
          <w:spacing w:val="-3"/>
          <w:w w:val="105"/>
          <w:sz w:val="21"/>
        </w:rPr>
        <w:t>are</w:t>
      </w:r>
      <w:r>
        <w:rPr>
          <w:spacing w:val="-6"/>
          <w:w w:val="105"/>
          <w:sz w:val="21"/>
        </w:rPr>
        <w:t> </w:t>
      </w:r>
      <w:r>
        <w:rPr>
          <w:spacing w:val="-2"/>
          <w:w w:val="105"/>
          <w:sz w:val="21"/>
        </w:rPr>
        <w:t>not</w:t>
      </w:r>
      <w:r>
        <w:rPr>
          <w:spacing w:val="-6"/>
          <w:w w:val="105"/>
          <w:sz w:val="21"/>
        </w:rPr>
        <w:t> </w:t>
      </w:r>
      <w:r>
        <w:rPr>
          <w:w w:val="105"/>
          <w:sz w:val="21"/>
        </w:rPr>
        <w:t>explicitly</w:t>
      </w:r>
      <w:r>
        <w:rPr>
          <w:spacing w:val="-6"/>
          <w:w w:val="105"/>
          <w:sz w:val="21"/>
        </w:rPr>
        <w:t> </w:t>
      </w:r>
      <w:r>
        <w:rPr>
          <w:spacing w:val="-3"/>
          <w:w w:val="105"/>
          <w:sz w:val="21"/>
        </w:rPr>
        <w:t>required</w:t>
      </w:r>
      <w:r>
        <w:rPr>
          <w:spacing w:val="-6"/>
          <w:w w:val="105"/>
          <w:sz w:val="21"/>
        </w:rPr>
        <w:t> </w:t>
      </w:r>
      <w:r>
        <w:rPr>
          <w:spacing w:val="-3"/>
          <w:w w:val="105"/>
          <w:sz w:val="21"/>
        </w:rPr>
        <w:t>to</w:t>
      </w:r>
      <w:r>
        <w:rPr>
          <w:spacing w:val="-6"/>
          <w:w w:val="105"/>
          <w:sz w:val="21"/>
        </w:rPr>
        <w:t> </w:t>
      </w:r>
      <w:r>
        <w:rPr>
          <w:spacing w:val="-3"/>
          <w:w w:val="105"/>
          <w:sz w:val="21"/>
        </w:rPr>
        <w:t>negotiate</w:t>
      </w:r>
      <w:r>
        <w:rPr>
          <w:spacing w:val="-6"/>
          <w:w w:val="105"/>
          <w:sz w:val="21"/>
        </w:rPr>
        <w:t> </w:t>
      </w:r>
      <w:r>
        <w:rPr>
          <w:w w:val="105"/>
          <w:sz w:val="21"/>
        </w:rPr>
        <w:t>by</w:t>
      </w:r>
      <w:r>
        <w:rPr>
          <w:spacing w:val="-6"/>
          <w:w w:val="105"/>
          <w:sz w:val="21"/>
        </w:rPr>
        <w:t> </w:t>
      </w:r>
      <w:r>
        <w:rPr>
          <w:spacing w:val="-3"/>
          <w:w w:val="105"/>
          <w:sz w:val="21"/>
        </w:rPr>
        <w:t>legislation</w:t>
      </w:r>
      <w:r>
        <w:rPr>
          <w:spacing w:val="-6"/>
          <w:w w:val="105"/>
          <w:sz w:val="21"/>
        </w:rPr>
        <w:t> </w:t>
      </w:r>
      <w:r>
        <w:rPr>
          <w:w w:val="105"/>
          <w:sz w:val="21"/>
        </w:rPr>
        <w:t>or</w:t>
      </w:r>
      <w:r>
        <w:rPr>
          <w:spacing w:val="-6"/>
          <w:w w:val="105"/>
          <w:sz w:val="21"/>
        </w:rPr>
        <w:t> </w:t>
      </w:r>
      <w:r>
        <w:rPr>
          <w:w w:val="105"/>
          <w:sz w:val="21"/>
        </w:rPr>
        <w:t>case</w:t>
      </w:r>
      <w:r>
        <w:rPr>
          <w:spacing w:val="-6"/>
          <w:w w:val="105"/>
          <w:sz w:val="21"/>
        </w:rPr>
        <w:t> </w:t>
      </w:r>
      <w:r>
        <w:rPr>
          <w:w w:val="105"/>
          <w:sz w:val="21"/>
        </w:rPr>
        <w:t>law</w:t>
      </w:r>
      <w:r>
        <w:rPr>
          <w:spacing w:val="-6"/>
          <w:w w:val="105"/>
          <w:sz w:val="21"/>
        </w:rPr>
        <w:t> </w:t>
      </w:r>
      <w:r>
        <w:rPr>
          <w:w w:val="105"/>
          <w:sz w:val="21"/>
        </w:rPr>
        <w:t>and</w:t>
      </w:r>
      <w:r>
        <w:rPr>
          <w:spacing w:val="-6"/>
          <w:w w:val="105"/>
          <w:sz w:val="21"/>
        </w:rPr>
        <w:t> </w:t>
      </w:r>
      <w:r>
        <w:rPr>
          <w:spacing w:val="-3"/>
          <w:w w:val="105"/>
          <w:sz w:val="21"/>
        </w:rPr>
        <w:t>many therefore </w:t>
      </w:r>
      <w:r>
        <w:rPr>
          <w:w w:val="105"/>
          <w:sz w:val="21"/>
        </w:rPr>
        <w:t>choose </w:t>
      </w:r>
      <w:r>
        <w:rPr>
          <w:spacing w:val="-3"/>
          <w:w w:val="105"/>
          <w:sz w:val="21"/>
        </w:rPr>
        <w:t>to </w:t>
      </w:r>
      <w:r>
        <w:rPr>
          <w:w w:val="105"/>
          <w:sz w:val="21"/>
        </w:rPr>
        <w:t>opt out of the mediation</w:t>
      </w:r>
      <w:r>
        <w:rPr>
          <w:spacing w:val="36"/>
          <w:w w:val="105"/>
          <w:sz w:val="21"/>
        </w:rPr>
        <w:t> </w:t>
      </w:r>
      <w:r>
        <w:rPr>
          <w:spacing w:val="-3"/>
          <w:w w:val="105"/>
          <w:sz w:val="21"/>
        </w:rPr>
        <w:t>process.</w:t>
      </w:r>
      <w:r>
        <w:rPr>
          <w:spacing w:val="-3"/>
          <w:w w:val="105"/>
          <w:position w:val="7"/>
          <w:sz w:val="12"/>
        </w:rPr>
        <w:t>100</w:t>
      </w:r>
    </w:p>
    <w:p>
      <w:pPr>
        <w:pStyle w:val="ListParagraph"/>
        <w:numPr>
          <w:ilvl w:val="1"/>
          <w:numId w:val="16"/>
        </w:numPr>
        <w:tabs>
          <w:tab w:pos="2380" w:val="left" w:leader="none"/>
          <w:tab w:pos="2381" w:val="left" w:leader="none"/>
        </w:tabs>
        <w:spacing w:line="242" w:lineRule="auto" w:before="87" w:after="0"/>
        <w:ind w:left="2381" w:right="1776" w:hanging="794"/>
        <w:jc w:val="left"/>
        <w:rPr>
          <w:sz w:val="21"/>
        </w:rPr>
      </w:pPr>
      <w:r>
        <w:rPr>
          <w:w w:val="105"/>
          <w:sz w:val="21"/>
        </w:rPr>
        <w:t>Anecdotally DSCV suggests </w:t>
      </w:r>
      <w:r>
        <w:rPr>
          <w:spacing w:val="-3"/>
          <w:w w:val="105"/>
          <w:sz w:val="21"/>
        </w:rPr>
        <w:t>that </w:t>
      </w:r>
      <w:r>
        <w:rPr>
          <w:w w:val="105"/>
          <w:sz w:val="21"/>
        </w:rPr>
        <w:t>the </w:t>
      </w:r>
      <w:r>
        <w:rPr>
          <w:spacing w:val="-3"/>
          <w:w w:val="105"/>
          <w:sz w:val="21"/>
        </w:rPr>
        <w:t>disputes that are </w:t>
      </w:r>
      <w:r>
        <w:rPr>
          <w:w w:val="105"/>
          <w:sz w:val="21"/>
        </w:rPr>
        <w:t>most </w:t>
      </w:r>
      <w:r>
        <w:rPr>
          <w:spacing w:val="-4"/>
          <w:w w:val="105"/>
          <w:sz w:val="21"/>
        </w:rPr>
        <w:t>likely </w:t>
      </w:r>
      <w:r>
        <w:rPr>
          <w:spacing w:val="-3"/>
          <w:w w:val="105"/>
          <w:sz w:val="21"/>
        </w:rPr>
        <w:t>to </w:t>
      </w:r>
      <w:r>
        <w:rPr>
          <w:w w:val="105"/>
          <w:sz w:val="21"/>
        </w:rPr>
        <w:t>settle </w:t>
      </w:r>
      <w:r>
        <w:rPr>
          <w:spacing w:val="-3"/>
          <w:w w:val="105"/>
          <w:sz w:val="21"/>
        </w:rPr>
        <w:t>are disputes </w:t>
      </w:r>
      <w:r>
        <w:rPr>
          <w:w w:val="105"/>
          <w:sz w:val="21"/>
        </w:rPr>
        <w:t>between an affected </w:t>
      </w:r>
      <w:r>
        <w:rPr>
          <w:spacing w:val="-3"/>
          <w:w w:val="105"/>
          <w:sz w:val="21"/>
        </w:rPr>
        <w:t>neighbour </w:t>
      </w:r>
      <w:r>
        <w:rPr>
          <w:w w:val="105"/>
          <w:sz w:val="21"/>
        </w:rPr>
        <w:t>and a </w:t>
      </w:r>
      <w:r>
        <w:rPr>
          <w:spacing w:val="-3"/>
          <w:w w:val="105"/>
          <w:sz w:val="21"/>
        </w:rPr>
        <w:t>landlord. </w:t>
      </w:r>
      <w:r>
        <w:rPr>
          <w:w w:val="105"/>
          <w:sz w:val="21"/>
        </w:rPr>
        <w:t>DSCV </w:t>
      </w:r>
      <w:r>
        <w:rPr>
          <w:spacing w:val="-3"/>
          <w:w w:val="105"/>
          <w:sz w:val="21"/>
        </w:rPr>
        <w:t>may </w:t>
      </w:r>
      <w:r>
        <w:rPr>
          <w:w w:val="105"/>
          <w:sz w:val="21"/>
        </w:rPr>
        <w:t>be contacted </w:t>
      </w:r>
      <w:r>
        <w:rPr>
          <w:spacing w:val="-3"/>
          <w:w w:val="105"/>
          <w:sz w:val="21"/>
        </w:rPr>
        <w:t>to </w:t>
      </w:r>
      <w:r>
        <w:rPr>
          <w:w w:val="105"/>
          <w:sz w:val="21"/>
        </w:rPr>
        <w:t>approach the </w:t>
      </w:r>
      <w:r>
        <w:rPr>
          <w:spacing w:val="-3"/>
          <w:w w:val="105"/>
          <w:sz w:val="21"/>
        </w:rPr>
        <w:t>landlord </w:t>
      </w:r>
      <w:r>
        <w:rPr>
          <w:w w:val="105"/>
          <w:sz w:val="21"/>
        </w:rPr>
        <w:t>when attempts </w:t>
      </w:r>
      <w:r>
        <w:rPr>
          <w:spacing w:val="-3"/>
          <w:w w:val="105"/>
          <w:sz w:val="21"/>
        </w:rPr>
        <w:t>to negotiate </w:t>
      </w:r>
      <w:r>
        <w:rPr>
          <w:w w:val="105"/>
          <w:sz w:val="21"/>
        </w:rPr>
        <w:t>with the </w:t>
      </w:r>
      <w:r>
        <w:rPr>
          <w:spacing w:val="-3"/>
          <w:w w:val="105"/>
          <w:sz w:val="21"/>
        </w:rPr>
        <w:t>tenant have </w:t>
      </w:r>
      <w:r>
        <w:rPr>
          <w:w w:val="105"/>
          <w:sz w:val="21"/>
        </w:rPr>
        <w:t>been </w:t>
      </w:r>
      <w:r>
        <w:rPr>
          <w:spacing w:val="-3"/>
          <w:w w:val="105"/>
          <w:sz w:val="21"/>
        </w:rPr>
        <w:t>unsuccessful. </w:t>
      </w:r>
      <w:r>
        <w:rPr>
          <w:w w:val="105"/>
          <w:sz w:val="21"/>
        </w:rPr>
        <w:t>DSCV suggests</w:t>
      </w:r>
      <w:r>
        <w:rPr>
          <w:spacing w:val="-5"/>
          <w:w w:val="105"/>
          <w:sz w:val="21"/>
        </w:rPr>
        <w:t> </w:t>
      </w:r>
      <w:r>
        <w:rPr>
          <w:spacing w:val="-3"/>
          <w:w w:val="105"/>
          <w:sz w:val="21"/>
        </w:rPr>
        <w:t>that</w:t>
      </w:r>
      <w:r>
        <w:rPr>
          <w:spacing w:val="-5"/>
          <w:w w:val="105"/>
          <w:sz w:val="21"/>
        </w:rPr>
        <w:t> </w:t>
      </w:r>
      <w:r>
        <w:rPr>
          <w:spacing w:val="-3"/>
          <w:w w:val="105"/>
          <w:sz w:val="21"/>
        </w:rPr>
        <w:t>disputes</w:t>
      </w:r>
      <w:r>
        <w:rPr>
          <w:spacing w:val="-5"/>
          <w:w w:val="105"/>
          <w:sz w:val="21"/>
        </w:rPr>
        <w:t> </w:t>
      </w:r>
      <w:r>
        <w:rPr>
          <w:w w:val="105"/>
          <w:sz w:val="21"/>
        </w:rPr>
        <w:t>about</w:t>
      </w:r>
      <w:r>
        <w:rPr>
          <w:spacing w:val="-4"/>
          <w:w w:val="105"/>
          <w:sz w:val="21"/>
        </w:rPr>
        <w:t> </w:t>
      </w:r>
      <w:r>
        <w:rPr>
          <w:w w:val="105"/>
          <w:sz w:val="21"/>
        </w:rPr>
        <w:t>roots</w:t>
      </w:r>
      <w:r>
        <w:rPr>
          <w:spacing w:val="-5"/>
          <w:w w:val="105"/>
          <w:sz w:val="21"/>
        </w:rPr>
        <w:t> </w:t>
      </w:r>
      <w:r>
        <w:rPr>
          <w:spacing w:val="-3"/>
          <w:w w:val="105"/>
          <w:sz w:val="21"/>
        </w:rPr>
        <w:t>are</w:t>
      </w:r>
      <w:r>
        <w:rPr>
          <w:spacing w:val="-5"/>
          <w:w w:val="105"/>
          <w:sz w:val="21"/>
        </w:rPr>
        <w:t> </w:t>
      </w:r>
      <w:r>
        <w:rPr>
          <w:spacing w:val="-3"/>
          <w:w w:val="105"/>
          <w:sz w:val="21"/>
        </w:rPr>
        <w:t>generally</w:t>
      </w:r>
      <w:r>
        <w:rPr>
          <w:spacing w:val="-4"/>
          <w:w w:val="105"/>
          <w:sz w:val="21"/>
        </w:rPr>
        <w:t> </w:t>
      </w:r>
      <w:r>
        <w:rPr>
          <w:w w:val="105"/>
          <w:sz w:val="21"/>
        </w:rPr>
        <w:t>the</w:t>
      </w:r>
      <w:r>
        <w:rPr>
          <w:spacing w:val="-5"/>
          <w:w w:val="105"/>
          <w:sz w:val="21"/>
        </w:rPr>
        <w:t> </w:t>
      </w:r>
      <w:r>
        <w:rPr>
          <w:w w:val="105"/>
          <w:sz w:val="21"/>
        </w:rPr>
        <w:t>hardest</w:t>
      </w:r>
      <w:r>
        <w:rPr>
          <w:spacing w:val="-5"/>
          <w:w w:val="105"/>
          <w:sz w:val="21"/>
        </w:rPr>
        <w:t> </w:t>
      </w:r>
      <w:r>
        <w:rPr>
          <w:spacing w:val="-3"/>
          <w:w w:val="105"/>
          <w:sz w:val="21"/>
        </w:rPr>
        <w:t>to</w:t>
      </w:r>
      <w:r>
        <w:rPr>
          <w:spacing w:val="-5"/>
          <w:w w:val="105"/>
          <w:sz w:val="21"/>
        </w:rPr>
        <w:t> </w:t>
      </w:r>
      <w:r>
        <w:rPr>
          <w:w w:val="105"/>
          <w:sz w:val="21"/>
        </w:rPr>
        <w:t>resolve</w:t>
      </w:r>
      <w:r>
        <w:rPr>
          <w:spacing w:val="-4"/>
          <w:w w:val="105"/>
          <w:sz w:val="21"/>
        </w:rPr>
        <w:t> </w:t>
      </w:r>
      <w:r>
        <w:rPr>
          <w:w w:val="105"/>
          <w:sz w:val="21"/>
        </w:rPr>
        <w:t>because</w:t>
      </w:r>
      <w:r>
        <w:rPr>
          <w:spacing w:val="-5"/>
          <w:w w:val="105"/>
          <w:sz w:val="21"/>
        </w:rPr>
        <w:t> </w:t>
      </w:r>
      <w:r>
        <w:rPr>
          <w:w w:val="105"/>
          <w:sz w:val="21"/>
        </w:rPr>
        <w:t>they</w:t>
      </w:r>
    </w:p>
    <w:p>
      <w:pPr>
        <w:pStyle w:val="BodyText"/>
        <w:spacing w:line="242" w:lineRule="auto" w:before="4"/>
        <w:ind w:left="2380" w:right="1956"/>
        <w:rPr>
          <w:sz w:val="12"/>
        </w:rPr>
      </w:pPr>
      <w:r>
        <w:rPr>
          <w:spacing w:val="-3"/>
          <w:w w:val="105"/>
        </w:rPr>
        <w:t>are </w:t>
      </w:r>
      <w:r>
        <w:rPr>
          <w:w w:val="105"/>
        </w:rPr>
        <w:t>more complex </w:t>
      </w:r>
      <w:r>
        <w:rPr>
          <w:spacing w:val="-3"/>
          <w:w w:val="105"/>
        </w:rPr>
        <w:t>than overhanging branches. </w:t>
      </w:r>
      <w:r>
        <w:rPr>
          <w:w w:val="105"/>
        </w:rPr>
        <w:t>DSCV also observes </w:t>
      </w:r>
      <w:r>
        <w:rPr>
          <w:spacing w:val="-3"/>
          <w:w w:val="105"/>
        </w:rPr>
        <w:t>that </w:t>
      </w:r>
      <w:r>
        <w:rPr>
          <w:w w:val="105"/>
        </w:rPr>
        <w:t>the parties’ personalities and attitudes </w:t>
      </w:r>
      <w:r>
        <w:rPr>
          <w:spacing w:val="-3"/>
          <w:w w:val="105"/>
        </w:rPr>
        <w:t>will </w:t>
      </w:r>
      <w:r>
        <w:rPr>
          <w:w w:val="105"/>
        </w:rPr>
        <w:t>also </w:t>
      </w:r>
      <w:r>
        <w:rPr>
          <w:spacing w:val="-3"/>
          <w:w w:val="105"/>
        </w:rPr>
        <w:t>influence </w:t>
      </w:r>
      <w:r>
        <w:rPr>
          <w:w w:val="105"/>
        </w:rPr>
        <w:t>the </w:t>
      </w:r>
      <w:r>
        <w:rPr>
          <w:spacing w:val="-3"/>
          <w:w w:val="105"/>
        </w:rPr>
        <w:t>likelihood </w:t>
      </w:r>
      <w:r>
        <w:rPr>
          <w:w w:val="105"/>
        </w:rPr>
        <w:t>of </w:t>
      </w:r>
      <w:r>
        <w:rPr>
          <w:spacing w:val="-3"/>
          <w:w w:val="105"/>
        </w:rPr>
        <w:t>success </w:t>
      </w:r>
      <w:r>
        <w:rPr>
          <w:w w:val="105"/>
        </w:rPr>
        <w:t>at </w:t>
      </w:r>
      <w:r>
        <w:rPr>
          <w:spacing w:val="-4"/>
          <w:w w:val="105"/>
        </w:rPr>
        <w:t>mediation.</w:t>
      </w:r>
      <w:r>
        <w:rPr>
          <w:spacing w:val="-4"/>
          <w:w w:val="105"/>
          <w:position w:val="7"/>
          <w:sz w:val="12"/>
        </w:rPr>
        <w:t>101</w:t>
      </w:r>
    </w:p>
    <w:p>
      <w:pPr>
        <w:pStyle w:val="ListParagraph"/>
        <w:numPr>
          <w:ilvl w:val="1"/>
          <w:numId w:val="16"/>
        </w:numPr>
        <w:tabs>
          <w:tab w:pos="2381" w:val="left" w:leader="none"/>
          <w:tab w:pos="2382" w:val="left" w:leader="none"/>
        </w:tabs>
        <w:spacing w:line="242" w:lineRule="auto" w:before="123" w:after="0"/>
        <w:ind w:left="2381" w:right="1973" w:hanging="794"/>
        <w:jc w:val="left"/>
        <w:rPr>
          <w:sz w:val="21"/>
        </w:rPr>
      </w:pPr>
      <w:r>
        <w:rPr>
          <w:spacing w:val="-4"/>
          <w:w w:val="105"/>
          <w:sz w:val="21"/>
        </w:rPr>
        <w:t>Surprisingly,</w:t>
      </w:r>
      <w:r>
        <w:rPr>
          <w:spacing w:val="-5"/>
          <w:w w:val="105"/>
          <w:sz w:val="21"/>
        </w:rPr>
        <w:t> </w:t>
      </w:r>
      <w:r>
        <w:rPr>
          <w:w w:val="105"/>
          <w:sz w:val="21"/>
        </w:rPr>
        <w:t>a</w:t>
      </w:r>
      <w:r>
        <w:rPr>
          <w:spacing w:val="-4"/>
          <w:w w:val="105"/>
          <w:sz w:val="21"/>
        </w:rPr>
        <w:t> </w:t>
      </w:r>
      <w:r>
        <w:rPr>
          <w:w w:val="105"/>
          <w:sz w:val="21"/>
        </w:rPr>
        <w:t>large</w:t>
      </w:r>
      <w:r>
        <w:rPr>
          <w:spacing w:val="-5"/>
          <w:w w:val="105"/>
          <w:sz w:val="21"/>
        </w:rPr>
        <w:t> </w:t>
      </w:r>
      <w:r>
        <w:rPr>
          <w:w w:val="105"/>
          <w:sz w:val="21"/>
        </w:rPr>
        <w:t>number</w:t>
      </w:r>
      <w:r>
        <w:rPr>
          <w:spacing w:val="-4"/>
          <w:w w:val="105"/>
          <w:sz w:val="21"/>
        </w:rPr>
        <w:t> </w:t>
      </w:r>
      <w:r>
        <w:rPr>
          <w:w w:val="105"/>
          <w:sz w:val="21"/>
        </w:rPr>
        <w:t>of</w:t>
      </w:r>
      <w:r>
        <w:rPr>
          <w:spacing w:val="-5"/>
          <w:w w:val="105"/>
          <w:sz w:val="21"/>
        </w:rPr>
        <w:t> </w:t>
      </w:r>
      <w:r>
        <w:rPr>
          <w:spacing w:val="-3"/>
          <w:w w:val="105"/>
          <w:sz w:val="21"/>
        </w:rPr>
        <w:t>private</w:t>
      </w:r>
      <w:r>
        <w:rPr>
          <w:spacing w:val="-4"/>
          <w:w w:val="105"/>
          <w:sz w:val="21"/>
        </w:rPr>
        <w:t> </w:t>
      </w:r>
      <w:r>
        <w:rPr>
          <w:w w:val="105"/>
          <w:sz w:val="21"/>
        </w:rPr>
        <w:t>arborists</w:t>
      </w:r>
      <w:r>
        <w:rPr>
          <w:spacing w:val="-5"/>
          <w:w w:val="105"/>
          <w:sz w:val="21"/>
        </w:rPr>
        <w:t> </w:t>
      </w:r>
      <w:r>
        <w:rPr>
          <w:w w:val="105"/>
          <w:sz w:val="21"/>
        </w:rPr>
        <w:t>at</w:t>
      </w:r>
      <w:r>
        <w:rPr>
          <w:spacing w:val="-4"/>
          <w:w w:val="105"/>
          <w:sz w:val="21"/>
        </w:rPr>
        <w:t> ArborCamp2018</w:t>
      </w:r>
      <w:r>
        <w:rPr>
          <w:spacing w:val="-5"/>
          <w:w w:val="105"/>
          <w:sz w:val="21"/>
        </w:rPr>
        <w:t> </w:t>
      </w:r>
      <w:r>
        <w:rPr>
          <w:w w:val="105"/>
          <w:sz w:val="21"/>
        </w:rPr>
        <w:t>advised</w:t>
      </w:r>
      <w:r>
        <w:rPr>
          <w:spacing w:val="-4"/>
          <w:w w:val="105"/>
          <w:sz w:val="21"/>
        </w:rPr>
        <w:t> </w:t>
      </w:r>
      <w:r>
        <w:rPr>
          <w:w w:val="105"/>
          <w:sz w:val="21"/>
        </w:rPr>
        <w:t>they</w:t>
      </w:r>
      <w:r>
        <w:rPr>
          <w:spacing w:val="-5"/>
          <w:w w:val="105"/>
          <w:sz w:val="21"/>
        </w:rPr>
        <w:t> </w:t>
      </w:r>
      <w:r>
        <w:rPr>
          <w:spacing w:val="-3"/>
          <w:w w:val="105"/>
          <w:sz w:val="21"/>
        </w:rPr>
        <w:t>were unaware </w:t>
      </w:r>
      <w:r>
        <w:rPr>
          <w:w w:val="105"/>
          <w:sz w:val="21"/>
        </w:rPr>
        <w:t>of the free mediation services provided by </w:t>
      </w:r>
      <w:r>
        <w:rPr>
          <w:spacing w:val="-5"/>
          <w:w w:val="105"/>
          <w:sz w:val="21"/>
        </w:rPr>
        <w:t>DSCV. </w:t>
      </w:r>
      <w:r>
        <w:rPr>
          <w:w w:val="105"/>
          <w:sz w:val="21"/>
        </w:rPr>
        <w:t>Although </w:t>
      </w:r>
      <w:r>
        <w:rPr>
          <w:spacing w:val="-3"/>
          <w:w w:val="105"/>
          <w:sz w:val="21"/>
        </w:rPr>
        <w:t>private </w:t>
      </w:r>
      <w:r>
        <w:rPr>
          <w:w w:val="105"/>
          <w:sz w:val="21"/>
        </w:rPr>
        <w:t>arborists </w:t>
      </w:r>
      <w:r>
        <w:rPr>
          <w:spacing w:val="-3"/>
          <w:w w:val="105"/>
          <w:sz w:val="21"/>
        </w:rPr>
        <w:t>frequently </w:t>
      </w:r>
      <w:r>
        <w:rPr>
          <w:w w:val="105"/>
          <w:sz w:val="21"/>
        </w:rPr>
        <w:t>become </w:t>
      </w:r>
      <w:r>
        <w:rPr>
          <w:spacing w:val="-3"/>
          <w:w w:val="105"/>
          <w:sz w:val="21"/>
        </w:rPr>
        <w:t>involved </w:t>
      </w:r>
      <w:r>
        <w:rPr>
          <w:w w:val="105"/>
          <w:sz w:val="21"/>
        </w:rPr>
        <w:t>in tree </w:t>
      </w:r>
      <w:r>
        <w:rPr>
          <w:spacing w:val="-3"/>
          <w:w w:val="105"/>
          <w:sz w:val="21"/>
        </w:rPr>
        <w:t>disputes, </w:t>
      </w:r>
      <w:r>
        <w:rPr>
          <w:w w:val="105"/>
          <w:sz w:val="21"/>
        </w:rPr>
        <w:t>they </w:t>
      </w:r>
      <w:r>
        <w:rPr>
          <w:spacing w:val="-3"/>
          <w:w w:val="105"/>
          <w:sz w:val="21"/>
        </w:rPr>
        <w:t>rarely refer </w:t>
      </w:r>
      <w:r>
        <w:rPr>
          <w:w w:val="105"/>
          <w:sz w:val="21"/>
        </w:rPr>
        <w:t>neighbours </w:t>
      </w:r>
      <w:r>
        <w:rPr>
          <w:spacing w:val="-3"/>
          <w:w w:val="105"/>
          <w:sz w:val="21"/>
        </w:rPr>
        <w:t>to </w:t>
      </w:r>
      <w:r>
        <w:rPr>
          <w:spacing w:val="-6"/>
          <w:w w:val="105"/>
          <w:sz w:val="21"/>
        </w:rPr>
        <w:t>DSCV.</w:t>
      </w:r>
      <w:r>
        <w:rPr>
          <w:spacing w:val="-6"/>
          <w:w w:val="105"/>
          <w:position w:val="7"/>
          <w:sz w:val="12"/>
        </w:rPr>
        <w:t>102</w:t>
      </w:r>
      <w:r>
        <w:rPr>
          <w:spacing w:val="-6"/>
          <w:w w:val="105"/>
          <w:sz w:val="12"/>
        </w:rPr>
        <w:t> </w:t>
      </w:r>
      <w:r>
        <w:rPr>
          <w:w w:val="105"/>
          <w:sz w:val="21"/>
        </w:rPr>
        <w:t>Ben </w:t>
      </w:r>
      <w:r>
        <w:rPr>
          <w:spacing w:val="-3"/>
          <w:w w:val="105"/>
          <w:sz w:val="21"/>
        </w:rPr>
        <w:t>Kenyon </w:t>
      </w:r>
      <w:r>
        <w:rPr>
          <w:w w:val="105"/>
          <w:sz w:val="21"/>
        </w:rPr>
        <w:t>suggested </w:t>
      </w:r>
      <w:r>
        <w:rPr>
          <w:spacing w:val="-3"/>
          <w:w w:val="105"/>
          <w:sz w:val="21"/>
        </w:rPr>
        <w:t>that DSCV’s </w:t>
      </w:r>
      <w:r>
        <w:rPr>
          <w:w w:val="105"/>
          <w:sz w:val="21"/>
        </w:rPr>
        <w:t>services should be more widely</w:t>
      </w:r>
      <w:r>
        <w:rPr>
          <w:spacing w:val="23"/>
          <w:w w:val="105"/>
          <w:sz w:val="21"/>
        </w:rPr>
        <w:t> </w:t>
      </w:r>
      <w:r>
        <w:rPr>
          <w:spacing w:val="-4"/>
          <w:w w:val="105"/>
          <w:sz w:val="21"/>
        </w:rPr>
        <w:t>publicised.</w:t>
      </w:r>
      <w:r>
        <w:rPr>
          <w:spacing w:val="-4"/>
          <w:w w:val="105"/>
          <w:position w:val="7"/>
          <w:sz w:val="12"/>
        </w:rPr>
        <w:t>103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r>
        <w:rPr/>
        <w:pict>
          <v:line style="position:absolute;mso-position-horizontal-relative:page;mso-position-vertical-relative:paragraph;z-index:5912;mso-wrap-distance-left:0;mso-wrap-distance-right:0" from="79.370102pt,11.872476pt" to="515.905102pt,11.872476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27"/>
        </w:rPr>
      </w:pPr>
    </w:p>
    <w:p>
      <w:pPr>
        <w:spacing w:before="0"/>
        <w:ind w:left="720" w:right="0" w:firstLine="0"/>
        <w:jc w:val="left"/>
        <w:rPr>
          <w:b/>
          <w:sz w:val="24"/>
        </w:rPr>
      </w:pPr>
      <w:r>
        <w:rPr>
          <w:b/>
          <w:color w:val="658464"/>
          <w:spacing w:val="-4"/>
          <w:w w:val="110"/>
          <w:sz w:val="24"/>
        </w:rPr>
        <w:t>120</w:t>
      </w:r>
    </w:p>
    <w:p>
      <w:pPr>
        <w:pStyle w:val="ListParagraph"/>
        <w:numPr>
          <w:ilvl w:val="0"/>
          <w:numId w:val="97"/>
        </w:numPr>
        <w:tabs>
          <w:tab w:pos="1230" w:val="left" w:leader="none"/>
          <w:tab w:pos="1231" w:val="left" w:leader="none"/>
        </w:tabs>
        <w:spacing w:line="240" w:lineRule="auto" w:before="48" w:after="0"/>
        <w:ind w:left="1230" w:right="1799" w:hanging="794"/>
        <w:jc w:val="left"/>
        <w:rPr>
          <w:sz w:val="13"/>
        </w:rPr>
      </w:pPr>
      <w:r>
        <w:rPr>
          <w:spacing w:val="2"/>
          <w:w w:val="88"/>
          <w:sz w:val="13"/>
        </w:rPr>
        <w:br w:type="column"/>
      </w:r>
      <w:r>
        <w:rPr>
          <w:w w:val="105"/>
          <w:sz w:val="13"/>
        </w:rPr>
        <w:t>Information provided by DSCV as part of a data request from the Commission, November 2018 and clarification of data provided in May 2019.</w:t>
      </w:r>
    </w:p>
    <w:p>
      <w:pPr>
        <w:pStyle w:val="ListParagraph"/>
        <w:numPr>
          <w:ilvl w:val="0"/>
          <w:numId w:val="97"/>
        </w:numPr>
        <w:tabs>
          <w:tab w:pos="1230" w:val="left" w:leader="none"/>
          <w:tab w:pos="1231" w:val="left" w:leader="none"/>
        </w:tabs>
        <w:spacing w:line="240" w:lineRule="auto" w:before="3" w:after="0"/>
        <w:ind w:left="1230" w:right="1829" w:hanging="794"/>
        <w:jc w:val="left"/>
        <w:rPr>
          <w:sz w:val="13"/>
        </w:rPr>
      </w:pPr>
      <w:r>
        <w:rPr>
          <w:w w:val="105"/>
          <w:sz w:val="13"/>
        </w:rPr>
        <w:t>Submissions 5 </w:t>
      </w:r>
      <w:r>
        <w:rPr>
          <w:spacing w:val="2"/>
          <w:w w:val="105"/>
          <w:sz w:val="13"/>
        </w:rPr>
        <w:t>(Name </w:t>
      </w:r>
      <w:r>
        <w:rPr>
          <w:w w:val="105"/>
          <w:sz w:val="13"/>
        </w:rPr>
        <w:t>withheld), 6 </w:t>
      </w:r>
      <w:r>
        <w:rPr>
          <w:spacing w:val="2"/>
          <w:w w:val="105"/>
          <w:sz w:val="13"/>
        </w:rPr>
        <w:t>(Name </w:t>
      </w:r>
      <w:r>
        <w:rPr>
          <w:w w:val="105"/>
          <w:sz w:val="13"/>
        </w:rPr>
        <w:t>withheld), 24 </w:t>
      </w:r>
      <w:r>
        <w:rPr>
          <w:spacing w:val="2"/>
          <w:w w:val="105"/>
          <w:sz w:val="13"/>
        </w:rPr>
        <w:t>(Name </w:t>
      </w:r>
      <w:r>
        <w:rPr>
          <w:w w:val="105"/>
          <w:sz w:val="13"/>
        </w:rPr>
        <w:t>withheld), 31 </w:t>
      </w:r>
      <w:r>
        <w:rPr>
          <w:spacing w:val="2"/>
          <w:w w:val="105"/>
          <w:sz w:val="13"/>
        </w:rPr>
        <w:t>(Barwon </w:t>
      </w:r>
      <w:r>
        <w:rPr>
          <w:w w:val="105"/>
          <w:sz w:val="13"/>
        </w:rPr>
        <w:t>Community Legal </w:t>
      </w:r>
      <w:r>
        <w:rPr>
          <w:spacing w:val="2"/>
          <w:w w:val="105"/>
          <w:sz w:val="13"/>
        </w:rPr>
        <w:t>Service), </w:t>
      </w:r>
      <w:r>
        <w:rPr>
          <w:w w:val="105"/>
          <w:sz w:val="13"/>
        </w:rPr>
        <w:t>38 </w:t>
      </w:r>
      <w:r>
        <w:rPr>
          <w:spacing w:val="3"/>
          <w:w w:val="105"/>
          <w:sz w:val="13"/>
        </w:rPr>
        <w:t>(L. </w:t>
      </w:r>
      <w:r>
        <w:rPr>
          <w:spacing w:val="2"/>
          <w:w w:val="105"/>
          <w:sz w:val="13"/>
        </w:rPr>
        <w:t>Barry </w:t>
      </w:r>
      <w:r>
        <w:rPr>
          <w:w w:val="105"/>
          <w:sz w:val="13"/>
        </w:rPr>
        <w:t>Wollmer); Survey Respondent</w:t>
      </w:r>
      <w:r>
        <w:rPr>
          <w:spacing w:val="9"/>
          <w:w w:val="105"/>
          <w:sz w:val="13"/>
        </w:rPr>
        <w:t> </w:t>
      </w:r>
      <w:r>
        <w:rPr>
          <w:w w:val="105"/>
          <w:sz w:val="13"/>
        </w:rPr>
        <w:t>60.</w:t>
      </w:r>
    </w:p>
    <w:p>
      <w:pPr>
        <w:pStyle w:val="ListParagraph"/>
        <w:numPr>
          <w:ilvl w:val="0"/>
          <w:numId w:val="97"/>
        </w:numPr>
        <w:tabs>
          <w:tab w:pos="1230" w:val="left" w:leader="none"/>
          <w:tab w:pos="1231" w:val="left" w:leader="none"/>
        </w:tabs>
        <w:spacing w:line="240" w:lineRule="auto" w:before="2" w:after="0"/>
        <w:ind w:left="1230" w:right="0" w:hanging="794"/>
        <w:jc w:val="left"/>
        <w:rPr>
          <w:sz w:val="13"/>
        </w:rPr>
      </w:pPr>
      <w:r>
        <w:rPr>
          <w:w w:val="105"/>
          <w:sz w:val="13"/>
        </w:rPr>
        <w:t>Submission 30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97"/>
        </w:numPr>
        <w:tabs>
          <w:tab w:pos="1230" w:val="left" w:leader="none"/>
          <w:tab w:pos="1231" w:val="left" w:leader="none"/>
        </w:tabs>
        <w:spacing w:line="240" w:lineRule="auto" w:before="2" w:after="0"/>
        <w:ind w:left="1230" w:right="0" w:hanging="794"/>
        <w:jc w:val="left"/>
        <w:rPr>
          <w:sz w:val="13"/>
        </w:rPr>
      </w:pPr>
      <w:r>
        <w:rPr>
          <w:w w:val="105"/>
          <w:sz w:val="13"/>
        </w:rPr>
        <w:t>Consultation 7 (Dispute Settlement Centre of</w:t>
      </w:r>
      <w:r>
        <w:rPr>
          <w:spacing w:val="28"/>
          <w:w w:val="105"/>
          <w:sz w:val="13"/>
        </w:rPr>
        <w:t> </w:t>
      </w:r>
      <w:r>
        <w:rPr>
          <w:w w:val="105"/>
          <w:sz w:val="13"/>
        </w:rPr>
        <w:t>Victoria).</w:t>
      </w:r>
    </w:p>
    <w:p>
      <w:pPr>
        <w:pStyle w:val="ListParagraph"/>
        <w:numPr>
          <w:ilvl w:val="0"/>
          <w:numId w:val="97"/>
        </w:numPr>
        <w:tabs>
          <w:tab w:pos="1230" w:val="left" w:leader="none"/>
          <w:tab w:pos="1231" w:val="left" w:leader="none"/>
        </w:tabs>
        <w:spacing w:line="240" w:lineRule="auto" w:before="1" w:after="0"/>
        <w:ind w:left="436" w:right="4289" w:firstLine="0"/>
        <w:jc w:val="left"/>
        <w:rPr>
          <w:sz w:val="13"/>
        </w:rPr>
      </w:pPr>
      <w:r>
        <w:rPr>
          <w:w w:val="105"/>
          <w:sz w:val="13"/>
        </w:rPr>
        <w:t>Information provided by DSCV as part of a data request from the Commission, August </w:t>
      </w:r>
      <w:r>
        <w:rPr>
          <w:spacing w:val="-5"/>
          <w:w w:val="105"/>
          <w:sz w:val="13"/>
        </w:rPr>
        <w:t>2017. </w:t>
      </w:r>
      <w:r>
        <w:rPr>
          <w:w w:val="105"/>
          <w:sz w:val="13"/>
        </w:rPr>
        <w:t>100</w:t>
        <w:tab/>
        <w:t>Ibid. See Ch</w:t>
      </w:r>
      <w:r>
        <w:rPr>
          <w:spacing w:val="14"/>
          <w:w w:val="105"/>
          <w:sz w:val="13"/>
        </w:rPr>
        <w:t> </w:t>
      </w:r>
      <w:r>
        <w:rPr>
          <w:w w:val="105"/>
          <w:sz w:val="13"/>
        </w:rPr>
        <w:t>3.</w:t>
      </w:r>
    </w:p>
    <w:p>
      <w:pPr>
        <w:pStyle w:val="ListParagraph"/>
        <w:numPr>
          <w:ilvl w:val="0"/>
          <w:numId w:val="98"/>
        </w:numPr>
        <w:tabs>
          <w:tab w:pos="1230" w:val="left" w:leader="none"/>
          <w:tab w:pos="1231" w:val="left" w:leader="none"/>
        </w:tabs>
        <w:spacing w:line="240" w:lineRule="auto" w:before="3" w:after="0"/>
        <w:ind w:left="1230"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DSCV</w:t>
      </w:r>
      <w:r>
        <w:rPr>
          <w:spacing w:val="5"/>
          <w:w w:val="105"/>
          <w:sz w:val="13"/>
        </w:rPr>
        <w:t> </w:t>
      </w:r>
      <w:r>
        <w:rPr>
          <w:w w:val="105"/>
          <w:sz w:val="13"/>
        </w:rPr>
        <w:t>as</w:t>
      </w:r>
      <w:r>
        <w:rPr>
          <w:spacing w:val="5"/>
          <w:w w:val="105"/>
          <w:sz w:val="13"/>
        </w:rPr>
        <w:t> </w:t>
      </w:r>
      <w:r>
        <w:rPr>
          <w:w w:val="105"/>
          <w:sz w:val="13"/>
        </w:rPr>
        <w:t>part</w:t>
      </w:r>
      <w:r>
        <w:rPr>
          <w:spacing w:val="5"/>
          <w:w w:val="105"/>
          <w:sz w:val="13"/>
        </w:rPr>
        <w:t> </w:t>
      </w:r>
      <w:r>
        <w:rPr>
          <w:w w:val="105"/>
          <w:sz w:val="13"/>
        </w:rPr>
        <w:t>of</w:t>
      </w:r>
      <w:r>
        <w:rPr>
          <w:spacing w:val="4"/>
          <w:w w:val="105"/>
          <w:sz w:val="13"/>
        </w:rPr>
        <w:t> </w:t>
      </w:r>
      <w:r>
        <w:rPr>
          <w:w w:val="105"/>
          <w:sz w:val="13"/>
        </w:rPr>
        <w:t>a</w:t>
      </w:r>
      <w:r>
        <w:rPr>
          <w:spacing w:val="5"/>
          <w:w w:val="105"/>
          <w:sz w:val="13"/>
        </w:rPr>
        <w:t> </w:t>
      </w:r>
      <w:r>
        <w:rPr>
          <w:w w:val="105"/>
          <w:sz w:val="13"/>
        </w:rPr>
        <w:t>data</w:t>
      </w:r>
      <w:r>
        <w:rPr>
          <w:spacing w:val="5"/>
          <w:w w:val="105"/>
          <w:sz w:val="13"/>
        </w:rPr>
        <w:t> </w:t>
      </w:r>
      <w:r>
        <w:rPr>
          <w:w w:val="105"/>
          <w:sz w:val="13"/>
        </w:rPr>
        <w:t>request</w:t>
      </w:r>
      <w:r>
        <w:rPr>
          <w:spacing w:val="5"/>
          <w:w w:val="105"/>
          <w:sz w:val="13"/>
        </w:rPr>
        <w:t> </w:t>
      </w:r>
      <w:r>
        <w:rPr>
          <w:w w:val="105"/>
          <w:sz w:val="13"/>
        </w:rPr>
        <w:t>from</w:t>
      </w:r>
      <w:r>
        <w:rPr>
          <w:spacing w:val="5"/>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November</w:t>
      </w:r>
      <w:r>
        <w:rPr>
          <w:spacing w:val="4"/>
          <w:w w:val="105"/>
          <w:sz w:val="13"/>
        </w:rPr>
        <w:t> </w:t>
      </w:r>
      <w:r>
        <w:rPr>
          <w:w w:val="105"/>
          <w:sz w:val="13"/>
        </w:rPr>
        <w:t>2018.</w:t>
      </w:r>
    </w:p>
    <w:p>
      <w:pPr>
        <w:pStyle w:val="ListParagraph"/>
        <w:numPr>
          <w:ilvl w:val="0"/>
          <w:numId w:val="98"/>
        </w:numPr>
        <w:tabs>
          <w:tab w:pos="1230" w:val="left" w:leader="none"/>
          <w:tab w:pos="1231" w:val="left" w:leader="none"/>
        </w:tabs>
        <w:spacing w:line="240" w:lineRule="auto" w:before="1" w:after="0"/>
        <w:ind w:left="1230" w:right="1796" w:hanging="794"/>
        <w:jc w:val="left"/>
        <w:rPr>
          <w:sz w:val="13"/>
        </w:rPr>
      </w:pPr>
      <w:r>
        <w:rPr>
          <w:w w:val="105"/>
          <w:sz w:val="13"/>
        </w:rPr>
        <w:t>Consultation 4 (Participants in facilitated discussion at </w:t>
      </w:r>
      <w:r>
        <w:rPr>
          <w:spacing w:val="4"/>
          <w:w w:val="105"/>
          <w:sz w:val="13"/>
        </w:rPr>
        <w:t>VTIO </w:t>
      </w:r>
      <w:r>
        <w:rPr>
          <w:w w:val="105"/>
          <w:sz w:val="13"/>
        </w:rPr>
        <w:t>ArborCamp2018). Approximately </w:t>
      </w:r>
      <w:r>
        <w:rPr>
          <w:spacing w:val="4"/>
          <w:w w:val="105"/>
          <w:sz w:val="13"/>
        </w:rPr>
        <w:t>35–40 </w:t>
      </w:r>
      <w:r>
        <w:rPr>
          <w:w w:val="105"/>
          <w:sz w:val="13"/>
        </w:rPr>
        <w:t>arborists from across Victoria were present during this consultation. The majority were private</w:t>
      </w:r>
      <w:r>
        <w:rPr>
          <w:spacing w:val="4"/>
          <w:w w:val="105"/>
          <w:sz w:val="13"/>
        </w:rPr>
        <w:t> </w:t>
      </w:r>
      <w:r>
        <w:rPr>
          <w:w w:val="105"/>
          <w:sz w:val="13"/>
        </w:rPr>
        <w:t>contractors.</w:t>
      </w:r>
    </w:p>
    <w:p>
      <w:pPr>
        <w:pStyle w:val="ListParagraph"/>
        <w:numPr>
          <w:ilvl w:val="0"/>
          <w:numId w:val="98"/>
        </w:numPr>
        <w:tabs>
          <w:tab w:pos="1230" w:val="left" w:leader="none"/>
          <w:tab w:pos="1231" w:val="left" w:leader="none"/>
        </w:tabs>
        <w:spacing w:line="240" w:lineRule="auto" w:before="3" w:after="0"/>
        <w:ind w:left="1230" w:right="0" w:hanging="794"/>
        <w:jc w:val="left"/>
        <w:rPr>
          <w:sz w:val="13"/>
        </w:rPr>
      </w:pPr>
      <w:r>
        <w:rPr>
          <w:w w:val="105"/>
          <w:sz w:val="13"/>
        </w:rPr>
        <w:t>Consultation 6 </w:t>
      </w:r>
      <w:r>
        <w:rPr>
          <w:spacing w:val="2"/>
          <w:w w:val="105"/>
          <w:sz w:val="13"/>
        </w:rPr>
        <w:t>(Ben</w:t>
      </w:r>
      <w:r>
        <w:rPr>
          <w:spacing w:val="13"/>
          <w:w w:val="105"/>
          <w:sz w:val="13"/>
        </w:rPr>
        <w:t> </w:t>
      </w:r>
      <w:r>
        <w:rPr>
          <w:w w:val="105"/>
          <w:sz w:val="13"/>
        </w:rPr>
        <w:t>Kenyon).</w:t>
      </w:r>
    </w:p>
    <w:p>
      <w:pPr>
        <w:spacing w:after="0" w:line="240" w:lineRule="auto"/>
        <w:jc w:val="left"/>
        <w:rPr>
          <w:sz w:val="13"/>
        </w:rPr>
        <w:sectPr>
          <w:type w:val="continuous"/>
          <w:pgSz w:w="11910" w:h="16840"/>
          <w:pgMar w:top="300" w:bottom="280" w:left="0" w:right="0"/>
          <w:cols w:num="2" w:equalWidth="0">
            <w:col w:w="1111" w:space="40"/>
            <w:col w:w="10759"/>
          </w:cols>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701" w:hanging="794"/>
        <w:jc w:val="left"/>
        <w:rPr>
          <w:sz w:val="21"/>
        </w:rPr>
      </w:pPr>
      <w:r>
        <w:rPr>
          <w:sz w:val="21"/>
        </w:rPr>
        <w:t>Some people suggested or </w:t>
      </w:r>
      <w:r>
        <w:rPr>
          <w:spacing w:val="-3"/>
          <w:sz w:val="21"/>
        </w:rPr>
        <w:t>indicated that </w:t>
      </w:r>
      <w:r>
        <w:rPr>
          <w:sz w:val="21"/>
        </w:rPr>
        <w:t>mediation services should be able </w:t>
      </w:r>
      <w:r>
        <w:rPr>
          <w:spacing w:val="-3"/>
          <w:sz w:val="21"/>
        </w:rPr>
        <w:t>to </w:t>
      </w:r>
      <w:r>
        <w:rPr>
          <w:sz w:val="21"/>
        </w:rPr>
        <w:t>compel or </w:t>
      </w:r>
      <w:r>
        <w:rPr>
          <w:spacing w:val="-3"/>
          <w:sz w:val="21"/>
        </w:rPr>
        <w:t>force </w:t>
      </w:r>
      <w:r>
        <w:rPr>
          <w:sz w:val="21"/>
        </w:rPr>
        <w:t>the other party </w:t>
      </w:r>
      <w:r>
        <w:rPr>
          <w:spacing w:val="-3"/>
          <w:sz w:val="21"/>
        </w:rPr>
        <w:t>to </w:t>
      </w:r>
      <w:r>
        <w:rPr>
          <w:sz w:val="21"/>
        </w:rPr>
        <w:t>the tree </w:t>
      </w:r>
      <w:r>
        <w:rPr>
          <w:spacing w:val="-3"/>
          <w:sz w:val="21"/>
        </w:rPr>
        <w:t>dispute to</w:t>
      </w:r>
      <w:r>
        <w:rPr>
          <w:spacing w:val="-6"/>
          <w:sz w:val="21"/>
        </w:rPr>
        <w:t> </w:t>
      </w:r>
      <w:r>
        <w:rPr>
          <w:sz w:val="21"/>
        </w:rPr>
        <w:t>participate in </w:t>
      </w:r>
      <w:r>
        <w:rPr>
          <w:spacing w:val="-4"/>
          <w:sz w:val="21"/>
        </w:rPr>
        <w:t>mediation.</w:t>
      </w:r>
      <w:r>
        <w:rPr>
          <w:spacing w:val="-4"/>
          <w:position w:val="7"/>
          <w:sz w:val="12"/>
        </w:rPr>
        <w:t>104</w:t>
      </w:r>
    </w:p>
    <w:p>
      <w:pPr>
        <w:pStyle w:val="BodyText"/>
        <w:spacing w:before="3"/>
        <w:rPr>
          <w:sz w:val="20"/>
        </w:rPr>
      </w:pPr>
    </w:p>
    <w:p>
      <w:pPr>
        <w:pStyle w:val="Heading5"/>
      </w:pPr>
      <w:r>
        <w:rPr>
          <w:w w:val="115"/>
        </w:rPr>
        <w:t>Community responses—Abatement</w:t>
      </w:r>
    </w:p>
    <w:p>
      <w:pPr>
        <w:pStyle w:val="ListParagraph"/>
        <w:numPr>
          <w:ilvl w:val="1"/>
          <w:numId w:val="16"/>
        </w:numPr>
        <w:tabs>
          <w:tab w:pos="2381" w:val="left" w:leader="none"/>
          <w:tab w:pos="2382" w:val="left" w:leader="none"/>
        </w:tabs>
        <w:spacing w:line="242" w:lineRule="auto" w:before="138" w:after="0"/>
        <w:ind w:left="2381" w:right="1685" w:hanging="794"/>
        <w:jc w:val="left"/>
        <w:rPr>
          <w:sz w:val="21"/>
        </w:rPr>
      </w:pPr>
      <w:r>
        <w:rPr>
          <w:w w:val="105"/>
          <w:sz w:val="21"/>
        </w:rPr>
        <w:t>Most responses </w:t>
      </w:r>
      <w:r>
        <w:rPr>
          <w:spacing w:val="-3"/>
          <w:w w:val="105"/>
          <w:sz w:val="21"/>
        </w:rPr>
        <w:t>to </w:t>
      </w:r>
      <w:r>
        <w:rPr>
          <w:w w:val="105"/>
          <w:sz w:val="21"/>
        </w:rPr>
        <w:t>the </w:t>
      </w:r>
      <w:r>
        <w:rPr>
          <w:spacing w:val="-3"/>
          <w:w w:val="105"/>
          <w:sz w:val="21"/>
        </w:rPr>
        <w:t>consultation </w:t>
      </w:r>
      <w:r>
        <w:rPr>
          <w:w w:val="105"/>
          <w:sz w:val="21"/>
        </w:rPr>
        <w:t>paper agreed </w:t>
      </w:r>
      <w:r>
        <w:rPr>
          <w:spacing w:val="-3"/>
          <w:w w:val="105"/>
          <w:sz w:val="21"/>
        </w:rPr>
        <w:t>that abatement </w:t>
      </w:r>
      <w:r>
        <w:rPr>
          <w:w w:val="105"/>
          <w:sz w:val="21"/>
        </w:rPr>
        <w:t>should </w:t>
      </w:r>
      <w:r>
        <w:rPr>
          <w:spacing w:val="-3"/>
          <w:w w:val="105"/>
          <w:sz w:val="21"/>
        </w:rPr>
        <w:t>continue to </w:t>
      </w:r>
      <w:r>
        <w:rPr>
          <w:w w:val="105"/>
          <w:sz w:val="21"/>
        </w:rPr>
        <w:t>be </w:t>
      </w:r>
      <w:r>
        <w:rPr>
          <w:spacing w:val="-3"/>
          <w:w w:val="105"/>
          <w:sz w:val="21"/>
        </w:rPr>
        <w:t>available </w:t>
      </w:r>
      <w:r>
        <w:rPr>
          <w:w w:val="105"/>
          <w:sz w:val="21"/>
        </w:rPr>
        <w:t>under </w:t>
      </w:r>
      <w:r>
        <w:rPr>
          <w:spacing w:val="-3"/>
          <w:w w:val="105"/>
          <w:sz w:val="21"/>
        </w:rPr>
        <w:t>any </w:t>
      </w:r>
      <w:r>
        <w:rPr>
          <w:w w:val="105"/>
          <w:sz w:val="21"/>
        </w:rPr>
        <w:t>new </w:t>
      </w:r>
      <w:r>
        <w:rPr>
          <w:spacing w:val="-4"/>
          <w:w w:val="105"/>
          <w:sz w:val="21"/>
        </w:rPr>
        <w:t>Act.</w:t>
      </w:r>
      <w:r>
        <w:rPr>
          <w:spacing w:val="-4"/>
          <w:w w:val="105"/>
          <w:position w:val="7"/>
          <w:sz w:val="12"/>
        </w:rPr>
        <w:t>105 </w:t>
      </w:r>
      <w:r>
        <w:rPr>
          <w:w w:val="105"/>
          <w:sz w:val="21"/>
        </w:rPr>
        <w:t>As one community member </w:t>
      </w:r>
      <w:r>
        <w:rPr>
          <w:spacing w:val="-3"/>
          <w:w w:val="105"/>
          <w:sz w:val="21"/>
        </w:rPr>
        <w:t>noted, </w:t>
      </w:r>
      <w:r>
        <w:rPr>
          <w:spacing w:val="-4"/>
          <w:w w:val="105"/>
          <w:sz w:val="21"/>
        </w:rPr>
        <w:t>‘in </w:t>
      </w:r>
      <w:r>
        <w:rPr>
          <w:spacing w:val="-3"/>
          <w:w w:val="105"/>
          <w:sz w:val="21"/>
        </w:rPr>
        <w:t>many </w:t>
      </w:r>
      <w:r>
        <w:rPr>
          <w:w w:val="105"/>
          <w:sz w:val="21"/>
        </w:rPr>
        <w:t>cases and with</w:t>
      </w:r>
      <w:r>
        <w:rPr>
          <w:spacing w:val="-7"/>
          <w:w w:val="105"/>
          <w:sz w:val="21"/>
        </w:rPr>
        <w:t> </w:t>
      </w:r>
      <w:r>
        <w:rPr>
          <w:spacing w:val="-3"/>
          <w:w w:val="105"/>
          <w:sz w:val="21"/>
        </w:rPr>
        <w:t>reasonable</w:t>
      </w:r>
      <w:r>
        <w:rPr>
          <w:spacing w:val="-7"/>
          <w:w w:val="105"/>
          <w:sz w:val="21"/>
        </w:rPr>
        <w:t> </w:t>
      </w:r>
      <w:r>
        <w:rPr>
          <w:w w:val="105"/>
          <w:sz w:val="21"/>
        </w:rPr>
        <w:t>neighbours,</w:t>
      </w:r>
      <w:r>
        <w:rPr>
          <w:spacing w:val="-7"/>
          <w:w w:val="105"/>
          <w:sz w:val="21"/>
        </w:rPr>
        <w:t> </w:t>
      </w:r>
      <w:r>
        <w:rPr>
          <w:w w:val="105"/>
          <w:sz w:val="21"/>
        </w:rPr>
        <w:t>it</w:t>
      </w:r>
      <w:r>
        <w:rPr>
          <w:spacing w:val="-7"/>
          <w:w w:val="105"/>
          <w:sz w:val="21"/>
        </w:rPr>
        <w:t> </w:t>
      </w:r>
      <w:r>
        <w:rPr>
          <w:w w:val="105"/>
          <w:sz w:val="21"/>
        </w:rPr>
        <w:t>is</w:t>
      </w:r>
      <w:r>
        <w:rPr>
          <w:spacing w:val="-6"/>
          <w:w w:val="105"/>
          <w:sz w:val="21"/>
        </w:rPr>
        <w:t> </w:t>
      </w:r>
      <w:r>
        <w:rPr>
          <w:w w:val="105"/>
          <w:sz w:val="21"/>
        </w:rPr>
        <w:t>enough</w:t>
      </w:r>
      <w:r>
        <w:rPr>
          <w:spacing w:val="-7"/>
          <w:w w:val="105"/>
          <w:sz w:val="21"/>
        </w:rPr>
        <w:t> </w:t>
      </w:r>
      <w:r>
        <w:rPr>
          <w:spacing w:val="-3"/>
          <w:w w:val="105"/>
          <w:sz w:val="21"/>
        </w:rPr>
        <w:t>to</w:t>
      </w:r>
      <w:r>
        <w:rPr>
          <w:spacing w:val="-7"/>
          <w:w w:val="105"/>
          <w:sz w:val="21"/>
        </w:rPr>
        <w:t> </w:t>
      </w:r>
      <w:r>
        <w:rPr>
          <w:w w:val="105"/>
          <w:sz w:val="21"/>
        </w:rPr>
        <w:t>solve</w:t>
      </w:r>
      <w:r>
        <w:rPr>
          <w:spacing w:val="-7"/>
          <w:w w:val="105"/>
          <w:sz w:val="21"/>
        </w:rPr>
        <w:t> </w:t>
      </w:r>
      <w:r>
        <w:rPr>
          <w:w w:val="105"/>
          <w:sz w:val="21"/>
        </w:rPr>
        <w:t>the</w:t>
      </w:r>
      <w:r>
        <w:rPr>
          <w:spacing w:val="-7"/>
          <w:w w:val="105"/>
          <w:sz w:val="21"/>
        </w:rPr>
        <w:t> </w:t>
      </w:r>
      <w:r>
        <w:rPr>
          <w:w w:val="105"/>
          <w:sz w:val="21"/>
        </w:rPr>
        <w:t>day-to-day</w:t>
      </w:r>
      <w:r>
        <w:rPr>
          <w:spacing w:val="-6"/>
          <w:w w:val="105"/>
          <w:sz w:val="21"/>
        </w:rPr>
        <w:t> </w:t>
      </w:r>
      <w:r>
        <w:rPr>
          <w:w w:val="105"/>
          <w:sz w:val="21"/>
        </w:rPr>
        <w:t>issues</w:t>
      </w:r>
      <w:r>
        <w:rPr>
          <w:spacing w:val="-7"/>
          <w:w w:val="105"/>
          <w:sz w:val="21"/>
        </w:rPr>
        <w:t> </w:t>
      </w:r>
      <w:r>
        <w:rPr>
          <w:w w:val="105"/>
          <w:sz w:val="21"/>
        </w:rPr>
        <w:t>with</w:t>
      </w:r>
      <w:r>
        <w:rPr>
          <w:spacing w:val="-7"/>
          <w:w w:val="105"/>
          <w:sz w:val="21"/>
        </w:rPr>
        <w:t> </w:t>
      </w:r>
      <w:r>
        <w:rPr>
          <w:spacing w:val="-3"/>
          <w:w w:val="105"/>
          <w:sz w:val="21"/>
        </w:rPr>
        <w:t>overhanging </w:t>
      </w:r>
      <w:r>
        <w:rPr>
          <w:spacing w:val="-5"/>
          <w:w w:val="105"/>
          <w:sz w:val="21"/>
        </w:rPr>
        <w:t>branches’.</w:t>
      </w:r>
      <w:r>
        <w:rPr>
          <w:spacing w:val="-5"/>
          <w:w w:val="105"/>
          <w:position w:val="7"/>
          <w:sz w:val="12"/>
        </w:rPr>
        <w:t>106</w:t>
      </w:r>
    </w:p>
    <w:p>
      <w:pPr>
        <w:pStyle w:val="Heading7"/>
      </w:pPr>
      <w:r>
        <w:rPr>
          <w:w w:val="115"/>
        </w:rPr>
        <w:t>Modifying the right to abate</w:t>
      </w:r>
    </w:p>
    <w:p>
      <w:pPr>
        <w:pStyle w:val="ListParagraph"/>
        <w:numPr>
          <w:ilvl w:val="1"/>
          <w:numId w:val="16"/>
        </w:numPr>
        <w:tabs>
          <w:tab w:pos="2381" w:val="left" w:leader="none"/>
          <w:tab w:pos="2382" w:val="left" w:leader="none"/>
        </w:tabs>
        <w:spacing w:line="242" w:lineRule="auto" w:before="143" w:after="0"/>
        <w:ind w:left="2381" w:right="1647" w:hanging="794"/>
        <w:jc w:val="left"/>
        <w:rPr>
          <w:sz w:val="21"/>
        </w:rPr>
      </w:pPr>
      <w:r>
        <w:rPr>
          <w:w w:val="105"/>
          <w:sz w:val="21"/>
        </w:rPr>
        <w:t>Nearly </w:t>
      </w:r>
      <w:r>
        <w:rPr>
          <w:spacing w:val="-3"/>
          <w:w w:val="105"/>
          <w:sz w:val="21"/>
        </w:rPr>
        <w:t>all </w:t>
      </w:r>
      <w:r>
        <w:rPr>
          <w:w w:val="105"/>
          <w:sz w:val="21"/>
        </w:rPr>
        <w:t>community members who responded </w:t>
      </w:r>
      <w:r>
        <w:rPr>
          <w:spacing w:val="-3"/>
          <w:w w:val="105"/>
          <w:sz w:val="21"/>
        </w:rPr>
        <w:t>to </w:t>
      </w:r>
      <w:r>
        <w:rPr>
          <w:w w:val="105"/>
          <w:sz w:val="21"/>
        </w:rPr>
        <w:t>this issue supported modifying the </w:t>
      </w:r>
      <w:r>
        <w:rPr>
          <w:spacing w:val="-3"/>
          <w:w w:val="105"/>
          <w:sz w:val="21"/>
        </w:rPr>
        <w:t>right to abatement </w:t>
      </w:r>
      <w:r>
        <w:rPr>
          <w:w w:val="105"/>
          <w:sz w:val="21"/>
        </w:rPr>
        <w:t>and made specific suggestions about how this should be </w:t>
      </w:r>
      <w:r>
        <w:rPr>
          <w:spacing w:val="-5"/>
          <w:w w:val="105"/>
          <w:sz w:val="21"/>
        </w:rPr>
        <w:t>done.</w:t>
      </w:r>
      <w:r>
        <w:rPr>
          <w:spacing w:val="-5"/>
          <w:w w:val="105"/>
          <w:position w:val="7"/>
          <w:sz w:val="12"/>
        </w:rPr>
        <w:t>107 </w:t>
      </w:r>
      <w:r>
        <w:rPr>
          <w:w w:val="105"/>
          <w:sz w:val="21"/>
        </w:rPr>
        <w:t>One </w:t>
      </w:r>
      <w:r>
        <w:rPr>
          <w:spacing w:val="-3"/>
          <w:w w:val="105"/>
          <w:sz w:val="21"/>
        </w:rPr>
        <w:t>submission </w:t>
      </w:r>
      <w:r>
        <w:rPr>
          <w:w w:val="105"/>
          <w:sz w:val="21"/>
        </w:rPr>
        <w:t>stated </w:t>
      </w:r>
      <w:r>
        <w:rPr>
          <w:spacing w:val="-3"/>
          <w:w w:val="105"/>
          <w:sz w:val="21"/>
        </w:rPr>
        <w:t>that </w:t>
      </w:r>
      <w:r>
        <w:rPr>
          <w:w w:val="105"/>
          <w:sz w:val="21"/>
        </w:rPr>
        <w:t>‘the </w:t>
      </w:r>
      <w:r>
        <w:rPr>
          <w:spacing w:val="-3"/>
          <w:w w:val="105"/>
          <w:sz w:val="21"/>
        </w:rPr>
        <w:t>right </w:t>
      </w:r>
      <w:r>
        <w:rPr>
          <w:w w:val="105"/>
          <w:sz w:val="21"/>
        </w:rPr>
        <w:t>of </w:t>
      </w:r>
      <w:r>
        <w:rPr>
          <w:spacing w:val="-3"/>
          <w:w w:val="105"/>
          <w:sz w:val="21"/>
        </w:rPr>
        <w:t>abatement </w:t>
      </w:r>
      <w:r>
        <w:rPr>
          <w:w w:val="105"/>
          <w:sz w:val="21"/>
        </w:rPr>
        <w:t>should </w:t>
      </w:r>
      <w:r>
        <w:rPr>
          <w:spacing w:val="-3"/>
          <w:w w:val="105"/>
          <w:sz w:val="21"/>
        </w:rPr>
        <w:t>remain, </w:t>
      </w:r>
      <w:r>
        <w:rPr>
          <w:w w:val="105"/>
          <w:sz w:val="21"/>
        </w:rPr>
        <w:t>but a </w:t>
      </w:r>
      <w:r>
        <w:rPr>
          <w:spacing w:val="-3"/>
          <w:w w:val="105"/>
          <w:sz w:val="21"/>
        </w:rPr>
        <w:t>greater responsibility ought to </w:t>
      </w:r>
      <w:r>
        <w:rPr>
          <w:w w:val="105"/>
          <w:sz w:val="21"/>
        </w:rPr>
        <w:t>be </w:t>
      </w:r>
      <w:r>
        <w:rPr>
          <w:spacing w:val="-2"/>
          <w:w w:val="105"/>
          <w:sz w:val="21"/>
        </w:rPr>
        <w:t>placed </w:t>
      </w:r>
      <w:r>
        <w:rPr>
          <w:w w:val="105"/>
          <w:sz w:val="21"/>
        </w:rPr>
        <w:t>on tree owners </w:t>
      </w:r>
      <w:r>
        <w:rPr>
          <w:spacing w:val="-3"/>
          <w:w w:val="105"/>
          <w:sz w:val="21"/>
        </w:rPr>
        <w:t>to ensure that </w:t>
      </w:r>
      <w:r>
        <w:rPr>
          <w:w w:val="105"/>
          <w:sz w:val="21"/>
        </w:rPr>
        <w:t>their tree/s do </w:t>
      </w:r>
      <w:r>
        <w:rPr>
          <w:spacing w:val="-2"/>
          <w:w w:val="105"/>
          <w:sz w:val="21"/>
        </w:rPr>
        <w:t>not </w:t>
      </w:r>
      <w:r>
        <w:rPr>
          <w:spacing w:val="-3"/>
          <w:w w:val="105"/>
          <w:sz w:val="21"/>
        </w:rPr>
        <w:t>threaten, </w:t>
      </w:r>
      <w:r>
        <w:rPr>
          <w:w w:val="105"/>
          <w:sz w:val="21"/>
        </w:rPr>
        <w:t>cause </w:t>
      </w:r>
      <w:r>
        <w:rPr>
          <w:spacing w:val="-3"/>
          <w:w w:val="105"/>
          <w:sz w:val="21"/>
        </w:rPr>
        <w:t>annoyance </w:t>
      </w:r>
      <w:r>
        <w:rPr>
          <w:w w:val="105"/>
          <w:sz w:val="21"/>
        </w:rPr>
        <w:t>or </w:t>
      </w:r>
      <w:r>
        <w:rPr>
          <w:spacing w:val="-3"/>
          <w:w w:val="105"/>
          <w:sz w:val="21"/>
        </w:rPr>
        <w:t>harm to</w:t>
      </w:r>
      <w:r>
        <w:rPr>
          <w:spacing w:val="28"/>
          <w:w w:val="105"/>
          <w:sz w:val="21"/>
        </w:rPr>
        <w:t> </w:t>
      </w:r>
      <w:r>
        <w:rPr>
          <w:spacing w:val="-5"/>
          <w:w w:val="105"/>
          <w:sz w:val="21"/>
        </w:rPr>
        <w:t>neighbours’.</w:t>
      </w:r>
      <w:r>
        <w:rPr>
          <w:spacing w:val="-5"/>
          <w:w w:val="105"/>
          <w:position w:val="7"/>
          <w:sz w:val="12"/>
        </w:rPr>
        <w:t>108</w:t>
      </w:r>
    </w:p>
    <w:p>
      <w:pPr>
        <w:pStyle w:val="ListParagraph"/>
        <w:numPr>
          <w:ilvl w:val="1"/>
          <w:numId w:val="16"/>
        </w:numPr>
        <w:tabs>
          <w:tab w:pos="2380" w:val="left" w:leader="none"/>
          <w:tab w:pos="2381" w:val="left" w:leader="none"/>
        </w:tabs>
        <w:spacing w:line="242" w:lineRule="auto" w:before="126" w:after="0"/>
        <w:ind w:left="2381" w:right="1786" w:hanging="794"/>
        <w:jc w:val="left"/>
        <w:rPr>
          <w:sz w:val="21"/>
        </w:rPr>
      </w:pPr>
      <w:r>
        <w:rPr>
          <w:spacing w:val="-4"/>
          <w:w w:val="105"/>
          <w:sz w:val="21"/>
        </w:rPr>
        <w:t>Changing </w:t>
      </w:r>
      <w:r>
        <w:rPr>
          <w:w w:val="105"/>
          <w:sz w:val="21"/>
        </w:rPr>
        <w:t>the remedy so </w:t>
      </w:r>
      <w:r>
        <w:rPr>
          <w:spacing w:val="-3"/>
          <w:w w:val="105"/>
          <w:sz w:val="21"/>
        </w:rPr>
        <w:t>that </w:t>
      </w:r>
      <w:r>
        <w:rPr>
          <w:w w:val="105"/>
          <w:sz w:val="21"/>
        </w:rPr>
        <w:t>the affected </w:t>
      </w:r>
      <w:r>
        <w:rPr>
          <w:spacing w:val="-3"/>
          <w:w w:val="105"/>
          <w:sz w:val="21"/>
        </w:rPr>
        <w:t>neighbour </w:t>
      </w:r>
      <w:r>
        <w:rPr>
          <w:w w:val="105"/>
          <w:sz w:val="21"/>
        </w:rPr>
        <w:t>was </w:t>
      </w:r>
      <w:r>
        <w:rPr>
          <w:spacing w:val="-2"/>
          <w:w w:val="105"/>
          <w:sz w:val="21"/>
        </w:rPr>
        <w:t>not </w:t>
      </w:r>
      <w:r>
        <w:rPr>
          <w:spacing w:val="-3"/>
          <w:w w:val="105"/>
          <w:sz w:val="21"/>
        </w:rPr>
        <w:t>required to return </w:t>
      </w:r>
      <w:r>
        <w:rPr>
          <w:w w:val="105"/>
          <w:sz w:val="21"/>
        </w:rPr>
        <w:t>pruned </w:t>
      </w:r>
      <w:r>
        <w:rPr>
          <w:spacing w:val="-3"/>
          <w:w w:val="105"/>
          <w:sz w:val="21"/>
        </w:rPr>
        <w:t>material such </w:t>
      </w:r>
      <w:r>
        <w:rPr>
          <w:w w:val="105"/>
          <w:sz w:val="21"/>
        </w:rPr>
        <w:t>as </w:t>
      </w:r>
      <w:r>
        <w:rPr>
          <w:spacing w:val="-3"/>
          <w:w w:val="105"/>
          <w:sz w:val="21"/>
        </w:rPr>
        <w:t>branches, </w:t>
      </w:r>
      <w:r>
        <w:rPr>
          <w:w w:val="105"/>
          <w:sz w:val="21"/>
        </w:rPr>
        <w:t>roots or other tree parts </w:t>
      </w:r>
      <w:r>
        <w:rPr>
          <w:spacing w:val="-3"/>
          <w:w w:val="105"/>
          <w:sz w:val="21"/>
        </w:rPr>
        <w:t>to </w:t>
      </w:r>
      <w:r>
        <w:rPr>
          <w:w w:val="105"/>
          <w:sz w:val="21"/>
        </w:rPr>
        <w:t>the tree </w:t>
      </w:r>
      <w:r>
        <w:rPr>
          <w:spacing w:val="-4"/>
          <w:w w:val="105"/>
          <w:sz w:val="21"/>
        </w:rPr>
        <w:t>owner, </w:t>
      </w:r>
      <w:r>
        <w:rPr>
          <w:w w:val="105"/>
          <w:sz w:val="21"/>
        </w:rPr>
        <w:t>was broadly </w:t>
      </w:r>
      <w:r>
        <w:rPr>
          <w:spacing w:val="-3"/>
          <w:w w:val="105"/>
          <w:sz w:val="21"/>
        </w:rPr>
        <w:t>supported.</w:t>
      </w:r>
      <w:r>
        <w:rPr>
          <w:spacing w:val="-3"/>
          <w:w w:val="105"/>
          <w:position w:val="7"/>
          <w:sz w:val="12"/>
        </w:rPr>
        <w:t>109 </w:t>
      </w:r>
      <w:r>
        <w:rPr>
          <w:w w:val="105"/>
          <w:sz w:val="21"/>
        </w:rPr>
        <w:t>Responses </w:t>
      </w:r>
      <w:r>
        <w:rPr>
          <w:spacing w:val="-3"/>
          <w:w w:val="105"/>
          <w:sz w:val="21"/>
        </w:rPr>
        <w:t>indicated that </w:t>
      </w:r>
      <w:r>
        <w:rPr>
          <w:w w:val="105"/>
          <w:sz w:val="21"/>
        </w:rPr>
        <w:t>there is </w:t>
      </w:r>
      <w:r>
        <w:rPr>
          <w:spacing w:val="-3"/>
          <w:w w:val="105"/>
          <w:sz w:val="21"/>
        </w:rPr>
        <w:t>confusion </w:t>
      </w:r>
      <w:r>
        <w:rPr>
          <w:w w:val="105"/>
          <w:sz w:val="21"/>
        </w:rPr>
        <w:t>in the community about </w:t>
      </w:r>
      <w:r>
        <w:rPr>
          <w:spacing w:val="-6"/>
          <w:w w:val="105"/>
          <w:sz w:val="21"/>
        </w:rPr>
        <w:t>this.</w:t>
      </w:r>
      <w:r>
        <w:rPr>
          <w:spacing w:val="-6"/>
          <w:w w:val="105"/>
          <w:position w:val="7"/>
          <w:sz w:val="12"/>
        </w:rPr>
        <w:t>110 </w:t>
      </w:r>
      <w:r>
        <w:rPr>
          <w:w w:val="105"/>
          <w:sz w:val="21"/>
        </w:rPr>
        <w:t>Some people stated </w:t>
      </w:r>
      <w:r>
        <w:rPr>
          <w:spacing w:val="-3"/>
          <w:w w:val="105"/>
          <w:sz w:val="21"/>
        </w:rPr>
        <w:t>that </w:t>
      </w:r>
      <w:r>
        <w:rPr>
          <w:w w:val="105"/>
          <w:sz w:val="21"/>
        </w:rPr>
        <w:t>the </w:t>
      </w:r>
      <w:r>
        <w:rPr>
          <w:spacing w:val="-3"/>
          <w:w w:val="105"/>
          <w:sz w:val="21"/>
        </w:rPr>
        <w:t>return </w:t>
      </w:r>
      <w:r>
        <w:rPr>
          <w:w w:val="105"/>
          <w:sz w:val="21"/>
        </w:rPr>
        <w:t>of </w:t>
      </w:r>
      <w:r>
        <w:rPr>
          <w:spacing w:val="-2"/>
          <w:w w:val="105"/>
          <w:sz w:val="21"/>
        </w:rPr>
        <w:t>abated </w:t>
      </w:r>
      <w:r>
        <w:rPr>
          <w:w w:val="105"/>
          <w:sz w:val="21"/>
        </w:rPr>
        <w:t>tree parts, particularly</w:t>
      </w:r>
      <w:r>
        <w:rPr>
          <w:spacing w:val="-34"/>
          <w:w w:val="105"/>
          <w:sz w:val="21"/>
        </w:rPr>
        <w:t> </w:t>
      </w:r>
      <w:r>
        <w:rPr>
          <w:w w:val="105"/>
          <w:sz w:val="21"/>
        </w:rPr>
        <w:t>without</w:t>
      </w:r>
    </w:p>
    <w:p>
      <w:pPr>
        <w:pStyle w:val="BodyText"/>
        <w:spacing w:line="242" w:lineRule="auto" w:before="4"/>
        <w:ind w:left="2381" w:right="1756"/>
        <w:rPr>
          <w:sz w:val="12"/>
        </w:rPr>
      </w:pPr>
      <w:r>
        <w:rPr>
          <w:spacing w:val="-3"/>
          <w:w w:val="105"/>
        </w:rPr>
        <w:t>any notice, may </w:t>
      </w:r>
      <w:r>
        <w:rPr>
          <w:w w:val="105"/>
        </w:rPr>
        <w:t>actually cause a tree </w:t>
      </w:r>
      <w:r>
        <w:rPr>
          <w:spacing w:val="-6"/>
          <w:w w:val="105"/>
        </w:rPr>
        <w:t>dispute.</w:t>
      </w:r>
      <w:r>
        <w:rPr>
          <w:spacing w:val="-6"/>
          <w:w w:val="105"/>
          <w:position w:val="7"/>
          <w:sz w:val="12"/>
        </w:rPr>
        <w:t>111 </w:t>
      </w:r>
      <w:r>
        <w:rPr>
          <w:w w:val="105"/>
        </w:rPr>
        <w:t>One survey respondent </w:t>
      </w:r>
      <w:r>
        <w:rPr>
          <w:spacing w:val="-3"/>
          <w:w w:val="105"/>
        </w:rPr>
        <w:t>noted that ‘wilfully throwing branches </w:t>
      </w:r>
      <w:r>
        <w:rPr>
          <w:w w:val="105"/>
        </w:rPr>
        <w:t>over </w:t>
      </w:r>
      <w:r>
        <w:rPr>
          <w:spacing w:val="-3"/>
          <w:w w:val="105"/>
        </w:rPr>
        <w:t>to </w:t>
      </w:r>
      <w:r>
        <w:rPr>
          <w:w w:val="105"/>
        </w:rPr>
        <w:t>your </w:t>
      </w:r>
      <w:r>
        <w:rPr>
          <w:spacing w:val="-3"/>
          <w:w w:val="105"/>
        </w:rPr>
        <w:t>neighbour’s </w:t>
      </w:r>
      <w:r>
        <w:rPr>
          <w:w w:val="105"/>
        </w:rPr>
        <w:t>property’ </w:t>
      </w:r>
      <w:r>
        <w:rPr>
          <w:spacing w:val="-3"/>
          <w:w w:val="105"/>
        </w:rPr>
        <w:t>could result </w:t>
      </w:r>
      <w:r>
        <w:rPr>
          <w:w w:val="105"/>
        </w:rPr>
        <w:t>in </w:t>
      </w:r>
      <w:r>
        <w:rPr>
          <w:spacing w:val="-4"/>
          <w:w w:val="105"/>
        </w:rPr>
        <w:t>‘potentially </w:t>
      </w:r>
      <w:r>
        <w:rPr>
          <w:spacing w:val="-3"/>
          <w:w w:val="105"/>
        </w:rPr>
        <w:t>damaging </w:t>
      </w:r>
      <w:r>
        <w:rPr>
          <w:w w:val="105"/>
        </w:rPr>
        <w:t>plants or </w:t>
      </w:r>
      <w:r>
        <w:rPr>
          <w:spacing w:val="-3"/>
          <w:w w:val="105"/>
        </w:rPr>
        <w:t>endangering </w:t>
      </w:r>
      <w:r>
        <w:rPr>
          <w:w w:val="105"/>
        </w:rPr>
        <w:t>others or hurting </w:t>
      </w:r>
      <w:r>
        <w:rPr>
          <w:spacing w:val="-7"/>
          <w:w w:val="105"/>
        </w:rPr>
        <w:t>animals’.</w:t>
      </w:r>
      <w:r>
        <w:rPr>
          <w:spacing w:val="-7"/>
          <w:w w:val="105"/>
          <w:position w:val="7"/>
          <w:sz w:val="12"/>
        </w:rPr>
        <w:t>112</w:t>
      </w:r>
    </w:p>
    <w:p>
      <w:pPr>
        <w:pStyle w:val="ListParagraph"/>
        <w:numPr>
          <w:ilvl w:val="1"/>
          <w:numId w:val="16"/>
        </w:numPr>
        <w:tabs>
          <w:tab w:pos="2380" w:val="left" w:leader="none"/>
          <w:tab w:pos="2381" w:val="left" w:leader="none"/>
        </w:tabs>
        <w:spacing w:line="242" w:lineRule="auto" w:before="123" w:after="0"/>
        <w:ind w:left="2380" w:right="1817" w:hanging="793"/>
        <w:jc w:val="left"/>
        <w:rPr>
          <w:sz w:val="21"/>
        </w:rPr>
      </w:pPr>
      <w:r>
        <w:rPr>
          <w:w w:val="105"/>
          <w:sz w:val="21"/>
        </w:rPr>
        <w:t>Another</w:t>
      </w:r>
      <w:r>
        <w:rPr>
          <w:spacing w:val="-10"/>
          <w:w w:val="105"/>
          <w:sz w:val="21"/>
        </w:rPr>
        <w:t> </w:t>
      </w:r>
      <w:r>
        <w:rPr>
          <w:w w:val="105"/>
          <w:sz w:val="21"/>
        </w:rPr>
        <w:t>community</w:t>
      </w:r>
      <w:r>
        <w:rPr>
          <w:spacing w:val="-10"/>
          <w:w w:val="105"/>
          <w:sz w:val="21"/>
        </w:rPr>
        <w:t> </w:t>
      </w:r>
      <w:r>
        <w:rPr>
          <w:spacing w:val="-4"/>
          <w:w w:val="105"/>
          <w:sz w:val="21"/>
        </w:rPr>
        <w:t>member,</w:t>
      </w:r>
      <w:r>
        <w:rPr>
          <w:spacing w:val="-10"/>
          <w:w w:val="105"/>
          <w:sz w:val="21"/>
        </w:rPr>
        <w:t> </w:t>
      </w:r>
      <w:r>
        <w:rPr>
          <w:w w:val="105"/>
          <w:sz w:val="21"/>
        </w:rPr>
        <w:t>who</w:t>
      </w:r>
      <w:r>
        <w:rPr>
          <w:spacing w:val="-10"/>
          <w:w w:val="105"/>
          <w:sz w:val="21"/>
        </w:rPr>
        <w:t> </w:t>
      </w:r>
      <w:r>
        <w:rPr>
          <w:w w:val="105"/>
          <w:sz w:val="21"/>
        </w:rPr>
        <w:t>identified</w:t>
      </w:r>
      <w:r>
        <w:rPr>
          <w:spacing w:val="-10"/>
          <w:w w:val="105"/>
          <w:sz w:val="21"/>
        </w:rPr>
        <w:t> </w:t>
      </w:r>
      <w:r>
        <w:rPr>
          <w:w w:val="105"/>
          <w:sz w:val="21"/>
        </w:rPr>
        <w:t>as</w:t>
      </w:r>
      <w:r>
        <w:rPr>
          <w:spacing w:val="-10"/>
          <w:w w:val="105"/>
          <w:sz w:val="21"/>
        </w:rPr>
        <w:t> </w:t>
      </w:r>
      <w:r>
        <w:rPr>
          <w:w w:val="105"/>
          <w:sz w:val="21"/>
        </w:rPr>
        <w:t>a</w:t>
      </w:r>
      <w:r>
        <w:rPr>
          <w:spacing w:val="-10"/>
          <w:w w:val="105"/>
          <w:sz w:val="21"/>
        </w:rPr>
        <w:t> </w:t>
      </w:r>
      <w:r>
        <w:rPr>
          <w:spacing w:val="-3"/>
          <w:w w:val="105"/>
          <w:sz w:val="21"/>
        </w:rPr>
        <w:t>volunteer</w:t>
      </w:r>
      <w:r>
        <w:rPr>
          <w:spacing w:val="-10"/>
          <w:w w:val="105"/>
          <w:sz w:val="21"/>
        </w:rPr>
        <w:t> </w:t>
      </w:r>
      <w:r>
        <w:rPr>
          <w:w w:val="105"/>
          <w:sz w:val="21"/>
        </w:rPr>
        <w:t>at</w:t>
      </w:r>
      <w:r>
        <w:rPr>
          <w:spacing w:val="-10"/>
          <w:w w:val="105"/>
          <w:sz w:val="21"/>
        </w:rPr>
        <w:t> </w:t>
      </w:r>
      <w:r>
        <w:rPr>
          <w:w w:val="105"/>
          <w:sz w:val="21"/>
        </w:rPr>
        <w:t>Victoria</w:t>
      </w:r>
      <w:r>
        <w:rPr>
          <w:spacing w:val="-10"/>
          <w:w w:val="105"/>
          <w:sz w:val="21"/>
        </w:rPr>
        <w:t> </w:t>
      </w:r>
      <w:r>
        <w:rPr>
          <w:spacing w:val="-3"/>
          <w:w w:val="105"/>
          <w:sz w:val="21"/>
        </w:rPr>
        <w:t>State</w:t>
      </w:r>
      <w:r>
        <w:rPr>
          <w:spacing w:val="-10"/>
          <w:w w:val="105"/>
          <w:sz w:val="21"/>
        </w:rPr>
        <w:t> </w:t>
      </w:r>
      <w:r>
        <w:rPr>
          <w:w w:val="105"/>
          <w:sz w:val="21"/>
        </w:rPr>
        <w:t>Emergency Service (SES), explained how there can be </w:t>
      </w:r>
      <w:r>
        <w:rPr>
          <w:spacing w:val="-3"/>
          <w:w w:val="105"/>
          <w:sz w:val="21"/>
        </w:rPr>
        <w:t>confusion </w:t>
      </w:r>
      <w:r>
        <w:rPr>
          <w:w w:val="105"/>
          <w:sz w:val="21"/>
        </w:rPr>
        <w:t>about who </w:t>
      </w:r>
      <w:r>
        <w:rPr>
          <w:spacing w:val="-3"/>
          <w:w w:val="105"/>
          <w:sz w:val="21"/>
        </w:rPr>
        <w:t>to return branches </w:t>
      </w:r>
      <w:r>
        <w:rPr>
          <w:w w:val="105"/>
          <w:sz w:val="21"/>
        </w:rPr>
        <w:t>or other tree parts </w:t>
      </w:r>
      <w:r>
        <w:rPr>
          <w:spacing w:val="-3"/>
          <w:w w:val="105"/>
          <w:sz w:val="21"/>
        </w:rPr>
        <w:t>to during </w:t>
      </w:r>
      <w:r>
        <w:rPr>
          <w:w w:val="105"/>
          <w:sz w:val="21"/>
        </w:rPr>
        <w:t>emergency</w:t>
      </w:r>
      <w:r>
        <w:rPr>
          <w:spacing w:val="28"/>
          <w:w w:val="105"/>
          <w:sz w:val="21"/>
        </w:rPr>
        <w:t> </w:t>
      </w:r>
      <w:r>
        <w:rPr>
          <w:w w:val="105"/>
          <w:sz w:val="21"/>
        </w:rPr>
        <w:t>operations:</w:t>
      </w:r>
    </w:p>
    <w:p>
      <w:pPr>
        <w:spacing w:line="254" w:lineRule="auto" w:before="133"/>
        <w:ind w:left="2834" w:right="1617" w:firstLine="0"/>
        <w:jc w:val="left"/>
        <w:rPr>
          <w:sz w:val="11"/>
        </w:rPr>
      </w:pPr>
      <w:r>
        <w:rPr>
          <w:w w:val="105"/>
          <w:sz w:val="20"/>
        </w:rPr>
        <w:t>Often I and my </w:t>
      </w:r>
      <w:r>
        <w:rPr>
          <w:spacing w:val="-2"/>
          <w:w w:val="105"/>
          <w:sz w:val="20"/>
        </w:rPr>
        <w:t>fellow </w:t>
      </w:r>
      <w:r>
        <w:rPr>
          <w:w w:val="105"/>
          <w:sz w:val="20"/>
        </w:rPr>
        <w:t>volunteers are called to trees that </w:t>
      </w:r>
      <w:r>
        <w:rPr>
          <w:spacing w:val="-3"/>
          <w:w w:val="105"/>
          <w:sz w:val="20"/>
        </w:rPr>
        <w:t>have fallen </w:t>
      </w:r>
      <w:r>
        <w:rPr>
          <w:w w:val="105"/>
          <w:sz w:val="20"/>
        </w:rPr>
        <w:t>or partially </w:t>
      </w:r>
      <w:r>
        <w:rPr>
          <w:spacing w:val="-3"/>
          <w:w w:val="105"/>
          <w:sz w:val="20"/>
        </w:rPr>
        <w:t>fallen </w:t>
      </w:r>
      <w:r>
        <w:rPr>
          <w:w w:val="105"/>
          <w:sz w:val="20"/>
        </w:rPr>
        <w:t>where the limbs come from a neighbouring property. Sometimes the occupant </w:t>
      </w:r>
      <w:r>
        <w:rPr>
          <w:spacing w:val="-3"/>
          <w:w w:val="105"/>
          <w:sz w:val="20"/>
        </w:rPr>
        <w:t>complains </w:t>
      </w:r>
      <w:r>
        <w:rPr>
          <w:w w:val="105"/>
          <w:sz w:val="20"/>
        </w:rPr>
        <w:t>to us about the tree being a </w:t>
      </w:r>
      <w:r>
        <w:rPr>
          <w:spacing w:val="-3"/>
          <w:w w:val="105"/>
          <w:sz w:val="20"/>
        </w:rPr>
        <w:t>nuisance. </w:t>
      </w:r>
      <w:r>
        <w:rPr>
          <w:w w:val="105"/>
          <w:sz w:val="20"/>
        </w:rPr>
        <w:t>While we as members of the SES cannot</w:t>
      </w:r>
      <w:r>
        <w:rPr>
          <w:spacing w:val="-9"/>
          <w:w w:val="105"/>
          <w:sz w:val="20"/>
        </w:rPr>
        <w:t> </w:t>
      </w:r>
      <w:r>
        <w:rPr>
          <w:w w:val="105"/>
          <w:sz w:val="20"/>
        </w:rPr>
        <w:t>and</w:t>
      </w:r>
      <w:r>
        <w:rPr>
          <w:spacing w:val="-8"/>
          <w:w w:val="105"/>
          <w:sz w:val="20"/>
        </w:rPr>
        <w:t> </w:t>
      </w:r>
      <w:r>
        <w:rPr>
          <w:w w:val="105"/>
          <w:sz w:val="20"/>
        </w:rPr>
        <w:t>do</w:t>
      </w:r>
      <w:r>
        <w:rPr>
          <w:spacing w:val="-8"/>
          <w:w w:val="105"/>
          <w:sz w:val="20"/>
        </w:rPr>
        <w:t> </w:t>
      </w:r>
      <w:r>
        <w:rPr>
          <w:w w:val="105"/>
          <w:sz w:val="20"/>
        </w:rPr>
        <w:t>not</w:t>
      </w:r>
      <w:r>
        <w:rPr>
          <w:spacing w:val="-8"/>
          <w:w w:val="105"/>
          <w:sz w:val="20"/>
        </w:rPr>
        <w:t> </w:t>
      </w:r>
      <w:r>
        <w:rPr>
          <w:w w:val="105"/>
          <w:sz w:val="20"/>
        </w:rPr>
        <w:t>provide</w:t>
      </w:r>
      <w:r>
        <w:rPr>
          <w:spacing w:val="-9"/>
          <w:w w:val="105"/>
          <w:sz w:val="20"/>
        </w:rPr>
        <w:t> </w:t>
      </w:r>
      <w:r>
        <w:rPr>
          <w:w w:val="105"/>
          <w:sz w:val="20"/>
        </w:rPr>
        <w:t>advice</w:t>
      </w:r>
      <w:r>
        <w:rPr>
          <w:spacing w:val="-8"/>
          <w:w w:val="105"/>
          <w:sz w:val="20"/>
        </w:rPr>
        <w:t> </w:t>
      </w:r>
      <w:r>
        <w:rPr>
          <w:w w:val="105"/>
          <w:sz w:val="20"/>
        </w:rPr>
        <w:t>about</w:t>
      </w:r>
      <w:r>
        <w:rPr>
          <w:spacing w:val="-8"/>
          <w:w w:val="105"/>
          <w:sz w:val="20"/>
        </w:rPr>
        <w:t> </w:t>
      </w:r>
      <w:r>
        <w:rPr>
          <w:w w:val="105"/>
          <w:sz w:val="20"/>
        </w:rPr>
        <w:t>tree</w:t>
      </w:r>
      <w:r>
        <w:rPr>
          <w:spacing w:val="-8"/>
          <w:w w:val="105"/>
          <w:sz w:val="20"/>
        </w:rPr>
        <w:t> </w:t>
      </w:r>
      <w:r>
        <w:rPr>
          <w:w w:val="105"/>
          <w:sz w:val="20"/>
        </w:rPr>
        <w:t>disputes,</w:t>
      </w:r>
      <w:r>
        <w:rPr>
          <w:spacing w:val="-8"/>
          <w:w w:val="105"/>
          <w:sz w:val="20"/>
        </w:rPr>
        <w:t> </w:t>
      </w:r>
      <w:r>
        <w:rPr>
          <w:w w:val="105"/>
          <w:sz w:val="20"/>
        </w:rPr>
        <w:t>we</w:t>
      </w:r>
      <w:r>
        <w:rPr>
          <w:spacing w:val="-9"/>
          <w:w w:val="105"/>
          <w:sz w:val="20"/>
        </w:rPr>
        <w:t> </w:t>
      </w:r>
      <w:r>
        <w:rPr>
          <w:w w:val="105"/>
          <w:sz w:val="20"/>
        </w:rPr>
        <w:t>can</w:t>
      </w:r>
      <w:r>
        <w:rPr>
          <w:spacing w:val="-8"/>
          <w:w w:val="105"/>
          <w:sz w:val="20"/>
        </w:rPr>
        <w:t> </w:t>
      </w:r>
      <w:r>
        <w:rPr>
          <w:w w:val="105"/>
          <w:sz w:val="20"/>
        </w:rPr>
        <w:t>only</w:t>
      </w:r>
      <w:r>
        <w:rPr>
          <w:spacing w:val="-8"/>
          <w:w w:val="105"/>
          <w:sz w:val="20"/>
        </w:rPr>
        <w:t> </w:t>
      </w:r>
      <w:r>
        <w:rPr>
          <w:w w:val="105"/>
          <w:sz w:val="20"/>
        </w:rPr>
        <w:t>clear</w:t>
      </w:r>
      <w:r>
        <w:rPr>
          <w:spacing w:val="-8"/>
          <w:w w:val="105"/>
          <w:sz w:val="20"/>
        </w:rPr>
        <w:t> </w:t>
      </w:r>
      <w:r>
        <w:rPr>
          <w:w w:val="105"/>
          <w:sz w:val="20"/>
        </w:rPr>
        <w:t>the</w:t>
      </w:r>
      <w:r>
        <w:rPr>
          <w:spacing w:val="-8"/>
          <w:w w:val="105"/>
          <w:sz w:val="20"/>
        </w:rPr>
        <w:t> </w:t>
      </w:r>
      <w:r>
        <w:rPr>
          <w:w w:val="105"/>
          <w:sz w:val="20"/>
        </w:rPr>
        <w:t>elements</w:t>
      </w:r>
      <w:r>
        <w:rPr>
          <w:spacing w:val="-9"/>
          <w:w w:val="105"/>
          <w:sz w:val="20"/>
        </w:rPr>
        <w:t> </w:t>
      </w:r>
      <w:r>
        <w:rPr>
          <w:w w:val="105"/>
          <w:sz w:val="20"/>
        </w:rPr>
        <w:t>of trees</w:t>
      </w:r>
      <w:r>
        <w:rPr>
          <w:spacing w:val="-10"/>
          <w:w w:val="105"/>
          <w:sz w:val="20"/>
        </w:rPr>
        <w:t> </w:t>
      </w:r>
      <w:r>
        <w:rPr>
          <w:w w:val="105"/>
          <w:sz w:val="20"/>
        </w:rPr>
        <w:t>that</w:t>
      </w:r>
      <w:r>
        <w:rPr>
          <w:spacing w:val="-10"/>
          <w:w w:val="105"/>
          <w:sz w:val="20"/>
        </w:rPr>
        <w:t> </w:t>
      </w:r>
      <w:r>
        <w:rPr>
          <w:w w:val="105"/>
          <w:sz w:val="20"/>
        </w:rPr>
        <w:t>block</w:t>
      </w:r>
      <w:r>
        <w:rPr>
          <w:spacing w:val="-9"/>
          <w:w w:val="105"/>
          <w:sz w:val="20"/>
        </w:rPr>
        <w:t> </w:t>
      </w:r>
      <w:r>
        <w:rPr>
          <w:w w:val="105"/>
          <w:sz w:val="20"/>
        </w:rPr>
        <w:t>emergency</w:t>
      </w:r>
      <w:r>
        <w:rPr>
          <w:spacing w:val="-10"/>
          <w:w w:val="105"/>
          <w:sz w:val="20"/>
        </w:rPr>
        <w:t> </w:t>
      </w:r>
      <w:r>
        <w:rPr>
          <w:w w:val="105"/>
          <w:sz w:val="20"/>
        </w:rPr>
        <w:t>access.</w:t>
      </w:r>
      <w:r>
        <w:rPr>
          <w:spacing w:val="-9"/>
          <w:w w:val="105"/>
          <w:sz w:val="20"/>
        </w:rPr>
        <w:t> </w:t>
      </w:r>
      <w:r>
        <w:rPr>
          <w:w w:val="105"/>
          <w:sz w:val="20"/>
        </w:rPr>
        <w:t>Once</w:t>
      </w:r>
      <w:r>
        <w:rPr>
          <w:spacing w:val="-10"/>
          <w:w w:val="105"/>
          <w:sz w:val="20"/>
        </w:rPr>
        <w:t> </w:t>
      </w:r>
      <w:r>
        <w:rPr>
          <w:w w:val="105"/>
          <w:sz w:val="20"/>
        </w:rPr>
        <w:t>the</w:t>
      </w:r>
      <w:r>
        <w:rPr>
          <w:spacing w:val="-9"/>
          <w:w w:val="105"/>
          <w:sz w:val="20"/>
        </w:rPr>
        <w:t> </w:t>
      </w:r>
      <w:r>
        <w:rPr>
          <w:w w:val="105"/>
          <w:sz w:val="20"/>
        </w:rPr>
        <w:t>tree</w:t>
      </w:r>
      <w:r>
        <w:rPr>
          <w:spacing w:val="-10"/>
          <w:w w:val="105"/>
          <w:sz w:val="20"/>
        </w:rPr>
        <w:t> </w:t>
      </w:r>
      <w:r>
        <w:rPr>
          <w:spacing w:val="-3"/>
          <w:w w:val="105"/>
          <w:sz w:val="20"/>
        </w:rPr>
        <w:t>material</w:t>
      </w:r>
      <w:r>
        <w:rPr>
          <w:spacing w:val="-9"/>
          <w:w w:val="105"/>
          <w:sz w:val="20"/>
        </w:rPr>
        <w:t> </w:t>
      </w:r>
      <w:r>
        <w:rPr>
          <w:w w:val="105"/>
          <w:sz w:val="20"/>
        </w:rPr>
        <w:t>has</w:t>
      </w:r>
      <w:r>
        <w:rPr>
          <w:spacing w:val="-10"/>
          <w:w w:val="105"/>
          <w:sz w:val="20"/>
        </w:rPr>
        <w:t> </w:t>
      </w:r>
      <w:r>
        <w:rPr>
          <w:w w:val="105"/>
          <w:sz w:val="20"/>
        </w:rPr>
        <w:t>been</w:t>
      </w:r>
      <w:r>
        <w:rPr>
          <w:spacing w:val="-10"/>
          <w:w w:val="105"/>
          <w:sz w:val="20"/>
        </w:rPr>
        <w:t> </w:t>
      </w:r>
      <w:r>
        <w:rPr>
          <w:w w:val="105"/>
          <w:sz w:val="20"/>
        </w:rPr>
        <w:t>cleared,</w:t>
      </w:r>
      <w:r>
        <w:rPr>
          <w:spacing w:val="-9"/>
          <w:w w:val="105"/>
          <w:sz w:val="20"/>
        </w:rPr>
        <w:t> </w:t>
      </w:r>
      <w:r>
        <w:rPr>
          <w:w w:val="105"/>
          <w:sz w:val="20"/>
        </w:rPr>
        <w:t>it</w:t>
      </w:r>
      <w:r>
        <w:rPr>
          <w:spacing w:val="-10"/>
          <w:w w:val="105"/>
          <w:sz w:val="20"/>
        </w:rPr>
        <w:t> </w:t>
      </w:r>
      <w:r>
        <w:rPr>
          <w:w w:val="105"/>
          <w:sz w:val="20"/>
        </w:rPr>
        <w:t>is</w:t>
      </w:r>
      <w:r>
        <w:rPr>
          <w:spacing w:val="-9"/>
          <w:w w:val="105"/>
          <w:sz w:val="20"/>
        </w:rPr>
        <w:t> </w:t>
      </w:r>
      <w:r>
        <w:rPr>
          <w:w w:val="105"/>
          <w:sz w:val="20"/>
        </w:rPr>
        <w:t>unclear who is responsible for the disposal of that </w:t>
      </w:r>
      <w:r>
        <w:rPr>
          <w:spacing w:val="-3"/>
          <w:w w:val="105"/>
          <w:sz w:val="20"/>
        </w:rPr>
        <w:t>material. </w:t>
      </w:r>
      <w:r>
        <w:rPr>
          <w:w w:val="105"/>
          <w:sz w:val="20"/>
        </w:rPr>
        <w:t>Sometimes we throw it back over the</w:t>
      </w:r>
      <w:r>
        <w:rPr>
          <w:spacing w:val="-6"/>
          <w:w w:val="105"/>
          <w:sz w:val="20"/>
        </w:rPr>
        <w:t> </w:t>
      </w:r>
      <w:r>
        <w:rPr>
          <w:spacing w:val="-3"/>
          <w:w w:val="105"/>
          <w:sz w:val="20"/>
        </w:rPr>
        <w:t>fence.</w:t>
      </w:r>
      <w:r>
        <w:rPr>
          <w:spacing w:val="-6"/>
          <w:w w:val="105"/>
          <w:sz w:val="20"/>
        </w:rPr>
        <w:t> </w:t>
      </w:r>
      <w:r>
        <w:rPr>
          <w:w w:val="105"/>
          <w:sz w:val="20"/>
        </w:rPr>
        <w:t>Sometimes</w:t>
      </w:r>
      <w:r>
        <w:rPr>
          <w:spacing w:val="-5"/>
          <w:w w:val="105"/>
          <w:sz w:val="20"/>
        </w:rPr>
        <w:t> </w:t>
      </w:r>
      <w:r>
        <w:rPr>
          <w:w w:val="105"/>
          <w:sz w:val="20"/>
        </w:rPr>
        <w:t>we</w:t>
      </w:r>
      <w:r>
        <w:rPr>
          <w:spacing w:val="-6"/>
          <w:w w:val="105"/>
          <w:sz w:val="20"/>
        </w:rPr>
        <w:t> </w:t>
      </w:r>
      <w:r>
        <w:rPr>
          <w:w w:val="105"/>
          <w:sz w:val="20"/>
        </w:rPr>
        <w:t>drag</w:t>
      </w:r>
      <w:r>
        <w:rPr>
          <w:spacing w:val="-6"/>
          <w:w w:val="105"/>
          <w:sz w:val="20"/>
        </w:rPr>
        <w:t> </w:t>
      </w:r>
      <w:r>
        <w:rPr>
          <w:w w:val="105"/>
          <w:sz w:val="20"/>
        </w:rPr>
        <w:t>it</w:t>
      </w:r>
      <w:r>
        <w:rPr>
          <w:spacing w:val="-5"/>
          <w:w w:val="105"/>
          <w:sz w:val="20"/>
        </w:rPr>
        <w:t> </w:t>
      </w:r>
      <w:r>
        <w:rPr>
          <w:w w:val="105"/>
          <w:sz w:val="20"/>
        </w:rPr>
        <w:t>to</w:t>
      </w:r>
      <w:r>
        <w:rPr>
          <w:spacing w:val="-6"/>
          <w:w w:val="105"/>
          <w:sz w:val="20"/>
        </w:rPr>
        <w:t> </w:t>
      </w:r>
      <w:r>
        <w:rPr>
          <w:w w:val="105"/>
          <w:sz w:val="20"/>
        </w:rPr>
        <w:t>the</w:t>
      </w:r>
      <w:r>
        <w:rPr>
          <w:spacing w:val="-6"/>
          <w:w w:val="105"/>
          <w:sz w:val="20"/>
        </w:rPr>
        <w:t> </w:t>
      </w:r>
      <w:r>
        <w:rPr>
          <w:spacing w:val="-3"/>
          <w:w w:val="105"/>
          <w:sz w:val="20"/>
        </w:rPr>
        <w:t>nature</w:t>
      </w:r>
      <w:r>
        <w:rPr>
          <w:spacing w:val="-5"/>
          <w:w w:val="105"/>
          <w:sz w:val="20"/>
        </w:rPr>
        <w:t> </w:t>
      </w:r>
      <w:r>
        <w:rPr>
          <w:w w:val="105"/>
          <w:sz w:val="20"/>
        </w:rPr>
        <w:t>strip.</w:t>
      </w:r>
      <w:r>
        <w:rPr>
          <w:spacing w:val="-6"/>
          <w:w w:val="105"/>
          <w:sz w:val="20"/>
        </w:rPr>
        <w:t> </w:t>
      </w:r>
      <w:r>
        <w:rPr>
          <w:w w:val="105"/>
          <w:sz w:val="20"/>
        </w:rPr>
        <w:t>And</w:t>
      </w:r>
      <w:r>
        <w:rPr>
          <w:spacing w:val="-6"/>
          <w:w w:val="105"/>
          <w:sz w:val="20"/>
        </w:rPr>
        <w:t> </w:t>
      </w:r>
      <w:r>
        <w:rPr>
          <w:w w:val="105"/>
          <w:sz w:val="20"/>
        </w:rPr>
        <w:t>sometimes</w:t>
      </w:r>
      <w:r>
        <w:rPr>
          <w:spacing w:val="-5"/>
          <w:w w:val="105"/>
          <w:sz w:val="20"/>
        </w:rPr>
        <w:t> </w:t>
      </w:r>
      <w:r>
        <w:rPr>
          <w:w w:val="105"/>
          <w:sz w:val="20"/>
        </w:rPr>
        <w:t>we</w:t>
      </w:r>
      <w:r>
        <w:rPr>
          <w:spacing w:val="-6"/>
          <w:w w:val="105"/>
          <w:sz w:val="20"/>
        </w:rPr>
        <w:t> </w:t>
      </w:r>
      <w:r>
        <w:rPr>
          <w:w w:val="105"/>
          <w:sz w:val="20"/>
        </w:rPr>
        <w:t>leave</w:t>
      </w:r>
      <w:r>
        <w:rPr>
          <w:spacing w:val="-6"/>
          <w:w w:val="105"/>
          <w:sz w:val="20"/>
        </w:rPr>
        <w:t> </w:t>
      </w:r>
      <w:r>
        <w:rPr>
          <w:w w:val="105"/>
          <w:sz w:val="20"/>
        </w:rPr>
        <w:t>it</w:t>
      </w:r>
      <w:r>
        <w:rPr>
          <w:spacing w:val="-5"/>
          <w:w w:val="105"/>
          <w:sz w:val="20"/>
        </w:rPr>
        <w:t> </w:t>
      </w:r>
      <w:r>
        <w:rPr>
          <w:w w:val="105"/>
          <w:sz w:val="20"/>
        </w:rPr>
        <w:t>where</w:t>
      </w:r>
      <w:r>
        <w:rPr>
          <w:spacing w:val="-6"/>
          <w:w w:val="105"/>
          <w:sz w:val="20"/>
        </w:rPr>
        <w:t> </w:t>
      </w:r>
      <w:r>
        <w:rPr>
          <w:w w:val="105"/>
          <w:sz w:val="20"/>
        </w:rPr>
        <w:t>it lies. I believe there should be guidelines for who is responsible for this </w:t>
      </w:r>
      <w:r>
        <w:rPr>
          <w:spacing w:val="-3"/>
          <w:w w:val="105"/>
          <w:sz w:val="20"/>
        </w:rPr>
        <w:t>material</w:t>
      </w:r>
      <w:r>
        <w:rPr>
          <w:spacing w:val="-22"/>
          <w:w w:val="105"/>
          <w:sz w:val="20"/>
        </w:rPr>
        <w:t> </w:t>
      </w:r>
      <w:r>
        <w:rPr>
          <w:spacing w:val="-9"/>
          <w:w w:val="105"/>
          <w:sz w:val="20"/>
        </w:rPr>
        <w:t>…</w:t>
      </w:r>
      <w:r>
        <w:rPr>
          <w:spacing w:val="-9"/>
          <w:w w:val="105"/>
          <w:position w:val="7"/>
          <w:sz w:val="11"/>
        </w:rPr>
        <w:t>113</w:t>
      </w:r>
    </w:p>
    <w:p>
      <w:pPr>
        <w:pStyle w:val="ListParagraph"/>
        <w:numPr>
          <w:ilvl w:val="1"/>
          <w:numId w:val="16"/>
        </w:numPr>
        <w:tabs>
          <w:tab w:pos="2380" w:val="left" w:leader="none"/>
          <w:tab w:pos="2381" w:val="left" w:leader="none"/>
        </w:tabs>
        <w:spacing w:line="242" w:lineRule="auto" w:before="120" w:after="0"/>
        <w:ind w:left="2381" w:right="2210" w:hanging="794"/>
        <w:jc w:val="left"/>
        <w:rPr>
          <w:sz w:val="21"/>
        </w:rPr>
      </w:pPr>
      <w:r>
        <w:rPr>
          <w:sz w:val="21"/>
        </w:rPr>
        <w:t>Arborist Robert Mineo </w:t>
      </w:r>
      <w:r>
        <w:rPr>
          <w:spacing w:val="-3"/>
          <w:sz w:val="21"/>
        </w:rPr>
        <w:t>noted that </w:t>
      </w:r>
      <w:r>
        <w:rPr>
          <w:sz w:val="21"/>
        </w:rPr>
        <w:t>in some </w:t>
      </w:r>
      <w:r>
        <w:rPr>
          <w:spacing w:val="-3"/>
          <w:sz w:val="21"/>
        </w:rPr>
        <w:t>situations </w:t>
      </w:r>
      <w:r>
        <w:rPr>
          <w:sz w:val="21"/>
        </w:rPr>
        <w:t>a </w:t>
      </w:r>
      <w:r>
        <w:rPr>
          <w:spacing w:val="-3"/>
          <w:sz w:val="21"/>
        </w:rPr>
        <w:t>neighbour may want fruit </w:t>
      </w:r>
      <w:r>
        <w:rPr>
          <w:sz w:val="21"/>
        </w:rPr>
        <w:t>or </w:t>
      </w:r>
      <w:r>
        <w:rPr>
          <w:spacing w:val="-3"/>
          <w:sz w:val="21"/>
        </w:rPr>
        <w:t>branches (for </w:t>
      </w:r>
      <w:r>
        <w:rPr>
          <w:sz w:val="21"/>
        </w:rPr>
        <w:t>firewood) </w:t>
      </w:r>
      <w:r>
        <w:rPr>
          <w:spacing w:val="-3"/>
          <w:sz w:val="21"/>
        </w:rPr>
        <w:t>to </w:t>
      </w:r>
      <w:r>
        <w:rPr>
          <w:sz w:val="21"/>
        </w:rPr>
        <w:t>be</w:t>
      </w:r>
      <w:r>
        <w:rPr>
          <w:spacing w:val="9"/>
          <w:sz w:val="21"/>
        </w:rPr>
        <w:t> </w:t>
      </w:r>
      <w:r>
        <w:rPr>
          <w:spacing w:val="-5"/>
          <w:sz w:val="21"/>
        </w:rPr>
        <w:t>returned.</w:t>
      </w:r>
      <w:r>
        <w:rPr>
          <w:spacing w:val="-5"/>
          <w:position w:val="7"/>
          <w:sz w:val="12"/>
        </w:rPr>
        <w:t>114</w:t>
      </w:r>
    </w:p>
    <w:p>
      <w:pPr>
        <w:pStyle w:val="ListParagraph"/>
        <w:numPr>
          <w:ilvl w:val="1"/>
          <w:numId w:val="16"/>
        </w:numPr>
        <w:tabs>
          <w:tab w:pos="2381" w:val="left" w:leader="none"/>
          <w:tab w:pos="2382" w:val="left" w:leader="none"/>
        </w:tabs>
        <w:spacing w:line="242" w:lineRule="auto" w:before="122" w:after="0"/>
        <w:ind w:left="2381" w:right="1638" w:hanging="794"/>
        <w:jc w:val="left"/>
        <w:rPr>
          <w:sz w:val="21"/>
        </w:rPr>
      </w:pPr>
      <w:r>
        <w:rPr>
          <w:w w:val="105"/>
          <w:sz w:val="21"/>
        </w:rPr>
        <w:t>Another </w:t>
      </w:r>
      <w:r>
        <w:rPr>
          <w:spacing w:val="-3"/>
          <w:w w:val="105"/>
          <w:sz w:val="21"/>
        </w:rPr>
        <w:t>change </w:t>
      </w:r>
      <w:r>
        <w:rPr>
          <w:spacing w:val="-2"/>
          <w:w w:val="105"/>
          <w:sz w:val="21"/>
        </w:rPr>
        <w:t>commonly </w:t>
      </w:r>
      <w:r>
        <w:rPr>
          <w:w w:val="105"/>
          <w:sz w:val="21"/>
        </w:rPr>
        <w:t>suggested was modifying the law so </w:t>
      </w:r>
      <w:r>
        <w:rPr>
          <w:spacing w:val="-3"/>
          <w:w w:val="105"/>
          <w:sz w:val="21"/>
        </w:rPr>
        <w:t>that </w:t>
      </w:r>
      <w:r>
        <w:rPr>
          <w:w w:val="105"/>
          <w:sz w:val="21"/>
        </w:rPr>
        <w:t>the tree owner </w:t>
      </w:r>
      <w:r>
        <w:rPr>
          <w:spacing w:val="-3"/>
          <w:w w:val="105"/>
          <w:sz w:val="21"/>
        </w:rPr>
        <w:t>could</w:t>
      </w:r>
      <w:r>
        <w:rPr>
          <w:spacing w:val="-4"/>
          <w:w w:val="105"/>
          <w:sz w:val="21"/>
        </w:rPr>
        <w:t> </w:t>
      </w:r>
      <w:r>
        <w:rPr>
          <w:spacing w:val="-2"/>
          <w:w w:val="105"/>
          <w:sz w:val="21"/>
        </w:rPr>
        <w:t>not</w:t>
      </w:r>
      <w:r>
        <w:rPr>
          <w:spacing w:val="-4"/>
          <w:w w:val="105"/>
          <w:sz w:val="21"/>
        </w:rPr>
        <w:t> </w:t>
      </w:r>
      <w:r>
        <w:rPr>
          <w:w w:val="105"/>
          <w:sz w:val="21"/>
        </w:rPr>
        <w:t>object</w:t>
      </w:r>
      <w:r>
        <w:rPr>
          <w:spacing w:val="-4"/>
          <w:w w:val="105"/>
          <w:sz w:val="21"/>
        </w:rPr>
        <w:t> </w:t>
      </w:r>
      <w:r>
        <w:rPr>
          <w:spacing w:val="-3"/>
          <w:w w:val="105"/>
          <w:sz w:val="21"/>
        </w:rPr>
        <w:t>to </w:t>
      </w:r>
      <w:r>
        <w:rPr>
          <w:w w:val="105"/>
          <w:sz w:val="21"/>
        </w:rPr>
        <w:t>or</w:t>
      </w:r>
      <w:r>
        <w:rPr>
          <w:spacing w:val="-4"/>
          <w:w w:val="105"/>
          <w:sz w:val="21"/>
        </w:rPr>
        <w:t> </w:t>
      </w:r>
      <w:r>
        <w:rPr>
          <w:spacing w:val="-3"/>
          <w:w w:val="105"/>
          <w:sz w:val="21"/>
        </w:rPr>
        <w:t>hinder</w:t>
      </w:r>
      <w:r>
        <w:rPr>
          <w:spacing w:val="-4"/>
          <w:w w:val="105"/>
          <w:sz w:val="21"/>
        </w:rPr>
        <w:t> </w:t>
      </w:r>
      <w:r>
        <w:rPr>
          <w:spacing w:val="-3"/>
          <w:w w:val="105"/>
          <w:sz w:val="21"/>
        </w:rPr>
        <w:t>any</w:t>
      </w:r>
      <w:r>
        <w:rPr>
          <w:spacing w:val="-4"/>
          <w:w w:val="105"/>
          <w:sz w:val="21"/>
        </w:rPr>
        <w:t> </w:t>
      </w:r>
      <w:r>
        <w:rPr>
          <w:w w:val="105"/>
          <w:sz w:val="21"/>
        </w:rPr>
        <w:t>tree</w:t>
      </w:r>
      <w:r>
        <w:rPr>
          <w:spacing w:val="-3"/>
          <w:w w:val="105"/>
          <w:sz w:val="21"/>
        </w:rPr>
        <w:t> </w:t>
      </w:r>
      <w:r>
        <w:rPr>
          <w:w w:val="105"/>
          <w:sz w:val="21"/>
        </w:rPr>
        <w:t>works</w:t>
      </w:r>
      <w:r>
        <w:rPr>
          <w:spacing w:val="-4"/>
          <w:w w:val="105"/>
          <w:sz w:val="21"/>
        </w:rPr>
        <w:t> </w:t>
      </w:r>
      <w:r>
        <w:rPr>
          <w:w w:val="105"/>
          <w:sz w:val="21"/>
        </w:rPr>
        <w:t>undertaken</w:t>
      </w:r>
      <w:r>
        <w:rPr>
          <w:spacing w:val="-4"/>
          <w:w w:val="105"/>
          <w:sz w:val="21"/>
        </w:rPr>
        <w:t> </w:t>
      </w:r>
      <w:r>
        <w:rPr>
          <w:w w:val="105"/>
          <w:sz w:val="21"/>
        </w:rPr>
        <w:t>by</w:t>
      </w:r>
      <w:r>
        <w:rPr>
          <w:spacing w:val="-3"/>
          <w:w w:val="105"/>
          <w:sz w:val="21"/>
        </w:rPr>
        <w:t> </w:t>
      </w:r>
      <w:r>
        <w:rPr>
          <w:w w:val="105"/>
          <w:sz w:val="21"/>
        </w:rPr>
        <w:t>the</w:t>
      </w:r>
      <w:r>
        <w:rPr>
          <w:spacing w:val="-4"/>
          <w:w w:val="105"/>
          <w:sz w:val="21"/>
        </w:rPr>
        <w:t> </w:t>
      </w:r>
      <w:r>
        <w:rPr>
          <w:w w:val="105"/>
          <w:sz w:val="21"/>
        </w:rPr>
        <w:t>affected</w:t>
      </w:r>
      <w:r>
        <w:rPr>
          <w:spacing w:val="-4"/>
          <w:w w:val="105"/>
          <w:sz w:val="21"/>
        </w:rPr>
        <w:t> </w:t>
      </w:r>
      <w:r>
        <w:rPr>
          <w:spacing w:val="-3"/>
          <w:w w:val="105"/>
          <w:sz w:val="21"/>
        </w:rPr>
        <w:t>neighbour</w:t>
      </w:r>
      <w:r>
        <w:rPr>
          <w:spacing w:val="-4"/>
          <w:w w:val="105"/>
          <w:sz w:val="21"/>
        </w:rPr>
        <w:t> </w:t>
      </w:r>
      <w:r>
        <w:rPr>
          <w:w w:val="105"/>
          <w:sz w:val="21"/>
        </w:rPr>
        <w:t>in</w:t>
      </w:r>
      <w:r>
        <w:rPr>
          <w:spacing w:val="-3"/>
          <w:w w:val="105"/>
          <w:sz w:val="21"/>
        </w:rPr>
        <w:t> </w:t>
      </w:r>
      <w:r>
        <w:rPr>
          <w:w w:val="105"/>
          <w:sz w:val="21"/>
        </w:rPr>
        <w:t>the course of </w:t>
      </w:r>
      <w:r>
        <w:rPr>
          <w:spacing w:val="-6"/>
          <w:w w:val="105"/>
          <w:sz w:val="21"/>
        </w:rPr>
        <w:t>abating.</w:t>
      </w:r>
      <w:r>
        <w:rPr>
          <w:spacing w:val="-6"/>
          <w:w w:val="105"/>
          <w:position w:val="7"/>
          <w:sz w:val="12"/>
        </w:rPr>
        <w:t>115 </w:t>
      </w:r>
      <w:r>
        <w:rPr>
          <w:w w:val="105"/>
          <w:sz w:val="21"/>
        </w:rPr>
        <w:t>Some people suggested </w:t>
      </w:r>
      <w:r>
        <w:rPr>
          <w:spacing w:val="-3"/>
          <w:w w:val="105"/>
          <w:sz w:val="21"/>
        </w:rPr>
        <w:t>introducing </w:t>
      </w:r>
      <w:r>
        <w:rPr>
          <w:w w:val="105"/>
          <w:sz w:val="21"/>
        </w:rPr>
        <w:t>a process whereby the affected </w:t>
      </w:r>
      <w:r>
        <w:rPr>
          <w:spacing w:val="-3"/>
          <w:w w:val="105"/>
          <w:sz w:val="21"/>
        </w:rPr>
        <w:t>neighbour </w:t>
      </w:r>
      <w:r>
        <w:rPr>
          <w:w w:val="105"/>
          <w:sz w:val="21"/>
        </w:rPr>
        <w:t>gives </w:t>
      </w:r>
      <w:r>
        <w:rPr>
          <w:spacing w:val="-3"/>
          <w:w w:val="105"/>
          <w:sz w:val="21"/>
        </w:rPr>
        <w:t>notice to </w:t>
      </w:r>
      <w:r>
        <w:rPr>
          <w:w w:val="105"/>
          <w:sz w:val="21"/>
        </w:rPr>
        <w:t>the tree </w:t>
      </w:r>
      <w:r>
        <w:rPr>
          <w:spacing w:val="-4"/>
          <w:w w:val="105"/>
          <w:sz w:val="21"/>
        </w:rPr>
        <w:t>owner, </w:t>
      </w:r>
      <w:r>
        <w:rPr>
          <w:spacing w:val="-3"/>
          <w:w w:val="105"/>
          <w:sz w:val="21"/>
        </w:rPr>
        <w:t>similar to </w:t>
      </w:r>
      <w:r>
        <w:rPr>
          <w:w w:val="105"/>
          <w:sz w:val="21"/>
        </w:rPr>
        <w:t>a Fencing Notice under section </w:t>
      </w:r>
      <w:r>
        <w:rPr>
          <w:spacing w:val="-9"/>
          <w:w w:val="105"/>
          <w:sz w:val="21"/>
        </w:rPr>
        <w:t>13 </w:t>
      </w:r>
      <w:r>
        <w:rPr>
          <w:w w:val="105"/>
          <w:sz w:val="21"/>
        </w:rPr>
        <w:t>of the </w:t>
      </w:r>
      <w:r>
        <w:rPr>
          <w:i/>
          <w:w w:val="105"/>
          <w:sz w:val="21"/>
        </w:rPr>
        <w:t>Fences Act </w:t>
      </w:r>
      <w:r>
        <w:rPr>
          <w:i/>
          <w:spacing w:val="-4"/>
          <w:w w:val="105"/>
          <w:sz w:val="21"/>
        </w:rPr>
        <w:t>1968 </w:t>
      </w:r>
      <w:r>
        <w:rPr>
          <w:spacing w:val="-4"/>
          <w:w w:val="105"/>
          <w:sz w:val="21"/>
        </w:rPr>
        <w:t>(Vic).</w:t>
      </w:r>
      <w:r>
        <w:rPr>
          <w:spacing w:val="-4"/>
          <w:w w:val="105"/>
          <w:position w:val="7"/>
          <w:sz w:val="12"/>
        </w:rPr>
        <w:t>116 </w:t>
      </w:r>
      <w:r>
        <w:rPr>
          <w:w w:val="105"/>
          <w:sz w:val="21"/>
        </w:rPr>
        <w:t>A Notice </w:t>
      </w:r>
      <w:r>
        <w:rPr>
          <w:spacing w:val="-3"/>
          <w:w w:val="105"/>
          <w:sz w:val="21"/>
        </w:rPr>
        <w:t>to </w:t>
      </w:r>
      <w:r>
        <w:rPr>
          <w:w w:val="105"/>
          <w:sz w:val="21"/>
        </w:rPr>
        <w:t>Fence is a </w:t>
      </w:r>
      <w:r>
        <w:rPr>
          <w:spacing w:val="-3"/>
          <w:w w:val="105"/>
          <w:sz w:val="21"/>
        </w:rPr>
        <w:t>formal notice that </w:t>
      </w:r>
      <w:r>
        <w:rPr>
          <w:w w:val="105"/>
          <w:sz w:val="21"/>
        </w:rPr>
        <w:t>a person can</w:t>
      </w:r>
      <w:r>
        <w:rPr>
          <w:spacing w:val="35"/>
          <w:w w:val="105"/>
          <w:sz w:val="21"/>
        </w:rPr>
        <w:t> </w:t>
      </w:r>
      <w:r>
        <w:rPr>
          <w:w w:val="105"/>
          <w:sz w:val="21"/>
        </w:rPr>
        <w:t>give</w:t>
      </w:r>
    </w:p>
    <w:p>
      <w:pPr>
        <w:pStyle w:val="BodyText"/>
        <w:rPr>
          <w:sz w:val="20"/>
        </w:rPr>
      </w:pPr>
    </w:p>
    <w:p>
      <w:pPr>
        <w:pStyle w:val="BodyText"/>
        <w:spacing w:before="6"/>
        <w:rPr>
          <w:sz w:val="13"/>
        </w:rPr>
      </w:pPr>
      <w:r>
        <w:rPr/>
        <w:pict>
          <v:line style="position:absolute;mso-position-horizontal-relative:page;mso-position-vertical-relative:paragraph;z-index:5936;mso-wrap-distance-left:0;mso-wrap-distance-right:0" from="79.370102pt,10.708196pt" to="515.905102pt,10.708196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98"/>
        </w:numPr>
        <w:tabs>
          <w:tab w:pos="2380" w:val="left" w:leader="none"/>
          <w:tab w:pos="2382" w:val="left" w:leader="none"/>
        </w:tabs>
        <w:spacing w:line="240" w:lineRule="auto" w:before="48" w:after="0"/>
        <w:ind w:left="2381" w:right="0" w:hanging="794"/>
        <w:jc w:val="left"/>
        <w:rPr>
          <w:sz w:val="13"/>
        </w:rPr>
      </w:pPr>
      <w:r>
        <w:rPr>
          <w:w w:val="105"/>
          <w:sz w:val="13"/>
        </w:rPr>
        <w:t>Submissions</w:t>
      </w:r>
      <w:r>
        <w:rPr>
          <w:spacing w:val="4"/>
          <w:w w:val="105"/>
          <w:sz w:val="13"/>
        </w:rPr>
        <w:t> </w:t>
      </w:r>
      <w:r>
        <w:rPr>
          <w:w w:val="105"/>
          <w:sz w:val="13"/>
        </w:rPr>
        <w:t>10</w:t>
      </w:r>
      <w:r>
        <w:rPr>
          <w:spacing w:val="5"/>
          <w:w w:val="105"/>
          <w:sz w:val="13"/>
        </w:rPr>
        <w:t> </w:t>
      </w:r>
      <w:r>
        <w:rPr>
          <w:w w:val="105"/>
          <w:sz w:val="13"/>
        </w:rPr>
        <w:t>(Professor</w:t>
      </w:r>
      <w:r>
        <w:rPr>
          <w:spacing w:val="4"/>
          <w:w w:val="105"/>
          <w:sz w:val="13"/>
        </w:rPr>
        <w:t> </w:t>
      </w:r>
      <w:r>
        <w:rPr>
          <w:w w:val="105"/>
          <w:sz w:val="13"/>
        </w:rPr>
        <w:t>Phillip</w:t>
      </w:r>
      <w:r>
        <w:rPr>
          <w:spacing w:val="5"/>
          <w:w w:val="105"/>
          <w:sz w:val="13"/>
        </w:rPr>
        <w:t> </w:t>
      </w:r>
      <w:r>
        <w:rPr>
          <w:w w:val="105"/>
          <w:sz w:val="13"/>
        </w:rPr>
        <w:t>Hamilton),</w:t>
      </w:r>
      <w:r>
        <w:rPr>
          <w:spacing w:val="4"/>
          <w:w w:val="105"/>
          <w:sz w:val="13"/>
        </w:rPr>
        <w:t> </w:t>
      </w:r>
      <w:r>
        <w:rPr>
          <w:w w:val="105"/>
          <w:sz w:val="13"/>
        </w:rPr>
        <w:t>38</w:t>
      </w:r>
      <w:r>
        <w:rPr>
          <w:spacing w:val="5"/>
          <w:w w:val="105"/>
          <w:sz w:val="13"/>
        </w:rPr>
        <w:t> </w:t>
      </w:r>
      <w:r>
        <w:rPr>
          <w:spacing w:val="3"/>
          <w:w w:val="105"/>
          <w:sz w:val="13"/>
        </w:rPr>
        <w:t>(L.</w:t>
      </w:r>
      <w:r>
        <w:rPr>
          <w:spacing w:val="4"/>
          <w:w w:val="105"/>
          <w:sz w:val="13"/>
        </w:rPr>
        <w:t> </w:t>
      </w:r>
      <w:r>
        <w:rPr>
          <w:spacing w:val="2"/>
          <w:w w:val="105"/>
          <w:sz w:val="13"/>
        </w:rPr>
        <w:t>Barry</w:t>
      </w:r>
      <w:r>
        <w:rPr>
          <w:spacing w:val="5"/>
          <w:w w:val="105"/>
          <w:sz w:val="13"/>
        </w:rPr>
        <w:t> </w:t>
      </w:r>
      <w:r>
        <w:rPr>
          <w:w w:val="105"/>
          <w:sz w:val="13"/>
        </w:rPr>
        <w:t>Wollmer);</w:t>
      </w:r>
      <w:r>
        <w:rPr>
          <w:spacing w:val="4"/>
          <w:w w:val="105"/>
          <w:sz w:val="13"/>
        </w:rPr>
        <w:t> </w:t>
      </w:r>
      <w:r>
        <w:rPr>
          <w:w w:val="105"/>
          <w:sz w:val="13"/>
        </w:rPr>
        <w:t>Survey</w:t>
      </w:r>
      <w:r>
        <w:rPr>
          <w:spacing w:val="5"/>
          <w:w w:val="105"/>
          <w:sz w:val="13"/>
        </w:rPr>
        <w:t> </w:t>
      </w:r>
      <w:r>
        <w:rPr>
          <w:w w:val="105"/>
          <w:sz w:val="13"/>
        </w:rPr>
        <w:t>Respondents</w:t>
      </w:r>
      <w:r>
        <w:rPr>
          <w:spacing w:val="4"/>
          <w:w w:val="105"/>
          <w:sz w:val="13"/>
        </w:rPr>
        <w:t> </w:t>
      </w:r>
      <w:r>
        <w:rPr>
          <w:w w:val="105"/>
          <w:sz w:val="13"/>
        </w:rPr>
        <w:t>72,</w:t>
      </w:r>
      <w:r>
        <w:rPr>
          <w:spacing w:val="5"/>
          <w:w w:val="105"/>
          <w:sz w:val="13"/>
        </w:rPr>
        <w:t> </w:t>
      </w:r>
      <w:r>
        <w:rPr>
          <w:spacing w:val="-7"/>
          <w:w w:val="105"/>
          <w:sz w:val="13"/>
        </w:rPr>
        <w:t>117.</w:t>
      </w:r>
    </w:p>
    <w:p>
      <w:pPr>
        <w:pStyle w:val="ListParagraph"/>
        <w:numPr>
          <w:ilvl w:val="0"/>
          <w:numId w:val="98"/>
        </w:numPr>
        <w:tabs>
          <w:tab w:pos="2380" w:val="left" w:leader="none"/>
          <w:tab w:pos="2382" w:val="left" w:leader="none"/>
        </w:tabs>
        <w:spacing w:line="240" w:lineRule="auto" w:before="1" w:after="0"/>
        <w:ind w:left="2381" w:right="122" w:hanging="794"/>
        <w:jc w:val="left"/>
        <w:rPr>
          <w:sz w:val="13"/>
        </w:rPr>
      </w:pPr>
      <w:r>
        <w:rPr>
          <w:w w:val="105"/>
          <w:sz w:val="13"/>
        </w:rPr>
        <w:t>Submissions 5 </w:t>
      </w:r>
      <w:r>
        <w:rPr>
          <w:spacing w:val="2"/>
          <w:w w:val="105"/>
          <w:sz w:val="13"/>
        </w:rPr>
        <w:t>(Name </w:t>
      </w:r>
      <w:r>
        <w:rPr>
          <w:w w:val="105"/>
          <w:sz w:val="13"/>
        </w:rPr>
        <w:t>withheld), 9 </w:t>
      </w:r>
      <w:r>
        <w:rPr>
          <w:spacing w:val="3"/>
          <w:w w:val="105"/>
          <w:sz w:val="13"/>
        </w:rPr>
        <w:t>(Dr </w:t>
      </w:r>
      <w:r>
        <w:rPr>
          <w:w w:val="105"/>
          <w:sz w:val="13"/>
        </w:rPr>
        <w:t>Karen Smith), </w:t>
      </w:r>
      <w:r>
        <w:rPr>
          <w:spacing w:val="-6"/>
          <w:w w:val="105"/>
          <w:sz w:val="13"/>
        </w:rPr>
        <w:t>11 </w:t>
      </w:r>
      <w:r>
        <w:rPr>
          <w:spacing w:val="2"/>
          <w:w w:val="105"/>
          <w:sz w:val="13"/>
        </w:rPr>
        <w:t>(Name </w:t>
      </w:r>
      <w:r>
        <w:rPr>
          <w:w w:val="105"/>
          <w:sz w:val="13"/>
        </w:rPr>
        <w:t>withheld), </w:t>
      </w:r>
      <w:r>
        <w:rPr>
          <w:spacing w:val="-3"/>
          <w:w w:val="105"/>
          <w:sz w:val="13"/>
        </w:rPr>
        <w:t>19 </w:t>
      </w:r>
      <w:r>
        <w:rPr>
          <w:spacing w:val="2"/>
          <w:w w:val="105"/>
          <w:sz w:val="13"/>
        </w:rPr>
        <w:t>(Name </w:t>
      </w:r>
      <w:r>
        <w:rPr>
          <w:w w:val="105"/>
          <w:sz w:val="13"/>
        </w:rPr>
        <w:t>withheld), 21 (Pointon Partners </w:t>
      </w:r>
      <w:r>
        <w:rPr>
          <w:spacing w:val="2"/>
          <w:w w:val="105"/>
          <w:sz w:val="13"/>
        </w:rPr>
        <w:t>Lawyers), </w:t>
      </w:r>
      <w:r>
        <w:rPr>
          <w:w w:val="105"/>
          <w:sz w:val="13"/>
        </w:rPr>
        <w:t>23 </w:t>
      </w:r>
      <w:r>
        <w:rPr>
          <w:spacing w:val="2"/>
          <w:w w:val="105"/>
          <w:sz w:val="13"/>
        </w:rPr>
        <w:t>(Name </w:t>
      </w:r>
      <w:r>
        <w:rPr>
          <w:w w:val="105"/>
          <w:sz w:val="13"/>
        </w:rPr>
        <w:t>withheld),</w:t>
      </w:r>
      <w:r>
        <w:rPr>
          <w:spacing w:val="5"/>
          <w:w w:val="105"/>
          <w:sz w:val="13"/>
        </w:rPr>
        <w:t> </w:t>
      </w:r>
      <w:r>
        <w:rPr>
          <w:w w:val="105"/>
          <w:sz w:val="13"/>
        </w:rPr>
        <w:t>38</w:t>
      </w:r>
      <w:r>
        <w:rPr>
          <w:spacing w:val="5"/>
          <w:w w:val="105"/>
          <w:sz w:val="13"/>
        </w:rPr>
        <w:t> </w:t>
      </w:r>
      <w:r>
        <w:rPr>
          <w:spacing w:val="3"/>
          <w:w w:val="105"/>
          <w:sz w:val="13"/>
        </w:rPr>
        <w:t>(L.</w:t>
      </w:r>
      <w:r>
        <w:rPr>
          <w:spacing w:val="5"/>
          <w:w w:val="105"/>
          <w:sz w:val="13"/>
        </w:rPr>
        <w:t> </w:t>
      </w:r>
      <w:r>
        <w:rPr>
          <w:spacing w:val="2"/>
          <w:w w:val="105"/>
          <w:sz w:val="13"/>
        </w:rPr>
        <w:t>Barry</w:t>
      </w:r>
      <w:r>
        <w:rPr>
          <w:spacing w:val="6"/>
          <w:w w:val="105"/>
          <w:sz w:val="13"/>
        </w:rPr>
        <w:t> </w:t>
      </w:r>
      <w:r>
        <w:rPr>
          <w:w w:val="105"/>
          <w:sz w:val="13"/>
        </w:rPr>
        <w:t>Wollmer);</w:t>
      </w:r>
      <w:r>
        <w:rPr>
          <w:spacing w:val="5"/>
          <w:w w:val="105"/>
          <w:sz w:val="13"/>
        </w:rPr>
        <w:t> </w:t>
      </w:r>
      <w:r>
        <w:rPr>
          <w:w w:val="105"/>
          <w:sz w:val="13"/>
        </w:rPr>
        <w:t>Consultation</w:t>
      </w:r>
      <w:r>
        <w:rPr>
          <w:spacing w:val="5"/>
          <w:w w:val="105"/>
          <w:sz w:val="13"/>
        </w:rPr>
        <w:t> </w:t>
      </w:r>
      <w:r>
        <w:rPr>
          <w:w w:val="105"/>
          <w:sz w:val="13"/>
        </w:rPr>
        <w:t>4</w:t>
      </w:r>
      <w:r>
        <w:rPr>
          <w:spacing w:val="6"/>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6"/>
          <w:w w:val="105"/>
          <w:sz w:val="13"/>
        </w:rPr>
        <w:t> </w:t>
      </w:r>
      <w:r>
        <w:rPr>
          <w:w w:val="105"/>
          <w:sz w:val="13"/>
        </w:rPr>
        <w:t>discussion</w:t>
      </w:r>
      <w:r>
        <w:rPr>
          <w:spacing w:val="5"/>
          <w:w w:val="105"/>
          <w:sz w:val="13"/>
        </w:rPr>
        <w:t> </w:t>
      </w:r>
      <w:r>
        <w:rPr>
          <w:w w:val="105"/>
          <w:sz w:val="13"/>
        </w:rPr>
        <w:t>at</w:t>
      </w:r>
      <w:r>
        <w:rPr>
          <w:spacing w:val="5"/>
          <w:w w:val="105"/>
          <w:sz w:val="13"/>
        </w:rPr>
        <w:t> </w:t>
      </w:r>
      <w:r>
        <w:rPr>
          <w:spacing w:val="4"/>
          <w:w w:val="105"/>
          <w:sz w:val="13"/>
        </w:rPr>
        <w:t>VTIO</w:t>
      </w:r>
      <w:r>
        <w:rPr>
          <w:spacing w:val="6"/>
          <w:w w:val="105"/>
          <w:sz w:val="13"/>
        </w:rPr>
        <w:t> </w:t>
      </w:r>
      <w:r>
        <w:rPr>
          <w:w w:val="105"/>
          <w:sz w:val="13"/>
        </w:rPr>
        <w:t>ArborCamp2018).</w:t>
      </w:r>
    </w:p>
    <w:p>
      <w:pPr>
        <w:pStyle w:val="ListParagraph"/>
        <w:numPr>
          <w:ilvl w:val="0"/>
          <w:numId w:val="98"/>
        </w:numPr>
        <w:tabs>
          <w:tab w:pos="2380" w:val="left" w:leader="none"/>
          <w:tab w:pos="2382" w:val="left" w:leader="none"/>
        </w:tabs>
        <w:spacing w:line="240" w:lineRule="auto" w:before="3" w:after="0"/>
        <w:ind w:left="2381" w:right="0" w:hanging="794"/>
        <w:jc w:val="left"/>
        <w:rPr>
          <w:sz w:val="13"/>
        </w:rPr>
      </w:pPr>
      <w:r>
        <w:rPr>
          <w:w w:val="105"/>
          <w:sz w:val="13"/>
        </w:rPr>
        <w:t>Confidential</w:t>
      </w:r>
      <w:r>
        <w:rPr>
          <w:spacing w:val="4"/>
          <w:w w:val="105"/>
          <w:sz w:val="13"/>
        </w:rPr>
        <w:t> </w:t>
      </w:r>
      <w:r>
        <w:rPr>
          <w:w w:val="105"/>
          <w:sz w:val="13"/>
        </w:rPr>
        <w:t>submission.</w:t>
      </w:r>
    </w:p>
    <w:p>
      <w:pPr>
        <w:pStyle w:val="ListParagraph"/>
        <w:numPr>
          <w:ilvl w:val="0"/>
          <w:numId w:val="98"/>
        </w:numPr>
        <w:tabs>
          <w:tab w:pos="2380" w:val="left" w:leader="none"/>
          <w:tab w:pos="2382" w:val="left" w:leader="none"/>
        </w:tabs>
        <w:spacing w:line="240" w:lineRule="auto" w:before="1" w:after="0"/>
        <w:ind w:left="2381" w:right="0" w:hanging="794"/>
        <w:jc w:val="left"/>
        <w:rPr>
          <w:sz w:val="13"/>
        </w:rPr>
      </w:pPr>
      <w:r>
        <w:rPr>
          <w:w w:val="105"/>
          <w:sz w:val="13"/>
        </w:rPr>
        <w:t>Submissions 5 </w:t>
      </w:r>
      <w:r>
        <w:rPr>
          <w:spacing w:val="2"/>
          <w:w w:val="105"/>
          <w:sz w:val="13"/>
        </w:rPr>
        <w:t>(Name </w:t>
      </w:r>
      <w:r>
        <w:rPr>
          <w:w w:val="105"/>
          <w:sz w:val="13"/>
        </w:rPr>
        <w:t>withheld), 6 </w:t>
      </w:r>
      <w:r>
        <w:rPr>
          <w:spacing w:val="2"/>
          <w:w w:val="105"/>
          <w:sz w:val="13"/>
        </w:rPr>
        <w:t>(Name </w:t>
      </w:r>
      <w:r>
        <w:rPr>
          <w:w w:val="105"/>
          <w:sz w:val="13"/>
        </w:rPr>
        <w:t>withheld), 10 (Professor Phillip Hamilton), </w:t>
      </w:r>
      <w:r>
        <w:rPr>
          <w:spacing w:val="-3"/>
          <w:w w:val="105"/>
          <w:sz w:val="13"/>
        </w:rPr>
        <w:t>19 </w:t>
      </w:r>
      <w:r>
        <w:rPr>
          <w:spacing w:val="2"/>
          <w:w w:val="105"/>
          <w:sz w:val="13"/>
        </w:rPr>
        <w:t>(Name </w:t>
      </w:r>
      <w:r>
        <w:rPr>
          <w:w w:val="105"/>
          <w:sz w:val="13"/>
        </w:rPr>
        <w:t>withheld), 23 </w:t>
      </w:r>
      <w:r>
        <w:rPr>
          <w:spacing w:val="2"/>
          <w:w w:val="105"/>
          <w:sz w:val="13"/>
        </w:rPr>
        <w:t>(Name </w:t>
      </w:r>
      <w:r>
        <w:rPr>
          <w:w w:val="105"/>
          <w:sz w:val="13"/>
        </w:rPr>
        <w:t>withheld), 38 </w:t>
      </w:r>
      <w:r>
        <w:rPr>
          <w:spacing w:val="3"/>
          <w:w w:val="105"/>
          <w:sz w:val="13"/>
        </w:rPr>
        <w:t>(L. </w:t>
      </w:r>
      <w:r>
        <w:rPr>
          <w:spacing w:val="2"/>
          <w:w w:val="105"/>
          <w:sz w:val="13"/>
        </w:rPr>
        <w:t>Barry </w:t>
      </w:r>
      <w:r>
        <w:rPr>
          <w:w w:val="105"/>
          <w:sz w:val="13"/>
        </w:rPr>
        <w:t>Wollmer);</w:t>
      </w:r>
      <w:r>
        <w:rPr>
          <w:spacing w:val="5"/>
          <w:w w:val="105"/>
          <w:sz w:val="13"/>
        </w:rPr>
        <w:t> </w:t>
      </w:r>
      <w:r>
        <w:rPr>
          <w:w w:val="105"/>
          <w:sz w:val="13"/>
        </w:rPr>
        <w:t>Consultations</w:t>
      </w:r>
      <w:r>
        <w:rPr>
          <w:spacing w:val="6"/>
          <w:w w:val="105"/>
          <w:sz w:val="13"/>
        </w:rPr>
        <w:t> </w:t>
      </w:r>
      <w:r>
        <w:rPr>
          <w:w w:val="105"/>
          <w:sz w:val="13"/>
        </w:rPr>
        <w:t>4</w:t>
      </w:r>
      <w:r>
        <w:rPr>
          <w:spacing w:val="6"/>
          <w:w w:val="105"/>
          <w:sz w:val="13"/>
        </w:rPr>
        <w:t> </w:t>
      </w:r>
      <w:r>
        <w:rPr>
          <w:w w:val="105"/>
          <w:sz w:val="13"/>
        </w:rPr>
        <w:t>(Participants</w:t>
      </w:r>
      <w:r>
        <w:rPr>
          <w:spacing w:val="6"/>
          <w:w w:val="105"/>
          <w:sz w:val="13"/>
        </w:rPr>
        <w:t> </w:t>
      </w:r>
      <w:r>
        <w:rPr>
          <w:w w:val="105"/>
          <w:sz w:val="13"/>
        </w:rPr>
        <w:t>in</w:t>
      </w:r>
      <w:r>
        <w:rPr>
          <w:spacing w:val="5"/>
          <w:w w:val="105"/>
          <w:sz w:val="13"/>
        </w:rPr>
        <w:t> </w:t>
      </w:r>
      <w:r>
        <w:rPr>
          <w:w w:val="105"/>
          <w:sz w:val="13"/>
        </w:rPr>
        <w:t>facilitated</w:t>
      </w:r>
      <w:r>
        <w:rPr>
          <w:spacing w:val="6"/>
          <w:w w:val="105"/>
          <w:sz w:val="13"/>
        </w:rPr>
        <w:t> </w:t>
      </w:r>
      <w:r>
        <w:rPr>
          <w:w w:val="105"/>
          <w:sz w:val="13"/>
        </w:rPr>
        <w:t>discussion</w:t>
      </w:r>
      <w:r>
        <w:rPr>
          <w:spacing w:val="6"/>
          <w:w w:val="105"/>
          <w:sz w:val="13"/>
        </w:rPr>
        <w:t> </w:t>
      </w:r>
      <w:r>
        <w:rPr>
          <w:w w:val="105"/>
          <w:sz w:val="13"/>
        </w:rPr>
        <w:t>at</w:t>
      </w:r>
      <w:r>
        <w:rPr>
          <w:spacing w:val="6"/>
          <w:w w:val="105"/>
          <w:sz w:val="13"/>
        </w:rPr>
        <w:t> </w:t>
      </w:r>
      <w:r>
        <w:rPr>
          <w:spacing w:val="4"/>
          <w:w w:val="105"/>
          <w:sz w:val="13"/>
        </w:rPr>
        <w:t>VTIO</w:t>
      </w:r>
      <w:r>
        <w:rPr>
          <w:spacing w:val="6"/>
          <w:w w:val="105"/>
          <w:sz w:val="13"/>
        </w:rPr>
        <w:t> </w:t>
      </w:r>
      <w:r>
        <w:rPr>
          <w:w w:val="105"/>
          <w:sz w:val="13"/>
        </w:rPr>
        <w:t>ArborCamp2018),</w:t>
      </w:r>
      <w:r>
        <w:rPr>
          <w:spacing w:val="5"/>
          <w:w w:val="105"/>
          <w:sz w:val="13"/>
        </w:rPr>
        <w:t> </w:t>
      </w:r>
      <w:r>
        <w:rPr>
          <w:w w:val="105"/>
          <w:sz w:val="13"/>
        </w:rPr>
        <w:t>10</w:t>
      </w:r>
      <w:r>
        <w:rPr>
          <w:spacing w:val="6"/>
          <w:w w:val="105"/>
          <w:sz w:val="13"/>
        </w:rPr>
        <w:t> </w:t>
      </w:r>
      <w:r>
        <w:rPr>
          <w:spacing w:val="2"/>
          <w:w w:val="105"/>
          <w:sz w:val="13"/>
        </w:rPr>
        <w:t>(Baw</w:t>
      </w:r>
      <w:r>
        <w:rPr>
          <w:spacing w:val="6"/>
          <w:w w:val="105"/>
          <w:sz w:val="13"/>
        </w:rPr>
        <w:t> </w:t>
      </w:r>
      <w:r>
        <w:rPr>
          <w:w w:val="105"/>
          <w:sz w:val="13"/>
        </w:rPr>
        <w:t>Baw</w:t>
      </w:r>
      <w:r>
        <w:rPr>
          <w:spacing w:val="6"/>
          <w:w w:val="105"/>
          <w:sz w:val="13"/>
        </w:rPr>
        <w:t> </w:t>
      </w:r>
      <w:r>
        <w:rPr>
          <w:w w:val="105"/>
          <w:sz w:val="13"/>
        </w:rPr>
        <w:t>Shire</w:t>
      </w:r>
      <w:r>
        <w:rPr>
          <w:spacing w:val="5"/>
          <w:w w:val="105"/>
          <w:sz w:val="13"/>
        </w:rPr>
        <w:t> </w:t>
      </w:r>
      <w:r>
        <w:rPr>
          <w:w w:val="105"/>
          <w:sz w:val="13"/>
        </w:rPr>
        <w:t>Council).</w:t>
      </w:r>
    </w:p>
    <w:p>
      <w:pPr>
        <w:pStyle w:val="ListParagraph"/>
        <w:numPr>
          <w:ilvl w:val="0"/>
          <w:numId w:val="98"/>
        </w:numPr>
        <w:tabs>
          <w:tab w:pos="2380" w:val="left" w:leader="none"/>
          <w:tab w:pos="2382" w:val="left" w:leader="none"/>
        </w:tabs>
        <w:spacing w:line="240" w:lineRule="auto" w:before="3" w:after="0"/>
        <w:ind w:left="2381" w:right="0" w:hanging="794"/>
        <w:jc w:val="left"/>
        <w:rPr>
          <w:sz w:val="13"/>
        </w:rPr>
      </w:pPr>
      <w:r>
        <w:rPr>
          <w:w w:val="105"/>
          <w:sz w:val="13"/>
        </w:rPr>
        <w:t>Submission 38 </w:t>
      </w:r>
      <w:r>
        <w:rPr>
          <w:spacing w:val="3"/>
          <w:w w:val="105"/>
          <w:sz w:val="13"/>
        </w:rPr>
        <w:t>(L. </w:t>
      </w:r>
      <w:r>
        <w:rPr>
          <w:spacing w:val="2"/>
          <w:w w:val="105"/>
          <w:sz w:val="13"/>
        </w:rPr>
        <w:t>Barry</w:t>
      </w:r>
      <w:r>
        <w:rPr>
          <w:spacing w:val="14"/>
          <w:w w:val="105"/>
          <w:sz w:val="13"/>
        </w:rPr>
        <w:t> </w:t>
      </w:r>
      <w:r>
        <w:rPr>
          <w:w w:val="105"/>
          <w:sz w:val="13"/>
        </w:rPr>
        <w:t>Wollmer).</w:t>
      </w:r>
    </w:p>
    <w:p>
      <w:pPr>
        <w:pStyle w:val="ListParagraph"/>
        <w:numPr>
          <w:ilvl w:val="0"/>
          <w:numId w:val="98"/>
        </w:numPr>
        <w:tabs>
          <w:tab w:pos="2380" w:val="left" w:leader="none"/>
          <w:tab w:pos="2382" w:val="left" w:leader="none"/>
        </w:tabs>
        <w:spacing w:line="240" w:lineRule="auto" w:before="1" w:after="0"/>
        <w:ind w:left="2381" w:right="107" w:hanging="794"/>
        <w:jc w:val="left"/>
        <w:rPr>
          <w:sz w:val="13"/>
        </w:rPr>
      </w:pPr>
      <w:r>
        <w:rPr>
          <w:w w:val="105"/>
          <w:sz w:val="13"/>
        </w:rPr>
        <w:t>Submission 10 (Professor Phillip Hamilton); Consultations 4 (Participants in facilitated discussion at </w:t>
      </w:r>
      <w:r>
        <w:rPr>
          <w:spacing w:val="4"/>
          <w:w w:val="105"/>
          <w:sz w:val="13"/>
        </w:rPr>
        <w:t>VTIO </w:t>
      </w:r>
      <w:r>
        <w:rPr>
          <w:w w:val="105"/>
          <w:sz w:val="13"/>
        </w:rPr>
        <w:t>ArborCamp2018), 10 </w:t>
      </w:r>
      <w:r>
        <w:rPr>
          <w:spacing w:val="2"/>
          <w:w w:val="105"/>
          <w:sz w:val="13"/>
        </w:rPr>
        <w:t>(Baw </w:t>
      </w:r>
      <w:r>
        <w:rPr>
          <w:w w:val="105"/>
          <w:sz w:val="13"/>
        </w:rPr>
        <w:t>Baw Shire</w:t>
      </w:r>
      <w:r>
        <w:rPr>
          <w:spacing w:val="4"/>
          <w:w w:val="105"/>
          <w:sz w:val="13"/>
        </w:rPr>
        <w:t> </w:t>
      </w:r>
      <w:r>
        <w:rPr>
          <w:w w:val="105"/>
          <w:sz w:val="13"/>
        </w:rPr>
        <w:t>Council).</w:t>
      </w:r>
    </w:p>
    <w:p>
      <w:pPr>
        <w:pStyle w:val="ListParagraph"/>
        <w:numPr>
          <w:ilvl w:val="0"/>
          <w:numId w:val="98"/>
        </w:numPr>
        <w:tabs>
          <w:tab w:pos="2380" w:val="left" w:leader="none"/>
          <w:tab w:pos="2382" w:val="left" w:leader="none"/>
        </w:tabs>
        <w:spacing w:line="240" w:lineRule="auto" w:before="3" w:after="0"/>
        <w:ind w:left="2381" w:right="0" w:hanging="794"/>
        <w:jc w:val="left"/>
        <w:rPr>
          <w:sz w:val="13"/>
        </w:rPr>
      </w:pPr>
      <w:r>
        <w:rPr>
          <w:w w:val="105"/>
          <w:sz w:val="13"/>
        </w:rPr>
        <w:t>Submissions 7 </w:t>
      </w:r>
      <w:r>
        <w:rPr>
          <w:spacing w:val="2"/>
          <w:w w:val="105"/>
          <w:sz w:val="13"/>
        </w:rPr>
        <w:t>(Ben </w:t>
      </w:r>
      <w:r>
        <w:rPr>
          <w:w w:val="105"/>
          <w:sz w:val="13"/>
        </w:rPr>
        <w:t>Kenyon); Survey Respondents </w:t>
      </w:r>
      <w:r>
        <w:rPr>
          <w:spacing w:val="2"/>
          <w:w w:val="105"/>
          <w:sz w:val="13"/>
        </w:rPr>
        <w:t>44, </w:t>
      </w:r>
      <w:r>
        <w:rPr>
          <w:w w:val="105"/>
          <w:sz w:val="13"/>
        </w:rPr>
        <w:t>95,</w:t>
      </w:r>
      <w:r>
        <w:rPr>
          <w:spacing w:val="3"/>
          <w:w w:val="105"/>
          <w:sz w:val="13"/>
        </w:rPr>
        <w:t> </w:t>
      </w:r>
      <w:r>
        <w:rPr>
          <w:spacing w:val="2"/>
          <w:w w:val="105"/>
          <w:sz w:val="13"/>
        </w:rPr>
        <w:t>96.</w:t>
      </w:r>
    </w:p>
    <w:p>
      <w:pPr>
        <w:pStyle w:val="ListParagraph"/>
        <w:numPr>
          <w:ilvl w:val="0"/>
          <w:numId w:val="98"/>
        </w:numPr>
        <w:tabs>
          <w:tab w:pos="2380" w:val="left" w:leader="none"/>
          <w:tab w:pos="2382" w:val="left" w:leader="none"/>
        </w:tabs>
        <w:spacing w:line="240" w:lineRule="auto" w:before="1" w:after="0"/>
        <w:ind w:left="2381" w:right="0" w:hanging="794"/>
        <w:jc w:val="left"/>
        <w:rPr>
          <w:sz w:val="13"/>
        </w:rPr>
      </w:pPr>
      <w:r>
        <w:rPr>
          <w:w w:val="105"/>
          <w:sz w:val="13"/>
        </w:rPr>
        <w:t>Submission 10 (Professor Phillip Hamilton); Consultation </w:t>
      </w:r>
      <w:r>
        <w:rPr>
          <w:spacing w:val="-3"/>
          <w:w w:val="105"/>
          <w:sz w:val="13"/>
        </w:rPr>
        <w:t>14 </w:t>
      </w:r>
      <w:r>
        <w:rPr>
          <w:spacing w:val="2"/>
          <w:w w:val="105"/>
          <w:sz w:val="13"/>
        </w:rPr>
        <w:t>(Robert Mineo); </w:t>
      </w:r>
      <w:r>
        <w:rPr>
          <w:w w:val="105"/>
          <w:sz w:val="13"/>
        </w:rPr>
        <w:t>Survey Respondents</w:t>
      </w:r>
      <w:r>
        <w:rPr>
          <w:spacing w:val="6"/>
          <w:w w:val="105"/>
          <w:sz w:val="13"/>
        </w:rPr>
        <w:t> </w:t>
      </w:r>
      <w:r>
        <w:rPr>
          <w:spacing w:val="-6"/>
          <w:w w:val="105"/>
          <w:sz w:val="13"/>
        </w:rPr>
        <w:t>7, </w:t>
      </w:r>
      <w:r>
        <w:rPr>
          <w:spacing w:val="2"/>
          <w:w w:val="105"/>
          <w:sz w:val="13"/>
        </w:rPr>
        <w:t>44.</w:t>
      </w:r>
    </w:p>
    <w:p>
      <w:pPr>
        <w:pStyle w:val="ListParagraph"/>
        <w:numPr>
          <w:ilvl w:val="0"/>
          <w:numId w:val="98"/>
        </w:numPr>
        <w:tabs>
          <w:tab w:pos="2380" w:val="left" w:leader="none"/>
          <w:tab w:pos="2382" w:val="left" w:leader="none"/>
        </w:tabs>
        <w:spacing w:line="240" w:lineRule="auto" w:before="2" w:after="0"/>
        <w:ind w:left="2381" w:right="0" w:hanging="794"/>
        <w:jc w:val="left"/>
        <w:rPr>
          <w:sz w:val="13"/>
        </w:rPr>
      </w:pPr>
      <w:r>
        <w:rPr>
          <w:w w:val="105"/>
          <w:sz w:val="13"/>
        </w:rPr>
        <w:t>Survey Respondent</w:t>
      </w:r>
      <w:r>
        <w:rPr>
          <w:spacing w:val="9"/>
          <w:w w:val="105"/>
          <w:sz w:val="13"/>
        </w:rPr>
        <w:t> </w:t>
      </w:r>
      <w:r>
        <w:rPr>
          <w:spacing w:val="2"/>
          <w:w w:val="105"/>
          <w:sz w:val="13"/>
        </w:rPr>
        <w:t>44.</w:t>
      </w:r>
    </w:p>
    <w:p>
      <w:pPr>
        <w:pStyle w:val="ListParagraph"/>
        <w:numPr>
          <w:ilvl w:val="0"/>
          <w:numId w:val="98"/>
        </w:numPr>
        <w:tabs>
          <w:tab w:pos="2380" w:val="left" w:leader="none"/>
          <w:tab w:pos="2382" w:val="left" w:leader="none"/>
        </w:tabs>
        <w:spacing w:line="240" w:lineRule="auto" w:before="1" w:after="0"/>
        <w:ind w:left="2381" w:right="0" w:hanging="794"/>
        <w:jc w:val="left"/>
        <w:rPr>
          <w:sz w:val="13"/>
        </w:rPr>
      </w:pPr>
      <w:r>
        <w:rPr>
          <w:w w:val="105"/>
          <w:sz w:val="13"/>
        </w:rPr>
        <w:t>Survey Respondent</w:t>
      </w:r>
      <w:r>
        <w:rPr>
          <w:spacing w:val="9"/>
          <w:w w:val="105"/>
          <w:sz w:val="13"/>
        </w:rPr>
        <w:t> </w:t>
      </w:r>
      <w:r>
        <w:rPr>
          <w:w w:val="105"/>
          <w:sz w:val="13"/>
        </w:rPr>
        <w:t>103.</w:t>
      </w:r>
    </w:p>
    <w:p>
      <w:pPr>
        <w:pStyle w:val="ListParagraph"/>
        <w:numPr>
          <w:ilvl w:val="0"/>
          <w:numId w:val="98"/>
        </w:numPr>
        <w:tabs>
          <w:tab w:pos="2380" w:val="left" w:leader="none"/>
          <w:tab w:pos="2382" w:val="left" w:leader="none"/>
        </w:tabs>
        <w:spacing w:line="240" w:lineRule="auto" w:before="1" w:after="0"/>
        <w:ind w:left="2381" w:right="0" w:hanging="794"/>
        <w:jc w:val="left"/>
        <w:rPr>
          <w:sz w:val="13"/>
        </w:rPr>
      </w:pPr>
      <w:r>
        <w:rPr>
          <w:w w:val="105"/>
          <w:sz w:val="13"/>
        </w:rPr>
        <w:t>Consultation </w:t>
      </w:r>
      <w:r>
        <w:rPr>
          <w:spacing w:val="-3"/>
          <w:w w:val="105"/>
          <w:sz w:val="13"/>
        </w:rPr>
        <w:t>14 </w:t>
      </w:r>
      <w:r>
        <w:rPr>
          <w:spacing w:val="2"/>
          <w:w w:val="105"/>
          <w:sz w:val="13"/>
        </w:rPr>
        <w:t>(Robert</w:t>
      </w:r>
      <w:r>
        <w:rPr>
          <w:spacing w:val="16"/>
          <w:w w:val="105"/>
          <w:sz w:val="13"/>
        </w:rPr>
        <w:t> </w:t>
      </w:r>
      <w:r>
        <w:rPr>
          <w:spacing w:val="2"/>
          <w:w w:val="105"/>
          <w:sz w:val="13"/>
        </w:rPr>
        <w:t>Mineo).</w:t>
      </w:r>
    </w:p>
    <w:p>
      <w:pPr>
        <w:pStyle w:val="ListParagraph"/>
        <w:numPr>
          <w:ilvl w:val="0"/>
          <w:numId w:val="98"/>
        </w:numPr>
        <w:tabs>
          <w:tab w:pos="2380" w:val="left" w:leader="none"/>
          <w:tab w:pos="2381" w:val="left" w:leader="none"/>
        </w:tabs>
        <w:spacing w:line="240" w:lineRule="auto" w:before="2" w:after="0"/>
        <w:ind w:left="2380" w:right="0" w:hanging="793"/>
        <w:jc w:val="left"/>
        <w:rPr>
          <w:sz w:val="13"/>
        </w:rPr>
      </w:pPr>
      <w:r>
        <w:rPr>
          <w:w w:val="105"/>
          <w:sz w:val="13"/>
        </w:rPr>
        <w:t>Submissions 5 </w:t>
      </w:r>
      <w:r>
        <w:rPr>
          <w:spacing w:val="2"/>
          <w:w w:val="105"/>
          <w:sz w:val="13"/>
        </w:rPr>
        <w:t>(Name </w:t>
      </w:r>
      <w:r>
        <w:rPr>
          <w:w w:val="105"/>
          <w:sz w:val="13"/>
        </w:rPr>
        <w:t>withheld), 6 </w:t>
      </w:r>
      <w:r>
        <w:rPr>
          <w:spacing w:val="2"/>
          <w:w w:val="105"/>
          <w:sz w:val="13"/>
        </w:rPr>
        <w:t>(Name </w:t>
      </w:r>
      <w:r>
        <w:rPr>
          <w:w w:val="105"/>
          <w:sz w:val="13"/>
        </w:rPr>
        <w:t>withheld), 23 </w:t>
      </w:r>
      <w:r>
        <w:rPr>
          <w:spacing w:val="2"/>
          <w:w w:val="105"/>
          <w:sz w:val="13"/>
        </w:rPr>
        <w:t>(Name</w:t>
      </w:r>
      <w:r>
        <w:rPr>
          <w:spacing w:val="5"/>
          <w:w w:val="105"/>
          <w:sz w:val="13"/>
        </w:rPr>
        <w:t> </w:t>
      </w:r>
      <w:r>
        <w:rPr>
          <w:w w:val="105"/>
          <w:sz w:val="13"/>
        </w:rPr>
        <w:t>withheld).</w:t>
      </w:r>
    </w:p>
    <w:p>
      <w:pPr>
        <w:pStyle w:val="ListParagraph"/>
        <w:numPr>
          <w:ilvl w:val="0"/>
          <w:numId w:val="98"/>
        </w:numPr>
        <w:tabs>
          <w:tab w:pos="2380" w:val="left" w:leader="none"/>
          <w:tab w:pos="2381" w:val="left" w:leader="none"/>
        </w:tabs>
        <w:spacing w:line="240" w:lineRule="auto" w:before="1" w:after="0"/>
        <w:ind w:left="2380" w:right="0" w:hanging="793"/>
        <w:jc w:val="left"/>
        <w:rPr>
          <w:sz w:val="13"/>
        </w:rPr>
      </w:pPr>
      <w:r>
        <w:rPr>
          <w:w w:val="105"/>
          <w:sz w:val="13"/>
        </w:rPr>
        <w:t>Submission</w:t>
      </w:r>
      <w:r>
        <w:rPr>
          <w:spacing w:val="5"/>
          <w:w w:val="105"/>
          <w:sz w:val="13"/>
        </w:rPr>
        <w:t> </w:t>
      </w:r>
      <w:r>
        <w:rPr>
          <w:w w:val="105"/>
          <w:sz w:val="13"/>
        </w:rPr>
        <w:t>23</w:t>
      </w:r>
      <w:r>
        <w:rPr>
          <w:spacing w:val="6"/>
          <w:w w:val="105"/>
          <w:sz w:val="13"/>
        </w:rPr>
        <w:t> </w:t>
      </w:r>
      <w:r>
        <w:rPr>
          <w:spacing w:val="2"/>
          <w:w w:val="105"/>
          <w:sz w:val="13"/>
        </w:rPr>
        <w:t>(Name</w:t>
      </w:r>
      <w:r>
        <w:rPr>
          <w:spacing w:val="5"/>
          <w:w w:val="105"/>
          <w:sz w:val="13"/>
        </w:rPr>
        <w:t> </w:t>
      </w:r>
      <w:r>
        <w:rPr>
          <w:w w:val="105"/>
          <w:sz w:val="13"/>
        </w:rPr>
        <w:t>withheld);</w:t>
      </w:r>
      <w:r>
        <w:rPr>
          <w:spacing w:val="6"/>
          <w:w w:val="105"/>
          <w:sz w:val="13"/>
        </w:rPr>
        <w:t> </w:t>
      </w:r>
      <w:r>
        <w:rPr>
          <w:w w:val="105"/>
          <w:sz w:val="13"/>
        </w:rPr>
        <w:t>Consultation</w:t>
      </w:r>
      <w:r>
        <w:rPr>
          <w:spacing w:val="5"/>
          <w:w w:val="105"/>
          <w:sz w:val="13"/>
        </w:rPr>
        <w:t> </w:t>
      </w:r>
      <w:r>
        <w:rPr>
          <w:w w:val="105"/>
          <w:sz w:val="13"/>
        </w:rPr>
        <w:t>4</w:t>
      </w:r>
      <w:r>
        <w:rPr>
          <w:spacing w:val="6"/>
          <w:w w:val="105"/>
          <w:sz w:val="13"/>
        </w:rPr>
        <w:t> </w:t>
      </w:r>
      <w:r>
        <w:rPr>
          <w:w w:val="105"/>
          <w:sz w:val="13"/>
        </w:rPr>
        <w:t>(Participants</w:t>
      </w:r>
      <w:r>
        <w:rPr>
          <w:spacing w:val="6"/>
          <w:w w:val="105"/>
          <w:sz w:val="13"/>
        </w:rPr>
        <w:t> </w:t>
      </w:r>
      <w:r>
        <w:rPr>
          <w:w w:val="105"/>
          <w:sz w:val="13"/>
        </w:rPr>
        <w:t>in</w:t>
      </w:r>
      <w:r>
        <w:rPr>
          <w:spacing w:val="5"/>
          <w:w w:val="105"/>
          <w:sz w:val="13"/>
        </w:rPr>
        <w:t> </w:t>
      </w:r>
      <w:r>
        <w:rPr>
          <w:w w:val="105"/>
          <w:sz w:val="13"/>
        </w:rPr>
        <w:t>facilitated</w:t>
      </w:r>
      <w:r>
        <w:rPr>
          <w:spacing w:val="6"/>
          <w:w w:val="105"/>
          <w:sz w:val="13"/>
        </w:rPr>
        <w:t> </w:t>
      </w:r>
      <w:r>
        <w:rPr>
          <w:w w:val="105"/>
          <w:sz w:val="13"/>
        </w:rPr>
        <w:t>discussion</w:t>
      </w:r>
      <w:r>
        <w:rPr>
          <w:spacing w:val="5"/>
          <w:w w:val="105"/>
          <w:sz w:val="13"/>
        </w:rPr>
        <w:t> </w:t>
      </w:r>
      <w:r>
        <w:rPr>
          <w:w w:val="105"/>
          <w:sz w:val="13"/>
        </w:rPr>
        <w:t>at</w:t>
      </w:r>
      <w:r>
        <w:rPr>
          <w:spacing w:val="6"/>
          <w:w w:val="105"/>
          <w:sz w:val="13"/>
        </w:rPr>
        <w:t> </w:t>
      </w:r>
      <w:r>
        <w:rPr>
          <w:spacing w:val="4"/>
          <w:w w:val="105"/>
          <w:sz w:val="13"/>
        </w:rPr>
        <w:t>VTIO</w:t>
      </w:r>
      <w:r>
        <w:rPr>
          <w:spacing w:val="6"/>
          <w:w w:val="105"/>
          <w:sz w:val="13"/>
        </w:rPr>
        <w:t> </w:t>
      </w:r>
      <w:r>
        <w:rPr>
          <w:w w:val="105"/>
          <w:sz w:val="13"/>
        </w:rPr>
        <w:t>ArborCamp2018).</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3"/>
        </w:rPr>
      </w:pPr>
    </w:p>
    <w:p>
      <w:pPr>
        <w:spacing w:before="1"/>
        <w:ind w:left="629" w:right="575" w:firstLine="0"/>
        <w:jc w:val="center"/>
        <w:rPr>
          <w:b/>
          <w:sz w:val="24"/>
        </w:rPr>
      </w:pPr>
      <w:r>
        <w:rPr>
          <w:b/>
          <w:color w:val="658464"/>
          <w:w w:val="110"/>
          <w:sz w:val="24"/>
        </w:rPr>
        <w:t>121</w:t>
      </w:r>
    </w:p>
    <w:p>
      <w:pPr>
        <w:spacing w:after="0"/>
        <w:jc w:val="center"/>
        <w:rPr>
          <w:sz w:val="24"/>
        </w:rPr>
        <w:sectPr>
          <w:type w:val="continuous"/>
          <w:pgSz w:w="11910" w:h="16840"/>
          <w:pgMar w:top="300" w:bottom="280" w:left="0" w:right="0"/>
          <w:cols w:num="2" w:equalWidth="0">
            <w:col w:w="10224" w:space="40"/>
            <w:col w:w="1646"/>
          </w:cols>
        </w:sectPr>
      </w:pPr>
    </w:p>
    <w:p>
      <w:pPr>
        <w:pStyle w:val="BodyText"/>
        <w:spacing w:before="9"/>
        <w:rPr>
          <w:b/>
          <w:sz w:val="22"/>
        </w:rPr>
      </w:pPr>
    </w:p>
    <w:p>
      <w:pPr>
        <w:pStyle w:val="BodyText"/>
        <w:spacing w:line="242" w:lineRule="auto" w:before="92"/>
        <w:ind w:left="2381" w:right="1686"/>
        <w:rPr>
          <w:sz w:val="12"/>
        </w:rPr>
      </w:pPr>
      <w:r>
        <w:rPr>
          <w:spacing w:val="-3"/>
          <w:w w:val="105"/>
        </w:rPr>
        <w:t>to </w:t>
      </w:r>
      <w:r>
        <w:rPr>
          <w:w w:val="105"/>
        </w:rPr>
        <w:t>their </w:t>
      </w:r>
      <w:r>
        <w:rPr>
          <w:spacing w:val="-4"/>
          <w:w w:val="105"/>
        </w:rPr>
        <w:t>neighbour, </w:t>
      </w:r>
      <w:r>
        <w:rPr>
          <w:w w:val="105"/>
        </w:rPr>
        <w:t>which </w:t>
      </w:r>
      <w:r>
        <w:rPr>
          <w:spacing w:val="-3"/>
          <w:w w:val="105"/>
        </w:rPr>
        <w:t>outlines </w:t>
      </w:r>
      <w:r>
        <w:rPr>
          <w:w w:val="105"/>
        </w:rPr>
        <w:t>proposed construction or repairs </w:t>
      </w:r>
      <w:r>
        <w:rPr>
          <w:spacing w:val="-3"/>
          <w:w w:val="105"/>
        </w:rPr>
        <w:t>to </w:t>
      </w:r>
      <w:r>
        <w:rPr>
          <w:w w:val="105"/>
        </w:rPr>
        <w:t>a </w:t>
      </w:r>
      <w:r>
        <w:rPr>
          <w:spacing w:val="-3"/>
          <w:w w:val="105"/>
        </w:rPr>
        <w:t>dividing </w:t>
      </w:r>
      <w:r>
        <w:rPr>
          <w:spacing w:val="-7"/>
          <w:w w:val="105"/>
        </w:rPr>
        <w:t>fence.</w:t>
      </w:r>
      <w:r>
        <w:rPr>
          <w:spacing w:val="-7"/>
          <w:w w:val="105"/>
          <w:position w:val="7"/>
          <w:sz w:val="12"/>
        </w:rPr>
        <w:t>117 </w:t>
      </w:r>
      <w:r>
        <w:rPr>
          <w:w w:val="105"/>
        </w:rPr>
        <w:t>The</w:t>
      </w:r>
      <w:r>
        <w:rPr>
          <w:spacing w:val="-6"/>
          <w:w w:val="105"/>
        </w:rPr>
        <w:t> </w:t>
      </w:r>
      <w:r>
        <w:rPr>
          <w:spacing w:val="-3"/>
          <w:w w:val="105"/>
        </w:rPr>
        <w:t>notice</w:t>
      </w:r>
      <w:r>
        <w:rPr>
          <w:spacing w:val="-6"/>
          <w:w w:val="105"/>
        </w:rPr>
        <w:t> </w:t>
      </w:r>
      <w:r>
        <w:rPr>
          <w:spacing w:val="-3"/>
          <w:w w:val="105"/>
        </w:rPr>
        <w:t>contains</w:t>
      </w:r>
      <w:r>
        <w:rPr>
          <w:spacing w:val="-6"/>
          <w:w w:val="105"/>
        </w:rPr>
        <w:t> </w:t>
      </w:r>
      <w:r>
        <w:rPr>
          <w:w w:val="105"/>
        </w:rPr>
        <w:t>details</w:t>
      </w:r>
      <w:r>
        <w:rPr>
          <w:spacing w:val="-6"/>
          <w:w w:val="105"/>
        </w:rPr>
        <w:t> </w:t>
      </w:r>
      <w:r>
        <w:rPr>
          <w:spacing w:val="-3"/>
          <w:w w:val="105"/>
        </w:rPr>
        <w:t>such</w:t>
      </w:r>
      <w:r>
        <w:rPr>
          <w:spacing w:val="-6"/>
          <w:w w:val="105"/>
        </w:rPr>
        <w:t> </w:t>
      </w:r>
      <w:r>
        <w:rPr>
          <w:w w:val="105"/>
        </w:rPr>
        <w:t>as</w:t>
      </w:r>
      <w:r>
        <w:rPr>
          <w:spacing w:val="-6"/>
          <w:w w:val="105"/>
        </w:rPr>
        <w:t> </w:t>
      </w:r>
      <w:r>
        <w:rPr>
          <w:w w:val="105"/>
        </w:rPr>
        <w:t>the</w:t>
      </w:r>
      <w:r>
        <w:rPr>
          <w:spacing w:val="-5"/>
          <w:w w:val="105"/>
        </w:rPr>
        <w:t> </w:t>
      </w:r>
      <w:r>
        <w:rPr>
          <w:w w:val="105"/>
        </w:rPr>
        <w:t>location</w:t>
      </w:r>
      <w:r>
        <w:rPr>
          <w:spacing w:val="-6"/>
          <w:w w:val="105"/>
        </w:rPr>
        <w:t> </w:t>
      </w:r>
      <w:r>
        <w:rPr>
          <w:w w:val="105"/>
        </w:rPr>
        <w:t>of</w:t>
      </w:r>
      <w:r>
        <w:rPr>
          <w:spacing w:val="-6"/>
          <w:w w:val="105"/>
        </w:rPr>
        <w:t> </w:t>
      </w:r>
      <w:r>
        <w:rPr>
          <w:w w:val="105"/>
        </w:rPr>
        <w:t>where</w:t>
      </w:r>
      <w:r>
        <w:rPr>
          <w:spacing w:val="-6"/>
          <w:w w:val="105"/>
        </w:rPr>
        <w:t> </w:t>
      </w:r>
      <w:r>
        <w:rPr>
          <w:w w:val="105"/>
        </w:rPr>
        <w:t>the</w:t>
      </w:r>
      <w:r>
        <w:rPr>
          <w:spacing w:val="-6"/>
          <w:w w:val="105"/>
        </w:rPr>
        <w:t> </w:t>
      </w:r>
      <w:r>
        <w:rPr>
          <w:w w:val="105"/>
        </w:rPr>
        <w:t>works</w:t>
      </w:r>
      <w:r>
        <w:rPr>
          <w:spacing w:val="-6"/>
          <w:w w:val="105"/>
        </w:rPr>
        <w:t> </w:t>
      </w:r>
      <w:r>
        <w:rPr>
          <w:spacing w:val="-3"/>
          <w:w w:val="105"/>
        </w:rPr>
        <w:t>are</w:t>
      </w:r>
      <w:r>
        <w:rPr>
          <w:spacing w:val="-6"/>
          <w:w w:val="105"/>
        </w:rPr>
        <w:t> </w:t>
      </w:r>
      <w:r>
        <w:rPr>
          <w:spacing w:val="-3"/>
          <w:w w:val="105"/>
        </w:rPr>
        <w:t>to</w:t>
      </w:r>
      <w:r>
        <w:rPr>
          <w:spacing w:val="-5"/>
          <w:w w:val="105"/>
        </w:rPr>
        <w:t> </w:t>
      </w:r>
      <w:r>
        <w:rPr>
          <w:w w:val="105"/>
        </w:rPr>
        <w:t>be</w:t>
      </w:r>
      <w:r>
        <w:rPr>
          <w:spacing w:val="-6"/>
          <w:w w:val="105"/>
        </w:rPr>
        <w:t> </w:t>
      </w:r>
      <w:r>
        <w:rPr>
          <w:w w:val="105"/>
        </w:rPr>
        <w:t>carried</w:t>
      </w:r>
      <w:r>
        <w:rPr>
          <w:spacing w:val="-6"/>
          <w:w w:val="105"/>
        </w:rPr>
        <w:t> </w:t>
      </w:r>
      <w:r>
        <w:rPr>
          <w:w w:val="105"/>
        </w:rPr>
        <w:t>out; the type of works </w:t>
      </w:r>
      <w:r>
        <w:rPr>
          <w:spacing w:val="-3"/>
          <w:w w:val="105"/>
        </w:rPr>
        <w:t>required </w:t>
      </w:r>
      <w:r>
        <w:rPr>
          <w:w w:val="105"/>
        </w:rPr>
        <w:t>who </w:t>
      </w:r>
      <w:r>
        <w:rPr>
          <w:spacing w:val="-3"/>
          <w:w w:val="105"/>
        </w:rPr>
        <w:t>will </w:t>
      </w:r>
      <w:r>
        <w:rPr>
          <w:w w:val="105"/>
        </w:rPr>
        <w:t>carry out the works (the </w:t>
      </w:r>
      <w:r>
        <w:rPr>
          <w:spacing w:val="-3"/>
          <w:w w:val="105"/>
        </w:rPr>
        <w:t>contractor); </w:t>
      </w:r>
      <w:r>
        <w:rPr>
          <w:w w:val="105"/>
        </w:rPr>
        <w:t>a cost </w:t>
      </w:r>
      <w:r>
        <w:rPr>
          <w:spacing w:val="-3"/>
          <w:w w:val="105"/>
        </w:rPr>
        <w:t>estimate </w:t>
      </w:r>
      <w:r>
        <w:rPr>
          <w:w w:val="105"/>
        </w:rPr>
        <w:t>and how much each </w:t>
      </w:r>
      <w:r>
        <w:rPr>
          <w:spacing w:val="-3"/>
          <w:w w:val="105"/>
        </w:rPr>
        <w:t>neighbour </w:t>
      </w:r>
      <w:r>
        <w:rPr>
          <w:w w:val="105"/>
        </w:rPr>
        <w:t>should </w:t>
      </w:r>
      <w:r>
        <w:rPr>
          <w:spacing w:val="-5"/>
          <w:w w:val="105"/>
        </w:rPr>
        <w:t>contribute.</w:t>
      </w:r>
      <w:r>
        <w:rPr>
          <w:spacing w:val="-5"/>
          <w:w w:val="105"/>
          <w:position w:val="7"/>
          <w:sz w:val="12"/>
        </w:rPr>
        <w:t>118 </w:t>
      </w:r>
      <w:r>
        <w:rPr>
          <w:w w:val="105"/>
        </w:rPr>
        <w:t>The </w:t>
      </w:r>
      <w:r>
        <w:rPr>
          <w:spacing w:val="-3"/>
          <w:w w:val="105"/>
        </w:rPr>
        <w:t>neighbour </w:t>
      </w:r>
      <w:r>
        <w:rPr>
          <w:spacing w:val="-2"/>
          <w:w w:val="105"/>
        </w:rPr>
        <w:t>has </w:t>
      </w:r>
      <w:r>
        <w:rPr>
          <w:w w:val="105"/>
        </w:rPr>
        <w:t>30 days </w:t>
      </w:r>
      <w:r>
        <w:rPr>
          <w:spacing w:val="-3"/>
          <w:w w:val="105"/>
        </w:rPr>
        <w:t>to </w:t>
      </w:r>
      <w:r>
        <w:rPr>
          <w:spacing w:val="-5"/>
          <w:w w:val="105"/>
        </w:rPr>
        <w:t>respond.</w:t>
      </w:r>
      <w:r>
        <w:rPr>
          <w:spacing w:val="-5"/>
          <w:w w:val="105"/>
          <w:position w:val="7"/>
          <w:sz w:val="12"/>
        </w:rPr>
        <w:t>119</w:t>
      </w:r>
    </w:p>
    <w:p>
      <w:pPr>
        <w:pStyle w:val="ListParagraph"/>
        <w:numPr>
          <w:ilvl w:val="1"/>
          <w:numId w:val="16"/>
        </w:numPr>
        <w:tabs>
          <w:tab w:pos="2380" w:val="left" w:leader="none"/>
          <w:tab w:pos="2381" w:val="left" w:leader="none"/>
        </w:tabs>
        <w:spacing w:line="242" w:lineRule="auto" w:before="125" w:after="0"/>
        <w:ind w:left="2380" w:right="1646" w:hanging="793"/>
        <w:jc w:val="left"/>
        <w:rPr>
          <w:sz w:val="21"/>
        </w:rPr>
      </w:pPr>
      <w:r>
        <w:rPr>
          <w:w w:val="105"/>
          <w:sz w:val="21"/>
        </w:rPr>
        <w:t>Some community members suggested </w:t>
      </w:r>
      <w:r>
        <w:rPr>
          <w:spacing w:val="-3"/>
          <w:w w:val="105"/>
          <w:sz w:val="21"/>
        </w:rPr>
        <w:t>that </w:t>
      </w:r>
      <w:r>
        <w:rPr>
          <w:w w:val="105"/>
          <w:sz w:val="21"/>
        </w:rPr>
        <w:t>the tree owner should be </w:t>
      </w:r>
      <w:r>
        <w:rPr>
          <w:spacing w:val="-3"/>
          <w:w w:val="105"/>
          <w:sz w:val="21"/>
        </w:rPr>
        <w:t>responsible for paying</w:t>
      </w:r>
      <w:r>
        <w:rPr>
          <w:spacing w:val="-5"/>
          <w:w w:val="105"/>
          <w:sz w:val="21"/>
        </w:rPr>
        <w:t> </w:t>
      </w:r>
      <w:r>
        <w:rPr>
          <w:w w:val="105"/>
          <w:sz w:val="21"/>
        </w:rPr>
        <w:t>the</w:t>
      </w:r>
      <w:r>
        <w:rPr>
          <w:spacing w:val="-4"/>
          <w:w w:val="105"/>
          <w:sz w:val="21"/>
        </w:rPr>
        <w:t> </w:t>
      </w:r>
      <w:r>
        <w:rPr>
          <w:w w:val="105"/>
          <w:sz w:val="21"/>
        </w:rPr>
        <w:t>cost</w:t>
      </w:r>
      <w:r>
        <w:rPr>
          <w:spacing w:val="-5"/>
          <w:w w:val="105"/>
          <w:sz w:val="21"/>
        </w:rPr>
        <w:t> </w:t>
      </w:r>
      <w:r>
        <w:rPr>
          <w:w w:val="105"/>
          <w:sz w:val="21"/>
        </w:rPr>
        <w:t>of</w:t>
      </w:r>
      <w:r>
        <w:rPr>
          <w:spacing w:val="-4"/>
          <w:w w:val="105"/>
          <w:sz w:val="21"/>
        </w:rPr>
        <w:t> </w:t>
      </w:r>
      <w:r>
        <w:rPr>
          <w:w w:val="105"/>
          <w:sz w:val="21"/>
        </w:rPr>
        <w:t>tree</w:t>
      </w:r>
      <w:r>
        <w:rPr>
          <w:spacing w:val="-5"/>
          <w:w w:val="105"/>
          <w:sz w:val="21"/>
        </w:rPr>
        <w:t> </w:t>
      </w:r>
      <w:r>
        <w:rPr>
          <w:w w:val="105"/>
          <w:sz w:val="21"/>
        </w:rPr>
        <w:t>works</w:t>
      </w:r>
      <w:r>
        <w:rPr>
          <w:spacing w:val="-4"/>
          <w:w w:val="105"/>
          <w:sz w:val="21"/>
        </w:rPr>
        <w:t> </w:t>
      </w:r>
      <w:r>
        <w:rPr>
          <w:w w:val="105"/>
          <w:sz w:val="21"/>
        </w:rPr>
        <w:t>or</w:t>
      </w:r>
      <w:r>
        <w:rPr>
          <w:spacing w:val="-5"/>
          <w:w w:val="105"/>
          <w:sz w:val="21"/>
        </w:rPr>
        <w:t> </w:t>
      </w:r>
      <w:r>
        <w:rPr>
          <w:w w:val="105"/>
          <w:sz w:val="21"/>
        </w:rPr>
        <w:t>other</w:t>
      </w:r>
      <w:r>
        <w:rPr>
          <w:spacing w:val="-4"/>
          <w:w w:val="105"/>
          <w:sz w:val="21"/>
        </w:rPr>
        <w:t> </w:t>
      </w:r>
      <w:r>
        <w:rPr>
          <w:spacing w:val="-3"/>
          <w:w w:val="105"/>
          <w:sz w:val="21"/>
        </w:rPr>
        <w:t>maintenance</w:t>
      </w:r>
      <w:r>
        <w:rPr>
          <w:spacing w:val="-4"/>
          <w:w w:val="105"/>
          <w:sz w:val="21"/>
        </w:rPr>
        <w:t> </w:t>
      </w:r>
      <w:r>
        <w:rPr>
          <w:spacing w:val="-3"/>
          <w:w w:val="105"/>
          <w:sz w:val="21"/>
        </w:rPr>
        <w:t>incurred</w:t>
      </w:r>
      <w:r>
        <w:rPr>
          <w:spacing w:val="-5"/>
          <w:w w:val="105"/>
          <w:sz w:val="21"/>
        </w:rPr>
        <w:t> </w:t>
      </w:r>
      <w:r>
        <w:rPr>
          <w:w w:val="105"/>
          <w:sz w:val="21"/>
        </w:rPr>
        <w:t>by</w:t>
      </w:r>
      <w:r>
        <w:rPr>
          <w:spacing w:val="-4"/>
          <w:w w:val="105"/>
          <w:sz w:val="21"/>
        </w:rPr>
        <w:t> </w:t>
      </w:r>
      <w:r>
        <w:rPr>
          <w:w w:val="105"/>
          <w:sz w:val="21"/>
        </w:rPr>
        <w:t>the</w:t>
      </w:r>
      <w:r>
        <w:rPr>
          <w:spacing w:val="-5"/>
          <w:w w:val="105"/>
          <w:sz w:val="21"/>
        </w:rPr>
        <w:t> </w:t>
      </w:r>
      <w:r>
        <w:rPr>
          <w:w w:val="105"/>
          <w:sz w:val="21"/>
        </w:rPr>
        <w:t>affected</w:t>
      </w:r>
      <w:r>
        <w:rPr>
          <w:spacing w:val="-4"/>
          <w:w w:val="105"/>
          <w:sz w:val="21"/>
        </w:rPr>
        <w:t> </w:t>
      </w:r>
      <w:r>
        <w:rPr>
          <w:spacing w:val="-3"/>
          <w:w w:val="105"/>
          <w:sz w:val="21"/>
        </w:rPr>
        <w:t>neighbour</w:t>
      </w:r>
      <w:r>
        <w:rPr>
          <w:spacing w:val="-5"/>
          <w:w w:val="105"/>
          <w:sz w:val="21"/>
        </w:rPr>
        <w:t> </w:t>
      </w:r>
      <w:r>
        <w:rPr>
          <w:w w:val="105"/>
          <w:sz w:val="21"/>
        </w:rPr>
        <w:t>in the course of </w:t>
      </w:r>
      <w:r>
        <w:rPr>
          <w:spacing w:val="-3"/>
          <w:w w:val="105"/>
          <w:sz w:val="21"/>
        </w:rPr>
        <w:t>abating </w:t>
      </w:r>
      <w:r>
        <w:rPr>
          <w:w w:val="105"/>
          <w:sz w:val="21"/>
        </w:rPr>
        <w:t>the </w:t>
      </w:r>
      <w:r>
        <w:rPr>
          <w:spacing w:val="-5"/>
          <w:w w:val="105"/>
          <w:sz w:val="21"/>
        </w:rPr>
        <w:t>nuisance.</w:t>
      </w:r>
      <w:r>
        <w:rPr>
          <w:spacing w:val="-5"/>
          <w:w w:val="105"/>
          <w:position w:val="7"/>
          <w:sz w:val="12"/>
        </w:rPr>
        <w:t>120 </w:t>
      </w:r>
      <w:r>
        <w:rPr>
          <w:w w:val="105"/>
          <w:sz w:val="21"/>
        </w:rPr>
        <w:t>One community member</w:t>
      </w:r>
      <w:r>
        <w:rPr>
          <w:spacing w:val="28"/>
          <w:w w:val="105"/>
          <w:sz w:val="21"/>
        </w:rPr>
        <w:t> </w:t>
      </w:r>
      <w:r>
        <w:rPr>
          <w:w w:val="105"/>
          <w:sz w:val="21"/>
        </w:rPr>
        <w:t>explained:</w:t>
      </w:r>
    </w:p>
    <w:p>
      <w:pPr>
        <w:spacing w:line="254" w:lineRule="auto" w:before="133"/>
        <w:ind w:left="2834" w:right="1614" w:firstLine="0"/>
        <w:jc w:val="left"/>
        <w:rPr>
          <w:sz w:val="11"/>
        </w:rPr>
      </w:pPr>
      <w:r>
        <w:rPr>
          <w:w w:val="105"/>
          <w:sz w:val="20"/>
        </w:rPr>
        <w:t>At present the [affected neighbour] bears all of the expense and inconvenience of cutting back their neighbours trees. This is utterly outrageous. We have spent an horrendous amount of money abating the nuisance. We have now reached the point where it is no longer even possible for an arborist to trim our neighbours tree—the branches are too high for chainsaws on the end of long poles and cherry pickers cannot [get] into the narrow area along our fence.</w:t>
      </w:r>
      <w:r>
        <w:rPr>
          <w:w w:val="105"/>
          <w:position w:val="7"/>
          <w:sz w:val="11"/>
        </w:rPr>
        <w:t>121</w:t>
      </w:r>
    </w:p>
    <w:p>
      <w:pPr>
        <w:pStyle w:val="ListParagraph"/>
        <w:numPr>
          <w:ilvl w:val="1"/>
          <w:numId w:val="16"/>
        </w:numPr>
        <w:tabs>
          <w:tab w:pos="2382" w:val="left" w:leader="none"/>
        </w:tabs>
        <w:spacing w:line="242" w:lineRule="auto" w:before="118" w:after="0"/>
        <w:ind w:left="2381" w:right="2045" w:hanging="794"/>
        <w:jc w:val="both"/>
        <w:rPr>
          <w:sz w:val="21"/>
        </w:rPr>
      </w:pPr>
      <w:r>
        <w:rPr>
          <w:w w:val="105"/>
          <w:sz w:val="21"/>
        </w:rPr>
        <w:t>Another response </w:t>
      </w:r>
      <w:r>
        <w:rPr>
          <w:spacing w:val="-3"/>
          <w:w w:val="105"/>
          <w:sz w:val="21"/>
        </w:rPr>
        <w:t>favoured </w:t>
      </w:r>
      <w:r>
        <w:rPr>
          <w:w w:val="105"/>
          <w:sz w:val="21"/>
        </w:rPr>
        <w:t>the approach </w:t>
      </w:r>
      <w:r>
        <w:rPr>
          <w:spacing w:val="-3"/>
          <w:w w:val="105"/>
          <w:sz w:val="21"/>
        </w:rPr>
        <w:t>taken </w:t>
      </w:r>
      <w:r>
        <w:rPr>
          <w:w w:val="105"/>
          <w:sz w:val="21"/>
        </w:rPr>
        <w:t>in New </w:t>
      </w:r>
      <w:r>
        <w:rPr>
          <w:spacing w:val="-3"/>
          <w:w w:val="105"/>
          <w:sz w:val="21"/>
        </w:rPr>
        <w:t>Zealand. </w:t>
      </w:r>
      <w:r>
        <w:rPr>
          <w:w w:val="105"/>
          <w:sz w:val="21"/>
        </w:rPr>
        <w:t>In New </w:t>
      </w:r>
      <w:r>
        <w:rPr>
          <w:spacing w:val="-3"/>
          <w:w w:val="105"/>
          <w:sz w:val="21"/>
        </w:rPr>
        <w:t>Zealand </w:t>
      </w:r>
      <w:r>
        <w:rPr>
          <w:w w:val="105"/>
          <w:sz w:val="21"/>
        </w:rPr>
        <w:t>an affected </w:t>
      </w:r>
      <w:r>
        <w:rPr>
          <w:spacing w:val="-3"/>
          <w:w w:val="105"/>
          <w:sz w:val="21"/>
        </w:rPr>
        <w:t>neighbour may </w:t>
      </w:r>
      <w:r>
        <w:rPr>
          <w:w w:val="105"/>
          <w:sz w:val="21"/>
        </w:rPr>
        <w:t>seek an order in the District </w:t>
      </w:r>
      <w:r>
        <w:rPr>
          <w:spacing w:val="-3"/>
          <w:w w:val="105"/>
          <w:sz w:val="21"/>
        </w:rPr>
        <w:t>Court for any </w:t>
      </w:r>
      <w:r>
        <w:rPr>
          <w:w w:val="105"/>
          <w:sz w:val="21"/>
        </w:rPr>
        <w:t>costs </w:t>
      </w:r>
      <w:r>
        <w:rPr>
          <w:spacing w:val="-3"/>
          <w:w w:val="105"/>
          <w:sz w:val="21"/>
        </w:rPr>
        <w:t>incurred </w:t>
      </w:r>
      <w:r>
        <w:rPr>
          <w:w w:val="105"/>
          <w:sz w:val="21"/>
        </w:rPr>
        <w:t>as a </w:t>
      </w:r>
      <w:r>
        <w:rPr>
          <w:spacing w:val="-3"/>
          <w:w w:val="105"/>
          <w:sz w:val="21"/>
        </w:rPr>
        <w:t>result </w:t>
      </w:r>
      <w:r>
        <w:rPr>
          <w:w w:val="105"/>
          <w:sz w:val="21"/>
        </w:rPr>
        <w:t>of </w:t>
      </w:r>
      <w:r>
        <w:rPr>
          <w:spacing w:val="-3"/>
          <w:w w:val="105"/>
          <w:sz w:val="21"/>
        </w:rPr>
        <w:t>abating branches </w:t>
      </w:r>
      <w:r>
        <w:rPr>
          <w:w w:val="105"/>
          <w:sz w:val="21"/>
        </w:rPr>
        <w:t>or roots </w:t>
      </w:r>
      <w:r>
        <w:rPr>
          <w:spacing w:val="-3"/>
          <w:w w:val="105"/>
          <w:sz w:val="21"/>
        </w:rPr>
        <w:t>causing </w:t>
      </w:r>
      <w:r>
        <w:rPr>
          <w:w w:val="105"/>
          <w:sz w:val="21"/>
        </w:rPr>
        <w:t>damage </w:t>
      </w:r>
      <w:r>
        <w:rPr>
          <w:spacing w:val="-3"/>
          <w:w w:val="105"/>
          <w:sz w:val="21"/>
        </w:rPr>
        <w:t>to </w:t>
      </w:r>
      <w:r>
        <w:rPr>
          <w:spacing w:val="-4"/>
          <w:w w:val="105"/>
          <w:sz w:val="21"/>
        </w:rPr>
        <w:t>property.</w:t>
      </w:r>
      <w:r>
        <w:rPr>
          <w:spacing w:val="-4"/>
          <w:w w:val="105"/>
          <w:position w:val="7"/>
          <w:sz w:val="12"/>
        </w:rPr>
        <w:t>122 </w:t>
      </w:r>
      <w:r>
        <w:rPr>
          <w:w w:val="105"/>
          <w:sz w:val="21"/>
        </w:rPr>
        <w:t>It was</w:t>
      </w:r>
      <w:r>
        <w:rPr>
          <w:spacing w:val="-3"/>
          <w:w w:val="105"/>
          <w:sz w:val="21"/>
        </w:rPr>
        <w:t> </w:t>
      </w:r>
      <w:r>
        <w:rPr>
          <w:w w:val="105"/>
          <w:sz w:val="21"/>
        </w:rPr>
        <w:t>suggested</w:t>
      </w:r>
    </w:p>
    <w:p>
      <w:pPr>
        <w:pStyle w:val="BodyText"/>
        <w:spacing w:line="242" w:lineRule="auto" w:before="3"/>
        <w:ind w:left="2381" w:right="1810"/>
        <w:rPr>
          <w:sz w:val="12"/>
        </w:rPr>
      </w:pPr>
      <w:r>
        <w:rPr>
          <w:spacing w:val="-3"/>
        </w:rPr>
        <w:t>that </w:t>
      </w:r>
      <w:r>
        <w:rPr/>
        <w:t>if tree owners </w:t>
      </w:r>
      <w:r>
        <w:rPr>
          <w:spacing w:val="-3"/>
        </w:rPr>
        <w:t>are responsible for paying for </w:t>
      </w:r>
      <w:r>
        <w:rPr/>
        <w:t>the costs of tree works then affected neighbours </w:t>
      </w:r>
      <w:r>
        <w:rPr>
          <w:spacing w:val="-3"/>
        </w:rPr>
        <w:t>could </w:t>
      </w:r>
      <w:r>
        <w:rPr/>
        <w:t>more </w:t>
      </w:r>
      <w:r>
        <w:rPr>
          <w:spacing w:val="-3"/>
        </w:rPr>
        <w:t>easily </w:t>
      </w:r>
      <w:r>
        <w:rPr/>
        <w:t>carry out works </w:t>
      </w:r>
      <w:r>
        <w:rPr>
          <w:spacing w:val="-3"/>
        </w:rPr>
        <w:t>that </w:t>
      </w:r>
      <w:r>
        <w:rPr/>
        <w:t>would resolve the </w:t>
      </w:r>
      <w:r>
        <w:rPr>
          <w:spacing w:val="-3"/>
        </w:rPr>
        <w:t>issue, such  </w:t>
      </w:r>
      <w:r>
        <w:rPr/>
        <w:t>as </w:t>
      </w:r>
      <w:r>
        <w:rPr>
          <w:spacing w:val="-3"/>
        </w:rPr>
        <w:t>installing </w:t>
      </w:r>
      <w:r>
        <w:rPr/>
        <w:t>a root barrier and </w:t>
      </w:r>
      <w:r>
        <w:rPr>
          <w:spacing w:val="-3"/>
        </w:rPr>
        <w:t>annual </w:t>
      </w:r>
      <w:r>
        <w:rPr/>
        <w:t>tree </w:t>
      </w:r>
      <w:r>
        <w:rPr>
          <w:spacing w:val="-3"/>
        </w:rPr>
        <w:t>pruning. </w:t>
      </w:r>
      <w:r>
        <w:rPr/>
        <w:t>The </w:t>
      </w:r>
      <w:r>
        <w:rPr>
          <w:spacing w:val="-3"/>
        </w:rPr>
        <w:t>submission </w:t>
      </w:r>
      <w:r>
        <w:rPr/>
        <w:t>also </w:t>
      </w:r>
      <w:r>
        <w:rPr>
          <w:spacing w:val="-3"/>
        </w:rPr>
        <w:t>noted that </w:t>
      </w:r>
      <w:r>
        <w:rPr/>
        <w:t>putting </w:t>
      </w:r>
      <w:r>
        <w:rPr>
          <w:spacing w:val="-3"/>
        </w:rPr>
        <w:t>responsibility </w:t>
      </w:r>
      <w:r>
        <w:rPr/>
        <w:t>on the tree owner </w:t>
      </w:r>
      <w:r>
        <w:rPr>
          <w:spacing w:val="-3"/>
        </w:rPr>
        <w:t>for </w:t>
      </w:r>
      <w:r>
        <w:rPr/>
        <w:t>the cost of tree works would be </w:t>
      </w:r>
      <w:r>
        <w:rPr>
          <w:spacing w:val="-4"/>
        </w:rPr>
        <w:t>likely </w:t>
      </w:r>
      <w:r>
        <w:rPr>
          <w:spacing w:val="-3"/>
        </w:rPr>
        <w:t>to </w:t>
      </w:r>
      <w:r>
        <w:rPr>
          <w:spacing w:val="-4"/>
        </w:rPr>
        <w:t>make </w:t>
      </w:r>
      <w:r>
        <w:rPr/>
        <w:t>them more</w:t>
      </w:r>
      <w:r>
        <w:rPr>
          <w:spacing w:val="11"/>
        </w:rPr>
        <w:t> </w:t>
      </w:r>
      <w:r>
        <w:rPr>
          <w:spacing w:val="-3"/>
        </w:rPr>
        <w:t>willing</w:t>
      </w:r>
      <w:r>
        <w:rPr>
          <w:spacing w:val="12"/>
        </w:rPr>
        <w:t> </w:t>
      </w:r>
      <w:r>
        <w:rPr>
          <w:spacing w:val="-3"/>
        </w:rPr>
        <w:t>to</w:t>
      </w:r>
      <w:r>
        <w:rPr>
          <w:spacing w:val="11"/>
        </w:rPr>
        <w:t> </w:t>
      </w:r>
      <w:r>
        <w:rPr>
          <w:spacing w:val="-3"/>
        </w:rPr>
        <w:t>listen</w:t>
      </w:r>
      <w:r>
        <w:rPr>
          <w:spacing w:val="12"/>
        </w:rPr>
        <w:t> </w:t>
      </w:r>
      <w:r>
        <w:rPr>
          <w:spacing w:val="-3"/>
        </w:rPr>
        <w:t>to</w:t>
      </w:r>
      <w:r>
        <w:rPr>
          <w:spacing w:val="12"/>
        </w:rPr>
        <w:t> </w:t>
      </w:r>
      <w:r>
        <w:rPr/>
        <w:t>an</w:t>
      </w:r>
      <w:r>
        <w:rPr>
          <w:spacing w:val="11"/>
        </w:rPr>
        <w:t> </w:t>
      </w:r>
      <w:r>
        <w:rPr/>
        <w:t>affected</w:t>
      </w:r>
      <w:r>
        <w:rPr>
          <w:spacing w:val="12"/>
        </w:rPr>
        <w:t> </w:t>
      </w:r>
      <w:r>
        <w:rPr>
          <w:spacing w:val="-3"/>
        </w:rPr>
        <w:t>neighbour’s</w:t>
      </w:r>
      <w:r>
        <w:rPr>
          <w:spacing w:val="12"/>
        </w:rPr>
        <w:t> </w:t>
      </w:r>
      <w:r>
        <w:rPr>
          <w:spacing w:val="-4"/>
        </w:rPr>
        <w:t>concerns.</w:t>
      </w:r>
      <w:r>
        <w:rPr>
          <w:spacing w:val="-4"/>
          <w:position w:val="7"/>
          <w:sz w:val="12"/>
        </w:rPr>
        <w:t>123</w:t>
      </w:r>
    </w:p>
    <w:p>
      <w:pPr>
        <w:pStyle w:val="ListParagraph"/>
        <w:numPr>
          <w:ilvl w:val="1"/>
          <w:numId w:val="16"/>
        </w:numPr>
        <w:tabs>
          <w:tab w:pos="2381" w:val="left" w:leader="none"/>
          <w:tab w:pos="2382" w:val="left" w:leader="none"/>
        </w:tabs>
        <w:spacing w:line="242" w:lineRule="auto" w:before="125" w:after="0"/>
        <w:ind w:left="2381" w:right="1719" w:hanging="794"/>
        <w:jc w:val="left"/>
        <w:rPr>
          <w:sz w:val="21"/>
        </w:rPr>
      </w:pPr>
      <w:r>
        <w:rPr>
          <w:spacing w:val="-3"/>
          <w:w w:val="105"/>
          <w:sz w:val="21"/>
        </w:rPr>
        <w:t>Pointon</w:t>
      </w:r>
      <w:r>
        <w:rPr>
          <w:spacing w:val="-10"/>
          <w:w w:val="105"/>
          <w:sz w:val="21"/>
        </w:rPr>
        <w:t> </w:t>
      </w:r>
      <w:r>
        <w:rPr>
          <w:w w:val="105"/>
          <w:sz w:val="21"/>
        </w:rPr>
        <w:t>Partners</w:t>
      </w:r>
      <w:r>
        <w:rPr>
          <w:spacing w:val="-9"/>
          <w:w w:val="105"/>
          <w:sz w:val="21"/>
        </w:rPr>
        <w:t> </w:t>
      </w:r>
      <w:r>
        <w:rPr>
          <w:w w:val="105"/>
          <w:sz w:val="21"/>
        </w:rPr>
        <w:t>suggested</w:t>
      </w:r>
      <w:r>
        <w:rPr>
          <w:spacing w:val="-9"/>
          <w:w w:val="105"/>
          <w:sz w:val="21"/>
        </w:rPr>
        <w:t> </w:t>
      </w:r>
      <w:r>
        <w:rPr>
          <w:spacing w:val="-3"/>
          <w:w w:val="105"/>
          <w:sz w:val="21"/>
        </w:rPr>
        <w:t>that</w:t>
      </w:r>
      <w:r>
        <w:rPr>
          <w:spacing w:val="-10"/>
          <w:w w:val="105"/>
          <w:sz w:val="21"/>
        </w:rPr>
        <w:t> </w:t>
      </w:r>
      <w:r>
        <w:rPr>
          <w:w w:val="105"/>
          <w:sz w:val="21"/>
        </w:rPr>
        <w:t>the</w:t>
      </w:r>
      <w:r>
        <w:rPr>
          <w:spacing w:val="-9"/>
          <w:w w:val="105"/>
          <w:sz w:val="21"/>
        </w:rPr>
        <w:t> </w:t>
      </w:r>
      <w:r>
        <w:rPr>
          <w:spacing w:val="-3"/>
          <w:w w:val="105"/>
          <w:sz w:val="21"/>
        </w:rPr>
        <w:t>current</w:t>
      </w:r>
      <w:r>
        <w:rPr>
          <w:spacing w:val="-9"/>
          <w:w w:val="105"/>
          <w:sz w:val="21"/>
        </w:rPr>
        <w:t> </w:t>
      </w:r>
      <w:r>
        <w:rPr>
          <w:w w:val="105"/>
          <w:sz w:val="21"/>
        </w:rPr>
        <w:t>scope</w:t>
      </w:r>
      <w:r>
        <w:rPr>
          <w:spacing w:val="-10"/>
          <w:w w:val="105"/>
          <w:sz w:val="21"/>
        </w:rPr>
        <w:t> </w:t>
      </w:r>
      <w:r>
        <w:rPr>
          <w:w w:val="105"/>
          <w:sz w:val="21"/>
        </w:rPr>
        <w:t>and</w:t>
      </w:r>
      <w:r>
        <w:rPr>
          <w:spacing w:val="-9"/>
          <w:w w:val="105"/>
          <w:sz w:val="21"/>
        </w:rPr>
        <w:t> </w:t>
      </w:r>
      <w:r>
        <w:rPr>
          <w:w w:val="105"/>
          <w:sz w:val="21"/>
        </w:rPr>
        <w:t>application</w:t>
      </w:r>
      <w:r>
        <w:rPr>
          <w:spacing w:val="-9"/>
          <w:w w:val="105"/>
          <w:sz w:val="21"/>
        </w:rPr>
        <w:t> </w:t>
      </w:r>
      <w:r>
        <w:rPr>
          <w:w w:val="105"/>
          <w:sz w:val="21"/>
        </w:rPr>
        <w:t>of</w:t>
      </w:r>
      <w:r>
        <w:rPr>
          <w:spacing w:val="-10"/>
          <w:w w:val="105"/>
          <w:sz w:val="21"/>
        </w:rPr>
        <w:t> </w:t>
      </w:r>
      <w:r>
        <w:rPr>
          <w:w w:val="105"/>
          <w:sz w:val="21"/>
        </w:rPr>
        <w:t>the</w:t>
      </w:r>
      <w:r>
        <w:rPr>
          <w:spacing w:val="-9"/>
          <w:w w:val="105"/>
          <w:sz w:val="21"/>
        </w:rPr>
        <w:t> </w:t>
      </w:r>
      <w:r>
        <w:rPr>
          <w:w w:val="105"/>
          <w:sz w:val="21"/>
        </w:rPr>
        <w:t>remedy</w:t>
      </w:r>
      <w:r>
        <w:rPr>
          <w:spacing w:val="-9"/>
          <w:w w:val="105"/>
          <w:sz w:val="21"/>
        </w:rPr>
        <w:t> </w:t>
      </w:r>
      <w:r>
        <w:rPr>
          <w:w w:val="105"/>
          <w:sz w:val="21"/>
        </w:rPr>
        <w:t>did</w:t>
      </w:r>
      <w:r>
        <w:rPr>
          <w:spacing w:val="-10"/>
          <w:w w:val="105"/>
          <w:sz w:val="21"/>
        </w:rPr>
        <w:t> </w:t>
      </w:r>
      <w:r>
        <w:rPr>
          <w:spacing w:val="-2"/>
          <w:w w:val="105"/>
          <w:sz w:val="21"/>
        </w:rPr>
        <w:t>not </w:t>
      </w:r>
      <w:r>
        <w:rPr>
          <w:w w:val="105"/>
          <w:sz w:val="21"/>
        </w:rPr>
        <w:t>need </w:t>
      </w:r>
      <w:r>
        <w:rPr>
          <w:spacing w:val="-3"/>
          <w:w w:val="105"/>
          <w:sz w:val="21"/>
        </w:rPr>
        <w:t>to</w:t>
      </w:r>
      <w:r>
        <w:rPr>
          <w:spacing w:val="11"/>
          <w:w w:val="105"/>
          <w:sz w:val="21"/>
        </w:rPr>
        <w:t> </w:t>
      </w:r>
      <w:r>
        <w:rPr>
          <w:spacing w:val="-5"/>
          <w:w w:val="105"/>
          <w:sz w:val="21"/>
        </w:rPr>
        <w:t>change.</w:t>
      </w:r>
      <w:r>
        <w:rPr>
          <w:spacing w:val="-5"/>
          <w:w w:val="105"/>
          <w:position w:val="7"/>
          <w:sz w:val="12"/>
        </w:rPr>
        <w:t>124</w:t>
      </w:r>
    </w:p>
    <w:p>
      <w:pPr>
        <w:pStyle w:val="Heading7"/>
        <w:spacing w:before="153"/>
      </w:pPr>
      <w:r>
        <w:rPr>
          <w:w w:val="115"/>
        </w:rPr>
        <w:t>Interaction with Australian standards</w:t>
      </w:r>
    </w:p>
    <w:p>
      <w:pPr>
        <w:pStyle w:val="ListParagraph"/>
        <w:numPr>
          <w:ilvl w:val="1"/>
          <w:numId w:val="16"/>
        </w:numPr>
        <w:tabs>
          <w:tab w:pos="2381" w:val="left" w:leader="none"/>
          <w:tab w:pos="2382" w:val="left" w:leader="none"/>
        </w:tabs>
        <w:spacing w:line="242" w:lineRule="auto" w:before="143" w:after="0"/>
        <w:ind w:left="2381" w:right="1727" w:hanging="794"/>
        <w:jc w:val="left"/>
        <w:rPr>
          <w:sz w:val="21"/>
        </w:rPr>
      </w:pPr>
      <w:r>
        <w:rPr>
          <w:w w:val="105"/>
          <w:sz w:val="21"/>
        </w:rPr>
        <w:t>A number of arborists identified the matter of the </w:t>
      </w:r>
      <w:r>
        <w:rPr>
          <w:spacing w:val="-3"/>
          <w:w w:val="105"/>
          <w:sz w:val="21"/>
        </w:rPr>
        <w:t>interaction </w:t>
      </w:r>
      <w:r>
        <w:rPr>
          <w:w w:val="105"/>
          <w:sz w:val="21"/>
        </w:rPr>
        <w:t>between </w:t>
      </w:r>
      <w:r>
        <w:rPr>
          <w:spacing w:val="-3"/>
          <w:w w:val="105"/>
          <w:sz w:val="21"/>
        </w:rPr>
        <w:t>abatement </w:t>
      </w:r>
      <w:r>
        <w:rPr>
          <w:w w:val="105"/>
          <w:sz w:val="21"/>
        </w:rPr>
        <w:t>and the </w:t>
      </w:r>
      <w:r>
        <w:rPr>
          <w:spacing w:val="-3"/>
          <w:w w:val="105"/>
          <w:sz w:val="21"/>
        </w:rPr>
        <w:t>relevant Australian Standards </w:t>
      </w:r>
      <w:r>
        <w:rPr>
          <w:w w:val="105"/>
          <w:sz w:val="21"/>
        </w:rPr>
        <w:t>on </w:t>
      </w:r>
      <w:r>
        <w:rPr>
          <w:spacing w:val="-3"/>
          <w:w w:val="105"/>
          <w:sz w:val="21"/>
        </w:rPr>
        <w:t>pruning </w:t>
      </w:r>
      <w:r>
        <w:rPr>
          <w:w w:val="105"/>
          <w:sz w:val="21"/>
        </w:rPr>
        <w:t>and other tree works </w:t>
      </w:r>
      <w:r>
        <w:rPr>
          <w:spacing w:val="-3"/>
          <w:w w:val="105"/>
          <w:sz w:val="21"/>
        </w:rPr>
        <w:t>that </w:t>
      </w:r>
      <w:r>
        <w:rPr>
          <w:w w:val="105"/>
          <w:sz w:val="21"/>
        </w:rPr>
        <w:t>arborists </w:t>
      </w:r>
      <w:r>
        <w:rPr>
          <w:spacing w:val="-3"/>
          <w:w w:val="105"/>
          <w:sz w:val="21"/>
        </w:rPr>
        <w:t>are trained</w:t>
      </w:r>
      <w:r>
        <w:rPr>
          <w:spacing w:val="-5"/>
          <w:w w:val="105"/>
          <w:sz w:val="21"/>
        </w:rPr>
        <w:t> </w:t>
      </w:r>
      <w:r>
        <w:rPr>
          <w:spacing w:val="-3"/>
          <w:w w:val="105"/>
          <w:sz w:val="21"/>
        </w:rPr>
        <w:t>to</w:t>
      </w:r>
      <w:r>
        <w:rPr>
          <w:spacing w:val="-5"/>
          <w:w w:val="105"/>
          <w:sz w:val="21"/>
        </w:rPr>
        <w:t> </w:t>
      </w:r>
      <w:r>
        <w:rPr>
          <w:spacing w:val="-6"/>
          <w:w w:val="105"/>
          <w:sz w:val="21"/>
        </w:rPr>
        <w:t>follow.</w:t>
      </w:r>
      <w:r>
        <w:rPr>
          <w:spacing w:val="-6"/>
          <w:w w:val="105"/>
          <w:position w:val="7"/>
          <w:sz w:val="12"/>
        </w:rPr>
        <w:t>125</w:t>
      </w:r>
      <w:r>
        <w:rPr>
          <w:spacing w:val="-5"/>
          <w:w w:val="105"/>
          <w:position w:val="7"/>
          <w:sz w:val="12"/>
        </w:rPr>
        <w:t> </w:t>
      </w:r>
      <w:r>
        <w:rPr>
          <w:w w:val="105"/>
          <w:sz w:val="21"/>
        </w:rPr>
        <w:t>The</w:t>
      </w:r>
      <w:r>
        <w:rPr>
          <w:spacing w:val="-4"/>
          <w:w w:val="105"/>
          <w:sz w:val="21"/>
        </w:rPr>
        <w:t> </w:t>
      </w:r>
      <w:r>
        <w:rPr>
          <w:spacing w:val="-3"/>
          <w:w w:val="105"/>
          <w:sz w:val="21"/>
        </w:rPr>
        <w:t>City</w:t>
      </w:r>
      <w:r>
        <w:rPr>
          <w:spacing w:val="-5"/>
          <w:w w:val="105"/>
          <w:sz w:val="21"/>
        </w:rPr>
        <w:t> </w:t>
      </w:r>
      <w:r>
        <w:rPr>
          <w:w w:val="105"/>
          <w:sz w:val="21"/>
        </w:rPr>
        <w:t>of</w:t>
      </w:r>
      <w:r>
        <w:rPr>
          <w:spacing w:val="-5"/>
          <w:w w:val="105"/>
          <w:sz w:val="21"/>
        </w:rPr>
        <w:t> </w:t>
      </w:r>
      <w:r>
        <w:rPr>
          <w:spacing w:val="-3"/>
          <w:w w:val="105"/>
          <w:sz w:val="21"/>
        </w:rPr>
        <w:t>Boroondara</w:t>
      </w:r>
      <w:r>
        <w:rPr>
          <w:spacing w:val="-5"/>
          <w:w w:val="105"/>
          <w:sz w:val="21"/>
        </w:rPr>
        <w:t> </w:t>
      </w:r>
      <w:r>
        <w:rPr>
          <w:w w:val="105"/>
          <w:sz w:val="21"/>
        </w:rPr>
        <w:t>advises</w:t>
      </w:r>
      <w:r>
        <w:rPr>
          <w:spacing w:val="-5"/>
          <w:w w:val="105"/>
          <w:sz w:val="21"/>
        </w:rPr>
        <w:t> </w:t>
      </w:r>
      <w:r>
        <w:rPr>
          <w:w w:val="105"/>
          <w:sz w:val="21"/>
        </w:rPr>
        <w:t>its</w:t>
      </w:r>
      <w:r>
        <w:rPr>
          <w:spacing w:val="-5"/>
          <w:w w:val="105"/>
          <w:sz w:val="21"/>
        </w:rPr>
        <w:t> </w:t>
      </w:r>
      <w:r>
        <w:rPr>
          <w:w w:val="105"/>
          <w:sz w:val="21"/>
        </w:rPr>
        <w:t>residents</w:t>
      </w:r>
      <w:r>
        <w:rPr>
          <w:spacing w:val="-4"/>
          <w:w w:val="105"/>
          <w:sz w:val="21"/>
        </w:rPr>
        <w:t> </w:t>
      </w:r>
      <w:r>
        <w:rPr>
          <w:w w:val="105"/>
          <w:sz w:val="21"/>
        </w:rPr>
        <w:t>about</w:t>
      </w:r>
      <w:r>
        <w:rPr>
          <w:spacing w:val="-5"/>
          <w:w w:val="105"/>
          <w:sz w:val="21"/>
        </w:rPr>
        <w:t> </w:t>
      </w:r>
      <w:r>
        <w:rPr>
          <w:w w:val="105"/>
          <w:sz w:val="21"/>
        </w:rPr>
        <w:t>the</w:t>
      </w:r>
      <w:r>
        <w:rPr>
          <w:spacing w:val="-5"/>
          <w:w w:val="105"/>
          <w:sz w:val="21"/>
        </w:rPr>
        <w:t> </w:t>
      </w:r>
      <w:r>
        <w:rPr>
          <w:w w:val="105"/>
          <w:sz w:val="21"/>
        </w:rPr>
        <w:t>importance</w:t>
      </w:r>
      <w:r>
        <w:rPr>
          <w:spacing w:val="-5"/>
          <w:w w:val="105"/>
          <w:sz w:val="21"/>
        </w:rPr>
        <w:t> </w:t>
      </w:r>
      <w:r>
        <w:rPr>
          <w:w w:val="105"/>
          <w:sz w:val="21"/>
        </w:rPr>
        <w:t>of conducting tree works in </w:t>
      </w:r>
      <w:r>
        <w:rPr>
          <w:spacing w:val="-3"/>
          <w:w w:val="105"/>
          <w:sz w:val="21"/>
        </w:rPr>
        <w:t>accordance </w:t>
      </w:r>
      <w:r>
        <w:rPr>
          <w:w w:val="105"/>
          <w:sz w:val="21"/>
        </w:rPr>
        <w:t>with the </w:t>
      </w:r>
      <w:r>
        <w:rPr>
          <w:spacing w:val="-3"/>
          <w:w w:val="105"/>
          <w:sz w:val="21"/>
        </w:rPr>
        <w:t>Australian Standards to ensure </w:t>
      </w:r>
      <w:r>
        <w:rPr>
          <w:w w:val="105"/>
          <w:sz w:val="21"/>
        </w:rPr>
        <w:t>the </w:t>
      </w:r>
      <w:r>
        <w:rPr>
          <w:spacing w:val="-3"/>
          <w:w w:val="105"/>
          <w:sz w:val="21"/>
        </w:rPr>
        <w:t>health </w:t>
      </w:r>
      <w:r>
        <w:rPr>
          <w:w w:val="105"/>
          <w:sz w:val="21"/>
        </w:rPr>
        <w:t>and structural integrity of the </w:t>
      </w:r>
      <w:r>
        <w:rPr>
          <w:spacing w:val="-3"/>
          <w:w w:val="105"/>
          <w:sz w:val="21"/>
        </w:rPr>
        <w:t>tree. Boroondara </w:t>
      </w:r>
      <w:r>
        <w:rPr>
          <w:w w:val="105"/>
          <w:sz w:val="21"/>
        </w:rPr>
        <w:t>stated </w:t>
      </w:r>
      <w:r>
        <w:rPr>
          <w:spacing w:val="-3"/>
          <w:w w:val="105"/>
          <w:sz w:val="21"/>
        </w:rPr>
        <w:t>that </w:t>
      </w:r>
      <w:r>
        <w:rPr>
          <w:w w:val="105"/>
          <w:sz w:val="21"/>
        </w:rPr>
        <w:t>the best </w:t>
      </w:r>
      <w:r>
        <w:rPr>
          <w:spacing w:val="-3"/>
          <w:w w:val="105"/>
          <w:sz w:val="21"/>
        </w:rPr>
        <w:t>way for </w:t>
      </w:r>
      <w:r>
        <w:rPr>
          <w:w w:val="105"/>
          <w:sz w:val="21"/>
        </w:rPr>
        <w:t>community members </w:t>
      </w:r>
      <w:r>
        <w:rPr>
          <w:spacing w:val="-3"/>
          <w:w w:val="105"/>
          <w:sz w:val="21"/>
        </w:rPr>
        <w:t>to adhere to </w:t>
      </w:r>
      <w:r>
        <w:rPr>
          <w:w w:val="105"/>
          <w:sz w:val="21"/>
        </w:rPr>
        <w:t>the </w:t>
      </w:r>
      <w:r>
        <w:rPr>
          <w:spacing w:val="-3"/>
          <w:w w:val="105"/>
          <w:sz w:val="21"/>
        </w:rPr>
        <w:t>Australian Standards </w:t>
      </w:r>
      <w:r>
        <w:rPr>
          <w:w w:val="105"/>
          <w:sz w:val="21"/>
        </w:rPr>
        <w:t>is </w:t>
      </w:r>
      <w:r>
        <w:rPr>
          <w:spacing w:val="-3"/>
          <w:w w:val="105"/>
          <w:sz w:val="21"/>
        </w:rPr>
        <w:t>to </w:t>
      </w:r>
      <w:r>
        <w:rPr>
          <w:w w:val="105"/>
          <w:sz w:val="21"/>
        </w:rPr>
        <w:t>engage a suitably qualified </w:t>
      </w:r>
      <w:r>
        <w:rPr>
          <w:spacing w:val="-4"/>
          <w:w w:val="105"/>
          <w:sz w:val="21"/>
        </w:rPr>
        <w:t>arborist.</w:t>
      </w:r>
      <w:r>
        <w:rPr>
          <w:spacing w:val="-4"/>
          <w:w w:val="105"/>
          <w:position w:val="7"/>
          <w:sz w:val="12"/>
        </w:rPr>
        <w:t>126</w:t>
      </w:r>
    </w:p>
    <w:p>
      <w:pPr>
        <w:pStyle w:val="ListParagraph"/>
        <w:numPr>
          <w:ilvl w:val="1"/>
          <w:numId w:val="16"/>
        </w:numPr>
        <w:tabs>
          <w:tab w:pos="2380" w:val="left" w:leader="none"/>
          <w:tab w:pos="2381" w:val="left" w:leader="none"/>
        </w:tabs>
        <w:spacing w:line="242" w:lineRule="auto" w:before="127" w:after="0"/>
        <w:ind w:left="2381" w:right="1674" w:hanging="794"/>
        <w:jc w:val="left"/>
        <w:rPr>
          <w:sz w:val="21"/>
        </w:rPr>
      </w:pPr>
      <w:r>
        <w:rPr>
          <w:w w:val="105"/>
          <w:sz w:val="21"/>
        </w:rPr>
        <w:t>One</w:t>
      </w:r>
      <w:r>
        <w:rPr>
          <w:spacing w:val="-5"/>
          <w:w w:val="105"/>
          <w:sz w:val="21"/>
        </w:rPr>
        <w:t> </w:t>
      </w:r>
      <w:r>
        <w:rPr>
          <w:w w:val="105"/>
          <w:sz w:val="21"/>
        </w:rPr>
        <w:t>person</w:t>
      </w:r>
      <w:r>
        <w:rPr>
          <w:spacing w:val="-5"/>
          <w:w w:val="105"/>
          <w:sz w:val="21"/>
        </w:rPr>
        <w:t> </w:t>
      </w:r>
      <w:r>
        <w:rPr>
          <w:w w:val="105"/>
          <w:sz w:val="21"/>
        </w:rPr>
        <w:t>suggested</w:t>
      </w:r>
      <w:r>
        <w:rPr>
          <w:spacing w:val="-5"/>
          <w:w w:val="105"/>
          <w:sz w:val="21"/>
        </w:rPr>
        <w:t> </w:t>
      </w:r>
      <w:r>
        <w:rPr>
          <w:spacing w:val="-3"/>
          <w:w w:val="105"/>
          <w:sz w:val="21"/>
        </w:rPr>
        <w:t>that</w:t>
      </w:r>
      <w:r>
        <w:rPr>
          <w:spacing w:val="-5"/>
          <w:w w:val="105"/>
          <w:sz w:val="21"/>
        </w:rPr>
        <w:t> </w:t>
      </w:r>
      <w:r>
        <w:rPr>
          <w:spacing w:val="-3"/>
          <w:w w:val="105"/>
          <w:sz w:val="21"/>
        </w:rPr>
        <w:t>abatement</w:t>
      </w:r>
      <w:r>
        <w:rPr>
          <w:spacing w:val="-4"/>
          <w:w w:val="105"/>
          <w:sz w:val="21"/>
        </w:rPr>
        <w:t> </w:t>
      </w:r>
      <w:r>
        <w:rPr>
          <w:w w:val="105"/>
          <w:sz w:val="21"/>
        </w:rPr>
        <w:t>should</w:t>
      </w:r>
      <w:r>
        <w:rPr>
          <w:spacing w:val="-5"/>
          <w:w w:val="105"/>
          <w:sz w:val="21"/>
        </w:rPr>
        <w:t> </w:t>
      </w:r>
      <w:r>
        <w:rPr>
          <w:w w:val="105"/>
          <w:sz w:val="21"/>
        </w:rPr>
        <w:t>be</w:t>
      </w:r>
      <w:r>
        <w:rPr>
          <w:spacing w:val="-5"/>
          <w:w w:val="105"/>
          <w:sz w:val="21"/>
        </w:rPr>
        <w:t> </w:t>
      </w:r>
      <w:r>
        <w:rPr>
          <w:w w:val="105"/>
          <w:sz w:val="21"/>
        </w:rPr>
        <w:t>expanded</w:t>
      </w:r>
      <w:r>
        <w:rPr>
          <w:spacing w:val="-5"/>
          <w:w w:val="105"/>
          <w:sz w:val="21"/>
        </w:rPr>
        <w:t> </w:t>
      </w:r>
      <w:r>
        <w:rPr>
          <w:spacing w:val="-3"/>
          <w:w w:val="105"/>
          <w:sz w:val="21"/>
        </w:rPr>
        <w:t>to</w:t>
      </w:r>
      <w:r>
        <w:rPr>
          <w:spacing w:val="-4"/>
          <w:w w:val="105"/>
          <w:sz w:val="21"/>
        </w:rPr>
        <w:t> </w:t>
      </w:r>
      <w:r>
        <w:rPr>
          <w:spacing w:val="-3"/>
          <w:w w:val="105"/>
          <w:sz w:val="21"/>
        </w:rPr>
        <w:t>allow</w:t>
      </w:r>
      <w:r>
        <w:rPr>
          <w:spacing w:val="-5"/>
          <w:w w:val="105"/>
          <w:sz w:val="21"/>
        </w:rPr>
        <w:t> </w:t>
      </w:r>
      <w:r>
        <w:rPr>
          <w:w w:val="105"/>
          <w:sz w:val="21"/>
        </w:rPr>
        <w:t>affected</w:t>
      </w:r>
      <w:r>
        <w:rPr>
          <w:spacing w:val="-5"/>
          <w:w w:val="105"/>
          <w:sz w:val="21"/>
        </w:rPr>
        <w:t> </w:t>
      </w:r>
      <w:r>
        <w:rPr>
          <w:w w:val="105"/>
          <w:sz w:val="21"/>
        </w:rPr>
        <w:t>neighbours </w:t>
      </w:r>
      <w:r>
        <w:rPr>
          <w:spacing w:val="-3"/>
          <w:w w:val="105"/>
          <w:sz w:val="21"/>
        </w:rPr>
        <w:t>to </w:t>
      </w:r>
      <w:r>
        <w:rPr>
          <w:w w:val="105"/>
          <w:sz w:val="21"/>
        </w:rPr>
        <w:t>prune beyond property </w:t>
      </w:r>
      <w:r>
        <w:rPr>
          <w:spacing w:val="-3"/>
          <w:w w:val="105"/>
          <w:sz w:val="21"/>
        </w:rPr>
        <w:t>lines </w:t>
      </w:r>
      <w:r>
        <w:rPr>
          <w:w w:val="105"/>
          <w:sz w:val="21"/>
        </w:rPr>
        <w:t>without </w:t>
      </w:r>
      <w:r>
        <w:rPr>
          <w:spacing w:val="-3"/>
          <w:w w:val="105"/>
          <w:sz w:val="21"/>
        </w:rPr>
        <w:t>committing </w:t>
      </w:r>
      <w:r>
        <w:rPr>
          <w:w w:val="105"/>
          <w:sz w:val="21"/>
        </w:rPr>
        <w:t>trespass. It was suggested </w:t>
      </w:r>
      <w:r>
        <w:rPr>
          <w:spacing w:val="-3"/>
          <w:w w:val="105"/>
          <w:sz w:val="21"/>
        </w:rPr>
        <w:t>that </w:t>
      </w:r>
      <w:r>
        <w:rPr>
          <w:w w:val="105"/>
          <w:sz w:val="21"/>
        </w:rPr>
        <w:t>this should be </w:t>
      </w:r>
      <w:r>
        <w:rPr>
          <w:spacing w:val="-3"/>
          <w:w w:val="105"/>
          <w:sz w:val="21"/>
        </w:rPr>
        <w:t>allowed </w:t>
      </w:r>
      <w:r>
        <w:rPr>
          <w:w w:val="105"/>
          <w:sz w:val="21"/>
        </w:rPr>
        <w:t>where a </w:t>
      </w:r>
      <w:r>
        <w:rPr>
          <w:spacing w:val="-4"/>
          <w:w w:val="105"/>
          <w:sz w:val="21"/>
        </w:rPr>
        <w:t>‘genuine </w:t>
      </w:r>
      <w:r>
        <w:rPr>
          <w:w w:val="105"/>
          <w:sz w:val="21"/>
        </w:rPr>
        <w:t>need </w:t>
      </w:r>
      <w:r>
        <w:rPr>
          <w:spacing w:val="-5"/>
          <w:w w:val="105"/>
          <w:sz w:val="21"/>
        </w:rPr>
        <w:t>arises’, </w:t>
      </w:r>
      <w:r>
        <w:rPr>
          <w:spacing w:val="-3"/>
          <w:w w:val="105"/>
          <w:sz w:val="21"/>
        </w:rPr>
        <w:t>such </w:t>
      </w:r>
      <w:r>
        <w:rPr>
          <w:w w:val="105"/>
          <w:sz w:val="21"/>
        </w:rPr>
        <w:t>as where the tree owner </w:t>
      </w:r>
      <w:r>
        <w:rPr>
          <w:spacing w:val="-3"/>
          <w:w w:val="105"/>
          <w:sz w:val="21"/>
        </w:rPr>
        <w:t>refuses to </w:t>
      </w:r>
      <w:r>
        <w:rPr>
          <w:spacing w:val="-2"/>
          <w:w w:val="105"/>
          <w:sz w:val="21"/>
        </w:rPr>
        <w:t>cooperate </w:t>
      </w:r>
      <w:r>
        <w:rPr>
          <w:w w:val="105"/>
          <w:sz w:val="21"/>
        </w:rPr>
        <w:t>with </w:t>
      </w:r>
      <w:r>
        <w:rPr>
          <w:spacing w:val="-3"/>
          <w:w w:val="105"/>
          <w:sz w:val="21"/>
        </w:rPr>
        <w:t>reasonable </w:t>
      </w:r>
      <w:r>
        <w:rPr>
          <w:w w:val="105"/>
          <w:sz w:val="21"/>
        </w:rPr>
        <w:t>requests </w:t>
      </w:r>
      <w:r>
        <w:rPr>
          <w:spacing w:val="-3"/>
          <w:w w:val="105"/>
          <w:sz w:val="21"/>
        </w:rPr>
        <w:t>for </w:t>
      </w:r>
      <w:r>
        <w:rPr>
          <w:w w:val="105"/>
          <w:sz w:val="21"/>
        </w:rPr>
        <w:t>tree works, or </w:t>
      </w:r>
      <w:r>
        <w:rPr>
          <w:spacing w:val="-3"/>
          <w:w w:val="105"/>
          <w:sz w:val="21"/>
        </w:rPr>
        <w:t>for </w:t>
      </w:r>
      <w:r>
        <w:rPr>
          <w:w w:val="105"/>
          <w:sz w:val="21"/>
        </w:rPr>
        <w:t>practical </w:t>
      </w:r>
      <w:r>
        <w:rPr>
          <w:spacing w:val="-3"/>
          <w:w w:val="105"/>
          <w:sz w:val="21"/>
        </w:rPr>
        <w:t>reasons </w:t>
      </w:r>
      <w:r>
        <w:rPr>
          <w:w w:val="105"/>
          <w:sz w:val="21"/>
        </w:rPr>
        <w:t>where it </w:t>
      </w:r>
      <w:r>
        <w:rPr>
          <w:spacing w:val="-3"/>
          <w:w w:val="105"/>
          <w:sz w:val="21"/>
        </w:rPr>
        <w:t>may </w:t>
      </w:r>
      <w:r>
        <w:rPr>
          <w:w w:val="105"/>
          <w:sz w:val="21"/>
        </w:rPr>
        <w:t>be necessary </w:t>
      </w:r>
      <w:r>
        <w:rPr>
          <w:spacing w:val="-3"/>
          <w:w w:val="105"/>
          <w:sz w:val="21"/>
        </w:rPr>
        <w:t>to </w:t>
      </w:r>
      <w:r>
        <w:rPr>
          <w:w w:val="105"/>
          <w:sz w:val="21"/>
        </w:rPr>
        <w:t>cross boundaries due </w:t>
      </w:r>
      <w:r>
        <w:rPr>
          <w:spacing w:val="-3"/>
          <w:w w:val="105"/>
          <w:sz w:val="21"/>
        </w:rPr>
        <w:t>to narrow </w:t>
      </w:r>
      <w:r>
        <w:rPr>
          <w:w w:val="105"/>
          <w:sz w:val="21"/>
        </w:rPr>
        <w:t>or confined </w:t>
      </w:r>
      <w:r>
        <w:rPr>
          <w:spacing w:val="-3"/>
          <w:w w:val="105"/>
          <w:sz w:val="21"/>
        </w:rPr>
        <w:t>areas, </w:t>
      </w:r>
      <w:r>
        <w:rPr>
          <w:w w:val="105"/>
          <w:sz w:val="21"/>
        </w:rPr>
        <w:t>or </w:t>
      </w:r>
      <w:r>
        <w:rPr>
          <w:spacing w:val="-3"/>
          <w:w w:val="105"/>
          <w:sz w:val="21"/>
        </w:rPr>
        <w:t>for reasons </w:t>
      </w:r>
      <w:r>
        <w:rPr>
          <w:w w:val="105"/>
          <w:sz w:val="21"/>
        </w:rPr>
        <w:t>of </w:t>
      </w:r>
      <w:r>
        <w:rPr>
          <w:spacing w:val="-3"/>
          <w:w w:val="105"/>
          <w:sz w:val="21"/>
        </w:rPr>
        <w:t>maintaining </w:t>
      </w:r>
      <w:r>
        <w:rPr>
          <w:w w:val="105"/>
          <w:sz w:val="21"/>
        </w:rPr>
        <w:t>the </w:t>
      </w:r>
      <w:r>
        <w:rPr>
          <w:spacing w:val="-3"/>
          <w:w w:val="105"/>
          <w:sz w:val="21"/>
        </w:rPr>
        <w:t>health </w:t>
      </w:r>
      <w:r>
        <w:rPr>
          <w:w w:val="105"/>
          <w:sz w:val="21"/>
        </w:rPr>
        <w:t>and structure of the</w:t>
      </w:r>
      <w:r>
        <w:rPr>
          <w:spacing w:val="37"/>
          <w:w w:val="105"/>
          <w:sz w:val="21"/>
        </w:rPr>
        <w:t> </w:t>
      </w:r>
      <w:r>
        <w:rPr>
          <w:spacing w:val="-6"/>
          <w:w w:val="105"/>
          <w:sz w:val="21"/>
        </w:rPr>
        <w:t>tree.</w:t>
      </w:r>
      <w:r>
        <w:rPr>
          <w:spacing w:val="-6"/>
          <w:w w:val="105"/>
          <w:position w:val="7"/>
          <w:sz w:val="12"/>
        </w:rPr>
        <w:t>127</w:t>
      </w:r>
    </w:p>
    <w:p>
      <w:pPr>
        <w:pStyle w:val="BodyText"/>
        <w:rPr>
          <w:sz w:val="20"/>
        </w:rPr>
      </w:pPr>
    </w:p>
    <w:p>
      <w:pPr>
        <w:pStyle w:val="BodyText"/>
        <w:rPr>
          <w:sz w:val="20"/>
        </w:rPr>
      </w:pPr>
    </w:p>
    <w:p>
      <w:pPr>
        <w:pStyle w:val="BodyText"/>
        <w:spacing w:before="6"/>
        <w:rPr>
          <w:sz w:val="14"/>
        </w:rPr>
      </w:pPr>
      <w:r>
        <w:rPr/>
        <w:pict>
          <v:line style="position:absolute;mso-position-horizontal-relative:page;mso-position-vertical-relative:paragraph;z-index:5960;mso-wrap-distance-left:0;mso-wrap-distance-right:0" from="79.370102pt,11.309094pt" to="515.905102pt,11.30909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7"/>
        </w:rPr>
      </w:pPr>
    </w:p>
    <w:p>
      <w:pPr>
        <w:spacing w:before="0"/>
        <w:ind w:left="720" w:right="0" w:firstLine="0"/>
        <w:jc w:val="left"/>
        <w:rPr>
          <w:b/>
          <w:sz w:val="24"/>
        </w:rPr>
      </w:pPr>
      <w:r>
        <w:rPr>
          <w:b/>
          <w:color w:val="658464"/>
          <w:spacing w:val="-4"/>
          <w:w w:val="110"/>
          <w:sz w:val="24"/>
        </w:rPr>
        <w:t>122</w:t>
      </w:r>
    </w:p>
    <w:p>
      <w:pPr>
        <w:pStyle w:val="ListParagraph"/>
        <w:numPr>
          <w:ilvl w:val="0"/>
          <w:numId w:val="98"/>
        </w:numPr>
        <w:tabs>
          <w:tab w:pos="1230" w:val="left" w:leader="none"/>
          <w:tab w:pos="1231" w:val="left" w:leader="none"/>
        </w:tabs>
        <w:spacing w:line="240" w:lineRule="auto" w:before="48" w:after="0"/>
        <w:ind w:left="1230" w:right="1935" w:hanging="794"/>
        <w:jc w:val="left"/>
        <w:rPr>
          <w:sz w:val="13"/>
        </w:rPr>
      </w:pPr>
      <w:r>
        <w:rPr>
          <w:spacing w:val="2"/>
          <w:w w:val="108"/>
          <w:sz w:val="13"/>
        </w:rPr>
        <w:br w:type="column"/>
      </w:r>
      <w:r>
        <w:rPr>
          <w:w w:val="105"/>
          <w:sz w:val="13"/>
        </w:rPr>
        <w:t>Dispute Settlement Centre of Victoria, </w:t>
      </w:r>
      <w:r>
        <w:rPr>
          <w:i/>
          <w:w w:val="105"/>
          <w:sz w:val="13"/>
        </w:rPr>
        <w:t>Notice to Fence </w:t>
      </w:r>
      <w:r>
        <w:rPr>
          <w:w w:val="105"/>
          <w:sz w:val="13"/>
        </w:rPr>
        <w:t>(Web Page, </w:t>
      </w:r>
      <w:r>
        <w:rPr>
          <w:spacing w:val="-4"/>
          <w:w w:val="105"/>
          <w:sz w:val="13"/>
        </w:rPr>
        <w:t>12 </w:t>
      </w:r>
      <w:r>
        <w:rPr>
          <w:w w:val="105"/>
          <w:sz w:val="13"/>
        </w:rPr>
        <w:t>April 2019) &lt;https://</w:t>
      </w:r>
      <w:hyperlink r:id="rId134">
        <w:r>
          <w:rPr>
            <w:w w:val="105"/>
            <w:sz w:val="13"/>
          </w:rPr>
          <w:t>www.disputes.vic.gov.au/information-and-</w:t>
        </w:r>
      </w:hyperlink>
      <w:r>
        <w:rPr>
          <w:w w:val="105"/>
          <w:sz w:val="13"/>
        </w:rPr>
        <w:t> advice/fencing/notice-to-fence&gt;.</w:t>
      </w:r>
    </w:p>
    <w:p>
      <w:pPr>
        <w:pStyle w:val="ListParagraph"/>
        <w:numPr>
          <w:ilvl w:val="0"/>
          <w:numId w:val="98"/>
        </w:numPr>
        <w:tabs>
          <w:tab w:pos="1230" w:val="left" w:leader="none"/>
          <w:tab w:pos="1231" w:val="left" w:leader="none"/>
        </w:tabs>
        <w:spacing w:line="240" w:lineRule="auto" w:before="3" w:after="0"/>
        <w:ind w:left="1230" w:right="0" w:hanging="794"/>
        <w:jc w:val="left"/>
        <w:rPr>
          <w:sz w:val="13"/>
        </w:rPr>
      </w:pPr>
      <w:r>
        <w:rPr>
          <w:i/>
          <w:w w:val="105"/>
          <w:sz w:val="13"/>
        </w:rPr>
        <w:t>Fences</w:t>
      </w:r>
      <w:r>
        <w:rPr>
          <w:i/>
          <w:spacing w:val="4"/>
          <w:w w:val="105"/>
          <w:sz w:val="13"/>
        </w:rPr>
        <w:t> </w:t>
      </w:r>
      <w:r>
        <w:rPr>
          <w:i/>
          <w:w w:val="105"/>
          <w:sz w:val="13"/>
        </w:rPr>
        <w:t>Act</w:t>
      </w:r>
      <w:r>
        <w:rPr>
          <w:i/>
          <w:spacing w:val="5"/>
          <w:w w:val="105"/>
          <w:sz w:val="13"/>
        </w:rPr>
        <w:t> </w:t>
      </w:r>
      <w:r>
        <w:rPr>
          <w:i/>
          <w:w w:val="105"/>
          <w:sz w:val="13"/>
        </w:rPr>
        <w:t>1968</w:t>
      </w:r>
      <w:r>
        <w:rPr>
          <w:i/>
          <w:spacing w:val="5"/>
          <w:w w:val="105"/>
          <w:sz w:val="13"/>
        </w:rPr>
        <w:t> </w:t>
      </w:r>
      <w:r>
        <w:rPr>
          <w:spacing w:val="2"/>
          <w:w w:val="105"/>
          <w:sz w:val="13"/>
        </w:rPr>
        <w:t>(Vic)</w:t>
      </w:r>
      <w:r>
        <w:rPr>
          <w:spacing w:val="5"/>
          <w:w w:val="105"/>
          <w:sz w:val="13"/>
        </w:rPr>
        <w:t> </w:t>
      </w:r>
      <w:r>
        <w:rPr>
          <w:w w:val="105"/>
          <w:sz w:val="13"/>
        </w:rPr>
        <w:t>s</w:t>
      </w:r>
      <w:r>
        <w:rPr>
          <w:spacing w:val="5"/>
          <w:w w:val="105"/>
          <w:sz w:val="13"/>
        </w:rPr>
        <w:t> </w:t>
      </w:r>
      <w:r>
        <w:rPr>
          <w:spacing w:val="2"/>
          <w:w w:val="105"/>
          <w:sz w:val="13"/>
        </w:rPr>
        <w:t>13(3);</w:t>
      </w:r>
      <w:r>
        <w:rPr>
          <w:spacing w:val="5"/>
          <w:w w:val="105"/>
          <w:sz w:val="13"/>
        </w:rPr>
        <w:t> </w:t>
      </w:r>
      <w:r>
        <w:rPr>
          <w:w w:val="105"/>
          <w:sz w:val="13"/>
        </w:rPr>
        <w:t>Dispute</w:t>
      </w:r>
      <w:r>
        <w:rPr>
          <w:spacing w:val="5"/>
          <w:w w:val="105"/>
          <w:sz w:val="13"/>
        </w:rPr>
        <w:t> </w:t>
      </w:r>
      <w:r>
        <w:rPr>
          <w:w w:val="105"/>
          <w:sz w:val="13"/>
        </w:rPr>
        <w:t>Settlement</w:t>
      </w:r>
      <w:r>
        <w:rPr>
          <w:spacing w:val="5"/>
          <w:w w:val="105"/>
          <w:sz w:val="13"/>
        </w:rPr>
        <w:t> </w:t>
      </w:r>
      <w:r>
        <w:rPr>
          <w:w w:val="105"/>
          <w:sz w:val="13"/>
        </w:rPr>
        <w:t>Centre</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Notice</w:t>
      </w:r>
      <w:r>
        <w:rPr>
          <w:i/>
          <w:spacing w:val="5"/>
          <w:w w:val="105"/>
          <w:sz w:val="13"/>
        </w:rPr>
        <w:t> </w:t>
      </w:r>
      <w:r>
        <w:rPr>
          <w:i/>
          <w:w w:val="105"/>
          <w:sz w:val="13"/>
        </w:rPr>
        <w:t>to</w:t>
      </w:r>
      <w:r>
        <w:rPr>
          <w:i/>
          <w:spacing w:val="5"/>
          <w:w w:val="105"/>
          <w:sz w:val="13"/>
        </w:rPr>
        <w:t> </w:t>
      </w:r>
      <w:r>
        <w:rPr>
          <w:i/>
          <w:w w:val="105"/>
          <w:sz w:val="13"/>
        </w:rPr>
        <w:t>Fence</w:t>
      </w:r>
      <w:r>
        <w:rPr>
          <w:i/>
          <w:spacing w:val="5"/>
          <w:w w:val="105"/>
          <w:sz w:val="13"/>
        </w:rPr>
        <w:t> </w:t>
      </w:r>
      <w:r>
        <w:rPr>
          <w:w w:val="105"/>
          <w:sz w:val="13"/>
        </w:rPr>
        <w:t>(Web</w:t>
      </w:r>
      <w:r>
        <w:rPr>
          <w:spacing w:val="5"/>
          <w:w w:val="105"/>
          <w:sz w:val="13"/>
        </w:rPr>
        <w:t> </w:t>
      </w:r>
      <w:r>
        <w:rPr>
          <w:w w:val="105"/>
          <w:sz w:val="13"/>
        </w:rPr>
        <w:t>Page,</w:t>
      </w:r>
      <w:r>
        <w:rPr>
          <w:spacing w:val="5"/>
          <w:w w:val="105"/>
          <w:sz w:val="13"/>
        </w:rPr>
        <w:t> </w:t>
      </w:r>
      <w:r>
        <w:rPr>
          <w:spacing w:val="-4"/>
          <w:w w:val="105"/>
          <w:sz w:val="13"/>
        </w:rPr>
        <w:t>12</w:t>
      </w:r>
      <w:r>
        <w:rPr>
          <w:spacing w:val="5"/>
          <w:w w:val="105"/>
          <w:sz w:val="13"/>
        </w:rPr>
        <w:t> </w:t>
      </w:r>
      <w:r>
        <w:rPr>
          <w:w w:val="105"/>
          <w:sz w:val="13"/>
        </w:rPr>
        <w:t>April</w:t>
      </w:r>
      <w:r>
        <w:rPr>
          <w:spacing w:val="5"/>
          <w:w w:val="105"/>
          <w:sz w:val="13"/>
        </w:rPr>
        <w:t> </w:t>
      </w:r>
      <w:r>
        <w:rPr>
          <w:w w:val="105"/>
          <w:sz w:val="13"/>
        </w:rPr>
        <w:t>2019)</w:t>
      </w:r>
    </w:p>
    <w:p>
      <w:pPr>
        <w:spacing w:before="1"/>
        <w:ind w:left="1230" w:right="0" w:firstLine="0"/>
        <w:jc w:val="left"/>
        <w:rPr>
          <w:sz w:val="13"/>
        </w:rPr>
      </w:pPr>
      <w:r>
        <w:rPr>
          <w:w w:val="105"/>
          <w:sz w:val="13"/>
        </w:rPr>
        <w:t>&lt;https://</w:t>
      </w:r>
      <w:hyperlink r:id="rId135">
        <w:r>
          <w:rPr>
            <w:w w:val="105"/>
            <w:sz w:val="13"/>
          </w:rPr>
          <w:t>www.disputes.vic.gov.au/information-and-advice/fencing/notice-to-fence</w:t>
        </w:r>
      </w:hyperlink>
      <w:r>
        <w:rPr>
          <w:w w:val="105"/>
          <w:sz w:val="13"/>
        </w:rPr>
        <w:t>&gt;.</w:t>
      </w:r>
    </w:p>
    <w:p>
      <w:pPr>
        <w:pStyle w:val="ListParagraph"/>
        <w:numPr>
          <w:ilvl w:val="0"/>
          <w:numId w:val="98"/>
        </w:numPr>
        <w:tabs>
          <w:tab w:pos="1230" w:val="left" w:leader="none"/>
          <w:tab w:pos="1231" w:val="left" w:leader="none"/>
        </w:tabs>
        <w:spacing w:line="240" w:lineRule="auto" w:before="1" w:after="0"/>
        <w:ind w:left="1230" w:right="0" w:hanging="794"/>
        <w:jc w:val="left"/>
        <w:rPr>
          <w:sz w:val="13"/>
        </w:rPr>
      </w:pPr>
      <w:r>
        <w:rPr>
          <w:i/>
          <w:w w:val="105"/>
          <w:sz w:val="13"/>
        </w:rPr>
        <w:t>Fences</w:t>
      </w:r>
      <w:r>
        <w:rPr>
          <w:i/>
          <w:spacing w:val="5"/>
          <w:w w:val="105"/>
          <w:sz w:val="13"/>
        </w:rPr>
        <w:t> </w:t>
      </w:r>
      <w:r>
        <w:rPr>
          <w:i/>
          <w:w w:val="105"/>
          <w:sz w:val="13"/>
        </w:rPr>
        <w:t>Act</w:t>
      </w:r>
      <w:r>
        <w:rPr>
          <w:i/>
          <w:spacing w:val="6"/>
          <w:w w:val="105"/>
          <w:sz w:val="13"/>
        </w:rPr>
        <w:t> </w:t>
      </w:r>
      <w:r>
        <w:rPr>
          <w:i/>
          <w:w w:val="105"/>
          <w:sz w:val="13"/>
        </w:rPr>
        <w:t>1968</w:t>
      </w:r>
      <w:r>
        <w:rPr>
          <w:i/>
          <w:spacing w:val="5"/>
          <w:w w:val="105"/>
          <w:sz w:val="13"/>
        </w:rPr>
        <w:t> </w:t>
      </w:r>
      <w:r>
        <w:rPr>
          <w:spacing w:val="2"/>
          <w:w w:val="105"/>
          <w:sz w:val="13"/>
        </w:rPr>
        <w:t>(Vic)</w:t>
      </w:r>
      <w:r>
        <w:rPr>
          <w:spacing w:val="6"/>
          <w:w w:val="105"/>
          <w:sz w:val="13"/>
        </w:rPr>
        <w:t> </w:t>
      </w:r>
      <w:r>
        <w:rPr>
          <w:w w:val="105"/>
          <w:sz w:val="13"/>
        </w:rPr>
        <w:t>ss</w:t>
      </w:r>
      <w:r>
        <w:rPr>
          <w:spacing w:val="5"/>
          <w:w w:val="105"/>
          <w:sz w:val="13"/>
        </w:rPr>
        <w:t> </w:t>
      </w:r>
      <w:r>
        <w:rPr>
          <w:spacing w:val="-6"/>
          <w:w w:val="105"/>
          <w:sz w:val="13"/>
        </w:rPr>
        <w:t>17,</w:t>
      </w:r>
      <w:r>
        <w:rPr>
          <w:spacing w:val="6"/>
          <w:w w:val="105"/>
          <w:sz w:val="13"/>
        </w:rPr>
        <w:t> </w:t>
      </w:r>
      <w:r>
        <w:rPr>
          <w:w w:val="105"/>
          <w:sz w:val="13"/>
        </w:rPr>
        <w:t>19;</w:t>
      </w:r>
      <w:r>
        <w:rPr>
          <w:spacing w:val="6"/>
          <w:w w:val="105"/>
          <w:sz w:val="13"/>
        </w:rPr>
        <w:t> </w:t>
      </w:r>
      <w:r>
        <w:rPr>
          <w:w w:val="105"/>
          <w:sz w:val="13"/>
        </w:rPr>
        <w:t>Department</w:t>
      </w:r>
      <w:r>
        <w:rPr>
          <w:spacing w:val="5"/>
          <w:w w:val="105"/>
          <w:sz w:val="13"/>
        </w:rPr>
        <w:t> </w:t>
      </w:r>
      <w:r>
        <w:rPr>
          <w:w w:val="105"/>
          <w:sz w:val="13"/>
        </w:rPr>
        <w:t>of</w:t>
      </w:r>
      <w:r>
        <w:rPr>
          <w:spacing w:val="6"/>
          <w:w w:val="105"/>
          <w:sz w:val="13"/>
        </w:rPr>
        <w:t> </w:t>
      </w:r>
      <w:r>
        <w:rPr>
          <w:w w:val="105"/>
          <w:sz w:val="13"/>
        </w:rPr>
        <w:t>Justice</w:t>
      </w:r>
      <w:r>
        <w:rPr>
          <w:spacing w:val="5"/>
          <w:w w:val="105"/>
          <w:sz w:val="13"/>
        </w:rPr>
        <w:t> </w:t>
      </w:r>
      <w:r>
        <w:rPr>
          <w:w w:val="105"/>
          <w:sz w:val="13"/>
        </w:rPr>
        <w:t>and</w:t>
      </w:r>
      <w:r>
        <w:rPr>
          <w:spacing w:val="6"/>
          <w:w w:val="105"/>
          <w:sz w:val="13"/>
        </w:rPr>
        <w:t> </w:t>
      </w:r>
      <w:r>
        <w:rPr>
          <w:w w:val="105"/>
          <w:sz w:val="13"/>
        </w:rPr>
        <w:t>Community</w:t>
      </w:r>
      <w:r>
        <w:rPr>
          <w:spacing w:val="5"/>
          <w:w w:val="105"/>
          <w:sz w:val="13"/>
        </w:rPr>
        <w:t> </w:t>
      </w:r>
      <w:r>
        <w:rPr>
          <w:w w:val="105"/>
          <w:sz w:val="13"/>
        </w:rPr>
        <w:t>Safety</w:t>
      </w:r>
      <w:r>
        <w:rPr>
          <w:spacing w:val="6"/>
          <w:w w:val="105"/>
          <w:sz w:val="13"/>
        </w:rPr>
        <w:t> </w:t>
      </w:r>
      <w:r>
        <w:rPr>
          <w:spacing w:val="2"/>
          <w:w w:val="105"/>
          <w:sz w:val="13"/>
        </w:rPr>
        <w:t>(Vic),</w:t>
      </w:r>
      <w:r>
        <w:rPr>
          <w:spacing w:val="6"/>
          <w:w w:val="105"/>
          <w:sz w:val="13"/>
        </w:rPr>
        <w:t> </w:t>
      </w:r>
      <w:r>
        <w:rPr>
          <w:i/>
          <w:w w:val="105"/>
          <w:sz w:val="13"/>
        </w:rPr>
        <w:t>Fencing</w:t>
      </w:r>
      <w:r>
        <w:rPr>
          <w:i/>
          <w:spacing w:val="5"/>
          <w:w w:val="105"/>
          <w:sz w:val="13"/>
        </w:rPr>
        <w:t> </w:t>
      </w:r>
      <w:r>
        <w:rPr>
          <w:i/>
          <w:w w:val="105"/>
          <w:sz w:val="13"/>
        </w:rPr>
        <w:t>Law</w:t>
      </w:r>
      <w:r>
        <w:rPr>
          <w:i/>
          <w:spacing w:val="6"/>
          <w:w w:val="105"/>
          <w:sz w:val="13"/>
        </w:rPr>
        <w:t> </w:t>
      </w:r>
      <w:r>
        <w:rPr>
          <w:i/>
          <w:w w:val="105"/>
          <w:sz w:val="13"/>
        </w:rPr>
        <w:t>in</w:t>
      </w:r>
      <w:r>
        <w:rPr>
          <w:i/>
          <w:spacing w:val="5"/>
          <w:w w:val="105"/>
          <w:sz w:val="13"/>
        </w:rPr>
        <w:t> </w:t>
      </w:r>
      <w:r>
        <w:rPr>
          <w:i/>
          <w:w w:val="105"/>
          <w:sz w:val="13"/>
        </w:rPr>
        <w:t>Victoria</w:t>
      </w:r>
      <w:r>
        <w:rPr>
          <w:i/>
          <w:spacing w:val="6"/>
          <w:w w:val="105"/>
          <w:sz w:val="13"/>
        </w:rPr>
        <w:t> </w:t>
      </w:r>
      <w:r>
        <w:rPr>
          <w:w w:val="105"/>
          <w:sz w:val="13"/>
        </w:rPr>
        <w:t>(Web</w:t>
      </w:r>
      <w:r>
        <w:rPr>
          <w:spacing w:val="5"/>
          <w:w w:val="105"/>
          <w:sz w:val="13"/>
        </w:rPr>
        <w:t> </w:t>
      </w:r>
      <w:r>
        <w:rPr>
          <w:w w:val="105"/>
          <w:sz w:val="13"/>
        </w:rPr>
        <w:t>Page,</w:t>
      </w:r>
      <w:r>
        <w:rPr>
          <w:spacing w:val="6"/>
          <w:w w:val="105"/>
          <w:sz w:val="13"/>
        </w:rPr>
        <w:t> </w:t>
      </w:r>
      <w:r>
        <w:rPr>
          <w:w w:val="105"/>
          <w:sz w:val="13"/>
        </w:rPr>
        <w:t>31</w:t>
      </w:r>
      <w:r>
        <w:rPr>
          <w:spacing w:val="6"/>
          <w:w w:val="105"/>
          <w:sz w:val="13"/>
        </w:rPr>
        <w:t> </w:t>
      </w:r>
      <w:r>
        <w:rPr>
          <w:w w:val="105"/>
          <w:sz w:val="13"/>
        </w:rPr>
        <w:t>January</w:t>
      </w:r>
      <w:r>
        <w:rPr>
          <w:spacing w:val="5"/>
          <w:w w:val="105"/>
          <w:sz w:val="13"/>
        </w:rPr>
        <w:t> </w:t>
      </w:r>
      <w:r>
        <w:rPr>
          <w:w w:val="105"/>
          <w:sz w:val="13"/>
        </w:rPr>
        <w:t>2019)</w:t>
      </w:r>
    </w:p>
    <w:p>
      <w:pPr>
        <w:spacing w:before="2"/>
        <w:ind w:left="1230" w:right="0" w:firstLine="0"/>
        <w:jc w:val="left"/>
        <w:rPr>
          <w:sz w:val="13"/>
        </w:rPr>
      </w:pPr>
      <w:r>
        <w:rPr>
          <w:sz w:val="13"/>
        </w:rPr>
        <w:t>&lt;https://</w:t>
      </w:r>
      <w:hyperlink r:id="rId136">
        <w:r>
          <w:rPr>
            <w:sz w:val="13"/>
          </w:rPr>
          <w:t>www.justice.vic.gov.au/justice-system/laws-and-regulation/civil-law/fencing-law-in-victoria</w:t>
        </w:r>
      </w:hyperlink>
      <w:r>
        <w:rPr>
          <w:sz w:val="13"/>
        </w:rPr>
        <w:t>&gt;.</w:t>
      </w:r>
    </w:p>
    <w:p>
      <w:pPr>
        <w:pStyle w:val="ListParagraph"/>
        <w:numPr>
          <w:ilvl w:val="0"/>
          <w:numId w:val="98"/>
        </w:numPr>
        <w:tabs>
          <w:tab w:pos="1230" w:val="left" w:leader="none"/>
          <w:tab w:pos="1231" w:val="left" w:leader="none"/>
        </w:tabs>
        <w:spacing w:line="240" w:lineRule="auto" w:before="1" w:after="0"/>
        <w:ind w:left="1230" w:right="0" w:hanging="794"/>
        <w:jc w:val="left"/>
        <w:rPr>
          <w:sz w:val="13"/>
        </w:rPr>
      </w:pPr>
      <w:r>
        <w:rPr>
          <w:w w:val="105"/>
          <w:sz w:val="13"/>
        </w:rPr>
        <w:t>Submissions </w:t>
      </w:r>
      <w:r>
        <w:rPr>
          <w:spacing w:val="-3"/>
          <w:w w:val="105"/>
          <w:sz w:val="13"/>
        </w:rPr>
        <w:t>19 </w:t>
      </w:r>
      <w:r>
        <w:rPr>
          <w:spacing w:val="2"/>
          <w:w w:val="105"/>
          <w:sz w:val="13"/>
        </w:rPr>
        <w:t>(Name </w:t>
      </w:r>
      <w:r>
        <w:rPr>
          <w:w w:val="105"/>
          <w:sz w:val="13"/>
        </w:rPr>
        <w:t>withheld); Confidential</w:t>
      </w:r>
      <w:r>
        <w:rPr>
          <w:spacing w:val="24"/>
          <w:w w:val="105"/>
          <w:sz w:val="13"/>
        </w:rPr>
        <w:t> </w:t>
      </w:r>
      <w:r>
        <w:rPr>
          <w:w w:val="105"/>
          <w:sz w:val="13"/>
        </w:rPr>
        <w:t>submission.</w:t>
      </w:r>
    </w:p>
    <w:p>
      <w:pPr>
        <w:pStyle w:val="ListParagraph"/>
        <w:numPr>
          <w:ilvl w:val="0"/>
          <w:numId w:val="98"/>
        </w:numPr>
        <w:tabs>
          <w:tab w:pos="1230" w:val="left" w:leader="none"/>
          <w:tab w:pos="1231" w:val="left" w:leader="none"/>
        </w:tabs>
        <w:spacing w:line="240" w:lineRule="auto" w:before="1" w:after="0"/>
        <w:ind w:left="1230" w:right="0" w:hanging="794"/>
        <w:jc w:val="left"/>
        <w:rPr>
          <w:sz w:val="13"/>
        </w:rPr>
      </w:pPr>
      <w:r>
        <w:rPr>
          <w:w w:val="105"/>
          <w:sz w:val="13"/>
        </w:rPr>
        <w:t>Submission </w:t>
      </w:r>
      <w:r>
        <w:rPr>
          <w:spacing w:val="-3"/>
          <w:w w:val="105"/>
          <w:sz w:val="13"/>
        </w:rPr>
        <w:t>19 </w:t>
      </w:r>
      <w:r>
        <w:rPr>
          <w:spacing w:val="2"/>
          <w:w w:val="105"/>
          <w:sz w:val="13"/>
        </w:rPr>
        <w:t>(Name</w:t>
      </w:r>
      <w:r>
        <w:rPr>
          <w:spacing w:val="16"/>
          <w:w w:val="105"/>
          <w:sz w:val="13"/>
        </w:rPr>
        <w:t> </w:t>
      </w:r>
      <w:r>
        <w:rPr>
          <w:w w:val="105"/>
          <w:sz w:val="13"/>
        </w:rPr>
        <w:t>withheld).</w:t>
      </w:r>
    </w:p>
    <w:p>
      <w:pPr>
        <w:pStyle w:val="ListParagraph"/>
        <w:numPr>
          <w:ilvl w:val="0"/>
          <w:numId w:val="98"/>
        </w:numPr>
        <w:tabs>
          <w:tab w:pos="1230" w:val="left" w:leader="none"/>
          <w:tab w:pos="1231" w:val="left" w:leader="none"/>
        </w:tabs>
        <w:spacing w:line="240" w:lineRule="auto" w:before="2" w:after="0"/>
        <w:ind w:left="1230" w:right="3064" w:hanging="794"/>
        <w:jc w:val="left"/>
        <w:rPr>
          <w:sz w:val="13"/>
        </w:rPr>
      </w:pPr>
      <w:r>
        <w:rPr>
          <w:w w:val="105"/>
          <w:sz w:val="13"/>
        </w:rPr>
        <w:t>Community Law </w:t>
      </w:r>
      <w:r>
        <w:rPr>
          <w:spacing w:val="3"/>
          <w:w w:val="105"/>
          <w:sz w:val="13"/>
        </w:rPr>
        <w:t>(NZ), </w:t>
      </w:r>
      <w:r>
        <w:rPr>
          <w:i/>
          <w:w w:val="105"/>
          <w:sz w:val="13"/>
        </w:rPr>
        <w:t>Trees—Overview </w:t>
      </w:r>
      <w:r>
        <w:rPr>
          <w:w w:val="105"/>
          <w:sz w:val="13"/>
        </w:rPr>
        <w:t>(Web Page, 2019) &lt;</w:t>
      </w:r>
      <w:hyperlink r:id="rId137">
        <w:r>
          <w:rPr>
            <w:w w:val="105"/>
            <w:sz w:val="13"/>
          </w:rPr>
          <w:t>http://communitylaw.org.nz/community-law-manual/</w:t>
        </w:r>
      </w:hyperlink>
      <w:r>
        <w:rPr>
          <w:w w:val="105"/>
          <w:sz w:val="13"/>
        </w:rPr>
        <w:t> chapter-25-neighbourhood-life/trees/&gt;; see also </w:t>
      </w:r>
      <w:r>
        <w:rPr>
          <w:spacing w:val="2"/>
          <w:w w:val="105"/>
          <w:sz w:val="13"/>
        </w:rPr>
        <w:t>AFN </w:t>
      </w:r>
      <w:r>
        <w:rPr>
          <w:w w:val="105"/>
          <w:sz w:val="13"/>
        </w:rPr>
        <w:t>v </w:t>
      </w:r>
      <w:r>
        <w:rPr>
          <w:spacing w:val="2"/>
          <w:w w:val="105"/>
          <w:sz w:val="13"/>
        </w:rPr>
        <w:t>ZUI </w:t>
      </w:r>
      <w:r>
        <w:rPr>
          <w:w w:val="105"/>
          <w:sz w:val="13"/>
        </w:rPr>
        <w:t>[2012] NZDT 187</w:t>
      </w:r>
      <w:r>
        <w:rPr>
          <w:spacing w:val="7"/>
          <w:w w:val="105"/>
          <w:sz w:val="13"/>
        </w:rPr>
        <w:t> </w:t>
      </w:r>
      <w:r>
        <w:rPr>
          <w:spacing w:val="3"/>
          <w:w w:val="105"/>
          <w:sz w:val="13"/>
        </w:rPr>
        <w:t>[30].</w:t>
      </w:r>
    </w:p>
    <w:p>
      <w:pPr>
        <w:pStyle w:val="ListParagraph"/>
        <w:numPr>
          <w:ilvl w:val="0"/>
          <w:numId w:val="98"/>
        </w:numPr>
        <w:tabs>
          <w:tab w:pos="1230" w:val="left" w:leader="none"/>
          <w:tab w:pos="1231" w:val="left" w:leader="none"/>
        </w:tabs>
        <w:spacing w:line="240" w:lineRule="auto" w:before="2" w:after="0"/>
        <w:ind w:left="1230" w:right="0" w:hanging="794"/>
        <w:jc w:val="left"/>
        <w:rPr>
          <w:sz w:val="13"/>
        </w:rPr>
      </w:pPr>
      <w:r>
        <w:rPr>
          <w:w w:val="105"/>
          <w:sz w:val="13"/>
        </w:rPr>
        <w:t>Confidential</w:t>
      </w:r>
      <w:r>
        <w:rPr>
          <w:spacing w:val="4"/>
          <w:w w:val="105"/>
          <w:sz w:val="13"/>
        </w:rPr>
        <w:t> </w:t>
      </w:r>
      <w:r>
        <w:rPr>
          <w:w w:val="105"/>
          <w:sz w:val="13"/>
        </w:rPr>
        <w:t>submission.</w:t>
      </w:r>
    </w:p>
    <w:p>
      <w:pPr>
        <w:pStyle w:val="ListParagraph"/>
        <w:numPr>
          <w:ilvl w:val="0"/>
          <w:numId w:val="98"/>
        </w:numPr>
        <w:tabs>
          <w:tab w:pos="1230" w:val="left" w:leader="none"/>
          <w:tab w:pos="1231" w:val="left" w:leader="none"/>
        </w:tabs>
        <w:spacing w:line="240" w:lineRule="auto" w:before="2" w:after="0"/>
        <w:ind w:left="1230" w:right="0" w:hanging="794"/>
        <w:jc w:val="left"/>
        <w:rPr>
          <w:sz w:val="13"/>
        </w:rPr>
      </w:pPr>
      <w:r>
        <w:rPr>
          <w:w w:val="105"/>
          <w:sz w:val="13"/>
        </w:rPr>
        <w:t>Submission 21 (Pointon Partners</w:t>
      </w:r>
      <w:r>
        <w:rPr>
          <w:spacing w:val="17"/>
          <w:w w:val="105"/>
          <w:sz w:val="13"/>
        </w:rPr>
        <w:t> </w:t>
      </w:r>
      <w:r>
        <w:rPr>
          <w:spacing w:val="2"/>
          <w:w w:val="105"/>
          <w:sz w:val="13"/>
        </w:rPr>
        <w:t>Lawyers).</w:t>
      </w:r>
    </w:p>
    <w:p>
      <w:pPr>
        <w:pStyle w:val="ListParagraph"/>
        <w:numPr>
          <w:ilvl w:val="0"/>
          <w:numId w:val="98"/>
        </w:numPr>
        <w:tabs>
          <w:tab w:pos="1230" w:val="left" w:leader="none"/>
          <w:tab w:pos="1231" w:val="left" w:leader="none"/>
        </w:tabs>
        <w:spacing w:line="240" w:lineRule="auto" w:before="1" w:after="0"/>
        <w:ind w:left="1230" w:right="1627" w:hanging="794"/>
        <w:jc w:val="left"/>
        <w:rPr>
          <w:sz w:val="13"/>
        </w:rPr>
      </w:pPr>
      <w:r>
        <w:rPr>
          <w:w w:val="105"/>
          <w:sz w:val="13"/>
        </w:rPr>
        <w:t>Submission 7 </w:t>
      </w:r>
      <w:r>
        <w:rPr>
          <w:spacing w:val="2"/>
          <w:w w:val="105"/>
          <w:sz w:val="13"/>
        </w:rPr>
        <w:t>(Ben </w:t>
      </w:r>
      <w:r>
        <w:rPr>
          <w:w w:val="105"/>
          <w:sz w:val="13"/>
        </w:rPr>
        <w:t>Kenyon); Consultations 4 (Participants in facilitated discussion at </w:t>
      </w:r>
      <w:r>
        <w:rPr>
          <w:spacing w:val="4"/>
          <w:w w:val="105"/>
          <w:sz w:val="13"/>
        </w:rPr>
        <w:t>VTIO </w:t>
      </w:r>
      <w:r>
        <w:rPr>
          <w:w w:val="105"/>
          <w:sz w:val="13"/>
        </w:rPr>
        <w:t>ArborCamp2018), 6 </w:t>
      </w:r>
      <w:r>
        <w:rPr>
          <w:spacing w:val="2"/>
          <w:w w:val="105"/>
          <w:sz w:val="13"/>
        </w:rPr>
        <w:t>(Ben </w:t>
      </w:r>
      <w:r>
        <w:rPr>
          <w:w w:val="105"/>
          <w:sz w:val="13"/>
        </w:rPr>
        <w:t>Kenyon). See Standards Australia, </w:t>
      </w:r>
      <w:r>
        <w:rPr>
          <w:i/>
          <w:w w:val="105"/>
          <w:sz w:val="13"/>
        </w:rPr>
        <w:t>Pruning of Amenity Trees </w:t>
      </w:r>
      <w:r>
        <w:rPr>
          <w:spacing w:val="2"/>
          <w:w w:val="105"/>
          <w:sz w:val="13"/>
        </w:rPr>
        <w:t>(AS </w:t>
      </w:r>
      <w:r>
        <w:rPr>
          <w:w w:val="105"/>
          <w:sz w:val="13"/>
        </w:rPr>
        <w:t>4373-2007) (Sydney, NSW: Standards Australia, 2007); Standards Australia, </w:t>
      </w:r>
      <w:r>
        <w:rPr>
          <w:i/>
          <w:w w:val="105"/>
          <w:sz w:val="13"/>
        </w:rPr>
        <w:t>Protection of Trees on </w:t>
      </w:r>
      <w:r>
        <w:rPr>
          <w:i/>
          <w:w w:val="105"/>
          <w:sz w:val="13"/>
        </w:rPr>
        <w:t>Development Sites </w:t>
      </w:r>
      <w:r>
        <w:rPr>
          <w:spacing w:val="2"/>
          <w:w w:val="105"/>
          <w:sz w:val="13"/>
        </w:rPr>
        <w:t>(AS </w:t>
      </w:r>
      <w:r>
        <w:rPr>
          <w:w w:val="105"/>
          <w:sz w:val="13"/>
        </w:rPr>
        <w:t>4970-2009) (Sydney, NSW: Standards Australia,</w:t>
      </w:r>
      <w:r>
        <w:rPr>
          <w:spacing w:val="9"/>
          <w:w w:val="105"/>
          <w:sz w:val="13"/>
        </w:rPr>
        <w:t> </w:t>
      </w:r>
      <w:r>
        <w:rPr>
          <w:spacing w:val="3"/>
          <w:w w:val="105"/>
          <w:sz w:val="13"/>
        </w:rPr>
        <w:t>2009);</w:t>
      </w:r>
    </w:p>
    <w:p>
      <w:pPr>
        <w:pStyle w:val="ListParagraph"/>
        <w:numPr>
          <w:ilvl w:val="0"/>
          <w:numId w:val="98"/>
        </w:numPr>
        <w:tabs>
          <w:tab w:pos="1230" w:val="left" w:leader="none"/>
          <w:tab w:pos="1231" w:val="left" w:leader="none"/>
        </w:tabs>
        <w:spacing w:line="240" w:lineRule="auto" w:before="4" w:after="0"/>
        <w:ind w:left="1230" w:right="0" w:hanging="793"/>
        <w:jc w:val="left"/>
        <w:rPr>
          <w:sz w:val="13"/>
        </w:rPr>
      </w:pPr>
      <w:r>
        <w:rPr>
          <w:w w:val="105"/>
          <w:sz w:val="13"/>
        </w:rPr>
        <w:t>Consultation 8 (City of</w:t>
      </w:r>
      <w:r>
        <w:rPr>
          <w:spacing w:val="18"/>
          <w:w w:val="105"/>
          <w:sz w:val="13"/>
        </w:rPr>
        <w:t> </w:t>
      </w:r>
      <w:r>
        <w:rPr>
          <w:w w:val="105"/>
          <w:sz w:val="13"/>
        </w:rPr>
        <w:t>Boroondara).</w:t>
      </w:r>
    </w:p>
    <w:p>
      <w:pPr>
        <w:pStyle w:val="ListParagraph"/>
        <w:numPr>
          <w:ilvl w:val="0"/>
          <w:numId w:val="98"/>
        </w:numPr>
        <w:tabs>
          <w:tab w:pos="1230" w:val="left" w:leader="none"/>
          <w:tab w:pos="1231" w:val="left" w:leader="none"/>
        </w:tabs>
        <w:spacing w:line="240" w:lineRule="auto" w:before="1" w:after="0"/>
        <w:ind w:left="1230" w:right="0" w:hanging="793"/>
        <w:jc w:val="left"/>
        <w:rPr>
          <w:sz w:val="13"/>
        </w:rPr>
      </w:pPr>
      <w:r>
        <w:rPr>
          <w:w w:val="105"/>
          <w:sz w:val="13"/>
        </w:rPr>
        <w:t>Submission 23 </w:t>
      </w:r>
      <w:r>
        <w:rPr>
          <w:spacing w:val="2"/>
          <w:w w:val="105"/>
          <w:sz w:val="13"/>
        </w:rPr>
        <w:t>(Name</w:t>
      </w:r>
      <w:r>
        <w:rPr>
          <w:spacing w:val="13"/>
          <w:w w:val="105"/>
          <w:sz w:val="13"/>
        </w:rPr>
        <w:t> </w:t>
      </w:r>
      <w:r>
        <w:rPr>
          <w:w w:val="105"/>
          <w:sz w:val="13"/>
        </w:rPr>
        <w:t>withheld).</w:t>
      </w:r>
    </w:p>
    <w:p>
      <w:pPr>
        <w:spacing w:after="0" w:line="240" w:lineRule="auto"/>
        <w:jc w:val="left"/>
        <w:rPr>
          <w:sz w:val="13"/>
        </w:rPr>
        <w:sectPr>
          <w:type w:val="continuous"/>
          <w:pgSz w:w="11910" w:h="16840"/>
          <w:pgMar w:top="300" w:bottom="280" w:left="0" w:right="0"/>
          <w:cols w:num="2" w:equalWidth="0">
            <w:col w:w="1111" w:space="40"/>
            <w:col w:w="10759"/>
          </w:cols>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669" w:hanging="794"/>
        <w:jc w:val="left"/>
        <w:rPr>
          <w:sz w:val="21"/>
        </w:rPr>
      </w:pPr>
      <w:r>
        <w:rPr>
          <w:w w:val="105"/>
          <w:sz w:val="21"/>
        </w:rPr>
        <w:t>Another</w:t>
      </w:r>
      <w:r>
        <w:rPr>
          <w:spacing w:val="-9"/>
          <w:w w:val="105"/>
          <w:sz w:val="21"/>
        </w:rPr>
        <w:t> </w:t>
      </w:r>
      <w:r>
        <w:rPr>
          <w:w w:val="105"/>
          <w:sz w:val="21"/>
        </w:rPr>
        <w:t>response</w:t>
      </w:r>
      <w:r>
        <w:rPr>
          <w:spacing w:val="-9"/>
          <w:w w:val="105"/>
          <w:sz w:val="21"/>
        </w:rPr>
        <w:t> </w:t>
      </w:r>
      <w:r>
        <w:rPr>
          <w:spacing w:val="-3"/>
          <w:w w:val="105"/>
          <w:sz w:val="21"/>
        </w:rPr>
        <w:t>favoured</w:t>
      </w:r>
      <w:r>
        <w:rPr>
          <w:spacing w:val="-9"/>
          <w:w w:val="105"/>
          <w:sz w:val="21"/>
        </w:rPr>
        <w:t> </w:t>
      </w:r>
      <w:r>
        <w:rPr>
          <w:w w:val="105"/>
          <w:sz w:val="21"/>
        </w:rPr>
        <w:t>only</w:t>
      </w:r>
      <w:r>
        <w:rPr>
          <w:spacing w:val="-8"/>
          <w:w w:val="105"/>
          <w:sz w:val="21"/>
        </w:rPr>
        <w:t> </w:t>
      </w:r>
      <w:r>
        <w:rPr>
          <w:spacing w:val="-3"/>
          <w:w w:val="105"/>
          <w:sz w:val="21"/>
        </w:rPr>
        <w:t>allowing</w:t>
      </w:r>
      <w:r>
        <w:rPr>
          <w:spacing w:val="-9"/>
          <w:w w:val="105"/>
          <w:sz w:val="21"/>
        </w:rPr>
        <w:t> </w:t>
      </w:r>
      <w:r>
        <w:rPr>
          <w:spacing w:val="-3"/>
          <w:w w:val="105"/>
          <w:sz w:val="21"/>
        </w:rPr>
        <w:t>abatement</w:t>
      </w:r>
      <w:r>
        <w:rPr>
          <w:spacing w:val="-9"/>
          <w:w w:val="105"/>
          <w:sz w:val="21"/>
        </w:rPr>
        <w:t> </w:t>
      </w:r>
      <w:r>
        <w:rPr>
          <w:w w:val="105"/>
          <w:sz w:val="21"/>
        </w:rPr>
        <w:t>by</w:t>
      </w:r>
      <w:r>
        <w:rPr>
          <w:spacing w:val="-9"/>
          <w:w w:val="105"/>
          <w:sz w:val="21"/>
        </w:rPr>
        <w:t> </w:t>
      </w:r>
      <w:r>
        <w:rPr>
          <w:w w:val="105"/>
          <w:sz w:val="21"/>
        </w:rPr>
        <w:t>a</w:t>
      </w:r>
      <w:r>
        <w:rPr>
          <w:spacing w:val="-8"/>
          <w:w w:val="105"/>
          <w:sz w:val="21"/>
        </w:rPr>
        <w:t> </w:t>
      </w:r>
      <w:r>
        <w:rPr>
          <w:w w:val="105"/>
          <w:sz w:val="21"/>
        </w:rPr>
        <w:t>qualified</w:t>
      </w:r>
      <w:r>
        <w:rPr>
          <w:spacing w:val="-9"/>
          <w:w w:val="105"/>
          <w:sz w:val="21"/>
        </w:rPr>
        <w:t> </w:t>
      </w:r>
      <w:r>
        <w:rPr>
          <w:w w:val="105"/>
          <w:sz w:val="21"/>
        </w:rPr>
        <w:t>arborist</w:t>
      </w:r>
      <w:r>
        <w:rPr>
          <w:spacing w:val="-9"/>
          <w:w w:val="105"/>
          <w:sz w:val="21"/>
        </w:rPr>
        <w:t> </w:t>
      </w:r>
      <w:r>
        <w:rPr>
          <w:w w:val="105"/>
          <w:sz w:val="21"/>
        </w:rPr>
        <w:t>in</w:t>
      </w:r>
      <w:r>
        <w:rPr>
          <w:spacing w:val="-9"/>
          <w:w w:val="105"/>
          <w:sz w:val="21"/>
        </w:rPr>
        <w:t> </w:t>
      </w:r>
      <w:r>
        <w:rPr>
          <w:spacing w:val="-3"/>
          <w:w w:val="105"/>
          <w:sz w:val="21"/>
        </w:rPr>
        <w:t>accordance </w:t>
      </w:r>
      <w:r>
        <w:rPr>
          <w:w w:val="105"/>
          <w:sz w:val="21"/>
        </w:rPr>
        <w:t>with the </w:t>
      </w:r>
      <w:r>
        <w:rPr>
          <w:i/>
          <w:spacing w:val="-3"/>
          <w:w w:val="105"/>
          <w:sz w:val="21"/>
        </w:rPr>
        <w:t>Australian </w:t>
      </w:r>
      <w:r>
        <w:rPr>
          <w:i/>
          <w:spacing w:val="-4"/>
          <w:w w:val="105"/>
          <w:sz w:val="21"/>
        </w:rPr>
        <w:t>Standards </w:t>
      </w:r>
      <w:r>
        <w:rPr>
          <w:i/>
          <w:w w:val="105"/>
          <w:sz w:val="21"/>
        </w:rPr>
        <w:t>AS </w:t>
      </w:r>
      <w:r>
        <w:rPr>
          <w:i/>
          <w:spacing w:val="-4"/>
          <w:w w:val="105"/>
          <w:sz w:val="21"/>
        </w:rPr>
        <w:t>4373-2007—Pruning </w:t>
      </w:r>
      <w:r>
        <w:rPr>
          <w:i/>
          <w:spacing w:val="-3"/>
          <w:w w:val="105"/>
          <w:sz w:val="21"/>
        </w:rPr>
        <w:t>of </w:t>
      </w:r>
      <w:r>
        <w:rPr>
          <w:i/>
          <w:w w:val="105"/>
          <w:sz w:val="21"/>
        </w:rPr>
        <w:t>Amenity </w:t>
      </w:r>
      <w:r>
        <w:rPr>
          <w:i/>
          <w:spacing w:val="-4"/>
          <w:w w:val="105"/>
          <w:sz w:val="21"/>
        </w:rPr>
        <w:t>Trees </w:t>
      </w:r>
      <w:r>
        <w:rPr>
          <w:i/>
          <w:w w:val="105"/>
          <w:sz w:val="21"/>
        </w:rPr>
        <w:t>and AS </w:t>
      </w:r>
      <w:r>
        <w:rPr>
          <w:i/>
          <w:spacing w:val="-4"/>
          <w:w w:val="105"/>
          <w:sz w:val="21"/>
        </w:rPr>
        <w:t>4970- </w:t>
      </w:r>
      <w:r>
        <w:rPr>
          <w:i/>
          <w:w w:val="105"/>
          <w:sz w:val="21"/>
        </w:rPr>
        <w:t>2009—Protection </w:t>
      </w:r>
      <w:r>
        <w:rPr>
          <w:i/>
          <w:spacing w:val="-3"/>
          <w:w w:val="105"/>
          <w:sz w:val="21"/>
        </w:rPr>
        <w:t>of </w:t>
      </w:r>
      <w:r>
        <w:rPr>
          <w:i/>
          <w:spacing w:val="-4"/>
          <w:w w:val="105"/>
          <w:sz w:val="21"/>
        </w:rPr>
        <w:t>Trees </w:t>
      </w:r>
      <w:r>
        <w:rPr>
          <w:i/>
          <w:w w:val="105"/>
          <w:sz w:val="21"/>
        </w:rPr>
        <w:t>on Development </w:t>
      </w:r>
      <w:r>
        <w:rPr>
          <w:i/>
          <w:spacing w:val="-3"/>
          <w:w w:val="105"/>
          <w:sz w:val="21"/>
        </w:rPr>
        <w:t>Sites</w:t>
      </w:r>
      <w:r>
        <w:rPr>
          <w:spacing w:val="-3"/>
          <w:w w:val="105"/>
          <w:sz w:val="21"/>
        </w:rPr>
        <w:t>. </w:t>
      </w:r>
      <w:r>
        <w:rPr>
          <w:w w:val="105"/>
          <w:sz w:val="21"/>
        </w:rPr>
        <w:t>It was argued ‘this would protect both parties</w:t>
      </w:r>
      <w:r>
        <w:rPr>
          <w:spacing w:val="-13"/>
          <w:w w:val="105"/>
          <w:sz w:val="21"/>
        </w:rPr>
        <w:t> </w:t>
      </w:r>
      <w:r>
        <w:rPr>
          <w:w w:val="105"/>
          <w:sz w:val="21"/>
        </w:rPr>
        <w:t>by</w:t>
      </w:r>
      <w:r>
        <w:rPr>
          <w:spacing w:val="-12"/>
          <w:w w:val="105"/>
          <w:sz w:val="21"/>
        </w:rPr>
        <w:t> </w:t>
      </w:r>
      <w:r>
        <w:rPr>
          <w:spacing w:val="-3"/>
          <w:w w:val="105"/>
          <w:sz w:val="21"/>
        </w:rPr>
        <w:t>avoiding</w:t>
      </w:r>
      <w:r>
        <w:rPr>
          <w:spacing w:val="-12"/>
          <w:w w:val="105"/>
          <w:sz w:val="21"/>
        </w:rPr>
        <w:t> </w:t>
      </w:r>
      <w:r>
        <w:rPr>
          <w:spacing w:val="-3"/>
          <w:w w:val="105"/>
          <w:sz w:val="21"/>
        </w:rPr>
        <w:t>excessive,</w:t>
      </w:r>
      <w:r>
        <w:rPr>
          <w:spacing w:val="-12"/>
          <w:w w:val="105"/>
          <w:sz w:val="21"/>
        </w:rPr>
        <w:t> </w:t>
      </w:r>
      <w:r>
        <w:rPr>
          <w:w w:val="105"/>
          <w:sz w:val="21"/>
        </w:rPr>
        <w:t>unqualified</w:t>
      </w:r>
      <w:r>
        <w:rPr>
          <w:spacing w:val="-12"/>
          <w:w w:val="105"/>
          <w:sz w:val="21"/>
        </w:rPr>
        <w:t> </w:t>
      </w:r>
      <w:r>
        <w:rPr>
          <w:w w:val="105"/>
          <w:sz w:val="21"/>
        </w:rPr>
        <w:t>canopy</w:t>
      </w:r>
      <w:r>
        <w:rPr>
          <w:spacing w:val="-12"/>
          <w:w w:val="105"/>
          <w:sz w:val="21"/>
        </w:rPr>
        <w:t> </w:t>
      </w:r>
      <w:r>
        <w:rPr>
          <w:w w:val="105"/>
          <w:sz w:val="21"/>
        </w:rPr>
        <w:t>or</w:t>
      </w:r>
      <w:r>
        <w:rPr>
          <w:spacing w:val="-12"/>
          <w:w w:val="105"/>
          <w:sz w:val="21"/>
        </w:rPr>
        <w:t> </w:t>
      </w:r>
      <w:r>
        <w:rPr>
          <w:w w:val="105"/>
          <w:sz w:val="21"/>
        </w:rPr>
        <w:t>root</w:t>
      </w:r>
      <w:r>
        <w:rPr>
          <w:spacing w:val="-12"/>
          <w:w w:val="105"/>
          <w:sz w:val="21"/>
        </w:rPr>
        <w:t> </w:t>
      </w:r>
      <w:r>
        <w:rPr>
          <w:spacing w:val="-3"/>
          <w:w w:val="105"/>
          <w:sz w:val="21"/>
        </w:rPr>
        <w:t>pruning</w:t>
      </w:r>
      <w:r>
        <w:rPr>
          <w:spacing w:val="-13"/>
          <w:w w:val="105"/>
          <w:sz w:val="21"/>
        </w:rPr>
        <w:t> </w:t>
      </w:r>
      <w:r>
        <w:rPr>
          <w:spacing w:val="-3"/>
          <w:w w:val="105"/>
          <w:sz w:val="21"/>
        </w:rPr>
        <w:t>that</w:t>
      </w:r>
      <w:r>
        <w:rPr>
          <w:spacing w:val="-12"/>
          <w:w w:val="105"/>
          <w:sz w:val="21"/>
        </w:rPr>
        <w:t> </w:t>
      </w:r>
      <w:r>
        <w:rPr>
          <w:w w:val="105"/>
          <w:sz w:val="21"/>
        </w:rPr>
        <w:t>effectively</w:t>
      </w:r>
      <w:r>
        <w:rPr>
          <w:spacing w:val="-12"/>
          <w:w w:val="105"/>
          <w:sz w:val="21"/>
        </w:rPr>
        <w:t> </w:t>
      </w:r>
      <w:r>
        <w:rPr>
          <w:w w:val="105"/>
          <w:sz w:val="21"/>
        </w:rPr>
        <w:t>destroys someone </w:t>
      </w:r>
      <w:r>
        <w:rPr>
          <w:spacing w:val="-4"/>
          <w:w w:val="105"/>
          <w:sz w:val="21"/>
        </w:rPr>
        <w:t>else’s </w:t>
      </w:r>
      <w:r>
        <w:rPr>
          <w:w w:val="105"/>
          <w:sz w:val="21"/>
        </w:rPr>
        <w:t>property and </w:t>
      </w:r>
      <w:r>
        <w:rPr>
          <w:spacing w:val="-3"/>
          <w:w w:val="105"/>
          <w:sz w:val="21"/>
        </w:rPr>
        <w:t>increases </w:t>
      </w:r>
      <w:r>
        <w:rPr>
          <w:w w:val="105"/>
          <w:sz w:val="21"/>
        </w:rPr>
        <w:t>tree </w:t>
      </w:r>
      <w:r>
        <w:rPr>
          <w:spacing w:val="-3"/>
          <w:w w:val="105"/>
          <w:sz w:val="21"/>
        </w:rPr>
        <w:t>hazard, </w:t>
      </w:r>
      <w:r>
        <w:rPr>
          <w:w w:val="105"/>
          <w:sz w:val="21"/>
        </w:rPr>
        <w:t>and </w:t>
      </w:r>
      <w:r>
        <w:rPr>
          <w:spacing w:val="-3"/>
          <w:w w:val="105"/>
          <w:sz w:val="21"/>
        </w:rPr>
        <w:t>that </w:t>
      </w:r>
      <w:r>
        <w:rPr>
          <w:w w:val="105"/>
          <w:sz w:val="21"/>
        </w:rPr>
        <w:t>further </w:t>
      </w:r>
      <w:r>
        <w:rPr>
          <w:spacing w:val="-3"/>
          <w:w w:val="105"/>
          <w:sz w:val="21"/>
        </w:rPr>
        <w:t>complicates dispute </w:t>
      </w:r>
      <w:r>
        <w:rPr>
          <w:spacing w:val="-6"/>
          <w:w w:val="105"/>
          <w:sz w:val="21"/>
        </w:rPr>
        <w:t>situations’.</w:t>
      </w:r>
      <w:r>
        <w:rPr>
          <w:spacing w:val="-6"/>
          <w:w w:val="105"/>
          <w:position w:val="7"/>
          <w:sz w:val="12"/>
        </w:rPr>
        <w:t>128</w:t>
      </w:r>
    </w:p>
    <w:p>
      <w:pPr>
        <w:pStyle w:val="ListParagraph"/>
        <w:numPr>
          <w:ilvl w:val="1"/>
          <w:numId w:val="16"/>
        </w:numPr>
        <w:tabs>
          <w:tab w:pos="2380" w:val="left" w:leader="none"/>
          <w:tab w:pos="2381" w:val="left" w:leader="none"/>
        </w:tabs>
        <w:spacing w:line="242" w:lineRule="auto" w:before="127" w:after="0"/>
        <w:ind w:left="2380" w:right="2174" w:hanging="793"/>
        <w:jc w:val="left"/>
        <w:rPr>
          <w:sz w:val="21"/>
        </w:rPr>
      </w:pPr>
      <w:r>
        <w:rPr>
          <w:w w:val="105"/>
          <w:sz w:val="21"/>
        </w:rPr>
        <w:t>Some arborists </w:t>
      </w:r>
      <w:r>
        <w:rPr>
          <w:spacing w:val="-3"/>
          <w:w w:val="105"/>
          <w:sz w:val="21"/>
        </w:rPr>
        <w:t>favoured incorporating </w:t>
      </w:r>
      <w:r>
        <w:rPr>
          <w:w w:val="105"/>
          <w:sz w:val="21"/>
        </w:rPr>
        <w:t>the </w:t>
      </w:r>
      <w:r>
        <w:rPr>
          <w:spacing w:val="-3"/>
          <w:w w:val="105"/>
          <w:sz w:val="21"/>
        </w:rPr>
        <w:t>Australian Standards </w:t>
      </w:r>
      <w:r>
        <w:rPr>
          <w:spacing w:val="-4"/>
          <w:w w:val="105"/>
          <w:sz w:val="21"/>
        </w:rPr>
        <w:t>into </w:t>
      </w:r>
      <w:r>
        <w:rPr>
          <w:w w:val="105"/>
          <w:sz w:val="21"/>
        </w:rPr>
        <w:t>the new Act </w:t>
      </w:r>
      <w:r>
        <w:rPr>
          <w:spacing w:val="-3"/>
          <w:w w:val="105"/>
          <w:sz w:val="21"/>
        </w:rPr>
        <w:t>to improve </w:t>
      </w:r>
      <w:r>
        <w:rPr>
          <w:w w:val="105"/>
          <w:sz w:val="21"/>
        </w:rPr>
        <w:t>the resolution of tree </w:t>
      </w:r>
      <w:r>
        <w:rPr>
          <w:spacing w:val="-3"/>
          <w:w w:val="105"/>
          <w:sz w:val="21"/>
        </w:rPr>
        <w:t>disputes </w:t>
      </w:r>
      <w:r>
        <w:rPr>
          <w:w w:val="105"/>
          <w:sz w:val="21"/>
        </w:rPr>
        <w:t>more </w:t>
      </w:r>
      <w:r>
        <w:rPr>
          <w:spacing w:val="-5"/>
          <w:w w:val="105"/>
          <w:sz w:val="21"/>
        </w:rPr>
        <w:t>generally.</w:t>
      </w:r>
      <w:r>
        <w:rPr>
          <w:spacing w:val="-5"/>
          <w:w w:val="105"/>
          <w:position w:val="7"/>
          <w:sz w:val="12"/>
        </w:rPr>
        <w:t>129 </w:t>
      </w:r>
      <w:r>
        <w:rPr>
          <w:w w:val="105"/>
          <w:sz w:val="21"/>
        </w:rPr>
        <w:t>Dr Gregory Moore OAM explained,</w:t>
      </w:r>
    </w:p>
    <w:p>
      <w:pPr>
        <w:spacing w:line="254" w:lineRule="auto" w:before="133"/>
        <w:ind w:left="2834" w:right="1636" w:firstLine="0"/>
        <w:jc w:val="left"/>
        <w:rPr>
          <w:sz w:val="11"/>
        </w:rPr>
      </w:pPr>
      <w:r>
        <w:rPr>
          <w:w w:val="105"/>
          <w:sz w:val="20"/>
        </w:rPr>
        <w:t>These standards if properly applied </w:t>
      </w:r>
      <w:r>
        <w:rPr>
          <w:spacing w:val="-3"/>
          <w:w w:val="105"/>
          <w:sz w:val="20"/>
        </w:rPr>
        <w:t>could </w:t>
      </w:r>
      <w:r>
        <w:rPr>
          <w:w w:val="105"/>
          <w:sz w:val="20"/>
        </w:rPr>
        <w:t>significantly reduce tree disputes between neighbours and also reduce the </w:t>
      </w:r>
      <w:r>
        <w:rPr>
          <w:spacing w:val="-3"/>
          <w:w w:val="105"/>
          <w:sz w:val="20"/>
        </w:rPr>
        <w:t>likelihood </w:t>
      </w:r>
      <w:r>
        <w:rPr>
          <w:w w:val="105"/>
          <w:sz w:val="20"/>
        </w:rPr>
        <w:t>of tree damage and the costs of damage to trees</w:t>
      </w:r>
      <w:r>
        <w:rPr>
          <w:spacing w:val="-9"/>
          <w:w w:val="105"/>
          <w:sz w:val="20"/>
        </w:rPr>
        <w:t> </w:t>
      </w:r>
      <w:r>
        <w:rPr>
          <w:w w:val="105"/>
          <w:sz w:val="20"/>
        </w:rPr>
        <w:t>and</w:t>
      </w:r>
      <w:r>
        <w:rPr>
          <w:spacing w:val="-8"/>
          <w:w w:val="105"/>
          <w:sz w:val="20"/>
        </w:rPr>
        <w:t> </w:t>
      </w:r>
      <w:r>
        <w:rPr>
          <w:w w:val="105"/>
          <w:sz w:val="20"/>
        </w:rPr>
        <w:t>litigation</w:t>
      </w:r>
      <w:r>
        <w:rPr>
          <w:spacing w:val="-8"/>
          <w:w w:val="105"/>
          <w:sz w:val="20"/>
        </w:rPr>
        <w:t> </w:t>
      </w:r>
      <w:r>
        <w:rPr>
          <w:spacing w:val="-6"/>
          <w:w w:val="105"/>
          <w:sz w:val="20"/>
        </w:rPr>
        <w:t>...</w:t>
      </w:r>
      <w:r>
        <w:rPr>
          <w:spacing w:val="-8"/>
          <w:w w:val="105"/>
          <w:sz w:val="20"/>
        </w:rPr>
        <w:t> </w:t>
      </w:r>
      <w:r>
        <w:rPr>
          <w:w w:val="105"/>
          <w:sz w:val="20"/>
        </w:rPr>
        <w:t>It</w:t>
      </w:r>
      <w:r>
        <w:rPr>
          <w:spacing w:val="-8"/>
          <w:w w:val="105"/>
          <w:sz w:val="20"/>
        </w:rPr>
        <w:t> </w:t>
      </w:r>
      <w:r>
        <w:rPr>
          <w:w w:val="105"/>
          <w:sz w:val="20"/>
        </w:rPr>
        <w:t>is</w:t>
      </w:r>
      <w:r>
        <w:rPr>
          <w:spacing w:val="-8"/>
          <w:w w:val="105"/>
          <w:sz w:val="20"/>
        </w:rPr>
        <w:t> </w:t>
      </w:r>
      <w:r>
        <w:rPr>
          <w:w w:val="105"/>
          <w:sz w:val="20"/>
        </w:rPr>
        <w:t>also</w:t>
      </w:r>
      <w:r>
        <w:rPr>
          <w:spacing w:val="-8"/>
          <w:w w:val="105"/>
          <w:sz w:val="20"/>
        </w:rPr>
        <w:t> </w:t>
      </w:r>
      <w:r>
        <w:rPr>
          <w:w w:val="105"/>
          <w:sz w:val="20"/>
        </w:rPr>
        <w:t>worth</w:t>
      </w:r>
      <w:r>
        <w:rPr>
          <w:spacing w:val="-8"/>
          <w:w w:val="105"/>
          <w:sz w:val="20"/>
        </w:rPr>
        <w:t> </w:t>
      </w:r>
      <w:r>
        <w:rPr>
          <w:w w:val="105"/>
          <w:sz w:val="20"/>
        </w:rPr>
        <w:t>noting</w:t>
      </w:r>
      <w:r>
        <w:rPr>
          <w:spacing w:val="-8"/>
          <w:w w:val="105"/>
          <w:sz w:val="20"/>
        </w:rPr>
        <w:t> </w:t>
      </w:r>
      <w:r>
        <w:rPr>
          <w:w w:val="105"/>
          <w:sz w:val="20"/>
        </w:rPr>
        <w:t>that</w:t>
      </w:r>
      <w:r>
        <w:rPr>
          <w:spacing w:val="-8"/>
          <w:w w:val="105"/>
          <w:sz w:val="20"/>
        </w:rPr>
        <w:t> </w:t>
      </w:r>
      <w:r>
        <w:rPr>
          <w:w w:val="105"/>
          <w:sz w:val="20"/>
        </w:rPr>
        <w:t>these</w:t>
      </w:r>
      <w:r>
        <w:rPr>
          <w:spacing w:val="-8"/>
          <w:w w:val="105"/>
          <w:sz w:val="20"/>
        </w:rPr>
        <w:t> </w:t>
      </w:r>
      <w:r>
        <w:rPr>
          <w:w w:val="105"/>
          <w:sz w:val="20"/>
        </w:rPr>
        <w:t>[standards]</w:t>
      </w:r>
      <w:r>
        <w:rPr>
          <w:spacing w:val="-8"/>
          <w:w w:val="105"/>
          <w:sz w:val="20"/>
        </w:rPr>
        <w:t> </w:t>
      </w:r>
      <w:r>
        <w:rPr>
          <w:w w:val="105"/>
          <w:sz w:val="20"/>
        </w:rPr>
        <w:t>can</w:t>
      </w:r>
      <w:r>
        <w:rPr>
          <w:spacing w:val="-8"/>
          <w:w w:val="105"/>
          <w:sz w:val="20"/>
        </w:rPr>
        <w:t> </w:t>
      </w:r>
      <w:r>
        <w:rPr>
          <w:w w:val="105"/>
          <w:sz w:val="20"/>
        </w:rPr>
        <w:t>be</w:t>
      </w:r>
      <w:r>
        <w:rPr>
          <w:spacing w:val="-8"/>
          <w:w w:val="105"/>
          <w:sz w:val="20"/>
        </w:rPr>
        <w:t> </w:t>
      </w:r>
      <w:r>
        <w:rPr>
          <w:w w:val="105"/>
          <w:sz w:val="20"/>
        </w:rPr>
        <w:t>useful</w:t>
      </w:r>
      <w:r>
        <w:rPr>
          <w:spacing w:val="-8"/>
          <w:w w:val="105"/>
          <w:sz w:val="20"/>
        </w:rPr>
        <w:t> </w:t>
      </w:r>
      <w:r>
        <w:rPr>
          <w:w w:val="105"/>
          <w:sz w:val="20"/>
        </w:rPr>
        <w:t>beyond their defined</w:t>
      </w:r>
      <w:r>
        <w:rPr>
          <w:spacing w:val="10"/>
          <w:w w:val="105"/>
          <w:sz w:val="20"/>
        </w:rPr>
        <w:t> </w:t>
      </w:r>
      <w:r>
        <w:rPr>
          <w:spacing w:val="-3"/>
          <w:w w:val="105"/>
          <w:sz w:val="20"/>
        </w:rPr>
        <w:t>purposes.</w:t>
      </w:r>
      <w:r>
        <w:rPr>
          <w:spacing w:val="-3"/>
          <w:w w:val="105"/>
          <w:position w:val="7"/>
          <w:sz w:val="11"/>
        </w:rPr>
        <w:t>130</w:t>
      </w:r>
    </w:p>
    <w:p>
      <w:pPr>
        <w:pStyle w:val="BodyText"/>
        <w:spacing w:before="8"/>
        <w:rPr>
          <w:sz w:val="19"/>
        </w:rPr>
      </w:pPr>
    </w:p>
    <w:p>
      <w:pPr>
        <w:pStyle w:val="Heading5"/>
        <w:spacing w:line="244" w:lineRule="auto"/>
        <w:ind w:right="1636"/>
      </w:pPr>
      <w:r>
        <w:rPr>
          <w:w w:val="115"/>
        </w:rPr>
        <w:t>Community</w:t>
      </w:r>
      <w:r>
        <w:rPr>
          <w:spacing w:val="-20"/>
          <w:w w:val="115"/>
        </w:rPr>
        <w:t> </w:t>
      </w:r>
      <w:r>
        <w:rPr>
          <w:w w:val="115"/>
        </w:rPr>
        <w:t>responses—a</w:t>
      </w:r>
      <w:r>
        <w:rPr>
          <w:spacing w:val="-20"/>
          <w:w w:val="115"/>
        </w:rPr>
        <w:t> </w:t>
      </w:r>
      <w:r>
        <w:rPr>
          <w:w w:val="115"/>
        </w:rPr>
        <w:t>formal</w:t>
      </w:r>
      <w:r>
        <w:rPr>
          <w:spacing w:val="-20"/>
          <w:w w:val="115"/>
        </w:rPr>
        <w:t> </w:t>
      </w:r>
      <w:r>
        <w:rPr>
          <w:w w:val="115"/>
        </w:rPr>
        <w:t>requirement</w:t>
      </w:r>
      <w:r>
        <w:rPr>
          <w:spacing w:val="-20"/>
          <w:w w:val="115"/>
        </w:rPr>
        <w:t> </w:t>
      </w:r>
      <w:r>
        <w:rPr>
          <w:w w:val="115"/>
        </w:rPr>
        <w:t>in</w:t>
      </w:r>
      <w:r>
        <w:rPr>
          <w:spacing w:val="-20"/>
          <w:w w:val="115"/>
        </w:rPr>
        <w:t> </w:t>
      </w:r>
      <w:r>
        <w:rPr>
          <w:w w:val="115"/>
        </w:rPr>
        <w:t>the</w:t>
      </w:r>
      <w:r>
        <w:rPr>
          <w:spacing w:val="-20"/>
          <w:w w:val="115"/>
        </w:rPr>
        <w:t> </w:t>
      </w:r>
      <w:r>
        <w:rPr>
          <w:w w:val="115"/>
        </w:rPr>
        <w:t>new</w:t>
      </w:r>
      <w:r>
        <w:rPr>
          <w:spacing w:val="-20"/>
          <w:w w:val="115"/>
        </w:rPr>
        <w:t> </w:t>
      </w:r>
      <w:r>
        <w:rPr>
          <w:w w:val="115"/>
        </w:rPr>
        <w:t>Act</w:t>
      </w:r>
      <w:r>
        <w:rPr>
          <w:spacing w:val="-20"/>
          <w:w w:val="115"/>
        </w:rPr>
        <w:t> </w:t>
      </w:r>
      <w:r>
        <w:rPr>
          <w:w w:val="115"/>
        </w:rPr>
        <w:t>for</w:t>
      </w:r>
      <w:r>
        <w:rPr>
          <w:spacing w:val="-20"/>
          <w:w w:val="115"/>
        </w:rPr>
        <w:t> </w:t>
      </w:r>
      <w:r>
        <w:rPr>
          <w:w w:val="115"/>
        </w:rPr>
        <w:t>‘reasonable attempts to reach</w:t>
      </w:r>
      <w:r>
        <w:rPr>
          <w:spacing w:val="8"/>
          <w:w w:val="115"/>
        </w:rPr>
        <w:t> </w:t>
      </w:r>
      <w:r>
        <w:rPr>
          <w:w w:val="115"/>
        </w:rPr>
        <w:t>agreement’</w:t>
      </w:r>
    </w:p>
    <w:p>
      <w:pPr>
        <w:pStyle w:val="ListParagraph"/>
        <w:numPr>
          <w:ilvl w:val="1"/>
          <w:numId w:val="16"/>
        </w:numPr>
        <w:tabs>
          <w:tab w:pos="2380" w:val="left" w:leader="none"/>
          <w:tab w:pos="2381" w:val="left" w:leader="none"/>
        </w:tabs>
        <w:spacing w:line="242" w:lineRule="auto" w:before="133" w:after="0"/>
        <w:ind w:left="2381" w:right="1647" w:hanging="794"/>
        <w:jc w:val="left"/>
        <w:rPr>
          <w:sz w:val="21"/>
        </w:rPr>
      </w:pPr>
      <w:r>
        <w:rPr>
          <w:w w:val="105"/>
          <w:sz w:val="21"/>
        </w:rPr>
        <w:t>The </w:t>
      </w:r>
      <w:r>
        <w:rPr>
          <w:spacing w:val="-3"/>
          <w:w w:val="105"/>
          <w:sz w:val="21"/>
        </w:rPr>
        <w:t>consultation </w:t>
      </w:r>
      <w:r>
        <w:rPr>
          <w:w w:val="105"/>
          <w:sz w:val="21"/>
        </w:rPr>
        <w:t>paper </w:t>
      </w:r>
      <w:r>
        <w:rPr>
          <w:spacing w:val="-3"/>
          <w:w w:val="105"/>
          <w:sz w:val="21"/>
        </w:rPr>
        <w:t>asked </w:t>
      </w:r>
      <w:r>
        <w:rPr>
          <w:w w:val="105"/>
          <w:sz w:val="21"/>
        </w:rPr>
        <w:t>whether parties should be </w:t>
      </w:r>
      <w:r>
        <w:rPr>
          <w:spacing w:val="-3"/>
          <w:w w:val="105"/>
          <w:sz w:val="21"/>
        </w:rPr>
        <w:t>required to </w:t>
      </w:r>
      <w:r>
        <w:rPr>
          <w:w w:val="105"/>
          <w:sz w:val="21"/>
        </w:rPr>
        <w:t>satisfy </w:t>
      </w:r>
      <w:r>
        <w:rPr>
          <w:spacing w:val="-3"/>
          <w:w w:val="105"/>
          <w:sz w:val="21"/>
        </w:rPr>
        <w:t>any preconditions before </w:t>
      </w:r>
      <w:r>
        <w:rPr>
          <w:w w:val="105"/>
          <w:sz w:val="21"/>
        </w:rPr>
        <w:t>orders </w:t>
      </w:r>
      <w:r>
        <w:rPr>
          <w:spacing w:val="-3"/>
          <w:w w:val="105"/>
          <w:sz w:val="21"/>
        </w:rPr>
        <w:t>could </w:t>
      </w:r>
      <w:r>
        <w:rPr>
          <w:w w:val="105"/>
          <w:sz w:val="21"/>
        </w:rPr>
        <w:t>be made under a new Act. A number of people supported the </w:t>
      </w:r>
      <w:r>
        <w:rPr>
          <w:spacing w:val="-3"/>
          <w:w w:val="105"/>
          <w:sz w:val="21"/>
        </w:rPr>
        <w:t>requirement that </w:t>
      </w:r>
      <w:r>
        <w:rPr>
          <w:w w:val="105"/>
          <w:sz w:val="21"/>
        </w:rPr>
        <w:t>neighbours attempt </w:t>
      </w:r>
      <w:r>
        <w:rPr>
          <w:spacing w:val="-3"/>
          <w:w w:val="105"/>
          <w:sz w:val="21"/>
        </w:rPr>
        <w:t>to </w:t>
      </w:r>
      <w:r>
        <w:rPr>
          <w:w w:val="105"/>
          <w:sz w:val="21"/>
        </w:rPr>
        <w:t>resolve their tree </w:t>
      </w:r>
      <w:r>
        <w:rPr>
          <w:spacing w:val="-3"/>
          <w:w w:val="105"/>
          <w:sz w:val="21"/>
        </w:rPr>
        <w:t>dispute informally before commencing </w:t>
      </w:r>
      <w:r>
        <w:rPr>
          <w:w w:val="105"/>
          <w:sz w:val="21"/>
        </w:rPr>
        <w:t>legal </w:t>
      </w:r>
      <w:r>
        <w:rPr>
          <w:spacing w:val="-4"/>
          <w:w w:val="105"/>
          <w:sz w:val="21"/>
        </w:rPr>
        <w:t>action,</w:t>
      </w:r>
      <w:r>
        <w:rPr>
          <w:spacing w:val="-4"/>
          <w:w w:val="105"/>
          <w:position w:val="7"/>
          <w:sz w:val="12"/>
        </w:rPr>
        <w:t>131 </w:t>
      </w:r>
      <w:r>
        <w:rPr>
          <w:w w:val="105"/>
          <w:sz w:val="21"/>
        </w:rPr>
        <w:t>either by </w:t>
      </w:r>
      <w:r>
        <w:rPr>
          <w:spacing w:val="-3"/>
          <w:w w:val="105"/>
          <w:sz w:val="21"/>
        </w:rPr>
        <w:t>way </w:t>
      </w:r>
      <w:r>
        <w:rPr>
          <w:w w:val="105"/>
          <w:sz w:val="21"/>
        </w:rPr>
        <w:t>of </w:t>
      </w:r>
      <w:r>
        <w:rPr>
          <w:spacing w:val="-3"/>
          <w:w w:val="105"/>
          <w:sz w:val="21"/>
        </w:rPr>
        <w:t>neighbour-led negotiation, </w:t>
      </w:r>
      <w:r>
        <w:rPr>
          <w:w w:val="105"/>
          <w:sz w:val="21"/>
        </w:rPr>
        <w:t>mediation or</w:t>
      </w:r>
      <w:r>
        <w:rPr>
          <w:spacing w:val="10"/>
          <w:w w:val="105"/>
          <w:sz w:val="21"/>
        </w:rPr>
        <w:t> </w:t>
      </w:r>
      <w:r>
        <w:rPr>
          <w:spacing w:val="-4"/>
          <w:w w:val="105"/>
          <w:sz w:val="21"/>
        </w:rPr>
        <w:t>abatement.</w:t>
      </w:r>
      <w:r>
        <w:rPr>
          <w:spacing w:val="-4"/>
          <w:w w:val="105"/>
          <w:position w:val="7"/>
          <w:sz w:val="12"/>
        </w:rPr>
        <w:t>132</w:t>
      </w:r>
    </w:p>
    <w:p>
      <w:pPr>
        <w:pStyle w:val="ListParagraph"/>
        <w:numPr>
          <w:ilvl w:val="1"/>
          <w:numId w:val="16"/>
        </w:numPr>
        <w:tabs>
          <w:tab w:pos="2381" w:val="left" w:leader="none"/>
          <w:tab w:pos="2382" w:val="left" w:leader="none"/>
        </w:tabs>
        <w:spacing w:line="242" w:lineRule="auto" w:before="125" w:after="0"/>
        <w:ind w:left="2381" w:right="1639" w:hanging="794"/>
        <w:jc w:val="left"/>
        <w:rPr>
          <w:sz w:val="21"/>
        </w:rPr>
      </w:pPr>
      <w:r>
        <w:rPr>
          <w:w w:val="105"/>
          <w:sz w:val="21"/>
        </w:rPr>
        <w:t>A tree </w:t>
      </w:r>
      <w:r>
        <w:rPr>
          <w:spacing w:val="-3"/>
          <w:w w:val="105"/>
          <w:sz w:val="21"/>
        </w:rPr>
        <w:t>disputes consultant </w:t>
      </w:r>
      <w:r>
        <w:rPr>
          <w:w w:val="105"/>
          <w:sz w:val="21"/>
        </w:rPr>
        <w:t>in New South </w:t>
      </w:r>
      <w:r>
        <w:rPr>
          <w:spacing w:val="-3"/>
          <w:w w:val="105"/>
          <w:sz w:val="21"/>
        </w:rPr>
        <w:t>Wales </w:t>
      </w:r>
      <w:r>
        <w:rPr>
          <w:w w:val="105"/>
          <w:sz w:val="21"/>
        </w:rPr>
        <w:t>cautioned </w:t>
      </w:r>
      <w:r>
        <w:rPr>
          <w:spacing w:val="-3"/>
          <w:w w:val="105"/>
          <w:sz w:val="21"/>
        </w:rPr>
        <w:t>that such </w:t>
      </w:r>
      <w:r>
        <w:rPr>
          <w:w w:val="105"/>
          <w:sz w:val="21"/>
        </w:rPr>
        <w:t>a </w:t>
      </w:r>
      <w:r>
        <w:rPr>
          <w:spacing w:val="-3"/>
          <w:w w:val="105"/>
          <w:sz w:val="21"/>
        </w:rPr>
        <w:t>precondition could limit </w:t>
      </w:r>
      <w:r>
        <w:rPr>
          <w:w w:val="105"/>
          <w:sz w:val="21"/>
        </w:rPr>
        <w:t>parties’ ability </w:t>
      </w:r>
      <w:r>
        <w:rPr>
          <w:spacing w:val="-3"/>
          <w:w w:val="105"/>
          <w:sz w:val="21"/>
        </w:rPr>
        <w:t>to </w:t>
      </w:r>
      <w:r>
        <w:rPr>
          <w:w w:val="105"/>
          <w:sz w:val="21"/>
        </w:rPr>
        <w:t>seek legal remedies, especially where the </w:t>
      </w:r>
      <w:r>
        <w:rPr>
          <w:spacing w:val="-3"/>
          <w:w w:val="105"/>
          <w:sz w:val="21"/>
        </w:rPr>
        <w:t>relationship </w:t>
      </w:r>
      <w:r>
        <w:rPr>
          <w:spacing w:val="-2"/>
          <w:w w:val="105"/>
          <w:sz w:val="21"/>
        </w:rPr>
        <w:t>has </w:t>
      </w:r>
      <w:r>
        <w:rPr>
          <w:spacing w:val="-3"/>
          <w:w w:val="105"/>
          <w:sz w:val="21"/>
        </w:rPr>
        <w:t>broken </w:t>
      </w:r>
      <w:r>
        <w:rPr>
          <w:w w:val="105"/>
          <w:sz w:val="21"/>
        </w:rPr>
        <w:t>down and parties </w:t>
      </w:r>
      <w:r>
        <w:rPr>
          <w:spacing w:val="-3"/>
          <w:w w:val="105"/>
          <w:sz w:val="21"/>
        </w:rPr>
        <w:t>refuse to communicate. </w:t>
      </w:r>
      <w:r>
        <w:rPr>
          <w:w w:val="105"/>
          <w:sz w:val="21"/>
        </w:rPr>
        <w:t>As a </w:t>
      </w:r>
      <w:r>
        <w:rPr>
          <w:spacing w:val="-3"/>
          <w:w w:val="105"/>
          <w:sz w:val="21"/>
        </w:rPr>
        <w:t>compromise, </w:t>
      </w:r>
      <w:r>
        <w:rPr>
          <w:w w:val="105"/>
          <w:sz w:val="21"/>
        </w:rPr>
        <w:t>it was suggested </w:t>
      </w:r>
      <w:r>
        <w:rPr>
          <w:spacing w:val="-3"/>
          <w:w w:val="105"/>
          <w:sz w:val="21"/>
        </w:rPr>
        <w:t>that </w:t>
      </w:r>
      <w:r>
        <w:rPr>
          <w:w w:val="105"/>
          <w:sz w:val="21"/>
        </w:rPr>
        <w:t>there should be a low </w:t>
      </w:r>
      <w:r>
        <w:rPr>
          <w:spacing w:val="-3"/>
          <w:w w:val="105"/>
          <w:sz w:val="21"/>
        </w:rPr>
        <w:t>threshold for </w:t>
      </w:r>
      <w:r>
        <w:rPr>
          <w:w w:val="105"/>
          <w:sz w:val="21"/>
        </w:rPr>
        <w:t>meeting the </w:t>
      </w:r>
      <w:r>
        <w:rPr>
          <w:spacing w:val="-3"/>
          <w:w w:val="105"/>
          <w:sz w:val="21"/>
        </w:rPr>
        <w:t>requirement, for example, </w:t>
      </w:r>
      <w:r>
        <w:rPr>
          <w:w w:val="105"/>
          <w:sz w:val="21"/>
        </w:rPr>
        <w:t>simply </w:t>
      </w:r>
      <w:r>
        <w:rPr>
          <w:spacing w:val="-3"/>
          <w:w w:val="105"/>
          <w:sz w:val="21"/>
        </w:rPr>
        <w:t>showing that </w:t>
      </w:r>
      <w:r>
        <w:rPr>
          <w:w w:val="105"/>
          <w:sz w:val="21"/>
        </w:rPr>
        <w:t>a</w:t>
      </w:r>
      <w:r>
        <w:rPr>
          <w:spacing w:val="-4"/>
          <w:w w:val="105"/>
          <w:sz w:val="21"/>
        </w:rPr>
        <w:t> </w:t>
      </w:r>
      <w:r>
        <w:rPr>
          <w:w w:val="105"/>
          <w:sz w:val="21"/>
        </w:rPr>
        <w:t>letter</w:t>
      </w:r>
      <w:r>
        <w:rPr>
          <w:spacing w:val="-3"/>
          <w:w w:val="105"/>
          <w:sz w:val="21"/>
        </w:rPr>
        <w:t> </w:t>
      </w:r>
      <w:r>
        <w:rPr>
          <w:w w:val="105"/>
          <w:sz w:val="21"/>
        </w:rPr>
        <w:t>was</w:t>
      </w:r>
      <w:r>
        <w:rPr>
          <w:spacing w:val="-4"/>
          <w:w w:val="105"/>
          <w:sz w:val="21"/>
        </w:rPr>
        <w:t> </w:t>
      </w:r>
      <w:r>
        <w:rPr>
          <w:w w:val="105"/>
          <w:sz w:val="21"/>
        </w:rPr>
        <w:t>sent</w:t>
      </w:r>
      <w:r>
        <w:rPr>
          <w:spacing w:val="-3"/>
          <w:w w:val="105"/>
          <w:sz w:val="21"/>
        </w:rPr>
        <w:t> to</w:t>
      </w:r>
      <w:r>
        <w:rPr>
          <w:spacing w:val="-4"/>
          <w:w w:val="105"/>
          <w:sz w:val="21"/>
        </w:rPr>
        <w:t> </w:t>
      </w:r>
      <w:r>
        <w:rPr>
          <w:w w:val="105"/>
          <w:sz w:val="21"/>
        </w:rPr>
        <w:t>the</w:t>
      </w:r>
      <w:r>
        <w:rPr>
          <w:spacing w:val="-3"/>
          <w:w w:val="105"/>
          <w:sz w:val="21"/>
        </w:rPr>
        <w:t> neighbour </w:t>
      </w:r>
      <w:r>
        <w:rPr>
          <w:w w:val="105"/>
          <w:sz w:val="21"/>
        </w:rPr>
        <w:t>about</w:t>
      </w:r>
      <w:r>
        <w:rPr>
          <w:spacing w:val="-4"/>
          <w:w w:val="105"/>
          <w:sz w:val="21"/>
        </w:rPr>
        <w:t> </w:t>
      </w:r>
      <w:r>
        <w:rPr>
          <w:w w:val="105"/>
          <w:sz w:val="21"/>
        </w:rPr>
        <w:t>the</w:t>
      </w:r>
      <w:r>
        <w:rPr>
          <w:spacing w:val="-3"/>
          <w:w w:val="105"/>
          <w:sz w:val="21"/>
        </w:rPr>
        <w:t> issue.</w:t>
      </w:r>
      <w:r>
        <w:rPr>
          <w:spacing w:val="-4"/>
          <w:w w:val="105"/>
          <w:sz w:val="21"/>
        </w:rPr>
        <w:t> </w:t>
      </w:r>
      <w:r>
        <w:rPr>
          <w:w w:val="105"/>
          <w:sz w:val="21"/>
        </w:rPr>
        <w:t>It</w:t>
      </w:r>
      <w:r>
        <w:rPr>
          <w:spacing w:val="-3"/>
          <w:w w:val="105"/>
          <w:sz w:val="21"/>
        </w:rPr>
        <w:t> </w:t>
      </w:r>
      <w:r>
        <w:rPr>
          <w:w w:val="105"/>
          <w:sz w:val="21"/>
        </w:rPr>
        <w:t>was</w:t>
      </w:r>
      <w:r>
        <w:rPr>
          <w:spacing w:val="-4"/>
          <w:w w:val="105"/>
          <w:sz w:val="21"/>
        </w:rPr>
        <w:t> </w:t>
      </w:r>
      <w:r>
        <w:rPr>
          <w:w w:val="105"/>
          <w:sz w:val="21"/>
        </w:rPr>
        <w:t>suggested</w:t>
      </w:r>
      <w:r>
        <w:rPr>
          <w:spacing w:val="-3"/>
          <w:w w:val="105"/>
          <w:sz w:val="21"/>
        </w:rPr>
        <w:t> that </w:t>
      </w:r>
      <w:r>
        <w:rPr>
          <w:w w:val="105"/>
          <w:sz w:val="21"/>
        </w:rPr>
        <w:t>an</w:t>
      </w:r>
      <w:r>
        <w:rPr>
          <w:spacing w:val="-4"/>
          <w:w w:val="105"/>
          <w:sz w:val="21"/>
        </w:rPr>
        <w:t> </w:t>
      </w:r>
      <w:r>
        <w:rPr>
          <w:w w:val="105"/>
          <w:sz w:val="21"/>
        </w:rPr>
        <w:t>advantage</w:t>
      </w:r>
      <w:r>
        <w:rPr>
          <w:spacing w:val="-3"/>
          <w:w w:val="105"/>
          <w:sz w:val="21"/>
        </w:rPr>
        <w:t> </w:t>
      </w:r>
      <w:r>
        <w:rPr>
          <w:w w:val="105"/>
          <w:sz w:val="21"/>
        </w:rPr>
        <w:t>of </w:t>
      </w:r>
      <w:r>
        <w:rPr>
          <w:spacing w:val="-3"/>
          <w:w w:val="105"/>
          <w:sz w:val="21"/>
        </w:rPr>
        <w:t>such </w:t>
      </w:r>
      <w:r>
        <w:rPr>
          <w:w w:val="105"/>
          <w:sz w:val="21"/>
        </w:rPr>
        <w:t>a </w:t>
      </w:r>
      <w:r>
        <w:rPr>
          <w:spacing w:val="-3"/>
          <w:w w:val="105"/>
          <w:sz w:val="21"/>
        </w:rPr>
        <w:t>precondition </w:t>
      </w:r>
      <w:r>
        <w:rPr>
          <w:w w:val="105"/>
          <w:sz w:val="21"/>
        </w:rPr>
        <w:t>is the </w:t>
      </w:r>
      <w:r>
        <w:rPr>
          <w:spacing w:val="-3"/>
          <w:w w:val="105"/>
          <w:sz w:val="21"/>
        </w:rPr>
        <w:t>assurance that </w:t>
      </w:r>
      <w:r>
        <w:rPr>
          <w:w w:val="105"/>
          <w:sz w:val="21"/>
        </w:rPr>
        <w:t>the legal scheme is used as a last</w:t>
      </w:r>
      <w:r>
        <w:rPr>
          <w:spacing w:val="7"/>
          <w:w w:val="105"/>
          <w:sz w:val="21"/>
        </w:rPr>
        <w:t> </w:t>
      </w:r>
      <w:r>
        <w:rPr>
          <w:spacing w:val="-4"/>
          <w:w w:val="105"/>
          <w:sz w:val="21"/>
        </w:rPr>
        <w:t>resort.</w:t>
      </w:r>
      <w:r>
        <w:rPr>
          <w:spacing w:val="-4"/>
          <w:w w:val="105"/>
          <w:position w:val="7"/>
          <w:sz w:val="12"/>
        </w:rPr>
        <w:t>133</w:t>
      </w:r>
    </w:p>
    <w:p>
      <w:pPr>
        <w:pStyle w:val="ListParagraph"/>
        <w:numPr>
          <w:ilvl w:val="1"/>
          <w:numId w:val="16"/>
        </w:numPr>
        <w:tabs>
          <w:tab w:pos="2381" w:val="left" w:leader="none"/>
          <w:tab w:pos="2382" w:val="left" w:leader="none"/>
        </w:tabs>
        <w:spacing w:line="242" w:lineRule="auto" w:before="127" w:after="0"/>
        <w:ind w:left="2381" w:right="1758" w:hanging="794"/>
        <w:jc w:val="left"/>
        <w:rPr>
          <w:sz w:val="21"/>
        </w:rPr>
      </w:pPr>
      <w:r>
        <w:rPr>
          <w:w w:val="105"/>
          <w:sz w:val="21"/>
        </w:rPr>
        <w:t>The Victorian </w:t>
      </w:r>
      <w:r>
        <w:rPr>
          <w:spacing w:val="-3"/>
          <w:w w:val="105"/>
          <w:sz w:val="21"/>
        </w:rPr>
        <w:t>Civil </w:t>
      </w:r>
      <w:r>
        <w:rPr>
          <w:w w:val="105"/>
          <w:sz w:val="21"/>
        </w:rPr>
        <w:t>and </w:t>
      </w:r>
      <w:r>
        <w:rPr>
          <w:spacing w:val="-3"/>
          <w:w w:val="105"/>
          <w:sz w:val="21"/>
        </w:rPr>
        <w:t>Administrative </w:t>
      </w:r>
      <w:r>
        <w:rPr>
          <w:spacing w:val="-5"/>
          <w:w w:val="105"/>
          <w:sz w:val="21"/>
        </w:rPr>
        <w:t>Tribunal </w:t>
      </w:r>
      <w:r>
        <w:rPr>
          <w:w w:val="105"/>
          <w:sz w:val="21"/>
        </w:rPr>
        <w:t>(VCAT) did </w:t>
      </w:r>
      <w:r>
        <w:rPr>
          <w:spacing w:val="-2"/>
          <w:w w:val="105"/>
          <w:sz w:val="21"/>
        </w:rPr>
        <w:t>not </w:t>
      </w:r>
      <w:r>
        <w:rPr>
          <w:w w:val="105"/>
          <w:sz w:val="21"/>
        </w:rPr>
        <w:t>support </w:t>
      </w:r>
      <w:r>
        <w:rPr>
          <w:spacing w:val="-3"/>
          <w:w w:val="105"/>
          <w:sz w:val="21"/>
        </w:rPr>
        <w:t>any precondition </w:t>
      </w:r>
      <w:r>
        <w:rPr>
          <w:w w:val="105"/>
          <w:sz w:val="21"/>
        </w:rPr>
        <w:t>being </w:t>
      </w:r>
      <w:r>
        <w:rPr>
          <w:spacing w:val="-3"/>
          <w:w w:val="105"/>
          <w:sz w:val="21"/>
        </w:rPr>
        <w:t>included </w:t>
      </w:r>
      <w:r>
        <w:rPr>
          <w:w w:val="105"/>
          <w:sz w:val="21"/>
        </w:rPr>
        <w:t>in the new </w:t>
      </w:r>
      <w:r>
        <w:rPr>
          <w:spacing w:val="-4"/>
          <w:w w:val="105"/>
          <w:sz w:val="21"/>
        </w:rPr>
        <w:t>Act.</w:t>
      </w:r>
      <w:r>
        <w:rPr>
          <w:spacing w:val="-4"/>
          <w:w w:val="105"/>
          <w:position w:val="7"/>
          <w:sz w:val="12"/>
        </w:rPr>
        <w:t>134 </w:t>
      </w:r>
      <w:r>
        <w:rPr>
          <w:spacing w:val="-5"/>
          <w:w w:val="105"/>
          <w:sz w:val="21"/>
        </w:rPr>
        <w:t>VCAT </w:t>
      </w:r>
      <w:r>
        <w:rPr>
          <w:w w:val="105"/>
          <w:sz w:val="21"/>
        </w:rPr>
        <w:t>stated </w:t>
      </w:r>
      <w:r>
        <w:rPr>
          <w:spacing w:val="-3"/>
          <w:w w:val="105"/>
          <w:sz w:val="21"/>
        </w:rPr>
        <w:t>that </w:t>
      </w:r>
      <w:r>
        <w:rPr>
          <w:w w:val="105"/>
          <w:sz w:val="21"/>
        </w:rPr>
        <w:t>it should </w:t>
      </w:r>
      <w:r>
        <w:rPr>
          <w:spacing w:val="-2"/>
          <w:w w:val="105"/>
          <w:sz w:val="21"/>
        </w:rPr>
        <w:t>not </w:t>
      </w:r>
      <w:r>
        <w:rPr>
          <w:w w:val="105"/>
          <w:sz w:val="21"/>
        </w:rPr>
        <w:t>matter what the parties did or did </w:t>
      </w:r>
      <w:r>
        <w:rPr>
          <w:spacing w:val="-2"/>
          <w:w w:val="105"/>
          <w:sz w:val="21"/>
        </w:rPr>
        <w:t>not </w:t>
      </w:r>
      <w:r>
        <w:rPr>
          <w:w w:val="105"/>
          <w:sz w:val="21"/>
        </w:rPr>
        <w:t>do </w:t>
      </w:r>
      <w:r>
        <w:rPr>
          <w:spacing w:val="-3"/>
          <w:w w:val="105"/>
          <w:sz w:val="21"/>
        </w:rPr>
        <w:t>before </w:t>
      </w:r>
      <w:r>
        <w:rPr>
          <w:w w:val="105"/>
          <w:sz w:val="21"/>
        </w:rPr>
        <w:t>legal action and </w:t>
      </w:r>
      <w:r>
        <w:rPr>
          <w:spacing w:val="-3"/>
          <w:w w:val="105"/>
          <w:sz w:val="21"/>
        </w:rPr>
        <w:t>that </w:t>
      </w:r>
      <w:r>
        <w:rPr>
          <w:w w:val="105"/>
          <w:sz w:val="21"/>
        </w:rPr>
        <w:t>a </w:t>
      </w:r>
      <w:r>
        <w:rPr>
          <w:spacing w:val="-4"/>
          <w:w w:val="105"/>
          <w:sz w:val="21"/>
        </w:rPr>
        <w:t>‘come </w:t>
      </w:r>
      <w:r>
        <w:rPr>
          <w:w w:val="105"/>
          <w:sz w:val="21"/>
        </w:rPr>
        <w:t>as you </w:t>
      </w:r>
      <w:r>
        <w:rPr>
          <w:spacing w:val="-3"/>
          <w:w w:val="105"/>
          <w:sz w:val="21"/>
        </w:rPr>
        <w:t>are’ </w:t>
      </w:r>
      <w:r>
        <w:rPr>
          <w:w w:val="105"/>
          <w:sz w:val="21"/>
        </w:rPr>
        <w:t>approach would be </w:t>
      </w:r>
      <w:r>
        <w:rPr>
          <w:spacing w:val="-5"/>
          <w:w w:val="105"/>
          <w:sz w:val="21"/>
        </w:rPr>
        <w:t>fairer. </w:t>
      </w:r>
      <w:r>
        <w:rPr>
          <w:w w:val="105"/>
          <w:sz w:val="21"/>
        </w:rPr>
        <w:t>This </w:t>
      </w:r>
      <w:r>
        <w:rPr>
          <w:spacing w:val="-3"/>
          <w:w w:val="105"/>
          <w:sz w:val="21"/>
        </w:rPr>
        <w:t>may reduce </w:t>
      </w:r>
      <w:r>
        <w:rPr>
          <w:w w:val="105"/>
          <w:sz w:val="21"/>
        </w:rPr>
        <w:t>the </w:t>
      </w:r>
      <w:r>
        <w:rPr>
          <w:spacing w:val="-3"/>
          <w:w w:val="105"/>
          <w:sz w:val="21"/>
        </w:rPr>
        <w:t>chance </w:t>
      </w:r>
      <w:r>
        <w:rPr>
          <w:w w:val="105"/>
          <w:sz w:val="21"/>
        </w:rPr>
        <w:t>of a </w:t>
      </w:r>
      <w:r>
        <w:rPr>
          <w:spacing w:val="-3"/>
          <w:w w:val="105"/>
          <w:sz w:val="21"/>
        </w:rPr>
        <w:t>‘strikeout’ </w:t>
      </w:r>
      <w:r>
        <w:rPr>
          <w:w w:val="105"/>
          <w:sz w:val="21"/>
        </w:rPr>
        <w:t>on a </w:t>
      </w:r>
      <w:r>
        <w:rPr>
          <w:spacing w:val="-4"/>
          <w:w w:val="105"/>
          <w:sz w:val="21"/>
        </w:rPr>
        <w:t>technicality,</w:t>
      </w:r>
      <w:r>
        <w:rPr>
          <w:spacing w:val="-4"/>
          <w:w w:val="105"/>
          <w:position w:val="7"/>
          <w:sz w:val="12"/>
        </w:rPr>
        <w:t>135 </w:t>
      </w:r>
      <w:r>
        <w:rPr>
          <w:w w:val="105"/>
          <w:sz w:val="21"/>
        </w:rPr>
        <w:t>especially where parties </w:t>
      </w:r>
      <w:r>
        <w:rPr>
          <w:spacing w:val="-3"/>
          <w:w w:val="105"/>
          <w:sz w:val="21"/>
        </w:rPr>
        <w:t>are </w:t>
      </w:r>
      <w:r>
        <w:rPr>
          <w:w w:val="105"/>
          <w:sz w:val="21"/>
        </w:rPr>
        <w:t>in a hostile </w:t>
      </w:r>
      <w:r>
        <w:rPr>
          <w:spacing w:val="-3"/>
          <w:w w:val="105"/>
          <w:sz w:val="21"/>
        </w:rPr>
        <w:t>situation. </w:t>
      </w:r>
      <w:r>
        <w:rPr>
          <w:w w:val="105"/>
          <w:sz w:val="21"/>
        </w:rPr>
        <w:t>It would also </w:t>
      </w:r>
      <w:r>
        <w:rPr>
          <w:spacing w:val="-3"/>
          <w:w w:val="105"/>
          <w:sz w:val="21"/>
        </w:rPr>
        <w:t>prevent </w:t>
      </w:r>
      <w:r>
        <w:rPr>
          <w:spacing w:val="-5"/>
          <w:w w:val="105"/>
          <w:sz w:val="21"/>
        </w:rPr>
        <w:t>VCAT </w:t>
      </w:r>
      <w:r>
        <w:rPr>
          <w:spacing w:val="-3"/>
          <w:w w:val="105"/>
          <w:sz w:val="21"/>
        </w:rPr>
        <w:t>from </w:t>
      </w:r>
      <w:r>
        <w:rPr>
          <w:w w:val="105"/>
          <w:sz w:val="21"/>
        </w:rPr>
        <w:t>being </w:t>
      </w:r>
      <w:r>
        <w:rPr>
          <w:spacing w:val="-4"/>
          <w:w w:val="105"/>
          <w:sz w:val="21"/>
        </w:rPr>
        <w:t>‘caught </w:t>
      </w:r>
      <w:r>
        <w:rPr>
          <w:w w:val="105"/>
          <w:sz w:val="21"/>
        </w:rPr>
        <w:t>up in </w:t>
      </w:r>
      <w:r>
        <w:rPr>
          <w:spacing w:val="-3"/>
          <w:w w:val="105"/>
          <w:sz w:val="21"/>
        </w:rPr>
        <w:t>administrative analysis </w:t>
      </w:r>
      <w:r>
        <w:rPr>
          <w:w w:val="105"/>
          <w:sz w:val="21"/>
        </w:rPr>
        <w:t>of</w:t>
      </w:r>
      <w:r>
        <w:rPr>
          <w:spacing w:val="21"/>
          <w:w w:val="105"/>
          <w:sz w:val="21"/>
        </w:rPr>
        <w:t> </w:t>
      </w:r>
      <w:r>
        <w:rPr>
          <w:spacing w:val="-5"/>
          <w:w w:val="105"/>
          <w:sz w:val="21"/>
        </w:rPr>
        <w:t>papers’.</w:t>
      </w:r>
      <w:r>
        <w:rPr>
          <w:spacing w:val="-5"/>
          <w:w w:val="105"/>
          <w:position w:val="7"/>
          <w:sz w:val="12"/>
        </w:rPr>
        <w:t>136</w:t>
      </w:r>
    </w:p>
    <w:p>
      <w:pPr>
        <w:pStyle w:val="BodyText"/>
        <w:spacing w:before="7"/>
        <w:rPr>
          <w:sz w:val="20"/>
        </w:rPr>
      </w:pPr>
    </w:p>
    <w:p>
      <w:pPr>
        <w:pStyle w:val="Heading5"/>
      </w:pPr>
      <w:r>
        <w:rPr/>
        <w:pict>
          <v:shape style="position:absolute;margin-left:79.370102pt;margin-top:21.946873pt;width:436.55pt;height:221.2pt;mso-position-horizontal-relative:page;mso-position-vertical-relative:paragraph;z-index:803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4"/>
                    <w:gridCol w:w="8146"/>
                  </w:tblGrid>
                  <w:tr>
                    <w:trPr>
                      <w:trHeight w:val="251" w:hRule="atLeast"/>
                    </w:trPr>
                    <w:tc>
                      <w:tcPr>
                        <w:tcW w:w="584" w:type="dxa"/>
                      </w:tcPr>
                      <w:p>
                        <w:pPr>
                          <w:pStyle w:val="TableParagraph"/>
                          <w:spacing w:line="232" w:lineRule="exact"/>
                          <w:rPr>
                            <w:sz w:val="21"/>
                          </w:rPr>
                        </w:pPr>
                        <w:r>
                          <w:rPr>
                            <w:w w:val="110"/>
                            <w:sz w:val="21"/>
                          </w:rPr>
                          <w:t>6.71</w:t>
                        </w:r>
                      </w:p>
                    </w:tc>
                    <w:tc>
                      <w:tcPr>
                        <w:tcW w:w="8146" w:type="dxa"/>
                      </w:tcPr>
                      <w:p>
                        <w:pPr>
                          <w:pStyle w:val="TableParagraph"/>
                          <w:spacing w:line="232" w:lineRule="exact"/>
                          <w:ind w:left="209"/>
                          <w:rPr>
                            <w:sz w:val="21"/>
                          </w:rPr>
                        </w:pPr>
                        <w:r>
                          <w:rPr>
                            <w:sz w:val="21"/>
                          </w:rPr>
                          <w:t>Some people proposed that the new Act should clearly set out the responsibilities of</w:t>
                        </w:r>
                      </w:p>
                    </w:tc>
                  </w:tr>
                  <w:tr>
                    <w:trPr>
                      <w:trHeight w:val="260" w:hRule="atLeast"/>
                    </w:trPr>
                    <w:tc>
                      <w:tcPr>
                        <w:tcW w:w="584" w:type="dxa"/>
                      </w:tcPr>
                      <w:p>
                        <w:pPr>
                          <w:pStyle w:val="TableParagraph"/>
                          <w:rPr>
                            <w:rFonts w:ascii="Times New Roman"/>
                            <w:sz w:val="18"/>
                          </w:rPr>
                        </w:pPr>
                      </w:p>
                    </w:tc>
                    <w:tc>
                      <w:tcPr>
                        <w:tcW w:w="8146" w:type="dxa"/>
                      </w:tcPr>
                      <w:p>
                        <w:pPr>
                          <w:pStyle w:val="TableParagraph"/>
                          <w:spacing w:line="240" w:lineRule="exact"/>
                          <w:ind w:left="209"/>
                          <w:rPr>
                            <w:sz w:val="21"/>
                          </w:rPr>
                        </w:pPr>
                        <w:r>
                          <w:rPr>
                            <w:w w:val="105"/>
                            <w:sz w:val="21"/>
                          </w:rPr>
                          <w:t>neighbours in relation to their trees.</w:t>
                        </w:r>
                        <w:r>
                          <w:rPr>
                            <w:w w:val="105"/>
                            <w:position w:val="7"/>
                            <w:sz w:val="12"/>
                          </w:rPr>
                          <w:t>137 </w:t>
                        </w:r>
                        <w:r>
                          <w:rPr>
                            <w:w w:val="105"/>
                            <w:sz w:val="21"/>
                          </w:rPr>
                          <w:t>Arborist Dr Karen Smith stated that the new Act</w:t>
                        </w:r>
                      </w:p>
                    </w:tc>
                  </w:tr>
                  <w:tr>
                    <w:trPr>
                      <w:trHeight w:val="259" w:hRule="atLeast"/>
                    </w:trPr>
                    <w:tc>
                      <w:tcPr>
                        <w:tcW w:w="584" w:type="dxa"/>
                      </w:tcPr>
                      <w:p>
                        <w:pPr>
                          <w:pStyle w:val="TableParagraph"/>
                          <w:rPr>
                            <w:rFonts w:ascii="Times New Roman"/>
                            <w:sz w:val="18"/>
                          </w:rPr>
                        </w:pPr>
                      </w:p>
                    </w:tc>
                    <w:tc>
                      <w:tcPr>
                        <w:tcW w:w="8146" w:type="dxa"/>
                      </w:tcPr>
                      <w:p>
                        <w:pPr>
                          <w:pStyle w:val="TableParagraph"/>
                          <w:spacing w:line="240" w:lineRule="exact"/>
                          <w:ind w:left="209"/>
                          <w:rPr>
                            <w:sz w:val="21"/>
                          </w:rPr>
                        </w:pPr>
                        <w:r>
                          <w:rPr>
                            <w:w w:val="105"/>
                            <w:sz w:val="21"/>
                          </w:rPr>
                          <w:t>should ‘clarify the rights and responsibilities of tree owners and affected neighbours</w:t>
                        </w:r>
                      </w:p>
                    </w:tc>
                  </w:tr>
                  <w:tr>
                    <w:trPr>
                      <w:trHeight w:val="260" w:hRule="atLeast"/>
                    </w:trPr>
                    <w:tc>
                      <w:tcPr>
                        <w:tcW w:w="584" w:type="dxa"/>
                      </w:tcPr>
                      <w:p>
                        <w:pPr>
                          <w:pStyle w:val="TableParagraph"/>
                          <w:rPr>
                            <w:rFonts w:ascii="Times New Roman"/>
                            <w:sz w:val="18"/>
                          </w:rPr>
                        </w:pPr>
                      </w:p>
                    </w:tc>
                    <w:tc>
                      <w:tcPr>
                        <w:tcW w:w="8146" w:type="dxa"/>
                      </w:tcPr>
                      <w:p>
                        <w:pPr>
                          <w:pStyle w:val="TableParagraph"/>
                          <w:spacing w:line="240" w:lineRule="exact"/>
                          <w:ind w:left="209"/>
                          <w:rPr>
                            <w:sz w:val="21"/>
                          </w:rPr>
                        </w:pPr>
                        <w:r>
                          <w:rPr>
                            <w:w w:val="105"/>
                            <w:sz w:val="21"/>
                          </w:rPr>
                          <w:t>so that disputes can be prevented from arising’.</w:t>
                        </w:r>
                        <w:r>
                          <w:rPr>
                            <w:w w:val="105"/>
                            <w:position w:val="7"/>
                            <w:sz w:val="12"/>
                          </w:rPr>
                          <w:t>138 </w:t>
                        </w:r>
                        <w:r>
                          <w:rPr>
                            <w:w w:val="105"/>
                            <w:sz w:val="21"/>
                          </w:rPr>
                          <w:t>Arborist Ben Kenyon stated that the</w:t>
                        </w:r>
                      </w:p>
                    </w:tc>
                  </w:tr>
                  <w:tr>
                    <w:trPr>
                      <w:trHeight w:val="259" w:hRule="atLeast"/>
                    </w:trPr>
                    <w:tc>
                      <w:tcPr>
                        <w:tcW w:w="584" w:type="dxa"/>
                      </w:tcPr>
                      <w:p>
                        <w:pPr>
                          <w:pStyle w:val="TableParagraph"/>
                          <w:rPr>
                            <w:rFonts w:ascii="Times New Roman"/>
                            <w:sz w:val="18"/>
                          </w:rPr>
                        </w:pPr>
                      </w:p>
                    </w:tc>
                    <w:tc>
                      <w:tcPr>
                        <w:tcW w:w="8146" w:type="dxa"/>
                      </w:tcPr>
                      <w:p>
                        <w:pPr>
                          <w:pStyle w:val="TableParagraph"/>
                          <w:spacing w:line="240" w:lineRule="exact"/>
                          <w:ind w:left="209"/>
                          <w:rPr>
                            <w:sz w:val="21"/>
                          </w:rPr>
                        </w:pPr>
                        <w:r>
                          <w:rPr>
                            <w:sz w:val="21"/>
                          </w:rPr>
                          <w:t>new Act should provide clarity about rights and responsibilities, otherwise it may cause</w:t>
                        </w:r>
                      </w:p>
                    </w:tc>
                  </w:tr>
                  <w:tr>
                    <w:trPr>
                      <w:trHeight w:val="568" w:hRule="atLeast"/>
                    </w:trPr>
                    <w:tc>
                      <w:tcPr>
                        <w:tcW w:w="584" w:type="dxa"/>
                        <w:tcBorders>
                          <w:bottom w:val="single" w:sz="8" w:space="0" w:color="C9D2CB"/>
                        </w:tcBorders>
                      </w:tcPr>
                      <w:p>
                        <w:pPr>
                          <w:pStyle w:val="TableParagraph"/>
                          <w:rPr>
                            <w:rFonts w:ascii="Times New Roman"/>
                            <w:sz w:val="18"/>
                          </w:rPr>
                        </w:pPr>
                      </w:p>
                    </w:tc>
                    <w:tc>
                      <w:tcPr>
                        <w:tcW w:w="8146" w:type="dxa"/>
                        <w:tcBorders>
                          <w:bottom w:val="single" w:sz="8" w:space="0" w:color="C9D2CB"/>
                        </w:tcBorders>
                      </w:tcPr>
                      <w:p>
                        <w:pPr>
                          <w:pStyle w:val="TableParagraph"/>
                          <w:spacing w:line="256" w:lineRule="exact"/>
                          <w:ind w:left="209"/>
                          <w:rPr>
                            <w:sz w:val="12"/>
                          </w:rPr>
                        </w:pPr>
                        <w:r>
                          <w:rPr>
                            <w:w w:val="105"/>
                            <w:sz w:val="21"/>
                          </w:rPr>
                          <w:t>confusion and frustration, causing disputes to escalate.</w:t>
                        </w:r>
                        <w:r>
                          <w:rPr>
                            <w:w w:val="105"/>
                            <w:position w:val="7"/>
                            <w:sz w:val="12"/>
                          </w:rPr>
                          <w:t>139</w:t>
                        </w:r>
                      </w:p>
                    </w:tc>
                  </w:tr>
                  <w:tr>
                    <w:trPr>
                      <w:trHeight w:val="307" w:hRule="atLeast"/>
                    </w:trPr>
                    <w:tc>
                      <w:tcPr>
                        <w:tcW w:w="584" w:type="dxa"/>
                        <w:tcBorders>
                          <w:top w:val="single" w:sz="8" w:space="0" w:color="C9D2CB"/>
                        </w:tcBorders>
                      </w:tcPr>
                      <w:p>
                        <w:pPr>
                          <w:pStyle w:val="TableParagraph"/>
                          <w:spacing w:before="11"/>
                          <w:rPr>
                            <w:b/>
                            <w:sz w:val="11"/>
                          </w:rPr>
                        </w:pPr>
                      </w:p>
                      <w:p>
                        <w:pPr>
                          <w:pStyle w:val="TableParagraph"/>
                          <w:spacing w:line="141" w:lineRule="exact" w:before="1"/>
                          <w:rPr>
                            <w:sz w:val="13"/>
                          </w:rPr>
                        </w:pPr>
                        <w:r>
                          <w:rPr>
                            <w:w w:val="110"/>
                            <w:sz w:val="13"/>
                          </w:rPr>
                          <w:t>128</w:t>
                        </w:r>
                      </w:p>
                    </w:tc>
                    <w:tc>
                      <w:tcPr>
                        <w:tcW w:w="8146" w:type="dxa"/>
                        <w:tcBorders>
                          <w:top w:val="single" w:sz="8" w:space="0" w:color="C9D2CB"/>
                        </w:tcBorders>
                      </w:tcPr>
                      <w:p>
                        <w:pPr>
                          <w:pStyle w:val="TableParagraph"/>
                          <w:spacing w:before="11"/>
                          <w:rPr>
                            <w:b/>
                            <w:sz w:val="11"/>
                          </w:rPr>
                        </w:pPr>
                      </w:p>
                      <w:p>
                        <w:pPr>
                          <w:pStyle w:val="TableParagraph"/>
                          <w:spacing w:line="141" w:lineRule="exact" w:before="1"/>
                          <w:ind w:left="209"/>
                          <w:rPr>
                            <w:sz w:val="13"/>
                          </w:rPr>
                        </w:pPr>
                        <w:r>
                          <w:rPr>
                            <w:w w:val="105"/>
                            <w:sz w:val="13"/>
                          </w:rPr>
                          <w:t>Confidential submission.</w:t>
                        </w:r>
                      </w:p>
                    </w:tc>
                  </w:tr>
                  <w:tr>
                    <w:trPr>
                      <w:trHeight w:val="160" w:hRule="atLeast"/>
                    </w:trPr>
                    <w:tc>
                      <w:tcPr>
                        <w:tcW w:w="584" w:type="dxa"/>
                      </w:tcPr>
                      <w:p>
                        <w:pPr>
                          <w:pStyle w:val="TableParagraph"/>
                          <w:spacing w:line="140" w:lineRule="exact"/>
                          <w:rPr>
                            <w:sz w:val="13"/>
                          </w:rPr>
                        </w:pPr>
                        <w:r>
                          <w:rPr>
                            <w:w w:val="110"/>
                            <w:sz w:val="13"/>
                          </w:rPr>
                          <w:t>129</w:t>
                        </w:r>
                      </w:p>
                    </w:tc>
                    <w:tc>
                      <w:tcPr>
                        <w:tcW w:w="8146" w:type="dxa"/>
                      </w:tcPr>
                      <w:p>
                        <w:pPr>
                          <w:pStyle w:val="TableParagraph"/>
                          <w:spacing w:line="140" w:lineRule="exact"/>
                          <w:ind w:left="209"/>
                          <w:rPr>
                            <w:sz w:val="13"/>
                          </w:rPr>
                        </w:pPr>
                        <w:r>
                          <w:rPr>
                            <w:w w:val="105"/>
                            <w:sz w:val="13"/>
                          </w:rPr>
                          <w:t>Submission 12 (Dr Gregory Moore OAM); Consultation 6 (Ben Kenyon).</w:t>
                        </w:r>
                      </w:p>
                    </w:tc>
                  </w:tr>
                  <w:tr>
                    <w:trPr>
                      <w:trHeight w:val="160" w:hRule="atLeast"/>
                    </w:trPr>
                    <w:tc>
                      <w:tcPr>
                        <w:tcW w:w="584" w:type="dxa"/>
                      </w:tcPr>
                      <w:p>
                        <w:pPr>
                          <w:pStyle w:val="TableParagraph"/>
                          <w:spacing w:line="140" w:lineRule="exact"/>
                          <w:rPr>
                            <w:sz w:val="13"/>
                          </w:rPr>
                        </w:pPr>
                        <w:r>
                          <w:rPr>
                            <w:w w:val="110"/>
                            <w:sz w:val="13"/>
                          </w:rPr>
                          <w:t>130</w:t>
                        </w:r>
                      </w:p>
                    </w:tc>
                    <w:tc>
                      <w:tcPr>
                        <w:tcW w:w="8146" w:type="dxa"/>
                      </w:tcPr>
                      <w:p>
                        <w:pPr>
                          <w:pStyle w:val="TableParagraph"/>
                          <w:spacing w:line="140" w:lineRule="exact"/>
                          <w:ind w:left="210"/>
                          <w:rPr>
                            <w:sz w:val="13"/>
                          </w:rPr>
                        </w:pPr>
                        <w:r>
                          <w:rPr>
                            <w:w w:val="105"/>
                            <w:sz w:val="13"/>
                          </w:rPr>
                          <w:t>Submission 12 (Dr Gregory Moore OAM).</w:t>
                        </w:r>
                      </w:p>
                    </w:tc>
                  </w:tr>
                  <w:tr>
                    <w:trPr>
                      <w:trHeight w:val="160" w:hRule="atLeast"/>
                    </w:trPr>
                    <w:tc>
                      <w:tcPr>
                        <w:tcW w:w="584" w:type="dxa"/>
                      </w:tcPr>
                      <w:p>
                        <w:pPr>
                          <w:pStyle w:val="TableParagraph"/>
                          <w:spacing w:line="140" w:lineRule="exact"/>
                          <w:rPr>
                            <w:sz w:val="13"/>
                          </w:rPr>
                        </w:pPr>
                        <w:r>
                          <w:rPr>
                            <w:w w:val="110"/>
                            <w:sz w:val="13"/>
                          </w:rPr>
                          <w:t>131</w:t>
                        </w:r>
                      </w:p>
                    </w:tc>
                    <w:tc>
                      <w:tcPr>
                        <w:tcW w:w="8146" w:type="dxa"/>
                      </w:tcPr>
                      <w:p>
                        <w:pPr>
                          <w:pStyle w:val="TableParagraph"/>
                          <w:spacing w:line="140" w:lineRule="exact"/>
                          <w:ind w:left="210"/>
                          <w:rPr>
                            <w:sz w:val="13"/>
                          </w:rPr>
                        </w:pPr>
                        <w:r>
                          <w:rPr>
                            <w:w w:val="105"/>
                            <w:sz w:val="13"/>
                          </w:rPr>
                          <w:t>Submissions 7 (Ben Kenyon), 9 (Dr Karen Smith), 10 (Professor Phillip Hamilton); Consultations 8 (City of Boroondara), 9 (Nillumbik Shire</w:t>
                        </w:r>
                      </w:p>
                    </w:tc>
                  </w:tr>
                  <w:tr>
                    <w:trPr>
                      <w:trHeight w:val="160" w:hRule="atLeast"/>
                    </w:trPr>
                    <w:tc>
                      <w:tcPr>
                        <w:tcW w:w="584" w:type="dxa"/>
                      </w:tcPr>
                      <w:p>
                        <w:pPr>
                          <w:pStyle w:val="TableParagraph"/>
                          <w:rPr>
                            <w:rFonts w:ascii="Times New Roman"/>
                            <w:sz w:val="10"/>
                          </w:rPr>
                        </w:pPr>
                      </w:p>
                    </w:tc>
                    <w:tc>
                      <w:tcPr>
                        <w:tcW w:w="8146" w:type="dxa"/>
                      </w:tcPr>
                      <w:p>
                        <w:pPr>
                          <w:pStyle w:val="TableParagraph"/>
                          <w:spacing w:line="140" w:lineRule="exact"/>
                          <w:ind w:left="210"/>
                          <w:rPr>
                            <w:sz w:val="13"/>
                          </w:rPr>
                        </w:pPr>
                        <w:r>
                          <w:rPr>
                            <w:w w:val="105"/>
                            <w:sz w:val="13"/>
                          </w:rPr>
                          <w:t>Council).</w:t>
                        </w:r>
                      </w:p>
                    </w:tc>
                  </w:tr>
                  <w:tr>
                    <w:trPr>
                      <w:trHeight w:val="160" w:hRule="atLeast"/>
                    </w:trPr>
                    <w:tc>
                      <w:tcPr>
                        <w:tcW w:w="584" w:type="dxa"/>
                      </w:tcPr>
                      <w:p>
                        <w:pPr>
                          <w:pStyle w:val="TableParagraph"/>
                          <w:spacing w:line="140" w:lineRule="exact"/>
                          <w:rPr>
                            <w:sz w:val="13"/>
                          </w:rPr>
                        </w:pPr>
                        <w:r>
                          <w:rPr>
                            <w:w w:val="110"/>
                            <w:sz w:val="13"/>
                          </w:rPr>
                          <w:t>132</w:t>
                        </w:r>
                      </w:p>
                    </w:tc>
                    <w:tc>
                      <w:tcPr>
                        <w:tcW w:w="8146" w:type="dxa"/>
                      </w:tcPr>
                      <w:p>
                        <w:pPr>
                          <w:pStyle w:val="TableParagraph"/>
                          <w:spacing w:line="140" w:lineRule="exact"/>
                          <w:ind w:left="210"/>
                          <w:rPr>
                            <w:sz w:val="13"/>
                          </w:rPr>
                        </w:pPr>
                        <w:r>
                          <w:rPr>
                            <w:w w:val="105"/>
                            <w:sz w:val="13"/>
                          </w:rPr>
                          <w:t>See, eg, Submissions 7 (Ben Kenyon), 10 (Professor Phillip Hamilton).</w:t>
                        </w:r>
                      </w:p>
                    </w:tc>
                  </w:tr>
                  <w:tr>
                    <w:trPr>
                      <w:trHeight w:val="160" w:hRule="atLeast"/>
                    </w:trPr>
                    <w:tc>
                      <w:tcPr>
                        <w:tcW w:w="584" w:type="dxa"/>
                      </w:tcPr>
                      <w:p>
                        <w:pPr>
                          <w:pStyle w:val="TableParagraph"/>
                          <w:spacing w:line="140" w:lineRule="exact"/>
                          <w:rPr>
                            <w:sz w:val="13"/>
                          </w:rPr>
                        </w:pPr>
                        <w:r>
                          <w:rPr>
                            <w:w w:val="110"/>
                            <w:sz w:val="13"/>
                          </w:rPr>
                          <w:t>133</w:t>
                        </w:r>
                      </w:p>
                    </w:tc>
                    <w:tc>
                      <w:tcPr>
                        <w:tcW w:w="8146" w:type="dxa"/>
                      </w:tcPr>
                      <w:p>
                        <w:pPr>
                          <w:pStyle w:val="TableParagraph"/>
                          <w:spacing w:line="140" w:lineRule="exact"/>
                          <w:ind w:left="210"/>
                          <w:rPr>
                            <w:sz w:val="13"/>
                          </w:rPr>
                        </w:pPr>
                        <w:r>
                          <w:rPr>
                            <w:w w:val="105"/>
                            <w:sz w:val="13"/>
                          </w:rPr>
                          <w:t>Submission 20 (Name withheld).</w:t>
                        </w:r>
                      </w:p>
                    </w:tc>
                  </w:tr>
                  <w:tr>
                    <w:trPr>
                      <w:trHeight w:val="159" w:hRule="atLeast"/>
                    </w:trPr>
                    <w:tc>
                      <w:tcPr>
                        <w:tcW w:w="584" w:type="dxa"/>
                      </w:tcPr>
                      <w:p>
                        <w:pPr>
                          <w:pStyle w:val="TableParagraph"/>
                          <w:spacing w:line="140" w:lineRule="exact"/>
                          <w:rPr>
                            <w:sz w:val="13"/>
                          </w:rPr>
                        </w:pPr>
                        <w:r>
                          <w:rPr>
                            <w:w w:val="110"/>
                            <w:sz w:val="13"/>
                          </w:rPr>
                          <w:t>134</w:t>
                        </w:r>
                      </w:p>
                    </w:tc>
                    <w:tc>
                      <w:tcPr>
                        <w:tcW w:w="8146" w:type="dxa"/>
                      </w:tcPr>
                      <w:p>
                        <w:pPr>
                          <w:pStyle w:val="TableParagraph"/>
                          <w:spacing w:line="140" w:lineRule="exact"/>
                          <w:ind w:left="210"/>
                          <w:rPr>
                            <w:sz w:val="13"/>
                          </w:rPr>
                        </w:pPr>
                        <w:r>
                          <w:rPr>
                            <w:w w:val="105"/>
                            <w:sz w:val="13"/>
                          </w:rPr>
                          <w:t>Consultation 5 (Victorian Civil and Administrative Tribunal); Supplementary Consultation 1 (Victorian Civil and Administrative Tribunal).</w:t>
                        </w:r>
                      </w:p>
                    </w:tc>
                  </w:tr>
                  <w:tr>
                    <w:trPr>
                      <w:trHeight w:val="160" w:hRule="atLeast"/>
                    </w:trPr>
                    <w:tc>
                      <w:tcPr>
                        <w:tcW w:w="584" w:type="dxa"/>
                      </w:tcPr>
                      <w:p>
                        <w:pPr>
                          <w:pStyle w:val="TableParagraph"/>
                          <w:spacing w:line="140" w:lineRule="exact"/>
                          <w:rPr>
                            <w:sz w:val="13"/>
                          </w:rPr>
                        </w:pPr>
                        <w:r>
                          <w:rPr>
                            <w:w w:val="110"/>
                            <w:sz w:val="13"/>
                          </w:rPr>
                          <w:t>135</w:t>
                        </w:r>
                      </w:p>
                    </w:tc>
                    <w:tc>
                      <w:tcPr>
                        <w:tcW w:w="8146" w:type="dxa"/>
                      </w:tcPr>
                      <w:p>
                        <w:pPr>
                          <w:pStyle w:val="TableParagraph"/>
                          <w:spacing w:line="140" w:lineRule="exact"/>
                          <w:ind w:left="210"/>
                          <w:rPr>
                            <w:sz w:val="13"/>
                          </w:rPr>
                        </w:pPr>
                        <w:r>
                          <w:rPr>
                            <w:sz w:val="13"/>
                          </w:rPr>
                          <w:t>See Victorian Civil and Administrative Tribunal, </w:t>
                        </w:r>
                        <w:r>
                          <w:rPr>
                            <w:i/>
                            <w:sz w:val="13"/>
                          </w:rPr>
                          <w:t>Ending a Case by Dismissal or Strikeout </w:t>
                        </w:r>
                        <w:r>
                          <w:rPr>
                            <w:sz w:val="13"/>
                          </w:rPr>
                          <w:t>(Web Page) &lt;https://</w:t>
                        </w:r>
                        <w:hyperlink r:id="rId138">
                          <w:r>
                            <w:rPr>
                              <w:sz w:val="13"/>
                            </w:rPr>
                            <w:t>www.vcat.vic.gov.au/steps-to-</w:t>
                          </w:r>
                        </w:hyperlink>
                      </w:p>
                    </w:tc>
                  </w:tr>
                  <w:tr>
                    <w:trPr>
                      <w:trHeight w:val="160" w:hRule="atLeast"/>
                    </w:trPr>
                    <w:tc>
                      <w:tcPr>
                        <w:tcW w:w="584" w:type="dxa"/>
                      </w:tcPr>
                      <w:p>
                        <w:pPr>
                          <w:pStyle w:val="TableParagraph"/>
                          <w:rPr>
                            <w:rFonts w:ascii="Times New Roman"/>
                            <w:sz w:val="10"/>
                          </w:rPr>
                        </w:pPr>
                      </w:p>
                    </w:tc>
                    <w:tc>
                      <w:tcPr>
                        <w:tcW w:w="8146" w:type="dxa"/>
                      </w:tcPr>
                      <w:p>
                        <w:pPr>
                          <w:pStyle w:val="TableParagraph"/>
                          <w:spacing w:line="140" w:lineRule="exact"/>
                          <w:ind w:left="210"/>
                          <w:rPr>
                            <w:sz w:val="13"/>
                          </w:rPr>
                        </w:pPr>
                        <w:r>
                          <w:rPr>
                            <w:w w:val="105"/>
                            <w:sz w:val="13"/>
                          </w:rPr>
                          <w:t>resolve-your-case/when-vcat-opens-a-case/ending-a-case-by-dismissal-or-strikeout&gt;.</w:t>
                        </w:r>
                      </w:p>
                    </w:tc>
                  </w:tr>
                  <w:tr>
                    <w:trPr>
                      <w:trHeight w:val="160" w:hRule="atLeast"/>
                    </w:trPr>
                    <w:tc>
                      <w:tcPr>
                        <w:tcW w:w="584" w:type="dxa"/>
                      </w:tcPr>
                      <w:p>
                        <w:pPr>
                          <w:pStyle w:val="TableParagraph"/>
                          <w:spacing w:line="140" w:lineRule="exact"/>
                          <w:rPr>
                            <w:sz w:val="13"/>
                          </w:rPr>
                        </w:pPr>
                        <w:r>
                          <w:rPr>
                            <w:w w:val="110"/>
                            <w:sz w:val="13"/>
                          </w:rPr>
                          <w:t>136</w:t>
                        </w:r>
                      </w:p>
                    </w:tc>
                    <w:tc>
                      <w:tcPr>
                        <w:tcW w:w="8146" w:type="dxa"/>
                      </w:tcPr>
                      <w:p>
                        <w:pPr>
                          <w:pStyle w:val="TableParagraph"/>
                          <w:spacing w:line="140" w:lineRule="exact"/>
                          <w:ind w:left="210"/>
                          <w:rPr>
                            <w:sz w:val="13"/>
                          </w:rPr>
                        </w:pPr>
                        <w:r>
                          <w:rPr>
                            <w:w w:val="105"/>
                            <w:sz w:val="13"/>
                          </w:rPr>
                          <w:t>Supplementary Consultation 1 (Victorian Civil and Administrative Tribunal).</w:t>
                        </w:r>
                      </w:p>
                    </w:tc>
                  </w:tr>
                  <w:tr>
                    <w:trPr>
                      <w:trHeight w:val="160" w:hRule="atLeast"/>
                    </w:trPr>
                    <w:tc>
                      <w:tcPr>
                        <w:tcW w:w="584" w:type="dxa"/>
                      </w:tcPr>
                      <w:p>
                        <w:pPr>
                          <w:pStyle w:val="TableParagraph"/>
                          <w:spacing w:line="140" w:lineRule="exact"/>
                          <w:rPr>
                            <w:sz w:val="13"/>
                          </w:rPr>
                        </w:pPr>
                        <w:r>
                          <w:rPr>
                            <w:w w:val="110"/>
                            <w:sz w:val="13"/>
                          </w:rPr>
                          <w:t>137</w:t>
                        </w:r>
                      </w:p>
                    </w:tc>
                    <w:tc>
                      <w:tcPr>
                        <w:tcW w:w="8146" w:type="dxa"/>
                      </w:tcPr>
                      <w:p>
                        <w:pPr>
                          <w:pStyle w:val="TableParagraph"/>
                          <w:spacing w:line="140" w:lineRule="exact"/>
                          <w:ind w:left="210"/>
                          <w:rPr>
                            <w:sz w:val="13"/>
                          </w:rPr>
                        </w:pPr>
                        <w:r>
                          <w:rPr>
                            <w:w w:val="105"/>
                            <w:sz w:val="13"/>
                          </w:rPr>
                          <w:t>Submissions 4 (Name withheld), 9 (Dr Karen Smith), 23 (Name withheld); Consultations 1 (Aldo Taranto), 3 (HVP Plantations), 6 (Ben</w:t>
                        </w:r>
                      </w:p>
                    </w:tc>
                  </w:tr>
                  <w:tr>
                    <w:trPr>
                      <w:trHeight w:val="160" w:hRule="atLeast"/>
                    </w:trPr>
                    <w:tc>
                      <w:tcPr>
                        <w:tcW w:w="584" w:type="dxa"/>
                      </w:tcPr>
                      <w:p>
                        <w:pPr>
                          <w:pStyle w:val="TableParagraph"/>
                          <w:rPr>
                            <w:rFonts w:ascii="Times New Roman"/>
                            <w:sz w:val="10"/>
                          </w:rPr>
                        </w:pPr>
                      </w:p>
                    </w:tc>
                    <w:tc>
                      <w:tcPr>
                        <w:tcW w:w="8146" w:type="dxa"/>
                      </w:tcPr>
                      <w:p>
                        <w:pPr>
                          <w:pStyle w:val="TableParagraph"/>
                          <w:spacing w:line="140" w:lineRule="exact"/>
                          <w:ind w:left="210"/>
                          <w:rPr>
                            <w:sz w:val="13"/>
                          </w:rPr>
                        </w:pPr>
                        <w:r>
                          <w:rPr>
                            <w:w w:val="105"/>
                            <w:sz w:val="13"/>
                          </w:rPr>
                          <w:t>Kenyon).</w:t>
                        </w:r>
                      </w:p>
                    </w:tc>
                  </w:tr>
                  <w:tr>
                    <w:trPr>
                      <w:trHeight w:val="160" w:hRule="atLeast"/>
                    </w:trPr>
                    <w:tc>
                      <w:tcPr>
                        <w:tcW w:w="584" w:type="dxa"/>
                      </w:tcPr>
                      <w:p>
                        <w:pPr>
                          <w:pStyle w:val="TableParagraph"/>
                          <w:spacing w:line="140" w:lineRule="exact"/>
                          <w:rPr>
                            <w:sz w:val="13"/>
                          </w:rPr>
                        </w:pPr>
                        <w:r>
                          <w:rPr>
                            <w:w w:val="110"/>
                            <w:sz w:val="13"/>
                          </w:rPr>
                          <w:t>138</w:t>
                        </w:r>
                      </w:p>
                    </w:tc>
                    <w:tc>
                      <w:tcPr>
                        <w:tcW w:w="8146" w:type="dxa"/>
                      </w:tcPr>
                      <w:p>
                        <w:pPr>
                          <w:pStyle w:val="TableParagraph"/>
                          <w:spacing w:line="140" w:lineRule="exact"/>
                          <w:ind w:left="210"/>
                          <w:rPr>
                            <w:sz w:val="13"/>
                          </w:rPr>
                        </w:pPr>
                        <w:r>
                          <w:rPr>
                            <w:w w:val="105"/>
                            <w:sz w:val="13"/>
                          </w:rPr>
                          <w:t>Submission 9 (Dr Karen Smith).</w:t>
                        </w:r>
                      </w:p>
                    </w:tc>
                  </w:tr>
                  <w:tr>
                    <w:trPr>
                      <w:trHeight w:val="155" w:hRule="atLeast"/>
                    </w:trPr>
                    <w:tc>
                      <w:tcPr>
                        <w:tcW w:w="584" w:type="dxa"/>
                      </w:tcPr>
                      <w:p>
                        <w:pPr>
                          <w:pStyle w:val="TableParagraph"/>
                          <w:spacing w:line="135" w:lineRule="exact"/>
                          <w:rPr>
                            <w:sz w:val="13"/>
                          </w:rPr>
                        </w:pPr>
                        <w:r>
                          <w:rPr>
                            <w:w w:val="110"/>
                            <w:sz w:val="13"/>
                          </w:rPr>
                          <w:t>139</w:t>
                        </w:r>
                      </w:p>
                    </w:tc>
                    <w:tc>
                      <w:tcPr>
                        <w:tcW w:w="8146" w:type="dxa"/>
                      </w:tcPr>
                      <w:p>
                        <w:pPr>
                          <w:pStyle w:val="TableParagraph"/>
                          <w:spacing w:line="135" w:lineRule="exact"/>
                          <w:ind w:left="210"/>
                          <w:rPr>
                            <w:sz w:val="13"/>
                          </w:rPr>
                        </w:pPr>
                        <w:r>
                          <w:rPr>
                            <w:w w:val="105"/>
                            <w:sz w:val="13"/>
                          </w:rPr>
                          <w:t>Consultation 6 (Ben Kenyon).</w:t>
                        </w:r>
                      </w:p>
                    </w:tc>
                  </w:tr>
                </w:tbl>
                <w:p>
                  <w:pPr>
                    <w:pStyle w:val="BodyText"/>
                  </w:pPr>
                </w:p>
              </w:txbxContent>
            </v:textbox>
            <w10:wrap type="none"/>
          </v:shape>
        </w:pict>
      </w:r>
      <w:r>
        <w:rPr>
          <w:w w:val="115"/>
        </w:rPr>
        <w:t>Community responses—Tree owner responsibilities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spacing w:before="206"/>
        <w:ind w:left="0" w:right="596" w:firstLine="0"/>
        <w:jc w:val="right"/>
        <w:rPr>
          <w:b/>
          <w:sz w:val="24"/>
        </w:rPr>
      </w:pPr>
      <w:r>
        <w:rPr>
          <w:b/>
          <w:color w:val="658464"/>
          <w:w w:val="105"/>
          <w:sz w:val="24"/>
        </w:rPr>
        <w:t>123</w:t>
      </w:r>
    </w:p>
    <w:p>
      <w:pPr>
        <w:spacing w:after="0"/>
        <w:jc w:val="right"/>
        <w:rPr>
          <w:sz w:val="24"/>
        </w:rPr>
        <w:sectPr>
          <w:pgSz w:w="11910" w:h="16840"/>
          <w:pgMar w:header="808" w:footer="0" w:top="1360" w:bottom="280" w:left="0" w:right="0"/>
        </w:sectPr>
      </w:pPr>
    </w:p>
    <w:p>
      <w:pPr>
        <w:pStyle w:val="BodyText"/>
        <w:spacing w:before="9"/>
        <w:rPr>
          <w:b/>
          <w:sz w:val="22"/>
        </w:rPr>
      </w:pPr>
    </w:p>
    <w:p>
      <w:pPr>
        <w:pStyle w:val="ListParagraph"/>
        <w:numPr>
          <w:ilvl w:val="1"/>
          <w:numId w:val="99"/>
        </w:numPr>
        <w:tabs>
          <w:tab w:pos="2381" w:val="left" w:leader="none"/>
          <w:tab w:pos="2382" w:val="left" w:leader="none"/>
        </w:tabs>
        <w:spacing w:line="242" w:lineRule="auto" w:before="92" w:after="0"/>
        <w:ind w:left="2381" w:right="1619" w:hanging="794"/>
        <w:jc w:val="left"/>
        <w:rPr>
          <w:sz w:val="12"/>
        </w:rPr>
      </w:pPr>
      <w:r>
        <w:rPr>
          <w:sz w:val="21"/>
        </w:rPr>
        <w:t>A number of affected neighbours told the </w:t>
      </w:r>
      <w:r>
        <w:rPr>
          <w:spacing w:val="-3"/>
          <w:sz w:val="21"/>
        </w:rPr>
        <w:t>Commission that </w:t>
      </w:r>
      <w:r>
        <w:rPr>
          <w:sz w:val="21"/>
        </w:rPr>
        <w:t>the tree owner can choose </w:t>
      </w:r>
      <w:r>
        <w:rPr>
          <w:spacing w:val="-3"/>
          <w:sz w:val="21"/>
        </w:rPr>
        <w:t>to ignore </w:t>
      </w:r>
      <w:r>
        <w:rPr>
          <w:sz w:val="21"/>
        </w:rPr>
        <w:t>the issue or </w:t>
      </w:r>
      <w:r>
        <w:rPr>
          <w:spacing w:val="-3"/>
          <w:sz w:val="21"/>
        </w:rPr>
        <w:t>refuse to </w:t>
      </w:r>
      <w:r>
        <w:rPr>
          <w:sz w:val="21"/>
        </w:rPr>
        <w:t>assist because </w:t>
      </w:r>
      <w:r>
        <w:rPr>
          <w:spacing w:val="-3"/>
          <w:sz w:val="21"/>
        </w:rPr>
        <w:t>responsibility  for  managing  </w:t>
      </w:r>
      <w:r>
        <w:rPr>
          <w:sz w:val="21"/>
        </w:rPr>
        <w:t>a tree </w:t>
      </w:r>
      <w:r>
        <w:rPr>
          <w:spacing w:val="-4"/>
          <w:sz w:val="21"/>
        </w:rPr>
        <w:t>falls  </w:t>
      </w:r>
      <w:r>
        <w:rPr>
          <w:spacing w:val="-3"/>
          <w:sz w:val="21"/>
        </w:rPr>
        <w:t>entirely </w:t>
      </w:r>
      <w:r>
        <w:rPr>
          <w:sz w:val="21"/>
        </w:rPr>
        <w:t>on the </w:t>
      </w:r>
      <w:r>
        <w:rPr>
          <w:spacing w:val="-3"/>
          <w:sz w:val="21"/>
        </w:rPr>
        <w:t>neighbour </w:t>
      </w:r>
      <w:r>
        <w:rPr>
          <w:sz w:val="21"/>
        </w:rPr>
        <w:t>who is being affected by it. This </w:t>
      </w:r>
      <w:r>
        <w:rPr>
          <w:spacing w:val="-3"/>
          <w:sz w:val="21"/>
        </w:rPr>
        <w:t>may  </w:t>
      </w:r>
      <w:r>
        <w:rPr>
          <w:sz w:val="21"/>
        </w:rPr>
        <w:t>present  a  </w:t>
      </w:r>
      <w:r>
        <w:rPr>
          <w:spacing w:val="-3"/>
          <w:sz w:val="21"/>
        </w:rPr>
        <w:t>significant  </w:t>
      </w:r>
      <w:r>
        <w:rPr>
          <w:sz w:val="21"/>
        </w:rPr>
        <w:t>burden  in </w:t>
      </w:r>
      <w:r>
        <w:rPr>
          <w:spacing w:val="-3"/>
          <w:sz w:val="21"/>
        </w:rPr>
        <w:t>terms  </w:t>
      </w:r>
      <w:r>
        <w:rPr>
          <w:sz w:val="21"/>
        </w:rPr>
        <w:t>of cost and </w:t>
      </w:r>
      <w:r>
        <w:rPr>
          <w:spacing w:val="-3"/>
          <w:sz w:val="21"/>
        </w:rPr>
        <w:t>effort.</w:t>
      </w:r>
      <w:r>
        <w:rPr>
          <w:spacing w:val="-3"/>
          <w:position w:val="7"/>
          <w:sz w:val="12"/>
        </w:rPr>
        <w:t>140 </w:t>
      </w:r>
      <w:r>
        <w:rPr>
          <w:spacing w:val="21"/>
          <w:position w:val="7"/>
          <w:sz w:val="12"/>
        </w:rPr>
        <w:t> </w:t>
      </w:r>
      <w:r>
        <w:rPr>
          <w:sz w:val="21"/>
        </w:rPr>
        <w:t>As one survey respondent said, ‘The </w:t>
      </w:r>
      <w:r>
        <w:rPr>
          <w:spacing w:val="-3"/>
          <w:sz w:val="21"/>
        </w:rPr>
        <w:t>current  </w:t>
      </w:r>
      <w:r>
        <w:rPr>
          <w:sz w:val="21"/>
        </w:rPr>
        <w:t>law is very </w:t>
      </w:r>
      <w:r>
        <w:rPr>
          <w:spacing w:val="-6"/>
          <w:sz w:val="21"/>
        </w:rPr>
        <w:t>unfair.     </w:t>
      </w:r>
      <w:r>
        <w:rPr>
          <w:sz w:val="21"/>
        </w:rPr>
        <w:t>It is one-sided It </w:t>
      </w:r>
      <w:r>
        <w:rPr>
          <w:spacing w:val="-3"/>
          <w:sz w:val="21"/>
        </w:rPr>
        <w:t>will </w:t>
      </w:r>
      <w:r>
        <w:rPr>
          <w:sz w:val="21"/>
        </w:rPr>
        <w:t>cost over $2,000 dollars </w:t>
      </w:r>
      <w:r>
        <w:rPr>
          <w:spacing w:val="-3"/>
          <w:sz w:val="21"/>
        </w:rPr>
        <w:t>to have </w:t>
      </w:r>
      <w:r>
        <w:rPr>
          <w:sz w:val="21"/>
        </w:rPr>
        <w:t>it cut back </w:t>
      </w:r>
      <w:r>
        <w:rPr>
          <w:spacing w:val="-3"/>
          <w:sz w:val="21"/>
        </w:rPr>
        <w:t>to </w:t>
      </w:r>
      <w:r>
        <w:rPr>
          <w:sz w:val="21"/>
        </w:rPr>
        <w:t>the </w:t>
      </w:r>
      <w:r>
        <w:rPr>
          <w:spacing w:val="-3"/>
          <w:sz w:val="21"/>
        </w:rPr>
        <w:t>fence  line  </w:t>
      </w:r>
      <w:r>
        <w:rPr>
          <w:sz w:val="21"/>
        </w:rPr>
        <w:t>which </w:t>
      </w:r>
      <w:r>
        <w:rPr>
          <w:spacing w:val="-3"/>
          <w:sz w:val="21"/>
        </w:rPr>
        <w:t>won’t </w:t>
      </w:r>
      <w:r>
        <w:rPr>
          <w:sz w:val="21"/>
        </w:rPr>
        <w:t>even resolve the issues. It is their tree it should be their </w:t>
      </w:r>
      <w:r>
        <w:rPr>
          <w:spacing w:val="-3"/>
          <w:sz w:val="21"/>
        </w:rPr>
        <w:t>responsibility to keep </w:t>
      </w:r>
      <w:r>
        <w:rPr>
          <w:sz w:val="21"/>
        </w:rPr>
        <w:t>it    </w:t>
      </w:r>
      <w:r>
        <w:rPr>
          <w:spacing w:val="-3"/>
          <w:sz w:val="21"/>
        </w:rPr>
        <w:t>within </w:t>
      </w:r>
      <w:r>
        <w:rPr>
          <w:sz w:val="21"/>
        </w:rPr>
        <w:t>their</w:t>
      </w:r>
      <w:r>
        <w:rPr>
          <w:spacing w:val="20"/>
          <w:sz w:val="21"/>
        </w:rPr>
        <w:t> </w:t>
      </w:r>
      <w:r>
        <w:rPr>
          <w:spacing w:val="-4"/>
          <w:sz w:val="21"/>
        </w:rPr>
        <w:t>property.’</w:t>
      </w:r>
      <w:r>
        <w:rPr>
          <w:spacing w:val="-4"/>
          <w:position w:val="7"/>
          <w:sz w:val="12"/>
        </w:rPr>
        <w:t>141</w:t>
      </w:r>
    </w:p>
    <w:p>
      <w:pPr>
        <w:pStyle w:val="ListParagraph"/>
        <w:numPr>
          <w:ilvl w:val="1"/>
          <w:numId w:val="99"/>
        </w:numPr>
        <w:tabs>
          <w:tab w:pos="2381" w:val="left" w:leader="none"/>
          <w:tab w:pos="2382" w:val="left" w:leader="none"/>
        </w:tabs>
        <w:spacing w:line="242" w:lineRule="auto" w:before="127" w:after="0"/>
        <w:ind w:left="2381" w:right="1816" w:hanging="794"/>
        <w:jc w:val="left"/>
        <w:rPr>
          <w:sz w:val="12"/>
        </w:rPr>
      </w:pPr>
      <w:r>
        <w:rPr>
          <w:spacing w:val="-4"/>
          <w:sz w:val="21"/>
        </w:rPr>
        <w:t>QCAT </w:t>
      </w:r>
      <w:r>
        <w:rPr>
          <w:sz w:val="21"/>
        </w:rPr>
        <w:t>stated </w:t>
      </w:r>
      <w:r>
        <w:rPr>
          <w:spacing w:val="-3"/>
          <w:sz w:val="21"/>
        </w:rPr>
        <w:t>that </w:t>
      </w:r>
      <w:r>
        <w:rPr>
          <w:sz w:val="21"/>
        </w:rPr>
        <w:t>tree owner </w:t>
      </w:r>
      <w:r>
        <w:rPr>
          <w:spacing w:val="-3"/>
          <w:sz w:val="21"/>
        </w:rPr>
        <w:t>responsibilities </w:t>
      </w:r>
      <w:r>
        <w:rPr>
          <w:sz w:val="21"/>
        </w:rPr>
        <w:t>under the </w:t>
      </w:r>
      <w:r>
        <w:rPr>
          <w:spacing w:val="-3"/>
          <w:sz w:val="21"/>
        </w:rPr>
        <w:t>Queensland </w:t>
      </w:r>
      <w:r>
        <w:rPr>
          <w:sz w:val="21"/>
        </w:rPr>
        <w:t>Act  </w:t>
      </w:r>
      <w:r>
        <w:rPr>
          <w:spacing w:val="-3"/>
          <w:sz w:val="21"/>
        </w:rPr>
        <w:t>are  helpful </w:t>
      </w:r>
      <w:r>
        <w:rPr>
          <w:sz w:val="21"/>
        </w:rPr>
        <w:t>because they provide clarity about the tree </w:t>
      </w:r>
      <w:r>
        <w:rPr>
          <w:spacing w:val="-3"/>
          <w:sz w:val="21"/>
        </w:rPr>
        <w:t>owner’s obligations. </w:t>
      </w:r>
      <w:r>
        <w:rPr>
          <w:spacing w:val="-4"/>
          <w:sz w:val="21"/>
        </w:rPr>
        <w:t>However, </w:t>
      </w:r>
      <w:r>
        <w:rPr>
          <w:sz w:val="21"/>
        </w:rPr>
        <w:t>the </w:t>
      </w:r>
      <w:r>
        <w:rPr>
          <w:spacing w:val="-5"/>
          <w:sz w:val="21"/>
        </w:rPr>
        <w:t>Tribunal </w:t>
      </w:r>
      <w:r>
        <w:rPr>
          <w:spacing w:val="-3"/>
          <w:sz w:val="21"/>
        </w:rPr>
        <w:t>cannot </w:t>
      </w:r>
      <w:r>
        <w:rPr>
          <w:sz w:val="21"/>
        </w:rPr>
        <w:t>ascertain whether these </w:t>
      </w:r>
      <w:r>
        <w:rPr>
          <w:spacing w:val="-3"/>
          <w:sz w:val="21"/>
        </w:rPr>
        <w:t>responsibilities prevent </w:t>
      </w:r>
      <w:r>
        <w:rPr>
          <w:sz w:val="21"/>
        </w:rPr>
        <w:t>a tree </w:t>
      </w:r>
      <w:r>
        <w:rPr>
          <w:spacing w:val="-3"/>
          <w:sz w:val="21"/>
        </w:rPr>
        <w:t>dispute from reaching </w:t>
      </w:r>
      <w:r>
        <w:rPr>
          <w:sz w:val="21"/>
        </w:rPr>
        <w:t>the </w:t>
      </w:r>
      <w:r>
        <w:rPr>
          <w:spacing w:val="-6"/>
          <w:sz w:val="21"/>
        </w:rPr>
        <w:t>Tribunal.</w:t>
      </w:r>
      <w:r>
        <w:rPr>
          <w:spacing w:val="-6"/>
          <w:position w:val="7"/>
          <w:sz w:val="12"/>
        </w:rPr>
        <w:t>142 </w:t>
      </w:r>
      <w:r>
        <w:rPr>
          <w:spacing w:val="-4"/>
          <w:sz w:val="21"/>
        </w:rPr>
        <w:t>QCAT </w:t>
      </w:r>
      <w:r>
        <w:rPr>
          <w:sz w:val="21"/>
        </w:rPr>
        <w:t>explained </w:t>
      </w:r>
      <w:r>
        <w:rPr>
          <w:spacing w:val="-3"/>
          <w:sz w:val="21"/>
        </w:rPr>
        <w:t>that </w:t>
      </w:r>
      <w:r>
        <w:rPr>
          <w:sz w:val="21"/>
        </w:rPr>
        <w:t>tree owner </w:t>
      </w:r>
      <w:r>
        <w:rPr>
          <w:spacing w:val="-3"/>
          <w:sz w:val="21"/>
        </w:rPr>
        <w:t>responsibilities overlap </w:t>
      </w:r>
      <w:r>
        <w:rPr>
          <w:sz w:val="21"/>
        </w:rPr>
        <w:t>with  the  </w:t>
      </w:r>
      <w:r>
        <w:rPr>
          <w:spacing w:val="-3"/>
          <w:sz w:val="21"/>
        </w:rPr>
        <w:t>branch removal notice </w:t>
      </w:r>
      <w:r>
        <w:rPr>
          <w:sz w:val="21"/>
        </w:rPr>
        <w:t>under the </w:t>
      </w:r>
      <w:r>
        <w:rPr>
          <w:spacing w:val="-4"/>
          <w:sz w:val="21"/>
        </w:rPr>
        <w:t>QCAT </w:t>
      </w:r>
      <w:r>
        <w:rPr>
          <w:spacing w:val="-5"/>
          <w:sz w:val="21"/>
        </w:rPr>
        <w:t>Act.</w:t>
      </w:r>
      <w:r>
        <w:rPr>
          <w:spacing w:val="-5"/>
          <w:position w:val="7"/>
          <w:sz w:val="12"/>
        </w:rPr>
        <w:t>143 </w:t>
      </w:r>
      <w:r>
        <w:rPr>
          <w:spacing w:val="-4"/>
          <w:sz w:val="21"/>
        </w:rPr>
        <w:t>Further, QCAT </w:t>
      </w:r>
      <w:r>
        <w:rPr>
          <w:spacing w:val="-3"/>
          <w:sz w:val="21"/>
        </w:rPr>
        <w:t>noted that </w:t>
      </w:r>
      <w:r>
        <w:rPr>
          <w:sz w:val="21"/>
        </w:rPr>
        <w:t>these tree owner </w:t>
      </w:r>
      <w:r>
        <w:rPr>
          <w:spacing w:val="-3"/>
          <w:sz w:val="21"/>
        </w:rPr>
        <w:t>responsibilities are </w:t>
      </w:r>
      <w:r>
        <w:rPr>
          <w:spacing w:val="-4"/>
          <w:sz w:val="21"/>
        </w:rPr>
        <w:t>linked </w:t>
      </w:r>
      <w:r>
        <w:rPr>
          <w:spacing w:val="-3"/>
          <w:sz w:val="21"/>
        </w:rPr>
        <w:t>to </w:t>
      </w:r>
      <w:r>
        <w:rPr>
          <w:sz w:val="21"/>
        </w:rPr>
        <w:t>and </w:t>
      </w:r>
      <w:r>
        <w:rPr>
          <w:spacing w:val="-3"/>
          <w:sz w:val="21"/>
        </w:rPr>
        <w:t>mirrored </w:t>
      </w:r>
      <w:r>
        <w:rPr>
          <w:sz w:val="21"/>
        </w:rPr>
        <w:t>in the factors </w:t>
      </w:r>
      <w:r>
        <w:rPr>
          <w:spacing w:val="-4"/>
          <w:sz w:val="21"/>
        </w:rPr>
        <w:t>QCAT </w:t>
      </w:r>
      <w:r>
        <w:rPr>
          <w:spacing w:val="-3"/>
          <w:sz w:val="21"/>
        </w:rPr>
        <w:t>takes </w:t>
      </w:r>
      <w:r>
        <w:rPr>
          <w:spacing w:val="-4"/>
          <w:sz w:val="21"/>
        </w:rPr>
        <w:t>into </w:t>
      </w:r>
      <w:r>
        <w:rPr>
          <w:spacing w:val="-3"/>
          <w:sz w:val="21"/>
        </w:rPr>
        <w:t>account </w:t>
      </w:r>
      <w:r>
        <w:rPr>
          <w:sz w:val="21"/>
        </w:rPr>
        <w:t>when </w:t>
      </w:r>
      <w:r>
        <w:rPr>
          <w:spacing w:val="-3"/>
          <w:sz w:val="21"/>
        </w:rPr>
        <w:t>making </w:t>
      </w:r>
      <w:r>
        <w:rPr>
          <w:sz w:val="21"/>
        </w:rPr>
        <w:t>decisions and</w:t>
      </w:r>
      <w:r>
        <w:rPr>
          <w:spacing w:val="30"/>
          <w:sz w:val="21"/>
        </w:rPr>
        <w:t> </w:t>
      </w:r>
      <w:r>
        <w:rPr>
          <w:spacing w:val="-3"/>
          <w:sz w:val="21"/>
        </w:rPr>
        <w:t>orders.</w:t>
      </w:r>
      <w:r>
        <w:rPr>
          <w:spacing w:val="-3"/>
          <w:position w:val="7"/>
          <w:sz w:val="12"/>
        </w:rPr>
        <w:t>144</w:t>
      </w:r>
    </w:p>
    <w:p>
      <w:pPr>
        <w:pStyle w:val="BodyText"/>
        <w:spacing w:before="8"/>
        <w:rPr>
          <w:sz w:val="20"/>
        </w:rPr>
      </w:pPr>
    </w:p>
    <w:p>
      <w:pPr>
        <w:pStyle w:val="Heading5"/>
        <w:spacing w:before="1"/>
      </w:pPr>
      <w:r>
        <w:rPr>
          <w:w w:val="110"/>
        </w:rPr>
        <w:t>Community responses—Branch removal notices</w:t>
      </w:r>
    </w:p>
    <w:p>
      <w:pPr>
        <w:pStyle w:val="ListParagraph"/>
        <w:numPr>
          <w:ilvl w:val="1"/>
          <w:numId w:val="99"/>
        </w:numPr>
        <w:tabs>
          <w:tab w:pos="2380" w:val="left" w:leader="none"/>
          <w:tab w:pos="2381" w:val="left" w:leader="none"/>
        </w:tabs>
        <w:spacing w:line="242" w:lineRule="auto" w:before="137" w:after="0"/>
        <w:ind w:left="2381" w:right="1807" w:hanging="794"/>
        <w:jc w:val="left"/>
        <w:rPr>
          <w:sz w:val="12"/>
        </w:rPr>
      </w:pPr>
      <w:r>
        <w:rPr>
          <w:w w:val="105"/>
          <w:sz w:val="21"/>
        </w:rPr>
        <w:t>The </w:t>
      </w:r>
      <w:r>
        <w:rPr>
          <w:spacing w:val="-3"/>
          <w:w w:val="105"/>
          <w:sz w:val="21"/>
        </w:rPr>
        <w:t>consultation </w:t>
      </w:r>
      <w:r>
        <w:rPr>
          <w:w w:val="105"/>
          <w:sz w:val="21"/>
        </w:rPr>
        <w:t>paper </w:t>
      </w:r>
      <w:r>
        <w:rPr>
          <w:spacing w:val="-3"/>
          <w:w w:val="105"/>
          <w:sz w:val="21"/>
        </w:rPr>
        <w:t>asked </w:t>
      </w:r>
      <w:r>
        <w:rPr>
          <w:w w:val="105"/>
          <w:sz w:val="21"/>
        </w:rPr>
        <w:t>whether other </w:t>
      </w:r>
      <w:r>
        <w:rPr>
          <w:spacing w:val="-3"/>
          <w:w w:val="105"/>
          <w:sz w:val="21"/>
        </w:rPr>
        <w:t>mechanisms </w:t>
      </w:r>
      <w:r>
        <w:rPr>
          <w:w w:val="105"/>
          <w:sz w:val="21"/>
        </w:rPr>
        <w:t>should be </w:t>
      </w:r>
      <w:r>
        <w:rPr>
          <w:spacing w:val="-3"/>
          <w:w w:val="105"/>
          <w:sz w:val="21"/>
        </w:rPr>
        <w:t>available to </w:t>
      </w:r>
      <w:r>
        <w:rPr>
          <w:w w:val="105"/>
          <w:sz w:val="21"/>
        </w:rPr>
        <w:t>assist people</w:t>
      </w:r>
      <w:r>
        <w:rPr>
          <w:spacing w:val="-8"/>
          <w:w w:val="105"/>
          <w:sz w:val="21"/>
        </w:rPr>
        <w:t> </w:t>
      </w:r>
      <w:r>
        <w:rPr>
          <w:spacing w:val="-3"/>
          <w:w w:val="105"/>
          <w:sz w:val="21"/>
        </w:rPr>
        <w:t>to</w:t>
      </w:r>
      <w:r>
        <w:rPr>
          <w:spacing w:val="-8"/>
          <w:w w:val="105"/>
          <w:sz w:val="21"/>
        </w:rPr>
        <w:t> </w:t>
      </w:r>
      <w:r>
        <w:rPr>
          <w:w w:val="105"/>
          <w:sz w:val="21"/>
        </w:rPr>
        <w:t>resolve</w:t>
      </w:r>
      <w:r>
        <w:rPr>
          <w:spacing w:val="-8"/>
          <w:w w:val="105"/>
          <w:sz w:val="21"/>
        </w:rPr>
        <w:t> </w:t>
      </w:r>
      <w:r>
        <w:rPr>
          <w:w w:val="105"/>
          <w:sz w:val="21"/>
        </w:rPr>
        <w:t>their</w:t>
      </w:r>
      <w:r>
        <w:rPr>
          <w:spacing w:val="-8"/>
          <w:w w:val="105"/>
          <w:sz w:val="21"/>
        </w:rPr>
        <w:t> </w:t>
      </w:r>
      <w:r>
        <w:rPr>
          <w:spacing w:val="-3"/>
          <w:w w:val="105"/>
          <w:sz w:val="21"/>
        </w:rPr>
        <w:t>disputes,</w:t>
      </w:r>
      <w:r>
        <w:rPr>
          <w:spacing w:val="-8"/>
          <w:w w:val="105"/>
          <w:sz w:val="21"/>
        </w:rPr>
        <w:t> </w:t>
      </w:r>
      <w:r>
        <w:rPr>
          <w:spacing w:val="-3"/>
          <w:w w:val="105"/>
          <w:sz w:val="21"/>
        </w:rPr>
        <w:t>such</w:t>
      </w:r>
      <w:r>
        <w:rPr>
          <w:spacing w:val="-8"/>
          <w:w w:val="105"/>
          <w:sz w:val="21"/>
        </w:rPr>
        <w:t> </w:t>
      </w:r>
      <w:r>
        <w:rPr>
          <w:w w:val="105"/>
          <w:sz w:val="21"/>
        </w:rPr>
        <w:t>as</w:t>
      </w:r>
      <w:r>
        <w:rPr>
          <w:spacing w:val="-8"/>
          <w:w w:val="105"/>
          <w:sz w:val="21"/>
        </w:rPr>
        <w:t> </w:t>
      </w:r>
      <w:r>
        <w:rPr>
          <w:w w:val="105"/>
          <w:sz w:val="21"/>
        </w:rPr>
        <w:t>a</w:t>
      </w:r>
      <w:r>
        <w:rPr>
          <w:spacing w:val="-8"/>
          <w:w w:val="105"/>
          <w:sz w:val="21"/>
        </w:rPr>
        <w:t> </w:t>
      </w:r>
      <w:r>
        <w:rPr>
          <w:spacing w:val="-3"/>
          <w:w w:val="105"/>
          <w:sz w:val="21"/>
        </w:rPr>
        <w:t>branch</w:t>
      </w:r>
      <w:r>
        <w:rPr>
          <w:spacing w:val="-8"/>
          <w:w w:val="105"/>
          <w:sz w:val="21"/>
        </w:rPr>
        <w:t> </w:t>
      </w:r>
      <w:r>
        <w:rPr>
          <w:spacing w:val="-3"/>
          <w:w w:val="105"/>
          <w:sz w:val="21"/>
        </w:rPr>
        <w:t>removal</w:t>
      </w:r>
      <w:r>
        <w:rPr>
          <w:spacing w:val="-8"/>
          <w:w w:val="105"/>
          <w:sz w:val="21"/>
        </w:rPr>
        <w:t> </w:t>
      </w:r>
      <w:r>
        <w:rPr>
          <w:spacing w:val="-3"/>
          <w:w w:val="105"/>
          <w:sz w:val="21"/>
        </w:rPr>
        <w:t>notice</w:t>
      </w:r>
      <w:r>
        <w:rPr>
          <w:spacing w:val="-8"/>
          <w:w w:val="105"/>
          <w:sz w:val="21"/>
        </w:rPr>
        <w:t> </w:t>
      </w:r>
      <w:r>
        <w:rPr>
          <w:w w:val="105"/>
          <w:sz w:val="21"/>
        </w:rPr>
        <w:t>process</w:t>
      </w:r>
      <w:r>
        <w:rPr>
          <w:spacing w:val="-8"/>
          <w:w w:val="105"/>
          <w:sz w:val="21"/>
        </w:rPr>
        <w:t> </w:t>
      </w:r>
      <w:r>
        <w:rPr>
          <w:w w:val="105"/>
          <w:sz w:val="21"/>
        </w:rPr>
        <w:t>as</w:t>
      </w:r>
      <w:r>
        <w:rPr>
          <w:spacing w:val="-8"/>
          <w:w w:val="105"/>
          <w:sz w:val="21"/>
        </w:rPr>
        <w:t> </w:t>
      </w:r>
      <w:r>
        <w:rPr>
          <w:w w:val="105"/>
          <w:sz w:val="21"/>
        </w:rPr>
        <w:t>exists</w:t>
      </w:r>
      <w:r>
        <w:rPr>
          <w:spacing w:val="-8"/>
          <w:w w:val="105"/>
          <w:sz w:val="21"/>
        </w:rPr>
        <w:t> </w:t>
      </w:r>
      <w:r>
        <w:rPr>
          <w:w w:val="105"/>
          <w:sz w:val="21"/>
        </w:rPr>
        <w:t>in</w:t>
      </w:r>
      <w:r>
        <w:rPr>
          <w:spacing w:val="-8"/>
          <w:w w:val="105"/>
          <w:sz w:val="21"/>
        </w:rPr>
        <w:t> </w:t>
      </w:r>
      <w:r>
        <w:rPr>
          <w:w w:val="105"/>
          <w:sz w:val="21"/>
        </w:rPr>
        <w:t>the </w:t>
      </w:r>
      <w:r>
        <w:rPr>
          <w:spacing w:val="-3"/>
          <w:w w:val="105"/>
          <w:sz w:val="21"/>
        </w:rPr>
        <w:t>Queensland </w:t>
      </w:r>
      <w:r>
        <w:rPr>
          <w:w w:val="105"/>
          <w:sz w:val="21"/>
        </w:rPr>
        <w:t>and </w:t>
      </w:r>
      <w:r>
        <w:rPr>
          <w:spacing w:val="-4"/>
          <w:w w:val="105"/>
          <w:sz w:val="21"/>
        </w:rPr>
        <w:t>Tasmanian </w:t>
      </w:r>
      <w:r>
        <w:rPr>
          <w:w w:val="105"/>
          <w:sz w:val="21"/>
        </w:rPr>
        <w:t>Acts. There was some support </w:t>
      </w:r>
      <w:r>
        <w:rPr>
          <w:spacing w:val="-3"/>
          <w:w w:val="105"/>
          <w:sz w:val="21"/>
        </w:rPr>
        <w:t>for such </w:t>
      </w:r>
      <w:r>
        <w:rPr>
          <w:w w:val="105"/>
          <w:sz w:val="21"/>
        </w:rPr>
        <w:t>a</w:t>
      </w:r>
      <w:r>
        <w:rPr>
          <w:spacing w:val="39"/>
          <w:w w:val="105"/>
          <w:sz w:val="21"/>
        </w:rPr>
        <w:t> </w:t>
      </w:r>
      <w:r>
        <w:rPr>
          <w:spacing w:val="-4"/>
          <w:w w:val="105"/>
          <w:sz w:val="21"/>
        </w:rPr>
        <w:t>process.</w:t>
      </w:r>
      <w:r>
        <w:rPr>
          <w:spacing w:val="-4"/>
          <w:w w:val="105"/>
          <w:position w:val="7"/>
          <w:sz w:val="12"/>
        </w:rPr>
        <w:t>145</w:t>
      </w:r>
    </w:p>
    <w:p>
      <w:pPr>
        <w:pStyle w:val="ListParagraph"/>
        <w:numPr>
          <w:ilvl w:val="1"/>
          <w:numId w:val="99"/>
        </w:numPr>
        <w:tabs>
          <w:tab w:pos="2381" w:val="left" w:leader="none"/>
          <w:tab w:pos="2382" w:val="left" w:leader="none"/>
        </w:tabs>
        <w:spacing w:line="242" w:lineRule="auto" w:before="123" w:after="0"/>
        <w:ind w:left="2381" w:right="1904" w:hanging="794"/>
        <w:jc w:val="left"/>
        <w:rPr>
          <w:sz w:val="21"/>
        </w:rPr>
      </w:pPr>
      <w:r>
        <w:rPr>
          <w:spacing w:val="-3"/>
          <w:w w:val="105"/>
          <w:sz w:val="21"/>
        </w:rPr>
        <w:t>Many </w:t>
      </w:r>
      <w:r>
        <w:rPr>
          <w:w w:val="105"/>
          <w:sz w:val="21"/>
        </w:rPr>
        <w:t>people </w:t>
      </w:r>
      <w:r>
        <w:rPr>
          <w:spacing w:val="-3"/>
          <w:w w:val="105"/>
          <w:sz w:val="21"/>
        </w:rPr>
        <w:t>were </w:t>
      </w:r>
      <w:r>
        <w:rPr>
          <w:w w:val="105"/>
          <w:sz w:val="21"/>
        </w:rPr>
        <w:t>in </w:t>
      </w:r>
      <w:r>
        <w:rPr>
          <w:spacing w:val="-3"/>
          <w:w w:val="105"/>
          <w:sz w:val="21"/>
        </w:rPr>
        <w:t>favour </w:t>
      </w:r>
      <w:r>
        <w:rPr>
          <w:w w:val="105"/>
          <w:sz w:val="21"/>
        </w:rPr>
        <w:t>of shifting the </w:t>
      </w:r>
      <w:r>
        <w:rPr>
          <w:spacing w:val="-3"/>
          <w:w w:val="105"/>
          <w:sz w:val="21"/>
        </w:rPr>
        <w:t>responsibility for arranging </w:t>
      </w:r>
      <w:r>
        <w:rPr>
          <w:w w:val="105"/>
          <w:sz w:val="21"/>
        </w:rPr>
        <w:t>and </w:t>
      </w:r>
      <w:r>
        <w:rPr>
          <w:spacing w:val="-3"/>
          <w:w w:val="105"/>
          <w:sz w:val="21"/>
        </w:rPr>
        <w:t>funding </w:t>
      </w:r>
      <w:r>
        <w:rPr>
          <w:w w:val="105"/>
          <w:sz w:val="21"/>
        </w:rPr>
        <w:t>tree</w:t>
      </w:r>
      <w:r>
        <w:rPr>
          <w:spacing w:val="-6"/>
          <w:w w:val="105"/>
          <w:sz w:val="21"/>
        </w:rPr>
        <w:t> </w:t>
      </w:r>
      <w:r>
        <w:rPr>
          <w:w w:val="105"/>
          <w:sz w:val="21"/>
        </w:rPr>
        <w:t>works</w:t>
      </w:r>
      <w:r>
        <w:rPr>
          <w:spacing w:val="-5"/>
          <w:w w:val="105"/>
          <w:sz w:val="21"/>
        </w:rPr>
        <w:t> </w:t>
      </w:r>
      <w:r>
        <w:rPr>
          <w:spacing w:val="-3"/>
          <w:w w:val="105"/>
          <w:sz w:val="21"/>
        </w:rPr>
        <w:t>from</w:t>
      </w:r>
      <w:r>
        <w:rPr>
          <w:spacing w:val="-5"/>
          <w:w w:val="105"/>
          <w:sz w:val="21"/>
        </w:rPr>
        <w:t> </w:t>
      </w:r>
      <w:r>
        <w:rPr>
          <w:w w:val="105"/>
          <w:sz w:val="21"/>
        </w:rPr>
        <w:t>the</w:t>
      </w:r>
      <w:r>
        <w:rPr>
          <w:spacing w:val="-5"/>
          <w:w w:val="105"/>
          <w:sz w:val="21"/>
        </w:rPr>
        <w:t> </w:t>
      </w:r>
      <w:r>
        <w:rPr>
          <w:w w:val="105"/>
          <w:sz w:val="21"/>
        </w:rPr>
        <w:t>affected</w:t>
      </w:r>
      <w:r>
        <w:rPr>
          <w:spacing w:val="-6"/>
          <w:w w:val="105"/>
          <w:sz w:val="21"/>
        </w:rPr>
        <w:t> </w:t>
      </w:r>
      <w:r>
        <w:rPr>
          <w:spacing w:val="-3"/>
          <w:w w:val="105"/>
          <w:sz w:val="21"/>
        </w:rPr>
        <w:t>neighbour</w:t>
      </w:r>
      <w:r>
        <w:rPr>
          <w:spacing w:val="-5"/>
          <w:w w:val="105"/>
          <w:sz w:val="21"/>
        </w:rPr>
        <w:t> </w:t>
      </w:r>
      <w:r>
        <w:rPr>
          <w:spacing w:val="-3"/>
          <w:w w:val="105"/>
          <w:sz w:val="21"/>
        </w:rPr>
        <w:t>to</w:t>
      </w:r>
      <w:r>
        <w:rPr>
          <w:spacing w:val="-5"/>
          <w:w w:val="105"/>
          <w:sz w:val="21"/>
        </w:rPr>
        <w:t> </w:t>
      </w:r>
      <w:r>
        <w:rPr>
          <w:w w:val="105"/>
          <w:sz w:val="21"/>
        </w:rPr>
        <w:t>the</w:t>
      </w:r>
      <w:r>
        <w:rPr>
          <w:spacing w:val="-5"/>
          <w:w w:val="105"/>
          <w:sz w:val="21"/>
        </w:rPr>
        <w:t> </w:t>
      </w:r>
      <w:r>
        <w:rPr>
          <w:w w:val="105"/>
          <w:sz w:val="21"/>
        </w:rPr>
        <w:t>tree</w:t>
      </w:r>
      <w:r>
        <w:rPr>
          <w:spacing w:val="-6"/>
          <w:w w:val="105"/>
          <w:sz w:val="21"/>
        </w:rPr>
        <w:t> </w:t>
      </w:r>
      <w:r>
        <w:rPr>
          <w:spacing w:val="-5"/>
          <w:w w:val="105"/>
          <w:sz w:val="21"/>
        </w:rPr>
        <w:t>owner.</w:t>
      </w:r>
      <w:r>
        <w:rPr>
          <w:spacing w:val="-5"/>
          <w:w w:val="105"/>
          <w:position w:val="7"/>
          <w:sz w:val="12"/>
        </w:rPr>
        <w:t>146</w:t>
      </w:r>
      <w:r>
        <w:rPr>
          <w:spacing w:val="18"/>
          <w:w w:val="105"/>
          <w:position w:val="7"/>
          <w:sz w:val="12"/>
        </w:rPr>
        <w:t> </w:t>
      </w:r>
      <w:r>
        <w:rPr>
          <w:w w:val="105"/>
          <w:sz w:val="21"/>
        </w:rPr>
        <w:t>One</w:t>
      </w:r>
      <w:r>
        <w:rPr>
          <w:spacing w:val="-5"/>
          <w:w w:val="105"/>
          <w:sz w:val="21"/>
        </w:rPr>
        <w:t> </w:t>
      </w:r>
      <w:r>
        <w:rPr>
          <w:w w:val="105"/>
          <w:sz w:val="21"/>
        </w:rPr>
        <w:t>community</w:t>
      </w:r>
      <w:r>
        <w:rPr>
          <w:spacing w:val="-6"/>
          <w:w w:val="105"/>
          <w:sz w:val="21"/>
        </w:rPr>
        <w:t> </w:t>
      </w:r>
      <w:r>
        <w:rPr>
          <w:w w:val="105"/>
          <w:sz w:val="21"/>
        </w:rPr>
        <w:t>member</w:t>
      </w:r>
    </w:p>
    <w:p>
      <w:pPr>
        <w:pStyle w:val="BodyText"/>
        <w:spacing w:line="242" w:lineRule="auto" w:before="2"/>
        <w:ind w:left="2381" w:right="1603"/>
        <w:rPr>
          <w:sz w:val="12"/>
        </w:rPr>
      </w:pPr>
      <w:r>
        <w:rPr>
          <w:spacing w:val="-3"/>
          <w:w w:val="105"/>
        </w:rPr>
        <w:t>favoured </w:t>
      </w:r>
      <w:r>
        <w:rPr>
          <w:w w:val="105"/>
        </w:rPr>
        <w:t>a process </w:t>
      </w:r>
      <w:r>
        <w:rPr>
          <w:spacing w:val="-3"/>
          <w:w w:val="105"/>
        </w:rPr>
        <w:t>similar to issuing </w:t>
      </w:r>
      <w:r>
        <w:rPr>
          <w:w w:val="105"/>
        </w:rPr>
        <w:t>neighbours with a ‘Notice </w:t>
      </w:r>
      <w:r>
        <w:rPr>
          <w:spacing w:val="-3"/>
          <w:w w:val="105"/>
        </w:rPr>
        <w:t>to </w:t>
      </w:r>
      <w:r>
        <w:rPr>
          <w:w w:val="105"/>
        </w:rPr>
        <w:t>Fence under the </w:t>
      </w:r>
      <w:r>
        <w:rPr>
          <w:i/>
          <w:w w:val="105"/>
        </w:rPr>
        <w:t>Fences </w:t>
      </w:r>
      <w:r>
        <w:rPr>
          <w:i/>
          <w:w w:val="105"/>
        </w:rPr>
        <w:t>Act </w:t>
      </w:r>
      <w:r>
        <w:rPr>
          <w:i/>
          <w:spacing w:val="-4"/>
          <w:w w:val="105"/>
        </w:rPr>
        <w:t>1968 </w:t>
      </w:r>
      <w:r>
        <w:rPr>
          <w:w w:val="105"/>
        </w:rPr>
        <w:t>(Vic) </w:t>
      </w:r>
      <w:r>
        <w:rPr>
          <w:spacing w:val="-3"/>
          <w:w w:val="105"/>
        </w:rPr>
        <w:t>for </w:t>
      </w:r>
      <w:r>
        <w:rPr>
          <w:w w:val="105"/>
        </w:rPr>
        <w:t>seeking </w:t>
      </w:r>
      <w:r>
        <w:rPr>
          <w:spacing w:val="-2"/>
          <w:w w:val="105"/>
        </w:rPr>
        <w:t>agreement </w:t>
      </w:r>
      <w:r>
        <w:rPr>
          <w:w w:val="105"/>
        </w:rPr>
        <w:t>about </w:t>
      </w:r>
      <w:r>
        <w:rPr>
          <w:spacing w:val="-3"/>
          <w:w w:val="105"/>
        </w:rPr>
        <w:t>fencing </w:t>
      </w:r>
      <w:r>
        <w:rPr>
          <w:spacing w:val="-4"/>
          <w:w w:val="105"/>
        </w:rPr>
        <w:t>works.</w:t>
      </w:r>
      <w:r>
        <w:rPr>
          <w:spacing w:val="-4"/>
          <w:w w:val="105"/>
          <w:position w:val="7"/>
          <w:sz w:val="12"/>
        </w:rPr>
        <w:t>147</w:t>
      </w:r>
    </w:p>
    <w:p>
      <w:pPr>
        <w:pStyle w:val="ListParagraph"/>
        <w:numPr>
          <w:ilvl w:val="1"/>
          <w:numId w:val="99"/>
        </w:numPr>
        <w:tabs>
          <w:tab w:pos="2381" w:val="left" w:leader="none"/>
          <w:tab w:pos="2382" w:val="left" w:leader="none"/>
        </w:tabs>
        <w:spacing w:line="242" w:lineRule="auto" w:before="123" w:after="0"/>
        <w:ind w:left="2381" w:right="1735" w:hanging="794"/>
        <w:jc w:val="left"/>
        <w:rPr>
          <w:sz w:val="12"/>
        </w:rPr>
      </w:pPr>
      <w:r>
        <w:rPr>
          <w:w w:val="105"/>
          <w:sz w:val="21"/>
        </w:rPr>
        <w:t>Most local </w:t>
      </w:r>
      <w:r>
        <w:rPr>
          <w:spacing w:val="-3"/>
          <w:w w:val="105"/>
          <w:sz w:val="21"/>
        </w:rPr>
        <w:t>councils that were consulted </w:t>
      </w:r>
      <w:r>
        <w:rPr>
          <w:w w:val="105"/>
          <w:sz w:val="21"/>
        </w:rPr>
        <w:t>did </w:t>
      </w:r>
      <w:r>
        <w:rPr>
          <w:spacing w:val="-2"/>
          <w:w w:val="105"/>
          <w:sz w:val="21"/>
        </w:rPr>
        <w:t>not </w:t>
      </w:r>
      <w:r>
        <w:rPr>
          <w:spacing w:val="-3"/>
          <w:w w:val="105"/>
          <w:sz w:val="21"/>
        </w:rPr>
        <w:t>raise any </w:t>
      </w:r>
      <w:r>
        <w:rPr>
          <w:w w:val="105"/>
          <w:sz w:val="21"/>
        </w:rPr>
        <w:t>major </w:t>
      </w:r>
      <w:r>
        <w:rPr>
          <w:spacing w:val="-3"/>
          <w:w w:val="105"/>
          <w:sz w:val="21"/>
        </w:rPr>
        <w:t>concerns </w:t>
      </w:r>
      <w:r>
        <w:rPr>
          <w:w w:val="105"/>
          <w:sz w:val="21"/>
        </w:rPr>
        <w:t>with </w:t>
      </w:r>
      <w:r>
        <w:rPr>
          <w:spacing w:val="-3"/>
          <w:w w:val="105"/>
          <w:sz w:val="21"/>
        </w:rPr>
        <w:t>implementing </w:t>
      </w:r>
      <w:r>
        <w:rPr>
          <w:w w:val="105"/>
          <w:sz w:val="21"/>
        </w:rPr>
        <w:t>a </w:t>
      </w:r>
      <w:r>
        <w:rPr>
          <w:spacing w:val="-3"/>
          <w:w w:val="105"/>
          <w:sz w:val="21"/>
        </w:rPr>
        <w:t>similar </w:t>
      </w:r>
      <w:r>
        <w:rPr>
          <w:w w:val="105"/>
          <w:sz w:val="21"/>
        </w:rPr>
        <w:t>process in Victoria. Baw Baw </w:t>
      </w:r>
      <w:r>
        <w:rPr>
          <w:spacing w:val="-3"/>
          <w:w w:val="105"/>
          <w:sz w:val="21"/>
        </w:rPr>
        <w:t>Shire </w:t>
      </w:r>
      <w:r>
        <w:rPr>
          <w:spacing w:val="-4"/>
          <w:w w:val="105"/>
          <w:sz w:val="21"/>
        </w:rPr>
        <w:t>Council </w:t>
      </w:r>
      <w:r>
        <w:rPr>
          <w:w w:val="105"/>
          <w:sz w:val="21"/>
        </w:rPr>
        <w:t>and the </w:t>
      </w:r>
      <w:r>
        <w:rPr>
          <w:spacing w:val="-3"/>
          <w:w w:val="105"/>
          <w:sz w:val="21"/>
        </w:rPr>
        <w:t>City </w:t>
      </w:r>
      <w:r>
        <w:rPr>
          <w:w w:val="105"/>
          <w:sz w:val="21"/>
        </w:rPr>
        <w:t>of Port </w:t>
      </w:r>
      <w:r>
        <w:rPr>
          <w:spacing w:val="-3"/>
          <w:w w:val="105"/>
          <w:sz w:val="21"/>
        </w:rPr>
        <w:t>Phillip </w:t>
      </w:r>
      <w:r>
        <w:rPr>
          <w:w w:val="105"/>
          <w:sz w:val="21"/>
        </w:rPr>
        <w:t>stated </w:t>
      </w:r>
      <w:r>
        <w:rPr>
          <w:spacing w:val="-3"/>
          <w:w w:val="105"/>
          <w:sz w:val="21"/>
        </w:rPr>
        <w:t>that such </w:t>
      </w:r>
      <w:r>
        <w:rPr>
          <w:w w:val="105"/>
          <w:sz w:val="21"/>
        </w:rPr>
        <w:t>a process would provide clarity and </w:t>
      </w:r>
      <w:r>
        <w:rPr>
          <w:spacing w:val="-3"/>
          <w:w w:val="105"/>
          <w:sz w:val="21"/>
        </w:rPr>
        <w:t>assurance for neighbours.</w:t>
      </w:r>
      <w:r>
        <w:rPr>
          <w:spacing w:val="-3"/>
          <w:w w:val="105"/>
          <w:position w:val="7"/>
          <w:sz w:val="12"/>
        </w:rPr>
        <w:t>148</w:t>
      </w:r>
      <w:r>
        <w:rPr>
          <w:spacing w:val="-3"/>
          <w:w w:val="105"/>
          <w:sz w:val="12"/>
        </w:rPr>
        <w:t> </w:t>
      </w:r>
      <w:r>
        <w:rPr>
          <w:spacing w:val="-3"/>
          <w:w w:val="105"/>
          <w:sz w:val="21"/>
        </w:rPr>
        <w:t>Nillumbik Shire </w:t>
      </w:r>
      <w:r>
        <w:rPr>
          <w:spacing w:val="-4"/>
          <w:w w:val="105"/>
          <w:sz w:val="21"/>
        </w:rPr>
        <w:t>Council, however, </w:t>
      </w:r>
      <w:r>
        <w:rPr>
          <w:w w:val="105"/>
          <w:sz w:val="21"/>
        </w:rPr>
        <w:t>was </w:t>
      </w:r>
      <w:r>
        <w:rPr>
          <w:spacing w:val="-3"/>
          <w:w w:val="105"/>
          <w:sz w:val="21"/>
        </w:rPr>
        <w:t>concerned that </w:t>
      </w:r>
      <w:r>
        <w:rPr>
          <w:w w:val="105"/>
          <w:sz w:val="21"/>
        </w:rPr>
        <w:t>this process </w:t>
      </w:r>
      <w:r>
        <w:rPr>
          <w:spacing w:val="-3"/>
          <w:w w:val="105"/>
          <w:sz w:val="21"/>
        </w:rPr>
        <w:t>may exacerbate </w:t>
      </w:r>
      <w:r>
        <w:rPr>
          <w:w w:val="105"/>
          <w:sz w:val="21"/>
        </w:rPr>
        <w:t>a tree </w:t>
      </w:r>
      <w:r>
        <w:rPr>
          <w:spacing w:val="-3"/>
          <w:w w:val="105"/>
          <w:sz w:val="21"/>
        </w:rPr>
        <w:t>dispute. </w:t>
      </w:r>
      <w:r>
        <w:rPr>
          <w:w w:val="105"/>
          <w:sz w:val="21"/>
        </w:rPr>
        <w:t>It was also </w:t>
      </w:r>
      <w:r>
        <w:rPr>
          <w:spacing w:val="-3"/>
          <w:w w:val="105"/>
          <w:sz w:val="21"/>
        </w:rPr>
        <w:t>concerned that </w:t>
      </w:r>
      <w:r>
        <w:rPr>
          <w:w w:val="105"/>
          <w:sz w:val="21"/>
        </w:rPr>
        <w:t>a vindictive </w:t>
      </w:r>
      <w:r>
        <w:rPr>
          <w:spacing w:val="-3"/>
          <w:w w:val="105"/>
          <w:sz w:val="21"/>
        </w:rPr>
        <w:t>neighbour could </w:t>
      </w:r>
      <w:r>
        <w:rPr>
          <w:w w:val="105"/>
          <w:sz w:val="21"/>
        </w:rPr>
        <w:t>issue a </w:t>
      </w:r>
      <w:r>
        <w:rPr>
          <w:spacing w:val="-3"/>
          <w:w w:val="105"/>
          <w:sz w:val="21"/>
        </w:rPr>
        <w:t>notice to recoup </w:t>
      </w:r>
      <w:r>
        <w:rPr>
          <w:w w:val="105"/>
          <w:sz w:val="21"/>
        </w:rPr>
        <w:t>costs </w:t>
      </w:r>
      <w:r>
        <w:rPr>
          <w:spacing w:val="-3"/>
          <w:w w:val="105"/>
          <w:sz w:val="21"/>
        </w:rPr>
        <w:t>for </w:t>
      </w:r>
      <w:r>
        <w:rPr>
          <w:w w:val="105"/>
          <w:sz w:val="21"/>
        </w:rPr>
        <w:t>unnecessary</w:t>
      </w:r>
      <w:r>
        <w:rPr>
          <w:spacing w:val="18"/>
          <w:w w:val="105"/>
          <w:sz w:val="21"/>
        </w:rPr>
        <w:t> </w:t>
      </w:r>
      <w:r>
        <w:rPr>
          <w:spacing w:val="-4"/>
          <w:w w:val="105"/>
          <w:sz w:val="21"/>
        </w:rPr>
        <w:t>works.</w:t>
      </w:r>
      <w:r>
        <w:rPr>
          <w:spacing w:val="-4"/>
          <w:w w:val="105"/>
          <w:position w:val="7"/>
          <w:sz w:val="12"/>
        </w:rPr>
        <w:t>149</w:t>
      </w:r>
    </w:p>
    <w:p>
      <w:pPr>
        <w:pStyle w:val="ListParagraph"/>
        <w:numPr>
          <w:ilvl w:val="1"/>
          <w:numId w:val="99"/>
        </w:numPr>
        <w:tabs>
          <w:tab w:pos="2380" w:val="left" w:leader="none"/>
          <w:tab w:pos="2382" w:val="left" w:leader="none"/>
        </w:tabs>
        <w:spacing w:line="242" w:lineRule="auto" w:before="126" w:after="0"/>
        <w:ind w:left="2381" w:right="1662" w:hanging="794"/>
        <w:jc w:val="left"/>
        <w:rPr>
          <w:sz w:val="12"/>
        </w:rPr>
      </w:pPr>
      <w:r>
        <w:rPr>
          <w:spacing w:val="-3"/>
          <w:w w:val="105"/>
          <w:sz w:val="21"/>
        </w:rPr>
        <w:t>Nillumbik </w:t>
      </w:r>
      <w:r>
        <w:rPr>
          <w:w w:val="105"/>
          <w:sz w:val="21"/>
        </w:rPr>
        <w:t>suggested </w:t>
      </w:r>
      <w:r>
        <w:rPr>
          <w:spacing w:val="-3"/>
          <w:w w:val="105"/>
          <w:sz w:val="21"/>
        </w:rPr>
        <w:t>that </w:t>
      </w:r>
      <w:r>
        <w:rPr>
          <w:w w:val="105"/>
          <w:sz w:val="21"/>
        </w:rPr>
        <w:t>care needed </w:t>
      </w:r>
      <w:r>
        <w:rPr>
          <w:spacing w:val="-3"/>
          <w:w w:val="105"/>
          <w:sz w:val="21"/>
        </w:rPr>
        <w:t>to </w:t>
      </w:r>
      <w:r>
        <w:rPr>
          <w:w w:val="105"/>
          <w:sz w:val="21"/>
        </w:rPr>
        <w:t>be </w:t>
      </w:r>
      <w:r>
        <w:rPr>
          <w:spacing w:val="-3"/>
          <w:w w:val="105"/>
          <w:sz w:val="21"/>
        </w:rPr>
        <w:t>taken </w:t>
      </w:r>
      <w:r>
        <w:rPr>
          <w:w w:val="105"/>
          <w:sz w:val="21"/>
        </w:rPr>
        <w:t>about the type of </w:t>
      </w:r>
      <w:r>
        <w:rPr>
          <w:spacing w:val="-3"/>
          <w:w w:val="105"/>
          <w:sz w:val="21"/>
        </w:rPr>
        <w:t>branches </w:t>
      </w:r>
      <w:r>
        <w:rPr>
          <w:w w:val="105"/>
          <w:sz w:val="21"/>
        </w:rPr>
        <w:t>the </w:t>
      </w:r>
      <w:r>
        <w:rPr>
          <w:spacing w:val="-3"/>
          <w:w w:val="105"/>
          <w:sz w:val="21"/>
        </w:rPr>
        <w:t>notice could</w:t>
      </w:r>
      <w:r>
        <w:rPr>
          <w:spacing w:val="-6"/>
          <w:w w:val="105"/>
          <w:sz w:val="21"/>
        </w:rPr>
        <w:t> </w:t>
      </w:r>
      <w:r>
        <w:rPr>
          <w:w w:val="105"/>
          <w:sz w:val="21"/>
        </w:rPr>
        <w:t>apply</w:t>
      </w:r>
      <w:r>
        <w:rPr>
          <w:spacing w:val="-5"/>
          <w:w w:val="105"/>
          <w:sz w:val="21"/>
        </w:rPr>
        <w:t> </w:t>
      </w:r>
      <w:r>
        <w:rPr>
          <w:spacing w:val="-4"/>
          <w:w w:val="105"/>
          <w:sz w:val="21"/>
        </w:rPr>
        <w:t>to.</w:t>
      </w:r>
      <w:r>
        <w:rPr>
          <w:spacing w:val="-5"/>
          <w:w w:val="105"/>
          <w:sz w:val="21"/>
        </w:rPr>
        <w:t> </w:t>
      </w:r>
      <w:r>
        <w:rPr>
          <w:spacing w:val="-3"/>
          <w:w w:val="105"/>
          <w:sz w:val="21"/>
        </w:rPr>
        <w:t>Nillumbik</w:t>
      </w:r>
      <w:r>
        <w:rPr>
          <w:spacing w:val="-5"/>
          <w:w w:val="105"/>
          <w:sz w:val="21"/>
        </w:rPr>
        <w:t> </w:t>
      </w:r>
      <w:r>
        <w:rPr>
          <w:w w:val="105"/>
          <w:sz w:val="21"/>
        </w:rPr>
        <w:t>proposed</w:t>
      </w:r>
      <w:r>
        <w:rPr>
          <w:spacing w:val="-5"/>
          <w:w w:val="105"/>
          <w:sz w:val="21"/>
        </w:rPr>
        <w:t> </w:t>
      </w:r>
      <w:r>
        <w:rPr>
          <w:spacing w:val="-3"/>
          <w:w w:val="105"/>
          <w:sz w:val="21"/>
        </w:rPr>
        <w:t>that</w:t>
      </w:r>
      <w:r>
        <w:rPr>
          <w:spacing w:val="-6"/>
          <w:w w:val="105"/>
          <w:sz w:val="21"/>
        </w:rPr>
        <w:t> </w:t>
      </w:r>
      <w:r>
        <w:rPr>
          <w:w w:val="105"/>
          <w:sz w:val="21"/>
        </w:rPr>
        <w:t>if</w:t>
      </w:r>
      <w:r>
        <w:rPr>
          <w:spacing w:val="-5"/>
          <w:w w:val="105"/>
          <w:sz w:val="21"/>
        </w:rPr>
        <w:t> </w:t>
      </w:r>
      <w:r>
        <w:rPr>
          <w:w w:val="105"/>
          <w:sz w:val="21"/>
        </w:rPr>
        <w:t>a</w:t>
      </w:r>
      <w:r>
        <w:rPr>
          <w:spacing w:val="-5"/>
          <w:w w:val="105"/>
          <w:sz w:val="21"/>
        </w:rPr>
        <w:t> </w:t>
      </w:r>
      <w:r>
        <w:rPr>
          <w:spacing w:val="-3"/>
          <w:w w:val="105"/>
          <w:sz w:val="21"/>
        </w:rPr>
        <w:t>branch</w:t>
      </w:r>
      <w:r>
        <w:rPr>
          <w:spacing w:val="-5"/>
          <w:w w:val="105"/>
          <w:sz w:val="21"/>
        </w:rPr>
        <w:t> </w:t>
      </w:r>
      <w:r>
        <w:rPr>
          <w:spacing w:val="-3"/>
          <w:w w:val="105"/>
          <w:sz w:val="21"/>
        </w:rPr>
        <w:t>removal</w:t>
      </w:r>
      <w:r>
        <w:rPr>
          <w:spacing w:val="-5"/>
          <w:w w:val="105"/>
          <w:sz w:val="21"/>
        </w:rPr>
        <w:t> </w:t>
      </w:r>
      <w:r>
        <w:rPr>
          <w:w w:val="105"/>
          <w:sz w:val="21"/>
        </w:rPr>
        <w:t>process</w:t>
      </w:r>
      <w:r>
        <w:rPr>
          <w:spacing w:val="-6"/>
          <w:w w:val="105"/>
          <w:sz w:val="21"/>
        </w:rPr>
        <w:t> </w:t>
      </w:r>
      <w:r>
        <w:rPr>
          <w:w w:val="105"/>
          <w:sz w:val="21"/>
        </w:rPr>
        <w:t>was</w:t>
      </w:r>
      <w:r>
        <w:rPr>
          <w:spacing w:val="-5"/>
          <w:w w:val="105"/>
          <w:sz w:val="21"/>
        </w:rPr>
        <w:t> </w:t>
      </w:r>
      <w:r>
        <w:rPr>
          <w:spacing w:val="-3"/>
          <w:w w:val="105"/>
          <w:sz w:val="21"/>
        </w:rPr>
        <w:t>introduced</w:t>
      </w:r>
      <w:r>
        <w:rPr>
          <w:spacing w:val="-5"/>
          <w:w w:val="105"/>
          <w:sz w:val="21"/>
        </w:rPr>
        <w:t> </w:t>
      </w:r>
      <w:r>
        <w:rPr>
          <w:w w:val="105"/>
          <w:sz w:val="21"/>
        </w:rPr>
        <w:t>there should be a </w:t>
      </w:r>
      <w:r>
        <w:rPr>
          <w:spacing w:val="-3"/>
          <w:w w:val="105"/>
          <w:sz w:val="21"/>
        </w:rPr>
        <w:t>safeguard </w:t>
      </w:r>
      <w:r>
        <w:rPr>
          <w:w w:val="105"/>
          <w:sz w:val="21"/>
        </w:rPr>
        <w:t>trigger </w:t>
      </w:r>
      <w:r>
        <w:rPr>
          <w:spacing w:val="-3"/>
          <w:w w:val="105"/>
          <w:sz w:val="21"/>
        </w:rPr>
        <w:t>such </w:t>
      </w:r>
      <w:r>
        <w:rPr>
          <w:w w:val="105"/>
          <w:sz w:val="21"/>
        </w:rPr>
        <w:t>as a maximum applicable thickness of a </w:t>
      </w:r>
      <w:r>
        <w:rPr>
          <w:spacing w:val="-3"/>
          <w:w w:val="105"/>
          <w:sz w:val="21"/>
        </w:rPr>
        <w:t>branch </w:t>
      </w:r>
      <w:r>
        <w:rPr>
          <w:w w:val="105"/>
          <w:sz w:val="21"/>
        </w:rPr>
        <w:t>at the point it connects with the trunk or </w:t>
      </w:r>
      <w:r>
        <w:rPr>
          <w:spacing w:val="-3"/>
          <w:w w:val="105"/>
          <w:sz w:val="21"/>
        </w:rPr>
        <w:t>main </w:t>
      </w:r>
      <w:r>
        <w:rPr>
          <w:w w:val="105"/>
          <w:sz w:val="21"/>
        </w:rPr>
        <w:t>stem. Without this </w:t>
      </w:r>
      <w:r>
        <w:rPr>
          <w:spacing w:val="-3"/>
          <w:w w:val="105"/>
          <w:sz w:val="21"/>
        </w:rPr>
        <w:t>safeguard, </w:t>
      </w:r>
      <w:r>
        <w:rPr>
          <w:w w:val="105"/>
          <w:sz w:val="21"/>
        </w:rPr>
        <w:t>neighbours </w:t>
      </w:r>
      <w:r>
        <w:rPr>
          <w:spacing w:val="-3"/>
          <w:w w:val="105"/>
          <w:sz w:val="21"/>
        </w:rPr>
        <w:t>could remove large, significant branches that may </w:t>
      </w:r>
      <w:r>
        <w:rPr>
          <w:w w:val="105"/>
          <w:sz w:val="21"/>
        </w:rPr>
        <w:t>destabilise a</w:t>
      </w:r>
      <w:r>
        <w:rPr>
          <w:spacing w:val="49"/>
          <w:w w:val="105"/>
          <w:sz w:val="21"/>
        </w:rPr>
        <w:t> </w:t>
      </w:r>
      <w:r>
        <w:rPr>
          <w:spacing w:val="-5"/>
          <w:w w:val="105"/>
          <w:sz w:val="21"/>
        </w:rPr>
        <w:t>tree.</w:t>
      </w:r>
      <w:r>
        <w:rPr>
          <w:spacing w:val="-5"/>
          <w:w w:val="105"/>
          <w:position w:val="7"/>
          <w:sz w:val="12"/>
        </w:rPr>
        <w:t>150</w:t>
      </w:r>
    </w:p>
    <w:p>
      <w:pPr>
        <w:pStyle w:val="ListParagraph"/>
        <w:numPr>
          <w:ilvl w:val="1"/>
          <w:numId w:val="99"/>
        </w:numPr>
        <w:tabs>
          <w:tab w:pos="2381" w:val="left" w:leader="none"/>
          <w:tab w:pos="2382" w:val="left" w:leader="none"/>
        </w:tabs>
        <w:spacing w:line="242" w:lineRule="auto" w:before="126" w:after="0"/>
        <w:ind w:left="2381" w:right="1693" w:hanging="794"/>
        <w:jc w:val="left"/>
        <w:rPr>
          <w:sz w:val="12"/>
        </w:rPr>
      </w:pPr>
      <w:r>
        <w:rPr>
          <w:w w:val="105"/>
          <w:sz w:val="21"/>
        </w:rPr>
        <w:t>Arborist</w:t>
      </w:r>
      <w:r>
        <w:rPr>
          <w:spacing w:val="-8"/>
          <w:w w:val="105"/>
          <w:sz w:val="21"/>
        </w:rPr>
        <w:t> </w:t>
      </w:r>
      <w:r>
        <w:rPr>
          <w:w w:val="105"/>
          <w:sz w:val="21"/>
        </w:rPr>
        <w:t>Robert</w:t>
      </w:r>
      <w:r>
        <w:rPr>
          <w:spacing w:val="-7"/>
          <w:w w:val="105"/>
          <w:sz w:val="21"/>
        </w:rPr>
        <w:t> </w:t>
      </w:r>
      <w:r>
        <w:rPr>
          <w:w w:val="105"/>
          <w:sz w:val="21"/>
        </w:rPr>
        <w:t>Mineo</w:t>
      </w:r>
      <w:r>
        <w:rPr>
          <w:spacing w:val="-8"/>
          <w:w w:val="105"/>
          <w:sz w:val="21"/>
        </w:rPr>
        <w:t> </w:t>
      </w:r>
      <w:r>
        <w:rPr>
          <w:w w:val="105"/>
          <w:sz w:val="21"/>
        </w:rPr>
        <w:t>did</w:t>
      </w:r>
      <w:r>
        <w:rPr>
          <w:spacing w:val="-7"/>
          <w:w w:val="105"/>
          <w:sz w:val="21"/>
        </w:rPr>
        <w:t> </w:t>
      </w:r>
      <w:r>
        <w:rPr>
          <w:spacing w:val="-2"/>
          <w:w w:val="105"/>
          <w:sz w:val="21"/>
        </w:rPr>
        <w:t>not</w:t>
      </w:r>
      <w:r>
        <w:rPr>
          <w:spacing w:val="-8"/>
          <w:w w:val="105"/>
          <w:sz w:val="21"/>
        </w:rPr>
        <w:t> </w:t>
      </w:r>
      <w:r>
        <w:rPr>
          <w:w w:val="105"/>
          <w:sz w:val="21"/>
        </w:rPr>
        <w:t>support</w:t>
      </w:r>
      <w:r>
        <w:rPr>
          <w:spacing w:val="-7"/>
          <w:w w:val="105"/>
          <w:sz w:val="21"/>
        </w:rPr>
        <w:t> </w:t>
      </w:r>
      <w:r>
        <w:rPr>
          <w:w w:val="105"/>
          <w:sz w:val="21"/>
        </w:rPr>
        <w:t>the</w:t>
      </w:r>
      <w:r>
        <w:rPr>
          <w:spacing w:val="-8"/>
          <w:w w:val="105"/>
          <w:sz w:val="21"/>
        </w:rPr>
        <w:t> </w:t>
      </w:r>
      <w:r>
        <w:rPr>
          <w:w w:val="105"/>
          <w:sz w:val="21"/>
        </w:rPr>
        <w:t>introduction</w:t>
      </w:r>
      <w:r>
        <w:rPr>
          <w:spacing w:val="-7"/>
          <w:w w:val="105"/>
          <w:sz w:val="21"/>
        </w:rPr>
        <w:t> </w:t>
      </w:r>
      <w:r>
        <w:rPr>
          <w:w w:val="105"/>
          <w:sz w:val="21"/>
        </w:rPr>
        <w:t>of</w:t>
      </w:r>
      <w:r>
        <w:rPr>
          <w:spacing w:val="-8"/>
          <w:w w:val="105"/>
          <w:sz w:val="21"/>
        </w:rPr>
        <w:t> </w:t>
      </w:r>
      <w:r>
        <w:rPr>
          <w:w w:val="105"/>
          <w:sz w:val="21"/>
        </w:rPr>
        <w:t>a</w:t>
      </w:r>
      <w:r>
        <w:rPr>
          <w:spacing w:val="-7"/>
          <w:w w:val="105"/>
          <w:sz w:val="21"/>
        </w:rPr>
        <w:t> </w:t>
      </w:r>
      <w:r>
        <w:rPr>
          <w:spacing w:val="-3"/>
          <w:w w:val="105"/>
          <w:sz w:val="21"/>
        </w:rPr>
        <w:t>branch</w:t>
      </w:r>
      <w:r>
        <w:rPr>
          <w:spacing w:val="-7"/>
          <w:w w:val="105"/>
          <w:sz w:val="21"/>
        </w:rPr>
        <w:t> </w:t>
      </w:r>
      <w:r>
        <w:rPr>
          <w:spacing w:val="-3"/>
          <w:w w:val="105"/>
          <w:sz w:val="21"/>
        </w:rPr>
        <w:t>removal</w:t>
      </w:r>
      <w:r>
        <w:rPr>
          <w:spacing w:val="-8"/>
          <w:w w:val="105"/>
          <w:sz w:val="21"/>
        </w:rPr>
        <w:t> </w:t>
      </w:r>
      <w:r>
        <w:rPr>
          <w:w w:val="105"/>
          <w:sz w:val="21"/>
        </w:rPr>
        <w:t>process.</w:t>
      </w:r>
      <w:r>
        <w:rPr>
          <w:spacing w:val="-7"/>
          <w:w w:val="105"/>
          <w:sz w:val="21"/>
        </w:rPr>
        <w:t> </w:t>
      </w:r>
      <w:r>
        <w:rPr>
          <w:w w:val="105"/>
          <w:sz w:val="21"/>
        </w:rPr>
        <w:t>He </w:t>
      </w:r>
      <w:r>
        <w:rPr>
          <w:spacing w:val="-3"/>
          <w:w w:val="105"/>
          <w:sz w:val="21"/>
        </w:rPr>
        <w:t>noted </w:t>
      </w:r>
      <w:r>
        <w:rPr>
          <w:w w:val="105"/>
          <w:sz w:val="21"/>
        </w:rPr>
        <w:t>the </w:t>
      </w:r>
      <w:r>
        <w:rPr>
          <w:spacing w:val="-3"/>
          <w:w w:val="105"/>
          <w:sz w:val="21"/>
        </w:rPr>
        <w:t>potential for </w:t>
      </w:r>
      <w:r>
        <w:rPr>
          <w:w w:val="105"/>
          <w:sz w:val="21"/>
        </w:rPr>
        <w:t>a </w:t>
      </w:r>
      <w:r>
        <w:rPr>
          <w:spacing w:val="-3"/>
          <w:w w:val="105"/>
          <w:sz w:val="21"/>
        </w:rPr>
        <w:t>branch removal </w:t>
      </w:r>
      <w:r>
        <w:rPr>
          <w:w w:val="105"/>
          <w:sz w:val="21"/>
        </w:rPr>
        <w:t>process </w:t>
      </w:r>
      <w:r>
        <w:rPr>
          <w:spacing w:val="-3"/>
          <w:w w:val="105"/>
          <w:sz w:val="21"/>
        </w:rPr>
        <w:t>to encourage </w:t>
      </w:r>
      <w:r>
        <w:rPr>
          <w:w w:val="105"/>
          <w:sz w:val="21"/>
        </w:rPr>
        <w:t>and enable neighbours </w:t>
      </w:r>
      <w:r>
        <w:rPr>
          <w:spacing w:val="-3"/>
          <w:w w:val="105"/>
          <w:sz w:val="21"/>
        </w:rPr>
        <w:t>to </w:t>
      </w:r>
      <w:r>
        <w:rPr>
          <w:w w:val="105"/>
          <w:sz w:val="21"/>
        </w:rPr>
        <w:t>cut</w:t>
      </w:r>
      <w:r>
        <w:rPr>
          <w:spacing w:val="-9"/>
          <w:w w:val="105"/>
          <w:sz w:val="21"/>
        </w:rPr>
        <w:t> </w:t>
      </w:r>
      <w:r>
        <w:rPr>
          <w:spacing w:val="-3"/>
          <w:w w:val="105"/>
          <w:sz w:val="21"/>
        </w:rPr>
        <w:t>away</w:t>
      </w:r>
      <w:r>
        <w:rPr>
          <w:spacing w:val="-8"/>
          <w:w w:val="105"/>
          <w:sz w:val="21"/>
        </w:rPr>
        <w:t> </w:t>
      </w:r>
      <w:r>
        <w:rPr>
          <w:spacing w:val="-3"/>
          <w:w w:val="105"/>
          <w:sz w:val="21"/>
        </w:rPr>
        <w:t>branches</w:t>
      </w:r>
      <w:r>
        <w:rPr>
          <w:spacing w:val="-8"/>
          <w:w w:val="105"/>
          <w:sz w:val="21"/>
        </w:rPr>
        <w:t> </w:t>
      </w:r>
      <w:r>
        <w:rPr>
          <w:w w:val="105"/>
          <w:sz w:val="21"/>
        </w:rPr>
        <w:t>without</w:t>
      </w:r>
      <w:r>
        <w:rPr>
          <w:spacing w:val="-9"/>
          <w:w w:val="105"/>
          <w:sz w:val="21"/>
        </w:rPr>
        <w:t> </w:t>
      </w:r>
      <w:r>
        <w:rPr>
          <w:w w:val="105"/>
          <w:sz w:val="21"/>
        </w:rPr>
        <w:t>arborist</w:t>
      </w:r>
      <w:r>
        <w:rPr>
          <w:spacing w:val="-8"/>
          <w:w w:val="105"/>
          <w:sz w:val="21"/>
        </w:rPr>
        <w:t> </w:t>
      </w:r>
      <w:r>
        <w:rPr>
          <w:w w:val="105"/>
          <w:sz w:val="21"/>
        </w:rPr>
        <w:t>assessment,</w:t>
      </w:r>
      <w:r>
        <w:rPr>
          <w:spacing w:val="-8"/>
          <w:w w:val="105"/>
          <w:sz w:val="21"/>
        </w:rPr>
        <w:t> </w:t>
      </w:r>
      <w:r>
        <w:rPr>
          <w:w w:val="105"/>
          <w:sz w:val="21"/>
        </w:rPr>
        <w:t>which</w:t>
      </w:r>
      <w:r>
        <w:rPr>
          <w:spacing w:val="-9"/>
          <w:w w:val="105"/>
          <w:sz w:val="21"/>
        </w:rPr>
        <w:t> </w:t>
      </w:r>
      <w:r>
        <w:rPr>
          <w:spacing w:val="-3"/>
          <w:w w:val="105"/>
          <w:sz w:val="21"/>
        </w:rPr>
        <w:t>could</w:t>
      </w:r>
      <w:r>
        <w:rPr>
          <w:spacing w:val="-8"/>
          <w:w w:val="105"/>
          <w:sz w:val="21"/>
        </w:rPr>
        <w:t> </w:t>
      </w:r>
      <w:r>
        <w:rPr>
          <w:w w:val="105"/>
          <w:sz w:val="21"/>
        </w:rPr>
        <w:t>in</w:t>
      </w:r>
      <w:r>
        <w:rPr>
          <w:spacing w:val="-8"/>
          <w:w w:val="105"/>
          <w:sz w:val="21"/>
        </w:rPr>
        <w:t> </w:t>
      </w:r>
      <w:r>
        <w:rPr>
          <w:spacing w:val="-3"/>
          <w:w w:val="105"/>
          <w:sz w:val="21"/>
        </w:rPr>
        <w:t>turn</w:t>
      </w:r>
      <w:r>
        <w:rPr>
          <w:spacing w:val="-9"/>
          <w:w w:val="105"/>
          <w:sz w:val="21"/>
        </w:rPr>
        <w:t> </w:t>
      </w:r>
      <w:r>
        <w:rPr>
          <w:w w:val="105"/>
          <w:sz w:val="21"/>
        </w:rPr>
        <w:t>adversely</w:t>
      </w:r>
      <w:r>
        <w:rPr>
          <w:spacing w:val="-8"/>
          <w:w w:val="105"/>
          <w:sz w:val="21"/>
        </w:rPr>
        <w:t> </w:t>
      </w:r>
      <w:r>
        <w:rPr>
          <w:w w:val="105"/>
          <w:sz w:val="21"/>
        </w:rPr>
        <w:t>affect</w:t>
      </w:r>
      <w:r>
        <w:rPr>
          <w:spacing w:val="-8"/>
          <w:w w:val="105"/>
          <w:sz w:val="21"/>
        </w:rPr>
        <w:t> </w:t>
      </w:r>
      <w:r>
        <w:rPr>
          <w:w w:val="105"/>
          <w:sz w:val="21"/>
        </w:rPr>
        <w:t>the </w:t>
      </w:r>
      <w:r>
        <w:rPr>
          <w:spacing w:val="-7"/>
          <w:w w:val="105"/>
          <w:sz w:val="21"/>
        </w:rPr>
        <w:t>tree.</w:t>
      </w:r>
      <w:r>
        <w:rPr>
          <w:spacing w:val="-7"/>
          <w:w w:val="105"/>
          <w:position w:val="7"/>
          <w:sz w:val="12"/>
        </w:rPr>
        <w:t>151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2"/>
        </w:rPr>
      </w:pPr>
      <w:r>
        <w:rPr/>
        <w:pict>
          <v:line style="position:absolute;mso-position-horizontal-relative:page;mso-position-vertical-relative:paragraph;z-index:6008;mso-wrap-distance-left:0;mso-wrap-distance-right:0" from="79.370102pt,10.076033pt" to="515.905102pt,10.07603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38"/>
        </w:rPr>
      </w:pPr>
    </w:p>
    <w:p>
      <w:pPr>
        <w:spacing w:before="0"/>
        <w:ind w:left="720" w:right="0" w:firstLine="0"/>
        <w:jc w:val="left"/>
        <w:rPr>
          <w:b/>
          <w:sz w:val="24"/>
        </w:rPr>
      </w:pPr>
      <w:r>
        <w:rPr>
          <w:b/>
          <w:color w:val="658464"/>
          <w:spacing w:val="-4"/>
          <w:w w:val="110"/>
          <w:sz w:val="24"/>
        </w:rPr>
        <w:t>124</w:t>
      </w:r>
    </w:p>
    <w:p>
      <w:pPr>
        <w:pStyle w:val="ListParagraph"/>
        <w:numPr>
          <w:ilvl w:val="0"/>
          <w:numId w:val="100"/>
        </w:numPr>
        <w:tabs>
          <w:tab w:pos="1229" w:val="left" w:leader="none"/>
          <w:tab w:pos="1230" w:val="left" w:leader="none"/>
        </w:tabs>
        <w:spacing w:line="240" w:lineRule="auto" w:before="48" w:after="0"/>
        <w:ind w:left="1229" w:right="0" w:hanging="794"/>
        <w:jc w:val="left"/>
        <w:rPr>
          <w:sz w:val="13"/>
        </w:rPr>
      </w:pPr>
      <w:r>
        <w:rPr>
          <w:w w:val="108"/>
          <w:sz w:val="13"/>
        </w:rPr>
        <w:br w:type="column"/>
      </w:r>
      <w:r>
        <w:rPr>
          <w:w w:val="105"/>
          <w:sz w:val="13"/>
        </w:rPr>
        <w:t>Submissions</w:t>
      </w:r>
      <w:r>
        <w:rPr>
          <w:spacing w:val="5"/>
          <w:w w:val="105"/>
          <w:sz w:val="13"/>
        </w:rPr>
        <w:t> </w:t>
      </w:r>
      <w:r>
        <w:rPr>
          <w:w w:val="105"/>
          <w:sz w:val="13"/>
        </w:rPr>
        <w:t>5</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6</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spacing w:val="-4"/>
          <w:w w:val="105"/>
          <w:sz w:val="13"/>
        </w:rPr>
        <w:t>17</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spacing w:val="-3"/>
          <w:w w:val="105"/>
          <w:sz w:val="13"/>
        </w:rPr>
        <w:t>19</w:t>
      </w:r>
      <w:r>
        <w:rPr>
          <w:spacing w:val="5"/>
          <w:w w:val="105"/>
          <w:sz w:val="13"/>
        </w:rPr>
        <w:t> </w:t>
      </w:r>
      <w:r>
        <w:rPr>
          <w:spacing w:val="2"/>
          <w:w w:val="105"/>
          <w:sz w:val="13"/>
        </w:rPr>
        <w:t>(Name</w:t>
      </w:r>
      <w:r>
        <w:rPr>
          <w:spacing w:val="6"/>
          <w:w w:val="105"/>
          <w:sz w:val="13"/>
        </w:rPr>
        <w:t> </w:t>
      </w:r>
      <w:r>
        <w:rPr>
          <w:w w:val="105"/>
          <w:sz w:val="13"/>
        </w:rPr>
        <w:t>withheld),</w:t>
      </w:r>
      <w:r>
        <w:rPr>
          <w:spacing w:val="5"/>
          <w:w w:val="105"/>
          <w:sz w:val="13"/>
        </w:rPr>
        <w:t> </w:t>
      </w:r>
      <w:r>
        <w:rPr>
          <w:w w:val="105"/>
          <w:sz w:val="13"/>
        </w:rPr>
        <w:t>22</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23</w:t>
      </w:r>
      <w:r>
        <w:rPr>
          <w:spacing w:val="5"/>
          <w:w w:val="105"/>
          <w:sz w:val="13"/>
        </w:rPr>
        <w:t> </w:t>
      </w:r>
      <w:r>
        <w:rPr>
          <w:spacing w:val="2"/>
          <w:w w:val="105"/>
          <w:sz w:val="13"/>
        </w:rPr>
        <w:t>(Name</w:t>
      </w:r>
      <w:r>
        <w:rPr>
          <w:spacing w:val="5"/>
          <w:w w:val="105"/>
          <w:sz w:val="13"/>
        </w:rPr>
        <w:t> </w:t>
      </w:r>
      <w:r>
        <w:rPr>
          <w:w w:val="105"/>
          <w:sz w:val="13"/>
        </w:rPr>
        <w:t>withheld),</w:t>
      </w:r>
    </w:p>
    <w:p>
      <w:pPr>
        <w:spacing w:before="1"/>
        <w:ind w:left="1229" w:right="0" w:firstLine="0"/>
        <w:jc w:val="left"/>
        <w:rPr>
          <w:sz w:val="13"/>
        </w:rPr>
      </w:pPr>
      <w:r>
        <w:rPr>
          <w:w w:val="105"/>
          <w:sz w:val="13"/>
        </w:rPr>
        <w:t>33 (Annette Neville), 34 (Allan Day); Consultation 1 (Aldo Taranto); Survey Respondent 60.</w:t>
      </w:r>
    </w:p>
    <w:p>
      <w:pPr>
        <w:pStyle w:val="ListParagraph"/>
        <w:numPr>
          <w:ilvl w:val="0"/>
          <w:numId w:val="100"/>
        </w:numPr>
        <w:tabs>
          <w:tab w:pos="1229" w:val="left" w:leader="none"/>
          <w:tab w:pos="1230" w:val="left" w:leader="none"/>
        </w:tabs>
        <w:spacing w:line="240" w:lineRule="auto" w:before="2" w:after="0"/>
        <w:ind w:left="1229" w:right="0" w:hanging="794"/>
        <w:jc w:val="left"/>
        <w:rPr>
          <w:sz w:val="13"/>
        </w:rPr>
      </w:pPr>
      <w:r>
        <w:rPr>
          <w:w w:val="105"/>
          <w:sz w:val="13"/>
        </w:rPr>
        <w:t>Survey Respondent</w:t>
      </w:r>
      <w:r>
        <w:rPr>
          <w:spacing w:val="9"/>
          <w:w w:val="105"/>
          <w:sz w:val="13"/>
        </w:rPr>
        <w:t> </w:t>
      </w:r>
      <w:r>
        <w:rPr>
          <w:w w:val="105"/>
          <w:sz w:val="13"/>
        </w:rPr>
        <w:t>72.</w:t>
      </w:r>
    </w:p>
    <w:p>
      <w:pPr>
        <w:pStyle w:val="ListParagraph"/>
        <w:numPr>
          <w:ilvl w:val="0"/>
          <w:numId w:val="100"/>
        </w:numPr>
        <w:tabs>
          <w:tab w:pos="1229" w:val="left" w:leader="none"/>
          <w:tab w:pos="1230" w:val="left" w:leader="none"/>
        </w:tabs>
        <w:spacing w:line="240" w:lineRule="auto" w:before="1" w:after="0"/>
        <w:ind w:left="1229" w:right="0" w:hanging="794"/>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100"/>
        </w:numPr>
        <w:tabs>
          <w:tab w:pos="1229" w:val="left" w:leader="none"/>
          <w:tab w:pos="1230" w:val="left" w:leader="none"/>
        </w:tabs>
        <w:spacing w:line="240" w:lineRule="auto" w:before="1" w:after="0"/>
        <w:ind w:left="1229" w:right="0" w:hanging="794"/>
        <w:jc w:val="left"/>
        <w:rPr>
          <w:sz w:val="13"/>
        </w:rPr>
      </w:pPr>
      <w:r>
        <w:rPr>
          <w:sz w:val="13"/>
        </w:rPr>
        <w:t>Ibid.</w:t>
      </w:r>
    </w:p>
    <w:p>
      <w:pPr>
        <w:pStyle w:val="ListParagraph"/>
        <w:numPr>
          <w:ilvl w:val="0"/>
          <w:numId w:val="100"/>
        </w:numPr>
        <w:tabs>
          <w:tab w:pos="1229" w:val="left" w:leader="none"/>
          <w:tab w:pos="1230" w:val="left" w:leader="none"/>
        </w:tabs>
        <w:spacing w:line="240" w:lineRule="auto" w:before="2" w:after="0"/>
        <w:ind w:left="1229" w:right="0" w:hanging="794"/>
        <w:jc w:val="left"/>
        <w:rPr>
          <w:sz w:val="13"/>
        </w:rPr>
      </w:pPr>
      <w:r>
        <w:rPr>
          <w:sz w:val="13"/>
        </w:rPr>
        <w:t>Ibid.</w:t>
      </w:r>
    </w:p>
    <w:p>
      <w:pPr>
        <w:pStyle w:val="ListParagraph"/>
        <w:numPr>
          <w:ilvl w:val="0"/>
          <w:numId w:val="100"/>
        </w:numPr>
        <w:tabs>
          <w:tab w:pos="1229" w:val="left" w:leader="none"/>
          <w:tab w:pos="1230" w:val="left" w:leader="none"/>
        </w:tabs>
        <w:spacing w:line="240" w:lineRule="auto" w:before="1" w:after="0"/>
        <w:ind w:left="1229" w:right="2046" w:hanging="794"/>
        <w:jc w:val="left"/>
        <w:rPr>
          <w:sz w:val="13"/>
        </w:rPr>
      </w:pPr>
      <w:r>
        <w:rPr>
          <w:w w:val="105"/>
          <w:sz w:val="13"/>
        </w:rPr>
        <w:t>Submission 23 </w:t>
      </w:r>
      <w:r>
        <w:rPr>
          <w:spacing w:val="2"/>
          <w:w w:val="105"/>
          <w:sz w:val="13"/>
        </w:rPr>
        <w:t>(Name </w:t>
      </w:r>
      <w:r>
        <w:rPr>
          <w:w w:val="105"/>
          <w:sz w:val="13"/>
        </w:rPr>
        <w:t>withheld); Consultations 4 (Participants in facilitated discussion at </w:t>
      </w:r>
      <w:r>
        <w:rPr>
          <w:spacing w:val="4"/>
          <w:w w:val="105"/>
          <w:sz w:val="13"/>
        </w:rPr>
        <w:t>VTIO </w:t>
      </w:r>
      <w:r>
        <w:rPr>
          <w:w w:val="105"/>
          <w:sz w:val="13"/>
        </w:rPr>
        <w:t>ArborCamp2018), 10 </w:t>
      </w:r>
      <w:r>
        <w:rPr>
          <w:spacing w:val="2"/>
          <w:w w:val="105"/>
          <w:sz w:val="13"/>
        </w:rPr>
        <w:t>(Baw </w:t>
      </w:r>
      <w:r>
        <w:rPr>
          <w:w w:val="105"/>
          <w:sz w:val="13"/>
        </w:rPr>
        <w:t>Baw Shire Council), </w:t>
      </w:r>
      <w:r>
        <w:rPr>
          <w:spacing w:val="-4"/>
          <w:w w:val="105"/>
          <w:sz w:val="13"/>
        </w:rPr>
        <w:t>12 </w:t>
      </w:r>
      <w:r>
        <w:rPr>
          <w:w w:val="105"/>
          <w:sz w:val="13"/>
        </w:rPr>
        <w:t>(City of Port Phillip).</w:t>
      </w:r>
    </w:p>
    <w:p>
      <w:pPr>
        <w:pStyle w:val="ListParagraph"/>
        <w:numPr>
          <w:ilvl w:val="0"/>
          <w:numId w:val="100"/>
        </w:numPr>
        <w:tabs>
          <w:tab w:pos="1229" w:val="left" w:leader="none"/>
          <w:tab w:pos="1230" w:val="left" w:leader="none"/>
        </w:tabs>
        <w:spacing w:line="240" w:lineRule="auto" w:before="3" w:after="0"/>
        <w:ind w:left="1229" w:right="1585" w:hanging="794"/>
        <w:jc w:val="left"/>
        <w:rPr>
          <w:sz w:val="13"/>
        </w:rPr>
      </w:pPr>
      <w:r>
        <w:rPr>
          <w:w w:val="105"/>
          <w:sz w:val="13"/>
        </w:rPr>
        <w:t>Submissions 5 </w:t>
      </w:r>
      <w:r>
        <w:rPr>
          <w:spacing w:val="2"/>
          <w:w w:val="105"/>
          <w:sz w:val="13"/>
        </w:rPr>
        <w:t>(Name </w:t>
      </w:r>
      <w:r>
        <w:rPr>
          <w:w w:val="105"/>
          <w:sz w:val="13"/>
        </w:rPr>
        <w:t>withheld), 6 </w:t>
      </w:r>
      <w:r>
        <w:rPr>
          <w:spacing w:val="2"/>
          <w:w w:val="105"/>
          <w:sz w:val="13"/>
        </w:rPr>
        <w:t>(Name </w:t>
      </w:r>
      <w:r>
        <w:rPr>
          <w:w w:val="105"/>
          <w:sz w:val="13"/>
        </w:rPr>
        <w:t>withheld), </w:t>
      </w:r>
      <w:r>
        <w:rPr>
          <w:spacing w:val="-3"/>
          <w:w w:val="105"/>
          <w:sz w:val="13"/>
        </w:rPr>
        <w:t>19 </w:t>
      </w:r>
      <w:r>
        <w:rPr>
          <w:spacing w:val="2"/>
          <w:w w:val="105"/>
          <w:sz w:val="13"/>
        </w:rPr>
        <w:t>(Name </w:t>
      </w:r>
      <w:r>
        <w:rPr>
          <w:w w:val="105"/>
          <w:sz w:val="13"/>
        </w:rPr>
        <w:t>withheld), 23 </w:t>
      </w:r>
      <w:r>
        <w:rPr>
          <w:spacing w:val="2"/>
          <w:w w:val="105"/>
          <w:sz w:val="13"/>
        </w:rPr>
        <w:t>(Name </w:t>
      </w:r>
      <w:r>
        <w:rPr>
          <w:w w:val="105"/>
          <w:sz w:val="13"/>
        </w:rPr>
        <w:t>withheld). In Ch 3 the Commission outlined community feedback concerning an unequal balance of</w:t>
      </w:r>
      <w:r>
        <w:rPr>
          <w:spacing w:val="28"/>
          <w:w w:val="105"/>
          <w:sz w:val="13"/>
        </w:rPr>
        <w:t> </w:t>
      </w:r>
      <w:r>
        <w:rPr>
          <w:w w:val="105"/>
          <w:sz w:val="13"/>
        </w:rPr>
        <w:t>rights.</w:t>
      </w:r>
    </w:p>
    <w:p>
      <w:pPr>
        <w:pStyle w:val="ListParagraph"/>
        <w:numPr>
          <w:ilvl w:val="0"/>
          <w:numId w:val="100"/>
        </w:numPr>
        <w:tabs>
          <w:tab w:pos="1229" w:val="left" w:leader="none"/>
          <w:tab w:pos="1230" w:val="left" w:leader="none"/>
        </w:tabs>
        <w:spacing w:line="240" w:lineRule="auto" w:before="2" w:after="0"/>
        <w:ind w:left="435" w:right="5766" w:firstLine="0"/>
        <w:jc w:val="left"/>
        <w:rPr>
          <w:sz w:val="13"/>
        </w:rPr>
      </w:pPr>
      <w:r>
        <w:rPr>
          <w:w w:val="105"/>
          <w:sz w:val="13"/>
        </w:rPr>
        <w:t>Submission 23 </w:t>
      </w:r>
      <w:r>
        <w:rPr>
          <w:spacing w:val="2"/>
          <w:w w:val="105"/>
          <w:sz w:val="13"/>
        </w:rPr>
        <w:t>(Name </w:t>
      </w:r>
      <w:r>
        <w:rPr>
          <w:w w:val="105"/>
          <w:sz w:val="13"/>
        </w:rPr>
        <w:t>withheld). See </w:t>
      </w:r>
      <w:r>
        <w:rPr>
          <w:i/>
          <w:w w:val="105"/>
          <w:sz w:val="13"/>
        </w:rPr>
        <w:t>Fences Act 1968 </w:t>
      </w:r>
      <w:r>
        <w:rPr>
          <w:spacing w:val="2"/>
          <w:w w:val="105"/>
          <w:sz w:val="13"/>
        </w:rPr>
        <w:t>(Vic) </w:t>
      </w:r>
      <w:r>
        <w:rPr>
          <w:w w:val="105"/>
          <w:sz w:val="13"/>
        </w:rPr>
        <w:t>s </w:t>
      </w:r>
      <w:r>
        <w:rPr>
          <w:spacing w:val="-3"/>
          <w:w w:val="105"/>
          <w:sz w:val="13"/>
        </w:rPr>
        <w:t>13. </w:t>
      </w:r>
      <w:r>
        <w:rPr>
          <w:w w:val="105"/>
          <w:sz w:val="13"/>
        </w:rPr>
        <w:t>148</w:t>
        <w:tab/>
        <w:t>Consultations</w:t>
      </w:r>
      <w:r>
        <w:rPr>
          <w:spacing w:val="8"/>
          <w:w w:val="105"/>
          <w:sz w:val="13"/>
        </w:rPr>
        <w:t> </w:t>
      </w:r>
      <w:r>
        <w:rPr>
          <w:w w:val="105"/>
          <w:sz w:val="13"/>
        </w:rPr>
        <w:t>10</w:t>
      </w:r>
      <w:r>
        <w:rPr>
          <w:spacing w:val="8"/>
          <w:w w:val="105"/>
          <w:sz w:val="13"/>
        </w:rPr>
        <w:t> </w:t>
      </w:r>
      <w:r>
        <w:rPr>
          <w:spacing w:val="2"/>
          <w:w w:val="105"/>
          <w:sz w:val="13"/>
        </w:rPr>
        <w:t>(Baw</w:t>
      </w:r>
      <w:r>
        <w:rPr>
          <w:spacing w:val="9"/>
          <w:w w:val="105"/>
          <w:sz w:val="13"/>
        </w:rPr>
        <w:t> </w:t>
      </w:r>
      <w:r>
        <w:rPr>
          <w:w w:val="105"/>
          <w:sz w:val="13"/>
        </w:rPr>
        <w:t>Baw</w:t>
      </w:r>
      <w:r>
        <w:rPr>
          <w:spacing w:val="8"/>
          <w:w w:val="105"/>
          <w:sz w:val="13"/>
        </w:rPr>
        <w:t> </w:t>
      </w:r>
      <w:r>
        <w:rPr>
          <w:w w:val="105"/>
          <w:sz w:val="13"/>
        </w:rPr>
        <w:t>Shire</w:t>
      </w:r>
      <w:r>
        <w:rPr>
          <w:spacing w:val="8"/>
          <w:w w:val="105"/>
          <w:sz w:val="13"/>
        </w:rPr>
        <w:t> </w:t>
      </w:r>
      <w:r>
        <w:rPr>
          <w:w w:val="105"/>
          <w:sz w:val="13"/>
        </w:rPr>
        <w:t>Council),</w:t>
      </w:r>
      <w:r>
        <w:rPr>
          <w:spacing w:val="9"/>
          <w:w w:val="105"/>
          <w:sz w:val="13"/>
        </w:rPr>
        <w:t> </w:t>
      </w:r>
      <w:r>
        <w:rPr>
          <w:spacing w:val="-4"/>
          <w:w w:val="105"/>
          <w:sz w:val="13"/>
        </w:rPr>
        <w:t>12</w:t>
      </w:r>
      <w:r>
        <w:rPr>
          <w:spacing w:val="8"/>
          <w:w w:val="105"/>
          <w:sz w:val="13"/>
        </w:rPr>
        <w:t> </w:t>
      </w:r>
      <w:r>
        <w:rPr>
          <w:w w:val="105"/>
          <w:sz w:val="13"/>
        </w:rPr>
        <w:t>(City</w:t>
      </w:r>
      <w:r>
        <w:rPr>
          <w:spacing w:val="9"/>
          <w:w w:val="105"/>
          <w:sz w:val="13"/>
        </w:rPr>
        <w:t> </w:t>
      </w:r>
      <w:r>
        <w:rPr>
          <w:w w:val="105"/>
          <w:sz w:val="13"/>
        </w:rPr>
        <w:t>of</w:t>
      </w:r>
      <w:r>
        <w:rPr>
          <w:spacing w:val="8"/>
          <w:w w:val="105"/>
          <w:sz w:val="13"/>
        </w:rPr>
        <w:t> </w:t>
      </w:r>
      <w:r>
        <w:rPr>
          <w:w w:val="105"/>
          <w:sz w:val="13"/>
        </w:rPr>
        <w:t>Port</w:t>
      </w:r>
      <w:r>
        <w:rPr>
          <w:spacing w:val="8"/>
          <w:w w:val="105"/>
          <w:sz w:val="13"/>
        </w:rPr>
        <w:t> </w:t>
      </w:r>
      <w:r>
        <w:rPr>
          <w:w w:val="105"/>
          <w:sz w:val="13"/>
        </w:rPr>
        <w:t>Phillip).</w:t>
      </w:r>
    </w:p>
    <w:p>
      <w:pPr>
        <w:pStyle w:val="ListParagraph"/>
        <w:numPr>
          <w:ilvl w:val="0"/>
          <w:numId w:val="101"/>
        </w:numPr>
        <w:tabs>
          <w:tab w:pos="1229" w:val="left" w:leader="none"/>
          <w:tab w:pos="1230" w:val="left" w:leader="none"/>
        </w:tabs>
        <w:spacing w:line="240" w:lineRule="auto" w:before="3" w:after="0"/>
        <w:ind w:left="1229" w:right="0" w:hanging="793"/>
        <w:jc w:val="left"/>
        <w:rPr>
          <w:sz w:val="13"/>
        </w:rPr>
      </w:pPr>
      <w:r>
        <w:rPr>
          <w:w w:val="105"/>
          <w:sz w:val="13"/>
        </w:rPr>
        <w:t>Consultation 9 (Nillumbik Shire</w:t>
      </w:r>
      <w:r>
        <w:rPr>
          <w:spacing w:val="18"/>
          <w:w w:val="105"/>
          <w:sz w:val="13"/>
        </w:rPr>
        <w:t> </w:t>
      </w:r>
      <w:r>
        <w:rPr>
          <w:w w:val="105"/>
          <w:sz w:val="13"/>
        </w:rPr>
        <w:t>Council).</w:t>
      </w:r>
    </w:p>
    <w:p>
      <w:pPr>
        <w:pStyle w:val="ListParagraph"/>
        <w:numPr>
          <w:ilvl w:val="0"/>
          <w:numId w:val="101"/>
        </w:numPr>
        <w:tabs>
          <w:tab w:pos="1229" w:val="left" w:leader="none"/>
          <w:tab w:pos="1230" w:val="left" w:leader="none"/>
        </w:tabs>
        <w:spacing w:line="240" w:lineRule="auto" w:before="1" w:after="0"/>
        <w:ind w:left="1229" w:right="0" w:hanging="793"/>
        <w:jc w:val="left"/>
        <w:rPr>
          <w:sz w:val="13"/>
        </w:rPr>
      </w:pPr>
      <w:r>
        <w:rPr>
          <w:sz w:val="13"/>
        </w:rPr>
        <w:t>Ibid.</w:t>
      </w:r>
    </w:p>
    <w:p>
      <w:pPr>
        <w:pStyle w:val="ListParagraph"/>
        <w:numPr>
          <w:ilvl w:val="0"/>
          <w:numId w:val="101"/>
        </w:numPr>
        <w:tabs>
          <w:tab w:pos="1229" w:val="left" w:leader="none"/>
          <w:tab w:pos="1230" w:val="left" w:leader="none"/>
        </w:tabs>
        <w:spacing w:line="240" w:lineRule="auto" w:before="2" w:after="0"/>
        <w:ind w:left="1229" w:right="0" w:hanging="793"/>
        <w:jc w:val="left"/>
        <w:rPr>
          <w:sz w:val="13"/>
        </w:rPr>
      </w:pPr>
      <w:r>
        <w:rPr>
          <w:w w:val="105"/>
          <w:sz w:val="13"/>
        </w:rPr>
        <w:t>Consultation </w:t>
      </w:r>
      <w:r>
        <w:rPr>
          <w:spacing w:val="-3"/>
          <w:w w:val="105"/>
          <w:sz w:val="13"/>
        </w:rPr>
        <w:t>14 </w:t>
      </w:r>
      <w:r>
        <w:rPr>
          <w:spacing w:val="2"/>
          <w:w w:val="105"/>
          <w:sz w:val="13"/>
        </w:rPr>
        <w:t>(Robert</w:t>
      </w:r>
      <w:r>
        <w:rPr>
          <w:spacing w:val="16"/>
          <w:w w:val="105"/>
          <w:sz w:val="13"/>
        </w:rPr>
        <w:t> </w:t>
      </w:r>
      <w:r>
        <w:rPr>
          <w:spacing w:val="2"/>
          <w:w w:val="105"/>
          <w:sz w:val="13"/>
        </w:rPr>
        <w:t>Mineo).</w:t>
      </w:r>
    </w:p>
    <w:p>
      <w:pPr>
        <w:spacing w:after="0" w:line="240" w:lineRule="auto"/>
        <w:jc w:val="left"/>
        <w:rPr>
          <w:sz w:val="13"/>
        </w:rPr>
        <w:sectPr>
          <w:type w:val="continuous"/>
          <w:pgSz w:w="11910" w:h="16840"/>
          <w:pgMar w:top="300" w:bottom="280" w:left="0" w:right="0"/>
          <w:cols w:num="2" w:equalWidth="0">
            <w:col w:w="1112" w:space="40"/>
            <w:col w:w="10758"/>
          </w:cols>
        </w:sectPr>
      </w:pPr>
    </w:p>
    <w:p>
      <w:pPr>
        <w:pStyle w:val="BodyText"/>
        <w:rPr>
          <w:sz w:val="20"/>
        </w:rPr>
      </w:pPr>
    </w:p>
    <w:p>
      <w:pPr>
        <w:pStyle w:val="BodyText"/>
        <w:spacing w:before="3"/>
        <w:rPr>
          <w:sz w:val="17"/>
        </w:rPr>
      </w:pPr>
    </w:p>
    <w:p>
      <w:pPr>
        <w:pStyle w:val="Heading4"/>
        <w:spacing w:before="96"/>
      </w:pPr>
      <w:bookmarkStart w:name="The Commission’s conclusions—resolving d" w:id="152"/>
      <w:bookmarkEnd w:id="152"/>
      <w:r>
        <w:rPr>
          <w:b w:val="0"/>
        </w:rPr>
      </w:r>
      <w:bookmarkStart w:name="_bookmark67" w:id="153"/>
      <w:bookmarkEnd w:id="153"/>
      <w:r>
        <w:rPr>
          <w:b w:val="0"/>
        </w:rPr>
      </w:r>
      <w:r>
        <w:rPr>
          <w:color w:val="658464"/>
          <w:w w:val="115"/>
        </w:rPr>
        <w:t>The Commission’s conclusions—resolving disputes informally</w:t>
      </w:r>
    </w:p>
    <w:p>
      <w:pPr>
        <w:pStyle w:val="ListParagraph"/>
        <w:numPr>
          <w:ilvl w:val="1"/>
          <w:numId w:val="99"/>
        </w:numPr>
        <w:tabs>
          <w:tab w:pos="2381" w:val="left" w:leader="none"/>
          <w:tab w:pos="2382" w:val="left" w:leader="none"/>
        </w:tabs>
        <w:spacing w:line="242" w:lineRule="auto" w:before="154" w:after="0"/>
        <w:ind w:left="2381" w:right="1659" w:hanging="794"/>
        <w:jc w:val="left"/>
        <w:rPr>
          <w:sz w:val="21"/>
        </w:rPr>
      </w:pPr>
      <w:r>
        <w:rPr>
          <w:spacing w:val="-3"/>
          <w:w w:val="105"/>
          <w:sz w:val="21"/>
        </w:rPr>
        <w:t>Informal</w:t>
      </w:r>
      <w:r>
        <w:rPr>
          <w:spacing w:val="-15"/>
          <w:w w:val="105"/>
          <w:sz w:val="21"/>
        </w:rPr>
        <w:t> </w:t>
      </w:r>
      <w:r>
        <w:rPr>
          <w:w w:val="105"/>
          <w:sz w:val="21"/>
        </w:rPr>
        <w:t>resolution</w:t>
      </w:r>
      <w:r>
        <w:rPr>
          <w:spacing w:val="-15"/>
          <w:w w:val="105"/>
          <w:sz w:val="21"/>
        </w:rPr>
        <w:t> </w:t>
      </w:r>
      <w:r>
        <w:rPr>
          <w:w w:val="105"/>
          <w:sz w:val="21"/>
        </w:rPr>
        <w:t>is</w:t>
      </w:r>
      <w:r>
        <w:rPr>
          <w:spacing w:val="-15"/>
          <w:w w:val="105"/>
          <w:sz w:val="21"/>
        </w:rPr>
        <w:t> </w:t>
      </w:r>
      <w:r>
        <w:rPr>
          <w:w w:val="105"/>
          <w:sz w:val="21"/>
        </w:rPr>
        <w:t>cost-effective,</w:t>
      </w:r>
      <w:r>
        <w:rPr>
          <w:spacing w:val="-15"/>
          <w:w w:val="105"/>
          <w:sz w:val="21"/>
        </w:rPr>
        <w:t> </w:t>
      </w:r>
      <w:r>
        <w:rPr>
          <w:w w:val="105"/>
          <w:sz w:val="21"/>
        </w:rPr>
        <w:t>allows</w:t>
      </w:r>
      <w:r>
        <w:rPr>
          <w:spacing w:val="-15"/>
          <w:w w:val="105"/>
          <w:sz w:val="21"/>
        </w:rPr>
        <w:t> </w:t>
      </w:r>
      <w:r>
        <w:rPr>
          <w:w w:val="105"/>
          <w:sz w:val="21"/>
        </w:rPr>
        <w:t>neighbours</w:t>
      </w:r>
      <w:r>
        <w:rPr>
          <w:spacing w:val="-15"/>
          <w:w w:val="105"/>
          <w:sz w:val="21"/>
        </w:rPr>
        <w:t> </w:t>
      </w:r>
      <w:r>
        <w:rPr>
          <w:spacing w:val="-3"/>
          <w:w w:val="105"/>
          <w:sz w:val="21"/>
        </w:rPr>
        <w:t>to</w:t>
      </w:r>
      <w:r>
        <w:rPr>
          <w:spacing w:val="-15"/>
          <w:w w:val="105"/>
          <w:sz w:val="21"/>
        </w:rPr>
        <w:t> </w:t>
      </w:r>
      <w:r>
        <w:rPr>
          <w:w w:val="105"/>
          <w:sz w:val="21"/>
        </w:rPr>
        <w:t>come</w:t>
      </w:r>
      <w:r>
        <w:rPr>
          <w:spacing w:val="-14"/>
          <w:w w:val="105"/>
          <w:sz w:val="21"/>
        </w:rPr>
        <w:t> </w:t>
      </w:r>
      <w:r>
        <w:rPr>
          <w:w w:val="105"/>
          <w:sz w:val="21"/>
        </w:rPr>
        <w:t>up</w:t>
      </w:r>
      <w:r>
        <w:rPr>
          <w:spacing w:val="-15"/>
          <w:w w:val="105"/>
          <w:sz w:val="21"/>
        </w:rPr>
        <w:t> </w:t>
      </w:r>
      <w:r>
        <w:rPr>
          <w:w w:val="105"/>
          <w:sz w:val="21"/>
        </w:rPr>
        <w:t>with</w:t>
      </w:r>
      <w:r>
        <w:rPr>
          <w:spacing w:val="-15"/>
          <w:w w:val="105"/>
          <w:sz w:val="21"/>
        </w:rPr>
        <w:t> </w:t>
      </w:r>
      <w:r>
        <w:rPr>
          <w:spacing w:val="-3"/>
          <w:w w:val="105"/>
          <w:sz w:val="21"/>
        </w:rPr>
        <w:t>creative</w:t>
      </w:r>
      <w:r>
        <w:rPr>
          <w:spacing w:val="-15"/>
          <w:w w:val="105"/>
          <w:sz w:val="21"/>
        </w:rPr>
        <w:t> </w:t>
      </w:r>
      <w:r>
        <w:rPr>
          <w:w w:val="105"/>
          <w:sz w:val="21"/>
        </w:rPr>
        <w:t>solutions </w:t>
      </w:r>
      <w:r>
        <w:rPr>
          <w:spacing w:val="-3"/>
          <w:w w:val="105"/>
          <w:sz w:val="21"/>
        </w:rPr>
        <w:t>to </w:t>
      </w:r>
      <w:r>
        <w:rPr>
          <w:w w:val="105"/>
          <w:sz w:val="21"/>
        </w:rPr>
        <w:t>their </w:t>
      </w:r>
      <w:r>
        <w:rPr>
          <w:spacing w:val="-4"/>
          <w:w w:val="105"/>
          <w:sz w:val="21"/>
        </w:rPr>
        <w:t>problems,</w:t>
      </w:r>
      <w:r>
        <w:rPr>
          <w:spacing w:val="-4"/>
          <w:w w:val="105"/>
          <w:position w:val="7"/>
          <w:sz w:val="12"/>
        </w:rPr>
        <w:t>152 </w:t>
      </w:r>
      <w:r>
        <w:rPr>
          <w:w w:val="105"/>
          <w:sz w:val="21"/>
        </w:rPr>
        <w:t>and </w:t>
      </w:r>
      <w:r>
        <w:rPr>
          <w:spacing w:val="-3"/>
          <w:w w:val="105"/>
          <w:sz w:val="21"/>
        </w:rPr>
        <w:t>may </w:t>
      </w:r>
      <w:r>
        <w:rPr>
          <w:w w:val="105"/>
          <w:sz w:val="21"/>
        </w:rPr>
        <w:t>help </w:t>
      </w:r>
      <w:r>
        <w:rPr>
          <w:spacing w:val="-3"/>
          <w:w w:val="105"/>
          <w:sz w:val="21"/>
        </w:rPr>
        <w:t>to </w:t>
      </w:r>
      <w:r>
        <w:rPr>
          <w:w w:val="105"/>
          <w:sz w:val="21"/>
        </w:rPr>
        <w:t>preserve neighbourly </w:t>
      </w:r>
      <w:r>
        <w:rPr>
          <w:spacing w:val="-3"/>
          <w:w w:val="105"/>
          <w:sz w:val="21"/>
        </w:rPr>
        <w:t>relations. </w:t>
      </w:r>
      <w:r>
        <w:rPr>
          <w:w w:val="105"/>
          <w:sz w:val="21"/>
        </w:rPr>
        <w:t>Not </w:t>
      </w:r>
      <w:r>
        <w:rPr>
          <w:spacing w:val="-3"/>
          <w:w w:val="105"/>
          <w:sz w:val="21"/>
        </w:rPr>
        <w:t>all disputes will </w:t>
      </w:r>
      <w:r>
        <w:rPr>
          <w:w w:val="105"/>
          <w:sz w:val="21"/>
        </w:rPr>
        <w:t>be suitable </w:t>
      </w:r>
      <w:r>
        <w:rPr>
          <w:spacing w:val="-3"/>
          <w:w w:val="105"/>
          <w:sz w:val="21"/>
        </w:rPr>
        <w:t>for informal negotiation. </w:t>
      </w:r>
      <w:r>
        <w:rPr>
          <w:w w:val="105"/>
          <w:sz w:val="21"/>
        </w:rPr>
        <w:t>In </w:t>
      </w:r>
      <w:r>
        <w:rPr>
          <w:spacing w:val="-3"/>
          <w:w w:val="105"/>
          <w:sz w:val="21"/>
        </w:rPr>
        <w:t>many </w:t>
      </w:r>
      <w:r>
        <w:rPr>
          <w:w w:val="105"/>
          <w:sz w:val="21"/>
        </w:rPr>
        <w:t>tree </w:t>
      </w:r>
      <w:r>
        <w:rPr>
          <w:spacing w:val="-3"/>
          <w:w w:val="105"/>
          <w:sz w:val="21"/>
        </w:rPr>
        <w:t>disputes relations </w:t>
      </w:r>
      <w:r>
        <w:rPr>
          <w:w w:val="105"/>
          <w:sz w:val="21"/>
        </w:rPr>
        <w:t>between neighbours </w:t>
      </w:r>
      <w:r>
        <w:rPr>
          <w:spacing w:val="-3"/>
          <w:w w:val="105"/>
          <w:sz w:val="21"/>
        </w:rPr>
        <w:t>are </w:t>
      </w:r>
      <w:r>
        <w:rPr>
          <w:w w:val="105"/>
          <w:sz w:val="21"/>
        </w:rPr>
        <w:t>so poor </w:t>
      </w:r>
      <w:r>
        <w:rPr>
          <w:spacing w:val="-3"/>
          <w:w w:val="105"/>
          <w:sz w:val="21"/>
        </w:rPr>
        <w:t>that </w:t>
      </w:r>
      <w:r>
        <w:rPr>
          <w:w w:val="105"/>
          <w:sz w:val="21"/>
        </w:rPr>
        <w:t>resolution in </w:t>
      </w:r>
      <w:r>
        <w:rPr>
          <w:spacing w:val="-5"/>
          <w:w w:val="105"/>
          <w:sz w:val="21"/>
        </w:rPr>
        <w:t>VCAT </w:t>
      </w:r>
      <w:r>
        <w:rPr>
          <w:w w:val="105"/>
          <w:sz w:val="21"/>
        </w:rPr>
        <w:t>is the best option. </w:t>
      </w:r>
      <w:r>
        <w:rPr>
          <w:spacing w:val="-4"/>
          <w:w w:val="105"/>
          <w:sz w:val="21"/>
        </w:rPr>
        <w:t>However, </w:t>
      </w:r>
      <w:r>
        <w:rPr>
          <w:w w:val="105"/>
          <w:sz w:val="21"/>
        </w:rPr>
        <w:t>the more </w:t>
      </w:r>
      <w:r>
        <w:rPr>
          <w:spacing w:val="-3"/>
          <w:w w:val="105"/>
          <w:sz w:val="21"/>
        </w:rPr>
        <w:t>disputes that </w:t>
      </w:r>
      <w:r>
        <w:rPr>
          <w:w w:val="105"/>
          <w:sz w:val="21"/>
        </w:rPr>
        <w:t>can be settled outside the </w:t>
      </w:r>
      <w:r>
        <w:rPr>
          <w:spacing w:val="-3"/>
          <w:w w:val="105"/>
          <w:sz w:val="21"/>
        </w:rPr>
        <w:t>tribunal </w:t>
      </w:r>
      <w:r>
        <w:rPr>
          <w:w w:val="105"/>
          <w:sz w:val="21"/>
        </w:rPr>
        <w:t>system, the</w:t>
      </w:r>
      <w:r>
        <w:rPr>
          <w:spacing w:val="30"/>
          <w:w w:val="105"/>
          <w:sz w:val="21"/>
        </w:rPr>
        <w:t> </w:t>
      </w:r>
      <w:r>
        <w:rPr>
          <w:spacing w:val="-4"/>
          <w:w w:val="105"/>
          <w:sz w:val="21"/>
        </w:rPr>
        <w:t>better.</w:t>
      </w:r>
    </w:p>
    <w:p>
      <w:pPr>
        <w:pStyle w:val="BodyText"/>
        <w:spacing w:before="6"/>
        <w:rPr>
          <w:sz w:val="20"/>
        </w:rPr>
      </w:pPr>
    </w:p>
    <w:p>
      <w:pPr>
        <w:pStyle w:val="Heading5"/>
        <w:spacing w:before="1"/>
      </w:pPr>
      <w:r>
        <w:rPr>
          <w:w w:val="115"/>
        </w:rPr>
        <w:t>Encouraging informal resolution in the new Act</w:t>
      </w:r>
    </w:p>
    <w:p>
      <w:pPr>
        <w:pStyle w:val="ListParagraph"/>
        <w:numPr>
          <w:ilvl w:val="1"/>
          <w:numId w:val="99"/>
        </w:numPr>
        <w:tabs>
          <w:tab w:pos="2381" w:val="left" w:leader="none"/>
          <w:tab w:pos="2382" w:val="left" w:leader="none"/>
        </w:tabs>
        <w:spacing w:line="242" w:lineRule="auto" w:before="137" w:after="0"/>
        <w:ind w:left="2381" w:right="1825" w:hanging="794"/>
        <w:jc w:val="left"/>
        <w:rPr>
          <w:sz w:val="21"/>
        </w:rPr>
      </w:pPr>
      <w:r>
        <w:rPr>
          <w:sz w:val="21"/>
        </w:rPr>
        <w:t>The new Act should clearly state </w:t>
      </w:r>
      <w:r>
        <w:rPr>
          <w:spacing w:val="-3"/>
          <w:sz w:val="21"/>
        </w:rPr>
        <w:t>that nothing </w:t>
      </w:r>
      <w:r>
        <w:rPr>
          <w:sz w:val="21"/>
        </w:rPr>
        <w:t>in the Act </w:t>
      </w:r>
      <w:r>
        <w:rPr>
          <w:spacing w:val="-2"/>
          <w:sz w:val="21"/>
        </w:rPr>
        <w:t>prevents </w:t>
      </w:r>
      <w:r>
        <w:rPr>
          <w:sz w:val="21"/>
        </w:rPr>
        <w:t>parties </w:t>
      </w:r>
      <w:r>
        <w:rPr>
          <w:spacing w:val="-3"/>
          <w:sz w:val="21"/>
        </w:rPr>
        <w:t>from </w:t>
      </w:r>
      <w:r>
        <w:rPr>
          <w:sz w:val="21"/>
        </w:rPr>
        <w:t>resolving their tree </w:t>
      </w:r>
      <w:r>
        <w:rPr>
          <w:spacing w:val="-3"/>
          <w:sz w:val="21"/>
        </w:rPr>
        <w:t>dispute informally </w:t>
      </w:r>
      <w:r>
        <w:rPr>
          <w:sz w:val="21"/>
        </w:rPr>
        <w:t>between</w:t>
      </w:r>
      <w:r>
        <w:rPr>
          <w:spacing w:val="1"/>
          <w:sz w:val="21"/>
        </w:rPr>
        <w:t> </w:t>
      </w:r>
      <w:r>
        <w:rPr>
          <w:sz w:val="21"/>
        </w:rPr>
        <w:t>themselves.</w:t>
      </w:r>
    </w:p>
    <w:p>
      <w:pPr>
        <w:pStyle w:val="ListParagraph"/>
        <w:numPr>
          <w:ilvl w:val="1"/>
          <w:numId w:val="99"/>
        </w:numPr>
        <w:tabs>
          <w:tab w:pos="2381" w:val="left" w:leader="none"/>
        </w:tabs>
        <w:spacing w:line="242" w:lineRule="auto" w:before="122" w:after="0"/>
        <w:ind w:left="2381" w:right="1633" w:hanging="794"/>
        <w:jc w:val="both"/>
        <w:rPr>
          <w:sz w:val="12"/>
        </w:rPr>
      </w:pPr>
      <w:r>
        <w:rPr>
          <w:w w:val="105"/>
          <w:sz w:val="21"/>
        </w:rPr>
        <w:t>The new Act </w:t>
      </w:r>
      <w:r>
        <w:rPr>
          <w:spacing w:val="-3"/>
          <w:w w:val="105"/>
          <w:sz w:val="21"/>
        </w:rPr>
        <w:t>should also </w:t>
      </w:r>
      <w:r>
        <w:rPr>
          <w:spacing w:val="-4"/>
          <w:w w:val="105"/>
          <w:sz w:val="21"/>
        </w:rPr>
        <w:t>include </w:t>
      </w:r>
      <w:r>
        <w:rPr>
          <w:w w:val="105"/>
          <w:sz w:val="21"/>
        </w:rPr>
        <w:t>a </w:t>
      </w:r>
      <w:r>
        <w:rPr>
          <w:spacing w:val="-3"/>
          <w:w w:val="105"/>
          <w:sz w:val="21"/>
        </w:rPr>
        <w:t>non-exhaustive list of examples of </w:t>
      </w:r>
      <w:r>
        <w:rPr>
          <w:w w:val="105"/>
          <w:sz w:val="21"/>
        </w:rPr>
        <w:t>the types </w:t>
      </w:r>
      <w:r>
        <w:rPr>
          <w:spacing w:val="-3"/>
          <w:w w:val="105"/>
          <w:sz w:val="21"/>
        </w:rPr>
        <w:t>of </w:t>
      </w:r>
      <w:r>
        <w:rPr>
          <w:spacing w:val="-4"/>
          <w:w w:val="105"/>
          <w:sz w:val="21"/>
        </w:rPr>
        <w:t>informal </w:t>
      </w:r>
      <w:r>
        <w:rPr>
          <w:spacing w:val="-3"/>
          <w:w w:val="105"/>
          <w:sz w:val="21"/>
        </w:rPr>
        <w:t>resolution</w:t>
      </w:r>
      <w:r>
        <w:rPr>
          <w:spacing w:val="-9"/>
          <w:w w:val="105"/>
          <w:sz w:val="21"/>
        </w:rPr>
        <w:t> </w:t>
      </w:r>
      <w:r>
        <w:rPr>
          <w:spacing w:val="-3"/>
          <w:w w:val="105"/>
          <w:sz w:val="21"/>
        </w:rPr>
        <w:t>tools</w:t>
      </w:r>
      <w:r>
        <w:rPr>
          <w:spacing w:val="-9"/>
          <w:w w:val="105"/>
          <w:sz w:val="21"/>
        </w:rPr>
        <w:t> </w:t>
      </w:r>
      <w:r>
        <w:rPr>
          <w:spacing w:val="-3"/>
          <w:w w:val="105"/>
          <w:sz w:val="21"/>
        </w:rPr>
        <w:t>that</w:t>
      </w:r>
      <w:r>
        <w:rPr>
          <w:spacing w:val="-9"/>
          <w:w w:val="105"/>
          <w:sz w:val="21"/>
        </w:rPr>
        <w:t> </w:t>
      </w:r>
      <w:r>
        <w:rPr>
          <w:w w:val="105"/>
          <w:sz w:val="21"/>
        </w:rPr>
        <w:t>parties</w:t>
      </w:r>
      <w:r>
        <w:rPr>
          <w:spacing w:val="-9"/>
          <w:w w:val="105"/>
          <w:sz w:val="21"/>
        </w:rPr>
        <w:t> </w:t>
      </w:r>
      <w:r>
        <w:rPr>
          <w:spacing w:val="-2"/>
          <w:w w:val="105"/>
          <w:sz w:val="21"/>
        </w:rPr>
        <w:t>can</w:t>
      </w:r>
      <w:r>
        <w:rPr>
          <w:spacing w:val="-9"/>
          <w:w w:val="105"/>
          <w:sz w:val="21"/>
        </w:rPr>
        <w:t> </w:t>
      </w:r>
      <w:r>
        <w:rPr>
          <w:spacing w:val="-2"/>
          <w:w w:val="105"/>
          <w:sz w:val="21"/>
        </w:rPr>
        <w:t>use</w:t>
      </w:r>
      <w:r>
        <w:rPr>
          <w:spacing w:val="-9"/>
          <w:w w:val="105"/>
          <w:sz w:val="21"/>
        </w:rPr>
        <w:t> </w:t>
      </w:r>
      <w:r>
        <w:rPr>
          <w:spacing w:val="-3"/>
          <w:w w:val="105"/>
          <w:sz w:val="21"/>
        </w:rPr>
        <w:t>to</w:t>
      </w:r>
      <w:r>
        <w:rPr>
          <w:spacing w:val="-9"/>
          <w:w w:val="105"/>
          <w:sz w:val="21"/>
        </w:rPr>
        <w:t> </w:t>
      </w:r>
      <w:r>
        <w:rPr>
          <w:spacing w:val="-3"/>
          <w:w w:val="105"/>
          <w:sz w:val="21"/>
        </w:rPr>
        <w:t>resolve</w:t>
      </w:r>
      <w:r>
        <w:rPr>
          <w:spacing w:val="-8"/>
          <w:w w:val="105"/>
          <w:sz w:val="21"/>
        </w:rPr>
        <w:t> </w:t>
      </w:r>
      <w:r>
        <w:rPr>
          <w:spacing w:val="-3"/>
          <w:w w:val="105"/>
          <w:sz w:val="21"/>
        </w:rPr>
        <w:t>their</w:t>
      </w:r>
      <w:r>
        <w:rPr>
          <w:spacing w:val="-9"/>
          <w:w w:val="105"/>
          <w:sz w:val="21"/>
        </w:rPr>
        <w:t> </w:t>
      </w:r>
      <w:r>
        <w:rPr>
          <w:spacing w:val="-4"/>
          <w:w w:val="105"/>
          <w:sz w:val="21"/>
        </w:rPr>
        <w:t>disputes</w:t>
      </w:r>
      <w:r>
        <w:rPr>
          <w:spacing w:val="-9"/>
          <w:w w:val="105"/>
          <w:sz w:val="21"/>
        </w:rPr>
        <w:t> </w:t>
      </w:r>
      <w:r>
        <w:rPr>
          <w:spacing w:val="-3"/>
          <w:w w:val="105"/>
          <w:sz w:val="21"/>
        </w:rPr>
        <w:t>to</w:t>
      </w:r>
      <w:r>
        <w:rPr>
          <w:spacing w:val="-9"/>
          <w:w w:val="105"/>
          <w:sz w:val="21"/>
        </w:rPr>
        <w:t> </w:t>
      </w:r>
      <w:r>
        <w:rPr>
          <w:spacing w:val="-3"/>
          <w:w w:val="105"/>
          <w:sz w:val="21"/>
        </w:rPr>
        <w:t>help</w:t>
      </w:r>
      <w:r>
        <w:rPr>
          <w:spacing w:val="-9"/>
          <w:w w:val="105"/>
          <w:sz w:val="21"/>
        </w:rPr>
        <w:t> </w:t>
      </w:r>
      <w:r>
        <w:rPr>
          <w:spacing w:val="-3"/>
          <w:w w:val="105"/>
          <w:sz w:val="21"/>
        </w:rPr>
        <w:t>them</w:t>
      </w:r>
      <w:r>
        <w:rPr>
          <w:spacing w:val="-9"/>
          <w:w w:val="105"/>
          <w:sz w:val="21"/>
        </w:rPr>
        <w:t> </w:t>
      </w:r>
      <w:r>
        <w:rPr>
          <w:spacing w:val="-3"/>
          <w:w w:val="105"/>
          <w:sz w:val="21"/>
        </w:rPr>
        <w:t>understand</w:t>
      </w:r>
      <w:r>
        <w:rPr>
          <w:spacing w:val="-9"/>
          <w:w w:val="105"/>
          <w:sz w:val="21"/>
        </w:rPr>
        <w:t> </w:t>
      </w:r>
      <w:r>
        <w:rPr>
          <w:spacing w:val="-3"/>
          <w:w w:val="105"/>
          <w:sz w:val="21"/>
        </w:rPr>
        <w:t>their options </w:t>
      </w:r>
      <w:r>
        <w:rPr>
          <w:spacing w:val="-5"/>
          <w:w w:val="105"/>
          <w:sz w:val="21"/>
        </w:rPr>
        <w:t>better. </w:t>
      </w:r>
      <w:r>
        <w:rPr>
          <w:w w:val="105"/>
          <w:sz w:val="21"/>
        </w:rPr>
        <w:t>The </w:t>
      </w:r>
      <w:r>
        <w:rPr>
          <w:spacing w:val="-3"/>
          <w:w w:val="105"/>
          <w:sz w:val="21"/>
        </w:rPr>
        <w:t>list recommended by </w:t>
      </w:r>
      <w:r>
        <w:rPr>
          <w:w w:val="105"/>
          <w:sz w:val="21"/>
        </w:rPr>
        <w:t>the QLRC </w:t>
      </w:r>
      <w:r>
        <w:rPr>
          <w:spacing w:val="-3"/>
          <w:w w:val="105"/>
          <w:sz w:val="21"/>
        </w:rPr>
        <w:t>noted </w:t>
      </w:r>
      <w:r>
        <w:rPr>
          <w:spacing w:val="-4"/>
          <w:w w:val="105"/>
          <w:sz w:val="21"/>
        </w:rPr>
        <w:t>earlier </w:t>
      </w:r>
      <w:r>
        <w:rPr>
          <w:w w:val="105"/>
          <w:sz w:val="21"/>
        </w:rPr>
        <w:t>is</w:t>
      </w:r>
      <w:r>
        <w:rPr>
          <w:spacing w:val="33"/>
          <w:w w:val="105"/>
          <w:sz w:val="21"/>
        </w:rPr>
        <w:t> </w:t>
      </w:r>
      <w:r>
        <w:rPr>
          <w:spacing w:val="-6"/>
          <w:w w:val="105"/>
          <w:sz w:val="21"/>
        </w:rPr>
        <w:t>helpful.</w:t>
      </w:r>
      <w:r>
        <w:rPr>
          <w:spacing w:val="-6"/>
          <w:w w:val="105"/>
          <w:position w:val="7"/>
          <w:sz w:val="12"/>
        </w:rPr>
        <w:t>153</w:t>
      </w:r>
    </w:p>
    <w:p>
      <w:pPr>
        <w:pStyle w:val="BodyText"/>
        <w:spacing w:before="4"/>
        <w:rPr>
          <w:sz w:val="20"/>
        </w:rPr>
      </w:pPr>
    </w:p>
    <w:p>
      <w:pPr>
        <w:pStyle w:val="Heading5"/>
        <w:ind w:left="1654"/>
      </w:pPr>
      <w:r>
        <w:rPr>
          <w:w w:val="110"/>
        </w:rPr>
        <w:t>Community resources</w:t>
      </w:r>
    </w:p>
    <w:p>
      <w:pPr>
        <w:pStyle w:val="ListParagraph"/>
        <w:numPr>
          <w:ilvl w:val="1"/>
          <w:numId w:val="99"/>
        </w:numPr>
        <w:tabs>
          <w:tab w:pos="2380" w:val="left" w:leader="none"/>
          <w:tab w:pos="2381" w:val="left" w:leader="none"/>
        </w:tabs>
        <w:spacing w:line="242" w:lineRule="auto" w:before="137" w:after="0"/>
        <w:ind w:left="2381" w:right="1915" w:hanging="794"/>
        <w:jc w:val="left"/>
        <w:rPr>
          <w:sz w:val="21"/>
        </w:rPr>
      </w:pPr>
      <w:r>
        <w:rPr>
          <w:w w:val="105"/>
          <w:sz w:val="21"/>
        </w:rPr>
        <w:t>The</w:t>
      </w:r>
      <w:r>
        <w:rPr>
          <w:spacing w:val="-9"/>
          <w:w w:val="105"/>
          <w:sz w:val="21"/>
        </w:rPr>
        <w:t> </w:t>
      </w:r>
      <w:r>
        <w:rPr>
          <w:w w:val="105"/>
          <w:sz w:val="21"/>
        </w:rPr>
        <w:t>new</w:t>
      </w:r>
      <w:r>
        <w:rPr>
          <w:spacing w:val="-8"/>
          <w:w w:val="105"/>
          <w:sz w:val="21"/>
        </w:rPr>
        <w:t> </w:t>
      </w:r>
      <w:r>
        <w:rPr>
          <w:w w:val="105"/>
          <w:sz w:val="21"/>
        </w:rPr>
        <w:t>Act</w:t>
      </w:r>
      <w:r>
        <w:rPr>
          <w:spacing w:val="-8"/>
          <w:w w:val="105"/>
          <w:sz w:val="21"/>
        </w:rPr>
        <w:t> </w:t>
      </w:r>
      <w:r>
        <w:rPr>
          <w:w w:val="105"/>
          <w:sz w:val="21"/>
        </w:rPr>
        <w:t>should</w:t>
      </w:r>
      <w:r>
        <w:rPr>
          <w:spacing w:val="-9"/>
          <w:w w:val="105"/>
          <w:sz w:val="21"/>
        </w:rPr>
        <w:t> </w:t>
      </w:r>
      <w:r>
        <w:rPr>
          <w:w w:val="105"/>
          <w:sz w:val="21"/>
        </w:rPr>
        <w:t>be</w:t>
      </w:r>
      <w:r>
        <w:rPr>
          <w:spacing w:val="-8"/>
          <w:w w:val="105"/>
          <w:sz w:val="21"/>
        </w:rPr>
        <w:t> </w:t>
      </w:r>
      <w:r>
        <w:rPr>
          <w:w w:val="105"/>
          <w:sz w:val="21"/>
        </w:rPr>
        <w:t>supported</w:t>
      </w:r>
      <w:r>
        <w:rPr>
          <w:spacing w:val="-9"/>
          <w:w w:val="105"/>
          <w:sz w:val="21"/>
        </w:rPr>
        <w:t> </w:t>
      </w:r>
      <w:r>
        <w:rPr>
          <w:w w:val="105"/>
          <w:sz w:val="21"/>
        </w:rPr>
        <w:t>by</w:t>
      </w:r>
      <w:r>
        <w:rPr>
          <w:spacing w:val="-8"/>
          <w:w w:val="105"/>
          <w:sz w:val="21"/>
        </w:rPr>
        <w:t> </w:t>
      </w:r>
      <w:r>
        <w:rPr>
          <w:w w:val="105"/>
          <w:sz w:val="21"/>
        </w:rPr>
        <w:t>extensive</w:t>
      </w:r>
      <w:r>
        <w:rPr>
          <w:spacing w:val="-8"/>
          <w:w w:val="105"/>
          <w:sz w:val="21"/>
        </w:rPr>
        <w:t> </w:t>
      </w:r>
      <w:r>
        <w:rPr>
          <w:w w:val="105"/>
          <w:sz w:val="21"/>
        </w:rPr>
        <w:t>community</w:t>
      </w:r>
      <w:r>
        <w:rPr>
          <w:spacing w:val="-9"/>
          <w:w w:val="105"/>
          <w:sz w:val="21"/>
        </w:rPr>
        <w:t> </w:t>
      </w:r>
      <w:r>
        <w:rPr>
          <w:spacing w:val="-3"/>
          <w:w w:val="105"/>
          <w:sz w:val="21"/>
        </w:rPr>
        <w:t>resources</w:t>
      </w:r>
      <w:r>
        <w:rPr>
          <w:spacing w:val="-8"/>
          <w:w w:val="105"/>
          <w:sz w:val="21"/>
        </w:rPr>
        <w:t> </w:t>
      </w:r>
      <w:r>
        <w:rPr>
          <w:w w:val="105"/>
          <w:sz w:val="21"/>
        </w:rPr>
        <w:t>in</w:t>
      </w:r>
      <w:r>
        <w:rPr>
          <w:spacing w:val="-8"/>
          <w:w w:val="105"/>
          <w:sz w:val="21"/>
        </w:rPr>
        <w:t> </w:t>
      </w:r>
      <w:r>
        <w:rPr>
          <w:w w:val="105"/>
          <w:sz w:val="21"/>
        </w:rPr>
        <w:t>order</w:t>
      </w:r>
      <w:r>
        <w:rPr>
          <w:spacing w:val="-9"/>
          <w:w w:val="105"/>
          <w:sz w:val="21"/>
        </w:rPr>
        <w:t> </w:t>
      </w:r>
      <w:r>
        <w:rPr>
          <w:spacing w:val="-3"/>
          <w:w w:val="105"/>
          <w:sz w:val="21"/>
        </w:rPr>
        <w:t>to</w:t>
      </w:r>
      <w:r>
        <w:rPr>
          <w:spacing w:val="-8"/>
          <w:w w:val="105"/>
          <w:sz w:val="21"/>
        </w:rPr>
        <w:t> </w:t>
      </w:r>
      <w:r>
        <w:rPr>
          <w:spacing w:val="-4"/>
          <w:w w:val="105"/>
          <w:sz w:val="21"/>
        </w:rPr>
        <w:t>make </w:t>
      </w:r>
      <w:r>
        <w:rPr>
          <w:w w:val="105"/>
          <w:sz w:val="21"/>
        </w:rPr>
        <w:t>the law more </w:t>
      </w:r>
      <w:r>
        <w:rPr>
          <w:spacing w:val="-3"/>
          <w:w w:val="105"/>
          <w:sz w:val="21"/>
        </w:rPr>
        <w:t>accessible </w:t>
      </w:r>
      <w:r>
        <w:rPr>
          <w:w w:val="105"/>
          <w:sz w:val="21"/>
        </w:rPr>
        <w:t>and more widely understood. Supporting </w:t>
      </w:r>
      <w:r>
        <w:rPr>
          <w:spacing w:val="-3"/>
          <w:w w:val="105"/>
          <w:sz w:val="21"/>
        </w:rPr>
        <w:t>information </w:t>
      </w:r>
      <w:r>
        <w:rPr>
          <w:w w:val="105"/>
          <w:sz w:val="21"/>
        </w:rPr>
        <w:t>should </w:t>
      </w:r>
      <w:r>
        <w:rPr>
          <w:spacing w:val="-3"/>
          <w:w w:val="105"/>
          <w:sz w:val="21"/>
        </w:rPr>
        <w:t>incorporate </w:t>
      </w:r>
      <w:r>
        <w:rPr>
          <w:w w:val="105"/>
          <w:sz w:val="21"/>
        </w:rPr>
        <w:t>the examples of </w:t>
      </w:r>
      <w:r>
        <w:rPr>
          <w:spacing w:val="-3"/>
          <w:w w:val="105"/>
          <w:sz w:val="21"/>
        </w:rPr>
        <w:t>informal </w:t>
      </w:r>
      <w:r>
        <w:rPr>
          <w:w w:val="105"/>
          <w:sz w:val="21"/>
        </w:rPr>
        <w:t>resolution tools </w:t>
      </w:r>
      <w:r>
        <w:rPr>
          <w:spacing w:val="-3"/>
          <w:w w:val="105"/>
          <w:sz w:val="21"/>
        </w:rPr>
        <w:t>referred to </w:t>
      </w:r>
      <w:r>
        <w:rPr>
          <w:w w:val="105"/>
          <w:sz w:val="21"/>
        </w:rPr>
        <w:t>in the new Act—for </w:t>
      </w:r>
      <w:r>
        <w:rPr>
          <w:spacing w:val="-3"/>
          <w:w w:val="105"/>
          <w:sz w:val="21"/>
        </w:rPr>
        <w:t>example, neighbour-led resolution, </w:t>
      </w:r>
      <w:r>
        <w:rPr>
          <w:w w:val="105"/>
          <w:sz w:val="21"/>
        </w:rPr>
        <w:t>mediation </w:t>
      </w:r>
      <w:r>
        <w:rPr>
          <w:spacing w:val="-3"/>
          <w:w w:val="105"/>
          <w:sz w:val="21"/>
        </w:rPr>
        <w:t>through </w:t>
      </w:r>
      <w:r>
        <w:rPr>
          <w:w w:val="105"/>
          <w:sz w:val="21"/>
        </w:rPr>
        <w:t>DSCV and abatement—and explain how these </w:t>
      </w:r>
      <w:r>
        <w:rPr>
          <w:spacing w:val="-3"/>
          <w:w w:val="105"/>
          <w:sz w:val="21"/>
        </w:rPr>
        <w:t>mechanisms </w:t>
      </w:r>
      <w:r>
        <w:rPr>
          <w:w w:val="105"/>
          <w:sz w:val="21"/>
        </w:rPr>
        <w:t>work as </w:t>
      </w:r>
      <w:r>
        <w:rPr>
          <w:spacing w:val="-3"/>
          <w:w w:val="105"/>
          <w:sz w:val="21"/>
        </w:rPr>
        <w:t>well </w:t>
      </w:r>
      <w:r>
        <w:rPr>
          <w:w w:val="105"/>
          <w:sz w:val="21"/>
        </w:rPr>
        <w:t>as tips about good </w:t>
      </w:r>
      <w:r>
        <w:rPr>
          <w:spacing w:val="-3"/>
          <w:w w:val="105"/>
          <w:sz w:val="21"/>
        </w:rPr>
        <w:t>negotiating</w:t>
      </w:r>
      <w:r>
        <w:rPr>
          <w:spacing w:val="-15"/>
          <w:w w:val="105"/>
          <w:sz w:val="21"/>
        </w:rPr>
        <w:t> </w:t>
      </w:r>
      <w:r>
        <w:rPr>
          <w:spacing w:val="-3"/>
          <w:w w:val="105"/>
          <w:sz w:val="21"/>
        </w:rPr>
        <w:t>strategies.</w:t>
      </w:r>
    </w:p>
    <w:p>
      <w:pPr>
        <w:pStyle w:val="ListParagraph"/>
        <w:numPr>
          <w:ilvl w:val="1"/>
          <w:numId w:val="99"/>
        </w:numPr>
        <w:tabs>
          <w:tab w:pos="2380" w:val="left" w:leader="none"/>
          <w:tab w:pos="2381" w:val="left" w:leader="none"/>
        </w:tabs>
        <w:spacing w:line="242" w:lineRule="auto" w:before="126" w:after="0"/>
        <w:ind w:left="2380" w:right="1856" w:hanging="793"/>
        <w:jc w:val="left"/>
        <w:rPr>
          <w:sz w:val="21"/>
        </w:rPr>
      </w:pPr>
      <w:r>
        <w:rPr>
          <w:w w:val="105"/>
          <w:sz w:val="21"/>
        </w:rPr>
        <w:t>A sample standard letter would also be a </w:t>
      </w:r>
      <w:r>
        <w:rPr>
          <w:spacing w:val="-3"/>
          <w:w w:val="105"/>
          <w:sz w:val="21"/>
        </w:rPr>
        <w:t>useful </w:t>
      </w:r>
      <w:r>
        <w:rPr>
          <w:w w:val="105"/>
          <w:sz w:val="21"/>
        </w:rPr>
        <w:t>community </w:t>
      </w:r>
      <w:r>
        <w:rPr>
          <w:spacing w:val="-3"/>
          <w:w w:val="105"/>
          <w:sz w:val="21"/>
        </w:rPr>
        <w:t>resource to facilitate communication </w:t>
      </w:r>
      <w:r>
        <w:rPr>
          <w:w w:val="105"/>
          <w:sz w:val="21"/>
        </w:rPr>
        <w:t>and </w:t>
      </w:r>
      <w:r>
        <w:rPr>
          <w:spacing w:val="-3"/>
          <w:w w:val="105"/>
          <w:sz w:val="21"/>
        </w:rPr>
        <w:t>negotiation. </w:t>
      </w:r>
      <w:r>
        <w:rPr>
          <w:w w:val="105"/>
          <w:sz w:val="21"/>
        </w:rPr>
        <w:t>The community should also be better </w:t>
      </w:r>
      <w:r>
        <w:rPr>
          <w:spacing w:val="-3"/>
          <w:w w:val="105"/>
          <w:sz w:val="21"/>
        </w:rPr>
        <w:t>informed </w:t>
      </w:r>
      <w:r>
        <w:rPr>
          <w:w w:val="105"/>
          <w:sz w:val="21"/>
        </w:rPr>
        <w:t>about the</w:t>
      </w:r>
      <w:r>
        <w:rPr>
          <w:spacing w:val="-11"/>
          <w:w w:val="105"/>
          <w:sz w:val="21"/>
        </w:rPr>
        <w:t> </w:t>
      </w:r>
      <w:r>
        <w:rPr>
          <w:w w:val="105"/>
          <w:sz w:val="21"/>
        </w:rPr>
        <w:t>role</w:t>
      </w:r>
      <w:r>
        <w:rPr>
          <w:spacing w:val="-10"/>
          <w:w w:val="105"/>
          <w:sz w:val="21"/>
        </w:rPr>
        <w:t> </w:t>
      </w:r>
      <w:r>
        <w:rPr>
          <w:w w:val="105"/>
          <w:sz w:val="21"/>
        </w:rPr>
        <w:t>of</w:t>
      </w:r>
      <w:r>
        <w:rPr>
          <w:spacing w:val="-10"/>
          <w:w w:val="105"/>
          <w:sz w:val="21"/>
        </w:rPr>
        <w:t> </w:t>
      </w:r>
      <w:r>
        <w:rPr>
          <w:w w:val="105"/>
          <w:sz w:val="21"/>
        </w:rPr>
        <w:t>arborists.</w:t>
      </w:r>
      <w:r>
        <w:rPr>
          <w:spacing w:val="-11"/>
          <w:w w:val="105"/>
          <w:sz w:val="21"/>
        </w:rPr>
        <w:t> </w:t>
      </w:r>
      <w:r>
        <w:rPr>
          <w:spacing w:val="-3"/>
          <w:w w:val="105"/>
          <w:sz w:val="21"/>
        </w:rPr>
        <w:t>Obtaining</w:t>
      </w:r>
      <w:r>
        <w:rPr>
          <w:spacing w:val="-10"/>
          <w:w w:val="105"/>
          <w:sz w:val="21"/>
        </w:rPr>
        <w:t> </w:t>
      </w:r>
      <w:r>
        <w:rPr>
          <w:w w:val="105"/>
          <w:sz w:val="21"/>
        </w:rPr>
        <w:t>independent</w:t>
      </w:r>
      <w:r>
        <w:rPr>
          <w:spacing w:val="-10"/>
          <w:w w:val="105"/>
          <w:sz w:val="21"/>
        </w:rPr>
        <w:t> </w:t>
      </w:r>
      <w:r>
        <w:rPr>
          <w:spacing w:val="-3"/>
          <w:w w:val="105"/>
          <w:sz w:val="21"/>
        </w:rPr>
        <w:t>professional</w:t>
      </w:r>
      <w:r>
        <w:rPr>
          <w:spacing w:val="-10"/>
          <w:w w:val="105"/>
          <w:sz w:val="21"/>
        </w:rPr>
        <w:t> </w:t>
      </w:r>
      <w:r>
        <w:rPr>
          <w:w w:val="105"/>
          <w:sz w:val="21"/>
        </w:rPr>
        <w:t>advice</w:t>
      </w:r>
      <w:r>
        <w:rPr>
          <w:spacing w:val="-11"/>
          <w:w w:val="105"/>
          <w:sz w:val="21"/>
        </w:rPr>
        <w:t> </w:t>
      </w:r>
      <w:r>
        <w:rPr>
          <w:w w:val="105"/>
          <w:sz w:val="21"/>
        </w:rPr>
        <w:t>in</w:t>
      </w:r>
      <w:r>
        <w:rPr>
          <w:spacing w:val="-10"/>
          <w:w w:val="105"/>
          <w:sz w:val="21"/>
        </w:rPr>
        <w:t> </w:t>
      </w:r>
      <w:r>
        <w:rPr>
          <w:w w:val="105"/>
          <w:sz w:val="21"/>
        </w:rPr>
        <w:t>the</w:t>
      </w:r>
      <w:r>
        <w:rPr>
          <w:spacing w:val="-10"/>
          <w:w w:val="105"/>
          <w:sz w:val="21"/>
        </w:rPr>
        <w:t> </w:t>
      </w:r>
      <w:r>
        <w:rPr>
          <w:w w:val="105"/>
          <w:sz w:val="21"/>
        </w:rPr>
        <w:t>early</w:t>
      </w:r>
      <w:r>
        <w:rPr>
          <w:spacing w:val="-10"/>
          <w:w w:val="105"/>
          <w:sz w:val="21"/>
        </w:rPr>
        <w:t> </w:t>
      </w:r>
      <w:r>
        <w:rPr>
          <w:w w:val="105"/>
          <w:sz w:val="21"/>
        </w:rPr>
        <w:t>stages</w:t>
      </w:r>
      <w:r>
        <w:rPr>
          <w:spacing w:val="-11"/>
          <w:w w:val="105"/>
          <w:sz w:val="21"/>
        </w:rPr>
        <w:t> </w:t>
      </w:r>
      <w:r>
        <w:rPr>
          <w:spacing w:val="-3"/>
          <w:w w:val="105"/>
          <w:sz w:val="21"/>
        </w:rPr>
        <w:t>may </w:t>
      </w:r>
      <w:r>
        <w:rPr>
          <w:w w:val="105"/>
          <w:sz w:val="21"/>
        </w:rPr>
        <w:t>assist parties </w:t>
      </w:r>
      <w:r>
        <w:rPr>
          <w:spacing w:val="-3"/>
          <w:w w:val="105"/>
          <w:sz w:val="21"/>
        </w:rPr>
        <w:t>to reach </w:t>
      </w:r>
      <w:r>
        <w:rPr>
          <w:spacing w:val="-2"/>
          <w:w w:val="105"/>
          <w:sz w:val="21"/>
        </w:rPr>
        <w:t>agreement </w:t>
      </w:r>
      <w:r>
        <w:rPr>
          <w:w w:val="105"/>
          <w:sz w:val="21"/>
        </w:rPr>
        <w:t>out of the </w:t>
      </w:r>
      <w:r>
        <w:rPr>
          <w:spacing w:val="-3"/>
          <w:w w:val="105"/>
          <w:sz w:val="21"/>
        </w:rPr>
        <w:t>tribunal </w:t>
      </w:r>
      <w:r>
        <w:rPr>
          <w:w w:val="105"/>
          <w:sz w:val="21"/>
        </w:rPr>
        <w:t>process. See </w:t>
      </w:r>
      <w:r>
        <w:rPr>
          <w:spacing w:val="-4"/>
          <w:w w:val="105"/>
          <w:sz w:val="21"/>
        </w:rPr>
        <w:t>Chapter</w:t>
      </w:r>
      <w:r>
        <w:rPr>
          <w:spacing w:val="26"/>
          <w:w w:val="105"/>
          <w:sz w:val="21"/>
        </w:rPr>
        <w:t> </w:t>
      </w:r>
      <w:r>
        <w:rPr>
          <w:spacing w:val="-9"/>
          <w:w w:val="105"/>
          <w:sz w:val="21"/>
        </w:rPr>
        <w:t>12.</w:t>
      </w:r>
    </w:p>
    <w:p>
      <w:pPr>
        <w:pStyle w:val="BodyText"/>
        <w:spacing w:before="5"/>
        <w:rPr>
          <w:sz w:val="20"/>
        </w:rPr>
      </w:pPr>
    </w:p>
    <w:p>
      <w:pPr>
        <w:pStyle w:val="Heading5"/>
      </w:pPr>
      <w:r>
        <w:rPr>
          <w:w w:val="115"/>
        </w:rPr>
        <w:t>Community-based alternative dispute resolution</w:t>
      </w:r>
    </w:p>
    <w:p>
      <w:pPr>
        <w:pStyle w:val="ListParagraph"/>
        <w:numPr>
          <w:ilvl w:val="1"/>
          <w:numId w:val="99"/>
        </w:numPr>
        <w:tabs>
          <w:tab w:pos="2380" w:val="left" w:leader="none"/>
          <w:tab w:pos="2381" w:val="left" w:leader="none"/>
        </w:tabs>
        <w:spacing w:line="242" w:lineRule="auto" w:before="137" w:after="0"/>
        <w:ind w:left="2381" w:right="1626" w:hanging="794"/>
        <w:jc w:val="left"/>
        <w:rPr>
          <w:sz w:val="21"/>
        </w:rPr>
      </w:pPr>
      <w:r>
        <w:rPr>
          <w:sz w:val="21"/>
        </w:rPr>
        <w:t>The </w:t>
      </w:r>
      <w:r>
        <w:rPr>
          <w:spacing w:val="-3"/>
          <w:sz w:val="21"/>
        </w:rPr>
        <w:t>Commission </w:t>
      </w:r>
      <w:r>
        <w:rPr>
          <w:sz w:val="21"/>
        </w:rPr>
        <w:t>acknowledges the </w:t>
      </w:r>
      <w:r>
        <w:rPr>
          <w:spacing w:val="-3"/>
          <w:sz w:val="21"/>
        </w:rPr>
        <w:t>small </w:t>
      </w:r>
      <w:r>
        <w:rPr>
          <w:sz w:val="21"/>
        </w:rPr>
        <w:t>number of tree  </w:t>
      </w:r>
      <w:r>
        <w:rPr>
          <w:spacing w:val="-3"/>
          <w:sz w:val="21"/>
        </w:rPr>
        <w:t>disputes  currently  </w:t>
      </w:r>
      <w:r>
        <w:rPr>
          <w:sz w:val="21"/>
        </w:rPr>
        <w:t>resolved </w:t>
      </w:r>
      <w:r>
        <w:rPr>
          <w:spacing w:val="-3"/>
          <w:sz w:val="21"/>
        </w:rPr>
        <w:t>through </w:t>
      </w:r>
      <w:r>
        <w:rPr>
          <w:sz w:val="21"/>
        </w:rPr>
        <w:t>DSCV-led </w:t>
      </w:r>
      <w:r>
        <w:rPr>
          <w:spacing w:val="-3"/>
          <w:sz w:val="21"/>
        </w:rPr>
        <w:t>mediation. </w:t>
      </w:r>
      <w:r>
        <w:rPr>
          <w:sz w:val="21"/>
        </w:rPr>
        <w:t>Low resolution </w:t>
      </w:r>
      <w:r>
        <w:rPr>
          <w:spacing w:val="-3"/>
          <w:sz w:val="21"/>
        </w:rPr>
        <w:t>rates for </w:t>
      </w:r>
      <w:r>
        <w:rPr>
          <w:sz w:val="21"/>
        </w:rPr>
        <w:t>tree </w:t>
      </w:r>
      <w:r>
        <w:rPr>
          <w:spacing w:val="-3"/>
          <w:sz w:val="21"/>
        </w:rPr>
        <w:t>disputes </w:t>
      </w:r>
      <w:r>
        <w:rPr>
          <w:sz w:val="21"/>
        </w:rPr>
        <w:t>can be attributed </w:t>
      </w:r>
      <w:r>
        <w:rPr>
          <w:spacing w:val="-3"/>
          <w:sz w:val="21"/>
        </w:rPr>
        <w:t>to </w:t>
      </w:r>
      <w:r>
        <w:rPr>
          <w:sz w:val="21"/>
        </w:rPr>
        <w:t>a number of factors </w:t>
      </w:r>
      <w:r>
        <w:rPr>
          <w:spacing w:val="-3"/>
          <w:sz w:val="21"/>
        </w:rPr>
        <w:t>including unclear </w:t>
      </w:r>
      <w:r>
        <w:rPr>
          <w:sz w:val="21"/>
        </w:rPr>
        <w:t>rights and</w:t>
      </w:r>
      <w:r>
        <w:rPr>
          <w:spacing w:val="-8"/>
          <w:sz w:val="21"/>
        </w:rPr>
        <w:t> </w:t>
      </w:r>
      <w:r>
        <w:rPr>
          <w:spacing w:val="-3"/>
          <w:sz w:val="21"/>
        </w:rPr>
        <w:t>responsibilities.</w:t>
      </w:r>
    </w:p>
    <w:p>
      <w:pPr>
        <w:pStyle w:val="ListParagraph"/>
        <w:numPr>
          <w:ilvl w:val="1"/>
          <w:numId w:val="99"/>
        </w:numPr>
        <w:tabs>
          <w:tab w:pos="2380" w:val="left" w:leader="none"/>
          <w:tab w:pos="2381" w:val="left" w:leader="none"/>
        </w:tabs>
        <w:spacing w:line="242" w:lineRule="auto" w:before="124" w:after="0"/>
        <w:ind w:left="2381" w:right="2126" w:hanging="794"/>
        <w:jc w:val="left"/>
        <w:rPr>
          <w:sz w:val="21"/>
        </w:rPr>
      </w:pPr>
      <w:r>
        <w:rPr>
          <w:sz w:val="21"/>
        </w:rPr>
        <w:t>Mediation is a </w:t>
      </w:r>
      <w:r>
        <w:rPr>
          <w:spacing w:val="-3"/>
          <w:sz w:val="21"/>
        </w:rPr>
        <w:t>useful  </w:t>
      </w:r>
      <w:r>
        <w:rPr>
          <w:sz w:val="21"/>
        </w:rPr>
        <w:t>tool </w:t>
      </w:r>
      <w:r>
        <w:rPr>
          <w:spacing w:val="-3"/>
          <w:sz w:val="21"/>
        </w:rPr>
        <w:t>to</w:t>
      </w:r>
      <w:r>
        <w:rPr>
          <w:spacing w:val="41"/>
          <w:sz w:val="21"/>
        </w:rPr>
        <w:t> </w:t>
      </w:r>
      <w:r>
        <w:rPr>
          <w:sz w:val="21"/>
        </w:rPr>
        <w:t>resolve some tree </w:t>
      </w:r>
      <w:r>
        <w:rPr>
          <w:spacing w:val="-3"/>
          <w:sz w:val="21"/>
        </w:rPr>
        <w:t>disputes  </w:t>
      </w:r>
      <w:r>
        <w:rPr>
          <w:sz w:val="21"/>
        </w:rPr>
        <w:t>quickly and cost-effectively as </w:t>
      </w:r>
      <w:r>
        <w:rPr>
          <w:spacing w:val="-3"/>
          <w:sz w:val="21"/>
        </w:rPr>
        <w:t>illustrated </w:t>
      </w:r>
      <w:r>
        <w:rPr>
          <w:sz w:val="21"/>
        </w:rPr>
        <w:t>by DSCV examples of mediated </w:t>
      </w:r>
      <w:r>
        <w:rPr>
          <w:spacing w:val="-3"/>
          <w:sz w:val="21"/>
        </w:rPr>
        <w:t>outcomes noted above. </w:t>
      </w:r>
      <w:r>
        <w:rPr>
          <w:sz w:val="21"/>
        </w:rPr>
        <w:t>There</w:t>
      </w:r>
      <w:r>
        <w:rPr>
          <w:spacing w:val="9"/>
          <w:sz w:val="21"/>
        </w:rPr>
        <w:t> </w:t>
      </w:r>
      <w:r>
        <w:rPr>
          <w:spacing w:val="-3"/>
          <w:sz w:val="21"/>
        </w:rPr>
        <w:t>are clear</w:t>
      </w:r>
    </w:p>
    <w:p>
      <w:pPr>
        <w:pStyle w:val="BodyText"/>
        <w:spacing w:line="242" w:lineRule="auto" w:before="2"/>
        <w:ind w:left="2380" w:right="1636"/>
      </w:pPr>
      <w:r>
        <w:rPr>
          <w:w w:val="105"/>
        </w:rPr>
        <w:t>advantages of resolving a tree </w:t>
      </w:r>
      <w:r>
        <w:rPr>
          <w:spacing w:val="-3"/>
          <w:w w:val="105"/>
        </w:rPr>
        <w:t>dispute through </w:t>
      </w:r>
      <w:r>
        <w:rPr>
          <w:w w:val="105"/>
        </w:rPr>
        <w:t>ADR, </w:t>
      </w:r>
      <w:r>
        <w:rPr>
          <w:spacing w:val="-3"/>
          <w:w w:val="105"/>
        </w:rPr>
        <w:t>such </w:t>
      </w:r>
      <w:r>
        <w:rPr>
          <w:w w:val="105"/>
        </w:rPr>
        <w:t>as more flexible processes and </w:t>
      </w:r>
      <w:r>
        <w:rPr>
          <w:spacing w:val="-3"/>
          <w:w w:val="105"/>
        </w:rPr>
        <w:t>greater </w:t>
      </w:r>
      <w:r>
        <w:rPr>
          <w:w w:val="105"/>
        </w:rPr>
        <w:t>scope </w:t>
      </w:r>
      <w:r>
        <w:rPr>
          <w:spacing w:val="-3"/>
          <w:w w:val="105"/>
        </w:rPr>
        <w:t>to </w:t>
      </w:r>
      <w:r>
        <w:rPr>
          <w:w w:val="105"/>
        </w:rPr>
        <w:t>come up with </w:t>
      </w:r>
      <w:r>
        <w:rPr>
          <w:spacing w:val="-3"/>
          <w:w w:val="105"/>
        </w:rPr>
        <w:t>creative </w:t>
      </w:r>
      <w:r>
        <w:rPr>
          <w:w w:val="105"/>
        </w:rPr>
        <w:t>solutions </w:t>
      </w:r>
      <w:r>
        <w:rPr>
          <w:spacing w:val="-3"/>
          <w:w w:val="105"/>
        </w:rPr>
        <w:t>that </w:t>
      </w:r>
      <w:r>
        <w:rPr>
          <w:w w:val="105"/>
        </w:rPr>
        <w:t>both parties agree </w:t>
      </w:r>
      <w:r>
        <w:rPr>
          <w:spacing w:val="-4"/>
          <w:w w:val="105"/>
        </w:rPr>
        <w:t>to. </w:t>
      </w:r>
      <w:r>
        <w:rPr>
          <w:w w:val="105"/>
        </w:rPr>
        <w:t>Mediation</w:t>
      </w:r>
    </w:p>
    <w:p>
      <w:pPr>
        <w:pStyle w:val="BodyText"/>
        <w:spacing w:line="242" w:lineRule="auto" w:before="2"/>
        <w:ind w:left="2380" w:right="1755"/>
        <w:rPr>
          <w:sz w:val="12"/>
        </w:rPr>
      </w:pPr>
      <w:r>
        <w:rPr>
          <w:w w:val="105"/>
        </w:rPr>
        <w:t>is also </w:t>
      </w:r>
      <w:r>
        <w:rPr>
          <w:spacing w:val="-3"/>
          <w:w w:val="105"/>
        </w:rPr>
        <w:t>confidential. </w:t>
      </w:r>
      <w:r>
        <w:rPr>
          <w:w w:val="105"/>
        </w:rPr>
        <w:t>Any </w:t>
      </w:r>
      <w:r>
        <w:rPr>
          <w:spacing w:val="-2"/>
          <w:w w:val="105"/>
        </w:rPr>
        <w:t>agreement </w:t>
      </w:r>
      <w:r>
        <w:rPr>
          <w:spacing w:val="-3"/>
          <w:w w:val="105"/>
        </w:rPr>
        <w:t>that </w:t>
      </w:r>
      <w:r>
        <w:rPr>
          <w:w w:val="105"/>
        </w:rPr>
        <w:t>is </w:t>
      </w:r>
      <w:r>
        <w:rPr>
          <w:spacing w:val="-3"/>
          <w:w w:val="105"/>
        </w:rPr>
        <w:t>reached </w:t>
      </w:r>
      <w:r>
        <w:rPr>
          <w:w w:val="105"/>
        </w:rPr>
        <w:t>can also be </w:t>
      </w:r>
      <w:r>
        <w:rPr>
          <w:spacing w:val="-3"/>
          <w:w w:val="105"/>
        </w:rPr>
        <w:t>kept confidential </w:t>
      </w:r>
      <w:r>
        <w:rPr>
          <w:w w:val="105"/>
        </w:rPr>
        <w:t>by </w:t>
      </w:r>
      <w:r>
        <w:rPr>
          <w:spacing w:val="-2"/>
          <w:w w:val="105"/>
        </w:rPr>
        <w:t>agreement </w:t>
      </w:r>
      <w:r>
        <w:rPr>
          <w:w w:val="105"/>
        </w:rPr>
        <w:t>between the parties. The NSWLEC identified </w:t>
      </w:r>
      <w:r>
        <w:rPr>
          <w:spacing w:val="-3"/>
          <w:w w:val="105"/>
        </w:rPr>
        <w:t>that </w:t>
      </w:r>
      <w:r>
        <w:rPr>
          <w:spacing w:val="-2"/>
          <w:w w:val="105"/>
        </w:rPr>
        <w:t>agreement </w:t>
      </w:r>
      <w:r>
        <w:rPr>
          <w:w w:val="105"/>
        </w:rPr>
        <w:t>via ADR, </w:t>
      </w:r>
      <w:r>
        <w:rPr>
          <w:spacing w:val="-4"/>
          <w:w w:val="105"/>
        </w:rPr>
        <w:t>unlike </w:t>
      </w:r>
      <w:r>
        <w:rPr>
          <w:w w:val="105"/>
        </w:rPr>
        <w:t>court orders </w:t>
      </w:r>
      <w:r>
        <w:rPr>
          <w:spacing w:val="-3"/>
          <w:w w:val="105"/>
        </w:rPr>
        <w:t>resulting from </w:t>
      </w:r>
      <w:r>
        <w:rPr>
          <w:w w:val="105"/>
        </w:rPr>
        <w:t>legal action, </w:t>
      </w:r>
      <w:r>
        <w:rPr>
          <w:spacing w:val="-3"/>
          <w:w w:val="105"/>
        </w:rPr>
        <w:t>produces </w:t>
      </w:r>
      <w:r>
        <w:rPr>
          <w:w w:val="105"/>
        </w:rPr>
        <w:t>no </w:t>
      </w:r>
      <w:r>
        <w:rPr>
          <w:spacing w:val="-3"/>
          <w:w w:val="105"/>
        </w:rPr>
        <w:t>‘winner’ </w:t>
      </w:r>
      <w:r>
        <w:rPr>
          <w:w w:val="105"/>
        </w:rPr>
        <w:t>or </w:t>
      </w:r>
      <w:r>
        <w:rPr>
          <w:spacing w:val="-5"/>
          <w:w w:val="105"/>
        </w:rPr>
        <w:t>‘loser’, </w:t>
      </w:r>
      <w:r>
        <w:rPr>
          <w:w w:val="105"/>
        </w:rPr>
        <w:t>which is </w:t>
      </w:r>
      <w:r>
        <w:rPr>
          <w:spacing w:val="-3"/>
          <w:w w:val="105"/>
        </w:rPr>
        <w:t>helpful for </w:t>
      </w:r>
      <w:r>
        <w:rPr>
          <w:w w:val="105"/>
        </w:rPr>
        <w:t>preserving </w:t>
      </w:r>
      <w:r>
        <w:rPr>
          <w:spacing w:val="-3"/>
          <w:w w:val="105"/>
        </w:rPr>
        <w:t>relations </w:t>
      </w:r>
      <w:r>
        <w:rPr>
          <w:w w:val="105"/>
        </w:rPr>
        <w:t>between neighbours. It was suggested </w:t>
      </w:r>
      <w:r>
        <w:rPr>
          <w:spacing w:val="-3"/>
          <w:w w:val="105"/>
        </w:rPr>
        <w:t>that </w:t>
      </w:r>
      <w:r>
        <w:rPr>
          <w:w w:val="105"/>
        </w:rPr>
        <w:t>legal action which results in court orders </w:t>
      </w:r>
      <w:r>
        <w:rPr>
          <w:spacing w:val="-3"/>
          <w:w w:val="105"/>
        </w:rPr>
        <w:t>may have </w:t>
      </w:r>
      <w:r>
        <w:rPr>
          <w:w w:val="105"/>
        </w:rPr>
        <w:t>less scope </w:t>
      </w:r>
      <w:r>
        <w:rPr>
          <w:spacing w:val="-3"/>
          <w:w w:val="105"/>
        </w:rPr>
        <w:t>to </w:t>
      </w:r>
      <w:r>
        <w:rPr>
          <w:w w:val="105"/>
        </w:rPr>
        <w:t>resolve underlying </w:t>
      </w:r>
      <w:r>
        <w:rPr>
          <w:spacing w:val="-3"/>
          <w:w w:val="105"/>
        </w:rPr>
        <w:t>interpersonal </w:t>
      </w:r>
      <w:r>
        <w:rPr>
          <w:w w:val="105"/>
        </w:rPr>
        <w:t>issues between </w:t>
      </w:r>
      <w:r>
        <w:rPr>
          <w:spacing w:val="-3"/>
          <w:w w:val="105"/>
        </w:rPr>
        <w:t>neighbours.</w:t>
      </w:r>
      <w:r>
        <w:rPr>
          <w:spacing w:val="-3"/>
          <w:w w:val="105"/>
          <w:position w:val="7"/>
          <w:sz w:val="12"/>
        </w:rPr>
        <w:t>154</w:t>
      </w:r>
    </w:p>
    <w:p>
      <w:pPr>
        <w:pStyle w:val="ListParagraph"/>
        <w:numPr>
          <w:ilvl w:val="1"/>
          <w:numId w:val="99"/>
        </w:numPr>
        <w:tabs>
          <w:tab w:pos="2380" w:val="left" w:leader="none"/>
          <w:tab w:pos="2381" w:val="left" w:leader="none"/>
        </w:tabs>
        <w:spacing w:line="242" w:lineRule="auto" w:before="126" w:after="0"/>
        <w:ind w:left="2381" w:right="1593" w:hanging="794"/>
        <w:jc w:val="left"/>
        <w:rPr>
          <w:sz w:val="21"/>
        </w:rPr>
      </w:pPr>
      <w:r>
        <w:rPr>
          <w:spacing w:val="-4"/>
          <w:w w:val="105"/>
          <w:sz w:val="21"/>
        </w:rPr>
        <w:t>Clearer </w:t>
      </w:r>
      <w:r>
        <w:rPr>
          <w:w w:val="105"/>
          <w:sz w:val="21"/>
        </w:rPr>
        <w:t>laws </w:t>
      </w:r>
      <w:r>
        <w:rPr>
          <w:spacing w:val="-3"/>
          <w:w w:val="105"/>
          <w:sz w:val="21"/>
        </w:rPr>
        <w:t>will improve </w:t>
      </w:r>
      <w:r>
        <w:rPr>
          <w:w w:val="105"/>
          <w:sz w:val="21"/>
        </w:rPr>
        <w:t>the resolution </w:t>
      </w:r>
      <w:r>
        <w:rPr>
          <w:spacing w:val="-3"/>
          <w:w w:val="105"/>
          <w:sz w:val="21"/>
        </w:rPr>
        <w:t>rates for </w:t>
      </w:r>
      <w:r>
        <w:rPr>
          <w:w w:val="105"/>
          <w:sz w:val="21"/>
        </w:rPr>
        <w:t>community-based </w:t>
      </w:r>
      <w:r>
        <w:rPr>
          <w:spacing w:val="-3"/>
          <w:w w:val="105"/>
          <w:sz w:val="21"/>
        </w:rPr>
        <w:t>mediation. </w:t>
      </w:r>
      <w:r>
        <w:rPr>
          <w:w w:val="105"/>
          <w:sz w:val="21"/>
        </w:rPr>
        <w:t>The introduction of the new Act </w:t>
      </w:r>
      <w:r>
        <w:rPr>
          <w:spacing w:val="-3"/>
          <w:w w:val="105"/>
          <w:sz w:val="21"/>
        </w:rPr>
        <w:t>will </w:t>
      </w:r>
      <w:r>
        <w:rPr>
          <w:w w:val="105"/>
          <w:sz w:val="21"/>
        </w:rPr>
        <w:t>guide the community about how the law applies and address some of the </w:t>
      </w:r>
      <w:r>
        <w:rPr>
          <w:spacing w:val="-3"/>
          <w:w w:val="105"/>
          <w:sz w:val="21"/>
        </w:rPr>
        <w:t>concerns </w:t>
      </w:r>
      <w:r>
        <w:rPr>
          <w:spacing w:val="-2"/>
          <w:w w:val="105"/>
          <w:sz w:val="21"/>
        </w:rPr>
        <w:t>raised </w:t>
      </w:r>
      <w:r>
        <w:rPr>
          <w:w w:val="105"/>
          <w:sz w:val="21"/>
        </w:rPr>
        <w:t>by </w:t>
      </w:r>
      <w:r>
        <w:rPr>
          <w:spacing w:val="-5"/>
          <w:w w:val="105"/>
          <w:sz w:val="21"/>
        </w:rPr>
        <w:t>DSCV. </w:t>
      </w:r>
      <w:r>
        <w:rPr>
          <w:w w:val="105"/>
          <w:sz w:val="21"/>
        </w:rPr>
        <w:t>A new Act </w:t>
      </w:r>
      <w:r>
        <w:rPr>
          <w:spacing w:val="-3"/>
          <w:w w:val="105"/>
          <w:sz w:val="21"/>
        </w:rPr>
        <w:t>will </w:t>
      </w:r>
      <w:r>
        <w:rPr>
          <w:w w:val="105"/>
          <w:sz w:val="21"/>
        </w:rPr>
        <w:t>help </w:t>
      </w:r>
      <w:r>
        <w:rPr>
          <w:spacing w:val="-3"/>
          <w:w w:val="105"/>
          <w:sz w:val="21"/>
        </w:rPr>
        <w:t>reduce </w:t>
      </w:r>
      <w:r>
        <w:rPr>
          <w:w w:val="105"/>
          <w:sz w:val="21"/>
        </w:rPr>
        <w:t>the number of </w:t>
      </w:r>
      <w:r>
        <w:rPr>
          <w:spacing w:val="-3"/>
          <w:w w:val="105"/>
          <w:sz w:val="21"/>
        </w:rPr>
        <w:t>enquiries to </w:t>
      </w:r>
      <w:r>
        <w:rPr>
          <w:w w:val="105"/>
          <w:sz w:val="21"/>
        </w:rPr>
        <w:t>DSCV and assist DSCV </w:t>
      </w:r>
      <w:r>
        <w:rPr>
          <w:spacing w:val="-3"/>
          <w:w w:val="105"/>
          <w:sz w:val="21"/>
        </w:rPr>
        <w:t>to </w:t>
      </w:r>
      <w:r>
        <w:rPr>
          <w:w w:val="105"/>
          <w:sz w:val="21"/>
        </w:rPr>
        <w:t>resolve </w:t>
      </w:r>
      <w:r>
        <w:rPr>
          <w:spacing w:val="-3"/>
          <w:w w:val="105"/>
          <w:sz w:val="21"/>
        </w:rPr>
        <w:t>disputes that </w:t>
      </w:r>
      <w:r>
        <w:rPr>
          <w:w w:val="105"/>
          <w:sz w:val="21"/>
        </w:rPr>
        <w:t>progress </w:t>
      </w:r>
      <w:r>
        <w:rPr>
          <w:spacing w:val="-3"/>
          <w:w w:val="105"/>
          <w:sz w:val="21"/>
        </w:rPr>
        <w:t>through </w:t>
      </w:r>
      <w:r>
        <w:rPr>
          <w:w w:val="105"/>
          <w:sz w:val="21"/>
        </w:rPr>
        <w:t>its mediation service. The new Act </w:t>
      </w:r>
      <w:r>
        <w:rPr>
          <w:spacing w:val="-3"/>
          <w:w w:val="105"/>
          <w:sz w:val="21"/>
        </w:rPr>
        <w:t>will ensure that </w:t>
      </w:r>
      <w:r>
        <w:rPr>
          <w:w w:val="105"/>
          <w:sz w:val="21"/>
        </w:rPr>
        <w:t>parties participating in mediation outside the </w:t>
      </w:r>
      <w:r>
        <w:rPr>
          <w:spacing w:val="-5"/>
          <w:w w:val="105"/>
          <w:sz w:val="21"/>
        </w:rPr>
        <w:t>VCAT </w:t>
      </w:r>
      <w:r>
        <w:rPr>
          <w:w w:val="105"/>
          <w:sz w:val="21"/>
        </w:rPr>
        <w:t>process</w:t>
      </w:r>
      <w:r>
        <w:rPr>
          <w:spacing w:val="-5"/>
          <w:w w:val="105"/>
          <w:sz w:val="21"/>
        </w:rPr>
        <w:t> </w:t>
      </w:r>
      <w:r>
        <w:rPr>
          <w:spacing w:val="-3"/>
          <w:w w:val="105"/>
          <w:sz w:val="21"/>
        </w:rPr>
        <w:t>have</w:t>
      </w:r>
      <w:r>
        <w:rPr>
          <w:spacing w:val="-4"/>
          <w:w w:val="105"/>
          <w:sz w:val="21"/>
        </w:rPr>
        <w:t> </w:t>
      </w:r>
      <w:r>
        <w:rPr>
          <w:w w:val="105"/>
          <w:sz w:val="21"/>
        </w:rPr>
        <w:t>a</w:t>
      </w:r>
      <w:r>
        <w:rPr>
          <w:spacing w:val="-4"/>
          <w:w w:val="105"/>
          <w:sz w:val="21"/>
        </w:rPr>
        <w:t> </w:t>
      </w:r>
      <w:r>
        <w:rPr>
          <w:spacing w:val="-3"/>
          <w:w w:val="105"/>
          <w:sz w:val="21"/>
        </w:rPr>
        <w:t>greater</w:t>
      </w:r>
      <w:r>
        <w:rPr>
          <w:spacing w:val="-4"/>
          <w:w w:val="105"/>
          <w:sz w:val="21"/>
        </w:rPr>
        <w:t> </w:t>
      </w:r>
      <w:r>
        <w:rPr>
          <w:w w:val="105"/>
          <w:sz w:val="21"/>
        </w:rPr>
        <w:t>understanding</w:t>
      </w:r>
      <w:r>
        <w:rPr>
          <w:spacing w:val="-4"/>
          <w:w w:val="105"/>
          <w:sz w:val="21"/>
        </w:rPr>
        <w:t> </w:t>
      </w:r>
      <w:r>
        <w:rPr>
          <w:w w:val="105"/>
          <w:sz w:val="21"/>
        </w:rPr>
        <w:t>of</w:t>
      </w:r>
      <w:r>
        <w:rPr>
          <w:spacing w:val="-4"/>
          <w:w w:val="105"/>
          <w:sz w:val="21"/>
        </w:rPr>
        <w:t> </w:t>
      </w:r>
      <w:r>
        <w:rPr>
          <w:w w:val="105"/>
          <w:sz w:val="21"/>
        </w:rPr>
        <w:t>the</w:t>
      </w:r>
      <w:r>
        <w:rPr>
          <w:spacing w:val="-4"/>
          <w:w w:val="105"/>
          <w:sz w:val="21"/>
        </w:rPr>
        <w:t> </w:t>
      </w:r>
      <w:r>
        <w:rPr>
          <w:spacing w:val="-3"/>
          <w:w w:val="105"/>
          <w:sz w:val="21"/>
        </w:rPr>
        <w:t>way</w:t>
      </w:r>
      <w:r>
        <w:rPr>
          <w:spacing w:val="-4"/>
          <w:w w:val="105"/>
          <w:sz w:val="21"/>
        </w:rPr>
        <w:t> </w:t>
      </w:r>
      <w:r>
        <w:rPr>
          <w:w w:val="105"/>
          <w:sz w:val="21"/>
        </w:rPr>
        <w:t>a</w:t>
      </w:r>
      <w:r>
        <w:rPr>
          <w:spacing w:val="-4"/>
          <w:w w:val="105"/>
          <w:sz w:val="21"/>
        </w:rPr>
        <w:t> </w:t>
      </w:r>
      <w:r>
        <w:rPr>
          <w:w w:val="105"/>
          <w:sz w:val="21"/>
        </w:rPr>
        <w:t>matter</w:t>
      </w:r>
      <w:r>
        <w:rPr>
          <w:spacing w:val="-4"/>
          <w:w w:val="105"/>
          <w:sz w:val="21"/>
        </w:rPr>
        <w:t> </w:t>
      </w:r>
      <w:r>
        <w:rPr>
          <w:w w:val="105"/>
          <w:sz w:val="21"/>
        </w:rPr>
        <w:t>would</w:t>
      </w:r>
      <w:r>
        <w:rPr>
          <w:spacing w:val="-4"/>
          <w:w w:val="105"/>
          <w:sz w:val="21"/>
        </w:rPr>
        <w:t> </w:t>
      </w:r>
      <w:r>
        <w:rPr>
          <w:w w:val="105"/>
          <w:sz w:val="21"/>
        </w:rPr>
        <w:t>be</w:t>
      </w:r>
      <w:r>
        <w:rPr>
          <w:spacing w:val="-4"/>
          <w:w w:val="105"/>
          <w:sz w:val="21"/>
        </w:rPr>
        <w:t> </w:t>
      </w:r>
      <w:r>
        <w:rPr>
          <w:w w:val="105"/>
          <w:sz w:val="21"/>
        </w:rPr>
        <w:t>resolved</w:t>
      </w:r>
      <w:r>
        <w:rPr>
          <w:spacing w:val="-4"/>
          <w:w w:val="105"/>
          <w:sz w:val="21"/>
        </w:rPr>
        <w:t> </w:t>
      </w:r>
      <w:r>
        <w:rPr>
          <w:spacing w:val="-3"/>
          <w:w w:val="105"/>
          <w:sz w:val="21"/>
        </w:rPr>
        <w:t>within</w:t>
      </w:r>
      <w:r>
        <w:rPr>
          <w:spacing w:val="-4"/>
          <w:w w:val="105"/>
          <w:sz w:val="21"/>
        </w:rPr>
        <w:t> </w:t>
      </w:r>
      <w:r>
        <w:rPr>
          <w:spacing w:val="-5"/>
          <w:w w:val="105"/>
          <w:sz w:val="21"/>
        </w:rPr>
        <w:t>VCAT </w:t>
      </w:r>
      <w:r>
        <w:rPr>
          <w:w w:val="105"/>
          <w:sz w:val="21"/>
        </w:rPr>
        <w:t>and the </w:t>
      </w:r>
      <w:r>
        <w:rPr>
          <w:spacing w:val="-3"/>
          <w:w w:val="105"/>
          <w:sz w:val="21"/>
        </w:rPr>
        <w:t>range </w:t>
      </w:r>
      <w:r>
        <w:rPr>
          <w:w w:val="105"/>
          <w:sz w:val="21"/>
        </w:rPr>
        <w:t>of </w:t>
      </w:r>
      <w:r>
        <w:rPr>
          <w:spacing w:val="-4"/>
          <w:w w:val="105"/>
          <w:sz w:val="21"/>
        </w:rPr>
        <w:t>likely </w:t>
      </w:r>
      <w:r>
        <w:rPr>
          <w:w w:val="105"/>
          <w:sz w:val="21"/>
        </w:rPr>
        <w:t>orders. This </w:t>
      </w:r>
      <w:r>
        <w:rPr>
          <w:spacing w:val="-3"/>
          <w:w w:val="105"/>
          <w:sz w:val="21"/>
        </w:rPr>
        <w:t>will encourage </w:t>
      </w:r>
      <w:r>
        <w:rPr>
          <w:w w:val="105"/>
          <w:sz w:val="21"/>
        </w:rPr>
        <w:t>parties </w:t>
      </w:r>
      <w:r>
        <w:rPr>
          <w:spacing w:val="-3"/>
          <w:w w:val="105"/>
          <w:sz w:val="21"/>
        </w:rPr>
        <w:t>to </w:t>
      </w:r>
      <w:r>
        <w:rPr>
          <w:w w:val="105"/>
          <w:sz w:val="21"/>
        </w:rPr>
        <w:t>persevere with </w:t>
      </w:r>
      <w:r>
        <w:rPr>
          <w:spacing w:val="-3"/>
          <w:w w:val="105"/>
          <w:sz w:val="21"/>
        </w:rPr>
        <w:t>informal resolution.</w:t>
      </w:r>
    </w:p>
    <w:p>
      <w:pPr>
        <w:pStyle w:val="BodyText"/>
        <w:spacing w:before="7"/>
        <w:rPr>
          <w:sz w:val="11"/>
        </w:rPr>
      </w:pPr>
      <w:r>
        <w:rPr/>
        <w:pict>
          <v:line style="position:absolute;mso-position-horizontal-relative:page;mso-position-vertical-relative:paragraph;z-index:6032;mso-wrap-distance-left:0;mso-wrap-distance-right:0" from="79.370102pt,9.522377pt" to="515.905102pt,9.52237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02"/>
        </w:numPr>
        <w:tabs>
          <w:tab w:pos="2381" w:val="left" w:leader="none"/>
          <w:tab w:pos="2382" w:val="left" w:leader="none"/>
        </w:tabs>
        <w:spacing w:line="240" w:lineRule="auto" w:before="48" w:after="0"/>
        <w:ind w:left="2381" w:right="0" w:hanging="794"/>
        <w:jc w:val="left"/>
        <w:rPr>
          <w:sz w:val="13"/>
        </w:rPr>
      </w:pP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i/>
          <w:w w:val="105"/>
          <w:sz w:val="13"/>
        </w:rPr>
        <w:t>Civil</w:t>
      </w:r>
      <w:r>
        <w:rPr>
          <w:i/>
          <w:spacing w:val="5"/>
          <w:w w:val="105"/>
          <w:sz w:val="13"/>
        </w:rPr>
        <w:t> </w:t>
      </w:r>
      <w:r>
        <w:rPr>
          <w:i/>
          <w:w w:val="105"/>
          <w:sz w:val="13"/>
        </w:rPr>
        <w:t>Justice</w:t>
      </w:r>
      <w:r>
        <w:rPr>
          <w:i/>
          <w:spacing w:val="6"/>
          <w:w w:val="105"/>
          <w:sz w:val="13"/>
        </w:rPr>
        <w:t> </w:t>
      </w:r>
      <w:r>
        <w:rPr>
          <w:i/>
          <w:w w:val="105"/>
          <w:sz w:val="13"/>
        </w:rPr>
        <w:t>Review</w:t>
      </w:r>
      <w:r>
        <w:rPr>
          <w:i/>
          <w:spacing w:val="5"/>
          <w:w w:val="105"/>
          <w:sz w:val="13"/>
        </w:rPr>
        <w:t> </w:t>
      </w:r>
      <w:r>
        <w:rPr>
          <w:i/>
          <w:spacing w:val="2"/>
          <w:w w:val="105"/>
          <w:sz w:val="13"/>
        </w:rPr>
        <w:t>(Report</w:t>
      </w:r>
      <w:r>
        <w:rPr>
          <w:i/>
          <w:spacing w:val="5"/>
          <w:w w:val="105"/>
          <w:sz w:val="13"/>
        </w:rPr>
        <w:t> </w:t>
      </w:r>
      <w:r>
        <w:rPr>
          <w:i/>
          <w:w w:val="105"/>
          <w:sz w:val="13"/>
        </w:rPr>
        <w:t>No</w:t>
      </w:r>
      <w:r>
        <w:rPr>
          <w:i/>
          <w:spacing w:val="5"/>
          <w:w w:val="105"/>
          <w:sz w:val="13"/>
        </w:rPr>
        <w:t> </w:t>
      </w:r>
      <w:r>
        <w:rPr>
          <w:i/>
          <w:w w:val="105"/>
          <w:sz w:val="13"/>
        </w:rPr>
        <w:t>14,</w:t>
      </w:r>
      <w:r>
        <w:rPr>
          <w:i/>
          <w:spacing w:val="5"/>
          <w:w w:val="105"/>
          <w:sz w:val="13"/>
        </w:rPr>
        <w:t> </w:t>
      </w:r>
      <w:r>
        <w:rPr>
          <w:i/>
          <w:spacing w:val="2"/>
          <w:w w:val="105"/>
          <w:sz w:val="13"/>
        </w:rPr>
        <w:t>2008)</w:t>
      </w:r>
      <w:r>
        <w:rPr>
          <w:i/>
          <w:spacing w:val="5"/>
          <w:w w:val="105"/>
          <w:sz w:val="13"/>
        </w:rPr>
        <w:t> </w:t>
      </w:r>
      <w:r>
        <w:rPr>
          <w:w w:val="105"/>
          <w:sz w:val="13"/>
        </w:rPr>
        <w:t>[1.4].</w:t>
      </w:r>
    </w:p>
    <w:p>
      <w:pPr>
        <w:pStyle w:val="ListParagraph"/>
        <w:numPr>
          <w:ilvl w:val="0"/>
          <w:numId w:val="102"/>
        </w:numPr>
        <w:tabs>
          <w:tab w:pos="2381" w:val="left" w:leader="none"/>
          <w:tab w:pos="2382" w:val="left" w:leader="none"/>
        </w:tabs>
        <w:spacing w:line="240" w:lineRule="auto" w:before="1" w:after="0"/>
        <w:ind w:left="2381" w:right="0" w:hanging="794"/>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 2015) Recommendation</w:t>
      </w:r>
      <w:r>
        <w:rPr>
          <w:spacing w:val="13"/>
          <w:w w:val="105"/>
          <w:sz w:val="13"/>
        </w:rPr>
        <w:t> </w:t>
      </w:r>
      <w:r>
        <w:rPr>
          <w:spacing w:val="3"/>
          <w:w w:val="105"/>
          <w:sz w:val="13"/>
        </w:rPr>
        <w:t>4-4.</w:t>
      </w:r>
    </w:p>
    <w:p>
      <w:pPr>
        <w:pStyle w:val="ListParagraph"/>
        <w:numPr>
          <w:ilvl w:val="0"/>
          <w:numId w:val="102"/>
        </w:numPr>
        <w:tabs>
          <w:tab w:pos="2381" w:val="left" w:leader="none"/>
          <w:tab w:pos="2382" w:val="left" w:leader="none"/>
        </w:tabs>
        <w:spacing w:line="240" w:lineRule="auto" w:before="3"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3"/>
          <w:w w:val="105"/>
          <w:sz w:val="13"/>
        </w:rPr>
        <w:t> </w:t>
      </w:r>
      <w:r>
        <w:rPr>
          <w:w w:val="105"/>
          <w:sz w:val="13"/>
        </w:rPr>
        <w:t>Wales).</w:t>
      </w:r>
    </w:p>
    <w:p>
      <w:pPr>
        <w:pStyle w:val="BodyText"/>
        <w:spacing w:before="8"/>
        <w:rPr>
          <w:sz w:val="34"/>
        </w:rPr>
      </w:pPr>
      <w:r>
        <w:rPr/>
        <w:br w:type="column"/>
      </w:r>
      <w:r>
        <w:rPr>
          <w:sz w:val="34"/>
        </w:rPr>
      </w:r>
    </w:p>
    <w:p>
      <w:pPr>
        <w:spacing w:before="0"/>
        <w:ind w:left="1087" w:right="0" w:firstLine="0"/>
        <w:jc w:val="left"/>
        <w:rPr>
          <w:b/>
          <w:sz w:val="24"/>
        </w:rPr>
      </w:pPr>
      <w:r>
        <w:rPr>
          <w:b/>
          <w:color w:val="658464"/>
          <w:w w:val="110"/>
          <w:sz w:val="24"/>
        </w:rPr>
        <w:t>125</w:t>
      </w:r>
    </w:p>
    <w:p>
      <w:pPr>
        <w:spacing w:after="0"/>
        <w:jc w:val="left"/>
        <w:rPr>
          <w:sz w:val="24"/>
        </w:rPr>
        <w:sectPr>
          <w:type w:val="continuous"/>
          <w:pgSz w:w="11910" w:h="16840"/>
          <w:pgMar w:top="300" w:bottom="280" w:left="0" w:right="0"/>
          <w:cols w:num="2" w:equalWidth="0">
            <w:col w:w="9790" w:space="40"/>
            <w:col w:w="2080"/>
          </w:cols>
        </w:sectPr>
      </w:pPr>
    </w:p>
    <w:p>
      <w:pPr>
        <w:pStyle w:val="BodyText"/>
        <w:spacing w:before="9"/>
        <w:rPr>
          <w:b/>
          <w:sz w:val="22"/>
        </w:rPr>
      </w:pPr>
    </w:p>
    <w:p>
      <w:pPr>
        <w:pStyle w:val="ListParagraph"/>
        <w:numPr>
          <w:ilvl w:val="1"/>
          <w:numId w:val="99"/>
        </w:numPr>
        <w:tabs>
          <w:tab w:pos="2381" w:val="left" w:leader="none"/>
          <w:tab w:pos="2382" w:val="left" w:leader="none"/>
        </w:tabs>
        <w:spacing w:line="242" w:lineRule="auto" w:before="92" w:after="0"/>
        <w:ind w:left="2381" w:right="1933" w:hanging="794"/>
        <w:jc w:val="left"/>
        <w:rPr>
          <w:sz w:val="21"/>
        </w:rPr>
      </w:pPr>
      <w:r>
        <w:rPr>
          <w:w w:val="105"/>
          <w:sz w:val="21"/>
        </w:rPr>
        <w:t>The </w:t>
      </w:r>
      <w:r>
        <w:rPr>
          <w:spacing w:val="-3"/>
          <w:w w:val="105"/>
          <w:sz w:val="21"/>
        </w:rPr>
        <w:t>rate </w:t>
      </w:r>
      <w:r>
        <w:rPr>
          <w:w w:val="105"/>
          <w:sz w:val="21"/>
        </w:rPr>
        <w:t>of ADR outside the </w:t>
      </w:r>
      <w:r>
        <w:rPr>
          <w:spacing w:val="-5"/>
          <w:w w:val="105"/>
          <w:sz w:val="21"/>
        </w:rPr>
        <w:t>VCAT </w:t>
      </w:r>
      <w:r>
        <w:rPr>
          <w:w w:val="105"/>
          <w:sz w:val="21"/>
        </w:rPr>
        <w:t>process </w:t>
      </w:r>
      <w:r>
        <w:rPr>
          <w:spacing w:val="-3"/>
          <w:w w:val="105"/>
          <w:sz w:val="21"/>
        </w:rPr>
        <w:t>may </w:t>
      </w:r>
      <w:r>
        <w:rPr>
          <w:w w:val="105"/>
          <w:sz w:val="21"/>
        </w:rPr>
        <w:t>also be </w:t>
      </w:r>
      <w:r>
        <w:rPr>
          <w:spacing w:val="-3"/>
          <w:w w:val="105"/>
          <w:sz w:val="21"/>
        </w:rPr>
        <w:t>improved </w:t>
      </w:r>
      <w:r>
        <w:rPr>
          <w:w w:val="105"/>
          <w:sz w:val="21"/>
        </w:rPr>
        <w:t>if the supporting </w:t>
      </w:r>
      <w:r>
        <w:rPr>
          <w:spacing w:val="-3"/>
          <w:w w:val="105"/>
          <w:sz w:val="21"/>
        </w:rPr>
        <w:t>information for </w:t>
      </w:r>
      <w:r>
        <w:rPr>
          <w:w w:val="105"/>
          <w:sz w:val="21"/>
        </w:rPr>
        <w:t>the new Act clearly states </w:t>
      </w:r>
      <w:r>
        <w:rPr>
          <w:spacing w:val="-3"/>
          <w:w w:val="105"/>
          <w:sz w:val="21"/>
        </w:rPr>
        <w:t>that engaging </w:t>
      </w:r>
      <w:r>
        <w:rPr>
          <w:w w:val="105"/>
          <w:sz w:val="21"/>
        </w:rPr>
        <w:t>in mediation </w:t>
      </w:r>
      <w:r>
        <w:rPr>
          <w:spacing w:val="-3"/>
          <w:w w:val="105"/>
          <w:sz w:val="21"/>
        </w:rPr>
        <w:t>through </w:t>
      </w:r>
      <w:r>
        <w:rPr>
          <w:w w:val="105"/>
          <w:sz w:val="21"/>
        </w:rPr>
        <w:t>DSCV   is</w:t>
      </w:r>
      <w:r>
        <w:rPr>
          <w:spacing w:val="-10"/>
          <w:w w:val="105"/>
          <w:sz w:val="21"/>
        </w:rPr>
        <w:t> </w:t>
      </w:r>
      <w:r>
        <w:rPr>
          <w:w w:val="105"/>
          <w:sz w:val="21"/>
        </w:rPr>
        <w:t>one</w:t>
      </w:r>
      <w:r>
        <w:rPr>
          <w:spacing w:val="-9"/>
          <w:w w:val="105"/>
          <w:sz w:val="21"/>
        </w:rPr>
        <w:t> </w:t>
      </w:r>
      <w:r>
        <w:rPr>
          <w:w w:val="105"/>
          <w:sz w:val="21"/>
        </w:rPr>
        <w:t>of</w:t>
      </w:r>
      <w:r>
        <w:rPr>
          <w:spacing w:val="-10"/>
          <w:w w:val="105"/>
          <w:sz w:val="21"/>
        </w:rPr>
        <w:t> </w:t>
      </w:r>
      <w:r>
        <w:rPr>
          <w:w w:val="105"/>
          <w:sz w:val="21"/>
        </w:rPr>
        <w:t>the</w:t>
      </w:r>
      <w:r>
        <w:rPr>
          <w:spacing w:val="-9"/>
          <w:w w:val="105"/>
          <w:sz w:val="21"/>
        </w:rPr>
        <w:t> </w:t>
      </w:r>
      <w:r>
        <w:rPr>
          <w:w w:val="105"/>
          <w:sz w:val="21"/>
        </w:rPr>
        <w:t>ways</w:t>
      </w:r>
      <w:r>
        <w:rPr>
          <w:spacing w:val="-10"/>
          <w:w w:val="105"/>
          <w:sz w:val="21"/>
        </w:rPr>
        <w:t> </w:t>
      </w:r>
      <w:r>
        <w:rPr>
          <w:spacing w:val="-3"/>
          <w:w w:val="105"/>
          <w:sz w:val="21"/>
        </w:rPr>
        <w:t>that</w:t>
      </w:r>
      <w:r>
        <w:rPr>
          <w:spacing w:val="-9"/>
          <w:w w:val="105"/>
          <w:sz w:val="21"/>
        </w:rPr>
        <w:t> </w:t>
      </w:r>
      <w:r>
        <w:rPr>
          <w:w w:val="105"/>
          <w:sz w:val="21"/>
        </w:rPr>
        <w:t>neighbours</w:t>
      </w:r>
      <w:r>
        <w:rPr>
          <w:spacing w:val="-10"/>
          <w:w w:val="105"/>
          <w:sz w:val="21"/>
        </w:rPr>
        <w:t> </w:t>
      </w:r>
      <w:r>
        <w:rPr>
          <w:spacing w:val="-3"/>
          <w:w w:val="105"/>
          <w:sz w:val="21"/>
        </w:rPr>
        <w:t>may</w:t>
      </w:r>
      <w:r>
        <w:rPr>
          <w:spacing w:val="-9"/>
          <w:w w:val="105"/>
          <w:sz w:val="21"/>
        </w:rPr>
        <w:t> </w:t>
      </w:r>
      <w:r>
        <w:rPr>
          <w:w w:val="105"/>
          <w:sz w:val="21"/>
        </w:rPr>
        <w:t>choose</w:t>
      </w:r>
      <w:r>
        <w:rPr>
          <w:spacing w:val="-9"/>
          <w:w w:val="105"/>
          <w:sz w:val="21"/>
        </w:rPr>
        <w:t> </w:t>
      </w:r>
      <w:r>
        <w:rPr>
          <w:spacing w:val="-3"/>
          <w:w w:val="105"/>
          <w:sz w:val="21"/>
        </w:rPr>
        <w:t>to</w:t>
      </w:r>
      <w:r>
        <w:rPr>
          <w:spacing w:val="-10"/>
          <w:w w:val="105"/>
          <w:sz w:val="21"/>
        </w:rPr>
        <w:t> </w:t>
      </w:r>
      <w:r>
        <w:rPr>
          <w:spacing w:val="-3"/>
          <w:w w:val="105"/>
          <w:sz w:val="21"/>
        </w:rPr>
        <w:t>informally</w:t>
      </w:r>
      <w:r>
        <w:rPr>
          <w:spacing w:val="-9"/>
          <w:w w:val="105"/>
          <w:sz w:val="21"/>
        </w:rPr>
        <w:t> </w:t>
      </w:r>
      <w:r>
        <w:rPr>
          <w:w w:val="105"/>
          <w:sz w:val="21"/>
        </w:rPr>
        <w:t>resolve</w:t>
      </w:r>
      <w:r>
        <w:rPr>
          <w:spacing w:val="-10"/>
          <w:w w:val="105"/>
          <w:sz w:val="21"/>
        </w:rPr>
        <w:t> </w:t>
      </w:r>
      <w:r>
        <w:rPr>
          <w:w w:val="105"/>
          <w:sz w:val="21"/>
        </w:rPr>
        <w:t>their</w:t>
      </w:r>
      <w:r>
        <w:rPr>
          <w:spacing w:val="-9"/>
          <w:w w:val="105"/>
          <w:sz w:val="21"/>
        </w:rPr>
        <w:t> </w:t>
      </w:r>
      <w:r>
        <w:rPr>
          <w:w w:val="105"/>
          <w:sz w:val="21"/>
        </w:rPr>
        <w:t>tree</w:t>
      </w:r>
      <w:r>
        <w:rPr>
          <w:spacing w:val="-10"/>
          <w:w w:val="105"/>
          <w:sz w:val="21"/>
        </w:rPr>
        <w:t> </w:t>
      </w:r>
      <w:r>
        <w:rPr>
          <w:spacing w:val="-3"/>
          <w:w w:val="105"/>
          <w:sz w:val="21"/>
        </w:rPr>
        <w:t>dispute.</w:t>
      </w:r>
    </w:p>
    <w:p>
      <w:pPr>
        <w:pStyle w:val="BodyText"/>
        <w:spacing w:line="242" w:lineRule="auto" w:before="3"/>
        <w:ind w:left="2381" w:right="1657"/>
      </w:pPr>
      <w:r>
        <w:rPr>
          <w:w w:val="105"/>
        </w:rPr>
        <w:t>This would lift the public profile of the role of DSCV. Supporting information should also outline VCAT’s powers to refer parties to ADR in the formal tribunal process. This may also discourage parties from choosing to opt out of the informal mediation process.</w:t>
      </w:r>
    </w:p>
    <w:p>
      <w:pPr>
        <w:pStyle w:val="ListParagraph"/>
        <w:numPr>
          <w:ilvl w:val="1"/>
          <w:numId w:val="99"/>
        </w:numPr>
        <w:tabs>
          <w:tab w:pos="2381" w:val="left" w:leader="none"/>
          <w:tab w:pos="2382" w:val="left" w:leader="none"/>
        </w:tabs>
        <w:spacing w:line="242" w:lineRule="auto" w:before="123" w:after="0"/>
        <w:ind w:left="2381" w:right="1746" w:hanging="794"/>
        <w:jc w:val="left"/>
        <w:rPr>
          <w:sz w:val="21"/>
        </w:rPr>
      </w:pPr>
      <w:r>
        <w:rPr>
          <w:sz w:val="21"/>
        </w:rPr>
        <w:t>DSCV should work with </w:t>
      </w:r>
      <w:r>
        <w:rPr>
          <w:spacing w:val="-3"/>
          <w:sz w:val="21"/>
        </w:rPr>
        <w:t>professional arboricultural </w:t>
      </w:r>
      <w:r>
        <w:rPr>
          <w:sz w:val="21"/>
        </w:rPr>
        <w:t>associations </w:t>
      </w:r>
      <w:r>
        <w:rPr>
          <w:spacing w:val="-3"/>
          <w:sz w:val="21"/>
        </w:rPr>
        <w:t>to raise </w:t>
      </w:r>
      <w:r>
        <w:rPr>
          <w:sz w:val="21"/>
        </w:rPr>
        <w:t>awareness about </w:t>
      </w:r>
      <w:r>
        <w:rPr>
          <w:spacing w:val="-3"/>
          <w:sz w:val="21"/>
        </w:rPr>
        <w:t>DSCV’s </w:t>
      </w:r>
      <w:r>
        <w:rPr>
          <w:sz w:val="21"/>
        </w:rPr>
        <w:t>services so </w:t>
      </w:r>
      <w:r>
        <w:rPr>
          <w:spacing w:val="-3"/>
          <w:sz w:val="21"/>
        </w:rPr>
        <w:t>that </w:t>
      </w:r>
      <w:r>
        <w:rPr>
          <w:sz w:val="21"/>
        </w:rPr>
        <w:t>arborists can </w:t>
      </w:r>
      <w:r>
        <w:rPr>
          <w:spacing w:val="-3"/>
          <w:sz w:val="21"/>
        </w:rPr>
        <w:t>inform </w:t>
      </w:r>
      <w:r>
        <w:rPr>
          <w:sz w:val="21"/>
        </w:rPr>
        <w:t>neighbours and </w:t>
      </w:r>
      <w:r>
        <w:rPr>
          <w:spacing w:val="-3"/>
          <w:sz w:val="21"/>
        </w:rPr>
        <w:t>refer </w:t>
      </w:r>
      <w:r>
        <w:rPr>
          <w:sz w:val="21"/>
        </w:rPr>
        <w:t>them </w:t>
      </w:r>
      <w:r>
        <w:rPr>
          <w:spacing w:val="-3"/>
          <w:sz w:val="21"/>
        </w:rPr>
        <w:t>to </w:t>
      </w:r>
      <w:r>
        <w:rPr>
          <w:spacing w:val="-5"/>
          <w:sz w:val="21"/>
        </w:rPr>
        <w:t>DSCV. </w:t>
      </w:r>
      <w:r>
        <w:rPr>
          <w:sz w:val="21"/>
        </w:rPr>
        <w:t>See </w:t>
      </w:r>
      <w:r>
        <w:rPr>
          <w:spacing w:val="-4"/>
          <w:sz w:val="21"/>
        </w:rPr>
        <w:t>Chapter</w:t>
      </w:r>
      <w:r>
        <w:rPr>
          <w:spacing w:val="8"/>
          <w:sz w:val="21"/>
        </w:rPr>
        <w:t> </w:t>
      </w:r>
      <w:r>
        <w:rPr>
          <w:spacing w:val="-9"/>
          <w:sz w:val="21"/>
        </w:rPr>
        <w:t>12.</w:t>
      </w:r>
    </w:p>
    <w:p>
      <w:pPr>
        <w:pStyle w:val="ListParagraph"/>
        <w:numPr>
          <w:ilvl w:val="1"/>
          <w:numId w:val="99"/>
        </w:numPr>
        <w:tabs>
          <w:tab w:pos="2380" w:val="left" w:leader="none"/>
          <w:tab w:pos="2381" w:val="left" w:leader="none"/>
        </w:tabs>
        <w:spacing w:line="242" w:lineRule="auto" w:before="124" w:after="0"/>
        <w:ind w:left="2381" w:right="1793" w:hanging="794"/>
        <w:jc w:val="left"/>
        <w:rPr>
          <w:sz w:val="21"/>
        </w:rPr>
      </w:pPr>
      <w:r>
        <w:rPr>
          <w:w w:val="105"/>
          <w:sz w:val="21"/>
        </w:rPr>
        <w:t>The</w:t>
      </w:r>
      <w:r>
        <w:rPr>
          <w:spacing w:val="-6"/>
          <w:w w:val="105"/>
          <w:sz w:val="21"/>
        </w:rPr>
        <w:t> </w:t>
      </w:r>
      <w:r>
        <w:rPr>
          <w:w w:val="105"/>
          <w:sz w:val="21"/>
        </w:rPr>
        <w:t>new</w:t>
      </w:r>
      <w:r>
        <w:rPr>
          <w:spacing w:val="-6"/>
          <w:w w:val="105"/>
          <w:sz w:val="21"/>
        </w:rPr>
        <w:t> </w:t>
      </w:r>
      <w:r>
        <w:rPr>
          <w:w w:val="105"/>
          <w:sz w:val="21"/>
        </w:rPr>
        <w:t>Act</w:t>
      </w:r>
      <w:r>
        <w:rPr>
          <w:spacing w:val="-6"/>
          <w:w w:val="105"/>
          <w:sz w:val="21"/>
        </w:rPr>
        <w:t> </w:t>
      </w:r>
      <w:r>
        <w:rPr>
          <w:w w:val="105"/>
          <w:sz w:val="21"/>
        </w:rPr>
        <w:t>should</w:t>
      </w:r>
      <w:r>
        <w:rPr>
          <w:spacing w:val="-5"/>
          <w:w w:val="105"/>
          <w:sz w:val="21"/>
        </w:rPr>
        <w:t> </w:t>
      </w:r>
      <w:r>
        <w:rPr>
          <w:spacing w:val="-2"/>
          <w:w w:val="105"/>
          <w:sz w:val="21"/>
        </w:rPr>
        <w:t>not</w:t>
      </w:r>
      <w:r>
        <w:rPr>
          <w:spacing w:val="-6"/>
          <w:w w:val="105"/>
          <w:sz w:val="21"/>
        </w:rPr>
        <w:t> </w:t>
      </w:r>
      <w:r>
        <w:rPr>
          <w:w w:val="105"/>
          <w:sz w:val="21"/>
        </w:rPr>
        <w:t>compel</w:t>
      </w:r>
      <w:r>
        <w:rPr>
          <w:spacing w:val="-6"/>
          <w:w w:val="105"/>
          <w:sz w:val="21"/>
        </w:rPr>
        <w:t> </w:t>
      </w:r>
      <w:r>
        <w:rPr>
          <w:w w:val="105"/>
          <w:sz w:val="21"/>
        </w:rPr>
        <w:t>neighbours</w:t>
      </w:r>
      <w:r>
        <w:rPr>
          <w:spacing w:val="-5"/>
          <w:w w:val="105"/>
          <w:sz w:val="21"/>
        </w:rPr>
        <w:t> </w:t>
      </w:r>
      <w:r>
        <w:rPr>
          <w:spacing w:val="-3"/>
          <w:w w:val="105"/>
          <w:sz w:val="21"/>
        </w:rPr>
        <w:t>to</w:t>
      </w:r>
      <w:r>
        <w:rPr>
          <w:spacing w:val="-6"/>
          <w:w w:val="105"/>
          <w:sz w:val="21"/>
        </w:rPr>
        <w:t> </w:t>
      </w:r>
      <w:r>
        <w:rPr>
          <w:w w:val="105"/>
          <w:sz w:val="21"/>
        </w:rPr>
        <w:t>participate</w:t>
      </w:r>
      <w:r>
        <w:rPr>
          <w:spacing w:val="-6"/>
          <w:w w:val="105"/>
          <w:sz w:val="21"/>
        </w:rPr>
        <w:t> </w:t>
      </w:r>
      <w:r>
        <w:rPr>
          <w:w w:val="105"/>
          <w:sz w:val="21"/>
        </w:rPr>
        <w:t>in</w:t>
      </w:r>
      <w:r>
        <w:rPr>
          <w:spacing w:val="-5"/>
          <w:w w:val="105"/>
          <w:sz w:val="21"/>
        </w:rPr>
        <w:t> </w:t>
      </w:r>
      <w:r>
        <w:rPr>
          <w:spacing w:val="-3"/>
          <w:w w:val="105"/>
          <w:sz w:val="21"/>
        </w:rPr>
        <w:t>DSCV-facilitated</w:t>
      </w:r>
      <w:r>
        <w:rPr>
          <w:spacing w:val="-6"/>
          <w:w w:val="105"/>
          <w:sz w:val="21"/>
        </w:rPr>
        <w:t> </w:t>
      </w:r>
      <w:r>
        <w:rPr>
          <w:w w:val="105"/>
          <w:sz w:val="21"/>
        </w:rPr>
        <w:t>mediation outside the </w:t>
      </w:r>
      <w:r>
        <w:rPr>
          <w:spacing w:val="-3"/>
          <w:w w:val="105"/>
          <w:sz w:val="21"/>
        </w:rPr>
        <w:t>tribunal </w:t>
      </w:r>
      <w:r>
        <w:rPr>
          <w:w w:val="105"/>
          <w:sz w:val="21"/>
        </w:rPr>
        <w:t>process. </w:t>
      </w:r>
      <w:r>
        <w:rPr>
          <w:spacing w:val="-2"/>
          <w:w w:val="105"/>
          <w:sz w:val="21"/>
        </w:rPr>
        <w:t>Community-based </w:t>
      </w:r>
      <w:r>
        <w:rPr>
          <w:w w:val="105"/>
          <w:sz w:val="21"/>
        </w:rPr>
        <w:t>mediation is </w:t>
      </w:r>
      <w:r>
        <w:rPr>
          <w:spacing w:val="-5"/>
          <w:w w:val="105"/>
          <w:sz w:val="21"/>
        </w:rPr>
        <w:t>voluntary.</w:t>
      </w:r>
      <w:r>
        <w:rPr>
          <w:spacing w:val="-5"/>
          <w:w w:val="105"/>
          <w:position w:val="7"/>
          <w:sz w:val="12"/>
        </w:rPr>
        <w:t>155 </w:t>
      </w:r>
      <w:r>
        <w:rPr>
          <w:w w:val="105"/>
          <w:sz w:val="21"/>
        </w:rPr>
        <w:t>Any </w:t>
      </w:r>
      <w:r>
        <w:rPr>
          <w:spacing w:val="-3"/>
          <w:w w:val="105"/>
          <w:sz w:val="21"/>
        </w:rPr>
        <w:t>change compelling </w:t>
      </w:r>
      <w:r>
        <w:rPr>
          <w:w w:val="105"/>
          <w:sz w:val="21"/>
        </w:rPr>
        <w:t>people </w:t>
      </w:r>
      <w:r>
        <w:rPr>
          <w:spacing w:val="-3"/>
          <w:w w:val="105"/>
          <w:sz w:val="21"/>
        </w:rPr>
        <w:t>to take </w:t>
      </w:r>
      <w:r>
        <w:rPr>
          <w:w w:val="105"/>
          <w:sz w:val="21"/>
        </w:rPr>
        <w:t>part in </w:t>
      </w:r>
      <w:r>
        <w:rPr>
          <w:spacing w:val="-3"/>
          <w:w w:val="105"/>
          <w:sz w:val="21"/>
        </w:rPr>
        <w:t>mediation, </w:t>
      </w:r>
      <w:r>
        <w:rPr>
          <w:w w:val="105"/>
          <w:sz w:val="21"/>
        </w:rPr>
        <w:t>other </w:t>
      </w:r>
      <w:r>
        <w:rPr>
          <w:spacing w:val="-3"/>
          <w:w w:val="105"/>
          <w:sz w:val="21"/>
        </w:rPr>
        <w:t>than </w:t>
      </w:r>
      <w:r>
        <w:rPr>
          <w:w w:val="105"/>
          <w:sz w:val="21"/>
        </w:rPr>
        <w:t>as part of ADR ordered by a court or </w:t>
      </w:r>
      <w:r>
        <w:rPr>
          <w:spacing w:val="-3"/>
          <w:w w:val="105"/>
          <w:sz w:val="21"/>
        </w:rPr>
        <w:t>tribunal, </w:t>
      </w:r>
      <w:r>
        <w:rPr>
          <w:w w:val="105"/>
          <w:sz w:val="21"/>
        </w:rPr>
        <w:t>would </w:t>
      </w:r>
      <w:r>
        <w:rPr>
          <w:spacing w:val="-3"/>
          <w:w w:val="105"/>
          <w:sz w:val="21"/>
        </w:rPr>
        <w:t>change </w:t>
      </w:r>
      <w:r>
        <w:rPr>
          <w:w w:val="105"/>
          <w:sz w:val="21"/>
        </w:rPr>
        <w:t>the </w:t>
      </w:r>
      <w:r>
        <w:rPr>
          <w:spacing w:val="-3"/>
          <w:w w:val="105"/>
          <w:sz w:val="21"/>
        </w:rPr>
        <w:t>nature </w:t>
      </w:r>
      <w:r>
        <w:rPr>
          <w:w w:val="105"/>
          <w:sz w:val="21"/>
        </w:rPr>
        <w:t>of </w:t>
      </w:r>
      <w:r>
        <w:rPr>
          <w:spacing w:val="-3"/>
          <w:w w:val="105"/>
          <w:sz w:val="21"/>
        </w:rPr>
        <w:t>informal </w:t>
      </w:r>
      <w:r>
        <w:rPr>
          <w:w w:val="105"/>
          <w:sz w:val="21"/>
        </w:rPr>
        <w:t>community-based</w:t>
      </w:r>
      <w:r>
        <w:rPr>
          <w:spacing w:val="-2"/>
          <w:w w:val="105"/>
          <w:sz w:val="21"/>
        </w:rPr>
        <w:t> </w:t>
      </w:r>
      <w:r>
        <w:rPr>
          <w:spacing w:val="-3"/>
          <w:w w:val="105"/>
          <w:sz w:val="21"/>
        </w:rPr>
        <w:t>mediation.</w:t>
      </w:r>
    </w:p>
    <w:p>
      <w:pPr>
        <w:pStyle w:val="ListParagraph"/>
        <w:numPr>
          <w:ilvl w:val="1"/>
          <w:numId w:val="99"/>
        </w:numPr>
        <w:tabs>
          <w:tab w:pos="2380" w:val="left" w:leader="none"/>
          <w:tab w:pos="2382" w:val="left" w:leader="none"/>
        </w:tabs>
        <w:spacing w:line="242" w:lineRule="auto" w:before="124" w:after="0"/>
        <w:ind w:left="2381" w:right="1776" w:hanging="794"/>
        <w:jc w:val="left"/>
        <w:rPr>
          <w:sz w:val="12"/>
        </w:rPr>
      </w:pPr>
      <w:r>
        <w:rPr>
          <w:w w:val="105"/>
          <w:sz w:val="21"/>
        </w:rPr>
        <w:t>In </w:t>
      </w:r>
      <w:r>
        <w:rPr>
          <w:spacing w:val="-3"/>
          <w:w w:val="105"/>
          <w:sz w:val="21"/>
        </w:rPr>
        <w:t>many situations, </w:t>
      </w:r>
      <w:r>
        <w:rPr>
          <w:w w:val="105"/>
          <w:sz w:val="21"/>
        </w:rPr>
        <w:t>community-based mediation </w:t>
      </w:r>
      <w:r>
        <w:rPr>
          <w:spacing w:val="-3"/>
          <w:w w:val="105"/>
          <w:sz w:val="21"/>
        </w:rPr>
        <w:t>may </w:t>
      </w:r>
      <w:r>
        <w:rPr>
          <w:spacing w:val="-2"/>
          <w:w w:val="105"/>
          <w:sz w:val="21"/>
        </w:rPr>
        <w:t>not </w:t>
      </w:r>
      <w:r>
        <w:rPr>
          <w:w w:val="105"/>
          <w:sz w:val="21"/>
        </w:rPr>
        <w:t>be </w:t>
      </w:r>
      <w:r>
        <w:rPr>
          <w:spacing w:val="-3"/>
          <w:w w:val="105"/>
          <w:sz w:val="21"/>
        </w:rPr>
        <w:t>helpful. </w:t>
      </w:r>
      <w:r>
        <w:rPr>
          <w:w w:val="105"/>
          <w:sz w:val="21"/>
        </w:rPr>
        <w:t>In </w:t>
      </w:r>
      <w:r>
        <w:rPr>
          <w:spacing w:val="-3"/>
          <w:w w:val="105"/>
          <w:sz w:val="21"/>
        </w:rPr>
        <w:t>Queensland </w:t>
      </w:r>
      <w:r>
        <w:rPr>
          <w:w w:val="105"/>
          <w:sz w:val="21"/>
        </w:rPr>
        <w:t>anecdotal evidence suggests </w:t>
      </w:r>
      <w:r>
        <w:rPr>
          <w:spacing w:val="-3"/>
          <w:w w:val="105"/>
          <w:sz w:val="21"/>
        </w:rPr>
        <w:t>that </w:t>
      </w:r>
      <w:r>
        <w:rPr>
          <w:w w:val="105"/>
          <w:sz w:val="21"/>
        </w:rPr>
        <w:t>a </w:t>
      </w:r>
      <w:r>
        <w:rPr>
          <w:spacing w:val="-3"/>
          <w:w w:val="105"/>
          <w:sz w:val="21"/>
        </w:rPr>
        <w:t>reasonably high </w:t>
      </w:r>
      <w:r>
        <w:rPr>
          <w:w w:val="105"/>
          <w:sz w:val="21"/>
        </w:rPr>
        <w:t>number of applicants in </w:t>
      </w:r>
      <w:r>
        <w:rPr>
          <w:spacing w:val="-4"/>
          <w:w w:val="105"/>
          <w:sz w:val="21"/>
        </w:rPr>
        <w:t>QCAT </w:t>
      </w:r>
      <w:r>
        <w:rPr>
          <w:spacing w:val="-3"/>
          <w:w w:val="105"/>
          <w:sz w:val="21"/>
        </w:rPr>
        <w:t>have </w:t>
      </w:r>
      <w:r>
        <w:rPr>
          <w:w w:val="105"/>
          <w:sz w:val="21"/>
        </w:rPr>
        <w:t>attempted</w:t>
      </w:r>
      <w:r>
        <w:rPr>
          <w:spacing w:val="-7"/>
          <w:w w:val="105"/>
          <w:sz w:val="21"/>
        </w:rPr>
        <w:t> </w:t>
      </w:r>
      <w:r>
        <w:rPr>
          <w:spacing w:val="-3"/>
          <w:w w:val="105"/>
          <w:sz w:val="21"/>
        </w:rPr>
        <w:t>to</w:t>
      </w:r>
      <w:r>
        <w:rPr>
          <w:spacing w:val="-6"/>
          <w:w w:val="105"/>
          <w:sz w:val="21"/>
        </w:rPr>
        <w:t> </w:t>
      </w:r>
      <w:r>
        <w:rPr>
          <w:w w:val="105"/>
          <w:sz w:val="21"/>
        </w:rPr>
        <w:t>resolve</w:t>
      </w:r>
      <w:r>
        <w:rPr>
          <w:spacing w:val="-6"/>
          <w:w w:val="105"/>
          <w:sz w:val="21"/>
        </w:rPr>
        <w:t> </w:t>
      </w:r>
      <w:r>
        <w:rPr>
          <w:w w:val="105"/>
          <w:sz w:val="21"/>
        </w:rPr>
        <w:t>their</w:t>
      </w:r>
      <w:r>
        <w:rPr>
          <w:spacing w:val="-6"/>
          <w:w w:val="105"/>
          <w:sz w:val="21"/>
        </w:rPr>
        <w:t> </w:t>
      </w:r>
      <w:r>
        <w:rPr>
          <w:w w:val="105"/>
          <w:sz w:val="21"/>
        </w:rPr>
        <w:t>matter</w:t>
      </w:r>
      <w:r>
        <w:rPr>
          <w:spacing w:val="-7"/>
          <w:w w:val="105"/>
          <w:sz w:val="21"/>
        </w:rPr>
        <w:t> </w:t>
      </w:r>
      <w:r>
        <w:rPr>
          <w:spacing w:val="-3"/>
          <w:w w:val="105"/>
          <w:sz w:val="21"/>
        </w:rPr>
        <w:t>through</w:t>
      </w:r>
      <w:r>
        <w:rPr>
          <w:spacing w:val="-6"/>
          <w:w w:val="105"/>
          <w:sz w:val="21"/>
        </w:rPr>
        <w:t> </w:t>
      </w:r>
      <w:r>
        <w:rPr>
          <w:w w:val="105"/>
          <w:sz w:val="21"/>
        </w:rPr>
        <w:t>free</w:t>
      </w:r>
      <w:r>
        <w:rPr>
          <w:spacing w:val="-6"/>
          <w:w w:val="105"/>
          <w:sz w:val="21"/>
        </w:rPr>
        <w:t> </w:t>
      </w:r>
      <w:r>
        <w:rPr>
          <w:w w:val="105"/>
          <w:sz w:val="21"/>
        </w:rPr>
        <w:t>mediation</w:t>
      </w:r>
      <w:r>
        <w:rPr>
          <w:spacing w:val="-6"/>
          <w:w w:val="105"/>
          <w:sz w:val="21"/>
        </w:rPr>
        <w:t> </w:t>
      </w:r>
      <w:r>
        <w:rPr>
          <w:spacing w:val="-3"/>
          <w:w w:val="105"/>
          <w:sz w:val="21"/>
        </w:rPr>
        <w:t>before</w:t>
      </w:r>
      <w:r>
        <w:rPr>
          <w:spacing w:val="-6"/>
          <w:w w:val="105"/>
          <w:sz w:val="21"/>
        </w:rPr>
        <w:t> </w:t>
      </w:r>
      <w:r>
        <w:rPr>
          <w:spacing w:val="-3"/>
          <w:w w:val="105"/>
          <w:sz w:val="21"/>
        </w:rPr>
        <w:t>proceeding</w:t>
      </w:r>
      <w:r>
        <w:rPr>
          <w:spacing w:val="-7"/>
          <w:w w:val="105"/>
          <w:sz w:val="21"/>
        </w:rPr>
        <w:t> </w:t>
      </w:r>
      <w:r>
        <w:rPr>
          <w:spacing w:val="-3"/>
          <w:w w:val="105"/>
          <w:sz w:val="21"/>
        </w:rPr>
        <w:t>to</w:t>
      </w:r>
      <w:r>
        <w:rPr>
          <w:spacing w:val="-6"/>
          <w:w w:val="105"/>
          <w:sz w:val="21"/>
        </w:rPr>
        <w:t> </w:t>
      </w:r>
      <w:r>
        <w:rPr>
          <w:spacing w:val="-7"/>
          <w:w w:val="105"/>
          <w:sz w:val="21"/>
        </w:rPr>
        <w:t>QCAT.</w:t>
      </w:r>
      <w:r>
        <w:rPr>
          <w:spacing w:val="-7"/>
          <w:w w:val="105"/>
          <w:position w:val="7"/>
          <w:sz w:val="12"/>
        </w:rPr>
        <w:t>156</w:t>
      </w:r>
      <w:r>
        <w:rPr>
          <w:spacing w:val="-7"/>
          <w:w w:val="105"/>
          <w:sz w:val="12"/>
        </w:rPr>
        <w:t> </w:t>
      </w:r>
      <w:r>
        <w:rPr>
          <w:w w:val="105"/>
          <w:sz w:val="21"/>
        </w:rPr>
        <w:t>Of </w:t>
      </w:r>
      <w:r>
        <w:rPr>
          <w:spacing w:val="-3"/>
          <w:w w:val="105"/>
          <w:sz w:val="21"/>
        </w:rPr>
        <w:t>these, </w:t>
      </w:r>
      <w:r>
        <w:rPr>
          <w:w w:val="105"/>
          <w:sz w:val="21"/>
        </w:rPr>
        <w:t>a </w:t>
      </w:r>
      <w:r>
        <w:rPr>
          <w:spacing w:val="-3"/>
          <w:w w:val="105"/>
          <w:sz w:val="21"/>
        </w:rPr>
        <w:t>considerable </w:t>
      </w:r>
      <w:r>
        <w:rPr>
          <w:w w:val="105"/>
          <w:sz w:val="21"/>
        </w:rPr>
        <w:t>number of people report </w:t>
      </w:r>
      <w:r>
        <w:rPr>
          <w:spacing w:val="-3"/>
          <w:w w:val="105"/>
          <w:sz w:val="21"/>
        </w:rPr>
        <w:t>that </w:t>
      </w:r>
      <w:r>
        <w:rPr>
          <w:w w:val="105"/>
          <w:sz w:val="21"/>
        </w:rPr>
        <w:t>their </w:t>
      </w:r>
      <w:r>
        <w:rPr>
          <w:spacing w:val="-3"/>
          <w:w w:val="105"/>
          <w:sz w:val="21"/>
        </w:rPr>
        <w:t>neighbour ignored any </w:t>
      </w:r>
      <w:r>
        <w:rPr>
          <w:spacing w:val="-2"/>
          <w:w w:val="105"/>
          <w:sz w:val="21"/>
        </w:rPr>
        <w:t>agreement </w:t>
      </w:r>
      <w:r>
        <w:rPr>
          <w:spacing w:val="-3"/>
          <w:w w:val="105"/>
          <w:sz w:val="21"/>
        </w:rPr>
        <w:t>reached. </w:t>
      </w:r>
      <w:r>
        <w:rPr>
          <w:w w:val="105"/>
          <w:sz w:val="21"/>
        </w:rPr>
        <w:t>The NSWLEC also </w:t>
      </w:r>
      <w:r>
        <w:rPr>
          <w:spacing w:val="-3"/>
          <w:w w:val="105"/>
          <w:sz w:val="21"/>
        </w:rPr>
        <w:t>noted that many </w:t>
      </w:r>
      <w:r>
        <w:rPr>
          <w:w w:val="105"/>
          <w:sz w:val="21"/>
        </w:rPr>
        <w:t>applicants </w:t>
      </w:r>
      <w:r>
        <w:rPr>
          <w:spacing w:val="-2"/>
          <w:w w:val="105"/>
          <w:sz w:val="21"/>
        </w:rPr>
        <w:t>had </w:t>
      </w:r>
      <w:r>
        <w:rPr>
          <w:spacing w:val="-3"/>
          <w:w w:val="105"/>
          <w:sz w:val="21"/>
        </w:rPr>
        <w:t>unsuccessfully </w:t>
      </w:r>
      <w:r>
        <w:rPr>
          <w:w w:val="105"/>
          <w:sz w:val="21"/>
        </w:rPr>
        <w:t>attempted mediation </w:t>
      </w:r>
      <w:r>
        <w:rPr>
          <w:spacing w:val="-3"/>
          <w:w w:val="105"/>
          <w:sz w:val="21"/>
        </w:rPr>
        <w:t>through</w:t>
      </w:r>
      <w:r>
        <w:rPr>
          <w:spacing w:val="16"/>
          <w:w w:val="105"/>
          <w:sz w:val="21"/>
        </w:rPr>
        <w:t> </w:t>
      </w:r>
      <w:r>
        <w:rPr>
          <w:spacing w:val="-5"/>
          <w:w w:val="105"/>
          <w:sz w:val="21"/>
        </w:rPr>
        <w:t>CJCs.</w:t>
      </w:r>
      <w:r>
        <w:rPr>
          <w:spacing w:val="-5"/>
          <w:w w:val="105"/>
          <w:position w:val="7"/>
          <w:sz w:val="12"/>
        </w:rPr>
        <w:t>157</w:t>
      </w:r>
    </w:p>
    <w:p>
      <w:pPr>
        <w:pStyle w:val="ListParagraph"/>
        <w:numPr>
          <w:ilvl w:val="1"/>
          <w:numId w:val="99"/>
        </w:numPr>
        <w:tabs>
          <w:tab w:pos="2381" w:val="left" w:leader="none"/>
          <w:tab w:pos="2382" w:val="left" w:leader="none"/>
        </w:tabs>
        <w:spacing w:line="242" w:lineRule="auto" w:before="126" w:after="0"/>
        <w:ind w:left="2381" w:right="1748" w:hanging="794"/>
        <w:jc w:val="left"/>
        <w:rPr>
          <w:sz w:val="21"/>
        </w:rPr>
      </w:pPr>
      <w:r>
        <w:rPr>
          <w:spacing w:val="-3"/>
          <w:w w:val="105"/>
          <w:sz w:val="21"/>
        </w:rPr>
        <w:t>Even so, </w:t>
      </w:r>
      <w:r>
        <w:rPr>
          <w:w w:val="105"/>
          <w:sz w:val="21"/>
        </w:rPr>
        <w:t>a partially </w:t>
      </w:r>
      <w:r>
        <w:rPr>
          <w:spacing w:val="-3"/>
          <w:w w:val="105"/>
          <w:sz w:val="21"/>
        </w:rPr>
        <w:t>successful </w:t>
      </w:r>
      <w:r>
        <w:rPr>
          <w:w w:val="105"/>
          <w:sz w:val="21"/>
        </w:rPr>
        <w:t>community-based mediation </w:t>
      </w:r>
      <w:r>
        <w:rPr>
          <w:spacing w:val="-3"/>
          <w:w w:val="105"/>
          <w:sz w:val="21"/>
        </w:rPr>
        <w:t>may </w:t>
      </w:r>
      <w:r>
        <w:rPr>
          <w:w w:val="105"/>
          <w:sz w:val="21"/>
        </w:rPr>
        <w:t>help parties </w:t>
      </w:r>
      <w:r>
        <w:rPr>
          <w:spacing w:val="-3"/>
          <w:w w:val="105"/>
          <w:sz w:val="21"/>
        </w:rPr>
        <w:t>to narrow </w:t>
      </w:r>
      <w:r>
        <w:rPr>
          <w:w w:val="105"/>
          <w:sz w:val="21"/>
        </w:rPr>
        <w:t>the issues in </w:t>
      </w:r>
      <w:r>
        <w:rPr>
          <w:spacing w:val="-3"/>
          <w:w w:val="105"/>
          <w:sz w:val="21"/>
        </w:rPr>
        <w:t>dispute for </w:t>
      </w:r>
      <w:r>
        <w:rPr>
          <w:w w:val="105"/>
          <w:sz w:val="21"/>
        </w:rPr>
        <w:t>a </w:t>
      </w:r>
      <w:r>
        <w:rPr>
          <w:spacing w:val="-3"/>
          <w:w w:val="105"/>
          <w:sz w:val="21"/>
        </w:rPr>
        <w:t>subsequent </w:t>
      </w:r>
      <w:r>
        <w:rPr>
          <w:spacing w:val="-5"/>
          <w:w w:val="105"/>
          <w:sz w:val="21"/>
        </w:rPr>
        <w:t>VCAT </w:t>
      </w:r>
      <w:r>
        <w:rPr>
          <w:spacing w:val="-3"/>
          <w:w w:val="105"/>
          <w:sz w:val="21"/>
        </w:rPr>
        <w:t>hearing. </w:t>
      </w:r>
      <w:r>
        <w:rPr>
          <w:w w:val="105"/>
          <w:sz w:val="21"/>
        </w:rPr>
        <w:t>The </w:t>
      </w:r>
      <w:r>
        <w:rPr>
          <w:spacing w:val="-3"/>
          <w:w w:val="105"/>
          <w:sz w:val="21"/>
        </w:rPr>
        <w:t>Commission </w:t>
      </w:r>
      <w:r>
        <w:rPr>
          <w:w w:val="105"/>
          <w:sz w:val="21"/>
        </w:rPr>
        <w:t>is of the view </w:t>
      </w:r>
      <w:r>
        <w:rPr>
          <w:spacing w:val="-3"/>
          <w:w w:val="105"/>
          <w:sz w:val="21"/>
        </w:rPr>
        <w:t>that formal </w:t>
      </w:r>
      <w:r>
        <w:rPr>
          <w:w w:val="105"/>
          <w:sz w:val="21"/>
        </w:rPr>
        <w:t>tribunal-ordered mediation </w:t>
      </w:r>
      <w:r>
        <w:rPr>
          <w:spacing w:val="-3"/>
          <w:w w:val="105"/>
          <w:sz w:val="21"/>
        </w:rPr>
        <w:t>may </w:t>
      </w:r>
      <w:r>
        <w:rPr>
          <w:w w:val="105"/>
          <w:sz w:val="21"/>
        </w:rPr>
        <w:t>still be </w:t>
      </w:r>
      <w:r>
        <w:rPr>
          <w:spacing w:val="-3"/>
          <w:w w:val="105"/>
          <w:sz w:val="21"/>
        </w:rPr>
        <w:t>appropriate </w:t>
      </w:r>
      <w:r>
        <w:rPr>
          <w:w w:val="105"/>
          <w:sz w:val="21"/>
        </w:rPr>
        <w:t>and </w:t>
      </w:r>
      <w:r>
        <w:rPr>
          <w:spacing w:val="-3"/>
          <w:w w:val="105"/>
          <w:sz w:val="21"/>
        </w:rPr>
        <w:t>successful </w:t>
      </w:r>
      <w:r>
        <w:rPr>
          <w:w w:val="105"/>
          <w:sz w:val="21"/>
        </w:rPr>
        <w:t>even where community-based mediation was </w:t>
      </w:r>
      <w:r>
        <w:rPr>
          <w:spacing w:val="-3"/>
          <w:w w:val="105"/>
          <w:sz w:val="21"/>
        </w:rPr>
        <w:t>not. </w:t>
      </w:r>
      <w:r>
        <w:rPr>
          <w:w w:val="105"/>
          <w:sz w:val="21"/>
        </w:rPr>
        <w:t>See </w:t>
      </w:r>
      <w:r>
        <w:rPr>
          <w:spacing w:val="-4"/>
          <w:w w:val="105"/>
          <w:sz w:val="21"/>
        </w:rPr>
        <w:t>Chapter </w:t>
      </w:r>
      <w:r>
        <w:rPr>
          <w:w w:val="105"/>
          <w:sz w:val="21"/>
        </w:rPr>
        <w:t>7 </w:t>
      </w:r>
      <w:r>
        <w:rPr>
          <w:spacing w:val="-3"/>
          <w:w w:val="105"/>
          <w:sz w:val="21"/>
        </w:rPr>
        <w:t>for </w:t>
      </w:r>
      <w:r>
        <w:rPr>
          <w:w w:val="105"/>
          <w:sz w:val="21"/>
        </w:rPr>
        <w:t>a discussion on </w:t>
      </w:r>
      <w:r>
        <w:rPr>
          <w:spacing w:val="-5"/>
          <w:w w:val="105"/>
          <w:sz w:val="21"/>
        </w:rPr>
        <w:t>Tribunal </w:t>
      </w:r>
      <w:r>
        <w:rPr>
          <w:w w:val="105"/>
          <w:sz w:val="21"/>
        </w:rPr>
        <w:t>ordered</w:t>
      </w:r>
      <w:r>
        <w:rPr>
          <w:spacing w:val="5"/>
          <w:w w:val="105"/>
          <w:sz w:val="21"/>
        </w:rPr>
        <w:t> </w:t>
      </w:r>
      <w:r>
        <w:rPr>
          <w:w w:val="105"/>
          <w:sz w:val="21"/>
        </w:rPr>
        <w:t>ADR.</w:t>
      </w:r>
    </w:p>
    <w:p>
      <w:pPr>
        <w:pStyle w:val="BodyText"/>
        <w:spacing w:before="7"/>
        <w:rPr>
          <w:sz w:val="17"/>
        </w:rPr>
      </w:pPr>
      <w:r>
        <w:rPr/>
        <w:pict>
          <v:group style="position:absolute;margin-left:62.362202pt;margin-top:12.723907pt;width:479.1pt;height:237.4pt;mso-position-horizontal-relative:page;mso-position-vertical-relative:paragraph;z-index:6104;mso-wrap-distance-left:0;mso-wrap-distance-right:0" coordorigin="1247,254" coordsize="9582,4748">
            <v:rect style="position:absolute;left:1587;top:254;width:8731;height:4748" filled="true" fillcolor="#dbe0dd" stroked="false">
              <v:fill type="solid"/>
            </v:rect>
            <v:line style="position:absolute" from="1247,1001" to="10828,1001" stroked="true" strokeweight="2.5pt" strokecolor="#ffffff">
              <v:stroke dashstyle="solid"/>
            </v:line>
            <v:shape style="position:absolute;left:1587;top:1026;width:8731;height:3976" type="#_x0000_t202" filled="true" fillcolor="#dbe0dd" stroked="false">
              <v:textbox inset="0,0,0,0">
                <w:txbxContent>
                  <w:p>
                    <w:pPr>
                      <w:numPr>
                        <w:ilvl w:val="0"/>
                        <w:numId w:val="103"/>
                      </w:numPr>
                      <w:tabs>
                        <w:tab w:pos="793" w:val="left" w:leader="none"/>
                        <w:tab w:pos="794" w:val="left" w:leader="none"/>
                      </w:tabs>
                      <w:spacing w:line="242" w:lineRule="auto" w:before="208"/>
                      <w:ind w:left="793" w:right="241" w:hanging="567"/>
                      <w:jc w:val="left"/>
                      <w:rPr>
                        <w:sz w:val="21"/>
                      </w:rPr>
                    </w:pPr>
                    <w:r>
                      <w:rPr>
                        <w:w w:val="115"/>
                        <w:sz w:val="21"/>
                      </w:rPr>
                      <w:t>The Act should state that the affected neighbour and tree owner are encouraged to resolve their dispute </w:t>
                    </w:r>
                    <w:r>
                      <w:rPr>
                        <w:spacing w:val="-3"/>
                        <w:w w:val="115"/>
                        <w:sz w:val="21"/>
                      </w:rPr>
                      <w:t>informally </w:t>
                    </w:r>
                    <w:r>
                      <w:rPr>
                        <w:w w:val="115"/>
                        <w:sz w:val="21"/>
                      </w:rPr>
                      <w:t>but that the affected neighbour may apply to the Victorian Civil and Administrative </w:t>
                    </w:r>
                    <w:r>
                      <w:rPr>
                        <w:spacing w:val="-4"/>
                        <w:w w:val="115"/>
                        <w:sz w:val="21"/>
                      </w:rPr>
                      <w:t>Tribunal </w:t>
                    </w:r>
                    <w:r>
                      <w:rPr>
                        <w:w w:val="115"/>
                        <w:sz w:val="21"/>
                      </w:rPr>
                      <w:t>to resolve the dispute.</w:t>
                    </w:r>
                  </w:p>
                  <w:p>
                    <w:pPr>
                      <w:numPr>
                        <w:ilvl w:val="0"/>
                        <w:numId w:val="103"/>
                      </w:numPr>
                      <w:tabs>
                        <w:tab w:pos="793" w:val="left" w:leader="none"/>
                        <w:tab w:pos="794" w:val="left" w:leader="none"/>
                      </w:tabs>
                      <w:spacing w:line="242" w:lineRule="auto" w:before="125"/>
                      <w:ind w:left="793" w:right="243" w:hanging="567"/>
                      <w:jc w:val="left"/>
                      <w:rPr>
                        <w:sz w:val="21"/>
                      </w:rPr>
                    </w:pPr>
                    <w:r>
                      <w:rPr>
                        <w:w w:val="115"/>
                        <w:sz w:val="21"/>
                      </w:rPr>
                      <w:t>The</w:t>
                    </w:r>
                    <w:r>
                      <w:rPr>
                        <w:spacing w:val="-7"/>
                        <w:w w:val="115"/>
                        <w:sz w:val="21"/>
                      </w:rPr>
                      <w:t> </w:t>
                    </w:r>
                    <w:r>
                      <w:rPr>
                        <w:w w:val="115"/>
                        <w:sz w:val="21"/>
                      </w:rPr>
                      <w:t>Act</w:t>
                    </w:r>
                    <w:r>
                      <w:rPr>
                        <w:spacing w:val="-7"/>
                        <w:w w:val="115"/>
                        <w:sz w:val="21"/>
                      </w:rPr>
                      <w:t> </w:t>
                    </w:r>
                    <w:r>
                      <w:rPr>
                        <w:w w:val="115"/>
                        <w:sz w:val="21"/>
                      </w:rPr>
                      <w:t>should</w:t>
                    </w:r>
                    <w:r>
                      <w:rPr>
                        <w:spacing w:val="-7"/>
                        <w:w w:val="115"/>
                        <w:sz w:val="21"/>
                      </w:rPr>
                      <w:t> </w:t>
                    </w:r>
                    <w:r>
                      <w:rPr>
                        <w:w w:val="115"/>
                        <w:sz w:val="21"/>
                      </w:rPr>
                      <w:t>include</w:t>
                    </w:r>
                    <w:r>
                      <w:rPr>
                        <w:spacing w:val="-7"/>
                        <w:w w:val="115"/>
                        <w:sz w:val="21"/>
                      </w:rPr>
                      <w:t> </w:t>
                    </w:r>
                    <w:r>
                      <w:rPr>
                        <w:w w:val="115"/>
                        <w:sz w:val="21"/>
                      </w:rPr>
                      <w:t>a</w:t>
                    </w:r>
                    <w:r>
                      <w:rPr>
                        <w:spacing w:val="-7"/>
                        <w:w w:val="115"/>
                        <w:sz w:val="21"/>
                      </w:rPr>
                      <w:t> </w:t>
                    </w:r>
                    <w:r>
                      <w:rPr>
                        <w:w w:val="115"/>
                        <w:sz w:val="21"/>
                      </w:rPr>
                      <w:t>non-exhaustive</w:t>
                    </w:r>
                    <w:r>
                      <w:rPr>
                        <w:spacing w:val="-7"/>
                        <w:w w:val="115"/>
                        <w:sz w:val="21"/>
                      </w:rPr>
                      <w:t> </w:t>
                    </w:r>
                    <w:r>
                      <w:rPr>
                        <w:w w:val="115"/>
                        <w:sz w:val="21"/>
                      </w:rPr>
                      <w:t>list</w:t>
                    </w:r>
                    <w:r>
                      <w:rPr>
                        <w:spacing w:val="-7"/>
                        <w:w w:val="115"/>
                        <w:sz w:val="21"/>
                      </w:rPr>
                      <w:t> </w:t>
                    </w:r>
                    <w:r>
                      <w:rPr>
                        <w:w w:val="115"/>
                        <w:sz w:val="21"/>
                      </w:rPr>
                      <w:t>of</w:t>
                    </w:r>
                    <w:r>
                      <w:rPr>
                        <w:spacing w:val="-7"/>
                        <w:w w:val="115"/>
                        <w:sz w:val="21"/>
                      </w:rPr>
                      <w:t> </w:t>
                    </w:r>
                    <w:r>
                      <w:rPr>
                        <w:w w:val="115"/>
                        <w:sz w:val="21"/>
                      </w:rPr>
                      <w:t>examples</w:t>
                    </w:r>
                    <w:r>
                      <w:rPr>
                        <w:spacing w:val="-7"/>
                        <w:w w:val="115"/>
                        <w:sz w:val="21"/>
                      </w:rPr>
                      <w:t> </w:t>
                    </w:r>
                    <w:r>
                      <w:rPr>
                        <w:w w:val="115"/>
                        <w:sz w:val="21"/>
                      </w:rPr>
                      <w:t>of</w:t>
                    </w:r>
                    <w:r>
                      <w:rPr>
                        <w:spacing w:val="-7"/>
                        <w:w w:val="115"/>
                        <w:sz w:val="21"/>
                      </w:rPr>
                      <w:t> </w:t>
                    </w:r>
                    <w:r>
                      <w:rPr>
                        <w:w w:val="115"/>
                        <w:sz w:val="21"/>
                      </w:rPr>
                      <w:t>informal</w:t>
                    </w:r>
                    <w:r>
                      <w:rPr>
                        <w:spacing w:val="-7"/>
                        <w:w w:val="115"/>
                        <w:sz w:val="21"/>
                      </w:rPr>
                      <w:t> </w:t>
                    </w:r>
                    <w:r>
                      <w:rPr>
                        <w:w w:val="115"/>
                        <w:sz w:val="21"/>
                      </w:rPr>
                      <w:t>resolution approaches including:</w:t>
                    </w:r>
                  </w:p>
                  <w:p>
                    <w:pPr>
                      <w:numPr>
                        <w:ilvl w:val="1"/>
                        <w:numId w:val="103"/>
                      </w:numPr>
                      <w:tabs>
                        <w:tab w:pos="1360" w:val="left" w:leader="none"/>
                        <w:tab w:pos="1361" w:val="left" w:leader="none"/>
                      </w:tabs>
                      <w:spacing w:line="242" w:lineRule="auto" w:before="122"/>
                      <w:ind w:left="1360" w:right="346" w:hanging="567"/>
                      <w:jc w:val="left"/>
                      <w:rPr>
                        <w:sz w:val="21"/>
                      </w:rPr>
                    </w:pPr>
                    <w:r>
                      <w:rPr>
                        <w:w w:val="115"/>
                        <w:sz w:val="21"/>
                      </w:rPr>
                      <w:t>communicating with the other party to notify them of the issues (including</w:t>
                    </w:r>
                    <w:r>
                      <w:rPr>
                        <w:spacing w:val="-9"/>
                        <w:w w:val="115"/>
                        <w:sz w:val="21"/>
                      </w:rPr>
                      <w:t> </w:t>
                    </w:r>
                    <w:r>
                      <w:rPr>
                        <w:w w:val="115"/>
                        <w:sz w:val="21"/>
                      </w:rPr>
                      <w:t>providing</w:t>
                    </w:r>
                    <w:r>
                      <w:rPr>
                        <w:spacing w:val="-9"/>
                        <w:w w:val="115"/>
                        <w:sz w:val="21"/>
                      </w:rPr>
                      <w:t> </w:t>
                    </w:r>
                    <w:r>
                      <w:rPr>
                        <w:w w:val="115"/>
                        <w:sz w:val="21"/>
                      </w:rPr>
                      <w:t>a</w:t>
                    </w:r>
                    <w:r>
                      <w:rPr>
                        <w:spacing w:val="-9"/>
                        <w:w w:val="115"/>
                        <w:sz w:val="21"/>
                      </w:rPr>
                      <w:t> </w:t>
                    </w:r>
                    <w:r>
                      <w:rPr>
                        <w:w w:val="115"/>
                        <w:sz w:val="21"/>
                      </w:rPr>
                      <w:t>quotation</w:t>
                    </w:r>
                    <w:r>
                      <w:rPr>
                        <w:spacing w:val="-9"/>
                        <w:w w:val="115"/>
                        <w:sz w:val="21"/>
                      </w:rPr>
                      <w:t> </w:t>
                    </w:r>
                    <w:r>
                      <w:rPr>
                        <w:w w:val="115"/>
                        <w:sz w:val="21"/>
                      </w:rPr>
                      <w:t>or</w:t>
                    </w:r>
                    <w:r>
                      <w:rPr>
                        <w:spacing w:val="-9"/>
                        <w:w w:val="115"/>
                        <w:sz w:val="21"/>
                      </w:rPr>
                      <w:t> </w:t>
                    </w:r>
                    <w:r>
                      <w:rPr>
                        <w:w w:val="115"/>
                        <w:sz w:val="21"/>
                      </w:rPr>
                      <w:t>arborist’s</w:t>
                    </w:r>
                    <w:r>
                      <w:rPr>
                        <w:spacing w:val="-9"/>
                        <w:w w:val="115"/>
                        <w:sz w:val="21"/>
                      </w:rPr>
                      <w:t> </w:t>
                    </w:r>
                    <w:r>
                      <w:rPr>
                        <w:w w:val="115"/>
                        <w:sz w:val="21"/>
                      </w:rPr>
                      <w:t>assessment)</w:t>
                    </w:r>
                    <w:r>
                      <w:rPr>
                        <w:spacing w:val="-9"/>
                        <w:w w:val="115"/>
                        <w:sz w:val="21"/>
                      </w:rPr>
                      <w:t> </w:t>
                    </w:r>
                    <w:r>
                      <w:rPr>
                        <w:w w:val="115"/>
                        <w:sz w:val="21"/>
                      </w:rPr>
                      <w:t>and</w:t>
                    </w:r>
                    <w:r>
                      <w:rPr>
                        <w:spacing w:val="-9"/>
                        <w:w w:val="115"/>
                        <w:sz w:val="21"/>
                      </w:rPr>
                      <w:t> </w:t>
                    </w:r>
                    <w:r>
                      <w:rPr>
                        <w:w w:val="115"/>
                        <w:sz w:val="21"/>
                      </w:rPr>
                      <w:t>negotiate with them</w:t>
                    </w:r>
                  </w:p>
                  <w:p>
                    <w:pPr>
                      <w:numPr>
                        <w:ilvl w:val="1"/>
                        <w:numId w:val="103"/>
                      </w:numPr>
                      <w:tabs>
                        <w:tab w:pos="1360" w:val="left" w:leader="none"/>
                        <w:tab w:pos="1361" w:val="left" w:leader="none"/>
                      </w:tabs>
                      <w:spacing w:before="123"/>
                      <w:ind w:left="1360" w:right="0" w:hanging="567"/>
                      <w:jc w:val="left"/>
                      <w:rPr>
                        <w:sz w:val="21"/>
                      </w:rPr>
                    </w:pPr>
                    <w:r>
                      <w:rPr>
                        <w:w w:val="115"/>
                        <w:sz w:val="21"/>
                      </w:rPr>
                      <w:t>exercising the right to</w:t>
                    </w:r>
                    <w:r>
                      <w:rPr>
                        <w:spacing w:val="2"/>
                        <w:w w:val="115"/>
                        <w:sz w:val="21"/>
                      </w:rPr>
                      <w:t> </w:t>
                    </w:r>
                    <w:r>
                      <w:rPr>
                        <w:w w:val="115"/>
                        <w:sz w:val="21"/>
                      </w:rPr>
                      <w:t>abate</w:t>
                    </w:r>
                  </w:p>
                  <w:p>
                    <w:pPr>
                      <w:numPr>
                        <w:ilvl w:val="1"/>
                        <w:numId w:val="103"/>
                      </w:numPr>
                      <w:tabs>
                        <w:tab w:pos="1360" w:val="left" w:leader="none"/>
                        <w:tab w:pos="1361" w:val="left" w:leader="none"/>
                      </w:tabs>
                      <w:spacing w:line="242" w:lineRule="auto" w:before="124"/>
                      <w:ind w:left="1360" w:right="577" w:hanging="567"/>
                      <w:jc w:val="left"/>
                      <w:rPr>
                        <w:sz w:val="21"/>
                      </w:rPr>
                    </w:pPr>
                    <w:r>
                      <w:rPr>
                        <w:w w:val="115"/>
                        <w:sz w:val="21"/>
                      </w:rPr>
                      <w:t>engaging</w:t>
                    </w:r>
                    <w:r>
                      <w:rPr>
                        <w:spacing w:val="-7"/>
                        <w:w w:val="115"/>
                        <w:sz w:val="21"/>
                      </w:rPr>
                      <w:t> </w:t>
                    </w:r>
                    <w:r>
                      <w:rPr>
                        <w:w w:val="115"/>
                        <w:sz w:val="21"/>
                      </w:rPr>
                      <w:t>in</w:t>
                    </w:r>
                    <w:r>
                      <w:rPr>
                        <w:spacing w:val="-6"/>
                        <w:w w:val="115"/>
                        <w:sz w:val="21"/>
                      </w:rPr>
                      <w:t> </w:t>
                    </w:r>
                    <w:r>
                      <w:rPr>
                        <w:w w:val="115"/>
                        <w:sz w:val="21"/>
                      </w:rPr>
                      <w:t>alternative</w:t>
                    </w:r>
                    <w:r>
                      <w:rPr>
                        <w:spacing w:val="-6"/>
                        <w:w w:val="115"/>
                        <w:sz w:val="21"/>
                      </w:rPr>
                      <w:t> </w:t>
                    </w:r>
                    <w:r>
                      <w:rPr>
                        <w:w w:val="115"/>
                        <w:sz w:val="21"/>
                      </w:rPr>
                      <w:t>dispute</w:t>
                    </w:r>
                    <w:r>
                      <w:rPr>
                        <w:spacing w:val="-6"/>
                        <w:w w:val="115"/>
                        <w:sz w:val="21"/>
                      </w:rPr>
                      <w:t> </w:t>
                    </w:r>
                    <w:r>
                      <w:rPr>
                        <w:w w:val="115"/>
                        <w:sz w:val="21"/>
                      </w:rPr>
                      <w:t>resolution,</w:t>
                    </w:r>
                    <w:r>
                      <w:rPr>
                        <w:spacing w:val="-6"/>
                        <w:w w:val="115"/>
                        <w:sz w:val="21"/>
                      </w:rPr>
                      <w:t> </w:t>
                    </w:r>
                    <w:r>
                      <w:rPr>
                        <w:w w:val="115"/>
                        <w:sz w:val="21"/>
                      </w:rPr>
                      <w:t>such</w:t>
                    </w:r>
                    <w:r>
                      <w:rPr>
                        <w:spacing w:val="-6"/>
                        <w:w w:val="115"/>
                        <w:sz w:val="21"/>
                      </w:rPr>
                      <w:t> </w:t>
                    </w:r>
                    <w:r>
                      <w:rPr>
                        <w:w w:val="115"/>
                        <w:sz w:val="21"/>
                      </w:rPr>
                      <w:t>as</w:t>
                    </w:r>
                    <w:r>
                      <w:rPr>
                        <w:spacing w:val="-6"/>
                        <w:w w:val="115"/>
                        <w:sz w:val="21"/>
                      </w:rPr>
                      <w:t> </w:t>
                    </w:r>
                    <w:r>
                      <w:rPr>
                        <w:w w:val="115"/>
                        <w:sz w:val="21"/>
                      </w:rPr>
                      <w:t>mediation</w:t>
                    </w:r>
                    <w:r>
                      <w:rPr>
                        <w:spacing w:val="-6"/>
                        <w:w w:val="115"/>
                        <w:sz w:val="21"/>
                      </w:rPr>
                      <w:t> </w:t>
                    </w:r>
                    <w:r>
                      <w:rPr>
                        <w:w w:val="115"/>
                        <w:sz w:val="21"/>
                      </w:rPr>
                      <w:t>through the Dispute Settlement Centre of</w:t>
                    </w:r>
                    <w:r>
                      <w:rPr>
                        <w:spacing w:val="-1"/>
                        <w:w w:val="115"/>
                        <w:sz w:val="21"/>
                      </w:rPr>
                      <w:t> </w:t>
                    </w:r>
                    <w:r>
                      <w:rPr>
                        <w:w w:val="115"/>
                        <w:sz w:val="21"/>
                      </w:rPr>
                      <w:t>Victoria.</w:t>
                    </w:r>
                  </w:p>
                </w:txbxContent>
              </v:textbox>
              <v:fill type="solid"/>
              <w10:wrap type="none"/>
            </v:shape>
            <v:shape style="position:absolute;left:1587;top:254;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Recommendations</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r>
        <w:rPr/>
        <w:pict>
          <v:line style="position:absolute;mso-position-horizontal-relative:page;mso-position-vertical-relative:paragraph;z-index:6128;mso-wrap-distance-left:0;mso-wrap-distance-right:0" from="79.370102pt,14.194143pt" to="515.905102pt,14.19414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spacing w:before="11"/>
        <w:rPr>
          <w:sz w:val="32"/>
        </w:rPr>
      </w:pPr>
    </w:p>
    <w:p>
      <w:pPr>
        <w:spacing w:before="0"/>
        <w:ind w:left="720" w:right="0" w:firstLine="0"/>
        <w:jc w:val="left"/>
        <w:rPr>
          <w:b/>
          <w:sz w:val="24"/>
        </w:rPr>
      </w:pPr>
      <w:r>
        <w:rPr>
          <w:b/>
          <w:color w:val="658464"/>
          <w:spacing w:val="-4"/>
          <w:w w:val="110"/>
          <w:sz w:val="24"/>
        </w:rPr>
        <w:t>126</w:t>
      </w:r>
    </w:p>
    <w:p>
      <w:pPr>
        <w:pStyle w:val="ListParagraph"/>
        <w:numPr>
          <w:ilvl w:val="0"/>
          <w:numId w:val="102"/>
        </w:numPr>
        <w:tabs>
          <w:tab w:pos="1232" w:val="left" w:leader="none"/>
          <w:tab w:pos="1233" w:val="left" w:leader="none"/>
        </w:tabs>
        <w:spacing w:line="240" w:lineRule="auto" w:before="48" w:after="0"/>
        <w:ind w:left="1232" w:right="1677" w:hanging="794"/>
        <w:jc w:val="left"/>
        <w:rPr>
          <w:sz w:val="13"/>
        </w:rPr>
      </w:pPr>
      <w:r>
        <w:rPr>
          <w:spacing w:val="2"/>
          <w:w w:val="104"/>
          <w:sz w:val="13"/>
        </w:rPr>
        <w:br w:type="column"/>
      </w:r>
      <w:r>
        <w:rPr>
          <w:sz w:val="13"/>
        </w:rPr>
        <w:t>Justice Bergin states: ‘In the vast majority of cases in Australia mediation is voluntary. Although there may be a mandatory requirement to        attend mediation, the outcome is always voluntary. The parties alone determine whether they will settle their dispute and the terms upon        which they will settle their dispute, albeit that they are assisted in this regard by the mediator [footnotes omitted].’ Justice P A Bergin, </w:t>
      </w:r>
      <w:r>
        <w:rPr>
          <w:spacing w:val="2"/>
          <w:sz w:val="13"/>
        </w:rPr>
        <w:t>‘The </w:t>
      </w:r>
      <w:r>
        <w:rPr>
          <w:sz w:val="13"/>
        </w:rPr>
        <w:t>Objectives,</w:t>
      </w:r>
      <w:r>
        <w:rPr>
          <w:spacing w:val="11"/>
          <w:sz w:val="13"/>
        </w:rPr>
        <w:t> </w:t>
      </w:r>
      <w:r>
        <w:rPr>
          <w:sz w:val="13"/>
        </w:rPr>
        <w:t>Scope</w:t>
      </w:r>
      <w:r>
        <w:rPr>
          <w:spacing w:val="12"/>
          <w:sz w:val="13"/>
        </w:rPr>
        <w:t> </w:t>
      </w:r>
      <w:r>
        <w:rPr>
          <w:sz w:val="13"/>
        </w:rPr>
        <w:t>and</w:t>
      </w:r>
      <w:r>
        <w:rPr>
          <w:spacing w:val="12"/>
          <w:sz w:val="13"/>
        </w:rPr>
        <w:t> </w:t>
      </w:r>
      <w:r>
        <w:rPr>
          <w:sz w:val="13"/>
        </w:rPr>
        <w:t>Focus</w:t>
      </w:r>
      <w:r>
        <w:rPr>
          <w:spacing w:val="12"/>
          <w:sz w:val="13"/>
        </w:rPr>
        <w:t> </w:t>
      </w:r>
      <w:r>
        <w:rPr>
          <w:sz w:val="13"/>
        </w:rPr>
        <w:t>of</w:t>
      </w:r>
      <w:r>
        <w:rPr>
          <w:spacing w:val="11"/>
          <w:sz w:val="13"/>
        </w:rPr>
        <w:t> </w:t>
      </w:r>
      <w:r>
        <w:rPr>
          <w:sz w:val="13"/>
        </w:rPr>
        <w:t>Mediation</w:t>
      </w:r>
      <w:r>
        <w:rPr>
          <w:spacing w:val="12"/>
          <w:sz w:val="13"/>
        </w:rPr>
        <w:t> </w:t>
      </w:r>
      <w:r>
        <w:rPr>
          <w:sz w:val="13"/>
        </w:rPr>
        <w:t>Legislation</w:t>
      </w:r>
      <w:r>
        <w:rPr>
          <w:spacing w:val="12"/>
          <w:sz w:val="13"/>
        </w:rPr>
        <w:t> </w:t>
      </w:r>
      <w:r>
        <w:rPr>
          <w:sz w:val="13"/>
        </w:rPr>
        <w:t>in</w:t>
      </w:r>
      <w:r>
        <w:rPr>
          <w:spacing w:val="12"/>
          <w:sz w:val="13"/>
        </w:rPr>
        <w:t> </w:t>
      </w:r>
      <w:r>
        <w:rPr>
          <w:sz w:val="13"/>
        </w:rPr>
        <w:t>Australia’</w:t>
      </w:r>
      <w:r>
        <w:rPr>
          <w:spacing w:val="11"/>
          <w:sz w:val="13"/>
        </w:rPr>
        <w:t> </w:t>
      </w:r>
      <w:r>
        <w:rPr>
          <w:sz w:val="13"/>
        </w:rPr>
        <w:t>(Paper</w:t>
      </w:r>
      <w:r>
        <w:rPr>
          <w:spacing w:val="12"/>
          <w:sz w:val="13"/>
        </w:rPr>
        <w:t> </w:t>
      </w:r>
      <w:r>
        <w:rPr>
          <w:sz w:val="13"/>
        </w:rPr>
        <w:t>presented</w:t>
      </w:r>
      <w:r>
        <w:rPr>
          <w:spacing w:val="12"/>
          <w:sz w:val="13"/>
        </w:rPr>
        <w:t> </w:t>
      </w:r>
      <w:r>
        <w:rPr>
          <w:sz w:val="13"/>
        </w:rPr>
        <w:t>at</w:t>
      </w:r>
      <w:r>
        <w:rPr>
          <w:spacing w:val="12"/>
          <w:sz w:val="13"/>
        </w:rPr>
        <w:t> </w:t>
      </w:r>
      <w:r>
        <w:rPr>
          <w:sz w:val="13"/>
        </w:rPr>
        <w:t>Mediate</w:t>
      </w:r>
      <w:r>
        <w:rPr>
          <w:spacing w:val="11"/>
          <w:sz w:val="13"/>
        </w:rPr>
        <w:t> </w:t>
      </w:r>
      <w:r>
        <w:rPr>
          <w:sz w:val="13"/>
        </w:rPr>
        <w:t>First,</w:t>
      </w:r>
      <w:r>
        <w:rPr>
          <w:spacing w:val="12"/>
          <w:sz w:val="13"/>
        </w:rPr>
        <w:t> </w:t>
      </w:r>
      <w:r>
        <w:rPr>
          <w:spacing w:val="-6"/>
          <w:sz w:val="13"/>
        </w:rPr>
        <w:t>11</w:t>
      </w:r>
      <w:r>
        <w:rPr>
          <w:spacing w:val="12"/>
          <w:sz w:val="13"/>
        </w:rPr>
        <w:t> </w:t>
      </w:r>
      <w:r>
        <w:rPr>
          <w:sz w:val="13"/>
        </w:rPr>
        <w:t>May</w:t>
      </w:r>
      <w:r>
        <w:rPr>
          <w:spacing w:val="12"/>
          <w:sz w:val="13"/>
        </w:rPr>
        <w:t> </w:t>
      </w:r>
      <w:r>
        <w:rPr>
          <w:sz w:val="13"/>
        </w:rPr>
        <w:t>2012)</w:t>
      </w:r>
      <w:r>
        <w:rPr>
          <w:spacing w:val="12"/>
          <w:sz w:val="13"/>
        </w:rPr>
        <w:t> </w:t>
      </w:r>
      <w:r>
        <w:rPr>
          <w:sz w:val="13"/>
        </w:rPr>
        <w:t>[7].</w:t>
      </w:r>
    </w:p>
    <w:p>
      <w:pPr>
        <w:pStyle w:val="ListParagraph"/>
        <w:numPr>
          <w:ilvl w:val="0"/>
          <w:numId w:val="102"/>
        </w:numPr>
        <w:tabs>
          <w:tab w:pos="1232" w:val="left" w:leader="none"/>
          <w:tab w:pos="1233" w:val="left" w:leader="none"/>
        </w:tabs>
        <w:spacing w:line="240" w:lineRule="auto" w:before="5" w:after="0"/>
        <w:ind w:left="1232" w:right="0" w:hanging="794"/>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102"/>
        </w:numPr>
        <w:tabs>
          <w:tab w:pos="1232" w:val="left" w:leader="none"/>
          <w:tab w:pos="1233" w:val="left" w:leader="none"/>
        </w:tabs>
        <w:spacing w:line="240" w:lineRule="auto" w:before="2" w:after="0"/>
        <w:ind w:left="1232"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spacing w:after="0" w:line="240" w:lineRule="auto"/>
        <w:jc w:val="left"/>
        <w:rPr>
          <w:sz w:val="13"/>
        </w:rPr>
        <w:sectPr>
          <w:type w:val="continuous"/>
          <w:pgSz w:w="11910" w:h="16840"/>
          <w:pgMar w:top="300" w:bottom="280" w:left="0" w:right="0"/>
          <w:cols w:num="2" w:equalWidth="0">
            <w:col w:w="1110" w:space="40"/>
            <w:col w:w="10760"/>
          </w:cols>
        </w:sectPr>
      </w:pPr>
    </w:p>
    <w:p>
      <w:pPr>
        <w:pStyle w:val="BodyText"/>
        <w:rPr>
          <w:sz w:val="20"/>
        </w:rPr>
      </w:pPr>
    </w:p>
    <w:p>
      <w:pPr>
        <w:pStyle w:val="BodyText"/>
        <w:spacing w:before="11"/>
        <w:rPr>
          <w:sz w:val="17"/>
        </w:rPr>
      </w:pPr>
    </w:p>
    <w:p>
      <w:pPr>
        <w:pStyle w:val="Heading5"/>
        <w:spacing w:before="96"/>
      </w:pPr>
      <w:bookmarkStart w:name="_bookmark68" w:id="154"/>
      <w:bookmarkEnd w:id="154"/>
      <w:r>
        <w:rPr>
          <w:b w:val="0"/>
        </w:rPr>
      </w:r>
      <w:r>
        <w:rPr>
          <w:w w:val="115"/>
        </w:rPr>
        <w:t>Modification of abatement</w:t>
      </w:r>
    </w:p>
    <w:p>
      <w:pPr>
        <w:pStyle w:val="ListParagraph"/>
        <w:numPr>
          <w:ilvl w:val="1"/>
          <w:numId w:val="99"/>
        </w:numPr>
        <w:tabs>
          <w:tab w:pos="2380" w:val="left" w:leader="none"/>
          <w:tab w:pos="2381" w:val="left" w:leader="none"/>
        </w:tabs>
        <w:spacing w:line="242" w:lineRule="auto" w:before="137" w:after="0"/>
        <w:ind w:left="2381" w:right="1992" w:hanging="794"/>
        <w:jc w:val="left"/>
        <w:rPr>
          <w:sz w:val="21"/>
        </w:rPr>
      </w:pPr>
      <w:r>
        <w:rPr>
          <w:w w:val="105"/>
          <w:sz w:val="21"/>
        </w:rPr>
        <w:t>The</w:t>
      </w:r>
      <w:r>
        <w:rPr>
          <w:spacing w:val="-11"/>
          <w:w w:val="105"/>
          <w:sz w:val="21"/>
        </w:rPr>
        <w:t> </w:t>
      </w:r>
      <w:r>
        <w:rPr>
          <w:spacing w:val="-3"/>
          <w:w w:val="105"/>
          <w:sz w:val="21"/>
        </w:rPr>
        <w:t>Commission</w:t>
      </w:r>
      <w:r>
        <w:rPr>
          <w:spacing w:val="-11"/>
          <w:w w:val="105"/>
          <w:sz w:val="21"/>
        </w:rPr>
        <w:t> </w:t>
      </w:r>
      <w:r>
        <w:rPr>
          <w:w w:val="105"/>
          <w:sz w:val="21"/>
        </w:rPr>
        <w:t>agrees</w:t>
      </w:r>
      <w:r>
        <w:rPr>
          <w:spacing w:val="-11"/>
          <w:w w:val="105"/>
          <w:sz w:val="21"/>
        </w:rPr>
        <w:t> </w:t>
      </w:r>
      <w:r>
        <w:rPr>
          <w:w w:val="105"/>
          <w:sz w:val="21"/>
        </w:rPr>
        <w:t>with</w:t>
      </w:r>
      <w:r>
        <w:rPr>
          <w:spacing w:val="-11"/>
          <w:w w:val="105"/>
          <w:sz w:val="21"/>
        </w:rPr>
        <w:t> </w:t>
      </w:r>
      <w:r>
        <w:rPr>
          <w:w w:val="105"/>
          <w:sz w:val="21"/>
        </w:rPr>
        <w:t>the</w:t>
      </w:r>
      <w:r>
        <w:rPr>
          <w:spacing w:val="-10"/>
          <w:w w:val="105"/>
          <w:sz w:val="21"/>
        </w:rPr>
        <w:t> </w:t>
      </w:r>
      <w:r>
        <w:rPr>
          <w:w w:val="105"/>
          <w:sz w:val="21"/>
        </w:rPr>
        <w:t>majority</w:t>
      </w:r>
      <w:r>
        <w:rPr>
          <w:spacing w:val="-11"/>
          <w:w w:val="105"/>
          <w:sz w:val="21"/>
        </w:rPr>
        <w:t> </w:t>
      </w:r>
      <w:r>
        <w:rPr>
          <w:w w:val="105"/>
          <w:sz w:val="21"/>
        </w:rPr>
        <w:t>of</w:t>
      </w:r>
      <w:r>
        <w:rPr>
          <w:spacing w:val="-11"/>
          <w:w w:val="105"/>
          <w:sz w:val="21"/>
        </w:rPr>
        <w:t> </w:t>
      </w:r>
      <w:r>
        <w:rPr>
          <w:w w:val="105"/>
          <w:sz w:val="21"/>
        </w:rPr>
        <w:t>community</w:t>
      </w:r>
      <w:r>
        <w:rPr>
          <w:spacing w:val="-11"/>
          <w:w w:val="105"/>
          <w:sz w:val="21"/>
        </w:rPr>
        <w:t> </w:t>
      </w:r>
      <w:r>
        <w:rPr>
          <w:w w:val="105"/>
          <w:sz w:val="21"/>
        </w:rPr>
        <w:t>responses</w:t>
      </w:r>
      <w:r>
        <w:rPr>
          <w:spacing w:val="-10"/>
          <w:w w:val="105"/>
          <w:sz w:val="21"/>
        </w:rPr>
        <w:t> </w:t>
      </w:r>
      <w:r>
        <w:rPr>
          <w:w w:val="105"/>
          <w:sz w:val="21"/>
        </w:rPr>
        <w:t>which</w:t>
      </w:r>
      <w:r>
        <w:rPr>
          <w:spacing w:val="-11"/>
          <w:w w:val="105"/>
          <w:sz w:val="21"/>
        </w:rPr>
        <w:t> </w:t>
      </w:r>
      <w:r>
        <w:rPr>
          <w:w w:val="105"/>
          <w:sz w:val="21"/>
        </w:rPr>
        <w:t>support</w:t>
      </w:r>
      <w:r>
        <w:rPr>
          <w:spacing w:val="-11"/>
          <w:w w:val="105"/>
          <w:sz w:val="21"/>
        </w:rPr>
        <w:t> </w:t>
      </w:r>
      <w:r>
        <w:rPr>
          <w:w w:val="105"/>
          <w:sz w:val="21"/>
        </w:rPr>
        <w:t>the </w:t>
      </w:r>
      <w:r>
        <w:rPr>
          <w:spacing w:val="-3"/>
          <w:w w:val="105"/>
          <w:sz w:val="21"/>
        </w:rPr>
        <w:t>continued availability </w:t>
      </w:r>
      <w:r>
        <w:rPr>
          <w:w w:val="105"/>
          <w:sz w:val="21"/>
        </w:rPr>
        <w:t>of </w:t>
      </w:r>
      <w:r>
        <w:rPr>
          <w:spacing w:val="-3"/>
          <w:w w:val="105"/>
          <w:sz w:val="21"/>
        </w:rPr>
        <w:t>abatement </w:t>
      </w:r>
      <w:r>
        <w:rPr>
          <w:w w:val="105"/>
          <w:sz w:val="21"/>
        </w:rPr>
        <w:t>as a </w:t>
      </w:r>
      <w:r>
        <w:rPr>
          <w:spacing w:val="-3"/>
          <w:w w:val="105"/>
          <w:sz w:val="21"/>
        </w:rPr>
        <w:t>remedy. </w:t>
      </w:r>
      <w:r>
        <w:rPr>
          <w:spacing w:val="-2"/>
          <w:w w:val="105"/>
          <w:sz w:val="21"/>
        </w:rPr>
        <w:t>Abatement </w:t>
      </w:r>
      <w:r>
        <w:rPr>
          <w:w w:val="105"/>
          <w:sz w:val="21"/>
        </w:rPr>
        <w:t>is an effective tool </w:t>
      </w:r>
      <w:r>
        <w:rPr>
          <w:spacing w:val="-3"/>
          <w:w w:val="105"/>
          <w:sz w:val="21"/>
        </w:rPr>
        <w:t>for </w:t>
      </w:r>
      <w:r>
        <w:rPr>
          <w:w w:val="105"/>
          <w:sz w:val="21"/>
        </w:rPr>
        <w:t>resolving </w:t>
      </w:r>
      <w:r>
        <w:rPr>
          <w:spacing w:val="-3"/>
          <w:w w:val="105"/>
          <w:sz w:val="21"/>
        </w:rPr>
        <w:t>many </w:t>
      </w:r>
      <w:r>
        <w:rPr>
          <w:w w:val="105"/>
          <w:sz w:val="21"/>
        </w:rPr>
        <w:t>tree </w:t>
      </w:r>
      <w:r>
        <w:rPr>
          <w:spacing w:val="-3"/>
          <w:w w:val="105"/>
          <w:sz w:val="21"/>
        </w:rPr>
        <w:t>disputes </w:t>
      </w:r>
      <w:r>
        <w:rPr>
          <w:w w:val="105"/>
          <w:sz w:val="21"/>
        </w:rPr>
        <w:t>and </w:t>
      </w:r>
      <w:r>
        <w:rPr>
          <w:spacing w:val="-3"/>
          <w:w w:val="105"/>
          <w:sz w:val="21"/>
        </w:rPr>
        <w:t>may prevent </w:t>
      </w:r>
      <w:r>
        <w:rPr>
          <w:w w:val="105"/>
          <w:sz w:val="21"/>
        </w:rPr>
        <w:t>them </w:t>
      </w:r>
      <w:r>
        <w:rPr>
          <w:spacing w:val="-3"/>
          <w:w w:val="105"/>
          <w:sz w:val="21"/>
        </w:rPr>
        <w:t>from</w:t>
      </w:r>
      <w:r>
        <w:rPr>
          <w:spacing w:val="32"/>
          <w:w w:val="105"/>
          <w:sz w:val="21"/>
        </w:rPr>
        <w:t> </w:t>
      </w:r>
      <w:r>
        <w:rPr>
          <w:spacing w:val="-3"/>
          <w:w w:val="105"/>
          <w:sz w:val="21"/>
        </w:rPr>
        <w:t>escalating.</w:t>
      </w:r>
    </w:p>
    <w:p>
      <w:pPr>
        <w:pStyle w:val="ListParagraph"/>
        <w:numPr>
          <w:ilvl w:val="1"/>
          <w:numId w:val="99"/>
        </w:numPr>
        <w:tabs>
          <w:tab w:pos="2380" w:val="left" w:leader="none"/>
          <w:tab w:pos="2381" w:val="left" w:leader="none"/>
        </w:tabs>
        <w:spacing w:line="242" w:lineRule="auto" w:before="123" w:after="0"/>
        <w:ind w:left="2380" w:right="1869" w:hanging="793"/>
        <w:jc w:val="left"/>
        <w:rPr>
          <w:sz w:val="12"/>
        </w:rPr>
      </w:pPr>
      <w:r>
        <w:rPr>
          <w:w w:val="105"/>
          <w:sz w:val="21"/>
        </w:rPr>
        <w:t>In </w:t>
      </w:r>
      <w:r>
        <w:rPr>
          <w:spacing w:val="-3"/>
          <w:w w:val="105"/>
          <w:sz w:val="21"/>
        </w:rPr>
        <w:t>keeping </w:t>
      </w:r>
      <w:r>
        <w:rPr>
          <w:w w:val="105"/>
          <w:sz w:val="21"/>
        </w:rPr>
        <w:t>with interstate </w:t>
      </w:r>
      <w:r>
        <w:rPr>
          <w:spacing w:val="-3"/>
          <w:w w:val="105"/>
          <w:sz w:val="21"/>
        </w:rPr>
        <w:t>reforms, </w:t>
      </w:r>
      <w:r>
        <w:rPr>
          <w:w w:val="105"/>
          <w:sz w:val="21"/>
        </w:rPr>
        <w:t>the </w:t>
      </w:r>
      <w:r>
        <w:rPr>
          <w:spacing w:val="-2"/>
          <w:w w:val="105"/>
          <w:sz w:val="21"/>
        </w:rPr>
        <w:t>common </w:t>
      </w:r>
      <w:r>
        <w:rPr>
          <w:w w:val="105"/>
          <w:sz w:val="21"/>
        </w:rPr>
        <w:t>law </w:t>
      </w:r>
      <w:r>
        <w:rPr>
          <w:spacing w:val="-3"/>
          <w:w w:val="105"/>
          <w:sz w:val="21"/>
        </w:rPr>
        <w:t>abatement </w:t>
      </w:r>
      <w:r>
        <w:rPr>
          <w:w w:val="105"/>
          <w:sz w:val="21"/>
        </w:rPr>
        <w:t>remedy should be modified by the new Act </w:t>
      </w:r>
      <w:r>
        <w:rPr>
          <w:spacing w:val="-3"/>
          <w:w w:val="105"/>
          <w:sz w:val="21"/>
        </w:rPr>
        <w:t>to </w:t>
      </w:r>
      <w:r>
        <w:rPr>
          <w:w w:val="105"/>
          <w:sz w:val="21"/>
        </w:rPr>
        <w:t>the extent </w:t>
      </w:r>
      <w:r>
        <w:rPr>
          <w:spacing w:val="-3"/>
          <w:w w:val="105"/>
          <w:sz w:val="21"/>
        </w:rPr>
        <w:t>that </w:t>
      </w:r>
      <w:r>
        <w:rPr>
          <w:w w:val="105"/>
          <w:sz w:val="21"/>
        </w:rPr>
        <w:t>an affected </w:t>
      </w:r>
      <w:r>
        <w:rPr>
          <w:spacing w:val="-3"/>
          <w:w w:val="105"/>
          <w:sz w:val="21"/>
        </w:rPr>
        <w:t>neighbour </w:t>
      </w:r>
      <w:r>
        <w:rPr>
          <w:w w:val="105"/>
          <w:sz w:val="21"/>
        </w:rPr>
        <w:t>should no longer be </w:t>
      </w:r>
      <w:r>
        <w:rPr>
          <w:spacing w:val="-3"/>
          <w:w w:val="105"/>
          <w:sz w:val="21"/>
        </w:rPr>
        <w:t>required to return </w:t>
      </w:r>
      <w:r>
        <w:rPr>
          <w:spacing w:val="-2"/>
          <w:w w:val="105"/>
          <w:sz w:val="21"/>
        </w:rPr>
        <w:t>abated </w:t>
      </w:r>
      <w:r>
        <w:rPr>
          <w:w w:val="105"/>
          <w:sz w:val="21"/>
        </w:rPr>
        <w:t>tree parts, </w:t>
      </w:r>
      <w:r>
        <w:rPr>
          <w:spacing w:val="-3"/>
          <w:w w:val="105"/>
          <w:sz w:val="21"/>
        </w:rPr>
        <w:t>including</w:t>
      </w:r>
      <w:r>
        <w:rPr>
          <w:spacing w:val="42"/>
          <w:w w:val="105"/>
          <w:sz w:val="21"/>
        </w:rPr>
        <w:t> </w:t>
      </w:r>
      <w:r>
        <w:rPr>
          <w:spacing w:val="-5"/>
          <w:w w:val="105"/>
          <w:sz w:val="21"/>
        </w:rPr>
        <w:t>fruit.</w:t>
      </w:r>
      <w:r>
        <w:rPr>
          <w:spacing w:val="-5"/>
          <w:w w:val="105"/>
          <w:position w:val="7"/>
          <w:sz w:val="12"/>
        </w:rPr>
        <w:t>158</w:t>
      </w:r>
    </w:p>
    <w:p>
      <w:pPr>
        <w:pStyle w:val="ListParagraph"/>
        <w:numPr>
          <w:ilvl w:val="1"/>
          <w:numId w:val="99"/>
        </w:numPr>
        <w:tabs>
          <w:tab w:pos="2380" w:val="left" w:leader="none"/>
          <w:tab w:pos="2381" w:val="left" w:leader="none"/>
        </w:tabs>
        <w:spacing w:line="242" w:lineRule="auto" w:before="124" w:after="0"/>
        <w:ind w:left="2380" w:right="2127" w:hanging="793"/>
        <w:jc w:val="left"/>
        <w:rPr>
          <w:sz w:val="21"/>
        </w:rPr>
      </w:pPr>
      <w:r>
        <w:rPr>
          <w:w w:val="105"/>
          <w:sz w:val="21"/>
        </w:rPr>
        <w:t>The </w:t>
      </w:r>
      <w:r>
        <w:rPr>
          <w:spacing w:val="-3"/>
          <w:w w:val="105"/>
          <w:sz w:val="21"/>
        </w:rPr>
        <w:t>Commission </w:t>
      </w:r>
      <w:r>
        <w:rPr>
          <w:w w:val="105"/>
          <w:sz w:val="21"/>
        </w:rPr>
        <w:t>is persuaded by the QLRC report and community feedback </w:t>
      </w:r>
      <w:r>
        <w:rPr>
          <w:spacing w:val="-3"/>
          <w:w w:val="105"/>
          <w:sz w:val="21"/>
        </w:rPr>
        <w:t>that </w:t>
      </w:r>
      <w:r>
        <w:rPr>
          <w:w w:val="105"/>
          <w:sz w:val="21"/>
        </w:rPr>
        <w:t>the</w:t>
      </w:r>
      <w:r>
        <w:rPr>
          <w:spacing w:val="-7"/>
          <w:w w:val="105"/>
          <w:sz w:val="21"/>
        </w:rPr>
        <w:t> </w:t>
      </w:r>
      <w:r>
        <w:rPr>
          <w:spacing w:val="-3"/>
          <w:w w:val="105"/>
          <w:sz w:val="21"/>
        </w:rPr>
        <w:t>return</w:t>
      </w:r>
      <w:r>
        <w:rPr>
          <w:spacing w:val="-6"/>
          <w:w w:val="105"/>
          <w:sz w:val="21"/>
        </w:rPr>
        <w:t> </w:t>
      </w:r>
      <w:r>
        <w:rPr>
          <w:w w:val="105"/>
          <w:sz w:val="21"/>
        </w:rPr>
        <w:t>of</w:t>
      </w:r>
      <w:r>
        <w:rPr>
          <w:spacing w:val="-6"/>
          <w:w w:val="105"/>
          <w:sz w:val="21"/>
        </w:rPr>
        <w:t> </w:t>
      </w:r>
      <w:r>
        <w:rPr>
          <w:spacing w:val="-2"/>
          <w:w w:val="105"/>
          <w:sz w:val="21"/>
        </w:rPr>
        <w:t>abated</w:t>
      </w:r>
      <w:r>
        <w:rPr>
          <w:spacing w:val="-6"/>
          <w:w w:val="105"/>
          <w:sz w:val="21"/>
        </w:rPr>
        <w:t> </w:t>
      </w:r>
      <w:r>
        <w:rPr>
          <w:w w:val="105"/>
          <w:sz w:val="21"/>
        </w:rPr>
        <w:t>tree</w:t>
      </w:r>
      <w:r>
        <w:rPr>
          <w:spacing w:val="-6"/>
          <w:w w:val="105"/>
          <w:sz w:val="21"/>
        </w:rPr>
        <w:t> </w:t>
      </w:r>
      <w:r>
        <w:rPr>
          <w:w w:val="105"/>
          <w:sz w:val="21"/>
        </w:rPr>
        <w:t>parts</w:t>
      </w:r>
      <w:r>
        <w:rPr>
          <w:spacing w:val="-6"/>
          <w:w w:val="105"/>
          <w:sz w:val="21"/>
        </w:rPr>
        <w:t> </w:t>
      </w:r>
      <w:r>
        <w:rPr>
          <w:spacing w:val="-3"/>
          <w:w w:val="105"/>
          <w:sz w:val="21"/>
        </w:rPr>
        <w:t>may</w:t>
      </w:r>
      <w:r>
        <w:rPr>
          <w:spacing w:val="-7"/>
          <w:w w:val="105"/>
          <w:sz w:val="21"/>
        </w:rPr>
        <w:t> </w:t>
      </w:r>
      <w:r>
        <w:rPr>
          <w:w w:val="105"/>
          <w:sz w:val="21"/>
        </w:rPr>
        <w:t>cause</w:t>
      </w:r>
      <w:r>
        <w:rPr>
          <w:spacing w:val="-6"/>
          <w:w w:val="105"/>
          <w:sz w:val="21"/>
        </w:rPr>
        <w:t> </w:t>
      </w:r>
      <w:r>
        <w:rPr>
          <w:w w:val="105"/>
          <w:sz w:val="21"/>
        </w:rPr>
        <w:t>a</w:t>
      </w:r>
      <w:r>
        <w:rPr>
          <w:spacing w:val="-6"/>
          <w:w w:val="105"/>
          <w:sz w:val="21"/>
        </w:rPr>
        <w:t> </w:t>
      </w:r>
      <w:r>
        <w:rPr>
          <w:w w:val="105"/>
          <w:sz w:val="21"/>
        </w:rPr>
        <w:t>tree</w:t>
      </w:r>
      <w:r>
        <w:rPr>
          <w:spacing w:val="-6"/>
          <w:w w:val="105"/>
          <w:sz w:val="21"/>
        </w:rPr>
        <w:t> </w:t>
      </w:r>
      <w:r>
        <w:rPr>
          <w:spacing w:val="-3"/>
          <w:w w:val="105"/>
          <w:sz w:val="21"/>
        </w:rPr>
        <w:t>dispute</w:t>
      </w:r>
      <w:r>
        <w:rPr>
          <w:spacing w:val="-6"/>
          <w:w w:val="105"/>
          <w:sz w:val="21"/>
        </w:rPr>
        <w:t> </w:t>
      </w:r>
      <w:r>
        <w:rPr>
          <w:w w:val="105"/>
          <w:sz w:val="21"/>
        </w:rPr>
        <w:t>or</w:t>
      </w:r>
      <w:r>
        <w:rPr>
          <w:spacing w:val="-6"/>
          <w:w w:val="105"/>
          <w:sz w:val="21"/>
        </w:rPr>
        <w:t> </w:t>
      </w:r>
      <w:r>
        <w:rPr>
          <w:spacing w:val="-4"/>
          <w:w w:val="105"/>
          <w:sz w:val="21"/>
        </w:rPr>
        <w:t>make</w:t>
      </w:r>
      <w:r>
        <w:rPr>
          <w:spacing w:val="-7"/>
          <w:w w:val="105"/>
          <w:sz w:val="21"/>
        </w:rPr>
        <w:t> </w:t>
      </w:r>
      <w:r>
        <w:rPr>
          <w:w w:val="105"/>
          <w:sz w:val="21"/>
        </w:rPr>
        <w:t>it</w:t>
      </w:r>
      <w:r>
        <w:rPr>
          <w:spacing w:val="-6"/>
          <w:w w:val="105"/>
          <w:sz w:val="21"/>
        </w:rPr>
        <w:t> </w:t>
      </w:r>
      <w:r>
        <w:rPr>
          <w:w w:val="105"/>
          <w:sz w:val="21"/>
        </w:rPr>
        <w:t>worse.</w:t>
      </w:r>
      <w:r>
        <w:rPr>
          <w:spacing w:val="-6"/>
          <w:w w:val="105"/>
          <w:sz w:val="21"/>
        </w:rPr>
        <w:t> </w:t>
      </w:r>
      <w:r>
        <w:rPr>
          <w:spacing w:val="-4"/>
          <w:w w:val="105"/>
          <w:sz w:val="21"/>
        </w:rPr>
        <w:t>However,</w:t>
      </w:r>
    </w:p>
    <w:p>
      <w:pPr>
        <w:pStyle w:val="BodyText"/>
        <w:spacing w:line="242" w:lineRule="auto" w:before="2"/>
        <w:ind w:left="2380" w:right="1950"/>
      </w:pPr>
      <w:r>
        <w:rPr>
          <w:w w:val="105"/>
        </w:rPr>
        <w:t>neighbours should </w:t>
      </w:r>
      <w:r>
        <w:rPr>
          <w:spacing w:val="-2"/>
          <w:w w:val="105"/>
        </w:rPr>
        <w:t>not </w:t>
      </w:r>
      <w:r>
        <w:rPr>
          <w:w w:val="105"/>
        </w:rPr>
        <w:t>be </w:t>
      </w:r>
      <w:r>
        <w:rPr>
          <w:spacing w:val="-3"/>
          <w:w w:val="105"/>
        </w:rPr>
        <w:t>prevented from coming to </w:t>
      </w:r>
      <w:r>
        <w:rPr>
          <w:w w:val="105"/>
        </w:rPr>
        <w:t>their own </w:t>
      </w:r>
      <w:r>
        <w:rPr>
          <w:spacing w:val="-2"/>
          <w:w w:val="105"/>
        </w:rPr>
        <w:t>agreement </w:t>
      </w:r>
      <w:r>
        <w:rPr>
          <w:w w:val="105"/>
        </w:rPr>
        <w:t>about how </w:t>
      </w:r>
      <w:r>
        <w:rPr>
          <w:spacing w:val="-2"/>
          <w:w w:val="105"/>
        </w:rPr>
        <w:t>abated </w:t>
      </w:r>
      <w:r>
        <w:rPr>
          <w:spacing w:val="-3"/>
          <w:w w:val="105"/>
        </w:rPr>
        <w:t>material </w:t>
      </w:r>
      <w:r>
        <w:rPr>
          <w:w w:val="105"/>
        </w:rPr>
        <w:t>is </w:t>
      </w:r>
      <w:r>
        <w:rPr>
          <w:spacing w:val="-3"/>
          <w:w w:val="105"/>
        </w:rPr>
        <w:t>to </w:t>
      </w:r>
      <w:r>
        <w:rPr>
          <w:w w:val="105"/>
        </w:rPr>
        <w:t>be dealt with.</w:t>
      </w:r>
    </w:p>
    <w:p>
      <w:pPr>
        <w:pStyle w:val="ListParagraph"/>
        <w:numPr>
          <w:ilvl w:val="1"/>
          <w:numId w:val="99"/>
        </w:numPr>
        <w:tabs>
          <w:tab w:pos="2380" w:val="left" w:leader="none"/>
          <w:tab w:pos="2381" w:val="left" w:leader="none"/>
        </w:tabs>
        <w:spacing w:line="242" w:lineRule="auto" w:before="122" w:after="0"/>
        <w:ind w:left="2380" w:right="1728" w:hanging="793"/>
        <w:jc w:val="left"/>
        <w:rPr>
          <w:sz w:val="21"/>
        </w:rPr>
      </w:pPr>
      <w:r>
        <w:rPr>
          <w:sz w:val="21"/>
        </w:rPr>
        <w:t>This modification should apply only </w:t>
      </w:r>
      <w:r>
        <w:rPr>
          <w:spacing w:val="-3"/>
          <w:sz w:val="21"/>
        </w:rPr>
        <w:t>to </w:t>
      </w:r>
      <w:r>
        <w:rPr>
          <w:sz w:val="21"/>
        </w:rPr>
        <w:t>trees in zones </w:t>
      </w:r>
      <w:r>
        <w:rPr>
          <w:spacing w:val="-3"/>
          <w:sz w:val="21"/>
        </w:rPr>
        <w:t>captured </w:t>
      </w:r>
      <w:r>
        <w:rPr>
          <w:sz w:val="21"/>
        </w:rPr>
        <w:t>under the proposed statutory scheme as recommended in </w:t>
      </w:r>
      <w:r>
        <w:rPr>
          <w:spacing w:val="-4"/>
          <w:sz w:val="21"/>
        </w:rPr>
        <w:t>Chapter </w:t>
      </w:r>
      <w:r>
        <w:rPr>
          <w:sz w:val="21"/>
        </w:rPr>
        <w:t>5. For </w:t>
      </w:r>
      <w:r>
        <w:rPr>
          <w:spacing w:val="-3"/>
          <w:sz w:val="21"/>
        </w:rPr>
        <w:t>example, </w:t>
      </w:r>
      <w:r>
        <w:rPr>
          <w:sz w:val="21"/>
        </w:rPr>
        <w:t>in the </w:t>
      </w:r>
      <w:r>
        <w:rPr>
          <w:spacing w:val="-3"/>
          <w:sz w:val="21"/>
        </w:rPr>
        <w:t>farming </w:t>
      </w:r>
      <w:r>
        <w:rPr>
          <w:sz w:val="21"/>
        </w:rPr>
        <w:t>context, it  </w:t>
      </w:r>
      <w:r>
        <w:rPr>
          <w:spacing w:val="-3"/>
          <w:sz w:val="21"/>
        </w:rPr>
        <w:t>may </w:t>
      </w:r>
      <w:r>
        <w:rPr>
          <w:sz w:val="21"/>
        </w:rPr>
        <w:t>be important </w:t>
      </w:r>
      <w:r>
        <w:rPr>
          <w:spacing w:val="-3"/>
          <w:sz w:val="21"/>
        </w:rPr>
        <w:t>to return </w:t>
      </w:r>
      <w:r>
        <w:rPr>
          <w:sz w:val="21"/>
        </w:rPr>
        <w:t>tree parts </w:t>
      </w:r>
      <w:r>
        <w:rPr>
          <w:spacing w:val="-3"/>
          <w:sz w:val="21"/>
        </w:rPr>
        <w:t>such </w:t>
      </w:r>
      <w:r>
        <w:rPr>
          <w:sz w:val="21"/>
        </w:rPr>
        <w:t>as </w:t>
      </w:r>
      <w:r>
        <w:rPr>
          <w:spacing w:val="-3"/>
          <w:sz w:val="21"/>
        </w:rPr>
        <w:t>branches containing </w:t>
      </w:r>
      <w:r>
        <w:rPr>
          <w:sz w:val="21"/>
        </w:rPr>
        <w:t>important </w:t>
      </w:r>
      <w:r>
        <w:rPr>
          <w:spacing w:val="-3"/>
          <w:sz w:val="21"/>
        </w:rPr>
        <w:t>produce </w:t>
      </w:r>
      <w:r>
        <w:rPr>
          <w:sz w:val="21"/>
        </w:rPr>
        <w:t>or feed </w:t>
      </w:r>
      <w:r>
        <w:rPr>
          <w:spacing w:val="-3"/>
          <w:sz w:val="21"/>
        </w:rPr>
        <w:t>for</w:t>
      </w:r>
      <w:r>
        <w:rPr>
          <w:spacing w:val="16"/>
          <w:sz w:val="21"/>
        </w:rPr>
        <w:t> </w:t>
      </w:r>
      <w:r>
        <w:rPr>
          <w:spacing w:val="-3"/>
          <w:sz w:val="21"/>
        </w:rPr>
        <w:t>animals.</w:t>
      </w:r>
    </w:p>
    <w:p>
      <w:pPr>
        <w:pStyle w:val="ListParagraph"/>
        <w:numPr>
          <w:ilvl w:val="1"/>
          <w:numId w:val="99"/>
        </w:numPr>
        <w:tabs>
          <w:tab w:pos="2380" w:val="left" w:leader="none"/>
          <w:tab w:pos="2381" w:val="left" w:leader="none"/>
        </w:tabs>
        <w:spacing w:line="242" w:lineRule="auto" w:before="124" w:after="0"/>
        <w:ind w:left="2380" w:right="1714" w:hanging="794"/>
        <w:jc w:val="left"/>
        <w:rPr>
          <w:sz w:val="21"/>
        </w:rPr>
      </w:pPr>
      <w:r>
        <w:rPr>
          <w:sz w:val="21"/>
        </w:rPr>
        <w:t>It should </w:t>
      </w:r>
      <w:r>
        <w:rPr>
          <w:spacing w:val="-2"/>
          <w:sz w:val="21"/>
        </w:rPr>
        <w:t>not </w:t>
      </w:r>
      <w:r>
        <w:rPr>
          <w:sz w:val="21"/>
        </w:rPr>
        <w:t>be necessary </w:t>
      </w:r>
      <w:r>
        <w:rPr>
          <w:spacing w:val="-3"/>
          <w:sz w:val="21"/>
        </w:rPr>
        <w:t>to require </w:t>
      </w:r>
      <w:r>
        <w:rPr>
          <w:sz w:val="21"/>
        </w:rPr>
        <w:t>an affected </w:t>
      </w:r>
      <w:r>
        <w:rPr>
          <w:spacing w:val="-3"/>
          <w:sz w:val="21"/>
        </w:rPr>
        <w:t>neighbour  to  </w:t>
      </w:r>
      <w:r>
        <w:rPr>
          <w:sz w:val="21"/>
        </w:rPr>
        <w:t>give  </w:t>
      </w:r>
      <w:r>
        <w:rPr>
          <w:spacing w:val="-3"/>
          <w:sz w:val="21"/>
        </w:rPr>
        <w:t>notice  to  </w:t>
      </w:r>
      <w:r>
        <w:rPr>
          <w:sz w:val="21"/>
        </w:rPr>
        <w:t>a  tree </w:t>
      </w:r>
      <w:r>
        <w:rPr>
          <w:spacing w:val="-4"/>
          <w:sz w:val="21"/>
        </w:rPr>
        <w:t>owner, </w:t>
      </w:r>
      <w:r>
        <w:rPr>
          <w:sz w:val="21"/>
        </w:rPr>
        <w:t>whether </w:t>
      </w:r>
      <w:r>
        <w:rPr>
          <w:spacing w:val="-3"/>
          <w:sz w:val="21"/>
        </w:rPr>
        <w:t>verbally </w:t>
      </w:r>
      <w:r>
        <w:rPr>
          <w:sz w:val="21"/>
        </w:rPr>
        <w:t>or in </w:t>
      </w:r>
      <w:r>
        <w:rPr>
          <w:spacing w:val="-3"/>
          <w:sz w:val="21"/>
        </w:rPr>
        <w:t>writing, before abating. </w:t>
      </w:r>
      <w:r>
        <w:rPr>
          <w:sz w:val="21"/>
        </w:rPr>
        <w:t>This would </w:t>
      </w:r>
      <w:r>
        <w:rPr>
          <w:spacing w:val="-3"/>
          <w:sz w:val="21"/>
        </w:rPr>
        <w:t>limit </w:t>
      </w:r>
      <w:r>
        <w:rPr>
          <w:sz w:val="21"/>
        </w:rPr>
        <w:t>the operation of a self-help</w:t>
      </w:r>
      <w:r>
        <w:rPr>
          <w:spacing w:val="9"/>
          <w:sz w:val="21"/>
        </w:rPr>
        <w:t> </w:t>
      </w:r>
      <w:r>
        <w:rPr>
          <w:sz w:val="21"/>
        </w:rPr>
        <w:t>remedy</w:t>
      </w:r>
      <w:r>
        <w:rPr>
          <w:spacing w:val="9"/>
          <w:sz w:val="21"/>
        </w:rPr>
        <w:t> </w:t>
      </w:r>
      <w:r>
        <w:rPr>
          <w:spacing w:val="-3"/>
          <w:sz w:val="21"/>
        </w:rPr>
        <w:t>that</w:t>
      </w:r>
      <w:r>
        <w:rPr>
          <w:spacing w:val="9"/>
          <w:sz w:val="21"/>
        </w:rPr>
        <w:t> </w:t>
      </w:r>
      <w:r>
        <w:rPr>
          <w:sz w:val="21"/>
        </w:rPr>
        <w:t>is</w:t>
      </w:r>
      <w:r>
        <w:rPr>
          <w:spacing w:val="10"/>
          <w:sz w:val="21"/>
        </w:rPr>
        <w:t> </w:t>
      </w:r>
      <w:r>
        <w:rPr>
          <w:spacing w:val="-3"/>
          <w:sz w:val="21"/>
        </w:rPr>
        <w:t>quick,</w:t>
      </w:r>
      <w:r>
        <w:rPr>
          <w:spacing w:val="9"/>
          <w:sz w:val="21"/>
        </w:rPr>
        <w:t> </w:t>
      </w:r>
      <w:r>
        <w:rPr>
          <w:spacing w:val="-3"/>
          <w:sz w:val="21"/>
        </w:rPr>
        <w:t>simple</w:t>
      </w:r>
      <w:r>
        <w:rPr>
          <w:spacing w:val="9"/>
          <w:sz w:val="21"/>
        </w:rPr>
        <w:t> </w:t>
      </w:r>
      <w:r>
        <w:rPr>
          <w:sz w:val="21"/>
        </w:rPr>
        <w:t>and</w:t>
      </w:r>
      <w:r>
        <w:rPr>
          <w:spacing w:val="9"/>
          <w:sz w:val="21"/>
        </w:rPr>
        <w:t> </w:t>
      </w:r>
      <w:r>
        <w:rPr>
          <w:spacing w:val="-4"/>
          <w:sz w:val="21"/>
        </w:rPr>
        <w:t>timely.</w:t>
      </w:r>
    </w:p>
    <w:p>
      <w:pPr>
        <w:pStyle w:val="ListParagraph"/>
        <w:numPr>
          <w:ilvl w:val="1"/>
          <w:numId w:val="99"/>
        </w:numPr>
        <w:tabs>
          <w:tab w:pos="2380" w:val="left" w:leader="none"/>
          <w:tab w:pos="2381" w:val="left" w:leader="none"/>
        </w:tabs>
        <w:spacing w:line="242" w:lineRule="auto" w:before="124" w:after="0"/>
        <w:ind w:left="2380" w:right="1794" w:hanging="794"/>
        <w:jc w:val="left"/>
        <w:rPr>
          <w:sz w:val="21"/>
        </w:rPr>
      </w:pPr>
      <w:r>
        <w:rPr>
          <w:spacing w:val="-2"/>
          <w:sz w:val="21"/>
        </w:rPr>
        <w:t>Abatement </w:t>
      </w:r>
      <w:r>
        <w:rPr>
          <w:sz w:val="21"/>
        </w:rPr>
        <w:t>should </w:t>
      </w:r>
      <w:r>
        <w:rPr>
          <w:spacing w:val="-3"/>
          <w:sz w:val="21"/>
        </w:rPr>
        <w:t>remain </w:t>
      </w:r>
      <w:r>
        <w:rPr>
          <w:sz w:val="21"/>
        </w:rPr>
        <w:t>subject </w:t>
      </w:r>
      <w:r>
        <w:rPr>
          <w:spacing w:val="-3"/>
          <w:sz w:val="21"/>
        </w:rPr>
        <w:t>to </w:t>
      </w:r>
      <w:r>
        <w:rPr>
          <w:sz w:val="21"/>
        </w:rPr>
        <w:t>permit </w:t>
      </w:r>
      <w:r>
        <w:rPr>
          <w:spacing w:val="-3"/>
          <w:sz w:val="21"/>
        </w:rPr>
        <w:t>requirements  </w:t>
      </w:r>
      <w:r>
        <w:rPr>
          <w:sz w:val="21"/>
        </w:rPr>
        <w:t>under local </w:t>
      </w:r>
      <w:r>
        <w:rPr>
          <w:spacing w:val="-3"/>
          <w:sz w:val="21"/>
        </w:rPr>
        <w:t>planning</w:t>
      </w:r>
      <w:r>
        <w:rPr>
          <w:spacing w:val="41"/>
          <w:sz w:val="21"/>
        </w:rPr>
        <w:t> </w:t>
      </w:r>
      <w:r>
        <w:rPr>
          <w:sz w:val="21"/>
        </w:rPr>
        <w:t>schemes  or other laws </w:t>
      </w:r>
      <w:r>
        <w:rPr>
          <w:spacing w:val="-3"/>
          <w:sz w:val="21"/>
        </w:rPr>
        <w:t>that </w:t>
      </w:r>
      <w:r>
        <w:rPr>
          <w:sz w:val="21"/>
        </w:rPr>
        <w:t>seek </w:t>
      </w:r>
      <w:r>
        <w:rPr>
          <w:spacing w:val="-3"/>
          <w:sz w:val="21"/>
        </w:rPr>
        <w:t>to </w:t>
      </w:r>
      <w:r>
        <w:rPr>
          <w:sz w:val="21"/>
        </w:rPr>
        <w:t>protect vegetation. This would act as an </w:t>
      </w:r>
      <w:r>
        <w:rPr>
          <w:spacing w:val="-3"/>
          <w:sz w:val="21"/>
        </w:rPr>
        <w:t>adequate safeguard against indiscriminate </w:t>
      </w:r>
      <w:r>
        <w:rPr>
          <w:sz w:val="21"/>
        </w:rPr>
        <w:t>and </w:t>
      </w:r>
      <w:r>
        <w:rPr>
          <w:spacing w:val="-3"/>
          <w:sz w:val="21"/>
        </w:rPr>
        <w:t>potentially harmful pruning </w:t>
      </w:r>
      <w:r>
        <w:rPr>
          <w:sz w:val="21"/>
        </w:rPr>
        <w:t>or cutting of </w:t>
      </w:r>
      <w:r>
        <w:rPr>
          <w:spacing w:val="-3"/>
          <w:sz w:val="21"/>
        </w:rPr>
        <w:t>environmentally </w:t>
      </w:r>
      <w:r>
        <w:rPr>
          <w:sz w:val="21"/>
        </w:rPr>
        <w:t>and </w:t>
      </w:r>
      <w:r>
        <w:rPr>
          <w:spacing w:val="-3"/>
          <w:sz w:val="21"/>
        </w:rPr>
        <w:t>culturally significant</w:t>
      </w:r>
      <w:r>
        <w:rPr>
          <w:spacing w:val="20"/>
          <w:sz w:val="21"/>
        </w:rPr>
        <w:t> </w:t>
      </w:r>
      <w:r>
        <w:rPr>
          <w:sz w:val="21"/>
        </w:rPr>
        <w:t>trees.</w:t>
      </w:r>
    </w:p>
    <w:p>
      <w:pPr>
        <w:pStyle w:val="Heading7"/>
      </w:pPr>
      <w:r>
        <w:rPr>
          <w:w w:val="110"/>
        </w:rPr>
        <w:t>Abatement costs</w:t>
      </w:r>
    </w:p>
    <w:p>
      <w:pPr>
        <w:pStyle w:val="ListParagraph"/>
        <w:numPr>
          <w:ilvl w:val="1"/>
          <w:numId w:val="99"/>
        </w:numPr>
        <w:tabs>
          <w:tab w:pos="2381" w:val="left" w:leader="none"/>
          <w:tab w:pos="2382" w:val="left" w:leader="none"/>
        </w:tabs>
        <w:spacing w:line="242" w:lineRule="auto" w:before="143" w:after="0"/>
        <w:ind w:left="2381" w:right="1623" w:hanging="794"/>
        <w:jc w:val="left"/>
        <w:rPr>
          <w:sz w:val="21"/>
        </w:rPr>
      </w:pPr>
      <w:r>
        <w:rPr>
          <w:spacing w:val="-3"/>
          <w:w w:val="105"/>
          <w:sz w:val="21"/>
        </w:rPr>
        <w:t>Many </w:t>
      </w:r>
      <w:r>
        <w:rPr>
          <w:w w:val="105"/>
          <w:sz w:val="21"/>
        </w:rPr>
        <w:t>affected neighbours find the </w:t>
      </w:r>
      <w:r>
        <w:rPr>
          <w:spacing w:val="-3"/>
          <w:w w:val="105"/>
          <w:sz w:val="21"/>
        </w:rPr>
        <w:t>limited </w:t>
      </w:r>
      <w:r>
        <w:rPr>
          <w:w w:val="105"/>
          <w:sz w:val="21"/>
        </w:rPr>
        <w:t>scope </w:t>
      </w:r>
      <w:r>
        <w:rPr>
          <w:spacing w:val="-3"/>
          <w:w w:val="105"/>
          <w:sz w:val="21"/>
        </w:rPr>
        <w:t>to recoup </w:t>
      </w:r>
      <w:r>
        <w:rPr>
          <w:w w:val="105"/>
          <w:sz w:val="21"/>
        </w:rPr>
        <w:t>the costs of </w:t>
      </w:r>
      <w:r>
        <w:rPr>
          <w:spacing w:val="-3"/>
          <w:w w:val="105"/>
          <w:sz w:val="21"/>
        </w:rPr>
        <w:t>abatement </w:t>
      </w:r>
      <w:r>
        <w:rPr>
          <w:spacing w:val="-6"/>
          <w:w w:val="105"/>
          <w:sz w:val="21"/>
        </w:rPr>
        <w:t>unfair. </w:t>
      </w:r>
      <w:r>
        <w:rPr>
          <w:w w:val="105"/>
          <w:sz w:val="21"/>
        </w:rPr>
        <w:t>The affected </w:t>
      </w:r>
      <w:r>
        <w:rPr>
          <w:spacing w:val="-3"/>
          <w:w w:val="105"/>
          <w:sz w:val="21"/>
        </w:rPr>
        <w:t>neighbour </w:t>
      </w:r>
      <w:r>
        <w:rPr>
          <w:w w:val="105"/>
          <w:sz w:val="21"/>
        </w:rPr>
        <w:t>is </w:t>
      </w:r>
      <w:r>
        <w:rPr>
          <w:spacing w:val="-3"/>
          <w:w w:val="105"/>
          <w:sz w:val="21"/>
        </w:rPr>
        <w:t>generally </w:t>
      </w:r>
      <w:r>
        <w:rPr>
          <w:w w:val="105"/>
          <w:sz w:val="21"/>
        </w:rPr>
        <w:t>wholly </w:t>
      </w:r>
      <w:r>
        <w:rPr>
          <w:spacing w:val="-3"/>
          <w:w w:val="105"/>
          <w:sz w:val="21"/>
        </w:rPr>
        <w:t>responsible for </w:t>
      </w:r>
      <w:r>
        <w:rPr>
          <w:w w:val="105"/>
          <w:sz w:val="21"/>
        </w:rPr>
        <w:t>the cost. The tree owner is </w:t>
      </w:r>
      <w:r>
        <w:rPr>
          <w:spacing w:val="-2"/>
          <w:w w:val="105"/>
          <w:sz w:val="21"/>
        </w:rPr>
        <w:t>not </w:t>
      </w:r>
      <w:r>
        <w:rPr>
          <w:spacing w:val="-3"/>
          <w:w w:val="105"/>
          <w:sz w:val="21"/>
        </w:rPr>
        <w:t>required to </w:t>
      </w:r>
      <w:r>
        <w:rPr>
          <w:w w:val="105"/>
          <w:sz w:val="21"/>
        </w:rPr>
        <w:t>reimburse the affected </w:t>
      </w:r>
      <w:r>
        <w:rPr>
          <w:spacing w:val="-3"/>
          <w:w w:val="105"/>
          <w:sz w:val="21"/>
        </w:rPr>
        <w:t>neighbour </w:t>
      </w:r>
      <w:r>
        <w:rPr>
          <w:w w:val="105"/>
          <w:sz w:val="21"/>
        </w:rPr>
        <w:t>or </w:t>
      </w:r>
      <w:r>
        <w:rPr>
          <w:spacing w:val="-3"/>
          <w:w w:val="105"/>
          <w:sz w:val="21"/>
        </w:rPr>
        <w:t>contribute to </w:t>
      </w:r>
      <w:r>
        <w:rPr>
          <w:w w:val="105"/>
          <w:sz w:val="21"/>
        </w:rPr>
        <w:t>the </w:t>
      </w:r>
      <w:r>
        <w:rPr>
          <w:spacing w:val="-5"/>
          <w:w w:val="105"/>
          <w:sz w:val="21"/>
        </w:rPr>
        <w:t>cost.</w:t>
      </w:r>
      <w:r>
        <w:rPr>
          <w:spacing w:val="-5"/>
          <w:w w:val="105"/>
          <w:position w:val="7"/>
          <w:sz w:val="12"/>
        </w:rPr>
        <w:t>159 </w:t>
      </w:r>
      <w:r>
        <w:rPr>
          <w:spacing w:val="-4"/>
          <w:w w:val="105"/>
          <w:sz w:val="21"/>
        </w:rPr>
        <w:t>However, </w:t>
      </w:r>
      <w:r>
        <w:rPr>
          <w:w w:val="105"/>
          <w:sz w:val="21"/>
        </w:rPr>
        <w:t>the </w:t>
      </w:r>
      <w:r>
        <w:rPr>
          <w:spacing w:val="-3"/>
          <w:w w:val="105"/>
          <w:sz w:val="21"/>
        </w:rPr>
        <w:t>Commission</w:t>
      </w:r>
      <w:r>
        <w:rPr>
          <w:spacing w:val="-5"/>
          <w:w w:val="105"/>
          <w:sz w:val="21"/>
        </w:rPr>
        <w:t> </w:t>
      </w:r>
      <w:r>
        <w:rPr>
          <w:w w:val="105"/>
          <w:sz w:val="21"/>
        </w:rPr>
        <w:t>does</w:t>
      </w:r>
      <w:r>
        <w:rPr>
          <w:spacing w:val="-5"/>
          <w:w w:val="105"/>
          <w:sz w:val="21"/>
        </w:rPr>
        <w:t> </w:t>
      </w:r>
      <w:r>
        <w:rPr>
          <w:spacing w:val="-2"/>
          <w:w w:val="105"/>
          <w:sz w:val="21"/>
        </w:rPr>
        <w:t>not</w:t>
      </w:r>
      <w:r>
        <w:rPr>
          <w:spacing w:val="-5"/>
          <w:w w:val="105"/>
          <w:sz w:val="21"/>
        </w:rPr>
        <w:t> </w:t>
      </w:r>
      <w:r>
        <w:rPr>
          <w:w w:val="105"/>
          <w:sz w:val="21"/>
        </w:rPr>
        <w:t>support</w:t>
      </w:r>
      <w:r>
        <w:rPr>
          <w:spacing w:val="-5"/>
          <w:w w:val="105"/>
          <w:sz w:val="21"/>
        </w:rPr>
        <w:t> </w:t>
      </w:r>
      <w:r>
        <w:rPr>
          <w:w w:val="105"/>
          <w:sz w:val="21"/>
        </w:rPr>
        <w:t>the</w:t>
      </w:r>
      <w:r>
        <w:rPr>
          <w:spacing w:val="-5"/>
          <w:w w:val="105"/>
          <w:sz w:val="21"/>
        </w:rPr>
        <w:t> </w:t>
      </w:r>
      <w:r>
        <w:rPr>
          <w:w w:val="105"/>
          <w:sz w:val="21"/>
        </w:rPr>
        <w:t>modification</w:t>
      </w:r>
      <w:r>
        <w:rPr>
          <w:spacing w:val="-5"/>
          <w:w w:val="105"/>
          <w:sz w:val="21"/>
        </w:rPr>
        <w:t> </w:t>
      </w:r>
      <w:r>
        <w:rPr>
          <w:w w:val="105"/>
          <w:sz w:val="21"/>
        </w:rPr>
        <w:t>of</w:t>
      </w:r>
      <w:r>
        <w:rPr>
          <w:spacing w:val="-5"/>
          <w:w w:val="105"/>
          <w:sz w:val="21"/>
        </w:rPr>
        <w:t> </w:t>
      </w:r>
      <w:r>
        <w:rPr>
          <w:spacing w:val="-3"/>
          <w:w w:val="105"/>
          <w:sz w:val="21"/>
        </w:rPr>
        <w:t>abatement</w:t>
      </w:r>
      <w:r>
        <w:rPr>
          <w:spacing w:val="-5"/>
          <w:w w:val="105"/>
          <w:sz w:val="21"/>
        </w:rPr>
        <w:t> </w:t>
      </w:r>
      <w:r>
        <w:rPr>
          <w:w w:val="105"/>
          <w:sz w:val="21"/>
        </w:rPr>
        <w:t>so</w:t>
      </w:r>
      <w:r>
        <w:rPr>
          <w:spacing w:val="-5"/>
          <w:w w:val="105"/>
          <w:sz w:val="21"/>
        </w:rPr>
        <w:t> </w:t>
      </w:r>
      <w:r>
        <w:rPr>
          <w:spacing w:val="-3"/>
          <w:w w:val="105"/>
          <w:sz w:val="21"/>
        </w:rPr>
        <w:t>that</w:t>
      </w:r>
      <w:r>
        <w:rPr>
          <w:spacing w:val="-5"/>
          <w:w w:val="105"/>
          <w:sz w:val="21"/>
        </w:rPr>
        <w:t> </w:t>
      </w:r>
      <w:r>
        <w:rPr>
          <w:w w:val="105"/>
          <w:sz w:val="21"/>
        </w:rPr>
        <w:t>affected</w:t>
      </w:r>
      <w:r>
        <w:rPr>
          <w:spacing w:val="-5"/>
          <w:w w:val="105"/>
          <w:sz w:val="21"/>
        </w:rPr>
        <w:t> </w:t>
      </w:r>
      <w:r>
        <w:rPr>
          <w:w w:val="105"/>
          <w:sz w:val="21"/>
        </w:rPr>
        <w:t>neighbours can </w:t>
      </w:r>
      <w:r>
        <w:rPr>
          <w:spacing w:val="-3"/>
          <w:w w:val="105"/>
          <w:sz w:val="21"/>
        </w:rPr>
        <w:t>recoup from </w:t>
      </w:r>
      <w:r>
        <w:rPr>
          <w:w w:val="105"/>
          <w:sz w:val="21"/>
        </w:rPr>
        <w:t>the tree owner </w:t>
      </w:r>
      <w:r>
        <w:rPr>
          <w:spacing w:val="-3"/>
          <w:w w:val="105"/>
          <w:sz w:val="21"/>
        </w:rPr>
        <w:t>any </w:t>
      </w:r>
      <w:r>
        <w:rPr>
          <w:w w:val="105"/>
          <w:sz w:val="21"/>
        </w:rPr>
        <w:t>costs</w:t>
      </w:r>
      <w:r>
        <w:rPr>
          <w:spacing w:val="43"/>
          <w:w w:val="105"/>
          <w:sz w:val="21"/>
        </w:rPr>
        <w:t> </w:t>
      </w:r>
      <w:r>
        <w:rPr>
          <w:spacing w:val="-3"/>
          <w:w w:val="105"/>
          <w:sz w:val="21"/>
        </w:rPr>
        <w:t>incurred.</w:t>
      </w:r>
    </w:p>
    <w:p>
      <w:pPr>
        <w:pStyle w:val="ListParagraph"/>
        <w:numPr>
          <w:ilvl w:val="1"/>
          <w:numId w:val="99"/>
        </w:numPr>
        <w:tabs>
          <w:tab w:pos="2381" w:val="left" w:leader="none"/>
          <w:tab w:pos="2382" w:val="left" w:leader="none"/>
        </w:tabs>
        <w:spacing w:line="242" w:lineRule="auto" w:before="125" w:after="0"/>
        <w:ind w:left="2381" w:right="1808" w:hanging="794"/>
        <w:jc w:val="left"/>
        <w:rPr>
          <w:sz w:val="21"/>
        </w:rPr>
      </w:pPr>
      <w:r>
        <w:rPr>
          <w:spacing w:val="-2"/>
          <w:sz w:val="21"/>
        </w:rPr>
        <w:t>Abatement </w:t>
      </w:r>
      <w:r>
        <w:rPr>
          <w:sz w:val="21"/>
        </w:rPr>
        <w:t>was developed under the </w:t>
      </w:r>
      <w:r>
        <w:rPr>
          <w:spacing w:val="-2"/>
          <w:sz w:val="21"/>
        </w:rPr>
        <w:t>common </w:t>
      </w:r>
      <w:r>
        <w:rPr>
          <w:sz w:val="21"/>
        </w:rPr>
        <w:t>law </w:t>
      </w:r>
      <w:r>
        <w:rPr>
          <w:spacing w:val="-3"/>
          <w:sz w:val="21"/>
        </w:rPr>
        <w:t>for any </w:t>
      </w:r>
      <w:r>
        <w:rPr>
          <w:sz w:val="21"/>
        </w:rPr>
        <w:t>type of </w:t>
      </w:r>
      <w:r>
        <w:rPr>
          <w:spacing w:val="-3"/>
          <w:sz w:val="21"/>
        </w:rPr>
        <w:t>private </w:t>
      </w:r>
      <w:r>
        <w:rPr>
          <w:spacing w:val="-4"/>
          <w:sz w:val="21"/>
        </w:rPr>
        <w:t>nuisance.</w:t>
      </w:r>
      <w:r>
        <w:rPr>
          <w:spacing w:val="-4"/>
          <w:position w:val="7"/>
          <w:sz w:val="12"/>
        </w:rPr>
        <w:t>160</w:t>
      </w:r>
      <w:r>
        <w:rPr>
          <w:spacing w:val="-4"/>
          <w:sz w:val="12"/>
        </w:rPr>
        <w:t> </w:t>
      </w:r>
      <w:r>
        <w:rPr>
          <w:spacing w:val="-3"/>
          <w:sz w:val="21"/>
        </w:rPr>
        <w:t>Allowing </w:t>
      </w:r>
      <w:r>
        <w:rPr>
          <w:sz w:val="21"/>
        </w:rPr>
        <w:t>an affected </w:t>
      </w:r>
      <w:r>
        <w:rPr>
          <w:spacing w:val="-3"/>
          <w:sz w:val="21"/>
        </w:rPr>
        <w:t>neighbour to recoup </w:t>
      </w:r>
      <w:r>
        <w:rPr>
          <w:sz w:val="21"/>
        </w:rPr>
        <w:t>the costs of </w:t>
      </w:r>
      <w:r>
        <w:rPr>
          <w:spacing w:val="-3"/>
          <w:sz w:val="21"/>
        </w:rPr>
        <w:t>abatement </w:t>
      </w:r>
      <w:r>
        <w:rPr>
          <w:sz w:val="21"/>
        </w:rPr>
        <w:t>in the context of tree </w:t>
      </w:r>
      <w:r>
        <w:rPr>
          <w:spacing w:val="-3"/>
          <w:sz w:val="21"/>
        </w:rPr>
        <w:t>disputes </w:t>
      </w:r>
      <w:r>
        <w:rPr>
          <w:sz w:val="21"/>
        </w:rPr>
        <w:t>would </w:t>
      </w:r>
      <w:r>
        <w:rPr>
          <w:spacing w:val="-3"/>
          <w:sz w:val="21"/>
        </w:rPr>
        <w:t>substantially displace </w:t>
      </w:r>
      <w:r>
        <w:rPr>
          <w:sz w:val="21"/>
        </w:rPr>
        <w:t>the  established  </w:t>
      </w:r>
      <w:r>
        <w:rPr>
          <w:spacing w:val="-2"/>
          <w:sz w:val="21"/>
        </w:rPr>
        <w:t>common  </w:t>
      </w:r>
      <w:r>
        <w:rPr>
          <w:spacing w:val="-5"/>
          <w:sz w:val="21"/>
        </w:rPr>
        <w:t>law,  </w:t>
      </w:r>
      <w:r>
        <w:rPr>
          <w:sz w:val="21"/>
        </w:rPr>
        <w:t>which  only  allows the costs </w:t>
      </w:r>
      <w:r>
        <w:rPr>
          <w:spacing w:val="-3"/>
          <w:sz w:val="21"/>
        </w:rPr>
        <w:t>to </w:t>
      </w:r>
      <w:r>
        <w:rPr>
          <w:sz w:val="21"/>
        </w:rPr>
        <w:t>be </w:t>
      </w:r>
      <w:r>
        <w:rPr>
          <w:spacing w:val="-3"/>
          <w:sz w:val="21"/>
        </w:rPr>
        <w:t>recovered </w:t>
      </w:r>
      <w:r>
        <w:rPr>
          <w:sz w:val="21"/>
        </w:rPr>
        <w:t>in </w:t>
      </w:r>
      <w:r>
        <w:rPr>
          <w:spacing w:val="-3"/>
          <w:sz w:val="21"/>
        </w:rPr>
        <w:t>limited circumstances </w:t>
      </w:r>
      <w:r>
        <w:rPr>
          <w:sz w:val="21"/>
        </w:rPr>
        <w:t>where an affected </w:t>
      </w:r>
      <w:r>
        <w:rPr>
          <w:spacing w:val="-3"/>
          <w:sz w:val="21"/>
        </w:rPr>
        <w:t>neighbour </w:t>
      </w:r>
      <w:r>
        <w:rPr>
          <w:spacing w:val="-2"/>
          <w:sz w:val="21"/>
        </w:rPr>
        <w:t>has </w:t>
      </w:r>
      <w:r>
        <w:rPr>
          <w:sz w:val="21"/>
        </w:rPr>
        <w:t>an </w:t>
      </w:r>
      <w:r>
        <w:rPr>
          <w:spacing w:val="-3"/>
          <w:sz w:val="21"/>
        </w:rPr>
        <w:t>obligation to mitigate </w:t>
      </w:r>
      <w:r>
        <w:rPr>
          <w:sz w:val="21"/>
        </w:rPr>
        <w:t>damage </w:t>
      </w:r>
      <w:r>
        <w:rPr>
          <w:spacing w:val="-3"/>
          <w:sz w:val="21"/>
        </w:rPr>
        <w:t>that </w:t>
      </w:r>
      <w:r>
        <w:rPr>
          <w:sz w:val="21"/>
        </w:rPr>
        <w:t>is </w:t>
      </w:r>
      <w:r>
        <w:rPr>
          <w:spacing w:val="-3"/>
          <w:sz w:val="21"/>
        </w:rPr>
        <w:t>already </w:t>
      </w:r>
      <w:r>
        <w:rPr>
          <w:spacing w:val="-5"/>
          <w:sz w:val="21"/>
        </w:rPr>
        <w:t>occurring.</w:t>
      </w:r>
      <w:r>
        <w:rPr>
          <w:spacing w:val="-5"/>
          <w:position w:val="7"/>
          <w:sz w:val="12"/>
        </w:rPr>
        <w:t>161 </w:t>
      </w:r>
      <w:r>
        <w:rPr>
          <w:sz w:val="21"/>
        </w:rPr>
        <w:t>It  would  also  </w:t>
      </w:r>
      <w:r>
        <w:rPr>
          <w:spacing w:val="-3"/>
          <w:sz w:val="21"/>
        </w:rPr>
        <w:t>alter  </w:t>
      </w:r>
      <w:r>
        <w:rPr>
          <w:sz w:val="21"/>
        </w:rPr>
        <w:t>the  </w:t>
      </w:r>
      <w:r>
        <w:rPr>
          <w:spacing w:val="-4"/>
          <w:sz w:val="21"/>
        </w:rPr>
        <w:t>‘self- </w:t>
      </w:r>
      <w:r>
        <w:rPr>
          <w:spacing w:val="-3"/>
          <w:sz w:val="21"/>
        </w:rPr>
        <w:t>help’ nature </w:t>
      </w:r>
      <w:r>
        <w:rPr>
          <w:sz w:val="21"/>
        </w:rPr>
        <w:t>of the </w:t>
      </w:r>
      <w:r>
        <w:rPr>
          <w:spacing w:val="-3"/>
          <w:sz w:val="21"/>
        </w:rPr>
        <w:t>remedy, </w:t>
      </w:r>
      <w:r>
        <w:rPr>
          <w:sz w:val="21"/>
        </w:rPr>
        <w:t>by </w:t>
      </w:r>
      <w:r>
        <w:rPr>
          <w:spacing w:val="-3"/>
          <w:sz w:val="21"/>
        </w:rPr>
        <w:t>making </w:t>
      </w:r>
      <w:r>
        <w:rPr>
          <w:sz w:val="21"/>
        </w:rPr>
        <w:t>the remedy dependent on or affected by the cooperation or </w:t>
      </w:r>
      <w:r>
        <w:rPr>
          <w:spacing w:val="-3"/>
          <w:sz w:val="21"/>
        </w:rPr>
        <w:t>contribution </w:t>
      </w:r>
      <w:r>
        <w:rPr>
          <w:sz w:val="21"/>
        </w:rPr>
        <w:t>of </w:t>
      </w:r>
      <w:r>
        <w:rPr>
          <w:spacing w:val="-3"/>
          <w:sz w:val="21"/>
        </w:rPr>
        <w:t>another</w:t>
      </w:r>
      <w:r>
        <w:rPr>
          <w:spacing w:val="4"/>
          <w:sz w:val="21"/>
        </w:rPr>
        <w:t> </w:t>
      </w:r>
      <w:r>
        <w:rPr>
          <w:sz w:val="21"/>
        </w:rPr>
        <w:t>party.</w:t>
      </w:r>
    </w:p>
    <w:p>
      <w:pPr>
        <w:pStyle w:val="ListParagraph"/>
        <w:numPr>
          <w:ilvl w:val="1"/>
          <w:numId w:val="99"/>
        </w:numPr>
        <w:tabs>
          <w:tab w:pos="2381" w:val="left" w:leader="none"/>
          <w:tab w:pos="2382" w:val="left" w:leader="none"/>
        </w:tabs>
        <w:spacing w:line="242" w:lineRule="auto" w:before="128" w:after="0"/>
        <w:ind w:left="2381" w:right="1649" w:hanging="794"/>
        <w:jc w:val="left"/>
        <w:rPr>
          <w:sz w:val="21"/>
        </w:rPr>
      </w:pPr>
      <w:r>
        <w:rPr>
          <w:spacing w:val="-4"/>
          <w:sz w:val="21"/>
        </w:rPr>
        <w:t>Finally,  </w:t>
      </w:r>
      <w:r>
        <w:rPr>
          <w:sz w:val="21"/>
        </w:rPr>
        <w:t>it </w:t>
      </w:r>
      <w:r>
        <w:rPr>
          <w:spacing w:val="-3"/>
          <w:sz w:val="21"/>
        </w:rPr>
        <w:t>may  place  </w:t>
      </w:r>
      <w:r>
        <w:rPr>
          <w:sz w:val="21"/>
        </w:rPr>
        <w:t>an </w:t>
      </w:r>
      <w:r>
        <w:rPr>
          <w:spacing w:val="-4"/>
          <w:sz w:val="21"/>
        </w:rPr>
        <w:t>unfair  </w:t>
      </w:r>
      <w:r>
        <w:rPr>
          <w:sz w:val="21"/>
        </w:rPr>
        <w:t>cost burden on the tree owner </w:t>
      </w:r>
      <w:r>
        <w:rPr>
          <w:spacing w:val="-3"/>
          <w:sz w:val="21"/>
        </w:rPr>
        <w:t>for  </w:t>
      </w:r>
      <w:r>
        <w:rPr>
          <w:sz w:val="21"/>
        </w:rPr>
        <w:t>the </w:t>
      </w:r>
      <w:r>
        <w:rPr>
          <w:spacing w:val="-3"/>
          <w:sz w:val="21"/>
        </w:rPr>
        <w:t>simple</w:t>
      </w:r>
      <w:r>
        <w:rPr>
          <w:spacing w:val="41"/>
          <w:sz w:val="21"/>
        </w:rPr>
        <w:t> </w:t>
      </w:r>
      <w:r>
        <w:rPr>
          <w:sz w:val="21"/>
        </w:rPr>
        <w:t>fact of </w:t>
      </w:r>
      <w:r>
        <w:rPr>
          <w:spacing w:val="-3"/>
          <w:sz w:val="21"/>
        </w:rPr>
        <w:t>having  </w:t>
      </w:r>
      <w:r>
        <w:rPr>
          <w:sz w:val="21"/>
        </w:rPr>
        <w:t>a tree on their </w:t>
      </w:r>
      <w:r>
        <w:rPr>
          <w:spacing w:val="-3"/>
          <w:sz w:val="21"/>
        </w:rPr>
        <w:t>land. </w:t>
      </w:r>
      <w:r>
        <w:rPr>
          <w:sz w:val="21"/>
        </w:rPr>
        <w:t>Neighbours who </w:t>
      </w:r>
      <w:r>
        <w:rPr>
          <w:spacing w:val="-3"/>
          <w:sz w:val="21"/>
        </w:rPr>
        <w:t>are concerned </w:t>
      </w:r>
      <w:r>
        <w:rPr>
          <w:sz w:val="21"/>
        </w:rPr>
        <w:t>about the costs of </w:t>
      </w:r>
      <w:r>
        <w:rPr>
          <w:spacing w:val="-3"/>
          <w:sz w:val="21"/>
        </w:rPr>
        <w:t>abatement may </w:t>
      </w:r>
      <w:r>
        <w:rPr>
          <w:sz w:val="21"/>
        </w:rPr>
        <w:t>choose </w:t>
      </w:r>
      <w:r>
        <w:rPr>
          <w:spacing w:val="-3"/>
          <w:sz w:val="21"/>
        </w:rPr>
        <w:t>to informally negotiate  </w:t>
      </w:r>
      <w:r>
        <w:rPr>
          <w:sz w:val="21"/>
        </w:rPr>
        <w:t>an </w:t>
      </w:r>
      <w:r>
        <w:rPr>
          <w:spacing w:val="-3"/>
          <w:sz w:val="21"/>
        </w:rPr>
        <w:t>arrangement</w:t>
      </w:r>
      <w:r>
        <w:rPr>
          <w:spacing w:val="41"/>
          <w:sz w:val="21"/>
        </w:rPr>
        <w:t> </w:t>
      </w:r>
      <w:r>
        <w:rPr>
          <w:sz w:val="21"/>
        </w:rPr>
        <w:t>with the tree </w:t>
      </w:r>
      <w:r>
        <w:rPr>
          <w:spacing w:val="-4"/>
          <w:sz w:val="21"/>
        </w:rPr>
        <w:t>owner,  </w:t>
      </w:r>
      <w:r>
        <w:rPr>
          <w:sz w:val="21"/>
        </w:rPr>
        <w:t>engage in mediation  or </w:t>
      </w:r>
      <w:r>
        <w:rPr>
          <w:spacing w:val="-3"/>
          <w:sz w:val="21"/>
        </w:rPr>
        <w:t>take  </w:t>
      </w:r>
      <w:r>
        <w:rPr>
          <w:sz w:val="21"/>
        </w:rPr>
        <w:t>legal action under the new Act if the </w:t>
      </w:r>
      <w:r>
        <w:rPr>
          <w:spacing w:val="-3"/>
          <w:sz w:val="21"/>
        </w:rPr>
        <w:t>overhanging</w:t>
      </w:r>
      <w:r>
        <w:rPr>
          <w:spacing w:val="41"/>
          <w:sz w:val="21"/>
        </w:rPr>
        <w:t> </w:t>
      </w:r>
      <w:r>
        <w:rPr>
          <w:spacing w:val="-3"/>
          <w:sz w:val="21"/>
        </w:rPr>
        <w:t>branch  </w:t>
      </w:r>
      <w:r>
        <w:rPr>
          <w:spacing w:val="-2"/>
          <w:sz w:val="21"/>
        </w:rPr>
        <w:t>has  </w:t>
      </w:r>
      <w:r>
        <w:rPr>
          <w:sz w:val="21"/>
        </w:rPr>
        <w:t>caused damage or     is </w:t>
      </w:r>
      <w:r>
        <w:rPr>
          <w:spacing w:val="-4"/>
          <w:sz w:val="21"/>
        </w:rPr>
        <w:t>likely </w:t>
      </w:r>
      <w:r>
        <w:rPr>
          <w:spacing w:val="-3"/>
          <w:sz w:val="21"/>
        </w:rPr>
        <w:t>to </w:t>
      </w:r>
      <w:r>
        <w:rPr>
          <w:sz w:val="21"/>
        </w:rPr>
        <w:t>cause damage or </w:t>
      </w:r>
      <w:r>
        <w:rPr>
          <w:spacing w:val="-3"/>
          <w:sz w:val="21"/>
        </w:rPr>
        <w:t>harm. </w:t>
      </w:r>
      <w:r>
        <w:rPr>
          <w:sz w:val="21"/>
        </w:rPr>
        <w:t>In the discussion </w:t>
      </w:r>
      <w:r>
        <w:rPr>
          <w:spacing w:val="-4"/>
          <w:sz w:val="21"/>
        </w:rPr>
        <w:t>below, </w:t>
      </w:r>
      <w:r>
        <w:rPr>
          <w:sz w:val="21"/>
        </w:rPr>
        <w:t>the </w:t>
      </w:r>
      <w:r>
        <w:rPr>
          <w:spacing w:val="-3"/>
          <w:sz w:val="21"/>
        </w:rPr>
        <w:t>Commission </w:t>
      </w:r>
      <w:r>
        <w:rPr>
          <w:sz w:val="21"/>
        </w:rPr>
        <w:t>also proposes </w:t>
      </w:r>
      <w:r>
        <w:rPr>
          <w:spacing w:val="-3"/>
          <w:sz w:val="21"/>
        </w:rPr>
        <w:t>that </w:t>
      </w:r>
      <w:r>
        <w:rPr>
          <w:sz w:val="21"/>
        </w:rPr>
        <w:t>further </w:t>
      </w:r>
      <w:r>
        <w:rPr>
          <w:spacing w:val="-3"/>
          <w:sz w:val="21"/>
        </w:rPr>
        <w:t>consideration </w:t>
      </w:r>
      <w:r>
        <w:rPr>
          <w:sz w:val="21"/>
        </w:rPr>
        <w:t>is given </w:t>
      </w:r>
      <w:r>
        <w:rPr>
          <w:spacing w:val="-3"/>
          <w:sz w:val="21"/>
        </w:rPr>
        <w:t>to </w:t>
      </w:r>
      <w:r>
        <w:rPr>
          <w:sz w:val="21"/>
        </w:rPr>
        <w:t>a </w:t>
      </w:r>
      <w:r>
        <w:rPr>
          <w:spacing w:val="-3"/>
          <w:sz w:val="21"/>
        </w:rPr>
        <w:t>formal branch removal  </w:t>
      </w:r>
      <w:r>
        <w:rPr>
          <w:sz w:val="21"/>
        </w:rPr>
        <w:t>process  in  the  new  Act which would provide scope </w:t>
      </w:r>
      <w:r>
        <w:rPr>
          <w:spacing w:val="-3"/>
          <w:sz w:val="21"/>
        </w:rPr>
        <w:t>to recover limited </w:t>
      </w:r>
      <w:r>
        <w:rPr>
          <w:sz w:val="21"/>
        </w:rPr>
        <w:t>costs associated with some</w:t>
      </w:r>
      <w:r>
        <w:rPr>
          <w:spacing w:val="6"/>
          <w:sz w:val="21"/>
        </w:rPr>
        <w:t> </w:t>
      </w:r>
      <w:r>
        <w:rPr>
          <w:spacing w:val="-3"/>
          <w:sz w:val="21"/>
        </w:rPr>
        <w:t>abatement.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3"/>
        </w:rPr>
      </w:pPr>
      <w:r>
        <w:rPr/>
        <w:pict>
          <v:line style="position:absolute;mso-position-horizontal-relative:page;mso-position-vertical-relative:paragraph;z-index:6152;mso-wrap-distance-left:0;mso-wrap-distance-right:0" from="79.370102pt,10.72423pt" to="515.905102pt,10.7242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04"/>
        </w:numPr>
        <w:tabs>
          <w:tab w:pos="2380" w:val="left" w:leader="none"/>
          <w:tab w:pos="2382" w:val="left" w:leader="none"/>
        </w:tabs>
        <w:spacing w:line="240" w:lineRule="auto" w:before="48" w:after="0"/>
        <w:ind w:left="2381"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 </w:t>
      </w:r>
      <w:r>
        <w:rPr>
          <w:spacing w:val="3"/>
          <w:w w:val="105"/>
          <w:sz w:val="13"/>
        </w:rPr>
        <w:t>54(2); </w:t>
      </w:r>
      <w:r>
        <w:rPr>
          <w:w w:val="105"/>
          <w:sz w:val="13"/>
        </w:rPr>
        <w:t>Queensland Law Reform Commission, </w:t>
      </w:r>
      <w:r>
        <w:rPr>
          <w:i/>
          <w:w w:val="105"/>
          <w:sz w:val="13"/>
        </w:rPr>
        <w:t>Review of the </w:t>
      </w:r>
      <w:r>
        <w:rPr>
          <w:i/>
          <w:w w:val="105"/>
          <w:sz w:val="13"/>
        </w:rPr>
        <w:t>Neighbourhood</w:t>
      </w:r>
      <w:r>
        <w:rPr>
          <w:i/>
          <w:spacing w:val="6"/>
          <w:w w:val="105"/>
          <w:sz w:val="13"/>
        </w:rPr>
        <w:t> </w:t>
      </w:r>
      <w:r>
        <w:rPr>
          <w:i/>
          <w:w w:val="105"/>
          <w:sz w:val="13"/>
        </w:rPr>
        <w:t>Disputes</w:t>
      </w:r>
      <w:r>
        <w:rPr>
          <w:i/>
          <w:spacing w:val="6"/>
          <w:w w:val="105"/>
          <w:sz w:val="13"/>
        </w:rPr>
        <w:t> </w:t>
      </w:r>
      <w:r>
        <w:rPr>
          <w:i/>
          <w:w w:val="105"/>
          <w:sz w:val="13"/>
        </w:rPr>
        <w:t>(Dividing</w:t>
      </w:r>
      <w:r>
        <w:rPr>
          <w:i/>
          <w:spacing w:val="6"/>
          <w:w w:val="105"/>
          <w:sz w:val="13"/>
        </w:rPr>
        <w:t> </w:t>
      </w:r>
      <w:r>
        <w:rPr>
          <w:i/>
          <w:w w:val="105"/>
          <w:sz w:val="13"/>
        </w:rPr>
        <w:t>Fences</w:t>
      </w:r>
      <w:r>
        <w:rPr>
          <w:i/>
          <w:spacing w:val="6"/>
          <w:w w:val="105"/>
          <w:sz w:val="13"/>
        </w:rPr>
        <w:t> </w:t>
      </w:r>
      <w:r>
        <w:rPr>
          <w:i/>
          <w:w w:val="105"/>
          <w:sz w:val="13"/>
        </w:rPr>
        <w:t>and</w:t>
      </w:r>
      <w:r>
        <w:rPr>
          <w:i/>
          <w:spacing w:val="6"/>
          <w:w w:val="105"/>
          <w:sz w:val="13"/>
        </w:rPr>
        <w:t> </w:t>
      </w:r>
      <w:r>
        <w:rPr>
          <w:i/>
          <w:w w:val="105"/>
          <w:sz w:val="13"/>
        </w:rPr>
        <w:t>Trees)</w:t>
      </w:r>
      <w:r>
        <w:rPr>
          <w:i/>
          <w:spacing w:val="7"/>
          <w:w w:val="105"/>
          <w:sz w:val="13"/>
        </w:rPr>
        <w:t> </w:t>
      </w:r>
      <w:r>
        <w:rPr>
          <w:i/>
          <w:w w:val="105"/>
          <w:sz w:val="13"/>
        </w:rPr>
        <w:t>Act</w:t>
      </w:r>
      <w:r>
        <w:rPr>
          <w:i/>
          <w:spacing w:val="6"/>
          <w:w w:val="105"/>
          <w:sz w:val="13"/>
        </w:rPr>
        <w:t> </w:t>
      </w:r>
      <w:r>
        <w:rPr>
          <w:i/>
          <w:spacing w:val="-4"/>
          <w:w w:val="105"/>
          <w:sz w:val="13"/>
        </w:rPr>
        <w:t>2011</w:t>
      </w:r>
      <w:r>
        <w:rPr>
          <w:i/>
          <w:spacing w:val="6"/>
          <w:w w:val="105"/>
          <w:sz w:val="13"/>
        </w:rPr>
        <w:t> </w:t>
      </w:r>
      <w:r>
        <w:rPr>
          <w:spacing w:val="2"/>
          <w:w w:val="105"/>
          <w:sz w:val="13"/>
        </w:rPr>
        <w:t>(Report</w:t>
      </w:r>
      <w:r>
        <w:rPr>
          <w:spacing w:val="6"/>
          <w:w w:val="105"/>
          <w:sz w:val="13"/>
        </w:rPr>
        <w:t> </w:t>
      </w:r>
      <w:r>
        <w:rPr>
          <w:w w:val="105"/>
          <w:sz w:val="13"/>
        </w:rPr>
        <w:t>No</w:t>
      </w:r>
      <w:r>
        <w:rPr>
          <w:spacing w:val="6"/>
          <w:w w:val="105"/>
          <w:sz w:val="13"/>
        </w:rPr>
        <w:t> </w:t>
      </w:r>
      <w:r>
        <w:rPr>
          <w:w w:val="105"/>
          <w:sz w:val="13"/>
        </w:rPr>
        <w:t>72,</w:t>
      </w:r>
      <w:r>
        <w:rPr>
          <w:spacing w:val="7"/>
          <w:w w:val="105"/>
          <w:sz w:val="13"/>
        </w:rPr>
        <w:t> </w:t>
      </w:r>
      <w:r>
        <w:rPr>
          <w:w w:val="105"/>
          <w:sz w:val="13"/>
        </w:rPr>
        <w:t>December</w:t>
      </w:r>
      <w:r>
        <w:rPr>
          <w:spacing w:val="6"/>
          <w:w w:val="105"/>
          <w:sz w:val="13"/>
        </w:rPr>
        <w:t> </w:t>
      </w:r>
      <w:r>
        <w:rPr>
          <w:w w:val="105"/>
          <w:sz w:val="13"/>
        </w:rPr>
        <w:t>2015)</w:t>
      </w:r>
      <w:r>
        <w:rPr>
          <w:spacing w:val="6"/>
          <w:w w:val="105"/>
          <w:sz w:val="13"/>
        </w:rPr>
        <w:t> </w:t>
      </w:r>
      <w:r>
        <w:rPr>
          <w:spacing w:val="2"/>
          <w:w w:val="105"/>
          <w:sz w:val="13"/>
        </w:rPr>
        <w:t>[3.261]–[3.262].</w:t>
      </w:r>
    </w:p>
    <w:p>
      <w:pPr>
        <w:pStyle w:val="ListParagraph"/>
        <w:numPr>
          <w:ilvl w:val="0"/>
          <w:numId w:val="104"/>
        </w:numPr>
        <w:tabs>
          <w:tab w:pos="2381" w:val="left" w:leader="none"/>
          <w:tab w:pos="2382" w:val="left" w:leader="none"/>
        </w:tabs>
        <w:spacing w:line="240" w:lineRule="auto" w:before="3" w:after="0"/>
        <w:ind w:left="2381" w:right="0" w:hanging="794"/>
        <w:jc w:val="left"/>
        <w:rPr>
          <w:sz w:val="13"/>
        </w:rPr>
      </w:pPr>
      <w:r>
        <w:rPr>
          <w:i/>
          <w:w w:val="105"/>
          <w:sz w:val="13"/>
        </w:rPr>
        <w:t>Young</w:t>
      </w:r>
      <w:r>
        <w:rPr>
          <w:i/>
          <w:spacing w:val="6"/>
          <w:w w:val="105"/>
          <w:sz w:val="13"/>
        </w:rPr>
        <w:t> </w:t>
      </w:r>
      <w:r>
        <w:rPr>
          <w:i/>
          <w:w w:val="105"/>
          <w:sz w:val="13"/>
        </w:rPr>
        <w:t>v</w:t>
      </w:r>
      <w:r>
        <w:rPr>
          <w:i/>
          <w:spacing w:val="7"/>
          <w:w w:val="105"/>
          <w:sz w:val="13"/>
        </w:rPr>
        <w:t> </w:t>
      </w:r>
      <w:r>
        <w:rPr>
          <w:i/>
          <w:w w:val="105"/>
          <w:sz w:val="13"/>
        </w:rPr>
        <w:t>Wheeler</w:t>
      </w:r>
      <w:r>
        <w:rPr>
          <w:i/>
          <w:spacing w:val="7"/>
          <w:w w:val="105"/>
          <w:sz w:val="13"/>
        </w:rPr>
        <w:t> </w:t>
      </w:r>
      <w:r>
        <w:rPr>
          <w:w w:val="105"/>
          <w:sz w:val="13"/>
        </w:rPr>
        <w:t>(1987)</w:t>
      </w:r>
      <w:r>
        <w:rPr>
          <w:spacing w:val="6"/>
          <w:w w:val="105"/>
          <w:sz w:val="13"/>
        </w:rPr>
        <w:t> </w:t>
      </w:r>
      <w:r>
        <w:rPr>
          <w:w w:val="105"/>
          <w:sz w:val="13"/>
        </w:rPr>
        <w:t>Aust</w:t>
      </w:r>
      <w:r>
        <w:rPr>
          <w:spacing w:val="7"/>
          <w:w w:val="105"/>
          <w:sz w:val="13"/>
        </w:rPr>
        <w:t> </w:t>
      </w:r>
      <w:r>
        <w:rPr>
          <w:w w:val="105"/>
          <w:sz w:val="13"/>
        </w:rPr>
        <w:t>Torts</w:t>
      </w:r>
      <w:r>
        <w:rPr>
          <w:spacing w:val="7"/>
          <w:w w:val="105"/>
          <w:sz w:val="13"/>
        </w:rPr>
        <w:t> </w:t>
      </w:r>
      <w:r>
        <w:rPr>
          <w:spacing w:val="2"/>
          <w:w w:val="105"/>
          <w:sz w:val="13"/>
        </w:rPr>
        <w:t>Reports</w:t>
      </w:r>
      <w:r>
        <w:rPr>
          <w:spacing w:val="7"/>
          <w:w w:val="105"/>
          <w:sz w:val="13"/>
        </w:rPr>
        <w:t> </w:t>
      </w:r>
      <w:r>
        <w:rPr>
          <w:w w:val="105"/>
          <w:sz w:val="13"/>
        </w:rPr>
        <w:t>80–126,</w:t>
      </w:r>
      <w:r>
        <w:rPr>
          <w:spacing w:val="6"/>
          <w:w w:val="105"/>
          <w:sz w:val="13"/>
        </w:rPr>
        <w:t> </w:t>
      </w:r>
      <w:r>
        <w:rPr>
          <w:w w:val="105"/>
          <w:sz w:val="13"/>
        </w:rPr>
        <w:t>68,972;</w:t>
      </w:r>
      <w:r>
        <w:rPr>
          <w:spacing w:val="7"/>
          <w:w w:val="105"/>
          <w:sz w:val="13"/>
        </w:rPr>
        <w:t> </w:t>
      </w:r>
      <w:r>
        <w:rPr>
          <w:i/>
          <w:w w:val="105"/>
          <w:sz w:val="13"/>
        </w:rPr>
        <w:t>City</w:t>
      </w:r>
      <w:r>
        <w:rPr>
          <w:i/>
          <w:spacing w:val="7"/>
          <w:w w:val="105"/>
          <w:sz w:val="13"/>
        </w:rPr>
        <w:t> </w:t>
      </w:r>
      <w:r>
        <w:rPr>
          <w:i/>
          <w:w w:val="105"/>
          <w:sz w:val="13"/>
        </w:rPr>
        <w:t>of</w:t>
      </w:r>
      <w:r>
        <w:rPr>
          <w:i/>
          <w:spacing w:val="7"/>
          <w:w w:val="105"/>
          <w:sz w:val="13"/>
        </w:rPr>
        <w:t> </w:t>
      </w:r>
      <w:r>
        <w:rPr>
          <w:i/>
          <w:w w:val="105"/>
          <w:sz w:val="13"/>
        </w:rPr>
        <w:t>Richmond</w:t>
      </w:r>
      <w:r>
        <w:rPr>
          <w:i/>
          <w:spacing w:val="6"/>
          <w:w w:val="105"/>
          <w:sz w:val="13"/>
        </w:rPr>
        <w:t> </w:t>
      </w:r>
      <w:r>
        <w:rPr>
          <w:i/>
          <w:w w:val="105"/>
          <w:sz w:val="13"/>
        </w:rPr>
        <w:t>v</w:t>
      </w:r>
      <w:r>
        <w:rPr>
          <w:i/>
          <w:spacing w:val="7"/>
          <w:w w:val="105"/>
          <w:sz w:val="13"/>
        </w:rPr>
        <w:t> </w:t>
      </w:r>
      <w:r>
        <w:rPr>
          <w:i/>
          <w:w w:val="105"/>
          <w:sz w:val="13"/>
        </w:rPr>
        <w:t>Scantelbury</w:t>
      </w:r>
      <w:r>
        <w:rPr>
          <w:i/>
          <w:spacing w:val="7"/>
          <w:w w:val="105"/>
          <w:sz w:val="13"/>
        </w:rPr>
        <w:t> </w:t>
      </w:r>
      <w:r>
        <w:rPr>
          <w:w w:val="105"/>
          <w:sz w:val="13"/>
        </w:rPr>
        <w:t>[1991]</w:t>
      </w:r>
      <w:r>
        <w:rPr>
          <w:spacing w:val="7"/>
          <w:w w:val="105"/>
          <w:sz w:val="13"/>
        </w:rPr>
        <w:t> </w:t>
      </w:r>
      <w:r>
        <w:rPr>
          <w:w w:val="105"/>
          <w:sz w:val="13"/>
        </w:rPr>
        <w:t>2</w:t>
      </w:r>
      <w:r>
        <w:rPr>
          <w:spacing w:val="6"/>
          <w:w w:val="105"/>
          <w:sz w:val="13"/>
        </w:rPr>
        <w:t> </w:t>
      </w:r>
      <w:r>
        <w:rPr>
          <w:w w:val="105"/>
          <w:sz w:val="13"/>
        </w:rPr>
        <w:t>VR</w:t>
      </w:r>
      <w:r>
        <w:rPr>
          <w:spacing w:val="7"/>
          <w:w w:val="105"/>
          <w:sz w:val="13"/>
        </w:rPr>
        <w:t> </w:t>
      </w:r>
      <w:r>
        <w:rPr>
          <w:w w:val="105"/>
          <w:sz w:val="13"/>
        </w:rPr>
        <w:t>38,</w:t>
      </w:r>
      <w:r>
        <w:rPr>
          <w:spacing w:val="7"/>
          <w:w w:val="105"/>
          <w:sz w:val="13"/>
        </w:rPr>
        <w:t> </w:t>
      </w:r>
      <w:r>
        <w:rPr>
          <w:spacing w:val="2"/>
          <w:w w:val="105"/>
          <w:sz w:val="13"/>
        </w:rPr>
        <w:t>48.</w:t>
      </w:r>
    </w:p>
    <w:p>
      <w:pPr>
        <w:pStyle w:val="ListParagraph"/>
        <w:numPr>
          <w:ilvl w:val="0"/>
          <w:numId w:val="104"/>
        </w:numPr>
        <w:tabs>
          <w:tab w:pos="2381" w:val="left" w:leader="none"/>
          <w:tab w:pos="2382" w:val="left" w:leader="none"/>
        </w:tabs>
        <w:spacing w:line="240" w:lineRule="auto" w:before="1" w:after="0"/>
        <w:ind w:left="2381" w:right="0" w:hanging="794"/>
        <w:jc w:val="left"/>
        <w:rPr>
          <w:sz w:val="13"/>
        </w:rPr>
      </w:pPr>
      <w:r>
        <w:rPr>
          <w:i/>
          <w:w w:val="105"/>
          <w:sz w:val="13"/>
        </w:rPr>
        <w:t>Lemmon</w:t>
      </w:r>
      <w:r>
        <w:rPr>
          <w:i/>
          <w:spacing w:val="5"/>
          <w:w w:val="105"/>
          <w:sz w:val="13"/>
        </w:rPr>
        <w:t> </w:t>
      </w:r>
      <w:r>
        <w:rPr>
          <w:i/>
          <w:w w:val="105"/>
          <w:sz w:val="13"/>
        </w:rPr>
        <w:t>v</w:t>
      </w:r>
      <w:r>
        <w:rPr>
          <w:i/>
          <w:spacing w:val="6"/>
          <w:w w:val="105"/>
          <w:sz w:val="13"/>
        </w:rPr>
        <w:t> </w:t>
      </w:r>
      <w:r>
        <w:rPr>
          <w:i/>
          <w:w w:val="105"/>
          <w:sz w:val="13"/>
        </w:rPr>
        <w:t>Webb</w:t>
      </w:r>
      <w:r>
        <w:rPr>
          <w:i/>
          <w:spacing w:val="6"/>
          <w:w w:val="105"/>
          <w:sz w:val="13"/>
        </w:rPr>
        <w:t> </w:t>
      </w:r>
      <w:r>
        <w:rPr>
          <w:w w:val="105"/>
          <w:sz w:val="13"/>
        </w:rPr>
        <w:t>[1895]</w:t>
      </w:r>
      <w:r>
        <w:rPr>
          <w:spacing w:val="5"/>
          <w:w w:val="105"/>
          <w:sz w:val="13"/>
        </w:rPr>
        <w:t> </w:t>
      </w:r>
      <w:r>
        <w:rPr>
          <w:w w:val="105"/>
          <w:sz w:val="13"/>
        </w:rPr>
        <w:t>AC</w:t>
      </w:r>
      <w:r>
        <w:rPr>
          <w:spacing w:val="6"/>
          <w:w w:val="105"/>
          <w:sz w:val="13"/>
        </w:rPr>
        <w:t> </w:t>
      </w:r>
      <w:r>
        <w:rPr>
          <w:w w:val="105"/>
          <w:sz w:val="13"/>
        </w:rPr>
        <w:t>1;</w:t>
      </w:r>
      <w:r>
        <w:rPr>
          <w:spacing w:val="6"/>
          <w:w w:val="105"/>
          <w:sz w:val="13"/>
        </w:rPr>
        <w:t> </w:t>
      </w:r>
      <w:r>
        <w:rPr>
          <w:i/>
          <w:w w:val="105"/>
          <w:sz w:val="13"/>
        </w:rPr>
        <w:t>Young</w:t>
      </w:r>
      <w:r>
        <w:rPr>
          <w:i/>
          <w:spacing w:val="5"/>
          <w:w w:val="105"/>
          <w:sz w:val="13"/>
        </w:rPr>
        <w:t> </w:t>
      </w:r>
      <w:r>
        <w:rPr>
          <w:i/>
          <w:w w:val="105"/>
          <w:sz w:val="13"/>
        </w:rPr>
        <w:t>v</w:t>
      </w:r>
      <w:r>
        <w:rPr>
          <w:i/>
          <w:spacing w:val="6"/>
          <w:w w:val="105"/>
          <w:sz w:val="13"/>
        </w:rPr>
        <w:t> </w:t>
      </w:r>
      <w:r>
        <w:rPr>
          <w:i/>
          <w:w w:val="105"/>
          <w:sz w:val="13"/>
        </w:rPr>
        <w:t>Wheeler</w:t>
      </w:r>
      <w:r>
        <w:rPr>
          <w:i/>
          <w:spacing w:val="6"/>
          <w:w w:val="105"/>
          <w:sz w:val="13"/>
        </w:rPr>
        <w:t> </w:t>
      </w:r>
      <w:r>
        <w:rPr>
          <w:w w:val="105"/>
          <w:sz w:val="13"/>
        </w:rPr>
        <w:t>[1987]</w:t>
      </w:r>
      <w:r>
        <w:rPr>
          <w:spacing w:val="5"/>
          <w:w w:val="105"/>
          <w:sz w:val="13"/>
        </w:rPr>
        <w:t> </w:t>
      </w:r>
      <w:r>
        <w:rPr>
          <w:w w:val="105"/>
          <w:sz w:val="13"/>
        </w:rPr>
        <w:t>Aust</w:t>
      </w:r>
      <w:r>
        <w:rPr>
          <w:spacing w:val="6"/>
          <w:w w:val="105"/>
          <w:sz w:val="13"/>
        </w:rPr>
        <w:t> </w:t>
      </w:r>
      <w:r>
        <w:rPr>
          <w:w w:val="105"/>
          <w:sz w:val="13"/>
        </w:rPr>
        <w:t>Torts</w:t>
      </w:r>
      <w:r>
        <w:rPr>
          <w:spacing w:val="6"/>
          <w:w w:val="105"/>
          <w:sz w:val="13"/>
        </w:rPr>
        <w:t> </w:t>
      </w:r>
      <w:r>
        <w:rPr>
          <w:spacing w:val="2"/>
          <w:w w:val="105"/>
          <w:sz w:val="13"/>
        </w:rPr>
        <w:t>Reports</w:t>
      </w:r>
      <w:r>
        <w:rPr>
          <w:spacing w:val="6"/>
          <w:w w:val="105"/>
          <w:sz w:val="13"/>
        </w:rPr>
        <w:t> </w:t>
      </w:r>
      <w:r>
        <w:rPr>
          <w:w w:val="105"/>
          <w:sz w:val="13"/>
        </w:rPr>
        <w:t>s</w:t>
      </w:r>
      <w:r>
        <w:rPr>
          <w:spacing w:val="5"/>
          <w:w w:val="105"/>
          <w:sz w:val="13"/>
        </w:rPr>
        <w:t> </w:t>
      </w:r>
      <w:r>
        <w:rPr>
          <w:w w:val="105"/>
          <w:sz w:val="13"/>
        </w:rPr>
        <w:t>80–126,</w:t>
      </w:r>
      <w:r>
        <w:rPr>
          <w:spacing w:val="6"/>
          <w:w w:val="105"/>
          <w:sz w:val="13"/>
        </w:rPr>
        <w:t> </w:t>
      </w:r>
      <w:r>
        <w:rPr>
          <w:w w:val="105"/>
          <w:sz w:val="13"/>
        </w:rPr>
        <w:t>68,970.</w:t>
      </w:r>
    </w:p>
    <w:p>
      <w:pPr>
        <w:pStyle w:val="ListParagraph"/>
        <w:numPr>
          <w:ilvl w:val="0"/>
          <w:numId w:val="104"/>
        </w:numPr>
        <w:tabs>
          <w:tab w:pos="2381" w:val="left" w:leader="none"/>
          <w:tab w:pos="2382" w:val="left" w:leader="none"/>
        </w:tabs>
        <w:spacing w:line="240" w:lineRule="auto" w:before="1" w:after="0"/>
        <w:ind w:left="2381" w:right="0" w:hanging="794"/>
        <w:jc w:val="left"/>
        <w:rPr>
          <w:sz w:val="13"/>
        </w:rPr>
      </w:pPr>
      <w:r>
        <w:rPr>
          <w:i/>
          <w:w w:val="105"/>
          <w:sz w:val="13"/>
        </w:rPr>
        <w:t>Proprietors of Strata Plan No </w:t>
      </w:r>
      <w:r>
        <w:rPr>
          <w:i/>
          <w:spacing w:val="-4"/>
          <w:w w:val="105"/>
          <w:sz w:val="13"/>
        </w:rPr>
        <w:t>14198 </w:t>
      </w:r>
      <w:r>
        <w:rPr>
          <w:i/>
          <w:w w:val="105"/>
          <w:sz w:val="13"/>
        </w:rPr>
        <w:t>v Cowell </w:t>
      </w:r>
      <w:r>
        <w:rPr>
          <w:w w:val="105"/>
          <w:sz w:val="13"/>
        </w:rPr>
        <w:t>(1989) 24 </w:t>
      </w:r>
      <w:r>
        <w:rPr>
          <w:spacing w:val="2"/>
          <w:w w:val="105"/>
          <w:sz w:val="13"/>
        </w:rPr>
        <w:t>NSWLR </w:t>
      </w:r>
      <w:r>
        <w:rPr>
          <w:w w:val="105"/>
          <w:sz w:val="13"/>
        </w:rPr>
        <w:t>478,</w:t>
      </w:r>
      <w:r>
        <w:rPr>
          <w:spacing w:val="3"/>
          <w:w w:val="105"/>
          <w:sz w:val="13"/>
        </w:rPr>
        <w:t> </w:t>
      </w:r>
      <w:r>
        <w:rPr>
          <w:w w:val="105"/>
          <w:sz w:val="13"/>
        </w:rPr>
        <w:t>487.</w:t>
      </w:r>
    </w:p>
    <w:p>
      <w:pPr>
        <w:pStyle w:val="BodyText"/>
        <w:rPr>
          <w:sz w:val="28"/>
        </w:rPr>
      </w:pPr>
      <w:r>
        <w:rPr/>
        <w:br w:type="column"/>
      </w:r>
      <w:r>
        <w:rPr>
          <w:sz w:val="28"/>
        </w:rPr>
      </w:r>
    </w:p>
    <w:p>
      <w:pPr>
        <w:spacing w:before="241"/>
        <w:ind w:left="1177" w:right="0" w:firstLine="0"/>
        <w:jc w:val="left"/>
        <w:rPr>
          <w:b/>
          <w:sz w:val="24"/>
        </w:rPr>
      </w:pPr>
      <w:r>
        <w:rPr>
          <w:b/>
          <w:color w:val="658464"/>
          <w:w w:val="110"/>
          <w:sz w:val="24"/>
        </w:rPr>
        <w:t>127</w:t>
      </w:r>
    </w:p>
    <w:p>
      <w:pPr>
        <w:spacing w:after="0"/>
        <w:jc w:val="left"/>
        <w:rPr>
          <w:sz w:val="24"/>
        </w:rPr>
        <w:sectPr>
          <w:type w:val="continuous"/>
          <w:pgSz w:w="11910" w:h="16840"/>
          <w:pgMar w:top="300" w:bottom="280" w:left="0" w:right="0"/>
          <w:cols w:num="2" w:equalWidth="0">
            <w:col w:w="9702" w:space="40"/>
            <w:col w:w="2168"/>
          </w:cols>
        </w:sectPr>
      </w:pPr>
    </w:p>
    <w:p>
      <w:pPr>
        <w:pStyle w:val="BodyText"/>
        <w:spacing w:before="2"/>
        <w:rPr>
          <w:b/>
          <w:sz w:val="22"/>
        </w:rPr>
      </w:pPr>
    </w:p>
    <w:p>
      <w:pPr>
        <w:pStyle w:val="Heading7"/>
        <w:spacing w:before="97"/>
      </w:pPr>
      <w:r>
        <w:rPr>
          <w:w w:val="115"/>
        </w:rPr>
        <w:t>Entry onto the tree owner’s land</w:t>
      </w:r>
    </w:p>
    <w:p>
      <w:pPr>
        <w:pStyle w:val="ListParagraph"/>
        <w:numPr>
          <w:ilvl w:val="1"/>
          <w:numId w:val="99"/>
        </w:numPr>
        <w:tabs>
          <w:tab w:pos="2381" w:val="left" w:leader="none"/>
          <w:tab w:pos="2382" w:val="left" w:leader="none"/>
        </w:tabs>
        <w:spacing w:line="242" w:lineRule="auto" w:before="142" w:after="0"/>
        <w:ind w:left="2381" w:right="1642" w:hanging="794"/>
        <w:jc w:val="left"/>
        <w:rPr>
          <w:sz w:val="12"/>
        </w:rPr>
      </w:pPr>
      <w:r>
        <w:rPr>
          <w:spacing w:val="-3"/>
          <w:w w:val="105"/>
          <w:sz w:val="21"/>
        </w:rPr>
        <w:t>Access</w:t>
      </w:r>
      <w:r>
        <w:rPr>
          <w:spacing w:val="-6"/>
          <w:w w:val="105"/>
          <w:sz w:val="21"/>
        </w:rPr>
        <w:t> </w:t>
      </w:r>
      <w:r>
        <w:rPr>
          <w:spacing w:val="-3"/>
          <w:w w:val="105"/>
          <w:sz w:val="21"/>
        </w:rPr>
        <w:t>to</w:t>
      </w:r>
      <w:r>
        <w:rPr>
          <w:spacing w:val="-6"/>
          <w:w w:val="105"/>
          <w:sz w:val="21"/>
        </w:rPr>
        <w:t> </w:t>
      </w:r>
      <w:r>
        <w:rPr>
          <w:w w:val="105"/>
          <w:sz w:val="21"/>
        </w:rPr>
        <w:t>the</w:t>
      </w:r>
      <w:r>
        <w:rPr>
          <w:spacing w:val="-6"/>
          <w:w w:val="105"/>
          <w:sz w:val="21"/>
        </w:rPr>
        <w:t> </w:t>
      </w:r>
      <w:r>
        <w:rPr>
          <w:w w:val="105"/>
          <w:sz w:val="21"/>
        </w:rPr>
        <w:t>tree</w:t>
      </w:r>
      <w:r>
        <w:rPr>
          <w:spacing w:val="-5"/>
          <w:w w:val="105"/>
          <w:sz w:val="21"/>
        </w:rPr>
        <w:t> </w:t>
      </w:r>
      <w:r>
        <w:rPr>
          <w:spacing w:val="-3"/>
          <w:w w:val="105"/>
          <w:sz w:val="21"/>
        </w:rPr>
        <w:t>owner’s</w:t>
      </w:r>
      <w:r>
        <w:rPr>
          <w:spacing w:val="-6"/>
          <w:w w:val="105"/>
          <w:sz w:val="21"/>
        </w:rPr>
        <w:t> </w:t>
      </w:r>
      <w:r>
        <w:rPr>
          <w:spacing w:val="-3"/>
          <w:w w:val="105"/>
          <w:sz w:val="21"/>
        </w:rPr>
        <w:t>land</w:t>
      </w:r>
      <w:r>
        <w:rPr>
          <w:spacing w:val="-6"/>
          <w:w w:val="105"/>
          <w:sz w:val="21"/>
        </w:rPr>
        <w:t> </w:t>
      </w:r>
      <w:r>
        <w:rPr>
          <w:spacing w:val="-3"/>
          <w:w w:val="105"/>
          <w:sz w:val="21"/>
        </w:rPr>
        <w:t>may</w:t>
      </w:r>
      <w:r>
        <w:rPr>
          <w:spacing w:val="-6"/>
          <w:w w:val="105"/>
          <w:sz w:val="21"/>
        </w:rPr>
        <w:t> </w:t>
      </w:r>
      <w:r>
        <w:rPr>
          <w:w w:val="105"/>
          <w:sz w:val="21"/>
        </w:rPr>
        <w:t>be</w:t>
      </w:r>
      <w:r>
        <w:rPr>
          <w:spacing w:val="-5"/>
          <w:w w:val="105"/>
          <w:sz w:val="21"/>
        </w:rPr>
        <w:t> </w:t>
      </w:r>
      <w:r>
        <w:rPr>
          <w:w w:val="105"/>
          <w:sz w:val="21"/>
        </w:rPr>
        <w:t>necessary</w:t>
      </w:r>
      <w:r>
        <w:rPr>
          <w:spacing w:val="-6"/>
          <w:w w:val="105"/>
          <w:sz w:val="21"/>
        </w:rPr>
        <w:t> </w:t>
      </w:r>
      <w:r>
        <w:rPr>
          <w:w w:val="105"/>
          <w:sz w:val="21"/>
        </w:rPr>
        <w:t>in</w:t>
      </w:r>
      <w:r>
        <w:rPr>
          <w:spacing w:val="-6"/>
          <w:w w:val="105"/>
          <w:sz w:val="21"/>
        </w:rPr>
        <w:t> </w:t>
      </w:r>
      <w:r>
        <w:rPr>
          <w:w w:val="105"/>
          <w:sz w:val="21"/>
        </w:rPr>
        <w:t>some</w:t>
      </w:r>
      <w:r>
        <w:rPr>
          <w:spacing w:val="-6"/>
          <w:w w:val="105"/>
          <w:sz w:val="21"/>
        </w:rPr>
        <w:t> </w:t>
      </w:r>
      <w:r>
        <w:rPr>
          <w:spacing w:val="-3"/>
          <w:w w:val="105"/>
          <w:sz w:val="21"/>
        </w:rPr>
        <w:t>situations</w:t>
      </w:r>
      <w:r>
        <w:rPr>
          <w:spacing w:val="-5"/>
          <w:w w:val="105"/>
          <w:sz w:val="21"/>
        </w:rPr>
        <w:t> </w:t>
      </w:r>
      <w:r>
        <w:rPr>
          <w:spacing w:val="-3"/>
          <w:w w:val="105"/>
          <w:sz w:val="21"/>
        </w:rPr>
        <w:t>for</w:t>
      </w:r>
      <w:r>
        <w:rPr>
          <w:spacing w:val="-6"/>
          <w:w w:val="105"/>
          <w:sz w:val="21"/>
        </w:rPr>
        <w:t> </w:t>
      </w:r>
      <w:r>
        <w:rPr>
          <w:w w:val="105"/>
          <w:sz w:val="21"/>
        </w:rPr>
        <w:t>practical</w:t>
      </w:r>
      <w:r>
        <w:rPr>
          <w:spacing w:val="-6"/>
          <w:w w:val="105"/>
          <w:sz w:val="21"/>
        </w:rPr>
        <w:t> </w:t>
      </w:r>
      <w:r>
        <w:rPr>
          <w:spacing w:val="-3"/>
          <w:w w:val="105"/>
          <w:sz w:val="21"/>
        </w:rPr>
        <w:t>reasons, such </w:t>
      </w:r>
      <w:r>
        <w:rPr>
          <w:w w:val="105"/>
          <w:sz w:val="21"/>
        </w:rPr>
        <w:t>as where a </w:t>
      </w:r>
      <w:r>
        <w:rPr>
          <w:spacing w:val="-3"/>
          <w:w w:val="105"/>
          <w:sz w:val="21"/>
        </w:rPr>
        <w:t>branch </w:t>
      </w:r>
      <w:r>
        <w:rPr>
          <w:w w:val="105"/>
          <w:sz w:val="21"/>
        </w:rPr>
        <w:t>needs </w:t>
      </w:r>
      <w:r>
        <w:rPr>
          <w:spacing w:val="-3"/>
          <w:w w:val="105"/>
          <w:sz w:val="21"/>
        </w:rPr>
        <w:t>to </w:t>
      </w:r>
      <w:r>
        <w:rPr>
          <w:w w:val="105"/>
          <w:sz w:val="21"/>
        </w:rPr>
        <w:t>be cut at the </w:t>
      </w:r>
      <w:r>
        <w:rPr>
          <w:spacing w:val="-3"/>
          <w:w w:val="105"/>
          <w:sz w:val="21"/>
        </w:rPr>
        <w:t>juncture </w:t>
      </w:r>
      <w:r>
        <w:rPr>
          <w:w w:val="105"/>
          <w:sz w:val="21"/>
        </w:rPr>
        <w:t>of the trunk or </w:t>
      </w:r>
      <w:r>
        <w:rPr>
          <w:spacing w:val="-3"/>
          <w:w w:val="105"/>
          <w:sz w:val="21"/>
        </w:rPr>
        <w:t>main </w:t>
      </w:r>
      <w:r>
        <w:rPr>
          <w:w w:val="105"/>
          <w:sz w:val="21"/>
        </w:rPr>
        <w:t>stem, or in very</w:t>
      </w:r>
      <w:r>
        <w:rPr>
          <w:spacing w:val="-8"/>
          <w:w w:val="105"/>
          <w:sz w:val="21"/>
        </w:rPr>
        <w:t> </w:t>
      </w:r>
      <w:r>
        <w:rPr>
          <w:spacing w:val="-3"/>
          <w:w w:val="105"/>
          <w:sz w:val="21"/>
        </w:rPr>
        <w:t>small</w:t>
      </w:r>
      <w:r>
        <w:rPr>
          <w:spacing w:val="-7"/>
          <w:w w:val="105"/>
          <w:sz w:val="21"/>
        </w:rPr>
        <w:t> </w:t>
      </w:r>
      <w:r>
        <w:rPr>
          <w:w w:val="105"/>
          <w:sz w:val="21"/>
        </w:rPr>
        <w:t>spaces.</w:t>
      </w:r>
      <w:r>
        <w:rPr>
          <w:spacing w:val="-7"/>
          <w:w w:val="105"/>
          <w:sz w:val="21"/>
        </w:rPr>
        <w:t> </w:t>
      </w:r>
      <w:r>
        <w:rPr>
          <w:spacing w:val="-4"/>
          <w:w w:val="105"/>
          <w:sz w:val="21"/>
        </w:rPr>
        <w:t>However,</w:t>
      </w:r>
      <w:r>
        <w:rPr>
          <w:spacing w:val="-8"/>
          <w:w w:val="105"/>
          <w:sz w:val="21"/>
        </w:rPr>
        <w:t> </w:t>
      </w:r>
      <w:r>
        <w:rPr>
          <w:w w:val="105"/>
          <w:sz w:val="21"/>
        </w:rPr>
        <w:t>it</w:t>
      </w:r>
      <w:r>
        <w:rPr>
          <w:spacing w:val="-7"/>
          <w:w w:val="105"/>
          <w:sz w:val="21"/>
        </w:rPr>
        <w:t> </w:t>
      </w:r>
      <w:r>
        <w:rPr>
          <w:w w:val="105"/>
          <w:sz w:val="21"/>
        </w:rPr>
        <w:t>would</w:t>
      </w:r>
      <w:r>
        <w:rPr>
          <w:spacing w:val="-7"/>
          <w:w w:val="105"/>
          <w:sz w:val="21"/>
        </w:rPr>
        <w:t> </w:t>
      </w:r>
      <w:r>
        <w:rPr>
          <w:spacing w:val="-2"/>
          <w:w w:val="105"/>
          <w:sz w:val="21"/>
        </w:rPr>
        <w:t>not</w:t>
      </w:r>
      <w:r>
        <w:rPr>
          <w:spacing w:val="-8"/>
          <w:w w:val="105"/>
          <w:sz w:val="21"/>
        </w:rPr>
        <w:t> </w:t>
      </w:r>
      <w:r>
        <w:rPr>
          <w:w w:val="105"/>
          <w:sz w:val="21"/>
        </w:rPr>
        <w:t>be</w:t>
      </w:r>
      <w:r>
        <w:rPr>
          <w:spacing w:val="-7"/>
          <w:w w:val="105"/>
          <w:sz w:val="21"/>
        </w:rPr>
        <w:t> </w:t>
      </w:r>
      <w:r>
        <w:rPr>
          <w:spacing w:val="-3"/>
          <w:w w:val="105"/>
          <w:sz w:val="21"/>
        </w:rPr>
        <w:t>appropriate</w:t>
      </w:r>
      <w:r>
        <w:rPr>
          <w:spacing w:val="-7"/>
          <w:w w:val="105"/>
          <w:sz w:val="21"/>
        </w:rPr>
        <w:t> </w:t>
      </w:r>
      <w:r>
        <w:rPr>
          <w:spacing w:val="-3"/>
          <w:w w:val="105"/>
          <w:sz w:val="21"/>
        </w:rPr>
        <w:t>to</w:t>
      </w:r>
      <w:r>
        <w:rPr>
          <w:spacing w:val="-7"/>
          <w:w w:val="105"/>
          <w:sz w:val="21"/>
        </w:rPr>
        <w:t> </w:t>
      </w:r>
      <w:r>
        <w:rPr>
          <w:spacing w:val="-3"/>
          <w:w w:val="105"/>
          <w:sz w:val="21"/>
        </w:rPr>
        <w:t>remove</w:t>
      </w:r>
      <w:r>
        <w:rPr>
          <w:spacing w:val="-8"/>
          <w:w w:val="105"/>
          <w:sz w:val="21"/>
        </w:rPr>
        <w:t> </w:t>
      </w:r>
      <w:r>
        <w:rPr>
          <w:spacing w:val="-3"/>
          <w:w w:val="105"/>
          <w:sz w:val="21"/>
        </w:rPr>
        <w:t>liability</w:t>
      </w:r>
      <w:r>
        <w:rPr>
          <w:spacing w:val="-7"/>
          <w:w w:val="105"/>
          <w:sz w:val="21"/>
        </w:rPr>
        <w:t> </w:t>
      </w:r>
      <w:r>
        <w:rPr>
          <w:spacing w:val="-3"/>
          <w:w w:val="105"/>
          <w:sz w:val="21"/>
        </w:rPr>
        <w:t>for</w:t>
      </w:r>
      <w:r>
        <w:rPr>
          <w:spacing w:val="-7"/>
          <w:w w:val="105"/>
          <w:sz w:val="21"/>
        </w:rPr>
        <w:t> </w:t>
      </w:r>
      <w:r>
        <w:rPr>
          <w:w w:val="105"/>
          <w:sz w:val="21"/>
        </w:rPr>
        <w:t>trespass</w:t>
      </w:r>
      <w:r>
        <w:rPr>
          <w:spacing w:val="-8"/>
          <w:w w:val="105"/>
          <w:sz w:val="21"/>
        </w:rPr>
        <w:t> </w:t>
      </w:r>
      <w:r>
        <w:rPr>
          <w:w w:val="105"/>
          <w:sz w:val="21"/>
        </w:rPr>
        <w:t>as it applies </w:t>
      </w:r>
      <w:r>
        <w:rPr>
          <w:spacing w:val="-3"/>
          <w:w w:val="105"/>
          <w:sz w:val="21"/>
        </w:rPr>
        <w:t>to abatement. </w:t>
      </w:r>
      <w:r>
        <w:rPr>
          <w:spacing w:val="-7"/>
          <w:w w:val="105"/>
          <w:sz w:val="21"/>
        </w:rPr>
        <w:t>To </w:t>
      </w:r>
      <w:r>
        <w:rPr>
          <w:w w:val="105"/>
          <w:sz w:val="21"/>
        </w:rPr>
        <w:t>do so would </w:t>
      </w:r>
      <w:r>
        <w:rPr>
          <w:spacing w:val="-3"/>
          <w:w w:val="105"/>
          <w:sz w:val="21"/>
        </w:rPr>
        <w:t>result </w:t>
      </w:r>
      <w:r>
        <w:rPr>
          <w:w w:val="105"/>
          <w:sz w:val="21"/>
        </w:rPr>
        <w:t>in </w:t>
      </w:r>
      <w:r>
        <w:rPr>
          <w:spacing w:val="-3"/>
          <w:w w:val="105"/>
          <w:sz w:val="21"/>
        </w:rPr>
        <w:t>substantial intrusions </w:t>
      </w:r>
      <w:r>
        <w:rPr>
          <w:w w:val="105"/>
          <w:sz w:val="21"/>
        </w:rPr>
        <w:t>on </w:t>
      </w:r>
      <w:r>
        <w:rPr>
          <w:spacing w:val="-3"/>
          <w:w w:val="105"/>
          <w:sz w:val="21"/>
        </w:rPr>
        <w:t>people’s land. Such </w:t>
      </w:r>
      <w:r>
        <w:rPr>
          <w:w w:val="105"/>
          <w:sz w:val="21"/>
        </w:rPr>
        <w:t>a </w:t>
      </w:r>
      <w:r>
        <w:rPr>
          <w:spacing w:val="-3"/>
          <w:w w:val="105"/>
          <w:sz w:val="21"/>
        </w:rPr>
        <w:t>change may create </w:t>
      </w:r>
      <w:r>
        <w:rPr>
          <w:w w:val="105"/>
          <w:sz w:val="21"/>
        </w:rPr>
        <w:t>a </w:t>
      </w:r>
      <w:r>
        <w:rPr>
          <w:spacing w:val="-3"/>
          <w:w w:val="105"/>
          <w:sz w:val="21"/>
        </w:rPr>
        <w:t>range </w:t>
      </w:r>
      <w:r>
        <w:rPr>
          <w:w w:val="105"/>
          <w:sz w:val="21"/>
        </w:rPr>
        <w:t>of other issues </w:t>
      </w:r>
      <w:r>
        <w:rPr>
          <w:spacing w:val="-3"/>
          <w:w w:val="105"/>
          <w:sz w:val="21"/>
        </w:rPr>
        <w:t>including </w:t>
      </w:r>
      <w:r>
        <w:rPr>
          <w:w w:val="105"/>
          <w:sz w:val="21"/>
        </w:rPr>
        <w:t>the </w:t>
      </w:r>
      <w:r>
        <w:rPr>
          <w:spacing w:val="-3"/>
          <w:w w:val="105"/>
          <w:sz w:val="21"/>
        </w:rPr>
        <w:t>removal </w:t>
      </w:r>
      <w:r>
        <w:rPr>
          <w:w w:val="105"/>
          <w:sz w:val="21"/>
        </w:rPr>
        <w:t>of </w:t>
      </w:r>
      <w:r>
        <w:rPr>
          <w:spacing w:val="-3"/>
          <w:w w:val="105"/>
          <w:sz w:val="21"/>
        </w:rPr>
        <w:t>significant </w:t>
      </w:r>
      <w:r>
        <w:rPr>
          <w:w w:val="105"/>
          <w:sz w:val="21"/>
        </w:rPr>
        <w:t>amounts of vegetation, </w:t>
      </w:r>
      <w:r>
        <w:rPr>
          <w:spacing w:val="-3"/>
          <w:w w:val="105"/>
          <w:sz w:val="21"/>
        </w:rPr>
        <w:t>disputes </w:t>
      </w:r>
      <w:r>
        <w:rPr>
          <w:w w:val="105"/>
          <w:sz w:val="21"/>
        </w:rPr>
        <w:t>about the </w:t>
      </w:r>
      <w:r>
        <w:rPr>
          <w:spacing w:val="-3"/>
          <w:w w:val="105"/>
          <w:sz w:val="21"/>
        </w:rPr>
        <w:t>illegal </w:t>
      </w:r>
      <w:r>
        <w:rPr>
          <w:w w:val="105"/>
          <w:sz w:val="21"/>
        </w:rPr>
        <w:t>destruction of vegetation and also </w:t>
      </w:r>
      <w:r>
        <w:rPr>
          <w:spacing w:val="-3"/>
          <w:w w:val="105"/>
          <w:sz w:val="21"/>
        </w:rPr>
        <w:t>potential </w:t>
      </w:r>
      <w:r>
        <w:rPr>
          <w:w w:val="105"/>
          <w:sz w:val="21"/>
        </w:rPr>
        <w:t>physical </w:t>
      </w:r>
      <w:r>
        <w:rPr>
          <w:spacing w:val="-3"/>
          <w:w w:val="105"/>
          <w:sz w:val="21"/>
        </w:rPr>
        <w:t>altercations </w:t>
      </w:r>
      <w:r>
        <w:rPr>
          <w:w w:val="105"/>
          <w:sz w:val="21"/>
        </w:rPr>
        <w:t>when neighbours</w:t>
      </w:r>
      <w:r>
        <w:rPr>
          <w:spacing w:val="25"/>
          <w:w w:val="105"/>
          <w:sz w:val="21"/>
        </w:rPr>
        <w:t> </w:t>
      </w:r>
      <w:r>
        <w:rPr>
          <w:spacing w:val="-4"/>
          <w:w w:val="105"/>
          <w:sz w:val="21"/>
        </w:rPr>
        <w:t>disagree.</w:t>
      </w:r>
      <w:r>
        <w:rPr>
          <w:spacing w:val="-4"/>
          <w:w w:val="105"/>
          <w:position w:val="7"/>
          <w:sz w:val="12"/>
        </w:rPr>
        <w:t>162</w:t>
      </w:r>
    </w:p>
    <w:p>
      <w:pPr>
        <w:pStyle w:val="ListParagraph"/>
        <w:numPr>
          <w:ilvl w:val="1"/>
          <w:numId w:val="99"/>
        </w:numPr>
        <w:tabs>
          <w:tab w:pos="2380" w:val="left" w:leader="none"/>
          <w:tab w:pos="2381" w:val="left" w:leader="none"/>
        </w:tabs>
        <w:spacing w:line="242" w:lineRule="auto" w:before="128" w:after="0"/>
        <w:ind w:left="2380" w:right="1911" w:hanging="793"/>
        <w:jc w:val="left"/>
        <w:rPr>
          <w:sz w:val="12"/>
        </w:rPr>
      </w:pPr>
      <w:r>
        <w:rPr>
          <w:w w:val="105"/>
          <w:sz w:val="21"/>
        </w:rPr>
        <w:t>The law only allows a </w:t>
      </w:r>
      <w:r>
        <w:rPr>
          <w:spacing w:val="-3"/>
          <w:w w:val="105"/>
          <w:sz w:val="21"/>
        </w:rPr>
        <w:t>defence </w:t>
      </w:r>
      <w:r>
        <w:rPr>
          <w:w w:val="105"/>
          <w:sz w:val="21"/>
        </w:rPr>
        <w:t>of ‘necessity’ in cases of trespass where it is necessary </w:t>
      </w:r>
      <w:r>
        <w:rPr>
          <w:spacing w:val="-3"/>
          <w:w w:val="105"/>
          <w:sz w:val="21"/>
        </w:rPr>
        <w:t>to </w:t>
      </w:r>
      <w:r>
        <w:rPr>
          <w:spacing w:val="-2"/>
          <w:w w:val="105"/>
          <w:sz w:val="21"/>
        </w:rPr>
        <w:t>‘preserve </w:t>
      </w:r>
      <w:r>
        <w:rPr>
          <w:spacing w:val="-3"/>
          <w:w w:val="105"/>
          <w:sz w:val="21"/>
        </w:rPr>
        <w:t>life </w:t>
      </w:r>
      <w:r>
        <w:rPr>
          <w:w w:val="105"/>
          <w:sz w:val="21"/>
        </w:rPr>
        <w:t>or protect property </w:t>
      </w:r>
      <w:r>
        <w:rPr>
          <w:spacing w:val="-3"/>
          <w:w w:val="105"/>
          <w:sz w:val="21"/>
        </w:rPr>
        <w:t>from real </w:t>
      </w:r>
      <w:r>
        <w:rPr>
          <w:w w:val="105"/>
          <w:sz w:val="21"/>
        </w:rPr>
        <w:t>and </w:t>
      </w:r>
      <w:r>
        <w:rPr>
          <w:spacing w:val="-3"/>
          <w:w w:val="105"/>
          <w:sz w:val="21"/>
        </w:rPr>
        <w:t>imminent </w:t>
      </w:r>
      <w:r>
        <w:rPr>
          <w:spacing w:val="-7"/>
          <w:w w:val="105"/>
          <w:sz w:val="21"/>
        </w:rPr>
        <w:t>harm’.</w:t>
      </w:r>
      <w:r>
        <w:rPr>
          <w:spacing w:val="-7"/>
          <w:w w:val="105"/>
          <w:position w:val="7"/>
          <w:sz w:val="12"/>
        </w:rPr>
        <w:t>163 </w:t>
      </w:r>
      <w:r>
        <w:rPr>
          <w:w w:val="105"/>
          <w:sz w:val="21"/>
        </w:rPr>
        <w:t>The majority of ordinary</w:t>
      </w:r>
      <w:r>
        <w:rPr>
          <w:spacing w:val="-10"/>
          <w:w w:val="105"/>
          <w:sz w:val="21"/>
        </w:rPr>
        <w:t> </w:t>
      </w:r>
      <w:r>
        <w:rPr>
          <w:w w:val="105"/>
          <w:sz w:val="21"/>
        </w:rPr>
        <w:t>tree</w:t>
      </w:r>
      <w:r>
        <w:rPr>
          <w:spacing w:val="-10"/>
          <w:w w:val="105"/>
          <w:sz w:val="21"/>
        </w:rPr>
        <w:t> </w:t>
      </w:r>
      <w:r>
        <w:rPr>
          <w:w w:val="105"/>
          <w:sz w:val="21"/>
        </w:rPr>
        <w:t>encroachments</w:t>
      </w:r>
      <w:r>
        <w:rPr>
          <w:spacing w:val="-10"/>
          <w:w w:val="105"/>
          <w:sz w:val="21"/>
        </w:rPr>
        <w:t> </w:t>
      </w:r>
      <w:r>
        <w:rPr>
          <w:spacing w:val="-3"/>
          <w:w w:val="105"/>
          <w:sz w:val="21"/>
        </w:rPr>
        <w:t>are</w:t>
      </w:r>
      <w:r>
        <w:rPr>
          <w:spacing w:val="-9"/>
          <w:w w:val="105"/>
          <w:sz w:val="21"/>
        </w:rPr>
        <w:t> </w:t>
      </w:r>
      <w:r>
        <w:rPr>
          <w:spacing w:val="-4"/>
          <w:w w:val="105"/>
          <w:sz w:val="21"/>
        </w:rPr>
        <w:t>unlikely</w:t>
      </w:r>
      <w:r>
        <w:rPr>
          <w:spacing w:val="-10"/>
          <w:w w:val="105"/>
          <w:sz w:val="21"/>
        </w:rPr>
        <w:t> </w:t>
      </w:r>
      <w:r>
        <w:rPr>
          <w:spacing w:val="-3"/>
          <w:w w:val="105"/>
          <w:sz w:val="21"/>
        </w:rPr>
        <w:t>to</w:t>
      </w:r>
      <w:r>
        <w:rPr>
          <w:spacing w:val="-10"/>
          <w:w w:val="105"/>
          <w:sz w:val="21"/>
        </w:rPr>
        <w:t> </w:t>
      </w:r>
      <w:r>
        <w:rPr>
          <w:w w:val="105"/>
          <w:sz w:val="21"/>
        </w:rPr>
        <w:t>satisfy</w:t>
      </w:r>
      <w:r>
        <w:rPr>
          <w:spacing w:val="-9"/>
          <w:w w:val="105"/>
          <w:sz w:val="21"/>
        </w:rPr>
        <w:t> </w:t>
      </w:r>
      <w:r>
        <w:rPr>
          <w:w w:val="105"/>
          <w:sz w:val="21"/>
        </w:rPr>
        <w:t>this</w:t>
      </w:r>
      <w:r>
        <w:rPr>
          <w:spacing w:val="-10"/>
          <w:w w:val="105"/>
          <w:sz w:val="21"/>
        </w:rPr>
        <w:t> </w:t>
      </w:r>
      <w:r>
        <w:rPr>
          <w:spacing w:val="-3"/>
          <w:w w:val="105"/>
          <w:sz w:val="21"/>
        </w:rPr>
        <w:t>threshold.</w:t>
      </w:r>
      <w:r>
        <w:rPr>
          <w:spacing w:val="-10"/>
          <w:w w:val="105"/>
          <w:sz w:val="21"/>
        </w:rPr>
        <w:t> </w:t>
      </w:r>
      <w:r>
        <w:rPr>
          <w:spacing w:val="-3"/>
          <w:w w:val="105"/>
          <w:sz w:val="21"/>
        </w:rPr>
        <w:t>Allowing</w:t>
      </w:r>
      <w:r>
        <w:rPr>
          <w:spacing w:val="-9"/>
          <w:w w:val="105"/>
          <w:sz w:val="21"/>
        </w:rPr>
        <w:t> </w:t>
      </w:r>
      <w:r>
        <w:rPr>
          <w:w w:val="105"/>
          <w:sz w:val="21"/>
        </w:rPr>
        <w:t>an</w:t>
      </w:r>
      <w:r>
        <w:rPr>
          <w:spacing w:val="-10"/>
          <w:w w:val="105"/>
          <w:sz w:val="21"/>
        </w:rPr>
        <w:t> </w:t>
      </w:r>
      <w:r>
        <w:rPr>
          <w:w w:val="105"/>
          <w:sz w:val="21"/>
        </w:rPr>
        <w:t>affected </w:t>
      </w:r>
      <w:r>
        <w:rPr>
          <w:spacing w:val="-3"/>
          <w:w w:val="105"/>
          <w:sz w:val="21"/>
        </w:rPr>
        <w:t>neighbour to enter </w:t>
      </w:r>
      <w:r>
        <w:rPr>
          <w:w w:val="105"/>
          <w:sz w:val="21"/>
        </w:rPr>
        <w:t>the tree </w:t>
      </w:r>
      <w:r>
        <w:rPr>
          <w:spacing w:val="-3"/>
          <w:w w:val="105"/>
          <w:sz w:val="21"/>
        </w:rPr>
        <w:t>owner’s land </w:t>
      </w:r>
      <w:r>
        <w:rPr>
          <w:w w:val="105"/>
          <w:sz w:val="21"/>
        </w:rPr>
        <w:t>without </w:t>
      </w:r>
      <w:r>
        <w:rPr>
          <w:spacing w:val="-3"/>
          <w:w w:val="105"/>
          <w:sz w:val="21"/>
        </w:rPr>
        <w:t>any </w:t>
      </w:r>
      <w:r>
        <w:rPr>
          <w:w w:val="105"/>
          <w:sz w:val="21"/>
        </w:rPr>
        <w:t>independent assessment of the need would </w:t>
      </w:r>
      <w:r>
        <w:rPr>
          <w:spacing w:val="-2"/>
          <w:w w:val="105"/>
          <w:sz w:val="21"/>
        </w:rPr>
        <w:t>significantly </w:t>
      </w:r>
      <w:r>
        <w:rPr>
          <w:w w:val="105"/>
          <w:sz w:val="21"/>
        </w:rPr>
        <w:t>erode a </w:t>
      </w:r>
      <w:r>
        <w:rPr>
          <w:spacing w:val="-3"/>
          <w:w w:val="105"/>
          <w:sz w:val="21"/>
        </w:rPr>
        <w:t>landowner’s exclusive </w:t>
      </w:r>
      <w:r>
        <w:rPr>
          <w:w w:val="105"/>
          <w:sz w:val="21"/>
        </w:rPr>
        <w:t>possession of and </w:t>
      </w:r>
      <w:r>
        <w:rPr>
          <w:spacing w:val="-3"/>
          <w:w w:val="105"/>
          <w:sz w:val="21"/>
        </w:rPr>
        <w:t>control </w:t>
      </w:r>
      <w:r>
        <w:rPr>
          <w:w w:val="105"/>
          <w:sz w:val="21"/>
        </w:rPr>
        <w:t>over their</w:t>
      </w:r>
      <w:r>
        <w:rPr>
          <w:spacing w:val="5"/>
          <w:w w:val="105"/>
          <w:sz w:val="21"/>
        </w:rPr>
        <w:t> </w:t>
      </w:r>
      <w:r>
        <w:rPr>
          <w:spacing w:val="-3"/>
          <w:w w:val="105"/>
          <w:sz w:val="21"/>
        </w:rPr>
        <w:t>property.</w:t>
      </w:r>
      <w:r>
        <w:rPr>
          <w:spacing w:val="-3"/>
          <w:w w:val="105"/>
          <w:position w:val="7"/>
          <w:sz w:val="12"/>
        </w:rPr>
        <w:t>164</w:t>
      </w:r>
    </w:p>
    <w:p>
      <w:pPr>
        <w:pStyle w:val="ListParagraph"/>
        <w:numPr>
          <w:ilvl w:val="1"/>
          <w:numId w:val="99"/>
        </w:numPr>
        <w:tabs>
          <w:tab w:pos="2381" w:val="left" w:leader="none"/>
          <w:tab w:pos="2382" w:val="left" w:leader="none"/>
        </w:tabs>
        <w:spacing w:line="242" w:lineRule="auto" w:before="127" w:after="0"/>
        <w:ind w:left="2381" w:right="1702" w:hanging="794"/>
        <w:jc w:val="left"/>
        <w:rPr>
          <w:sz w:val="21"/>
        </w:rPr>
      </w:pPr>
      <w:r>
        <w:rPr>
          <w:w w:val="105"/>
          <w:sz w:val="21"/>
        </w:rPr>
        <w:t>The </w:t>
      </w:r>
      <w:r>
        <w:rPr>
          <w:spacing w:val="-3"/>
          <w:w w:val="105"/>
          <w:sz w:val="21"/>
        </w:rPr>
        <w:t>current limitation </w:t>
      </w:r>
      <w:r>
        <w:rPr>
          <w:w w:val="105"/>
          <w:sz w:val="21"/>
        </w:rPr>
        <w:t>of </w:t>
      </w:r>
      <w:r>
        <w:rPr>
          <w:spacing w:val="-3"/>
          <w:w w:val="105"/>
          <w:sz w:val="21"/>
        </w:rPr>
        <w:t>abating within </w:t>
      </w:r>
      <w:r>
        <w:rPr>
          <w:w w:val="105"/>
          <w:sz w:val="21"/>
        </w:rPr>
        <w:t>boundary </w:t>
      </w:r>
      <w:r>
        <w:rPr>
          <w:spacing w:val="-3"/>
          <w:w w:val="105"/>
          <w:sz w:val="21"/>
        </w:rPr>
        <w:t>lines appropriately balances competing </w:t>
      </w:r>
      <w:r>
        <w:rPr>
          <w:w w:val="105"/>
          <w:sz w:val="21"/>
        </w:rPr>
        <w:t>interests. If a </w:t>
      </w:r>
      <w:r>
        <w:rPr>
          <w:spacing w:val="-3"/>
          <w:w w:val="105"/>
          <w:sz w:val="21"/>
        </w:rPr>
        <w:t>neighbour </w:t>
      </w:r>
      <w:r>
        <w:rPr>
          <w:w w:val="105"/>
          <w:sz w:val="21"/>
        </w:rPr>
        <w:t>is </w:t>
      </w:r>
      <w:r>
        <w:rPr>
          <w:spacing w:val="-3"/>
          <w:w w:val="105"/>
          <w:sz w:val="21"/>
        </w:rPr>
        <w:t>concerned </w:t>
      </w:r>
      <w:r>
        <w:rPr>
          <w:w w:val="105"/>
          <w:sz w:val="21"/>
        </w:rPr>
        <w:t>about </w:t>
      </w:r>
      <w:r>
        <w:rPr>
          <w:spacing w:val="-3"/>
          <w:w w:val="105"/>
          <w:sz w:val="21"/>
        </w:rPr>
        <w:t>imminent </w:t>
      </w:r>
      <w:r>
        <w:rPr>
          <w:w w:val="105"/>
          <w:sz w:val="21"/>
        </w:rPr>
        <w:t>damage or </w:t>
      </w:r>
      <w:r>
        <w:rPr>
          <w:spacing w:val="-3"/>
          <w:w w:val="105"/>
          <w:sz w:val="21"/>
        </w:rPr>
        <w:t>harm </w:t>
      </w:r>
      <w:r>
        <w:rPr>
          <w:w w:val="105"/>
          <w:sz w:val="21"/>
        </w:rPr>
        <w:t>and does </w:t>
      </w:r>
      <w:r>
        <w:rPr>
          <w:spacing w:val="-2"/>
          <w:w w:val="105"/>
          <w:sz w:val="21"/>
        </w:rPr>
        <w:t>not </w:t>
      </w:r>
      <w:r>
        <w:rPr>
          <w:spacing w:val="-3"/>
          <w:w w:val="105"/>
          <w:sz w:val="21"/>
        </w:rPr>
        <w:t>think that abatement will </w:t>
      </w:r>
      <w:r>
        <w:rPr>
          <w:w w:val="105"/>
          <w:sz w:val="21"/>
        </w:rPr>
        <w:t>remedy the </w:t>
      </w:r>
      <w:r>
        <w:rPr>
          <w:spacing w:val="-3"/>
          <w:w w:val="105"/>
          <w:sz w:val="21"/>
        </w:rPr>
        <w:t>situation </w:t>
      </w:r>
      <w:r>
        <w:rPr>
          <w:w w:val="105"/>
          <w:sz w:val="21"/>
        </w:rPr>
        <w:t>he or she </w:t>
      </w:r>
      <w:r>
        <w:rPr>
          <w:spacing w:val="-3"/>
          <w:w w:val="105"/>
          <w:sz w:val="21"/>
        </w:rPr>
        <w:t>may commence </w:t>
      </w:r>
      <w:r>
        <w:rPr>
          <w:w w:val="105"/>
          <w:sz w:val="21"/>
        </w:rPr>
        <w:t>a matter in </w:t>
      </w:r>
      <w:r>
        <w:rPr>
          <w:spacing w:val="-5"/>
          <w:w w:val="105"/>
          <w:sz w:val="21"/>
        </w:rPr>
        <w:t>VCAT </w:t>
      </w:r>
      <w:r>
        <w:rPr>
          <w:w w:val="105"/>
          <w:sz w:val="21"/>
        </w:rPr>
        <w:t>and seek an </w:t>
      </w:r>
      <w:r>
        <w:rPr>
          <w:spacing w:val="-3"/>
          <w:w w:val="105"/>
          <w:sz w:val="21"/>
        </w:rPr>
        <w:t>appropriate remedy. </w:t>
      </w:r>
      <w:r>
        <w:rPr>
          <w:w w:val="105"/>
          <w:sz w:val="21"/>
        </w:rPr>
        <w:t>The orders recommended in </w:t>
      </w:r>
      <w:r>
        <w:rPr>
          <w:spacing w:val="-4"/>
          <w:w w:val="105"/>
          <w:sz w:val="21"/>
        </w:rPr>
        <w:t>Chapter </w:t>
      </w:r>
      <w:r>
        <w:rPr>
          <w:w w:val="105"/>
          <w:sz w:val="21"/>
        </w:rPr>
        <w:t>9 </w:t>
      </w:r>
      <w:r>
        <w:rPr>
          <w:spacing w:val="-3"/>
          <w:w w:val="105"/>
          <w:sz w:val="21"/>
        </w:rPr>
        <w:t>include </w:t>
      </w:r>
      <w:r>
        <w:rPr>
          <w:w w:val="105"/>
          <w:sz w:val="21"/>
        </w:rPr>
        <w:t>entry </w:t>
      </w:r>
      <w:r>
        <w:rPr>
          <w:spacing w:val="-3"/>
          <w:w w:val="105"/>
          <w:sz w:val="21"/>
        </w:rPr>
        <w:t>to land to </w:t>
      </w:r>
      <w:r>
        <w:rPr>
          <w:w w:val="105"/>
          <w:sz w:val="21"/>
        </w:rPr>
        <w:t>carry out tree works and </w:t>
      </w:r>
      <w:r>
        <w:rPr>
          <w:spacing w:val="-3"/>
          <w:w w:val="105"/>
          <w:sz w:val="21"/>
        </w:rPr>
        <w:t>to </w:t>
      </w:r>
      <w:r>
        <w:rPr>
          <w:w w:val="105"/>
          <w:sz w:val="21"/>
        </w:rPr>
        <w:t>obtain a </w:t>
      </w:r>
      <w:r>
        <w:rPr>
          <w:spacing w:val="-3"/>
          <w:w w:val="105"/>
          <w:sz w:val="21"/>
        </w:rPr>
        <w:t>quote for </w:t>
      </w:r>
      <w:r>
        <w:rPr>
          <w:w w:val="105"/>
          <w:sz w:val="21"/>
        </w:rPr>
        <w:t>works </w:t>
      </w:r>
      <w:r>
        <w:rPr>
          <w:spacing w:val="-3"/>
          <w:w w:val="105"/>
          <w:sz w:val="21"/>
        </w:rPr>
        <w:t>to </w:t>
      </w:r>
      <w:r>
        <w:rPr>
          <w:w w:val="105"/>
          <w:sz w:val="21"/>
        </w:rPr>
        <w:t>a tree </w:t>
      </w:r>
      <w:r>
        <w:rPr>
          <w:spacing w:val="-3"/>
          <w:w w:val="105"/>
          <w:sz w:val="21"/>
        </w:rPr>
        <w:t>that </w:t>
      </w:r>
      <w:r>
        <w:rPr>
          <w:w w:val="105"/>
          <w:sz w:val="21"/>
        </w:rPr>
        <w:t>is subject </w:t>
      </w:r>
      <w:r>
        <w:rPr>
          <w:spacing w:val="-3"/>
          <w:w w:val="105"/>
          <w:sz w:val="21"/>
        </w:rPr>
        <w:t>to </w:t>
      </w:r>
      <w:r>
        <w:rPr>
          <w:w w:val="105"/>
          <w:sz w:val="21"/>
        </w:rPr>
        <w:t>the </w:t>
      </w:r>
      <w:r>
        <w:rPr>
          <w:spacing w:val="-4"/>
          <w:w w:val="105"/>
          <w:sz w:val="21"/>
        </w:rPr>
        <w:t>order. </w:t>
      </w:r>
      <w:r>
        <w:rPr>
          <w:w w:val="105"/>
          <w:sz w:val="21"/>
        </w:rPr>
        <w:t>If the matter is </w:t>
      </w:r>
      <w:r>
        <w:rPr>
          <w:spacing w:val="-3"/>
          <w:w w:val="105"/>
          <w:sz w:val="21"/>
        </w:rPr>
        <w:t>urgent </w:t>
      </w:r>
      <w:r>
        <w:rPr>
          <w:w w:val="105"/>
          <w:sz w:val="21"/>
        </w:rPr>
        <w:t>it would be triaged by the</w:t>
      </w:r>
      <w:r>
        <w:rPr>
          <w:spacing w:val="12"/>
          <w:w w:val="105"/>
          <w:sz w:val="21"/>
        </w:rPr>
        <w:t> </w:t>
      </w:r>
      <w:r>
        <w:rPr>
          <w:spacing w:val="-5"/>
          <w:w w:val="105"/>
          <w:sz w:val="21"/>
        </w:rPr>
        <w:t>Tribunal.</w:t>
      </w:r>
    </w:p>
    <w:p>
      <w:pPr>
        <w:pStyle w:val="Heading7"/>
        <w:spacing w:before="157"/>
      </w:pPr>
      <w:r>
        <w:rPr>
          <w:w w:val="115"/>
        </w:rPr>
        <w:t>Australian Standards</w:t>
      </w:r>
    </w:p>
    <w:p>
      <w:pPr>
        <w:pStyle w:val="ListParagraph"/>
        <w:numPr>
          <w:ilvl w:val="1"/>
          <w:numId w:val="99"/>
        </w:numPr>
        <w:tabs>
          <w:tab w:pos="2380" w:val="left" w:leader="none"/>
          <w:tab w:pos="2381" w:val="left" w:leader="none"/>
        </w:tabs>
        <w:spacing w:line="242" w:lineRule="auto" w:before="142" w:after="0"/>
        <w:ind w:left="2381" w:right="1862" w:hanging="794"/>
        <w:jc w:val="left"/>
        <w:rPr>
          <w:sz w:val="21"/>
        </w:rPr>
      </w:pPr>
      <w:r>
        <w:rPr>
          <w:w w:val="105"/>
          <w:sz w:val="21"/>
        </w:rPr>
        <w:t>The </w:t>
      </w:r>
      <w:r>
        <w:rPr>
          <w:spacing w:val="-3"/>
          <w:w w:val="105"/>
          <w:sz w:val="21"/>
        </w:rPr>
        <w:t>Commission </w:t>
      </w:r>
      <w:r>
        <w:rPr>
          <w:w w:val="105"/>
          <w:sz w:val="21"/>
        </w:rPr>
        <w:t>accepts the importance of the </w:t>
      </w:r>
      <w:r>
        <w:rPr>
          <w:spacing w:val="-3"/>
          <w:w w:val="105"/>
          <w:sz w:val="21"/>
        </w:rPr>
        <w:t>Australian Standards for </w:t>
      </w:r>
      <w:r>
        <w:rPr>
          <w:w w:val="105"/>
          <w:sz w:val="21"/>
        </w:rPr>
        <w:t>tree works. </w:t>
      </w:r>
      <w:r>
        <w:rPr>
          <w:spacing w:val="-4"/>
          <w:w w:val="105"/>
          <w:sz w:val="21"/>
        </w:rPr>
        <w:t>However, </w:t>
      </w:r>
      <w:r>
        <w:rPr>
          <w:w w:val="105"/>
          <w:sz w:val="21"/>
        </w:rPr>
        <w:t>it would </w:t>
      </w:r>
      <w:r>
        <w:rPr>
          <w:spacing w:val="-2"/>
          <w:w w:val="105"/>
          <w:sz w:val="21"/>
        </w:rPr>
        <w:t>not </w:t>
      </w:r>
      <w:r>
        <w:rPr>
          <w:w w:val="105"/>
          <w:sz w:val="21"/>
        </w:rPr>
        <w:t>be </w:t>
      </w:r>
      <w:r>
        <w:rPr>
          <w:spacing w:val="-3"/>
          <w:w w:val="105"/>
          <w:sz w:val="21"/>
        </w:rPr>
        <w:t>reasonable </w:t>
      </w:r>
      <w:r>
        <w:rPr>
          <w:w w:val="105"/>
          <w:sz w:val="21"/>
        </w:rPr>
        <w:t>or practicable </w:t>
      </w:r>
      <w:r>
        <w:rPr>
          <w:spacing w:val="-3"/>
          <w:w w:val="105"/>
          <w:sz w:val="21"/>
        </w:rPr>
        <w:t>to </w:t>
      </w:r>
      <w:r>
        <w:rPr>
          <w:w w:val="105"/>
          <w:sz w:val="21"/>
        </w:rPr>
        <w:t>restrict a </w:t>
      </w:r>
      <w:r>
        <w:rPr>
          <w:spacing w:val="-3"/>
          <w:w w:val="105"/>
          <w:sz w:val="21"/>
        </w:rPr>
        <w:t>person’s right to abate </w:t>
      </w:r>
      <w:r>
        <w:rPr>
          <w:w w:val="105"/>
          <w:sz w:val="21"/>
        </w:rPr>
        <w:t>so</w:t>
      </w:r>
      <w:r>
        <w:rPr>
          <w:spacing w:val="-6"/>
          <w:w w:val="105"/>
          <w:sz w:val="21"/>
        </w:rPr>
        <w:t> </w:t>
      </w:r>
      <w:r>
        <w:rPr>
          <w:spacing w:val="-3"/>
          <w:w w:val="105"/>
          <w:sz w:val="21"/>
        </w:rPr>
        <w:t>that</w:t>
      </w:r>
      <w:r>
        <w:rPr>
          <w:spacing w:val="-6"/>
          <w:w w:val="105"/>
          <w:sz w:val="21"/>
        </w:rPr>
        <w:t> </w:t>
      </w:r>
      <w:r>
        <w:rPr>
          <w:w w:val="105"/>
          <w:sz w:val="21"/>
        </w:rPr>
        <w:t>it</w:t>
      </w:r>
      <w:r>
        <w:rPr>
          <w:spacing w:val="-6"/>
          <w:w w:val="105"/>
          <w:sz w:val="21"/>
        </w:rPr>
        <w:t> </w:t>
      </w:r>
      <w:r>
        <w:rPr>
          <w:w w:val="105"/>
          <w:sz w:val="21"/>
        </w:rPr>
        <w:t>can</w:t>
      </w:r>
      <w:r>
        <w:rPr>
          <w:spacing w:val="-6"/>
          <w:w w:val="105"/>
          <w:sz w:val="21"/>
        </w:rPr>
        <w:t> </w:t>
      </w:r>
      <w:r>
        <w:rPr>
          <w:w w:val="105"/>
          <w:sz w:val="21"/>
        </w:rPr>
        <w:t>only</w:t>
      </w:r>
      <w:r>
        <w:rPr>
          <w:spacing w:val="-6"/>
          <w:w w:val="105"/>
          <w:sz w:val="21"/>
        </w:rPr>
        <w:t> </w:t>
      </w:r>
      <w:r>
        <w:rPr>
          <w:w w:val="105"/>
          <w:sz w:val="21"/>
        </w:rPr>
        <w:t>be</w:t>
      </w:r>
      <w:r>
        <w:rPr>
          <w:spacing w:val="-6"/>
          <w:w w:val="105"/>
          <w:sz w:val="21"/>
        </w:rPr>
        <w:t> </w:t>
      </w:r>
      <w:r>
        <w:rPr>
          <w:spacing w:val="-3"/>
          <w:w w:val="105"/>
          <w:sz w:val="21"/>
        </w:rPr>
        <w:t>exercised</w:t>
      </w:r>
      <w:r>
        <w:rPr>
          <w:spacing w:val="-6"/>
          <w:w w:val="105"/>
          <w:sz w:val="21"/>
        </w:rPr>
        <w:t> </w:t>
      </w:r>
      <w:r>
        <w:rPr>
          <w:w w:val="105"/>
          <w:sz w:val="21"/>
        </w:rPr>
        <w:t>by</w:t>
      </w:r>
      <w:r>
        <w:rPr>
          <w:spacing w:val="-6"/>
          <w:w w:val="105"/>
          <w:sz w:val="21"/>
        </w:rPr>
        <w:t> </w:t>
      </w:r>
      <w:r>
        <w:rPr>
          <w:w w:val="105"/>
          <w:sz w:val="21"/>
        </w:rPr>
        <w:t>a</w:t>
      </w:r>
      <w:r>
        <w:rPr>
          <w:spacing w:val="-6"/>
          <w:w w:val="105"/>
          <w:sz w:val="21"/>
        </w:rPr>
        <w:t> </w:t>
      </w:r>
      <w:r>
        <w:rPr>
          <w:w w:val="105"/>
          <w:sz w:val="21"/>
        </w:rPr>
        <w:t>qualified</w:t>
      </w:r>
      <w:r>
        <w:rPr>
          <w:spacing w:val="-6"/>
          <w:w w:val="105"/>
          <w:sz w:val="21"/>
        </w:rPr>
        <w:t> </w:t>
      </w:r>
      <w:r>
        <w:rPr>
          <w:w w:val="105"/>
          <w:sz w:val="21"/>
        </w:rPr>
        <w:t>arborist</w:t>
      </w:r>
      <w:r>
        <w:rPr>
          <w:spacing w:val="-6"/>
          <w:w w:val="105"/>
          <w:sz w:val="21"/>
        </w:rPr>
        <w:t> </w:t>
      </w:r>
      <w:r>
        <w:rPr>
          <w:w w:val="105"/>
          <w:sz w:val="21"/>
        </w:rPr>
        <w:t>in</w:t>
      </w:r>
      <w:r>
        <w:rPr>
          <w:spacing w:val="-6"/>
          <w:w w:val="105"/>
          <w:sz w:val="21"/>
        </w:rPr>
        <w:t> </w:t>
      </w:r>
      <w:r>
        <w:rPr>
          <w:spacing w:val="-3"/>
          <w:w w:val="105"/>
          <w:sz w:val="21"/>
        </w:rPr>
        <w:t>accordance</w:t>
      </w:r>
      <w:r>
        <w:rPr>
          <w:spacing w:val="-6"/>
          <w:w w:val="105"/>
          <w:sz w:val="21"/>
        </w:rPr>
        <w:t> </w:t>
      </w:r>
      <w:r>
        <w:rPr>
          <w:w w:val="105"/>
          <w:sz w:val="21"/>
        </w:rPr>
        <w:t>with</w:t>
      </w:r>
      <w:r>
        <w:rPr>
          <w:spacing w:val="-6"/>
          <w:w w:val="105"/>
          <w:sz w:val="21"/>
        </w:rPr>
        <w:t> </w:t>
      </w:r>
      <w:r>
        <w:rPr>
          <w:w w:val="105"/>
          <w:sz w:val="21"/>
        </w:rPr>
        <w:t>the</w:t>
      </w:r>
      <w:r>
        <w:rPr>
          <w:spacing w:val="-6"/>
          <w:w w:val="105"/>
          <w:sz w:val="21"/>
        </w:rPr>
        <w:t> </w:t>
      </w:r>
      <w:r>
        <w:rPr>
          <w:spacing w:val="-3"/>
          <w:w w:val="105"/>
          <w:sz w:val="21"/>
        </w:rPr>
        <w:t>Australian Standards. </w:t>
      </w:r>
      <w:r>
        <w:rPr>
          <w:w w:val="105"/>
          <w:sz w:val="21"/>
        </w:rPr>
        <w:t>This would </w:t>
      </w:r>
      <w:r>
        <w:rPr>
          <w:spacing w:val="-2"/>
          <w:w w:val="105"/>
          <w:sz w:val="21"/>
        </w:rPr>
        <w:t>significantly </w:t>
      </w:r>
      <w:r>
        <w:rPr>
          <w:spacing w:val="-3"/>
          <w:w w:val="105"/>
          <w:sz w:val="21"/>
        </w:rPr>
        <w:t>limit </w:t>
      </w:r>
      <w:r>
        <w:rPr>
          <w:w w:val="105"/>
          <w:sz w:val="21"/>
        </w:rPr>
        <w:t>the usefulness of the </w:t>
      </w:r>
      <w:r>
        <w:rPr>
          <w:spacing w:val="-3"/>
          <w:w w:val="105"/>
          <w:sz w:val="21"/>
        </w:rPr>
        <w:t>remedy, </w:t>
      </w:r>
      <w:r>
        <w:rPr>
          <w:w w:val="105"/>
          <w:sz w:val="21"/>
        </w:rPr>
        <w:t>particularly </w:t>
      </w:r>
      <w:r>
        <w:rPr>
          <w:spacing w:val="-3"/>
          <w:w w:val="105"/>
          <w:sz w:val="21"/>
        </w:rPr>
        <w:t>for minor </w:t>
      </w:r>
      <w:r>
        <w:rPr>
          <w:w w:val="105"/>
          <w:sz w:val="21"/>
        </w:rPr>
        <w:t>encroachments or where parties </w:t>
      </w:r>
      <w:r>
        <w:rPr>
          <w:spacing w:val="-3"/>
          <w:w w:val="105"/>
          <w:sz w:val="21"/>
        </w:rPr>
        <w:t>cannot </w:t>
      </w:r>
      <w:r>
        <w:rPr>
          <w:w w:val="105"/>
          <w:sz w:val="21"/>
        </w:rPr>
        <w:t>afford an</w:t>
      </w:r>
      <w:r>
        <w:rPr>
          <w:spacing w:val="20"/>
          <w:w w:val="105"/>
          <w:sz w:val="21"/>
        </w:rPr>
        <w:t> </w:t>
      </w:r>
      <w:r>
        <w:rPr>
          <w:w w:val="105"/>
          <w:sz w:val="21"/>
        </w:rPr>
        <w:t>arborist.</w:t>
      </w:r>
    </w:p>
    <w:p>
      <w:pPr>
        <w:pStyle w:val="ListParagraph"/>
        <w:numPr>
          <w:ilvl w:val="1"/>
          <w:numId w:val="99"/>
        </w:numPr>
        <w:tabs>
          <w:tab w:pos="2380" w:val="left" w:leader="none"/>
          <w:tab w:pos="2381" w:val="left" w:leader="none"/>
        </w:tabs>
        <w:spacing w:line="242" w:lineRule="auto" w:before="126" w:after="0"/>
        <w:ind w:left="2381" w:right="1868" w:hanging="794"/>
        <w:jc w:val="left"/>
        <w:rPr>
          <w:sz w:val="12"/>
        </w:rPr>
      </w:pPr>
      <w:r>
        <w:rPr>
          <w:spacing w:val="-3"/>
          <w:w w:val="105"/>
          <w:sz w:val="21"/>
        </w:rPr>
        <w:t>Community </w:t>
      </w:r>
      <w:r>
        <w:rPr>
          <w:w w:val="105"/>
          <w:sz w:val="21"/>
        </w:rPr>
        <w:t>members who undertake </w:t>
      </w:r>
      <w:r>
        <w:rPr>
          <w:spacing w:val="-3"/>
          <w:w w:val="105"/>
          <w:sz w:val="21"/>
        </w:rPr>
        <w:t>abatement </w:t>
      </w:r>
      <w:r>
        <w:rPr>
          <w:w w:val="105"/>
          <w:sz w:val="21"/>
        </w:rPr>
        <w:t>without an arborist should </w:t>
      </w:r>
      <w:r>
        <w:rPr>
          <w:spacing w:val="-2"/>
          <w:w w:val="105"/>
          <w:sz w:val="21"/>
        </w:rPr>
        <w:t>not </w:t>
      </w:r>
      <w:r>
        <w:rPr>
          <w:w w:val="105"/>
          <w:sz w:val="21"/>
        </w:rPr>
        <w:t>be </w:t>
      </w:r>
      <w:r>
        <w:rPr>
          <w:spacing w:val="-3"/>
          <w:w w:val="105"/>
          <w:sz w:val="21"/>
        </w:rPr>
        <w:t>required to </w:t>
      </w:r>
      <w:r>
        <w:rPr>
          <w:w w:val="105"/>
          <w:sz w:val="21"/>
        </w:rPr>
        <w:t>comply with the </w:t>
      </w:r>
      <w:r>
        <w:rPr>
          <w:spacing w:val="-3"/>
          <w:w w:val="105"/>
          <w:sz w:val="21"/>
        </w:rPr>
        <w:t>Australian Standards </w:t>
      </w:r>
      <w:r>
        <w:rPr>
          <w:w w:val="105"/>
          <w:sz w:val="21"/>
        </w:rPr>
        <w:t>on </w:t>
      </w:r>
      <w:r>
        <w:rPr>
          <w:spacing w:val="-3"/>
          <w:w w:val="105"/>
          <w:sz w:val="21"/>
        </w:rPr>
        <w:t>pruning. </w:t>
      </w:r>
      <w:r>
        <w:rPr>
          <w:w w:val="105"/>
          <w:sz w:val="21"/>
        </w:rPr>
        <w:t>The </w:t>
      </w:r>
      <w:r>
        <w:rPr>
          <w:spacing w:val="-3"/>
          <w:w w:val="105"/>
          <w:sz w:val="21"/>
        </w:rPr>
        <w:t>Australian Standards are highly technical </w:t>
      </w:r>
      <w:r>
        <w:rPr>
          <w:w w:val="105"/>
          <w:sz w:val="21"/>
        </w:rPr>
        <w:t>and difficult </w:t>
      </w:r>
      <w:r>
        <w:rPr>
          <w:spacing w:val="-3"/>
          <w:w w:val="105"/>
          <w:sz w:val="21"/>
        </w:rPr>
        <w:t>for </w:t>
      </w:r>
      <w:r>
        <w:rPr>
          <w:w w:val="105"/>
          <w:sz w:val="21"/>
        </w:rPr>
        <w:t>the community </w:t>
      </w:r>
      <w:r>
        <w:rPr>
          <w:spacing w:val="-3"/>
          <w:w w:val="105"/>
          <w:sz w:val="21"/>
        </w:rPr>
        <w:t>to interpret </w:t>
      </w:r>
      <w:r>
        <w:rPr>
          <w:w w:val="105"/>
          <w:sz w:val="21"/>
        </w:rPr>
        <w:t>and </w:t>
      </w:r>
      <w:r>
        <w:rPr>
          <w:spacing w:val="-4"/>
          <w:w w:val="105"/>
          <w:sz w:val="21"/>
        </w:rPr>
        <w:t>apply. Additionally, </w:t>
      </w:r>
      <w:r>
        <w:rPr>
          <w:w w:val="105"/>
          <w:sz w:val="21"/>
        </w:rPr>
        <w:t>they </w:t>
      </w:r>
      <w:r>
        <w:rPr>
          <w:spacing w:val="-3"/>
          <w:w w:val="105"/>
          <w:sz w:val="21"/>
        </w:rPr>
        <w:t>are </w:t>
      </w:r>
      <w:r>
        <w:rPr>
          <w:spacing w:val="-2"/>
          <w:w w:val="105"/>
          <w:sz w:val="21"/>
        </w:rPr>
        <w:t>not </w:t>
      </w:r>
      <w:r>
        <w:rPr>
          <w:spacing w:val="-3"/>
          <w:w w:val="105"/>
          <w:sz w:val="21"/>
        </w:rPr>
        <w:t>easily accessible </w:t>
      </w:r>
      <w:r>
        <w:rPr>
          <w:w w:val="105"/>
          <w:sz w:val="21"/>
        </w:rPr>
        <w:t>and </w:t>
      </w:r>
      <w:r>
        <w:rPr>
          <w:spacing w:val="-3"/>
          <w:w w:val="105"/>
          <w:sz w:val="21"/>
        </w:rPr>
        <w:t>are </w:t>
      </w:r>
      <w:r>
        <w:rPr>
          <w:w w:val="105"/>
          <w:sz w:val="21"/>
        </w:rPr>
        <w:t>only </w:t>
      </w:r>
      <w:r>
        <w:rPr>
          <w:spacing w:val="-3"/>
          <w:w w:val="105"/>
          <w:sz w:val="21"/>
        </w:rPr>
        <w:t>accessible through</w:t>
      </w:r>
      <w:r>
        <w:rPr>
          <w:spacing w:val="42"/>
          <w:w w:val="105"/>
          <w:sz w:val="21"/>
        </w:rPr>
        <w:t> </w:t>
      </w:r>
      <w:r>
        <w:rPr>
          <w:spacing w:val="-5"/>
          <w:w w:val="105"/>
          <w:sz w:val="21"/>
        </w:rPr>
        <w:t>purchase.</w:t>
      </w:r>
      <w:r>
        <w:rPr>
          <w:spacing w:val="-5"/>
          <w:w w:val="105"/>
          <w:position w:val="7"/>
          <w:sz w:val="12"/>
        </w:rPr>
        <w:t>165</w:t>
      </w:r>
    </w:p>
    <w:p>
      <w:pPr>
        <w:pStyle w:val="ListParagraph"/>
        <w:numPr>
          <w:ilvl w:val="1"/>
          <w:numId w:val="99"/>
        </w:numPr>
        <w:tabs>
          <w:tab w:pos="2381" w:val="left" w:leader="none"/>
          <w:tab w:pos="2382" w:val="left" w:leader="none"/>
        </w:tabs>
        <w:spacing w:line="242" w:lineRule="auto" w:before="124" w:after="0"/>
        <w:ind w:left="2381" w:right="1645" w:hanging="794"/>
        <w:jc w:val="left"/>
        <w:rPr>
          <w:sz w:val="21"/>
        </w:rPr>
      </w:pPr>
      <w:r>
        <w:rPr>
          <w:w w:val="105"/>
          <w:sz w:val="21"/>
        </w:rPr>
        <w:t>The </w:t>
      </w:r>
      <w:r>
        <w:rPr>
          <w:spacing w:val="-3"/>
          <w:w w:val="105"/>
          <w:sz w:val="21"/>
        </w:rPr>
        <w:t>Commission concludes that </w:t>
      </w:r>
      <w:r>
        <w:rPr>
          <w:w w:val="105"/>
          <w:sz w:val="21"/>
        </w:rPr>
        <w:t>the scope of </w:t>
      </w:r>
      <w:r>
        <w:rPr>
          <w:spacing w:val="-3"/>
          <w:w w:val="105"/>
          <w:sz w:val="21"/>
        </w:rPr>
        <w:t>abatement </w:t>
      </w:r>
      <w:r>
        <w:rPr>
          <w:w w:val="105"/>
          <w:sz w:val="21"/>
        </w:rPr>
        <w:t>and the </w:t>
      </w:r>
      <w:r>
        <w:rPr>
          <w:spacing w:val="-3"/>
          <w:w w:val="105"/>
          <w:sz w:val="21"/>
        </w:rPr>
        <w:t>Australian Standards cannot </w:t>
      </w:r>
      <w:r>
        <w:rPr>
          <w:w w:val="105"/>
          <w:sz w:val="21"/>
        </w:rPr>
        <w:t>be </w:t>
      </w:r>
      <w:r>
        <w:rPr>
          <w:spacing w:val="-3"/>
          <w:w w:val="105"/>
          <w:sz w:val="21"/>
        </w:rPr>
        <w:t>reconciled. </w:t>
      </w:r>
      <w:r>
        <w:rPr>
          <w:w w:val="105"/>
          <w:sz w:val="21"/>
        </w:rPr>
        <w:t>The </w:t>
      </w:r>
      <w:r>
        <w:rPr>
          <w:spacing w:val="-3"/>
          <w:w w:val="105"/>
          <w:sz w:val="21"/>
        </w:rPr>
        <w:t>Australian Standards are intended to </w:t>
      </w:r>
      <w:r>
        <w:rPr>
          <w:w w:val="105"/>
          <w:sz w:val="21"/>
        </w:rPr>
        <w:t>be used as guides and </w:t>
      </w:r>
      <w:r>
        <w:rPr>
          <w:spacing w:val="-3"/>
          <w:w w:val="105"/>
          <w:sz w:val="21"/>
        </w:rPr>
        <w:t>are </w:t>
      </w:r>
      <w:r>
        <w:rPr>
          <w:spacing w:val="-2"/>
          <w:w w:val="105"/>
          <w:sz w:val="21"/>
        </w:rPr>
        <w:t>not </w:t>
      </w:r>
      <w:r>
        <w:rPr>
          <w:w w:val="105"/>
          <w:sz w:val="21"/>
        </w:rPr>
        <w:t>statutory</w:t>
      </w:r>
      <w:r>
        <w:rPr>
          <w:spacing w:val="11"/>
          <w:w w:val="105"/>
          <w:sz w:val="21"/>
        </w:rPr>
        <w:t> </w:t>
      </w:r>
      <w:r>
        <w:rPr>
          <w:w w:val="105"/>
          <w:sz w:val="21"/>
        </w:rPr>
        <w:t>instruments.</w:t>
      </w:r>
    </w:p>
    <w:p>
      <w:pPr>
        <w:pStyle w:val="ListParagraph"/>
        <w:numPr>
          <w:ilvl w:val="1"/>
          <w:numId w:val="99"/>
        </w:numPr>
        <w:tabs>
          <w:tab w:pos="2381" w:val="left" w:leader="none"/>
          <w:tab w:pos="2382" w:val="left" w:leader="none"/>
        </w:tabs>
        <w:spacing w:line="242" w:lineRule="auto" w:before="123" w:after="0"/>
        <w:ind w:left="2381" w:right="1790" w:hanging="794"/>
        <w:jc w:val="left"/>
        <w:rPr>
          <w:sz w:val="21"/>
        </w:rPr>
      </w:pPr>
      <w:r>
        <w:rPr>
          <w:w w:val="105"/>
          <w:sz w:val="21"/>
        </w:rPr>
        <w:t>The only </w:t>
      </w:r>
      <w:r>
        <w:rPr>
          <w:spacing w:val="-3"/>
          <w:w w:val="105"/>
          <w:sz w:val="21"/>
        </w:rPr>
        <w:t>way for </w:t>
      </w:r>
      <w:r>
        <w:rPr>
          <w:w w:val="105"/>
          <w:sz w:val="21"/>
        </w:rPr>
        <w:t>community members </w:t>
      </w:r>
      <w:r>
        <w:rPr>
          <w:spacing w:val="-3"/>
          <w:w w:val="105"/>
          <w:sz w:val="21"/>
        </w:rPr>
        <w:t>to </w:t>
      </w:r>
      <w:r>
        <w:rPr>
          <w:w w:val="105"/>
          <w:sz w:val="21"/>
        </w:rPr>
        <w:t>comply with the </w:t>
      </w:r>
      <w:r>
        <w:rPr>
          <w:spacing w:val="-3"/>
          <w:w w:val="105"/>
          <w:sz w:val="21"/>
        </w:rPr>
        <w:t>Australian Standards </w:t>
      </w:r>
      <w:r>
        <w:rPr>
          <w:w w:val="105"/>
          <w:sz w:val="21"/>
        </w:rPr>
        <w:t>is </w:t>
      </w:r>
      <w:r>
        <w:rPr>
          <w:spacing w:val="-3"/>
          <w:w w:val="105"/>
          <w:sz w:val="21"/>
        </w:rPr>
        <w:t>to </w:t>
      </w:r>
      <w:r>
        <w:rPr>
          <w:w w:val="105"/>
          <w:sz w:val="21"/>
        </w:rPr>
        <w:t>engage a qualified arborist. </w:t>
      </w:r>
      <w:r>
        <w:rPr>
          <w:spacing w:val="-3"/>
          <w:w w:val="105"/>
          <w:sz w:val="21"/>
        </w:rPr>
        <w:t>Professional arboriculture </w:t>
      </w:r>
      <w:r>
        <w:rPr>
          <w:w w:val="105"/>
          <w:sz w:val="21"/>
        </w:rPr>
        <w:t>associations and local </w:t>
      </w:r>
      <w:r>
        <w:rPr>
          <w:spacing w:val="-3"/>
          <w:w w:val="105"/>
          <w:sz w:val="21"/>
        </w:rPr>
        <w:t>councils </w:t>
      </w:r>
      <w:r>
        <w:rPr>
          <w:w w:val="105"/>
          <w:sz w:val="21"/>
        </w:rPr>
        <w:t>should </w:t>
      </w:r>
      <w:r>
        <w:rPr>
          <w:spacing w:val="-3"/>
          <w:w w:val="105"/>
          <w:sz w:val="21"/>
        </w:rPr>
        <w:t>consider raising </w:t>
      </w:r>
      <w:r>
        <w:rPr>
          <w:w w:val="105"/>
          <w:sz w:val="21"/>
        </w:rPr>
        <w:t>community awareness about the benefits of </w:t>
      </w:r>
      <w:r>
        <w:rPr>
          <w:spacing w:val="-3"/>
          <w:w w:val="105"/>
          <w:sz w:val="21"/>
        </w:rPr>
        <w:t>hiring </w:t>
      </w:r>
      <w:r>
        <w:rPr>
          <w:w w:val="105"/>
          <w:sz w:val="21"/>
        </w:rPr>
        <w:t>a suitably qualified arborist. These </w:t>
      </w:r>
      <w:r>
        <w:rPr>
          <w:spacing w:val="-3"/>
          <w:w w:val="105"/>
          <w:sz w:val="21"/>
        </w:rPr>
        <w:t>recommendations are contained </w:t>
      </w:r>
      <w:r>
        <w:rPr>
          <w:w w:val="105"/>
          <w:sz w:val="21"/>
        </w:rPr>
        <w:t>in </w:t>
      </w:r>
      <w:r>
        <w:rPr>
          <w:spacing w:val="-4"/>
          <w:w w:val="105"/>
          <w:sz w:val="21"/>
        </w:rPr>
        <w:t>Chapter </w:t>
      </w:r>
      <w:r>
        <w:rPr>
          <w:spacing w:val="-9"/>
          <w:w w:val="105"/>
          <w:sz w:val="21"/>
        </w:rPr>
        <w:t>12. </w:t>
      </w:r>
      <w:r>
        <w:rPr>
          <w:w w:val="105"/>
          <w:sz w:val="21"/>
        </w:rPr>
        <w:t>In </w:t>
      </w:r>
      <w:r>
        <w:rPr>
          <w:spacing w:val="-3"/>
          <w:w w:val="105"/>
          <w:sz w:val="21"/>
        </w:rPr>
        <w:t>addition, recommendations are </w:t>
      </w:r>
      <w:r>
        <w:rPr>
          <w:w w:val="105"/>
          <w:sz w:val="21"/>
        </w:rPr>
        <w:t>made in </w:t>
      </w:r>
      <w:r>
        <w:rPr>
          <w:spacing w:val="-4"/>
          <w:w w:val="105"/>
          <w:sz w:val="21"/>
        </w:rPr>
        <w:t>Chapter </w:t>
      </w:r>
      <w:r>
        <w:rPr>
          <w:w w:val="105"/>
          <w:sz w:val="21"/>
        </w:rPr>
        <w:t>9 </w:t>
      </w:r>
      <w:r>
        <w:rPr>
          <w:spacing w:val="-3"/>
          <w:w w:val="105"/>
          <w:sz w:val="21"/>
        </w:rPr>
        <w:t>that </w:t>
      </w:r>
      <w:r>
        <w:rPr>
          <w:spacing w:val="-5"/>
          <w:w w:val="105"/>
          <w:sz w:val="21"/>
        </w:rPr>
        <w:t>VCAT </w:t>
      </w:r>
      <w:r>
        <w:rPr>
          <w:w w:val="105"/>
          <w:sz w:val="21"/>
        </w:rPr>
        <w:t>orders be made in </w:t>
      </w:r>
      <w:r>
        <w:rPr>
          <w:spacing w:val="-3"/>
          <w:w w:val="105"/>
          <w:sz w:val="21"/>
        </w:rPr>
        <w:t>accordance </w:t>
      </w:r>
      <w:r>
        <w:rPr>
          <w:w w:val="105"/>
          <w:sz w:val="21"/>
        </w:rPr>
        <w:t>with the </w:t>
      </w:r>
      <w:r>
        <w:rPr>
          <w:spacing w:val="-3"/>
          <w:w w:val="105"/>
          <w:sz w:val="21"/>
        </w:rPr>
        <w:t>Australian Standards </w:t>
      </w:r>
      <w:r>
        <w:rPr>
          <w:w w:val="105"/>
          <w:sz w:val="21"/>
        </w:rPr>
        <w:t>and </w:t>
      </w:r>
      <w:r>
        <w:rPr>
          <w:spacing w:val="-3"/>
          <w:w w:val="105"/>
          <w:sz w:val="21"/>
        </w:rPr>
        <w:t>that </w:t>
      </w:r>
      <w:r>
        <w:rPr>
          <w:spacing w:val="-5"/>
          <w:w w:val="105"/>
          <w:sz w:val="21"/>
        </w:rPr>
        <w:t>VCAT </w:t>
      </w:r>
      <w:r>
        <w:rPr>
          <w:spacing w:val="-3"/>
          <w:w w:val="105"/>
          <w:sz w:val="21"/>
        </w:rPr>
        <w:t>may </w:t>
      </w:r>
      <w:r>
        <w:rPr>
          <w:w w:val="105"/>
          <w:sz w:val="21"/>
        </w:rPr>
        <w:t>further specify </w:t>
      </w:r>
      <w:r>
        <w:rPr>
          <w:spacing w:val="-3"/>
          <w:w w:val="105"/>
          <w:sz w:val="21"/>
        </w:rPr>
        <w:t>that </w:t>
      </w:r>
      <w:r>
        <w:rPr>
          <w:w w:val="105"/>
          <w:sz w:val="21"/>
        </w:rPr>
        <w:t>works must be carried out by a suitably qualified</w:t>
      </w:r>
      <w:r>
        <w:rPr>
          <w:spacing w:val="21"/>
          <w:w w:val="105"/>
          <w:sz w:val="21"/>
        </w:rPr>
        <w:t> </w:t>
      </w:r>
      <w:r>
        <w:rPr>
          <w:w w:val="105"/>
          <w:sz w:val="21"/>
        </w:rPr>
        <w:t>arborist.</w:t>
      </w:r>
    </w:p>
    <w:p>
      <w:pPr>
        <w:pStyle w:val="BodyText"/>
        <w:rPr>
          <w:sz w:val="20"/>
        </w:rPr>
      </w:pPr>
    </w:p>
    <w:p>
      <w:pPr>
        <w:pStyle w:val="BodyText"/>
        <w:spacing w:before="1"/>
        <w:rPr>
          <w:sz w:val="19"/>
        </w:rPr>
      </w:pPr>
      <w:r>
        <w:rPr/>
        <w:pict>
          <v:line style="position:absolute;mso-position-horizontal-relative:page;mso-position-vertical-relative:paragraph;z-index:6176;mso-wrap-distance-left:0;mso-wrap-distance-right:0" from="79.370102pt,14.106813pt" to="515.905102pt,14.10681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5"/>
        </w:rPr>
      </w:pPr>
    </w:p>
    <w:p>
      <w:pPr>
        <w:spacing w:before="0"/>
        <w:ind w:left="720" w:right="0" w:firstLine="0"/>
        <w:jc w:val="left"/>
        <w:rPr>
          <w:b/>
          <w:sz w:val="24"/>
        </w:rPr>
      </w:pPr>
      <w:r>
        <w:rPr>
          <w:b/>
          <w:color w:val="658464"/>
          <w:spacing w:val="-4"/>
          <w:w w:val="110"/>
          <w:sz w:val="24"/>
        </w:rPr>
        <w:t>128</w:t>
      </w:r>
    </w:p>
    <w:p>
      <w:pPr>
        <w:pStyle w:val="ListParagraph"/>
        <w:numPr>
          <w:ilvl w:val="0"/>
          <w:numId w:val="104"/>
        </w:numPr>
        <w:tabs>
          <w:tab w:pos="1230" w:val="left" w:leader="none"/>
          <w:tab w:pos="1231" w:val="left" w:leader="none"/>
        </w:tabs>
        <w:spacing w:line="240" w:lineRule="auto" w:before="48" w:after="0"/>
        <w:ind w:left="1230" w:right="1605" w:hanging="794"/>
        <w:jc w:val="left"/>
        <w:rPr>
          <w:sz w:val="13"/>
        </w:rPr>
      </w:pPr>
      <w:r>
        <w:rPr>
          <w:spacing w:val="2"/>
          <w:w w:val="108"/>
          <w:sz w:val="13"/>
        </w:rPr>
        <w:br w:type="column"/>
      </w:r>
      <w:r>
        <w:rPr>
          <w:w w:val="105"/>
          <w:sz w:val="13"/>
        </w:rPr>
        <w:t>See eg, </w:t>
      </w:r>
      <w:r>
        <w:rPr>
          <w:i/>
          <w:w w:val="105"/>
          <w:sz w:val="13"/>
        </w:rPr>
        <w:t>R v Stenberg </w:t>
      </w:r>
      <w:r>
        <w:rPr>
          <w:w w:val="105"/>
          <w:sz w:val="13"/>
        </w:rPr>
        <w:t>[2013] NSWSC 1858; Order of Magistrate J Lesser (Magistrates Court of Victoria, H13012408, </w:t>
      </w:r>
      <w:r>
        <w:rPr>
          <w:spacing w:val="-3"/>
          <w:w w:val="105"/>
          <w:sz w:val="13"/>
        </w:rPr>
        <w:t>14  </w:t>
      </w:r>
      <w:r>
        <w:rPr>
          <w:w w:val="105"/>
          <w:sz w:val="13"/>
        </w:rPr>
        <w:t>February 2018); see  </w:t>
      </w:r>
      <w:r>
        <w:rPr>
          <w:spacing w:val="30"/>
          <w:w w:val="105"/>
          <w:sz w:val="13"/>
        </w:rPr>
        <w:t> </w:t>
      </w:r>
      <w:r>
        <w:rPr>
          <w:w w:val="105"/>
          <w:sz w:val="13"/>
        </w:rPr>
        <w:t>also Mel Buttigieg, ‘Neighbourhood </w:t>
      </w:r>
      <w:r>
        <w:rPr>
          <w:spacing w:val="2"/>
          <w:w w:val="105"/>
          <w:sz w:val="13"/>
        </w:rPr>
        <w:t>tree-son! </w:t>
      </w:r>
      <w:r>
        <w:rPr>
          <w:w w:val="105"/>
          <w:sz w:val="13"/>
        </w:rPr>
        <w:t>Family’s CCTV catches man </w:t>
      </w:r>
      <w:r>
        <w:rPr>
          <w:spacing w:val="2"/>
          <w:w w:val="105"/>
          <w:sz w:val="13"/>
        </w:rPr>
        <w:t>next </w:t>
      </w:r>
      <w:r>
        <w:rPr>
          <w:w w:val="105"/>
          <w:sz w:val="13"/>
        </w:rPr>
        <w:t>door cutting down their tree’, </w:t>
      </w:r>
      <w:r>
        <w:rPr>
          <w:i/>
          <w:w w:val="105"/>
          <w:sz w:val="13"/>
        </w:rPr>
        <w:t>Yahoo7 News </w:t>
      </w:r>
      <w:r>
        <w:rPr>
          <w:w w:val="105"/>
          <w:sz w:val="13"/>
        </w:rPr>
        <w:t>(online, </w:t>
      </w:r>
      <w:r>
        <w:rPr>
          <w:spacing w:val="-6"/>
          <w:w w:val="105"/>
          <w:sz w:val="13"/>
        </w:rPr>
        <w:t>11 </w:t>
      </w:r>
      <w:r>
        <w:rPr>
          <w:w w:val="105"/>
          <w:sz w:val="13"/>
        </w:rPr>
        <w:t>May 2017)</w:t>
      </w:r>
      <w:r>
        <w:rPr>
          <w:spacing w:val="11"/>
          <w:w w:val="105"/>
          <w:sz w:val="13"/>
        </w:rPr>
        <w:t> </w:t>
      </w:r>
      <w:r>
        <w:rPr>
          <w:w w:val="105"/>
          <w:sz w:val="13"/>
        </w:rPr>
        <w:t>&lt;https://au.news.yahoo.com/geelong-man-catches-neighbour-on-cctv-hacking-trees-with-chainsaw-35448374.html&gt;.</w:t>
      </w:r>
    </w:p>
    <w:p>
      <w:pPr>
        <w:pStyle w:val="ListParagraph"/>
        <w:numPr>
          <w:ilvl w:val="0"/>
          <w:numId w:val="104"/>
        </w:numPr>
        <w:tabs>
          <w:tab w:pos="1230" w:val="left" w:leader="none"/>
          <w:tab w:pos="1231" w:val="left" w:leader="none"/>
        </w:tabs>
        <w:spacing w:line="240" w:lineRule="auto" w:before="4" w:after="0"/>
        <w:ind w:left="1230" w:right="1613" w:hanging="794"/>
        <w:jc w:val="left"/>
        <w:rPr>
          <w:sz w:val="13"/>
        </w:rPr>
      </w:pPr>
      <w:r>
        <w:rPr>
          <w:w w:val="105"/>
          <w:sz w:val="13"/>
        </w:rPr>
        <w:t>Kit Barker, Peter Cane, Mark Lunney and Francis Trindade, </w:t>
      </w:r>
      <w:r>
        <w:rPr>
          <w:i/>
          <w:w w:val="105"/>
          <w:sz w:val="13"/>
        </w:rPr>
        <w:t>The Law of Torts in Australia </w:t>
      </w:r>
      <w:r>
        <w:rPr>
          <w:spacing w:val="2"/>
          <w:w w:val="105"/>
          <w:sz w:val="13"/>
        </w:rPr>
        <w:t>(Oxford </w:t>
      </w:r>
      <w:r>
        <w:rPr>
          <w:w w:val="105"/>
          <w:sz w:val="13"/>
        </w:rPr>
        <w:t>University Press, 5th ed, 2012) [4.4.1]. The situation which the affected neighbour believes compels them to </w:t>
      </w:r>
      <w:r>
        <w:rPr>
          <w:spacing w:val="2"/>
          <w:w w:val="105"/>
          <w:sz w:val="13"/>
        </w:rPr>
        <w:t>act </w:t>
      </w:r>
      <w:r>
        <w:rPr>
          <w:w w:val="105"/>
          <w:sz w:val="13"/>
        </w:rPr>
        <w:t>to preserve life and </w:t>
      </w:r>
      <w:r>
        <w:rPr>
          <w:spacing w:val="2"/>
          <w:w w:val="105"/>
          <w:sz w:val="13"/>
        </w:rPr>
        <w:t>property </w:t>
      </w:r>
      <w:r>
        <w:rPr>
          <w:w w:val="105"/>
          <w:sz w:val="13"/>
        </w:rPr>
        <w:t>must be ‘an urgent situation of imminent peril’ that ‘existed actually, and not merely in the belief of the [affected neighbour]’: </w:t>
      </w:r>
      <w:r>
        <w:rPr>
          <w:i/>
          <w:w w:val="105"/>
          <w:sz w:val="13"/>
        </w:rPr>
        <w:t>Southwark London Borough Council v Williams </w:t>
      </w:r>
      <w:r>
        <w:rPr>
          <w:spacing w:val="-3"/>
          <w:w w:val="105"/>
          <w:sz w:val="13"/>
        </w:rPr>
        <w:t>(1971)        </w:t>
      </w:r>
      <w:r>
        <w:rPr>
          <w:w w:val="105"/>
          <w:sz w:val="13"/>
        </w:rPr>
        <w:t>1</w:t>
      </w:r>
      <w:r>
        <w:rPr>
          <w:spacing w:val="5"/>
          <w:w w:val="105"/>
          <w:sz w:val="13"/>
        </w:rPr>
        <w:t> </w:t>
      </w:r>
      <w:r>
        <w:rPr>
          <w:w w:val="105"/>
          <w:sz w:val="13"/>
        </w:rPr>
        <w:t>Ch</w:t>
      </w:r>
      <w:r>
        <w:rPr>
          <w:spacing w:val="5"/>
          <w:w w:val="105"/>
          <w:sz w:val="13"/>
        </w:rPr>
        <w:t> </w:t>
      </w:r>
      <w:r>
        <w:rPr>
          <w:w w:val="105"/>
          <w:sz w:val="13"/>
        </w:rPr>
        <w:t>734,</w:t>
      </w:r>
      <w:r>
        <w:rPr>
          <w:spacing w:val="5"/>
          <w:w w:val="105"/>
          <w:sz w:val="13"/>
        </w:rPr>
        <w:t> </w:t>
      </w:r>
      <w:r>
        <w:rPr>
          <w:w w:val="105"/>
          <w:sz w:val="13"/>
        </w:rPr>
        <w:t>746;</w:t>
      </w:r>
      <w:r>
        <w:rPr>
          <w:spacing w:val="5"/>
          <w:w w:val="105"/>
          <w:sz w:val="13"/>
        </w:rPr>
        <w:t> </w:t>
      </w:r>
      <w:r>
        <w:rPr>
          <w:i/>
          <w:w w:val="105"/>
          <w:sz w:val="13"/>
        </w:rPr>
        <w:t>Cope</w:t>
      </w:r>
      <w:r>
        <w:rPr>
          <w:i/>
          <w:spacing w:val="6"/>
          <w:w w:val="105"/>
          <w:sz w:val="13"/>
        </w:rPr>
        <w:t> </w:t>
      </w:r>
      <w:r>
        <w:rPr>
          <w:i/>
          <w:w w:val="105"/>
          <w:sz w:val="13"/>
        </w:rPr>
        <w:t>v</w:t>
      </w:r>
      <w:r>
        <w:rPr>
          <w:i/>
          <w:spacing w:val="5"/>
          <w:w w:val="105"/>
          <w:sz w:val="13"/>
        </w:rPr>
        <w:t> </w:t>
      </w:r>
      <w:r>
        <w:rPr>
          <w:i/>
          <w:w w:val="105"/>
          <w:sz w:val="13"/>
        </w:rPr>
        <w:t>Sharpe</w:t>
      </w:r>
      <w:r>
        <w:rPr>
          <w:i/>
          <w:spacing w:val="5"/>
          <w:w w:val="105"/>
          <w:sz w:val="13"/>
        </w:rPr>
        <w:t> </w:t>
      </w:r>
      <w:r>
        <w:rPr>
          <w:spacing w:val="3"/>
          <w:w w:val="105"/>
          <w:sz w:val="13"/>
        </w:rPr>
        <w:t>(No</w:t>
      </w:r>
      <w:r>
        <w:rPr>
          <w:spacing w:val="5"/>
          <w:w w:val="105"/>
          <w:sz w:val="13"/>
        </w:rPr>
        <w:t> </w:t>
      </w:r>
      <w:r>
        <w:rPr>
          <w:w w:val="105"/>
          <w:sz w:val="13"/>
        </w:rPr>
        <w:t>2)</w:t>
      </w:r>
      <w:r>
        <w:rPr>
          <w:spacing w:val="6"/>
          <w:w w:val="105"/>
          <w:sz w:val="13"/>
        </w:rPr>
        <w:t> </w:t>
      </w:r>
      <w:r>
        <w:rPr>
          <w:spacing w:val="-3"/>
          <w:w w:val="105"/>
          <w:sz w:val="13"/>
        </w:rPr>
        <w:t>[1912]</w:t>
      </w:r>
      <w:r>
        <w:rPr>
          <w:spacing w:val="5"/>
          <w:w w:val="105"/>
          <w:sz w:val="13"/>
        </w:rPr>
        <w:t> </w:t>
      </w:r>
      <w:r>
        <w:rPr>
          <w:w w:val="105"/>
          <w:sz w:val="13"/>
        </w:rPr>
        <w:t>1</w:t>
      </w:r>
      <w:r>
        <w:rPr>
          <w:spacing w:val="5"/>
          <w:w w:val="105"/>
          <w:sz w:val="13"/>
        </w:rPr>
        <w:t> </w:t>
      </w:r>
      <w:r>
        <w:rPr>
          <w:w w:val="105"/>
          <w:sz w:val="13"/>
        </w:rPr>
        <w:t>KB</w:t>
      </w:r>
      <w:r>
        <w:rPr>
          <w:spacing w:val="5"/>
          <w:w w:val="105"/>
          <w:sz w:val="13"/>
        </w:rPr>
        <w:t> </w:t>
      </w:r>
      <w:r>
        <w:rPr>
          <w:w w:val="105"/>
          <w:sz w:val="13"/>
        </w:rPr>
        <w:t>496,</w:t>
      </w:r>
      <w:r>
        <w:rPr>
          <w:spacing w:val="6"/>
          <w:w w:val="105"/>
          <w:sz w:val="13"/>
        </w:rPr>
        <w:t> </w:t>
      </w:r>
      <w:r>
        <w:rPr>
          <w:spacing w:val="2"/>
          <w:w w:val="105"/>
          <w:sz w:val="13"/>
        </w:rPr>
        <w:t>508.</w:t>
      </w:r>
    </w:p>
    <w:p>
      <w:pPr>
        <w:pStyle w:val="ListParagraph"/>
        <w:numPr>
          <w:ilvl w:val="0"/>
          <w:numId w:val="104"/>
        </w:numPr>
        <w:tabs>
          <w:tab w:pos="1230" w:val="left" w:leader="none"/>
          <w:tab w:pos="1231" w:val="left" w:leader="none"/>
        </w:tabs>
        <w:spacing w:line="240" w:lineRule="auto" w:before="5" w:after="0"/>
        <w:ind w:left="1230" w:right="1647" w:hanging="794"/>
        <w:jc w:val="left"/>
        <w:rPr>
          <w:sz w:val="13"/>
        </w:rPr>
      </w:pPr>
      <w:r>
        <w:rPr>
          <w:w w:val="105"/>
          <w:sz w:val="13"/>
        </w:rPr>
        <w:t>‘There are two requirements for possession in law: the actual physical control of </w:t>
      </w:r>
      <w:r>
        <w:rPr>
          <w:spacing w:val="2"/>
          <w:w w:val="105"/>
          <w:sz w:val="13"/>
        </w:rPr>
        <w:t>property </w:t>
      </w:r>
      <w:r>
        <w:rPr>
          <w:i/>
          <w:w w:val="105"/>
          <w:sz w:val="13"/>
        </w:rPr>
        <w:t>(factum possidendi) </w:t>
      </w:r>
      <w:r>
        <w:rPr>
          <w:w w:val="105"/>
          <w:sz w:val="13"/>
        </w:rPr>
        <w:t>and the intention to exercise dominium over it (animus possidendi). In sum, the legal conception of “possession” encapsulates the complete and unshakeable physical control with full awareness or knowledge of the </w:t>
      </w:r>
      <w:r>
        <w:rPr>
          <w:spacing w:val="2"/>
          <w:w w:val="105"/>
          <w:sz w:val="13"/>
        </w:rPr>
        <w:t>property </w:t>
      </w:r>
      <w:r>
        <w:rPr>
          <w:w w:val="105"/>
          <w:sz w:val="13"/>
        </w:rPr>
        <w:t>coupled with an obstinate will to exclude all others from it.’: Thomson Reuters Westlaw,</w:t>
      </w:r>
      <w:r>
        <w:rPr>
          <w:spacing w:val="4"/>
          <w:w w:val="105"/>
          <w:sz w:val="13"/>
        </w:rPr>
        <w:t> </w:t>
      </w:r>
      <w:r>
        <w:rPr>
          <w:i/>
          <w:w w:val="105"/>
          <w:sz w:val="13"/>
        </w:rPr>
        <w:t>The</w:t>
      </w:r>
      <w:r>
        <w:rPr>
          <w:i/>
          <w:spacing w:val="5"/>
          <w:w w:val="105"/>
          <w:sz w:val="13"/>
        </w:rPr>
        <w:t> </w:t>
      </w:r>
      <w:r>
        <w:rPr>
          <w:i/>
          <w:w w:val="105"/>
          <w:sz w:val="13"/>
        </w:rPr>
        <w:t>Laws</w:t>
      </w:r>
      <w:r>
        <w:rPr>
          <w:i/>
          <w:spacing w:val="5"/>
          <w:w w:val="105"/>
          <w:sz w:val="13"/>
        </w:rPr>
        <w:t> </w:t>
      </w:r>
      <w:r>
        <w:rPr>
          <w:i/>
          <w:w w:val="105"/>
          <w:sz w:val="13"/>
        </w:rPr>
        <w:t>of</w:t>
      </w:r>
      <w:r>
        <w:rPr>
          <w:i/>
          <w:spacing w:val="4"/>
          <w:w w:val="105"/>
          <w:sz w:val="13"/>
        </w:rPr>
        <w:t> </w:t>
      </w:r>
      <w:r>
        <w:rPr>
          <w:i/>
          <w:w w:val="105"/>
          <w:sz w:val="13"/>
        </w:rPr>
        <w:t>Australia</w:t>
      </w:r>
      <w:r>
        <w:rPr>
          <w:i/>
          <w:spacing w:val="5"/>
          <w:w w:val="105"/>
          <w:sz w:val="13"/>
        </w:rPr>
        <w:t> </w:t>
      </w:r>
      <w:r>
        <w:rPr>
          <w:w w:val="105"/>
          <w:sz w:val="13"/>
        </w:rPr>
        <w:t>(at</w:t>
      </w:r>
      <w:r>
        <w:rPr>
          <w:spacing w:val="5"/>
          <w:w w:val="105"/>
          <w:sz w:val="13"/>
        </w:rPr>
        <w:t> </w:t>
      </w:r>
      <w:r>
        <w:rPr>
          <w:w w:val="105"/>
          <w:sz w:val="13"/>
        </w:rPr>
        <w:t>1</w:t>
      </w:r>
      <w:r>
        <w:rPr>
          <w:spacing w:val="4"/>
          <w:w w:val="105"/>
          <w:sz w:val="13"/>
        </w:rPr>
        <w:t> </w:t>
      </w:r>
      <w:r>
        <w:rPr>
          <w:w w:val="105"/>
          <w:sz w:val="13"/>
        </w:rPr>
        <w:t>January</w:t>
      </w:r>
      <w:r>
        <w:rPr>
          <w:spacing w:val="5"/>
          <w:w w:val="105"/>
          <w:sz w:val="13"/>
        </w:rPr>
        <w:t> </w:t>
      </w:r>
      <w:r>
        <w:rPr>
          <w:w w:val="105"/>
          <w:sz w:val="13"/>
        </w:rPr>
        <w:t>2015)</w:t>
      </w:r>
      <w:r>
        <w:rPr>
          <w:spacing w:val="5"/>
          <w:w w:val="105"/>
          <w:sz w:val="13"/>
        </w:rPr>
        <w:t> </w:t>
      </w:r>
      <w:r>
        <w:rPr>
          <w:w w:val="105"/>
          <w:sz w:val="13"/>
        </w:rPr>
        <w:t>28</w:t>
      </w:r>
      <w:r>
        <w:rPr>
          <w:spacing w:val="4"/>
          <w:w w:val="105"/>
          <w:sz w:val="13"/>
        </w:rPr>
        <w:t> </w:t>
      </w:r>
      <w:r>
        <w:rPr>
          <w:w w:val="105"/>
          <w:sz w:val="13"/>
        </w:rPr>
        <w:t>Real</w:t>
      </w:r>
      <w:r>
        <w:rPr>
          <w:spacing w:val="5"/>
          <w:w w:val="105"/>
          <w:sz w:val="13"/>
        </w:rPr>
        <w:t> </w:t>
      </w:r>
      <w:r>
        <w:rPr>
          <w:w w:val="105"/>
          <w:sz w:val="13"/>
        </w:rPr>
        <w:t>Property,</w:t>
      </w:r>
      <w:r>
        <w:rPr>
          <w:spacing w:val="5"/>
          <w:w w:val="105"/>
          <w:sz w:val="13"/>
        </w:rPr>
        <w:t> </w:t>
      </w:r>
      <w:r>
        <w:rPr>
          <w:w w:val="105"/>
          <w:sz w:val="13"/>
        </w:rPr>
        <w:t>‘2</w:t>
      </w:r>
      <w:r>
        <w:rPr>
          <w:spacing w:val="5"/>
          <w:w w:val="105"/>
          <w:sz w:val="13"/>
        </w:rPr>
        <w:t> </w:t>
      </w:r>
      <w:r>
        <w:rPr>
          <w:w w:val="105"/>
          <w:sz w:val="13"/>
        </w:rPr>
        <w:t>Possession’</w:t>
      </w:r>
      <w:r>
        <w:rPr>
          <w:spacing w:val="4"/>
          <w:w w:val="105"/>
          <w:sz w:val="13"/>
        </w:rPr>
        <w:t> </w:t>
      </w:r>
      <w:r>
        <w:rPr>
          <w:w w:val="105"/>
          <w:sz w:val="13"/>
        </w:rPr>
        <w:t>[28.16.160].</w:t>
      </w:r>
    </w:p>
    <w:p>
      <w:pPr>
        <w:pStyle w:val="ListParagraph"/>
        <w:numPr>
          <w:ilvl w:val="0"/>
          <w:numId w:val="104"/>
        </w:numPr>
        <w:tabs>
          <w:tab w:pos="1230" w:val="left" w:leader="none"/>
          <w:tab w:pos="1231" w:val="left" w:leader="none"/>
        </w:tabs>
        <w:spacing w:line="240" w:lineRule="auto" w:before="6" w:after="0"/>
        <w:ind w:left="1230" w:right="0" w:hanging="794"/>
        <w:jc w:val="left"/>
        <w:rPr>
          <w:sz w:val="13"/>
        </w:rPr>
      </w:pPr>
      <w:r>
        <w:rPr>
          <w:w w:val="105"/>
          <w:sz w:val="13"/>
        </w:rPr>
        <w:t>The</w:t>
      </w:r>
      <w:r>
        <w:rPr>
          <w:spacing w:val="6"/>
          <w:w w:val="105"/>
          <w:sz w:val="13"/>
        </w:rPr>
        <w:t> </w:t>
      </w:r>
      <w:r>
        <w:rPr>
          <w:w w:val="105"/>
          <w:sz w:val="13"/>
        </w:rPr>
        <w:t>cost</w:t>
      </w:r>
      <w:r>
        <w:rPr>
          <w:spacing w:val="7"/>
          <w:w w:val="105"/>
          <w:sz w:val="13"/>
        </w:rPr>
        <w:t> </w:t>
      </w:r>
      <w:r>
        <w:rPr>
          <w:w w:val="105"/>
          <w:sz w:val="13"/>
        </w:rPr>
        <w:t>of</w:t>
      </w:r>
      <w:r>
        <w:rPr>
          <w:spacing w:val="6"/>
          <w:w w:val="105"/>
          <w:sz w:val="13"/>
        </w:rPr>
        <w:t> </w:t>
      </w:r>
      <w:r>
        <w:rPr>
          <w:w w:val="105"/>
          <w:sz w:val="13"/>
        </w:rPr>
        <w:t>Australian</w:t>
      </w:r>
      <w:r>
        <w:rPr>
          <w:spacing w:val="7"/>
          <w:w w:val="105"/>
          <w:sz w:val="13"/>
        </w:rPr>
        <w:t> </w:t>
      </w:r>
      <w:r>
        <w:rPr>
          <w:w w:val="105"/>
          <w:sz w:val="13"/>
        </w:rPr>
        <w:t>Standard</w:t>
      </w:r>
      <w:r>
        <w:rPr>
          <w:spacing w:val="6"/>
          <w:w w:val="105"/>
          <w:sz w:val="13"/>
        </w:rPr>
        <w:t> </w:t>
      </w:r>
      <w:r>
        <w:rPr>
          <w:w w:val="105"/>
          <w:sz w:val="13"/>
        </w:rPr>
        <w:t>4970-2009</w:t>
      </w:r>
      <w:r>
        <w:rPr>
          <w:spacing w:val="7"/>
          <w:w w:val="105"/>
          <w:sz w:val="13"/>
        </w:rPr>
        <w:t> </w:t>
      </w:r>
      <w:r>
        <w:rPr>
          <w:i/>
          <w:w w:val="105"/>
          <w:sz w:val="13"/>
        </w:rPr>
        <w:t>Protection</w:t>
      </w:r>
      <w:r>
        <w:rPr>
          <w:i/>
          <w:spacing w:val="6"/>
          <w:w w:val="105"/>
          <w:sz w:val="13"/>
        </w:rPr>
        <w:t> </w:t>
      </w:r>
      <w:r>
        <w:rPr>
          <w:i/>
          <w:w w:val="105"/>
          <w:sz w:val="13"/>
        </w:rPr>
        <w:t>of</w:t>
      </w:r>
      <w:r>
        <w:rPr>
          <w:i/>
          <w:spacing w:val="7"/>
          <w:w w:val="105"/>
          <w:sz w:val="13"/>
        </w:rPr>
        <w:t> </w:t>
      </w:r>
      <w:r>
        <w:rPr>
          <w:i/>
          <w:w w:val="105"/>
          <w:sz w:val="13"/>
        </w:rPr>
        <w:t>Trees</w:t>
      </w:r>
      <w:r>
        <w:rPr>
          <w:i/>
          <w:spacing w:val="6"/>
          <w:w w:val="105"/>
          <w:sz w:val="13"/>
        </w:rPr>
        <w:t> </w:t>
      </w:r>
      <w:r>
        <w:rPr>
          <w:i/>
          <w:w w:val="105"/>
          <w:sz w:val="13"/>
        </w:rPr>
        <w:t>on</w:t>
      </w:r>
      <w:r>
        <w:rPr>
          <w:i/>
          <w:spacing w:val="7"/>
          <w:w w:val="105"/>
          <w:sz w:val="13"/>
        </w:rPr>
        <w:t> </w:t>
      </w:r>
      <w:r>
        <w:rPr>
          <w:i/>
          <w:w w:val="105"/>
          <w:sz w:val="13"/>
        </w:rPr>
        <w:t>Development</w:t>
      </w:r>
      <w:r>
        <w:rPr>
          <w:i/>
          <w:spacing w:val="6"/>
          <w:w w:val="105"/>
          <w:sz w:val="13"/>
        </w:rPr>
        <w:t> </w:t>
      </w:r>
      <w:r>
        <w:rPr>
          <w:i/>
          <w:w w:val="105"/>
          <w:sz w:val="13"/>
        </w:rPr>
        <w:t>Sites</w:t>
      </w:r>
      <w:r>
        <w:rPr>
          <w:i/>
          <w:spacing w:val="7"/>
          <w:w w:val="105"/>
          <w:sz w:val="13"/>
        </w:rPr>
        <w:t> </w:t>
      </w:r>
      <w:r>
        <w:rPr>
          <w:w w:val="105"/>
          <w:sz w:val="13"/>
        </w:rPr>
        <w:t>is</w:t>
      </w:r>
      <w:r>
        <w:rPr>
          <w:spacing w:val="6"/>
          <w:w w:val="105"/>
          <w:sz w:val="13"/>
        </w:rPr>
        <w:t> </w:t>
      </w:r>
      <w:r>
        <w:rPr>
          <w:spacing w:val="-3"/>
          <w:w w:val="105"/>
          <w:sz w:val="13"/>
        </w:rPr>
        <w:t>$128.19.</w:t>
      </w:r>
      <w:r>
        <w:rPr>
          <w:spacing w:val="7"/>
          <w:w w:val="105"/>
          <w:sz w:val="13"/>
        </w:rPr>
        <w:t> </w:t>
      </w:r>
      <w:r>
        <w:rPr>
          <w:w w:val="105"/>
          <w:sz w:val="13"/>
        </w:rPr>
        <w:t>The</w:t>
      </w:r>
      <w:r>
        <w:rPr>
          <w:spacing w:val="6"/>
          <w:w w:val="105"/>
          <w:sz w:val="13"/>
        </w:rPr>
        <w:t> </w:t>
      </w:r>
      <w:r>
        <w:rPr>
          <w:w w:val="105"/>
          <w:sz w:val="13"/>
        </w:rPr>
        <w:t>cost</w:t>
      </w:r>
      <w:r>
        <w:rPr>
          <w:spacing w:val="7"/>
          <w:w w:val="105"/>
          <w:sz w:val="13"/>
        </w:rPr>
        <w:t> </w:t>
      </w:r>
      <w:r>
        <w:rPr>
          <w:w w:val="105"/>
          <w:sz w:val="13"/>
        </w:rPr>
        <w:t>of</w:t>
      </w:r>
      <w:r>
        <w:rPr>
          <w:spacing w:val="6"/>
          <w:w w:val="105"/>
          <w:sz w:val="13"/>
        </w:rPr>
        <w:t> </w:t>
      </w:r>
      <w:r>
        <w:rPr>
          <w:w w:val="105"/>
          <w:sz w:val="13"/>
        </w:rPr>
        <w:t>Australian</w:t>
      </w:r>
      <w:r>
        <w:rPr>
          <w:spacing w:val="7"/>
          <w:w w:val="105"/>
          <w:sz w:val="13"/>
        </w:rPr>
        <w:t> </w:t>
      </w:r>
      <w:r>
        <w:rPr>
          <w:w w:val="105"/>
          <w:sz w:val="13"/>
        </w:rPr>
        <w:t>Standard</w:t>
      </w:r>
      <w:r>
        <w:rPr>
          <w:spacing w:val="6"/>
          <w:w w:val="105"/>
          <w:sz w:val="13"/>
        </w:rPr>
        <w:t> </w:t>
      </w:r>
      <w:r>
        <w:rPr>
          <w:w w:val="105"/>
          <w:sz w:val="13"/>
        </w:rPr>
        <w:t>4373-2007</w:t>
      </w:r>
    </w:p>
    <w:p>
      <w:pPr>
        <w:spacing w:before="1"/>
        <w:ind w:left="1230" w:right="0" w:firstLine="0"/>
        <w:jc w:val="left"/>
        <w:rPr>
          <w:sz w:val="13"/>
        </w:rPr>
      </w:pPr>
      <w:r>
        <w:rPr>
          <w:i/>
          <w:w w:val="105"/>
          <w:sz w:val="13"/>
        </w:rPr>
        <w:t>Pruning of Amenity Trees </w:t>
      </w:r>
      <w:r>
        <w:rPr>
          <w:w w:val="105"/>
          <w:sz w:val="13"/>
        </w:rPr>
        <w:t>is $112.64. See generally SAI Global, ‘Store’, </w:t>
      </w:r>
      <w:r>
        <w:rPr>
          <w:i/>
          <w:w w:val="105"/>
          <w:sz w:val="13"/>
        </w:rPr>
        <w:t>Helping you Power Up Your World with Standards </w:t>
      </w:r>
      <w:r>
        <w:rPr>
          <w:w w:val="105"/>
          <w:sz w:val="13"/>
        </w:rPr>
        <w:t>(Web Page, 2019)</w:t>
      </w:r>
    </w:p>
    <w:p>
      <w:pPr>
        <w:spacing w:before="1"/>
        <w:ind w:left="1230" w:right="0" w:firstLine="0"/>
        <w:jc w:val="left"/>
        <w:rPr>
          <w:sz w:val="13"/>
        </w:rPr>
      </w:pPr>
      <w:r>
        <w:rPr>
          <w:sz w:val="13"/>
        </w:rPr>
        <w:t>&lt;https://infostore.saiglobal.com/&gt;.</w:t>
      </w:r>
    </w:p>
    <w:p>
      <w:pPr>
        <w:spacing w:after="0"/>
        <w:jc w:val="left"/>
        <w:rPr>
          <w:sz w:val="13"/>
        </w:rPr>
        <w:sectPr>
          <w:type w:val="continuous"/>
          <w:pgSz w:w="11910" w:h="16840"/>
          <w:pgMar w:top="300" w:bottom="280" w:left="0" w:right="0"/>
          <w:cols w:num="2" w:equalWidth="0">
            <w:col w:w="1111" w:space="40"/>
            <w:col w:w="10759"/>
          </w:cols>
        </w:sectPr>
      </w:pPr>
    </w:p>
    <w:p>
      <w:pPr>
        <w:pStyle w:val="BodyText"/>
        <w:rPr>
          <w:sz w:val="20"/>
        </w:rPr>
      </w:pPr>
    </w:p>
    <w:p>
      <w:pPr>
        <w:pStyle w:val="BodyText"/>
        <w:spacing w:before="8" w:after="1"/>
        <w:rPr>
          <w:sz w:val="29"/>
        </w:rPr>
      </w:pPr>
    </w:p>
    <w:p>
      <w:pPr>
        <w:pStyle w:val="BodyText"/>
        <w:ind w:left="1222"/>
        <w:rPr>
          <w:sz w:val="20"/>
        </w:rPr>
      </w:pPr>
      <w:r>
        <w:rPr>
          <w:sz w:val="20"/>
        </w:rPr>
        <w:pict>
          <v:group style="width:479.1pt;height:109.4pt;mso-position-horizontal-relative:char;mso-position-vertical-relative:line" coordorigin="0,0" coordsize="9582,2188">
            <v:rect style="position:absolute;left:340;top:0;width:8731;height:2188" filled="true" fillcolor="#dbe0dd" stroked="false">
              <v:fill type="solid"/>
            </v:rect>
            <v:line style="position:absolute" from="0,747" to="9581,747" stroked="true" strokeweight="2.5pt" strokecolor="#ffffff">
              <v:stroke dashstyle="solid"/>
            </v:line>
            <v:shape style="position:absolute;left:340;top:771;width:8731;height:1416" type="#_x0000_t202" filled="true" fillcolor="#dbe0dd" stroked="false">
              <v:textbox inset="0,0,0,0">
                <w:txbxContent>
                  <w:p>
                    <w:pPr>
                      <w:tabs>
                        <w:tab w:pos="793" w:val="left" w:leader="none"/>
                      </w:tabs>
                      <w:spacing w:line="242" w:lineRule="auto" w:before="208"/>
                      <w:ind w:left="793" w:right="390" w:hanging="567"/>
                      <w:jc w:val="left"/>
                      <w:rPr>
                        <w:sz w:val="21"/>
                      </w:rPr>
                    </w:pPr>
                    <w:bookmarkStart w:name="_bookmark69" w:id="155"/>
                    <w:bookmarkEnd w:id="155"/>
                    <w:r>
                      <w:rPr/>
                    </w:r>
                    <w:r>
                      <w:rPr>
                        <w:b/>
                        <w:spacing w:val="-4"/>
                        <w:w w:val="115"/>
                        <w:sz w:val="21"/>
                      </w:rPr>
                      <w:t>19</w:t>
                      <w:tab/>
                    </w:r>
                    <w:r>
                      <w:rPr>
                        <w:w w:val="115"/>
                        <w:sz w:val="21"/>
                      </w:rPr>
                      <w:t>The Act should modify the common law right to abate to the extent that abated tree parts such as branches, roots, fruit and other </w:t>
                    </w:r>
                    <w:r>
                      <w:rPr>
                        <w:spacing w:val="-3"/>
                        <w:w w:val="115"/>
                        <w:sz w:val="21"/>
                      </w:rPr>
                      <w:t>material </w:t>
                    </w:r>
                    <w:r>
                      <w:rPr>
                        <w:w w:val="115"/>
                        <w:sz w:val="21"/>
                      </w:rPr>
                      <w:t>are not required</w:t>
                    </w:r>
                    <w:r>
                      <w:rPr>
                        <w:spacing w:val="-6"/>
                        <w:w w:val="115"/>
                        <w:sz w:val="21"/>
                      </w:rPr>
                      <w:t> </w:t>
                    </w:r>
                    <w:r>
                      <w:rPr>
                        <w:w w:val="115"/>
                        <w:sz w:val="21"/>
                      </w:rPr>
                      <w:t>to</w:t>
                    </w:r>
                    <w:r>
                      <w:rPr>
                        <w:spacing w:val="-6"/>
                        <w:w w:val="115"/>
                        <w:sz w:val="21"/>
                      </w:rPr>
                      <w:t> </w:t>
                    </w:r>
                    <w:r>
                      <w:rPr>
                        <w:w w:val="115"/>
                        <w:sz w:val="21"/>
                      </w:rPr>
                      <w:t>be</w:t>
                    </w:r>
                    <w:r>
                      <w:rPr>
                        <w:spacing w:val="-6"/>
                        <w:w w:val="115"/>
                        <w:sz w:val="21"/>
                      </w:rPr>
                      <w:t> </w:t>
                    </w:r>
                    <w:r>
                      <w:rPr>
                        <w:w w:val="115"/>
                        <w:sz w:val="21"/>
                      </w:rPr>
                      <w:t>returned</w:t>
                    </w:r>
                    <w:r>
                      <w:rPr>
                        <w:spacing w:val="-6"/>
                        <w:w w:val="115"/>
                        <w:sz w:val="21"/>
                      </w:rPr>
                      <w:t> </w:t>
                    </w:r>
                    <w:r>
                      <w:rPr>
                        <w:w w:val="115"/>
                        <w:sz w:val="21"/>
                      </w:rPr>
                      <w:t>to</w:t>
                    </w:r>
                    <w:r>
                      <w:rPr>
                        <w:spacing w:val="-6"/>
                        <w:w w:val="115"/>
                        <w:sz w:val="21"/>
                      </w:rPr>
                      <w:t> </w:t>
                    </w:r>
                    <w:r>
                      <w:rPr>
                        <w:w w:val="115"/>
                        <w:sz w:val="21"/>
                      </w:rPr>
                      <w:t>the</w:t>
                    </w:r>
                    <w:r>
                      <w:rPr>
                        <w:spacing w:val="-6"/>
                        <w:w w:val="115"/>
                        <w:sz w:val="21"/>
                      </w:rPr>
                      <w:t> </w:t>
                    </w:r>
                    <w:r>
                      <w:rPr>
                        <w:w w:val="115"/>
                        <w:sz w:val="21"/>
                      </w:rPr>
                      <w:t>tree</w:t>
                    </w:r>
                    <w:r>
                      <w:rPr>
                        <w:spacing w:val="-6"/>
                        <w:w w:val="115"/>
                        <w:sz w:val="21"/>
                      </w:rPr>
                      <w:t> </w:t>
                    </w:r>
                    <w:r>
                      <w:rPr>
                        <w:w w:val="115"/>
                        <w:sz w:val="21"/>
                      </w:rPr>
                      <w:t>owner</w:t>
                    </w:r>
                    <w:r>
                      <w:rPr>
                        <w:spacing w:val="-6"/>
                        <w:w w:val="115"/>
                        <w:sz w:val="21"/>
                      </w:rPr>
                      <w:t> </w:t>
                    </w:r>
                    <w:r>
                      <w:rPr>
                        <w:w w:val="115"/>
                        <w:sz w:val="21"/>
                      </w:rPr>
                      <w:t>unless</w:t>
                    </w:r>
                    <w:r>
                      <w:rPr>
                        <w:spacing w:val="-6"/>
                        <w:w w:val="115"/>
                        <w:sz w:val="21"/>
                      </w:rPr>
                      <w:t> </w:t>
                    </w:r>
                    <w:r>
                      <w:rPr>
                        <w:w w:val="115"/>
                        <w:sz w:val="21"/>
                      </w:rPr>
                      <w:t>the</w:t>
                    </w:r>
                    <w:r>
                      <w:rPr>
                        <w:spacing w:val="-6"/>
                        <w:w w:val="115"/>
                        <w:sz w:val="21"/>
                      </w:rPr>
                      <w:t> </w:t>
                    </w:r>
                    <w:r>
                      <w:rPr>
                        <w:w w:val="115"/>
                        <w:sz w:val="21"/>
                      </w:rPr>
                      <w:t>neighbours</w:t>
                    </w:r>
                    <w:r>
                      <w:rPr>
                        <w:spacing w:val="-6"/>
                        <w:w w:val="115"/>
                        <w:sz w:val="21"/>
                      </w:rPr>
                      <w:t> </w:t>
                    </w:r>
                    <w:r>
                      <w:rPr>
                        <w:spacing w:val="-3"/>
                        <w:w w:val="115"/>
                        <w:sz w:val="21"/>
                      </w:rPr>
                      <w:t>have</w:t>
                    </w:r>
                    <w:r>
                      <w:rPr>
                        <w:spacing w:val="-6"/>
                        <w:w w:val="115"/>
                        <w:sz w:val="21"/>
                      </w:rPr>
                      <w:t> </w:t>
                    </w:r>
                    <w:r>
                      <w:rPr>
                        <w:w w:val="115"/>
                        <w:sz w:val="21"/>
                      </w:rPr>
                      <w:t>agreed otherwise.</w:t>
                    </w:r>
                  </w:p>
                </w:txbxContent>
              </v:textbox>
              <v:fill type="solid"/>
              <w10:wrap type="none"/>
            </v:shape>
            <v:shape style="position:absolute;left:340;top:0;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w:t>
                    </w:r>
                  </w:p>
                </w:txbxContent>
              </v:textbox>
              <v:fill type="solid"/>
              <w10:wrap type="none"/>
            </v:shape>
          </v:group>
        </w:pict>
      </w:r>
      <w:r>
        <w:rPr>
          <w:sz w:val="20"/>
        </w:rPr>
      </w:r>
    </w:p>
    <w:p>
      <w:pPr>
        <w:pStyle w:val="BodyText"/>
        <w:rPr>
          <w:sz w:val="20"/>
        </w:rPr>
      </w:pPr>
    </w:p>
    <w:p>
      <w:pPr>
        <w:pStyle w:val="BodyText"/>
        <w:spacing w:before="2"/>
        <w:rPr>
          <w:sz w:val="20"/>
        </w:rPr>
      </w:pPr>
    </w:p>
    <w:p>
      <w:pPr>
        <w:pStyle w:val="Heading5"/>
        <w:spacing w:line="244" w:lineRule="auto" w:before="96"/>
        <w:ind w:right="1810"/>
      </w:pPr>
      <w:r>
        <w:rPr>
          <w:w w:val="110"/>
        </w:rPr>
        <w:t>Not recommended: a formal requirement in the Act for ‘reasonable attempts to reach agreement’</w:t>
      </w:r>
    </w:p>
    <w:p>
      <w:pPr>
        <w:pStyle w:val="ListParagraph"/>
        <w:numPr>
          <w:ilvl w:val="1"/>
          <w:numId w:val="99"/>
        </w:numPr>
        <w:tabs>
          <w:tab w:pos="2380" w:val="left" w:leader="none"/>
          <w:tab w:pos="2381" w:val="left" w:leader="none"/>
        </w:tabs>
        <w:spacing w:line="242" w:lineRule="auto" w:before="133" w:after="0"/>
        <w:ind w:left="2381" w:right="1691" w:hanging="794"/>
        <w:jc w:val="left"/>
        <w:rPr>
          <w:sz w:val="21"/>
        </w:rPr>
      </w:pPr>
      <w:r>
        <w:rPr>
          <w:w w:val="105"/>
          <w:sz w:val="21"/>
        </w:rPr>
        <w:t>The </w:t>
      </w:r>
      <w:r>
        <w:rPr>
          <w:spacing w:val="-3"/>
          <w:w w:val="105"/>
          <w:sz w:val="21"/>
        </w:rPr>
        <w:t>Commission </w:t>
      </w:r>
      <w:r>
        <w:rPr>
          <w:w w:val="105"/>
          <w:sz w:val="21"/>
        </w:rPr>
        <w:t>is </w:t>
      </w:r>
      <w:r>
        <w:rPr>
          <w:spacing w:val="-2"/>
          <w:w w:val="105"/>
          <w:sz w:val="21"/>
        </w:rPr>
        <w:t>not </w:t>
      </w:r>
      <w:r>
        <w:rPr>
          <w:w w:val="105"/>
          <w:sz w:val="21"/>
        </w:rPr>
        <w:t>persuaded </w:t>
      </w:r>
      <w:r>
        <w:rPr>
          <w:spacing w:val="-3"/>
          <w:w w:val="105"/>
          <w:sz w:val="21"/>
        </w:rPr>
        <w:t>that </w:t>
      </w:r>
      <w:r>
        <w:rPr>
          <w:w w:val="105"/>
          <w:sz w:val="21"/>
        </w:rPr>
        <w:t>the new Act should </w:t>
      </w:r>
      <w:r>
        <w:rPr>
          <w:spacing w:val="-3"/>
          <w:w w:val="105"/>
          <w:sz w:val="21"/>
        </w:rPr>
        <w:t>include </w:t>
      </w:r>
      <w:r>
        <w:rPr>
          <w:w w:val="105"/>
          <w:sz w:val="21"/>
        </w:rPr>
        <w:t>a </w:t>
      </w:r>
      <w:r>
        <w:rPr>
          <w:spacing w:val="-3"/>
          <w:w w:val="105"/>
          <w:sz w:val="21"/>
        </w:rPr>
        <w:t>requirement that </w:t>
      </w:r>
      <w:r>
        <w:rPr>
          <w:w w:val="105"/>
          <w:sz w:val="21"/>
        </w:rPr>
        <w:t>an </w:t>
      </w:r>
      <w:r>
        <w:rPr>
          <w:spacing w:val="-3"/>
          <w:w w:val="105"/>
          <w:sz w:val="21"/>
        </w:rPr>
        <w:t>applicant </w:t>
      </w:r>
      <w:r>
        <w:rPr>
          <w:w w:val="105"/>
          <w:sz w:val="21"/>
        </w:rPr>
        <w:t>must </w:t>
      </w:r>
      <w:r>
        <w:rPr>
          <w:spacing w:val="-3"/>
          <w:w w:val="105"/>
          <w:sz w:val="21"/>
        </w:rPr>
        <w:t>have </w:t>
      </w:r>
      <w:r>
        <w:rPr>
          <w:w w:val="105"/>
          <w:sz w:val="21"/>
        </w:rPr>
        <w:t>made </w:t>
      </w:r>
      <w:r>
        <w:rPr>
          <w:spacing w:val="-3"/>
          <w:w w:val="105"/>
          <w:sz w:val="21"/>
        </w:rPr>
        <w:t>reasonable </w:t>
      </w:r>
      <w:r>
        <w:rPr>
          <w:w w:val="105"/>
          <w:sz w:val="21"/>
        </w:rPr>
        <w:t>attempts </w:t>
      </w:r>
      <w:r>
        <w:rPr>
          <w:spacing w:val="-3"/>
          <w:w w:val="105"/>
          <w:sz w:val="21"/>
        </w:rPr>
        <w:t>to </w:t>
      </w:r>
      <w:r>
        <w:rPr>
          <w:w w:val="105"/>
          <w:sz w:val="21"/>
        </w:rPr>
        <w:t>resolve the issue </w:t>
      </w:r>
      <w:r>
        <w:rPr>
          <w:spacing w:val="-3"/>
          <w:w w:val="105"/>
          <w:sz w:val="21"/>
        </w:rPr>
        <w:t>before </w:t>
      </w:r>
      <w:r>
        <w:rPr>
          <w:w w:val="105"/>
          <w:sz w:val="21"/>
        </w:rPr>
        <w:t>an order can be</w:t>
      </w:r>
      <w:r>
        <w:rPr>
          <w:spacing w:val="3"/>
          <w:w w:val="105"/>
          <w:sz w:val="21"/>
        </w:rPr>
        <w:t> </w:t>
      </w:r>
      <w:r>
        <w:rPr>
          <w:w w:val="105"/>
          <w:sz w:val="21"/>
        </w:rPr>
        <w:t>made</w:t>
      </w:r>
      <w:r>
        <w:rPr>
          <w:spacing w:val="4"/>
          <w:w w:val="105"/>
          <w:sz w:val="21"/>
        </w:rPr>
        <w:t> </w:t>
      </w:r>
      <w:r>
        <w:rPr>
          <w:w w:val="105"/>
          <w:sz w:val="21"/>
        </w:rPr>
        <w:t>by</w:t>
      </w:r>
      <w:r>
        <w:rPr>
          <w:spacing w:val="4"/>
          <w:w w:val="105"/>
          <w:sz w:val="21"/>
        </w:rPr>
        <w:t> </w:t>
      </w:r>
      <w:r>
        <w:rPr>
          <w:spacing w:val="-8"/>
          <w:w w:val="105"/>
          <w:sz w:val="21"/>
        </w:rPr>
        <w:t>VCAT.</w:t>
      </w:r>
      <w:r>
        <w:rPr>
          <w:spacing w:val="4"/>
          <w:w w:val="105"/>
          <w:sz w:val="21"/>
        </w:rPr>
        <w:t> </w:t>
      </w:r>
      <w:r>
        <w:rPr>
          <w:spacing w:val="-3"/>
          <w:w w:val="105"/>
          <w:sz w:val="21"/>
        </w:rPr>
        <w:t>Such</w:t>
      </w:r>
      <w:r>
        <w:rPr>
          <w:spacing w:val="4"/>
          <w:w w:val="105"/>
          <w:sz w:val="21"/>
        </w:rPr>
        <w:t> </w:t>
      </w:r>
      <w:r>
        <w:rPr>
          <w:w w:val="105"/>
          <w:sz w:val="21"/>
        </w:rPr>
        <w:t>a</w:t>
      </w:r>
      <w:r>
        <w:rPr>
          <w:spacing w:val="4"/>
          <w:w w:val="105"/>
          <w:sz w:val="21"/>
        </w:rPr>
        <w:t> </w:t>
      </w:r>
      <w:r>
        <w:rPr>
          <w:spacing w:val="-3"/>
          <w:w w:val="105"/>
          <w:sz w:val="21"/>
        </w:rPr>
        <w:t>requirement</w:t>
      </w:r>
      <w:r>
        <w:rPr>
          <w:spacing w:val="4"/>
          <w:w w:val="105"/>
          <w:sz w:val="21"/>
        </w:rPr>
        <w:t> </w:t>
      </w:r>
      <w:r>
        <w:rPr>
          <w:w w:val="105"/>
          <w:sz w:val="21"/>
        </w:rPr>
        <w:t>is</w:t>
      </w:r>
      <w:r>
        <w:rPr>
          <w:spacing w:val="4"/>
          <w:w w:val="105"/>
          <w:sz w:val="21"/>
        </w:rPr>
        <w:t> </w:t>
      </w:r>
      <w:r>
        <w:rPr>
          <w:spacing w:val="-3"/>
          <w:w w:val="105"/>
          <w:sz w:val="21"/>
        </w:rPr>
        <w:t>included</w:t>
      </w:r>
      <w:r>
        <w:rPr>
          <w:spacing w:val="4"/>
          <w:w w:val="105"/>
          <w:sz w:val="21"/>
        </w:rPr>
        <w:t> </w:t>
      </w:r>
      <w:r>
        <w:rPr>
          <w:w w:val="105"/>
          <w:sz w:val="21"/>
        </w:rPr>
        <w:t>in</w:t>
      </w:r>
      <w:r>
        <w:rPr>
          <w:spacing w:val="4"/>
          <w:w w:val="105"/>
          <w:sz w:val="21"/>
        </w:rPr>
        <w:t> </w:t>
      </w:r>
      <w:r>
        <w:rPr>
          <w:w w:val="105"/>
          <w:sz w:val="21"/>
        </w:rPr>
        <w:t>the</w:t>
      </w:r>
      <w:r>
        <w:rPr>
          <w:spacing w:val="4"/>
          <w:w w:val="105"/>
          <w:sz w:val="21"/>
        </w:rPr>
        <w:t> </w:t>
      </w:r>
      <w:r>
        <w:rPr>
          <w:w w:val="105"/>
          <w:sz w:val="21"/>
        </w:rPr>
        <w:t>NSW</w:t>
      </w:r>
      <w:r>
        <w:rPr>
          <w:spacing w:val="4"/>
          <w:w w:val="105"/>
          <w:sz w:val="21"/>
        </w:rPr>
        <w:t> </w:t>
      </w:r>
      <w:r>
        <w:rPr>
          <w:w w:val="105"/>
          <w:sz w:val="21"/>
        </w:rPr>
        <w:t>and</w:t>
      </w:r>
      <w:r>
        <w:rPr>
          <w:spacing w:val="4"/>
          <w:w w:val="105"/>
          <w:sz w:val="21"/>
        </w:rPr>
        <w:t> </w:t>
      </w:r>
      <w:r>
        <w:rPr>
          <w:spacing w:val="-3"/>
          <w:w w:val="105"/>
          <w:sz w:val="21"/>
        </w:rPr>
        <w:t>Queensland</w:t>
      </w:r>
      <w:r>
        <w:rPr>
          <w:spacing w:val="4"/>
          <w:w w:val="105"/>
          <w:sz w:val="21"/>
        </w:rPr>
        <w:t> </w:t>
      </w:r>
      <w:r>
        <w:rPr>
          <w:w w:val="105"/>
          <w:sz w:val="21"/>
        </w:rPr>
        <w:t>Acts.</w:t>
      </w:r>
    </w:p>
    <w:p>
      <w:pPr>
        <w:pStyle w:val="ListParagraph"/>
        <w:numPr>
          <w:ilvl w:val="1"/>
          <w:numId w:val="99"/>
        </w:numPr>
        <w:tabs>
          <w:tab w:pos="2380" w:val="left" w:leader="none"/>
          <w:tab w:pos="2381" w:val="left" w:leader="none"/>
        </w:tabs>
        <w:spacing w:line="242" w:lineRule="auto" w:before="123" w:after="0"/>
        <w:ind w:left="2381" w:right="2009" w:hanging="794"/>
        <w:jc w:val="left"/>
        <w:rPr>
          <w:sz w:val="21"/>
        </w:rPr>
      </w:pPr>
      <w:r>
        <w:rPr>
          <w:spacing w:val="-3"/>
          <w:w w:val="105"/>
          <w:sz w:val="21"/>
        </w:rPr>
        <w:t>Community </w:t>
      </w:r>
      <w:r>
        <w:rPr>
          <w:w w:val="105"/>
          <w:sz w:val="21"/>
        </w:rPr>
        <w:t>feedback suggests </w:t>
      </w:r>
      <w:r>
        <w:rPr>
          <w:spacing w:val="-3"/>
          <w:w w:val="105"/>
          <w:sz w:val="21"/>
        </w:rPr>
        <w:t>that many </w:t>
      </w:r>
      <w:r>
        <w:rPr>
          <w:w w:val="105"/>
          <w:sz w:val="21"/>
        </w:rPr>
        <w:t>neighbours do </w:t>
      </w:r>
      <w:r>
        <w:rPr>
          <w:spacing w:val="-2"/>
          <w:w w:val="105"/>
          <w:sz w:val="21"/>
        </w:rPr>
        <w:t>not </w:t>
      </w:r>
      <w:r>
        <w:rPr>
          <w:w w:val="105"/>
          <w:sz w:val="21"/>
        </w:rPr>
        <w:t>necessarily </w:t>
      </w:r>
      <w:r>
        <w:rPr>
          <w:spacing w:val="-3"/>
          <w:w w:val="105"/>
          <w:sz w:val="21"/>
        </w:rPr>
        <w:t>want to  take</w:t>
      </w:r>
      <w:r>
        <w:rPr>
          <w:spacing w:val="-5"/>
          <w:w w:val="105"/>
          <w:sz w:val="21"/>
        </w:rPr>
        <w:t> </w:t>
      </w:r>
      <w:r>
        <w:rPr>
          <w:w w:val="105"/>
          <w:sz w:val="21"/>
        </w:rPr>
        <w:t>legal</w:t>
      </w:r>
      <w:r>
        <w:rPr>
          <w:spacing w:val="-5"/>
          <w:w w:val="105"/>
          <w:sz w:val="21"/>
        </w:rPr>
        <w:t> </w:t>
      </w:r>
      <w:r>
        <w:rPr>
          <w:w w:val="105"/>
          <w:sz w:val="21"/>
        </w:rPr>
        <w:t>action</w:t>
      </w:r>
      <w:r>
        <w:rPr>
          <w:spacing w:val="-4"/>
          <w:w w:val="105"/>
          <w:sz w:val="21"/>
        </w:rPr>
        <w:t> </w:t>
      </w:r>
      <w:r>
        <w:rPr>
          <w:spacing w:val="-3"/>
          <w:w w:val="105"/>
          <w:sz w:val="21"/>
        </w:rPr>
        <w:t>against</w:t>
      </w:r>
      <w:r>
        <w:rPr>
          <w:spacing w:val="-5"/>
          <w:w w:val="105"/>
          <w:sz w:val="21"/>
        </w:rPr>
        <w:t> </w:t>
      </w:r>
      <w:r>
        <w:rPr>
          <w:w w:val="105"/>
          <w:sz w:val="21"/>
        </w:rPr>
        <w:t>their</w:t>
      </w:r>
      <w:r>
        <w:rPr>
          <w:spacing w:val="-4"/>
          <w:w w:val="105"/>
          <w:sz w:val="21"/>
        </w:rPr>
        <w:t> neighbour,</w:t>
      </w:r>
      <w:r>
        <w:rPr>
          <w:spacing w:val="-5"/>
          <w:w w:val="105"/>
          <w:sz w:val="21"/>
        </w:rPr>
        <w:t> </w:t>
      </w:r>
      <w:r>
        <w:rPr>
          <w:w w:val="105"/>
          <w:sz w:val="21"/>
        </w:rPr>
        <w:t>due</w:t>
      </w:r>
      <w:r>
        <w:rPr>
          <w:spacing w:val="-4"/>
          <w:w w:val="105"/>
          <w:sz w:val="21"/>
        </w:rPr>
        <w:t> </w:t>
      </w:r>
      <w:r>
        <w:rPr>
          <w:spacing w:val="-3"/>
          <w:w w:val="105"/>
          <w:sz w:val="21"/>
        </w:rPr>
        <w:t>to</w:t>
      </w:r>
      <w:r>
        <w:rPr>
          <w:spacing w:val="-5"/>
          <w:w w:val="105"/>
          <w:sz w:val="21"/>
        </w:rPr>
        <w:t> </w:t>
      </w:r>
      <w:r>
        <w:rPr>
          <w:w w:val="105"/>
          <w:sz w:val="21"/>
        </w:rPr>
        <w:t>the</w:t>
      </w:r>
      <w:r>
        <w:rPr>
          <w:spacing w:val="-4"/>
          <w:w w:val="105"/>
          <w:sz w:val="21"/>
        </w:rPr>
        <w:t> </w:t>
      </w:r>
      <w:r>
        <w:rPr>
          <w:w w:val="105"/>
          <w:sz w:val="21"/>
        </w:rPr>
        <w:t>stress</w:t>
      </w:r>
      <w:r>
        <w:rPr>
          <w:spacing w:val="-5"/>
          <w:w w:val="105"/>
          <w:sz w:val="21"/>
        </w:rPr>
        <w:t> </w:t>
      </w:r>
      <w:r>
        <w:rPr>
          <w:w w:val="105"/>
          <w:sz w:val="21"/>
        </w:rPr>
        <w:t>and</w:t>
      </w:r>
      <w:r>
        <w:rPr>
          <w:spacing w:val="-5"/>
          <w:w w:val="105"/>
          <w:sz w:val="21"/>
        </w:rPr>
        <w:t> </w:t>
      </w:r>
      <w:r>
        <w:rPr>
          <w:w w:val="105"/>
          <w:sz w:val="21"/>
        </w:rPr>
        <w:t>costs</w:t>
      </w:r>
      <w:r>
        <w:rPr>
          <w:spacing w:val="-4"/>
          <w:w w:val="105"/>
          <w:sz w:val="21"/>
        </w:rPr>
        <w:t> </w:t>
      </w:r>
      <w:r>
        <w:rPr>
          <w:spacing w:val="-3"/>
          <w:w w:val="105"/>
          <w:sz w:val="21"/>
        </w:rPr>
        <w:t>involved</w:t>
      </w:r>
      <w:r>
        <w:rPr>
          <w:spacing w:val="-5"/>
          <w:w w:val="105"/>
          <w:sz w:val="21"/>
        </w:rPr>
        <w:t> </w:t>
      </w:r>
      <w:r>
        <w:rPr>
          <w:w w:val="105"/>
          <w:sz w:val="21"/>
        </w:rPr>
        <w:t>and</w:t>
      </w:r>
      <w:r>
        <w:rPr>
          <w:spacing w:val="-4"/>
          <w:w w:val="105"/>
          <w:sz w:val="21"/>
        </w:rPr>
        <w:t> </w:t>
      </w:r>
      <w:r>
        <w:rPr>
          <w:w w:val="105"/>
          <w:sz w:val="21"/>
        </w:rPr>
        <w:t>the possibility of </w:t>
      </w:r>
      <w:r>
        <w:rPr>
          <w:spacing w:val="-3"/>
          <w:w w:val="105"/>
          <w:sz w:val="21"/>
        </w:rPr>
        <w:t>damaging </w:t>
      </w:r>
      <w:r>
        <w:rPr>
          <w:w w:val="105"/>
          <w:sz w:val="21"/>
        </w:rPr>
        <w:t>their </w:t>
      </w:r>
      <w:r>
        <w:rPr>
          <w:spacing w:val="-4"/>
          <w:w w:val="105"/>
          <w:sz w:val="21"/>
        </w:rPr>
        <w:t>relationship.</w:t>
      </w:r>
      <w:r>
        <w:rPr>
          <w:spacing w:val="-4"/>
          <w:w w:val="105"/>
          <w:position w:val="7"/>
          <w:sz w:val="12"/>
        </w:rPr>
        <w:t>166 </w:t>
      </w:r>
      <w:r>
        <w:rPr>
          <w:w w:val="105"/>
          <w:sz w:val="21"/>
        </w:rPr>
        <w:t>As a </w:t>
      </w:r>
      <w:r>
        <w:rPr>
          <w:spacing w:val="-3"/>
          <w:w w:val="105"/>
          <w:sz w:val="21"/>
        </w:rPr>
        <w:t>result, </w:t>
      </w:r>
      <w:r>
        <w:rPr>
          <w:w w:val="105"/>
          <w:sz w:val="21"/>
        </w:rPr>
        <w:t>legal action is </w:t>
      </w:r>
      <w:r>
        <w:rPr>
          <w:spacing w:val="-3"/>
          <w:w w:val="105"/>
          <w:sz w:val="21"/>
        </w:rPr>
        <w:t>generally </w:t>
      </w:r>
      <w:r>
        <w:rPr>
          <w:w w:val="105"/>
          <w:sz w:val="21"/>
        </w:rPr>
        <w:t>only </w:t>
      </w:r>
      <w:r>
        <w:rPr>
          <w:spacing w:val="-4"/>
          <w:w w:val="105"/>
          <w:sz w:val="21"/>
        </w:rPr>
        <w:t>likely </w:t>
      </w:r>
      <w:r>
        <w:rPr>
          <w:spacing w:val="-3"/>
          <w:w w:val="105"/>
          <w:sz w:val="21"/>
        </w:rPr>
        <w:t>to </w:t>
      </w:r>
      <w:r>
        <w:rPr>
          <w:w w:val="105"/>
          <w:sz w:val="21"/>
        </w:rPr>
        <w:t>be </w:t>
      </w:r>
      <w:r>
        <w:rPr>
          <w:spacing w:val="-3"/>
          <w:w w:val="105"/>
          <w:sz w:val="21"/>
        </w:rPr>
        <w:t>initiated </w:t>
      </w:r>
      <w:r>
        <w:rPr>
          <w:w w:val="105"/>
          <w:sz w:val="21"/>
        </w:rPr>
        <w:t>as a last resort. It is </w:t>
      </w:r>
      <w:r>
        <w:rPr>
          <w:spacing w:val="-3"/>
          <w:w w:val="105"/>
          <w:sz w:val="21"/>
        </w:rPr>
        <w:t>reasonable to </w:t>
      </w:r>
      <w:r>
        <w:rPr>
          <w:w w:val="105"/>
          <w:sz w:val="21"/>
        </w:rPr>
        <w:t>assume </w:t>
      </w:r>
      <w:r>
        <w:rPr>
          <w:spacing w:val="-3"/>
          <w:w w:val="105"/>
          <w:sz w:val="21"/>
        </w:rPr>
        <w:t>that </w:t>
      </w:r>
      <w:r>
        <w:rPr>
          <w:w w:val="105"/>
          <w:sz w:val="21"/>
        </w:rPr>
        <w:t>when a </w:t>
      </w:r>
      <w:r>
        <w:rPr>
          <w:spacing w:val="-3"/>
          <w:w w:val="105"/>
          <w:sz w:val="21"/>
        </w:rPr>
        <w:t>neighbour commences </w:t>
      </w:r>
      <w:r>
        <w:rPr>
          <w:w w:val="105"/>
          <w:sz w:val="21"/>
        </w:rPr>
        <w:t>legal action, the </w:t>
      </w:r>
      <w:r>
        <w:rPr>
          <w:spacing w:val="-3"/>
          <w:w w:val="105"/>
          <w:sz w:val="21"/>
        </w:rPr>
        <w:t>dispute </w:t>
      </w:r>
      <w:r>
        <w:rPr>
          <w:spacing w:val="-2"/>
          <w:w w:val="105"/>
          <w:sz w:val="21"/>
        </w:rPr>
        <w:t>has </w:t>
      </w:r>
      <w:r>
        <w:rPr>
          <w:w w:val="105"/>
          <w:sz w:val="21"/>
        </w:rPr>
        <w:t>escalated </w:t>
      </w:r>
      <w:r>
        <w:rPr>
          <w:spacing w:val="-3"/>
          <w:w w:val="105"/>
          <w:sz w:val="21"/>
        </w:rPr>
        <w:t>to </w:t>
      </w:r>
      <w:r>
        <w:rPr>
          <w:w w:val="105"/>
          <w:sz w:val="21"/>
        </w:rPr>
        <w:t>a point where resolution </w:t>
      </w:r>
      <w:r>
        <w:rPr>
          <w:spacing w:val="-3"/>
          <w:w w:val="105"/>
          <w:sz w:val="21"/>
        </w:rPr>
        <w:t>may </w:t>
      </w:r>
      <w:r>
        <w:rPr>
          <w:w w:val="105"/>
          <w:sz w:val="21"/>
        </w:rPr>
        <w:t>no longer be possible without </w:t>
      </w:r>
      <w:r>
        <w:rPr>
          <w:spacing w:val="-5"/>
          <w:w w:val="105"/>
          <w:sz w:val="21"/>
        </w:rPr>
        <w:t>VCAT </w:t>
      </w:r>
      <w:r>
        <w:rPr>
          <w:spacing w:val="-3"/>
          <w:w w:val="105"/>
          <w:sz w:val="21"/>
        </w:rPr>
        <w:t>involvement. </w:t>
      </w:r>
      <w:r>
        <w:rPr>
          <w:w w:val="105"/>
          <w:sz w:val="21"/>
        </w:rPr>
        <w:t>The </w:t>
      </w:r>
      <w:r>
        <w:rPr>
          <w:spacing w:val="-3"/>
          <w:w w:val="105"/>
          <w:sz w:val="21"/>
        </w:rPr>
        <w:t>Commission </w:t>
      </w:r>
      <w:r>
        <w:rPr>
          <w:w w:val="105"/>
          <w:sz w:val="21"/>
        </w:rPr>
        <w:t>also </w:t>
      </w:r>
      <w:r>
        <w:rPr>
          <w:spacing w:val="-3"/>
          <w:w w:val="105"/>
          <w:sz w:val="21"/>
        </w:rPr>
        <w:t>notes </w:t>
      </w:r>
      <w:r>
        <w:rPr>
          <w:spacing w:val="-6"/>
          <w:w w:val="105"/>
          <w:sz w:val="21"/>
        </w:rPr>
        <w:t>VCAT’s </w:t>
      </w:r>
      <w:r>
        <w:rPr>
          <w:spacing w:val="-3"/>
          <w:w w:val="105"/>
          <w:sz w:val="21"/>
        </w:rPr>
        <w:t>concern</w:t>
      </w:r>
      <w:r>
        <w:rPr>
          <w:spacing w:val="2"/>
          <w:w w:val="105"/>
          <w:sz w:val="21"/>
        </w:rPr>
        <w:t> </w:t>
      </w:r>
      <w:r>
        <w:rPr>
          <w:spacing w:val="-3"/>
          <w:w w:val="105"/>
          <w:sz w:val="21"/>
        </w:rPr>
        <w:t>that</w:t>
      </w:r>
      <w:r>
        <w:rPr>
          <w:spacing w:val="3"/>
          <w:w w:val="105"/>
          <w:sz w:val="21"/>
        </w:rPr>
        <w:t> </w:t>
      </w:r>
      <w:r>
        <w:rPr>
          <w:spacing w:val="-3"/>
          <w:w w:val="105"/>
          <w:sz w:val="21"/>
        </w:rPr>
        <w:t>any</w:t>
      </w:r>
      <w:r>
        <w:rPr>
          <w:spacing w:val="3"/>
          <w:w w:val="105"/>
          <w:sz w:val="21"/>
        </w:rPr>
        <w:t> </w:t>
      </w:r>
      <w:r>
        <w:rPr>
          <w:spacing w:val="-3"/>
          <w:w w:val="105"/>
          <w:sz w:val="21"/>
        </w:rPr>
        <w:t>formal</w:t>
      </w:r>
      <w:r>
        <w:rPr>
          <w:spacing w:val="3"/>
          <w:w w:val="105"/>
          <w:sz w:val="21"/>
        </w:rPr>
        <w:t> </w:t>
      </w:r>
      <w:r>
        <w:rPr>
          <w:w w:val="105"/>
          <w:sz w:val="21"/>
        </w:rPr>
        <w:t>pre-condition</w:t>
      </w:r>
      <w:r>
        <w:rPr>
          <w:spacing w:val="3"/>
          <w:w w:val="105"/>
          <w:sz w:val="21"/>
        </w:rPr>
        <w:t> </w:t>
      </w:r>
      <w:r>
        <w:rPr>
          <w:spacing w:val="-3"/>
          <w:w w:val="105"/>
          <w:sz w:val="21"/>
        </w:rPr>
        <w:t>may</w:t>
      </w:r>
      <w:r>
        <w:rPr>
          <w:spacing w:val="3"/>
          <w:w w:val="105"/>
          <w:sz w:val="21"/>
        </w:rPr>
        <w:t> </w:t>
      </w:r>
      <w:r>
        <w:rPr>
          <w:w w:val="105"/>
          <w:sz w:val="21"/>
        </w:rPr>
        <w:t>also</w:t>
      </w:r>
      <w:r>
        <w:rPr>
          <w:spacing w:val="3"/>
          <w:w w:val="105"/>
          <w:sz w:val="21"/>
        </w:rPr>
        <w:t> </w:t>
      </w:r>
      <w:r>
        <w:rPr>
          <w:w w:val="105"/>
          <w:sz w:val="21"/>
        </w:rPr>
        <w:t>lead</w:t>
      </w:r>
      <w:r>
        <w:rPr>
          <w:spacing w:val="2"/>
          <w:w w:val="105"/>
          <w:sz w:val="21"/>
        </w:rPr>
        <w:t> </w:t>
      </w:r>
      <w:r>
        <w:rPr>
          <w:spacing w:val="-3"/>
          <w:w w:val="105"/>
          <w:sz w:val="21"/>
        </w:rPr>
        <w:t>to</w:t>
      </w:r>
      <w:r>
        <w:rPr>
          <w:spacing w:val="3"/>
          <w:w w:val="105"/>
          <w:sz w:val="21"/>
        </w:rPr>
        <w:t> </w:t>
      </w:r>
      <w:r>
        <w:rPr>
          <w:spacing w:val="-5"/>
          <w:w w:val="105"/>
          <w:sz w:val="21"/>
        </w:rPr>
        <w:t>VCAT</w:t>
      </w:r>
      <w:r>
        <w:rPr>
          <w:spacing w:val="3"/>
          <w:w w:val="105"/>
          <w:sz w:val="21"/>
        </w:rPr>
        <w:t> </w:t>
      </w:r>
      <w:r>
        <w:rPr>
          <w:w w:val="105"/>
          <w:sz w:val="21"/>
        </w:rPr>
        <w:t>being</w:t>
      </w:r>
      <w:r>
        <w:rPr>
          <w:spacing w:val="3"/>
          <w:w w:val="105"/>
          <w:sz w:val="21"/>
        </w:rPr>
        <w:t> </w:t>
      </w:r>
      <w:r>
        <w:rPr>
          <w:spacing w:val="-4"/>
          <w:w w:val="105"/>
          <w:sz w:val="21"/>
        </w:rPr>
        <w:t>‘caught</w:t>
      </w:r>
      <w:r>
        <w:rPr>
          <w:spacing w:val="3"/>
          <w:w w:val="105"/>
          <w:sz w:val="21"/>
        </w:rPr>
        <w:t> </w:t>
      </w:r>
      <w:r>
        <w:rPr>
          <w:w w:val="105"/>
          <w:sz w:val="21"/>
        </w:rPr>
        <w:t>up</w:t>
      </w:r>
      <w:r>
        <w:rPr>
          <w:spacing w:val="3"/>
          <w:w w:val="105"/>
          <w:sz w:val="21"/>
        </w:rPr>
        <w:t> </w:t>
      </w:r>
      <w:r>
        <w:rPr>
          <w:w w:val="105"/>
          <w:sz w:val="21"/>
        </w:rPr>
        <w:t>in</w:t>
      </w:r>
    </w:p>
    <w:p>
      <w:pPr>
        <w:pStyle w:val="BodyText"/>
        <w:spacing w:line="242" w:lineRule="auto" w:before="8"/>
        <w:ind w:left="2381" w:right="1636"/>
      </w:pPr>
      <w:r>
        <w:rPr/>
        <w:t>administrative analysis of papers’ on the issue of the extent of informal negotiation.</w:t>
      </w:r>
      <w:r>
        <w:rPr>
          <w:position w:val="7"/>
          <w:sz w:val="12"/>
        </w:rPr>
        <w:t>167 </w:t>
      </w:r>
      <w:r>
        <w:rPr/>
        <w:t>Further, because the threshold for meeting this statutory requirement is very low in New South Wales and Queensland, its practical effect may be limited.</w:t>
      </w:r>
    </w:p>
    <w:p>
      <w:pPr>
        <w:pStyle w:val="ListParagraph"/>
        <w:numPr>
          <w:ilvl w:val="1"/>
          <w:numId w:val="99"/>
        </w:numPr>
        <w:tabs>
          <w:tab w:pos="2380" w:val="left" w:leader="none"/>
          <w:tab w:pos="2381" w:val="left" w:leader="none"/>
        </w:tabs>
        <w:spacing w:line="242" w:lineRule="auto" w:before="123" w:after="0"/>
        <w:ind w:left="2380" w:right="1809" w:hanging="793"/>
        <w:jc w:val="left"/>
        <w:rPr>
          <w:sz w:val="21"/>
        </w:rPr>
      </w:pPr>
      <w:r>
        <w:rPr>
          <w:spacing w:val="-4"/>
          <w:w w:val="105"/>
          <w:sz w:val="21"/>
        </w:rPr>
        <w:t>However, </w:t>
      </w:r>
      <w:r>
        <w:rPr>
          <w:w w:val="105"/>
          <w:sz w:val="21"/>
        </w:rPr>
        <w:t>these interstate </w:t>
      </w:r>
      <w:r>
        <w:rPr>
          <w:spacing w:val="-3"/>
          <w:w w:val="105"/>
          <w:sz w:val="21"/>
        </w:rPr>
        <w:t>provisions </w:t>
      </w:r>
      <w:r>
        <w:rPr>
          <w:w w:val="105"/>
          <w:sz w:val="21"/>
        </w:rPr>
        <w:t>perform an important role in </w:t>
      </w:r>
      <w:r>
        <w:rPr>
          <w:spacing w:val="-4"/>
          <w:w w:val="105"/>
          <w:sz w:val="21"/>
        </w:rPr>
        <w:t>reinforcing </w:t>
      </w:r>
      <w:r>
        <w:rPr>
          <w:spacing w:val="-3"/>
          <w:w w:val="105"/>
          <w:sz w:val="21"/>
        </w:rPr>
        <w:t>to </w:t>
      </w:r>
      <w:r>
        <w:rPr>
          <w:w w:val="105"/>
          <w:sz w:val="21"/>
        </w:rPr>
        <w:t>the community</w:t>
      </w:r>
      <w:r>
        <w:rPr>
          <w:spacing w:val="-5"/>
          <w:w w:val="105"/>
          <w:sz w:val="21"/>
        </w:rPr>
        <w:t> </w:t>
      </w:r>
      <w:r>
        <w:rPr>
          <w:spacing w:val="-3"/>
          <w:w w:val="105"/>
          <w:sz w:val="21"/>
        </w:rPr>
        <w:t>that</w:t>
      </w:r>
      <w:r>
        <w:rPr>
          <w:spacing w:val="-5"/>
          <w:w w:val="105"/>
          <w:sz w:val="21"/>
        </w:rPr>
        <w:t> </w:t>
      </w:r>
      <w:r>
        <w:rPr>
          <w:w w:val="105"/>
          <w:sz w:val="21"/>
        </w:rPr>
        <w:t>legal</w:t>
      </w:r>
      <w:r>
        <w:rPr>
          <w:spacing w:val="-4"/>
          <w:w w:val="105"/>
          <w:sz w:val="21"/>
        </w:rPr>
        <w:t> </w:t>
      </w:r>
      <w:r>
        <w:rPr>
          <w:w w:val="105"/>
          <w:sz w:val="21"/>
        </w:rPr>
        <w:t>action</w:t>
      </w:r>
      <w:r>
        <w:rPr>
          <w:spacing w:val="-5"/>
          <w:w w:val="105"/>
          <w:sz w:val="21"/>
        </w:rPr>
        <w:t> </w:t>
      </w:r>
      <w:r>
        <w:rPr>
          <w:w w:val="105"/>
          <w:sz w:val="21"/>
        </w:rPr>
        <w:t>should</w:t>
      </w:r>
      <w:r>
        <w:rPr>
          <w:spacing w:val="-4"/>
          <w:w w:val="105"/>
          <w:sz w:val="21"/>
        </w:rPr>
        <w:t> </w:t>
      </w:r>
      <w:r>
        <w:rPr>
          <w:w w:val="105"/>
          <w:sz w:val="21"/>
        </w:rPr>
        <w:t>be</w:t>
      </w:r>
      <w:r>
        <w:rPr>
          <w:spacing w:val="-5"/>
          <w:w w:val="105"/>
          <w:sz w:val="21"/>
        </w:rPr>
        <w:t> </w:t>
      </w:r>
      <w:r>
        <w:rPr>
          <w:w w:val="105"/>
          <w:sz w:val="21"/>
        </w:rPr>
        <w:t>a</w:t>
      </w:r>
      <w:r>
        <w:rPr>
          <w:spacing w:val="-5"/>
          <w:w w:val="105"/>
          <w:sz w:val="21"/>
        </w:rPr>
        <w:t> </w:t>
      </w:r>
      <w:r>
        <w:rPr>
          <w:w w:val="105"/>
          <w:sz w:val="21"/>
        </w:rPr>
        <w:t>last</w:t>
      </w:r>
      <w:r>
        <w:rPr>
          <w:spacing w:val="-4"/>
          <w:w w:val="105"/>
          <w:sz w:val="21"/>
        </w:rPr>
        <w:t> </w:t>
      </w:r>
      <w:r>
        <w:rPr>
          <w:w w:val="105"/>
          <w:sz w:val="21"/>
        </w:rPr>
        <w:t>resort.</w:t>
      </w:r>
      <w:r>
        <w:rPr>
          <w:spacing w:val="-5"/>
          <w:w w:val="105"/>
          <w:sz w:val="21"/>
        </w:rPr>
        <w:t> </w:t>
      </w:r>
      <w:r>
        <w:rPr>
          <w:w w:val="105"/>
          <w:sz w:val="21"/>
        </w:rPr>
        <w:t>The</w:t>
      </w:r>
      <w:r>
        <w:rPr>
          <w:spacing w:val="-4"/>
          <w:w w:val="105"/>
          <w:sz w:val="21"/>
        </w:rPr>
        <w:t> </w:t>
      </w:r>
      <w:r>
        <w:rPr>
          <w:spacing w:val="-5"/>
          <w:w w:val="105"/>
          <w:sz w:val="21"/>
        </w:rPr>
        <w:t>VCAT </w:t>
      </w:r>
      <w:r>
        <w:rPr>
          <w:w w:val="105"/>
          <w:sz w:val="21"/>
        </w:rPr>
        <w:t>Act</w:t>
      </w:r>
      <w:r>
        <w:rPr>
          <w:spacing w:val="-4"/>
          <w:w w:val="105"/>
          <w:sz w:val="21"/>
        </w:rPr>
        <w:t> </w:t>
      </w:r>
      <w:r>
        <w:rPr>
          <w:w w:val="105"/>
          <w:sz w:val="21"/>
        </w:rPr>
        <w:t>provides</w:t>
      </w:r>
      <w:r>
        <w:rPr>
          <w:spacing w:val="-5"/>
          <w:w w:val="105"/>
          <w:sz w:val="21"/>
        </w:rPr>
        <w:t> </w:t>
      </w:r>
      <w:r>
        <w:rPr>
          <w:w w:val="105"/>
          <w:sz w:val="21"/>
        </w:rPr>
        <w:t>the</w:t>
      </w:r>
      <w:r>
        <w:rPr>
          <w:spacing w:val="-5"/>
          <w:w w:val="105"/>
          <w:sz w:val="21"/>
        </w:rPr>
        <w:t> Tribunal </w:t>
      </w:r>
      <w:r>
        <w:rPr>
          <w:w w:val="105"/>
          <w:sz w:val="21"/>
        </w:rPr>
        <w:t>with the power </w:t>
      </w:r>
      <w:r>
        <w:rPr>
          <w:spacing w:val="-3"/>
          <w:w w:val="105"/>
          <w:sz w:val="21"/>
        </w:rPr>
        <w:t>to refer </w:t>
      </w:r>
      <w:r>
        <w:rPr>
          <w:w w:val="105"/>
          <w:sz w:val="21"/>
        </w:rPr>
        <w:t>parties </w:t>
      </w:r>
      <w:r>
        <w:rPr>
          <w:spacing w:val="-3"/>
          <w:w w:val="105"/>
          <w:sz w:val="21"/>
        </w:rPr>
        <w:t>to </w:t>
      </w:r>
      <w:r>
        <w:rPr>
          <w:w w:val="105"/>
          <w:sz w:val="21"/>
        </w:rPr>
        <w:t>ADR, </w:t>
      </w:r>
      <w:r>
        <w:rPr>
          <w:spacing w:val="-3"/>
          <w:w w:val="105"/>
          <w:sz w:val="21"/>
        </w:rPr>
        <w:t>such </w:t>
      </w:r>
      <w:r>
        <w:rPr>
          <w:w w:val="105"/>
          <w:sz w:val="21"/>
        </w:rPr>
        <w:t>as compulsory </w:t>
      </w:r>
      <w:r>
        <w:rPr>
          <w:spacing w:val="-3"/>
          <w:w w:val="105"/>
          <w:sz w:val="21"/>
        </w:rPr>
        <w:t>conference </w:t>
      </w:r>
      <w:r>
        <w:rPr>
          <w:w w:val="105"/>
          <w:sz w:val="21"/>
        </w:rPr>
        <w:t>or </w:t>
      </w:r>
      <w:r>
        <w:rPr>
          <w:spacing w:val="-4"/>
          <w:w w:val="105"/>
          <w:sz w:val="21"/>
        </w:rPr>
        <w:t>mediation.</w:t>
      </w:r>
      <w:r>
        <w:rPr>
          <w:spacing w:val="-4"/>
          <w:w w:val="105"/>
          <w:position w:val="7"/>
          <w:sz w:val="12"/>
        </w:rPr>
        <w:t>168</w:t>
      </w:r>
      <w:r>
        <w:rPr>
          <w:spacing w:val="-4"/>
          <w:w w:val="105"/>
          <w:sz w:val="12"/>
        </w:rPr>
        <w:t> </w:t>
      </w:r>
      <w:r>
        <w:rPr>
          <w:w w:val="105"/>
          <w:sz w:val="21"/>
        </w:rPr>
        <w:t>Parties </w:t>
      </w:r>
      <w:r>
        <w:rPr>
          <w:spacing w:val="-3"/>
          <w:w w:val="105"/>
          <w:sz w:val="21"/>
        </w:rPr>
        <w:t>may </w:t>
      </w:r>
      <w:r>
        <w:rPr>
          <w:w w:val="105"/>
          <w:sz w:val="21"/>
        </w:rPr>
        <w:t>be </w:t>
      </w:r>
      <w:r>
        <w:rPr>
          <w:spacing w:val="-3"/>
          <w:w w:val="105"/>
          <w:sz w:val="21"/>
        </w:rPr>
        <w:t>referred to </w:t>
      </w:r>
      <w:r>
        <w:rPr>
          <w:w w:val="105"/>
          <w:sz w:val="21"/>
        </w:rPr>
        <w:t>a compulsory </w:t>
      </w:r>
      <w:r>
        <w:rPr>
          <w:spacing w:val="-3"/>
          <w:w w:val="105"/>
          <w:sz w:val="21"/>
        </w:rPr>
        <w:t>conference before </w:t>
      </w:r>
      <w:r>
        <w:rPr>
          <w:w w:val="105"/>
          <w:sz w:val="21"/>
        </w:rPr>
        <w:t>the </w:t>
      </w:r>
      <w:r>
        <w:rPr>
          <w:spacing w:val="-3"/>
          <w:w w:val="105"/>
          <w:sz w:val="21"/>
        </w:rPr>
        <w:t>hearing, </w:t>
      </w:r>
      <w:r>
        <w:rPr>
          <w:w w:val="105"/>
          <w:sz w:val="21"/>
        </w:rPr>
        <w:t>while a </w:t>
      </w:r>
      <w:r>
        <w:rPr>
          <w:spacing w:val="-3"/>
          <w:w w:val="105"/>
          <w:sz w:val="21"/>
        </w:rPr>
        <w:t>referral to </w:t>
      </w:r>
      <w:r>
        <w:rPr>
          <w:w w:val="105"/>
          <w:sz w:val="21"/>
        </w:rPr>
        <w:t>mediation </w:t>
      </w:r>
      <w:r>
        <w:rPr>
          <w:spacing w:val="-3"/>
          <w:w w:val="105"/>
          <w:sz w:val="21"/>
        </w:rPr>
        <w:t>may occur </w:t>
      </w:r>
      <w:r>
        <w:rPr>
          <w:w w:val="105"/>
          <w:sz w:val="21"/>
        </w:rPr>
        <w:t>at </w:t>
      </w:r>
      <w:r>
        <w:rPr>
          <w:spacing w:val="-3"/>
          <w:w w:val="105"/>
          <w:sz w:val="21"/>
        </w:rPr>
        <w:t>any </w:t>
      </w:r>
      <w:r>
        <w:rPr>
          <w:w w:val="105"/>
          <w:sz w:val="21"/>
        </w:rPr>
        <w:t>point in </w:t>
      </w:r>
      <w:r>
        <w:rPr>
          <w:spacing w:val="-3"/>
          <w:w w:val="105"/>
          <w:sz w:val="21"/>
        </w:rPr>
        <w:t>proceedings </w:t>
      </w:r>
      <w:r>
        <w:rPr>
          <w:w w:val="105"/>
          <w:sz w:val="21"/>
        </w:rPr>
        <w:t>where the </w:t>
      </w:r>
      <w:r>
        <w:rPr>
          <w:spacing w:val="-5"/>
          <w:w w:val="105"/>
          <w:sz w:val="21"/>
        </w:rPr>
        <w:t>Tribunal </w:t>
      </w:r>
      <w:r>
        <w:rPr>
          <w:w w:val="105"/>
          <w:sz w:val="21"/>
        </w:rPr>
        <w:t>deems it </w:t>
      </w:r>
      <w:r>
        <w:rPr>
          <w:spacing w:val="-4"/>
          <w:w w:val="105"/>
          <w:sz w:val="21"/>
        </w:rPr>
        <w:t>appropriate.</w:t>
      </w:r>
      <w:r>
        <w:rPr>
          <w:spacing w:val="-4"/>
          <w:w w:val="105"/>
          <w:position w:val="7"/>
          <w:sz w:val="12"/>
        </w:rPr>
        <w:t>169 </w:t>
      </w:r>
      <w:r>
        <w:rPr>
          <w:w w:val="105"/>
          <w:sz w:val="21"/>
        </w:rPr>
        <w:t>The </w:t>
      </w:r>
      <w:r>
        <w:rPr>
          <w:spacing w:val="-3"/>
          <w:w w:val="105"/>
          <w:sz w:val="21"/>
        </w:rPr>
        <w:t>Commission </w:t>
      </w:r>
      <w:r>
        <w:rPr>
          <w:w w:val="105"/>
          <w:sz w:val="21"/>
        </w:rPr>
        <w:t>is of the view </w:t>
      </w:r>
      <w:r>
        <w:rPr>
          <w:spacing w:val="-3"/>
          <w:w w:val="105"/>
          <w:sz w:val="21"/>
        </w:rPr>
        <w:t>that </w:t>
      </w:r>
      <w:r>
        <w:rPr>
          <w:spacing w:val="-5"/>
          <w:w w:val="105"/>
          <w:sz w:val="21"/>
        </w:rPr>
        <w:t>VCAT </w:t>
      </w:r>
      <w:r>
        <w:rPr>
          <w:w w:val="105"/>
          <w:sz w:val="21"/>
        </w:rPr>
        <w:t>should be </w:t>
      </w:r>
      <w:r>
        <w:rPr>
          <w:spacing w:val="-3"/>
          <w:w w:val="105"/>
          <w:sz w:val="21"/>
        </w:rPr>
        <w:t>encouraged to </w:t>
      </w:r>
      <w:r>
        <w:rPr>
          <w:w w:val="105"/>
          <w:sz w:val="21"/>
        </w:rPr>
        <w:t>use those existing powers in the context of tree</w:t>
      </w:r>
      <w:r>
        <w:rPr>
          <w:spacing w:val="27"/>
          <w:w w:val="105"/>
          <w:sz w:val="21"/>
        </w:rPr>
        <w:t> </w:t>
      </w:r>
      <w:r>
        <w:rPr>
          <w:spacing w:val="-3"/>
          <w:w w:val="105"/>
          <w:sz w:val="21"/>
        </w:rPr>
        <w:t>disputes.</w:t>
      </w:r>
    </w:p>
    <w:p>
      <w:pPr>
        <w:pStyle w:val="ListParagraph"/>
        <w:numPr>
          <w:ilvl w:val="1"/>
          <w:numId w:val="99"/>
        </w:numPr>
        <w:tabs>
          <w:tab w:pos="2380" w:val="left" w:leader="none"/>
          <w:tab w:pos="2381" w:val="left" w:leader="none"/>
        </w:tabs>
        <w:spacing w:line="242" w:lineRule="auto" w:before="128" w:after="0"/>
        <w:ind w:left="2380" w:right="1769" w:hanging="793"/>
        <w:jc w:val="left"/>
        <w:rPr>
          <w:sz w:val="21"/>
        </w:rPr>
      </w:pPr>
      <w:r>
        <w:rPr>
          <w:w w:val="105"/>
          <w:sz w:val="21"/>
        </w:rPr>
        <w:t>Any </w:t>
      </w:r>
      <w:r>
        <w:rPr>
          <w:spacing w:val="-3"/>
          <w:w w:val="105"/>
          <w:sz w:val="21"/>
        </w:rPr>
        <w:t>information that </w:t>
      </w:r>
      <w:r>
        <w:rPr>
          <w:w w:val="105"/>
          <w:sz w:val="21"/>
        </w:rPr>
        <w:t>the </w:t>
      </w:r>
      <w:r>
        <w:rPr>
          <w:spacing w:val="-5"/>
          <w:w w:val="105"/>
          <w:sz w:val="21"/>
        </w:rPr>
        <w:t>Tribunal </w:t>
      </w:r>
      <w:r>
        <w:rPr>
          <w:w w:val="105"/>
          <w:sz w:val="21"/>
        </w:rPr>
        <w:t>member can </w:t>
      </w:r>
      <w:r>
        <w:rPr>
          <w:spacing w:val="-3"/>
          <w:w w:val="105"/>
          <w:sz w:val="21"/>
        </w:rPr>
        <w:t>glean from previous informal discussions may </w:t>
      </w:r>
      <w:r>
        <w:rPr>
          <w:w w:val="105"/>
          <w:sz w:val="21"/>
        </w:rPr>
        <w:t>also act </w:t>
      </w:r>
      <w:r>
        <w:rPr>
          <w:spacing w:val="-3"/>
          <w:w w:val="105"/>
          <w:sz w:val="21"/>
        </w:rPr>
        <w:t>to narrow </w:t>
      </w:r>
      <w:r>
        <w:rPr>
          <w:w w:val="105"/>
          <w:sz w:val="21"/>
        </w:rPr>
        <w:t>the issues in </w:t>
      </w:r>
      <w:r>
        <w:rPr>
          <w:spacing w:val="-3"/>
          <w:w w:val="105"/>
          <w:sz w:val="21"/>
        </w:rPr>
        <w:t>dispute </w:t>
      </w:r>
      <w:r>
        <w:rPr>
          <w:w w:val="105"/>
          <w:sz w:val="21"/>
        </w:rPr>
        <w:t>in a </w:t>
      </w:r>
      <w:r>
        <w:rPr>
          <w:spacing w:val="-3"/>
          <w:w w:val="105"/>
          <w:sz w:val="21"/>
        </w:rPr>
        <w:t>subsequent hearing. </w:t>
      </w:r>
      <w:r>
        <w:rPr>
          <w:w w:val="105"/>
          <w:sz w:val="21"/>
        </w:rPr>
        <w:t>This is discussed further in </w:t>
      </w:r>
      <w:r>
        <w:rPr>
          <w:spacing w:val="-4"/>
          <w:w w:val="105"/>
          <w:sz w:val="21"/>
        </w:rPr>
        <w:t>Chapter </w:t>
      </w:r>
      <w:r>
        <w:rPr>
          <w:spacing w:val="-12"/>
          <w:w w:val="105"/>
          <w:sz w:val="21"/>
        </w:rPr>
        <w:t>7. </w:t>
      </w:r>
      <w:r>
        <w:rPr>
          <w:w w:val="105"/>
          <w:sz w:val="21"/>
        </w:rPr>
        <w:t>It was also recommended in </w:t>
      </w:r>
      <w:r>
        <w:rPr>
          <w:spacing w:val="-4"/>
          <w:w w:val="105"/>
          <w:sz w:val="21"/>
        </w:rPr>
        <w:t>Chapter </w:t>
      </w:r>
      <w:r>
        <w:rPr>
          <w:w w:val="105"/>
          <w:sz w:val="21"/>
        </w:rPr>
        <w:t>5 </w:t>
      </w:r>
      <w:r>
        <w:rPr>
          <w:spacing w:val="-3"/>
          <w:w w:val="105"/>
          <w:sz w:val="21"/>
        </w:rPr>
        <w:t>that </w:t>
      </w:r>
      <w:r>
        <w:rPr>
          <w:w w:val="105"/>
          <w:sz w:val="21"/>
        </w:rPr>
        <w:t>the application </w:t>
      </w:r>
      <w:r>
        <w:rPr>
          <w:spacing w:val="-3"/>
          <w:w w:val="105"/>
          <w:sz w:val="21"/>
        </w:rPr>
        <w:t>form for initiating proceedings </w:t>
      </w:r>
      <w:r>
        <w:rPr>
          <w:w w:val="105"/>
          <w:sz w:val="21"/>
        </w:rPr>
        <w:t>in </w:t>
      </w:r>
      <w:r>
        <w:rPr>
          <w:spacing w:val="-5"/>
          <w:w w:val="105"/>
          <w:sz w:val="21"/>
        </w:rPr>
        <w:t>VCAT </w:t>
      </w:r>
      <w:r>
        <w:rPr>
          <w:spacing w:val="-3"/>
          <w:w w:val="105"/>
          <w:sz w:val="21"/>
        </w:rPr>
        <w:t>require </w:t>
      </w:r>
      <w:r>
        <w:rPr>
          <w:w w:val="105"/>
          <w:sz w:val="21"/>
        </w:rPr>
        <w:t>parties </w:t>
      </w:r>
      <w:r>
        <w:rPr>
          <w:spacing w:val="-3"/>
          <w:w w:val="105"/>
          <w:sz w:val="21"/>
        </w:rPr>
        <w:t>to </w:t>
      </w:r>
      <w:r>
        <w:rPr>
          <w:w w:val="105"/>
          <w:sz w:val="21"/>
        </w:rPr>
        <w:t>detail what steps they </w:t>
      </w:r>
      <w:r>
        <w:rPr>
          <w:spacing w:val="-3"/>
          <w:w w:val="105"/>
          <w:sz w:val="21"/>
        </w:rPr>
        <w:t>have taken to </w:t>
      </w:r>
      <w:r>
        <w:rPr>
          <w:w w:val="105"/>
          <w:sz w:val="21"/>
        </w:rPr>
        <w:t>resolve the </w:t>
      </w:r>
      <w:r>
        <w:rPr>
          <w:spacing w:val="-3"/>
          <w:w w:val="105"/>
          <w:sz w:val="21"/>
        </w:rPr>
        <w:t>dispute</w:t>
      </w:r>
      <w:r>
        <w:rPr>
          <w:spacing w:val="14"/>
          <w:w w:val="105"/>
          <w:sz w:val="21"/>
        </w:rPr>
        <w:t> </w:t>
      </w:r>
      <w:r>
        <w:rPr>
          <w:spacing w:val="-4"/>
          <w:w w:val="105"/>
          <w:sz w:val="21"/>
        </w:rPr>
        <w:t>informally.</w:t>
      </w:r>
    </w:p>
    <w:p>
      <w:pPr>
        <w:pStyle w:val="ListParagraph"/>
        <w:numPr>
          <w:ilvl w:val="1"/>
          <w:numId w:val="99"/>
        </w:numPr>
        <w:tabs>
          <w:tab w:pos="2380" w:val="left" w:leader="none"/>
          <w:tab w:pos="2381" w:val="left" w:leader="none"/>
        </w:tabs>
        <w:spacing w:line="242" w:lineRule="auto" w:before="125" w:after="0"/>
        <w:ind w:left="2380" w:right="2014" w:hanging="793"/>
        <w:jc w:val="left"/>
        <w:rPr>
          <w:sz w:val="21"/>
        </w:rPr>
      </w:pPr>
      <w:r>
        <w:rPr>
          <w:spacing w:val="-7"/>
          <w:w w:val="105"/>
          <w:sz w:val="21"/>
        </w:rPr>
        <w:t>To </w:t>
      </w:r>
      <w:r>
        <w:rPr>
          <w:spacing w:val="-4"/>
          <w:w w:val="105"/>
          <w:sz w:val="21"/>
        </w:rPr>
        <w:t>reinforce </w:t>
      </w:r>
      <w:r>
        <w:rPr>
          <w:w w:val="105"/>
          <w:sz w:val="21"/>
        </w:rPr>
        <w:t>the importance of </w:t>
      </w:r>
      <w:r>
        <w:rPr>
          <w:spacing w:val="-3"/>
          <w:w w:val="105"/>
          <w:sz w:val="21"/>
        </w:rPr>
        <w:t>attempting to negotiate informally </w:t>
      </w:r>
      <w:r>
        <w:rPr>
          <w:w w:val="105"/>
          <w:sz w:val="21"/>
        </w:rPr>
        <w:t>where </w:t>
      </w:r>
      <w:r>
        <w:rPr>
          <w:spacing w:val="-3"/>
          <w:w w:val="105"/>
          <w:sz w:val="21"/>
        </w:rPr>
        <w:t>possible, information</w:t>
      </w:r>
      <w:r>
        <w:rPr>
          <w:spacing w:val="-6"/>
          <w:w w:val="105"/>
          <w:sz w:val="21"/>
        </w:rPr>
        <w:t> </w:t>
      </w:r>
      <w:r>
        <w:rPr>
          <w:w w:val="105"/>
          <w:sz w:val="21"/>
        </w:rPr>
        <w:t>provided</w:t>
      </w:r>
      <w:r>
        <w:rPr>
          <w:spacing w:val="-5"/>
          <w:w w:val="105"/>
          <w:sz w:val="21"/>
        </w:rPr>
        <w:t> </w:t>
      </w:r>
      <w:r>
        <w:rPr>
          <w:w w:val="105"/>
          <w:sz w:val="21"/>
        </w:rPr>
        <w:t>by</w:t>
      </w:r>
      <w:r>
        <w:rPr>
          <w:spacing w:val="-6"/>
          <w:w w:val="105"/>
          <w:sz w:val="21"/>
        </w:rPr>
        <w:t> </w:t>
      </w:r>
      <w:r>
        <w:rPr>
          <w:spacing w:val="-5"/>
          <w:w w:val="105"/>
          <w:sz w:val="21"/>
        </w:rPr>
        <w:t>VCAT </w:t>
      </w:r>
      <w:r>
        <w:rPr>
          <w:w w:val="105"/>
          <w:sz w:val="21"/>
        </w:rPr>
        <w:t>about</w:t>
      </w:r>
      <w:r>
        <w:rPr>
          <w:spacing w:val="-6"/>
          <w:w w:val="105"/>
          <w:sz w:val="21"/>
        </w:rPr>
        <w:t> </w:t>
      </w:r>
      <w:r>
        <w:rPr>
          <w:w w:val="105"/>
          <w:sz w:val="21"/>
        </w:rPr>
        <w:t>the</w:t>
      </w:r>
      <w:r>
        <w:rPr>
          <w:spacing w:val="-5"/>
          <w:w w:val="105"/>
          <w:sz w:val="21"/>
        </w:rPr>
        <w:t> </w:t>
      </w:r>
      <w:r>
        <w:rPr>
          <w:w w:val="105"/>
          <w:sz w:val="21"/>
        </w:rPr>
        <w:t>operation</w:t>
      </w:r>
      <w:r>
        <w:rPr>
          <w:spacing w:val="-6"/>
          <w:w w:val="105"/>
          <w:sz w:val="21"/>
        </w:rPr>
        <w:t> </w:t>
      </w:r>
      <w:r>
        <w:rPr>
          <w:w w:val="105"/>
          <w:sz w:val="21"/>
        </w:rPr>
        <w:t>of</w:t>
      </w:r>
      <w:r>
        <w:rPr>
          <w:spacing w:val="-5"/>
          <w:w w:val="105"/>
          <w:sz w:val="21"/>
        </w:rPr>
        <w:t> </w:t>
      </w:r>
      <w:r>
        <w:rPr>
          <w:w w:val="105"/>
          <w:sz w:val="21"/>
        </w:rPr>
        <w:t>the</w:t>
      </w:r>
      <w:r>
        <w:rPr>
          <w:spacing w:val="-5"/>
          <w:w w:val="105"/>
          <w:sz w:val="21"/>
        </w:rPr>
        <w:t> </w:t>
      </w:r>
      <w:r>
        <w:rPr>
          <w:w w:val="105"/>
          <w:sz w:val="21"/>
        </w:rPr>
        <w:t>new</w:t>
      </w:r>
      <w:r>
        <w:rPr>
          <w:spacing w:val="-6"/>
          <w:w w:val="105"/>
          <w:sz w:val="21"/>
        </w:rPr>
        <w:t> </w:t>
      </w:r>
      <w:r>
        <w:rPr>
          <w:w w:val="105"/>
          <w:sz w:val="21"/>
        </w:rPr>
        <w:t>Act</w:t>
      </w:r>
      <w:r>
        <w:rPr>
          <w:spacing w:val="-5"/>
          <w:w w:val="105"/>
          <w:sz w:val="21"/>
        </w:rPr>
        <w:t> </w:t>
      </w:r>
      <w:r>
        <w:rPr>
          <w:w w:val="105"/>
          <w:sz w:val="21"/>
        </w:rPr>
        <w:t>should</w:t>
      </w:r>
      <w:r>
        <w:rPr>
          <w:spacing w:val="-6"/>
          <w:w w:val="105"/>
          <w:sz w:val="21"/>
        </w:rPr>
        <w:t> </w:t>
      </w:r>
      <w:r>
        <w:rPr>
          <w:w w:val="105"/>
          <w:sz w:val="21"/>
        </w:rPr>
        <w:t>specifically </w:t>
      </w:r>
      <w:r>
        <w:rPr>
          <w:spacing w:val="-3"/>
          <w:w w:val="105"/>
          <w:sz w:val="21"/>
        </w:rPr>
        <w:t>inform </w:t>
      </w:r>
      <w:r>
        <w:rPr>
          <w:w w:val="105"/>
          <w:sz w:val="21"/>
        </w:rPr>
        <w:t>parties </w:t>
      </w:r>
      <w:r>
        <w:rPr>
          <w:spacing w:val="-3"/>
          <w:w w:val="105"/>
          <w:sz w:val="21"/>
        </w:rPr>
        <w:t>that </w:t>
      </w:r>
      <w:r>
        <w:rPr>
          <w:spacing w:val="-5"/>
          <w:w w:val="105"/>
          <w:sz w:val="21"/>
        </w:rPr>
        <w:t>VCAT </w:t>
      </w:r>
      <w:r>
        <w:rPr>
          <w:w w:val="105"/>
          <w:sz w:val="21"/>
        </w:rPr>
        <w:t>can order them </w:t>
      </w:r>
      <w:r>
        <w:rPr>
          <w:spacing w:val="-3"/>
          <w:w w:val="105"/>
          <w:sz w:val="21"/>
        </w:rPr>
        <w:t>to </w:t>
      </w:r>
      <w:r>
        <w:rPr>
          <w:w w:val="105"/>
          <w:sz w:val="21"/>
        </w:rPr>
        <w:t>participate in ADR. See </w:t>
      </w:r>
      <w:r>
        <w:rPr>
          <w:spacing w:val="-4"/>
          <w:w w:val="105"/>
          <w:sz w:val="21"/>
        </w:rPr>
        <w:t>Chapter</w:t>
      </w:r>
      <w:r>
        <w:rPr>
          <w:spacing w:val="2"/>
          <w:w w:val="105"/>
          <w:sz w:val="21"/>
        </w:rPr>
        <w:t> </w:t>
      </w:r>
      <w:r>
        <w:rPr>
          <w:spacing w:val="-9"/>
          <w:w w:val="105"/>
          <w:sz w:val="21"/>
        </w:rPr>
        <w:t>12.</w:t>
      </w:r>
    </w:p>
    <w:p>
      <w:pPr>
        <w:pStyle w:val="BodyText"/>
        <w:spacing w:before="4"/>
        <w:rPr>
          <w:sz w:val="20"/>
        </w:rPr>
      </w:pPr>
    </w:p>
    <w:p>
      <w:pPr>
        <w:pStyle w:val="Heading5"/>
      </w:pPr>
      <w:r>
        <w:rPr>
          <w:w w:val="110"/>
        </w:rPr>
        <w:t>Not recommended: tree owner responsibilities in the</w:t>
      </w:r>
      <w:r>
        <w:rPr>
          <w:spacing w:val="54"/>
          <w:w w:val="110"/>
        </w:rPr>
        <w:t> </w:t>
      </w:r>
      <w:r>
        <w:rPr>
          <w:w w:val="110"/>
        </w:rPr>
        <w:t>Act</w:t>
      </w:r>
    </w:p>
    <w:p>
      <w:pPr>
        <w:pStyle w:val="ListParagraph"/>
        <w:numPr>
          <w:ilvl w:val="1"/>
          <w:numId w:val="99"/>
        </w:numPr>
        <w:tabs>
          <w:tab w:pos="2381" w:val="left" w:leader="none"/>
          <w:tab w:pos="2382" w:val="left" w:leader="none"/>
        </w:tabs>
        <w:spacing w:line="242" w:lineRule="auto" w:before="138" w:after="0"/>
        <w:ind w:left="2381" w:right="1756" w:hanging="794"/>
        <w:jc w:val="left"/>
        <w:rPr>
          <w:sz w:val="21"/>
        </w:rPr>
      </w:pPr>
      <w:r>
        <w:rPr>
          <w:w w:val="105"/>
          <w:sz w:val="21"/>
        </w:rPr>
        <w:t>The new Act should </w:t>
      </w:r>
      <w:r>
        <w:rPr>
          <w:spacing w:val="-2"/>
          <w:w w:val="105"/>
          <w:sz w:val="21"/>
        </w:rPr>
        <w:t>not </w:t>
      </w:r>
      <w:r>
        <w:rPr>
          <w:spacing w:val="-3"/>
          <w:w w:val="105"/>
          <w:sz w:val="21"/>
        </w:rPr>
        <w:t>contain </w:t>
      </w:r>
      <w:r>
        <w:rPr>
          <w:w w:val="105"/>
          <w:sz w:val="21"/>
        </w:rPr>
        <w:t>non-actionable tree owner </w:t>
      </w:r>
      <w:r>
        <w:rPr>
          <w:spacing w:val="-3"/>
          <w:w w:val="105"/>
          <w:sz w:val="21"/>
        </w:rPr>
        <w:t>responsibilities, such </w:t>
      </w:r>
      <w:r>
        <w:rPr>
          <w:w w:val="105"/>
          <w:sz w:val="21"/>
        </w:rPr>
        <w:t>as those </w:t>
      </w:r>
      <w:r>
        <w:rPr>
          <w:spacing w:val="-3"/>
          <w:w w:val="105"/>
          <w:sz w:val="21"/>
        </w:rPr>
        <w:t>included </w:t>
      </w:r>
      <w:r>
        <w:rPr>
          <w:w w:val="105"/>
          <w:sz w:val="21"/>
        </w:rPr>
        <w:t>in the </w:t>
      </w:r>
      <w:r>
        <w:rPr>
          <w:spacing w:val="-3"/>
          <w:w w:val="105"/>
          <w:sz w:val="21"/>
        </w:rPr>
        <w:t>Queensland </w:t>
      </w:r>
      <w:r>
        <w:rPr>
          <w:w w:val="105"/>
          <w:sz w:val="21"/>
        </w:rPr>
        <w:t>and </w:t>
      </w:r>
      <w:r>
        <w:rPr>
          <w:spacing w:val="-4"/>
          <w:w w:val="105"/>
          <w:sz w:val="21"/>
        </w:rPr>
        <w:t>Tasmanian </w:t>
      </w:r>
      <w:r>
        <w:rPr>
          <w:w w:val="105"/>
          <w:sz w:val="21"/>
        </w:rPr>
        <w:t>Acts. The </w:t>
      </w:r>
      <w:r>
        <w:rPr>
          <w:spacing w:val="-3"/>
          <w:w w:val="105"/>
          <w:sz w:val="21"/>
        </w:rPr>
        <w:t>Commission favours </w:t>
      </w:r>
      <w:r>
        <w:rPr>
          <w:w w:val="105"/>
          <w:sz w:val="21"/>
        </w:rPr>
        <w:t>the </w:t>
      </w:r>
      <w:r>
        <w:rPr>
          <w:spacing w:val="-3"/>
          <w:w w:val="105"/>
          <w:sz w:val="21"/>
        </w:rPr>
        <w:t>legislative </w:t>
      </w:r>
      <w:r>
        <w:rPr>
          <w:w w:val="105"/>
          <w:sz w:val="21"/>
        </w:rPr>
        <w:t>approach in the NSW Act because it is </w:t>
      </w:r>
      <w:r>
        <w:rPr>
          <w:spacing w:val="-3"/>
          <w:w w:val="105"/>
          <w:sz w:val="21"/>
        </w:rPr>
        <w:t>simpler </w:t>
      </w:r>
      <w:r>
        <w:rPr>
          <w:w w:val="105"/>
          <w:sz w:val="21"/>
        </w:rPr>
        <w:t>and more </w:t>
      </w:r>
      <w:r>
        <w:rPr>
          <w:spacing w:val="-3"/>
          <w:w w:val="105"/>
          <w:sz w:val="21"/>
        </w:rPr>
        <w:t>straightforward. </w:t>
      </w:r>
      <w:r>
        <w:rPr>
          <w:w w:val="105"/>
          <w:sz w:val="21"/>
        </w:rPr>
        <w:t>The </w:t>
      </w:r>
      <w:r>
        <w:rPr>
          <w:spacing w:val="-3"/>
          <w:w w:val="105"/>
          <w:sz w:val="21"/>
        </w:rPr>
        <w:t>inclusion </w:t>
      </w:r>
      <w:r>
        <w:rPr>
          <w:w w:val="105"/>
          <w:sz w:val="21"/>
        </w:rPr>
        <w:t>of tree owner </w:t>
      </w:r>
      <w:r>
        <w:rPr>
          <w:spacing w:val="-3"/>
          <w:w w:val="105"/>
          <w:sz w:val="21"/>
        </w:rPr>
        <w:t>responsibilities that are </w:t>
      </w:r>
      <w:r>
        <w:rPr>
          <w:w w:val="105"/>
          <w:sz w:val="21"/>
        </w:rPr>
        <w:t>non-binding, together with a civil cause of action </w:t>
      </w:r>
      <w:r>
        <w:rPr>
          <w:spacing w:val="-3"/>
          <w:w w:val="105"/>
          <w:sz w:val="21"/>
        </w:rPr>
        <w:t>for </w:t>
      </w:r>
      <w:r>
        <w:rPr>
          <w:w w:val="105"/>
          <w:sz w:val="21"/>
        </w:rPr>
        <w:t>damage or </w:t>
      </w:r>
      <w:r>
        <w:rPr>
          <w:spacing w:val="-3"/>
          <w:w w:val="105"/>
          <w:sz w:val="21"/>
        </w:rPr>
        <w:t>harm, may create confusion </w:t>
      </w:r>
      <w:r>
        <w:rPr>
          <w:w w:val="105"/>
          <w:sz w:val="21"/>
        </w:rPr>
        <w:t>in the </w:t>
      </w:r>
      <w:r>
        <w:rPr>
          <w:spacing w:val="-4"/>
          <w:w w:val="105"/>
          <w:sz w:val="21"/>
        </w:rPr>
        <w:t>community. </w:t>
      </w:r>
      <w:r>
        <w:rPr>
          <w:w w:val="105"/>
          <w:sz w:val="21"/>
        </w:rPr>
        <w:t>The</w:t>
      </w:r>
      <w:r>
        <w:rPr>
          <w:spacing w:val="17"/>
          <w:w w:val="105"/>
          <w:sz w:val="21"/>
        </w:rPr>
        <w:t> </w:t>
      </w:r>
      <w:r>
        <w:rPr>
          <w:spacing w:val="-3"/>
          <w:w w:val="105"/>
          <w:sz w:val="21"/>
        </w:rPr>
        <w:t>Commission</w:t>
      </w:r>
    </w:p>
    <w:p>
      <w:pPr>
        <w:pStyle w:val="BodyText"/>
        <w:spacing w:before="5"/>
        <w:rPr>
          <w:sz w:val="18"/>
        </w:rPr>
      </w:pPr>
      <w:r>
        <w:rPr/>
        <w:pict>
          <v:line style="position:absolute;mso-position-horizontal-relative:page;mso-position-vertical-relative:paragraph;z-index:6272;mso-wrap-distance-left:0;mso-wrap-distance-right:0" from="79.370102pt,13.723487pt" to="515.905102pt,13.72348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05"/>
        </w:numPr>
        <w:tabs>
          <w:tab w:pos="2380" w:val="left" w:leader="none"/>
          <w:tab w:pos="2382" w:val="left" w:leader="none"/>
        </w:tabs>
        <w:spacing w:line="240" w:lineRule="auto" w:before="48" w:after="0"/>
        <w:ind w:left="2381" w:right="0" w:hanging="794"/>
        <w:jc w:val="left"/>
        <w:rPr>
          <w:sz w:val="13"/>
        </w:rPr>
      </w:pPr>
      <w:r>
        <w:rPr>
          <w:w w:val="105"/>
          <w:sz w:val="13"/>
        </w:rPr>
        <w:t>See the discussion in Ch</w:t>
      </w:r>
      <w:r>
        <w:rPr>
          <w:spacing w:val="23"/>
          <w:w w:val="105"/>
          <w:sz w:val="13"/>
        </w:rPr>
        <w:t> </w:t>
      </w:r>
      <w:r>
        <w:rPr>
          <w:w w:val="105"/>
          <w:sz w:val="13"/>
        </w:rPr>
        <w:t>2.</w:t>
      </w:r>
    </w:p>
    <w:p>
      <w:pPr>
        <w:pStyle w:val="ListParagraph"/>
        <w:numPr>
          <w:ilvl w:val="0"/>
          <w:numId w:val="105"/>
        </w:numPr>
        <w:tabs>
          <w:tab w:pos="2380" w:val="left" w:leader="none"/>
          <w:tab w:pos="2382" w:val="left" w:leader="none"/>
        </w:tabs>
        <w:spacing w:line="240" w:lineRule="auto" w:before="1" w:after="0"/>
        <w:ind w:left="2381" w:right="0" w:hanging="794"/>
        <w:jc w:val="left"/>
        <w:rPr>
          <w:sz w:val="13"/>
        </w:rPr>
      </w:pPr>
      <w:r>
        <w:rPr>
          <w:w w:val="105"/>
          <w:sz w:val="13"/>
        </w:rPr>
        <w:t>Supplementary</w:t>
      </w:r>
      <w:r>
        <w:rPr>
          <w:spacing w:val="7"/>
          <w:w w:val="105"/>
          <w:sz w:val="13"/>
        </w:rPr>
        <w:t> </w:t>
      </w:r>
      <w:r>
        <w:rPr>
          <w:w w:val="105"/>
          <w:sz w:val="13"/>
        </w:rPr>
        <w:t>Consultation</w:t>
      </w:r>
      <w:r>
        <w:rPr>
          <w:spacing w:val="8"/>
          <w:w w:val="105"/>
          <w:sz w:val="13"/>
        </w:rPr>
        <w:t> </w:t>
      </w:r>
      <w:r>
        <w:rPr>
          <w:w w:val="105"/>
          <w:sz w:val="13"/>
        </w:rPr>
        <w:t>1</w:t>
      </w:r>
      <w:r>
        <w:rPr>
          <w:spacing w:val="7"/>
          <w:w w:val="105"/>
          <w:sz w:val="13"/>
        </w:rPr>
        <w:t> </w:t>
      </w:r>
      <w:r>
        <w:rPr>
          <w:w w:val="105"/>
          <w:sz w:val="13"/>
        </w:rPr>
        <w:t>(Victorian</w:t>
      </w:r>
      <w:r>
        <w:rPr>
          <w:spacing w:val="8"/>
          <w:w w:val="105"/>
          <w:sz w:val="13"/>
        </w:rPr>
        <w:t> </w:t>
      </w:r>
      <w:r>
        <w:rPr>
          <w:w w:val="105"/>
          <w:sz w:val="13"/>
        </w:rPr>
        <w:t>Civil</w:t>
      </w:r>
      <w:r>
        <w:rPr>
          <w:spacing w:val="8"/>
          <w:w w:val="105"/>
          <w:sz w:val="13"/>
        </w:rPr>
        <w:t> </w:t>
      </w:r>
      <w:r>
        <w:rPr>
          <w:w w:val="105"/>
          <w:sz w:val="13"/>
        </w:rPr>
        <w:t>and</w:t>
      </w:r>
      <w:r>
        <w:rPr>
          <w:spacing w:val="7"/>
          <w:w w:val="105"/>
          <w:sz w:val="13"/>
        </w:rPr>
        <w:t> </w:t>
      </w:r>
      <w:r>
        <w:rPr>
          <w:w w:val="105"/>
          <w:sz w:val="13"/>
        </w:rPr>
        <w:t>Administrative</w:t>
      </w:r>
      <w:r>
        <w:rPr>
          <w:spacing w:val="8"/>
          <w:w w:val="105"/>
          <w:sz w:val="13"/>
        </w:rPr>
        <w:t> </w:t>
      </w:r>
      <w:r>
        <w:rPr>
          <w:w w:val="105"/>
          <w:sz w:val="13"/>
        </w:rPr>
        <w:t>Tribunal).</w:t>
      </w:r>
    </w:p>
    <w:p>
      <w:pPr>
        <w:pStyle w:val="ListParagraph"/>
        <w:numPr>
          <w:ilvl w:val="0"/>
          <w:numId w:val="105"/>
        </w:numPr>
        <w:tabs>
          <w:tab w:pos="2380" w:val="left" w:leader="none"/>
          <w:tab w:pos="2382" w:val="left" w:leader="none"/>
        </w:tabs>
        <w:spacing w:line="240" w:lineRule="auto" w:before="2" w:after="0"/>
        <w:ind w:left="1587" w:right="195" w:firstLine="0"/>
        <w:jc w:val="left"/>
        <w:rPr>
          <w:sz w:val="13"/>
        </w:rPr>
      </w:pPr>
      <w:r>
        <w:rPr>
          <w:i/>
          <w:sz w:val="13"/>
        </w:rPr>
        <w:t>Victorian Civil and Administrative Tribunal Act 1998  </w:t>
      </w:r>
      <w:r>
        <w:rPr>
          <w:spacing w:val="2"/>
          <w:sz w:val="13"/>
        </w:rPr>
        <w:t>(Vic) </w:t>
      </w:r>
      <w:r>
        <w:rPr>
          <w:sz w:val="13"/>
        </w:rPr>
        <w:t>ss  83(1),  </w:t>
      </w:r>
      <w:r>
        <w:rPr>
          <w:spacing w:val="2"/>
          <w:sz w:val="13"/>
        </w:rPr>
        <w:t>88(1). </w:t>
      </w:r>
      <w:r>
        <w:rPr>
          <w:sz w:val="13"/>
        </w:rPr>
        <w:t>169</w:t>
        <w:tab/>
        <w:t>Ibid ss 83(1),</w:t>
      </w:r>
      <w:r>
        <w:rPr>
          <w:spacing w:val="19"/>
          <w:sz w:val="13"/>
        </w:rPr>
        <w:t> </w:t>
      </w:r>
      <w:r>
        <w:rPr>
          <w:spacing w:val="2"/>
          <w:sz w:val="13"/>
        </w:rPr>
        <w:t>88(1).</w:t>
      </w:r>
    </w:p>
    <w:p>
      <w:pPr>
        <w:pStyle w:val="BodyText"/>
        <w:spacing w:before="8"/>
        <w:rPr>
          <w:sz w:val="34"/>
        </w:rPr>
      </w:pPr>
      <w:r>
        <w:rPr/>
        <w:br w:type="column"/>
      </w:r>
      <w:r>
        <w:rPr>
          <w:sz w:val="34"/>
        </w:rPr>
      </w:r>
    </w:p>
    <w:p>
      <w:pPr>
        <w:spacing w:before="0"/>
        <w:ind w:left="1587" w:right="0" w:firstLine="0"/>
        <w:jc w:val="left"/>
        <w:rPr>
          <w:b/>
          <w:sz w:val="24"/>
        </w:rPr>
      </w:pPr>
      <w:r>
        <w:rPr>
          <w:b/>
          <w:color w:val="658464"/>
          <w:w w:val="110"/>
          <w:sz w:val="24"/>
        </w:rPr>
        <w:t>129</w:t>
      </w:r>
    </w:p>
    <w:p>
      <w:pPr>
        <w:spacing w:after="0"/>
        <w:jc w:val="left"/>
        <w:rPr>
          <w:sz w:val="24"/>
        </w:rPr>
        <w:sectPr>
          <w:type w:val="continuous"/>
          <w:pgSz w:w="11910" w:h="16840"/>
          <w:pgMar w:top="300" w:bottom="280" w:left="0" w:right="0"/>
          <w:cols w:num="2" w:equalWidth="0">
            <w:col w:w="6676" w:space="2653"/>
            <w:col w:w="2581"/>
          </w:cols>
        </w:sectPr>
      </w:pPr>
    </w:p>
    <w:p>
      <w:pPr>
        <w:pStyle w:val="BodyText"/>
        <w:spacing w:before="9"/>
        <w:rPr>
          <w:b/>
          <w:sz w:val="22"/>
        </w:rPr>
      </w:pPr>
    </w:p>
    <w:p>
      <w:pPr>
        <w:pStyle w:val="BodyText"/>
        <w:spacing w:line="242" w:lineRule="auto" w:before="92"/>
        <w:ind w:left="2381" w:right="1810"/>
      </w:pPr>
      <w:bookmarkStart w:name="_bookmark70" w:id="156"/>
      <w:bookmarkEnd w:id="156"/>
      <w:r>
        <w:rPr/>
      </w:r>
      <w:r>
        <w:rPr/>
        <w:t>is persuaded by the comments of the NSWLEC </w:t>
      </w:r>
      <w:r>
        <w:rPr>
          <w:spacing w:val="-3"/>
        </w:rPr>
        <w:t>that </w:t>
      </w:r>
      <w:r>
        <w:rPr/>
        <w:t>tree owner  </w:t>
      </w:r>
      <w:r>
        <w:rPr>
          <w:spacing w:val="-3"/>
        </w:rPr>
        <w:t>responsibilities  may intensify </w:t>
      </w:r>
      <w:r>
        <w:rPr/>
        <w:t>tree </w:t>
      </w:r>
      <w:r>
        <w:rPr>
          <w:spacing w:val="-3"/>
        </w:rPr>
        <w:t>disputes </w:t>
      </w:r>
      <w:r>
        <w:rPr/>
        <w:t>and </w:t>
      </w:r>
      <w:r>
        <w:rPr>
          <w:spacing w:val="-3"/>
        </w:rPr>
        <w:t>may have </w:t>
      </w:r>
      <w:r>
        <w:rPr/>
        <w:t>the effect of </w:t>
      </w:r>
      <w:r>
        <w:rPr>
          <w:spacing w:val="-3"/>
        </w:rPr>
        <w:t>diminishing </w:t>
      </w:r>
      <w:r>
        <w:rPr/>
        <w:t>the urban </w:t>
      </w:r>
      <w:r>
        <w:rPr>
          <w:spacing w:val="-2"/>
        </w:rPr>
        <w:t>forest </w:t>
      </w:r>
      <w:r>
        <w:rPr/>
        <w:t>if  tree owners feel obliged </w:t>
      </w:r>
      <w:r>
        <w:rPr>
          <w:spacing w:val="-3"/>
        </w:rPr>
        <w:t>to </w:t>
      </w:r>
      <w:r>
        <w:rPr/>
        <w:t>prune or </w:t>
      </w:r>
      <w:r>
        <w:rPr>
          <w:spacing w:val="-3"/>
        </w:rPr>
        <w:t>remove </w:t>
      </w:r>
      <w:r>
        <w:rPr/>
        <w:t>their trees </w:t>
      </w:r>
      <w:r>
        <w:rPr>
          <w:spacing w:val="-3"/>
        </w:rPr>
        <w:t>to </w:t>
      </w:r>
      <w:r>
        <w:rPr/>
        <w:t>meet their </w:t>
      </w:r>
      <w:r>
        <w:rPr>
          <w:spacing w:val="-4"/>
        </w:rPr>
        <w:t>responsibilities.</w:t>
      </w:r>
      <w:r>
        <w:rPr>
          <w:spacing w:val="-4"/>
          <w:position w:val="7"/>
          <w:sz w:val="12"/>
        </w:rPr>
        <w:t>170 </w:t>
      </w:r>
      <w:r>
        <w:rPr/>
        <w:t>While tree </w:t>
      </w:r>
      <w:r>
        <w:rPr>
          <w:spacing w:val="-3"/>
        </w:rPr>
        <w:t>dispute </w:t>
      </w:r>
      <w:r>
        <w:rPr/>
        <w:t>issues affect </w:t>
      </w:r>
      <w:r>
        <w:rPr>
          <w:spacing w:val="-3"/>
        </w:rPr>
        <w:t>many </w:t>
      </w:r>
      <w:r>
        <w:rPr/>
        <w:t>people, it would be a disproportionate response </w:t>
      </w:r>
      <w:r>
        <w:rPr>
          <w:spacing w:val="-3"/>
        </w:rPr>
        <w:t>to create responsibilities </w:t>
      </w:r>
      <w:r>
        <w:rPr/>
        <w:t>in the new Act </w:t>
      </w:r>
      <w:r>
        <w:rPr>
          <w:spacing w:val="-3"/>
        </w:rPr>
        <w:t>that </w:t>
      </w:r>
      <w:r>
        <w:rPr/>
        <w:t>extend </w:t>
      </w:r>
      <w:r>
        <w:rPr>
          <w:spacing w:val="-3"/>
        </w:rPr>
        <w:t>to all </w:t>
      </w:r>
      <w:r>
        <w:rPr/>
        <w:t>tree owners on </w:t>
      </w:r>
      <w:r>
        <w:rPr>
          <w:spacing w:val="-3"/>
        </w:rPr>
        <w:t>private  land,  </w:t>
      </w:r>
      <w:r>
        <w:rPr/>
        <w:t>even if they </w:t>
      </w:r>
      <w:r>
        <w:rPr>
          <w:spacing w:val="-3"/>
        </w:rPr>
        <w:t>are</w:t>
      </w:r>
      <w:r>
        <w:rPr>
          <w:spacing w:val="8"/>
        </w:rPr>
        <w:t> </w:t>
      </w:r>
      <w:r>
        <w:rPr>
          <w:spacing w:val="-3"/>
        </w:rPr>
        <w:t>nonbinding.</w:t>
      </w:r>
    </w:p>
    <w:p>
      <w:pPr>
        <w:pStyle w:val="ListParagraph"/>
        <w:numPr>
          <w:ilvl w:val="1"/>
          <w:numId w:val="99"/>
        </w:numPr>
        <w:tabs>
          <w:tab w:pos="2380" w:val="left" w:leader="none"/>
          <w:tab w:pos="2381" w:val="left" w:leader="none"/>
        </w:tabs>
        <w:spacing w:line="242" w:lineRule="auto" w:before="126" w:after="0"/>
        <w:ind w:left="2380" w:right="1833" w:hanging="793"/>
        <w:jc w:val="left"/>
        <w:rPr>
          <w:sz w:val="21"/>
        </w:rPr>
      </w:pPr>
      <w:r>
        <w:rPr>
          <w:spacing w:val="-4"/>
          <w:w w:val="105"/>
          <w:sz w:val="21"/>
        </w:rPr>
        <w:t>Clear </w:t>
      </w:r>
      <w:r>
        <w:rPr>
          <w:w w:val="105"/>
          <w:sz w:val="21"/>
        </w:rPr>
        <w:t>decision-making </w:t>
      </w:r>
      <w:r>
        <w:rPr>
          <w:spacing w:val="-3"/>
          <w:w w:val="105"/>
          <w:sz w:val="21"/>
        </w:rPr>
        <w:t>principles </w:t>
      </w:r>
      <w:r>
        <w:rPr>
          <w:w w:val="105"/>
          <w:sz w:val="21"/>
        </w:rPr>
        <w:t>under the new Act together with </w:t>
      </w:r>
      <w:r>
        <w:rPr>
          <w:spacing w:val="-3"/>
          <w:w w:val="105"/>
          <w:sz w:val="21"/>
        </w:rPr>
        <w:t>clear </w:t>
      </w:r>
      <w:r>
        <w:rPr>
          <w:w w:val="105"/>
          <w:sz w:val="21"/>
        </w:rPr>
        <w:t>community </w:t>
      </w:r>
      <w:r>
        <w:rPr>
          <w:spacing w:val="-3"/>
          <w:w w:val="105"/>
          <w:sz w:val="21"/>
        </w:rPr>
        <w:t>information will </w:t>
      </w:r>
      <w:r>
        <w:rPr>
          <w:w w:val="105"/>
          <w:sz w:val="21"/>
        </w:rPr>
        <w:t>provide </w:t>
      </w:r>
      <w:r>
        <w:rPr>
          <w:spacing w:val="-3"/>
          <w:w w:val="105"/>
          <w:sz w:val="21"/>
        </w:rPr>
        <w:t>guidance to </w:t>
      </w:r>
      <w:r>
        <w:rPr>
          <w:w w:val="105"/>
          <w:sz w:val="21"/>
        </w:rPr>
        <w:t>the community about the application of the law </w:t>
      </w:r>
      <w:r>
        <w:rPr>
          <w:spacing w:val="-3"/>
          <w:w w:val="105"/>
          <w:sz w:val="21"/>
        </w:rPr>
        <w:t>to </w:t>
      </w:r>
      <w:r>
        <w:rPr>
          <w:w w:val="105"/>
          <w:sz w:val="21"/>
        </w:rPr>
        <w:t>their own </w:t>
      </w:r>
      <w:r>
        <w:rPr>
          <w:spacing w:val="-3"/>
          <w:w w:val="105"/>
          <w:sz w:val="21"/>
        </w:rPr>
        <w:t>disputes. </w:t>
      </w:r>
      <w:r>
        <w:rPr>
          <w:w w:val="105"/>
          <w:sz w:val="21"/>
        </w:rPr>
        <w:t>See </w:t>
      </w:r>
      <w:r>
        <w:rPr>
          <w:spacing w:val="-4"/>
          <w:w w:val="105"/>
          <w:sz w:val="21"/>
        </w:rPr>
        <w:t>Chapter </w:t>
      </w:r>
      <w:r>
        <w:rPr>
          <w:w w:val="105"/>
          <w:sz w:val="21"/>
        </w:rPr>
        <w:t>8. </w:t>
      </w:r>
      <w:r>
        <w:rPr>
          <w:spacing w:val="-4"/>
          <w:w w:val="105"/>
          <w:sz w:val="21"/>
        </w:rPr>
        <w:t>Ultimately, </w:t>
      </w:r>
      <w:r>
        <w:rPr>
          <w:w w:val="105"/>
          <w:sz w:val="21"/>
        </w:rPr>
        <w:t>the ability of an affected </w:t>
      </w:r>
      <w:r>
        <w:rPr>
          <w:spacing w:val="-3"/>
          <w:w w:val="105"/>
          <w:sz w:val="21"/>
        </w:rPr>
        <w:t>neighbour to initiate </w:t>
      </w:r>
      <w:r>
        <w:rPr>
          <w:w w:val="105"/>
          <w:sz w:val="21"/>
        </w:rPr>
        <w:t>a matter in </w:t>
      </w:r>
      <w:r>
        <w:rPr>
          <w:spacing w:val="-5"/>
          <w:w w:val="105"/>
          <w:sz w:val="21"/>
        </w:rPr>
        <w:t>VCAT </w:t>
      </w:r>
      <w:r>
        <w:rPr>
          <w:w w:val="105"/>
          <w:sz w:val="21"/>
        </w:rPr>
        <w:t>and </w:t>
      </w:r>
      <w:r>
        <w:rPr>
          <w:spacing w:val="-3"/>
          <w:w w:val="105"/>
          <w:sz w:val="21"/>
        </w:rPr>
        <w:t>to </w:t>
      </w:r>
      <w:r>
        <w:rPr>
          <w:w w:val="105"/>
          <w:sz w:val="21"/>
        </w:rPr>
        <w:t>obtain a </w:t>
      </w:r>
      <w:r>
        <w:rPr>
          <w:spacing w:val="-3"/>
          <w:w w:val="105"/>
          <w:sz w:val="21"/>
        </w:rPr>
        <w:t>quick </w:t>
      </w:r>
      <w:r>
        <w:rPr>
          <w:w w:val="105"/>
          <w:sz w:val="21"/>
        </w:rPr>
        <w:t>remedy </w:t>
      </w:r>
      <w:r>
        <w:rPr>
          <w:spacing w:val="-3"/>
          <w:w w:val="105"/>
          <w:sz w:val="21"/>
        </w:rPr>
        <w:t>may motivate </w:t>
      </w:r>
      <w:r>
        <w:rPr>
          <w:w w:val="105"/>
          <w:sz w:val="21"/>
        </w:rPr>
        <w:t>a tree owner </w:t>
      </w:r>
      <w:r>
        <w:rPr>
          <w:spacing w:val="-3"/>
          <w:w w:val="105"/>
          <w:sz w:val="21"/>
        </w:rPr>
        <w:t>to manage </w:t>
      </w:r>
      <w:r>
        <w:rPr>
          <w:w w:val="105"/>
          <w:sz w:val="21"/>
        </w:rPr>
        <w:t>their tree in </w:t>
      </w:r>
      <w:r>
        <w:rPr>
          <w:spacing w:val="-3"/>
          <w:w w:val="105"/>
          <w:sz w:val="21"/>
        </w:rPr>
        <w:t>mutually </w:t>
      </w:r>
      <w:r>
        <w:rPr>
          <w:w w:val="105"/>
          <w:sz w:val="21"/>
        </w:rPr>
        <w:t>beneficial</w:t>
      </w:r>
      <w:r>
        <w:rPr>
          <w:spacing w:val="31"/>
          <w:w w:val="105"/>
          <w:sz w:val="21"/>
        </w:rPr>
        <w:t> </w:t>
      </w:r>
      <w:r>
        <w:rPr>
          <w:spacing w:val="-3"/>
          <w:w w:val="105"/>
          <w:sz w:val="21"/>
        </w:rPr>
        <w:t>ways.</w:t>
      </w:r>
    </w:p>
    <w:p>
      <w:pPr>
        <w:pStyle w:val="BodyText"/>
        <w:spacing w:before="6"/>
        <w:rPr>
          <w:sz w:val="20"/>
        </w:rPr>
      </w:pPr>
    </w:p>
    <w:p>
      <w:pPr>
        <w:pStyle w:val="Heading5"/>
      </w:pPr>
      <w:r>
        <w:rPr>
          <w:w w:val="110"/>
        </w:rPr>
        <w:t>For future consideration: branch removal notices</w:t>
      </w:r>
    </w:p>
    <w:p>
      <w:pPr>
        <w:pStyle w:val="ListParagraph"/>
        <w:numPr>
          <w:ilvl w:val="1"/>
          <w:numId w:val="99"/>
        </w:numPr>
        <w:tabs>
          <w:tab w:pos="2381" w:val="left" w:leader="none"/>
          <w:tab w:pos="2382" w:val="left" w:leader="none"/>
        </w:tabs>
        <w:spacing w:line="242" w:lineRule="auto" w:before="138" w:after="0"/>
        <w:ind w:left="2381" w:right="1933" w:hanging="794"/>
        <w:jc w:val="left"/>
        <w:rPr>
          <w:sz w:val="12"/>
        </w:rPr>
      </w:pPr>
      <w:r>
        <w:rPr>
          <w:w w:val="105"/>
          <w:sz w:val="21"/>
        </w:rPr>
        <w:t>The</w:t>
      </w:r>
      <w:r>
        <w:rPr>
          <w:spacing w:val="-8"/>
          <w:w w:val="105"/>
          <w:sz w:val="21"/>
        </w:rPr>
        <w:t> </w:t>
      </w:r>
      <w:r>
        <w:rPr>
          <w:w w:val="105"/>
          <w:sz w:val="21"/>
        </w:rPr>
        <w:t>introduction</w:t>
      </w:r>
      <w:r>
        <w:rPr>
          <w:spacing w:val="-8"/>
          <w:w w:val="105"/>
          <w:sz w:val="21"/>
        </w:rPr>
        <w:t> </w:t>
      </w:r>
      <w:r>
        <w:rPr>
          <w:w w:val="105"/>
          <w:sz w:val="21"/>
        </w:rPr>
        <w:t>of</w:t>
      </w:r>
      <w:r>
        <w:rPr>
          <w:spacing w:val="-7"/>
          <w:w w:val="105"/>
          <w:sz w:val="21"/>
        </w:rPr>
        <w:t> </w:t>
      </w:r>
      <w:r>
        <w:rPr>
          <w:w w:val="105"/>
          <w:sz w:val="21"/>
        </w:rPr>
        <w:t>a</w:t>
      </w:r>
      <w:r>
        <w:rPr>
          <w:spacing w:val="-8"/>
          <w:w w:val="105"/>
          <w:sz w:val="21"/>
        </w:rPr>
        <w:t> </w:t>
      </w:r>
      <w:r>
        <w:rPr>
          <w:spacing w:val="-3"/>
          <w:w w:val="105"/>
          <w:sz w:val="21"/>
        </w:rPr>
        <w:t>branch</w:t>
      </w:r>
      <w:r>
        <w:rPr>
          <w:spacing w:val="-7"/>
          <w:w w:val="105"/>
          <w:sz w:val="21"/>
        </w:rPr>
        <w:t> </w:t>
      </w:r>
      <w:r>
        <w:rPr>
          <w:spacing w:val="-3"/>
          <w:w w:val="105"/>
          <w:sz w:val="21"/>
        </w:rPr>
        <w:t>removal</w:t>
      </w:r>
      <w:r>
        <w:rPr>
          <w:spacing w:val="-8"/>
          <w:w w:val="105"/>
          <w:sz w:val="21"/>
        </w:rPr>
        <w:t> </w:t>
      </w:r>
      <w:r>
        <w:rPr>
          <w:spacing w:val="-3"/>
          <w:w w:val="105"/>
          <w:sz w:val="21"/>
        </w:rPr>
        <w:t>notice</w:t>
      </w:r>
      <w:r>
        <w:rPr>
          <w:spacing w:val="-7"/>
          <w:w w:val="105"/>
          <w:sz w:val="21"/>
        </w:rPr>
        <w:t> </w:t>
      </w:r>
      <w:r>
        <w:rPr>
          <w:w w:val="105"/>
          <w:sz w:val="21"/>
        </w:rPr>
        <w:t>in</w:t>
      </w:r>
      <w:r>
        <w:rPr>
          <w:spacing w:val="-8"/>
          <w:w w:val="105"/>
          <w:sz w:val="21"/>
        </w:rPr>
        <w:t> </w:t>
      </w:r>
      <w:r>
        <w:rPr>
          <w:w w:val="105"/>
          <w:sz w:val="21"/>
        </w:rPr>
        <w:t>the</w:t>
      </w:r>
      <w:r>
        <w:rPr>
          <w:spacing w:val="-7"/>
          <w:w w:val="105"/>
          <w:sz w:val="21"/>
        </w:rPr>
        <w:t> </w:t>
      </w:r>
      <w:r>
        <w:rPr>
          <w:w w:val="105"/>
          <w:sz w:val="21"/>
        </w:rPr>
        <w:t>new</w:t>
      </w:r>
      <w:r>
        <w:rPr>
          <w:spacing w:val="-8"/>
          <w:w w:val="105"/>
          <w:sz w:val="21"/>
        </w:rPr>
        <w:t> </w:t>
      </w:r>
      <w:r>
        <w:rPr>
          <w:w w:val="105"/>
          <w:sz w:val="21"/>
        </w:rPr>
        <w:t>Act</w:t>
      </w:r>
      <w:r>
        <w:rPr>
          <w:spacing w:val="-8"/>
          <w:w w:val="105"/>
          <w:sz w:val="21"/>
        </w:rPr>
        <w:t> </w:t>
      </w:r>
      <w:r>
        <w:rPr>
          <w:w w:val="105"/>
          <w:sz w:val="21"/>
        </w:rPr>
        <w:t>received</w:t>
      </w:r>
      <w:r>
        <w:rPr>
          <w:spacing w:val="-7"/>
          <w:w w:val="105"/>
          <w:sz w:val="21"/>
        </w:rPr>
        <w:t> </w:t>
      </w:r>
      <w:r>
        <w:rPr>
          <w:w w:val="105"/>
          <w:sz w:val="21"/>
        </w:rPr>
        <w:t>some</w:t>
      </w:r>
      <w:r>
        <w:rPr>
          <w:spacing w:val="-8"/>
          <w:w w:val="105"/>
          <w:sz w:val="21"/>
        </w:rPr>
        <w:t> </w:t>
      </w:r>
      <w:r>
        <w:rPr>
          <w:w w:val="105"/>
          <w:sz w:val="21"/>
        </w:rPr>
        <w:t>community </w:t>
      </w:r>
      <w:r>
        <w:rPr>
          <w:spacing w:val="-4"/>
          <w:w w:val="105"/>
          <w:sz w:val="21"/>
        </w:rPr>
        <w:t>support.</w:t>
      </w:r>
      <w:r>
        <w:rPr>
          <w:spacing w:val="-4"/>
          <w:w w:val="105"/>
          <w:position w:val="7"/>
          <w:sz w:val="12"/>
        </w:rPr>
        <w:t>171 </w:t>
      </w:r>
      <w:r>
        <w:rPr>
          <w:spacing w:val="-4"/>
          <w:w w:val="105"/>
          <w:sz w:val="21"/>
        </w:rPr>
        <w:t>However, </w:t>
      </w:r>
      <w:r>
        <w:rPr>
          <w:w w:val="105"/>
          <w:sz w:val="21"/>
        </w:rPr>
        <w:t>some responses cautioned </w:t>
      </w:r>
      <w:r>
        <w:rPr>
          <w:spacing w:val="-3"/>
          <w:w w:val="105"/>
          <w:sz w:val="21"/>
        </w:rPr>
        <w:t>that </w:t>
      </w:r>
      <w:r>
        <w:rPr>
          <w:w w:val="105"/>
          <w:sz w:val="21"/>
        </w:rPr>
        <w:t>care needs </w:t>
      </w:r>
      <w:r>
        <w:rPr>
          <w:spacing w:val="-3"/>
          <w:w w:val="105"/>
          <w:sz w:val="21"/>
        </w:rPr>
        <w:t>to </w:t>
      </w:r>
      <w:r>
        <w:rPr>
          <w:w w:val="105"/>
          <w:sz w:val="21"/>
        </w:rPr>
        <w:t>be </w:t>
      </w:r>
      <w:r>
        <w:rPr>
          <w:spacing w:val="-3"/>
          <w:w w:val="105"/>
          <w:sz w:val="21"/>
        </w:rPr>
        <w:t>taken </w:t>
      </w:r>
      <w:r>
        <w:rPr>
          <w:w w:val="105"/>
          <w:sz w:val="21"/>
        </w:rPr>
        <w:t>in </w:t>
      </w:r>
      <w:r>
        <w:rPr>
          <w:spacing w:val="-3"/>
          <w:w w:val="105"/>
          <w:sz w:val="21"/>
        </w:rPr>
        <w:t>determining </w:t>
      </w:r>
      <w:r>
        <w:rPr>
          <w:w w:val="105"/>
          <w:sz w:val="21"/>
        </w:rPr>
        <w:t>which </w:t>
      </w:r>
      <w:r>
        <w:rPr>
          <w:spacing w:val="-3"/>
          <w:w w:val="105"/>
          <w:sz w:val="21"/>
        </w:rPr>
        <w:t>branches such </w:t>
      </w:r>
      <w:r>
        <w:rPr>
          <w:w w:val="105"/>
          <w:sz w:val="21"/>
        </w:rPr>
        <w:t>a process would apply </w:t>
      </w:r>
      <w:r>
        <w:rPr>
          <w:spacing w:val="-4"/>
          <w:w w:val="105"/>
          <w:sz w:val="21"/>
        </w:rPr>
        <w:t>to, </w:t>
      </w:r>
      <w:r>
        <w:rPr>
          <w:w w:val="105"/>
          <w:sz w:val="21"/>
        </w:rPr>
        <w:t>and how </w:t>
      </w:r>
      <w:r>
        <w:rPr>
          <w:spacing w:val="-3"/>
          <w:w w:val="105"/>
          <w:sz w:val="21"/>
        </w:rPr>
        <w:t>branches are </w:t>
      </w:r>
      <w:r>
        <w:rPr>
          <w:w w:val="105"/>
          <w:sz w:val="21"/>
        </w:rPr>
        <w:t>pruned so as </w:t>
      </w:r>
      <w:r>
        <w:rPr>
          <w:spacing w:val="-3"/>
          <w:w w:val="105"/>
          <w:sz w:val="21"/>
        </w:rPr>
        <w:t>to </w:t>
      </w:r>
      <w:r>
        <w:rPr>
          <w:w w:val="105"/>
          <w:sz w:val="21"/>
        </w:rPr>
        <w:t>avoid </w:t>
      </w:r>
      <w:r>
        <w:rPr>
          <w:spacing w:val="-3"/>
          <w:w w:val="105"/>
          <w:sz w:val="21"/>
        </w:rPr>
        <w:t>damaging</w:t>
      </w:r>
      <w:r>
        <w:rPr>
          <w:spacing w:val="33"/>
          <w:w w:val="105"/>
          <w:sz w:val="21"/>
        </w:rPr>
        <w:t> </w:t>
      </w:r>
      <w:r>
        <w:rPr>
          <w:spacing w:val="-4"/>
          <w:w w:val="105"/>
          <w:sz w:val="21"/>
        </w:rPr>
        <w:t>trees.</w:t>
      </w:r>
      <w:r>
        <w:rPr>
          <w:spacing w:val="-4"/>
          <w:w w:val="105"/>
          <w:position w:val="7"/>
          <w:sz w:val="12"/>
        </w:rPr>
        <w:t>172</w:t>
      </w:r>
    </w:p>
    <w:p>
      <w:pPr>
        <w:pStyle w:val="ListParagraph"/>
        <w:numPr>
          <w:ilvl w:val="1"/>
          <w:numId w:val="99"/>
        </w:numPr>
        <w:tabs>
          <w:tab w:pos="2381" w:val="left" w:leader="none"/>
          <w:tab w:pos="2382" w:val="left" w:leader="none"/>
        </w:tabs>
        <w:spacing w:line="242" w:lineRule="auto" w:before="124" w:after="0"/>
        <w:ind w:left="2381" w:right="1712" w:hanging="794"/>
        <w:jc w:val="left"/>
        <w:rPr>
          <w:sz w:val="12"/>
        </w:rPr>
      </w:pPr>
      <w:r>
        <w:rPr>
          <w:w w:val="105"/>
          <w:sz w:val="21"/>
        </w:rPr>
        <w:t>The QLRC </w:t>
      </w:r>
      <w:r>
        <w:rPr>
          <w:spacing w:val="-3"/>
          <w:w w:val="105"/>
          <w:sz w:val="21"/>
        </w:rPr>
        <w:t>found that </w:t>
      </w:r>
      <w:r>
        <w:rPr>
          <w:w w:val="105"/>
          <w:sz w:val="21"/>
        </w:rPr>
        <w:t>the </w:t>
      </w:r>
      <w:r>
        <w:rPr>
          <w:spacing w:val="-3"/>
          <w:w w:val="105"/>
          <w:sz w:val="21"/>
        </w:rPr>
        <w:t>branch removal notice </w:t>
      </w:r>
      <w:r>
        <w:rPr>
          <w:w w:val="105"/>
          <w:sz w:val="21"/>
        </w:rPr>
        <w:t>is </w:t>
      </w:r>
      <w:r>
        <w:rPr>
          <w:spacing w:val="-3"/>
          <w:w w:val="105"/>
          <w:sz w:val="21"/>
        </w:rPr>
        <w:t>‘working well’ </w:t>
      </w:r>
      <w:r>
        <w:rPr>
          <w:w w:val="105"/>
          <w:sz w:val="21"/>
        </w:rPr>
        <w:t>in </w:t>
      </w:r>
      <w:r>
        <w:rPr>
          <w:spacing w:val="-3"/>
          <w:w w:val="105"/>
          <w:sz w:val="21"/>
        </w:rPr>
        <w:t>Queensland </w:t>
      </w:r>
      <w:r>
        <w:rPr>
          <w:w w:val="105"/>
          <w:sz w:val="21"/>
        </w:rPr>
        <w:t>and is </w:t>
      </w:r>
      <w:r>
        <w:rPr>
          <w:spacing w:val="-7"/>
          <w:w w:val="105"/>
          <w:sz w:val="21"/>
        </w:rPr>
        <w:t>‘a </w:t>
      </w:r>
      <w:r>
        <w:rPr>
          <w:spacing w:val="-3"/>
          <w:w w:val="105"/>
          <w:sz w:val="21"/>
        </w:rPr>
        <w:t>valuable means </w:t>
      </w:r>
      <w:r>
        <w:rPr>
          <w:w w:val="105"/>
          <w:sz w:val="21"/>
        </w:rPr>
        <w:t>by which </w:t>
      </w:r>
      <w:r>
        <w:rPr>
          <w:spacing w:val="-3"/>
          <w:w w:val="105"/>
          <w:sz w:val="21"/>
        </w:rPr>
        <w:t>many disputes </w:t>
      </w:r>
      <w:r>
        <w:rPr>
          <w:w w:val="105"/>
          <w:sz w:val="21"/>
        </w:rPr>
        <w:t>can be adequately</w:t>
      </w:r>
      <w:r>
        <w:rPr>
          <w:spacing w:val="36"/>
          <w:w w:val="105"/>
          <w:sz w:val="21"/>
        </w:rPr>
        <w:t> </w:t>
      </w:r>
      <w:r>
        <w:rPr>
          <w:spacing w:val="-5"/>
          <w:w w:val="105"/>
          <w:sz w:val="21"/>
        </w:rPr>
        <w:t>addressed’.</w:t>
      </w:r>
      <w:r>
        <w:rPr>
          <w:spacing w:val="-5"/>
          <w:w w:val="105"/>
          <w:position w:val="7"/>
          <w:sz w:val="12"/>
        </w:rPr>
        <w:t>173</w:t>
      </w:r>
    </w:p>
    <w:p>
      <w:pPr>
        <w:pStyle w:val="ListParagraph"/>
        <w:numPr>
          <w:ilvl w:val="1"/>
          <w:numId w:val="99"/>
        </w:numPr>
        <w:tabs>
          <w:tab w:pos="2380" w:val="left" w:leader="none"/>
          <w:tab w:pos="2381" w:val="left" w:leader="none"/>
        </w:tabs>
        <w:spacing w:line="242" w:lineRule="auto" w:before="122" w:after="0"/>
        <w:ind w:left="2381" w:right="1674" w:hanging="794"/>
        <w:jc w:val="left"/>
        <w:rPr>
          <w:sz w:val="21"/>
        </w:rPr>
      </w:pPr>
      <w:r>
        <w:rPr>
          <w:w w:val="105"/>
          <w:sz w:val="21"/>
        </w:rPr>
        <w:t>A</w:t>
      </w:r>
      <w:r>
        <w:rPr>
          <w:spacing w:val="-5"/>
          <w:w w:val="105"/>
          <w:sz w:val="21"/>
        </w:rPr>
        <w:t> </w:t>
      </w:r>
      <w:r>
        <w:rPr>
          <w:spacing w:val="-3"/>
          <w:w w:val="105"/>
          <w:sz w:val="21"/>
        </w:rPr>
        <w:t>branch</w:t>
      </w:r>
      <w:r>
        <w:rPr>
          <w:spacing w:val="-4"/>
          <w:w w:val="105"/>
          <w:sz w:val="21"/>
        </w:rPr>
        <w:t> </w:t>
      </w:r>
      <w:r>
        <w:rPr>
          <w:spacing w:val="-3"/>
          <w:w w:val="105"/>
          <w:sz w:val="21"/>
        </w:rPr>
        <w:t>removal</w:t>
      </w:r>
      <w:r>
        <w:rPr>
          <w:spacing w:val="-4"/>
          <w:w w:val="105"/>
          <w:sz w:val="21"/>
        </w:rPr>
        <w:t> </w:t>
      </w:r>
      <w:r>
        <w:rPr>
          <w:spacing w:val="-3"/>
          <w:w w:val="105"/>
          <w:sz w:val="21"/>
        </w:rPr>
        <w:t>notice</w:t>
      </w:r>
      <w:r>
        <w:rPr>
          <w:spacing w:val="-5"/>
          <w:w w:val="105"/>
          <w:sz w:val="21"/>
        </w:rPr>
        <w:t> </w:t>
      </w:r>
      <w:r>
        <w:rPr>
          <w:w w:val="105"/>
          <w:sz w:val="21"/>
        </w:rPr>
        <w:t>would</w:t>
      </w:r>
      <w:r>
        <w:rPr>
          <w:spacing w:val="-4"/>
          <w:w w:val="105"/>
          <w:sz w:val="21"/>
        </w:rPr>
        <w:t> </w:t>
      </w:r>
      <w:r>
        <w:rPr>
          <w:w w:val="105"/>
          <w:sz w:val="21"/>
        </w:rPr>
        <w:t>address</w:t>
      </w:r>
      <w:r>
        <w:rPr>
          <w:spacing w:val="-4"/>
          <w:w w:val="105"/>
          <w:sz w:val="21"/>
        </w:rPr>
        <w:t> </w:t>
      </w:r>
      <w:r>
        <w:rPr>
          <w:w w:val="105"/>
          <w:sz w:val="21"/>
        </w:rPr>
        <w:t>one</w:t>
      </w:r>
      <w:r>
        <w:rPr>
          <w:spacing w:val="-5"/>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most</w:t>
      </w:r>
      <w:r>
        <w:rPr>
          <w:spacing w:val="-4"/>
          <w:w w:val="105"/>
          <w:sz w:val="21"/>
        </w:rPr>
        <w:t> </w:t>
      </w:r>
      <w:r>
        <w:rPr>
          <w:spacing w:val="-2"/>
          <w:w w:val="105"/>
          <w:sz w:val="21"/>
        </w:rPr>
        <w:t>common</w:t>
      </w:r>
      <w:r>
        <w:rPr>
          <w:spacing w:val="-5"/>
          <w:w w:val="105"/>
          <w:sz w:val="21"/>
        </w:rPr>
        <w:t> </w:t>
      </w:r>
      <w:r>
        <w:rPr>
          <w:w w:val="105"/>
          <w:sz w:val="21"/>
        </w:rPr>
        <w:t>causes</w:t>
      </w:r>
      <w:r>
        <w:rPr>
          <w:spacing w:val="-4"/>
          <w:w w:val="105"/>
          <w:sz w:val="21"/>
        </w:rPr>
        <w:t> </w:t>
      </w:r>
      <w:r>
        <w:rPr>
          <w:w w:val="105"/>
          <w:sz w:val="21"/>
        </w:rPr>
        <w:t>of</w:t>
      </w:r>
      <w:r>
        <w:rPr>
          <w:spacing w:val="-4"/>
          <w:w w:val="105"/>
          <w:sz w:val="21"/>
        </w:rPr>
        <w:t> </w:t>
      </w:r>
      <w:r>
        <w:rPr>
          <w:w w:val="105"/>
          <w:sz w:val="21"/>
        </w:rPr>
        <w:t>tree</w:t>
      </w:r>
      <w:r>
        <w:rPr>
          <w:spacing w:val="-5"/>
          <w:w w:val="105"/>
          <w:sz w:val="21"/>
        </w:rPr>
        <w:t> </w:t>
      </w:r>
      <w:r>
        <w:rPr>
          <w:spacing w:val="-3"/>
          <w:w w:val="105"/>
          <w:sz w:val="21"/>
        </w:rPr>
        <w:t>disputes </w:t>
      </w:r>
      <w:r>
        <w:rPr>
          <w:w w:val="105"/>
          <w:sz w:val="21"/>
        </w:rPr>
        <w:t>in Victoria—overhanging </w:t>
      </w:r>
      <w:r>
        <w:rPr>
          <w:spacing w:val="-5"/>
          <w:w w:val="105"/>
          <w:sz w:val="21"/>
        </w:rPr>
        <w:t>branches.</w:t>
      </w:r>
      <w:r>
        <w:rPr>
          <w:spacing w:val="-5"/>
          <w:w w:val="105"/>
          <w:position w:val="7"/>
          <w:sz w:val="12"/>
        </w:rPr>
        <w:t>174 </w:t>
      </w:r>
      <w:r>
        <w:rPr>
          <w:w w:val="105"/>
          <w:sz w:val="21"/>
        </w:rPr>
        <w:t>The </w:t>
      </w:r>
      <w:r>
        <w:rPr>
          <w:spacing w:val="-3"/>
          <w:w w:val="105"/>
          <w:sz w:val="21"/>
        </w:rPr>
        <w:t>Commission </w:t>
      </w:r>
      <w:r>
        <w:rPr>
          <w:w w:val="105"/>
          <w:sz w:val="21"/>
        </w:rPr>
        <w:t>acknowledges </w:t>
      </w:r>
      <w:r>
        <w:rPr>
          <w:spacing w:val="-3"/>
          <w:w w:val="105"/>
          <w:sz w:val="21"/>
        </w:rPr>
        <w:t>that </w:t>
      </w:r>
      <w:r>
        <w:rPr>
          <w:w w:val="105"/>
          <w:sz w:val="21"/>
        </w:rPr>
        <w:t>unless an </w:t>
      </w:r>
      <w:r>
        <w:rPr>
          <w:spacing w:val="-3"/>
          <w:w w:val="105"/>
          <w:sz w:val="21"/>
        </w:rPr>
        <w:t>overhanging branch </w:t>
      </w:r>
      <w:r>
        <w:rPr>
          <w:w w:val="105"/>
          <w:sz w:val="21"/>
        </w:rPr>
        <w:t>issue </w:t>
      </w:r>
      <w:r>
        <w:rPr>
          <w:spacing w:val="-2"/>
          <w:w w:val="105"/>
          <w:sz w:val="21"/>
        </w:rPr>
        <w:t>raises </w:t>
      </w:r>
      <w:r>
        <w:rPr>
          <w:spacing w:val="-3"/>
          <w:w w:val="105"/>
          <w:sz w:val="21"/>
        </w:rPr>
        <w:t>concerns </w:t>
      </w:r>
      <w:r>
        <w:rPr>
          <w:w w:val="105"/>
          <w:sz w:val="21"/>
        </w:rPr>
        <w:t>about damage or </w:t>
      </w:r>
      <w:r>
        <w:rPr>
          <w:spacing w:val="-3"/>
          <w:w w:val="105"/>
          <w:sz w:val="21"/>
        </w:rPr>
        <w:t>harm, </w:t>
      </w:r>
      <w:r>
        <w:rPr>
          <w:w w:val="105"/>
          <w:sz w:val="21"/>
        </w:rPr>
        <w:t>it would </w:t>
      </w:r>
      <w:r>
        <w:rPr>
          <w:spacing w:val="-2"/>
          <w:w w:val="105"/>
          <w:sz w:val="21"/>
        </w:rPr>
        <w:t>not </w:t>
      </w:r>
      <w:r>
        <w:rPr>
          <w:w w:val="105"/>
          <w:sz w:val="21"/>
        </w:rPr>
        <w:t>fit </w:t>
      </w:r>
      <w:r>
        <w:rPr>
          <w:spacing w:val="-3"/>
          <w:w w:val="105"/>
          <w:sz w:val="21"/>
        </w:rPr>
        <w:t>within </w:t>
      </w:r>
      <w:r>
        <w:rPr>
          <w:w w:val="105"/>
          <w:sz w:val="21"/>
        </w:rPr>
        <w:t>the ambit of the new Act (see </w:t>
      </w:r>
      <w:r>
        <w:rPr>
          <w:spacing w:val="-4"/>
          <w:w w:val="105"/>
          <w:sz w:val="21"/>
        </w:rPr>
        <w:t>Chapter </w:t>
      </w:r>
      <w:r>
        <w:rPr>
          <w:w w:val="105"/>
          <w:sz w:val="21"/>
        </w:rPr>
        <w:t>5). In this </w:t>
      </w:r>
      <w:r>
        <w:rPr>
          <w:spacing w:val="-3"/>
          <w:w w:val="105"/>
          <w:sz w:val="21"/>
        </w:rPr>
        <w:t>situation </w:t>
      </w:r>
      <w:r>
        <w:rPr>
          <w:w w:val="105"/>
          <w:sz w:val="21"/>
        </w:rPr>
        <w:t>the affected </w:t>
      </w:r>
      <w:r>
        <w:rPr>
          <w:spacing w:val="-3"/>
          <w:w w:val="105"/>
          <w:sz w:val="21"/>
        </w:rPr>
        <w:t>neighbour </w:t>
      </w:r>
      <w:r>
        <w:rPr>
          <w:w w:val="105"/>
          <w:sz w:val="21"/>
        </w:rPr>
        <w:t>would need </w:t>
      </w:r>
      <w:r>
        <w:rPr>
          <w:spacing w:val="-3"/>
          <w:w w:val="105"/>
          <w:sz w:val="21"/>
        </w:rPr>
        <w:t>to </w:t>
      </w:r>
      <w:r>
        <w:rPr>
          <w:w w:val="105"/>
          <w:sz w:val="21"/>
        </w:rPr>
        <w:t>pursue an </w:t>
      </w:r>
      <w:r>
        <w:rPr>
          <w:spacing w:val="-3"/>
          <w:w w:val="105"/>
          <w:sz w:val="21"/>
        </w:rPr>
        <w:t>informal </w:t>
      </w:r>
      <w:r>
        <w:rPr>
          <w:w w:val="105"/>
          <w:sz w:val="21"/>
        </w:rPr>
        <w:t>remedy </w:t>
      </w:r>
      <w:r>
        <w:rPr>
          <w:spacing w:val="-3"/>
          <w:w w:val="105"/>
          <w:sz w:val="21"/>
        </w:rPr>
        <w:t>such </w:t>
      </w:r>
      <w:r>
        <w:rPr>
          <w:w w:val="105"/>
          <w:sz w:val="21"/>
        </w:rPr>
        <w:t>as </w:t>
      </w:r>
      <w:r>
        <w:rPr>
          <w:spacing w:val="-3"/>
          <w:w w:val="105"/>
          <w:sz w:val="21"/>
        </w:rPr>
        <w:t>alternative dispute </w:t>
      </w:r>
      <w:r>
        <w:rPr>
          <w:spacing w:val="-4"/>
          <w:w w:val="105"/>
          <w:sz w:val="21"/>
        </w:rPr>
        <w:t>resolution</w:t>
      </w:r>
      <w:r>
        <w:rPr>
          <w:spacing w:val="-4"/>
          <w:w w:val="105"/>
          <w:position w:val="7"/>
          <w:sz w:val="12"/>
        </w:rPr>
        <w:t>175 </w:t>
      </w:r>
      <w:r>
        <w:rPr>
          <w:w w:val="105"/>
          <w:sz w:val="21"/>
        </w:rPr>
        <w:t>or </w:t>
      </w:r>
      <w:r>
        <w:rPr>
          <w:spacing w:val="-3"/>
          <w:w w:val="105"/>
          <w:sz w:val="21"/>
        </w:rPr>
        <w:t>abatement </w:t>
      </w:r>
      <w:r>
        <w:rPr>
          <w:w w:val="105"/>
          <w:sz w:val="21"/>
        </w:rPr>
        <w:t>or </w:t>
      </w:r>
      <w:r>
        <w:rPr>
          <w:spacing w:val="-3"/>
          <w:w w:val="105"/>
          <w:sz w:val="21"/>
        </w:rPr>
        <w:t>bring </w:t>
      </w:r>
      <w:r>
        <w:rPr>
          <w:w w:val="105"/>
          <w:sz w:val="21"/>
        </w:rPr>
        <w:t>an action in </w:t>
      </w:r>
      <w:r>
        <w:rPr>
          <w:spacing w:val="-3"/>
          <w:w w:val="105"/>
          <w:sz w:val="21"/>
        </w:rPr>
        <w:t>nuisance </w:t>
      </w:r>
      <w:r>
        <w:rPr>
          <w:w w:val="105"/>
          <w:sz w:val="21"/>
        </w:rPr>
        <w:t>or </w:t>
      </w:r>
      <w:r>
        <w:rPr>
          <w:spacing w:val="-4"/>
          <w:w w:val="105"/>
          <w:sz w:val="21"/>
        </w:rPr>
        <w:t>negligence</w:t>
      </w:r>
      <w:r>
        <w:rPr>
          <w:spacing w:val="-4"/>
          <w:w w:val="105"/>
          <w:position w:val="7"/>
          <w:sz w:val="12"/>
        </w:rPr>
        <w:t>176 </w:t>
      </w:r>
      <w:r>
        <w:rPr>
          <w:w w:val="105"/>
          <w:sz w:val="21"/>
        </w:rPr>
        <w:t>at </w:t>
      </w:r>
      <w:r>
        <w:rPr>
          <w:spacing w:val="-2"/>
          <w:w w:val="105"/>
          <w:sz w:val="21"/>
        </w:rPr>
        <w:t>common</w:t>
      </w:r>
      <w:r>
        <w:rPr>
          <w:spacing w:val="37"/>
          <w:w w:val="105"/>
          <w:sz w:val="21"/>
        </w:rPr>
        <w:t> </w:t>
      </w:r>
      <w:r>
        <w:rPr>
          <w:spacing w:val="-5"/>
          <w:w w:val="105"/>
          <w:sz w:val="21"/>
        </w:rPr>
        <w:t>law.</w:t>
      </w:r>
    </w:p>
    <w:p>
      <w:pPr>
        <w:pStyle w:val="ListParagraph"/>
        <w:numPr>
          <w:ilvl w:val="1"/>
          <w:numId w:val="99"/>
        </w:numPr>
        <w:tabs>
          <w:tab w:pos="2381" w:val="left" w:leader="none"/>
          <w:tab w:pos="2382" w:val="left" w:leader="none"/>
        </w:tabs>
        <w:spacing w:line="242" w:lineRule="auto" w:before="127" w:after="0"/>
        <w:ind w:left="2381" w:right="1806" w:hanging="794"/>
        <w:jc w:val="left"/>
        <w:rPr>
          <w:sz w:val="21"/>
        </w:rPr>
      </w:pPr>
      <w:r>
        <w:rPr>
          <w:w w:val="105"/>
          <w:sz w:val="21"/>
        </w:rPr>
        <w:t>A </w:t>
      </w:r>
      <w:r>
        <w:rPr>
          <w:spacing w:val="-3"/>
          <w:w w:val="105"/>
          <w:sz w:val="21"/>
        </w:rPr>
        <w:t>formal branch removal notice </w:t>
      </w:r>
      <w:r>
        <w:rPr>
          <w:w w:val="105"/>
          <w:sz w:val="21"/>
        </w:rPr>
        <w:t>process would </w:t>
      </w:r>
      <w:r>
        <w:rPr>
          <w:spacing w:val="-3"/>
          <w:w w:val="105"/>
          <w:sz w:val="21"/>
        </w:rPr>
        <w:t>facilitate communication </w:t>
      </w:r>
      <w:r>
        <w:rPr>
          <w:w w:val="105"/>
          <w:sz w:val="21"/>
        </w:rPr>
        <w:t>between parties by setting out </w:t>
      </w:r>
      <w:r>
        <w:rPr>
          <w:spacing w:val="-3"/>
          <w:w w:val="105"/>
          <w:sz w:val="21"/>
        </w:rPr>
        <w:t>clear procedural </w:t>
      </w:r>
      <w:r>
        <w:rPr>
          <w:w w:val="105"/>
          <w:sz w:val="21"/>
        </w:rPr>
        <w:t>steps </w:t>
      </w:r>
      <w:r>
        <w:rPr>
          <w:spacing w:val="-3"/>
          <w:w w:val="105"/>
          <w:sz w:val="21"/>
        </w:rPr>
        <w:t>that </w:t>
      </w:r>
      <w:r>
        <w:rPr>
          <w:w w:val="105"/>
          <w:sz w:val="21"/>
        </w:rPr>
        <w:t>neighbours </w:t>
      </w:r>
      <w:r>
        <w:rPr>
          <w:spacing w:val="-3"/>
          <w:w w:val="105"/>
          <w:sz w:val="21"/>
        </w:rPr>
        <w:t>are required to follow to </w:t>
      </w:r>
      <w:r>
        <w:rPr>
          <w:w w:val="105"/>
          <w:sz w:val="21"/>
        </w:rPr>
        <w:t>address</w:t>
      </w:r>
      <w:r>
        <w:rPr>
          <w:spacing w:val="-6"/>
          <w:w w:val="105"/>
          <w:sz w:val="21"/>
        </w:rPr>
        <w:t> </w:t>
      </w:r>
      <w:r>
        <w:rPr>
          <w:spacing w:val="-3"/>
          <w:w w:val="105"/>
          <w:sz w:val="21"/>
        </w:rPr>
        <w:t>concerns.</w:t>
      </w:r>
      <w:r>
        <w:rPr>
          <w:spacing w:val="-6"/>
          <w:w w:val="105"/>
          <w:sz w:val="21"/>
        </w:rPr>
        <w:t> </w:t>
      </w:r>
      <w:r>
        <w:rPr>
          <w:w w:val="105"/>
          <w:sz w:val="21"/>
        </w:rPr>
        <w:t>It</w:t>
      </w:r>
      <w:r>
        <w:rPr>
          <w:spacing w:val="-6"/>
          <w:w w:val="105"/>
          <w:sz w:val="21"/>
        </w:rPr>
        <w:t> </w:t>
      </w:r>
      <w:r>
        <w:rPr>
          <w:w w:val="105"/>
          <w:sz w:val="21"/>
        </w:rPr>
        <w:t>would</w:t>
      </w:r>
      <w:r>
        <w:rPr>
          <w:spacing w:val="-5"/>
          <w:w w:val="105"/>
          <w:sz w:val="21"/>
        </w:rPr>
        <w:t> </w:t>
      </w:r>
      <w:r>
        <w:rPr>
          <w:w w:val="105"/>
          <w:sz w:val="21"/>
        </w:rPr>
        <w:t>also</w:t>
      </w:r>
      <w:r>
        <w:rPr>
          <w:spacing w:val="-6"/>
          <w:w w:val="105"/>
          <w:sz w:val="21"/>
        </w:rPr>
        <w:t> </w:t>
      </w:r>
      <w:r>
        <w:rPr>
          <w:w w:val="105"/>
          <w:sz w:val="21"/>
        </w:rPr>
        <w:t>put</w:t>
      </w:r>
      <w:r>
        <w:rPr>
          <w:spacing w:val="-6"/>
          <w:w w:val="105"/>
          <w:sz w:val="21"/>
        </w:rPr>
        <w:t> </w:t>
      </w:r>
      <w:r>
        <w:rPr>
          <w:w w:val="105"/>
          <w:sz w:val="21"/>
        </w:rPr>
        <w:t>the</w:t>
      </w:r>
      <w:r>
        <w:rPr>
          <w:spacing w:val="-5"/>
          <w:w w:val="105"/>
          <w:sz w:val="21"/>
        </w:rPr>
        <w:t> </w:t>
      </w:r>
      <w:r>
        <w:rPr>
          <w:w w:val="105"/>
          <w:sz w:val="21"/>
        </w:rPr>
        <w:t>tree</w:t>
      </w:r>
      <w:r>
        <w:rPr>
          <w:spacing w:val="-6"/>
          <w:w w:val="105"/>
          <w:sz w:val="21"/>
        </w:rPr>
        <w:t> </w:t>
      </w:r>
      <w:r>
        <w:rPr>
          <w:w w:val="105"/>
          <w:sz w:val="21"/>
        </w:rPr>
        <w:t>owner</w:t>
      </w:r>
      <w:r>
        <w:rPr>
          <w:spacing w:val="-6"/>
          <w:w w:val="105"/>
          <w:sz w:val="21"/>
        </w:rPr>
        <w:t> </w:t>
      </w:r>
      <w:r>
        <w:rPr>
          <w:w w:val="105"/>
          <w:sz w:val="21"/>
        </w:rPr>
        <w:t>on</w:t>
      </w:r>
      <w:r>
        <w:rPr>
          <w:spacing w:val="-5"/>
          <w:w w:val="105"/>
          <w:sz w:val="21"/>
        </w:rPr>
        <w:t> </w:t>
      </w:r>
      <w:r>
        <w:rPr>
          <w:spacing w:val="-3"/>
          <w:w w:val="105"/>
          <w:sz w:val="21"/>
        </w:rPr>
        <w:t>notice</w:t>
      </w:r>
      <w:r>
        <w:rPr>
          <w:spacing w:val="-6"/>
          <w:w w:val="105"/>
          <w:sz w:val="21"/>
        </w:rPr>
        <w:t> </w:t>
      </w:r>
      <w:r>
        <w:rPr>
          <w:w w:val="105"/>
          <w:sz w:val="21"/>
        </w:rPr>
        <w:t>and</w:t>
      </w:r>
      <w:r>
        <w:rPr>
          <w:spacing w:val="-6"/>
          <w:w w:val="105"/>
          <w:sz w:val="21"/>
        </w:rPr>
        <w:t> </w:t>
      </w:r>
      <w:r>
        <w:rPr>
          <w:spacing w:val="-3"/>
          <w:w w:val="105"/>
          <w:sz w:val="21"/>
        </w:rPr>
        <w:t>may</w:t>
      </w:r>
      <w:r>
        <w:rPr>
          <w:spacing w:val="-5"/>
          <w:w w:val="105"/>
          <w:sz w:val="21"/>
        </w:rPr>
        <w:t> </w:t>
      </w:r>
      <w:r>
        <w:rPr>
          <w:w w:val="105"/>
          <w:sz w:val="21"/>
        </w:rPr>
        <w:t>assist</w:t>
      </w:r>
      <w:r>
        <w:rPr>
          <w:spacing w:val="-6"/>
          <w:w w:val="105"/>
          <w:sz w:val="21"/>
        </w:rPr>
        <w:t> </w:t>
      </w:r>
      <w:r>
        <w:rPr>
          <w:w w:val="105"/>
          <w:sz w:val="21"/>
        </w:rPr>
        <w:t>in</w:t>
      </w:r>
      <w:r>
        <w:rPr>
          <w:spacing w:val="-6"/>
          <w:w w:val="105"/>
          <w:sz w:val="21"/>
        </w:rPr>
        <w:t> </w:t>
      </w:r>
      <w:r>
        <w:rPr>
          <w:spacing w:val="-3"/>
          <w:w w:val="105"/>
          <w:sz w:val="21"/>
        </w:rPr>
        <w:t>breaking </w:t>
      </w:r>
      <w:r>
        <w:rPr>
          <w:w w:val="105"/>
          <w:sz w:val="21"/>
        </w:rPr>
        <w:t>a negotiation </w:t>
      </w:r>
      <w:r>
        <w:rPr>
          <w:spacing w:val="-3"/>
          <w:w w:val="105"/>
          <w:sz w:val="21"/>
        </w:rPr>
        <w:t>stalemate, </w:t>
      </w:r>
      <w:r>
        <w:rPr>
          <w:w w:val="105"/>
          <w:sz w:val="21"/>
        </w:rPr>
        <w:t>especially where a tree owner is </w:t>
      </w:r>
      <w:r>
        <w:rPr>
          <w:spacing w:val="-3"/>
          <w:w w:val="105"/>
          <w:sz w:val="21"/>
        </w:rPr>
        <w:t>uncooperative. During </w:t>
      </w:r>
      <w:r>
        <w:rPr>
          <w:w w:val="105"/>
          <w:sz w:val="21"/>
        </w:rPr>
        <w:t>the parliamentary</w:t>
      </w:r>
      <w:r>
        <w:rPr>
          <w:spacing w:val="-8"/>
          <w:w w:val="105"/>
          <w:sz w:val="21"/>
        </w:rPr>
        <w:t> </w:t>
      </w:r>
      <w:r>
        <w:rPr>
          <w:w w:val="105"/>
          <w:sz w:val="21"/>
        </w:rPr>
        <w:t>debates</w:t>
      </w:r>
      <w:r>
        <w:rPr>
          <w:spacing w:val="-7"/>
          <w:w w:val="105"/>
          <w:sz w:val="21"/>
        </w:rPr>
        <w:t> </w:t>
      </w:r>
      <w:r>
        <w:rPr>
          <w:spacing w:val="-3"/>
          <w:w w:val="105"/>
          <w:sz w:val="21"/>
        </w:rPr>
        <w:t>for</w:t>
      </w:r>
      <w:r>
        <w:rPr>
          <w:spacing w:val="-7"/>
          <w:w w:val="105"/>
          <w:sz w:val="21"/>
        </w:rPr>
        <w:t> </w:t>
      </w:r>
      <w:r>
        <w:rPr>
          <w:w w:val="105"/>
          <w:sz w:val="21"/>
        </w:rPr>
        <w:t>the</w:t>
      </w:r>
      <w:r>
        <w:rPr>
          <w:spacing w:val="-8"/>
          <w:w w:val="105"/>
          <w:sz w:val="21"/>
        </w:rPr>
        <w:t> </w:t>
      </w:r>
      <w:r>
        <w:rPr>
          <w:w w:val="105"/>
          <w:sz w:val="21"/>
        </w:rPr>
        <w:t>Neighbourhood</w:t>
      </w:r>
      <w:r>
        <w:rPr>
          <w:spacing w:val="-7"/>
          <w:w w:val="105"/>
          <w:sz w:val="21"/>
        </w:rPr>
        <w:t> </w:t>
      </w:r>
      <w:r>
        <w:rPr>
          <w:spacing w:val="-3"/>
          <w:w w:val="105"/>
          <w:sz w:val="21"/>
        </w:rPr>
        <w:t>Disputes</w:t>
      </w:r>
      <w:r>
        <w:rPr>
          <w:spacing w:val="-7"/>
          <w:w w:val="105"/>
          <w:sz w:val="21"/>
        </w:rPr>
        <w:t> </w:t>
      </w:r>
      <w:r>
        <w:rPr>
          <w:w w:val="105"/>
          <w:sz w:val="21"/>
        </w:rPr>
        <w:t>Resolution</w:t>
      </w:r>
      <w:r>
        <w:rPr>
          <w:spacing w:val="-8"/>
          <w:w w:val="105"/>
          <w:sz w:val="21"/>
        </w:rPr>
        <w:t> </w:t>
      </w:r>
      <w:r>
        <w:rPr>
          <w:spacing w:val="-3"/>
          <w:w w:val="105"/>
          <w:sz w:val="21"/>
        </w:rPr>
        <w:t>Bill</w:t>
      </w:r>
      <w:r>
        <w:rPr>
          <w:spacing w:val="-7"/>
          <w:w w:val="105"/>
          <w:sz w:val="21"/>
        </w:rPr>
        <w:t> 2010 </w:t>
      </w:r>
      <w:r>
        <w:rPr>
          <w:w w:val="105"/>
          <w:sz w:val="21"/>
        </w:rPr>
        <w:t>(Qld),</w:t>
      </w:r>
      <w:r>
        <w:rPr>
          <w:spacing w:val="-8"/>
          <w:w w:val="105"/>
          <w:sz w:val="21"/>
        </w:rPr>
        <w:t> </w:t>
      </w:r>
      <w:r>
        <w:rPr>
          <w:w w:val="105"/>
          <w:sz w:val="21"/>
        </w:rPr>
        <w:t>the</w:t>
      </w:r>
    </w:p>
    <w:p>
      <w:pPr>
        <w:pStyle w:val="BodyText"/>
        <w:spacing w:line="242" w:lineRule="auto" w:before="5"/>
        <w:ind w:left="2381" w:right="1586"/>
        <w:rPr>
          <w:sz w:val="12"/>
        </w:rPr>
      </w:pPr>
      <w:r>
        <w:rPr>
          <w:w w:val="105"/>
        </w:rPr>
        <w:t>Attorney-General of </w:t>
      </w:r>
      <w:r>
        <w:rPr>
          <w:spacing w:val="-3"/>
          <w:w w:val="105"/>
        </w:rPr>
        <w:t>Queensland noted that </w:t>
      </w:r>
      <w:r>
        <w:rPr>
          <w:w w:val="105"/>
        </w:rPr>
        <w:t>a </w:t>
      </w:r>
      <w:r>
        <w:rPr>
          <w:spacing w:val="-3"/>
          <w:w w:val="105"/>
        </w:rPr>
        <w:t>branch removal </w:t>
      </w:r>
      <w:r>
        <w:rPr>
          <w:w w:val="105"/>
        </w:rPr>
        <w:t>process </w:t>
      </w:r>
      <w:r>
        <w:rPr>
          <w:spacing w:val="-3"/>
          <w:w w:val="105"/>
        </w:rPr>
        <w:t>may </w:t>
      </w:r>
      <w:r>
        <w:rPr>
          <w:w w:val="105"/>
        </w:rPr>
        <w:t>be particularly beneficial </w:t>
      </w:r>
      <w:r>
        <w:rPr>
          <w:spacing w:val="-3"/>
          <w:w w:val="105"/>
        </w:rPr>
        <w:t>to </w:t>
      </w:r>
      <w:r>
        <w:rPr>
          <w:w w:val="105"/>
        </w:rPr>
        <w:t>people who </w:t>
      </w:r>
      <w:r>
        <w:rPr>
          <w:spacing w:val="-3"/>
          <w:w w:val="105"/>
        </w:rPr>
        <w:t>cannot exercise </w:t>
      </w:r>
      <w:r>
        <w:rPr>
          <w:w w:val="105"/>
        </w:rPr>
        <w:t>their </w:t>
      </w:r>
      <w:r>
        <w:rPr>
          <w:spacing w:val="-3"/>
          <w:w w:val="105"/>
        </w:rPr>
        <w:t>right to abate for </w:t>
      </w:r>
      <w:r>
        <w:rPr>
          <w:w w:val="105"/>
        </w:rPr>
        <w:t>physical or </w:t>
      </w:r>
      <w:r>
        <w:rPr>
          <w:spacing w:val="-3"/>
          <w:w w:val="105"/>
        </w:rPr>
        <w:t>financial </w:t>
      </w:r>
      <w:r>
        <w:rPr>
          <w:spacing w:val="-4"/>
          <w:w w:val="105"/>
        </w:rPr>
        <w:t>reasons.</w:t>
      </w:r>
      <w:r>
        <w:rPr>
          <w:spacing w:val="-4"/>
          <w:w w:val="105"/>
          <w:position w:val="7"/>
          <w:sz w:val="12"/>
        </w:rPr>
        <w:t>177</w:t>
      </w:r>
    </w:p>
    <w:p>
      <w:pPr>
        <w:pStyle w:val="ListParagraph"/>
        <w:numPr>
          <w:ilvl w:val="1"/>
          <w:numId w:val="99"/>
        </w:numPr>
        <w:tabs>
          <w:tab w:pos="2381" w:val="left" w:leader="none"/>
          <w:tab w:pos="2382" w:val="left" w:leader="none"/>
        </w:tabs>
        <w:spacing w:line="242" w:lineRule="auto" w:before="124" w:after="0"/>
        <w:ind w:left="2381" w:right="1620" w:hanging="794"/>
        <w:jc w:val="left"/>
        <w:rPr>
          <w:sz w:val="21"/>
        </w:rPr>
      </w:pPr>
      <w:r>
        <w:rPr>
          <w:sz w:val="21"/>
        </w:rPr>
        <w:t>A </w:t>
      </w:r>
      <w:r>
        <w:rPr>
          <w:spacing w:val="-3"/>
          <w:sz w:val="21"/>
        </w:rPr>
        <w:t>branch removal notice </w:t>
      </w:r>
      <w:r>
        <w:rPr>
          <w:sz w:val="21"/>
        </w:rPr>
        <w:t>would also address community </w:t>
      </w:r>
      <w:r>
        <w:rPr>
          <w:spacing w:val="-3"/>
          <w:sz w:val="21"/>
        </w:rPr>
        <w:t>concerns </w:t>
      </w:r>
      <w:r>
        <w:rPr>
          <w:sz w:val="21"/>
        </w:rPr>
        <w:t>about the </w:t>
      </w:r>
      <w:r>
        <w:rPr>
          <w:spacing w:val="-3"/>
          <w:sz w:val="21"/>
        </w:rPr>
        <w:t>imbalance </w:t>
      </w:r>
      <w:r>
        <w:rPr>
          <w:sz w:val="21"/>
        </w:rPr>
        <w:t>of rights between the tree owner and affected </w:t>
      </w:r>
      <w:r>
        <w:rPr>
          <w:spacing w:val="-4"/>
          <w:sz w:val="21"/>
        </w:rPr>
        <w:t>neighbour. </w:t>
      </w:r>
      <w:r>
        <w:rPr>
          <w:sz w:val="21"/>
        </w:rPr>
        <w:t>The </w:t>
      </w:r>
      <w:r>
        <w:rPr>
          <w:spacing w:val="-3"/>
          <w:sz w:val="21"/>
        </w:rPr>
        <w:t>notice </w:t>
      </w:r>
      <w:r>
        <w:rPr>
          <w:sz w:val="21"/>
        </w:rPr>
        <w:t>would </w:t>
      </w:r>
      <w:r>
        <w:rPr>
          <w:spacing w:val="-3"/>
          <w:sz w:val="21"/>
        </w:rPr>
        <w:t>formally </w:t>
      </w:r>
      <w:r>
        <w:rPr>
          <w:sz w:val="21"/>
        </w:rPr>
        <w:t>shift </w:t>
      </w:r>
      <w:r>
        <w:rPr>
          <w:spacing w:val="-3"/>
          <w:sz w:val="21"/>
        </w:rPr>
        <w:t>responsibility for pruning </w:t>
      </w:r>
      <w:r>
        <w:rPr>
          <w:sz w:val="21"/>
        </w:rPr>
        <w:t>or </w:t>
      </w:r>
      <w:r>
        <w:rPr>
          <w:spacing w:val="-3"/>
          <w:sz w:val="21"/>
        </w:rPr>
        <w:t>removing  overhanging  branches  from  </w:t>
      </w:r>
      <w:r>
        <w:rPr>
          <w:sz w:val="21"/>
        </w:rPr>
        <w:t>the  affected  </w:t>
      </w:r>
      <w:r>
        <w:rPr>
          <w:spacing w:val="-3"/>
          <w:sz w:val="21"/>
        </w:rPr>
        <w:t>neighbour to </w:t>
      </w:r>
      <w:r>
        <w:rPr>
          <w:sz w:val="21"/>
        </w:rPr>
        <w:t>the tree </w:t>
      </w:r>
      <w:r>
        <w:rPr>
          <w:spacing w:val="-4"/>
          <w:sz w:val="21"/>
        </w:rPr>
        <w:t>owner, </w:t>
      </w:r>
      <w:r>
        <w:rPr>
          <w:sz w:val="21"/>
        </w:rPr>
        <w:t>subject </w:t>
      </w:r>
      <w:r>
        <w:rPr>
          <w:spacing w:val="-3"/>
          <w:sz w:val="21"/>
        </w:rPr>
        <w:t>to </w:t>
      </w:r>
      <w:r>
        <w:rPr>
          <w:sz w:val="21"/>
        </w:rPr>
        <w:t>the </w:t>
      </w:r>
      <w:r>
        <w:rPr>
          <w:spacing w:val="-3"/>
          <w:sz w:val="21"/>
        </w:rPr>
        <w:t>limitation that </w:t>
      </w:r>
      <w:r>
        <w:rPr>
          <w:sz w:val="21"/>
        </w:rPr>
        <w:t>the scheme would only apply </w:t>
      </w:r>
      <w:r>
        <w:rPr>
          <w:spacing w:val="-3"/>
          <w:sz w:val="21"/>
        </w:rPr>
        <w:t>to </w:t>
      </w:r>
      <w:r>
        <w:rPr>
          <w:sz w:val="21"/>
        </w:rPr>
        <w:t>particular </w:t>
      </w:r>
      <w:r>
        <w:rPr>
          <w:spacing w:val="-3"/>
          <w:sz w:val="21"/>
        </w:rPr>
        <w:t>branches </w:t>
      </w:r>
      <w:r>
        <w:rPr>
          <w:sz w:val="21"/>
        </w:rPr>
        <w:t>in </w:t>
      </w:r>
      <w:r>
        <w:rPr>
          <w:spacing w:val="-3"/>
          <w:sz w:val="21"/>
        </w:rPr>
        <w:t>‘high </w:t>
      </w:r>
      <w:r>
        <w:rPr>
          <w:sz w:val="21"/>
        </w:rPr>
        <w:t>traffic’ </w:t>
      </w:r>
      <w:r>
        <w:rPr>
          <w:spacing w:val="-3"/>
          <w:sz w:val="21"/>
        </w:rPr>
        <w:t>areas. </w:t>
      </w:r>
      <w:r>
        <w:rPr>
          <w:sz w:val="21"/>
        </w:rPr>
        <w:t>Where the tree owner does </w:t>
      </w:r>
      <w:r>
        <w:rPr>
          <w:spacing w:val="-2"/>
          <w:sz w:val="21"/>
        </w:rPr>
        <w:t>not </w:t>
      </w:r>
      <w:r>
        <w:rPr>
          <w:spacing w:val="-4"/>
          <w:sz w:val="21"/>
        </w:rPr>
        <w:t>comply, </w:t>
      </w:r>
      <w:r>
        <w:rPr>
          <w:sz w:val="21"/>
        </w:rPr>
        <w:t>a</w:t>
      </w:r>
      <w:r>
        <w:rPr>
          <w:spacing w:val="44"/>
          <w:sz w:val="21"/>
        </w:rPr>
        <w:t> </w:t>
      </w:r>
      <w:r>
        <w:rPr>
          <w:spacing w:val="-3"/>
          <w:sz w:val="21"/>
        </w:rPr>
        <w:t>limited right</w:t>
      </w:r>
    </w:p>
    <w:p>
      <w:pPr>
        <w:pStyle w:val="BodyText"/>
        <w:spacing w:line="242" w:lineRule="auto" w:before="5"/>
        <w:ind w:left="2381" w:right="1815"/>
        <w:jc w:val="both"/>
      </w:pPr>
      <w:r>
        <w:rPr>
          <w:spacing w:val="-3"/>
          <w:w w:val="105"/>
        </w:rPr>
        <w:t>to recoup </w:t>
      </w:r>
      <w:r>
        <w:rPr>
          <w:w w:val="105"/>
        </w:rPr>
        <w:t>the costs of tree works </w:t>
      </w:r>
      <w:r>
        <w:rPr>
          <w:spacing w:val="-3"/>
          <w:w w:val="105"/>
        </w:rPr>
        <w:t>arranged </w:t>
      </w:r>
      <w:r>
        <w:rPr>
          <w:w w:val="105"/>
        </w:rPr>
        <w:t>by the affected </w:t>
      </w:r>
      <w:r>
        <w:rPr>
          <w:spacing w:val="-3"/>
          <w:w w:val="105"/>
        </w:rPr>
        <w:t>neighbour </w:t>
      </w:r>
      <w:r>
        <w:rPr>
          <w:w w:val="105"/>
        </w:rPr>
        <w:t>up </w:t>
      </w:r>
      <w:r>
        <w:rPr>
          <w:spacing w:val="-3"/>
          <w:w w:val="105"/>
        </w:rPr>
        <w:t>to </w:t>
      </w:r>
      <w:r>
        <w:rPr>
          <w:w w:val="105"/>
        </w:rPr>
        <w:t>a statutory </w:t>
      </w:r>
      <w:r>
        <w:rPr>
          <w:spacing w:val="-3"/>
          <w:w w:val="105"/>
        </w:rPr>
        <w:t>limit, </w:t>
      </w:r>
      <w:r>
        <w:rPr>
          <w:w w:val="105"/>
        </w:rPr>
        <w:t>as occurs in </w:t>
      </w:r>
      <w:r>
        <w:rPr>
          <w:spacing w:val="-3"/>
          <w:w w:val="105"/>
        </w:rPr>
        <w:t>Queensland, may </w:t>
      </w:r>
      <w:r>
        <w:rPr>
          <w:w w:val="105"/>
        </w:rPr>
        <w:t>help </w:t>
      </w:r>
      <w:r>
        <w:rPr>
          <w:spacing w:val="-3"/>
          <w:w w:val="105"/>
        </w:rPr>
        <w:t>reduce </w:t>
      </w:r>
      <w:r>
        <w:rPr>
          <w:w w:val="105"/>
        </w:rPr>
        <w:t>a proportion of the </w:t>
      </w:r>
      <w:r>
        <w:rPr>
          <w:spacing w:val="-3"/>
          <w:w w:val="105"/>
        </w:rPr>
        <w:t>financial </w:t>
      </w:r>
      <w:r>
        <w:rPr>
          <w:w w:val="105"/>
        </w:rPr>
        <w:t>burden on affected</w:t>
      </w:r>
      <w:r>
        <w:rPr>
          <w:spacing w:val="-9"/>
          <w:w w:val="105"/>
        </w:rPr>
        <w:t> </w:t>
      </w:r>
      <w:r>
        <w:rPr>
          <w:w w:val="105"/>
        </w:rPr>
        <w:t>neighbours.</w:t>
      </w:r>
      <w:r>
        <w:rPr>
          <w:spacing w:val="-8"/>
          <w:w w:val="105"/>
        </w:rPr>
        <w:t> </w:t>
      </w:r>
      <w:r>
        <w:rPr>
          <w:w w:val="105"/>
        </w:rPr>
        <w:t>It</w:t>
      </w:r>
      <w:r>
        <w:rPr>
          <w:spacing w:val="-8"/>
          <w:w w:val="105"/>
        </w:rPr>
        <w:t> </w:t>
      </w:r>
      <w:r>
        <w:rPr>
          <w:spacing w:val="-3"/>
          <w:w w:val="105"/>
        </w:rPr>
        <w:t>may</w:t>
      </w:r>
      <w:r>
        <w:rPr>
          <w:spacing w:val="-8"/>
          <w:w w:val="105"/>
        </w:rPr>
        <w:t> </w:t>
      </w:r>
      <w:r>
        <w:rPr>
          <w:w w:val="105"/>
        </w:rPr>
        <w:t>also</w:t>
      </w:r>
      <w:r>
        <w:rPr>
          <w:spacing w:val="-8"/>
          <w:w w:val="105"/>
        </w:rPr>
        <w:t> </w:t>
      </w:r>
      <w:r>
        <w:rPr>
          <w:w w:val="105"/>
        </w:rPr>
        <w:t>provide</w:t>
      </w:r>
      <w:r>
        <w:rPr>
          <w:spacing w:val="-8"/>
          <w:w w:val="105"/>
        </w:rPr>
        <w:t> </w:t>
      </w:r>
      <w:r>
        <w:rPr>
          <w:w w:val="105"/>
        </w:rPr>
        <w:t>a</w:t>
      </w:r>
      <w:r>
        <w:rPr>
          <w:spacing w:val="-8"/>
          <w:w w:val="105"/>
        </w:rPr>
        <w:t> </w:t>
      </w:r>
      <w:r>
        <w:rPr>
          <w:spacing w:val="-3"/>
          <w:w w:val="105"/>
        </w:rPr>
        <w:t>financial</w:t>
      </w:r>
      <w:r>
        <w:rPr>
          <w:spacing w:val="-8"/>
          <w:w w:val="105"/>
        </w:rPr>
        <w:t> </w:t>
      </w:r>
      <w:r>
        <w:rPr>
          <w:spacing w:val="-3"/>
          <w:w w:val="105"/>
        </w:rPr>
        <w:t>incentive</w:t>
      </w:r>
      <w:r>
        <w:rPr>
          <w:spacing w:val="-8"/>
          <w:w w:val="105"/>
        </w:rPr>
        <w:t> </w:t>
      </w:r>
      <w:r>
        <w:rPr>
          <w:spacing w:val="-3"/>
          <w:w w:val="105"/>
        </w:rPr>
        <w:t>to</w:t>
      </w:r>
      <w:r>
        <w:rPr>
          <w:spacing w:val="-8"/>
          <w:w w:val="105"/>
        </w:rPr>
        <w:t> </w:t>
      </w:r>
      <w:r>
        <w:rPr>
          <w:w w:val="105"/>
        </w:rPr>
        <w:t>a</w:t>
      </w:r>
      <w:r>
        <w:rPr>
          <w:spacing w:val="-8"/>
          <w:w w:val="105"/>
        </w:rPr>
        <w:t> </w:t>
      </w:r>
      <w:r>
        <w:rPr>
          <w:w w:val="105"/>
        </w:rPr>
        <w:t>tree</w:t>
      </w:r>
      <w:r>
        <w:rPr>
          <w:spacing w:val="-8"/>
          <w:w w:val="105"/>
        </w:rPr>
        <w:t> </w:t>
      </w:r>
      <w:r>
        <w:rPr>
          <w:w w:val="105"/>
        </w:rPr>
        <w:t>owner</w:t>
      </w:r>
      <w:r>
        <w:rPr>
          <w:spacing w:val="-9"/>
          <w:w w:val="105"/>
        </w:rPr>
        <w:t> </w:t>
      </w:r>
      <w:r>
        <w:rPr>
          <w:spacing w:val="-3"/>
          <w:w w:val="105"/>
        </w:rPr>
        <w:t>to</w:t>
      </w:r>
      <w:r>
        <w:rPr>
          <w:spacing w:val="-8"/>
          <w:w w:val="105"/>
        </w:rPr>
        <w:t> </w:t>
      </w:r>
      <w:r>
        <w:rPr>
          <w:w w:val="105"/>
        </w:rPr>
        <w:t>address their </w:t>
      </w:r>
      <w:r>
        <w:rPr>
          <w:spacing w:val="-3"/>
          <w:w w:val="105"/>
        </w:rPr>
        <w:t>neighbour’s</w:t>
      </w:r>
      <w:r>
        <w:rPr>
          <w:spacing w:val="10"/>
          <w:w w:val="105"/>
        </w:rPr>
        <w:t> </w:t>
      </w:r>
      <w:r>
        <w:rPr>
          <w:spacing w:val="-3"/>
          <w:w w:val="105"/>
        </w:rPr>
        <w:t>concerns.</w:t>
      </w:r>
    </w:p>
    <w:p>
      <w:pPr>
        <w:pStyle w:val="BodyText"/>
        <w:rPr>
          <w:sz w:val="20"/>
        </w:rPr>
      </w:pPr>
    </w:p>
    <w:p>
      <w:pPr>
        <w:pStyle w:val="BodyText"/>
        <w:spacing w:before="7"/>
        <w:rPr>
          <w:sz w:val="26"/>
        </w:rPr>
      </w:pPr>
      <w:r>
        <w:rPr/>
        <w:pict>
          <v:line style="position:absolute;mso-position-horizontal-relative:page;mso-position-vertical-relative:paragraph;z-index:6296;mso-wrap-distance-left:0;mso-wrap-distance-right:0" from="79.370102pt,18.715401pt" to="515.905102pt,18.715401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27"/>
        </w:rPr>
      </w:pPr>
    </w:p>
    <w:p>
      <w:pPr>
        <w:spacing w:before="0"/>
        <w:ind w:left="720" w:right="0" w:firstLine="0"/>
        <w:jc w:val="left"/>
        <w:rPr>
          <w:b/>
          <w:sz w:val="24"/>
        </w:rPr>
      </w:pPr>
      <w:r>
        <w:rPr>
          <w:b/>
          <w:color w:val="658464"/>
          <w:spacing w:val="-3"/>
          <w:w w:val="110"/>
          <w:sz w:val="24"/>
        </w:rPr>
        <w:t>130</w:t>
      </w:r>
    </w:p>
    <w:p>
      <w:pPr>
        <w:pStyle w:val="ListParagraph"/>
        <w:numPr>
          <w:ilvl w:val="0"/>
          <w:numId w:val="106"/>
        </w:numPr>
        <w:tabs>
          <w:tab w:pos="1229" w:val="left" w:leader="none"/>
          <w:tab w:pos="1230" w:val="left" w:leader="none"/>
        </w:tabs>
        <w:spacing w:line="240" w:lineRule="auto" w:before="48" w:after="0"/>
        <w:ind w:left="1229" w:right="0" w:hanging="794"/>
        <w:jc w:val="left"/>
        <w:rPr>
          <w:sz w:val="13"/>
        </w:rPr>
      </w:pPr>
      <w:r>
        <w:rPr>
          <w:spacing w:val="-3"/>
          <w:w w:val="125"/>
          <w:sz w:val="13"/>
        </w:rPr>
        <w:br w:type="column"/>
      </w: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106"/>
        </w:numPr>
        <w:tabs>
          <w:tab w:pos="1229" w:val="left" w:leader="none"/>
          <w:tab w:pos="1230" w:val="left" w:leader="none"/>
        </w:tabs>
        <w:spacing w:line="240" w:lineRule="auto" w:before="1" w:after="0"/>
        <w:ind w:left="1229" w:right="2046" w:hanging="794"/>
        <w:jc w:val="left"/>
        <w:rPr>
          <w:sz w:val="13"/>
        </w:rPr>
      </w:pPr>
      <w:r>
        <w:rPr>
          <w:w w:val="105"/>
          <w:sz w:val="13"/>
        </w:rPr>
        <w:t>Submission 23 </w:t>
      </w:r>
      <w:r>
        <w:rPr>
          <w:spacing w:val="2"/>
          <w:w w:val="105"/>
          <w:sz w:val="13"/>
        </w:rPr>
        <w:t>(Name </w:t>
      </w:r>
      <w:r>
        <w:rPr>
          <w:w w:val="105"/>
          <w:sz w:val="13"/>
        </w:rPr>
        <w:t>withheld); Consultations 4 (Participants in facilitated discussion at </w:t>
      </w:r>
      <w:r>
        <w:rPr>
          <w:spacing w:val="4"/>
          <w:w w:val="105"/>
          <w:sz w:val="13"/>
        </w:rPr>
        <w:t>VTIO </w:t>
      </w:r>
      <w:r>
        <w:rPr>
          <w:w w:val="105"/>
          <w:sz w:val="13"/>
        </w:rPr>
        <w:t>ArborCamp2018), 10 </w:t>
      </w:r>
      <w:r>
        <w:rPr>
          <w:spacing w:val="2"/>
          <w:w w:val="105"/>
          <w:sz w:val="13"/>
        </w:rPr>
        <w:t>(Baw </w:t>
      </w:r>
      <w:r>
        <w:rPr>
          <w:w w:val="105"/>
          <w:sz w:val="13"/>
        </w:rPr>
        <w:t>Baw Shire Council), </w:t>
      </w:r>
      <w:r>
        <w:rPr>
          <w:spacing w:val="-4"/>
          <w:w w:val="105"/>
          <w:sz w:val="13"/>
        </w:rPr>
        <w:t>12 </w:t>
      </w:r>
      <w:r>
        <w:rPr>
          <w:w w:val="105"/>
          <w:sz w:val="13"/>
        </w:rPr>
        <w:t>(City of Port Phillip).</w:t>
      </w:r>
    </w:p>
    <w:p>
      <w:pPr>
        <w:pStyle w:val="ListParagraph"/>
        <w:numPr>
          <w:ilvl w:val="0"/>
          <w:numId w:val="106"/>
        </w:numPr>
        <w:tabs>
          <w:tab w:pos="1229" w:val="left" w:leader="none"/>
          <w:tab w:pos="1230" w:val="left" w:leader="none"/>
        </w:tabs>
        <w:spacing w:line="240" w:lineRule="auto" w:before="3" w:after="0"/>
        <w:ind w:left="1229" w:right="0" w:hanging="794"/>
        <w:jc w:val="left"/>
        <w:rPr>
          <w:sz w:val="13"/>
        </w:rPr>
      </w:pPr>
      <w:r>
        <w:rPr>
          <w:w w:val="105"/>
          <w:sz w:val="13"/>
        </w:rPr>
        <w:t>Consultations 9 (Nillumbik Shire Council), </w:t>
      </w:r>
      <w:r>
        <w:rPr>
          <w:spacing w:val="-3"/>
          <w:w w:val="105"/>
          <w:sz w:val="13"/>
        </w:rPr>
        <w:t>14 </w:t>
      </w:r>
      <w:r>
        <w:rPr>
          <w:spacing w:val="2"/>
          <w:w w:val="105"/>
          <w:sz w:val="13"/>
        </w:rPr>
        <w:t>(Robert Mineo).</w:t>
      </w:r>
    </w:p>
    <w:p>
      <w:pPr>
        <w:pStyle w:val="ListParagraph"/>
        <w:numPr>
          <w:ilvl w:val="0"/>
          <w:numId w:val="106"/>
        </w:numPr>
        <w:tabs>
          <w:tab w:pos="1229" w:val="left" w:leader="none"/>
          <w:tab w:pos="1230" w:val="left" w:leader="none"/>
        </w:tabs>
        <w:spacing w:line="240" w:lineRule="auto" w:before="1" w:after="0"/>
        <w:ind w:left="1229" w:right="2113" w:hanging="794"/>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 2015) [3.353],</w:t>
      </w:r>
      <w:r>
        <w:rPr>
          <w:spacing w:val="14"/>
          <w:w w:val="105"/>
          <w:sz w:val="13"/>
        </w:rPr>
        <w:t> </w:t>
      </w:r>
      <w:r>
        <w:rPr>
          <w:w w:val="105"/>
          <w:sz w:val="13"/>
        </w:rPr>
        <w:t>[3.355].</w:t>
      </w:r>
    </w:p>
    <w:p>
      <w:pPr>
        <w:pStyle w:val="ListParagraph"/>
        <w:numPr>
          <w:ilvl w:val="0"/>
          <w:numId w:val="106"/>
        </w:numPr>
        <w:tabs>
          <w:tab w:pos="1229" w:val="left" w:leader="none"/>
          <w:tab w:pos="1230" w:val="left" w:leader="none"/>
        </w:tabs>
        <w:spacing w:line="240" w:lineRule="auto" w:before="3" w:after="0"/>
        <w:ind w:left="1229" w:right="0" w:hanging="794"/>
        <w:jc w:val="left"/>
        <w:rPr>
          <w:sz w:val="13"/>
        </w:rPr>
      </w:pPr>
      <w:r>
        <w:rPr>
          <w:spacing w:val="2"/>
          <w:w w:val="105"/>
          <w:sz w:val="13"/>
        </w:rPr>
        <w:t>As </w:t>
      </w:r>
      <w:r>
        <w:rPr>
          <w:w w:val="105"/>
          <w:sz w:val="13"/>
        </w:rPr>
        <w:t>discussed in Ch</w:t>
      </w:r>
      <w:r>
        <w:rPr>
          <w:spacing w:val="16"/>
          <w:w w:val="105"/>
          <w:sz w:val="13"/>
        </w:rPr>
        <w:t> </w:t>
      </w:r>
      <w:r>
        <w:rPr>
          <w:w w:val="105"/>
          <w:sz w:val="13"/>
        </w:rPr>
        <w:t>2.</w:t>
      </w:r>
    </w:p>
    <w:p>
      <w:pPr>
        <w:pStyle w:val="ListParagraph"/>
        <w:numPr>
          <w:ilvl w:val="0"/>
          <w:numId w:val="106"/>
        </w:numPr>
        <w:tabs>
          <w:tab w:pos="1229" w:val="left" w:leader="none"/>
          <w:tab w:pos="1230" w:val="left" w:leader="none"/>
        </w:tabs>
        <w:spacing w:line="240" w:lineRule="auto" w:before="1" w:after="0"/>
        <w:ind w:left="1229" w:right="0" w:hanging="794"/>
        <w:jc w:val="left"/>
        <w:rPr>
          <w:sz w:val="13"/>
        </w:rPr>
      </w:pPr>
      <w:r>
        <w:rPr>
          <w:spacing w:val="2"/>
          <w:sz w:val="13"/>
        </w:rPr>
        <w:t>As</w:t>
      </w:r>
      <w:r>
        <w:rPr>
          <w:spacing w:val="8"/>
          <w:sz w:val="13"/>
        </w:rPr>
        <w:t> </w:t>
      </w:r>
      <w:r>
        <w:rPr>
          <w:sz w:val="13"/>
        </w:rPr>
        <w:t>noted</w:t>
      </w:r>
      <w:r>
        <w:rPr>
          <w:spacing w:val="8"/>
          <w:sz w:val="13"/>
        </w:rPr>
        <w:t> </w:t>
      </w:r>
      <w:r>
        <w:rPr>
          <w:sz w:val="13"/>
        </w:rPr>
        <w:t>earlier,</w:t>
      </w:r>
      <w:r>
        <w:rPr>
          <w:spacing w:val="8"/>
          <w:sz w:val="13"/>
        </w:rPr>
        <w:t> </w:t>
      </w:r>
      <w:r>
        <w:rPr>
          <w:sz w:val="13"/>
        </w:rPr>
        <w:t>DSCV</w:t>
      </w:r>
      <w:r>
        <w:rPr>
          <w:spacing w:val="8"/>
          <w:sz w:val="13"/>
        </w:rPr>
        <w:t> </w:t>
      </w:r>
      <w:r>
        <w:rPr>
          <w:sz w:val="13"/>
        </w:rPr>
        <w:t>provided</w:t>
      </w:r>
      <w:r>
        <w:rPr>
          <w:spacing w:val="8"/>
          <w:sz w:val="13"/>
        </w:rPr>
        <w:t> </w:t>
      </w:r>
      <w:r>
        <w:rPr>
          <w:sz w:val="13"/>
        </w:rPr>
        <w:t>an</w:t>
      </w:r>
      <w:r>
        <w:rPr>
          <w:spacing w:val="8"/>
          <w:sz w:val="13"/>
        </w:rPr>
        <w:t> </w:t>
      </w:r>
      <w:r>
        <w:rPr>
          <w:sz w:val="13"/>
        </w:rPr>
        <w:t>example</w:t>
      </w:r>
      <w:r>
        <w:rPr>
          <w:spacing w:val="8"/>
          <w:sz w:val="13"/>
        </w:rPr>
        <w:t> </w:t>
      </w:r>
      <w:r>
        <w:rPr>
          <w:sz w:val="13"/>
        </w:rPr>
        <w:t>of</w:t>
      </w:r>
      <w:r>
        <w:rPr>
          <w:spacing w:val="8"/>
          <w:sz w:val="13"/>
        </w:rPr>
        <w:t> </w:t>
      </w:r>
      <w:r>
        <w:rPr>
          <w:sz w:val="13"/>
        </w:rPr>
        <w:t>a</w:t>
      </w:r>
      <w:r>
        <w:rPr>
          <w:spacing w:val="8"/>
          <w:sz w:val="13"/>
        </w:rPr>
        <w:t> </w:t>
      </w:r>
      <w:r>
        <w:rPr>
          <w:sz w:val="13"/>
        </w:rPr>
        <w:t>dispute</w:t>
      </w:r>
      <w:r>
        <w:rPr>
          <w:spacing w:val="8"/>
          <w:sz w:val="13"/>
        </w:rPr>
        <w:t> </w:t>
      </w:r>
      <w:r>
        <w:rPr>
          <w:sz w:val="13"/>
        </w:rPr>
        <w:t>over</w:t>
      </w:r>
      <w:r>
        <w:rPr>
          <w:spacing w:val="8"/>
          <w:sz w:val="13"/>
        </w:rPr>
        <w:t> </w:t>
      </w:r>
      <w:r>
        <w:rPr>
          <w:sz w:val="13"/>
        </w:rPr>
        <w:t>leaf</w:t>
      </w:r>
      <w:r>
        <w:rPr>
          <w:spacing w:val="8"/>
          <w:sz w:val="13"/>
        </w:rPr>
        <w:t> </w:t>
      </w:r>
      <w:r>
        <w:rPr>
          <w:sz w:val="13"/>
        </w:rPr>
        <w:t>litter</w:t>
      </w:r>
      <w:r>
        <w:rPr>
          <w:spacing w:val="8"/>
          <w:sz w:val="13"/>
        </w:rPr>
        <w:t> </w:t>
      </w:r>
      <w:r>
        <w:rPr>
          <w:sz w:val="13"/>
        </w:rPr>
        <w:t>being</w:t>
      </w:r>
      <w:r>
        <w:rPr>
          <w:spacing w:val="8"/>
          <w:sz w:val="13"/>
        </w:rPr>
        <w:t> </w:t>
      </w:r>
      <w:r>
        <w:rPr>
          <w:sz w:val="13"/>
        </w:rPr>
        <w:t>successfully</w:t>
      </w:r>
      <w:r>
        <w:rPr>
          <w:spacing w:val="8"/>
          <w:sz w:val="13"/>
        </w:rPr>
        <w:t> </w:t>
      </w:r>
      <w:r>
        <w:rPr>
          <w:sz w:val="13"/>
        </w:rPr>
        <w:t>mediated.</w:t>
      </w:r>
    </w:p>
    <w:p>
      <w:pPr>
        <w:pStyle w:val="ListParagraph"/>
        <w:numPr>
          <w:ilvl w:val="0"/>
          <w:numId w:val="106"/>
        </w:numPr>
        <w:tabs>
          <w:tab w:pos="1229" w:val="left" w:leader="none"/>
          <w:tab w:pos="1230" w:val="left" w:leader="none"/>
        </w:tabs>
        <w:spacing w:line="240" w:lineRule="auto" w:before="2" w:after="0"/>
        <w:ind w:left="1229" w:right="2077" w:hanging="794"/>
        <w:jc w:val="left"/>
        <w:rPr>
          <w:sz w:val="13"/>
        </w:rPr>
      </w:pPr>
      <w:r>
        <w:rPr>
          <w:w w:val="105"/>
          <w:sz w:val="13"/>
        </w:rPr>
        <w:t>For personal injury or </w:t>
      </w:r>
      <w:r>
        <w:rPr>
          <w:spacing w:val="2"/>
          <w:w w:val="105"/>
          <w:sz w:val="13"/>
        </w:rPr>
        <w:t>property </w:t>
      </w:r>
      <w:r>
        <w:rPr>
          <w:w w:val="105"/>
          <w:sz w:val="13"/>
        </w:rPr>
        <w:t>damage as discussed in Ch 3. See, eg, </w:t>
      </w:r>
      <w:r>
        <w:rPr>
          <w:i/>
          <w:w w:val="105"/>
          <w:sz w:val="13"/>
        </w:rPr>
        <w:t>Marshall v Berndt </w:t>
      </w:r>
      <w:r>
        <w:rPr>
          <w:spacing w:val="-3"/>
          <w:w w:val="105"/>
          <w:sz w:val="13"/>
        </w:rPr>
        <w:t>[2011] </w:t>
      </w:r>
      <w:r>
        <w:rPr>
          <w:w w:val="105"/>
          <w:sz w:val="13"/>
        </w:rPr>
        <w:t>VCC </w:t>
      </w:r>
      <w:r>
        <w:rPr>
          <w:spacing w:val="2"/>
          <w:w w:val="105"/>
          <w:sz w:val="13"/>
        </w:rPr>
        <w:t>384 [234]; </w:t>
      </w:r>
      <w:r>
        <w:rPr>
          <w:i/>
          <w:spacing w:val="2"/>
          <w:w w:val="105"/>
          <w:sz w:val="13"/>
        </w:rPr>
        <w:t>Owners </w:t>
      </w:r>
      <w:r>
        <w:rPr>
          <w:i/>
          <w:w w:val="105"/>
          <w:sz w:val="13"/>
        </w:rPr>
        <w:t>Corporation </w:t>
      </w:r>
      <w:r>
        <w:rPr>
          <w:i/>
          <w:w w:val="105"/>
          <w:sz w:val="13"/>
        </w:rPr>
        <w:t>SP020030</w:t>
      </w:r>
      <w:r>
        <w:rPr>
          <w:i/>
          <w:spacing w:val="5"/>
          <w:w w:val="105"/>
          <w:sz w:val="13"/>
        </w:rPr>
        <w:t> </w:t>
      </w:r>
      <w:r>
        <w:rPr>
          <w:i/>
          <w:w w:val="105"/>
          <w:sz w:val="13"/>
        </w:rPr>
        <w:t>v</w:t>
      </w:r>
      <w:r>
        <w:rPr>
          <w:i/>
          <w:spacing w:val="6"/>
          <w:w w:val="105"/>
          <w:sz w:val="13"/>
        </w:rPr>
        <w:t> </w:t>
      </w:r>
      <w:r>
        <w:rPr>
          <w:i/>
          <w:w w:val="105"/>
          <w:sz w:val="13"/>
        </w:rPr>
        <w:t>Keyt</w:t>
      </w:r>
      <w:r>
        <w:rPr>
          <w:i/>
          <w:spacing w:val="5"/>
          <w:w w:val="105"/>
          <w:sz w:val="13"/>
        </w:rPr>
        <w:t> </w:t>
      </w:r>
      <w:r>
        <w:rPr>
          <w:w w:val="105"/>
          <w:sz w:val="13"/>
        </w:rPr>
        <w:t>[2016]</w:t>
      </w:r>
      <w:r>
        <w:rPr>
          <w:spacing w:val="6"/>
          <w:w w:val="105"/>
          <w:sz w:val="13"/>
        </w:rPr>
        <w:t> </w:t>
      </w:r>
      <w:r>
        <w:rPr>
          <w:w w:val="105"/>
          <w:sz w:val="13"/>
        </w:rPr>
        <w:t>VCC</w:t>
      </w:r>
      <w:r>
        <w:rPr>
          <w:spacing w:val="5"/>
          <w:w w:val="105"/>
          <w:sz w:val="13"/>
        </w:rPr>
        <w:t> </w:t>
      </w:r>
      <w:r>
        <w:rPr>
          <w:w w:val="105"/>
          <w:sz w:val="13"/>
        </w:rPr>
        <w:t>1656</w:t>
      </w:r>
      <w:r>
        <w:rPr>
          <w:spacing w:val="6"/>
          <w:w w:val="105"/>
          <w:sz w:val="13"/>
        </w:rPr>
        <w:t> </w:t>
      </w:r>
      <w:r>
        <w:rPr>
          <w:w w:val="105"/>
          <w:sz w:val="13"/>
        </w:rPr>
        <w:t>[13];</w:t>
      </w:r>
      <w:r>
        <w:rPr>
          <w:spacing w:val="5"/>
          <w:w w:val="105"/>
          <w:sz w:val="13"/>
        </w:rPr>
        <w:t> </w:t>
      </w:r>
      <w:r>
        <w:rPr>
          <w:i/>
          <w:w w:val="105"/>
          <w:sz w:val="13"/>
        </w:rPr>
        <w:t>Robson</w:t>
      </w:r>
      <w:r>
        <w:rPr>
          <w:i/>
          <w:spacing w:val="6"/>
          <w:w w:val="105"/>
          <w:sz w:val="13"/>
        </w:rPr>
        <w:t> </w:t>
      </w:r>
      <w:r>
        <w:rPr>
          <w:i/>
          <w:w w:val="105"/>
          <w:sz w:val="13"/>
        </w:rPr>
        <w:t>v</w:t>
      </w:r>
      <w:r>
        <w:rPr>
          <w:i/>
          <w:spacing w:val="5"/>
          <w:w w:val="105"/>
          <w:sz w:val="13"/>
        </w:rPr>
        <w:t> </w:t>
      </w:r>
      <w:r>
        <w:rPr>
          <w:i/>
          <w:w w:val="105"/>
          <w:sz w:val="13"/>
        </w:rPr>
        <w:t>Leischke</w:t>
      </w:r>
      <w:r>
        <w:rPr>
          <w:i/>
          <w:spacing w:val="6"/>
          <w:w w:val="105"/>
          <w:sz w:val="13"/>
        </w:rPr>
        <w:t> </w:t>
      </w:r>
      <w:r>
        <w:rPr>
          <w:spacing w:val="2"/>
          <w:w w:val="105"/>
          <w:sz w:val="13"/>
        </w:rPr>
        <w:t>(2008)</w:t>
      </w:r>
      <w:r>
        <w:rPr>
          <w:spacing w:val="5"/>
          <w:w w:val="105"/>
          <w:sz w:val="13"/>
        </w:rPr>
        <w:t> </w:t>
      </w:r>
      <w:r>
        <w:rPr>
          <w:w w:val="105"/>
          <w:sz w:val="13"/>
        </w:rPr>
        <w:t>72</w:t>
      </w:r>
      <w:r>
        <w:rPr>
          <w:spacing w:val="6"/>
          <w:w w:val="105"/>
          <w:sz w:val="13"/>
        </w:rPr>
        <w:t> </w:t>
      </w:r>
      <w:r>
        <w:rPr>
          <w:spacing w:val="2"/>
          <w:w w:val="105"/>
          <w:sz w:val="13"/>
        </w:rPr>
        <w:t>NSWLR</w:t>
      </w:r>
      <w:r>
        <w:rPr>
          <w:spacing w:val="5"/>
          <w:w w:val="105"/>
          <w:sz w:val="13"/>
        </w:rPr>
        <w:t> </w:t>
      </w:r>
      <w:r>
        <w:rPr>
          <w:w w:val="105"/>
          <w:sz w:val="13"/>
        </w:rPr>
        <w:t>98</w:t>
      </w:r>
      <w:r>
        <w:rPr>
          <w:spacing w:val="6"/>
          <w:w w:val="105"/>
          <w:sz w:val="13"/>
        </w:rPr>
        <w:t> </w:t>
      </w:r>
      <w:r>
        <w:rPr>
          <w:spacing w:val="3"/>
          <w:w w:val="105"/>
          <w:sz w:val="13"/>
        </w:rPr>
        <w:t>[54].</w:t>
      </w:r>
    </w:p>
    <w:p>
      <w:pPr>
        <w:pStyle w:val="ListParagraph"/>
        <w:numPr>
          <w:ilvl w:val="0"/>
          <w:numId w:val="106"/>
        </w:numPr>
        <w:tabs>
          <w:tab w:pos="1229" w:val="left" w:leader="none"/>
          <w:tab w:pos="1230" w:val="left" w:leader="none"/>
        </w:tabs>
        <w:spacing w:line="240" w:lineRule="auto" w:before="2" w:after="0"/>
        <w:ind w:left="1229" w:right="1584" w:hanging="794"/>
        <w:jc w:val="left"/>
        <w:rPr>
          <w:sz w:val="13"/>
        </w:rPr>
      </w:pPr>
      <w:r>
        <w:rPr>
          <w:w w:val="105"/>
          <w:sz w:val="13"/>
        </w:rPr>
        <w:t>Queensland, </w:t>
      </w:r>
      <w:r>
        <w:rPr>
          <w:i/>
          <w:w w:val="105"/>
          <w:sz w:val="13"/>
        </w:rPr>
        <w:t>Parliamentary Debates, </w:t>
      </w:r>
      <w:r>
        <w:rPr>
          <w:w w:val="105"/>
          <w:sz w:val="13"/>
        </w:rPr>
        <w:t>Legislative Assembly, 2 August </w:t>
      </w:r>
      <w:r>
        <w:rPr>
          <w:spacing w:val="-5"/>
          <w:w w:val="105"/>
          <w:sz w:val="13"/>
        </w:rPr>
        <w:t>2011, </w:t>
      </w:r>
      <w:r>
        <w:rPr>
          <w:w w:val="105"/>
          <w:sz w:val="13"/>
        </w:rPr>
        <w:t>2306 (Paul Lucas, Deputy Premier and Attorney-General, Minister</w:t>
      </w:r>
      <w:r>
        <w:rPr>
          <w:spacing w:val="30"/>
          <w:w w:val="105"/>
          <w:sz w:val="13"/>
        </w:rPr>
        <w:t> </w:t>
      </w:r>
      <w:r>
        <w:rPr>
          <w:w w:val="105"/>
          <w:sz w:val="13"/>
        </w:rPr>
        <w:t>for Local Government and Special Minister of</w:t>
      </w:r>
      <w:r>
        <w:rPr>
          <w:spacing w:val="1"/>
          <w:w w:val="105"/>
          <w:sz w:val="13"/>
        </w:rPr>
        <w:t> </w:t>
      </w:r>
      <w:r>
        <w:rPr>
          <w:w w:val="105"/>
          <w:sz w:val="13"/>
        </w:rPr>
        <w:t>State).</w:t>
      </w:r>
    </w:p>
    <w:p>
      <w:pPr>
        <w:spacing w:after="0" w:line="240" w:lineRule="auto"/>
        <w:jc w:val="left"/>
        <w:rPr>
          <w:sz w:val="13"/>
        </w:rPr>
        <w:sectPr>
          <w:type w:val="continuous"/>
          <w:pgSz w:w="11910" w:h="16840"/>
          <w:pgMar w:top="300" w:bottom="280" w:left="0" w:right="0"/>
          <w:cols w:num="2" w:equalWidth="0">
            <w:col w:w="1113" w:space="40"/>
            <w:col w:w="10757"/>
          </w:cols>
        </w:sectPr>
      </w:pPr>
    </w:p>
    <w:p>
      <w:pPr>
        <w:pStyle w:val="BodyText"/>
        <w:rPr>
          <w:sz w:val="20"/>
        </w:rPr>
      </w:pPr>
    </w:p>
    <w:p>
      <w:pPr>
        <w:pStyle w:val="BodyText"/>
        <w:spacing w:before="9"/>
        <w:rPr>
          <w:sz w:val="18"/>
        </w:rPr>
      </w:pPr>
    </w:p>
    <w:p>
      <w:pPr>
        <w:pStyle w:val="ListParagraph"/>
        <w:numPr>
          <w:ilvl w:val="1"/>
          <w:numId w:val="99"/>
        </w:numPr>
        <w:tabs>
          <w:tab w:pos="2381" w:val="left" w:leader="none"/>
        </w:tabs>
        <w:spacing w:line="242" w:lineRule="auto" w:before="91" w:after="0"/>
        <w:ind w:left="2381" w:right="1684" w:hanging="794"/>
        <w:jc w:val="both"/>
        <w:rPr>
          <w:sz w:val="21"/>
        </w:rPr>
      </w:pPr>
      <w:r>
        <w:rPr>
          <w:w w:val="105"/>
          <w:sz w:val="21"/>
        </w:rPr>
        <w:t>The </w:t>
      </w:r>
      <w:r>
        <w:rPr>
          <w:spacing w:val="-3"/>
          <w:w w:val="105"/>
          <w:sz w:val="21"/>
        </w:rPr>
        <w:t>Commission </w:t>
      </w:r>
      <w:r>
        <w:rPr>
          <w:w w:val="105"/>
          <w:sz w:val="21"/>
        </w:rPr>
        <w:t>does </w:t>
      </w:r>
      <w:r>
        <w:rPr>
          <w:spacing w:val="-2"/>
          <w:w w:val="105"/>
          <w:sz w:val="21"/>
        </w:rPr>
        <w:t>not </w:t>
      </w:r>
      <w:r>
        <w:rPr>
          <w:spacing w:val="-3"/>
          <w:w w:val="105"/>
          <w:sz w:val="21"/>
        </w:rPr>
        <w:t>recommend that </w:t>
      </w:r>
      <w:r>
        <w:rPr>
          <w:w w:val="105"/>
          <w:sz w:val="21"/>
        </w:rPr>
        <w:t>the new Act </w:t>
      </w:r>
      <w:r>
        <w:rPr>
          <w:spacing w:val="-3"/>
          <w:w w:val="105"/>
          <w:sz w:val="21"/>
        </w:rPr>
        <w:t>include </w:t>
      </w:r>
      <w:r>
        <w:rPr>
          <w:w w:val="105"/>
          <w:sz w:val="21"/>
        </w:rPr>
        <w:t>a </w:t>
      </w:r>
      <w:r>
        <w:rPr>
          <w:spacing w:val="-3"/>
          <w:w w:val="105"/>
          <w:sz w:val="21"/>
        </w:rPr>
        <w:t>branch removal notice </w:t>
      </w:r>
      <w:r>
        <w:rPr>
          <w:w w:val="105"/>
          <w:sz w:val="21"/>
        </w:rPr>
        <w:t>process</w:t>
      </w:r>
      <w:r>
        <w:rPr>
          <w:spacing w:val="-7"/>
          <w:w w:val="105"/>
          <w:sz w:val="21"/>
        </w:rPr>
        <w:t> </w:t>
      </w:r>
      <w:r>
        <w:rPr>
          <w:spacing w:val="-3"/>
          <w:w w:val="105"/>
          <w:sz w:val="21"/>
        </w:rPr>
        <w:t>from</w:t>
      </w:r>
      <w:r>
        <w:rPr>
          <w:spacing w:val="-7"/>
          <w:w w:val="105"/>
          <w:sz w:val="21"/>
        </w:rPr>
        <w:t> </w:t>
      </w:r>
      <w:r>
        <w:rPr>
          <w:w w:val="105"/>
          <w:sz w:val="21"/>
        </w:rPr>
        <w:t>the</w:t>
      </w:r>
      <w:r>
        <w:rPr>
          <w:spacing w:val="-7"/>
          <w:w w:val="105"/>
          <w:sz w:val="21"/>
        </w:rPr>
        <w:t> </w:t>
      </w:r>
      <w:r>
        <w:rPr>
          <w:w w:val="105"/>
          <w:sz w:val="21"/>
        </w:rPr>
        <w:t>outset.</w:t>
      </w:r>
      <w:r>
        <w:rPr>
          <w:spacing w:val="-7"/>
          <w:w w:val="105"/>
          <w:sz w:val="21"/>
        </w:rPr>
        <w:t> </w:t>
      </w:r>
      <w:r>
        <w:rPr>
          <w:spacing w:val="-3"/>
          <w:w w:val="105"/>
          <w:sz w:val="21"/>
        </w:rPr>
        <w:t>Instead,</w:t>
      </w:r>
      <w:r>
        <w:rPr>
          <w:spacing w:val="-7"/>
          <w:w w:val="105"/>
          <w:sz w:val="21"/>
        </w:rPr>
        <w:t> </w:t>
      </w:r>
      <w:r>
        <w:rPr>
          <w:w w:val="105"/>
          <w:sz w:val="21"/>
        </w:rPr>
        <w:t>if</w:t>
      </w:r>
      <w:r>
        <w:rPr>
          <w:spacing w:val="-7"/>
          <w:w w:val="105"/>
          <w:sz w:val="21"/>
        </w:rPr>
        <w:t> </w:t>
      </w:r>
      <w:r>
        <w:rPr>
          <w:w w:val="105"/>
          <w:sz w:val="21"/>
        </w:rPr>
        <w:t>necessary,</w:t>
      </w:r>
      <w:r>
        <w:rPr>
          <w:spacing w:val="-7"/>
          <w:w w:val="105"/>
          <w:sz w:val="21"/>
        </w:rPr>
        <w:t> </w:t>
      </w:r>
      <w:r>
        <w:rPr>
          <w:w w:val="105"/>
          <w:sz w:val="21"/>
        </w:rPr>
        <w:t>the</w:t>
      </w:r>
      <w:r>
        <w:rPr>
          <w:spacing w:val="-7"/>
          <w:w w:val="105"/>
          <w:sz w:val="21"/>
        </w:rPr>
        <w:t> </w:t>
      </w:r>
      <w:r>
        <w:rPr>
          <w:w w:val="105"/>
          <w:sz w:val="21"/>
        </w:rPr>
        <w:t>Act</w:t>
      </w:r>
      <w:r>
        <w:rPr>
          <w:spacing w:val="-7"/>
          <w:w w:val="105"/>
          <w:sz w:val="21"/>
        </w:rPr>
        <w:t> </w:t>
      </w:r>
      <w:r>
        <w:rPr>
          <w:spacing w:val="-3"/>
          <w:w w:val="105"/>
          <w:sz w:val="21"/>
        </w:rPr>
        <w:t>could</w:t>
      </w:r>
      <w:r>
        <w:rPr>
          <w:spacing w:val="-7"/>
          <w:w w:val="105"/>
          <w:sz w:val="21"/>
        </w:rPr>
        <w:t> </w:t>
      </w:r>
      <w:r>
        <w:rPr>
          <w:w w:val="105"/>
          <w:sz w:val="21"/>
        </w:rPr>
        <w:t>be</w:t>
      </w:r>
      <w:r>
        <w:rPr>
          <w:spacing w:val="-7"/>
          <w:w w:val="105"/>
          <w:sz w:val="21"/>
        </w:rPr>
        <w:t> </w:t>
      </w:r>
      <w:r>
        <w:rPr>
          <w:w w:val="105"/>
          <w:sz w:val="21"/>
        </w:rPr>
        <w:t>broadened</w:t>
      </w:r>
      <w:r>
        <w:rPr>
          <w:spacing w:val="-7"/>
          <w:w w:val="105"/>
          <w:sz w:val="21"/>
        </w:rPr>
        <w:t> </w:t>
      </w:r>
      <w:r>
        <w:rPr>
          <w:spacing w:val="-3"/>
          <w:w w:val="105"/>
          <w:sz w:val="21"/>
        </w:rPr>
        <w:t>to</w:t>
      </w:r>
      <w:r>
        <w:rPr>
          <w:spacing w:val="-7"/>
          <w:w w:val="105"/>
          <w:sz w:val="21"/>
        </w:rPr>
        <w:t> </w:t>
      </w:r>
      <w:r>
        <w:rPr>
          <w:spacing w:val="-3"/>
          <w:w w:val="105"/>
          <w:sz w:val="21"/>
        </w:rPr>
        <w:t>include</w:t>
      </w:r>
      <w:r>
        <w:rPr>
          <w:spacing w:val="-7"/>
          <w:w w:val="105"/>
          <w:sz w:val="21"/>
        </w:rPr>
        <w:t> </w:t>
      </w:r>
      <w:r>
        <w:rPr>
          <w:w w:val="105"/>
          <w:sz w:val="21"/>
        </w:rPr>
        <w:t>this process</w:t>
      </w:r>
      <w:r>
        <w:rPr>
          <w:spacing w:val="-7"/>
          <w:w w:val="105"/>
          <w:sz w:val="21"/>
        </w:rPr>
        <w:t> </w:t>
      </w:r>
      <w:r>
        <w:rPr>
          <w:w w:val="105"/>
          <w:sz w:val="21"/>
        </w:rPr>
        <w:t>when</w:t>
      </w:r>
      <w:r>
        <w:rPr>
          <w:spacing w:val="-7"/>
          <w:w w:val="105"/>
          <w:sz w:val="21"/>
        </w:rPr>
        <w:t> </w:t>
      </w:r>
      <w:r>
        <w:rPr>
          <w:w w:val="105"/>
          <w:sz w:val="21"/>
        </w:rPr>
        <w:t>it</w:t>
      </w:r>
      <w:r>
        <w:rPr>
          <w:spacing w:val="-7"/>
          <w:w w:val="105"/>
          <w:sz w:val="21"/>
        </w:rPr>
        <w:t> </w:t>
      </w:r>
      <w:r>
        <w:rPr>
          <w:w w:val="105"/>
          <w:sz w:val="21"/>
        </w:rPr>
        <w:t>is</w:t>
      </w:r>
      <w:r>
        <w:rPr>
          <w:spacing w:val="-7"/>
          <w:w w:val="105"/>
          <w:sz w:val="21"/>
        </w:rPr>
        <w:t> </w:t>
      </w:r>
      <w:r>
        <w:rPr>
          <w:w w:val="105"/>
          <w:sz w:val="21"/>
        </w:rPr>
        <w:t>reviewed</w:t>
      </w:r>
      <w:r>
        <w:rPr>
          <w:spacing w:val="-7"/>
          <w:w w:val="105"/>
          <w:sz w:val="21"/>
        </w:rPr>
        <w:t> </w:t>
      </w:r>
      <w:r>
        <w:rPr>
          <w:w w:val="105"/>
          <w:sz w:val="21"/>
        </w:rPr>
        <w:t>after</w:t>
      </w:r>
      <w:r>
        <w:rPr>
          <w:spacing w:val="-6"/>
          <w:w w:val="105"/>
          <w:sz w:val="21"/>
        </w:rPr>
        <w:t> </w:t>
      </w:r>
      <w:r>
        <w:rPr>
          <w:w w:val="105"/>
          <w:sz w:val="21"/>
        </w:rPr>
        <w:t>five</w:t>
      </w:r>
      <w:r>
        <w:rPr>
          <w:spacing w:val="-7"/>
          <w:w w:val="105"/>
          <w:sz w:val="21"/>
        </w:rPr>
        <w:t> </w:t>
      </w:r>
      <w:r>
        <w:rPr>
          <w:w w:val="105"/>
          <w:sz w:val="21"/>
        </w:rPr>
        <w:t>years</w:t>
      </w:r>
      <w:r>
        <w:rPr>
          <w:spacing w:val="-7"/>
          <w:w w:val="105"/>
          <w:sz w:val="21"/>
        </w:rPr>
        <w:t> </w:t>
      </w:r>
      <w:r>
        <w:rPr>
          <w:w w:val="105"/>
          <w:sz w:val="21"/>
        </w:rPr>
        <w:t>of</w:t>
      </w:r>
      <w:r>
        <w:rPr>
          <w:spacing w:val="-7"/>
          <w:w w:val="105"/>
          <w:sz w:val="21"/>
        </w:rPr>
        <w:t> </w:t>
      </w:r>
      <w:r>
        <w:rPr>
          <w:w w:val="105"/>
          <w:sz w:val="21"/>
        </w:rPr>
        <w:t>operation</w:t>
      </w:r>
      <w:r>
        <w:rPr>
          <w:spacing w:val="-7"/>
          <w:w w:val="105"/>
          <w:sz w:val="21"/>
        </w:rPr>
        <w:t> </w:t>
      </w:r>
      <w:r>
        <w:rPr>
          <w:w w:val="105"/>
          <w:sz w:val="21"/>
        </w:rPr>
        <w:t>(see</w:t>
      </w:r>
      <w:r>
        <w:rPr>
          <w:spacing w:val="-7"/>
          <w:w w:val="105"/>
          <w:sz w:val="21"/>
        </w:rPr>
        <w:t> </w:t>
      </w:r>
      <w:r>
        <w:rPr>
          <w:spacing w:val="-4"/>
          <w:w w:val="105"/>
          <w:sz w:val="21"/>
        </w:rPr>
        <w:t>Chapter</w:t>
      </w:r>
      <w:r>
        <w:rPr>
          <w:spacing w:val="-6"/>
          <w:w w:val="105"/>
          <w:sz w:val="21"/>
        </w:rPr>
        <w:t> </w:t>
      </w:r>
      <w:r>
        <w:rPr>
          <w:spacing w:val="-4"/>
          <w:w w:val="105"/>
          <w:sz w:val="21"/>
        </w:rPr>
        <w:t>13).</w:t>
      </w:r>
      <w:r>
        <w:rPr>
          <w:spacing w:val="-7"/>
          <w:w w:val="105"/>
          <w:sz w:val="21"/>
        </w:rPr>
        <w:t> </w:t>
      </w:r>
      <w:r>
        <w:rPr>
          <w:spacing w:val="-4"/>
          <w:w w:val="105"/>
          <w:sz w:val="21"/>
        </w:rPr>
        <w:t>At</w:t>
      </w:r>
      <w:r>
        <w:rPr>
          <w:spacing w:val="-7"/>
          <w:w w:val="105"/>
          <w:sz w:val="21"/>
        </w:rPr>
        <w:t> </w:t>
      </w:r>
      <w:r>
        <w:rPr>
          <w:spacing w:val="-3"/>
          <w:w w:val="105"/>
          <w:sz w:val="21"/>
        </w:rPr>
        <w:t>that</w:t>
      </w:r>
      <w:r>
        <w:rPr>
          <w:spacing w:val="-7"/>
          <w:w w:val="105"/>
          <w:sz w:val="21"/>
        </w:rPr>
        <w:t> </w:t>
      </w:r>
      <w:r>
        <w:rPr>
          <w:spacing w:val="-3"/>
          <w:w w:val="105"/>
          <w:sz w:val="21"/>
        </w:rPr>
        <w:t>time,</w:t>
      </w:r>
      <w:r>
        <w:rPr>
          <w:spacing w:val="-7"/>
          <w:w w:val="105"/>
          <w:sz w:val="21"/>
        </w:rPr>
        <w:t> </w:t>
      </w:r>
      <w:r>
        <w:rPr>
          <w:w w:val="105"/>
          <w:sz w:val="21"/>
        </w:rPr>
        <w:t>it </w:t>
      </w:r>
      <w:r>
        <w:rPr>
          <w:spacing w:val="-3"/>
          <w:w w:val="105"/>
          <w:sz w:val="21"/>
        </w:rPr>
        <w:t>will </w:t>
      </w:r>
      <w:r>
        <w:rPr>
          <w:w w:val="105"/>
          <w:sz w:val="21"/>
        </w:rPr>
        <w:t>be </w:t>
      </w:r>
      <w:r>
        <w:rPr>
          <w:spacing w:val="-3"/>
          <w:w w:val="105"/>
          <w:sz w:val="21"/>
        </w:rPr>
        <w:t>clearer </w:t>
      </w:r>
      <w:r>
        <w:rPr>
          <w:w w:val="105"/>
          <w:sz w:val="21"/>
        </w:rPr>
        <w:t>if there is a </w:t>
      </w:r>
      <w:r>
        <w:rPr>
          <w:spacing w:val="-3"/>
          <w:w w:val="105"/>
          <w:sz w:val="21"/>
        </w:rPr>
        <w:t>genuine </w:t>
      </w:r>
      <w:r>
        <w:rPr>
          <w:w w:val="105"/>
          <w:sz w:val="21"/>
        </w:rPr>
        <w:t>need </w:t>
      </w:r>
      <w:r>
        <w:rPr>
          <w:spacing w:val="-3"/>
          <w:w w:val="105"/>
          <w:sz w:val="21"/>
        </w:rPr>
        <w:t>for </w:t>
      </w:r>
      <w:r>
        <w:rPr>
          <w:w w:val="105"/>
          <w:sz w:val="21"/>
        </w:rPr>
        <w:t>a </w:t>
      </w:r>
      <w:r>
        <w:rPr>
          <w:spacing w:val="-3"/>
          <w:w w:val="105"/>
          <w:sz w:val="21"/>
        </w:rPr>
        <w:t>formal branch removal</w:t>
      </w:r>
      <w:r>
        <w:rPr>
          <w:spacing w:val="39"/>
          <w:w w:val="105"/>
          <w:sz w:val="21"/>
        </w:rPr>
        <w:t> </w:t>
      </w:r>
      <w:r>
        <w:rPr>
          <w:w w:val="105"/>
          <w:sz w:val="21"/>
        </w:rPr>
        <w:t>process.</w:t>
      </w:r>
    </w:p>
    <w:p>
      <w:pPr>
        <w:pStyle w:val="ListParagraph"/>
        <w:numPr>
          <w:ilvl w:val="1"/>
          <w:numId w:val="99"/>
        </w:numPr>
        <w:tabs>
          <w:tab w:pos="2380" w:val="left" w:leader="none"/>
          <w:tab w:pos="2381" w:val="left" w:leader="none"/>
        </w:tabs>
        <w:spacing w:line="242" w:lineRule="auto" w:before="125" w:after="0"/>
        <w:ind w:left="2381" w:right="1807" w:hanging="794"/>
        <w:jc w:val="left"/>
        <w:rPr>
          <w:sz w:val="21"/>
        </w:rPr>
      </w:pPr>
      <w:r>
        <w:rPr>
          <w:w w:val="105"/>
          <w:sz w:val="21"/>
        </w:rPr>
        <w:t>Further </w:t>
      </w:r>
      <w:r>
        <w:rPr>
          <w:spacing w:val="-3"/>
          <w:w w:val="105"/>
          <w:sz w:val="21"/>
        </w:rPr>
        <w:t>consultation </w:t>
      </w:r>
      <w:r>
        <w:rPr>
          <w:w w:val="105"/>
          <w:sz w:val="21"/>
        </w:rPr>
        <w:t>should </w:t>
      </w:r>
      <w:r>
        <w:rPr>
          <w:spacing w:val="-3"/>
          <w:w w:val="105"/>
          <w:sz w:val="21"/>
        </w:rPr>
        <w:t>occur </w:t>
      </w:r>
      <w:r>
        <w:rPr>
          <w:w w:val="105"/>
          <w:sz w:val="21"/>
        </w:rPr>
        <w:t>with the </w:t>
      </w:r>
      <w:r>
        <w:rPr>
          <w:spacing w:val="-3"/>
          <w:w w:val="105"/>
          <w:sz w:val="21"/>
        </w:rPr>
        <w:t>Queensland </w:t>
      </w:r>
      <w:r>
        <w:rPr>
          <w:w w:val="105"/>
          <w:sz w:val="21"/>
        </w:rPr>
        <w:t>and </w:t>
      </w:r>
      <w:r>
        <w:rPr>
          <w:spacing w:val="-4"/>
          <w:w w:val="105"/>
          <w:sz w:val="21"/>
        </w:rPr>
        <w:t>Tasmanian </w:t>
      </w:r>
      <w:r>
        <w:rPr>
          <w:w w:val="105"/>
          <w:sz w:val="21"/>
        </w:rPr>
        <w:t>Governments, as </w:t>
      </w:r>
      <w:r>
        <w:rPr>
          <w:spacing w:val="-3"/>
          <w:w w:val="105"/>
          <w:sz w:val="21"/>
        </w:rPr>
        <w:t>well </w:t>
      </w:r>
      <w:r>
        <w:rPr>
          <w:w w:val="105"/>
          <w:sz w:val="21"/>
        </w:rPr>
        <w:t>as </w:t>
      </w:r>
      <w:r>
        <w:rPr>
          <w:spacing w:val="-3"/>
          <w:w w:val="105"/>
          <w:sz w:val="21"/>
        </w:rPr>
        <w:t>dispute </w:t>
      </w:r>
      <w:r>
        <w:rPr>
          <w:w w:val="105"/>
          <w:sz w:val="21"/>
        </w:rPr>
        <w:t>resolution </w:t>
      </w:r>
      <w:r>
        <w:rPr>
          <w:spacing w:val="-3"/>
          <w:w w:val="105"/>
          <w:sz w:val="21"/>
        </w:rPr>
        <w:t>centres </w:t>
      </w:r>
      <w:r>
        <w:rPr>
          <w:w w:val="105"/>
          <w:sz w:val="21"/>
        </w:rPr>
        <w:t>and community legal </w:t>
      </w:r>
      <w:r>
        <w:rPr>
          <w:spacing w:val="-3"/>
          <w:w w:val="105"/>
          <w:sz w:val="21"/>
        </w:rPr>
        <w:t>centres </w:t>
      </w:r>
      <w:r>
        <w:rPr>
          <w:w w:val="105"/>
          <w:sz w:val="21"/>
        </w:rPr>
        <w:t>about how widely the </w:t>
      </w:r>
      <w:r>
        <w:rPr>
          <w:spacing w:val="-3"/>
          <w:w w:val="105"/>
          <w:sz w:val="21"/>
        </w:rPr>
        <w:t>branch removal notice </w:t>
      </w:r>
      <w:r>
        <w:rPr>
          <w:w w:val="105"/>
          <w:sz w:val="21"/>
        </w:rPr>
        <w:t>is used, how </w:t>
      </w:r>
      <w:r>
        <w:rPr>
          <w:spacing w:val="-3"/>
          <w:w w:val="105"/>
          <w:sz w:val="21"/>
        </w:rPr>
        <w:t>well </w:t>
      </w:r>
      <w:r>
        <w:rPr>
          <w:w w:val="105"/>
          <w:sz w:val="21"/>
        </w:rPr>
        <w:t>it is understood and whether it is effective in </w:t>
      </w:r>
      <w:r>
        <w:rPr>
          <w:spacing w:val="-3"/>
          <w:w w:val="105"/>
          <w:sz w:val="21"/>
        </w:rPr>
        <w:t>reducing </w:t>
      </w:r>
      <w:r>
        <w:rPr>
          <w:w w:val="105"/>
          <w:sz w:val="21"/>
        </w:rPr>
        <w:t>the number of matters </w:t>
      </w:r>
      <w:r>
        <w:rPr>
          <w:spacing w:val="-3"/>
          <w:w w:val="105"/>
          <w:sz w:val="21"/>
        </w:rPr>
        <w:t>that </w:t>
      </w:r>
      <w:r>
        <w:rPr>
          <w:w w:val="105"/>
          <w:sz w:val="21"/>
        </w:rPr>
        <w:t>proceed </w:t>
      </w:r>
      <w:r>
        <w:rPr>
          <w:spacing w:val="-3"/>
          <w:w w:val="105"/>
          <w:sz w:val="21"/>
        </w:rPr>
        <w:t>to </w:t>
      </w:r>
      <w:r>
        <w:rPr>
          <w:w w:val="105"/>
          <w:sz w:val="21"/>
        </w:rPr>
        <w:t>a </w:t>
      </w:r>
      <w:r>
        <w:rPr>
          <w:spacing w:val="-3"/>
          <w:w w:val="105"/>
          <w:sz w:val="21"/>
        </w:rPr>
        <w:t>hearing </w:t>
      </w:r>
      <w:r>
        <w:rPr>
          <w:w w:val="105"/>
          <w:sz w:val="21"/>
        </w:rPr>
        <w:t>in </w:t>
      </w:r>
      <w:r>
        <w:rPr>
          <w:spacing w:val="-4"/>
          <w:w w:val="105"/>
          <w:sz w:val="21"/>
        </w:rPr>
        <w:t>QCAT </w:t>
      </w:r>
      <w:r>
        <w:rPr>
          <w:w w:val="105"/>
          <w:sz w:val="21"/>
        </w:rPr>
        <w:t>or </w:t>
      </w:r>
      <w:r>
        <w:rPr>
          <w:spacing w:val="-7"/>
          <w:w w:val="105"/>
          <w:sz w:val="21"/>
        </w:rPr>
        <w:t>RMPAT. </w:t>
      </w:r>
      <w:r>
        <w:rPr>
          <w:spacing w:val="-3"/>
          <w:w w:val="105"/>
          <w:sz w:val="21"/>
        </w:rPr>
        <w:t>Consultation </w:t>
      </w:r>
      <w:r>
        <w:rPr>
          <w:w w:val="105"/>
          <w:sz w:val="21"/>
        </w:rPr>
        <w:t>should also </w:t>
      </w:r>
      <w:r>
        <w:rPr>
          <w:spacing w:val="-3"/>
          <w:w w:val="105"/>
          <w:sz w:val="21"/>
        </w:rPr>
        <w:t>consider any </w:t>
      </w:r>
      <w:r>
        <w:rPr>
          <w:w w:val="105"/>
          <w:sz w:val="21"/>
        </w:rPr>
        <w:t>disadvantages of </w:t>
      </w:r>
      <w:r>
        <w:rPr>
          <w:spacing w:val="-3"/>
          <w:w w:val="105"/>
          <w:sz w:val="21"/>
        </w:rPr>
        <w:t>such </w:t>
      </w:r>
      <w:r>
        <w:rPr>
          <w:w w:val="105"/>
          <w:sz w:val="21"/>
        </w:rPr>
        <w:t>a process and how </w:t>
      </w:r>
      <w:r>
        <w:rPr>
          <w:spacing w:val="-3"/>
          <w:w w:val="105"/>
          <w:sz w:val="21"/>
        </w:rPr>
        <w:t>well </w:t>
      </w:r>
      <w:r>
        <w:rPr>
          <w:w w:val="105"/>
          <w:sz w:val="21"/>
        </w:rPr>
        <w:t>it fits with the underlying policy of the new Act. Further </w:t>
      </w:r>
      <w:r>
        <w:rPr>
          <w:spacing w:val="-3"/>
          <w:w w:val="105"/>
          <w:sz w:val="21"/>
        </w:rPr>
        <w:t>consultation </w:t>
      </w:r>
      <w:r>
        <w:rPr>
          <w:w w:val="105"/>
          <w:sz w:val="21"/>
        </w:rPr>
        <w:t>is needed because this</w:t>
      </w:r>
      <w:r>
        <w:rPr>
          <w:spacing w:val="-7"/>
          <w:w w:val="105"/>
          <w:sz w:val="21"/>
        </w:rPr>
        <w:t> </w:t>
      </w:r>
      <w:r>
        <w:rPr>
          <w:w w:val="105"/>
          <w:sz w:val="21"/>
        </w:rPr>
        <w:t>process</w:t>
      </w:r>
      <w:r>
        <w:rPr>
          <w:spacing w:val="-6"/>
          <w:w w:val="105"/>
          <w:sz w:val="21"/>
        </w:rPr>
        <w:t> </w:t>
      </w:r>
      <w:r>
        <w:rPr>
          <w:w w:val="105"/>
          <w:sz w:val="21"/>
        </w:rPr>
        <w:t>would</w:t>
      </w:r>
      <w:r>
        <w:rPr>
          <w:spacing w:val="-6"/>
          <w:w w:val="105"/>
          <w:sz w:val="21"/>
        </w:rPr>
        <w:t> </w:t>
      </w:r>
      <w:r>
        <w:rPr>
          <w:spacing w:val="-3"/>
          <w:w w:val="105"/>
          <w:sz w:val="21"/>
        </w:rPr>
        <w:t>complicate</w:t>
      </w:r>
      <w:r>
        <w:rPr>
          <w:spacing w:val="-6"/>
          <w:w w:val="105"/>
          <w:sz w:val="21"/>
        </w:rPr>
        <w:t> </w:t>
      </w:r>
      <w:r>
        <w:rPr>
          <w:w w:val="105"/>
          <w:sz w:val="21"/>
        </w:rPr>
        <w:t>the</w:t>
      </w:r>
      <w:r>
        <w:rPr>
          <w:spacing w:val="-6"/>
          <w:w w:val="105"/>
          <w:sz w:val="21"/>
        </w:rPr>
        <w:t> </w:t>
      </w:r>
      <w:r>
        <w:rPr>
          <w:w w:val="105"/>
          <w:sz w:val="21"/>
        </w:rPr>
        <w:t>operation</w:t>
      </w:r>
      <w:r>
        <w:rPr>
          <w:spacing w:val="-6"/>
          <w:w w:val="105"/>
          <w:sz w:val="21"/>
        </w:rPr>
        <w:t> </w:t>
      </w:r>
      <w:r>
        <w:rPr>
          <w:w w:val="105"/>
          <w:sz w:val="21"/>
        </w:rPr>
        <w:t>of</w:t>
      </w:r>
      <w:r>
        <w:rPr>
          <w:spacing w:val="-7"/>
          <w:w w:val="105"/>
          <w:sz w:val="21"/>
        </w:rPr>
        <w:t> </w:t>
      </w:r>
      <w:r>
        <w:rPr>
          <w:w w:val="105"/>
          <w:sz w:val="21"/>
        </w:rPr>
        <w:t>the</w:t>
      </w:r>
      <w:r>
        <w:rPr>
          <w:spacing w:val="-6"/>
          <w:w w:val="105"/>
          <w:sz w:val="21"/>
        </w:rPr>
        <w:t> </w:t>
      </w:r>
      <w:r>
        <w:rPr>
          <w:w w:val="105"/>
          <w:sz w:val="21"/>
        </w:rPr>
        <w:t>new</w:t>
      </w:r>
      <w:r>
        <w:rPr>
          <w:spacing w:val="-6"/>
          <w:w w:val="105"/>
          <w:sz w:val="21"/>
        </w:rPr>
        <w:t> </w:t>
      </w:r>
      <w:r>
        <w:rPr>
          <w:w w:val="105"/>
          <w:sz w:val="21"/>
        </w:rPr>
        <w:t>Act.</w:t>
      </w:r>
      <w:r>
        <w:rPr>
          <w:spacing w:val="-6"/>
          <w:w w:val="105"/>
          <w:sz w:val="21"/>
        </w:rPr>
        <w:t> </w:t>
      </w:r>
      <w:r>
        <w:rPr>
          <w:w w:val="105"/>
          <w:sz w:val="21"/>
        </w:rPr>
        <w:t>The</w:t>
      </w:r>
      <w:r>
        <w:rPr>
          <w:spacing w:val="-6"/>
          <w:w w:val="105"/>
          <w:sz w:val="21"/>
        </w:rPr>
        <w:t> </w:t>
      </w:r>
      <w:r>
        <w:rPr>
          <w:spacing w:val="-3"/>
          <w:w w:val="105"/>
          <w:sz w:val="21"/>
        </w:rPr>
        <w:t>branch</w:t>
      </w:r>
      <w:r>
        <w:rPr>
          <w:spacing w:val="-6"/>
          <w:w w:val="105"/>
          <w:sz w:val="21"/>
        </w:rPr>
        <w:t> </w:t>
      </w:r>
      <w:r>
        <w:rPr>
          <w:spacing w:val="-3"/>
          <w:w w:val="105"/>
          <w:sz w:val="21"/>
        </w:rPr>
        <w:t>removal</w:t>
      </w:r>
      <w:r>
        <w:rPr>
          <w:spacing w:val="-6"/>
          <w:w w:val="105"/>
          <w:sz w:val="21"/>
        </w:rPr>
        <w:t> </w:t>
      </w:r>
      <w:r>
        <w:rPr>
          <w:spacing w:val="-3"/>
          <w:w w:val="105"/>
          <w:sz w:val="21"/>
        </w:rPr>
        <w:t>notice</w:t>
      </w:r>
    </w:p>
    <w:p>
      <w:pPr>
        <w:pStyle w:val="BodyText"/>
        <w:spacing w:line="242" w:lineRule="auto" w:before="7"/>
        <w:ind w:left="2380" w:right="1810"/>
      </w:pPr>
      <w:r>
        <w:rPr/>
        <w:t>processes in the </w:t>
      </w:r>
      <w:r>
        <w:rPr>
          <w:spacing w:val="-3"/>
        </w:rPr>
        <w:t>Queensland </w:t>
      </w:r>
      <w:r>
        <w:rPr/>
        <w:t>and </w:t>
      </w:r>
      <w:r>
        <w:rPr>
          <w:spacing w:val="-4"/>
        </w:rPr>
        <w:t>Tasmanian </w:t>
      </w:r>
      <w:r>
        <w:rPr/>
        <w:t>schemes work in conjunction with </w:t>
      </w:r>
      <w:r>
        <w:rPr>
          <w:spacing w:val="-3"/>
        </w:rPr>
        <w:t>legislated </w:t>
      </w:r>
      <w:r>
        <w:rPr/>
        <w:t>tree owner </w:t>
      </w:r>
      <w:r>
        <w:rPr>
          <w:spacing w:val="-3"/>
        </w:rPr>
        <w:t>responsibilities </w:t>
      </w:r>
      <w:r>
        <w:rPr/>
        <w:t>which the </w:t>
      </w:r>
      <w:r>
        <w:rPr>
          <w:spacing w:val="-3"/>
        </w:rPr>
        <w:t>Commission </w:t>
      </w:r>
      <w:r>
        <w:rPr/>
        <w:t>is </w:t>
      </w:r>
      <w:r>
        <w:rPr>
          <w:spacing w:val="-2"/>
        </w:rPr>
        <w:t>not </w:t>
      </w:r>
      <w:r>
        <w:rPr>
          <w:spacing w:val="-3"/>
        </w:rPr>
        <w:t>recommending for </w:t>
      </w:r>
      <w:r>
        <w:rPr/>
        <w:t>the new Act. </w:t>
      </w:r>
      <w:r>
        <w:rPr>
          <w:spacing w:val="-3"/>
        </w:rPr>
        <w:t>Therefore, consultation </w:t>
      </w:r>
      <w:r>
        <w:rPr/>
        <w:t>should also ascertain whether a statutory </w:t>
      </w:r>
      <w:r>
        <w:rPr>
          <w:spacing w:val="-3"/>
        </w:rPr>
        <w:t>notice </w:t>
      </w:r>
      <w:r>
        <w:rPr/>
        <w:t>process  </w:t>
      </w:r>
      <w:r>
        <w:rPr>
          <w:spacing w:val="-3"/>
        </w:rPr>
        <w:t>would </w:t>
      </w:r>
      <w:r>
        <w:rPr/>
        <w:t>work effectively in a scheme </w:t>
      </w:r>
      <w:r>
        <w:rPr>
          <w:spacing w:val="-3"/>
        </w:rPr>
        <w:t>that </w:t>
      </w:r>
      <w:r>
        <w:rPr/>
        <w:t>does </w:t>
      </w:r>
      <w:r>
        <w:rPr>
          <w:spacing w:val="-2"/>
        </w:rPr>
        <w:t>not </w:t>
      </w:r>
      <w:r>
        <w:rPr>
          <w:spacing w:val="-3"/>
        </w:rPr>
        <w:t>include </w:t>
      </w:r>
      <w:r>
        <w:rPr/>
        <w:t>tree owner</w:t>
      </w:r>
      <w:r>
        <w:rPr>
          <w:spacing w:val="9"/>
        </w:rPr>
        <w:t> </w:t>
      </w:r>
      <w:r>
        <w:rPr>
          <w:spacing w:val="-3"/>
        </w:rPr>
        <w:t>responsibilities.</w:t>
      </w:r>
    </w:p>
    <w:p>
      <w:pPr>
        <w:pStyle w:val="ListParagraph"/>
        <w:numPr>
          <w:ilvl w:val="1"/>
          <w:numId w:val="99"/>
        </w:numPr>
        <w:tabs>
          <w:tab w:pos="2380" w:val="left" w:leader="none"/>
          <w:tab w:pos="2381" w:val="left" w:leader="none"/>
        </w:tabs>
        <w:spacing w:line="242" w:lineRule="auto" w:before="125" w:after="0"/>
        <w:ind w:left="2381" w:right="1659" w:hanging="794"/>
        <w:jc w:val="left"/>
        <w:rPr>
          <w:sz w:val="12"/>
        </w:rPr>
      </w:pPr>
      <w:r>
        <w:rPr>
          <w:spacing w:val="-4"/>
          <w:w w:val="105"/>
          <w:sz w:val="21"/>
        </w:rPr>
        <w:t>QCAT </w:t>
      </w:r>
      <w:r>
        <w:rPr>
          <w:w w:val="105"/>
          <w:sz w:val="21"/>
        </w:rPr>
        <w:t>told the </w:t>
      </w:r>
      <w:r>
        <w:rPr>
          <w:spacing w:val="-3"/>
          <w:w w:val="105"/>
          <w:sz w:val="21"/>
        </w:rPr>
        <w:t>Commission that </w:t>
      </w:r>
      <w:r>
        <w:rPr>
          <w:w w:val="105"/>
          <w:sz w:val="21"/>
        </w:rPr>
        <w:t>because </w:t>
      </w:r>
      <w:r>
        <w:rPr>
          <w:spacing w:val="-4"/>
          <w:w w:val="105"/>
          <w:sz w:val="21"/>
        </w:rPr>
        <w:t>QCAT </w:t>
      </w:r>
      <w:r>
        <w:rPr>
          <w:w w:val="105"/>
          <w:sz w:val="21"/>
        </w:rPr>
        <w:t>does </w:t>
      </w:r>
      <w:r>
        <w:rPr>
          <w:spacing w:val="-2"/>
          <w:w w:val="105"/>
          <w:sz w:val="21"/>
        </w:rPr>
        <w:t>not </w:t>
      </w:r>
      <w:r>
        <w:rPr>
          <w:w w:val="105"/>
          <w:sz w:val="21"/>
        </w:rPr>
        <w:t>receive </w:t>
      </w:r>
      <w:r>
        <w:rPr>
          <w:spacing w:val="-3"/>
          <w:w w:val="105"/>
          <w:sz w:val="21"/>
        </w:rPr>
        <w:t>applications for </w:t>
      </w:r>
      <w:r>
        <w:rPr>
          <w:w w:val="105"/>
          <w:sz w:val="21"/>
        </w:rPr>
        <w:t>the  types of </w:t>
      </w:r>
      <w:r>
        <w:rPr>
          <w:spacing w:val="-3"/>
          <w:w w:val="105"/>
          <w:sz w:val="21"/>
        </w:rPr>
        <w:t>disputes captured </w:t>
      </w:r>
      <w:r>
        <w:rPr>
          <w:w w:val="105"/>
          <w:sz w:val="21"/>
        </w:rPr>
        <w:t>by this process, </w:t>
      </w:r>
      <w:r>
        <w:rPr>
          <w:spacing w:val="-4"/>
          <w:w w:val="105"/>
          <w:sz w:val="21"/>
        </w:rPr>
        <w:t>QCAT </w:t>
      </w:r>
      <w:r>
        <w:rPr>
          <w:spacing w:val="-3"/>
          <w:w w:val="105"/>
          <w:sz w:val="21"/>
        </w:rPr>
        <w:t>cannot comment </w:t>
      </w:r>
      <w:r>
        <w:rPr>
          <w:w w:val="105"/>
          <w:sz w:val="21"/>
        </w:rPr>
        <w:t>definitively on the effectiveness of this </w:t>
      </w:r>
      <w:r>
        <w:rPr>
          <w:spacing w:val="-4"/>
          <w:w w:val="105"/>
          <w:sz w:val="21"/>
        </w:rPr>
        <w:t>mechanism.</w:t>
      </w:r>
      <w:r>
        <w:rPr>
          <w:spacing w:val="-4"/>
          <w:w w:val="105"/>
          <w:position w:val="7"/>
          <w:sz w:val="12"/>
        </w:rPr>
        <w:t>178 </w:t>
      </w:r>
      <w:r>
        <w:rPr>
          <w:w w:val="105"/>
          <w:sz w:val="21"/>
        </w:rPr>
        <w:t>The </w:t>
      </w:r>
      <w:r>
        <w:rPr>
          <w:spacing w:val="-4"/>
          <w:w w:val="105"/>
          <w:sz w:val="21"/>
        </w:rPr>
        <w:t>Tasmanian </w:t>
      </w:r>
      <w:r>
        <w:rPr>
          <w:w w:val="105"/>
          <w:sz w:val="21"/>
        </w:rPr>
        <w:t>scheme </w:t>
      </w:r>
      <w:r>
        <w:rPr>
          <w:spacing w:val="-2"/>
          <w:w w:val="105"/>
          <w:sz w:val="21"/>
        </w:rPr>
        <w:t>has </w:t>
      </w:r>
      <w:r>
        <w:rPr>
          <w:w w:val="105"/>
          <w:sz w:val="21"/>
        </w:rPr>
        <w:t>only </w:t>
      </w:r>
      <w:r>
        <w:rPr>
          <w:spacing w:val="-3"/>
          <w:w w:val="105"/>
          <w:sz w:val="21"/>
        </w:rPr>
        <w:t>recently commenced, </w:t>
      </w:r>
      <w:r>
        <w:rPr>
          <w:w w:val="105"/>
          <w:sz w:val="21"/>
        </w:rPr>
        <w:t>and</w:t>
      </w:r>
      <w:r>
        <w:rPr>
          <w:spacing w:val="-7"/>
          <w:w w:val="105"/>
          <w:sz w:val="21"/>
        </w:rPr>
        <w:t> </w:t>
      </w:r>
      <w:r>
        <w:rPr>
          <w:w w:val="105"/>
          <w:sz w:val="21"/>
        </w:rPr>
        <w:t>it</w:t>
      </w:r>
      <w:r>
        <w:rPr>
          <w:spacing w:val="-7"/>
          <w:w w:val="105"/>
          <w:sz w:val="21"/>
        </w:rPr>
        <w:t> </w:t>
      </w:r>
      <w:r>
        <w:rPr>
          <w:spacing w:val="-3"/>
          <w:w w:val="105"/>
          <w:sz w:val="21"/>
        </w:rPr>
        <w:t>may</w:t>
      </w:r>
      <w:r>
        <w:rPr>
          <w:spacing w:val="-7"/>
          <w:w w:val="105"/>
          <w:sz w:val="21"/>
        </w:rPr>
        <w:t> </w:t>
      </w:r>
      <w:r>
        <w:rPr>
          <w:spacing w:val="-3"/>
          <w:w w:val="105"/>
          <w:sz w:val="21"/>
        </w:rPr>
        <w:t>take</w:t>
      </w:r>
      <w:r>
        <w:rPr>
          <w:spacing w:val="-7"/>
          <w:w w:val="105"/>
          <w:sz w:val="21"/>
        </w:rPr>
        <w:t> </w:t>
      </w:r>
      <w:r>
        <w:rPr>
          <w:w w:val="105"/>
          <w:sz w:val="21"/>
        </w:rPr>
        <w:t>some</w:t>
      </w:r>
      <w:r>
        <w:rPr>
          <w:spacing w:val="-6"/>
          <w:w w:val="105"/>
          <w:sz w:val="21"/>
        </w:rPr>
        <w:t> </w:t>
      </w:r>
      <w:r>
        <w:rPr>
          <w:w w:val="105"/>
          <w:sz w:val="21"/>
        </w:rPr>
        <w:t>time</w:t>
      </w:r>
      <w:r>
        <w:rPr>
          <w:spacing w:val="-7"/>
          <w:w w:val="105"/>
          <w:sz w:val="21"/>
        </w:rPr>
        <w:t> </w:t>
      </w:r>
      <w:r>
        <w:rPr>
          <w:spacing w:val="-3"/>
          <w:w w:val="105"/>
          <w:sz w:val="21"/>
        </w:rPr>
        <w:t>before</w:t>
      </w:r>
      <w:r>
        <w:rPr>
          <w:spacing w:val="-7"/>
          <w:w w:val="105"/>
          <w:sz w:val="21"/>
        </w:rPr>
        <w:t> </w:t>
      </w:r>
      <w:r>
        <w:rPr>
          <w:w w:val="105"/>
          <w:sz w:val="21"/>
        </w:rPr>
        <w:t>its</w:t>
      </w:r>
      <w:r>
        <w:rPr>
          <w:spacing w:val="-7"/>
          <w:w w:val="105"/>
          <w:sz w:val="21"/>
        </w:rPr>
        <w:t> </w:t>
      </w:r>
      <w:r>
        <w:rPr>
          <w:w w:val="105"/>
          <w:sz w:val="21"/>
        </w:rPr>
        <w:t>effectiveness</w:t>
      </w:r>
      <w:r>
        <w:rPr>
          <w:spacing w:val="-7"/>
          <w:w w:val="105"/>
          <w:sz w:val="21"/>
        </w:rPr>
        <w:t> </w:t>
      </w:r>
      <w:r>
        <w:rPr>
          <w:w w:val="105"/>
          <w:sz w:val="21"/>
        </w:rPr>
        <w:t>can</w:t>
      </w:r>
      <w:r>
        <w:rPr>
          <w:spacing w:val="-6"/>
          <w:w w:val="105"/>
          <w:sz w:val="21"/>
        </w:rPr>
        <w:t> </w:t>
      </w:r>
      <w:r>
        <w:rPr>
          <w:w w:val="105"/>
          <w:sz w:val="21"/>
        </w:rPr>
        <w:t>be</w:t>
      </w:r>
      <w:r>
        <w:rPr>
          <w:spacing w:val="-7"/>
          <w:w w:val="105"/>
          <w:sz w:val="21"/>
        </w:rPr>
        <w:t> </w:t>
      </w:r>
      <w:r>
        <w:rPr>
          <w:w w:val="105"/>
          <w:sz w:val="21"/>
        </w:rPr>
        <w:t>assessed.</w:t>
      </w:r>
      <w:r>
        <w:rPr>
          <w:spacing w:val="-7"/>
          <w:w w:val="105"/>
          <w:sz w:val="21"/>
        </w:rPr>
        <w:t> </w:t>
      </w:r>
      <w:r>
        <w:rPr>
          <w:w w:val="105"/>
          <w:sz w:val="21"/>
        </w:rPr>
        <w:t>The</w:t>
      </w:r>
      <w:r>
        <w:rPr>
          <w:spacing w:val="-7"/>
          <w:w w:val="105"/>
          <w:sz w:val="21"/>
        </w:rPr>
        <w:t> </w:t>
      </w:r>
      <w:r>
        <w:rPr>
          <w:spacing w:val="-3"/>
          <w:w w:val="105"/>
          <w:sz w:val="21"/>
        </w:rPr>
        <w:t>Commission</w:t>
      </w:r>
      <w:r>
        <w:rPr>
          <w:spacing w:val="-7"/>
          <w:w w:val="105"/>
          <w:sz w:val="21"/>
        </w:rPr>
        <w:t> </w:t>
      </w:r>
      <w:r>
        <w:rPr>
          <w:w w:val="105"/>
          <w:sz w:val="21"/>
        </w:rPr>
        <w:t>also observes </w:t>
      </w:r>
      <w:r>
        <w:rPr>
          <w:spacing w:val="-3"/>
          <w:w w:val="105"/>
          <w:sz w:val="21"/>
        </w:rPr>
        <w:t>that </w:t>
      </w:r>
      <w:r>
        <w:rPr>
          <w:w w:val="105"/>
          <w:sz w:val="21"/>
        </w:rPr>
        <w:t>NSWLEC and </w:t>
      </w:r>
      <w:r>
        <w:rPr>
          <w:spacing w:val="-4"/>
          <w:w w:val="105"/>
          <w:sz w:val="21"/>
        </w:rPr>
        <w:t>QCAT </w:t>
      </w:r>
      <w:r>
        <w:rPr>
          <w:spacing w:val="-3"/>
          <w:w w:val="105"/>
          <w:sz w:val="21"/>
        </w:rPr>
        <w:t>manage </w:t>
      </w:r>
      <w:r>
        <w:rPr>
          <w:w w:val="105"/>
          <w:sz w:val="21"/>
        </w:rPr>
        <w:t>a </w:t>
      </w:r>
      <w:r>
        <w:rPr>
          <w:spacing w:val="-3"/>
          <w:w w:val="105"/>
          <w:sz w:val="21"/>
        </w:rPr>
        <w:t>similar </w:t>
      </w:r>
      <w:r>
        <w:rPr>
          <w:w w:val="105"/>
          <w:sz w:val="21"/>
        </w:rPr>
        <w:t>number of tree </w:t>
      </w:r>
      <w:r>
        <w:rPr>
          <w:spacing w:val="-3"/>
          <w:w w:val="105"/>
          <w:sz w:val="21"/>
        </w:rPr>
        <w:t>disputes </w:t>
      </w:r>
      <w:r>
        <w:rPr>
          <w:w w:val="105"/>
          <w:sz w:val="21"/>
        </w:rPr>
        <w:t>even though New South </w:t>
      </w:r>
      <w:r>
        <w:rPr>
          <w:spacing w:val="-3"/>
          <w:w w:val="105"/>
          <w:sz w:val="21"/>
        </w:rPr>
        <w:t>Wales </w:t>
      </w:r>
      <w:r>
        <w:rPr>
          <w:w w:val="105"/>
          <w:sz w:val="21"/>
        </w:rPr>
        <w:t>does </w:t>
      </w:r>
      <w:r>
        <w:rPr>
          <w:spacing w:val="-2"/>
          <w:w w:val="105"/>
          <w:sz w:val="21"/>
        </w:rPr>
        <w:t>not </w:t>
      </w:r>
      <w:r>
        <w:rPr>
          <w:spacing w:val="-3"/>
          <w:w w:val="105"/>
          <w:sz w:val="21"/>
        </w:rPr>
        <w:t>have </w:t>
      </w:r>
      <w:r>
        <w:rPr>
          <w:w w:val="105"/>
          <w:sz w:val="21"/>
        </w:rPr>
        <w:t>a </w:t>
      </w:r>
      <w:r>
        <w:rPr>
          <w:spacing w:val="-3"/>
          <w:w w:val="105"/>
          <w:sz w:val="21"/>
        </w:rPr>
        <w:t>branch removal notice</w:t>
      </w:r>
      <w:r>
        <w:rPr>
          <w:spacing w:val="8"/>
          <w:w w:val="105"/>
          <w:sz w:val="21"/>
        </w:rPr>
        <w:t> </w:t>
      </w:r>
      <w:r>
        <w:rPr>
          <w:spacing w:val="-4"/>
          <w:w w:val="105"/>
          <w:sz w:val="21"/>
        </w:rPr>
        <w:t>process.</w:t>
      </w:r>
      <w:r>
        <w:rPr>
          <w:spacing w:val="-4"/>
          <w:w w:val="105"/>
          <w:position w:val="7"/>
          <w:sz w:val="12"/>
        </w:rPr>
        <w:t>179</w:t>
      </w:r>
    </w:p>
    <w:p>
      <w:pPr>
        <w:pStyle w:val="ListParagraph"/>
        <w:numPr>
          <w:ilvl w:val="1"/>
          <w:numId w:val="99"/>
        </w:numPr>
        <w:tabs>
          <w:tab w:pos="2380" w:val="left" w:leader="none"/>
          <w:tab w:pos="2382" w:val="left" w:leader="none"/>
        </w:tabs>
        <w:spacing w:line="240" w:lineRule="auto" w:before="126" w:after="0"/>
        <w:ind w:left="2381" w:right="0" w:hanging="794"/>
        <w:jc w:val="left"/>
        <w:rPr>
          <w:sz w:val="21"/>
        </w:rPr>
      </w:pPr>
      <w:r>
        <w:rPr>
          <w:sz w:val="21"/>
        </w:rPr>
        <w:t>If</w:t>
      </w:r>
      <w:r>
        <w:rPr>
          <w:spacing w:val="12"/>
          <w:sz w:val="21"/>
        </w:rPr>
        <w:t> </w:t>
      </w:r>
      <w:r>
        <w:rPr>
          <w:sz w:val="21"/>
        </w:rPr>
        <w:t>a</w:t>
      </w:r>
      <w:r>
        <w:rPr>
          <w:spacing w:val="13"/>
          <w:sz w:val="21"/>
        </w:rPr>
        <w:t> </w:t>
      </w:r>
      <w:r>
        <w:rPr>
          <w:spacing w:val="-3"/>
          <w:sz w:val="21"/>
        </w:rPr>
        <w:t>branch</w:t>
      </w:r>
      <w:r>
        <w:rPr>
          <w:spacing w:val="12"/>
          <w:sz w:val="21"/>
        </w:rPr>
        <w:t> </w:t>
      </w:r>
      <w:r>
        <w:rPr>
          <w:spacing w:val="-3"/>
          <w:sz w:val="21"/>
        </w:rPr>
        <w:t>removal</w:t>
      </w:r>
      <w:r>
        <w:rPr>
          <w:spacing w:val="13"/>
          <w:sz w:val="21"/>
        </w:rPr>
        <w:t> </w:t>
      </w:r>
      <w:r>
        <w:rPr>
          <w:spacing w:val="-3"/>
          <w:sz w:val="21"/>
        </w:rPr>
        <w:t>notice</w:t>
      </w:r>
      <w:r>
        <w:rPr>
          <w:spacing w:val="12"/>
          <w:sz w:val="21"/>
        </w:rPr>
        <w:t> </w:t>
      </w:r>
      <w:r>
        <w:rPr>
          <w:sz w:val="21"/>
        </w:rPr>
        <w:t>process</w:t>
      </w:r>
      <w:r>
        <w:rPr>
          <w:spacing w:val="13"/>
          <w:sz w:val="21"/>
        </w:rPr>
        <w:t> </w:t>
      </w:r>
      <w:r>
        <w:rPr>
          <w:sz w:val="21"/>
        </w:rPr>
        <w:t>is</w:t>
      </w:r>
      <w:r>
        <w:rPr>
          <w:spacing w:val="12"/>
          <w:sz w:val="21"/>
        </w:rPr>
        <w:t> </w:t>
      </w:r>
      <w:r>
        <w:rPr>
          <w:spacing w:val="-3"/>
          <w:sz w:val="21"/>
        </w:rPr>
        <w:t>introduced</w:t>
      </w:r>
      <w:r>
        <w:rPr>
          <w:spacing w:val="13"/>
          <w:sz w:val="21"/>
        </w:rPr>
        <w:t> </w:t>
      </w:r>
      <w:r>
        <w:rPr>
          <w:sz w:val="21"/>
        </w:rPr>
        <w:t>the</w:t>
      </w:r>
      <w:r>
        <w:rPr>
          <w:spacing w:val="12"/>
          <w:sz w:val="21"/>
        </w:rPr>
        <w:t> </w:t>
      </w:r>
      <w:r>
        <w:rPr>
          <w:spacing w:val="-4"/>
          <w:sz w:val="21"/>
        </w:rPr>
        <w:t>Commission’s</w:t>
      </w:r>
      <w:r>
        <w:rPr>
          <w:spacing w:val="13"/>
          <w:sz w:val="21"/>
        </w:rPr>
        <w:t> </w:t>
      </w:r>
      <w:r>
        <w:rPr>
          <w:spacing w:val="-3"/>
          <w:sz w:val="21"/>
        </w:rPr>
        <w:t>preliminary</w:t>
      </w:r>
      <w:r>
        <w:rPr>
          <w:spacing w:val="13"/>
          <w:sz w:val="21"/>
        </w:rPr>
        <w:t> </w:t>
      </w:r>
      <w:r>
        <w:rPr>
          <w:sz w:val="21"/>
        </w:rPr>
        <w:t>view</w:t>
      </w:r>
      <w:r>
        <w:rPr>
          <w:spacing w:val="12"/>
          <w:sz w:val="21"/>
        </w:rPr>
        <w:t> </w:t>
      </w:r>
      <w:r>
        <w:rPr>
          <w:sz w:val="21"/>
        </w:rPr>
        <w:t>is</w:t>
      </w:r>
      <w:r>
        <w:rPr>
          <w:spacing w:val="13"/>
          <w:sz w:val="21"/>
        </w:rPr>
        <w:t> </w:t>
      </w:r>
      <w:r>
        <w:rPr>
          <w:sz w:val="21"/>
        </w:rPr>
        <w:t>that:</w:t>
      </w:r>
    </w:p>
    <w:p>
      <w:pPr>
        <w:pStyle w:val="ListParagraph"/>
        <w:numPr>
          <w:ilvl w:val="2"/>
          <w:numId w:val="99"/>
        </w:numPr>
        <w:tabs>
          <w:tab w:pos="2721" w:val="left" w:leader="none"/>
          <w:tab w:pos="2722" w:val="left" w:leader="none"/>
        </w:tabs>
        <w:spacing w:line="242" w:lineRule="auto" w:before="124" w:after="0"/>
        <w:ind w:left="2721" w:right="1641" w:hanging="340"/>
        <w:jc w:val="left"/>
        <w:rPr>
          <w:sz w:val="21"/>
        </w:rPr>
      </w:pPr>
      <w:r>
        <w:rPr>
          <w:w w:val="105"/>
          <w:sz w:val="21"/>
        </w:rPr>
        <w:t>It should be </w:t>
      </w:r>
      <w:r>
        <w:rPr>
          <w:spacing w:val="-3"/>
          <w:w w:val="105"/>
          <w:sz w:val="21"/>
        </w:rPr>
        <w:t>accompanied </w:t>
      </w:r>
      <w:r>
        <w:rPr>
          <w:w w:val="105"/>
          <w:sz w:val="21"/>
        </w:rPr>
        <w:t>by a compulsory </w:t>
      </w:r>
      <w:r>
        <w:rPr>
          <w:spacing w:val="-3"/>
          <w:w w:val="105"/>
          <w:sz w:val="21"/>
        </w:rPr>
        <w:t>form that </w:t>
      </w:r>
      <w:r>
        <w:rPr>
          <w:w w:val="105"/>
          <w:sz w:val="21"/>
        </w:rPr>
        <w:t>puts the tree owner on </w:t>
      </w:r>
      <w:r>
        <w:rPr>
          <w:spacing w:val="-3"/>
          <w:w w:val="105"/>
          <w:sz w:val="21"/>
        </w:rPr>
        <w:t>notice </w:t>
      </w:r>
      <w:r>
        <w:rPr>
          <w:w w:val="105"/>
          <w:sz w:val="21"/>
        </w:rPr>
        <w:t>and</w:t>
      </w:r>
      <w:r>
        <w:rPr>
          <w:spacing w:val="-5"/>
          <w:w w:val="105"/>
          <w:sz w:val="21"/>
        </w:rPr>
        <w:t> </w:t>
      </w:r>
      <w:r>
        <w:rPr>
          <w:spacing w:val="-3"/>
          <w:w w:val="105"/>
          <w:sz w:val="21"/>
        </w:rPr>
        <w:t>includes</w:t>
      </w:r>
      <w:r>
        <w:rPr>
          <w:spacing w:val="-5"/>
          <w:w w:val="105"/>
          <w:sz w:val="21"/>
        </w:rPr>
        <w:t> </w:t>
      </w:r>
      <w:r>
        <w:rPr>
          <w:w w:val="105"/>
          <w:sz w:val="21"/>
        </w:rPr>
        <w:t>details</w:t>
      </w:r>
      <w:r>
        <w:rPr>
          <w:spacing w:val="-5"/>
          <w:w w:val="105"/>
          <w:sz w:val="21"/>
        </w:rPr>
        <w:t> </w:t>
      </w:r>
      <w:r>
        <w:rPr>
          <w:w w:val="105"/>
          <w:sz w:val="21"/>
        </w:rPr>
        <w:t>about</w:t>
      </w:r>
      <w:r>
        <w:rPr>
          <w:spacing w:val="-5"/>
          <w:w w:val="105"/>
          <w:sz w:val="21"/>
        </w:rPr>
        <w:t> </w:t>
      </w:r>
      <w:r>
        <w:rPr>
          <w:w w:val="105"/>
          <w:sz w:val="21"/>
        </w:rPr>
        <w:t>the</w:t>
      </w:r>
      <w:r>
        <w:rPr>
          <w:spacing w:val="-5"/>
          <w:w w:val="105"/>
          <w:sz w:val="21"/>
        </w:rPr>
        <w:t> </w:t>
      </w:r>
      <w:r>
        <w:rPr>
          <w:spacing w:val="-3"/>
          <w:w w:val="105"/>
          <w:sz w:val="21"/>
        </w:rPr>
        <w:t>overhanging</w:t>
      </w:r>
      <w:r>
        <w:rPr>
          <w:spacing w:val="-5"/>
          <w:w w:val="105"/>
          <w:sz w:val="21"/>
        </w:rPr>
        <w:t> </w:t>
      </w:r>
      <w:r>
        <w:rPr>
          <w:spacing w:val="-3"/>
          <w:w w:val="105"/>
          <w:sz w:val="21"/>
        </w:rPr>
        <w:t>branches</w:t>
      </w:r>
      <w:r>
        <w:rPr>
          <w:spacing w:val="-5"/>
          <w:w w:val="105"/>
          <w:sz w:val="21"/>
        </w:rPr>
        <w:t> </w:t>
      </w:r>
      <w:r>
        <w:rPr>
          <w:w w:val="105"/>
          <w:sz w:val="21"/>
        </w:rPr>
        <w:t>and</w:t>
      </w:r>
      <w:r>
        <w:rPr>
          <w:spacing w:val="-5"/>
          <w:w w:val="105"/>
          <w:sz w:val="21"/>
        </w:rPr>
        <w:t> </w:t>
      </w:r>
      <w:r>
        <w:rPr>
          <w:w w:val="105"/>
          <w:sz w:val="21"/>
        </w:rPr>
        <w:t>each</w:t>
      </w:r>
      <w:r>
        <w:rPr>
          <w:spacing w:val="-5"/>
          <w:w w:val="105"/>
          <w:sz w:val="21"/>
        </w:rPr>
        <w:t> </w:t>
      </w:r>
      <w:r>
        <w:rPr>
          <w:w w:val="105"/>
          <w:sz w:val="21"/>
        </w:rPr>
        <w:t>neighbours’</w:t>
      </w:r>
      <w:r>
        <w:rPr>
          <w:spacing w:val="-5"/>
          <w:w w:val="105"/>
          <w:sz w:val="21"/>
        </w:rPr>
        <w:t> </w:t>
      </w:r>
      <w:r>
        <w:rPr>
          <w:w w:val="105"/>
          <w:sz w:val="21"/>
        </w:rPr>
        <w:t>rights</w:t>
      </w:r>
      <w:r>
        <w:rPr>
          <w:spacing w:val="-5"/>
          <w:w w:val="105"/>
          <w:sz w:val="21"/>
        </w:rPr>
        <w:t> </w:t>
      </w:r>
      <w:r>
        <w:rPr>
          <w:w w:val="105"/>
          <w:sz w:val="21"/>
        </w:rPr>
        <w:t>and </w:t>
      </w:r>
      <w:r>
        <w:rPr>
          <w:spacing w:val="-3"/>
          <w:w w:val="105"/>
          <w:sz w:val="21"/>
        </w:rPr>
        <w:t>include </w:t>
      </w:r>
      <w:r>
        <w:rPr>
          <w:w w:val="105"/>
          <w:sz w:val="21"/>
        </w:rPr>
        <w:t>a response</w:t>
      </w:r>
      <w:r>
        <w:rPr>
          <w:spacing w:val="18"/>
          <w:w w:val="105"/>
          <w:sz w:val="21"/>
        </w:rPr>
        <w:t> </w:t>
      </w:r>
      <w:r>
        <w:rPr>
          <w:spacing w:val="-4"/>
          <w:w w:val="105"/>
          <w:sz w:val="21"/>
        </w:rPr>
        <w:t>form.</w:t>
      </w:r>
    </w:p>
    <w:p>
      <w:pPr>
        <w:pStyle w:val="ListParagraph"/>
        <w:numPr>
          <w:ilvl w:val="2"/>
          <w:numId w:val="99"/>
        </w:numPr>
        <w:tabs>
          <w:tab w:pos="2721" w:val="left" w:leader="none"/>
          <w:tab w:pos="2722" w:val="left" w:leader="none"/>
        </w:tabs>
        <w:spacing w:line="242" w:lineRule="auto" w:before="88" w:after="0"/>
        <w:ind w:left="2721" w:right="1986" w:hanging="340"/>
        <w:jc w:val="left"/>
        <w:rPr>
          <w:sz w:val="21"/>
        </w:rPr>
      </w:pPr>
      <w:r>
        <w:rPr>
          <w:sz w:val="21"/>
        </w:rPr>
        <w:t>It should </w:t>
      </w:r>
      <w:r>
        <w:rPr>
          <w:spacing w:val="-3"/>
          <w:sz w:val="21"/>
        </w:rPr>
        <w:t>incorporate safeguards similar to </w:t>
      </w:r>
      <w:r>
        <w:rPr>
          <w:sz w:val="21"/>
        </w:rPr>
        <w:t>those </w:t>
      </w:r>
      <w:r>
        <w:rPr>
          <w:spacing w:val="-3"/>
          <w:sz w:val="21"/>
        </w:rPr>
        <w:t>contained </w:t>
      </w:r>
      <w:r>
        <w:rPr>
          <w:sz w:val="21"/>
        </w:rPr>
        <w:t>in the </w:t>
      </w:r>
      <w:r>
        <w:rPr>
          <w:spacing w:val="-3"/>
          <w:sz w:val="21"/>
        </w:rPr>
        <w:t>Queensland </w:t>
      </w:r>
      <w:r>
        <w:rPr>
          <w:sz w:val="21"/>
        </w:rPr>
        <w:t>and </w:t>
      </w:r>
      <w:r>
        <w:rPr>
          <w:spacing w:val="-4"/>
          <w:sz w:val="21"/>
        </w:rPr>
        <w:t>Tasmanian</w:t>
      </w:r>
      <w:r>
        <w:rPr>
          <w:spacing w:val="8"/>
          <w:sz w:val="21"/>
        </w:rPr>
        <w:t> </w:t>
      </w:r>
      <w:r>
        <w:rPr>
          <w:sz w:val="21"/>
        </w:rPr>
        <w:t>Acts.</w:t>
      </w:r>
    </w:p>
    <w:p>
      <w:pPr>
        <w:pStyle w:val="ListParagraph"/>
        <w:numPr>
          <w:ilvl w:val="2"/>
          <w:numId w:val="99"/>
        </w:numPr>
        <w:tabs>
          <w:tab w:pos="2721" w:val="left" w:leader="none"/>
          <w:tab w:pos="2722" w:val="left" w:leader="none"/>
        </w:tabs>
        <w:spacing w:line="242" w:lineRule="auto" w:before="88" w:after="0"/>
        <w:ind w:left="2721" w:right="1841" w:hanging="340"/>
        <w:jc w:val="left"/>
        <w:rPr>
          <w:sz w:val="21"/>
        </w:rPr>
      </w:pPr>
      <w:r>
        <w:rPr>
          <w:sz w:val="21"/>
        </w:rPr>
        <w:t>The number of </w:t>
      </w:r>
      <w:r>
        <w:rPr>
          <w:spacing w:val="-3"/>
          <w:sz w:val="21"/>
        </w:rPr>
        <w:t>notices that </w:t>
      </w:r>
      <w:r>
        <w:rPr>
          <w:sz w:val="21"/>
        </w:rPr>
        <w:t>can be issued </w:t>
      </w:r>
      <w:r>
        <w:rPr>
          <w:spacing w:val="-3"/>
          <w:sz w:val="21"/>
        </w:rPr>
        <w:t>for any </w:t>
      </w:r>
      <w:r>
        <w:rPr>
          <w:sz w:val="21"/>
        </w:rPr>
        <w:t>tree in a </w:t>
      </w:r>
      <w:r>
        <w:rPr>
          <w:spacing w:val="-3"/>
          <w:sz w:val="21"/>
        </w:rPr>
        <w:t>calendar year </w:t>
      </w:r>
      <w:r>
        <w:rPr>
          <w:sz w:val="21"/>
        </w:rPr>
        <w:t>should be </w:t>
      </w:r>
      <w:r>
        <w:rPr>
          <w:spacing w:val="-3"/>
          <w:sz w:val="21"/>
        </w:rPr>
        <w:t>limited to prevent </w:t>
      </w:r>
      <w:r>
        <w:rPr>
          <w:sz w:val="21"/>
        </w:rPr>
        <w:t>the </w:t>
      </w:r>
      <w:r>
        <w:rPr>
          <w:spacing w:val="-3"/>
          <w:sz w:val="21"/>
        </w:rPr>
        <w:t>notice </w:t>
      </w:r>
      <w:r>
        <w:rPr>
          <w:sz w:val="21"/>
        </w:rPr>
        <w:t>being used vexatiously and </w:t>
      </w:r>
      <w:r>
        <w:rPr>
          <w:spacing w:val="-3"/>
          <w:sz w:val="21"/>
        </w:rPr>
        <w:t>to prevent </w:t>
      </w:r>
      <w:r>
        <w:rPr>
          <w:sz w:val="21"/>
        </w:rPr>
        <w:t>the unnecessary </w:t>
      </w:r>
      <w:r>
        <w:rPr>
          <w:spacing w:val="-3"/>
          <w:sz w:val="21"/>
        </w:rPr>
        <w:t>removal </w:t>
      </w:r>
      <w:r>
        <w:rPr>
          <w:sz w:val="21"/>
        </w:rPr>
        <w:t>of</w:t>
      </w:r>
      <w:r>
        <w:rPr>
          <w:spacing w:val="19"/>
          <w:sz w:val="21"/>
        </w:rPr>
        <w:t> </w:t>
      </w:r>
      <w:r>
        <w:rPr>
          <w:sz w:val="21"/>
        </w:rPr>
        <w:t>vegetation.</w:t>
      </w:r>
    </w:p>
    <w:p>
      <w:pPr>
        <w:pStyle w:val="ListParagraph"/>
        <w:numPr>
          <w:ilvl w:val="2"/>
          <w:numId w:val="99"/>
        </w:numPr>
        <w:tabs>
          <w:tab w:pos="2721" w:val="left" w:leader="none"/>
          <w:tab w:pos="2722" w:val="left" w:leader="none"/>
        </w:tabs>
        <w:spacing w:line="242" w:lineRule="auto" w:before="88" w:after="0"/>
        <w:ind w:left="2721" w:right="1665" w:hanging="340"/>
        <w:jc w:val="left"/>
        <w:rPr>
          <w:sz w:val="12"/>
        </w:rPr>
      </w:pPr>
      <w:r>
        <w:rPr>
          <w:w w:val="105"/>
          <w:sz w:val="21"/>
        </w:rPr>
        <w:t>It should </w:t>
      </w:r>
      <w:r>
        <w:rPr>
          <w:spacing w:val="-3"/>
          <w:w w:val="105"/>
          <w:sz w:val="21"/>
        </w:rPr>
        <w:t>include </w:t>
      </w:r>
      <w:r>
        <w:rPr>
          <w:w w:val="105"/>
          <w:sz w:val="21"/>
        </w:rPr>
        <w:t>a maximum statutory </w:t>
      </w:r>
      <w:r>
        <w:rPr>
          <w:spacing w:val="-3"/>
          <w:w w:val="105"/>
          <w:sz w:val="21"/>
        </w:rPr>
        <w:t>amount that </w:t>
      </w:r>
      <w:r>
        <w:rPr>
          <w:w w:val="105"/>
          <w:sz w:val="21"/>
        </w:rPr>
        <w:t>can be </w:t>
      </w:r>
      <w:r>
        <w:rPr>
          <w:spacing w:val="-3"/>
          <w:w w:val="105"/>
          <w:sz w:val="21"/>
        </w:rPr>
        <w:t>recovered </w:t>
      </w:r>
      <w:r>
        <w:rPr>
          <w:w w:val="105"/>
          <w:sz w:val="21"/>
        </w:rPr>
        <w:t>and </w:t>
      </w:r>
      <w:r>
        <w:rPr>
          <w:spacing w:val="-3"/>
          <w:w w:val="105"/>
          <w:sz w:val="21"/>
        </w:rPr>
        <w:t>that </w:t>
      </w:r>
      <w:r>
        <w:rPr>
          <w:w w:val="105"/>
          <w:sz w:val="21"/>
        </w:rPr>
        <w:t>the cost of the affected </w:t>
      </w:r>
      <w:r>
        <w:rPr>
          <w:spacing w:val="-3"/>
          <w:w w:val="105"/>
          <w:sz w:val="21"/>
        </w:rPr>
        <w:t>neighbour’s </w:t>
      </w:r>
      <w:r>
        <w:rPr>
          <w:w w:val="105"/>
          <w:sz w:val="21"/>
        </w:rPr>
        <w:t>own labour should be </w:t>
      </w:r>
      <w:r>
        <w:rPr>
          <w:spacing w:val="-3"/>
          <w:w w:val="105"/>
          <w:sz w:val="21"/>
        </w:rPr>
        <w:t>excluded. Consultation </w:t>
      </w:r>
      <w:r>
        <w:rPr>
          <w:w w:val="105"/>
          <w:sz w:val="21"/>
        </w:rPr>
        <w:t>should be undertaken about what would be an </w:t>
      </w:r>
      <w:r>
        <w:rPr>
          <w:spacing w:val="-3"/>
          <w:w w:val="105"/>
          <w:sz w:val="21"/>
        </w:rPr>
        <w:t>appropriate </w:t>
      </w:r>
      <w:r>
        <w:rPr>
          <w:w w:val="105"/>
          <w:sz w:val="21"/>
        </w:rPr>
        <w:t>statutory cap </w:t>
      </w:r>
      <w:r>
        <w:rPr>
          <w:spacing w:val="-3"/>
          <w:w w:val="105"/>
          <w:sz w:val="21"/>
        </w:rPr>
        <w:t>noting that </w:t>
      </w:r>
      <w:r>
        <w:rPr>
          <w:w w:val="105"/>
          <w:sz w:val="21"/>
        </w:rPr>
        <w:t>the QLRC recommended </w:t>
      </w:r>
      <w:r>
        <w:rPr>
          <w:spacing w:val="-3"/>
          <w:w w:val="105"/>
          <w:sz w:val="21"/>
        </w:rPr>
        <w:t>that </w:t>
      </w:r>
      <w:r>
        <w:rPr>
          <w:w w:val="105"/>
          <w:sz w:val="21"/>
        </w:rPr>
        <w:t>the </w:t>
      </w:r>
      <w:r>
        <w:rPr>
          <w:spacing w:val="-3"/>
          <w:w w:val="105"/>
          <w:sz w:val="21"/>
        </w:rPr>
        <w:t>amount </w:t>
      </w:r>
      <w:r>
        <w:rPr>
          <w:w w:val="105"/>
          <w:sz w:val="21"/>
        </w:rPr>
        <w:t>be </w:t>
      </w:r>
      <w:r>
        <w:rPr>
          <w:spacing w:val="-3"/>
          <w:w w:val="105"/>
          <w:sz w:val="21"/>
        </w:rPr>
        <w:t>increased from </w:t>
      </w:r>
      <w:r>
        <w:rPr>
          <w:w w:val="105"/>
          <w:sz w:val="21"/>
        </w:rPr>
        <w:t>$300 </w:t>
      </w:r>
      <w:r>
        <w:rPr>
          <w:spacing w:val="-3"/>
          <w:w w:val="105"/>
          <w:sz w:val="21"/>
        </w:rPr>
        <w:t>to </w:t>
      </w:r>
      <w:r>
        <w:rPr>
          <w:w w:val="105"/>
          <w:sz w:val="21"/>
        </w:rPr>
        <w:t>$500 and </w:t>
      </w:r>
      <w:r>
        <w:rPr>
          <w:spacing w:val="-3"/>
          <w:w w:val="105"/>
          <w:sz w:val="21"/>
        </w:rPr>
        <w:t>that </w:t>
      </w:r>
      <w:r>
        <w:rPr>
          <w:w w:val="105"/>
          <w:sz w:val="21"/>
        </w:rPr>
        <w:t>the cap is $500 in</w:t>
      </w:r>
      <w:r>
        <w:rPr>
          <w:spacing w:val="22"/>
          <w:w w:val="105"/>
          <w:sz w:val="21"/>
        </w:rPr>
        <w:t> </w:t>
      </w:r>
      <w:r>
        <w:rPr>
          <w:spacing w:val="-5"/>
          <w:w w:val="105"/>
          <w:sz w:val="21"/>
        </w:rPr>
        <w:t>Tasmania.</w:t>
      </w:r>
      <w:r>
        <w:rPr>
          <w:spacing w:val="-5"/>
          <w:w w:val="105"/>
          <w:position w:val="7"/>
          <w:sz w:val="12"/>
        </w:rPr>
        <w:t>180</w:t>
      </w:r>
    </w:p>
    <w:p>
      <w:pPr>
        <w:pStyle w:val="ListParagraph"/>
        <w:numPr>
          <w:ilvl w:val="2"/>
          <w:numId w:val="99"/>
        </w:numPr>
        <w:tabs>
          <w:tab w:pos="2721" w:val="left" w:leader="none"/>
          <w:tab w:pos="2722" w:val="left" w:leader="none"/>
        </w:tabs>
        <w:spacing w:line="242" w:lineRule="auto" w:before="90" w:after="0"/>
        <w:ind w:left="2721" w:right="1664" w:hanging="340"/>
        <w:jc w:val="left"/>
        <w:rPr>
          <w:sz w:val="21"/>
        </w:rPr>
      </w:pPr>
      <w:r>
        <w:rPr>
          <w:w w:val="105"/>
          <w:sz w:val="21"/>
        </w:rPr>
        <w:t>A</w:t>
      </w:r>
      <w:r>
        <w:rPr>
          <w:spacing w:val="-4"/>
          <w:w w:val="105"/>
          <w:sz w:val="21"/>
        </w:rPr>
        <w:t> </w:t>
      </w:r>
      <w:r>
        <w:rPr>
          <w:spacing w:val="-3"/>
          <w:w w:val="105"/>
          <w:sz w:val="21"/>
        </w:rPr>
        <w:t>third</w:t>
      </w:r>
      <w:r>
        <w:rPr>
          <w:spacing w:val="-4"/>
          <w:w w:val="105"/>
          <w:sz w:val="21"/>
        </w:rPr>
        <w:t> </w:t>
      </w:r>
      <w:r>
        <w:rPr>
          <w:spacing w:val="-3"/>
          <w:w w:val="105"/>
          <w:sz w:val="21"/>
        </w:rPr>
        <w:t>safeguard</w:t>
      </w:r>
      <w:r>
        <w:rPr>
          <w:spacing w:val="-4"/>
          <w:w w:val="105"/>
          <w:sz w:val="21"/>
        </w:rPr>
        <w:t> </w:t>
      </w:r>
      <w:r>
        <w:rPr>
          <w:w w:val="105"/>
          <w:sz w:val="21"/>
        </w:rPr>
        <w:t>trigger</w:t>
      </w:r>
      <w:r>
        <w:rPr>
          <w:spacing w:val="-3"/>
          <w:w w:val="105"/>
          <w:sz w:val="21"/>
        </w:rPr>
        <w:t> </w:t>
      </w:r>
      <w:r>
        <w:rPr>
          <w:w w:val="105"/>
          <w:sz w:val="21"/>
        </w:rPr>
        <w:t>(such</w:t>
      </w:r>
      <w:r>
        <w:rPr>
          <w:spacing w:val="-4"/>
          <w:w w:val="105"/>
          <w:sz w:val="21"/>
        </w:rPr>
        <w:t> </w:t>
      </w:r>
      <w:r>
        <w:rPr>
          <w:w w:val="105"/>
          <w:sz w:val="21"/>
        </w:rPr>
        <w:t>as</w:t>
      </w:r>
      <w:r>
        <w:rPr>
          <w:spacing w:val="-4"/>
          <w:w w:val="105"/>
          <w:sz w:val="21"/>
        </w:rPr>
        <w:t> </w:t>
      </w:r>
      <w:r>
        <w:rPr>
          <w:w w:val="105"/>
          <w:sz w:val="21"/>
        </w:rPr>
        <w:t>the</w:t>
      </w:r>
      <w:r>
        <w:rPr>
          <w:spacing w:val="-4"/>
          <w:w w:val="105"/>
          <w:sz w:val="21"/>
        </w:rPr>
        <w:t> </w:t>
      </w:r>
      <w:r>
        <w:rPr>
          <w:w w:val="105"/>
          <w:sz w:val="21"/>
        </w:rPr>
        <w:t>thickness</w:t>
      </w:r>
      <w:r>
        <w:rPr>
          <w:spacing w:val="-3"/>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branch)</w:t>
      </w:r>
      <w:r>
        <w:rPr>
          <w:spacing w:val="-4"/>
          <w:w w:val="105"/>
          <w:sz w:val="21"/>
        </w:rPr>
        <w:t> </w:t>
      </w:r>
      <w:r>
        <w:rPr>
          <w:w w:val="105"/>
          <w:sz w:val="21"/>
        </w:rPr>
        <w:t>should</w:t>
      </w:r>
      <w:r>
        <w:rPr>
          <w:spacing w:val="-3"/>
          <w:w w:val="105"/>
          <w:sz w:val="21"/>
        </w:rPr>
        <w:t> </w:t>
      </w:r>
      <w:r>
        <w:rPr>
          <w:spacing w:val="-2"/>
          <w:w w:val="105"/>
          <w:sz w:val="21"/>
        </w:rPr>
        <w:t>not</w:t>
      </w:r>
      <w:r>
        <w:rPr>
          <w:spacing w:val="-4"/>
          <w:w w:val="105"/>
          <w:sz w:val="21"/>
        </w:rPr>
        <w:t> </w:t>
      </w:r>
      <w:r>
        <w:rPr>
          <w:w w:val="105"/>
          <w:sz w:val="21"/>
        </w:rPr>
        <w:t>be</w:t>
      </w:r>
      <w:r>
        <w:rPr>
          <w:spacing w:val="-4"/>
          <w:w w:val="105"/>
          <w:sz w:val="21"/>
        </w:rPr>
        <w:t> </w:t>
      </w:r>
      <w:r>
        <w:rPr>
          <w:spacing w:val="-3"/>
          <w:w w:val="105"/>
          <w:sz w:val="21"/>
        </w:rPr>
        <w:t>included </w:t>
      </w:r>
      <w:r>
        <w:rPr>
          <w:w w:val="105"/>
          <w:sz w:val="21"/>
        </w:rPr>
        <w:t>as</w:t>
      </w:r>
      <w:r>
        <w:rPr>
          <w:spacing w:val="-11"/>
          <w:w w:val="105"/>
          <w:sz w:val="21"/>
        </w:rPr>
        <w:t> </w:t>
      </w:r>
      <w:r>
        <w:rPr>
          <w:w w:val="105"/>
          <w:sz w:val="21"/>
        </w:rPr>
        <w:t>this</w:t>
      </w:r>
      <w:r>
        <w:rPr>
          <w:spacing w:val="-10"/>
          <w:w w:val="105"/>
          <w:sz w:val="21"/>
        </w:rPr>
        <w:t> </w:t>
      </w:r>
      <w:r>
        <w:rPr>
          <w:w w:val="105"/>
          <w:sz w:val="21"/>
        </w:rPr>
        <w:t>would</w:t>
      </w:r>
      <w:r>
        <w:rPr>
          <w:spacing w:val="-10"/>
          <w:w w:val="105"/>
          <w:sz w:val="21"/>
        </w:rPr>
        <w:t> </w:t>
      </w:r>
      <w:r>
        <w:rPr>
          <w:w w:val="105"/>
          <w:sz w:val="21"/>
        </w:rPr>
        <w:t>be</w:t>
      </w:r>
      <w:r>
        <w:rPr>
          <w:spacing w:val="-10"/>
          <w:w w:val="105"/>
          <w:sz w:val="21"/>
        </w:rPr>
        <w:t> </w:t>
      </w:r>
      <w:r>
        <w:rPr>
          <w:w w:val="105"/>
          <w:sz w:val="21"/>
        </w:rPr>
        <w:t>difficult</w:t>
      </w:r>
      <w:r>
        <w:rPr>
          <w:spacing w:val="-10"/>
          <w:w w:val="105"/>
          <w:sz w:val="21"/>
        </w:rPr>
        <w:t> </w:t>
      </w:r>
      <w:r>
        <w:rPr>
          <w:spacing w:val="-3"/>
          <w:w w:val="105"/>
          <w:sz w:val="21"/>
        </w:rPr>
        <w:t>for</w:t>
      </w:r>
      <w:r>
        <w:rPr>
          <w:spacing w:val="-10"/>
          <w:w w:val="105"/>
          <w:sz w:val="21"/>
        </w:rPr>
        <w:t> </w:t>
      </w:r>
      <w:r>
        <w:rPr>
          <w:w w:val="105"/>
          <w:sz w:val="21"/>
        </w:rPr>
        <w:t>community</w:t>
      </w:r>
      <w:r>
        <w:rPr>
          <w:spacing w:val="-10"/>
          <w:w w:val="105"/>
          <w:sz w:val="21"/>
        </w:rPr>
        <w:t> </w:t>
      </w:r>
      <w:r>
        <w:rPr>
          <w:w w:val="105"/>
          <w:sz w:val="21"/>
        </w:rPr>
        <w:t>members</w:t>
      </w:r>
      <w:r>
        <w:rPr>
          <w:spacing w:val="-10"/>
          <w:w w:val="105"/>
          <w:sz w:val="21"/>
        </w:rPr>
        <w:t> </w:t>
      </w:r>
      <w:r>
        <w:rPr>
          <w:spacing w:val="-3"/>
          <w:w w:val="105"/>
          <w:sz w:val="21"/>
        </w:rPr>
        <w:t>to</w:t>
      </w:r>
      <w:r>
        <w:rPr>
          <w:spacing w:val="-10"/>
          <w:w w:val="105"/>
          <w:sz w:val="21"/>
        </w:rPr>
        <w:t> </w:t>
      </w:r>
      <w:r>
        <w:rPr>
          <w:spacing w:val="-3"/>
          <w:w w:val="105"/>
          <w:sz w:val="21"/>
        </w:rPr>
        <w:t>measure,</w:t>
      </w:r>
      <w:r>
        <w:rPr>
          <w:spacing w:val="-10"/>
          <w:w w:val="105"/>
          <w:sz w:val="21"/>
        </w:rPr>
        <w:t> </w:t>
      </w:r>
      <w:r>
        <w:rPr>
          <w:w w:val="105"/>
          <w:sz w:val="21"/>
        </w:rPr>
        <w:t>especially</w:t>
      </w:r>
      <w:r>
        <w:rPr>
          <w:spacing w:val="-10"/>
          <w:w w:val="105"/>
          <w:sz w:val="21"/>
        </w:rPr>
        <w:t> </w:t>
      </w:r>
      <w:r>
        <w:rPr>
          <w:w w:val="105"/>
          <w:sz w:val="21"/>
        </w:rPr>
        <w:t>where</w:t>
      </w:r>
      <w:r>
        <w:rPr>
          <w:spacing w:val="-10"/>
          <w:w w:val="105"/>
          <w:sz w:val="21"/>
        </w:rPr>
        <w:t> </w:t>
      </w:r>
      <w:r>
        <w:rPr>
          <w:w w:val="105"/>
          <w:sz w:val="21"/>
        </w:rPr>
        <w:t>they do </w:t>
      </w:r>
      <w:r>
        <w:rPr>
          <w:spacing w:val="-2"/>
          <w:w w:val="105"/>
          <w:sz w:val="21"/>
        </w:rPr>
        <w:t>not </w:t>
      </w:r>
      <w:r>
        <w:rPr>
          <w:spacing w:val="-3"/>
          <w:w w:val="105"/>
          <w:sz w:val="21"/>
        </w:rPr>
        <w:t>have </w:t>
      </w:r>
      <w:r>
        <w:rPr>
          <w:spacing w:val="-2"/>
          <w:w w:val="105"/>
          <w:sz w:val="21"/>
        </w:rPr>
        <w:t>access </w:t>
      </w:r>
      <w:r>
        <w:rPr>
          <w:spacing w:val="-3"/>
          <w:w w:val="105"/>
          <w:sz w:val="21"/>
        </w:rPr>
        <w:t>to </w:t>
      </w:r>
      <w:r>
        <w:rPr>
          <w:w w:val="105"/>
          <w:sz w:val="21"/>
        </w:rPr>
        <w:t>the tree </w:t>
      </w:r>
      <w:r>
        <w:rPr>
          <w:spacing w:val="-3"/>
          <w:w w:val="105"/>
          <w:sz w:val="21"/>
        </w:rPr>
        <w:t>owner’s</w:t>
      </w:r>
      <w:r>
        <w:rPr>
          <w:w w:val="105"/>
          <w:sz w:val="21"/>
        </w:rPr>
        <w:t> </w:t>
      </w:r>
      <w:r>
        <w:rPr>
          <w:spacing w:val="-3"/>
          <w:w w:val="105"/>
          <w:sz w:val="21"/>
        </w:rPr>
        <w:t>land.</w:t>
      </w:r>
    </w:p>
    <w:p>
      <w:pPr>
        <w:pStyle w:val="ListParagraph"/>
        <w:numPr>
          <w:ilvl w:val="1"/>
          <w:numId w:val="99"/>
        </w:numPr>
        <w:tabs>
          <w:tab w:pos="2381" w:val="left" w:leader="none"/>
          <w:tab w:pos="2382" w:val="left" w:leader="none"/>
        </w:tabs>
        <w:spacing w:line="242" w:lineRule="auto" w:before="89" w:after="0"/>
        <w:ind w:left="2381" w:right="1751" w:hanging="794"/>
        <w:jc w:val="left"/>
        <w:rPr>
          <w:sz w:val="21"/>
        </w:rPr>
      </w:pPr>
      <w:r>
        <w:rPr>
          <w:spacing w:val="-3"/>
          <w:sz w:val="21"/>
        </w:rPr>
        <w:t>Importantly, </w:t>
      </w:r>
      <w:r>
        <w:rPr>
          <w:sz w:val="21"/>
        </w:rPr>
        <w:t>a </w:t>
      </w:r>
      <w:r>
        <w:rPr>
          <w:spacing w:val="-3"/>
          <w:sz w:val="21"/>
        </w:rPr>
        <w:t>branch removal notice  </w:t>
      </w:r>
      <w:r>
        <w:rPr>
          <w:sz w:val="21"/>
        </w:rPr>
        <w:t>should </w:t>
      </w:r>
      <w:r>
        <w:rPr>
          <w:spacing w:val="-3"/>
          <w:sz w:val="21"/>
        </w:rPr>
        <w:t>supplement</w:t>
      </w:r>
      <w:r>
        <w:rPr>
          <w:spacing w:val="41"/>
          <w:sz w:val="21"/>
        </w:rPr>
        <w:t> </w:t>
      </w:r>
      <w:r>
        <w:rPr>
          <w:sz w:val="21"/>
        </w:rPr>
        <w:t>the options </w:t>
      </w:r>
      <w:r>
        <w:rPr>
          <w:spacing w:val="-3"/>
          <w:sz w:val="21"/>
        </w:rPr>
        <w:t>available  to  </w:t>
      </w:r>
      <w:r>
        <w:rPr>
          <w:sz w:val="21"/>
        </w:rPr>
        <w:t>people </w:t>
      </w:r>
      <w:r>
        <w:rPr>
          <w:spacing w:val="-3"/>
          <w:sz w:val="21"/>
        </w:rPr>
        <w:t>to </w:t>
      </w:r>
      <w:r>
        <w:rPr>
          <w:sz w:val="21"/>
        </w:rPr>
        <w:t>resolve their </w:t>
      </w:r>
      <w:r>
        <w:rPr>
          <w:spacing w:val="-3"/>
          <w:sz w:val="21"/>
        </w:rPr>
        <w:t>disputes before initiating  </w:t>
      </w:r>
      <w:r>
        <w:rPr>
          <w:sz w:val="21"/>
        </w:rPr>
        <w:t>an  application  in  </w:t>
      </w:r>
      <w:r>
        <w:rPr>
          <w:spacing w:val="-8"/>
          <w:sz w:val="21"/>
        </w:rPr>
        <w:t>VCAT.  </w:t>
      </w:r>
      <w:r>
        <w:rPr>
          <w:spacing w:val="-3"/>
          <w:sz w:val="21"/>
        </w:rPr>
        <w:t>Branches  covered  </w:t>
      </w:r>
      <w:r>
        <w:rPr>
          <w:sz w:val="21"/>
        </w:rPr>
        <w:t>by this process would </w:t>
      </w:r>
      <w:r>
        <w:rPr>
          <w:spacing w:val="-3"/>
          <w:sz w:val="21"/>
        </w:rPr>
        <w:t>continue to </w:t>
      </w:r>
      <w:r>
        <w:rPr>
          <w:sz w:val="21"/>
        </w:rPr>
        <w:t>be able </w:t>
      </w:r>
      <w:r>
        <w:rPr>
          <w:spacing w:val="-3"/>
          <w:sz w:val="21"/>
        </w:rPr>
        <w:t>to </w:t>
      </w:r>
      <w:r>
        <w:rPr>
          <w:sz w:val="21"/>
        </w:rPr>
        <w:t>be removed by the </w:t>
      </w:r>
      <w:r>
        <w:rPr>
          <w:spacing w:val="-2"/>
          <w:sz w:val="21"/>
        </w:rPr>
        <w:t>common </w:t>
      </w:r>
      <w:r>
        <w:rPr>
          <w:sz w:val="21"/>
        </w:rPr>
        <w:t>law remedy of </w:t>
      </w:r>
      <w:r>
        <w:rPr>
          <w:spacing w:val="-3"/>
          <w:sz w:val="21"/>
        </w:rPr>
        <w:t>abatement </w:t>
      </w:r>
      <w:r>
        <w:rPr>
          <w:sz w:val="21"/>
        </w:rPr>
        <w:t>and the affected </w:t>
      </w:r>
      <w:r>
        <w:rPr>
          <w:spacing w:val="-3"/>
          <w:sz w:val="21"/>
        </w:rPr>
        <w:t>neighbour </w:t>
      </w:r>
      <w:r>
        <w:rPr>
          <w:sz w:val="21"/>
        </w:rPr>
        <w:t>would still be able </w:t>
      </w:r>
      <w:r>
        <w:rPr>
          <w:spacing w:val="-3"/>
          <w:sz w:val="21"/>
        </w:rPr>
        <w:t>to take </w:t>
      </w:r>
      <w:r>
        <w:rPr>
          <w:sz w:val="21"/>
        </w:rPr>
        <w:t>legal action in </w:t>
      </w:r>
      <w:r>
        <w:rPr>
          <w:spacing w:val="-5"/>
          <w:sz w:val="21"/>
        </w:rPr>
        <w:t>VCAT </w:t>
      </w:r>
      <w:r>
        <w:rPr>
          <w:sz w:val="21"/>
        </w:rPr>
        <w:t>if  they </w:t>
      </w:r>
      <w:r>
        <w:rPr>
          <w:spacing w:val="-3"/>
          <w:sz w:val="21"/>
        </w:rPr>
        <w:t>are </w:t>
      </w:r>
      <w:r>
        <w:rPr>
          <w:sz w:val="21"/>
        </w:rPr>
        <w:t>seeking particular repairs or </w:t>
      </w:r>
      <w:r>
        <w:rPr>
          <w:spacing w:val="-3"/>
          <w:sz w:val="21"/>
        </w:rPr>
        <w:t>to recoup </w:t>
      </w:r>
      <w:r>
        <w:rPr>
          <w:sz w:val="21"/>
        </w:rPr>
        <w:t>costs over and above the statutory</w:t>
      </w:r>
      <w:r>
        <w:rPr>
          <w:spacing w:val="8"/>
          <w:sz w:val="21"/>
        </w:rPr>
        <w:t> </w:t>
      </w:r>
      <w:r>
        <w:rPr>
          <w:spacing w:val="-3"/>
          <w:sz w:val="21"/>
        </w:rPr>
        <w:t>cap.</w:t>
      </w:r>
    </w:p>
    <w:p>
      <w:pPr>
        <w:pStyle w:val="BodyText"/>
        <w:rPr>
          <w:sz w:val="20"/>
        </w:rPr>
      </w:pPr>
    </w:p>
    <w:p>
      <w:pPr>
        <w:pStyle w:val="BodyText"/>
        <w:rPr>
          <w:sz w:val="20"/>
        </w:rPr>
      </w:pPr>
    </w:p>
    <w:p>
      <w:pPr>
        <w:pStyle w:val="BodyText"/>
        <w:spacing w:before="6"/>
        <w:rPr>
          <w:sz w:val="25"/>
        </w:rPr>
      </w:pPr>
      <w:r>
        <w:rPr/>
        <w:pict>
          <v:line style="position:absolute;mso-position-horizontal-relative:page;mso-position-vertical-relative:paragraph;z-index:6320;mso-wrap-distance-left:0;mso-wrap-distance-right:0" from="79.370102pt,18.045717pt" to="515.905102pt,18.04571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07"/>
        </w:numPr>
        <w:tabs>
          <w:tab w:pos="2381" w:val="left" w:leader="none"/>
          <w:tab w:pos="2382" w:val="left" w:leader="none"/>
        </w:tabs>
        <w:spacing w:line="240" w:lineRule="auto" w:before="48" w:after="0"/>
        <w:ind w:left="2381" w:right="0" w:hanging="794"/>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107"/>
        </w:numPr>
        <w:tabs>
          <w:tab w:pos="2381" w:val="left" w:leader="none"/>
          <w:tab w:pos="2382" w:val="left" w:leader="none"/>
        </w:tabs>
        <w:spacing w:line="240" w:lineRule="auto" w:before="1" w:after="0"/>
        <w:ind w:left="2381" w:right="0" w:hanging="794"/>
        <w:jc w:val="left"/>
        <w:rPr>
          <w:sz w:val="13"/>
        </w:rPr>
      </w:pPr>
      <w:r>
        <w:rPr>
          <w:w w:val="105"/>
          <w:sz w:val="13"/>
        </w:rPr>
        <w:t>The NSWLEC handles approximately 10–13 tree dispute cases per month and QCAT handles approximately 200 tree dispute cases per year   (an average of approximately 16 cases a month): Consultations </w:t>
      </w:r>
      <w:r>
        <w:rPr>
          <w:spacing w:val="-6"/>
          <w:w w:val="105"/>
          <w:sz w:val="13"/>
        </w:rPr>
        <w:t>11 </w:t>
      </w:r>
      <w:r>
        <w:rPr>
          <w:spacing w:val="2"/>
          <w:w w:val="105"/>
          <w:sz w:val="13"/>
        </w:rPr>
        <w:t>(Land </w:t>
      </w:r>
      <w:r>
        <w:rPr>
          <w:w w:val="105"/>
          <w:sz w:val="13"/>
        </w:rPr>
        <w:t>and Environment Court of New South Wales), </w:t>
      </w:r>
      <w:r>
        <w:rPr>
          <w:spacing w:val="-3"/>
          <w:w w:val="105"/>
          <w:sz w:val="13"/>
        </w:rPr>
        <w:t>15 </w:t>
      </w:r>
      <w:r>
        <w:rPr>
          <w:w w:val="105"/>
          <w:sz w:val="13"/>
        </w:rPr>
        <w:t>(Queensland Civil and Administrative</w:t>
      </w:r>
      <w:r>
        <w:rPr>
          <w:spacing w:val="9"/>
          <w:w w:val="105"/>
          <w:sz w:val="13"/>
        </w:rPr>
        <w:t> </w:t>
      </w:r>
      <w:r>
        <w:rPr>
          <w:w w:val="105"/>
          <w:sz w:val="13"/>
        </w:rPr>
        <w:t>Tribunal).</w:t>
      </w:r>
    </w:p>
    <w:p>
      <w:pPr>
        <w:pStyle w:val="ListParagraph"/>
        <w:numPr>
          <w:ilvl w:val="0"/>
          <w:numId w:val="107"/>
        </w:numPr>
        <w:tabs>
          <w:tab w:pos="2381" w:val="left" w:leader="none"/>
          <w:tab w:pos="2382" w:val="left" w:leader="none"/>
        </w:tabs>
        <w:spacing w:line="240" w:lineRule="auto" w:before="4" w:after="0"/>
        <w:ind w:left="2381" w:right="197" w:hanging="794"/>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 2015) [3.313]; </w:t>
      </w:r>
      <w:r>
        <w:rPr>
          <w:i/>
          <w:w w:val="105"/>
          <w:sz w:val="13"/>
        </w:rPr>
        <w:t>Neighbourhood Disputes About Plants Act </w:t>
      </w:r>
      <w:r>
        <w:rPr>
          <w:i/>
          <w:spacing w:val="-4"/>
          <w:w w:val="105"/>
          <w:sz w:val="13"/>
        </w:rPr>
        <w:t>2017 </w:t>
      </w:r>
      <w:r>
        <w:rPr>
          <w:w w:val="105"/>
          <w:sz w:val="13"/>
        </w:rPr>
        <w:t>(Tas) s 21(3); Department of Justice (Tas), </w:t>
      </w:r>
      <w:r>
        <w:rPr>
          <w:i/>
          <w:w w:val="105"/>
          <w:sz w:val="13"/>
        </w:rPr>
        <w:t>Neighbourhood </w:t>
      </w:r>
      <w:r>
        <w:rPr>
          <w:i/>
          <w:w w:val="105"/>
          <w:sz w:val="13"/>
        </w:rPr>
        <w:t>Disputes About Plants </w:t>
      </w:r>
      <w:r>
        <w:rPr>
          <w:w w:val="105"/>
          <w:sz w:val="13"/>
        </w:rPr>
        <w:t>(Web Page) &lt;https://</w:t>
      </w:r>
      <w:hyperlink r:id="rId139">
        <w:r>
          <w:rPr>
            <w:w w:val="105"/>
            <w:sz w:val="13"/>
          </w:rPr>
          <w:t>www.justice.tas.gov.au/mediation_and_dispute_resolution/neighbourhood-disputes-about-</w:t>
        </w:r>
      </w:hyperlink>
      <w:r>
        <w:rPr>
          <w:w w:val="105"/>
          <w:sz w:val="13"/>
        </w:rPr>
        <w:t> plants&gt;.</w:t>
      </w:r>
    </w:p>
    <w:p>
      <w:pPr>
        <w:pStyle w:val="BodyText"/>
        <w:rPr>
          <w:sz w:val="28"/>
        </w:rPr>
      </w:pPr>
      <w:r>
        <w:rPr/>
        <w:br w:type="column"/>
      </w:r>
      <w:r>
        <w:rPr>
          <w:sz w:val="28"/>
        </w:rPr>
      </w:r>
    </w:p>
    <w:p>
      <w:pPr>
        <w:pStyle w:val="BodyText"/>
        <w:rPr>
          <w:sz w:val="28"/>
        </w:rPr>
      </w:pPr>
    </w:p>
    <w:p>
      <w:pPr>
        <w:pStyle w:val="BodyText"/>
        <w:spacing w:before="1"/>
        <w:rPr>
          <w:sz w:val="31"/>
        </w:rPr>
      </w:pPr>
    </w:p>
    <w:p>
      <w:pPr>
        <w:spacing w:before="0"/>
        <w:ind w:left="551" w:right="573" w:firstLine="0"/>
        <w:jc w:val="center"/>
        <w:rPr>
          <w:b/>
          <w:sz w:val="24"/>
        </w:rPr>
      </w:pPr>
      <w:r>
        <w:rPr>
          <w:b/>
          <w:color w:val="658464"/>
          <w:w w:val="110"/>
          <w:sz w:val="24"/>
        </w:rPr>
        <w:t>131</w:t>
      </w:r>
    </w:p>
    <w:p>
      <w:pPr>
        <w:spacing w:after="0"/>
        <w:jc w:val="center"/>
        <w:rPr>
          <w:sz w:val="24"/>
        </w:rPr>
        <w:sectPr>
          <w:type w:val="continuous"/>
          <w:pgSz w:w="11910" w:h="16840"/>
          <w:pgMar w:top="300" w:bottom="280" w:left="0" w:right="0"/>
          <w:cols w:num="2" w:equalWidth="0">
            <w:col w:w="10303" w:space="40"/>
            <w:col w:w="1567"/>
          </w:cols>
        </w:sectPr>
      </w:pPr>
    </w:p>
    <w:p>
      <w:pPr>
        <w:pStyle w:val="BodyText"/>
        <w:spacing w:before="11"/>
        <w:rPr>
          <w:b/>
        </w:rPr>
      </w:pPr>
    </w:p>
    <w:p>
      <w:pPr>
        <w:spacing w:before="96"/>
        <w:ind w:left="1587" w:right="0" w:firstLine="0"/>
        <w:jc w:val="left"/>
        <w:rPr>
          <w:b/>
          <w:sz w:val="24"/>
        </w:rPr>
      </w:pPr>
      <w:bookmarkStart w:name="_bookmark71" w:id="157"/>
      <w:bookmarkEnd w:id="157"/>
      <w:r>
        <w:rPr/>
      </w:r>
      <w:r>
        <w:rPr>
          <w:b/>
          <w:w w:val="110"/>
          <w:sz w:val="24"/>
        </w:rPr>
        <w:t>Not recommended: a general notice process</w:t>
      </w:r>
    </w:p>
    <w:p>
      <w:pPr>
        <w:pStyle w:val="ListParagraph"/>
        <w:numPr>
          <w:ilvl w:val="1"/>
          <w:numId w:val="99"/>
        </w:numPr>
        <w:tabs>
          <w:tab w:pos="2381" w:val="left" w:leader="none"/>
          <w:tab w:pos="2382" w:val="left" w:leader="none"/>
        </w:tabs>
        <w:spacing w:line="242" w:lineRule="auto" w:before="137" w:after="0"/>
        <w:ind w:left="2381" w:right="1832" w:hanging="794"/>
        <w:jc w:val="left"/>
        <w:rPr>
          <w:sz w:val="21"/>
        </w:rPr>
      </w:pPr>
      <w:r>
        <w:rPr>
          <w:w w:val="105"/>
          <w:sz w:val="21"/>
        </w:rPr>
        <w:t>The </w:t>
      </w:r>
      <w:r>
        <w:rPr>
          <w:spacing w:val="-3"/>
          <w:w w:val="105"/>
          <w:sz w:val="21"/>
        </w:rPr>
        <w:t>Commission </w:t>
      </w:r>
      <w:r>
        <w:rPr>
          <w:w w:val="105"/>
          <w:sz w:val="21"/>
        </w:rPr>
        <w:t>does </w:t>
      </w:r>
      <w:r>
        <w:rPr>
          <w:spacing w:val="-2"/>
          <w:w w:val="105"/>
          <w:sz w:val="21"/>
        </w:rPr>
        <w:t>not </w:t>
      </w:r>
      <w:r>
        <w:rPr>
          <w:spacing w:val="-3"/>
          <w:w w:val="105"/>
          <w:sz w:val="21"/>
        </w:rPr>
        <w:t>recommend that </w:t>
      </w:r>
      <w:r>
        <w:rPr>
          <w:w w:val="105"/>
          <w:sz w:val="21"/>
        </w:rPr>
        <w:t>the new Act </w:t>
      </w:r>
      <w:r>
        <w:rPr>
          <w:spacing w:val="-3"/>
          <w:w w:val="105"/>
          <w:sz w:val="21"/>
        </w:rPr>
        <w:t>incorporate </w:t>
      </w:r>
      <w:r>
        <w:rPr>
          <w:w w:val="105"/>
          <w:sz w:val="21"/>
        </w:rPr>
        <w:t>a process </w:t>
      </w:r>
      <w:r>
        <w:rPr>
          <w:spacing w:val="-3"/>
          <w:w w:val="105"/>
          <w:sz w:val="21"/>
        </w:rPr>
        <w:t>allowing </w:t>
      </w:r>
      <w:r>
        <w:rPr>
          <w:w w:val="105"/>
          <w:sz w:val="21"/>
        </w:rPr>
        <w:t>an affected </w:t>
      </w:r>
      <w:r>
        <w:rPr>
          <w:spacing w:val="-3"/>
          <w:w w:val="105"/>
          <w:sz w:val="21"/>
        </w:rPr>
        <w:t>neighbour to </w:t>
      </w:r>
      <w:r>
        <w:rPr>
          <w:w w:val="105"/>
          <w:sz w:val="21"/>
        </w:rPr>
        <w:t>issue a </w:t>
      </w:r>
      <w:r>
        <w:rPr>
          <w:spacing w:val="-3"/>
          <w:w w:val="105"/>
          <w:sz w:val="21"/>
        </w:rPr>
        <w:t>formal notice requiring </w:t>
      </w:r>
      <w:r>
        <w:rPr>
          <w:w w:val="105"/>
          <w:sz w:val="21"/>
        </w:rPr>
        <w:t>the tree owner </w:t>
      </w:r>
      <w:r>
        <w:rPr>
          <w:spacing w:val="-3"/>
          <w:w w:val="105"/>
          <w:sz w:val="21"/>
        </w:rPr>
        <w:t>to take </w:t>
      </w:r>
      <w:r>
        <w:rPr>
          <w:w w:val="105"/>
          <w:sz w:val="21"/>
        </w:rPr>
        <w:t>action, as occurs in </w:t>
      </w:r>
      <w:r>
        <w:rPr>
          <w:spacing w:val="-4"/>
          <w:w w:val="105"/>
          <w:sz w:val="21"/>
        </w:rPr>
        <w:t>Tasmania. </w:t>
      </w:r>
      <w:r>
        <w:rPr>
          <w:w w:val="105"/>
          <w:sz w:val="21"/>
        </w:rPr>
        <w:t>It would add a </w:t>
      </w:r>
      <w:r>
        <w:rPr>
          <w:spacing w:val="-3"/>
          <w:w w:val="105"/>
          <w:sz w:val="21"/>
        </w:rPr>
        <w:t>layer </w:t>
      </w:r>
      <w:r>
        <w:rPr>
          <w:w w:val="105"/>
          <w:sz w:val="21"/>
        </w:rPr>
        <w:t>of complexity and </w:t>
      </w:r>
      <w:r>
        <w:rPr>
          <w:spacing w:val="-3"/>
          <w:w w:val="105"/>
          <w:sz w:val="21"/>
        </w:rPr>
        <w:t>bureaucracy that </w:t>
      </w:r>
      <w:r>
        <w:rPr>
          <w:w w:val="105"/>
          <w:sz w:val="21"/>
        </w:rPr>
        <w:t>the community </w:t>
      </w:r>
      <w:r>
        <w:rPr>
          <w:spacing w:val="-3"/>
          <w:w w:val="105"/>
          <w:sz w:val="21"/>
        </w:rPr>
        <w:t>may </w:t>
      </w:r>
      <w:r>
        <w:rPr>
          <w:w w:val="105"/>
          <w:sz w:val="21"/>
        </w:rPr>
        <w:t>find </w:t>
      </w:r>
      <w:r>
        <w:rPr>
          <w:spacing w:val="-3"/>
          <w:w w:val="105"/>
          <w:sz w:val="21"/>
        </w:rPr>
        <w:t>hard to </w:t>
      </w:r>
      <w:r>
        <w:rPr>
          <w:spacing w:val="-4"/>
          <w:w w:val="105"/>
          <w:sz w:val="21"/>
        </w:rPr>
        <w:t>navigate. </w:t>
      </w:r>
      <w:r>
        <w:rPr>
          <w:w w:val="105"/>
          <w:sz w:val="21"/>
        </w:rPr>
        <w:t>The </w:t>
      </w:r>
      <w:r>
        <w:rPr>
          <w:spacing w:val="-3"/>
          <w:w w:val="105"/>
          <w:sz w:val="21"/>
        </w:rPr>
        <w:t>Commission recommends </w:t>
      </w:r>
      <w:r>
        <w:rPr>
          <w:w w:val="105"/>
          <w:sz w:val="21"/>
        </w:rPr>
        <w:t>a standard sample letter as a </w:t>
      </w:r>
      <w:r>
        <w:rPr>
          <w:spacing w:val="-3"/>
          <w:w w:val="105"/>
          <w:sz w:val="21"/>
        </w:rPr>
        <w:t>separate </w:t>
      </w:r>
      <w:r>
        <w:rPr>
          <w:w w:val="105"/>
          <w:sz w:val="21"/>
        </w:rPr>
        <w:t>community </w:t>
      </w:r>
      <w:r>
        <w:rPr>
          <w:spacing w:val="-3"/>
          <w:w w:val="105"/>
          <w:sz w:val="21"/>
        </w:rPr>
        <w:t>resource that </w:t>
      </w:r>
      <w:r>
        <w:rPr>
          <w:w w:val="105"/>
          <w:sz w:val="21"/>
        </w:rPr>
        <w:t>neighbours </w:t>
      </w:r>
      <w:r>
        <w:rPr>
          <w:spacing w:val="-3"/>
          <w:w w:val="105"/>
          <w:sz w:val="21"/>
        </w:rPr>
        <w:t>may </w:t>
      </w:r>
      <w:r>
        <w:rPr>
          <w:w w:val="105"/>
          <w:sz w:val="21"/>
        </w:rPr>
        <w:t>choose </w:t>
      </w:r>
      <w:r>
        <w:rPr>
          <w:spacing w:val="-3"/>
          <w:w w:val="105"/>
          <w:sz w:val="21"/>
        </w:rPr>
        <w:t>to </w:t>
      </w:r>
      <w:r>
        <w:rPr>
          <w:w w:val="105"/>
          <w:sz w:val="21"/>
        </w:rPr>
        <w:t>use </w:t>
      </w:r>
      <w:r>
        <w:rPr>
          <w:spacing w:val="-3"/>
          <w:w w:val="105"/>
          <w:sz w:val="21"/>
        </w:rPr>
        <w:t>to communicate </w:t>
      </w:r>
      <w:r>
        <w:rPr>
          <w:w w:val="105"/>
          <w:sz w:val="21"/>
        </w:rPr>
        <w:t>and </w:t>
      </w:r>
      <w:r>
        <w:rPr>
          <w:spacing w:val="-3"/>
          <w:w w:val="105"/>
          <w:sz w:val="21"/>
        </w:rPr>
        <w:t>negotiate </w:t>
      </w:r>
      <w:r>
        <w:rPr>
          <w:w w:val="105"/>
          <w:sz w:val="21"/>
        </w:rPr>
        <w:t>with their </w:t>
      </w:r>
      <w:r>
        <w:rPr>
          <w:spacing w:val="-4"/>
          <w:w w:val="105"/>
          <w:sz w:val="21"/>
        </w:rPr>
        <w:t>neighbour. </w:t>
      </w:r>
      <w:r>
        <w:rPr>
          <w:w w:val="105"/>
          <w:sz w:val="21"/>
        </w:rPr>
        <w:t>See </w:t>
      </w:r>
      <w:r>
        <w:rPr>
          <w:spacing w:val="-4"/>
          <w:w w:val="105"/>
          <w:sz w:val="21"/>
        </w:rPr>
        <w:t>Chapter</w:t>
      </w:r>
      <w:r>
        <w:rPr>
          <w:spacing w:val="5"/>
          <w:w w:val="105"/>
          <w:sz w:val="21"/>
        </w:rPr>
        <w:t> </w:t>
      </w:r>
      <w:r>
        <w:rPr>
          <w:spacing w:val="-9"/>
          <w:w w:val="105"/>
          <w:sz w:val="21"/>
        </w:rPr>
        <w:t>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spacing w:before="96"/>
        <w:ind w:left="720" w:right="0" w:firstLine="0"/>
        <w:jc w:val="left"/>
        <w:rPr>
          <w:b/>
          <w:sz w:val="24"/>
        </w:rPr>
      </w:pPr>
      <w:r>
        <w:rPr>
          <w:b/>
          <w:color w:val="658464"/>
          <w:w w:val="110"/>
          <w:sz w:val="24"/>
        </w:rPr>
        <w:t>132</w:t>
      </w:r>
    </w:p>
    <w:p>
      <w:pPr>
        <w:spacing w:after="0"/>
        <w:jc w:val="left"/>
        <w:rPr>
          <w:sz w:val="24"/>
        </w:rPr>
        <w:sectPr>
          <w:pgSz w:w="11910" w:h="16840"/>
          <w:pgMar w:header="546" w:footer="0" w:top="156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450712" filled="true" fillcolor="#ecefee" stroked="false">
            <v:fill type="solid"/>
            <w10:wrap type="none"/>
          </v:rect>
        </w:pict>
      </w:r>
      <w:r>
        <w:rPr>
          <w:b/>
          <w:color w:val="FFFFFF"/>
          <w:w w:val="122"/>
          <w:sz w:val="48"/>
          <w:shd w:fill="658464" w:color="auto" w:val="clear"/>
        </w:rPr>
        <w:t> </w:t>
      </w:r>
      <w:r>
        <w:rPr>
          <w:b/>
          <w:color w:val="FFFFFF"/>
          <w:spacing w:val="41"/>
          <w:sz w:val="48"/>
          <w:shd w:fill="658464" w:color="auto" w:val="clear"/>
        </w:rPr>
        <w:t> </w:t>
      </w:r>
      <w:r>
        <w:rPr>
          <w:b/>
          <w:color w:val="FFFFFF"/>
          <w:w w:val="105"/>
          <w:sz w:val="48"/>
          <w:shd w:fill="658464" w:color="auto" w:val="clear"/>
        </w:rPr>
        <w:t>7</w:t>
      </w:r>
      <w:r>
        <w:rPr>
          <w:b/>
          <w:color w:val="FFFFFF"/>
          <w:sz w:val="48"/>
          <w:shd w:fill="658464"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spacing w:line="1146" w:lineRule="exact" w:before="84"/>
        <w:ind w:left="1587" w:right="0" w:firstLine="0"/>
        <w:jc w:val="left"/>
        <w:rPr>
          <w:b/>
          <w:sz w:val="96"/>
        </w:rPr>
      </w:pPr>
      <w:r>
        <w:rPr/>
        <w:pict>
          <v:rect style="position:absolute;margin-left:0pt;margin-top:5.966142pt;width:301.530pt;height:52pt;mso-position-horizontal-relative:page;mso-position-vertical-relative:paragraph;z-index:-450688" filled="true" fillcolor="#ffffff" stroked="false">
            <v:fill type="solid"/>
            <w10:wrap type="none"/>
          </v:rect>
        </w:pict>
      </w:r>
      <w:r>
        <w:rPr>
          <w:b/>
          <w:color w:val="658464"/>
          <w:w w:val="115"/>
          <w:sz w:val="96"/>
        </w:rPr>
        <w:t>Resolving</w:t>
      </w:r>
    </w:p>
    <w:p>
      <w:pPr>
        <w:tabs>
          <w:tab w:pos="1587" w:val="left" w:leader="none"/>
          <w:tab w:pos="10588" w:val="left" w:leader="none"/>
        </w:tabs>
        <w:spacing w:line="230" w:lineRule="auto" w:before="11"/>
        <w:ind w:left="1587" w:right="1315" w:hanging="1588"/>
        <w:jc w:val="left"/>
        <w:rPr>
          <w:b/>
          <w:sz w:val="96"/>
        </w:rPr>
      </w:pPr>
      <w:r>
        <w:rPr/>
        <w:pict>
          <v:rect style="position:absolute;margin-left:0pt;margin-top:56.472027pt;width:454.969pt;height:52pt;mso-position-horizontal-relative:page;mso-position-vertical-relative:paragraph;z-index:-450664" filled="true" fillcolor="#ffffff" stroked="false">
            <v:fill type="solid"/>
            <w10:wrap type="none"/>
          </v:rect>
        </w:pict>
      </w:r>
      <w:r>
        <w:rPr>
          <w:b/>
          <w:color w:val="658464"/>
          <w:w w:val="122"/>
          <w:sz w:val="96"/>
          <w:shd w:fill="FFFFFF" w:color="auto" w:val="clear"/>
        </w:rPr>
        <w:t> </w:t>
      </w:r>
      <w:r>
        <w:rPr>
          <w:b/>
          <w:color w:val="658464"/>
          <w:sz w:val="96"/>
          <w:shd w:fill="FFFFFF" w:color="auto" w:val="clear"/>
        </w:rPr>
        <w:tab/>
      </w:r>
      <w:r>
        <w:rPr>
          <w:b/>
          <w:color w:val="658464"/>
          <w:spacing w:val="-25"/>
          <w:w w:val="115"/>
          <w:sz w:val="96"/>
          <w:shd w:fill="FFFFFF" w:color="auto" w:val="clear"/>
        </w:rPr>
        <w:t>neighbourhood</w:t>
      </w:r>
      <w:r>
        <w:rPr>
          <w:b/>
          <w:color w:val="658464"/>
          <w:spacing w:val="-122"/>
          <w:w w:val="115"/>
          <w:sz w:val="96"/>
          <w:shd w:fill="FFFFFF" w:color="auto" w:val="clear"/>
        </w:rPr>
        <w:t> </w:t>
      </w:r>
      <w:r>
        <w:rPr>
          <w:b/>
          <w:color w:val="658464"/>
          <w:spacing w:val="-18"/>
          <w:w w:val="115"/>
          <w:sz w:val="96"/>
          <w:shd w:fill="FFFFFF" w:color="auto" w:val="clear"/>
        </w:rPr>
        <w:t>tree</w:t>
      </w:r>
      <w:r>
        <w:rPr>
          <w:b/>
          <w:color w:val="658464"/>
          <w:sz w:val="96"/>
          <w:shd w:fill="FFFFFF" w:color="auto" w:val="clear"/>
        </w:rPr>
        <w:tab/>
      </w:r>
      <w:r>
        <w:rPr>
          <w:b/>
          <w:color w:val="658464"/>
          <w:sz w:val="96"/>
        </w:rPr>
        <w:t> </w:t>
      </w:r>
      <w:r>
        <w:rPr>
          <w:b/>
          <w:color w:val="658464"/>
          <w:spacing w:val="-24"/>
          <w:w w:val="115"/>
          <w:sz w:val="96"/>
        </w:rPr>
        <w:t>disputes </w:t>
      </w:r>
      <w:r>
        <w:rPr>
          <w:b/>
          <w:color w:val="658464"/>
          <w:spacing w:val="-16"/>
          <w:w w:val="115"/>
          <w:sz w:val="96"/>
        </w:rPr>
        <w:t>in</w:t>
      </w:r>
      <w:r>
        <w:rPr>
          <w:b/>
          <w:color w:val="658464"/>
          <w:spacing w:val="-18"/>
          <w:w w:val="115"/>
          <w:sz w:val="96"/>
        </w:rPr>
        <w:t> </w:t>
      </w:r>
      <w:r>
        <w:rPr>
          <w:b/>
          <w:color w:val="658464"/>
          <w:spacing w:val="-35"/>
          <w:w w:val="115"/>
          <w:sz w:val="96"/>
        </w:rPr>
        <w:t>VCAT</w:t>
      </w:r>
    </w:p>
    <w:p>
      <w:pPr>
        <w:pStyle w:val="BodyText"/>
        <w:rPr>
          <w:b/>
          <w:sz w:val="20"/>
        </w:rPr>
      </w:pPr>
    </w:p>
    <w:p>
      <w:pPr>
        <w:pStyle w:val="BodyText"/>
        <w:rPr>
          <w:b/>
          <w:sz w:val="20"/>
        </w:rPr>
      </w:pPr>
    </w:p>
    <w:p>
      <w:pPr>
        <w:pStyle w:val="BodyText"/>
        <w:rPr>
          <w:b/>
          <w:sz w:val="20"/>
        </w:rPr>
      </w:pPr>
    </w:p>
    <w:p>
      <w:pPr>
        <w:pStyle w:val="BodyText"/>
        <w:spacing w:before="8"/>
        <w:rPr>
          <w:b/>
          <w:sz w:val="12"/>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8315"/>
      </w:tblGrid>
      <w:tr>
        <w:trPr>
          <w:trHeight w:val="335" w:hRule="atLeast"/>
        </w:trPr>
        <w:tc>
          <w:tcPr>
            <w:tcW w:w="510" w:type="dxa"/>
            <w:tcBorders>
              <w:bottom w:val="single" w:sz="18" w:space="0" w:color="FFFFFF"/>
            </w:tcBorders>
            <w:shd w:val="clear" w:color="auto" w:fill="ECEFEE"/>
          </w:tcPr>
          <w:p>
            <w:pPr>
              <w:pStyle w:val="TableParagraph"/>
              <w:spacing w:line="289" w:lineRule="exact"/>
              <w:rPr>
                <w:b/>
                <w:sz w:val="24"/>
              </w:rPr>
            </w:pPr>
            <w:hyperlink w:history="true" w:anchor="_bookmark72">
              <w:r>
                <w:rPr>
                  <w:b/>
                  <w:w w:val="110"/>
                  <w:sz w:val="24"/>
                </w:rPr>
                <w:t>134</w:t>
              </w:r>
            </w:hyperlink>
          </w:p>
        </w:tc>
        <w:tc>
          <w:tcPr>
            <w:tcW w:w="8315" w:type="dxa"/>
            <w:shd w:val="clear" w:color="auto" w:fill="ECEFEE"/>
          </w:tcPr>
          <w:p>
            <w:pPr>
              <w:pStyle w:val="TableParagraph"/>
              <w:spacing w:line="289" w:lineRule="exact"/>
              <w:ind w:left="56"/>
              <w:rPr>
                <w:b/>
                <w:sz w:val="24"/>
              </w:rPr>
            </w:pPr>
            <w:hyperlink w:history="true" w:anchor="_bookmark72">
              <w:r>
                <w:rPr>
                  <w:b/>
                  <w:w w:val="110"/>
                  <w:sz w:val="24"/>
                </w:rPr>
                <w:t>Introduction</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9"/>
              <w:rPr>
                <w:b/>
                <w:sz w:val="24"/>
              </w:rPr>
            </w:pPr>
            <w:hyperlink w:history="true" w:anchor="_bookmark72">
              <w:r>
                <w:rPr>
                  <w:b/>
                  <w:w w:val="110"/>
                  <w:sz w:val="24"/>
                </w:rPr>
                <w:t>134</w:t>
              </w:r>
            </w:hyperlink>
          </w:p>
        </w:tc>
        <w:tc>
          <w:tcPr>
            <w:tcW w:w="8315" w:type="dxa"/>
            <w:shd w:val="clear" w:color="auto" w:fill="ECEFEE"/>
          </w:tcPr>
          <w:p>
            <w:pPr>
              <w:pStyle w:val="TableParagraph"/>
              <w:spacing w:before="89"/>
              <w:ind w:left="56"/>
              <w:rPr>
                <w:b/>
                <w:sz w:val="24"/>
              </w:rPr>
            </w:pPr>
            <w:hyperlink w:history="true" w:anchor="_bookmark72">
              <w:r>
                <w:rPr>
                  <w:b/>
                  <w:w w:val="110"/>
                  <w:sz w:val="24"/>
                </w:rPr>
                <w:t>In which forum should disputes be resolved?</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75">
              <w:r>
                <w:rPr>
                  <w:b/>
                  <w:w w:val="110"/>
                  <w:sz w:val="24"/>
                </w:rPr>
                <w:t>141</w:t>
              </w:r>
            </w:hyperlink>
          </w:p>
        </w:tc>
        <w:tc>
          <w:tcPr>
            <w:tcW w:w="8315" w:type="dxa"/>
            <w:shd w:val="clear" w:color="auto" w:fill="ECEFEE"/>
          </w:tcPr>
          <w:p>
            <w:pPr>
              <w:pStyle w:val="TableParagraph"/>
              <w:spacing w:before="88"/>
              <w:ind w:left="56"/>
              <w:rPr>
                <w:b/>
                <w:sz w:val="24"/>
              </w:rPr>
            </w:pPr>
            <w:hyperlink w:history="true" w:anchor="_bookmark75">
              <w:r>
                <w:rPr>
                  <w:b/>
                  <w:w w:val="110"/>
                  <w:sz w:val="24"/>
                </w:rPr>
                <w:t>The approach in other jurisdictions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76">
              <w:r>
                <w:rPr>
                  <w:b/>
                  <w:w w:val="110"/>
                  <w:sz w:val="24"/>
                </w:rPr>
                <w:t>147</w:t>
              </w:r>
            </w:hyperlink>
          </w:p>
        </w:tc>
        <w:tc>
          <w:tcPr>
            <w:tcW w:w="8315" w:type="dxa"/>
            <w:shd w:val="clear" w:color="auto" w:fill="ECEFEE"/>
          </w:tcPr>
          <w:p>
            <w:pPr>
              <w:pStyle w:val="TableParagraph"/>
              <w:spacing w:before="88"/>
              <w:ind w:left="56"/>
              <w:rPr>
                <w:b/>
                <w:sz w:val="24"/>
              </w:rPr>
            </w:pPr>
            <w:hyperlink w:history="true" w:anchor="_bookmark76">
              <w:r>
                <w:rPr>
                  <w:b/>
                  <w:w w:val="110"/>
                  <w:sz w:val="24"/>
                </w:rPr>
                <w:t>International jurisdictions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77">
              <w:r>
                <w:rPr>
                  <w:b/>
                  <w:w w:val="110"/>
                  <w:sz w:val="24"/>
                </w:rPr>
                <w:t>148</w:t>
              </w:r>
            </w:hyperlink>
          </w:p>
        </w:tc>
        <w:tc>
          <w:tcPr>
            <w:tcW w:w="8315" w:type="dxa"/>
            <w:shd w:val="clear" w:color="auto" w:fill="ECEFEE"/>
          </w:tcPr>
          <w:p>
            <w:pPr>
              <w:pStyle w:val="TableParagraph"/>
              <w:spacing w:before="88"/>
              <w:ind w:left="56"/>
              <w:rPr>
                <w:b/>
                <w:sz w:val="24"/>
              </w:rPr>
            </w:pPr>
            <w:hyperlink w:history="true" w:anchor="_bookmark77">
              <w:r>
                <w:rPr>
                  <w:b/>
                  <w:w w:val="110"/>
                  <w:sz w:val="24"/>
                </w:rPr>
                <w:t>Community responses—where should tree disputes be resolved?</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78">
              <w:r>
                <w:rPr>
                  <w:b/>
                  <w:w w:val="110"/>
                  <w:sz w:val="24"/>
                </w:rPr>
                <w:t>151</w:t>
              </w:r>
            </w:hyperlink>
          </w:p>
        </w:tc>
        <w:tc>
          <w:tcPr>
            <w:tcW w:w="8315" w:type="dxa"/>
            <w:shd w:val="clear" w:color="auto" w:fill="ECEFEE"/>
          </w:tcPr>
          <w:p>
            <w:pPr>
              <w:pStyle w:val="TableParagraph"/>
              <w:spacing w:before="88"/>
              <w:ind w:left="56"/>
              <w:rPr>
                <w:b/>
                <w:sz w:val="24"/>
              </w:rPr>
            </w:pPr>
            <w:hyperlink w:history="true" w:anchor="_bookmark78">
              <w:r>
                <w:rPr>
                  <w:b/>
                  <w:w w:val="115"/>
                  <w:sz w:val="24"/>
                </w:rPr>
                <w:t>Community</w:t>
              </w:r>
              <w:r>
                <w:rPr>
                  <w:b/>
                  <w:spacing w:val="-26"/>
                  <w:w w:val="115"/>
                  <w:sz w:val="24"/>
                </w:rPr>
                <w:t> </w:t>
              </w:r>
              <w:r>
                <w:rPr>
                  <w:b/>
                  <w:w w:val="115"/>
                  <w:sz w:val="24"/>
                </w:rPr>
                <w:t>responses—important</w:t>
              </w:r>
              <w:r>
                <w:rPr>
                  <w:b/>
                  <w:spacing w:val="-25"/>
                  <w:w w:val="115"/>
                  <w:sz w:val="24"/>
                </w:rPr>
                <w:t> </w:t>
              </w:r>
              <w:r>
                <w:rPr>
                  <w:b/>
                  <w:w w:val="115"/>
                  <w:sz w:val="24"/>
                </w:rPr>
                <w:t>characteristics</w:t>
              </w:r>
              <w:r>
                <w:rPr>
                  <w:b/>
                  <w:spacing w:val="-25"/>
                  <w:w w:val="115"/>
                  <w:sz w:val="24"/>
                </w:rPr>
                <w:t> </w:t>
              </w:r>
              <w:r>
                <w:rPr>
                  <w:b/>
                  <w:w w:val="115"/>
                  <w:sz w:val="24"/>
                </w:rPr>
                <w:t>of</w:t>
              </w:r>
              <w:r>
                <w:rPr>
                  <w:b/>
                  <w:spacing w:val="-25"/>
                  <w:w w:val="115"/>
                  <w:sz w:val="24"/>
                </w:rPr>
                <w:t> </w:t>
              </w:r>
              <w:r>
                <w:rPr>
                  <w:b/>
                  <w:w w:val="115"/>
                  <w:sz w:val="24"/>
                </w:rPr>
                <w:t>a</w:t>
              </w:r>
              <w:r>
                <w:rPr>
                  <w:b/>
                  <w:spacing w:val="-25"/>
                  <w:w w:val="115"/>
                  <w:sz w:val="24"/>
                </w:rPr>
                <w:t> </w:t>
              </w:r>
              <w:r>
                <w:rPr>
                  <w:b/>
                  <w:w w:val="115"/>
                  <w:sz w:val="24"/>
                </w:rPr>
                <w:t>tree</w:t>
              </w:r>
              <w:r>
                <w:rPr>
                  <w:b/>
                  <w:spacing w:val="-25"/>
                  <w:w w:val="115"/>
                  <w:sz w:val="24"/>
                </w:rPr>
                <w:t> </w:t>
              </w:r>
              <w:r>
                <w:rPr>
                  <w:b/>
                  <w:w w:val="115"/>
                  <w:sz w:val="24"/>
                </w:rPr>
                <w:t>dispute</w:t>
              </w:r>
              <w:r>
                <w:rPr>
                  <w:b/>
                  <w:spacing w:val="-25"/>
                  <w:w w:val="115"/>
                  <w:sz w:val="24"/>
                </w:rPr>
                <w:t> </w:t>
              </w:r>
              <w:r>
                <w:rPr>
                  <w:b/>
                  <w:w w:val="115"/>
                  <w:sz w:val="24"/>
                </w:rPr>
                <w:t>forum</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79">
              <w:r>
                <w:rPr>
                  <w:b/>
                  <w:w w:val="110"/>
                  <w:sz w:val="24"/>
                </w:rPr>
                <w:t>152</w:t>
              </w:r>
            </w:hyperlink>
          </w:p>
        </w:tc>
        <w:tc>
          <w:tcPr>
            <w:tcW w:w="8315" w:type="dxa"/>
            <w:shd w:val="clear" w:color="auto" w:fill="ECEFEE"/>
          </w:tcPr>
          <w:p>
            <w:pPr>
              <w:pStyle w:val="TableParagraph"/>
              <w:spacing w:before="88"/>
              <w:ind w:left="56"/>
              <w:rPr>
                <w:b/>
                <w:sz w:val="24"/>
              </w:rPr>
            </w:pPr>
            <w:hyperlink w:history="true" w:anchor="_bookmark79">
              <w:r>
                <w:rPr>
                  <w:b/>
                  <w:w w:val="110"/>
                  <w:sz w:val="24"/>
                </w:rPr>
                <w:t>The Commission’s conclusions</w:t>
              </w:r>
            </w:hyperlink>
          </w:p>
        </w:tc>
      </w:tr>
    </w:tbl>
    <w:p>
      <w:pPr>
        <w:spacing w:after="0"/>
        <w:rPr>
          <w:sz w:val="24"/>
        </w:rPr>
        <w:sectPr>
          <w:headerReference w:type="default" r:id="rId140"/>
          <w:headerReference w:type="even" r:id="rId141"/>
          <w:pgSz w:w="11910" w:h="16840"/>
          <w:pgMar w:header="0" w:footer="0" w:top="720" w:bottom="280" w:left="0" w:right="0"/>
        </w:sectPr>
      </w:pPr>
    </w:p>
    <w:p>
      <w:pPr>
        <w:pStyle w:val="BodyText"/>
        <w:spacing w:before="10"/>
        <w:rPr>
          <w:b/>
          <w:sz w:val="18"/>
        </w:rPr>
      </w:pPr>
    </w:p>
    <w:p>
      <w:pPr>
        <w:pStyle w:val="ListParagraph"/>
        <w:numPr>
          <w:ilvl w:val="0"/>
          <w:numId w:val="16"/>
        </w:numPr>
        <w:tabs>
          <w:tab w:pos="1247" w:val="left" w:leader="none"/>
          <w:tab w:pos="1248" w:val="left" w:leader="none"/>
        </w:tabs>
        <w:spacing w:line="232" w:lineRule="auto" w:before="106" w:after="0"/>
        <w:ind w:left="1247" w:right="4406" w:hanging="681"/>
        <w:jc w:val="left"/>
        <w:rPr>
          <w:b/>
          <w:sz w:val="44"/>
        </w:rPr>
      </w:pPr>
      <w:bookmarkStart w:name="7. Resolving neighbourhood tree disputes" w:id="158"/>
      <w:bookmarkEnd w:id="158"/>
      <w:r>
        <w:rPr/>
      </w:r>
      <w:bookmarkStart w:name="Introduction" w:id="159"/>
      <w:bookmarkEnd w:id="159"/>
      <w:r>
        <w:rPr/>
      </w:r>
      <w:bookmarkStart w:name="In which forum should disputes be resolv" w:id="160"/>
      <w:bookmarkEnd w:id="160"/>
      <w:r>
        <w:rPr/>
      </w:r>
      <w:bookmarkStart w:name="_bookmark72" w:id="161"/>
      <w:bookmarkEnd w:id="161"/>
      <w:r>
        <w:rPr/>
      </w:r>
      <w:bookmarkStart w:name="_bookmark72" w:id="162"/>
      <w:bookmarkEnd w:id="162"/>
      <w:r>
        <w:rPr>
          <w:b/>
          <w:color w:val="658464"/>
          <w:spacing w:val="-4"/>
          <w:w w:val="115"/>
          <w:sz w:val="44"/>
        </w:rPr>
        <w:t>R</w:t>
      </w:r>
      <w:r>
        <w:rPr>
          <w:b/>
          <w:color w:val="658464"/>
          <w:spacing w:val="-4"/>
          <w:w w:val="115"/>
          <w:sz w:val="44"/>
        </w:rPr>
        <w:t>esolving </w:t>
      </w:r>
      <w:r>
        <w:rPr>
          <w:b/>
          <w:color w:val="658464"/>
          <w:spacing w:val="-3"/>
          <w:w w:val="115"/>
          <w:sz w:val="44"/>
        </w:rPr>
        <w:t>neighbourhood</w:t>
      </w:r>
      <w:r>
        <w:rPr>
          <w:b/>
          <w:color w:val="658464"/>
          <w:spacing w:val="-31"/>
          <w:w w:val="115"/>
          <w:sz w:val="44"/>
        </w:rPr>
        <w:t> </w:t>
      </w:r>
      <w:r>
        <w:rPr>
          <w:b/>
          <w:color w:val="658464"/>
          <w:w w:val="115"/>
          <w:sz w:val="44"/>
        </w:rPr>
        <w:t>tree </w:t>
      </w:r>
      <w:r>
        <w:rPr>
          <w:b/>
          <w:color w:val="658464"/>
          <w:spacing w:val="-3"/>
          <w:w w:val="115"/>
          <w:sz w:val="44"/>
        </w:rPr>
        <w:t>disputes in</w:t>
      </w:r>
      <w:r>
        <w:rPr>
          <w:b/>
          <w:color w:val="658464"/>
          <w:spacing w:val="14"/>
          <w:w w:val="115"/>
          <w:sz w:val="44"/>
        </w:rPr>
        <w:t> </w:t>
      </w:r>
      <w:r>
        <w:rPr>
          <w:b/>
          <w:color w:val="658464"/>
          <w:spacing w:val="-8"/>
          <w:w w:val="115"/>
          <w:sz w:val="44"/>
        </w:rPr>
        <w:t>VCAT</w:t>
      </w:r>
    </w:p>
    <w:p>
      <w:pPr>
        <w:pStyle w:val="BodyText"/>
        <w:rPr>
          <w:b/>
          <w:sz w:val="52"/>
        </w:rPr>
      </w:pPr>
    </w:p>
    <w:p>
      <w:pPr>
        <w:pStyle w:val="BodyText"/>
        <w:rPr>
          <w:b/>
          <w:sz w:val="52"/>
        </w:rPr>
      </w:pPr>
    </w:p>
    <w:p>
      <w:pPr>
        <w:pStyle w:val="BodyText"/>
        <w:rPr>
          <w:b/>
          <w:sz w:val="52"/>
        </w:rPr>
      </w:pPr>
    </w:p>
    <w:p>
      <w:pPr>
        <w:pStyle w:val="BodyText"/>
        <w:spacing w:before="5"/>
        <w:rPr>
          <w:b/>
          <w:sz w:val="57"/>
        </w:rPr>
      </w:pPr>
    </w:p>
    <w:p>
      <w:pPr>
        <w:spacing w:before="1"/>
        <w:ind w:left="1587" w:right="0" w:firstLine="0"/>
        <w:jc w:val="left"/>
        <w:rPr>
          <w:b/>
          <w:sz w:val="28"/>
        </w:rPr>
      </w:pPr>
      <w:r>
        <w:rPr>
          <w:b/>
          <w:color w:val="658464"/>
          <w:w w:val="110"/>
          <w:sz w:val="28"/>
        </w:rPr>
        <w:t>Introduction</w:t>
      </w:r>
    </w:p>
    <w:p>
      <w:pPr>
        <w:pStyle w:val="ListParagraph"/>
        <w:numPr>
          <w:ilvl w:val="1"/>
          <w:numId w:val="16"/>
        </w:numPr>
        <w:tabs>
          <w:tab w:pos="2380" w:val="left" w:leader="none"/>
          <w:tab w:pos="2381" w:val="left" w:leader="none"/>
        </w:tabs>
        <w:spacing w:line="242" w:lineRule="auto" w:before="155" w:after="0"/>
        <w:ind w:left="2381" w:right="2034" w:hanging="794"/>
        <w:jc w:val="both"/>
        <w:rPr>
          <w:sz w:val="21"/>
        </w:rPr>
      </w:pPr>
      <w:r>
        <w:rPr>
          <w:spacing w:val="-3"/>
          <w:w w:val="105"/>
          <w:sz w:val="21"/>
        </w:rPr>
        <w:t>Court </w:t>
      </w:r>
      <w:r>
        <w:rPr>
          <w:w w:val="105"/>
          <w:sz w:val="21"/>
        </w:rPr>
        <w:t>and </w:t>
      </w:r>
      <w:r>
        <w:rPr>
          <w:spacing w:val="-3"/>
          <w:w w:val="105"/>
          <w:sz w:val="21"/>
        </w:rPr>
        <w:t>tribunal proceedings are </w:t>
      </w:r>
      <w:r>
        <w:rPr>
          <w:w w:val="105"/>
          <w:sz w:val="21"/>
        </w:rPr>
        <w:t>described as </w:t>
      </w:r>
      <w:r>
        <w:rPr>
          <w:spacing w:val="-3"/>
          <w:w w:val="105"/>
          <w:sz w:val="21"/>
        </w:rPr>
        <w:t>‘formal’ </w:t>
      </w:r>
      <w:r>
        <w:rPr>
          <w:w w:val="105"/>
          <w:sz w:val="21"/>
        </w:rPr>
        <w:t>because they </w:t>
      </w:r>
      <w:r>
        <w:rPr>
          <w:spacing w:val="-3"/>
          <w:w w:val="105"/>
          <w:sz w:val="21"/>
        </w:rPr>
        <w:t>are </w:t>
      </w:r>
      <w:r>
        <w:rPr>
          <w:w w:val="105"/>
          <w:sz w:val="21"/>
        </w:rPr>
        <w:t>conducted </w:t>
      </w:r>
      <w:r>
        <w:rPr>
          <w:spacing w:val="-3"/>
          <w:w w:val="105"/>
          <w:sz w:val="21"/>
        </w:rPr>
        <w:t>before </w:t>
      </w:r>
      <w:r>
        <w:rPr>
          <w:w w:val="105"/>
          <w:sz w:val="21"/>
        </w:rPr>
        <w:t>a </w:t>
      </w:r>
      <w:r>
        <w:rPr>
          <w:spacing w:val="-3"/>
          <w:w w:val="105"/>
          <w:sz w:val="21"/>
        </w:rPr>
        <w:t>judicial </w:t>
      </w:r>
      <w:r>
        <w:rPr>
          <w:w w:val="105"/>
          <w:sz w:val="21"/>
        </w:rPr>
        <w:t>officer (judge or </w:t>
      </w:r>
      <w:r>
        <w:rPr>
          <w:spacing w:val="-3"/>
          <w:w w:val="105"/>
          <w:sz w:val="21"/>
        </w:rPr>
        <w:t>magistrate) </w:t>
      </w:r>
      <w:r>
        <w:rPr>
          <w:w w:val="105"/>
          <w:sz w:val="21"/>
        </w:rPr>
        <w:t>or </w:t>
      </w:r>
      <w:r>
        <w:rPr>
          <w:spacing w:val="-3"/>
          <w:w w:val="105"/>
          <w:sz w:val="21"/>
        </w:rPr>
        <w:t>tribunal </w:t>
      </w:r>
      <w:r>
        <w:rPr>
          <w:spacing w:val="-4"/>
          <w:w w:val="105"/>
          <w:sz w:val="21"/>
        </w:rPr>
        <w:t>member, </w:t>
      </w:r>
      <w:r>
        <w:rPr>
          <w:w w:val="105"/>
          <w:sz w:val="21"/>
        </w:rPr>
        <w:t>in </w:t>
      </w:r>
      <w:r>
        <w:rPr>
          <w:spacing w:val="-3"/>
          <w:w w:val="105"/>
          <w:sz w:val="21"/>
        </w:rPr>
        <w:t>accordance </w:t>
      </w:r>
      <w:r>
        <w:rPr>
          <w:w w:val="105"/>
          <w:sz w:val="21"/>
        </w:rPr>
        <w:t>with court or </w:t>
      </w:r>
      <w:r>
        <w:rPr>
          <w:spacing w:val="-3"/>
          <w:w w:val="105"/>
          <w:sz w:val="21"/>
        </w:rPr>
        <w:t>tribunal </w:t>
      </w:r>
      <w:r>
        <w:rPr>
          <w:w w:val="105"/>
          <w:sz w:val="21"/>
        </w:rPr>
        <w:t>processes and with </w:t>
      </w:r>
      <w:r>
        <w:rPr>
          <w:spacing w:val="-3"/>
          <w:w w:val="105"/>
          <w:sz w:val="21"/>
        </w:rPr>
        <w:t>notice </w:t>
      </w:r>
      <w:r>
        <w:rPr>
          <w:w w:val="105"/>
          <w:sz w:val="21"/>
        </w:rPr>
        <w:t>given </w:t>
      </w:r>
      <w:r>
        <w:rPr>
          <w:spacing w:val="-3"/>
          <w:w w:val="105"/>
          <w:sz w:val="21"/>
        </w:rPr>
        <w:t>to </w:t>
      </w:r>
      <w:r>
        <w:rPr>
          <w:w w:val="105"/>
          <w:sz w:val="21"/>
        </w:rPr>
        <w:t>affected </w:t>
      </w:r>
      <w:r>
        <w:rPr>
          <w:spacing w:val="-4"/>
          <w:w w:val="105"/>
          <w:sz w:val="21"/>
        </w:rPr>
        <w:t>parties.</w:t>
      </w:r>
      <w:r>
        <w:rPr>
          <w:spacing w:val="-4"/>
          <w:w w:val="105"/>
          <w:position w:val="7"/>
          <w:sz w:val="12"/>
        </w:rPr>
        <w:t>1 </w:t>
      </w:r>
      <w:r>
        <w:rPr>
          <w:spacing w:val="-4"/>
          <w:w w:val="105"/>
          <w:sz w:val="21"/>
        </w:rPr>
        <w:t>Unlike </w:t>
      </w:r>
      <w:r>
        <w:rPr>
          <w:spacing w:val="-3"/>
          <w:w w:val="105"/>
          <w:sz w:val="21"/>
        </w:rPr>
        <w:t>informal resolution, </w:t>
      </w:r>
      <w:r>
        <w:rPr>
          <w:w w:val="105"/>
          <w:sz w:val="21"/>
        </w:rPr>
        <w:t>legal </w:t>
      </w:r>
      <w:r>
        <w:rPr>
          <w:spacing w:val="-3"/>
          <w:w w:val="105"/>
          <w:sz w:val="21"/>
        </w:rPr>
        <w:t>proceedings produce binding </w:t>
      </w:r>
      <w:r>
        <w:rPr>
          <w:w w:val="105"/>
          <w:sz w:val="21"/>
        </w:rPr>
        <w:t>and </w:t>
      </w:r>
      <w:r>
        <w:rPr>
          <w:spacing w:val="-3"/>
          <w:w w:val="105"/>
          <w:sz w:val="21"/>
        </w:rPr>
        <w:t>enforceable </w:t>
      </w:r>
      <w:r>
        <w:rPr>
          <w:w w:val="105"/>
          <w:sz w:val="21"/>
        </w:rPr>
        <w:t>legal</w:t>
      </w:r>
      <w:r>
        <w:rPr>
          <w:spacing w:val="38"/>
          <w:w w:val="105"/>
          <w:sz w:val="21"/>
        </w:rPr>
        <w:t> </w:t>
      </w:r>
      <w:r>
        <w:rPr>
          <w:spacing w:val="-3"/>
          <w:w w:val="105"/>
          <w:sz w:val="21"/>
        </w:rPr>
        <w:t>outcomes.</w:t>
      </w:r>
    </w:p>
    <w:p>
      <w:pPr>
        <w:pStyle w:val="ListParagraph"/>
        <w:numPr>
          <w:ilvl w:val="1"/>
          <w:numId w:val="16"/>
        </w:numPr>
        <w:tabs>
          <w:tab w:pos="2380" w:val="left" w:leader="none"/>
          <w:tab w:pos="2382" w:val="left" w:leader="none"/>
        </w:tabs>
        <w:spacing w:line="242" w:lineRule="auto" w:before="124" w:after="0"/>
        <w:ind w:left="2381" w:right="1584" w:hanging="794"/>
        <w:jc w:val="left"/>
        <w:rPr>
          <w:sz w:val="21"/>
        </w:rPr>
      </w:pPr>
      <w:r>
        <w:rPr>
          <w:sz w:val="21"/>
        </w:rPr>
        <w:t>The </w:t>
      </w:r>
      <w:r>
        <w:rPr>
          <w:spacing w:val="-3"/>
          <w:sz w:val="21"/>
        </w:rPr>
        <w:t>consultation </w:t>
      </w:r>
      <w:r>
        <w:rPr>
          <w:sz w:val="21"/>
        </w:rPr>
        <w:t>paper </w:t>
      </w:r>
      <w:r>
        <w:rPr>
          <w:spacing w:val="-3"/>
          <w:sz w:val="21"/>
        </w:rPr>
        <w:t>asked </w:t>
      </w:r>
      <w:r>
        <w:rPr>
          <w:sz w:val="21"/>
        </w:rPr>
        <w:t>the community which court/s or </w:t>
      </w:r>
      <w:r>
        <w:rPr>
          <w:spacing w:val="-3"/>
          <w:sz w:val="21"/>
        </w:rPr>
        <w:t>tribunal </w:t>
      </w:r>
      <w:r>
        <w:rPr>
          <w:sz w:val="21"/>
        </w:rPr>
        <w:t>should </w:t>
      </w:r>
      <w:r>
        <w:rPr>
          <w:spacing w:val="-3"/>
          <w:sz w:val="21"/>
        </w:rPr>
        <w:t>have </w:t>
      </w:r>
      <w:r>
        <w:rPr>
          <w:sz w:val="21"/>
        </w:rPr>
        <w:t>jurisdiction </w:t>
      </w:r>
      <w:r>
        <w:rPr>
          <w:spacing w:val="-3"/>
          <w:sz w:val="21"/>
        </w:rPr>
        <w:t>to </w:t>
      </w:r>
      <w:r>
        <w:rPr>
          <w:sz w:val="21"/>
        </w:rPr>
        <w:t>hear </w:t>
      </w:r>
      <w:r>
        <w:rPr>
          <w:spacing w:val="-3"/>
          <w:sz w:val="21"/>
        </w:rPr>
        <w:t>formal </w:t>
      </w:r>
      <w:r>
        <w:rPr>
          <w:sz w:val="21"/>
        </w:rPr>
        <w:t>tree </w:t>
      </w:r>
      <w:r>
        <w:rPr>
          <w:spacing w:val="-3"/>
          <w:sz w:val="21"/>
        </w:rPr>
        <w:t>disputes </w:t>
      </w:r>
      <w:r>
        <w:rPr>
          <w:sz w:val="21"/>
        </w:rPr>
        <w:t>if a new Act was </w:t>
      </w:r>
      <w:r>
        <w:rPr>
          <w:spacing w:val="-3"/>
          <w:sz w:val="21"/>
        </w:rPr>
        <w:t>introduced. </w:t>
      </w:r>
      <w:r>
        <w:rPr>
          <w:sz w:val="21"/>
        </w:rPr>
        <w:t>This </w:t>
      </w:r>
      <w:r>
        <w:rPr>
          <w:spacing w:val="-3"/>
          <w:sz w:val="21"/>
        </w:rPr>
        <w:t>chapter </w:t>
      </w:r>
      <w:r>
        <w:rPr>
          <w:sz w:val="21"/>
        </w:rPr>
        <w:t>explores community responses and </w:t>
      </w:r>
      <w:r>
        <w:rPr>
          <w:spacing w:val="-2"/>
          <w:sz w:val="21"/>
        </w:rPr>
        <w:t>examines </w:t>
      </w:r>
      <w:r>
        <w:rPr>
          <w:sz w:val="21"/>
        </w:rPr>
        <w:t>how tree </w:t>
      </w:r>
      <w:r>
        <w:rPr>
          <w:spacing w:val="-3"/>
          <w:sz w:val="21"/>
        </w:rPr>
        <w:t>disputes are currently </w:t>
      </w:r>
      <w:r>
        <w:rPr>
          <w:sz w:val="21"/>
        </w:rPr>
        <w:t>decided in Victoria, interstate and overseas. It </w:t>
      </w:r>
      <w:r>
        <w:rPr>
          <w:spacing w:val="-3"/>
          <w:sz w:val="21"/>
        </w:rPr>
        <w:t>concludes </w:t>
      </w:r>
      <w:r>
        <w:rPr>
          <w:sz w:val="21"/>
        </w:rPr>
        <w:t>by </w:t>
      </w:r>
      <w:r>
        <w:rPr>
          <w:spacing w:val="-3"/>
          <w:sz w:val="21"/>
        </w:rPr>
        <w:t>recommending that </w:t>
      </w:r>
      <w:r>
        <w:rPr>
          <w:sz w:val="21"/>
        </w:rPr>
        <w:t>the Victorian </w:t>
      </w:r>
      <w:r>
        <w:rPr>
          <w:spacing w:val="-3"/>
          <w:sz w:val="21"/>
        </w:rPr>
        <w:t>Civil </w:t>
      </w:r>
      <w:r>
        <w:rPr>
          <w:sz w:val="21"/>
        </w:rPr>
        <w:t>and </w:t>
      </w:r>
      <w:r>
        <w:rPr>
          <w:spacing w:val="-3"/>
          <w:sz w:val="21"/>
        </w:rPr>
        <w:t>Administrative </w:t>
      </w:r>
      <w:r>
        <w:rPr>
          <w:spacing w:val="-5"/>
          <w:sz w:val="21"/>
        </w:rPr>
        <w:t>Tribunal </w:t>
      </w:r>
      <w:r>
        <w:rPr>
          <w:sz w:val="21"/>
        </w:rPr>
        <w:t>(VCAT) be given jurisdiction </w:t>
      </w:r>
      <w:r>
        <w:rPr>
          <w:spacing w:val="-3"/>
          <w:sz w:val="21"/>
        </w:rPr>
        <w:t>to  </w:t>
      </w:r>
      <w:r>
        <w:rPr>
          <w:sz w:val="21"/>
        </w:rPr>
        <w:t>decide matters under the new Act  and </w:t>
      </w:r>
      <w:r>
        <w:rPr>
          <w:spacing w:val="-2"/>
          <w:sz w:val="21"/>
        </w:rPr>
        <w:t>examines </w:t>
      </w:r>
      <w:r>
        <w:rPr>
          <w:sz w:val="21"/>
        </w:rPr>
        <w:t>some of </w:t>
      </w:r>
      <w:r>
        <w:rPr>
          <w:spacing w:val="-6"/>
          <w:sz w:val="21"/>
        </w:rPr>
        <w:t>VCAT’s </w:t>
      </w:r>
      <w:r>
        <w:rPr>
          <w:sz w:val="21"/>
        </w:rPr>
        <w:t>processes </w:t>
      </w:r>
      <w:r>
        <w:rPr>
          <w:spacing w:val="-3"/>
          <w:sz w:val="21"/>
        </w:rPr>
        <w:t>for managing</w:t>
      </w:r>
      <w:r>
        <w:rPr>
          <w:sz w:val="21"/>
        </w:rPr>
        <w:t> those </w:t>
      </w:r>
      <w:r>
        <w:rPr>
          <w:spacing w:val="-3"/>
          <w:sz w:val="21"/>
        </w:rPr>
        <w:t>disputes.</w:t>
      </w:r>
    </w:p>
    <w:p>
      <w:pPr>
        <w:pStyle w:val="BodyText"/>
        <w:spacing w:before="1"/>
        <w:rPr>
          <w:sz w:val="22"/>
        </w:rPr>
      </w:pPr>
    </w:p>
    <w:p>
      <w:pPr>
        <w:pStyle w:val="Heading4"/>
      </w:pPr>
      <w:r>
        <w:rPr>
          <w:color w:val="658464"/>
          <w:w w:val="110"/>
        </w:rPr>
        <w:t>In which </w:t>
      </w:r>
      <w:r>
        <w:rPr>
          <w:color w:val="658464"/>
          <w:spacing w:val="-3"/>
          <w:w w:val="110"/>
        </w:rPr>
        <w:t>forum </w:t>
      </w:r>
      <w:r>
        <w:rPr>
          <w:color w:val="658464"/>
          <w:w w:val="110"/>
        </w:rPr>
        <w:t>should disputes be</w:t>
      </w:r>
      <w:r>
        <w:rPr>
          <w:color w:val="658464"/>
          <w:spacing w:val="58"/>
          <w:w w:val="110"/>
        </w:rPr>
        <w:t> </w:t>
      </w:r>
      <w:r>
        <w:rPr>
          <w:color w:val="658464"/>
          <w:w w:val="110"/>
        </w:rPr>
        <w:t>resolved?</w:t>
      </w:r>
    </w:p>
    <w:p>
      <w:pPr>
        <w:pStyle w:val="ListParagraph"/>
        <w:numPr>
          <w:ilvl w:val="1"/>
          <w:numId w:val="16"/>
        </w:numPr>
        <w:tabs>
          <w:tab w:pos="2380" w:val="left" w:leader="none"/>
          <w:tab w:pos="2381" w:val="left" w:leader="none"/>
        </w:tabs>
        <w:spacing w:line="240" w:lineRule="auto" w:before="155" w:after="0"/>
        <w:ind w:left="2381" w:right="0" w:hanging="794"/>
        <w:jc w:val="left"/>
        <w:rPr>
          <w:sz w:val="21"/>
        </w:rPr>
      </w:pPr>
      <w:r>
        <w:rPr>
          <w:sz w:val="21"/>
        </w:rPr>
        <w:t>In</w:t>
      </w:r>
      <w:r>
        <w:rPr>
          <w:spacing w:val="8"/>
          <w:sz w:val="21"/>
        </w:rPr>
        <w:t> </w:t>
      </w:r>
      <w:r>
        <w:rPr>
          <w:sz w:val="21"/>
        </w:rPr>
        <w:t>Victoria,</w:t>
      </w:r>
      <w:r>
        <w:rPr>
          <w:spacing w:val="9"/>
          <w:sz w:val="21"/>
        </w:rPr>
        <w:t> </w:t>
      </w:r>
      <w:r>
        <w:rPr>
          <w:sz w:val="21"/>
        </w:rPr>
        <w:t>tree</w:t>
      </w:r>
      <w:r>
        <w:rPr>
          <w:spacing w:val="9"/>
          <w:sz w:val="21"/>
        </w:rPr>
        <w:t> </w:t>
      </w:r>
      <w:r>
        <w:rPr>
          <w:spacing w:val="-3"/>
          <w:sz w:val="21"/>
        </w:rPr>
        <w:t>disputes</w:t>
      </w:r>
      <w:r>
        <w:rPr>
          <w:spacing w:val="9"/>
          <w:sz w:val="21"/>
        </w:rPr>
        <w:t> </w:t>
      </w:r>
      <w:r>
        <w:rPr>
          <w:sz w:val="21"/>
        </w:rPr>
        <w:t>can</w:t>
      </w:r>
      <w:r>
        <w:rPr>
          <w:spacing w:val="9"/>
          <w:sz w:val="21"/>
        </w:rPr>
        <w:t> </w:t>
      </w:r>
      <w:r>
        <w:rPr>
          <w:spacing w:val="-3"/>
          <w:sz w:val="21"/>
        </w:rPr>
        <w:t>currently</w:t>
      </w:r>
      <w:r>
        <w:rPr>
          <w:spacing w:val="9"/>
          <w:sz w:val="21"/>
        </w:rPr>
        <w:t> </w:t>
      </w:r>
      <w:r>
        <w:rPr>
          <w:sz w:val="21"/>
        </w:rPr>
        <w:t>be</w:t>
      </w:r>
      <w:r>
        <w:rPr>
          <w:spacing w:val="9"/>
          <w:sz w:val="21"/>
        </w:rPr>
        <w:t> </w:t>
      </w:r>
      <w:r>
        <w:rPr>
          <w:spacing w:val="-3"/>
          <w:sz w:val="21"/>
        </w:rPr>
        <w:t>heard</w:t>
      </w:r>
      <w:r>
        <w:rPr>
          <w:spacing w:val="9"/>
          <w:sz w:val="21"/>
        </w:rPr>
        <w:t> </w:t>
      </w:r>
      <w:r>
        <w:rPr>
          <w:sz w:val="21"/>
        </w:rPr>
        <w:t>in</w:t>
      </w:r>
      <w:r>
        <w:rPr>
          <w:spacing w:val="8"/>
          <w:sz w:val="21"/>
        </w:rPr>
        <w:t> </w:t>
      </w:r>
      <w:r>
        <w:rPr>
          <w:sz w:val="21"/>
        </w:rPr>
        <w:t>three</w:t>
      </w:r>
      <w:r>
        <w:rPr>
          <w:spacing w:val="9"/>
          <w:sz w:val="21"/>
        </w:rPr>
        <w:t> </w:t>
      </w:r>
      <w:r>
        <w:rPr>
          <w:sz w:val="21"/>
        </w:rPr>
        <w:t>places:</w:t>
      </w:r>
    </w:p>
    <w:p>
      <w:pPr>
        <w:pStyle w:val="ListParagraph"/>
        <w:numPr>
          <w:ilvl w:val="2"/>
          <w:numId w:val="16"/>
        </w:numPr>
        <w:tabs>
          <w:tab w:pos="2721" w:val="left" w:leader="none"/>
          <w:tab w:pos="2722" w:val="left" w:leader="none"/>
        </w:tabs>
        <w:spacing w:line="240" w:lineRule="auto" w:before="124" w:after="0"/>
        <w:ind w:left="2721" w:right="0" w:hanging="340"/>
        <w:jc w:val="left"/>
        <w:rPr>
          <w:sz w:val="21"/>
        </w:rPr>
      </w:pPr>
      <w:r>
        <w:rPr>
          <w:w w:val="105"/>
          <w:sz w:val="21"/>
        </w:rPr>
        <w:t>most often in the </w:t>
      </w:r>
      <w:r>
        <w:rPr>
          <w:spacing w:val="-3"/>
          <w:w w:val="105"/>
          <w:sz w:val="21"/>
        </w:rPr>
        <w:t>Magistrates’</w:t>
      </w:r>
      <w:r>
        <w:rPr>
          <w:spacing w:val="26"/>
          <w:w w:val="105"/>
          <w:sz w:val="21"/>
        </w:rPr>
        <w:t> </w:t>
      </w:r>
      <w:r>
        <w:rPr>
          <w:w w:val="105"/>
          <w:sz w:val="21"/>
        </w:rPr>
        <w:t>Court</w:t>
      </w:r>
      <w:r>
        <w:rPr>
          <w:w w:val="105"/>
          <w:position w:val="7"/>
          <w:sz w:val="12"/>
        </w:rPr>
        <w:t>2</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larger </w:t>
      </w:r>
      <w:r>
        <w:rPr>
          <w:spacing w:val="-3"/>
          <w:w w:val="105"/>
          <w:sz w:val="21"/>
        </w:rPr>
        <w:t>claims </w:t>
      </w:r>
      <w:r>
        <w:rPr>
          <w:w w:val="105"/>
          <w:sz w:val="21"/>
        </w:rPr>
        <w:t>in the </w:t>
      </w:r>
      <w:r>
        <w:rPr>
          <w:spacing w:val="-3"/>
          <w:w w:val="105"/>
          <w:sz w:val="21"/>
        </w:rPr>
        <w:t>County</w:t>
      </w:r>
      <w:r>
        <w:rPr>
          <w:spacing w:val="29"/>
          <w:w w:val="105"/>
          <w:sz w:val="21"/>
        </w:rPr>
        <w:t> </w:t>
      </w:r>
      <w:r>
        <w:rPr>
          <w:w w:val="105"/>
          <w:sz w:val="21"/>
        </w:rPr>
        <w:t>Court</w:t>
      </w:r>
      <w:r>
        <w:rPr>
          <w:w w:val="105"/>
          <w:position w:val="7"/>
          <w:sz w:val="12"/>
        </w:rPr>
        <w:t>3</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z w:val="21"/>
        </w:rPr>
        <w:t>more </w:t>
      </w:r>
      <w:r>
        <w:rPr>
          <w:spacing w:val="-3"/>
          <w:sz w:val="21"/>
        </w:rPr>
        <w:t>rarely </w:t>
      </w:r>
      <w:r>
        <w:rPr>
          <w:sz w:val="21"/>
        </w:rPr>
        <w:t>cases </w:t>
      </w:r>
      <w:r>
        <w:rPr>
          <w:spacing w:val="-3"/>
          <w:sz w:val="21"/>
        </w:rPr>
        <w:t>involving </w:t>
      </w:r>
      <w:r>
        <w:rPr>
          <w:sz w:val="21"/>
        </w:rPr>
        <w:t>very large or complex </w:t>
      </w:r>
      <w:r>
        <w:rPr>
          <w:spacing w:val="-3"/>
          <w:sz w:val="21"/>
        </w:rPr>
        <w:t>claims </w:t>
      </w:r>
      <w:r>
        <w:rPr>
          <w:sz w:val="21"/>
        </w:rPr>
        <w:t>in the </w:t>
      </w:r>
      <w:r>
        <w:rPr>
          <w:spacing w:val="-3"/>
          <w:sz w:val="21"/>
        </w:rPr>
        <w:t>Supreme</w:t>
      </w:r>
      <w:r>
        <w:rPr>
          <w:spacing w:val="7"/>
          <w:sz w:val="21"/>
        </w:rPr>
        <w:t> </w:t>
      </w:r>
      <w:r>
        <w:rPr>
          <w:spacing w:val="-3"/>
          <w:sz w:val="21"/>
        </w:rPr>
        <w:t>Court.</w:t>
      </w:r>
      <w:r>
        <w:rPr>
          <w:spacing w:val="-3"/>
          <w:position w:val="7"/>
          <w:sz w:val="12"/>
        </w:rPr>
        <w:t>4</w:t>
      </w:r>
    </w:p>
    <w:p>
      <w:pPr>
        <w:pStyle w:val="ListParagraph"/>
        <w:numPr>
          <w:ilvl w:val="1"/>
          <w:numId w:val="16"/>
        </w:numPr>
        <w:tabs>
          <w:tab w:pos="2380" w:val="left" w:leader="none"/>
          <w:tab w:pos="2382" w:val="left" w:leader="none"/>
        </w:tabs>
        <w:spacing w:line="242" w:lineRule="auto" w:before="89" w:after="0"/>
        <w:ind w:left="2381" w:right="1939" w:hanging="794"/>
        <w:jc w:val="left"/>
        <w:rPr>
          <w:sz w:val="21"/>
        </w:rPr>
      </w:pPr>
      <w:r>
        <w:rPr>
          <w:sz w:val="21"/>
        </w:rPr>
        <w:t>The operation of each of these jurisdictions was </w:t>
      </w:r>
      <w:r>
        <w:rPr>
          <w:spacing w:val="-2"/>
          <w:sz w:val="21"/>
        </w:rPr>
        <w:t>examined </w:t>
      </w:r>
      <w:r>
        <w:rPr>
          <w:sz w:val="21"/>
        </w:rPr>
        <w:t>in the </w:t>
      </w:r>
      <w:r>
        <w:rPr>
          <w:spacing w:val="-3"/>
          <w:sz w:val="21"/>
        </w:rPr>
        <w:t>consultation </w:t>
      </w:r>
      <w:r>
        <w:rPr>
          <w:sz w:val="21"/>
        </w:rPr>
        <w:t>paper in </w:t>
      </w:r>
      <w:r>
        <w:rPr>
          <w:spacing w:val="-3"/>
          <w:sz w:val="21"/>
        </w:rPr>
        <w:t>detail.</w:t>
      </w:r>
    </w:p>
    <w:p>
      <w:pPr>
        <w:pStyle w:val="ListParagraph"/>
        <w:numPr>
          <w:ilvl w:val="1"/>
          <w:numId w:val="16"/>
        </w:numPr>
        <w:tabs>
          <w:tab w:pos="2380" w:val="left" w:leader="none"/>
          <w:tab w:pos="2382" w:val="left" w:leader="none"/>
        </w:tabs>
        <w:spacing w:line="242" w:lineRule="auto" w:before="122" w:after="0"/>
        <w:ind w:left="2381" w:right="1880" w:hanging="794"/>
        <w:jc w:val="left"/>
        <w:rPr>
          <w:sz w:val="21"/>
        </w:rPr>
      </w:pPr>
      <w:r>
        <w:rPr>
          <w:sz w:val="21"/>
        </w:rPr>
        <w:t>The </w:t>
      </w:r>
      <w:r>
        <w:rPr>
          <w:spacing w:val="-3"/>
          <w:sz w:val="21"/>
        </w:rPr>
        <w:t>Magistrates’ Court </w:t>
      </w:r>
      <w:r>
        <w:rPr>
          <w:sz w:val="21"/>
        </w:rPr>
        <w:t>and </w:t>
      </w:r>
      <w:r>
        <w:rPr>
          <w:spacing w:val="-5"/>
          <w:sz w:val="21"/>
        </w:rPr>
        <w:t>VCAT </w:t>
      </w:r>
      <w:r>
        <w:rPr>
          <w:spacing w:val="-3"/>
          <w:sz w:val="21"/>
        </w:rPr>
        <w:t>are </w:t>
      </w:r>
      <w:r>
        <w:rPr>
          <w:sz w:val="21"/>
        </w:rPr>
        <w:t>the jurisdictions </w:t>
      </w:r>
      <w:r>
        <w:rPr>
          <w:spacing w:val="-3"/>
          <w:sz w:val="21"/>
        </w:rPr>
        <w:t>that are </w:t>
      </w:r>
      <w:r>
        <w:rPr>
          <w:sz w:val="21"/>
        </w:rPr>
        <w:t>most suitably </w:t>
      </w:r>
      <w:r>
        <w:rPr>
          <w:spacing w:val="-2"/>
          <w:sz w:val="21"/>
        </w:rPr>
        <w:t>placed  </w:t>
      </w:r>
      <w:r>
        <w:rPr>
          <w:spacing w:val="-3"/>
          <w:sz w:val="21"/>
        </w:rPr>
        <w:t>to </w:t>
      </w:r>
      <w:r>
        <w:rPr>
          <w:sz w:val="21"/>
        </w:rPr>
        <w:t>hear tree </w:t>
      </w:r>
      <w:r>
        <w:rPr>
          <w:spacing w:val="-3"/>
          <w:sz w:val="21"/>
        </w:rPr>
        <w:t>disputes  </w:t>
      </w:r>
      <w:r>
        <w:rPr>
          <w:sz w:val="21"/>
        </w:rPr>
        <w:t>under the new Act. Whether or </w:t>
      </w:r>
      <w:r>
        <w:rPr>
          <w:spacing w:val="-2"/>
          <w:sz w:val="21"/>
        </w:rPr>
        <w:t>not</w:t>
      </w:r>
      <w:r>
        <w:rPr>
          <w:spacing w:val="43"/>
          <w:sz w:val="21"/>
        </w:rPr>
        <w:t> </w:t>
      </w:r>
      <w:r>
        <w:rPr>
          <w:sz w:val="21"/>
        </w:rPr>
        <w:t>tree </w:t>
      </w:r>
      <w:r>
        <w:rPr>
          <w:spacing w:val="-3"/>
          <w:sz w:val="21"/>
        </w:rPr>
        <w:t>disputes  </w:t>
      </w:r>
      <w:r>
        <w:rPr>
          <w:sz w:val="21"/>
        </w:rPr>
        <w:t>should </w:t>
      </w:r>
      <w:r>
        <w:rPr>
          <w:spacing w:val="-3"/>
          <w:sz w:val="21"/>
        </w:rPr>
        <w:t>continue      to  </w:t>
      </w:r>
      <w:r>
        <w:rPr>
          <w:sz w:val="21"/>
        </w:rPr>
        <w:t>be </w:t>
      </w:r>
      <w:r>
        <w:rPr>
          <w:spacing w:val="-3"/>
          <w:sz w:val="21"/>
        </w:rPr>
        <w:t>heard</w:t>
      </w:r>
      <w:r>
        <w:rPr>
          <w:spacing w:val="41"/>
          <w:sz w:val="21"/>
        </w:rPr>
        <w:t> </w:t>
      </w:r>
      <w:r>
        <w:rPr>
          <w:sz w:val="21"/>
        </w:rPr>
        <w:t>in the </w:t>
      </w:r>
      <w:r>
        <w:rPr>
          <w:spacing w:val="-3"/>
          <w:sz w:val="21"/>
        </w:rPr>
        <w:t>Magistrates’  Court  </w:t>
      </w:r>
      <w:r>
        <w:rPr>
          <w:sz w:val="21"/>
        </w:rPr>
        <w:t>or in </w:t>
      </w:r>
      <w:r>
        <w:rPr>
          <w:spacing w:val="-5"/>
          <w:sz w:val="21"/>
        </w:rPr>
        <w:t>VCAT  </w:t>
      </w:r>
      <w:r>
        <w:rPr>
          <w:sz w:val="21"/>
        </w:rPr>
        <w:t>is a </w:t>
      </w:r>
      <w:r>
        <w:rPr>
          <w:spacing w:val="-4"/>
          <w:sz w:val="21"/>
        </w:rPr>
        <w:t>key  </w:t>
      </w:r>
      <w:r>
        <w:rPr>
          <w:spacing w:val="-3"/>
          <w:sz w:val="21"/>
        </w:rPr>
        <w:t>consideration  </w:t>
      </w:r>
      <w:r>
        <w:rPr>
          <w:sz w:val="21"/>
        </w:rPr>
        <w:t>in the design of  a new</w:t>
      </w:r>
      <w:r>
        <w:rPr>
          <w:spacing w:val="16"/>
          <w:sz w:val="21"/>
        </w:rPr>
        <w:t> </w:t>
      </w:r>
      <w:r>
        <w:rPr>
          <w:sz w:val="21"/>
        </w:rPr>
        <w:t>Act.</w:t>
      </w:r>
    </w:p>
    <w:p>
      <w:pPr>
        <w:pStyle w:val="ListParagraph"/>
        <w:numPr>
          <w:ilvl w:val="1"/>
          <w:numId w:val="16"/>
        </w:numPr>
        <w:tabs>
          <w:tab w:pos="2380" w:val="left" w:leader="none"/>
          <w:tab w:pos="2382" w:val="left" w:leader="none"/>
        </w:tabs>
        <w:spacing w:line="240" w:lineRule="auto" w:before="125" w:after="0"/>
        <w:ind w:left="2381" w:right="0" w:hanging="794"/>
        <w:jc w:val="left"/>
        <w:rPr>
          <w:sz w:val="21"/>
        </w:rPr>
      </w:pPr>
      <w:r>
        <w:rPr>
          <w:w w:val="105"/>
          <w:sz w:val="21"/>
        </w:rPr>
        <w:t>The </w:t>
      </w:r>
      <w:r>
        <w:rPr>
          <w:spacing w:val="-3"/>
          <w:w w:val="105"/>
          <w:sz w:val="21"/>
        </w:rPr>
        <w:t>differences </w:t>
      </w:r>
      <w:r>
        <w:rPr>
          <w:w w:val="105"/>
          <w:sz w:val="21"/>
        </w:rPr>
        <w:t>between them </w:t>
      </w:r>
      <w:r>
        <w:rPr>
          <w:spacing w:val="-3"/>
          <w:w w:val="105"/>
          <w:sz w:val="21"/>
        </w:rPr>
        <w:t>are </w:t>
      </w:r>
      <w:r>
        <w:rPr>
          <w:w w:val="105"/>
          <w:sz w:val="21"/>
        </w:rPr>
        <w:t>discussed in the </w:t>
      </w:r>
      <w:r>
        <w:rPr>
          <w:spacing w:val="-3"/>
          <w:w w:val="105"/>
          <w:sz w:val="21"/>
        </w:rPr>
        <w:t>following</w:t>
      </w:r>
      <w:r>
        <w:rPr>
          <w:spacing w:val="41"/>
          <w:w w:val="105"/>
          <w:sz w:val="21"/>
        </w:rPr>
        <w:t> </w:t>
      </w:r>
      <w:r>
        <w:rPr>
          <w:w w:val="105"/>
          <w:sz w:val="21"/>
        </w:rPr>
        <w:t>section.</w:t>
      </w:r>
    </w:p>
    <w:p>
      <w:pPr>
        <w:pStyle w:val="BodyText"/>
        <w:rPr>
          <w:sz w:val="20"/>
        </w:rPr>
      </w:pPr>
    </w:p>
    <w:p>
      <w:pPr>
        <w:pStyle w:val="BodyText"/>
        <w:rPr>
          <w:sz w:val="24"/>
        </w:rPr>
      </w:pPr>
      <w:r>
        <w:rPr/>
        <w:pict>
          <v:line style="position:absolute;mso-position-horizontal-relative:page;mso-position-vertical-relative:paragraph;z-index:6416;mso-wrap-distance-left:0;mso-wrap-distance-right:0" from="79.370102pt,17.107206pt" to="515.905102pt,17.107206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3"/>
        </w:rPr>
      </w:pPr>
    </w:p>
    <w:p>
      <w:pPr>
        <w:spacing w:before="1"/>
        <w:ind w:left="720" w:right="0" w:firstLine="0"/>
        <w:jc w:val="left"/>
        <w:rPr>
          <w:b/>
          <w:sz w:val="24"/>
        </w:rPr>
      </w:pPr>
      <w:r>
        <w:rPr>
          <w:b/>
          <w:color w:val="658464"/>
          <w:spacing w:val="-3"/>
          <w:w w:val="110"/>
          <w:sz w:val="24"/>
        </w:rPr>
        <w:t>134</w:t>
      </w:r>
    </w:p>
    <w:p>
      <w:pPr>
        <w:pStyle w:val="ListParagraph"/>
        <w:numPr>
          <w:ilvl w:val="0"/>
          <w:numId w:val="108"/>
        </w:numPr>
        <w:tabs>
          <w:tab w:pos="1228" w:val="left" w:leader="none"/>
          <w:tab w:pos="1229" w:val="left" w:leader="none"/>
        </w:tabs>
        <w:spacing w:line="240" w:lineRule="auto" w:before="48" w:after="0"/>
        <w:ind w:left="1228" w:right="1620" w:hanging="794"/>
        <w:jc w:val="left"/>
        <w:rPr>
          <w:sz w:val="13"/>
        </w:rPr>
      </w:pPr>
      <w:r>
        <w:rPr>
          <w:spacing w:val="3"/>
          <w:w w:val="115"/>
          <w:sz w:val="13"/>
        </w:rPr>
        <w:br w:type="column"/>
      </w:r>
      <w:r>
        <w:rPr>
          <w:w w:val="105"/>
          <w:sz w:val="13"/>
        </w:rPr>
        <w:t>Although proceedings in a tribunal are considered less formal than court proceedings: Department of Justice and Community Safety </w:t>
      </w:r>
      <w:r>
        <w:rPr>
          <w:spacing w:val="2"/>
          <w:w w:val="105"/>
          <w:sz w:val="13"/>
        </w:rPr>
        <w:t>(Vic), </w:t>
      </w:r>
      <w:r>
        <w:rPr>
          <w:i/>
          <w:w w:val="105"/>
          <w:sz w:val="13"/>
        </w:rPr>
        <w:t>Courts and Tribunals </w:t>
      </w:r>
      <w:r>
        <w:rPr>
          <w:w w:val="105"/>
          <w:sz w:val="13"/>
        </w:rPr>
        <w:t>(Web Page, 9 August 2018) &lt;https://</w:t>
      </w:r>
      <w:hyperlink r:id="rId142">
        <w:r>
          <w:rPr>
            <w:w w:val="105"/>
            <w:sz w:val="13"/>
          </w:rPr>
          <w:t>www.justice.vic.gov.au/justice-system/courts-and-tribunals</w:t>
        </w:r>
      </w:hyperlink>
      <w:r>
        <w:rPr>
          <w:w w:val="105"/>
          <w:sz w:val="13"/>
        </w:rPr>
        <w:t>&gt;; see also </w:t>
      </w:r>
      <w:r>
        <w:rPr>
          <w:i/>
          <w:w w:val="105"/>
          <w:sz w:val="13"/>
        </w:rPr>
        <w:t>Victoria   </w:t>
      </w:r>
      <w:r>
        <w:rPr>
          <w:i/>
          <w:w w:val="105"/>
          <w:sz w:val="13"/>
        </w:rPr>
        <w:t>Legal Aid, Victoria’s Courts and Tribunals </w:t>
      </w:r>
      <w:r>
        <w:rPr>
          <w:w w:val="105"/>
          <w:sz w:val="13"/>
        </w:rPr>
        <w:t>(Web Page, 31 December 2018) </w:t>
      </w:r>
      <w:r>
        <w:rPr>
          <w:spacing w:val="2"/>
          <w:w w:val="105"/>
          <w:sz w:val="13"/>
        </w:rPr>
        <w:t>&lt;https://</w:t>
      </w:r>
      <w:hyperlink r:id="rId143">
        <w:r>
          <w:rPr>
            <w:spacing w:val="2"/>
            <w:w w:val="105"/>
            <w:sz w:val="13"/>
          </w:rPr>
          <w:t>www.legalaid.vic.gov.au/find-legal-answers/courts-and-</w:t>
        </w:r>
      </w:hyperlink>
      <w:r>
        <w:rPr>
          <w:spacing w:val="2"/>
          <w:w w:val="105"/>
          <w:sz w:val="13"/>
        </w:rPr>
        <w:t> </w:t>
      </w:r>
      <w:r>
        <w:rPr>
          <w:w w:val="105"/>
          <w:sz w:val="13"/>
        </w:rPr>
        <w:t>legal-system/victorias-courts-and-tribunals&gt;.</w:t>
      </w:r>
    </w:p>
    <w:p>
      <w:pPr>
        <w:pStyle w:val="ListParagraph"/>
        <w:numPr>
          <w:ilvl w:val="0"/>
          <w:numId w:val="108"/>
        </w:numPr>
        <w:tabs>
          <w:tab w:pos="1228" w:val="left" w:leader="none"/>
          <w:tab w:pos="1229" w:val="left" w:leader="none"/>
        </w:tabs>
        <w:spacing w:line="240" w:lineRule="auto" w:before="5" w:after="0"/>
        <w:ind w:left="1228" w:right="1744" w:hanging="794"/>
        <w:jc w:val="left"/>
        <w:rPr>
          <w:sz w:val="13"/>
        </w:rPr>
      </w:pPr>
      <w:r>
        <w:rPr>
          <w:sz w:val="13"/>
        </w:rPr>
        <w:t>The Magistrates’ Court has jurisdiction to hear civil matters where claims for works or damages are no more than $100,000: </w:t>
      </w:r>
      <w:r>
        <w:rPr>
          <w:i/>
          <w:sz w:val="13"/>
        </w:rPr>
        <w:t>Magistrates’         </w:t>
      </w:r>
      <w:r>
        <w:rPr>
          <w:i/>
          <w:sz w:val="13"/>
        </w:rPr>
        <w:t>Court</w:t>
      </w:r>
      <w:r>
        <w:rPr>
          <w:i/>
          <w:spacing w:val="7"/>
          <w:sz w:val="13"/>
        </w:rPr>
        <w:t> </w:t>
      </w:r>
      <w:r>
        <w:rPr>
          <w:i/>
          <w:sz w:val="13"/>
        </w:rPr>
        <w:t>Act</w:t>
      </w:r>
      <w:r>
        <w:rPr>
          <w:i/>
          <w:spacing w:val="7"/>
          <w:sz w:val="13"/>
        </w:rPr>
        <w:t> </w:t>
      </w:r>
      <w:r>
        <w:rPr>
          <w:i/>
          <w:sz w:val="13"/>
        </w:rPr>
        <w:t>1989</w:t>
      </w:r>
      <w:r>
        <w:rPr>
          <w:i/>
          <w:spacing w:val="7"/>
          <w:sz w:val="13"/>
        </w:rPr>
        <w:t> </w:t>
      </w:r>
      <w:r>
        <w:rPr>
          <w:spacing w:val="2"/>
          <w:sz w:val="13"/>
        </w:rPr>
        <w:t>(Vic)</w:t>
      </w:r>
      <w:r>
        <w:rPr>
          <w:spacing w:val="7"/>
          <w:sz w:val="13"/>
        </w:rPr>
        <w:t> </w:t>
      </w:r>
      <w:r>
        <w:rPr>
          <w:sz w:val="13"/>
        </w:rPr>
        <w:t>ss</w:t>
      </w:r>
      <w:r>
        <w:rPr>
          <w:spacing w:val="8"/>
          <w:sz w:val="13"/>
        </w:rPr>
        <w:t> </w:t>
      </w:r>
      <w:r>
        <w:rPr>
          <w:sz w:val="13"/>
        </w:rPr>
        <w:t>3(1)</w:t>
      </w:r>
      <w:r>
        <w:rPr>
          <w:spacing w:val="7"/>
          <w:sz w:val="13"/>
        </w:rPr>
        <w:t> </w:t>
      </w:r>
      <w:r>
        <w:rPr>
          <w:sz w:val="13"/>
        </w:rPr>
        <w:t>(‘jurisdictional</w:t>
      </w:r>
      <w:r>
        <w:rPr>
          <w:spacing w:val="7"/>
          <w:sz w:val="13"/>
        </w:rPr>
        <w:t> </w:t>
      </w:r>
      <w:r>
        <w:rPr>
          <w:spacing w:val="2"/>
          <w:sz w:val="13"/>
        </w:rPr>
        <w:t>limit’);</w:t>
      </w:r>
      <w:r>
        <w:rPr>
          <w:spacing w:val="7"/>
          <w:sz w:val="13"/>
        </w:rPr>
        <w:t> </w:t>
      </w:r>
      <w:r>
        <w:rPr>
          <w:sz w:val="13"/>
        </w:rPr>
        <w:t>s</w:t>
      </w:r>
      <w:r>
        <w:rPr>
          <w:spacing w:val="8"/>
          <w:sz w:val="13"/>
        </w:rPr>
        <w:t> </w:t>
      </w:r>
      <w:r>
        <w:rPr>
          <w:spacing w:val="4"/>
          <w:sz w:val="13"/>
        </w:rPr>
        <w:t>100(1)(a)–(b).</w:t>
      </w:r>
    </w:p>
    <w:p>
      <w:pPr>
        <w:pStyle w:val="ListParagraph"/>
        <w:numPr>
          <w:ilvl w:val="0"/>
          <w:numId w:val="108"/>
        </w:numPr>
        <w:tabs>
          <w:tab w:pos="1228" w:val="left" w:leader="none"/>
          <w:tab w:pos="1229" w:val="left" w:leader="none"/>
        </w:tabs>
        <w:spacing w:line="240" w:lineRule="auto" w:before="3" w:after="0"/>
        <w:ind w:left="1228" w:right="1601" w:hanging="794"/>
        <w:jc w:val="left"/>
        <w:rPr>
          <w:sz w:val="13"/>
        </w:rPr>
      </w:pPr>
      <w:r>
        <w:rPr>
          <w:w w:val="105"/>
          <w:sz w:val="13"/>
        </w:rPr>
        <w:t>The County Court has unlimited jurisdiction to hear all applications, claims, disputes and civil proceedings regardless of the </w:t>
      </w:r>
      <w:r>
        <w:rPr>
          <w:spacing w:val="2"/>
          <w:w w:val="105"/>
          <w:sz w:val="13"/>
        </w:rPr>
        <w:t>type </w:t>
      </w:r>
      <w:r>
        <w:rPr>
          <w:w w:val="105"/>
          <w:sz w:val="13"/>
        </w:rPr>
        <w:t>of relief sought or the subject matter that are not by this or any other Act excluded from its jurisdiction: </w:t>
      </w:r>
      <w:r>
        <w:rPr>
          <w:i/>
          <w:w w:val="105"/>
          <w:sz w:val="13"/>
        </w:rPr>
        <w:t>County Court Act 1958 </w:t>
      </w:r>
      <w:r>
        <w:rPr>
          <w:spacing w:val="2"/>
          <w:w w:val="105"/>
          <w:sz w:val="13"/>
        </w:rPr>
        <w:t>(Vic) </w:t>
      </w:r>
      <w:r>
        <w:rPr>
          <w:w w:val="105"/>
          <w:sz w:val="13"/>
        </w:rPr>
        <w:t>s </w:t>
      </w:r>
      <w:r>
        <w:rPr>
          <w:spacing w:val="2"/>
          <w:w w:val="105"/>
          <w:sz w:val="13"/>
        </w:rPr>
        <w:t>37(1)(a); </w:t>
      </w:r>
      <w:r>
        <w:rPr>
          <w:w w:val="105"/>
          <w:sz w:val="13"/>
        </w:rPr>
        <w:t>see</w:t>
      </w:r>
      <w:r>
        <w:rPr>
          <w:spacing w:val="30"/>
          <w:w w:val="105"/>
          <w:sz w:val="13"/>
        </w:rPr>
        <w:t> </w:t>
      </w:r>
      <w:r>
        <w:rPr>
          <w:w w:val="105"/>
          <w:sz w:val="13"/>
        </w:rPr>
        <w:t>also </w:t>
      </w:r>
      <w:r>
        <w:rPr>
          <w:i/>
          <w:w w:val="105"/>
          <w:sz w:val="13"/>
        </w:rPr>
        <w:t>County Court of Victoria, Fees and Costs for Civil Proceedings </w:t>
      </w:r>
      <w:r>
        <w:rPr>
          <w:w w:val="105"/>
          <w:sz w:val="13"/>
        </w:rPr>
        <w:t>(Web Page, 2019) &lt;https://</w:t>
      </w:r>
      <w:hyperlink r:id="rId144">
        <w:r>
          <w:rPr>
            <w:w w:val="105"/>
            <w:sz w:val="13"/>
          </w:rPr>
          <w:t>www.countycourt.vic.gov.au/forms-and-fees/</w:t>
        </w:r>
      </w:hyperlink>
      <w:r>
        <w:rPr>
          <w:w w:val="105"/>
          <w:sz w:val="13"/>
        </w:rPr>
        <w:t> fees-and-costs-civil-proceedings&gt;.</w:t>
      </w:r>
    </w:p>
    <w:p>
      <w:pPr>
        <w:pStyle w:val="ListParagraph"/>
        <w:numPr>
          <w:ilvl w:val="0"/>
          <w:numId w:val="108"/>
        </w:numPr>
        <w:tabs>
          <w:tab w:pos="1228" w:val="left" w:leader="none"/>
          <w:tab w:pos="1229" w:val="left" w:leader="none"/>
        </w:tabs>
        <w:spacing w:line="240" w:lineRule="auto" w:before="5" w:after="0"/>
        <w:ind w:left="1228" w:right="1758" w:hanging="794"/>
        <w:jc w:val="left"/>
        <w:rPr>
          <w:sz w:val="13"/>
        </w:rPr>
      </w:pPr>
      <w:r>
        <w:rPr>
          <w:w w:val="105"/>
          <w:sz w:val="13"/>
        </w:rPr>
        <w:t>Claims for $200,000 and above in civil proceedings are heard in the Supreme Court of </w:t>
      </w:r>
      <w:r>
        <w:rPr>
          <w:spacing w:val="2"/>
          <w:w w:val="105"/>
          <w:sz w:val="13"/>
        </w:rPr>
        <w:t>Victoria: </w:t>
      </w:r>
      <w:r>
        <w:rPr>
          <w:w w:val="105"/>
          <w:sz w:val="13"/>
        </w:rPr>
        <w:t>Victoria Legal Aid, </w:t>
      </w:r>
      <w:r>
        <w:rPr>
          <w:i/>
          <w:w w:val="105"/>
          <w:sz w:val="13"/>
        </w:rPr>
        <w:t>Victoria’s Courts and </w:t>
      </w:r>
      <w:r>
        <w:rPr>
          <w:i/>
          <w:w w:val="105"/>
          <w:sz w:val="13"/>
        </w:rPr>
        <w:t>Tribunals </w:t>
      </w:r>
      <w:r>
        <w:rPr>
          <w:w w:val="105"/>
          <w:sz w:val="13"/>
        </w:rPr>
        <w:t>(Web Page, </w:t>
      </w:r>
      <w:r>
        <w:rPr>
          <w:spacing w:val="-4"/>
          <w:w w:val="105"/>
          <w:sz w:val="13"/>
        </w:rPr>
        <w:t>13 </w:t>
      </w:r>
      <w:r>
        <w:rPr>
          <w:w w:val="105"/>
          <w:sz w:val="13"/>
        </w:rPr>
        <w:t>December 2018) </w:t>
      </w:r>
      <w:r>
        <w:rPr>
          <w:spacing w:val="2"/>
          <w:w w:val="105"/>
          <w:sz w:val="13"/>
        </w:rPr>
        <w:t>&lt;https://</w:t>
      </w:r>
      <w:hyperlink r:id="rId145">
        <w:r>
          <w:rPr>
            <w:spacing w:val="2"/>
            <w:w w:val="105"/>
            <w:sz w:val="13"/>
          </w:rPr>
          <w:t>www.legalaid.vic.gov.au/find-legal-answers/courts-and-legal-system/victorias-courts-</w:t>
        </w:r>
      </w:hyperlink>
      <w:r>
        <w:rPr>
          <w:spacing w:val="2"/>
          <w:w w:val="105"/>
          <w:sz w:val="13"/>
        </w:rPr>
        <w:t> </w:t>
      </w:r>
      <w:r>
        <w:rPr>
          <w:w w:val="105"/>
          <w:sz w:val="13"/>
        </w:rPr>
        <w:t>and-tribunals&gt;; see, eg, the Major Torts List which is ‘designed to facilitate and expedite the passage of large or otherwise significant tortious</w:t>
      </w:r>
      <w:r>
        <w:rPr>
          <w:spacing w:val="7"/>
          <w:w w:val="105"/>
          <w:sz w:val="13"/>
        </w:rPr>
        <w:t> </w:t>
      </w:r>
      <w:r>
        <w:rPr>
          <w:w w:val="105"/>
          <w:sz w:val="13"/>
        </w:rPr>
        <w:t>claims</w:t>
      </w:r>
      <w:r>
        <w:rPr>
          <w:spacing w:val="7"/>
          <w:w w:val="105"/>
          <w:sz w:val="13"/>
        </w:rPr>
        <w:t> </w:t>
      </w:r>
      <w:r>
        <w:rPr>
          <w:w w:val="105"/>
          <w:sz w:val="13"/>
        </w:rPr>
        <w:t>to</w:t>
      </w:r>
      <w:r>
        <w:rPr>
          <w:spacing w:val="7"/>
          <w:w w:val="105"/>
          <w:sz w:val="13"/>
        </w:rPr>
        <w:t> </w:t>
      </w:r>
      <w:r>
        <w:rPr>
          <w:w w:val="105"/>
          <w:sz w:val="13"/>
        </w:rPr>
        <w:t>trial’:</w:t>
      </w:r>
      <w:r>
        <w:rPr>
          <w:spacing w:val="7"/>
          <w:w w:val="105"/>
          <w:sz w:val="13"/>
        </w:rPr>
        <w:t> </w:t>
      </w:r>
      <w:r>
        <w:rPr>
          <w:w w:val="105"/>
          <w:sz w:val="13"/>
        </w:rPr>
        <w:t>Supreme</w:t>
      </w:r>
      <w:r>
        <w:rPr>
          <w:spacing w:val="7"/>
          <w:w w:val="105"/>
          <w:sz w:val="13"/>
        </w:rPr>
        <w:t> </w:t>
      </w:r>
      <w:r>
        <w:rPr>
          <w:w w:val="105"/>
          <w:sz w:val="13"/>
        </w:rPr>
        <w:t>Court</w:t>
      </w:r>
      <w:r>
        <w:rPr>
          <w:spacing w:val="8"/>
          <w:w w:val="105"/>
          <w:sz w:val="13"/>
        </w:rPr>
        <w:t> </w:t>
      </w:r>
      <w:r>
        <w:rPr>
          <w:w w:val="105"/>
          <w:sz w:val="13"/>
        </w:rPr>
        <w:t>of</w:t>
      </w:r>
      <w:r>
        <w:rPr>
          <w:spacing w:val="7"/>
          <w:w w:val="105"/>
          <w:sz w:val="13"/>
        </w:rPr>
        <w:t> </w:t>
      </w:r>
      <w:r>
        <w:rPr>
          <w:w w:val="105"/>
          <w:sz w:val="13"/>
        </w:rPr>
        <w:t>Victoria</w:t>
      </w:r>
      <w:r>
        <w:rPr>
          <w:spacing w:val="7"/>
          <w:w w:val="105"/>
          <w:sz w:val="13"/>
        </w:rPr>
        <w:t> </w:t>
      </w:r>
      <w:r>
        <w:rPr>
          <w:w w:val="105"/>
          <w:sz w:val="13"/>
        </w:rPr>
        <w:t>Common</w:t>
      </w:r>
      <w:r>
        <w:rPr>
          <w:spacing w:val="7"/>
          <w:w w:val="105"/>
          <w:sz w:val="13"/>
        </w:rPr>
        <w:t> </w:t>
      </w:r>
      <w:r>
        <w:rPr>
          <w:w w:val="105"/>
          <w:sz w:val="13"/>
        </w:rPr>
        <w:t>Law</w:t>
      </w:r>
      <w:r>
        <w:rPr>
          <w:spacing w:val="7"/>
          <w:w w:val="105"/>
          <w:sz w:val="13"/>
        </w:rPr>
        <w:t> </w:t>
      </w:r>
      <w:r>
        <w:rPr>
          <w:w w:val="105"/>
          <w:sz w:val="13"/>
        </w:rPr>
        <w:t>Division,</w:t>
      </w:r>
      <w:r>
        <w:rPr>
          <w:spacing w:val="7"/>
          <w:w w:val="105"/>
          <w:sz w:val="13"/>
        </w:rPr>
        <w:t> </w:t>
      </w:r>
      <w:r>
        <w:rPr>
          <w:i/>
          <w:w w:val="105"/>
          <w:sz w:val="13"/>
        </w:rPr>
        <w:t>Practice</w:t>
      </w:r>
      <w:r>
        <w:rPr>
          <w:i/>
          <w:spacing w:val="8"/>
          <w:w w:val="105"/>
          <w:sz w:val="13"/>
        </w:rPr>
        <w:t> </w:t>
      </w:r>
      <w:r>
        <w:rPr>
          <w:i/>
          <w:w w:val="105"/>
          <w:sz w:val="13"/>
        </w:rPr>
        <w:t>Note</w:t>
      </w:r>
      <w:r>
        <w:rPr>
          <w:i/>
          <w:spacing w:val="7"/>
          <w:w w:val="105"/>
          <w:sz w:val="13"/>
        </w:rPr>
        <w:t> </w:t>
      </w:r>
      <w:r>
        <w:rPr>
          <w:i/>
          <w:w w:val="105"/>
          <w:sz w:val="13"/>
        </w:rPr>
        <w:t>SC</w:t>
      </w:r>
      <w:r>
        <w:rPr>
          <w:i/>
          <w:spacing w:val="7"/>
          <w:w w:val="105"/>
          <w:sz w:val="13"/>
        </w:rPr>
        <w:t> </w:t>
      </w:r>
      <w:r>
        <w:rPr>
          <w:i/>
          <w:w w:val="105"/>
          <w:sz w:val="13"/>
        </w:rPr>
        <w:t>CL</w:t>
      </w:r>
      <w:r>
        <w:rPr>
          <w:i/>
          <w:spacing w:val="7"/>
          <w:w w:val="105"/>
          <w:sz w:val="13"/>
        </w:rPr>
        <w:t> </w:t>
      </w:r>
      <w:r>
        <w:rPr>
          <w:i/>
          <w:w w:val="105"/>
          <w:sz w:val="13"/>
        </w:rPr>
        <w:t>No</w:t>
      </w:r>
      <w:r>
        <w:rPr>
          <w:i/>
          <w:spacing w:val="7"/>
          <w:w w:val="105"/>
          <w:sz w:val="13"/>
        </w:rPr>
        <w:t> </w:t>
      </w:r>
      <w:r>
        <w:rPr>
          <w:i/>
          <w:w w:val="105"/>
          <w:sz w:val="13"/>
        </w:rPr>
        <w:t>4:</w:t>
      </w:r>
      <w:r>
        <w:rPr>
          <w:i/>
          <w:spacing w:val="7"/>
          <w:w w:val="105"/>
          <w:sz w:val="13"/>
        </w:rPr>
        <w:t> </w:t>
      </w:r>
      <w:r>
        <w:rPr>
          <w:i/>
          <w:w w:val="105"/>
          <w:sz w:val="13"/>
        </w:rPr>
        <w:t>Major</w:t>
      </w:r>
      <w:r>
        <w:rPr>
          <w:i/>
          <w:spacing w:val="8"/>
          <w:w w:val="105"/>
          <w:sz w:val="13"/>
        </w:rPr>
        <w:t> </w:t>
      </w:r>
      <w:r>
        <w:rPr>
          <w:i/>
          <w:w w:val="105"/>
          <w:sz w:val="13"/>
        </w:rPr>
        <w:t>Torts</w:t>
      </w:r>
      <w:r>
        <w:rPr>
          <w:i/>
          <w:spacing w:val="7"/>
          <w:w w:val="105"/>
          <w:sz w:val="13"/>
        </w:rPr>
        <w:t> </w:t>
      </w:r>
      <w:r>
        <w:rPr>
          <w:i/>
          <w:w w:val="105"/>
          <w:sz w:val="13"/>
        </w:rPr>
        <w:t>List,</w:t>
      </w:r>
      <w:r>
        <w:rPr>
          <w:i/>
          <w:spacing w:val="7"/>
          <w:w w:val="105"/>
          <w:sz w:val="13"/>
        </w:rPr>
        <w:t> </w:t>
      </w:r>
      <w:r>
        <w:rPr>
          <w:w w:val="105"/>
          <w:sz w:val="13"/>
        </w:rPr>
        <w:t>October</w:t>
      </w:r>
      <w:r>
        <w:rPr>
          <w:spacing w:val="7"/>
          <w:w w:val="105"/>
          <w:sz w:val="13"/>
        </w:rPr>
        <w:t> </w:t>
      </w:r>
      <w:r>
        <w:rPr>
          <w:w w:val="105"/>
          <w:sz w:val="13"/>
        </w:rPr>
        <w:t>2018,</w:t>
      </w:r>
      <w:r>
        <w:rPr>
          <w:spacing w:val="7"/>
          <w:w w:val="105"/>
          <w:sz w:val="13"/>
        </w:rPr>
        <w:t> </w:t>
      </w:r>
      <w:r>
        <w:rPr>
          <w:w w:val="105"/>
          <w:sz w:val="13"/>
        </w:rPr>
        <w:t>1</w:t>
      </w:r>
    </w:p>
    <w:p>
      <w:pPr>
        <w:spacing w:before="6"/>
        <w:ind w:left="1228" w:right="1579" w:firstLine="0"/>
        <w:jc w:val="left"/>
        <w:rPr>
          <w:sz w:val="13"/>
        </w:rPr>
      </w:pPr>
      <w:r>
        <w:rPr>
          <w:w w:val="105"/>
          <w:sz w:val="13"/>
        </w:rPr>
        <w:t>&lt;https://</w:t>
      </w:r>
      <w:hyperlink r:id="rId146">
        <w:r>
          <w:rPr>
            <w:w w:val="105"/>
            <w:sz w:val="13"/>
          </w:rPr>
          <w:t>www.supremecourt.vic.gov.au/law-and-practice/practice-notes</w:t>
        </w:r>
      </w:hyperlink>
      <w:r>
        <w:rPr>
          <w:w w:val="105"/>
          <w:sz w:val="13"/>
        </w:rPr>
        <w:t>&gt;; see also Supreme Court of Victoria, </w:t>
      </w:r>
      <w:r>
        <w:rPr>
          <w:i/>
          <w:w w:val="105"/>
          <w:sz w:val="13"/>
        </w:rPr>
        <w:t>How the Court Works </w:t>
      </w:r>
      <w:r>
        <w:rPr>
          <w:w w:val="105"/>
          <w:sz w:val="13"/>
        </w:rPr>
        <w:t>(Web Page, 2019) &lt;https://</w:t>
      </w:r>
      <w:hyperlink r:id="rId147">
        <w:r>
          <w:rPr>
            <w:w w:val="105"/>
            <w:sz w:val="13"/>
          </w:rPr>
          <w:t>www.supremecourt.vic.gov.au/about-the-court/how-the-court-works</w:t>
        </w:r>
      </w:hyperlink>
      <w:r>
        <w:rPr>
          <w:w w:val="105"/>
          <w:sz w:val="13"/>
        </w:rPr>
        <w:t>&gt;.</w:t>
      </w:r>
    </w:p>
    <w:p>
      <w:pPr>
        <w:spacing w:after="0"/>
        <w:jc w:val="left"/>
        <w:rPr>
          <w:sz w:val="13"/>
        </w:rPr>
        <w:sectPr>
          <w:type w:val="continuous"/>
          <w:pgSz w:w="11910" w:h="16840"/>
          <w:pgMar w:top="300" w:bottom="280" w:left="0" w:right="0"/>
          <w:cols w:num="2" w:equalWidth="0">
            <w:col w:w="1113" w:space="40"/>
            <w:col w:w="10757"/>
          </w:cols>
        </w:sectPr>
      </w:pPr>
    </w:p>
    <w:p>
      <w:pPr>
        <w:pStyle w:val="BodyText"/>
        <w:rPr>
          <w:sz w:val="20"/>
        </w:rPr>
      </w:pPr>
    </w:p>
    <w:p>
      <w:pPr>
        <w:pStyle w:val="BodyText"/>
        <w:spacing w:before="11"/>
        <w:rPr>
          <w:sz w:val="17"/>
        </w:rPr>
      </w:pPr>
    </w:p>
    <w:p>
      <w:pPr>
        <w:pStyle w:val="Heading5"/>
        <w:spacing w:before="96"/>
      </w:pPr>
      <w:bookmarkStart w:name="_bookmark73" w:id="163"/>
      <w:bookmarkEnd w:id="163"/>
      <w:r>
        <w:rPr>
          <w:b w:val="0"/>
        </w:rPr>
      </w:r>
      <w:r>
        <w:rPr>
          <w:w w:val="115"/>
        </w:rPr>
        <w:t>Magistrates’ Court of Victoria</w:t>
      </w:r>
    </w:p>
    <w:p>
      <w:pPr>
        <w:pStyle w:val="ListParagraph"/>
        <w:numPr>
          <w:ilvl w:val="1"/>
          <w:numId w:val="16"/>
        </w:numPr>
        <w:tabs>
          <w:tab w:pos="2381" w:val="left" w:leader="none"/>
          <w:tab w:pos="2382" w:val="left" w:leader="none"/>
        </w:tabs>
        <w:spacing w:line="242" w:lineRule="auto" w:before="137" w:after="0"/>
        <w:ind w:left="2381" w:right="1608" w:hanging="794"/>
        <w:jc w:val="left"/>
        <w:rPr>
          <w:sz w:val="21"/>
        </w:rPr>
      </w:pPr>
      <w:r>
        <w:rPr>
          <w:w w:val="105"/>
          <w:sz w:val="21"/>
        </w:rPr>
        <w:t>The</w:t>
      </w:r>
      <w:r>
        <w:rPr>
          <w:spacing w:val="-8"/>
          <w:w w:val="105"/>
          <w:sz w:val="21"/>
        </w:rPr>
        <w:t> </w:t>
      </w:r>
      <w:r>
        <w:rPr>
          <w:spacing w:val="-3"/>
          <w:w w:val="105"/>
          <w:sz w:val="21"/>
        </w:rPr>
        <w:t>Magistrates’</w:t>
      </w:r>
      <w:r>
        <w:rPr>
          <w:spacing w:val="-7"/>
          <w:w w:val="105"/>
          <w:sz w:val="21"/>
        </w:rPr>
        <w:t> </w:t>
      </w:r>
      <w:r>
        <w:rPr>
          <w:spacing w:val="-3"/>
          <w:w w:val="105"/>
          <w:sz w:val="21"/>
        </w:rPr>
        <w:t>Court</w:t>
      </w:r>
      <w:r>
        <w:rPr>
          <w:spacing w:val="-7"/>
          <w:w w:val="105"/>
          <w:sz w:val="21"/>
        </w:rPr>
        <w:t> </w:t>
      </w:r>
      <w:r>
        <w:rPr>
          <w:spacing w:val="-2"/>
          <w:w w:val="105"/>
          <w:sz w:val="21"/>
        </w:rPr>
        <w:t>has</w:t>
      </w:r>
      <w:r>
        <w:rPr>
          <w:spacing w:val="-8"/>
          <w:w w:val="105"/>
          <w:sz w:val="21"/>
        </w:rPr>
        <w:t> </w:t>
      </w:r>
      <w:r>
        <w:rPr>
          <w:w w:val="105"/>
          <w:sz w:val="21"/>
        </w:rPr>
        <w:t>jurisdiction</w:t>
      </w:r>
      <w:r>
        <w:rPr>
          <w:spacing w:val="-7"/>
          <w:w w:val="105"/>
          <w:sz w:val="21"/>
        </w:rPr>
        <w:t> </w:t>
      </w:r>
      <w:r>
        <w:rPr>
          <w:spacing w:val="-3"/>
          <w:w w:val="105"/>
          <w:sz w:val="21"/>
        </w:rPr>
        <w:t>to</w:t>
      </w:r>
      <w:r>
        <w:rPr>
          <w:spacing w:val="-7"/>
          <w:w w:val="105"/>
          <w:sz w:val="21"/>
        </w:rPr>
        <w:t> </w:t>
      </w:r>
      <w:r>
        <w:rPr>
          <w:w w:val="105"/>
          <w:sz w:val="21"/>
        </w:rPr>
        <w:t>hear</w:t>
      </w:r>
      <w:r>
        <w:rPr>
          <w:spacing w:val="-7"/>
          <w:w w:val="105"/>
          <w:sz w:val="21"/>
        </w:rPr>
        <w:t> </w:t>
      </w:r>
      <w:r>
        <w:rPr>
          <w:w w:val="105"/>
          <w:sz w:val="21"/>
        </w:rPr>
        <w:t>civil</w:t>
      </w:r>
      <w:r>
        <w:rPr>
          <w:spacing w:val="-8"/>
          <w:w w:val="105"/>
          <w:sz w:val="21"/>
        </w:rPr>
        <w:t> </w:t>
      </w:r>
      <w:r>
        <w:rPr>
          <w:w w:val="105"/>
          <w:sz w:val="21"/>
        </w:rPr>
        <w:t>matters</w:t>
      </w:r>
      <w:r>
        <w:rPr>
          <w:spacing w:val="-7"/>
          <w:w w:val="105"/>
          <w:sz w:val="21"/>
        </w:rPr>
        <w:t> </w:t>
      </w:r>
      <w:r>
        <w:rPr>
          <w:spacing w:val="-3"/>
          <w:w w:val="105"/>
          <w:sz w:val="21"/>
        </w:rPr>
        <w:t>such</w:t>
      </w:r>
      <w:r>
        <w:rPr>
          <w:spacing w:val="-7"/>
          <w:w w:val="105"/>
          <w:sz w:val="21"/>
        </w:rPr>
        <w:t> </w:t>
      </w:r>
      <w:r>
        <w:rPr>
          <w:w w:val="105"/>
          <w:sz w:val="21"/>
        </w:rPr>
        <w:t>as</w:t>
      </w:r>
      <w:r>
        <w:rPr>
          <w:spacing w:val="-7"/>
          <w:w w:val="105"/>
          <w:sz w:val="21"/>
        </w:rPr>
        <w:t> </w:t>
      </w:r>
      <w:r>
        <w:rPr>
          <w:w w:val="105"/>
          <w:sz w:val="21"/>
        </w:rPr>
        <w:t>tree</w:t>
      </w:r>
      <w:r>
        <w:rPr>
          <w:spacing w:val="-8"/>
          <w:w w:val="105"/>
          <w:sz w:val="21"/>
        </w:rPr>
        <w:t> </w:t>
      </w:r>
      <w:r>
        <w:rPr>
          <w:spacing w:val="-3"/>
          <w:w w:val="105"/>
          <w:sz w:val="21"/>
        </w:rPr>
        <w:t>disputes</w:t>
      </w:r>
      <w:r>
        <w:rPr>
          <w:spacing w:val="-7"/>
          <w:w w:val="105"/>
          <w:sz w:val="21"/>
        </w:rPr>
        <w:t> </w:t>
      </w:r>
      <w:r>
        <w:rPr>
          <w:w w:val="105"/>
          <w:sz w:val="21"/>
        </w:rPr>
        <w:t>up</w:t>
      </w:r>
      <w:r>
        <w:rPr>
          <w:spacing w:val="-7"/>
          <w:w w:val="105"/>
          <w:sz w:val="21"/>
        </w:rPr>
        <w:t> </w:t>
      </w:r>
      <w:r>
        <w:rPr>
          <w:spacing w:val="-3"/>
          <w:w w:val="105"/>
          <w:sz w:val="21"/>
        </w:rPr>
        <w:t>to</w:t>
      </w:r>
      <w:r>
        <w:rPr>
          <w:spacing w:val="-7"/>
          <w:w w:val="105"/>
          <w:sz w:val="21"/>
        </w:rPr>
        <w:t> </w:t>
      </w:r>
      <w:r>
        <w:rPr>
          <w:w w:val="105"/>
          <w:sz w:val="21"/>
        </w:rPr>
        <w:t>the </w:t>
      </w:r>
      <w:r>
        <w:rPr>
          <w:spacing w:val="-3"/>
          <w:w w:val="105"/>
          <w:sz w:val="21"/>
        </w:rPr>
        <w:t>value </w:t>
      </w:r>
      <w:r>
        <w:rPr>
          <w:w w:val="105"/>
          <w:sz w:val="21"/>
        </w:rPr>
        <w:t>of </w:t>
      </w:r>
      <w:r>
        <w:rPr>
          <w:spacing w:val="-4"/>
          <w:w w:val="105"/>
          <w:sz w:val="21"/>
        </w:rPr>
        <w:t>$100,000.</w:t>
      </w:r>
      <w:r>
        <w:rPr>
          <w:spacing w:val="-4"/>
          <w:w w:val="105"/>
          <w:position w:val="7"/>
          <w:sz w:val="12"/>
        </w:rPr>
        <w:t>5 </w:t>
      </w:r>
      <w:r>
        <w:rPr>
          <w:w w:val="105"/>
          <w:sz w:val="21"/>
        </w:rPr>
        <w:t>As a court of law and equity it can provide a wide </w:t>
      </w:r>
      <w:r>
        <w:rPr>
          <w:spacing w:val="-3"/>
          <w:w w:val="105"/>
          <w:sz w:val="21"/>
        </w:rPr>
        <w:t>range </w:t>
      </w:r>
      <w:r>
        <w:rPr>
          <w:w w:val="105"/>
          <w:sz w:val="21"/>
        </w:rPr>
        <w:t>of </w:t>
      </w:r>
      <w:r>
        <w:rPr>
          <w:spacing w:val="-2"/>
          <w:w w:val="105"/>
          <w:sz w:val="21"/>
        </w:rPr>
        <w:t>remedies. </w:t>
      </w:r>
      <w:r>
        <w:rPr>
          <w:w w:val="105"/>
          <w:sz w:val="21"/>
        </w:rPr>
        <w:t>It can order people </w:t>
      </w:r>
      <w:r>
        <w:rPr>
          <w:spacing w:val="-3"/>
          <w:w w:val="105"/>
          <w:sz w:val="21"/>
        </w:rPr>
        <w:t>to </w:t>
      </w:r>
      <w:r>
        <w:rPr>
          <w:w w:val="105"/>
          <w:sz w:val="21"/>
        </w:rPr>
        <w:t>do certain </w:t>
      </w:r>
      <w:r>
        <w:rPr>
          <w:spacing w:val="-3"/>
          <w:w w:val="105"/>
          <w:sz w:val="21"/>
        </w:rPr>
        <w:t>things </w:t>
      </w:r>
      <w:r>
        <w:rPr>
          <w:w w:val="105"/>
          <w:sz w:val="21"/>
        </w:rPr>
        <w:t>or </w:t>
      </w:r>
      <w:r>
        <w:rPr>
          <w:spacing w:val="-3"/>
          <w:w w:val="105"/>
          <w:sz w:val="21"/>
        </w:rPr>
        <w:t>to </w:t>
      </w:r>
      <w:r>
        <w:rPr>
          <w:w w:val="105"/>
          <w:sz w:val="21"/>
        </w:rPr>
        <w:t>stop doing </w:t>
      </w:r>
      <w:r>
        <w:rPr>
          <w:spacing w:val="-3"/>
          <w:w w:val="105"/>
          <w:sz w:val="21"/>
        </w:rPr>
        <w:t>something </w:t>
      </w:r>
      <w:r>
        <w:rPr>
          <w:w w:val="105"/>
          <w:sz w:val="21"/>
        </w:rPr>
        <w:t>where the payment of money </w:t>
      </w:r>
      <w:r>
        <w:rPr>
          <w:spacing w:val="-3"/>
          <w:w w:val="105"/>
          <w:sz w:val="21"/>
        </w:rPr>
        <w:t>may </w:t>
      </w:r>
      <w:r>
        <w:rPr>
          <w:spacing w:val="-2"/>
          <w:w w:val="105"/>
          <w:sz w:val="21"/>
        </w:rPr>
        <w:t>not </w:t>
      </w:r>
      <w:r>
        <w:rPr>
          <w:w w:val="105"/>
          <w:sz w:val="21"/>
        </w:rPr>
        <w:t>be</w:t>
      </w:r>
      <w:r>
        <w:rPr>
          <w:spacing w:val="29"/>
          <w:w w:val="105"/>
          <w:sz w:val="21"/>
        </w:rPr>
        <w:t> </w:t>
      </w:r>
      <w:r>
        <w:rPr>
          <w:w w:val="105"/>
          <w:sz w:val="21"/>
        </w:rPr>
        <w:t>sufficient.</w:t>
      </w:r>
      <w:r>
        <w:rPr>
          <w:w w:val="105"/>
          <w:position w:val="7"/>
          <w:sz w:val="12"/>
        </w:rPr>
        <w:t>6</w:t>
      </w:r>
    </w:p>
    <w:p>
      <w:pPr>
        <w:pStyle w:val="Heading7"/>
        <w:spacing w:before="155"/>
      </w:pPr>
      <w:r>
        <w:rPr>
          <w:w w:val="115"/>
        </w:rPr>
        <w:t>Fees—the Magistrates’ Court</w:t>
      </w:r>
    </w:p>
    <w:p>
      <w:pPr>
        <w:pStyle w:val="ListParagraph"/>
        <w:numPr>
          <w:ilvl w:val="1"/>
          <w:numId w:val="16"/>
        </w:numPr>
        <w:tabs>
          <w:tab w:pos="2380" w:val="left" w:leader="none"/>
          <w:tab w:pos="2381" w:val="left" w:leader="none"/>
        </w:tabs>
        <w:spacing w:line="242" w:lineRule="auto" w:before="142" w:after="0"/>
        <w:ind w:left="2381" w:right="1907" w:hanging="794"/>
        <w:jc w:val="left"/>
        <w:rPr>
          <w:sz w:val="21"/>
        </w:rPr>
      </w:pPr>
      <w:r>
        <w:rPr>
          <w:spacing w:val="-3"/>
          <w:sz w:val="21"/>
        </w:rPr>
        <w:t>Bringing </w:t>
      </w:r>
      <w:r>
        <w:rPr>
          <w:sz w:val="21"/>
        </w:rPr>
        <w:t>a case </w:t>
      </w:r>
      <w:r>
        <w:rPr>
          <w:spacing w:val="-3"/>
          <w:sz w:val="21"/>
        </w:rPr>
        <w:t>before </w:t>
      </w:r>
      <w:r>
        <w:rPr>
          <w:sz w:val="21"/>
        </w:rPr>
        <w:t>the </w:t>
      </w:r>
      <w:r>
        <w:rPr>
          <w:spacing w:val="-3"/>
          <w:sz w:val="21"/>
        </w:rPr>
        <w:t>Magistrates’ Court </w:t>
      </w:r>
      <w:r>
        <w:rPr>
          <w:sz w:val="21"/>
        </w:rPr>
        <w:t>can be </w:t>
      </w:r>
      <w:r>
        <w:rPr>
          <w:spacing w:val="-4"/>
          <w:sz w:val="21"/>
        </w:rPr>
        <w:t>costly.  </w:t>
      </w:r>
      <w:r>
        <w:rPr>
          <w:sz w:val="21"/>
        </w:rPr>
        <w:t>In addition </w:t>
      </w:r>
      <w:r>
        <w:rPr>
          <w:spacing w:val="-3"/>
          <w:sz w:val="21"/>
        </w:rPr>
        <w:t>to  </w:t>
      </w:r>
      <w:r>
        <w:rPr>
          <w:sz w:val="21"/>
        </w:rPr>
        <w:t>the cost of  legal </w:t>
      </w:r>
      <w:r>
        <w:rPr>
          <w:spacing w:val="-3"/>
          <w:sz w:val="21"/>
        </w:rPr>
        <w:t>representation, </w:t>
      </w:r>
      <w:r>
        <w:rPr>
          <w:sz w:val="21"/>
        </w:rPr>
        <w:t>there </w:t>
      </w:r>
      <w:r>
        <w:rPr>
          <w:spacing w:val="-3"/>
          <w:sz w:val="21"/>
        </w:rPr>
        <w:t>are </w:t>
      </w:r>
      <w:r>
        <w:rPr>
          <w:sz w:val="21"/>
        </w:rPr>
        <w:t>court </w:t>
      </w:r>
      <w:r>
        <w:rPr>
          <w:spacing w:val="-3"/>
          <w:sz w:val="21"/>
        </w:rPr>
        <w:t>fees.</w:t>
      </w:r>
      <w:r>
        <w:rPr>
          <w:spacing w:val="-3"/>
          <w:position w:val="7"/>
          <w:sz w:val="12"/>
        </w:rPr>
        <w:t>7 </w:t>
      </w:r>
      <w:r>
        <w:rPr>
          <w:sz w:val="21"/>
        </w:rPr>
        <w:t>The </w:t>
      </w:r>
      <w:r>
        <w:rPr>
          <w:spacing w:val="-3"/>
          <w:sz w:val="21"/>
        </w:rPr>
        <w:t>Court </w:t>
      </w:r>
      <w:r>
        <w:rPr>
          <w:sz w:val="21"/>
        </w:rPr>
        <w:t>application/filing fee</w:t>
      </w:r>
      <w:r>
        <w:rPr>
          <w:spacing w:val="22"/>
          <w:sz w:val="21"/>
        </w:rPr>
        <w:t> </w:t>
      </w:r>
      <w:r>
        <w:rPr>
          <w:spacing w:val="-2"/>
          <w:sz w:val="21"/>
        </w:rPr>
        <w:t>ranges </w:t>
      </w:r>
      <w:r>
        <w:rPr>
          <w:spacing w:val="-3"/>
          <w:sz w:val="21"/>
        </w:rPr>
        <w:t>from</w:t>
      </w:r>
    </w:p>
    <w:p>
      <w:pPr>
        <w:pStyle w:val="BodyText"/>
        <w:spacing w:line="242" w:lineRule="auto" w:before="3"/>
        <w:ind w:left="2381" w:right="1636"/>
        <w:rPr>
          <w:sz w:val="12"/>
        </w:rPr>
      </w:pPr>
      <w:r>
        <w:rPr>
          <w:spacing w:val="-9"/>
          <w:w w:val="105"/>
        </w:rPr>
        <w:t>$147.40 </w:t>
      </w:r>
      <w:r>
        <w:rPr>
          <w:spacing w:val="-3"/>
          <w:w w:val="105"/>
        </w:rPr>
        <w:t>(for claims </w:t>
      </w:r>
      <w:r>
        <w:rPr>
          <w:w w:val="105"/>
        </w:rPr>
        <w:t>under $500), </w:t>
      </w:r>
      <w:r>
        <w:rPr>
          <w:spacing w:val="-3"/>
          <w:w w:val="105"/>
        </w:rPr>
        <w:t>to </w:t>
      </w:r>
      <w:r>
        <w:rPr>
          <w:spacing w:val="-5"/>
          <w:w w:val="105"/>
        </w:rPr>
        <w:t>$702.30 </w:t>
      </w:r>
      <w:r>
        <w:rPr>
          <w:spacing w:val="-3"/>
          <w:w w:val="105"/>
        </w:rPr>
        <w:t>(for claims </w:t>
      </w:r>
      <w:r>
        <w:rPr>
          <w:w w:val="105"/>
        </w:rPr>
        <w:t>over $70,000). Other fees </w:t>
      </w:r>
      <w:r>
        <w:rPr>
          <w:spacing w:val="-3"/>
          <w:w w:val="105"/>
        </w:rPr>
        <w:t>may </w:t>
      </w:r>
      <w:r>
        <w:rPr>
          <w:spacing w:val="-4"/>
          <w:w w:val="105"/>
        </w:rPr>
        <w:t>apply, </w:t>
      </w:r>
      <w:r>
        <w:rPr>
          <w:spacing w:val="-3"/>
          <w:w w:val="105"/>
        </w:rPr>
        <w:t>for </w:t>
      </w:r>
      <w:r>
        <w:rPr>
          <w:w w:val="105"/>
        </w:rPr>
        <w:t>example </w:t>
      </w:r>
      <w:r>
        <w:rPr>
          <w:spacing w:val="-3"/>
          <w:w w:val="105"/>
        </w:rPr>
        <w:t>for </w:t>
      </w:r>
      <w:r>
        <w:rPr>
          <w:w w:val="105"/>
        </w:rPr>
        <w:t>serving documents on the other party ($73).</w:t>
      </w:r>
      <w:r>
        <w:rPr>
          <w:w w:val="105"/>
          <w:position w:val="7"/>
          <w:sz w:val="12"/>
        </w:rPr>
        <w:t>8 </w:t>
      </w:r>
      <w:r>
        <w:rPr>
          <w:w w:val="105"/>
        </w:rPr>
        <w:t>These </w:t>
      </w:r>
      <w:r>
        <w:rPr>
          <w:spacing w:val="-3"/>
          <w:w w:val="105"/>
        </w:rPr>
        <w:t>are generally </w:t>
      </w:r>
      <w:r>
        <w:rPr>
          <w:w w:val="105"/>
        </w:rPr>
        <w:t>applied on a </w:t>
      </w:r>
      <w:r>
        <w:rPr>
          <w:spacing w:val="-3"/>
          <w:w w:val="105"/>
        </w:rPr>
        <w:t>sliding </w:t>
      </w:r>
      <w:r>
        <w:rPr>
          <w:w w:val="105"/>
        </w:rPr>
        <w:t>scale by </w:t>
      </w:r>
      <w:r>
        <w:rPr>
          <w:spacing w:val="-3"/>
          <w:w w:val="105"/>
        </w:rPr>
        <w:t>reference to </w:t>
      </w:r>
      <w:r>
        <w:rPr>
          <w:w w:val="105"/>
        </w:rPr>
        <w:t>the </w:t>
      </w:r>
      <w:r>
        <w:rPr>
          <w:spacing w:val="-3"/>
          <w:w w:val="105"/>
        </w:rPr>
        <w:t>value claimed for </w:t>
      </w:r>
      <w:r>
        <w:rPr>
          <w:w w:val="105"/>
        </w:rPr>
        <w:t>works or </w:t>
      </w:r>
      <w:r>
        <w:rPr>
          <w:spacing w:val="-3"/>
          <w:w w:val="105"/>
        </w:rPr>
        <w:t>damages.</w:t>
      </w:r>
      <w:r>
        <w:rPr>
          <w:spacing w:val="-3"/>
          <w:w w:val="105"/>
          <w:position w:val="7"/>
          <w:sz w:val="12"/>
        </w:rPr>
        <w:t>.9 </w:t>
      </w:r>
      <w:r>
        <w:rPr>
          <w:w w:val="105"/>
        </w:rPr>
        <w:t>The </w:t>
      </w:r>
      <w:r>
        <w:rPr>
          <w:spacing w:val="-3"/>
          <w:w w:val="105"/>
        </w:rPr>
        <w:t>Magistrates’ Court may grant </w:t>
      </w:r>
      <w:r>
        <w:rPr>
          <w:w w:val="105"/>
        </w:rPr>
        <w:t>a fee waiver </w:t>
      </w:r>
      <w:r>
        <w:rPr>
          <w:spacing w:val="-3"/>
          <w:w w:val="105"/>
        </w:rPr>
        <w:t>to </w:t>
      </w:r>
      <w:r>
        <w:rPr>
          <w:w w:val="105"/>
        </w:rPr>
        <w:t>persons experiencing </w:t>
      </w:r>
      <w:r>
        <w:rPr>
          <w:spacing w:val="-3"/>
          <w:w w:val="105"/>
        </w:rPr>
        <w:t>financial </w:t>
      </w:r>
      <w:r>
        <w:rPr>
          <w:spacing w:val="-5"/>
          <w:w w:val="105"/>
        </w:rPr>
        <w:t>hardship.</w:t>
      </w:r>
      <w:r>
        <w:rPr>
          <w:spacing w:val="-5"/>
          <w:w w:val="105"/>
          <w:position w:val="7"/>
          <w:sz w:val="12"/>
        </w:rPr>
        <w:t>10</w:t>
      </w:r>
    </w:p>
    <w:p>
      <w:pPr>
        <w:pStyle w:val="Heading7"/>
      </w:pPr>
      <w:r>
        <w:rPr>
          <w:w w:val="115"/>
        </w:rPr>
        <w:t>Alternative dispute resolution—the Magistrates’ Court</w:t>
      </w:r>
    </w:p>
    <w:p>
      <w:pPr>
        <w:pStyle w:val="ListParagraph"/>
        <w:numPr>
          <w:ilvl w:val="1"/>
          <w:numId w:val="16"/>
        </w:numPr>
        <w:tabs>
          <w:tab w:pos="2381" w:val="left" w:leader="none"/>
          <w:tab w:pos="2382" w:val="left" w:leader="none"/>
        </w:tabs>
        <w:spacing w:line="242" w:lineRule="auto" w:before="143" w:after="0"/>
        <w:ind w:left="2381" w:right="1924" w:hanging="794"/>
        <w:jc w:val="left"/>
        <w:rPr>
          <w:sz w:val="21"/>
        </w:rPr>
      </w:pPr>
      <w:r>
        <w:rPr>
          <w:w w:val="105"/>
          <w:sz w:val="21"/>
        </w:rPr>
        <w:t>The </w:t>
      </w:r>
      <w:r>
        <w:rPr>
          <w:spacing w:val="-3"/>
          <w:w w:val="105"/>
          <w:sz w:val="21"/>
        </w:rPr>
        <w:t>Magistrates’ Court </w:t>
      </w:r>
      <w:r>
        <w:rPr>
          <w:spacing w:val="-2"/>
          <w:w w:val="105"/>
          <w:sz w:val="21"/>
        </w:rPr>
        <w:t>has </w:t>
      </w:r>
      <w:r>
        <w:rPr>
          <w:w w:val="105"/>
          <w:sz w:val="21"/>
        </w:rPr>
        <w:t>a specific </w:t>
      </w:r>
      <w:r>
        <w:rPr>
          <w:spacing w:val="-3"/>
          <w:w w:val="105"/>
          <w:sz w:val="21"/>
        </w:rPr>
        <w:t>arbitration </w:t>
      </w:r>
      <w:r>
        <w:rPr>
          <w:w w:val="105"/>
          <w:sz w:val="21"/>
        </w:rPr>
        <w:t>process </w:t>
      </w:r>
      <w:r>
        <w:rPr>
          <w:spacing w:val="-3"/>
          <w:w w:val="105"/>
          <w:sz w:val="21"/>
        </w:rPr>
        <w:t>for smaller claims, such </w:t>
      </w:r>
      <w:r>
        <w:rPr>
          <w:w w:val="105"/>
          <w:sz w:val="21"/>
        </w:rPr>
        <w:t>as neighbourhood </w:t>
      </w:r>
      <w:r>
        <w:rPr>
          <w:spacing w:val="-3"/>
          <w:w w:val="105"/>
          <w:sz w:val="21"/>
        </w:rPr>
        <w:t>disputes, </w:t>
      </w:r>
      <w:r>
        <w:rPr>
          <w:w w:val="105"/>
          <w:sz w:val="21"/>
        </w:rPr>
        <w:t>designed </w:t>
      </w:r>
      <w:r>
        <w:rPr>
          <w:spacing w:val="-3"/>
          <w:w w:val="105"/>
          <w:sz w:val="21"/>
        </w:rPr>
        <w:t>to keep </w:t>
      </w:r>
      <w:r>
        <w:rPr>
          <w:w w:val="105"/>
          <w:sz w:val="21"/>
        </w:rPr>
        <w:t>costs down, </w:t>
      </w:r>
      <w:r>
        <w:rPr>
          <w:spacing w:val="-3"/>
          <w:w w:val="105"/>
          <w:sz w:val="21"/>
        </w:rPr>
        <w:t>encourage </w:t>
      </w:r>
      <w:r>
        <w:rPr>
          <w:w w:val="105"/>
          <w:sz w:val="21"/>
        </w:rPr>
        <w:t>early resolution and divert </w:t>
      </w:r>
      <w:r>
        <w:rPr>
          <w:spacing w:val="-3"/>
          <w:w w:val="105"/>
          <w:sz w:val="21"/>
        </w:rPr>
        <w:t>simpler </w:t>
      </w:r>
      <w:r>
        <w:rPr>
          <w:w w:val="105"/>
          <w:sz w:val="21"/>
        </w:rPr>
        <w:t>cases </w:t>
      </w:r>
      <w:r>
        <w:rPr>
          <w:spacing w:val="-3"/>
          <w:w w:val="105"/>
          <w:sz w:val="21"/>
        </w:rPr>
        <w:t>away from full </w:t>
      </w:r>
      <w:r>
        <w:rPr>
          <w:spacing w:val="-5"/>
          <w:w w:val="105"/>
          <w:sz w:val="21"/>
        </w:rPr>
        <w:t>hearings.</w:t>
      </w:r>
      <w:r>
        <w:rPr>
          <w:spacing w:val="-5"/>
          <w:w w:val="105"/>
          <w:position w:val="7"/>
          <w:sz w:val="12"/>
        </w:rPr>
        <w:t>11 </w:t>
      </w:r>
      <w:r>
        <w:rPr>
          <w:w w:val="105"/>
          <w:sz w:val="21"/>
        </w:rPr>
        <w:t>Parties seeking </w:t>
      </w:r>
      <w:r>
        <w:rPr>
          <w:spacing w:val="-3"/>
          <w:w w:val="105"/>
          <w:sz w:val="21"/>
        </w:rPr>
        <w:t>relief </w:t>
      </w:r>
      <w:r>
        <w:rPr>
          <w:w w:val="105"/>
          <w:sz w:val="21"/>
        </w:rPr>
        <w:t>under </w:t>
      </w:r>
      <w:r>
        <w:rPr>
          <w:spacing w:val="-4"/>
          <w:w w:val="105"/>
          <w:sz w:val="21"/>
        </w:rPr>
        <w:t>$10,000 </w:t>
      </w:r>
      <w:r>
        <w:rPr>
          <w:spacing w:val="-3"/>
          <w:w w:val="105"/>
          <w:sz w:val="21"/>
        </w:rPr>
        <w:t>are</w:t>
      </w:r>
      <w:r>
        <w:rPr>
          <w:spacing w:val="-8"/>
          <w:w w:val="105"/>
          <w:sz w:val="21"/>
        </w:rPr>
        <w:t> </w:t>
      </w:r>
      <w:r>
        <w:rPr>
          <w:spacing w:val="-3"/>
          <w:w w:val="105"/>
          <w:sz w:val="21"/>
        </w:rPr>
        <w:t>generally</w:t>
      </w:r>
      <w:r>
        <w:rPr>
          <w:spacing w:val="-8"/>
          <w:w w:val="105"/>
          <w:sz w:val="21"/>
        </w:rPr>
        <w:t> </w:t>
      </w:r>
      <w:r>
        <w:rPr>
          <w:spacing w:val="-3"/>
          <w:w w:val="105"/>
          <w:sz w:val="21"/>
        </w:rPr>
        <w:t>referred</w:t>
      </w:r>
      <w:r>
        <w:rPr>
          <w:spacing w:val="-8"/>
          <w:w w:val="105"/>
          <w:sz w:val="21"/>
        </w:rPr>
        <w:t> </w:t>
      </w:r>
      <w:r>
        <w:rPr>
          <w:spacing w:val="-3"/>
          <w:w w:val="105"/>
          <w:sz w:val="21"/>
        </w:rPr>
        <w:t>for</w:t>
      </w:r>
      <w:r>
        <w:rPr>
          <w:spacing w:val="-7"/>
          <w:w w:val="105"/>
          <w:sz w:val="21"/>
        </w:rPr>
        <w:t> </w:t>
      </w:r>
      <w:r>
        <w:rPr>
          <w:w w:val="105"/>
          <w:sz w:val="21"/>
        </w:rPr>
        <w:t>compulsory</w:t>
      </w:r>
      <w:r>
        <w:rPr>
          <w:spacing w:val="-8"/>
          <w:w w:val="105"/>
          <w:sz w:val="21"/>
        </w:rPr>
        <w:t> </w:t>
      </w:r>
      <w:r>
        <w:rPr>
          <w:spacing w:val="-4"/>
          <w:w w:val="105"/>
          <w:sz w:val="21"/>
        </w:rPr>
        <w:t>arbitration.</w:t>
      </w:r>
      <w:r>
        <w:rPr>
          <w:spacing w:val="-4"/>
          <w:w w:val="105"/>
          <w:position w:val="7"/>
          <w:sz w:val="12"/>
        </w:rPr>
        <w:t>12</w:t>
      </w:r>
      <w:r>
        <w:rPr>
          <w:spacing w:val="15"/>
          <w:w w:val="105"/>
          <w:position w:val="7"/>
          <w:sz w:val="12"/>
        </w:rPr>
        <w:t> </w:t>
      </w:r>
      <w:r>
        <w:rPr>
          <w:w w:val="105"/>
          <w:sz w:val="21"/>
        </w:rPr>
        <w:t>Parties</w:t>
      </w:r>
      <w:r>
        <w:rPr>
          <w:spacing w:val="-8"/>
          <w:w w:val="105"/>
          <w:sz w:val="21"/>
        </w:rPr>
        <w:t> </w:t>
      </w:r>
      <w:r>
        <w:rPr>
          <w:spacing w:val="-3"/>
          <w:w w:val="105"/>
          <w:sz w:val="21"/>
        </w:rPr>
        <w:t>may</w:t>
      </w:r>
      <w:r>
        <w:rPr>
          <w:spacing w:val="-7"/>
          <w:w w:val="105"/>
          <w:sz w:val="21"/>
        </w:rPr>
        <w:t> </w:t>
      </w:r>
      <w:r>
        <w:rPr>
          <w:w w:val="105"/>
          <w:sz w:val="21"/>
        </w:rPr>
        <w:t>also</w:t>
      </w:r>
      <w:r>
        <w:rPr>
          <w:spacing w:val="-8"/>
          <w:w w:val="105"/>
          <w:sz w:val="21"/>
        </w:rPr>
        <w:t> </w:t>
      </w:r>
      <w:r>
        <w:rPr>
          <w:spacing w:val="-3"/>
          <w:w w:val="105"/>
          <w:sz w:val="21"/>
        </w:rPr>
        <w:t>mutually</w:t>
      </w:r>
      <w:r>
        <w:rPr>
          <w:spacing w:val="-8"/>
          <w:w w:val="105"/>
          <w:sz w:val="21"/>
        </w:rPr>
        <w:t> </w:t>
      </w:r>
      <w:r>
        <w:rPr>
          <w:w w:val="105"/>
          <w:sz w:val="21"/>
        </w:rPr>
        <w:t>agree</w:t>
      </w:r>
      <w:r>
        <w:rPr>
          <w:spacing w:val="-7"/>
          <w:w w:val="105"/>
          <w:sz w:val="21"/>
        </w:rPr>
        <w:t> </w:t>
      </w:r>
      <w:r>
        <w:rPr>
          <w:spacing w:val="-3"/>
          <w:w w:val="105"/>
          <w:sz w:val="21"/>
        </w:rPr>
        <w:t>to</w:t>
      </w:r>
    </w:p>
    <w:p>
      <w:pPr>
        <w:pStyle w:val="BodyText"/>
        <w:spacing w:line="242" w:lineRule="auto" w:before="5"/>
        <w:ind w:left="2381" w:right="1810"/>
        <w:rPr>
          <w:sz w:val="12"/>
        </w:rPr>
      </w:pPr>
      <w:r>
        <w:rPr/>
        <w:t>undertake </w:t>
      </w:r>
      <w:r>
        <w:rPr>
          <w:spacing w:val="-3"/>
        </w:rPr>
        <w:t>arbitration, </w:t>
      </w:r>
      <w:r>
        <w:rPr/>
        <w:t>or one party </w:t>
      </w:r>
      <w:r>
        <w:rPr>
          <w:spacing w:val="-3"/>
        </w:rPr>
        <w:t>will </w:t>
      </w:r>
      <w:r>
        <w:rPr/>
        <w:t>apply and the other </w:t>
      </w:r>
      <w:r>
        <w:rPr>
          <w:spacing w:val="-3"/>
        </w:rPr>
        <w:t>will </w:t>
      </w:r>
      <w:r>
        <w:rPr/>
        <w:t>be </w:t>
      </w:r>
      <w:r>
        <w:rPr>
          <w:spacing w:val="-3"/>
        </w:rPr>
        <w:t>required to participate. </w:t>
      </w:r>
      <w:r>
        <w:rPr/>
        <w:t>The </w:t>
      </w:r>
      <w:r>
        <w:rPr>
          <w:spacing w:val="-3"/>
        </w:rPr>
        <w:t>arbitration </w:t>
      </w:r>
      <w:r>
        <w:rPr/>
        <w:t>process is less </w:t>
      </w:r>
      <w:r>
        <w:rPr>
          <w:spacing w:val="-3"/>
        </w:rPr>
        <w:t>formal </w:t>
      </w:r>
      <w:r>
        <w:rPr/>
        <w:t>and </w:t>
      </w:r>
      <w:r>
        <w:rPr>
          <w:spacing w:val="-3"/>
        </w:rPr>
        <w:t>simpler than </w:t>
      </w:r>
      <w:r>
        <w:rPr/>
        <w:t>a </w:t>
      </w:r>
      <w:r>
        <w:rPr>
          <w:spacing w:val="-5"/>
        </w:rPr>
        <w:t>hearing.</w:t>
      </w:r>
      <w:r>
        <w:rPr>
          <w:spacing w:val="-5"/>
          <w:position w:val="7"/>
          <w:sz w:val="12"/>
        </w:rPr>
        <w:t>13  </w:t>
      </w:r>
      <w:r>
        <w:rPr/>
        <w:t>The parties’ cases </w:t>
      </w:r>
      <w:r>
        <w:rPr>
          <w:spacing w:val="-3"/>
        </w:rPr>
        <w:t>are  heard </w:t>
      </w:r>
      <w:r>
        <w:rPr/>
        <w:t>by an independent </w:t>
      </w:r>
      <w:r>
        <w:rPr>
          <w:spacing w:val="-4"/>
        </w:rPr>
        <w:t>arbitrator, </w:t>
      </w:r>
      <w:r>
        <w:rPr/>
        <w:t>who is </w:t>
      </w:r>
      <w:r>
        <w:rPr>
          <w:spacing w:val="-2"/>
        </w:rPr>
        <w:t>empowered </w:t>
      </w:r>
      <w:r>
        <w:rPr>
          <w:spacing w:val="-3"/>
        </w:rPr>
        <w:t>to </w:t>
      </w:r>
      <w:r>
        <w:rPr>
          <w:spacing w:val="-4"/>
        </w:rPr>
        <w:t>make </w:t>
      </w:r>
      <w:r>
        <w:rPr/>
        <w:t>a </w:t>
      </w:r>
      <w:r>
        <w:rPr>
          <w:spacing w:val="-3"/>
        </w:rPr>
        <w:t>binding  </w:t>
      </w:r>
      <w:r>
        <w:rPr/>
        <w:t>decision about  the</w:t>
      </w:r>
      <w:r>
        <w:rPr>
          <w:spacing w:val="8"/>
        </w:rPr>
        <w:t> </w:t>
      </w:r>
      <w:r>
        <w:rPr>
          <w:spacing w:val="-6"/>
        </w:rPr>
        <w:t>case.</w:t>
      </w:r>
      <w:r>
        <w:rPr>
          <w:spacing w:val="-6"/>
          <w:position w:val="7"/>
          <w:sz w:val="12"/>
        </w:rPr>
        <w:t>14</w:t>
      </w:r>
    </w:p>
    <w:p>
      <w:pPr>
        <w:pStyle w:val="ListParagraph"/>
        <w:numPr>
          <w:ilvl w:val="1"/>
          <w:numId w:val="16"/>
        </w:numPr>
        <w:tabs>
          <w:tab w:pos="2381" w:val="left" w:leader="none"/>
          <w:tab w:pos="2382" w:val="left" w:leader="none"/>
        </w:tabs>
        <w:spacing w:line="242" w:lineRule="auto" w:before="124" w:after="0"/>
        <w:ind w:left="2381" w:right="1635" w:hanging="794"/>
        <w:jc w:val="left"/>
        <w:rPr>
          <w:sz w:val="21"/>
        </w:rPr>
      </w:pPr>
      <w:r>
        <w:rPr>
          <w:w w:val="105"/>
          <w:sz w:val="21"/>
        </w:rPr>
        <w:t>Other</w:t>
      </w:r>
      <w:r>
        <w:rPr>
          <w:spacing w:val="-10"/>
          <w:w w:val="105"/>
          <w:sz w:val="21"/>
        </w:rPr>
        <w:t> </w:t>
      </w:r>
      <w:r>
        <w:rPr>
          <w:spacing w:val="-3"/>
          <w:w w:val="105"/>
          <w:sz w:val="21"/>
        </w:rPr>
        <w:t>mechanisms</w:t>
      </w:r>
      <w:r>
        <w:rPr>
          <w:spacing w:val="-9"/>
          <w:w w:val="105"/>
          <w:sz w:val="21"/>
        </w:rPr>
        <w:t> </w:t>
      </w:r>
      <w:r>
        <w:rPr>
          <w:spacing w:val="-3"/>
          <w:w w:val="105"/>
          <w:sz w:val="21"/>
        </w:rPr>
        <w:t>to</w:t>
      </w:r>
      <w:r>
        <w:rPr>
          <w:spacing w:val="-10"/>
          <w:w w:val="105"/>
          <w:sz w:val="21"/>
        </w:rPr>
        <w:t> </w:t>
      </w:r>
      <w:r>
        <w:rPr>
          <w:w w:val="105"/>
          <w:sz w:val="21"/>
        </w:rPr>
        <w:t>support</w:t>
      </w:r>
      <w:r>
        <w:rPr>
          <w:spacing w:val="-9"/>
          <w:w w:val="105"/>
          <w:sz w:val="21"/>
        </w:rPr>
        <w:t> </w:t>
      </w:r>
      <w:r>
        <w:rPr>
          <w:w w:val="105"/>
          <w:sz w:val="21"/>
        </w:rPr>
        <w:t>early</w:t>
      </w:r>
      <w:r>
        <w:rPr>
          <w:spacing w:val="-10"/>
          <w:w w:val="105"/>
          <w:sz w:val="21"/>
        </w:rPr>
        <w:t> </w:t>
      </w:r>
      <w:r>
        <w:rPr>
          <w:w w:val="105"/>
          <w:sz w:val="21"/>
        </w:rPr>
        <w:t>resolution</w:t>
      </w:r>
      <w:r>
        <w:rPr>
          <w:spacing w:val="-9"/>
          <w:w w:val="105"/>
          <w:sz w:val="21"/>
        </w:rPr>
        <w:t> </w:t>
      </w:r>
      <w:r>
        <w:rPr>
          <w:w w:val="105"/>
          <w:sz w:val="21"/>
        </w:rPr>
        <w:t>of</w:t>
      </w:r>
      <w:r>
        <w:rPr>
          <w:spacing w:val="-10"/>
          <w:w w:val="105"/>
          <w:sz w:val="21"/>
        </w:rPr>
        <w:t> </w:t>
      </w:r>
      <w:r>
        <w:rPr>
          <w:spacing w:val="-3"/>
          <w:w w:val="105"/>
          <w:sz w:val="21"/>
        </w:rPr>
        <w:t>disputes</w:t>
      </w:r>
      <w:r>
        <w:rPr>
          <w:spacing w:val="-9"/>
          <w:w w:val="105"/>
          <w:sz w:val="21"/>
        </w:rPr>
        <w:t> </w:t>
      </w:r>
      <w:r>
        <w:rPr>
          <w:spacing w:val="-3"/>
          <w:w w:val="105"/>
          <w:sz w:val="21"/>
        </w:rPr>
        <w:t>include</w:t>
      </w:r>
      <w:r>
        <w:rPr>
          <w:spacing w:val="-10"/>
          <w:w w:val="105"/>
          <w:sz w:val="21"/>
        </w:rPr>
        <w:t> </w:t>
      </w:r>
      <w:r>
        <w:rPr>
          <w:spacing w:val="-3"/>
          <w:w w:val="105"/>
          <w:sz w:val="21"/>
        </w:rPr>
        <w:t>prehearing</w:t>
      </w:r>
      <w:r>
        <w:rPr>
          <w:spacing w:val="-9"/>
          <w:w w:val="105"/>
          <w:sz w:val="21"/>
        </w:rPr>
        <w:t> </w:t>
      </w:r>
      <w:r>
        <w:rPr>
          <w:spacing w:val="-3"/>
          <w:w w:val="105"/>
          <w:sz w:val="21"/>
        </w:rPr>
        <w:t>conferences, </w:t>
      </w:r>
      <w:r>
        <w:rPr>
          <w:w w:val="105"/>
          <w:sz w:val="21"/>
        </w:rPr>
        <w:t>mediation and early </w:t>
      </w:r>
      <w:r>
        <w:rPr>
          <w:spacing w:val="-3"/>
          <w:w w:val="105"/>
          <w:sz w:val="21"/>
        </w:rPr>
        <w:t>neutral </w:t>
      </w:r>
      <w:r>
        <w:rPr>
          <w:spacing w:val="-5"/>
          <w:w w:val="105"/>
          <w:sz w:val="21"/>
        </w:rPr>
        <w:t>evaluation.</w:t>
      </w:r>
      <w:r>
        <w:rPr>
          <w:spacing w:val="-5"/>
          <w:w w:val="105"/>
          <w:position w:val="7"/>
          <w:sz w:val="12"/>
        </w:rPr>
        <w:t>15 </w:t>
      </w:r>
      <w:r>
        <w:rPr>
          <w:w w:val="105"/>
          <w:sz w:val="21"/>
        </w:rPr>
        <w:t>Pre-hearing </w:t>
      </w:r>
      <w:r>
        <w:rPr>
          <w:spacing w:val="-3"/>
          <w:w w:val="105"/>
          <w:sz w:val="21"/>
        </w:rPr>
        <w:t>conferences, </w:t>
      </w:r>
      <w:r>
        <w:rPr>
          <w:w w:val="105"/>
          <w:sz w:val="21"/>
        </w:rPr>
        <w:t>if directed by the </w:t>
      </w:r>
      <w:r>
        <w:rPr>
          <w:spacing w:val="-3"/>
          <w:w w:val="105"/>
          <w:sz w:val="21"/>
        </w:rPr>
        <w:t>Court, are </w:t>
      </w:r>
      <w:r>
        <w:rPr>
          <w:w w:val="105"/>
          <w:sz w:val="21"/>
        </w:rPr>
        <w:t>compulsory </w:t>
      </w:r>
      <w:r>
        <w:rPr>
          <w:spacing w:val="-3"/>
          <w:w w:val="105"/>
          <w:sz w:val="21"/>
        </w:rPr>
        <w:t>for </w:t>
      </w:r>
      <w:r>
        <w:rPr>
          <w:w w:val="105"/>
          <w:sz w:val="21"/>
        </w:rPr>
        <w:t>the parties and their lawyers and </w:t>
      </w:r>
      <w:r>
        <w:rPr>
          <w:spacing w:val="-3"/>
          <w:w w:val="105"/>
          <w:sz w:val="21"/>
        </w:rPr>
        <w:t>are generally heard</w:t>
      </w:r>
      <w:r>
        <w:rPr>
          <w:spacing w:val="-23"/>
          <w:w w:val="105"/>
          <w:sz w:val="21"/>
        </w:rPr>
        <w:t> </w:t>
      </w:r>
      <w:r>
        <w:rPr>
          <w:spacing w:val="-3"/>
          <w:w w:val="105"/>
          <w:sz w:val="21"/>
        </w:rPr>
        <w:t>before</w:t>
      </w:r>
    </w:p>
    <w:p>
      <w:pPr>
        <w:pStyle w:val="BodyText"/>
        <w:spacing w:line="242" w:lineRule="auto" w:before="3"/>
        <w:ind w:left="2381" w:right="1636"/>
        <w:rPr>
          <w:sz w:val="12"/>
        </w:rPr>
      </w:pPr>
      <w:r>
        <w:rPr>
          <w:w w:val="105"/>
        </w:rPr>
        <w:t>an experienced </w:t>
      </w:r>
      <w:r>
        <w:rPr>
          <w:spacing w:val="-4"/>
          <w:w w:val="105"/>
        </w:rPr>
        <w:t>registrar. </w:t>
      </w:r>
      <w:r>
        <w:rPr>
          <w:w w:val="105"/>
        </w:rPr>
        <w:t>The </w:t>
      </w:r>
      <w:r>
        <w:rPr>
          <w:spacing w:val="-3"/>
          <w:w w:val="105"/>
        </w:rPr>
        <w:t>registrar </w:t>
      </w:r>
      <w:r>
        <w:rPr>
          <w:w w:val="105"/>
        </w:rPr>
        <w:t>identifies and explores the issues and </w:t>
      </w:r>
      <w:r>
        <w:rPr>
          <w:spacing w:val="-3"/>
          <w:w w:val="105"/>
        </w:rPr>
        <w:t>promotes </w:t>
      </w:r>
      <w:r>
        <w:rPr>
          <w:spacing w:val="-4"/>
          <w:w w:val="105"/>
        </w:rPr>
        <w:t>settlement.</w:t>
      </w:r>
      <w:r>
        <w:rPr>
          <w:spacing w:val="-4"/>
          <w:w w:val="105"/>
          <w:position w:val="7"/>
          <w:sz w:val="12"/>
        </w:rPr>
        <w:t>16 </w:t>
      </w:r>
      <w:r>
        <w:rPr>
          <w:w w:val="105"/>
        </w:rPr>
        <w:t>If no resolution is </w:t>
      </w:r>
      <w:r>
        <w:rPr>
          <w:spacing w:val="-3"/>
          <w:w w:val="105"/>
        </w:rPr>
        <w:t>reached, </w:t>
      </w:r>
      <w:r>
        <w:rPr>
          <w:w w:val="105"/>
        </w:rPr>
        <w:t>the </w:t>
      </w:r>
      <w:r>
        <w:rPr>
          <w:spacing w:val="-3"/>
          <w:w w:val="105"/>
        </w:rPr>
        <w:t>registrar may </w:t>
      </w:r>
      <w:r>
        <w:rPr>
          <w:spacing w:val="-4"/>
          <w:w w:val="105"/>
        </w:rPr>
        <w:t>make </w:t>
      </w:r>
      <w:r>
        <w:rPr>
          <w:w w:val="105"/>
        </w:rPr>
        <w:t>directions </w:t>
      </w:r>
      <w:r>
        <w:rPr>
          <w:spacing w:val="-3"/>
          <w:w w:val="105"/>
        </w:rPr>
        <w:t>for </w:t>
      </w:r>
      <w:r>
        <w:rPr>
          <w:w w:val="105"/>
        </w:rPr>
        <w:t>the </w:t>
      </w:r>
      <w:r>
        <w:rPr>
          <w:spacing w:val="-3"/>
          <w:w w:val="105"/>
        </w:rPr>
        <w:t>dispute to </w:t>
      </w:r>
      <w:r>
        <w:rPr>
          <w:w w:val="105"/>
        </w:rPr>
        <w:t>proceed </w:t>
      </w:r>
      <w:r>
        <w:rPr>
          <w:spacing w:val="-3"/>
          <w:w w:val="105"/>
        </w:rPr>
        <w:t>to </w:t>
      </w:r>
      <w:r>
        <w:rPr>
          <w:w w:val="105"/>
        </w:rPr>
        <w:t>a </w:t>
      </w:r>
      <w:r>
        <w:rPr>
          <w:spacing w:val="-6"/>
          <w:w w:val="105"/>
        </w:rPr>
        <w:t>hearing.</w:t>
      </w:r>
      <w:r>
        <w:rPr>
          <w:spacing w:val="-6"/>
          <w:w w:val="105"/>
          <w:position w:val="7"/>
          <w:sz w:val="12"/>
        </w:rPr>
        <w:t>17</w:t>
      </w:r>
    </w:p>
    <w:p>
      <w:pPr>
        <w:pStyle w:val="ListParagraph"/>
        <w:numPr>
          <w:ilvl w:val="1"/>
          <w:numId w:val="16"/>
        </w:numPr>
        <w:tabs>
          <w:tab w:pos="2381" w:val="left" w:leader="none"/>
          <w:tab w:pos="2382" w:val="left" w:leader="none"/>
        </w:tabs>
        <w:spacing w:line="242" w:lineRule="auto" w:before="123" w:after="0"/>
        <w:ind w:left="2381" w:right="1730" w:hanging="794"/>
        <w:jc w:val="left"/>
        <w:rPr>
          <w:sz w:val="21"/>
        </w:rPr>
      </w:pPr>
      <w:r>
        <w:rPr>
          <w:spacing w:val="-3"/>
          <w:w w:val="105"/>
          <w:sz w:val="21"/>
        </w:rPr>
        <w:t>Referral to </w:t>
      </w:r>
      <w:r>
        <w:rPr>
          <w:w w:val="105"/>
          <w:sz w:val="21"/>
        </w:rPr>
        <w:t>mediation can </w:t>
      </w:r>
      <w:r>
        <w:rPr>
          <w:spacing w:val="-3"/>
          <w:w w:val="105"/>
          <w:sz w:val="21"/>
        </w:rPr>
        <w:t>occur </w:t>
      </w:r>
      <w:r>
        <w:rPr>
          <w:w w:val="105"/>
          <w:sz w:val="21"/>
        </w:rPr>
        <w:t>with or without the parties’ </w:t>
      </w:r>
      <w:r>
        <w:rPr>
          <w:spacing w:val="-5"/>
          <w:w w:val="105"/>
          <w:sz w:val="21"/>
        </w:rPr>
        <w:t>consent.</w:t>
      </w:r>
      <w:r>
        <w:rPr>
          <w:spacing w:val="-5"/>
          <w:w w:val="105"/>
          <w:position w:val="7"/>
          <w:sz w:val="12"/>
        </w:rPr>
        <w:t>18 </w:t>
      </w:r>
      <w:r>
        <w:rPr>
          <w:w w:val="105"/>
          <w:sz w:val="21"/>
        </w:rPr>
        <w:t>It is </w:t>
      </w:r>
      <w:r>
        <w:rPr>
          <w:spacing w:val="-3"/>
          <w:w w:val="105"/>
          <w:sz w:val="21"/>
        </w:rPr>
        <w:t>usually </w:t>
      </w:r>
      <w:r>
        <w:rPr>
          <w:w w:val="105"/>
          <w:sz w:val="21"/>
        </w:rPr>
        <w:t>conducted</w:t>
      </w:r>
      <w:r>
        <w:rPr>
          <w:spacing w:val="-7"/>
          <w:w w:val="105"/>
          <w:sz w:val="21"/>
        </w:rPr>
        <w:t> </w:t>
      </w:r>
      <w:r>
        <w:rPr>
          <w:w w:val="105"/>
          <w:sz w:val="21"/>
        </w:rPr>
        <w:t>by</w:t>
      </w:r>
      <w:r>
        <w:rPr>
          <w:spacing w:val="-7"/>
          <w:w w:val="105"/>
          <w:sz w:val="21"/>
        </w:rPr>
        <w:t> </w:t>
      </w:r>
      <w:r>
        <w:rPr>
          <w:w w:val="105"/>
          <w:sz w:val="21"/>
        </w:rPr>
        <w:t>a</w:t>
      </w:r>
      <w:r>
        <w:rPr>
          <w:spacing w:val="-7"/>
          <w:w w:val="105"/>
          <w:sz w:val="21"/>
        </w:rPr>
        <w:t> </w:t>
      </w:r>
      <w:r>
        <w:rPr>
          <w:spacing w:val="-4"/>
          <w:w w:val="105"/>
          <w:sz w:val="21"/>
        </w:rPr>
        <w:t>registrar,</w:t>
      </w:r>
      <w:r>
        <w:rPr>
          <w:spacing w:val="-7"/>
          <w:w w:val="105"/>
          <w:sz w:val="21"/>
        </w:rPr>
        <w:t> </w:t>
      </w:r>
      <w:r>
        <w:rPr>
          <w:w w:val="105"/>
          <w:sz w:val="21"/>
        </w:rPr>
        <w:t>a</w:t>
      </w:r>
      <w:r>
        <w:rPr>
          <w:spacing w:val="-6"/>
          <w:w w:val="105"/>
          <w:sz w:val="21"/>
        </w:rPr>
        <w:t> </w:t>
      </w:r>
      <w:r>
        <w:rPr>
          <w:spacing w:val="-3"/>
          <w:w w:val="105"/>
          <w:sz w:val="21"/>
        </w:rPr>
        <w:t>judicial</w:t>
      </w:r>
      <w:r>
        <w:rPr>
          <w:spacing w:val="-7"/>
          <w:w w:val="105"/>
          <w:sz w:val="21"/>
        </w:rPr>
        <w:t> </w:t>
      </w:r>
      <w:r>
        <w:rPr>
          <w:spacing w:val="-3"/>
          <w:w w:val="105"/>
          <w:sz w:val="21"/>
        </w:rPr>
        <w:t>registrar</w:t>
      </w:r>
      <w:r>
        <w:rPr>
          <w:spacing w:val="-7"/>
          <w:w w:val="105"/>
          <w:sz w:val="21"/>
        </w:rPr>
        <w:t> </w:t>
      </w:r>
      <w:r>
        <w:rPr>
          <w:w w:val="105"/>
          <w:sz w:val="21"/>
        </w:rPr>
        <w:t>or</w:t>
      </w:r>
      <w:r>
        <w:rPr>
          <w:spacing w:val="-7"/>
          <w:w w:val="105"/>
          <w:sz w:val="21"/>
        </w:rPr>
        <w:t> </w:t>
      </w:r>
      <w:r>
        <w:rPr>
          <w:w w:val="105"/>
          <w:sz w:val="21"/>
        </w:rPr>
        <w:t>an</w:t>
      </w:r>
      <w:r>
        <w:rPr>
          <w:spacing w:val="-7"/>
          <w:w w:val="105"/>
          <w:sz w:val="21"/>
        </w:rPr>
        <w:t> </w:t>
      </w:r>
      <w:r>
        <w:rPr>
          <w:w w:val="105"/>
          <w:sz w:val="21"/>
        </w:rPr>
        <w:t>external</w:t>
      </w:r>
      <w:r>
        <w:rPr>
          <w:spacing w:val="-6"/>
          <w:w w:val="105"/>
          <w:sz w:val="21"/>
        </w:rPr>
        <w:t> mediator.</w:t>
      </w:r>
      <w:r>
        <w:rPr>
          <w:spacing w:val="-6"/>
          <w:w w:val="105"/>
          <w:position w:val="7"/>
          <w:sz w:val="12"/>
        </w:rPr>
        <w:t>19</w:t>
      </w:r>
      <w:r>
        <w:rPr>
          <w:spacing w:val="16"/>
          <w:w w:val="105"/>
          <w:position w:val="7"/>
          <w:sz w:val="12"/>
        </w:rPr>
        <w:t> </w:t>
      </w:r>
      <w:r>
        <w:rPr>
          <w:w w:val="105"/>
          <w:sz w:val="21"/>
        </w:rPr>
        <w:t>Mediation</w:t>
      </w:r>
      <w:r>
        <w:rPr>
          <w:spacing w:val="-7"/>
          <w:w w:val="105"/>
          <w:sz w:val="21"/>
        </w:rPr>
        <w:t> </w:t>
      </w:r>
      <w:r>
        <w:rPr>
          <w:spacing w:val="-3"/>
          <w:w w:val="105"/>
          <w:sz w:val="21"/>
        </w:rPr>
        <w:t>before</w:t>
      </w:r>
      <w:r>
        <w:rPr>
          <w:spacing w:val="-7"/>
          <w:w w:val="105"/>
          <w:sz w:val="21"/>
        </w:rPr>
        <w:t> </w:t>
      </w:r>
      <w:r>
        <w:rPr>
          <w:w w:val="105"/>
          <w:sz w:val="21"/>
        </w:rPr>
        <w:t>a </w:t>
      </w:r>
      <w:r>
        <w:rPr>
          <w:spacing w:val="-3"/>
          <w:w w:val="105"/>
          <w:sz w:val="21"/>
        </w:rPr>
        <w:t>registrar </w:t>
      </w:r>
      <w:r>
        <w:rPr>
          <w:w w:val="105"/>
          <w:sz w:val="21"/>
        </w:rPr>
        <w:t>costs </w:t>
      </w:r>
      <w:r>
        <w:rPr>
          <w:spacing w:val="-7"/>
          <w:w w:val="105"/>
          <w:sz w:val="21"/>
        </w:rPr>
        <w:t>$261.50,</w:t>
      </w:r>
      <w:r>
        <w:rPr>
          <w:spacing w:val="16"/>
          <w:w w:val="105"/>
          <w:sz w:val="21"/>
        </w:rPr>
        <w:t> </w:t>
      </w:r>
      <w:r>
        <w:rPr>
          <w:w w:val="105"/>
          <w:sz w:val="21"/>
        </w:rPr>
        <w:t>and </w:t>
      </w:r>
      <w:r>
        <w:rPr>
          <w:spacing w:val="-5"/>
          <w:w w:val="105"/>
          <w:sz w:val="21"/>
        </w:rPr>
        <w:t>$453.70 </w:t>
      </w:r>
      <w:r>
        <w:rPr>
          <w:spacing w:val="-3"/>
          <w:w w:val="105"/>
          <w:sz w:val="21"/>
        </w:rPr>
        <w:t>before </w:t>
      </w:r>
      <w:r>
        <w:rPr>
          <w:w w:val="105"/>
          <w:sz w:val="21"/>
        </w:rPr>
        <w:t>a </w:t>
      </w:r>
      <w:r>
        <w:rPr>
          <w:spacing w:val="-3"/>
          <w:w w:val="105"/>
          <w:sz w:val="21"/>
        </w:rPr>
        <w:t>judicial registrar.</w:t>
      </w:r>
      <w:r>
        <w:rPr>
          <w:spacing w:val="-3"/>
          <w:w w:val="105"/>
          <w:position w:val="7"/>
          <w:sz w:val="12"/>
        </w:rPr>
        <w:t>20</w:t>
      </w:r>
    </w:p>
    <w:p>
      <w:pPr>
        <w:pStyle w:val="BodyText"/>
        <w:rPr>
          <w:sz w:val="20"/>
        </w:rPr>
      </w:pPr>
    </w:p>
    <w:p>
      <w:pPr>
        <w:pStyle w:val="BodyText"/>
        <w:rPr>
          <w:sz w:val="20"/>
        </w:rPr>
      </w:pPr>
    </w:p>
    <w:p>
      <w:pPr>
        <w:pStyle w:val="BodyText"/>
        <w:spacing w:before="8"/>
        <w:rPr>
          <w:sz w:val="18"/>
        </w:rPr>
      </w:pPr>
      <w:r>
        <w:rPr/>
        <w:pict>
          <v:line style="position:absolute;mso-position-horizontal-relative:page;mso-position-vertical-relative:paragraph;z-index:6440;mso-wrap-distance-left:0;mso-wrap-distance-right:0" from="79.370102pt,13.851594pt" to="515.905102pt,13.851594pt" stroked="true" strokeweight="1pt" strokecolor="#c9d2cb">
            <v:stroke dashstyle="solid"/>
            <w10:wrap type="topAndBottom"/>
          </v:line>
        </w:pict>
      </w:r>
    </w:p>
    <w:p>
      <w:pPr>
        <w:pStyle w:val="BodyText"/>
        <w:spacing w:before="8"/>
        <w:rPr>
          <w:sz w:val="5"/>
        </w:rPr>
      </w:pPr>
    </w:p>
    <w:p>
      <w:pPr>
        <w:spacing w:after="0"/>
        <w:rPr>
          <w:sz w:val="5"/>
        </w:rPr>
        <w:sectPr>
          <w:headerReference w:type="default" r:id="rId148"/>
          <w:headerReference w:type="even" r:id="rId149"/>
          <w:pgSz w:w="11910" w:h="16840"/>
          <w:pgMar w:header="808" w:footer="0" w:top="1360" w:bottom="280" w:left="0" w:right="0"/>
        </w:sectPr>
      </w:pPr>
    </w:p>
    <w:p>
      <w:pPr>
        <w:pStyle w:val="ListParagraph"/>
        <w:numPr>
          <w:ilvl w:val="0"/>
          <w:numId w:val="108"/>
        </w:numPr>
        <w:tabs>
          <w:tab w:pos="2380" w:val="left" w:leader="none"/>
          <w:tab w:pos="2382" w:val="left" w:leader="none"/>
        </w:tabs>
        <w:spacing w:line="240" w:lineRule="auto" w:before="48" w:after="0"/>
        <w:ind w:left="2381" w:right="0" w:hanging="794"/>
        <w:jc w:val="left"/>
        <w:rPr>
          <w:sz w:val="13"/>
        </w:rPr>
      </w:pPr>
      <w:r>
        <w:rPr>
          <w:i/>
          <w:w w:val="105"/>
          <w:sz w:val="13"/>
        </w:rPr>
        <w:t>Magistrates’</w:t>
      </w:r>
      <w:r>
        <w:rPr>
          <w:i/>
          <w:spacing w:val="4"/>
          <w:w w:val="105"/>
          <w:sz w:val="13"/>
        </w:rPr>
        <w:t> </w:t>
      </w:r>
      <w:r>
        <w:rPr>
          <w:i/>
          <w:w w:val="105"/>
          <w:sz w:val="13"/>
        </w:rPr>
        <w:t>Court</w:t>
      </w:r>
      <w:r>
        <w:rPr>
          <w:i/>
          <w:spacing w:val="5"/>
          <w:w w:val="105"/>
          <w:sz w:val="13"/>
        </w:rPr>
        <w:t> </w:t>
      </w:r>
      <w:r>
        <w:rPr>
          <w:i/>
          <w:w w:val="105"/>
          <w:sz w:val="13"/>
        </w:rPr>
        <w:t>Act</w:t>
      </w:r>
      <w:r>
        <w:rPr>
          <w:i/>
          <w:spacing w:val="4"/>
          <w:w w:val="105"/>
          <w:sz w:val="13"/>
        </w:rPr>
        <w:t> </w:t>
      </w:r>
      <w:r>
        <w:rPr>
          <w:i/>
          <w:w w:val="105"/>
          <w:sz w:val="13"/>
        </w:rPr>
        <w:t>1989</w:t>
      </w:r>
      <w:r>
        <w:rPr>
          <w:i/>
          <w:spacing w:val="5"/>
          <w:w w:val="105"/>
          <w:sz w:val="13"/>
        </w:rPr>
        <w:t> </w:t>
      </w:r>
      <w:r>
        <w:rPr>
          <w:spacing w:val="2"/>
          <w:w w:val="105"/>
          <w:sz w:val="13"/>
        </w:rPr>
        <w:t>(Vic)</w:t>
      </w:r>
      <w:r>
        <w:rPr>
          <w:spacing w:val="5"/>
          <w:w w:val="105"/>
          <w:sz w:val="13"/>
        </w:rPr>
        <w:t> </w:t>
      </w:r>
      <w:r>
        <w:rPr>
          <w:w w:val="105"/>
          <w:sz w:val="13"/>
        </w:rPr>
        <w:t>s</w:t>
      </w:r>
      <w:r>
        <w:rPr>
          <w:spacing w:val="4"/>
          <w:w w:val="105"/>
          <w:sz w:val="13"/>
        </w:rPr>
        <w:t> </w:t>
      </w:r>
      <w:r>
        <w:rPr>
          <w:w w:val="105"/>
          <w:sz w:val="13"/>
        </w:rPr>
        <w:t>3</w:t>
      </w:r>
      <w:r>
        <w:rPr>
          <w:spacing w:val="5"/>
          <w:w w:val="105"/>
          <w:sz w:val="13"/>
        </w:rPr>
        <w:t> </w:t>
      </w:r>
      <w:r>
        <w:rPr>
          <w:w w:val="105"/>
          <w:sz w:val="13"/>
        </w:rPr>
        <w:t>(definition</w:t>
      </w:r>
      <w:r>
        <w:rPr>
          <w:spacing w:val="4"/>
          <w:w w:val="105"/>
          <w:sz w:val="13"/>
        </w:rPr>
        <w:t> </w:t>
      </w:r>
      <w:r>
        <w:rPr>
          <w:w w:val="105"/>
          <w:sz w:val="13"/>
        </w:rPr>
        <w:t>of</w:t>
      </w:r>
      <w:r>
        <w:rPr>
          <w:spacing w:val="5"/>
          <w:w w:val="105"/>
          <w:sz w:val="13"/>
        </w:rPr>
        <w:t> </w:t>
      </w:r>
      <w:r>
        <w:rPr>
          <w:w w:val="105"/>
          <w:sz w:val="13"/>
        </w:rPr>
        <w:t>‘jurisdictional</w:t>
      </w:r>
      <w:r>
        <w:rPr>
          <w:spacing w:val="5"/>
          <w:w w:val="105"/>
          <w:sz w:val="13"/>
        </w:rPr>
        <w:t> </w:t>
      </w:r>
      <w:r>
        <w:rPr>
          <w:spacing w:val="2"/>
          <w:w w:val="105"/>
          <w:sz w:val="13"/>
        </w:rPr>
        <w:t>limit’).</w:t>
      </w:r>
    </w:p>
    <w:p>
      <w:pPr>
        <w:pStyle w:val="ListParagraph"/>
        <w:numPr>
          <w:ilvl w:val="0"/>
          <w:numId w:val="108"/>
        </w:numPr>
        <w:tabs>
          <w:tab w:pos="2380" w:val="left" w:leader="none"/>
          <w:tab w:pos="2382" w:val="left" w:leader="none"/>
        </w:tabs>
        <w:spacing w:line="240" w:lineRule="auto" w:before="1" w:after="0"/>
        <w:ind w:left="2381" w:right="0" w:hanging="794"/>
        <w:jc w:val="left"/>
        <w:rPr>
          <w:sz w:val="13"/>
        </w:rPr>
      </w:pPr>
      <w:r>
        <w:rPr>
          <w:w w:val="105"/>
          <w:sz w:val="13"/>
        </w:rPr>
        <w:t>The jurisdictional limit for claims for equitable relief is also $100,000: see </w:t>
      </w:r>
      <w:r>
        <w:rPr>
          <w:i/>
          <w:w w:val="105"/>
          <w:sz w:val="13"/>
        </w:rPr>
        <w:t>Magistrates’ Court Act 1989 </w:t>
      </w:r>
      <w:r>
        <w:rPr>
          <w:spacing w:val="2"/>
          <w:w w:val="105"/>
          <w:sz w:val="13"/>
        </w:rPr>
        <w:t>(Vic) </w:t>
      </w:r>
      <w:r>
        <w:rPr>
          <w:w w:val="105"/>
          <w:sz w:val="13"/>
        </w:rPr>
        <w:t>ss 3, </w:t>
      </w:r>
      <w:r>
        <w:rPr>
          <w:spacing w:val="2"/>
          <w:w w:val="105"/>
          <w:sz w:val="13"/>
        </w:rPr>
        <w:t>100(1)(b). </w:t>
      </w:r>
      <w:r>
        <w:rPr>
          <w:w w:val="105"/>
          <w:sz w:val="13"/>
        </w:rPr>
        <w:t>Section 31 of       the Supreme Court Act 1986 gives the Magistrates’ Court power (subject to its jurisdictional limit) to grant such general equitable remedies    as the Supreme Court has power to grant in like cases. The most common form of equitable relief sought is injunctive relief: Judicial College   of</w:t>
      </w:r>
      <w:r>
        <w:rPr>
          <w:spacing w:val="4"/>
          <w:w w:val="105"/>
          <w:sz w:val="13"/>
        </w:rPr>
        <w:t> </w:t>
      </w:r>
      <w:r>
        <w:rPr>
          <w:w w:val="105"/>
          <w:sz w:val="13"/>
        </w:rPr>
        <w:t>Victoria,</w:t>
      </w:r>
      <w:r>
        <w:rPr>
          <w:spacing w:val="5"/>
          <w:w w:val="105"/>
          <w:sz w:val="13"/>
        </w:rPr>
        <w:t> </w:t>
      </w:r>
      <w:r>
        <w:rPr>
          <w:i/>
          <w:w w:val="105"/>
          <w:sz w:val="13"/>
        </w:rPr>
        <w:t>Magistrates</w:t>
      </w:r>
      <w:r>
        <w:rPr>
          <w:i/>
          <w:spacing w:val="5"/>
          <w:w w:val="105"/>
          <w:sz w:val="13"/>
        </w:rPr>
        <w:t> </w:t>
      </w:r>
      <w:r>
        <w:rPr>
          <w:i/>
          <w:w w:val="105"/>
          <w:sz w:val="13"/>
        </w:rPr>
        <w:t>Court</w:t>
      </w:r>
      <w:r>
        <w:rPr>
          <w:i/>
          <w:spacing w:val="5"/>
          <w:w w:val="105"/>
          <w:sz w:val="13"/>
        </w:rPr>
        <w:t> </w:t>
      </w:r>
      <w:r>
        <w:rPr>
          <w:i/>
          <w:w w:val="105"/>
          <w:sz w:val="13"/>
        </w:rPr>
        <w:t>Bench</w:t>
      </w:r>
      <w:r>
        <w:rPr>
          <w:i/>
          <w:spacing w:val="5"/>
          <w:w w:val="105"/>
          <w:sz w:val="13"/>
        </w:rPr>
        <w:t> </w:t>
      </w:r>
      <w:r>
        <w:rPr>
          <w:i/>
          <w:w w:val="105"/>
          <w:sz w:val="13"/>
        </w:rPr>
        <w:t>Book</w:t>
      </w:r>
      <w:r>
        <w:rPr>
          <w:i/>
          <w:spacing w:val="5"/>
          <w:w w:val="105"/>
          <w:sz w:val="13"/>
        </w:rPr>
        <w:t> </w:t>
      </w:r>
      <w:r>
        <w:rPr>
          <w:w w:val="105"/>
          <w:sz w:val="13"/>
        </w:rPr>
        <w:t>(at</w:t>
      </w:r>
      <w:r>
        <w:rPr>
          <w:spacing w:val="5"/>
          <w:w w:val="105"/>
          <w:sz w:val="13"/>
        </w:rPr>
        <w:t> </w:t>
      </w:r>
      <w:r>
        <w:rPr>
          <w:w w:val="105"/>
          <w:sz w:val="13"/>
        </w:rPr>
        <w:t>31</w:t>
      </w:r>
      <w:r>
        <w:rPr>
          <w:spacing w:val="5"/>
          <w:w w:val="105"/>
          <w:sz w:val="13"/>
        </w:rPr>
        <w:t> </w:t>
      </w:r>
      <w:r>
        <w:rPr>
          <w:w w:val="105"/>
          <w:sz w:val="13"/>
        </w:rPr>
        <w:t>January</w:t>
      </w:r>
      <w:r>
        <w:rPr>
          <w:spacing w:val="4"/>
          <w:w w:val="105"/>
          <w:sz w:val="13"/>
        </w:rPr>
        <w:t> </w:t>
      </w:r>
      <w:r>
        <w:rPr>
          <w:w w:val="105"/>
          <w:sz w:val="13"/>
        </w:rPr>
        <w:t>2012)</w:t>
      </w:r>
      <w:r>
        <w:rPr>
          <w:spacing w:val="5"/>
          <w:w w:val="105"/>
          <w:sz w:val="13"/>
        </w:rPr>
        <w:t> </w:t>
      </w:r>
      <w:r>
        <w:rPr>
          <w:w w:val="105"/>
          <w:sz w:val="13"/>
        </w:rPr>
        <w:t>1.6</w:t>
      </w:r>
      <w:r>
        <w:rPr>
          <w:spacing w:val="5"/>
          <w:w w:val="105"/>
          <w:sz w:val="13"/>
        </w:rPr>
        <w:t> </w:t>
      </w:r>
      <w:r>
        <w:rPr>
          <w:w w:val="105"/>
          <w:sz w:val="13"/>
        </w:rPr>
        <w:t>‘Equitable</w:t>
      </w:r>
      <w:r>
        <w:rPr>
          <w:spacing w:val="5"/>
          <w:w w:val="105"/>
          <w:sz w:val="13"/>
        </w:rPr>
        <w:t> </w:t>
      </w:r>
      <w:r>
        <w:rPr>
          <w:w w:val="105"/>
          <w:sz w:val="13"/>
        </w:rPr>
        <w:t>jurisdiction’.</w:t>
      </w:r>
    </w:p>
    <w:p>
      <w:pPr>
        <w:pStyle w:val="ListParagraph"/>
        <w:numPr>
          <w:ilvl w:val="0"/>
          <w:numId w:val="108"/>
        </w:numPr>
        <w:tabs>
          <w:tab w:pos="2380" w:val="left" w:leader="none"/>
          <w:tab w:pos="2382" w:val="left" w:leader="none"/>
        </w:tabs>
        <w:spacing w:line="240" w:lineRule="auto" w:before="6" w:after="0"/>
        <w:ind w:left="2381" w:right="0" w:hanging="794"/>
        <w:jc w:val="left"/>
        <w:rPr>
          <w:sz w:val="13"/>
        </w:rPr>
      </w:pPr>
      <w:r>
        <w:rPr>
          <w:w w:val="105"/>
          <w:sz w:val="13"/>
        </w:rPr>
        <w:t>Current</w:t>
      </w:r>
      <w:r>
        <w:rPr>
          <w:spacing w:val="5"/>
          <w:w w:val="105"/>
          <w:sz w:val="13"/>
        </w:rPr>
        <w:t> </w:t>
      </w:r>
      <w:r>
        <w:rPr>
          <w:w w:val="105"/>
          <w:sz w:val="13"/>
        </w:rPr>
        <w:t>values</w:t>
      </w:r>
      <w:r>
        <w:rPr>
          <w:spacing w:val="5"/>
          <w:w w:val="105"/>
          <w:sz w:val="13"/>
        </w:rPr>
        <w:t> </w:t>
      </w:r>
      <w:r>
        <w:rPr>
          <w:w w:val="105"/>
          <w:sz w:val="13"/>
        </w:rPr>
        <w:t>are</w:t>
      </w:r>
      <w:r>
        <w:rPr>
          <w:spacing w:val="6"/>
          <w:w w:val="105"/>
          <w:sz w:val="13"/>
        </w:rPr>
        <w:t> </w:t>
      </w:r>
      <w:r>
        <w:rPr>
          <w:w w:val="105"/>
          <w:sz w:val="13"/>
        </w:rPr>
        <w:t>set</w:t>
      </w:r>
      <w:r>
        <w:rPr>
          <w:spacing w:val="5"/>
          <w:w w:val="105"/>
          <w:sz w:val="13"/>
        </w:rPr>
        <w:t> </w:t>
      </w:r>
      <w:r>
        <w:rPr>
          <w:w w:val="105"/>
          <w:sz w:val="13"/>
        </w:rPr>
        <w:t>out</w:t>
      </w:r>
      <w:r>
        <w:rPr>
          <w:spacing w:val="6"/>
          <w:w w:val="105"/>
          <w:sz w:val="13"/>
        </w:rPr>
        <w:t> </w:t>
      </w:r>
      <w:r>
        <w:rPr>
          <w:w w:val="105"/>
          <w:sz w:val="13"/>
        </w:rPr>
        <w:t>in</w:t>
      </w:r>
      <w:r>
        <w:rPr>
          <w:spacing w:val="5"/>
          <w:w w:val="105"/>
          <w:sz w:val="13"/>
        </w:rPr>
        <w:t> </w:t>
      </w:r>
      <w:r>
        <w:rPr>
          <w:w w:val="105"/>
          <w:sz w:val="13"/>
        </w:rPr>
        <w:t>the</w:t>
      </w:r>
      <w:r>
        <w:rPr>
          <w:spacing w:val="5"/>
          <w:w w:val="105"/>
          <w:sz w:val="13"/>
        </w:rPr>
        <w:t> </w:t>
      </w:r>
      <w:r>
        <w:rPr>
          <w:w w:val="105"/>
          <w:sz w:val="13"/>
        </w:rPr>
        <w:t>Magistrates’</w:t>
      </w:r>
      <w:r>
        <w:rPr>
          <w:spacing w:val="6"/>
          <w:w w:val="105"/>
          <w:sz w:val="13"/>
        </w:rPr>
        <w:t> </w:t>
      </w:r>
      <w:r>
        <w:rPr>
          <w:w w:val="105"/>
          <w:sz w:val="13"/>
        </w:rPr>
        <w:t>Court</w:t>
      </w:r>
      <w:r>
        <w:rPr>
          <w:spacing w:val="5"/>
          <w:w w:val="105"/>
          <w:sz w:val="13"/>
        </w:rPr>
        <w:t> </w:t>
      </w:r>
      <w:r>
        <w:rPr>
          <w:w w:val="105"/>
          <w:sz w:val="13"/>
        </w:rPr>
        <w:t>of</w:t>
      </w:r>
      <w:r>
        <w:rPr>
          <w:spacing w:val="6"/>
          <w:w w:val="105"/>
          <w:sz w:val="13"/>
        </w:rPr>
        <w:t> </w:t>
      </w:r>
      <w:r>
        <w:rPr>
          <w:w w:val="105"/>
          <w:sz w:val="13"/>
        </w:rPr>
        <w:t>Victoria,</w:t>
      </w:r>
      <w:r>
        <w:rPr>
          <w:spacing w:val="5"/>
          <w:w w:val="105"/>
          <w:sz w:val="13"/>
        </w:rPr>
        <w:t> </w:t>
      </w:r>
      <w:r>
        <w:rPr>
          <w:i/>
          <w:w w:val="105"/>
          <w:sz w:val="13"/>
        </w:rPr>
        <w:t>Fees</w:t>
      </w:r>
      <w:r>
        <w:rPr>
          <w:i/>
          <w:spacing w:val="6"/>
          <w:w w:val="105"/>
          <w:sz w:val="13"/>
        </w:rPr>
        <w:t> </w:t>
      </w:r>
      <w:r>
        <w:rPr>
          <w:i/>
          <w:w w:val="105"/>
          <w:sz w:val="13"/>
        </w:rPr>
        <w:t>and</w:t>
      </w:r>
      <w:r>
        <w:rPr>
          <w:i/>
          <w:spacing w:val="5"/>
          <w:w w:val="105"/>
          <w:sz w:val="13"/>
        </w:rPr>
        <w:t> </w:t>
      </w:r>
      <w:r>
        <w:rPr>
          <w:i/>
          <w:w w:val="105"/>
          <w:sz w:val="13"/>
        </w:rPr>
        <w:t>Costs</w:t>
      </w:r>
      <w:r>
        <w:rPr>
          <w:i/>
          <w:spacing w:val="5"/>
          <w:w w:val="105"/>
          <w:sz w:val="13"/>
        </w:rPr>
        <w:t> </w:t>
      </w:r>
      <w:r>
        <w:rPr>
          <w:i/>
          <w:w w:val="105"/>
          <w:sz w:val="13"/>
        </w:rPr>
        <w:t>Ready</w:t>
      </w:r>
      <w:r>
        <w:rPr>
          <w:i/>
          <w:spacing w:val="6"/>
          <w:w w:val="105"/>
          <w:sz w:val="13"/>
        </w:rPr>
        <w:t> </w:t>
      </w:r>
      <w:r>
        <w:rPr>
          <w:i/>
          <w:w w:val="105"/>
          <w:sz w:val="13"/>
        </w:rPr>
        <w:t>Reckoner</w:t>
      </w:r>
      <w:r>
        <w:rPr>
          <w:i/>
          <w:spacing w:val="5"/>
          <w:w w:val="105"/>
          <w:sz w:val="13"/>
        </w:rPr>
        <w:t> </w:t>
      </w:r>
      <w:r>
        <w:rPr>
          <w:w w:val="105"/>
          <w:sz w:val="13"/>
        </w:rPr>
        <w:t>(effective</w:t>
      </w:r>
      <w:r>
        <w:rPr>
          <w:spacing w:val="6"/>
          <w:w w:val="105"/>
          <w:sz w:val="13"/>
        </w:rPr>
        <w:t> </w:t>
      </w:r>
      <w:r>
        <w:rPr>
          <w:w w:val="105"/>
          <w:sz w:val="13"/>
        </w:rPr>
        <w:t>1</w:t>
      </w:r>
      <w:r>
        <w:rPr>
          <w:spacing w:val="5"/>
          <w:w w:val="105"/>
          <w:sz w:val="13"/>
        </w:rPr>
        <w:t> </w:t>
      </w:r>
      <w:r>
        <w:rPr>
          <w:w w:val="105"/>
          <w:sz w:val="13"/>
        </w:rPr>
        <w:t>January</w:t>
      </w:r>
      <w:r>
        <w:rPr>
          <w:spacing w:val="6"/>
          <w:w w:val="105"/>
          <w:sz w:val="13"/>
        </w:rPr>
        <w:t> </w:t>
      </w:r>
      <w:r>
        <w:rPr>
          <w:w w:val="105"/>
          <w:sz w:val="13"/>
        </w:rPr>
        <w:t>2019).</w:t>
      </w:r>
    </w:p>
    <w:p>
      <w:pPr>
        <w:pStyle w:val="ListParagraph"/>
        <w:numPr>
          <w:ilvl w:val="0"/>
          <w:numId w:val="108"/>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08"/>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08"/>
        </w:numPr>
        <w:tabs>
          <w:tab w:pos="2380" w:val="left" w:leader="none"/>
          <w:tab w:pos="2382" w:val="left" w:leader="none"/>
        </w:tabs>
        <w:spacing w:line="240" w:lineRule="auto" w:before="2" w:after="0"/>
        <w:ind w:left="2381" w:right="0" w:hanging="794"/>
        <w:jc w:val="left"/>
        <w:rPr>
          <w:sz w:val="13"/>
        </w:rPr>
      </w:pPr>
      <w:r>
        <w:rPr>
          <w:i/>
          <w:w w:val="105"/>
          <w:sz w:val="13"/>
        </w:rPr>
        <w:t>Magistrates’ Court Act 1989 </w:t>
      </w:r>
      <w:r>
        <w:rPr>
          <w:spacing w:val="2"/>
          <w:w w:val="105"/>
          <w:sz w:val="13"/>
        </w:rPr>
        <w:t>(Vic) </w:t>
      </w:r>
      <w:r>
        <w:rPr>
          <w:w w:val="105"/>
          <w:sz w:val="13"/>
        </w:rPr>
        <w:t>s</w:t>
      </w:r>
      <w:r>
        <w:rPr>
          <w:spacing w:val="25"/>
          <w:w w:val="105"/>
          <w:sz w:val="13"/>
        </w:rPr>
        <w:t> </w:t>
      </w:r>
      <w:r>
        <w:rPr>
          <w:spacing w:val="2"/>
          <w:w w:val="105"/>
          <w:sz w:val="13"/>
        </w:rPr>
        <w:t>22(2).</w:t>
      </w:r>
    </w:p>
    <w:p>
      <w:pPr>
        <w:pStyle w:val="ListParagraph"/>
        <w:numPr>
          <w:ilvl w:val="0"/>
          <w:numId w:val="108"/>
        </w:numPr>
        <w:tabs>
          <w:tab w:pos="2381" w:val="left" w:leader="none"/>
          <w:tab w:pos="2382" w:val="left" w:leader="none"/>
        </w:tabs>
        <w:spacing w:line="240" w:lineRule="auto" w:before="1" w:after="0"/>
        <w:ind w:left="2381" w:right="0" w:hanging="794"/>
        <w:jc w:val="left"/>
        <w:rPr>
          <w:sz w:val="13"/>
        </w:rPr>
      </w:pPr>
      <w:r>
        <w:rPr>
          <w:sz w:val="13"/>
        </w:rPr>
        <w:t>For</w:t>
      </w:r>
      <w:r>
        <w:rPr>
          <w:spacing w:val="17"/>
          <w:sz w:val="13"/>
        </w:rPr>
        <w:t> </w:t>
      </w:r>
      <w:r>
        <w:rPr>
          <w:sz w:val="13"/>
        </w:rPr>
        <w:t>the</w:t>
      </w:r>
      <w:r>
        <w:rPr>
          <w:spacing w:val="17"/>
          <w:sz w:val="13"/>
        </w:rPr>
        <w:t> </w:t>
      </w:r>
      <w:r>
        <w:rPr>
          <w:sz w:val="13"/>
        </w:rPr>
        <w:t>purpose</w:t>
      </w:r>
      <w:r>
        <w:rPr>
          <w:spacing w:val="17"/>
          <w:sz w:val="13"/>
        </w:rPr>
        <w:t> </w:t>
      </w:r>
      <w:r>
        <w:rPr>
          <w:sz w:val="13"/>
        </w:rPr>
        <w:t>of</w:t>
      </w:r>
      <w:r>
        <w:rPr>
          <w:spacing w:val="17"/>
          <w:sz w:val="13"/>
        </w:rPr>
        <w:t> </w:t>
      </w:r>
      <w:r>
        <w:rPr>
          <w:sz w:val="13"/>
        </w:rPr>
        <w:t>the</w:t>
      </w:r>
      <w:r>
        <w:rPr>
          <w:spacing w:val="17"/>
          <w:sz w:val="13"/>
        </w:rPr>
        <w:t> </w:t>
      </w:r>
      <w:r>
        <w:rPr>
          <w:i/>
          <w:sz w:val="13"/>
        </w:rPr>
        <w:t>Magistrates’</w:t>
      </w:r>
      <w:r>
        <w:rPr>
          <w:i/>
          <w:spacing w:val="17"/>
          <w:sz w:val="13"/>
        </w:rPr>
        <w:t> </w:t>
      </w:r>
      <w:r>
        <w:rPr>
          <w:i/>
          <w:sz w:val="13"/>
        </w:rPr>
        <w:t>Court</w:t>
      </w:r>
      <w:r>
        <w:rPr>
          <w:i/>
          <w:spacing w:val="17"/>
          <w:sz w:val="13"/>
        </w:rPr>
        <w:t> </w:t>
      </w:r>
      <w:r>
        <w:rPr>
          <w:i/>
          <w:sz w:val="13"/>
        </w:rPr>
        <w:t>Act</w:t>
      </w:r>
      <w:r>
        <w:rPr>
          <w:i/>
          <w:spacing w:val="17"/>
          <w:sz w:val="13"/>
        </w:rPr>
        <w:t> </w:t>
      </w:r>
      <w:r>
        <w:rPr>
          <w:i/>
          <w:sz w:val="13"/>
        </w:rPr>
        <w:t>1989</w:t>
      </w:r>
      <w:r>
        <w:rPr>
          <w:i/>
          <w:spacing w:val="17"/>
          <w:sz w:val="13"/>
        </w:rPr>
        <w:t> </w:t>
      </w:r>
      <w:r>
        <w:rPr>
          <w:spacing w:val="2"/>
          <w:sz w:val="13"/>
        </w:rPr>
        <w:t>(Vic),</w:t>
      </w:r>
      <w:r>
        <w:rPr>
          <w:spacing w:val="17"/>
          <w:sz w:val="13"/>
        </w:rPr>
        <w:t> </w:t>
      </w:r>
      <w:r>
        <w:rPr>
          <w:sz w:val="13"/>
        </w:rPr>
        <w:t>an</w:t>
      </w:r>
      <w:r>
        <w:rPr>
          <w:spacing w:val="17"/>
          <w:sz w:val="13"/>
        </w:rPr>
        <w:t> </w:t>
      </w:r>
      <w:r>
        <w:rPr>
          <w:sz w:val="13"/>
        </w:rPr>
        <w:t>arbitration</w:t>
      </w:r>
      <w:r>
        <w:rPr>
          <w:spacing w:val="17"/>
          <w:sz w:val="13"/>
        </w:rPr>
        <w:t> </w:t>
      </w:r>
      <w:r>
        <w:rPr>
          <w:sz w:val="13"/>
        </w:rPr>
        <w:t>is</w:t>
      </w:r>
      <w:r>
        <w:rPr>
          <w:spacing w:val="17"/>
          <w:sz w:val="13"/>
        </w:rPr>
        <w:t> </w:t>
      </w:r>
      <w:r>
        <w:rPr>
          <w:sz w:val="13"/>
        </w:rPr>
        <w:t>a</w:t>
      </w:r>
      <w:r>
        <w:rPr>
          <w:spacing w:val="17"/>
          <w:sz w:val="13"/>
        </w:rPr>
        <w:t> </w:t>
      </w:r>
      <w:r>
        <w:rPr>
          <w:sz w:val="13"/>
        </w:rPr>
        <w:t>simplified</w:t>
      </w:r>
      <w:r>
        <w:rPr>
          <w:spacing w:val="17"/>
          <w:sz w:val="13"/>
        </w:rPr>
        <w:t> </w:t>
      </w:r>
      <w:r>
        <w:rPr>
          <w:sz w:val="13"/>
        </w:rPr>
        <w:t>procedure</w:t>
      </w:r>
      <w:r>
        <w:rPr>
          <w:spacing w:val="17"/>
          <w:sz w:val="13"/>
        </w:rPr>
        <w:t> </w:t>
      </w:r>
      <w:r>
        <w:rPr>
          <w:sz w:val="13"/>
        </w:rPr>
        <w:t>of</w:t>
      </w:r>
      <w:r>
        <w:rPr>
          <w:spacing w:val="17"/>
          <w:sz w:val="13"/>
        </w:rPr>
        <w:t> </w:t>
      </w:r>
      <w:r>
        <w:rPr>
          <w:sz w:val="13"/>
        </w:rPr>
        <w:t>hearing</w:t>
      </w:r>
      <w:r>
        <w:rPr>
          <w:spacing w:val="17"/>
          <w:sz w:val="13"/>
        </w:rPr>
        <w:t> </w:t>
      </w:r>
      <w:r>
        <w:rPr>
          <w:sz w:val="13"/>
        </w:rPr>
        <w:t>a</w:t>
      </w:r>
      <w:r>
        <w:rPr>
          <w:spacing w:val="17"/>
          <w:sz w:val="13"/>
        </w:rPr>
        <w:t> </w:t>
      </w:r>
      <w:r>
        <w:rPr>
          <w:sz w:val="13"/>
        </w:rPr>
        <w:t>claim</w:t>
      </w:r>
      <w:r>
        <w:rPr>
          <w:spacing w:val="17"/>
          <w:sz w:val="13"/>
        </w:rPr>
        <w:t> </w:t>
      </w:r>
      <w:r>
        <w:rPr>
          <w:sz w:val="13"/>
        </w:rPr>
        <w:t>for</w:t>
      </w:r>
      <w:r>
        <w:rPr>
          <w:spacing w:val="17"/>
          <w:sz w:val="13"/>
        </w:rPr>
        <w:t> </w:t>
      </w:r>
      <w:r>
        <w:rPr>
          <w:spacing w:val="2"/>
          <w:sz w:val="13"/>
        </w:rPr>
        <w:t>monetary</w:t>
      </w:r>
      <w:r>
        <w:rPr>
          <w:spacing w:val="17"/>
          <w:sz w:val="13"/>
        </w:rPr>
        <w:t> </w:t>
      </w:r>
      <w:r>
        <w:rPr>
          <w:sz w:val="13"/>
        </w:rPr>
        <w:t>relief</w:t>
      </w:r>
      <w:r>
        <w:rPr>
          <w:spacing w:val="17"/>
          <w:sz w:val="13"/>
        </w:rPr>
        <w:t> </w:t>
      </w:r>
      <w:r>
        <w:rPr>
          <w:sz w:val="13"/>
        </w:rPr>
        <w:t>of</w:t>
      </w:r>
    </w:p>
    <w:p>
      <w:pPr>
        <w:spacing w:before="1"/>
        <w:ind w:left="2381" w:right="0" w:firstLine="0"/>
        <w:jc w:val="left"/>
        <w:rPr>
          <w:sz w:val="13"/>
        </w:rPr>
      </w:pPr>
      <w:r>
        <w:rPr>
          <w:w w:val="105"/>
          <w:sz w:val="13"/>
        </w:rPr>
        <w:t>$10,000 or </w:t>
      </w:r>
      <w:r>
        <w:rPr>
          <w:spacing w:val="2"/>
          <w:w w:val="105"/>
          <w:sz w:val="13"/>
        </w:rPr>
        <w:t>less: </w:t>
      </w:r>
      <w:r>
        <w:rPr>
          <w:w w:val="105"/>
          <w:sz w:val="13"/>
        </w:rPr>
        <w:t>s</w:t>
      </w:r>
      <w:r>
        <w:rPr>
          <w:spacing w:val="30"/>
          <w:w w:val="105"/>
          <w:sz w:val="13"/>
        </w:rPr>
        <w:t> </w:t>
      </w:r>
      <w:r>
        <w:rPr>
          <w:w w:val="105"/>
          <w:sz w:val="13"/>
        </w:rPr>
        <w:t>102(1).</w:t>
      </w:r>
    </w:p>
    <w:p>
      <w:pPr>
        <w:pStyle w:val="ListParagraph"/>
        <w:numPr>
          <w:ilvl w:val="0"/>
          <w:numId w:val="108"/>
        </w:numPr>
        <w:tabs>
          <w:tab w:pos="2381" w:val="left" w:leader="none"/>
          <w:tab w:pos="2382" w:val="left" w:leader="none"/>
        </w:tabs>
        <w:spacing w:line="240" w:lineRule="auto" w:before="2" w:after="0"/>
        <w:ind w:left="2381" w:right="165" w:hanging="794"/>
        <w:jc w:val="left"/>
        <w:rPr>
          <w:sz w:val="13"/>
        </w:rPr>
      </w:pPr>
      <w:r>
        <w:rPr>
          <w:w w:val="105"/>
          <w:sz w:val="13"/>
        </w:rPr>
        <w:t>Unless the Court determines otherwise or approves the parties’ application to have the matter heard without arbitration: </w:t>
      </w:r>
      <w:r>
        <w:rPr>
          <w:i/>
          <w:w w:val="105"/>
          <w:sz w:val="13"/>
        </w:rPr>
        <w:t>Magistrates’ </w:t>
      </w:r>
      <w:r>
        <w:rPr>
          <w:i/>
          <w:w w:val="105"/>
          <w:sz w:val="13"/>
        </w:rPr>
        <w:t>Court Act 1989 </w:t>
      </w:r>
      <w:r>
        <w:rPr>
          <w:spacing w:val="2"/>
          <w:w w:val="105"/>
          <w:sz w:val="13"/>
        </w:rPr>
        <w:t>(Vic) </w:t>
      </w:r>
      <w:r>
        <w:rPr>
          <w:w w:val="105"/>
          <w:sz w:val="13"/>
        </w:rPr>
        <w:t>ss </w:t>
      </w:r>
      <w:r>
        <w:rPr>
          <w:spacing w:val="3"/>
          <w:w w:val="105"/>
          <w:sz w:val="13"/>
        </w:rPr>
        <w:t>102(1)–(3). </w:t>
      </w:r>
      <w:r>
        <w:rPr>
          <w:w w:val="105"/>
          <w:sz w:val="13"/>
        </w:rPr>
        <w:t>On its website, the Magistrates’ Court states that ‘Defended civil matters for car accidents and claims less</w:t>
      </w:r>
      <w:r>
        <w:rPr>
          <w:spacing w:val="6"/>
          <w:w w:val="105"/>
          <w:sz w:val="13"/>
        </w:rPr>
        <w:t> </w:t>
      </w:r>
      <w:r>
        <w:rPr>
          <w:w w:val="105"/>
          <w:sz w:val="13"/>
        </w:rPr>
        <w:t>than</w:t>
      </w:r>
      <w:r>
        <w:rPr>
          <w:spacing w:val="7"/>
          <w:w w:val="105"/>
          <w:sz w:val="13"/>
        </w:rPr>
        <w:t> </w:t>
      </w:r>
      <w:r>
        <w:rPr>
          <w:w w:val="105"/>
          <w:sz w:val="13"/>
        </w:rPr>
        <w:t>$1000</w:t>
      </w:r>
      <w:r>
        <w:rPr>
          <w:spacing w:val="7"/>
          <w:w w:val="105"/>
          <w:sz w:val="13"/>
        </w:rPr>
        <w:t> </w:t>
      </w:r>
      <w:r>
        <w:rPr>
          <w:w w:val="105"/>
          <w:sz w:val="13"/>
        </w:rPr>
        <w:t>are</w:t>
      </w:r>
      <w:r>
        <w:rPr>
          <w:spacing w:val="6"/>
          <w:w w:val="105"/>
          <w:sz w:val="13"/>
        </w:rPr>
        <w:t> </w:t>
      </w:r>
      <w:r>
        <w:rPr>
          <w:w w:val="105"/>
          <w:sz w:val="13"/>
        </w:rPr>
        <w:t>referred</w:t>
      </w:r>
      <w:r>
        <w:rPr>
          <w:spacing w:val="7"/>
          <w:w w:val="105"/>
          <w:sz w:val="13"/>
        </w:rPr>
        <w:t> </w:t>
      </w:r>
      <w:r>
        <w:rPr>
          <w:w w:val="105"/>
          <w:sz w:val="13"/>
        </w:rPr>
        <w:t>straight</w:t>
      </w:r>
      <w:r>
        <w:rPr>
          <w:spacing w:val="7"/>
          <w:w w:val="105"/>
          <w:sz w:val="13"/>
        </w:rPr>
        <w:t> </w:t>
      </w:r>
      <w:r>
        <w:rPr>
          <w:w w:val="105"/>
          <w:sz w:val="13"/>
        </w:rPr>
        <w:t>to</w:t>
      </w:r>
      <w:r>
        <w:rPr>
          <w:spacing w:val="7"/>
          <w:w w:val="105"/>
          <w:sz w:val="13"/>
        </w:rPr>
        <w:t> </w:t>
      </w:r>
      <w:r>
        <w:rPr>
          <w:w w:val="105"/>
          <w:sz w:val="13"/>
        </w:rPr>
        <w:t>arbitration’:</w:t>
      </w:r>
      <w:r>
        <w:rPr>
          <w:spacing w:val="6"/>
          <w:w w:val="105"/>
          <w:sz w:val="13"/>
        </w:rPr>
        <w:t> </w:t>
      </w:r>
      <w:r>
        <w:rPr>
          <w:w w:val="105"/>
          <w:sz w:val="13"/>
        </w:rPr>
        <w:t>Magistrates’</w:t>
      </w:r>
      <w:r>
        <w:rPr>
          <w:spacing w:val="7"/>
          <w:w w:val="105"/>
          <w:sz w:val="13"/>
        </w:rPr>
        <w:t> </w:t>
      </w:r>
      <w:r>
        <w:rPr>
          <w:w w:val="105"/>
          <w:sz w:val="13"/>
        </w:rPr>
        <w:t>Court</w:t>
      </w:r>
      <w:r>
        <w:rPr>
          <w:spacing w:val="7"/>
          <w:w w:val="105"/>
          <w:sz w:val="13"/>
        </w:rPr>
        <w:t> </w:t>
      </w:r>
      <w:r>
        <w:rPr>
          <w:w w:val="105"/>
          <w:sz w:val="13"/>
        </w:rPr>
        <w:t>of</w:t>
      </w:r>
      <w:r>
        <w:rPr>
          <w:spacing w:val="7"/>
          <w:w w:val="105"/>
          <w:sz w:val="13"/>
        </w:rPr>
        <w:t> </w:t>
      </w:r>
      <w:r>
        <w:rPr>
          <w:w w:val="105"/>
          <w:sz w:val="13"/>
        </w:rPr>
        <w:t>Victoria,</w:t>
      </w:r>
      <w:r>
        <w:rPr>
          <w:spacing w:val="6"/>
          <w:w w:val="105"/>
          <w:sz w:val="13"/>
        </w:rPr>
        <w:t> </w:t>
      </w:r>
      <w:r>
        <w:rPr>
          <w:i/>
          <w:w w:val="105"/>
          <w:sz w:val="13"/>
        </w:rPr>
        <w:t>Resolving</w:t>
      </w:r>
      <w:r>
        <w:rPr>
          <w:i/>
          <w:spacing w:val="7"/>
          <w:w w:val="105"/>
          <w:sz w:val="13"/>
        </w:rPr>
        <w:t> </w:t>
      </w:r>
      <w:r>
        <w:rPr>
          <w:i/>
          <w:w w:val="105"/>
          <w:sz w:val="13"/>
        </w:rPr>
        <w:t>A</w:t>
      </w:r>
      <w:r>
        <w:rPr>
          <w:i/>
          <w:spacing w:val="7"/>
          <w:w w:val="105"/>
          <w:sz w:val="13"/>
        </w:rPr>
        <w:t> </w:t>
      </w:r>
      <w:r>
        <w:rPr>
          <w:i/>
          <w:w w:val="105"/>
          <w:sz w:val="13"/>
        </w:rPr>
        <w:t>Dispute</w:t>
      </w:r>
      <w:r>
        <w:rPr>
          <w:i/>
          <w:spacing w:val="7"/>
          <w:w w:val="105"/>
          <w:sz w:val="13"/>
        </w:rPr>
        <w:t> </w:t>
      </w:r>
      <w:r>
        <w:rPr>
          <w:w w:val="105"/>
          <w:sz w:val="13"/>
        </w:rPr>
        <w:t>(Web</w:t>
      </w:r>
      <w:r>
        <w:rPr>
          <w:spacing w:val="6"/>
          <w:w w:val="105"/>
          <w:sz w:val="13"/>
        </w:rPr>
        <w:t> </w:t>
      </w:r>
      <w:r>
        <w:rPr>
          <w:w w:val="105"/>
          <w:sz w:val="13"/>
        </w:rPr>
        <w:t>Page,</w:t>
      </w:r>
      <w:r>
        <w:rPr>
          <w:spacing w:val="7"/>
          <w:w w:val="105"/>
          <w:sz w:val="13"/>
        </w:rPr>
        <w:t> </w:t>
      </w:r>
      <w:r>
        <w:rPr>
          <w:spacing w:val="-4"/>
          <w:w w:val="105"/>
          <w:sz w:val="13"/>
        </w:rPr>
        <w:t>13</w:t>
      </w:r>
      <w:r>
        <w:rPr>
          <w:spacing w:val="7"/>
          <w:w w:val="105"/>
          <w:sz w:val="13"/>
        </w:rPr>
        <w:t> </w:t>
      </w:r>
      <w:r>
        <w:rPr>
          <w:w w:val="105"/>
          <w:sz w:val="13"/>
        </w:rPr>
        <w:t>December</w:t>
      </w:r>
      <w:r>
        <w:rPr>
          <w:spacing w:val="7"/>
          <w:w w:val="105"/>
          <w:sz w:val="13"/>
        </w:rPr>
        <w:t> </w:t>
      </w:r>
      <w:r>
        <w:rPr>
          <w:w w:val="105"/>
          <w:sz w:val="13"/>
        </w:rPr>
        <w:t>2018)</w:t>
      </w:r>
    </w:p>
    <w:p>
      <w:pPr>
        <w:spacing w:before="4"/>
        <w:ind w:left="2381" w:right="0" w:firstLine="0"/>
        <w:jc w:val="left"/>
        <w:rPr>
          <w:sz w:val="13"/>
        </w:rPr>
      </w:pPr>
      <w:r>
        <w:rPr>
          <w:sz w:val="13"/>
        </w:rPr>
        <w:t>&lt;https://</w:t>
      </w:r>
      <w:hyperlink r:id="rId150">
        <w:r>
          <w:rPr>
            <w:sz w:val="13"/>
          </w:rPr>
          <w:t>www.mcv.vic.gov.au/civil-matters/resolving-dispute</w:t>
        </w:r>
      </w:hyperlink>
      <w:r>
        <w:rPr>
          <w:sz w:val="13"/>
        </w:rPr>
        <w:t>&gt;.</w:t>
      </w:r>
    </w:p>
    <w:p>
      <w:pPr>
        <w:pStyle w:val="ListParagraph"/>
        <w:numPr>
          <w:ilvl w:val="0"/>
          <w:numId w:val="108"/>
        </w:numPr>
        <w:tabs>
          <w:tab w:pos="2381" w:val="left" w:leader="none"/>
          <w:tab w:pos="2382" w:val="left" w:leader="none"/>
        </w:tabs>
        <w:spacing w:line="240" w:lineRule="auto" w:before="1" w:after="0"/>
        <w:ind w:left="2381" w:right="0" w:hanging="794"/>
        <w:jc w:val="left"/>
        <w:rPr>
          <w:sz w:val="13"/>
        </w:rPr>
      </w:pPr>
      <w:r>
        <w:rPr>
          <w:i/>
          <w:w w:val="105"/>
          <w:sz w:val="13"/>
        </w:rPr>
        <w:t>Magistrates’ Court Act 1989 </w:t>
      </w:r>
      <w:r>
        <w:rPr>
          <w:spacing w:val="2"/>
          <w:w w:val="105"/>
          <w:sz w:val="13"/>
        </w:rPr>
        <w:t>(Vic) </w:t>
      </w:r>
      <w:r>
        <w:rPr>
          <w:w w:val="105"/>
          <w:sz w:val="13"/>
        </w:rPr>
        <w:t>s</w:t>
      </w:r>
      <w:r>
        <w:rPr>
          <w:spacing w:val="26"/>
          <w:w w:val="105"/>
          <w:sz w:val="13"/>
        </w:rPr>
        <w:t> </w:t>
      </w:r>
      <w:r>
        <w:rPr>
          <w:w w:val="105"/>
          <w:sz w:val="13"/>
        </w:rPr>
        <w:t>103(2).</w:t>
      </w:r>
    </w:p>
    <w:p>
      <w:pPr>
        <w:tabs>
          <w:tab w:pos="2381" w:val="left" w:leader="none"/>
        </w:tabs>
        <w:spacing w:before="1"/>
        <w:ind w:left="1587" w:right="0" w:firstLine="0"/>
        <w:jc w:val="left"/>
        <w:rPr>
          <w:sz w:val="13"/>
        </w:rPr>
      </w:pPr>
      <w:r>
        <w:rPr>
          <w:spacing w:val="-3"/>
          <w:w w:val="105"/>
          <w:sz w:val="13"/>
        </w:rPr>
        <w:t>14</w:t>
        <w:tab/>
      </w:r>
      <w:r>
        <w:rPr>
          <w:w w:val="105"/>
          <w:sz w:val="13"/>
        </w:rPr>
        <w:t>Ibid s</w:t>
      </w:r>
      <w:r>
        <w:rPr>
          <w:spacing w:val="9"/>
          <w:w w:val="105"/>
          <w:sz w:val="13"/>
        </w:rPr>
        <w:t> </w:t>
      </w:r>
      <w:r>
        <w:rPr>
          <w:spacing w:val="2"/>
          <w:w w:val="105"/>
          <w:sz w:val="13"/>
        </w:rPr>
        <w:t>104(3).</w:t>
      </w:r>
    </w:p>
    <w:p>
      <w:pPr>
        <w:pStyle w:val="ListParagraph"/>
        <w:numPr>
          <w:ilvl w:val="0"/>
          <w:numId w:val="109"/>
        </w:numPr>
        <w:tabs>
          <w:tab w:pos="2381" w:val="left" w:leader="none"/>
          <w:tab w:pos="2382" w:val="left" w:leader="none"/>
        </w:tabs>
        <w:spacing w:line="240" w:lineRule="auto" w:before="2" w:after="0"/>
        <w:ind w:left="2381" w:right="20" w:hanging="794"/>
        <w:jc w:val="left"/>
        <w:rPr>
          <w:sz w:val="13"/>
        </w:rPr>
      </w:pPr>
      <w:r>
        <w:rPr>
          <w:w w:val="105"/>
          <w:sz w:val="13"/>
        </w:rPr>
        <w:t>Submission 16 (Magistrates’ Court of </w:t>
      </w:r>
      <w:r>
        <w:rPr>
          <w:spacing w:val="2"/>
          <w:w w:val="105"/>
          <w:sz w:val="13"/>
        </w:rPr>
        <w:t>Victoria). </w:t>
      </w:r>
      <w:r>
        <w:rPr>
          <w:w w:val="105"/>
          <w:sz w:val="13"/>
        </w:rPr>
        <w:t>See also </w:t>
      </w:r>
      <w:r>
        <w:rPr>
          <w:i/>
          <w:w w:val="105"/>
          <w:sz w:val="13"/>
        </w:rPr>
        <w:t>Magistrates’ Court Act 1989 </w:t>
      </w:r>
      <w:r>
        <w:rPr>
          <w:spacing w:val="2"/>
          <w:w w:val="105"/>
          <w:sz w:val="13"/>
        </w:rPr>
        <w:t>(Vic) </w:t>
      </w:r>
      <w:r>
        <w:rPr>
          <w:w w:val="105"/>
          <w:sz w:val="13"/>
        </w:rPr>
        <w:t>s 107; </w:t>
      </w:r>
      <w:r>
        <w:rPr>
          <w:i/>
          <w:w w:val="105"/>
          <w:sz w:val="13"/>
        </w:rPr>
        <w:t>Magistrates’ Court General Civil Procedure </w:t>
      </w:r>
      <w:r>
        <w:rPr>
          <w:i/>
          <w:w w:val="105"/>
          <w:sz w:val="13"/>
        </w:rPr>
        <w:t>Rules </w:t>
      </w:r>
      <w:r>
        <w:rPr>
          <w:i/>
          <w:spacing w:val="-3"/>
          <w:w w:val="105"/>
          <w:sz w:val="13"/>
        </w:rPr>
        <w:t>2010 </w:t>
      </w:r>
      <w:r>
        <w:rPr>
          <w:spacing w:val="2"/>
          <w:w w:val="105"/>
          <w:sz w:val="13"/>
        </w:rPr>
        <w:t>(Vic) </w:t>
      </w:r>
      <w:r>
        <w:rPr>
          <w:w w:val="105"/>
          <w:sz w:val="13"/>
        </w:rPr>
        <w:t>Ord </w:t>
      </w:r>
      <w:r>
        <w:rPr>
          <w:spacing w:val="2"/>
          <w:w w:val="105"/>
          <w:sz w:val="13"/>
        </w:rPr>
        <w:t>50; </w:t>
      </w:r>
      <w:r>
        <w:rPr>
          <w:w w:val="105"/>
          <w:sz w:val="13"/>
        </w:rPr>
        <w:t>Magistrates’ Court of Victoria, </w:t>
      </w:r>
      <w:r>
        <w:rPr>
          <w:i/>
          <w:w w:val="105"/>
          <w:sz w:val="13"/>
        </w:rPr>
        <w:t>Mediation </w:t>
      </w:r>
      <w:r>
        <w:rPr>
          <w:w w:val="105"/>
          <w:sz w:val="13"/>
        </w:rPr>
        <w:t>(Web Page, </w:t>
      </w:r>
      <w:r>
        <w:rPr>
          <w:spacing w:val="-3"/>
          <w:w w:val="105"/>
          <w:sz w:val="13"/>
        </w:rPr>
        <w:t>14 </w:t>
      </w:r>
      <w:r>
        <w:rPr>
          <w:w w:val="105"/>
          <w:sz w:val="13"/>
        </w:rPr>
        <w:t>January 2019) </w:t>
      </w:r>
      <w:r>
        <w:rPr>
          <w:spacing w:val="2"/>
          <w:w w:val="105"/>
          <w:sz w:val="13"/>
        </w:rPr>
        <w:t>&lt;https://</w:t>
      </w:r>
      <w:hyperlink r:id="rId151">
        <w:r>
          <w:rPr>
            <w:spacing w:val="2"/>
            <w:w w:val="105"/>
            <w:sz w:val="13"/>
          </w:rPr>
          <w:t>www.mcv.vic.gov.au/civil-</w:t>
        </w:r>
      </w:hyperlink>
      <w:r>
        <w:rPr>
          <w:spacing w:val="2"/>
          <w:w w:val="105"/>
          <w:sz w:val="13"/>
        </w:rPr>
        <w:t> matters/resolving-dispute/mediation&gt;.</w:t>
      </w:r>
    </w:p>
    <w:p>
      <w:pPr>
        <w:pStyle w:val="ListParagraph"/>
        <w:numPr>
          <w:ilvl w:val="0"/>
          <w:numId w:val="109"/>
        </w:numPr>
        <w:tabs>
          <w:tab w:pos="2381" w:val="left" w:leader="none"/>
          <w:tab w:pos="2382" w:val="left" w:leader="none"/>
        </w:tabs>
        <w:spacing w:line="240" w:lineRule="auto" w:before="4" w:after="0"/>
        <w:ind w:left="2381" w:right="0" w:hanging="794"/>
        <w:jc w:val="left"/>
        <w:rPr>
          <w:sz w:val="13"/>
        </w:rPr>
      </w:pPr>
      <w:r>
        <w:rPr>
          <w:i/>
          <w:w w:val="105"/>
          <w:sz w:val="13"/>
        </w:rPr>
        <w:t>Magistrates’</w:t>
      </w:r>
      <w:r>
        <w:rPr>
          <w:i/>
          <w:spacing w:val="7"/>
          <w:w w:val="105"/>
          <w:sz w:val="13"/>
        </w:rPr>
        <w:t> </w:t>
      </w:r>
      <w:r>
        <w:rPr>
          <w:i/>
          <w:w w:val="105"/>
          <w:sz w:val="13"/>
        </w:rPr>
        <w:t>Court</w:t>
      </w:r>
      <w:r>
        <w:rPr>
          <w:i/>
          <w:spacing w:val="7"/>
          <w:w w:val="105"/>
          <w:sz w:val="13"/>
        </w:rPr>
        <w:t> </w:t>
      </w:r>
      <w:r>
        <w:rPr>
          <w:i/>
          <w:w w:val="105"/>
          <w:sz w:val="13"/>
        </w:rPr>
        <w:t>Act</w:t>
      </w:r>
      <w:r>
        <w:rPr>
          <w:i/>
          <w:spacing w:val="8"/>
          <w:w w:val="105"/>
          <w:sz w:val="13"/>
        </w:rPr>
        <w:t> </w:t>
      </w:r>
      <w:r>
        <w:rPr>
          <w:i/>
          <w:w w:val="105"/>
          <w:sz w:val="13"/>
        </w:rPr>
        <w:t>1989</w:t>
      </w:r>
      <w:r>
        <w:rPr>
          <w:i/>
          <w:spacing w:val="7"/>
          <w:w w:val="105"/>
          <w:sz w:val="13"/>
        </w:rPr>
        <w:t> </w:t>
      </w:r>
      <w:r>
        <w:rPr>
          <w:spacing w:val="2"/>
          <w:w w:val="105"/>
          <w:sz w:val="13"/>
        </w:rPr>
        <w:t>(Vic)</w:t>
      </w:r>
      <w:r>
        <w:rPr>
          <w:spacing w:val="8"/>
          <w:w w:val="105"/>
          <w:sz w:val="13"/>
        </w:rPr>
        <w:t> </w:t>
      </w:r>
      <w:r>
        <w:rPr>
          <w:w w:val="105"/>
          <w:sz w:val="13"/>
        </w:rPr>
        <w:t>s</w:t>
      </w:r>
      <w:r>
        <w:rPr>
          <w:spacing w:val="7"/>
          <w:w w:val="105"/>
          <w:sz w:val="13"/>
        </w:rPr>
        <w:t> </w:t>
      </w:r>
      <w:r>
        <w:rPr>
          <w:w w:val="105"/>
          <w:sz w:val="13"/>
        </w:rPr>
        <w:t>107;</w:t>
      </w:r>
      <w:r>
        <w:rPr>
          <w:spacing w:val="8"/>
          <w:w w:val="105"/>
          <w:sz w:val="13"/>
        </w:rPr>
        <w:t> </w:t>
      </w:r>
      <w:r>
        <w:rPr>
          <w:w w:val="105"/>
          <w:sz w:val="13"/>
        </w:rPr>
        <w:t>see</w:t>
      </w:r>
      <w:r>
        <w:rPr>
          <w:spacing w:val="7"/>
          <w:w w:val="105"/>
          <w:sz w:val="13"/>
        </w:rPr>
        <w:t> </w:t>
      </w:r>
      <w:r>
        <w:rPr>
          <w:w w:val="105"/>
          <w:sz w:val="13"/>
        </w:rPr>
        <w:t>also</w:t>
      </w:r>
      <w:r>
        <w:rPr>
          <w:spacing w:val="8"/>
          <w:w w:val="105"/>
          <w:sz w:val="13"/>
        </w:rPr>
        <w:t> </w:t>
      </w:r>
      <w:r>
        <w:rPr>
          <w:w w:val="105"/>
          <w:sz w:val="13"/>
        </w:rPr>
        <w:t>Magistrates’</w:t>
      </w:r>
      <w:r>
        <w:rPr>
          <w:spacing w:val="7"/>
          <w:w w:val="105"/>
          <w:sz w:val="13"/>
        </w:rPr>
        <w:t> </w:t>
      </w:r>
      <w:r>
        <w:rPr>
          <w:w w:val="105"/>
          <w:sz w:val="13"/>
        </w:rPr>
        <w:t>Court</w:t>
      </w:r>
      <w:r>
        <w:rPr>
          <w:spacing w:val="8"/>
          <w:w w:val="105"/>
          <w:sz w:val="13"/>
        </w:rPr>
        <w:t> </w:t>
      </w:r>
      <w:r>
        <w:rPr>
          <w:w w:val="105"/>
          <w:sz w:val="13"/>
        </w:rPr>
        <w:t>of</w:t>
      </w:r>
      <w:r>
        <w:rPr>
          <w:spacing w:val="7"/>
          <w:w w:val="105"/>
          <w:sz w:val="13"/>
        </w:rPr>
        <w:t> </w:t>
      </w:r>
      <w:r>
        <w:rPr>
          <w:w w:val="105"/>
          <w:sz w:val="13"/>
        </w:rPr>
        <w:t>Victoria,</w:t>
      </w:r>
      <w:r>
        <w:rPr>
          <w:spacing w:val="8"/>
          <w:w w:val="105"/>
          <w:sz w:val="13"/>
        </w:rPr>
        <w:t> </w:t>
      </w:r>
      <w:r>
        <w:rPr>
          <w:i/>
          <w:w w:val="105"/>
          <w:sz w:val="13"/>
        </w:rPr>
        <w:t>Pre-Hearing</w:t>
      </w:r>
      <w:r>
        <w:rPr>
          <w:i/>
          <w:spacing w:val="7"/>
          <w:w w:val="105"/>
          <w:sz w:val="13"/>
        </w:rPr>
        <w:t> </w:t>
      </w:r>
      <w:r>
        <w:rPr>
          <w:i/>
          <w:w w:val="105"/>
          <w:sz w:val="13"/>
        </w:rPr>
        <w:t>Conferences</w:t>
      </w:r>
      <w:r>
        <w:rPr>
          <w:i/>
          <w:spacing w:val="8"/>
          <w:w w:val="105"/>
          <w:sz w:val="13"/>
        </w:rPr>
        <w:t> </w:t>
      </w:r>
      <w:r>
        <w:rPr>
          <w:w w:val="105"/>
          <w:sz w:val="13"/>
        </w:rPr>
        <w:t>(Web</w:t>
      </w:r>
      <w:r>
        <w:rPr>
          <w:spacing w:val="7"/>
          <w:w w:val="105"/>
          <w:sz w:val="13"/>
        </w:rPr>
        <w:t> </w:t>
      </w:r>
      <w:r>
        <w:rPr>
          <w:w w:val="105"/>
          <w:sz w:val="13"/>
        </w:rPr>
        <w:t>Page,</w:t>
      </w:r>
      <w:r>
        <w:rPr>
          <w:spacing w:val="8"/>
          <w:w w:val="105"/>
          <w:sz w:val="13"/>
        </w:rPr>
        <w:t> </w:t>
      </w:r>
      <w:r>
        <w:rPr>
          <w:spacing w:val="-4"/>
          <w:w w:val="105"/>
          <w:sz w:val="13"/>
        </w:rPr>
        <w:t>13</w:t>
      </w:r>
      <w:r>
        <w:rPr>
          <w:spacing w:val="7"/>
          <w:w w:val="105"/>
          <w:sz w:val="13"/>
        </w:rPr>
        <w:t> </w:t>
      </w:r>
      <w:r>
        <w:rPr>
          <w:w w:val="105"/>
          <w:sz w:val="13"/>
        </w:rPr>
        <w:t>December</w:t>
      </w:r>
      <w:r>
        <w:rPr>
          <w:spacing w:val="8"/>
          <w:w w:val="105"/>
          <w:sz w:val="13"/>
        </w:rPr>
        <w:t> </w:t>
      </w:r>
      <w:r>
        <w:rPr>
          <w:w w:val="105"/>
          <w:sz w:val="13"/>
        </w:rPr>
        <w:t>2018)</w:t>
      </w:r>
    </w:p>
    <w:p>
      <w:pPr>
        <w:spacing w:before="1"/>
        <w:ind w:left="2381" w:right="0" w:firstLine="0"/>
        <w:jc w:val="left"/>
        <w:rPr>
          <w:sz w:val="13"/>
        </w:rPr>
      </w:pPr>
      <w:r>
        <w:rPr>
          <w:spacing w:val="2"/>
          <w:sz w:val="13"/>
        </w:rPr>
        <w:t>&lt;https://</w:t>
      </w:r>
      <w:hyperlink r:id="rId152">
        <w:r>
          <w:rPr>
            <w:spacing w:val="2"/>
            <w:sz w:val="13"/>
          </w:rPr>
          <w:t>www.mcv.vic.gov.au/civil-matters/resolving-dispute/pre-hearing-conferences</w:t>
        </w:r>
      </w:hyperlink>
      <w:r>
        <w:rPr>
          <w:spacing w:val="2"/>
          <w:sz w:val="13"/>
        </w:rPr>
        <w:t>&gt;.</w:t>
      </w:r>
    </w:p>
    <w:p>
      <w:pPr>
        <w:pStyle w:val="ListParagraph"/>
        <w:numPr>
          <w:ilvl w:val="0"/>
          <w:numId w:val="109"/>
        </w:numPr>
        <w:tabs>
          <w:tab w:pos="2381" w:val="left" w:leader="none"/>
          <w:tab w:pos="2382" w:val="left" w:leader="none"/>
        </w:tabs>
        <w:spacing w:line="240" w:lineRule="auto" w:before="1" w:after="0"/>
        <w:ind w:left="2381" w:right="330" w:hanging="793"/>
        <w:jc w:val="left"/>
        <w:rPr>
          <w:sz w:val="13"/>
        </w:rPr>
      </w:pPr>
      <w:r>
        <w:rPr>
          <w:i/>
          <w:w w:val="105"/>
          <w:sz w:val="13"/>
        </w:rPr>
        <w:t>Magistrates’ Court Act 1989 </w:t>
      </w:r>
      <w:r>
        <w:rPr>
          <w:spacing w:val="2"/>
          <w:w w:val="105"/>
          <w:sz w:val="13"/>
        </w:rPr>
        <w:t>(Vic) </w:t>
      </w:r>
      <w:r>
        <w:rPr>
          <w:w w:val="105"/>
          <w:sz w:val="13"/>
        </w:rPr>
        <w:t>ss </w:t>
      </w:r>
      <w:r>
        <w:rPr>
          <w:spacing w:val="-4"/>
          <w:w w:val="105"/>
          <w:sz w:val="13"/>
        </w:rPr>
        <w:t>107, </w:t>
      </w:r>
      <w:r>
        <w:rPr>
          <w:spacing w:val="2"/>
          <w:w w:val="105"/>
          <w:sz w:val="13"/>
        </w:rPr>
        <w:t>107(2)(a); </w:t>
      </w:r>
      <w:r>
        <w:rPr>
          <w:w w:val="105"/>
          <w:sz w:val="13"/>
        </w:rPr>
        <w:t>Magistrates’ Court of Victoria, </w:t>
      </w:r>
      <w:r>
        <w:rPr>
          <w:i/>
          <w:w w:val="105"/>
          <w:sz w:val="13"/>
        </w:rPr>
        <w:t>Pre-Hearing Conferences </w:t>
      </w:r>
      <w:r>
        <w:rPr>
          <w:w w:val="105"/>
          <w:sz w:val="13"/>
        </w:rPr>
        <w:t>(Web Page, </w:t>
      </w:r>
      <w:r>
        <w:rPr>
          <w:spacing w:val="-4"/>
          <w:w w:val="105"/>
          <w:sz w:val="13"/>
        </w:rPr>
        <w:t>13 </w:t>
      </w:r>
      <w:r>
        <w:rPr>
          <w:w w:val="105"/>
          <w:sz w:val="13"/>
        </w:rPr>
        <w:t>December 2018)</w:t>
      </w:r>
      <w:r>
        <w:rPr>
          <w:spacing w:val="2"/>
          <w:w w:val="105"/>
          <w:sz w:val="13"/>
        </w:rPr>
        <w:t> &lt;https://</w:t>
      </w:r>
      <w:hyperlink r:id="rId152">
        <w:r>
          <w:rPr>
            <w:spacing w:val="2"/>
            <w:w w:val="105"/>
            <w:sz w:val="13"/>
          </w:rPr>
          <w:t>www.mcv.vic.gov.au/civil-matters/resolving-dispute/pre-hearing-conferences</w:t>
        </w:r>
      </w:hyperlink>
      <w:r>
        <w:rPr>
          <w:spacing w:val="2"/>
          <w:w w:val="105"/>
          <w:sz w:val="13"/>
        </w:rPr>
        <w:t>&gt;.</w:t>
      </w:r>
    </w:p>
    <w:p>
      <w:pPr>
        <w:pStyle w:val="ListParagraph"/>
        <w:numPr>
          <w:ilvl w:val="0"/>
          <w:numId w:val="109"/>
        </w:numPr>
        <w:tabs>
          <w:tab w:pos="2381" w:val="left" w:leader="none"/>
          <w:tab w:pos="2382" w:val="left" w:leader="none"/>
        </w:tabs>
        <w:spacing w:line="240" w:lineRule="auto" w:before="3" w:after="0"/>
        <w:ind w:left="2381" w:right="0" w:hanging="793"/>
        <w:jc w:val="left"/>
        <w:rPr>
          <w:sz w:val="13"/>
        </w:rPr>
      </w:pPr>
      <w:r>
        <w:rPr>
          <w:i/>
          <w:w w:val="105"/>
          <w:sz w:val="13"/>
        </w:rPr>
        <w:t>Magistrates’ Court Act 1989 </w:t>
      </w:r>
      <w:r>
        <w:rPr>
          <w:spacing w:val="2"/>
          <w:w w:val="105"/>
          <w:sz w:val="13"/>
        </w:rPr>
        <w:t>(Vic) </w:t>
      </w:r>
      <w:r>
        <w:rPr>
          <w:w w:val="105"/>
          <w:sz w:val="13"/>
        </w:rPr>
        <w:t>s</w:t>
      </w:r>
      <w:r>
        <w:rPr>
          <w:spacing w:val="26"/>
          <w:w w:val="105"/>
          <w:sz w:val="13"/>
        </w:rPr>
        <w:t> </w:t>
      </w:r>
      <w:r>
        <w:rPr>
          <w:w w:val="105"/>
          <w:sz w:val="13"/>
        </w:rPr>
        <w:t>108(1).</w:t>
      </w:r>
    </w:p>
    <w:p>
      <w:pPr>
        <w:pStyle w:val="ListParagraph"/>
        <w:numPr>
          <w:ilvl w:val="0"/>
          <w:numId w:val="109"/>
        </w:numPr>
        <w:tabs>
          <w:tab w:pos="2381" w:val="left" w:leader="none"/>
          <w:tab w:pos="2382" w:val="left" w:leader="none"/>
        </w:tabs>
        <w:spacing w:line="240" w:lineRule="auto" w:before="1" w:after="0"/>
        <w:ind w:left="2381" w:right="177" w:hanging="793"/>
        <w:jc w:val="left"/>
        <w:rPr>
          <w:sz w:val="13"/>
        </w:rPr>
      </w:pPr>
      <w:r>
        <w:rPr>
          <w:sz w:val="13"/>
        </w:rPr>
        <w:t>An external mediator can be selected from the  Magistrates’  Court  Single  List  of  External  Mediators:  Magistrates’  Court  of  Victoria, </w:t>
      </w:r>
      <w:r>
        <w:rPr>
          <w:i/>
          <w:sz w:val="13"/>
        </w:rPr>
        <w:t>Mediation </w:t>
      </w:r>
      <w:r>
        <w:rPr>
          <w:sz w:val="13"/>
        </w:rPr>
        <w:t>(Web Page, </w:t>
      </w:r>
      <w:r>
        <w:rPr>
          <w:spacing w:val="-3"/>
          <w:sz w:val="13"/>
        </w:rPr>
        <w:t>14 </w:t>
      </w:r>
      <w:r>
        <w:rPr>
          <w:sz w:val="13"/>
        </w:rPr>
        <w:t>January 2019) </w:t>
      </w:r>
      <w:r>
        <w:rPr>
          <w:spacing w:val="2"/>
          <w:sz w:val="13"/>
        </w:rPr>
        <w:t>&lt;https://</w:t>
      </w:r>
      <w:hyperlink r:id="rId153">
        <w:r>
          <w:rPr>
            <w:spacing w:val="2"/>
            <w:sz w:val="13"/>
          </w:rPr>
          <w:t>www.magistratescourt.vic.gov.au/jurisdictions/civil/procedural-information/mediation-</w:t>
        </w:r>
      </w:hyperlink>
      <w:r>
        <w:rPr>
          <w:spacing w:val="2"/>
          <w:sz w:val="13"/>
        </w:rPr>
        <w:t> </w:t>
      </w:r>
      <w:r>
        <w:rPr>
          <w:sz w:val="13"/>
        </w:rPr>
        <w:t>process-2011-single-list-external-mediators&gt;.</w:t>
      </w:r>
    </w:p>
    <w:p>
      <w:pPr>
        <w:pStyle w:val="ListParagraph"/>
        <w:numPr>
          <w:ilvl w:val="0"/>
          <w:numId w:val="109"/>
        </w:numPr>
        <w:tabs>
          <w:tab w:pos="2381" w:val="left" w:leader="none"/>
          <w:tab w:pos="2382" w:val="left" w:leader="none"/>
        </w:tabs>
        <w:spacing w:line="240" w:lineRule="auto" w:before="4" w:after="0"/>
        <w:ind w:left="2381" w:right="0" w:hanging="793"/>
        <w:jc w:val="left"/>
        <w:rPr>
          <w:sz w:val="13"/>
        </w:rPr>
      </w:pPr>
      <w:r>
        <w:rPr>
          <w:w w:val="105"/>
          <w:sz w:val="13"/>
        </w:rPr>
        <w:t>Magistrates’</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Fees</w:t>
      </w:r>
      <w:r>
        <w:rPr>
          <w:i/>
          <w:spacing w:val="5"/>
          <w:w w:val="105"/>
          <w:sz w:val="13"/>
        </w:rPr>
        <w:t> </w:t>
      </w:r>
      <w:r>
        <w:rPr>
          <w:i/>
          <w:w w:val="105"/>
          <w:sz w:val="13"/>
        </w:rPr>
        <w:t>and</w:t>
      </w:r>
      <w:r>
        <w:rPr>
          <w:i/>
          <w:spacing w:val="5"/>
          <w:w w:val="105"/>
          <w:sz w:val="13"/>
        </w:rPr>
        <w:t> </w:t>
      </w:r>
      <w:r>
        <w:rPr>
          <w:i/>
          <w:w w:val="105"/>
          <w:sz w:val="13"/>
        </w:rPr>
        <w:t>Costs</w:t>
      </w:r>
      <w:r>
        <w:rPr>
          <w:i/>
          <w:spacing w:val="6"/>
          <w:w w:val="105"/>
          <w:sz w:val="13"/>
        </w:rPr>
        <w:t> </w:t>
      </w:r>
      <w:r>
        <w:rPr>
          <w:i/>
          <w:w w:val="105"/>
          <w:sz w:val="13"/>
        </w:rPr>
        <w:t>Ready</w:t>
      </w:r>
      <w:r>
        <w:rPr>
          <w:i/>
          <w:spacing w:val="5"/>
          <w:w w:val="105"/>
          <w:sz w:val="13"/>
        </w:rPr>
        <w:t> </w:t>
      </w:r>
      <w:r>
        <w:rPr>
          <w:i/>
          <w:w w:val="105"/>
          <w:sz w:val="13"/>
        </w:rPr>
        <w:t>Reckoner</w:t>
      </w:r>
      <w:r>
        <w:rPr>
          <w:i/>
          <w:spacing w:val="5"/>
          <w:w w:val="105"/>
          <w:sz w:val="13"/>
        </w:rPr>
        <w:t> </w:t>
      </w:r>
      <w:r>
        <w:rPr>
          <w:w w:val="105"/>
          <w:sz w:val="13"/>
        </w:rPr>
        <w:t>(effective</w:t>
      </w:r>
      <w:r>
        <w:rPr>
          <w:spacing w:val="5"/>
          <w:w w:val="105"/>
          <w:sz w:val="13"/>
        </w:rPr>
        <w:t> </w:t>
      </w:r>
      <w:r>
        <w:rPr>
          <w:w w:val="105"/>
          <w:sz w:val="13"/>
        </w:rPr>
        <w:t>1</w:t>
      </w:r>
      <w:r>
        <w:rPr>
          <w:spacing w:val="5"/>
          <w:w w:val="105"/>
          <w:sz w:val="13"/>
        </w:rPr>
        <w:t> </w:t>
      </w:r>
      <w:r>
        <w:rPr>
          <w:w w:val="105"/>
          <w:sz w:val="13"/>
        </w:rPr>
        <w:t>January</w:t>
      </w:r>
      <w:r>
        <w:rPr>
          <w:spacing w:val="5"/>
          <w:w w:val="105"/>
          <w:sz w:val="13"/>
        </w:rPr>
        <w:t> </w:t>
      </w:r>
      <w:r>
        <w:rPr>
          <w:w w:val="105"/>
          <w:sz w:val="13"/>
        </w:rPr>
        <w:t>2019).</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26"/>
        </w:rPr>
      </w:pPr>
    </w:p>
    <w:p>
      <w:pPr>
        <w:spacing w:before="0"/>
        <w:ind w:left="550" w:right="573" w:firstLine="0"/>
        <w:jc w:val="center"/>
        <w:rPr>
          <w:b/>
          <w:sz w:val="24"/>
        </w:rPr>
      </w:pPr>
      <w:r>
        <w:rPr>
          <w:b/>
          <w:color w:val="658464"/>
          <w:w w:val="110"/>
          <w:sz w:val="24"/>
        </w:rPr>
        <w:t>135</w:t>
      </w:r>
    </w:p>
    <w:p>
      <w:pPr>
        <w:spacing w:after="0"/>
        <w:jc w:val="center"/>
        <w:rPr>
          <w:sz w:val="24"/>
        </w:rPr>
        <w:sectPr>
          <w:type w:val="continuous"/>
          <w:pgSz w:w="11910" w:h="16840"/>
          <w:pgMar w:top="300" w:bottom="280" w:left="0" w:right="0"/>
          <w:cols w:num="2" w:equalWidth="0">
            <w:col w:w="10304" w:space="40"/>
            <w:col w:w="1566"/>
          </w:cols>
        </w:sectPr>
      </w:pPr>
    </w:p>
    <w:p>
      <w:pPr>
        <w:pStyle w:val="BodyText"/>
        <w:spacing w:before="9"/>
        <w:rPr>
          <w:b/>
          <w:sz w:val="22"/>
        </w:rPr>
      </w:pPr>
    </w:p>
    <w:p>
      <w:pPr>
        <w:pStyle w:val="ListParagraph"/>
        <w:numPr>
          <w:ilvl w:val="1"/>
          <w:numId w:val="16"/>
        </w:numPr>
        <w:tabs>
          <w:tab w:pos="2380" w:val="left" w:leader="none"/>
          <w:tab w:pos="2381" w:val="left" w:leader="none"/>
        </w:tabs>
        <w:spacing w:line="242" w:lineRule="auto" w:before="92" w:after="0"/>
        <w:ind w:left="2381" w:right="2095" w:hanging="794"/>
        <w:jc w:val="left"/>
        <w:rPr>
          <w:sz w:val="21"/>
        </w:rPr>
      </w:pPr>
      <w:r>
        <w:rPr>
          <w:sz w:val="21"/>
        </w:rPr>
        <w:t>The </w:t>
      </w:r>
      <w:r>
        <w:rPr>
          <w:spacing w:val="-3"/>
          <w:sz w:val="21"/>
        </w:rPr>
        <w:t>Dispute </w:t>
      </w:r>
      <w:r>
        <w:rPr>
          <w:sz w:val="21"/>
        </w:rPr>
        <w:t>Settlement </w:t>
      </w:r>
      <w:r>
        <w:rPr>
          <w:spacing w:val="-3"/>
          <w:sz w:val="21"/>
        </w:rPr>
        <w:t>centre  </w:t>
      </w:r>
      <w:r>
        <w:rPr>
          <w:sz w:val="21"/>
        </w:rPr>
        <w:t>of  Victoria  (DSCV)  operates  a  </w:t>
      </w:r>
      <w:r>
        <w:rPr>
          <w:spacing w:val="-3"/>
          <w:sz w:val="21"/>
        </w:rPr>
        <w:t>Civil  </w:t>
      </w:r>
      <w:r>
        <w:rPr>
          <w:spacing w:val="-4"/>
          <w:sz w:val="21"/>
        </w:rPr>
        <w:t>Claims  </w:t>
      </w:r>
      <w:r>
        <w:rPr>
          <w:spacing w:val="-3"/>
          <w:sz w:val="21"/>
        </w:rPr>
        <w:t>Program for </w:t>
      </w:r>
      <w:r>
        <w:rPr>
          <w:sz w:val="21"/>
        </w:rPr>
        <w:t>defended civil </w:t>
      </w:r>
      <w:r>
        <w:rPr>
          <w:spacing w:val="-3"/>
          <w:sz w:val="21"/>
        </w:rPr>
        <w:t>claims  </w:t>
      </w:r>
      <w:r>
        <w:rPr>
          <w:sz w:val="21"/>
        </w:rPr>
        <w:t>in the </w:t>
      </w:r>
      <w:r>
        <w:rPr>
          <w:spacing w:val="-3"/>
          <w:sz w:val="21"/>
        </w:rPr>
        <w:t>Magistrates</w:t>
      </w:r>
      <w:r>
        <w:rPr>
          <w:spacing w:val="41"/>
          <w:sz w:val="21"/>
        </w:rPr>
        <w:t> </w:t>
      </w:r>
      <w:r>
        <w:rPr>
          <w:spacing w:val="-3"/>
          <w:sz w:val="21"/>
        </w:rPr>
        <w:t>Court  for  claims  </w:t>
      </w:r>
      <w:r>
        <w:rPr>
          <w:sz w:val="21"/>
        </w:rPr>
        <w:t>under $40,000.</w:t>
      </w:r>
      <w:r>
        <w:rPr>
          <w:position w:val="7"/>
          <w:sz w:val="12"/>
        </w:rPr>
        <w:t>21  </w:t>
      </w:r>
      <w:r>
        <w:rPr>
          <w:sz w:val="21"/>
        </w:rPr>
        <w:t>This </w:t>
      </w:r>
      <w:r>
        <w:rPr>
          <w:spacing w:val="-4"/>
          <w:sz w:val="21"/>
        </w:rPr>
        <w:t>‘is  </w:t>
      </w:r>
      <w:r>
        <w:rPr>
          <w:sz w:val="21"/>
        </w:rPr>
        <w:t>a </w:t>
      </w:r>
      <w:r>
        <w:rPr>
          <w:spacing w:val="-3"/>
          <w:sz w:val="21"/>
        </w:rPr>
        <w:t>quick </w:t>
      </w:r>
      <w:r>
        <w:rPr>
          <w:sz w:val="21"/>
        </w:rPr>
        <w:t>and inexpensive </w:t>
      </w:r>
      <w:r>
        <w:rPr>
          <w:spacing w:val="-3"/>
          <w:sz w:val="21"/>
        </w:rPr>
        <w:t>way for </w:t>
      </w:r>
      <w:r>
        <w:rPr>
          <w:sz w:val="21"/>
        </w:rPr>
        <w:t>the parties </w:t>
      </w:r>
      <w:r>
        <w:rPr>
          <w:spacing w:val="-3"/>
          <w:sz w:val="21"/>
        </w:rPr>
        <w:t>to </w:t>
      </w:r>
      <w:r>
        <w:rPr>
          <w:sz w:val="21"/>
        </w:rPr>
        <w:t>resolve their civil </w:t>
      </w:r>
      <w:r>
        <w:rPr>
          <w:spacing w:val="-3"/>
          <w:sz w:val="21"/>
        </w:rPr>
        <w:t>claim </w:t>
      </w:r>
      <w:r>
        <w:rPr>
          <w:sz w:val="21"/>
        </w:rPr>
        <w:t>without </w:t>
      </w:r>
      <w:r>
        <w:rPr>
          <w:w w:val="115"/>
          <w:sz w:val="21"/>
        </w:rPr>
        <w:t>…</w:t>
      </w:r>
      <w:r>
        <w:rPr>
          <w:spacing w:val="5"/>
          <w:w w:val="115"/>
          <w:sz w:val="21"/>
        </w:rPr>
        <w:t> </w:t>
      </w:r>
      <w:r>
        <w:rPr>
          <w:sz w:val="21"/>
        </w:rPr>
        <w:t>a</w:t>
      </w:r>
    </w:p>
    <w:p>
      <w:pPr>
        <w:pStyle w:val="BodyText"/>
        <w:spacing w:line="242" w:lineRule="auto" w:before="3"/>
        <w:ind w:left="2381" w:right="1636" w:hanging="1"/>
        <w:rPr>
          <w:sz w:val="12"/>
        </w:rPr>
      </w:pPr>
      <w:r>
        <w:rPr/>
        <w:t>court hearing’.</w:t>
      </w:r>
      <w:r>
        <w:rPr>
          <w:position w:val="7"/>
          <w:sz w:val="12"/>
        </w:rPr>
        <w:t>22 </w:t>
      </w:r>
      <w:r>
        <w:rPr/>
        <w:t>The program operates in a number of Magistrates’ Court locations in metropolitan and regional areas.</w:t>
      </w:r>
      <w:r>
        <w:rPr>
          <w:position w:val="7"/>
          <w:sz w:val="12"/>
        </w:rPr>
        <w:t>23 </w:t>
      </w:r>
      <w:r>
        <w:rPr/>
        <w:t>Mediations by DSCV are free.</w:t>
      </w:r>
      <w:r>
        <w:rPr>
          <w:position w:val="7"/>
          <w:sz w:val="12"/>
        </w:rPr>
        <w:t>24</w:t>
      </w:r>
    </w:p>
    <w:p>
      <w:pPr>
        <w:pStyle w:val="ListParagraph"/>
        <w:numPr>
          <w:ilvl w:val="1"/>
          <w:numId w:val="16"/>
        </w:numPr>
        <w:tabs>
          <w:tab w:pos="2380" w:val="left" w:leader="none"/>
          <w:tab w:pos="2381" w:val="left" w:leader="none"/>
        </w:tabs>
        <w:spacing w:line="242" w:lineRule="auto" w:before="122" w:after="0"/>
        <w:ind w:left="2381" w:right="1935" w:hanging="794"/>
        <w:jc w:val="left"/>
        <w:rPr>
          <w:sz w:val="21"/>
        </w:rPr>
      </w:pPr>
      <w:r>
        <w:rPr>
          <w:sz w:val="21"/>
        </w:rPr>
        <w:t>The </w:t>
      </w:r>
      <w:r>
        <w:rPr>
          <w:spacing w:val="-3"/>
          <w:sz w:val="21"/>
        </w:rPr>
        <w:t>Court may  </w:t>
      </w:r>
      <w:r>
        <w:rPr>
          <w:sz w:val="21"/>
        </w:rPr>
        <w:t>direct </w:t>
      </w:r>
      <w:r>
        <w:rPr>
          <w:spacing w:val="-3"/>
          <w:sz w:val="21"/>
        </w:rPr>
        <w:t>any</w:t>
      </w:r>
      <w:r>
        <w:rPr>
          <w:spacing w:val="41"/>
          <w:sz w:val="21"/>
        </w:rPr>
        <w:t> </w:t>
      </w:r>
      <w:r>
        <w:rPr>
          <w:sz w:val="21"/>
        </w:rPr>
        <w:t>matter </w:t>
      </w:r>
      <w:r>
        <w:rPr>
          <w:spacing w:val="-3"/>
          <w:sz w:val="21"/>
        </w:rPr>
        <w:t>to  </w:t>
      </w:r>
      <w:r>
        <w:rPr>
          <w:sz w:val="21"/>
        </w:rPr>
        <w:t>proceed </w:t>
      </w:r>
      <w:r>
        <w:rPr>
          <w:spacing w:val="-3"/>
          <w:sz w:val="21"/>
        </w:rPr>
        <w:t>to  </w:t>
      </w:r>
      <w:r>
        <w:rPr>
          <w:sz w:val="21"/>
        </w:rPr>
        <w:t>early </w:t>
      </w:r>
      <w:r>
        <w:rPr>
          <w:spacing w:val="-3"/>
          <w:sz w:val="21"/>
        </w:rPr>
        <w:t>neutral  evaluation.</w:t>
      </w:r>
      <w:r>
        <w:rPr>
          <w:spacing w:val="-3"/>
          <w:position w:val="7"/>
          <w:sz w:val="12"/>
        </w:rPr>
        <w:t>25  </w:t>
      </w:r>
      <w:r>
        <w:rPr>
          <w:sz w:val="21"/>
        </w:rPr>
        <w:t>This </w:t>
      </w:r>
      <w:r>
        <w:rPr>
          <w:spacing w:val="-3"/>
          <w:sz w:val="21"/>
        </w:rPr>
        <w:t>involves </w:t>
      </w:r>
      <w:r>
        <w:rPr>
          <w:sz w:val="21"/>
        </w:rPr>
        <w:t>a </w:t>
      </w:r>
      <w:r>
        <w:rPr>
          <w:spacing w:val="-3"/>
          <w:sz w:val="21"/>
        </w:rPr>
        <w:t>magistrate, </w:t>
      </w:r>
      <w:r>
        <w:rPr>
          <w:sz w:val="21"/>
        </w:rPr>
        <w:t>in the presence of the parties and their legal representatives, </w:t>
      </w:r>
      <w:r>
        <w:rPr>
          <w:spacing w:val="-3"/>
          <w:sz w:val="21"/>
        </w:rPr>
        <w:t>hearing </w:t>
      </w:r>
      <w:r>
        <w:rPr>
          <w:sz w:val="21"/>
        </w:rPr>
        <w:t>a statement of the </w:t>
      </w:r>
      <w:r>
        <w:rPr>
          <w:spacing w:val="-3"/>
          <w:sz w:val="21"/>
        </w:rPr>
        <w:t>relevant </w:t>
      </w:r>
      <w:r>
        <w:rPr>
          <w:sz w:val="21"/>
        </w:rPr>
        <w:t>evidence and </w:t>
      </w:r>
      <w:r>
        <w:rPr>
          <w:spacing w:val="-3"/>
          <w:sz w:val="21"/>
        </w:rPr>
        <w:t>principles </w:t>
      </w:r>
      <w:r>
        <w:rPr>
          <w:sz w:val="21"/>
        </w:rPr>
        <w:t>of law </w:t>
      </w:r>
      <w:r>
        <w:rPr>
          <w:spacing w:val="-3"/>
          <w:sz w:val="21"/>
        </w:rPr>
        <w:t>from </w:t>
      </w:r>
      <w:r>
        <w:rPr>
          <w:sz w:val="21"/>
        </w:rPr>
        <w:t>each party, </w:t>
      </w:r>
      <w:r>
        <w:rPr>
          <w:spacing w:val="-3"/>
          <w:sz w:val="21"/>
        </w:rPr>
        <w:t>facilitating </w:t>
      </w:r>
      <w:r>
        <w:rPr>
          <w:sz w:val="21"/>
        </w:rPr>
        <w:t>discussion and </w:t>
      </w:r>
      <w:r>
        <w:rPr>
          <w:spacing w:val="-3"/>
          <w:sz w:val="21"/>
        </w:rPr>
        <w:t>presenting </w:t>
      </w:r>
      <w:r>
        <w:rPr>
          <w:sz w:val="21"/>
        </w:rPr>
        <w:t>a non-binding opinion on the </w:t>
      </w:r>
      <w:r>
        <w:rPr>
          <w:spacing w:val="-4"/>
          <w:sz w:val="21"/>
        </w:rPr>
        <w:t>likely  </w:t>
      </w:r>
      <w:r>
        <w:rPr>
          <w:spacing w:val="-3"/>
          <w:sz w:val="21"/>
        </w:rPr>
        <w:t>outcome.</w:t>
      </w:r>
      <w:r>
        <w:rPr>
          <w:spacing w:val="-3"/>
          <w:position w:val="7"/>
          <w:sz w:val="12"/>
        </w:rPr>
        <w:t>26  </w:t>
      </w:r>
      <w:r>
        <w:rPr>
          <w:sz w:val="21"/>
        </w:rPr>
        <w:t>If the parties  do </w:t>
      </w:r>
      <w:r>
        <w:rPr>
          <w:spacing w:val="-2"/>
          <w:sz w:val="21"/>
        </w:rPr>
        <w:t>not </w:t>
      </w:r>
      <w:r>
        <w:rPr>
          <w:spacing w:val="-3"/>
          <w:sz w:val="21"/>
        </w:rPr>
        <w:t>reach </w:t>
      </w:r>
      <w:r>
        <w:rPr>
          <w:sz w:val="21"/>
        </w:rPr>
        <w:t>a </w:t>
      </w:r>
      <w:r>
        <w:rPr>
          <w:spacing w:val="-3"/>
          <w:sz w:val="21"/>
        </w:rPr>
        <w:t>resolution, </w:t>
      </w:r>
      <w:r>
        <w:rPr>
          <w:sz w:val="21"/>
        </w:rPr>
        <w:t>their matter can proceed </w:t>
      </w:r>
      <w:r>
        <w:rPr>
          <w:spacing w:val="-3"/>
          <w:sz w:val="21"/>
        </w:rPr>
        <w:t>to </w:t>
      </w:r>
      <w:r>
        <w:rPr>
          <w:sz w:val="21"/>
        </w:rPr>
        <w:t>a</w:t>
      </w:r>
      <w:r>
        <w:rPr>
          <w:spacing w:val="4"/>
          <w:sz w:val="21"/>
        </w:rPr>
        <w:t> </w:t>
      </w:r>
      <w:r>
        <w:rPr>
          <w:spacing w:val="-3"/>
          <w:sz w:val="21"/>
        </w:rPr>
        <w:t>hearing.</w:t>
      </w:r>
      <w:r>
        <w:rPr>
          <w:spacing w:val="-3"/>
          <w:position w:val="7"/>
          <w:sz w:val="12"/>
        </w:rPr>
        <w:t>27</w:t>
      </w:r>
    </w:p>
    <w:p>
      <w:pPr>
        <w:pStyle w:val="Heading7"/>
        <w:spacing w:before="156"/>
      </w:pPr>
      <w:r>
        <w:rPr>
          <w:w w:val="115"/>
        </w:rPr>
        <w:t>Subject-matter expertise—the Magistrates’ Court</w:t>
      </w:r>
    </w:p>
    <w:p>
      <w:pPr>
        <w:pStyle w:val="ListParagraph"/>
        <w:numPr>
          <w:ilvl w:val="1"/>
          <w:numId w:val="16"/>
        </w:numPr>
        <w:tabs>
          <w:tab w:pos="2381" w:val="left" w:leader="none"/>
          <w:tab w:pos="2382" w:val="left" w:leader="none"/>
        </w:tabs>
        <w:spacing w:line="242" w:lineRule="auto" w:before="143" w:after="0"/>
        <w:ind w:left="2381" w:right="1908" w:hanging="794"/>
        <w:jc w:val="left"/>
        <w:rPr>
          <w:sz w:val="21"/>
        </w:rPr>
      </w:pPr>
      <w:r>
        <w:rPr>
          <w:w w:val="105"/>
          <w:sz w:val="21"/>
        </w:rPr>
        <w:t>The </w:t>
      </w:r>
      <w:r>
        <w:rPr>
          <w:spacing w:val="-3"/>
          <w:w w:val="105"/>
          <w:sz w:val="21"/>
        </w:rPr>
        <w:t>Magistrates’ Court currently </w:t>
      </w:r>
      <w:r>
        <w:rPr>
          <w:w w:val="105"/>
          <w:sz w:val="21"/>
        </w:rPr>
        <w:t>hears </w:t>
      </w:r>
      <w:r>
        <w:rPr>
          <w:spacing w:val="-3"/>
          <w:w w:val="105"/>
          <w:sz w:val="21"/>
        </w:rPr>
        <w:t>fence disputes </w:t>
      </w:r>
      <w:r>
        <w:rPr>
          <w:w w:val="105"/>
          <w:sz w:val="21"/>
        </w:rPr>
        <w:t>under the </w:t>
      </w:r>
      <w:r>
        <w:rPr>
          <w:i/>
          <w:w w:val="105"/>
          <w:sz w:val="21"/>
        </w:rPr>
        <w:t>Fences Act </w:t>
      </w:r>
      <w:r>
        <w:rPr>
          <w:i/>
          <w:spacing w:val="-4"/>
          <w:w w:val="105"/>
          <w:sz w:val="21"/>
        </w:rPr>
        <w:t>1968 </w:t>
      </w:r>
      <w:r>
        <w:rPr>
          <w:w w:val="105"/>
          <w:sz w:val="21"/>
        </w:rPr>
        <w:t>(Vic). These </w:t>
      </w:r>
      <w:r>
        <w:rPr>
          <w:spacing w:val="-3"/>
          <w:w w:val="105"/>
          <w:sz w:val="21"/>
        </w:rPr>
        <w:t>disputes include </w:t>
      </w:r>
      <w:r>
        <w:rPr>
          <w:w w:val="105"/>
          <w:sz w:val="21"/>
        </w:rPr>
        <w:t>matters about </w:t>
      </w:r>
      <w:r>
        <w:rPr>
          <w:spacing w:val="-3"/>
          <w:w w:val="105"/>
          <w:sz w:val="21"/>
        </w:rPr>
        <w:t>building </w:t>
      </w:r>
      <w:r>
        <w:rPr>
          <w:w w:val="105"/>
          <w:sz w:val="21"/>
        </w:rPr>
        <w:t>and </w:t>
      </w:r>
      <w:r>
        <w:rPr>
          <w:spacing w:val="-3"/>
          <w:w w:val="105"/>
          <w:sz w:val="21"/>
        </w:rPr>
        <w:t>repairing fences, such </w:t>
      </w:r>
      <w:r>
        <w:rPr>
          <w:w w:val="105"/>
          <w:sz w:val="21"/>
        </w:rPr>
        <w:t>as who pays, what type of </w:t>
      </w:r>
      <w:r>
        <w:rPr>
          <w:spacing w:val="-3"/>
          <w:w w:val="105"/>
          <w:sz w:val="21"/>
        </w:rPr>
        <w:t>fence </w:t>
      </w:r>
      <w:r>
        <w:rPr>
          <w:w w:val="105"/>
          <w:sz w:val="21"/>
        </w:rPr>
        <w:t>is </w:t>
      </w:r>
      <w:r>
        <w:rPr>
          <w:spacing w:val="-3"/>
          <w:w w:val="105"/>
          <w:sz w:val="21"/>
        </w:rPr>
        <w:t>built </w:t>
      </w:r>
      <w:r>
        <w:rPr>
          <w:w w:val="105"/>
          <w:sz w:val="21"/>
        </w:rPr>
        <w:t>and where.</w:t>
      </w:r>
      <w:r>
        <w:rPr>
          <w:w w:val="105"/>
          <w:position w:val="7"/>
          <w:sz w:val="12"/>
        </w:rPr>
        <w:t>28 </w:t>
      </w:r>
      <w:r>
        <w:rPr>
          <w:w w:val="105"/>
          <w:sz w:val="21"/>
        </w:rPr>
        <w:t>The </w:t>
      </w:r>
      <w:r>
        <w:rPr>
          <w:spacing w:val="-3"/>
          <w:w w:val="105"/>
          <w:sz w:val="21"/>
        </w:rPr>
        <w:t>Magistrates’ Court </w:t>
      </w:r>
      <w:r>
        <w:rPr>
          <w:spacing w:val="-2"/>
          <w:w w:val="105"/>
          <w:sz w:val="21"/>
        </w:rPr>
        <w:t>has </w:t>
      </w:r>
      <w:r>
        <w:rPr>
          <w:w w:val="105"/>
          <w:sz w:val="21"/>
        </w:rPr>
        <w:t>power </w:t>
      </w:r>
      <w:r>
        <w:rPr>
          <w:spacing w:val="-3"/>
          <w:w w:val="105"/>
          <w:sz w:val="21"/>
        </w:rPr>
        <w:t>to </w:t>
      </w:r>
      <w:r>
        <w:rPr>
          <w:spacing w:val="-4"/>
          <w:w w:val="105"/>
          <w:sz w:val="21"/>
        </w:rPr>
        <w:t>make </w:t>
      </w:r>
      <w:r>
        <w:rPr>
          <w:w w:val="105"/>
          <w:sz w:val="21"/>
        </w:rPr>
        <w:t>a broad </w:t>
      </w:r>
      <w:r>
        <w:rPr>
          <w:spacing w:val="-3"/>
          <w:w w:val="105"/>
          <w:sz w:val="21"/>
        </w:rPr>
        <w:t>range </w:t>
      </w:r>
      <w:r>
        <w:rPr>
          <w:w w:val="105"/>
          <w:sz w:val="21"/>
        </w:rPr>
        <w:t>of orders about </w:t>
      </w:r>
      <w:r>
        <w:rPr>
          <w:spacing w:val="-3"/>
          <w:w w:val="105"/>
          <w:sz w:val="21"/>
        </w:rPr>
        <w:t>fencing</w:t>
      </w:r>
      <w:r>
        <w:rPr>
          <w:spacing w:val="31"/>
          <w:w w:val="105"/>
          <w:sz w:val="21"/>
        </w:rPr>
        <w:t> </w:t>
      </w:r>
      <w:r>
        <w:rPr>
          <w:w w:val="105"/>
          <w:sz w:val="21"/>
        </w:rPr>
        <w:t>disputes.</w:t>
      </w:r>
      <w:r>
        <w:rPr>
          <w:w w:val="105"/>
          <w:position w:val="7"/>
          <w:sz w:val="12"/>
        </w:rPr>
        <w:t>29</w:t>
      </w:r>
    </w:p>
    <w:p>
      <w:pPr>
        <w:pStyle w:val="Heading7"/>
        <w:spacing w:before="155"/>
      </w:pPr>
      <w:r>
        <w:rPr>
          <w:w w:val="115"/>
        </w:rPr>
        <w:t>Flexibility and support—the Magistrates’ Court</w:t>
      </w:r>
    </w:p>
    <w:p>
      <w:pPr>
        <w:pStyle w:val="ListParagraph"/>
        <w:numPr>
          <w:ilvl w:val="1"/>
          <w:numId w:val="16"/>
        </w:numPr>
        <w:tabs>
          <w:tab w:pos="2381" w:val="left" w:leader="none"/>
          <w:tab w:pos="2382" w:val="left" w:leader="none"/>
        </w:tabs>
        <w:spacing w:line="242" w:lineRule="auto" w:before="142" w:after="0"/>
        <w:ind w:left="2381" w:right="1736" w:hanging="794"/>
        <w:jc w:val="left"/>
        <w:rPr>
          <w:sz w:val="21"/>
        </w:rPr>
      </w:pPr>
      <w:r>
        <w:rPr>
          <w:w w:val="105"/>
          <w:sz w:val="21"/>
        </w:rPr>
        <w:t>The </w:t>
      </w:r>
      <w:r>
        <w:rPr>
          <w:spacing w:val="-3"/>
          <w:w w:val="105"/>
          <w:sz w:val="21"/>
        </w:rPr>
        <w:t>Magistrates’ Court ‘has </w:t>
      </w:r>
      <w:r>
        <w:rPr>
          <w:w w:val="105"/>
          <w:sz w:val="21"/>
        </w:rPr>
        <w:t>the largest </w:t>
      </w:r>
      <w:r>
        <w:rPr>
          <w:spacing w:val="-3"/>
          <w:w w:val="105"/>
          <w:sz w:val="21"/>
        </w:rPr>
        <w:t>suburban </w:t>
      </w:r>
      <w:r>
        <w:rPr>
          <w:w w:val="105"/>
          <w:sz w:val="21"/>
        </w:rPr>
        <w:t>and </w:t>
      </w:r>
      <w:r>
        <w:rPr>
          <w:spacing w:val="-3"/>
          <w:w w:val="105"/>
          <w:sz w:val="21"/>
        </w:rPr>
        <w:t>regional reach </w:t>
      </w:r>
      <w:r>
        <w:rPr>
          <w:w w:val="105"/>
          <w:sz w:val="21"/>
        </w:rPr>
        <w:t>of </w:t>
      </w:r>
      <w:r>
        <w:rPr>
          <w:spacing w:val="-3"/>
          <w:w w:val="105"/>
          <w:sz w:val="21"/>
        </w:rPr>
        <w:t>any adjudicative </w:t>
      </w:r>
      <w:r>
        <w:rPr>
          <w:w w:val="105"/>
          <w:sz w:val="21"/>
        </w:rPr>
        <w:t>body in </w:t>
      </w:r>
      <w:r>
        <w:rPr>
          <w:spacing w:val="-3"/>
          <w:w w:val="105"/>
          <w:sz w:val="21"/>
        </w:rPr>
        <w:t>Victoria’.</w:t>
      </w:r>
      <w:r>
        <w:rPr>
          <w:spacing w:val="-3"/>
          <w:w w:val="105"/>
          <w:position w:val="7"/>
          <w:sz w:val="12"/>
        </w:rPr>
        <w:t>30 </w:t>
      </w:r>
      <w:r>
        <w:rPr>
          <w:w w:val="105"/>
          <w:sz w:val="21"/>
        </w:rPr>
        <w:t>It sits at </w:t>
      </w:r>
      <w:r>
        <w:rPr>
          <w:spacing w:val="-9"/>
          <w:w w:val="105"/>
          <w:sz w:val="21"/>
        </w:rPr>
        <w:t>51 </w:t>
      </w:r>
      <w:r>
        <w:rPr>
          <w:w w:val="105"/>
          <w:sz w:val="21"/>
        </w:rPr>
        <w:t>metropolitan and </w:t>
      </w:r>
      <w:r>
        <w:rPr>
          <w:spacing w:val="-3"/>
          <w:w w:val="105"/>
          <w:sz w:val="21"/>
        </w:rPr>
        <w:t>regional </w:t>
      </w:r>
      <w:r>
        <w:rPr>
          <w:w w:val="105"/>
          <w:sz w:val="21"/>
        </w:rPr>
        <w:t>locations in Victoria</w:t>
      </w:r>
      <w:r>
        <w:rPr>
          <w:w w:val="105"/>
          <w:position w:val="7"/>
          <w:sz w:val="12"/>
        </w:rPr>
        <w:t>31 </w:t>
      </w:r>
      <w:r>
        <w:rPr>
          <w:w w:val="105"/>
          <w:sz w:val="21"/>
        </w:rPr>
        <w:t>and also operates </w:t>
      </w:r>
      <w:r>
        <w:rPr>
          <w:spacing w:val="-3"/>
          <w:w w:val="105"/>
          <w:sz w:val="21"/>
        </w:rPr>
        <w:t>through </w:t>
      </w:r>
      <w:r>
        <w:rPr>
          <w:w w:val="105"/>
          <w:sz w:val="21"/>
        </w:rPr>
        <w:t>specialist court models </w:t>
      </w:r>
      <w:r>
        <w:rPr>
          <w:spacing w:val="-3"/>
          <w:w w:val="105"/>
          <w:sz w:val="21"/>
        </w:rPr>
        <w:t>that are comparatively informal </w:t>
      </w:r>
      <w:r>
        <w:rPr>
          <w:w w:val="105"/>
          <w:sz w:val="21"/>
        </w:rPr>
        <w:t>and flexible.</w:t>
      </w:r>
      <w:r>
        <w:rPr>
          <w:w w:val="105"/>
          <w:position w:val="7"/>
          <w:sz w:val="12"/>
        </w:rPr>
        <w:t>32</w:t>
      </w:r>
      <w:r>
        <w:rPr>
          <w:w w:val="105"/>
          <w:sz w:val="12"/>
        </w:rPr>
        <w:t> </w:t>
      </w:r>
      <w:r>
        <w:rPr>
          <w:w w:val="105"/>
          <w:sz w:val="21"/>
        </w:rPr>
        <w:t>For </w:t>
      </w:r>
      <w:r>
        <w:rPr>
          <w:spacing w:val="-3"/>
          <w:w w:val="105"/>
          <w:sz w:val="21"/>
        </w:rPr>
        <w:t>example, </w:t>
      </w:r>
      <w:r>
        <w:rPr>
          <w:w w:val="105"/>
          <w:sz w:val="21"/>
        </w:rPr>
        <w:t>the Neighbourhood Justice Division of the </w:t>
      </w:r>
      <w:r>
        <w:rPr>
          <w:spacing w:val="-3"/>
          <w:w w:val="105"/>
          <w:sz w:val="21"/>
        </w:rPr>
        <w:t>Magistrates’ Court </w:t>
      </w:r>
      <w:r>
        <w:rPr>
          <w:w w:val="105"/>
          <w:sz w:val="21"/>
        </w:rPr>
        <w:t>sits at the Neighbourhood Justice </w:t>
      </w:r>
      <w:r>
        <w:rPr>
          <w:spacing w:val="-4"/>
          <w:w w:val="105"/>
          <w:sz w:val="21"/>
        </w:rPr>
        <w:t>Centre </w:t>
      </w:r>
      <w:r>
        <w:rPr>
          <w:w w:val="105"/>
          <w:sz w:val="21"/>
        </w:rPr>
        <w:t>in the </w:t>
      </w:r>
      <w:r>
        <w:rPr>
          <w:spacing w:val="-3"/>
          <w:w w:val="105"/>
          <w:sz w:val="21"/>
        </w:rPr>
        <w:t>City </w:t>
      </w:r>
      <w:r>
        <w:rPr>
          <w:w w:val="105"/>
          <w:sz w:val="21"/>
        </w:rPr>
        <w:t>of </w:t>
      </w:r>
      <w:r>
        <w:rPr>
          <w:spacing w:val="-5"/>
          <w:w w:val="105"/>
          <w:sz w:val="21"/>
        </w:rPr>
        <w:t>Yarra </w:t>
      </w:r>
      <w:r>
        <w:rPr>
          <w:w w:val="105"/>
          <w:sz w:val="21"/>
        </w:rPr>
        <w:t>and </w:t>
      </w:r>
      <w:r>
        <w:rPr>
          <w:spacing w:val="-2"/>
          <w:w w:val="105"/>
          <w:sz w:val="21"/>
        </w:rPr>
        <w:t>has </w:t>
      </w:r>
      <w:r>
        <w:rPr>
          <w:w w:val="105"/>
          <w:sz w:val="21"/>
        </w:rPr>
        <w:t>jurisdiction </w:t>
      </w:r>
      <w:r>
        <w:rPr>
          <w:spacing w:val="-3"/>
          <w:w w:val="105"/>
          <w:sz w:val="21"/>
        </w:rPr>
        <w:t>to </w:t>
      </w:r>
      <w:r>
        <w:rPr>
          <w:w w:val="105"/>
          <w:sz w:val="21"/>
        </w:rPr>
        <w:t>hear a </w:t>
      </w:r>
      <w:r>
        <w:rPr>
          <w:spacing w:val="-3"/>
          <w:w w:val="105"/>
          <w:sz w:val="21"/>
        </w:rPr>
        <w:t>range </w:t>
      </w:r>
      <w:r>
        <w:rPr>
          <w:w w:val="105"/>
          <w:sz w:val="21"/>
        </w:rPr>
        <w:t>of matters </w:t>
      </w:r>
      <w:r>
        <w:rPr>
          <w:spacing w:val="-3"/>
          <w:w w:val="105"/>
          <w:sz w:val="21"/>
        </w:rPr>
        <w:t>including fence disputes pursuant to </w:t>
      </w:r>
      <w:r>
        <w:rPr>
          <w:w w:val="105"/>
          <w:sz w:val="21"/>
        </w:rPr>
        <w:t>the </w:t>
      </w:r>
      <w:r>
        <w:rPr>
          <w:i/>
          <w:w w:val="105"/>
          <w:sz w:val="21"/>
        </w:rPr>
        <w:t>Fences Act </w:t>
      </w:r>
      <w:r>
        <w:rPr>
          <w:i/>
          <w:spacing w:val="-4"/>
          <w:w w:val="105"/>
          <w:sz w:val="21"/>
        </w:rPr>
        <w:t>1968</w:t>
      </w:r>
      <w:r>
        <w:rPr>
          <w:i/>
          <w:spacing w:val="8"/>
          <w:w w:val="105"/>
          <w:sz w:val="21"/>
        </w:rPr>
        <w:t> </w:t>
      </w:r>
      <w:r>
        <w:rPr>
          <w:w w:val="105"/>
          <w:sz w:val="21"/>
        </w:rPr>
        <w:t>(Vic).</w:t>
      </w:r>
      <w:r>
        <w:rPr>
          <w:w w:val="105"/>
          <w:position w:val="7"/>
          <w:sz w:val="12"/>
        </w:rPr>
        <w:t>33</w:t>
      </w:r>
    </w:p>
    <w:p>
      <w:pPr>
        <w:pStyle w:val="ListParagraph"/>
        <w:numPr>
          <w:ilvl w:val="1"/>
          <w:numId w:val="16"/>
        </w:numPr>
        <w:tabs>
          <w:tab w:pos="2381" w:val="left" w:leader="none"/>
          <w:tab w:pos="2382" w:val="left" w:leader="none"/>
        </w:tabs>
        <w:spacing w:line="242" w:lineRule="auto" w:before="127" w:after="0"/>
        <w:ind w:left="2381" w:right="1744" w:hanging="794"/>
        <w:jc w:val="left"/>
        <w:rPr>
          <w:sz w:val="21"/>
        </w:rPr>
      </w:pPr>
      <w:r>
        <w:rPr>
          <w:sz w:val="21"/>
        </w:rPr>
        <w:t>Of </w:t>
      </w:r>
      <w:r>
        <w:rPr>
          <w:spacing w:val="-3"/>
          <w:sz w:val="21"/>
        </w:rPr>
        <w:t>all </w:t>
      </w:r>
      <w:r>
        <w:rPr>
          <w:sz w:val="21"/>
        </w:rPr>
        <w:t>the Victorian courts, </w:t>
      </w:r>
      <w:r>
        <w:rPr>
          <w:spacing w:val="-3"/>
          <w:sz w:val="21"/>
        </w:rPr>
        <w:t>self-represented litigants </w:t>
      </w:r>
      <w:r>
        <w:rPr>
          <w:sz w:val="21"/>
        </w:rPr>
        <w:t>appear most </w:t>
      </w:r>
      <w:r>
        <w:rPr>
          <w:spacing w:val="-3"/>
          <w:sz w:val="21"/>
        </w:rPr>
        <w:t>frequently </w:t>
      </w:r>
      <w:r>
        <w:rPr>
          <w:sz w:val="21"/>
        </w:rPr>
        <w:t>in the </w:t>
      </w:r>
      <w:r>
        <w:rPr>
          <w:spacing w:val="-3"/>
          <w:sz w:val="21"/>
        </w:rPr>
        <w:t>Magistrates’  </w:t>
      </w:r>
      <w:r>
        <w:rPr>
          <w:sz w:val="21"/>
        </w:rPr>
        <w:t>Court.</w:t>
      </w:r>
      <w:r>
        <w:rPr>
          <w:position w:val="7"/>
          <w:sz w:val="12"/>
        </w:rPr>
        <w:t>34</w:t>
      </w:r>
      <w:r>
        <w:rPr>
          <w:spacing w:val="27"/>
          <w:position w:val="7"/>
          <w:sz w:val="12"/>
        </w:rPr>
        <w:t> </w:t>
      </w:r>
      <w:r>
        <w:rPr>
          <w:sz w:val="21"/>
        </w:rPr>
        <w:t>The </w:t>
      </w:r>
      <w:r>
        <w:rPr>
          <w:spacing w:val="-3"/>
          <w:sz w:val="21"/>
        </w:rPr>
        <w:t>Magistrates’  Court  </w:t>
      </w:r>
      <w:r>
        <w:rPr>
          <w:spacing w:val="-2"/>
          <w:sz w:val="21"/>
        </w:rPr>
        <w:t>has  </w:t>
      </w:r>
      <w:r>
        <w:rPr>
          <w:sz w:val="21"/>
        </w:rPr>
        <w:t>processes in </w:t>
      </w:r>
      <w:r>
        <w:rPr>
          <w:spacing w:val="-3"/>
          <w:sz w:val="21"/>
        </w:rPr>
        <w:t>place  to  </w:t>
      </w:r>
      <w:r>
        <w:rPr>
          <w:spacing w:val="-4"/>
          <w:sz w:val="21"/>
        </w:rPr>
        <w:t>make  </w:t>
      </w:r>
      <w:r>
        <w:rPr>
          <w:spacing w:val="-3"/>
          <w:sz w:val="21"/>
        </w:rPr>
        <w:t>sure  that  </w:t>
      </w:r>
      <w:r>
        <w:rPr>
          <w:sz w:val="21"/>
        </w:rPr>
        <w:t>it is </w:t>
      </w:r>
      <w:r>
        <w:rPr>
          <w:spacing w:val="-3"/>
          <w:sz w:val="21"/>
        </w:rPr>
        <w:t>accessible for </w:t>
      </w:r>
      <w:r>
        <w:rPr>
          <w:sz w:val="21"/>
        </w:rPr>
        <w:t>the people who need it. It monitors its </w:t>
      </w:r>
      <w:r>
        <w:rPr>
          <w:spacing w:val="-3"/>
          <w:sz w:val="21"/>
        </w:rPr>
        <w:t>information,  forms  </w:t>
      </w:r>
      <w:r>
        <w:rPr>
          <w:sz w:val="21"/>
        </w:rPr>
        <w:t>and processes  </w:t>
      </w:r>
      <w:r>
        <w:rPr>
          <w:spacing w:val="-3"/>
          <w:sz w:val="21"/>
        </w:rPr>
        <w:t>to</w:t>
      </w:r>
      <w:r>
        <w:rPr>
          <w:spacing w:val="9"/>
          <w:sz w:val="21"/>
        </w:rPr>
        <w:t> </w:t>
      </w:r>
      <w:r>
        <w:rPr>
          <w:spacing w:val="-3"/>
          <w:sz w:val="21"/>
        </w:rPr>
        <w:t>ensure</w:t>
      </w:r>
      <w:r>
        <w:rPr>
          <w:spacing w:val="10"/>
          <w:sz w:val="21"/>
        </w:rPr>
        <w:t> </w:t>
      </w:r>
      <w:r>
        <w:rPr>
          <w:spacing w:val="-3"/>
          <w:sz w:val="21"/>
        </w:rPr>
        <w:t>that</w:t>
      </w:r>
      <w:r>
        <w:rPr>
          <w:spacing w:val="9"/>
          <w:sz w:val="21"/>
        </w:rPr>
        <w:t> </w:t>
      </w:r>
      <w:r>
        <w:rPr>
          <w:sz w:val="21"/>
        </w:rPr>
        <w:t>cases</w:t>
      </w:r>
      <w:r>
        <w:rPr>
          <w:spacing w:val="9"/>
          <w:sz w:val="21"/>
        </w:rPr>
        <w:t> </w:t>
      </w:r>
      <w:r>
        <w:rPr>
          <w:spacing w:val="-3"/>
          <w:sz w:val="21"/>
        </w:rPr>
        <w:t>are</w:t>
      </w:r>
      <w:r>
        <w:rPr>
          <w:spacing w:val="10"/>
          <w:sz w:val="21"/>
        </w:rPr>
        <w:t> </w:t>
      </w:r>
      <w:r>
        <w:rPr>
          <w:sz w:val="21"/>
        </w:rPr>
        <w:t>resolved</w:t>
      </w:r>
      <w:r>
        <w:rPr>
          <w:spacing w:val="9"/>
          <w:sz w:val="21"/>
        </w:rPr>
        <w:t> </w:t>
      </w:r>
      <w:r>
        <w:rPr>
          <w:sz w:val="21"/>
        </w:rPr>
        <w:t>efficiently</w:t>
      </w:r>
      <w:r>
        <w:rPr>
          <w:spacing w:val="10"/>
          <w:sz w:val="21"/>
        </w:rPr>
        <w:t> </w:t>
      </w:r>
      <w:r>
        <w:rPr>
          <w:sz w:val="21"/>
        </w:rPr>
        <w:t>and</w:t>
      </w:r>
      <w:r>
        <w:rPr>
          <w:spacing w:val="9"/>
          <w:sz w:val="21"/>
        </w:rPr>
        <w:t> </w:t>
      </w:r>
      <w:r>
        <w:rPr>
          <w:sz w:val="21"/>
        </w:rPr>
        <w:t>is</w:t>
      </w:r>
      <w:r>
        <w:rPr>
          <w:spacing w:val="10"/>
          <w:sz w:val="21"/>
        </w:rPr>
        <w:t> </w:t>
      </w:r>
      <w:r>
        <w:rPr>
          <w:sz w:val="21"/>
        </w:rPr>
        <w:t>easy</w:t>
      </w:r>
      <w:r>
        <w:rPr>
          <w:spacing w:val="9"/>
          <w:sz w:val="21"/>
        </w:rPr>
        <w:t> </w:t>
      </w:r>
      <w:r>
        <w:rPr>
          <w:spacing w:val="-3"/>
          <w:sz w:val="21"/>
        </w:rPr>
        <w:t>to</w:t>
      </w:r>
      <w:r>
        <w:rPr>
          <w:spacing w:val="10"/>
          <w:sz w:val="21"/>
        </w:rPr>
        <w:t> </w:t>
      </w:r>
      <w:r>
        <w:rPr>
          <w:spacing w:val="-3"/>
          <w:sz w:val="21"/>
        </w:rPr>
        <w:t>use.</w:t>
      </w:r>
      <w:r>
        <w:rPr>
          <w:spacing w:val="-3"/>
          <w:position w:val="7"/>
          <w:sz w:val="12"/>
        </w:rPr>
        <w:t>35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r>
        <w:rPr/>
        <w:pict>
          <v:line style="position:absolute;mso-position-horizontal-relative:page;mso-position-vertical-relative:paragraph;z-index:6464;mso-wrap-distance-left:0;mso-wrap-distance-right:0" from="79.370003pt,16.844288pt" to="515.905003pt,16.84428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28"/>
        </w:rPr>
      </w:pPr>
    </w:p>
    <w:p>
      <w:pPr>
        <w:spacing w:before="1"/>
        <w:ind w:left="720" w:right="0" w:firstLine="0"/>
        <w:jc w:val="left"/>
        <w:rPr>
          <w:b/>
          <w:sz w:val="24"/>
        </w:rPr>
      </w:pPr>
      <w:r>
        <w:rPr>
          <w:b/>
          <w:color w:val="658464"/>
          <w:spacing w:val="-4"/>
          <w:w w:val="110"/>
          <w:sz w:val="24"/>
        </w:rPr>
        <w:t>136</w:t>
      </w:r>
    </w:p>
    <w:p>
      <w:pPr>
        <w:pStyle w:val="ListParagraph"/>
        <w:numPr>
          <w:ilvl w:val="0"/>
          <w:numId w:val="109"/>
        </w:numPr>
        <w:tabs>
          <w:tab w:pos="1230" w:val="left" w:leader="none"/>
          <w:tab w:pos="1231" w:val="left" w:leader="none"/>
        </w:tabs>
        <w:spacing w:line="240" w:lineRule="auto" w:before="48" w:after="0"/>
        <w:ind w:left="1230" w:right="1596" w:hanging="794"/>
        <w:jc w:val="left"/>
        <w:rPr>
          <w:sz w:val="13"/>
        </w:rPr>
      </w:pPr>
      <w:r>
        <w:rPr>
          <w:spacing w:val="2"/>
          <w:w w:val="111"/>
          <w:sz w:val="13"/>
        </w:rPr>
        <w:br w:type="column"/>
      </w:r>
      <w:r>
        <w:rPr>
          <w:w w:val="105"/>
          <w:sz w:val="13"/>
        </w:rPr>
        <w:t>‘Except at the Melbourne Magistrates’ Court, defended civil claims in the Magistrates’ Court of less than </w:t>
      </w:r>
      <w:r>
        <w:rPr>
          <w:spacing w:val="2"/>
          <w:w w:val="105"/>
          <w:sz w:val="13"/>
        </w:rPr>
        <w:t>$40,000 </w:t>
      </w:r>
      <w:r>
        <w:rPr>
          <w:w w:val="105"/>
          <w:sz w:val="13"/>
        </w:rPr>
        <w:t>value are referred to mediation</w:t>
      </w:r>
      <w:r>
        <w:rPr>
          <w:spacing w:val="7"/>
          <w:w w:val="105"/>
          <w:sz w:val="13"/>
        </w:rPr>
        <w:t> </w:t>
      </w:r>
      <w:r>
        <w:rPr>
          <w:w w:val="105"/>
          <w:sz w:val="13"/>
        </w:rPr>
        <w:t>conducted</w:t>
      </w:r>
      <w:r>
        <w:rPr>
          <w:spacing w:val="7"/>
          <w:w w:val="105"/>
          <w:sz w:val="13"/>
        </w:rPr>
        <w:t> </w:t>
      </w:r>
      <w:r>
        <w:rPr>
          <w:w w:val="105"/>
          <w:sz w:val="13"/>
        </w:rPr>
        <w:t>by</w:t>
      </w:r>
      <w:r>
        <w:rPr>
          <w:spacing w:val="7"/>
          <w:w w:val="105"/>
          <w:sz w:val="13"/>
        </w:rPr>
        <w:t> </w:t>
      </w:r>
      <w:r>
        <w:rPr>
          <w:w w:val="105"/>
          <w:sz w:val="13"/>
        </w:rPr>
        <w:t>the</w:t>
      </w:r>
      <w:r>
        <w:rPr>
          <w:spacing w:val="7"/>
          <w:w w:val="105"/>
          <w:sz w:val="13"/>
        </w:rPr>
        <w:t> </w:t>
      </w:r>
      <w:r>
        <w:rPr>
          <w:w w:val="105"/>
          <w:sz w:val="13"/>
        </w:rPr>
        <w:t>Dispute</w:t>
      </w:r>
      <w:r>
        <w:rPr>
          <w:spacing w:val="7"/>
          <w:w w:val="105"/>
          <w:sz w:val="13"/>
        </w:rPr>
        <w:t> </w:t>
      </w:r>
      <w:r>
        <w:rPr>
          <w:w w:val="105"/>
          <w:sz w:val="13"/>
        </w:rPr>
        <w:t>Settlement</w:t>
      </w:r>
      <w:r>
        <w:rPr>
          <w:spacing w:val="7"/>
          <w:w w:val="105"/>
          <w:sz w:val="13"/>
        </w:rPr>
        <w:t> </w:t>
      </w:r>
      <w:r>
        <w:rPr>
          <w:w w:val="105"/>
          <w:sz w:val="13"/>
        </w:rPr>
        <w:t>Centre</w:t>
      </w:r>
      <w:r>
        <w:rPr>
          <w:spacing w:val="8"/>
          <w:w w:val="105"/>
          <w:sz w:val="13"/>
        </w:rPr>
        <w:t> </w:t>
      </w:r>
      <w:r>
        <w:rPr>
          <w:w w:val="105"/>
          <w:sz w:val="13"/>
        </w:rPr>
        <w:t>of</w:t>
      </w:r>
      <w:r>
        <w:rPr>
          <w:spacing w:val="7"/>
          <w:w w:val="105"/>
          <w:sz w:val="13"/>
        </w:rPr>
        <w:t> </w:t>
      </w:r>
      <w:r>
        <w:rPr>
          <w:w w:val="105"/>
          <w:sz w:val="13"/>
        </w:rPr>
        <w:t>Victoria.’:</w:t>
      </w:r>
      <w:r>
        <w:rPr>
          <w:spacing w:val="7"/>
          <w:w w:val="105"/>
          <w:sz w:val="13"/>
        </w:rPr>
        <w:t> </w:t>
      </w:r>
      <w:r>
        <w:rPr>
          <w:w w:val="105"/>
          <w:sz w:val="13"/>
        </w:rPr>
        <w:t>Magistrates’</w:t>
      </w:r>
      <w:r>
        <w:rPr>
          <w:spacing w:val="7"/>
          <w:w w:val="105"/>
          <w:sz w:val="13"/>
        </w:rPr>
        <w:t> </w:t>
      </w:r>
      <w:r>
        <w:rPr>
          <w:w w:val="105"/>
          <w:sz w:val="13"/>
        </w:rPr>
        <w:t>Court</w:t>
      </w:r>
      <w:r>
        <w:rPr>
          <w:spacing w:val="7"/>
          <w:w w:val="105"/>
          <w:sz w:val="13"/>
        </w:rPr>
        <w:t> </w:t>
      </w:r>
      <w:r>
        <w:rPr>
          <w:w w:val="105"/>
          <w:sz w:val="13"/>
        </w:rPr>
        <w:t>of</w:t>
      </w:r>
      <w:r>
        <w:rPr>
          <w:spacing w:val="7"/>
          <w:w w:val="105"/>
          <w:sz w:val="13"/>
        </w:rPr>
        <w:t> </w:t>
      </w:r>
      <w:r>
        <w:rPr>
          <w:w w:val="105"/>
          <w:sz w:val="13"/>
        </w:rPr>
        <w:t>Victoria,</w:t>
      </w:r>
      <w:r>
        <w:rPr>
          <w:spacing w:val="8"/>
          <w:w w:val="105"/>
          <w:sz w:val="13"/>
        </w:rPr>
        <w:t> </w:t>
      </w:r>
      <w:r>
        <w:rPr>
          <w:i/>
          <w:w w:val="105"/>
          <w:sz w:val="13"/>
        </w:rPr>
        <w:t>Mediation</w:t>
      </w:r>
      <w:r>
        <w:rPr>
          <w:i/>
          <w:spacing w:val="7"/>
          <w:w w:val="105"/>
          <w:sz w:val="13"/>
        </w:rPr>
        <w:t> </w:t>
      </w:r>
      <w:r>
        <w:rPr>
          <w:w w:val="105"/>
          <w:sz w:val="13"/>
        </w:rPr>
        <w:t>(Web</w:t>
      </w:r>
      <w:r>
        <w:rPr>
          <w:spacing w:val="7"/>
          <w:w w:val="105"/>
          <w:sz w:val="13"/>
        </w:rPr>
        <w:t> </w:t>
      </w:r>
      <w:r>
        <w:rPr>
          <w:w w:val="105"/>
          <w:sz w:val="13"/>
        </w:rPr>
        <w:t>Page,</w:t>
      </w:r>
      <w:r>
        <w:rPr>
          <w:spacing w:val="7"/>
          <w:w w:val="105"/>
          <w:sz w:val="13"/>
        </w:rPr>
        <w:t> </w:t>
      </w:r>
      <w:r>
        <w:rPr>
          <w:spacing w:val="-3"/>
          <w:w w:val="105"/>
          <w:sz w:val="13"/>
        </w:rPr>
        <w:t>14</w:t>
      </w:r>
      <w:r>
        <w:rPr>
          <w:spacing w:val="7"/>
          <w:w w:val="105"/>
          <w:sz w:val="13"/>
        </w:rPr>
        <w:t> </w:t>
      </w:r>
      <w:r>
        <w:rPr>
          <w:w w:val="105"/>
          <w:sz w:val="13"/>
        </w:rPr>
        <w:t>January</w:t>
      </w:r>
      <w:r>
        <w:rPr>
          <w:spacing w:val="7"/>
          <w:w w:val="105"/>
          <w:sz w:val="13"/>
        </w:rPr>
        <w:t> </w:t>
      </w:r>
      <w:r>
        <w:rPr>
          <w:w w:val="105"/>
          <w:sz w:val="13"/>
        </w:rPr>
        <w:t>2019)</w:t>
      </w:r>
    </w:p>
    <w:p>
      <w:pPr>
        <w:spacing w:before="3"/>
        <w:ind w:left="1230" w:right="0" w:firstLine="0"/>
        <w:jc w:val="left"/>
        <w:rPr>
          <w:sz w:val="13"/>
        </w:rPr>
      </w:pPr>
      <w:r>
        <w:rPr>
          <w:sz w:val="13"/>
        </w:rPr>
        <w:t>&lt;https://</w:t>
      </w:r>
      <w:hyperlink r:id="rId154">
        <w:r>
          <w:rPr>
            <w:sz w:val="13"/>
          </w:rPr>
          <w:t>www.mcv.vic.gov.au/civil-matters/resolving-dispute/mediation</w:t>
        </w:r>
      </w:hyperlink>
      <w:r>
        <w:rPr>
          <w:sz w:val="13"/>
        </w:rPr>
        <w:t>&gt;.</w:t>
      </w:r>
    </w:p>
    <w:p>
      <w:pPr>
        <w:pStyle w:val="ListParagraph"/>
        <w:numPr>
          <w:ilvl w:val="0"/>
          <w:numId w:val="109"/>
        </w:numPr>
        <w:tabs>
          <w:tab w:pos="1230" w:val="left" w:leader="none"/>
          <w:tab w:pos="1231" w:val="left" w:leader="none"/>
        </w:tabs>
        <w:spacing w:line="240" w:lineRule="auto" w:before="1" w:after="0"/>
        <w:ind w:left="1230" w:right="1843" w:hanging="794"/>
        <w:jc w:val="left"/>
        <w:rPr>
          <w:sz w:val="13"/>
        </w:rPr>
      </w:pPr>
      <w:r>
        <w:rPr>
          <w:w w:val="105"/>
          <w:sz w:val="13"/>
        </w:rPr>
        <w:t>Dispute Settlement Centre of Victoria, </w:t>
      </w:r>
      <w:r>
        <w:rPr>
          <w:i/>
          <w:w w:val="105"/>
          <w:sz w:val="13"/>
        </w:rPr>
        <w:t>Civil Claims Program </w:t>
      </w:r>
      <w:r>
        <w:rPr>
          <w:w w:val="105"/>
          <w:sz w:val="13"/>
        </w:rPr>
        <w:t>(Web Page, 22 May 2019) &lt;https://</w:t>
      </w:r>
      <w:hyperlink r:id="rId155">
        <w:r>
          <w:rPr>
            <w:w w:val="105"/>
            <w:sz w:val="13"/>
          </w:rPr>
          <w:t>www.disputes.vic.gov.au/about-us/civil-</w:t>
        </w:r>
      </w:hyperlink>
      <w:r>
        <w:rPr>
          <w:w w:val="105"/>
          <w:sz w:val="13"/>
        </w:rPr>
        <w:t> claims-program&gt;.</w:t>
      </w:r>
    </w:p>
    <w:p>
      <w:pPr>
        <w:pStyle w:val="ListParagraph"/>
        <w:numPr>
          <w:ilvl w:val="0"/>
          <w:numId w:val="109"/>
        </w:numPr>
        <w:tabs>
          <w:tab w:pos="1230" w:val="left" w:leader="none"/>
          <w:tab w:pos="1231" w:val="left" w:leader="none"/>
        </w:tabs>
        <w:spacing w:line="240" w:lineRule="auto" w:before="3" w:after="0"/>
        <w:ind w:left="1230" w:right="0" w:hanging="794"/>
        <w:jc w:val="left"/>
        <w:rPr>
          <w:sz w:val="13"/>
        </w:rPr>
      </w:pPr>
      <w:r>
        <w:rPr>
          <w:sz w:val="13"/>
        </w:rPr>
        <w:t>Ibid.</w:t>
      </w:r>
    </w:p>
    <w:p>
      <w:pPr>
        <w:pStyle w:val="ListParagraph"/>
        <w:numPr>
          <w:ilvl w:val="0"/>
          <w:numId w:val="109"/>
        </w:numPr>
        <w:tabs>
          <w:tab w:pos="1230" w:val="left" w:leader="none"/>
          <w:tab w:pos="1231" w:val="left" w:leader="none"/>
        </w:tabs>
        <w:spacing w:line="240" w:lineRule="auto" w:before="1" w:after="0"/>
        <w:ind w:left="1230" w:right="1827" w:hanging="794"/>
        <w:jc w:val="left"/>
        <w:rPr>
          <w:sz w:val="13"/>
        </w:rPr>
      </w:pPr>
      <w:r>
        <w:rPr>
          <w:w w:val="105"/>
          <w:sz w:val="13"/>
        </w:rPr>
        <w:t>Dispute Settlement Centre of Victoria, </w:t>
      </w:r>
      <w:r>
        <w:rPr>
          <w:i/>
          <w:w w:val="105"/>
          <w:sz w:val="13"/>
        </w:rPr>
        <w:t>DSCV FAQS </w:t>
      </w:r>
      <w:r>
        <w:rPr>
          <w:w w:val="105"/>
          <w:sz w:val="13"/>
        </w:rPr>
        <w:t>(Web Page, 3 June 2019) &lt;https://</w:t>
      </w:r>
      <w:hyperlink r:id="rId55">
        <w:r>
          <w:rPr>
            <w:w w:val="105"/>
            <w:sz w:val="13"/>
          </w:rPr>
          <w:t>www.disputes.vic.gov.au/information-and-advice/</w:t>
        </w:r>
      </w:hyperlink>
      <w:r>
        <w:rPr>
          <w:w w:val="105"/>
          <w:sz w:val="13"/>
        </w:rPr>
        <w:t> dscv-faqs&gt;.</w:t>
      </w:r>
    </w:p>
    <w:p>
      <w:pPr>
        <w:pStyle w:val="ListParagraph"/>
        <w:numPr>
          <w:ilvl w:val="0"/>
          <w:numId w:val="109"/>
        </w:numPr>
        <w:tabs>
          <w:tab w:pos="1230" w:val="left" w:leader="none"/>
          <w:tab w:pos="1231" w:val="left" w:leader="none"/>
        </w:tabs>
        <w:spacing w:line="240" w:lineRule="auto" w:before="3" w:after="0"/>
        <w:ind w:left="1230" w:right="1641" w:hanging="794"/>
        <w:jc w:val="left"/>
        <w:rPr>
          <w:sz w:val="13"/>
        </w:rPr>
      </w:pPr>
      <w:r>
        <w:rPr>
          <w:w w:val="105"/>
          <w:sz w:val="13"/>
        </w:rPr>
        <w:t>Early neutral evaluation is </w:t>
      </w:r>
      <w:r>
        <w:rPr>
          <w:spacing w:val="-3"/>
          <w:w w:val="105"/>
          <w:sz w:val="13"/>
        </w:rPr>
        <w:t>‘a  </w:t>
      </w:r>
      <w:r>
        <w:rPr>
          <w:w w:val="105"/>
          <w:sz w:val="13"/>
        </w:rPr>
        <w:t>process for parties to </w:t>
      </w:r>
      <w:r>
        <w:rPr>
          <w:spacing w:val="2"/>
          <w:w w:val="105"/>
          <w:sz w:val="13"/>
        </w:rPr>
        <w:t>try </w:t>
      </w:r>
      <w:r>
        <w:rPr>
          <w:w w:val="105"/>
          <w:sz w:val="13"/>
        </w:rPr>
        <w:t>and resolve a dispute by presenting their arguments to a magistrate. A magistrate     will make an evaluation and indicate a possible court outcome’. Any dispute may be referred to early neutral evaluation but mainly disputes where</w:t>
      </w:r>
      <w:r>
        <w:rPr>
          <w:spacing w:val="5"/>
          <w:w w:val="105"/>
          <w:sz w:val="13"/>
        </w:rPr>
        <w:t> </w:t>
      </w:r>
      <w:r>
        <w:rPr>
          <w:w w:val="105"/>
          <w:sz w:val="13"/>
        </w:rPr>
        <w:t>the</w:t>
      </w:r>
      <w:r>
        <w:rPr>
          <w:spacing w:val="5"/>
          <w:w w:val="105"/>
          <w:sz w:val="13"/>
        </w:rPr>
        <w:t> </w:t>
      </w:r>
      <w:r>
        <w:rPr>
          <w:w w:val="105"/>
          <w:sz w:val="13"/>
        </w:rPr>
        <w:t>amount</w:t>
      </w:r>
      <w:r>
        <w:rPr>
          <w:spacing w:val="6"/>
          <w:w w:val="105"/>
          <w:sz w:val="13"/>
        </w:rPr>
        <w:t> </w:t>
      </w:r>
      <w:r>
        <w:rPr>
          <w:w w:val="105"/>
          <w:sz w:val="13"/>
        </w:rPr>
        <w:t>of</w:t>
      </w:r>
      <w:r>
        <w:rPr>
          <w:spacing w:val="5"/>
          <w:w w:val="105"/>
          <w:sz w:val="13"/>
        </w:rPr>
        <w:t> </w:t>
      </w:r>
      <w:r>
        <w:rPr>
          <w:w w:val="105"/>
          <w:sz w:val="13"/>
        </w:rPr>
        <w:t>the</w:t>
      </w:r>
      <w:r>
        <w:rPr>
          <w:spacing w:val="6"/>
          <w:w w:val="105"/>
          <w:sz w:val="13"/>
        </w:rPr>
        <w:t> </w:t>
      </w:r>
      <w:r>
        <w:rPr>
          <w:w w:val="105"/>
          <w:sz w:val="13"/>
        </w:rPr>
        <w:t>claim</w:t>
      </w:r>
      <w:r>
        <w:rPr>
          <w:spacing w:val="5"/>
          <w:w w:val="105"/>
          <w:sz w:val="13"/>
        </w:rPr>
        <w:t> </w:t>
      </w:r>
      <w:r>
        <w:rPr>
          <w:w w:val="105"/>
          <w:sz w:val="13"/>
        </w:rPr>
        <w:t>is</w:t>
      </w:r>
      <w:r>
        <w:rPr>
          <w:spacing w:val="6"/>
          <w:w w:val="105"/>
          <w:sz w:val="13"/>
        </w:rPr>
        <w:t> </w:t>
      </w:r>
      <w:r>
        <w:rPr>
          <w:w w:val="105"/>
          <w:sz w:val="13"/>
        </w:rPr>
        <w:t>$50</w:t>
      </w:r>
      <w:r>
        <w:rPr>
          <w:spacing w:val="5"/>
          <w:w w:val="105"/>
          <w:sz w:val="13"/>
        </w:rPr>
        <w:t> </w:t>
      </w:r>
      <w:r>
        <w:rPr>
          <w:spacing w:val="3"/>
          <w:w w:val="105"/>
          <w:sz w:val="13"/>
        </w:rPr>
        <w:t>000</w:t>
      </w:r>
      <w:r>
        <w:rPr>
          <w:spacing w:val="6"/>
          <w:w w:val="105"/>
          <w:sz w:val="13"/>
        </w:rPr>
        <w:t> </w:t>
      </w:r>
      <w:r>
        <w:rPr>
          <w:w w:val="105"/>
          <w:sz w:val="13"/>
        </w:rPr>
        <w:t>or</w:t>
      </w:r>
      <w:r>
        <w:rPr>
          <w:spacing w:val="5"/>
          <w:w w:val="105"/>
          <w:sz w:val="13"/>
        </w:rPr>
        <w:t> </w:t>
      </w:r>
      <w:r>
        <w:rPr>
          <w:w w:val="105"/>
          <w:sz w:val="13"/>
        </w:rPr>
        <w:t>more</w:t>
      </w:r>
      <w:r>
        <w:rPr>
          <w:spacing w:val="6"/>
          <w:w w:val="105"/>
          <w:sz w:val="13"/>
        </w:rPr>
        <w:t> </w:t>
      </w:r>
      <w:r>
        <w:rPr>
          <w:w w:val="105"/>
          <w:sz w:val="13"/>
        </w:rPr>
        <w:t>or</w:t>
      </w:r>
      <w:r>
        <w:rPr>
          <w:spacing w:val="5"/>
          <w:w w:val="105"/>
          <w:sz w:val="13"/>
        </w:rPr>
        <w:t> </w:t>
      </w:r>
      <w:r>
        <w:rPr>
          <w:w w:val="105"/>
          <w:sz w:val="13"/>
        </w:rPr>
        <w:t>issues</w:t>
      </w:r>
      <w:r>
        <w:rPr>
          <w:spacing w:val="6"/>
          <w:w w:val="105"/>
          <w:sz w:val="13"/>
        </w:rPr>
        <w:t> </w:t>
      </w:r>
      <w:r>
        <w:rPr>
          <w:w w:val="105"/>
          <w:sz w:val="13"/>
        </w:rPr>
        <w:t>raise</w:t>
      </w:r>
      <w:r>
        <w:rPr>
          <w:spacing w:val="5"/>
          <w:w w:val="105"/>
          <w:sz w:val="13"/>
        </w:rPr>
        <w:t> </w:t>
      </w:r>
      <w:r>
        <w:rPr>
          <w:w w:val="105"/>
          <w:sz w:val="13"/>
        </w:rPr>
        <w:t>complex</w:t>
      </w:r>
      <w:r>
        <w:rPr>
          <w:spacing w:val="6"/>
          <w:w w:val="105"/>
          <w:sz w:val="13"/>
        </w:rPr>
        <w:t> </w:t>
      </w:r>
      <w:r>
        <w:rPr>
          <w:w w:val="105"/>
          <w:sz w:val="13"/>
        </w:rPr>
        <w:t>legal</w:t>
      </w:r>
      <w:r>
        <w:rPr>
          <w:spacing w:val="5"/>
          <w:w w:val="105"/>
          <w:sz w:val="13"/>
        </w:rPr>
        <w:t> </w:t>
      </w:r>
      <w:r>
        <w:rPr>
          <w:w w:val="105"/>
          <w:sz w:val="13"/>
        </w:rPr>
        <w:t>arguments</w:t>
      </w:r>
      <w:r>
        <w:rPr>
          <w:spacing w:val="6"/>
          <w:w w:val="105"/>
          <w:sz w:val="13"/>
        </w:rPr>
        <w:t> </w:t>
      </w:r>
      <w:r>
        <w:rPr>
          <w:w w:val="105"/>
          <w:sz w:val="13"/>
        </w:rPr>
        <w:t>or</w:t>
      </w:r>
      <w:r>
        <w:rPr>
          <w:spacing w:val="5"/>
          <w:w w:val="105"/>
          <w:sz w:val="13"/>
        </w:rPr>
        <w:t> </w:t>
      </w:r>
      <w:r>
        <w:rPr>
          <w:w w:val="105"/>
          <w:sz w:val="13"/>
        </w:rPr>
        <w:t>factual</w:t>
      </w:r>
      <w:r>
        <w:rPr>
          <w:spacing w:val="6"/>
          <w:w w:val="105"/>
          <w:sz w:val="13"/>
        </w:rPr>
        <w:t> </w:t>
      </w:r>
      <w:r>
        <w:rPr>
          <w:w w:val="105"/>
          <w:sz w:val="13"/>
        </w:rPr>
        <w:t>disputes:</w:t>
      </w:r>
      <w:r>
        <w:rPr>
          <w:spacing w:val="5"/>
          <w:w w:val="105"/>
          <w:sz w:val="13"/>
        </w:rPr>
        <w:t> </w:t>
      </w:r>
      <w:r>
        <w:rPr>
          <w:w w:val="105"/>
          <w:sz w:val="13"/>
        </w:rPr>
        <w:t>Magistrates’</w:t>
      </w:r>
      <w:r>
        <w:rPr>
          <w:spacing w:val="6"/>
          <w:w w:val="105"/>
          <w:sz w:val="13"/>
        </w:rPr>
        <w:t> </w:t>
      </w:r>
      <w:r>
        <w:rPr>
          <w:w w:val="105"/>
          <w:sz w:val="13"/>
        </w:rPr>
        <w:t>Court</w:t>
      </w:r>
      <w:r>
        <w:rPr>
          <w:spacing w:val="5"/>
          <w:w w:val="105"/>
          <w:sz w:val="13"/>
        </w:rPr>
        <w:t> </w:t>
      </w:r>
      <w:r>
        <w:rPr>
          <w:w w:val="105"/>
          <w:sz w:val="13"/>
        </w:rPr>
        <w:t>of</w:t>
      </w:r>
    </w:p>
    <w:p>
      <w:pPr>
        <w:spacing w:before="4"/>
        <w:ind w:left="1230" w:right="1473" w:firstLine="0"/>
        <w:jc w:val="left"/>
        <w:rPr>
          <w:sz w:val="13"/>
        </w:rPr>
      </w:pPr>
      <w:r>
        <w:rPr>
          <w:sz w:val="13"/>
        </w:rPr>
        <w:t>Victoria, </w:t>
      </w:r>
      <w:r>
        <w:rPr>
          <w:i/>
          <w:sz w:val="13"/>
        </w:rPr>
        <w:t>Early Neutral Evaluation </w:t>
      </w:r>
      <w:r>
        <w:rPr>
          <w:sz w:val="13"/>
        </w:rPr>
        <w:t>(Web Page, 3 December 2018) &lt;https://</w:t>
      </w:r>
      <w:hyperlink r:id="rId156">
        <w:r>
          <w:rPr>
            <w:sz w:val="13"/>
          </w:rPr>
          <w:t>www.mcv.vic.gov.au/civil-matters/resolving-dispute/early-neutral-</w:t>
        </w:r>
      </w:hyperlink>
      <w:r>
        <w:rPr>
          <w:sz w:val="13"/>
        </w:rPr>
        <w:t> evaluation&gt;.</w:t>
      </w:r>
    </w:p>
    <w:p>
      <w:pPr>
        <w:pStyle w:val="ListParagraph"/>
        <w:numPr>
          <w:ilvl w:val="0"/>
          <w:numId w:val="109"/>
        </w:numPr>
        <w:tabs>
          <w:tab w:pos="1230" w:val="left" w:leader="none"/>
          <w:tab w:pos="1231" w:val="left" w:leader="none"/>
        </w:tabs>
        <w:spacing w:line="240" w:lineRule="auto" w:before="2" w:after="0"/>
        <w:ind w:left="1230" w:right="0" w:hanging="794"/>
        <w:jc w:val="left"/>
        <w:rPr>
          <w:sz w:val="13"/>
        </w:rPr>
      </w:pPr>
      <w:r>
        <w:rPr>
          <w:sz w:val="13"/>
        </w:rPr>
        <w:t>Ibid.</w:t>
      </w:r>
    </w:p>
    <w:p>
      <w:pPr>
        <w:pStyle w:val="ListParagraph"/>
        <w:numPr>
          <w:ilvl w:val="0"/>
          <w:numId w:val="109"/>
        </w:numPr>
        <w:tabs>
          <w:tab w:pos="1230" w:val="left" w:leader="none"/>
          <w:tab w:pos="1231" w:val="left" w:leader="none"/>
        </w:tabs>
        <w:spacing w:line="240" w:lineRule="auto" w:before="2" w:after="0"/>
        <w:ind w:left="1230" w:right="1700" w:hanging="794"/>
        <w:jc w:val="both"/>
        <w:rPr>
          <w:sz w:val="13"/>
        </w:rPr>
      </w:pPr>
      <w:r>
        <w:rPr>
          <w:sz w:val="13"/>
        </w:rPr>
        <w:t>Early neutral evaluation does not prejudice parties’ chances in any future hearing, as the magistrate who presides over the process will not determine the case at hearing: Magistrates’ Court of Victoria, </w:t>
      </w:r>
      <w:r>
        <w:rPr>
          <w:i/>
          <w:sz w:val="13"/>
        </w:rPr>
        <w:t>Early Neutral Evaluation </w:t>
      </w:r>
      <w:r>
        <w:rPr>
          <w:sz w:val="13"/>
        </w:rPr>
        <w:t>(Web Page, 3 December 2018) </w:t>
      </w:r>
      <w:r>
        <w:rPr>
          <w:spacing w:val="2"/>
          <w:sz w:val="13"/>
        </w:rPr>
        <w:t>&lt;https://www.mcv. </w:t>
      </w:r>
      <w:r>
        <w:rPr>
          <w:sz w:val="13"/>
        </w:rPr>
        <w:t>vic.gov.au/civil-matters/resolving-dispute/early-neutral-evaluation&gt;.</w:t>
      </w:r>
    </w:p>
    <w:p>
      <w:pPr>
        <w:pStyle w:val="ListParagraph"/>
        <w:numPr>
          <w:ilvl w:val="0"/>
          <w:numId w:val="109"/>
        </w:numPr>
        <w:tabs>
          <w:tab w:pos="1230" w:val="left" w:leader="none"/>
          <w:tab w:pos="1231" w:val="left" w:leader="none"/>
        </w:tabs>
        <w:spacing w:line="240" w:lineRule="auto" w:before="4" w:after="0"/>
        <w:ind w:left="1230" w:right="1759" w:hanging="794"/>
        <w:jc w:val="left"/>
        <w:rPr>
          <w:sz w:val="13"/>
        </w:rPr>
      </w:pPr>
      <w:r>
        <w:rPr>
          <w:w w:val="105"/>
          <w:sz w:val="13"/>
        </w:rPr>
        <w:t>Magistrates’ Court of Victoria, </w:t>
      </w:r>
      <w:r>
        <w:rPr>
          <w:i/>
          <w:w w:val="105"/>
          <w:sz w:val="13"/>
        </w:rPr>
        <w:t>Information Guide: Fencing Disputes </w:t>
      </w:r>
      <w:r>
        <w:rPr>
          <w:spacing w:val="2"/>
          <w:w w:val="105"/>
          <w:sz w:val="13"/>
        </w:rPr>
        <w:t>(9 </w:t>
      </w:r>
      <w:r>
        <w:rPr>
          <w:w w:val="105"/>
          <w:sz w:val="13"/>
        </w:rPr>
        <w:t>January 2019) </w:t>
      </w:r>
      <w:r>
        <w:rPr>
          <w:spacing w:val="2"/>
          <w:w w:val="105"/>
          <w:sz w:val="13"/>
        </w:rPr>
        <w:t>&lt;https://</w:t>
      </w:r>
      <w:hyperlink r:id="rId157">
        <w:r>
          <w:rPr>
            <w:spacing w:val="2"/>
            <w:w w:val="105"/>
            <w:sz w:val="13"/>
          </w:rPr>
          <w:t>www.mcv.vic.gov.au/news-and-resources/</w:t>
        </w:r>
      </w:hyperlink>
      <w:r>
        <w:rPr>
          <w:spacing w:val="2"/>
          <w:w w:val="105"/>
          <w:sz w:val="13"/>
        </w:rPr>
        <w:t> </w:t>
      </w:r>
      <w:r>
        <w:rPr>
          <w:w w:val="105"/>
          <w:sz w:val="13"/>
        </w:rPr>
        <w:t>publications&gt;.</w:t>
      </w:r>
    </w:p>
    <w:p>
      <w:pPr>
        <w:pStyle w:val="ListParagraph"/>
        <w:numPr>
          <w:ilvl w:val="0"/>
          <w:numId w:val="109"/>
        </w:numPr>
        <w:tabs>
          <w:tab w:pos="1230" w:val="left" w:leader="none"/>
          <w:tab w:pos="1231" w:val="left" w:leader="none"/>
        </w:tabs>
        <w:spacing w:line="240" w:lineRule="auto" w:before="2" w:after="0"/>
        <w:ind w:left="1230" w:right="1795" w:hanging="794"/>
        <w:jc w:val="left"/>
        <w:rPr>
          <w:sz w:val="13"/>
        </w:rPr>
      </w:pPr>
      <w:r>
        <w:rPr>
          <w:i/>
          <w:w w:val="105"/>
          <w:sz w:val="13"/>
        </w:rPr>
        <w:t>Fences Act 1968 </w:t>
      </w:r>
      <w:r>
        <w:rPr>
          <w:spacing w:val="2"/>
          <w:w w:val="105"/>
          <w:sz w:val="13"/>
        </w:rPr>
        <w:t>(Vic) </w:t>
      </w:r>
      <w:r>
        <w:rPr>
          <w:w w:val="105"/>
          <w:sz w:val="13"/>
        </w:rPr>
        <w:t>s 30C; see also Department of Justice and Community Safety </w:t>
      </w:r>
      <w:r>
        <w:rPr>
          <w:spacing w:val="2"/>
          <w:w w:val="105"/>
          <w:sz w:val="13"/>
        </w:rPr>
        <w:t>(Vic), </w:t>
      </w:r>
      <w:r>
        <w:rPr>
          <w:i/>
          <w:w w:val="105"/>
          <w:sz w:val="13"/>
        </w:rPr>
        <w:t>Fencing Law in Victoria </w:t>
      </w:r>
      <w:r>
        <w:rPr>
          <w:w w:val="105"/>
          <w:sz w:val="13"/>
        </w:rPr>
        <w:t>(Web Page, 31 January 2019)</w:t>
      </w:r>
      <w:r>
        <w:rPr>
          <w:spacing w:val="2"/>
          <w:w w:val="105"/>
          <w:sz w:val="13"/>
        </w:rPr>
        <w:t> &lt;https://</w:t>
      </w:r>
      <w:hyperlink r:id="rId136">
        <w:r>
          <w:rPr>
            <w:spacing w:val="2"/>
            <w:w w:val="105"/>
            <w:sz w:val="13"/>
          </w:rPr>
          <w:t>www.justice.vic.gov.au/justice-system/laws-and-regulation/civil-law/fencing-law-in-victoria</w:t>
        </w:r>
      </w:hyperlink>
      <w:r>
        <w:rPr>
          <w:spacing w:val="2"/>
          <w:w w:val="105"/>
          <w:sz w:val="13"/>
        </w:rPr>
        <w:t>&gt;.</w:t>
      </w:r>
    </w:p>
    <w:p>
      <w:pPr>
        <w:pStyle w:val="ListParagraph"/>
        <w:numPr>
          <w:ilvl w:val="0"/>
          <w:numId w:val="109"/>
        </w:numPr>
        <w:tabs>
          <w:tab w:pos="1230" w:val="left" w:leader="none"/>
          <w:tab w:pos="1231" w:val="left" w:leader="none"/>
        </w:tabs>
        <w:spacing w:line="240" w:lineRule="auto" w:before="3" w:after="0"/>
        <w:ind w:left="1230" w:right="0" w:hanging="794"/>
        <w:jc w:val="left"/>
        <w:rPr>
          <w:sz w:val="13"/>
        </w:rPr>
      </w:pPr>
      <w:r>
        <w:rPr>
          <w:w w:val="105"/>
          <w:sz w:val="13"/>
        </w:rPr>
        <w:t>Submission 16 (Magistrates’ Court of</w:t>
      </w:r>
      <w:r>
        <w:rPr>
          <w:spacing w:val="22"/>
          <w:w w:val="105"/>
          <w:sz w:val="13"/>
        </w:rPr>
        <w:t> </w:t>
      </w:r>
      <w:r>
        <w:rPr>
          <w:spacing w:val="2"/>
          <w:w w:val="105"/>
          <w:sz w:val="13"/>
        </w:rPr>
        <w:t>Victoria).</w:t>
      </w:r>
    </w:p>
    <w:p>
      <w:pPr>
        <w:pStyle w:val="ListParagraph"/>
        <w:numPr>
          <w:ilvl w:val="0"/>
          <w:numId w:val="109"/>
        </w:numPr>
        <w:tabs>
          <w:tab w:pos="1230" w:val="left" w:leader="none"/>
          <w:tab w:pos="1231" w:val="left" w:leader="none"/>
        </w:tabs>
        <w:spacing w:line="240" w:lineRule="auto" w:before="1" w:after="0"/>
        <w:ind w:left="1230" w:right="0" w:hanging="794"/>
        <w:jc w:val="left"/>
        <w:rPr>
          <w:sz w:val="13"/>
        </w:rPr>
      </w:pPr>
      <w:r>
        <w:rPr>
          <w:w w:val="105"/>
          <w:sz w:val="13"/>
        </w:rPr>
        <w:t>Magistrates’</w:t>
      </w:r>
      <w:r>
        <w:rPr>
          <w:spacing w:val="5"/>
          <w:w w:val="105"/>
          <w:sz w:val="13"/>
        </w:rPr>
        <w:t> </w:t>
      </w:r>
      <w:r>
        <w:rPr>
          <w:w w:val="105"/>
          <w:sz w:val="13"/>
        </w:rPr>
        <w:t>Court</w:t>
      </w:r>
      <w:r>
        <w:rPr>
          <w:spacing w:val="6"/>
          <w:w w:val="105"/>
          <w:sz w:val="13"/>
        </w:rPr>
        <w:t> </w:t>
      </w:r>
      <w:r>
        <w:rPr>
          <w:w w:val="105"/>
          <w:sz w:val="13"/>
        </w:rPr>
        <w:t>of</w:t>
      </w:r>
      <w:r>
        <w:rPr>
          <w:spacing w:val="6"/>
          <w:w w:val="105"/>
          <w:sz w:val="13"/>
        </w:rPr>
        <w:t> </w:t>
      </w:r>
      <w:r>
        <w:rPr>
          <w:w w:val="105"/>
          <w:sz w:val="13"/>
        </w:rPr>
        <w:t>Victoria,</w:t>
      </w:r>
      <w:r>
        <w:rPr>
          <w:spacing w:val="5"/>
          <w:w w:val="105"/>
          <w:sz w:val="13"/>
        </w:rPr>
        <w:t> </w:t>
      </w:r>
      <w:r>
        <w:rPr>
          <w:i/>
          <w:w w:val="105"/>
          <w:sz w:val="13"/>
        </w:rPr>
        <w:t>The</w:t>
      </w:r>
      <w:r>
        <w:rPr>
          <w:i/>
          <w:spacing w:val="6"/>
          <w:w w:val="105"/>
          <w:sz w:val="13"/>
        </w:rPr>
        <w:t> </w:t>
      </w:r>
      <w:r>
        <w:rPr>
          <w:i/>
          <w:w w:val="105"/>
          <w:sz w:val="13"/>
        </w:rPr>
        <w:t>Court</w:t>
      </w:r>
      <w:r>
        <w:rPr>
          <w:i/>
          <w:spacing w:val="5"/>
          <w:w w:val="105"/>
          <w:sz w:val="13"/>
        </w:rPr>
        <w:t> </w:t>
      </w:r>
      <w:r>
        <w:rPr>
          <w:i/>
          <w:w w:val="105"/>
          <w:sz w:val="13"/>
        </w:rPr>
        <w:t>System</w:t>
      </w:r>
      <w:r>
        <w:rPr>
          <w:i/>
          <w:spacing w:val="6"/>
          <w:w w:val="105"/>
          <w:sz w:val="13"/>
        </w:rPr>
        <w:t> </w:t>
      </w:r>
      <w:r>
        <w:rPr>
          <w:w w:val="105"/>
          <w:sz w:val="13"/>
        </w:rPr>
        <w:t>(Web</w:t>
      </w:r>
      <w:r>
        <w:rPr>
          <w:spacing w:val="6"/>
          <w:w w:val="105"/>
          <w:sz w:val="13"/>
        </w:rPr>
        <w:t> </w:t>
      </w:r>
      <w:r>
        <w:rPr>
          <w:w w:val="105"/>
          <w:sz w:val="13"/>
        </w:rPr>
        <w:t>Page,</w:t>
      </w:r>
      <w:r>
        <w:rPr>
          <w:spacing w:val="5"/>
          <w:w w:val="105"/>
          <w:sz w:val="13"/>
        </w:rPr>
        <w:t> </w:t>
      </w:r>
      <w:r>
        <w:rPr>
          <w:w w:val="105"/>
          <w:sz w:val="13"/>
        </w:rPr>
        <w:t>4</w:t>
      </w:r>
      <w:r>
        <w:rPr>
          <w:spacing w:val="6"/>
          <w:w w:val="105"/>
          <w:sz w:val="13"/>
        </w:rPr>
        <w:t> </w:t>
      </w:r>
      <w:r>
        <w:rPr>
          <w:w w:val="105"/>
          <w:sz w:val="13"/>
        </w:rPr>
        <w:t>December</w:t>
      </w:r>
      <w:r>
        <w:rPr>
          <w:spacing w:val="6"/>
          <w:w w:val="105"/>
          <w:sz w:val="13"/>
        </w:rPr>
        <w:t> </w:t>
      </w:r>
      <w:r>
        <w:rPr>
          <w:w w:val="105"/>
          <w:sz w:val="13"/>
        </w:rPr>
        <w:t>2018)</w:t>
      </w:r>
      <w:r>
        <w:rPr>
          <w:spacing w:val="5"/>
          <w:w w:val="105"/>
          <w:sz w:val="13"/>
        </w:rPr>
        <w:t> </w:t>
      </w:r>
      <w:r>
        <w:rPr>
          <w:w w:val="105"/>
          <w:sz w:val="13"/>
        </w:rPr>
        <w:t>&lt;https://</w:t>
      </w:r>
      <w:hyperlink r:id="rId158">
        <w:r>
          <w:rPr>
            <w:w w:val="105"/>
            <w:sz w:val="13"/>
          </w:rPr>
          <w:t>www.mcv.vic.gov.au/court-system</w:t>
        </w:r>
      </w:hyperlink>
      <w:r>
        <w:rPr>
          <w:w w:val="105"/>
          <w:sz w:val="13"/>
        </w:rPr>
        <w:t>&gt;.</w:t>
      </w:r>
    </w:p>
    <w:p>
      <w:pPr>
        <w:pStyle w:val="ListParagraph"/>
        <w:numPr>
          <w:ilvl w:val="0"/>
          <w:numId w:val="109"/>
        </w:numPr>
        <w:tabs>
          <w:tab w:pos="1230" w:val="left" w:leader="none"/>
          <w:tab w:pos="1231" w:val="left" w:leader="none"/>
        </w:tabs>
        <w:spacing w:line="240" w:lineRule="auto" w:before="2" w:after="0"/>
        <w:ind w:left="1230" w:right="0" w:hanging="794"/>
        <w:jc w:val="left"/>
        <w:rPr>
          <w:sz w:val="13"/>
        </w:rPr>
      </w:pPr>
      <w:r>
        <w:rPr>
          <w:w w:val="105"/>
          <w:sz w:val="13"/>
        </w:rPr>
        <w:t>See,</w:t>
      </w:r>
      <w:r>
        <w:rPr>
          <w:spacing w:val="4"/>
          <w:w w:val="105"/>
          <w:sz w:val="13"/>
        </w:rPr>
        <w:t> </w:t>
      </w:r>
      <w:r>
        <w:rPr>
          <w:w w:val="105"/>
          <w:sz w:val="13"/>
        </w:rPr>
        <w:t>eg,</w:t>
      </w:r>
      <w:r>
        <w:rPr>
          <w:spacing w:val="5"/>
          <w:w w:val="105"/>
          <w:sz w:val="13"/>
        </w:rPr>
        <w:t> </w:t>
      </w:r>
      <w:r>
        <w:rPr>
          <w:w w:val="105"/>
          <w:sz w:val="13"/>
        </w:rPr>
        <w:t>Magistrates’</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Annual</w:t>
      </w:r>
      <w:r>
        <w:rPr>
          <w:i/>
          <w:spacing w:val="5"/>
          <w:w w:val="105"/>
          <w:sz w:val="13"/>
        </w:rPr>
        <w:t> </w:t>
      </w:r>
      <w:r>
        <w:rPr>
          <w:i/>
          <w:spacing w:val="2"/>
          <w:w w:val="105"/>
          <w:sz w:val="13"/>
        </w:rPr>
        <w:t>Report</w:t>
      </w:r>
      <w:r>
        <w:rPr>
          <w:i/>
          <w:spacing w:val="5"/>
          <w:w w:val="105"/>
          <w:sz w:val="13"/>
        </w:rPr>
        <w:t> </w:t>
      </w:r>
      <w:r>
        <w:rPr>
          <w:i/>
          <w:w w:val="105"/>
          <w:sz w:val="13"/>
        </w:rPr>
        <w:t>2015–2016</w:t>
      </w:r>
      <w:r>
        <w:rPr>
          <w:i/>
          <w:spacing w:val="5"/>
          <w:w w:val="105"/>
          <w:sz w:val="13"/>
        </w:rPr>
        <w:t> </w:t>
      </w:r>
      <w:r>
        <w:rPr>
          <w:w w:val="105"/>
          <w:sz w:val="13"/>
        </w:rPr>
        <w:t>(2016)</w:t>
      </w:r>
      <w:r>
        <w:rPr>
          <w:spacing w:val="5"/>
          <w:w w:val="105"/>
          <w:sz w:val="13"/>
        </w:rPr>
        <w:t> </w:t>
      </w:r>
      <w:r>
        <w:rPr>
          <w:spacing w:val="-4"/>
          <w:w w:val="105"/>
          <w:sz w:val="13"/>
        </w:rPr>
        <w:t>47–71.</w:t>
      </w:r>
    </w:p>
    <w:p>
      <w:pPr>
        <w:pStyle w:val="ListParagraph"/>
        <w:numPr>
          <w:ilvl w:val="0"/>
          <w:numId w:val="109"/>
        </w:numPr>
        <w:tabs>
          <w:tab w:pos="1230" w:val="left" w:leader="none"/>
          <w:tab w:pos="1231" w:val="left" w:leader="none"/>
        </w:tabs>
        <w:spacing w:line="240" w:lineRule="auto" w:before="1" w:after="0"/>
        <w:ind w:left="1230" w:right="0" w:hanging="794"/>
        <w:jc w:val="left"/>
        <w:rPr>
          <w:sz w:val="13"/>
        </w:rPr>
      </w:pPr>
      <w:r>
        <w:rPr>
          <w:i/>
          <w:sz w:val="13"/>
        </w:rPr>
        <w:t>Magistrates’  Court  Act  1989  </w:t>
      </w:r>
      <w:r>
        <w:rPr>
          <w:spacing w:val="2"/>
          <w:sz w:val="13"/>
        </w:rPr>
        <w:t>(Vic)  </w:t>
      </w:r>
      <w:r>
        <w:rPr>
          <w:sz w:val="13"/>
        </w:rPr>
        <w:t>ss  4M,  </w:t>
      </w:r>
      <w:r>
        <w:rPr>
          <w:spacing w:val="4"/>
          <w:sz w:val="13"/>
        </w:rPr>
        <w:t>4O(3)(d); </w:t>
      </w:r>
      <w:r>
        <w:rPr>
          <w:i/>
          <w:sz w:val="13"/>
        </w:rPr>
        <w:t>Magistrates’  Court  (Miscellaneous  Civil  Proceedings)  Rules  </w:t>
      </w:r>
      <w:r>
        <w:rPr>
          <w:i/>
          <w:spacing w:val="-3"/>
          <w:sz w:val="13"/>
        </w:rPr>
        <w:t>2010  </w:t>
      </w:r>
      <w:r>
        <w:rPr>
          <w:spacing w:val="2"/>
          <w:sz w:val="13"/>
        </w:rPr>
        <w:t>(Vic)  </w:t>
      </w:r>
      <w:r>
        <w:rPr>
          <w:sz w:val="13"/>
        </w:rPr>
        <w:t>r</w:t>
      </w:r>
      <w:r>
        <w:rPr>
          <w:spacing w:val="12"/>
          <w:sz w:val="13"/>
        </w:rPr>
        <w:t> </w:t>
      </w:r>
      <w:r>
        <w:rPr>
          <w:sz w:val="13"/>
        </w:rPr>
        <w:t>11.02(a).</w:t>
      </w:r>
    </w:p>
    <w:p>
      <w:pPr>
        <w:pStyle w:val="ListParagraph"/>
        <w:numPr>
          <w:ilvl w:val="0"/>
          <w:numId w:val="109"/>
        </w:numPr>
        <w:tabs>
          <w:tab w:pos="1230" w:val="left" w:leader="none"/>
          <w:tab w:pos="1231" w:val="left" w:leader="none"/>
        </w:tabs>
        <w:spacing w:line="240" w:lineRule="auto" w:before="1" w:after="0"/>
        <w:ind w:left="1230" w:right="0" w:hanging="794"/>
        <w:jc w:val="left"/>
        <w:rPr>
          <w:sz w:val="13"/>
        </w:rPr>
      </w:pPr>
      <w:r>
        <w:rPr>
          <w:w w:val="105"/>
          <w:sz w:val="13"/>
        </w:rPr>
        <w:t>Department</w:t>
      </w:r>
      <w:r>
        <w:rPr>
          <w:spacing w:val="8"/>
          <w:w w:val="105"/>
          <w:sz w:val="13"/>
        </w:rPr>
        <w:t> </w:t>
      </w:r>
      <w:r>
        <w:rPr>
          <w:w w:val="105"/>
          <w:sz w:val="13"/>
        </w:rPr>
        <w:t>of</w:t>
      </w:r>
      <w:r>
        <w:rPr>
          <w:spacing w:val="8"/>
          <w:w w:val="105"/>
          <w:sz w:val="13"/>
        </w:rPr>
        <w:t> </w:t>
      </w:r>
      <w:r>
        <w:rPr>
          <w:w w:val="105"/>
          <w:sz w:val="13"/>
        </w:rPr>
        <w:t>Justice</w:t>
      </w:r>
      <w:r>
        <w:rPr>
          <w:spacing w:val="8"/>
          <w:w w:val="105"/>
          <w:sz w:val="13"/>
        </w:rPr>
        <w:t> </w:t>
      </w:r>
      <w:r>
        <w:rPr>
          <w:w w:val="105"/>
          <w:sz w:val="13"/>
        </w:rPr>
        <w:t>and</w:t>
      </w:r>
      <w:r>
        <w:rPr>
          <w:spacing w:val="8"/>
          <w:w w:val="105"/>
          <w:sz w:val="13"/>
        </w:rPr>
        <w:t> </w:t>
      </w:r>
      <w:r>
        <w:rPr>
          <w:w w:val="105"/>
          <w:sz w:val="13"/>
        </w:rPr>
        <w:t>Regulation</w:t>
      </w:r>
      <w:r>
        <w:rPr>
          <w:spacing w:val="9"/>
          <w:w w:val="105"/>
          <w:sz w:val="13"/>
        </w:rPr>
        <w:t> </w:t>
      </w:r>
      <w:r>
        <w:rPr>
          <w:spacing w:val="2"/>
          <w:w w:val="105"/>
          <w:sz w:val="13"/>
        </w:rPr>
        <w:t>(Vic),</w:t>
      </w:r>
      <w:r>
        <w:rPr>
          <w:spacing w:val="8"/>
          <w:w w:val="105"/>
          <w:sz w:val="13"/>
        </w:rPr>
        <w:t> </w:t>
      </w:r>
      <w:r>
        <w:rPr>
          <w:i/>
          <w:w w:val="105"/>
          <w:sz w:val="13"/>
        </w:rPr>
        <w:t>Access</w:t>
      </w:r>
      <w:r>
        <w:rPr>
          <w:i/>
          <w:spacing w:val="8"/>
          <w:w w:val="105"/>
          <w:sz w:val="13"/>
        </w:rPr>
        <w:t> </w:t>
      </w:r>
      <w:r>
        <w:rPr>
          <w:i/>
          <w:w w:val="105"/>
          <w:sz w:val="13"/>
        </w:rPr>
        <w:t>to</w:t>
      </w:r>
      <w:r>
        <w:rPr>
          <w:i/>
          <w:spacing w:val="8"/>
          <w:w w:val="105"/>
          <w:sz w:val="13"/>
        </w:rPr>
        <w:t> </w:t>
      </w:r>
      <w:r>
        <w:rPr>
          <w:i/>
          <w:w w:val="105"/>
          <w:sz w:val="13"/>
        </w:rPr>
        <w:t>Justice</w:t>
      </w:r>
      <w:r>
        <w:rPr>
          <w:i/>
          <w:spacing w:val="8"/>
          <w:w w:val="105"/>
          <w:sz w:val="13"/>
        </w:rPr>
        <w:t> </w:t>
      </w:r>
      <w:r>
        <w:rPr>
          <w:i/>
          <w:w w:val="105"/>
          <w:sz w:val="13"/>
        </w:rPr>
        <w:t>Review</w:t>
      </w:r>
      <w:r>
        <w:rPr>
          <w:i/>
          <w:spacing w:val="9"/>
          <w:w w:val="105"/>
          <w:sz w:val="13"/>
        </w:rPr>
        <w:t> </w:t>
      </w:r>
      <w:r>
        <w:rPr>
          <w:i/>
          <w:w w:val="105"/>
          <w:sz w:val="13"/>
        </w:rPr>
        <w:t>Background</w:t>
      </w:r>
      <w:r>
        <w:rPr>
          <w:i/>
          <w:spacing w:val="8"/>
          <w:w w:val="105"/>
          <w:sz w:val="13"/>
        </w:rPr>
        <w:t> </w:t>
      </w:r>
      <w:r>
        <w:rPr>
          <w:i/>
          <w:w w:val="105"/>
          <w:sz w:val="13"/>
        </w:rPr>
        <w:t>Paper—Self-Represented</w:t>
      </w:r>
      <w:r>
        <w:rPr>
          <w:i/>
          <w:spacing w:val="8"/>
          <w:w w:val="105"/>
          <w:sz w:val="13"/>
        </w:rPr>
        <w:t> </w:t>
      </w:r>
      <w:r>
        <w:rPr>
          <w:i/>
          <w:w w:val="105"/>
          <w:sz w:val="13"/>
        </w:rPr>
        <w:t>Litigants</w:t>
      </w:r>
      <w:r>
        <w:rPr>
          <w:i/>
          <w:spacing w:val="9"/>
          <w:w w:val="105"/>
          <w:sz w:val="13"/>
        </w:rPr>
        <w:t> </w:t>
      </w:r>
      <w:r>
        <w:rPr>
          <w:spacing w:val="2"/>
          <w:w w:val="105"/>
          <w:sz w:val="13"/>
        </w:rPr>
        <w:t>(Report,</w:t>
      </w:r>
      <w:r>
        <w:rPr>
          <w:spacing w:val="9"/>
          <w:w w:val="105"/>
          <w:sz w:val="13"/>
        </w:rPr>
        <w:t> </w:t>
      </w:r>
      <w:r>
        <w:rPr>
          <w:w w:val="105"/>
          <w:sz w:val="13"/>
        </w:rPr>
        <w:t>2015)</w:t>
      </w:r>
      <w:r>
        <w:rPr>
          <w:spacing w:val="8"/>
          <w:w w:val="105"/>
          <w:sz w:val="13"/>
        </w:rPr>
        <w:t> </w:t>
      </w:r>
      <w:r>
        <w:rPr>
          <w:w w:val="105"/>
          <w:sz w:val="13"/>
        </w:rPr>
        <w:t>2.</w:t>
      </w:r>
    </w:p>
    <w:p>
      <w:pPr>
        <w:pStyle w:val="ListParagraph"/>
        <w:numPr>
          <w:ilvl w:val="0"/>
          <w:numId w:val="109"/>
        </w:numPr>
        <w:tabs>
          <w:tab w:pos="1230" w:val="left" w:leader="none"/>
          <w:tab w:pos="1231" w:val="left" w:leader="none"/>
        </w:tabs>
        <w:spacing w:line="240" w:lineRule="auto" w:before="2" w:after="0"/>
        <w:ind w:left="1230" w:right="0" w:hanging="794"/>
        <w:jc w:val="left"/>
        <w:rPr>
          <w:sz w:val="13"/>
        </w:rPr>
      </w:pPr>
      <w:r>
        <w:rPr>
          <w:w w:val="105"/>
          <w:sz w:val="13"/>
        </w:rPr>
        <w:t>Magistrates’ Court of Victoria, </w:t>
      </w:r>
      <w:r>
        <w:rPr>
          <w:i/>
          <w:w w:val="105"/>
          <w:sz w:val="13"/>
        </w:rPr>
        <w:t>Annual </w:t>
      </w:r>
      <w:r>
        <w:rPr>
          <w:i/>
          <w:spacing w:val="2"/>
          <w:w w:val="105"/>
          <w:sz w:val="13"/>
        </w:rPr>
        <w:t>Report </w:t>
      </w:r>
      <w:r>
        <w:rPr>
          <w:i/>
          <w:w w:val="105"/>
          <w:sz w:val="13"/>
        </w:rPr>
        <w:t>2015–2016 </w:t>
      </w:r>
      <w:r>
        <w:rPr>
          <w:w w:val="105"/>
          <w:sz w:val="13"/>
        </w:rPr>
        <w:t>(2016)</w:t>
      </w:r>
      <w:r>
        <w:rPr>
          <w:spacing w:val="5"/>
          <w:w w:val="105"/>
          <w:sz w:val="13"/>
        </w:rPr>
        <w:t> </w:t>
      </w:r>
      <w:r>
        <w:rPr>
          <w:w w:val="105"/>
          <w:sz w:val="13"/>
        </w:rPr>
        <w:t>26.</w:t>
      </w:r>
    </w:p>
    <w:p>
      <w:pPr>
        <w:spacing w:after="0" w:line="240" w:lineRule="auto"/>
        <w:jc w:val="left"/>
        <w:rPr>
          <w:sz w:val="13"/>
        </w:rPr>
        <w:sectPr>
          <w:type w:val="continuous"/>
          <w:pgSz w:w="11910" w:h="16840"/>
          <w:pgMar w:top="300" w:bottom="280" w:left="0" w:right="0"/>
          <w:cols w:num="2" w:equalWidth="0">
            <w:col w:w="1111" w:space="40"/>
            <w:col w:w="10759"/>
          </w:cols>
        </w:sectPr>
      </w:pPr>
    </w:p>
    <w:p>
      <w:pPr>
        <w:pStyle w:val="BodyText"/>
        <w:rPr>
          <w:sz w:val="20"/>
        </w:rPr>
      </w:pPr>
    </w:p>
    <w:p>
      <w:pPr>
        <w:pStyle w:val="BodyText"/>
        <w:spacing w:before="11"/>
        <w:rPr>
          <w:sz w:val="17"/>
        </w:rPr>
      </w:pPr>
    </w:p>
    <w:p>
      <w:pPr>
        <w:pStyle w:val="Heading5"/>
        <w:spacing w:before="96"/>
      </w:pPr>
      <w:bookmarkStart w:name="_bookmark74" w:id="164"/>
      <w:bookmarkEnd w:id="164"/>
      <w:r>
        <w:rPr>
          <w:b w:val="0"/>
        </w:rPr>
      </w:r>
      <w:r>
        <w:rPr>
          <w:w w:val="115"/>
        </w:rPr>
        <w:t>Victorian Civil and Administrative Tribunal (VCAT)</w:t>
      </w:r>
    </w:p>
    <w:p>
      <w:pPr>
        <w:pStyle w:val="ListParagraph"/>
        <w:numPr>
          <w:ilvl w:val="1"/>
          <w:numId w:val="16"/>
        </w:numPr>
        <w:tabs>
          <w:tab w:pos="2380" w:val="left" w:leader="none"/>
          <w:tab w:pos="2381" w:val="left" w:leader="none"/>
        </w:tabs>
        <w:spacing w:line="242" w:lineRule="auto" w:before="137" w:after="0"/>
        <w:ind w:left="2381" w:right="2084" w:hanging="794"/>
        <w:jc w:val="left"/>
        <w:rPr>
          <w:sz w:val="21"/>
        </w:rPr>
      </w:pPr>
      <w:r>
        <w:rPr>
          <w:spacing w:val="-5"/>
          <w:sz w:val="21"/>
        </w:rPr>
        <w:t>VCAT </w:t>
      </w:r>
      <w:r>
        <w:rPr>
          <w:sz w:val="21"/>
        </w:rPr>
        <w:t>hears and decides civil and </w:t>
      </w:r>
      <w:r>
        <w:rPr>
          <w:spacing w:val="-3"/>
          <w:sz w:val="21"/>
        </w:rPr>
        <w:t>administrative </w:t>
      </w:r>
      <w:r>
        <w:rPr>
          <w:sz w:val="21"/>
        </w:rPr>
        <w:t>cases in Victoria.</w:t>
      </w:r>
      <w:r>
        <w:rPr>
          <w:position w:val="7"/>
          <w:sz w:val="12"/>
        </w:rPr>
        <w:t>36 </w:t>
      </w:r>
      <w:r>
        <w:rPr>
          <w:sz w:val="21"/>
        </w:rPr>
        <w:t>It was established under the </w:t>
      </w:r>
      <w:r>
        <w:rPr>
          <w:i/>
          <w:sz w:val="21"/>
        </w:rPr>
        <w:t>Victorian Civil and </w:t>
      </w:r>
      <w:r>
        <w:rPr>
          <w:i/>
          <w:spacing w:val="-3"/>
          <w:sz w:val="21"/>
        </w:rPr>
        <w:t>Administrative </w:t>
      </w:r>
      <w:r>
        <w:rPr>
          <w:i/>
          <w:spacing w:val="-4"/>
          <w:sz w:val="21"/>
        </w:rPr>
        <w:t>Tribunal </w:t>
      </w:r>
      <w:r>
        <w:rPr>
          <w:i/>
          <w:sz w:val="21"/>
        </w:rPr>
        <w:t>Act </w:t>
      </w:r>
      <w:r>
        <w:rPr>
          <w:i/>
          <w:spacing w:val="-4"/>
          <w:sz w:val="21"/>
        </w:rPr>
        <w:t>1998</w:t>
      </w:r>
      <w:r>
        <w:rPr>
          <w:spacing w:val="-4"/>
          <w:sz w:val="21"/>
        </w:rPr>
        <w:t>.</w:t>
      </w:r>
      <w:r>
        <w:rPr>
          <w:spacing w:val="-4"/>
          <w:position w:val="7"/>
          <w:sz w:val="12"/>
        </w:rPr>
        <w:t>37 </w:t>
      </w:r>
      <w:r>
        <w:rPr>
          <w:spacing w:val="-5"/>
          <w:sz w:val="21"/>
        </w:rPr>
        <w:t>VCAT </w:t>
      </w:r>
      <w:r>
        <w:rPr>
          <w:sz w:val="21"/>
        </w:rPr>
        <w:t>is a </w:t>
      </w:r>
      <w:r>
        <w:rPr>
          <w:spacing w:val="-3"/>
          <w:sz w:val="21"/>
        </w:rPr>
        <w:t>‘modern, accessible, </w:t>
      </w:r>
      <w:r>
        <w:rPr>
          <w:sz w:val="21"/>
        </w:rPr>
        <w:t>efficient, cost-effective, and independent judicially-governed</w:t>
      </w:r>
      <w:r>
        <w:rPr>
          <w:spacing w:val="42"/>
          <w:sz w:val="21"/>
        </w:rPr>
        <w:t> </w:t>
      </w:r>
      <w:r>
        <w:rPr>
          <w:spacing w:val="-4"/>
          <w:sz w:val="21"/>
        </w:rPr>
        <w:t>tribunal’.</w:t>
      </w:r>
      <w:r>
        <w:rPr>
          <w:spacing w:val="-4"/>
          <w:position w:val="7"/>
          <w:sz w:val="12"/>
        </w:rPr>
        <w:t>38</w:t>
      </w:r>
    </w:p>
    <w:p>
      <w:pPr>
        <w:pStyle w:val="ListParagraph"/>
        <w:numPr>
          <w:ilvl w:val="1"/>
          <w:numId w:val="16"/>
        </w:numPr>
        <w:tabs>
          <w:tab w:pos="2381" w:val="left" w:leader="none"/>
          <w:tab w:pos="2382" w:val="left" w:leader="none"/>
        </w:tabs>
        <w:spacing w:line="242" w:lineRule="auto" w:before="123" w:after="0"/>
        <w:ind w:left="2381" w:right="2251" w:hanging="794"/>
        <w:jc w:val="left"/>
        <w:rPr>
          <w:sz w:val="21"/>
        </w:rPr>
      </w:pPr>
      <w:r>
        <w:rPr>
          <w:spacing w:val="-5"/>
          <w:w w:val="105"/>
          <w:sz w:val="21"/>
        </w:rPr>
        <w:t>VCAT </w:t>
      </w:r>
      <w:r>
        <w:rPr>
          <w:w w:val="105"/>
          <w:sz w:val="21"/>
        </w:rPr>
        <w:t>does </w:t>
      </w:r>
      <w:r>
        <w:rPr>
          <w:spacing w:val="-2"/>
          <w:w w:val="105"/>
          <w:sz w:val="21"/>
        </w:rPr>
        <w:t>not </w:t>
      </w:r>
      <w:r>
        <w:rPr>
          <w:spacing w:val="-3"/>
          <w:w w:val="105"/>
          <w:sz w:val="21"/>
        </w:rPr>
        <w:t>currently have </w:t>
      </w:r>
      <w:r>
        <w:rPr>
          <w:w w:val="105"/>
          <w:sz w:val="21"/>
        </w:rPr>
        <w:t>jurisdiction </w:t>
      </w:r>
      <w:r>
        <w:rPr>
          <w:spacing w:val="-3"/>
          <w:w w:val="105"/>
          <w:sz w:val="21"/>
        </w:rPr>
        <w:t>to </w:t>
      </w:r>
      <w:r>
        <w:rPr>
          <w:w w:val="105"/>
          <w:sz w:val="21"/>
        </w:rPr>
        <w:t>hear </w:t>
      </w:r>
      <w:r>
        <w:rPr>
          <w:spacing w:val="-3"/>
          <w:w w:val="105"/>
          <w:sz w:val="21"/>
        </w:rPr>
        <w:t>private </w:t>
      </w:r>
      <w:r>
        <w:rPr>
          <w:w w:val="105"/>
          <w:sz w:val="21"/>
        </w:rPr>
        <w:t>tree </w:t>
      </w:r>
      <w:r>
        <w:rPr>
          <w:spacing w:val="-3"/>
          <w:w w:val="105"/>
          <w:sz w:val="21"/>
        </w:rPr>
        <w:t>disputes </w:t>
      </w:r>
      <w:r>
        <w:rPr>
          <w:w w:val="105"/>
          <w:sz w:val="21"/>
        </w:rPr>
        <w:t>between neighbours</w:t>
      </w:r>
      <w:r>
        <w:rPr>
          <w:spacing w:val="-6"/>
          <w:w w:val="105"/>
          <w:sz w:val="21"/>
        </w:rPr>
        <w:t> </w:t>
      </w:r>
      <w:r>
        <w:rPr>
          <w:w w:val="105"/>
          <w:sz w:val="21"/>
        </w:rPr>
        <w:t>at</w:t>
      </w:r>
      <w:r>
        <w:rPr>
          <w:spacing w:val="-5"/>
          <w:w w:val="105"/>
          <w:sz w:val="21"/>
        </w:rPr>
        <w:t> </w:t>
      </w:r>
      <w:r>
        <w:rPr>
          <w:spacing w:val="-2"/>
          <w:w w:val="105"/>
          <w:sz w:val="21"/>
        </w:rPr>
        <w:t>common</w:t>
      </w:r>
      <w:r>
        <w:rPr>
          <w:spacing w:val="-5"/>
          <w:w w:val="105"/>
          <w:sz w:val="21"/>
        </w:rPr>
        <w:t> </w:t>
      </w:r>
      <w:r>
        <w:rPr>
          <w:w w:val="105"/>
          <w:sz w:val="21"/>
        </w:rPr>
        <w:t>law</w:t>
      </w:r>
      <w:r>
        <w:rPr>
          <w:spacing w:val="-5"/>
          <w:w w:val="105"/>
          <w:sz w:val="21"/>
        </w:rPr>
        <w:t> </w:t>
      </w:r>
      <w:r>
        <w:rPr>
          <w:w w:val="105"/>
          <w:sz w:val="21"/>
        </w:rPr>
        <w:t>because</w:t>
      </w:r>
      <w:r>
        <w:rPr>
          <w:spacing w:val="-5"/>
          <w:w w:val="105"/>
          <w:sz w:val="21"/>
        </w:rPr>
        <w:t> VCAT </w:t>
      </w:r>
      <w:r>
        <w:rPr>
          <w:w w:val="105"/>
          <w:sz w:val="21"/>
        </w:rPr>
        <w:t>only</w:t>
      </w:r>
      <w:r>
        <w:rPr>
          <w:spacing w:val="-5"/>
          <w:w w:val="105"/>
          <w:sz w:val="21"/>
        </w:rPr>
        <w:t> </w:t>
      </w:r>
      <w:r>
        <w:rPr>
          <w:w w:val="105"/>
          <w:sz w:val="21"/>
        </w:rPr>
        <w:t>derives</w:t>
      </w:r>
      <w:r>
        <w:rPr>
          <w:spacing w:val="-5"/>
          <w:w w:val="105"/>
          <w:sz w:val="21"/>
        </w:rPr>
        <w:t> </w:t>
      </w:r>
      <w:r>
        <w:rPr>
          <w:w w:val="105"/>
          <w:sz w:val="21"/>
        </w:rPr>
        <w:t>its</w:t>
      </w:r>
      <w:r>
        <w:rPr>
          <w:spacing w:val="-5"/>
          <w:w w:val="105"/>
          <w:sz w:val="21"/>
        </w:rPr>
        <w:t> </w:t>
      </w:r>
      <w:r>
        <w:rPr>
          <w:w w:val="105"/>
          <w:sz w:val="21"/>
        </w:rPr>
        <w:t>jurisdiction</w:t>
      </w:r>
      <w:r>
        <w:rPr>
          <w:spacing w:val="-6"/>
          <w:w w:val="105"/>
          <w:sz w:val="21"/>
        </w:rPr>
        <w:t> </w:t>
      </w:r>
      <w:r>
        <w:rPr>
          <w:spacing w:val="-3"/>
          <w:w w:val="105"/>
          <w:sz w:val="21"/>
        </w:rPr>
        <w:t>from</w:t>
      </w:r>
      <w:r>
        <w:rPr>
          <w:spacing w:val="-5"/>
          <w:w w:val="105"/>
          <w:sz w:val="21"/>
        </w:rPr>
        <w:t> </w:t>
      </w:r>
      <w:r>
        <w:rPr>
          <w:w w:val="105"/>
          <w:sz w:val="21"/>
        </w:rPr>
        <w:t>Acts</w:t>
      </w:r>
      <w:r>
        <w:rPr>
          <w:spacing w:val="-5"/>
          <w:w w:val="105"/>
          <w:sz w:val="21"/>
        </w:rPr>
        <w:t> </w:t>
      </w:r>
      <w:r>
        <w:rPr>
          <w:w w:val="105"/>
          <w:sz w:val="21"/>
        </w:rPr>
        <w:t>of </w:t>
      </w:r>
      <w:r>
        <w:rPr>
          <w:spacing w:val="-3"/>
          <w:w w:val="105"/>
          <w:sz w:val="21"/>
        </w:rPr>
        <w:t>parliament.</w:t>
      </w:r>
      <w:r>
        <w:rPr>
          <w:spacing w:val="-3"/>
          <w:w w:val="105"/>
          <w:position w:val="7"/>
          <w:sz w:val="12"/>
        </w:rPr>
        <w:t>39</w:t>
      </w:r>
    </w:p>
    <w:p>
      <w:pPr>
        <w:pStyle w:val="ListParagraph"/>
        <w:numPr>
          <w:ilvl w:val="1"/>
          <w:numId w:val="16"/>
        </w:numPr>
        <w:tabs>
          <w:tab w:pos="2381" w:val="left" w:leader="none"/>
          <w:tab w:pos="2382" w:val="left" w:leader="none"/>
        </w:tabs>
        <w:spacing w:line="242" w:lineRule="auto" w:before="123" w:after="0"/>
        <w:ind w:left="2381" w:right="1803" w:hanging="794"/>
        <w:jc w:val="left"/>
        <w:rPr>
          <w:sz w:val="21"/>
        </w:rPr>
      </w:pPr>
      <w:r>
        <w:rPr>
          <w:spacing w:val="-5"/>
          <w:sz w:val="21"/>
        </w:rPr>
        <w:t>VCAT </w:t>
      </w:r>
      <w:r>
        <w:rPr>
          <w:sz w:val="21"/>
        </w:rPr>
        <w:t>comprises </w:t>
      </w:r>
      <w:r>
        <w:rPr>
          <w:spacing w:val="-3"/>
          <w:sz w:val="21"/>
        </w:rPr>
        <w:t>four main </w:t>
      </w:r>
      <w:r>
        <w:rPr>
          <w:sz w:val="21"/>
        </w:rPr>
        <w:t>divisions: the </w:t>
      </w:r>
      <w:r>
        <w:rPr>
          <w:spacing w:val="-3"/>
          <w:sz w:val="21"/>
        </w:rPr>
        <w:t>Administrative Division, </w:t>
      </w:r>
      <w:r>
        <w:rPr>
          <w:sz w:val="21"/>
        </w:rPr>
        <w:t>the </w:t>
      </w:r>
      <w:r>
        <w:rPr>
          <w:spacing w:val="-3"/>
          <w:sz w:val="21"/>
        </w:rPr>
        <w:t>Civil Division, </w:t>
      </w:r>
      <w:r>
        <w:rPr>
          <w:sz w:val="21"/>
        </w:rPr>
        <w:t>the </w:t>
      </w:r>
      <w:r>
        <w:rPr>
          <w:spacing w:val="-3"/>
          <w:sz w:val="21"/>
        </w:rPr>
        <w:t>Human </w:t>
      </w:r>
      <w:r>
        <w:rPr>
          <w:sz w:val="21"/>
        </w:rPr>
        <w:t>Rights Division and the </w:t>
      </w:r>
      <w:r>
        <w:rPr>
          <w:spacing w:val="-3"/>
          <w:sz w:val="21"/>
        </w:rPr>
        <w:t>Residential </w:t>
      </w:r>
      <w:r>
        <w:rPr>
          <w:spacing w:val="-4"/>
          <w:sz w:val="21"/>
        </w:rPr>
        <w:t>Tenancies </w:t>
      </w:r>
      <w:r>
        <w:rPr>
          <w:sz w:val="21"/>
        </w:rPr>
        <w:t>Division.</w:t>
      </w:r>
      <w:r>
        <w:rPr>
          <w:position w:val="7"/>
          <w:sz w:val="12"/>
        </w:rPr>
        <w:t>40  </w:t>
      </w:r>
      <w:r>
        <w:rPr>
          <w:spacing w:val="-4"/>
          <w:sz w:val="21"/>
        </w:rPr>
        <w:t>Claims  </w:t>
      </w:r>
      <w:r>
        <w:rPr>
          <w:spacing w:val="-3"/>
          <w:sz w:val="21"/>
        </w:rPr>
        <w:t>before  </w:t>
      </w:r>
      <w:r>
        <w:rPr>
          <w:spacing w:val="-5"/>
          <w:sz w:val="21"/>
        </w:rPr>
        <w:t>VCAT  </w:t>
      </w:r>
      <w:r>
        <w:rPr>
          <w:sz w:val="21"/>
        </w:rPr>
        <w:t>can  be monetary and nonmonetary in</w:t>
      </w:r>
      <w:r>
        <w:rPr>
          <w:spacing w:val="44"/>
          <w:sz w:val="21"/>
        </w:rPr>
        <w:t> </w:t>
      </w:r>
      <w:r>
        <w:rPr>
          <w:spacing w:val="-4"/>
          <w:sz w:val="21"/>
        </w:rPr>
        <w:t>nature.</w:t>
      </w:r>
    </w:p>
    <w:p>
      <w:pPr>
        <w:pStyle w:val="ListParagraph"/>
        <w:numPr>
          <w:ilvl w:val="1"/>
          <w:numId w:val="16"/>
        </w:numPr>
        <w:tabs>
          <w:tab w:pos="2381" w:val="left" w:leader="none"/>
          <w:tab w:pos="2382" w:val="left" w:leader="none"/>
        </w:tabs>
        <w:spacing w:line="242" w:lineRule="auto" w:before="124" w:after="0"/>
        <w:ind w:left="2381" w:right="2209" w:hanging="794"/>
        <w:jc w:val="left"/>
        <w:rPr>
          <w:sz w:val="21"/>
        </w:rPr>
      </w:pPr>
      <w:r>
        <w:rPr>
          <w:w w:val="105"/>
          <w:sz w:val="21"/>
        </w:rPr>
        <w:t>The</w:t>
      </w:r>
      <w:r>
        <w:rPr>
          <w:spacing w:val="-12"/>
          <w:w w:val="105"/>
          <w:sz w:val="21"/>
        </w:rPr>
        <w:t> </w:t>
      </w:r>
      <w:r>
        <w:rPr>
          <w:spacing w:val="-3"/>
          <w:w w:val="105"/>
          <w:sz w:val="21"/>
        </w:rPr>
        <w:t>Civil</w:t>
      </w:r>
      <w:r>
        <w:rPr>
          <w:spacing w:val="-12"/>
          <w:w w:val="105"/>
          <w:sz w:val="21"/>
        </w:rPr>
        <w:t> </w:t>
      </w:r>
      <w:r>
        <w:rPr>
          <w:w w:val="105"/>
          <w:sz w:val="21"/>
        </w:rPr>
        <w:t>Division</w:t>
      </w:r>
      <w:r>
        <w:rPr>
          <w:spacing w:val="-11"/>
          <w:w w:val="105"/>
          <w:sz w:val="21"/>
        </w:rPr>
        <w:t> </w:t>
      </w:r>
      <w:r>
        <w:rPr>
          <w:w w:val="105"/>
          <w:sz w:val="21"/>
        </w:rPr>
        <w:t>deals</w:t>
      </w:r>
      <w:r>
        <w:rPr>
          <w:spacing w:val="-12"/>
          <w:w w:val="105"/>
          <w:sz w:val="21"/>
        </w:rPr>
        <w:t> </w:t>
      </w:r>
      <w:r>
        <w:rPr>
          <w:w w:val="105"/>
          <w:sz w:val="21"/>
        </w:rPr>
        <w:t>largely</w:t>
      </w:r>
      <w:r>
        <w:rPr>
          <w:spacing w:val="-11"/>
          <w:w w:val="105"/>
          <w:sz w:val="21"/>
        </w:rPr>
        <w:t> </w:t>
      </w:r>
      <w:r>
        <w:rPr>
          <w:w w:val="105"/>
          <w:sz w:val="21"/>
        </w:rPr>
        <w:t>with</w:t>
      </w:r>
      <w:r>
        <w:rPr>
          <w:spacing w:val="-12"/>
          <w:w w:val="105"/>
          <w:sz w:val="21"/>
        </w:rPr>
        <w:t> </w:t>
      </w:r>
      <w:r>
        <w:rPr>
          <w:w w:val="105"/>
          <w:sz w:val="21"/>
        </w:rPr>
        <w:t>monetary</w:t>
      </w:r>
      <w:r>
        <w:rPr>
          <w:spacing w:val="-11"/>
          <w:w w:val="105"/>
          <w:sz w:val="21"/>
        </w:rPr>
        <w:t> </w:t>
      </w:r>
      <w:r>
        <w:rPr>
          <w:spacing w:val="-3"/>
          <w:w w:val="105"/>
          <w:sz w:val="21"/>
        </w:rPr>
        <w:t>claims.</w:t>
      </w:r>
      <w:r>
        <w:rPr>
          <w:spacing w:val="-12"/>
          <w:w w:val="105"/>
          <w:sz w:val="21"/>
        </w:rPr>
        <w:t> </w:t>
      </w:r>
      <w:r>
        <w:rPr>
          <w:w w:val="105"/>
          <w:sz w:val="21"/>
        </w:rPr>
        <w:t>It</w:t>
      </w:r>
      <w:r>
        <w:rPr>
          <w:spacing w:val="-11"/>
          <w:w w:val="105"/>
          <w:sz w:val="21"/>
        </w:rPr>
        <w:t> </w:t>
      </w:r>
      <w:r>
        <w:rPr>
          <w:w w:val="105"/>
          <w:sz w:val="21"/>
        </w:rPr>
        <w:t>hears</w:t>
      </w:r>
      <w:r>
        <w:rPr>
          <w:spacing w:val="-12"/>
          <w:w w:val="105"/>
          <w:sz w:val="21"/>
        </w:rPr>
        <w:t> </w:t>
      </w:r>
      <w:r>
        <w:rPr>
          <w:spacing w:val="-3"/>
          <w:w w:val="105"/>
          <w:sz w:val="21"/>
        </w:rPr>
        <w:t>disputes</w:t>
      </w:r>
      <w:r>
        <w:rPr>
          <w:spacing w:val="-11"/>
          <w:w w:val="105"/>
          <w:sz w:val="21"/>
        </w:rPr>
        <w:t> </w:t>
      </w:r>
      <w:r>
        <w:rPr>
          <w:w w:val="105"/>
          <w:sz w:val="21"/>
        </w:rPr>
        <w:t>over</w:t>
      </w:r>
      <w:r>
        <w:rPr>
          <w:spacing w:val="-12"/>
          <w:w w:val="105"/>
          <w:sz w:val="21"/>
        </w:rPr>
        <w:t> </w:t>
      </w:r>
      <w:r>
        <w:rPr>
          <w:w w:val="105"/>
          <w:sz w:val="21"/>
        </w:rPr>
        <w:t>matters </w:t>
      </w:r>
      <w:r>
        <w:rPr>
          <w:spacing w:val="-3"/>
          <w:w w:val="105"/>
          <w:sz w:val="21"/>
        </w:rPr>
        <w:t>such </w:t>
      </w:r>
      <w:r>
        <w:rPr>
          <w:w w:val="105"/>
          <w:sz w:val="21"/>
        </w:rPr>
        <w:t>as </w:t>
      </w:r>
      <w:r>
        <w:rPr>
          <w:spacing w:val="-3"/>
          <w:w w:val="105"/>
          <w:sz w:val="21"/>
        </w:rPr>
        <w:t>consumer </w:t>
      </w:r>
      <w:r>
        <w:rPr>
          <w:w w:val="105"/>
          <w:sz w:val="21"/>
        </w:rPr>
        <w:t>issues, domestic </w:t>
      </w:r>
      <w:r>
        <w:rPr>
          <w:spacing w:val="-3"/>
          <w:w w:val="105"/>
          <w:sz w:val="21"/>
        </w:rPr>
        <w:t>building </w:t>
      </w:r>
      <w:r>
        <w:rPr>
          <w:w w:val="105"/>
          <w:sz w:val="21"/>
        </w:rPr>
        <w:t>works, owners’ </w:t>
      </w:r>
      <w:r>
        <w:rPr>
          <w:spacing w:val="-3"/>
          <w:w w:val="105"/>
          <w:sz w:val="21"/>
        </w:rPr>
        <w:t>corporations </w:t>
      </w:r>
      <w:r>
        <w:rPr>
          <w:w w:val="105"/>
          <w:sz w:val="21"/>
        </w:rPr>
        <w:t>matters, </w:t>
      </w:r>
      <w:r>
        <w:rPr>
          <w:spacing w:val="-3"/>
          <w:w w:val="105"/>
          <w:sz w:val="21"/>
        </w:rPr>
        <w:t>retail</w:t>
      </w:r>
      <w:r>
        <w:rPr>
          <w:spacing w:val="-7"/>
          <w:w w:val="105"/>
          <w:sz w:val="21"/>
        </w:rPr>
        <w:t> </w:t>
      </w:r>
      <w:r>
        <w:rPr>
          <w:spacing w:val="-3"/>
          <w:w w:val="105"/>
          <w:sz w:val="21"/>
        </w:rPr>
        <w:t>tenancies,</w:t>
      </w:r>
      <w:r>
        <w:rPr>
          <w:spacing w:val="-6"/>
          <w:w w:val="105"/>
          <w:sz w:val="21"/>
        </w:rPr>
        <w:t> </w:t>
      </w:r>
      <w:r>
        <w:rPr>
          <w:w w:val="105"/>
          <w:sz w:val="21"/>
        </w:rPr>
        <w:t>sale</w:t>
      </w:r>
      <w:r>
        <w:rPr>
          <w:spacing w:val="-7"/>
          <w:w w:val="105"/>
          <w:sz w:val="21"/>
        </w:rPr>
        <w:t> </w:t>
      </w:r>
      <w:r>
        <w:rPr>
          <w:w w:val="105"/>
          <w:sz w:val="21"/>
        </w:rPr>
        <w:t>and</w:t>
      </w:r>
      <w:r>
        <w:rPr>
          <w:spacing w:val="-6"/>
          <w:w w:val="105"/>
          <w:sz w:val="21"/>
        </w:rPr>
        <w:t> </w:t>
      </w:r>
      <w:r>
        <w:rPr>
          <w:w w:val="105"/>
          <w:sz w:val="21"/>
        </w:rPr>
        <w:t>ownership</w:t>
      </w:r>
      <w:r>
        <w:rPr>
          <w:spacing w:val="-7"/>
          <w:w w:val="105"/>
          <w:sz w:val="21"/>
        </w:rPr>
        <w:t> </w:t>
      </w:r>
      <w:r>
        <w:rPr>
          <w:w w:val="105"/>
          <w:sz w:val="21"/>
        </w:rPr>
        <w:t>of</w:t>
      </w:r>
      <w:r>
        <w:rPr>
          <w:spacing w:val="-6"/>
          <w:w w:val="105"/>
          <w:sz w:val="21"/>
        </w:rPr>
        <w:t> </w:t>
      </w:r>
      <w:r>
        <w:rPr>
          <w:w w:val="105"/>
          <w:sz w:val="21"/>
        </w:rPr>
        <w:t>property,</w:t>
      </w:r>
      <w:r>
        <w:rPr>
          <w:spacing w:val="-7"/>
          <w:w w:val="105"/>
          <w:sz w:val="21"/>
        </w:rPr>
        <w:t> </w:t>
      </w:r>
      <w:r>
        <w:rPr>
          <w:w w:val="105"/>
          <w:sz w:val="21"/>
        </w:rPr>
        <w:t>and</w:t>
      </w:r>
      <w:r>
        <w:rPr>
          <w:spacing w:val="-6"/>
          <w:w w:val="105"/>
          <w:sz w:val="21"/>
        </w:rPr>
        <w:t> </w:t>
      </w:r>
      <w:r>
        <w:rPr>
          <w:w w:val="105"/>
          <w:sz w:val="21"/>
        </w:rPr>
        <w:t>use</w:t>
      </w:r>
      <w:r>
        <w:rPr>
          <w:spacing w:val="-7"/>
          <w:w w:val="105"/>
          <w:sz w:val="21"/>
        </w:rPr>
        <w:t> </w:t>
      </w:r>
      <w:r>
        <w:rPr>
          <w:w w:val="105"/>
          <w:sz w:val="21"/>
        </w:rPr>
        <w:t>or</w:t>
      </w:r>
      <w:r>
        <w:rPr>
          <w:spacing w:val="-6"/>
          <w:w w:val="105"/>
          <w:sz w:val="21"/>
        </w:rPr>
        <w:t> </w:t>
      </w:r>
      <w:r>
        <w:rPr>
          <w:w w:val="105"/>
          <w:sz w:val="21"/>
        </w:rPr>
        <w:t>flow</w:t>
      </w:r>
      <w:r>
        <w:rPr>
          <w:spacing w:val="-7"/>
          <w:w w:val="105"/>
          <w:sz w:val="21"/>
        </w:rPr>
        <w:t> </w:t>
      </w:r>
      <w:r>
        <w:rPr>
          <w:w w:val="105"/>
          <w:sz w:val="21"/>
        </w:rPr>
        <w:t>of</w:t>
      </w:r>
      <w:r>
        <w:rPr>
          <w:spacing w:val="-6"/>
          <w:w w:val="105"/>
          <w:sz w:val="21"/>
        </w:rPr>
        <w:t> </w:t>
      </w:r>
      <w:r>
        <w:rPr>
          <w:spacing w:val="-3"/>
          <w:w w:val="105"/>
          <w:sz w:val="21"/>
        </w:rPr>
        <w:t>water</w:t>
      </w:r>
      <w:r>
        <w:rPr>
          <w:spacing w:val="-7"/>
          <w:w w:val="105"/>
          <w:sz w:val="21"/>
        </w:rPr>
        <w:t> </w:t>
      </w:r>
      <w:r>
        <w:rPr>
          <w:w w:val="105"/>
          <w:sz w:val="21"/>
        </w:rPr>
        <w:t>between properties.</w:t>
      </w:r>
      <w:r>
        <w:rPr>
          <w:w w:val="105"/>
          <w:position w:val="7"/>
          <w:sz w:val="12"/>
        </w:rPr>
        <w:t>41 </w:t>
      </w:r>
      <w:r>
        <w:rPr>
          <w:w w:val="105"/>
          <w:sz w:val="21"/>
        </w:rPr>
        <w:t>Although </w:t>
      </w:r>
      <w:r>
        <w:rPr>
          <w:spacing w:val="-5"/>
          <w:w w:val="105"/>
          <w:sz w:val="21"/>
        </w:rPr>
        <w:t>VCAT </w:t>
      </w:r>
      <w:r>
        <w:rPr>
          <w:w w:val="105"/>
          <w:sz w:val="21"/>
        </w:rPr>
        <w:t>is known </w:t>
      </w:r>
      <w:r>
        <w:rPr>
          <w:spacing w:val="-3"/>
          <w:w w:val="105"/>
          <w:sz w:val="21"/>
        </w:rPr>
        <w:t>for handling smaller </w:t>
      </w:r>
      <w:r>
        <w:rPr>
          <w:w w:val="105"/>
          <w:sz w:val="21"/>
        </w:rPr>
        <w:t>civil </w:t>
      </w:r>
      <w:r>
        <w:rPr>
          <w:spacing w:val="-3"/>
          <w:w w:val="105"/>
          <w:sz w:val="21"/>
        </w:rPr>
        <w:t>claims,</w:t>
      </w:r>
      <w:r>
        <w:rPr>
          <w:spacing w:val="-3"/>
          <w:w w:val="105"/>
          <w:position w:val="7"/>
          <w:sz w:val="12"/>
        </w:rPr>
        <w:t>42 </w:t>
      </w:r>
      <w:r>
        <w:rPr>
          <w:w w:val="105"/>
          <w:sz w:val="21"/>
        </w:rPr>
        <w:t>there is</w:t>
      </w:r>
      <w:r>
        <w:rPr>
          <w:spacing w:val="-2"/>
          <w:w w:val="105"/>
          <w:sz w:val="21"/>
        </w:rPr>
        <w:t> </w:t>
      </w:r>
      <w:r>
        <w:rPr>
          <w:w w:val="105"/>
          <w:sz w:val="21"/>
        </w:rPr>
        <w:t>no</w:t>
      </w:r>
    </w:p>
    <w:p>
      <w:pPr>
        <w:pStyle w:val="BodyText"/>
        <w:spacing w:line="242" w:lineRule="auto" w:before="4"/>
        <w:ind w:left="2381" w:right="1671" w:hanging="1"/>
      </w:pPr>
      <w:r>
        <w:rPr>
          <w:w w:val="105"/>
        </w:rPr>
        <w:t>limit on the amount that can be claimed in the Civil Division</w:t>
      </w:r>
      <w:r>
        <w:rPr>
          <w:w w:val="105"/>
          <w:position w:val="7"/>
          <w:sz w:val="12"/>
        </w:rPr>
        <w:t>43</w:t>
      </w:r>
      <w:r>
        <w:rPr>
          <w:w w:val="105"/>
        </w:rPr>
        <w:t>—VCAT may hear complex and high-value claims.</w:t>
      </w:r>
    </w:p>
    <w:p>
      <w:pPr>
        <w:pStyle w:val="Heading7"/>
        <w:spacing w:before="153"/>
      </w:pPr>
      <w:r>
        <w:rPr>
          <w:w w:val="115"/>
        </w:rPr>
        <w:t>Fees—VCAT</w:t>
      </w:r>
    </w:p>
    <w:p>
      <w:pPr>
        <w:pStyle w:val="ListParagraph"/>
        <w:numPr>
          <w:ilvl w:val="1"/>
          <w:numId w:val="16"/>
        </w:numPr>
        <w:tabs>
          <w:tab w:pos="2381" w:val="left" w:leader="none"/>
          <w:tab w:pos="2382" w:val="left" w:leader="none"/>
        </w:tabs>
        <w:spacing w:line="242" w:lineRule="auto" w:before="142" w:after="0"/>
        <w:ind w:left="2381" w:right="1589" w:hanging="794"/>
        <w:jc w:val="left"/>
        <w:rPr>
          <w:sz w:val="21"/>
        </w:rPr>
      </w:pPr>
      <w:r>
        <w:rPr>
          <w:w w:val="105"/>
          <w:sz w:val="21"/>
        </w:rPr>
        <w:t>Fees </w:t>
      </w:r>
      <w:r>
        <w:rPr>
          <w:spacing w:val="-3"/>
          <w:w w:val="105"/>
          <w:sz w:val="21"/>
        </w:rPr>
        <w:t>are </w:t>
      </w:r>
      <w:r>
        <w:rPr>
          <w:spacing w:val="-2"/>
          <w:w w:val="105"/>
          <w:sz w:val="21"/>
        </w:rPr>
        <w:t>significantly </w:t>
      </w:r>
      <w:r>
        <w:rPr>
          <w:w w:val="105"/>
          <w:sz w:val="21"/>
        </w:rPr>
        <w:t>lower </w:t>
      </w:r>
      <w:r>
        <w:rPr>
          <w:spacing w:val="-3"/>
          <w:w w:val="105"/>
          <w:sz w:val="21"/>
        </w:rPr>
        <w:t>than </w:t>
      </w:r>
      <w:r>
        <w:rPr>
          <w:w w:val="105"/>
          <w:sz w:val="21"/>
        </w:rPr>
        <w:t>in the courts. An example of an application fee in </w:t>
      </w:r>
      <w:r>
        <w:rPr>
          <w:spacing w:val="-5"/>
          <w:w w:val="105"/>
          <w:sz w:val="21"/>
        </w:rPr>
        <w:t>VCAT </w:t>
      </w:r>
      <w:r>
        <w:rPr>
          <w:w w:val="105"/>
          <w:sz w:val="21"/>
        </w:rPr>
        <w:t>is </w:t>
      </w:r>
      <w:r>
        <w:rPr>
          <w:spacing w:val="-4"/>
          <w:w w:val="105"/>
          <w:sz w:val="21"/>
        </w:rPr>
        <w:t>$63.70 </w:t>
      </w:r>
      <w:r>
        <w:rPr>
          <w:spacing w:val="-3"/>
          <w:w w:val="105"/>
          <w:sz w:val="21"/>
        </w:rPr>
        <w:t>for </w:t>
      </w:r>
      <w:r>
        <w:rPr>
          <w:w w:val="105"/>
          <w:sz w:val="21"/>
        </w:rPr>
        <w:t>an owners’ </w:t>
      </w:r>
      <w:r>
        <w:rPr>
          <w:spacing w:val="-3"/>
          <w:w w:val="105"/>
          <w:sz w:val="21"/>
        </w:rPr>
        <w:t>corporation, rent, </w:t>
      </w:r>
      <w:r>
        <w:rPr>
          <w:w w:val="105"/>
          <w:sz w:val="21"/>
        </w:rPr>
        <w:t>or goods and services </w:t>
      </w:r>
      <w:r>
        <w:rPr>
          <w:spacing w:val="-2"/>
          <w:w w:val="105"/>
          <w:sz w:val="21"/>
        </w:rPr>
        <w:t>dispute.</w:t>
      </w:r>
      <w:r>
        <w:rPr>
          <w:spacing w:val="-2"/>
          <w:w w:val="105"/>
          <w:position w:val="7"/>
          <w:sz w:val="12"/>
        </w:rPr>
        <w:t>44 </w:t>
      </w:r>
      <w:r>
        <w:rPr>
          <w:w w:val="105"/>
          <w:sz w:val="21"/>
        </w:rPr>
        <w:t>This is waived if the </w:t>
      </w:r>
      <w:r>
        <w:rPr>
          <w:spacing w:val="-3"/>
          <w:w w:val="105"/>
          <w:sz w:val="21"/>
        </w:rPr>
        <w:t>applicant </w:t>
      </w:r>
      <w:r>
        <w:rPr>
          <w:w w:val="105"/>
          <w:sz w:val="21"/>
        </w:rPr>
        <w:t>holds a </w:t>
      </w:r>
      <w:r>
        <w:rPr>
          <w:spacing w:val="-3"/>
          <w:w w:val="105"/>
          <w:sz w:val="21"/>
        </w:rPr>
        <w:t>health </w:t>
      </w:r>
      <w:r>
        <w:rPr>
          <w:w w:val="105"/>
          <w:sz w:val="21"/>
        </w:rPr>
        <w:t>care card and the </w:t>
      </w:r>
      <w:r>
        <w:rPr>
          <w:spacing w:val="-3"/>
          <w:w w:val="105"/>
          <w:sz w:val="21"/>
        </w:rPr>
        <w:t>claim </w:t>
      </w:r>
      <w:r>
        <w:rPr>
          <w:w w:val="105"/>
          <w:sz w:val="21"/>
        </w:rPr>
        <w:t>is </w:t>
      </w:r>
      <w:r>
        <w:rPr>
          <w:spacing w:val="-5"/>
          <w:w w:val="105"/>
          <w:sz w:val="21"/>
        </w:rPr>
        <w:t>$15,000 </w:t>
      </w:r>
      <w:r>
        <w:rPr>
          <w:w w:val="105"/>
          <w:sz w:val="21"/>
        </w:rPr>
        <w:t>or less. Fees </w:t>
      </w:r>
      <w:r>
        <w:rPr>
          <w:spacing w:val="-3"/>
          <w:w w:val="105"/>
          <w:sz w:val="21"/>
        </w:rPr>
        <w:t>increase </w:t>
      </w:r>
      <w:r>
        <w:rPr>
          <w:w w:val="105"/>
          <w:sz w:val="21"/>
        </w:rPr>
        <w:t>as the </w:t>
      </w:r>
      <w:r>
        <w:rPr>
          <w:spacing w:val="-3"/>
          <w:w w:val="105"/>
          <w:sz w:val="21"/>
        </w:rPr>
        <w:t>value </w:t>
      </w:r>
      <w:r>
        <w:rPr>
          <w:w w:val="105"/>
          <w:sz w:val="21"/>
        </w:rPr>
        <w:t>of the </w:t>
      </w:r>
      <w:r>
        <w:rPr>
          <w:spacing w:val="-3"/>
          <w:w w:val="105"/>
          <w:sz w:val="21"/>
        </w:rPr>
        <w:t>dispute </w:t>
      </w:r>
      <w:r>
        <w:rPr>
          <w:spacing w:val="-2"/>
          <w:w w:val="105"/>
          <w:sz w:val="21"/>
        </w:rPr>
        <w:t>increases.</w:t>
      </w:r>
      <w:r>
        <w:rPr>
          <w:spacing w:val="-2"/>
          <w:w w:val="105"/>
          <w:position w:val="7"/>
          <w:sz w:val="12"/>
        </w:rPr>
        <w:t>45 </w:t>
      </w:r>
      <w:r>
        <w:rPr>
          <w:w w:val="105"/>
          <w:sz w:val="21"/>
        </w:rPr>
        <w:t>If the </w:t>
      </w:r>
      <w:r>
        <w:rPr>
          <w:spacing w:val="-3"/>
          <w:w w:val="105"/>
          <w:sz w:val="21"/>
        </w:rPr>
        <w:t>claim </w:t>
      </w:r>
      <w:r>
        <w:rPr>
          <w:w w:val="105"/>
          <w:sz w:val="21"/>
        </w:rPr>
        <w:t>is </w:t>
      </w:r>
      <w:r>
        <w:rPr>
          <w:spacing w:val="-3"/>
          <w:w w:val="105"/>
          <w:sz w:val="21"/>
        </w:rPr>
        <w:t>for </w:t>
      </w:r>
      <w:r>
        <w:rPr>
          <w:w w:val="105"/>
          <w:sz w:val="21"/>
        </w:rPr>
        <w:t>over </w:t>
      </w:r>
      <w:r>
        <w:rPr>
          <w:spacing w:val="-5"/>
          <w:w w:val="105"/>
          <w:sz w:val="21"/>
        </w:rPr>
        <w:t>$15,000, </w:t>
      </w:r>
      <w:r>
        <w:rPr>
          <w:w w:val="105"/>
          <w:sz w:val="21"/>
        </w:rPr>
        <w:t>then </w:t>
      </w:r>
      <w:r>
        <w:rPr>
          <w:spacing w:val="-3"/>
          <w:w w:val="105"/>
          <w:sz w:val="21"/>
        </w:rPr>
        <w:t>hearing </w:t>
      </w:r>
      <w:r>
        <w:rPr>
          <w:w w:val="105"/>
          <w:sz w:val="21"/>
        </w:rPr>
        <w:t>fees </w:t>
      </w:r>
      <w:r>
        <w:rPr>
          <w:spacing w:val="-3"/>
          <w:w w:val="105"/>
          <w:sz w:val="21"/>
        </w:rPr>
        <w:t>may </w:t>
      </w:r>
      <w:r>
        <w:rPr>
          <w:w w:val="105"/>
          <w:sz w:val="21"/>
        </w:rPr>
        <w:t>apply </w:t>
      </w:r>
      <w:r>
        <w:rPr>
          <w:spacing w:val="-3"/>
          <w:w w:val="105"/>
          <w:sz w:val="21"/>
        </w:rPr>
        <w:t>for </w:t>
      </w:r>
      <w:r>
        <w:rPr>
          <w:w w:val="105"/>
          <w:sz w:val="21"/>
        </w:rPr>
        <w:t>the second and </w:t>
      </w:r>
      <w:r>
        <w:rPr>
          <w:spacing w:val="-3"/>
          <w:w w:val="105"/>
          <w:sz w:val="21"/>
        </w:rPr>
        <w:t>subsequent hearing</w:t>
      </w:r>
      <w:r>
        <w:rPr>
          <w:spacing w:val="38"/>
          <w:w w:val="105"/>
          <w:sz w:val="21"/>
        </w:rPr>
        <w:t> </w:t>
      </w:r>
      <w:r>
        <w:rPr>
          <w:w w:val="105"/>
          <w:sz w:val="21"/>
        </w:rPr>
        <w:t>days.</w:t>
      </w:r>
      <w:r>
        <w:rPr>
          <w:w w:val="105"/>
          <w:position w:val="7"/>
          <w:sz w:val="12"/>
        </w:rPr>
        <w:t>46</w:t>
      </w:r>
    </w:p>
    <w:p>
      <w:pPr>
        <w:pStyle w:val="ListParagraph"/>
        <w:numPr>
          <w:ilvl w:val="1"/>
          <w:numId w:val="16"/>
        </w:numPr>
        <w:tabs>
          <w:tab w:pos="2381" w:val="left" w:leader="none"/>
          <w:tab w:pos="2382" w:val="left" w:leader="none"/>
        </w:tabs>
        <w:spacing w:line="242" w:lineRule="auto" w:before="126" w:after="0"/>
        <w:ind w:left="2381" w:right="1744" w:hanging="794"/>
        <w:jc w:val="left"/>
        <w:rPr>
          <w:sz w:val="21"/>
        </w:rPr>
      </w:pPr>
      <w:r>
        <w:rPr>
          <w:spacing w:val="-5"/>
          <w:w w:val="105"/>
          <w:sz w:val="21"/>
        </w:rPr>
        <w:t>VCAT </w:t>
      </w:r>
      <w:r>
        <w:rPr>
          <w:spacing w:val="-2"/>
          <w:w w:val="105"/>
          <w:sz w:val="21"/>
        </w:rPr>
        <w:t>has </w:t>
      </w:r>
      <w:r>
        <w:rPr>
          <w:w w:val="105"/>
          <w:sz w:val="21"/>
        </w:rPr>
        <w:t>a fee </w:t>
      </w:r>
      <w:r>
        <w:rPr>
          <w:spacing w:val="-3"/>
          <w:w w:val="105"/>
          <w:sz w:val="21"/>
        </w:rPr>
        <w:t>relief program for </w:t>
      </w:r>
      <w:r>
        <w:rPr>
          <w:w w:val="105"/>
          <w:sz w:val="21"/>
        </w:rPr>
        <w:t>people experiencing </w:t>
      </w:r>
      <w:r>
        <w:rPr>
          <w:spacing w:val="-3"/>
          <w:w w:val="105"/>
          <w:sz w:val="21"/>
        </w:rPr>
        <w:t>financial hardship.</w:t>
      </w:r>
      <w:r>
        <w:rPr>
          <w:spacing w:val="-3"/>
          <w:w w:val="105"/>
          <w:position w:val="7"/>
          <w:sz w:val="12"/>
        </w:rPr>
        <w:t>47 </w:t>
      </w:r>
      <w:r>
        <w:rPr>
          <w:spacing w:val="-5"/>
          <w:w w:val="105"/>
          <w:sz w:val="21"/>
        </w:rPr>
        <w:t>VCAT </w:t>
      </w:r>
      <w:r>
        <w:rPr>
          <w:w w:val="105"/>
          <w:sz w:val="21"/>
        </w:rPr>
        <w:t>states on its </w:t>
      </w:r>
      <w:r>
        <w:rPr>
          <w:spacing w:val="-3"/>
          <w:w w:val="105"/>
          <w:sz w:val="21"/>
        </w:rPr>
        <w:t>website that ‘financial hardship means that paying </w:t>
      </w:r>
      <w:r>
        <w:rPr>
          <w:w w:val="105"/>
          <w:sz w:val="21"/>
        </w:rPr>
        <w:t>the </w:t>
      </w:r>
      <w:r>
        <w:rPr>
          <w:spacing w:val="-5"/>
          <w:w w:val="105"/>
          <w:sz w:val="21"/>
        </w:rPr>
        <w:t>VCAT </w:t>
      </w:r>
      <w:r>
        <w:rPr>
          <w:w w:val="105"/>
          <w:sz w:val="21"/>
        </w:rPr>
        <w:t>fee would </w:t>
      </w:r>
      <w:r>
        <w:rPr>
          <w:spacing w:val="-4"/>
          <w:w w:val="105"/>
          <w:sz w:val="21"/>
        </w:rPr>
        <w:t>make </w:t>
      </w:r>
      <w:r>
        <w:rPr>
          <w:w w:val="105"/>
          <w:sz w:val="21"/>
        </w:rPr>
        <w:t>the person</w:t>
      </w:r>
      <w:r>
        <w:rPr>
          <w:spacing w:val="-11"/>
          <w:w w:val="105"/>
          <w:sz w:val="21"/>
        </w:rPr>
        <w:t> </w:t>
      </w:r>
      <w:r>
        <w:rPr>
          <w:spacing w:val="-3"/>
          <w:w w:val="105"/>
          <w:sz w:val="21"/>
        </w:rPr>
        <w:t>unable</w:t>
      </w:r>
      <w:r>
        <w:rPr>
          <w:spacing w:val="-11"/>
          <w:w w:val="105"/>
          <w:sz w:val="21"/>
        </w:rPr>
        <w:t> </w:t>
      </w:r>
      <w:r>
        <w:rPr>
          <w:spacing w:val="-3"/>
          <w:w w:val="105"/>
          <w:sz w:val="21"/>
        </w:rPr>
        <w:t>to</w:t>
      </w:r>
      <w:r>
        <w:rPr>
          <w:spacing w:val="-11"/>
          <w:w w:val="105"/>
          <w:sz w:val="21"/>
        </w:rPr>
        <w:t> </w:t>
      </w:r>
      <w:r>
        <w:rPr>
          <w:w w:val="105"/>
          <w:sz w:val="21"/>
        </w:rPr>
        <w:t>provide</w:t>
      </w:r>
      <w:r>
        <w:rPr>
          <w:spacing w:val="-11"/>
          <w:w w:val="105"/>
          <w:sz w:val="21"/>
        </w:rPr>
        <w:t> </w:t>
      </w:r>
      <w:r>
        <w:rPr>
          <w:w w:val="105"/>
          <w:sz w:val="21"/>
        </w:rPr>
        <w:t>the</w:t>
      </w:r>
      <w:r>
        <w:rPr>
          <w:spacing w:val="-10"/>
          <w:w w:val="105"/>
          <w:sz w:val="21"/>
        </w:rPr>
        <w:t> </w:t>
      </w:r>
      <w:r>
        <w:rPr>
          <w:spacing w:val="-3"/>
          <w:w w:val="105"/>
          <w:sz w:val="21"/>
        </w:rPr>
        <w:t>following</w:t>
      </w:r>
      <w:r>
        <w:rPr>
          <w:spacing w:val="-11"/>
          <w:w w:val="105"/>
          <w:sz w:val="21"/>
        </w:rPr>
        <w:t> </w:t>
      </w:r>
      <w:r>
        <w:rPr>
          <w:spacing w:val="-3"/>
          <w:w w:val="105"/>
          <w:sz w:val="21"/>
        </w:rPr>
        <w:t>for</w:t>
      </w:r>
      <w:r>
        <w:rPr>
          <w:spacing w:val="-11"/>
          <w:w w:val="105"/>
          <w:sz w:val="21"/>
        </w:rPr>
        <w:t> </w:t>
      </w:r>
      <w:r>
        <w:rPr>
          <w:w w:val="105"/>
          <w:sz w:val="21"/>
        </w:rPr>
        <w:t>themselves,</w:t>
      </w:r>
      <w:r>
        <w:rPr>
          <w:spacing w:val="-11"/>
          <w:w w:val="105"/>
          <w:sz w:val="21"/>
        </w:rPr>
        <w:t> </w:t>
      </w:r>
      <w:r>
        <w:rPr>
          <w:w w:val="105"/>
          <w:sz w:val="21"/>
        </w:rPr>
        <w:t>their</w:t>
      </w:r>
      <w:r>
        <w:rPr>
          <w:spacing w:val="-11"/>
          <w:w w:val="105"/>
          <w:sz w:val="21"/>
        </w:rPr>
        <w:t> </w:t>
      </w:r>
      <w:r>
        <w:rPr>
          <w:spacing w:val="-3"/>
          <w:w w:val="105"/>
          <w:sz w:val="21"/>
        </w:rPr>
        <w:t>family</w:t>
      </w:r>
      <w:r>
        <w:rPr>
          <w:spacing w:val="-10"/>
          <w:w w:val="105"/>
          <w:sz w:val="21"/>
        </w:rPr>
        <w:t> </w:t>
      </w:r>
      <w:r>
        <w:rPr>
          <w:w w:val="105"/>
          <w:sz w:val="21"/>
        </w:rPr>
        <w:t>or</w:t>
      </w:r>
      <w:r>
        <w:rPr>
          <w:spacing w:val="-11"/>
          <w:w w:val="105"/>
          <w:sz w:val="21"/>
        </w:rPr>
        <w:t> </w:t>
      </w:r>
      <w:r>
        <w:rPr>
          <w:w w:val="105"/>
          <w:sz w:val="21"/>
        </w:rPr>
        <w:t>other</w:t>
      </w:r>
      <w:r>
        <w:rPr>
          <w:spacing w:val="-11"/>
          <w:w w:val="105"/>
          <w:sz w:val="21"/>
        </w:rPr>
        <w:t> </w:t>
      </w:r>
      <w:r>
        <w:rPr>
          <w:w w:val="105"/>
          <w:sz w:val="21"/>
        </w:rPr>
        <w:t>dependents: food, </w:t>
      </w:r>
      <w:r>
        <w:rPr>
          <w:spacing w:val="-3"/>
          <w:w w:val="105"/>
          <w:sz w:val="21"/>
        </w:rPr>
        <w:t>accommodation, clothing, </w:t>
      </w:r>
      <w:r>
        <w:rPr>
          <w:w w:val="105"/>
          <w:sz w:val="21"/>
        </w:rPr>
        <w:t>medical </w:t>
      </w:r>
      <w:r>
        <w:rPr>
          <w:spacing w:val="-3"/>
          <w:w w:val="105"/>
          <w:sz w:val="21"/>
        </w:rPr>
        <w:t>treatment, education, </w:t>
      </w:r>
      <w:r>
        <w:rPr>
          <w:w w:val="105"/>
          <w:sz w:val="21"/>
        </w:rPr>
        <w:t>other basic </w:t>
      </w:r>
      <w:r>
        <w:rPr>
          <w:spacing w:val="-3"/>
          <w:w w:val="105"/>
          <w:sz w:val="21"/>
        </w:rPr>
        <w:t>necessities’.</w:t>
      </w:r>
      <w:r>
        <w:rPr>
          <w:spacing w:val="-3"/>
          <w:w w:val="105"/>
          <w:position w:val="7"/>
          <w:sz w:val="12"/>
        </w:rPr>
        <w:t>48</w:t>
      </w:r>
      <w:r>
        <w:rPr>
          <w:spacing w:val="-3"/>
          <w:w w:val="105"/>
          <w:sz w:val="12"/>
        </w:rPr>
        <w:t> </w:t>
      </w:r>
      <w:r>
        <w:rPr>
          <w:w w:val="105"/>
          <w:sz w:val="21"/>
        </w:rPr>
        <w:t>Parties</w:t>
      </w:r>
      <w:r>
        <w:rPr>
          <w:spacing w:val="-6"/>
          <w:w w:val="105"/>
          <w:sz w:val="21"/>
        </w:rPr>
        <w:t> </w:t>
      </w:r>
      <w:r>
        <w:rPr>
          <w:spacing w:val="-3"/>
          <w:w w:val="105"/>
          <w:sz w:val="21"/>
        </w:rPr>
        <w:t>may</w:t>
      </w:r>
      <w:r>
        <w:rPr>
          <w:spacing w:val="-5"/>
          <w:w w:val="105"/>
          <w:sz w:val="21"/>
        </w:rPr>
        <w:t> </w:t>
      </w:r>
      <w:r>
        <w:rPr>
          <w:w w:val="105"/>
          <w:sz w:val="21"/>
        </w:rPr>
        <w:t>also</w:t>
      </w:r>
      <w:r>
        <w:rPr>
          <w:spacing w:val="-5"/>
          <w:w w:val="105"/>
          <w:sz w:val="21"/>
        </w:rPr>
        <w:t> </w:t>
      </w:r>
      <w:r>
        <w:rPr>
          <w:w w:val="105"/>
          <w:sz w:val="21"/>
        </w:rPr>
        <w:t>seek</w:t>
      </w:r>
      <w:r>
        <w:rPr>
          <w:spacing w:val="-5"/>
          <w:w w:val="105"/>
          <w:sz w:val="21"/>
        </w:rPr>
        <w:t> </w:t>
      </w:r>
      <w:r>
        <w:rPr>
          <w:spacing w:val="-3"/>
          <w:w w:val="105"/>
          <w:sz w:val="21"/>
        </w:rPr>
        <w:t>to</w:t>
      </w:r>
      <w:r>
        <w:rPr>
          <w:spacing w:val="-5"/>
          <w:w w:val="105"/>
          <w:sz w:val="21"/>
        </w:rPr>
        <w:t> </w:t>
      </w:r>
      <w:r>
        <w:rPr>
          <w:spacing w:val="-3"/>
          <w:w w:val="105"/>
          <w:sz w:val="21"/>
        </w:rPr>
        <w:t>have</w:t>
      </w:r>
      <w:r>
        <w:rPr>
          <w:spacing w:val="-5"/>
          <w:w w:val="105"/>
          <w:sz w:val="21"/>
        </w:rPr>
        <w:t> </w:t>
      </w:r>
      <w:r>
        <w:rPr>
          <w:w w:val="105"/>
          <w:sz w:val="21"/>
        </w:rPr>
        <w:t>their</w:t>
      </w:r>
      <w:r>
        <w:rPr>
          <w:spacing w:val="-5"/>
          <w:w w:val="105"/>
          <w:sz w:val="21"/>
        </w:rPr>
        <w:t> </w:t>
      </w:r>
      <w:r>
        <w:rPr>
          <w:w w:val="105"/>
          <w:sz w:val="21"/>
        </w:rPr>
        <w:t>fees</w:t>
      </w:r>
      <w:r>
        <w:rPr>
          <w:spacing w:val="-6"/>
          <w:w w:val="105"/>
          <w:sz w:val="21"/>
        </w:rPr>
        <w:t> </w:t>
      </w:r>
      <w:r>
        <w:rPr>
          <w:w w:val="105"/>
          <w:sz w:val="21"/>
        </w:rPr>
        <w:t>waived</w:t>
      </w:r>
      <w:r>
        <w:rPr>
          <w:spacing w:val="-5"/>
          <w:w w:val="105"/>
          <w:sz w:val="21"/>
        </w:rPr>
        <w:t> </w:t>
      </w:r>
      <w:r>
        <w:rPr>
          <w:w w:val="105"/>
          <w:sz w:val="21"/>
        </w:rPr>
        <w:t>on</w:t>
      </w:r>
      <w:r>
        <w:rPr>
          <w:spacing w:val="-5"/>
          <w:w w:val="105"/>
          <w:sz w:val="21"/>
        </w:rPr>
        <w:t> </w:t>
      </w:r>
      <w:r>
        <w:rPr>
          <w:w w:val="105"/>
          <w:sz w:val="21"/>
        </w:rPr>
        <w:t>the</w:t>
      </w:r>
      <w:r>
        <w:rPr>
          <w:spacing w:val="-5"/>
          <w:w w:val="105"/>
          <w:sz w:val="21"/>
        </w:rPr>
        <w:t> </w:t>
      </w:r>
      <w:r>
        <w:rPr>
          <w:spacing w:val="-3"/>
          <w:w w:val="105"/>
          <w:sz w:val="21"/>
        </w:rPr>
        <w:t>grounds</w:t>
      </w:r>
      <w:r>
        <w:rPr>
          <w:spacing w:val="-5"/>
          <w:w w:val="105"/>
          <w:sz w:val="21"/>
        </w:rPr>
        <w:t> </w:t>
      </w:r>
      <w:r>
        <w:rPr>
          <w:w w:val="105"/>
          <w:sz w:val="21"/>
        </w:rPr>
        <w:t>of</w:t>
      </w:r>
      <w:r>
        <w:rPr>
          <w:spacing w:val="-5"/>
          <w:w w:val="105"/>
          <w:sz w:val="21"/>
        </w:rPr>
        <w:t> </w:t>
      </w:r>
      <w:r>
        <w:rPr>
          <w:spacing w:val="-3"/>
          <w:w w:val="105"/>
          <w:sz w:val="21"/>
        </w:rPr>
        <w:t>financial</w:t>
      </w:r>
      <w:r>
        <w:rPr>
          <w:spacing w:val="-5"/>
          <w:w w:val="105"/>
          <w:sz w:val="21"/>
        </w:rPr>
        <w:t> </w:t>
      </w:r>
      <w:r>
        <w:rPr>
          <w:spacing w:val="-3"/>
          <w:w w:val="105"/>
          <w:sz w:val="21"/>
        </w:rPr>
        <w:t>hardship</w:t>
      </w:r>
      <w:r>
        <w:rPr>
          <w:spacing w:val="-6"/>
          <w:w w:val="105"/>
          <w:sz w:val="21"/>
        </w:rPr>
        <w:t> </w:t>
      </w:r>
      <w:r>
        <w:rPr>
          <w:w w:val="105"/>
          <w:sz w:val="21"/>
        </w:rPr>
        <w:t>or</w:t>
      </w:r>
      <w:r>
        <w:rPr>
          <w:spacing w:val="-5"/>
          <w:w w:val="105"/>
          <w:sz w:val="21"/>
        </w:rPr>
        <w:t> </w:t>
      </w:r>
      <w:r>
        <w:rPr>
          <w:w w:val="105"/>
          <w:sz w:val="21"/>
        </w:rPr>
        <w:t>if they </w:t>
      </w:r>
      <w:r>
        <w:rPr>
          <w:spacing w:val="-3"/>
          <w:w w:val="105"/>
          <w:sz w:val="21"/>
        </w:rPr>
        <w:t>are represented </w:t>
      </w:r>
      <w:r>
        <w:rPr>
          <w:w w:val="105"/>
          <w:sz w:val="21"/>
        </w:rPr>
        <w:t>by a community legal </w:t>
      </w:r>
      <w:r>
        <w:rPr>
          <w:spacing w:val="-4"/>
          <w:w w:val="105"/>
          <w:sz w:val="21"/>
        </w:rPr>
        <w:t>centre.</w:t>
      </w:r>
      <w:r>
        <w:rPr>
          <w:spacing w:val="14"/>
          <w:w w:val="105"/>
          <w:sz w:val="21"/>
        </w:rPr>
        <w:t> </w:t>
      </w:r>
      <w:r>
        <w:rPr>
          <w:w w:val="105"/>
          <w:position w:val="7"/>
          <w:sz w:val="12"/>
        </w:rPr>
        <w:t>49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3"/>
        </w:rPr>
      </w:pPr>
      <w:r>
        <w:rPr/>
        <w:pict>
          <v:line style="position:absolute;mso-position-horizontal-relative:page;mso-position-vertical-relative:paragraph;z-index:6488;mso-wrap-distance-left:0;mso-wrap-distance-right:0" from="79.370102pt,10.661022pt" to="515.905102pt,10.661022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09"/>
        </w:numPr>
        <w:tabs>
          <w:tab w:pos="2380" w:val="left" w:leader="none"/>
          <w:tab w:pos="2382" w:val="left" w:leader="none"/>
        </w:tabs>
        <w:spacing w:line="240" w:lineRule="auto" w:before="48" w:after="0"/>
        <w:ind w:left="2381" w:right="0" w:hanging="794"/>
        <w:jc w:val="left"/>
        <w:rPr>
          <w:sz w:val="13"/>
        </w:rPr>
      </w:pPr>
      <w:r>
        <w:rPr>
          <w:w w:val="105"/>
          <w:sz w:val="13"/>
        </w:rPr>
        <w:t>Victorian</w:t>
      </w:r>
      <w:r>
        <w:rPr>
          <w:spacing w:val="5"/>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5"/>
          <w:w w:val="105"/>
          <w:sz w:val="13"/>
        </w:rPr>
        <w:t> </w:t>
      </w:r>
      <w:r>
        <w:rPr>
          <w:w w:val="105"/>
          <w:sz w:val="13"/>
        </w:rPr>
        <w:t>Tribunal,</w:t>
      </w:r>
      <w:r>
        <w:rPr>
          <w:spacing w:val="5"/>
          <w:w w:val="105"/>
          <w:sz w:val="13"/>
        </w:rPr>
        <w:t> </w:t>
      </w:r>
      <w:r>
        <w:rPr>
          <w:i/>
          <w:w w:val="105"/>
          <w:sz w:val="13"/>
        </w:rPr>
        <w:t>VCAT</w:t>
      </w:r>
      <w:r>
        <w:rPr>
          <w:i/>
          <w:spacing w:val="6"/>
          <w:w w:val="105"/>
          <w:sz w:val="13"/>
        </w:rPr>
        <w:t> </w:t>
      </w:r>
      <w:r>
        <w:rPr>
          <w:i/>
          <w:w w:val="105"/>
          <w:sz w:val="13"/>
        </w:rPr>
        <w:t>Annual</w:t>
      </w:r>
      <w:r>
        <w:rPr>
          <w:i/>
          <w:spacing w:val="5"/>
          <w:w w:val="105"/>
          <w:sz w:val="13"/>
        </w:rPr>
        <w:t> </w:t>
      </w:r>
      <w:r>
        <w:rPr>
          <w:i/>
          <w:spacing w:val="2"/>
          <w:w w:val="105"/>
          <w:sz w:val="13"/>
        </w:rPr>
        <w:t>Report</w:t>
      </w:r>
      <w:r>
        <w:rPr>
          <w:i/>
          <w:spacing w:val="5"/>
          <w:w w:val="105"/>
          <w:sz w:val="13"/>
        </w:rPr>
        <w:t> </w:t>
      </w:r>
      <w:r>
        <w:rPr>
          <w:i/>
          <w:spacing w:val="-3"/>
          <w:w w:val="105"/>
          <w:sz w:val="13"/>
        </w:rPr>
        <w:t>2017–2018</w:t>
      </w:r>
      <w:r>
        <w:rPr>
          <w:i/>
          <w:spacing w:val="5"/>
          <w:w w:val="105"/>
          <w:sz w:val="13"/>
        </w:rPr>
        <w:t> </w:t>
      </w:r>
      <w:r>
        <w:rPr>
          <w:spacing w:val="2"/>
          <w:w w:val="105"/>
          <w:sz w:val="13"/>
        </w:rPr>
        <w:t>(Report,</w:t>
      </w:r>
      <w:r>
        <w:rPr>
          <w:spacing w:val="5"/>
          <w:w w:val="105"/>
          <w:sz w:val="13"/>
        </w:rPr>
        <w:t> </w:t>
      </w:r>
      <w:r>
        <w:rPr>
          <w:w w:val="105"/>
          <w:sz w:val="13"/>
        </w:rPr>
        <w:t>2018)</w:t>
      </w:r>
      <w:r>
        <w:rPr>
          <w:spacing w:val="6"/>
          <w:w w:val="105"/>
          <w:sz w:val="13"/>
        </w:rPr>
        <w:t> </w:t>
      </w:r>
      <w:r>
        <w:rPr>
          <w:w w:val="105"/>
          <w:sz w:val="13"/>
        </w:rPr>
        <w:t>2.</w:t>
      </w:r>
    </w:p>
    <w:p>
      <w:pPr>
        <w:pStyle w:val="ListParagraph"/>
        <w:numPr>
          <w:ilvl w:val="0"/>
          <w:numId w:val="109"/>
        </w:numPr>
        <w:tabs>
          <w:tab w:pos="2380" w:val="left" w:leader="none"/>
          <w:tab w:pos="2382" w:val="left" w:leader="none"/>
        </w:tabs>
        <w:spacing w:line="240" w:lineRule="auto" w:before="1" w:after="0"/>
        <w:ind w:left="2381" w:right="0" w:hanging="794"/>
        <w:jc w:val="left"/>
        <w:rPr>
          <w:sz w:val="13"/>
        </w:rPr>
      </w:pPr>
      <w:r>
        <w:rPr>
          <w:i/>
          <w:w w:val="105"/>
          <w:sz w:val="13"/>
        </w:rPr>
        <w:t>Victorian</w:t>
      </w:r>
      <w:r>
        <w:rPr>
          <w:i/>
          <w:spacing w:val="4"/>
          <w:w w:val="105"/>
          <w:sz w:val="13"/>
        </w:rPr>
        <w:t> </w:t>
      </w:r>
      <w:r>
        <w:rPr>
          <w:i/>
          <w:w w:val="105"/>
          <w:sz w:val="13"/>
        </w:rPr>
        <w:t>Civil</w:t>
      </w:r>
      <w:r>
        <w:rPr>
          <w:i/>
          <w:spacing w:val="5"/>
          <w:w w:val="105"/>
          <w:sz w:val="13"/>
        </w:rPr>
        <w:t> </w:t>
      </w:r>
      <w:r>
        <w:rPr>
          <w:i/>
          <w:w w:val="105"/>
          <w:sz w:val="13"/>
        </w:rPr>
        <w:t>and</w:t>
      </w:r>
      <w:r>
        <w:rPr>
          <w:i/>
          <w:spacing w:val="5"/>
          <w:w w:val="105"/>
          <w:sz w:val="13"/>
        </w:rPr>
        <w:t> </w:t>
      </w:r>
      <w:r>
        <w:rPr>
          <w:i/>
          <w:w w:val="105"/>
          <w:sz w:val="13"/>
        </w:rPr>
        <w:t>Administrative</w:t>
      </w:r>
      <w:r>
        <w:rPr>
          <w:i/>
          <w:spacing w:val="4"/>
          <w:w w:val="105"/>
          <w:sz w:val="13"/>
        </w:rPr>
        <w:t> </w:t>
      </w:r>
      <w:r>
        <w:rPr>
          <w:i/>
          <w:w w:val="105"/>
          <w:sz w:val="13"/>
        </w:rPr>
        <w:t>Tribunal</w:t>
      </w:r>
      <w:r>
        <w:rPr>
          <w:i/>
          <w:spacing w:val="5"/>
          <w:w w:val="105"/>
          <w:sz w:val="13"/>
        </w:rPr>
        <w:t> </w:t>
      </w:r>
      <w:r>
        <w:rPr>
          <w:i/>
          <w:w w:val="105"/>
          <w:sz w:val="13"/>
        </w:rPr>
        <w:t>Act</w:t>
      </w:r>
      <w:r>
        <w:rPr>
          <w:i/>
          <w:spacing w:val="5"/>
          <w:w w:val="105"/>
          <w:sz w:val="13"/>
        </w:rPr>
        <w:t> </w:t>
      </w:r>
      <w:r>
        <w:rPr>
          <w:i/>
          <w:w w:val="105"/>
          <w:sz w:val="13"/>
        </w:rPr>
        <w:t>1998</w:t>
      </w:r>
      <w:r>
        <w:rPr>
          <w:i/>
          <w:spacing w:val="4"/>
          <w:w w:val="105"/>
          <w:sz w:val="13"/>
        </w:rPr>
        <w:t> </w:t>
      </w:r>
      <w:r>
        <w:rPr>
          <w:spacing w:val="2"/>
          <w:w w:val="105"/>
          <w:sz w:val="13"/>
        </w:rPr>
        <w:t>(Vic)</w:t>
      </w:r>
      <w:r>
        <w:rPr>
          <w:spacing w:val="5"/>
          <w:w w:val="105"/>
          <w:sz w:val="13"/>
        </w:rPr>
        <w:t> </w:t>
      </w:r>
      <w:r>
        <w:rPr>
          <w:w w:val="105"/>
          <w:sz w:val="13"/>
        </w:rPr>
        <w:t>ss</w:t>
      </w:r>
      <w:r>
        <w:rPr>
          <w:spacing w:val="5"/>
          <w:w w:val="105"/>
          <w:sz w:val="13"/>
        </w:rPr>
        <w:t> </w:t>
      </w:r>
      <w:r>
        <w:rPr>
          <w:spacing w:val="-3"/>
          <w:w w:val="105"/>
          <w:sz w:val="13"/>
        </w:rPr>
        <w:t>1,</w:t>
      </w:r>
      <w:r>
        <w:rPr>
          <w:spacing w:val="4"/>
          <w:w w:val="105"/>
          <w:sz w:val="13"/>
        </w:rPr>
        <w:t> </w:t>
      </w:r>
      <w:r>
        <w:rPr>
          <w:w w:val="105"/>
          <w:sz w:val="13"/>
        </w:rPr>
        <w:t>8.</w:t>
      </w:r>
    </w:p>
    <w:p>
      <w:pPr>
        <w:pStyle w:val="ListParagraph"/>
        <w:numPr>
          <w:ilvl w:val="0"/>
          <w:numId w:val="109"/>
        </w:numPr>
        <w:tabs>
          <w:tab w:pos="2380" w:val="left" w:leader="none"/>
          <w:tab w:pos="2382" w:val="left" w:leader="none"/>
        </w:tabs>
        <w:spacing w:line="240" w:lineRule="auto" w:before="2" w:after="0"/>
        <w:ind w:left="2381" w:right="0" w:hanging="794"/>
        <w:jc w:val="left"/>
        <w:rPr>
          <w:sz w:val="13"/>
        </w:rPr>
      </w:pPr>
      <w:r>
        <w:rPr>
          <w:w w:val="105"/>
          <w:sz w:val="13"/>
        </w:rPr>
        <w:t>Department</w:t>
      </w:r>
      <w:r>
        <w:rPr>
          <w:spacing w:val="5"/>
          <w:w w:val="105"/>
          <w:sz w:val="13"/>
        </w:rPr>
        <w:t> </w:t>
      </w:r>
      <w:r>
        <w:rPr>
          <w:w w:val="105"/>
          <w:sz w:val="13"/>
        </w:rPr>
        <w:t>of</w:t>
      </w:r>
      <w:r>
        <w:rPr>
          <w:spacing w:val="6"/>
          <w:w w:val="105"/>
          <w:sz w:val="13"/>
        </w:rPr>
        <w:t> </w:t>
      </w:r>
      <w:r>
        <w:rPr>
          <w:w w:val="105"/>
          <w:sz w:val="13"/>
        </w:rPr>
        <w:t>Justice</w:t>
      </w:r>
      <w:r>
        <w:rPr>
          <w:spacing w:val="5"/>
          <w:w w:val="105"/>
          <w:sz w:val="13"/>
        </w:rPr>
        <w:t> </w:t>
      </w:r>
      <w:r>
        <w:rPr>
          <w:w w:val="105"/>
          <w:sz w:val="13"/>
        </w:rPr>
        <w:t>and</w:t>
      </w:r>
      <w:r>
        <w:rPr>
          <w:spacing w:val="6"/>
          <w:w w:val="105"/>
          <w:sz w:val="13"/>
        </w:rPr>
        <w:t> </w:t>
      </w:r>
      <w:r>
        <w:rPr>
          <w:w w:val="105"/>
          <w:sz w:val="13"/>
        </w:rPr>
        <w:t>Regulation</w:t>
      </w:r>
      <w:r>
        <w:rPr>
          <w:spacing w:val="5"/>
          <w:w w:val="105"/>
          <w:sz w:val="13"/>
        </w:rPr>
        <w:t> </w:t>
      </w:r>
      <w:r>
        <w:rPr>
          <w:spacing w:val="2"/>
          <w:w w:val="105"/>
          <w:sz w:val="13"/>
        </w:rPr>
        <w:t>(Vic),</w:t>
      </w:r>
      <w:r>
        <w:rPr>
          <w:spacing w:val="6"/>
          <w:w w:val="105"/>
          <w:sz w:val="13"/>
        </w:rPr>
        <w:t> </w:t>
      </w:r>
      <w:r>
        <w:rPr>
          <w:i/>
          <w:w w:val="105"/>
          <w:sz w:val="13"/>
        </w:rPr>
        <w:t>Access</w:t>
      </w:r>
      <w:r>
        <w:rPr>
          <w:i/>
          <w:spacing w:val="5"/>
          <w:w w:val="105"/>
          <w:sz w:val="13"/>
        </w:rPr>
        <w:t> </w:t>
      </w:r>
      <w:r>
        <w:rPr>
          <w:i/>
          <w:w w:val="105"/>
          <w:sz w:val="13"/>
        </w:rPr>
        <w:t>to</w:t>
      </w:r>
      <w:r>
        <w:rPr>
          <w:i/>
          <w:spacing w:val="6"/>
          <w:w w:val="105"/>
          <w:sz w:val="13"/>
        </w:rPr>
        <w:t> </w:t>
      </w:r>
      <w:r>
        <w:rPr>
          <w:i/>
          <w:w w:val="105"/>
          <w:sz w:val="13"/>
        </w:rPr>
        <w:t>Justice</w:t>
      </w:r>
      <w:r>
        <w:rPr>
          <w:i/>
          <w:spacing w:val="6"/>
          <w:w w:val="105"/>
          <w:sz w:val="13"/>
        </w:rPr>
        <w:t> </w:t>
      </w:r>
      <w:r>
        <w:rPr>
          <w:i/>
          <w:w w:val="105"/>
          <w:sz w:val="13"/>
        </w:rPr>
        <w:t>Review</w:t>
      </w:r>
      <w:r>
        <w:rPr>
          <w:i/>
          <w:spacing w:val="5"/>
          <w:w w:val="105"/>
          <w:sz w:val="13"/>
        </w:rPr>
        <w:t> </w:t>
      </w:r>
      <w:r>
        <w:rPr>
          <w:i/>
          <w:spacing w:val="2"/>
          <w:w w:val="105"/>
          <w:sz w:val="13"/>
        </w:rPr>
        <w:t>Report</w:t>
      </w:r>
      <w:r>
        <w:rPr>
          <w:i/>
          <w:spacing w:val="6"/>
          <w:w w:val="105"/>
          <w:sz w:val="13"/>
        </w:rPr>
        <w:t> </w:t>
      </w:r>
      <w:r>
        <w:rPr>
          <w:i/>
          <w:w w:val="105"/>
          <w:sz w:val="13"/>
        </w:rPr>
        <w:t>and</w:t>
      </w:r>
      <w:r>
        <w:rPr>
          <w:i/>
          <w:spacing w:val="5"/>
          <w:w w:val="105"/>
          <w:sz w:val="13"/>
        </w:rPr>
        <w:t> </w:t>
      </w:r>
      <w:r>
        <w:rPr>
          <w:i/>
          <w:w w:val="105"/>
          <w:sz w:val="13"/>
        </w:rPr>
        <w:t>Recommendations</w:t>
      </w:r>
      <w:r>
        <w:rPr>
          <w:i/>
          <w:spacing w:val="7"/>
          <w:w w:val="105"/>
          <w:sz w:val="13"/>
        </w:rPr>
        <w:t> </w:t>
      </w:r>
      <w:r>
        <w:rPr>
          <w:w w:val="105"/>
          <w:sz w:val="13"/>
        </w:rPr>
        <w:t>(2016)</w:t>
      </w:r>
      <w:r>
        <w:rPr>
          <w:spacing w:val="5"/>
          <w:w w:val="105"/>
          <w:sz w:val="13"/>
        </w:rPr>
        <w:t> </w:t>
      </w:r>
      <w:r>
        <w:rPr>
          <w:w w:val="105"/>
          <w:sz w:val="13"/>
        </w:rPr>
        <w:t>vol</w:t>
      </w:r>
      <w:r>
        <w:rPr>
          <w:spacing w:val="6"/>
          <w:w w:val="105"/>
          <w:sz w:val="13"/>
        </w:rPr>
        <w:t> </w:t>
      </w:r>
      <w:r>
        <w:rPr>
          <w:spacing w:val="-3"/>
          <w:w w:val="105"/>
          <w:sz w:val="13"/>
        </w:rPr>
        <w:t>1,</w:t>
      </w:r>
      <w:r>
        <w:rPr>
          <w:spacing w:val="6"/>
          <w:w w:val="105"/>
          <w:sz w:val="13"/>
        </w:rPr>
        <w:t> </w:t>
      </w:r>
      <w:r>
        <w:rPr>
          <w:w w:val="105"/>
          <w:sz w:val="13"/>
        </w:rPr>
        <w:t>245.</w:t>
      </w:r>
    </w:p>
    <w:p>
      <w:pPr>
        <w:pStyle w:val="ListParagraph"/>
        <w:numPr>
          <w:ilvl w:val="0"/>
          <w:numId w:val="109"/>
        </w:numPr>
        <w:tabs>
          <w:tab w:pos="2381" w:val="left" w:leader="none"/>
          <w:tab w:pos="2382" w:val="left" w:leader="none"/>
        </w:tabs>
        <w:spacing w:line="240" w:lineRule="auto" w:before="1" w:after="0"/>
        <w:ind w:left="2381" w:right="508" w:hanging="794"/>
        <w:jc w:val="left"/>
        <w:rPr>
          <w:sz w:val="13"/>
        </w:rPr>
      </w:pPr>
      <w:r>
        <w:rPr>
          <w:w w:val="105"/>
          <w:sz w:val="13"/>
        </w:rPr>
        <w:t>VCAT has original jurisdiction and review jurisdiction. See </w:t>
      </w:r>
      <w:r>
        <w:rPr>
          <w:i/>
          <w:w w:val="105"/>
          <w:sz w:val="13"/>
        </w:rPr>
        <w:t>Victorian Civil and Administrative Tribunal Act 1998 </w:t>
      </w:r>
      <w:r>
        <w:rPr>
          <w:spacing w:val="2"/>
          <w:w w:val="105"/>
          <w:sz w:val="13"/>
        </w:rPr>
        <w:t>(Vic) </w:t>
      </w:r>
      <w:r>
        <w:rPr>
          <w:w w:val="105"/>
          <w:sz w:val="13"/>
        </w:rPr>
        <w:t>ss 3 (‘enabling </w:t>
      </w:r>
      <w:r>
        <w:rPr>
          <w:spacing w:val="2"/>
          <w:w w:val="105"/>
          <w:sz w:val="13"/>
        </w:rPr>
        <w:t>enactment’), 42–44, </w:t>
      </w:r>
      <w:r>
        <w:rPr>
          <w:spacing w:val="-4"/>
          <w:w w:val="105"/>
          <w:sz w:val="13"/>
        </w:rPr>
        <w:t>67,</w:t>
      </w:r>
      <w:r>
        <w:rPr>
          <w:spacing w:val="10"/>
          <w:w w:val="105"/>
          <w:sz w:val="13"/>
        </w:rPr>
        <w:t> </w:t>
      </w:r>
      <w:r>
        <w:rPr>
          <w:w w:val="105"/>
          <w:sz w:val="13"/>
        </w:rPr>
        <w:t>69.</w:t>
      </w:r>
    </w:p>
    <w:p>
      <w:pPr>
        <w:pStyle w:val="ListParagraph"/>
        <w:numPr>
          <w:ilvl w:val="0"/>
          <w:numId w:val="109"/>
        </w:numPr>
        <w:tabs>
          <w:tab w:pos="2381" w:val="left" w:leader="none"/>
          <w:tab w:pos="2382" w:val="left" w:leader="none"/>
        </w:tabs>
        <w:spacing w:line="240" w:lineRule="auto" w:before="3" w:after="0"/>
        <w:ind w:left="2381" w:right="0" w:hanging="794"/>
        <w:jc w:val="left"/>
        <w:rPr>
          <w:sz w:val="13"/>
        </w:rPr>
      </w:pPr>
      <w:r>
        <w:rPr>
          <w:w w:val="105"/>
          <w:sz w:val="13"/>
        </w:rPr>
        <w:t>See,</w:t>
      </w:r>
      <w:r>
        <w:rPr>
          <w:spacing w:val="5"/>
          <w:w w:val="105"/>
          <w:sz w:val="13"/>
        </w:rPr>
        <w:t> </w:t>
      </w:r>
      <w:r>
        <w:rPr>
          <w:w w:val="105"/>
          <w:sz w:val="13"/>
        </w:rPr>
        <w:t>eg,</w:t>
      </w:r>
      <w:r>
        <w:rPr>
          <w:spacing w:val="5"/>
          <w:w w:val="105"/>
          <w:sz w:val="13"/>
        </w:rPr>
        <w:t> </w:t>
      </w:r>
      <w:r>
        <w:rPr>
          <w:w w:val="105"/>
          <w:sz w:val="13"/>
        </w:rPr>
        <w:t>Victorian</w:t>
      </w:r>
      <w:r>
        <w:rPr>
          <w:spacing w:val="6"/>
          <w:w w:val="105"/>
          <w:sz w:val="13"/>
        </w:rPr>
        <w:t> </w:t>
      </w:r>
      <w:r>
        <w:rPr>
          <w:w w:val="105"/>
          <w:sz w:val="13"/>
        </w:rPr>
        <w:t>Civil</w:t>
      </w:r>
      <w:r>
        <w:rPr>
          <w:spacing w:val="5"/>
          <w:w w:val="105"/>
          <w:sz w:val="13"/>
        </w:rPr>
        <w:t> </w:t>
      </w:r>
      <w:r>
        <w:rPr>
          <w:w w:val="105"/>
          <w:sz w:val="13"/>
        </w:rPr>
        <w:t>and</w:t>
      </w:r>
      <w:r>
        <w:rPr>
          <w:spacing w:val="6"/>
          <w:w w:val="105"/>
          <w:sz w:val="13"/>
        </w:rPr>
        <w:t> </w:t>
      </w:r>
      <w:r>
        <w:rPr>
          <w:w w:val="105"/>
          <w:sz w:val="13"/>
        </w:rPr>
        <w:t>Administrative</w:t>
      </w:r>
      <w:r>
        <w:rPr>
          <w:spacing w:val="5"/>
          <w:w w:val="105"/>
          <w:sz w:val="13"/>
        </w:rPr>
        <w:t> </w:t>
      </w:r>
      <w:r>
        <w:rPr>
          <w:w w:val="105"/>
          <w:sz w:val="13"/>
        </w:rPr>
        <w:t>Tribunal,</w:t>
      </w:r>
      <w:r>
        <w:rPr>
          <w:spacing w:val="6"/>
          <w:w w:val="105"/>
          <w:sz w:val="13"/>
        </w:rPr>
        <w:t> </w:t>
      </w:r>
      <w:r>
        <w:rPr>
          <w:i/>
          <w:w w:val="105"/>
          <w:sz w:val="13"/>
        </w:rPr>
        <w:t>VCAT</w:t>
      </w:r>
      <w:r>
        <w:rPr>
          <w:i/>
          <w:spacing w:val="5"/>
          <w:w w:val="105"/>
          <w:sz w:val="13"/>
        </w:rPr>
        <w:t> </w:t>
      </w:r>
      <w:r>
        <w:rPr>
          <w:i/>
          <w:w w:val="105"/>
          <w:sz w:val="13"/>
        </w:rPr>
        <w:t>Annual</w:t>
      </w:r>
      <w:r>
        <w:rPr>
          <w:i/>
          <w:spacing w:val="6"/>
          <w:w w:val="105"/>
          <w:sz w:val="13"/>
        </w:rPr>
        <w:t> </w:t>
      </w:r>
      <w:r>
        <w:rPr>
          <w:i/>
          <w:spacing w:val="2"/>
          <w:w w:val="105"/>
          <w:sz w:val="13"/>
        </w:rPr>
        <w:t>Report</w:t>
      </w:r>
      <w:r>
        <w:rPr>
          <w:i/>
          <w:spacing w:val="5"/>
          <w:w w:val="105"/>
          <w:sz w:val="13"/>
        </w:rPr>
        <w:t> </w:t>
      </w:r>
      <w:r>
        <w:rPr>
          <w:i/>
          <w:spacing w:val="-3"/>
          <w:w w:val="105"/>
          <w:sz w:val="13"/>
        </w:rPr>
        <w:t>2017–2018</w:t>
      </w:r>
      <w:r>
        <w:rPr>
          <w:i/>
          <w:spacing w:val="5"/>
          <w:w w:val="105"/>
          <w:sz w:val="13"/>
        </w:rPr>
        <w:t> </w:t>
      </w:r>
      <w:r>
        <w:rPr>
          <w:spacing w:val="2"/>
          <w:w w:val="105"/>
          <w:sz w:val="13"/>
        </w:rPr>
        <w:t>(Report,</w:t>
      </w:r>
      <w:r>
        <w:rPr>
          <w:spacing w:val="6"/>
          <w:w w:val="105"/>
          <w:sz w:val="13"/>
        </w:rPr>
        <w:t> </w:t>
      </w:r>
      <w:r>
        <w:rPr>
          <w:w w:val="105"/>
          <w:sz w:val="13"/>
        </w:rPr>
        <w:t>2018)</w:t>
      </w:r>
      <w:r>
        <w:rPr>
          <w:spacing w:val="5"/>
          <w:w w:val="105"/>
          <w:sz w:val="13"/>
        </w:rPr>
        <w:t> </w:t>
      </w:r>
      <w:r>
        <w:rPr>
          <w:w w:val="105"/>
          <w:sz w:val="13"/>
        </w:rPr>
        <w:t>9.</w:t>
      </w:r>
    </w:p>
    <w:p>
      <w:pPr>
        <w:pStyle w:val="ListParagraph"/>
        <w:numPr>
          <w:ilvl w:val="0"/>
          <w:numId w:val="109"/>
        </w:numPr>
        <w:tabs>
          <w:tab w:pos="2381" w:val="left" w:leader="none"/>
          <w:tab w:pos="2382" w:val="left" w:leader="none"/>
        </w:tabs>
        <w:spacing w:line="240" w:lineRule="auto" w:before="1" w:after="0"/>
        <w:ind w:left="2381" w:right="0" w:hanging="794"/>
        <w:jc w:val="left"/>
        <w:rPr>
          <w:sz w:val="13"/>
        </w:rPr>
      </w:pPr>
      <w:r>
        <w:rPr>
          <w:w w:val="105"/>
          <w:sz w:val="13"/>
        </w:rPr>
        <w:t>See, eg, Ibid </w:t>
      </w:r>
      <w:r>
        <w:rPr>
          <w:spacing w:val="-6"/>
          <w:w w:val="105"/>
          <w:sz w:val="13"/>
        </w:rPr>
        <w:t>11. </w:t>
      </w:r>
      <w:r>
        <w:rPr>
          <w:w w:val="105"/>
          <w:sz w:val="13"/>
        </w:rPr>
        <w:t>In other divisions such as the Residential Tenancies Division and Human Rights Division, claims are more likely to be non- monetary, and deal with issues such as anti-discrimination, tenancy or guardianship: Department of Justice and Regulation </w:t>
      </w:r>
      <w:r>
        <w:rPr>
          <w:spacing w:val="2"/>
          <w:w w:val="105"/>
          <w:sz w:val="13"/>
        </w:rPr>
        <w:t>(Vic), </w:t>
      </w:r>
      <w:r>
        <w:rPr>
          <w:i/>
          <w:w w:val="105"/>
          <w:sz w:val="13"/>
        </w:rPr>
        <w:t>Access to </w:t>
      </w:r>
      <w:r>
        <w:rPr>
          <w:i/>
          <w:w w:val="105"/>
          <w:sz w:val="13"/>
        </w:rPr>
        <w:t>Justice</w:t>
      </w:r>
      <w:r>
        <w:rPr>
          <w:i/>
          <w:spacing w:val="4"/>
          <w:w w:val="105"/>
          <w:sz w:val="13"/>
        </w:rPr>
        <w:t> </w:t>
      </w:r>
      <w:r>
        <w:rPr>
          <w:i/>
          <w:w w:val="105"/>
          <w:sz w:val="13"/>
        </w:rPr>
        <w:t>Review</w:t>
      </w:r>
      <w:r>
        <w:rPr>
          <w:i/>
          <w:spacing w:val="5"/>
          <w:w w:val="105"/>
          <w:sz w:val="13"/>
        </w:rPr>
        <w:t> </w:t>
      </w:r>
      <w:r>
        <w:rPr>
          <w:i/>
          <w:spacing w:val="2"/>
          <w:w w:val="105"/>
          <w:sz w:val="13"/>
        </w:rPr>
        <w:t>Report</w:t>
      </w:r>
      <w:r>
        <w:rPr>
          <w:i/>
          <w:spacing w:val="5"/>
          <w:w w:val="105"/>
          <w:sz w:val="13"/>
        </w:rPr>
        <w:t> </w:t>
      </w:r>
      <w:r>
        <w:rPr>
          <w:i/>
          <w:w w:val="105"/>
          <w:sz w:val="13"/>
        </w:rPr>
        <w:t>and</w:t>
      </w:r>
      <w:r>
        <w:rPr>
          <w:i/>
          <w:spacing w:val="4"/>
          <w:w w:val="105"/>
          <w:sz w:val="13"/>
        </w:rPr>
        <w:t> </w:t>
      </w:r>
      <w:r>
        <w:rPr>
          <w:i/>
          <w:w w:val="105"/>
          <w:sz w:val="13"/>
        </w:rPr>
        <w:t>Recommendations</w:t>
      </w:r>
      <w:r>
        <w:rPr>
          <w:i/>
          <w:spacing w:val="5"/>
          <w:w w:val="105"/>
          <w:sz w:val="13"/>
        </w:rPr>
        <w:t> </w:t>
      </w:r>
      <w:r>
        <w:rPr>
          <w:w w:val="105"/>
          <w:sz w:val="13"/>
        </w:rPr>
        <w:t>(2016)</w:t>
      </w:r>
      <w:r>
        <w:rPr>
          <w:spacing w:val="5"/>
          <w:w w:val="105"/>
          <w:sz w:val="13"/>
        </w:rPr>
        <w:t> </w:t>
      </w:r>
      <w:r>
        <w:rPr>
          <w:w w:val="105"/>
          <w:sz w:val="13"/>
        </w:rPr>
        <w:t>vol</w:t>
      </w:r>
      <w:r>
        <w:rPr>
          <w:spacing w:val="5"/>
          <w:w w:val="105"/>
          <w:sz w:val="13"/>
        </w:rPr>
        <w:t> </w:t>
      </w:r>
      <w:r>
        <w:rPr>
          <w:spacing w:val="-3"/>
          <w:w w:val="105"/>
          <w:sz w:val="13"/>
        </w:rPr>
        <w:t>1,</w:t>
      </w:r>
      <w:r>
        <w:rPr>
          <w:spacing w:val="4"/>
          <w:w w:val="105"/>
          <w:sz w:val="13"/>
        </w:rPr>
        <w:t> </w:t>
      </w:r>
      <w:r>
        <w:rPr>
          <w:w w:val="105"/>
          <w:sz w:val="13"/>
        </w:rPr>
        <w:t>245.</w:t>
      </w:r>
      <w:r>
        <w:rPr>
          <w:spacing w:val="5"/>
          <w:w w:val="105"/>
          <w:sz w:val="13"/>
        </w:rPr>
        <w:t> </w:t>
      </w:r>
      <w:r>
        <w:rPr>
          <w:w w:val="105"/>
          <w:sz w:val="13"/>
        </w:rPr>
        <w:t>These</w:t>
      </w:r>
      <w:r>
        <w:rPr>
          <w:spacing w:val="5"/>
          <w:w w:val="105"/>
          <w:sz w:val="13"/>
        </w:rPr>
        <w:t> </w:t>
      </w:r>
      <w:r>
        <w:rPr>
          <w:w w:val="105"/>
          <w:sz w:val="13"/>
        </w:rPr>
        <w:t>lists</w:t>
      </w:r>
      <w:r>
        <w:rPr>
          <w:spacing w:val="5"/>
          <w:w w:val="105"/>
          <w:sz w:val="13"/>
        </w:rPr>
        <w:t> </w:t>
      </w:r>
      <w:r>
        <w:rPr>
          <w:w w:val="105"/>
          <w:sz w:val="13"/>
        </w:rPr>
        <w:t>are</w:t>
      </w:r>
      <w:r>
        <w:rPr>
          <w:spacing w:val="4"/>
          <w:w w:val="105"/>
          <w:sz w:val="13"/>
        </w:rPr>
        <w:t> </w:t>
      </w:r>
      <w:r>
        <w:rPr>
          <w:w w:val="105"/>
          <w:sz w:val="13"/>
        </w:rPr>
        <w:t>not</w:t>
      </w:r>
      <w:r>
        <w:rPr>
          <w:spacing w:val="5"/>
          <w:w w:val="105"/>
          <w:sz w:val="13"/>
        </w:rPr>
        <w:t> </w:t>
      </w:r>
      <w:r>
        <w:rPr>
          <w:w w:val="105"/>
          <w:sz w:val="13"/>
        </w:rPr>
        <w:t>exhaustive.</w:t>
      </w:r>
    </w:p>
    <w:p>
      <w:pPr>
        <w:pStyle w:val="ListParagraph"/>
        <w:numPr>
          <w:ilvl w:val="0"/>
          <w:numId w:val="109"/>
        </w:numPr>
        <w:tabs>
          <w:tab w:pos="2381" w:val="left" w:leader="none"/>
          <w:tab w:pos="2382" w:val="left" w:leader="none"/>
        </w:tabs>
        <w:spacing w:line="240" w:lineRule="auto" w:before="4" w:after="0"/>
        <w:ind w:left="2381" w:right="1" w:hanging="794"/>
        <w:jc w:val="left"/>
        <w:rPr>
          <w:sz w:val="13"/>
        </w:rPr>
      </w:pPr>
      <w:r>
        <w:rPr>
          <w:w w:val="105"/>
          <w:sz w:val="13"/>
        </w:rPr>
        <w:t>Generally considered to be claims not exceeding $10,000. ‘This is consistent with the definition of a ‘small claim’ in part </w:t>
      </w:r>
      <w:r>
        <w:rPr>
          <w:spacing w:val="2"/>
          <w:w w:val="105"/>
          <w:sz w:val="13"/>
        </w:rPr>
        <w:t>2AB </w:t>
      </w:r>
      <w:r>
        <w:rPr>
          <w:w w:val="105"/>
          <w:sz w:val="13"/>
        </w:rPr>
        <w:t>of schedule 1   of the </w:t>
      </w:r>
      <w:r>
        <w:rPr>
          <w:i/>
          <w:w w:val="105"/>
          <w:sz w:val="13"/>
        </w:rPr>
        <w:t>Victorian Civil and Administrative Act 1998 </w:t>
      </w:r>
      <w:r>
        <w:rPr>
          <w:spacing w:val="2"/>
          <w:w w:val="105"/>
          <w:sz w:val="13"/>
        </w:rPr>
        <w:t>(Vic) </w:t>
      </w:r>
      <w:r>
        <w:rPr>
          <w:w w:val="105"/>
          <w:sz w:val="13"/>
        </w:rPr>
        <w:t>which applies to proceedings under the </w:t>
      </w:r>
      <w:r>
        <w:rPr>
          <w:i/>
          <w:w w:val="105"/>
          <w:sz w:val="13"/>
        </w:rPr>
        <w:t>Australian Consumer Law and Fair Trading</w:t>
      </w:r>
      <w:r>
        <w:rPr>
          <w:i/>
          <w:spacing w:val="30"/>
          <w:w w:val="105"/>
          <w:sz w:val="13"/>
        </w:rPr>
        <w:t> </w:t>
      </w:r>
      <w:r>
        <w:rPr>
          <w:i/>
          <w:w w:val="105"/>
          <w:sz w:val="13"/>
        </w:rPr>
        <w:t>Act </w:t>
      </w:r>
      <w:r>
        <w:rPr>
          <w:i/>
          <w:spacing w:val="-4"/>
          <w:w w:val="105"/>
          <w:sz w:val="13"/>
        </w:rPr>
        <w:t>2012 </w:t>
      </w:r>
      <w:r>
        <w:rPr>
          <w:spacing w:val="2"/>
          <w:w w:val="105"/>
          <w:sz w:val="13"/>
        </w:rPr>
        <w:t>(Vic) </w:t>
      </w:r>
      <w:r>
        <w:rPr>
          <w:w w:val="105"/>
          <w:sz w:val="13"/>
        </w:rPr>
        <w:t>and Part 5 of the </w:t>
      </w:r>
      <w:r>
        <w:rPr>
          <w:i/>
          <w:w w:val="105"/>
          <w:sz w:val="13"/>
        </w:rPr>
        <w:t>Magistrates’ Court Act 1989 </w:t>
      </w:r>
      <w:r>
        <w:rPr>
          <w:spacing w:val="2"/>
          <w:w w:val="105"/>
          <w:sz w:val="13"/>
        </w:rPr>
        <w:t>(Vic)’: </w:t>
      </w:r>
      <w:r>
        <w:rPr>
          <w:w w:val="105"/>
          <w:sz w:val="13"/>
        </w:rPr>
        <w:t>Department of Justice and Regulation </w:t>
      </w:r>
      <w:r>
        <w:rPr>
          <w:spacing w:val="2"/>
          <w:w w:val="105"/>
          <w:sz w:val="13"/>
        </w:rPr>
        <w:t>(Vic), </w:t>
      </w:r>
      <w:r>
        <w:rPr>
          <w:i/>
          <w:w w:val="105"/>
          <w:sz w:val="13"/>
        </w:rPr>
        <w:t>Access to Justice Review </w:t>
      </w:r>
      <w:r>
        <w:rPr>
          <w:i/>
          <w:w w:val="105"/>
          <w:sz w:val="13"/>
        </w:rPr>
        <w:t>Background Paper —VCAT Small Civil Claims </w:t>
      </w:r>
      <w:r>
        <w:rPr>
          <w:spacing w:val="2"/>
          <w:w w:val="105"/>
          <w:sz w:val="13"/>
        </w:rPr>
        <w:t>(Report) </w:t>
      </w:r>
      <w:r>
        <w:rPr>
          <w:w w:val="105"/>
          <w:sz w:val="13"/>
        </w:rPr>
        <w:t>5</w:t>
      </w:r>
      <w:r>
        <w:rPr>
          <w:spacing w:val="8"/>
          <w:w w:val="105"/>
          <w:sz w:val="13"/>
        </w:rPr>
        <w:t> </w:t>
      </w:r>
      <w:r>
        <w:rPr>
          <w:w w:val="105"/>
          <w:sz w:val="13"/>
        </w:rPr>
        <w:t>&lt;https://engage.vic.gov.au/accesstojustice&gt;.</w:t>
      </w:r>
    </w:p>
    <w:p>
      <w:pPr>
        <w:pStyle w:val="ListParagraph"/>
        <w:numPr>
          <w:ilvl w:val="0"/>
          <w:numId w:val="109"/>
        </w:numPr>
        <w:tabs>
          <w:tab w:pos="2381" w:val="left" w:leader="none"/>
          <w:tab w:pos="2382" w:val="left" w:leader="none"/>
        </w:tabs>
        <w:spacing w:line="240" w:lineRule="auto" w:before="5" w:after="0"/>
        <w:ind w:left="2381" w:right="0" w:hanging="794"/>
        <w:jc w:val="left"/>
        <w:rPr>
          <w:sz w:val="13"/>
        </w:rPr>
      </w:pPr>
      <w:r>
        <w:rPr>
          <w:w w:val="105"/>
          <w:sz w:val="13"/>
        </w:rPr>
        <w:t>Department</w:t>
      </w:r>
      <w:r>
        <w:rPr>
          <w:spacing w:val="5"/>
          <w:w w:val="105"/>
          <w:sz w:val="13"/>
        </w:rPr>
        <w:t> </w:t>
      </w:r>
      <w:r>
        <w:rPr>
          <w:w w:val="105"/>
          <w:sz w:val="13"/>
        </w:rPr>
        <w:t>of</w:t>
      </w:r>
      <w:r>
        <w:rPr>
          <w:spacing w:val="6"/>
          <w:w w:val="105"/>
          <w:sz w:val="13"/>
        </w:rPr>
        <w:t> </w:t>
      </w:r>
      <w:r>
        <w:rPr>
          <w:w w:val="105"/>
          <w:sz w:val="13"/>
        </w:rPr>
        <w:t>Justice</w:t>
      </w:r>
      <w:r>
        <w:rPr>
          <w:spacing w:val="5"/>
          <w:w w:val="105"/>
          <w:sz w:val="13"/>
        </w:rPr>
        <w:t> </w:t>
      </w:r>
      <w:r>
        <w:rPr>
          <w:w w:val="105"/>
          <w:sz w:val="13"/>
        </w:rPr>
        <w:t>and</w:t>
      </w:r>
      <w:r>
        <w:rPr>
          <w:spacing w:val="6"/>
          <w:w w:val="105"/>
          <w:sz w:val="13"/>
        </w:rPr>
        <w:t> </w:t>
      </w:r>
      <w:r>
        <w:rPr>
          <w:w w:val="105"/>
          <w:sz w:val="13"/>
        </w:rPr>
        <w:t>Regulation</w:t>
      </w:r>
      <w:r>
        <w:rPr>
          <w:spacing w:val="6"/>
          <w:w w:val="105"/>
          <w:sz w:val="13"/>
        </w:rPr>
        <w:t> </w:t>
      </w:r>
      <w:r>
        <w:rPr>
          <w:spacing w:val="2"/>
          <w:w w:val="105"/>
          <w:sz w:val="13"/>
        </w:rPr>
        <w:t>(Vic),</w:t>
      </w:r>
      <w:r>
        <w:rPr>
          <w:spacing w:val="5"/>
          <w:w w:val="105"/>
          <w:sz w:val="13"/>
        </w:rPr>
        <w:t> </w:t>
      </w:r>
      <w:r>
        <w:rPr>
          <w:i/>
          <w:w w:val="105"/>
          <w:sz w:val="13"/>
        </w:rPr>
        <w:t>Access</w:t>
      </w:r>
      <w:r>
        <w:rPr>
          <w:i/>
          <w:spacing w:val="6"/>
          <w:w w:val="105"/>
          <w:sz w:val="13"/>
        </w:rPr>
        <w:t> </w:t>
      </w:r>
      <w:r>
        <w:rPr>
          <w:i/>
          <w:w w:val="105"/>
          <w:sz w:val="13"/>
        </w:rPr>
        <w:t>to</w:t>
      </w:r>
      <w:r>
        <w:rPr>
          <w:i/>
          <w:spacing w:val="6"/>
          <w:w w:val="105"/>
          <w:sz w:val="13"/>
        </w:rPr>
        <w:t> </w:t>
      </w:r>
      <w:r>
        <w:rPr>
          <w:i/>
          <w:w w:val="105"/>
          <w:sz w:val="13"/>
        </w:rPr>
        <w:t>Justice</w:t>
      </w:r>
      <w:r>
        <w:rPr>
          <w:i/>
          <w:spacing w:val="5"/>
          <w:w w:val="105"/>
          <w:sz w:val="13"/>
        </w:rPr>
        <w:t> </w:t>
      </w:r>
      <w:r>
        <w:rPr>
          <w:i/>
          <w:w w:val="105"/>
          <w:sz w:val="13"/>
        </w:rPr>
        <w:t>Review</w:t>
      </w:r>
      <w:r>
        <w:rPr>
          <w:i/>
          <w:spacing w:val="6"/>
          <w:w w:val="105"/>
          <w:sz w:val="13"/>
        </w:rPr>
        <w:t> </w:t>
      </w:r>
      <w:r>
        <w:rPr>
          <w:i/>
          <w:w w:val="105"/>
          <w:sz w:val="13"/>
        </w:rPr>
        <w:t>Background</w:t>
      </w:r>
      <w:r>
        <w:rPr>
          <w:i/>
          <w:spacing w:val="5"/>
          <w:w w:val="105"/>
          <w:sz w:val="13"/>
        </w:rPr>
        <w:t> </w:t>
      </w:r>
      <w:r>
        <w:rPr>
          <w:i/>
          <w:w w:val="105"/>
          <w:sz w:val="13"/>
        </w:rPr>
        <w:t>Paper—VCAT</w:t>
      </w:r>
      <w:r>
        <w:rPr>
          <w:i/>
          <w:spacing w:val="6"/>
          <w:w w:val="105"/>
          <w:sz w:val="13"/>
        </w:rPr>
        <w:t> </w:t>
      </w:r>
      <w:r>
        <w:rPr>
          <w:i/>
          <w:w w:val="105"/>
          <w:sz w:val="13"/>
        </w:rPr>
        <w:t>Small</w:t>
      </w:r>
      <w:r>
        <w:rPr>
          <w:i/>
          <w:spacing w:val="6"/>
          <w:w w:val="105"/>
          <w:sz w:val="13"/>
        </w:rPr>
        <w:t> </w:t>
      </w:r>
      <w:r>
        <w:rPr>
          <w:i/>
          <w:w w:val="105"/>
          <w:sz w:val="13"/>
        </w:rPr>
        <w:t>Civil</w:t>
      </w:r>
      <w:r>
        <w:rPr>
          <w:i/>
          <w:spacing w:val="5"/>
          <w:w w:val="105"/>
          <w:sz w:val="13"/>
        </w:rPr>
        <w:t> </w:t>
      </w:r>
      <w:r>
        <w:rPr>
          <w:i/>
          <w:w w:val="105"/>
          <w:sz w:val="13"/>
        </w:rPr>
        <w:t>Claims</w:t>
      </w:r>
      <w:r>
        <w:rPr>
          <w:i/>
          <w:spacing w:val="6"/>
          <w:w w:val="105"/>
          <w:sz w:val="13"/>
        </w:rPr>
        <w:t> </w:t>
      </w:r>
      <w:r>
        <w:rPr>
          <w:spacing w:val="2"/>
          <w:w w:val="105"/>
          <w:sz w:val="13"/>
        </w:rPr>
        <w:t>(Report)</w:t>
      </w:r>
      <w:r>
        <w:rPr>
          <w:spacing w:val="6"/>
          <w:w w:val="105"/>
          <w:sz w:val="13"/>
        </w:rPr>
        <w:t> </w:t>
      </w:r>
      <w:r>
        <w:rPr>
          <w:w w:val="105"/>
          <w:sz w:val="13"/>
        </w:rPr>
        <w:t>3</w:t>
      </w:r>
    </w:p>
    <w:p>
      <w:pPr>
        <w:spacing w:before="2"/>
        <w:ind w:left="2381" w:right="0" w:firstLine="0"/>
        <w:jc w:val="left"/>
        <w:rPr>
          <w:sz w:val="13"/>
        </w:rPr>
      </w:pPr>
      <w:r>
        <w:rPr>
          <w:w w:val="105"/>
          <w:sz w:val="13"/>
        </w:rPr>
        <w:t>&lt;https://engage.vic.gov.au/accesstojustice&gt;.</w:t>
      </w:r>
    </w:p>
    <w:p>
      <w:pPr>
        <w:pStyle w:val="ListParagraph"/>
        <w:numPr>
          <w:ilvl w:val="0"/>
          <w:numId w:val="109"/>
        </w:numPr>
        <w:tabs>
          <w:tab w:pos="2381" w:val="left" w:leader="none"/>
          <w:tab w:pos="2382" w:val="left" w:leader="none"/>
        </w:tabs>
        <w:spacing w:line="240" w:lineRule="auto" w:before="1" w:after="0"/>
        <w:ind w:left="2381" w:right="230" w:hanging="794"/>
        <w:jc w:val="left"/>
        <w:rPr>
          <w:sz w:val="13"/>
        </w:rPr>
      </w:pPr>
      <w:r>
        <w:rPr>
          <w:w w:val="105"/>
          <w:sz w:val="13"/>
        </w:rPr>
        <w:t>Fees are generally applied on a sliding scale depending on the amount in dispute. Victorian Civil and Administrative Tribunal, </w:t>
      </w:r>
      <w:r>
        <w:rPr>
          <w:i/>
          <w:spacing w:val="2"/>
          <w:w w:val="105"/>
          <w:sz w:val="13"/>
        </w:rPr>
        <w:t>Owners </w:t>
      </w:r>
      <w:r>
        <w:rPr>
          <w:i/>
          <w:w w:val="105"/>
          <w:sz w:val="13"/>
        </w:rPr>
        <w:t>Corporations Fees </w:t>
      </w:r>
      <w:r>
        <w:rPr>
          <w:w w:val="105"/>
          <w:sz w:val="13"/>
        </w:rPr>
        <w:t>(Web Page, 1 July 2018) &lt;https://</w:t>
      </w:r>
      <w:hyperlink r:id="rId159">
        <w:r>
          <w:rPr>
            <w:w w:val="105"/>
            <w:sz w:val="13"/>
          </w:rPr>
          <w:t>www.vcat.vic.gov.au/resources/owners-corporations-fees</w:t>
        </w:r>
      </w:hyperlink>
      <w:r>
        <w:rPr>
          <w:w w:val="105"/>
          <w:sz w:val="13"/>
        </w:rPr>
        <w:t>&gt;; </w:t>
      </w:r>
      <w:r>
        <w:rPr>
          <w:i/>
          <w:w w:val="105"/>
          <w:sz w:val="13"/>
        </w:rPr>
        <w:t>Victorian Civil and </w:t>
      </w:r>
      <w:r>
        <w:rPr>
          <w:i/>
          <w:w w:val="105"/>
          <w:sz w:val="13"/>
        </w:rPr>
        <w:t>Administrative Tribunal, Renting a Home Fees </w:t>
      </w:r>
      <w:r>
        <w:rPr>
          <w:w w:val="105"/>
          <w:sz w:val="13"/>
        </w:rPr>
        <w:t>(Web Page, 1 July 2018) &lt;https://</w:t>
      </w:r>
      <w:hyperlink r:id="rId160">
        <w:r>
          <w:rPr>
            <w:w w:val="105"/>
            <w:sz w:val="13"/>
          </w:rPr>
          <w:t>www.vcat.vic.gov.au/resources/renting-a-home-fees</w:t>
        </w:r>
      </w:hyperlink>
      <w:r>
        <w:rPr>
          <w:w w:val="105"/>
          <w:sz w:val="13"/>
        </w:rPr>
        <w:t>&gt;; </w:t>
      </w:r>
      <w:r>
        <w:rPr>
          <w:i/>
          <w:w w:val="105"/>
          <w:sz w:val="13"/>
        </w:rPr>
        <w:t>Victorian Civil and Administrative Tribunal, Goods and Services Fees </w:t>
      </w:r>
      <w:r>
        <w:rPr>
          <w:w w:val="105"/>
          <w:sz w:val="13"/>
        </w:rPr>
        <w:t>(Web Page, 1 July 2018) &lt;https://</w:t>
      </w:r>
      <w:hyperlink r:id="rId161">
        <w:r>
          <w:rPr>
            <w:w w:val="105"/>
            <w:sz w:val="13"/>
          </w:rPr>
          <w:t>www.vcat.vic.gov.au/resources/</w:t>
        </w:r>
      </w:hyperlink>
      <w:r>
        <w:rPr>
          <w:w w:val="105"/>
          <w:sz w:val="13"/>
        </w:rPr>
        <w:t> goods-and-services-fees&gt;.</w:t>
      </w:r>
    </w:p>
    <w:p>
      <w:pPr>
        <w:pStyle w:val="ListParagraph"/>
        <w:numPr>
          <w:ilvl w:val="0"/>
          <w:numId w:val="109"/>
        </w:numPr>
        <w:tabs>
          <w:tab w:pos="2381" w:val="left" w:leader="none"/>
          <w:tab w:pos="2382" w:val="left" w:leader="none"/>
        </w:tabs>
        <w:spacing w:line="240" w:lineRule="auto" w:before="7" w:after="0"/>
        <w:ind w:left="2381" w:right="40" w:hanging="794"/>
        <w:jc w:val="left"/>
        <w:rPr>
          <w:sz w:val="13"/>
        </w:rPr>
      </w:pPr>
      <w:r>
        <w:rPr>
          <w:w w:val="105"/>
          <w:sz w:val="13"/>
        </w:rPr>
        <w:t>Victorian Civil and Administrative Tribunal, </w:t>
      </w:r>
      <w:r>
        <w:rPr>
          <w:i/>
          <w:spacing w:val="2"/>
          <w:w w:val="105"/>
          <w:sz w:val="13"/>
        </w:rPr>
        <w:t>Owners </w:t>
      </w:r>
      <w:r>
        <w:rPr>
          <w:i/>
          <w:w w:val="105"/>
          <w:sz w:val="13"/>
        </w:rPr>
        <w:t>Corporations Fees </w:t>
      </w:r>
      <w:r>
        <w:rPr>
          <w:w w:val="105"/>
          <w:sz w:val="13"/>
        </w:rPr>
        <w:t>(Web Page, 1 July 2018) &lt;https://</w:t>
      </w:r>
      <w:hyperlink r:id="rId161">
        <w:r>
          <w:rPr>
            <w:w w:val="105"/>
            <w:sz w:val="13"/>
          </w:rPr>
          <w:t>www.vcat.vic.gov.au/resources/</w:t>
        </w:r>
      </w:hyperlink>
      <w:r>
        <w:rPr>
          <w:w w:val="105"/>
          <w:sz w:val="13"/>
        </w:rPr>
        <w:t> owners-corporations-fees&gt;; </w:t>
      </w:r>
      <w:r>
        <w:rPr>
          <w:i/>
          <w:w w:val="105"/>
          <w:sz w:val="13"/>
        </w:rPr>
        <w:t>Victorian Civil and Administrative Tribunal, Renting a Home Fees ( </w:t>
      </w:r>
      <w:r>
        <w:rPr>
          <w:w w:val="105"/>
          <w:sz w:val="13"/>
        </w:rPr>
        <w:t>Web Page, 1 July 2018) </w:t>
      </w:r>
      <w:r>
        <w:rPr>
          <w:spacing w:val="2"/>
          <w:w w:val="105"/>
          <w:sz w:val="13"/>
        </w:rPr>
        <w:t>&lt;https://www.vcat. </w:t>
      </w:r>
      <w:r>
        <w:rPr>
          <w:w w:val="105"/>
          <w:sz w:val="13"/>
        </w:rPr>
        <w:t>vic.gov.au/resources/renting-a-home-fees&gt;;</w:t>
      </w:r>
      <w:r>
        <w:rPr>
          <w:spacing w:val="8"/>
          <w:w w:val="105"/>
          <w:sz w:val="13"/>
        </w:rPr>
        <w:t> </w:t>
      </w:r>
      <w:r>
        <w:rPr>
          <w:i/>
          <w:w w:val="105"/>
          <w:sz w:val="13"/>
        </w:rPr>
        <w:t>Victorian</w:t>
      </w:r>
      <w:r>
        <w:rPr>
          <w:i/>
          <w:spacing w:val="8"/>
          <w:w w:val="105"/>
          <w:sz w:val="13"/>
        </w:rPr>
        <w:t> </w:t>
      </w:r>
      <w:r>
        <w:rPr>
          <w:i/>
          <w:w w:val="105"/>
          <w:sz w:val="13"/>
        </w:rPr>
        <w:t>Civil</w:t>
      </w:r>
      <w:r>
        <w:rPr>
          <w:i/>
          <w:spacing w:val="9"/>
          <w:w w:val="105"/>
          <w:sz w:val="13"/>
        </w:rPr>
        <w:t> </w:t>
      </w:r>
      <w:r>
        <w:rPr>
          <w:i/>
          <w:w w:val="105"/>
          <w:sz w:val="13"/>
        </w:rPr>
        <w:t>and</w:t>
      </w:r>
      <w:r>
        <w:rPr>
          <w:i/>
          <w:spacing w:val="8"/>
          <w:w w:val="105"/>
          <w:sz w:val="13"/>
        </w:rPr>
        <w:t> </w:t>
      </w:r>
      <w:r>
        <w:rPr>
          <w:i/>
          <w:w w:val="105"/>
          <w:sz w:val="13"/>
        </w:rPr>
        <w:t>Administrative</w:t>
      </w:r>
      <w:r>
        <w:rPr>
          <w:i/>
          <w:spacing w:val="9"/>
          <w:w w:val="105"/>
          <w:sz w:val="13"/>
        </w:rPr>
        <w:t> </w:t>
      </w:r>
      <w:r>
        <w:rPr>
          <w:i/>
          <w:w w:val="105"/>
          <w:sz w:val="13"/>
        </w:rPr>
        <w:t>Tribunal,</w:t>
      </w:r>
      <w:r>
        <w:rPr>
          <w:i/>
          <w:spacing w:val="8"/>
          <w:w w:val="105"/>
          <w:sz w:val="13"/>
        </w:rPr>
        <w:t> </w:t>
      </w:r>
      <w:r>
        <w:rPr>
          <w:i/>
          <w:w w:val="105"/>
          <w:sz w:val="13"/>
        </w:rPr>
        <w:t>Goods</w:t>
      </w:r>
      <w:r>
        <w:rPr>
          <w:i/>
          <w:spacing w:val="9"/>
          <w:w w:val="105"/>
          <w:sz w:val="13"/>
        </w:rPr>
        <w:t> </w:t>
      </w:r>
      <w:r>
        <w:rPr>
          <w:i/>
          <w:w w:val="105"/>
          <w:sz w:val="13"/>
        </w:rPr>
        <w:t>and</w:t>
      </w:r>
      <w:r>
        <w:rPr>
          <w:i/>
          <w:spacing w:val="8"/>
          <w:w w:val="105"/>
          <w:sz w:val="13"/>
        </w:rPr>
        <w:t> </w:t>
      </w:r>
      <w:r>
        <w:rPr>
          <w:i/>
          <w:w w:val="105"/>
          <w:sz w:val="13"/>
        </w:rPr>
        <w:t>Services</w:t>
      </w:r>
      <w:r>
        <w:rPr>
          <w:i/>
          <w:spacing w:val="8"/>
          <w:w w:val="105"/>
          <w:sz w:val="13"/>
        </w:rPr>
        <w:t> </w:t>
      </w:r>
      <w:r>
        <w:rPr>
          <w:i/>
          <w:w w:val="105"/>
          <w:sz w:val="13"/>
        </w:rPr>
        <w:t>Fees</w:t>
      </w:r>
      <w:r>
        <w:rPr>
          <w:i/>
          <w:spacing w:val="9"/>
          <w:w w:val="105"/>
          <w:sz w:val="13"/>
        </w:rPr>
        <w:t> </w:t>
      </w:r>
      <w:r>
        <w:rPr>
          <w:w w:val="105"/>
          <w:sz w:val="13"/>
        </w:rPr>
        <w:t>(Web</w:t>
      </w:r>
      <w:r>
        <w:rPr>
          <w:spacing w:val="8"/>
          <w:w w:val="105"/>
          <w:sz w:val="13"/>
        </w:rPr>
        <w:t> </w:t>
      </w:r>
      <w:r>
        <w:rPr>
          <w:w w:val="105"/>
          <w:sz w:val="13"/>
        </w:rPr>
        <w:t>Page,</w:t>
      </w:r>
      <w:r>
        <w:rPr>
          <w:spacing w:val="9"/>
          <w:w w:val="105"/>
          <w:sz w:val="13"/>
        </w:rPr>
        <w:t> </w:t>
      </w:r>
      <w:r>
        <w:rPr>
          <w:w w:val="105"/>
          <w:sz w:val="13"/>
        </w:rPr>
        <w:t>1</w:t>
      </w:r>
      <w:r>
        <w:rPr>
          <w:spacing w:val="8"/>
          <w:w w:val="105"/>
          <w:sz w:val="13"/>
        </w:rPr>
        <w:t> </w:t>
      </w:r>
      <w:r>
        <w:rPr>
          <w:w w:val="105"/>
          <w:sz w:val="13"/>
        </w:rPr>
        <w:t>July</w:t>
      </w:r>
      <w:r>
        <w:rPr>
          <w:spacing w:val="9"/>
          <w:w w:val="105"/>
          <w:sz w:val="13"/>
        </w:rPr>
        <w:t> </w:t>
      </w:r>
      <w:r>
        <w:rPr>
          <w:w w:val="105"/>
          <w:sz w:val="13"/>
        </w:rPr>
        <w:t>2018)</w:t>
      </w:r>
    </w:p>
    <w:p>
      <w:pPr>
        <w:spacing w:before="4"/>
        <w:ind w:left="2381" w:right="0" w:firstLine="0"/>
        <w:jc w:val="left"/>
        <w:rPr>
          <w:sz w:val="13"/>
        </w:rPr>
      </w:pPr>
      <w:r>
        <w:rPr>
          <w:sz w:val="13"/>
        </w:rPr>
        <w:t>&lt;https://</w:t>
      </w:r>
      <w:hyperlink r:id="rId162">
        <w:r>
          <w:rPr>
            <w:sz w:val="13"/>
          </w:rPr>
          <w:t>www.vcat.vic.gov.au/resources/goods-and-services-fees</w:t>
        </w:r>
      </w:hyperlink>
      <w:r>
        <w:rPr>
          <w:sz w:val="13"/>
        </w:rPr>
        <w:t>&gt;.</w:t>
      </w:r>
    </w:p>
    <w:p>
      <w:pPr>
        <w:pStyle w:val="ListParagraph"/>
        <w:numPr>
          <w:ilvl w:val="0"/>
          <w:numId w:val="109"/>
        </w:numPr>
        <w:tabs>
          <w:tab w:pos="2381" w:val="left" w:leader="none"/>
          <w:tab w:pos="2382" w:val="left" w:leader="none"/>
        </w:tabs>
        <w:spacing w:line="240" w:lineRule="auto" w:before="1" w:after="0"/>
        <w:ind w:left="2381" w:right="569" w:hanging="794"/>
        <w:jc w:val="left"/>
        <w:rPr>
          <w:sz w:val="13"/>
        </w:rPr>
      </w:pPr>
      <w:r>
        <w:rPr>
          <w:w w:val="105"/>
          <w:sz w:val="13"/>
        </w:rPr>
        <w:t>Victorian Civil and Administrative Tribunal, </w:t>
      </w:r>
      <w:r>
        <w:rPr>
          <w:i/>
          <w:w w:val="105"/>
          <w:sz w:val="13"/>
        </w:rPr>
        <w:t>Fee Categories </w:t>
      </w:r>
      <w:r>
        <w:rPr>
          <w:w w:val="105"/>
          <w:sz w:val="13"/>
        </w:rPr>
        <w:t>(Web Page, 9 May 2017) </w:t>
      </w:r>
      <w:r>
        <w:rPr>
          <w:spacing w:val="2"/>
          <w:w w:val="105"/>
          <w:sz w:val="13"/>
        </w:rPr>
        <w:t>&lt;https://</w:t>
      </w:r>
      <w:hyperlink r:id="rId163">
        <w:r>
          <w:rPr>
            <w:spacing w:val="2"/>
            <w:w w:val="105"/>
            <w:sz w:val="13"/>
          </w:rPr>
          <w:t>www.vcat.vic.gov.au/resources/fee-</w:t>
        </w:r>
      </w:hyperlink>
      <w:r>
        <w:rPr>
          <w:spacing w:val="2"/>
          <w:w w:val="105"/>
          <w:sz w:val="13"/>
        </w:rPr>
        <w:t> </w:t>
      </w:r>
      <w:r>
        <w:rPr>
          <w:w w:val="105"/>
          <w:sz w:val="13"/>
        </w:rPr>
        <w:t>categories&gt;.</w:t>
      </w:r>
    </w:p>
    <w:p>
      <w:pPr>
        <w:pStyle w:val="ListParagraph"/>
        <w:numPr>
          <w:ilvl w:val="0"/>
          <w:numId w:val="109"/>
        </w:numPr>
        <w:tabs>
          <w:tab w:pos="2381" w:val="left" w:leader="none"/>
          <w:tab w:pos="2382" w:val="left" w:leader="none"/>
        </w:tabs>
        <w:spacing w:line="240" w:lineRule="auto" w:before="3" w:after="0"/>
        <w:ind w:left="2381" w:right="864" w:hanging="794"/>
        <w:jc w:val="left"/>
        <w:rPr>
          <w:sz w:val="13"/>
        </w:rPr>
      </w:pPr>
      <w:r>
        <w:rPr>
          <w:sz w:val="13"/>
        </w:rPr>
        <w:t>Victorian Civil and Administrative Tribunal, </w:t>
      </w:r>
      <w:r>
        <w:rPr>
          <w:i/>
          <w:sz w:val="13"/>
        </w:rPr>
        <w:t>Fee Relief </w:t>
      </w:r>
      <w:r>
        <w:rPr>
          <w:sz w:val="13"/>
        </w:rPr>
        <w:t>(Web Page) &lt;https://</w:t>
      </w:r>
      <w:hyperlink r:id="rId164">
        <w:r>
          <w:rPr>
            <w:sz w:val="13"/>
          </w:rPr>
          <w:t>www.vcat.vic.gov.au/steps-to-resolve-your-case/</w:t>
        </w:r>
      </w:hyperlink>
      <w:r>
        <w:rPr>
          <w:sz w:val="13"/>
        </w:rPr>
        <w:t> fees-at-vcat/fee-relief&gt;.</w:t>
      </w:r>
    </w:p>
    <w:p>
      <w:pPr>
        <w:pStyle w:val="ListParagraph"/>
        <w:numPr>
          <w:ilvl w:val="0"/>
          <w:numId w:val="109"/>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109"/>
        </w:numPr>
        <w:tabs>
          <w:tab w:pos="2381" w:val="left" w:leader="none"/>
          <w:tab w:pos="2382" w:val="left" w:leader="none"/>
        </w:tabs>
        <w:spacing w:line="240" w:lineRule="auto" w:before="2" w:after="0"/>
        <w:ind w:left="2381" w:right="0" w:hanging="794"/>
        <w:jc w:val="left"/>
        <w:rPr>
          <w:sz w:val="13"/>
        </w:rPr>
      </w:pPr>
      <w:r>
        <w:rPr>
          <w:sz w:val="13"/>
        </w:rPr>
        <w:t>Ibid.</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
        <w:rPr>
          <w:sz w:val="39"/>
        </w:rPr>
      </w:pPr>
    </w:p>
    <w:p>
      <w:pPr>
        <w:spacing w:before="1"/>
        <w:ind w:left="622" w:right="575" w:firstLine="0"/>
        <w:jc w:val="center"/>
        <w:rPr>
          <w:b/>
          <w:sz w:val="24"/>
        </w:rPr>
      </w:pPr>
      <w:r>
        <w:rPr>
          <w:b/>
          <w:color w:val="658464"/>
          <w:w w:val="110"/>
          <w:sz w:val="24"/>
        </w:rPr>
        <w:t>137</w:t>
      </w:r>
    </w:p>
    <w:p>
      <w:pPr>
        <w:spacing w:after="0"/>
        <w:jc w:val="center"/>
        <w:rPr>
          <w:sz w:val="24"/>
        </w:rPr>
        <w:sectPr>
          <w:type w:val="continuous"/>
          <w:pgSz w:w="11910" w:h="16840"/>
          <w:pgMar w:top="300" w:bottom="280" w:left="0" w:right="0"/>
          <w:cols w:num="2" w:equalWidth="0">
            <w:col w:w="10231" w:space="39"/>
            <w:col w:w="1640"/>
          </w:cols>
        </w:sectPr>
      </w:pPr>
    </w:p>
    <w:p>
      <w:pPr>
        <w:pStyle w:val="BodyText"/>
        <w:spacing w:before="9"/>
        <w:rPr>
          <w:b/>
          <w:sz w:val="22"/>
        </w:rPr>
      </w:pPr>
    </w:p>
    <w:p>
      <w:pPr>
        <w:pStyle w:val="ListParagraph"/>
        <w:numPr>
          <w:ilvl w:val="1"/>
          <w:numId w:val="16"/>
        </w:numPr>
        <w:tabs>
          <w:tab w:pos="2381" w:val="left" w:leader="none"/>
          <w:tab w:pos="2382" w:val="left" w:leader="none"/>
        </w:tabs>
        <w:spacing w:line="242" w:lineRule="auto" w:before="92" w:after="0"/>
        <w:ind w:left="2381" w:right="2108" w:hanging="794"/>
        <w:jc w:val="left"/>
        <w:rPr>
          <w:sz w:val="21"/>
        </w:rPr>
      </w:pPr>
      <w:r>
        <w:rPr>
          <w:spacing w:val="-5"/>
          <w:w w:val="105"/>
          <w:sz w:val="21"/>
        </w:rPr>
        <w:t>VCAT </w:t>
      </w:r>
      <w:r>
        <w:rPr>
          <w:w w:val="105"/>
          <w:sz w:val="21"/>
        </w:rPr>
        <w:t>revised its fees in July </w:t>
      </w:r>
      <w:r>
        <w:rPr>
          <w:spacing w:val="-7"/>
          <w:w w:val="105"/>
          <w:sz w:val="21"/>
        </w:rPr>
        <w:t>2016, </w:t>
      </w:r>
      <w:r>
        <w:rPr>
          <w:spacing w:val="-3"/>
          <w:w w:val="105"/>
          <w:sz w:val="21"/>
        </w:rPr>
        <w:t>making </w:t>
      </w:r>
      <w:r>
        <w:rPr>
          <w:w w:val="105"/>
          <w:sz w:val="21"/>
        </w:rPr>
        <w:t>it more </w:t>
      </w:r>
      <w:r>
        <w:rPr>
          <w:spacing w:val="-3"/>
          <w:w w:val="105"/>
          <w:sz w:val="21"/>
        </w:rPr>
        <w:t>affordable.</w:t>
      </w:r>
      <w:r>
        <w:rPr>
          <w:spacing w:val="-3"/>
          <w:w w:val="105"/>
          <w:position w:val="7"/>
          <w:sz w:val="12"/>
        </w:rPr>
        <w:t>50 </w:t>
      </w:r>
      <w:r>
        <w:rPr>
          <w:w w:val="105"/>
          <w:sz w:val="21"/>
        </w:rPr>
        <w:t>The </w:t>
      </w:r>
      <w:r>
        <w:rPr>
          <w:spacing w:val="-3"/>
          <w:w w:val="105"/>
          <w:sz w:val="21"/>
        </w:rPr>
        <w:t>Access to </w:t>
      </w:r>
      <w:r>
        <w:rPr>
          <w:w w:val="105"/>
          <w:sz w:val="21"/>
        </w:rPr>
        <w:t>Justice Review </w:t>
      </w:r>
      <w:r>
        <w:rPr>
          <w:spacing w:val="-3"/>
          <w:w w:val="105"/>
          <w:sz w:val="21"/>
        </w:rPr>
        <w:t>found that </w:t>
      </w:r>
      <w:r>
        <w:rPr>
          <w:w w:val="105"/>
          <w:sz w:val="21"/>
        </w:rPr>
        <w:t>this </w:t>
      </w:r>
      <w:r>
        <w:rPr>
          <w:spacing w:val="-4"/>
          <w:w w:val="105"/>
          <w:sz w:val="21"/>
        </w:rPr>
        <w:t>‘new </w:t>
      </w:r>
      <w:r>
        <w:rPr>
          <w:w w:val="105"/>
          <w:sz w:val="21"/>
        </w:rPr>
        <w:t>fee structure adequately meets </w:t>
      </w:r>
      <w:r>
        <w:rPr>
          <w:spacing w:val="-3"/>
          <w:w w:val="105"/>
          <w:sz w:val="21"/>
        </w:rPr>
        <w:t>concerns </w:t>
      </w:r>
      <w:r>
        <w:rPr>
          <w:w w:val="105"/>
          <w:sz w:val="21"/>
        </w:rPr>
        <w:t>about the affordability of </w:t>
      </w:r>
      <w:r>
        <w:rPr>
          <w:spacing w:val="-3"/>
          <w:w w:val="105"/>
          <w:sz w:val="21"/>
        </w:rPr>
        <w:t>commencing applications for small </w:t>
      </w:r>
      <w:r>
        <w:rPr>
          <w:w w:val="105"/>
          <w:sz w:val="21"/>
        </w:rPr>
        <w:t>civil</w:t>
      </w:r>
      <w:r>
        <w:rPr>
          <w:spacing w:val="36"/>
          <w:w w:val="105"/>
          <w:sz w:val="21"/>
        </w:rPr>
        <w:t> </w:t>
      </w:r>
      <w:r>
        <w:rPr>
          <w:spacing w:val="-6"/>
          <w:w w:val="105"/>
          <w:sz w:val="21"/>
        </w:rPr>
        <w:t>claims’.</w:t>
      </w:r>
      <w:r>
        <w:rPr>
          <w:spacing w:val="-6"/>
          <w:w w:val="105"/>
          <w:position w:val="7"/>
          <w:sz w:val="12"/>
        </w:rPr>
        <w:t>51</w:t>
      </w:r>
    </w:p>
    <w:p>
      <w:pPr>
        <w:pStyle w:val="Heading7"/>
        <w:spacing w:before="153"/>
      </w:pPr>
      <w:r>
        <w:rPr>
          <w:w w:val="115"/>
        </w:rPr>
        <w:t>Subject-matter expertise—VCAT</w:t>
      </w:r>
    </w:p>
    <w:p>
      <w:pPr>
        <w:pStyle w:val="ListParagraph"/>
        <w:numPr>
          <w:ilvl w:val="1"/>
          <w:numId w:val="16"/>
        </w:numPr>
        <w:tabs>
          <w:tab w:pos="2381" w:val="left" w:leader="none"/>
          <w:tab w:pos="2382" w:val="left" w:leader="none"/>
        </w:tabs>
        <w:spacing w:line="242" w:lineRule="auto" w:before="143" w:after="0"/>
        <w:ind w:left="2381" w:right="1962" w:hanging="794"/>
        <w:jc w:val="left"/>
        <w:rPr>
          <w:sz w:val="21"/>
        </w:rPr>
      </w:pPr>
      <w:r>
        <w:rPr>
          <w:spacing w:val="-5"/>
          <w:w w:val="105"/>
          <w:sz w:val="21"/>
        </w:rPr>
        <w:t>VCAT</w:t>
      </w:r>
      <w:r>
        <w:rPr>
          <w:spacing w:val="-9"/>
          <w:w w:val="105"/>
          <w:sz w:val="21"/>
        </w:rPr>
        <w:t> </w:t>
      </w:r>
      <w:r>
        <w:rPr>
          <w:spacing w:val="-2"/>
          <w:w w:val="105"/>
          <w:sz w:val="21"/>
        </w:rPr>
        <w:t>has</w:t>
      </w:r>
      <w:r>
        <w:rPr>
          <w:spacing w:val="-8"/>
          <w:w w:val="105"/>
          <w:sz w:val="21"/>
        </w:rPr>
        <w:t> </w:t>
      </w:r>
      <w:r>
        <w:rPr>
          <w:spacing w:val="-3"/>
          <w:w w:val="105"/>
          <w:sz w:val="21"/>
        </w:rPr>
        <w:t>substantial</w:t>
      </w:r>
      <w:r>
        <w:rPr>
          <w:spacing w:val="-8"/>
          <w:w w:val="105"/>
          <w:sz w:val="21"/>
        </w:rPr>
        <w:t> </w:t>
      </w:r>
      <w:r>
        <w:rPr>
          <w:w w:val="105"/>
          <w:sz w:val="21"/>
        </w:rPr>
        <w:t>review</w:t>
      </w:r>
      <w:r>
        <w:rPr>
          <w:spacing w:val="-8"/>
          <w:w w:val="105"/>
          <w:sz w:val="21"/>
        </w:rPr>
        <w:t> </w:t>
      </w:r>
      <w:r>
        <w:rPr>
          <w:w w:val="105"/>
          <w:sz w:val="21"/>
        </w:rPr>
        <w:t>jurisdiction</w:t>
      </w:r>
      <w:r>
        <w:rPr>
          <w:w w:val="105"/>
          <w:position w:val="7"/>
          <w:sz w:val="12"/>
        </w:rPr>
        <w:t>52</w:t>
      </w:r>
      <w:r>
        <w:rPr>
          <w:spacing w:val="15"/>
          <w:w w:val="105"/>
          <w:position w:val="7"/>
          <w:sz w:val="12"/>
        </w:rPr>
        <w:t> </w:t>
      </w:r>
      <w:r>
        <w:rPr>
          <w:w w:val="105"/>
          <w:sz w:val="21"/>
        </w:rPr>
        <w:t>in</w:t>
      </w:r>
      <w:r>
        <w:rPr>
          <w:spacing w:val="-8"/>
          <w:w w:val="105"/>
          <w:sz w:val="21"/>
        </w:rPr>
        <w:t> </w:t>
      </w:r>
      <w:r>
        <w:rPr>
          <w:w w:val="105"/>
          <w:sz w:val="21"/>
        </w:rPr>
        <w:t>a</w:t>
      </w:r>
      <w:r>
        <w:rPr>
          <w:spacing w:val="-9"/>
          <w:w w:val="105"/>
          <w:sz w:val="21"/>
        </w:rPr>
        <w:t> </w:t>
      </w:r>
      <w:r>
        <w:rPr>
          <w:w w:val="105"/>
          <w:sz w:val="21"/>
        </w:rPr>
        <w:t>number</w:t>
      </w:r>
      <w:r>
        <w:rPr>
          <w:spacing w:val="-8"/>
          <w:w w:val="105"/>
          <w:sz w:val="21"/>
        </w:rPr>
        <w:t> </w:t>
      </w:r>
      <w:r>
        <w:rPr>
          <w:w w:val="105"/>
          <w:sz w:val="21"/>
        </w:rPr>
        <w:t>of</w:t>
      </w:r>
      <w:r>
        <w:rPr>
          <w:spacing w:val="-8"/>
          <w:w w:val="105"/>
          <w:sz w:val="21"/>
        </w:rPr>
        <w:t> </w:t>
      </w:r>
      <w:r>
        <w:rPr>
          <w:spacing w:val="-3"/>
          <w:w w:val="105"/>
          <w:sz w:val="21"/>
        </w:rPr>
        <w:t>areas</w:t>
      </w:r>
      <w:r>
        <w:rPr>
          <w:spacing w:val="-8"/>
          <w:w w:val="105"/>
          <w:sz w:val="21"/>
        </w:rPr>
        <w:t> </w:t>
      </w:r>
      <w:r>
        <w:rPr>
          <w:spacing w:val="-3"/>
          <w:w w:val="105"/>
          <w:sz w:val="21"/>
        </w:rPr>
        <w:t>that</w:t>
      </w:r>
      <w:r>
        <w:rPr>
          <w:spacing w:val="-8"/>
          <w:w w:val="105"/>
          <w:sz w:val="21"/>
        </w:rPr>
        <w:t> </w:t>
      </w:r>
      <w:r>
        <w:rPr>
          <w:w w:val="105"/>
          <w:sz w:val="21"/>
        </w:rPr>
        <w:t>intersect</w:t>
      </w:r>
      <w:r>
        <w:rPr>
          <w:spacing w:val="-8"/>
          <w:w w:val="105"/>
          <w:sz w:val="21"/>
        </w:rPr>
        <w:t> </w:t>
      </w:r>
      <w:r>
        <w:rPr>
          <w:w w:val="105"/>
          <w:sz w:val="21"/>
        </w:rPr>
        <w:t>with</w:t>
      </w:r>
      <w:r>
        <w:rPr>
          <w:spacing w:val="-8"/>
          <w:w w:val="105"/>
          <w:sz w:val="21"/>
        </w:rPr>
        <w:t> </w:t>
      </w:r>
      <w:r>
        <w:rPr>
          <w:w w:val="105"/>
          <w:sz w:val="21"/>
        </w:rPr>
        <w:t>tree </w:t>
      </w:r>
      <w:r>
        <w:rPr>
          <w:spacing w:val="-3"/>
          <w:w w:val="105"/>
          <w:sz w:val="21"/>
        </w:rPr>
        <w:t>disputes, including planning, environment, </w:t>
      </w:r>
      <w:r>
        <w:rPr>
          <w:w w:val="105"/>
          <w:sz w:val="21"/>
        </w:rPr>
        <w:t>heritage and </w:t>
      </w:r>
      <w:r>
        <w:rPr>
          <w:spacing w:val="-3"/>
          <w:w w:val="105"/>
          <w:sz w:val="21"/>
        </w:rPr>
        <w:t>land</w:t>
      </w:r>
      <w:r>
        <w:rPr>
          <w:spacing w:val="-2"/>
          <w:w w:val="105"/>
          <w:sz w:val="21"/>
        </w:rPr>
        <w:t> </w:t>
      </w:r>
      <w:r>
        <w:rPr>
          <w:spacing w:val="-3"/>
          <w:w w:val="105"/>
          <w:sz w:val="21"/>
        </w:rPr>
        <w:t>management.</w:t>
      </w:r>
      <w:r>
        <w:rPr>
          <w:spacing w:val="-3"/>
          <w:w w:val="105"/>
          <w:position w:val="7"/>
          <w:sz w:val="12"/>
        </w:rPr>
        <w:t>53</w:t>
      </w:r>
    </w:p>
    <w:p>
      <w:pPr>
        <w:pStyle w:val="ListParagraph"/>
        <w:numPr>
          <w:ilvl w:val="1"/>
          <w:numId w:val="16"/>
        </w:numPr>
        <w:tabs>
          <w:tab w:pos="2380" w:val="left" w:leader="none"/>
          <w:tab w:pos="2381" w:val="left" w:leader="none"/>
        </w:tabs>
        <w:spacing w:line="242" w:lineRule="auto" w:before="122" w:after="0"/>
        <w:ind w:left="2381" w:right="1781" w:hanging="794"/>
        <w:jc w:val="left"/>
        <w:rPr>
          <w:sz w:val="21"/>
        </w:rPr>
      </w:pPr>
      <w:r>
        <w:rPr>
          <w:spacing w:val="-5"/>
          <w:w w:val="105"/>
          <w:sz w:val="21"/>
        </w:rPr>
        <w:t>VCAT </w:t>
      </w:r>
      <w:r>
        <w:rPr>
          <w:w w:val="105"/>
          <w:sz w:val="21"/>
        </w:rPr>
        <w:t>is headed by a President, who is a judge of the </w:t>
      </w:r>
      <w:r>
        <w:rPr>
          <w:spacing w:val="-3"/>
          <w:w w:val="105"/>
          <w:sz w:val="21"/>
        </w:rPr>
        <w:t>Supreme Court </w:t>
      </w:r>
      <w:r>
        <w:rPr>
          <w:w w:val="105"/>
          <w:sz w:val="21"/>
        </w:rPr>
        <w:t>of Victoria.</w:t>
      </w:r>
      <w:r>
        <w:rPr>
          <w:w w:val="105"/>
          <w:position w:val="7"/>
          <w:sz w:val="12"/>
        </w:rPr>
        <w:t>54 </w:t>
      </w:r>
      <w:r>
        <w:rPr>
          <w:w w:val="105"/>
          <w:sz w:val="12"/>
        </w:rPr>
        <w:t>    </w:t>
      </w:r>
      <w:r>
        <w:rPr>
          <w:spacing w:val="-5"/>
          <w:w w:val="105"/>
          <w:sz w:val="21"/>
        </w:rPr>
        <w:t>VCAT </w:t>
      </w:r>
      <w:r>
        <w:rPr>
          <w:w w:val="105"/>
          <w:sz w:val="21"/>
        </w:rPr>
        <w:t>also </w:t>
      </w:r>
      <w:r>
        <w:rPr>
          <w:spacing w:val="-2"/>
          <w:w w:val="105"/>
          <w:sz w:val="21"/>
        </w:rPr>
        <w:t>has </w:t>
      </w:r>
      <w:r>
        <w:rPr>
          <w:spacing w:val="-7"/>
          <w:w w:val="105"/>
          <w:sz w:val="21"/>
        </w:rPr>
        <w:t>14 </w:t>
      </w:r>
      <w:r>
        <w:rPr>
          <w:w w:val="105"/>
          <w:sz w:val="21"/>
        </w:rPr>
        <w:t>Vice Presidents, who </w:t>
      </w:r>
      <w:r>
        <w:rPr>
          <w:spacing w:val="-3"/>
          <w:w w:val="105"/>
          <w:sz w:val="21"/>
        </w:rPr>
        <w:t>are </w:t>
      </w:r>
      <w:r>
        <w:rPr>
          <w:w w:val="105"/>
          <w:sz w:val="21"/>
        </w:rPr>
        <w:t>judges of the </w:t>
      </w:r>
      <w:r>
        <w:rPr>
          <w:spacing w:val="-3"/>
          <w:w w:val="105"/>
          <w:sz w:val="21"/>
        </w:rPr>
        <w:t>County Court </w:t>
      </w:r>
      <w:r>
        <w:rPr>
          <w:w w:val="105"/>
          <w:sz w:val="21"/>
        </w:rPr>
        <w:t>of Victoria.</w:t>
      </w:r>
      <w:r>
        <w:rPr>
          <w:w w:val="105"/>
          <w:position w:val="7"/>
          <w:sz w:val="12"/>
        </w:rPr>
        <w:t>55</w:t>
      </w:r>
      <w:r>
        <w:rPr>
          <w:spacing w:val="5"/>
          <w:w w:val="105"/>
          <w:position w:val="7"/>
          <w:sz w:val="12"/>
        </w:rPr>
        <w:t> </w:t>
      </w:r>
      <w:r>
        <w:rPr>
          <w:w w:val="105"/>
          <w:sz w:val="21"/>
        </w:rPr>
        <w:t>The</w:t>
      </w:r>
    </w:p>
    <w:p>
      <w:pPr>
        <w:pStyle w:val="BodyText"/>
        <w:spacing w:line="242" w:lineRule="auto" w:before="2"/>
        <w:ind w:left="2381" w:right="1636"/>
        <w:rPr>
          <w:sz w:val="12"/>
        </w:rPr>
      </w:pPr>
      <w:r>
        <w:rPr/>
        <w:t>President and Vice-Presidents are responsible for the management and administration of VCAT.</w:t>
      </w:r>
      <w:r>
        <w:rPr>
          <w:position w:val="7"/>
          <w:sz w:val="12"/>
        </w:rPr>
        <w:t>56</w:t>
      </w:r>
    </w:p>
    <w:p>
      <w:pPr>
        <w:pStyle w:val="ListParagraph"/>
        <w:numPr>
          <w:ilvl w:val="1"/>
          <w:numId w:val="16"/>
        </w:numPr>
        <w:tabs>
          <w:tab w:pos="2381" w:val="left" w:leader="none"/>
          <w:tab w:pos="2382" w:val="left" w:leader="none"/>
        </w:tabs>
        <w:spacing w:line="242" w:lineRule="auto" w:before="123" w:after="0"/>
        <w:ind w:left="2381" w:right="1807" w:hanging="794"/>
        <w:jc w:val="left"/>
        <w:rPr>
          <w:sz w:val="21"/>
        </w:rPr>
      </w:pPr>
      <w:r>
        <w:rPr>
          <w:spacing w:val="-4"/>
          <w:w w:val="105"/>
          <w:sz w:val="21"/>
        </w:rPr>
        <w:t>Claims </w:t>
      </w:r>
      <w:r>
        <w:rPr>
          <w:w w:val="105"/>
          <w:sz w:val="21"/>
        </w:rPr>
        <w:t>in </w:t>
      </w:r>
      <w:r>
        <w:rPr>
          <w:spacing w:val="-6"/>
          <w:w w:val="105"/>
          <w:sz w:val="21"/>
        </w:rPr>
        <w:t>VCAT’s </w:t>
      </w:r>
      <w:r>
        <w:rPr>
          <w:w w:val="105"/>
          <w:sz w:val="21"/>
        </w:rPr>
        <w:t>specialist </w:t>
      </w:r>
      <w:r>
        <w:rPr>
          <w:spacing w:val="-3"/>
          <w:w w:val="105"/>
          <w:sz w:val="21"/>
        </w:rPr>
        <w:t>divisions </w:t>
      </w:r>
      <w:r>
        <w:rPr>
          <w:w w:val="105"/>
          <w:sz w:val="21"/>
        </w:rPr>
        <w:t>and lists </w:t>
      </w:r>
      <w:r>
        <w:rPr>
          <w:spacing w:val="-3"/>
          <w:w w:val="105"/>
          <w:sz w:val="21"/>
        </w:rPr>
        <w:t>are determined </w:t>
      </w:r>
      <w:r>
        <w:rPr>
          <w:w w:val="105"/>
          <w:sz w:val="21"/>
        </w:rPr>
        <w:t>by members who </w:t>
      </w:r>
      <w:r>
        <w:rPr>
          <w:spacing w:val="-4"/>
          <w:w w:val="105"/>
          <w:sz w:val="21"/>
        </w:rPr>
        <w:t>‘have </w:t>
      </w:r>
      <w:r>
        <w:rPr>
          <w:w w:val="105"/>
          <w:sz w:val="21"/>
        </w:rPr>
        <w:t>specialist knowledge and </w:t>
      </w:r>
      <w:r>
        <w:rPr>
          <w:spacing w:val="-3"/>
          <w:w w:val="105"/>
          <w:sz w:val="21"/>
        </w:rPr>
        <w:t>qualifications’; </w:t>
      </w:r>
      <w:r>
        <w:rPr>
          <w:w w:val="105"/>
          <w:sz w:val="21"/>
        </w:rPr>
        <w:t>most of whom also </w:t>
      </w:r>
      <w:r>
        <w:rPr>
          <w:spacing w:val="-3"/>
          <w:w w:val="105"/>
          <w:sz w:val="21"/>
        </w:rPr>
        <w:t>have </w:t>
      </w:r>
      <w:r>
        <w:rPr>
          <w:w w:val="105"/>
          <w:sz w:val="21"/>
        </w:rPr>
        <w:t>a legal </w:t>
      </w:r>
      <w:r>
        <w:rPr>
          <w:spacing w:val="-4"/>
          <w:w w:val="105"/>
          <w:sz w:val="21"/>
        </w:rPr>
        <w:t>background.</w:t>
      </w:r>
      <w:r>
        <w:rPr>
          <w:spacing w:val="-4"/>
          <w:w w:val="105"/>
          <w:position w:val="7"/>
          <w:sz w:val="12"/>
        </w:rPr>
        <w:t>57</w:t>
      </w:r>
      <w:r>
        <w:rPr>
          <w:spacing w:val="-4"/>
          <w:w w:val="105"/>
          <w:sz w:val="12"/>
        </w:rPr>
        <w:t> </w:t>
      </w:r>
      <w:r>
        <w:rPr>
          <w:spacing w:val="-3"/>
          <w:w w:val="105"/>
          <w:sz w:val="21"/>
        </w:rPr>
        <w:t>Similar</w:t>
      </w:r>
      <w:r>
        <w:rPr>
          <w:spacing w:val="-13"/>
          <w:w w:val="105"/>
          <w:sz w:val="21"/>
        </w:rPr>
        <w:t> </w:t>
      </w:r>
      <w:r>
        <w:rPr>
          <w:spacing w:val="-3"/>
          <w:w w:val="105"/>
          <w:sz w:val="21"/>
        </w:rPr>
        <w:t>requirements</w:t>
      </w:r>
      <w:r>
        <w:rPr>
          <w:spacing w:val="-13"/>
          <w:w w:val="105"/>
          <w:sz w:val="21"/>
        </w:rPr>
        <w:t> </w:t>
      </w:r>
      <w:r>
        <w:rPr>
          <w:w w:val="105"/>
          <w:sz w:val="21"/>
        </w:rPr>
        <w:t>apply</w:t>
      </w:r>
      <w:r>
        <w:rPr>
          <w:spacing w:val="-13"/>
          <w:w w:val="105"/>
          <w:sz w:val="21"/>
        </w:rPr>
        <w:t> </w:t>
      </w:r>
      <w:r>
        <w:rPr>
          <w:spacing w:val="-3"/>
          <w:w w:val="105"/>
          <w:sz w:val="21"/>
        </w:rPr>
        <w:t>to</w:t>
      </w:r>
      <w:r>
        <w:rPr>
          <w:spacing w:val="-13"/>
          <w:w w:val="105"/>
          <w:sz w:val="21"/>
        </w:rPr>
        <w:t> </w:t>
      </w:r>
      <w:r>
        <w:rPr>
          <w:w w:val="105"/>
          <w:sz w:val="21"/>
        </w:rPr>
        <w:t>commissioners</w:t>
      </w:r>
      <w:r>
        <w:rPr>
          <w:spacing w:val="-13"/>
          <w:w w:val="105"/>
          <w:sz w:val="21"/>
        </w:rPr>
        <w:t> </w:t>
      </w:r>
      <w:r>
        <w:rPr>
          <w:w w:val="105"/>
          <w:sz w:val="21"/>
        </w:rPr>
        <w:t>of</w:t>
      </w:r>
      <w:r>
        <w:rPr>
          <w:spacing w:val="-12"/>
          <w:w w:val="105"/>
          <w:sz w:val="21"/>
        </w:rPr>
        <w:t> </w:t>
      </w:r>
      <w:r>
        <w:rPr>
          <w:w w:val="105"/>
          <w:sz w:val="21"/>
        </w:rPr>
        <w:t>bodies</w:t>
      </w:r>
      <w:r>
        <w:rPr>
          <w:spacing w:val="-13"/>
          <w:w w:val="105"/>
          <w:sz w:val="21"/>
        </w:rPr>
        <w:t> </w:t>
      </w:r>
      <w:r>
        <w:rPr>
          <w:spacing w:val="-3"/>
          <w:w w:val="105"/>
          <w:sz w:val="21"/>
        </w:rPr>
        <w:t>that</w:t>
      </w:r>
      <w:r>
        <w:rPr>
          <w:spacing w:val="-13"/>
          <w:w w:val="105"/>
          <w:sz w:val="21"/>
        </w:rPr>
        <w:t> </w:t>
      </w:r>
      <w:r>
        <w:rPr>
          <w:w w:val="105"/>
          <w:sz w:val="21"/>
        </w:rPr>
        <w:t>resolve</w:t>
      </w:r>
      <w:r>
        <w:rPr>
          <w:spacing w:val="-13"/>
          <w:w w:val="105"/>
          <w:sz w:val="21"/>
        </w:rPr>
        <w:t> </w:t>
      </w:r>
      <w:r>
        <w:rPr>
          <w:w w:val="105"/>
          <w:sz w:val="21"/>
        </w:rPr>
        <w:t>tree</w:t>
      </w:r>
      <w:r>
        <w:rPr>
          <w:spacing w:val="-13"/>
          <w:w w:val="105"/>
          <w:sz w:val="21"/>
        </w:rPr>
        <w:t> </w:t>
      </w:r>
      <w:r>
        <w:rPr>
          <w:spacing w:val="-3"/>
          <w:w w:val="105"/>
          <w:sz w:val="21"/>
        </w:rPr>
        <w:t>disputes</w:t>
      </w:r>
      <w:r>
        <w:rPr>
          <w:spacing w:val="-12"/>
          <w:w w:val="105"/>
          <w:sz w:val="21"/>
        </w:rPr>
        <w:t> </w:t>
      </w:r>
      <w:r>
        <w:rPr>
          <w:w w:val="105"/>
          <w:sz w:val="21"/>
        </w:rPr>
        <w:t>in</w:t>
      </w:r>
      <w:r>
        <w:rPr>
          <w:spacing w:val="-13"/>
          <w:w w:val="105"/>
          <w:sz w:val="21"/>
        </w:rPr>
        <w:t> </w:t>
      </w:r>
      <w:r>
        <w:rPr>
          <w:w w:val="105"/>
          <w:sz w:val="21"/>
        </w:rPr>
        <w:t>New South </w:t>
      </w:r>
      <w:r>
        <w:rPr>
          <w:spacing w:val="-3"/>
          <w:w w:val="105"/>
          <w:sz w:val="21"/>
        </w:rPr>
        <w:t>Wales, Queensland </w:t>
      </w:r>
      <w:r>
        <w:rPr>
          <w:w w:val="105"/>
          <w:sz w:val="21"/>
        </w:rPr>
        <w:t>and</w:t>
      </w:r>
      <w:r>
        <w:rPr>
          <w:spacing w:val="27"/>
          <w:w w:val="105"/>
          <w:sz w:val="21"/>
        </w:rPr>
        <w:t> </w:t>
      </w:r>
      <w:r>
        <w:rPr>
          <w:spacing w:val="-4"/>
          <w:w w:val="105"/>
          <w:sz w:val="21"/>
        </w:rPr>
        <w:t>Tasmania.</w:t>
      </w:r>
    </w:p>
    <w:p>
      <w:pPr>
        <w:pStyle w:val="Heading7"/>
      </w:pPr>
      <w:r>
        <w:rPr>
          <w:w w:val="115"/>
        </w:rPr>
        <w:t>The jurisdiction of VCAT and the Magistrates’ Court</w:t>
      </w:r>
    </w:p>
    <w:p>
      <w:pPr>
        <w:pStyle w:val="ListParagraph"/>
        <w:numPr>
          <w:ilvl w:val="1"/>
          <w:numId w:val="16"/>
        </w:numPr>
        <w:tabs>
          <w:tab w:pos="2381" w:val="left" w:leader="none"/>
          <w:tab w:pos="2382" w:val="left" w:leader="none"/>
        </w:tabs>
        <w:spacing w:line="242" w:lineRule="auto" w:before="143" w:after="0"/>
        <w:ind w:left="2381" w:right="1663" w:hanging="794"/>
        <w:jc w:val="left"/>
        <w:rPr>
          <w:sz w:val="21"/>
        </w:rPr>
      </w:pPr>
      <w:r>
        <w:rPr>
          <w:spacing w:val="-6"/>
          <w:w w:val="105"/>
          <w:sz w:val="21"/>
        </w:rPr>
        <w:t>VCAT’s </w:t>
      </w:r>
      <w:r>
        <w:rPr>
          <w:w w:val="105"/>
          <w:sz w:val="21"/>
        </w:rPr>
        <w:t>jurisdiction </w:t>
      </w:r>
      <w:r>
        <w:rPr>
          <w:spacing w:val="-3"/>
          <w:w w:val="105"/>
          <w:sz w:val="21"/>
        </w:rPr>
        <w:t>to </w:t>
      </w:r>
      <w:r>
        <w:rPr>
          <w:w w:val="105"/>
          <w:sz w:val="21"/>
        </w:rPr>
        <w:t>hear civil </w:t>
      </w:r>
      <w:r>
        <w:rPr>
          <w:spacing w:val="-3"/>
          <w:w w:val="105"/>
          <w:sz w:val="21"/>
        </w:rPr>
        <w:t>claims aligns </w:t>
      </w:r>
      <w:r>
        <w:rPr>
          <w:w w:val="105"/>
          <w:sz w:val="21"/>
        </w:rPr>
        <w:t>with (and extends beyond) the </w:t>
      </w:r>
      <w:r>
        <w:rPr>
          <w:spacing w:val="-3"/>
          <w:w w:val="105"/>
          <w:sz w:val="21"/>
        </w:rPr>
        <w:t>Magistrates’ </w:t>
      </w:r>
      <w:r>
        <w:rPr>
          <w:w w:val="105"/>
          <w:sz w:val="21"/>
        </w:rPr>
        <w:t>Courts jurisdiction </w:t>
      </w:r>
      <w:r>
        <w:rPr>
          <w:spacing w:val="-3"/>
          <w:w w:val="105"/>
          <w:sz w:val="21"/>
        </w:rPr>
        <w:t>to </w:t>
      </w:r>
      <w:r>
        <w:rPr>
          <w:w w:val="105"/>
          <w:sz w:val="21"/>
        </w:rPr>
        <w:t>hear </w:t>
      </w:r>
      <w:r>
        <w:rPr>
          <w:spacing w:val="-3"/>
          <w:w w:val="105"/>
          <w:sz w:val="21"/>
        </w:rPr>
        <w:t>similar claims, </w:t>
      </w:r>
      <w:r>
        <w:rPr>
          <w:w w:val="105"/>
          <w:sz w:val="21"/>
        </w:rPr>
        <w:t>particularly in </w:t>
      </w:r>
      <w:r>
        <w:rPr>
          <w:spacing w:val="-3"/>
          <w:w w:val="105"/>
          <w:sz w:val="21"/>
        </w:rPr>
        <w:t>relation to ‘debts, </w:t>
      </w:r>
      <w:r>
        <w:rPr>
          <w:w w:val="105"/>
          <w:sz w:val="21"/>
        </w:rPr>
        <w:t>damages </w:t>
      </w:r>
      <w:r>
        <w:rPr>
          <w:spacing w:val="-3"/>
          <w:w w:val="105"/>
          <w:sz w:val="21"/>
        </w:rPr>
        <w:t>for breach </w:t>
      </w:r>
      <w:r>
        <w:rPr>
          <w:w w:val="105"/>
          <w:sz w:val="21"/>
        </w:rPr>
        <w:t>of contract, other </w:t>
      </w:r>
      <w:r>
        <w:rPr>
          <w:spacing w:val="-3"/>
          <w:w w:val="105"/>
          <w:sz w:val="21"/>
        </w:rPr>
        <w:t>contractual disputes, </w:t>
      </w:r>
      <w:r>
        <w:rPr>
          <w:w w:val="105"/>
          <w:sz w:val="21"/>
        </w:rPr>
        <w:t>and </w:t>
      </w:r>
      <w:r>
        <w:rPr>
          <w:spacing w:val="-3"/>
          <w:w w:val="105"/>
          <w:sz w:val="21"/>
        </w:rPr>
        <w:t>claims </w:t>
      </w:r>
      <w:r>
        <w:rPr>
          <w:w w:val="105"/>
          <w:sz w:val="21"/>
        </w:rPr>
        <w:t>under the </w:t>
      </w:r>
      <w:r>
        <w:rPr>
          <w:spacing w:val="-3"/>
          <w:w w:val="105"/>
          <w:sz w:val="21"/>
        </w:rPr>
        <w:t>Australian </w:t>
      </w:r>
      <w:r>
        <w:rPr>
          <w:spacing w:val="-4"/>
          <w:w w:val="105"/>
          <w:sz w:val="21"/>
        </w:rPr>
        <w:t>Consumer </w:t>
      </w:r>
      <w:r>
        <w:rPr>
          <w:spacing w:val="-3"/>
          <w:w w:val="105"/>
          <w:sz w:val="21"/>
        </w:rPr>
        <w:t>Law’.</w:t>
      </w:r>
      <w:r>
        <w:rPr>
          <w:spacing w:val="-3"/>
          <w:w w:val="105"/>
          <w:position w:val="7"/>
          <w:sz w:val="12"/>
        </w:rPr>
        <w:t>58</w:t>
      </w:r>
    </w:p>
    <w:p>
      <w:pPr>
        <w:pStyle w:val="ListParagraph"/>
        <w:numPr>
          <w:ilvl w:val="1"/>
          <w:numId w:val="16"/>
        </w:numPr>
        <w:tabs>
          <w:tab w:pos="2381" w:val="left" w:leader="none"/>
          <w:tab w:pos="2382" w:val="left" w:leader="none"/>
        </w:tabs>
        <w:spacing w:line="242" w:lineRule="auto" w:before="125" w:after="0"/>
        <w:ind w:left="2381" w:right="1930" w:hanging="794"/>
        <w:jc w:val="left"/>
        <w:rPr>
          <w:sz w:val="21"/>
        </w:rPr>
      </w:pPr>
      <w:r>
        <w:rPr>
          <w:spacing w:val="-4"/>
          <w:w w:val="105"/>
          <w:sz w:val="21"/>
        </w:rPr>
        <w:t>However, </w:t>
      </w:r>
      <w:r>
        <w:rPr>
          <w:spacing w:val="-5"/>
          <w:w w:val="105"/>
          <w:sz w:val="21"/>
        </w:rPr>
        <w:t>VCAT </w:t>
      </w:r>
      <w:r>
        <w:rPr>
          <w:w w:val="105"/>
          <w:sz w:val="21"/>
        </w:rPr>
        <w:t>does </w:t>
      </w:r>
      <w:r>
        <w:rPr>
          <w:spacing w:val="-2"/>
          <w:w w:val="105"/>
          <w:sz w:val="21"/>
        </w:rPr>
        <w:t>not </w:t>
      </w:r>
      <w:r>
        <w:rPr>
          <w:spacing w:val="-3"/>
          <w:w w:val="105"/>
          <w:sz w:val="21"/>
        </w:rPr>
        <w:t>have </w:t>
      </w:r>
      <w:r>
        <w:rPr>
          <w:w w:val="105"/>
          <w:sz w:val="21"/>
        </w:rPr>
        <w:t>the same powers as the </w:t>
      </w:r>
      <w:r>
        <w:rPr>
          <w:spacing w:val="-3"/>
          <w:w w:val="105"/>
          <w:sz w:val="21"/>
        </w:rPr>
        <w:t>Magistrates’ Court. </w:t>
      </w:r>
      <w:r>
        <w:rPr>
          <w:spacing w:val="-5"/>
          <w:w w:val="105"/>
          <w:sz w:val="21"/>
        </w:rPr>
        <w:t>VCAT </w:t>
      </w:r>
      <w:r>
        <w:rPr>
          <w:w w:val="105"/>
          <w:sz w:val="21"/>
        </w:rPr>
        <w:t>typically </w:t>
      </w:r>
      <w:r>
        <w:rPr>
          <w:spacing w:val="-3"/>
          <w:w w:val="105"/>
          <w:sz w:val="21"/>
        </w:rPr>
        <w:t>cannot </w:t>
      </w:r>
      <w:r>
        <w:rPr>
          <w:spacing w:val="-4"/>
          <w:w w:val="105"/>
          <w:sz w:val="21"/>
        </w:rPr>
        <w:t>make </w:t>
      </w:r>
      <w:r>
        <w:rPr>
          <w:w w:val="105"/>
          <w:sz w:val="21"/>
        </w:rPr>
        <w:t>an </w:t>
      </w:r>
      <w:r>
        <w:rPr>
          <w:spacing w:val="-3"/>
          <w:w w:val="105"/>
          <w:sz w:val="21"/>
        </w:rPr>
        <w:t>award for </w:t>
      </w:r>
      <w:r>
        <w:rPr>
          <w:w w:val="105"/>
          <w:sz w:val="21"/>
        </w:rPr>
        <w:t>legal costs</w:t>
      </w:r>
      <w:r>
        <w:rPr>
          <w:w w:val="105"/>
          <w:position w:val="7"/>
          <w:sz w:val="12"/>
        </w:rPr>
        <w:t>59 </w:t>
      </w:r>
      <w:r>
        <w:rPr>
          <w:w w:val="105"/>
          <w:sz w:val="21"/>
        </w:rPr>
        <w:t>unless it is </w:t>
      </w:r>
      <w:r>
        <w:rPr>
          <w:spacing w:val="-4"/>
          <w:w w:val="105"/>
          <w:sz w:val="21"/>
        </w:rPr>
        <w:t>fair </w:t>
      </w:r>
      <w:r>
        <w:rPr>
          <w:spacing w:val="-3"/>
          <w:w w:val="105"/>
          <w:sz w:val="21"/>
        </w:rPr>
        <w:t>to </w:t>
      </w:r>
      <w:r>
        <w:rPr>
          <w:w w:val="105"/>
          <w:sz w:val="21"/>
        </w:rPr>
        <w:t>do so,</w:t>
      </w:r>
      <w:r>
        <w:rPr>
          <w:w w:val="105"/>
          <w:position w:val="7"/>
          <w:sz w:val="12"/>
        </w:rPr>
        <w:t>60 </w:t>
      </w:r>
      <w:r>
        <w:rPr>
          <w:w w:val="105"/>
          <w:sz w:val="21"/>
        </w:rPr>
        <w:t>whereas the </w:t>
      </w:r>
      <w:r>
        <w:rPr>
          <w:spacing w:val="-3"/>
          <w:w w:val="105"/>
          <w:sz w:val="21"/>
        </w:rPr>
        <w:t>Magistrates’ Court </w:t>
      </w:r>
      <w:r>
        <w:rPr>
          <w:spacing w:val="-2"/>
          <w:w w:val="105"/>
          <w:sz w:val="21"/>
        </w:rPr>
        <w:t>has </w:t>
      </w:r>
      <w:r>
        <w:rPr>
          <w:w w:val="105"/>
          <w:sz w:val="21"/>
        </w:rPr>
        <w:t>a broader </w:t>
      </w:r>
      <w:r>
        <w:rPr>
          <w:spacing w:val="-3"/>
          <w:w w:val="105"/>
          <w:sz w:val="21"/>
        </w:rPr>
        <w:t>discretion to award </w:t>
      </w:r>
      <w:r>
        <w:rPr>
          <w:w w:val="105"/>
          <w:sz w:val="21"/>
        </w:rPr>
        <w:t>legal costs.</w:t>
      </w:r>
      <w:r>
        <w:rPr>
          <w:w w:val="105"/>
          <w:position w:val="7"/>
          <w:sz w:val="12"/>
        </w:rPr>
        <w:t>61 </w:t>
      </w:r>
      <w:r>
        <w:rPr>
          <w:w w:val="105"/>
          <w:sz w:val="21"/>
        </w:rPr>
        <w:t>In </w:t>
      </w:r>
      <w:r>
        <w:rPr>
          <w:spacing w:val="-5"/>
          <w:w w:val="105"/>
          <w:sz w:val="21"/>
        </w:rPr>
        <w:t>VCAT </w:t>
      </w:r>
      <w:r>
        <w:rPr>
          <w:spacing w:val="-3"/>
          <w:w w:val="105"/>
          <w:sz w:val="21"/>
        </w:rPr>
        <w:t>hearings, </w:t>
      </w:r>
      <w:r>
        <w:rPr>
          <w:w w:val="105"/>
          <w:sz w:val="21"/>
        </w:rPr>
        <w:t>parties </w:t>
      </w:r>
      <w:r>
        <w:rPr>
          <w:spacing w:val="-3"/>
          <w:w w:val="105"/>
          <w:sz w:val="21"/>
        </w:rPr>
        <w:t>generally </w:t>
      </w:r>
      <w:r>
        <w:rPr>
          <w:w w:val="105"/>
          <w:sz w:val="21"/>
        </w:rPr>
        <w:t>bear their own</w:t>
      </w:r>
      <w:r>
        <w:rPr>
          <w:spacing w:val="25"/>
          <w:w w:val="105"/>
          <w:sz w:val="21"/>
        </w:rPr>
        <w:t> </w:t>
      </w:r>
      <w:r>
        <w:rPr>
          <w:w w:val="105"/>
          <w:sz w:val="21"/>
        </w:rPr>
        <w:t>costs.</w:t>
      </w:r>
      <w:r>
        <w:rPr>
          <w:w w:val="105"/>
          <w:position w:val="7"/>
          <w:sz w:val="12"/>
        </w:rPr>
        <w:t>62</w:t>
      </w:r>
    </w:p>
    <w:p>
      <w:pPr>
        <w:pStyle w:val="Heading7"/>
      </w:pPr>
      <w:r>
        <w:rPr>
          <w:w w:val="115"/>
        </w:rPr>
        <w:t>Flexibility and support—VCAT</w:t>
      </w:r>
    </w:p>
    <w:p>
      <w:pPr>
        <w:pStyle w:val="ListParagraph"/>
        <w:numPr>
          <w:ilvl w:val="1"/>
          <w:numId w:val="16"/>
        </w:numPr>
        <w:tabs>
          <w:tab w:pos="2380" w:val="left" w:leader="none"/>
          <w:tab w:pos="2381" w:val="left" w:leader="none"/>
        </w:tabs>
        <w:spacing w:line="242" w:lineRule="auto" w:before="143" w:after="0"/>
        <w:ind w:left="2381" w:right="1661" w:hanging="794"/>
        <w:jc w:val="left"/>
        <w:rPr>
          <w:sz w:val="21"/>
        </w:rPr>
      </w:pPr>
      <w:r>
        <w:rPr>
          <w:spacing w:val="-6"/>
          <w:w w:val="105"/>
          <w:sz w:val="21"/>
        </w:rPr>
        <w:t>VCAT’s </w:t>
      </w:r>
      <w:r>
        <w:rPr>
          <w:w w:val="105"/>
          <w:sz w:val="21"/>
        </w:rPr>
        <w:t>is the busiest </w:t>
      </w:r>
      <w:r>
        <w:rPr>
          <w:spacing w:val="-3"/>
          <w:w w:val="105"/>
          <w:sz w:val="21"/>
        </w:rPr>
        <w:t>tribunal </w:t>
      </w:r>
      <w:r>
        <w:rPr>
          <w:w w:val="105"/>
          <w:sz w:val="21"/>
        </w:rPr>
        <w:t>of its </w:t>
      </w:r>
      <w:r>
        <w:rPr>
          <w:spacing w:val="-3"/>
          <w:w w:val="105"/>
          <w:sz w:val="21"/>
        </w:rPr>
        <w:t>kind </w:t>
      </w:r>
      <w:r>
        <w:rPr>
          <w:w w:val="105"/>
          <w:sz w:val="21"/>
        </w:rPr>
        <w:t>in </w:t>
      </w:r>
      <w:r>
        <w:rPr>
          <w:spacing w:val="-3"/>
          <w:w w:val="105"/>
          <w:sz w:val="21"/>
        </w:rPr>
        <w:t>Australia, finalising </w:t>
      </w:r>
      <w:r>
        <w:rPr>
          <w:spacing w:val="-4"/>
          <w:w w:val="105"/>
          <w:sz w:val="21"/>
        </w:rPr>
        <w:t>83,424 </w:t>
      </w:r>
      <w:r>
        <w:rPr>
          <w:w w:val="105"/>
          <w:sz w:val="21"/>
        </w:rPr>
        <w:t>cases in </w:t>
      </w:r>
      <w:r>
        <w:rPr>
          <w:spacing w:val="-7"/>
          <w:w w:val="105"/>
          <w:sz w:val="21"/>
        </w:rPr>
        <w:t>2017–18.</w:t>
      </w:r>
      <w:r>
        <w:rPr>
          <w:spacing w:val="-7"/>
          <w:w w:val="105"/>
          <w:position w:val="7"/>
          <w:sz w:val="12"/>
        </w:rPr>
        <w:t>63</w:t>
      </w:r>
      <w:r>
        <w:rPr>
          <w:spacing w:val="-7"/>
          <w:w w:val="105"/>
          <w:sz w:val="12"/>
        </w:rPr>
        <w:t> </w:t>
      </w:r>
      <w:r>
        <w:rPr>
          <w:spacing w:val="-6"/>
          <w:w w:val="105"/>
          <w:sz w:val="21"/>
        </w:rPr>
        <w:t>VCAT’s </w:t>
      </w:r>
      <w:r>
        <w:rPr>
          <w:w w:val="105"/>
          <w:sz w:val="21"/>
        </w:rPr>
        <w:t>primary location is in Melbourne but it also hears cases in </w:t>
      </w:r>
      <w:r>
        <w:rPr>
          <w:spacing w:val="-3"/>
          <w:w w:val="105"/>
          <w:sz w:val="21"/>
        </w:rPr>
        <w:t>various Magistrates’ Court</w:t>
      </w:r>
      <w:r>
        <w:rPr>
          <w:spacing w:val="-8"/>
          <w:w w:val="105"/>
          <w:sz w:val="21"/>
        </w:rPr>
        <w:t> </w:t>
      </w:r>
      <w:r>
        <w:rPr>
          <w:w w:val="105"/>
          <w:sz w:val="21"/>
        </w:rPr>
        <w:t>locations</w:t>
      </w:r>
      <w:r>
        <w:rPr>
          <w:spacing w:val="-8"/>
          <w:w w:val="105"/>
          <w:sz w:val="21"/>
        </w:rPr>
        <w:t> </w:t>
      </w:r>
      <w:r>
        <w:rPr>
          <w:w w:val="105"/>
          <w:sz w:val="21"/>
        </w:rPr>
        <w:t>and</w:t>
      </w:r>
      <w:r>
        <w:rPr>
          <w:spacing w:val="-8"/>
          <w:w w:val="105"/>
          <w:sz w:val="21"/>
        </w:rPr>
        <w:t> </w:t>
      </w:r>
      <w:r>
        <w:rPr>
          <w:w w:val="105"/>
          <w:sz w:val="21"/>
        </w:rPr>
        <w:t>local</w:t>
      </w:r>
      <w:r>
        <w:rPr>
          <w:spacing w:val="-8"/>
          <w:w w:val="105"/>
          <w:sz w:val="21"/>
        </w:rPr>
        <w:t> </w:t>
      </w:r>
      <w:r>
        <w:rPr>
          <w:spacing w:val="-3"/>
          <w:w w:val="105"/>
          <w:sz w:val="21"/>
        </w:rPr>
        <w:t>council</w:t>
      </w:r>
      <w:r>
        <w:rPr>
          <w:spacing w:val="-8"/>
          <w:w w:val="105"/>
          <w:sz w:val="21"/>
        </w:rPr>
        <w:t> </w:t>
      </w:r>
      <w:r>
        <w:rPr>
          <w:w w:val="105"/>
          <w:sz w:val="21"/>
        </w:rPr>
        <w:t>customer</w:t>
      </w:r>
      <w:r>
        <w:rPr>
          <w:spacing w:val="-8"/>
          <w:w w:val="105"/>
          <w:sz w:val="21"/>
        </w:rPr>
        <w:t> </w:t>
      </w:r>
      <w:r>
        <w:rPr>
          <w:w w:val="105"/>
          <w:sz w:val="21"/>
        </w:rPr>
        <w:t>service</w:t>
      </w:r>
      <w:r>
        <w:rPr>
          <w:spacing w:val="-8"/>
          <w:w w:val="105"/>
          <w:sz w:val="21"/>
        </w:rPr>
        <w:t> </w:t>
      </w:r>
      <w:r>
        <w:rPr>
          <w:w w:val="105"/>
          <w:sz w:val="21"/>
        </w:rPr>
        <w:t>offices</w:t>
      </w:r>
      <w:r>
        <w:rPr>
          <w:spacing w:val="-8"/>
          <w:w w:val="105"/>
          <w:sz w:val="21"/>
        </w:rPr>
        <w:t> </w:t>
      </w:r>
      <w:r>
        <w:rPr>
          <w:w w:val="105"/>
          <w:sz w:val="21"/>
        </w:rPr>
        <w:t>across</w:t>
      </w:r>
      <w:r>
        <w:rPr>
          <w:spacing w:val="-8"/>
          <w:w w:val="105"/>
          <w:sz w:val="21"/>
        </w:rPr>
        <w:t> </w:t>
      </w:r>
      <w:r>
        <w:rPr>
          <w:w w:val="105"/>
          <w:sz w:val="21"/>
        </w:rPr>
        <w:t>the</w:t>
      </w:r>
      <w:r>
        <w:rPr>
          <w:spacing w:val="-8"/>
          <w:w w:val="105"/>
          <w:sz w:val="21"/>
        </w:rPr>
        <w:t> </w:t>
      </w:r>
      <w:r>
        <w:rPr>
          <w:spacing w:val="-3"/>
          <w:w w:val="105"/>
          <w:sz w:val="21"/>
        </w:rPr>
        <w:t>suburbs</w:t>
      </w:r>
      <w:r>
        <w:rPr>
          <w:spacing w:val="-8"/>
          <w:w w:val="105"/>
          <w:sz w:val="21"/>
        </w:rPr>
        <w:t> </w:t>
      </w:r>
      <w:r>
        <w:rPr>
          <w:w w:val="105"/>
          <w:sz w:val="21"/>
        </w:rPr>
        <w:t>and</w:t>
      </w:r>
      <w:r>
        <w:rPr>
          <w:spacing w:val="-7"/>
          <w:w w:val="105"/>
          <w:sz w:val="21"/>
        </w:rPr>
        <w:t> </w:t>
      </w:r>
      <w:r>
        <w:rPr>
          <w:spacing w:val="-3"/>
          <w:w w:val="105"/>
          <w:sz w:val="21"/>
        </w:rPr>
        <w:t>regional </w:t>
      </w:r>
      <w:r>
        <w:rPr>
          <w:w w:val="105"/>
          <w:sz w:val="21"/>
        </w:rPr>
        <w:t>Victoria,</w:t>
      </w:r>
      <w:r>
        <w:rPr>
          <w:w w:val="105"/>
          <w:position w:val="7"/>
          <w:sz w:val="12"/>
        </w:rPr>
        <w:t>64 </w:t>
      </w:r>
      <w:r>
        <w:rPr>
          <w:w w:val="105"/>
          <w:sz w:val="21"/>
        </w:rPr>
        <w:t>and sits at the Neighbourhood Justice </w:t>
      </w:r>
      <w:r>
        <w:rPr>
          <w:spacing w:val="-4"/>
          <w:w w:val="105"/>
          <w:sz w:val="21"/>
        </w:rPr>
        <w:t>Centre </w:t>
      </w:r>
      <w:r>
        <w:rPr>
          <w:w w:val="105"/>
          <w:sz w:val="21"/>
        </w:rPr>
        <w:t>in the </w:t>
      </w:r>
      <w:r>
        <w:rPr>
          <w:spacing w:val="-3"/>
          <w:w w:val="105"/>
          <w:sz w:val="21"/>
        </w:rPr>
        <w:t>City </w:t>
      </w:r>
      <w:r>
        <w:rPr>
          <w:w w:val="105"/>
          <w:sz w:val="21"/>
        </w:rPr>
        <w:t>of</w:t>
      </w:r>
      <w:r>
        <w:rPr>
          <w:spacing w:val="33"/>
          <w:w w:val="105"/>
          <w:sz w:val="21"/>
        </w:rPr>
        <w:t> </w:t>
      </w:r>
      <w:r>
        <w:rPr>
          <w:spacing w:val="-4"/>
          <w:w w:val="105"/>
          <w:sz w:val="21"/>
        </w:rPr>
        <w:t>Yarra.</w:t>
      </w:r>
      <w:r>
        <w:rPr>
          <w:spacing w:val="-4"/>
          <w:w w:val="105"/>
          <w:position w:val="7"/>
          <w:sz w:val="12"/>
        </w:rPr>
        <w:t>65</w:t>
      </w:r>
    </w:p>
    <w:p>
      <w:pPr>
        <w:pStyle w:val="BodyText"/>
        <w:rPr>
          <w:sz w:val="20"/>
        </w:rPr>
      </w:pPr>
    </w:p>
    <w:p>
      <w:pPr>
        <w:pStyle w:val="BodyText"/>
        <w:rPr>
          <w:sz w:val="20"/>
        </w:rPr>
      </w:pPr>
    </w:p>
    <w:p>
      <w:pPr>
        <w:pStyle w:val="BodyText"/>
        <w:rPr>
          <w:sz w:val="14"/>
        </w:rPr>
      </w:pPr>
      <w:r>
        <w:rPr/>
        <w:pict>
          <v:line style="position:absolute;mso-position-horizontal-relative:page;mso-position-vertical-relative:paragraph;z-index:6512;mso-wrap-distance-left:0;mso-wrap-distance-right:0" from="79.370003pt,11.013084pt" to="515.905003pt,11.01308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7"/>
        <w:rPr>
          <w:sz w:val="24"/>
        </w:rPr>
      </w:pPr>
    </w:p>
    <w:p>
      <w:pPr>
        <w:spacing w:before="0"/>
        <w:ind w:left="720" w:right="0" w:firstLine="0"/>
        <w:jc w:val="left"/>
        <w:rPr>
          <w:b/>
          <w:sz w:val="24"/>
        </w:rPr>
      </w:pPr>
      <w:r>
        <w:rPr>
          <w:b/>
          <w:color w:val="658464"/>
          <w:spacing w:val="-3"/>
          <w:w w:val="110"/>
          <w:sz w:val="24"/>
        </w:rPr>
        <w:t>138</w:t>
      </w:r>
    </w:p>
    <w:p>
      <w:pPr>
        <w:pStyle w:val="ListParagraph"/>
        <w:numPr>
          <w:ilvl w:val="0"/>
          <w:numId w:val="109"/>
        </w:numPr>
        <w:tabs>
          <w:tab w:pos="1228" w:val="left" w:leader="none"/>
          <w:tab w:pos="1229" w:val="left" w:leader="none"/>
        </w:tabs>
        <w:spacing w:line="240" w:lineRule="auto" w:before="48" w:after="0"/>
        <w:ind w:left="1228" w:right="0" w:hanging="794"/>
        <w:jc w:val="left"/>
        <w:rPr>
          <w:sz w:val="13"/>
        </w:rPr>
      </w:pPr>
      <w:r>
        <w:rPr>
          <w:spacing w:val="2"/>
          <w:w w:val="108"/>
          <w:sz w:val="13"/>
        </w:rPr>
        <w:br w:type="column"/>
      </w:r>
      <w:r>
        <w:rPr>
          <w:w w:val="105"/>
          <w:sz w:val="13"/>
        </w:rPr>
        <w:t>See,</w:t>
      </w:r>
      <w:r>
        <w:rPr>
          <w:spacing w:val="4"/>
          <w:w w:val="105"/>
          <w:sz w:val="13"/>
        </w:rPr>
        <w:t> </w:t>
      </w:r>
      <w:r>
        <w:rPr>
          <w:w w:val="105"/>
          <w:sz w:val="13"/>
        </w:rPr>
        <w:t>eg,</w:t>
      </w:r>
      <w:r>
        <w:rPr>
          <w:spacing w:val="5"/>
          <w:w w:val="105"/>
          <w:sz w:val="13"/>
        </w:rPr>
        <w:t> </w:t>
      </w:r>
      <w:r>
        <w:rPr>
          <w:w w:val="105"/>
          <w:sz w:val="13"/>
        </w:rPr>
        <w:t>Victorian</w:t>
      </w:r>
      <w:r>
        <w:rPr>
          <w:spacing w:val="5"/>
          <w:w w:val="105"/>
          <w:sz w:val="13"/>
        </w:rPr>
        <w:t> </w:t>
      </w:r>
      <w:r>
        <w:rPr>
          <w:w w:val="105"/>
          <w:sz w:val="13"/>
        </w:rPr>
        <w:t>Civil</w:t>
      </w:r>
      <w:r>
        <w:rPr>
          <w:spacing w:val="4"/>
          <w:w w:val="105"/>
          <w:sz w:val="13"/>
        </w:rPr>
        <w:t> </w:t>
      </w:r>
      <w:r>
        <w:rPr>
          <w:w w:val="105"/>
          <w:sz w:val="13"/>
        </w:rPr>
        <w:t>and</w:t>
      </w:r>
      <w:r>
        <w:rPr>
          <w:spacing w:val="5"/>
          <w:w w:val="105"/>
          <w:sz w:val="13"/>
        </w:rPr>
        <w:t> </w:t>
      </w:r>
      <w:r>
        <w:rPr>
          <w:w w:val="105"/>
          <w:sz w:val="13"/>
        </w:rPr>
        <w:t>Administrative</w:t>
      </w:r>
      <w:r>
        <w:rPr>
          <w:spacing w:val="5"/>
          <w:w w:val="105"/>
          <w:sz w:val="13"/>
        </w:rPr>
        <w:t> </w:t>
      </w:r>
      <w:r>
        <w:rPr>
          <w:w w:val="105"/>
          <w:sz w:val="13"/>
        </w:rPr>
        <w:t>Tribunal,</w:t>
      </w:r>
      <w:r>
        <w:rPr>
          <w:spacing w:val="5"/>
          <w:w w:val="105"/>
          <w:sz w:val="13"/>
        </w:rPr>
        <w:t> </w:t>
      </w:r>
      <w:r>
        <w:rPr>
          <w:i/>
          <w:w w:val="105"/>
          <w:sz w:val="13"/>
        </w:rPr>
        <w:t>Annual</w:t>
      </w:r>
      <w:r>
        <w:rPr>
          <w:i/>
          <w:spacing w:val="4"/>
          <w:w w:val="105"/>
          <w:sz w:val="13"/>
        </w:rPr>
        <w:t> </w:t>
      </w:r>
      <w:r>
        <w:rPr>
          <w:i/>
          <w:spacing w:val="2"/>
          <w:w w:val="105"/>
          <w:sz w:val="13"/>
        </w:rPr>
        <w:t>Report</w:t>
      </w:r>
      <w:r>
        <w:rPr>
          <w:i/>
          <w:spacing w:val="5"/>
          <w:w w:val="105"/>
          <w:sz w:val="13"/>
        </w:rPr>
        <w:t> </w:t>
      </w:r>
      <w:r>
        <w:rPr>
          <w:i/>
          <w:w w:val="105"/>
          <w:sz w:val="13"/>
        </w:rPr>
        <w:t>2016–17</w:t>
      </w:r>
      <w:r>
        <w:rPr>
          <w:i/>
          <w:spacing w:val="5"/>
          <w:w w:val="105"/>
          <w:sz w:val="13"/>
        </w:rPr>
        <w:t> </w:t>
      </w:r>
      <w:r>
        <w:rPr>
          <w:spacing w:val="2"/>
          <w:w w:val="105"/>
          <w:sz w:val="13"/>
        </w:rPr>
        <w:t>(Report,</w:t>
      </w:r>
      <w:r>
        <w:rPr>
          <w:spacing w:val="5"/>
          <w:w w:val="105"/>
          <w:sz w:val="13"/>
        </w:rPr>
        <w:t> </w:t>
      </w:r>
      <w:r>
        <w:rPr>
          <w:w w:val="105"/>
          <w:sz w:val="13"/>
        </w:rPr>
        <w:t>2017)</w:t>
      </w:r>
      <w:r>
        <w:rPr>
          <w:spacing w:val="4"/>
          <w:w w:val="105"/>
          <w:sz w:val="13"/>
        </w:rPr>
        <w:t> </w:t>
      </w:r>
      <w:r>
        <w:rPr>
          <w:w w:val="105"/>
          <w:sz w:val="13"/>
        </w:rPr>
        <w:t>2,</w:t>
      </w:r>
      <w:r>
        <w:rPr>
          <w:spacing w:val="5"/>
          <w:w w:val="105"/>
          <w:sz w:val="13"/>
        </w:rPr>
        <w:t> </w:t>
      </w:r>
      <w:r>
        <w:rPr>
          <w:w w:val="105"/>
          <w:sz w:val="13"/>
        </w:rPr>
        <w:t>29.</w:t>
      </w:r>
    </w:p>
    <w:p>
      <w:pPr>
        <w:pStyle w:val="ListParagraph"/>
        <w:numPr>
          <w:ilvl w:val="0"/>
          <w:numId w:val="109"/>
        </w:numPr>
        <w:tabs>
          <w:tab w:pos="1228" w:val="left" w:leader="none"/>
          <w:tab w:pos="1229" w:val="left" w:leader="none"/>
        </w:tabs>
        <w:spacing w:line="240" w:lineRule="auto" w:before="1" w:after="0"/>
        <w:ind w:left="1228" w:right="0" w:hanging="794"/>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Justice</w:t>
      </w:r>
      <w:r>
        <w:rPr>
          <w:spacing w:val="5"/>
          <w:w w:val="105"/>
          <w:sz w:val="13"/>
        </w:rPr>
        <w:t> </w:t>
      </w:r>
      <w:r>
        <w:rPr>
          <w:w w:val="105"/>
          <w:sz w:val="13"/>
        </w:rPr>
        <w:t>and</w:t>
      </w:r>
      <w:r>
        <w:rPr>
          <w:spacing w:val="5"/>
          <w:w w:val="105"/>
          <w:sz w:val="13"/>
        </w:rPr>
        <w:t> </w:t>
      </w:r>
      <w:r>
        <w:rPr>
          <w:w w:val="105"/>
          <w:sz w:val="13"/>
        </w:rPr>
        <w:t>Regulation</w:t>
      </w:r>
      <w:r>
        <w:rPr>
          <w:spacing w:val="5"/>
          <w:w w:val="105"/>
          <w:sz w:val="13"/>
        </w:rPr>
        <w:t> </w:t>
      </w:r>
      <w:r>
        <w:rPr>
          <w:spacing w:val="2"/>
          <w:w w:val="105"/>
          <w:sz w:val="13"/>
        </w:rPr>
        <w:t>(Vic),</w:t>
      </w:r>
      <w:r>
        <w:rPr>
          <w:spacing w:val="5"/>
          <w:w w:val="105"/>
          <w:sz w:val="13"/>
        </w:rPr>
        <w:t> </w:t>
      </w:r>
      <w:r>
        <w:rPr>
          <w:i/>
          <w:w w:val="105"/>
          <w:sz w:val="13"/>
        </w:rPr>
        <w:t>Access</w:t>
      </w:r>
      <w:r>
        <w:rPr>
          <w:i/>
          <w:spacing w:val="5"/>
          <w:w w:val="105"/>
          <w:sz w:val="13"/>
        </w:rPr>
        <w:t> </w:t>
      </w:r>
      <w:r>
        <w:rPr>
          <w:i/>
          <w:w w:val="105"/>
          <w:sz w:val="13"/>
        </w:rPr>
        <w:t>to</w:t>
      </w:r>
      <w:r>
        <w:rPr>
          <w:i/>
          <w:spacing w:val="6"/>
          <w:w w:val="105"/>
          <w:sz w:val="13"/>
        </w:rPr>
        <w:t> </w:t>
      </w:r>
      <w:r>
        <w:rPr>
          <w:i/>
          <w:w w:val="105"/>
          <w:sz w:val="13"/>
        </w:rPr>
        <w:t>Justice</w:t>
      </w:r>
      <w:r>
        <w:rPr>
          <w:i/>
          <w:spacing w:val="5"/>
          <w:w w:val="105"/>
          <w:sz w:val="13"/>
        </w:rPr>
        <w:t> </w:t>
      </w:r>
      <w:r>
        <w:rPr>
          <w:i/>
          <w:w w:val="105"/>
          <w:sz w:val="13"/>
        </w:rPr>
        <w:t>Review</w:t>
      </w:r>
      <w:r>
        <w:rPr>
          <w:i/>
          <w:spacing w:val="5"/>
          <w:w w:val="105"/>
          <w:sz w:val="13"/>
        </w:rPr>
        <w:t> </w:t>
      </w:r>
      <w:r>
        <w:rPr>
          <w:i/>
          <w:spacing w:val="2"/>
          <w:w w:val="105"/>
          <w:sz w:val="13"/>
        </w:rPr>
        <w:t>Report</w:t>
      </w:r>
      <w:r>
        <w:rPr>
          <w:i/>
          <w:spacing w:val="5"/>
          <w:w w:val="105"/>
          <w:sz w:val="13"/>
        </w:rPr>
        <w:t> </w:t>
      </w:r>
      <w:r>
        <w:rPr>
          <w:i/>
          <w:w w:val="105"/>
          <w:sz w:val="13"/>
        </w:rPr>
        <w:t>and</w:t>
      </w:r>
      <w:r>
        <w:rPr>
          <w:i/>
          <w:spacing w:val="5"/>
          <w:w w:val="105"/>
          <w:sz w:val="13"/>
        </w:rPr>
        <w:t> </w:t>
      </w:r>
      <w:r>
        <w:rPr>
          <w:i/>
          <w:w w:val="105"/>
          <w:sz w:val="13"/>
        </w:rPr>
        <w:t>Recommendations</w:t>
      </w:r>
      <w:r>
        <w:rPr>
          <w:i/>
          <w:spacing w:val="5"/>
          <w:w w:val="105"/>
          <w:sz w:val="13"/>
        </w:rPr>
        <w:t> </w:t>
      </w:r>
      <w:r>
        <w:rPr>
          <w:w w:val="105"/>
          <w:sz w:val="13"/>
        </w:rPr>
        <w:t>(2016)</w:t>
      </w:r>
      <w:r>
        <w:rPr>
          <w:spacing w:val="5"/>
          <w:w w:val="105"/>
          <w:sz w:val="13"/>
        </w:rPr>
        <w:t> </w:t>
      </w:r>
      <w:r>
        <w:rPr>
          <w:w w:val="105"/>
          <w:sz w:val="13"/>
        </w:rPr>
        <w:t>vol</w:t>
      </w:r>
      <w:r>
        <w:rPr>
          <w:spacing w:val="6"/>
          <w:w w:val="105"/>
          <w:sz w:val="13"/>
        </w:rPr>
        <w:t> </w:t>
      </w:r>
      <w:r>
        <w:rPr>
          <w:spacing w:val="-3"/>
          <w:w w:val="105"/>
          <w:sz w:val="13"/>
        </w:rPr>
        <w:t>1,</w:t>
      </w:r>
      <w:r>
        <w:rPr>
          <w:spacing w:val="5"/>
          <w:w w:val="105"/>
          <w:sz w:val="13"/>
        </w:rPr>
        <w:t> </w:t>
      </w:r>
      <w:r>
        <w:rPr>
          <w:w w:val="105"/>
          <w:sz w:val="13"/>
        </w:rPr>
        <w:t>284.</w:t>
      </w:r>
    </w:p>
    <w:p>
      <w:pPr>
        <w:pStyle w:val="ListParagraph"/>
        <w:numPr>
          <w:ilvl w:val="0"/>
          <w:numId w:val="109"/>
        </w:numPr>
        <w:tabs>
          <w:tab w:pos="1228" w:val="left" w:leader="none"/>
          <w:tab w:pos="1229" w:val="left" w:leader="none"/>
        </w:tabs>
        <w:spacing w:line="240" w:lineRule="auto" w:before="2" w:after="0"/>
        <w:ind w:left="1228" w:right="1667" w:hanging="794"/>
        <w:jc w:val="left"/>
        <w:rPr>
          <w:sz w:val="13"/>
        </w:rPr>
      </w:pPr>
      <w:r>
        <w:rPr>
          <w:w w:val="105"/>
          <w:sz w:val="13"/>
        </w:rPr>
        <w:t>‘Review jurisdiction’ means VCAT has the power to review decisions made by an original decision maker such as a government agency, a statutory authority or other Administrative decision maker: Victorian Civil and Administrative Tribunal, </w:t>
      </w:r>
      <w:r>
        <w:rPr>
          <w:i/>
          <w:w w:val="105"/>
          <w:sz w:val="13"/>
        </w:rPr>
        <w:t>Application for Review of a Decision </w:t>
      </w:r>
      <w:r>
        <w:rPr>
          <w:w w:val="105"/>
          <w:sz w:val="13"/>
        </w:rPr>
        <w:t>(Web Page)</w:t>
      </w:r>
      <w:r>
        <w:rPr>
          <w:spacing w:val="13"/>
          <w:w w:val="105"/>
          <w:sz w:val="13"/>
        </w:rPr>
        <w:t> </w:t>
      </w:r>
      <w:r>
        <w:rPr>
          <w:w w:val="105"/>
          <w:sz w:val="13"/>
        </w:rPr>
        <w:t>&lt;https://</w:t>
      </w:r>
      <w:hyperlink r:id="rId165">
        <w:r>
          <w:rPr>
            <w:w w:val="105"/>
            <w:sz w:val="13"/>
          </w:rPr>
          <w:t>www.vcat.vic.gov.au/get-started/review-and-regulation/application-for-review-of-a-decision</w:t>
        </w:r>
      </w:hyperlink>
      <w:r>
        <w:rPr>
          <w:w w:val="105"/>
          <w:sz w:val="13"/>
        </w:rPr>
        <w:t>&gt;.</w:t>
      </w:r>
    </w:p>
    <w:p>
      <w:pPr>
        <w:pStyle w:val="ListParagraph"/>
        <w:numPr>
          <w:ilvl w:val="0"/>
          <w:numId w:val="109"/>
        </w:numPr>
        <w:tabs>
          <w:tab w:pos="1228" w:val="left" w:leader="none"/>
          <w:tab w:pos="1229" w:val="left" w:leader="none"/>
        </w:tabs>
        <w:spacing w:line="240" w:lineRule="auto" w:before="4" w:after="0"/>
        <w:ind w:left="1228" w:right="0" w:hanging="794"/>
        <w:jc w:val="left"/>
        <w:rPr>
          <w:sz w:val="13"/>
        </w:rPr>
      </w:pPr>
      <w:r>
        <w:rPr>
          <w:w w:val="105"/>
          <w:sz w:val="13"/>
        </w:rPr>
        <w:t>See,</w:t>
      </w:r>
      <w:r>
        <w:rPr>
          <w:spacing w:val="6"/>
          <w:w w:val="105"/>
          <w:sz w:val="13"/>
        </w:rPr>
        <w:t> </w:t>
      </w:r>
      <w:r>
        <w:rPr>
          <w:w w:val="105"/>
          <w:sz w:val="13"/>
        </w:rPr>
        <w:t>eg,</w:t>
      </w:r>
      <w:r>
        <w:rPr>
          <w:spacing w:val="6"/>
          <w:w w:val="105"/>
          <w:sz w:val="13"/>
        </w:rPr>
        <w:t> </w:t>
      </w:r>
      <w:r>
        <w:rPr>
          <w:i/>
          <w:w w:val="105"/>
          <w:sz w:val="13"/>
        </w:rPr>
        <w:t>Aboriginal</w:t>
      </w:r>
      <w:r>
        <w:rPr>
          <w:i/>
          <w:spacing w:val="6"/>
          <w:w w:val="105"/>
          <w:sz w:val="13"/>
        </w:rPr>
        <w:t> </w:t>
      </w:r>
      <w:r>
        <w:rPr>
          <w:i/>
          <w:w w:val="105"/>
          <w:sz w:val="13"/>
        </w:rPr>
        <w:t>Heritage</w:t>
      </w:r>
      <w:r>
        <w:rPr>
          <w:i/>
          <w:spacing w:val="6"/>
          <w:w w:val="105"/>
          <w:sz w:val="13"/>
        </w:rPr>
        <w:t> </w:t>
      </w:r>
      <w:r>
        <w:rPr>
          <w:i/>
          <w:w w:val="105"/>
          <w:sz w:val="13"/>
        </w:rPr>
        <w:t>Act</w:t>
      </w:r>
      <w:r>
        <w:rPr>
          <w:i/>
          <w:spacing w:val="6"/>
          <w:w w:val="105"/>
          <w:sz w:val="13"/>
        </w:rPr>
        <w:t> </w:t>
      </w:r>
      <w:r>
        <w:rPr>
          <w:i/>
          <w:w w:val="105"/>
          <w:sz w:val="13"/>
        </w:rPr>
        <w:t>2006</w:t>
      </w:r>
      <w:r>
        <w:rPr>
          <w:i/>
          <w:spacing w:val="6"/>
          <w:w w:val="105"/>
          <w:sz w:val="13"/>
        </w:rPr>
        <w:t> </w:t>
      </w:r>
      <w:r>
        <w:rPr>
          <w:spacing w:val="2"/>
          <w:w w:val="105"/>
          <w:sz w:val="13"/>
        </w:rPr>
        <w:t>(Vic)</w:t>
      </w:r>
      <w:r>
        <w:rPr>
          <w:spacing w:val="6"/>
          <w:w w:val="105"/>
          <w:sz w:val="13"/>
        </w:rPr>
        <w:t> </w:t>
      </w:r>
      <w:r>
        <w:rPr>
          <w:w w:val="105"/>
          <w:sz w:val="13"/>
        </w:rPr>
        <w:t>pt</w:t>
      </w:r>
      <w:r>
        <w:rPr>
          <w:spacing w:val="6"/>
          <w:w w:val="105"/>
          <w:sz w:val="13"/>
        </w:rPr>
        <w:t> </w:t>
      </w:r>
      <w:r>
        <w:rPr>
          <w:spacing w:val="3"/>
          <w:w w:val="105"/>
          <w:sz w:val="13"/>
        </w:rPr>
        <w:t>8;</w:t>
      </w:r>
      <w:r>
        <w:rPr>
          <w:spacing w:val="6"/>
          <w:w w:val="105"/>
          <w:sz w:val="13"/>
        </w:rPr>
        <w:t> </w:t>
      </w:r>
      <w:r>
        <w:rPr>
          <w:i/>
          <w:w w:val="105"/>
          <w:sz w:val="13"/>
        </w:rPr>
        <w:t>Heritage</w:t>
      </w:r>
      <w:r>
        <w:rPr>
          <w:i/>
          <w:spacing w:val="6"/>
          <w:w w:val="105"/>
          <w:sz w:val="13"/>
        </w:rPr>
        <w:t> </w:t>
      </w:r>
      <w:r>
        <w:rPr>
          <w:i/>
          <w:w w:val="105"/>
          <w:sz w:val="13"/>
        </w:rPr>
        <w:t>Act</w:t>
      </w:r>
      <w:r>
        <w:rPr>
          <w:i/>
          <w:spacing w:val="6"/>
          <w:w w:val="105"/>
          <w:sz w:val="13"/>
        </w:rPr>
        <w:t> </w:t>
      </w:r>
      <w:r>
        <w:rPr>
          <w:i/>
          <w:spacing w:val="-4"/>
          <w:w w:val="105"/>
          <w:sz w:val="13"/>
        </w:rPr>
        <w:t>2017</w:t>
      </w:r>
      <w:r>
        <w:rPr>
          <w:i/>
          <w:spacing w:val="6"/>
          <w:w w:val="105"/>
          <w:sz w:val="13"/>
        </w:rPr>
        <w:t> </w:t>
      </w:r>
      <w:r>
        <w:rPr>
          <w:spacing w:val="2"/>
          <w:w w:val="105"/>
          <w:sz w:val="13"/>
        </w:rPr>
        <w:t>(Vic)</w:t>
      </w:r>
      <w:r>
        <w:rPr>
          <w:spacing w:val="6"/>
          <w:w w:val="105"/>
          <w:sz w:val="13"/>
        </w:rPr>
        <w:t> </w:t>
      </w:r>
      <w:r>
        <w:rPr>
          <w:w w:val="105"/>
          <w:sz w:val="13"/>
        </w:rPr>
        <w:t>ss</w:t>
      </w:r>
      <w:r>
        <w:rPr>
          <w:spacing w:val="6"/>
          <w:w w:val="105"/>
          <w:sz w:val="13"/>
        </w:rPr>
        <w:t> </w:t>
      </w:r>
      <w:r>
        <w:rPr>
          <w:w w:val="105"/>
          <w:sz w:val="13"/>
        </w:rPr>
        <w:t>109–12;</w:t>
      </w:r>
      <w:r>
        <w:rPr>
          <w:spacing w:val="6"/>
          <w:w w:val="105"/>
          <w:sz w:val="13"/>
        </w:rPr>
        <w:t> </w:t>
      </w:r>
      <w:r>
        <w:rPr>
          <w:w w:val="105"/>
          <w:sz w:val="13"/>
        </w:rPr>
        <w:t>Planning</w:t>
      </w:r>
      <w:r>
        <w:rPr>
          <w:spacing w:val="6"/>
          <w:w w:val="105"/>
          <w:sz w:val="13"/>
        </w:rPr>
        <w:t> </w:t>
      </w:r>
      <w:r>
        <w:rPr>
          <w:w w:val="105"/>
          <w:sz w:val="13"/>
        </w:rPr>
        <w:t>and</w:t>
      </w:r>
      <w:r>
        <w:rPr>
          <w:spacing w:val="6"/>
          <w:w w:val="105"/>
          <w:sz w:val="13"/>
        </w:rPr>
        <w:t> </w:t>
      </w:r>
      <w:r>
        <w:rPr>
          <w:w w:val="105"/>
          <w:sz w:val="13"/>
        </w:rPr>
        <w:t>Environment</w:t>
      </w:r>
      <w:r>
        <w:rPr>
          <w:spacing w:val="6"/>
          <w:w w:val="105"/>
          <w:sz w:val="13"/>
        </w:rPr>
        <w:t> </w:t>
      </w:r>
      <w:r>
        <w:rPr>
          <w:w w:val="105"/>
          <w:sz w:val="13"/>
        </w:rPr>
        <w:t>Act</w:t>
      </w:r>
      <w:r>
        <w:rPr>
          <w:spacing w:val="6"/>
          <w:w w:val="105"/>
          <w:sz w:val="13"/>
        </w:rPr>
        <w:t> </w:t>
      </w:r>
      <w:r>
        <w:rPr>
          <w:w w:val="105"/>
          <w:sz w:val="13"/>
        </w:rPr>
        <w:t>1987</w:t>
      </w:r>
      <w:r>
        <w:rPr>
          <w:spacing w:val="6"/>
          <w:w w:val="105"/>
          <w:sz w:val="13"/>
        </w:rPr>
        <w:t> </w:t>
      </w:r>
      <w:r>
        <w:rPr>
          <w:spacing w:val="2"/>
          <w:w w:val="105"/>
          <w:sz w:val="13"/>
        </w:rPr>
        <w:t>(Vic)</w:t>
      </w:r>
      <w:r>
        <w:rPr>
          <w:spacing w:val="6"/>
          <w:w w:val="105"/>
          <w:sz w:val="13"/>
        </w:rPr>
        <w:t> </w:t>
      </w:r>
      <w:r>
        <w:rPr>
          <w:w w:val="105"/>
          <w:sz w:val="13"/>
        </w:rPr>
        <w:t>ss</w:t>
      </w:r>
      <w:r>
        <w:rPr>
          <w:spacing w:val="6"/>
          <w:w w:val="105"/>
          <w:sz w:val="13"/>
        </w:rPr>
        <w:t> </w:t>
      </w:r>
      <w:r>
        <w:rPr>
          <w:w w:val="105"/>
          <w:sz w:val="13"/>
        </w:rPr>
        <w:t>77–82B.</w:t>
      </w:r>
    </w:p>
    <w:p>
      <w:pPr>
        <w:pStyle w:val="ListParagraph"/>
        <w:numPr>
          <w:ilvl w:val="0"/>
          <w:numId w:val="109"/>
        </w:numPr>
        <w:tabs>
          <w:tab w:pos="1228" w:val="left" w:leader="none"/>
          <w:tab w:pos="1229" w:val="left" w:leader="none"/>
        </w:tabs>
        <w:spacing w:line="240" w:lineRule="auto" w:before="1" w:after="0"/>
        <w:ind w:left="1228" w:right="0" w:hanging="794"/>
        <w:jc w:val="left"/>
        <w:rPr>
          <w:sz w:val="13"/>
        </w:rPr>
      </w:pPr>
      <w:r>
        <w:rPr>
          <w:i/>
          <w:sz w:val="13"/>
        </w:rPr>
        <w:t>Victorian</w:t>
      </w:r>
      <w:r>
        <w:rPr>
          <w:i/>
          <w:spacing w:val="6"/>
          <w:sz w:val="13"/>
        </w:rPr>
        <w:t> </w:t>
      </w:r>
      <w:r>
        <w:rPr>
          <w:i/>
          <w:sz w:val="13"/>
        </w:rPr>
        <w:t>Civil</w:t>
      </w:r>
      <w:r>
        <w:rPr>
          <w:i/>
          <w:spacing w:val="7"/>
          <w:sz w:val="13"/>
        </w:rPr>
        <w:t> </w:t>
      </w:r>
      <w:r>
        <w:rPr>
          <w:i/>
          <w:sz w:val="13"/>
        </w:rPr>
        <w:t>and</w:t>
      </w:r>
      <w:r>
        <w:rPr>
          <w:i/>
          <w:spacing w:val="7"/>
          <w:sz w:val="13"/>
        </w:rPr>
        <w:t> </w:t>
      </w:r>
      <w:r>
        <w:rPr>
          <w:i/>
          <w:sz w:val="13"/>
        </w:rPr>
        <w:t>Administrative</w:t>
      </w:r>
      <w:r>
        <w:rPr>
          <w:i/>
          <w:spacing w:val="7"/>
          <w:sz w:val="13"/>
        </w:rPr>
        <w:t> </w:t>
      </w:r>
      <w:r>
        <w:rPr>
          <w:i/>
          <w:sz w:val="13"/>
        </w:rPr>
        <w:t>Tribunal</w:t>
      </w:r>
      <w:r>
        <w:rPr>
          <w:i/>
          <w:spacing w:val="7"/>
          <w:sz w:val="13"/>
        </w:rPr>
        <w:t> </w:t>
      </w:r>
      <w:r>
        <w:rPr>
          <w:i/>
          <w:sz w:val="13"/>
        </w:rPr>
        <w:t>Act</w:t>
      </w:r>
      <w:r>
        <w:rPr>
          <w:i/>
          <w:spacing w:val="7"/>
          <w:sz w:val="13"/>
        </w:rPr>
        <w:t> </w:t>
      </w:r>
      <w:r>
        <w:rPr>
          <w:i/>
          <w:sz w:val="13"/>
        </w:rPr>
        <w:t>1998</w:t>
      </w:r>
      <w:r>
        <w:rPr>
          <w:i/>
          <w:spacing w:val="7"/>
          <w:sz w:val="13"/>
        </w:rPr>
        <w:t> </w:t>
      </w:r>
      <w:r>
        <w:rPr>
          <w:spacing w:val="2"/>
          <w:sz w:val="13"/>
        </w:rPr>
        <w:t>(Vic)</w:t>
      </w:r>
      <w:r>
        <w:rPr>
          <w:spacing w:val="7"/>
          <w:sz w:val="13"/>
        </w:rPr>
        <w:t> </w:t>
      </w:r>
      <w:r>
        <w:rPr>
          <w:sz w:val="13"/>
        </w:rPr>
        <w:t>s</w:t>
      </w:r>
      <w:r>
        <w:rPr>
          <w:spacing w:val="7"/>
          <w:sz w:val="13"/>
        </w:rPr>
        <w:t> </w:t>
      </w:r>
      <w:r>
        <w:rPr>
          <w:sz w:val="13"/>
        </w:rPr>
        <w:t>10(1).</w:t>
      </w:r>
    </w:p>
    <w:p>
      <w:pPr>
        <w:pStyle w:val="ListParagraph"/>
        <w:numPr>
          <w:ilvl w:val="0"/>
          <w:numId w:val="109"/>
        </w:numPr>
        <w:tabs>
          <w:tab w:pos="1228" w:val="left" w:leader="none"/>
          <w:tab w:pos="1229" w:val="left" w:leader="none"/>
        </w:tabs>
        <w:spacing w:line="240" w:lineRule="auto" w:before="1" w:after="0"/>
        <w:ind w:left="1228" w:right="0" w:hanging="793"/>
        <w:jc w:val="left"/>
        <w:rPr>
          <w:sz w:val="13"/>
        </w:rPr>
      </w:pPr>
      <w:r>
        <w:rPr>
          <w:sz w:val="13"/>
        </w:rPr>
        <w:t>Ibid</w:t>
      </w:r>
      <w:r>
        <w:rPr>
          <w:spacing w:val="9"/>
          <w:sz w:val="13"/>
        </w:rPr>
        <w:t> </w:t>
      </w:r>
      <w:r>
        <w:rPr>
          <w:sz w:val="13"/>
        </w:rPr>
        <w:t>s</w:t>
      </w:r>
      <w:r>
        <w:rPr>
          <w:spacing w:val="9"/>
          <w:sz w:val="13"/>
        </w:rPr>
        <w:t> </w:t>
      </w:r>
      <w:r>
        <w:rPr>
          <w:spacing w:val="2"/>
          <w:sz w:val="13"/>
        </w:rPr>
        <w:t>11(1)–(2);</w:t>
      </w:r>
      <w:r>
        <w:rPr>
          <w:spacing w:val="9"/>
          <w:sz w:val="13"/>
        </w:rPr>
        <w:t> </w:t>
      </w:r>
      <w:r>
        <w:rPr>
          <w:sz w:val="13"/>
        </w:rPr>
        <w:t>see</w:t>
      </w:r>
      <w:r>
        <w:rPr>
          <w:spacing w:val="10"/>
          <w:sz w:val="13"/>
        </w:rPr>
        <w:t> </w:t>
      </w:r>
      <w:r>
        <w:rPr>
          <w:sz w:val="13"/>
        </w:rPr>
        <w:t>also</w:t>
      </w:r>
      <w:r>
        <w:rPr>
          <w:spacing w:val="9"/>
          <w:sz w:val="13"/>
        </w:rPr>
        <w:t> </w:t>
      </w:r>
      <w:r>
        <w:rPr>
          <w:i/>
          <w:sz w:val="13"/>
        </w:rPr>
        <w:t>Victorian</w:t>
      </w:r>
      <w:r>
        <w:rPr>
          <w:i/>
          <w:spacing w:val="9"/>
          <w:sz w:val="13"/>
        </w:rPr>
        <w:t> </w:t>
      </w:r>
      <w:r>
        <w:rPr>
          <w:i/>
          <w:sz w:val="13"/>
        </w:rPr>
        <w:t>Civil</w:t>
      </w:r>
      <w:r>
        <w:rPr>
          <w:i/>
          <w:spacing w:val="9"/>
          <w:sz w:val="13"/>
        </w:rPr>
        <w:t> </w:t>
      </w:r>
      <w:r>
        <w:rPr>
          <w:i/>
          <w:sz w:val="13"/>
        </w:rPr>
        <w:t>and</w:t>
      </w:r>
      <w:r>
        <w:rPr>
          <w:i/>
          <w:spacing w:val="10"/>
          <w:sz w:val="13"/>
        </w:rPr>
        <w:t> </w:t>
      </w:r>
      <w:r>
        <w:rPr>
          <w:i/>
          <w:sz w:val="13"/>
        </w:rPr>
        <w:t>Administrative</w:t>
      </w:r>
      <w:r>
        <w:rPr>
          <w:i/>
          <w:spacing w:val="9"/>
          <w:sz w:val="13"/>
        </w:rPr>
        <w:t> </w:t>
      </w:r>
      <w:r>
        <w:rPr>
          <w:i/>
          <w:sz w:val="13"/>
        </w:rPr>
        <w:t>Tribunal,</w:t>
      </w:r>
      <w:r>
        <w:rPr>
          <w:i/>
          <w:spacing w:val="9"/>
          <w:sz w:val="13"/>
        </w:rPr>
        <w:t> </w:t>
      </w:r>
      <w:r>
        <w:rPr>
          <w:i/>
          <w:sz w:val="13"/>
        </w:rPr>
        <w:t>List</w:t>
      </w:r>
      <w:r>
        <w:rPr>
          <w:i/>
          <w:spacing w:val="10"/>
          <w:sz w:val="13"/>
        </w:rPr>
        <w:t> </w:t>
      </w:r>
      <w:r>
        <w:rPr>
          <w:i/>
          <w:sz w:val="13"/>
        </w:rPr>
        <w:t>Of</w:t>
      </w:r>
      <w:r>
        <w:rPr>
          <w:i/>
          <w:spacing w:val="9"/>
          <w:sz w:val="13"/>
        </w:rPr>
        <w:t> </w:t>
      </w:r>
      <w:r>
        <w:rPr>
          <w:i/>
          <w:sz w:val="13"/>
        </w:rPr>
        <w:t>VCAT</w:t>
      </w:r>
      <w:r>
        <w:rPr>
          <w:i/>
          <w:spacing w:val="9"/>
          <w:sz w:val="13"/>
        </w:rPr>
        <w:t> </w:t>
      </w:r>
      <w:r>
        <w:rPr>
          <w:i/>
          <w:sz w:val="13"/>
        </w:rPr>
        <w:t>Members</w:t>
      </w:r>
      <w:r>
        <w:rPr>
          <w:i/>
          <w:spacing w:val="9"/>
          <w:sz w:val="13"/>
        </w:rPr>
        <w:t> </w:t>
      </w:r>
      <w:r>
        <w:rPr>
          <w:sz w:val="13"/>
        </w:rPr>
        <w:t>(Web</w:t>
      </w:r>
      <w:r>
        <w:rPr>
          <w:spacing w:val="10"/>
          <w:sz w:val="13"/>
        </w:rPr>
        <w:t> </w:t>
      </w:r>
      <w:r>
        <w:rPr>
          <w:sz w:val="13"/>
        </w:rPr>
        <w:t>Page,</w:t>
      </w:r>
      <w:r>
        <w:rPr>
          <w:spacing w:val="9"/>
          <w:sz w:val="13"/>
        </w:rPr>
        <w:t> </w:t>
      </w:r>
      <w:r>
        <w:rPr>
          <w:sz w:val="13"/>
        </w:rPr>
        <w:t>1</w:t>
      </w:r>
      <w:r>
        <w:rPr>
          <w:spacing w:val="9"/>
          <w:sz w:val="13"/>
        </w:rPr>
        <w:t> </w:t>
      </w:r>
      <w:r>
        <w:rPr>
          <w:sz w:val="13"/>
        </w:rPr>
        <w:t>February</w:t>
      </w:r>
      <w:r>
        <w:rPr>
          <w:spacing w:val="10"/>
          <w:sz w:val="13"/>
        </w:rPr>
        <w:t> </w:t>
      </w:r>
      <w:r>
        <w:rPr>
          <w:sz w:val="13"/>
        </w:rPr>
        <w:t>2019)</w:t>
      </w:r>
    </w:p>
    <w:p>
      <w:pPr>
        <w:spacing w:before="2"/>
        <w:ind w:left="1228" w:right="0" w:firstLine="0"/>
        <w:jc w:val="left"/>
        <w:rPr>
          <w:sz w:val="13"/>
        </w:rPr>
      </w:pPr>
      <w:r>
        <w:rPr>
          <w:sz w:val="13"/>
        </w:rPr>
        <w:t>&lt;https://</w:t>
      </w:r>
      <w:hyperlink r:id="rId166">
        <w:r>
          <w:rPr>
            <w:sz w:val="13"/>
          </w:rPr>
          <w:t>www.vcat.vic.gov.au/about-us/list-of-vcat-members</w:t>
        </w:r>
      </w:hyperlink>
      <w:r>
        <w:rPr>
          <w:sz w:val="13"/>
        </w:rPr>
        <w:t>&gt;.</w:t>
      </w:r>
    </w:p>
    <w:p>
      <w:pPr>
        <w:pStyle w:val="ListParagraph"/>
        <w:numPr>
          <w:ilvl w:val="0"/>
          <w:numId w:val="109"/>
        </w:numPr>
        <w:tabs>
          <w:tab w:pos="1228" w:val="left" w:leader="none"/>
          <w:tab w:pos="1229" w:val="left" w:leader="none"/>
        </w:tabs>
        <w:spacing w:line="240" w:lineRule="auto" w:before="1" w:after="0"/>
        <w:ind w:left="1228" w:right="0" w:hanging="793"/>
        <w:jc w:val="left"/>
        <w:rPr>
          <w:sz w:val="13"/>
        </w:rPr>
      </w:pPr>
      <w:r>
        <w:rPr>
          <w:i/>
          <w:sz w:val="13"/>
        </w:rPr>
        <w:t>Victorian</w:t>
      </w:r>
      <w:r>
        <w:rPr>
          <w:i/>
          <w:spacing w:val="11"/>
          <w:sz w:val="13"/>
        </w:rPr>
        <w:t> </w:t>
      </w:r>
      <w:r>
        <w:rPr>
          <w:i/>
          <w:sz w:val="13"/>
        </w:rPr>
        <w:t>Civil</w:t>
      </w:r>
      <w:r>
        <w:rPr>
          <w:i/>
          <w:spacing w:val="11"/>
          <w:sz w:val="13"/>
        </w:rPr>
        <w:t> </w:t>
      </w:r>
      <w:r>
        <w:rPr>
          <w:i/>
          <w:sz w:val="13"/>
        </w:rPr>
        <w:t>and</w:t>
      </w:r>
      <w:r>
        <w:rPr>
          <w:i/>
          <w:spacing w:val="11"/>
          <w:sz w:val="13"/>
        </w:rPr>
        <w:t> </w:t>
      </w:r>
      <w:r>
        <w:rPr>
          <w:i/>
          <w:sz w:val="13"/>
        </w:rPr>
        <w:t>Administrative</w:t>
      </w:r>
      <w:r>
        <w:rPr>
          <w:i/>
          <w:spacing w:val="11"/>
          <w:sz w:val="13"/>
        </w:rPr>
        <w:t> </w:t>
      </w:r>
      <w:r>
        <w:rPr>
          <w:i/>
          <w:sz w:val="13"/>
        </w:rPr>
        <w:t>Tribunal</w:t>
      </w:r>
      <w:r>
        <w:rPr>
          <w:i/>
          <w:spacing w:val="11"/>
          <w:sz w:val="13"/>
        </w:rPr>
        <w:t> </w:t>
      </w:r>
      <w:r>
        <w:rPr>
          <w:i/>
          <w:sz w:val="13"/>
        </w:rPr>
        <w:t>Act</w:t>
      </w:r>
      <w:r>
        <w:rPr>
          <w:i/>
          <w:spacing w:val="11"/>
          <w:sz w:val="13"/>
        </w:rPr>
        <w:t> </w:t>
      </w:r>
      <w:r>
        <w:rPr>
          <w:i/>
          <w:sz w:val="13"/>
        </w:rPr>
        <w:t>1998</w:t>
      </w:r>
      <w:r>
        <w:rPr>
          <w:i/>
          <w:spacing w:val="11"/>
          <w:sz w:val="13"/>
        </w:rPr>
        <w:t> </w:t>
      </w:r>
      <w:r>
        <w:rPr>
          <w:spacing w:val="2"/>
          <w:sz w:val="13"/>
        </w:rPr>
        <w:t>(Vic)</w:t>
      </w:r>
      <w:r>
        <w:rPr>
          <w:spacing w:val="11"/>
          <w:sz w:val="13"/>
        </w:rPr>
        <w:t> </w:t>
      </w:r>
      <w:r>
        <w:rPr>
          <w:sz w:val="13"/>
        </w:rPr>
        <w:t>s</w:t>
      </w:r>
      <w:r>
        <w:rPr>
          <w:spacing w:val="11"/>
          <w:sz w:val="13"/>
        </w:rPr>
        <w:t> </w:t>
      </w:r>
      <w:r>
        <w:rPr>
          <w:spacing w:val="3"/>
          <w:sz w:val="13"/>
        </w:rPr>
        <w:t>30(2);</w:t>
      </w:r>
      <w:r>
        <w:rPr>
          <w:spacing w:val="11"/>
          <w:sz w:val="13"/>
        </w:rPr>
        <w:t> </w:t>
      </w:r>
      <w:r>
        <w:rPr>
          <w:i/>
          <w:sz w:val="13"/>
        </w:rPr>
        <w:t>Victorian</w:t>
      </w:r>
      <w:r>
        <w:rPr>
          <w:i/>
          <w:spacing w:val="11"/>
          <w:sz w:val="13"/>
        </w:rPr>
        <w:t> </w:t>
      </w:r>
      <w:r>
        <w:rPr>
          <w:i/>
          <w:sz w:val="13"/>
        </w:rPr>
        <w:t>Civil</w:t>
      </w:r>
      <w:r>
        <w:rPr>
          <w:i/>
          <w:spacing w:val="11"/>
          <w:sz w:val="13"/>
        </w:rPr>
        <w:t> </w:t>
      </w:r>
      <w:r>
        <w:rPr>
          <w:i/>
          <w:sz w:val="13"/>
        </w:rPr>
        <w:t>and</w:t>
      </w:r>
      <w:r>
        <w:rPr>
          <w:i/>
          <w:spacing w:val="11"/>
          <w:sz w:val="13"/>
        </w:rPr>
        <w:t> </w:t>
      </w:r>
      <w:r>
        <w:rPr>
          <w:i/>
          <w:sz w:val="13"/>
        </w:rPr>
        <w:t>Administrative</w:t>
      </w:r>
      <w:r>
        <w:rPr>
          <w:i/>
          <w:spacing w:val="11"/>
          <w:sz w:val="13"/>
        </w:rPr>
        <w:t> </w:t>
      </w:r>
      <w:r>
        <w:rPr>
          <w:i/>
          <w:sz w:val="13"/>
        </w:rPr>
        <w:t>Tribunal,</w:t>
      </w:r>
      <w:r>
        <w:rPr>
          <w:i/>
          <w:spacing w:val="11"/>
          <w:sz w:val="13"/>
        </w:rPr>
        <w:t> </w:t>
      </w:r>
      <w:r>
        <w:rPr>
          <w:i/>
          <w:sz w:val="13"/>
        </w:rPr>
        <w:t>Our</w:t>
      </w:r>
      <w:r>
        <w:rPr>
          <w:i/>
          <w:spacing w:val="11"/>
          <w:sz w:val="13"/>
        </w:rPr>
        <w:t> </w:t>
      </w:r>
      <w:r>
        <w:rPr>
          <w:i/>
          <w:sz w:val="13"/>
        </w:rPr>
        <w:t>Leadership</w:t>
      </w:r>
      <w:r>
        <w:rPr>
          <w:i/>
          <w:spacing w:val="11"/>
          <w:sz w:val="13"/>
        </w:rPr>
        <w:t> </w:t>
      </w:r>
      <w:r>
        <w:rPr>
          <w:sz w:val="13"/>
        </w:rPr>
        <w:t>(Web</w:t>
      </w:r>
      <w:r>
        <w:rPr>
          <w:spacing w:val="11"/>
          <w:sz w:val="13"/>
        </w:rPr>
        <w:t> </w:t>
      </w:r>
      <w:r>
        <w:rPr>
          <w:sz w:val="13"/>
        </w:rPr>
        <w:t>Page)</w:t>
      </w:r>
    </w:p>
    <w:p>
      <w:pPr>
        <w:spacing w:before="1"/>
        <w:ind w:left="1228" w:right="0" w:firstLine="0"/>
        <w:jc w:val="left"/>
        <w:rPr>
          <w:sz w:val="13"/>
        </w:rPr>
      </w:pPr>
      <w:r>
        <w:rPr>
          <w:sz w:val="13"/>
        </w:rPr>
        <w:t>&lt;https://</w:t>
      </w:r>
      <w:hyperlink r:id="rId167">
        <w:r>
          <w:rPr>
            <w:sz w:val="13"/>
          </w:rPr>
          <w:t>www.vcat.vic.gov.au/about-us/our-leadership</w:t>
        </w:r>
      </w:hyperlink>
      <w:r>
        <w:rPr>
          <w:sz w:val="13"/>
        </w:rPr>
        <w:t>&gt;.</w:t>
      </w:r>
    </w:p>
    <w:p>
      <w:pPr>
        <w:pStyle w:val="ListParagraph"/>
        <w:numPr>
          <w:ilvl w:val="0"/>
          <w:numId w:val="109"/>
        </w:numPr>
        <w:tabs>
          <w:tab w:pos="1228" w:val="left" w:leader="none"/>
          <w:tab w:pos="1229" w:val="left" w:leader="none"/>
        </w:tabs>
        <w:spacing w:line="240" w:lineRule="auto" w:before="2" w:after="0"/>
        <w:ind w:left="1228" w:right="1742" w:hanging="793"/>
        <w:jc w:val="left"/>
        <w:rPr>
          <w:sz w:val="13"/>
        </w:rPr>
      </w:pPr>
      <w:r>
        <w:rPr>
          <w:w w:val="105"/>
          <w:sz w:val="13"/>
        </w:rPr>
        <w:t>Victorian Civil and Administrative Tribunal, </w:t>
      </w:r>
      <w:r>
        <w:rPr>
          <w:i/>
          <w:w w:val="105"/>
          <w:sz w:val="13"/>
        </w:rPr>
        <w:t>Annual </w:t>
      </w:r>
      <w:r>
        <w:rPr>
          <w:i/>
          <w:spacing w:val="2"/>
          <w:w w:val="105"/>
          <w:sz w:val="13"/>
        </w:rPr>
        <w:t>Report </w:t>
      </w:r>
      <w:r>
        <w:rPr>
          <w:i/>
          <w:spacing w:val="-4"/>
          <w:w w:val="105"/>
          <w:sz w:val="13"/>
        </w:rPr>
        <w:t>2017–18 </w:t>
      </w:r>
      <w:r>
        <w:rPr>
          <w:spacing w:val="2"/>
          <w:w w:val="105"/>
          <w:sz w:val="13"/>
        </w:rPr>
        <w:t>(Report, </w:t>
      </w:r>
      <w:r>
        <w:rPr>
          <w:w w:val="105"/>
          <w:sz w:val="13"/>
        </w:rPr>
        <w:t>2018) 10; see also </w:t>
      </w:r>
      <w:r>
        <w:rPr>
          <w:i/>
          <w:w w:val="105"/>
          <w:sz w:val="13"/>
        </w:rPr>
        <w:t>Victorian Civil and Administrative Tribunal, </w:t>
      </w:r>
      <w:r>
        <w:rPr>
          <w:i/>
          <w:w w:val="105"/>
          <w:sz w:val="13"/>
        </w:rPr>
        <w:t>Who We Are </w:t>
      </w:r>
      <w:r>
        <w:rPr>
          <w:w w:val="105"/>
          <w:sz w:val="13"/>
        </w:rPr>
        <w:t>(Web Page)</w:t>
      </w:r>
      <w:r>
        <w:rPr>
          <w:spacing w:val="26"/>
          <w:w w:val="105"/>
          <w:sz w:val="13"/>
        </w:rPr>
        <w:t> </w:t>
      </w:r>
      <w:r>
        <w:rPr>
          <w:w w:val="105"/>
          <w:sz w:val="13"/>
        </w:rPr>
        <w:t>&lt;</w:t>
      </w:r>
      <w:hyperlink r:id="rId168">
        <w:r>
          <w:rPr>
            <w:w w:val="105"/>
            <w:sz w:val="13"/>
          </w:rPr>
          <w:t>www.vcat.vic.gov.au/about-us/who-we-are</w:t>
        </w:r>
      </w:hyperlink>
      <w:r>
        <w:rPr>
          <w:w w:val="105"/>
          <w:sz w:val="13"/>
        </w:rPr>
        <w:t>&gt;.</w:t>
      </w:r>
    </w:p>
    <w:p>
      <w:pPr>
        <w:pStyle w:val="ListParagraph"/>
        <w:numPr>
          <w:ilvl w:val="0"/>
          <w:numId w:val="109"/>
        </w:numPr>
        <w:tabs>
          <w:tab w:pos="1228" w:val="left" w:leader="none"/>
          <w:tab w:pos="1229" w:val="left" w:leader="none"/>
        </w:tabs>
        <w:spacing w:line="240" w:lineRule="auto" w:before="2" w:after="0"/>
        <w:ind w:left="1228" w:right="0" w:hanging="793"/>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Justice</w:t>
      </w:r>
      <w:r>
        <w:rPr>
          <w:spacing w:val="5"/>
          <w:w w:val="105"/>
          <w:sz w:val="13"/>
        </w:rPr>
        <w:t> </w:t>
      </w:r>
      <w:r>
        <w:rPr>
          <w:w w:val="105"/>
          <w:sz w:val="13"/>
        </w:rPr>
        <w:t>and</w:t>
      </w:r>
      <w:r>
        <w:rPr>
          <w:spacing w:val="5"/>
          <w:w w:val="105"/>
          <w:sz w:val="13"/>
        </w:rPr>
        <w:t> </w:t>
      </w:r>
      <w:r>
        <w:rPr>
          <w:w w:val="105"/>
          <w:sz w:val="13"/>
        </w:rPr>
        <w:t>Regulation</w:t>
      </w:r>
      <w:r>
        <w:rPr>
          <w:spacing w:val="5"/>
          <w:w w:val="105"/>
          <w:sz w:val="13"/>
        </w:rPr>
        <w:t> </w:t>
      </w:r>
      <w:r>
        <w:rPr>
          <w:spacing w:val="2"/>
          <w:w w:val="105"/>
          <w:sz w:val="13"/>
        </w:rPr>
        <w:t>(Vic),</w:t>
      </w:r>
      <w:r>
        <w:rPr>
          <w:spacing w:val="5"/>
          <w:w w:val="105"/>
          <w:sz w:val="13"/>
        </w:rPr>
        <w:t> </w:t>
      </w:r>
      <w:r>
        <w:rPr>
          <w:i/>
          <w:w w:val="105"/>
          <w:sz w:val="13"/>
        </w:rPr>
        <w:t>Access</w:t>
      </w:r>
      <w:r>
        <w:rPr>
          <w:i/>
          <w:spacing w:val="5"/>
          <w:w w:val="105"/>
          <w:sz w:val="13"/>
        </w:rPr>
        <w:t> </w:t>
      </w:r>
      <w:r>
        <w:rPr>
          <w:i/>
          <w:w w:val="105"/>
          <w:sz w:val="13"/>
        </w:rPr>
        <w:t>to</w:t>
      </w:r>
      <w:r>
        <w:rPr>
          <w:i/>
          <w:spacing w:val="5"/>
          <w:w w:val="105"/>
          <w:sz w:val="13"/>
        </w:rPr>
        <w:t> </w:t>
      </w:r>
      <w:r>
        <w:rPr>
          <w:i/>
          <w:w w:val="105"/>
          <w:sz w:val="13"/>
        </w:rPr>
        <w:t>Justice</w:t>
      </w:r>
      <w:r>
        <w:rPr>
          <w:i/>
          <w:spacing w:val="5"/>
          <w:w w:val="105"/>
          <w:sz w:val="13"/>
        </w:rPr>
        <w:t> </w:t>
      </w:r>
      <w:r>
        <w:rPr>
          <w:i/>
          <w:w w:val="105"/>
          <w:sz w:val="13"/>
        </w:rPr>
        <w:t>Review</w:t>
      </w:r>
      <w:r>
        <w:rPr>
          <w:i/>
          <w:spacing w:val="5"/>
          <w:w w:val="105"/>
          <w:sz w:val="13"/>
        </w:rPr>
        <w:t> </w:t>
      </w:r>
      <w:r>
        <w:rPr>
          <w:i/>
          <w:w w:val="105"/>
          <w:sz w:val="13"/>
        </w:rPr>
        <w:t>Background</w:t>
      </w:r>
      <w:r>
        <w:rPr>
          <w:i/>
          <w:spacing w:val="5"/>
          <w:w w:val="105"/>
          <w:sz w:val="13"/>
        </w:rPr>
        <w:t> </w:t>
      </w:r>
      <w:r>
        <w:rPr>
          <w:i/>
          <w:w w:val="105"/>
          <w:sz w:val="13"/>
        </w:rPr>
        <w:t>Paper—VCAT</w:t>
      </w:r>
      <w:r>
        <w:rPr>
          <w:i/>
          <w:spacing w:val="5"/>
          <w:w w:val="105"/>
          <w:sz w:val="13"/>
        </w:rPr>
        <w:t> </w:t>
      </w:r>
      <w:r>
        <w:rPr>
          <w:i/>
          <w:w w:val="105"/>
          <w:sz w:val="13"/>
        </w:rPr>
        <w:t>Small</w:t>
      </w:r>
      <w:r>
        <w:rPr>
          <w:i/>
          <w:spacing w:val="5"/>
          <w:w w:val="105"/>
          <w:sz w:val="13"/>
        </w:rPr>
        <w:t> </w:t>
      </w:r>
      <w:r>
        <w:rPr>
          <w:i/>
          <w:w w:val="105"/>
          <w:sz w:val="13"/>
        </w:rPr>
        <w:t>Civil</w:t>
      </w:r>
      <w:r>
        <w:rPr>
          <w:i/>
          <w:spacing w:val="5"/>
          <w:w w:val="105"/>
          <w:sz w:val="13"/>
        </w:rPr>
        <w:t> </w:t>
      </w:r>
      <w:r>
        <w:rPr>
          <w:i/>
          <w:w w:val="105"/>
          <w:sz w:val="13"/>
        </w:rPr>
        <w:t>Claims</w:t>
      </w:r>
      <w:r>
        <w:rPr>
          <w:i/>
          <w:spacing w:val="5"/>
          <w:w w:val="105"/>
          <w:sz w:val="13"/>
        </w:rPr>
        <w:t> </w:t>
      </w:r>
      <w:r>
        <w:rPr>
          <w:spacing w:val="2"/>
          <w:w w:val="105"/>
          <w:sz w:val="13"/>
        </w:rPr>
        <w:t>(Report)</w:t>
      </w:r>
      <w:r>
        <w:rPr>
          <w:spacing w:val="5"/>
          <w:w w:val="105"/>
          <w:sz w:val="13"/>
        </w:rPr>
        <w:t> </w:t>
      </w:r>
      <w:r>
        <w:rPr>
          <w:w w:val="105"/>
          <w:sz w:val="13"/>
        </w:rPr>
        <w:t>4</w:t>
      </w:r>
    </w:p>
    <w:p>
      <w:pPr>
        <w:spacing w:before="2"/>
        <w:ind w:left="1228" w:right="0" w:firstLine="0"/>
        <w:jc w:val="left"/>
        <w:rPr>
          <w:sz w:val="13"/>
        </w:rPr>
      </w:pPr>
      <w:r>
        <w:rPr>
          <w:w w:val="105"/>
          <w:sz w:val="13"/>
        </w:rPr>
        <w:t>&lt;https://engage.vic.gov.au/accesstojustice&gt;.</w:t>
      </w:r>
    </w:p>
    <w:p>
      <w:pPr>
        <w:pStyle w:val="ListParagraph"/>
        <w:numPr>
          <w:ilvl w:val="0"/>
          <w:numId w:val="109"/>
        </w:numPr>
        <w:tabs>
          <w:tab w:pos="1228" w:val="left" w:leader="none"/>
          <w:tab w:pos="1230" w:val="left" w:leader="none"/>
        </w:tabs>
        <w:spacing w:line="240" w:lineRule="auto" w:before="1" w:after="0"/>
        <w:ind w:left="1229" w:right="1639" w:hanging="794"/>
        <w:jc w:val="left"/>
        <w:rPr>
          <w:sz w:val="13"/>
        </w:rPr>
      </w:pPr>
      <w:r>
        <w:rPr>
          <w:w w:val="105"/>
          <w:sz w:val="13"/>
        </w:rPr>
        <w:t>An order of a court or tribunal stipulating that legal costs be paid by one </w:t>
      </w:r>
      <w:r>
        <w:rPr>
          <w:spacing w:val="2"/>
          <w:w w:val="105"/>
          <w:sz w:val="13"/>
        </w:rPr>
        <w:t>party </w:t>
      </w:r>
      <w:r>
        <w:rPr>
          <w:w w:val="105"/>
          <w:sz w:val="13"/>
        </w:rPr>
        <w:t>to another. Also known as </w:t>
      </w:r>
      <w:r>
        <w:rPr>
          <w:spacing w:val="2"/>
          <w:w w:val="105"/>
          <w:sz w:val="13"/>
        </w:rPr>
        <w:t>‘party–party’ </w:t>
      </w:r>
      <w:r>
        <w:rPr>
          <w:w w:val="105"/>
          <w:sz w:val="13"/>
        </w:rPr>
        <w:t>costs. These costs    are ‘either the amounts lawyers charge their clients for providing legal services or amounts recoverable by the successful </w:t>
      </w:r>
      <w:r>
        <w:rPr>
          <w:spacing w:val="2"/>
          <w:w w:val="105"/>
          <w:sz w:val="13"/>
        </w:rPr>
        <w:t>party </w:t>
      </w:r>
      <w:r>
        <w:rPr>
          <w:w w:val="105"/>
          <w:sz w:val="13"/>
        </w:rPr>
        <w:t>for the work done by their lawyers in legal proceedings. Legal costs include charges for the lawyers’ services and disbursements, including barristers’    fees, doctors’ </w:t>
      </w:r>
      <w:r>
        <w:rPr>
          <w:spacing w:val="2"/>
          <w:w w:val="105"/>
          <w:sz w:val="13"/>
        </w:rPr>
        <w:t>reports </w:t>
      </w:r>
      <w:r>
        <w:rPr>
          <w:w w:val="105"/>
          <w:sz w:val="13"/>
        </w:rPr>
        <w:t>and the reasonable costs of court recordings and transcripts.’ Parties can also agree that one </w:t>
      </w:r>
      <w:r>
        <w:rPr>
          <w:spacing w:val="2"/>
          <w:w w:val="105"/>
          <w:sz w:val="13"/>
        </w:rPr>
        <w:t>party </w:t>
      </w:r>
      <w:r>
        <w:rPr>
          <w:w w:val="105"/>
          <w:sz w:val="13"/>
        </w:rPr>
        <w:t>will pay the other parties’ costs to settle their dispute: see Supreme Court of Victoria, </w:t>
      </w:r>
      <w:r>
        <w:rPr>
          <w:i/>
          <w:w w:val="105"/>
          <w:sz w:val="13"/>
        </w:rPr>
        <w:t>Costs Court </w:t>
      </w:r>
      <w:r>
        <w:rPr>
          <w:w w:val="105"/>
          <w:sz w:val="13"/>
        </w:rPr>
        <w:t>(Web Page, 2019) &lt;https://</w:t>
      </w:r>
      <w:hyperlink r:id="rId169">
        <w:r>
          <w:rPr>
            <w:w w:val="105"/>
            <w:sz w:val="13"/>
          </w:rPr>
          <w:t>www.supremecourt.vic.gov.au/</w:t>
        </w:r>
      </w:hyperlink>
      <w:r>
        <w:rPr>
          <w:w w:val="105"/>
          <w:sz w:val="13"/>
        </w:rPr>
        <w:t> </w:t>
      </w:r>
      <w:r>
        <w:rPr>
          <w:spacing w:val="2"/>
          <w:w w:val="105"/>
          <w:sz w:val="13"/>
        </w:rPr>
        <w:t>law-and-practice/areas-of-the-court/costs-court&gt;.</w:t>
      </w:r>
    </w:p>
    <w:p>
      <w:pPr>
        <w:pStyle w:val="ListParagraph"/>
        <w:numPr>
          <w:ilvl w:val="0"/>
          <w:numId w:val="109"/>
        </w:numPr>
        <w:tabs>
          <w:tab w:pos="1228" w:val="left" w:leader="none"/>
          <w:tab w:pos="1230" w:val="left" w:leader="none"/>
        </w:tabs>
        <w:spacing w:line="240" w:lineRule="auto" w:before="8" w:after="0"/>
        <w:ind w:left="1229" w:right="0" w:hanging="794"/>
        <w:jc w:val="left"/>
        <w:rPr>
          <w:sz w:val="13"/>
        </w:rPr>
      </w:pPr>
      <w:r>
        <w:rPr>
          <w:i/>
          <w:sz w:val="13"/>
        </w:rPr>
        <w:t>Victorian</w:t>
      </w:r>
      <w:r>
        <w:rPr>
          <w:i/>
          <w:spacing w:val="7"/>
          <w:sz w:val="13"/>
        </w:rPr>
        <w:t> </w:t>
      </w:r>
      <w:r>
        <w:rPr>
          <w:i/>
          <w:sz w:val="13"/>
        </w:rPr>
        <w:t>Civil</w:t>
      </w:r>
      <w:r>
        <w:rPr>
          <w:i/>
          <w:spacing w:val="7"/>
          <w:sz w:val="13"/>
        </w:rPr>
        <w:t> </w:t>
      </w:r>
      <w:r>
        <w:rPr>
          <w:i/>
          <w:sz w:val="13"/>
        </w:rPr>
        <w:t>and</w:t>
      </w:r>
      <w:r>
        <w:rPr>
          <w:i/>
          <w:spacing w:val="7"/>
          <w:sz w:val="13"/>
        </w:rPr>
        <w:t> </w:t>
      </w:r>
      <w:r>
        <w:rPr>
          <w:i/>
          <w:sz w:val="13"/>
        </w:rPr>
        <w:t>Administrative</w:t>
      </w:r>
      <w:r>
        <w:rPr>
          <w:i/>
          <w:spacing w:val="7"/>
          <w:sz w:val="13"/>
        </w:rPr>
        <w:t> </w:t>
      </w:r>
      <w:r>
        <w:rPr>
          <w:i/>
          <w:sz w:val="13"/>
        </w:rPr>
        <w:t>Tribunal</w:t>
      </w:r>
      <w:r>
        <w:rPr>
          <w:i/>
          <w:spacing w:val="7"/>
          <w:sz w:val="13"/>
        </w:rPr>
        <w:t> </w:t>
      </w:r>
      <w:r>
        <w:rPr>
          <w:i/>
          <w:sz w:val="13"/>
        </w:rPr>
        <w:t>Act</w:t>
      </w:r>
      <w:r>
        <w:rPr>
          <w:i/>
          <w:spacing w:val="7"/>
          <w:sz w:val="13"/>
        </w:rPr>
        <w:t> </w:t>
      </w:r>
      <w:r>
        <w:rPr>
          <w:i/>
          <w:sz w:val="13"/>
        </w:rPr>
        <w:t>1998</w:t>
      </w:r>
      <w:r>
        <w:rPr>
          <w:i/>
          <w:spacing w:val="7"/>
          <w:sz w:val="13"/>
        </w:rPr>
        <w:t> </w:t>
      </w:r>
      <w:r>
        <w:rPr>
          <w:spacing w:val="2"/>
          <w:sz w:val="13"/>
        </w:rPr>
        <w:t>(Vic)</w:t>
      </w:r>
      <w:r>
        <w:rPr>
          <w:spacing w:val="7"/>
          <w:sz w:val="13"/>
        </w:rPr>
        <w:t> </w:t>
      </w:r>
      <w:r>
        <w:rPr>
          <w:sz w:val="13"/>
        </w:rPr>
        <w:t>s</w:t>
      </w:r>
      <w:r>
        <w:rPr>
          <w:spacing w:val="7"/>
          <w:sz w:val="13"/>
        </w:rPr>
        <w:t> </w:t>
      </w:r>
      <w:r>
        <w:rPr>
          <w:spacing w:val="2"/>
          <w:sz w:val="13"/>
        </w:rPr>
        <w:t>109(3).</w:t>
      </w:r>
    </w:p>
    <w:p>
      <w:pPr>
        <w:pStyle w:val="ListParagraph"/>
        <w:numPr>
          <w:ilvl w:val="0"/>
          <w:numId w:val="109"/>
        </w:numPr>
        <w:tabs>
          <w:tab w:pos="1228" w:val="left" w:leader="none"/>
          <w:tab w:pos="1230" w:val="left" w:leader="none"/>
        </w:tabs>
        <w:spacing w:line="240" w:lineRule="auto" w:before="1" w:after="0"/>
        <w:ind w:left="1229" w:right="0" w:hanging="794"/>
        <w:jc w:val="left"/>
        <w:rPr>
          <w:sz w:val="13"/>
        </w:rPr>
      </w:pPr>
      <w:r>
        <w:rPr>
          <w:i/>
          <w:w w:val="105"/>
          <w:sz w:val="13"/>
        </w:rPr>
        <w:t>Magistrates’ Court Act 1989 </w:t>
      </w:r>
      <w:r>
        <w:rPr>
          <w:spacing w:val="2"/>
          <w:w w:val="105"/>
          <w:sz w:val="13"/>
        </w:rPr>
        <w:t>(Vic) </w:t>
      </w:r>
      <w:r>
        <w:rPr>
          <w:w w:val="105"/>
          <w:sz w:val="13"/>
        </w:rPr>
        <w:t>s</w:t>
      </w:r>
      <w:r>
        <w:rPr>
          <w:spacing w:val="25"/>
          <w:w w:val="105"/>
          <w:sz w:val="13"/>
        </w:rPr>
        <w:t> </w:t>
      </w:r>
      <w:r>
        <w:rPr>
          <w:spacing w:val="-4"/>
          <w:w w:val="105"/>
          <w:sz w:val="13"/>
        </w:rPr>
        <w:t>131.</w:t>
      </w:r>
    </w:p>
    <w:p>
      <w:pPr>
        <w:pStyle w:val="ListParagraph"/>
        <w:numPr>
          <w:ilvl w:val="0"/>
          <w:numId w:val="109"/>
        </w:numPr>
        <w:tabs>
          <w:tab w:pos="1228" w:val="left" w:leader="none"/>
          <w:tab w:pos="1230" w:val="left" w:leader="none"/>
        </w:tabs>
        <w:spacing w:line="240" w:lineRule="auto" w:before="2" w:after="0"/>
        <w:ind w:left="1229" w:right="0" w:hanging="794"/>
        <w:jc w:val="left"/>
        <w:rPr>
          <w:sz w:val="13"/>
        </w:rPr>
      </w:pPr>
      <w:r>
        <w:rPr>
          <w:i/>
          <w:sz w:val="13"/>
        </w:rPr>
        <w:t>Victorian</w:t>
      </w:r>
      <w:r>
        <w:rPr>
          <w:i/>
          <w:spacing w:val="7"/>
          <w:sz w:val="13"/>
        </w:rPr>
        <w:t> </w:t>
      </w:r>
      <w:r>
        <w:rPr>
          <w:i/>
          <w:sz w:val="13"/>
        </w:rPr>
        <w:t>Civil</w:t>
      </w:r>
      <w:r>
        <w:rPr>
          <w:i/>
          <w:spacing w:val="7"/>
          <w:sz w:val="13"/>
        </w:rPr>
        <w:t> </w:t>
      </w:r>
      <w:r>
        <w:rPr>
          <w:i/>
          <w:sz w:val="13"/>
        </w:rPr>
        <w:t>and</w:t>
      </w:r>
      <w:r>
        <w:rPr>
          <w:i/>
          <w:spacing w:val="7"/>
          <w:sz w:val="13"/>
        </w:rPr>
        <w:t> </w:t>
      </w:r>
      <w:r>
        <w:rPr>
          <w:i/>
          <w:sz w:val="13"/>
        </w:rPr>
        <w:t>Administrative</w:t>
      </w:r>
      <w:r>
        <w:rPr>
          <w:i/>
          <w:spacing w:val="7"/>
          <w:sz w:val="13"/>
        </w:rPr>
        <w:t> </w:t>
      </w:r>
      <w:r>
        <w:rPr>
          <w:i/>
          <w:sz w:val="13"/>
        </w:rPr>
        <w:t>Tribunal</w:t>
      </w:r>
      <w:r>
        <w:rPr>
          <w:i/>
          <w:spacing w:val="7"/>
          <w:sz w:val="13"/>
        </w:rPr>
        <w:t> </w:t>
      </w:r>
      <w:r>
        <w:rPr>
          <w:i/>
          <w:sz w:val="13"/>
        </w:rPr>
        <w:t>Act</w:t>
      </w:r>
      <w:r>
        <w:rPr>
          <w:i/>
          <w:spacing w:val="7"/>
          <w:sz w:val="13"/>
        </w:rPr>
        <w:t> </w:t>
      </w:r>
      <w:r>
        <w:rPr>
          <w:i/>
          <w:sz w:val="13"/>
        </w:rPr>
        <w:t>1998</w:t>
      </w:r>
      <w:r>
        <w:rPr>
          <w:i/>
          <w:spacing w:val="7"/>
          <w:sz w:val="13"/>
        </w:rPr>
        <w:t> </w:t>
      </w:r>
      <w:r>
        <w:rPr>
          <w:spacing w:val="2"/>
          <w:sz w:val="13"/>
        </w:rPr>
        <w:t>(Vic)</w:t>
      </w:r>
      <w:r>
        <w:rPr>
          <w:spacing w:val="7"/>
          <w:sz w:val="13"/>
        </w:rPr>
        <w:t> </w:t>
      </w:r>
      <w:r>
        <w:rPr>
          <w:sz w:val="13"/>
        </w:rPr>
        <w:t>s</w:t>
      </w:r>
      <w:r>
        <w:rPr>
          <w:spacing w:val="7"/>
          <w:sz w:val="13"/>
        </w:rPr>
        <w:t> </w:t>
      </w:r>
      <w:r>
        <w:rPr>
          <w:sz w:val="13"/>
        </w:rPr>
        <w:t>109(1).</w:t>
      </w:r>
    </w:p>
    <w:p>
      <w:pPr>
        <w:pStyle w:val="ListParagraph"/>
        <w:numPr>
          <w:ilvl w:val="0"/>
          <w:numId w:val="109"/>
        </w:numPr>
        <w:tabs>
          <w:tab w:pos="1228" w:val="left" w:leader="none"/>
          <w:tab w:pos="1230" w:val="left" w:leader="none"/>
        </w:tabs>
        <w:spacing w:line="240" w:lineRule="auto" w:before="1" w:after="0"/>
        <w:ind w:left="1229" w:right="1700" w:hanging="794"/>
        <w:jc w:val="left"/>
        <w:rPr>
          <w:sz w:val="13"/>
        </w:rPr>
      </w:pPr>
      <w:r>
        <w:rPr>
          <w:w w:val="105"/>
          <w:sz w:val="13"/>
        </w:rPr>
        <w:t>Victorian Civil and Administrative Tribunal, </w:t>
      </w:r>
      <w:r>
        <w:rPr>
          <w:i/>
          <w:w w:val="105"/>
          <w:sz w:val="13"/>
        </w:rPr>
        <w:t>About VCAT </w:t>
      </w:r>
      <w:r>
        <w:rPr>
          <w:w w:val="105"/>
          <w:sz w:val="13"/>
        </w:rPr>
        <w:t>(Web Page) &lt;</w:t>
      </w:r>
      <w:hyperlink r:id="rId170">
        <w:r>
          <w:rPr>
            <w:w w:val="105"/>
            <w:sz w:val="13"/>
          </w:rPr>
          <w:t>www.vcat.vic.gov.au/about-vcat</w:t>
        </w:r>
      </w:hyperlink>
      <w:r>
        <w:rPr>
          <w:w w:val="105"/>
          <w:sz w:val="13"/>
        </w:rPr>
        <w:t>&gt;; </w:t>
      </w:r>
      <w:r>
        <w:rPr>
          <w:i/>
          <w:w w:val="105"/>
          <w:sz w:val="13"/>
        </w:rPr>
        <w:t>Victorian Civil and Administrative </w:t>
      </w:r>
      <w:r>
        <w:rPr>
          <w:i/>
          <w:w w:val="105"/>
          <w:sz w:val="13"/>
        </w:rPr>
        <w:t>Tribunal, Annual </w:t>
      </w:r>
      <w:r>
        <w:rPr>
          <w:i/>
          <w:spacing w:val="2"/>
          <w:w w:val="105"/>
          <w:sz w:val="13"/>
        </w:rPr>
        <w:t>Report </w:t>
      </w:r>
      <w:r>
        <w:rPr>
          <w:i/>
          <w:spacing w:val="-4"/>
          <w:w w:val="105"/>
          <w:sz w:val="13"/>
        </w:rPr>
        <w:t>2017–18 </w:t>
      </w:r>
      <w:r>
        <w:rPr>
          <w:spacing w:val="2"/>
          <w:w w:val="105"/>
          <w:sz w:val="13"/>
        </w:rPr>
        <w:t>(Report, </w:t>
      </w:r>
      <w:r>
        <w:rPr>
          <w:w w:val="105"/>
          <w:sz w:val="13"/>
        </w:rPr>
        <w:t>2018)</w:t>
      </w:r>
      <w:r>
        <w:rPr>
          <w:spacing w:val="1"/>
          <w:w w:val="105"/>
          <w:sz w:val="13"/>
        </w:rPr>
        <w:t> </w:t>
      </w:r>
      <w:r>
        <w:rPr>
          <w:spacing w:val="-5"/>
          <w:w w:val="105"/>
          <w:sz w:val="13"/>
        </w:rPr>
        <w:t>7.</w:t>
      </w:r>
    </w:p>
    <w:p>
      <w:pPr>
        <w:pStyle w:val="ListParagraph"/>
        <w:numPr>
          <w:ilvl w:val="0"/>
          <w:numId w:val="109"/>
        </w:numPr>
        <w:tabs>
          <w:tab w:pos="1229" w:val="left" w:leader="none"/>
          <w:tab w:pos="1230" w:val="left" w:leader="none"/>
        </w:tabs>
        <w:spacing w:line="240" w:lineRule="auto" w:before="3" w:after="0"/>
        <w:ind w:left="1229" w:right="1747" w:hanging="794"/>
        <w:jc w:val="left"/>
        <w:rPr>
          <w:i/>
          <w:sz w:val="13"/>
        </w:rPr>
      </w:pPr>
      <w:r>
        <w:rPr>
          <w:w w:val="105"/>
          <w:sz w:val="13"/>
        </w:rPr>
        <w:t>Victorian Civil and Administrative Tribunal, </w:t>
      </w:r>
      <w:r>
        <w:rPr>
          <w:i/>
          <w:w w:val="105"/>
          <w:sz w:val="13"/>
        </w:rPr>
        <w:t>Annual </w:t>
      </w:r>
      <w:r>
        <w:rPr>
          <w:i/>
          <w:spacing w:val="2"/>
          <w:w w:val="105"/>
          <w:sz w:val="13"/>
        </w:rPr>
        <w:t>Report </w:t>
      </w:r>
      <w:r>
        <w:rPr>
          <w:i/>
          <w:spacing w:val="-4"/>
          <w:w w:val="105"/>
          <w:sz w:val="13"/>
        </w:rPr>
        <w:t>2017–18 </w:t>
      </w:r>
      <w:r>
        <w:rPr>
          <w:spacing w:val="2"/>
          <w:w w:val="105"/>
          <w:sz w:val="13"/>
        </w:rPr>
        <w:t>(Report, </w:t>
      </w:r>
      <w:r>
        <w:rPr>
          <w:w w:val="105"/>
          <w:sz w:val="13"/>
        </w:rPr>
        <w:t>2018) 87; see also </w:t>
      </w:r>
      <w:r>
        <w:rPr>
          <w:i/>
          <w:w w:val="105"/>
          <w:sz w:val="13"/>
        </w:rPr>
        <w:t>Victorian Civil and Administrative Tribunal, </w:t>
      </w:r>
      <w:r>
        <w:rPr>
          <w:i/>
          <w:w w:val="105"/>
          <w:sz w:val="13"/>
        </w:rPr>
        <w:t>Contact Us </w:t>
      </w:r>
      <w:r>
        <w:rPr>
          <w:i/>
          <w:spacing w:val="2"/>
          <w:w w:val="105"/>
          <w:sz w:val="13"/>
        </w:rPr>
        <w:t>(Web Page)</w:t>
      </w:r>
      <w:r>
        <w:rPr>
          <w:i/>
          <w:spacing w:val="17"/>
          <w:w w:val="105"/>
          <w:sz w:val="13"/>
        </w:rPr>
        <w:t> </w:t>
      </w:r>
      <w:r>
        <w:rPr>
          <w:i/>
          <w:w w:val="105"/>
          <w:sz w:val="13"/>
        </w:rPr>
        <w:t>&lt;</w:t>
      </w:r>
      <w:hyperlink r:id="rId171">
        <w:r>
          <w:rPr>
            <w:i/>
            <w:w w:val="105"/>
            <w:sz w:val="13"/>
          </w:rPr>
          <w:t>www.vcat.vic.gov.au/contact-us</w:t>
        </w:r>
      </w:hyperlink>
      <w:r>
        <w:rPr>
          <w:i/>
          <w:w w:val="105"/>
          <w:sz w:val="13"/>
        </w:rPr>
        <w:t>&gt;.</w:t>
      </w:r>
    </w:p>
    <w:p>
      <w:pPr>
        <w:pStyle w:val="ListParagraph"/>
        <w:numPr>
          <w:ilvl w:val="0"/>
          <w:numId w:val="109"/>
        </w:numPr>
        <w:tabs>
          <w:tab w:pos="1229" w:val="left" w:leader="none"/>
          <w:tab w:pos="1230" w:val="left" w:leader="none"/>
        </w:tabs>
        <w:spacing w:line="240" w:lineRule="auto" w:before="2" w:after="0"/>
        <w:ind w:left="1229" w:right="1679" w:hanging="794"/>
        <w:jc w:val="left"/>
        <w:rPr>
          <w:sz w:val="13"/>
        </w:rPr>
      </w:pPr>
      <w:r>
        <w:rPr>
          <w:w w:val="105"/>
          <w:sz w:val="13"/>
        </w:rPr>
        <w:t>Victorian Civil and Administrative Tribunal, </w:t>
      </w:r>
      <w:r>
        <w:rPr>
          <w:i/>
          <w:w w:val="105"/>
          <w:sz w:val="13"/>
        </w:rPr>
        <w:t>Annual </w:t>
      </w:r>
      <w:r>
        <w:rPr>
          <w:i/>
          <w:spacing w:val="2"/>
          <w:w w:val="105"/>
          <w:sz w:val="13"/>
        </w:rPr>
        <w:t>Report </w:t>
      </w:r>
      <w:r>
        <w:rPr>
          <w:i/>
          <w:spacing w:val="-4"/>
          <w:w w:val="105"/>
          <w:sz w:val="13"/>
        </w:rPr>
        <w:t>2017–18  </w:t>
      </w:r>
      <w:r>
        <w:rPr>
          <w:spacing w:val="2"/>
          <w:w w:val="105"/>
          <w:sz w:val="13"/>
        </w:rPr>
        <w:t>(Report, </w:t>
      </w:r>
      <w:r>
        <w:rPr>
          <w:w w:val="105"/>
          <w:sz w:val="13"/>
        </w:rPr>
        <w:t>2018) 87; see also Neighbourhood Justice Centre, </w:t>
      </w:r>
      <w:r>
        <w:rPr>
          <w:i/>
          <w:w w:val="105"/>
          <w:sz w:val="13"/>
        </w:rPr>
        <w:t>What</w:t>
      </w:r>
      <w:r>
        <w:rPr>
          <w:i/>
          <w:spacing w:val="30"/>
          <w:w w:val="105"/>
          <w:sz w:val="13"/>
        </w:rPr>
        <w:t> </w:t>
      </w:r>
      <w:r>
        <w:rPr>
          <w:i/>
          <w:w w:val="105"/>
          <w:sz w:val="13"/>
        </w:rPr>
        <w:t>Happens at VCAT </w:t>
      </w:r>
      <w:r>
        <w:rPr>
          <w:w w:val="105"/>
          <w:sz w:val="13"/>
        </w:rPr>
        <w:t>(Web Pag, 22 June 2018) &lt;https://</w:t>
      </w:r>
      <w:hyperlink r:id="rId172">
        <w:r>
          <w:rPr>
            <w:w w:val="105"/>
            <w:sz w:val="13"/>
          </w:rPr>
          <w:t>www.neighbourhoodjustice.vic.gov.au/attend-court/going-to-vcat/what-happens-at-</w:t>
        </w:r>
      </w:hyperlink>
      <w:r>
        <w:rPr>
          <w:w w:val="105"/>
          <w:sz w:val="13"/>
        </w:rPr>
        <w:t> vcat&gt;.</w:t>
      </w:r>
    </w:p>
    <w:p>
      <w:pPr>
        <w:spacing w:after="0" w:line="240" w:lineRule="auto"/>
        <w:jc w:val="left"/>
        <w:rPr>
          <w:sz w:val="13"/>
        </w:rPr>
        <w:sectPr>
          <w:type w:val="continuous"/>
          <w:pgSz w:w="11910" w:h="16840"/>
          <w:pgMar w:top="300" w:bottom="280" w:left="0" w:right="0"/>
          <w:cols w:num="2" w:equalWidth="0">
            <w:col w:w="1113" w:space="40"/>
            <w:col w:w="10757"/>
          </w:cols>
        </w:sectPr>
      </w:pPr>
    </w:p>
    <w:p>
      <w:pPr>
        <w:pStyle w:val="BodyText"/>
        <w:rPr>
          <w:sz w:val="20"/>
        </w:rPr>
      </w:pPr>
    </w:p>
    <w:p>
      <w:pPr>
        <w:pStyle w:val="BodyText"/>
        <w:spacing w:before="9"/>
        <w:rPr>
          <w:sz w:val="18"/>
        </w:rPr>
      </w:pPr>
    </w:p>
    <w:p>
      <w:pPr>
        <w:pStyle w:val="ListParagraph"/>
        <w:numPr>
          <w:ilvl w:val="1"/>
          <w:numId w:val="16"/>
        </w:numPr>
        <w:tabs>
          <w:tab w:pos="2380" w:val="left" w:leader="none"/>
          <w:tab w:pos="2381" w:val="left" w:leader="none"/>
        </w:tabs>
        <w:spacing w:line="242" w:lineRule="auto" w:before="91" w:after="0"/>
        <w:ind w:left="2381" w:right="2168" w:hanging="794"/>
        <w:jc w:val="left"/>
        <w:rPr>
          <w:sz w:val="21"/>
        </w:rPr>
      </w:pPr>
      <w:r>
        <w:rPr>
          <w:spacing w:val="-6"/>
          <w:w w:val="105"/>
          <w:sz w:val="21"/>
        </w:rPr>
        <w:t>VCAT’s </w:t>
      </w:r>
      <w:r>
        <w:rPr>
          <w:w w:val="105"/>
          <w:sz w:val="21"/>
        </w:rPr>
        <w:t>decision </w:t>
      </w:r>
      <w:r>
        <w:rPr>
          <w:spacing w:val="-3"/>
          <w:w w:val="105"/>
          <w:sz w:val="21"/>
        </w:rPr>
        <w:t>makers </w:t>
      </w:r>
      <w:r>
        <w:rPr>
          <w:w w:val="105"/>
          <w:sz w:val="21"/>
        </w:rPr>
        <w:t>and processes differ </w:t>
      </w:r>
      <w:r>
        <w:rPr>
          <w:spacing w:val="-3"/>
          <w:w w:val="105"/>
          <w:sz w:val="21"/>
        </w:rPr>
        <w:t>from </w:t>
      </w:r>
      <w:r>
        <w:rPr>
          <w:w w:val="105"/>
          <w:sz w:val="21"/>
        </w:rPr>
        <w:t>a court’s.</w:t>
      </w:r>
      <w:r>
        <w:rPr>
          <w:w w:val="105"/>
          <w:position w:val="7"/>
          <w:sz w:val="12"/>
        </w:rPr>
        <w:t>66 </w:t>
      </w:r>
      <w:r>
        <w:rPr>
          <w:w w:val="105"/>
          <w:sz w:val="21"/>
        </w:rPr>
        <w:t>It is less </w:t>
      </w:r>
      <w:r>
        <w:rPr>
          <w:spacing w:val="-3"/>
          <w:w w:val="105"/>
          <w:sz w:val="21"/>
        </w:rPr>
        <w:t>formal than </w:t>
      </w:r>
      <w:r>
        <w:rPr>
          <w:w w:val="105"/>
          <w:sz w:val="21"/>
        </w:rPr>
        <w:t>a court. </w:t>
      </w:r>
      <w:r>
        <w:rPr>
          <w:spacing w:val="-5"/>
          <w:w w:val="105"/>
          <w:sz w:val="21"/>
        </w:rPr>
        <w:t>VCAT </w:t>
      </w:r>
      <w:r>
        <w:rPr>
          <w:w w:val="105"/>
          <w:sz w:val="21"/>
        </w:rPr>
        <w:t>is bound by the rules of </w:t>
      </w:r>
      <w:r>
        <w:rPr>
          <w:spacing w:val="-3"/>
          <w:w w:val="105"/>
          <w:sz w:val="21"/>
        </w:rPr>
        <w:t>natural justice,</w:t>
      </w:r>
      <w:r>
        <w:rPr>
          <w:spacing w:val="-3"/>
          <w:w w:val="105"/>
          <w:position w:val="7"/>
          <w:sz w:val="12"/>
        </w:rPr>
        <w:t>67 </w:t>
      </w:r>
      <w:r>
        <w:rPr>
          <w:w w:val="105"/>
          <w:sz w:val="21"/>
        </w:rPr>
        <w:t>but </w:t>
      </w:r>
      <w:r>
        <w:rPr>
          <w:spacing w:val="-2"/>
          <w:w w:val="105"/>
          <w:sz w:val="21"/>
        </w:rPr>
        <w:t>not </w:t>
      </w:r>
      <w:r>
        <w:rPr>
          <w:w w:val="105"/>
          <w:sz w:val="21"/>
        </w:rPr>
        <w:t>by the complex rules of evidence,</w:t>
      </w:r>
      <w:r>
        <w:rPr>
          <w:w w:val="105"/>
          <w:position w:val="7"/>
          <w:sz w:val="12"/>
        </w:rPr>
        <w:t>68 </w:t>
      </w:r>
      <w:r>
        <w:rPr>
          <w:w w:val="105"/>
          <w:sz w:val="21"/>
        </w:rPr>
        <w:t>or other </w:t>
      </w:r>
      <w:r>
        <w:rPr>
          <w:spacing w:val="-3"/>
          <w:w w:val="105"/>
          <w:sz w:val="21"/>
        </w:rPr>
        <w:t>procedures </w:t>
      </w:r>
      <w:r>
        <w:rPr>
          <w:w w:val="105"/>
          <w:sz w:val="21"/>
        </w:rPr>
        <w:t>of the courts.</w:t>
      </w:r>
      <w:r>
        <w:rPr>
          <w:w w:val="105"/>
          <w:position w:val="7"/>
          <w:sz w:val="12"/>
        </w:rPr>
        <w:t>69 </w:t>
      </w:r>
      <w:r>
        <w:rPr>
          <w:spacing w:val="-3"/>
          <w:w w:val="105"/>
          <w:sz w:val="21"/>
        </w:rPr>
        <w:t>Hearings </w:t>
      </w:r>
      <w:r>
        <w:rPr>
          <w:w w:val="105"/>
          <w:sz w:val="21"/>
        </w:rPr>
        <w:t>must be</w:t>
      </w:r>
      <w:r>
        <w:rPr>
          <w:spacing w:val="-28"/>
          <w:w w:val="105"/>
          <w:sz w:val="21"/>
        </w:rPr>
        <w:t> </w:t>
      </w:r>
      <w:r>
        <w:rPr>
          <w:w w:val="105"/>
          <w:sz w:val="21"/>
        </w:rPr>
        <w:t>conducted</w:t>
      </w:r>
    </w:p>
    <w:p>
      <w:pPr>
        <w:pStyle w:val="BodyText"/>
        <w:spacing w:line="242" w:lineRule="auto" w:before="4"/>
        <w:ind w:left="2381" w:right="1695"/>
        <w:rPr>
          <w:sz w:val="12"/>
        </w:rPr>
      </w:pPr>
      <w:r>
        <w:rPr>
          <w:w w:val="105"/>
        </w:rPr>
        <w:t>with </w:t>
      </w:r>
      <w:r>
        <w:rPr>
          <w:spacing w:val="-6"/>
          <w:w w:val="105"/>
        </w:rPr>
        <w:t>‘as </w:t>
      </w:r>
      <w:r>
        <w:rPr>
          <w:w w:val="105"/>
        </w:rPr>
        <w:t>little </w:t>
      </w:r>
      <w:r>
        <w:rPr>
          <w:spacing w:val="-3"/>
          <w:w w:val="105"/>
        </w:rPr>
        <w:t>formality </w:t>
      </w:r>
      <w:r>
        <w:rPr>
          <w:w w:val="105"/>
        </w:rPr>
        <w:t>and technicality’ and </w:t>
      </w:r>
      <w:r>
        <w:rPr>
          <w:spacing w:val="-6"/>
          <w:w w:val="105"/>
        </w:rPr>
        <w:t>‘as </w:t>
      </w:r>
      <w:r>
        <w:rPr>
          <w:w w:val="105"/>
        </w:rPr>
        <w:t>much speed’ as the law and a proper </w:t>
      </w:r>
      <w:r>
        <w:rPr>
          <w:spacing w:val="-3"/>
          <w:w w:val="105"/>
        </w:rPr>
        <w:t>consideration </w:t>
      </w:r>
      <w:r>
        <w:rPr>
          <w:w w:val="105"/>
        </w:rPr>
        <w:t>of the matter </w:t>
      </w:r>
      <w:r>
        <w:rPr>
          <w:spacing w:val="-5"/>
          <w:w w:val="105"/>
        </w:rPr>
        <w:t>allow.</w:t>
      </w:r>
      <w:r>
        <w:rPr>
          <w:spacing w:val="-5"/>
          <w:w w:val="105"/>
          <w:position w:val="7"/>
          <w:sz w:val="12"/>
        </w:rPr>
        <w:t>70 </w:t>
      </w:r>
      <w:r>
        <w:rPr>
          <w:w w:val="105"/>
        </w:rPr>
        <w:t>Parties </w:t>
      </w:r>
      <w:r>
        <w:rPr>
          <w:spacing w:val="-3"/>
          <w:w w:val="105"/>
        </w:rPr>
        <w:t>may </w:t>
      </w:r>
      <w:r>
        <w:rPr>
          <w:w w:val="105"/>
        </w:rPr>
        <w:t>only appear with lawyers in </w:t>
      </w:r>
      <w:r>
        <w:rPr>
          <w:spacing w:val="-3"/>
          <w:w w:val="105"/>
        </w:rPr>
        <w:t>limited circumstances </w:t>
      </w:r>
      <w:r>
        <w:rPr>
          <w:w w:val="105"/>
        </w:rPr>
        <w:t>or with </w:t>
      </w:r>
      <w:r>
        <w:rPr>
          <w:spacing w:val="-6"/>
          <w:w w:val="105"/>
        </w:rPr>
        <w:t>VCAT’s </w:t>
      </w:r>
      <w:r>
        <w:rPr>
          <w:spacing w:val="-3"/>
          <w:w w:val="105"/>
        </w:rPr>
        <w:t>permission.</w:t>
      </w:r>
      <w:r>
        <w:rPr>
          <w:spacing w:val="-3"/>
          <w:w w:val="105"/>
          <w:position w:val="7"/>
          <w:sz w:val="12"/>
        </w:rPr>
        <w:t>71 </w:t>
      </w:r>
      <w:r>
        <w:rPr>
          <w:spacing w:val="-4"/>
          <w:w w:val="105"/>
        </w:rPr>
        <w:t>Unlike </w:t>
      </w:r>
      <w:r>
        <w:rPr>
          <w:w w:val="105"/>
        </w:rPr>
        <w:t>most courts, </w:t>
      </w:r>
      <w:r>
        <w:rPr>
          <w:spacing w:val="-5"/>
          <w:w w:val="105"/>
        </w:rPr>
        <w:t>VCAT </w:t>
      </w:r>
      <w:r>
        <w:rPr>
          <w:spacing w:val="-3"/>
          <w:w w:val="105"/>
        </w:rPr>
        <w:t>may </w:t>
      </w:r>
      <w:r>
        <w:rPr>
          <w:w w:val="105"/>
        </w:rPr>
        <w:t>conduct </w:t>
      </w:r>
      <w:r>
        <w:rPr>
          <w:spacing w:val="-3"/>
          <w:w w:val="105"/>
        </w:rPr>
        <w:t>hearings </w:t>
      </w:r>
      <w:r>
        <w:rPr>
          <w:w w:val="105"/>
        </w:rPr>
        <w:t>in a </w:t>
      </w:r>
      <w:r>
        <w:rPr>
          <w:spacing w:val="-3"/>
          <w:w w:val="105"/>
        </w:rPr>
        <w:t>‘quasi-inquisitorial’ </w:t>
      </w:r>
      <w:r>
        <w:rPr>
          <w:spacing w:val="-5"/>
          <w:w w:val="105"/>
        </w:rPr>
        <w:t>manner, </w:t>
      </w:r>
      <w:r>
        <w:rPr>
          <w:w w:val="105"/>
        </w:rPr>
        <w:t>taking an active role in </w:t>
      </w:r>
      <w:r>
        <w:rPr>
          <w:spacing w:val="-3"/>
          <w:w w:val="105"/>
        </w:rPr>
        <w:t>determining </w:t>
      </w:r>
      <w:r>
        <w:rPr>
          <w:w w:val="105"/>
        </w:rPr>
        <w:t>the facts of a </w:t>
      </w:r>
      <w:r>
        <w:rPr>
          <w:spacing w:val="-4"/>
          <w:w w:val="105"/>
        </w:rPr>
        <w:t>matter, </w:t>
      </w:r>
      <w:r>
        <w:rPr>
          <w:spacing w:val="-3"/>
          <w:w w:val="105"/>
        </w:rPr>
        <w:t>such </w:t>
      </w:r>
      <w:r>
        <w:rPr>
          <w:w w:val="105"/>
        </w:rPr>
        <w:t>as by </w:t>
      </w:r>
      <w:r>
        <w:rPr>
          <w:spacing w:val="-3"/>
          <w:w w:val="105"/>
        </w:rPr>
        <w:t>asking </w:t>
      </w:r>
      <w:r>
        <w:rPr>
          <w:w w:val="105"/>
        </w:rPr>
        <w:t>the parties </w:t>
      </w:r>
      <w:r>
        <w:rPr>
          <w:spacing w:val="-3"/>
          <w:w w:val="105"/>
        </w:rPr>
        <w:t>questions.</w:t>
      </w:r>
      <w:r>
        <w:rPr>
          <w:spacing w:val="-3"/>
          <w:w w:val="105"/>
          <w:position w:val="7"/>
          <w:sz w:val="12"/>
        </w:rPr>
        <w:t>72</w:t>
      </w:r>
    </w:p>
    <w:p>
      <w:pPr>
        <w:pStyle w:val="ListParagraph"/>
        <w:numPr>
          <w:ilvl w:val="1"/>
          <w:numId w:val="16"/>
        </w:numPr>
        <w:tabs>
          <w:tab w:pos="2381" w:val="left" w:leader="none"/>
          <w:tab w:pos="2382" w:val="left" w:leader="none"/>
        </w:tabs>
        <w:spacing w:line="242" w:lineRule="auto" w:before="125" w:after="0"/>
        <w:ind w:left="2381" w:right="1959" w:hanging="794"/>
        <w:jc w:val="left"/>
        <w:rPr>
          <w:sz w:val="21"/>
        </w:rPr>
      </w:pPr>
      <w:r>
        <w:rPr>
          <w:spacing w:val="-6"/>
          <w:w w:val="105"/>
          <w:sz w:val="21"/>
        </w:rPr>
        <w:t>VCAT’s </w:t>
      </w:r>
      <w:r>
        <w:rPr>
          <w:spacing w:val="-3"/>
          <w:w w:val="105"/>
          <w:sz w:val="21"/>
        </w:rPr>
        <w:t>website </w:t>
      </w:r>
      <w:r>
        <w:rPr>
          <w:w w:val="105"/>
          <w:sz w:val="21"/>
        </w:rPr>
        <w:t>provides parties with </w:t>
      </w:r>
      <w:r>
        <w:rPr>
          <w:spacing w:val="-3"/>
          <w:w w:val="105"/>
          <w:sz w:val="21"/>
        </w:rPr>
        <w:t>informative material to </w:t>
      </w:r>
      <w:r>
        <w:rPr>
          <w:w w:val="105"/>
          <w:sz w:val="21"/>
        </w:rPr>
        <w:t>help guide them </w:t>
      </w:r>
      <w:r>
        <w:rPr>
          <w:spacing w:val="-3"/>
          <w:w w:val="105"/>
          <w:sz w:val="21"/>
        </w:rPr>
        <w:t>through </w:t>
      </w:r>
      <w:r>
        <w:rPr>
          <w:spacing w:val="-6"/>
          <w:w w:val="105"/>
          <w:sz w:val="21"/>
        </w:rPr>
        <w:t>VCAT’s </w:t>
      </w:r>
      <w:r>
        <w:rPr>
          <w:w w:val="105"/>
          <w:sz w:val="21"/>
        </w:rPr>
        <w:t>processes </w:t>
      </w:r>
      <w:r>
        <w:rPr>
          <w:spacing w:val="-3"/>
          <w:w w:val="105"/>
          <w:sz w:val="21"/>
        </w:rPr>
        <w:t>including </w:t>
      </w:r>
      <w:r>
        <w:rPr>
          <w:w w:val="105"/>
          <w:sz w:val="21"/>
        </w:rPr>
        <w:t>videos and a </w:t>
      </w:r>
      <w:r>
        <w:rPr>
          <w:spacing w:val="-8"/>
          <w:w w:val="105"/>
          <w:sz w:val="21"/>
        </w:rPr>
        <w:t>YouTube </w:t>
      </w:r>
      <w:r>
        <w:rPr>
          <w:spacing w:val="-4"/>
          <w:w w:val="105"/>
          <w:sz w:val="21"/>
        </w:rPr>
        <w:t>clip.</w:t>
      </w:r>
      <w:r>
        <w:rPr>
          <w:spacing w:val="-4"/>
          <w:w w:val="105"/>
          <w:position w:val="7"/>
          <w:sz w:val="12"/>
        </w:rPr>
        <w:t>73 </w:t>
      </w:r>
      <w:r>
        <w:rPr>
          <w:w w:val="105"/>
          <w:sz w:val="21"/>
        </w:rPr>
        <w:t>Further </w:t>
      </w:r>
      <w:r>
        <w:rPr>
          <w:spacing w:val="-3"/>
          <w:w w:val="105"/>
          <w:sz w:val="21"/>
        </w:rPr>
        <w:t>information </w:t>
      </w:r>
      <w:r>
        <w:rPr>
          <w:w w:val="105"/>
          <w:sz w:val="21"/>
        </w:rPr>
        <w:t>is also </w:t>
      </w:r>
      <w:r>
        <w:rPr>
          <w:spacing w:val="-3"/>
          <w:w w:val="105"/>
          <w:sz w:val="21"/>
        </w:rPr>
        <w:t>available through </w:t>
      </w:r>
      <w:r>
        <w:rPr>
          <w:w w:val="105"/>
          <w:sz w:val="21"/>
        </w:rPr>
        <w:t>the registries and the </w:t>
      </w:r>
      <w:r>
        <w:rPr>
          <w:spacing w:val="-3"/>
          <w:w w:val="105"/>
          <w:sz w:val="21"/>
        </w:rPr>
        <w:t>Litigant </w:t>
      </w:r>
      <w:r>
        <w:rPr>
          <w:w w:val="105"/>
          <w:sz w:val="21"/>
        </w:rPr>
        <w:t>in Person</w:t>
      </w:r>
      <w:r>
        <w:rPr>
          <w:spacing w:val="31"/>
          <w:w w:val="105"/>
          <w:sz w:val="21"/>
        </w:rPr>
        <w:t> </w:t>
      </w:r>
      <w:r>
        <w:rPr>
          <w:spacing w:val="-4"/>
          <w:w w:val="105"/>
          <w:sz w:val="21"/>
        </w:rPr>
        <w:t>Co-ordinator.</w:t>
      </w:r>
    </w:p>
    <w:p>
      <w:pPr>
        <w:pStyle w:val="ListParagraph"/>
        <w:numPr>
          <w:ilvl w:val="1"/>
          <w:numId w:val="16"/>
        </w:numPr>
        <w:tabs>
          <w:tab w:pos="2380" w:val="left" w:leader="none"/>
          <w:tab w:pos="2381" w:val="left" w:leader="none"/>
        </w:tabs>
        <w:spacing w:line="242" w:lineRule="auto" w:before="124" w:after="0"/>
        <w:ind w:left="2381" w:right="1756" w:hanging="794"/>
        <w:jc w:val="left"/>
        <w:rPr>
          <w:sz w:val="21"/>
        </w:rPr>
      </w:pPr>
      <w:r>
        <w:rPr>
          <w:w w:val="105"/>
          <w:sz w:val="21"/>
        </w:rPr>
        <w:t>The </w:t>
      </w:r>
      <w:r>
        <w:rPr>
          <w:spacing w:val="-3"/>
          <w:w w:val="105"/>
          <w:sz w:val="21"/>
        </w:rPr>
        <w:t>Access to </w:t>
      </w:r>
      <w:r>
        <w:rPr>
          <w:w w:val="105"/>
          <w:sz w:val="21"/>
        </w:rPr>
        <w:t>Justice Review </w:t>
      </w:r>
      <w:r>
        <w:rPr>
          <w:spacing w:val="-3"/>
          <w:w w:val="105"/>
          <w:sz w:val="21"/>
        </w:rPr>
        <w:t>noted that </w:t>
      </w:r>
      <w:r>
        <w:rPr>
          <w:spacing w:val="-6"/>
          <w:w w:val="105"/>
          <w:sz w:val="21"/>
        </w:rPr>
        <w:t>VCAT’s </w:t>
      </w:r>
      <w:r>
        <w:rPr>
          <w:w w:val="105"/>
          <w:sz w:val="21"/>
        </w:rPr>
        <w:t>active case </w:t>
      </w:r>
      <w:r>
        <w:rPr>
          <w:spacing w:val="-3"/>
          <w:w w:val="105"/>
          <w:sz w:val="21"/>
        </w:rPr>
        <w:t>management </w:t>
      </w:r>
      <w:r>
        <w:rPr>
          <w:w w:val="105"/>
          <w:sz w:val="21"/>
        </w:rPr>
        <w:t>systems </w:t>
      </w:r>
      <w:r>
        <w:rPr>
          <w:spacing w:val="-3"/>
          <w:w w:val="105"/>
          <w:sz w:val="21"/>
        </w:rPr>
        <w:t>are helpful. </w:t>
      </w:r>
      <w:r>
        <w:rPr>
          <w:w w:val="105"/>
          <w:sz w:val="21"/>
        </w:rPr>
        <w:t>It provides an example of active case </w:t>
      </w:r>
      <w:r>
        <w:rPr>
          <w:spacing w:val="-3"/>
          <w:w w:val="105"/>
          <w:sz w:val="21"/>
        </w:rPr>
        <w:t>management </w:t>
      </w:r>
      <w:r>
        <w:rPr>
          <w:w w:val="105"/>
          <w:sz w:val="21"/>
        </w:rPr>
        <w:t>in </w:t>
      </w:r>
      <w:r>
        <w:rPr>
          <w:spacing w:val="-6"/>
          <w:w w:val="105"/>
          <w:sz w:val="21"/>
        </w:rPr>
        <w:t>VCAT’s </w:t>
      </w:r>
      <w:r>
        <w:rPr>
          <w:spacing w:val="-3"/>
          <w:w w:val="105"/>
          <w:sz w:val="21"/>
        </w:rPr>
        <w:t>Human </w:t>
      </w:r>
      <w:r>
        <w:rPr>
          <w:w w:val="105"/>
          <w:sz w:val="21"/>
        </w:rPr>
        <w:t>Rights</w:t>
      </w:r>
      <w:r>
        <w:rPr>
          <w:spacing w:val="-14"/>
          <w:w w:val="105"/>
          <w:sz w:val="21"/>
        </w:rPr>
        <w:t> </w:t>
      </w:r>
      <w:r>
        <w:rPr>
          <w:w w:val="105"/>
          <w:sz w:val="21"/>
        </w:rPr>
        <w:t>List:</w:t>
      </w:r>
    </w:p>
    <w:p>
      <w:pPr>
        <w:spacing w:line="254" w:lineRule="auto" w:before="131"/>
        <w:ind w:left="2834" w:right="1810" w:firstLine="0"/>
        <w:jc w:val="left"/>
        <w:rPr>
          <w:sz w:val="11"/>
        </w:rPr>
      </w:pPr>
      <w:r>
        <w:rPr>
          <w:sz w:val="20"/>
        </w:rPr>
        <w:t>Once a person has filed their </w:t>
      </w:r>
      <w:r>
        <w:rPr>
          <w:spacing w:val="-4"/>
          <w:sz w:val="20"/>
        </w:rPr>
        <w:t>matter, </w:t>
      </w:r>
      <w:r>
        <w:rPr>
          <w:spacing w:val="-5"/>
          <w:sz w:val="20"/>
        </w:rPr>
        <w:t>VCAT </w:t>
      </w:r>
      <w:r>
        <w:rPr>
          <w:sz w:val="20"/>
        </w:rPr>
        <w:t>will serve the documents on the respondent and, in some cases, contact the parties to discuss the matter proceeding direct to a compulsory </w:t>
      </w:r>
      <w:r>
        <w:rPr>
          <w:spacing w:val="-3"/>
          <w:sz w:val="20"/>
        </w:rPr>
        <w:t>conference </w:t>
      </w:r>
      <w:r>
        <w:rPr>
          <w:sz w:val="20"/>
        </w:rPr>
        <w:t>or mediation. </w:t>
      </w:r>
      <w:r>
        <w:rPr>
          <w:spacing w:val="-3"/>
          <w:sz w:val="20"/>
        </w:rPr>
        <w:t>Alternatively, </w:t>
      </w:r>
      <w:r>
        <w:rPr>
          <w:sz w:val="20"/>
        </w:rPr>
        <w:t>the case will be listed for a directions hearing</w:t>
      </w:r>
      <w:r>
        <w:rPr>
          <w:spacing w:val="14"/>
          <w:sz w:val="20"/>
        </w:rPr>
        <w:t> </w:t>
      </w:r>
      <w:r>
        <w:rPr>
          <w:sz w:val="20"/>
        </w:rPr>
        <w:t>where</w:t>
      </w:r>
      <w:r>
        <w:rPr>
          <w:spacing w:val="15"/>
          <w:sz w:val="20"/>
        </w:rPr>
        <w:t> </w:t>
      </w:r>
      <w:r>
        <w:rPr>
          <w:spacing w:val="-5"/>
          <w:sz w:val="20"/>
        </w:rPr>
        <w:t>VCAT’s</w:t>
      </w:r>
      <w:r>
        <w:rPr>
          <w:spacing w:val="15"/>
          <w:sz w:val="20"/>
        </w:rPr>
        <w:t> </w:t>
      </w:r>
      <w:r>
        <w:rPr>
          <w:sz w:val="20"/>
        </w:rPr>
        <w:t>processes</w:t>
      </w:r>
      <w:r>
        <w:rPr>
          <w:spacing w:val="15"/>
          <w:sz w:val="20"/>
        </w:rPr>
        <w:t> </w:t>
      </w:r>
      <w:r>
        <w:rPr>
          <w:sz w:val="20"/>
        </w:rPr>
        <w:t>are</w:t>
      </w:r>
      <w:r>
        <w:rPr>
          <w:spacing w:val="15"/>
          <w:sz w:val="20"/>
        </w:rPr>
        <w:t> </w:t>
      </w:r>
      <w:r>
        <w:rPr>
          <w:sz w:val="20"/>
        </w:rPr>
        <w:t>explained</w:t>
      </w:r>
      <w:r>
        <w:rPr>
          <w:spacing w:val="15"/>
          <w:sz w:val="20"/>
        </w:rPr>
        <w:t> </w:t>
      </w:r>
      <w:r>
        <w:rPr>
          <w:sz w:val="20"/>
        </w:rPr>
        <w:t>and</w:t>
      </w:r>
      <w:r>
        <w:rPr>
          <w:spacing w:val="15"/>
          <w:sz w:val="20"/>
        </w:rPr>
        <w:t> </w:t>
      </w:r>
      <w:r>
        <w:rPr>
          <w:sz w:val="20"/>
        </w:rPr>
        <w:t>discussed</w:t>
      </w:r>
      <w:r>
        <w:rPr>
          <w:spacing w:val="14"/>
          <w:sz w:val="20"/>
        </w:rPr>
        <w:t> </w:t>
      </w:r>
      <w:r>
        <w:rPr>
          <w:sz w:val="20"/>
        </w:rPr>
        <w:t>with</w:t>
      </w:r>
      <w:r>
        <w:rPr>
          <w:spacing w:val="15"/>
          <w:sz w:val="20"/>
        </w:rPr>
        <w:t> </w:t>
      </w:r>
      <w:r>
        <w:rPr>
          <w:sz w:val="20"/>
        </w:rPr>
        <w:t>the</w:t>
      </w:r>
      <w:r>
        <w:rPr>
          <w:spacing w:val="15"/>
          <w:sz w:val="20"/>
        </w:rPr>
        <w:t> </w:t>
      </w:r>
      <w:r>
        <w:rPr>
          <w:spacing w:val="-3"/>
          <w:sz w:val="20"/>
        </w:rPr>
        <w:t>parties.</w:t>
      </w:r>
      <w:r>
        <w:rPr>
          <w:spacing w:val="-3"/>
          <w:position w:val="7"/>
          <w:sz w:val="11"/>
        </w:rPr>
        <w:t>74</w:t>
      </w:r>
    </w:p>
    <w:p>
      <w:pPr>
        <w:pStyle w:val="ListParagraph"/>
        <w:numPr>
          <w:ilvl w:val="1"/>
          <w:numId w:val="16"/>
        </w:numPr>
        <w:tabs>
          <w:tab w:pos="2380" w:val="left" w:leader="none"/>
          <w:tab w:pos="2381" w:val="left" w:leader="none"/>
        </w:tabs>
        <w:spacing w:line="242" w:lineRule="auto" w:before="115" w:after="0"/>
        <w:ind w:left="2381" w:right="2475" w:hanging="794"/>
        <w:jc w:val="left"/>
        <w:rPr>
          <w:sz w:val="21"/>
        </w:rPr>
      </w:pPr>
      <w:r>
        <w:rPr>
          <w:spacing w:val="-6"/>
          <w:w w:val="105"/>
          <w:sz w:val="21"/>
        </w:rPr>
        <w:t>VCAT’s </w:t>
      </w:r>
      <w:r>
        <w:rPr>
          <w:spacing w:val="-3"/>
          <w:w w:val="105"/>
          <w:sz w:val="21"/>
        </w:rPr>
        <w:t>website aims to </w:t>
      </w:r>
      <w:r>
        <w:rPr>
          <w:w w:val="105"/>
          <w:sz w:val="21"/>
        </w:rPr>
        <w:t>assist people who speak </w:t>
      </w:r>
      <w:r>
        <w:rPr>
          <w:spacing w:val="-3"/>
          <w:w w:val="105"/>
          <w:sz w:val="21"/>
        </w:rPr>
        <w:t>languages </w:t>
      </w:r>
      <w:r>
        <w:rPr>
          <w:w w:val="105"/>
          <w:sz w:val="21"/>
        </w:rPr>
        <w:t>other </w:t>
      </w:r>
      <w:r>
        <w:rPr>
          <w:spacing w:val="-3"/>
          <w:w w:val="105"/>
          <w:sz w:val="21"/>
        </w:rPr>
        <w:t>than </w:t>
      </w:r>
      <w:r>
        <w:rPr>
          <w:spacing w:val="-4"/>
          <w:w w:val="105"/>
          <w:sz w:val="21"/>
        </w:rPr>
        <w:t>English, </w:t>
      </w:r>
      <w:r>
        <w:rPr>
          <w:w w:val="105"/>
          <w:sz w:val="21"/>
        </w:rPr>
        <w:t>by </w:t>
      </w:r>
      <w:r>
        <w:rPr>
          <w:spacing w:val="-3"/>
          <w:w w:val="105"/>
          <w:sz w:val="21"/>
        </w:rPr>
        <w:t>providing information </w:t>
      </w:r>
      <w:r>
        <w:rPr>
          <w:w w:val="105"/>
          <w:sz w:val="21"/>
        </w:rPr>
        <w:t>in </w:t>
      </w:r>
      <w:r>
        <w:rPr>
          <w:spacing w:val="-3"/>
          <w:w w:val="105"/>
          <w:sz w:val="21"/>
        </w:rPr>
        <w:t>eight languages</w:t>
      </w:r>
      <w:r>
        <w:rPr>
          <w:spacing w:val="-3"/>
          <w:w w:val="105"/>
          <w:position w:val="7"/>
          <w:sz w:val="12"/>
        </w:rPr>
        <w:t>75 </w:t>
      </w:r>
      <w:r>
        <w:rPr>
          <w:w w:val="105"/>
          <w:sz w:val="21"/>
        </w:rPr>
        <w:t>and free </w:t>
      </w:r>
      <w:r>
        <w:rPr>
          <w:spacing w:val="-2"/>
          <w:w w:val="105"/>
          <w:sz w:val="21"/>
        </w:rPr>
        <w:t>access </w:t>
      </w:r>
      <w:r>
        <w:rPr>
          <w:spacing w:val="-3"/>
          <w:w w:val="105"/>
          <w:sz w:val="21"/>
        </w:rPr>
        <w:t>to interpreters </w:t>
      </w:r>
      <w:r>
        <w:rPr>
          <w:w w:val="105"/>
          <w:sz w:val="21"/>
        </w:rPr>
        <w:t>and </w:t>
      </w:r>
      <w:r>
        <w:rPr>
          <w:spacing w:val="-4"/>
          <w:w w:val="105"/>
          <w:sz w:val="21"/>
        </w:rPr>
        <w:t>translators.</w:t>
      </w:r>
      <w:r>
        <w:rPr>
          <w:spacing w:val="-4"/>
          <w:w w:val="105"/>
          <w:position w:val="7"/>
          <w:sz w:val="12"/>
        </w:rPr>
        <w:t>76</w:t>
      </w:r>
    </w:p>
    <w:p>
      <w:pPr>
        <w:pStyle w:val="ListParagraph"/>
        <w:numPr>
          <w:ilvl w:val="1"/>
          <w:numId w:val="16"/>
        </w:numPr>
        <w:tabs>
          <w:tab w:pos="2380" w:val="left" w:leader="none"/>
          <w:tab w:pos="2381" w:val="left" w:leader="none"/>
        </w:tabs>
        <w:spacing w:line="242" w:lineRule="auto" w:before="124" w:after="0"/>
        <w:ind w:left="2381" w:right="1763" w:hanging="794"/>
        <w:jc w:val="left"/>
        <w:rPr>
          <w:sz w:val="21"/>
        </w:rPr>
      </w:pPr>
      <w:r>
        <w:rPr>
          <w:spacing w:val="-5"/>
          <w:sz w:val="21"/>
        </w:rPr>
        <w:t>VCAT </w:t>
      </w:r>
      <w:r>
        <w:rPr>
          <w:spacing w:val="-2"/>
          <w:sz w:val="21"/>
        </w:rPr>
        <w:t>has </w:t>
      </w:r>
      <w:r>
        <w:rPr>
          <w:sz w:val="21"/>
        </w:rPr>
        <w:t>also </w:t>
      </w:r>
      <w:r>
        <w:rPr>
          <w:spacing w:val="-3"/>
          <w:sz w:val="21"/>
        </w:rPr>
        <w:t>improved </w:t>
      </w:r>
      <w:r>
        <w:rPr>
          <w:sz w:val="21"/>
        </w:rPr>
        <w:t>the </w:t>
      </w:r>
      <w:r>
        <w:rPr>
          <w:spacing w:val="-4"/>
          <w:sz w:val="21"/>
        </w:rPr>
        <w:t>website’s </w:t>
      </w:r>
      <w:r>
        <w:rPr>
          <w:spacing w:val="-3"/>
          <w:sz w:val="21"/>
        </w:rPr>
        <w:t>accessibility for </w:t>
      </w:r>
      <w:r>
        <w:rPr>
          <w:sz w:val="21"/>
        </w:rPr>
        <w:t>people with </w:t>
      </w:r>
      <w:r>
        <w:rPr>
          <w:spacing w:val="-3"/>
          <w:sz w:val="21"/>
        </w:rPr>
        <w:t>disabilities.</w:t>
      </w:r>
      <w:r>
        <w:rPr>
          <w:spacing w:val="-3"/>
          <w:position w:val="7"/>
          <w:sz w:val="12"/>
        </w:rPr>
        <w:t>77 </w:t>
      </w:r>
      <w:r>
        <w:rPr>
          <w:spacing w:val="-6"/>
          <w:sz w:val="21"/>
        </w:rPr>
        <w:t>VCAT’s </w:t>
      </w:r>
      <w:r>
        <w:rPr>
          <w:spacing w:val="-3"/>
          <w:sz w:val="21"/>
        </w:rPr>
        <w:t>Accessibility  </w:t>
      </w:r>
      <w:r>
        <w:rPr>
          <w:sz w:val="21"/>
        </w:rPr>
        <w:t>Action Plan </w:t>
      </w:r>
      <w:r>
        <w:rPr>
          <w:spacing w:val="-5"/>
          <w:sz w:val="21"/>
        </w:rPr>
        <w:t>2018–2022  </w:t>
      </w:r>
      <w:r>
        <w:rPr>
          <w:sz w:val="21"/>
        </w:rPr>
        <w:t>sets out how </w:t>
      </w:r>
      <w:r>
        <w:rPr>
          <w:spacing w:val="-5"/>
          <w:sz w:val="21"/>
        </w:rPr>
        <w:t>VCAT  </w:t>
      </w:r>
      <w:r>
        <w:rPr>
          <w:spacing w:val="-3"/>
          <w:sz w:val="21"/>
        </w:rPr>
        <w:t>‘will  </w:t>
      </w:r>
      <w:r>
        <w:rPr>
          <w:sz w:val="21"/>
        </w:rPr>
        <w:t>assist people with disability  </w:t>
      </w:r>
      <w:r>
        <w:rPr>
          <w:spacing w:val="-3"/>
          <w:sz w:val="21"/>
        </w:rPr>
        <w:t>to gain </w:t>
      </w:r>
      <w:r>
        <w:rPr>
          <w:sz w:val="21"/>
        </w:rPr>
        <w:t>better </w:t>
      </w:r>
      <w:r>
        <w:rPr>
          <w:spacing w:val="-2"/>
          <w:sz w:val="21"/>
        </w:rPr>
        <w:t>access </w:t>
      </w:r>
      <w:r>
        <w:rPr>
          <w:spacing w:val="-3"/>
          <w:sz w:val="21"/>
        </w:rPr>
        <w:t>to</w:t>
      </w:r>
      <w:r>
        <w:rPr>
          <w:spacing w:val="18"/>
          <w:sz w:val="21"/>
        </w:rPr>
        <w:t> </w:t>
      </w:r>
      <w:r>
        <w:rPr>
          <w:sz w:val="21"/>
        </w:rPr>
        <w:t>the </w:t>
      </w:r>
      <w:r>
        <w:rPr>
          <w:spacing w:val="-5"/>
          <w:sz w:val="21"/>
        </w:rPr>
        <w:t>tribunal’.</w:t>
      </w:r>
      <w:r>
        <w:rPr>
          <w:spacing w:val="-5"/>
          <w:position w:val="7"/>
          <w:sz w:val="12"/>
        </w:rPr>
        <w:t>78</w:t>
      </w:r>
    </w:p>
    <w:p>
      <w:pPr>
        <w:pStyle w:val="Heading7"/>
        <w:spacing w:before="153"/>
      </w:pPr>
      <w:r>
        <w:rPr>
          <w:w w:val="115"/>
        </w:rPr>
        <w:t>Alternative dispute resolution—VCAT</w:t>
      </w:r>
    </w:p>
    <w:p>
      <w:pPr>
        <w:pStyle w:val="ListParagraph"/>
        <w:numPr>
          <w:ilvl w:val="1"/>
          <w:numId w:val="16"/>
        </w:numPr>
        <w:tabs>
          <w:tab w:pos="2381" w:val="left" w:leader="none"/>
          <w:tab w:pos="2382" w:val="left" w:leader="none"/>
        </w:tabs>
        <w:spacing w:line="242" w:lineRule="auto" w:before="143" w:after="0"/>
        <w:ind w:left="2381" w:right="1688" w:hanging="794"/>
        <w:jc w:val="left"/>
        <w:rPr>
          <w:sz w:val="21"/>
        </w:rPr>
      </w:pPr>
      <w:r>
        <w:rPr>
          <w:spacing w:val="-5"/>
          <w:w w:val="105"/>
          <w:sz w:val="21"/>
        </w:rPr>
        <w:t>VCAT </w:t>
      </w:r>
      <w:r>
        <w:rPr>
          <w:w w:val="105"/>
          <w:sz w:val="21"/>
        </w:rPr>
        <w:t>uses a </w:t>
      </w:r>
      <w:r>
        <w:rPr>
          <w:spacing w:val="-3"/>
          <w:w w:val="105"/>
          <w:sz w:val="21"/>
        </w:rPr>
        <w:t>range </w:t>
      </w:r>
      <w:r>
        <w:rPr>
          <w:w w:val="105"/>
          <w:sz w:val="21"/>
        </w:rPr>
        <w:t>of </w:t>
      </w:r>
      <w:r>
        <w:rPr>
          <w:spacing w:val="-3"/>
          <w:w w:val="105"/>
          <w:sz w:val="21"/>
        </w:rPr>
        <w:t>alternative dispute </w:t>
      </w:r>
      <w:r>
        <w:rPr>
          <w:w w:val="105"/>
          <w:sz w:val="21"/>
        </w:rPr>
        <w:t>resolution (ADR) processes </w:t>
      </w:r>
      <w:r>
        <w:rPr>
          <w:spacing w:val="-3"/>
          <w:w w:val="105"/>
          <w:sz w:val="21"/>
        </w:rPr>
        <w:t>to </w:t>
      </w:r>
      <w:r>
        <w:rPr>
          <w:w w:val="105"/>
          <w:sz w:val="21"/>
        </w:rPr>
        <w:t>help parties resolve</w:t>
      </w:r>
      <w:r>
        <w:rPr>
          <w:spacing w:val="-7"/>
          <w:w w:val="105"/>
          <w:sz w:val="21"/>
        </w:rPr>
        <w:t> </w:t>
      </w:r>
      <w:r>
        <w:rPr>
          <w:w w:val="105"/>
          <w:sz w:val="21"/>
        </w:rPr>
        <w:t>their</w:t>
      </w:r>
      <w:r>
        <w:rPr>
          <w:spacing w:val="-7"/>
          <w:w w:val="105"/>
          <w:sz w:val="21"/>
        </w:rPr>
        <w:t> </w:t>
      </w:r>
      <w:r>
        <w:rPr>
          <w:spacing w:val="-3"/>
          <w:w w:val="105"/>
          <w:sz w:val="21"/>
        </w:rPr>
        <w:t>dispute</w:t>
      </w:r>
      <w:r>
        <w:rPr>
          <w:spacing w:val="-7"/>
          <w:w w:val="105"/>
          <w:sz w:val="21"/>
        </w:rPr>
        <w:t> </w:t>
      </w:r>
      <w:r>
        <w:rPr>
          <w:w w:val="105"/>
          <w:sz w:val="21"/>
        </w:rPr>
        <w:t>without</w:t>
      </w:r>
      <w:r>
        <w:rPr>
          <w:spacing w:val="-7"/>
          <w:w w:val="105"/>
          <w:sz w:val="21"/>
        </w:rPr>
        <w:t> </w:t>
      </w:r>
      <w:r>
        <w:rPr>
          <w:w w:val="105"/>
          <w:sz w:val="21"/>
        </w:rPr>
        <w:t>a</w:t>
      </w:r>
      <w:r>
        <w:rPr>
          <w:spacing w:val="-7"/>
          <w:w w:val="105"/>
          <w:sz w:val="21"/>
        </w:rPr>
        <w:t> </w:t>
      </w:r>
      <w:r>
        <w:rPr>
          <w:spacing w:val="-3"/>
          <w:w w:val="105"/>
          <w:sz w:val="21"/>
        </w:rPr>
        <w:t>full</w:t>
      </w:r>
      <w:r>
        <w:rPr>
          <w:spacing w:val="-7"/>
          <w:w w:val="105"/>
          <w:sz w:val="21"/>
        </w:rPr>
        <w:t> </w:t>
      </w:r>
      <w:r>
        <w:rPr>
          <w:spacing w:val="-4"/>
          <w:w w:val="105"/>
          <w:sz w:val="21"/>
        </w:rPr>
        <w:t>hearing.</w:t>
      </w:r>
      <w:r>
        <w:rPr>
          <w:spacing w:val="-4"/>
          <w:w w:val="105"/>
          <w:position w:val="7"/>
          <w:sz w:val="12"/>
        </w:rPr>
        <w:t>79</w:t>
      </w:r>
      <w:r>
        <w:rPr>
          <w:spacing w:val="16"/>
          <w:w w:val="105"/>
          <w:position w:val="7"/>
          <w:sz w:val="12"/>
        </w:rPr>
        <w:t> </w:t>
      </w:r>
      <w:r>
        <w:rPr>
          <w:w w:val="105"/>
          <w:sz w:val="21"/>
        </w:rPr>
        <w:t>They</w:t>
      </w:r>
      <w:r>
        <w:rPr>
          <w:spacing w:val="-7"/>
          <w:w w:val="105"/>
          <w:sz w:val="21"/>
        </w:rPr>
        <w:t> </w:t>
      </w:r>
      <w:r>
        <w:rPr>
          <w:spacing w:val="-3"/>
          <w:w w:val="105"/>
          <w:sz w:val="21"/>
        </w:rPr>
        <w:t>are</w:t>
      </w:r>
      <w:r>
        <w:rPr>
          <w:spacing w:val="-7"/>
          <w:w w:val="105"/>
          <w:sz w:val="21"/>
        </w:rPr>
        <w:t> </w:t>
      </w:r>
      <w:r>
        <w:rPr>
          <w:w w:val="105"/>
          <w:sz w:val="21"/>
        </w:rPr>
        <w:t>conducted</w:t>
      </w:r>
      <w:r>
        <w:rPr>
          <w:spacing w:val="-7"/>
          <w:w w:val="105"/>
          <w:sz w:val="21"/>
        </w:rPr>
        <w:t> </w:t>
      </w:r>
      <w:r>
        <w:rPr>
          <w:w w:val="105"/>
          <w:sz w:val="21"/>
        </w:rPr>
        <w:t>by</w:t>
      </w:r>
      <w:r>
        <w:rPr>
          <w:spacing w:val="-7"/>
          <w:w w:val="105"/>
          <w:sz w:val="21"/>
        </w:rPr>
        <w:t> </w:t>
      </w:r>
      <w:r>
        <w:rPr>
          <w:w w:val="105"/>
          <w:sz w:val="21"/>
        </w:rPr>
        <w:t>‘members,</w:t>
      </w:r>
      <w:r>
        <w:rPr>
          <w:spacing w:val="-6"/>
          <w:w w:val="105"/>
          <w:sz w:val="21"/>
        </w:rPr>
        <w:t> </w:t>
      </w:r>
      <w:r>
        <w:rPr>
          <w:spacing w:val="-3"/>
          <w:w w:val="105"/>
          <w:sz w:val="21"/>
        </w:rPr>
        <w:t>staff,</w:t>
      </w:r>
      <w:r>
        <w:rPr>
          <w:spacing w:val="-7"/>
          <w:w w:val="105"/>
          <w:sz w:val="21"/>
        </w:rPr>
        <w:t> </w:t>
      </w:r>
      <w:r>
        <w:rPr>
          <w:w w:val="105"/>
          <w:sz w:val="21"/>
        </w:rPr>
        <w:t>and external mediators </w:t>
      </w:r>
      <w:r>
        <w:rPr>
          <w:spacing w:val="-3"/>
          <w:w w:val="105"/>
          <w:sz w:val="21"/>
        </w:rPr>
        <w:t>from </w:t>
      </w:r>
      <w:r>
        <w:rPr>
          <w:w w:val="105"/>
          <w:sz w:val="21"/>
        </w:rPr>
        <w:t>a panel who </w:t>
      </w:r>
      <w:r>
        <w:rPr>
          <w:spacing w:val="-3"/>
          <w:w w:val="105"/>
          <w:sz w:val="21"/>
        </w:rPr>
        <w:t>are </w:t>
      </w:r>
      <w:r>
        <w:rPr>
          <w:w w:val="105"/>
          <w:sz w:val="21"/>
        </w:rPr>
        <w:t>engaged on a sessional</w:t>
      </w:r>
      <w:r>
        <w:rPr>
          <w:spacing w:val="26"/>
          <w:w w:val="105"/>
          <w:sz w:val="21"/>
        </w:rPr>
        <w:t> </w:t>
      </w:r>
      <w:r>
        <w:rPr>
          <w:spacing w:val="-3"/>
          <w:w w:val="105"/>
          <w:sz w:val="21"/>
        </w:rPr>
        <w:t>basis’.</w:t>
      </w:r>
      <w:r>
        <w:rPr>
          <w:spacing w:val="-3"/>
          <w:w w:val="105"/>
          <w:position w:val="7"/>
          <w:sz w:val="12"/>
        </w:rPr>
        <w:t>80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r>
        <w:rPr/>
        <w:pict>
          <v:line style="position:absolute;mso-position-horizontal-relative:page;mso-position-vertical-relative:paragraph;z-index:6536;mso-wrap-distance-left:0;mso-wrap-distance-right:0" from="79.370102pt,13.102329pt" to="515.905102pt,13.102329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09"/>
        </w:numPr>
        <w:tabs>
          <w:tab w:pos="2380" w:val="left" w:leader="none"/>
          <w:tab w:pos="2382" w:val="left" w:leader="none"/>
        </w:tabs>
        <w:spacing w:line="240" w:lineRule="auto" w:before="48" w:after="0"/>
        <w:ind w:left="2381" w:right="592" w:hanging="794"/>
        <w:jc w:val="left"/>
        <w:rPr>
          <w:sz w:val="13"/>
        </w:rPr>
      </w:pPr>
      <w:r>
        <w:rPr>
          <w:w w:val="105"/>
          <w:sz w:val="13"/>
        </w:rPr>
        <w:t>Victorian Civil and Administrative Tribunal, </w:t>
      </w:r>
      <w:r>
        <w:rPr>
          <w:i/>
          <w:w w:val="105"/>
          <w:sz w:val="13"/>
        </w:rPr>
        <w:t>Annual </w:t>
      </w:r>
      <w:r>
        <w:rPr>
          <w:i/>
          <w:spacing w:val="2"/>
          <w:w w:val="105"/>
          <w:sz w:val="13"/>
        </w:rPr>
        <w:t>Report </w:t>
      </w:r>
      <w:r>
        <w:rPr>
          <w:i/>
          <w:spacing w:val="-4"/>
          <w:w w:val="105"/>
          <w:sz w:val="13"/>
        </w:rPr>
        <w:t>2017–18 </w:t>
      </w:r>
      <w:r>
        <w:rPr>
          <w:spacing w:val="2"/>
          <w:w w:val="105"/>
          <w:sz w:val="13"/>
        </w:rPr>
        <w:t>(Report, </w:t>
      </w:r>
      <w:r>
        <w:rPr>
          <w:w w:val="105"/>
          <w:sz w:val="13"/>
        </w:rPr>
        <w:t>2018) 10; Victorian Civil and Administrative Tribunal, Submission</w:t>
      </w:r>
      <w:r>
        <w:rPr>
          <w:spacing w:val="5"/>
          <w:w w:val="105"/>
          <w:sz w:val="13"/>
        </w:rPr>
        <w:t> </w:t>
      </w:r>
      <w:r>
        <w:rPr>
          <w:w w:val="105"/>
          <w:sz w:val="13"/>
        </w:rPr>
        <w:t>No</w:t>
      </w:r>
      <w:r>
        <w:rPr>
          <w:spacing w:val="5"/>
          <w:w w:val="105"/>
          <w:sz w:val="13"/>
        </w:rPr>
        <w:t> </w:t>
      </w:r>
      <w:r>
        <w:rPr>
          <w:w w:val="105"/>
          <w:sz w:val="13"/>
        </w:rPr>
        <w:t>34</w:t>
      </w:r>
      <w:r>
        <w:rPr>
          <w:spacing w:val="5"/>
          <w:w w:val="105"/>
          <w:sz w:val="13"/>
        </w:rPr>
        <w:t> </w:t>
      </w:r>
      <w:r>
        <w:rPr>
          <w:w w:val="105"/>
          <w:sz w:val="13"/>
        </w:rPr>
        <w:t>to</w:t>
      </w:r>
      <w:r>
        <w:rPr>
          <w:spacing w:val="5"/>
          <w:w w:val="105"/>
          <w:sz w:val="13"/>
        </w:rPr>
        <w:t> </w:t>
      </w:r>
      <w:r>
        <w:rPr>
          <w:w w:val="105"/>
          <w:sz w:val="13"/>
        </w:rPr>
        <w:t>Victorian</w:t>
      </w:r>
      <w:r>
        <w:rPr>
          <w:spacing w:val="5"/>
          <w:w w:val="105"/>
          <w:sz w:val="13"/>
        </w:rPr>
        <w:t> </w:t>
      </w:r>
      <w:r>
        <w:rPr>
          <w:w w:val="105"/>
          <w:sz w:val="13"/>
        </w:rPr>
        <w:t>Government,</w:t>
      </w:r>
      <w:r>
        <w:rPr>
          <w:spacing w:val="5"/>
          <w:w w:val="105"/>
          <w:sz w:val="13"/>
        </w:rPr>
        <w:t> </w:t>
      </w:r>
      <w:r>
        <w:rPr>
          <w:i/>
          <w:w w:val="105"/>
          <w:sz w:val="13"/>
        </w:rPr>
        <w:t>Access</w:t>
      </w:r>
      <w:r>
        <w:rPr>
          <w:i/>
          <w:spacing w:val="5"/>
          <w:w w:val="105"/>
          <w:sz w:val="13"/>
        </w:rPr>
        <w:t> </w:t>
      </w:r>
      <w:r>
        <w:rPr>
          <w:i/>
          <w:w w:val="105"/>
          <w:sz w:val="13"/>
        </w:rPr>
        <w:t>to</w:t>
      </w:r>
      <w:r>
        <w:rPr>
          <w:i/>
          <w:spacing w:val="5"/>
          <w:w w:val="105"/>
          <w:sz w:val="13"/>
        </w:rPr>
        <w:t> </w:t>
      </w:r>
      <w:r>
        <w:rPr>
          <w:i/>
          <w:w w:val="105"/>
          <w:sz w:val="13"/>
        </w:rPr>
        <w:t>Justice</w:t>
      </w:r>
      <w:r>
        <w:rPr>
          <w:i/>
          <w:spacing w:val="5"/>
          <w:w w:val="105"/>
          <w:sz w:val="13"/>
        </w:rPr>
        <w:t> </w:t>
      </w:r>
      <w:r>
        <w:rPr>
          <w:i/>
          <w:w w:val="105"/>
          <w:sz w:val="13"/>
        </w:rPr>
        <w:t>Review</w:t>
      </w:r>
      <w:r>
        <w:rPr>
          <w:i/>
          <w:spacing w:val="5"/>
          <w:w w:val="105"/>
          <w:sz w:val="13"/>
        </w:rPr>
        <w:t> </w:t>
      </w:r>
      <w:r>
        <w:rPr>
          <w:w w:val="105"/>
          <w:sz w:val="13"/>
        </w:rPr>
        <w:t>(2016)</w:t>
      </w:r>
      <w:r>
        <w:rPr>
          <w:spacing w:val="5"/>
          <w:w w:val="105"/>
          <w:sz w:val="13"/>
        </w:rPr>
        <w:t> </w:t>
      </w:r>
      <w:r>
        <w:rPr>
          <w:spacing w:val="-5"/>
          <w:w w:val="105"/>
          <w:sz w:val="13"/>
        </w:rPr>
        <w:t>1.</w:t>
      </w:r>
    </w:p>
    <w:p>
      <w:pPr>
        <w:pStyle w:val="ListParagraph"/>
        <w:numPr>
          <w:ilvl w:val="0"/>
          <w:numId w:val="109"/>
        </w:numPr>
        <w:tabs>
          <w:tab w:pos="2381" w:val="left" w:leader="none"/>
          <w:tab w:pos="2382" w:val="left" w:leader="none"/>
        </w:tabs>
        <w:spacing w:line="240" w:lineRule="auto" w:before="3" w:after="0"/>
        <w:ind w:left="2381" w:right="73" w:hanging="794"/>
        <w:jc w:val="left"/>
        <w:rPr>
          <w:sz w:val="13"/>
        </w:rPr>
      </w:pPr>
      <w:r>
        <w:rPr>
          <w:i/>
          <w:sz w:val="13"/>
        </w:rPr>
        <w:t>Victorian Civil and Administrative Tribunal Act 1998 </w:t>
      </w:r>
      <w:r>
        <w:rPr>
          <w:spacing w:val="2"/>
          <w:sz w:val="13"/>
        </w:rPr>
        <w:t>(Vic) </w:t>
      </w:r>
      <w:r>
        <w:rPr>
          <w:sz w:val="13"/>
        </w:rPr>
        <w:t>s </w:t>
      </w:r>
      <w:r>
        <w:rPr>
          <w:spacing w:val="3"/>
          <w:sz w:val="13"/>
        </w:rPr>
        <w:t>98(1)(a). </w:t>
      </w:r>
      <w:r>
        <w:rPr>
          <w:sz w:val="13"/>
        </w:rPr>
        <w:t>Natural justice means ‘the right to be given  a  fair  hearing  and  the opportunity to present one’s case, the right to have a decision made by an unbiased </w:t>
      </w:r>
      <w:r>
        <w:rPr>
          <w:w w:val="115"/>
          <w:sz w:val="13"/>
        </w:rPr>
        <w:t>… </w:t>
      </w:r>
      <w:r>
        <w:rPr>
          <w:sz w:val="13"/>
        </w:rPr>
        <w:t>decision maker, and the right to have that decision        based on logically probative evidence per </w:t>
      </w:r>
      <w:r>
        <w:rPr>
          <w:i/>
          <w:sz w:val="13"/>
        </w:rPr>
        <w:t>Salemi v MacKellar </w:t>
      </w:r>
      <w:r>
        <w:rPr>
          <w:spacing w:val="3"/>
          <w:sz w:val="13"/>
        </w:rPr>
        <w:t>(No </w:t>
      </w:r>
      <w:r>
        <w:rPr>
          <w:sz w:val="13"/>
        </w:rPr>
        <w:t>2)  (1977)  </w:t>
      </w:r>
      <w:r>
        <w:rPr>
          <w:spacing w:val="-3"/>
          <w:sz w:val="13"/>
        </w:rPr>
        <w:t>137  </w:t>
      </w:r>
      <w:r>
        <w:rPr>
          <w:sz w:val="13"/>
        </w:rPr>
        <w:t>CLR  396’:  Peter  Butt  </w:t>
      </w:r>
      <w:r>
        <w:rPr>
          <w:spacing w:val="2"/>
          <w:sz w:val="13"/>
        </w:rPr>
        <w:t>(ed), </w:t>
      </w:r>
      <w:r>
        <w:rPr>
          <w:i/>
          <w:sz w:val="13"/>
        </w:rPr>
        <w:t>Butterworths  Concise  Australian </w:t>
      </w:r>
      <w:r>
        <w:rPr>
          <w:i/>
          <w:sz w:val="13"/>
        </w:rPr>
        <w:t>Legal Dictionary </w:t>
      </w:r>
      <w:r>
        <w:rPr>
          <w:spacing w:val="2"/>
          <w:sz w:val="13"/>
        </w:rPr>
        <w:t>(LexisNexis/Butterworths, </w:t>
      </w:r>
      <w:r>
        <w:rPr>
          <w:sz w:val="13"/>
        </w:rPr>
        <w:t>3rd ed,</w:t>
      </w:r>
      <w:r>
        <w:rPr>
          <w:spacing w:val="3"/>
          <w:sz w:val="13"/>
        </w:rPr>
        <w:t> </w:t>
      </w:r>
      <w:r>
        <w:rPr>
          <w:spacing w:val="2"/>
          <w:sz w:val="13"/>
        </w:rPr>
        <w:t>2004).</w:t>
      </w:r>
    </w:p>
    <w:p>
      <w:pPr>
        <w:pStyle w:val="ListParagraph"/>
        <w:numPr>
          <w:ilvl w:val="0"/>
          <w:numId w:val="109"/>
        </w:numPr>
        <w:tabs>
          <w:tab w:pos="2380" w:val="left" w:leader="none"/>
          <w:tab w:pos="2382" w:val="left" w:leader="none"/>
        </w:tabs>
        <w:spacing w:line="240" w:lineRule="auto" w:before="5" w:after="0"/>
        <w:ind w:left="2381" w:right="72" w:hanging="794"/>
        <w:jc w:val="left"/>
        <w:rPr>
          <w:sz w:val="13"/>
        </w:rPr>
      </w:pPr>
      <w:r>
        <w:rPr>
          <w:spacing w:val="-5"/>
          <w:sz w:val="13"/>
        </w:rPr>
        <w:t>‘… </w:t>
      </w:r>
      <w:r>
        <w:rPr>
          <w:sz w:val="13"/>
        </w:rPr>
        <w:t>except to  the  extent  that  it  adopts  those  rules  …’:  </w:t>
      </w:r>
      <w:r>
        <w:rPr>
          <w:i/>
          <w:sz w:val="13"/>
        </w:rPr>
        <w:t>Victorian  Civil  and  Administrative  Tribunal  Act  1998  </w:t>
      </w:r>
      <w:r>
        <w:rPr>
          <w:spacing w:val="2"/>
          <w:sz w:val="13"/>
        </w:rPr>
        <w:t>(Vic)  </w:t>
      </w:r>
      <w:r>
        <w:rPr>
          <w:sz w:val="13"/>
        </w:rPr>
        <w:t>s  </w:t>
      </w:r>
      <w:r>
        <w:rPr>
          <w:spacing w:val="3"/>
          <w:sz w:val="13"/>
        </w:rPr>
        <w:t>98(1)(b).  </w:t>
      </w:r>
      <w:r>
        <w:rPr>
          <w:sz w:val="13"/>
        </w:rPr>
        <w:t>The  body  of law regulating the ascertainment of facts in litigation. Evidence law operated to apply rules of proof as a constraint upon the adduction of           facts in civil and criminal trials: Peter Butt </w:t>
      </w:r>
      <w:r>
        <w:rPr>
          <w:spacing w:val="2"/>
          <w:sz w:val="13"/>
        </w:rPr>
        <w:t>(ed), </w:t>
      </w:r>
      <w:r>
        <w:rPr>
          <w:i/>
          <w:sz w:val="13"/>
        </w:rPr>
        <w:t>Butterworths’ Concise Australian Legal Dictionary </w:t>
      </w:r>
      <w:r>
        <w:rPr>
          <w:spacing w:val="2"/>
          <w:sz w:val="13"/>
        </w:rPr>
        <w:t>(LexisNexis/Butterworths, </w:t>
      </w:r>
      <w:r>
        <w:rPr>
          <w:sz w:val="13"/>
        </w:rPr>
        <w:t>3rd ed, </w:t>
      </w:r>
      <w:r>
        <w:rPr>
          <w:spacing w:val="2"/>
          <w:sz w:val="13"/>
        </w:rPr>
        <w:t>2004) </w:t>
      </w:r>
      <w:r>
        <w:rPr>
          <w:sz w:val="13"/>
        </w:rPr>
        <w:t>‘evidence’.</w:t>
      </w:r>
    </w:p>
    <w:p>
      <w:pPr>
        <w:pStyle w:val="ListParagraph"/>
        <w:numPr>
          <w:ilvl w:val="0"/>
          <w:numId w:val="109"/>
        </w:numPr>
        <w:tabs>
          <w:tab w:pos="2380" w:val="left" w:leader="none"/>
          <w:tab w:pos="2382" w:val="left" w:leader="none"/>
        </w:tabs>
        <w:spacing w:line="240" w:lineRule="auto" w:before="5" w:after="0"/>
        <w:ind w:left="2381" w:right="407" w:hanging="794"/>
        <w:jc w:val="left"/>
        <w:rPr>
          <w:sz w:val="13"/>
        </w:rPr>
      </w:pPr>
      <w:r>
        <w:rPr>
          <w:spacing w:val="-5"/>
          <w:sz w:val="13"/>
        </w:rPr>
        <w:t>‘…  </w:t>
      </w:r>
      <w:r>
        <w:rPr>
          <w:sz w:val="13"/>
        </w:rPr>
        <w:t>except to the extent that it adopts those rules, practices or procedures’: </w:t>
      </w:r>
      <w:r>
        <w:rPr>
          <w:i/>
          <w:sz w:val="13"/>
        </w:rPr>
        <w:t>Victorian Civil and Administrative Tribunal Act 1998 </w:t>
      </w:r>
      <w:r>
        <w:rPr>
          <w:spacing w:val="2"/>
          <w:sz w:val="13"/>
        </w:rPr>
        <w:t>(Vic)               </w:t>
      </w:r>
      <w:r>
        <w:rPr>
          <w:sz w:val="13"/>
        </w:rPr>
        <w:t>s</w:t>
      </w:r>
      <w:r>
        <w:rPr>
          <w:spacing w:val="6"/>
          <w:sz w:val="13"/>
        </w:rPr>
        <w:t> </w:t>
      </w:r>
      <w:r>
        <w:rPr>
          <w:spacing w:val="3"/>
          <w:sz w:val="13"/>
        </w:rPr>
        <w:t>98(1)(b).</w:t>
      </w:r>
    </w:p>
    <w:p>
      <w:pPr>
        <w:pStyle w:val="ListParagraph"/>
        <w:numPr>
          <w:ilvl w:val="0"/>
          <w:numId w:val="109"/>
        </w:numPr>
        <w:tabs>
          <w:tab w:pos="2381" w:val="left" w:leader="none"/>
          <w:tab w:pos="2382" w:val="left" w:leader="none"/>
        </w:tabs>
        <w:spacing w:line="240" w:lineRule="auto" w:before="3" w:after="0"/>
        <w:ind w:left="2381" w:right="0" w:hanging="794"/>
        <w:jc w:val="left"/>
        <w:rPr>
          <w:sz w:val="13"/>
        </w:rPr>
      </w:pPr>
      <w:r>
        <w:rPr>
          <w:i/>
          <w:sz w:val="13"/>
        </w:rPr>
        <w:t>Victorian</w:t>
      </w:r>
      <w:r>
        <w:rPr>
          <w:i/>
          <w:spacing w:val="7"/>
          <w:sz w:val="13"/>
        </w:rPr>
        <w:t> </w:t>
      </w:r>
      <w:r>
        <w:rPr>
          <w:i/>
          <w:sz w:val="13"/>
        </w:rPr>
        <w:t>Civil</w:t>
      </w:r>
      <w:r>
        <w:rPr>
          <w:i/>
          <w:spacing w:val="7"/>
          <w:sz w:val="13"/>
        </w:rPr>
        <w:t> </w:t>
      </w:r>
      <w:r>
        <w:rPr>
          <w:i/>
          <w:sz w:val="13"/>
        </w:rPr>
        <w:t>and</w:t>
      </w:r>
      <w:r>
        <w:rPr>
          <w:i/>
          <w:spacing w:val="7"/>
          <w:sz w:val="13"/>
        </w:rPr>
        <w:t> </w:t>
      </w:r>
      <w:r>
        <w:rPr>
          <w:i/>
          <w:sz w:val="13"/>
        </w:rPr>
        <w:t>Administrative</w:t>
      </w:r>
      <w:r>
        <w:rPr>
          <w:i/>
          <w:spacing w:val="8"/>
          <w:sz w:val="13"/>
        </w:rPr>
        <w:t> </w:t>
      </w:r>
      <w:r>
        <w:rPr>
          <w:i/>
          <w:sz w:val="13"/>
        </w:rPr>
        <w:t>Tribunal</w:t>
      </w:r>
      <w:r>
        <w:rPr>
          <w:i/>
          <w:spacing w:val="7"/>
          <w:sz w:val="13"/>
        </w:rPr>
        <w:t> </w:t>
      </w:r>
      <w:r>
        <w:rPr>
          <w:i/>
          <w:sz w:val="13"/>
        </w:rPr>
        <w:t>Act</w:t>
      </w:r>
      <w:r>
        <w:rPr>
          <w:i/>
          <w:spacing w:val="7"/>
          <w:sz w:val="13"/>
        </w:rPr>
        <w:t> </w:t>
      </w:r>
      <w:r>
        <w:rPr>
          <w:i/>
          <w:sz w:val="13"/>
        </w:rPr>
        <w:t>1998</w:t>
      </w:r>
      <w:r>
        <w:rPr>
          <w:i/>
          <w:spacing w:val="8"/>
          <w:sz w:val="13"/>
        </w:rPr>
        <w:t> </w:t>
      </w:r>
      <w:r>
        <w:rPr>
          <w:spacing w:val="2"/>
          <w:sz w:val="13"/>
        </w:rPr>
        <w:t>(Vic)</w:t>
      </w:r>
      <w:r>
        <w:rPr>
          <w:spacing w:val="7"/>
          <w:sz w:val="13"/>
        </w:rPr>
        <w:t> </w:t>
      </w:r>
      <w:r>
        <w:rPr>
          <w:sz w:val="13"/>
        </w:rPr>
        <w:t>s</w:t>
      </w:r>
      <w:r>
        <w:rPr>
          <w:spacing w:val="7"/>
          <w:sz w:val="13"/>
        </w:rPr>
        <w:t> </w:t>
      </w:r>
      <w:r>
        <w:rPr>
          <w:spacing w:val="3"/>
          <w:sz w:val="13"/>
        </w:rPr>
        <w:t>98(1)(d).</w:t>
      </w:r>
    </w:p>
    <w:p>
      <w:pPr>
        <w:pStyle w:val="ListParagraph"/>
        <w:numPr>
          <w:ilvl w:val="0"/>
          <w:numId w:val="109"/>
        </w:numPr>
        <w:tabs>
          <w:tab w:pos="2381" w:val="left" w:leader="none"/>
          <w:tab w:pos="2382" w:val="left" w:leader="none"/>
        </w:tabs>
        <w:spacing w:line="240" w:lineRule="auto" w:before="1" w:after="0"/>
        <w:ind w:left="2381" w:right="413" w:hanging="794"/>
        <w:jc w:val="both"/>
        <w:rPr>
          <w:sz w:val="13"/>
        </w:rPr>
      </w:pPr>
      <w:r>
        <w:rPr>
          <w:w w:val="105"/>
          <w:sz w:val="13"/>
        </w:rPr>
        <w:t>Ibid </w:t>
      </w:r>
      <w:r>
        <w:rPr>
          <w:spacing w:val="2"/>
          <w:w w:val="105"/>
          <w:sz w:val="13"/>
        </w:rPr>
        <w:t>(Vic) </w:t>
      </w:r>
      <w:r>
        <w:rPr>
          <w:w w:val="105"/>
          <w:sz w:val="13"/>
        </w:rPr>
        <w:t>s 62; see also Victorian Civil and Administrative Tribunal, </w:t>
      </w:r>
      <w:r>
        <w:rPr>
          <w:i/>
          <w:w w:val="105"/>
          <w:sz w:val="13"/>
        </w:rPr>
        <w:t>Annual </w:t>
      </w:r>
      <w:r>
        <w:rPr>
          <w:i/>
          <w:spacing w:val="2"/>
          <w:w w:val="105"/>
          <w:sz w:val="13"/>
        </w:rPr>
        <w:t>Report </w:t>
      </w:r>
      <w:r>
        <w:rPr>
          <w:i/>
          <w:spacing w:val="-4"/>
          <w:w w:val="105"/>
          <w:sz w:val="13"/>
        </w:rPr>
        <w:t>2017–18 </w:t>
      </w:r>
      <w:r>
        <w:rPr>
          <w:spacing w:val="2"/>
          <w:w w:val="105"/>
          <w:sz w:val="13"/>
        </w:rPr>
        <w:t>(Report, </w:t>
      </w:r>
      <w:r>
        <w:rPr>
          <w:w w:val="105"/>
          <w:sz w:val="13"/>
        </w:rPr>
        <w:t>2018) 10; Department of Justice and Regulation </w:t>
      </w:r>
      <w:r>
        <w:rPr>
          <w:spacing w:val="2"/>
          <w:w w:val="105"/>
          <w:sz w:val="13"/>
        </w:rPr>
        <w:t>(Vic), </w:t>
      </w:r>
      <w:r>
        <w:rPr>
          <w:i/>
          <w:w w:val="105"/>
          <w:sz w:val="13"/>
        </w:rPr>
        <w:t>Access to Justice Review Background Paper—Self-Represented Litigants </w:t>
      </w:r>
      <w:r>
        <w:rPr>
          <w:spacing w:val="2"/>
          <w:w w:val="105"/>
          <w:sz w:val="13"/>
        </w:rPr>
        <w:t>(Report) </w:t>
      </w:r>
      <w:r>
        <w:rPr>
          <w:w w:val="105"/>
          <w:sz w:val="13"/>
        </w:rPr>
        <w:t>4 &lt;https://engage.vic.gov.au/ accesstojustice&gt;.</w:t>
      </w:r>
    </w:p>
    <w:p>
      <w:pPr>
        <w:pStyle w:val="ListParagraph"/>
        <w:numPr>
          <w:ilvl w:val="0"/>
          <w:numId w:val="109"/>
        </w:numPr>
        <w:tabs>
          <w:tab w:pos="2381" w:val="left" w:leader="none"/>
          <w:tab w:pos="2382" w:val="left" w:leader="none"/>
        </w:tabs>
        <w:spacing w:line="240" w:lineRule="auto" w:before="4" w:after="0"/>
        <w:ind w:left="2381" w:right="0" w:hanging="794"/>
        <w:jc w:val="left"/>
        <w:rPr>
          <w:sz w:val="13"/>
        </w:rPr>
      </w:pPr>
      <w:r>
        <w:rPr>
          <w:w w:val="105"/>
          <w:sz w:val="13"/>
        </w:rPr>
        <w:t>Victorian</w:t>
      </w:r>
      <w:r>
        <w:rPr>
          <w:spacing w:val="7"/>
          <w:w w:val="105"/>
          <w:sz w:val="13"/>
        </w:rPr>
        <w:t> </w:t>
      </w:r>
      <w:r>
        <w:rPr>
          <w:w w:val="105"/>
          <w:sz w:val="13"/>
        </w:rPr>
        <w:t>Civil</w:t>
      </w:r>
      <w:r>
        <w:rPr>
          <w:spacing w:val="8"/>
          <w:w w:val="105"/>
          <w:sz w:val="13"/>
        </w:rPr>
        <w:t> </w:t>
      </w:r>
      <w:r>
        <w:rPr>
          <w:w w:val="105"/>
          <w:sz w:val="13"/>
        </w:rPr>
        <w:t>and</w:t>
      </w:r>
      <w:r>
        <w:rPr>
          <w:spacing w:val="7"/>
          <w:w w:val="105"/>
          <w:sz w:val="13"/>
        </w:rPr>
        <w:t> </w:t>
      </w:r>
      <w:r>
        <w:rPr>
          <w:w w:val="105"/>
          <w:sz w:val="13"/>
        </w:rPr>
        <w:t>Administrative</w:t>
      </w:r>
      <w:r>
        <w:rPr>
          <w:spacing w:val="8"/>
          <w:w w:val="105"/>
          <w:sz w:val="13"/>
        </w:rPr>
        <w:t> </w:t>
      </w:r>
      <w:r>
        <w:rPr>
          <w:w w:val="105"/>
          <w:sz w:val="13"/>
        </w:rPr>
        <w:t>Tribunal</w:t>
      </w:r>
      <w:r>
        <w:rPr>
          <w:spacing w:val="7"/>
          <w:w w:val="105"/>
          <w:sz w:val="13"/>
        </w:rPr>
        <w:t> </w:t>
      </w:r>
      <w:r>
        <w:rPr>
          <w:w w:val="105"/>
          <w:sz w:val="13"/>
        </w:rPr>
        <w:t>(VCAT),</w:t>
      </w:r>
      <w:r>
        <w:rPr>
          <w:spacing w:val="8"/>
          <w:w w:val="105"/>
          <w:sz w:val="13"/>
        </w:rPr>
        <w:t> </w:t>
      </w:r>
      <w:r>
        <w:rPr>
          <w:i/>
          <w:w w:val="105"/>
          <w:sz w:val="13"/>
        </w:rPr>
        <w:t>VCAT</w:t>
      </w:r>
      <w:r>
        <w:rPr>
          <w:i/>
          <w:spacing w:val="7"/>
          <w:w w:val="105"/>
          <w:sz w:val="13"/>
        </w:rPr>
        <w:t> </w:t>
      </w:r>
      <w:r>
        <w:rPr>
          <w:i/>
          <w:w w:val="105"/>
          <w:sz w:val="13"/>
        </w:rPr>
        <w:t>Practice</w:t>
      </w:r>
      <w:r>
        <w:rPr>
          <w:i/>
          <w:spacing w:val="8"/>
          <w:w w:val="105"/>
          <w:sz w:val="13"/>
        </w:rPr>
        <w:t> </w:t>
      </w:r>
      <w:r>
        <w:rPr>
          <w:i/>
          <w:w w:val="105"/>
          <w:sz w:val="13"/>
        </w:rPr>
        <w:t>Note</w:t>
      </w:r>
      <w:r>
        <w:rPr>
          <w:i/>
          <w:spacing w:val="7"/>
          <w:w w:val="105"/>
          <w:sz w:val="13"/>
        </w:rPr>
        <w:t> </w:t>
      </w:r>
      <w:r>
        <w:rPr>
          <w:i/>
          <w:w w:val="105"/>
          <w:sz w:val="13"/>
        </w:rPr>
        <w:t>PNVCAT3:</w:t>
      </w:r>
      <w:r>
        <w:rPr>
          <w:i/>
          <w:spacing w:val="8"/>
          <w:w w:val="105"/>
          <w:sz w:val="13"/>
        </w:rPr>
        <w:t> </w:t>
      </w:r>
      <w:r>
        <w:rPr>
          <w:i/>
          <w:w w:val="105"/>
          <w:sz w:val="13"/>
        </w:rPr>
        <w:t>Fair</w:t>
      </w:r>
      <w:r>
        <w:rPr>
          <w:i/>
          <w:spacing w:val="7"/>
          <w:w w:val="105"/>
          <w:sz w:val="13"/>
        </w:rPr>
        <w:t> </w:t>
      </w:r>
      <w:r>
        <w:rPr>
          <w:i/>
          <w:w w:val="105"/>
          <w:sz w:val="13"/>
        </w:rPr>
        <w:t>Hearing</w:t>
      </w:r>
      <w:r>
        <w:rPr>
          <w:i/>
          <w:spacing w:val="8"/>
          <w:w w:val="105"/>
          <w:sz w:val="13"/>
        </w:rPr>
        <w:t> </w:t>
      </w:r>
      <w:r>
        <w:rPr>
          <w:i/>
          <w:w w:val="105"/>
          <w:sz w:val="13"/>
        </w:rPr>
        <w:t>Obligation,</w:t>
      </w:r>
      <w:r>
        <w:rPr>
          <w:i/>
          <w:spacing w:val="7"/>
          <w:w w:val="105"/>
          <w:sz w:val="13"/>
        </w:rPr>
        <w:t> </w:t>
      </w:r>
      <w:r>
        <w:rPr>
          <w:w w:val="105"/>
          <w:sz w:val="13"/>
        </w:rPr>
        <w:t>1</w:t>
      </w:r>
      <w:r>
        <w:rPr>
          <w:spacing w:val="8"/>
          <w:w w:val="105"/>
          <w:sz w:val="13"/>
        </w:rPr>
        <w:t> </w:t>
      </w:r>
      <w:r>
        <w:rPr>
          <w:w w:val="105"/>
          <w:sz w:val="13"/>
        </w:rPr>
        <w:t>January</w:t>
      </w:r>
      <w:r>
        <w:rPr>
          <w:spacing w:val="7"/>
          <w:w w:val="105"/>
          <w:sz w:val="13"/>
        </w:rPr>
        <w:t> </w:t>
      </w:r>
      <w:r>
        <w:rPr>
          <w:spacing w:val="-3"/>
          <w:w w:val="105"/>
          <w:sz w:val="13"/>
        </w:rPr>
        <w:t>2013,</w:t>
      </w:r>
      <w:r>
        <w:rPr>
          <w:spacing w:val="8"/>
          <w:w w:val="105"/>
          <w:sz w:val="13"/>
        </w:rPr>
        <w:t> </w:t>
      </w:r>
      <w:r>
        <w:rPr>
          <w:spacing w:val="2"/>
          <w:w w:val="105"/>
          <w:sz w:val="13"/>
        </w:rPr>
        <w:t>[13]–[14].</w:t>
      </w:r>
    </w:p>
    <w:p>
      <w:pPr>
        <w:pStyle w:val="ListParagraph"/>
        <w:numPr>
          <w:ilvl w:val="0"/>
          <w:numId w:val="109"/>
        </w:numPr>
        <w:tabs>
          <w:tab w:pos="2381" w:val="left" w:leader="none"/>
          <w:tab w:pos="2382" w:val="left" w:leader="none"/>
        </w:tabs>
        <w:spacing w:line="240" w:lineRule="auto" w:before="2" w:after="0"/>
        <w:ind w:left="2381" w:right="0" w:hanging="794"/>
        <w:jc w:val="left"/>
        <w:rPr>
          <w:sz w:val="13"/>
        </w:rPr>
      </w:pPr>
      <w:r>
        <w:rPr>
          <w:w w:val="105"/>
          <w:sz w:val="13"/>
        </w:rPr>
        <w:t>Victorian</w:t>
      </w:r>
      <w:r>
        <w:rPr>
          <w:spacing w:val="5"/>
          <w:w w:val="105"/>
          <w:sz w:val="13"/>
        </w:rPr>
        <w:t> </w:t>
      </w:r>
      <w:r>
        <w:rPr>
          <w:w w:val="105"/>
          <w:sz w:val="13"/>
        </w:rPr>
        <w:t>Civil</w:t>
      </w:r>
      <w:r>
        <w:rPr>
          <w:spacing w:val="6"/>
          <w:w w:val="105"/>
          <w:sz w:val="13"/>
        </w:rPr>
        <w:t> </w:t>
      </w:r>
      <w:r>
        <w:rPr>
          <w:w w:val="105"/>
          <w:sz w:val="13"/>
        </w:rPr>
        <w:t>and</w:t>
      </w:r>
      <w:r>
        <w:rPr>
          <w:spacing w:val="5"/>
          <w:w w:val="105"/>
          <w:sz w:val="13"/>
        </w:rPr>
        <w:t> </w:t>
      </w:r>
      <w:r>
        <w:rPr>
          <w:w w:val="105"/>
          <w:sz w:val="13"/>
        </w:rPr>
        <w:t>Administrative</w:t>
      </w:r>
      <w:r>
        <w:rPr>
          <w:spacing w:val="6"/>
          <w:w w:val="105"/>
          <w:sz w:val="13"/>
        </w:rPr>
        <w:t> </w:t>
      </w:r>
      <w:r>
        <w:rPr>
          <w:w w:val="105"/>
          <w:sz w:val="13"/>
        </w:rPr>
        <w:t>Tribunal,</w:t>
      </w:r>
      <w:r>
        <w:rPr>
          <w:spacing w:val="5"/>
          <w:w w:val="105"/>
          <w:sz w:val="13"/>
        </w:rPr>
        <w:t> </w:t>
      </w:r>
      <w:r>
        <w:rPr>
          <w:i/>
          <w:w w:val="105"/>
          <w:sz w:val="13"/>
        </w:rPr>
        <w:t>YouTube</w:t>
      </w:r>
      <w:r>
        <w:rPr>
          <w:i/>
          <w:spacing w:val="6"/>
          <w:w w:val="105"/>
          <w:sz w:val="13"/>
        </w:rPr>
        <w:t> </w:t>
      </w:r>
      <w:r>
        <w:rPr>
          <w:w w:val="105"/>
          <w:sz w:val="13"/>
        </w:rPr>
        <w:t>(January</w:t>
      </w:r>
      <w:r>
        <w:rPr>
          <w:spacing w:val="5"/>
          <w:w w:val="105"/>
          <w:sz w:val="13"/>
        </w:rPr>
        <w:t> </w:t>
      </w:r>
      <w:r>
        <w:rPr>
          <w:w w:val="105"/>
          <w:sz w:val="13"/>
        </w:rPr>
        <w:t>2019)</w:t>
      </w:r>
      <w:r>
        <w:rPr>
          <w:spacing w:val="6"/>
          <w:w w:val="105"/>
          <w:sz w:val="13"/>
        </w:rPr>
        <w:t> </w:t>
      </w:r>
      <w:r>
        <w:rPr>
          <w:spacing w:val="2"/>
          <w:w w:val="105"/>
          <w:sz w:val="13"/>
        </w:rPr>
        <w:t>&lt;</w:t>
      </w:r>
      <w:hyperlink r:id="rId173">
        <w:r>
          <w:rPr>
            <w:spacing w:val="2"/>
            <w:w w:val="105"/>
            <w:sz w:val="13"/>
          </w:rPr>
          <w:t>https://www.youtube.com/channel/UCc73nMfBWIiAc0w_Gb4vAEw</w:t>
        </w:r>
      </w:hyperlink>
      <w:r>
        <w:rPr>
          <w:spacing w:val="2"/>
          <w:w w:val="105"/>
          <w:sz w:val="13"/>
        </w:rPr>
        <w:t>&gt;</w:t>
      </w:r>
    </w:p>
    <w:p>
      <w:pPr>
        <w:pStyle w:val="ListParagraph"/>
        <w:numPr>
          <w:ilvl w:val="0"/>
          <w:numId w:val="109"/>
        </w:numPr>
        <w:tabs>
          <w:tab w:pos="2381" w:val="left" w:leader="none"/>
          <w:tab w:pos="2382" w:val="left" w:leader="none"/>
        </w:tabs>
        <w:spacing w:line="240" w:lineRule="auto" w:before="1" w:after="0"/>
        <w:ind w:left="2381" w:right="0" w:hanging="794"/>
        <w:jc w:val="left"/>
        <w:rPr>
          <w:sz w:val="13"/>
        </w:rPr>
      </w:pPr>
      <w:r>
        <w:rPr>
          <w:w w:val="105"/>
          <w:sz w:val="13"/>
        </w:rPr>
        <w:t>Department</w:t>
      </w:r>
      <w:r>
        <w:rPr>
          <w:spacing w:val="7"/>
          <w:w w:val="105"/>
          <w:sz w:val="13"/>
        </w:rPr>
        <w:t> </w:t>
      </w:r>
      <w:r>
        <w:rPr>
          <w:w w:val="105"/>
          <w:sz w:val="13"/>
        </w:rPr>
        <w:t>of</w:t>
      </w:r>
      <w:r>
        <w:rPr>
          <w:spacing w:val="8"/>
          <w:w w:val="105"/>
          <w:sz w:val="13"/>
        </w:rPr>
        <w:t> </w:t>
      </w:r>
      <w:r>
        <w:rPr>
          <w:w w:val="105"/>
          <w:sz w:val="13"/>
        </w:rPr>
        <w:t>Justice</w:t>
      </w:r>
      <w:r>
        <w:rPr>
          <w:spacing w:val="8"/>
          <w:w w:val="105"/>
          <w:sz w:val="13"/>
        </w:rPr>
        <w:t> </w:t>
      </w:r>
      <w:r>
        <w:rPr>
          <w:w w:val="105"/>
          <w:sz w:val="13"/>
        </w:rPr>
        <w:t>and</w:t>
      </w:r>
      <w:r>
        <w:rPr>
          <w:spacing w:val="8"/>
          <w:w w:val="105"/>
          <w:sz w:val="13"/>
        </w:rPr>
        <w:t> </w:t>
      </w:r>
      <w:r>
        <w:rPr>
          <w:w w:val="105"/>
          <w:sz w:val="13"/>
        </w:rPr>
        <w:t>Regulation</w:t>
      </w:r>
      <w:r>
        <w:rPr>
          <w:spacing w:val="8"/>
          <w:w w:val="105"/>
          <w:sz w:val="13"/>
        </w:rPr>
        <w:t> </w:t>
      </w:r>
      <w:r>
        <w:rPr>
          <w:spacing w:val="2"/>
          <w:w w:val="105"/>
          <w:sz w:val="13"/>
        </w:rPr>
        <w:t>(Vic),</w:t>
      </w:r>
      <w:r>
        <w:rPr>
          <w:spacing w:val="8"/>
          <w:w w:val="105"/>
          <w:sz w:val="13"/>
        </w:rPr>
        <w:t> </w:t>
      </w:r>
      <w:r>
        <w:rPr>
          <w:i/>
          <w:w w:val="105"/>
          <w:sz w:val="13"/>
        </w:rPr>
        <w:t>Access</w:t>
      </w:r>
      <w:r>
        <w:rPr>
          <w:i/>
          <w:spacing w:val="8"/>
          <w:w w:val="105"/>
          <w:sz w:val="13"/>
        </w:rPr>
        <w:t> </w:t>
      </w:r>
      <w:r>
        <w:rPr>
          <w:i/>
          <w:w w:val="105"/>
          <w:sz w:val="13"/>
        </w:rPr>
        <w:t>to</w:t>
      </w:r>
      <w:r>
        <w:rPr>
          <w:i/>
          <w:spacing w:val="8"/>
          <w:w w:val="105"/>
          <w:sz w:val="13"/>
        </w:rPr>
        <w:t> </w:t>
      </w:r>
      <w:r>
        <w:rPr>
          <w:i/>
          <w:w w:val="105"/>
          <w:sz w:val="13"/>
        </w:rPr>
        <w:t>Justice</w:t>
      </w:r>
      <w:r>
        <w:rPr>
          <w:i/>
          <w:spacing w:val="8"/>
          <w:w w:val="105"/>
          <w:sz w:val="13"/>
        </w:rPr>
        <w:t> </w:t>
      </w:r>
      <w:r>
        <w:rPr>
          <w:i/>
          <w:w w:val="105"/>
          <w:sz w:val="13"/>
        </w:rPr>
        <w:t>Review</w:t>
      </w:r>
      <w:r>
        <w:rPr>
          <w:i/>
          <w:spacing w:val="8"/>
          <w:w w:val="105"/>
          <w:sz w:val="13"/>
        </w:rPr>
        <w:t> </w:t>
      </w:r>
      <w:r>
        <w:rPr>
          <w:i/>
          <w:w w:val="105"/>
          <w:sz w:val="13"/>
        </w:rPr>
        <w:t>Background</w:t>
      </w:r>
      <w:r>
        <w:rPr>
          <w:i/>
          <w:spacing w:val="7"/>
          <w:w w:val="105"/>
          <w:sz w:val="13"/>
        </w:rPr>
        <w:t> </w:t>
      </w:r>
      <w:r>
        <w:rPr>
          <w:i/>
          <w:w w:val="105"/>
          <w:sz w:val="13"/>
        </w:rPr>
        <w:t>Paper—Self-Represented</w:t>
      </w:r>
      <w:r>
        <w:rPr>
          <w:i/>
          <w:spacing w:val="8"/>
          <w:w w:val="105"/>
          <w:sz w:val="13"/>
        </w:rPr>
        <w:t> </w:t>
      </w:r>
      <w:r>
        <w:rPr>
          <w:i/>
          <w:w w:val="105"/>
          <w:sz w:val="13"/>
        </w:rPr>
        <w:t>Litigants</w:t>
      </w:r>
      <w:r>
        <w:rPr>
          <w:i/>
          <w:spacing w:val="8"/>
          <w:w w:val="105"/>
          <w:sz w:val="13"/>
        </w:rPr>
        <w:t> </w:t>
      </w:r>
      <w:r>
        <w:rPr>
          <w:spacing w:val="2"/>
          <w:w w:val="105"/>
          <w:sz w:val="13"/>
        </w:rPr>
        <w:t>(Report)</w:t>
      </w:r>
      <w:r>
        <w:rPr>
          <w:spacing w:val="8"/>
          <w:w w:val="105"/>
          <w:sz w:val="13"/>
        </w:rPr>
        <w:t> </w:t>
      </w:r>
      <w:r>
        <w:rPr>
          <w:w w:val="105"/>
          <w:sz w:val="13"/>
        </w:rPr>
        <w:t>5</w:t>
      </w:r>
    </w:p>
    <w:p>
      <w:pPr>
        <w:spacing w:before="1"/>
        <w:ind w:left="2381" w:right="0" w:firstLine="0"/>
        <w:jc w:val="left"/>
        <w:rPr>
          <w:sz w:val="13"/>
        </w:rPr>
      </w:pPr>
      <w:r>
        <w:rPr>
          <w:w w:val="105"/>
          <w:sz w:val="13"/>
        </w:rPr>
        <w:t>&lt;https://engage.vic.gov.au/accesstojustice&gt;.</w:t>
      </w:r>
    </w:p>
    <w:p>
      <w:pPr>
        <w:pStyle w:val="ListParagraph"/>
        <w:numPr>
          <w:ilvl w:val="0"/>
          <w:numId w:val="109"/>
        </w:numPr>
        <w:tabs>
          <w:tab w:pos="2381" w:val="left" w:leader="none"/>
          <w:tab w:pos="2382" w:val="left" w:leader="none"/>
        </w:tabs>
        <w:spacing w:line="240" w:lineRule="auto" w:before="2" w:after="0"/>
        <w:ind w:left="2381" w:right="0" w:hanging="794"/>
        <w:jc w:val="left"/>
        <w:rPr>
          <w:sz w:val="13"/>
        </w:rPr>
      </w:pPr>
      <w:r>
        <w:rPr>
          <w:w w:val="105"/>
          <w:sz w:val="13"/>
        </w:rPr>
        <w:t>Victorian</w:t>
      </w:r>
      <w:r>
        <w:rPr>
          <w:spacing w:val="6"/>
          <w:w w:val="105"/>
          <w:sz w:val="13"/>
        </w:rPr>
        <w:t> </w:t>
      </w:r>
      <w:r>
        <w:rPr>
          <w:w w:val="105"/>
          <w:sz w:val="13"/>
        </w:rPr>
        <w:t>Civil</w:t>
      </w:r>
      <w:r>
        <w:rPr>
          <w:spacing w:val="6"/>
          <w:w w:val="105"/>
          <w:sz w:val="13"/>
        </w:rPr>
        <w:t> </w:t>
      </w:r>
      <w:r>
        <w:rPr>
          <w:w w:val="105"/>
          <w:sz w:val="13"/>
        </w:rPr>
        <w:t>and</w:t>
      </w:r>
      <w:r>
        <w:rPr>
          <w:spacing w:val="7"/>
          <w:w w:val="105"/>
          <w:sz w:val="13"/>
        </w:rPr>
        <w:t> </w:t>
      </w:r>
      <w:r>
        <w:rPr>
          <w:w w:val="105"/>
          <w:sz w:val="13"/>
        </w:rPr>
        <w:t>Administrative</w:t>
      </w:r>
      <w:r>
        <w:rPr>
          <w:spacing w:val="6"/>
          <w:w w:val="105"/>
          <w:sz w:val="13"/>
        </w:rPr>
        <w:t> </w:t>
      </w:r>
      <w:r>
        <w:rPr>
          <w:w w:val="105"/>
          <w:sz w:val="13"/>
        </w:rPr>
        <w:t>Tribunal,</w:t>
      </w:r>
      <w:r>
        <w:rPr>
          <w:spacing w:val="7"/>
          <w:w w:val="105"/>
          <w:sz w:val="13"/>
        </w:rPr>
        <w:t> </w:t>
      </w:r>
      <w:r>
        <w:rPr>
          <w:i/>
          <w:w w:val="105"/>
          <w:sz w:val="13"/>
        </w:rPr>
        <w:t>Other</w:t>
      </w:r>
      <w:r>
        <w:rPr>
          <w:i/>
          <w:spacing w:val="6"/>
          <w:w w:val="105"/>
          <w:sz w:val="13"/>
        </w:rPr>
        <w:t> </w:t>
      </w:r>
      <w:r>
        <w:rPr>
          <w:i/>
          <w:w w:val="105"/>
          <w:sz w:val="13"/>
        </w:rPr>
        <w:t>Languages</w:t>
      </w:r>
      <w:r>
        <w:rPr>
          <w:i/>
          <w:spacing w:val="6"/>
          <w:w w:val="105"/>
          <w:sz w:val="13"/>
        </w:rPr>
        <w:t> </w:t>
      </w:r>
      <w:r>
        <w:rPr>
          <w:w w:val="105"/>
          <w:sz w:val="13"/>
        </w:rPr>
        <w:t>(Web</w:t>
      </w:r>
      <w:r>
        <w:rPr>
          <w:spacing w:val="7"/>
          <w:w w:val="105"/>
          <w:sz w:val="13"/>
        </w:rPr>
        <w:t> </w:t>
      </w:r>
      <w:r>
        <w:rPr>
          <w:w w:val="105"/>
          <w:sz w:val="13"/>
        </w:rPr>
        <w:t>Page)</w:t>
      </w:r>
      <w:r>
        <w:rPr>
          <w:spacing w:val="6"/>
          <w:w w:val="105"/>
          <w:sz w:val="13"/>
        </w:rPr>
        <w:t> </w:t>
      </w:r>
      <w:r>
        <w:rPr>
          <w:w w:val="105"/>
          <w:sz w:val="13"/>
        </w:rPr>
        <w:t>&lt;https://</w:t>
      </w:r>
      <w:hyperlink r:id="rId174">
        <w:r>
          <w:rPr>
            <w:w w:val="105"/>
            <w:sz w:val="13"/>
          </w:rPr>
          <w:t>www.vcat.vic.gov.au/other-languages</w:t>
        </w:r>
      </w:hyperlink>
      <w:r>
        <w:rPr>
          <w:w w:val="105"/>
          <w:sz w:val="13"/>
        </w:rPr>
        <w:t>&gt;.</w:t>
      </w:r>
    </w:p>
    <w:p>
      <w:pPr>
        <w:pStyle w:val="ListParagraph"/>
        <w:numPr>
          <w:ilvl w:val="0"/>
          <w:numId w:val="109"/>
        </w:numPr>
        <w:tabs>
          <w:tab w:pos="2381" w:val="left" w:leader="none"/>
          <w:tab w:pos="2382" w:val="left" w:leader="none"/>
        </w:tabs>
        <w:spacing w:line="240" w:lineRule="auto" w:before="1" w:after="0"/>
        <w:ind w:left="2381" w:right="0" w:hanging="794"/>
        <w:jc w:val="left"/>
        <w:rPr>
          <w:sz w:val="13"/>
        </w:rPr>
      </w:pPr>
      <w:r>
        <w:rPr>
          <w:sz w:val="13"/>
        </w:rPr>
        <w:t>Victorian</w:t>
      </w:r>
      <w:r>
        <w:rPr>
          <w:spacing w:val="11"/>
          <w:sz w:val="13"/>
        </w:rPr>
        <w:t> </w:t>
      </w:r>
      <w:r>
        <w:rPr>
          <w:sz w:val="13"/>
        </w:rPr>
        <w:t>Civil</w:t>
      </w:r>
      <w:r>
        <w:rPr>
          <w:spacing w:val="12"/>
          <w:sz w:val="13"/>
        </w:rPr>
        <w:t> </w:t>
      </w:r>
      <w:r>
        <w:rPr>
          <w:sz w:val="13"/>
        </w:rPr>
        <w:t>and</w:t>
      </w:r>
      <w:r>
        <w:rPr>
          <w:spacing w:val="12"/>
          <w:sz w:val="13"/>
        </w:rPr>
        <w:t> </w:t>
      </w:r>
      <w:r>
        <w:rPr>
          <w:sz w:val="13"/>
        </w:rPr>
        <w:t>Administrative</w:t>
      </w:r>
      <w:r>
        <w:rPr>
          <w:spacing w:val="12"/>
          <w:sz w:val="13"/>
        </w:rPr>
        <w:t> </w:t>
      </w:r>
      <w:r>
        <w:rPr>
          <w:sz w:val="13"/>
        </w:rPr>
        <w:t>Tribunal,</w:t>
      </w:r>
      <w:r>
        <w:rPr>
          <w:spacing w:val="12"/>
          <w:sz w:val="13"/>
        </w:rPr>
        <w:t> </w:t>
      </w:r>
      <w:r>
        <w:rPr>
          <w:i/>
          <w:sz w:val="13"/>
        </w:rPr>
        <w:t>Practice</w:t>
      </w:r>
      <w:r>
        <w:rPr>
          <w:i/>
          <w:spacing w:val="12"/>
          <w:sz w:val="13"/>
        </w:rPr>
        <w:t> </w:t>
      </w:r>
      <w:r>
        <w:rPr>
          <w:i/>
          <w:spacing w:val="2"/>
          <w:sz w:val="13"/>
        </w:rPr>
        <w:t>Note—</w:t>
      </w:r>
      <w:r>
        <w:rPr>
          <w:i/>
          <w:spacing w:val="12"/>
          <w:sz w:val="13"/>
        </w:rPr>
        <w:t> </w:t>
      </w:r>
      <w:r>
        <w:rPr>
          <w:i/>
          <w:sz w:val="13"/>
        </w:rPr>
        <w:t>PNVCAT3</w:t>
      </w:r>
      <w:r>
        <w:rPr>
          <w:i/>
          <w:spacing w:val="11"/>
          <w:sz w:val="13"/>
        </w:rPr>
        <w:t> </w:t>
      </w:r>
      <w:r>
        <w:rPr>
          <w:i/>
          <w:sz w:val="13"/>
        </w:rPr>
        <w:t>Fair</w:t>
      </w:r>
      <w:r>
        <w:rPr>
          <w:i/>
          <w:spacing w:val="12"/>
          <w:sz w:val="13"/>
        </w:rPr>
        <w:t> </w:t>
      </w:r>
      <w:r>
        <w:rPr>
          <w:i/>
          <w:sz w:val="13"/>
        </w:rPr>
        <w:t>Hearing</w:t>
      </w:r>
      <w:r>
        <w:rPr>
          <w:i/>
          <w:spacing w:val="12"/>
          <w:sz w:val="13"/>
        </w:rPr>
        <w:t> </w:t>
      </w:r>
      <w:r>
        <w:rPr>
          <w:i/>
          <w:sz w:val="13"/>
        </w:rPr>
        <w:t>Obligation</w:t>
      </w:r>
      <w:r>
        <w:rPr>
          <w:sz w:val="13"/>
        </w:rPr>
        <w:t>,</w:t>
      </w:r>
      <w:r>
        <w:rPr>
          <w:spacing w:val="12"/>
          <w:sz w:val="13"/>
        </w:rPr>
        <w:t> </w:t>
      </w:r>
      <w:r>
        <w:rPr>
          <w:sz w:val="13"/>
        </w:rPr>
        <w:t>1</w:t>
      </w:r>
      <w:r>
        <w:rPr>
          <w:spacing w:val="12"/>
          <w:sz w:val="13"/>
        </w:rPr>
        <w:t> </w:t>
      </w:r>
      <w:r>
        <w:rPr>
          <w:sz w:val="13"/>
        </w:rPr>
        <w:t>January</w:t>
      </w:r>
      <w:r>
        <w:rPr>
          <w:spacing w:val="12"/>
          <w:sz w:val="13"/>
        </w:rPr>
        <w:t> </w:t>
      </w:r>
      <w:r>
        <w:rPr>
          <w:spacing w:val="-3"/>
          <w:sz w:val="13"/>
        </w:rPr>
        <w:t>2013</w:t>
      </w:r>
      <w:r>
        <w:rPr>
          <w:spacing w:val="12"/>
          <w:sz w:val="13"/>
        </w:rPr>
        <w:t> </w:t>
      </w:r>
      <w:r>
        <w:rPr>
          <w:sz w:val="13"/>
        </w:rPr>
        <w:t>[10].</w:t>
      </w:r>
    </w:p>
    <w:p>
      <w:pPr>
        <w:pStyle w:val="ListParagraph"/>
        <w:numPr>
          <w:ilvl w:val="0"/>
          <w:numId w:val="109"/>
        </w:numPr>
        <w:tabs>
          <w:tab w:pos="2380" w:val="left" w:leader="none"/>
          <w:tab w:pos="2382" w:val="left" w:leader="none"/>
        </w:tabs>
        <w:spacing w:line="240" w:lineRule="auto" w:before="1" w:after="0"/>
        <w:ind w:left="2381" w:right="0" w:hanging="794"/>
        <w:jc w:val="left"/>
        <w:rPr>
          <w:sz w:val="13"/>
        </w:rPr>
      </w:pPr>
      <w:r>
        <w:rPr>
          <w:w w:val="105"/>
          <w:sz w:val="13"/>
        </w:rPr>
        <w:t>Victorian Civil and Administrative Tribunal, </w:t>
      </w:r>
      <w:r>
        <w:rPr>
          <w:i/>
          <w:w w:val="105"/>
          <w:sz w:val="13"/>
        </w:rPr>
        <w:t>Annual </w:t>
      </w:r>
      <w:r>
        <w:rPr>
          <w:i/>
          <w:spacing w:val="2"/>
          <w:w w:val="105"/>
          <w:sz w:val="13"/>
        </w:rPr>
        <w:t>Report </w:t>
      </w:r>
      <w:r>
        <w:rPr>
          <w:i/>
          <w:spacing w:val="-4"/>
          <w:w w:val="105"/>
          <w:sz w:val="13"/>
        </w:rPr>
        <w:t>2017–18 </w:t>
      </w:r>
      <w:r>
        <w:rPr>
          <w:spacing w:val="2"/>
          <w:w w:val="105"/>
          <w:sz w:val="13"/>
        </w:rPr>
        <w:t>(Report, </w:t>
      </w:r>
      <w:r>
        <w:rPr>
          <w:w w:val="105"/>
          <w:sz w:val="13"/>
        </w:rPr>
        <w:t>2018)</w:t>
      </w:r>
      <w:r>
        <w:rPr>
          <w:spacing w:val="22"/>
          <w:w w:val="105"/>
          <w:sz w:val="13"/>
        </w:rPr>
        <w:t> </w:t>
      </w:r>
      <w:r>
        <w:rPr>
          <w:w w:val="105"/>
          <w:sz w:val="13"/>
        </w:rPr>
        <w:t>18.</w:t>
      </w:r>
    </w:p>
    <w:p>
      <w:pPr>
        <w:pStyle w:val="ListParagraph"/>
        <w:numPr>
          <w:ilvl w:val="0"/>
          <w:numId w:val="109"/>
        </w:numPr>
        <w:tabs>
          <w:tab w:pos="2380" w:val="left" w:leader="none"/>
          <w:tab w:pos="2382" w:val="left" w:leader="none"/>
        </w:tabs>
        <w:spacing w:line="240" w:lineRule="auto" w:before="2" w:after="0"/>
        <w:ind w:left="2381" w:right="142" w:hanging="794"/>
        <w:jc w:val="left"/>
        <w:rPr>
          <w:sz w:val="13"/>
        </w:rPr>
      </w:pPr>
      <w:r>
        <w:rPr>
          <w:w w:val="105"/>
          <w:sz w:val="13"/>
        </w:rPr>
        <w:t>Victorian Civil and Administrative Tribunal, </w:t>
      </w:r>
      <w:r>
        <w:rPr>
          <w:i/>
          <w:w w:val="105"/>
          <w:sz w:val="13"/>
        </w:rPr>
        <w:t>VCAT Accessibility Action Plan 2018–2022 </w:t>
      </w:r>
      <w:r>
        <w:rPr>
          <w:spacing w:val="2"/>
          <w:w w:val="105"/>
          <w:sz w:val="13"/>
        </w:rPr>
        <w:t>(Report, </w:t>
      </w:r>
      <w:r>
        <w:rPr>
          <w:w w:val="105"/>
          <w:sz w:val="13"/>
        </w:rPr>
        <w:t>November 2017) 3; see also Victorian Civil and Administrative Tribunal, </w:t>
      </w:r>
      <w:r>
        <w:rPr>
          <w:i/>
          <w:w w:val="105"/>
          <w:sz w:val="13"/>
        </w:rPr>
        <w:t>Annual </w:t>
      </w:r>
      <w:r>
        <w:rPr>
          <w:i/>
          <w:spacing w:val="2"/>
          <w:w w:val="105"/>
          <w:sz w:val="13"/>
        </w:rPr>
        <w:t>Report </w:t>
      </w:r>
      <w:r>
        <w:rPr>
          <w:i/>
          <w:spacing w:val="-4"/>
          <w:w w:val="105"/>
          <w:sz w:val="13"/>
        </w:rPr>
        <w:t>2017–18 </w:t>
      </w:r>
      <w:r>
        <w:rPr>
          <w:spacing w:val="2"/>
          <w:w w:val="105"/>
          <w:sz w:val="13"/>
        </w:rPr>
        <w:t>(Report, </w:t>
      </w:r>
      <w:r>
        <w:rPr>
          <w:w w:val="105"/>
          <w:sz w:val="13"/>
        </w:rPr>
        <w:t>2018)</w:t>
      </w:r>
      <w:r>
        <w:rPr>
          <w:spacing w:val="11"/>
          <w:w w:val="105"/>
          <w:sz w:val="13"/>
        </w:rPr>
        <w:t> </w:t>
      </w:r>
      <w:r>
        <w:rPr>
          <w:w w:val="105"/>
          <w:sz w:val="13"/>
        </w:rPr>
        <w:t>22.</w:t>
      </w:r>
    </w:p>
    <w:p>
      <w:pPr>
        <w:pStyle w:val="ListParagraph"/>
        <w:numPr>
          <w:ilvl w:val="0"/>
          <w:numId w:val="109"/>
        </w:numPr>
        <w:tabs>
          <w:tab w:pos="2380" w:val="left" w:leader="none"/>
          <w:tab w:pos="2382" w:val="left" w:leader="none"/>
        </w:tabs>
        <w:spacing w:line="240" w:lineRule="auto" w:before="2" w:after="0"/>
        <w:ind w:left="2381" w:right="0" w:hanging="794"/>
        <w:jc w:val="left"/>
        <w:rPr>
          <w:sz w:val="13"/>
        </w:rPr>
      </w:pPr>
      <w:r>
        <w:rPr>
          <w:w w:val="105"/>
          <w:sz w:val="13"/>
        </w:rPr>
        <w:t>See</w:t>
      </w:r>
      <w:r>
        <w:rPr>
          <w:spacing w:val="5"/>
          <w:w w:val="105"/>
          <w:sz w:val="13"/>
        </w:rPr>
        <w:t> </w:t>
      </w:r>
      <w:r>
        <w:rPr>
          <w:w w:val="105"/>
          <w:sz w:val="13"/>
        </w:rPr>
        <w:t>Victorian</w:t>
      </w:r>
      <w:r>
        <w:rPr>
          <w:spacing w:val="6"/>
          <w:w w:val="105"/>
          <w:sz w:val="13"/>
        </w:rPr>
        <w:t> </w:t>
      </w:r>
      <w:r>
        <w:rPr>
          <w:w w:val="105"/>
          <w:sz w:val="13"/>
        </w:rPr>
        <w:t>Civil</w:t>
      </w:r>
      <w:r>
        <w:rPr>
          <w:spacing w:val="6"/>
          <w:w w:val="105"/>
          <w:sz w:val="13"/>
        </w:rPr>
        <w:t> </w:t>
      </w:r>
      <w:r>
        <w:rPr>
          <w:w w:val="105"/>
          <w:sz w:val="13"/>
        </w:rPr>
        <w:t>and</w:t>
      </w:r>
      <w:r>
        <w:rPr>
          <w:spacing w:val="6"/>
          <w:w w:val="105"/>
          <w:sz w:val="13"/>
        </w:rPr>
        <w:t> </w:t>
      </w:r>
      <w:r>
        <w:rPr>
          <w:w w:val="105"/>
          <w:sz w:val="13"/>
        </w:rPr>
        <w:t>Administrative</w:t>
      </w:r>
      <w:r>
        <w:rPr>
          <w:spacing w:val="6"/>
          <w:w w:val="105"/>
          <w:sz w:val="13"/>
        </w:rPr>
        <w:t> </w:t>
      </w:r>
      <w:r>
        <w:rPr>
          <w:w w:val="105"/>
          <w:sz w:val="13"/>
        </w:rPr>
        <w:t>Tribunal,</w:t>
      </w:r>
      <w:r>
        <w:rPr>
          <w:spacing w:val="6"/>
          <w:w w:val="105"/>
          <w:sz w:val="13"/>
        </w:rPr>
        <w:t> </w:t>
      </w:r>
      <w:r>
        <w:rPr>
          <w:i/>
          <w:w w:val="105"/>
          <w:sz w:val="13"/>
        </w:rPr>
        <w:t>Practice</w:t>
      </w:r>
      <w:r>
        <w:rPr>
          <w:i/>
          <w:spacing w:val="6"/>
          <w:w w:val="105"/>
          <w:sz w:val="13"/>
        </w:rPr>
        <w:t> </w:t>
      </w:r>
      <w:r>
        <w:rPr>
          <w:i/>
          <w:w w:val="105"/>
          <w:sz w:val="13"/>
        </w:rPr>
        <w:t>Note</w:t>
      </w:r>
      <w:r>
        <w:rPr>
          <w:i/>
          <w:spacing w:val="6"/>
          <w:w w:val="105"/>
          <w:sz w:val="13"/>
        </w:rPr>
        <w:t> </w:t>
      </w:r>
      <w:r>
        <w:rPr>
          <w:i/>
          <w:w w:val="105"/>
          <w:sz w:val="13"/>
        </w:rPr>
        <w:t>PNVCAT4:</w:t>
      </w:r>
      <w:r>
        <w:rPr>
          <w:i/>
          <w:spacing w:val="6"/>
          <w:w w:val="105"/>
          <w:sz w:val="13"/>
        </w:rPr>
        <w:t> </w:t>
      </w:r>
      <w:r>
        <w:rPr>
          <w:i/>
          <w:w w:val="105"/>
          <w:sz w:val="13"/>
        </w:rPr>
        <w:t>Alternative</w:t>
      </w:r>
      <w:r>
        <w:rPr>
          <w:i/>
          <w:spacing w:val="6"/>
          <w:w w:val="105"/>
          <w:sz w:val="13"/>
        </w:rPr>
        <w:t> </w:t>
      </w:r>
      <w:r>
        <w:rPr>
          <w:i/>
          <w:w w:val="105"/>
          <w:sz w:val="13"/>
        </w:rPr>
        <w:t>Dispute</w:t>
      </w:r>
      <w:r>
        <w:rPr>
          <w:i/>
          <w:spacing w:val="6"/>
          <w:w w:val="105"/>
          <w:sz w:val="13"/>
        </w:rPr>
        <w:t> </w:t>
      </w:r>
      <w:r>
        <w:rPr>
          <w:i/>
          <w:w w:val="105"/>
          <w:sz w:val="13"/>
        </w:rPr>
        <w:t>Resolution</w:t>
      </w:r>
      <w:r>
        <w:rPr>
          <w:i/>
          <w:spacing w:val="6"/>
          <w:w w:val="105"/>
          <w:sz w:val="13"/>
        </w:rPr>
        <w:t> </w:t>
      </w:r>
      <w:r>
        <w:rPr>
          <w:spacing w:val="3"/>
          <w:w w:val="105"/>
          <w:sz w:val="13"/>
        </w:rPr>
        <w:t>(ADR),</w:t>
      </w:r>
      <w:r>
        <w:rPr>
          <w:spacing w:val="6"/>
          <w:w w:val="105"/>
          <w:sz w:val="13"/>
        </w:rPr>
        <w:t> </w:t>
      </w:r>
      <w:r>
        <w:rPr>
          <w:spacing w:val="-3"/>
          <w:w w:val="105"/>
          <w:sz w:val="13"/>
        </w:rPr>
        <w:t>19</w:t>
      </w:r>
      <w:r>
        <w:rPr>
          <w:spacing w:val="6"/>
          <w:w w:val="105"/>
          <w:sz w:val="13"/>
        </w:rPr>
        <w:t> </w:t>
      </w:r>
      <w:r>
        <w:rPr>
          <w:w w:val="105"/>
          <w:sz w:val="13"/>
        </w:rPr>
        <w:t>December</w:t>
      </w:r>
      <w:r>
        <w:rPr>
          <w:spacing w:val="6"/>
          <w:w w:val="105"/>
          <w:sz w:val="13"/>
        </w:rPr>
        <w:t> </w:t>
      </w:r>
      <w:r>
        <w:rPr>
          <w:w w:val="105"/>
          <w:sz w:val="13"/>
        </w:rPr>
        <w:t>2018.</w:t>
      </w:r>
    </w:p>
    <w:p>
      <w:pPr>
        <w:pStyle w:val="ListParagraph"/>
        <w:numPr>
          <w:ilvl w:val="0"/>
          <w:numId w:val="109"/>
        </w:numPr>
        <w:tabs>
          <w:tab w:pos="2380" w:val="left" w:leader="none"/>
          <w:tab w:pos="2382" w:val="left" w:leader="none"/>
        </w:tabs>
        <w:spacing w:line="240" w:lineRule="auto" w:before="2" w:after="0"/>
        <w:ind w:left="2381" w:right="0" w:hanging="794"/>
        <w:jc w:val="left"/>
        <w:rPr>
          <w:sz w:val="13"/>
        </w:rPr>
      </w:pPr>
      <w:r>
        <w:rPr>
          <w:w w:val="105"/>
          <w:sz w:val="13"/>
        </w:rPr>
        <w:t>Department</w:t>
      </w:r>
      <w:r>
        <w:rPr>
          <w:spacing w:val="5"/>
          <w:w w:val="105"/>
          <w:sz w:val="13"/>
        </w:rPr>
        <w:t> </w:t>
      </w:r>
      <w:r>
        <w:rPr>
          <w:w w:val="105"/>
          <w:sz w:val="13"/>
        </w:rPr>
        <w:t>of</w:t>
      </w:r>
      <w:r>
        <w:rPr>
          <w:spacing w:val="6"/>
          <w:w w:val="105"/>
          <w:sz w:val="13"/>
        </w:rPr>
        <w:t> </w:t>
      </w:r>
      <w:r>
        <w:rPr>
          <w:w w:val="105"/>
          <w:sz w:val="13"/>
        </w:rPr>
        <w:t>Justice</w:t>
      </w:r>
      <w:r>
        <w:rPr>
          <w:spacing w:val="5"/>
          <w:w w:val="105"/>
          <w:sz w:val="13"/>
        </w:rPr>
        <w:t> </w:t>
      </w:r>
      <w:r>
        <w:rPr>
          <w:w w:val="105"/>
          <w:sz w:val="13"/>
        </w:rPr>
        <w:t>and</w:t>
      </w:r>
      <w:r>
        <w:rPr>
          <w:spacing w:val="6"/>
          <w:w w:val="105"/>
          <w:sz w:val="13"/>
        </w:rPr>
        <w:t> </w:t>
      </w:r>
      <w:r>
        <w:rPr>
          <w:w w:val="105"/>
          <w:sz w:val="13"/>
        </w:rPr>
        <w:t>Regulation</w:t>
      </w:r>
      <w:r>
        <w:rPr>
          <w:spacing w:val="6"/>
          <w:w w:val="105"/>
          <w:sz w:val="13"/>
        </w:rPr>
        <w:t> </w:t>
      </w:r>
      <w:r>
        <w:rPr>
          <w:spacing w:val="2"/>
          <w:w w:val="105"/>
          <w:sz w:val="13"/>
        </w:rPr>
        <w:t>(Vic),</w:t>
      </w:r>
      <w:r>
        <w:rPr>
          <w:spacing w:val="5"/>
          <w:w w:val="105"/>
          <w:sz w:val="13"/>
        </w:rPr>
        <w:t> </w:t>
      </w:r>
      <w:r>
        <w:rPr>
          <w:i/>
          <w:w w:val="105"/>
          <w:sz w:val="13"/>
        </w:rPr>
        <w:t>Access</w:t>
      </w:r>
      <w:r>
        <w:rPr>
          <w:i/>
          <w:spacing w:val="6"/>
          <w:w w:val="105"/>
          <w:sz w:val="13"/>
        </w:rPr>
        <w:t> </w:t>
      </w:r>
      <w:r>
        <w:rPr>
          <w:i/>
          <w:w w:val="105"/>
          <w:sz w:val="13"/>
        </w:rPr>
        <w:t>to</w:t>
      </w:r>
      <w:r>
        <w:rPr>
          <w:i/>
          <w:spacing w:val="6"/>
          <w:w w:val="105"/>
          <w:sz w:val="13"/>
        </w:rPr>
        <w:t> </w:t>
      </w:r>
      <w:r>
        <w:rPr>
          <w:i/>
          <w:w w:val="105"/>
          <w:sz w:val="13"/>
        </w:rPr>
        <w:t>Justice</w:t>
      </w:r>
      <w:r>
        <w:rPr>
          <w:i/>
          <w:spacing w:val="5"/>
          <w:w w:val="105"/>
          <w:sz w:val="13"/>
        </w:rPr>
        <w:t> </w:t>
      </w:r>
      <w:r>
        <w:rPr>
          <w:i/>
          <w:w w:val="105"/>
          <w:sz w:val="13"/>
        </w:rPr>
        <w:t>Review</w:t>
      </w:r>
      <w:r>
        <w:rPr>
          <w:i/>
          <w:spacing w:val="6"/>
          <w:w w:val="105"/>
          <w:sz w:val="13"/>
        </w:rPr>
        <w:t> </w:t>
      </w:r>
      <w:r>
        <w:rPr>
          <w:i/>
          <w:spacing w:val="2"/>
          <w:w w:val="105"/>
          <w:sz w:val="13"/>
        </w:rPr>
        <w:t>Report</w:t>
      </w:r>
      <w:r>
        <w:rPr>
          <w:i/>
          <w:spacing w:val="6"/>
          <w:w w:val="105"/>
          <w:sz w:val="13"/>
        </w:rPr>
        <w:t> </w:t>
      </w:r>
      <w:r>
        <w:rPr>
          <w:i/>
          <w:w w:val="105"/>
          <w:sz w:val="13"/>
        </w:rPr>
        <w:t>and</w:t>
      </w:r>
      <w:r>
        <w:rPr>
          <w:i/>
          <w:spacing w:val="5"/>
          <w:w w:val="105"/>
          <w:sz w:val="13"/>
        </w:rPr>
        <w:t> </w:t>
      </w:r>
      <w:r>
        <w:rPr>
          <w:i/>
          <w:w w:val="105"/>
          <w:sz w:val="13"/>
        </w:rPr>
        <w:t>Recommendations</w:t>
      </w:r>
      <w:r>
        <w:rPr>
          <w:i/>
          <w:spacing w:val="7"/>
          <w:w w:val="105"/>
          <w:sz w:val="13"/>
        </w:rPr>
        <w:t> </w:t>
      </w:r>
      <w:r>
        <w:rPr>
          <w:w w:val="105"/>
          <w:sz w:val="13"/>
        </w:rPr>
        <w:t>(2016)</w:t>
      </w:r>
      <w:r>
        <w:rPr>
          <w:spacing w:val="6"/>
          <w:w w:val="105"/>
          <w:sz w:val="13"/>
        </w:rPr>
        <w:t> </w:t>
      </w:r>
      <w:r>
        <w:rPr>
          <w:w w:val="105"/>
          <w:sz w:val="13"/>
        </w:rPr>
        <w:t>vol</w:t>
      </w:r>
      <w:r>
        <w:rPr>
          <w:spacing w:val="5"/>
          <w:w w:val="105"/>
          <w:sz w:val="13"/>
        </w:rPr>
        <w:t> </w:t>
      </w:r>
      <w:r>
        <w:rPr>
          <w:spacing w:val="-3"/>
          <w:w w:val="105"/>
          <w:sz w:val="13"/>
        </w:rPr>
        <w:t>1,</w:t>
      </w:r>
      <w:r>
        <w:rPr>
          <w:spacing w:val="6"/>
          <w:w w:val="105"/>
          <w:sz w:val="13"/>
        </w:rPr>
        <w:t> </w:t>
      </w:r>
      <w:r>
        <w:rPr>
          <w:w w:val="105"/>
          <w:sz w:val="13"/>
        </w:rPr>
        <w:t>204.</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28"/>
        </w:rPr>
      </w:pPr>
    </w:p>
    <w:p>
      <w:pPr>
        <w:spacing w:before="1"/>
        <w:ind w:left="572" w:right="573" w:firstLine="0"/>
        <w:jc w:val="center"/>
        <w:rPr>
          <w:b/>
          <w:sz w:val="24"/>
        </w:rPr>
      </w:pPr>
      <w:r>
        <w:rPr>
          <w:b/>
          <w:color w:val="658464"/>
          <w:w w:val="110"/>
          <w:sz w:val="24"/>
        </w:rPr>
        <w:t>139</w:t>
      </w:r>
    </w:p>
    <w:p>
      <w:pPr>
        <w:spacing w:after="0"/>
        <w:jc w:val="center"/>
        <w:rPr>
          <w:sz w:val="24"/>
        </w:rPr>
        <w:sectPr>
          <w:type w:val="continuous"/>
          <w:pgSz w:w="11910" w:h="16840"/>
          <w:pgMar w:top="300" w:bottom="280" w:left="0" w:right="0"/>
          <w:cols w:num="2" w:equalWidth="0">
            <w:col w:w="10282" w:space="40"/>
            <w:col w:w="1588"/>
          </w:cols>
        </w:sectPr>
      </w:pPr>
    </w:p>
    <w:p>
      <w:pPr>
        <w:pStyle w:val="BodyText"/>
        <w:spacing w:before="2"/>
        <w:rPr>
          <w:b/>
          <w:sz w:val="22"/>
        </w:rPr>
      </w:pPr>
    </w:p>
    <w:p>
      <w:pPr>
        <w:pStyle w:val="Heading7"/>
        <w:spacing w:before="97"/>
      </w:pPr>
      <w:r>
        <w:rPr>
          <w:color w:val="58595B"/>
          <w:w w:val="115"/>
        </w:rPr>
        <w:t>Compulsory conference</w:t>
      </w:r>
    </w:p>
    <w:p>
      <w:pPr>
        <w:pStyle w:val="ListParagraph"/>
        <w:numPr>
          <w:ilvl w:val="1"/>
          <w:numId w:val="16"/>
        </w:numPr>
        <w:tabs>
          <w:tab w:pos="2381" w:val="left" w:leader="none"/>
          <w:tab w:pos="2382" w:val="left" w:leader="none"/>
        </w:tabs>
        <w:spacing w:line="242" w:lineRule="auto" w:before="142" w:after="0"/>
        <w:ind w:left="2381" w:right="1646" w:hanging="794"/>
        <w:jc w:val="left"/>
        <w:rPr>
          <w:sz w:val="21"/>
        </w:rPr>
      </w:pPr>
      <w:r>
        <w:rPr>
          <w:w w:val="105"/>
          <w:sz w:val="21"/>
        </w:rPr>
        <w:t>Any </w:t>
      </w:r>
      <w:r>
        <w:rPr>
          <w:spacing w:val="-3"/>
          <w:w w:val="105"/>
          <w:sz w:val="21"/>
        </w:rPr>
        <w:t>claim may </w:t>
      </w:r>
      <w:r>
        <w:rPr>
          <w:w w:val="105"/>
          <w:sz w:val="21"/>
        </w:rPr>
        <w:t>be </w:t>
      </w:r>
      <w:r>
        <w:rPr>
          <w:spacing w:val="-3"/>
          <w:w w:val="105"/>
          <w:sz w:val="21"/>
        </w:rPr>
        <w:t>referred to </w:t>
      </w:r>
      <w:r>
        <w:rPr>
          <w:w w:val="105"/>
          <w:sz w:val="21"/>
        </w:rPr>
        <w:t>a compulsory </w:t>
      </w:r>
      <w:r>
        <w:rPr>
          <w:spacing w:val="-3"/>
          <w:w w:val="105"/>
          <w:sz w:val="21"/>
        </w:rPr>
        <w:t>conference before </w:t>
      </w:r>
      <w:r>
        <w:rPr>
          <w:w w:val="105"/>
          <w:sz w:val="21"/>
        </w:rPr>
        <w:t>a </w:t>
      </w:r>
      <w:r>
        <w:rPr>
          <w:spacing w:val="-3"/>
          <w:w w:val="105"/>
          <w:sz w:val="21"/>
        </w:rPr>
        <w:t>hearing </w:t>
      </w:r>
      <w:r>
        <w:rPr>
          <w:w w:val="105"/>
          <w:sz w:val="21"/>
        </w:rPr>
        <w:t>by a </w:t>
      </w:r>
      <w:r>
        <w:rPr>
          <w:spacing w:val="-5"/>
          <w:w w:val="105"/>
          <w:sz w:val="21"/>
        </w:rPr>
        <w:t>Tribunal </w:t>
      </w:r>
      <w:r>
        <w:rPr>
          <w:w w:val="105"/>
          <w:sz w:val="21"/>
        </w:rPr>
        <w:t>member</w:t>
      </w:r>
      <w:r>
        <w:rPr>
          <w:spacing w:val="-13"/>
          <w:w w:val="105"/>
          <w:sz w:val="21"/>
        </w:rPr>
        <w:t> </w:t>
      </w:r>
      <w:r>
        <w:rPr>
          <w:w w:val="105"/>
          <w:sz w:val="21"/>
        </w:rPr>
        <w:t>(or</w:t>
      </w:r>
      <w:r>
        <w:rPr>
          <w:spacing w:val="-13"/>
          <w:w w:val="105"/>
          <w:sz w:val="21"/>
        </w:rPr>
        <w:t> </w:t>
      </w:r>
      <w:r>
        <w:rPr>
          <w:spacing w:val="-3"/>
          <w:w w:val="105"/>
          <w:sz w:val="21"/>
        </w:rPr>
        <w:t>principal</w:t>
      </w:r>
      <w:r>
        <w:rPr>
          <w:spacing w:val="-13"/>
          <w:w w:val="105"/>
          <w:sz w:val="21"/>
        </w:rPr>
        <w:t> </w:t>
      </w:r>
      <w:r>
        <w:rPr>
          <w:spacing w:val="-3"/>
          <w:w w:val="105"/>
          <w:sz w:val="21"/>
        </w:rPr>
        <w:t>registrar)</w:t>
      </w:r>
      <w:r>
        <w:rPr>
          <w:spacing w:val="-13"/>
          <w:w w:val="105"/>
          <w:sz w:val="21"/>
        </w:rPr>
        <w:t> </w:t>
      </w:r>
      <w:r>
        <w:rPr>
          <w:w w:val="105"/>
          <w:sz w:val="21"/>
        </w:rPr>
        <w:t>or</w:t>
      </w:r>
      <w:r>
        <w:rPr>
          <w:spacing w:val="-13"/>
          <w:w w:val="105"/>
          <w:sz w:val="21"/>
        </w:rPr>
        <w:t> </w:t>
      </w:r>
      <w:r>
        <w:rPr>
          <w:w w:val="105"/>
          <w:sz w:val="21"/>
        </w:rPr>
        <w:t>parties</w:t>
      </w:r>
      <w:r>
        <w:rPr>
          <w:spacing w:val="-13"/>
          <w:w w:val="105"/>
          <w:sz w:val="21"/>
        </w:rPr>
        <w:t> </w:t>
      </w:r>
      <w:r>
        <w:rPr>
          <w:spacing w:val="-3"/>
          <w:w w:val="105"/>
          <w:sz w:val="21"/>
        </w:rPr>
        <w:t>may</w:t>
      </w:r>
      <w:r>
        <w:rPr>
          <w:spacing w:val="-12"/>
          <w:w w:val="105"/>
          <w:sz w:val="21"/>
        </w:rPr>
        <w:t> </w:t>
      </w:r>
      <w:r>
        <w:rPr>
          <w:spacing w:val="-3"/>
          <w:w w:val="105"/>
          <w:sz w:val="21"/>
        </w:rPr>
        <w:t>refer</w:t>
      </w:r>
      <w:r>
        <w:rPr>
          <w:spacing w:val="-13"/>
          <w:w w:val="105"/>
          <w:sz w:val="21"/>
        </w:rPr>
        <w:t> </w:t>
      </w:r>
      <w:r>
        <w:rPr>
          <w:w w:val="105"/>
          <w:sz w:val="21"/>
        </w:rPr>
        <w:t>themselves.</w:t>
      </w:r>
      <w:r>
        <w:rPr>
          <w:w w:val="105"/>
          <w:position w:val="7"/>
          <w:sz w:val="12"/>
        </w:rPr>
        <w:t>81</w:t>
      </w:r>
      <w:r>
        <w:rPr>
          <w:spacing w:val="10"/>
          <w:w w:val="105"/>
          <w:position w:val="7"/>
          <w:sz w:val="12"/>
        </w:rPr>
        <w:t> </w:t>
      </w:r>
      <w:r>
        <w:rPr>
          <w:spacing w:val="-3"/>
          <w:w w:val="105"/>
          <w:sz w:val="21"/>
        </w:rPr>
        <w:t>Compulsory</w:t>
      </w:r>
      <w:r>
        <w:rPr>
          <w:spacing w:val="-13"/>
          <w:w w:val="105"/>
          <w:sz w:val="21"/>
        </w:rPr>
        <w:t> </w:t>
      </w:r>
      <w:r>
        <w:rPr>
          <w:spacing w:val="-3"/>
          <w:w w:val="105"/>
          <w:sz w:val="21"/>
        </w:rPr>
        <w:t>conferences are </w:t>
      </w:r>
      <w:r>
        <w:rPr>
          <w:w w:val="105"/>
          <w:sz w:val="21"/>
        </w:rPr>
        <w:t>conducted by a </w:t>
      </w:r>
      <w:r>
        <w:rPr>
          <w:spacing w:val="-5"/>
          <w:w w:val="105"/>
          <w:sz w:val="21"/>
        </w:rPr>
        <w:t>Tribunal </w:t>
      </w:r>
      <w:r>
        <w:rPr>
          <w:w w:val="105"/>
          <w:sz w:val="21"/>
        </w:rPr>
        <w:t>member or the </w:t>
      </w:r>
      <w:r>
        <w:rPr>
          <w:spacing w:val="-3"/>
          <w:w w:val="105"/>
          <w:sz w:val="21"/>
        </w:rPr>
        <w:t>principal</w:t>
      </w:r>
      <w:r>
        <w:rPr>
          <w:spacing w:val="38"/>
          <w:w w:val="105"/>
          <w:sz w:val="21"/>
        </w:rPr>
        <w:t> </w:t>
      </w:r>
      <w:r>
        <w:rPr>
          <w:spacing w:val="-3"/>
          <w:w w:val="105"/>
          <w:sz w:val="21"/>
        </w:rPr>
        <w:t>registrar.</w:t>
      </w:r>
      <w:r>
        <w:rPr>
          <w:spacing w:val="-3"/>
          <w:w w:val="105"/>
          <w:position w:val="7"/>
          <w:sz w:val="12"/>
        </w:rPr>
        <w:t>82</w:t>
      </w:r>
    </w:p>
    <w:p>
      <w:pPr>
        <w:pStyle w:val="ListParagraph"/>
        <w:numPr>
          <w:ilvl w:val="1"/>
          <w:numId w:val="16"/>
        </w:numPr>
        <w:tabs>
          <w:tab w:pos="2380" w:val="left" w:leader="none"/>
          <w:tab w:pos="2382" w:val="left" w:leader="none"/>
        </w:tabs>
        <w:spacing w:line="242" w:lineRule="auto" w:before="124" w:after="0"/>
        <w:ind w:left="2381" w:right="1509" w:hanging="794"/>
        <w:jc w:val="left"/>
        <w:rPr>
          <w:sz w:val="21"/>
        </w:rPr>
      </w:pPr>
      <w:r>
        <w:rPr>
          <w:spacing w:val="-3"/>
          <w:w w:val="105"/>
          <w:sz w:val="21"/>
        </w:rPr>
        <w:t>Compulsory conferences are private </w:t>
      </w:r>
      <w:r>
        <w:rPr>
          <w:w w:val="105"/>
          <w:sz w:val="21"/>
        </w:rPr>
        <w:t>and </w:t>
      </w:r>
      <w:r>
        <w:rPr>
          <w:spacing w:val="-3"/>
          <w:w w:val="105"/>
          <w:sz w:val="21"/>
        </w:rPr>
        <w:t>confidential. </w:t>
      </w:r>
      <w:r>
        <w:rPr>
          <w:w w:val="105"/>
          <w:sz w:val="21"/>
        </w:rPr>
        <w:t>They </w:t>
      </w:r>
      <w:r>
        <w:rPr>
          <w:spacing w:val="-3"/>
          <w:w w:val="105"/>
          <w:sz w:val="21"/>
        </w:rPr>
        <w:t>allow </w:t>
      </w:r>
      <w:r>
        <w:rPr>
          <w:w w:val="105"/>
          <w:sz w:val="21"/>
        </w:rPr>
        <w:t>the </w:t>
      </w:r>
      <w:r>
        <w:rPr>
          <w:spacing w:val="-5"/>
          <w:w w:val="105"/>
          <w:sz w:val="21"/>
        </w:rPr>
        <w:t>Tribunal </w:t>
      </w:r>
      <w:r>
        <w:rPr>
          <w:w w:val="105"/>
          <w:sz w:val="21"/>
        </w:rPr>
        <w:t>member </w:t>
      </w:r>
      <w:r>
        <w:rPr>
          <w:spacing w:val="-3"/>
          <w:w w:val="105"/>
          <w:sz w:val="21"/>
        </w:rPr>
        <w:t>to take </w:t>
      </w:r>
      <w:r>
        <w:rPr>
          <w:w w:val="105"/>
          <w:sz w:val="21"/>
        </w:rPr>
        <w:t>an active role in </w:t>
      </w:r>
      <w:r>
        <w:rPr>
          <w:spacing w:val="-3"/>
          <w:w w:val="105"/>
          <w:sz w:val="21"/>
        </w:rPr>
        <w:t>helping </w:t>
      </w:r>
      <w:r>
        <w:rPr>
          <w:w w:val="105"/>
          <w:sz w:val="21"/>
        </w:rPr>
        <w:t>the parties </w:t>
      </w:r>
      <w:r>
        <w:rPr>
          <w:spacing w:val="-3"/>
          <w:w w:val="105"/>
          <w:sz w:val="21"/>
        </w:rPr>
        <w:t>to </w:t>
      </w:r>
      <w:r>
        <w:rPr>
          <w:w w:val="105"/>
          <w:sz w:val="21"/>
        </w:rPr>
        <w:t>resolve the </w:t>
      </w:r>
      <w:r>
        <w:rPr>
          <w:spacing w:val="-3"/>
          <w:w w:val="105"/>
          <w:sz w:val="21"/>
        </w:rPr>
        <w:t>dispute. </w:t>
      </w:r>
      <w:r>
        <w:rPr>
          <w:w w:val="105"/>
          <w:sz w:val="21"/>
        </w:rPr>
        <w:t>The </w:t>
      </w:r>
      <w:r>
        <w:rPr>
          <w:spacing w:val="-5"/>
          <w:w w:val="105"/>
          <w:sz w:val="21"/>
        </w:rPr>
        <w:t>Tribunal </w:t>
      </w:r>
      <w:r>
        <w:rPr>
          <w:w w:val="105"/>
          <w:sz w:val="21"/>
        </w:rPr>
        <w:t>member </w:t>
      </w:r>
      <w:r>
        <w:rPr>
          <w:spacing w:val="-3"/>
          <w:w w:val="105"/>
          <w:sz w:val="21"/>
        </w:rPr>
        <w:t>will </w:t>
      </w:r>
      <w:r>
        <w:rPr>
          <w:w w:val="105"/>
          <w:sz w:val="21"/>
        </w:rPr>
        <w:t>assist</w:t>
      </w:r>
      <w:r>
        <w:rPr>
          <w:spacing w:val="-9"/>
          <w:w w:val="105"/>
          <w:sz w:val="21"/>
        </w:rPr>
        <w:t> </w:t>
      </w:r>
      <w:r>
        <w:rPr>
          <w:w w:val="105"/>
          <w:sz w:val="21"/>
        </w:rPr>
        <w:t>parties</w:t>
      </w:r>
      <w:r>
        <w:rPr>
          <w:spacing w:val="-8"/>
          <w:w w:val="105"/>
          <w:sz w:val="21"/>
        </w:rPr>
        <w:t> </w:t>
      </w:r>
      <w:r>
        <w:rPr>
          <w:w w:val="105"/>
          <w:sz w:val="21"/>
        </w:rPr>
        <w:t>in</w:t>
      </w:r>
      <w:r>
        <w:rPr>
          <w:spacing w:val="-9"/>
          <w:w w:val="105"/>
          <w:sz w:val="21"/>
        </w:rPr>
        <w:t> </w:t>
      </w:r>
      <w:r>
        <w:rPr>
          <w:w w:val="105"/>
          <w:sz w:val="21"/>
        </w:rPr>
        <w:t>identifying</w:t>
      </w:r>
      <w:r>
        <w:rPr>
          <w:spacing w:val="-8"/>
          <w:w w:val="105"/>
          <w:sz w:val="21"/>
        </w:rPr>
        <w:t> </w:t>
      </w:r>
      <w:r>
        <w:rPr>
          <w:w w:val="105"/>
          <w:sz w:val="21"/>
        </w:rPr>
        <w:t>issues</w:t>
      </w:r>
      <w:r>
        <w:rPr>
          <w:spacing w:val="-9"/>
          <w:w w:val="105"/>
          <w:sz w:val="21"/>
        </w:rPr>
        <w:t> </w:t>
      </w:r>
      <w:r>
        <w:rPr>
          <w:w w:val="105"/>
          <w:sz w:val="21"/>
        </w:rPr>
        <w:t>of</w:t>
      </w:r>
      <w:r>
        <w:rPr>
          <w:spacing w:val="-8"/>
          <w:w w:val="105"/>
          <w:sz w:val="21"/>
        </w:rPr>
        <w:t> </w:t>
      </w:r>
      <w:r>
        <w:rPr>
          <w:w w:val="105"/>
          <w:sz w:val="21"/>
        </w:rPr>
        <w:t>fact</w:t>
      </w:r>
      <w:r>
        <w:rPr>
          <w:spacing w:val="-9"/>
          <w:w w:val="105"/>
          <w:sz w:val="21"/>
        </w:rPr>
        <w:t> </w:t>
      </w:r>
      <w:r>
        <w:rPr>
          <w:w w:val="105"/>
          <w:sz w:val="21"/>
        </w:rPr>
        <w:t>and</w:t>
      </w:r>
      <w:r>
        <w:rPr>
          <w:spacing w:val="-8"/>
          <w:w w:val="105"/>
          <w:sz w:val="21"/>
        </w:rPr>
        <w:t> </w:t>
      </w:r>
      <w:r>
        <w:rPr>
          <w:spacing w:val="-5"/>
          <w:w w:val="105"/>
          <w:sz w:val="21"/>
        </w:rPr>
        <w:t>law,</w:t>
      </w:r>
      <w:r>
        <w:rPr>
          <w:spacing w:val="-9"/>
          <w:w w:val="105"/>
          <w:sz w:val="21"/>
        </w:rPr>
        <w:t> </w:t>
      </w:r>
      <w:r>
        <w:rPr>
          <w:spacing w:val="-3"/>
          <w:w w:val="105"/>
          <w:sz w:val="21"/>
        </w:rPr>
        <w:t>encourage</w:t>
      </w:r>
      <w:r>
        <w:rPr>
          <w:spacing w:val="-8"/>
          <w:w w:val="105"/>
          <w:sz w:val="21"/>
        </w:rPr>
        <w:t> </w:t>
      </w:r>
      <w:r>
        <w:rPr>
          <w:w w:val="105"/>
          <w:sz w:val="21"/>
        </w:rPr>
        <w:t>settlement,</w:t>
      </w:r>
      <w:r>
        <w:rPr>
          <w:spacing w:val="-9"/>
          <w:w w:val="105"/>
          <w:sz w:val="21"/>
        </w:rPr>
        <w:t> </w:t>
      </w:r>
      <w:r>
        <w:rPr>
          <w:w w:val="105"/>
          <w:sz w:val="21"/>
        </w:rPr>
        <w:t>and</w:t>
      </w:r>
      <w:r>
        <w:rPr>
          <w:spacing w:val="-8"/>
          <w:w w:val="105"/>
          <w:sz w:val="21"/>
        </w:rPr>
        <w:t> </w:t>
      </w:r>
      <w:r>
        <w:rPr>
          <w:w w:val="105"/>
          <w:sz w:val="21"/>
        </w:rPr>
        <w:t>offer</w:t>
      </w:r>
      <w:r>
        <w:rPr>
          <w:spacing w:val="-9"/>
          <w:w w:val="105"/>
          <w:sz w:val="21"/>
        </w:rPr>
        <w:t> </w:t>
      </w:r>
      <w:r>
        <w:rPr>
          <w:spacing w:val="-3"/>
          <w:w w:val="105"/>
          <w:sz w:val="21"/>
        </w:rPr>
        <w:t>opinions </w:t>
      </w:r>
      <w:r>
        <w:rPr>
          <w:w w:val="105"/>
          <w:sz w:val="21"/>
        </w:rPr>
        <w:t>as </w:t>
      </w:r>
      <w:r>
        <w:rPr>
          <w:spacing w:val="-3"/>
          <w:w w:val="105"/>
          <w:sz w:val="21"/>
        </w:rPr>
        <w:t>to </w:t>
      </w:r>
      <w:r>
        <w:rPr>
          <w:w w:val="105"/>
          <w:sz w:val="21"/>
        </w:rPr>
        <w:t>the </w:t>
      </w:r>
      <w:r>
        <w:rPr>
          <w:spacing w:val="-3"/>
          <w:w w:val="105"/>
          <w:sz w:val="21"/>
        </w:rPr>
        <w:t>strengths </w:t>
      </w:r>
      <w:r>
        <w:rPr>
          <w:w w:val="105"/>
          <w:sz w:val="21"/>
        </w:rPr>
        <w:t>and weaknesses of each party’s</w:t>
      </w:r>
      <w:r>
        <w:rPr>
          <w:spacing w:val="40"/>
          <w:w w:val="105"/>
          <w:sz w:val="21"/>
        </w:rPr>
        <w:t> </w:t>
      </w:r>
      <w:r>
        <w:rPr>
          <w:w w:val="105"/>
          <w:sz w:val="21"/>
        </w:rPr>
        <w:t>case.</w:t>
      </w:r>
      <w:r>
        <w:rPr>
          <w:w w:val="105"/>
          <w:position w:val="7"/>
          <w:sz w:val="12"/>
        </w:rPr>
        <w:t>83</w:t>
      </w:r>
    </w:p>
    <w:p>
      <w:pPr>
        <w:pStyle w:val="ListParagraph"/>
        <w:numPr>
          <w:ilvl w:val="1"/>
          <w:numId w:val="16"/>
        </w:numPr>
        <w:tabs>
          <w:tab w:pos="2380" w:val="left" w:leader="none"/>
          <w:tab w:pos="2381" w:val="left" w:leader="none"/>
        </w:tabs>
        <w:spacing w:line="242" w:lineRule="auto" w:before="124" w:after="0"/>
        <w:ind w:left="2380" w:right="1610" w:hanging="793"/>
        <w:jc w:val="left"/>
        <w:rPr>
          <w:sz w:val="21"/>
        </w:rPr>
      </w:pPr>
      <w:r>
        <w:rPr>
          <w:w w:val="105"/>
          <w:sz w:val="21"/>
        </w:rPr>
        <w:t>If resolution </w:t>
      </w:r>
      <w:r>
        <w:rPr>
          <w:spacing w:val="-3"/>
          <w:w w:val="105"/>
          <w:sz w:val="21"/>
        </w:rPr>
        <w:t>cannot </w:t>
      </w:r>
      <w:r>
        <w:rPr>
          <w:w w:val="105"/>
          <w:sz w:val="21"/>
        </w:rPr>
        <w:t>be </w:t>
      </w:r>
      <w:r>
        <w:rPr>
          <w:spacing w:val="-3"/>
          <w:w w:val="105"/>
          <w:sz w:val="21"/>
        </w:rPr>
        <w:t>achieved through </w:t>
      </w:r>
      <w:r>
        <w:rPr>
          <w:w w:val="105"/>
          <w:sz w:val="21"/>
        </w:rPr>
        <w:t>the compulsory </w:t>
      </w:r>
      <w:r>
        <w:rPr>
          <w:spacing w:val="-4"/>
          <w:w w:val="105"/>
          <w:sz w:val="21"/>
        </w:rPr>
        <w:t>conference, </w:t>
      </w:r>
      <w:r>
        <w:rPr>
          <w:w w:val="105"/>
          <w:sz w:val="21"/>
        </w:rPr>
        <w:t>then the </w:t>
      </w:r>
      <w:r>
        <w:rPr>
          <w:spacing w:val="-5"/>
          <w:w w:val="105"/>
          <w:sz w:val="21"/>
        </w:rPr>
        <w:t>Tribunal </w:t>
      </w:r>
      <w:r>
        <w:rPr>
          <w:w w:val="105"/>
          <w:sz w:val="21"/>
        </w:rPr>
        <w:t>member</w:t>
      </w:r>
      <w:r>
        <w:rPr>
          <w:spacing w:val="-8"/>
          <w:w w:val="105"/>
          <w:sz w:val="21"/>
        </w:rPr>
        <w:t> </w:t>
      </w:r>
      <w:r>
        <w:rPr>
          <w:w w:val="105"/>
          <w:sz w:val="21"/>
        </w:rPr>
        <w:t>can</w:t>
      </w:r>
      <w:r>
        <w:rPr>
          <w:spacing w:val="-8"/>
          <w:w w:val="105"/>
          <w:sz w:val="21"/>
        </w:rPr>
        <w:t> </w:t>
      </w:r>
      <w:r>
        <w:rPr>
          <w:w w:val="105"/>
          <w:sz w:val="21"/>
        </w:rPr>
        <w:t>issue</w:t>
      </w:r>
      <w:r>
        <w:rPr>
          <w:spacing w:val="-8"/>
          <w:w w:val="105"/>
          <w:sz w:val="21"/>
        </w:rPr>
        <w:t> </w:t>
      </w:r>
      <w:r>
        <w:rPr>
          <w:w w:val="105"/>
          <w:sz w:val="21"/>
        </w:rPr>
        <w:t>orders</w:t>
      </w:r>
      <w:r>
        <w:rPr>
          <w:spacing w:val="-8"/>
          <w:w w:val="105"/>
          <w:sz w:val="21"/>
        </w:rPr>
        <w:t> </w:t>
      </w:r>
      <w:r>
        <w:rPr>
          <w:w w:val="105"/>
          <w:sz w:val="21"/>
        </w:rPr>
        <w:t>and</w:t>
      </w:r>
      <w:r>
        <w:rPr>
          <w:spacing w:val="-8"/>
          <w:w w:val="105"/>
          <w:sz w:val="21"/>
        </w:rPr>
        <w:t> </w:t>
      </w:r>
      <w:r>
        <w:rPr>
          <w:w w:val="105"/>
          <w:sz w:val="21"/>
        </w:rPr>
        <w:t>directions</w:t>
      </w:r>
      <w:r>
        <w:rPr>
          <w:spacing w:val="-8"/>
          <w:w w:val="105"/>
          <w:sz w:val="21"/>
        </w:rPr>
        <w:t> </w:t>
      </w:r>
      <w:r>
        <w:rPr>
          <w:spacing w:val="-3"/>
          <w:w w:val="105"/>
          <w:sz w:val="21"/>
        </w:rPr>
        <w:t>for</w:t>
      </w:r>
      <w:r>
        <w:rPr>
          <w:spacing w:val="-8"/>
          <w:w w:val="105"/>
          <w:sz w:val="21"/>
        </w:rPr>
        <w:t> </w:t>
      </w:r>
      <w:r>
        <w:rPr>
          <w:w w:val="105"/>
          <w:sz w:val="21"/>
        </w:rPr>
        <w:t>the</w:t>
      </w:r>
      <w:r>
        <w:rPr>
          <w:spacing w:val="-8"/>
          <w:w w:val="105"/>
          <w:sz w:val="21"/>
        </w:rPr>
        <w:t> </w:t>
      </w:r>
      <w:r>
        <w:rPr>
          <w:w w:val="105"/>
          <w:sz w:val="21"/>
        </w:rPr>
        <w:t>final</w:t>
      </w:r>
      <w:r>
        <w:rPr>
          <w:spacing w:val="-8"/>
          <w:w w:val="105"/>
          <w:sz w:val="21"/>
        </w:rPr>
        <w:t> </w:t>
      </w:r>
      <w:r>
        <w:rPr>
          <w:spacing w:val="-3"/>
          <w:w w:val="105"/>
          <w:sz w:val="21"/>
        </w:rPr>
        <w:t>hearing</w:t>
      </w:r>
      <w:r>
        <w:rPr>
          <w:spacing w:val="-8"/>
          <w:w w:val="105"/>
          <w:sz w:val="21"/>
        </w:rPr>
        <w:t> </w:t>
      </w:r>
      <w:r>
        <w:rPr>
          <w:w w:val="105"/>
          <w:sz w:val="21"/>
        </w:rPr>
        <w:t>at</w:t>
      </w:r>
      <w:r>
        <w:rPr>
          <w:spacing w:val="-8"/>
          <w:w w:val="105"/>
          <w:sz w:val="21"/>
        </w:rPr>
        <w:t> </w:t>
      </w:r>
      <w:r>
        <w:rPr>
          <w:w w:val="105"/>
          <w:sz w:val="21"/>
        </w:rPr>
        <w:t>a</w:t>
      </w:r>
      <w:r>
        <w:rPr>
          <w:spacing w:val="-8"/>
          <w:w w:val="105"/>
          <w:sz w:val="21"/>
        </w:rPr>
        <w:t> </w:t>
      </w:r>
      <w:r>
        <w:rPr>
          <w:spacing w:val="-3"/>
          <w:w w:val="105"/>
          <w:sz w:val="21"/>
        </w:rPr>
        <w:t>later</w:t>
      </w:r>
      <w:r>
        <w:rPr>
          <w:spacing w:val="-8"/>
          <w:w w:val="105"/>
          <w:sz w:val="21"/>
        </w:rPr>
        <w:t> </w:t>
      </w:r>
      <w:r>
        <w:rPr>
          <w:spacing w:val="-4"/>
          <w:w w:val="105"/>
          <w:sz w:val="21"/>
        </w:rPr>
        <w:t>date.</w:t>
      </w:r>
      <w:r>
        <w:rPr>
          <w:spacing w:val="-8"/>
          <w:w w:val="105"/>
          <w:sz w:val="21"/>
        </w:rPr>
        <w:t> </w:t>
      </w:r>
      <w:r>
        <w:rPr>
          <w:w w:val="105"/>
          <w:sz w:val="21"/>
        </w:rPr>
        <w:t>Parties</w:t>
      </w:r>
      <w:r>
        <w:rPr>
          <w:spacing w:val="-7"/>
          <w:w w:val="105"/>
          <w:sz w:val="21"/>
        </w:rPr>
        <w:t> </w:t>
      </w:r>
      <w:r>
        <w:rPr>
          <w:w w:val="105"/>
          <w:sz w:val="21"/>
        </w:rPr>
        <w:t>do</w:t>
      </w:r>
      <w:r>
        <w:rPr>
          <w:spacing w:val="-8"/>
          <w:w w:val="105"/>
          <w:sz w:val="21"/>
        </w:rPr>
        <w:t> </w:t>
      </w:r>
      <w:r>
        <w:rPr>
          <w:spacing w:val="-2"/>
          <w:w w:val="105"/>
          <w:sz w:val="21"/>
        </w:rPr>
        <w:t>not </w:t>
      </w:r>
      <w:r>
        <w:rPr>
          <w:spacing w:val="-3"/>
          <w:w w:val="105"/>
          <w:sz w:val="21"/>
        </w:rPr>
        <w:t>incur additional </w:t>
      </w:r>
      <w:r>
        <w:rPr>
          <w:w w:val="105"/>
          <w:sz w:val="21"/>
        </w:rPr>
        <w:t>costs </w:t>
      </w:r>
      <w:r>
        <w:rPr>
          <w:spacing w:val="-3"/>
          <w:w w:val="105"/>
          <w:sz w:val="21"/>
        </w:rPr>
        <w:t>for </w:t>
      </w:r>
      <w:r>
        <w:rPr>
          <w:w w:val="105"/>
          <w:sz w:val="21"/>
        </w:rPr>
        <w:t>compulsory </w:t>
      </w:r>
      <w:r>
        <w:rPr>
          <w:spacing w:val="-3"/>
          <w:w w:val="105"/>
          <w:sz w:val="21"/>
        </w:rPr>
        <w:t>conferencing.</w:t>
      </w:r>
      <w:r>
        <w:rPr>
          <w:spacing w:val="-3"/>
          <w:w w:val="105"/>
          <w:position w:val="7"/>
          <w:sz w:val="12"/>
        </w:rPr>
        <w:t>84 </w:t>
      </w:r>
      <w:r>
        <w:rPr>
          <w:spacing w:val="-3"/>
          <w:w w:val="105"/>
          <w:sz w:val="21"/>
        </w:rPr>
        <w:t>Conversations during </w:t>
      </w:r>
      <w:r>
        <w:rPr>
          <w:w w:val="105"/>
          <w:sz w:val="21"/>
        </w:rPr>
        <w:t>compulsory </w:t>
      </w:r>
      <w:r>
        <w:rPr>
          <w:spacing w:val="-3"/>
          <w:w w:val="105"/>
          <w:sz w:val="21"/>
        </w:rPr>
        <w:t>conferences are generally confidential </w:t>
      </w:r>
      <w:r>
        <w:rPr>
          <w:w w:val="105"/>
          <w:sz w:val="21"/>
        </w:rPr>
        <w:t>and </w:t>
      </w:r>
      <w:r>
        <w:rPr>
          <w:spacing w:val="-3"/>
          <w:w w:val="105"/>
          <w:sz w:val="21"/>
        </w:rPr>
        <w:t>cannot </w:t>
      </w:r>
      <w:r>
        <w:rPr>
          <w:w w:val="105"/>
          <w:sz w:val="21"/>
        </w:rPr>
        <w:t>be used in</w:t>
      </w:r>
      <w:r>
        <w:rPr>
          <w:spacing w:val="45"/>
          <w:w w:val="105"/>
          <w:sz w:val="21"/>
        </w:rPr>
        <w:t> </w:t>
      </w:r>
      <w:r>
        <w:rPr>
          <w:w w:val="105"/>
          <w:sz w:val="21"/>
        </w:rPr>
        <w:t>hearings.</w:t>
      </w:r>
      <w:r>
        <w:rPr>
          <w:w w:val="105"/>
          <w:position w:val="7"/>
          <w:sz w:val="12"/>
        </w:rPr>
        <w:t>85</w:t>
      </w:r>
    </w:p>
    <w:p>
      <w:pPr>
        <w:pStyle w:val="Heading7"/>
        <w:spacing w:before="155"/>
      </w:pPr>
      <w:r>
        <w:rPr>
          <w:color w:val="58595B"/>
          <w:w w:val="115"/>
        </w:rPr>
        <w:t>Mediation</w:t>
      </w:r>
    </w:p>
    <w:p>
      <w:pPr>
        <w:pStyle w:val="ListParagraph"/>
        <w:numPr>
          <w:ilvl w:val="1"/>
          <w:numId w:val="16"/>
        </w:numPr>
        <w:tabs>
          <w:tab w:pos="2381" w:val="left" w:leader="none"/>
          <w:tab w:pos="2382" w:val="left" w:leader="none"/>
        </w:tabs>
        <w:spacing w:line="242" w:lineRule="auto" w:before="143" w:after="0"/>
        <w:ind w:left="2381" w:right="1761" w:hanging="794"/>
        <w:jc w:val="left"/>
        <w:rPr>
          <w:sz w:val="21"/>
        </w:rPr>
      </w:pPr>
      <w:r>
        <w:rPr>
          <w:sz w:val="21"/>
        </w:rPr>
        <w:t>Any </w:t>
      </w:r>
      <w:r>
        <w:rPr>
          <w:spacing w:val="-3"/>
          <w:sz w:val="21"/>
        </w:rPr>
        <w:t>claim may </w:t>
      </w:r>
      <w:r>
        <w:rPr>
          <w:sz w:val="21"/>
        </w:rPr>
        <w:t>be </w:t>
      </w:r>
      <w:r>
        <w:rPr>
          <w:spacing w:val="-3"/>
          <w:sz w:val="21"/>
        </w:rPr>
        <w:t>referred to </w:t>
      </w:r>
      <w:r>
        <w:rPr>
          <w:sz w:val="21"/>
        </w:rPr>
        <w:t>mediation and is conducted </w:t>
      </w:r>
      <w:r>
        <w:rPr>
          <w:spacing w:val="-3"/>
          <w:sz w:val="21"/>
        </w:rPr>
        <w:t>pursuant to </w:t>
      </w:r>
      <w:r>
        <w:rPr>
          <w:sz w:val="21"/>
        </w:rPr>
        <w:t>section 88 of the </w:t>
      </w:r>
      <w:r>
        <w:rPr>
          <w:i/>
          <w:sz w:val="21"/>
        </w:rPr>
        <w:t>Victorian Civil and </w:t>
      </w:r>
      <w:r>
        <w:rPr>
          <w:i/>
          <w:spacing w:val="-3"/>
          <w:sz w:val="21"/>
        </w:rPr>
        <w:t>Administrative </w:t>
      </w:r>
      <w:r>
        <w:rPr>
          <w:i/>
          <w:spacing w:val="-4"/>
          <w:sz w:val="21"/>
        </w:rPr>
        <w:t>Tribunal </w:t>
      </w:r>
      <w:r>
        <w:rPr>
          <w:i/>
          <w:sz w:val="21"/>
        </w:rPr>
        <w:t>Act </w:t>
      </w:r>
      <w:r>
        <w:rPr>
          <w:i/>
          <w:spacing w:val="-5"/>
          <w:sz w:val="21"/>
        </w:rPr>
        <w:t>1998 </w:t>
      </w:r>
      <w:r>
        <w:rPr>
          <w:sz w:val="21"/>
        </w:rPr>
        <w:t>(Vic). This can </w:t>
      </w:r>
      <w:r>
        <w:rPr>
          <w:spacing w:val="-3"/>
          <w:sz w:val="21"/>
        </w:rPr>
        <w:t>occur  </w:t>
      </w:r>
      <w:r>
        <w:rPr>
          <w:sz w:val="21"/>
        </w:rPr>
        <w:t>with or without  the </w:t>
      </w:r>
      <w:r>
        <w:rPr>
          <w:spacing w:val="-3"/>
          <w:sz w:val="21"/>
        </w:rPr>
        <w:t>consent </w:t>
      </w:r>
      <w:r>
        <w:rPr>
          <w:sz w:val="21"/>
        </w:rPr>
        <w:t>of the</w:t>
      </w:r>
      <w:r>
        <w:rPr>
          <w:spacing w:val="36"/>
          <w:sz w:val="21"/>
        </w:rPr>
        <w:t> </w:t>
      </w:r>
      <w:r>
        <w:rPr>
          <w:sz w:val="21"/>
        </w:rPr>
        <w:t>parties.</w:t>
      </w:r>
    </w:p>
    <w:p>
      <w:pPr>
        <w:pStyle w:val="ListParagraph"/>
        <w:numPr>
          <w:ilvl w:val="1"/>
          <w:numId w:val="16"/>
        </w:numPr>
        <w:tabs>
          <w:tab w:pos="2380" w:val="left" w:leader="none"/>
          <w:tab w:pos="2381" w:val="left" w:leader="none"/>
        </w:tabs>
        <w:spacing w:line="242" w:lineRule="auto" w:before="123" w:after="0"/>
        <w:ind w:left="2381" w:right="1561" w:hanging="794"/>
        <w:jc w:val="left"/>
        <w:rPr>
          <w:sz w:val="21"/>
        </w:rPr>
      </w:pPr>
      <w:r>
        <w:rPr>
          <w:w w:val="105"/>
          <w:sz w:val="21"/>
        </w:rPr>
        <w:t>Mediation is conducted by a person </w:t>
      </w:r>
      <w:r>
        <w:rPr>
          <w:spacing w:val="-3"/>
          <w:w w:val="105"/>
          <w:sz w:val="21"/>
        </w:rPr>
        <w:t>nominated </w:t>
      </w:r>
      <w:r>
        <w:rPr>
          <w:w w:val="105"/>
          <w:sz w:val="21"/>
        </w:rPr>
        <w:t>by the </w:t>
      </w:r>
      <w:r>
        <w:rPr>
          <w:spacing w:val="-5"/>
          <w:w w:val="105"/>
          <w:sz w:val="21"/>
        </w:rPr>
        <w:t>Tribunal </w:t>
      </w:r>
      <w:r>
        <w:rPr>
          <w:w w:val="105"/>
          <w:sz w:val="21"/>
        </w:rPr>
        <w:t>or </w:t>
      </w:r>
      <w:r>
        <w:rPr>
          <w:spacing w:val="-3"/>
          <w:w w:val="105"/>
          <w:sz w:val="21"/>
        </w:rPr>
        <w:t>principal registrar.</w:t>
      </w:r>
      <w:r>
        <w:rPr>
          <w:spacing w:val="-3"/>
          <w:w w:val="105"/>
          <w:position w:val="7"/>
          <w:sz w:val="12"/>
        </w:rPr>
        <w:t>86 </w:t>
      </w:r>
      <w:r>
        <w:rPr>
          <w:spacing w:val="-3"/>
          <w:w w:val="105"/>
          <w:sz w:val="21"/>
        </w:rPr>
        <w:t>Key </w:t>
      </w:r>
      <w:r>
        <w:rPr>
          <w:w w:val="105"/>
          <w:sz w:val="21"/>
        </w:rPr>
        <w:t>issues</w:t>
      </w:r>
      <w:r>
        <w:rPr>
          <w:spacing w:val="-11"/>
          <w:w w:val="105"/>
          <w:sz w:val="21"/>
        </w:rPr>
        <w:t> </w:t>
      </w:r>
      <w:r>
        <w:rPr>
          <w:spacing w:val="-3"/>
          <w:w w:val="105"/>
          <w:sz w:val="21"/>
        </w:rPr>
        <w:t>are</w:t>
      </w:r>
      <w:r>
        <w:rPr>
          <w:spacing w:val="-11"/>
          <w:w w:val="105"/>
          <w:sz w:val="21"/>
        </w:rPr>
        <w:t> </w:t>
      </w:r>
      <w:r>
        <w:rPr>
          <w:w w:val="105"/>
          <w:sz w:val="21"/>
        </w:rPr>
        <w:t>identified</w:t>
      </w:r>
      <w:r>
        <w:rPr>
          <w:spacing w:val="-11"/>
          <w:w w:val="105"/>
          <w:sz w:val="21"/>
        </w:rPr>
        <w:t> </w:t>
      </w:r>
      <w:r>
        <w:rPr>
          <w:w w:val="105"/>
          <w:sz w:val="21"/>
        </w:rPr>
        <w:t>and</w:t>
      </w:r>
      <w:r>
        <w:rPr>
          <w:spacing w:val="-11"/>
          <w:w w:val="105"/>
          <w:sz w:val="21"/>
        </w:rPr>
        <w:t> </w:t>
      </w:r>
      <w:r>
        <w:rPr>
          <w:w w:val="105"/>
          <w:sz w:val="21"/>
        </w:rPr>
        <w:t>settlement</w:t>
      </w:r>
      <w:r>
        <w:rPr>
          <w:spacing w:val="-11"/>
          <w:w w:val="105"/>
          <w:sz w:val="21"/>
        </w:rPr>
        <w:t> </w:t>
      </w:r>
      <w:r>
        <w:rPr>
          <w:w w:val="105"/>
          <w:sz w:val="21"/>
        </w:rPr>
        <w:t>is</w:t>
      </w:r>
      <w:r>
        <w:rPr>
          <w:spacing w:val="-11"/>
          <w:w w:val="105"/>
          <w:sz w:val="21"/>
        </w:rPr>
        <w:t> </w:t>
      </w:r>
      <w:r>
        <w:rPr>
          <w:spacing w:val="-3"/>
          <w:w w:val="105"/>
          <w:sz w:val="21"/>
        </w:rPr>
        <w:t>encouraged.</w:t>
      </w:r>
      <w:r>
        <w:rPr>
          <w:spacing w:val="-11"/>
          <w:w w:val="105"/>
          <w:sz w:val="21"/>
        </w:rPr>
        <w:t> </w:t>
      </w:r>
      <w:r>
        <w:rPr>
          <w:w w:val="105"/>
          <w:sz w:val="21"/>
        </w:rPr>
        <w:t>Mediation</w:t>
      </w:r>
      <w:r>
        <w:rPr>
          <w:spacing w:val="-11"/>
          <w:w w:val="105"/>
          <w:sz w:val="21"/>
        </w:rPr>
        <w:t> </w:t>
      </w:r>
      <w:r>
        <w:rPr>
          <w:spacing w:val="-3"/>
          <w:w w:val="105"/>
          <w:sz w:val="21"/>
        </w:rPr>
        <w:t>may</w:t>
      </w:r>
      <w:r>
        <w:rPr>
          <w:spacing w:val="-11"/>
          <w:w w:val="105"/>
          <w:sz w:val="21"/>
        </w:rPr>
        <w:t> </w:t>
      </w:r>
      <w:r>
        <w:rPr>
          <w:w w:val="105"/>
          <w:sz w:val="21"/>
        </w:rPr>
        <w:t>target</w:t>
      </w:r>
      <w:r>
        <w:rPr>
          <w:spacing w:val="-11"/>
          <w:w w:val="105"/>
          <w:sz w:val="21"/>
        </w:rPr>
        <w:t> </w:t>
      </w:r>
      <w:r>
        <w:rPr>
          <w:spacing w:val="-3"/>
          <w:w w:val="105"/>
          <w:sz w:val="21"/>
        </w:rPr>
        <w:t>all</w:t>
      </w:r>
      <w:r>
        <w:rPr>
          <w:spacing w:val="-11"/>
          <w:w w:val="105"/>
          <w:sz w:val="21"/>
        </w:rPr>
        <w:t> </w:t>
      </w:r>
      <w:r>
        <w:rPr>
          <w:w w:val="105"/>
          <w:sz w:val="21"/>
        </w:rPr>
        <w:t>the</w:t>
      </w:r>
      <w:r>
        <w:rPr>
          <w:spacing w:val="-11"/>
          <w:w w:val="105"/>
          <w:sz w:val="21"/>
        </w:rPr>
        <w:t> </w:t>
      </w:r>
      <w:r>
        <w:rPr>
          <w:w w:val="105"/>
          <w:sz w:val="21"/>
        </w:rPr>
        <w:t>issues</w:t>
      </w:r>
      <w:r>
        <w:rPr>
          <w:spacing w:val="-11"/>
          <w:w w:val="105"/>
          <w:sz w:val="21"/>
        </w:rPr>
        <w:t> </w:t>
      </w:r>
      <w:r>
        <w:rPr>
          <w:w w:val="105"/>
          <w:sz w:val="21"/>
        </w:rPr>
        <w:t>or</w:t>
      </w:r>
      <w:r>
        <w:rPr>
          <w:spacing w:val="-11"/>
          <w:w w:val="105"/>
          <w:sz w:val="21"/>
        </w:rPr>
        <w:t> </w:t>
      </w:r>
      <w:r>
        <w:rPr>
          <w:w w:val="105"/>
          <w:sz w:val="21"/>
        </w:rPr>
        <w:t>a </w:t>
      </w:r>
      <w:r>
        <w:rPr>
          <w:spacing w:val="-3"/>
          <w:w w:val="105"/>
          <w:sz w:val="21"/>
        </w:rPr>
        <w:t>subset </w:t>
      </w:r>
      <w:r>
        <w:rPr>
          <w:w w:val="105"/>
          <w:sz w:val="21"/>
        </w:rPr>
        <w:t>of them. </w:t>
      </w:r>
      <w:r>
        <w:rPr>
          <w:spacing w:val="-3"/>
          <w:w w:val="105"/>
          <w:sz w:val="21"/>
        </w:rPr>
        <w:t>Conversations are confidential </w:t>
      </w:r>
      <w:r>
        <w:rPr>
          <w:w w:val="105"/>
          <w:sz w:val="21"/>
        </w:rPr>
        <w:t>and </w:t>
      </w:r>
      <w:r>
        <w:rPr>
          <w:spacing w:val="-3"/>
          <w:w w:val="105"/>
          <w:sz w:val="21"/>
        </w:rPr>
        <w:t>cannot </w:t>
      </w:r>
      <w:r>
        <w:rPr>
          <w:w w:val="105"/>
          <w:sz w:val="21"/>
        </w:rPr>
        <w:t>be used in</w:t>
      </w:r>
      <w:r>
        <w:rPr>
          <w:spacing w:val="3"/>
          <w:w w:val="105"/>
          <w:sz w:val="21"/>
        </w:rPr>
        <w:t> </w:t>
      </w:r>
      <w:r>
        <w:rPr>
          <w:spacing w:val="-3"/>
          <w:w w:val="105"/>
          <w:sz w:val="21"/>
        </w:rPr>
        <w:t>hearings.</w:t>
      </w:r>
      <w:r>
        <w:rPr>
          <w:spacing w:val="-3"/>
          <w:w w:val="105"/>
          <w:position w:val="7"/>
          <w:sz w:val="12"/>
        </w:rPr>
        <w:t>87</w:t>
      </w:r>
    </w:p>
    <w:p>
      <w:pPr>
        <w:pStyle w:val="ListParagraph"/>
        <w:numPr>
          <w:ilvl w:val="1"/>
          <w:numId w:val="16"/>
        </w:numPr>
        <w:tabs>
          <w:tab w:pos="2381" w:val="left" w:leader="none"/>
        </w:tabs>
        <w:spacing w:line="242" w:lineRule="auto" w:before="123" w:after="0"/>
        <w:ind w:left="2381" w:right="1686" w:hanging="794"/>
        <w:jc w:val="both"/>
        <w:rPr>
          <w:sz w:val="21"/>
        </w:rPr>
      </w:pPr>
      <w:r>
        <w:rPr>
          <w:w w:val="105"/>
          <w:sz w:val="21"/>
        </w:rPr>
        <w:t>The</w:t>
      </w:r>
      <w:r>
        <w:rPr>
          <w:spacing w:val="-9"/>
          <w:w w:val="105"/>
          <w:sz w:val="21"/>
        </w:rPr>
        <w:t> </w:t>
      </w:r>
      <w:r>
        <w:rPr>
          <w:spacing w:val="-3"/>
          <w:w w:val="105"/>
          <w:sz w:val="21"/>
        </w:rPr>
        <w:t>mediator</w:t>
      </w:r>
      <w:r>
        <w:rPr>
          <w:spacing w:val="-9"/>
          <w:w w:val="105"/>
          <w:sz w:val="21"/>
        </w:rPr>
        <w:t> </w:t>
      </w:r>
      <w:r>
        <w:rPr>
          <w:w w:val="105"/>
          <w:sz w:val="21"/>
        </w:rPr>
        <w:t>or</w:t>
      </w:r>
      <w:r>
        <w:rPr>
          <w:spacing w:val="-9"/>
          <w:w w:val="105"/>
          <w:sz w:val="21"/>
        </w:rPr>
        <w:t> </w:t>
      </w:r>
      <w:r>
        <w:rPr>
          <w:spacing w:val="-5"/>
          <w:w w:val="105"/>
          <w:sz w:val="21"/>
        </w:rPr>
        <w:t>Tribunal</w:t>
      </w:r>
      <w:r>
        <w:rPr>
          <w:spacing w:val="-9"/>
          <w:w w:val="105"/>
          <w:sz w:val="21"/>
        </w:rPr>
        <w:t> </w:t>
      </w:r>
      <w:r>
        <w:rPr>
          <w:w w:val="105"/>
          <w:sz w:val="21"/>
        </w:rPr>
        <w:t>member’s</w:t>
      </w:r>
      <w:r>
        <w:rPr>
          <w:spacing w:val="-9"/>
          <w:w w:val="105"/>
          <w:sz w:val="21"/>
        </w:rPr>
        <w:t> </w:t>
      </w:r>
      <w:r>
        <w:rPr>
          <w:w w:val="105"/>
          <w:sz w:val="21"/>
        </w:rPr>
        <w:t>role</w:t>
      </w:r>
      <w:r>
        <w:rPr>
          <w:spacing w:val="-8"/>
          <w:w w:val="105"/>
          <w:sz w:val="21"/>
        </w:rPr>
        <w:t> </w:t>
      </w:r>
      <w:r>
        <w:rPr>
          <w:w w:val="105"/>
          <w:sz w:val="21"/>
        </w:rPr>
        <w:t>is</w:t>
      </w:r>
      <w:r>
        <w:rPr>
          <w:spacing w:val="-9"/>
          <w:w w:val="105"/>
          <w:sz w:val="21"/>
        </w:rPr>
        <w:t> </w:t>
      </w:r>
      <w:r>
        <w:rPr>
          <w:w w:val="105"/>
          <w:sz w:val="21"/>
        </w:rPr>
        <w:t>less</w:t>
      </w:r>
      <w:r>
        <w:rPr>
          <w:spacing w:val="-9"/>
          <w:w w:val="105"/>
          <w:sz w:val="21"/>
        </w:rPr>
        <w:t> </w:t>
      </w:r>
      <w:r>
        <w:rPr>
          <w:w w:val="105"/>
          <w:sz w:val="21"/>
        </w:rPr>
        <w:t>active</w:t>
      </w:r>
      <w:r>
        <w:rPr>
          <w:spacing w:val="-9"/>
          <w:w w:val="105"/>
          <w:sz w:val="21"/>
        </w:rPr>
        <w:t> </w:t>
      </w:r>
      <w:r>
        <w:rPr>
          <w:spacing w:val="-3"/>
          <w:w w:val="105"/>
          <w:sz w:val="21"/>
        </w:rPr>
        <w:t>than</w:t>
      </w:r>
      <w:r>
        <w:rPr>
          <w:spacing w:val="-9"/>
          <w:w w:val="105"/>
          <w:sz w:val="21"/>
        </w:rPr>
        <w:t> </w:t>
      </w:r>
      <w:r>
        <w:rPr>
          <w:w w:val="105"/>
          <w:sz w:val="21"/>
        </w:rPr>
        <w:t>in</w:t>
      </w:r>
      <w:r>
        <w:rPr>
          <w:spacing w:val="-9"/>
          <w:w w:val="105"/>
          <w:sz w:val="21"/>
        </w:rPr>
        <w:t> </w:t>
      </w:r>
      <w:r>
        <w:rPr>
          <w:w w:val="105"/>
          <w:sz w:val="21"/>
        </w:rPr>
        <w:t>compulsory</w:t>
      </w:r>
      <w:r>
        <w:rPr>
          <w:spacing w:val="-8"/>
          <w:w w:val="105"/>
          <w:sz w:val="21"/>
        </w:rPr>
        <w:t> </w:t>
      </w:r>
      <w:r>
        <w:rPr>
          <w:spacing w:val="-3"/>
          <w:w w:val="105"/>
          <w:sz w:val="21"/>
        </w:rPr>
        <w:t>conferencing,</w:t>
      </w:r>
      <w:r>
        <w:rPr>
          <w:spacing w:val="-9"/>
          <w:w w:val="105"/>
          <w:sz w:val="21"/>
        </w:rPr>
        <w:t> </w:t>
      </w:r>
      <w:r>
        <w:rPr>
          <w:w w:val="105"/>
          <w:sz w:val="21"/>
        </w:rPr>
        <w:t>as they</w:t>
      </w:r>
      <w:r>
        <w:rPr>
          <w:spacing w:val="-5"/>
          <w:w w:val="105"/>
          <w:sz w:val="21"/>
        </w:rPr>
        <w:t> </w:t>
      </w:r>
      <w:r>
        <w:rPr>
          <w:spacing w:val="-3"/>
          <w:w w:val="105"/>
          <w:sz w:val="21"/>
        </w:rPr>
        <w:t>cannot</w:t>
      </w:r>
      <w:r>
        <w:rPr>
          <w:spacing w:val="-5"/>
          <w:w w:val="105"/>
          <w:sz w:val="21"/>
        </w:rPr>
        <w:t> </w:t>
      </w:r>
      <w:r>
        <w:rPr>
          <w:spacing w:val="-4"/>
          <w:w w:val="105"/>
          <w:sz w:val="21"/>
        </w:rPr>
        <w:t>‘give</w:t>
      </w:r>
      <w:r>
        <w:rPr>
          <w:spacing w:val="-5"/>
          <w:w w:val="105"/>
          <w:sz w:val="21"/>
        </w:rPr>
        <w:t> </w:t>
      </w:r>
      <w:r>
        <w:rPr>
          <w:w w:val="105"/>
          <w:sz w:val="21"/>
        </w:rPr>
        <w:t>advice</w:t>
      </w:r>
      <w:r>
        <w:rPr>
          <w:spacing w:val="-5"/>
          <w:w w:val="105"/>
          <w:sz w:val="21"/>
        </w:rPr>
        <w:t> </w:t>
      </w:r>
      <w:r>
        <w:rPr>
          <w:w w:val="105"/>
          <w:sz w:val="21"/>
        </w:rPr>
        <w:t>about</w:t>
      </w:r>
      <w:r>
        <w:rPr>
          <w:spacing w:val="-5"/>
          <w:w w:val="105"/>
          <w:sz w:val="21"/>
        </w:rPr>
        <w:t> </w:t>
      </w:r>
      <w:r>
        <w:rPr>
          <w:w w:val="105"/>
          <w:sz w:val="21"/>
        </w:rPr>
        <w:t>a</w:t>
      </w:r>
      <w:r>
        <w:rPr>
          <w:spacing w:val="-5"/>
          <w:w w:val="105"/>
          <w:sz w:val="21"/>
        </w:rPr>
        <w:t> </w:t>
      </w:r>
      <w:r>
        <w:rPr>
          <w:w w:val="105"/>
          <w:sz w:val="21"/>
        </w:rPr>
        <w:t>party’s</w:t>
      </w:r>
      <w:r>
        <w:rPr>
          <w:spacing w:val="-5"/>
          <w:w w:val="105"/>
          <w:sz w:val="21"/>
        </w:rPr>
        <w:t> </w:t>
      </w:r>
      <w:r>
        <w:rPr>
          <w:w w:val="105"/>
          <w:sz w:val="21"/>
        </w:rPr>
        <w:t>prospects</w:t>
      </w:r>
      <w:r>
        <w:rPr>
          <w:spacing w:val="-5"/>
          <w:w w:val="105"/>
          <w:sz w:val="21"/>
        </w:rPr>
        <w:t> </w:t>
      </w:r>
      <w:r>
        <w:rPr>
          <w:w w:val="105"/>
          <w:sz w:val="21"/>
        </w:rPr>
        <w:t>of</w:t>
      </w:r>
      <w:r>
        <w:rPr>
          <w:spacing w:val="-5"/>
          <w:w w:val="105"/>
          <w:sz w:val="21"/>
        </w:rPr>
        <w:t> </w:t>
      </w:r>
      <w:r>
        <w:rPr>
          <w:spacing w:val="-3"/>
          <w:w w:val="105"/>
          <w:sz w:val="21"/>
        </w:rPr>
        <w:t>success’</w:t>
      </w:r>
      <w:r>
        <w:rPr>
          <w:spacing w:val="-5"/>
          <w:w w:val="105"/>
          <w:sz w:val="21"/>
        </w:rPr>
        <w:t> </w:t>
      </w:r>
      <w:r>
        <w:rPr>
          <w:w w:val="105"/>
          <w:sz w:val="21"/>
        </w:rPr>
        <w:t>or</w:t>
      </w:r>
      <w:r>
        <w:rPr>
          <w:spacing w:val="-5"/>
          <w:w w:val="105"/>
          <w:sz w:val="21"/>
        </w:rPr>
        <w:t> </w:t>
      </w:r>
      <w:r>
        <w:rPr>
          <w:spacing w:val="-4"/>
          <w:w w:val="105"/>
          <w:sz w:val="21"/>
        </w:rPr>
        <w:t>‘put</w:t>
      </w:r>
      <w:r>
        <w:rPr>
          <w:spacing w:val="-5"/>
          <w:w w:val="105"/>
          <w:sz w:val="21"/>
        </w:rPr>
        <w:t> </w:t>
      </w:r>
      <w:r>
        <w:rPr>
          <w:w w:val="105"/>
          <w:sz w:val="21"/>
        </w:rPr>
        <w:t>forward</w:t>
      </w:r>
      <w:r>
        <w:rPr>
          <w:spacing w:val="-5"/>
          <w:w w:val="105"/>
          <w:sz w:val="21"/>
        </w:rPr>
        <w:t> </w:t>
      </w:r>
      <w:r>
        <w:rPr>
          <w:w w:val="105"/>
          <w:sz w:val="21"/>
        </w:rPr>
        <w:t>options</w:t>
      </w:r>
      <w:r>
        <w:rPr>
          <w:spacing w:val="-5"/>
          <w:w w:val="105"/>
          <w:sz w:val="21"/>
        </w:rPr>
        <w:t> </w:t>
      </w:r>
      <w:r>
        <w:rPr>
          <w:spacing w:val="-3"/>
          <w:w w:val="105"/>
          <w:sz w:val="21"/>
        </w:rPr>
        <w:t>for </w:t>
      </w:r>
      <w:r>
        <w:rPr>
          <w:w w:val="105"/>
          <w:sz w:val="21"/>
        </w:rPr>
        <w:t>settlement of the</w:t>
      </w:r>
      <w:r>
        <w:rPr>
          <w:spacing w:val="15"/>
          <w:w w:val="105"/>
          <w:sz w:val="21"/>
        </w:rPr>
        <w:t> </w:t>
      </w:r>
      <w:r>
        <w:rPr>
          <w:spacing w:val="-3"/>
          <w:w w:val="105"/>
          <w:sz w:val="21"/>
        </w:rPr>
        <w:t>proceeding’.</w:t>
      </w:r>
      <w:r>
        <w:rPr>
          <w:spacing w:val="-3"/>
          <w:w w:val="105"/>
          <w:position w:val="7"/>
          <w:sz w:val="12"/>
        </w:rPr>
        <w:t>88</w:t>
      </w:r>
    </w:p>
    <w:p>
      <w:pPr>
        <w:pStyle w:val="Heading7"/>
      </w:pPr>
      <w:r>
        <w:rPr>
          <w:color w:val="58595B"/>
          <w:w w:val="115"/>
        </w:rPr>
        <w:t>Fast track mediation and hearing program</w:t>
      </w:r>
    </w:p>
    <w:p>
      <w:pPr>
        <w:pStyle w:val="ListParagraph"/>
        <w:numPr>
          <w:ilvl w:val="1"/>
          <w:numId w:val="16"/>
        </w:numPr>
        <w:tabs>
          <w:tab w:pos="2381" w:val="left" w:leader="none"/>
          <w:tab w:pos="2382" w:val="left" w:leader="none"/>
        </w:tabs>
        <w:spacing w:line="242" w:lineRule="auto" w:before="142" w:after="0"/>
        <w:ind w:left="2381" w:right="1744" w:hanging="794"/>
        <w:jc w:val="left"/>
        <w:rPr>
          <w:sz w:val="21"/>
        </w:rPr>
      </w:pPr>
      <w:r>
        <w:rPr>
          <w:w w:val="105"/>
          <w:sz w:val="21"/>
        </w:rPr>
        <w:t>For some </w:t>
      </w:r>
      <w:r>
        <w:rPr>
          <w:spacing w:val="-3"/>
          <w:w w:val="105"/>
          <w:sz w:val="21"/>
        </w:rPr>
        <w:t>Civil </w:t>
      </w:r>
      <w:r>
        <w:rPr>
          <w:w w:val="105"/>
          <w:sz w:val="21"/>
        </w:rPr>
        <w:t>Division </w:t>
      </w:r>
      <w:r>
        <w:rPr>
          <w:spacing w:val="-3"/>
          <w:w w:val="105"/>
          <w:sz w:val="21"/>
        </w:rPr>
        <w:t>claims for </w:t>
      </w:r>
      <w:r>
        <w:rPr>
          <w:w w:val="105"/>
          <w:sz w:val="21"/>
        </w:rPr>
        <w:t>goods and services between $500 and </w:t>
      </w:r>
      <w:r>
        <w:rPr>
          <w:spacing w:val="-4"/>
          <w:w w:val="105"/>
          <w:sz w:val="21"/>
        </w:rPr>
        <w:t>$10,000 </w:t>
      </w:r>
      <w:r>
        <w:rPr>
          <w:w w:val="105"/>
          <w:sz w:val="21"/>
        </w:rPr>
        <w:t>parties </w:t>
      </w:r>
      <w:r>
        <w:rPr>
          <w:spacing w:val="-3"/>
          <w:w w:val="105"/>
          <w:sz w:val="21"/>
        </w:rPr>
        <w:t>may </w:t>
      </w:r>
      <w:r>
        <w:rPr>
          <w:w w:val="105"/>
          <w:sz w:val="21"/>
        </w:rPr>
        <w:t>participate in </w:t>
      </w:r>
      <w:r>
        <w:rPr>
          <w:spacing w:val="-6"/>
          <w:w w:val="105"/>
          <w:sz w:val="21"/>
        </w:rPr>
        <w:t>VCAT’s </w:t>
      </w:r>
      <w:r>
        <w:rPr>
          <w:w w:val="105"/>
          <w:sz w:val="21"/>
        </w:rPr>
        <w:t>fast </w:t>
      </w:r>
      <w:r>
        <w:rPr>
          <w:spacing w:val="-3"/>
          <w:w w:val="105"/>
          <w:sz w:val="21"/>
        </w:rPr>
        <w:t>track </w:t>
      </w:r>
      <w:r>
        <w:rPr>
          <w:w w:val="105"/>
          <w:sz w:val="21"/>
        </w:rPr>
        <w:t>mediation and </w:t>
      </w:r>
      <w:r>
        <w:rPr>
          <w:spacing w:val="-3"/>
          <w:w w:val="105"/>
          <w:sz w:val="21"/>
        </w:rPr>
        <w:t>hearing</w:t>
      </w:r>
      <w:r>
        <w:rPr>
          <w:spacing w:val="43"/>
          <w:w w:val="105"/>
          <w:sz w:val="21"/>
        </w:rPr>
        <w:t> </w:t>
      </w:r>
      <w:r>
        <w:rPr>
          <w:w w:val="105"/>
          <w:sz w:val="21"/>
        </w:rPr>
        <w:t>program.</w:t>
      </w:r>
      <w:r>
        <w:rPr>
          <w:w w:val="105"/>
          <w:position w:val="7"/>
          <w:sz w:val="12"/>
        </w:rPr>
        <w:t>89</w:t>
      </w:r>
    </w:p>
    <w:p>
      <w:pPr>
        <w:pStyle w:val="ListParagraph"/>
        <w:numPr>
          <w:ilvl w:val="1"/>
          <w:numId w:val="16"/>
        </w:numPr>
        <w:tabs>
          <w:tab w:pos="2381" w:val="left" w:leader="none"/>
          <w:tab w:pos="2382" w:val="left" w:leader="none"/>
        </w:tabs>
        <w:spacing w:line="242" w:lineRule="auto" w:before="123" w:after="0"/>
        <w:ind w:left="2381" w:right="1523" w:hanging="794"/>
        <w:jc w:val="left"/>
        <w:rPr>
          <w:sz w:val="21"/>
        </w:rPr>
      </w:pPr>
      <w:r>
        <w:rPr>
          <w:spacing w:val="-2"/>
          <w:sz w:val="21"/>
        </w:rPr>
        <w:t>The </w:t>
      </w:r>
      <w:r>
        <w:rPr>
          <w:spacing w:val="-4"/>
          <w:sz w:val="21"/>
        </w:rPr>
        <w:t>fast  track  </w:t>
      </w:r>
      <w:r>
        <w:rPr>
          <w:spacing w:val="-5"/>
          <w:sz w:val="21"/>
        </w:rPr>
        <w:t>program  </w:t>
      </w:r>
      <w:r>
        <w:rPr>
          <w:spacing w:val="-3"/>
          <w:sz w:val="21"/>
        </w:rPr>
        <w:t>is </w:t>
      </w:r>
      <w:r>
        <w:rPr>
          <w:spacing w:val="-5"/>
          <w:sz w:val="21"/>
        </w:rPr>
        <w:t>administered  </w:t>
      </w:r>
      <w:r>
        <w:rPr>
          <w:spacing w:val="-3"/>
          <w:sz w:val="21"/>
        </w:rPr>
        <w:t>by the </w:t>
      </w:r>
      <w:r>
        <w:rPr>
          <w:spacing w:val="-4"/>
          <w:sz w:val="21"/>
        </w:rPr>
        <w:t>Dispute  Settlement  </w:t>
      </w:r>
      <w:r>
        <w:rPr>
          <w:spacing w:val="-6"/>
          <w:sz w:val="21"/>
        </w:rPr>
        <w:t>Centre  </w:t>
      </w:r>
      <w:r>
        <w:rPr>
          <w:spacing w:val="-3"/>
          <w:sz w:val="21"/>
        </w:rPr>
        <w:t>of </w:t>
      </w:r>
      <w:r>
        <w:rPr>
          <w:spacing w:val="-4"/>
          <w:sz w:val="21"/>
        </w:rPr>
        <w:t>Victoria  </w:t>
      </w:r>
      <w:r>
        <w:rPr>
          <w:sz w:val="21"/>
        </w:rPr>
        <w:t>(DSCV).  It </w:t>
      </w:r>
      <w:r>
        <w:rPr>
          <w:spacing w:val="-4"/>
          <w:sz w:val="21"/>
        </w:rPr>
        <w:t>began  operating  </w:t>
      </w:r>
      <w:r>
        <w:rPr>
          <w:spacing w:val="-3"/>
          <w:sz w:val="21"/>
        </w:rPr>
        <w:t>in  </w:t>
      </w:r>
      <w:r>
        <w:rPr>
          <w:spacing w:val="-7"/>
          <w:sz w:val="21"/>
        </w:rPr>
        <w:t>VCAT’s  </w:t>
      </w:r>
      <w:r>
        <w:rPr>
          <w:spacing w:val="-4"/>
          <w:sz w:val="21"/>
        </w:rPr>
        <w:t>main  location  </w:t>
      </w:r>
      <w:r>
        <w:rPr>
          <w:spacing w:val="-3"/>
          <w:sz w:val="21"/>
        </w:rPr>
        <w:t>in  </w:t>
      </w:r>
      <w:r>
        <w:rPr>
          <w:spacing w:val="-4"/>
          <w:sz w:val="21"/>
        </w:rPr>
        <w:t>Melbourne  and  </w:t>
      </w:r>
      <w:r>
        <w:rPr>
          <w:spacing w:val="-3"/>
          <w:sz w:val="21"/>
        </w:rPr>
        <w:t>then  in  </w:t>
      </w:r>
      <w:r>
        <w:rPr>
          <w:spacing w:val="-4"/>
          <w:sz w:val="21"/>
        </w:rPr>
        <w:t>Geelong.</w:t>
      </w:r>
      <w:r>
        <w:rPr>
          <w:spacing w:val="-4"/>
          <w:position w:val="7"/>
          <w:sz w:val="12"/>
        </w:rPr>
        <w:t>90  </w:t>
      </w:r>
      <w:r>
        <w:rPr>
          <w:spacing w:val="-4"/>
          <w:sz w:val="21"/>
        </w:rPr>
        <w:t>The </w:t>
      </w:r>
      <w:r>
        <w:rPr>
          <w:spacing w:val="-6"/>
          <w:sz w:val="21"/>
        </w:rPr>
        <w:t>program </w:t>
      </w:r>
      <w:r>
        <w:rPr>
          <w:spacing w:val="-5"/>
          <w:sz w:val="21"/>
        </w:rPr>
        <w:t>leverages DSCV’s existing presence </w:t>
      </w:r>
      <w:r>
        <w:rPr>
          <w:spacing w:val="-4"/>
          <w:sz w:val="21"/>
        </w:rPr>
        <w:t>in </w:t>
      </w:r>
      <w:r>
        <w:rPr>
          <w:spacing w:val="-5"/>
          <w:sz w:val="21"/>
        </w:rPr>
        <w:t>regional </w:t>
      </w:r>
      <w:r>
        <w:rPr>
          <w:spacing w:val="-6"/>
          <w:sz w:val="21"/>
        </w:rPr>
        <w:t>areas.</w:t>
      </w:r>
      <w:r>
        <w:rPr>
          <w:spacing w:val="-6"/>
          <w:position w:val="7"/>
          <w:sz w:val="12"/>
        </w:rPr>
        <w:t>91 </w:t>
      </w:r>
      <w:r>
        <w:rPr>
          <w:spacing w:val="-4"/>
          <w:sz w:val="21"/>
        </w:rPr>
        <w:t>Parties </w:t>
      </w:r>
      <w:r>
        <w:rPr>
          <w:spacing w:val="-5"/>
          <w:sz w:val="21"/>
        </w:rPr>
        <w:t>engage </w:t>
      </w:r>
      <w:r>
        <w:rPr>
          <w:spacing w:val="-4"/>
          <w:sz w:val="21"/>
        </w:rPr>
        <w:t>in the </w:t>
      </w:r>
      <w:r>
        <w:rPr>
          <w:spacing w:val="-6"/>
          <w:sz w:val="21"/>
        </w:rPr>
        <w:t>program </w:t>
      </w:r>
      <w:r>
        <w:rPr>
          <w:spacing w:val="-5"/>
          <w:sz w:val="21"/>
        </w:rPr>
        <w:t>approximately </w:t>
      </w:r>
      <w:r>
        <w:rPr>
          <w:spacing w:val="-3"/>
          <w:sz w:val="21"/>
        </w:rPr>
        <w:t>six weeks after an </w:t>
      </w:r>
      <w:r>
        <w:rPr>
          <w:spacing w:val="-4"/>
          <w:sz w:val="21"/>
        </w:rPr>
        <w:t>application has </w:t>
      </w:r>
      <w:r>
        <w:rPr>
          <w:spacing w:val="-3"/>
          <w:sz w:val="21"/>
        </w:rPr>
        <w:t>been </w:t>
      </w:r>
      <w:r>
        <w:rPr>
          <w:spacing w:val="-4"/>
          <w:sz w:val="21"/>
        </w:rPr>
        <w:t>lodged. </w:t>
      </w:r>
      <w:r>
        <w:rPr>
          <w:spacing w:val="-2"/>
          <w:sz w:val="21"/>
        </w:rPr>
        <w:t>The </w:t>
      </w:r>
      <w:r>
        <w:rPr>
          <w:spacing w:val="-3"/>
          <w:sz w:val="21"/>
        </w:rPr>
        <w:t>typical</w:t>
      </w:r>
      <w:r>
        <w:rPr>
          <w:spacing w:val="-2"/>
          <w:sz w:val="21"/>
        </w:rPr>
        <w:t> </w:t>
      </w:r>
      <w:r>
        <w:rPr>
          <w:spacing w:val="-4"/>
          <w:sz w:val="21"/>
        </w:rPr>
        <w:t>process involves:</w:t>
      </w:r>
    </w:p>
    <w:p>
      <w:pPr>
        <w:pStyle w:val="ListParagraph"/>
        <w:numPr>
          <w:ilvl w:val="2"/>
          <w:numId w:val="16"/>
        </w:numPr>
        <w:tabs>
          <w:tab w:pos="2721" w:val="left" w:leader="none"/>
          <w:tab w:pos="2722" w:val="left" w:leader="none"/>
        </w:tabs>
        <w:spacing w:line="240" w:lineRule="auto" w:before="124" w:after="0"/>
        <w:ind w:left="2721" w:right="0" w:hanging="340"/>
        <w:jc w:val="left"/>
        <w:rPr>
          <w:sz w:val="21"/>
        </w:rPr>
      </w:pPr>
      <w:r>
        <w:rPr>
          <w:sz w:val="21"/>
        </w:rPr>
        <w:t>an </w:t>
      </w:r>
      <w:r>
        <w:rPr>
          <w:spacing w:val="-3"/>
          <w:sz w:val="21"/>
        </w:rPr>
        <w:t>initial </w:t>
      </w:r>
      <w:r>
        <w:rPr>
          <w:sz w:val="21"/>
        </w:rPr>
        <w:t>telephone conversation with DSCV mediators </w:t>
      </w:r>
      <w:r>
        <w:rPr>
          <w:spacing w:val="-3"/>
          <w:sz w:val="21"/>
        </w:rPr>
        <w:t>to </w:t>
      </w:r>
      <w:r>
        <w:rPr>
          <w:sz w:val="21"/>
        </w:rPr>
        <w:t>explore options </w:t>
      </w:r>
      <w:r>
        <w:rPr>
          <w:spacing w:val="-3"/>
          <w:sz w:val="21"/>
        </w:rPr>
        <w:t>for</w:t>
      </w:r>
      <w:r>
        <w:rPr>
          <w:spacing w:val="37"/>
          <w:sz w:val="21"/>
        </w:rPr>
        <w:t> </w:t>
      </w:r>
      <w:r>
        <w:rPr>
          <w:sz w:val="21"/>
        </w:rPr>
        <w:t>resolution</w:t>
      </w:r>
    </w:p>
    <w:p>
      <w:pPr>
        <w:pStyle w:val="ListParagraph"/>
        <w:numPr>
          <w:ilvl w:val="2"/>
          <w:numId w:val="16"/>
        </w:numPr>
        <w:tabs>
          <w:tab w:pos="2721" w:val="left" w:leader="none"/>
          <w:tab w:pos="2722" w:val="left" w:leader="none"/>
        </w:tabs>
        <w:spacing w:line="242" w:lineRule="auto" w:before="89" w:after="0"/>
        <w:ind w:left="2721" w:right="2055" w:hanging="340"/>
        <w:jc w:val="left"/>
        <w:rPr>
          <w:sz w:val="21"/>
        </w:rPr>
      </w:pPr>
      <w:r>
        <w:rPr>
          <w:sz w:val="21"/>
        </w:rPr>
        <w:t>the parties </w:t>
      </w:r>
      <w:r>
        <w:rPr>
          <w:spacing w:val="-3"/>
          <w:sz w:val="21"/>
        </w:rPr>
        <w:t>are </w:t>
      </w:r>
      <w:r>
        <w:rPr>
          <w:sz w:val="21"/>
        </w:rPr>
        <w:t>scheduled </w:t>
      </w:r>
      <w:r>
        <w:rPr>
          <w:spacing w:val="-3"/>
          <w:sz w:val="21"/>
        </w:rPr>
        <w:t>for </w:t>
      </w:r>
      <w:r>
        <w:rPr>
          <w:sz w:val="21"/>
        </w:rPr>
        <w:t>mediation and provided with </w:t>
      </w:r>
      <w:r>
        <w:rPr>
          <w:spacing w:val="-3"/>
          <w:sz w:val="21"/>
        </w:rPr>
        <w:t>information </w:t>
      </w:r>
      <w:r>
        <w:rPr>
          <w:sz w:val="21"/>
        </w:rPr>
        <w:t>about the mediation</w:t>
      </w:r>
      <w:r>
        <w:rPr>
          <w:spacing w:val="8"/>
          <w:sz w:val="21"/>
        </w:rPr>
        <w:t> </w:t>
      </w:r>
      <w:r>
        <w:rPr>
          <w:sz w:val="21"/>
        </w:rPr>
        <w:t>process</w:t>
      </w:r>
    </w:p>
    <w:p>
      <w:pPr>
        <w:pStyle w:val="ListParagraph"/>
        <w:numPr>
          <w:ilvl w:val="2"/>
          <w:numId w:val="16"/>
        </w:numPr>
        <w:tabs>
          <w:tab w:pos="2721" w:val="left" w:leader="none"/>
          <w:tab w:pos="2722" w:val="left" w:leader="none"/>
        </w:tabs>
        <w:spacing w:line="240" w:lineRule="auto" w:before="87" w:after="0"/>
        <w:ind w:left="2721" w:right="0" w:hanging="340"/>
        <w:jc w:val="left"/>
        <w:rPr>
          <w:sz w:val="12"/>
        </w:rPr>
      </w:pPr>
      <w:r>
        <w:rPr>
          <w:w w:val="105"/>
          <w:sz w:val="21"/>
        </w:rPr>
        <w:t>mediation (up </w:t>
      </w:r>
      <w:r>
        <w:rPr>
          <w:spacing w:val="-3"/>
          <w:w w:val="105"/>
          <w:sz w:val="21"/>
        </w:rPr>
        <w:t>to </w:t>
      </w:r>
      <w:r>
        <w:rPr>
          <w:w w:val="105"/>
          <w:sz w:val="21"/>
        </w:rPr>
        <w:t>90</w:t>
      </w:r>
      <w:r>
        <w:rPr>
          <w:spacing w:val="24"/>
          <w:w w:val="105"/>
          <w:sz w:val="21"/>
        </w:rPr>
        <w:t> </w:t>
      </w:r>
      <w:r>
        <w:rPr>
          <w:spacing w:val="-3"/>
          <w:w w:val="105"/>
          <w:sz w:val="21"/>
        </w:rPr>
        <w:t>minutes).</w:t>
      </w:r>
      <w:r>
        <w:rPr>
          <w:spacing w:val="-3"/>
          <w:w w:val="105"/>
          <w:position w:val="7"/>
          <w:sz w:val="12"/>
        </w:rPr>
        <w:t>92</w:t>
      </w:r>
    </w:p>
    <w:p>
      <w:pPr>
        <w:pStyle w:val="ListParagraph"/>
        <w:numPr>
          <w:ilvl w:val="1"/>
          <w:numId w:val="16"/>
        </w:numPr>
        <w:tabs>
          <w:tab w:pos="2380" w:val="left" w:leader="none"/>
          <w:tab w:pos="2381" w:val="left" w:leader="none"/>
        </w:tabs>
        <w:spacing w:line="240" w:lineRule="auto" w:before="89" w:after="0"/>
        <w:ind w:left="2381" w:right="0" w:hanging="794"/>
        <w:jc w:val="left"/>
        <w:rPr>
          <w:sz w:val="21"/>
        </w:rPr>
      </w:pPr>
      <w:r>
        <w:rPr/>
        <w:pict>
          <v:line style="position:absolute;mso-position-horizontal-relative:page;mso-position-vertical-relative:paragraph;z-index:6560;mso-wrap-distance-left:0;mso-wrap-distance-right:0" from="79.370102pt,23.510366pt" to="520.630102pt,23.510366pt" stroked="true" strokeweight="1pt" strokecolor="#c9d2cb">
            <v:stroke dashstyle="solid"/>
            <w10:wrap type="topAndBottom"/>
          </v:line>
        </w:pict>
      </w:r>
      <w:r>
        <w:rPr>
          <w:w w:val="105"/>
          <w:sz w:val="21"/>
        </w:rPr>
        <w:t>If mediation does </w:t>
      </w:r>
      <w:r>
        <w:rPr>
          <w:spacing w:val="-2"/>
          <w:w w:val="105"/>
          <w:sz w:val="21"/>
        </w:rPr>
        <w:t>not </w:t>
      </w:r>
      <w:r>
        <w:rPr>
          <w:spacing w:val="-3"/>
          <w:w w:val="105"/>
          <w:sz w:val="21"/>
        </w:rPr>
        <w:t>result </w:t>
      </w:r>
      <w:r>
        <w:rPr>
          <w:w w:val="105"/>
          <w:sz w:val="21"/>
        </w:rPr>
        <w:t>in an </w:t>
      </w:r>
      <w:r>
        <w:rPr>
          <w:spacing w:val="-2"/>
          <w:w w:val="105"/>
          <w:sz w:val="21"/>
        </w:rPr>
        <w:t>agreement, </w:t>
      </w:r>
      <w:r>
        <w:rPr>
          <w:w w:val="105"/>
          <w:sz w:val="21"/>
        </w:rPr>
        <w:t>the matter </w:t>
      </w:r>
      <w:r>
        <w:rPr>
          <w:spacing w:val="-3"/>
          <w:w w:val="105"/>
          <w:sz w:val="21"/>
        </w:rPr>
        <w:t>will generally </w:t>
      </w:r>
      <w:r>
        <w:rPr>
          <w:w w:val="105"/>
          <w:sz w:val="21"/>
        </w:rPr>
        <w:t>proceed </w:t>
      </w:r>
      <w:r>
        <w:rPr>
          <w:spacing w:val="-3"/>
          <w:w w:val="105"/>
          <w:sz w:val="21"/>
        </w:rPr>
        <w:t>to </w:t>
      </w:r>
      <w:r>
        <w:rPr>
          <w:w w:val="105"/>
          <w:sz w:val="21"/>
        </w:rPr>
        <w:t>a</w:t>
      </w:r>
      <w:r>
        <w:rPr>
          <w:spacing w:val="3"/>
          <w:w w:val="105"/>
          <w:sz w:val="21"/>
        </w:rPr>
        <w:t> </w:t>
      </w:r>
      <w:r>
        <w:rPr>
          <w:spacing w:val="-5"/>
          <w:w w:val="105"/>
          <w:sz w:val="21"/>
        </w:rPr>
        <w:t>VCAT</w: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27"/>
        <w:ind w:left="720" w:right="0" w:firstLine="0"/>
        <w:jc w:val="left"/>
        <w:rPr>
          <w:b/>
          <w:sz w:val="24"/>
        </w:rPr>
      </w:pPr>
      <w:r>
        <w:rPr>
          <w:b/>
          <w:color w:val="658464"/>
          <w:spacing w:val="-2"/>
          <w:w w:val="110"/>
          <w:sz w:val="24"/>
        </w:rPr>
        <w:t>140</w:t>
      </w:r>
    </w:p>
    <w:p>
      <w:pPr>
        <w:pStyle w:val="ListParagraph"/>
        <w:numPr>
          <w:ilvl w:val="0"/>
          <w:numId w:val="109"/>
        </w:numPr>
        <w:tabs>
          <w:tab w:pos="1224" w:val="left" w:leader="none"/>
          <w:tab w:pos="1226" w:val="left" w:leader="none"/>
        </w:tabs>
        <w:spacing w:line="240" w:lineRule="auto" w:before="48" w:after="0"/>
        <w:ind w:left="1225" w:right="1662" w:hanging="794"/>
        <w:jc w:val="left"/>
        <w:rPr>
          <w:sz w:val="13"/>
        </w:rPr>
      </w:pPr>
      <w:r>
        <w:rPr>
          <w:i/>
          <w:spacing w:val="3"/>
          <w:w w:val="107"/>
          <w:sz w:val="13"/>
        </w:rPr>
        <w:br w:type="column"/>
      </w:r>
      <w:r>
        <w:rPr>
          <w:i/>
          <w:w w:val="105"/>
          <w:sz w:val="13"/>
        </w:rPr>
        <w:t>Victorian Civil and Administrative Tribunal Act 1998 </w:t>
      </w:r>
      <w:r>
        <w:rPr>
          <w:spacing w:val="2"/>
          <w:w w:val="105"/>
          <w:sz w:val="13"/>
        </w:rPr>
        <w:t>(Vic) </w:t>
      </w:r>
      <w:r>
        <w:rPr>
          <w:w w:val="105"/>
          <w:sz w:val="13"/>
        </w:rPr>
        <w:t>s </w:t>
      </w:r>
      <w:r>
        <w:rPr>
          <w:spacing w:val="2"/>
          <w:w w:val="105"/>
          <w:sz w:val="13"/>
        </w:rPr>
        <w:t>83; </w:t>
      </w:r>
      <w:r>
        <w:rPr>
          <w:w w:val="105"/>
          <w:sz w:val="13"/>
        </w:rPr>
        <w:t>See Victorian Civil and Administrative Tribunal, </w:t>
      </w:r>
      <w:r>
        <w:rPr>
          <w:i/>
          <w:w w:val="105"/>
          <w:sz w:val="13"/>
        </w:rPr>
        <w:t>Practice Note PNVCAT4: </w:t>
      </w:r>
      <w:r>
        <w:rPr>
          <w:i/>
          <w:w w:val="105"/>
          <w:sz w:val="13"/>
        </w:rPr>
        <w:t>Alternative Dispute Resolution </w:t>
      </w:r>
      <w:r>
        <w:rPr>
          <w:spacing w:val="3"/>
          <w:w w:val="105"/>
          <w:sz w:val="13"/>
        </w:rPr>
        <w:t>(ADR), </w:t>
      </w:r>
      <w:r>
        <w:rPr>
          <w:spacing w:val="-3"/>
          <w:w w:val="105"/>
          <w:sz w:val="13"/>
        </w:rPr>
        <w:t>19 </w:t>
      </w:r>
      <w:r>
        <w:rPr>
          <w:w w:val="105"/>
          <w:sz w:val="13"/>
        </w:rPr>
        <w:t>December 2018, 5. See also </w:t>
      </w:r>
      <w:r>
        <w:rPr>
          <w:i/>
          <w:w w:val="105"/>
          <w:sz w:val="13"/>
        </w:rPr>
        <w:t>Justice Legislation Amendment (Access to Justice) Act </w:t>
      </w:r>
      <w:r>
        <w:rPr>
          <w:i/>
          <w:spacing w:val="-3"/>
          <w:w w:val="105"/>
          <w:sz w:val="13"/>
        </w:rPr>
        <w:t>2018 </w:t>
      </w:r>
      <w:r>
        <w:rPr>
          <w:spacing w:val="2"/>
          <w:w w:val="105"/>
          <w:sz w:val="13"/>
        </w:rPr>
        <w:t>(Vic) </w:t>
      </w:r>
      <w:r>
        <w:rPr>
          <w:w w:val="105"/>
          <w:sz w:val="13"/>
        </w:rPr>
        <w:t>s </w:t>
      </w:r>
      <w:r>
        <w:rPr>
          <w:spacing w:val="2"/>
          <w:w w:val="105"/>
          <w:sz w:val="13"/>
        </w:rPr>
        <w:t>64  </w:t>
      </w:r>
      <w:r>
        <w:rPr>
          <w:w w:val="105"/>
          <w:sz w:val="13"/>
        </w:rPr>
        <w:t>and</w:t>
      </w:r>
      <w:r>
        <w:rPr>
          <w:spacing w:val="4"/>
          <w:w w:val="105"/>
          <w:sz w:val="13"/>
        </w:rPr>
        <w:t> </w:t>
      </w:r>
      <w:r>
        <w:rPr>
          <w:w w:val="105"/>
          <w:sz w:val="13"/>
        </w:rPr>
        <w:t>65.</w:t>
      </w:r>
    </w:p>
    <w:p>
      <w:pPr>
        <w:pStyle w:val="ListParagraph"/>
        <w:numPr>
          <w:ilvl w:val="0"/>
          <w:numId w:val="109"/>
        </w:numPr>
        <w:tabs>
          <w:tab w:pos="1224" w:val="left" w:leader="none"/>
          <w:tab w:pos="1226" w:val="left" w:leader="none"/>
        </w:tabs>
        <w:spacing w:line="240" w:lineRule="auto" w:before="4" w:after="0"/>
        <w:ind w:left="1225" w:right="0" w:hanging="794"/>
        <w:jc w:val="left"/>
        <w:rPr>
          <w:sz w:val="13"/>
        </w:rPr>
      </w:pPr>
      <w:r>
        <w:rPr>
          <w:i/>
          <w:sz w:val="13"/>
        </w:rPr>
        <w:t>Victorian  Civil  and  Administrative  Tribunal  Act  1998  </w:t>
      </w:r>
      <w:r>
        <w:rPr>
          <w:spacing w:val="2"/>
          <w:sz w:val="13"/>
        </w:rPr>
        <w:t>(Vic)  </w:t>
      </w:r>
      <w:r>
        <w:rPr>
          <w:sz w:val="13"/>
        </w:rPr>
        <w:t>s</w:t>
      </w:r>
      <w:r>
        <w:rPr>
          <w:spacing w:val="-9"/>
          <w:sz w:val="13"/>
        </w:rPr>
        <w:t> </w:t>
      </w:r>
      <w:r>
        <w:rPr>
          <w:sz w:val="13"/>
        </w:rPr>
        <w:t>83(1).</w:t>
      </w:r>
    </w:p>
    <w:p>
      <w:pPr>
        <w:pStyle w:val="ListParagraph"/>
        <w:numPr>
          <w:ilvl w:val="0"/>
          <w:numId w:val="109"/>
        </w:numPr>
        <w:tabs>
          <w:tab w:pos="1224" w:val="left" w:leader="none"/>
          <w:tab w:pos="1226" w:val="left" w:leader="none"/>
        </w:tabs>
        <w:spacing w:line="240" w:lineRule="auto" w:before="1" w:after="0"/>
        <w:ind w:left="1225" w:right="1529" w:hanging="794"/>
        <w:jc w:val="left"/>
        <w:rPr>
          <w:sz w:val="13"/>
        </w:rPr>
      </w:pPr>
      <w:r>
        <w:rPr>
          <w:w w:val="105"/>
          <w:sz w:val="13"/>
        </w:rPr>
        <w:t>Victorian Civil and Administrative Tribunal, </w:t>
      </w:r>
      <w:r>
        <w:rPr>
          <w:i/>
          <w:w w:val="105"/>
          <w:sz w:val="13"/>
        </w:rPr>
        <w:t>Practice Note PNVCAT4: Alternative Dispute Resolution </w:t>
      </w:r>
      <w:r>
        <w:rPr>
          <w:spacing w:val="3"/>
          <w:w w:val="105"/>
          <w:sz w:val="13"/>
        </w:rPr>
        <w:t>(ADR), </w:t>
      </w:r>
      <w:r>
        <w:rPr>
          <w:spacing w:val="-3"/>
          <w:w w:val="105"/>
          <w:sz w:val="13"/>
        </w:rPr>
        <w:t>19 </w:t>
      </w:r>
      <w:r>
        <w:rPr>
          <w:w w:val="105"/>
          <w:sz w:val="13"/>
        </w:rPr>
        <w:t>December 2018, </w:t>
      </w:r>
      <w:r>
        <w:rPr>
          <w:spacing w:val="3"/>
          <w:w w:val="105"/>
          <w:sz w:val="13"/>
        </w:rPr>
        <w:t>4–5; </w:t>
      </w:r>
      <w:r>
        <w:rPr>
          <w:w w:val="105"/>
          <w:sz w:val="13"/>
        </w:rPr>
        <w:t>see also Victorian Civil and Administrative Tribunal, </w:t>
      </w:r>
      <w:r>
        <w:rPr>
          <w:i/>
          <w:w w:val="105"/>
          <w:sz w:val="13"/>
        </w:rPr>
        <w:t>Compulsory Conferences </w:t>
      </w:r>
      <w:r>
        <w:rPr>
          <w:w w:val="105"/>
          <w:sz w:val="13"/>
        </w:rPr>
        <w:t>(Web Page) &lt;</w:t>
      </w:r>
      <w:hyperlink r:id="rId175">
        <w:r>
          <w:rPr>
            <w:w w:val="105"/>
            <w:sz w:val="13"/>
          </w:rPr>
          <w:t>www.vcat.vic.gov.au/steps-to-resolve-your-case/resolve-a-</w:t>
        </w:r>
      </w:hyperlink>
      <w:r>
        <w:rPr>
          <w:w w:val="105"/>
          <w:sz w:val="13"/>
        </w:rPr>
        <w:t> case-by-agreement/compulsory-conferences&gt;.</w:t>
      </w:r>
    </w:p>
    <w:p>
      <w:pPr>
        <w:pStyle w:val="ListParagraph"/>
        <w:numPr>
          <w:ilvl w:val="0"/>
          <w:numId w:val="109"/>
        </w:numPr>
        <w:tabs>
          <w:tab w:pos="1224" w:val="left" w:leader="none"/>
          <w:tab w:pos="1226" w:val="left" w:leader="none"/>
        </w:tabs>
        <w:spacing w:line="240" w:lineRule="auto" w:before="4" w:after="0"/>
        <w:ind w:left="1225" w:right="1514" w:hanging="794"/>
        <w:jc w:val="left"/>
        <w:rPr>
          <w:sz w:val="13"/>
        </w:rPr>
      </w:pPr>
      <w:r>
        <w:rPr>
          <w:i/>
          <w:w w:val="105"/>
          <w:sz w:val="13"/>
        </w:rPr>
        <w:t>Victorian Civil and Administrative Tribunal Act 1998 </w:t>
      </w:r>
      <w:r>
        <w:rPr>
          <w:spacing w:val="2"/>
          <w:w w:val="105"/>
          <w:sz w:val="13"/>
        </w:rPr>
        <w:t>(Vic) </w:t>
      </w:r>
      <w:r>
        <w:rPr>
          <w:w w:val="105"/>
          <w:sz w:val="13"/>
        </w:rPr>
        <w:t>s </w:t>
      </w:r>
      <w:r>
        <w:rPr>
          <w:spacing w:val="2"/>
          <w:w w:val="105"/>
          <w:sz w:val="13"/>
        </w:rPr>
        <w:t>83; </w:t>
      </w:r>
      <w:r>
        <w:rPr>
          <w:w w:val="105"/>
          <w:sz w:val="13"/>
        </w:rPr>
        <w:t>Victorian Civil and Administrative Tribunal, </w:t>
      </w:r>
      <w:r>
        <w:rPr>
          <w:i/>
          <w:w w:val="105"/>
          <w:sz w:val="13"/>
        </w:rPr>
        <w:t>Practice Note PNVCAT4: Alternative </w:t>
      </w:r>
      <w:r>
        <w:rPr>
          <w:i/>
          <w:w w:val="105"/>
          <w:sz w:val="13"/>
        </w:rPr>
        <w:t>Dispute</w:t>
      </w:r>
      <w:r>
        <w:rPr>
          <w:i/>
          <w:spacing w:val="7"/>
          <w:w w:val="105"/>
          <w:sz w:val="13"/>
        </w:rPr>
        <w:t> </w:t>
      </w:r>
      <w:r>
        <w:rPr>
          <w:i/>
          <w:w w:val="105"/>
          <w:sz w:val="13"/>
        </w:rPr>
        <w:t>Resolution</w:t>
      </w:r>
      <w:r>
        <w:rPr>
          <w:i/>
          <w:spacing w:val="8"/>
          <w:w w:val="105"/>
          <w:sz w:val="13"/>
        </w:rPr>
        <w:t> </w:t>
      </w:r>
      <w:r>
        <w:rPr>
          <w:spacing w:val="3"/>
          <w:w w:val="105"/>
          <w:sz w:val="13"/>
        </w:rPr>
        <w:t>(ADR),</w:t>
      </w:r>
      <w:r>
        <w:rPr>
          <w:spacing w:val="8"/>
          <w:w w:val="105"/>
          <w:sz w:val="13"/>
        </w:rPr>
        <w:t> </w:t>
      </w:r>
      <w:r>
        <w:rPr>
          <w:spacing w:val="-3"/>
          <w:w w:val="105"/>
          <w:sz w:val="13"/>
        </w:rPr>
        <w:t>19</w:t>
      </w:r>
      <w:r>
        <w:rPr>
          <w:spacing w:val="8"/>
          <w:w w:val="105"/>
          <w:sz w:val="13"/>
        </w:rPr>
        <w:t> </w:t>
      </w:r>
      <w:r>
        <w:rPr>
          <w:w w:val="105"/>
          <w:sz w:val="13"/>
        </w:rPr>
        <w:t>December</w:t>
      </w:r>
      <w:r>
        <w:rPr>
          <w:spacing w:val="8"/>
          <w:w w:val="105"/>
          <w:sz w:val="13"/>
        </w:rPr>
        <w:t> </w:t>
      </w:r>
      <w:r>
        <w:rPr>
          <w:w w:val="105"/>
          <w:sz w:val="13"/>
        </w:rPr>
        <w:t>2018,</w:t>
      </w:r>
      <w:r>
        <w:rPr>
          <w:spacing w:val="8"/>
          <w:w w:val="105"/>
          <w:sz w:val="13"/>
        </w:rPr>
        <w:t> </w:t>
      </w:r>
      <w:r>
        <w:rPr>
          <w:w w:val="105"/>
          <w:sz w:val="13"/>
        </w:rPr>
        <w:t>6.</w:t>
      </w:r>
      <w:r>
        <w:rPr>
          <w:spacing w:val="8"/>
          <w:w w:val="105"/>
          <w:sz w:val="13"/>
        </w:rPr>
        <w:t> </w:t>
      </w:r>
      <w:r>
        <w:rPr>
          <w:w w:val="105"/>
          <w:sz w:val="13"/>
        </w:rPr>
        <w:t>See</w:t>
      </w:r>
      <w:r>
        <w:rPr>
          <w:spacing w:val="8"/>
          <w:w w:val="105"/>
          <w:sz w:val="13"/>
        </w:rPr>
        <w:t> </w:t>
      </w:r>
      <w:r>
        <w:rPr>
          <w:w w:val="105"/>
          <w:sz w:val="13"/>
        </w:rPr>
        <w:t>also</w:t>
      </w:r>
      <w:r>
        <w:rPr>
          <w:spacing w:val="8"/>
          <w:w w:val="105"/>
          <w:sz w:val="13"/>
        </w:rPr>
        <w:t> </w:t>
      </w:r>
      <w:r>
        <w:rPr>
          <w:w w:val="105"/>
          <w:sz w:val="13"/>
        </w:rPr>
        <w:t>Victorian</w:t>
      </w:r>
      <w:r>
        <w:rPr>
          <w:spacing w:val="8"/>
          <w:w w:val="105"/>
          <w:sz w:val="13"/>
        </w:rPr>
        <w:t> </w:t>
      </w:r>
      <w:r>
        <w:rPr>
          <w:w w:val="105"/>
          <w:sz w:val="13"/>
        </w:rPr>
        <w:t>Civil</w:t>
      </w:r>
      <w:r>
        <w:rPr>
          <w:spacing w:val="7"/>
          <w:w w:val="105"/>
          <w:sz w:val="13"/>
        </w:rPr>
        <w:t> </w:t>
      </w:r>
      <w:r>
        <w:rPr>
          <w:w w:val="105"/>
          <w:sz w:val="13"/>
        </w:rPr>
        <w:t>and</w:t>
      </w:r>
      <w:r>
        <w:rPr>
          <w:spacing w:val="8"/>
          <w:w w:val="105"/>
          <w:sz w:val="13"/>
        </w:rPr>
        <w:t> </w:t>
      </w:r>
      <w:r>
        <w:rPr>
          <w:w w:val="105"/>
          <w:sz w:val="13"/>
        </w:rPr>
        <w:t>Administrative</w:t>
      </w:r>
      <w:r>
        <w:rPr>
          <w:spacing w:val="8"/>
          <w:w w:val="105"/>
          <w:sz w:val="13"/>
        </w:rPr>
        <w:t> </w:t>
      </w:r>
      <w:r>
        <w:rPr>
          <w:w w:val="105"/>
          <w:sz w:val="13"/>
        </w:rPr>
        <w:t>Tribunal,</w:t>
      </w:r>
      <w:r>
        <w:rPr>
          <w:spacing w:val="8"/>
          <w:w w:val="105"/>
          <w:sz w:val="13"/>
        </w:rPr>
        <w:t> </w:t>
      </w:r>
      <w:r>
        <w:rPr>
          <w:i/>
          <w:w w:val="105"/>
          <w:sz w:val="13"/>
        </w:rPr>
        <w:t>Compulsory</w:t>
      </w:r>
      <w:r>
        <w:rPr>
          <w:i/>
          <w:spacing w:val="8"/>
          <w:w w:val="105"/>
          <w:sz w:val="13"/>
        </w:rPr>
        <w:t> </w:t>
      </w:r>
      <w:r>
        <w:rPr>
          <w:i/>
          <w:w w:val="105"/>
          <w:sz w:val="13"/>
        </w:rPr>
        <w:t>Conferences</w:t>
      </w:r>
      <w:r>
        <w:rPr>
          <w:i/>
          <w:spacing w:val="8"/>
          <w:w w:val="105"/>
          <w:sz w:val="13"/>
        </w:rPr>
        <w:t> </w:t>
      </w:r>
      <w:r>
        <w:rPr>
          <w:w w:val="105"/>
          <w:sz w:val="13"/>
        </w:rPr>
        <w:t>(Web</w:t>
      </w:r>
      <w:r>
        <w:rPr>
          <w:spacing w:val="8"/>
          <w:w w:val="105"/>
          <w:sz w:val="13"/>
        </w:rPr>
        <w:t> </w:t>
      </w:r>
      <w:r>
        <w:rPr>
          <w:w w:val="105"/>
          <w:sz w:val="13"/>
        </w:rPr>
        <w:t>Page)</w:t>
      </w:r>
    </w:p>
    <w:p>
      <w:pPr>
        <w:spacing w:before="3"/>
        <w:ind w:left="1225" w:right="0" w:firstLine="0"/>
        <w:jc w:val="left"/>
        <w:rPr>
          <w:sz w:val="13"/>
        </w:rPr>
      </w:pPr>
      <w:r>
        <w:rPr>
          <w:w w:val="105"/>
          <w:sz w:val="13"/>
        </w:rPr>
        <w:t>&lt;</w:t>
      </w:r>
      <w:hyperlink r:id="rId176">
        <w:r>
          <w:rPr>
            <w:w w:val="105"/>
            <w:sz w:val="13"/>
          </w:rPr>
          <w:t>www.vcat.vic.gov.au/steps-to-resolve-your-case/resolve-a-case-by-agreement/compulsory-conferences</w:t>
        </w:r>
      </w:hyperlink>
      <w:r>
        <w:rPr>
          <w:w w:val="105"/>
          <w:sz w:val="13"/>
        </w:rPr>
        <w:t>&gt;.</w:t>
      </w:r>
    </w:p>
    <w:p>
      <w:pPr>
        <w:pStyle w:val="ListParagraph"/>
        <w:numPr>
          <w:ilvl w:val="0"/>
          <w:numId w:val="109"/>
        </w:numPr>
        <w:tabs>
          <w:tab w:pos="1224" w:val="left" w:leader="none"/>
          <w:tab w:pos="1226" w:val="left" w:leader="none"/>
        </w:tabs>
        <w:spacing w:line="240" w:lineRule="auto" w:before="1" w:after="0"/>
        <w:ind w:left="1225" w:right="0" w:hanging="794"/>
        <w:jc w:val="left"/>
        <w:rPr>
          <w:i/>
          <w:sz w:val="13"/>
        </w:rPr>
      </w:pPr>
      <w:r>
        <w:rPr>
          <w:i/>
          <w:w w:val="105"/>
          <w:sz w:val="13"/>
        </w:rPr>
        <w:t>Victorian Civil and Administrative Tribunal Act 1998 </w:t>
      </w:r>
      <w:r>
        <w:rPr>
          <w:spacing w:val="2"/>
          <w:w w:val="105"/>
          <w:sz w:val="13"/>
        </w:rPr>
        <w:t>(Vic) </w:t>
      </w:r>
      <w:r>
        <w:rPr>
          <w:w w:val="105"/>
          <w:sz w:val="13"/>
        </w:rPr>
        <w:t>s</w:t>
      </w:r>
      <w:r>
        <w:rPr>
          <w:spacing w:val="8"/>
          <w:w w:val="105"/>
          <w:sz w:val="13"/>
        </w:rPr>
        <w:t> </w:t>
      </w:r>
      <w:r>
        <w:rPr>
          <w:w w:val="105"/>
          <w:sz w:val="13"/>
        </w:rPr>
        <w:t>85</w:t>
      </w:r>
      <w:r>
        <w:rPr>
          <w:i/>
          <w:w w:val="105"/>
          <w:sz w:val="13"/>
        </w:rPr>
        <w:t>.</w:t>
      </w:r>
    </w:p>
    <w:p>
      <w:pPr>
        <w:pStyle w:val="ListParagraph"/>
        <w:numPr>
          <w:ilvl w:val="0"/>
          <w:numId w:val="109"/>
        </w:numPr>
        <w:tabs>
          <w:tab w:pos="1224" w:val="left" w:leader="none"/>
          <w:tab w:pos="1225" w:val="left" w:leader="none"/>
        </w:tabs>
        <w:spacing w:line="240" w:lineRule="auto" w:before="2" w:after="0"/>
        <w:ind w:left="1224" w:right="0" w:hanging="793"/>
        <w:jc w:val="left"/>
        <w:rPr>
          <w:sz w:val="13"/>
        </w:rPr>
      </w:pPr>
      <w:r>
        <w:rPr>
          <w:sz w:val="13"/>
        </w:rPr>
        <w:t>Ibid </w:t>
      </w:r>
      <w:r>
        <w:rPr>
          <w:spacing w:val="2"/>
          <w:sz w:val="13"/>
        </w:rPr>
        <w:t>(Vic) </w:t>
      </w:r>
      <w:r>
        <w:rPr>
          <w:sz w:val="13"/>
        </w:rPr>
        <w:t>s</w:t>
      </w:r>
      <w:r>
        <w:rPr>
          <w:spacing w:val="16"/>
          <w:sz w:val="13"/>
        </w:rPr>
        <w:t> </w:t>
      </w:r>
      <w:r>
        <w:rPr>
          <w:spacing w:val="2"/>
          <w:sz w:val="13"/>
        </w:rPr>
        <w:t>88(1).</w:t>
      </w:r>
    </w:p>
    <w:p>
      <w:pPr>
        <w:pStyle w:val="ListParagraph"/>
        <w:numPr>
          <w:ilvl w:val="0"/>
          <w:numId w:val="109"/>
        </w:numPr>
        <w:tabs>
          <w:tab w:pos="1224" w:val="left" w:leader="none"/>
          <w:tab w:pos="1225" w:val="left" w:leader="none"/>
        </w:tabs>
        <w:spacing w:line="240" w:lineRule="auto" w:before="1" w:after="0"/>
        <w:ind w:left="1224" w:right="0" w:hanging="793"/>
        <w:jc w:val="left"/>
        <w:rPr>
          <w:sz w:val="13"/>
        </w:rPr>
      </w:pPr>
      <w:r>
        <w:rPr>
          <w:w w:val="105"/>
          <w:sz w:val="13"/>
        </w:rPr>
        <w:t>Ibid</w:t>
      </w:r>
      <w:r>
        <w:rPr>
          <w:spacing w:val="5"/>
          <w:w w:val="105"/>
          <w:sz w:val="13"/>
        </w:rPr>
        <w:t> </w:t>
      </w:r>
      <w:r>
        <w:rPr>
          <w:w w:val="105"/>
          <w:sz w:val="13"/>
        </w:rPr>
        <w:t>s</w:t>
      </w:r>
      <w:r>
        <w:rPr>
          <w:spacing w:val="5"/>
          <w:w w:val="105"/>
          <w:sz w:val="13"/>
        </w:rPr>
        <w:t> </w:t>
      </w:r>
      <w:r>
        <w:rPr>
          <w:w w:val="105"/>
          <w:sz w:val="13"/>
        </w:rPr>
        <w:t>92;</w:t>
      </w:r>
      <w:r>
        <w:rPr>
          <w:spacing w:val="5"/>
          <w:w w:val="105"/>
          <w:sz w:val="13"/>
        </w:rPr>
        <w:t> </w:t>
      </w:r>
      <w:r>
        <w:rPr>
          <w:w w:val="105"/>
          <w:sz w:val="13"/>
        </w:rPr>
        <w:t>Victorian</w:t>
      </w:r>
      <w:r>
        <w:rPr>
          <w:spacing w:val="6"/>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5"/>
          <w:w w:val="105"/>
          <w:sz w:val="13"/>
        </w:rPr>
        <w:t> </w:t>
      </w:r>
      <w:r>
        <w:rPr>
          <w:w w:val="105"/>
          <w:sz w:val="13"/>
        </w:rPr>
        <w:t>Tribunal,</w:t>
      </w:r>
      <w:r>
        <w:rPr>
          <w:spacing w:val="6"/>
          <w:w w:val="105"/>
          <w:sz w:val="13"/>
        </w:rPr>
        <w:t> </w:t>
      </w:r>
      <w:r>
        <w:rPr>
          <w:i/>
          <w:w w:val="105"/>
          <w:sz w:val="13"/>
        </w:rPr>
        <w:t>Practice</w:t>
      </w:r>
      <w:r>
        <w:rPr>
          <w:i/>
          <w:spacing w:val="5"/>
          <w:w w:val="105"/>
          <w:sz w:val="13"/>
        </w:rPr>
        <w:t> </w:t>
      </w:r>
      <w:r>
        <w:rPr>
          <w:i/>
          <w:w w:val="105"/>
          <w:sz w:val="13"/>
        </w:rPr>
        <w:t>Note</w:t>
      </w:r>
      <w:r>
        <w:rPr>
          <w:i/>
          <w:spacing w:val="5"/>
          <w:w w:val="105"/>
          <w:sz w:val="13"/>
        </w:rPr>
        <w:t> </w:t>
      </w:r>
      <w:r>
        <w:rPr>
          <w:i/>
          <w:w w:val="105"/>
          <w:sz w:val="13"/>
        </w:rPr>
        <w:t>PNVCAT4:</w:t>
      </w:r>
      <w:r>
        <w:rPr>
          <w:i/>
          <w:spacing w:val="6"/>
          <w:w w:val="105"/>
          <w:sz w:val="13"/>
        </w:rPr>
        <w:t> </w:t>
      </w:r>
      <w:r>
        <w:rPr>
          <w:i/>
          <w:w w:val="105"/>
          <w:sz w:val="13"/>
        </w:rPr>
        <w:t>Alternative</w:t>
      </w:r>
      <w:r>
        <w:rPr>
          <w:i/>
          <w:spacing w:val="5"/>
          <w:w w:val="105"/>
          <w:sz w:val="13"/>
        </w:rPr>
        <w:t> </w:t>
      </w:r>
      <w:r>
        <w:rPr>
          <w:i/>
          <w:w w:val="105"/>
          <w:sz w:val="13"/>
        </w:rPr>
        <w:t>Dispute</w:t>
      </w:r>
      <w:r>
        <w:rPr>
          <w:i/>
          <w:spacing w:val="5"/>
          <w:w w:val="105"/>
          <w:sz w:val="13"/>
        </w:rPr>
        <w:t> </w:t>
      </w:r>
      <w:r>
        <w:rPr>
          <w:i/>
          <w:w w:val="105"/>
          <w:sz w:val="13"/>
        </w:rPr>
        <w:t>Resolution</w:t>
      </w:r>
      <w:r>
        <w:rPr>
          <w:i/>
          <w:spacing w:val="5"/>
          <w:w w:val="105"/>
          <w:sz w:val="13"/>
        </w:rPr>
        <w:t> </w:t>
      </w:r>
      <w:r>
        <w:rPr>
          <w:spacing w:val="3"/>
          <w:w w:val="105"/>
          <w:sz w:val="13"/>
        </w:rPr>
        <w:t>(ADR),</w:t>
      </w:r>
      <w:r>
        <w:rPr>
          <w:spacing w:val="6"/>
          <w:w w:val="105"/>
          <w:sz w:val="13"/>
        </w:rPr>
        <w:t> </w:t>
      </w:r>
      <w:r>
        <w:rPr>
          <w:spacing w:val="-3"/>
          <w:w w:val="105"/>
          <w:sz w:val="13"/>
        </w:rPr>
        <w:t>19</w:t>
      </w:r>
      <w:r>
        <w:rPr>
          <w:spacing w:val="5"/>
          <w:w w:val="105"/>
          <w:sz w:val="13"/>
        </w:rPr>
        <w:t> </w:t>
      </w:r>
      <w:r>
        <w:rPr>
          <w:w w:val="105"/>
          <w:sz w:val="13"/>
        </w:rPr>
        <w:t>December</w:t>
      </w:r>
      <w:r>
        <w:rPr>
          <w:spacing w:val="5"/>
          <w:w w:val="105"/>
          <w:sz w:val="13"/>
        </w:rPr>
        <w:t> </w:t>
      </w:r>
      <w:r>
        <w:rPr>
          <w:w w:val="105"/>
          <w:sz w:val="13"/>
        </w:rPr>
        <w:t>2018,</w:t>
      </w:r>
      <w:r>
        <w:rPr>
          <w:spacing w:val="6"/>
          <w:w w:val="105"/>
          <w:sz w:val="13"/>
        </w:rPr>
        <w:t> </w:t>
      </w:r>
      <w:r>
        <w:rPr>
          <w:w w:val="105"/>
          <w:sz w:val="13"/>
        </w:rPr>
        <w:t>3.</w:t>
      </w:r>
    </w:p>
    <w:p>
      <w:pPr>
        <w:pStyle w:val="ListParagraph"/>
        <w:numPr>
          <w:ilvl w:val="0"/>
          <w:numId w:val="109"/>
        </w:numPr>
        <w:tabs>
          <w:tab w:pos="1224" w:val="left" w:leader="none"/>
          <w:tab w:pos="1225" w:val="left" w:leader="none"/>
        </w:tabs>
        <w:spacing w:line="240" w:lineRule="auto" w:before="1" w:after="0"/>
        <w:ind w:left="1224" w:right="1503" w:hanging="793"/>
        <w:jc w:val="left"/>
        <w:rPr>
          <w:sz w:val="13"/>
        </w:rPr>
      </w:pPr>
      <w:r>
        <w:rPr>
          <w:w w:val="105"/>
          <w:sz w:val="13"/>
        </w:rPr>
        <w:t>Department of Justice and Regulation </w:t>
      </w:r>
      <w:r>
        <w:rPr>
          <w:spacing w:val="2"/>
          <w:w w:val="105"/>
          <w:sz w:val="13"/>
        </w:rPr>
        <w:t>(Vic), </w:t>
      </w:r>
      <w:r>
        <w:rPr>
          <w:i/>
          <w:w w:val="105"/>
          <w:sz w:val="13"/>
        </w:rPr>
        <w:t>Access to Justice Review </w:t>
      </w:r>
      <w:r>
        <w:rPr>
          <w:i/>
          <w:spacing w:val="2"/>
          <w:w w:val="105"/>
          <w:sz w:val="13"/>
        </w:rPr>
        <w:t>Report </w:t>
      </w:r>
      <w:r>
        <w:rPr>
          <w:i/>
          <w:w w:val="105"/>
          <w:sz w:val="13"/>
        </w:rPr>
        <w:t>and Recommendations </w:t>
      </w:r>
      <w:r>
        <w:rPr>
          <w:w w:val="105"/>
          <w:sz w:val="13"/>
        </w:rPr>
        <w:t>(2016) vol </w:t>
      </w:r>
      <w:r>
        <w:rPr>
          <w:spacing w:val="-3"/>
          <w:w w:val="105"/>
          <w:sz w:val="13"/>
        </w:rPr>
        <w:t>1, </w:t>
      </w:r>
      <w:r>
        <w:rPr>
          <w:spacing w:val="2"/>
          <w:w w:val="105"/>
          <w:sz w:val="13"/>
        </w:rPr>
        <w:t>204–5; </w:t>
      </w:r>
      <w:r>
        <w:rPr>
          <w:i/>
          <w:w w:val="105"/>
          <w:sz w:val="13"/>
        </w:rPr>
        <w:t>Victorian Civil and </w:t>
      </w:r>
      <w:r>
        <w:rPr>
          <w:i/>
          <w:w w:val="105"/>
          <w:sz w:val="13"/>
        </w:rPr>
        <w:t>Administrative Tribunal Act 1998 </w:t>
      </w:r>
      <w:r>
        <w:rPr>
          <w:spacing w:val="2"/>
          <w:w w:val="105"/>
          <w:sz w:val="13"/>
        </w:rPr>
        <w:t>(Vic) </w:t>
      </w:r>
      <w:r>
        <w:rPr>
          <w:w w:val="105"/>
          <w:sz w:val="13"/>
        </w:rPr>
        <w:t>s </w:t>
      </w:r>
      <w:r>
        <w:rPr>
          <w:spacing w:val="3"/>
          <w:w w:val="105"/>
          <w:sz w:val="13"/>
        </w:rPr>
        <w:t>88; </w:t>
      </w:r>
      <w:r>
        <w:rPr>
          <w:w w:val="105"/>
          <w:sz w:val="13"/>
        </w:rPr>
        <w:t>Victorian Civil and Administrative Tribunal, </w:t>
      </w:r>
      <w:r>
        <w:rPr>
          <w:i/>
          <w:w w:val="105"/>
          <w:sz w:val="13"/>
        </w:rPr>
        <w:t>Mediations </w:t>
      </w:r>
      <w:r>
        <w:rPr>
          <w:w w:val="105"/>
          <w:sz w:val="13"/>
        </w:rPr>
        <w:t>(Web Page) &lt;https://</w:t>
      </w:r>
      <w:hyperlink r:id="rId177">
        <w:r>
          <w:rPr>
            <w:w w:val="105"/>
            <w:sz w:val="13"/>
          </w:rPr>
          <w:t>www.vcat.vic.gov.au/</w:t>
        </w:r>
      </w:hyperlink>
      <w:r>
        <w:rPr>
          <w:w w:val="105"/>
          <w:sz w:val="13"/>
        </w:rPr>
        <w:t> </w:t>
      </w:r>
      <w:r>
        <w:rPr>
          <w:spacing w:val="2"/>
          <w:w w:val="105"/>
          <w:sz w:val="13"/>
        </w:rPr>
        <w:t>steps-to-resolve-your-case/resolve-a-case-by-agreement/mediations&gt;.</w:t>
      </w:r>
    </w:p>
    <w:p>
      <w:pPr>
        <w:pStyle w:val="ListParagraph"/>
        <w:numPr>
          <w:ilvl w:val="0"/>
          <w:numId w:val="109"/>
        </w:numPr>
        <w:tabs>
          <w:tab w:pos="1224" w:val="left" w:leader="none"/>
          <w:tab w:pos="1226" w:val="left" w:leader="none"/>
        </w:tabs>
        <w:spacing w:line="240" w:lineRule="auto" w:before="4" w:after="0"/>
        <w:ind w:left="1225" w:right="1568" w:hanging="794"/>
        <w:jc w:val="left"/>
        <w:rPr>
          <w:sz w:val="13"/>
        </w:rPr>
      </w:pPr>
      <w:r>
        <w:rPr>
          <w:sz w:val="13"/>
        </w:rPr>
        <w:t>Victorian Civil and Administrative Tribunal, </w:t>
      </w:r>
      <w:r>
        <w:rPr>
          <w:i/>
          <w:sz w:val="13"/>
        </w:rPr>
        <w:t>Fast Track Mediation and Hearing </w:t>
      </w:r>
      <w:r>
        <w:rPr>
          <w:sz w:val="13"/>
        </w:rPr>
        <w:t>(Web Page) &lt;https://</w:t>
      </w:r>
      <w:hyperlink r:id="rId178">
        <w:r>
          <w:rPr>
            <w:sz w:val="13"/>
          </w:rPr>
          <w:t>www.vcat.vic.gov.au/resources/fast-track-</w:t>
        </w:r>
      </w:hyperlink>
      <w:r>
        <w:rPr>
          <w:sz w:val="13"/>
        </w:rPr>
        <w:t> mediation-and-hearing&gt;.</w:t>
      </w:r>
    </w:p>
    <w:p>
      <w:pPr>
        <w:pStyle w:val="ListParagraph"/>
        <w:numPr>
          <w:ilvl w:val="0"/>
          <w:numId w:val="109"/>
        </w:numPr>
        <w:tabs>
          <w:tab w:pos="1224" w:val="left" w:leader="none"/>
          <w:tab w:pos="1226" w:val="left" w:leader="none"/>
        </w:tabs>
        <w:spacing w:line="240" w:lineRule="auto" w:before="3" w:after="0"/>
        <w:ind w:left="1225" w:right="1747" w:hanging="794"/>
        <w:jc w:val="left"/>
        <w:rPr>
          <w:sz w:val="13"/>
        </w:rPr>
      </w:pPr>
      <w:r>
        <w:rPr>
          <w:w w:val="105"/>
          <w:sz w:val="13"/>
        </w:rPr>
        <w:t>The </w:t>
      </w:r>
      <w:r>
        <w:rPr>
          <w:spacing w:val="3"/>
          <w:w w:val="105"/>
          <w:sz w:val="13"/>
        </w:rPr>
        <w:t>FTMH </w:t>
      </w:r>
      <w:r>
        <w:rPr>
          <w:w w:val="105"/>
          <w:sz w:val="13"/>
        </w:rPr>
        <w:t>program is a staged program, starting in Geelong and Warrnambool: Victorian Civil and Administrative Tribunal, </w:t>
      </w:r>
      <w:r>
        <w:rPr>
          <w:i/>
          <w:w w:val="105"/>
          <w:sz w:val="13"/>
        </w:rPr>
        <w:t>VCAT Annual </w:t>
      </w:r>
      <w:r>
        <w:rPr>
          <w:i/>
          <w:spacing w:val="2"/>
          <w:w w:val="105"/>
          <w:sz w:val="13"/>
        </w:rPr>
        <w:t>Report </w:t>
      </w:r>
      <w:r>
        <w:rPr>
          <w:i/>
          <w:spacing w:val="-4"/>
          <w:w w:val="105"/>
          <w:sz w:val="13"/>
        </w:rPr>
        <w:t>2017–18 </w:t>
      </w:r>
      <w:r>
        <w:rPr>
          <w:spacing w:val="2"/>
          <w:w w:val="105"/>
          <w:sz w:val="13"/>
        </w:rPr>
        <w:t>(Report, </w:t>
      </w:r>
      <w:r>
        <w:rPr>
          <w:w w:val="105"/>
          <w:sz w:val="13"/>
        </w:rPr>
        <w:t>2018)</w:t>
      </w:r>
      <w:r>
        <w:rPr>
          <w:spacing w:val="-9"/>
          <w:w w:val="105"/>
          <w:sz w:val="13"/>
        </w:rPr>
        <w:t> </w:t>
      </w:r>
      <w:r>
        <w:rPr>
          <w:w w:val="105"/>
          <w:sz w:val="13"/>
        </w:rPr>
        <w:t>25.</w:t>
      </w:r>
    </w:p>
    <w:p>
      <w:pPr>
        <w:pStyle w:val="ListParagraph"/>
        <w:numPr>
          <w:ilvl w:val="0"/>
          <w:numId w:val="109"/>
        </w:numPr>
        <w:tabs>
          <w:tab w:pos="1224" w:val="left" w:leader="none"/>
          <w:tab w:pos="1226" w:val="left" w:leader="none"/>
        </w:tabs>
        <w:spacing w:line="240" w:lineRule="auto" w:before="3" w:after="0"/>
        <w:ind w:left="1225" w:right="0" w:hanging="794"/>
        <w:jc w:val="left"/>
        <w:rPr>
          <w:sz w:val="13"/>
        </w:rPr>
      </w:pPr>
      <w:r>
        <w:rPr>
          <w:w w:val="105"/>
          <w:sz w:val="13"/>
        </w:rPr>
        <w:t>Victorian</w:t>
      </w:r>
      <w:r>
        <w:rPr>
          <w:spacing w:val="5"/>
          <w:w w:val="105"/>
          <w:sz w:val="13"/>
        </w:rPr>
        <w:t> </w:t>
      </w:r>
      <w:r>
        <w:rPr>
          <w:w w:val="105"/>
          <w:sz w:val="13"/>
        </w:rPr>
        <w:t>Civil</w:t>
      </w:r>
      <w:r>
        <w:rPr>
          <w:spacing w:val="5"/>
          <w:w w:val="105"/>
          <w:sz w:val="13"/>
        </w:rPr>
        <w:t> </w:t>
      </w:r>
      <w:r>
        <w:rPr>
          <w:w w:val="105"/>
          <w:sz w:val="13"/>
        </w:rPr>
        <w:t>and</w:t>
      </w:r>
      <w:r>
        <w:rPr>
          <w:spacing w:val="6"/>
          <w:w w:val="105"/>
          <w:sz w:val="13"/>
        </w:rPr>
        <w:t> </w:t>
      </w:r>
      <w:r>
        <w:rPr>
          <w:w w:val="105"/>
          <w:sz w:val="13"/>
        </w:rPr>
        <w:t>Administrative</w:t>
      </w:r>
      <w:r>
        <w:rPr>
          <w:spacing w:val="5"/>
          <w:w w:val="105"/>
          <w:sz w:val="13"/>
        </w:rPr>
        <w:t> </w:t>
      </w:r>
      <w:r>
        <w:rPr>
          <w:w w:val="105"/>
          <w:sz w:val="13"/>
        </w:rPr>
        <w:t>Tribunal,</w:t>
      </w:r>
      <w:r>
        <w:rPr>
          <w:spacing w:val="5"/>
          <w:w w:val="105"/>
          <w:sz w:val="13"/>
        </w:rPr>
        <w:t> </w:t>
      </w:r>
      <w:r>
        <w:rPr>
          <w:i/>
          <w:w w:val="105"/>
          <w:sz w:val="13"/>
        </w:rPr>
        <w:t>VCAT</w:t>
      </w:r>
      <w:r>
        <w:rPr>
          <w:i/>
          <w:spacing w:val="6"/>
          <w:w w:val="105"/>
          <w:sz w:val="13"/>
        </w:rPr>
        <w:t> </w:t>
      </w:r>
      <w:r>
        <w:rPr>
          <w:i/>
          <w:w w:val="105"/>
          <w:sz w:val="13"/>
        </w:rPr>
        <w:t>Annual</w:t>
      </w:r>
      <w:r>
        <w:rPr>
          <w:i/>
          <w:spacing w:val="5"/>
          <w:w w:val="105"/>
          <w:sz w:val="13"/>
        </w:rPr>
        <w:t> </w:t>
      </w:r>
      <w:r>
        <w:rPr>
          <w:i/>
          <w:spacing w:val="2"/>
          <w:w w:val="105"/>
          <w:sz w:val="13"/>
        </w:rPr>
        <w:t>Report</w:t>
      </w:r>
      <w:r>
        <w:rPr>
          <w:i/>
          <w:spacing w:val="6"/>
          <w:w w:val="105"/>
          <w:sz w:val="13"/>
        </w:rPr>
        <w:t> </w:t>
      </w:r>
      <w:r>
        <w:rPr>
          <w:i/>
          <w:spacing w:val="-3"/>
          <w:w w:val="105"/>
          <w:sz w:val="13"/>
        </w:rPr>
        <w:t>2017–-18</w:t>
      </w:r>
      <w:r>
        <w:rPr>
          <w:i/>
          <w:spacing w:val="5"/>
          <w:w w:val="105"/>
          <w:sz w:val="13"/>
        </w:rPr>
        <w:t> </w:t>
      </w:r>
      <w:r>
        <w:rPr>
          <w:spacing w:val="2"/>
          <w:w w:val="105"/>
          <w:sz w:val="13"/>
        </w:rPr>
        <w:t>(Report,</w:t>
      </w:r>
      <w:r>
        <w:rPr>
          <w:spacing w:val="5"/>
          <w:w w:val="105"/>
          <w:sz w:val="13"/>
        </w:rPr>
        <w:t> </w:t>
      </w:r>
      <w:r>
        <w:rPr>
          <w:w w:val="105"/>
          <w:sz w:val="13"/>
        </w:rPr>
        <w:t>2018)</w:t>
      </w:r>
      <w:r>
        <w:rPr>
          <w:spacing w:val="6"/>
          <w:w w:val="105"/>
          <w:sz w:val="13"/>
        </w:rPr>
        <w:t> </w:t>
      </w:r>
      <w:r>
        <w:rPr>
          <w:w w:val="105"/>
          <w:sz w:val="13"/>
        </w:rPr>
        <w:t>25.</w:t>
      </w:r>
      <w:r>
        <w:rPr>
          <w:spacing w:val="5"/>
          <w:w w:val="105"/>
          <w:sz w:val="13"/>
        </w:rPr>
        <w:t> </w:t>
      </w:r>
      <w:r>
        <w:rPr>
          <w:w w:val="105"/>
          <w:sz w:val="13"/>
        </w:rPr>
        <w:t>Further</w:t>
      </w:r>
      <w:r>
        <w:rPr>
          <w:spacing w:val="5"/>
          <w:w w:val="105"/>
          <w:sz w:val="13"/>
        </w:rPr>
        <w:t> </w:t>
      </w:r>
      <w:r>
        <w:rPr>
          <w:w w:val="105"/>
          <w:sz w:val="13"/>
        </w:rPr>
        <w:t>regional</w:t>
      </w:r>
      <w:r>
        <w:rPr>
          <w:spacing w:val="6"/>
          <w:w w:val="105"/>
          <w:sz w:val="13"/>
        </w:rPr>
        <w:t> </w:t>
      </w:r>
      <w:r>
        <w:rPr>
          <w:w w:val="105"/>
          <w:sz w:val="13"/>
        </w:rPr>
        <w:t>expansion</w:t>
      </w:r>
      <w:r>
        <w:rPr>
          <w:spacing w:val="5"/>
          <w:w w:val="105"/>
          <w:sz w:val="13"/>
        </w:rPr>
        <w:t> </w:t>
      </w:r>
      <w:r>
        <w:rPr>
          <w:w w:val="105"/>
          <w:sz w:val="13"/>
        </w:rPr>
        <w:t>is</w:t>
      </w:r>
      <w:r>
        <w:rPr>
          <w:spacing w:val="5"/>
          <w:w w:val="105"/>
          <w:sz w:val="13"/>
        </w:rPr>
        <w:t> </w:t>
      </w:r>
      <w:r>
        <w:rPr>
          <w:w w:val="105"/>
          <w:sz w:val="13"/>
        </w:rPr>
        <w:t>planned.</w:t>
      </w:r>
    </w:p>
    <w:p>
      <w:pPr>
        <w:pStyle w:val="ListParagraph"/>
        <w:numPr>
          <w:ilvl w:val="0"/>
          <w:numId w:val="109"/>
        </w:numPr>
        <w:tabs>
          <w:tab w:pos="1224" w:val="left" w:leader="none"/>
          <w:tab w:pos="1226" w:val="left" w:leader="none"/>
        </w:tabs>
        <w:spacing w:line="240" w:lineRule="auto" w:before="1" w:after="0"/>
        <w:ind w:left="1225" w:right="0" w:hanging="794"/>
        <w:jc w:val="left"/>
        <w:rPr>
          <w:sz w:val="13"/>
        </w:rPr>
      </w:pPr>
      <w:r>
        <w:rPr>
          <w:w w:val="105"/>
          <w:sz w:val="13"/>
        </w:rPr>
        <w:t>Victorian Civil and Administrative Tribunal, </w:t>
      </w:r>
      <w:r>
        <w:rPr>
          <w:i/>
          <w:w w:val="105"/>
          <w:sz w:val="13"/>
        </w:rPr>
        <w:t>VCAT Annual </w:t>
      </w:r>
      <w:r>
        <w:rPr>
          <w:i/>
          <w:spacing w:val="2"/>
          <w:w w:val="105"/>
          <w:sz w:val="13"/>
        </w:rPr>
        <w:t>Report </w:t>
      </w:r>
      <w:r>
        <w:rPr>
          <w:i/>
          <w:spacing w:val="-4"/>
          <w:w w:val="105"/>
          <w:sz w:val="13"/>
        </w:rPr>
        <w:t>2017–18 </w:t>
      </w:r>
      <w:r>
        <w:rPr>
          <w:spacing w:val="2"/>
          <w:w w:val="105"/>
          <w:sz w:val="13"/>
        </w:rPr>
        <w:t>(Report, </w:t>
      </w:r>
      <w:r>
        <w:rPr>
          <w:w w:val="105"/>
          <w:sz w:val="13"/>
        </w:rPr>
        <w:t>2018)</w:t>
      </w:r>
      <w:r>
        <w:rPr>
          <w:spacing w:val="27"/>
          <w:w w:val="105"/>
          <w:sz w:val="13"/>
        </w:rPr>
        <w:t> </w:t>
      </w:r>
      <w:r>
        <w:rPr>
          <w:w w:val="105"/>
          <w:sz w:val="13"/>
        </w:rPr>
        <w:t>25.</w:t>
      </w:r>
    </w:p>
    <w:p>
      <w:pPr>
        <w:spacing w:after="0" w:line="240" w:lineRule="auto"/>
        <w:jc w:val="left"/>
        <w:rPr>
          <w:sz w:val="13"/>
        </w:rPr>
        <w:sectPr>
          <w:type w:val="continuous"/>
          <w:pgSz w:w="11910" w:h="16840"/>
          <w:pgMar w:top="300" w:bottom="280" w:left="0" w:right="0"/>
          <w:cols w:num="2" w:equalWidth="0">
            <w:col w:w="1117" w:space="40"/>
            <w:col w:w="10753"/>
          </w:cols>
        </w:sectPr>
      </w:pPr>
    </w:p>
    <w:p>
      <w:pPr>
        <w:pStyle w:val="BodyText"/>
        <w:rPr>
          <w:sz w:val="20"/>
        </w:rPr>
      </w:pPr>
    </w:p>
    <w:p>
      <w:pPr>
        <w:pStyle w:val="BodyText"/>
        <w:spacing w:before="9"/>
        <w:rPr>
          <w:sz w:val="18"/>
        </w:rPr>
      </w:pPr>
    </w:p>
    <w:p>
      <w:pPr>
        <w:pStyle w:val="BodyText"/>
        <w:spacing w:line="242" w:lineRule="auto" w:before="91"/>
        <w:ind w:left="2381" w:right="1636"/>
        <w:rPr>
          <w:sz w:val="12"/>
        </w:rPr>
      </w:pPr>
      <w:bookmarkStart w:name="The approach in other jurisdictions" w:id="165"/>
      <w:bookmarkEnd w:id="165"/>
      <w:r>
        <w:rPr/>
      </w:r>
      <w:bookmarkStart w:name="_bookmark75" w:id="166"/>
      <w:bookmarkEnd w:id="166"/>
      <w:r>
        <w:rPr/>
      </w:r>
      <w:r>
        <w:rPr>
          <w:spacing w:val="-3"/>
          <w:w w:val="105"/>
        </w:rPr>
        <w:t>hearing </w:t>
      </w:r>
      <w:r>
        <w:rPr>
          <w:w w:val="105"/>
        </w:rPr>
        <w:t>on the same </w:t>
      </w:r>
      <w:r>
        <w:rPr>
          <w:spacing w:val="-3"/>
          <w:w w:val="105"/>
        </w:rPr>
        <w:t>day for </w:t>
      </w:r>
      <w:r>
        <w:rPr>
          <w:w w:val="105"/>
        </w:rPr>
        <w:t>a </w:t>
      </w:r>
      <w:r>
        <w:rPr>
          <w:spacing w:val="-2"/>
          <w:w w:val="105"/>
        </w:rPr>
        <w:t>legally </w:t>
      </w:r>
      <w:r>
        <w:rPr>
          <w:spacing w:val="-3"/>
          <w:w w:val="105"/>
        </w:rPr>
        <w:t>binding decision.</w:t>
      </w:r>
      <w:r>
        <w:rPr>
          <w:spacing w:val="-3"/>
          <w:w w:val="105"/>
          <w:position w:val="7"/>
          <w:sz w:val="12"/>
        </w:rPr>
        <w:t>93 </w:t>
      </w:r>
      <w:r>
        <w:rPr>
          <w:spacing w:val="-5"/>
          <w:w w:val="105"/>
        </w:rPr>
        <w:t>VCAT </w:t>
      </w:r>
      <w:r>
        <w:rPr>
          <w:w w:val="105"/>
        </w:rPr>
        <w:t>can review agreements </w:t>
      </w:r>
      <w:r>
        <w:rPr>
          <w:spacing w:val="-3"/>
          <w:w w:val="105"/>
        </w:rPr>
        <w:t>reached </w:t>
      </w:r>
      <w:r>
        <w:rPr>
          <w:w w:val="105"/>
        </w:rPr>
        <w:t>in mediation and issue </w:t>
      </w:r>
      <w:r>
        <w:rPr>
          <w:spacing w:val="-3"/>
          <w:w w:val="105"/>
        </w:rPr>
        <w:t>consent </w:t>
      </w:r>
      <w:r>
        <w:rPr>
          <w:w w:val="105"/>
        </w:rPr>
        <w:t>orders.</w:t>
      </w:r>
      <w:r>
        <w:rPr>
          <w:w w:val="105"/>
          <w:position w:val="7"/>
          <w:sz w:val="12"/>
        </w:rPr>
        <w:t>94 </w:t>
      </w:r>
      <w:r>
        <w:rPr>
          <w:spacing w:val="-3"/>
          <w:w w:val="105"/>
        </w:rPr>
        <w:t>Even </w:t>
      </w:r>
      <w:r>
        <w:rPr>
          <w:w w:val="105"/>
        </w:rPr>
        <w:t>if no settlement is </w:t>
      </w:r>
      <w:r>
        <w:rPr>
          <w:spacing w:val="-3"/>
          <w:w w:val="105"/>
        </w:rPr>
        <w:t>reached during mediation, </w:t>
      </w:r>
      <w:r>
        <w:rPr>
          <w:w w:val="105"/>
        </w:rPr>
        <w:t>‘parties </w:t>
      </w:r>
      <w:r>
        <w:rPr>
          <w:spacing w:val="-3"/>
          <w:w w:val="105"/>
        </w:rPr>
        <w:t>enter </w:t>
      </w:r>
      <w:r>
        <w:rPr>
          <w:w w:val="105"/>
        </w:rPr>
        <w:t>the final </w:t>
      </w:r>
      <w:r>
        <w:rPr>
          <w:spacing w:val="-3"/>
          <w:w w:val="105"/>
        </w:rPr>
        <w:t>hearing </w:t>
      </w:r>
      <w:r>
        <w:rPr>
          <w:w w:val="105"/>
        </w:rPr>
        <w:t>with a better understanding of each </w:t>
      </w:r>
      <w:r>
        <w:rPr>
          <w:spacing w:val="-3"/>
          <w:w w:val="105"/>
        </w:rPr>
        <w:t>other’s </w:t>
      </w:r>
      <w:r>
        <w:rPr>
          <w:w w:val="105"/>
        </w:rPr>
        <w:t>points of </w:t>
      </w:r>
      <w:r>
        <w:rPr>
          <w:spacing w:val="-4"/>
          <w:w w:val="105"/>
        </w:rPr>
        <w:t>view’.</w:t>
      </w:r>
      <w:r>
        <w:rPr>
          <w:spacing w:val="-4"/>
          <w:w w:val="105"/>
          <w:position w:val="7"/>
          <w:sz w:val="12"/>
        </w:rPr>
        <w:t>95 </w:t>
      </w:r>
      <w:r>
        <w:rPr>
          <w:spacing w:val="-3"/>
          <w:w w:val="105"/>
        </w:rPr>
        <w:t>Engaging </w:t>
      </w:r>
      <w:r>
        <w:rPr>
          <w:w w:val="105"/>
        </w:rPr>
        <w:t>in mediation </w:t>
      </w:r>
      <w:r>
        <w:rPr>
          <w:spacing w:val="-3"/>
          <w:w w:val="105"/>
        </w:rPr>
        <w:t>before </w:t>
      </w:r>
      <w:r>
        <w:rPr>
          <w:w w:val="105"/>
        </w:rPr>
        <w:t>a </w:t>
      </w:r>
      <w:r>
        <w:rPr>
          <w:spacing w:val="-3"/>
          <w:w w:val="105"/>
        </w:rPr>
        <w:t>hearing may </w:t>
      </w:r>
      <w:r>
        <w:rPr>
          <w:w w:val="105"/>
        </w:rPr>
        <w:t>also shorten the typical </w:t>
      </w:r>
      <w:r>
        <w:rPr>
          <w:spacing w:val="-3"/>
          <w:w w:val="105"/>
        </w:rPr>
        <w:t>timeframe for </w:t>
      </w:r>
      <w:r>
        <w:rPr>
          <w:spacing w:val="-5"/>
          <w:w w:val="105"/>
        </w:rPr>
        <w:t>VCAT </w:t>
      </w:r>
      <w:r>
        <w:rPr>
          <w:spacing w:val="-3"/>
          <w:w w:val="105"/>
        </w:rPr>
        <w:t>hearings.</w:t>
      </w:r>
      <w:r>
        <w:rPr>
          <w:spacing w:val="-3"/>
          <w:w w:val="105"/>
          <w:position w:val="7"/>
          <w:sz w:val="12"/>
        </w:rPr>
        <w:t>96</w:t>
      </w:r>
    </w:p>
    <w:p>
      <w:pPr>
        <w:pStyle w:val="Heading7"/>
        <w:spacing w:before="156"/>
      </w:pPr>
      <w:r>
        <w:rPr>
          <w:w w:val="115"/>
        </w:rPr>
        <w:t>VCAT and the 1998 Fences Review</w:t>
      </w:r>
    </w:p>
    <w:p>
      <w:pPr>
        <w:pStyle w:val="ListParagraph"/>
        <w:numPr>
          <w:ilvl w:val="1"/>
          <w:numId w:val="16"/>
        </w:numPr>
        <w:tabs>
          <w:tab w:pos="2382" w:val="left" w:leader="none"/>
        </w:tabs>
        <w:spacing w:line="242" w:lineRule="auto" w:before="143" w:after="0"/>
        <w:ind w:left="2381" w:right="1921" w:hanging="794"/>
        <w:jc w:val="both"/>
        <w:rPr>
          <w:sz w:val="21"/>
        </w:rPr>
      </w:pPr>
      <w:r>
        <w:rPr>
          <w:sz w:val="21"/>
        </w:rPr>
        <w:t>The possibility of </w:t>
      </w:r>
      <w:r>
        <w:rPr>
          <w:spacing w:val="-3"/>
          <w:sz w:val="21"/>
        </w:rPr>
        <w:t>conferring </w:t>
      </w:r>
      <w:r>
        <w:rPr>
          <w:sz w:val="21"/>
        </w:rPr>
        <w:t>jurisdiction on </w:t>
      </w:r>
      <w:r>
        <w:rPr>
          <w:spacing w:val="-5"/>
          <w:sz w:val="21"/>
        </w:rPr>
        <w:t>VCAT </w:t>
      </w:r>
      <w:r>
        <w:rPr>
          <w:spacing w:val="-3"/>
          <w:sz w:val="21"/>
        </w:rPr>
        <w:t>to </w:t>
      </w:r>
      <w:r>
        <w:rPr>
          <w:sz w:val="21"/>
        </w:rPr>
        <w:t>hear </w:t>
      </w:r>
      <w:r>
        <w:rPr>
          <w:spacing w:val="-3"/>
          <w:sz w:val="21"/>
        </w:rPr>
        <w:t>fence disputes </w:t>
      </w:r>
      <w:r>
        <w:rPr>
          <w:sz w:val="21"/>
        </w:rPr>
        <w:t>was </w:t>
      </w:r>
      <w:r>
        <w:rPr>
          <w:spacing w:val="-3"/>
          <w:sz w:val="21"/>
        </w:rPr>
        <w:t>previously </w:t>
      </w:r>
      <w:r>
        <w:rPr>
          <w:sz w:val="21"/>
        </w:rPr>
        <w:t>explored by the then Parliamentary Law </w:t>
      </w:r>
      <w:r>
        <w:rPr>
          <w:spacing w:val="-3"/>
          <w:sz w:val="21"/>
        </w:rPr>
        <w:t>Reform Committee</w:t>
      </w:r>
      <w:r>
        <w:rPr>
          <w:spacing w:val="-3"/>
          <w:position w:val="7"/>
          <w:sz w:val="12"/>
        </w:rPr>
        <w:t>97 </w:t>
      </w:r>
      <w:r>
        <w:rPr>
          <w:sz w:val="21"/>
        </w:rPr>
        <w:t>in its </w:t>
      </w:r>
      <w:r>
        <w:rPr>
          <w:spacing w:val="-4"/>
          <w:sz w:val="21"/>
        </w:rPr>
        <w:t>1998 </w:t>
      </w:r>
      <w:r>
        <w:rPr>
          <w:sz w:val="21"/>
        </w:rPr>
        <w:t>review of the Fences</w:t>
      </w:r>
      <w:r>
        <w:rPr>
          <w:spacing w:val="8"/>
          <w:sz w:val="21"/>
        </w:rPr>
        <w:t> </w:t>
      </w:r>
      <w:r>
        <w:rPr>
          <w:sz w:val="21"/>
        </w:rPr>
        <w:t>Act:</w:t>
      </w:r>
      <w:r>
        <w:rPr>
          <w:position w:val="7"/>
          <w:sz w:val="12"/>
        </w:rPr>
        <w:t>98</w:t>
      </w:r>
    </w:p>
    <w:p>
      <w:pPr>
        <w:spacing w:line="254" w:lineRule="auto" w:before="133"/>
        <w:ind w:left="2834" w:right="1759" w:firstLine="0"/>
        <w:jc w:val="left"/>
        <w:rPr>
          <w:sz w:val="11"/>
        </w:rPr>
      </w:pPr>
      <w:r>
        <w:rPr>
          <w:w w:val="105"/>
          <w:sz w:val="20"/>
        </w:rPr>
        <w:t>VCAT could perform a larger role in providing an efficient and cost effective forum for the resolution of a wider range of neighbour disputes. Consequently, the Committee recommends the creation of a ‘Neighbour Disputes’ Division of the Tribunal with the jurisdiction under the proposed Boundaries and Dividing Fences Act at its core.</w:t>
      </w:r>
      <w:r>
        <w:rPr>
          <w:w w:val="105"/>
          <w:position w:val="7"/>
          <w:sz w:val="11"/>
        </w:rPr>
        <w:t>99</w:t>
      </w:r>
    </w:p>
    <w:p>
      <w:pPr>
        <w:pStyle w:val="ListParagraph"/>
        <w:numPr>
          <w:ilvl w:val="1"/>
          <w:numId w:val="16"/>
        </w:numPr>
        <w:tabs>
          <w:tab w:pos="2381" w:val="left" w:leader="none"/>
          <w:tab w:pos="2382" w:val="left" w:leader="none"/>
        </w:tabs>
        <w:spacing w:line="242" w:lineRule="auto" w:before="115" w:after="0"/>
        <w:ind w:left="2381" w:right="1651" w:hanging="794"/>
        <w:jc w:val="left"/>
        <w:rPr>
          <w:sz w:val="21"/>
        </w:rPr>
      </w:pPr>
      <w:r>
        <w:rPr>
          <w:w w:val="105"/>
          <w:sz w:val="21"/>
        </w:rPr>
        <w:t>This </w:t>
      </w:r>
      <w:r>
        <w:rPr>
          <w:spacing w:val="-3"/>
          <w:w w:val="105"/>
          <w:sz w:val="21"/>
        </w:rPr>
        <w:t>recommendation </w:t>
      </w:r>
      <w:r>
        <w:rPr>
          <w:w w:val="105"/>
          <w:sz w:val="21"/>
        </w:rPr>
        <w:t>was not, </w:t>
      </w:r>
      <w:r>
        <w:rPr>
          <w:spacing w:val="-4"/>
          <w:w w:val="105"/>
          <w:sz w:val="21"/>
        </w:rPr>
        <w:t>however, </w:t>
      </w:r>
      <w:r>
        <w:rPr>
          <w:spacing w:val="-3"/>
          <w:w w:val="105"/>
          <w:sz w:val="21"/>
        </w:rPr>
        <w:t>implemented. </w:t>
      </w:r>
      <w:r>
        <w:rPr>
          <w:w w:val="105"/>
          <w:sz w:val="21"/>
        </w:rPr>
        <w:t>The </w:t>
      </w:r>
      <w:r>
        <w:rPr>
          <w:spacing w:val="-3"/>
          <w:w w:val="105"/>
          <w:sz w:val="21"/>
        </w:rPr>
        <w:t>Government’s </w:t>
      </w:r>
      <w:r>
        <w:rPr>
          <w:spacing w:val="-4"/>
          <w:w w:val="105"/>
          <w:sz w:val="21"/>
        </w:rPr>
        <w:t>2001 </w:t>
      </w:r>
      <w:r>
        <w:rPr>
          <w:w w:val="105"/>
          <w:sz w:val="21"/>
        </w:rPr>
        <w:t>response </w:t>
      </w:r>
      <w:r>
        <w:rPr>
          <w:spacing w:val="-3"/>
          <w:w w:val="105"/>
          <w:sz w:val="21"/>
        </w:rPr>
        <w:t>to </w:t>
      </w:r>
      <w:r>
        <w:rPr>
          <w:w w:val="105"/>
          <w:sz w:val="21"/>
        </w:rPr>
        <w:t>this </w:t>
      </w:r>
      <w:r>
        <w:rPr>
          <w:spacing w:val="-3"/>
          <w:w w:val="105"/>
          <w:sz w:val="21"/>
        </w:rPr>
        <w:t>recommendation </w:t>
      </w:r>
      <w:r>
        <w:rPr>
          <w:w w:val="105"/>
          <w:sz w:val="21"/>
        </w:rPr>
        <w:t>provides some</w:t>
      </w:r>
      <w:r>
        <w:rPr>
          <w:spacing w:val="26"/>
          <w:w w:val="105"/>
          <w:sz w:val="21"/>
        </w:rPr>
        <w:t> </w:t>
      </w:r>
      <w:r>
        <w:rPr>
          <w:w w:val="105"/>
          <w:sz w:val="21"/>
        </w:rPr>
        <w:t>context:</w:t>
      </w:r>
    </w:p>
    <w:p>
      <w:pPr>
        <w:spacing w:line="254" w:lineRule="auto" w:before="132"/>
        <w:ind w:left="2834" w:right="2059" w:firstLine="0"/>
        <w:jc w:val="left"/>
        <w:rPr>
          <w:sz w:val="11"/>
        </w:rPr>
      </w:pPr>
      <w:r>
        <w:rPr>
          <w:sz w:val="20"/>
        </w:rPr>
        <w:t>The Government </w:t>
      </w:r>
      <w:r>
        <w:rPr>
          <w:w w:val="115"/>
          <w:sz w:val="20"/>
        </w:rPr>
        <w:t>… </w:t>
      </w:r>
      <w:r>
        <w:rPr>
          <w:sz w:val="20"/>
        </w:rPr>
        <w:t>notes that there are complex issues to be considered in the relocation of </w:t>
      </w:r>
      <w:r>
        <w:rPr>
          <w:spacing w:val="-2"/>
          <w:sz w:val="20"/>
        </w:rPr>
        <w:t>any </w:t>
      </w:r>
      <w:r>
        <w:rPr>
          <w:sz w:val="20"/>
        </w:rPr>
        <w:t>jurisdiction. In </w:t>
      </w:r>
      <w:r>
        <w:rPr>
          <w:spacing w:val="-3"/>
          <w:sz w:val="20"/>
        </w:rPr>
        <w:t>particular, </w:t>
      </w:r>
      <w:r>
        <w:rPr>
          <w:sz w:val="20"/>
        </w:rPr>
        <w:t>the Government is concerned that regional and </w:t>
      </w:r>
      <w:r>
        <w:rPr>
          <w:spacing w:val="-3"/>
          <w:sz w:val="20"/>
        </w:rPr>
        <w:t>rural </w:t>
      </w:r>
      <w:r>
        <w:rPr>
          <w:sz w:val="20"/>
        </w:rPr>
        <w:t>Victoria </w:t>
      </w:r>
      <w:r>
        <w:rPr>
          <w:spacing w:val="-3"/>
          <w:sz w:val="20"/>
        </w:rPr>
        <w:t>remain </w:t>
      </w:r>
      <w:r>
        <w:rPr>
          <w:sz w:val="20"/>
        </w:rPr>
        <w:t>serviced in the comprehensive manner in which they are </w:t>
      </w:r>
      <w:r>
        <w:rPr>
          <w:spacing w:val="-3"/>
          <w:sz w:val="20"/>
        </w:rPr>
        <w:t>currently </w:t>
      </w:r>
      <w:r>
        <w:rPr>
          <w:sz w:val="20"/>
        </w:rPr>
        <w:t>serviced by local Magistrates’ courts. It proposes to consider further the necessity of an </w:t>
      </w:r>
      <w:r>
        <w:rPr>
          <w:spacing w:val="-3"/>
          <w:sz w:val="20"/>
        </w:rPr>
        <w:t>entirely </w:t>
      </w:r>
      <w:r>
        <w:rPr>
          <w:sz w:val="20"/>
        </w:rPr>
        <w:t>new Division at the </w:t>
      </w:r>
      <w:r>
        <w:rPr>
          <w:spacing w:val="-4"/>
          <w:sz w:val="20"/>
        </w:rPr>
        <w:t>Tribunal, </w:t>
      </w:r>
      <w:r>
        <w:rPr>
          <w:sz w:val="20"/>
        </w:rPr>
        <w:t>and whether broader disputes would be better resolved in another</w:t>
      </w:r>
      <w:r>
        <w:rPr>
          <w:spacing w:val="9"/>
          <w:sz w:val="20"/>
        </w:rPr>
        <w:t> </w:t>
      </w:r>
      <w:r>
        <w:rPr>
          <w:spacing w:val="-4"/>
          <w:sz w:val="20"/>
        </w:rPr>
        <w:t>arena.</w:t>
      </w:r>
      <w:r>
        <w:rPr>
          <w:spacing w:val="-4"/>
          <w:position w:val="7"/>
          <w:sz w:val="11"/>
        </w:rPr>
        <w:t>100</w:t>
      </w:r>
    </w:p>
    <w:p>
      <w:pPr>
        <w:pStyle w:val="ListParagraph"/>
        <w:numPr>
          <w:ilvl w:val="1"/>
          <w:numId w:val="16"/>
        </w:numPr>
        <w:tabs>
          <w:tab w:pos="2381" w:val="left" w:leader="none"/>
          <w:tab w:pos="2382" w:val="left" w:leader="none"/>
        </w:tabs>
        <w:spacing w:line="240" w:lineRule="auto" w:before="118" w:after="0"/>
        <w:ind w:left="2381" w:right="0" w:hanging="794"/>
        <w:jc w:val="left"/>
        <w:rPr>
          <w:sz w:val="21"/>
        </w:rPr>
      </w:pPr>
      <w:r>
        <w:rPr>
          <w:spacing w:val="-5"/>
          <w:w w:val="105"/>
          <w:sz w:val="21"/>
        </w:rPr>
        <w:t>Currently, </w:t>
      </w:r>
      <w:r>
        <w:rPr>
          <w:spacing w:val="-3"/>
          <w:w w:val="105"/>
          <w:sz w:val="21"/>
        </w:rPr>
        <w:t>fencing disputes are heard </w:t>
      </w:r>
      <w:r>
        <w:rPr>
          <w:w w:val="105"/>
          <w:sz w:val="21"/>
        </w:rPr>
        <w:t>in the </w:t>
      </w:r>
      <w:r>
        <w:rPr>
          <w:spacing w:val="-3"/>
          <w:w w:val="105"/>
          <w:sz w:val="21"/>
        </w:rPr>
        <w:t>Magistrates’</w:t>
      </w:r>
      <w:r>
        <w:rPr>
          <w:spacing w:val="12"/>
          <w:w w:val="105"/>
          <w:sz w:val="21"/>
        </w:rPr>
        <w:t> </w:t>
      </w:r>
      <w:r>
        <w:rPr>
          <w:spacing w:val="-3"/>
          <w:w w:val="105"/>
          <w:sz w:val="21"/>
        </w:rPr>
        <w:t>Court.</w:t>
      </w:r>
    </w:p>
    <w:p>
      <w:pPr>
        <w:pStyle w:val="BodyText"/>
        <w:spacing w:before="10"/>
      </w:pPr>
    </w:p>
    <w:p>
      <w:pPr>
        <w:pStyle w:val="Heading4"/>
      </w:pPr>
      <w:r>
        <w:rPr>
          <w:color w:val="658464"/>
          <w:w w:val="110"/>
        </w:rPr>
        <w:t>The approach in other jurisdictions</w:t>
      </w:r>
    </w:p>
    <w:p>
      <w:pPr>
        <w:pStyle w:val="ListParagraph"/>
        <w:numPr>
          <w:ilvl w:val="1"/>
          <w:numId w:val="16"/>
        </w:numPr>
        <w:tabs>
          <w:tab w:pos="2381" w:val="left" w:leader="none"/>
          <w:tab w:pos="2382" w:val="left" w:leader="none"/>
        </w:tabs>
        <w:spacing w:line="242" w:lineRule="auto" w:before="155" w:after="0"/>
        <w:ind w:left="2381" w:right="1904" w:hanging="794"/>
        <w:jc w:val="left"/>
        <w:rPr>
          <w:sz w:val="21"/>
        </w:rPr>
      </w:pPr>
      <w:r>
        <w:rPr>
          <w:w w:val="105"/>
          <w:sz w:val="21"/>
        </w:rPr>
        <w:t>As</w:t>
      </w:r>
      <w:r>
        <w:rPr>
          <w:spacing w:val="-9"/>
          <w:w w:val="105"/>
          <w:sz w:val="21"/>
        </w:rPr>
        <w:t> </w:t>
      </w:r>
      <w:r>
        <w:rPr>
          <w:w w:val="105"/>
          <w:sz w:val="21"/>
        </w:rPr>
        <w:t>mentioned</w:t>
      </w:r>
      <w:r>
        <w:rPr>
          <w:spacing w:val="-8"/>
          <w:w w:val="105"/>
          <w:sz w:val="21"/>
        </w:rPr>
        <w:t> </w:t>
      </w:r>
      <w:r>
        <w:rPr>
          <w:spacing w:val="-3"/>
          <w:w w:val="105"/>
          <w:sz w:val="21"/>
        </w:rPr>
        <w:t>earlier</w:t>
      </w:r>
      <w:r>
        <w:rPr>
          <w:spacing w:val="-8"/>
          <w:w w:val="105"/>
          <w:sz w:val="21"/>
        </w:rPr>
        <w:t> </w:t>
      </w:r>
      <w:r>
        <w:rPr>
          <w:w w:val="105"/>
          <w:sz w:val="21"/>
        </w:rPr>
        <w:t>in</w:t>
      </w:r>
      <w:r>
        <w:rPr>
          <w:spacing w:val="-8"/>
          <w:w w:val="105"/>
          <w:sz w:val="21"/>
        </w:rPr>
        <w:t> </w:t>
      </w:r>
      <w:r>
        <w:rPr>
          <w:w w:val="105"/>
          <w:sz w:val="21"/>
        </w:rPr>
        <w:t>this</w:t>
      </w:r>
      <w:r>
        <w:rPr>
          <w:spacing w:val="-9"/>
          <w:w w:val="105"/>
          <w:sz w:val="21"/>
        </w:rPr>
        <w:t> </w:t>
      </w:r>
      <w:r>
        <w:rPr>
          <w:w w:val="105"/>
          <w:sz w:val="21"/>
        </w:rPr>
        <w:t>report,</w:t>
      </w:r>
      <w:r>
        <w:rPr>
          <w:spacing w:val="-8"/>
          <w:w w:val="105"/>
          <w:sz w:val="21"/>
        </w:rPr>
        <w:t> </w:t>
      </w:r>
      <w:r>
        <w:rPr>
          <w:w w:val="105"/>
          <w:sz w:val="21"/>
        </w:rPr>
        <w:t>neighbourhood</w:t>
      </w:r>
      <w:r>
        <w:rPr>
          <w:spacing w:val="-8"/>
          <w:w w:val="105"/>
          <w:sz w:val="21"/>
        </w:rPr>
        <w:t> </w:t>
      </w:r>
      <w:r>
        <w:rPr>
          <w:w w:val="105"/>
          <w:sz w:val="21"/>
        </w:rPr>
        <w:t>tree</w:t>
      </w:r>
      <w:r>
        <w:rPr>
          <w:spacing w:val="-8"/>
          <w:w w:val="105"/>
          <w:sz w:val="21"/>
        </w:rPr>
        <w:t> </w:t>
      </w:r>
      <w:r>
        <w:rPr>
          <w:spacing w:val="-3"/>
          <w:w w:val="105"/>
          <w:sz w:val="21"/>
        </w:rPr>
        <w:t>disputes</w:t>
      </w:r>
      <w:r>
        <w:rPr>
          <w:spacing w:val="-9"/>
          <w:w w:val="105"/>
          <w:sz w:val="21"/>
        </w:rPr>
        <w:t> </w:t>
      </w:r>
      <w:r>
        <w:rPr>
          <w:spacing w:val="-3"/>
          <w:w w:val="105"/>
          <w:sz w:val="21"/>
        </w:rPr>
        <w:t>are</w:t>
      </w:r>
      <w:r>
        <w:rPr>
          <w:spacing w:val="-8"/>
          <w:w w:val="105"/>
          <w:sz w:val="21"/>
        </w:rPr>
        <w:t> </w:t>
      </w:r>
      <w:r>
        <w:rPr>
          <w:spacing w:val="-3"/>
          <w:w w:val="105"/>
          <w:sz w:val="21"/>
        </w:rPr>
        <w:t>heard</w:t>
      </w:r>
      <w:r>
        <w:rPr>
          <w:spacing w:val="-8"/>
          <w:w w:val="105"/>
          <w:sz w:val="21"/>
        </w:rPr>
        <w:t> </w:t>
      </w:r>
      <w:r>
        <w:rPr>
          <w:w w:val="105"/>
          <w:sz w:val="21"/>
        </w:rPr>
        <w:t>in</w:t>
      </w:r>
      <w:r>
        <w:rPr>
          <w:spacing w:val="-8"/>
          <w:w w:val="105"/>
          <w:sz w:val="21"/>
        </w:rPr>
        <w:t> </w:t>
      </w:r>
      <w:r>
        <w:rPr>
          <w:w w:val="105"/>
          <w:sz w:val="21"/>
        </w:rPr>
        <w:t>the</w:t>
      </w:r>
      <w:r>
        <w:rPr>
          <w:spacing w:val="-9"/>
          <w:w w:val="105"/>
          <w:sz w:val="21"/>
        </w:rPr>
        <w:t> </w:t>
      </w:r>
      <w:r>
        <w:rPr>
          <w:w w:val="105"/>
          <w:sz w:val="21"/>
        </w:rPr>
        <w:t>Land and </w:t>
      </w:r>
      <w:r>
        <w:rPr>
          <w:spacing w:val="-3"/>
          <w:w w:val="105"/>
          <w:sz w:val="21"/>
        </w:rPr>
        <w:t>Environment Court </w:t>
      </w:r>
      <w:r>
        <w:rPr>
          <w:w w:val="105"/>
          <w:sz w:val="21"/>
        </w:rPr>
        <w:t>of New South </w:t>
      </w:r>
      <w:r>
        <w:rPr>
          <w:spacing w:val="-3"/>
          <w:w w:val="105"/>
          <w:sz w:val="21"/>
        </w:rPr>
        <w:t>Wales </w:t>
      </w:r>
      <w:r>
        <w:rPr>
          <w:w w:val="105"/>
          <w:sz w:val="21"/>
        </w:rPr>
        <w:t>(NSWLEC), the </w:t>
      </w:r>
      <w:r>
        <w:rPr>
          <w:spacing w:val="-3"/>
          <w:w w:val="105"/>
          <w:sz w:val="21"/>
        </w:rPr>
        <w:t>Queensland Civil </w:t>
      </w:r>
      <w:r>
        <w:rPr>
          <w:w w:val="105"/>
          <w:sz w:val="21"/>
        </w:rPr>
        <w:t>and </w:t>
      </w:r>
      <w:r>
        <w:rPr>
          <w:spacing w:val="-3"/>
          <w:w w:val="105"/>
          <w:sz w:val="21"/>
        </w:rPr>
        <w:t>Administrative </w:t>
      </w:r>
      <w:r>
        <w:rPr>
          <w:spacing w:val="-5"/>
          <w:w w:val="105"/>
          <w:sz w:val="21"/>
        </w:rPr>
        <w:t>Tribunal </w:t>
      </w:r>
      <w:r>
        <w:rPr>
          <w:w w:val="105"/>
          <w:sz w:val="21"/>
        </w:rPr>
        <w:t>(QCAT), and the </w:t>
      </w:r>
      <w:r>
        <w:rPr>
          <w:spacing w:val="-3"/>
          <w:w w:val="105"/>
          <w:sz w:val="21"/>
        </w:rPr>
        <w:t>Resource Management </w:t>
      </w:r>
      <w:r>
        <w:rPr>
          <w:w w:val="105"/>
          <w:sz w:val="21"/>
        </w:rPr>
        <w:t>and </w:t>
      </w:r>
      <w:r>
        <w:rPr>
          <w:spacing w:val="-3"/>
          <w:w w:val="105"/>
          <w:sz w:val="21"/>
        </w:rPr>
        <w:t>Planning </w:t>
      </w:r>
      <w:r>
        <w:rPr>
          <w:w w:val="105"/>
          <w:sz w:val="21"/>
        </w:rPr>
        <w:t>Appeal </w:t>
      </w:r>
      <w:r>
        <w:rPr>
          <w:spacing w:val="-5"/>
          <w:w w:val="105"/>
          <w:sz w:val="21"/>
        </w:rPr>
        <w:t>Tribunal </w:t>
      </w:r>
      <w:r>
        <w:rPr>
          <w:spacing w:val="-3"/>
          <w:w w:val="105"/>
          <w:sz w:val="21"/>
        </w:rPr>
        <w:t>(RMPAT) </w:t>
      </w:r>
      <w:r>
        <w:rPr>
          <w:w w:val="105"/>
          <w:sz w:val="21"/>
        </w:rPr>
        <w:t>in</w:t>
      </w:r>
      <w:r>
        <w:rPr>
          <w:spacing w:val="23"/>
          <w:w w:val="105"/>
          <w:sz w:val="21"/>
        </w:rPr>
        <w:t> </w:t>
      </w:r>
      <w:r>
        <w:rPr>
          <w:spacing w:val="-5"/>
          <w:w w:val="105"/>
          <w:sz w:val="21"/>
        </w:rPr>
        <w:t>Tasmania.</w:t>
      </w:r>
    </w:p>
    <w:p>
      <w:pPr>
        <w:pStyle w:val="BodyText"/>
        <w:spacing w:before="5"/>
        <w:rPr>
          <w:sz w:val="20"/>
        </w:rPr>
      </w:pPr>
    </w:p>
    <w:p>
      <w:pPr>
        <w:pStyle w:val="Heading5"/>
      </w:pPr>
      <w:r>
        <w:rPr>
          <w:w w:val="115"/>
        </w:rPr>
        <w:t>New South Wales</w:t>
      </w:r>
    </w:p>
    <w:p>
      <w:pPr>
        <w:pStyle w:val="ListParagraph"/>
        <w:numPr>
          <w:ilvl w:val="1"/>
          <w:numId w:val="16"/>
        </w:numPr>
        <w:tabs>
          <w:tab w:pos="2380" w:val="left" w:leader="none"/>
          <w:tab w:pos="2381" w:val="left" w:leader="none"/>
        </w:tabs>
        <w:spacing w:line="242" w:lineRule="auto" w:before="138" w:after="0"/>
        <w:ind w:left="2381" w:right="1973" w:hanging="794"/>
        <w:jc w:val="left"/>
        <w:rPr>
          <w:sz w:val="21"/>
        </w:rPr>
      </w:pPr>
      <w:r>
        <w:rPr>
          <w:w w:val="105"/>
          <w:sz w:val="21"/>
        </w:rPr>
        <w:t>The NSWLEC </w:t>
      </w:r>
      <w:r>
        <w:rPr>
          <w:spacing w:val="-3"/>
          <w:w w:val="105"/>
          <w:sz w:val="21"/>
        </w:rPr>
        <w:t>adjudicates </w:t>
      </w:r>
      <w:r>
        <w:rPr>
          <w:w w:val="105"/>
          <w:sz w:val="21"/>
        </w:rPr>
        <w:t>tree </w:t>
      </w:r>
      <w:r>
        <w:rPr>
          <w:spacing w:val="-3"/>
          <w:w w:val="105"/>
          <w:sz w:val="21"/>
        </w:rPr>
        <w:t>disputes </w:t>
      </w:r>
      <w:r>
        <w:rPr>
          <w:w w:val="105"/>
          <w:sz w:val="21"/>
        </w:rPr>
        <w:t>under the NSW Act. The NSWLEC is a superior court, with equal status </w:t>
      </w:r>
      <w:r>
        <w:rPr>
          <w:spacing w:val="-3"/>
          <w:w w:val="105"/>
          <w:sz w:val="21"/>
        </w:rPr>
        <w:t>to </w:t>
      </w:r>
      <w:r>
        <w:rPr>
          <w:w w:val="105"/>
          <w:sz w:val="21"/>
        </w:rPr>
        <w:t>the NSW </w:t>
      </w:r>
      <w:r>
        <w:rPr>
          <w:spacing w:val="-3"/>
          <w:w w:val="105"/>
          <w:sz w:val="21"/>
        </w:rPr>
        <w:t>Supreme</w:t>
      </w:r>
      <w:r>
        <w:rPr>
          <w:spacing w:val="41"/>
          <w:w w:val="105"/>
          <w:sz w:val="21"/>
        </w:rPr>
        <w:t> </w:t>
      </w:r>
      <w:r>
        <w:rPr>
          <w:spacing w:val="-5"/>
          <w:w w:val="105"/>
          <w:sz w:val="21"/>
        </w:rPr>
        <w:t>Court.</w:t>
      </w:r>
      <w:r>
        <w:rPr>
          <w:spacing w:val="-5"/>
          <w:w w:val="105"/>
          <w:position w:val="7"/>
          <w:sz w:val="12"/>
        </w:rPr>
        <w:t>101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r>
        <w:rPr/>
        <w:pict>
          <v:line style="position:absolute;mso-position-horizontal-relative:page;mso-position-vertical-relative:paragraph;z-index:6584;mso-wrap-distance-left:0;mso-wrap-distance-right:0" from="79.370102pt,14.259472pt" to="515.905102pt,14.259472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09"/>
        </w:numPr>
        <w:tabs>
          <w:tab w:pos="2380" w:val="left" w:leader="none"/>
          <w:tab w:pos="2382" w:val="left" w:leader="none"/>
        </w:tabs>
        <w:spacing w:line="240" w:lineRule="auto" w:before="48" w:after="0"/>
        <w:ind w:left="2381" w:right="0" w:hanging="794"/>
        <w:jc w:val="left"/>
        <w:rPr>
          <w:sz w:val="13"/>
        </w:rPr>
      </w:pPr>
      <w:r>
        <w:rPr>
          <w:w w:val="105"/>
          <w:sz w:val="13"/>
        </w:rPr>
        <w:t>Supplementary Consultation 1 (Victorian Civil and Administrative Tribunal); Victorian Civil and Administrative Tribunal, </w:t>
      </w:r>
      <w:r>
        <w:rPr>
          <w:i/>
          <w:w w:val="105"/>
          <w:sz w:val="13"/>
        </w:rPr>
        <w:t>VCAT Annual </w:t>
      </w:r>
      <w:r>
        <w:rPr>
          <w:i/>
          <w:spacing w:val="2"/>
          <w:w w:val="105"/>
          <w:sz w:val="13"/>
        </w:rPr>
        <w:t>Report </w:t>
      </w:r>
      <w:r>
        <w:rPr>
          <w:i/>
          <w:spacing w:val="-4"/>
          <w:w w:val="105"/>
          <w:sz w:val="13"/>
        </w:rPr>
        <w:t>2017–18 </w:t>
      </w:r>
      <w:r>
        <w:rPr>
          <w:spacing w:val="2"/>
          <w:w w:val="105"/>
          <w:sz w:val="13"/>
        </w:rPr>
        <w:t>(Report, </w:t>
      </w:r>
      <w:r>
        <w:rPr>
          <w:w w:val="105"/>
          <w:sz w:val="13"/>
        </w:rPr>
        <w:t>2018)</w:t>
      </w:r>
      <w:r>
        <w:rPr>
          <w:spacing w:val="-11"/>
          <w:w w:val="105"/>
          <w:sz w:val="13"/>
        </w:rPr>
        <w:t> </w:t>
      </w:r>
      <w:r>
        <w:rPr>
          <w:w w:val="105"/>
          <w:sz w:val="13"/>
        </w:rPr>
        <w:t>25.</w:t>
      </w:r>
    </w:p>
    <w:p>
      <w:pPr>
        <w:pStyle w:val="ListParagraph"/>
        <w:numPr>
          <w:ilvl w:val="0"/>
          <w:numId w:val="109"/>
        </w:numPr>
        <w:tabs>
          <w:tab w:pos="2380" w:val="left" w:leader="none"/>
          <w:tab w:pos="2382" w:val="left" w:leader="none"/>
        </w:tabs>
        <w:spacing w:line="240" w:lineRule="auto" w:before="3" w:after="0"/>
        <w:ind w:left="2381" w:right="96" w:hanging="794"/>
        <w:jc w:val="left"/>
        <w:rPr>
          <w:sz w:val="13"/>
        </w:rPr>
      </w:pPr>
      <w:r>
        <w:rPr>
          <w:w w:val="105"/>
          <w:sz w:val="13"/>
        </w:rPr>
        <w:t>Victorian Civil and Administrative Tribunal, </w:t>
      </w:r>
      <w:r>
        <w:rPr>
          <w:i/>
          <w:w w:val="105"/>
          <w:sz w:val="13"/>
        </w:rPr>
        <w:t>Practice Direction PNVCAT1: Common Procedures, </w:t>
      </w:r>
      <w:r>
        <w:rPr>
          <w:spacing w:val="-3"/>
          <w:w w:val="105"/>
          <w:sz w:val="13"/>
        </w:rPr>
        <w:t>14  </w:t>
      </w:r>
      <w:r>
        <w:rPr>
          <w:w w:val="105"/>
          <w:sz w:val="13"/>
        </w:rPr>
        <w:t>December 2018, cl 34. A consent order       is a legal document issued by VCAT to confirm an agreement between </w:t>
      </w:r>
      <w:r>
        <w:rPr>
          <w:spacing w:val="2"/>
          <w:w w:val="105"/>
          <w:sz w:val="13"/>
        </w:rPr>
        <w:t>parties: </w:t>
      </w:r>
      <w:r>
        <w:rPr>
          <w:w w:val="105"/>
          <w:sz w:val="13"/>
        </w:rPr>
        <w:t>Victorian Civil and Administrative Tribunal, </w:t>
      </w:r>
      <w:r>
        <w:rPr>
          <w:i/>
          <w:w w:val="105"/>
          <w:sz w:val="13"/>
        </w:rPr>
        <w:t>Consent Orders </w:t>
      </w:r>
      <w:r>
        <w:rPr>
          <w:w w:val="105"/>
          <w:sz w:val="13"/>
        </w:rPr>
        <w:t>(Web Page)</w:t>
      </w:r>
      <w:r>
        <w:rPr>
          <w:spacing w:val="1"/>
          <w:w w:val="105"/>
          <w:sz w:val="13"/>
        </w:rPr>
        <w:t> </w:t>
      </w:r>
      <w:r>
        <w:rPr>
          <w:spacing w:val="2"/>
          <w:w w:val="105"/>
          <w:sz w:val="13"/>
        </w:rPr>
        <w:t>&lt;https://</w:t>
      </w:r>
      <w:hyperlink r:id="rId179">
        <w:r>
          <w:rPr>
            <w:spacing w:val="2"/>
            <w:w w:val="105"/>
            <w:sz w:val="13"/>
          </w:rPr>
          <w:t>www.vcat.vic.gov.au/steps-to-resolve-your-case/resolve-a-case-by-agreement/consent-orders</w:t>
        </w:r>
      </w:hyperlink>
      <w:r>
        <w:rPr>
          <w:spacing w:val="2"/>
          <w:w w:val="105"/>
          <w:sz w:val="13"/>
        </w:rPr>
        <w:t>&gt;.</w:t>
      </w:r>
    </w:p>
    <w:p>
      <w:pPr>
        <w:pStyle w:val="ListParagraph"/>
        <w:numPr>
          <w:ilvl w:val="0"/>
          <w:numId w:val="109"/>
        </w:numPr>
        <w:tabs>
          <w:tab w:pos="2380" w:val="left" w:leader="none"/>
          <w:tab w:pos="2382" w:val="left" w:leader="none"/>
        </w:tabs>
        <w:spacing w:line="240" w:lineRule="auto" w:before="4" w:after="0"/>
        <w:ind w:left="2381" w:right="0" w:hanging="794"/>
        <w:jc w:val="left"/>
        <w:rPr>
          <w:sz w:val="13"/>
        </w:rPr>
      </w:pPr>
      <w:r>
        <w:rPr>
          <w:w w:val="105"/>
          <w:sz w:val="13"/>
        </w:rPr>
        <w:t>Consultation 7 (Dispute Settlement Centre of</w:t>
      </w:r>
      <w:r>
        <w:rPr>
          <w:spacing w:val="28"/>
          <w:w w:val="105"/>
          <w:sz w:val="13"/>
        </w:rPr>
        <w:t> </w:t>
      </w:r>
      <w:r>
        <w:rPr>
          <w:w w:val="105"/>
          <w:sz w:val="13"/>
        </w:rPr>
        <w:t>Victoria).</w:t>
      </w:r>
    </w:p>
    <w:p>
      <w:pPr>
        <w:pStyle w:val="ListParagraph"/>
        <w:numPr>
          <w:ilvl w:val="0"/>
          <w:numId w:val="109"/>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09"/>
        </w:numPr>
        <w:tabs>
          <w:tab w:pos="2380" w:val="left" w:leader="none"/>
          <w:tab w:pos="2382" w:val="left" w:leader="none"/>
        </w:tabs>
        <w:spacing w:line="240" w:lineRule="auto" w:before="1" w:after="0"/>
        <w:ind w:left="2381" w:right="109" w:hanging="794"/>
        <w:jc w:val="left"/>
        <w:rPr>
          <w:sz w:val="13"/>
        </w:rPr>
      </w:pPr>
      <w:r>
        <w:rPr>
          <w:w w:val="105"/>
          <w:sz w:val="13"/>
        </w:rPr>
        <w:t>A bipartisan committee of the Victorian Parliament which can inquire into and report on legal, constitutional or parliamentary reform,       the administration of justice, and law reform. The Parliamentary Law Reform Committee is a former Joint Investigatory Committee of the Parliament of Victoria. On 1 August </w:t>
      </w:r>
      <w:r>
        <w:rPr>
          <w:spacing w:val="-3"/>
          <w:w w:val="105"/>
          <w:sz w:val="13"/>
        </w:rPr>
        <w:t>2013 </w:t>
      </w:r>
      <w:r>
        <w:rPr>
          <w:w w:val="105"/>
          <w:sz w:val="13"/>
        </w:rPr>
        <w:t>it merged with the Drugs and Crime Prevention Committee and became the Law Reform, Drugs</w:t>
      </w:r>
      <w:r>
        <w:rPr>
          <w:spacing w:val="30"/>
          <w:w w:val="105"/>
          <w:sz w:val="13"/>
        </w:rPr>
        <w:t> </w:t>
      </w:r>
      <w:r>
        <w:rPr>
          <w:w w:val="105"/>
          <w:sz w:val="13"/>
        </w:rPr>
        <w:t>and Crime Prevention Committee: see Parliament of Victoria, ‘Law Reform’, </w:t>
      </w:r>
      <w:r>
        <w:rPr>
          <w:i/>
          <w:w w:val="105"/>
          <w:sz w:val="13"/>
        </w:rPr>
        <w:t>Committees </w:t>
      </w:r>
      <w:r>
        <w:rPr>
          <w:w w:val="105"/>
          <w:sz w:val="13"/>
        </w:rPr>
        <w:t>(Web Page) &lt;https://</w:t>
      </w:r>
      <w:hyperlink r:id="rId180">
        <w:r>
          <w:rPr>
            <w:w w:val="105"/>
            <w:sz w:val="13"/>
          </w:rPr>
          <w:t>www.parliament.vic.gov.</w:t>
        </w:r>
      </w:hyperlink>
      <w:r>
        <w:rPr>
          <w:w w:val="105"/>
          <w:sz w:val="13"/>
        </w:rPr>
        <w:t> </w:t>
      </w:r>
      <w:r>
        <w:rPr>
          <w:spacing w:val="2"/>
          <w:w w:val="105"/>
          <w:sz w:val="13"/>
        </w:rPr>
        <w:t>au/57th-parliament/lawreform&gt;.</w:t>
      </w:r>
    </w:p>
    <w:p>
      <w:pPr>
        <w:pStyle w:val="ListParagraph"/>
        <w:numPr>
          <w:ilvl w:val="0"/>
          <w:numId w:val="109"/>
        </w:numPr>
        <w:tabs>
          <w:tab w:pos="2380" w:val="left" w:leader="none"/>
          <w:tab w:pos="2382" w:val="left" w:leader="none"/>
        </w:tabs>
        <w:spacing w:line="240" w:lineRule="auto" w:before="7" w:after="0"/>
        <w:ind w:left="1587" w:right="2534" w:firstLine="0"/>
        <w:jc w:val="left"/>
        <w:rPr>
          <w:sz w:val="13"/>
        </w:rPr>
      </w:pPr>
      <w:r>
        <w:rPr>
          <w:w w:val="105"/>
          <w:sz w:val="13"/>
        </w:rPr>
        <w:t>Law Reform Committee, Parliament of Victoria, </w:t>
      </w:r>
      <w:r>
        <w:rPr>
          <w:i/>
          <w:w w:val="105"/>
          <w:sz w:val="13"/>
        </w:rPr>
        <w:t>Review of the Fences Act 1968 </w:t>
      </w:r>
      <w:r>
        <w:rPr>
          <w:spacing w:val="2"/>
          <w:w w:val="105"/>
          <w:sz w:val="13"/>
        </w:rPr>
        <w:t>(Report, </w:t>
      </w:r>
      <w:r>
        <w:rPr>
          <w:w w:val="105"/>
          <w:sz w:val="13"/>
        </w:rPr>
        <w:t>1998). 99</w:t>
        <w:tab/>
        <w:t>Ibid</w:t>
      </w:r>
      <w:r>
        <w:rPr>
          <w:spacing w:val="4"/>
          <w:w w:val="105"/>
          <w:sz w:val="13"/>
        </w:rPr>
        <w:t> </w:t>
      </w:r>
      <w:r>
        <w:rPr>
          <w:w w:val="105"/>
          <w:sz w:val="13"/>
        </w:rPr>
        <w:t>2.32.</w:t>
      </w:r>
    </w:p>
    <w:p>
      <w:pPr>
        <w:pStyle w:val="ListParagraph"/>
        <w:numPr>
          <w:ilvl w:val="0"/>
          <w:numId w:val="110"/>
        </w:numPr>
        <w:tabs>
          <w:tab w:pos="2380" w:val="left" w:leader="none"/>
          <w:tab w:pos="2382" w:val="left" w:leader="none"/>
        </w:tabs>
        <w:spacing w:line="240" w:lineRule="auto" w:before="3" w:after="0"/>
        <w:ind w:left="2381" w:right="0" w:hanging="794"/>
        <w:jc w:val="left"/>
        <w:rPr>
          <w:sz w:val="13"/>
        </w:rPr>
      </w:pPr>
      <w:r>
        <w:rPr>
          <w:w w:val="105"/>
          <w:sz w:val="13"/>
        </w:rPr>
        <w:t>Victorian</w:t>
      </w:r>
      <w:r>
        <w:rPr>
          <w:spacing w:val="9"/>
          <w:w w:val="105"/>
          <w:sz w:val="13"/>
        </w:rPr>
        <w:t> </w:t>
      </w:r>
      <w:r>
        <w:rPr>
          <w:w w:val="105"/>
          <w:sz w:val="13"/>
        </w:rPr>
        <w:t>Government,</w:t>
      </w:r>
      <w:r>
        <w:rPr>
          <w:spacing w:val="9"/>
          <w:w w:val="105"/>
          <w:sz w:val="13"/>
        </w:rPr>
        <w:t> </w:t>
      </w:r>
      <w:r>
        <w:rPr>
          <w:i/>
          <w:w w:val="105"/>
          <w:sz w:val="13"/>
        </w:rPr>
        <w:t>Government</w:t>
      </w:r>
      <w:r>
        <w:rPr>
          <w:i/>
          <w:spacing w:val="10"/>
          <w:w w:val="105"/>
          <w:sz w:val="13"/>
        </w:rPr>
        <w:t> </w:t>
      </w:r>
      <w:r>
        <w:rPr>
          <w:i/>
          <w:w w:val="105"/>
          <w:sz w:val="13"/>
        </w:rPr>
        <w:t>Response</w:t>
      </w:r>
      <w:r>
        <w:rPr>
          <w:i/>
          <w:spacing w:val="9"/>
          <w:w w:val="105"/>
          <w:sz w:val="13"/>
        </w:rPr>
        <w:t> </w:t>
      </w:r>
      <w:r>
        <w:rPr>
          <w:i/>
          <w:w w:val="105"/>
          <w:sz w:val="13"/>
        </w:rPr>
        <w:t>to</w:t>
      </w:r>
      <w:r>
        <w:rPr>
          <w:i/>
          <w:spacing w:val="9"/>
          <w:w w:val="105"/>
          <w:sz w:val="13"/>
        </w:rPr>
        <w:t> </w:t>
      </w:r>
      <w:r>
        <w:rPr>
          <w:i/>
          <w:w w:val="105"/>
          <w:sz w:val="13"/>
        </w:rPr>
        <w:t>the</w:t>
      </w:r>
      <w:r>
        <w:rPr>
          <w:i/>
          <w:spacing w:val="10"/>
          <w:w w:val="105"/>
          <w:sz w:val="13"/>
        </w:rPr>
        <w:t> </w:t>
      </w:r>
      <w:r>
        <w:rPr>
          <w:i/>
          <w:w w:val="105"/>
          <w:sz w:val="13"/>
        </w:rPr>
        <w:t>Victorian</w:t>
      </w:r>
      <w:r>
        <w:rPr>
          <w:i/>
          <w:spacing w:val="9"/>
          <w:w w:val="105"/>
          <w:sz w:val="13"/>
        </w:rPr>
        <w:t> </w:t>
      </w:r>
      <w:r>
        <w:rPr>
          <w:i/>
          <w:w w:val="105"/>
          <w:sz w:val="13"/>
        </w:rPr>
        <w:t>Law</w:t>
      </w:r>
      <w:r>
        <w:rPr>
          <w:i/>
          <w:spacing w:val="9"/>
          <w:w w:val="105"/>
          <w:sz w:val="13"/>
        </w:rPr>
        <w:t> </w:t>
      </w:r>
      <w:r>
        <w:rPr>
          <w:i/>
          <w:w w:val="105"/>
          <w:sz w:val="13"/>
        </w:rPr>
        <w:t>Reform</w:t>
      </w:r>
      <w:r>
        <w:rPr>
          <w:i/>
          <w:spacing w:val="10"/>
          <w:w w:val="105"/>
          <w:sz w:val="13"/>
        </w:rPr>
        <w:t> </w:t>
      </w:r>
      <w:r>
        <w:rPr>
          <w:i/>
          <w:w w:val="105"/>
          <w:sz w:val="13"/>
        </w:rPr>
        <w:t>Committee</w:t>
      </w:r>
      <w:r>
        <w:rPr>
          <w:i/>
          <w:spacing w:val="9"/>
          <w:w w:val="105"/>
          <w:sz w:val="13"/>
        </w:rPr>
        <w:t> </w:t>
      </w:r>
      <w:r>
        <w:rPr>
          <w:i/>
          <w:w w:val="105"/>
          <w:sz w:val="13"/>
        </w:rPr>
        <w:t>Review</w:t>
      </w:r>
      <w:r>
        <w:rPr>
          <w:i/>
          <w:spacing w:val="9"/>
          <w:w w:val="105"/>
          <w:sz w:val="13"/>
        </w:rPr>
        <w:t> </w:t>
      </w:r>
      <w:r>
        <w:rPr>
          <w:i/>
          <w:w w:val="105"/>
          <w:sz w:val="13"/>
        </w:rPr>
        <w:t>of</w:t>
      </w:r>
      <w:r>
        <w:rPr>
          <w:i/>
          <w:spacing w:val="10"/>
          <w:w w:val="105"/>
          <w:sz w:val="13"/>
        </w:rPr>
        <w:t> </w:t>
      </w:r>
      <w:r>
        <w:rPr>
          <w:i/>
          <w:w w:val="105"/>
          <w:sz w:val="13"/>
        </w:rPr>
        <w:t>the</w:t>
      </w:r>
      <w:r>
        <w:rPr>
          <w:i/>
          <w:spacing w:val="9"/>
          <w:w w:val="105"/>
          <w:sz w:val="13"/>
        </w:rPr>
        <w:t> </w:t>
      </w:r>
      <w:r>
        <w:rPr>
          <w:i/>
          <w:w w:val="105"/>
          <w:sz w:val="13"/>
        </w:rPr>
        <w:t>Fences</w:t>
      </w:r>
      <w:r>
        <w:rPr>
          <w:i/>
          <w:spacing w:val="9"/>
          <w:w w:val="105"/>
          <w:sz w:val="13"/>
        </w:rPr>
        <w:t> </w:t>
      </w:r>
      <w:r>
        <w:rPr>
          <w:i/>
          <w:w w:val="105"/>
          <w:sz w:val="13"/>
        </w:rPr>
        <w:t>Act</w:t>
      </w:r>
      <w:r>
        <w:rPr>
          <w:i/>
          <w:spacing w:val="10"/>
          <w:w w:val="105"/>
          <w:sz w:val="13"/>
        </w:rPr>
        <w:t> </w:t>
      </w:r>
      <w:r>
        <w:rPr>
          <w:i/>
          <w:w w:val="105"/>
          <w:sz w:val="13"/>
        </w:rPr>
        <w:t>1968</w:t>
      </w:r>
      <w:r>
        <w:rPr>
          <w:i/>
          <w:spacing w:val="9"/>
          <w:w w:val="105"/>
          <w:sz w:val="13"/>
        </w:rPr>
        <w:t> </w:t>
      </w:r>
      <w:r>
        <w:rPr>
          <w:spacing w:val="2"/>
          <w:w w:val="105"/>
          <w:sz w:val="13"/>
        </w:rPr>
        <w:t>(Report,</w:t>
      </w:r>
      <w:r>
        <w:rPr>
          <w:spacing w:val="9"/>
          <w:w w:val="105"/>
          <w:sz w:val="13"/>
        </w:rPr>
        <w:t> </w:t>
      </w:r>
      <w:r>
        <w:rPr>
          <w:w w:val="105"/>
          <w:sz w:val="13"/>
        </w:rPr>
        <w:t>2001)</w:t>
      </w:r>
      <w:r>
        <w:rPr>
          <w:spacing w:val="10"/>
          <w:w w:val="105"/>
          <w:sz w:val="13"/>
        </w:rPr>
        <w:t> </w:t>
      </w:r>
      <w:r>
        <w:rPr>
          <w:w w:val="105"/>
          <w:sz w:val="13"/>
        </w:rPr>
        <w:t>1–2.</w:t>
      </w:r>
    </w:p>
    <w:p>
      <w:pPr>
        <w:pStyle w:val="ListParagraph"/>
        <w:numPr>
          <w:ilvl w:val="0"/>
          <w:numId w:val="110"/>
        </w:numPr>
        <w:tabs>
          <w:tab w:pos="2381" w:val="left" w:leader="none"/>
          <w:tab w:pos="2382" w:val="left" w:leader="none"/>
        </w:tabs>
        <w:spacing w:line="240" w:lineRule="auto" w:before="1" w:after="0"/>
        <w:ind w:left="2381" w:right="125" w:hanging="794"/>
        <w:jc w:val="left"/>
        <w:rPr>
          <w:sz w:val="13"/>
        </w:rPr>
      </w:pPr>
      <w:r>
        <w:rPr>
          <w:i/>
          <w:w w:val="105"/>
          <w:sz w:val="13"/>
        </w:rPr>
        <w:t>Land and Environment Court Act </w:t>
      </w:r>
      <w:r>
        <w:rPr>
          <w:i/>
          <w:spacing w:val="-3"/>
          <w:w w:val="105"/>
          <w:sz w:val="13"/>
        </w:rPr>
        <w:t>1979 </w:t>
      </w:r>
      <w:r>
        <w:rPr>
          <w:spacing w:val="3"/>
          <w:w w:val="105"/>
          <w:sz w:val="13"/>
        </w:rPr>
        <w:t>(NSW) </w:t>
      </w:r>
      <w:r>
        <w:rPr>
          <w:w w:val="105"/>
          <w:sz w:val="13"/>
        </w:rPr>
        <w:t>s 5(1); see also Land and Environment Court of New South Wales, </w:t>
      </w:r>
      <w:r>
        <w:rPr>
          <w:i/>
          <w:w w:val="105"/>
          <w:sz w:val="13"/>
        </w:rPr>
        <w:t>About Us </w:t>
      </w:r>
      <w:r>
        <w:rPr>
          <w:w w:val="105"/>
          <w:sz w:val="13"/>
        </w:rPr>
        <w:t>(Web Page, 29 April 2015)</w:t>
      </w:r>
      <w:r>
        <w:rPr>
          <w:spacing w:val="7"/>
          <w:w w:val="105"/>
          <w:sz w:val="13"/>
        </w:rPr>
        <w:t> </w:t>
      </w:r>
      <w:r>
        <w:rPr>
          <w:spacing w:val="2"/>
          <w:w w:val="105"/>
          <w:sz w:val="13"/>
        </w:rPr>
        <w:t>&lt;</w:t>
      </w:r>
      <w:hyperlink r:id="rId181">
        <w:r>
          <w:rPr>
            <w:spacing w:val="2"/>
            <w:w w:val="105"/>
            <w:sz w:val="13"/>
          </w:rPr>
          <w:t>http://www.lec.justice.nsw.gov.au/Pages/about/about.aspx</w:t>
        </w:r>
      </w:hyperlink>
      <w:r>
        <w:rPr>
          <w:spacing w:val="2"/>
          <w:w w:val="105"/>
          <w:sz w:val="13"/>
        </w:rPr>
        <w:t>&gt;.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7"/>
        </w:rPr>
      </w:pPr>
    </w:p>
    <w:p>
      <w:pPr>
        <w:spacing w:before="0"/>
        <w:ind w:left="559" w:right="579" w:firstLine="0"/>
        <w:jc w:val="center"/>
        <w:rPr>
          <w:b/>
          <w:sz w:val="24"/>
        </w:rPr>
      </w:pPr>
      <w:r>
        <w:rPr>
          <w:b/>
          <w:color w:val="658464"/>
          <w:w w:val="110"/>
          <w:sz w:val="24"/>
        </w:rPr>
        <w:t>141</w:t>
      </w:r>
    </w:p>
    <w:p>
      <w:pPr>
        <w:spacing w:after="0"/>
        <w:jc w:val="center"/>
        <w:rPr>
          <w:sz w:val="24"/>
        </w:rPr>
        <w:sectPr>
          <w:type w:val="continuous"/>
          <w:pgSz w:w="11910" w:h="16840"/>
          <w:pgMar w:top="300" w:bottom="280" w:left="0" w:right="0"/>
          <w:cols w:num="2" w:equalWidth="0">
            <w:col w:w="10290" w:space="40"/>
            <w:col w:w="1580"/>
          </w:cols>
        </w:sectPr>
      </w:pPr>
    </w:p>
    <w:p>
      <w:pPr>
        <w:pStyle w:val="BodyText"/>
        <w:spacing w:before="2"/>
        <w:rPr>
          <w:b/>
          <w:sz w:val="22"/>
        </w:rPr>
      </w:pPr>
    </w:p>
    <w:p>
      <w:pPr>
        <w:pStyle w:val="Heading7"/>
        <w:spacing w:before="97"/>
      </w:pPr>
      <w:r>
        <w:rPr>
          <w:w w:val="115"/>
        </w:rPr>
        <w:t>Decision-making expertise</w:t>
      </w:r>
    </w:p>
    <w:p>
      <w:pPr>
        <w:pStyle w:val="ListParagraph"/>
        <w:numPr>
          <w:ilvl w:val="1"/>
          <w:numId w:val="16"/>
        </w:numPr>
        <w:tabs>
          <w:tab w:pos="2381" w:val="left" w:leader="none"/>
          <w:tab w:pos="2382" w:val="left" w:leader="none"/>
        </w:tabs>
        <w:spacing w:line="242" w:lineRule="auto" w:before="142" w:after="0"/>
        <w:ind w:left="2381" w:right="2871" w:hanging="794"/>
        <w:jc w:val="left"/>
        <w:rPr>
          <w:sz w:val="21"/>
        </w:rPr>
      </w:pPr>
      <w:r>
        <w:rPr>
          <w:w w:val="105"/>
          <w:sz w:val="21"/>
        </w:rPr>
        <w:t>The NSWLEC is a specialist </w:t>
      </w:r>
      <w:r>
        <w:rPr>
          <w:spacing w:val="-4"/>
          <w:w w:val="105"/>
          <w:sz w:val="21"/>
        </w:rPr>
        <w:t>jurisdiction.</w:t>
      </w:r>
      <w:r>
        <w:rPr>
          <w:spacing w:val="-4"/>
          <w:w w:val="105"/>
          <w:position w:val="7"/>
          <w:sz w:val="12"/>
        </w:rPr>
        <w:t>102 </w:t>
      </w:r>
      <w:r>
        <w:rPr>
          <w:w w:val="105"/>
          <w:sz w:val="21"/>
        </w:rPr>
        <w:t>Its decision </w:t>
      </w:r>
      <w:r>
        <w:rPr>
          <w:spacing w:val="-3"/>
          <w:w w:val="105"/>
          <w:sz w:val="21"/>
        </w:rPr>
        <w:t>makers are </w:t>
      </w:r>
      <w:r>
        <w:rPr>
          <w:w w:val="105"/>
          <w:sz w:val="21"/>
        </w:rPr>
        <w:t>judges and commissioners, led by a chief</w:t>
      </w:r>
      <w:r>
        <w:rPr>
          <w:spacing w:val="22"/>
          <w:w w:val="105"/>
          <w:sz w:val="21"/>
        </w:rPr>
        <w:t> </w:t>
      </w:r>
      <w:r>
        <w:rPr>
          <w:spacing w:val="-5"/>
          <w:w w:val="105"/>
          <w:sz w:val="21"/>
        </w:rPr>
        <w:t>judge.</w:t>
      </w:r>
      <w:r>
        <w:rPr>
          <w:spacing w:val="-5"/>
          <w:w w:val="105"/>
          <w:position w:val="7"/>
          <w:sz w:val="12"/>
        </w:rPr>
        <w:t>103</w:t>
      </w:r>
    </w:p>
    <w:p>
      <w:pPr>
        <w:pStyle w:val="ListParagraph"/>
        <w:numPr>
          <w:ilvl w:val="1"/>
          <w:numId w:val="16"/>
        </w:numPr>
        <w:tabs>
          <w:tab w:pos="2380" w:val="left" w:leader="none"/>
          <w:tab w:pos="2382" w:val="left" w:leader="none"/>
        </w:tabs>
        <w:spacing w:line="242" w:lineRule="auto" w:before="123" w:after="0"/>
        <w:ind w:left="2381" w:right="1824" w:hanging="794"/>
        <w:jc w:val="left"/>
        <w:rPr>
          <w:sz w:val="21"/>
        </w:rPr>
      </w:pPr>
      <w:r>
        <w:rPr>
          <w:spacing w:val="-5"/>
          <w:sz w:val="21"/>
        </w:rPr>
        <w:t>Tree </w:t>
      </w:r>
      <w:r>
        <w:rPr>
          <w:spacing w:val="-3"/>
          <w:sz w:val="21"/>
        </w:rPr>
        <w:t>disputes are usually  heard  </w:t>
      </w:r>
      <w:r>
        <w:rPr>
          <w:sz w:val="21"/>
        </w:rPr>
        <w:t>by </w:t>
      </w:r>
      <w:r>
        <w:rPr>
          <w:spacing w:val="-6"/>
          <w:sz w:val="21"/>
        </w:rPr>
        <w:t>‘at  </w:t>
      </w:r>
      <w:r>
        <w:rPr>
          <w:sz w:val="21"/>
        </w:rPr>
        <w:t>least one </w:t>
      </w:r>
      <w:r>
        <w:rPr>
          <w:spacing w:val="-3"/>
          <w:sz w:val="21"/>
        </w:rPr>
        <w:t>Commissioner  </w:t>
      </w:r>
      <w:r>
        <w:rPr>
          <w:sz w:val="21"/>
        </w:rPr>
        <w:t>with specialist knowledge in </w:t>
      </w:r>
      <w:r>
        <w:rPr>
          <w:spacing w:val="-3"/>
          <w:sz w:val="21"/>
        </w:rPr>
        <w:t>arboriculture </w:t>
      </w:r>
      <w:r>
        <w:rPr>
          <w:sz w:val="21"/>
        </w:rPr>
        <w:t>who is an </w:t>
      </w:r>
      <w:r>
        <w:rPr>
          <w:spacing w:val="-4"/>
          <w:sz w:val="21"/>
        </w:rPr>
        <w:t>arborist’.</w:t>
      </w:r>
      <w:r>
        <w:rPr>
          <w:spacing w:val="-4"/>
          <w:position w:val="7"/>
          <w:sz w:val="12"/>
        </w:rPr>
        <w:t>104 </w:t>
      </w:r>
      <w:r>
        <w:rPr>
          <w:sz w:val="21"/>
        </w:rPr>
        <w:t>This provides the parties with some flexibility in </w:t>
      </w:r>
      <w:r>
        <w:rPr>
          <w:spacing w:val="-3"/>
          <w:sz w:val="21"/>
        </w:rPr>
        <w:t>relation to </w:t>
      </w:r>
      <w:r>
        <w:rPr>
          <w:sz w:val="21"/>
        </w:rPr>
        <w:t>the need </w:t>
      </w:r>
      <w:r>
        <w:rPr>
          <w:spacing w:val="-3"/>
          <w:sz w:val="21"/>
        </w:rPr>
        <w:t>for </w:t>
      </w:r>
      <w:r>
        <w:rPr>
          <w:sz w:val="21"/>
        </w:rPr>
        <w:t>expert</w:t>
      </w:r>
      <w:r>
        <w:rPr>
          <w:spacing w:val="15"/>
          <w:sz w:val="21"/>
        </w:rPr>
        <w:t> </w:t>
      </w:r>
      <w:r>
        <w:rPr>
          <w:spacing w:val="-3"/>
          <w:sz w:val="21"/>
        </w:rPr>
        <w:t>evidence.</w:t>
      </w:r>
    </w:p>
    <w:p>
      <w:pPr>
        <w:pStyle w:val="ListParagraph"/>
        <w:numPr>
          <w:ilvl w:val="1"/>
          <w:numId w:val="16"/>
        </w:numPr>
        <w:tabs>
          <w:tab w:pos="2380" w:val="left" w:leader="none"/>
          <w:tab w:pos="2381" w:val="left" w:leader="none"/>
        </w:tabs>
        <w:spacing w:line="242" w:lineRule="auto" w:before="123" w:after="0"/>
        <w:ind w:left="2380" w:right="2238" w:hanging="793"/>
        <w:jc w:val="left"/>
        <w:rPr>
          <w:sz w:val="21"/>
        </w:rPr>
      </w:pPr>
      <w:r>
        <w:rPr>
          <w:w w:val="105"/>
          <w:sz w:val="21"/>
        </w:rPr>
        <w:t>Judges</w:t>
      </w:r>
      <w:r>
        <w:rPr>
          <w:spacing w:val="-5"/>
          <w:w w:val="105"/>
          <w:sz w:val="21"/>
        </w:rPr>
        <w:t> </w:t>
      </w:r>
      <w:r>
        <w:rPr>
          <w:w w:val="105"/>
          <w:sz w:val="21"/>
        </w:rPr>
        <w:t>of</w:t>
      </w:r>
      <w:r>
        <w:rPr>
          <w:spacing w:val="-4"/>
          <w:w w:val="105"/>
          <w:sz w:val="21"/>
        </w:rPr>
        <w:t> </w:t>
      </w:r>
      <w:r>
        <w:rPr>
          <w:w w:val="105"/>
          <w:sz w:val="21"/>
        </w:rPr>
        <w:t>the</w:t>
      </w:r>
      <w:r>
        <w:rPr>
          <w:spacing w:val="-5"/>
          <w:w w:val="105"/>
          <w:sz w:val="21"/>
        </w:rPr>
        <w:t> </w:t>
      </w:r>
      <w:r>
        <w:rPr>
          <w:w w:val="105"/>
          <w:sz w:val="21"/>
        </w:rPr>
        <w:t>NSWLEC</w:t>
      </w:r>
      <w:r>
        <w:rPr>
          <w:spacing w:val="-4"/>
          <w:w w:val="105"/>
          <w:sz w:val="21"/>
        </w:rPr>
        <w:t> </w:t>
      </w:r>
      <w:r>
        <w:rPr>
          <w:spacing w:val="-3"/>
          <w:w w:val="105"/>
          <w:sz w:val="21"/>
        </w:rPr>
        <w:t>may</w:t>
      </w:r>
      <w:r>
        <w:rPr>
          <w:spacing w:val="-5"/>
          <w:w w:val="105"/>
          <w:sz w:val="21"/>
        </w:rPr>
        <w:t> </w:t>
      </w:r>
      <w:r>
        <w:rPr>
          <w:w w:val="105"/>
          <w:sz w:val="21"/>
        </w:rPr>
        <w:t>also</w:t>
      </w:r>
      <w:r>
        <w:rPr>
          <w:spacing w:val="-4"/>
          <w:w w:val="105"/>
          <w:sz w:val="21"/>
        </w:rPr>
        <w:t> </w:t>
      </w:r>
      <w:r>
        <w:rPr>
          <w:w w:val="105"/>
          <w:sz w:val="21"/>
        </w:rPr>
        <w:t>hear</w:t>
      </w:r>
      <w:r>
        <w:rPr>
          <w:spacing w:val="-5"/>
          <w:w w:val="105"/>
          <w:sz w:val="21"/>
        </w:rPr>
        <w:t> </w:t>
      </w:r>
      <w:r>
        <w:rPr>
          <w:w w:val="105"/>
          <w:sz w:val="21"/>
        </w:rPr>
        <w:t>and</w:t>
      </w:r>
      <w:r>
        <w:rPr>
          <w:spacing w:val="-4"/>
          <w:w w:val="105"/>
          <w:sz w:val="21"/>
        </w:rPr>
        <w:t> </w:t>
      </w:r>
      <w:r>
        <w:rPr>
          <w:spacing w:val="-3"/>
          <w:w w:val="105"/>
          <w:sz w:val="21"/>
        </w:rPr>
        <w:t>determine</w:t>
      </w:r>
      <w:r>
        <w:rPr>
          <w:spacing w:val="-4"/>
          <w:w w:val="105"/>
          <w:sz w:val="21"/>
        </w:rPr>
        <w:t> </w:t>
      </w:r>
      <w:r>
        <w:rPr>
          <w:w w:val="105"/>
          <w:sz w:val="21"/>
        </w:rPr>
        <w:t>tree</w:t>
      </w:r>
      <w:r>
        <w:rPr>
          <w:spacing w:val="-5"/>
          <w:w w:val="105"/>
          <w:sz w:val="21"/>
        </w:rPr>
        <w:t> </w:t>
      </w:r>
      <w:r>
        <w:rPr>
          <w:spacing w:val="-3"/>
          <w:w w:val="105"/>
          <w:sz w:val="21"/>
        </w:rPr>
        <w:t>disputes.</w:t>
      </w:r>
      <w:r>
        <w:rPr>
          <w:spacing w:val="-4"/>
          <w:w w:val="105"/>
          <w:sz w:val="21"/>
        </w:rPr>
        <w:t> However,</w:t>
      </w:r>
      <w:r>
        <w:rPr>
          <w:spacing w:val="-5"/>
          <w:w w:val="105"/>
          <w:sz w:val="21"/>
        </w:rPr>
        <w:t> </w:t>
      </w:r>
      <w:r>
        <w:rPr>
          <w:w w:val="105"/>
          <w:sz w:val="21"/>
        </w:rPr>
        <w:t>these </w:t>
      </w:r>
      <w:r>
        <w:rPr>
          <w:spacing w:val="-3"/>
          <w:w w:val="105"/>
          <w:sz w:val="21"/>
        </w:rPr>
        <w:t>hearings are </w:t>
      </w:r>
      <w:r>
        <w:rPr>
          <w:w w:val="105"/>
          <w:sz w:val="21"/>
        </w:rPr>
        <w:t>conducted in </w:t>
      </w:r>
      <w:r>
        <w:rPr>
          <w:spacing w:val="-3"/>
          <w:w w:val="105"/>
          <w:sz w:val="21"/>
        </w:rPr>
        <w:t>Court rather than </w:t>
      </w:r>
      <w:r>
        <w:rPr>
          <w:spacing w:val="-4"/>
          <w:w w:val="105"/>
          <w:sz w:val="21"/>
        </w:rPr>
        <w:t>on-site.</w:t>
      </w:r>
      <w:r>
        <w:rPr>
          <w:spacing w:val="-4"/>
          <w:w w:val="105"/>
          <w:position w:val="7"/>
          <w:sz w:val="12"/>
        </w:rPr>
        <w:t>105 </w:t>
      </w:r>
      <w:r>
        <w:rPr>
          <w:w w:val="105"/>
          <w:sz w:val="21"/>
        </w:rPr>
        <w:t>Judges </w:t>
      </w:r>
      <w:r>
        <w:rPr>
          <w:spacing w:val="-3"/>
          <w:w w:val="105"/>
          <w:sz w:val="21"/>
        </w:rPr>
        <w:t>contribute to </w:t>
      </w:r>
      <w:r>
        <w:rPr>
          <w:w w:val="105"/>
          <w:sz w:val="21"/>
        </w:rPr>
        <w:t>the development of </w:t>
      </w:r>
      <w:r>
        <w:rPr>
          <w:spacing w:val="-3"/>
          <w:w w:val="105"/>
          <w:sz w:val="21"/>
        </w:rPr>
        <w:t>jurisprudence </w:t>
      </w:r>
      <w:r>
        <w:rPr>
          <w:w w:val="105"/>
          <w:sz w:val="21"/>
        </w:rPr>
        <w:t>in this </w:t>
      </w:r>
      <w:r>
        <w:rPr>
          <w:spacing w:val="-3"/>
          <w:w w:val="105"/>
          <w:sz w:val="21"/>
        </w:rPr>
        <w:t>area </w:t>
      </w:r>
      <w:r>
        <w:rPr>
          <w:w w:val="105"/>
          <w:sz w:val="21"/>
        </w:rPr>
        <w:t>and </w:t>
      </w:r>
      <w:r>
        <w:rPr>
          <w:spacing w:val="-5"/>
          <w:w w:val="105"/>
          <w:sz w:val="21"/>
        </w:rPr>
        <w:t>Tree </w:t>
      </w:r>
      <w:r>
        <w:rPr>
          <w:spacing w:val="-3"/>
          <w:w w:val="105"/>
          <w:sz w:val="21"/>
        </w:rPr>
        <w:t>Dispute</w:t>
      </w:r>
      <w:r>
        <w:rPr>
          <w:spacing w:val="10"/>
          <w:w w:val="105"/>
          <w:sz w:val="21"/>
        </w:rPr>
        <w:t> </w:t>
      </w:r>
      <w:r>
        <w:rPr>
          <w:spacing w:val="-3"/>
          <w:w w:val="105"/>
          <w:sz w:val="21"/>
        </w:rPr>
        <w:t>Principles.</w:t>
      </w:r>
      <w:r>
        <w:rPr>
          <w:spacing w:val="-3"/>
          <w:w w:val="105"/>
          <w:position w:val="7"/>
          <w:sz w:val="12"/>
        </w:rPr>
        <w:t>106</w:t>
      </w:r>
    </w:p>
    <w:p>
      <w:pPr>
        <w:pStyle w:val="Heading7"/>
      </w:pPr>
      <w:r>
        <w:rPr>
          <w:w w:val="115"/>
        </w:rPr>
        <w:t>Case management and preliminary directions</w:t>
      </w:r>
    </w:p>
    <w:p>
      <w:pPr>
        <w:pStyle w:val="ListParagraph"/>
        <w:numPr>
          <w:ilvl w:val="1"/>
          <w:numId w:val="16"/>
        </w:numPr>
        <w:tabs>
          <w:tab w:pos="2381" w:val="left" w:leader="none"/>
          <w:tab w:pos="2382" w:val="left" w:leader="none"/>
        </w:tabs>
        <w:spacing w:line="242" w:lineRule="auto" w:before="142" w:after="0"/>
        <w:ind w:left="2381" w:right="1637" w:hanging="794"/>
        <w:jc w:val="left"/>
        <w:rPr>
          <w:sz w:val="21"/>
        </w:rPr>
      </w:pPr>
      <w:r>
        <w:rPr>
          <w:sz w:val="21"/>
        </w:rPr>
        <w:t>There is a </w:t>
      </w:r>
      <w:r>
        <w:rPr>
          <w:spacing w:val="-3"/>
          <w:sz w:val="21"/>
        </w:rPr>
        <w:t>high </w:t>
      </w:r>
      <w:r>
        <w:rPr>
          <w:sz w:val="21"/>
        </w:rPr>
        <w:t>level of </w:t>
      </w:r>
      <w:r>
        <w:rPr>
          <w:spacing w:val="-3"/>
          <w:sz w:val="21"/>
        </w:rPr>
        <w:t>self-representation </w:t>
      </w:r>
      <w:r>
        <w:rPr>
          <w:sz w:val="21"/>
        </w:rPr>
        <w:t>among </w:t>
      </w:r>
      <w:r>
        <w:rPr>
          <w:spacing w:val="-3"/>
          <w:sz w:val="21"/>
        </w:rPr>
        <w:t>litigants </w:t>
      </w:r>
      <w:r>
        <w:rPr>
          <w:sz w:val="21"/>
        </w:rPr>
        <w:t>in the NSWLEC </w:t>
      </w:r>
      <w:r>
        <w:rPr>
          <w:spacing w:val="-3"/>
          <w:sz w:val="21"/>
        </w:rPr>
        <w:t>for </w:t>
      </w:r>
      <w:r>
        <w:rPr>
          <w:sz w:val="21"/>
        </w:rPr>
        <w:t>tree </w:t>
      </w:r>
      <w:r>
        <w:rPr>
          <w:spacing w:val="-3"/>
          <w:sz w:val="21"/>
        </w:rPr>
        <w:t>dispute </w:t>
      </w:r>
      <w:r>
        <w:rPr>
          <w:sz w:val="21"/>
        </w:rPr>
        <w:t>matters. The </w:t>
      </w:r>
      <w:r>
        <w:rPr>
          <w:spacing w:val="-3"/>
          <w:sz w:val="21"/>
        </w:rPr>
        <w:t>NSWLEC’s </w:t>
      </w:r>
      <w:r>
        <w:rPr>
          <w:sz w:val="21"/>
        </w:rPr>
        <w:t>assistant </w:t>
      </w:r>
      <w:r>
        <w:rPr>
          <w:spacing w:val="-3"/>
          <w:sz w:val="21"/>
        </w:rPr>
        <w:t>registrar </w:t>
      </w:r>
      <w:r>
        <w:rPr>
          <w:sz w:val="21"/>
        </w:rPr>
        <w:t>helps triage matters when they </w:t>
      </w:r>
      <w:r>
        <w:rPr>
          <w:spacing w:val="-3"/>
          <w:sz w:val="21"/>
        </w:rPr>
        <w:t>are </w:t>
      </w:r>
      <w:r>
        <w:rPr>
          <w:sz w:val="21"/>
        </w:rPr>
        <w:t>filed, </w:t>
      </w:r>
      <w:r>
        <w:rPr>
          <w:spacing w:val="-3"/>
          <w:sz w:val="21"/>
        </w:rPr>
        <w:t>keeps </w:t>
      </w:r>
      <w:r>
        <w:rPr>
          <w:sz w:val="21"/>
        </w:rPr>
        <w:t>parties on </w:t>
      </w:r>
      <w:r>
        <w:rPr>
          <w:spacing w:val="-3"/>
          <w:sz w:val="21"/>
        </w:rPr>
        <w:t>track </w:t>
      </w:r>
      <w:r>
        <w:rPr>
          <w:sz w:val="21"/>
        </w:rPr>
        <w:t>and assists them </w:t>
      </w:r>
      <w:r>
        <w:rPr>
          <w:spacing w:val="-3"/>
          <w:sz w:val="21"/>
        </w:rPr>
        <w:t>to </w:t>
      </w:r>
      <w:r>
        <w:rPr>
          <w:sz w:val="21"/>
        </w:rPr>
        <w:t>comply with </w:t>
      </w:r>
      <w:r>
        <w:rPr>
          <w:spacing w:val="-3"/>
          <w:sz w:val="21"/>
        </w:rPr>
        <w:t>procedural</w:t>
      </w:r>
      <w:r>
        <w:rPr>
          <w:spacing w:val="2"/>
          <w:sz w:val="21"/>
        </w:rPr>
        <w:t> </w:t>
      </w:r>
      <w:r>
        <w:rPr>
          <w:spacing w:val="-4"/>
          <w:sz w:val="21"/>
        </w:rPr>
        <w:t>requirements.</w:t>
      </w:r>
      <w:r>
        <w:rPr>
          <w:spacing w:val="-4"/>
          <w:position w:val="7"/>
          <w:sz w:val="12"/>
        </w:rPr>
        <w:t>107</w:t>
      </w:r>
    </w:p>
    <w:p>
      <w:pPr>
        <w:pStyle w:val="ListParagraph"/>
        <w:numPr>
          <w:ilvl w:val="1"/>
          <w:numId w:val="16"/>
        </w:numPr>
        <w:tabs>
          <w:tab w:pos="2381" w:val="left" w:leader="none"/>
          <w:tab w:pos="2382" w:val="left" w:leader="none"/>
        </w:tabs>
        <w:spacing w:line="242" w:lineRule="auto" w:before="124" w:after="0"/>
        <w:ind w:left="2381" w:right="1950" w:hanging="794"/>
        <w:jc w:val="left"/>
        <w:rPr>
          <w:sz w:val="21"/>
        </w:rPr>
      </w:pPr>
      <w:r>
        <w:rPr>
          <w:sz w:val="21"/>
        </w:rPr>
        <w:t>Once it is </w:t>
      </w:r>
      <w:r>
        <w:rPr>
          <w:spacing w:val="-3"/>
          <w:sz w:val="21"/>
        </w:rPr>
        <w:t>determined that </w:t>
      </w:r>
      <w:r>
        <w:rPr>
          <w:sz w:val="21"/>
        </w:rPr>
        <w:t>the tree </w:t>
      </w:r>
      <w:r>
        <w:rPr>
          <w:spacing w:val="-3"/>
          <w:sz w:val="21"/>
        </w:rPr>
        <w:t>dispute </w:t>
      </w:r>
      <w:r>
        <w:rPr>
          <w:spacing w:val="-4"/>
          <w:sz w:val="21"/>
        </w:rPr>
        <w:t>falls </w:t>
      </w:r>
      <w:r>
        <w:rPr>
          <w:spacing w:val="-3"/>
          <w:sz w:val="21"/>
        </w:rPr>
        <w:t>within </w:t>
      </w:r>
      <w:r>
        <w:rPr>
          <w:sz w:val="21"/>
        </w:rPr>
        <w:t>the scope of the </w:t>
      </w:r>
      <w:r>
        <w:rPr>
          <w:spacing w:val="-3"/>
          <w:sz w:val="21"/>
        </w:rPr>
        <w:t>NSWLEC’s jurisdiction, </w:t>
      </w:r>
      <w:r>
        <w:rPr>
          <w:sz w:val="21"/>
        </w:rPr>
        <w:t>a </w:t>
      </w:r>
      <w:r>
        <w:rPr>
          <w:spacing w:val="-3"/>
          <w:sz w:val="21"/>
        </w:rPr>
        <w:t>preliminary hearing </w:t>
      </w:r>
      <w:r>
        <w:rPr>
          <w:sz w:val="21"/>
        </w:rPr>
        <w:t>is </w:t>
      </w:r>
      <w:r>
        <w:rPr>
          <w:spacing w:val="-4"/>
          <w:sz w:val="21"/>
        </w:rPr>
        <w:t>held.</w:t>
      </w:r>
      <w:r>
        <w:rPr>
          <w:spacing w:val="-4"/>
          <w:position w:val="7"/>
          <w:sz w:val="12"/>
        </w:rPr>
        <w:t>108 </w:t>
      </w:r>
      <w:r>
        <w:rPr>
          <w:sz w:val="21"/>
        </w:rPr>
        <w:t>A final </w:t>
      </w:r>
      <w:r>
        <w:rPr>
          <w:spacing w:val="-3"/>
          <w:sz w:val="21"/>
        </w:rPr>
        <w:t>hearing date </w:t>
      </w:r>
      <w:r>
        <w:rPr>
          <w:sz w:val="21"/>
        </w:rPr>
        <w:t>is set </w:t>
      </w:r>
      <w:r>
        <w:rPr>
          <w:spacing w:val="-3"/>
          <w:sz w:val="21"/>
        </w:rPr>
        <w:t>for </w:t>
      </w:r>
      <w:r>
        <w:rPr>
          <w:sz w:val="21"/>
        </w:rPr>
        <w:t>a time </w:t>
      </w:r>
      <w:r>
        <w:rPr>
          <w:spacing w:val="-3"/>
          <w:sz w:val="21"/>
        </w:rPr>
        <w:t>that </w:t>
      </w:r>
      <w:r>
        <w:rPr>
          <w:sz w:val="21"/>
        </w:rPr>
        <w:t>is </w:t>
      </w:r>
      <w:r>
        <w:rPr>
          <w:spacing w:val="-3"/>
          <w:sz w:val="21"/>
        </w:rPr>
        <w:t>usually </w:t>
      </w:r>
      <w:r>
        <w:rPr>
          <w:sz w:val="21"/>
        </w:rPr>
        <w:t>no more </w:t>
      </w:r>
      <w:r>
        <w:rPr>
          <w:spacing w:val="-3"/>
          <w:sz w:val="21"/>
        </w:rPr>
        <w:t>than </w:t>
      </w:r>
      <w:r>
        <w:rPr>
          <w:sz w:val="21"/>
        </w:rPr>
        <w:t>six weeks after the </w:t>
      </w:r>
      <w:r>
        <w:rPr>
          <w:spacing w:val="-3"/>
          <w:sz w:val="21"/>
        </w:rPr>
        <w:t>preliminary</w:t>
      </w:r>
      <w:r>
        <w:rPr>
          <w:spacing w:val="17"/>
          <w:sz w:val="21"/>
        </w:rPr>
        <w:t> </w:t>
      </w:r>
      <w:r>
        <w:rPr>
          <w:spacing w:val="-4"/>
          <w:sz w:val="21"/>
        </w:rPr>
        <w:t>hearing.</w:t>
      </w:r>
      <w:r>
        <w:rPr>
          <w:spacing w:val="-4"/>
          <w:position w:val="7"/>
          <w:sz w:val="12"/>
        </w:rPr>
        <w:t>109</w:t>
      </w:r>
    </w:p>
    <w:p>
      <w:pPr>
        <w:pStyle w:val="Heading7"/>
        <w:spacing w:before="153"/>
      </w:pPr>
      <w:r>
        <w:rPr>
          <w:w w:val="115"/>
        </w:rPr>
        <w:t>Alternative dispute resolution</w:t>
      </w:r>
    </w:p>
    <w:p>
      <w:pPr>
        <w:pStyle w:val="ListParagraph"/>
        <w:numPr>
          <w:ilvl w:val="1"/>
          <w:numId w:val="16"/>
        </w:numPr>
        <w:tabs>
          <w:tab w:pos="2381" w:val="left" w:leader="none"/>
          <w:tab w:pos="2382" w:val="left" w:leader="none"/>
        </w:tabs>
        <w:spacing w:line="242" w:lineRule="auto" w:before="143" w:after="0"/>
        <w:ind w:left="2381" w:right="1631" w:hanging="794"/>
        <w:jc w:val="left"/>
        <w:rPr>
          <w:sz w:val="21"/>
        </w:rPr>
      </w:pPr>
      <w:r>
        <w:rPr>
          <w:w w:val="105"/>
          <w:sz w:val="21"/>
        </w:rPr>
        <w:t>The NSWLEC </w:t>
      </w:r>
      <w:r>
        <w:rPr>
          <w:spacing w:val="-3"/>
          <w:w w:val="105"/>
          <w:sz w:val="21"/>
        </w:rPr>
        <w:t>encourages </w:t>
      </w:r>
      <w:r>
        <w:rPr>
          <w:w w:val="105"/>
          <w:sz w:val="21"/>
        </w:rPr>
        <w:t>the use of ADR </w:t>
      </w:r>
      <w:r>
        <w:rPr>
          <w:spacing w:val="-3"/>
          <w:w w:val="105"/>
          <w:sz w:val="21"/>
        </w:rPr>
        <w:t>to </w:t>
      </w:r>
      <w:r>
        <w:rPr>
          <w:w w:val="105"/>
          <w:sz w:val="21"/>
        </w:rPr>
        <w:t>resolve </w:t>
      </w:r>
      <w:r>
        <w:rPr>
          <w:spacing w:val="-5"/>
          <w:w w:val="105"/>
          <w:sz w:val="21"/>
        </w:rPr>
        <w:t>disputes.</w:t>
      </w:r>
      <w:r>
        <w:rPr>
          <w:spacing w:val="-5"/>
          <w:w w:val="105"/>
          <w:position w:val="7"/>
          <w:sz w:val="12"/>
        </w:rPr>
        <w:t>110 </w:t>
      </w:r>
      <w:r>
        <w:rPr>
          <w:spacing w:val="-4"/>
          <w:w w:val="105"/>
          <w:sz w:val="21"/>
        </w:rPr>
        <w:t>However, </w:t>
      </w:r>
      <w:r>
        <w:rPr>
          <w:w w:val="105"/>
          <w:sz w:val="21"/>
        </w:rPr>
        <w:t>the </w:t>
      </w:r>
      <w:r>
        <w:rPr>
          <w:spacing w:val="-3"/>
          <w:w w:val="105"/>
          <w:sz w:val="21"/>
        </w:rPr>
        <w:t>Commission </w:t>
      </w:r>
      <w:r>
        <w:rPr>
          <w:w w:val="105"/>
          <w:sz w:val="21"/>
        </w:rPr>
        <w:t>was </w:t>
      </w:r>
      <w:r>
        <w:rPr>
          <w:spacing w:val="-3"/>
          <w:w w:val="105"/>
          <w:sz w:val="21"/>
        </w:rPr>
        <w:t>informed that </w:t>
      </w:r>
      <w:r>
        <w:rPr>
          <w:w w:val="105"/>
          <w:sz w:val="21"/>
        </w:rPr>
        <w:t>parties </w:t>
      </w:r>
      <w:r>
        <w:rPr>
          <w:spacing w:val="-3"/>
          <w:w w:val="105"/>
          <w:sz w:val="21"/>
        </w:rPr>
        <w:t>are rarely referred to </w:t>
      </w:r>
      <w:r>
        <w:rPr>
          <w:w w:val="105"/>
          <w:sz w:val="21"/>
        </w:rPr>
        <w:t>ADR once a </w:t>
      </w:r>
      <w:r>
        <w:rPr>
          <w:spacing w:val="-3"/>
          <w:w w:val="105"/>
          <w:sz w:val="21"/>
        </w:rPr>
        <w:t>hearing </w:t>
      </w:r>
      <w:r>
        <w:rPr>
          <w:spacing w:val="-2"/>
          <w:w w:val="105"/>
          <w:sz w:val="21"/>
        </w:rPr>
        <w:t>has </w:t>
      </w:r>
      <w:r>
        <w:rPr>
          <w:spacing w:val="-6"/>
          <w:w w:val="105"/>
          <w:sz w:val="21"/>
        </w:rPr>
        <w:t>commenced.</w:t>
      </w:r>
      <w:r>
        <w:rPr>
          <w:spacing w:val="-6"/>
          <w:w w:val="105"/>
          <w:position w:val="7"/>
          <w:sz w:val="12"/>
        </w:rPr>
        <w:t>111</w:t>
      </w:r>
      <w:r>
        <w:rPr>
          <w:spacing w:val="-6"/>
          <w:w w:val="105"/>
          <w:sz w:val="12"/>
        </w:rPr>
        <w:t> </w:t>
      </w:r>
      <w:r>
        <w:rPr>
          <w:w w:val="105"/>
          <w:sz w:val="21"/>
        </w:rPr>
        <w:t>The NSWLEC </w:t>
      </w:r>
      <w:r>
        <w:rPr>
          <w:spacing w:val="-3"/>
          <w:w w:val="105"/>
          <w:sz w:val="21"/>
        </w:rPr>
        <w:t>informed </w:t>
      </w:r>
      <w:r>
        <w:rPr>
          <w:w w:val="105"/>
          <w:sz w:val="21"/>
        </w:rPr>
        <w:t>the </w:t>
      </w:r>
      <w:r>
        <w:rPr>
          <w:spacing w:val="-3"/>
          <w:w w:val="105"/>
          <w:sz w:val="21"/>
        </w:rPr>
        <w:t>Commission that </w:t>
      </w:r>
      <w:r>
        <w:rPr>
          <w:w w:val="105"/>
          <w:sz w:val="21"/>
        </w:rPr>
        <w:t>only one </w:t>
      </w:r>
      <w:r>
        <w:rPr>
          <w:spacing w:val="-2"/>
          <w:w w:val="105"/>
          <w:sz w:val="21"/>
        </w:rPr>
        <w:t>legally </w:t>
      </w:r>
      <w:r>
        <w:rPr>
          <w:w w:val="105"/>
          <w:sz w:val="21"/>
        </w:rPr>
        <w:t>complex tree </w:t>
      </w:r>
      <w:r>
        <w:rPr>
          <w:spacing w:val="-3"/>
          <w:w w:val="105"/>
          <w:sz w:val="21"/>
        </w:rPr>
        <w:t>dispute </w:t>
      </w:r>
      <w:r>
        <w:rPr>
          <w:spacing w:val="-2"/>
          <w:w w:val="105"/>
          <w:sz w:val="21"/>
        </w:rPr>
        <w:t>has </w:t>
      </w:r>
      <w:r>
        <w:rPr>
          <w:w w:val="105"/>
          <w:sz w:val="21"/>
        </w:rPr>
        <w:t>been </w:t>
      </w:r>
      <w:r>
        <w:rPr>
          <w:spacing w:val="-3"/>
          <w:w w:val="105"/>
          <w:sz w:val="21"/>
        </w:rPr>
        <w:t>referred to</w:t>
      </w:r>
      <w:r>
        <w:rPr>
          <w:spacing w:val="19"/>
          <w:w w:val="105"/>
          <w:sz w:val="21"/>
        </w:rPr>
        <w:t> </w:t>
      </w:r>
      <w:r>
        <w:rPr>
          <w:spacing w:val="-6"/>
          <w:w w:val="105"/>
          <w:sz w:val="21"/>
        </w:rPr>
        <w:t>ADR.</w:t>
      </w:r>
      <w:r>
        <w:rPr>
          <w:spacing w:val="-6"/>
          <w:w w:val="105"/>
          <w:position w:val="7"/>
          <w:sz w:val="12"/>
        </w:rPr>
        <w:t>112</w:t>
      </w:r>
    </w:p>
    <w:p>
      <w:pPr>
        <w:pStyle w:val="ListParagraph"/>
        <w:numPr>
          <w:ilvl w:val="1"/>
          <w:numId w:val="16"/>
        </w:numPr>
        <w:tabs>
          <w:tab w:pos="2381" w:val="left" w:leader="none"/>
          <w:tab w:pos="2382" w:val="left" w:leader="none"/>
        </w:tabs>
        <w:spacing w:line="242" w:lineRule="auto" w:before="124" w:after="0"/>
        <w:ind w:left="2381" w:right="1683" w:hanging="794"/>
        <w:jc w:val="left"/>
        <w:rPr>
          <w:sz w:val="21"/>
        </w:rPr>
      </w:pPr>
      <w:r>
        <w:rPr>
          <w:w w:val="105"/>
          <w:sz w:val="21"/>
        </w:rPr>
        <w:t>The </w:t>
      </w:r>
      <w:r>
        <w:rPr>
          <w:spacing w:val="-3"/>
          <w:w w:val="105"/>
          <w:sz w:val="21"/>
        </w:rPr>
        <w:t>Commission </w:t>
      </w:r>
      <w:r>
        <w:rPr>
          <w:w w:val="105"/>
          <w:sz w:val="21"/>
        </w:rPr>
        <w:t>was told </w:t>
      </w:r>
      <w:r>
        <w:rPr>
          <w:spacing w:val="-3"/>
          <w:w w:val="105"/>
          <w:sz w:val="21"/>
        </w:rPr>
        <w:t>that informal negotiations have generally reached </w:t>
      </w:r>
      <w:r>
        <w:rPr>
          <w:w w:val="105"/>
          <w:sz w:val="21"/>
        </w:rPr>
        <w:t>a stalemate by the time an application </w:t>
      </w:r>
      <w:r>
        <w:rPr>
          <w:spacing w:val="-3"/>
          <w:w w:val="105"/>
          <w:sz w:val="21"/>
        </w:rPr>
        <w:t>to </w:t>
      </w:r>
      <w:r>
        <w:rPr>
          <w:w w:val="105"/>
          <w:sz w:val="21"/>
        </w:rPr>
        <w:t>the </w:t>
      </w:r>
      <w:r>
        <w:rPr>
          <w:spacing w:val="-3"/>
          <w:w w:val="105"/>
          <w:sz w:val="21"/>
        </w:rPr>
        <w:t>Court </w:t>
      </w:r>
      <w:r>
        <w:rPr>
          <w:w w:val="105"/>
          <w:sz w:val="21"/>
        </w:rPr>
        <w:t>is </w:t>
      </w:r>
      <w:r>
        <w:rPr>
          <w:spacing w:val="-3"/>
          <w:w w:val="105"/>
          <w:sz w:val="21"/>
        </w:rPr>
        <w:t>made. </w:t>
      </w:r>
      <w:r>
        <w:rPr>
          <w:spacing w:val="-4"/>
          <w:w w:val="105"/>
          <w:sz w:val="21"/>
        </w:rPr>
        <w:t>However, </w:t>
      </w:r>
      <w:r>
        <w:rPr>
          <w:w w:val="105"/>
          <w:sz w:val="21"/>
        </w:rPr>
        <w:t>the </w:t>
      </w:r>
      <w:r>
        <w:rPr>
          <w:spacing w:val="-3"/>
          <w:w w:val="105"/>
          <w:sz w:val="21"/>
        </w:rPr>
        <w:t>Court </w:t>
      </w:r>
      <w:r>
        <w:rPr>
          <w:w w:val="105"/>
          <w:sz w:val="21"/>
        </w:rPr>
        <w:t>advised </w:t>
      </w:r>
      <w:r>
        <w:rPr>
          <w:spacing w:val="-3"/>
          <w:w w:val="105"/>
          <w:sz w:val="21"/>
        </w:rPr>
        <w:t>that </w:t>
      </w:r>
      <w:r>
        <w:rPr>
          <w:w w:val="105"/>
          <w:sz w:val="21"/>
        </w:rPr>
        <w:t>if it appears </w:t>
      </w:r>
      <w:r>
        <w:rPr>
          <w:spacing w:val="-3"/>
          <w:w w:val="105"/>
          <w:sz w:val="21"/>
        </w:rPr>
        <w:t>that </w:t>
      </w:r>
      <w:r>
        <w:rPr>
          <w:w w:val="105"/>
          <w:sz w:val="21"/>
        </w:rPr>
        <w:t>the parties </w:t>
      </w:r>
      <w:r>
        <w:rPr>
          <w:spacing w:val="-3"/>
          <w:w w:val="105"/>
          <w:sz w:val="21"/>
        </w:rPr>
        <w:t>may </w:t>
      </w:r>
      <w:r>
        <w:rPr>
          <w:w w:val="105"/>
          <w:sz w:val="21"/>
        </w:rPr>
        <w:t>be open </w:t>
      </w:r>
      <w:r>
        <w:rPr>
          <w:spacing w:val="-3"/>
          <w:w w:val="105"/>
          <w:sz w:val="21"/>
        </w:rPr>
        <w:t>to negotiating </w:t>
      </w:r>
      <w:r>
        <w:rPr>
          <w:w w:val="105"/>
          <w:sz w:val="21"/>
        </w:rPr>
        <w:t>a </w:t>
      </w:r>
      <w:r>
        <w:rPr>
          <w:spacing w:val="-3"/>
          <w:w w:val="105"/>
          <w:sz w:val="21"/>
        </w:rPr>
        <w:t>resolution, </w:t>
      </w:r>
      <w:r>
        <w:rPr>
          <w:w w:val="105"/>
          <w:sz w:val="21"/>
        </w:rPr>
        <w:t>the </w:t>
      </w:r>
      <w:r>
        <w:rPr>
          <w:spacing w:val="-3"/>
          <w:w w:val="105"/>
          <w:sz w:val="21"/>
        </w:rPr>
        <w:t>Court may </w:t>
      </w:r>
      <w:r>
        <w:rPr>
          <w:w w:val="105"/>
          <w:sz w:val="21"/>
        </w:rPr>
        <w:t>offer </w:t>
      </w:r>
      <w:r>
        <w:rPr>
          <w:spacing w:val="-3"/>
          <w:w w:val="105"/>
          <w:sz w:val="21"/>
        </w:rPr>
        <w:t>to </w:t>
      </w:r>
      <w:r>
        <w:rPr>
          <w:w w:val="105"/>
          <w:sz w:val="21"/>
        </w:rPr>
        <w:t>adjourn</w:t>
      </w:r>
      <w:r>
        <w:rPr>
          <w:spacing w:val="-6"/>
          <w:w w:val="105"/>
          <w:sz w:val="21"/>
        </w:rPr>
        <w:t> </w:t>
      </w:r>
      <w:r>
        <w:rPr>
          <w:w w:val="105"/>
          <w:sz w:val="21"/>
        </w:rPr>
        <w:t>the</w:t>
      </w:r>
      <w:r>
        <w:rPr>
          <w:spacing w:val="-6"/>
          <w:w w:val="105"/>
          <w:sz w:val="21"/>
        </w:rPr>
        <w:t> </w:t>
      </w:r>
      <w:r>
        <w:rPr>
          <w:spacing w:val="-4"/>
          <w:w w:val="105"/>
          <w:sz w:val="21"/>
        </w:rPr>
        <w:t>matter,</w:t>
      </w:r>
      <w:r>
        <w:rPr>
          <w:spacing w:val="-5"/>
          <w:w w:val="105"/>
          <w:sz w:val="21"/>
        </w:rPr>
        <w:t> </w:t>
      </w:r>
      <w:r>
        <w:rPr>
          <w:w w:val="105"/>
          <w:sz w:val="21"/>
        </w:rPr>
        <w:t>and</w:t>
      </w:r>
      <w:r>
        <w:rPr>
          <w:spacing w:val="-6"/>
          <w:w w:val="105"/>
          <w:sz w:val="21"/>
        </w:rPr>
        <w:t> </w:t>
      </w:r>
      <w:r>
        <w:rPr>
          <w:spacing w:val="-4"/>
          <w:w w:val="105"/>
          <w:sz w:val="21"/>
        </w:rPr>
        <w:t>make</w:t>
      </w:r>
      <w:r>
        <w:rPr>
          <w:spacing w:val="-5"/>
          <w:w w:val="105"/>
          <w:sz w:val="21"/>
        </w:rPr>
        <w:t> </w:t>
      </w:r>
      <w:r>
        <w:rPr>
          <w:spacing w:val="-3"/>
          <w:w w:val="105"/>
          <w:sz w:val="21"/>
        </w:rPr>
        <w:t>consent</w:t>
      </w:r>
      <w:r>
        <w:rPr>
          <w:spacing w:val="-6"/>
          <w:w w:val="105"/>
          <w:sz w:val="21"/>
        </w:rPr>
        <w:t> </w:t>
      </w:r>
      <w:r>
        <w:rPr>
          <w:w w:val="105"/>
          <w:sz w:val="21"/>
        </w:rPr>
        <w:t>orders</w:t>
      </w:r>
      <w:r>
        <w:rPr>
          <w:spacing w:val="-6"/>
          <w:w w:val="105"/>
          <w:sz w:val="21"/>
        </w:rPr>
        <w:t> </w:t>
      </w:r>
      <w:r>
        <w:rPr>
          <w:w w:val="105"/>
          <w:sz w:val="21"/>
        </w:rPr>
        <w:t>if</w:t>
      </w:r>
      <w:r>
        <w:rPr>
          <w:spacing w:val="-5"/>
          <w:w w:val="105"/>
          <w:sz w:val="21"/>
        </w:rPr>
        <w:t> </w:t>
      </w:r>
      <w:r>
        <w:rPr>
          <w:w w:val="105"/>
          <w:sz w:val="21"/>
        </w:rPr>
        <w:t>parties</w:t>
      </w:r>
      <w:r>
        <w:rPr>
          <w:spacing w:val="-6"/>
          <w:w w:val="105"/>
          <w:sz w:val="21"/>
        </w:rPr>
        <w:t> </w:t>
      </w:r>
      <w:r>
        <w:rPr>
          <w:spacing w:val="-3"/>
          <w:w w:val="105"/>
          <w:sz w:val="21"/>
        </w:rPr>
        <w:t>reach</w:t>
      </w:r>
      <w:r>
        <w:rPr>
          <w:spacing w:val="-5"/>
          <w:w w:val="105"/>
          <w:sz w:val="21"/>
        </w:rPr>
        <w:t> </w:t>
      </w:r>
      <w:r>
        <w:rPr>
          <w:w w:val="105"/>
          <w:sz w:val="21"/>
        </w:rPr>
        <w:t>an</w:t>
      </w:r>
      <w:r>
        <w:rPr>
          <w:spacing w:val="-6"/>
          <w:w w:val="105"/>
          <w:sz w:val="21"/>
        </w:rPr>
        <w:t> </w:t>
      </w:r>
      <w:r>
        <w:rPr>
          <w:spacing w:val="-2"/>
          <w:w w:val="105"/>
          <w:sz w:val="21"/>
        </w:rPr>
        <w:t>agreement,</w:t>
      </w:r>
      <w:r>
        <w:rPr>
          <w:spacing w:val="-5"/>
          <w:w w:val="105"/>
          <w:sz w:val="21"/>
        </w:rPr>
        <w:t> </w:t>
      </w:r>
      <w:r>
        <w:rPr>
          <w:spacing w:val="-3"/>
          <w:w w:val="105"/>
          <w:sz w:val="21"/>
        </w:rPr>
        <w:t>for</w:t>
      </w:r>
      <w:r>
        <w:rPr>
          <w:spacing w:val="-6"/>
          <w:w w:val="105"/>
          <w:sz w:val="21"/>
        </w:rPr>
        <w:t> </w:t>
      </w:r>
      <w:r>
        <w:rPr>
          <w:spacing w:val="-3"/>
          <w:w w:val="105"/>
          <w:sz w:val="21"/>
        </w:rPr>
        <w:t>example, through</w:t>
      </w:r>
      <w:r>
        <w:rPr>
          <w:spacing w:val="5"/>
          <w:w w:val="105"/>
          <w:sz w:val="21"/>
        </w:rPr>
        <w:t> </w:t>
      </w:r>
      <w:r>
        <w:rPr>
          <w:spacing w:val="-5"/>
          <w:w w:val="105"/>
          <w:sz w:val="21"/>
        </w:rPr>
        <w:t>mediation.</w:t>
      </w:r>
      <w:r>
        <w:rPr>
          <w:spacing w:val="-5"/>
          <w:w w:val="105"/>
          <w:position w:val="7"/>
          <w:sz w:val="12"/>
        </w:rPr>
        <w:t>113</w:t>
      </w:r>
    </w:p>
    <w:p>
      <w:pPr>
        <w:pStyle w:val="Heading7"/>
        <w:spacing w:before="156"/>
      </w:pPr>
      <w:r>
        <w:rPr>
          <w:w w:val="115"/>
        </w:rPr>
        <w:t>Final on-site hearing</w:t>
      </w:r>
    </w:p>
    <w:p>
      <w:pPr>
        <w:pStyle w:val="ListParagraph"/>
        <w:numPr>
          <w:ilvl w:val="1"/>
          <w:numId w:val="16"/>
        </w:numPr>
        <w:tabs>
          <w:tab w:pos="2380" w:val="left" w:leader="none"/>
          <w:tab w:pos="2381" w:val="left" w:leader="none"/>
        </w:tabs>
        <w:spacing w:line="242" w:lineRule="auto" w:before="143" w:after="0"/>
        <w:ind w:left="2381" w:right="2031" w:hanging="794"/>
        <w:jc w:val="left"/>
        <w:rPr>
          <w:sz w:val="21"/>
        </w:rPr>
      </w:pPr>
      <w:r>
        <w:rPr>
          <w:sz w:val="21"/>
        </w:rPr>
        <w:t>Nearly </w:t>
      </w:r>
      <w:r>
        <w:rPr>
          <w:spacing w:val="-3"/>
          <w:sz w:val="21"/>
        </w:rPr>
        <w:t>all </w:t>
      </w:r>
      <w:r>
        <w:rPr>
          <w:sz w:val="21"/>
        </w:rPr>
        <w:t>tree </w:t>
      </w:r>
      <w:r>
        <w:rPr>
          <w:spacing w:val="-3"/>
          <w:sz w:val="21"/>
        </w:rPr>
        <w:t>disputes are heard </w:t>
      </w:r>
      <w:r>
        <w:rPr>
          <w:sz w:val="21"/>
        </w:rPr>
        <w:t>and </w:t>
      </w:r>
      <w:r>
        <w:rPr>
          <w:spacing w:val="-3"/>
          <w:sz w:val="21"/>
        </w:rPr>
        <w:t>determined </w:t>
      </w:r>
      <w:r>
        <w:rPr>
          <w:sz w:val="21"/>
        </w:rPr>
        <w:t>on </w:t>
      </w:r>
      <w:r>
        <w:rPr>
          <w:spacing w:val="-3"/>
          <w:sz w:val="21"/>
        </w:rPr>
        <w:t>site </w:t>
      </w:r>
      <w:r>
        <w:rPr>
          <w:sz w:val="21"/>
        </w:rPr>
        <w:t>on the same </w:t>
      </w:r>
      <w:r>
        <w:rPr>
          <w:spacing w:val="-8"/>
          <w:sz w:val="21"/>
        </w:rPr>
        <w:t>day.</w:t>
      </w:r>
      <w:r>
        <w:rPr>
          <w:spacing w:val="-8"/>
          <w:position w:val="7"/>
          <w:sz w:val="12"/>
        </w:rPr>
        <w:t>114</w:t>
      </w:r>
      <w:r>
        <w:rPr>
          <w:spacing w:val="-8"/>
          <w:sz w:val="12"/>
        </w:rPr>
        <w:t> </w:t>
      </w:r>
      <w:r>
        <w:rPr>
          <w:spacing w:val="-3"/>
          <w:sz w:val="21"/>
        </w:rPr>
        <w:t>Commissioners will travel to </w:t>
      </w:r>
      <w:r>
        <w:rPr>
          <w:sz w:val="21"/>
        </w:rPr>
        <w:t>the </w:t>
      </w:r>
      <w:r>
        <w:rPr>
          <w:spacing w:val="-3"/>
          <w:sz w:val="21"/>
        </w:rPr>
        <w:t>site </w:t>
      </w:r>
      <w:r>
        <w:rPr>
          <w:sz w:val="21"/>
        </w:rPr>
        <w:t>of the tree </w:t>
      </w:r>
      <w:r>
        <w:rPr>
          <w:spacing w:val="-3"/>
          <w:sz w:val="21"/>
        </w:rPr>
        <w:t>dispute, including all regional</w:t>
      </w:r>
      <w:r>
        <w:rPr>
          <w:spacing w:val="-16"/>
          <w:sz w:val="21"/>
        </w:rPr>
        <w:t> </w:t>
      </w:r>
      <w:r>
        <w:rPr>
          <w:spacing w:val="-6"/>
          <w:sz w:val="21"/>
        </w:rPr>
        <w:t>areas.</w:t>
      </w:r>
      <w:r>
        <w:rPr>
          <w:spacing w:val="-6"/>
          <w:position w:val="7"/>
          <w:sz w:val="12"/>
        </w:rPr>
        <w:t>115</w:t>
      </w:r>
    </w:p>
    <w:p>
      <w:pPr>
        <w:pStyle w:val="ListParagraph"/>
        <w:numPr>
          <w:ilvl w:val="1"/>
          <w:numId w:val="16"/>
        </w:numPr>
        <w:tabs>
          <w:tab w:pos="2382" w:val="left" w:leader="none"/>
        </w:tabs>
        <w:spacing w:line="242" w:lineRule="auto" w:before="122" w:after="0"/>
        <w:ind w:left="2381" w:right="1678" w:hanging="794"/>
        <w:jc w:val="both"/>
        <w:rPr>
          <w:sz w:val="21"/>
        </w:rPr>
      </w:pPr>
      <w:r>
        <w:rPr>
          <w:w w:val="105"/>
          <w:sz w:val="21"/>
        </w:rPr>
        <w:t>The</w:t>
      </w:r>
      <w:r>
        <w:rPr>
          <w:spacing w:val="-5"/>
          <w:w w:val="105"/>
          <w:sz w:val="21"/>
        </w:rPr>
        <w:t> </w:t>
      </w:r>
      <w:r>
        <w:rPr>
          <w:spacing w:val="-3"/>
          <w:w w:val="105"/>
          <w:sz w:val="21"/>
        </w:rPr>
        <w:t>hearing</w:t>
      </w:r>
      <w:r>
        <w:rPr>
          <w:spacing w:val="-4"/>
          <w:w w:val="105"/>
          <w:sz w:val="21"/>
        </w:rPr>
        <w:t> </w:t>
      </w:r>
      <w:r>
        <w:rPr>
          <w:spacing w:val="-2"/>
          <w:w w:val="105"/>
          <w:sz w:val="21"/>
        </w:rPr>
        <w:t>begins</w:t>
      </w:r>
      <w:r>
        <w:rPr>
          <w:spacing w:val="-4"/>
          <w:w w:val="105"/>
          <w:sz w:val="21"/>
        </w:rPr>
        <w:t> </w:t>
      </w:r>
      <w:r>
        <w:rPr>
          <w:w w:val="105"/>
          <w:sz w:val="21"/>
        </w:rPr>
        <w:t>on</w:t>
      </w:r>
      <w:r>
        <w:rPr>
          <w:spacing w:val="-5"/>
          <w:w w:val="105"/>
          <w:sz w:val="21"/>
        </w:rPr>
        <w:t> </w:t>
      </w:r>
      <w:r>
        <w:rPr>
          <w:spacing w:val="-3"/>
          <w:w w:val="105"/>
          <w:sz w:val="21"/>
        </w:rPr>
        <w:t>neutral</w:t>
      </w:r>
      <w:r>
        <w:rPr>
          <w:spacing w:val="-4"/>
          <w:w w:val="105"/>
          <w:sz w:val="21"/>
        </w:rPr>
        <w:t> </w:t>
      </w:r>
      <w:r>
        <w:rPr>
          <w:w w:val="105"/>
          <w:sz w:val="21"/>
        </w:rPr>
        <w:t>territory</w:t>
      </w:r>
      <w:r>
        <w:rPr>
          <w:spacing w:val="-4"/>
          <w:w w:val="105"/>
          <w:sz w:val="21"/>
        </w:rPr>
        <w:t> </w:t>
      </w:r>
      <w:r>
        <w:rPr>
          <w:spacing w:val="-3"/>
          <w:w w:val="105"/>
          <w:sz w:val="21"/>
        </w:rPr>
        <w:t>to</w:t>
      </w:r>
      <w:r>
        <w:rPr>
          <w:spacing w:val="-4"/>
          <w:w w:val="105"/>
          <w:sz w:val="21"/>
        </w:rPr>
        <w:t> </w:t>
      </w:r>
      <w:r>
        <w:rPr>
          <w:w w:val="105"/>
          <w:sz w:val="21"/>
        </w:rPr>
        <w:t>the</w:t>
      </w:r>
      <w:r>
        <w:rPr>
          <w:spacing w:val="-5"/>
          <w:w w:val="105"/>
          <w:sz w:val="21"/>
        </w:rPr>
        <w:t> </w:t>
      </w:r>
      <w:r>
        <w:rPr>
          <w:w w:val="105"/>
          <w:sz w:val="21"/>
        </w:rPr>
        <w:t>parties,</w:t>
      </w:r>
      <w:r>
        <w:rPr>
          <w:spacing w:val="-4"/>
          <w:w w:val="105"/>
          <w:sz w:val="21"/>
        </w:rPr>
        <w:t> </w:t>
      </w:r>
      <w:r>
        <w:rPr>
          <w:spacing w:val="-3"/>
          <w:w w:val="105"/>
          <w:sz w:val="21"/>
        </w:rPr>
        <w:t>such</w:t>
      </w:r>
      <w:r>
        <w:rPr>
          <w:spacing w:val="-4"/>
          <w:w w:val="105"/>
          <w:sz w:val="21"/>
        </w:rPr>
        <w:t> </w:t>
      </w:r>
      <w:r>
        <w:rPr>
          <w:w w:val="105"/>
          <w:sz w:val="21"/>
        </w:rPr>
        <w:t>as</w:t>
      </w:r>
      <w:r>
        <w:rPr>
          <w:spacing w:val="-5"/>
          <w:w w:val="105"/>
          <w:sz w:val="21"/>
        </w:rPr>
        <w:t> </w:t>
      </w:r>
      <w:r>
        <w:rPr>
          <w:w w:val="105"/>
          <w:sz w:val="21"/>
        </w:rPr>
        <w:t>a</w:t>
      </w:r>
      <w:r>
        <w:rPr>
          <w:spacing w:val="-4"/>
          <w:w w:val="105"/>
          <w:sz w:val="21"/>
        </w:rPr>
        <w:t> </w:t>
      </w:r>
      <w:r>
        <w:rPr>
          <w:spacing w:val="-3"/>
          <w:w w:val="105"/>
          <w:sz w:val="21"/>
        </w:rPr>
        <w:t>footpath</w:t>
      </w:r>
      <w:r>
        <w:rPr>
          <w:spacing w:val="-4"/>
          <w:w w:val="105"/>
          <w:sz w:val="21"/>
        </w:rPr>
        <w:t> </w:t>
      </w:r>
      <w:r>
        <w:rPr>
          <w:w w:val="105"/>
          <w:sz w:val="21"/>
        </w:rPr>
        <w:t>or</w:t>
      </w:r>
      <w:r>
        <w:rPr>
          <w:spacing w:val="-4"/>
          <w:w w:val="105"/>
          <w:sz w:val="21"/>
        </w:rPr>
        <w:t> </w:t>
      </w:r>
      <w:r>
        <w:rPr>
          <w:spacing w:val="-3"/>
          <w:w w:val="105"/>
          <w:sz w:val="21"/>
        </w:rPr>
        <w:t>alleyway.</w:t>
      </w:r>
      <w:r>
        <w:rPr>
          <w:spacing w:val="-5"/>
          <w:w w:val="105"/>
          <w:sz w:val="21"/>
        </w:rPr>
        <w:t> </w:t>
      </w:r>
      <w:r>
        <w:rPr>
          <w:w w:val="105"/>
          <w:sz w:val="21"/>
        </w:rPr>
        <w:t>The </w:t>
      </w:r>
      <w:r>
        <w:rPr>
          <w:spacing w:val="-3"/>
          <w:w w:val="105"/>
          <w:sz w:val="21"/>
        </w:rPr>
        <w:t>Commissioner</w:t>
      </w:r>
      <w:r>
        <w:rPr>
          <w:spacing w:val="-8"/>
          <w:w w:val="105"/>
          <w:sz w:val="21"/>
        </w:rPr>
        <w:t> </w:t>
      </w:r>
      <w:r>
        <w:rPr>
          <w:w w:val="105"/>
          <w:sz w:val="21"/>
        </w:rPr>
        <w:t>and</w:t>
      </w:r>
      <w:r>
        <w:rPr>
          <w:spacing w:val="-7"/>
          <w:w w:val="105"/>
          <w:sz w:val="21"/>
        </w:rPr>
        <w:t> </w:t>
      </w:r>
      <w:r>
        <w:rPr>
          <w:w w:val="105"/>
          <w:sz w:val="21"/>
        </w:rPr>
        <w:t>the</w:t>
      </w:r>
      <w:r>
        <w:rPr>
          <w:spacing w:val="-7"/>
          <w:w w:val="105"/>
          <w:sz w:val="21"/>
        </w:rPr>
        <w:t> </w:t>
      </w:r>
      <w:r>
        <w:rPr>
          <w:w w:val="105"/>
          <w:sz w:val="21"/>
        </w:rPr>
        <w:t>parties</w:t>
      </w:r>
      <w:r>
        <w:rPr>
          <w:spacing w:val="-7"/>
          <w:w w:val="105"/>
          <w:sz w:val="21"/>
        </w:rPr>
        <w:t> </w:t>
      </w:r>
      <w:r>
        <w:rPr>
          <w:w w:val="105"/>
          <w:sz w:val="21"/>
        </w:rPr>
        <w:t>visit</w:t>
      </w:r>
      <w:r>
        <w:rPr>
          <w:spacing w:val="-7"/>
          <w:w w:val="105"/>
          <w:sz w:val="21"/>
        </w:rPr>
        <w:t> </w:t>
      </w:r>
      <w:r>
        <w:rPr>
          <w:w w:val="105"/>
          <w:sz w:val="21"/>
        </w:rPr>
        <w:t>the</w:t>
      </w:r>
      <w:r>
        <w:rPr>
          <w:spacing w:val="-7"/>
          <w:w w:val="105"/>
          <w:sz w:val="21"/>
        </w:rPr>
        <w:t> </w:t>
      </w:r>
      <w:r>
        <w:rPr>
          <w:w w:val="105"/>
          <w:sz w:val="21"/>
        </w:rPr>
        <w:t>tree</w:t>
      </w:r>
      <w:r>
        <w:rPr>
          <w:spacing w:val="-7"/>
          <w:w w:val="105"/>
          <w:sz w:val="21"/>
        </w:rPr>
        <w:t> </w:t>
      </w:r>
      <w:r>
        <w:rPr>
          <w:spacing w:val="-3"/>
          <w:w w:val="105"/>
          <w:sz w:val="21"/>
        </w:rPr>
        <w:t>owner’s</w:t>
      </w:r>
      <w:r>
        <w:rPr>
          <w:spacing w:val="-7"/>
          <w:w w:val="105"/>
          <w:sz w:val="21"/>
        </w:rPr>
        <w:t> </w:t>
      </w:r>
      <w:r>
        <w:rPr>
          <w:spacing w:val="-3"/>
          <w:w w:val="105"/>
          <w:sz w:val="21"/>
        </w:rPr>
        <w:t>site</w:t>
      </w:r>
      <w:r>
        <w:rPr>
          <w:spacing w:val="-7"/>
          <w:w w:val="105"/>
          <w:sz w:val="21"/>
        </w:rPr>
        <w:t> </w:t>
      </w:r>
      <w:r>
        <w:rPr>
          <w:w w:val="105"/>
          <w:sz w:val="21"/>
        </w:rPr>
        <w:t>and</w:t>
      </w:r>
      <w:r>
        <w:rPr>
          <w:spacing w:val="-7"/>
          <w:w w:val="105"/>
          <w:sz w:val="21"/>
        </w:rPr>
        <w:t> </w:t>
      </w:r>
      <w:r>
        <w:rPr>
          <w:w w:val="105"/>
          <w:sz w:val="21"/>
        </w:rPr>
        <w:t>the</w:t>
      </w:r>
      <w:r>
        <w:rPr>
          <w:spacing w:val="-7"/>
          <w:w w:val="105"/>
          <w:sz w:val="21"/>
        </w:rPr>
        <w:t> </w:t>
      </w:r>
      <w:r>
        <w:rPr>
          <w:w w:val="105"/>
          <w:sz w:val="21"/>
        </w:rPr>
        <w:t>affected</w:t>
      </w:r>
      <w:r>
        <w:rPr>
          <w:spacing w:val="-7"/>
          <w:w w:val="105"/>
          <w:sz w:val="21"/>
        </w:rPr>
        <w:t> </w:t>
      </w:r>
      <w:r>
        <w:rPr>
          <w:spacing w:val="-3"/>
          <w:w w:val="105"/>
          <w:sz w:val="21"/>
        </w:rPr>
        <w:t>neighbour’s</w:t>
      </w:r>
      <w:r>
        <w:rPr>
          <w:spacing w:val="-7"/>
          <w:w w:val="105"/>
          <w:sz w:val="21"/>
        </w:rPr>
        <w:t> </w:t>
      </w:r>
      <w:r>
        <w:rPr>
          <w:spacing w:val="-3"/>
          <w:w w:val="105"/>
          <w:sz w:val="21"/>
        </w:rPr>
        <w:t>site to</w:t>
      </w:r>
      <w:r>
        <w:rPr>
          <w:spacing w:val="-7"/>
          <w:w w:val="105"/>
          <w:sz w:val="21"/>
        </w:rPr>
        <w:t> </w:t>
      </w:r>
      <w:r>
        <w:rPr>
          <w:w w:val="105"/>
          <w:sz w:val="21"/>
        </w:rPr>
        <w:t>view</w:t>
      </w:r>
      <w:r>
        <w:rPr>
          <w:spacing w:val="-7"/>
          <w:w w:val="105"/>
          <w:sz w:val="21"/>
        </w:rPr>
        <w:t> </w:t>
      </w:r>
      <w:r>
        <w:rPr>
          <w:w w:val="105"/>
          <w:sz w:val="21"/>
        </w:rPr>
        <w:t>and</w:t>
      </w:r>
      <w:r>
        <w:rPr>
          <w:spacing w:val="-6"/>
          <w:w w:val="105"/>
          <w:sz w:val="21"/>
        </w:rPr>
        <w:t> </w:t>
      </w:r>
      <w:r>
        <w:rPr>
          <w:w w:val="105"/>
          <w:sz w:val="21"/>
        </w:rPr>
        <w:t>assess</w:t>
      </w:r>
      <w:r>
        <w:rPr>
          <w:spacing w:val="-7"/>
          <w:w w:val="105"/>
          <w:sz w:val="21"/>
        </w:rPr>
        <w:t> </w:t>
      </w:r>
      <w:r>
        <w:rPr>
          <w:w w:val="105"/>
          <w:sz w:val="21"/>
        </w:rPr>
        <w:t>the</w:t>
      </w:r>
      <w:r>
        <w:rPr>
          <w:spacing w:val="-7"/>
          <w:w w:val="105"/>
          <w:sz w:val="21"/>
        </w:rPr>
        <w:t> </w:t>
      </w:r>
      <w:r>
        <w:rPr>
          <w:spacing w:val="-3"/>
          <w:w w:val="105"/>
          <w:sz w:val="21"/>
        </w:rPr>
        <w:t>tree.</w:t>
      </w:r>
      <w:r>
        <w:rPr>
          <w:spacing w:val="-6"/>
          <w:w w:val="105"/>
          <w:sz w:val="21"/>
        </w:rPr>
        <w:t> </w:t>
      </w:r>
      <w:r>
        <w:rPr>
          <w:w w:val="105"/>
          <w:sz w:val="21"/>
        </w:rPr>
        <w:t>Decisions</w:t>
      </w:r>
      <w:r>
        <w:rPr>
          <w:spacing w:val="-7"/>
          <w:w w:val="105"/>
          <w:sz w:val="21"/>
        </w:rPr>
        <w:t> </w:t>
      </w:r>
      <w:r>
        <w:rPr>
          <w:spacing w:val="-3"/>
          <w:w w:val="105"/>
          <w:sz w:val="21"/>
        </w:rPr>
        <w:t>are</w:t>
      </w:r>
      <w:r>
        <w:rPr>
          <w:spacing w:val="-6"/>
          <w:w w:val="105"/>
          <w:sz w:val="21"/>
        </w:rPr>
        <w:t> </w:t>
      </w:r>
      <w:r>
        <w:rPr>
          <w:spacing w:val="-3"/>
          <w:w w:val="105"/>
          <w:sz w:val="21"/>
        </w:rPr>
        <w:t>normally</w:t>
      </w:r>
      <w:r>
        <w:rPr>
          <w:spacing w:val="-7"/>
          <w:w w:val="105"/>
          <w:sz w:val="21"/>
        </w:rPr>
        <w:t> </w:t>
      </w:r>
      <w:r>
        <w:rPr>
          <w:w w:val="105"/>
          <w:sz w:val="21"/>
        </w:rPr>
        <w:t>made</w:t>
      </w:r>
      <w:r>
        <w:rPr>
          <w:spacing w:val="-7"/>
          <w:w w:val="105"/>
          <w:sz w:val="21"/>
        </w:rPr>
        <w:t> </w:t>
      </w:r>
      <w:r>
        <w:rPr>
          <w:w w:val="105"/>
          <w:sz w:val="21"/>
        </w:rPr>
        <w:t>at</w:t>
      </w:r>
      <w:r>
        <w:rPr>
          <w:spacing w:val="-6"/>
          <w:w w:val="105"/>
          <w:sz w:val="21"/>
        </w:rPr>
        <w:t> </w:t>
      </w:r>
      <w:r>
        <w:rPr>
          <w:w w:val="105"/>
          <w:sz w:val="21"/>
        </w:rPr>
        <w:t>the</w:t>
      </w:r>
      <w:r>
        <w:rPr>
          <w:spacing w:val="-7"/>
          <w:w w:val="105"/>
          <w:sz w:val="21"/>
        </w:rPr>
        <w:t> </w:t>
      </w:r>
      <w:r>
        <w:rPr>
          <w:spacing w:val="-3"/>
          <w:w w:val="105"/>
          <w:sz w:val="21"/>
        </w:rPr>
        <w:t>conclusion</w:t>
      </w:r>
      <w:r>
        <w:rPr>
          <w:spacing w:val="-6"/>
          <w:w w:val="105"/>
          <w:sz w:val="21"/>
        </w:rPr>
        <w:t> </w:t>
      </w:r>
      <w:r>
        <w:rPr>
          <w:w w:val="105"/>
          <w:sz w:val="21"/>
        </w:rPr>
        <w:t>of</w:t>
      </w:r>
      <w:r>
        <w:rPr>
          <w:spacing w:val="-7"/>
          <w:w w:val="105"/>
          <w:sz w:val="21"/>
        </w:rPr>
        <w:t> </w:t>
      </w:r>
      <w:r>
        <w:rPr>
          <w:w w:val="105"/>
          <w:sz w:val="21"/>
        </w:rPr>
        <w:t>the</w:t>
      </w:r>
      <w:r>
        <w:rPr>
          <w:spacing w:val="-7"/>
          <w:w w:val="105"/>
          <w:sz w:val="21"/>
        </w:rPr>
        <w:t> </w:t>
      </w:r>
      <w:r>
        <w:rPr>
          <w:w w:val="105"/>
          <w:sz w:val="21"/>
        </w:rPr>
        <w:t>on-site </w:t>
      </w:r>
      <w:r>
        <w:rPr>
          <w:spacing w:val="-3"/>
          <w:w w:val="105"/>
          <w:sz w:val="21"/>
        </w:rPr>
        <w:t>hearing </w:t>
      </w:r>
      <w:r>
        <w:rPr>
          <w:w w:val="105"/>
          <w:sz w:val="21"/>
        </w:rPr>
        <w:t>in the presence of the</w:t>
      </w:r>
      <w:r>
        <w:rPr>
          <w:spacing w:val="31"/>
          <w:w w:val="105"/>
          <w:sz w:val="21"/>
        </w:rPr>
        <w:t> </w:t>
      </w:r>
      <w:r>
        <w:rPr>
          <w:spacing w:val="-4"/>
          <w:w w:val="105"/>
          <w:sz w:val="21"/>
        </w:rPr>
        <w:t>parties.</w:t>
      </w:r>
      <w:r>
        <w:rPr>
          <w:spacing w:val="-4"/>
          <w:w w:val="105"/>
          <w:position w:val="7"/>
          <w:sz w:val="12"/>
        </w:rPr>
        <w:t>116</w:t>
      </w:r>
    </w:p>
    <w:p>
      <w:pPr>
        <w:pStyle w:val="BodyText"/>
        <w:rPr>
          <w:sz w:val="20"/>
        </w:rPr>
      </w:pPr>
    </w:p>
    <w:p>
      <w:pPr>
        <w:pStyle w:val="BodyText"/>
        <w:spacing w:before="7"/>
        <w:rPr>
          <w:sz w:val="13"/>
        </w:rPr>
      </w:pPr>
      <w:r>
        <w:rPr/>
        <w:pict>
          <v:line style="position:absolute;mso-position-horizontal-relative:page;mso-position-vertical-relative:paragraph;z-index:6608;mso-wrap-distance-left:0;mso-wrap-distance-right:0" from="79.370102pt,10.760254pt" to="515.905102pt,10.76025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27"/>
        <w:ind w:left="720" w:right="0" w:firstLine="0"/>
        <w:jc w:val="left"/>
        <w:rPr>
          <w:b/>
          <w:sz w:val="24"/>
        </w:rPr>
      </w:pPr>
      <w:r>
        <w:rPr>
          <w:b/>
          <w:color w:val="658464"/>
          <w:spacing w:val="-3"/>
          <w:w w:val="110"/>
          <w:sz w:val="24"/>
        </w:rPr>
        <w:t>142</w:t>
      </w:r>
    </w:p>
    <w:p>
      <w:pPr>
        <w:pStyle w:val="ListParagraph"/>
        <w:numPr>
          <w:ilvl w:val="0"/>
          <w:numId w:val="110"/>
        </w:numPr>
        <w:tabs>
          <w:tab w:pos="1226" w:val="left" w:leader="none"/>
          <w:tab w:pos="1227" w:val="left" w:leader="none"/>
        </w:tabs>
        <w:spacing w:line="240" w:lineRule="auto" w:before="48" w:after="0"/>
        <w:ind w:left="1226" w:right="0" w:hanging="793"/>
        <w:jc w:val="left"/>
        <w:rPr>
          <w:sz w:val="13"/>
        </w:rPr>
      </w:pPr>
      <w:r>
        <w:rPr>
          <w:i/>
          <w:spacing w:val="3"/>
          <w:w w:val="105"/>
          <w:sz w:val="13"/>
        </w:rPr>
        <w:br w:type="column"/>
      </w:r>
      <w:r>
        <w:rPr>
          <w:i/>
          <w:w w:val="105"/>
          <w:sz w:val="13"/>
        </w:rPr>
        <w:t>Land and Environment Court Act </w:t>
      </w:r>
      <w:r>
        <w:rPr>
          <w:i/>
          <w:spacing w:val="-3"/>
          <w:w w:val="105"/>
          <w:sz w:val="13"/>
        </w:rPr>
        <w:t>1979 </w:t>
      </w:r>
      <w:r>
        <w:rPr>
          <w:spacing w:val="3"/>
          <w:w w:val="105"/>
          <w:sz w:val="13"/>
        </w:rPr>
        <w:t>(NSW) </w:t>
      </w:r>
      <w:r>
        <w:rPr>
          <w:w w:val="105"/>
          <w:sz w:val="13"/>
        </w:rPr>
        <w:t>s</w:t>
      </w:r>
      <w:r>
        <w:rPr>
          <w:spacing w:val="7"/>
          <w:w w:val="105"/>
          <w:sz w:val="13"/>
        </w:rPr>
        <w:t> </w:t>
      </w:r>
      <w:r>
        <w:rPr>
          <w:w w:val="105"/>
          <w:sz w:val="13"/>
        </w:rPr>
        <w:t>5(1).</w:t>
      </w:r>
    </w:p>
    <w:p>
      <w:pPr>
        <w:pStyle w:val="ListParagraph"/>
        <w:numPr>
          <w:ilvl w:val="0"/>
          <w:numId w:val="110"/>
        </w:numPr>
        <w:tabs>
          <w:tab w:pos="1226" w:val="left" w:leader="none"/>
          <w:tab w:pos="1227" w:val="left" w:leader="none"/>
        </w:tabs>
        <w:spacing w:line="240" w:lineRule="auto" w:before="1" w:after="0"/>
        <w:ind w:left="1226" w:right="0" w:hanging="793"/>
        <w:jc w:val="left"/>
        <w:rPr>
          <w:sz w:val="13"/>
        </w:rPr>
      </w:pPr>
      <w:r>
        <w:rPr>
          <w:sz w:val="13"/>
        </w:rPr>
        <w:t>Ibid ss</w:t>
      </w:r>
      <w:r>
        <w:rPr>
          <w:spacing w:val="12"/>
          <w:sz w:val="13"/>
        </w:rPr>
        <w:t> </w:t>
      </w:r>
      <w:r>
        <w:rPr>
          <w:spacing w:val="-6"/>
          <w:sz w:val="13"/>
        </w:rPr>
        <w:t>7,12.</w:t>
      </w:r>
    </w:p>
    <w:p>
      <w:pPr>
        <w:pStyle w:val="ListParagraph"/>
        <w:numPr>
          <w:ilvl w:val="0"/>
          <w:numId w:val="110"/>
        </w:numPr>
        <w:tabs>
          <w:tab w:pos="1226" w:val="left" w:leader="none"/>
          <w:tab w:pos="1227" w:val="left" w:leader="none"/>
        </w:tabs>
        <w:spacing w:line="240" w:lineRule="auto" w:before="2" w:after="0"/>
        <w:ind w:left="1226" w:right="0" w:hanging="793"/>
        <w:jc w:val="left"/>
        <w:rPr>
          <w:sz w:val="13"/>
        </w:rPr>
      </w:pPr>
      <w:r>
        <w:rPr>
          <w:w w:val="105"/>
          <w:sz w:val="13"/>
        </w:rPr>
        <w:t>Land</w:t>
      </w:r>
      <w:r>
        <w:rPr>
          <w:spacing w:val="5"/>
          <w:w w:val="105"/>
          <w:sz w:val="13"/>
        </w:rPr>
        <w:t> </w:t>
      </w:r>
      <w:r>
        <w:rPr>
          <w:w w:val="105"/>
          <w:sz w:val="13"/>
        </w:rPr>
        <w:t>and</w:t>
      </w:r>
      <w:r>
        <w:rPr>
          <w:spacing w:val="5"/>
          <w:w w:val="105"/>
          <w:sz w:val="13"/>
        </w:rPr>
        <w:t> </w:t>
      </w:r>
      <w:r>
        <w:rPr>
          <w:w w:val="105"/>
          <w:sz w:val="13"/>
        </w:rPr>
        <w:t>Environment</w:t>
      </w:r>
      <w:r>
        <w:rPr>
          <w:spacing w:val="4"/>
          <w:w w:val="105"/>
          <w:sz w:val="13"/>
        </w:rPr>
        <w:t> </w:t>
      </w:r>
      <w:r>
        <w:rPr>
          <w:w w:val="105"/>
          <w:sz w:val="13"/>
        </w:rPr>
        <w:t>Court</w:t>
      </w:r>
      <w:r>
        <w:rPr>
          <w:spacing w:val="5"/>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r>
        <w:rPr>
          <w:spacing w:val="5"/>
          <w:w w:val="105"/>
          <w:sz w:val="13"/>
        </w:rPr>
        <w:t> </w:t>
      </w:r>
      <w:r>
        <w:rPr>
          <w:i/>
          <w:w w:val="105"/>
          <w:sz w:val="13"/>
        </w:rPr>
        <w:t>Practice</w:t>
      </w:r>
      <w:r>
        <w:rPr>
          <w:i/>
          <w:spacing w:val="5"/>
          <w:w w:val="105"/>
          <w:sz w:val="13"/>
        </w:rPr>
        <w:t> </w:t>
      </w:r>
      <w:r>
        <w:rPr>
          <w:i/>
          <w:w w:val="105"/>
          <w:sz w:val="13"/>
        </w:rPr>
        <w:t>Note</w:t>
      </w:r>
      <w:r>
        <w:rPr>
          <w:i/>
          <w:spacing w:val="5"/>
          <w:w w:val="105"/>
          <w:sz w:val="13"/>
        </w:rPr>
        <w:t> </w:t>
      </w:r>
      <w:r>
        <w:rPr>
          <w:i/>
          <w:w w:val="105"/>
          <w:sz w:val="13"/>
        </w:rPr>
        <w:t>No</w:t>
      </w:r>
      <w:r>
        <w:rPr>
          <w:i/>
          <w:spacing w:val="5"/>
          <w:w w:val="105"/>
          <w:sz w:val="13"/>
        </w:rPr>
        <w:t> </w:t>
      </w:r>
      <w:r>
        <w:rPr>
          <w:i/>
          <w:w w:val="105"/>
          <w:sz w:val="13"/>
        </w:rPr>
        <w:t>2:</w:t>
      </w:r>
      <w:r>
        <w:rPr>
          <w:i/>
          <w:spacing w:val="5"/>
          <w:w w:val="105"/>
          <w:sz w:val="13"/>
        </w:rPr>
        <w:t> </w:t>
      </w:r>
      <w:r>
        <w:rPr>
          <w:i/>
          <w:w w:val="105"/>
          <w:sz w:val="13"/>
        </w:rPr>
        <w:t>Class</w:t>
      </w:r>
      <w:r>
        <w:rPr>
          <w:i/>
          <w:spacing w:val="5"/>
          <w:w w:val="105"/>
          <w:sz w:val="13"/>
        </w:rPr>
        <w:t> </w:t>
      </w:r>
      <w:r>
        <w:rPr>
          <w:i/>
          <w:w w:val="105"/>
          <w:sz w:val="13"/>
        </w:rPr>
        <w:t>2</w:t>
      </w:r>
      <w:r>
        <w:rPr>
          <w:i/>
          <w:spacing w:val="5"/>
          <w:w w:val="105"/>
          <w:sz w:val="13"/>
        </w:rPr>
        <w:t> </w:t>
      </w:r>
      <w:r>
        <w:rPr>
          <w:i/>
          <w:w w:val="105"/>
          <w:sz w:val="13"/>
        </w:rPr>
        <w:t>Tree</w:t>
      </w:r>
      <w:r>
        <w:rPr>
          <w:i/>
          <w:spacing w:val="5"/>
          <w:w w:val="105"/>
          <w:sz w:val="13"/>
        </w:rPr>
        <w:t> </w:t>
      </w:r>
      <w:r>
        <w:rPr>
          <w:i/>
          <w:w w:val="105"/>
          <w:sz w:val="13"/>
        </w:rPr>
        <w:t>Disputes,</w:t>
      </w:r>
      <w:r>
        <w:rPr>
          <w:i/>
          <w:spacing w:val="5"/>
          <w:w w:val="105"/>
          <w:sz w:val="13"/>
        </w:rPr>
        <w:t> </w:t>
      </w:r>
      <w:r>
        <w:rPr>
          <w:w w:val="105"/>
          <w:sz w:val="13"/>
        </w:rPr>
        <w:t>1</w:t>
      </w:r>
      <w:r>
        <w:rPr>
          <w:spacing w:val="5"/>
          <w:w w:val="105"/>
          <w:sz w:val="13"/>
        </w:rPr>
        <w:t> </w:t>
      </w:r>
      <w:r>
        <w:rPr>
          <w:w w:val="105"/>
          <w:sz w:val="13"/>
        </w:rPr>
        <w:t>December</w:t>
      </w:r>
      <w:r>
        <w:rPr>
          <w:spacing w:val="5"/>
          <w:w w:val="105"/>
          <w:sz w:val="13"/>
        </w:rPr>
        <w:t> </w:t>
      </w:r>
      <w:r>
        <w:rPr>
          <w:w w:val="105"/>
          <w:sz w:val="13"/>
        </w:rPr>
        <w:t>2018,</w:t>
      </w:r>
      <w:r>
        <w:rPr>
          <w:spacing w:val="5"/>
          <w:w w:val="105"/>
          <w:sz w:val="13"/>
        </w:rPr>
        <w:t> </w:t>
      </w:r>
      <w:r>
        <w:rPr>
          <w:spacing w:val="2"/>
          <w:w w:val="105"/>
          <w:sz w:val="13"/>
        </w:rPr>
        <w:t>[42].</w:t>
      </w:r>
    </w:p>
    <w:p>
      <w:pPr>
        <w:pStyle w:val="ListParagraph"/>
        <w:numPr>
          <w:ilvl w:val="0"/>
          <w:numId w:val="110"/>
        </w:numPr>
        <w:tabs>
          <w:tab w:pos="1226" w:val="left" w:leader="none"/>
          <w:tab w:pos="1227" w:val="left" w:leader="none"/>
        </w:tabs>
        <w:spacing w:line="240" w:lineRule="auto" w:before="1" w:after="0"/>
        <w:ind w:left="1226" w:right="0" w:hanging="793"/>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110"/>
        </w:numPr>
        <w:tabs>
          <w:tab w:pos="1226" w:val="left" w:leader="none"/>
          <w:tab w:pos="1227" w:val="left" w:leader="none"/>
        </w:tabs>
        <w:spacing w:line="240" w:lineRule="auto" w:before="1" w:after="0"/>
        <w:ind w:left="1226" w:right="1628" w:hanging="793"/>
        <w:jc w:val="left"/>
        <w:rPr>
          <w:sz w:val="13"/>
        </w:rPr>
      </w:pPr>
      <w:r>
        <w:rPr>
          <w:sz w:val="13"/>
        </w:rPr>
        <w:t>The Court will set out tree dispute  principles,  from  time  to  time,  when  appropriate  cases  arise,  to  provide  an  understanding  of  how  the Court has approached a particular aspect of such disputes. While tree dispute principles are stated in general terms, they may be applied to particular cases to promote consistency. Tree dispute principles are not legally binding’. For a list of the Court’s Tree Dispute Principles, see           Land and Environment Court of New South Wales, </w:t>
      </w:r>
      <w:r>
        <w:rPr>
          <w:i/>
          <w:sz w:val="13"/>
        </w:rPr>
        <w:t>Tree Dispute Principles </w:t>
      </w:r>
      <w:r>
        <w:rPr>
          <w:sz w:val="13"/>
        </w:rPr>
        <w:t>(Web Page, 25 September 2017) &lt;</w:t>
      </w:r>
      <w:hyperlink r:id="rId112">
        <w:r>
          <w:rPr>
            <w:sz w:val="13"/>
          </w:rPr>
          <w:t>http://www.lec.justice.nsw.</w:t>
        </w:r>
      </w:hyperlink>
      <w:r>
        <w:rPr>
          <w:sz w:val="13"/>
        </w:rPr>
        <w:t> </w:t>
      </w:r>
      <w:r>
        <w:rPr>
          <w:spacing w:val="2"/>
          <w:sz w:val="13"/>
        </w:rPr>
        <w:t>gov.au/Pages/practice_procedure/principles/tree_principles.aspx&gt;.</w:t>
      </w:r>
    </w:p>
    <w:p>
      <w:pPr>
        <w:pStyle w:val="ListParagraph"/>
        <w:numPr>
          <w:ilvl w:val="0"/>
          <w:numId w:val="110"/>
        </w:numPr>
        <w:tabs>
          <w:tab w:pos="1226" w:val="left" w:leader="none"/>
          <w:tab w:pos="1227" w:val="left" w:leader="none"/>
        </w:tabs>
        <w:spacing w:line="240" w:lineRule="auto" w:before="7" w:after="0"/>
        <w:ind w:left="1226" w:right="0" w:hanging="793"/>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110"/>
        </w:numPr>
        <w:tabs>
          <w:tab w:pos="1226" w:val="left" w:leader="none"/>
          <w:tab w:pos="1227" w:val="left" w:leader="none"/>
        </w:tabs>
        <w:spacing w:line="240" w:lineRule="auto" w:before="1" w:after="0"/>
        <w:ind w:left="1226" w:right="0" w:hanging="793"/>
        <w:jc w:val="left"/>
        <w:rPr>
          <w:sz w:val="13"/>
        </w:rPr>
      </w:pPr>
      <w:r>
        <w:rPr>
          <w:w w:val="105"/>
          <w:sz w:val="13"/>
        </w:rPr>
        <w:t>Land</w:t>
      </w:r>
      <w:r>
        <w:rPr>
          <w:spacing w:val="4"/>
          <w:w w:val="105"/>
          <w:sz w:val="13"/>
        </w:rPr>
        <w:t> </w:t>
      </w:r>
      <w:r>
        <w:rPr>
          <w:w w:val="105"/>
          <w:sz w:val="13"/>
        </w:rPr>
        <w:t>and</w:t>
      </w:r>
      <w:r>
        <w:rPr>
          <w:spacing w:val="5"/>
          <w:w w:val="105"/>
          <w:sz w:val="13"/>
        </w:rPr>
        <w:t> </w:t>
      </w:r>
      <w:r>
        <w:rPr>
          <w:w w:val="105"/>
          <w:sz w:val="13"/>
        </w:rPr>
        <w:t>Environment</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r>
        <w:rPr>
          <w:spacing w:val="5"/>
          <w:w w:val="105"/>
          <w:sz w:val="13"/>
        </w:rPr>
        <w:t> </w:t>
      </w:r>
      <w:r>
        <w:rPr>
          <w:i/>
          <w:w w:val="105"/>
          <w:sz w:val="13"/>
        </w:rPr>
        <w:t>Practice</w:t>
      </w:r>
      <w:r>
        <w:rPr>
          <w:i/>
          <w:spacing w:val="5"/>
          <w:w w:val="105"/>
          <w:sz w:val="13"/>
        </w:rPr>
        <w:t> </w:t>
      </w:r>
      <w:r>
        <w:rPr>
          <w:i/>
          <w:w w:val="105"/>
          <w:sz w:val="13"/>
        </w:rPr>
        <w:t>Note</w:t>
      </w:r>
      <w:r>
        <w:rPr>
          <w:i/>
          <w:spacing w:val="4"/>
          <w:w w:val="105"/>
          <w:sz w:val="13"/>
        </w:rPr>
        <w:t> </w:t>
      </w:r>
      <w:r>
        <w:rPr>
          <w:i/>
          <w:w w:val="105"/>
          <w:sz w:val="13"/>
        </w:rPr>
        <w:t>Class</w:t>
      </w:r>
      <w:r>
        <w:rPr>
          <w:i/>
          <w:spacing w:val="5"/>
          <w:w w:val="105"/>
          <w:sz w:val="13"/>
        </w:rPr>
        <w:t> </w:t>
      </w:r>
      <w:r>
        <w:rPr>
          <w:i/>
          <w:w w:val="105"/>
          <w:sz w:val="13"/>
        </w:rPr>
        <w:t>2:</w:t>
      </w:r>
      <w:r>
        <w:rPr>
          <w:i/>
          <w:spacing w:val="5"/>
          <w:w w:val="105"/>
          <w:sz w:val="13"/>
        </w:rPr>
        <w:t> </w:t>
      </w:r>
      <w:r>
        <w:rPr>
          <w:i/>
          <w:w w:val="105"/>
          <w:sz w:val="13"/>
        </w:rPr>
        <w:t>Tree</w:t>
      </w:r>
      <w:r>
        <w:rPr>
          <w:i/>
          <w:spacing w:val="5"/>
          <w:w w:val="105"/>
          <w:sz w:val="13"/>
        </w:rPr>
        <w:t> </w:t>
      </w:r>
      <w:r>
        <w:rPr>
          <w:i/>
          <w:w w:val="105"/>
          <w:sz w:val="13"/>
        </w:rPr>
        <w:t>Disputes</w:t>
      </w:r>
      <w:r>
        <w:rPr>
          <w:w w:val="105"/>
          <w:sz w:val="13"/>
        </w:rPr>
        <w:t>,</w:t>
      </w:r>
      <w:r>
        <w:rPr>
          <w:spacing w:val="5"/>
          <w:w w:val="105"/>
          <w:sz w:val="13"/>
        </w:rPr>
        <w:t> </w:t>
      </w:r>
      <w:r>
        <w:rPr>
          <w:w w:val="105"/>
          <w:sz w:val="13"/>
        </w:rPr>
        <w:t>1</w:t>
      </w:r>
      <w:r>
        <w:rPr>
          <w:spacing w:val="5"/>
          <w:w w:val="105"/>
          <w:sz w:val="13"/>
        </w:rPr>
        <w:t> </w:t>
      </w:r>
      <w:r>
        <w:rPr>
          <w:w w:val="105"/>
          <w:sz w:val="13"/>
        </w:rPr>
        <w:t>December</w:t>
      </w:r>
      <w:r>
        <w:rPr>
          <w:spacing w:val="5"/>
          <w:w w:val="105"/>
          <w:sz w:val="13"/>
        </w:rPr>
        <w:t> </w:t>
      </w:r>
      <w:r>
        <w:rPr>
          <w:w w:val="105"/>
          <w:sz w:val="13"/>
        </w:rPr>
        <w:t>2018,</w:t>
      </w:r>
      <w:r>
        <w:rPr>
          <w:spacing w:val="5"/>
          <w:w w:val="105"/>
          <w:sz w:val="13"/>
        </w:rPr>
        <w:t> </w:t>
      </w:r>
      <w:r>
        <w:rPr>
          <w:w w:val="105"/>
          <w:sz w:val="13"/>
        </w:rPr>
        <w:t>[14].</w:t>
      </w:r>
    </w:p>
    <w:p>
      <w:pPr>
        <w:tabs>
          <w:tab w:pos="1226" w:val="left" w:leader="none"/>
        </w:tabs>
        <w:spacing w:before="2"/>
        <w:ind w:left="433" w:right="0" w:firstLine="0"/>
        <w:jc w:val="left"/>
        <w:rPr>
          <w:sz w:val="13"/>
        </w:rPr>
      </w:pPr>
      <w:r>
        <w:rPr>
          <w:w w:val="105"/>
          <w:sz w:val="13"/>
        </w:rPr>
        <w:t>109</w:t>
        <w:tab/>
        <w:t>Ibid</w:t>
      </w:r>
      <w:r>
        <w:rPr>
          <w:spacing w:val="4"/>
          <w:w w:val="105"/>
          <w:sz w:val="13"/>
        </w:rPr>
        <w:t> </w:t>
      </w:r>
      <w:r>
        <w:rPr>
          <w:w w:val="105"/>
          <w:sz w:val="13"/>
        </w:rPr>
        <w:t>[16].</w:t>
      </w:r>
    </w:p>
    <w:p>
      <w:pPr>
        <w:pStyle w:val="ListParagraph"/>
        <w:numPr>
          <w:ilvl w:val="0"/>
          <w:numId w:val="111"/>
        </w:numPr>
        <w:tabs>
          <w:tab w:pos="1226" w:val="left" w:leader="none"/>
          <w:tab w:pos="1227" w:val="left" w:leader="none"/>
        </w:tabs>
        <w:spacing w:line="240" w:lineRule="auto" w:before="1" w:after="0"/>
        <w:ind w:left="1226" w:right="0" w:hanging="793"/>
        <w:jc w:val="left"/>
        <w:rPr>
          <w:sz w:val="13"/>
        </w:rPr>
      </w:pPr>
      <w:r>
        <w:rPr>
          <w:w w:val="105"/>
          <w:sz w:val="13"/>
        </w:rPr>
        <w:t>Land</w:t>
      </w:r>
      <w:r>
        <w:rPr>
          <w:spacing w:val="4"/>
          <w:w w:val="105"/>
          <w:sz w:val="13"/>
        </w:rPr>
        <w:t> </w:t>
      </w:r>
      <w:r>
        <w:rPr>
          <w:w w:val="105"/>
          <w:sz w:val="13"/>
        </w:rPr>
        <w:t>and</w:t>
      </w:r>
      <w:r>
        <w:rPr>
          <w:spacing w:val="5"/>
          <w:w w:val="105"/>
          <w:sz w:val="13"/>
        </w:rPr>
        <w:t> </w:t>
      </w:r>
      <w:r>
        <w:rPr>
          <w:w w:val="105"/>
          <w:sz w:val="13"/>
        </w:rPr>
        <w:t>Environment</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w w:val="105"/>
          <w:sz w:val="13"/>
        </w:rPr>
        <w:t>New</w:t>
      </w:r>
      <w:r>
        <w:rPr>
          <w:spacing w:val="4"/>
          <w:w w:val="105"/>
          <w:sz w:val="13"/>
        </w:rPr>
        <w:t> </w:t>
      </w:r>
      <w:r>
        <w:rPr>
          <w:w w:val="105"/>
          <w:sz w:val="13"/>
        </w:rPr>
        <w:t>South</w:t>
      </w:r>
      <w:r>
        <w:rPr>
          <w:spacing w:val="5"/>
          <w:w w:val="105"/>
          <w:sz w:val="13"/>
        </w:rPr>
        <w:t> </w:t>
      </w:r>
      <w:r>
        <w:rPr>
          <w:w w:val="105"/>
          <w:sz w:val="13"/>
        </w:rPr>
        <w:t>Wales,</w:t>
      </w:r>
      <w:r>
        <w:rPr>
          <w:spacing w:val="5"/>
          <w:w w:val="105"/>
          <w:sz w:val="13"/>
        </w:rPr>
        <w:t> </w:t>
      </w:r>
      <w:r>
        <w:rPr>
          <w:i/>
          <w:w w:val="105"/>
          <w:sz w:val="13"/>
        </w:rPr>
        <w:t>Annual</w:t>
      </w:r>
      <w:r>
        <w:rPr>
          <w:i/>
          <w:spacing w:val="5"/>
          <w:w w:val="105"/>
          <w:sz w:val="13"/>
        </w:rPr>
        <w:t> </w:t>
      </w:r>
      <w:r>
        <w:rPr>
          <w:i/>
          <w:w w:val="105"/>
          <w:sz w:val="13"/>
        </w:rPr>
        <w:t>Review</w:t>
      </w:r>
      <w:r>
        <w:rPr>
          <w:i/>
          <w:spacing w:val="5"/>
          <w:w w:val="105"/>
          <w:sz w:val="13"/>
        </w:rPr>
        <w:t> </w:t>
      </w:r>
      <w:r>
        <w:rPr>
          <w:spacing w:val="2"/>
          <w:w w:val="105"/>
          <w:sz w:val="13"/>
        </w:rPr>
        <w:t>(Report,</w:t>
      </w:r>
      <w:r>
        <w:rPr>
          <w:spacing w:val="4"/>
          <w:w w:val="105"/>
          <w:sz w:val="13"/>
        </w:rPr>
        <w:t> </w:t>
      </w:r>
      <w:r>
        <w:rPr>
          <w:w w:val="105"/>
          <w:sz w:val="13"/>
        </w:rPr>
        <w:t>2017)</w:t>
      </w:r>
      <w:r>
        <w:rPr>
          <w:spacing w:val="5"/>
          <w:w w:val="105"/>
          <w:sz w:val="13"/>
        </w:rPr>
        <w:t> </w:t>
      </w:r>
      <w:r>
        <w:rPr>
          <w:w w:val="105"/>
          <w:sz w:val="13"/>
        </w:rPr>
        <w:t>18.</w:t>
      </w:r>
    </w:p>
    <w:p>
      <w:pPr>
        <w:pStyle w:val="ListParagraph"/>
        <w:numPr>
          <w:ilvl w:val="0"/>
          <w:numId w:val="111"/>
        </w:numPr>
        <w:tabs>
          <w:tab w:pos="1226" w:val="left" w:leader="none"/>
          <w:tab w:pos="1227" w:val="left" w:leader="none"/>
        </w:tabs>
        <w:spacing w:line="240" w:lineRule="auto" w:before="1" w:after="0"/>
        <w:ind w:left="1226"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111"/>
        </w:numPr>
        <w:tabs>
          <w:tab w:pos="1226" w:val="left" w:leader="none"/>
          <w:tab w:pos="1227" w:val="left" w:leader="none"/>
        </w:tabs>
        <w:spacing w:line="240" w:lineRule="auto" w:before="2" w:after="0"/>
        <w:ind w:left="1226" w:right="1766" w:hanging="794"/>
        <w:jc w:val="left"/>
        <w:rPr>
          <w:sz w:val="13"/>
        </w:rPr>
      </w:pPr>
      <w:r>
        <w:rPr>
          <w:w w:val="105"/>
          <w:sz w:val="13"/>
        </w:rPr>
        <w:t>This occurred under section 26 of the </w:t>
      </w:r>
      <w:r>
        <w:rPr>
          <w:i/>
          <w:w w:val="105"/>
          <w:sz w:val="13"/>
        </w:rPr>
        <w:t>Civil Procedure Act 2005 </w:t>
      </w:r>
      <w:r>
        <w:rPr>
          <w:spacing w:val="3"/>
          <w:w w:val="105"/>
          <w:sz w:val="13"/>
        </w:rPr>
        <w:t>(NSW). </w:t>
      </w:r>
      <w:r>
        <w:rPr>
          <w:w w:val="105"/>
          <w:sz w:val="13"/>
        </w:rPr>
        <w:t>This matter was resolved in mediation: Consultation </w:t>
      </w:r>
      <w:r>
        <w:rPr>
          <w:spacing w:val="-6"/>
          <w:w w:val="105"/>
          <w:sz w:val="13"/>
        </w:rPr>
        <w:t>11 </w:t>
      </w:r>
      <w:r>
        <w:rPr>
          <w:spacing w:val="2"/>
          <w:w w:val="105"/>
          <w:sz w:val="13"/>
        </w:rPr>
        <w:t>(Land </w:t>
      </w:r>
      <w:r>
        <w:rPr>
          <w:w w:val="105"/>
          <w:sz w:val="13"/>
        </w:rPr>
        <w:t>and Environment Court of New South</w:t>
      </w:r>
      <w:r>
        <w:rPr>
          <w:spacing w:val="23"/>
          <w:w w:val="105"/>
          <w:sz w:val="13"/>
        </w:rPr>
        <w:t> </w:t>
      </w:r>
      <w:r>
        <w:rPr>
          <w:w w:val="105"/>
          <w:sz w:val="13"/>
        </w:rPr>
        <w:t>Wales).</w:t>
      </w:r>
    </w:p>
    <w:p>
      <w:pPr>
        <w:pStyle w:val="ListParagraph"/>
        <w:numPr>
          <w:ilvl w:val="0"/>
          <w:numId w:val="111"/>
        </w:numPr>
        <w:tabs>
          <w:tab w:pos="1226" w:val="left" w:leader="none"/>
          <w:tab w:pos="1227" w:val="left" w:leader="none"/>
        </w:tabs>
        <w:spacing w:line="240" w:lineRule="auto" w:before="2" w:after="0"/>
        <w:ind w:left="1226"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111"/>
        </w:numPr>
        <w:tabs>
          <w:tab w:pos="1226" w:val="left" w:leader="none"/>
          <w:tab w:pos="1227" w:val="left" w:leader="none"/>
        </w:tabs>
        <w:spacing w:line="240" w:lineRule="auto" w:before="2" w:after="0"/>
        <w:ind w:left="1226" w:right="1621" w:hanging="794"/>
        <w:jc w:val="left"/>
        <w:rPr>
          <w:sz w:val="13"/>
        </w:rPr>
      </w:pPr>
      <w:r>
        <w:rPr>
          <w:w w:val="105"/>
          <w:sz w:val="13"/>
        </w:rPr>
        <w:t>Only matters involving large sums of money or complex legal or structural engineering issues may be too complex to be determined on site, although an on-site hearing would be conducted before the matter is decided in Court: Consultation </w:t>
      </w:r>
      <w:r>
        <w:rPr>
          <w:spacing w:val="-6"/>
          <w:w w:val="105"/>
          <w:sz w:val="13"/>
        </w:rPr>
        <w:t>11  </w:t>
      </w:r>
      <w:r>
        <w:rPr>
          <w:spacing w:val="2"/>
          <w:w w:val="105"/>
          <w:sz w:val="13"/>
        </w:rPr>
        <w:t>(Land </w:t>
      </w:r>
      <w:r>
        <w:rPr>
          <w:w w:val="105"/>
          <w:sz w:val="13"/>
        </w:rPr>
        <w:t>and Environment Court of    New South</w:t>
      </w:r>
      <w:r>
        <w:rPr>
          <w:spacing w:val="9"/>
          <w:w w:val="105"/>
          <w:sz w:val="13"/>
        </w:rPr>
        <w:t> </w:t>
      </w:r>
      <w:r>
        <w:rPr>
          <w:w w:val="105"/>
          <w:sz w:val="13"/>
        </w:rPr>
        <w:t>Wales).</w:t>
      </w:r>
    </w:p>
    <w:p>
      <w:pPr>
        <w:pStyle w:val="ListParagraph"/>
        <w:numPr>
          <w:ilvl w:val="0"/>
          <w:numId w:val="111"/>
        </w:numPr>
        <w:tabs>
          <w:tab w:pos="1226" w:val="left" w:leader="none"/>
          <w:tab w:pos="1227" w:val="left" w:leader="none"/>
        </w:tabs>
        <w:spacing w:line="240" w:lineRule="auto" w:before="4" w:after="0"/>
        <w:ind w:left="1226"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111"/>
        </w:numPr>
        <w:tabs>
          <w:tab w:pos="1226" w:val="left" w:leader="none"/>
          <w:tab w:pos="1227" w:val="left" w:leader="none"/>
        </w:tabs>
        <w:spacing w:line="240" w:lineRule="auto" w:before="1" w:after="0"/>
        <w:ind w:left="1226" w:right="0" w:hanging="794"/>
        <w:jc w:val="left"/>
        <w:rPr>
          <w:sz w:val="13"/>
        </w:rPr>
      </w:pPr>
      <w:r>
        <w:rPr>
          <w:sz w:val="13"/>
        </w:rPr>
        <w:t>Ibid.</w:t>
      </w:r>
    </w:p>
    <w:p>
      <w:pPr>
        <w:spacing w:after="0" w:line="240" w:lineRule="auto"/>
        <w:jc w:val="left"/>
        <w:rPr>
          <w:sz w:val="13"/>
        </w:rPr>
        <w:sectPr>
          <w:type w:val="continuous"/>
          <w:pgSz w:w="11910" w:h="16840"/>
          <w:pgMar w:top="300" w:bottom="280" w:left="0" w:right="0"/>
          <w:cols w:num="2" w:equalWidth="0">
            <w:col w:w="1115" w:space="40"/>
            <w:col w:w="10755"/>
          </w:cols>
        </w:sectPr>
      </w:pPr>
    </w:p>
    <w:p>
      <w:pPr>
        <w:pStyle w:val="BodyText"/>
        <w:rPr>
          <w:sz w:val="20"/>
        </w:rPr>
      </w:pPr>
    </w:p>
    <w:p>
      <w:pPr>
        <w:pStyle w:val="BodyText"/>
        <w:spacing w:before="9"/>
        <w:rPr>
          <w:sz w:val="18"/>
        </w:rPr>
      </w:pPr>
    </w:p>
    <w:p>
      <w:pPr>
        <w:pStyle w:val="ListParagraph"/>
        <w:numPr>
          <w:ilvl w:val="1"/>
          <w:numId w:val="16"/>
        </w:numPr>
        <w:tabs>
          <w:tab w:pos="2380" w:val="left" w:leader="none"/>
          <w:tab w:pos="2381" w:val="left" w:leader="none"/>
        </w:tabs>
        <w:spacing w:line="242" w:lineRule="auto" w:before="91" w:after="0"/>
        <w:ind w:left="2381" w:right="1719" w:hanging="794"/>
        <w:jc w:val="left"/>
        <w:rPr>
          <w:sz w:val="21"/>
        </w:rPr>
      </w:pPr>
      <w:r>
        <w:rPr>
          <w:w w:val="105"/>
          <w:sz w:val="21"/>
        </w:rPr>
        <w:t>Although </w:t>
      </w:r>
      <w:r>
        <w:rPr>
          <w:spacing w:val="-3"/>
          <w:w w:val="105"/>
          <w:sz w:val="21"/>
        </w:rPr>
        <w:t>hearings are </w:t>
      </w:r>
      <w:r>
        <w:rPr>
          <w:w w:val="105"/>
          <w:sz w:val="21"/>
        </w:rPr>
        <w:t>conducted on </w:t>
      </w:r>
      <w:r>
        <w:rPr>
          <w:spacing w:val="-4"/>
          <w:w w:val="105"/>
          <w:sz w:val="21"/>
        </w:rPr>
        <w:t>site, </w:t>
      </w:r>
      <w:r>
        <w:rPr>
          <w:w w:val="105"/>
          <w:sz w:val="21"/>
        </w:rPr>
        <w:t>the </w:t>
      </w:r>
      <w:r>
        <w:rPr>
          <w:spacing w:val="-3"/>
          <w:w w:val="105"/>
          <w:sz w:val="21"/>
        </w:rPr>
        <w:t>usual formalities </w:t>
      </w:r>
      <w:r>
        <w:rPr>
          <w:w w:val="105"/>
          <w:sz w:val="21"/>
        </w:rPr>
        <w:t>of the NSWLEC still </w:t>
      </w:r>
      <w:r>
        <w:rPr>
          <w:spacing w:val="-4"/>
          <w:w w:val="105"/>
          <w:sz w:val="21"/>
        </w:rPr>
        <w:t>apply, </w:t>
      </w:r>
      <w:r>
        <w:rPr>
          <w:spacing w:val="-3"/>
          <w:w w:val="105"/>
          <w:sz w:val="21"/>
        </w:rPr>
        <w:t>such </w:t>
      </w:r>
      <w:r>
        <w:rPr>
          <w:w w:val="105"/>
          <w:sz w:val="21"/>
        </w:rPr>
        <w:t>as giving exhibit numbers </w:t>
      </w:r>
      <w:r>
        <w:rPr>
          <w:spacing w:val="-3"/>
          <w:w w:val="105"/>
          <w:sz w:val="21"/>
        </w:rPr>
        <w:t>to </w:t>
      </w:r>
      <w:r>
        <w:rPr>
          <w:w w:val="105"/>
          <w:sz w:val="21"/>
        </w:rPr>
        <w:t>documents.</w:t>
      </w:r>
      <w:r>
        <w:rPr>
          <w:spacing w:val="15"/>
          <w:w w:val="105"/>
          <w:sz w:val="21"/>
        </w:rPr>
        <w:t> </w:t>
      </w:r>
      <w:r>
        <w:rPr>
          <w:spacing w:val="-6"/>
          <w:w w:val="105"/>
          <w:position w:val="7"/>
          <w:sz w:val="12"/>
        </w:rPr>
        <w:t>117</w:t>
      </w:r>
    </w:p>
    <w:p>
      <w:pPr>
        <w:pStyle w:val="Heading7"/>
        <w:spacing w:before="153"/>
      </w:pPr>
      <w:r>
        <w:rPr>
          <w:w w:val="115"/>
        </w:rPr>
        <w:t>Timeframes</w:t>
      </w:r>
    </w:p>
    <w:p>
      <w:pPr>
        <w:pStyle w:val="ListParagraph"/>
        <w:numPr>
          <w:ilvl w:val="1"/>
          <w:numId w:val="16"/>
        </w:numPr>
        <w:tabs>
          <w:tab w:pos="2381" w:val="left" w:leader="none"/>
          <w:tab w:pos="2382" w:val="left" w:leader="none"/>
        </w:tabs>
        <w:spacing w:line="242" w:lineRule="auto" w:before="143" w:after="0"/>
        <w:ind w:left="2381" w:right="1728" w:hanging="794"/>
        <w:jc w:val="left"/>
        <w:rPr>
          <w:sz w:val="21"/>
        </w:rPr>
      </w:pPr>
      <w:r>
        <w:rPr>
          <w:sz w:val="21"/>
        </w:rPr>
        <w:t>A </w:t>
      </w:r>
      <w:r>
        <w:rPr>
          <w:spacing w:val="-3"/>
          <w:sz w:val="21"/>
        </w:rPr>
        <w:t>hearing generally </w:t>
      </w:r>
      <w:r>
        <w:rPr>
          <w:sz w:val="21"/>
        </w:rPr>
        <w:t>occurs three </w:t>
      </w:r>
      <w:r>
        <w:rPr>
          <w:spacing w:val="-3"/>
          <w:sz w:val="21"/>
        </w:rPr>
        <w:t>months </w:t>
      </w:r>
      <w:r>
        <w:rPr>
          <w:sz w:val="21"/>
        </w:rPr>
        <w:t>after the application is filed. This is shorter </w:t>
      </w:r>
      <w:r>
        <w:rPr>
          <w:spacing w:val="-3"/>
          <w:sz w:val="21"/>
        </w:rPr>
        <w:t>than </w:t>
      </w:r>
      <w:r>
        <w:rPr>
          <w:sz w:val="21"/>
        </w:rPr>
        <w:t>matters in other lists of the </w:t>
      </w:r>
      <w:r>
        <w:rPr>
          <w:spacing w:val="-6"/>
          <w:sz w:val="21"/>
        </w:rPr>
        <w:t>Court.</w:t>
      </w:r>
      <w:r>
        <w:rPr>
          <w:spacing w:val="-6"/>
          <w:position w:val="7"/>
          <w:sz w:val="12"/>
        </w:rPr>
        <w:t>118 </w:t>
      </w:r>
      <w:r>
        <w:rPr>
          <w:sz w:val="21"/>
        </w:rPr>
        <w:t>If a matter is </w:t>
      </w:r>
      <w:r>
        <w:rPr>
          <w:spacing w:val="-3"/>
          <w:sz w:val="21"/>
        </w:rPr>
        <w:t>urgent, </w:t>
      </w:r>
      <w:r>
        <w:rPr>
          <w:sz w:val="21"/>
        </w:rPr>
        <w:t>it is </w:t>
      </w:r>
      <w:r>
        <w:rPr>
          <w:spacing w:val="-3"/>
          <w:sz w:val="21"/>
        </w:rPr>
        <w:t>heard </w:t>
      </w:r>
      <w:r>
        <w:rPr>
          <w:sz w:val="21"/>
        </w:rPr>
        <w:t>in less </w:t>
      </w:r>
      <w:r>
        <w:rPr>
          <w:spacing w:val="-3"/>
          <w:sz w:val="21"/>
        </w:rPr>
        <w:t>than </w:t>
      </w:r>
      <w:r>
        <w:rPr>
          <w:sz w:val="21"/>
        </w:rPr>
        <w:t>three </w:t>
      </w:r>
      <w:r>
        <w:rPr>
          <w:spacing w:val="-3"/>
          <w:sz w:val="21"/>
        </w:rPr>
        <w:t>months </w:t>
      </w:r>
      <w:r>
        <w:rPr>
          <w:sz w:val="21"/>
        </w:rPr>
        <w:t>and </w:t>
      </w:r>
      <w:r>
        <w:rPr>
          <w:spacing w:val="-3"/>
          <w:sz w:val="21"/>
        </w:rPr>
        <w:t>may </w:t>
      </w:r>
      <w:r>
        <w:rPr>
          <w:sz w:val="21"/>
        </w:rPr>
        <w:t>be </w:t>
      </w:r>
      <w:r>
        <w:rPr>
          <w:spacing w:val="-3"/>
          <w:sz w:val="21"/>
        </w:rPr>
        <w:t>heard </w:t>
      </w:r>
      <w:r>
        <w:rPr>
          <w:sz w:val="21"/>
        </w:rPr>
        <w:t>in </w:t>
      </w:r>
      <w:r>
        <w:rPr>
          <w:spacing w:val="-3"/>
          <w:sz w:val="21"/>
        </w:rPr>
        <w:t>Court, however urgent </w:t>
      </w:r>
      <w:r>
        <w:rPr>
          <w:sz w:val="21"/>
        </w:rPr>
        <w:t>matters of this  </w:t>
      </w:r>
      <w:r>
        <w:rPr>
          <w:spacing w:val="-3"/>
          <w:sz w:val="21"/>
        </w:rPr>
        <w:t>kind  are  generally </w:t>
      </w:r>
      <w:r>
        <w:rPr>
          <w:spacing w:val="-7"/>
          <w:sz w:val="21"/>
        </w:rPr>
        <w:t>rare.</w:t>
      </w:r>
      <w:r>
        <w:rPr>
          <w:spacing w:val="-7"/>
          <w:position w:val="7"/>
          <w:sz w:val="12"/>
        </w:rPr>
        <w:t>119</w:t>
      </w:r>
    </w:p>
    <w:p>
      <w:pPr>
        <w:pStyle w:val="BodyText"/>
        <w:spacing w:before="5"/>
        <w:rPr>
          <w:sz w:val="20"/>
        </w:rPr>
      </w:pPr>
    </w:p>
    <w:p>
      <w:pPr>
        <w:pStyle w:val="Heading5"/>
      </w:pPr>
      <w:r>
        <w:rPr>
          <w:w w:val="115"/>
        </w:rPr>
        <w:t>Queensland</w:t>
      </w:r>
    </w:p>
    <w:p>
      <w:pPr>
        <w:pStyle w:val="ListParagraph"/>
        <w:numPr>
          <w:ilvl w:val="1"/>
          <w:numId w:val="16"/>
        </w:numPr>
        <w:tabs>
          <w:tab w:pos="2380" w:val="left" w:leader="none"/>
          <w:tab w:pos="2381" w:val="left" w:leader="none"/>
        </w:tabs>
        <w:spacing w:line="242" w:lineRule="auto" w:before="137" w:after="0"/>
        <w:ind w:left="2381" w:right="1647" w:hanging="794"/>
        <w:jc w:val="left"/>
        <w:rPr>
          <w:sz w:val="21"/>
        </w:rPr>
      </w:pPr>
      <w:r>
        <w:rPr>
          <w:spacing w:val="-4"/>
          <w:sz w:val="21"/>
        </w:rPr>
        <w:t>QCAT </w:t>
      </w:r>
      <w:r>
        <w:rPr>
          <w:sz w:val="21"/>
        </w:rPr>
        <w:t>is a </w:t>
      </w:r>
      <w:r>
        <w:rPr>
          <w:spacing w:val="-3"/>
          <w:sz w:val="21"/>
        </w:rPr>
        <w:t>tribunal </w:t>
      </w:r>
      <w:r>
        <w:rPr>
          <w:sz w:val="21"/>
        </w:rPr>
        <w:t>established under the </w:t>
      </w:r>
      <w:r>
        <w:rPr>
          <w:i/>
          <w:sz w:val="21"/>
        </w:rPr>
        <w:t>Queensland Civil and </w:t>
      </w:r>
      <w:r>
        <w:rPr>
          <w:i/>
          <w:spacing w:val="-3"/>
          <w:sz w:val="21"/>
        </w:rPr>
        <w:t>Administrative </w:t>
      </w:r>
      <w:r>
        <w:rPr>
          <w:i/>
          <w:spacing w:val="-4"/>
          <w:sz w:val="21"/>
        </w:rPr>
        <w:t>Tribunal </w:t>
      </w:r>
      <w:r>
        <w:rPr>
          <w:i/>
          <w:sz w:val="21"/>
        </w:rPr>
        <w:t>Act </w:t>
      </w:r>
      <w:r>
        <w:rPr>
          <w:i/>
          <w:sz w:val="21"/>
        </w:rPr>
        <w:t>2009 </w:t>
      </w:r>
      <w:r>
        <w:rPr>
          <w:sz w:val="21"/>
        </w:rPr>
        <w:t>(Qld) </w:t>
      </w:r>
      <w:r>
        <w:rPr>
          <w:spacing w:val="-3"/>
          <w:sz w:val="21"/>
        </w:rPr>
        <w:t>to determine </w:t>
      </w:r>
      <w:r>
        <w:rPr>
          <w:sz w:val="21"/>
        </w:rPr>
        <w:t>and review </w:t>
      </w:r>
      <w:r>
        <w:rPr>
          <w:spacing w:val="-3"/>
          <w:sz w:val="21"/>
        </w:rPr>
        <w:t>disputes </w:t>
      </w:r>
      <w:r>
        <w:rPr>
          <w:sz w:val="21"/>
        </w:rPr>
        <w:t>and </w:t>
      </w:r>
      <w:r>
        <w:rPr>
          <w:spacing w:val="-3"/>
          <w:sz w:val="21"/>
        </w:rPr>
        <w:t>administrative</w:t>
      </w:r>
      <w:r>
        <w:rPr>
          <w:spacing w:val="4"/>
          <w:sz w:val="21"/>
        </w:rPr>
        <w:t> </w:t>
      </w:r>
      <w:r>
        <w:rPr>
          <w:spacing w:val="-4"/>
          <w:sz w:val="21"/>
        </w:rPr>
        <w:t>decisions.</w:t>
      </w:r>
      <w:r>
        <w:rPr>
          <w:spacing w:val="-4"/>
          <w:position w:val="7"/>
          <w:sz w:val="12"/>
        </w:rPr>
        <w:t>120</w:t>
      </w:r>
    </w:p>
    <w:p>
      <w:pPr>
        <w:pStyle w:val="ListParagraph"/>
        <w:numPr>
          <w:ilvl w:val="1"/>
          <w:numId w:val="16"/>
        </w:numPr>
        <w:tabs>
          <w:tab w:pos="2381" w:val="left" w:leader="none"/>
          <w:tab w:pos="2382" w:val="left" w:leader="none"/>
        </w:tabs>
        <w:spacing w:line="242" w:lineRule="auto" w:before="122" w:after="0"/>
        <w:ind w:left="2381" w:right="1664" w:hanging="794"/>
        <w:jc w:val="left"/>
        <w:rPr>
          <w:sz w:val="21"/>
        </w:rPr>
      </w:pPr>
      <w:r>
        <w:rPr>
          <w:spacing w:val="-4"/>
          <w:w w:val="105"/>
          <w:sz w:val="21"/>
        </w:rPr>
        <w:t>QCAT </w:t>
      </w:r>
      <w:r>
        <w:rPr>
          <w:w w:val="105"/>
          <w:sz w:val="21"/>
        </w:rPr>
        <w:t>is also a </w:t>
      </w:r>
      <w:r>
        <w:rPr>
          <w:spacing w:val="-3"/>
          <w:w w:val="105"/>
          <w:sz w:val="21"/>
        </w:rPr>
        <w:t>‘court </w:t>
      </w:r>
      <w:r>
        <w:rPr>
          <w:w w:val="105"/>
          <w:sz w:val="21"/>
        </w:rPr>
        <w:t>of </w:t>
      </w:r>
      <w:r>
        <w:rPr>
          <w:spacing w:val="-4"/>
          <w:w w:val="105"/>
          <w:sz w:val="21"/>
        </w:rPr>
        <w:t>record’</w:t>
      </w:r>
      <w:r>
        <w:rPr>
          <w:spacing w:val="-4"/>
          <w:w w:val="105"/>
          <w:position w:val="7"/>
          <w:sz w:val="12"/>
        </w:rPr>
        <w:t>121 </w:t>
      </w:r>
      <w:r>
        <w:rPr>
          <w:w w:val="105"/>
          <w:sz w:val="21"/>
        </w:rPr>
        <w:t>(or a </w:t>
      </w:r>
      <w:r>
        <w:rPr>
          <w:spacing w:val="-3"/>
          <w:w w:val="105"/>
          <w:sz w:val="21"/>
        </w:rPr>
        <w:t>‘court </w:t>
      </w:r>
      <w:r>
        <w:rPr>
          <w:w w:val="105"/>
          <w:sz w:val="21"/>
        </w:rPr>
        <w:t>of the </w:t>
      </w:r>
      <w:r>
        <w:rPr>
          <w:spacing w:val="-3"/>
          <w:w w:val="105"/>
          <w:sz w:val="21"/>
        </w:rPr>
        <w:t>State’)</w:t>
      </w:r>
      <w:r>
        <w:rPr>
          <w:spacing w:val="-3"/>
          <w:w w:val="105"/>
          <w:position w:val="7"/>
          <w:sz w:val="12"/>
        </w:rPr>
        <w:t>122 </w:t>
      </w:r>
      <w:r>
        <w:rPr>
          <w:spacing w:val="-3"/>
          <w:w w:val="105"/>
          <w:sz w:val="21"/>
        </w:rPr>
        <w:t>‘capable </w:t>
      </w:r>
      <w:r>
        <w:rPr>
          <w:w w:val="105"/>
          <w:sz w:val="21"/>
        </w:rPr>
        <w:t>of being </w:t>
      </w:r>
      <w:r>
        <w:rPr>
          <w:spacing w:val="-3"/>
          <w:w w:val="105"/>
          <w:sz w:val="21"/>
        </w:rPr>
        <w:t>invested </w:t>
      </w:r>
      <w:r>
        <w:rPr>
          <w:w w:val="105"/>
          <w:sz w:val="21"/>
        </w:rPr>
        <w:t>with the </w:t>
      </w:r>
      <w:r>
        <w:rPr>
          <w:spacing w:val="-3"/>
          <w:w w:val="105"/>
          <w:sz w:val="21"/>
        </w:rPr>
        <w:t>judicial </w:t>
      </w:r>
      <w:r>
        <w:rPr>
          <w:w w:val="105"/>
          <w:sz w:val="21"/>
        </w:rPr>
        <w:t>power of the </w:t>
      </w:r>
      <w:r>
        <w:rPr>
          <w:spacing w:val="-6"/>
          <w:w w:val="105"/>
          <w:sz w:val="21"/>
        </w:rPr>
        <w:t>Commonwealth’.</w:t>
      </w:r>
      <w:r>
        <w:rPr>
          <w:spacing w:val="-6"/>
          <w:w w:val="105"/>
          <w:position w:val="7"/>
          <w:sz w:val="12"/>
        </w:rPr>
        <w:t>123 </w:t>
      </w:r>
      <w:r>
        <w:rPr>
          <w:w w:val="105"/>
          <w:sz w:val="21"/>
        </w:rPr>
        <w:t>In </w:t>
      </w:r>
      <w:r>
        <w:rPr>
          <w:i/>
          <w:w w:val="105"/>
          <w:sz w:val="21"/>
        </w:rPr>
        <w:t>Amos v </w:t>
      </w:r>
      <w:r>
        <w:rPr>
          <w:i/>
          <w:spacing w:val="-4"/>
          <w:w w:val="105"/>
          <w:sz w:val="21"/>
        </w:rPr>
        <w:t>Fett,</w:t>
      </w:r>
      <w:r>
        <w:rPr>
          <w:spacing w:val="-4"/>
          <w:w w:val="105"/>
          <w:position w:val="7"/>
          <w:sz w:val="12"/>
        </w:rPr>
        <w:t>124 </w:t>
      </w:r>
      <w:r>
        <w:rPr>
          <w:spacing w:val="-4"/>
          <w:w w:val="105"/>
          <w:sz w:val="21"/>
        </w:rPr>
        <w:t>QCAT </w:t>
      </w:r>
      <w:r>
        <w:rPr>
          <w:w w:val="105"/>
          <w:sz w:val="21"/>
        </w:rPr>
        <w:t>explained</w:t>
      </w:r>
      <w:r>
        <w:rPr>
          <w:spacing w:val="39"/>
          <w:w w:val="105"/>
          <w:sz w:val="21"/>
        </w:rPr>
        <w:t> </w:t>
      </w:r>
      <w:r>
        <w:rPr>
          <w:w w:val="105"/>
          <w:sz w:val="21"/>
        </w:rPr>
        <w:t>that:</w:t>
      </w:r>
    </w:p>
    <w:p>
      <w:pPr>
        <w:spacing w:line="254" w:lineRule="auto" w:before="132"/>
        <w:ind w:left="2834" w:right="2059" w:firstLine="0"/>
        <w:jc w:val="left"/>
        <w:rPr>
          <w:sz w:val="20"/>
        </w:rPr>
      </w:pPr>
      <w:r>
        <w:rPr>
          <w:w w:val="105"/>
          <w:sz w:val="20"/>
        </w:rPr>
        <w:t>although the tribunal has the formal status of a court of record with summary jurisdiction,</w:t>
      </w:r>
      <w:r>
        <w:rPr>
          <w:spacing w:val="-14"/>
          <w:w w:val="105"/>
          <w:sz w:val="20"/>
        </w:rPr>
        <w:t> </w:t>
      </w:r>
      <w:r>
        <w:rPr>
          <w:w w:val="105"/>
          <w:sz w:val="20"/>
        </w:rPr>
        <w:t>it</w:t>
      </w:r>
      <w:r>
        <w:rPr>
          <w:spacing w:val="-14"/>
          <w:w w:val="105"/>
          <w:sz w:val="20"/>
        </w:rPr>
        <w:t> </w:t>
      </w:r>
      <w:r>
        <w:rPr>
          <w:w w:val="105"/>
          <w:sz w:val="20"/>
        </w:rPr>
        <w:t>is</w:t>
      </w:r>
      <w:r>
        <w:rPr>
          <w:spacing w:val="-13"/>
          <w:w w:val="105"/>
          <w:sz w:val="20"/>
        </w:rPr>
        <w:t> </w:t>
      </w:r>
      <w:r>
        <w:rPr>
          <w:w w:val="105"/>
          <w:sz w:val="20"/>
        </w:rPr>
        <w:t>really</w:t>
      </w:r>
      <w:r>
        <w:rPr>
          <w:spacing w:val="-14"/>
          <w:w w:val="105"/>
          <w:sz w:val="20"/>
        </w:rPr>
        <w:t> </w:t>
      </w:r>
      <w:r>
        <w:rPr>
          <w:w w:val="105"/>
          <w:sz w:val="20"/>
        </w:rPr>
        <w:t>a</w:t>
      </w:r>
      <w:r>
        <w:rPr>
          <w:spacing w:val="-13"/>
          <w:w w:val="105"/>
          <w:sz w:val="20"/>
        </w:rPr>
        <w:t> </w:t>
      </w:r>
      <w:r>
        <w:rPr>
          <w:spacing w:val="-3"/>
          <w:w w:val="105"/>
          <w:sz w:val="20"/>
        </w:rPr>
        <w:t>‘court</w:t>
      </w:r>
      <w:r>
        <w:rPr>
          <w:spacing w:val="-14"/>
          <w:w w:val="105"/>
          <w:sz w:val="20"/>
        </w:rPr>
        <w:t> </w:t>
      </w:r>
      <w:r>
        <w:rPr>
          <w:spacing w:val="-3"/>
          <w:w w:val="105"/>
          <w:sz w:val="20"/>
        </w:rPr>
        <w:t>substitute’</w:t>
      </w:r>
      <w:r>
        <w:rPr>
          <w:spacing w:val="-13"/>
          <w:w w:val="105"/>
          <w:sz w:val="20"/>
        </w:rPr>
        <w:t> </w:t>
      </w:r>
      <w:r>
        <w:rPr>
          <w:w w:val="105"/>
          <w:sz w:val="20"/>
        </w:rPr>
        <w:t>characterised</w:t>
      </w:r>
      <w:r>
        <w:rPr>
          <w:spacing w:val="-14"/>
          <w:w w:val="105"/>
          <w:sz w:val="20"/>
        </w:rPr>
        <w:t> </w:t>
      </w:r>
      <w:r>
        <w:rPr>
          <w:w w:val="105"/>
          <w:sz w:val="20"/>
        </w:rPr>
        <w:t>and</w:t>
      </w:r>
      <w:r>
        <w:rPr>
          <w:spacing w:val="-13"/>
          <w:w w:val="105"/>
          <w:sz w:val="20"/>
        </w:rPr>
        <w:t> </w:t>
      </w:r>
      <w:r>
        <w:rPr>
          <w:w w:val="105"/>
          <w:sz w:val="20"/>
        </w:rPr>
        <w:t>distinguished</w:t>
      </w:r>
      <w:r>
        <w:rPr>
          <w:spacing w:val="-14"/>
          <w:w w:val="105"/>
          <w:sz w:val="20"/>
        </w:rPr>
        <w:t> </w:t>
      </w:r>
      <w:r>
        <w:rPr>
          <w:w w:val="105"/>
          <w:sz w:val="20"/>
        </w:rPr>
        <w:t>by</w:t>
      </w:r>
      <w:r>
        <w:rPr>
          <w:spacing w:val="-14"/>
          <w:w w:val="105"/>
          <w:sz w:val="20"/>
        </w:rPr>
        <w:t> </w:t>
      </w:r>
      <w:r>
        <w:rPr>
          <w:spacing w:val="-3"/>
          <w:w w:val="105"/>
          <w:sz w:val="20"/>
        </w:rPr>
        <w:t>greater </w:t>
      </w:r>
      <w:r>
        <w:rPr>
          <w:spacing w:val="-2"/>
          <w:w w:val="105"/>
          <w:sz w:val="20"/>
        </w:rPr>
        <w:t>procedural </w:t>
      </w:r>
      <w:r>
        <w:rPr>
          <w:w w:val="105"/>
          <w:sz w:val="20"/>
        </w:rPr>
        <w:t>flexibility and evidentiary freedom than a regular court; offering wider remedial options </w:t>
      </w:r>
      <w:r>
        <w:rPr>
          <w:spacing w:val="-3"/>
          <w:w w:val="105"/>
          <w:sz w:val="20"/>
        </w:rPr>
        <w:t>including </w:t>
      </w:r>
      <w:r>
        <w:rPr>
          <w:w w:val="105"/>
          <w:sz w:val="20"/>
        </w:rPr>
        <w:t>making </w:t>
      </w:r>
      <w:r>
        <w:rPr>
          <w:spacing w:val="-3"/>
          <w:w w:val="105"/>
          <w:sz w:val="20"/>
        </w:rPr>
        <w:t>‘fair </w:t>
      </w:r>
      <w:r>
        <w:rPr>
          <w:w w:val="105"/>
          <w:sz w:val="20"/>
        </w:rPr>
        <w:t>and equitable orders’ in resolving minor civil disputes, </w:t>
      </w:r>
      <w:r>
        <w:rPr>
          <w:spacing w:val="-3"/>
          <w:w w:val="105"/>
          <w:sz w:val="20"/>
        </w:rPr>
        <w:t>awarding </w:t>
      </w:r>
      <w:r>
        <w:rPr>
          <w:w w:val="105"/>
          <w:sz w:val="20"/>
        </w:rPr>
        <w:t>compensation for </w:t>
      </w:r>
      <w:r>
        <w:rPr>
          <w:spacing w:val="-3"/>
          <w:w w:val="105"/>
          <w:sz w:val="20"/>
        </w:rPr>
        <w:t>future </w:t>
      </w:r>
      <w:r>
        <w:rPr>
          <w:w w:val="105"/>
          <w:sz w:val="20"/>
        </w:rPr>
        <w:t>rental losses caused by wrongful termination and </w:t>
      </w:r>
      <w:r>
        <w:rPr>
          <w:spacing w:val="-3"/>
          <w:w w:val="105"/>
          <w:sz w:val="20"/>
        </w:rPr>
        <w:t>granting </w:t>
      </w:r>
      <w:r>
        <w:rPr>
          <w:w w:val="105"/>
          <w:sz w:val="20"/>
        </w:rPr>
        <w:t>relief from excessive </w:t>
      </w:r>
      <w:r>
        <w:rPr>
          <w:spacing w:val="-4"/>
          <w:w w:val="105"/>
          <w:sz w:val="20"/>
        </w:rPr>
        <w:t>hardship.</w:t>
      </w:r>
      <w:r>
        <w:rPr>
          <w:spacing w:val="-4"/>
          <w:w w:val="105"/>
          <w:position w:val="7"/>
          <w:sz w:val="11"/>
        </w:rPr>
        <w:t>125 </w:t>
      </w:r>
      <w:r>
        <w:rPr>
          <w:w w:val="105"/>
          <w:sz w:val="20"/>
        </w:rPr>
        <w:t>[Footnotes</w:t>
      </w:r>
      <w:r>
        <w:rPr>
          <w:spacing w:val="-32"/>
          <w:w w:val="105"/>
          <w:sz w:val="20"/>
        </w:rPr>
        <w:t> </w:t>
      </w:r>
      <w:r>
        <w:rPr>
          <w:w w:val="105"/>
          <w:sz w:val="20"/>
        </w:rPr>
        <w:t>omitted]</w:t>
      </w:r>
    </w:p>
    <w:p>
      <w:pPr>
        <w:pStyle w:val="ListParagraph"/>
        <w:numPr>
          <w:ilvl w:val="1"/>
          <w:numId w:val="16"/>
        </w:numPr>
        <w:tabs>
          <w:tab w:pos="2381" w:val="left" w:leader="none"/>
          <w:tab w:pos="2382" w:val="left" w:leader="none"/>
        </w:tabs>
        <w:spacing w:line="242" w:lineRule="auto" w:before="118" w:after="0"/>
        <w:ind w:left="2381" w:right="1714" w:hanging="794"/>
        <w:jc w:val="left"/>
        <w:rPr>
          <w:sz w:val="21"/>
        </w:rPr>
      </w:pPr>
      <w:r>
        <w:rPr>
          <w:w w:val="105"/>
          <w:sz w:val="21"/>
        </w:rPr>
        <w:t>In </w:t>
      </w:r>
      <w:r>
        <w:rPr>
          <w:i/>
          <w:w w:val="105"/>
          <w:sz w:val="21"/>
        </w:rPr>
        <w:t>Queensland </w:t>
      </w:r>
      <w:r>
        <w:rPr>
          <w:i/>
          <w:spacing w:val="-3"/>
          <w:w w:val="105"/>
          <w:sz w:val="21"/>
        </w:rPr>
        <w:t>Building </w:t>
      </w:r>
      <w:r>
        <w:rPr>
          <w:i/>
          <w:w w:val="105"/>
          <w:sz w:val="21"/>
        </w:rPr>
        <w:t>&amp; Construction </w:t>
      </w:r>
      <w:r>
        <w:rPr>
          <w:i/>
          <w:spacing w:val="-3"/>
          <w:w w:val="105"/>
          <w:sz w:val="21"/>
        </w:rPr>
        <w:t>Commission </w:t>
      </w:r>
      <w:r>
        <w:rPr>
          <w:i/>
          <w:w w:val="105"/>
          <w:sz w:val="21"/>
        </w:rPr>
        <w:t>v </w:t>
      </w:r>
      <w:r>
        <w:rPr>
          <w:i/>
          <w:spacing w:val="-5"/>
          <w:w w:val="105"/>
          <w:sz w:val="21"/>
        </w:rPr>
        <w:t>Whalley,</w:t>
      </w:r>
      <w:r>
        <w:rPr>
          <w:spacing w:val="-5"/>
          <w:w w:val="105"/>
          <w:position w:val="7"/>
          <w:sz w:val="12"/>
        </w:rPr>
        <w:t>126 </w:t>
      </w:r>
      <w:r>
        <w:rPr>
          <w:spacing w:val="-4"/>
          <w:w w:val="105"/>
          <w:sz w:val="21"/>
        </w:rPr>
        <w:t>QCAT </w:t>
      </w:r>
      <w:r>
        <w:rPr>
          <w:w w:val="105"/>
          <w:sz w:val="21"/>
        </w:rPr>
        <w:t>further explained </w:t>
      </w:r>
      <w:r>
        <w:rPr>
          <w:spacing w:val="-3"/>
          <w:w w:val="105"/>
          <w:sz w:val="21"/>
        </w:rPr>
        <w:t>that although </w:t>
      </w:r>
      <w:r>
        <w:rPr>
          <w:w w:val="105"/>
          <w:sz w:val="21"/>
        </w:rPr>
        <w:t>it is a court of </w:t>
      </w:r>
      <w:r>
        <w:rPr>
          <w:spacing w:val="-3"/>
          <w:w w:val="105"/>
          <w:sz w:val="21"/>
        </w:rPr>
        <w:t>record, </w:t>
      </w:r>
      <w:r>
        <w:rPr>
          <w:w w:val="105"/>
          <w:sz w:val="21"/>
        </w:rPr>
        <w:t>it is an </w:t>
      </w:r>
      <w:r>
        <w:rPr>
          <w:spacing w:val="-3"/>
          <w:w w:val="105"/>
          <w:sz w:val="21"/>
        </w:rPr>
        <w:t>‘inferior </w:t>
      </w:r>
      <w:r>
        <w:rPr>
          <w:w w:val="105"/>
          <w:sz w:val="21"/>
        </w:rPr>
        <w:t>court of record’ and </w:t>
      </w:r>
      <w:r>
        <w:rPr>
          <w:spacing w:val="-3"/>
          <w:w w:val="105"/>
          <w:sz w:val="21"/>
        </w:rPr>
        <w:t>that</w:t>
      </w:r>
      <w:r>
        <w:rPr>
          <w:spacing w:val="31"/>
          <w:w w:val="105"/>
          <w:sz w:val="21"/>
        </w:rPr>
        <w:t> </w:t>
      </w:r>
      <w:r>
        <w:rPr>
          <w:w w:val="105"/>
          <w:sz w:val="21"/>
        </w:rPr>
        <w:t>it:</w:t>
      </w:r>
    </w:p>
    <w:p>
      <w:pPr>
        <w:spacing w:line="254" w:lineRule="auto" w:before="132"/>
        <w:ind w:left="2834" w:right="1870" w:firstLine="0"/>
        <w:jc w:val="left"/>
        <w:rPr>
          <w:sz w:val="11"/>
        </w:rPr>
      </w:pPr>
      <w:r>
        <w:rPr>
          <w:sz w:val="20"/>
        </w:rPr>
        <w:t>has no jurisdiction other than as </w:t>
      </w:r>
      <w:r>
        <w:rPr>
          <w:spacing w:val="-3"/>
          <w:sz w:val="20"/>
        </w:rPr>
        <w:t>granted  </w:t>
      </w:r>
      <w:r>
        <w:rPr>
          <w:sz w:val="20"/>
        </w:rPr>
        <w:t>by the </w:t>
      </w:r>
      <w:r>
        <w:rPr>
          <w:spacing w:val="-3"/>
          <w:sz w:val="20"/>
        </w:rPr>
        <w:t>QCAT</w:t>
      </w:r>
      <w:r>
        <w:rPr>
          <w:spacing w:val="39"/>
          <w:sz w:val="20"/>
        </w:rPr>
        <w:t> </w:t>
      </w:r>
      <w:r>
        <w:rPr>
          <w:sz w:val="20"/>
        </w:rPr>
        <w:t>Act or other enabling legislation.      It has no </w:t>
      </w:r>
      <w:r>
        <w:rPr>
          <w:spacing w:val="-3"/>
          <w:sz w:val="20"/>
        </w:rPr>
        <w:t>inherent </w:t>
      </w:r>
      <w:r>
        <w:rPr>
          <w:sz w:val="20"/>
        </w:rPr>
        <w:t>power to </w:t>
      </w:r>
      <w:r>
        <w:rPr>
          <w:spacing w:val="-3"/>
          <w:sz w:val="20"/>
        </w:rPr>
        <w:t>make </w:t>
      </w:r>
      <w:r>
        <w:rPr>
          <w:sz w:val="20"/>
        </w:rPr>
        <w:t>decisions appropriate  to  redress  perceived  or </w:t>
      </w:r>
      <w:r>
        <w:rPr>
          <w:spacing w:val="-3"/>
          <w:sz w:val="20"/>
        </w:rPr>
        <w:t>discovered </w:t>
      </w:r>
      <w:r>
        <w:rPr>
          <w:sz w:val="20"/>
        </w:rPr>
        <w:t>wrongs in a matter before it as might be presumed to be the case in a matter before the Supreme</w:t>
      </w:r>
      <w:r>
        <w:rPr>
          <w:spacing w:val="26"/>
          <w:sz w:val="20"/>
        </w:rPr>
        <w:t> </w:t>
      </w:r>
      <w:r>
        <w:rPr>
          <w:spacing w:val="-5"/>
          <w:sz w:val="20"/>
        </w:rPr>
        <w:t>Court.</w:t>
      </w:r>
      <w:r>
        <w:rPr>
          <w:spacing w:val="-5"/>
          <w:position w:val="7"/>
          <w:sz w:val="11"/>
        </w:rPr>
        <w:t>127</w:t>
      </w:r>
    </w:p>
    <w:p>
      <w:pPr>
        <w:pStyle w:val="ListParagraph"/>
        <w:numPr>
          <w:ilvl w:val="1"/>
          <w:numId w:val="16"/>
        </w:numPr>
        <w:tabs>
          <w:tab w:pos="2382" w:val="left" w:leader="none"/>
        </w:tabs>
        <w:spacing w:line="242" w:lineRule="auto" w:before="115" w:after="0"/>
        <w:ind w:left="2381" w:right="1684" w:hanging="794"/>
        <w:jc w:val="both"/>
        <w:rPr>
          <w:sz w:val="21"/>
        </w:rPr>
      </w:pPr>
      <w:r>
        <w:rPr>
          <w:spacing w:val="-4"/>
          <w:w w:val="105"/>
          <w:sz w:val="21"/>
        </w:rPr>
        <w:t>QCAT </w:t>
      </w:r>
      <w:r>
        <w:rPr>
          <w:w w:val="105"/>
          <w:sz w:val="21"/>
        </w:rPr>
        <w:t>is </w:t>
      </w:r>
      <w:r>
        <w:rPr>
          <w:spacing w:val="-3"/>
          <w:w w:val="105"/>
          <w:sz w:val="21"/>
        </w:rPr>
        <w:t>unusual </w:t>
      </w:r>
      <w:r>
        <w:rPr>
          <w:w w:val="105"/>
          <w:sz w:val="21"/>
        </w:rPr>
        <w:t>because it also </w:t>
      </w:r>
      <w:r>
        <w:rPr>
          <w:spacing w:val="-2"/>
          <w:w w:val="105"/>
          <w:sz w:val="21"/>
        </w:rPr>
        <w:t>has </w:t>
      </w:r>
      <w:r>
        <w:rPr>
          <w:w w:val="105"/>
          <w:sz w:val="21"/>
        </w:rPr>
        <w:t>an </w:t>
      </w:r>
      <w:r>
        <w:rPr>
          <w:spacing w:val="-3"/>
          <w:w w:val="105"/>
          <w:sz w:val="21"/>
        </w:rPr>
        <w:t>internal </w:t>
      </w:r>
      <w:r>
        <w:rPr>
          <w:w w:val="105"/>
          <w:sz w:val="21"/>
        </w:rPr>
        <w:t>Appeal </w:t>
      </w:r>
      <w:r>
        <w:rPr>
          <w:spacing w:val="-5"/>
          <w:w w:val="105"/>
          <w:sz w:val="21"/>
        </w:rPr>
        <w:t>Tribunal. </w:t>
      </w:r>
      <w:r>
        <w:rPr>
          <w:w w:val="105"/>
          <w:sz w:val="21"/>
        </w:rPr>
        <w:t>A person can appeal the decision of a </w:t>
      </w:r>
      <w:r>
        <w:rPr>
          <w:spacing w:val="-4"/>
          <w:w w:val="105"/>
          <w:sz w:val="21"/>
        </w:rPr>
        <w:t>QCAT </w:t>
      </w:r>
      <w:r>
        <w:rPr>
          <w:w w:val="105"/>
          <w:sz w:val="21"/>
        </w:rPr>
        <w:t>member on a question of </w:t>
      </w:r>
      <w:r>
        <w:rPr>
          <w:spacing w:val="-5"/>
          <w:w w:val="105"/>
          <w:sz w:val="21"/>
        </w:rPr>
        <w:t>law, </w:t>
      </w:r>
      <w:r>
        <w:rPr>
          <w:w w:val="105"/>
          <w:sz w:val="21"/>
        </w:rPr>
        <w:t>fact or </w:t>
      </w:r>
      <w:r>
        <w:rPr>
          <w:spacing w:val="-3"/>
          <w:w w:val="105"/>
          <w:sz w:val="21"/>
        </w:rPr>
        <w:t>combination </w:t>
      </w:r>
      <w:r>
        <w:rPr>
          <w:w w:val="105"/>
          <w:sz w:val="21"/>
        </w:rPr>
        <w:t>of law and fact in certain </w:t>
      </w:r>
      <w:r>
        <w:rPr>
          <w:spacing w:val="-3"/>
          <w:w w:val="105"/>
          <w:sz w:val="21"/>
        </w:rPr>
        <w:t>circumstances </w:t>
      </w:r>
      <w:r>
        <w:rPr>
          <w:w w:val="105"/>
          <w:sz w:val="21"/>
        </w:rPr>
        <w:t>with </w:t>
      </w:r>
      <w:r>
        <w:rPr>
          <w:spacing w:val="-3"/>
          <w:w w:val="105"/>
          <w:sz w:val="21"/>
        </w:rPr>
        <w:t>leave </w:t>
      </w:r>
      <w:r>
        <w:rPr>
          <w:w w:val="105"/>
          <w:sz w:val="21"/>
        </w:rPr>
        <w:t>of the Appeal </w:t>
      </w:r>
      <w:r>
        <w:rPr>
          <w:spacing w:val="-6"/>
          <w:w w:val="105"/>
          <w:sz w:val="21"/>
        </w:rPr>
        <w:t>Tribunal.</w:t>
      </w:r>
      <w:r>
        <w:rPr>
          <w:spacing w:val="-6"/>
          <w:w w:val="105"/>
          <w:position w:val="7"/>
          <w:sz w:val="12"/>
        </w:rPr>
        <w:t>128 </w:t>
      </w:r>
      <w:r>
        <w:rPr>
          <w:w w:val="105"/>
          <w:sz w:val="21"/>
        </w:rPr>
        <w:t>See </w:t>
      </w:r>
      <w:r>
        <w:rPr>
          <w:spacing w:val="-4"/>
          <w:w w:val="105"/>
          <w:sz w:val="21"/>
        </w:rPr>
        <w:t>Chapter</w:t>
      </w:r>
      <w:r>
        <w:rPr>
          <w:spacing w:val="27"/>
          <w:w w:val="105"/>
          <w:sz w:val="21"/>
        </w:rPr>
        <w:t> </w:t>
      </w:r>
      <w:r>
        <w:rPr>
          <w:spacing w:val="-3"/>
          <w:w w:val="105"/>
          <w:sz w:val="21"/>
        </w:rPr>
        <w:t>9.</w:t>
      </w:r>
    </w:p>
    <w:p>
      <w:pPr>
        <w:pStyle w:val="Heading7"/>
      </w:pPr>
      <w:r>
        <w:rPr/>
        <w:pict>
          <v:shape style="position:absolute;margin-left:79.370102pt;margin-top:28.694727pt;width:436.55pt;height:272.75pt;mso-position-horizontal-relative:page;mso-position-vertical-relative:paragraph;z-index:868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6"/>
                    <w:gridCol w:w="8146"/>
                  </w:tblGrid>
                  <w:tr>
                    <w:trPr>
                      <w:trHeight w:val="1451" w:hRule="atLeast"/>
                    </w:trPr>
                    <w:tc>
                      <w:tcPr>
                        <w:tcW w:w="586" w:type="dxa"/>
                        <w:tcBorders>
                          <w:bottom w:val="single" w:sz="8" w:space="0" w:color="C9D2CB"/>
                        </w:tcBorders>
                      </w:tcPr>
                      <w:p>
                        <w:pPr>
                          <w:pStyle w:val="TableParagraph"/>
                          <w:spacing w:line="248" w:lineRule="exact"/>
                          <w:rPr>
                            <w:sz w:val="21"/>
                          </w:rPr>
                        </w:pPr>
                        <w:r>
                          <w:rPr>
                            <w:w w:val="110"/>
                            <w:sz w:val="21"/>
                          </w:rPr>
                          <w:t>7.65</w:t>
                        </w:r>
                      </w:p>
                    </w:tc>
                    <w:tc>
                      <w:tcPr>
                        <w:tcW w:w="8146" w:type="dxa"/>
                        <w:tcBorders>
                          <w:bottom w:val="single" w:sz="8" w:space="0" w:color="C9D2CB"/>
                        </w:tcBorders>
                      </w:tcPr>
                      <w:p>
                        <w:pPr>
                          <w:pStyle w:val="TableParagraph"/>
                          <w:spacing w:line="242" w:lineRule="auto"/>
                          <w:ind w:left="207" w:right="176" w:hanging="1"/>
                          <w:rPr>
                            <w:sz w:val="12"/>
                          </w:rPr>
                        </w:pPr>
                        <w:r>
                          <w:rPr>
                            <w:spacing w:val="-4"/>
                            <w:sz w:val="21"/>
                          </w:rPr>
                          <w:t>QCAT </w:t>
                        </w:r>
                        <w:r>
                          <w:rPr>
                            <w:sz w:val="21"/>
                          </w:rPr>
                          <w:t>is led by the </w:t>
                        </w:r>
                        <w:r>
                          <w:rPr>
                            <w:spacing w:val="-3"/>
                            <w:sz w:val="21"/>
                          </w:rPr>
                          <w:t>president, </w:t>
                        </w:r>
                        <w:r>
                          <w:rPr>
                            <w:sz w:val="21"/>
                          </w:rPr>
                          <w:t>who  is  a  </w:t>
                        </w:r>
                        <w:r>
                          <w:rPr>
                            <w:spacing w:val="-3"/>
                            <w:sz w:val="21"/>
                          </w:rPr>
                          <w:t>Supreme  Court  </w:t>
                        </w:r>
                        <w:r>
                          <w:rPr>
                            <w:spacing w:val="-5"/>
                            <w:sz w:val="21"/>
                          </w:rPr>
                          <w:t>judge.</w:t>
                        </w:r>
                        <w:r>
                          <w:rPr>
                            <w:spacing w:val="-5"/>
                            <w:position w:val="7"/>
                            <w:sz w:val="12"/>
                          </w:rPr>
                          <w:t>129</w:t>
                        </w:r>
                        <w:r>
                          <w:rPr>
                            <w:spacing w:val="17"/>
                            <w:position w:val="7"/>
                            <w:sz w:val="12"/>
                          </w:rPr>
                          <w:t> </w:t>
                        </w:r>
                        <w:r>
                          <w:rPr>
                            <w:spacing w:val="-5"/>
                            <w:sz w:val="21"/>
                          </w:rPr>
                          <w:t>Tribunal  </w:t>
                        </w:r>
                        <w:r>
                          <w:rPr>
                            <w:sz w:val="21"/>
                          </w:rPr>
                          <w:t>members  </w:t>
                        </w:r>
                        <w:r>
                          <w:rPr>
                            <w:spacing w:val="-3"/>
                            <w:sz w:val="21"/>
                          </w:rPr>
                          <w:t>are </w:t>
                        </w:r>
                        <w:r>
                          <w:rPr>
                            <w:sz w:val="21"/>
                          </w:rPr>
                          <w:t>legal experts or other specialists with knowledge </w:t>
                        </w:r>
                        <w:r>
                          <w:rPr>
                            <w:spacing w:val="-3"/>
                            <w:sz w:val="21"/>
                          </w:rPr>
                          <w:t>relevant to </w:t>
                        </w:r>
                        <w:r>
                          <w:rPr>
                            <w:sz w:val="21"/>
                          </w:rPr>
                          <w:t>the matter being </w:t>
                        </w:r>
                        <w:r>
                          <w:rPr>
                            <w:spacing w:val="-5"/>
                            <w:sz w:val="21"/>
                          </w:rPr>
                          <w:t>heard.</w:t>
                        </w:r>
                        <w:r>
                          <w:rPr>
                            <w:spacing w:val="-5"/>
                            <w:position w:val="7"/>
                            <w:sz w:val="12"/>
                          </w:rPr>
                          <w:t>130 </w:t>
                        </w:r>
                        <w:r>
                          <w:rPr>
                            <w:spacing w:val="-4"/>
                            <w:sz w:val="21"/>
                          </w:rPr>
                          <w:t>QCAT </w:t>
                        </w:r>
                        <w:r>
                          <w:rPr>
                            <w:sz w:val="21"/>
                          </w:rPr>
                          <w:t>members who hear tree </w:t>
                        </w:r>
                        <w:r>
                          <w:rPr>
                            <w:spacing w:val="-3"/>
                            <w:sz w:val="21"/>
                          </w:rPr>
                          <w:t>disputes </w:t>
                        </w:r>
                        <w:r>
                          <w:rPr>
                            <w:sz w:val="21"/>
                          </w:rPr>
                          <w:t>do </w:t>
                        </w:r>
                        <w:r>
                          <w:rPr>
                            <w:spacing w:val="-2"/>
                            <w:sz w:val="21"/>
                          </w:rPr>
                          <w:t>not </w:t>
                        </w:r>
                        <w:r>
                          <w:rPr>
                            <w:spacing w:val="-3"/>
                            <w:sz w:val="21"/>
                          </w:rPr>
                          <w:t>have </w:t>
                        </w:r>
                        <w:r>
                          <w:rPr>
                            <w:sz w:val="21"/>
                          </w:rPr>
                          <w:t>particular expertise in </w:t>
                        </w:r>
                        <w:r>
                          <w:rPr>
                            <w:spacing w:val="-3"/>
                            <w:sz w:val="21"/>
                          </w:rPr>
                          <w:t>arboriculture, although </w:t>
                        </w:r>
                        <w:r>
                          <w:rPr>
                            <w:sz w:val="21"/>
                          </w:rPr>
                          <w:t>they </w:t>
                        </w:r>
                        <w:r>
                          <w:rPr>
                            <w:spacing w:val="-3"/>
                            <w:sz w:val="21"/>
                          </w:rPr>
                          <w:t>are </w:t>
                        </w:r>
                        <w:r>
                          <w:rPr>
                            <w:sz w:val="21"/>
                          </w:rPr>
                          <w:t>legally</w:t>
                        </w:r>
                        <w:r>
                          <w:rPr>
                            <w:spacing w:val="43"/>
                            <w:sz w:val="21"/>
                          </w:rPr>
                          <w:t> </w:t>
                        </w:r>
                        <w:r>
                          <w:rPr>
                            <w:spacing w:val="-4"/>
                            <w:sz w:val="21"/>
                          </w:rPr>
                          <w:t>qualified.</w:t>
                        </w:r>
                        <w:r>
                          <w:rPr>
                            <w:spacing w:val="-4"/>
                            <w:position w:val="7"/>
                            <w:sz w:val="12"/>
                          </w:rPr>
                          <w:t>131</w:t>
                        </w:r>
                      </w:p>
                    </w:tc>
                  </w:tr>
                  <w:tr>
                    <w:trPr>
                      <w:trHeight w:val="307" w:hRule="atLeast"/>
                    </w:trPr>
                    <w:tc>
                      <w:tcPr>
                        <w:tcW w:w="586" w:type="dxa"/>
                        <w:tcBorders>
                          <w:top w:val="single" w:sz="8" w:space="0" w:color="C9D2CB"/>
                        </w:tcBorders>
                      </w:tcPr>
                      <w:p>
                        <w:pPr>
                          <w:pStyle w:val="TableParagraph"/>
                          <w:spacing w:before="11"/>
                          <w:rPr>
                            <w:b/>
                            <w:sz w:val="11"/>
                          </w:rPr>
                        </w:pPr>
                      </w:p>
                      <w:p>
                        <w:pPr>
                          <w:pStyle w:val="TableParagraph"/>
                          <w:spacing w:line="141" w:lineRule="exact" w:before="1"/>
                          <w:rPr>
                            <w:sz w:val="13"/>
                          </w:rPr>
                        </w:pPr>
                        <w:r>
                          <w:rPr>
                            <w:w w:val="110"/>
                            <w:sz w:val="13"/>
                          </w:rPr>
                          <w:t>117</w:t>
                        </w:r>
                      </w:p>
                    </w:tc>
                    <w:tc>
                      <w:tcPr>
                        <w:tcW w:w="8146" w:type="dxa"/>
                        <w:tcBorders>
                          <w:top w:val="single" w:sz="8" w:space="0" w:color="C9D2CB"/>
                        </w:tcBorders>
                      </w:tcPr>
                      <w:p>
                        <w:pPr>
                          <w:pStyle w:val="TableParagraph"/>
                          <w:spacing w:before="11"/>
                          <w:rPr>
                            <w:b/>
                            <w:sz w:val="11"/>
                          </w:rPr>
                        </w:pPr>
                      </w:p>
                      <w:p>
                        <w:pPr>
                          <w:pStyle w:val="TableParagraph"/>
                          <w:spacing w:line="141" w:lineRule="exact" w:before="1"/>
                          <w:ind w:left="207"/>
                          <w:rPr>
                            <w:sz w:val="13"/>
                          </w:rPr>
                        </w:pPr>
                        <w:r>
                          <w:rPr>
                            <w:w w:val="105"/>
                            <w:sz w:val="13"/>
                          </w:rPr>
                          <w:t>Consultation 11 (Land and Environment Court of New South Wales).</w:t>
                        </w:r>
                      </w:p>
                    </w:tc>
                  </w:tr>
                  <w:tr>
                    <w:trPr>
                      <w:trHeight w:val="160" w:hRule="atLeast"/>
                    </w:trPr>
                    <w:tc>
                      <w:tcPr>
                        <w:tcW w:w="586" w:type="dxa"/>
                      </w:tcPr>
                      <w:p>
                        <w:pPr>
                          <w:pStyle w:val="TableParagraph"/>
                          <w:spacing w:line="140" w:lineRule="exact"/>
                          <w:rPr>
                            <w:sz w:val="13"/>
                          </w:rPr>
                        </w:pPr>
                        <w:r>
                          <w:rPr>
                            <w:w w:val="110"/>
                            <w:sz w:val="13"/>
                          </w:rPr>
                          <w:t>118</w:t>
                        </w:r>
                      </w:p>
                    </w:tc>
                    <w:tc>
                      <w:tcPr>
                        <w:tcW w:w="8146" w:type="dxa"/>
                      </w:tcPr>
                      <w:p>
                        <w:pPr>
                          <w:pStyle w:val="TableParagraph"/>
                          <w:spacing w:line="140" w:lineRule="exact"/>
                          <w:ind w:left="207"/>
                          <w:rPr>
                            <w:sz w:val="13"/>
                          </w:rPr>
                        </w:pPr>
                        <w:r>
                          <w:rPr>
                            <w:sz w:val="13"/>
                          </w:rPr>
                          <w:t>Ibid.</w:t>
                        </w:r>
                      </w:p>
                    </w:tc>
                  </w:tr>
                  <w:tr>
                    <w:trPr>
                      <w:trHeight w:val="159" w:hRule="atLeast"/>
                    </w:trPr>
                    <w:tc>
                      <w:tcPr>
                        <w:tcW w:w="586" w:type="dxa"/>
                      </w:tcPr>
                      <w:p>
                        <w:pPr>
                          <w:pStyle w:val="TableParagraph"/>
                          <w:spacing w:line="140" w:lineRule="exact"/>
                          <w:rPr>
                            <w:sz w:val="13"/>
                          </w:rPr>
                        </w:pPr>
                        <w:r>
                          <w:rPr>
                            <w:w w:val="110"/>
                            <w:sz w:val="13"/>
                          </w:rPr>
                          <w:t>119</w:t>
                        </w:r>
                      </w:p>
                    </w:tc>
                    <w:tc>
                      <w:tcPr>
                        <w:tcW w:w="8146" w:type="dxa"/>
                      </w:tcPr>
                      <w:p>
                        <w:pPr>
                          <w:pStyle w:val="TableParagraph"/>
                          <w:spacing w:line="140" w:lineRule="exact"/>
                          <w:ind w:left="207"/>
                          <w:rPr>
                            <w:sz w:val="13"/>
                          </w:rPr>
                        </w:pPr>
                        <w:r>
                          <w:rPr>
                            <w:sz w:val="13"/>
                          </w:rPr>
                          <w:t>Ibid.</w:t>
                        </w:r>
                      </w:p>
                    </w:tc>
                  </w:tr>
                  <w:tr>
                    <w:trPr>
                      <w:trHeight w:val="160" w:hRule="atLeast"/>
                    </w:trPr>
                    <w:tc>
                      <w:tcPr>
                        <w:tcW w:w="586" w:type="dxa"/>
                      </w:tcPr>
                      <w:p>
                        <w:pPr>
                          <w:pStyle w:val="TableParagraph"/>
                          <w:spacing w:line="140" w:lineRule="exact"/>
                          <w:rPr>
                            <w:sz w:val="13"/>
                          </w:rPr>
                        </w:pPr>
                        <w:r>
                          <w:rPr>
                            <w:w w:val="110"/>
                            <w:sz w:val="13"/>
                          </w:rPr>
                          <w:t>120</w:t>
                        </w:r>
                      </w:p>
                    </w:tc>
                    <w:tc>
                      <w:tcPr>
                        <w:tcW w:w="8146" w:type="dxa"/>
                      </w:tcPr>
                      <w:p>
                        <w:pPr>
                          <w:pStyle w:val="TableParagraph"/>
                          <w:spacing w:line="140" w:lineRule="exact"/>
                          <w:ind w:left="207"/>
                          <w:rPr>
                            <w:sz w:val="13"/>
                          </w:rPr>
                        </w:pPr>
                        <w:r>
                          <w:rPr>
                            <w:i/>
                            <w:sz w:val="13"/>
                          </w:rPr>
                          <w:t>Queensland Civil and Administrative Tribunal Act 2009 </w:t>
                        </w:r>
                        <w:r>
                          <w:rPr>
                            <w:sz w:val="13"/>
                          </w:rPr>
                          <w:t>(Qld) s 11. For a full list of matter types, see Queensland Civil and Administrative</w:t>
                        </w:r>
                      </w:p>
                    </w:tc>
                  </w:tr>
                  <w:tr>
                    <w:trPr>
                      <w:trHeight w:val="160" w:hRule="atLeast"/>
                    </w:trPr>
                    <w:tc>
                      <w:tcPr>
                        <w:tcW w:w="586" w:type="dxa"/>
                      </w:tcPr>
                      <w:p>
                        <w:pPr>
                          <w:pStyle w:val="TableParagraph"/>
                          <w:rPr>
                            <w:rFonts w:ascii="Times New Roman"/>
                            <w:sz w:val="10"/>
                          </w:rPr>
                        </w:pPr>
                      </w:p>
                    </w:tc>
                    <w:tc>
                      <w:tcPr>
                        <w:tcW w:w="8146" w:type="dxa"/>
                      </w:tcPr>
                      <w:p>
                        <w:pPr>
                          <w:pStyle w:val="TableParagraph"/>
                          <w:spacing w:line="140" w:lineRule="exact"/>
                          <w:ind w:left="207"/>
                          <w:rPr>
                            <w:sz w:val="13"/>
                          </w:rPr>
                        </w:pPr>
                        <w:r>
                          <w:rPr>
                            <w:w w:val="105"/>
                            <w:sz w:val="13"/>
                          </w:rPr>
                          <w:t>Tribunal, </w:t>
                        </w:r>
                        <w:r>
                          <w:rPr>
                            <w:i/>
                            <w:w w:val="105"/>
                            <w:sz w:val="13"/>
                          </w:rPr>
                          <w:t>Matter Types </w:t>
                        </w:r>
                        <w:r>
                          <w:rPr>
                            <w:w w:val="105"/>
                            <w:sz w:val="13"/>
                          </w:rPr>
                          <w:t>(Web Page, 29 November 2017) &lt;</w:t>
                        </w:r>
                        <w:hyperlink r:id="rId182">
                          <w:r>
                            <w:rPr>
                              <w:w w:val="105"/>
                              <w:sz w:val="13"/>
                            </w:rPr>
                            <w:t>www.qcat.qld.gov.au/matter-types</w:t>
                          </w:r>
                        </w:hyperlink>
                        <w:r>
                          <w:rPr>
                            <w:w w:val="105"/>
                            <w:sz w:val="13"/>
                          </w:rPr>
                          <w:t>&gt;.</w:t>
                        </w:r>
                      </w:p>
                    </w:tc>
                  </w:tr>
                  <w:tr>
                    <w:trPr>
                      <w:trHeight w:val="160" w:hRule="atLeast"/>
                    </w:trPr>
                    <w:tc>
                      <w:tcPr>
                        <w:tcW w:w="586" w:type="dxa"/>
                      </w:tcPr>
                      <w:p>
                        <w:pPr>
                          <w:pStyle w:val="TableParagraph"/>
                          <w:spacing w:line="140" w:lineRule="exact"/>
                          <w:rPr>
                            <w:sz w:val="13"/>
                          </w:rPr>
                        </w:pPr>
                        <w:r>
                          <w:rPr>
                            <w:w w:val="110"/>
                            <w:sz w:val="13"/>
                          </w:rPr>
                          <w:t>121</w:t>
                        </w:r>
                      </w:p>
                    </w:tc>
                    <w:tc>
                      <w:tcPr>
                        <w:tcW w:w="8146" w:type="dxa"/>
                      </w:tcPr>
                      <w:p>
                        <w:pPr>
                          <w:pStyle w:val="TableParagraph"/>
                          <w:spacing w:line="140" w:lineRule="exact"/>
                          <w:ind w:left="207"/>
                          <w:rPr>
                            <w:sz w:val="13"/>
                          </w:rPr>
                        </w:pPr>
                        <w:r>
                          <w:rPr>
                            <w:i/>
                            <w:w w:val="105"/>
                            <w:sz w:val="13"/>
                          </w:rPr>
                          <w:t>Queensland Civil and Administrative Tribunal Act 2009 </w:t>
                        </w:r>
                        <w:r>
                          <w:rPr>
                            <w:w w:val="105"/>
                            <w:sz w:val="13"/>
                          </w:rPr>
                          <w:t>(Qld) s 164.</w:t>
                        </w:r>
                      </w:p>
                    </w:tc>
                  </w:tr>
                  <w:tr>
                    <w:trPr>
                      <w:trHeight w:val="160" w:hRule="atLeast"/>
                    </w:trPr>
                    <w:tc>
                      <w:tcPr>
                        <w:tcW w:w="586" w:type="dxa"/>
                      </w:tcPr>
                      <w:p>
                        <w:pPr>
                          <w:pStyle w:val="TableParagraph"/>
                          <w:spacing w:line="140" w:lineRule="exact"/>
                          <w:rPr>
                            <w:sz w:val="13"/>
                          </w:rPr>
                        </w:pPr>
                        <w:r>
                          <w:rPr>
                            <w:w w:val="110"/>
                            <w:sz w:val="13"/>
                          </w:rPr>
                          <w:t>122</w:t>
                        </w:r>
                      </w:p>
                    </w:tc>
                    <w:tc>
                      <w:tcPr>
                        <w:tcW w:w="8146" w:type="dxa"/>
                      </w:tcPr>
                      <w:p>
                        <w:pPr>
                          <w:pStyle w:val="TableParagraph"/>
                          <w:spacing w:line="140" w:lineRule="exact"/>
                          <w:ind w:left="207"/>
                          <w:rPr>
                            <w:i/>
                            <w:sz w:val="13"/>
                          </w:rPr>
                        </w:pPr>
                        <w:r>
                          <w:rPr>
                            <w:w w:val="105"/>
                            <w:sz w:val="13"/>
                          </w:rPr>
                          <w:t>Within the meaning of section 77(iii) of the </w:t>
                        </w:r>
                        <w:r>
                          <w:rPr>
                            <w:i/>
                            <w:w w:val="105"/>
                            <w:sz w:val="13"/>
                          </w:rPr>
                          <w:t>Australian Constitution: Owen v Menzies </w:t>
                        </w:r>
                        <w:r>
                          <w:rPr>
                            <w:w w:val="105"/>
                            <w:sz w:val="13"/>
                          </w:rPr>
                          <w:t>(2012) 293 ALR 571; see also </w:t>
                        </w:r>
                        <w:r>
                          <w:rPr>
                            <w:i/>
                            <w:w w:val="105"/>
                            <w:sz w:val="13"/>
                          </w:rPr>
                          <w:t>Queensland Civil and</w:t>
                        </w:r>
                      </w:p>
                    </w:tc>
                  </w:tr>
                  <w:tr>
                    <w:trPr>
                      <w:trHeight w:val="160" w:hRule="atLeast"/>
                    </w:trPr>
                    <w:tc>
                      <w:tcPr>
                        <w:tcW w:w="586" w:type="dxa"/>
                      </w:tcPr>
                      <w:p>
                        <w:pPr>
                          <w:pStyle w:val="TableParagraph"/>
                          <w:rPr>
                            <w:rFonts w:ascii="Times New Roman"/>
                            <w:sz w:val="10"/>
                          </w:rPr>
                        </w:pPr>
                      </w:p>
                    </w:tc>
                    <w:tc>
                      <w:tcPr>
                        <w:tcW w:w="8146" w:type="dxa"/>
                      </w:tcPr>
                      <w:p>
                        <w:pPr>
                          <w:pStyle w:val="TableParagraph"/>
                          <w:spacing w:line="140" w:lineRule="exact"/>
                          <w:ind w:left="207"/>
                          <w:rPr>
                            <w:sz w:val="13"/>
                          </w:rPr>
                        </w:pPr>
                        <w:r>
                          <w:rPr>
                            <w:i/>
                            <w:w w:val="105"/>
                            <w:sz w:val="13"/>
                          </w:rPr>
                          <w:t>Administrative Tribunal Act 2009 </w:t>
                        </w:r>
                        <w:r>
                          <w:rPr>
                            <w:w w:val="105"/>
                            <w:sz w:val="13"/>
                          </w:rPr>
                          <w:t>(Qld) s 164.</w:t>
                        </w:r>
                      </w:p>
                    </w:tc>
                  </w:tr>
                  <w:tr>
                    <w:trPr>
                      <w:trHeight w:val="160" w:hRule="atLeast"/>
                    </w:trPr>
                    <w:tc>
                      <w:tcPr>
                        <w:tcW w:w="586" w:type="dxa"/>
                      </w:tcPr>
                      <w:p>
                        <w:pPr>
                          <w:pStyle w:val="TableParagraph"/>
                          <w:spacing w:line="140" w:lineRule="exact"/>
                          <w:rPr>
                            <w:sz w:val="13"/>
                          </w:rPr>
                        </w:pPr>
                        <w:r>
                          <w:rPr>
                            <w:w w:val="110"/>
                            <w:sz w:val="13"/>
                          </w:rPr>
                          <w:t>123</w:t>
                        </w:r>
                      </w:p>
                    </w:tc>
                    <w:tc>
                      <w:tcPr>
                        <w:tcW w:w="8146" w:type="dxa"/>
                      </w:tcPr>
                      <w:p>
                        <w:pPr>
                          <w:pStyle w:val="TableParagraph"/>
                          <w:spacing w:line="140" w:lineRule="exact"/>
                          <w:ind w:left="207"/>
                          <w:rPr>
                            <w:sz w:val="13"/>
                          </w:rPr>
                        </w:pPr>
                        <w:r>
                          <w:rPr>
                            <w:w w:val="105"/>
                            <w:sz w:val="13"/>
                          </w:rPr>
                          <w:t>Pamela O’Connor, </w:t>
                        </w:r>
                        <w:r>
                          <w:rPr>
                            <w:i/>
                            <w:w w:val="105"/>
                            <w:sz w:val="13"/>
                          </w:rPr>
                          <w:t>Tribunal Independence </w:t>
                        </w:r>
                        <w:r>
                          <w:rPr>
                            <w:w w:val="105"/>
                            <w:sz w:val="13"/>
                          </w:rPr>
                          <w:t>(The Australasian Institute of Judicial Administration Incorporated, 2013) 3 n 19.</w:t>
                        </w:r>
                      </w:p>
                    </w:tc>
                  </w:tr>
                  <w:tr>
                    <w:trPr>
                      <w:trHeight w:val="159" w:hRule="atLeast"/>
                    </w:trPr>
                    <w:tc>
                      <w:tcPr>
                        <w:tcW w:w="586" w:type="dxa"/>
                      </w:tcPr>
                      <w:p>
                        <w:pPr>
                          <w:pStyle w:val="TableParagraph"/>
                          <w:spacing w:line="140" w:lineRule="exact"/>
                          <w:rPr>
                            <w:sz w:val="13"/>
                          </w:rPr>
                        </w:pPr>
                        <w:r>
                          <w:rPr>
                            <w:w w:val="110"/>
                            <w:sz w:val="13"/>
                          </w:rPr>
                          <w:t>124</w:t>
                        </w:r>
                      </w:p>
                    </w:tc>
                    <w:tc>
                      <w:tcPr>
                        <w:tcW w:w="8146" w:type="dxa"/>
                      </w:tcPr>
                      <w:p>
                        <w:pPr>
                          <w:pStyle w:val="TableParagraph"/>
                          <w:spacing w:line="140" w:lineRule="exact"/>
                          <w:ind w:left="207"/>
                          <w:rPr>
                            <w:sz w:val="13"/>
                          </w:rPr>
                        </w:pPr>
                        <w:r>
                          <w:rPr>
                            <w:w w:val="105"/>
                            <w:sz w:val="13"/>
                          </w:rPr>
                          <w:t>[2016] QCATA 120 [30].</w:t>
                        </w:r>
                      </w:p>
                    </w:tc>
                  </w:tr>
                  <w:tr>
                    <w:trPr>
                      <w:trHeight w:val="160" w:hRule="atLeast"/>
                    </w:trPr>
                    <w:tc>
                      <w:tcPr>
                        <w:tcW w:w="586" w:type="dxa"/>
                      </w:tcPr>
                      <w:p>
                        <w:pPr>
                          <w:pStyle w:val="TableParagraph"/>
                          <w:spacing w:line="140" w:lineRule="exact"/>
                          <w:rPr>
                            <w:sz w:val="13"/>
                          </w:rPr>
                        </w:pPr>
                        <w:r>
                          <w:rPr>
                            <w:w w:val="110"/>
                            <w:sz w:val="13"/>
                          </w:rPr>
                          <w:t>125</w:t>
                        </w:r>
                      </w:p>
                    </w:tc>
                    <w:tc>
                      <w:tcPr>
                        <w:tcW w:w="8146" w:type="dxa"/>
                      </w:tcPr>
                      <w:p>
                        <w:pPr>
                          <w:pStyle w:val="TableParagraph"/>
                          <w:spacing w:line="140" w:lineRule="exact"/>
                          <w:ind w:left="207"/>
                          <w:rPr>
                            <w:sz w:val="13"/>
                          </w:rPr>
                        </w:pPr>
                        <w:r>
                          <w:rPr>
                            <w:i/>
                            <w:w w:val="105"/>
                            <w:sz w:val="13"/>
                          </w:rPr>
                          <w:t>Amos v Fett </w:t>
                        </w:r>
                        <w:r>
                          <w:rPr>
                            <w:w w:val="105"/>
                            <w:sz w:val="13"/>
                          </w:rPr>
                          <w:t>[2016] QCATA 120 [30].</w:t>
                        </w:r>
                      </w:p>
                    </w:tc>
                  </w:tr>
                  <w:tr>
                    <w:trPr>
                      <w:trHeight w:val="159" w:hRule="atLeast"/>
                    </w:trPr>
                    <w:tc>
                      <w:tcPr>
                        <w:tcW w:w="586" w:type="dxa"/>
                      </w:tcPr>
                      <w:p>
                        <w:pPr>
                          <w:pStyle w:val="TableParagraph"/>
                          <w:spacing w:line="140" w:lineRule="exact"/>
                          <w:rPr>
                            <w:sz w:val="13"/>
                          </w:rPr>
                        </w:pPr>
                        <w:r>
                          <w:rPr>
                            <w:w w:val="110"/>
                            <w:sz w:val="13"/>
                          </w:rPr>
                          <w:t>126</w:t>
                        </w:r>
                      </w:p>
                    </w:tc>
                    <w:tc>
                      <w:tcPr>
                        <w:tcW w:w="8146" w:type="dxa"/>
                      </w:tcPr>
                      <w:p>
                        <w:pPr>
                          <w:pStyle w:val="TableParagraph"/>
                          <w:spacing w:line="140" w:lineRule="exact"/>
                          <w:ind w:left="207"/>
                          <w:rPr>
                            <w:sz w:val="13"/>
                          </w:rPr>
                        </w:pPr>
                        <w:r>
                          <w:rPr>
                            <w:w w:val="110"/>
                            <w:sz w:val="13"/>
                          </w:rPr>
                          <w:t>[2018] QCATA 38.</w:t>
                        </w:r>
                      </w:p>
                    </w:tc>
                  </w:tr>
                  <w:tr>
                    <w:trPr>
                      <w:trHeight w:val="160" w:hRule="atLeast"/>
                    </w:trPr>
                    <w:tc>
                      <w:tcPr>
                        <w:tcW w:w="586" w:type="dxa"/>
                      </w:tcPr>
                      <w:p>
                        <w:pPr>
                          <w:pStyle w:val="TableParagraph"/>
                          <w:spacing w:line="140" w:lineRule="exact"/>
                          <w:rPr>
                            <w:sz w:val="13"/>
                          </w:rPr>
                        </w:pPr>
                        <w:r>
                          <w:rPr>
                            <w:w w:val="110"/>
                            <w:sz w:val="13"/>
                          </w:rPr>
                          <w:t>127</w:t>
                        </w:r>
                      </w:p>
                    </w:tc>
                    <w:tc>
                      <w:tcPr>
                        <w:tcW w:w="8146" w:type="dxa"/>
                      </w:tcPr>
                      <w:p>
                        <w:pPr>
                          <w:pStyle w:val="TableParagraph"/>
                          <w:spacing w:line="140" w:lineRule="exact"/>
                          <w:ind w:left="207"/>
                          <w:rPr>
                            <w:sz w:val="13"/>
                          </w:rPr>
                        </w:pPr>
                        <w:r>
                          <w:rPr>
                            <w:i/>
                            <w:w w:val="105"/>
                            <w:sz w:val="13"/>
                          </w:rPr>
                          <w:t>Queensland Building &amp; Construction Commission v Whalley </w:t>
                        </w:r>
                        <w:r>
                          <w:rPr>
                            <w:w w:val="105"/>
                            <w:sz w:val="13"/>
                          </w:rPr>
                          <w:t>[2018] QCATA 38 [37].</w:t>
                        </w:r>
                      </w:p>
                    </w:tc>
                  </w:tr>
                  <w:tr>
                    <w:trPr>
                      <w:trHeight w:val="160" w:hRule="atLeast"/>
                    </w:trPr>
                    <w:tc>
                      <w:tcPr>
                        <w:tcW w:w="586" w:type="dxa"/>
                      </w:tcPr>
                      <w:p>
                        <w:pPr>
                          <w:pStyle w:val="TableParagraph"/>
                          <w:spacing w:line="140" w:lineRule="exact"/>
                          <w:rPr>
                            <w:sz w:val="13"/>
                          </w:rPr>
                        </w:pPr>
                        <w:r>
                          <w:rPr>
                            <w:w w:val="110"/>
                            <w:sz w:val="13"/>
                          </w:rPr>
                          <w:t>128</w:t>
                        </w:r>
                      </w:p>
                    </w:tc>
                    <w:tc>
                      <w:tcPr>
                        <w:tcW w:w="8146" w:type="dxa"/>
                      </w:tcPr>
                      <w:p>
                        <w:pPr>
                          <w:pStyle w:val="TableParagraph"/>
                          <w:spacing w:line="140" w:lineRule="exact"/>
                          <w:ind w:left="208"/>
                          <w:rPr>
                            <w:i/>
                            <w:sz w:val="13"/>
                          </w:rPr>
                        </w:pPr>
                        <w:r>
                          <w:rPr>
                            <w:i/>
                            <w:w w:val="105"/>
                            <w:sz w:val="13"/>
                          </w:rPr>
                          <w:t>Queensland Civil and Administrative Tribunal Act 2009 </w:t>
                        </w:r>
                        <w:r>
                          <w:rPr>
                            <w:w w:val="105"/>
                            <w:sz w:val="13"/>
                          </w:rPr>
                          <w:t>(Qld) ss 146, 147. See also Queensland Civil and Administrative Tribunal, </w:t>
                        </w:r>
                        <w:r>
                          <w:rPr>
                            <w:i/>
                            <w:w w:val="105"/>
                            <w:sz w:val="13"/>
                          </w:rPr>
                          <w:t>Decision</w:t>
                        </w:r>
                      </w:p>
                    </w:tc>
                  </w:tr>
                  <w:tr>
                    <w:trPr>
                      <w:trHeight w:val="160" w:hRule="atLeast"/>
                    </w:trPr>
                    <w:tc>
                      <w:tcPr>
                        <w:tcW w:w="586" w:type="dxa"/>
                      </w:tcPr>
                      <w:p>
                        <w:pPr>
                          <w:pStyle w:val="TableParagraph"/>
                          <w:rPr>
                            <w:rFonts w:ascii="Times New Roman"/>
                            <w:sz w:val="10"/>
                          </w:rPr>
                        </w:pPr>
                      </w:p>
                    </w:tc>
                    <w:tc>
                      <w:tcPr>
                        <w:tcW w:w="8146" w:type="dxa"/>
                      </w:tcPr>
                      <w:p>
                        <w:pPr>
                          <w:pStyle w:val="TableParagraph"/>
                          <w:spacing w:line="140" w:lineRule="exact"/>
                          <w:ind w:left="208"/>
                          <w:rPr>
                            <w:sz w:val="13"/>
                          </w:rPr>
                        </w:pPr>
                        <w:r>
                          <w:rPr>
                            <w:i/>
                            <w:w w:val="105"/>
                            <w:sz w:val="13"/>
                          </w:rPr>
                          <w:t>About a Minor Civil Dispute </w:t>
                        </w:r>
                        <w:r>
                          <w:rPr>
                            <w:w w:val="105"/>
                            <w:sz w:val="13"/>
                          </w:rPr>
                          <w:t>(Web Page, 15 February 2019) &lt;https://</w:t>
                        </w:r>
                        <w:hyperlink r:id="rId183">
                          <w:r>
                            <w:rPr>
                              <w:w w:val="105"/>
                              <w:sz w:val="13"/>
                            </w:rPr>
                            <w:t>www.qcat.qld.gov.au/qcat-decisions/appealing-a-qcat-decision/</w:t>
                          </w:r>
                        </w:hyperlink>
                      </w:p>
                    </w:tc>
                  </w:tr>
                  <w:tr>
                    <w:trPr>
                      <w:trHeight w:val="160" w:hRule="atLeast"/>
                    </w:trPr>
                    <w:tc>
                      <w:tcPr>
                        <w:tcW w:w="586" w:type="dxa"/>
                      </w:tcPr>
                      <w:p>
                        <w:pPr>
                          <w:pStyle w:val="TableParagraph"/>
                          <w:rPr>
                            <w:rFonts w:ascii="Times New Roman"/>
                            <w:sz w:val="10"/>
                          </w:rPr>
                        </w:pPr>
                      </w:p>
                    </w:tc>
                    <w:tc>
                      <w:tcPr>
                        <w:tcW w:w="8146" w:type="dxa"/>
                      </w:tcPr>
                      <w:p>
                        <w:pPr>
                          <w:pStyle w:val="TableParagraph"/>
                          <w:spacing w:line="140" w:lineRule="exact"/>
                          <w:ind w:left="208"/>
                          <w:rPr>
                            <w:sz w:val="13"/>
                          </w:rPr>
                        </w:pPr>
                        <w:r>
                          <w:rPr>
                            <w:w w:val="105"/>
                            <w:sz w:val="13"/>
                          </w:rPr>
                          <w:t>decision-about-a-minor-civil-dispute&gt;. Whereas Cf appeals of VCAT decisions, which are limited to questions of law and determined by</w:t>
                        </w:r>
                      </w:p>
                    </w:tc>
                  </w:tr>
                  <w:tr>
                    <w:trPr>
                      <w:trHeight w:val="160" w:hRule="atLeast"/>
                    </w:trPr>
                    <w:tc>
                      <w:tcPr>
                        <w:tcW w:w="586" w:type="dxa"/>
                      </w:tcPr>
                      <w:p>
                        <w:pPr>
                          <w:pStyle w:val="TableParagraph"/>
                          <w:rPr>
                            <w:rFonts w:ascii="Times New Roman"/>
                            <w:sz w:val="10"/>
                          </w:rPr>
                        </w:pPr>
                      </w:p>
                    </w:tc>
                    <w:tc>
                      <w:tcPr>
                        <w:tcW w:w="8146" w:type="dxa"/>
                      </w:tcPr>
                      <w:p>
                        <w:pPr>
                          <w:pStyle w:val="TableParagraph"/>
                          <w:spacing w:line="140" w:lineRule="exact"/>
                          <w:ind w:left="208"/>
                          <w:rPr>
                            <w:sz w:val="13"/>
                          </w:rPr>
                        </w:pPr>
                        <w:r>
                          <w:rPr>
                            <w:w w:val="105"/>
                            <w:sz w:val="13"/>
                          </w:rPr>
                          <w:t>a court with leave. In order to appeal on a question of law, a person needs to seek leave of the Supreme Court of Victoria Court, Court</w:t>
                        </w:r>
                      </w:p>
                    </w:tc>
                  </w:tr>
                  <w:tr>
                    <w:trPr>
                      <w:trHeight w:val="159" w:hRule="atLeast"/>
                    </w:trPr>
                    <w:tc>
                      <w:tcPr>
                        <w:tcW w:w="586" w:type="dxa"/>
                      </w:tcPr>
                      <w:p>
                        <w:pPr>
                          <w:pStyle w:val="TableParagraph"/>
                          <w:rPr>
                            <w:rFonts w:ascii="Times New Roman"/>
                            <w:sz w:val="10"/>
                          </w:rPr>
                        </w:pPr>
                      </w:p>
                    </w:tc>
                    <w:tc>
                      <w:tcPr>
                        <w:tcW w:w="8146" w:type="dxa"/>
                      </w:tcPr>
                      <w:p>
                        <w:pPr>
                          <w:pStyle w:val="TableParagraph"/>
                          <w:spacing w:line="140" w:lineRule="exact"/>
                          <w:ind w:left="208"/>
                          <w:rPr>
                            <w:sz w:val="13"/>
                          </w:rPr>
                        </w:pPr>
                        <w:r>
                          <w:rPr>
                            <w:w w:val="105"/>
                            <w:sz w:val="13"/>
                          </w:rPr>
                          <w:t>of Appeal if the decision was made by a judge at VCAT, or the Trial Division of the Supreme Court if the decision was made by a VCAT</w:t>
                        </w:r>
                      </w:p>
                    </w:tc>
                  </w:tr>
                  <w:tr>
                    <w:trPr>
                      <w:trHeight w:val="160" w:hRule="atLeast"/>
                    </w:trPr>
                    <w:tc>
                      <w:tcPr>
                        <w:tcW w:w="586" w:type="dxa"/>
                      </w:tcPr>
                      <w:p>
                        <w:pPr>
                          <w:pStyle w:val="TableParagraph"/>
                          <w:rPr>
                            <w:rFonts w:ascii="Times New Roman"/>
                            <w:sz w:val="10"/>
                          </w:rPr>
                        </w:pPr>
                      </w:p>
                    </w:tc>
                    <w:tc>
                      <w:tcPr>
                        <w:tcW w:w="8146" w:type="dxa"/>
                      </w:tcPr>
                      <w:p>
                        <w:pPr>
                          <w:pStyle w:val="TableParagraph"/>
                          <w:spacing w:line="140" w:lineRule="exact"/>
                          <w:ind w:left="208"/>
                          <w:rPr>
                            <w:sz w:val="13"/>
                          </w:rPr>
                        </w:pPr>
                        <w:r>
                          <w:rPr>
                            <w:sz w:val="13"/>
                          </w:rPr>
                          <w:t>member: </w:t>
                        </w:r>
                        <w:r>
                          <w:rPr>
                            <w:i/>
                            <w:sz w:val="13"/>
                          </w:rPr>
                          <w:t>Victorian Civil and Administrative Tribunal Act 1998 </w:t>
                        </w:r>
                        <w:r>
                          <w:rPr>
                            <w:sz w:val="13"/>
                          </w:rPr>
                          <w:t>(Vic) s 148(1).</w:t>
                        </w:r>
                      </w:p>
                    </w:tc>
                  </w:tr>
                  <w:tr>
                    <w:trPr>
                      <w:trHeight w:val="160" w:hRule="atLeast"/>
                    </w:trPr>
                    <w:tc>
                      <w:tcPr>
                        <w:tcW w:w="586" w:type="dxa"/>
                      </w:tcPr>
                      <w:p>
                        <w:pPr>
                          <w:pStyle w:val="TableParagraph"/>
                          <w:spacing w:line="140" w:lineRule="exact"/>
                          <w:rPr>
                            <w:sz w:val="13"/>
                          </w:rPr>
                        </w:pPr>
                        <w:r>
                          <w:rPr>
                            <w:w w:val="110"/>
                            <w:sz w:val="13"/>
                          </w:rPr>
                          <w:t>129</w:t>
                        </w:r>
                      </w:p>
                    </w:tc>
                    <w:tc>
                      <w:tcPr>
                        <w:tcW w:w="8146" w:type="dxa"/>
                      </w:tcPr>
                      <w:p>
                        <w:pPr>
                          <w:pStyle w:val="TableParagraph"/>
                          <w:spacing w:line="140" w:lineRule="exact"/>
                          <w:ind w:left="208"/>
                          <w:rPr>
                            <w:sz w:val="13"/>
                          </w:rPr>
                        </w:pPr>
                        <w:r>
                          <w:rPr>
                            <w:i/>
                            <w:w w:val="105"/>
                            <w:sz w:val="13"/>
                          </w:rPr>
                          <w:t>Queensland Civil and Administrative Tribunal Act 2009 </w:t>
                        </w:r>
                        <w:r>
                          <w:rPr>
                            <w:w w:val="105"/>
                            <w:sz w:val="13"/>
                          </w:rPr>
                          <w:t>(Qld) s 175(1).</w:t>
                        </w:r>
                      </w:p>
                    </w:tc>
                  </w:tr>
                  <w:tr>
                    <w:trPr>
                      <w:trHeight w:val="160" w:hRule="atLeast"/>
                    </w:trPr>
                    <w:tc>
                      <w:tcPr>
                        <w:tcW w:w="586" w:type="dxa"/>
                      </w:tcPr>
                      <w:p>
                        <w:pPr>
                          <w:pStyle w:val="TableParagraph"/>
                          <w:spacing w:line="140" w:lineRule="exact"/>
                          <w:rPr>
                            <w:sz w:val="13"/>
                          </w:rPr>
                        </w:pPr>
                        <w:r>
                          <w:rPr>
                            <w:w w:val="110"/>
                            <w:sz w:val="13"/>
                          </w:rPr>
                          <w:t>130</w:t>
                        </w:r>
                      </w:p>
                    </w:tc>
                    <w:tc>
                      <w:tcPr>
                        <w:tcW w:w="8146" w:type="dxa"/>
                      </w:tcPr>
                      <w:p>
                        <w:pPr>
                          <w:pStyle w:val="TableParagraph"/>
                          <w:spacing w:line="140" w:lineRule="exact"/>
                          <w:ind w:left="208"/>
                          <w:rPr>
                            <w:i/>
                            <w:sz w:val="13"/>
                          </w:rPr>
                        </w:pPr>
                        <w:r>
                          <w:rPr>
                            <w:sz w:val="13"/>
                          </w:rPr>
                          <w:t>Consultation 15 (Queensland Civil and Administrative Tribunal); Queensland Civil and Administrative Tribunal, </w:t>
                        </w:r>
                        <w:r>
                          <w:rPr>
                            <w:i/>
                            <w:sz w:val="13"/>
                          </w:rPr>
                          <w:t>Organisational Structure</w:t>
                        </w:r>
                      </w:p>
                    </w:tc>
                  </w:tr>
                  <w:tr>
                    <w:trPr>
                      <w:trHeight w:val="160" w:hRule="atLeast"/>
                    </w:trPr>
                    <w:tc>
                      <w:tcPr>
                        <w:tcW w:w="586" w:type="dxa"/>
                      </w:tcPr>
                      <w:p>
                        <w:pPr>
                          <w:pStyle w:val="TableParagraph"/>
                          <w:rPr>
                            <w:rFonts w:ascii="Times New Roman"/>
                            <w:sz w:val="10"/>
                          </w:rPr>
                        </w:pPr>
                      </w:p>
                    </w:tc>
                    <w:tc>
                      <w:tcPr>
                        <w:tcW w:w="8146" w:type="dxa"/>
                      </w:tcPr>
                      <w:p>
                        <w:pPr>
                          <w:pStyle w:val="TableParagraph"/>
                          <w:spacing w:line="140" w:lineRule="exact"/>
                          <w:ind w:left="208"/>
                          <w:rPr>
                            <w:sz w:val="13"/>
                          </w:rPr>
                        </w:pPr>
                        <w:r>
                          <w:rPr>
                            <w:w w:val="105"/>
                            <w:sz w:val="13"/>
                          </w:rPr>
                          <w:t>(Web Page, 24 September 2018) &lt;https://</w:t>
                        </w:r>
                        <w:hyperlink r:id="rId184">
                          <w:r>
                            <w:rPr>
                              <w:w w:val="105"/>
                              <w:sz w:val="13"/>
                            </w:rPr>
                            <w:t>www.qcat.qld.gov.au/about-qcat/organisational-structure</w:t>
                          </w:r>
                        </w:hyperlink>
                        <w:r>
                          <w:rPr>
                            <w:w w:val="105"/>
                            <w:sz w:val="13"/>
                          </w:rPr>
                          <w:t>&gt;. The president decides which</w:t>
                        </w:r>
                      </w:p>
                    </w:tc>
                  </w:tr>
                  <w:tr>
                    <w:trPr>
                      <w:trHeight w:val="160" w:hRule="atLeast"/>
                    </w:trPr>
                    <w:tc>
                      <w:tcPr>
                        <w:tcW w:w="586" w:type="dxa"/>
                      </w:tcPr>
                      <w:p>
                        <w:pPr>
                          <w:pStyle w:val="TableParagraph"/>
                          <w:rPr>
                            <w:rFonts w:ascii="Times New Roman"/>
                            <w:sz w:val="10"/>
                          </w:rPr>
                        </w:pPr>
                      </w:p>
                    </w:tc>
                    <w:tc>
                      <w:tcPr>
                        <w:tcW w:w="8146" w:type="dxa"/>
                      </w:tcPr>
                      <w:p>
                        <w:pPr>
                          <w:pStyle w:val="TableParagraph"/>
                          <w:spacing w:line="140" w:lineRule="exact"/>
                          <w:ind w:left="208"/>
                          <w:rPr>
                            <w:sz w:val="13"/>
                          </w:rPr>
                        </w:pPr>
                        <w:r>
                          <w:rPr>
                            <w:sz w:val="13"/>
                          </w:rPr>
                          <w:t>member(s) will hear a matter, with no more than three members hearing a matter.</w:t>
                        </w:r>
                      </w:p>
                    </w:tc>
                  </w:tr>
                  <w:tr>
                    <w:trPr>
                      <w:trHeight w:val="155" w:hRule="atLeast"/>
                    </w:trPr>
                    <w:tc>
                      <w:tcPr>
                        <w:tcW w:w="586" w:type="dxa"/>
                      </w:tcPr>
                      <w:p>
                        <w:pPr>
                          <w:pStyle w:val="TableParagraph"/>
                          <w:spacing w:line="135" w:lineRule="exact"/>
                          <w:rPr>
                            <w:sz w:val="13"/>
                          </w:rPr>
                        </w:pPr>
                        <w:r>
                          <w:rPr>
                            <w:w w:val="110"/>
                            <w:sz w:val="13"/>
                          </w:rPr>
                          <w:t>131</w:t>
                        </w:r>
                      </w:p>
                    </w:tc>
                    <w:tc>
                      <w:tcPr>
                        <w:tcW w:w="8146" w:type="dxa"/>
                      </w:tcPr>
                      <w:p>
                        <w:pPr>
                          <w:pStyle w:val="TableParagraph"/>
                          <w:spacing w:line="135" w:lineRule="exact"/>
                          <w:ind w:left="208"/>
                          <w:rPr>
                            <w:sz w:val="13"/>
                          </w:rPr>
                        </w:pPr>
                        <w:r>
                          <w:rPr>
                            <w:w w:val="105"/>
                            <w:sz w:val="13"/>
                          </w:rPr>
                          <w:t>Consultation 15 (Queensland Civil and Administrative Tribunal).</w:t>
                        </w:r>
                      </w:p>
                    </w:tc>
                  </w:tr>
                </w:tbl>
                <w:p>
                  <w:pPr>
                    <w:pStyle w:val="BodyText"/>
                  </w:pPr>
                </w:p>
              </w:txbxContent>
            </v:textbox>
            <w10:wrap type="none"/>
          </v:shape>
        </w:pict>
      </w:r>
      <w:r>
        <w:rPr>
          <w:w w:val="115"/>
        </w:rPr>
        <w:t>Decision-making expertise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pPr>
    </w:p>
    <w:p>
      <w:pPr>
        <w:spacing w:before="0"/>
        <w:ind w:left="0" w:right="594" w:firstLine="0"/>
        <w:jc w:val="right"/>
        <w:rPr>
          <w:b/>
          <w:sz w:val="24"/>
        </w:rPr>
      </w:pPr>
      <w:r>
        <w:rPr>
          <w:b/>
          <w:color w:val="658464"/>
          <w:w w:val="110"/>
          <w:sz w:val="24"/>
        </w:rPr>
        <w:t>143</w:t>
      </w:r>
    </w:p>
    <w:p>
      <w:pPr>
        <w:spacing w:after="0"/>
        <w:jc w:val="right"/>
        <w:rPr>
          <w:sz w:val="24"/>
        </w:rPr>
        <w:sectPr>
          <w:pgSz w:w="11910" w:h="16840"/>
          <w:pgMar w:header="808" w:footer="0" w:top="1360" w:bottom="280" w:left="0" w:right="0"/>
        </w:sectPr>
      </w:pPr>
    </w:p>
    <w:p>
      <w:pPr>
        <w:pStyle w:val="BodyText"/>
        <w:spacing w:before="9"/>
        <w:rPr>
          <w:b/>
          <w:sz w:val="22"/>
        </w:rPr>
      </w:pPr>
    </w:p>
    <w:p>
      <w:pPr>
        <w:pStyle w:val="ListParagraph"/>
        <w:numPr>
          <w:ilvl w:val="1"/>
          <w:numId w:val="112"/>
        </w:numPr>
        <w:tabs>
          <w:tab w:pos="2381" w:val="left" w:leader="none"/>
          <w:tab w:pos="2382" w:val="left" w:leader="none"/>
        </w:tabs>
        <w:spacing w:line="242" w:lineRule="auto" w:before="92" w:after="0"/>
        <w:ind w:left="2381" w:right="1679" w:hanging="794"/>
        <w:jc w:val="left"/>
        <w:rPr>
          <w:sz w:val="12"/>
        </w:rPr>
      </w:pPr>
      <w:r>
        <w:rPr>
          <w:spacing w:val="-4"/>
          <w:w w:val="105"/>
          <w:sz w:val="21"/>
        </w:rPr>
        <w:t>QCAT </w:t>
      </w:r>
      <w:r>
        <w:rPr>
          <w:spacing w:val="-3"/>
          <w:w w:val="105"/>
          <w:sz w:val="21"/>
        </w:rPr>
        <w:t>may </w:t>
      </w:r>
      <w:r>
        <w:rPr>
          <w:w w:val="105"/>
          <w:sz w:val="21"/>
        </w:rPr>
        <w:t>appoint an independent tree </w:t>
      </w:r>
      <w:r>
        <w:rPr>
          <w:spacing w:val="-3"/>
          <w:w w:val="105"/>
          <w:sz w:val="21"/>
        </w:rPr>
        <w:t>assessor, </w:t>
      </w:r>
      <w:r>
        <w:rPr>
          <w:w w:val="105"/>
          <w:sz w:val="21"/>
        </w:rPr>
        <w:t>a senior arborist with a </w:t>
      </w:r>
      <w:r>
        <w:rPr>
          <w:spacing w:val="-2"/>
          <w:w w:val="105"/>
          <w:sz w:val="21"/>
        </w:rPr>
        <w:t>qualification </w:t>
      </w:r>
      <w:r>
        <w:rPr>
          <w:spacing w:val="-3"/>
          <w:w w:val="105"/>
          <w:sz w:val="21"/>
        </w:rPr>
        <w:t>equivalent to </w:t>
      </w:r>
      <w:r>
        <w:rPr>
          <w:w w:val="105"/>
          <w:sz w:val="21"/>
        </w:rPr>
        <w:t>an AQF Level 5 with five years of </w:t>
      </w:r>
      <w:r>
        <w:rPr>
          <w:spacing w:val="-4"/>
          <w:w w:val="105"/>
          <w:sz w:val="21"/>
        </w:rPr>
        <w:t>experience,</w:t>
      </w:r>
      <w:r>
        <w:rPr>
          <w:spacing w:val="-4"/>
          <w:w w:val="105"/>
          <w:position w:val="7"/>
          <w:sz w:val="12"/>
        </w:rPr>
        <w:t>132 </w:t>
      </w:r>
      <w:r>
        <w:rPr>
          <w:spacing w:val="-3"/>
          <w:w w:val="105"/>
          <w:sz w:val="21"/>
        </w:rPr>
        <w:t>to </w:t>
      </w:r>
      <w:r>
        <w:rPr>
          <w:w w:val="105"/>
          <w:sz w:val="21"/>
        </w:rPr>
        <w:t>provide the </w:t>
      </w:r>
      <w:r>
        <w:rPr>
          <w:spacing w:val="-5"/>
          <w:w w:val="105"/>
          <w:sz w:val="21"/>
        </w:rPr>
        <w:t>Tribunal </w:t>
      </w:r>
      <w:r>
        <w:rPr>
          <w:w w:val="105"/>
          <w:sz w:val="21"/>
        </w:rPr>
        <w:t>with expert </w:t>
      </w:r>
      <w:r>
        <w:rPr>
          <w:spacing w:val="-5"/>
          <w:w w:val="105"/>
          <w:sz w:val="21"/>
        </w:rPr>
        <w:t>evidence.</w:t>
      </w:r>
      <w:r>
        <w:rPr>
          <w:spacing w:val="-5"/>
          <w:w w:val="105"/>
          <w:position w:val="7"/>
          <w:sz w:val="12"/>
        </w:rPr>
        <w:t>133 </w:t>
      </w:r>
      <w:r>
        <w:rPr>
          <w:w w:val="105"/>
          <w:sz w:val="21"/>
        </w:rPr>
        <w:t>The cost of a tree assessor is capped at </w:t>
      </w:r>
      <w:r>
        <w:rPr>
          <w:spacing w:val="-5"/>
          <w:w w:val="105"/>
          <w:sz w:val="21"/>
        </w:rPr>
        <w:t>$1000.</w:t>
      </w:r>
      <w:r>
        <w:rPr>
          <w:spacing w:val="-5"/>
          <w:w w:val="105"/>
          <w:position w:val="7"/>
          <w:sz w:val="12"/>
        </w:rPr>
        <w:t>134 </w:t>
      </w:r>
      <w:r>
        <w:rPr>
          <w:spacing w:val="-4"/>
          <w:w w:val="105"/>
          <w:sz w:val="21"/>
        </w:rPr>
        <w:t>QCAT </w:t>
      </w:r>
      <w:r>
        <w:rPr>
          <w:spacing w:val="-3"/>
          <w:w w:val="105"/>
          <w:sz w:val="21"/>
        </w:rPr>
        <w:t>will </w:t>
      </w:r>
      <w:r>
        <w:rPr>
          <w:w w:val="105"/>
          <w:sz w:val="21"/>
        </w:rPr>
        <w:t>start </w:t>
      </w:r>
      <w:r>
        <w:rPr>
          <w:spacing w:val="-3"/>
          <w:w w:val="105"/>
          <w:sz w:val="21"/>
        </w:rPr>
        <w:t>from </w:t>
      </w:r>
      <w:r>
        <w:rPr>
          <w:w w:val="105"/>
          <w:sz w:val="21"/>
        </w:rPr>
        <w:t>the</w:t>
      </w:r>
      <w:r>
        <w:rPr>
          <w:spacing w:val="-4"/>
          <w:w w:val="105"/>
          <w:sz w:val="21"/>
        </w:rPr>
        <w:t> </w:t>
      </w:r>
      <w:r>
        <w:rPr>
          <w:w w:val="105"/>
          <w:sz w:val="21"/>
        </w:rPr>
        <w:t>general</w:t>
      </w:r>
      <w:r>
        <w:rPr>
          <w:spacing w:val="-4"/>
          <w:w w:val="105"/>
          <w:sz w:val="21"/>
        </w:rPr>
        <w:t> </w:t>
      </w:r>
      <w:r>
        <w:rPr>
          <w:w w:val="105"/>
          <w:sz w:val="21"/>
        </w:rPr>
        <w:t>proposition</w:t>
      </w:r>
      <w:r>
        <w:rPr>
          <w:spacing w:val="-4"/>
          <w:w w:val="105"/>
          <w:sz w:val="21"/>
        </w:rPr>
        <w:t> </w:t>
      </w:r>
      <w:r>
        <w:rPr>
          <w:spacing w:val="-3"/>
          <w:w w:val="105"/>
          <w:sz w:val="21"/>
        </w:rPr>
        <w:t>that</w:t>
      </w:r>
      <w:r>
        <w:rPr>
          <w:spacing w:val="-4"/>
          <w:w w:val="105"/>
          <w:sz w:val="21"/>
        </w:rPr>
        <w:t> </w:t>
      </w:r>
      <w:r>
        <w:rPr>
          <w:w w:val="105"/>
          <w:sz w:val="21"/>
        </w:rPr>
        <w:t>the</w:t>
      </w:r>
      <w:r>
        <w:rPr>
          <w:spacing w:val="-3"/>
          <w:w w:val="105"/>
          <w:sz w:val="21"/>
        </w:rPr>
        <w:t> </w:t>
      </w:r>
      <w:r>
        <w:rPr>
          <w:w w:val="105"/>
          <w:sz w:val="21"/>
        </w:rPr>
        <w:t>parties</w:t>
      </w:r>
      <w:r>
        <w:rPr>
          <w:spacing w:val="-4"/>
          <w:w w:val="105"/>
          <w:sz w:val="21"/>
        </w:rPr>
        <w:t> </w:t>
      </w:r>
      <w:r>
        <w:rPr>
          <w:spacing w:val="-3"/>
          <w:w w:val="105"/>
          <w:sz w:val="21"/>
        </w:rPr>
        <w:t>are</w:t>
      </w:r>
      <w:r>
        <w:rPr>
          <w:spacing w:val="-4"/>
          <w:w w:val="105"/>
          <w:sz w:val="21"/>
        </w:rPr>
        <w:t> </w:t>
      </w:r>
      <w:r>
        <w:rPr>
          <w:spacing w:val="-3"/>
          <w:w w:val="105"/>
          <w:sz w:val="21"/>
        </w:rPr>
        <w:t>to</w:t>
      </w:r>
      <w:r>
        <w:rPr>
          <w:spacing w:val="-4"/>
          <w:w w:val="105"/>
          <w:sz w:val="21"/>
        </w:rPr>
        <w:t> </w:t>
      </w:r>
      <w:r>
        <w:rPr>
          <w:spacing w:val="-3"/>
          <w:w w:val="105"/>
          <w:sz w:val="21"/>
        </w:rPr>
        <w:t>share</w:t>
      </w:r>
      <w:r>
        <w:rPr>
          <w:spacing w:val="-4"/>
          <w:w w:val="105"/>
          <w:sz w:val="21"/>
        </w:rPr>
        <w:t> </w:t>
      </w:r>
      <w:r>
        <w:rPr>
          <w:w w:val="105"/>
          <w:sz w:val="21"/>
        </w:rPr>
        <w:t>the</w:t>
      </w:r>
      <w:r>
        <w:rPr>
          <w:spacing w:val="-4"/>
          <w:w w:val="105"/>
          <w:sz w:val="21"/>
        </w:rPr>
        <w:t> </w:t>
      </w:r>
      <w:r>
        <w:rPr>
          <w:w w:val="105"/>
          <w:sz w:val="21"/>
        </w:rPr>
        <w:t>costs</w:t>
      </w:r>
      <w:r>
        <w:rPr>
          <w:spacing w:val="-3"/>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tree</w:t>
      </w:r>
      <w:r>
        <w:rPr>
          <w:spacing w:val="-4"/>
          <w:w w:val="105"/>
          <w:sz w:val="21"/>
        </w:rPr>
        <w:t> </w:t>
      </w:r>
      <w:r>
        <w:rPr>
          <w:spacing w:val="-5"/>
          <w:w w:val="105"/>
          <w:sz w:val="21"/>
        </w:rPr>
        <w:t>assessor.</w:t>
      </w:r>
      <w:r>
        <w:rPr>
          <w:spacing w:val="-5"/>
          <w:w w:val="105"/>
          <w:position w:val="7"/>
          <w:sz w:val="12"/>
        </w:rPr>
        <w:t>135</w:t>
      </w:r>
    </w:p>
    <w:p>
      <w:pPr>
        <w:pStyle w:val="ListParagraph"/>
        <w:numPr>
          <w:ilvl w:val="1"/>
          <w:numId w:val="112"/>
        </w:numPr>
        <w:tabs>
          <w:tab w:pos="2380" w:val="left" w:leader="none"/>
          <w:tab w:pos="2381" w:val="left" w:leader="none"/>
        </w:tabs>
        <w:spacing w:line="242" w:lineRule="auto" w:before="124" w:after="0"/>
        <w:ind w:left="2381" w:right="1797" w:hanging="794"/>
        <w:jc w:val="left"/>
        <w:rPr>
          <w:sz w:val="21"/>
        </w:rPr>
      </w:pPr>
      <w:r>
        <w:rPr>
          <w:spacing w:val="-4"/>
          <w:w w:val="105"/>
          <w:sz w:val="21"/>
        </w:rPr>
        <w:t>QCAT </w:t>
      </w:r>
      <w:r>
        <w:rPr>
          <w:spacing w:val="-3"/>
          <w:w w:val="105"/>
          <w:sz w:val="21"/>
        </w:rPr>
        <w:t>may </w:t>
      </w:r>
      <w:r>
        <w:rPr>
          <w:w w:val="105"/>
          <w:sz w:val="21"/>
        </w:rPr>
        <w:t>appoint a tree assessor where it is obvious </w:t>
      </w:r>
      <w:r>
        <w:rPr>
          <w:spacing w:val="-3"/>
          <w:w w:val="105"/>
          <w:sz w:val="21"/>
        </w:rPr>
        <w:t>that </w:t>
      </w:r>
      <w:r>
        <w:rPr>
          <w:w w:val="105"/>
          <w:sz w:val="21"/>
        </w:rPr>
        <w:t>parties </w:t>
      </w:r>
      <w:r>
        <w:rPr>
          <w:spacing w:val="-3"/>
          <w:w w:val="105"/>
          <w:sz w:val="21"/>
        </w:rPr>
        <w:t>cannot </w:t>
      </w:r>
      <w:r>
        <w:rPr>
          <w:w w:val="105"/>
          <w:sz w:val="21"/>
        </w:rPr>
        <w:t>come </w:t>
      </w:r>
      <w:r>
        <w:rPr>
          <w:spacing w:val="-3"/>
          <w:w w:val="105"/>
          <w:sz w:val="21"/>
        </w:rPr>
        <w:t>to </w:t>
      </w:r>
      <w:r>
        <w:rPr>
          <w:w w:val="105"/>
          <w:sz w:val="21"/>
        </w:rPr>
        <w:t>an </w:t>
      </w:r>
      <w:r>
        <w:rPr>
          <w:spacing w:val="-2"/>
          <w:w w:val="105"/>
          <w:sz w:val="21"/>
        </w:rPr>
        <w:t>agreement </w:t>
      </w:r>
      <w:r>
        <w:rPr>
          <w:w w:val="105"/>
          <w:sz w:val="21"/>
        </w:rPr>
        <w:t>or where </w:t>
      </w:r>
      <w:r>
        <w:rPr>
          <w:spacing w:val="-4"/>
          <w:w w:val="105"/>
          <w:sz w:val="21"/>
        </w:rPr>
        <w:t>QCAT </w:t>
      </w:r>
      <w:r>
        <w:rPr>
          <w:w w:val="105"/>
          <w:sz w:val="21"/>
        </w:rPr>
        <w:t>is </w:t>
      </w:r>
      <w:r>
        <w:rPr>
          <w:spacing w:val="-3"/>
          <w:w w:val="105"/>
          <w:sz w:val="21"/>
        </w:rPr>
        <w:t>unable to </w:t>
      </w:r>
      <w:r>
        <w:rPr>
          <w:spacing w:val="-4"/>
          <w:w w:val="105"/>
          <w:sz w:val="21"/>
        </w:rPr>
        <w:t>make </w:t>
      </w:r>
      <w:r>
        <w:rPr>
          <w:w w:val="105"/>
          <w:sz w:val="21"/>
        </w:rPr>
        <w:t>a decision without expert </w:t>
      </w:r>
      <w:r>
        <w:rPr>
          <w:spacing w:val="-3"/>
          <w:w w:val="105"/>
          <w:sz w:val="21"/>
        </w:rPr>
        <w:t>arboricultural </w:t>
      </w:r>
      <w:r>
        <w:rPr>
          <w:w w:val="105"/>
          <w:sz w:val="21"/>
        </w:rPr>
        <w:t>opinion </w:t>
      </w:r>
      <w:r>
        <w:rPr>
          <w:spacing w:val="-3"/>
          <w:w w:val="105"/>
          <w:sz w:val="21"/>
        </w:rPr>
        <w:t>(for example, </w:t>
      </w:r>
      <w:r>
        <w:rPr>
          <w:w w:val="105"/>
          <w:sz w:val="21"/>
        </w:rPr>
        <w:t>in a complex matter with a large number of </w:t>
      </w:r>
      <w:r>
        <w:rPr>
          <w:spacing w:val="-4"/>
          <w:w w:val="105"/>
          <w:sz w:val="21"/>
        </w:rPr>
        <w:t>trees).</w:t>
      </w:r>
      <w:r>
        <w:rPr>
          <w:spacing w:val="-4"/>
          <w:w w:val="105"/>
          <w:position w:val="7"/>
          <w:sz w:val="12"/>
        </w:rPr>
        <w:t>136 </w:t>
      </w:r>
      <w:r>
        <w:rPr>
          <w:spacing w:val="-5"/>
          <w:w w:val="105"/>
          <w:sz w:val="21"/>
        </w:rPr>
        <w:t>Tree </w:t>
      </w:r>
      <w:r>
        <w:rPr>
          <w:w w:val="105"/>
          <w:sz w:val="21"/>
        </w:rPr>
        <w:t>assessors </w:t>
      </w:r>
      <w:r>
        <w:rPr>
          <w:spacing w:val="-3"/>
          <w:w w:val="105"/>
          <w:sz w:val="21"/>
        </w:rPr>
        <w:t>travel throughout Queensland to </w:t>
      </w:r>
      <w:r>
        <w:rPr>
          <w:w w:val="105"/>
          <w:sz w:val="21"/>
        </w:rPr>
        <w:t>conduct </w:t>
      </w:r>
      <w:r>
        <w:rPr>
          <w:spacing w:val="-4"/>
          <w:w w:val="105"/>
          <w:sz w:val="21"/>
        </w:rPr>
        <w:t>inspections.</w:t>
      </w:r>
      <w:r>
        <w:rPr>
          <w:spacing w:val="-4"/>
          <w:w w:val="105"/>
          <w:position w:val="7"/>
          <w:sz w:val="12"/>
        </w:rPr>
        <w:t>137 </w:t>
      </w:r>
      <w:r>
        <w:rPr>
          <w:spacing w:val="-3"/>
          <w:w w:val="105"/>
          <w:sz w:val="21"/>
        </w:rPr>
        <w:t>Even </w:t>
      </w:r>
      <w:r>
        <w:rPr>
          <w:w w:val="105"/>
          <w:sz w:val="21"/>
        </w:rPr>
        <w:t>if a tree </w:t>
      </w:r>
      <w:r>
        <w:rPr>
          <w:spacing w:val="-3"/>
          <w:w w:val="105"/>
          <w:sz w:val="21"/>
        </w:rPr>
        <w:t>dispute </w:t>
      </w:r>
      <w:r>
        <w:rPr>
          <w:w w:val="105"/>
          <w:sz w:val="21"/>
        </w:rPr>
        <w:t>is </w:t>
      </w:r>
      <w:r>
        <w:rPr>
          <w:spacing w:val="-2"/>
          <w:w w:val="105"/>
          <w:sz w:val="21"/>
        </w:rPr>
        <w:t>not </w:t>
      </w:r>
      <w:r>
        <w:rPr>
          <w:spacing w:val="-3"/>
          <w:w w:val="105"/>
          <w:sz w:val="21"/>
        </w:rPr>
        <w:t>heard </w:t>
      </w:r>
      <w:r>
        <w:rPr>
          <w:w w:val="105"/>
          <w:sz w:val="21"/>
        </w:rPr>
        <w:t>on </w:t>
      </w:r>
      <w:r>
        <w:rPr>
          <w:spacing w:val="-4"/>
          <w:w w:val="105"/>
          <w:sz w:val="21"/>
        </w:rPr>
        <w:t>site, QCAT </w:t>
      </w:r>
      <w:r>
        <w:rPr>
          <w:spacing w:val="-2"/>
          <w:w w:val="105"/>
          <w:sz w:val="21"/>
        </w:rPr>
        <w:t>has </w:t>
      </w:r>
      <w:r>
        <w:rPr>
          <w:w w:val="105"/>
          <w:sz w:val="21"/>
        </w:rPr>
        <w:t>the benefit of the tree assessor’s expertise where one is </w:t>
      </w:r>
      <w:r>
        <w:rPr>
          <w:spacing w:val="-3"/>
          <w:w w:val="105"/>
          <w:sz w:val="21"/>
        </w:rPr>
        <w:t>appointed.</w:t>
      </w:r>
      <w:r>
        <w:rPr>
          <w:spacing w:val="-7"/>
          <w:w w:val="105"/>
          <w:sz w:val="21"/>
        </w:rPr>
        <w:t> </w:t>
      </w:r>
      <w:r>
        <w:rPr>
          <w:w w:val="105"/>
          <w:sz w:val="21"/>
        </w:rPr>
        <w:t>A</w:t>
      </w:r>
      <w:r>
        <w:rPr>
          <w:spacing w:val="-7"/>
          <w:w w:val="105"/>
          <w:sz w:val="21"/>
        </w:rPr>
        <w:t> </w:t>
      </w:r>
      <w:r>
        <w:rPr>
          <w:spacing w:val="-4"/>
          <w:w w:val="105"/>
          <w:sz w:val="21"/>
        </w:rPr>
        <w:t>QCAT</w:t>
      </w:r>
      <w:r>
        <w:rPr>
          <w:spacing w:val="-6"/>
          <w:w w:val="105"/>
          <w:sz w:val="21"/>
        </w:rPr>
        <w:t> </w:t>
      </w:r>
      <w:r>
        <w:rPr>
          <w:w w:val="105"/>
          <w:sz w:val="21"/>
        </w:rPr>
        <w:t>tree</w:t>
      </w:r>
      <w:r>
        <w:rPr>
          <w:spacing w:val="-7"/>
          <w:w w:val="105"/>
          <w:sz w:val="21"/>
        </w:rPr>
        <w:t> </w:t>
      </w:r>
      <w:r>
        <w:rPr>
          <w:w w:val="105"/>
          <w:sz w:val="21"/>
        </w:rPr>
        <w:t>assessor</w:t>
      </w:r>
      <w:r>
        <w:rPr>
          <w:spacing w:val="-6"/>
          <w:w w:val="105"/>
          <w:sz w:val="21"/>
        </w:rPr>
        <w:t> </w:t>
      </w:r>
      <w:r>
        <w:rPr>
          <w:w w:val="105"/>
          <w:sz w:val="21"/>
        </w:rPr>
        <w:t>provides</w:t>
      </w:r>
      <w:r>
        <w:rPr>
          <w:spacing w:val="-7"/>
          <w:w w:val="105"/>
          <w:sz w:val="21"/>
        </w:rPr>
        <w:t> </w:t>
      </w:r>
      <w:r>
        <w:rPr>
          <w:spacing w:val="-3"/>
          <w:w w:val="105"/>
          <w:sz w:val="21"/>
        </w:rPr>
        <w:t>similar</w:t>
      </w:r>
      <w:r>
        <w:rPr>
          <w:spacing w:val="-6"/>
          <w:w w:val="105"/>
          <w:sz w:val="21"/>
        </w:rPr>
        <w:t> </w:t>
      </w:r>
      <w:r>
        <w:rPr>
          <w:spacing w:val="-3"/>
          <w:w w:val="105"/>
          <w:sz w:val="21"/>
        </w:rPr>
        <w:t>arboriculture</w:t>
      </w:r>
      <w:r>
        <w:rPr>
          <w:spacing w:val="-7"/>
          <w:w w:val="105"/>
          <w:sz w:val="21"/>
        </w:rPr>
        <w:t> </w:t>
      </w:r>
      <w:r>
        <w:rPr>
          <w:w w:val="105"/>
          <w:sz w:val="21"/>
        </w:rPr>
        <w:t>expertise</w:t>
      </w:r>
      <w:r>
        <w:rPr>
          <w:spacing w:val="-7"/>
          <w:w w:val="105"/>
          <w:sz w:val="21"/>
        </w:rPr>
        <w:t> </w:t>
      </w:r>
      <w:r>
        <w:rPr>
          <w:spacing w:val="-3"/>
          <w:w w:val="105"/>
          <w:sz w:val="21"/>
        </w:rPr>
        <w:t>to</w:t>
      </w:r>
      <w:r>
        <w:rPr>
          <w:spacing w:val="-6"/>
          <w:w w:val="105"/>
          <w:sz w:val="21"/>
        </w:rPr>
        <w:t> </w:t>
      </w:r>
      <w:r>
        <w:rPr>
          <w:spacing w:val="-3"/>
          <w:w w:val="105"/>
          <w:sz w:val="21"/>
        </w:rPr>
        <w:t>that</w:t>
      </w:r>
      <w:r>
        <w:rPr>
          <w:spacing w:val="-7"/>
          <w:w w:val="105"/>
          <w:sz w:val="21"/>
        </w:rPr>
        <w:t> </w:t>
      </w:r>
      <w:r>
        <w:rPr>
          <w:w w:val="105"/>
          <w:sz w:val="21"/>
        </w:rPr>
        <w:t>which</w:t>
      </w:r>
      <w:r>
        <w:rPr>
          <w:spacing w:val="-6"/>
          <w:w w:val="105"/>
          <w:sz w:val="21"/>
        </w:rPr>
        <w:t> </w:t>
      </w:r>
      <w:r>
        <w:rPr>
          <w:w w:val="105"/>
          <w:sz w:val="21"/>
        </w:rPr>
        <w:t>a </w:t>
      </w:r>
      <w:r>
        <w:rPr>
          <w:spacing w:val="-3"/>
          <w:w w:val="105"/>
          <w:sz w:val="21"/>
        </w:rPr>
        <w:t>Commissioner </w:t>
      </w:r>
      <w:r>
        <w:rPr>
          <w:w w:val="105"/>
          <w:sz w:val="21"/>
        </w:rPr>
        <w:t>of the NSWLEC would </w:t>
      </w:r>
      <w:r>
        <w:rPr>
          <w:spacing w:val="-3"/>
          <w:w w:val="105"/>
          <w:sz w:val="21"/>
        </w:rPr>
        <w:t>bring to </w:t>
      </w:r>
      <w:r>
        <w:rPr>
          <w:w w:val="105"/>
          <w:sz w:val="21"/>
        </w:rPr>
        <w:t>a</w:t>
      </w:r>
      <w:r>
        <w:rPr>
          <w:spacing w:val="4"/>
          <w:w w:val="105"/>
          <w:sz w:val="21"/>
        </w:rPr>
        <w:t> </w:t>
      </w:r>
      <w:r>
        <w:rPr>
          <w:spacing w:val="-3"/>
          <w:w w:val="105"/>
          <w:sz w:val="21"/>
        </w:rPr>
        <w:t>case.</w:t>
      </w:r>
    </w:p>
    <w:p>
      <w:pPr>
        <w:pStyle w:val="Heading7"/>
        <w:spacing w:before="158"/>
      </w:pPr>
      <w:r>
        <w:rPr>
          <w:w w:val="115"/>
        </w:rPr>
        <w:t>Case management and preliminary directions</w:t>
      </w:r>
    </w:p>
    <w:p>
      <w:pPr>
        <w:pStyle w:val="ListParagraph"/>
        <w:numPr>
          <w:ilvl w:val="1"/>
          <w:numId w:val="112"/>
        </w:numPr>
        <w:tabs>
          <w:tab w:pos="2380" w:val="left" w:leader="none"/>
          <w:tab w:pos="2381" w:val="left" w:leader="none"/>
        </w:tabs>
        <w:spacing w:line="242" w:lineRule="auto" w:before="143" w:after="0"/>
        <w:ind w:left="2381" w:right="1603" w:hanging="794"/>
        <w:jc w:val="left"/>
        <w:rPr>
          <w:sz w:val="12"/>
        </w:rPr>
      </w:pPr>
      <w:r>
        <w:rPr>
          <w:w w:val="105"/>
          <w:sz w:val="21"/>
        </w:rPr>
        <w:t>A directions </w:t>
      </w:r>
      <w:r>
        <w:rPr>
          <w:spacing w:val="-3"/>
          <w:w w:val="105"/>
          <w:sz w:val="21"/>
        </w:rPr>
        <w:t>hearing </w:t>
      </w:r>
      <w:r>
        <w:rPr>
          <w:w w:val="105"/>
          <w:sz w:val="21"/>
        </w:rPr>
        <w:t>is conducted </w:t>
      </w:r>
      <w:r>
        <w:rPr>
          <w:spacing w:val="-3"/>
          <w:w w:val="105"/>
          <w:sz w:val="21"/>
        </w:rPr>
        <w:t>before </w:t>
      </w:r>
      <w:r>
        <w:rPr>
          <w:w w:val="105"/>
          <w:sz w:val="21"/>
        </w:rPr>
        <w:t>a final </w:t>
      </w:r>
      <w:r>
        <w:rPr>
          <w:spacing w:val="-3"/>
          <w:w w:val="105"/>
          <w:sz w:val="21"/>
        </w:rPr>
        <w:t>hearing. </w:t>
      </w:r>
      <w:r>
        <w:rPr>
          <w:spacing w:val="-4"/>
          <w:w w:val="105"/>
          <w:sz w:val="21"/>
        </w:rPr>
        <w:t>At </w:t>
      </w:r>
      <w:r>
        <w:rPr>
          <w:w w:val="105"/>
          <w:sz w:val="21"/>
        </w:rPr>
        <w:t>a directions </w:t>
      </w:r>
      <w:r>
        <w:rPr>
          <w:spacing w:val="-3"/>
          <w:w w:val="105"/>
          <w:sz w:val="21"/>
        </w:rPr>
        <w:t>hearing </w:t>
      </w:r>
      <w:r>
        <w:rPr>
          <w:spacing w:val="-4"/>
          <w:w w:val="105"/>
          <w:sz w:val="21"/>
        </w:rPr>
        <w:t>QCAT </w:t>
      </w:r>
      <w:r>
        <w:rPr>
          <w:spacing w:val="-3"/>
          <w:w w:val="105"/>
          <w:sz w:val="21"/>
        </w:rPr>
        <w:t>will </w:t>
      </w:r>
      <w:r>
        <w:rPr>
          <w:w w:val="105"/>
          <w:sz w:val="21"/>
        </w:rPr>
        <w:t>triage</w:t>
      </w:r>
      <w:r>
        <w:rPr>
          <w:spacing w:val="-10"/>
          <w:w w:val="105"/>
          <w:sz w:val="21"/>
        </w:rPr>
        <w:t> </w:t>
      </w:r>
      <w:r>
        <w:rPr>
          <w:w w:val="105"/>
          <w:sz w:val="21"/>
        </w:rPr>
        <w:t>the</w:t>
      </w:r>
      <w:r>
        <w:rPr>
          <w:spacing w:val="-10"/>
          <w:w w:val="105"/>
          <w:sz w:val="21"/>
        </w:rPr>
        <w:t> </w:t>
      </w:r>
      <w:r>
        <w:rPr>
          <w:w w:val="105"/>
          <w:sz w:val="21"/>
        </w:rPr>
        <w:t>matter</w:t>
      </w:r>
      <w:r>
        <w:rPr>
          <w:spacing w:val="-10"/>
          <w:w w:val="105"/>
          <w:sz w:val="21"/>
        </w:rPr>
        <w:t> </w:t>
      </w:r>
      <w:r>
        <w:rPr>
          <w:w w:val="105"/>
          <w:sz w:val="21"/>
        </w:rPr>
        <w:t>by</w:t>
      </w:r>
      <w:r>
        <w:rPr>
          <w:spacing w:val="-10"/>
          <w:w w:val="105"/>
          <w:sz w:val="21"/>
        </w:rPr>
        <w:t> </w:t>
      </w:r>
      <w:r>
        <w:rPr>
          <w:w w:val="105"/>
          <w:sz w:val="21"/>
        </w:rPr>
        <w:t>identifying</w:t>
      </w:r>
      <w:r>
        <w:rPr>
          <w:spacing w:val="-10"/>
          <w:w w:val="105"/>
          <w:sz w:val="21"/>
        </w:rPr>
        <w:t> </w:t>
      </w:r>
      <w:r>
        <w:rPr>
          <w:w w:val="105"/>
          <w:sz w:val="21"/>
        </w:rPr>
        <w:t>the</w:t>
      </w:r>
      <w:r>
        <w:rPr>
          <w:spacing w:val="-9"/>
          <w:w w:val="105"/>
          <w:sz w:val="21"/>
        </w:rPr>
        <w:t> </w:t>
      </w:r>
      <w:r>
        <w:rPr>
          <w:spacing w:val="-3"/>
          <w:w w:val="105"/>
          <w:sz w:val="21"/>
        </w:rPr>
        <w:t>nature</w:t>
      </w:r>
      <w:r>
        <w:rPr>
          <w:spacing w:val="-10"/>
          <w:w w:val="105"/>
          <w:sz w:val="21"/>
        </w:rPr>
        <w:t> </w:t>
      </w:r>
      <w:r>
        <w:rPr>
          <w:w w:val="105"/>
          <w:sz w:val="21"/>
        </w:rPr>
        <w:t>of</w:t>
      </w:r>
      <w:r>
        <w:rPr>
          <w:spacing w:val="-10"/>
          <w:w w:val="105"/>
          <w:sz w:val="21"/>
        </w:rPr>
        <w:t> </w:t>
      </w:r>
      <w:r>
        <w:rPr>
          <w:w w:val="105"/>
          <w:sz w:val="21"/>
        </w:rPr>
        <w:t>the</w:t>
      </w:r>
      <w:r>
        <w:rPr>
          <w:spacing w:val="-10"/>
          <w:w w:val="105"/>
          <w:sz w:val="21"/>
        </w:rPr>
        <w:t> </w:t>
      </w:r>
      <w:r>
        <w:rPr>
          <w:spacing w:val="-3"/>
          <w:w w:val="105"/>
          <w:sz w:val="21"/>
        </w:rPr>
        <w:t>dispute</w:t>
      </w:r>
      <w:r>
        <w:rPr>
          <w:spacing w:val="-10"/>
          <w:w w:val="105"/>
          <w:sz w:val="21"/>
        </w:rPr>
        <w:t> </w:t>
      </w:r>
      <w:r>
        <w:rPr>
          <w:w w:val="105"/>
          <w:sz w:val="21"/>
        </w:rPr>
        <w:t>and</w:t>
      </w:r>
      <w:r>
        <w:rPr>
          <w:spacing w:val="-9"/>
          <w:w w:val="105"/>
          <w:sz w:val="21"/>
        </w:rPr>
        <w:t> </w:t>
      </w:r>
      <w:r>
        <w:rPr>
          <w:w w:val="105"/>
          <w:sz w:val="21"/>
        </w:rPr>
        <w:t>the</w:t>
      </w:r>
      <w:r>
        <w:rPr>
          <w:spacing w:val="-10"/>
          <w:w w:val="105"/>
          <w:sz w:val="21"/>
        </w:rPr>
        <w:t> </w:t>
      </w:r>
      <w:r>
        <w:rPr>
          <w:w w:val="105"/>
          <w:sz w:val="21"/>
        </w:rPr>
        <w:t>issues</w:t>
      </w:r>
      <w:r>
        <w:rPr>
          <w:spacing w:val="-10"/>
          <w:w w:val="105"/>
          <w:sz w:val="21"/>
        </w:rPr>
        <w:t> </w:t>
      </w:r>
      <w:r>
        <w:rPr>
          <w:w w:val="105"/>
          <w:sz w:val="21"/>
        </w:rPr>
        <w:t>in</w:t>
      </w:r>
      <w:r>
        <w:rPr>
          <w:spacing w:val="-10"/>
          <w:w w:val="105"/>
          <w:sz w:val="21"/>
        </w:rPr>
        <w:t> </w:t>
      </w:r>
      <w:r>
        <w:rPr>
          <w:spacing w:val="-3"/>
          <w:w w:val="105"/>
          <w:sz w:val="21"/>
        </w:rPr>
        <w:t>dispute.</w:t>
      </w:r>
      <w:r>
        <w:rPr>
          <w:spacing w:val="-10"/>
          <w:w w:val="105"/>
          <w:sz w:val="21"/>
        </w:rPr>
        <w:t> </w:t>
      </w:r>
      <w:r>
        <w:rPr>
          <w:w w:val="105"/>
          <w:sz w:val="21"/>
        </w:rPr>
        <w:t>Parties </w:t>
      </w:r>
      <w:r>
        <w:rPr>
          <w:spacing w:val="-3"/>
          <w:w w:val="105"/>
          <w:sz w:val="21"/>
        </w:rPr>
        <w:t>may </w:t>
      </w:r>
      <w:r>
        <w:rPr>
          <w:w w:val="105"/>
          <w:sz w:val="21"/>
        </w:rPr>
        <w:t>be </w:t>
      </w:r>
      <w:r>
        <w:rPr>
          <w:spacing w:val="-3"/>
          <w:w w:val="105"/>
          <w:sz w:val="21"/>
        </w:rPr>
        <w:t>referred to </w:t>
      </w:r>
      <w:r>
        <w:rPr>
          <w:w w:val="105"/>
          <w:sz w:val="21"/>
        </w:rPr>
        <w:t>ADR (mediation or compulsory </w:t>
      </w:r>
      <w:r>
        <w:rPr>
          <w:spacing w:val="-3"/>
          <w:w w:val="105"/>
          <w:sz w:val="21"/>
        </w:rPr>
        <w:t>conference) </w:t>
      </w:r>
      <w:r>
        <w:rPr>
          <w:w w:val="105"/>
          <w:sz w:val="21"/>
        </w:rPr>
        <w:t>or advised </w:t>
      </w:r>
      <w:r>
        <w:rPr>
          <w:spacing w:val="-3"/>
          <w:w w:val="105"/>
          <w:sz w:val="21"/>
        </w:rPr>
        <w:t>to negotiate </w:t>
      </w:r>
      <w:r>
        <w:rPr>
          <w:w w:val="105"/>
          <w:sz w:val="21"/>
        </w:rPr>
        <w:t>with one </w:t>
      </w:r>
      <w:r>
        <w:rPr>
          <w:spacing w:val="-4"/>
          <w:w w:val="105"/>
          <w:sz w:val="21"/>
        </w:rPr>
        <w:t>another. </w:t>
      </w:r>
      <w:r>
        <w:rPr>
          <w:w w:val="105"/>
          <w:sz w:val="21"/>
        </w:rPr>
        <w:t>A tree assessor </w:t>
      </w:r>
      <w:r>
        <w:rPr>
          <w:spacing w:val="-3"/>
          <w:w w:val="105"/>
          <w:sz w:val="21"/>
        </w:rPr>
        <w:t>may </w:t>
      </w:r>
      <w:r>
        <w:rPr>
          <w:w w:val="105"/>
          <w:sz w:val="21"/>
        </w:rPr>
        <w:t>also be</w:t>
      </w:r>
      <w:r>
        <w:rPr>
          <w:spacing w:val="43"/>
          <w:w w:val="105"/>
          <w:sz w:val="21"/>
        </w:rPr>
        <w:t> </w:t>
      </w:r>
      <w:r>
        <w:rPr>
          <w:spacing w:val="-4"/>
          <w:w w:val="105"/>
          <w:sz w:val="21"/>
        </w:rPr>
        <w:t>appointed.</w:t>
      </w:r>
      <w:r>
        <w:rPr>
          <w:spacing w:val="-4"/>
          <w:w w:val="105"/>
          <w:position w:val="7"/>
          <w:sz w:val="12"/>
        </w:rPr>
        <w:t>138</w:t>
      </w:r>
    </w:p>
    <w:p>
      <w:pPr>
        <w:pStyle w:val="ListParagraph"/>
        <w:numPr>
          <w:ilvl w:val="1"/>
          <w:numId w:val="112"/>
        </w:numPr>
        <w:tabs>
          <w:tab w:pos="2381" w:val="left" w:leader="none"/>
          <w:tab w:pos="2382" w:val="left" w:leader="none"/>
        </w:tabs>
        <w:spacing w:line="242" w:lineRule="auto" w:before="124" w:after="0"/>
        <w:ind w:left="2381" w:right="1908" w:hanging="794"/>
        <w:jc w:val="left"/>
        <w:rPr>
          <w:sz w:val="21"/>
        </w:rPr>
      </w:pPr>
      <w:r>
        <w:rPr>
          <w:sz w:val="21"/>
        </w:rPr>
        <w:t>Section </w:t>
      </w:r>
      <w:r>
        <w:rPr>
          <w:spacing w:val="-3"/>
          <w:sz w:val="21"/>
        </w:rPr>
        <w:t>29 </w:t>
      </w:r>
      <w:r>
        <w:rPr>
          <w:sz w:val="21"/>
        </w:rPr>
        <w:t>of the </w:t>
      </w:r>
      <w:r>
        <w:rPr>
          <w:i/>
          <w:sz w:val="21"/>
        </w:rPr>
        <w:t>Queensland Civil and </w:t>
      </w:r>
      <w:r>
        <w:rPr>
          <w:i/>
          <w:spacing w:val="-3"/>
          <w:sz w:val="21"/>
        </w:rPr>
        <w:t>Administrative </w:t>
      </w:r>
      <w:r>
        <w:rPr>
          <w:i/>
          <w:spacing w:val="-4"/>
          <w:sz w:val="21"/>
        </w:rPr>
        <w:t>Tribunal </w:t>
      </w:r>
      <w:r>
        <w:rPr>
          <w:i/>
          <w:sz w:val="21"/>
        </w:rPr>
        <w:t>Act 2009  </w:t>
      </w:r>
      <w:r>
        <w:rPr>
          <w:sz w:val="21"/>
        </w:rPr>
        <w:t>(Qld) </w:t>
      </w:r>
      <w:r>
        <w:rPr>
          <w:spacing w:val="-3"/>
          <w:sz w:val="21"/>
        </w:rPr>
        <w:t>requires  </w:t>
      </w:r>
      <w:r>
        <w:rPr>
          <w:sz w:val="21"/>
        </w:rPr>
        <w:t>the </w:t>
      </w:r>
      <w:r>
        <w:rPr>
          <w:spacing w:val="-5"/>
          <w:sz w:val="21"/>
        </w:rPr>
        <w:t>Tribunal  </w:t>
      </w:r>
      <w:r>
        <w:rPr>
          <w:spacing w:val="-3"/>
          <w:sz w:val="21"/>
        </w:rPr>
        <w:t>to  ensure  that  </w:t>
      </w:r>
      <w:r>
        <w:rPr>
          <w:sz w:val="21"/>
        </w:rPr>
        <w:t>parties understand the practices and </w:t>
      </w:r>
      <w:r>
        <w:rPr>
          <w:spacing w:val="-3"/>
          <w:sz w:val="21"/>
        </w:rPr>
        <w:t>procedures</w:t>
      </w:r>
      <w:r>
        <w:rPr>
          <w:spacing w:val="41"/>
          <w:sz w:val="21"/>
        </w:rPr>
        <w:t> </w:t>
      </w:r>
      <w:r>
        <w:rPr>
          <w:sz w:val="21"/>
        </w:rPr>
        <w:t>of </w:t>
      </w:r>
      <w:r>
        <w:rPr>
          <w:spacing w:val="-4"/>
          <w:sz w:val="21"/>
        </w:rPr>
        <w:t>QCAT   </w:t>
      </w:r>
      <w:r>
        <w:rPr>
          <w:sz w:val="21"/>
        </w:rPr>
        <w:t>as </w:t>
      </w:r>
      <w:r>
        <w:rPr>
          <w:spacing w:val="-3"/>
          <w:sz w:val="21"/>
        </w:rPr>
        <w:t>well </w:t>
      </w:r>
      <w:r>
        <w:rPr>
          <w:sz w:val="21"/>
        </w:rPr>
        <w:t>as the </w:t>
      </w:r>
      <w:r>
        <w:rPr>
          <w:spacing w:val="-3"/>
          <w:sz w:val="21"/>
        </w:rPr>
        <w:t>nature </w:t>
      </w:r>
      <w:r>
        <w:rPr>
          <w:sz w:val="21"/>
        </w:rPr>
        <w:t>of the </w:t>
      </w:r>
      <w:r>
        <w:rPr>
          <w:spacing w:val="-3"/>
          <w:sz w:val="21"/>
        </w:rPr>
        <w:t>claims </w:t>
      </w:r>
      <w:r>
        <w:rPr>
          <w:sz w:val="21"/>
        </w:rPr>
        <w:t>being </w:t>
      </w:r>
      <w:r>
        <w:rPr>
          <w:spacing w:val="-3"/>
          <w:sz w:val="21"/>
        </w:rPr>
        <w:t>brought </w:t>
      </w:r>
      <w:r>
        <w:rPr>
          <w:sz w:val="21"/>
        </w:rPr>
        <w:t>and the power of the</w:t>
      </w:r>
      <w:r>
        <w:rPr>
          <w:spacing w:val="1"/>
          <w:sz w:val="21"/>
        </w:rPr>
        <w:t> </w:t>
      </w:r>
      <w:r>
        <w:rPr>
          <w:spacing w:val="-5"/>
          <w:sz w:val="21"/>
        </w:rPr>
        <w:t>Tribunal </w:t>
      </w:r>
      <w:r>
        <w:rPr>
          <w:sz w:val="21"/>
        </w:rPr>
        <w:t>in</w:t>
      </w:r>
    </w:p>
    <w:p>
      <w:pPr>
        <w:spacing w:line="242" w:lineRule="auto" w:before="3"/>
        <w:ind w:left="2381" w:right="1749" w:firstLine="0"/>
        <w:jc w:val="both"/>
        <w:rPr>
          <w:sz w:val="21"/>
        </w:rPr>
      </w:pPr>
      <w:r>
        <w:rPr>
          <w:spacing w:val="-3"/>
          <w:w w:val="105"/>
          <w:sz w:val="21"/>
        </w:rPr>
        <w:t>relation to </w:t>
      </w:r>
      <w:r>
        <w:rPr>
          <w:w w:val="105"/>
          <w:sz w:val="21"/>
        </w:rPr>
        <w:t>the </w:t>
      </w:r>
      <w:r>
        <w:rPr>
          <w:spacing w:val="-3"/>
          <w:w w:val="105"/>
          <w:sz w:val="21"/>
        </w:rPr>
        <w:t>claims. </w:t>
      </w:r>
      <w:r>
        <w:rPr>
          <w:spacing w:val="-4"/>
          <w:w w:val="105"/>
          <w:sz w:val="21"/>
        </w:rPr>
        <w:t>Accordingly, QCAT </w:t>
      </w:r>
      <w:r>
        <w:rPr>
          <w:spacing w:val="-3"/>
          <w:w w:val="105"/>
          <w:sz w:val="21"/>
        </w:rPr>
        <w:t>will ensure that </w:t>
      </w:r>
      <w:r>
        <w:rPr>
          <w:w w:val="105"/>
          <w:sz w:val="21"/>
        </w:rPr>
        <w:t>parties </w:t>
      </w:r>
      <w:r>
        <w:rPr>
          <w:spacing w:val="-3"/>
          <w:w w:val="105"/>
          <w:sz w:val="21"/>
        </w:rPr>
        <w:t>are </w:t>
      </w:r>
      <w:r>
        <w:rPr>
          <w:w w:val="105"/>
          <w:sz w:val="21"/>
        </w:rPr>
        <w:t>educated about the </w:t>
      </w:r>
      <w:r>
        <w:rPr>
          <w:i/>
          <w:w w:val="105"/>
          <w:sz w:val="21"/>
        </w:rPr>
        <w:t>Neighbourhood </w:t>
      </w:r>
      <w:r>
        <w:rPr>
          <w:i/>
          <w:spacing w:val="-3"/>
          <w:w w:val="105"/>
          <w:sz w:val="21"/>
        </w:rPr>
        <w:t>Disputes </w:t>
      </w:r>
      <w:r>
        <w:rPr>
          <w:i/>
          <w:w w:val="105"/>
          <w:sz w:val="21"/>
        </w:rPr>
        <w:t>(Dividing Fences and </w:t>
      </w:r>
      <w:r>
        <w:rPr>
          <w:i/>
          <w:spacing w:val="-3"/>
          <w:w w:val="105"/>
          <w:sz w:val="21"/>
        </w:rPr>
        <w:t>Trees) </w:t>
      </w:r>
      <w:r>
        <w:rPr>
          <w:i/>
          <w:w w:val="105"/>
          <w:sz w:val="21"/>
        </w:rPr>
        <w:t>Act </w:t>
      </w:r>
      <w:r>
        <w:rPr>
          <w:i/>
          <w:spacing w:val="-11"/>
          <w:w w:val="105"/>
          <w:sz w:val="21"/>
        </w:rPr>
        <w:t>2011 </w:t>
      </w:r>
      <w:r>
        <w:rPr>
          <w:w w:val="105"/>
          <w:sz w:val="21"/>
        </w:rPr>
        <w:t>and </w:t>
      </w:r>
      <w:r>
        <w:rPr>
          <w:spacing w:val="-4"/>
          <w:w w:val="105"/>
          <w:sz w:val="21"/>
        </w:rPr>
        <w:t>QCAT </w:t>
      </w:r>
      <w:r>
        <w:rPr>
          <w:w w:val="105"/>
          <w:sz w:val="21"/>
        </w:rPr>
        <w:t>processes and powers.</w:t>
      </w:r>
    </w:p>
    <w:p>
      <w:pPr>
        <w:pStyle w:val="ListParagraph"/>
        <w:numPr>
          <w:ilvl w:val="1"/>
          <w:numId w:val="112"/>
        </w:numPr>
        <w:tabs>
          <w:tab w:pos="2381" w:val="left" w:leader="none"/>
          <w:tab w:pos="2382" w:val="left" w:leader="none"/>
        </w:tabs>
        <w:spacing w:line="242" w:lineRule="auto" w:before="124" w:after="0"/>
        <w:ind w:left="2381" w:right="1584" w:hanging="794"/>
        <w:jc w:val="left"/>
        <w:rPr>
          <w:sz w:val="12"/>
        </w:rPr>
      </w:pPr>
      <w:r>
        <w:rPr>
          <w:w w:val="105"/>
          <w:sz w:val="21"/>
        </w:rPr>
        <w:t>Parties</w:t>
      </w:r>
      <w:r>
        <w:rPr>
          <w:spacing w:val="-11"/>
          <w:w w:val="105"/>
          <w:sz w:val="21"/>
        </w:rPr>
        <w:t> </w:t>
      </w:r>
      <w:r>
        <w:rPr>
          <w:spacing w:val="-3"/>
          <w:w w:val="105"/>
          <w:sz w:val="21"/>
        </w:rPr>
        <w:t>are</w:t>
      </w:r>
      <w:r>
        <w:rPr>
          <w:spacing w:val="-10"/>
          <w:w w:val="105"/>
          <w:sz w:val="21"/>
        </w:rPr>
        <w:t> </w:t>
      </w:r>
      <w:r>
        <w:rPr>
          <w:w w:val="105"/>
          <w:sz w:val="21"/>
        </w:rPr>
        <w:t>also</w:t>
      </w:r>
      <w:r>
        <w:rPr>
          <w:spacing w:val="-10"/>
          <w:w w:val="105"/>
          <w:sz w:val="21"/>
        </w:rPr>
        <w:t> </w:t>
      </w:r>
      <w:r>
        <w:rPr>
          <w:spacing w:val="-3"/>
          <w:w w:val="105"/>
          <w:sz w:val="21"/>
        </w:rPr>
        <w:t>informed</w:t>
      </w:r>
      <w:r>
        <w:rPr>
          <w:spacing w:val="-11"/>
          <w:w w:val="105"/>
          <w:sz w:val="21"/>
        </w:rPr>
        <w:t> </w:t>
      </w:r>
      <w:r>
        <w:rPr>
          <w:w w:val="105"/>
          <w:sz w:val="21"/>
        </w:rPr>
        <w:t>about</w:t>
      </w:r>
      <w:r>
        <w:rPr>
          <w:spacing w:val="-10"/>
          <w:w w:val="105"/>
          <w:sz w:val="21"/>
        </w:rPr>
        <w:t> </w:t>
      </w:r>
      <w:r>
        <w:rPr>
          <w:w w:val="105"/>
          <w:sz w:val="21"/>
        </w:rPr>
        <w:t>the</w:t>
      </w:r>
      <w:r>
        <w:rPr>
          <w:spacing w:val="-10"/>
          <w:w w:val="105"/>
          <w:sz w:val="21"/>
        </w:rPr>
        <w:t> </w:t>
      </w:r>
      <w:r>
        <w:rPr>
          <w:spacing w:val="-3"/>
          <w:w w:val="105"/>
          <w:sz w:val="21"/>
        </w:rPr>
        <w:t>different</w:t>
      </w:r>
      <w:r>
        <w:rPr>
          <w:spacing w:val="-10"/>
          <w:w w:val="105"/>
          <w:sz w:val="21"/>
        </w:rPr>
        <w:t> </w:t>
      </w:r>
      <w:r>
        <w:rPr>
          <w:spacing w:val="-3"/>
          <w:w w:val="105"/>
          <w:sz w:val="21"/>
        </w:rPr>
        <w:t>implications</w:t>
      </w:r>
      <w:r>
        <w:rPr>
          <w:spacing w:val="-11"/>
          <w:w w:val="105"/>
          <w:sz w:val="21"/>
        </w:rPr>
        <w:t> </w:t>
      </w:r>
      <w:r>
        <w:rPr>
          <w:w w:val="105"/>
          <w:sz w:val="21"/>
        </w:rPr>
        <w:t>of</w:t>
      </w:r>
      <w:r>
        <w:rPr>
          <w:spacing w:val="-10"/>
          <w:w w:val="105"/>
          <w:sz w:val="21"/>
        </w:rPr>
        <w:t> </w:t>
      </w:r>
      <w:r>
        <w:rPr>
          <w:w w:val="105"/>
          <w:sz w:val="21"/>
        </w:rPr>
        <w:t>resolving</w:t>
      </w:r>
      <w:r>
        <w:rPr>
          <w:spacing w:val="-10"/>
          <w:w w:val="105"/>
          <w:sz w:val="21"/>
        </w:rPr>
        <w:t> </w:t>
      </w:r>
      <w:r>
        <w:rPr>
          <w:w w:val="105"/>
          <w:sz w:val="21"/>
        </w:rPr>
        <w:t>their</w:t>
      </w:r>
      <w:r>
        <w:rPr>
          <w:spacing w:val="-10"/>
          <w:w w:val="105"/>
          <w:sz w:val="21"/>
        </w:rPr>
        <w:t> </w:t>
      </w:r>
      <w:r>
        <w:rPr>
          <w:w w:val="105"/>
          <w:sz w:val="21"/>
        </w:rPr>
        <w:t>matter</w:t>
      </w:r>
      <w:r>
        <w:rPr>
          <w:spacing w:val="-11"/>
          <w:w w:val="105"/>
          <w:sz w:val="21"/>
        </w:rPr>
        <w:t> </w:t>
      </w:r>
      <w:r>
        <w:rPr>
          <w:spacing w:val="-3"/>
          <w:w w:val="105"/>
          <w:sz w:val="21"/>
        </w:rPr>
        <w:t>through </w:t>
      </w:r>
      <w:r>
        <w:rPr>
          <w:w w:val="105"/>
          <w:sz w:val="21"/>
        </w:rPr>
        <w:t>ADR with an </w:t>
      </w:r>
      <w:r>
        <w:rPr>
          <w:spacing w:val="-2"/>
          <w:w w:val="105"/>
          <w:sz w:val="21"/>
        </w:rPr>
        <w:t>agreement </w:t>
      </w:r>
      <w:r>
        <w:rPr>
          <w:w w:val="105"/>
          <w:sz w:val="21"/>
        </w:rPr>
        <w:t>versus resolution via court orders. </w:t>
      </w:r>
      <w:r>
        <w:rPr>
          <w:spacing w:val="-4"/>
          <w:w w:val="105"/>
          <w:sz w:val="21"/>
        </w:rPr>
        <w:t>At </w:t>
      </w:r>
      <w:r>
        <w:rPr>
          <w:w w:val="105"/>
          <w:sz w:val="21"/>
        </w:rPr>
        <w:t>directions </w:t>
      </w:r>
      <w:r>
        <w:rPr>
          <w:spacing w:val="-3"/>
          <w:w w:val="105"/>
          <w:sz w:val="21"/>
        </w:rPr>
        <w:t>hearings </w:t>
      </w:r>
      <w:r>
        <w:rPr>
          <w:w w:val="105"/>
          <w:sz w:val="21"/>
        </w:rPr>
        <w:t>parties </w:t>
      </w:r>
      <w:r>
        <w:rPr>
          <w:spacing w:val="-3"/>
          <w:w w:val="105"/>
          <w:sz w:val="21"/>
        </w:rPr>
        <w:t>are encouraged to </w:t>
      </w:r>
      <w:r>
        <w:rPr>
          <w:w w:val="105"/>
          <w:sz w:val="21"/>
        </w:rPr>
        <w:t>talk </w:t>
      </w:r>
      <w:r>
        <w:rPr>
          <w:spacing w:val="-3"/>
          <w:w w:val="105"/>
          <w:sz w:val="21"/>
        </w:rPr>
        <w:t>to </w:t>
      </w:r>
      <w:r>
        <w:rPr>
          <w:w w:val="105"/>
          <w:sz w:val="21"/>
        </w:rPr>
        <w:t>each </w:t>
      </w:r>
      <w:r>
        <w:rPr>
          <w:spacing w:val="-5"/>
          <w:w w:val="105"/>
          <w:sz w:val="21"/>
        </w:rPr>
        <w:t>other. </w:t>
      </w:r>
      <w:r>
        <w:rPr>
          <w:w w:val="105"/>
          <w:sz w:val="21"/>
        </w:rPr>
        <w:t>The member can pause </w:t>
      </w:r>
      <w:r>
        <w:rPr>
          <w:spacing w:val="-3"/>
          <w:w w:val="105"/>
          <w:sz w:val="21"/>
        </w:rPr>
        <w:t>proceedings to allow </w:t>
      </w:r>
      <w:r>
        <w:rPr>
          <w:w w:val="105"/>
          <w:sz w:val="21"/>
        </w:rPr>
        <w:t>parties </w:t>
      </w:r>
      <w:r>
        <w:rPr>
          <w:spacing w:val="-3"/>
          <w:w w:val="105"/>
          <w:sz w:val="21"/>
        </w:rPr>
        <w:t>to leave </w:t>
      </w:r>
      <w:r>
        <w:rPr>
          <w:w w:val="105"/>
          <w:sz w:val="21"/>
        </w:rPr>
        <w:t>the </w:t>
      </w:r>
      <w:r>
        <w:rPr>
          <w:spacing w:val="-3"/>
          <w:w w:val="105"/>
          <w:sz w:val="21"/>
        </w:rPr>
        <w:t>hearing </w:t>
      </w:r>
      <w:r>
        <w:rPr>
          <w:w w:val="105"/>
          <w:sz w:val="21"/>
        </w:rPr>
        <w:t>room </w:t>
      </w:r>
      <w:r>
        <w:rPr>
          <w:spacing w:val="-3"/>
          <w:w w:val="105"/>
          <w:sz w:val="21"/>
        </w:rPr>
        <w:t>to</w:t>
      </w:r>
      <w:r>
        <w:rPr>
          <w:spacing w:val="40"/>
          <w:w w:val="105"/>
          <w:sz w:val="21"/>
        </w:rPr>
        <w:t> </w:t>
      </w:r>
      <w:r>
        <w:rPr>
          <w:spacing w:val="-5"/>
          <w:w w:val="105"/>
          <w:sz w:val="21"/>
        </w:rPr>
        <w:t>negotiate.</w:t>
      </w:r>
      <w:r>
        <w:rPr>
          <w:spacing w:val="-5"/>
          <w:w w:val="105"/>
          <w:position w:val="7"/>
          <w:sz w:val="12"/>
        </w:rPr>
        <w:t>139</w:t>
      </w:r>
    </w:p>
    <w:p>
      <w:pPr>
        <w:pStyle w:val="Heading7"/>
        <w:spacing w:before="155"/>
      </w:pPr>
      <w:r>
        <w:rPr>
          <w:w w:val="115"/>
        </w:rPr>
        <w:t>Alternative dispute resolution</w:t>
      </w:r>
    </w:p>
    <w:p>
      <w:pPr>
        <w:pStyle w:val="ListParagraph"/>
        <w:numPr>
          <w:ilvl w:val="1"/>
          <w:numId w:val="112"/>
        </w:numPr>
        <w:tabs>
          <w:tab w:pos="2381" w:val="left" w:leader="none"/>
          <w:tab w:pos="2382" w:val="left" w:leader="none"/>
        </w:tabs>
        <w:spacing w:line="242" w:lineRule="auto" w:before="142" w:after="0"/>
        <w:ind w:left="2381" w:right="1626" w:hanging="794"/>
        <w:jc w:val="left"/>
        <w:rPr>
          <w:sz w:val="12"/>
        </w:rPr>
      </w:pPr>
      <w:r>
        <w:rPr>
          <w:w w:val="105"/>
          <w:sz w:val="21"/>
        </w:rPr>
        <w:t>There</w:t>
      </w:r>
      <w:r>
        <w:rPr>
          <w:spacing w:val="-7"/>
          <w:w w:val="105"/>
          <w:sz w:val="21"/>
        </w:rPr>
        <w:t> </w:t>
      </w:r>
      <w:r>
        <w:rPr>
          <w:w w:val="105"/>
          <w:sz w:val="21"/>
        </w:rPr>
        <w:t>is</w:t>
      </w:r>
      <w:r>
        <w:rPr>
          <w:spacing w:val="-6"/>
          <w:w w:val="105"/>
          <w:sz w:val="21"/>
        </w:rPr>
        <w:t> </w:t>
      </w:r>
      <w:r>
        <w:rPr>
          <w:w w:val="105"/>
          <w:sz w:val="21"/>
        </w:rPr>
        <w:t>a</w:t>
      </w:r>
      <w:r>
        <w:rPr>
          <w:spacing w:val="-6"/>
          <w:w w:val="105"/>
          <w:sz w:val="21"/>
        </w:rPr>
        <w:t> </w:t>
      </w:r>
      <w:r>
        <w:rPr>
          <w:spacing w:val="-3"/>
          <w:w w:val="105"/>
          <w:sz w:val="21"/>
        </w:rPr>
        <w:t>significant</w:t>
      </w:r>
      <w:r>
        <w:rPr>
          <w:spacing w:val="-7"/>
          <w:w w:val="105"/>
          <w:sz w:val="21"/>
        </w:rPr>
        <w:t> </w:t>
      </w:r>
      <w:r>
        <w:rPr>
          <w:spacing w:val="-3"/>
          <w:w w:val="105"/>
          <w:sz w:val="21"/>
        </w:rPr>
        <w:t>focus</w:t>
      </w:r>
      <w:r>
        <w:rPr>
          <w:spacing w:val="-6"/>
          <w:w w:val="105"/>
          <w:sz w:val="21"/>
        </w:rPr>
        <w:t> </w:t>
      </w:r>
      <w:r>
        <w:rPr>
          <w:w w:val="105"/>
          <w:sz w:val="21"/>
        </w:rPr>
        <w:t>on</w:t>
      </w:r>
      <w:r>
        <w:rPr>
          <w:spacing w:val="-6"/>
          <w:w w:val="105"/>
          <w:sz w:val="21"/>
        </w:rPr>
        <w:t> </w:t>
      </w:r>
      <w:r>
        <w:rPr>
          <w:spacing w:val="-3"/>
          <w:w w:val="105"/>
          <w:sz w:val="21"/>
        </w:rPr>
        <w:t>alternative</w:t>
      </w:r>
      <w:r>
        <w:rPr>
          <w:spacing w:val="-7"/>
          <w:w w:val="105"/>
          <w:sz w:val="21"/>
        </w:rPr>
        <w:t> </w:t>
      </w:r>
      <w:r>
        <w:rPr>
          <w:spacing w:val="-3"/>
          <w:w w:val="105"/>
          <w:sz w:val="21"/>
        </w:rPr>
        <w:t>dispute</w:t>
      </w:r>
      <w:r>
        <w:rPr>
          <w:spacing w:val="-6"/>
          <w:w w:val="105"/>
          <w:sz w:val="21"/>
        </w:rPr>
        <w:t> </w:t>
      </w:r>
      <w:r>
        <w:rPr>
          <w:w w:val="105"/>
          <w:sz w:val="21"/>
        </w:rPr>
        <w:t>resolution</w:t>
      </w:r>
      <w:r>
        <w:rPr>
          <w:spacing w:val="-6"/>
          <w:w w:val="105"/>
          <w:sz w:val="21"/>
        </w:rPr>
        <w:t> </w:t>
      </w:r>
      <w:r>
        <w:rPr>
          <w:w w:val="105"/>
          <w:sz w:val="21"/>
        </w:rPr>
        <w:t>(ADR)</w:t>
      </w:r>
      <w:r>
        <w:rPr>
          <w:spacing w:val="-7"/>
          <w:w w:val="105"/>
          <w:sz w:val="21"/>
        </w:rPr>
        <w:t> </w:t>
      </w:r>
      <w:r>
        <w:rPr>
          <w:spacing w:val="-3"/>
          <w:w w:val="105"/>
          <w:sz w:val="21"/>
        </w:rPr>
        <w:t>within</w:t>
      </w:r>
      <w:r>
        <w:rPr>
          <w:spacing w:val="-6"/>
          <w:w w:val="105"/>
          <w:sz w:val="21"/>
        </w:rPr>
        <w:t> </w:t>
      </w:r>
      <w:r>
        <w:rPr>
          <w:w w:val="105"/>
          <w:sz w:val="21"/>
        </w:rPr>
        <w:t>the</w:t>
      </w:r>
      <w:r>
        <w:rPr>
          <w:spacing w:val="-6"/>
          <w:w w:val="105"/>
          <w:sz w:val="21"/>
        </w:rPr>
        <w:t> </w:t>
      </w:r>
      <w:r>
        <w:rPr>
          <w:w w:val="105"/>
          <w:sz w:val="21"/>
        </w:rPr>
        <w:t>tree</w:t>
      </w:r>
      <w:r>
        <w:rPr>
          <w:spacing w:val="-7"/>
          <w:w w:val="105"/>
          <w:sz w:val="21"/>
        </w:rPr>
        <w:t> </w:t>
      </w:r>
      <w:r>
        <w:rPr>
          <w:spacing w:val="-3"/>
          <w:w w:val="105"/>
          <w:sz w:val="21"/>
        </w:rPr>
        <w:t>disputes </w:t>
      </w:r>
      <w:r>
        <w:rPr>
          <w:w w:val="105"/>
          <w:sz w:val="21"/>
        </w:rPr>
        <w:t>jurisdiction of </w:t>
      </w:r>
      <w:r>
        <w:rPr>
          <w:spacing w:val="-7"/>
          <w:w w:val="105"/>
          <w:sz w:val="21"/>
        </w:rPr>
        <w:t>QCAT. </w:t>
      </w:r>
      <w:r>
        <w:rPr>
          <w:w w:val="105"/>
          <w:sz w:val="21"/>
        </w:rPr>
        <w:t>Only a </w:t>
      </w:r>
      <w:r>
        <w:rPr>
          <w:spacing w:val="-3"/>
          <w:w w:val="105"/>
          <w:sz w:val="21"/>
        </w:rPr>
        <w:t>small </w:t>
      </w:r>
      <w:r>
        <w:rPr>
          <w:w w:val="105"/>
          <w:sz w:val="21"/>
        </w:rPr>
        <w:t>number of tree </w:t>
      </w:r>
      <w:r>
        <w:rPr>
          <w:spacing w:val="-3"/>
          <w:w w:val="105"/>
          <w:sz w:val="21"/>
        </w:rPr>
        <w:t>disputes </w:t>
      </w:r>
      <w:r>
        <w:rPr>
          <w:w w:val="105"/>
          <w:sz w:val="21"/>
        </w:rPr>
        <w:t>proceed </w:t>
      </w:r>
      <w:r>
        <w:rPr>
          <w:spacing w:val="-3"/>
          <w:w w:val="105"/>
          <w:sz w:val="21"/>
        </w:rPr>
        <w:t>to </w:t>
      </w:r>
      <w:r>
        <w:rPr>
          <w:w w:val="105"/>
          <w:sz w:val="21"/>
        </w:rPr>
        <w:t>a final hearing— most </w:t>
      </w:r>
      <w:r>
        <w:rPr>
          <w:spacing w:val="-3"/>
          <w:w w:val="105"/>
          <w:sz w:val="21"/>
        </w:rPr>
        <w:t>are </w:t>
      </w:r>
      <w:r>
        <w:rPr>
          <w:w w:val="105"/>
          <w:sz w:val="21"/>
        </w:rPr>
        <w:t>resolved </w:t>
      </w:r>
      <w:r>
        <w:rPr>
          <w:spacing w:val="-3"/>
          <w:w w:val="105"/>
          <w:sz w:val="21"/>
        </w:rPr>
        <w:t>through ADR.</w:t>
      </w:r>
      <w:r>
        <w:rPr>
          <w:spacing w:val="-3"/>
          <w:w w:val="105"/>
          <w:position w:val="7"/>
          <w:sz w:val="12"/>
        </w:rPr>
        <w:t>140 </w:t>
      </w:r>
      <w:r>
        <w:rPr>
          <w:w w:val="105"/>
          <w:sz w:val="21"/>
        </w:rPr>
        <w:t>A </w:t>
      </w:r>
      <w:r>
        <w:rPr>
          <w:spacing w:val="-3"/>
          <w:w w:val="105"/>
          <w:sz w:val="21"/>
        </w:rPr>
        <w:t>referral to </w:t>
      </w:r>
      <w:r>
        <w:rPr>
          <w:w w:val="105"/>
          <w:sz w:val="21"/>
        </w:rPr>
        <w:t>a compulsory </w:t>
      </w:r>
      <w:r>
        <w:rPr>
          <w:spacing w:val="-3"/>
          <w:w w:val="105"/>
          <w:sz w:val="21"/>
        </w:rPr>
        <w:t>conference </w:t>
      </w:r>
      <w:r>
        <w:rPr>
          <w:w w:val="105"/>
          <w:sz w:val="21"/>
        </w:rPr>
        <w:t>is more </w:t>
      </w:r>
      <w:r>
        <w:rPr>
          <w:spacing w:val="-2"/>
          <w:w w:val="105"/>
          <w:sz w:val="21"/>
        </w:rPr>
        <w:t>common </w:t>
      </w:r>
      <w:r>
        <w:rPr>
          <w:spacing w:val="-3"/>
          <w:w w:val="105"/>
          <w:sz w:val="21"/>
        </w:rPr>
        <w:t>than</w:t>
      </w:r>
      <w:r>
        <w:rPr>
          <w:spacing w:val="13"/>
          <w:w w:val="105"/>
          <w:sz w:val="21"/>
        </w:rPr>
        <w:t> </w:t>
      </w:r>
      <w:r>
        <w:rPr>
          <w:spacing w:val="-4"/>
          <w:w w:val="105"/>
          <w:sz w:val="21"/>
        </w:rPr>
        <w:t>mediation.</w:t>
      </w:r>
      <w:r>
        <w:rPr>
          <w:spacing w:val="-4"/>
          <w:w w:val="105"/>
          <w:position w:val="7"/>
          <w:sz w:val="12"/>
        </w:rPr>
        <w:t>141</w:t>
      </w:r>
    </w:p>
    <w:p>
      <w:pPr>
        <w:pStyle w:val="ListParagraph"/>
        <w:numPr>
          <w:ilvl w:val="1"/>
          <w:numId w:val="112"/>
        </w:numPr>
        <w:tabs>
          <w:tab w:pos="2381" w:val="left" w:leader="none"/>
          <w:tab w:pos="2382" w:val="left" w:leader="none"/>
        </w:tabs>
        <w:spacing w:line="242" w:lineRule="auto" w:before="125" w:after="0"/>
        <w:ind w:left="2381" w:right="1808" w:hanging="794"/>
        <w:jc w:val="left"/>
        <w:rPr>
          <w:sz w:val="12"/>
        </w:rPr>
      </w:pPr>
      <w:r>
        <w:rPr>
          <w:spacing w:val="-3"/>
          <w:w w:val="105"/>
          <w:sz w:val="21"/>
        </w:rPr>
        <w:t>Compulsory conferences have </w:t>
      </w:r>
      <w:r>
        <w:rPr>
          <w:w w:val="105"/>
          <w:sz w:val="21"/>
        </w:rPr>
        <w:t>a </w:t>
      </w:r>
      <w:r>
        <w:rPr>
          <w:spacing w:val="-3"/>
          <w:w w:val="105"/>
          <w:sz w:val="21"/>
        </w:rPr>
        <w:t>high rate </w:t>
      </w:r>
      <w:r>
        <w:rPr>
          <w:w w:val="105"/>
          <w:sz w:val="21"/>
        </w:rPr>
        <w:t>of </w:t>
      </w:r>
      <w:r>
        <w:rPr>
          <w:spacing w:val="-3"/>
          <w:w w:val="105"/>
          <w:sz w:val="21"/>
        </w:rPr>
        <w:t>resolution, </w:t>
      </w:r>
      <w:r>
        <w:rPr>
          <w:w w:val="105"/>
          <w:sz w:val="21"/>
        </w:rPr>
        <w:t>with </w:t>
      </w:r>
      <w:r>
        <w:rPr>
          <w:spacing w:val="-5"/>
          <w:w w:val="105"/>
          <w:sz w:val="21"/>
        </w:rPr>
        <w:t>207 </w:t>
      </w:r>
      <w:r>
        <w:rPr>
          <w:w w:val="105"/>
          <w:sz w:val="21"/>
        </w:rPr>
        <w:t>out of </w:t>
      </w:r>
      <w:r>
        <w:rPr>
          <w:spacing w:val="-9"/>
          <w:w w:val="105"/>
          <w:sz w:val="21"/>
        </w:rPr>
        <w:t>216 </w:t>
      </w:r>
      <w:r>
        <w:rPr>
          <w:w w:val="105"/>
          <w:sz w:val="21"/>
        </w:rPr>
        <w:t>matters </w:t>
      </w:r>
      <w:r>
        <w:rPr>
          <w:spacing w:val="-3"/>
          <w:w w:val="105"/>
          <w:sz w:val="21"/>
        </w:rPr>
        <w:t>referred from </w:t>
      </w:r>
      <w:r>
        <w:rPr>
          <w:spacing w:val="-9"/>
          <w:w w:val="105"/>
          <w:sz w:val="21"/>
        </w:rPr>
        <w:t>2013 </w:t>
      </w:r>
      <w:r>
        <w:rPr>
          <w:spacing w:val="-3"/>
          <w:w w:val="105"/>
          <w:sz w:val="21"/>
        </w:rPr>
        <w:t>to </w:t>
      </w:r>
      <w:r>
        <w:rPr>
          <w:w w:val="105"/>
          <w:sz w:val="21"/>
        </w:rPr>
        <w:t>October </w:t>
      </w:r>
      <w:r>
        <w:rPr>
          <w:spacing w:val="-7"/>
          <w:w w:val="105"/>
          <w:sz w:val="21"/>
        </w:rPr>
        <w:t>2018 </w:t>
      </w:r>
      <w:r>
        <w:rPr>
          <w:spacing w:val="-3"/>
          <w:w w:val="105"/>
          <w:sz w:val="21"/>
        </w:rPr>
        <w:t>having </w:t>
      </w:r>
      <w:r>
        <w:rPr>
          <w:w w:val="105"/>
          <w:sz w:val="21"/>
        </w:rPr>
        <w:t>been resolved </w:t>
      </w:r>
      <w:r>
        <w:rPr>
          <w:spacing w:val="-3"/>
          <w:w w:val="105"/>
          <w:sz w:val="21"/>
        </w:rPr>
        <w:t>through </w:t>
      </w:r>
      <w:r>
        <w:rPr>
          <w:w w:val="105"/>
          <w:sz w:val="21"/>
        </w:rPr>
        <w:t>this </w:t>
      </w:r>
      <w:r>
        <w:rPr>
          <w:spacing w:val="-4"/>
          <w:w w:val="105"/>
          <w:sz w:val="21"/>
        </w:rPr>
        <w:t>method.</w:t>
      </w:r>
      <w:r>
        <w:rPr>
          <w:spacing w:val="-4"/>
          <w:w w:val="105"/>
          <w:position w:val="7"/>
          <w:sz w:val="12"/>
        </w:rPr>
        <w:t>142 </w:t>
      </w:r>
      <w:r>
        <w:rPr>
          <w:w w:val="105"/>
          <w:sz w:val="21"/>
        </w:rPr>
        <w:t>A compulsory </w:t>
      </w:r>
      <w:r>
        <w:rPr>
          <w:spacing w:val="-3"/>
          <w:w w:val="105"/>
          <w:sz w:val="21"/>
        </w:rPr>
        <w:t>conference </w:t>
      </w:r>
      <w:r>
        <w:rPr>
          <w:w w:val="105"/>
          <w:sz w:val="21"/>
        </w:rPr>
        <w:t>is </w:t>
      </w:r>
      <w:r>
        <w:rPr>
          <w:spacing w:val="-3"/>
          <w:w w:val="105"/>
          <w:sz w:val="21"/>
        </w:rPr>
        <w:t>chaired </w:t>
      </w:r>
      <w:r>
        <w:rPr>
          <w:w w:val="105"/>
          <w:sz w:val="21"/>
        </w:rPr>
        <w:t>by a </w:t>
      </w:r>
      <w:r>
        <w:rPr>
          <w:spacing w:val="-5"/>
          <w:w w:val="105"/>
          <w:sz w:val="21"/>
        </w:rPr>
        <w:t>Tribunal </w:t>
      </w:r>
      <w:r>
        <w:rPr>
          <w:spacing w:val="-4"/>
          <w:w w:val="105"/>
          <w:sz w:val="21"/>
        </w:rPr>
        <w:t>member, </w:t>
      </w:r>
      <w:r>
        <w:rPr>
          <w:w w:val="105"/>
          <w:sz w:val="21"/>
        </w:rPr>
        <w:t>who </w:t>
      </w:r>
      <w:r>
        <w:rPr>
          <w:spacing w:val="-3"/>
          <w:w w:val="105"/>
          <w:sz w:val="21"/>
        </w:rPr>
        <w:t>may </w:t>
      </w:r>
      <w:r>
        <w:rPr>
          <w:w w:val="105"/>
          <w:sz w:val="21"/>
        </w:rPr>
        <w:t>meet privately with each</w:t>
      </w:r>
      <w:r>
        <w:rPr>
          <w:spacing w:val="-10"/>
          <w:w w:val="105"/>
          <w:sz w:val="21"/>
        </w:rPr>
        <w:t> </w:t>
      </w:r>
      <w:r>
        <w:rPr>
          <w:w w:val="105"/>
          <w:sz w:val="21"/>
        </w:rPr>
        <w:t>party</w:t>
      </w:r>
      <w:r>
        <w:rPr>
          <w:spacing w:val="-9"/>
          <w:w w:val="105"/>
          <w:sz w:val="21"/>
        </w:rPr>
        <w:t> </w:t>
      </w:r>
      <w:r>
        <w:rPr>
          <w:spacing w:val="-3"/>
          <w:w w:val="105"/>
          <w:sz w:val="21"/>
        </w:rPr>
        <w:t>to</w:t>
      </w:r>
      <w:r>
        <w:rPr>
          <w:spacing w:val="-9"/>
          <w:w w:val="105"/>
          <w:sz w:val="21"/>
        </w:rPr>
        <w:t> </w:t>
      </w:r>
      <w:r>
        <w:rPr>
          <w:w w:val="105"/>
          <w:sz w:val="21"/>
        </w:rPr>
        <w:t>discuss</w:t>
      </w:r>
      <w:r>
        <w:rPr>
          <w:spacing w:val="-9"/>
          <w:w w:val="105"/>
          <w:sz w:val="21"/>
        </w:rPr>
        <w:t> </w:t>
      </w:r>
      <w:r>
        <w:rPr>
          <w:w w:val="105"/>
          <w:sz w:val="21"/>
        </w:rPr>
        <w:t>the</w:t>
      </w:r>
      <w:r>
        <w:rPr>
          <w:spacing w:val="-9"/>
          <w:w w:val="105"/>
          <w:sz w:val="21"/>
        </w:rPr>
        <w:t> </w:t>
      </w:r>
      <w:r>
        <w:rPr>
          <w:w w:val="105"/>
          <w:sz w:val="21"/>
        </w:rPr>
        <w:t>issue</w:t>
      </w:r>
      <w:r>
        <w:rPr>
          <w:spacing w:val="-10"/>
          <w:w w:val="105"/>
          <w:sz w:val="21"/>
        </w:rPr>
        <w:t> </w:t>
      </w:r>
      <w:r>
        <w:rPr>
          <w:spacing w:val="-3"/>
          <w:w w:val="105"/>
          <w:sz w:val="21"/>
        </w:rPr>
        <w:t>confidentially.</w:t>
      </w:r>
      <w:r>
        <w:rPr>
          <w:spacing w:val="-9"/>
          <w:w w:val="105"/>
          <w:sz w:val="21"/>
        </w:rPr>
        <w:t> </w:t>
      </w:r>
      <w:r>
        <w:rPr>
          <w:w w:val="105"/>
          <w:sz w:val="21"/>
        </w:rPr>
        <w:t>All</w:t>
      </w:r>
      <w:r>
        <w:rPr>
          <w:spacing w:val="-9"/>
          <w:w w:val="105"/>
          <w:sz w:val="21"/>
        </w:rPr>
        <w:t> </w:t>
      </w:r>
      <w:r>
        <w:rPr>
          <w:spacing w:val="-3"/>
          <w:w w:val="105"/>
          <w:sz w:val="21"/>
        </w:rPr>
        <w:t>discussions</w:t>
      </w:r>
      <w:r>
        <w:rPr>
          <w:spacing w:val="-9"/>
          <w:w w:val="105"/>
          <w:sz w:val="21"/>
        </w:rPr>
        <w:t> </w:t>
      </w:r>
      <w:r>
        <w:rPr>
          <w:w w:val="105"/>
          <w:sz w:val="21"/>
        </w:rPr>
        <w:t>at</w:t>
      </w:r>
      <w:r>
        <w:rPr>
          <w:spacing w:val="-9"/>
          <w:w w:val="105"/>
          <w:sz w:val="21"/>
        </w:rPr>
        <w:t> </w:t>
      </w:r>
      <w:r>
        <w:rPr>
          <w:w w:val="105"/>
          <w:sz w:val="21"/>
        </w:rPr>
        <w:t>a</w:t>
      </w:r>
      <w:r>
        <w:rPr>
          <w:spacing w:val="-10"/>
          <w:w w:val="105"/>
          <w:sz w:val="21"/>
        </w:rPr>
        <w:t> </w:t>
      </w:r>
      <w:r>
        <w:rPr>
          <w:w w:val="105"/>
          <w:sz w:val="21"/>
        </w:rPr>
        <w:t>compulsory</w:t>
      </w:r>
      <w:r>
        <w:rPr>
          <w:spacing w:val="-9"/>
          <w:w w:val="105"/>
          <w:sz w:val="21"/>
        </w:rPr>
        <w:t> </w:t>
      </w:r>
      <w:r>
        <w:rPr>
          <w:spacing w:val="-3"/>
          <w:w w:val="105"/>
          <w:sz w:val="21"/>
        </w:rPr>
        <w:t>conference are</w:t>
      </w:r>
      <w:r>
        <w:rPr>
          <w:spacing w:val="5"/>
          <w:w w:val="105"/>
          <w:sz w:val="21"/>
        </w:rPr>
        <w:t> </w:t>
      </w:r>
      <w:r>
        <w:rPr>
          <w:spacing w:val="-4"/>
          <w:w w:val="105"/>
          <w:sz w:val="21"/>
        </w:rPr>
        <w:t>confidential.</w:t>
      </w:r>
      <w:r>
        <w:rPr>
          <w:spacing w:val="-4"/>
          <w:w w:val="105"/>
          <w:position w:val="7"/>
          <w:sz w:val="12"/>
        </w:rPr>
        <w:t>143</w:t>
      </w:r>
    </w:p>
    <w:p>
      <w:pPr>
        <w:pStyle w:val="BodyText"/>
        <w:rPr>
          <w:sz w:val="20"/>
        </w:rPr>
      </w:pPr>
    </w:p>
    <w:p>
      <w:pPr>
        <w:pStyle w:val="BodyText"/>
        <w:rPr>
          <w:sz w:val="20"/>
        </w:rPr>
      </w:pPr>
    </w:p>
    <w:p>
      <w:pPr>
        <w:pStyle w:val="BodyText"/>
        <w:rPr>
          <w:sz w:val="20"/>
        </w:rPr>
      </w:pPr>
    </w:p>
    <w:p>
      <w:pPr>
        <w:pStyle w:val="BodyText"/>
        <w:rPr>
          <w:sz w:val="22"/>
        </w:rPr>
      </w:pPr>
      <w:r>
        <w:rPr/>
        <w:pict>
          <v:line style="position:absolute;mso-position-horizontal-relative:page;mso-position-vertical-relative:paragraph;z-index:6656;mso-wrap-distance-left:0;mso-wrap-distance-right:0" from="79.370003pt,15.924177pt" to="515.905003pt,15.92417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7"/>
        </w:rPr>
      </w:pPr>
    </w:p>
    <w:p>
      <w:pPr>
        <w:spacing w:before="0"/>
        <w:ind w:left="720" w:right="0" w:firstLine="0"/>
        <w:jc w:val="left"/>
        <w:rPr>
          <w:b/>
          <w:sz w:val="24"/>
        </w:rPr>
      </w:pPr>
      <w:r>
        <w:rPr>
          <w:b/>
          <w:color w:val="658464"/>
          <w:spacing w:val="-1"/>
          <w:w w:val="110"/>
          <w:sz w:val="24"/>
        </w:rPr>
        <w:t>144</w:t>
      </w:r>
    </w:p>
    <w:p>
      <w:pPr>
        <w:pStyle w:val="ListParagraph"/>
        <w:numPr>
          <w:ilvl w:val="0"/>
          <w:numId w:val="113"/>
        </w:numPr>
        <w:tabs>
          <w:tab w:pos="1222" w:val="left" w:leader="none"/>
          <w:tab w:pos="1223" w:val="left" w:leader="none"/>
        </w:tabs>
        <w:spacing w:line="240" w:lineRule="auto" w:before="48" w:after="0"/>
        <w:ind w:left="1222" w:right="0" w:hanging="794"/>
        <w:jc w:val="left"/>
        <w:rPr>
          <w:sz w:val="13"/>
        </w:rPr>
      </w:pPr>
      <w:r>
        <w:rPr>
          <w:spacing w:val="-3"/>
          <w:w w:val="125"/>
          <w:sz w:val="13"/>
        </w:rPr>
        <w:br w:type="column"/>
      </w:r>
      <w:r>
        <w:rPr>
          <w:w w:val="105"/>
          <w:sz w:val="13"/>
        </w:rPr>
        <w:t>Consultation </w:t>
      </w:r>
      <w:r>
        <w:rPr>
          <w:spacing w:val="-3"/>
          <w:w w:val="105"/>
          <w:sz w:val="13"/>
        </w:rPr>
        <w:t>15 </w:t>
      </w:r>
      <w:r>
        <w:rPr>
          <w:w w:val="105"/>
          <w:sz w:val="13"/>
        </w:rPr>
        <w:t>(Queensland Civil and Administrative Tribunal).</w:t>
      </w:r>
    </w:p>
    <w:p>
      <w:pPr>
        <w:pStyle w:val="ListParagraph"/>
        <w:numPr>
          <w:ilvl w:val="0"/>
          <w:numId w:val="113"/>
        </w:numPr>
        <w:tabs>
          <w:tab w:pos="1222" w:val="left" w:leader="none"/>
          <w:tab w:pos="1223" w:val="left" w:leader="none"/>
        </w:tabs>
        <w:spacing w:line="240" w:lineRule="auto" w:before="1" w:after="0"/>
        <w:ind w:left="1222" w:right="1738" w:hanging="794"/>
        <w:jc w:val="left"/>
        <w:rPr>
          <w:sz w:val="13"/>
        </w:rPr>
      </w:pPr>
      <w:r>
        <w:rPr>
          <w:w w:val="105"/>
          <w:sz w:val="13"/>
        </w:rPr>
        <w:t>Queensland Civil and Administrative Tribunal, </w:t>
      </w:r>
      <w:r>
        <w:rPr>
          <w:i/>
          <w:w w:val="105"/>
          <w:sz w:val="13"/>
        </w:rPr>
        <w:t>Practice Direction No 7 of </w:t>
      </w:r>
      <w:r>
        <w:rPr>
          <w:i/>
          <w:spacing w:val="-2"/>
          <w:w w:val="105"/>
          <w:sz w:val="13"/>
        </w:rPr>
        <w:t>2013: </w:t>
      </w:r>
      <w:r>
        <w:rPr>
          <w:i/>
          <w:w w:val="105"/>
          <w:sz w:val="13"/>
        </w:rPr>
        <w:t>Arrangements for Applications for Orders to Resolve Other </w:t>
      </w:r>
      <w:r>
        <w:rPr>
          <w:i/>
          <w:w w:val="105"/>
          <w:sz w:val="13"/>
        </w:rPr>
        <w:t>Issues about Trees, </w:t>
      </w:r>
      <w:r>
        <w:rPr>
          <w:w w:val="105"/>
          <w:sz w:val="13"/>
        </w:rPr>
        <w:t>3 April </w:t>
      </w:r>
      <w:r>
        <w:rPr>
          <w:spacing w:val="-3"/>
          <w:w w:val="105"/>
          <w:sz w:val="13"/>
        </w:rPr>
        <w:t>2014</w:t>
      </w:r>
      <w:r>
        <w:rPr>
          <w:spacing w:val="-1"/>
          <w:w w:val="105"/>
          <w:sz w:val="13"/>
        </w:rPr>
        <w:t> </w:t>
      </w:r>
      <w:r>
        <w:rPr>
          <w:spacing w:val="5"/>
          <w:w w:val="105"/>
          <w:sz w:val="13"/>
        </w:rPr>
        <w:t>[4]–[5].</w:t>
      </w:r>
    </w:p>
    <w:p>
      <w:pPr>
        <w:pStyle w:val="ListParagraph"/>
        <w:numPr>
          <w:ilvl w:val="0"/>
          <w:numId w:val="113"/>
        </w:numPr>
        <w:tabs>
          <w:tab w:pos="1222" w:val="left" w:leader="none"/>
          <w:tab w:pos="1223" w:val="left" w:leader="none"/>
        </w:tabs>
        <w:spacing w:line="240" w:lineRule="auto" w:before="3" w:after="0"/>
        <w:ind w:left="1222" w:right="0" w:hanging="794"/>
        <w:jc w:val="left"/>
        <w:rPr>
          <w:sz w:val="13"/>
        </w:rPr>
      </w:pPr>
      <w:r>
        <w:rPr>
          <w:sz w:val="13"/>
        </w:rPr>
        <w:t>Ibid</w:t>
      </w:r>
      <w:r>
        <w:rPr>
          <w:spacing w:val="17"/>
          <w:sz w:val="13"/>
        </w:rPr>
        <w:t> </w:t>
      </w:r>
      <w:r>
        <w:rPr>
          <w:spacing w:val="4"/>
          <w:sz w:val="13"/>
        </w:rPr>
        <w:t>[6].</w:t>
      </w:r>
    </w:p>
    <w:p>
      <w:pPr>
        <w:pStyle w:val="ListParagraph"/>
        <w:numPr>
          <w:ilvl w:val="0"/>
          <w:numId w:val="113"/>
        </w:numPr>
        <w:tabs>
          <w:tab w:pos="1222" w:val="left" w:leader="none"/>
          <w:tab w:pos="1223" w:val="left" w:leader="none"/>
        </w:tabs>
        <w:spacing w:line="240" w:lineRule="auto" w:before="1" w:after="0"/>
        <w:ind w:left="1222" w:right="0" w:hanging="794"/>
        <w:jc w:val="left"/>
        <w:rPr>
          <w:sz w:val="13"/>
        </w:rPr>
      </w:pPr>
      <w:r>
        <w:rPr>
          <w:sz w:val="13"/>
        </w:rPr>
        <w:t>Ibid</w:t>
      </w:r>
      <w:r>
        <w:rPr>
          <w:spacing w:val="21"/>
          <w:sz w:val="13"/>
        </w:rPr>
        <w:t> </w:t>
      </w:r>
      <w:r>
        <w:rPr>
          <w:sz w:val="13"/>
        </w:rPr>
        <w:t>[7].</w:t>
      </w:r>
    </w:p>
    <w:p>
      <w:pPr>
        <w:pStyle w:val="ListParagraph"/>
        <w:numPr>
          <w:ilvl w:val="0"/>
          <w:numId w:val="113"/>
        </w:numPr>
        <w:tabs>
          <w:tab w:pos="1222" w:val="left" w:leader="none"/>
          <w:tab w:pos="1223" w:val="left" w:leader="none"/>
        </w:tabs>
        <w:spacing w:line="240" w:lineRule="auto" w:before="2" w:after="0"/>
        <w:ind w:left="1222" w:right="0" w:hanging="794"/>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113"/>
        </w:numPr>
        <w:tabs>
          <w:tab w:pos="1222" w:val="left" w:leader="none"/>
          <w:tab w:pos="1223" w:val="left" w:leader="none"/>
        </w:tabs>
        <w:spacing w:line="240" w:lineRule="auto" w:before="1" w:after="0"/>
        <w:ind w:left="1222" w:right="0" w:hanging="794"/>
        <w:jc w:val="left"/>
        <w:rPr>
          <w:sz w:val="13"/>
        </w:rPr>
      </w:pPr>
      <w:r>
        <w:rPr>
          <w:sz w:val="13"/>
        </w:rPr>
        <w:t>See generally Ibid</w:t>
      </w:r>
      <w:r>
        <w:rPr>
          <w:spacing w:val="18"/>
          <w:sz w:val="13"/>
        </w:rPr>
        <w:t> </w:t>
      </w:r>
      <w:r>
        <w:rPr>
          <w:spacing w:val="3"/>
          <w:sz w:val="13"/>
        </w:rPr>
        <w:t>[5].</w:t>
      </w:r>
    </w:p>
    <w:p>
      <w:pPr>
        <w:pStyle w:val="ListParagraph"/>
        <w:numPr>
          <w:ilvl w:val="0"/>
          <w:numId w:val="113"/>
        </w:numPr>
        <w:tabs>
          <w:tab w:pos="1222" w:val="left" w:leader="none"/>
          <w:tab w:pos="1223" w:val="left" w:leader="none"/>
        </w:tabs>
        <w:spacing w:line="240" w:lineRule="auto" w:before="1" w:after="0"/>
        <w:ind w:left="1222" w:right="0" w:hanging="794"/>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113"/>
        </w:numPr>
        <w:tabs>
          <w:tab w:pos="1222" w:val="left" w:leader="none"/>
          <w:tab w:pos="1223" w:val="left" w:leader="none"/>
        </w:tabs>
        <w:spacing w:line="240" w:lineRule="auto" w:before="2" w:after="0"/>
        <w:ind w:left="1222" w:right="0" w:hanging="794"/>
        <w:jc w:val="left"/>
        <w:rPr>
          <w:sz w:val="13"/>
        </w:rPr>
      </w:pPr>
      <w:r>
        <w:rPr>
          <w:sz w:val="13"/>
        </w:rPr>
        <w:t>Ibid.</w:t>
      </w:r>
    </w:p>
    <w:p>
      <w:pPr>
        <w:pStyle w:val="ListParagraph"/>
        <w:numPr>
          <w:ilvl w:val="0"/>
          <w:numId w:val="113"/>
        </w:numPr>
        <w:tabs>
          <w:tab w:pos="1222" w:val="left" w:leader="none"/>
          <w:tab w:pos="1223" w:val="left" w:leader="none"/>
        </w:tabs>
        <w:spacing w:line="240" w:lineRule="auto" w:before="1" w:after="0"/>
        <w:ind w:left="1222" w:right="0" w:hanging="794"/>
        <w:jc w:val="left"/>
        <w:rPr>
          <w:sz w:val="13"/>
        </w:rPr>
      </w:pPr>
      <w:r>
        <w:rPr>
          <w:sz w:val="13"/>
        </w:rPr>
        <w:t>Ibid.</w:t>
      </w:r>
    </w:p>
    <w:p>
      <w:pPr>
        <w:pStyle w:val="ListParagraph"/>
        <w:numPr>
          <w:ilvl w:val="0"/>
          <w:numId w:val="113"/>
        </w:numPr>
        <w:tabs>
          <w:tab w:pos="1222" w:val="left" w:leader="none"/>
          <w:tab w:pos="1223" w:val="left" w:leader="none"/>
        </w:tabs>
        <w:spacing w:line="240" w:lineRule="auto" w:before="1" w:after="0"/>
        <w:ind w:left="1222" w:right="1645" w:hanging="794"/>
        <w:jc w:val="left"/>
        <w:rPr>
          <w:sz w:val="13"/>
        </w:rPr>
      </w:pPr>
      <w:r>
        <w:rPr>
          <w:i/>
          <w:w w:val="105"/>
          <w:sz w:val="13"/>
        </w:rPr>
        <w:t>Queensland Civil and Administrative Tribunal Act 2009 </w:t>
      </w:r>
      <w:r>
        <w:rPr>
          <w:spacing w:val="2"/>
          <w:w w:val="105"/>
          <w:sz w:val="13"/>
        </w:rPr>
        <w:t>(Qld) </w:t>
      </w:r>
      <w:r>
        <w:rPr>
          <w:w w:val="105"/>
          <w:sz w:val="13"/>
        </w:rPr>
        <w:t>s 67; </w:t>
      </w:r>
      <w:r>
        <w:rPr>
          <w:i/>
          <w:w w:val="105"/>
          <w:sz w:val="13"/>
        </w:rPr>
        <w:t>Consultation </w:t>
      </w:r>
      <w:r>
        <w:rPr>
          <w:i/>
          <w:spacing w:val="-4"/>
          <w:w w:val="105"/>
          <w:sz w:val="13"/>
        </w:rPr>
        <w:t>15 </w:t>
      </w:r>
      <w:r>
        <w:rPr>
          <w:w w:val="105"/>
          <w:sz w:val="13"/>
        </w:rPr>
        <w:t>(Queensland Civil and Administrative Tribunal). QCAT explained that members prefer to conduct compulsory conferences as a means of meeting the obligations set out in sections 28–29 of the </w:t>
      </w:r>
      <w:r>
        <w:rPr>
          <w:i/>
          <w:w w:val="105"/>
          <w:sz w:val="13"/>
        </w:rPr>
        <w:t>Queensland Civil and Administrative Tribunal Act 2009 </w:t>
      </w:r>
      <w:r>
        <w:rPr>
          <w:spacing w:val="2"/>
          <w:w w:val="105"/>
          <w:sz w:val="13"/>
        </w:rPr>
        <w:t>(Qld). </w:t>
      </w:r>
      <w:r>
        <w:rPr>
          <w:w w:val="105"/>
          <w:sz w:val="13"/>
        </w:rPr>
        <w:t>Section 28 refers to ‘Conducting proceedings generally’ and section 29 refers    to ‘Ensuring proper understanding and</w:t>
      </w:r>
      <w:r>
        <w:rPr>
          <w:spacing w:val="23"/>
          <w:w w:val="105"/>
          <w:sz w:val="13"/>
        </w:rPr>
        <w:t> </w:t>
      </w:r>
      <w:r>
        <w:rPr>
          <w:w w:val="105"/>
          <w:sz w:val="13"/>
        </w:rPr>
        <w:t>regard’.</w:t>
      </w:r>
    </w:p>
    <w:p>
      <w:pPr>
        <w:pStyle w:val="ListParagraph"/>
        <w:numPr>
          <w:ilvl w:val="0"/>
          <w:numId w:val="113"/>
        </w:numPr>
        <w:tabs>
          <w:tab w:pos="1222" w:val="left" w:leader="none"/>
          <w:tab w:pos="1223" w:val="left" w:leader="none"/>
        </w:tabs>
        <w:spacing w:line="240" w:lineRule="auto" w:before="6" w:after="0"/>
        <w:ind w:left="1222" w:right="0" w:hanging="794"/>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113"/>
        </w:numPr>
        <w:tabs>
          <w:tab w:pos="1222" w:val="left" w:leader="none"/>
          <w:tab w:pos="1223" w:val="left" w:leader="none"/>
        </w:tabs>
        <w:spacing w:line="240" w:lineRule="auto" w:before="1" w:after="0"/>
        <w:ind w:left="1222" w:right="2089" w:hanging="794"/>
        <w:jc w:val="left"/>
        <w:rPr>
          <w:sz w:val="13"/>
        </w:rPr>
      </w:pPr>
      <w:r>
        <w:rPr>
          <w:w w:val="105"/>
          <w:sz w:val="13"/>
        </w:rPr>
        <w:t>See </w:t>
      </w:r>
      <w:r>
        <w:rPr>
          <w:i/>
          <w:w w:val="105"/>
          <w:sz w:val="13"/>
        </w:rPr>
        <w:t>Queensland Civil and Administrative Tribunal Act 2009 </w:t>
      </w:r>
      <w:r>
        <w:rPr>
          <w:spacing w:val="2"/>
          <w:w w:val="105"/>
          <w:sz w:val="13"/>
        </w:rPr>
        <w:t>(Qld) </w:t>
      </w:r>
      <w:r>
        <w:rPr>
          <w:w w:val="105"/>
          <w:sz w:val="13"/>
        </w:rPr>
        <w:t>ss </w:t>
      </w:r>
      <w:r>
        <w:rPr>
          <w:spacing w:val="2"/>
          <w:w w:val="105"/>
          <w:sz w:val="13"/>
        </w:rPr>
        <w:t>70(2), </w:t>
      </w:r>
      <w:r>
        <w:rPr>
          <w:w w:val="105"/>
          <w:sz w:val="13"/>
        </w:rPr>
        <w:t>74; </w:t>
      </w:r>
      <w:r>
        <w:rPr>
          <w:i/>
          <w:w w:val="105"/>
          <w:sz w:val="13"/>
        </w:rPr>
        <w:t>Consultation </w:t>
      </w:r>
      <w:r>
        <w:rPr>
          <w:i/>
          <w:spacing w:val="-4"/>
          <w:w w:val="105"/>
          <w:sz w:val="13"/>
        </w:rPr>
        <w:t>15 </w:t>
      </w:r>
      <w:r>
        <w:rPr>
          <w:w w:val="105"/>
          <w:sz w:val="13"/>
        </w:rPr>
        <w:t>(Queensland Civil and Administrative Tribunal).</w:t>
      </w:r>
    </w:p>
    <w:p>
      <w:pPr>
        <w:spacing w:after="0" w:line="240" w:lineRule="auto"/>
        <w:jc w:val="left"/>
        <w:rPr>
          <w:sz w:val="13"/>
        </w:rPr>
        <w:sectPr>
          <w:type w:val="continuous"/>
          <w:pgSz w:w="11910" w:h="16840"/>
          <w:pgMar w:top="300" w:bottom="280" w:left="0" w:right="0"/>
          <w:cols w:num="2" w:equalWidth="0">
            <w:col w:w="1119" w:space="40"/>
            <w:col w:w="10751"/>
          </w:cols>
        </w:sectPr>
      </w:pPr>
    </w:p>
    <w:p>
      <w:pPr>
        <w:pStyle w:val="BodyText"/>
        <w:rPr>
          <w:sz w:val="20"/>
        </w:rPr>
      </w:pPr>
    </w:p>
    <w:p>
      <w:pPr>
        <w:pStyle w:val="BodyText"/>
        <w:spacing w:before="9"/>
        <w:rPr>
          <w:sz w:val="18"/>
        </w:rPr>
      </w:pPr>
    </w:p>
    <w:p>
      <w:pPr>
        <w:pStyle w:val="ListParagraph"/>
        <w:numPr>
          <w:ilvl w:val="1"/>
          <w:numId w:val="112"/>
        </w:numPr>
        <w:tabs>
          <w:tab w:pos="2381" w:val="left" w:leader="none"/>
          <w:tab w:pos="2382" w:val="left" w:leader="none"/>
        </w:tabs>
        <w:spacing w:line="242" w:lineRule="auto" w:before="91" w:after="0"/>
        <w:ind w:left="2381" w:right="1663" w:hanging="794"/>
        <w:jc w:val="left"/>
        <w:rPr>
          <w:sz w:val="12"/>
        </w:rPr>
      </w:pPr>
      <w:r>
        <w:rPr>
          <w:sz w:val="21"/>
        </w:rPr>
        <w:t>If the compulsory </w:t>
      </w:r>
      <w:r>
        <w:rPr>
          <w:spacing w:val="-3"/>
          <w:sz w:val="21"/>
        </w:rPr>
        <w:t>conference </w:t>
      </w:r>
      <w:r>
        <w:rPr>
          <w:sz w:val="21"/>
        </w:rPr>
        <w:t>results in an </w:t>
      </w:r>
      <w:r>
        <w:rPr>
          <w:spacing w:val="-2"/>
          <w:sz w:val="21"/>
        </w:rPr>
        <w:t>agreement, </w:t>
      </w:r>
      <w:r>
        <w:rPr>
          <w:sz w:val="21"/>
        </w:rPr>
        <w:t>the member </w:t>
      </w:r>
      <w:r>
        <w:rPr>
          <w:spacing w:val="-3"/>
          <w:sz w:val="21"/>
        </w:rPr>
        <w:t>will produce </w:t>
      </w:r>
      <w:r>
        <w:rPr>
          <w:sz w:val="21"/>
        </w:rPr>
        <w:t>a written </w:t>
      </w:r>
      <w:r>
        <w:rPr>
          <w:spacing w:val="-3"/>
          <w:sz w:val="21"/>
        </w:rPr>
        <w:t>record  to  </w:t>
      </w:r>
      <w:r>
        <w:rPr>
          <w:sz w:val="21"/>
        </w:rPr>
        <w:t>be signed by </w:t>
      </w:r>
      <w:r>
        <w:rPr>
          <w:spacing w:val="-3"/>
          <w:sz w:val="21"/>
        </w:rPr>
        <w:t>all</w:t>
      </w:r>
      <w:r>
        <w:rPr>
          <w:spacing w:val="41"/>
          <w:sz w:val="21"/>
        </w:rPr>
        <w:t> </w:t>
      </w:r>
      <w:r>
        <w:rPr>
          <w:sz w:val="21"/>
        </w:rPr>
        <w:t>parties and the </w:t>
      </w:r>
      <w:r>
        <w:rPr>
          <w:spacing w:val="-4"/>
          <w:sz w:val="21"/>
        </w:rPr>
        <w:t>member.  </w:t>
      </w:r>
      <w:r>
        <w:rPr>
          <w:sz w:val="21"/>
        </w:rPr>
        <w:t>The majority of tree </w:t>
      </w:r>
      <w:r>
        <w:rPr>
          <w:spacing w:val="-3"/>
          <w:sz w:val="21"/>
        </w:rPr>
        <w:t>disputes  referred to </w:t>
      </w:r>
      <w:r>
        <w:rPr>
          <w:sz w:val="21"/>
        </w:rPr>
        <w:t>a compulsory </w:t>
      </w:r>
      <w:r>
        <w:rPr>
          <w:spacing w:val="-3"/>
          <w:sz w:val="21"/>
        </w:rPr>
        <w:t>conference  are  </w:t>
      </w:r>
      <w:r>
        <w:rPr>
          <w:sz w:val="21"/>
        </w:rPr>
        <w:t>resolved in this </w:t>
      </w:r>
      <w:r>
        <w:rPr>
          <w:spacing w:val="-5"/>
          <w:sz w:val="21"/>
        </w:rPr>
        <w:t>way.  </w:t>
      </w:r>
      <w:r>
        <w:rPr>
          <w:sz w:val="21"/>
        </w:rPr>
        <w:t>If the compulsory </w:t>
      </w:r>
      <w:r>
        <w:rPr>
          <w:spacing w:val="-3"/>
          <w:sz w:val="21"/>
        </w:rPr>
        <w:t>conference  </w:t>
      </w:r>
      <w:r>
        <w:rPr>
          <w:sz w:val="21"/>
        </w:rPr>
        <w:t>does </w:t>
      </w:r>
      <w:r>
        <w:rPr>
          <w:spacing w:val="-2"/>
          <w:sz w:val="21"/>
        </w:rPr>
        <w:t>not </w:t>
      </w:r>
      <w:r>
        <w:rPr>
          <w:spacing w:val="-3"/>
          <w:sz w:val="21"/>
        </w:rPr>
        <w:t>result </w:t>
      </w:r>
      <w:r>
        <w:rPr>
          <w:sz w:val="21"/>
        </w:rPr>
        <w:t>in an </w:t>
      </w:r>
      <w:r>
        <w:rPr>
          <w:spacing w:val="-2"/>
          <w:sz w:val="21"/>
        </w:rPr>
        <w:t>agreement, </w:t>
      </w:r>
      <w:r>
        <w:rPr>
          <w:sz w:val="21"/>
        </w:rPr>
        <w:t>the member </w:t>
      </w:r>
      <w:r>
        <w:rPr>
          <w:spacing w:val="-3"/>
          <w:sz w:val="21"/>
        </w:rPr>
        <w:t>will </w:t>
      </w:r>
      <w:r>
        <w:rPr>
          <w:spacing w:val="-4"/>
          <w:sz w:val="21"/>
        </w:rPr>
        <w:t>make </w:t>
      </w:r>
      <w:r>
        <w:rPr>
          <w:sz w:val="21"/>
        </w:rPr>
        <w:t>directions or orders aimed at </w:t>
      </w:r>
      <w:r>
        <w:rPr>
          <w:spacing w:val="-3"/>
          <w:sz w:val="21"/>
        </w:rPr>
        <w:t>reducing  </w:t>
      </w:r>
      <w:r>
        <w:rPr>
          <w:sz w:val="21"/>
        </w:rPr>
        <w:t>the</w:t>
      </w:r>
      <w:r>
        <w:rPr>
          <w:spacing w:val="9"/>
          <w:sz w:val="21"/>
        </w:rPr>
        <w:t> </w:t>
      </w:r>
      <w:r>
        <w:rPr>
          <w:sz w:val="21"/>
        </w:rPr>
        <w:t>issues</w:t>
      </w:r>
      <w:r>
        <w:rPr>
          <w:spacing w:val="9"/>
          <w:sz w:val="21"/>
        </w:rPr>
        <w:t> </w:t>
      </w:r>
      <w:r>
        <w:rPr>
          <w:spacing w:val="-3"/>
          <w:sz w:val="21"/>
        </w:rPr>
        <w:t>to</w:t>
      </w:r>
      <w:r>
        <w:rPr>
          <w:spacing w:val="10"/>
          <w:sz w:val="21"/>
        </w:rPr>
        <w:t> </w:t>
      </w:r>
      <w:r>
        <w:rPr>
          <w:sz w:val="21"/>
        </w:rPr>
        <w:t>be</w:t>
      </w:r>
      <w:r>
        <w:rPr>
          <w:spacing w:val="9"/>
          <w:sz w:val="21"/>
        </w:rPr>
        <w:t> </w:t>
      </w:r>
      <w:r>
        <w:rPr>
          <w:spacing w:val="-3"/>
          <w:sz w:val="21"/>
        </w:rPr>
        <w:t>determined</w:t>
      </w:r>
      <w:r>
        <w:rPr>
          <w:spacing w:val="9"/>
          <w:sz w:val="21"/>
        </w:rPr>
        <w:t> </w:t>
      </w:r>
      <w:r>
        <w:rPr>
          <w:sz w:val="21"/>
        </w:rPr>
        <w:t>at</w:t>
      </w:r>
      <w:r>
        <w:rPr>
          <w:spacing w:val="10"/>
          <w:sz w:val="21"/>
        </w:rPr>
        <w:t> </w:t>
      </w:r>
      <w:r>
        <w:rPr>
          <w:sz w:val="21"/>
        </w:rPr>
        <w:t>the</w:t>
      </w:r>
      <w:r>
        <w:rPr>
          <w:spacing w:val="9"/>
          <w:sz w:val="21"/>
        </w:rPr>
        <w:t> </w:t>
      </w:r>
      <w:r>
        <w:rPr>
          <w:spacing w:val="-4"/>
          <w:sz w:val="21"/>
        </w:rPr>
        <w:t>hearing.</w:t>
      </w:r>
      <w:r>
        <w:rPr>
          <w:spacing w:val="-4"/>
          <w:position w:val="7"/>
          <w:sz w:val="12"/>
        </w:rPr>
        <w:t>144</w:t>
      </w:r>
    </w:p>
    <w:p>
      <w:pPr>
        <w:pStyle w:val="ListParagraph"/>
        <w:numPr>
          <w:ilvl w:val="1"/>
          <w:numId w:val="112"/>
        </w:numPr>
        <w:tabs>
          <w:tab w:pos="2380" w:val="left" w:leader="none"/>
          <w:tab w:pos="2381" w:val="left" w:leader="none"/>
        </w:tabs>
        <w:spacing w:line="242" w:lineRule="auto" w:before="126" w:after="0"/>
        <w:ind w:left="2381" w:right="1627" w:hanging="794"/>
        <w:jc w:val="left"/>
        <w:rPr>
          <w:sz w:val="12"/>
        </w:rPr>
      </w:pPr>
      <w:r>
        <w:rPr>
          <w:w w:val="105"/>
          <w:sz w:val="21"/>
        </w:rPr>
        <w:t>A </w:t>
      </w:r>
      <w:r>
        <w:rPr>
          <w:spacing w:val="-3"/>
          <w:w w:val="105"/>
          <w:sz w:val="21"/>
        </w:rPr>
        <w:t>similar </w:t>
      </w:r>
      <w:r>
        <w:rPr>
          <w:w w:val="105"/>
          <w:sz w:val="21"/>
        </w:rPr>
        <w:t>process is applied </w:t>
      </w:r>
      <w:r>
        <w:rPr>
          <w:spacing w:val="-3"/>
          <w:w w:val="105"/>
          <w:sz w:val="21"/>
        </w:rPr>
        <w:t>for </w:t>
      </w:r>
      <w:r>
        <w:rPr>
          <w:spacing w:val="-4"/>
          <w:w w:val="105"/>
          <w:sz w:val="21"/>
        </w:rPr>
        <w:t>mediations.</w:t>
      </w:r>
      <w:r>
        <w:rPr>
          <w:spacing w:val="-4"/>
          <w:w w:val="105"/>
          <w:position w:val="7"/>
          <w:sz w:val="12"/>
        </w:rPr>
        <w:t>145 </w:t>
      </w:r>
      <w:r>
        <w:rPr>
          <w:w w:val="105"/>
          <w:sz w:val="21"/>
        </w:rPr>
        <w:t>Mediation also </w:t>
      </w:r>
      <w:r>
        <w:rPr>
          <w:spacing w:val="-2"/>
          <w:w w:val="105"/>
          <w:sz w:val="21"/>
        </w:rPr>
        <w:t>has </w:t>
      </w:r>
      <w:r>
        <w:rPr>
          <w:w w:val="105"/>
          <w:sz w:val="21"/>
        </w:rPr>
        <w:t>a </w:t>
      </w:r>
      <w:r>
        <w:rPr>
          <w:spacing w:val="-3"/>
          <w:w w:val="105"/>
          <w:sz w:val="21"/>
        </w:rPr>
        <w:t>high </w:t>
      </w:r>
      <w:r>
        <w:rPr>
          <w:w w:val="105"/>
          <w:sz w:val="21"/>
        </w:rPr>
        <w:t>resolution rate; with </w:t>
      </w:r>
      <w:r>
        <w:rPr>
          <w:spacing w:val="-4"/>
          <w:w w:val="105"/>
          <w:sz w:val="21"/>
        </w:rPr>
        <w:t>59 </w:t>
      </w:r>
      <w:r>
        <w:rPr>
          <w:w w:val="105"/>
          <w:sz w:val="21"/>
        </w:rPr>
        <w:t>out of </w:t>
      </w:r>
      <w:r>
        <w:rPr>
          <w:spacing w:val="-7"/>
          <w:w w:val="105"/>
          <w:sz w:val="21"/>
        </w:rPr>
        <w:t>61 </w:t>
      </w:r>
      <w:r>
        <w:rPr>
          <w:w w:val="105"/>
          <w:sz w:val="21"/>
        </w:rPr>
        <w:t>matters </w:t>
      </w:r>
      <w:r>
        <w:rPr>
          <w:spacing w:val="-3"/>
          <w:w w:val="105"/>
          <w:sz w:val="21"/>
        </w:rPr>
        <w:t>referred to </w:t>
      </w:r>
      <w:r>
        <w:rPr>
          <w:w w:val="105"/>
          <w:sz w:val="21"/>
        </w:rPr>
        <w:t>mediation </w:t>
      </w:r>
      <w:r>
        <w:rPr>
          <w:spacing w:val="-3"/>
          <w:w w:val="105"/>
          <w:sz w:val="21"/>
        </w:rPr>
        <w:t>from </w:t>
      </w:r>
      <w:r>
        <w:rPr>
          <w:spacing w:val="-9"/>
          <w:w w:val="105"/>
          <w:sz w:val="21"/>
        </w:rPr>
        <w:t>2013 </w:t>
      </w:r>
      <w:r>
        <w:rPr>
          <w:spacing w:val="-3"/>
          <w:w w:val="105"/>
          <w:sz w:val="21"/>
        </w:rPr>
        <w:t>to </w:t>
      </w:r>
      <w:r>
        <w:rPr>
          <w:w w:val="105"/>
          <w:sz w:val="21"/>
        </w:rPr>
        <w:t>October </w:t>
      </w:r>
      <w:r>
        <w:rPr>
          <w:spacing w:val="-7"/>
          <w:w w:val="105"/>
          <w:sz w:val="21"/>
        </w:rPr>
        <w:t>2018 </w:t>
      </w:r>
      <w:r>
        <w:rPr>
          <w:spacing w:val="-3"/>
          <w:w w:val="105"/>
          <w:sz w:val="21"/>
        </w:rPr>
        <w:t>having </w:t>
      </w:r>
      <w:r>
        <w:rPr>
          <w:w w:val="105"/>
          <w:sz w:val="21"/>
        </w:rPr>
        <w:t>been resolved </w:t>
      </w:r>
      <w:r>
        <w:rPr>
          <w:spacing w:val="-3"/>
          <w:w w:val="105"/>
          <w:sz w:val="21"/>
        </w:rPr>
        <w:t>through </w:t>
      </w:r>
      <w:r>
        <w:rPr>
          <w:w w:val="105"/>
          <w:sz w:val="21"/>
        </w:rPr>
        <w:t>this </w:t>
      </w:r>
      <w:r>
        <w:rPr>
          <w:spacing w:val="-4"/>
          <w:w w:val="105"/>
          <w:sz w:val="21"/>
        </w:rPr>
        <w:t>method.</w:t>
      </w:r>
      <w:r>
        <w:rPr>
          <w:spacing w:val="-4"/>
          <w:w w:val="105"/>
          <w:position w:val="7"/>
          <w:sz w:val="12"/>
        </w:rPr>
        <w:t>146 </w:t>
      </w:r>
      <w:r>
        <w:rPr>
          <w:w w:val="105"/>
          <w:sz w:val="21"/>
        </w:rPr>
        <w:t>If the parties </w:t>
      </w:r>
      <w:r>
        <w:rPr>
          <w:spacing w:val="-3"/>
          <w:w w:val="105"/>
          <w:sz w:val="21"/>
        </w:rPr>
        <w:t>reach </w:t>
      </w:r>
      <w:r>
        <w:rPr>
          <w:w w:val="105"/>
          <w:sz w:val="21"/>
        </w:rPr>
        <w:t>an </w:t>
      </w:r>
      <w:r>
        <w:rPr>
          <w:spacing w:val="-2"/>
          <w:w w:val="105"/>
          <w:sz w:val="21"/>
        </w:rPr>
        <w:t>agreement, </w:t>
      </w:r>
      <w:r>
        <w:rPr>
          <w:w w:val="105"/>
          <w:sz w:val="21"/>
        </w:rPr>
        <w:t>the </w:t>
      </w:r>
      <w:r>
        <w:rPr>
          <w:spacing w:val="-3"/>
          <w:w w:val="105"/>
          <w:sz w:val="21"/>
        </w:rPr>
        <w:t>mediator may record</w:t>
      </w:r>
      <w:r>
        <w:rPr>
          <w:spacing w:val="-4"/>
          <w:w w:val="105"/>
          <w:sz w:val="21"/>
        </w:rPr>
        <w:t> </w:t>
      </w:r>
      <w:r>
        <w:rPr>
          <w:w w:val="105"/>
          <w:sz w:val="21"/>
        </w:rPr>
        <w:t>the</w:t>
      </w:r>
      <w:r>
        <w:rPr>
          <w:spacing w:val="-4"/>
          <w:w w:val="105"/>
          <w:sz w:val="21"/>
        </w:rPr>
        <w:t> </w:t>
      </w:r>
      <w:r>
        <w:rPr>
          <w:spacing w:val="-3"/>
          <w:w w:val="105"/>
          <w:sz w:val="21"/>
        </w:rPr>
        <w:t>terms</w:t>
      </w:r>
      <w:r>
        <w:rPr>
          <w:spacing w:val="-4"/>
          <w:w w:val="105"/>
          <w:sz w:val="21"/>
        </w:rPr>
        <w:t> </w:t>
      </w:r>
      <w:r>
        <w:rPr>
          <w:w w:val="105"/>
          <w:sz w:val="21"/>
        </w:rPr>
        <w:t>of</w:t>
      </w:r>
      <w:r>
        <w:rPr>
          <w:spacing w:val="-4"/>
          <w:w w:val="105"/>
          <w:sz w:val="21"/>
        </w:rPr>
        <w:t> </w:t>
      </w:r>
      <w:r>
        <w:rPr>
          <w:w w:val="105"/>
          <w:sz w:val="21"/>
        </w:rPr>
        <w:t>the</w:t>
      </w:r>
      <w:r>
        <w:rPr>
          <w:spacing w:val="-4"/>
          <w:w w:val="105"/>
          <w:sz w:val="21"/>
        </w:rPr>
        <w:t> </w:t>
      </w:r>
      <w:r>
        <w:rPr>
          <w:spacing w:val="-2"/>
          <w:w w:val="105"/>
          <w:sz w:val="21"/>
        </w:rPr>
        <w:t>agreement</w:t>
      </w:r>
      <w:r>
        <w:rPr>
          <w:spacing w:val="-4"/>
          <w:w w:val="105"/>
          <w:sz w:val="21"/>
        </w:rPr>
        <w:t> </w:t>
      </w:r>
      <w:r>
        <w:rPr>
          <w:w w:val="105"/>
          <w:sz w:val="21"/>
        </w:rPr>
        <w:t>in</w:t>
      </w:r>
      <w:r>
        <w:rPr>
          <w:spacing w:val="-4"/>
          <w:w w:val="105"/>
          <w:sz w:val="21"/>
        </w:rPr>
        <w:t> </w:t>
      </w:r>
      <w:r>
        <w:rPr>
          <w:w w:val="105"/>
          <w:sz w:val="21"/>
        </w:rPr>
        <w:t>writing</w:t>
      </w:r>
      <w:r>
        <w:rPr>
          <w:spacing w:val="-4"/>
          <w:w w:val="105"/>
          <w:sz w:val="21"/>
        </w:rPr>
        <w:t> </w:t>
      </w:r>
      <w:r>
        <w:rPr>
          <w:w w:val="105"/>
          <w:sz w:val="21"/>
        </w:rPr>
        <w:t>and</w:t>
      </w:r>
      <w:r>
        <w:rPr>
          <w:spacing w:val="-4"/>
          <w:w w:val="105"/>
          <w:sz w:val="21"/>
        </w:rPr>
        <w:t> </w:t>
      </w:r>
      <w:r>
        <w:rPr>
          <w:w w:val="105"/>
          <w:sz w:val="21"/>
        </w:rPr>
        <w:t>each</w:t>
      </w:r>
      <w:r>
        <w:rPr>
          <w:spacing w:val="-4"/>
          <w:w w:val="105"/>
          <w:sz w:val="21"/>
        </w:rPr>
        <w:t> </w:t>
      </w:r>
      <w:r>
        <w:rPr>
          <w:w w:val="105"/>
          <w:sz w:val="21"/>
        </w:rPr>
        <w:t>party</w:t>
      </w:r>
      <w:r>
        <w:rPr>
          <w:spacing w:val="-4"/>
          <w:w w:val="105"/>
          <w:sz w:val="21"/>
        </w:rPr>
        <w:t> </w:t>
      </w:r>
      <w:r>
        <w:rPr>
          <w:spacing w:val="-3"/>
          <w:w w:val="105"/>
          <w:sz w:val="21"/>
        </w:rPr>
        <w:t>will</w:t>
      </w:r>
      <w:r>
        <w:rPr>
          <w:spacing w:val="-4"/>
          <w:w w:val="105"/>
          <w:sz w:val="21"/>
        </w:rPr>
        <w:t> </w:t>
      </w:r>
      <w:r>
        <w:rPr>
          <w:w w:val="105"/>
          <w:sz w:val="21"/>
        </w:rPr>
        <w:t>then</w:t>
      </w:r>
      <w:r>
        <w:rPr>
          <w:spacing w:val="-4"/>
          <w:w w:val="105"/>
          <w:sz w:val="21"/>
        </w:rPr>
        <w:t> </w:t>
      </w:r>
      <w:r>
        <w:rPr>
          <w:spacing w:val="-3"/>
          <w:w w:val="105"/>
          <w:sz w:val="21"/>
        </w:rPr>
        <w:t>sign</w:t>
      </w:r>
      <w:r>
        <w:rPr>
          <w:spacing w:val="-4"/>
          <w:w w:val="105"/>
          <w:sz w:val="21"/>
        </w:rPr>
        <w:t> </w:t>
      </w:r>
      <w:r>
        <w:rPr>
          <w:w w:val="105"/>
          <w:sz w:val="21"/>
        </w:rPr>
        <w:t>the</w:t>
      </w:r>
      <w:r>
        <w:rPr>
          <w:spacing w:val="-4"/>
          <w:w w:val="105"/>
          <w:sz w:val="21"/>
        </w:rPr>
        <w:t> </w:t>
      </w:r>
      <w:r>
        <w:rPr>
          <w:spacing w:val="-2"/>
          <w:w w:val="105"/>
          <w:sz w:val="21"/>
        </w:rPr>
        <w:t>agreement </w:t>
      </w:r>
      <w:r>
        <w:rPr>
          <w:w w:val="105"/>
          <w:sz w:val="21"/>
        </w:rPr>
        <w:t>and receive a </w:t>
      </w:r>
      <w:r>
        <w:rPr>
          <w:spacing w:val="-7"/>
          <w:w w:val="105"/>
          <w:sz w:val="21"/>
        </w:rPr>
        <w:t>copy.</w:t>
      </w:r>
      <w:r>
        <w:rPr>
          <w:spacing w:val="-7"/>
          <w:w w:val="105"/>
          <w:position w:val="7"/>
          <w:sz w:val="12"/>
        </w:rPr>
        <w:t>147 </w:t>
      </w:r>
      <w:r>
        <w:rPr>
          <w:w w:val="105"/>
          <w:sz w:val="21"/>
        </w:rPr>
        <w:t>If the parties </w:t>
      </w:r>
      <w:r>
        <w:rPr>
          <w:spacing w:val="-3"/>
          <w:w w:val="105"/>
          <w:sz w:val="21"/>
        </w:rPr>
        <w:t>are </w:t>
      </w:r>
      <w:r>
        <w:rPr>
          <w:spacing w:val="-2"/>
          <w:w w:val="105"/>
          <w:sz w:val="21"/>
        </w:rPr>
        <w:t>not </w:t>
      </w:r>
      <w:r>
        <w:rPr>
          <w:w w:val="105"/>
          <w:sz w:val="21"/>
        </w:rPr>
        <w:t>able </w:t>
      </w:r>
      <w:r>
        <w:rPr>
          <w:spacing w:val="-3"/>
          <w:w w:val="105"/>
          <w:sz w:val="21"/>
        </w:rPr>
        <w:t>to </w:t>
      </w:r>
      <w:r>
        <w:rPr>
          <w:w w:val="105"/>
          <w:sz w:val="21"/>
        </w:rPr>
        <w:t>resolve the matter at </w:t>
      </w:r>
      <w:r>
        <w:rPr>
          <w:spacing w:val="-3"/>
          <w:w w:val="105"/>
          <w:sz w:val="21"/>
        </w:rPr>
        <w:t>mediation, </w:t>
      </w:r>
      <w:r>
        <w:rPr>
          <w:w w:val="105"/>
          <w:sz w:val="21"/>
        </w:rPr>
        <w:t>the issues in </w:t>
      </w:r>
      <w:r>
        <w:rPr>
          <w:spacing w:val="-3"/>
          <w:w w:val="105"/>
          <w:sz w:val="21"/>
        </w:rPr>
        <w:t>dispute will </w:t>
      </w:r>
      <w:r>
        <w:rPr>
          <w:w w:val="105"/>
          <w:sz w:val="21"/>
        </w:rPr>
        <w:t>be identified and provided </w:t>
      </w:r>
      <w:r>
        <w:rPr>
          <w:spacing w:val="-3"/>
          <w:w w:val="105"/>
          <w:sz w:val="21"/>
        </w:rPr>
        <w:t>to </w:t>
      </w:r>
      <w:r>
        <w:rPr>
          <w:w w:val="105"/>
          <w:sz w:val="21"/>
        </w:rPr>
        <w:t>the </w:t>
      </w:r>
      <w:r>
        <w:rPr>
          <w:spacing w:val="-5"/>
          <w:w w:val="105"/>
          <w:sz w:val="21"/>
        </w:rPr>
        <w:t>Tribunal.</w:t>
      </w:r>
      <w:r>
        <w:rPr>
          <w:spacing w:val="-5"/>
          <w:w w:val="105"/>
          <w:position w:val="7"/>
          <w:sz w:val="12"/>
        </w:rPr>
        <w:t>148 </w:t>
      </w:r>
      <w:r>
        <w:rPr>
          <w:w w:val="105"/>
          <w:sz w:val="21"/>
        </w:rPr>
        <w:t>The matter </w:t>
      </w:r>
      <w:r>
        <w:rPr>
          <w:spacing w:val="-3"/>
          <w:w w:val="105"/>
          <w:sz w:val="21"/>
        </w:rPr>
        <w:t>will </w:t>
      </w:r>
      <w:r>
        <w:rPr>
          <w:w w:val="105"/>
          <w:sz w:val="21"/>
        </w:rPr>
        <w:t>be set down </w:t>
      </w:r>
      <w:r>
        <w:rPr>
          <w:spacing w:val="-3"/>
          <w:w w:val="105"/>
          <w:sz w:val="21"/>
        </w:rPr>
        <w:t>for </w:t>
      </w:r>
      <w:r>
        <w:rPr>
          <w:w w:val="105"/>
          <w:sz w:val="21"/>
        </w:rPr>
        <w:t>a </w:t>
      </w:r>
      <w:r>
        <w:rPr>
          <w:spacing w:val="-3"/>
          <w:w w:val="105"/>
          <w:sz w:val="21"/>
        </w:rPr>
        <w:t>subsequent</w:t>
      </w:r>
      <w:r>
        <w:rPr>
          <w:spacing w:val="26"/>
          <w:w w:val="105"/>
          <w:sz w:val="21"/>
        </w:rPr>
        <w:t> </w:t>
      </w:r>
      <w:r>
        <w:rPr>
          <w:spacing w:val="-5"/>
          <w:w w:val="105"/>
          <w:sz w:val="21"/>
        </w:rPr>
        <w:t>hearing.</w:t>
      </w:r>
      <w:r>
        <w:rPr>
          <w:spacing w:val="-5"/>
          <w:w w:val="105"/>
          <w:position w:val="7"/>
          <w:sz w:val="12"/>
        </w:rPr>
        <w:t>149</w:t>
      </w:r>
    </w:p>
    <w:p>
      <w:pPr>
        <w:pStyle w:val="ListParagraph"/>
        <w:numPr>
          <w:ilvl w:val="1"/>
          <w:numId w:val="112"/>
        </w:numPr>
        <w:tabs>
          <w:tab w:pos="2381" w:val="left" w:leader="none"/>
          <w:tab w:pos="2382" w:val="left" w:leader="none"/>
        </w:tabs>
        <w:spacing w:line="242" w:lineRule="auto" w:before="128" w:after="0"/>
        <w:ind w:left="2381" w:right="2012" w:hanging="794"/>
        <w:jc w:val="left"/>
        <w:rPr>
          <w:sz w:val="12"/>
        </w:rPr>
      </w:pPr>
      <w:r>
        <w:rPr>
          <w:spacing w:val="-4"/>
          <w:w w:val="105"/>
          <w:sz w:val="21"/>
        </w:rPr>
        <w:t>QCAT </w:t>
      </w:r>
      <w:r>
        <w:rPr>
          <w:spacing w:val="-3"/>
          <w:w w:val="105"/>
          <w:sz w:val="21"/>
        </w:rPr>
        <w:t>may </w:t>
      </w:r>
      <w:r>
        <w:rPr>
          <w:w w:val="105"/>
          <w:sz w:val="21"/>
        </w:rPr>
        <w:t>conduct ADR on </w:t>
      </w:r>
      <w:r>
        <w:rPr>
          <w:spacing w:val="-4"/>
          <w:w w:val="105"/>
          <w:sz w:val="21"/>
        </w:rPr>
        <w:t>site, </w:t>
      </w:r>
      <w:r>
        <w:rPr>
          <w:spacing w:val="-3"/>
          <w:w w:val="105"/>
          <w:sz w:val="21"/>
        </w:rPr>
        <w:t>usually </w:t>
      </w:r>
      <w:r>
        <w:rPr>
          <w:w w:val="105"/>
          <w:sz w:val="21"/>
        </w:rPr>
        <w:t>on the tree </w:t>
      </w:r>
      <w:r>
        <w:rPr>
          <w:spacing w:val="-3"/>
          <w:w w:val="105"/>
          <w:sz w:val="21"/>
        </w:rPr>
        <w:t>owner’s </w:t>
      </w:r>
      <w:r>
        <w:rPr>
          <w:spacing w:val="-5"/>
          <w:w w:val="105"/>
          <w:sz w:val="21"/>
        </w:rPr>
        <w:t>land.</w:t>
      </w:r>
      <w:r>
        <w:rPr>
          <w:spacing w:val="-5"/>
          <w:w w:val="105"/>
          <w:position w:val="7"/>
          <w:sz w:val="12"/>
        </w:rPr>
        <w:t>150 </w:t>
      </w:r>
      <w:r>
        <w:rPr>
          <w:spacing w:val="-4"/>
          <w:w w:val="105"/>
          <w:sz w:val="21"/>
        </w:rPr>
        <w:t>However, </w:t>
      </w:r>
      <w:r>
        <w:rPr>
          <w:w w:val="105"/>
          <w:sz w:val="21"/>
        </w:rPr>
        <w:t>on-site ADR is </w:t>
      </w:r>
      <w:r>
        <w:rPr>
          <w:spacing w:val="-3"/>
          <w:w w:val="105"/>
          <w:sz w:val="21"/>
        </w:rPr>
        <w:t>usually </w:t>
      </w:r>
      <w:r>
        <w:rPr>
          <w:w w:val="105"/>
          <w:sz w:val="21"/>
        </w:rPr>
        <w:t>reserved </w:t>
      </w:r>
      <w:r>
        <w:rPr>
          <w:spacing w:val="-3"/>
          <w:w w:val="105"/>
          <w:sz w:val="21"/>
        </w:rPr>
        <w:t>for applications relating to </w:t>
      </w:r>
      <w:r>
        <w:rPr>
          <w:w w:val="105"/>
          <w:sz w:val="21"/>
        </w:rPr>
        <w:t>an obstruction of a</w:t>
      </w:r>
      <w:r>
        <w:rPr>
          <w:spacing w:val="32"/>
          <w:w w:val="105"/>
          <w:sz w:val="21"/>
        </w:rPr>
        <w:t> </w:t>
      </w:r>
      <w:r>
        <w:rPr>
          <w:spacing w:val="-7"/>
          <w:w w:val="105"/>
          <w:sz w:val="21"/>
        </w:rPr>
        <w:t>view.</w:t>
      </w:r>
      <w:r>
        <w:rPr>
          <w:spacing w:val="-7"/>
          <w:w w:val="105"/>
          <w:position w:val="7"/>
          <w:sz w:val="12"/>
        </w:rPr>
        <w:t>151</w:t>
      </w:r>
    </w:p>
    <w:p>
      <w:pPr>
        <w:pStyle w:val="Heading7"/>
        <w:spacing w:before="152"/>
      </w:pPr>
      <w:r>
        <w:rPr>
          <w:w w:val="115"/>
        </w:rPr>
        <w:t>Final hearing</w:t>
      </w:r>
    </w:p>
    <w:p>
      <w:pPr>
        <w:pStyle w:val="ListParagraph"/>
        <w:numPr>
          <w:ilvl w:val="1"/>
          <w:numId w:val="112"/>
        </w:numPr>
        <w:tabs>
          <w:tab w:pos="2381" w:val="left" w:leader="none"/>
          <w:tab w:pos="2382" w:val="left" w:leader="none"/>
        </w:tabs>
        <w:spacing w:line="242" w:lineRule="auto" w:before="143" w:after="0"/>
        <w:ind w:left="2381" w:right="1656" w:hanging="794"/>
        <w:jc w:val="left"/>
        <w:rPr>
          <w:sz w:val="12"/>
        </w:rPr>
      </w:pPr>
      <w:r>
        <w:rPr>
          <w:w w:val="105"/>
          <w:sz w:val="21"/>
        </w:rPr>
        <w:t>Matters </w:t>
      </w:r>
      <w:r>
        <w:rPr>
          <w:spacing w:val="-3"/>
          <w:w w:val="105"/>
          <w:sz w:val="21"/>
        </w:rPr>
        <w:t>are generally heard </w:t>
      </w:r>
      <w:r>
        <w:rPr>
          <w:w w:val="105"/>
          <w:sz w:val="21"/>
        </w:rPr>
        <w:t>in </w:t>
      </w:r>
      <w:r>
        <w:rPr>
          <w:spacing w:val="-5"/>
          <w:w w:val="105"/>
          <w:sz w:val="21"/>
        </w:rPr>
        <w:t>QCAT’s </w:t>
      </w:r>
      <w:r>
        <w:rPr>
          <w:spacing w:val="-3"/>
          <w:w w:val="105"/>
          <w:sz w:val="21"/>
        </w:rPr>
        <w:t>main </w:t>
      </w:r>
      <w:r>
        <w:rPr>
          <w:w w:val="105"/>
          <w:sz w:val="21"/>
        </w:rPr>
        <w:t>location in </w:t>
      </w:r>
      <w:r>
        <w:rPr>
          <w:spacing w:val="-3"/>
          <w:w w:val="105"/>
          <w:sz w:val="21"/>
        </w:rPr>
        <w:t>Brisbane </w:t>
      </w:r>
      <w:r>
        <w:rPr>
          <w:w w:val="105"/>
          <w:sz w:val="21"/>
        </w:rPr>
        <w:t>or at </w:t>
      </w:r>
      <w:r>
        <w:rPr>
          <w:spacing w:val="-3"/>
          <w:w w:val="105"/>
          <w:sz w:val="21"/>
        </w:rPr>
        <w:t>regional Magistrates’ Court </w:t>
      </w:r>
      <w:r>
        <w:rPr>
          <w:w w:val="105"/>
          <w:sz w:val="21"/>
        </w:rPr>
        <w:t>locations. </w:t>
      </w:r>
      <w:r>
        <w:rPr>
          <w:spacing w:val="-4"/>
          <w:w w:val="105"/>
          <w:sz w:val="21"/>
        </w:rPr>
        <w:t>QCAT </w:t>
      </w:r>
      <w:r>
        <w:rPr>
          <w:w w:val="105"/>
          <w:sz w:val="21"/>
        </w:rPr>
        <w:t>members can </w:t>
      </w:r>
      <w:r>
        <w:rPr>
          <w:spacing w:val="-3"/>
          <w:w w:val="105"/>
          <w:sz w:val="21"/>
        </w:rPr>
        <w:t>travel to </w:t>
      </w:r>
      <w:r>
        <w:rPr>
          <w:w w:val="105"/>
          <w:sz w:val="21"/>
        </w:rPr>
        <w:t>the nearest </w:t>
      </w:r>
      <w:r>
        <w:rPr>
          <w:spacing w:val="-3"/>
          <w:w w:val="105"/>
          <w:sz w:val="21"/>
        </w:rPr>
        <w:t>Magistrates’ Court </w:t>
      </w:r>
      <w:r>
        <w:rPr>
          <w:w w:val="105"/>
          <w:sz w:val="21"/>
        </w:rPr>
        <w:t>in the </w:t>
      </w:r>
      <w:r>
        <w:rPr>
          <w:spacing w:val="-3"/>
          <w:w w:val="105"/>
          <w:sz w:val="21"/>
        </w:rPr>
        <w:t>area to </w:t>
      </w:r>
      <w:r>
        <w:rPr>
          <w:w w:val="105"/>
          <w:sz w:val="21"/>
        </w:rPr>
        <w:t>hear these</w:t>
      </w:r>
      <w:r>
        <w:rPr>
          <w:spacing w:val="34"/>
          <w:w w:val="105"/>
          <w:sz w:val="21"/>
        </w:rPr>
        <w:t> </w:t>
      </w:r>
      <w:r>
        <w:rPr>
          <w:spacing w:val="-4"/>
          <w:w w:val="105"/>
          <w:sz w:val="21"/>
        </w:rPr>
        <w:t>matters.</w:t>
      </w:r>
      <w:r>
        <w:rPr>
          <w:spacing w:val="-4"/>
          <w:w w:val="105"/>
          <w:position w:val="7"/>
          <w:sz w:val="12"/>
        </w:rPr>
        <w:t>152</w:t>
      </w:r>
    </w:p>
    <w:p>
      <w:pPr>
        <w:pStyle w:val="ListParagraph"/>
        <w:numPr>
          <w:ilvl w:val="1"/>
          <w:numId w:val="112"/>
        </w:numPr>
        <w:tabs>
          <w:tab w:pos="2380" w:val="left" w:leader="none"/>
          <w:tab w:pos="2381" w:val="left" w:leader="none"/>
        </w:tabs>
        <w:spacing w:line="242" w:lineRule="auto" w:before="123" w:after="0"/>
        <w:ind w:left="2381" w:right="1753" w:hanging="794"/>
        <w:jc w:val="left"/>
        <w:rPr>
          <w:sz w:val="12"/>
        </w:rPr>
      </w:pPr>
      <w:r>
        <w:rPr>
          <w:spacing w:val="-5"/>
          <w:w w:val="105"/>
          <w:sz w:val="21"/>
        </w:rPr>
        <w:t>Final hearings </w:t>
      </w:r>
      <w:r>
        <w:rPr>
          <w:spacing w:val="-3"/>
          <w:w w:val="105"/>
          <w:sz w:val="21"/>
        </w:rPr>
        <w:t>in </w:t>
      </w:r>
      <w:r>
        <w:rPr>
          <w:spacing w:val="-5"/>
          <w:w w:val="105"/>
          <w:sz w:val="21"/>
        </w:rPr>
        <w:t>regional </w:t>
      </w:r>
      <w:r>
        <w:rPr>
          <w:spacing w:val="-4"/>
          <w:w w:val="105"/>
          <w:sz w:val="21"/>
        </w:rPr>
        <w:t>areas </w:t>
      </w:r>
      <w:r>
        <w:rPr>
          <w:spacing w:val="-3"/>
          <w:w w:val="105"/>
          <w:sz w:val="21"/>
        </w:rPr>
        <w:t>can </w:t>
      </w:r>
      <w:r>
        <w:rPr>
          <w:w w:val="105"/>
          <w:sz w:val="21"/>
        </w:rPr>
        <w:t>be </w:t>
      </w:r>
      <w:r>
        <w:rPr>
          <w:spacing w:val="-4"/>
          <w:w w:val="105"/>
          <w:sz w:val="21"/>
        </w:rPr>
        <w:t>conducted </w:t>
      </w:r>
      <w:r>
        <w:rPr>
          <w:spacing w:val="-3"/>
          <w:w w:val="105"/>
          <w:sz w:val="21"/>
        </w:rPr>
        <w:t>via </w:t>
      </w:r>
      <w:r>
        <w:rPr>
          <w:spacing w:val="-4"/>
          <w:w w:val="105"/>
          <w:sz w:val="21"/>
        </w:rPr>
        <w:t>telephone </w:t>
      </w:r>
      <w:r>
        <w:rPr>
          <w:spacing w:val="-7"/>
          <w:w w:val="105"/>
          <w:sz w:val="21"/>
        </w:rPr>
        <w:t>conference.</w:t>
      </w:r>
      <w:r>
        <w:rPr>
          <w:spacing w:val="-7"/>
          <w:w w:val="105"/>
          <w:position w:val="7"/>
          <w:sz w:val="12"/>
        </w:rPr>
        <w:t>153 </w:t>
      </w:r>
      <w:r>
        <w:rPr>
          <w:spacing w:val="-2"/>
          <w:w w:val="105"/>
          <w:sz w:val="21"/>
        </w:rPr>
        <w:t>The </w:t>
      </w:r>
      <w:r>
        <w:rPr>
          <w:spacing w:val="-6"/>
          <w:w w:val="105"/>
          <w:sz w:val="21"/>
        </w:rPr>
        <w:t>Tribunal </w:t>
      </w:r>
      <w:r>
        <w:rPr>
          <w:spacing w:val="-3"/>
          <w:w w:val="105"/>
          <w:sz w:val="21"/>
        </w:rPr>
        <w:t>member</w:t>
      </w:r>
      <w:r>
        <w:rPr>
          <w:spacing w:val="-8"/>
          <w:w w:val="105"/>
          <w:sz w:val="21"/>
        </w:rPr>
        <w:t> </w:t>
      </w:r>
      <w:r>
        <w:rPr>
          <w:spacing w:val="-5"/>
          <w:w w:val="105"/>
          <w:sz w:val="21"/>
        </w:rPr>
        <w:t>coordinates</w:t>
      </w:r>
      <w:r>
        <w:rPr>
          <w:spacing w:val="-8"/>
          <w:w w:val="105"/>
          <w:sz w:val="21"/>
        </w:rPr>
        <w:t> </w:t>
      </w:r>
      <w:r>
        <w:rPr>
          <w:spacing w:val="-3"/>
          <w:w w:val="105"/>
          <w:sz w:val="21"/>
        </w:rPr>
        <w:t>the</w:t>
      </w:r>
      <w:r>
        <w:rPr>
          <w:spacing w:val="-7"/>
          <w:w w:val="105"/>
          <w:sz w:val="21"/>
        </w:rPr>
        <w:t> </w:t>
      </w:r>
      <w:r>
        <w:rPr>
          <w:spacing w:val="-4"/>
          <w:w w:val="105"/>
          <w:sz w:val="21"/>
        </w:rPr>
        <w:t>telephone</w:t>
      </w:r>
      <w:r>
        <w:rPr>
          <w:spacing w:val="-8"/>
          <w:w w:val="105"/>
          <w:sz w:val="21"/>
        </w:rPr>
        <w:t> </w:t>
      </w:r>
      <w:r>
        <w:rPr>
          <w:spacing w:val="-5"/>
          <w:w w:val="105"/>
          <w:sz w:val="21"/>
        </w:rPr>
        <w:t>conference</w:t>
      </w:r>
      <w:r>
        <w:rPr>
          <w:spacing w:val="-7"/>
          <w:w w:val="105"/>
          <w:sz w:val="21"/>
        </w:rPr>
        <w:t> </w:t>
      </w:r>
      <w:r>
        <w:rPr>
          <w:spacing w:val="-4"/>
          <w:w w:val="105"/>
          <w:sz w:val="21"/>
        </w:rPr>
        <w:t>from</w:t>
      </w:r>
      <w:r>
        <w:rPr>
          <w:spacing w:val="-8"/>
          <w:w w:val="105"/>
          <w:sz w:val="21"/>
        </w:rPr>
        <w:t> </w:t>
      </w:r>
      <w:r>
        <w:rPr>
          <w:spacing w:val="-4"/>
          <w:w w:val="105"/>
          <w:sz w:val="21"/>
        </w:rPr>
        <w:t>Brisbane</w:t>
      </w:r>
      <w:r>
        <w:rPr>
          <w:spacing w:val="-7"/>
          <w:w w:val="105"/>
          <w:sz w:val="21"/>
        </w:rPr>
        <w:t> </w:t>
      </w:r>
      <w:r>
        <w:rPr>
          <w:spacing w:val="-4"/>
          <w:w w:val="105"/>
          <w:sz w:val="21"/>
        </w:rPr>
        <w:t>and</w:t>
      </w:r>
      <w:r>
        <w:rPr>
          <w:spacing w:val="-8"/>
          <w:w w:val="105"/>
          <w:sz w:val="21"/>
        </w:rPr>
        <w:t> </w:t>
      </w:r>
      <w:r>
        <w:rPr>
          <w:spacing w:val="-3"/>
          <w:w w:val="105"/>
          <w:sz w:val="21"/>
        </w:rPr>
        <w:t>parties</w:t>
      </w:r>
      <w:r>
        <w:rPr>
          <w:spacing w:val="-7"/>
          <w:w w:val="105"/>
          <w:sz w:val="21"/>
        </w:rPr>
        <w:t> </w:t>
      </w:r>
      <w:r>
        <w:rPr>
          <w:spacing w:val="-4"/>
          <w:w w:val="105"/>
          <w:sz w:val="21"/>
        </w:rPr>
        <w:t>join</w:t>
      </w:r>
      <w:r>
        <w:rPr>
          <w:spacing w:val="-8"/>
          <w:w w:val="105"/>
          <w:sz w:val="21"/>
        </w:rPr>
        <w:t> </w:t>
      </w:r>
      <w:r>
        <w:rPr>
          <w:spacing w:val="-3"/>
          <w:w w:val="105"/>
          <w:sz w:val="21"/>
        </w:rPr>
        <w:t>by</w:t>
      </w:r>
      <w:r>
        <w:rPr>
          <w:spacing w:val="-8"/>
          <w:w w:val="105"/>
          <w:sz w:val="21"/>
        </w:rPr>
        <w:t> </w:t>
      </w:r>
      <w:r>
        <w:rPr>
          <w:spacing w:val="-6"/>
          <w:w w:val="105"/>
          <w:sz w:val="21"/>
        </w:rPr>
        <w:t>phone.</w:t>
      </w:r>
      <w:r>
        <w:rPr>
          <w:spacing w:val="-6"/>
          <w:w w:val="105"/>
          <w:position w:val="7"/>
          <w:sz w:val="12"/>
        </w:rPr>
        <w:t>154</w:t>
      </w:r>
    </w:p>
    <w:p>
      <w:pPr>
        <w:pStyle w:val="Heading7"/>
        <w:spacing w:before="153"/>
      </w:pPr>
      <w:r>
        <w:rPr>
          <w:w w:val="115"/>
        </w:rPr>
        <w:t>Timeframes</w:t>
      </w:r>
    </w:p>
    <w:p>
      <w:pPr>
        <w:pStyle w:val="ListParagraph"/>
        <w:numPr>
          <w:ilvl w:val="1"/>
          <w:numId w:val="112"/>
        </w:numPr>
        <w:tabs>
          <w:tab w:pos="2382" w:val="left" w:leader="none"/>
        </w:tabs>
        <w:spacing w:line="242" w:lineRule="auto" w:before="143" w:after="0"/>
        <w:ind w:left="2381" w:right="1964" w:hanging="794"/>
        <w:jc w:val="both"/>
        <w:rPr>
          <w:sz w:val="12"/>
        </w:rPr>
      </w:pPr>
      <w:r>
        <w:rPr>
          <w:w w:val="105"/>
          <w:sz w:val="21"/>
        </w:rPr>
        <w:t>The</w:t>
      </w:r>
      <w:r>
        <w:rPr>
          <w:spacing w:val="-7"/>
          <w:w w:val="105"/>
          <w:sz w:val="21"/>
        </w:rPr>
        <w:t> </w:t>
      </w:r>
      <w:r>
        <w:rPr>
          <w:spacing w:val="-3"/>
          <w:w w:val="105"/>
          <w:sz w:val="21"/>
        </w:rPr>
        <w:t>average</w:t>
      </w:r>
      <w:r>
        <w:rPr>
          <w:spacing w:val="-7"/>
          <w:w w:val="105"/>
          <w:sz w:val="21"/>
        </w:rPr>
        <w:t> </w:t>
      </w:r>
      <w:r>
        <w:rPr>
          <w:w w:val="105"/>
          <w:sz w:val="21"/>
        </w:rPr>
        <w:t>time</w:t>
      </w:r>
      <w:r>
        <w:rPr>
          <w:spacing w:val="-7"/>
          <w:w w:val="105"/>
          <w:sz w:val="21"/>
        </w:rPr>
        <w:t> </w:t>
      </w:r>
      <w:r>
        <w:rPr>
          <w:spacing w:val="-3"/>
          <w:w w:val="105"/>
          <w:sz w:val="21"/>
        </w:rPr>
        <w:t>for</w:t>
      </w:r>
      <w:r>
        <w:rPr>
          <w:spacing w:val="-7"/>
          <w:w w:val="105"/>
          <w:sz w:val="21"/>
        </w:rPr>
        <w:t> </w:t>
      </w:r>
      <w:r>
        <w:rPr>
          <w:w w:val="105"/>
          <w:sz w:val="21"/>
        </w:rPr>
        <w:t>a</w:t>
      </w:r>
      <w:r>
        <w:rPr>
          <w:spacing w:val="-6"/>
          <w:w w:val="105"/>
          <w:sz w:val="21"/>
        </w:rPr>
        <w:t> </w:t>
      </w:r>
      <w:r>
        <w:rPr>
          <w:w w:val="105"/>
          <w:sz w:val="21"/>
        </w:rPr>
        <w:t>matter</w:t>
      </w:r>
      <w:r>
        <w:rPr>
          <w:spacing w:val="-7"/>
          <w:w w:val="105"/>
          <w:sz w:val="21"/>
        </w:rPr>
        <w:t> </w:t>
      </w:r>
      <w:r>
        <w:rPr>
          <w:spacing w:val="-3"/>
          <w:w w:val="105"/>
          <w:sz w:val="21"/>
        </w:rPr>
        <w:t>to</w:t>
      </w:r>
      <w:r>
        <w:rPr>
          <w:spacing w:val="-7"/>
          <w:w w:val="105"/>
          <w:sz w:val="21"/>
        </w:rPr>
        <w:t> </w:t>
      </w:r>
      <w:r>
        <w:rPr>
          <w:w w:val="105"/>
          <w:sz w:val="21"/>
        </w:rPr>
        <w:t>be</w:t>
      </w:r>
      <w:r>
        <w:rPr>
          <w:spacing w:val="-7"/>
          <w:w w:val="105"/>
          <w:sz w:val="21"/>
        </w:rPr>
        <w:t> </w:t>
      </w:r>
      <w:r>
        <w:rPr>
          <w:w w:val="105"/>
          <w:sz w:val="21"/>
        </w:rPr>
        <w:t>resolved,</w:t>
      </w:r>
      <w:r>
        <w:rPr>
          <w:spacing w:val="-6"/>
          <w:w w:val="105"/>
          <w:sz w:val="21"/>
        </w:rPr>
        <w:t> </w:t>
      </w:r>
      <w:r>
        <w:rPr>
          <w:spacing w:val="-3"/>
          <w:w w:val="105"/>
          <w:sz w:val="21"/>
        </w:rPr>
        <w:t>from</w:t>
      </w:r>
      <w:r>
        <w:rPr>
          <w:spacing w:val="-7"/>
          <w:w w:val="105"/>
          <w:sz w:val="21"/>
        </w:rPr>
        <w:t> </w:t>
      </w:r>
      <w:r>
        <w:rPr>
          <w:w w:val="105"/>
          <w:sz w:val="21"/>
        </w:rPr>
        <w:t>the</w:t>
      </w:r>
      <w:r>
        <w:rPr>
          <w:spacing w:val="-7"/>
          <w:w w:val="105"/>
          <w:sz w:val="21"/>
        </w:rPr>
        <w:t> </w:t>
      </w:r>
      <w:r>
        <w:rPr>
          <w:w w:val="105"/>
          <w:sz w:val="21"/>
        </w:rPr>
        <w:t>lodgment</w:t>
      </w:r>
      <w:r>
        <w:rPr>
          <w:spacing w:val="-7"/>
          <w:w w:val="105"/>
          <w:sz w:val="21"/>
        </w:rPr>
        <w:t> </w:t>
      </w:r>
      <w:r>
        <w:rPr>
          <w:w w:val="105"/>
          <w:sz w:val="21"/>
        </w:rPr>
        <w:t>of</w:t>
      </w:r>
      <w:r>
        <w:rPr>
          <w:spacing w:val="-6"/>
          <w:w w:val="105"/>
          <w:sz w:val="21"/>
        </w:rPr>
        <w:t> </w:t>
      </w:r>
      <w:r>
        <w:rPr>
          <w:w w:val="105"/>
          <w:sz w:val="21"/>
        </w:rPr>
        <w:t>the</w:t>
      </w:r>
      <w:r>
        <w:rPr>
          <w:spacing w:val="-7"/>
          <w:w w:val="105"/>
          <w:sz w:val="21"/>
        </w:rPr>
        <w:t> </w:t>
      </w:r>
      <w:r>
        <w:rPr>
          <w:w w:val="105"/>
          <w:sz w:val="21"/>
        </w:rPr>
        <w:t>application</w:t>
      </w:r>
      <w:r>
        <w:rPr>
          <w:spacing w:val="-7"/>
          <w:w w:val="105"/>
          <w:sz w:val="21"/>
        </w:rPr>
        <w:t> </w:t>
      </w:r>
      <w:r>
        <w:rPr>
          <w:spacing w:val="-3"/>
          <w:w w:val="105"/>
          <w:sz w:val="21"/>
        </w:rPr>
        <w:t>to </w:t>
      </w:r>
      <w:r>
        <w:rPr>
          <w:w w:val="105"/>
          <w:sz w:val="21"/>
        </w:rPr>
        <w:t>the </w:t>
      </w:r>
      <w:r>
        <w:rPr>
          <w:spacing w:val="-3"/>
          <w:w w:val="105"/>
          <w:sz w:val="21"/>
        </w:rPr>
        <w:t>making </w:t>
      </w:r>
      <w:r>
        <w:rPr>
          <w:w w:val="105"/>
          <w:sz w:val="21"/>
        </w:rPr>
        <w:t>of orders, is </w:t>
      </w:r>
      <w:r>
        <w:rPr>
          <w:spacing w:val="-6"/>
          <w:w w:val="105"/>
          <w:sz w:val="21"/>
        </w:rPr>
        <w:t>16 </w:t>
      </w:r>
      <w:r>
        <w:rPr>
          <w:spacing w:val="-4"/>
          <w:w w:val="105"/>
          <w:sz w:val="21"/>
        </w:rPr>
        <w:t>weeks.</w:t>
      </w:r>
      <w:r>
        <w:rPr>
          <w:spacing w:val="-4"/>
          <w:w w:val="105"/>
          <w:position w:val="7"/>
          <w:sz w:val="12"/>
        </w:rPr>
        <w:t>155 </w:t>
      </w:r>
      <w:r>
        <w:rPr>
          <w:spacing w:val="-4"/>
          <w:w w:val="105"/>
          <w:sz w:val="21"/>
        </w:rPr>
        <w:t>QCAT </w:t>
      </w:r>
      <w:r>
        <w:rPr>
          <w:spacing w:val="-3"/>
          <w:w w:val="105"/>
          <w:sz w:val="21"/>
        </w:rPr>
        <w:t>noted that </w:t>
      </w:r>
      <w:r>
        <w:rPr>
          <w:w w:val="105"/>
          <w:sz w:val="21"/>
        </w:rPr>
        <w:t>it very </w:t>
      </w:r>
      <w:r>
        <w:rPr>
          <w:spacing w:val="-3"/>
          <w:w w:val="105"/>
          <w:sz w:val="21"/>
        </w:rPr>
        <w:t>rarely </w:t>
      </w:r>
      <w:r>
        <w:rPr>
          <w:w w:val="105"/>
          <w:sz w:val="21"/>
        </w:rPr>
        <w:t>needs </w:t>
      </w:r>
      <w:r>
        <w:rPr>
          <w:spacing w:val="-3"/>
          <w:w w:val="105"/>
          <w:sz w:val="21"/>
        </w:rPr>
        <w:t>to </w:t>
      </w:r>
      <w:r>
        <w:rPr>
          <w:w w:val="105"/>
          <w:sz w:val="21"/>
        </w:rPr>
        <w:t>expedite matters. Where needed, it </w:t>
      </w:r>
      <w:r>
        <w:rPr>
          <w:spacing w:val="-2"/>
          <w:w w:val="105"/>
          <w:sz w:val="21"/>
        </w:rPr>
        <w:t>has </w:t>
      </w:r>
      <w:r>
        <w:rPr>
          <w:w w:val="105"/>
          <w:sz w:val="21"/>
        </w:rPr>
        <w:t>power </w:t>
      </w:r>
      <w:r>
        <w:rPr>
          <w:spacing w:val="-3"/>
          <w:w w:val="105"/>
          <w:sz w:val="21"/>
        </w:rPr>
        <w:t>to </w:t>
      </w:r>
      <w:r>
        <w:rPr>
          <w:w w:val="105"/>
          <w:sz w:val="21"/>
        </w:rPr>
        <w:t>order </w:t>
      </w:r>
      <w:r>
        <w:rPr>
          <w:spacing w:val="-3"/>
          <w:w w:val="105"/>
          <w:sz w:val="21"/>
        </w:rPr>
        <w:t>interim </w:t>
      </w:r>
      <w:r>
        <w:rPr>
          <w:w w:val="105"/>
          <w:sz w:val="21"/>
        </w:rPr>
        <w:t>injunctive</w:t>
      </w:r>
      <w:r>
        <w:rPr>
          <w:spacing w:val="2"/>
          <w:w w:val="105"/>
          <w:sz w:val="21"/>
        </w:rPr>
        <w:t> </w:t>
      </w:r>
      <w:r>
        <w:rPr>
          <w:spacing w:val="-5"/>
          <w:w w:val="105"/>
          <w:sz w:val="21"/>
        </w:rPr>
        <w:t>relief.</w:t>
      </w:r>
      <w:r>
        <w:rPr>
          <w:spacing w:val="-5"/>
          <w:w w:val="105"/>
          <w:position w:val="7"/>
          <w:sz w:val="12"/>
        </w:rPr>
        <w:t>156</w:t>
      </w:r>
    </w:p>
    <w:p>
      <w:pPr>
        <w:pStyle w:val="BodyText"/>
        <w:spacing w:before="3"/>
        <w:rPr>
          <w:sz w:val="20"/>
        </w:rPr>
      </w:pPr>
    </w:p>
    <w:p>
      <w:pPr>
        <w:pStyle w:val="Heading5"/>
      </w:pPr>
      <w:r>
        <w:rPr>
          <w:w w:val="110"/>
        </w:rPr>
        <w:t>Tasmania</w:t>
      </w:r>
    </w:p>
    <w:p>
      <w:pPr>
        <w:pStyle w:val="ListParagraph"/>
        <w:numPr>
          <w:ilvl w:val="1"/>
          <w:numId w:val="112"/>
        </w:numPr>
        <w:tabs>
          <w:tab w:pos="2381" w:val="left" w:leader="none"/>
          <w:tab w:pos="2382" w:val="left" w:leader="none"/>
        </w:tabs>
        <w:spacing w:line="242" w:lineRule="auto" w:before="138" w:after="0"/>
        <w:ind w:left="2381" w:right="1741" w:hanging="794"/>
        <w:jc w:val="left"/>
        <w:rPr>
          <w:sz w:val="12"/>
        </w:rPr>
      </w:pPr>
      <w:r>
        <w:rPr>
          <w:spacing w:val="-6"/>
          <w:w w:val="105"/>
          <w:sz w:val="21"/>
        </w:rPr>
        <w:t>RMPAT </w:t>
      </w:r>
      <w:r>
        <w:rPr>
          <w:w w:val="105"/>
          <w:sz w:val="21"/>
        </w:rPr>
        <w:t>is an independent </w:t>
      </w:r>
      <w:r>
        <w:rPr>
          <w:spacing w:val="-3"/>
          <w:w w:val="105"/>
          <w:sz w:val="21"/>
        </w:rPr>
        <w:t>tribunal that </w:t>
      </w:r>
      <w:r>
        <w:rPr>
          <w:w w:val="105"/>
          <w:sz w:val="21"/>
        </w:rPr>
        <w:t>hears appeals </w:t>
      </w:r>
      <w:r>
        <w:rPr>
          <w:spacing w:val="-3"/>
          <w:w w:val="105"/>
          <w:sz w:val="21"/>
        </w:rPr>
        <w:t>relating to </w:t>
      </w:r>
      <w:r>
        <w:rPr>
          <w:w w:val="105"/>
          <w:sz w:val="21"/>
        </w:rPr>
        <w:t>the </w:t>
      </w:r>
      <w:r>
        <w:rPr>
          <w:spacing w:val="-3"/>
          <w:w w:val="105"/>
          <w:sz w:val="21"/>
        </w:rPr>
        <w:t>management </w:t>
      </w:r>
      <w:r>
        <w:rPr>
          <w:w w:val="105"/>
          <w:sz w:val="21"/>
        </w:rPr>
        <w:t>of </w:t>
      </w:r>
      <w:r>
        <w:rPr>
          <w:spacing w:val="-3"/>
          <w:w w:val="105"/>
          <w:sz w:val="21"/>
        </w:rPr>
        <w:t>natural</w:t>
      </w:r>
      <w:r>
        <w:rPr>
          <w:spacing w:val="-7"/>
          <w:w w:val="105"/>
          <w:sz w:val="21"/>
        </w:rPr>
        <w:t> </w:t>
      </w:r>
      <w:r>
        <w:rPr>
          <w:w w:val="105"/>
          <w:sz w:val="21"/>
        </w:rPr>
        <w:t>and</w:t>
      </w:r>
      <w:r>
        <w:rPr>
          <w:spacing w:val="-7"/>
          <w:w w:val="105"/>
          <w:sz w:val="21"/>
        </w:rPr>
        <w:t> </w:t>
      </w:r>
      <w:r>
        <w:rPr>
          <w:w w:val="105"/>
          <w:sz w:val="21"/>
        </w:rPr>
        <w:t>physical</w:t>
      </w:r>
      <w:r>
        <w:rPr>
          <w:spacing w:val="-6"/>
          <w:w w:val="105"/>
          <w:sz w:val="21"/>
        </w:rPr>
        <w:t> </w:t>
      </w:r>
      <w:r>
        <w:rPr>
          <w:spacing w:val="-3"/>
          <w:w w:val="105"/>
          <w:sz w:val="21"/>
        </w:rPr>
        <w:t>resources</w:t>
      </w:r>
      <w:r>
        <w:rPr>
          <w:spacing w:val="-7"/>
          <w:w w:val="105"/>
          <w:sz w:val="21"/>
        </w:rPr>
        <w:t> </w:t>
      </w:r>
      <w:r>
        <w:rPr>
          <w:w w:val="105"/>
          <w:sz w:val="21"/>
        </w:rPr>
        <w:t>and</w:t>
      </w:r>
      <w:r>
        <w:rPr>
          <w:spacing w:val="-6"/>
          <w:w w:val="105"/>
          <w:sz w:val="21"/>
        </w:rPr>
        <w:t> </w:t>
      </w:r>
      <w:r>
        <w:rPr>
          <w:spacing w:val="-3"/>
          <w:w w:val="105"/>
          <w:sz w:val="21"/>
        </w:rPr>
        <w:t>planning</w:t>
      </w:r>
      <w:r>
        <w:rPr>
          <w:spacing w:val="-7"/>
          <w:w w:val="105"/>
          <w:sz w:val="21"/>
        </w:rPr>
        <w:t> </w:t>
      </w:r>
      <w:r>
        <w:rPr>
          <w:w w:val="105"/>
          <w:sz w:val="21"/>
        </w:rPr>
        <w:t>and</w:t>
      </w:r>
      <w:r>
        <w:rPr>
          <w:spacing w:val="-6"/>
          <w:w w:val="105"/>
          <w:sz w:val="21"/>
        </w:rPr>
        <w:t> </w:t>
      </w:r>
      <w:r>
        <w:rPr>
          <w:w w:val="105"/>
          <w:sz w:val="21"/>
        </w:rPr>
        <w:t>tree</w:t>
      </w:r>
      <w:r>
        <w:rPr>
          <w:spacing w:val="-7"/>
          <w:w w:val="105"/>
          <w:sz w:val="21"/>
        </w:rPr>
        <w:t> </w:t>
      </w:r>
      <w:r>
        <w:rPr>
          <w:spacing w:val="-3"/>
          <w:w w:val="105"/>
          <w:sz w:val="21"/>
        </w:rPr>
        <w:t>disputes</w:t>
      </w:r>
      <w:r>
        <w:rPr>
          <w:spacing w:val="-6"/>
          <w:w w:val="105"/>
          <w:sz w:val="21"/>
        </w:rPr>
        <w:t> </w:t>
      </w:r>
      <w:r>
        <w:rPr>
          <w:w w:val="105"/>
          <w:sz w:val="21"/>
        </w:rPr>
        <w:t>under</w:t>
      </w:r>
      <w:r>
        <w:rPr>
          <w:spacing w:val="-7"/>
          <w:w w:val="105"/>
          <w:sz w:val="21"/>
        </w:rPr>
        <w:t> </w:t>
      </w:r>
      <w:r>
        <w:rPr>
          <w:w w:val="105"/>
          <w:sz w:val="21"/>
        </w:rPr>
        <w:t>the</w:t>
      </w:r>
      <w:r>
        <w:rPr>
          <w:spacing w:val="-6"/>
          <w:w w:val="105"/>
          <w:sz w:val="21"/>
        </w:rPr>
        <w:t> </w:t>
      </w:r>
      <w:r>
        <w:rPr>
          <w:i/>
          <w:w w:val="105"/>
          <w:sz w:val="21"/>
        </w:rPr>
        <w:t>Neighbourhood </w:t>
      </w:r>
      <w:r>
        <w:rPr>
          <w:i/>
          <w:spacing w:val="-3"/>
          <w:w w:val="105"/>
          <w:sz w:val="21"/>
        </w:rPr>
        <w:t>Disputes </w:t>
      </w:r>
      <w:r>
        <w:rPr>
          <w:i/>
          <w:w w:val="105"/>
          <w:sz w:val="21"/>
        </w:rPr>
        <w:t>About </w:t>
      </w:r>
      <w:r>
        <w:rPr>
          <w:i/>
          <w:spacing w:val="-4"/>
          <w:w w:val="105"/>
          <w:sz w:val="21"/>
        </w:rPr>
        <w:t>Trees </w:t>
      </w:r>
      <w:r>
        <w:rPr>
          <w:i/>
          <w:w w:val="105"/>
          <w:sz w:val="21"/>
        </w:rPr>
        <w:t>Act </w:t>
      </w:r>
      <w:r>
        <w:rPr>
          <w:i/>
          <w:spacing w:val="-10"/>
          <w:w w:val="105"/>
          <w:sz w:val="21"/>
        </w:rPr>
        <w:t>2017 </w:t>
      </w:r>
      <w:r>
        <w:rPr>
          <w:spacing w:val="-3"/>
          <w:w w:val="105"/>
          <w:sz w:val="21"/>
        </w:rPr>
        <w:t>(Tas) </w:t>
      </w:r>
      <w:r>
        <w:rPr>
          <w:w w:val="105"/>
          <w:sz w:val="21"/>
        </w:rPr>
        <w:t>(The </w:t>
      </w:r>
      <w:r>
        <w:rPr>
          <w:spacing w:val="-4"/>
          <w:w w:val="105"/>
          <w:sz w:val="21"/>
        </w:rPr>
        <w:t>Tasmanian</w:t>
      </w:r>
      <w:r>
        <w:rPr>
          <w:spacing w:val="26"/>
          <w:w w:val="105"/>
          <w:sz w:val="21"/>
        </w:rPr>
        <w:t> </w:t>
      </w:r>
      <w:r>
        <w:rPr>
          <w:spacing w:val="-4"/>
          <w:w w:val="105"/>
          <w:sz w:val="21"/>
        </w:rPr>
        <w:t>Act).</w:t>
      </w:r>
      <w:r>
        <w:rPr>
          <w:spacing w:val="-4"/>
          <w:w w:val="105"/>
          <w:position w:val="7"/>
          <w:sz w:val="12"/>
        </w:rPr>
        <w:t>157</w:t>
      </w:r>
    </w:p>
    <w:p>
      <w:pPr>
        <w:pStyle w:val="Heading7"/>
      </w:pPr>
      <w:r>
        <w:rPr/>
        <w:pict>
          <v:shape style="position:absolute;margin-left:79.363602pt;margin-top:28.694719pt;width:436.55pt;height:256.7pt;mso-position-horizontal-relative:page;mso-position-vertical-relative:paragraph;z-index:872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1"/>
                    <w:gridCol w:w="8140"/>
                  </w:tblGrid>
                  <w:tr>
                    <w:trPr>
                      <w:trHeight w:val="1610" w:hRule="atLeast"/>
                    </w:trPr>
                    <w:tc>
                      <w:tcPr>
                        <w:tcW w:w="591" w:type="dxa"/>
                        <w:tcBorders>
                          <w:bottom w:val="single" w:sz="8" w:space="0" w:color="C9D2CB"/>
                        </w:tcBorders>
                      </w:tcPr>
                      <w:p>
                        <w:pPr>
                          <w:pStyle w:val="TableParagraph"/>
                          <w:spacing w:line="248" w:lineRule="exact"/>
                          <w:rPr>
                            <w:sz w:val="21"/>
                          </w:rPr>
                        </w:pPr>
                        <w:r>
                          <w:rPr>
                            <w:w w:val="110"/>
                            <w:sz w:val="21"/>
                          </w:rPr>
                          <w:t>7.80</w:t>
                        </w:r>
                      </w:p>
                    </w:tc>
                    <w:tc>
                      <w:tcPr>
                        <w:tcW w:w="8140" w:type="dxa"/>
                        <w:tcBorders>
                          <w:bottom w:val="single" w:sz="8" w:space="0" w:color="C9D2CB"/>
                        </w:tcBorders>
                      </w:tcPr>
                      <w:p>
                        <w:pPr>
                          <w:pStyle w:val="TableParagraph"/>
                          <w:spacing w:line="242" w:lineRule="auto"/>
                          <w:ind w:left="202" w:right="308"/>
                          <w:rPr>
                            <w:sz w:val="12"/>
                          </w:rPr>
                        </w:pPr>
                        <w:r>
                          <w:rPr>
                            <w:spacing w:val="-6"/>
                            <w:sz w:val="21"/>
                          </w:rPr>
                          <w:t>RMPAT </w:t>
                        </w:r>
                        <w:r>
                          <w:rPr>
                            <w:sz w:val="21"/>
                          </w:rPr>
                          <w:t>is led by an </w:t>
                        </w:r>
                        <w:r>
                          <w:rPr>
                            <w:spacing w:val="-3"/>
                            <w:sz w:val="21"/>
                          </w:rPr>
                          <w:t>Australian </w:t>
                        </w:r>
                        <w:r>
                          <w:rPr>
                            <w:sz w:val="21"/>
                          </w:rPr>
                          <w:t>legal practitioner of </w:t>
                        </w:r>
                        <w:r>
                          <w:rPr>
                            <w:spacing w:val="-2"/>
                            <w:sz w:val="21"/>
                          </w:rPr>
                          <w:t>not </w:t>
                        </w:r>
                        <w:r>
                          <w:rPr>
                            <w:sz w:val="21"/>
                          </w:rPr>
                          <w:t>less </w:t>
                        </w:r>
                        <w:r>
                          <w:rPr>
                            <w:spacing w:val="-3"/>
                            <w:sz w:val="21"/>
                          </w:rPr>
                          <w:t>than </w:t>
                        </w:r>
                        <w:r>
                          <w:rPr>
                            <w:sz w:val="21"/>
                          </w:rPr>
                          <w:t>five years </w:t>
                        </w:r>
                        <w:r>
                          <w:rPr>
                            <w:spacing w:val="-4"/>
                            <w:sz w:val="21"/>
                          </w:rPr>
                          <w:t>standing.</w:t>
                        </w:r>
                        <w:r>
                          <w:rPr>
                            <w:spacing w:val="-4"/>
                            <w:position w:val="7"/>
                            <w:sz w:val="12"/>
                          </w:rPr>
                          <w:t>158 </w:t>
                        </w:r>
                        <w:r>
                          <w:rPr>
                            <w:spacing w:val="-5"/>
                            <w:sz w:val="21"/>
                          </w:rPr>
                          <w:t>Tribunal </w:t>
                        </w:r>
                        <w:r>
                          <w:rPr>
                            <w:sz w:val="21"/>
                          </w:rPr>
                          <w:t>members </w:t>
                        </w:r>
                        <w:r>
                          <w:rPr>
                            <w:spacing w:val="-3"/>
                            <w:sz w:val="21"/>
                          </w:rPr>
                          <w:t>are appointed for </w:t>
                        </w:r>
                        <w:r>
                          <w:rPr>
                            <w:sz w:val="21"/>
                          </w:rPr>
                          <w:t>their ‘knowledge and expertise in </w:t>
                        </w:r>
                        <w:r>
                          <w:rPr>
                            <w:spacing w:val="-3"/>
                            <w:sz w:val="21"/>
                          </w:rPr>
                          <w:t>relevant areas to </w:t>
                        </w:r>
                        <w:r>
                          <w:rPr>
                            <w:sz w:val="21"/>
                          </w:rPr>
                          <w:t>the appeal </w:t>
                        </w:r>
                        <w:r>
                          <w:rPr>
                            <w:spacing w:val="-5"/>
                            <w:sz w:val="21"/>
                          </w:rPr>
                          <w:t>proceedings’.</w:t>
                        </w:r>
                        <w:r>
                          <w:rPr>
                            <w:spacing w:val="-5"/>
                            <w:position w:val="7"/>
                            <w:sz w:val="12"/>
                          </w:rPr>
                          <w:t>159 </w:t>
                        </w:r>
                        <w:r>
                          <w:rPr>
                            <w:sz w:val="21"/>
                          </w:rPr>
                          <w:t>The </w:t>
                        </w:r>
                        <w:r>
                          <w:rPr>
                            <w:spacing w:val="-5"/>
                            <w:sz w:val="21"/>
                          </w:rPr>
                          <w:t>Tribunal </w:t>
                        </w:r>
                        <w:r>
                          <w:rPr>
                            <w:sz w:val="21"/>
                          </w:rPr>
                          <w:t>is </w:t>
                        </w:r>
                        <w:r>
                          <w:rPr>
                            <w:spacing w:val="-3"/>
                            <w:sz w:val="21"/>
                          </w:rPr>
                          <w:t>ordinarily constituted </w:t>
                        </w:r>
                        <w:r>
                          <w:rPr>
                            <w:sz w:val="21"/>
                          </w:rPr>
                          <w:t>by three members and matters</w:t>
                        </w:r>
                        <w:r>
                          <w:rPr>
                            <w:spacing w:val="9"/>
                            <w:sz w:val="21"/>
                          </w:rPr>
                          <w:t> </w:t>
                        </w:r>
                        <w:r>
                          <w:rPr>
                            <w:spacing w:val="-3"/>
                            <w:sz w:val="21"/>
                          </w:rPr>
                          <w:t>are</w:t>
                        </w:r>
                        <w:r>
                          <w:rPr>
                            <w:spacing w:val="10"/>
                            <w:sz w:val="21"/>
                          </w:rPr>
                          <w:t> </w:t>
                        </w:r>
                        <w:r>
                          <w:rPr>
                            <w:spacing w:val="-3"/>
                            <w:sz w:val="21"/>
                          </w:rPr>
                          <w:t>usually</w:t>
                        </w:r>
                        <w:r>
                          <w:rPr>
                            <w:spacing w:val="10"/>
                            <w:sz w:val="21"/>
                          </w:rPr>
                          <w:t> </w:t>
                        </w:r>
                        <w:r>
                          <w:rPr>
                            <w:spacing w:val="-3"/>
                            <w:sz w:val="21"/>
                          </w:rPr>
                          <w:t>heard</w:t>
                        </w:r>
                        <w:r>
                          <w:rPr>
                            <w:spacing w:val="10"/>
                            <w:sz w:val="21"/>
                          </w:rPr>
                          <w:t> </w:t>
                        </w:r>
                        <w:r>
                          <w:rPr>
                            <w:sz w:val="21"/>
                          </w:rPr>
                          <w:t>by</w:t>
                        </w:r>
                        <w:r>
                          <w:rPr>
                            <w:spacing w:val="10"/>
                            <w:sz w:val="21"/>
                          </w:rPr>
                          <w:t> </w:t>
                        </w:r>
                        <w:r>
                          <w:rPr>
                            <w:sz w:val="21"/>
                          </w:rPr>
                          <w:t>the</w:t>
                        </w:r>
                        <w:r>
                          <w:rPr>
                            <w:spacing w:val="10"/>
                            <w:sz w:val="21"/>
                          </w:rPr>
                          <w:t> </w:t>
                        </w:r>
                        <w:r>
                          <w:rPr>
                            <w:sz w:val="21"/>
                          </w:rPr>
                          <w:t>chairperson</w:t>
                        </w:r>
                        <w:r>
                          <w:rPr>
                            <w:spacing w:val="10"/>
                            <w:sz w:val="21"/>
                          </w:rPr>
                          <w:t> </w:t>
                        </w:r>
                        <w:r>
                          <w:rPr>
                            <w:sz w:val="21"/>
                          </w:rPr>
                          <w:t>or</w:t>
                        </w:r>
                        <w:r>
                          <w:rPr>
                            <w:spacing w:val="10"/>
                            <w:sz w:val="21"/>
                          </w:rPr>
                          <w:t> </w:t>
                        </w:r>
                        <w:r>
                          <w:rPr>
                            <w:sz w:val="21"/>
                          </w:rPr>
                          <w:t>a</w:t>
                        </w:r>
                        <w:r>
                          <w:rPr>
                            <w:spacing w:val="10"/>
                            <w:sz w:val="21"/>
                          </w:rPr>
                          <w:t> </w:t>
                        </w:r>
                        <w:r>
                          <w:rPr>
                            <w:spacing w:val="-5"/>
                            <w:sz w:val="21"/>
                          </w:rPr>
                          <w:t>member.</w:t>
                        </w:r>
                        <w:r>
                          <w:rPr>
                            <w:spacing w:val="-5"/>
                            <w:position w:val="7"/>
                            <w:sz w:val="12"/>
                          </w:rPr>
                          <w:t>160</w:t>
                        </w:r>
                      </w:p>
                    </w:tc>
                  </w:tr>
                  <w:tr>
                    <w:trPr>
                      <w:trHeight w:val="306" w:hRule="atLeast"/>
                    </w:trPr>
                    <w:tc>
                      <w:tcPr>
                        <w:tcW w:w="591" w:type="dxa"/>
                        <w:tcBorders>
                          <w:top w:val="single" w:sz="8" w:space="0" w:color="C9D2CB"/>
                        </w:tcBorders>
                      </w:tcPr>
                      <w:p>
                        <w:pPr>
                          <w:pStyle w:val="TableParagraph"/>
                          <w:spacing w:before="11"/>
                          <w:rPr>
                            <w:b/>
                            <w:sz w:val="11"/>
                          </w:rPr>
                        </w:pPr>
                      </w:p>
                      <w:p>
                        <w:pPr>
                          <w:pStyle w:val="TableParagraph"/>
                          <w:spacing w:line="140" w:lineRule="exact" w:before="1"/>
                          <w:rPr>
                            <w:sz w:val="13"/>
                          </w:rPr>
                        </w:pPr>
                        <w:r>
                          <w:rPr>
                            <w:w w:val="110"/>
                            <w:sz w:val="13"/>
                          </w:rPr>
                          <w:t>144</w:t>
                        </w:r>
                      </w:p>
                    </w:tc>
                    <w:tc>
                      <w:tcPr>
                        <w:tcW w:w="8140" w:type="dxa"/>
                        <w:tcBorders>
                          <w:top w:val="single" w:sz="8" w:space="0" w:color="C9D2CB"/>
                        </w:tcBorders>
                      </w:tcPr>
                      <w:p>
                        <w:pPr>
                          <w:pStyle w:val="TableParagraph"/>
                          <w:spacing w:before="11"/>
                          <w:rPr>
                            <w:b/>
                            <w:sz w:val="11"/>
                          </w:rPr>
                        </w:pPr>
                      </w:p>
                      <w:p>
                        <w:pPr>
                          <w:pStyle w:val="TableParagraph"/>
                          <w:spacing w:line="140" w:lineRule="exact" w:before="1"/>
                          <w:ind w:left="202"/>
                          <w:rPr>
                            <w:sz w:val="13"/>
                          </w:rPr>
                        </w:pPr>
                        <w:r>
                          <w:rPr>
                            <w:w w:val="105"/>
                            <w:sz w:val="13"/>
                          </w:rPr>
                          <w:t>See </w:t>
                        </w:r>
                        <w:r>
                          <w:rPr>
                            <w:i/>
                            <w:w w:val="105"/>
                            <w:sz w:val="13"/>
                          </w:rPr>
                          <w:t>Queensland Civil and Administrative Tribunal Act 2009 </w:t>
                        </w:r>
                        <w:r>
                          <w:rPr>
                            <w:w w:val="105"/>
                            <w:sz w:val="13"/>
                          </w:rPr>
                          <w:t>(Qld) s 69; </w:t>
                        </w:r>
                        <w:r>
                          <w:rPr>
                            <w:i/>
                            <w:w w:val="105"/>
                            <w:sz w:val="13"/>
                          </w:rPr>
                          <w:t>Consultation 15 </w:t>
                        </w:r>
                        <w:r>
                          <w:rPr>
                            <w:w w:val="105"/>
                            <w:sz w:val="13"/>
                          </w:rPr>
                          <w:t>(Queensland Civil and Administrative Tribunal).</w:t>
                        </w:r>
                      </w:p>
                    </w:tc>
                  </w:tr>
                  <w:tr>
                    <w:trPr>
                      <w:trHeight w:val="160" w:hRule="atLeast"/>
                    </w:trPr>
                    <w:tc>
                      <w:tcPr>
                        <w:tcW w:w="591" w:type="dxa"/>
                      </w:tcPr>
                      <w:p>
                        <w:pPr>
                          <w:pStyle w:val="TableParagraph"/>
                          <w:spacing w:line="140" w:lineRule="exact"/>
                          <w:rPr>
                            <w:sz w:val="13"/>
                          </w:rPr>
                        </w:pPr>
                        <w:r>
                          <w:rPr>
                            <w:w w:val="110"/>
                            <w:sz w:val="13"/>
                          </w:rPr>
                          <w:t>145</w:t>
                        </w:r>
                      </w:p>
                    </w:tc>
                    <w:tc>
                      <w:tcPr>
                        <w:tcW w:w="8140" w:type="dxa"/>
                      </w:tcPr>
                      <w:p>
                        <w:pPr>
                          <w:pStyle w:val="TableParagraph"/>
                          <w:spacing w:line="140" w:lineRule="exact"/>
                          <w:ind w:left="202"/>
                          <w:rPr>
                            <w:sz w:val="13"/>
                          </w:rPr>
                        </w:pPr>
                        <w:r>
                          <w:rPr>
                            <w:w w:val="105"/>
                            <w:sz w:val="13"/>
                          </w:rPr>
                          <w:t>See generally, </w:t>
                        </w:r>
                        <w:r>
                          <w:rPr>
                            <w:i/>
                            <w:w w:val="105"/>
                            <w:sz w:val="13"/>
                          </w:rPr>
                          <w:t>Queensland Civil and Administrative Tribunal Act 2009 </w:t>
                        </w:r>
                        <w:r>
                          <w:rPr>
                            <w:w w:val="105"/>
                            <w:sz w:val="13"/>
                          </w:rPr>
                          <w:t>(Qld) div 3.</w:t>
                        </w:r>
                      </w:p>
                    </w:tc>
                  </w:tr>
                  <w:tr>
                    <w:trPr>
                      <w:trHeight w:val="159" w:hRule="atLeast"/>
                    </w:trPr>
                    <w:tc>
                      <w:tcPr>
                        <w:tcW w:w="591" w:type="dxa"/>
                      </w:tcPr>
                      <w:p>
                        <w:pPr>
                          <w:pStyle w:val="TableParagraph"/>
                          <w:spacing w:line="140" w:lineRule="exact"/>
                          <w:rPr>
                            <w:sz w:val="13"/>
                          </w:rPr>
                        </w:pPr>
                        <w:r>
                          <w:rPr>
                            <w:w w:val="110"/>
                            <w:sz w:val="13"/>
                          </w:rPr>
                          <w:t>146</w:t>
                        </w:r>
                      </w:p>
                    </w:tc>
                    <w:tc>
                      <w:tcPr>
                        <w:tcW w:w="8140" w:type="dxa"/>
                      </w:tcPr>
                      <w:p>
                        <w:pPr>
                          <w:pStyle w:val="TableParagraph"/>
                          <w:spacing w:line="140" w:lineRule="exact"/>
                          <w:ind w:left="202"/>
                          <w:rPr>
                            <w:sz w:val="13"/>
                          </w:rPr>
                        </w:pPr>
                        <w:r>
                          <w:rPr>
                            <w:w w:val="105"/>
                            <w:sz w:val="13"/>
                          </w:rPr>
                          <w:t>Consultation 15 (Queensland Civil and Administrative Tribunal).</w:t>
                        </w:r>
                      </w:p>
                    </w:tc>
                  </w:tr>
                  <w:tr>
                    <w:trPr>
                      <w:trHeight w:val="160" w:hRule="atLeast"/>
                    </w:trPr>
                    <w:tc>
                      <w:tcPr>
                        <w:tcW w:w="591" w:type="dxa"/>
                      </w:tcPr>
                      <w:p>
                        <w:pPr>
                          <w:pStyle w:val="TableParagraph"/>
                          <w:spacing w:line="140" w:lineRule="exact"/>
                          <w:rPr>
                            <w:sz w:val="13"/>
                          </w:rPr>
                        </w:pPr>
                        <w:r>
                          <w:rPr>
                            <w:w w:val="110"/>
                            <w:sz w:val="13"/>
                          </w:rPr>
                          <w:t>147</w:t>
                        </w:r>
                      </w:p>
                    </w:tc>
                    <w:tc>
                      <w:tcPr>
                        <w:tcW w:w="8140" w:type="dxa"/>
                      </w:tcPr>
                      <w:p>
                        <w:pPr>
                          <w:pStyle w:val="TableParagraph"/>
                          <w:spacing w:line="140" w:lineRule="exact"/>
                          <w:ind w:left="202"/>
                          <w:rPr>
                            <w:sz w:val="13"/>
                          </w:rPr>
                        </w:pPr>
                        <w:r>
                          <w:rPr>
                            <w:w w:val="105"/>
                            <w:sz w:val="13"/>
                          </w:rPr>
                          <w:t>Queensland Civil and Administrative Tribunal, </w:t>
                        </w:r>
                        <w:r>
                          <w:rPr>
                            <w:i/>
                            <w:w w:val="105"/>
                            <w:sz w:val="13"/>
                          </w:rPr>
                          <w:t>Mediation </w:t>
                        </w:r>
                        <w:r>
                          <w:rPr>
                            <w:w w:val="105"/>
                            <w:sz w:val="13"/>
                          </w:rPr>
                          <w:t>(Web Page, 12 April 2017) &lt;https://</w:t>
                        </w:r>
                        <w:hyperlink r:id="rId185">
                          <w:r>
                            <w:rPr>
                              <w:w w:val="105"/>
                              <w:sz w:val="13"/>
                            </w:rPr>
                            <w:t>www.qcat.qld.gov.au/going-to-the-tribunal/</w:t>
                          </w:r>
                        </w:hyperlink>
                      </w:p>
                    </w:tc>
                  </w:tr>
                  <w:tr>
                    <w:trPr>
                      <w:trHeight w:val="159" w:hRule="atLeast"/>
                    </w:trPr>
                    <w:tc>
                      <w:tcPr>
                        <w:tcW w:w="591" w:type="dxa"/>
                      </w:tcPr>
                      <w:p>
                        <w:pPr>
                          <w:pStyle w:val="TableParagraph"/>
                          <w:rPr>
                            <w:rFonts w:ascii="Times New Roman"/>
                            <w:sz w:val="10"/>
                          </w:rPr>
                        </w:pPr>
                      </w:p>
                    </w:tc>
                    <w:tc>
                      <w:tcPr>
                        <w:tcW w:w="8140" w:type="dxa"/>
                      </w:tcPr>
                      <w:p>
                        <w:pPr>
                          <w:pStyle w:val="TableParagraph"/>
                          <w:spacing w:line="140" w:lineRule="exact"/>
                          <w:ind w:left="202"/>
                          <w:rPr>
                            <w:sz w:val="13"/>
                          </w:rPr>
                        </w:pPr>
                        <w:r>
                          <w:rPr>
                            <w:w w:val="105"/>
                            <w:sz w:val="13"/>
                          </w:rPr>
                          <w:t>types-of-proceedings/mediation&gt;.</w:t>
                        </w:r>
                      </w:p>
                    </w:tc>
                  </w:tr>
                  <w:tr>
                    <w:trPr>
                      <w:trHeight w:val="160" w:hRule="atLeast"/>
                    </w:trPr>
                    <w:tc>
                      <w:tcPr>
                        <w:tcW w:w="591" w:type="dxa"/>
                      </w:tcPr>
                      <w:p>
                        <w:pPr>
                          <w:pStyle w:val="TableParagraph"/>
                          <w:spacing w:line="140" w:lineRule="exact"/>
                          <w:rPr>
                            <w:sz w:val="13"/>
                          </w:rPr>
                        </w:pPr>
                        <w:r>
                          <w:rPr>
                            <w:w w:val="110"/>
                            <w:sz w:val="13"/>
                          </w:rPr>
                          <w:t>148</w:t>
                        </w:r>
                      </w:p>
                    </w:tc>
                    <w:tc>
                      <w:tcPr>
                        <w:tcW w:w="8140" w:type="dxa"/>
                      </w:tcPr>
                      <w:p>
                        <w:pPr>
                          <w:pStyle w:val="TableParagraph"/>
                          <w:spacing w:line="140" w:lineRule="exact"/>
                          <w:ind w:left="202"/>
                          <w:rPr>
                            <w:i/>
                            <w:sz w:val="13"/>
                          </w:rPr>
                        </w:pPr>
                        <w:r>
                          <w:rPr>
                            <w:w w:val="105"/>
                            <w:sz w:val="13"/>
                          </w:rPr>
                          <w:t>Queensland Civil and Administrative Tribunal, </w:t>
                        </w:r>
                        <w:r>
                          <w:rPr>
                            <w:i/>
                            <w:w w:val="105"/>
                            <w:sz w:val="13"/>
                          </w:rPr>
                          <w:t>QCAT Practice Direction No 6 of 2010: Compulsory Conferences and Mediation,</w:t>
                        </w:r>
                      </w:p>
                    </w:tc>
                  </w:tr>
                  <w:tr>
                    <w:trPr>
                      <w:trHeight w:val="160" w:hRule="atLeast"/>
                    </w:trPr>
                    <w:tc>
                      <w:tcPr>
                        <w:tcW w:w="591" w:type="dxa"/>
                      </w:tcPr>
                      <w:p>
                        <w:pPr>
                          <w:pStyle w:val="TableParagraph"/>
                          <w:rPr>
                            <w:rFonts w:ascii="Times New Roman"/>
                            <w:sz w:val="10"/>
                          </w:rPr>
                        </w:pPr>
                      </w:p>
                    </w:tc>
                    <w:tc>
                      <w:tcPr>
                        <w:tcW w:w="8140" w:type="dxa"/>
                      </w:tcPr>
                      <w:p>
                        <w:pPr>
                          <w:pStyle w:val="TableParagraph"/>
                          <w:spacing w:line="140" w:lineRule="exact"/>
                          <w:ind w:left="202"/>
                          <w:rPr>
                            <w:sz w:val="13"/>
                          </w:rPr>
                        </w:pPr>
                        <w:r>
                          <w:rPr>
                            <w:w w:val="110"/>
                            <w:sz w:val="13"/>
                          </w:rPr>
                          <w:t>20 April 2010.</w:t>
                        </w:r>
                      </w:p>
                    </w:tc>
                  </w:tr>
                  <w:tr>
                    <w:trPr>
                      <w:trHeight w:val="160" w:hRule="atLeast"/>
                    </w:trPr>
                    <w:tc>
                      <w:tcPr>
                        <w:tcW w:w="591" w:type="dxa"/>
                      </w:tcPr>
                      <w:p>
                        <w:pPr>
                          <w:pStyle w:val="TableParagraph"/>
                          <w:spacing w:line="140" w:lineRule="exact"/>
                          <w:rPr>
                            <w:sz w:val="13"/>
                          </w:rPr>
                        </w:pPr>
                        <w:r>
                          <w:rPr>
                            <w:w w:val="110"/>
                            <w:sz w:val="13"/>
                          </w:rPr>
                          <w:t>149</w:t>
                        </w:r>
                      </w:p>
                    </w:tc>
                    <w:tc>
                      <w:tcPr>
                        <w:tcW w:w="8140" w:type="dxa"/>
                      </w:tcPr>
                      <w:p>
                        <w:pPr>
                          <w:pStyle w:val="TableParagraph"/>
                          <w:spacing w:line="140" w:lineRule="exact"/>
                          <w:ind w:left="202"/>
                          <w:rPr>
                            <w:sz w:val="13"/>
                          </w:rPr>
                        </w:pPr>
                        <w:r>
                          <w:rPr>
                            <w:w w:val="105"/>
                            <w:sz w:val="13"/>
                          </w:rPr>
                          <w:t>Consultation 15 (Queensland Civil and Administrative Tribunal).</w:t>
                        </w:r>
                      </w:p>
                    </w:tc>
                  </w:tr>
                  <w:tr>
                    <w:trPr>
                      <w:trHeight w:val="160" w:hRule="atLeast"/>
                    </w:trPr>
                    <w:tc>
                      <w:tcPr>
                        <w:tcW w:w="591" w:type="dxa"/>
                      </w:tcPr>
                      <w:p>
                        <w:pPr>
                          <w:pStyle w:val="TableParagraph"/>
                          <w:spacing w:line="140" w:lineRule="exact"/>
                          <w:rPr>
                            <w:sz w:val="13"/>
                          </w:rPr>
                        </w:pPr>
                        <w:r>
                          <w:rPr>
                            <w:w w:val="110"/>
                            <w:sz w:val="13"/>
                          </w:rPr>
                          <w:t>150</w:t>
                        </w:r>
                      </w:p>
                    </w:tc>
                    <w:tc>
                      <w:tcPr>
                        <w:tcW w:w="8140" w:type="dxa"/>
                      </w:tcPr>
                      <w:p>
                        <w:pPr>
                          <w:pStyle w:val="TableParagraph"/>
                          <w:spacing w:line="140" w:lineRule="exact"/>
                          <w:ind w:left="203"/>
                          <w:rPr>
                            <w:sz w:val="13"/>
                          </w:rPr>
                        </w:pPr>
                        <w:r>
                          <w:rPr>
                            <w:sz w:val="13"/>
                          </w:rPr>
                          <w:t>Ibid.</w:t>
                        </w:r>
                      </w:p>
                    </w:tc>
                  </w:tr>
                  <w:tr>
                    <w:trPr>
                      <w:trHeight w:val="160" w:hRule="atLeast"/>
                    </w:trPr>
                    <w:tc>
                      <w:tcPr>
                        <w:tcW w:w="591" w:type="dxa"/>
                      </w:tcPr>
                      <w:p>
                        <w:pPr>
                          <w:pStyle w:val="TableParagraph"/>
                          <w:spacing w:line="140" w:lineRule="exact"/>
                          <w:rPr>
                            <w:sz w:val="13"/>
                          </w:rPr>
                        </w:pPr>
                        <w:r>
                          <w:rPr>
                            <w:w w:val="110"/>
                            <w:sz w:val="13"/>
                          </w:rPr>
                          <w:t>151</w:t>
                        </w:r>
                      </w:p>
                    </w:tc>
                    <w:tc>
                      <w:tcPr>
                        <w:tcW w:w="8140" w:type="dxa"/>
                      </w:tcPr>
                      <w:p>
                        <w:pPr>
                          <w:pStyle w:val="TableParagraph"/>
                          <w:spacing w:line="140" w:lineRule="exact"/>
                          <w:ind w:left="202"/>
                          <w:rPr>
                            <w:sz w:val="13"/>
                          </w:rPr>
                        </w:pPr>
                        <w:r>
                          <w:rPr>
                            <w:sz w:val="13"/>
                          </w:rPr>
                          <w:t>Disputes over trees that obstruct a view are outside the scope of this inquiry’s terms of reference.</w:t>
                        </w:r>
                      </w:p>
                    </w:tc>
                  </w:tr>
                  <w:tr>
                    <w:trPr>
                      <w:trHeight w:val="159" w:hRule="atLeast"/>
                    </w:trPr>
                    <w:tc>
                      <w:tcPr>
                        <w:tcW w:w="591" w:type="dxa"/>
                      </w:tcPr>
                      <w:p>
                        <w:pPr>
                          <w:pStyle w:val="TableParagraph"/>
                          <w:spacing w:line="140" w:lineRule="exact"/>
                          <w:rPr>
                            <w:sz w:val="13"/>
                          </w:rPr>
                        </w:pPr>
                        <w:r>
                          <w:rPr>
                            <w:w w:val="110"/>
                            <w:sz w:val="13"/>
                          </w:rPr>
                          <w:t>152</w:t>
                        </w:r>
                      </w:p>
                    </w:tc>
                    <w:tc>
                      <w:tcPr>
                        <w:tcW w:w="8140" w:type="dxa"/>
                      </w:tcPr>
                      <w:p>
                        <w:pPr>
                          <w:pStyle w:val="TableParagraph"/>
                          <w:spacing w:line="140" w:lineRule="exact"/>
                          <w:ind w:left="203"/>
                          <w:rPr>
                            <w:sz w:val="13"/>
                          </w:rPr>
                        </w:pPr>
                        <w:r>
                          <w:rPr>
                            <w:w w:val="105"/>
                            <w:sz w:val="13"/>
                          </w:rPr>
                          <w:t>Consultation 15 (Queensland Civil and Administrative Tribunal).</w:t>
                        </w:r>
                      </w:p>
                    </w:tc>
                  </w:tr>
                  <w:tr>
                    <w:trPr>
                      <w:trHeight w:val="160" w:hRule="atLeast"/>
                    </w:trPr>
                    <w:tc>
                      <w:tcPr>
                        <w:tcW w:w="591" w:type="dxa"/>
                      </w:tcPr>
                      <w:p>
                        <w:pPr>
                          <w:pStyle w:val="TableParagraph"/>
                          <w:spacing w:line="140" w:lineRule="exact"/>
                          <w:rPr>
                            <w:sz w:val="13"/>
                          </w:rPr>
                        </w:pPr>
                        <w:r>
                          <w:rPr>
                            <w:w w:val="110"/>
                            <w:sz w:val="13"/>
                          </w:rPr>
                          <w:t>153</w:t>
                        </w:r>
                      </w:p>
                    </w:tc>
                    <w:tc>
                      <w:tcPr>
                        <w:tcW w:w="8140" w:type="dxa"/>
                      </w:tcPr>
                      <w:p>
                        <w:pPr>
                          <w:pStyle w:val="TableParagraph"/>
                          <w:spacing w:line="140" w:lineRule="exact"/>
                          <w:ind w:left="203"/>
                          <w:rPr>
                            <w:sz w:val="13"/>
                          </w:rPr>
                        </w:pPr>
                        <w:r>
                          <w:rPr>
                            <w:w w:val="105"/>
                            <w:sz w:val="13"/>
                          </w:rPr>
                          <w:t>See, eg, Queensland Civil and Administrative Tribunal, </w:t>
                        </w:r>
                        <w:r>
                          <w:rPr>
                            <w:i/>
                            <w:w w:val="105"/>
                            <w:sz w:val="13"/>
                          </w:rPr>
                          <w:t>Attending by Phone </w:t>
                        </w:r>
                        <w:r>
                          <w:rPr>
                            <w:w w:val="105"/>
                            <w:sz w:val="13"/>
                          </w:rPr>
                          <w:t>(Web Page, 12 March 2019) &lt;https://</w:t>
                        </w:r>
                        <w:hyperlink r:id="rId186">
                          <w:r>
                            <w:rPr>
                              <w:w w:val="105"/>
                              <w:sz w:val="13"/>
                            </w:rPr>
                            <w:t>www.qcat.qld.gov.au/</w:t>
                          </w:r>
                        </w:hyperlink>
                      </w:p>
                    </w:tc>
                  </w:tr>
                  <w:tr>
                    <w:trPr>
                      <w:trHeight w:val="160" w:hRule="atLeast"/>
                    </w:trPr>
                    <w:tc>
                      <w:tcPr>
                        <w:tcW w:w="591" w:type="dxa"/>
                      </w:tcPr>
                      <w:p>
                        <w:pPr>
                          <w:pStyle w:val="TableParagraph"/>
                          <w:rPr>
                            <w:rFonts w:ascii="Times New Roman"/>
                            <w:sz w:val="10"/>
                          </w:rPr>
                        </w:pPr>
                      </w:p>
                    </w:tc>
                    <w:tc>
                      <w:tcPr>
                        <w:tcW w:w="8140" w:type="dxa"/>
                      </w:tcPr>
                      <w:p>
                        <w:pPr>
                          <w:pStyle w:val="TableParagraph"/>
                          <w:spacing w:line="140" w:lineRule="exact"/>
                          <w:ind w:left="203"/>
                          <w:rPr>
                            <w:sz w:val="13"/>
                          </w:rPr>
                        </w:pPr>
                        <w:r>
                          <w:rPr>
                            <w:w w:val="105"/>
                            <w:sz w:val="13"/>
                          </w:rPr>
                          <w:t>going-to-the-tribunal/attending-by-phone&gt;.</w:t>
                        </w:r>
                      </w:p>
                    </w:tc>
                  </w:tr>
                  <w:tr>
                    <w:trPr>
                      <w:trHeight w:val="160" w:hRule="atLeast"/>
                    </w:trPr>
                    <w:tc>
                      <w:tcPr>
                        <w:tcW w:w="591" w:type="dxa"/>
                      </w:tcPr>
                      <w:p>
                        <w:pPr>
                          <w:pStyle w:val="TableParagraph"/>
                          <w:spacing w:line="140" w:lineRule="exact"/>
                          <w:rPr>
                            <w:sz w:val="13"/>
                          </w:rPr>
                        </w:pPr>
                        <w:r>
                          <w:rPr>
                            <w:w w:val="110"/>
                            <w:sz w:val="13"/>
                          </w:rPr>
                          <w:t>154</w:t>
                        </w:r>
                      </w:p>
                    </w:tc>
                    <w:tc>
                      <w:tcPr>
                        <w:tcW w:w="8140" w:type="dxa"/>
                      </w:tcPr>
                      <w:p>
                        <w:pPr>
                          <w:pStyle w:val="TableParagraph"/>
                          <w:spacing w:line="140" w:lineRule="exact"/>
                          <w:ind w:left="203"/>
                          <w:rPr>
                            <w:sz w:val="13"/>
                          </w:rPr>
                        </w:pPr>
                        <w:r>
                          <w:rPr>
                            <w:w w:val="105"/>
                            <w:sz w:val="13"/>
                          </w:rPr>
                          <w:t>Consultation 15 (Queensland Civil and Administrative Tribunal).</w:t>
                        </w:r>
                      </w:p>
                    </w:tc>
                  </w:tr>
                  <w:tr>
                    <w:trPr>
                      <w:trHeight w:val="159" w:hRule="atLeast"/>
                    </w:trPr>
                    <w:tc>
                      <w:tcPr>
                        <w:tcW w:w="591" w:type="dxa"/>
                      </w:tcPr>
                      <w:p>
                        <w:pPr>
                          <w:pStyle w:val="TableParagraph"/>
                          <w:spacing w:line="140" w:lineRule="exact"/>
                          <w:rPr>
                            <w:sz w:val="13"/>
                          </w:rPr>
                        </w:pPr>
                        <w:r>
                          <w:rPr>
                            <w:w w:val="110"/>
                            <w:sz w:val="13"/>
                          </w:rPr>
                          <w:t>155</w:t>
                        </w:r>
                      </w:p>
                    </w:tc>
                    <w:tc>
                      <w:tcPr>
                        <w:tcW w:w="8140" w:type="dxa"/>
                      </w:tcPr>
                      <w:p>
                        <w:pPr>
                          <w:pStyle w:val="TableParagraph"/>
                          <w:spacing w:line="140" w:lineRule="exact"/>
                          <w:ind w:left="203"/>
                          <w:rPr>
                            <w:sz w:val="13"/>
                          </w:rPr>
                        </w:pPr>
                        <w:r>
                          <w:rPr>
                            <w:sz w:val="13"/>
                          </w:rPr>
                          <w:t>Ibid.</w:t>
                        </w:r>
                      </w:p>
                    </w:tc>
                  </w:tr>
                  <w:tr>
                    <w:trPr>
                      <w:trHeight w:val="160" w:hRule="atLeast"/>
                    </w:trPr>
                    <w:tc>
                      <w:tcPr>
                        <w:tcW w:w="591" w:type="dxa"/>
                      </w:tcPr>
                      <w:p>
                        <w:pPr>
                          <w:pStyle w:val="TableParagraph"/>
                          <w:spacing w:line="140" w:lineRule="exact"/>
                          <w:rPr>
                            <w:sz w:val="13"/>
                          </w:rPr>
                        </w:pPr>
                        <w:r>
                          <w:rPr>
                            <w:w w:val="110"/>
                            <w:sz w:val="13"/>
                          </w:rPr>
                          <w:t>156</w:t>
                        </w:r>
                      </w:p>
                    </w:tc>
                    <w:tc>
                      <w:tcPr>
                        <w:tcW w:w="8140" w:type="dxa"/>
                      </w:tcPr>
                      <w:p>
                        <w:pPr>
                          <w:pStyle w:val="TableParagraph"/>
                          <w:spacing w:line="140" w:lineRule="exact"/>
                          <w:ind w:left="203"/>
                          <w:rPr>
                            <w:sz w:val="13"/>
                          </w:rPr>
                        </w:pPr>
                        <w:r>
                          <w:rPr>
                            <w:i/>
                            <w:sz w:val="13"/>
                          </w:rPr>
                          <w:t>Queensland Civil and Administrative Tribunal Act 2009 </w:t>
                        </w:r>
                        <w:r>
                          <w:rPr>
                            <w:sz w:val="13"/>
                          </w:rPr>
                          <w:t>(Qld) s 59(1); Consultation 15 (Queensland Civil and Administrative Tribunal).</w:t>
                        </w:r>
                      </w:p>
                    </w:tc>
                  </w:tr>
                  <w:tr>
                    <w:trPr>
                      <w:trHeight w:val="160" w:hRule="atLeast"/>
                    </w:trPr>
                    <w:tc>
                      <w:tcPr>
                        <w:tcW w:w="591" w:type="dxa"/>
                      </w:tcPr>
                      <w:p>
                        <w:pPr>
                          <w:pStyle w:val="TableParagraph"/>
                          <w:spacing w:line="140" w:lineRule="exact"/>
                          <w:rPr>
                            <w:sz w:val="13"/>
                          </w:rPr>
                        </w:pPr>
                        <w:r>
                          <w:rPr>
                            <w:w w:val="110"/>
                            <w:sz w:val="13"/>
                          </w:rPr>
                          <w:t>157</w:t>
                        </w:r>
                      </w:p>
                    </w:tc>
                    <w:tc>
                      <w:tcPr>
                        <w:tcW w:w="8140" w:type="dxa"/>
                      </w:tcPr>
                      <w:p>
                        <w:pPr>
                          <w:pStyle w:val="TableParagraph"/>
                          <w:spacing w:line="140" w:lineRule="exact"/>
                          <w:ind w:left="203"/>
                          <w:rPr>
                            <w:sz w:val="13"/>
                          </w:rPr>
                        </w:pPr>
                        <w:r>
                          <w:rPr>
                            <w:w w:val="105"/>
                            <w:sz w:val="13"/>
                          </w:rPr>
                          <w:t>Resource Management and Planning Appeal Tribunal, </w:t>
                        </w:r>
                        <w:r>
                          <w:rPr>
                            <w:i/>
                            <w:w w:val="105"/>
                            <w:sz w:val="13"/>
                          </w:rPr>
                          <w:t>Resource Management and Planning Appeal Tribunal </w:t>
                        </w:r>
                        <w:r>
                          <w:rPr>
                            <w:w w:val="105"/>
                            <w:sz w:val="13"/>
                          </w:rPr>
                          <w:t>(Web Page, 2 January 2019)</w:t>
                        </w:r>
                      </w:p>
                    </w:tc>
                  </w:tr>
                  <w:tr>
                    <w:trPr>
                      <w:trHeight w:val="159" w:hRule="atLeast"/>
                    </w:trPr>
                    <w:tc>
                      <w:tcPr>
                        <w:tcW w:w="591" w:type="dxa"/>
                      </w:tcPr>
                      <w:p>
                        <w:pPr>
                          <w:pStyle w:val="TableParagraph"/>
                          <w:rPr>
                            <w:rFonts w:ascii="Times New Roman"/>
                            <w:sz w:val="10"/>
                          </w:rPr>
                        </w:pPr>
                      </w:p>
                    </w:tc>
                    <w:tc>
                      <w:tcPr>
                        <w:tcW w:w="8140" w:type="dxa"/>
                      </w:tcPr>
                      <w:p>
                        <w:pPr>
                          <w:pStyle w:val="TableParagraph"/>
                          <w:spacing w:line="140" w:lineRule="exact"/>
                          <w:ind w:left="203"/>
                          <w:rPr>
                            <w:sz w:val="13"/>
                          </w:rPr>
                        </w:pPr>
                        <w:r>
                          <w:rPr>
                            <w:w w:val="105"/>
                            <w:sz w:val="13"/>
                          </w:rPr>
                          <w:t>&lt;</w:t>
                        </w:r>
                        <w:hyperlink r:id="rId187">
                          <w:r>
                            <w:rPr>
                              <w:w w:val="105"/>
                              <w:sz w:val="13"/>
                            </w:rPr>
                            <w:t>www.rmpat.tas.gov.au/</w:t>
                          </w:r>
                        </w:hyperlink>
                        <w:r>
                          <w:rPr>
                            <w:w w:val="105"/>
                            <w:sz w:val="13"/>
                          </w:rPr>
                          <w:t>&gt;.</w:t>
                        </w:r>
                      </w:p>
                    </w:tc>
                  </w:tr>
                  <w:tr>
                    <w:trPr>
                      <w:trHeight w:val="160" w:hRule="atLeast"/>
                    </w:trPr>
                    <w:tc>
                      <w:tcPr>
                        <w:tcW w:w="591" w:type="dxa"/>
                      </w:tcPr>
                      <w:p>
                        <w:pPr>
                          <w:pStyle w:val="TableParagraph"/>
                          <w:spacing w:line="140" w:lineRule="exact"/>
                          <w:rPr>
                            <w:sz w:val="13"/>
                          </w:rPr>
                        </w:pPr>
                        <w:r>
                          <w:rPr>
                            <w:w w:val="110"/>
                            <w:sz w:val="13"/>
                          </w:rPr>
                          <w:t>158</w:t>
                        </w:r>
                      </w:p>
                    </w:tc>
                    <w:tc>
                      <w:tcPr>
                        <w:tcW w:w="8140" w:type="dxa"/>
                      </w:tcPr>
                      <w:p>
                        <w:pPr>
                          <w:pStyle w:val="TableParagraph"/>
                          <w:spacing w:line="140" w:lineRule="exact"/>
                          <w:ind w:left="203"/>
                          <w:rPr>
                            <w:sz w:val="13"/>
                          </w:rPr>
                        </w:pPr>
                        <w:r>
                          <w:rPr>
                            <w:i/>
                            <w:w w:val="105"/>
                            <w:sz w:val="13"/>
                          </w:rPr>
                          <w:t>Resource Management and Planning Appeal Tribunal Act 1993 </w:t>
                        </w:r>
                        <w:r>
                          <w:rPr>
                            <w:w w:val="105"/>
                            <w:sz w:val="13"/>
                          </w:rPr>
                          <w:t>(Tas) s 6(a).</w:t>
                        </w:r>
                      </w:p>
                    </w:tc>
                  </w:tr>
                  <w:tr>
                    <w:trPr>
                      <w:trHeight w:val="160" w:hRule="atLeast"/>
                    </w:trPr>
                    <w:tc>
                      <w:tcPr>
                        <w:tcW w:w="591" w:type="dxa"/>
                      </w:tcPr>
                      <w:p>
                        <w:pPr>
                          <w:pStyle w:val="TableParagraph"/>
                          <w:spacing w:line="140" w:lineRule="exact"/>
                          <w:rPr>
                            <w:sz w:val="13"/>
                          </w:rPr>
                        </w:pPr>
                        <w:r>
                          <w:rPr>
                            <w:w w:val="110"/>
                            <w:sz w:val="13"/>
                          </w:rPr>
                          <w:t>159</w:t>
                        </w:r>
                      </w:p>
                    </w:tc>
                    <w:tc>
                      <w:tcPr>
                        <w:tcW w:w="8140" w:type="dxa"/>
                      </w:tcPr>
                      <w:p>
                        <w:pPr>
                          <w:pStyle w:val="TableParagraph"/>
                          <w:spacing w:line="140" w:lineRule="exact"/>
                          <w:ind w:left="203"/>
                          <w:rPr>
                            <w:sz w:val="13"/>
                          </w:rPr>
                        </w:pPr>
                        <w:r>
                          <w:rPr>
                            <w:w w:val="105"/>
                            <w:sz w:val="13"/>
                          </w:rPr>
                          <w:t>Resource Management and Planning Appeal Tribunal</w:t>
                        </w:r>
                        <w:r>
                          <w:rPr>
                            <w:i/>
                            <w:w w:val="105"/>
                            <w:sz w:val="13"/>
                          </w:rPr>
                          <w:t>, Practice Direction No 7: Hearing Process</w:t>
                        </w:r>
                        <w:r>
                          <w:rPr>
                            <w:w w:val="105"/>
                            <w:sz w:val="13"/>
                          </w:rPr>
                          <w:t>, 19 November 2018 [7.2].</w:t>
                        </w:r>
                      </w:p>
                    </w:tc>
                  </w:tr>
                  <w:tr>
                    <w:trPr>
                      <w:trHeight w:val="155" w:hRule="atLeast"/>
                    </w:trPr>
                    <w:tc>
                      <w:tcPr>
                        <w:tcW w:w="591" w:type="dxa"/>
                      </w:tcPr>
                      <w:p>
                        <w:pPr>
                          <w:pStyle w:val="TableParagraph"/>
                          <w:spacing w:line="135" w:lineRule="exact"/>
                          <w:rPr>
                            <w:sz w:val="13"/>
                          </w:rPr>
                        </w:pPr>
                        <w:r>
                          <w:rPr>
                            <w:w w:val="110"/>
                            <w:sz w:val="13"/>
                          </w:rPr>
                          <w:t>160</w:t>
                        </w:r>
                      </w:p>
                    </w:tc>
                    <w:tc>
                      <w:tcPr>
                        <w:tcW w:w="8140" w:type="dxa"/>
                      </w:tcPr>
                      <w:p>
                        <w:pPr>
                          <w:pStyle w:val="TableParagraph"/>
                          <w:spacing w:line="135" w:lineRule="exact"/>
                          <w:ind w:left="203"/>
                          <w:rPr>
                            <w:sz w:val="13"/>
                          </w:rPr>
                        </w:pPr>
                        <w:r>
                          <w:rPr>
                            <w:sz w:val="13"/>
                          </w:rPr>
                          <w:t>Ibid.</w:t>
                        </w:r>
                      </w:p>
                    </w:tc>
                  </w:tr>
                </w:tbl>
                <w:p>
                  <w:pPr>
                    <w:pStyle w:val="BodyText"/>
                  </w:pPr>
                </w:p>
              </w:txbxContent>
            </v:textbox>
            <w10:wrap type="none"/>
          </v:shape>
        </w:pict>
      </w:r>
      <w:r>
        <w:rPr>
          <w:w w:val="115"/>
        </w:rPr>
        <w:t>Decision makers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pPr>
    </w:p>
    <w:p>
      <w:pPr>
        <w:spacing w:before="0"/>
        <w:ind w:left="0" w:right="595" w:firstLine="0"/>
        <w:jc w:val="right"/>
        <w:rPr>
          <w:b/>
          <w:sz w:val="24"/>
        </w:rPr>
      </w:pPr>
      <w:r>
        <w:rPr>
          <w:b/>
          <w:color w:val="658464"/>
          <w:w w:val="105"/>
          <w:sz w:val="24"/>
        </w:rPr>
        <w:t>145</w:t>
      </w:r>
    </w:p>
    <w:p>
      <w:pPr>
        <w:spacing w:after="0"/>
        <w:jc w:val="right"/>
        <w:rPr>
          <w:sz w:val="24"/>
        </w:rPr>
        <w:sectPr>
          <w:pgSz w:w="11910" w:h="16840"/>
          <w:pgMar w:header="808" w:footer="0" w:top="1360" w:bottom="280" w:left="0" w:right="0"/>
        </w:sectPr>
      </w:pPr>
    </w:p>
    <w:p>
      <w:pPr>
        <w:pStyle w:val="BodyText"/>
        <w:spacing w:before="2"/>
        <w:rPr>
          <w:b/>
          <w:sz w:val="22"/>
        </w:rPr>
      </w:pPr>
    </w:p>
    <w:p>
      <w:pPr>
        <w:spacing w:before="97"/>
        <w:ind w:left="1587" w:right="0" w:firstLine="0"/>
        <w:jc w:val="left"/>
        <w:rPr>
          <w:sz w:val="22"/>
        </w:rPr>
      </w:pPr>
      <w:r>
        <w:rPr>
          <w:w w:val="115"/>
          <w:sz w:val="22"/>
        </w:rPr>
        <w:t>Case management and preliminary directions</w:t>
      </w:r>
    </w:p>
    <w:p>
      <w:pPr>
        <w:pStyle w:val="ListParagraph"/>
        <w:numPr>
          <w:ilvl w:val="1"/>
          <w:numId w:val="114"/>
        </w:numPr>
        <w:tabs>
          <w:tab w:pos="2380" w:val="left" w:leader="none"/>
          <w:tab w:pos="2381" w:val="left" w:leader="none"/>
        </w:tabs>
        <w:spacing w:line="242" w:lineRule="auto" w:before="142" w:after="0"/>
        <w:ind w:left="2381" w:right="2060" w:hanging="794"/>
        <w:jc w:val="left"/>
        <w:rPr>
          <w:sz w:val="21"/>
        </w:rPr>
      </w:pPr>
      <w:r>
        <w:rPr>
          <w:w w:val="105"/>
          <w:sz w:val="21"/>
        </w:rPr>
        <w:t>Once an application is filed, the </w:t>
      </w:r>
      <w:r>
        <w:rPr>
          <w:spacing w:val="-5"/>
          <w:w w:val="105"/>
          <w:sz w:val="21"/>
        </w:rPr>
        <w:t>Tribunal </w:t>
      </w:r>
      <w:r>
        <w:rPr>
          <w:spacing w:val="-3"/>
          <w:w w:val="105"/>
          <w:sz w:val="21"/>
        </w:rPr>
        <w:t>will </w:t>
      </w:r>
      <w:r>
        <w:rPr>
          <w:w w:val="105"/>
          <w:sz w:val="21"/>
        </w:rPr>
        <w:t>review the application and </w:t>
      </w:r>
      <w:r>
        <w:rPr>
          <w:spacing w:val="-3"/>
          <w:w w:val="105"/>
          <w:sz w:val="21"/>
        </w:rPr>
        <w:t>determine </w:t>
      </w:r>
      <w:r>
        <w:rPr>
          <w:w w:val="105"/>
          <w:sz w:val="21"/>
        </w:rPr>
        <w:t>if </w:t>
      </w:r>
      <w:r>
        <w:rPr>
          <w:spacing w:val="-3"/>
          <w:w w:val="105"/>
          <w:sz w:val="21"/>
        </w:rPr>
        <w:t>any additional information </w:t>
      </w:r>
      <w:r>
        <w:rPr>
          <w:w w:val="105"/>
          <w:sz w:val="21"/>
        </w:rPr>
        <w:t>is </w:t>
      </w:r>
      <w:r>
        <w:rPr>
          <w:spacing w:val="-3"/>
          <w:w w:val="105"/>
          <w:sz w:val="21"/>
        </w:rPr>
        <w:t>required from </w:t>
      </w:r>
      <w:r>
        <w:rPr>
          <w:w w:val="105"/>
          <w:sz w:val="21"/>
        </w:rPr>
        <w:t>the </w:t>
      </w:r>
      <w:r>
        <w:rPr>
          <w:spacing w:val="-4"/>
          <w:w w:val="105"/>
          <w:sz w:val="21"/>
        </w:rPr>
        <w:t>parties.</w:t>
      </w:r>
      <w:r>
        <w:rPr>
          <w:spacing w:val="-4"/>
          <w:w w:val="105"/>
          <w:position w:val="7"/>
          <w:sz w:val="12"/>
        </w:rPr>
        <w:t>161 </w:t>
      </w:r>
      <w:r>
        <w:rPr>
          <w:spacing w:val="-6"/>
          <w:w w:val="105"/>
          <w:sz w:val="21"/>
        </w:rPr>
        <w:t>RMPAT </w:t>
      </w:r>
      <w:r>
        <w:rPr>
          <w:w w:val="105"/>
          <w:sz w:val="21"/>
        </w:rPr>
        <w:t>explained </w:t>
      </w:r>
      <w:r>
        <w:rPr>
          <w:spacing w:val="-6"/>
          <w:w w:val="105"/>
          <w:sz w:val="21"/>
        </w:rPr>
        <w:t>‘an </w:t>
      </w:r>
      <w:r>
        <w:rPr>
          <w:spacing w:val="-4"/>
          <w:w w:val="105"/>
          <w:sz w:val="21"/>
        </w:rPr>
        <w:t>intake </w:t>
      </w:r>
      <w:r>
        <w:rPr>
          <w:w w:val="105"/>
          <w:sz w:val="21"/>
        </w:rPr>
        <w:t>assessment of an application is made </w:t>
      </w:r>
      <w:r>
        <w:rPr>
          <w:spacing w:val="-3"/>
          <w:w w:val="105"/>
          <w:sz w:val="21"/>
        </w:rPr>
        <w:t>to ensure that information required </w:t>
      </w:r>
      <w:r>
        <w:rPr>
          <w:w w:val="105"/>
          <w:sz w:val="21"/>
        </w:rPr>
        <w:t>by</w:t>
      </w:r>
      <w:r>
        <w:rPr>
          <w:spacing w:val="-27"/>
          <w:w w:val="105"/>
          <w:sz w:val="21"/>
        </w:rPr>
        <w:t> </w:t>
      </w:r>
      <w:r>
        <w:rPr>
          <w:w w:val="105"/>
          <w:sz w:val="21"/>
        </w:rPr>
        <w:t>the</w:t>
      </w:r>
    </w:p>
    <w:p>
      <w:pPr>
        <w:pStyle w:val="BodyText"/>
        <w:spacing w:line="242" w:lineRule="auto" w:before="4"/>
        <w:ind w:left="2380" w:right="1810"/>
      </w:pPr>
      <w:r>
        <w:rPr>
          <w:spacing w:val="-3"/>
        </w:rPr>
        <w:t>legislation </w:t>
      </w:r>
      <w:r>
        <w:rPr/>
        <w:t>and the </w:t>
      </w:r>
      <w:r>
        <w:rPr>
          <w:spacing w:val="-5"/>
        </w:rPr>
        <w:t>Tribunal </w:t>
      </w:r>
      <w:r>
        <w:rPr>
          <w:spacing w:val="-2"/>
        </w:rPr>
        <w:t>has </w:t>
      </w:r>
      <w:r>
        <w:rPr/>
        <w:t>been filed. Requests </w:t>
      </w:r>
      <w:r>
        <w:rPr>
          <w:spacing w:val="-3"/>
        </w:rPr>
        <w:t>for </w:t>
      </w:r>
      <w:r>
        <w:rPr/>
        <w:t>the </w:t>
      </w:r>
      <w:r>
        <w:rPr>
          <w:spacing w:val="-3"/>
        </w:rPr>
        <w:t>provision  </w:t>
      </w:r>
      <w:r>
        <w:rPr/>
        <w:t>of </w:t>
      </w:r>
      <w:r>
        <w:rPr>
          <w:spacing w:val="-3"/>
        </w:rPr>
        <w:t>information</w:t>
      </w:r>
      <w:r>
        <w:rPr>
          <w:spacing w:val="41"/>
        </w:rPr>
        <w:t> </w:t>
      </w:r>
      <w:r>
        <w:rPr>
          <w:spacing w:val="-3"/>
        </w:rPr>
        <w:t>may  </w:t>
      </w:r>
      <w:r>
        <w:rPr/>
        <w:t>be issued </w:t>
      </w:r>
      <w:r>
        <w:rPr>
          <w:spacing w:val="-3"/>
        </w:rPr>
        <w:t>before </w:t>
      </w:r>
      <w:r>
        <w:rPr/>
        <w:t>the application </w:t>
      </w:r>
      <w:r>
        <w:rPr>
          <w:spacing w:val="-3"/>
        </w:rPr>
        <w:t>may </w:t>
      </w:r>
      <w:r>
        <w:rPr/>
        <w:t>proceed </w:t>
      </w:r>
      <w:r>
        <w:rPr>
          <w:spacing w:val="-3"/>
        </w:rPr>
        <w:t>for </w:t>
      </w:r>
      <w:r>
        <w:rPr/>
        <w:t>service upon respondents or</w:t>
      </w:r>
      <w:r>
        <w:rPr>
          <w:spacing w:val="47"/>
        </w:rPr>
        <w:t> </w:t>
      </w:r>
      <w:r>
        <w:rPr>
          <w:spacing w:val="-3"/>
        </w:rPr>
        <w:t>listing</w:t>
      </w:r>
    </w:p>
    <w:p>
      <w:pPr>
        <w:pStyle w:val="BodyText"/>
        <w:spacing w:line="242" w:lineRule="auto" w:before="2"/>
        <w:ind w:left="2380" w:right="1558"/>
        <w:rPr>
          <w:sz w:val="12"/>
        </w:rPr>
      </w:pPr>
      <w:r>
        <w:rPr>
          <w:spacing w:val="-3"/>
          <w:w w:val="105"/>
        </w:rPr>
        <w:t>for hearing may </w:t>
      </w:r>
      <w:r>
        <w:rPr>
          <w:spacing w:val="-5"/>
          <w:w w:val="105"/>
        </w:rPr>
        <w:t>occur’. </w:t>
      </w:r>
      <w:r>
        <w:rPr>
          <w:w w:val="105"/>
        </w:rPr>
        <w:t>In 4 of the </w:t>
      </w:r>
      <w:r>
        <w:rPr>
          <w:spacing w:val="-6"/>
          <w:w w:val="105"/>
        </w:rPr>
        <w:t>16 </w:t>
      </w:r>
      <w:r>
        <w:rPr>
          <w:spacing w:val="-3"/>
          <w:w w:val="105"/>
        </w:rPr>
        <w:t>applications </w:t>
      </w:r>
      <w:r>
        <w:rPr>
          <w:w w:val="105"/>
        </w:rPr>
        <w:t>filed under the </w:t>
      </w:r>
      <w:r>
        <w:rPr>
          <w:spacing w:val="-4"/>
          <w:w w:val="105"/>
        </w:rPr>
        <w:t>Tasmanian </w:t>
      </w:r>
      <w:r>
        <w:rPr>
          <w:w w:val="105"/>
        </w:rPr>
        <w:t>Act, the </w:t>
      </w:r>
      <w:r>
        <w:rPr>
          <w:spacing w:val="-5"/>
          <w:w w:val="105"/>
        </w:rPr>
        <w:t>Tribunal </w:t>
      </w:r>
      <w:r>
        <w:rPr>
          <w:spacing w:val="-2"/>
          <w:w w:val="105"/>
        </w:rPr>
        <w:t>has </w:t>
      </w:r>
      <w:r>
        <w:rPr>
          <w:w w:val="105"/>
        </w:rPr>
        <w:t>requested </w:t>
      </w:r>
      <w:r>
        <w:rPr>
          <w:spacing w:val="-3"/>
          <w:w w:val="105"/>
        </w:rPr>
        <w:t>additional information from </w:t>
      </w:r>
      <w:r>
        <w:rPr>
          <w:w w:val="105"/>
        </w:rPr>
        <w:t>the </w:t>
      </w:r>
      <w:r>
        <w:rPr>
          <w:spacing w:val="-3"/>
          <w:w w:val="105"/>
        </w:rPr>
        <w:t>applicant before acceptance </w:t>
      </w:r>
      <w:r>
        <w:rPr>
          <w:w w:val="105"/>
        </w:rPr>
        <w:t>of the </w:t>
      </w:r>
      <w:r>
        <w:rPr>
          <w:spacing w:val="-4"/>
          <w:w w:val="105"/>
        </w:rPr>
        <w:t>application.</w:t>
      </w:r>
      <w:r>
        <w:rPr>
          <w:spacing w:val="-4"/>
          <w:w w:val="105"/>
          <w:position w:val="7"/>
          <w:sz w:val="12"/>
        </w:rPr>
        <w:t>162</w:t>
      </w:r>
    </w:p>
    <w:p>
      <w:pPr>
        <w:pStyle w:val="ListParagraph"/>
        <w:numPr>
          <w:ilvl w:val="1"/>
          <w:numId w:val="114"/>
        </w:numPr>
        <w:tabs>
          <w:tab w:pos="2380" w:val="left" w:leader="none"/>
          <w:tab w:pos="2381" w:val="left" w:leader="none"/>
        </w:tabs>
        <w:spacing w:line="242" w:lineRule="auto" w:before="123" w:after="0"/>
        <w:ind w:left="2381" w:right="1937" w:hanging="794"/>
        <w:jc w:val="left"/>
        <w:rPr>
          <w:sz w:val="12"/>
        </w:rPr>
      </w:pPr>
      <w:r>
        <w:rPr>
          <w:sz w:val="21"/>
        </w:rPr>
        <w:t>If the </w:t>
      </w:r>
      <w:r>
        <w:rPr>
          <w:spacing w:val="-5"/>
          <w:sz w:val="21"/>
        </w:rPr>
        <w:t>Tribunal </w:t>
      </w:r>
      <w:r>
        <w:rPr>
          <w:sz w:val="21"/>
        </w:rPr>
        <w:t>is satisfied the application </w:t>
      </w:r>
      <w:r>
        <w:rPr>
          <w:spacing w:val="-2"/>
          <w:sz w:val="21"/>
        </w:rPr>
        <w:t>has </w:t>
      </w:r>
      <w:r>
        <w:rPr>
          <w:sz w:val="21"/>
        </w:rPr>
        <w:t>met </w:t>
      </w:r>
      <w:r>
        <w:rPr>
          <w:spacing w:val="-3"/>
          <w:sz w:val="21"/>
        </w:rPr>
        <w:t>all </w:t>
      </w:r>
      <w:r>
        <w:rPr>
          <w:sz w:val="21"/>
        </w:rPr>
        <w:t>the necessary </w:t>
      </w:r>
      <w:r>
        <w:rPr>
          <w:spacing w:val="-3"/>
          <w:sz w:val="21"/>
        </w:rPr>
        <w:t>requirements, </w:t>
      </w:r>
      <w:r>
        <w:rPr>
          <w:sz w:val="21"/>
        </w:rPr>
        <w:t>it </w:t>
      </w:r>
      <w:r>
        <w:rPr>
          <w:spacing w:val="-3"/>
          <w:sz w:val="21"/>
        </w:rPr>
        <w:t>will </w:t>
      </w:r>
      <w:r>
        <w:rPr>
          <w:sz w:val="21"/>
        </w:rPr>
        <w:t>set a </w:t>
      </w:r>
      <w:r>
        <w:rPr>
          <w:spacing w:val="-3"/>
          <w:sz w:val="21"/>
        </w:rPr>
        <w:t>preliminary conference within approximately </w:t>
      </w:r>
      <w:r>
        <w:rPr>
          <w:spacing w:val="-7"/>
          <w:sz w:val="21"/>
        </w:rPr>
        <w:t>14 </w:t>
      </w:r>
      <w:r>
        <w:rPr>
          <w:spacing w:val="-3"/>
          <w:sz w:val="21"/>
        </w:rPr>
        <w:t>to </w:t>
      </w:r>
      <w:r>
        <w:rPr>
          <w:spacing w:val="-7"/>
          <w:sz w:val="21"/>
        </w:rPr>
        <w:t>21 </w:t>
      </w:r>
      <w:r>
        <w:rPr>
          <w:spacing w:val="-5"/>
          <w:sz w:val="21"/>
        </w:rPr>
        <w:t>days.</w:t>
      </w:r>
      <w:r>
        <w:rPr>
          <w:spacing w:val="-5"/>
          <w:position w:val="7"/>
          <w:sz w:val="12"/>
        </w:rPr>
        <w:t>163 </w:t>
      </w:r>
      <w:r>
        <w:rPr>
          <w:spacing w:val="-4"/>
          <w:sz w:val="21"/>
        </w:rPr>
        <w:t>At </w:t>
      </w:r>
      <w:r>
        <w:rPr>
          <w:sz w:val="21"/>
        </w:rPr>
        <w:t>the </w:t>
      </w:r>
      <w:r>
        <w:rPr>
          <w:spacing w:val="-3"/>
          <w:sz w:val="21"/>
        </w:rPr>
        <w:t>preliminary conference </w:t>
      </w:r>
      <w:r>
        <w:rPr>
          <w:sz w:val="21"/>
        </w:rPr>
        <w:t>the </w:t>
      </w:r>
      <w:r>
        <w:rPr>
          <w:spacing w:val="-5"/>
          <w:sz w:val="21"/>
        </w:rPr>
        <w:t>Tribunal </w:t>
      </w:r>
      <w:r>
        <w:rPr>
          <w:spacing w:val="-3"/>
          <w:sz w:val="21"/>
        </w:rPr>
        <w:t>will consider </w:t>
      </w:r>
      <w:r>
        <w:rPr>
          <w:sz w:val="21"/>
        </w:rPr>
        <w:t>a number of matters, </w:t>
      </w:r>
      <w:r>
        <w:rPr>
          <w:spacing w:val="-3"/>
          <w:sz w:val="21"/>
        </w:rPr>
        <w:t>such </w:t>
      </w:r>
      <w:r>
        <w:rPr>
          <w:sz w:val="21"/>
        </w:rPr>
        <w:t>as the </w:t>
      </w:r>
      <w:r>
        <w:rPr>
          <w:spacing w:val="-3"/>
          <w:sz w:val="21"/>
        </w:rPr>
        <w:t>preparation </w:t>
      </w:r>
      <w:r>
        <w:rPr>
          <w:sz w:val="21"/>
        </w:rPr>
        <w:t>of evidence and </w:t>
      </w:r>
      <w:r>
        <w:rPr>
          <w:spacing w:val="-3"/>
          <w:sz w:val="21"/>
        </w:rPr>
        <w:t>material, </w:t>
      </w:r>
      <w:r>
        <w:rPr>
          <w:sz w:val="21"/>
        </w:rPr>
        <w:t>and whether ADR </w:t>
      </w:r>
      <w:r>
        <w:rPr>
          <w:spacing w:val="-3"/>
          <w:sz w:val="21"/>
        </w:rPr>
        <w:t>may </w:t>
      </w:r>
      <w:r>
        <w:rPr>
          <w:sz w:val="21"/>
        </w:rPr>
        <w:t>be </w:t>
      </w:r>
      <w:r>
        <w:rPr>
          <w:spacing w:val="-3"/>
          <w:sz w:val="21"/>
        </w:rPr>
        <w:t>appropriate to </w:t>
      </w:r>
      <w:r>
        <w:rPr>
          <w:sz w:val="21"/>
        </w:rPr>
        <w:t>assist the parties </w:t>
      </w:r>
      <w:r>
        <w:rPr>
          <w:spacing w:val="-3"/>
          <w:sz w:val="21"/>
        </w:rPr>
        <w:t>to </w:t>
      </w:r>
      <w:r>
        <w:rPr>
          <w:sz w:val="21"/>
        </w:rPr>
        <w:t>resolve the</w:t>
      </w:r>
      <w:r>
        <w:rPr>
          <w:spacing w:val="16"/>
          <w:sz w:val="21"/>
        </w:rPr>
        <w:t> </w:t>
      </w:r>
      <w:r>
        <w:rPr>
          <w:spacing w:val="-4"/>
          <w:sz w:val="21"/>
        </w:rPr>
        <w:t>dispute.</w:t>
      </w:r>
      <w:r>
        <w:rPr>
          <w:spacing w:val="-4"/>
          <w:position w:val="7"/>
          <w:sz w:val="12"/>
        </w:rPr>
        <w:t>164</w:t>
      </w:r>
    </w:p>
    <w:p>
      <w:pPr>
        <w:pStyle w:val="Heading7"/>
        <w:spacing w:before="156"/>
      </w:pPr>
      <w:r>
        <w:rPr>
          <w:w w:val="115"/>
        </w:rPr>
        <w:t>Alternative dispute resolution</w:t>
      </w:r>
    </w:p>
    <w:p>
      <w:pPr>
        <w:pStyle w:val="ListParagraph"/>
        <w:numPr>
          <w:ilvl w:val="1"/>
          <w:numId w:val="114"/>
        </w:numPr>
        <w:tabs>
          <w:tab w:pos="2380" w:val="left" w:leader="none"/>
          <w:tab w:pos="2381" w:val="left" w:leader="none"/>
        </w:tabs>
        <w:spacing w:line="242" w:lineRule="auto" w:before="143" w:after="0"/>
        <w:ind w:left="2381" w:right="1709" w:hanging="794"/>
        <w:jc w:val="left"/>
        <w:rPr>
          <w:sz w:val="12"/>
        </w:rPr>
      </w:pPr>
      <w:r>
        <w:rPr>
          <w:spacing w:val="-4"/>
          <w:w w:val="105"/>
          <w:sz w:val="21"/>
        </w:rPr>
        <w:t>At</w:t>
      </w:r>
      <w:r>
        <w:rPr>
          <w:spacing w:val="-8"/>
          <w:w w:val="105"/>
          <w:sz w:val="21"/>
        </w:rPr>
        <w:t> </w:t>
      </w:r>
      <w:r>
        <w:rPr>
          <w:w w:val="105"/>
          <w:sz w:val="21"/>
        </w:rPr>
        <w:t>the</w:t>
      </w:r>
      <w:r>
        <w:rPr>
          <w:spacing w:val="-8"/>
          <w:w w:val="105"/>
          <w:sz w:val="21"/>
        </w:rPr>
        <w:t> </w:t>
      </w:r>
      <w:r>
        <w:rPr>
          <w:spacing w:val="-3"/>
          <w:w w:val="105"/>
          <w:sz w:val="21"/>
        </w:rPr>
        <w:t>preliminary</w:t>
      </w:r>
      <w:r>
        <w:rPr>
          <w:spacing w:val="-8"/>
          <w:w w:val="105"/>
          <w:sz w:val="21"/>
        </w:rPr>
        <w:t> </w:t>
      </w:r>
      <w:r>
        <w:rPr>
          <w:spacing w:val="-3"/>
          <w:w w:val="105"/>
          <w:sz w:val="21"/>
        </w:rPr>
        <w:t>conference</w:t>
      </w:r>
      <w:r>
        <w:rPr>
          <w:spacing w:val="-8"/>
          <w:w w:val="105"/>
          <w:sz w:val="21"/>
        </w:rPr>
        <w:t> </w:t>
      </w:r>
      <w:r>
        <w:rPr>
          <w:spacing w:val="-6"/>
          <w:w w:val="105"/>
          <w:sz w:val="21"/>
        </w:rPr>
        <w:t>RMPAT</w:t>
      </w:r>
      <w:r>
        <w:rPr>
          <w:spacing w:val="-8"/>
          <w:w w:val="105"/>
          <w:sz w:val="21"/>
        </w:rPr>
        <w:t> </w:t>
      </w:r>
      <w:r>
        <w:rPr>
          <w:w w:val="105"/>
          <w:sz w:val="21"/>
        </w:rPr>
        <w:t>must</w:t>
      </w:r>
      <w:r>
        <w:rPr>
          <w:spacing w:val="-8"/>
          <w:w w:val="105"/>
          <w:sz w:val="21"/>
        </w:rPr>
        <w:t> </w:t>
      </w:r>
      <w:r>
        <w:rPr>
          <w:spacing w:val="-3"/>
          <w:w w:val="105"/>
          <w:sz w:val="21"/>
        </w:rPr>
        <w:t>consider</w:t>
      </w:r>
      <w:r>
        <w:rPr>
          <w:spacing w:val="-8"/>
          <w:w w:val="105"/>
          <w:sz w:val="21"/>
        </w:rPr>
        <w:t> </w:t>
      </w:r>
      <w:r>
        <w:rPr>
          <w:w w:val="105"/>
          <w:sz w:val="21"/>
        </w:rPr>
        <w:t>whether</w:t>
      </w:r>
      <w:r>
        <w:rPr>
          <w:spacing w:val="-8"/>
          <w:w w:val="105"/>
          <w:sz w:val="21"/>
        </w:rPr>
        <w:t> </w:t>
      </w:r>
      <w:r>
        <w:rPr>
          <w:w w:val="105"/>
          <w:sz w:val="21"/>
        </w:rPr>
        <w:t>the</w:t>
      </w:r>
      <w:r>
        <w:rPr>
          <w:spacing w:val="-8"/>
          <w:w w:val="105"/>
          <w:sz w:val="21"/>
        </w:rPr>
        <w:t> </w:t>
      </w:r>
      <w:r>
        <w:rPr>
          <w:w w:val="105"/>
          <w:sz w:val="21"/>
        </w:rPr>
        <w:t>matter</w:t>
      </w:r>
      <w:r>
        <w:rPr>
          <w:spacing w:val="-8"/>
          <w:w w:val="105"/>
          <w:sz w:val="21"/>
        </w:rPr>
        <w:t> </w:t>
      </w:r>
      <w:r>
        <w:rPr>
          <w:spacing w:val="-3"/>
          <w:w w:val="105"/>
          <w:sz w:val="21"/>
        </w:rPr>
        <w:t>could</w:t>
      </w:r>
      <w:r>
        <w:rPr>
          <w:spacing w:val="-8"/>
          <w:w w:val="105"/>
          <w:sz w:val="21"/>
        </w:rPr>
        <w:t> </w:t>
      </w:r>
      <w:r>
        <w:rPr>
          <w:w w:val="105"/>
          <w:sz w:val="21"/>
        </w:rPr>
        <w:t>be</w:t>
      </w:r>
      <w:r>
        <w:rPr>
          <w:spacing w:val="-8"/>
          <w:w w:val="105"/>
          <w:sz w:val="21"/>
        </w:rPr>
        <w:t> </w:t>
      </w:r>
      <w:r>
        <w:rPr>
          <w:w w:val="105"/>
          <w:sz w:val="21"/>
        </w:rPr>
        <w:t>settled </w:t>
      </w:r>
      <w:r>
        <w:rPr>
          <w:spacing w:val="-3"/>
          <w:w w:val="105"/>
          <w:sz w:val="21"/>
        </w:rPr>
        <w:t>through </w:t>
      </w:r>
      <w:r>
        <w:rPr>
          <w:w w:val="105"/>
          <w:sz w:val="21"/>
        </w:rPr>
        <w:t>ADR </w:t>
      </w:r>
      <w:r>
        <w:rPr>
          <w:spacing w:val="-3"/>
          <w:w w:val="105"/>
          <w:sz w:val="21"/>
        </w:rPr>
        <w:t>such </w:t>
      </w:r>
      <w:r>
        <w:rPr>
          <w:w w:val="105"/>
          <w:sz w:val="21"/>
        </w:rPr>
        <w:t>as </w:t>
      </w:r>
      <w:r>
        <w:rPr>
          <w:spacing w:val="-3"/>
          <w:w w:val="105"/>
          <w:sz w:val="21"/>
        </w:rPr>
        <w:t>mediation, conciliation </w:t>
      </w:r>
      <w:r>
        <w:rPr>
          <w:w w:val="105"/>
          <w:sz w:val="21"/>
        </w:rPr>
        <w:t>or </w:t>
      </w:r>
      <w:r>
        <w:rPr>
          <w:spacing w:val="-3"/>
          <w:w w:val="105"/>
          <w:sz w:val="21"/>
        </w:rPr>
        <w:t>neutral </w:t>
      </w:r>
      <w:r>
        <w:rPr>
          <w:w w:val="105"/>
          <w:sz w:val="21"/>
        </w:rPr>
        <w:t>expert </w:t>
      </w:r>
      <w:r>
        <w:rPr>
          <w:spacing w:val="-4"/>
          <w:w w:val="105"/>
          <w:sz w:val="21"/>
        </w:rPr>
        <w:t>evaluation.</w:t>
      </w:r>
      <w:r>
        <w:rPr>
          <w:spacing w:val="-4"/>
          <w:w w:val="105"/>
          <w:position w:val="7"/>
          <w:sz w:val="12"/>
        </w:rPr>
        <w:t>165 </w:t>
      </w:r>
      <w:r>
        <w:rPr>
          <w:w w:val="105"/>
          <w:sz w:val="21"/>
        </w:rPr>
        <w:t>The </w:t>
      </w:r>
      <w:r>
        <w:rPr>
          <w:spacing w:val="-5"/>
          <w:w w:val="105"/>
          <w:sz w:val="21"/>
        </w:rPr>
        <w:t>Tribunal </w:t>
      </w:r>
      <w:r>
        <w:rPr>
          <w:spacing w:val="-3"/>
          <w:w w:val="105"/>
          <w:sz w:val="21"/>
        </w:rPr>
        <w:t>notes that </w:t>
      </w:r>
      <w:r>
        <w:rPr>
          <w:w w:val="105"/>
          <w:sz w:val="21"/>
        </w:rPr>
        <w:t>‘virtually </w:t>
      </w:r>
      <w:r>
        <w:rPr>
          <w:spacing w:val="-3"/>
          <w:w w:val="105"/>
          <w:sz w:val="21"/>
        </w:rPr>
        <w:t>all disputes </w:t>
      </w:r>
      <w:r>
        <w:rPr>
          <w:w w:val="115"/>
          <w:sz w:val="21"/>
        </w:rPr>
        <w:t>… </w:t>
      </w:r>
      <w:r>
        <w:rPr>
          <w:spacing w:val="-3"/>
          <w:w w:val="105"/>
          <w:sz w:val="21"/>
        </w:rPr>
        <w:t>will </w:t>
      </w:r>
      <w:r>
        <w:rPr>
          <w:w w:val="105"/>
          <w:sz w:val="21"/>
        </w:rPr>
        <w:t>be </w:t>
      </w:r>
      <w:r>
        <w:rPr>
          <w:spacing w:val="-3"/>
          <w:w w:val="105"/>
          <w:sz w:val="21"/>
        </w:rPr>
        <w:t>referred’ to </w:t>
      </w:r>
      <w:r>
        <w:rPr>
          <w:w w:val="105"/>
          <w:sz w:val="21"/>
        </w:rPr>
        <w:t>ADR </w:t>
      </w:r>
      <w:r>
        <w:rPr>
          <w:spacing w:val="-3"/>
          <w:w w:val="105"/>
          <w:sz w:val="21"/>
        </w:rPr>
        <w:t>before ‘proceeding to </w:t>
      </w:r>
      <w:r>
        <w:rPr>
          <w:w w:val="105"/>
          <w:sz w:val="21"/>
        </w:rPr>
        <w:t>a </w:t>
      </w:r>
      <w:r>
        <w:rPr>
          <w:spacing w:val="-3"/>
          <w:w w:val="105"/>
          <w:sz w:val="21"/>
        </w:rPr>
        <w:t>full </w:t>
      </w:r>
      <w:r>
        <w:rPr>
          <w:spacing w:val="-6"/>
          <w:w w:val="105"/>
          <w:sz w:val="21"/>
        </w:rPr>
        <w:t>hearing’.</w:t>
      </w:r>
      <w:r>
        <w:rPr>
          <w:spacing w:val="-6"/>
          <w:w w:val="105"/>
          <w:position w:val="7"/>
          <w:sz w:val="12"/>
        </w:rPr>
        <w:t>166</w:t>
      </w:r>
    </w:p>
    <w:p>
      <w:pPr>
        <w:pStyle w:val="ListParagraph"/>
        <w:numPr>
          <w:ilvl w:val="1"/>
          <w:numId w:val="114"/>
        </w:numPr>
        <w:tabs>
          <w:tab w:pos="2380" w:val="left" w:leader="none"/>
          <w:tab w:pos="2381" w:val="left" w:leader="none"/>
        </w:tabs>
        <w:spacing w:line="242" w:lineRule="auto" w:before="124" w:after="0"/>
        <w:ind w:left="2381" w:right="1837" w:hanging="794"/>
        <w:jc w:val="left"/>
        <w:rPr>
          <w:sz w:val="21"/>
        </w:rPr>
      </w:pPr>
      <w:r>
        <w:rPr>
          <w:w w:val="105"/>
          <w:sz w:val="21"/>
        </w:rPr>
        <w:t>Mediation is the most </w:t>
      </w:r>
      <w:r>
        <w:rPr>
          <w:spacing w:val="-2"/>
          <w:w w:val="105"/>
          <w:sz w:val="21"/>
        </w:rPr>
        <w:t>common </w:t>
      </w:r>
      <w:r>
        <w:rPr>
          <w:spacing w:val="-3"/>
          <w:w w:val="105"/>
          <w:sz w:val="21"/>
        </w:rPr>
        <w:t>form </w:t>
      </w:r>
      <w:r>
        <w:rPr>
          <w:w w:val="105"/>
          <w:sz w:val="21"/>
        </w:rPr>
        <w:t>of ADR used by </w:t>
      </w:r>
      <w:r>
        <w:rPr>
          <w:spacing w:val="-8"/>
          <w:w w:val="105"/>
          <w:sz w:val="21"/>
        </w:rPr>
        <w:t>RMPAT.</w:t>
      </w:r>
      <w:r>
        <w:rPr>
          <w:spacing w:val="-8"/>
          <w:w w:val="105"/>
          <w:position w:val="7"/>
          <w:sz w:val="12"/>
        </w:rPr>
        <w:t>167 </w:t>
      </w:r>
      <w:r>
        <w:rPr>
          <w:w w:val="105"/>
          <w:sz w:val="21"/>
        </w:rPr>
        <w:t>The </w:t>
      </w:r>
      <w:r>
        <w:rPr>
          <w:spacing w:val="-4"/>
          <w:w w:val="105"/>
          <w:sz w:val="21"/>
        </w:rPr>
        <w:t>Tasmanian </w:t>
      </w:r>
      <w:r>
        <w:rPr>
          <w:w w:val="105"/>
          <w:sz w:val="21"/>
        </w:rPr>
        <w:t>Act </w:t>
      </w:r>
      <w:r>
        <w:rPr>
          <w:spacing w:val="-3"/>
          <w:w w:val="105"/>
          <w:sz w:val="21"/>
        </w:rPr>
        <w:t>requires </w:t>
      </w:r>
      <w:r>
        <w:rPr>
          <w:spacing w:val="-6"/>
          <w:w w:val="105"/>
          <w:sz w:val="21"/>
        </w:rPr>
        <w:t>RMPAT </w:t>
      </w:r>
      <w:r>
        <w:rPr>
          <w:spacing w:val="-3"/>
          <w:w w:val="105"/>
          <w:sz w:val="21"/>
        </w:rPr>
        <w:t>to consider </w:t>
      </w:r>
      <w:r>
        <w:rPr>
          <w:w w:val="105"/>
          <w:sz w:val="21"/>
        </w:rPr>
        <w:t>the </w:t>
      </w:r>
      <w:r>
        <w:rPr>
          <w:spacing w:val="-3"/>
          <w:w w:val="105"/>
          <w:sz w:val="21"/>
        </w:rPr>
        <w:t>following </w:t>
      </w:r>
      <w:r>
        <w:rPr>
          <w:w w:val="105"/>
          <w:sz w:val="21"/>
        </w:rPr>
        <w:t>factors when </w:t>
      </w:r>
      <w:r>
        <w:rPr>
          <w:spacing w:val="-3"/>
          <w:w w:val="105"/>
          <w:sz w:val="21"/>
        </w:rPr>
        <w:t>determining </w:t>
      </w:r>
      <w:r>
        <w:rPr>
          <w:w w:val="105"/>
          <w:sz w:val="21"/>
        </w:rPr>
        <w:t>whether or </w:t>
      </w:r>
      <w:r>
        <w:rPr>
          <w:spacing w:val="-2"/>
          <w:w w:val="105"/>
          <w:sz w:val="21"/>
        </w:rPr>
        <w:t>not </w:t>
      </w:r>
      <w:r>
        <w:rPr>
          <w:spacing w:val="-3"/>
          <w:w w:val="105"/>
          <w:sz w:val="21"/>
        </w:rPr>
        <w:t>to </w:t>
      </w:r>
      <w:r>
        <w:rPr>
          <w:w w:val="105"/>
          <w:sz w:val="21"/>
        </w:rPr>
        <w:t>direct</w:t>
      </w:r>
      <w:r>
        <w:rPr>
          <w:spacing w:val="-11"/>
          <w:w w:val="105"/>
          <w:sz w:val="21"/>
        </w:rPr>
        <w:t> </w:t>
      </w:r>
      <w:r>
        <w:rPr>
          <w:w w:val="105"/>
          <w:sz w:val="21"/>
        </w:rPr>
        <w:t>parties</w:t>
      </w:r>
      <w:r>
        <w:rPr>
          <w:spacing w:val="-11"/>
          <w:w w:val="105"/>
          <w:sz w:val="21"/>
        </w:rPr>
        <w:t> </w:t>
      </w:r>
      <w:r>
        <w:rPr>
          <w:spacing w:val="-3"/>
          <w:w w:val="105"/>
          <w:sz w:val="21"/>
        </w:rPr>
        <w:t>to</w:t>
      </w:r>
      <w:r>
        <w:rPr>
          <w:spacing w:val="-11"/>
          <w:w w:val="105"/>
          <w:sz w:val="21"/>
        </w:rPr>
        <w:t> </w:t>
      </w:r>
      <w:r>
        <w:rPr>
          <w:w w:val="105"/>
          <w:sz w:val="21"/>
        </w:rPr>
        <w:t>resolve</w:t>
      </w:r>
      <w:r>
        <w:rPr>
          <w:spacing w:val="-10"/>
          <w:w w:val="105"/>
          <w:sz w:val="21"/>
        </w:rPr>
        <w:t> </w:t>
      </w:r>
      <w:r>
        <w:rPr>
          <w:w w:val="105"/>
          <w:sz w:val="21"/>
        </w:rPr>
        <w:t>their</w:t>
      </w:r>
      <w:r>
        <w:rPr>
          <w:spacing w:val="-11"/>
          <w:w w:val="105"/>
          <w:sz w:val="21"/>
        </w:rPr>
        <w:t> </w:t>
      </w:r>
      <w:r>
        <w:rPr>
          <w:w w:val="105"/>
          <w:sz w:val="21"/>
        </w:rPr>
        <w:t>tree</w:t>
      </w:r>
      <w:r>
        <w:rPr>
          <w:spacing w:val="-11"/>
          <w:w w:val="105"/>
          <w:sz w:val="21"/>
        </w:rPr>
        <w:t> </w:t>
      </w:r>
      <w:r>
        <w:rPr>
          <w:spacing w:val="-3"/>
          <w:w w:val="105"/>
          <w:sz w:val="21"/>
        </w:rPr>
        <w:t>dispute,</w:t>
      </w:r>
      <w:r>
        <w:rPr>
          <w:spacing w:val="-11"/>
          <w:w w:val="105"/>
          <w:sz w:val="21"/>
        </w:rPr>
        <w:t> </w:t>
      </w:r>
      <w:r>
        <w:rPr>
          <w:spacing w:val="-3"/>
          <w:w w:val="105"/>
          <w:sz w:val="21"/>
        </w:rPr>
        <w:t>including</w:t>
      </w:r>
      <w:r>
        <w:rPr>
          <w:spacing w:val="-10"/>
          <w:w w:val="105"/>
          <w:sz w:val="21"/>
        </w:rPr>
        <w:t> </w:t>
      </w:r>
      <w:r>
        <w:rPr>
          <w:w w:val="105"/>
          <w:sz w:val="21"/>
        </w:rPr>
        <w:t>by</w:t>
      </w:r>
      <w:r>
        <w:rPr>
          <w:spacing w:val="-11"/>
          <w:w w:val="105"/>
          <w:sz w:val="21"/>
        </w:rPr>
        <w:t> </w:t>
      </w:r>
      <w:r>
        <w:rPr>
          <w:spacing w:val="-3"/>
          <w:w w:val="105"/>
          <w:sz w:val="21"/>
        </w:rPr>
        <w:t>making</w:t>
      </w:r>
      <w:r>
        <w:rPr>
          <w:spacing w:val="-11"/>
          <w:w w:val="105"/>
          <w:sz w:val="21"/>
        </w:rPr>
        <w:t> </w:t>
      </w:r>
      <w:r>
        <w:rPr>
          <w:w w:val="105"/>
          <w:sz w:val="21"/>
        </w:rPr>
        <w:t>mediation</w:t>
      </w:r>
      <w:r>
        <w:rPr>
          <w:spacing w:val="-11"/>
          <w:w w:val="105"/>
          <w:sz w:val="21"/>
        </w:rPr>
        <w:t> </w:t>
      </w:r>
      <w:r>
        <w:rPr>
          <w:w w:val="105"/>
          <w:sz w:val="21"/>
        </w:rPr>
        <w:t>or</w:t>
      </w:r>
      <w:r>
        <w:rPr>
          <w:spacing w:val="-10"/>
          <w:w w:val="105"/>
          <w:sz w:val="21"/>
        </w:rPr>
        <w:t> </w:t>
      </w:r>
      <w:r>
        <w:rPr>
          <w:spacing w:val="-3"/>
          <w:w w:val="105"/>
          <w:sz w:val="21"/>
        </w:rPr>
        <w:t>conference </w:t>
      </w:r>
      <w:r>
        <w:rPr>
          <w:w w:val="105"/>
          <w:sz w:val="21"/>
        </w:rPr>
        <w:t>directions under sections </w:t>
      </w:r>
      <w:r>
        <w:rPr>
          <w:spacing w:val="-5"/>
          <w:w w:val="105"/>
          <w:sz w:val="21"/>
        </w:rPr>
        <w:t>16A </w:t>
      </w:r>
      <w:r>
        <w:rPr>
          <w:w w:val="105"/>
          <w:sz w:val="21"/>
        </w:rPr>
        <w:t>or </w:t>
      </w:r>
      <w:r>
        <w:rPr>
          <w:spacing w:val="-9"/>
          <w:w w:val="105"/>
          <w:sz w:val="21"/>
        </w:rPr>
        <w:t>17 </w:t>
      </w:r>
      <w:r>
        <w:rPr>
          <w:w w:val="105"/>
          <w:sz w:val="21"/>
        </w:rPr>
        <w:t>of the </w:t>
      </w:r>
      <w:r>
        <w:rPr>
          <w:spacing w:val="-6"/>
          <w:w w:val="105"/>
          <w:sz w:val="21"/>
        </w:rPr>
        <w:t>RMPAT</w:t>
      </w:r>
      <w:r>
        <w:rPr>
          <w:spacing w:val="13"/>
          <w:w w:val="105"/>
          <w:sz w:val="21"/>
        </w:rPr>
        <w:t> </w:t>
      </w:r>
      <w:r>
        <w:rPr>
          <w:w w:val="105"/>
          <w:sz w:val="21"/>
        </w:rPr>
        <w:t>Act:</w:t>
      </w:r>
    </w:p>
    <w:p>
      <w:pPr>
        <w:pStyle w:val="ListParagraph"/>
        <w:numPr>
          <w:ilvl w:val="2"/>
          <w:numId w:val="114"/>
        </w:numPr>
        <w:tabs>
          <w:tab w:pos="2721" w:val="left" w:leader="none"/>
          <w:tab w:pos="2722" w:val="left" w:leader="none"/>
        </w:tabs>
        <w:spacing w:line="240" w:lineRule="auto" w:before="124" w:after="0"/>
        <w:ind w:left="2721" w:right="0" w:hanging="340"/>
        <w:jc w:val="left"/>
        <w:rPr>
          <w:sz w:val="21"/>
        </w:rPr>
      </w:pPr>
      <w:r>
        <w:rPr>
          <w:spacing w:val="-3"/>
          <w:w w:val="105"/>
          <w:sz w:val="21"/>
        </w:rPr>
        <w:t>any </w:t>
      </w:r>
      <w:r>
        <w:rPr>
          <w:w w:val="105"/>
          <w:sz w:val="21"/>
        </w:rPr>
        <w:t>threats of violence made by one of</w:t>
      </w:r>
      <w:r>
        <w:rPr>
          <w:spacing w:val="36"/>
          <w:w w:val="105"/>
          <w:sz w:val="21"/>
        </w:rPr>
        <w:t> </w:t>
      </w:r>
      <w:r>
        <w:rPr>
          <w:w w:val="105"/>
          <w:sz w:val="21"/>
        </w:rPr>
        <w:t>parties;</w:t>
      </w:r>
    </w:p>
    <w:p>
      <w:pPr>
        <w:pStyle w:val="ListParagraph"/>
        <w:numPr>
          <w:ilvl w:val="2"/>
          <w:numId w:val="114"/>
        </w:numPr>
        <w:tabs>
          <w:tab w:pos="2721" w:val="left" w:leader="none"/>
          <w:tab w:pos="2722" w:val="left" w:leader="none"/>
        </w:tabs>
        <w:spacing w:line="240" w:lineRule="auto" w:before="89" w:after="0"/>
        <w:ind w:left="2721" w:right="0" w:hanging="340"/>
        <w:jc w:val="left"/>
        <w:rPr>
          <w:sz w:val="21"/>
        </w:rPr>
      </w:pPr>
      <w:r>
        <w:rPr>
          <w:spacing w:val="-3"/>
          <w:sz w:val="21"/>
        </w:rPr>
        <w:t>any</w:t>
      </w:r>
      <w:r>
        <w:rPr>
          <w:spacing w:val="9"/>
          <w:sz w:val="21"/>
        </w:rPr>
        <w:t> </w:t>
      </w:r>
      <w:r>
        <w:rPr>
          <w:sz w:val="21"/>
        </w:rPr>
        <w:t>court</w:t>
      </w:r>
      <w:r>
        <w:rPr>
          <w:spacing w:val="9"/>
          <w:sz w:val="21"/>
        </w:rPr>
        <w:t> </w:t>
      </w:r>
      <w:r>
        <w:rPr>
          <w:sz w:val="21"/>
        </w:rPr>
        <w:t>orders</w:t>
      </w:r>
      <w:r>
        <w:rPr>
          <w:spacing w:val="9"/>
          <w:sz w:val="21"/>
        </w:rPr>
        <w:t> </w:t>
      </w:r>
      <w:r>
        <w:rPr>
          <w:spacing w:val="-3"/>
          <w:sz w:val="21"/>
        </w:rPr>
        <w:t>restraining</w:t>
      </w:r>
      <w:r>
        <w:rPr>
          <w:spacing w:val="9"/>
          <w:sz w:val="21"/>
        </w:rPr>
        <w:t> </w:t>
      </w:r>
      <w:r>
        <w:rPr>
          <w:sz w:val="21"/>
        </w:rPr>
        <w:t>the</w:t>
      </w:r>
      <w:r>
        <w:rPr>
          <w:spacing w:val="9"/>
          <w:sz w:val="21"/>
        </w:rPr>
        <w:t> </w:t>
      </w:r>
      <w:r>
        <w:rPr>
          <w:sz w:val="21"/>
        </w:rPr>
        <w:t>behaviour</w:t>
      </w:r>
      <w:r>
        <w:rPr>
          <w:spacing w:val="9"/>
          <w:sz w:val="21"/>
        </w:rPr>
        <w:t> </w:t>
      </w:r>
      <w:r>
        <w:rPr>
          <w:sz w:val="21"/>
        </w:rPr>
        <w:t>of</w:t>
      </w:r>
      <w:r>
        <w:rPr>
          <w:spacing w:val="9"/>
          <w:sz w:val="21"/>
        </w:rPr>
        <w:t> </w:t>
      </w:r>
      <w:r>
        <w:rPr>
          <w:sz w:val="21"/>
        </w:rPr>
        <w:t>the</w:t>
      </w:r>
      <w:r>
        <w:rPr>
          <w:spacing w:val="9"/>
          <w:sz w:val="21"/>
        </w:rPr>
        <w:t> </w:t>
      </w:r>
      <w:r>
        <w:rPr>
          <w:sz w:val="21"/>
        </w:rPr>
        <w:t>parties;</w:t>
      </w:r>
      <w:r>
        <w:rPr>
          <w:spacing w:val="9"/>
          <w:sz w:val="21"/>
        </w:rPr>
        <w:t> </w:t>
      </w:r>
      <w:r>
        <w:rPr>
          <w:sz w:val="21"/>
        </w:rPr>
        <w:t>and</w:t>
      </w:r>
    </w:p>
    <w:p>
      <w:pPr>
        <w:pStyle w:val="ListParagraph"/>
        <w:numPr>
          <w:ilvl w:val="2"/>
          <w:numId w:val="114"/>
        </w:numPr>
        <w:tabs>
          <w:tab w:pos="2721" w:val="left" w:leader="none"/>
          <w:tab w:pos="2722" w:val="left" w:leader="none"/>
        </w:tabs>
        <w:spacing w:line="240" w:lineRule="auto" w:before="89" w:after="0"/>
        <w:ind w:left="2721" w:right="0" w:hanging="340"/>
        <w:jc w:val="left"/>
        <w:rPr>
          <w:sz w:val="12"/>
        </w:rPr>
      </w:pPr>
      <w:r>
        <w:rPr>
          <w:sz w:val="21"/>
        </w:rPr>
        <w:t>whether</w:t>
      </w:r>
      <w:r>
        <w:rPr>
          <w:spacing w:val="10"/>
          <w:sz w:val="21"/>
        </w:rPr>
        <w:t> </w:t>
      </w:r>
      <w:r>
        <w:rPr>
          <w:sz w:val="21"/>
        </w:rPr>
        <w:t>the</w:t>
      </w:r>
      <w:r>
        <w:rPr>
          <w:spacing w:val="10"/>
          <w:sz w:val="21"/>
        </w:rPr>
        <w:t> </w:t>
      </w:r>
      <w:r>
        <w:rPr>
          <w:sz w:val="21"/>
        </w:rPr>
        <w:t>parties</w:t>
      </w:r>
      <w:r>
        <w:rPr>
          <w:spacing w:val="10"/>
          <w:sz w:val="21"/>
        </w:rPr>
        <w:t> </w:t>
      </w:r>
      <w:r>
        <w:rPr>
          <w:spacing w:val="-3"/>
          <w:sz w:val="21"/>
        </w:rPr>
        <w:t>have</w:t>
      </w:r>
      <w:r>
        <w:rPr>
          <w:spacing w:val="10"/>
          <w:sz w:val="21"/>
        </w:rPr>
        <w:t> </w:t>
      </w:r>
      <w:r>
        <w:rPr>
          <w:spacing w:val="-3"/>
          <w:sz w:val="21"/>
        </w:rPr>
        <w:t>already</w:t>
      </w:r>
      <w:r>
        <w:rPr>
          <w:spacing w:val="10"/>
          <w:sz w:val="21"/>
        </w:rPr>
        <w:t> </w:t>
      </w:r>
      <w:r>
        <w:rPr>
          <w:sz w:val="21"/>
        </w:rPr>
        <w:t>participated</w:t>
      </w:r>
      <w:r>
        <w:rPr>
          <w:spacing w:val="10"/>
          <w:sz w:val="21"/>
        </w:rPr>
        <w:t> </w:t>
      </w:r>
      <w:r>
        <w:rPr>
          <w:sz w:val="21"/>
        </w:rPr>
        <w:t>in</w:t>
      </w:r>
      <w:r>
        <w:rPr>
          <w:spacing w:val="10"/>
          <w:sz w:val="21"/>
        </w:rPr>
        <w:t> </w:t>
      </w:r>
      <w:r>
        <w:rPr>
          <w:spacing w:val="-3"/>
          <w:sz w:val="21"/>
        </w:rPr>
        <w:t>any</w:t>
      </w:r>
      <w:r>
        <w:rPr>
          <w:spacing w:val="10"/>
          <w:sz w:val="21"/>
        </w:rPr>
        <w:t> </w:t>
      </w:r>
      <w:r>
        <w:rPr>
          <w:spacing w:val="-3"/>
          <w:sz w:val="21"/>
        </w:rPr>
        <w:t>form</w:t>
      </w:r>
      <w:r>
        <w:rPr>
          <w:spacing w:val="10"/>
          <w:sz w:val="21"/>
        </w:rPr>
        <w:t> </w:t>
      </w:r>
      <w:r>
        <w:rPr>
          <w:sz w:val="21"/>
        </w:rPr>
        <w:t>of</w:t>
      </w:r>
      <w:r>
        <w:rPr>
          <w:spacing w:val="10"/>
          <w:sz w:val="21"/>
        </w:rPr>
        <w:t> </w:t>
      </w:r>
      <w:r>
        <w:rPr>
          <w:spacing w:val="-3"/>
          <w:sz w:val="21"/>
        </w:rPr>
        <w:t>ADR.</w:t>
      </w:r>
      <w:r>
        <w:rPr>
          <w:spacing w:val="-3"/>
          <w:position w:val="7"/>
          <w:sz w:val="12"/>
        </w:rPr>
        <w:t>168</w:t>
      </w:r>
    </w:p>
    <w:p>
      <w:pPr>
        <w:pStyle w:val="ListParagraph"/>
        <w:numPr>
          <w:ilvl w:val="1"/>
          <w:numId w:val="114"/>
        </w:numPr>
        <w:tabs>
          <w:tab w:pos="2381" w:val="left" w:leader="none"/>
          <w:tab w:pos="2382" w:val="left" w:leader="none"/>
        </w:tabs>
        <w:spacing w:line="242" w:lineRule="auto" w:before="88" w:after="0"/>
        <w:ind w:left="2381" w:right="2132" w:hanging="794"/>
        <w:jc w:val="left"/>
        <w:rPr>
          <w:sz w:val="12"/>
        </w:rPr>
      </w:pPr>
      <w:r>
        <w:rPr>
          <w:w w:val="105"/>
          <w:sz w:val="21"/>
        </w:rPr>
        <w:t>Mediation can </w:t>
      </w:r>
      <w:r>
        <w:rPr>
          <w:spacing w:val="-3"/>
          <w:w w:val="105"/>
          <w:sz w:val="21"/>
        </w:rPr>
        <w:t>occur before </w:t>
      </w:r>
      <w:r>
        <w:rPr>
          <w:w w:val="105"/>
          <w:sz w:val="21"/>
        </w:rPr>
        <w:t>a </w:t>
      </w:r>
      <w:r>
        <w:rPr>
          <w:spacing w:val="-3"/>
          <w:w w:val="105"/>
          <w:sz w:val="21"/>
        </w:rPr>
        <w:t>hearing </w:t>
      </w:r>
      <w:r>
        <w:rPr>
          <w:w w:val="105"/>
          <w:sz w:val="21"/>
        </w:rPr>
        <w:t>or </w:t>
      </w:r>
      <w:r>
        <w:rPr>
          <w:spacing w:val="-3"/>
          <w:w w:val="105"/>
          <w:sz w:val="21"/>
        </w:rPr>
        <w:t>during </w:t>
      </w:r>
      <w:r>
        <w:rPr>
          <w:w w:val="105"/>
          <w:sz w:val="21"/>
        </w:rPr>
        <w:t>a </w:t>
      </w:r>
      <w:r>
        <w:rPr>
          <w:spacing w:val="-3"/>
          <w:w w:val="105"/>
          <w:sz w:val="21"/>
        </w:rPr>
        <w:t>hearing following </w:t>
      </w:r>
      <w:r>
        <w:rPr>
          <w:w w:val="105"/>
          <w:sz w:val="21"/>
        </w:rPr>
        <w:t>an order </w:t>
      </w:r>
      <w:r>
        <w:rPr>
          <w:spacing w:val="-3"/>
          <w:w w:val="105"/>
          <w:sz w:val="21"/>
        </w:rPr>
        <w:t>to </w:t>
      </w:r>
      <w:r>
        <w:rPr>
          <w:w w:val="105"/>
          <w:sz w:val="21"/>
        </w:rPr>
        <w:t>stay </w:t>
      </w:r>
      <w:r>
        <w:rPr>
          <w:spacing w:val="-3"/>
          <w:w w:val="105"/>
          <w:sz w:val="21"/>
        </w:rPr>
        <w:t>proceedings. </w:t>
      </w:r>
      <w:r>
        <w:rPr>
          <w:w w:val="105"/>
          <w:sz w:val="21"/>
        </w:rPr>
        <w:t>Matters discussed in mediation </w:t>
      </w:r>
      <w:r>
        <w:rPr>
          <w:spacing w:val="-3"/>
          <w:w w:val="105"/>
          <w:sz w:val="21"/>
        </w:rPr>
        <w:t>remain</w:t>
      </w:r>
      <w:r>
        <w:rPr>
          <w:spacing w:val="16"/>
          <w:w w:val="105"/>
          <w:sz w:val="21"/>
        </w:rPr>
        <w:t> </w:t>
      </w:r>
      <w:r>
        <w:rPr>
          <w:spacing w:val="-4"/>
          <w:w w:val="105"/>
          <w:sz w:val="21"/>
        </w:rPr>
        <w:t>confidential.</w:t>
      </w:r>
      <w:r>
        <w:rPr>
          <w:spacing w:val="-4"/>
          <w:w w:val="105"/>
          <w:position w:val="7"/>
          <w:sz w:val="12"/>
        </w:rPr>
        <w:t>169</w:t>
      </w:r>
    </w:p>
    <w:p>
      <w:pPr>
        <w:pStyle w:val="ListParagraph"/>
        <w:numPr>
          <w:ilvl w:val="1"/>
          <w:numId w:val="114"/>
        </w:numPr>
        <w:tabs>
          <w:tab w:pos="2380" w:val="left" w:leader="none"/>
          <w:tab w:pos="2381" w:val="left" w:leader="none"/>
        </w:tabs>
        <w:spacing w:line="242" w:lineRule="auto" w:before="123" w:after="0"/>
        <w:ind w:left="2381" w:right="1926" w:hanging="794"/>
        <w:jc w:val="left"/>
        <w:rPr>
          <w:sz w:val="12"/>
        </w:rPr>
      </w:pPr>
      <w:r>
        <w:rPr>
          <w:spacing w:val="-6"/>
          <w:w w:val="105"/>
          <w:sz w:val="21"/>
        </w:rPr>
        <w:t>RMPAT </w:t>
      </w:r>
      <w:r>
        <w:rPr>
          <w:w w:val="105"/>
          <w:sz w:val="21"/>
        </w:rPr>
        <w:t>advised </w:t>
      </w:r>
      <w:r>
        <w:rPr>
          <w:spacing w:val="-3"/>
          <w:w w:val="105"/>
          <w:sz w:val="21"/>
        </w:rPr>
        <w:t>that </w:t>
      </w:r>
      <w:r>
        <w:rPr>
          <w:w w:val="105"/>
          <w:sz w:val="21"/>
        </w:rPr>
        <w:t>a </w:t>
      </w:r>
      <w:r>
        <w:rPr>
          <w:spacing w:val="-3"/>
          <w:w w:val="105"/>
          <w:sz w:val="21"/>
        </w:rPr>
        <w:t>‘significant </w:t>
      </w:r>
      <w:r>
        <w:rPr>
          <w:w w:val="105"/>
          <w:sz w:val="21"/>
        </w:rPr>
        <w:t>proportion of </w:t>
      </w:r>
      <w:r>
        <w:rPr>
          <w:spacing w:val="-3"/>
          <w:w w:val="105"/>
          <w:sz w:val="21"/>
        </w:rPr>
        <w:t>applications are withdrawn before proceeding</w:t>
      </w:r>
      <w:r>
        <w:rPr>
          <w:spacing w:val="-6"/>
          <w:w w:val="105"/>
          <w:sz w:val="21"/>
        </w:rPr>
        <w:t> </w:t>
      </w:r>
      <w:r>
        <w:rPr>
          <w:spacing w:val="-3"/>
          <w:w w:val="105"/>
          <w:sz w:val="21"/>
        </w:rPr>
        <w:t>to</w:t>
      </w:r>
      <w:r>
        <w:rPr>
          <w:spacing w:val="-5"/>
          <w:w w:val="105"/>
          <w:sz w:val="21"/>
        </w:rPr>
        <w:t> hearing’.</w:t>
      </w:r>
      <w:r>
        <w:rPr>
          <w:spacing w:val="-6"/>
          <w:w w:val="105"/>
          <w:sz w:val="21"/>
        </w:rPr>
        <w:t> </w:t>
      </w:r>
      <w:r>
        <w:rPr>
          <w:w w:val="105"/>
          <w:sz w:val="21"/>
        </w:rPr>
        <w:t>It</w:t>
      </w:r>
      <w:r>
        <w:rPr>
          <w:spacing w:val="-5"/>
          <w:w w:val="105"/>
          <w:sz w:val="21"/>
        </w:rPr>
        <w:t> </w:t>
      </w:r>
      <w:r>
        <w:rPr>
          <w:w w:val="105"/>
          <w:sz w:val="21"/>
        </w:rPr>
        <w:t>was</w:t>
      </w:r>
      <w:r>
        <w:rPr>
          <w:spacing w:val="-6"/>
          <w:w w:val="105"/>
          <w:sz w:val="21"/>
        </w:rPr>
        <w:t> </w:t>
      </w:r>
      <w:r>
        <w:rPr>
          <w:w w:val="105"/>
          <w:sz w:val="21"/>
        </w:rPr>
        <w:t>suggested</w:t>
      </w:r>
      <w:r>
        <w:rPr>
          <w:spacing w:val="-5"/>
          <w:w w:val="105"/>
          <w:sz w:val="21"/>
        </w:rPr>
        <w:t> </w:t>
      </w:r>
      <w:r>
        <w:rPr>
          <w:spacing w:val="-3"/>
          <w:w w:val="105"/>
          <w:sz w:val="21"/>
        </w:rPr>
        <w:t>that</w:t>
      </w:r>
      <w:r>
        <w:rPr>
          <w:spacing w:val="-6"/>
          <w:w w:val="105"/>
          <w:sz w:val="21"/>
        </w:rPr>
        <w:t> </w:t>
      </w:r>
      <w:r>
        <w:rPr>
          <w:w w:val="105"/>
          <w:sz w:val="21"/>
        </w:rPr>
        <w:t>in</w:t>
      </w:r>
      <w:r>
        <w:rPr>
          <w:spacing w:val="-5"/>
          <w:w w:val="105"/>
          <w:sz w:val="21"/>
        </w:rPr>
        <w:t> </w:t>
      </w:r>
      <w:r>
        <w:rPr>
          <w:w w:val="105"/>
          <w:sz w:val="21"/>
        </w:rPr>
        <w:t>the</w:t>
      </w:r>
      <w:r>
        <w:rPr>
          <w:spacing w:val="-6"/>
          <w:w w:val="105"/>
          <w:sz w:val="21"/>
        </w:rPr>
        <w:t> </w:t>
      </w:r>
      <w:r>
        <w:rPr>
          <w:w w:val="105"/>
          <w:sz w:val="21"/>
        </w:rPr>
        <w:t>majority</w:t>
      </w:r>
      <w:r>
        <w:rPr>
          <w:spacing w:val="-5"/>
          <w:w w:val="105"/>
          <w:sz w:val="21"/>
        </w:rPr>
        <w:t> </w:t>
      </w:r>
      <w:r>
        <w:rPr>
          <w:w w:val="105"/>
          <w:sz w:val="21"/>
        </w:rPr>
        <w:t>of</w:t>
      </w:r>
      <w:r>
        <w:rPr>
          <w:spacing w:val="-6"/>
          <w:w w:val="105"/>
          <w:sz w:val="21"/>
        </w:rPr>
        <w:t> </w:t>
      </w:r>
      <w:r>
        <w:rPr>
          <w:w w:val="105"/>
          <w:sz w:val="21"/>
        </w:rPr>
        <w:t>these</w:t>
      </w:r>
      <w:r>
        <w:rPr>
          <w:spacing w:val="-5"/>
          <w:w w:val="105"/>
          <w:sz w:val="21"/>
        </w:rPr>
        <w:t> </w:t>
      </w:r>
      <w:r>
        <w:rPr>
          <w:w w:val="105"/>
          <w:sz w:val="21"/>
        </w:rPr>
        <w:t>cases</w:t>
      </w:r>
      <w:r>
        <w:rPr>
          <w:spacing w:val="-6"/>
          <w:w w:val="105"/>
          <w:sz w:val="21"/>
        </w:rPr>
        <w:t> </w:t>
      </w:r>
      <w:r>
        <w:rPr>
          <w:w w:val="105"/>
          <w:sz w:val="21"/>
        </w:rPr>
        <w:t>the</w:t>
      </w:r>
      <w:r>
        <w:rPr>
          <w:spacing w:val="-5"/>
          <w:w w:val="105"/>
          <w:sz w:val="21"/>
        </w:rPr>
        <w:t> </w:t>
      </w:r>
      <w:r>
        <w:rPr>
          <w:w w:val="105"/>
          <w:sz w:val="21"/>
        </w:rPr>
        <w:t>parties </w:t>
      </w:r>
      <w:r>
        <w:rPr>
          <w:spacing w:val="-2"/>
          <w:w w:val="105"/>
          <w:sz w:val="21"/>
        </w:rPr>
        <w:t>had </w:t>
      </w:r>
      <w:r>
        <w:rPr>
          <w:w w:val="105"/>
          <w:sz w:val="21"/>
        </w:rPr>
        <w:t>engaged in </w:t>
      </w:r>
      <w:r>
        <w:rPr>
          <w:spacing w:val="-3"/>
          <w:w w:val="105"/>
          <w:sz w:val="21"/>
        </w:rPr>
        <w:t>negotiations </w:t>
      </w:r>
      <w:r>
        <w:rPr>
          <w:w w:val="105"/>
          <w:sz w:val="21"/>
        </w:rPr>
        <w:t>themselves or </w:t>
      </w:r>
      <w:r>
        <w:rPr>
          <w:spacing w:val="-3"/>
          <w:w w:val="105"/>
          <w:sz w:val="21"/>
        </w:rPr>
        <w:t>through formal</w:t>
      </w:r>
      <w:r>
        <w:rPr>
          <w:spacing w:val="38"/>
          <w:w w:val="105"/>
          <w:sz w:val="21"/>
        </w:rPr>
        <w:t> </w:t>
      </w:r>
      <w:r>
        <w:rPr>
          <w:spacing w:val="-4"/>
          <w:w w:val="105"/>
          <w:sz w:val="21"/>
        </w:rPr>
        <w:t>mediation.</w:t>
      </w:r>
      <w:r>
        <w:rPr>
          <w:spacing w:val="-4"/>
          <w:w w:val="105"/>
          <w:position w:val="7"/>
          <w:sz w:val="12"/>
        </w:rPr>
        <w:t>170</w:t>
      </w:r>
    </w:p>
    <w:p>
      <w:pPr>
        <w:pStyle w:val="ListParagraph"/>
        <w:numPr>
          <w:ilvl w:val="1"/>
          <w:numId w:val="114"/>
        </w:numPr>
        <w:tabs>
          <w:tab w:pos="2381" w:val="left" w:leader="none"/>
          <w:tab w:pos="2382" w:val="left" w:leader="none"/>
        </w:tabs>
        <w:spacing w:line="242" w:lineRule="auto" w:before="123" w:after="0"/>
        <w:ind w:left="2381" w:right="1847" w:hanging="794"/>
        <w:jc w:val="left"/>
        <w:rPr>
          <w:sz w:val="12"/>
        </w:rPr>
      </w:pPr>
      <w:r>
        <w:rPr>
          <w:sz w:val="21"/>
        </w:rPr>
        <w:t>Parties who </w:t>
      </w:r>
      <w:r>
        <w:rPr>
          <w:spacing w:val="-3"/>
          <w:sz w:val="21"/>
        </w:rPr>
        <w:t>reach </w:t>
      </w:r>
      <w:r>
        <w:rPr>
          <w:sz w:val="21"/>
        </w:rPr>
        <w:t>an </w:t>
      </w:r>
      <w:r>
        <w:rPr>
          <w:spacing w:val="-2"/>
          <w:sz w:val="21"/>
        </w:rPr>
        <w:t>agreement </w:t>
      </w:r>
      <w:r>
        <w:rPr>
          <w:spacing w:val="-3"/>
          <w:sz w:val="21"/>
        </w:rPr>
        <w:t>through </w:t>
      </w:r>
      <w:r>
        <w:rPr>
          <w:sz w:val="21"/>
        </w:rPr>
        <w:t>ADR can </w:t>
      </w:r>
      <w:r>
        <w:rPr>
          <w:spacing w:val="-3"/>
          <w:sz w:val="21"/>
        </w:rPr>
        <w:t>submit </w:t>
      </w:r>
      <w:r>
        <w:rPr>
          <w:sz w:val="21"/>
        </w:rPr>
        <w:t>their </w:t>
      </w:r>
      <w:r>
        <w:rPr>
          <w:spacing w:val="-2"/>
          <w:sz w:val="21"/>
        </w:rPr>
        <w:t>agreement </w:t>
      </w:r>
      <w:r>
        <w:rPr>
          <w:spacing w:val="-3"/>
          <w:sz w:val="21"/>
        </w:rPr>
        <w:t>to </w:t>
      </w:r>
      <w:r>
        <w:rPr>
          <w:sz w:val="21"/>
        </w:rPr>
        <w:t>the chairperson </w:t>
      </w:r>
      <w:r>
        <w:rPr>
          <w:spacing w:val="-3"/>
          <w:sz w:val="21"/>
        </w:rPr>
        <w:t>for consideration </w:t>
      </w:r>
      <w:r>
        <w:rPr>
          <w:sz w:val="21"/>
        </w:rPr>
        <w:t>as </w:t>
      </w:r>
      <w:r>
        <w:rPr>
          <w:spacing w:val="-3"/>
          <w:sz w:val="21"/>
        </w:rPr>
        <w:t>consent </w:t>
      </w:r>
      <w:r>
        <w:rPr>
          <w:sz w:val="21"/>
        </w:rPr>
        <w:t>orders of the </w:t>
      </w:r>
      <w:r>
        <w:rPr>
          <w:spacing w:val="-5"/>
          <w:sz w:val="21"/>
        </w:rPr>
        <w:t>Tribunal. </w:t>
      </w:r>
      <w:r>
        <w:rPr>
          <w:spacing w:val="-4"/>
          <w:sz w:val="21"/>
        </w:rPr>
        <w:t>Consent </w:t>
      </w:r>
      <w:r>
        <w:rPr>
          <w:sz w:val="21"/>
        </w:rPr>
        <w:t>orders </w:t>
      </w:r>
      <w:r>
        <w:rPr>
          <w:spacing w:val="-3"/>
          <w:sz w:val="21"/>
        </w:rPr>
        <w:t>will </w:t>
      </w:r>
      <w:r>
        <w:rPr>
          <w:sz w:val="21"/>
        </w:rPr>
        <w:t>be issued if the chairperson is satisfied the orders </w:t>
      </w:r>
      <w:r>
        <w:rPr>
          <w:spacing w:val="-3"/>
          <w:sz w:val="21"/>
        </w:rPr>
        <w:t>are appropriate </w:t>
      </w:r>
      <w:r>
        <w:rPr>
          <w:sz w:val="21"/>
        </w:rPr>
        <w:t>and </w:t>
      </w:r>
      <w:r>
        <w:rPr>
          <w:spacing w:val="-3"/>
          <w:sz w:val="21"/>
        </w:rPr>
        <w:t>within </w:t>
      </w:r>
      <w:r>
        <w:rPr>
          <w:sz w:val="21"/>
        </w:rPr>
        <w:t>the </w:t>
      </w:r>
      <w:r>
        <w:rPr>
          <w:spacing w:val="-5"/>
          <w:sz w:val="21"/>
        </w:rPr>
        <w:t>Tribunal’s </w:t>
      </w:r>
      <w:r>
        <w:rPr>
          <w:spacing w:val="-7"/>
          <w:sz w:val="21"/>
        </w:rPr>
        <w:t>power.</w:t>
      </w:r>
      <w:r>
        <w:rPr>
          <w:spacing w:val="-7"/>
          <w:position w:val="7"/>
          <w:sz w:val="12"/>
        </w:rPr>
        <w:t>171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1"/>
        </w:rPr>
      </w:pPr>
      <w:r>
        <w:rPr/>
        <w:pict>
          <v:line style="position:absolute;mso-position-horizontal-relative:page;mso-position-vertical-relative:paragraph;z-index:6704;mso-wrap-distance-left:0;mso-wrap-distance-right:0" from="79.370102pt,9.340393pt" to="515.905102pt,9.34039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38"/>
        </w:rPr>
      </w:pPr>
    </w:p>
    <w:p>
      <w:pPr>
        <w:spacing w:before="0"/>
        <w:ind w:left="720" w:right="0" w:firstLine="0"/>
        <w:jc w:val="left"/>
        <w:rPr>
          <w:b/>
          <w:sz w:val="24"/>
        </w:rPr>
      </w:pPr>
      <w:r>
        <w:rPr>
          <w:b/>
          <w:color w:val="658464"/>
          <w:spacing w:val="-2"/>
          <w:w w:val="110"/>
          <w:sz w:val="24"/>
        </w:rPr>
        <w:t>146</w:t>
      </w:r>
    </w:p>
    <w:p>
      <w:pPr>
        <w:pStyle w:val="ListParagraph"/>
        <w:numPr>
          <w:ilvl w:val="0"/>
          <w:numId w:val="115"/>
        </w:numPr>
        <w:tabs>
          <w:tab w:pos="1225" w:val="left" w:leader="none"/>
          <w:tab w:pos="1227" w:val="left" w:leader="none"/>
        </w:tabs>
        <w:spacing w:line="240" w:lineRule="auto" w:before="48" w:after="0"/>
        <w:ind w:left="1226" w:right="1864" w:hanging="794"/>
        <w:jc w:val="left"/>
        <w:rPr>
          <w:sz w:val="13"/>
        </w:rPr>
      </w:pPr>
      <w:r>
        <w:rPr>
          <w:spacing w:val="2"/>
          <w:w w:val="102"/>
          <w:sz w:val="13"/>
        </w:rPr>
        <w:br w:type="column"/>
      </w:r>
      <w:r>
        <w:rPr>
          <w:w w:val="105"/>
          <w:sz w:val="13"/>
        </w:rPr>
        <w:t>Resource Management and Planning Appeal Tribunal, </w:t>
      </w:r>
      <w:r>
        <w:rPr>
          <w:i/>
          <w:w w:val="105"/>
          <w:sz w:val="13"/>
        </w:rPr>
        <w:t>Practice Direction No 18: Applications under the Neighbourhood Disputes About </w:t>
      </w:r>
      <w:r>
        <w:rPr>
          <w:i/>
          <w:w w:val="105"/>
          <w:sz w:val="13"/>
        </w:rPr>
        <w:t>Plants Act </w:t>
      </w:r>
      <w:r>
        <w:rPr>
          <w:i/>
          <w:spacing w:val="-6"/>
          <w:w w:val="105"/>
          <w:sz w:val="13"/>
        </w:rPr>
        <w:t>2017</w:t>
      </w:r>
      <w:r>
        <w:rPr>
          <w:spacing w:val="-6"/>
          <w:w w:val="105"/>
          <w:sz w:val="13"/>
        </w:rPr>
        <w:t>, </w:t>
      </w:r>
      <w:r>
        <w:rPr>
          <w:spacing w:val="-3"/>
          <w:w w:val="105"/>
          <w:sz w:val="13"/>
        </w:rPr>
        <w:t>19 </w:t>
      </w:r>
      <w:r>
        <w:rPr>
          <w:w w:val="105"/>
          <w:sz w:val="13"/>
        </w:rPr>
        <w:t>November 2018</w:t>
      </w:r>
      <w:r>
        <w:rPr>
          <w:spacing w:val="12"/>
          <w:w w:val="105"/>
          <w:sz w:val="13"/>
        </w:rPr>
        <w:t> </w:t>
      </w:r>
      <w:r>
        <w:rPr>
          <w:w w:val="105"/>
          <w:sz w:val="13"/>
        </w:rPr>
        <w:t>[18.2.5].</w:t>
      </w:r>
    </w:p>
    <w:p>
      <w:pPr>
        <w:pStyle w:val="ListParagraph"/>
        <w:numPr>
          <w:ilvl w:val="0"/>
          <w:numId w:val="115"/>
        </w:numPr>
        <w:tabs>
          <w:tab w:pos="1225" w:val="left" w:leader="none"/>
          <w:tab w:pos="1227" w:val="left" w:leader="none"/>
        </w:tabs>
        <w:spacing w:line="240" w:lineRule="auto" w:before="3" w:after="0"/>
        <w:ind w:left="1226" w:right="0" w:hanging="794"/>
        <w:jc w:val="left"/>
        <w:rPr>
          <w:sz w:val="13"/>
        </w:rPr>
      </w:pPr>
      <w:r>
        <w:rPr>
          <w:w w:val="105"/>
          <w:sz w:val="13"/>
        </w:rPr>
        <w:t>Information provided by RMPAT to the Commission, April</w:t>
      </w:r>
      <w:r>
        <w:rPr>
          <w:spacing w:val="5"/>
          <w:w w:val="105"/>
          <w:sz w:val="13"/>
        </w:rPr>
        <w:t> </w:t>
      </w:r>
      <w:r>
        <w:rPr>
          <w:w w:val="105"/>
          <w:sz w:val="13"/>
        </w:rPr>
        <w:t>2019.</w:t>
      </w:r>
    </w:p>
    <w:p>
      <w:pPr>
        <w:pStyle w:val="ListParagraph"/>
        <w:numPr>
          <w:ilvl w:val="0"/>
          <w:numId w:val="115"/>
        </w:numPr>
        <w:tabs>
          <w:tab w:pos="1225" w:val="left" w:leader="none"/>
          <w:tab w:pos="1227" w:val="left" w:leader="none"/>
        </w:tabs>
        <w:spacing w:line="240" w:lineRule="auto" w:before="1" w:after="0"/>
        <w:ind w:left="1226" w:right="1864" w:hanging="794"/>
        <w:jc w:val="left"/>
        <w:rPr>
          <w:sz w:val="13"/>
        </w:rPr>
      </w:pPr>
      <w:r>
        <w:rPr>
          <w:w w:val="105"/>
          <w:sz w:val="13"/>
        </w:rPr>
        <w:t>Resource Management and Planning Appeal Tribunal, </w:t>
      </w:r>
      <w:r>
        <w:rPr>
          <w:i/>
          <w:w w:val="105"/>
          <w:sz w:val="13"/>
        </w:rPr>
        <w:t>Practice Direction No 18: Applications under the Neighbourhood Disputes About </w:t>
      </w:r>
      <w:r>
        <w:rPr>
          <w:i/>
          <w:w w:val="105"/>
          <w:sz w:val="13"/>
        </w:rPr>
        <w:t>Plants Act </w:t>
      </w:r>
      <w:r>
        <w:rPr>
          <w:i/>
          <w:spacing w:val="-6"/>
          <w:w w:val="105"/>
          <w:sz w:val="13"/>
        </w:rPr>
        <w:t>2017</w:t>
      </w:r>
      <w:r>
        <w:rPr>
          <w:spacing w:val="-6"/>
          <w:w w:val="105"/>
          <w:sz w:val="13"/>
        </w:rPr>
        <w:t>, </w:t>
      </w:r>
      <w:r>
        <w:rPr>
          <w:spacing w:val="-3"/>
          <w:w w:val="105"/>
          <w:sz w:val="13"/>
        </w:rPr>
        <w:t>19 </w:t>
      </w:r>
      <w:r>
        <w:rPr>
          <w:w w:val="105"/>
          <w:sz w:val="13"/>
        </w:rPr>
        <w:t>November 2018</w:t>
      </w:r>
      <w:r>
        <w:rPr>
          <w:spacing w:val="12"/>
          <w:w w:val="105"/>
          <w:sz w:val="13"/>
        </w:rPr>
        <w:t> </w:t>
      </w:r>
      <w:r>
        <w:rPr>
          <w:w w:val="105"/>
          <w:sz w:val="13"/>
        </w:rPr>
        <w:t>[18.3.1].</w:t>
      </w:r>
    </w:p>
    <w:p>
      <w:pPr>
        <w:tabs>
          <w:tab w:pos="1226" w:val="left" w:leader="none"/>
        </w:tabs>
        <w:spacing w:before="3"/>
        <w:ind w:left="432" w:right="0" w:firstLine="0"/>
        <w:jc w:val="left"/>
        <w:rPr>
          <w:sz w:val="13"/>
        </w:rPr>
      </w:pPr>
      <w:r>
        <w:rPr>
          <w:w w:val="105"/>
          <w:sz w:val="13"/>
        </w:rPr>
        <w:t>164</w:t>
        <w:tab/>
        <w:t>Ibid [18.3.3],</w:t>
      </w:r>
      <w:r>
        <w:rPr>
          <w:spacing w:val="9"/>
          <w:w w:val="105"/>
          <w:sz w:val="13"/>
        </w:rPr>
        <w:t> </w:t>
      </w:r>
      <w:r>
        <w:rPr>
          <w:w w:val="105"/>
          <w:sz w:val="13"/>
        </w:rPr>
        <w:t>[18.3.5].</w:t>
      </w:r>
    </w:p>
    <w:p>
      <w:pPr>
        <w:tabs>
          <w:tab w:pos="1226" w:val="left" w:leader="none"/>
        </w:tabs>
        <w:spacing w:before="1"/>
        <w:ind w:left="1226" w:right="1862" w:hanging="794"/>
        <w:jc w:val="left"/>
        <w:rPr>
          <w:sz w:val="13"/>
        </w:rPr>
      </w:pPr>
      <w:r>
        <w:rPr>
          <w:w w:val="105"/>
          <w:sz w:val="13"/>
        </w:rPr>
        <w:t>165</w:t>
        <w:tab/>
      </w:r>
      <w:r>
        <w:rPr>
          <w:i/>
          <w:w w:val="105"/>
          <w:sz w:val="13"/>
        </w:rPr>
        <w:t>Resource Management and Planning Appeal Tribunal Act 1993 </w:t>
      </w:r>
      <w:r>
        <w:rPr>
          <w:w w:val="105"/>
          <w:sz w:val="13"/>
        </w:rPr>
        <w:t>(Tas) s 16a; see also Resource Management and Planning Appeal Tribunal</w:t>
      </w:r>
      <w:r>
        <w:rPr>
          <w:i/>
          <w:w w:val="105"/>
          <w:sz w:val="13"/>
        </w:rPr>
        <w:t>, </w:t>
      </w:r>
      <w:r>
        <w:rPr>
          <w:i/>
          <w:w w:val="105"/>
          <w:sz w:val="13"/>
        </w:rPr>
        <w:t>Practice</w:t>
      </w:r>
      <w:r>
        <w:rPr>
          <w:i/>
          <w:spacing w:val="5"/>
          <w:w w:val="105"/>
          <w:sz w:val="13"/>
        </w:rPr>
        <w:t> </w:t>
      </w:r>
      <w:r>
        <w:rPr>
          <w:i/>
          <w:w w:val="105"/>
          <w:sz w:val="13"/>
        </w:rPr>
        <w:t>Direction</w:t>
      </w:r>
      <w:r>
        <w:rPr>
          <w:i/>
          <w:spacing w:val="5"/>
          <w:w w:val="105"/>
          <w:sz w:val="13"/>
        </w:rPr>
        <w:t> </w:t>
      </w:r>
      <w:r>
        <w:rPr>
          <w:i/>
          <w:w w:val="105"/>
          <w:sz w:val="13"/>
        </w:rPr>
        <w:t>No</w:t>
      </w:r>
      <w:r>
        <w:rPr>
          <w:i/>
          <w:spacing w:val="5"/>
          <w:w w:val="105"/>
          <w:sz w:val="13"/>
        </w:rPr>
        <w:t> </w:t>
      </w:r>
      <w:r>
        <w:rPr>
          <w:i/>
          <w:w w:val="105"/>
          <w:sz w:val="13"/>
        </w:rPr>
        <w:t>5:</w:t>
      </w:r>
      <w:r>
        <w:rPr>
          <w:i/>
          <w:spacing w:val="5"/>
          <w:w w:val="105"/>
          <w:sz w:val="13"/>
        </w:rPr>
        <w:t> </w:t>
      </w:r>
      <w:r>
        <w:rPr>
          <w:i/>
          <w:w w:val="105"/>
          <w:sz w:val="13"/>
        </w:rPr>
        <w:t>Alternative</w:t>
      </w:r>
      <w:r>
        <w:rPr>
          <w:i/>
          <w:spacing w:val="5"/>
          <w:w w:val="105"/>
          <w:sz w:val="13"/>
        </w:rPr>
        <w:t> </w:t>
      </w:r>
      <w:r>
        <w:rPr>
          <w:i/>
          <w:w w:val="105"/>
          <w:sz w:val="13"/>
        </w:rPr>
        <w:t>Dispute</w:t>
      </w:r>
      <w:r>
        <w:rPr>
          <w:i/>
          <w:spacing w:val="5"/>
          <w:w w:val="105"/>
          <w:sz w:val="13"/>
        </w:rPr>
        <w:t> </w:t>
      </w:r>
      <w:r>
        <w:rPr>
          <w:i/>
          <w:w w:val="105"/>
          <w:sz w:val="13"/>
        </w:rPr>
        <w:t>Resolution</w:t>
      </w:r>
      <w:r>
        <w:rPr>
          <w:i/>
          <w:spacing w:val="5"/>
          <w:w w:val="105"/>
          <w:sz w:val="13"/>
        </w:rPr>
        <w:t> </w:t>
      </w:r>
      <w:r>
        <w:rPr>
          <w:w w:val="105"/>
          <w:sz w:val="13"/>
        </w:rPr>
        <w:t>(Practice</w:t>
      </w:r>
      <w:r>
        <w:rPr>
          <w:spacing w:val="5"/>
          <w:w w:val="105"/>
          <w:sz w:val="13"/>
        </w:rPr>
        <w:t> </w:t>
      </w:r>
      <w:r>
        <w:rPr>
          <w:w w:val="105"/>
          <w:sz w:val="13"/>
        </w:rPr>
        <w:t>Document,</w:t>
      </w:r>
      <w:r>
        <w:rPr>
          <w:spacing w:val="6"/>
          <w:w w:val="105"/>
          <w:sz w:val="13"/>
        </w:rPr>
        <w:t> </w:t>
      </w:r>
      <w:r>
        <w:rPr>
          <w:spacing w:val="-3"/>
          <w:w w:val="105"/>
          <w:sz w:val="13"/>
        </w:rPr>
        <w:t>19</w:t>
      </w:r>
      <w:r>
        <w:rPr>
          <w:spacing w:val="5"/>
          <w:w w:val="105"/>
          <w:sz w:val="13"/>
        </w:rPr>
        <w:t> </w:t>
      </w:r>
      <w:r>
        <w:rPr>
          <w:w w:val="105"/>
          <w:sz w:val="13"/>
        </w:rPr>
        <w:t>November</w:t>
      </w:r>
      <w:r>
        <w:rPr>
          <w:spacing w:val="5"/>
          <w:w w:val="105"/>
          <w:sz w:val="13"/>
        </w:rPr>
        <w:t> </w:t>
      </w:r>
      <w:r>
        <w:rPr>
          <w:w w:val="105"/>
          <w:sz w:val="13"/>
        </w:rPr>
        <w:t>2018)</w:t>
      </w:r>
      <w:r>
        <w:rPr>
          <w:spacing w:val="5"/>
          <w:w w:val="105"/>
          <w:sz w:val="13"/>
        </w:rPr>
        <w:t> </w:t>
      </w:r>
      <w:r>
        <w:rPr>
          <w:w w:val="105"/>
          <w:sz w:val="13"/>
        </w:rPr>
        <w:t>[5.1].</w:t>
      </w:r>
    </w:p>
    <w:p>
      <w:pPr>
        <w:tabs>
          <w:tab w:pos="1226" w:val="left" w:leader="none"/>
        </w:tabs>
        <w:spacing w:before="3"/>
        <w:ind w:left="432" w:right="1862" w:firstLine="0"/>
        <w:jc w:val="left"/>
        <w:rPr>
          <w:sz w:val="13"/>
        </w:rPr>
      </w:pPr>
      <w:r>
        <w:rPr>
          <w:w w:val="105"/>
          <w:sz w:val="13"/>
        </w:rPr>
        <w:t>166</w:t>
        <w:tab/>
        <w:t>Resource Management and Planning Appeal Tribunal</w:t>
      </w:r>
      <w:r>
        <w:rPr>
          <w:i/>
          <w:w w:val="105"/>
          <w:sz w:val="13"/>
        </w:rPr>
        <w:t>, Practice Direction No 5: Alternative Dispute Resolution</w:t>
      </w:r>
      <w:r>
        <w:rPr>
          <w:w w:val="105"/>
          <w:sz w:val="13"/>
        </w:rPr>
        <w:t>, </w:t>
      </w:r>
      <w:r>
        <w:rPr>
          <w:spacing w:val="-3"/>
          <w:w w:val="105"/>
          <w:sz w:val="13"/>
        </w:rPr>
        <w:t>19 </w:t>
      </w:r>
      <w:r>
        <w:rPr>
          <w:w w:val="105"/>
          <w:sz w:val="13"/>
        </w:rPr>
        <w:t>November 2018 </w:t>
      </w:r>
      <w:r>
        <w:rPr>
          <w:spacing w:val="2"/>
          <w:w w:val="105"/>
          <w:sz w:val="13"/>
        </w:rPr>
        <w:t>[5.2]. </w:t>
      </w:r>
      <w:r>
        <w:rPr>
          <w:w w:val="105"/>
          <w:sz w:val="13"/>
        </w:rPr>
        <w:t>167</w:t>
        <w:tab/>
        <w:t>Ibid</w:t>
      </w:r>
      <w:r>
        <w:rPr>
          <w:spacing w:val="4"/>
          <w:w w:val="105"/>
          <w:sz w:val="13"/>
        </w:rPr>
        <w:t> </w:t>
      </w:r>
      <w:r>
        <w:rPr>
          <w:w w:val="105"/>
          <w:sz w:val="13"/>
        </w:rPr>
        <w:t>[5.7].</w:t>
      </w:r>
    </w:p>
    <w:p>
      <w:pPr>
        <w:pStyle w:val="ListParagraph"/>
        <w:numPr>
          <w:ilvl w:val="0"/>
          <w:numId w:val="116"/>
        </w:numPr>
        <w:tabs>
          <w:tab w:pos="1226" w:val="left" w:leader="none"/>
          <w:tab w:pos="1227" w:val="left" w:leader="none"/>
        </w:tabs>
        <w:spacing w:line="240" w:lineRule="auto" w:before="2" w:after="0"/>
        <w:ind w:left="1226" w:right="0" w:hanging="794"/>
        <w:jc w:val="left"/>
        <w:rPr>
          <w:sz w:val="13"/>
        </w:rPr>
      </w:pPr>
      <w:r>
        <w:rPr>
          <w:i/>
          <w:w w:val="105"/>
          <w:sz w:val="13"/>
        </w:rPr>
        <w:t>Neighbourhood Disputes About Plants Act </w:t>
      </w:r>
      <w:r>
        <w:rPr>
          <w:i/>
          <w:spacing w:val="-4"/>
          <w:w w:val="105"/>
          <w:sz w:val="13"/>
        </w:rPr>
        <w:t>2017 </w:t>
      </w:r>
      <w:r>
        <w:rPr>
          <w:w w:val="105"/>
          <w:sz w:val="13"/>
        </w:rPr>
        <w:t>(Tas) s</w:t>
      </w:r>
      <w:r>
        <w:rPr>
          <w:spacing w:val="15"/>
          <w:w w:val="105"/>
          <w:sz w:val="13"/>
        </w:rPr>
        <w:t> </w:t>
      </w:r>
      <w:r>
        <w:rPr>
          <w:spacing w:val="3"/>
          <w:w w:val="105"/>
          <w:sz w:val="13"/>
        </w:rPr>
        <w:t>26(3).</w:t>
      </w:r>
    </w:p>
    <w:p>
      <w:pPr>
        <w:pStyle w:val="ListParagraph"/>
        <w:numPr>
          <w:ilvl w:val="0"/>
          <w:numId w:val="116"/>
        </w:numPr>
        <w:tabs>
          <w:tab w:pos="1226" w:val="left" w:leader="none"/>
          <w:tab w:pos="1227" w:val="left" w:leader="none"/>
        </w:tabs>
        <w:spacing w:line="240" w:lineRule="auto" w:before="2" w:after="0"/>
        <w:ind w:left="1226" w:right="0" w:hanging="794"/>
        <w:jc w:val="left"/>
        <w:rPr>
          <w:sz w:val="13"/>
        </w:rPr>
      </w:pPr>
      <w:r>
        <w:rPr>
          <w:w w:val="105"/>
          <w:sz w:val="13"/>
        </w:rPr>
        <w:t>Ibid s</w:t>
      </w:r>
      <w:r>
        <w:rPr>
          <w:spacing w:val="9"/>
          <w:w w:val="105"/>
          <w:sz w:val="13"/>
        </w:rPr>
        <w:t> </w:t>
      </w:r>
      <w:r>
        <w:rPr>
          <w:w w:val="105"/>
          <w:sz w:val="13"/>
        </w:rPr>
        <w:t>16A.</w:t>
      </w:r>
    </w:p>
    <w:p>
      <w:pPr>
        <w:pStyle w:val="ListParagraph"/>
        <w:numPr>
          <w:ilvl w:val="0"/>
          <w:numId w:val="116"/>
        </w:numPr>
        <w:tabs>
          <w:tab w:pos="1226" w:val="left" w:leader="none"/>
          <w:tab w:pos="1227" w:val="left" w:leader="none"/>
        </w:tabs>
        <w:spacing w:line="240" w:lineRule="auto" w:before="1" w:after="0"/>
        <w:ind w:left="1226" w:right="0" w:hanging="794"/>
        <w:jc w:val="left"/>
        <w:rPr>
          <w:sz w:val="13"/>
        </w:rPr>
      </w:pPr>
      <w:r>
        <w:rPr>
          <w:w w:val="105"/>
          <w:sz w:val="13"/>
        </w:rPr>
        <w:t>Information provided by RMPAT to the Commission, April</w:t>
      </w:r>
      <w:r>
        <w:rPr>
          <w:spacing w:val="5"/>
          <w:w w:val="105"/>
          <w:sz w:val="13"/>
        </w:rPr>
        <w:t> </w:t>
      </w:r>
      <w:r>
        <w:rPr>
          <w:w w:val="105"/>
          <w:sz w:val="13"/>
        </w:rPr>
        <w:t>2019.</w:t>
      </w:r>
    </w:p>
    <w:p>
      <w:pPr>
        <w:pStyle w:val="ListParagraph"/>
        <w:numPr>
          <w:ilvl w:val="0"/>
          <w:numId w:val="116"/>
        </w:numPr>
        <w:tabs>
          <w:tab w:pos="1226" w:val="left" w:leader="none"/>
          <w:tab w:pos="1227" w:val="left" w:leader="none"/>
        </w:tabs>
        <w:spacing w:line="240" w:lineRule="auto" w:before="1" w:after="0"/>
        <w:ind w:left="1226" w:right="1692" w:hanging="794"/>
        <w:jc w:val="left"/>
        <w:rPr>
          <w:sz w:val="13"/>
        </w:rPr>
      </w:pPr>
      <w:r>
        <w:rPr>
          <w:w w:val="105"/>
          <w:sz w:val="13"/>
        </w:rPr>
        <w:t>Resource Management and Planning Appeal Tribunal, </w:t>
      </w:r>
      <w:r>
        <w:rPr>
          <w:i/>
          <w:w w:val="105"/>
          <w:sz w:val="13"/>
        </w:rPr>
        <w:t>Practice Direction 18: Applications under the Neighbourhood Disputes About Plants</w:t>
      </w:r>
      <w:r>
        <w:rPr>
          <w:i/>
          <w:spacing w:val="30"/>
          <w:w w:val="105"/>
          <w:sz w:val="13"/>
        </w:rPr>
        <w:t> </w:t>
      </w:r>
      <w:r>
        <w:rPr>
          <w:i/>
          <w:w w:val="105"/>
          <w:sz w:val="13"/>
        </w:rPr>
        <w:t>Act </w:t>
      </w:r>
      <w:r>
        <w:rPr>
          <w:i/>
          <w:spacing w:val="-6"/>
          <w:w w:val="105"/>
          <w:sz w:val="13"/>
        </w:rPr>
        <w:t>2017</w:t>
      </w:r>
      <w:r>
        <w:rPr>
          <w:spacing w:val="-6"/>
          <w:w w:val="105"/>
          <w:sz w:val="13"/>
        </w:rPr>
        <w:t>, </w:t>
      </w:r>
      <w:r>
        <w:rPr>
          <w:spacing w:val="-3"/>
          <w:w w:val="105"/>
          <w:sz w:val="13"/>
        </w:rPr>
        <w:t>19 </w:t>
      </w:r>
      <w:r>
        <w:rPr>
          <w:w w:val="105"/>
          <w:sz w:val="13"/>
        </w:rPr>
        <w:t>November 2018</w:t>
      </w:r>
      <w:r>
        <w:rPr>
          <w:spacing w:val="8"/>
          <w:w w:val="105"/>
          <w:sz w:val="13"/>
        </w:rPr>
        <w:t> </w:t>
      </w:r>
      <w:r>
        <w:rPr>
          <w:w w:val="105"/>
          <w:sz w:val="13"/>
        </w:rPr>
        <w:t>[18.3.4]</w:t>
      </w:r>
    </w:p>
    <w:p>
      <w:pPr>
        <w:spacing w:after="0" w:line="240" w:lineRule="auto"/>
        <w:jc w:val="left"/>
        <w:rPr>
          <w:sz w:val="13"/>
        </w:rPr>
        <w:sectPr>
          <w:type w:val="continuous"/>
          <w:pgSz w:w="11910" w:h="16840"/>
          <w:pgMar w:top="300" w:bottom="280" w:left="0" w:right="0"/>
          <w:cols w:num="2" w:equalWidth="0">
            <w:col w:w="1116" w:space="40"/>
            <w:col w:w="10754"/>
          </w:cols>
        </w:sectPr>
      </w:pPr>
    </w:p>
    <w:p>
      <w:pPr>
        <w:pStyle w:val="BodyText"/>
        <w:rPr>
          <w:sz w:val="20"/>
        </w:rPr>
      </w:pPr>
    </w:p>
    <w:p>
      <w:pPr>
        <w:pStyle w:val="BodyText"/>
        <w:spacing w:before="2"/>
        <w:rPr>
          <w:sz w:val="18"/>
        </w:rPr>
      </w:pPr>
    </w:p>
    <w:p>
      <w:pPr>
        <w:pStyle w:val="Heading7"/>
        <w:spacing w:before="96"/>
      </w:pPr>
      <w:bookmarkStart w:name="International jurisdictions" w:id="167"/>
      <w:bookmarkEnd w:id="167"/>
      <w:r>
        <w:rPr/>
      </w:r>
      <w:bookmarkStart w:name="_bookmark76" w:id="168"/>
      <w:bookmarkEnd w:id="168"/>
      <w:r>
        <w:rPr/>
      </w:r>
      <w:r>
        <w:rPr>
          <w:w w:val="115"/>
        </w:rPr>
        <w:t>Final hearing</w:t>
      </w:r>
    </w:p>
    <w:p>
      <w:pPr>
        <w:pStyle w:val="ListParagraph"/>
        <w:numPr>
          <w:ilvl w:val="1"/>
          <w:numId w:val="114"/>
        </w:numPr>
        <w:tabs>
          <w:tab w:pos="2381" w:val="left" w:leader="none"/>
          <w:tab w:pos="2382" w:val="left" w:leader="none"/>
        </w:tabs>
        <w:spacing w:line="242" w:lineRule="auto" w:before="143" w:after="0"/>
        <w:ind w:left="2381" w:right="1680" w:hanging="794"/>
        <w:jc w:val="left"/>
        <w:rPr>
          <w:sz w:val="12"/>
        </w:rPr>
      </w:pPr>
      <w:r>
        <w:rPr>
          <w:w w:val="105"/>
          <w:sz w:val="21"/>
        </w:rPr>
        <w:t>If</w:t>
      </w:r>
      <w:r>
        <w:rPr>
          <w:spacing w:val="-7"/>
          <w:w w:val="105"/>
          <w:sz w:val="21"/>
        </w:rPr>
        <w:t> </w:t>
      </w:r>
      <w:r>
        <w:rPr>
          <w:w w:val="105"/>
          <w:sz w:val="21"/>
        </w:rPr>
        <w:t>the</w:t>
      </w:r>
      <w:r>
        <w:rPr>
          <w:spacing w:val="-6"/>
          <w:w w:val="105"/>
          <w:sz w:val="21"/>
        </w:rPr>
        <w:t> </w:t>
      </w:r>
      <w:r>
        <w:rPr>
          <w:w w:val="105"/>
          <w:sz w:val="21"/>
        </w:rPr>
        <w:t>parties</w:t>
      </w:r>
      <w:r>
        <w:rPr>
          <w:spacing w:val="-6"/>
          <w:w w:val="105"/>
          <w:sz w:val="21"/>
        </w:rPr>
        <w:t> </w:t>
      </w:r>
      <w:r>
        <w:rPr>
          <w:spacing w:val="-3"/>
          <w:w w:val="105"/>
          <w:sz w:val="21"/>
        </w:rPr>
        <w:t>cannot</w:t>
      </w:r>
      <w:r>
        <w:rPr>
          <w:spacing w:val="-6"/>
          <w:w w:val="105"/>
          <w:sz w:val="21"/>
        </w:rPr>
        <w:t> </w:t>
      </w:r>
      <w:r>
        <w:rPr>
          <w:w w:val="105"/>
          <w:sz w:val="21"/>
        </w:rPr>
        <w:t>resolve</w:t>
      </w:r>
      <w:r>
        <w:rPr>
          <w:spacing w:val="-7"/>
          <w:w w:val="105"/>
          <w:sz w:val="21"/>
        </w:rPr>
        <w:t> </w:t>
      </w:r>
      <w:r>
        <w:rPr>
          <w:w w:val="105"/>
          <w:sz w:val="21"/>
        </w:rPr>
        <w:t>their</w:t>
      </w:r>
      <w:r>
        <w:rPr>
          <w:spacing w:val="-6"/>
          <w:w w:val="105"/>
          <w:sz w:val="21"/>
        </w:rPr>
        <w:t> </w:t>
      </w:r>
      <w:r>
        <w:rPr>
          <w:spacing w:val="-3"/>
          <w:w w:val="105"/>
          <w:sz w:val="21"/>
        </w:rPr>
        <w:t>dispute</w:t>
      </w:r>
      <w:r>
        <w:rPr>
          <w:spacing w:val="-6"/>
          <w:w w:val="105"/>
          <w:sz w:val="21"/>
        </w:rPr>
        <w:t> </w:t>
      </w:r>
      <w:r>
        <w:rPr>
          <w:spacing w:val="-3"/>
          <w:w w:val="105"/>
          <w:sz w:val="21"/>
        </w:rPr>
        <w:t>through</w:t>
      </w:r>
      <w:r>
        <w:rPr>
          <w:spacing w:val="-6"/>
          <w:w w:val="105"/>
          <w:sz w:val="21"/>
        </w:rPr>
        <w:t> </w:t>
      </w:r>
      <w:r>
        <w:rPr>
          <w:w w:val="105"/>
          <w:sz w:val="21"/>
        </w:rPr>
        <w:t>ADR,</w:t>
      </w:r>
      <w:r>
        <w:rPr>
          <w:spacing w:val="-6"/>
          <w:w w:val="105"/>
          <w:sz w:val="21"/>
        </w:rPr>
        <w:t> </w:t>
      </w:r>
      <w:r>
        <w:rPr>
          <w:w w:val="105"/>
          <w:sz w:val="21"/>
        </w:rPr>
        <w:t>then</w:t>
      </w:r>
      <w:r>
        <w:rPr>
          <w:spacing w:val="-7"/>
          <w:w w:val="105"/>
          <w:sz w:val="21"/>
        </w:rPr>
        <w:t> </w:t>
      </w:r>
      <w:r>
        <w:rPr>
          <w:w w:val="105"/>
          <w:sz w:val="21"/>
        </w:rPr>
        <w:t>the</w:t>
      </w:r>
      <w:r>
        <w:rPr>
          <w:spacing w:val="-6"/>
          <w:w w:val="105"/>
          <w:sz w:val="21"/>
        </w:rPr>
        <w:t> </w:t>
      </w:r>
      <w:r>
        <w:rPr>
          <w:w w:val="105"/>
          <w:sz w:val="21"/>
        </w:rPr>
        <w:t>matter</w:t>
      </w:r>
      <w:r>
        <w:rPr>
          <w:spacing w:val="-6"/>
          <w:w w:val="105"/>
          <w:sz w:val="21"/>
        </w:rPr>
        <w:t> </w:t>
      </w:r>
      <w:r>
        <w:rPr>
          <w:spacing w:val="-3"/>
          <w:w w:val="105"/>
          <w:sz w:val="21"/>
        </w:rPr>
        <w:t>will</w:t>
      </w:r>
      <w:r>
        <w:rPr>
          <w:spacing w:val="-6"/>
          <w:w w:val="105"/>
          <w:sz w:val="21"/>
        </w:rPr>
        <w:t> </w:t>
      </w:r>
      <w:r>
        <w:rPr>
          <w:w w:val="105"/>
          <w:sz w:val="21"/>
        </w:rPr>
        <w:t>proceed</w:t>
      </w:r>
      <w:r>
        <w:rPr>
          <w:spacing w:val="-6"/>
          <w:w w:val="105"/>
          <w:sz w:val="21"/>
        </w:rPr>
        <w:t> </w:t>
      </w:r>
      <w:r>
        <w:rPr>
          <w:spacing w:val="-3"/>
          <w:w w:val="105"/>
          <w:sz w:val="21"/>
        </w:rPr>
        <w:t>to</w:t>
      </w:r>
      <w:r>
        <w:rPr>
          <w:spacing w:val="-7"/>
          <w:w w:val="105"/>
          <w:sz w:val="21"/>
        </w:rPr>
        <w:t> </w:t>
      </w:r>
      <w:r>
        <w:rPr>
          <w:w w:val="105"/>
          <w:sz w:val="21"/>
        </w:rPr>
        <w:t>a </w:t>
      </w:r>
      <w:r>
        <w:rPr>
          <w:spacing w:val="-3"/>
          <w:w w:val="105"/>
          <w:sz w:val="21"/>
        </w:rPr>
        <w:t>hearing </w:t>
      </w:r>
      <w:r>
        <w:rPr>
          <w:w w:val="105"/>
          <w:sz w:val="21"/>
        </w:rPr>
        <w:t>in</w:t>
      </w:r>
      <w:r>
        <w:rPr>
          <w:spacing w:val="14"/>
          <w:w w:val="105"/>
          <w:sz w:val="21"/>
        </w:rPr>
        <w:t> </w:t>
      </w:r>
      <w:r>
        <w:rPr>
          <w:spacing w:val="-4"/>
          <w:w w:val="105"/>
          <w:sz w:val="21"/>
        </w:rPr>
        <w:t>Hobart.</w:t>
      </w:r>
      <w:r>
        <w:rPr>
          <w:spacing w:val="-4"/>
          <w:w w:val="105"/>
          <w:position w:val="7"/>
          <w:sz w:val="12"/>
        </w:rPr>
        <w:t>172</w:t>
      </w:r>
    </w:p>
    <w:p>
      <w:pPr>
        <w:pStyle w:val="ListParagraph"/>
        <w:numPr>
          <w:ilvl w:val="1"/>
          <w:numId w:val="114"/>
        </w:numPr>
        <w:tabs>
          <w:tab w:pos="2380" w:val="left" w:leader="none"/>
          <w:tab w:pos="2381" w:val="left" w:leader="none"/>
        </w:tabs>
        <w:spacing w:line="242" w:lineRule="auto" w:before="122" w:after="0"/>
        <w:ind w:left="2381" w:right="1909" w:hanging="794"/>
        <w:jc w:val="left"/>
        <w:rPr>
          <w:sz w:val="21"/>
        </w:rPr>
      </w:pPr>
      <w:r>
        <w:rPr>
          <w:spacing w:val="-3"/>
          <w:sz w:val="21"/>
        </w:rPr>
        <w:t>Site  </w:t>
      </w:r>
      <w:r>
        <w:rPr>
          <w:sz w:val="21"/>
        </w:rPr>
        <w:t>inspections </w:t>
      </w:r>
      <w:r>
        <w:rPr>
          <w:spacing w:val="-3"/>
          <w:sz w:val="21"/>
        </w:rPr>
        <w:t>are</w:t>
      </w:r>
      <w:r>
        <w:rPr>
          <w:spacing w:val="41"/>
          <w:sz w:val="21"/>
        </w:rPr>
        <w:t> </w:t>
      </w:r>
      <w:r>
        <w:rPr>
          <w:sz w:val="21"/>
        </w:rPr>
        <w:t>conducted as part of the </w:t>
      </w:r>
      <w:r>
        <w:rPr>
          <w:spacing w:val="-3"/>
          <w:sz w:val="21"/>
        </w:rPr>
        <w:t>hearing  </w:t>
      </w:r>
      <w:r>
        <w:rPr>
          <w:sz w:val="21"/>
        </w:rPr>
        <w:t>process, </w:t>
      </w:r>
      <w:r>
        <w:rPr>
          <w:spacing w:val="-3"/>
          <w:sz w:val="21"/>
        </w:rPr>
        <w:t>usually  </w:t>
      </w:r>
      <w:r>
        <w:rPr>
          <w:sz w:val="21"/>
        </w:rPr>
        <w:t>without parties  or their representatives </w:t>
      </w:r>
      <w:r>
        <w:rPr>
          <w:spacing w:val="-3"/>
          <w:sz w:val="21"/>
        </w:rPr>
        <w:t>present. </w:t>
      </w:r>
      <w:r>
        <w:rPr>
          <w:spacing w:val="-4"/>
          <w:sz w:val="21"/>
        </w:rPr>
        <w:t>However, </w:t>
      </w:r>
      <w:r>
        <w:rPr>
          <w:spacing w:val="-3"/>
          <w:sz w:val="21"/>
        </w:rPr>
        <w:t>‘if </w:t>
      </w:r>
      <w:r>
        <w:rPr>
          <w:sz w:val="21"/>
        </w:rPr>
        <w:t>the parties wish </w:t>
      </w:r>
      <w:r>
        <w:rPr>
          <w:spacing w:val="-3"/>
          <w:sz w:val="21"/>
        </w:rPr>
        <w:t>to </w:t>
      </w:r>
      <w:r>
        <w:rPr>
          <w:sz w:val="21"/>
        </w:rPr>
        <w:t>specifically </w:t>
      </w:r>
      <w:r>
        <w:rPr>
          <w:spacing w:val="-3"/>
          <w:sz w:val="21"/>
        </w:rPr>
        <w:t>ensure</w:t>
      </w:r>
      <w:r>
        <w:rPr>
          <w:spacing w:val="8"/>
          <w:sz w:val="21"/>
        </w:rPr>
        <w:t> </w:t>
      </w:r>
      <w:r>
        <w:rPr>
          <w:spacing w:val="-3"/>
          <w:sz w:val="21"/>
        </w:rPr>
        <w:t>that</w:t>
      </w:r>
    </w:p>
    <w:p>
      <w:pPr>
        <w:pStyle w:val="BodyText"/>
        <w:spacing w:line="242" w:lineRule="auto" w:before="2"/>
        <w:ind w:left="2380" w:right="1721"/>
        <w:rPr>
          <w:sz w:val="12"/>
        </w:rPr>
      </w:pPr>
      <w:r>
        <w:rPr>
          <w:w w:val="105"/>
        </w:rPr>
        <w:t>the </w:t>
      </w:r>
      <w:r>
        <w:rPr>
          <w:spacing w:val="-5"/>
          <w:w w:val="105"/>
        </w:rPr>
        <w:t>Tribunal </w:t>
      </w:r>
      <w:r>
        <w:rPr>
          <w:w w:val="105"/>
        </w:rPr>
        <w:t>members </w:t>
      </w:r>
      <w:r>
        <w:rPr>
          <w:spacing w:val="-3"/>
          <w:w w:val="105"/>
        </w:rPr>
        <w:t>have regard to </w:t>
      </w:r>
      <w:r>
        <w:rPr>
          <w:w w:val="105"/>
        </w:rPr>
        <w:t>certain matters on the subject </w:t>
      </w:r>
      <w:r>
        <w:rPr>
          <w:spacing w:val="-6"/>
          <w:w w:val="105"/>
        </w:rPr>
        <w:t>site’, </w:t>
      </w:r>
      <w:r>
        <w:rPr>
          <w:w w:val="105"/>
        </w:rPr>
        <w:t>then they </w:t>
      </w:r>
      <w:r>
        <w:rPr>
          <w:spacing w:val="-3"/>
          <w:w w:val="105"/>
        </w:rPr>
        <w:t>may arrange such </w:t>
      </w:r>
      <w:r>
        <w:rPr>
          <w:w w:val="105"/>
        </w:rPr>
        <w:t>a </w:t>
      </w:r>
      <w:r>
        <w:rPr>
          <w:spacing w:val="-3"/>
          <w:w w:val="105"/>
        </w:rPr>
        <w:t>site </w:t>
      </w:r>
      <w:r>
        <w:rPr>
          <w:w w:val="105"/>
        </w:rPr>
        <w:t>inspection and notify </w:t>
      </w:r>
      <w:r>
        <w:rPr>
          <w:spacing w:val="-6"/>
          <w:w w:val="105"/>
        </w:rPr>
        <w:t>RMPAT </w:t>
      </w:r>
      <w:r>
        <w:rPr>
          <w:w w:val="105"/>
        </w:rPr>
        <w:t>and other </w:t>
      </w:r>
      <w:r>
        <w:rPr>
          <w:spacing w:val="-4"/>
          <w:w w:val="105"/>
        </w:rPr>
        <w:t>parties.</w:t>
      </w:r>
      <w:r>
        <w:rPr>
          <w:spacing w:val="-4"/>
          <w:w w:val="105"/>
          <w:position w:val="7"/>
          <w:sz w:val="12"/>
        </w:rPr>
        <w:t>173</w:t>
      </w:r>
    </w:p>
    <w:p>
      <w:pPr>
        <w:pStyle w:val="Heading7"/>
        <w:spacing w:before="153"/>
      </w:pPr>
      <w:r>
        <w:rPr>
          <w:w w:val="115"/>
        </w:rPr>
        <w:t>Timeframes</w:t>
      </w:r>
    </w:p>
    <w:p>
      <w:pPr>
        <w:pStyle w:val="ListParagraph"/>
        <w:numPr>
          <w:ilvl w:val="1"/>
          <w:numId w:val="114"/>
        </w:numPr>
        <w:tabs>
          <w:tab w:pos="2381" w:val="left" w:leader="none"/>
          <w:tab w:pos="2382" w:val="left" w:leader="none"/>
        </w:tabs>
        <w:spacing w:line="242" w:lineRule="auto" w:before="143" w:after="0"/>
        <w:ind w:left="2381" w:right="1678" w:hanging="794"/>
        <w:jc w:val="left"/>
        <w:rPr>
          <w:sz w:val="12"/>
        </w:rPr>
      </w:pPr>
      <w:r>
        <w:rPr>
          <w:spacing w:val="-6"/>
          <w:w w:val="105"/>
          <w:sz w:val="21"/>
        </w:rPr>
        <w:t>RMPAT </w:t>
      </w:r>
      <w:r>
        <w:rPr>
          <w:w w:val="105"/>
          <w:sz w:val="21"/>
        </w:rPr>
        <w:t>must deliver its decision in </w:t>
      </w:r>
      <w:r>
        <w:rPr>
          <w:spacing w:val="-3"/>
          <w:w w:val="105"/>
          <w:sz w:val="21"/>
        </w:rPr>
        <w:t>writing. </w:t>
      </w:r>
      <w:r>
        <w:rPr>
          <w:w w:val="105"/>
          <w:sz w:val="21"/>
        </w:rPr>
        <w:t>A decision is </w:t>
      </w:r>
      <w:r>
        <w:rPr>
          <w:spacing w:val="-3"/>
          <w:w w:val="105"/>
          <w:sz w:val="21"/>
        </w:rPr>
        <w:t>usually </w:t>
      </w:r>
      <w:r>
        <w:rPr>
          <w:w w:val="105"/>
          <w:sz w:val="21"/>
        </w:rPr>
        <w:t>made </w:t>
      </w:r>
      <w:r>
        <w:rPr>
          <w:spacing w:val="-8"/>
          <w:w w:val="105"/>
          <w:sz w:val="21"/>
        </w:rPr>
        <w:t>‘14 </w:t>
      </w:r>
      <w:r>
        <w:rPr>
          <w:spacing w:val="-3"/>
          <w:w w:val="105"/>
          <w:sz w:val="21"/>
        </w:rPr>
        <w:t>to </w:t>
      </w:r>
      <w:r>
        <w:rPr>
          <w:spacing w:val="-7"/>
          <w:w w:val="105"/>
          <w:sz w:val="21"/>
        </w:rPr>
        <w:t>21 </w:t>
      </w:r>
      <w:r>
        <w:rPr>
          <w:w w:val="105"/>
          <w:sz w:val="21"/>
        </w:rPr>
        <w:t>days </w:t>
      </w:r>
      <w:r>
        <w:rPr>
          <w:spacing w:val="-3"/>
          <w:w w:val="105"/>
          <w:sz w:val="21"/>
        </w:rPr>
        <w:t>from </w:t>
      </w:r>
      <w:r>
        <w:rPr>
          <w:w w:val="105"/>
          <w:sz w:val="21"/>
        </w:rPr>
        <w:t>the </w:t>
      </w:r>
      <w:r>
        <w:rPr>
          <w:spacing w:val="-3"/>
          <w:w w:val="105"/>
          <w:sz w:val="21"/>
        </w:rPr>
        <w:t>conclusion </w:t>
      </w:r>
      <w:r>
        <w:rPr>
          <w:w w:val="105"/>
          <w:sz w:val="21"/>
        </w:rPr>
        <w:t>of the </w:t>
      </w:r>
      <w:r>
        <w:rPr>
          <w:spacing w:val="-5"/>
          <w:w w:val="105"/>
          <w:sz w:val="21"/>
        </w:rPr>
        <w:t>hearing’, </w:t>
      </w:r>
      <w:r>
        <w:rPr>
          <w:w w:val="105"/>
          <w:sz w:val="21"/>
        </w:rPr>
        <w:t>depending on the complexity of the</w:t>
      </w:r>
      <w:r>
        <w:rPr>
          <w:spacing w:val="35"/>
          <w:w w:val="105"/>
          <w:sz w:val="21"/>
        </w:rPr>
        <w:t> </w:t>
      </w:r>
      <w:r>
        <w:rPr>
          <w:spacing w:val="-6"/>
          <w:w w:val="105"/>
          <w:sz w:val="21"/>
        </w:rPr>
        <w:t>matter.</w:t>
      </w:r>
      <w:r>
        <w:rPr>
          <w:spacing w:val="-6"/>
          <w:w w:val="105"/>
          <w:position w:val="7"/>
          <w:sz w:val="12"/>
        </w:rPr>
        <w:t>174</w:t>
      </w:r>
    </w:p>
    <w:p>
      <w:pPr>
        <w:pStyle w:val="BodyText"/>
        <w:spacing w:before="9"/>
      </w:pPr>
    </w:p>
    <w:p>
      <w:pPr>
        <w:pStyle w:val="Heading4"/>
      </w:pPr>
      <w:r>
        <w:rPr>
          <w:color w:val="658464"/>
          <w:w w:val="110"/>
        </w:rPr>
        <w:t>International jurisdictions</w:t>
      </w:r>
    </w:p>
    <w:p>
      <w:pPr>
        <w:pStyle w:val="ListParagraph"/>
        <w:numPr>
          <w:ilvl w:val="1"/>
          <w:numId w:val="114"/>
        </w:numPr>
        <w:tabs>
          <w:tab w:pos="2380" w:val="left" w:leader="none"/>
          <w:tab w:pos="2381" w:val="left" w:leader="none"/>
        </w:tabs>
        <w:spacing w:line="242" w:lineRule="auto" w:before="155" w:after="0"/>
        <w:ind w:left="2381" w:right="2116" w:hanging="794"/>
        <w:jc w:val="left"/>
        <w:rPr>
          <w:sz w:val="21"/>
        </w:rPr>
      </w:pPr>
      <w:r>
        <w:rPr>
          <w:sz w:val="21"/>
        </w:rPr>
        <w:t>Neighbourhood </w:t>
      </w:r>
      <w:r>
        <w:rPr>
          <w:spacing w:val="-3"/>
          <w:sz w:val="21"/>
        </w:rPr>
        <w:t>disputes, including </w:t>
      </w:r>
      <w:r>
        <w:rPr>
          <w:sz w:val="21"/>
        </w:rPr>
        <w:t>those about trees, </w:t>
      </w:r>
      <w:r>
        <w:rPr>
          <w:spacing w:val="-3"/>
          <w:sz w:val="21"/>
        </w:rPr>
        <w:t>are heard </w:t>
      </w:r>
      <w:r>
        <w:rPr>
          <w:sz w:val="21"/>
        </w:rPr>
        <w:t>in </w:t>
      </w:r>
      <w:r>
        <w:rPr>
          <w:spacing w:val="-3"/>
          <w:sz w:val="21"/>
        </w:rPr>
        <w:t>tribunals </w:t>
      </w:r>
      <w:r>
        <w:rPr>
          <w:sz w:val="21"/>
        </w:rPr>
        <w:t>in some </w:t>
      </w:r>
      <w:r>
        <w:rPr>
          <w:spacing w:val="-3"/>
          <w:sz w:val="21"/>
        </w:rPr>
        <w:t>international</w:t>
      </w:r>
      <w:r>
        <w:rPr>
          <w:spacing w:val="8"/>
          <w:sz w:val="21"/>
        </w:rPr>
        <w:t> </w:t>
      </w:r>
      <w:r>
        <w:rPr>
          <w:sz w:val="21"/>
        </w:rPr>
        <w:t>jurisdictions.</w:t>
      </w:r>
    </w:p>
    <w:p>
      <w:pPr>
        <w:pStyle w:val="ListParagraph"/>
        <w:numPr>
          <w:ilvl w:val="1"/>
          <w:numId w:val="114"/>
        </w:numPr>
        <w:tabs>
          <w:tab w:pos="2380" w:val="left" w:leader="none"/>
          <w:tab w:pos="2381" w:val="left" w:leader="none"/>
        </w:tabs>
        <w:spacing w:line="242" w:lineRule="auto" w:before="122" w:after="0"/>
        <w:ind w:left="2380" w:right="1870" w:hanging="793"/>
        <w:jc w:val="left"/>
        <w:rPr>
          <w:sz w:val="12"/>
        </w:rPr>
      </w:pPr>
      <w:r>
        <w:rPr>
          <w:sz w:val="21"/>
        </w:rPr>
        <w:t>In New </w:t>
      </w:r>
      <w:r>
        <w:rPr>
          <w:spacing w:val="-3"/>
          <w:sz w:val="21"/>
        </w:rPr>
        <w:t>Zealand, </w:t>
      </w:r>
      <w:r>
        <w:rPr>
          <w:sz w:val="21"/>
        </w:rPr>
        <w:t>tree </w:t>
      </w:r>
      <w:r>
        <w:rPr>
          <w:spacing w:val="-3"/>
          <w:sz w:val="21"/>
        </w:rPr>
        <w:t>disputes </w:t>
      </w:r>
      <w:r>
        <w:rPr>
          <w:sz w:val="21"/>
        </w:rPr>
        <w:t>can be resolved in the </w:t>
      </w:r>
      <w:r>
        <w:rPr>
          <w:spacing w:val="-3"/>
          <w:sz w:val="21"/>
        </w:rPr>
        <w:t>Disputes </w:t>
      </w:r>
      <w:r>
        <w:rPr>
          <w:spacing w:val="-5"/>
          <w:sz w:val="21"/>
        </w:rPr>
        <w:t>Tribunal  </w:t>
      </w:r>
      <w:r>
        <w:rPr>
          <w:sz w:val="21"/>
        </w:rPr>
        <w:t>or the District  </w:t>
      </w:r>
      <w:r>
        <w:rPr>
          <w:spacing w:val="-3"/>
          <w:sz w:val="21"/>
        </w:rPr>
        <w:t>Court </w:t>
      </w:r>
      <w:r>
        <w:rPr>
          <w:sz w:val="21"/>
        </w:rPr>
        <w:t>depending on the type of </w:t>
      </w:r>
      <w:r>
        <w:rPr>
          <w:spacing w:val="-3"/>
          <w:sz w:val="21"/>
        </w:rPr>
        <w:t>claim. </w:t>
      </w:r>
      <w:r>
        <w:rPr>
          <w:sz w:val="21"/>
        </w:rPr>
        <w:t>For </w:t>
      </w:r>
      <w:r>
        <w:rPr>
          <w:spacing w:val="-3"/>
          <w:sz w:val="21"/>
        </w:rPr>
        <w:t>claims </w:t>
      </w:r>
      <w:r>
        <w:rPr>
          <w:sz w:val="21"/>
        </w:rPr>
        <w:t>in tort over destruction or damage </w:t>
      </w:r>
      <w:r>
        <w:rPr>
          <w:spacing w:val="-3"/>
          <w:sz w:val="21"/>
        </w:rPr>
        <w:t>to </w:t>
      </w:r>
      <w:r>
        <w:rPr>
          <w:sz w:val="21"/>
        </w:rPr>
        <w:t>property and </w:t>
      </w:r>
      <w:r>
        <w:rPr>
          <w:spacing w:val="-3"/>
          <w:sz w:val="21"/>
        </w:rPr>
        <w:t>generally </w:t>
      </w:r>
      <w:r>
        <w:rPr>
          <w:sz w:val="21"/>
        </w:rPr>
        <w:t>less </w:t>
      </w:r>
      <w:r>
        <w:rPr>
          <w:spacing w:val="-3"/>
          <w:sz w:val="21"/>
        </w:rPr>
        <w:t>than </w:t>
      </w:r>
      <w:r>
        <w:rPr>
          <w:spacing w:val="-5"/>
          <w:sz w:val="21"/>
        </w:rPr>
        <w:t>$15,000 </w:t>
      </w:r>
      <w:r>
        <w:rPr>
          <w:sz w:val="21"/>
        </w:rPr>
        <w:t>(NZD),</w:t>
      </w:r>
      <w:r>
        <w:rPr>
          <w:position w:val="7"/>
          <w:sz w:val="12"/>
        </w:rPr>
        <w:t>175 </w:t>
      </w:r>
      <w:r>
        <w:rPr>
          <w:sz w:val="21"/>
        </w:rPr>
        <w:t>parties </w:t>
      </w:r>
      <w:r>
        <w:rPr>
          <w:spacing w:val="-3"/>
          <w:sz w:val="21"/>
        </w:rPr>
        <w:t>may take </w:t>
      </w:r>
      <w:r>
        <w:rPr>
          <w:sz w:val="21"/>
        </w:rPr>
        <w:t>legal action in the </w:t>
      </w:r>
      <w:r>
        <w:rPr>
          <w:spacing w:val="-3"/>
          <w:sz w:val="21"/>
        </w:rPr>
        <w:t>Disputes</w:t>
      </w:r>
      <w:r>
        <w:rPr>
          <w:spacing w:val="8"/>
          <w:sz w:val="21"/>
        </w:rPr>
        <w:t> </w:t>
      </w:r>
      <w:r>
        <w:rPr>
          <w:spacing w:val="-6"/>
          <w:sz w:val="21"/>
        </w:rPr>
        <w:t>Tribunal.</w:t>
      </w:r>
      <w:r>
        <w:rPr>
          <w:spacing w:val="-6"/>
          <w:position w:val="7"/>
          <w:sz w:val="12"/>
        </w:rPr>
        <w:t>176</w:t>
      </w:r>
    </w:p>
    <w:p>
      <w:pPr>
        <w:pStyle w:val="ListParagraph"/>
        <w:numPr>
          <w:ilvl w:val="1"/>
          <w:numId w:val="114"/>
        </w:numPr>
        <w:tabs>
          <w:tab w:pos="2380" w:val="left" w:leader="none"/>
          <w:tab w:pos="2381" w:val="left" w:leader="none"/>
        </w:tabs>
        <w:spacing w:line="240" w:lineRule="auto" w:before="125" w:after="0"/>
        <w:ind w:left="2381" w:right="0" w:hanging="794"/>
        <w:jc w:val="left"/>
        <w:rPr>
          <w:sz w:val="12"/>
        </w:rPr>
      </w:pPr>
      <w:r>
        <w:rPr>
          <w:w w:val="105"/>
          <w:sz w:val="21"/>
        </w:rPr>
        <w:t>Legal</w:t>
      </w:r>
      <w:r>
        <w:rPr>
          <w:spacing w:val="4"/>
          <w:w w:val="105"/>
          <w:sz w:val="21"/>
        </w:rPr>
        <w:t> </w:t>
      </w:r>
      <w:r>
        <w:rPr>
          <w:w w:val="105"/>
          <w:sz w:val="21"/>
        </w:rPr>
        <w:t>action</w:t>
      </w:r>
      <w:r>
        <w:rPr>
          <w:spacing w:val="4"/>
          <w:w w:val="105"/>
          <w:sz w:val="21"/>
        </w:rPr>
        <w:t> </w:t>
      </w:r>
      <w:r>
        <w:rPr>
          <w:w w:val="105"/>
          <w:sz w:val="21"/>
        </w:rPr>
        <w:t>under</w:t>
      </w:r>
      <w:r>
        <w:rPr>
          <w:spacing w:val="4"/>
          <w:w w:val="105"/>
          <w:sz w:val="21"/>
        </w:rPr>
        <w:t> </w:t>
      </w:r>
      <w:r>
        <w:rPr>
          <w:w w:val="105"/>
          <w:sz w:val="21"/>
        </w:rPr>
        <w:t>the</w:t>
      </w:r>
      <w:r>
        <w:rPr>
          <w:spacing w:val="4"/>
          <w:w w:val="105"/>
          <w:sz w:val="21"/>
        </w:rPr>
        <w:t> </w:t>
      </w:r>
      <w:r>
        <w:rPr>
          <w:i/>
          <w:w w:val="105"/>
          <w:sz w:val="21"/>
        </w:rPr>
        <w:t>Property</w:t>
      </w:r>
      <w:r>
        <w:rPr>
          <w:i/>
          <w:spacing w:val="4"/>
          <w:w w:val="105"/>
          <w:sz w:val="21"/>
        </w:rPr>
        <w:t> </w:t>
      </w:r>
      <w:r>
        <w:rPr>
          <w:i/>
          <w:w w:val="105"/>
          <w:sz w:val="21"/>
        </w:rPr>
        <w:t>Law</w:t>
      </w:r>
      <w:r>
        <w:rPr>
          <w:i/>
          <w:spacing w:val="4"/>
          <w:w w:val="105"/>
          <w:sz w:val="21"/>
        </w:rPr>
        <w:t> </w:t>
      </w:r>
      <w:r>
        <w:rPr>
          <w:i/>
          <w:w w:val="105"/>
          <w:sz w:val="21"/>
        </w:rPr>
        <w:t>Act</w:t>
      </w:r>
      <w:r>
        <w:rPr>
          <w:i/>
          <w:spacing w:val="5"/>
          <w:w w:val="105"/>
          <w:sz w:val="21"/>
        </w:rPr>
        <w:t> </w:t>
      </w:r>
      <w:r>
        <w:rPr>
          <w:i/>
          <w:spacing w:val="-4"/>
          <w:w w:val="105"/>
          <w:sz w:val="21"/>
        </w:rPr>
        <w:t>2007</w:t>
      </w:r>
      <w:r>
        <w:rPr>
          <w:i/>
          <w:spacing w:val="4"/>
          <w:w w:val="105"/>
          <w:sz w:val="21"/>
        </w:rPr>
        <w:t> </w:t>
      </w:r>
      <w:r>
        <w:rPr>
          <w:w w:val="105"/>
          <w:sz w:val="21"/>
        </w:rPr>
        <w:t>(NZ)</w:t>
      </w:r>
      <w:r>
        <w:rPr>
          <w:spacing w:val="4"/>
          <w:w w:val="105"/>
          <w:sz w:val="21"/>
        </w:rPr>
        <w:t> </w:t>
      </w:r>
      <w:r>
        <w:rPr>
          <w:w w:val="105"/>
          <w:sz w:val="21"/>
        </w:rPr>
        <w:t>is</w:t>
      </w:r>
      <w:r>
        <w:rPr>
          <w:spacing w:val="4"/>
          <w:w w:val="105"/>
          <w:sz w:val="21"/>
        </w:rPr>
        <w:t> </w:t>
      </w:r>
      <w:r>
        <w:rPr>
          <w:spacing w:val="-3"/>
          <w:w w:val="105"/>
          <w:sz w:val="21"/>
        </w:rPr>
        <w:t>taken</w:t>
      </w:r>
      <w:r>
        <w:rPr>
          <w:spacing w:val="4"/>
          <w:w w:val="105"/>
          <w:sz w:val="21"/>
        </w:rPr>
        <w:t> </w:t>
      </w:r>
      <w:r>
        <w:rPr>
          <w:w w:val="105"/>
          <w:sz w:val="21"/>
        </w:rPr>
        <w:t>in</w:t>
      </w:r>
      <w:r>
        <w:rPr>
          <w:spacing w:val="4"/>
          <w:w w:val="105"/>
          <w:sz w:val="21"/>
        </w:rPr>
        <w:t> </w:t>
      </w:r>
      <w:r>
        <w:rPr>
          <w:w w:val="105"/>
          <w:sz w:val="21"/>
        </w:rPr>
        <w:t>the</w:t>
      </w:r>
      <w:r>
        <w:rPr>
          <w:spacing w:val="4"/>
          <w:w w:val="105"/>
          <w:sz w:val="21"/>
        </w:rPr>
        <w:t> </w:t>
      </w:r>
      <w:r>
        <w:rPr>
          <w:w w:val="105"/>
          <w:sz w:val="21"/>
        </w:rPr>
        <w:t>District</w:t>
      </w:r>
      <w:r>
        <w:rPr>
          <w:spacing w:val="5"/>
          <w:w w:val="105"/>
          <w:sz w:val="21"/>
        </w:rPr>
        <w:t> </w:t>
      </w:r>
      <w:r>
        <w:rPr>
          <w:spacing w:val="-5"/>
          <w:w w:val="105"/>
          <w:sz w:val="21"/>
        </w:rPr>
        <w:t>Court.</w:t>
      </w:r>
      <w:r>
        <w:rPr>
          <w:spacing w:val="-5"/>
          <w:w w:val="105"/>
          <w:position w:val="7"/>
          <w:sz w:val="12"/>
        </w:rPr>
        <w:t>177</w:t>
      </w:r>
    </w:p>
    <w:p>
      <w:pPr>
        <w:pStyle w:val="BodyText"/>
        <w:spacing w:line="242" w:lineRule="auto" w:before="3"/>
        <w:ind w:left="2381" w:right="1806"/>
        <w:rPr>
          <w:sz w:val="12"/>
        </w:rPr>
      </w:pPr>
      <w:r>
        <w:rPr>
          <w:w w:val="105"/>
        </w:rPr>
        <w:t>The </w:t>
      </w:r>
      <w:r>
        <w:rPr>
          <w:i/>
          <w:w w:val="105"/>
        </w:rPr>
        <w:t>Property Law Act </w:t>
      </w:r>
      <w:r>
        <w:rPr>
          <w:i/>
          <w:spacing w:val="-4"/>
          <w:w w:val="105"/>
        </w:rPr>
        <w:t>2007 </w:t>
      </w:r>
      <w:r>
        <w:rPr>
          <w:w w:val="105"/>
        </w:rPr>
        <w:t>(NZ) sets out a statutory scheme </w:t>
      </w:r>
      <w:r>
        <w:rPr>
          <w:spacing w:val="-3"/>
          <w:w w:val="105"/>
        </w:rPr>
        <w:t>for </w:t>
      </w:r>
      <w:r>
        <w:rPr>
          <w:w w:val="105"/>
        </w:rPr>
        <w:t>resolving tree </w:t>
      </w:r>
      <w:r>
        <w:rPr>
          <w:spacing w:val="-3"/>
          <w:w w:val="105"/>
        </w:rPr>
        <w:t>disputes separately to </w:t>
      </w:r>
      <w:r>
        <w:rPr>
          <w:w w:val="105"/>
        </w:rPr>
        <w:t>actions in tort and allows an affected </w:t>
      </w:r>
      <w:r>
        <w:rPr>
          <w:spacing w:val="-3"/>
          <w:w w:val="105"/>
        </w:rPr>
        <w:t>neighbour to </w:t>
      </w:r>
      <w:r>
        <w:rPr>
          <w:w w:val="105"/>
        </w:rPr>
        <w:t>seek orders in the District </w:t>
      </w:r>
      <w:r>
        <w:rPr>
          <w:spacing w:val="-3"/>
          <w:w w:val="105"/>
        </w:rPr>
        <w:t>Court for </w:t>
      </w:r>
      <w:r>
        <w:rPr>
          <w:w w:val="105"/>
        </w:rPr>
        <w:t>the </w:t>
      </w:r>
      <w:r>
        <w:rPr>
          <w:spacing w:val="-3"/>
          <w:w w:val="105"/>
        </w:rPr>
        <w:t>trimming </w:t>
      </w:r>
      <w:r>
        <w:rPr>
          <w:w w:val="105"/>
        </w:rPr>
        <w:t>or </w:t>
      </w:r>
      <w:r>
        <w:rPr>
          <w:spacing w:val="-3"/>
          <w:w w:val="105"/>
        </w:rPr>
        <w:t>removal </w:t>
      </w:r>
      <w:r>
        <w:rPr>
          <w:w w:val="105"/>
        </w:rPr>
        <w:t>of a tree on the basis </w:t>
      </w:r>
      <w:r>
        <w:rPr>
          <w:spacing w:val="-3"/>
          <w:w w:val="105"/>
        </w:rPr>
        <w:t>that </w:t>
      </w:r>
      <w:r>
        <w:rPr>
          <w:w w:val="105"/>
        </w:rPr>
        <w:t>it causes actual or </w:t>
      </w:r>
      <w:r>
        <w:rPr>
          <w:spacing w:val="-3"/>
          <w:w w:val="105"/>
        </w:rPr>
        <w:t>potential </w:t>
      </w:r>
      <w:r>
        <w:rPr>
          <w:w w:val="105"/>
        </w:rPr>
        <w:t>risk </w:t>
      </w:r>
      <w:r>
        <w:rPr>
          <w:spacing w:val="-3"/>
          <w:w w:val="105"/>
        </w:rPr>
        <w:t>to </w:t>
      </w:r>
      <w:r>
        <w:rPr>
          <w:w w:val="105"/>
        </w:rPr>
        <w:t>their </w:t>
      </w:r>
      <w:r>
        <w:rPr>
          <w:spacing w:val="-4"/>
          <w:w w:val="105"/>
        </w:rPr>
        <w:t>life, </w:t>
      </w:r>
      <w:r>
        <w:rPr>
          <w:spacing w:val="-3"/>
          <w:w w:val="105"/>
        </w:rPr>
        <w:t>health </w:t>
      </w:r>
      <w:r>
        <w:rPr>
          <w:w w:val="105"/>
        </w:rPr>
        <w:t>or </w:t>
      </w:r>
      <w:r>
        <w:rPr>
          <w:spacing w:val="-4"/>
          <w:w w:val="105"/>
        </w:rPr>
        <w:t>property.</w:t>
      </w:r>
      <w:r>
        <w:rPr>
          <w:spacing w:val="-4"/>
          <w:w w:val="105"/>
          <w:position w:val="7"/>
          <w:sz w:val="12"/>
        </w:rPr>
        <w:t>178</w:t>
      </w:r>
    </w:p>
    <w:p>
      <w:pPr>
        <w:pStyle w:val="ListParagraph"/>
        <w:numPr>
          <w:ilvl w:val="1"/>
          <w:numId w:val="114"/>
        </w:numPr>
        <w:tabs>
          <w:tab w:pos="2380" w:val="left" w:leader="none"/>
          <w:tab w:pos="2381" w:val="left" w:leader="none"/>
        </w:tabs>
        <w:spacing w:line="242" w:lineRule="auto" w:before="125" w:after="0"/>
        <w:ind w:left="2381" w:right="1893" w:hanging="794"/>
        <w:jc w:val="left"/>
        <w:rPr>
          <w:sz w:val="12"/>
        </w:rPr>
      </w:pPr>
      <w:r>
        <w:rPr>
          <w:w w:val="105"/>
          <w:sz w:val="21"/>
        </w:rPr>
        <w:t>In </w:t>
      </w:r>
      <w:r>
        <w:rPr>
          <w:spacing w:val="-3"/>
          <w:w w:val="105"/>
          <w:sz w:val="21"/>
        </w:rPr>
        <w:t>Singapore, neighbour disputes are </w:t>
      </w:r>
      <w:r>
        <w:rPr>
          <w:w w:val="105"/>
          <w:sz w:val="21"/>
        </w:rPr>
        <w:t>resolved in specialised </w:t>
      </w:r>
      <w:r>
        <w:rPr>
          <w:spacing w:val="-3"/>
          <w:w w:val="105"/>
          <w:sz w:val="21"/>
        </w:rPr>
        <w:t>Community Disputes </w:t>
      </w:r>
      <w:r>
        <w:rPr>
          <w:w w:val="105"/>
          <w:sz w:val="21"/>
        </w:rPr>
        <w:t>Resolution </w:t>
      </w:r>
      <w:r>
        <w:rPr>
          <w:spacing w:val="-4"/>
          <w:w w:val="105"/>
          <w:sz w:val="21"/>
        </w:rPr>
        <w:t>Tribunals (CDRTs) </w:t>
      </w:r>
      <w:r>
        <w:rPr>
          <w:w w:val="105"/>
          <w:sz w:val="21"/>
        </w:rPr>
        <w:t>under the </w:t>
      </w:r>
      <w:r>
        <w:rPr>
          <w:i/>
          <w:spacing w:val="-3"/>
          <w:w w:val="105"/>
          <w:sz w:val="21"/>
        </w:rPr>
        <w:t>Community Disputes Resolution </w:t>
      </w:r>
      <w:r>
        <w:rPr>
          <w:i/>
          <w:w w:val="105"/>
          <w:sz w:val="21"/>
        </w:rPr>
        <w:t>Act </w:t>
      </w:r>
      <w:r>
        <w:rPr>
          <w:i/>
          <w:spacing w:val="-9"/>
          <w:w w:val="105"/>
          <w:sz w:val="21"/>
        </w:rPr>
        <w:t>2015</w:t>
      </w:r>
      <w:r>
        <w:rPr>
          <w:spacing w:val="-9"/>
          <w:w w:val="105"/>
          <w:sz w:val="21"/>
        </w:rPr>
        <w:t>.</w:t>
      </w:r>
      <w:r>
        <w:rPr>
          <w:spacing w:val="-9"/>
          <w:w w:val="105"/>
          <w:position w:val="7"/>
          <w:sz w:val="12"/>
        </w:rPr>
        <w:t>179</w:t>
      </w:r>
      <w:r>
        <w:rPr>
          <w:spacing w:val="-9"/>
          <w:w w:val="105"/>
          <w:sz w:val="12"/>
        </w:rPr>
        <w:t> </w:t>
      </w:r>
      <w:r>
        <w:rPr>
          <w:spacing w:val="-6"/>
          <w:w w:val="105"/>
          <w:sz w:val="21"/>
        </w:rPr>
        <w:t>CDRTs </w:t>
      </w:r>
      <w:r>
        <w:rPr>
          <w:w w:val="105"/>
          <w:sz w:val="21"/>
        </w:rPr>
        <w:t>operate under a division of state courts and deal </w:t>
      </w:r>
      <w:r>
        <w:rPr>
          <w:spacing w:val="-3"/>
          <w:w w:val="105"/>
          <w:sz w:val="21"/>
        </w:rPr>
        <w:t>exclusively </w:t>
      </w:r>
      <w:r>
        <w:rPr>
          <w:w w:val="105"/>
          <w:sz w:val="21"/>
        </w:rPr>
        <w:t>with </w:t>
      </w:r>
      <w:r>
        <w:rPr>
          <w:spacing w:val="-3"/>
          <w:w w:val="105"/>
          <w:sz w:val="21"/>
        </w:rPr>
        <w:t>neighbour disputes.</w:t>
      </w:r>
      <w:r>
        <w:rPr>
          <w:spacing w:val="-6"/>
          <w:w w:val="105"/>
          <w:sz w:val="21"/>
        </w:rPr>
        <w:t> </w:t>
      </w:r>
      <w:r>
        <w:rPr>
          <w:w w:val="105"/>
          <w:sz w:val="21"/>
        </w:rPr>
        <w:t>Matters</w:t>
      </w:r>
      <w:r>
        <w:rPr>
          <w:spacing w:val="-6"/>
          <w:w w:val="105"/>
          <w:sz w:val="21"/>
        </w:rPr>
        <w:t> </w:t>
      </w:r>
      <w:r>
        <w:rPr>
          <w:spacing w:val="-3"/>
          <w:w w:val="105"/>
          <w:sz w:val="21"/>
        </w:rPr>
        <w:t>are</w:t>
      </w:r>
      <w:r>
        <w:rPr>
          <w:spacing w:val="-6"/>
          <w:w w:val="105"/>
          <w:sz w:val="21"/>
        </w:rPr>
        <w:t> </w:t>
      </w:r>
      <w:r>
        <w:rPr>
          <w:spacing w:val="-3"/>
          <w:w w:val="105"/>
          <w:sz w:val="21"/>
        </w:rPr>
        <w:t>heard</w:t>
      </w:r>
      <w:r>
        <w:rPr>
          <w:spacing w:val="-6"/>
          <w:w w:val="105"/>
          <w:sz w:val="21"/>
        </w:rPr>
        <w:t> </w:t>
      </w:r>
      <w:r>
        <w:rPr>
          <w:w w:val="105"/>
          <w:sz w:val="21"/>
        </w:rPr>
        <w:t>by</w:t>
      </w:r>
      <w:r>
        <w:rPr>
          <w:spacing w:val="-6"/>
          <w:w w:val="105"/>
          <w:sz w:val="21"/>
        </w:rPr>
        <w:t> </w:t>
      </w:r>
      <w:r>
        <w:rPr>
          <w:spacing w:val="-3"/>
          <w:w w:val="105"/>
          <w:sz w:val="21"/>
        </w:rPr>
        <w:t>tribunal</w:t>
      </w:r>
      <w:r>
        <w:rPr>
          <w:spacing w:val="-6"/>
          <w:w w:val="105"/>
          <w:sz w:val="21"/>
        </w:rPr>
        <w:t> </w:t>
      </w:r>
      <w:r>
        <w:rPr>
          <w:w w:val="105"/>
          <w:sz w:val="21"/>
        </w:rPr>
        <w:t>judges</w:t>
      </w:r>
      <w:r>
        <w:rPr>
          <w:spacing w:val="-5"/>
          <w:w w:val="105"/>
          <w:sz w:val="21"/>
        </w:rPr>
        <w:t> </w:t>
      </w:r>
      <w:r>
        <w:rPr>
          <w:w w:val="105"/>
          <w:sz w:val="21"/>
        </w:rPr>
        <w:t>who</w:t>
      </w:r>
      <w:r>
        <w:rPr>
          <w:spacing w:val="-6"/>
          <w:w w:val="105"/>
          <w:sz w:val="21"/>
        </w:rPr>
        <w:t> </w:t>
      </w:r>
      <w:r>
        <w:rPr>
          <w:spacing w:val="-3"/>
          <w:w w:val="105"/>
          <w:sz w:val="21"/>
        </w:rPr>
        <w:t>are</w:t>
      </w:r>
      <w:r>
        <w:rPr>
          <w:spacing w:val="-6"/>
          <w:w w:val="105"/>
          <w:sz w:val="21"/>
        </w:rPr>
        <w:t> </w:t>
      </w:r>
      <w:r>
        <w:rPr>
          <w:spacing w:val="-3"/>
          <w:w w:val="105"/>
          <w:sz w:val="21"/>
        </w:rPr>
        <w:t>appointed</w:t>
      </w:r>
      <w:r>
        <w:rPr>
          <w:spacing w:val="-6"/>
          <w:w w:val="105"/>
          <w:sz w:val="21"/>
        </w:rPr>
        <w:t> </w:t>
      </w:r>
      <w:r>
        <w:rPr>
          <w:w w:val="105"/>
          <w:sz w:val="21"/>
        </w:rPr>
        <w:t>district</w:t>
      </w:r>
      <w:r>
        <w:rPr>
          <w:spacing w:val="-6"/>
          <w:w w:val="105"/>
          <w:sz w:val="21"/>
        </w:rPr>
        <w:t> </w:t>
      </w:r>
      <w:r>
        <w:rPr>
          <w:w w:val="105"/>
          <w:sz w:val="21"/>
        </w:rPr>
        <w:t>judges</w:t>
      </w:r>
      <w:r>
        <w:rPr>
          <w:spacing w:val="-6"/>
          <w:w w:val="105"/>
          <w:sz w:val="21"/>
        </w:rPr>
        <w:t> </w:t>
      </w:r>
      <w:r>
        <w:rPr>
          <w:w w:val="105"/>
          <w:sz w:val="21"/>
        </w:rPr>
        <w:t>of</w:t>
      </w:r>
      <w:r>
        <w:rPr>
          <w:spacing w:val="-5"/>
          <w:w w:val="105"/>
          <w:sz w:val="21"/>
        </w:rPr>
        <w:t> </w:t>
      </w:r>
      <w:r>
        <w:rPr>
          <w:w w:val="105"/>
          <w:sz w:val="21"/>
        </w:rPr>
        <w:t>the </w:t>
      </w:r>
      <w:r>
        <w:rPr>
          <w:spacing w:val="-3"/>
          <w:w w:val="105"/>
          <w:sz w:val="21"/>
        </w:rPr>
        <w:t>State</w:t>
      </w:r>
      <w:r>
        <w:rPr>
          <w:spacing w:val="5"/>
          <w:w w:val="105"/>
          <w:sz w:val="21"/>
        </w:rPr>
        <w:t> </w:t>
      </w:r>
      <w:r>
        <w:rPr>
          <w:spacing w:val="-4"/>
          <w:w w:val="105"/>
          <w:sz w:val="21"/>
        </w:rPr>
        <w:t>Courts.</w:t>
      </w:r>
      <w:r>
        <w:rPr>
          <w:spacing w:val="-4"/>
          <w:w w:val="105"/>
          <w:position w:val="7"/>
          <w:sz w:val="12"/>
        </w:rPr>
        <w:t>180</w:t>
      </w:r>
    </w:p>
    <w:p>
      <w:pPr>
        <w:pStyle w:val="ListParagraph"/>
        <w:numPr>
          <w:ilvl w:val="1"/>
          <w:numId w:val="114"/>
        </w:numPr>
        <w:tabs>
          <w:tab w:pos="2380" w:val="left" w:leader="none"/>
          <w:tab w:pos="2381" w:val="left" w:leader="none"/>
        </w:tabs>
        <w:spacing w:line="242" w:lineRule="auto" w:before="125" w:after="0"/>
        <w:ind w:left="2381" w:right="1855" w:hanging="794"/>
        <w:jc w:val="left"/>
        <w:rPr>
          <w:sz w:val="21"/>
        </w:rPr>
      </w:pPr>
      <w:r>
        <w:rPr>
          <w:w w:val="105"/>
          <w:sz w:val="21"/>
        </w:rPr>
        <w:t>The Act was </w:t>
      </w:r>
      <w:r>
        <w:rPr>
          <w:spacing w:val="-3"/>
          <w:w w:val="105"/>
          <w:sz w:val="21"/>
        </w:rPr>
        <w:t>implemented </w:t>
      </w:r>
      <w:r>
        <w:rPr>
          <w:w w:val="105"/>
          <w:sz w:val="21"/>
        </w:rPr>
        <w:t>‘to hear cases </w:t>
      </w:r>
      <w:r>
        <w:rPr>
          <w:spacing w:val="-3"/>
          <w:w w:val="105"/>
          <w:sz w:val="21"/>
        </w:rPr>
        <w:t>involving </w:t>
      </w:r>
      <w:r>
        <w:rPr>
          <w:w w:val="105"/>
          <w:sz w:val="21"/>
        </w:rPr>
        <w:t>intractable </w:t>
      </w:r>
      <w:r>
        <w:rPr>
          <w:spacing w:val="-3"/>
          <w:w w:val="105"/>
          <w:sz w:val="21"/>
        </w:rPr>
        <w:t>disputes </w:t>
      </w:r>
      <w:r>
        <w:rPr>
          <w:w w:val="105"/>
          <w:sz w:val="21"/>
        </w:rPr>
        <w:t>between neighbours, after </w:t>
      </w:r>
      <w:r>
        <w:rPr>
          <w:spacing w:val="-3"/>
          <w:w w:val="105"/>
          <w:sz w:val="21"/>
        </w:rPr>
        <w:t>all </w:t>
      </w:r>
      <w:r>
        <w:rPr>
          <w:w w:val="105"/>
          <w:sz w:val="21"/>
        </w:rPr>
        <w:t>efforts </w:t>
      </w:r>
      <w:r>
        <w:rPr>
          <w:spacing w:val="-3"/>
          <w:w w:val="105"/>
          <w:sz w:val="21"/>
        </w:rPr>
        <w:t>including </w:t>
      </w:r>
      <w:r>
        <w:rPr>
          <w:w w:val="105"/>
          <w:sz w:val="21"/>
        </w:rPr>
        <w:t>community mediation </w:t>
      </w:r>
      <w:r>
        <w:rPr>
          <w:spacing w:val="-3"/>
          <w:w w:val="105"/>
          <w:sz w:val="21"/>
        </w:rPr>
        <w:t>have </w:t>
      </w:r>
      <w:r>
        <w:rPr>
          <w:w w:val="105"/>
          <w:sz w:val="21"/>
        </w:rPr>
        <w:t>been </w:t>
      </w:r>
      <w:r>
        <w:rPr>
          <w:spacing w:val="-3"/>
          <w:w w:val="105"/>
          <w:sz w:val="21"/>
        </w:rPr>
        <w:t>exhausted’</w:t>
      </w:r>
      <w:r>
        <w:rPr>
          <w:spacing w:val="-3"/>
          <w:w w:val="105"/>
          <w:position w:val="7"/>
          <w:sz w:val="12"/>
        </w:rPr>
        <w:t>181</w:t>
      </w:r>
      <w:r>
        <w:rPr>
          <w:spacing w:val="-3"/>
          <w:w w:val="105"/>
          <w:sz w:val="12"/>
        </w:rPr>
        <w:t> </w:t>
      </w:r>
      <w:r>
        <w:rPr>
          <w:w w:val="105"/>
          <w:sz w:val="21"/>
        </w:rPr>
        <w:t>and</w:t>
      </w:r>
      <w:r>
        <w:rPr>
          <w:spacing w:val="-8"/>
          <w:w w:val="105"/>
          <w:sz w:val="21"/>
        </w:rPr>
        <w:t> </w:t>
      </w:r>
      <w:r>
        <w:rPr>
          <w:spacing w:val="-3"/>
          <w:w w:val="105"/>
          <w:sz w:val="21"/>
        </w:rPr>
        <w:t>aims</w:t>
      </w:r>
      <w:r>
        <w:rPr>
          <w:spacing w:val="-8"/>
          <w:w w:val="105"/>
          <w:sz w:val="21"/>
        </w:rPr>
        <w:t> </w:t>
      </w:r>
      <w:r>
        <w:rPr>
          <w:spacing w:val="-3"/>
          <w:w w:val="105"/>
          <w:sz w:val="21"/>
        </w:rPr>
        <w:t>to</w:t>
      </w:r>
      <w:r>
        <w:rPr>
          <w:spacing w:val="-8"/>
          <w:w w:val="105"/>
          <w:sz w:val="21"/>
        </w:rPr>
        <w:t> </w:t>
      </w:r>
      <w:r>
        <w:rPr>
          <w:spacing w:val="-3"/>
          <w:w w:val="105"/>
          <w:sz w:val="21"/>
        </w:rPr>
        <w:t>‘facilitate</w:t>
      </w:r>
      <w:r>
        <w:rPr>
          <w:spacing w:val="-8"/>
          <w:w w:val="105"/>
          <w:sz w:val="21"/>
        </w:rPr>
        <w:t> </w:t>
      </w:r>
      <w:r>
        <w:rPr>
          <w:w w:val="105"/>
          <w:sz w:val="21"/>
        </w:rPr>
        <w:t>the</w:t>
      </w:r>
      <w:r>
        <w:rPr>
          <w:spacing w:val="-7"/>
          <w:w w:val="105"/>
          <w:sz w:val="21"/>
        </w:rPr>
        <w:t> </w:t>
      </w:r>
      <w:r>
        <w:rPr>
          <w:w w:val="105"/>
          <w:sz w:val="21"/>
        </w:rPr>
        <w:t>resolution</w:t>
      </w:r>
      <w:r>
        <w:rPr>
          <w:spacing w:val="-8"/>
          <w:w w:val="105"/>
          <w:sz w:val="21"/>
        </w:rPr>
        <w:t> </w:t>
      </w:r>
      <w:r>
        <w:rPr>
          <w:w w:val="105"/>
          <w:sz w:val="21"/>
        </w:rPr>
        <w:t>of</w:t>
      </w:r>
      <w:r>
        <w:rPr>
          <w:spacing w:val="-8"/>
          <w:w w:val="105"/>
          <w:sz w:val="21"/>
        </w:rPr>
        <w:t> </w:t>
      </w:r>
      <w:r>
        <w:rPr>
          <w:w w:val="105"/>
          <w:sz w:val="21"/>
        </w:rPr>
        <w:t>community</w:t>
      </w:r>
      <w:r>
        <w:rPr>
          <w:spacing w:val="-8"/>
          <w:w w:val="105"/>
          <w:sz w:val="21"/>
        </w:rPr>
        <w:t> </w:t>
      </w:r>
      <w:r>
        <w:rPr>
          <w:spacing w:val="-3"/>
          <w:w w:val="105"/>
          <w:sz w:val="21"/>
        </w:rPr>
        <w:t>disputes</w:t>
      </w:r>
      <w:r>
        <w:rPr>
          <w:spacing w:val="-8"/>
          <w:w w:val="105"/>
          <w:sz w:val="21"/>
        </w:rPr>
        <w:t> </w:t>
      </w:r>
      <w:r>
        <w:rPr>
          <w:w w:val="105"/>
          <w:sz w:val="21"/>
        </w:rPr>
        <w:t>by</w:t>
      </w:r>
      <w:r>
        <w:rPr>
          <w:spacing w:val="-7"/>
          <w:w w:val="105"/>
          <w:sz w:val="21"/>
        </w:rPr>
        <w:t> </w:t>
      </w:r>
      <w:r>
        <w:rPr>
          <w:spacing w:val="-3"/>
          <w:w w:val="105"/>
          <w:sz w:val="21"/>
        </w:rPr>
        <w:t>providing</w:t>
      </w:r>
      <w:r>
        <w:rPr>
          <w:spacing w:val="-8"/>
          <w:w w:val="105"/>
          <w:sz w:val="21"/>
        </w:rPr>
        <w:t> </w:t>
      </w:r>
      <w:r>
        <w:rPr>
          <w:spacing w:val="-3"/>
          <w:w w:val="105"/>
          <w:sz w:val="21"/>
        </w:rPr>
        <w:t>for</w:t>
      </w:r>
      <w:r>
        <w:rPr>
          <w:spacing w:val="-8"/>
          <w:w w:val="105"/>
          <w:sz w:val="21"/>
        </w:rPr>
        <w:t> </w:t>
      </w:r>
      <w:r>
        <w:rPr>
          <w:w w:val="105"/>
          <w:sz w:val="21"/>
        </w:rPr>
        <w:t>a</w:t>
      </w:r>
      <w:r>
        <w:rPr>
          <w:spacing w:val="-8"/>
          <w:w w:val="105"/>
          <w:sz w:val="21"/>
        </w:rPr>
        <w:t> </w:t>
      </w:r>
      <w:r>
        <w:rPr>
          <w:w w:val="105"/>
          <w:sz w:val="21"/>
        </w:rPr>
        <w:t>statutory</w:t>
      </w:r>
    </w:p>
    <w:p>
      <w:pPr>
        <w:pStyle w:val="BodyText"/>
        <w:spacing w:line="242" w:lineRule="auto" w:before="3"/>
        <w:ind w:left="2381" w:right="1573"/>
        <w:rPr>
          <w:sz w:val="12"/>
        </w:rPr>
      </w:pPr>
      <w:r>
        <w:rPr>
          <w:w w:val="105"/>
        </w:rPr>
        <w:t>tort </w:t>
      </w:r>
      <w:r>
        <w:rPr>
          <w:spacing w:val="-3"/>
          <w:w w:val="105"/>
        </w:rPr>
        <w:t>for </w:t>
      </w:r>
      <w:r>
        <w:rPr>
          <w:w w:val="105"/>
        </w:rPr>
        <w:t>community </w:t>
      </w:r>
      <w:r>
        <w:rPr>
          <w:spacing w:val="-3"/>
          <w:w w:val="105"/>
        </w:rPr>
        <w:t>disputes </w:t>
      </w:r>
      <w:r>
        <w:rPr>
          <w:w w:val="105"/>
        </w:rPr>
        <w:t>and </w:t>
      </w:r>
      <w:r>
        <w:rPr>
          <w:spacing w:val="-3"/>
          <w:w w:val="105"/>
        </w:rPr>
        <w:t>for </w:t>
      </w:r>
      <w:r>
        <w:rPr>
          <w:w w:val="105"/>
        </w:rPr>
        <w:t>the establishment of </w:t>
      </w:r>
      <w:r>
        <w:rPr>
          <w:spacing w:val="-3"/>
          <w:w w:val="105"/>
        </w:rPr>
        <w:t>Community Disputes </w:t>
      </w:r>
      <w:r>
        <w:rPr>
          <w:w w:val="105"/>
        </w:rPr>
        <w:t>Resolution </w:t>
      </w:r>
      <w:r>
        <w:rPr>
          <w:spacing w:val="-4"/>
          <w:w w:val="105"/>
        </w:rPr>
        <w:t>Tribunals </w:t>
      </w:r>
      <w:r>
        <w:rPr>
          <w:spacing w:val="-3"/>
          <w:w w:val="105"/>
        </w:rPr>
        <w:t>to </w:t>
      </w:r>
      <w:r>
        <w:rPr>
          <w:w w:val="105"/>
        </w:rPr>
        <w:t>deal with </w:t>
      </w:r>
      <w:r>
        <w:rPr>
          <w:spacing w:val="-3"/>
          <w:w w:val="105"/>
        </w:rPr>
        <w:t>such </w:t>
      </w:r>
      <w:r>
        <w:rPr>
          <w:spacing w:val="-5"/>
          <w:w w:val="105"/>
        </w:rPr>
        <w:t>disputes’.</w:t>
      </w:r>
      <w:r>
        <w:rPr>
          <w:spacing w:val="-5"/>
          <w:w w:val="105"/>
          <w:position w:val="7"/>
          <w:sz w:val="12"/>
        </w:rPr>
        <w:t>182</w:t>
      </w:r>
    </w:p>
    <w:p>
      <w:pPr>
        <w:pStyle w:val="BodyText"/>
        <w:rPr>
          <w:sz w:val="20"/>
        </w:rPr>
      </w:pPr>
    </w:p>
    <w:p>
      <w:pPr>
        <w:pStyle w:val="BodyText"/>
        <w:rPr>
          <w:sz w:val="20"/>
        </w:rPr>
      </w:pPr>
    </w:p>
    <w:p>
      <w:pPr>
        <w:pStyle w:val="BodyText"/>
        <w:spacing w:before="1"/>
        <w:rPr>
          <w:sz w:val="10"/>
        </w:rPr>
      </w:pPr>
      <w:r>
        <w:rPr/>
        <w:pict>
          <v:line style="position:absolute;mso-position-horizontal-relative:page;mso-position-vertical-relative:paragraph;z-index:6728;mso-wrap-distance-left:0;mso-wrap-distance-right:0" from="79.370003pt,8.620114pt" to="515.905003pt,8.62011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tabs>
          <w:tab w:pos="2381" w:val="left" w:leader="none"/>
        </w:tabs>
        <w:spacing w:before="48"/>
        <w:ind w:left="1587" w:right="1302" w:hanging="1"/>
        <w:jc w:val="left"/>
        <w:rPr>
          <w:sz w:val="13"/>
        </w:rPr>
      </w:pPr>
      <w:r>
        <w:rPr>
          <w:spacing w:val="-3"/>
          <w:w w:val="105"/>
          <w:sz w:val="13"/>
        </w:rPr>
        <w:t>172</w:t>
        <w:tab/>
      </w:r>
      <w:r>
        <w:rPr>
          <w:w w:val="105"/>
          <w:sz w:val="13"/>
        </w:rPr>
        <w:t>Resource Management and Planning Appeal Tribunal</w:t>
      </w:r>
      <w:r>
        <w:rPr>
          <w:i/>
          <w:w w:val="105"/>
          <w:sz w:val="13"/>
        </w:rPr>
        <w:t>, Practice Direction </w:t>
      </w:r>
      <w:r>
        <w:rPr>
          <w:i/>
          <w:spacing w:val="-3"/>
          <w:w w:val="105"/>
          <w:sz w:val="13"/>
        </w:rPr>
        <w:t>7: </w:t>
      </w:r>
      <w:r>
        <w:rPr>
          <w:i/>
          <w:w w:val="105"/>
          <w:sz w:val="13"/>
        </w:rPr>
        <w:t>Hearing Process</w:t>
      </w:r>
      <w:r>
        <w:rPr>
          <w:w w:val="105"/>
          <w:sz w:val="13"/>
        </w:rPr>
        <w:t>, </w:t>
      </w:r>
      <w:r>
        <w:rPr>
          <w:spacing w:val="-3"/>
          <w:w w:val="105"/>
          <w:sz w:val="13"/>
        </w:rPr>
        <w:t>19 </w:t>
      </w:r>
      <w:r>
        <w:rPr>
          <w:w w:val="105"/>
          <w:sz w:val="13"/>
        </w:rPr>
        <w:t>November 2018 [7.3]. </w:t>
      </w:r>
      <w:r>
        <w:rPr>
          <w:spacing w:val="-3"/>
          <w:w w:val="105"/>
          <w:sz w:val="13"/>
        </w:rPr>
        <w:t>173</w:t>
        <w:tab/>
      </w:r>
      <w:r>
        <w:rPr>
          <w:w w:val="105"/>
          <w:sz w:val="13"/>
        </w:rPr>
        <w:t>Ibid</w:t>
      </w:r>
      <w:r>
        <w:rPr>
          <w:spacing w:val="4"/>
          <w:w w:val="105"/>
          <w:sz w:val="13"/>
        </w:rPr>
        <w:t> </w:t>
      </w:r>
      <w:r>
        <w:rPr>
          <w:spacing w:val="-3"/>
          <w:w w:val="105"/>
          <w:sz w:val="13"/>
        </w:rPr>
        <w:t>[7.12].</w:t>
      </w:r>
    </w:p>
    <w:p>
      <w:pPr>
        <w:pStyle w:val="ListParagraph"/>
        <w:numPr>
          <w:ilvl w:val="0"/>
          <w:numId w:val="117"/>
        </w:numPr>
        <w:tabs>
          <w:tab w:pos="2381" w:val="left" w:leader="none"/>
          <w:tab w:pos="2382" w:val="left" w:leader="none"/>
        </w:tabs>
        <w:spacing w:line="240" w:lineRule="auto" w:before="3" w:after="0"/>
        <w:ind w:left="2381" w:right="217" w:hanging="794"/>
        <w:jc w:val="left"/>
        <w:rPr>
          <w:sz w:val="13"/>
        </w:rPr>
      </w:pPr>
      <w:r>
        <w:rPr>
          <w:i/>
          <w:w w:val="105"/>
          <w:sz w:val="13"/>
        </w:rPr>
        <w:t>Resource Management and Planning Appeal Tribunal Act 1993 </w:t>
      </w:r>
      <w:r>
        <w:rPr>
          <w:w w:val="105"/>
          <w:sz w:val="13"/>
        </w:rPr>
        <w:t>(Tas) s 24; Resource Management and Planning Appeal Tribunal, </w:t>
      </w:r>
      <w:r>
        <w:rPr>
          <w:i/>
          <w:w w:val="105"/>
          <w:sz w:val="13"/>
        </w:rPr>
        <w:t>Practice </w:t>
      </w:r>
      <w:r>
        <w:rPr>
          <w:i/>
          <w:w w:val="105"/>
          <w:sz w:val="13"/>
        </w:rPr>
        <w:t>Direction </w:t>
      </w:r>
      <w:r>
        <w:rPr>
          <w:i/>
          <w:spacing w:val="-3"/>
          <w:w w:val="105"/>
          <w:sz w:val="13"/>
        </w:rPr>
        <w:t>7: </w:t>
      </w:r>
      <w:r>
        <w:rPr>
          <w:i/>
          <w:w w:val="105"/>
          <w:sz w:val="13"/>
        </w:rPr>
        <w:t>Hearing Process, </w:t>
      </w:r>
      <w:r>
        <w:rPr>
          <w:spacing w:val="-3"/>
          <w:w w:val="105"/>
          <w:sz w:val="13"/>
        </w:rPr>
        <w:t>19 </w:t>
      </w:r>
      <w:r>
        <w:rPr>
          <w:w w:val="105"/>
          <w:sz w:val="13"/>
        </w:rPr>
        <w:t>November 2018</w:t>
      </w:r>
      <w:r>
        <w:rPr>
          <w:spacing w:val="8"/>
          <w:w w:val="105"/>
          <w:sz w:val="13"/>
        </w:rPr>
        <w:t> </w:t>
      </w:r>
      <w:r>
        <w:rPr>
          <w:spacing w:val="-3"/>
          <w:w w:val="105"/>
          <w:sz w:val="13"/>
        </w:rPr>
        <w:t>[7.13].</w:t>
      </w:r>
    </w:p>
    <w:p>
      <w:pPr>
        <w:pStyle w:val="ListParagraph"/>
        <w:numPr>
          <w:ilvl w:val="0"/>
          <w:numId w:val="117"/>
        </w:numPr>
        <w:tabs>
          <w:tab w:pos="2381" w:val="left" w:leader="none"/>
          <w:tab w:pos="2382" w:val="left" w:leader="none"/>
        </w:tabs>
        <w:spacing w:line="240" w:lineRule="auto" w:before="2" w:after="0"/>
        <w:ind w:left="2381" w:right="188" w:hanging="794"/>
        <w:jc w:val="left"/>
        <w:rPr>
          <w:sz w:val="13"/>
        </w:rPr>
      </w:pPr>
      <w:r>
        <w:rPr>
          <w:w w:val="105"/>
          <w:sz w:val="13"/>
        </w:rPr>
        <w:t>Or, if everyone agrees, up to NZ$20,000 </w:t>
      </w:r>
      <w:r>
        <w:rPr>
          <w:spacing w:val="3"/>
          <w:w w:val="105"/>
          <w:sz w:val="13"/>
        </w:rPr>
        <w:t>(NZD): </w:t>
      </w:r>
      <w:r>
        <w:rPr>
          <w:w w:val="105"/>
          <w:sz w:val="13"/>
        </w:rPr>
        <w:t>Disputes Tribunal of New Zealand, </w:t>
      </w:r>
      <w:r>
        <w:rPr>
          <w:i/>
          <w:w w:val="105"/>
          <w:sz w:val="13"/>
        </w:rPr>
        <w:t>What the Tribunal Can Help With </w:t>
      </w:r>
      <w:r>
        <w:rPr>
          <w:w w:val="105"/>
          <w:sz w:val="13"/>
        </w:rPr>
        <w:t>(Web Page, 29 June 2016)</w:t>
      </w:r>
      <w:r>
        <w:rPr>
          <w:spacing w:val="4"/>
          <w:w w:val="105"/>
          <w:sz w:val="13"/>
        </w:rPr>
        <w:t> </w:t>
      </w:r>
      <w:r>
        <w:rPr>
          <w:spacing w:val="2"/>
          <w:w w:val="105"/>
          <w:sz w:val="13"/>
        </w:rPr>
        <w:t>&lt;https://</w:t>
      </w:r>
      <w:hyperlink r:id="rId188">
        <w:r>
          <w:rPr>
            <w:spacing w:val="2"/>
            <w:w w:val="105"/>
            <w:sz w:val="13"/>
          </w:rPr>
          <w:t>www.disputestribunal.govt.nz/can-help-with/</w:t>
        </w:r>
      </w:hyperlink>
      <w:r>
        <w:rPr>
          <w:spacing w:val="2"/>
          <w:w w:val="105"/>
          <w:sz w:val="13"/>
        </w:rPr>
        <w:t>&gt;.</w:t>
      </w:r>
    </w:p>
    <w:p>
      <w:pPr>
        <w:pStyle w:val="ListParagraph"/>
        <w:numPr>
          <w:ilvl w:val="0"/>
          <w:numId w:val="117"/>
        </w:numPr>
        <w:tabs>
          <w:tab w:pos="2381" w:val="left" w:leader="none"/>
          <w:tab w:pos="2382" w:val="left" w:leader="none"/>
        </w:tabs>
        <w:spacing w:line="240" w:lineRule="auto" w:before="3" w:after="0"/>
        <w:ind w:left="2381" w:right="57" w:hanging="794"/>
        <w:jc w:val="left"/>
        <w:rPr>
          <w:sz w:val="13"/>
        </w:rPr>
      </w:pPr>
      <w:r>
        <w:rPr>
          <w:i/>
          <w:w w:val="105"/>
          <w:sz w:val="13"/>
        </w:rPr>
        <w:t>Disputes Tribunal Act 1988 </w:t>
      </w:r>
      <w:r>
        <w:rPr>
          <w:spacing w:val="3"/>
          <w:w w:val="105"/>
          <w:sz w:val="13"/>
        </w:rPr>
        <w:t>(NZ) </w:t>
      </w:r>
      <w:r>
        <w:rPr>
          <w:w w:val="105"/>
          <w:sz w:val="13"/>
        </w:rPr>
        <w:t>s </w:t>
      </w:r>
      <w:r>
        <w:rPr>
          <w:spacing w:val="2"/>
          <w:w w:val="105"/>
          <w:sz w:val="13"/>
        </w:rPr>
        <w:t>10(1)(c). </w:t>
      </w:r>
      <w:r>
        <w:rPr>
          <w:w w:val="105"/>
          <w:sz w:val="13"/>
        </w:rPr>
        <w:t>The Disputes Tribunal is less formal than a court; it encourages parties to come to an agreement and makes a decision on the dispute if the parties cannot reach agreement: Disputes Tribunal of New Zealand, </w:t>
      </w:r>
      <w:r>
        <w:rPr>
          <w:i/>
          <w:w w:val="105"/>
          <w:sz w:val="13"/>
        </w:rPr>
        <w:t>‘About the Tribunal’ </w:t>
      </w:r>
      <w:r>
        <w:rPr>
          <w:w w:val="105"/>
          <w:sz w:val="13"/>
        </w:rPr>
        <w:t>(Web Page, 2 April 2019) &lt;https://</w:t>
      </w:r>
      <w:hyperlink r:id="rId189">
        <w:r>
          <w:rPr>
            <w:w w:val="105"/>
            <w:sz w:val="13"/>
          </w:rPr>
          <w:t>www.disputestribunal.govt.nz/about-2/</w:t>
        </w:r>
      </w:hyperlink>
      <w:r>
        <w:rPr>
          <w:w w:val="105"/>
          <w:sz w:val="13"/>
        </w:rPr>
        <w:t>&gt;. If the amount claimed exceeds $15,000, an affected neighbour will usually need to make their claim in the District Court, which forms the base of New Zealand’s court hierarchy: Disputes Tribunal of New Zealand, </w:t>
      </w:r>
      <w:r>
        <w:rPr>
          <w:i/>
          <w:w w:val="105"/>
          <w:sz w:val="13"/>
        </w:rPr>
        <w:t>What the Tribunal Can Help With </w:t>
      </w:r>
      <w:r>
        <w:rPr>
          <w:w w:val="105"/>
          <w:sz w:val="13"/>
        </w:rPr>
        <w:t>(Web Page, 29 June 2016) </w:t>
      </w:r>
      <w:r>
        <w:rPr>
          <w:spacing w:val="2"/>
          <w:w w:val="105"/>
          <w:sz w:val="13"/>
        </w:rPr>
        <w:t>&lt;</w:t>
      </w:r>
      <w:hyperlink r:id="rId190">
        <w:r>
          <w:rPr>
            <w:spacing w:val="2"/>
            <w:w w:val="105"/>
            <w:sz w:val="13"/>
          </w:rPr>
          <w:t>https://www.disputestribunal.govt.nz/can-help-with/</w:t>
        </w:r>
      </w:hyperlink>
      <w:r>
        <w:rPr>
          <w:spacing w:val="2"/>
          <w:w w:val="105"/>
          <w:sz w:val="13"/>
        </w:rPr>
        <w:t>&gt;; </w:t>
      </w:r>
      <w:r>
        <w:rPr>
          <w:w w:val="105"/>
          <w:sz w:val="13"/>
        </w:rPr>
        <w:t>Courts of New Zealand, </w:t>
      </w:r>
      <w:r>
        <w:rPr>
          <w:i/>
          <w:w w:val="105"/>
          <w:sz w:val="13"/>
        </w:rPr>
        <w:t>Overview </w:t>
      </w:r>
      <w:r>
        <w:rPr>
          <w:w w:val="105"/>
          <w:sz w:val="13"/>
        </w:rPr>
        <w:t>(Web Page)</w:t>
      </w:r>
      <w:r>
        <w:rPr>
          <w:spacing w:val="13"/>
          <w:w w:val="105"/>
          <w:sz w:val="13"/>
        </w:rPr>
        <w:t> </w:t>
      </w:r>
      <w:r>
        <w:rPr>
          <w:spacing w:val="2"/>
          <w:w w:val="105"/>
          <w:sz w:val="13"/>
        </w:rPr>
        <w:t>&lt;</w:t>
      </w:r>
      <w:hyperlink r:id="rId191">
        <w:r>
          <w:rPr>
            <w:spacing w:val="2"/>
            <w:w w:val="105"/>
            <w:sz w:val="13"/>
          </w:rPr>
          <w:t>https://www.courtsofnz.govt.nz/about-the-judiciary/structure-of-the-court-system</w:t>
        </w:r>
      </w:hyperlink>
      <w:r>
        <w:rPr>
          <w:spacing w:val="2"/>
          <w:w w:val="105"/>
          <w:sz w:val="13"/>
        </w:rPr>
        <w:t>&gt;.</w:t>
      </w:r>
    </w:p>
    <w:p>
      <w:pPr>
        <w:pStyle w:val="ListParagraph"/>
        <w:numPr>
          <w:ilvl w:val="0"/>
          <w:numId w:val="117"/>
        </w:numPr>
        <w:tabs>
          <w:tab w:pos="2381" w:val="left" w:leader="none"/>
          <w:tab w:pos="2382" w:val="left" w:leader="none"/>
        </w:tabs>
        <w:spacing w:line="240" w:lineRule="auto" w:before="8" w:after="0"/>
        <w:ind w:left="2381" w:right="173" w:hanging="794"/>
        <w:jc w:val="left"/>
        <w:rPr>
          <w:sz w:val="13"/>
        </w:rPr>
      </w:pPr>
      <w:r>
        <w:rPr>
          <w:sz w:val="13"/>
        </w:rPr>
        <w:t>The </w:t>
      </w:r>
      <w:r>
        <w:rPr>
          <w:i/>
          <w:sz w:val="13"/>
        </w:rPr>
        <w:t>Disputes Tribunal Act 1988 </w:t>
      </w:r>
      <w:r>
        <w:rPr>
          <w:spacing w:val="3"/>
          <w:sz w:val="13"/>
        </w:rPr>
        <w:t>(NZ) </w:t>
      </w:r>
      <w:r>
        <w:rPr>
          <w:sz w:val="13"/>
        </w:rPr>
        <w:t>does not list the </w:t>
      </w:r>
      <w:r>
        <w:rPr>
          <w:i/>
          <w:spacing w:val="2"/>
          <w:sz w:val="13"/>
        </w:rPr>
        <w:t>Property </w:t>
      </w:r>
      <w:r>
        <w:rPr>
          <w:i/>
          <w:sz w:val="13"/>
        </w:rPr>
        <w:t>Act 2007 </w:t>
      </w:r>
      <w:r>
        <w:rPr>
          <w:spacing w:val="3"/>
          <w:sz w:val="13"/>
        </w:rPr>
        <w:t>(NZ) </w:t>
      </w:r>
      <w:r>
        <w:rPr>
          <w:sz w:val="13"/>
        </w:rPr>
        <w:t>as an enactment that confers jurisdiction to on it: see sch </w:t>
      </w:r>
      <w:r>
        <w:rPr>
          <w:spacing w:val="-3"/>
          <w:sz w:val="13"/>
        </w:rPr>
        <w:t>1,                 </w:t>
      </w:r>
      <w:r>
        <w:rPr>
          <w:spacing w:val="2"/>
          <w:sz w:val="13"/>
        </w:rPr>
        <w:t>Pt</w:t>
      </w:r>
      <w:r>
        <w:rPr>
          <w:spacing w:val="6"/>
          <w:sz w:val="13"/>
        </w:rPr>
        <w:t> </w:t>
      </w:r>
      <w:r>
        <w:rPr>
          <w:spacing w:val="-3"/>
          <w:sz w:val="13"/>
        </w:rPr>
        <w:t>1.</w:t>
      </w:r>
    </w:p>
    <w:p>
      <w:pPr>
        <w:pStyle w:val="ListParagraph"/>
        <w:numPr>
          <w:ilvl w:val="0"/>
          <w:numId w:val="117"/>
        </w:numPr>
        <w:tabs>
          <w:tab w:pos="2381" w:val="left" w:leader="none"/>
          <w:tab w:pos="2382" w:val="left" w:leader="none"/>
        </w:tabs>
        <w:spacing w:line="240" w:lineRule="auto" w:before="3" w:after="0"/>
        <w:ind w:left="2381" w:right="28" w:hanging="794"/>
        <w:jc w:val="left"/>
        <w:rPr>
          <w:sz w:val="13"/>
        </w:rPr>
      </w:pPr>
      <w:r>
        <w:rPr>
          <w:sz w:val="13"/>
        </w:rPr>
        <w:t>It also allows an affected neighbour to seek orders on the basis that a tree unduly obstructs a view, and causes undue interference with the             use</w:t>
      </w:r>
      <w:r>
        <w:rPr>
          <w:spacing w:val="17"/>
          <w:sz w:val="13"/>
        </w:rPr>
        <w:t> </w:t>
      </w:r>
      <w:r>
        <w:rPr>
          <w:sz w:val="13"/>
        </w:rPr>
        <w:t>and</w:t>
      </w:r>
      <w:r>
        <w:rPr>
          <w:spacing w:val="18"/>
          <w:sz w:val="13"/>
        </w:rPr>
        <w:t> </w:t>
      </w:r>
      <w:r>
        <w:rPr>
          <w:sz w:val="13"/>
        </w:rPr>
        <w:t>enjoyment</w:t>
      </w:r>
      <w:r>
        <w:rPr>
          <w:spacing w:val="17"/>
          <w:sz w:val="13"/>
        </w:rPr>
        <w:t> </w:t>
      </w:r>
      <w:r>
        <w:rPr>
          <w:sz w:val="13"/>
        </w:rPr>
        <w:t>of</w:t>
      </w:r>
      <w:r>
        <w:rPr>
          <w:spacing w:val="18"/>
          <w:sz w:val="13"/>
        </w:rPr>
        <w:t> </w:t>
      </w:r>
      <w:r>
        <w:rPr>
          <w:sz w:val="13"/>
        </w:rPr>
        <w:t>the</w:t>
      </w:r>
      <w:r>
        <w:rPr>
          <w:spacing w:val="17"/>
          <w:sz w:val="13"/>
        </w:rPr>
        <w:t> </w:t>
      </w:r>
      <w:r>
        <w:rPr>
          <w:sz w:val="13"/>
        </w:rPr>
        <w:t>applicant’s</w:t>
      </w:r>
      <w:r>
        <w:rPr>
          <w:spacing w:val="18"/>
          <w:sz w:val="13"/>
        </w:rPr>
        <w:t> </w:t>
      </w:r>
      <w:r>
        <w:rPr>
          <w:sz w:val="13"/>
        </w:rPr>
        <w:t>land</w:t>
      </w:r>
      <w:r>
        <w:rPr>
          <w:spacing w:val="17"/>
          <w:sz w:val="13"/>
        </w:rPr>
        <w:t> </w:t>
      </w:r>
      <w:r>
        <w:rPr>
          <w:sz w:val="13"/>
        </w:rPr>
        <w:t>due</w:t>
      </w:r>
      <w:r>
        <w:rPr>
          <w:spacing w:val="18"/>
          <w:sz w:val="13"/>
        </w:rPr>
        <w:t> </w:t>
      </w:r>
      <w:r>
        <w:rPr>
          <w:sz w:val="13"/>
        </w:rPr>
        <w:t>to</w:t>
      </w:r>
      <w:r>
        <w:rPr>
          <w:spacing w:val="17"/>
          <w:sz w:val="13"/>
        </w:rPr>
        <w:t> </w:t>
      </w:r>
      <w:r>
        <w:rPr>
          <w:sz w:val="13"/>
        </w:rPr>
        <w:t>leaf</w:t>
      </w:r>
      <w:r>
        <w:rPr>
          <w:spacing w:val="18"/>
          <w:sz w:val="13"/>
        </w:rPr>
        <w:t> </w:t>
      </w:r>
      <w:r>
        <w:rPr>
          <w:sz w:val="13"/>
        </w:rPr>
        <w:t>litter,</w:t>
      </w:r>
      <w:r>
        <w:rPr>
          <w:spacing w:val="17"/>
          <w:sz w:val="13"/>
        </w:rPr>
        <w:t> </w:t>
      </w:r>
      <w:r>
        <w:rPr>
          <w:sz w:val="13"/>
        </w:rPr>
        <w:t>overhanging</w:t>
      </w:r>
      <w:r>
        <w:rPr>
          <w:spacing w:val="18"/>
          <w:sz w:val="13"/>
        </w:rPr>
        <w:t> </w:t>
      </w:r>
      <w:r>
        <w:rPr>
          <w:sz w:val="13"/>
        </w:rPr>
        <w:t>branches</w:t>
      </w:r>
      <w:r>
        <w:rPr>
          <w:spacing w:val="17"/>
          <w:sz w:val="13"/>
        </w:rPr>
        <w:t> </w:t>
      </w:r>
      <w:r>
        <w:rPr>
          <w:sz w:val="13"/>
        </w:rPr>
        <w:t>or</w:t>
      </w:r>
      <w:r>
        <w:rPr>
          <w:spacing w:val="18"/>
          <w:sz w:val="13"/>
        </w:rPr>
        <w:t> </w:t>
      </w:r>
      <w:r>
        <w:rPr>
          <w:sz w:val="13"/>
        </w:rPr>
        <w:t>by</w:t>
      </w:r>
      <w:r>
        <w:rPr>
          <w:spacing w:val="18"/>
          <w:sz w:val="13"/>
        </w:rPr>
        <w:t> </w:t>
      </w:r>
      <w:r>
        <w:rPr>
          <w:sz w:val="13"/>
        </w:rPr>
        <w:t>blocking</w:t>
      </w:r>
      <w:r>
        <w:rPr>
          <w:spacing w:val="17"/>
          <w:sz w:val="13"/>
        </w:rPr>
        <w:t> </w:t>
      </w:r>
      <w:r>
        <w:rPr>
          <w:sz w:val="13"/>
        </w:rPr>
        <w:t>sunlight:</w:t>
      </w:r>
      <w:r>
        <w:rPr>
          <w:spacing w:val="18"/>
          <w:sz w:val="13"/>
        </w:rPr>
        <w:t> </w:t>
      </w:r>
      <w:r>
        <w:rPr>
          <w:i/>
          <w:spacing w:val="2"/>
          <w:sz w:val="13"/>
        </w:rPr>
        <w:t>Property</w:t>
      </w:r>
      <w:r>
        <w:rPr>
          <w:i/>
          <w:spacing w:val="17"/>
          <w:sz w:val="13"/>
        </w:rPr>
        <w:t> </w:t>
      </w:r>
      <w:r>
        <w:rPr>
          <w:i/>
          <w:sz w:val="13"/>
        </w:rPr>
        <w:t>Law</w:t>
      </w:r>
      <w:r>
        <w:rPr>
          <w:i/>
          <w:spacing w:val="18"/>
          <w:sz w:val="13"/>
        </w:rPr>
        <w:t> </w:t>
      </w:r>
      <w:r>
        <w:rPr>
          <w:i/>
          <w:sz w:val="13"/>
        </w:rPr>
        <w:t>Act</w:t>
      </w:r>
      <w:r>
        <w:rPr>
          <w:i/>
          <w:spacing w:val="17"/>
          <w:sz w:val="13"/>
        </w:rPr>
        <w:t> </w:t>
      </w:r>
      <w:r>
        <w:rPr>
          <w:i/>
          <w:sz w:val="13"/>
        </w:rPr>
        <w:t>2007</w:t>
      </w:r>
      <w:r>
        <w:rPr>
          <w:i/>
          <w:spacing w:val="18"/>
          <w:sz w:val="13"/>
        </w:rPr>
        <w:t> </w:t>
      </w:r>
      <w:r>
        <w:rPr>
          <w:spacing w:val="3"/>
          <w:sz w:val="13"/>
        </w:rPr>
        <w:t>(NZ)</w:t>
      </w:r>
    </w:p>
    <w:p>
      <w:pPr>
        <w:spacing w:before="2"/>
        <w:ind w:left="2381" w:right="0" w:firstLine="0"/>
        <w:jc w:val="left"/>
        <w:rPr>
          <w:sz w:val="13"/>
        </w:rPr>
      </w:pPr>
      <w:r>
        <w:rPr>
          <w:w w:val="105"/>
          <w:sz w:val="13"/>
        </w:rPr>
        <w:t>ss 334–5. However, these matters are beyond the scope of this inquiry.</w:t>
      </w:r>
    </w:p>
    <w:p>
      <w:pPr>
        <w:pStyle w:val="ListParagraph"/>
        <w:numPr>
          <w:ilvl w:val="0"/>
          <w:numId w:val="117"/>
        </w:numPr>
        <w:tabs>
          <w:tab w:pos="2381" w:val="left" w:leader="none"/>
          <w:tab w:pos="2382" w:val="left" w:leader="none"/>
        </w:tabs>
        <w:spacing w:line="240" w:lineRule="auto" w:before="2" w:after="0"/>
        <w:ind w:left="2381" w:right="486" w:hanging="794"/>
        <w:jc w:val="left"/>
        <w:rPr>
          <w:sz w:val="13"/>
        </w:rPr>
      </w:pPr>
      <w:r>
        <w:rPr>
          <w:sz w:val="13"/>
        </w:rPr>
        <w:t>A full list of actionable neighbour disputes is listed in section 4 of the </w:t>
      </w:r>
      <w:r>
        <w:rPr>
          <w:i/>
          <w:sz w:val="13"/>
        </w:rPr>
        <w:t>Community Disputes Resolution Act </w:t>
      </w:r>
      <w:r>
        <w:rPr>
          <w:sz w:val="13"/>
        </w:rPr>
        <w:t>(Singapore, </w:t>
      </w:r>
      <w:r>
        <w:rPr>
          <w:spacing w:val="-3"/>
          <w:sz w:val="13"/>
        </w:rPr>
        <w:t>2015  </w:t>
      </w:r>
      <w:r>
        <w:rPr>
          <w:sz w:val="13"/>
        </w:rPr>
        <w:t>rev </w:t>
      </w:r>
      <w:r>
        <w:rPr>
          <w:spacing w:val="2"/>
          <w:sz w:val="13"/>
        </w:rPr>
        <w:t>ed). </w:t>
      </w:r>
      <w:r>
        <w:rPr>
          <w:spacing w:val="33"/>
          <w:sz w:val="13"/>
        </w:rPr>
        <w:t> </w:t>
      </w:r>
      <w:r>
        <w:rPr>
          <w:sz w:val="13"/>
        </w:rPr>
        <w:t>Although</w:t>
      </w:r>
      <w:r>
        <w:rPr>
          <w:spacing w:val="11"/>
          <w:sz w:val="13"/>
        </w:rPr>
        <w:t> </w:t>
      </w:r>
      <w:r>
        <w:rPr>
          <w:sz w:val="13"/>
        </w:rPr>
        <w:t>tree</w:t>
      </w:r>
      <w:r>
        <w:rPr>
          <w:spacing w:val="12"/>
          <w:sz w:val="13"/>
        </w:rPr>
        <w:t> </w:t>
      </w:r>
      <w:r>
        <w:rPr>
          <w:sz w:val="13"/>
        </w:rPr>
        <w:t>disputes</w:t>
      </w:r>
      <w:r>
        <w:rPr>
          <w:spacing w:val="12"/>
          <w:sz w:val="13"/>
        </w:rPr>
        <w:t> </w:t>
      </w:r>
      <w:r>
        <w:rPr>
          <w:sz w:val="13"/>
        </w:rPr>
        <w:t>are</w:t>
      </w:r>
      <w:r>
        <w:rPr>
          <w:spacing w:val="12"/>
          <w:sz w:val="13"/>
        </w:rPr>
        <w:t> </w:t>
      </w:r>
      <w:r>
        <w:rPr>
          <w:sz w:val="13"/>
        </w:rPr>
        <w:t>not</w:t>
      </w:r>
      <w:r>
        <w:rPr>
          <w:spacing w:val="12"/>
          <w:sz w:val="13"/>
        </w:rPr>
        <w:t> </w:t>
      </w:r>
      <w:r>
        <w:rPr>
          <w:sz w:val="13"/>
        </w:rPr>
        <w:t>explicitly</w:t>
      </w:r>
      <w:r>
        <w:rPr>
          <w:spacing w:val="12"/>
          <w:sz w:val="13"/>
        </w:rPr>
        <w:t> </w:t>
      </w:r>
      <w:r>
        <w:rPr>
          <w:sz w:val="13"/>
        </w:rPr>
        <w:t>mentioned</w:t>
      </w:r>
      <w:r>
        <w:rPr>
          <w:spacing w:val="12"/>
          <w:sz w:val="13"/>
        </w:rPr>
        <w:t> </w:t>
      </w:r>
      <w:r>
        <w:rPr>
          <w:sz w:val="13"/>
        </w:rPr>
        <w:t>in</w:t>
      </w:r>
      <w:r>
        <w:rPr>
          <w:spacing w:val="12"/>
          <w:sz w:val="13"/>
        </w:rPr>
        <w:t> </w:t>
      </w:r>
      <w:r>
        <w:rPr>
          <w:sz w:val="13"/>
        </w:rPr>
        <w:t>this</w:t>
      </w:r>
      <w:r>
        <w:rPr>
          <w:spacing w:val="12"/>
          <w:sz w:val="13"/>
        </w:rPr>
        <w:t> </w:t>
      </w:r>
      <w:r>
        <w:rPr>
          <w:sz w:val="13"/>
        </w:rPr>
        <w:t>list,</w:t>
      </w:r>
      <w:r>
        <w:rPr>
          <w:spacing w:val="12"/>
          <w:sz w:val="13"/>
        </w:rPr>
        <w:t> </w:t>
      </w:r>
      <w:r>
        <w:rPr>
          <w:sz w:val="13"/>
        </w:rPr>
        <w:t>the</w:t>
      </w:r>
      <w:r>
        <w:rPr>
          <w:spacing w:val="12"/>
          <w:sz w:val="13"/>
        </w:rPr>
        <w:t> </w:t>
      </w:r>
      <w:r>
        <w:rPr>
          <w:sz w:val="13"/>
        </w:rPr>
        <w:t>Act</w:t>
      </w:r>
      <w:r>
        <w:rPr>
          <w:spacing w:val="11"/>
          <w:sz w:val="13"/>
        </w:rPr>
        <w:t> </w:t>
      </w:r>
      <w:r>
        <w:rPr>
          <w:sz w:val="13"/>
        </w:rPr>
        <w:t>states</w:t>
      </w:r>
      <w:r>
        <w:rPr>
          <w:spacing w:val="12"/>
          <w:sz w:val="13"/>
        </w:rPr>
        <w:t> </w:t>
      </w:r>
      <w:r>
        <w:rPr>
          <w:sz w:val="13"/>
        </w:rPr>
        <w:t>that</w:t>
      </w:r>
      <w:r>
        <w:rPr>
          <w:spacing w:val="12"/>
          <w:sz w:val="13"/>
        </w:rPr>
        <w:t> </w:t>
      </w:r>
      <w:r>
        <w:rPr>
          <w:sz w:val="13"/>
        </w:rPr>
        <w:t>this</w:t>
      </w:r>
      <w:r>
        <w:rPr>
          <w:spacing w:val="12"/>
          <w:sz w:val="13"/>
        </w:rPr>
        <w:t> </w:t>
      </w:r>
      <w:r>
        <w:rPr>
          <w:sz w:val="13"/>
        </w:rPr>
        <w:t>list</w:t>
      </w:r>
      <w:r>
        <w:rPr>
          <w:spacing w:val="12"/>
          <w:sz w:val="13"/>
        </w:rPr>
        <w:t> </w:t>
      </w:r>
      <w:r>
        <w:rPr>
          <w:sz w:val="13"/>
        </w:rPr>
        <w:t>is</w:t>
      </w:r>
      <w:r>
        <w:rPr>
          <w:spacing w:val="12"/>
          <w:sz w:val="13"/>
        </w:rPr>
        <w:t> </w:t>
      </w:r>
      <w:r>
        <w:rPr>
          <w:sz w:val="13"/>
        </w:rPr>
        <w:t>not</w:t>
      </w:r>
      <w:r>
        <w:rPr>
          <w:spacing w:val="12"/>
          <w:sz w:val="13"/>
        </w:rPr>
        <w:t> </w:t>
      </w:r>
      <w:r>
        <w:rPr>
          <w:sz w:val="13"/>
        </w:rPr>
        <w:t>exhaustive,</w:t>
      </w:r>
      <w:r>
        <w:rPr>
          <w:spacing w:val="12"/>
          <w:sz w:val="13"/>
        </w:rPr>
        <w:t> </w:t>
      </w:r>
      <w:r>
        <w:rPr>
          <w:sz w:val="13"/>
        </w:rPr>
        <w:t>Ibid</w:t>
      </w:r>
      <w:r>
        <w:rPr>
          <w:spacing w:val="12"/>
          <w:sz w:val="13"/>
        </w:rPr>
        <w:t> </w:t>
      </w:r>
      <w:r>
        <w:rPr>
          <w:sz w:val="13"/>
        </w:rPr>
        <w:t>s</w:t>
      </w:r>
      <w:r>
        <w:rPr>
          <w:spacing w:val="12"/>
          <w:sz w:val="13"/>
        </w:rPr>
        <w:t> </w:t>
      </w:r>
      <w:r>
        <w:rPr>
          <w:spacing w:val="3"/>
          <w:sz w:val="13"/>
        </w:rPr>
        <w:t>4(2).</w:t>
      </w:r>
    </w:p>
    <w:p>
      <w:pPr>
        <w:pStyle w:val="ListParagraph"/>
        <w:numPr>
          <w:ilvl w:val="0"/>
          <w:numId w:val="117"/>
        </w:numPr>
        <w:tabs>
          <w:tab w:pos="2381" w:val="left" w:leader="none"/>
          <w:tab w:pos="2382" w:val="left" w:leader="none"/>
        </w:tabs>
        <w:spacing w:line="240" w:lineRule="auto" w:before="2" w:after="0"/>
        <w:ind w:left="2381" w:right="0" w:hanging="794"/>
        <w:jc w:val="left"/>
        <w:rPr>
          <w:sz w:val="13"/>
        </w:rPr>
      </w:pPr>
      <w:r>
        <w:rPr>
          <w:sz w:val="13"/>
        </w:rPr>
        <w:t>Ibid s</w:t>
      </w:r>
      <w:r>
        <w:rPr>
          <w:spacing w:val="12"/>
          <w:sz w:val="13"/>
        </w:rPr>
        <w:t> </w:t>
      </w:r>
      <w:r>
        <w:rPr>
          <w:sz w:val="13"/>
        </w:rPr>
        <w:t>14.</w:t>
      </w:r>
    </w:p>
    <w:p>
      <w:pPr>
        <w:pStyle w:val="ListParagraph"/>
        <w:numPr>
          <w:ilvl w:val="0"/>
          <w:numId w:val="117"/>
        </w:numPr>
        <w:tabs>
          <w:tab w:pos="2381" w:val="left" w:leader="none"/>
          <w:tab w:pos="2382" w:val="left" w:leader="none"/>
        </w:tabs>
        <w:spacing w:line="240" w:lineRule="auto" w:before="2" w:after="0"/>
        <w:ind w:left="2381" w:right="0" w:hanging="794"/>
        <w:jc w:val="left"/>
        <w:rPr>
          <w:sz w:val="13"/>
        </w:rPr>
      </w:pPr>
      <w:r>
        <w:rPr>
          <w:w w:val="105"/>
          <w:sz w:val="13"/>
        </w:rPr>
        <w:t>Ministry</w:t>
      </w:r>
      <w:r>
        <w:rPr>
          <w:spacing w:val="11"/>
          <w:w w:val="105"/>
          <w:sz w:val="13"/>
        </w:rPr>
        <w:t> </w:t>
      </w:r>
      <w:r>
        <w:rPr>
          <w:w w:val="105"/>
          <w:sz w:val="13"/>
        </w:rPr>
        <w:t>of</w:t>
      </w:r>
      <w:r>
        <w:rPr>
          <w:spacing w:val="12"/>
          <w:w w:val="105"/>
          <w:sz w:val="13"/>
        </w:rPr>
        <w:t> </w:t>
      </w:r>
      <w:r>
        <w:rPr>
          <w:w w:val="105"/>
          <w:sz w:val="13"/>
        </w:rPr>
        <w:t>Culture,</w:t>
      </w:r>
      <w:r>
        <w:rPr>
          <w:spacing w:val="12"/>
          <w:w w:val="105"/>
          <w:sz w:val="13"/>
        </w:rPr>
        <w:t> </w:t>
      </w:r>
      <w:r>
        <w:rPr>
          <w:w w:val="105"/>
          <w:sz w:val="13"/>
        </w:rPr>
        <w:t>Community</w:t>
      </w:r>
      <w:r>
        <w:rPr>
          <w:spacing w:val="12"/>
          <w:w w:val="105"/>
          <w:sz w:val="13"/>
        </w:rPr>
        <w:t> </w:t>
      </w:r>
      <w:r>
        <w:rPr>
          <w:w w:val="105"/>
          <w:sz w:val="13"/>
        </w:rPr>
        <w:t>and</w:t>
      </w:r>
      <w:r>
        <w:rPr>
          <w:spacing w:val="12"/>
          <w:w w:val="105"/>
          <w:sz w:val="13"/>
        </w:rPr>
        <w:t> </w:t>
      </w:r>
      <w:r>
        <w:rPr>
          <w:w w:val="105"/>
          <w:sz w:val="13"/>
        </w:rPr>
        <w:t>Youth</w:t>
      </w:r>
      <w:r>
        <w:rPr>
          <w:spacing w:val="11"/>
          <w:w w:val="105"/>
          <w:sz w:val="13"/>
        </w:rPr>
        <w:t> </w:t>
      </w:r>
      <w:r>
        <w:rPr>
          <w:w w:val="105"/>
          <w:sz w:val="13"/>
        </w:rPr>
        <w:t>(Singapore),</w:t>
      </w:r>
      <w:r>
        <w:rPr>
          <w:spacing w:val="12"/>
          <w:w w:val="105"/>
          <w:sz w:val="13"/>
        </w:rPr>
        <w:t> </w:t>
      </w:r>
      <w:r>
        <w:rPr>
          <w:i/>
          <w:w w:val="105"/>
          <w:sz w:val="13"/>
        </w:rPr>
        <w:t>Community</w:t>
      </w:r>
      <w:r>
        <w:rPr>
          <w:i/>
          <w:spacing w:val="12"/>
          <w:w w:val="105"/>
          <w:sz w:val="13"/>
        </w:rPr>
        <w:t> </w:t>
      </w:r>
      <w:r>
        <w:rPr>
          <w:i/>
          <w:w w:val="105"/>
          <w:sz w:val="13"/>
        </w:rPr>
        <w:t>Dispute</w:t>
      </w:r>
      <w:r>
        <w:rPr>
          <w:i/>
          <w:spacing w:val="12"/>
          <w:w w:val="105"/>
          <w:sz w:val="13"/>
        </w:rPr>
        <w:t> </w:t>
      </w:r>
      <w:r>
        <w:rPr>
          <w:i/>
          <w:w w:val="105"/>
          <w:sz w:val="13"/>
        </w:rPr>
        <w:t>Management</w:t>
      </w:r>
      <w:r>
        <w:rPr>
          <w:i/>
          <w:spacing w:val="12"/>
          <w:w w:val="105"/>
          <w:sz w:val="13"/>
        </w:rPr>
        <w:t> </w:t>
      </w:r>
      <w:r>
        <w:rPr>
          <w:i/>
          <w:w w:val="105"/>
          <w:sz w:val="13"/>
        </w:rPr>
        <w:t>Framework</w:t>
      </w:r>
      <w:r>
        <w:rPr>
          <w:i/>
          <w:spacing w:val="12"/>
          <w:w w:val="105"/>
          <w:sz w:val="13"/>
        </w:rPr>
        <w:t> </w:t>
      </w:r>
      <w:r>
        <w:rPr>
          <w:w w:val="105"/>
          <w:sz w:val="13"/>
        </w:rPr>
        <w:t>(Web</w:t>
      </w:r>
      <w:r>
        <w:rPr>
          <w:spacing w:val="11"/>
          <w:w w:val="105"/>
          <w:sz w:val="13"/>
        </w:rPr>
        <w:t> </w:t>
      </w:r>
      <w:r>
        <w:rPr>
          <w:w w:val="105"/>
          <w:sz w:val="13"/>
        </w:rPr>
        <w:t>Page,</w:t>
      </w:r>
      <w:r>
        <w:rPr>
          <w:spacing w:val="12"/>
          <w:w w:val="105"/>
          <w:sz w:val="13"/>
        </w:rPr>
        <w:t> </w:t>
      </w:r>
      <w:r>
        <w:rPr>
          <w:spacing w:val="-3"/>
          <w:w w:val="105"/>
          <w:sz w:val="13"/>
        </w:rPr>
        <w:t>15</w:t>
      </w:r>
      <w:r>
        <w:rPr>
          <w:spacing w:val="12"/>
          <w:w w:val="105"/>
          <w:sz w:val="13"/>
        </w:rPr>
        <w:t> </w:t>
      </w:r>
      <w:r>
        <w:rPr>
          <w:w w:val="105"/>
          <w:sz w:val="13"/>
        </w:rPr>
        <w:t>February</w:t>
      </w:r>
      <w:r>
        <w:rPr>
          <w:spacing w:val="12"/>
          <w:w w:val="105"/>
          <w:sz w:val="13"/>
        </w:rPr>
        <w:t> </w:t>
      </w:r>
      <w:r>
        <w:rPr>
          <w:w w:val="105"/>
          <w:sz w:val="13"/>
        </w:rPr>
        <w:t>2019)</w:t>
      </w:r>
      <w:r>
        <w:rPr>
          <w:spacing w:val="12"/>
          <w:w w:val="105"/>
          <w:sz w:val="13"/>
        </w:rPr>
        <w:t> </w:t>
      </w:r>
      <w:r>
        <w:rPr>
          <w:w w:val="105"/>
          <w:sz w:val="13"/>
        </w:rPr>
        <w:t>MCCY</w:t>
      </w:r>
    </w:p>
    <w:p>
      <w:pPr>
        <w:spacing w:before="1"/>
        <w:ind w:left="2381" w:right="0" w:firstLine="0"/>
        <w:jc w:val="left"/>
        <w:rPr>
          <w:sz w:val="13"/>
        </w:rPr>
      </w:pPr>
      <w:r>
        <w:rPr>
          <w:sz w:val="13"/>
        </w:rPr>
        <w:t>&lt;https://</w:t>
      </w:r>
      <w:hyperlink r:id="rId192">
        <w:r>
          <w:rPr>
            <w:sz w:val="13"/>
          </w:rPr>
          <w:t>www.mccy.gov.sg/sector/initiatives/community-dispute-management-framework</w:t>
        </w:r>
      </w:hyperlink>
      <w:r>
        <w:rPr>
          <w:sz w:val="13"/>
        </w:rPr>
        <w:t>&gt;.</w:t>
      </w:r>
    </w:p>
    <w:p>
      <w:pPr>
        <w:pStyle w:val="ListParagraph"/>
        <w:numPr>
          <w:ilvl w:val="0"/>
          <w:numId w:val="117"/>
        </w:numPr>
        <w:tabs>
          <w:tab w:pos="2381" w:val="left" w:leader="none"/>
          <w:tab w:pos="2382" w:val="left" w:leader="none"/>
        </w:tabs>
        <w:spacing w:line="240" w:lineRule="auto" w:before="1" w:after="0"/>
        <w:ind w:left="2381" w:right="0" w:hanging="794"/>
        <w:jc w:val="left"/>
        <w:rPr>
          <w:sz w:val="13"/>
        </w:rPr>
      </w:pPr>
      <w:r>
        <w:rPr>
          <w:i/>
          <w:w w:val="105"/>
          <w:sz w:val="13"/>
        </w:rPr>
        <w:t>Community Disputes Resolution Act </w:t>
      </w:r>
      <w:r>
        <w:rPr>
          <w:w w:val="105"/>
          <w:sz w:val="13"/>
        </w:rPr>
        <w:t>(Singapore, </w:t>
      </w:r>
      <w:r>
        <w:rPr>
          <w:spacing w:val="-3"/>
          <w:w w:val="105"/>
          <w:sz w:val="13"/>
        </w:rPr>
        <w:t>2015 </w:t>
      </w:r>
      <w:r>
        <w:rPr>
          <w:w w:val="105"/>
          <w:sz w:val="13"/>
        </w:rPr>
        <w:t>rev</w:t>
      </w:r>
      <w:r>
        <w:rPr>
          <w:spacing w:val="6"/>
          <w:w w:val="105"/>
          <w:sz w:val="13"/>
        </w:rPr>
        <w:t> </w:t>
      </w:r>
      <w:r>
        <w:rPr>
          <w:spacing w:val="2"/>
          <w:w w:val="105"/>
          <w:sz w:val="13"/>
        </w:rPr>
        <w:t>ed).</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31"/>
        </w:rPr>
      </w:pPr>
    </w:p>
    <w:p>
      <w:pPr>
        <w:spacing w:before="1"/>
        <w:ind w:left="510" w:right="545" w:firstLine="0"/>
        <w:jc w:val="center"/>
        <w:rPr>
          <w:b/>
          <w:sz w:val="24"/>
        </w:rPr>
      </w:pPr>
      <w:r>
        <w:rPr>
          <w:b/>
          <w:color w:val="658464"/>
          <w:w w:val="110"/>
          <w:sz w:val="24"/>
        </w:rPr>
        <w:t>147</w:t>
      </w:r>
    </w:p>
    <w:p>
      <w:pPr>
        <w:spacing w:after="0"/>
        <w:jc w:val="center"/>
        <w:rPr>
          <w:sz w:val="24"/>
        </w:rPr>
        <w:sectPr>
          <w:type w:val="continuous"/>
          <w:pgSz w:w="11910" w:h="16840"/>
          <w:pgMar w:top="300" w:bottom="280" w:left="0" w:right="0"/>
          <w:cols w:num="2" w:equalWidth="0">
            <w:col w:w="10316" w:space="40"/>
            <w:col w:w="1554"/>
          </w:cols>
        </w:sectPr>
      </w:pPr>
    </w:p>
    <w:p>
      <w:pPr>
        <w:pStyle w:val="BodyText"/>
        <w:spacing w:before="3"/>
        <w:rPr>
          <w:b/>
        </w:rPr>
      </w:pPr>
    </w:p>
    <w:p>
      <w:pPr>
        <w:spacing w:before="96"/>
        <w:ind w:left="1587" w:right="0" w:firstLine="0"/>
        <w:jc w:val="left"/>
        <w:rPr>
          <w:b/>
          <w:sz w:val="28"/>
        </w:rPr>
      </w:pPr>
      <w:bookmarkStart w:name="_bookmark77" w:id="169"/>
      <w:bookmarkEnd w:id="169"/>
      <w:r>
        <w:rPr/>
      </w:r>
      <w:r>
        <w:rPr>
          <w:b/>
          <w:color w:val="658464"/>
          <w:w w:val="110"/>
          <w:sz w:val="28"/>
        </w:rPr>
        <w:t>Community responses—where should tree disputes be resolved?</w:t>
      </w:r>
    </w:p>
    <w:p>
      <w:pPr>
        <w:pStyle w:val="ListParagraph"/>
        <w:numPr>
          <w:ilvl w:val="1"/>
          <w:numId w:val="114"/>
        </w:numPr>
        <w:tabs>
          <w:tab w:pos="2381" w:val="left" w:leader="none"/>
          <w:tab w:pos="2382" w:val="left" w:leader="none"/>
        </w:tabs>
        <w:spacing w:line="242" w:lineRule="auto" w:before="155" w:after="0"/>
        <w:ind w:left="2381" w:right="1914" w:hanging="794"/>
        <w:jc w:val="left"/>
        <w:rPr>
          <w:sz w:val="21"/>
        </w:rPr>
      </w:pPr>
      <w:r>
        <w:rPr>
          <w:w w:val="105"/>
          <w:sz w:val="21"/>
        </w:rPr>
        <w:t>The</w:t>
      </w:r>
      <w:r>
        <w:rPr>
          <w:spacing w:val="-9"/>
          <w:w w:val="105"/>
          <w:sz w:val="21"/>
        </w:rPr>
        <w:t> </w:t>
      </w:r>
      <w:r>
        <w:rPr>
          <w:spacing w:val="-3"/>
          <w:w w:val="105"/>
          <w:sz w:val="21"/>
        </w:rPr>
        <w:t>consultation</w:t>
      </w:r>
      <w:r>
        <w:rPr>
          <w:spacing w:val="-9"/>
          <w:w w:val="105"/>
          <w:sz w:val="21"/>
        </w:rPr>
        <w:t> </w:t>
      </w:r>
      <w:r>
        <w:rPr>
          <w:w w:val="105"/>
          <w:sz w:val="21"/>
        </w:rPr>
        <w:t>paper</w:t>
      </w:r>
      <w:r>
        <w:rPr>
          <w:spacing w:val="-8"/>
          <w:w w:val="105"/>
          <w:sz w:val="21"/>
        </w:rPr>
        <w:t> </w:t>
      </w:r>
      <w:r>
        <w:rPr>
          <w:spacing w:val="-3"/>
          <w:w w:val="105"/>
          <w:sz w:val="21"/>
        </w:rPr>
        <w:t>asked</w:t>
      </w:r>
      <w:r>
        <w:rPr>
          <w:spacing w:val="-9"/>
          <w:w w:val="105"/>
          <w:sz w:val="21"/>
        </w:rPr>
        <w:t> </w:t>
      </w:r>
      <w:r>
        <w:rPr>
          <w:w w:val="105"/>
          <w:sz w:val="21"/>
        </w:rPr>
        <w:t>which</w:t>
      </w:r>
      <w:r>
        <w:rPr>
          <w:spacing w:val="-8"/>
          <w:w w:val="105"/>
          <w:sz w:val="21"/>
        </w:rPr>
        <w:t> </w:t>
      </w:r>
      <w:r>
        <w:rPr>
          <w:w w:val="105"/>
          <w:sz w:val="21"/>
        </w:rPr>
        <w:t>decision-making</w:t>
      </w:r>
      <w:r>
        <w:rPr>
          <w:spacing w:val="-9"/>
          <w:w w:val="105"/>
          <w:sz w:val="21"/>
        </w:rPr>
        <w:t> </w:t>
      </w:r>
      <w:r>
        <w:rPr>
          <w:spacing w:val="-3"/>
          <w:w w:val="105"/>
          <w:sz w:val="21"/>
        </w:rPr>
        <w:t>forum</w:t>
      </w:r>
      <w:r>
        <w:rPr>
          <w:spacing w:val="-8"/>
          <w:w w:val="105"/>
          <w:sz w:val="21"/>
        </w:rPr>
        <w:t> </w:t>
      </w:r>
      <w:r>
        <w:rPr>
          <w:w w:val="105"/>
          <w:sz w:val="21"/>
        </w:rPr>
        <w:t>should</w:t>
      </w:r>
      <w:r>
        <w:rPr>
          <w:spacing w:val="-9"/>
          <w:w w:val="105"/>
          <w:sz w:val="21"/>
        </w:rPr>
        <w:t> </w:t>
      </w:r>
      <w:r>
        <w:rPr>
          <w:spacing w:val="-3"/>
          <w:w w:val="105"/>
          <w:sz w:val="21"/>
        </w:rPr>
        <w:t>have</w:t>
      </w:r>
      <w:r>
        <w:rPr>
          <w:spacing w:val="-8"/>
          <w:w w:val="105"/>
          <w:sz w:val="21"/>
        </w:rPr>
        <w:t> </w:t>
      </w:r>
      <w:r>
        <w:rPr>
          <w:w w:val="105"/>
          <w:sz w:val="21"/>
        </w:rPr>
        <w:t>jurisdiction</w:t>
      </w:r>
      <w:r>
        <w:rPr>
          <w:spacing w:val="-9"/>
          <w:w w:val="105"/>
          <w:sz w:val="21"/>
        </w:rPr>
        <w:t> </w:t>
      </w:r>
      <w:r>
        <w:rPr>
          <w:spacing w:val="-3"/>
          <w:w w:val="105"/>
          <w:sz w:val="21"/>
        </w:rPr>
        <w:t>to </w:t>
      </w:r>
      <w:r>
        <w:rPr>
          <w:w w:val="105"/>
          <w:sz w:val="21"/>
        </w:rPr>
        <w:t>hear tree </w:t>
      </w:r>
      <w:r>
        <w:rPr>
          <w:spacing w:val="-3"/>
          <w:w w:val="105"/>
          <w:sz w:val="21"/>
        </w:rPr>
        <w:t>disputes </w:t>
      </w:r>
      <w:r>
        <w:rPr>
          <w:w w:val="105"/>
          <w:sz w:val="21"/>
        </w:rPr>
        <w:t>under a new</w:t>
      </w:r>
      <w:r>
        <w:rPr>
          <w:spacing w:val="31"/>
          <w:w w:val="105"/>
          <w:sz w:val="21"/>
        </w:rPr>
        <w:t> </w:t>
      </w:r>
      <w:r>
        <w:rPr>
          <w:w w:val="105"/>
          <w:sz w:val="21"/>
        </w:rPr>
        <w:t>Act.</w:t>
      </w:r>
    </w:p>
    <w:p>
      <w:pPr>
        <w:pStyle w:val="ListParagraph"/>
        <w:numPr>
          <w:ilvl w:val="1"/>
          <w:numId w:val="114"/>
        </w:numPr>
        <w:tabs>
          <w:tab w:pos="2380" w:val="left" w:leader="none"/>
          <w:tab w:pos="2381" w:val="left" w:leader="none"/>
        </w:tabs>
        <w:spacing w:line="242" w:lineRule="auto" w:before="122" w:after="0"/>
        <w:ind w:left="2381" w:right="1891" w:hanging="794"/>
        <w:jc w:val="left"/>
        <w:rPr>
          <w:sz w:val="21"/>
        </w:rPr>
      </w:pPr>
      <w:r>
        <w:rPr>
          <w:spacing w:val="-3"/>
          <w:sz w:val="21"/>
        </w:rPr>
        <w:t>Community </w:t>
      </w:r>
      <w:r>
        <w:rPr>
          <w:sz w:val="21"/>
        </w:rPr>
        <w:t>members and stakeholders </w:t>
      </w:r>
      <w:r>
        <w:rPr>
          <w:spacing w:val="-3"/>
          <w:sz w:val="21"/>
        </w:rPr>
        <w:t>were invited to take </w:t>
      </w:r>
      <w:r>
        <w:rPr>
          <w:spacing w:val="-4"/>
          <w:sz w:val="21"/>
        </w:rPr>
        <w:t>into </w:t>
      </w:r>
      <w:r>
        <w:rPr>
          <w:spacing w:val="-3"/>
          <w:sz w:val="21"/>
        </w:rPr>
        <w:t>account </w:t>
      </w:r>
      <w:r>
        <w:rPr>
          <w:sz w:val="21"/>
        </w:rPr>
        <w:t>the </w:t>
      </w:r>
      <w:r>
        <w:rPr>
          <w:spacing w:val="-3"/>
          <w:sz w:val="21"/>
        </w:rPr>
        <w:t>following </w:t>
      </w:r>
      <w:r>
        <w:rPr>
          <w:sz w:val="21"/>
        </w:rPr>
        <w:t>factors in their</w:t>
      </w:r>
      <w:r>
        <w:rPr>
          <w:spacing w:val="24"/>
          <w:sz w:val="21"/>
        </w:rPr>
        <w:t> </w:t>
      </w:r>
      <w:r>
        <w:rPr>
          <w:sz w:val="21"/>
        </w:rPr>
        <w:t>responses:</w:t>
      </w:r>
    </w:p>
    <w:p>
      <w:pPr>
        <w:pStyle w:val="ListParagraph"/>
        <w:numPr>
          <w:ilvl w:val="2"/>
          <w:numId w:val="114"/>
        </w:numPr>
        <w:tabs>
          <w:tab w:pos="2721" w:val="left" w:leader="none"/>
          <w:tab w:pos="2722" w:val="left" w:leader="none"/>
        </w:tabs>
        <w:spacing w:line="240" w:lineRule="auto" w:before="122" w:after="0"/>
        <w:ind w:left="2721" w:right="0" w:hanging="340"/>
        <w:jc w:val="left"/>
        <w:rPr>
          <w:sz w:val="21"/>
        </w:rPr>
      </w:pPr>
      <w:r>
        <w:rPr>
          <w:sz w:val="21"/>
        </w:rPr>
        <w:t>cost</w:t>
      </w:r>
    </w:p>
    <w:p>
      <w:pPr>
        <w:pStyle w:val="ListParagraph"/>
        <w:numPr>
          <w:ilvl w:val="2"/>
          <w:numId w:val="114"/>
        </w:numPr>
        <w:tabs>
          <w:tab w:pos="2721" w:val="left" w:leader="none"/>
          <w:tab w:pos="2722" w:val="left" w:leader="none"/>
        </w:tabs>
        <w:spacing w:line="240" w:lineRule="auto" w:before="89" w:after="0"/>
        <w:ind w:left="2721" w:right="0" w:hanging="340"/>
        <w:jc w:val="left"/>
        <w:rPr>
          <w:sz w:val="21"/>
        </w:rPr>
      </w:pPr>
      <w:r>
        <w:rPr>
          <w:spacing w:val="-3"/>
          <w:sz w:val="21"/>
        </w:rPr>
        <w:t>formality</w:t>
      </w:r>
    </w:p>
    <w:p>
      <w:pPr>
        <w:pStyle w:val="ListParagraph"/>
        <w:numPr>
          <w:ilvl w:val="2"/>
          <w:numId w:val="114"/>
        </w:numPr>
        <w:tabs>
          <w:tab w:pos="2721" w:val="left" w:leader="none"/>
          <w:tab w:pos="2722" w:val="left" w:leader="none"/>
        </w:tabs>
        <w:spacing w:line="240" w:lineRule="auto" w:before="89" w:after="0"/>
        <w:ind w:left="2721" w:right="0" w:hanging="340"/>
        <w:jc w:val="left"/>
        <w:rPr>
          <w:sz w:val="21"/>
        </w:rPr>
      </w:pPr>
      <w:r>
        <w:rPr>
          <w:w w:val="105"/>
          <w:sz w:val="21"/>
        </w:rPr>
        <w:t>the capacity of parties </w:t>
      </w:r>
      <w:r>
        <w:rPr>
          <w:spacing w:val="-3"/>
          <w:w w:val="105"/>
          <w:sz w:val="21"/>
        </w:rPr>
        <w:t>to </w:t>
      </w:r>
      <w:r>
        <w:rPr>
          <w:w w:val="105"/>
          <w:sz w:val="21"/>
        </w:rPr>
        <w:t>participate in </w:t>
      </w:r>
      <w:r>
        <w:rPr>
          <w:spacing w:val="-3"/>
          <w:w w:val="105"/>
          <w:sz w:val="21"/>
        </w:rPr>
        <w:t>proceedings </w:t>
      </w:r>
      <w:r>
        <w:rPr>
          <w:w w:val="105"/>
          <w:sz w:val="21"/>
        </w:rPr>
        <w:t>and </w:t>
      </w:r>
      <w:r>
        <w:rPr>
          <w:spacing w:val="-3"/>
          <w:w w:val="105"/>
          <w:sz w:val="21"/>
        </w:rPr>
        <w:t>represent</w:t>
      </w:r>
      <w:r>
        <w:rPr>
          <w:spacing w:val="23"/>
          <w:w w:val="105"/>
          <w:sz w:val="21"/>
        </w:rPr>
        <w:t> </w:t>
      </w:r>
      <w:r>
        <w:rPr>
          <w:w w:val="105"/>
          <w:sz w:val="21"/>
        </w:rPr>
        <w:t>themselves</w:t>
      </w:r>
    </w:p>
    <w:p>
      <w:pPr>
        <w:pStyle w:val="ListParagraph"/>
        <w:numPr>
          <w:ilvl w:val="2"/>
          <w:numId w:val="114"/>
        </w:numPr>
        <w:tabs>
          <w:tab w:pos="2721" w:val="left" w:leader="none"/>
          <w:tab w:pos="2722" w:val="left" w:leader="none"/>
        </w:tabs>
        <w:spacing w:line="240" w:lineRule="auto" w:before="88" w:after="0"/>
        <w:ind w:left="2721" w:right="0" w:hanging="340"/>
        <w:jc w:val="left"/>
        <w:rPr>
          <w:sz w:val="21"/>
        </w:rPr>
      </w:pPr>
      <w:r>
        <w:rPr>
          <w:sz w:val="21"/>
        </w:rPr>
        <w:t>expertise of the decision</w:t>
      </w:r>
      <w:r>
        <w:rPr>
          <w:spacing w:val="33"/>
          <w:sz w:val="21"/>
        </w:rPr>
        <w:t> </w:t>
      </w:r>
      <w:r>
        <w:rPr>
          <w:spacing w:val="-3"/>
          <w:sz w:val="21"/>
        </w:rPr>
        <w:t>makers</w:t>
      </w:r>
    </w:p>
    <w:p>
      <w:pPr>
        <w:pStyle w:val="ListParagraph"/>
        <w:numPr>
          <w:ilvl w:val="2"/>
          <w:numId w:val="114"/>
        </w:numPr>
        <w:tabs>
          <w:tab w:pos="2721" w:val="left" w:leader="none"/>
          <w:tab w:pos="2722" w:val="left" w:leader="none"/>
        </w:tabs>
        <w:spacing w:line="240" w:lineRule="auto" w:before="89" w:after="0"/>
        <w:ind w:left="2721" w:right="0" w:hanging="340"/>
        <w:jc w:val="left"/>
        <w:rPr>
          <w:sz w:val="21"/>
        </w:rPr>
      </w:pPr>
      <w:r>
        <w:rPr>
          <w:w w:val="105"/>
          <w:sz w:val="21"/>
        </w:rPr>
        <w:t>powers</w:t>
      </w:r>
      <w:r>
        <w:rPr>
          <w:spacing w:val="-12"/>
          <w:w w:val="105"/>
          <w:sz w:val="21"/>
        </w:rPr>
        <w:t> </w:t>
      </w:r>
      <w:r>
        <w:rPr>
          <w:w w:val="105"/>
          <w:sz w:val="21"/>
        </w:rPr>
        <w:t>of</w:t>
      </w:r>
      <w:r>
        <w:rPr>
          <w:spacing w:val="-12"/>
          <w:w w:val="105"/>
          <w:sz w:val="21"/>
        </w:rPr>
        <w:t> </w:t>
      </w:r>
      <w:r>
        <w:rPr>
          <w:w w:val="105"/>
          <w:sz w:val="21"/>
        </w:rPr>
        <w:t>the</w:t>
      </w:r>
      <w:r>
        <w:rPr>
          <w:spacing w:val="-11"/>
          <w:w w:val="105"/>
          <w:sz w:val="21"/>
        </w:rPr>
        <w:t> </w:t>
      </w:r>
      <w:r>
        <w:rPr>
          <w:w w:val="105"/>
          <w:sz w:val="21"/>
        </w:rPr>
        <w:t>decision</w:t>
      </w:r>
      <w:r>
        <w:rPr>
          <w:spacing w:val="-12"/>
          <w:w w:val="105"/>
          <w:sz w:val="21"/>
        </w:rPr>
        <w:t> </w:t>
      </w:r>
      <w:r>
        <w:rPr>
          <w:spacing w:val="-3"/>
          <w:w w:val="105"/>
          <w:sz w:val="21"/>
        </w:rPr>
        <w:t>makers</w:t>
      </w:r>
    </w:p>
    <w:p>
      <w:pPr>
        <w:pStyle w:val="ListParagraph"/>
        <w:numPr>
          <w:ilvl w:val="2"/>
          <w:numId w:val="114"/>
        </w:numPr>
        <w:tabs>
          <w:tab w:pos="2721" w:val="left" w:leader="none"/>
          <w:tab w:pos="2722" w:val="left" w:leader="none"/>
        </w:tabs>
        <w:spacing w:line="240" w:lineRule="auto" w:before="89" w:after="0"/>
        <w:ind w:left="2721" w:right="0" w:hanging="340"/>
        <w:jc w:val="left"/>
        <w:rPr>
          <w:sz w:val="21"/>
        </w:rPr>
      </w:pPr>
      <w:r>
        <w:rPr>
          <w:spacing w:val="-3"/>
          <w:sz w:val="21"/>
        </w:rPr>
        <w:t>resources  </w:t>
      </w:r>
      <w:r>
        <w:rPr>
          <w:sz w:val="21"/>
        </w:rPr>
        <w:t>of the</w:t>
      </w:r>
      <w:r>
        <w:rPr>
          <w:spacing w:val="5"/>
          <w:sz w:val="21"/>
        </w:rPr>
        <w:t> </w:t>
      </w:r>
      <w:r>
        <w:rPr>
          <w:sz w:val="21"/>
        </w:rPr>
        <w:t>court/tribunal</w:t>
      </w:r>
    </w:p>
    <w:p>
      <w:pPr>
        <w:pStyle w:val="ListParagraph"/>
        <w:numPr>
          <w:ilvl w:val="2"/>
          <w:numId w:val="114"/>
        </w:numPr>
        <w:tabs>
          <w:tab w:pos="2721" w:val="left" w:leader="none"/>
          <w:tab w:pos="2722" w:val="left" w:leader="none"/>
        </w:tabs>
        <w:spacing w:line="240" w:lineRule="auto" w:before="88" w:after="0"/>
        <w:ind w:left="2721" w:right="0" w:hanging="340"/>
        <w:jc w:val="left"/>
        <w:rPr>
          <w:sz w:val="21"/>
        </w:rPr>
      </w:pPr>
      <w:r>
        <w:rPr>
          <w:sz w:val="21"/>
        </w:rPr>
        <w:t>location of the</w:t>
      </w:r>
      <w:r>
        <w:rPr>
          <w:spacing w:val="24"/>
          <w:sz w:val="21"/>
        </w:rPr>
        <w:t> </w:t>
      </w:r>
      <w:r>
        <w:rPr>
          <w:sz w:val="21"/>
        </w:rPr>
        <w:t>court/tribunal.</w:t>
      </w:r>
    </w:p>
    <w:p>
      <w:pPr>
        <w:pStyle w:val="Heading7"/>
        <w:spacing w:before="119"/>
      </w:pPr>
      <w:r>
        <w:rPr>
          <w:w w:val="115"/>
        </w:rPr>
        <w:t>Community support for VCAT</w:t>
      </w:r>
    </w:p>
    <w:p>
      <w:pPr>
        <w:pStyle w:val="ListParagraph"/>
        <w:numPr>
          <w:ilvl w:val="1"/>
          <w:numId w:val="114"/>
        </w:numPr>
        <w:tabs>
          <w:tab w:pos="2381" w:val="left" w:leader="none"/>
          <w:tab w:pos="2382" w:val="left" w:leader="none"/>
        </w:tabs>
        <w:spacing w:line="240" w:lineRule="auto" w:before="143" w:after="0"/>
        <w:ind w:left="2381" w:right="0" w:hanging="794"/>
        <w:jc w:val="left"/>
        <w:rPr>
          <w:sz w:val="12"/>
        </w:rPr>
      </w:pPr>
      <w:r>
        <w:rPr>
          <w:w w:val="105"/>
          <w:sz w:val="21"/>
        </w:rPr>
        <w:t>Most responses on this issue </w:t>
      </w:r>
      <w:r>
        <w:rPr>
          <w:spacing w:val="-3"/>
          <w:w w:val="105"/>
          <w:sz w:val="21"/>
        </w:rPr>
        <w:t>were </w:t>
      </w:r>
      <w:r>
        <w:rPr>
          <w:w w:val="105"/>
          <w:sz w:val="21"/>
        </w:rPr>
        <w:t>in </w:t>
      </w:r>
      <w:r>
        <w:rPr>
          <w:spacing w:val="-3"/>
          <w:w w:val="105"/>
          <w:sz w:val="21"/>
        </w:rPr>
        <w:t>favour </w:t>
      </w:r>
      <w:r>
        <w:rPr>
          <w:w w:val="105"/>
          <w:sz w:val="21"/>
        </w:rPr>
        <w:t>of </w:t>
      </w:r>
      <w:r>
        <w:rPr>
          <w:spacing w:val="-5"/>
          <w:w w:val="105"/>
          <w:sz w:val="21"/>
        </w:rPr>
        <w:t>VCAT </w:t>
      </w:r>
      <w:r>
        <w:rPr>
          <w:spacing w:val="-3"/>
          <w:w w:val="105"/>
          <w:sz w:val="21"/>
        </w:rPr>
        <w:t>hearing</w:t>
      </w:r>
      <w:r>
        <w:rPr>
          <w:spacing w:val="9"/>
          <w:w w:val="105"/>
          <w:sz w:val="21"/>
        </w:rPr>
        <w:t> </w:t>
      </w:r>
      <w:r>
        <w:rPr>
          <w:w w:val="105"/>
          <w:sz w:val="21"/>
        </w:rPr>
        <w:t>tree </w:t>
      </w:r>
      <w:r>
        <w:rPr>
          <w:spacing w:val="-4"/>
          <w:w w:val="105"/>
          <w:sz w:val="21"/>
        </w:rPr>
        <w:t>disputes.</w:t>
      </w:r>
      <w:r>
        <w:rPr>
          <w:spacing w:val="-4"/>
          <w:w w:val="105"/>
          <w:position w:val="7"/>
          <w:sz w:val="12"/>
        </w:rPr>
        <w:t>183</w:t>
      </w:r>
    </w:p>
    <w:p>
      <w:pPr>
        <w:pStyle w:val="ListParagraph"/>
        <w:numPr>
          <w:ilvl w:val="1"/>
          <w:numId w:val="114"/>
        </w:numPr>
        <w:tabs>
          <w:tab w:pos="2381" w:val="left" w:leader="none"/>
          <w:tab w:pos="2382" w:val="left" w:leader="none"/>
        </w:tabs>
        <w:spacing w:line="242" w:lineRule="auto" w:before="124" w:after="0"/>
        <w:ind w:left="2381" w:right="1665" w:hanging="794"/>
        <w:jc w:val="left"/>
        <w:rPr>
          <w:sz w:val="12"/>
        </w:rPr>
      </w:pPr>
      <w:r>
        <w:rPr>
          <w:w w:val="105"/>
          <w:sz w:val="21"/>
        </w:rPr>
        <w:t>Some</w:t>
      </w:r>
      <w:r>
        <w:rPr>
          <w:spacing w:val="-5"/>
          <w:w w:val="105"/>
          <w:sz w:val="21"/>
        </w:rPr>
        <w:t> </w:t>
      </w:r>
      <w:r>
        <w:rPr>
          <w:w w:val="105"/>
          <w:sz w:val="21"/>
        </w:rPr>
        <w:t>community</w:t>
      </w:r>
      <w:r>
        <w:rPr>
          <w:spacing w:val="-4"/>
          <w:w w:val="105"/>
          <w:sz w:val="21"/>
        </w:rPr>
        <w:t> </w:t>
      </w:r>
      <w:r>
        <w:rPr>
          <w:w w:val="105"/>
          <w:sz w:val="21"/>
        </w:rPr>
        <w:t>members</w:t>
      </w:r>
      <w:r>
        <w:rPr>
          <w:spacing w:val="-5"/>
          <w:w w:val="105"/>
          <w:sz w:val="21"/>
        </w:rPr>
        <w:t> </w:t>
      </w:r>
      <w:r>
        <w:rPr>
          <w:w w:val="105"/>
          <w:sz w:val="21"/>
        </w:rPr>
        <w:t>explained</w:t>
      </w:r>
      <w:r>
        <w:rPr>
          <w:spacing w:val="-4"/>
          <w:w w:val="105"/>
          <w:sz w:val="21"/>
        </w:rPr>
        <w:t> </w:t>
      </w:r>
      <w:r>
        <w:rPr>
          <w:spacing w:val="-3"/>
          <w:w w:val="105"/>
          <w:sz w:val="21"/>
        </w:rPr>
        <w:t>that</w:t>
      </w:r>
      <w:r>
        <w:rPr>
          <w:spacing w:val="-5"/>
          <w:w w:val="105"/>
          <w:sz w:val="21"/>
        </w:rPr>
        <w:t> </w:t>
      </w:r>
      <w:r>
        <w:rPr>
          <w:w w:val="105"/>
          <w:sz w:val="21"/>
        </w:rPr>
        <w:t>they</w:t>
      </w:r>
      <w:r>
        <w:rPr>
          <w:spacing w:val="-4"/>
          <w:w w:val="105"/>
          <w:sz w:val="21"/>
        </w:rPr>
        <w:t> </w:t>
      </w:r>
      <w:r>
        <w:rPr>
          <w:spacing w:val="-3"/>
          <w:w w:val="105"/>
          <w:sz w:val="21"/>
        </w:rPr>
        <w:t>considered</w:t>
      </w:r>
      <w:r>
        <w:rPr>
          <w:spacing w:val="-5"/>
          <w:w w:val="105"/>
          <w:sz w:val="21"/>
        </w:rPr>
        <w:t> VCAT</w:t>
      </w:r>
      <w:r>
        <w:rPr>
          <w:spacing w:val="-4"/>
          <w:w w:val="105"/>
          <w:sz w:val="21"/>
        </w:rPr>
        <w:t> </w:t>
      </w:r>
      <w:r>
        <w:rPr>
          <w:spacing w:val="-3"/>
          <w:w w:val="105"/>
          <w:sz w:val="21"/>
        </w:rPr>
        <w:t>to</w:t>
      </w:r>
      <w:r>
        <w:rPr>
          <w:spacing w:val="-5"/>
          <w:w w:val="105"/>
          <w:sz w:val="21"/>
        </w:rPr>
        <w:t> </w:t>
      </w:r>
      <w:r>
        <w:rPr>
          <w:w w:val="105"/>
          <w:sz w:val="21"/>
        </w:rPr>
        <w:t>be</w:t>
      </w:r>
      <w:r>
        <w:rPr>
          <w:spacing w:val="-4"/>
          <w:w w:val="105"/>
          <w:sz w:val="21"/>
        </w:rPr>
        <w:t> </w:t>
      </w:r>
      <w:r>
        <w:rPr>
          <w:w w:val="105"/>
          <w:sz w:val="21"/>
        </w:rPr>
        <w:t>less</w:t>
      </w:r>
      <w:r>
        <w:rPr>
          <w:spacing w:val="-5"/>
          <w:w w:val="105"/>
          <w:sz w:val="21"/>
        </w:rPr>
        <w:t> </w:t>
      </w:r>
      <w:r>
        <w:rPr>
          <w:spacing w:val="-3"/>
          <w:w w:val="105"/>
          <w:sz w:val="21"/>
        </w:rPr>
        <w:t>formal</w:t>
      </w:r>
      <w:r>
        <w:rPr>
          <w:spacing w:val="-4"/>
          <w:w w:val="105"/>
          <w:sz w:val="21"/>
        </w:rPr>
        <w:t> </w:t>
      </w:r>
      <w:r>
        <w:rPr>
          <w:spacing w:val="-3"/>
          <w:w w:val="105"/>
          <w:sz w:val="21"/>
        </w:rPr>
        <w:t>than</w:t>
      </w:r>
      <w:r>
        <w:rPr>
          <w:spacing w:val="-4"/>
          <w:w w:val="105"/>
          <w:sz w:val="21"/>
        </w:rPr>
        <w:t> </w:t>
      </w:r>
      <w:r>
        <w:rPr>
          <w:w w:val="105"/>
          <w:sz w:val="21"/>
        </w:rPr>
        <w:t>a court and </w:t>
      </w:r>
      <w:r>
        <w:rPr>
          <w:spacing w:val="-3"/>
          <w:w w:val="105"/>
          <w:sz w:val="21"/>
        </w:rPr>
        <w:t>that </w:t>
      </w:r>
      <w:r>
        <w:rPr>
          <w:w w:val="105"/>
          <w:sz w:val="21"/>
        </w:rPr>
        <w:t>it </w:t>
      </w:r>
      <w:r>
        <w:rPr>
          <w:spacing w:val="-2"/>
          <w:w w:val="105"/>
          <w:sz w:val="21"/>
        </w:rPr>
        <w:t>had </w:t>
      </w:r>
      <w:r>
        <w:rPr>
          <w:w w:val="105"/>
          <w:sz w:val="21"/>
        </w:rPr>
        <w:t>the advantages of </w:t>
      </w:r>
      <w:r>
        <w:rPr>
          <w:spacing w:val="-2"/>
          <w:w w:val="105"/>
          <w:sz w:val="21"/>
        </w:rPr>
        <w:t>easier </w:t>
      </w:r>
      <w:r>
        <w:rPr>
          <w:w w:val="105"/>
          <w:sz w:val="21"/>
        </w:rPr>
        <w:t>processes </w:t>
      </w:r>
      <w:r>
        <w:rPr>
          <w:spacing w:val="-3"/>
          <w:w w:val="105"/>
          <w:sz w:val="21"/>
        </w:rPr>
        <w:t>to </w:t>
      </w:r>
      <w:r>
        <w:rPr>
          <w:spacing w:val="-4"/>
          <w:w w:val="105"/>
          <w:sz w:val="21"/>
        </w:rPr>
        <w:t>navigate, </w:t>
      </w:r>
      <w:r>
        <w:rPr>
          <w:w w:val="105"/>
          <w:sz w:val="21"/>
        </w:rPr>
        <w:t>and </w:t>
      </w:r>
      <w:r>
        <w:rPr>
          <w:spacing w:val="-3"/>
          <w:w w:val="105"/>
          <w:sz w:val="21"/>
        </w:rPr>
        <w:t>faster </w:t>
      </w:r>
      <w:r>
        <w:rPr>
          <w:w w:val="105"/>
          <w:sz w:val="21"/>
        </w:rPr>
        <w:t>decision </w:t>
      </w:r>
      <w:r>
        <w:rPr>
          <w:spacing w:val="-4"/>
          <w:w w:val="105"/>
          <w:sz w:val="21"/>
        </w:rPr>
        <w:t>making.</w:t>
      </w:r>
      <w:r>
        <w:rPr>
          <w:spacing w:val="-4"/>
          <w:w w:val="105"/>
          <w:position w:val="7"/>
          <w:sz w:val="12"/>
        </w:rPr>
        <w:t>184 </w:t>
      </w:r>
      <w:r>
        <w:rPr>
          <w:w w:val="105"/>
          <w:sz w:val="21"/>
        </w:rPr>
        <w:t>Arborist Ben </w:t>
      </w:r>
      <w:r>
        <w:rPr>
          <w:spacing w:val="-3"/>
          <w:w w:val="105"/>
          <w:sz w:val="21"/>
        </w:rPr>
        <w:t>Kenyon </w:t>
      </w:r>
      <w:r>
        <w:rPr>
          <w:w w:val="105"/>
          <w:sz w:val="21"/>
        </w:rPr>
        <w:t>described </w:t>
      </w:r>
      <w:r>
        <w:rPr>
          <w:spacing w:val="-5"/>
          <w:w w:val="105"/>
          <w:sz w:val="21"/>
        </w:rPr>
        <w:t>VCAT </w:t>
      </w:r>
      <w:r>
        <w:rPr>
          <w:w w:val="105"/>
          <w:sz w:val="21"/>
        </w:rPr>
        <w:t>as </w:t>
      </w:r>
      <w:r>
        <w:rPr>
          <w:spacing w:val="-3"/>
          <w:w w:val="105"/>
          <w:sz w:val="21"/>
        </w:rPr>
        <w:t>having </w:t>
      </w:r>
      <w:r>
        <w:rPr>
          <w:w w:val="105"/>
          <w:sz w:val="21"/>
        </w:rPr>
        <w:t>a </w:t>
      </w:r>
      <w:r>
        <w:rPr>
          <w:spacing w:val="-4"/>
          <w:w w:val="105"/>
          <w:sz w:val="21"/>
        </w:rPr>
        <w:t>‘round </w:t>
      </w:r>
      <w:r>
        <w:rPr>
          <w:w w:val="105"/>
          <w:sz w:val="21"/>
        </w:rPr>
        <w:t>table </w:t>
      </w:r>
      <w:r>
        <w:rPr>
          <w:spacing w:val="-6"/>
          <w:w w:val="105"/>
          <w:sz w:val="21"/>
        </w:rPr>
        <w:t>feel’.</w:t>
      </w:r>
      <w:r>
        <w:rPr>
          <w:spacing w:val="-6"/>
          <w:w w:val="105"/>
          <w:position w:val="7"/>
          <w:sz w:val="12"/>
        </w:rPr>
        <w:t>185 </w:t>
      </w:r>
      <w:r>
        <w:rPr>
          <w:w w:val="105"/>
          <w:sz w:val="21"/>
        </w:rPr>
        <w:t>One person </w:t>
      </w:r>
      <w:r>
        <w:rPr>
          <w:spacing w:val="-3"/>
          <w:w w:val="105"/>
          <w:sz w:val="21"/>
        </w:rPr>
        <w:t>noted that </w:t>
      </w:r>
      <w:r>
        <w:rPr>
          <w:spacing w:val="-5"/>
          <w:w w:val="105"/>
          <w:sz w:val="21"/>
        </w:rPr>
        <w:t>VCAT </w:t>
      </w:r>
      <w:r>
        <w:rPr>
          <w:w w:val="105"/>
          <w:sz w:val="21"/>
        </w:rPr>
        <w:t>was less</w:t>
      </w:r>
      <w:r>
        <w:rPr>
          <w:spacing w:val="43"/>
          <w:w w:val="105"/>
          <w:sz w:val="21"/>
        </w:rPr>
        <w:t> </w:t>
      </w:r>
      <w:r>
        <w:rPr>
          <w:spacing w:val="-5"/>
          <w:w w:val="105"/>
          <w:sz w:val="21"/>
        </w:rPr>
        <w:t>costly.</w:t>
      </w:r>
      <w:r>
        <w:rPr>
          <w:spacing w:val="-5"/>
          <w:w w:val="105"/>
          <w:position w:val="7"/>
          <w:sz w:val="12"/>
        </w:rPr>
        <w:t>186</w:t>
      </w:r>
    </w:p>
    <w:p>
      <w:pPr>
        <w:pStyle w:val="ListParagraph"/>
        <w:numPr>
          <w:ilvl w:val="1"/>
          <w:numId w:val="114"/>
        </w:numPr>
        <w:tabs>
          <w:tab w:pos="2381" w:val="left" w:leader="none"/>
          <w:tab w:pos="2382" w:val="left" w:leader="none"/>
        </w:tabs>
        <w:spacing w:line="242" w:lineRule="auto" w:before="124" w:after="0"/>
        <w:ind w:left="2381" w:right="1585" w:hanging="794"/>
        <w:jc w:val="left"/>
        <w:rPr>
          <w:sz w:val="12"/>
        </w:rPr>
      </w:pPr>
      <w:r>
        <w:rPr>
          <w:w w:val="105"/>
          <w:sz w:val="21"/>
        </w:rPr>
        <w:t>The </w:t>
      </w:r>
      <w:r>
        <w:rPr>
          <w:spacing w:val="-3"/>
          <w:w w:val="105"/>
          <w:sz w:val="21"/>
        </w:rPr>
        <w:t>City </w:t>
      </w:r>
      <w:r>
        <w:rPr>
          <w:w w:val="105"/>
          <w:sz w:val="21"/>
        </w:rPr>
        <w:t>of Port </w:t>
      </w:r>
      <w:r>
        <w:rPr>
          <w:spacing w:val="-3"/>
          <w:w w:val="105"/>
          <w:sz w:val="21"/>
        </w:rPr>
        <w:t>Phillip </w:t>
      </w:r>
      <w:r>
        <w:rPr>
          <w:w w:val="105"/>
          <w:sz w:val="21"/>
        </w:rPr>
        <w:t>explained </w:t>
      </w:r>
      <w:r>
        <w:rPr>
          <w:spacing w:val="-3"/>
          <w:w w:val="105"/>
          <w:sz w:val="21"/>
        </w:rPr>
        <w:t>that </w:t>
      </w:r>
      <w:r>
        <w:rPr>
          <w:spacing w:val="-5"/>
          <w:w w:val="105"/>
          <w:sz w:val="21"/>
        </w:rPr>
        <w:t>VCAT </w:t>
      </w:r>
      <w:r>
        <w:rPr>
          <w:spacing w:val="-3"/>
          <w:w w:val="105"/>
          <w:sz w:val="21"/>
        </w:rPr>
        <w:t>regularly makes </w:t>
      </w:r>
      <w:r>
        <w:rPr>
          <w:w w:val="105"/>
          <w:sz w:val="21"/>
        </w:rPr>
        <w:t>decisions </w:t>
      </w:r>
      <w:r>
        <w:rPr>
          <w:spacing w:val="-3"/>
          <w:w w:val="105"/>
          <w:sz w:val="21"/>
        </w:rPr>
        <w:t>concerning </w:t>
      </w:r>
      <w:r>
        <w:rPr>
          <w:w w:val="105"/>
          <w:sz w:val="21"/>
        </w:rPr>
        <w:t>vegetation in its </w:t>
      </w:r>
      <w:r>
        <w:rPr>
          <w:spacing w:val="-3"/>
          <w:w w:val="105"/>
          <w:sz w:val="21"/>
        </w:rPr>
        <w:t>Planning </w:t>
      </w:r>
      <w:r>
        <w:rPr>
          <w:w w:val="105"/>
          <w:sz w:val="21"/>
        </w:rPr>
        <w:t>and </w:t>
      </w:r>
      <w:r>
        <w:rPr>
          <w:spacing w:val="-3"/>
          <w:w w:val="105"/>
          <w:sz w:val="21"/>
        </w:rPr>
        <w:t>Environment </w:t>
      </w:r>
      <w:r>
        <w:rPr>
          <w:w w:val="105"/>
          <w:sz w:val="21"/>
        </w:rPr>
        <w:t>List. Port </w:t>
      </w:r>
      <w:r>
        <w:rPr>
          <w:spacing w:val="-3"/>
          <w:w w:val="105"/>
          <w:sz w:val="21"/>
        </w:rPr>
        <w:t>Phillip noted that </w:t>
      </w:r>
      <w:r>
        <w:rPr>
          <w:w w:val="105"/>
          <w:sz w:val="21"/>
        </w:rPr>
        <w:t>vegetation and other</w:t>
      </w:r>
      <w:r>
        <w:rPr>
          <w:spacing w:val="-12"/>
          <w:w w:val="105"/>
          <w:sz w:val="21"/>
        </w:rPr>
        <w:t> </w:t>
      </w:r>
      <w:r>
        <w:rPr>
          <w:spacing w:val="-3"/>
          <w:w w:val="105"/>
          <w:sz w:val="21"/>
        </w:rPr>
        <w:t>environmental</w:t>
      </w:r>
      <w:r>
        <w:rPr>
          <w:spacing w:val="-11"/>
          <w:w w:val="105"/>
          <w:sz w:val="21"/>
        </w:rPr>
        <w:t> </w:t>
      </w:r>
      <w:r>
        <w:rPr>
          <w:w w:val="105"/>
          <w:sz w:val="21"/>
        </w:rPr>
        <w:t>matters</w:t>
      </w:r>
      <w:r>
        <w:rPr>
          <w:spacing w:val="-11"/>
          <w:w w:val="105"/>
          <w:sz w:val="21"/>
        </w:rPr>
        <w:t> </w:t>
      </w:r>
      <w:r>
        <w:rPr>
          <w:spacing w:val="-3"/>
          <w:w w:val="105"/>
          <w:sz w:val="21"/>
        </w:rPr>
        <w:t>form</w:t>
      </w:r>
      <w:r>
        <w:rPr>
          <w:spacing w:val="-11"/>
          <w:w w:val="105"/>
          <w:sz w:val="21"/>
        </w:rPr>
        <w:t> </w:t>
      </w:r>
      <w:r>
        <w:rPr>
          <w:w w:val="105"/>
          <w:sz w:val="21"/>
        </w:rPr>
        <w:t>an</w:t>
      </w:r>
      <w:r>
        <w:rPr>
          <w:spacing w:val="-11"/>
          <w:w w:val="105"/>
          <w:sz w:val="21"/>
        </w:rPr>
        <w:t> </w:t>
      </w:r>
      <w:r>
        <w:rPr>
          <w:spacing w:val="-3"/>
          <w:w w:val="105"/>
          <w:sz w:val="21"/>
        </w:rPr>
        <w:t>integral</w:t>
      </w:r>
      <w:r>
        <w:rPr>
          <w:spacing w:val="-11"/>
          <w:w w:val="105"/>
          <w:sz w:val="21"/>
        </w:rPr>
        <w:t> </w:t>
      </w:r>
      <w:r>
        <w:rPr>
          <w:w w:val="105"/>
          <w:sz w:val="21"/>
        </w:rPr>
        <w:t>part</w:t>
      </w:r>
      <w:r>
        <w:rPr>
          <w:spacing w:val="-11"/>
          <w:w w:val="105"/>
          <w:sz w:val="21"/>
        </w:rPr>
        <w:t> </w:t>
      </w:r>
      <w:r>
        <w:rPr>
          <w:w w:val="105"/>
          <w:sz w:val="21"/>
        </w:rPr>
        <w:t>of</w:t>
      </w:r>
      <w:r>
        <w:rPr>
          <w:spacing w:val="-11"/>
          <w:w w:val="105"/>
          <w:sz w:val="21"/>
        </w:rPr>
        <w:t> </w:t>
      </w:r>
      <w:r>
        <w:rPr>
          <w:w w:val="105"/>
          <w:sz w:val="21"/>
        </w:rPr>
        <w:t>permit</w:t>
      </w:r>
      <w:r>
        <w:rPr>
          <w:spacing w:val="-11"/>
          <w:w w:val="105"/>
          <w:sz w:val="21"/>
        </w:rPr>
        <w:t> </w:t>
      </w:r>
      <w:r>
        <w:rPr>
          <w:spacing w:val="-3"/>
          <w:w w:val="105"/>
          <w:sz w:val="21"/>
        </w:rPr>
        <w:t>applications</w:t>
      </w:r>
      <w:r>
        <w:rPr>
          <w:spacing w:val="-11"/>
          <w:w w:val="105"/>
          <w:sz w:val="21"/>
        </w:rPr>
        <w:t> </w:t>
      </w:r>
      <w:r>
        <w:rPr>
          <w:spacing w:val="-3"/>
          <w:w w:val="105"/>
          <w:sz w:val="21"/>
        </w:rPr>
        <w:t>for</w:t>
      </w:r>
      <w:r>
        <w:rPr>
          <w:spacing w:val="-11"/>
          <w:w w:val="105"/>
          <w:sz w:val="21"/>
        </w:rPr>
        <w:t> </w:t>
      </w:r>
      <w:r>
        <w:rPr>
          <w:w w:val="105"/>
          <w:sz w:val="21"/>
        </w:rPr>
        <w:t>development, and it would </w:t>
      </w:r>
      <w:r>
        <w:rPr>
          <w:spacing w:val="-4"/>
          <w:w w:val="105"/>
          <w:sz w:val="21"/>
        </w:rPr>
        <w:t>make </w:t>
      </w:r>
      <w:r>
        <w:rPr>
          <w:w w:val="105"/>
          <w:sz w:val="21"/>
        </w:rPr>
        <w:t>sense </w:t>
      </w:r>
      <w:r>
        <w:rPr>
          <w:spacing w:val="-3"/>
          <w:w w:val="105"/>
          <w:sz w:val="21"/>
        </w:rPr>
        <w:t>for </w:t>
      </w:r>
      <w:r>
        <w:rPr>
          <w:w w:val="105"/>
          <w:sz w:val="21"/>
        </w:rPr>
        <w:t>tree </w:t>
      </w:r>
      <w:r>
        <w:rPr>
          <w:spacing w:val="-3"/>
          <w:w w:val="105"/>
          <w:sz w:val="21"/>
        </w:rPr>
        <w:t>disputes concerning similar </w:t>
      </w:r>
      <w:r>
        <w:rPr>
          <w:w w:val="105"/>
          <w:sz w:val="21"/>
        </w:rPr>
        <w:t>matters </w:t>
      </w:r>
      <w:r>
        <w:rPr>
          <w:spacing w:val="-3"/>
          <w:w w:val="105"/>
          <w:sz w:val="21"/>
        </w:rPr>
        <w:t>to </w:t>
      </w:r>
      <w:r>
        <w:rPr>
          <w:w w:val="105"/>
          <w:sz w:val="21"/>
        </w:rPr>
        <w:t>be </w:t>
      </w:r>
      <w:r>
        <w:rPr>
          <w:spacing w:val="-3"/>
          <w:w w:val="105"/>
          <w:sz w:val="21"/>
        </w:rPr>
        <w:t>heard </w:t>
      </w:r>
      <w:r>
        <w:rPr>
          <w:w w:val="105"/>
          <w:sz w:val="21"/>
        </w:rPr>
        <w:t>by the same decision-making </w:t>
      </w:r>
      <w:r>
        <w:rPr>
          <w:spacing w:val="-5"/>
          <w:w w:val="105"/>
          <w:sz w:val="21"/>
        </w:rPr>
        <w:t>body.</w:t>
      </w:r>
      <w:r>
        <w:rPr>
          <w:spacing w:val="-5"/>
          <w:w w:val="105"/>
          <w:position w:val="7"/>
          <w:sz w:val="12"/>
        </w:rPr>
        <w:t>187 </w:t>
      </w:r>
      <w:r>
        <w:rPr>
          <w:w w:val="105"/>
          <w:sz w:val="21"/>
        </w:rPr>
        <w:t>On the other </w:t>
      </w:r>
      <w:r>
        <w:rPr>
          <w:spacing w:val="-3"/>
          <w:w w:val="105"/>
          <w:sz w:val="21"/>
        </w:rPr>
        <w:t>hand, </w:t>
      </w:r>
      <w:r>
        <w:rPr>
          <w:w w:val="105"/>
          <w:sz w:val="21"/>
        </w:rPr>
        <w:t>Dr Gregory Moore OAM stated </w:t>
      </w:r>
      <w:r>
        <w:rPr>
          <w:spacing w:val="-3"/>
          <w:w w:val="105"/>
          <w:sz w:val="21"/>
        </w:rPr>
        <w:t>that </w:t>
      </w:r>
      <w:r>
        <w:rPr>
          <w:spacing w:val="-6"/>
          <w:w w:val="105"/>
          <w:sz w:val="21"/>
        </w:rPr>
        <w:t>VCAT’s </w:t>
      </w:r>
      <w:r>
        <w:rPr>
          <w:spacing w:val="-3"/>
          <w:w w:val="105"/>
          <w:sz w:val="21"/>
        </w:rPr>
        <w:t>current </w:t>
      </w:r>
      <w:r>
        <w:rPr>
          <w:w w:val="105"/>
          <w:sz w:val="21"/>
        </w:rPr>
        <w:t>processes and </w:t>
      </w:r>
      <w:r>
        <w:rPr>
          <w:spacing w:val="-3"/>
          <w:w w:val="105"/>
          <w:sz w:val="21"/>
        </w:rPr>
        <w:t>procedures </w:t>
      </w:r>
      <w:r>
        <w:rPr>
          <w:w w:val="105"/>
          <w:sz w:val="21"/>
        </w:rPr>
        <w:t>in matters </w:t>
      </w:r>
      <w:r>
        <w:rPr>
          <w:spacing w:val="-3"/>
          <w:w w:val="105"/>
          <w:sz w:val="21"/>
        </w:rPr>
        <w:t>involving </w:t>
      </w:r>
      <w:r>
        <w:rPr>
          <w:w w:val="105"/>
          <w:sz w:val="21"/>
        </w:rPr>
        <w:t>vegetation can </w:t>
      </w:r>
      <w:r>
        <w:rPr>
          <w:spacing w:val="-3"/>
          <w:w w:val="105"/>
          <w:sz w:val="21"/>
        </w:rPr>
        <w:t>result </w:t>
      </w:r>
      <w:r>
        <w:rPr>
          <w:w w:val="105"/>
          <w:sz w:val="21"/>
        </w:rPr>
        <w:t>in </w:t>
      </w:r>
      <w:r>
        <w:rPr>
          <w:spacing w:val="-3"/>
          <w:w w:val="105"/>
          <w:sz w:val="21"/>
        </w:rPr>
        <w:t>outcomes that disregard </w:t>
      </w:r>
      <w:r>
        <w:rPr>
          <w:w w:val="105"/>
          <w:sz w:val="21"/>
        </w:rPr>
        <w:t>or overlook the merits of the</w:t>
      </w:r>
      <w:r>
        <w:rPr>
          <w:spacing w:val="41"/>
          <w:w w:val="105"/>
          <w:sz w:val="21"/>
        </w:rPr>
        <w:t> </w:t>
      </w:r>
      <w:r>
        <w:rPr>
          <w:spacing w:val="-5"/>
          <w:w w:val="105"/>
          <w:sz w:val="21"/>
        </w:rPr>
        <w:t>tree.</w:t>
      </w:r>
      <w:r>
        <w:rPr>
          <w:spacing w:val="-5"/>
          <w:w w:val="105"/>
          <w:position w:val="7"/>
          <w:sz w:val="12"/>
        </w:rPr>
        <w:t>188</w:t>
      </w:r>
    </w:p>
    <w:p>
      <w:pPr>
        <w:pStyle w:val="ListParagraph"/>
        <w:numPr>
          <w:ilvl w:val="1"/>
          <w:numId w:val="114"/>
        </w:numPr>
        <w:tabs>
          <w:tab w:pos="2381" w:val="left" w:leader="none"/>
          <w:tab w:pos="2382" w:val="left" w:leader="none"/>
        </w:tabs>
        <w:spacing w:line="242" w:lineRule="auto" w:before="128" w:after="0"/>
        <w:ind w:left="2381" w:right="1622" w:hanging="794"/>
        <w:jc w:val="left"/>
        <w:rPr>
          <w:sz w:val="12"/>
        </w:rPr>
      </w:pPr>
      <w:r>
        <w:rPr>
          <w:spacing w:val="-5"/>
          <w:sz w:val="21"/>
        </w:rPr>
        <w:t>VCAT  </w:t>
      </w:r>
      <w:r>
        <w:rPr>
          <w:sz w:val="21"/>
        </w:rPr>
        <w:t>proposed </w:t>
      </w:r>
      <w:r>
        <w:rPr>
          <w:spacing w:val="-3"/>
          <w:sz w:val="21"/>
        </w:rPr>
        <w:t>that  </w:t>
      </w:r>
      <w:r>
        <w:rPr>
          <w:sz w:val="21"/>
        </w:rPr>
        <w:t>it would be the most suitable jurisdiction </w:t>
      </w:r>
      <w:r>
        <w:rPr>
          <w:spacing w:val="-3"/>
          <w:sz w:val="21"/>
        </w:rPr>
        <w:t>to</w:t>
      </w:r>
      <w:r>
        <w:rPr>
          <w:spacing w:val="41"/>
          <w:sz w:val="21"/>
        </w:rPr>
        <w:t> </w:t>
      </w:r>
      <w:r>
        <w:rPr>
          <w:spacing w:val="-3"/>
          <w:sz w:val="21"/>
        </w:rPr>
        <w:t>administer  </w:t>
      </w:r>
      <w:r>
        <w:rPr>
          <w:sz w:val="21"/>
        </w:rPr>
        <w:t>the new Act.   It suggested </w:t>
      </w:r>
      <w:r>
        <w:rPr>
          <w:spacing w:val="-3"/>
          <w:sz w:val="21"/>
        </w:rPr>
        <w:t>that </w:t>
      </w:r>
      <w:r>
        <w:rPr>
          <w:sz w:val="21"/>
        </w:rPr>
        <w:t>tree </w:t>
      </w:r>
      <w:r>
        <w:rPr>
          <w:spacing w:val="-3"/>
          <w:sz w:val="21"/>
        </w:rPr>
        <w:t>disputes </w:t>
      </w:r>
      <w:r>
        <w:rPr>
          <w:sz w:val="21"/>
        </w:rPr>
        <w:t>should be resolved at the lowest </w:t>
      </w:r>
      <w:r>
        <w:rPr>
          <w:spacing w:val="-3"/>
          <w:sz w:val="21"/>
        </w:rPr>
        <w:t>judicial  </w:t>
      </w:r>
      <w:r>
        <w:rPr>
          <w:sz w:val="21"/>
        </w:rPr>
        <w:t>level </w:t>
      </w:r>
      <w:r>
        <w:rPr>
          <w:spacing w:val="-3"/>
          <w:sz w:val="21"/>
        </w:rPr>
        <w:t>possible,</w:t>
      </w:r>
      <w:r>
        <w:rPr>
          <w:spacing w:val="41"/>
          <w:sz w:val="21"/>
        </w:rPr>
        <w:t> </w:t>
      </w:r>
      <w:r>
        <w:rPr>
          <w:spacing w:val="-3"/>
          <w:sz w:val="21"/>
        </w:rPr>
        <w:t>involve informal processes</w:t>
      </w:r>
      <w:r>
        <w:rPr>
          <w:spacing w:val="-3"/>
          <w:position w:val="7"/>
          <w:sz w:val="12"/>
        </w:rPr>
        <w:t>189 </w:t>
      </w:r>
      <w:r>
        <w:rPr>
          <w:sz w:val="21"/>
        </w:rPr>
        <w:t>and low costs. </w:t>
      </w:r>
      <w:r>
        <w:rPr>
          <w:spacing w:val="-5"/>
          <w:sz w:val="21"/>
        </w:rPr>
        <w:t>VCAT </w:t>
      </w:r>
      <w:r>
        <w:rPr>
          <w:spacing w:val="-3"/>
          <w:sz w:val="21"/>
        </w:rPr>
        <w:t>highlighted </w:t>
      </w:r>
      <w:r>
        <w:rPr>
          <w:sz w:val="21"/>
        </w:rPr>
        <w:t>its flexible processes and </w:t>
      </w:r>
      <w:r>
        <w:rPr>
          <w:spacing w:val="-3"/>
          <w:sz w:val="21"/>
        </w:rPr>
        <w:t>willingness to </w:t>
      </w:r>
      <w:r>
        <w:rPr>
          <w:sz w:val="21"/>
        </w:rPr>
        <w:t>be more experimental </w:t>
      </w:r>
      <w:r>
        <w:rPr>
          <w:spacing w:val="-3"/>
          <w:sz w:val="21"/>
        </w:rPr>
        <w:t>than </w:t>
      </w:r>
      <w:r>
        <w:rPr>
          <w:sz w:val="21"/>
        </w:rPr>
        <w:t>the courts. For </w:t>
      </w:r>
      <w:r>
        <w:rPr>
          <w:spacing w:val="-3"/>
          <w:sz w:val="21"/>
        </w:rPr>
        <w:t>example, </w:t>
      </w:r>
      <w:r>
        <w:rPr>
          <w:sz w:val="21"/>
        </w:rPr>
        <w:t>directions </w:t>
      </w:r>
      <w:r>
        <w:rPr>
          <w:spacing w:val="-3"/>
          <w:sz w:val="21"/>
        </w:rPr>
        <w:t>hearings  </w:t>
      </w:r>
      <w:r>
        <w:rPr>
          <w:sz w:val="21"/>
        </w:rPr>
        <w:t>can  be held over the phone and parties can be sent documents without the need </w:t>
      </w:r>
      <w:r>
        <w:rPr>
          <w:spacing w:val="-3"/>
          <w:sz w:val="21"/>
        </w:rPr>
        <w:t>to </w:t>
      </w:r>
      <w:r>
        <w:rPr>
          <w:sz w:val="21"/>
        </w:rPr>
        <w:t>respond unless they object. </w:t>
      </w:r>
      <w:r>
        <w:rPr>
          <w:spacing w:val="-5"/>
          <w:sz w:val="21"/>
        </w:rPr>
        <w:t>VCAT </w:t>
      </w:r>
      <w:r>
        <w:rPr>
          <w:sz w:val="21"/>
        </w:rPr>
        <w:t>is also reluctant </w:t>
      </w:r>
      <w:r>
        <w:rPr>
          <w:spacing w:val="-3"/>
          <w:sz w:val="21"/>
        </w:rPr>
        <w:t>to </w:t>
      </w:r>
      <w:r>
        <w:rPr>
          <w:spacing w:val="-4"/>
          <w:sz w:val="21"/>
        </w:rPr>
        <w:t>make </w:t>
      </w:r>
      <w:r>
        <w:rPr>
          <w:sz w:val="21"/>
        </w:rPr>
        <w:t>parties attend the </w:t>
      </w:r>
      <w:r>
        <w:rPr>
          <w:spacing w:val="-5"/>
          <w:sz w:val="21"/>
        </w:rPr>
        <w:t>Tribunal </w:t>
      </w:r>
      <w:r>
        <w:rPr>
          <w:sz w:val="21"/>
        </w:rPr>
        <w:t>more </w:t>
      </w:r>
      <w:r>
        <w:rPr>
          <w:spacing w:val="-3"/>
          <w:sz w:val="21"/>
        </w:rPr>
        <w:t>than </w:t>
      </w:r>
      <w:r>
        <w:rPr>
          <w:sz w:val="21"/>
        </w:rPr>
        <w:t>necessary because of the associated costs, </w:t>
      </w:r>
      <w:r>
        <w:rPr>
          <w:spacing w:val="-3"/>
          <w:sz w:val="21"/>
        </w:rPr>
        <w:t>such </w:t>
      </w:r>
      <w:r>
        <w:rPr>
          <w:sz w:val="21"/>
        </w:rPr>
        <w:t>as loss of</w:t>
      </w:r>
      <w:r>
        <w:rPr>
          <w:spacing w:val="20"/>
          <w:sz w:val="21"/>
        </w:rPr>
        <w:t> </w:t>
      </w:r>
      <w:r>
        <w:rPr>
          <w:spacing w:val="-5"/>
          <w:sz w:val="21"/>
        </w:rPr>
        <w:t>income.</w:t>
      </w:r>
      <w:r>
        <w:rPr>
          <w:spacing w:val="-5"/>
          <w:position w:val="7"/>
          <w:sz w:val="12"/>
        </w:rPr>
        <w:t>190</w:t>
      </w:r>
    </w:p>
    <w:p>
      <w:pPr>
        <w:pStyle w:val="ListParagraph"/>
        <w:numPr>
          <w:ilvl w:val="1"/>
          <w:numId w:val="114"/>
        </w:numPr>
        <w:tabs>
          <w:tab w:pos="2380" w:val="left" w:leader="none"/>
          <w:tab w:pos="2381" w:val="left" w:leader="none"/>
        </w:tabs>
        <w:spacing w:line="242" w:lineRule="auto" w:before="127" w:after="0"/>
        <w:ind w:left="2381" w:right="1987" w:hanging="794"/>
        <w:jc w:val="left"/>
        <w:rPr>
          <w:sz w:val="12"/>
        </w:rPr>
      </w:pPr>
      <w:r>
        <w:rPr>
          <w:spacing w:val="-5"/>
          <w:sz w:val="21"/>
        </w:rPr>
        <w:t>VCAT </w:t>
      </w:r>
      <w:r>
        <w:rPr>
          <w:spacing w:val="-3"/>
          <w:sz w:val="21"/>
        </w:rPr>
        <w:t>indicated that </w:t>
      </w:r>
      <w:r>
        <w:rPr>
          <w:sz w:val="21"/>
        </w:rPr>
        <w:t>tree </w:t>
      </w:r>
      <w:r>
        <w:rPr>
          <w:spacing w:val="-3"/>
          <w:sz w:val="21"/>
        </w:rPr>
        <w:t>disputes may  </w:t>
      </w:r>
      <w:r>
        <w:rPr>
          <w:sz w:val="21"/>
        </w:rPr>
        <w:t>be best </w:t>
      </w:r>
      <w:r>
        <w:rPr>
          <w:spacing w:val="-3"/>
          <w:sz w:val="21"/>
        </w:rPr>
        <w:t>determined</w:t>
      </w:r>
      <w:r>
        <w:rPr>
          <w:spacing w:val="41"/>
          <w:sz w:val="21"/>
        </w:rPr>
        <w:t> </w:t>
      </w:r>
      <w:r>
        <w:rPr>
          <w:sz w:val="21"/>
        </w:rPr>
        <w:t>in the </w:t>
      </w:r>
      <w:r>
        <w:rPr>
          <w:spacing w:val="-3"/>
          <w:sz w:val="21"/>
        </w:rPr>
        <w:t>Civil  </w:t>
      </w:r>
      <w:r>
        <w:rPr>
          <w:sz w:val="21"/>
        </w:rPr>
        <w:t>Division. In </w:t>
      </w:r>
      <w:r>
        <w:rPr>
          <w:spacing w:val="-3"/>
          <w:sz w:val="21"/>
        </w:rPr>
        <w:t>that </w:t>
      </w:r>
      <w:r>
        <w:rPr>
          <w:sz w:val="21"/>
        </w:rPr>
        <w:t>list members </w:t>
      </w:r>
      <w:r>
        <w:rPr>
          <w:spacing w:val="-3"/>
          <w:sz w:val="21"/>
        </w:rPr>
        <w:t>already </w:t>
      </w:r>
      <w:r>
        <w:rPr>
          <w:sz w:val="21"/>
        </w:rPr>
        <w:t>deal with civil </w:t>
      </w:r>
      <w:r>
        <w:rPr>
          <w:spacing w:val="-3"/>
          <w:sz w:val="21"/>
        </w:rPr>
        <w:t>disputes </w:t>
      </w:r>
      <w:r>
        <w:rPr>
          <w:sz w:val="21"/>
        </w:rPr>
        <w:t>between parties </w:t>
      </w:r>
      <w:r>
        <w:rPr>
          <w:spacing w:val="-3"/>
          <w:sz w:val="21"/>
        </w:rPr>
        <w:t>and, </w:t>
      </w:r>
      <w:r>
        <w:rPr>
          <w:sz w:val="21"/>
        </w:rPr>
        <w:t>if needed, can be supported by the expertise of </w:t>
      </w:r>
      <w:r>
        <w:rPr>
          <w:spacing w:val="-3"/>
          <w:sz w:val="21"/>
        </w:rPr>
        <w:t>planning </w:t>
      </w:r>
      <w:r>
        <w:rPr>
          <w:sz w:val="21"/>
        </w:rPr>
        <w:t>and </w:t>
      </w:r>
      <w:r>
        <w:rPr>
          <w:spacing w:val="-3"/>
          <w:sz w:val="21"/>
        </w:rPr>
        <w:t>environment </w:t>
      </w:r>
      <w:r>
        <w:rPr>
          <w:sz w:val="21"/>
        </w:rPr>
        <w:t>members. </w:t>
      </w:r>
      <w:r>
        <w:rPr>
          <w:spacing w:val="-5"/>
          <w:sz w:val="21"/>
        </w:rPr>
        <w:t>VCAT </w:t>
      </w:r>
      <w:r>
        <w:rPr>
          <w:sz w:val="21"/>
        </w:rPr>
        <w:t>also stated  </w:t>
      </w:r>
      <w:r>
        <w:rPr>
          <w:spacing w:val="-3"/>
          <w:sz w:val="21"/>
        </w:rPr>
        <w:t>that </w:t>
      </w:r>
      <w:r>
        <w:rPr>
          <w:sz w:val="21"/>
        </w:rPr>
        <w:t>tree </w:t>
      </w:r>
      <w:r>
        <w:rPr>
          <w:spacing w:val="-3"/>
          <w:sz w:val="21"/>
        </w:rPr>
        <w:t>disputes involving </w:t>
      </w:r>
      <w:r>
        <w:rPr>
          <w:sz w:val="21"/>
        </w:rPr>
        <w:t>damage </w:t>
      </w:r>
      <w:r>
        <w:rPr>
          <w:spacing w:val="-3"/>
          <w:sz w:val="21"/>
        </w:rPr>
        <w:t>to </w:t>
      </w:r>
      <w:r>
        <w:rPr>
          <w:sz w:val="21"/>
        </w:rPr>
        <w:t>property </w:t>
      </w:r>
      <w:r>
        <w:rPr>
          <w:spacing w:val="-3"/>
          <w:sz w:val="21"/>
        </w:rPr>
        <w:t>could </w:t>
      </w:r>
      <w:r>
        <w:rPr>
          <w:sz w:val="21"/>
        </w:rPr>
        <w:t>be </w:t>
      </w:r>
      <w:r>
        <w:rPr>
          <w:spacing w:val="-3"/>
          <w:sz w:val="21"/>
        </w:rPr>
        <w:t>heard </w:t>
      </w:r>
      <w:r>
        <w:rPr>
          <w:sz w:val="21"/>
        </w:rPr>
        <w:t>in the </w:t>
      </w:r>
      <w:r>
        <w:rPr>
          <w:spacing w:val="-3"/>
          <w:sz w:val="21"/>
        </w:rPr>
        <w:t>Building </w:t>
      </w:r>
      <w:r>
        <w:rPr>
          <w:sz w:val="21"/>
        </w:rPr>
        <w:t>and Property</w:t>
      </w:r>
      <w:r>
        <w:rPr>
          <w:spacing w:val="8"/>
          <w:sz w:val="21"/>
        </w:rPr>
        <w:t> </w:t>
      </w:r>
      <w:r>
        <w:rPr>
          <w:spacing w:val="-5"/>
          <w:sz w:val="21"/>
        </w:rPr>
        <w:t>List.</w:t>
      </w:r>
      <w:r>
        <w:rPr>
          <w:spacing w:val="-5"/>
          <w:position w:val="7"/>
          <w:sz w:val="12"/>
        </w:rPr>
        <w:t>191</w:t>
      </w:r>
    </w:p>
    <w:p>
      <w:pPr>
        <w:pStyle w:val="BodyText"/>
        <w:rPr>
          <w:sz w:val="20"/>
        </w:rPr>
      </w:pPr>
    </w:p>
    <w:p>
      <w:pPr>
        <w:pStyle w:val="BodyText"/>
        <w:rPr>
          <w:sz w:val="20"/>
        </w:rPr>
      </w:pPr>
    </w:p>
    <w:p>
      <w:pPr>
        <w:pStyle w:val="BodyText"/>
        <w:spacing w:before="1"/>
      </w:pPr>
      <w:r>
        <w:rPr/>
        <w:pict>
          <v:line style="position:absolute;mso-position-horizontal-relative:page;mso-position-vertical-relative:paragraph;z-index:6752;mso-wrap-distance-left:0;mso-wrap-distance-right:0" from="79.370102pt,15.359585pt" to="515.905102pt,15.35958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40"/>
        </w:rPr>
      </w:pPr>
    </w:p>
    <w:p>
      <w:pPr>
        <w:spacing w:before="0"/>
        <w:ind w:left="720" w:right="0" w:firstLine="0"/>
        <w:jc w:val="left"/>
        <w:rPr>
          <w:b/>
          <w:sz w:val="24"/>
        </w:rPr>
      </w:pPr>
      <w:r>
        <w:rPr>
          <w:b/>
          <w:color w:val="658464"/>
          <w:spacing w:val="-2"/>
          <w:w w:val="110"/>
          <w:sz w:val="24"/>
        </w:rPr>
        <w:t>148</w:t>
      </w:r>
    </w:p>
    <w:p>
      <w:pPr>
        <w:pStyle w:val="ListParagraph"/>
        <w:numPr>
          <w:ilvl w:val="0"/>
          <w:numId w:val="117"/>
        </w:numPr>
        <w:tabs>
          <w:tab w:pos="1224" w:val="left" w:leader="none"/>
          <w:tab w:pos="1225" w:val="left" w:leader="none"/>
        </w:tabs>
        <w:spacing w:line="240" w:lineRule="auto" w:before="48" w:after="0"/>
        <w:ind w:left="1224" w:right="1896" w:hanging="793"/>
        <w:jc w:val="left"/>
        <w:rPr>
          <w:sz w:val="13"/>
        </w:rPr>
      </w:pPr>
      <w:r>
        <w:rPr>
          <w:w w:val="108"/>
          <w:sz w:val="13"/>
        </w:rPr>
        <w:br w:type="column"/>
      </w:r>
      <w:r>
        <w:rPr>
          <w:w w:val="105"/>
          <w:sz w:val="13"/>
        </w:rPr>
        <w:t>Submissions 7 </w:t>
      </w:r>
      <w:r>
        <w:rPr>
          <w:spacing w:val="2"/>
          <w:w w:val="105"/>
          <w:sz w:val="13"/>
        </w:rPr>
        <w:t>(Ben </w:t>
      </w:r>
      <w:r>
        <w:rPr>
          <w:w w:val="105"/>
          <w:sz w:val="13"/>
        </w:rPr>
        <w:t>Kenyon), </w:t>
      </w:r>
      <w:r>
        <w:rPr>
          <w:spacing w:val="-6"/>
          <w:w w:val="105"/>
          <w:sz w:val="13"/>
        </w:rPr>
        <w:t>11 </w:t>
      </w:r>
      <w:r>
        <w:rPr>
          <w:spacing w:val="2"/>
          <w:w w:val="105"/>
          <w:sz w:val="13"/>
        </w:rPr>
        <w:t>(Name </w:t>
      </w:r>
      <w:r>
        <w:rPr>
          <w:w w:val="105"/>
          <w:sz w:val="13"/>
        </w:rPr>
        <w:t>withheld), 23 </w:t>
      </w:r>
      <w:r>
        <w:rPr>
          <w:spacing w:val="2"/>
          <w:w w:val="105"/>
          <w:sz w:val="13"/>
        </w:rPr>
        <w:t>(Name </w:t>
      </w:r>
      <w:r>
        <w:rPr>
          <w:w w:val="105"/>
          <w:sz w:val="13"/>
        </w:rPr>
        <w:t>withheld), 27 </w:t>
      </w:r>
      <w:r>
        <w:rPr>
          <w:spacing w:val="2"/>
          <w:w w:val="105"/>
          <w:sz w:val="13"/>
        </w:rPr>
        <w:t>(Name </w:t>
      </w:r>
      <w:r>
        <w:rPr>
          <w:w w:val="105"/>
          <w:sz w:val="13"/>
        </w:rPr>
        <w:t>withheld); Consultations 3 </w:t>
      </w:r>
      <w:r>
        <w:rPr>
          <w:spacing w:val="3"/>
          <w:w w:val="105"/>
          <w:sz w:val="13"/>
        </w:rPr>
        <w:t>(HVP </w:t>
      </w:r>
      <w:r>
        <w:rPr>
          <w:w w:val="105"/>
          <w:sz w:val="13"/>
        </w:rPr>
        <w:t>Plantations), 6 </w:t>
      </w:r>
      <w:r>
        <w:rPr>
          <w:spacing w:val="2"/>
          <w:w w:val="105"/>
          <w:sz w:val="13"/>
        </w:rPr>
        <w:t>(Ben </w:t>
      </w:r>
      <w:r>
        <w:rPr>
          <w:w w:val="105"/>
          <w:sz w:val="13"/>
        </w:rPr>
        <w:t>Kenyon), </w:t>
      </w:r>
      <w:r>
        <w:rPr>
          <w:spacing w:val="-4"/>
          <w:w w:val="105"/>
          <w:sz w:val="13"/>
        </w:rPr>
        <w:t>12 </w:t>
      </w:r>
      <w:r>
        <w:rPr>
          <w:w w:val="105"/>
          <w:sz w:val="13"/>
        </w:rPr>
        <w:t>(City of Port Phillip); Survey Respondents 42,</w:t>
      </w:r>
      <w:r>
        <w:rPr>
          <w:spacing w:val="20"/>
          <w:w w:val="105"/>
          <w:sz w:val="13"/>
        </w:rPr>
        <w:t> </w:t>
      </w:r>
      <w:r>
        <w:rPr>
          <w:spacing w:val="-4"/>
          <w:w w:val="105"/>
          <w:sz w:val="13"/>
        </w:rPr>
        <w:t>121.</w:t>
      </w:r>
    </w:p>
    <w:p>
      <w:pPr>
        <w:pStyle w:val="ListParagraph"/>
        <w:numPr>
          <w:ilvl w:val="0"/>
          <w:numId w:val="117"/>
        </w:numPr>
        <w:tabs>
          <w:tab w:pos="1224" w:val="left" w:leader="none"/>
          <w:tab w:pos="1225" w:val="left" w:leader="none"/>
        </w:tabs>
        <w:spacing w:line="240" w:lineRule="auto" w:before="3" w:after="0"/>
        <w:ind w:left="1224" w:right="0" w:hanging="793"/>
        <w:jc w:val="left"/>
        <w:rPr>
          <w:sz w:val="13"/>
        </w:rPr>
      </w:pPr>
      <w:r>
        <w:rPr>
          <w:w w:val="105"/>
          <w:sz w:val="13"/>
        </w:rPr>
        <w:t>Submission 27 </w:t>
      </w:r>
      <w:r>
        <w:rPr>
          <w:spacing w:val="2"/>
          <w:w w:val="105"/>
          <w:sz w:val="13"/>
        </w:rPr>
        <w:t>(Name </w:t>
      </w:r>
      <w:r>
        <w:rPr>
          <w:w w:val="105"/>
          <w:sz w:val="13"/>
        </w:rPr>
        <w:t>withheld); Consultations 3 </w:t>
      </w:r>
      <w:r>
        <w:rPr>
          <w:spacing w:val="3"/>
          <w:w w:val="105"/>
          <w:sz w:val="13"/>
        </w:rPr>
        <w:t>(HVP </w:t>
      </w:r>
      <w:r>
        <w:rPr>
          <w:w w:val="105"/>
          <w:sz w:val="13"/>
        </w:rPr>
        <w:t>Plantations), 6</w:t>
      </w:r>
      <w:r>
        <w:rPr>
          <w:spacing w:val="9"/>
          <w:w w:val="105"/>
          <w:sz w:val="13"/>
        </w:rPr>
        <w:t> </w:t>
      </w:r>
      <w:r>
        <w:rPr>
          <w:spacing w:val="2"/>
          <w:w w:val="105"/>
          <w:sz w:val="13"/>
        </w:rPr>
        <w:t>(Ben </w:t>
      </w:r>
      <w:r>
        <w:rPr>
          <w:w w:val="105"/>
          <w:sz w:val="13"/>
        </w:rPr>
        <w:t>Kenyon).</w:t>
      </w:r>
    </w:p>
    <w:p>
      <w:pPr>
        <w:pStyle w:val="ListParagraph"/>
        <w:numPr>
          <w:ilvl w:val="0"/>
          <w:numId w:val="117"/>
        </w:numPr>
        <w:tabs>
          <w:tab w:pos="1224" w:val="left" w:leader="none"/>
          <w:tab w:pos="1225" w:val="left" w:leader="none"/>
        </w:tabs>
        <w:spacing w:line="240" w:lineRule="auto" w:before="1" w:after="0"/>
        <w:ind w:left="1224" w:right="0" w:hanging="793"/>
        <w:jc w:val="left"/>
        <w:rPr>
          <w:sz w:val="13"/>
        </w:rPr>
      </w:pPr>
      <w:r>
        <w:rPr>
          <w:w w:val="105"/>
          <w:sz w:val="13"/>
        </w:rPr>
        <w:t>Consultation 6 </w:t>
      </w:r>
      <w:r>
        <w:rPr>
          <w:spacing w:val="2"/>
          <w:w w:val="105"/>
          <w:sz w:val="13"/>
        </w:rPr>
        <w:t>(Ben</w:t>
      </w:r>
      <w:r>
        <w:rPr>
          <w:spacing w:val="13"/>
          <w:w w:val="105"/>
          <w:sz w:val="13"/>
        </w:rPr>
        <w:t> </w:t>
      </w:r>
      <w:r>
        <w:rPr>
          <w:w w:val="105"/>
          <w:sz w:val="13"/>
        </w:rPr>
        <w:t>Kenyon).</w:t>
      </w:r>
    </w:p>
    <w:p>
      <w:pPr>
        <w:pStyle w:val="ListParagraph"/>
        <w:numPr>
          <w:ilvl w:val="0"/>
          <w:numId w:val="117"/>
        </w:numPr>
        <w:tabs>
          <w:tab w:pos="1224" w:val="left" w:leader="none"/>
          <w:tab w:pos="1225" w:val="left" w:leader="none"/>
        </w:tabs>
        <w:spacing w:line="240" w:lineRule="auto" w:before="1" w:after="0"/>
        <w:ind w:left="1224" w:right="0" w:hanging="793"/>
        <w:jc w:val="left"/>
        <w:rPr>
          <w:sz w:val="13"/>
        </w:rPr>
      </w:pPr>
      <w:r>
        <w:rPr>
          <w:w w:val="105"/>
          <w:sz w:val="13"/>
        </w:rPr>
        <w:t>Submission 27 </w:t>
      </w:r>
      <w:r>
        <w:rPr>
          <w:spacing w:val="2"/>
          <w:w w:val="105"/>
          <w:sz w:val="13"/>
        </w:rPr>
        <w:t>(Name</w:t>
      </w:r>
      <w:r>
        <w:rPr>
          <w:spacing w:val="13"/>
          <w:w w:val="105"/>
          <w:sz w:val="13"/>
        </w:rPr>
        <w:t> </w:t>
      </w:r>
      <w:r>
        <w:rPr>
          <w:w w:val="105"/>
          <w:sz w:val="13"/>
        </w:rPr>
        <w:t>withheld).</w:t>
      </w:r>
    </w:p>
    <w:p>
      <w:pPr>
        <w:pStyle w:val="ListParagraph"/>
        <w:numPr>
          <w:ilvl w:val="0"/>
          <w:numId w:val="117"/>
        </w:numPr>
        <w:tabs>
          <w:tab w:pos="1224" w:val="left" w:leader="none"/>
          <w:tab w:pos="1225" w:val="left" w:leader="none"/>
        </w:tabs>
        <w:spacing w:line="240" w:lineRule="auto" w:before="2" w:after="0"/>
        <w:ind w:left="1224" w:right="0" w:hanging="793"/>
        <w:jc w:val="left"/>
        <w:rPr>
          <w:sz w:val="13"/>
        </w:rPr>
      </w:pPr>
      <w:r>
        <w:rPr>
          <w:w w:val="105"/>
          <w:sz w:val="13"/>
        </w:rPr>
        <w:t>Consultation </w:t>
      </w:r>
      <w:r>
        <w:rPr>
          <w:spacing w:val="-4"/>
          <w:w w:val="105"/>
          <w:sz w:val="13"/>
        </w:rPr>
        <w:t>12 </w:t>
      </w:r>
      <w:r>
        <w:rPr>
          <w:w w:val="105"/>
          <w:sz w:val="13"/>
        </w:rPr>
        <w:t>(City of Port Phillip).</w:t>
      </w:r>
    </w:p>
    <w:p>
      <w:pPr>
        <w:pStyle w:val="ListParagraph"/>
        <w:numPr>
          <w:ilvl w:val="0"/>
          <w:numId w:val="117"/>
        </w:numPr>
        <w:tabs>
          <w:tab w:pos="1224" w:val="left" w:leader="none"/>
          <w:tab w:pos="1225" w:val="left" w:leader="none"/>
        </w:tabs>
        <w:spacing w:line="240" w:lineRule="auto" w:before="1" w:after="0"/>
        <w:ind w:left="1224" w:right="0" w:hanging="793"/>
        <w:jc w:val="left"/>
        <w:rPr>
          <w:sz w:val="13"/>
        </w:rPr>
      </w:pPr>
      <w:r>
        <w:rPr>
          <w:w w:val="105"/>
          <w:sz w:val="13"/>
        </w:rPr>
        <w:t>Consultation 2 </w:t>
      </w:r>
      <w:r>
        <w:rPr>
          <w:spacing w:val="3"/>
          <w:w w:val="105"/>
          <w:sz w:val="13"/>
        </w:rPr>
        <w:t>(Dr </w:t>
      </w:r>
      <w:r>
        <w:rPr>
          <w:w w:val="105"/>
          <w:sz w:val="13"/>
        </w:rPr>
        <w:t>Gregory Moore</w:t>
      </w:r>
      <w:r>
        <w:rPr>
          <w:spacing w:val="20"/>
          <w:w w:val="105"/>
          <w:sz w:val="13"/>
        </w:rPr>
        <w:t> </w:t>
      </w:r>
      <w:r>
        <w:rPr>
          <w:spacing w:val="2"/>
          <w:w w:val="105"/>
          <w:sz w:val="13"/>
        </w:rPr>
        <w:t>OAM).</w:t>
      </w:r>
    </w:p>
    <w:p>
      <w:pPr>
        <w:pStyle w:val="ListParagraph"/>
        <w:numPr>
          <w:ilvl w:val="0"/>
          <w:numId w:val="117"/>
        </w:numPr>
        <w:tabs>
          <w:tab w:pos="1224" w:val="left" w:leader="none"/>
          <w:tab w:pos="1226" w:val="left" w:leader="none"/>
        </w:tabs>
        <w:spacing w:line="240" w:lineRule="auto" w:before="1" w:after="0"/>
        <w:ind w:left="1225" w:right="1699" w:hanging="794"/>
        <w:jc w:val="left"/>
        <w:rPr>
          <w:sz w:val="13"/>
        </w:rPr>
      </w:pPr>
      <w:r>
        <w:rPr>
          <w:sz w:val="13"/>
        </w:rPr>
        <w:t>VCAT contrasted its informal processes to the more formal process of the court, such as pleadings: Consultation 5 </w:t>
      </w:r>
      <w:r>
        <w:rPr>
          <w:spacing w:val="2"/>
          <w:sz w:val="13"/>
        </w:rPr>
        <w:t>(Victorian </w:t>
      </w:r>
      <w:r>
        <w:rPr>
          <w:sz w:val="13"/>
        </w:rPr>
        <w:t>Civil and Administrative Tribunal). Pleadings are ‘written or printed statements that alternate between the parties to a dispute and define the issues             to be decided in an </w:t>
      </w:r>
      <w:r>
        <w:rPr>
          <w:spacing w:val="2"/>
          <w:sz w:val="13"/>
        </w:rPr>
        <w:t>action: </w:t>
      </w:r>
      <w:r>
        <w:rPr>
          <w:i/>
          <w:sz w:val="13"/>
        </w:rPr>
        <w:t>Chadwick  v  Bridge  </w:t>
      </w:r>
      <w:r>
        <w:rPr>
          <w:spacing w:val="-3"/>
          <w:sz w:val="13"/>
        </w:rPr>
        <w:t>(1951)  </w:t>
      </w:r>
      <w:r>
        <w:rPr>
          <w:sz w:val="13"/>
        </w:rPr>
        <w:t>83  CLR  314;  </w:t>
      </w:r>
      <w:r>
        <w:rPr>
          <w:i/>
          <w:sz w:val="13"/>
        </w:rPr>
        <w:t>Child  v  Stenning  </w:t>
      </w:r>
      <w:r>
        <w:rPr>
          <w:sz w:val="13"/>
        </w:rPr>
        <w:t>(1877)  5  Ch  D  695:  Peter  Butt  </w:t>
      </w:r>
      <w:r>
        <w:rPr>
          <w:spacing w:val="2"/>
          <w:sz w:val="13"/>
        </w:rPr>
        <w:t>(ed),  </w:t>
      </w:r>
      <w:r>
        <w:rPr>
          <w:i/>
          <w:sz w:val="13"/>
        </w:rPr>
        <w:t>Butterworths’ </w:t>
      </w:r>
      <w:r>
        <w:rPr>
          <w:i/>
          <w:sz w:val="13"/>
        </w:rPr>
        <w:t>Concise</w:t>
      </w:r>
      <w:r>
        <w:rPr>
          <w:i/>
          <w:spacing w:val="7"/>
          <w:sz w:val="13"/>
        </w:rPr>
        <w:t> </w:t>
      </w:r>
      <w:r>
        <w:rPr>
          <w:i/>
          <w:sz w:val="13"/>
        </w:rPr>
        <w:t>Australian</w:t>
      </w:r>
      <w:r>
        <w:rPr>
          <w:i/>
          <w:spacing w:val="8"/>
          <w:sz w:val="13"/>
        </w:rPr>
        <w:t> </w:t>
      </w:r>
      <w:r>
        <w:rPr>
          <w:i/>
          <w:sz w:val="13"/>
        </w:rPr>
        <w:t>Legal</w:t>
      </w:r>
      <w:r>
        <w:rPr>
          <w:i/>
          <w:spacing w:val="8"/>
          <w:sz w:val="13"/>
        </w:rPr>
        <w:t> </w:t>
      </w:r>
      <w:r>
        <w:rPr>
          <w:i/>
          <w:sz w:val="13"/>
        </w:rPr>
        <w:t>Dictionary</w:t>
      </w:r>
      <w:r>
        <w:rPr>
          <w:i/>
          <w:spacing w:val="8"/>
          <w:sz w:val="13"/>
        </w:rPr>
        <w:t> </w:t>
      </w:r>
      <w:r>
        <w:rPr>
          <w:spacing w:val="2"/>
          <w:sz w:val="13"/>
        </w:rPr>
        <w:t>(LexisNexis/Butterworths,</w:t>
      </w:r>
      <w:r>
        <w:rPr>
          <w:spacing w:val="7"/>
          <w:sz w:val="13"/>
        </w:rPr>
        <w:t> </w:t>
      </w:r>
      <w:r>
        <w:rPr>
          <w:sz w:val="13"/>
        </w:rPr>
        <w:t>3rd</w:t>
      </w:r>
      <w:r>
        <w:rPr>
          <w:spacing w:val="8"/>
          <w:sz w:val="13"/>
        </w:rPr>
        <w:t> </w:t>
      </w:r>
      <w:r>
        <w:rPr>
          <w:sz w:val="13"/>
        </w:rPr>
        <w:t>ed,</w:t>
      </w:r>
      <w:r>
        <w:rPr>
          <w:spacing w:val="8"/>
          <w:sz w:val="13"/>
        </w:rPr>
        <w:t> </w:t>
      </w:r>
      <w:r>
        <w:rPr>
          <w:spacing w:val="2"/>
          <w:sz w:val="13"/>
        </w:rPr>
        <w:t>2004).</w:t>
      </w:r>
    </w:p>
    <w:p>
      <w:pPr>
        <w:pStyle w:val="ListParagraph"/>
        <w:numPr>
          <w:ilvl w:val="0"/>
          <w:numId w:val="117"/>
        </w:numPr>
        <w:tabs>
          <w:tab w:pos="1225" w:val="left" w:leader="none"/>
          <w:tab w:pos="1226" w:val="left" w:leader="none"/>
        </w:tabs>
        <w:spacing w:line="240" w:lineRule="auto" w:before="6" w:after="0"/>
        <w:ind w:left="1225" w:right="0" w:hanging="794"/>
        <w:jc w:val="left"/>
        <w:rPr>
          <w:sz w:val="13"/>
        </w:rPr>
      </w:pPr>
      <w:r>
        <w:rPr>
          <w:w w:val="105"/>
          <w:sz w:val="13"/>
        </w:rPr>
        <w:t>Consultation 5 </w:t>
      </w:r>
      <w:r>
        <w:rPr>
          <w:spacing w:val="2"/>
          <w:w w:val="105"/>
          <w:sz w:val="13"/>
        </w:rPr>
        <w:t>(Victorian </w:t>
      </w:r>
      <w:r>
        <w:rPr>
          <w:w w:val="105"/>
          <w:sz w:val="13"/>
        </w:rPr>
        <w:t>Civil and Administrative</w:t>
      </w:r>
      <w:r>
        <w:rPr>
          <w:spacing w:val="25"/>
          <w:w w:val="105"/>
          <w:sz w:val="13"/>
        </w:rPr>
        <w:t> </w:t>
      </w:r>
      <w:r>
        <w:rPr>
          <w:w w:val="105"/>
          <w:sz w:val="13"/>
        </w:rPr>
        <w:t>Tribunal).</w:t>
      </w:r>
    </w:p>
    <w:p>
      <w:pPr>
        <w:pStyle w:val="ListParagraph"/>
        <w:numPr>
          <w:ilvl w:val="0"/>
          <w:numId w:val="117"/>
        </w:numPr>
        <w:tabs>
          <w:tab w:pos="1225" w:val="left" w:leader="none"/>
          <w:tab w:pos="1226" w:val="left" w:leader="none"/>
        </w:tabs>
        <w:spacing w:line="240" w:lineRule="auto" w:before="1" w:after="0"/>
        <w:ind w:left="1225" w:right="0" w:hanging="794"/>
        <w:jc w:val="left"/>
        <w:rPr>
          <w:sz w:val="13"/>
        </w:rPr>
      </w:pPr>
      <w:r>
        <w:rPr>
          <w:w w:val="105"/>
          <w:sz w:val="13"/>
        </w:rPr>
        <w:t>Ibid.</w:t>
      </w:r>
      <w:r>
        <w:rPr>
          <w:spacing w:val="4"/>
          <w:w w:val="105"/>
          <w:sz w:val="13"/>
        </w:rPr>
        <w:t> </w:t>
      </w:r>
      <w:r>
        <w:rPr>
          <w:w w:val="105"/>
          <w:sz w:val="13"/>
        </w:rPr>
        <w:t>The</w:t>
      </w:r>
      <w:r>
        <w:rPr>
          <w:spacing w:val="5"/>
          <w:w w:val="105"/>
          <w:sz w:val="13"/>
        </w:rPr>
        <w:t> </w:t>
      </w:r>
      <w:r>
        <w:rPr>
          <w:w w:val="105"/>
          <w:sz w:val="13"/>
        </w:rPr>
        <w:t>Civil</w:t>
      </w:r>
      <w:r>
        <w:rPr>
          <w:spacing w:val="5"/>
          <w:w w:val="105"/>
          <w:sz w:val="13"/>
        </w:rPr>
        <w:t> </w:t>
      </w:r>
      <w:r>
        <w:rPr>
          <w:w w:val="105"/>
          <w:sz w:val="13"/>
        </w:rPr>
        <w:t>Division</w:t>
      </w:r>
      <w:r>
        <w:rPr>
          <w:spacing w:val="5"/>
          <w:w w:val="105"/>
          <w:sz w:val="13"/>
        </w:rPr>
        <w:t> </w:t>
      </w:r>
      <w:r>
        <w:rPr>
          <w:w w:val="105"/>
          <w:sz w:val="13"/>
        </w:rPr>
        <w:t>has</w:t>
      </w:r>
      <w:r>
        <w:rPr>
          <w:spacing w:val="4"/>
          <w:w w:val="105"/>
          <w:sz w:val="13"/>
        </w:rPr>
        <w:t> </w:t>
      </w:r>
      <w:r>
        <w:rPr>
          <w:w w:val="105"/>
          <w:sz w:val="13"/>
        </w:rPr>
        <w:t>three</w:t>
      </w:r>
      <w:r>
        <w:rPr>
          <w:spacing w:val="5"/>
          <w:w w:val="105"/>
          <w:sz w:val="13"/>
        </w:rPr>
        <w:t> </w:t>
      </w:r>
      <w:r>
        <w:rPr>
          <w:spacing w:val="2"/>
          <w:w w:val="105"/>
          <w:sz w:val="13"/>
        </w:rPr>
        <w:t>Lists:</w:t>
      </w:r>
      <w:r>
        <w:rPr>
          <w:spacing w:val="5"/>
          <w:w w:val="105"/>
          <w:sz w:val="13"/>
        </w:rPr>
        <w:t> </w:t>
      </w:r>
      <w:r>
        <w:rPr>
          <w:w w:val="105"/>
          <w:sz w:val="13"/>
        </w:rPr>
        <w:t>Civil</w:t>
      </w:r>
      <w:r>
        <w:rPr>
          <w:spacing w:val="4"/>
          <w:w w:val="105"/>
          <w:sz w:val="13"/>
        </w:rPr>
        <w:t> </w:t>
      </w:r>
      <w:r>
        <w:rPr>
          <w:w w:val="105"/>
          <w:sz w:val="13"/>
        </w:rPr>
        <w:t>Claims,</w:t>
      </w:r>
      <w:r>
        <w:rPr>
          <w:spacing w:val="5"/>
          <w:w w:val="105"/>
          <w:sz w:val="13"/>
        </w:rPr>
        <w:t> </w:t>
      </w:r>
      <w:r>
        <w:rPr>
          <w:w w:val="105"/>
          <w:sz w:val="13"/>
        </w:rPr>
        <w:t>Building</w:t>
      </w:r>
      <w:r>
        <w:rPr>
          <w:spacing w:val="5"/>
          <w:w w:val="105"/>
          <w:sz w:val="13"/>
        </w:rPr>
        <w:t> </w:t>
      </w:r>
      <w:r>
        <w:rPr>
          <w:w w:val="105"/>
          <w:sz w:val="13"/>
        </w:rPr>
        <w:t>and</w:t>
      </w:r>
      <w:r>
        <w:rPr>
          <w:spacing w:val="5"/>
          <w:w w:val="105"/>
          <w:sz w:val="13"/>
        </w:rPr>
        <w:t> </w:t>
      </w:r>
      <w:r>
        <w:rPr>
          <w:spacing w:val="2"/>
          <w:w w:val="105"/>
          <w:sz w:val="13"/>
        </w:rPr>
        <w:t>Property</w:t>
      </w:r>
      <w:r>
        <w:rPr>
          <w:spacing w:val="4"/>
          <w:w w:val="105"/>
          <w:sz w:val="13"/>
        </w:rPr>
        <w:t> </w:t>
      </w:r>
      <w:r>
        <w:rPr>
          <w:w w:val="105"/>
          <w:sz w:val="13"/>
        </w:rPr>
        <w:t>and</w:t>
      </w:r>
      <w:r>
        <w:rPr>
          <w:spacing w:val="5"/>
          <w:w w:val="105"/>
          <w:sz w:val="13"/>
        </w:rPr>
        <w:t> </w:t>
      </w:r>
      <w:r>
        <w:rPr>
          <w:w w:val="105"/>
          <w:sz w:val="13"/>
        </w:rPr>
        <w:t>Owners</w:t>
      </w:r>
      <w:r>
        <w:rPr>
          <w:spacing w:val="5"/>
          <w:w w:val="105"/>
          <w:sz w:val="13"/>
        </w:rPr>
        <w:t> </w:t>
      </w:r>
      <w:r>
        <w:rPr>
          <w:w w:val="105"/>
          <w:sz w:val="13"/>
        </w:rPr>
        <w:t>Corporations.</w:t>
      </w:r>
    </w:p>
    <w:p>
      <w:pPr>
        <w:spacing w:after="0" w:line="240" w:lineRule="auto"/>
        <w:jc w:val="left"/>
        <w:rPr>
          <w:sz w:val="13"/>
        </w:rPr>
        <w:sectPr>
          <w:type w:val="continuous"/>
          <w:pgSz w:w="11910" w:h="16840"/>
          <w:pgMar w:top="300" w:bottom="280" w:left="0" w:right="0"/>
          <w:cols w:num="2" w:equalWidth="0">
            <w:col w:w="1117" w:space="40"/>
            <w:col w:w="10753"/>
          </w:cols>
        </w:sectPr>
      </w:pPr>
    </w:p>
    <w:p>
      <w:pPr>
        <w:pStyle w:val="BodyText"/>
        <w:rPr>
          <w:sz w:val="20"/>
        </w:rPr>
      </w:pPr>
    </w:p>
    <w:p>
      <w:pPr>
        <w:pStyle w:val="BodyText"/>
        <w:spacing w:before="9"/>
        <w:rPr>
          <w:sz w:val="18"/>
        </w:rPr>
      </w:pPr>
    </w:p>
    <w:p>
      <w:pPr>
        <w:pStyle w:val="ListParagraph"/>
        <w:numPr>
          <w:ilvl w:val="1"/>
          <w:numId w:val="114"/>
        </w:numPr>
        <w:tabs>
          <w:tab w:pos="2381" w:val="left" w:leader="none"/>
          <w:tab w:pos="2382" w:val="left" w:leader="none"/>
        </w:tabs>
        <w:spacing w:line="242" w:lineRule="auto" w:before="91" w:after="0"/>
        <w:ind w:left="2381" w:right="1702" w:hanging="794"/>
        <w:jc w:val="left"/>
        <w:rPr>
          <w:sz w:val="12"/>
        </w:rPr>
      </w:pPr>
      <w:r>
        <w:rPr>
          <w:spacing w:val="-5"/>
          <w:w w:val="105"/>
          <w:sz w:val="21"/>
        </w:rPr>
        <w:t>VCAT</w:t>
      </w:r>
      <w:r>
        <w:rPr>
          <w:spacing w:val="-10"/>
          <w:w w:val="105"/>
          <w:sz w:val="21"/>
        </w:rPr>
        <w:t> </w:t>
      </w:r>
      <w:r>
        <w:rPr>
          <w:w w:val="105"/>
          <w:sz w:val="21"/>
        </w:rPr>
        <w:t>expressed</w:t>
      </w:r>
      <w:r>
        <w:rPr>
          <w:spacing w:val="-10"/>
          <w:w w:val="105"/>
          <w:sz w:val="21"/>
        </w:rPr>
        <w:t> </w:t>
      </w:r>
      <w:r>
        <w:rPr>
          <w:w w:val="105"/>
          <w:sz w:val="21"/>
        </w:rPr>
        <w:t>support</w:t>
      </w:r>
      <w:r>
        <w:rPr>
          <w:spacing w:val="-9"/>
          <w:w w:val="105"/>
          <w:sz w:val="21"/>
        </w:rPr>
        <w:t> </w:t>
      </w:r>
      <w:r>
        <w:rPr>
          <w:spacing w:val="-3"/>
          <w:w w:val="105"/>
          <w:sz w:val="21"/>
        </w:rPr>
        <w:t>for</w:t>
      </w:r>
      <w:r>
        <w:rPr>
          <w:spacing w:val="-10"/>
          <w:w w:val="105"/>
          <w:sz w:val="21"/>
        </w:rPr>
        <w:t> </w:t>
      </w:r>
      <w:r>
        <w:rPr>
          <w:w w:val="105"/>
          <w:sz w:val="21"/>
        </w:rPr>
        <w:t>carrying</w:t>
      </w:r>
      <w:r>
        <w:rPr>
          <w:spacing w:val="-9"/>
          <w:w w:val="105"/>
          <w:sz w:val="21"/>
        </w:rPr>
        <w:t> </w:t>
      </w:r>
      <w:r>
        <w:rPr>
          <w:w w:val="105"/>
          <w:sz w:val="21"/>
        </w:rPr>
        <w:t>out</w:t>
      </w:r>
      <w:r>
        <w:rPr>
          <w:spacing w:val="-10"/>
          <w:w w:val="105"/>
          <w:sz w:val="21"/>
        </w:rPr>
        <w:t> </w:t>
      </w:r>
      <w:r>
        <w:rPr>
          <w:w w:val="105"/>
          <w:sz w:val="21"/>
        </w:rPr>
        <w:t>on-site</w:t>
      </w:r>
      <w:r>
        <w:rPr>
          <w:spacing w:val="-10"/>
          <w:w w:val="105"/>
          <w:sz w:val="21"/>
        </w:rPr>
        <w:t> </w:t>
      </w:r>
      <w:r>
        <w:rPr>
          <w:w w:val="105"/>
          <w:sz w:val="21"/>
        </w:rPr>
        <w:t>inspections</w:t>
      </w:r>
      <w:r>
        <w:rPr>
          <w:spacing w:val="-9"/>
          <w:w w:val="105"/>
          <w:sz w:val="21"/>
        </w:rPr>
        <w:t> </w:t>
      </w:r>
      <w:r>
        <w:rPr>
          <w:w w:val="105"/>
          <w:sz w:val="21"/>
        </w:rPr>
        <w:t>of</w:t>
      </w:r>
      <w:r>
        <w:rPr>
          <w:spacing w:val="-10"/>
          <w:w w:val="105"/>
          <w:sz w:val="21"/>
        </w:rPr>
        <w:t> </w:t>
      </w:r>
      <w:r>
        <w:rPr>
          <w:w w:val="105"/>
          <w:sz w:val="21"/>
        </w:rPr>
        <w:t>the</w:t>
      </w:r>
      <w:r>
        <w:rPr>
          <w:spacing w:val="-10"/>
          <w:w w:val="105"/>
          <w:sz w:val="21"/>
        </w:rPr>
        <w:t> </w:t>
      </w:r>
      <w:r>
        <w:rPr>
          <w:w w:val="105"/>
          <w:sz w:val="21"/>
        </w:rPr>
        <w:t>tree</w:t>
      </w:r>
      <w:r>
        <w:rPr>
          <w:spacing w:val="-9"/>
          <w:w w:val="105"/>
          <w:sz w:val="21"/>
        </w:rPr>
        <w:t> </w:t>
      </w:r>
      <w:r>
        <w:rPr>
          <w:w w:val="105"/>
          <w:sz w:val="21"/>
        </w:rPr>
        <w:t>and</w:t>
      </w:r>
      <w:r>
        <w:rPr>
          <w:spacing w:val="-10"/>
          <w:w w:val="105"/>
          <w:sz w:val="21"/>
        </w:rPr>
        <w:t> </w:t>
      </w:r>
      <w:r>
        <w:rPr>
          <w:w w:val="105"/>
          <w:sz w:val="21"/>
        </w:rPr>
        <w:t>properties</w:t>
      </w:r>
      <w:r>
        <w:rPr>
          <w:spacing w:val="-9"/>
          <w:w w:val="105"/>
          <w:sz w:val="21"/>
        </w:rPr>
        <w:t> </w:t>
      </w:r>
      <w:r>
        <w:rPr>
          <w:w w:val="105"/>
          <w:sz w:val="21"/>
        </w:rPr>
        <w:t>in </w:t>
      </w:r>
      <w:r>
        <w:rPr>
          <w:spacing w:val="-3"/>
          <w:w w:val="105"/>
          <w:sz w:val="21"/>
        </w:rPr>
        <w:t>appropriate circumstances. </w:t>
      </w:r>
      <w:r>
        <w:rPr>
          <w:spacing w:val="-5"/>
          <w:w w:val="105"/>
          <w:sz w:val="21"/>
        </w:rPr>
        <w:t>VCAT </w:t>
      </w:r>
      <w:r>
        <w:rPr>
          <w:w w:val="105"/>
          <w:sz w:val="21"/>
        </w:rPr>
        <w:t>explained </w:t>
      </w:r>
      <w:r>
        <w:rPr>
          <w:spacing w:val="-3"/>
          <w:w w:val="105"/>
          <w:sz w:val="21"/>
        </w:rPr>
        <w:t>that </w:t>
      </w:r>
      <w:r>
        <w:rPr>
          <w:w w:val="105"/>
          <w:sz w:val="21"/>
        </w:rPr>
        <w:t>inspections </w:t>
      </w:r>
      <w:r>
        <w:rPr>
          <w:spacing w:val="-3"/>
          <w:w w:val="105"/>
          <w:sz w:val="21"/>
        </w:rPr>
        <w:t>might </w:t>
      </w:r>
      <w:r>
        <w:rPr>
          <w:w w:val="105"/>
          <w:sz w:val="21"/>
        </w:rPr>
        <w:t>be </w:t>
      </w:r>
      <w:r>
        <w:rPr>
          <w:spacing w:val="-3"/>
          <w:w w:val="105"/>
          <w:sz w:val="21"/>
        </w:rPr>
        <w:t>helpful for </w:t>
      </w:r>
      <w:r>
        <w:rPr>
          <w:w w:val="105"/>
          <w:sz w:val="21"/>
        </w:rPr>
        <w:t>obvious cases</w:t>
      </w:r>
      <w:r>
        <w:rPr>
          <w:spacing w:val="-7"/>
          <w:w w:val="105"/>
          <w:sz w:val="21"/>
        </w:rPr>
        <w:t> </w:t>
      </w:r>
      <w:r>
        <w:rPr>
          <w:w w:val="105"/>
          <w:sz w:val="21"/>
        </w:rPr>
        <w:t>of</w:t>
      </w:r>
      <w:r>
        <w:rPr>
          <w:spacing w:val="-6"/>
          <w:w w:val="105"/>
          <w:sz w:val="21"/>
        </w:rPr>
        <w:t> </w:t>
      </w:r>
      <w:r>
        <w:rPr>
          <w:w w:val="105"/>
          <w:sz w:val="21"/>
        </w:rPr>
        <w:t>damage</w:t>
      </w:r>
      <w:r>
        <w:rPr>
          <w:spacing w:val="-6"/>
          <w:w w:val="105"/>
          <w:sz w:val="21"/>
        </w:rPr>
        <w:t> </w:t>
      </w:r>
      <w:r>
        <w:rPr>
          <w:w w:val="105"/>
          <w:sz w:val="21"/>
        </w:rPr>
        <w:t>but</w:t>
      </w:r>
      <w:r>
        <w:rPr>
          <w:spacing w:val="-6"/>
          <w:w w:val="105"/>
          <w:sz w:val="21"/>
        </w:rPr>
        <w:t> </w:t>
      </w:r>
      <w:r>
        <w:rPr>
          <w:spacing w:val="-3"/>
          <w:w w:val="105"/>
          <w:sz w:val="21"/>
        </w:rPr>
        <w:t>may</w:t>
      </w:r>
      <w:r>
        <w:rPr>
          <w:spacing w:val="-6"/>
          <w:w w:val="105"/>
          <w:sz w:val="21"/>
        </w:rPr>
        <w:t> </w:t>
      </w:r>
      <w:r>
        <w:rPr>
          <w:spacing w:val="-2"/>
          <w:w w:val="105"/>
          <w:sz w:val="21"/>
        </w:rPr>
        <w:t>not</w:t>
      </w:r>
      <w:r>
        <w:rPr>
          <w:spacing w:val="-6"/>
          <w:w w:val="105"/>
          <w:sz w:val="21"/>
        </w:rPr>
        <w:t> </w:t>
      </w:r>
      <w:r>
        <w:rPr>
          <w:w w:val="105"/>
          <w:sz w:val="21"/>
        </w:rPr>
        <w:t>be</w:t>
      </w:r>
      <w:r>
        <w:rPr>
          <w:spacing w:val="-6"/>
          <w:w w:val="105"/>
          <w:sz w:val="21"/>
        </w:rPr>
        <w:t> </w:t>
      </w:r>
      <w:r>
        <w:rPr>
          <w:spacing w:val="-3"/>
          <w:w w:val="105"/>
          <w:sz w:val="21"/>
        </w:rPr>
        <w:t>appropriate</w:t>
      </w:r>
      <w:r>
        <w:rPr>
          <w:spacing w:val="-6"/>
          <w:w w:val="105"/>
          <w:sz w:val="21"/>
        </w:rPr>
        <w:t> </w:t>
      </w:r>
      <w:r>
        <w:rPr>
          <w:spacing w:val="-3"/>
          <w:w w:val="105"/>
          <w:sz w:val="21"/>
        </w:rPr>
        <w:t>for</w:t>
      </w:r>
      <w:r>
        <w:rPr>
          <w:spacing w:val="-6"/>
          <w:w w:val="105"/>
          <w:sz w:val="21"/>
        </w:rPr>
        <w:t> </w:t>
      </w:r>
      <w:r>
        <w:rPr>
          <w:w w:val="105"/>
          <w:sz w:val="21"/>
        </w:rPr>
        <w:t>more</w:t>
      </w:r>
      <w:r>
        <w:rPr>
          <w:spacing w:val="-6"/>
          <w:w w:val="105"/>
          <w:sz w:val="21"/>
        </w:rPr>
        <w:t> </w:t>
      </w:r>
      <w:r>
        <w:rPr>
          <w:w w:val="105"/>
          <w:sz w:val="21"/>
        </w:rPr>
        <w:t>complex</w:t>
      </w:r>
      <w:r>
        <w:rPr>
          <w:spacing w:val="-6"/>
          <w:w w:val="105"/>
          <w:sz w:val="21"/>
        </w:rPr>
        <w:t> </w:t>
      </w:r>
      <w:r>
        <w:rPr>
          <w:w w:val="105"/>
          <w:sz w:val="21"/>
        </w:rPr>
        <w:t>issues</w:t>
      </w:r>
      <w:r>
        <w:rPr>
          <w:spacing w:val="-6"/>
          <w:w w:val="105"/>
          <w:sz w:val="21"/>
        </w:rPr>
        <w:t> </w:t>
      </w:r>
      <w:r>
        <w:rPr>
          <w:w w:val="105"/>
          <w:sz w:val="21"/>
        </w:rPr>
        <w:t>which</w:t>
      </w:r>
      <w:r>
        <w:rPr>
          <w:spacing w:val="-7"/>
          <w:w w:val="105"/>
          <w:sz w:val="21"/>
        </w:rPr>
        <w:t> </w:t>
      </w:r>
      <w:r>
        <w:rPr>
          <w:spacing w:val="-3"/>
          <w:w w:val="105"/>
          <w:sz w:val="21"/>
        </w:rPr>
        <w:t>may</w:t>
      </w:r>
      <w:r>
        <w:rPr>
          <w:spacing w:val="-6"/>
          <w:w w:val="105"/>
          <w:sz w:val="21"/>
        </w:rPr>
        <w:t> </w:t>
      </w:r>
      <w:r>
        <w:rPr>
          <w:spacing w:val="-3"/>
          <w:w w:val="105"/>
          <w:sz w:val="21"/>
        </w:rPr>
        <w:t>require </w:t>
      </w:r>
      <w:r>
        <w:rPr>
          <w:w w:val="105"/>
          <w:sz w:val="21"/>
        </w:rPr>
        <w:t>the </w:t>
      </w:r>
      <w:r>
        <w:rPr>
          <w:spacing w:val="-3"/>
          <w:w w:val="105"/>
          <w:sz w:val="21"/>
        </w:rPr>
        <w:t>attendance </w:t>
      </w:r>
      <w:r>
        <w:rPr>
          <w:w w:val="105"/>
          <w:sz w:val="21"/>
        </w:rPr>
        <w:t>of experts and other witnesses. On-site inspections often </w:t>
      </w:r>
      <w:r>
        <w:rPr>
          <w:spacing w:val="-3"/>
          <w:w w:val="105"/>
          <w:sz w:val="21"/>
        </w:rPr>
        <w:t>occur </w:t>
      </w:r>
      <w:r>
        <w:rPr>
          <w:w w:val="105"/>
          <w:sz w:val="21"/>
        </w:rPr>
        <w:t>in the </w:t>
      </w:r>
      <w:r>
        <w:rPr>
          <w:spacing w:val="-3"/>
          <w:w w:val="105"/>
          <w:sz w:val="21"/>
        </w:rPr>
        <w:t>Planning </w:t>
      </w:r>
      <w:r>
        <w:rPr>
          <w:w w:val="105"/>
          <w:sz w:val="21"/>
        </w:rPr>
        <w:t>and </w:t>
      </w:r>
      <w:r>
        <w:rPr>
          <w:spacing w:val="-3"/>
          <w:w w:val="105"/>
          <w:sz w:val="21"/>
        </w:rPr>
        <w:t>Environment </w:t>
      </w:r>
      <w:r>
        <w:rPr>
          <w:w w:val="105"/>
          <w:sz w:val="21"/>
        </w:rPr>
        <w:t>List in the </w:t>
      </w:r>
      <w:r>
        <w:rPr>
          <w:spacing w:val="-3"/>
          <w:w w:val="105"/>
          <w:sz w:val="21"/>
        </w:rPr>
        <w:t>form </w:t>
      </w:r>
      <w:r>
        <w:rPr>
          <w:w w:val="105"/>
          <w:sz w:val="21"/>
        </w:rPr>
        <w:t>of a visit by a </w:t>
      </w:r>
      <w:r>
        <w:rPr>
          <w:spacing w:val="-5"/>
          <w:w w:val="105"/>
          <w:sz w:val="21"/>
        </w:rPr>
        <w:t>VCAT </w:t>
      </w:r>
      <w:r>
        <w:rPr>
          <w:w w:val="105"/>
          <w:sz w:val="21"/>
        </w:rPr>
        <w:t>member </w:t>
      </w:r>
      <w:r>
        <w:rPr>
          <w:spacing w:val="-3"/>
          <w:w w:val="105"/>
          <w:sz w:val="21"/>
        </w:rPr>
        <w:t>accompanied </w:t>
      </w:r>
      <w:r>
        <w:rPr>
          <w:w w:val="105"/>
          <w:sz w:val="21"/>
        </w:rPr>
        <w:t>by parties or </w:t>
      </w:r>
      <w:r>
        <w:rPr>
          <w:spacing w:val="-3"/>
          <w:w w:val="105"/>
          <w:sz w:val="21"/>
        </w:rPr>
        <w:t>unaccompanied, before, during </w:t>
      </w:r>
      <w:r>
        <w:rPr>
          <w:w w:val="105"/>
          <w:sz w:val="21"/>
        </w:rPr>
        <w:t>or after the </w:t>
      </w:r>
      <w:r>
        <w:rPr>
          <w:spacing w:val="-4"/>
          <w:w w:val="105"/>
          <w:sz w:val="21"/>
        </w:rPr>
        <w:t>hearing.</w:t>
      </w:r>
      <w:r>
        <w:rPr>
          <w:spacing w:val="-4"/>
          <w:w w:val="105"/>
          <w:position w:val="7"/>
          <w:sz w:val="12"/>
        </w:rPr>
        <w:t>. </w:t>
      </w:r>
      <w:r>
        <w:rPr>
          <w:w w:val="105"/>
          <w:sz w:val="21"/>
        </w:rPr>
        <w:t>Section </w:t>
      </w:r>
      <w:r>
        <w:rPr>
          <w:spacing w:val="-8"/>
          <w:w w:val="105"/>
          <w:sz w:val="21"/>
        </w:rPr>
        <w:t>129 </w:t>
      </w:r>
      <w:r>
        <w:rPr>
          <w:w w:val="105"/>
          <w:sz w:val="21"/>
        </w:rPr>
        <w:t>of the </w:t>
      </w:r>
      <w:r>
        <w:rPr>
          <w:spacing w:val="-5"/>
          <w:w w:val="105"/>
          <w:sz w:val="21"/>
        </w:rPr>
        <w:t>VCAT </w:t>
      </w:r>
      <w:r>
        <w:rPr>
          <w:w w:val="105"/>
          <w:sz w:val="21"/>
        </w:rPr>
        <w:t>Act provides </w:t>
      </w:r>
      <w:r>
        <w:rPr>
          <w:spacing w:val="-3"/>
          <w:w w:val="105"/>
          <w:sz w:val="21"/>
        </w:rPr>
        <w:t>for </w:t>
      </w:r>
      <w:r>
        <w:rPr>
          <w:w w:val="105"/>
          <w:sz w:val="21"/>
        </w:rPr>
        <w:t>the power of entry and inspection.</w:t>
      </w:r>
      <w:r>
        <w:rPr>
          <w:spacing w:val="15"/>
          <w:w w:val="105"/>
          <w:sz w:val="21"/>
        </w:rPr>
        <w:t> </w:t>
      </w:r>
      <w:r>
        <w:rPr>
          <w:w w:val="105"/>
          <w:position w:val="7"/>
          <w:sz w:val="12"/>
        </w:rPr>
        <w:t>192</w:t>
      </w:r>
    </w:p>
    <w:p>
      <w:pPr>
        <w:pStyle w:val="ListParagraph"/>
        <w:numPr>
          <w:ilvl w:val="1"/>
          <w:numId w:val="114"/>
        </w:numPr>
        <w:tabs>
          <w:tab w:pos="2380" w:val="left" w:leader="none"/>
          <w:tab w:pos="2381" w:val="left" w:leader="none"/>
        </w:tabs>
        <w:spacing w:line="242" w:lineRule="auto" w:before="128" w:after="0"/>
        <w:ind w:left="2381" w:right="1591" w:hanging="794"/>
        <w:jc w:val="left"/>
        <w:rPr>
          <w:sz w:val="12"/>
        </w:rPr>
      </w:pPr>
      <w:r>
        <w:rPr>
          <w:spacing w:val="-6"/>
          <w:sz w:val="21"/>
        </w:rPr>
        <w:t>VCAT’s </w:t>
      </w:r>
      <w:r>
        <w:rPr>
          <w:spacing w:val="-3"/>
          <w:sz w:val="21"/>
        </w:rPr>
        <w:t>preferred </w:t>
      </w:r>
      <w:r>
        <w:rPr>
          <w:sz w:val="21"/>
        </w:rPr>
        <w:t>approach is </w:t>
      </w:r>
      <w:r>
        <w:rPr>
          <w:spacing w:val="-3"/>
          <w:sz w:val="21"/>
        </w:rPr>
        <w:t>for </w:t>
      </w:r>
      <w:r>
        <w:rPr>
          <w:sz w:val="21"/>
        </w:rPr>
        <w:t>an on-site inspection </w:t>
      </w:r>
      <w:r>
        <w:rPr>
          <w:spacing w:val="-3"/>
          <w:sz w:val="21"/>
        </w:rPr>
        <w:t>to occur </w:t>
      </w:r>
      <w:r>
        <w:rPr>
          <w:sz w:val="21"/>
        </w:rPr>
        <w:t>after a </w:t>
      </w:r>
      <w:r>
        <w:rPr>
          <w:spacing w:val="-3"/>
          <w:sz w:val="21"/>
        </w:rPr>
        <w:t>hearing  </w:t>
      </w:r>
      <w:r>
        <w:rPr>
          <w:spacing w:val="-2"/>
          <w:sz w:val="21"/>
        </w:rPr>
        <w:t>has  </w:t>
      </w:r>
      <w:r>
        <w:rPr>
          <w:spacing w:val="-3"/>
          <w:sz w:val="21"/>
        </w:rPr>
        <w:t>taken place </w:t>
      </w:r>
      <w:r>
        <w:rPr>
          <w:sz w:val="21"/>
        </w:rPr>
        <w:t>when the evidence </w:t>
      </w:r>
      <w:r>
        <w:rPr>
          <w:spacing w:val="-2"/>
          <w:sz w:val="21"/>
        </w:rPr>
        <w:t>has </w:t>
      </w:r>
      <w:r>
        <w:rPr>
          <w:sz w:val="21"/>
        </w:rPr>
        <w:t>been </w:t>
      </w:r>
      <w:r>
        <w:rPr>
          <w:spacing w:val="-5"/>
          <w:sz w:val="21"/>
        </w:rPr>
        <w:t>heard.</w:t>
      </w:r>
      <w:r>
        <w:rPr>
          <w:spacing w:val="-5"/>
          <w:position w:val="7"/>
          <w:sz w:val="12"/>
        </w:rPr>
        <w:t>193 </w:t>
      </w:r>
      <w:r>
        <w:rPr>
          <w:sz w:val="21"/>
        </w:rPr>
        <w:t>Parties who </w:t>
      </w:r>
      <w:r>
        <w:rPr>
          <w:spacing w:val="-3"/>
          <w:sz w:val="21"/>
        </w:rPr>
        <w:t>are </w:t>
      </w:r>
      <w:r>
        <w:rPr>
          <w:sz w:val="21"/>
        </w:rPr>
        <w:t>present </w:t>
      </w:r>
      <w:r>
        <w:rPr>
          <w:spacing w:val="-3"/>
          <w:sz w:val="21"/>
        </w:rPr>
        <w:t>during </w:t>
      </w:r>
      <w:r>
        <w:rPr>
          <w:sz w:val="21"/>
        </w:rPr>
        <w:t>an inspection </w:t>
      </w:r>
      <w:r>
        <w:rPr>
          <w:spacing w:val="-3"/>
          <w:sz w:val="21"/>
        </w:rPr>
        <w:t>cannot argue </w:t>
      </w:r>
      <w:r>
        <w:rPr>
          <w:sz w:val="21"/>
        </w:rPr>
        <w:t>their case but they can answer the member’s questions about </w:t>
      </w:r>
      <w:r>
        <w:rPr>
          <w:spacing w:val="-3"/>
          <w:sz w:val="21"/>
        </w:rPr>
        <w:t>factual </w:t>
      </w:r>
      <w:r>
        <w:rPr>
          <w:sz w:val="21"/>
        </w:rPr>
        <w:t>issues. The </w:t>
      </w:r>
      <w:r>
        <w:rPr>
          <w:spacing w:val="-3"/>
          <w:sz w:val="21"/>
        </w:rPr>
        <w:t>way </w:t>
      </w:r>
      <w:r>
        <w:rPr>
          <w:sz w:val="21"/>
        </w:rPr>
        <w:t>on-site inspections </w:t>
      </w:r>
      <w:r>
        <w:rPr>
          <w:spacing w:val="-3"/>
          <w:sz w:val="21"/>
        </w:rPr>
        <w:t>are </w:t>
      </w:r>
      <w:r>
        <w:rPr>
          <w:sz w:val="21"/>
        </w:rPr>
        <w:t>conducted is at the </w:t>
      </w:r>
      <w:r>
        <w:rPr>
          <w:spacing w:val="-3"/>
          <w:sz w:val="21"/>
        </w:rPr>
        <w:t>discretion </w:t>
      </w:r>
      <w:r>
        <w:rPr>
          <w:sz w:val="21"/>
        </w:rPr>
        <w:t>of </w:t>
      </w:r>
      <w:r>
        <w:rPr>
          <w:spacing w:val="-5"/>
          <w:sz w:val="21"/>
        </w:rPr>
        <w:t>VCAT </w:t>
      </w:r>
      <w:r>
        <w:rPr>
          <w:sz w:val="21"/>
        </w:rPr>
        <w:t>and  </w:t>
      </w:r>
      <w:r>
        <w:rPr>
          <w:spacing w:val="-3"/>
          <w:sz w:val="21"/>
        </w:rPr>
        <w:t>may  </w:t>
      </w:r>
      <w:r>
        <w:rPr>
          <w:sz w:val="21"/>
        </w:rPr>
        <w:t>vary between </w:t>
      </w:r>
      <w:r>
        <w:rPr>
          <w:spacing w:val="-5"/>
          <w:sz w:val="21"/>
        </w:rPr>
        <w:t>VCAT</w:t>
      </w:r>
      <w:r>
        <w:rPr>
          <w:spacing w:val="18"/>
          <w:sz w:val="21"/>
        </w:rPr>
        <w:t> </w:t>
      </w:r>
      <w:r>
        <w:rPr>
          <w:spacing w:val="-3"/>
          <w:sz w:val="21"/>
        </w:rPr>
        <w:t>Lists.</w:t>
      </w:r>
      <w:r>
        <w:rPr>
          <w:spacing w:val="-3"/>
          <w:position w:val="7"/>
          <w:sz w:val="12"/>
        </w:rPr>
        <w:t>194</w:t>
      </w:r>
    </w:p>
    <w:p>
      <w:pPr>
        <w:pStyle w:val="ListParagraph"/>
        <w:numPr>
          <w:ilvl w:val="1"/>
          <w:numId w:val="114"/>
        </w:numPr>
        <w:tabs>
          <w:tab w:pos="2381" w:val="left" w:leader="none"/>
          <w:tab w:pos="2382" w:val="left" w:leader="none"/>
        </w:tabs>
        <w:spacing w:line="242" w:lineRule="auto" w:before="126" w:after="0"/>
        <w:ind w:left="2381" w:right="1650" w:hanging="794"/>
        <w:jc w:val="left"/>
        <w:rPr>
          <w:sz w:val="12"/>
        </w:rPr>
      </w:pPr>
      <w:r>
        <w:rPr>
          <w:spacing w:val="-5"/>
          <w:w w:val="105"/>
          <w:sz w:val="21"/>
        </w:rPr>
        <w:t>VCAT </w:t>
      </w:r>
      <w:r>
        <w:rPr>
          <w:w w:val="105"/>
          <w:sz w:val="21"/>
        </w:rPr>
        <w:t>also emphasised its </w:t>
      </w:r>
      <w:r>
        <w:rPr>
          <w:spacing w:val="-3"/>
          <w:w w:val="105"/>
          <w:sz w:val="21"/>
        </w:rPr>
        <w:t>‘strong </w:t>
      </w:r>
      <w:r>
        <w:rPr>
          <w:w w:val="105"/>
          <w:sz w:val="21"/>
        </w:rPr>
        <w:t>ADR </w:t>
      </w:r>
      <w:r>
        <w:rPr>
          <w:spacing w:val="-3"/>
          <w:w w:val="105"/>
          <w:sz w:val="21"/>
        </w:rPr>
        <w:t>culture’ </w:t>
      </w:r>
      <w:r>
        <w:rPr>
          <w:w w:val="105"/>
          <w:sz w:val="21"/>
        </w:rPr>
        <w:t>and explained </w:t>
      </w:r>
      <w:r>
        <w:rPr>
          <w:spacing w:val="-3"/>
          <w:w w:val="105"/>
          <w:sz w:val="21"/>
        </w:rPr>
        <w:t>that </w:t>
      </w:r>
      <w:r>
        <w:rPr>
          <w:w w:val="105"/>
          <w:sz w:val="21"/>
        </w:rPr>
        <w:t>in </w:t>
      </w:r>
      <w:r>
        <w:rPr>
          <w:spacing w:val="-3"/>
          <w:w w:val="105"/>
          <w:sz w:val="21"/>
        </w:rPr>
        <w:t>all </w:t>
      </w:r>
      <w:r>
        <w:rPr>
          <w:w w:val="105"/>
          <w:sz w:val="21"/>
        </w:rPr>
        <w:t>of its Lists, parties </w:t>
      </w:r>
      <w:r>
        <w:rPr>
          <w:spacing w:val="-3"/>
          <w:w w:val="105"/>
          <w:sz w:val="21"/>
        </w:rPr>
        <w:t>have </w:t>
      </w:r>
      <w:r>
        <w:rPr>
          <w:w w:val="105"/>
          <w:sz w:val="21"/>
        </w:rPr>
        <w:t>the opportunity </w:t>
      </w:r>
      <w:r>
        <w:rPr>
          <w:spacing w:val="-3"/>
          <w:w w:val="105"/>
          <w:sz w:val="21"/>
        </w:rPr>
        <w:t>to </w:t>
      </w:r>
      <w:r>
        <w:rPr>
          <w:w w:val="105"/>
          <w:sz w:val="21"/>
        </w:rPr>
        <w:t>resolve their own </w:t>
      </w:r>
      <w:r>
        <w:rPr>
          <w:spacing w:val="-3"/>
          <w:w w:val="105"/>
          <w:sz w:val="21"/>
        </w:rPr>
        <w:t>disputes. </w:t>
      </w:r>
      <w:r>
        <w:rPr>
          <w:spacing w:val="-5"/>
          <w:w w:val="105"/>
          <w:sz w:val="21"/>
        </w:rPr>
        <w:t>VCAT </w:t>
      </w:r>
      <w:r>
        <w:rPr>
          <w:w w:val="105"/>
          <w:sz w:val="21"/>
        </w:rPr>
        <w:t>is </w:t>
      </w:r>
      <w:r>
        <w:rPr>
          <w:spacing w:val="-3"/>
          <w:w w:val="105"/>
          <w:sz w:val="21"/>
        </w:rPr>
        <w:t>currently expanding </w:t>
      </w:r>
      <w:r>
        <w:rPr>
          <w:w w:val="105"/>
          <w:sz w:val="21"/>
        </w:rPr>
        <w:t>its ADR </w:t>
      </w:r>
      <w:r>
        <w:rPr>
          <w:spacing w:val="-3"/>
          <w:w w:val="105"/>
          <w:sz w:val="21"/>
        </w:rPr>
        <w:t>program following recommendations </w:t>
      </w:r>
      <w:r>
        <w:rPr>
          <w:w w:val="105"/>
          <w:sz w:val="21"/>
        </w:rPr>
        <w:t>of the </w:t>
      </w:r>
      <w:r>
        <w:rPr>
          <w:spacing w:val="-3"/>
          <w:w w:val="105"/>
          <w:sz w:val="21"/>
        </w:rPr>
        <w:t>Access to </w:t>
      </w:r>
      <w:r>
        <w:rPr>
          <w:w w:val="105"/>
          <w:sz w:val="21"/>
        </w:rPr>
        <w:t>Justice</w:t>
      </w:r>
      <w:r>
        <w:rPr>
          <w:spacing w:val="2"/>
          <w:w w:val="105"/>
          <w:sz w:val="21"/>
        </w:rPr>
        <w:t> </w:t>
      </w:r>
      <w:r>
        <w:rPr>
          <w:spacing w:val="-5"/>
          <w:w w:val="105"/>
          <w:sz w:val="21"/>
        </w:rPr>
        <w:t>Review.</w:t>
      </w:r>
      <w:r>
        <w:rPr>
          <w:spacing w:val="-5"/>
          <w:w w:val="105"/>
          <w:position w:val="7"/>
          <w:sz w:val="12"/>
        </w:rPr>
        <w:t>195</w:t>
      </w:r>
    </w:p>
    <w:p>
      <w:pPr>
        <w:pStyle w:val="Heading7"/>
        <w:spacing w:before="153"/>
      </w:pPr>
      <w:r>
        <w:rPr>
          <w:w w:val="115"/>
        </w:rPr>
        <w:t>Community support for the Magistrates’ Court</w:t>
      </w:r>
    </w:p>
    <w:p>
      <w:pPr>
        <w:pStyle w:val="ListParagraph"/>
        <w:numPr>
          <w:ilvl w:val="1"/>
          <w:numId w:val="114"/>
        </w:numPr>
        <w:tabs>
          <w:tab w:pos="2381" w:val="left" w:leader="none"/>
          <w:tab w:pos="2382" w:val="left" w:leader="none"/>
        </w:tabs>
        <w:spacing w:line="242" w:lineRule="auto" w:before="143" w:after="0"/>
        <w:ind w:left="2381" w:right="1979" w:hanging="794"/>
        <w:jc w:val="left"/>
        <w:rPr>
          <w:sz w:val="12"/>
        </w:rPr>
      </w:pPr>
      <w:r>
        <w:rPr>
          <w:w w:val="105"/>
          <w:sz w:val="21"/>
        </w:rPr>
        <w:t>A</w:t>
      </w:r>
      <w:r>
        <w:rPr>
          <w:spacing w:val="-5"/>
          <w:w w:val="105"/>
          <w:sz w:val="21"/>
        </w:rPr>
        <w:t> </w:t>
      </w:r>
      <w:r>
        <w:rPr>
          <w:w w:val="105"/>
          <w:sz w:val="21"/>
        </w:rPr>
        <w:t>number</w:t>
      </w:r>
      <w:r>
        <w:rPr>
          <w:spacing w:val="-4"/>
          <w:w w:val="105"/>
          <w:sz w:val="21"/>
        </w:rPr>
        <w:t> </w:t>
      </w:r>
      <w:r>
        <w:rPr>
          <w:w w:val="105"/>
          <w:sz w:val="21"/>
        </w:rPr>
        <w:t>of</w:t>
      </w:r>
      <w:r>
        <w:rPr>
          <w:spacing w:val="-5"/>
          <w:w w:val="105"/>
          <w:sz w:val="21"/>
        </w:rPr>
        <w:t> </w:t>
      </w:r>
      <w:r>
        <w:rPr>
          <w:w w:val="105"/>
          <w:sz w:val="21"/>
        </w:rPr>
        <w:t>people</w:t>
      </w:r>
      <w:r>
        <w:rPr>
          <w:spacing w:val="-4"/>
          <w:w w:val="105"/>
          <w:sz w:val="21"/>
        </w:rPr>
        <w:t> </w:t>
      </w:r>
      <w:r>
        <w:rPr>
          <w:w w:val="105"/>
          <w:sz w:val="21"/>
        </w:rPr>
        <w:t>suggested</w:t>
      </w:r>
      <w:r>
        <w:rPr>
          <w:spacing w:val="-4"/>
          <w:w w:val="105"/>
          <w:sz w:val="21"/>
        </w:rPr>
        <w:t> </w:t>
      </w:r>
      <w:r>
        <w:rPr>
          <w:spacing w:val="-3"/>
          <w:w w:val="105"/>
          <w:sz w:val="21"/>
        </w:rPr>
        <w:t>that</w:t>
      </w:r>
      <w:r>
        <w:rPr>
          <w:spacing w:val="-5"/>
          <w:w w:val="105"/>
          <w:sz w:val="21"/>
        </w:rPr>
        <w:t> </w:t>
      </w:r>
      <w:r>
        <w:rPr>
          <w:w w:val="105"/>
          <w:sz w:val="21"/>
        </w:rPr>
        <w:t>the</w:t>
      </w:r>
      <w:r>
        <w:rPr>
          <w:spacing w:val="-4"/>
          <w:w w:val="105"/>
          <w:sz w:val="21"/>
        </w:rPr>
        <w:t> </w:t>
      </w:r>
      <w:r>
        <w:rPr>
          <w:spacing w:val="-3"/>
          <w:w w:val="105"/>
          <w:sz w:val="21"/>
        </w:rPr>
        <w:t>Magistrates’</w:t>
      </w:r>
      <w:r>
        <w:rPr>
          <w:spacing w:val="-4"/>
          <w:w w:val="105"/>
          <w:sz w:val="21"/>
        </w:rPr>
        <w:t> </w:t>
      </w:r>
      <w:r>
        <w:rPr>
          <w:spacing w:val="-3"/>
          <w:w w:val="105"/>
          <w:sz w:val="21"/>
        </w:rPr>
        <w:t>Court</w:t>
      </w:r>
      <w:r>
        <w:rPr>
          <w:spacing w:val="-5"/>
          <w:w w:val="105"/>
          <w:sz w:val="21"/>
        </w:rPr>
        <w:t> </w:t>
      </w:r>
      <w:r>
        <w:rPr>
          <w:w w:val="105"/>
          <w:sz w:val="21"/>
        </w:rPr>
        <w:t>should</w:t>
      </w:r>
      <w:r>
        <w:rPr>
          <w:spacing w:val="-4"/>
          <w:w w:val="105"/>
          <w:sz w:val="21"/>
        </w:rPr>
        <w:t> </w:t>
      </w:r>
      <w:r>
        <w:rPr>
          <w:spacing w:val="-3"/>
          <w:w w:val="105"/>
          <w:sz w:val="21"/>
        </w:rPr>
        <w:t>have</w:t>
      </w:r>
      <w:r>
        <w:rPr>
          <w:spacing w:val="-5"/>
          <w:w w:val="105"/>
          <w:sz w:val="21"/>
        </w:rPr>
        <w:t> </w:t>
      </w:r>
      <w:r>
        <w:rPr>
          <w:w w:val="105"/>
          <w:sz w:val="21"/>
        </w:rPr>
        <w:t>jurisdiction</w:t>
      </w:r>
      <w:r>
        <w:rPr>
          <w:spacing w:val="-4"/>
          <w:w w:val="105"/>
          <w:sz w:val="21"/>
        </w:rPr>
        <w:t> </w:t>
      </w:r>
      <w:r>
        <w:rPr>
          <w:spacing w:val="-3"/>
          <w:w w:val="105"/>
          <w:sz w:val="21"/>
        </w:rPr>
        <w:t>to </w:t>
      </w:r>
      <w:r>
        <w:rPr>
          <w:w w:val="105"/>
          <w:sz w:val="21"/>
        </w:rPr>
        <w:t>hear tree </w:t>
      </w:r>
      <w:r>
        <w:rPr>
          <w:spacing w:val="-3"/>
          <w:w w:val="105"/>
          <w:sz w:val="21"/>
        </w:rPr>
        <w:t>disputes </w:t>
      </w:r>
      <w:r>
        <w:rPr>
          <w:w w:val="105"/>
          <w:sz w:val="21"/>
        </w:rPr>
        <w:t>under the new</w:t>
      </w:r>
      <w:r>
        <w:rPr>
          <w:spacing w:val="32"/>
          <w:w w:val="105"/>
          <w:sz w:val="21"/>
        </w:rPr>
        <w:t> </w:t>
      </w:r>
      <w:r>
        <w:rPr>
          <w:spacing w:val="-4"/>
          <w:w w:val="105"/>
          <w:sz w:val="21"/>
        </w:rPr>
        <w:t>Act.</w:t>
      </w:r>
      <w:r>
        <w:rPr>
          <w:spacing w:val="-4"/>
          <w:w w:val="105"/>
          <w:position w:val="7"/>
          <w:sz w:val="12"/>
        </w:rPr>
        <w:t>196</w:t>
      </w:r>
    </w:p>
    <w:p>
      <w:pPr>
        <w:pStyle w:val="ListParagraph"/>
        <w:numPr>
          <w:ilvl w:val="1"/>
          <w:numId w:val="114"/>
        </w:numPr>
        <w:tabs>
          <w:tab w:pos="2381" w:val="left" w:leader="none"/>
          <w:tab w:pos="2382" w:val="left" w:leader="none"/>
        </w:tabs>
        <w:spacing w:line="242" w:lineRule="auto" w:before="122" w:after="0"/>
        <w:ind w:left="2381" w:right="1688" w:hanging="794"/>
        <w:jc w:val="left"/>
        <w:rPr>
          <w:sz w:val="21"/>
        </w:rPr>
      </w:pPr>
      <w:r>
        <w:rPr>
          <w:sz w:val="21"/>
        </w:rPr>
        <w:t>The </w:t>
      </w:r>
      <w:r>
        <w:rPr>
          <w:spacing w:val="-3"/>
          <w:sz w:val="21"/>
        </w:rPr>
        <w:t>Magistrates’ Court submission </w:t>
      </w:r>
      <w:r>
        <w:rPr>
          <w:sz w:val="21"/>
        </w:rPr>
        <w:t>advised </w:t>
      </w:r>
      <w:r>
        <w:rPr>
          <w:spacing w:val="-3"/>
          <w:sz w:val="21"/>
        </w:rPr>
        <w:t>that </w:t>
      </w:r>
      <w:r>
        <w:rPr>
          <w:sz w:val="21"/>
        </w:rPr>
        <w:t>it is  </w:t>
      </w:r>
      <w:r>
        <w:rPr>
          <w:spacing w:val="-3"/>
          <w:sz w:val="21"/>
        </w:rPr>
        <w:t>well  </w:t>
      </w:r>
      <w:r>
        <w:rPr>
          <w:spacing w:val="-2"/>
          <w:sz w:val="21"/>
        </w:rPr>
        <w:t>placed  </w:t>
      </w:r>
      <w:r>
        <w:rPr>
          <w:spacing w:val="-3"/>
          <w:sz w:val="21"/>
        </w:rPr>
        <w:t>to  </w:t>
      </w:r>
      <w:r>
        <w:rPr>
          <w:sz w:val="21"/>
        </w:rPr>
        <w:t>hear  and  </w:t>
      </w:r>
      <w:r>
        <w:rPr>
          <w:spacing w:val="-3"/>
          <w:sz w:val="21"/>
        </w:rPr>
        <w:t>determine </w:t>
      </w:r>
      <w:r>
        <w:rPr>
          <w:sz w:val="21"/>
        </w:rPr>
        <w:t>tree </w:t>
      </w:r>
      <w:r>
        <w:rPr>
          <w:spacing w:val="-3"/>
          <w:sz w:val="21"/>
        </w:rPr>
        <w:t>disputes  </w:t>
      </w:r>
      <w:r>
        <w:rPr>
          <w:sz w:val="21"/>
        </w:rPr>
        <w:t>and </w:t>
      </w:r>
      <w:r>
        <w:rPr>
          <w:spacing w:val="-3"/>
          <w:sz w:val="21"/>
        </w:rPr>
        <w:t>that</w:t>
      </w:r>
      <w:r>
        <w:rPr>
          <w:spacing w:val="41"/>
          <w:sz w:val="21"/>
        </w:rPr>
        <w:t> </w:t>
      </w:r>
      <w:r>
        <w:rPr>
          <w:sz w:val="21"/>
        </w:rPr>
        <w:t>a statutory scheme </w:t>
      </w:r>
      <w:r>
        <w:rPr>
          <w:spacing w:val="-3"/>
          <w:sz w:val="21"/>
        </w:rPr>
        <w:t>‘would  readily  </w:t>
      </w:r>
      <w:r>
        <w:rPr>
          <w:sz w:val="21"/>
        </w:rPr>
        <w:t>work in conjunction with the </w:t>
      </w:r>
      <w:r>
        <w:rPr>
          <w:spacing w:val="-3"/>
          <w:sz w:val="21"/>
        </w:rPr>
        <w:t>suite </w:t>
      </w:r>
      <w:r>
        <w:rPr>
          <w:sz w:val="21"/>
        </w:rPr>
        <w:t>of powers the [Magistrates’ </w:t>
      </w:r>
      <w:r>
        <w:rPr>
          <w:spacing w:val="-3"/>
          <w:sz w:val="21"/>
        </w:rPr>
        <w:t>Court] already </w:t>
      </w:r>
      <w:r>
        <w:rPr>
          <w:sz w:val="21"/>
        </w:rPr>
        <w:t>possesses as a court of </w:t>
      </w:r>
      <w:r>
        <w:rPr>
          <w:spacing w:val="-7"/>
          <w:sz w:val="21"/>
        </w:rPr>
        <w:t>law’.</w:t>
      </w:r>
      <w:r>
        <w:rPr>
          <w:spacing w:val="-7"/>
          <w:position w:val="7"/>
          <w:sz w:val="12"/>
        </w:rPr>
        <w:t>197 </w:t>
      </w:r>
      <w:r>
        <w:rPr>
          <w:sz w:val="21"/>
        </w:rPr>
        <w:t>The </w:t>
      </w:r>
      <w:r>
        <w:rPr>
          <w:spacing w:val="-3"/>
          <w:sz w:val="21"/>
        </w:rPr>
        <w:t>Magistrates’ Court highlighted that </w:t>
      </w:r>
      <w:r>
        <w:rPr>
          <w:sz w:val="21"/>
        </w:rPr>
        <w:t>it </w:t>
      </w:r>
      <w:r>
        <w:rPr>
          <w:spacing w:val="-2"/>
          <w:sz w:val="21"/>
        </w:rPr>
        <w:t>has </w:t>
      </w:r>
      <w:r>
        <w:rPr>
          <w:sz w:val="21"/>
        </w:rPr>
        <w:t>the </w:t>
      </w:r>
      <w:r>
        <w:rPr>
          <w:spacing w:val="-3"/>
          <w:sz w:val="21"/>
        </w:rPr>
        <w:t>‘largest suburban </w:t>
      </w:r>
      <w:r>
        <w:rPr>
          <w:sz w:val="21"/>
        </w:rPr>
        <w:t>and </w:t>
      </w:r>
      <w:r>
        <w:rPr>
          <w:spacing w:val="-3"/>
          <w:sz w:val="21"/>
        </w:rPr>
        <w:t>regional reach </w:t>
      </w:r>
      <w:r>
        <w:rPr>
          <w:sz w:val="21"/>
        </w:rPr>
        <w:t>of </w:t>
      </w:r>
      <w:r>
        <w:rPr>
          <w:spacing w:val="-3"/>
          <w:sz w:val="21"/>
        </w:rPr>
        <w:t>any adjudicative</w:t>
      </w:r>
      <w:r>
        <w:rPr>
          <w:spacing w:val="12"/>
          <w:sz w:val="21"/>
        </w:rPr>
        <w:t> </w:t>
      </w:r>
      <w:r>
        <w:rPr>
          <w:sz w:val="21"/>
        </w:rPr>
        <w:t>body</w:t>
      </w:r>
      <w:r>
        <w:rPr>
          <w:spacing w:val="12"/>
          <w:sz w:val="21"/>
        </w:rPr>
        <w:t> </w:t>
      </w:r>
      <w:r>
        <w:rPr>
          <w:sz w:val="21"/>
        </w:rPr>
        <w:t>in</w:t>
      </w:r>
      <w:r>
        <w:rPr>
          <w:spacing w:val="13"/>
          <w:sz w:val="21"/>
        </w:rPr>
        <w:t> </w:t>
      </w:r>
      <w:r>
        <w:rPr>
          <w:spacing w:val="-4"/>
          <w:sz w:val="21"/>
        </w:rPr>
        <w:t>Victoria’.</w:t>
      </w:r>
      <w:r>
        <w:rPr>
          <w:spacing w:val="12"/>
          <w:sz w:val="21"/>
        </w:rPr>
        <w:t> </w:t>
      </w:r>
      <w:r>
        <w:rPr>
          <w:sz w:val="21"/>
        </w:rPr>
        <w:t>Other</w:t>
      </w:r>
      <w:r>
        <w:rPr>
          <w:spacing w:val="13"/>
          <w:sz w:val="21"/>
        </w:rPr>
        <w:t> </w:t>
      </w:r>
      <w:r>
        <w:rPr>
          <w:sz w:val="21"/>
        </w:rPr>
        <w:t>advantages</w:t>
      </w:r>
      <w:r>
        <w:rPr>
          <w:spacing w:val="12"/>
          <w:sz w:val="21"/>
        </w:rPr>
        <w:t> </w:t>
      </w:r>
      <w:r>
        <w:rPr>
          <w:spacing w:val="-3"/>
          <w:sz w:val="21"/>
        </w:rPr>
        <w:t>noted</w:t>
      </w:r>
      <w:r>
        <w:rPr>
          <w:spacing w:val="13"/>
          <w:sz w:val="21"/>
        </w:rPr>
        <w:t> </w:t>
      </w:r>
      <w:r>
        <w:rPr>
          <w:spacing w:val="-3"/>
          <w:sz w:val="21"/>
        </w:rPr>
        <w:t>were</w:t>
      </w:r>
      <w:r>
        <w:rPr>
          <w:spacing w:val="12"/>
          <w:sz w:val="21"/>
        </w:rPr>
        <w:t> </w:t>
      </w:r>
      <w:r>
        <w:rPr>
          <w:spacing w:val="-3"/>
          <w:sz w:val="21"/>
        </w:rPr>
        <w:t>that</w:t>
      </w:r>
      <w:r>
        <w:rPr>
          <w:spacing w:val="13"/>
          <w:sz w:val="21"/>
        </w:rPr>
        <w:t> </w:t>
      </w:r>
      <w:r>
        <w:rPr>
          <w:sz w:val="21"/>
        </w:rPr>
        <w:t>it</w:t>
      </w:r>
      <w:r>
        <w:rPr>
          <w:spacing w:val="12"/>
          <w:sz w:val="21"/>
        </w:rPr>
        <w:t> </w:t>
      </w:r>
      <w:r>
        <w:rPr>
          <w:sz w:val="21"/>
        </w:rPr>
        <w:t>has:</w:t>
      </w:r>
    </w:p>
    <w:p>
      <w:pPr>
        <w:pStyle w:val="ListParagraph"/>
        <w:numPr>
          <w:ilvl w:val="2"/>
          <w:numId w:val="114"/>
        </w:numPr>
        <w:tabs>
          <w:tab w:pos="2721" w:val="left" w:leader="none"/>
          <w:tab w:pos="2722" w:val="left" w:leader="none"/>
        </w:tabs>
        <w:spacing w:line="242" w:lineRule="auto" w:before="126" w:after="0"/>
        <w:ind w:left="2721" w:right="1758" w:hanging="340"/>
        <w:jc w:val="left"/>
        <w:rPr>
          <w:sz w:val="21"/>
        </w:rPr>
      </w:pPr>
      <w:r>
        <w:rPr>
          <w:w w:val="105"/>
          <w:sz w:val="21"/>
        </w:rPr>
        <w:t>equitable </w:t>
      </w:r>
      <w:r>
        <w:rPr>
          <w:spacing w:val="-3"/>
          <w:w w:val="105"/>
          <w:sz w:val="21"/>
        </w:rPr>
        <w:t>jurisdiction, allowing </w:t>
      </w:r>
      <w:r>
        <w:rPr>
          <w:w w:val="105"/>
          <w:sz w:val="21"/>
        </w:rPr>
        <w:t>it </w:t>
      </w:r>
      <w:r>
        <w:rPr>
          <w:spacing w:val="-3"/>
          <w:w w:val="105"/>
          <w:sz w:val="21"/>
        </w:rPr>
        <w:t>to grant </w:t>
      </w:r>
      <w:r>
        <w:rPr>
          <w:w w:val="105"/>
          <w:sz w:val="21"/>
        </w:rPr>
        <w:t>an injunction </w:t>
      </w:r>
      <w:r>
        <w:rPr>
          <w:spacing w:val="-3"/>
          <w:w w:val="105"/>
          <w:sz w:val="21"/>
        </w:rPr>
        <w:t>compelling </w:t>
      </w:r>
      <w:r>
        <w:rPr>
          <w:w w:val="105"/>
          <w:sz w:val="21"/>
        </w:rPr>
        <w:t>a person </w:t>
      </w:r>
      <w:r>
        <w:rPr>
          <w:spacing w:val="-3"/>
          <w:w w:val="105"/>
          <w:sz w:val="21"/>
        </w:rPr>
        <w:t>to </w:t>
      </w:r>
      <w:r>
        <w:rPr>
          <w:w w:val="105"/>
          <w:sz w:val="21"/>
        </w:rPr>
        <w:t>do or </w:t>
      </w:r>
      <w:r>
        <w:rPr>
          <w:spacing w:val="-3"/>
          <w:w w:val="105"/>
          <w:sz w:val="21"/>
        </w:rPr>
        <w:t>restrain from </w:t>
      </w:r>
      <w:r>
        <w:rPr>
          <w:w w:val="105"/>
          <w:sz w:val="21"/>
        </w:rPr>
        <w:t>doing certain </w:t>
      </w:r>
      <w:r>
        <w:rPr>
          <w:spacing w:val="-3"/>
          <w:w w:val="105"/>
          <w:sz w:val="21"/>
        </w:rPr>
        <w:t>things </w:t>
      </w:r>
      <w:r>
        <w:rPr>
          <w:w w:val="105"/>
          <w:sz w:val="21"/>
        </w:rPr>
        <w:t>and </w:t>
      </w:r>
      <w:r>
        <w:rPr>
          <w:spacing w:val="-3"/>
          <w:w w:val="105"/>
          <w:sz w:val="21"/>
        </w:rPr>
        <w:t>to </w:t>
      </w:r>
      <w:r>
        <w:rPr>
          <w:w w:val="105"/>
          <w:sz w:val="21"/>
        </w:rPr>
        <w:t>provide a remedy where </w:t>
      </w:r>
      <w:r>
        <w:rPr>
          <w:spacing w:val="-3"/>
          <w:w w:val="105"/>
          <w:sz w:val="21"/>
        </w:rPr>
        <w:t>proceedings have </w:t>
      </w:r>
      <w:r>
        <w:rPr>
          <w:spacing w:val="-2"/>
          <w:w w:val="105"/>
          <w:sz w:val="21"/>
        </w:rPr>
        <w:t>not </w:t>
      </w:r>
      <w:r>
        <w:rPr>
          <w:w w:val="105"/>
          <w:sz w:val="21"/>
        </w:rPr>
        <w:t>yet been </w:t>
      </w:r>
      <w:r>
        <w:rPr>
          <w:spacing w:val="-3"/>
          <w:w w:val="105"/>
          <w:sz w:val="21"/>
        </w:rPr>
        <w:t>commenced </w:t>
      </w:r>
      <w:r>
        <w:rPr>
          <w:w w:val="105"/>
          <w:sz w:val="21"/>
        </w:rPr>
        <w:t>and damage </w:t>
      </w:r>
      <w:r>
        <w:rPr>
          <w:spacing w:val="-2"/>
          <w:w w:val="105"/>
          <w:sz w:val="21"/>
        </w:rPr>
        <w:t>has not </w:t>
      </w:r>
      <w:r>
        <w:rPr>
          <w:w w:val="105"/>
          <w:sz w:val="21"/>
        </w:rPr>
        <w:t>yet </w:t>
      </w:r>
      <w:r>
        <w:rPr>
          <w:spacing w:val="-3"/>
          <w:w w:val="105"/>
          <w:sz w:val="21"/>
        </w:rPr>
        <w:t>occurred </w:t>
      </w:r>
      <w:r>
        <w:rPr>
          <w:w w:val="105"/>
          <w:sz w:val="21"/>
        </w:rPr>
        <w:t>but is</w:t>
      </w:r>
      <w:r>
        <w:rPr>
          <w:spacing w:val="25"/>
          <w:w w:val="105"/>
          <w:sz w:val="21"/>
        </w:rPr>
        <w:t> </w:t>
      </w:r>
      <w:r>
        <w:rPr>
          <w:spacing w:val="-3"/>
          <w:w w:val="105"/>
          <w:sz w:val="21"/>
        </w:rPr>
        <w:t>imminent</w:t>
      </w:r>
    </w:p>
    <w:p>
      <w:pPr>
        <w:pStyle w:val="ListParagraph"/>
        <w:numPr>
          <w:ilvl w:val="2"/>
          <w:numId w:val="114"/>
        </w:numPr>
        <w:tabs>
          <w:tab w:pos="2721" w:val="left" w:leader="none"/>
          <w:tab w:pos="2722" w:val="left" w:leader="none"/>
        </w:tabs>
        <w:spacing w:line="240" w:lineRule="auto" w:before="88" w:after="0"/>
        <w:ind w:left="2721" w:right="0" w:hanging="340"/>
        <w:jc w:val="left"/>
        <w:rPr>
          <w:sz w:val="21"/>
        </w:rPr>
      </w:pPr>
      <w:r>
        <w:rPr>
          <w:w w:val="105"/>
          <w:sz w:val="21"/>
        </w:rPr>
        <w:t>a </w:t>
      </w:r>
      <w:r>
        <w:rPr>
          <w:spacing w:val="-3"/>
          <w:w w:val="105"/>
          <w:sz w:val="21"/>
        </w:rPr>
        <w:t>substantial </w:t>
      </w:r>
      <w:r>
        <w:rPr>
          <w:w w:val="105"/>
          <w:sz w:val="21"/>
        </w:rPr>
        <w:t>video-hearing</w:t>
      </w:r>
      <w:r>
        <w:rPr>
          <w:spacing w:val="18"/>
          <w:w w:val="105"/>
          <w:sz w:val="21"/>
        </w:rPr>
        <w:t> </w:t>
      </w:r>
      <w:r>
        <w:rPr>
          <w:w w:val="105"/>
          <w:sz w:val="21"/>
        </w:rPr>
        <w:t>capacity</w:t>
      </w:r>
    </w:p>
    <w:p>
      <w:pPr>
        <w:pStyle w:val="ListParagraph"/>
        <w:numPr>
          <w:ilvl w:val="2"/>
          <w:numId w:val="114"/>
        </w:numPr>
        <w:tabs>
          <w:tab w:pos="2721" w:val="left" w:leader="none"/>
          <w:tab w:pos="2722" w:val="left" w:leader="none"/>
        </w:tabs>
        <w:spacing w:line="240" w:lineRule="auto" w:before="89" w:after="0"/>
        <w:ind w:left="2721" w:right="0" w:hanging="340"/>
        <w:jc w:val="left"/>
        <w:rPr>
          <w:sz w:val="21"/>
        </w:rPr>
      </w:pPr>
      <w:r>
        <w:rPr>
          <w:w w:val="105"/>
          <w:sz w:val="21"/>
        </w:rPr>
        <w:t>the power </w:t>
      </w:r>
      <w:r>
        <w:rPr>
          <w:spacing w:val="-3"/>
          <w:w w:val="105"/>
          <w:sz w:val="21"/>
        </w:rPr>
        <w:t>to transfer </w:t>
      </w:r>
      <w:r>
        <w:rPr>
          <w:w w:val="105"/>
          <w:sz w:val="21"/>
        </w:rPr>
        <w:t>a matter </w:t>
      </w:r>
      <w:r>
        <w:rPr>
          <w:spacing w:val="-3"/>
          <w:w w:val="105"/>
          <w:sz w:val="21"/>
        </w:rPr>
        <w:t>to </w:t>
      </w:r>
      <w:r>
        <w:rPr>
          <w:w w:val="105"/>
          <w:sz w:val="21"/>
        </w:rPr>
        <w:t>a </w:t>
      </w:r>
      <w:r>
        <w:rPr>
          <w:spacing w:val="-3"/>
          <w:w w:val="105"/>
          <w:sz w:val="21"/>
        </w:rPr>
        <w:t>higher </w:t>
      </w:r>
      <w:r>
        <w:rPr>
          <w:w w:val="105"/>
          <w:sz w:val="21"/>
        </w:rPr>
        <w:t>jurisdiction if</w:t>
      </w:r>
      <w:r>
        <w:rPr>
          <w:spacing w:val="2"/>
          <w:w w:val="105"/>
          <w:sz w:val="21"/>
        </w:rPr>
        <w:t> </w:t>
      </w:r>
      <w:r>
        <w:rPr>
          <w:w w:val="105"/>
          <w:sz w:val="21"/>
        </w:rPr>
        <w:t>needed</w:t>
      </w:r>
    </w:p>
    <w:p>
      <w:pPr>
        <w:pStyle w:val="ListParagraph"/>
        <w:numPr>
          <w:ilvl w:val="2"/>
          <w:numId w:val="114"/>
        </w:numPr>
        <w:tabs>
          <w:tab w:pos="2721" w:val="left" w:leader="none"/>
          <w:tab w:pos="2722" w:val="left" w:leader="none"/>
        </w:tabs>
        <w:spacing w:line="242" w:lineRule="auto" w:before="88" w:after="0"/>
        <w:ind w:left="2721" w:right="1701" w:hanging="340"/>
        <w:jc w:val="left"/>
        <w:rPr>
          <w:sz w:val="21"/>
        </w:rPr>
      </w:pPr>
      <w:r>
        <w:rPr>
          <w:w w:val="105"/>
          <w:sz w:val="21"/>
        </w:rPr>
        <w:t>power</w:t>
      </w:r>
      <w:r>
        <w:rPr>
          <w:spacing w:val="-6"/>
          <w:w w:val="105"/>
          <w:sz w:val="21"/>
        </w:rPr>
        <w:t> </w:t>
      </w:r>
      <w:r>
        <w:rPr>
          <w:spacing w:val="-3"/>
          <w:w w:val="105"/>
          <w:sz w:val="21"/>
        </w:rPr>
        <w:t>that</w:t>
      </w:r>
      <w:r>
        <w:rPr>
          <w:spacing w:val="-5"/>
          <w:w w:val="105"/>
          <w:sz w:val="21"/>
        </w:rPr>
        <w:t> </w:t>
      </w:r>
      <w:r>
        <w:rPr>
          <w:spacing w:val="-3"/>
          <w:w w:val="105"/>
          <w:sz w:val="21"/>
        </w:rPr>
        <w:t>may</w:t>
      </w:r>
      <w:r>
        <w:rPr>
          <w:spacing w:val="-5"/>
          <w:w w:val="105"/>
          <w:sz w:val="21"/>
        </w:rPr>
        <w:t> </w:t>
      </w:r>
      <w:r>
        <w:rPr>
          <w:w w:val="105"/>
          <w:sz w:val="21"/>
        </w:rPr>
        <w:t>be</w:t>
      </w:r>
      <w:r>
        <w:rPr>
          <w:spacing w:val="-5"/>
          <w:w w:val="105"/>
          <w:sz w:val="21"/>
        </w:rPr>
        <w:t> </w:t>
      </w:r>
      <w:r>
        <w:rPr>
          <w:spacing w:val="-3"/>
          <w:w w:val="105"/>
          <w:sz w:val="21"/>
        </w:rPr>
        <w:t>exercised</w:t>
      </w:r>
      <w:r>
        <w:rPr>
          <w:spacing w:val="-5"/>
          <w:w w:val="105"/>
          <w:sz w:val="21"/>
        </w:rPr>
        <w:t> </w:t>
      </w:r>
      <w:r>
        <w:rPr>
          <w:w w:val="105"/>
          <w:sz w:val="21"/>
        </w:rPr>
        <w:t>under</w:t>
      </w:r>
      <w:r>
        <w:rPr>
          <w:spacing w:val="-6"/>
          <w:w w:val="105"/>
          <w:sz w:val="21"/>
        </w:rPr>
        <w:t> </w:t>
      </w:r>
      <w:r>
        <w:rPr>
          <w:w w:val="105"/>
          <w:sz w:val="21"/>
        </w:rPr>
        <w:t>the</w:t>
      </w:r>
      <w:r>
        <w:rPr>
          <w:spacing w:val="-5"/>
          <w:w w:val="105"/>
          <w:sz w:val="21"/>
        </w:rPr>
        <w:t> </w:t>
      </w:r>
      <w:r>
        <w:rPr>
          <w:i/>
          <w:w w:val="105"/>
          <w:sz w:val="21"/>
        </w:rPr>
        <w:t>Civil</w:t>
      </w:r>
      <w:r>
        <w:rPr>
          <w:i/>
          <w:spacing w:val="-5"/>
          <w:w w:val="105"/>
          <w:sz w:val="21"/>
        </w:rPr>
        <w:t> </w:t>
      </w:r>
      <w:r>
        <w:rPr>
          <w:i/>
          <w:w w:val="105"/>
          <w:sz w:val="21"/>
        </w:rPr>
        <w:t>Procedure</w:t>
      </w:r>
      <w:r>
        <w:rPr>
          <w:i/>
          <w:spacing w:val="-5"/>
          <w:w w:val="105"/>
          <w:sz w:val="21"/>
        </w:rPr>
        <w:t> </w:t>
      </w:r>
      <w:r>
        <w:rPr>
          <w:i/>
          <w:w w:val="105"/>
          <w:sz w:val="21"/>
        </w:rPr>
        <w:t>Act</w:t>
      </w:r>
      <w:r>
        <w:rPr>
          <w:i/>
          <w:spacing w:val="-5"/>
          <w:w w:val="105"/>
          <w:sz w:val="21"/>
        </w:rPr>
        <w:t> </w:t>
      </w:r>
      <w:r>
        <w:rPr>
          <w:i/>
          <w:spacing w:val="-8"/>
          <w:w w:val="105"/>
          <w:sz w:val="21"/>
        </w:rPr>
        <w:t>2010</w:t>
      </w:r>
      <w:r>
        <w:rPr>
          <w:i/>
          <w:spacing w:val="-6"/>
          <w:w w:val="105"/>
          <w:sz w:val="21"/>
        </w:rPr>
        <w:t> </w:t>
      </w:r>
      <w:r>
        <w:rPr>
          <w:w w:val="105"/>
          <w:sz w:val="21"/>
        </w:rPr>
        <w:t>(Vic)</w:t>
      </w:r>
      <w:r>
        <w:rPr>
          <w:spacing w:val="-5"/>
          <w:w w:val="105"/>
          <w:sz w:val="21"/>
        </w:rPr>
        <w:t> </w:t>
      </w:r>
      <w:r>
        <w:rPr>
          <w:w w:val="105"/>
          <w:sz w:val="21"/>
        </w:rPr>
        <w:t>which</w:t>
      </w:r>
      <w:r>
        <w:rPr>
          <w:spacing w:val="-5"/>
          <w:w w:val="105"/>
          <w:sz w:val="21"/>
        </w:rPr>
        <w:t> </w:t>
      </w:r>
      <w:r>
        <w:rPr>
          <w:w w:val="105"/>
          <w:sz w:val="21"/>
        </w:rPr>
        <w:t>provides </w:t>
      </w:r>
      <w:r>
        <w:rPr>
          <w:spacing w:val="-3"/>
          <w:w w:val="105"/>
          <w:sz w:val="21"/>
        </w:rPr>
        <w:t>for </w:t>
      </w:r>
      <w:r>
        <w:rPr>
          <w:w w:val="105"/>
          <w:sz w:val="21"/>
        </w:rPr>
        <w:t>extensive case </w:t>
      </w:r>
      <w:r>
        <w:rPr>
          <w:spacing w:val="-3"/>
          <w:w w:val="105"/>
          <w:sz w:val="21"/>
        </w:rPr>
        <w:t>management </w:t>
      </w:r>
      <w:r>
        <w:rPr>
          <w:w w:val="105"/>
          <w:sz w:val="21"/>
        </w:rPr>
        <w:t>of matters </w:t>
      </w:r>
      <w:r>
        <w:rPr>
          <w:spacing w:val="-3"/>
          <w:w w:val="105"/>
          <w:sz w:val="21"/>
        </w:rPr>
        <w:t>to ensure </w:t>
      </w:r>
      <w:r>
        <w:rPr>
          <w:w w:val="105"/>
          <w:sz w:val="21"/>
        </w:rPr>
        <w:t>the </w:t>
      </w:r>
      <w:r>
        <w:rPr>
          <w:spacing w:val="-3"/>
          <w:w w:val="105"/>
          <w:sz w:val="21"/>
        </w:rPr>
        <w:t>‘just, </w:t>
      </w:r>
      <w:r>
        <w:rPr>
          <w:w w:val="105"/>
          <w:sz w:val="21"/>
        </w:rPr>
        <w:t>efficient, timely and cost effective resolution of the </w:t>
      </w:r>
      <w:r>
        <w:rPr>
          <w:spacing w:val="-3"/>
          <w:w w:val="105"/>
          <w:sz w:val="21"/>
        </w:rPr>
        <w:t>real </w:t>
      </w:r>
      <w:r>
        <w:rPr>
          <w:w w:val="105"/>
          <w:sz w:val="21"/>
        </w:rPr>
        <w:t>issues in</w:t>
      </w:r>
      <w:r>
        <w:rPr>
          <w:spacing w:val="26"/>
          <w:w w:val="105"/>
          <w:sz w:val="21"/>
        </w:rPr>
        <w:t> </w:t>
      </w:r>
      <w:r>
        <w:rPr>
          <w:spacing w:val="-3"/>
          <w:w w:val="105"/>
          <w:sz w:val="21"/>
        </w:rPr>
        <w:t>dispute’</w:t>
      </w:r>
    </w:p>
    <w:p>
      <w:pPr>
        <w:pStyle w:val="ListParagraph"/>
        <w:numPr>
          <w:ilvl w:val="2"/>
          <w:numId w:val="114"/>
        </w:numPr>
        <w:tabs>
          <w:tab w:pos="2721" w:val="left" w:leader="none"/>
          <w:tab w:pos="2722" w:val="left" w:leader="none"/>
        </w:tabs>
        <w:spacing w:line="240" w:lineRule="auto" w:before="89" w:after="0"/>
        <w:ind w:left="2721" w:right="0" w:hanging="340"/>
        <w:jc w:val="left"/>
        <w:rPr>
          <w:sz w:val="21"/>
        </w:rPr>
      </w:pPr>
      <w:r>
        <w:rPr>
          <w:w w:val="105"/>
          <w:sz w:val="21"/>
        </w:rPr>
        <w:t>a </w:t>
      </w:r>
      <w:r>
        <w:rPr>
          <w:spacing w:val="-3"/>
          <w:w w:val="105"/>
          <w:sz w:val="21"/>
        </w:rPr>
        <w:t>suite </w:t>
      </w:r>
      <w:r>
        <w:rPr>
          <w:w w:val="105"/>
          <w:sz w:val="21"/>
        </w:rPr>
        <w:t>of ADR</w:t>
      </w:r>
      <w:r>
        <w:rPr>
          <w:spacing w:val="25"/>
          <w:w w:val="105"/>
          <w:sz w:val="21"/>
        </w:rPr>
        <w:t> </w:t>
      </w:r>
      <w:r>
        <w:rPr>
          <w:spacing w:val="-3"/>
          <w:w w:val="105"/>
          <w:sz w:val="21"/>
        </w:rPr>
        <w:t>mechanisms</w:t>
      </w:r>
    </w:p>
    <w:p>
      <w:pPr>
        <w:pStyle w:val="ListParagraph"/>
        <w:numPr>
          <w:ilvl w:val="1"/>
          <w:numId w:val="114"/>
        </w:numPr>
        <w:tabs>
          <w:tab w:pos="2380" w:val="left" w:leader="none"/>
          <w:tab w:pos="2382" w:val="left" w:leader="none"/>
        </w:tabs>
        <w:spacing w:line="242" w:lineRule="auto" w:before="88" w:after="0"/>
        <w:ind w:left="2381" w:right="2179" w:hanging="794"/>
        <w:jc w:val="left"/>
        <w:rPr>
          <w:sz w:val="12"/>
        </w:rPr>
      </w:pPr>
      <w:r>
        <w:rPr>
          <w:sz w:val="21"/>
        </w:rPr>
        <w:t>The </w:t>
      </w:r>
      <w:r>
        <w:rPr>
          <w:spacing w:val="-3"/>
          <w:sz w:val="21"/>
        </w:rPr>
        <w:t>Court </w:t>
      </w:r>
      <w:r>
        <w:rPr>
          <w:sz w:val="21"/>
        </w:rPr>
        <w:t>stated </w:t>
      </w:r>
      <w:r>
        <w:rPr>
          <w:spacing w:val="-3"/>
          <w:sz w:val="21"/>
        </w:rPr>
        <w:t>that </w:t>
      </w:r>
      <w:r>
        <w:rPr>
          <w:sz w:val="21"/>
        </w:rPr>
        <w:t>it </w:t>
      </w:r>
      <w:r>
        <w:rPr>
          <w:spacing w:val="-2"/>
          <w:sz w:val="21"/>
        </w:rPr>
        <w:t>has </w:t>
      </w:r>
      <w:r>
        <w:rPr>
          <w:spacing w:val="-3"/>
          <w:sz w:val="21"/>
        </w:rPr>
        <w:t>successfully implemented </w:t>
      </w:r>
      <w:r>
        <w:rPr>
          <w:sz w:val="21"/>
        </w:rPr>
        <w:t>other statutory schemes in its </w:t>
      </w:r>
      <w:r>
        <w:rPr>
          <w:spacing w:val="-3"/>
          <w:sz w:val="21"/>
        </w:rPr>
        <w:t>jurisdiction, such </w:t>
      </w:r>
      <w:r>
        <w:rPr>
          <w:sz w:val="21"/>
        </w:rPr>
        <w:t>as the </w:t>
      </w:r>
      <w:r>
        <w:rPr>
          <w:i/>
          <w:sz w:val="21"/>
        </w:rPr>
        <w:t>Fences Act </w:t>
      </w:r>
      <w:r>
        <w:rPr>
          <w:i/>
          <w:spacing w:val="-4"/>
          <w:sz w:val="21"/>
        </w:rPr>
        <w:t>1968</w:t>
      </w:r>
      <w:r>
        <w:rPr>
          <w:i/>
          <w:spacing w:val="-8"/>
          <w:sz w:val="21"/>
        </w:rPr>
        <w:t> </w:t>
      </w:r>
      <w:r>
        <w:rPr>
          <w:spacing w:val="-3"/>
          <w:sz w:val="21"/>
        </w:rPr>
        <w:t>(Vic).</w:t>
      </w:r>
      <w:r>
        <w:rPr>
          <w:spacing w:val="-3"/>
          <w:position w:val="7"/>
          <w:sz w:val="12"/>
        </w:rPr>
        <w:t>198</w:t>
      </w:r>
    </w:p>
    <w:p>
      <w:pPr>
        <w:pStyle w:val="ListParagraph"/>
        <w:numPr>
          <w:ilvl w:val="1"/>
          <w:numId w:val="114"/>
        </w:numPr>
        <w:tabs>
          <w:tab w:pos="2381" w:val="left" w:leader="none"/>
          <w:tab w:pos="2382" w:val="left" w:leader="none"/>
        </w:tabs>
        <w:spacing w:line="242" w:lineRule="auto" w:before="123" w:after="0"/>
        <w:ind w:left="2381" w:right="1654" w:hanging="794"/>
        <w:jc w:val="left"/>
        <w:rPr>
          <w:sz w:val="12"/>
        </w:rPr>
      </w:pPr>
      <w:r>
        <w:rPr>
          <w:spacing w:val="-3"/>
          <w:w w:val="105"/>
          <w:sz w:val="21"/>
        </w:rPr>
        <w:t>Pointon </w:t>
      </w:r>
      <w:r>
        <w:rPr>
          <w:w w:val="105"/>
          <w:sz w:val="21"/>
        </w:rPr>
        <w:t>Partners expressed the view </w:t>
      </w:r>
      <w:r>
        <w:rPr>
          <w:spacing w:val="-3"/>
          <w:w w:val="105"/>
          <w:sz w:val="21"/>
        </w:rPr>
        <w:t>that </w:t>
      </w:r>
      <w:r>
        <w:rPr>
          <w:w w:val="105"/>
          <w:sz w:val="21"/>
        </w:rPr>
        <w:t>the </w:t>
      </w:r>
      <w:r>
        <w:rPr>
          <w:spacing w:val="-3"/>
          <w:w w:val="105"/>
          <w:sz w:val="21"/>
        </w:rPr>
        <w:t>Magistrates’ Court </w:t>
      </w:r>
      <w:r>
        <w:rPr>
          <w:w w:val="105"/>
          <w:sz w:val="21"/>
        </w:rPr>
        <w:t>should </w:t>
      </w:r>
      <w:r>
        <w:rPr>
          <w:spacing w:val="-3"/>
          <w:w w:val="105"/>
          <w:sz w:val="21"/>
        </w:rPr>
        <w:t>have </w:t>
      </w:r>
      <w:r>
        <w:rPr>
          <w:w w:val="105"/>
          <w:sz w:val="21"/>
        </w:rPr>
        <w:t>jurisdiction because it </w:t>
      </w:r>
      <w:r>
        <w:rPr>
          <w:spacing w:val="-3"/>
          <w:w w:val="105"/>
          <w:sz w:val="21"/>
        </w:rPr>
        <w:t>already determines fence </w:t>
      </w:r>
      <w:r>
        <w:rPr>
          <w:spacing w:val="-4"/>
          <w:w w:val="105"/>
          <w:sz w:val="21"/>
        </w:rPr>
        <w:t>disputes.</w:t>
      </w:r>
      <w:r>
        <w:rPr>
          <w:spacing w:val="-4"/>
          <w:w w:val="105"/>
          <w:position w:val="7"/>
          <w:sz w:val="12"/>
        </w:rPr>
        <w:t>199 </w:t>
      </w:r>
      <w:r>
        <w:rPr>
          <w:w w:val="105"/>
          <w:sz w:val="21"/>
        </w:rPr>
        <w:t>It </w:t>
      </w:r>
      <w:r>
        <w:rPr>
          <w:spacing w:val="-3"/>
          <w:w w:val="105"/>
          <w:sz w:val="21"/>
        </w:rPr>
        <w:t>noted that </w:t>
      </w:r>
      <w:r>
        <w:rPr>
          <w:w w:val="105"/>
          <w:sz w:val="21"/>
        </w:rPr>
        <w:t>where a </w:t>
      </w:r>
      <w:r>
        <w:rPr>
          <w:spacing w:val="-3"/>
          <w:w w:val="105"/>
          <w:sz w:val="21"/>
        </w:rPr>
        <w:t>dispute involves </w:t>
      </w:r>
      <w:r>
        <w:rPr>
          <w:w w:val="105"/>
          <w:sz w:val="21"/>
        </w:rPr>
        <w:t>both</w:t>
      </w:r>
      <w:r>
        <w:rPr>
          <w:spacing w:val="-9"/>
          <w:w w:val="105"/>
          <w:sz w:val="21"/>
        </w:rPr>
        <w:t> </w:t>
      </w:r>
      <w:r>
        <w:rPr>
          <w:spacing w:val="-3"/>
          <w:w w:val="105"/>
          <w:sz w:val="21"/>
        </w:rPr>
        <w:t>fence</w:t>
      </w:r>
      <w:r>
        <w:rPr>
          <w:spacing w:val="-9"/>
          <w:w w:val="105"/>
          <w:sz w:val="21"/>
        </w:rPr>
        <w:t> </w:t>
      </w:r>
      <w:r>
        <w:rPr>
          <w:w w:val="105"/>
          <w:sz w:val="21"/>
        </w:rPr>
        <w:t>and</w:t>
      </w:r>
      <w:r>
        <w:rPr>
          <w:spacing w:val="-9"/>
          <w:w w:val="105"/>
          <w:sz w:val="21"/>
        </w:rPr>
        <w:t> </w:t>
      </w:r>
      <w:r>
        <w:rPr>
          <w:w w:val="105"/>
          <w:sz w:val="21"/>
        </w:rPr>
        <w:t>tree</w:t>
      </w:r>
      <w:r>
        <w:rPr>
          <w:spacing w:val="-9"/>
          <w:w w:val="105"/>
          <w:sz w:val="21"/>
        </w:rPr>
        <w:t> </w:t>
      </w:r>
      <w:r>
        <w:rPr>
          <w:w w:val="105"/>
          <w:sz w:val="21"/>
        </w:rPr>
        <w:t>matters,</w:t>
      </w:r>
      <w:r>
        <w:rPr>
          <w:spacing w:val="-9"/>
          <w:w w:val="105"/>
          <w:sz w:val="21"/>
        </w:rPr>
        <w:t> </w:t>
      </w:r>
      <w:r>
        <w:rPr>
          <w:w w:val="105"/>
          <w:sz w:val="21"/>
        </w:rPr>
        <w:t>then</w:t>
      </w:r>
      <w:r>
        <w:rPr>
          <w:spacing w:val="-9"/>
          <w:w w:val="105"/>
          <w:sz w:val="21"/>
        </w:rPr>
        <w:t> </w:t>
      </w:r>
      <w:r>
        <w:rPr>
          <w:w w:val="105"/>
          <w:sz w:val="21"/>
        </w:rPr>
        <w:t>‘the</w:t>
      </w:r>
      <w:r>
        <w:rPr>
          <w:spacing w:val="-8"/>
          <w:w w:val="105"/>
          <w:sz w:val="21"/>
        </w:rPr>
        <w:t> </w:t>
      </w:r>
      <w:r>
        <w:rPr>
          <w:w w:val="105"/>
          <w:sz w:val="21"/>
        </w:rPr>
        <w:t>same</w:t>
      </w:r>
      <w:r>
        <w:rPr>
          <w:spacing w:val="-9"/>
          <w:w w:val="105"/>
          <w:sz w:val="21"/>
        </w:rPr>
        <w:t> </w:t>
      </w:r>
      <w:r>
        <w:rPr>
          <w:w w:val="105"/>
          <w:sz w:val="21"/>
        </w:rPr>
        <w:t>court</w:t>
      </w:r>
      <w:r>
        <w:rPr>
          <w:spacing w:val="-9"/>
          <w:w w:val="105"/>
          <w:sz w:val="21"/>
        </w:rPr>
        <w:t> </w:t>
      </w:r>
      <w:r>
        <w:rPr>
          <w:w w:val="105"/>
          <w:sz w:val="21"/>
        </w:rPr>
        <w:t>should</w:t>
      </w:r>
      <w:r>
        <w:rPr>
          <w:spacing w:val="-9"/>
          <w:w w:val="105"/>
          <w:sz w:val="21"/>
        </w:rPr>
        <w:t> </w:t>
      </w:r>
      <w:r>
        <w:rPr>
          <w:w w:val="105"/>
          <w:sz w:val="21"/>
        </w:rPr>
        <w:t>be</w:t>
      </w:r>
      <w:r>
        <w:rPr>
          <w:spacing w:val="-9"/>
          <w:w w:val="105"/>
          <w:sz w:val="21"/>
        </w:rPr>
        <w:t> </w:t>
      </w:r>
      <w:r>
        <w:rPr>
          <w:w w:val="105"/>
          <w:sz w:val="21"/>
        </w:rPr>
        <w:t>permitted</w:t>
      </w:r>
      <w:r>
        <w:rPr>
          <w:spacing w:val="-9"/>
          <w:w w:val="105"/>
          <w:sz w:val="21"/>
        </w:rPr>
        <w:t> </w:t>
      </w:r>
      <w:r>
        <w:rPr>
          <w:spacing w:val="-3"/>
          <w:w w:val="105"/>
          <w:sz w:val="21"/>
        </w:rPr>
        <w:t>to</w:t>
      </w:r>
      <w:r>
        <w:rPr>
          <w:spacing w:val="-9"/>
          <w:w w:val="105"/>
          <w:sz w:val="21"/>
        </w:rPr>
        <w:t> </w:t>
      </w:r>
      <w:r>
        <w:rPr>
          <w:spacing w:val="-4"/>
          <w:w w:val="105"/>
          <w:sz w:val="21"/>
        </w:rPr>
        <w:t>make</w:t>
      </w:r>
      <w:r>
        <w:rPr>
          <w:spacing w:val="-8"/>
          <w:w w:val="105"/>
          <w:sz w:val="21"/>
        </w:rPr>
        <w:t> </w:t>
      </w:r>
      <w:r>
        <w:rPr>
          <w:w w:val="105"/>
          <w:sz w:val="21"/>
        </w:rPr>
        <w:t>orders</w:t>
      </w:r>
      <w:r>
        <w:rPr>
          <w:spacing w:val="-9"/>
          <w:w w:val="105"/>
          <w:sz w:val="21"/>
        </w:rPr>
        <w:t> </w:t>
      </w:r>
      <w:r>
        <w:rPr>
          <w:w w:val="105"/>
          <w:sz w:val="21"/>
        </w:rPr>
        <w:t>in </w:t>
      </w:r>
      <w:r>
        <w:rPr>
          <w:spacing w:val="-3"/>
          <w:w w:val="105"/>
          <w:sz w:val="21"/>
        </w:rPr>
        <w:t>relation to </w:t>
      </w:r>
      <w:r>
        <w:rPr>
          <w:w w:val="105"/>
          <w:sz w:val="21"/>
        </w:rPr>
        <w:t>both </w:t>
      </w:r>
      <w:r>
        <w:rPr>
          <w:spacing w:val="-3"/>
          <w:w w:val="105"/>
          <w:sz w:val="21"/>
        </w:rPr>
        <w:t>fences </w:t>
      </w:r>
      <w:r>
        <w:rPr>
          <w:w w:val="105"/>
          <w:sz w:val="21"/>
        </w:rPr>
        <w:t>and</w:t>
      </w:r>
      <w:r>
        <w:rPr>
          <w:spacing w:val="34"/>
          <w:w w:val="105"/>
          <w:sz w:val="21"/>
        </w:rPr>
        <w:t> </w:t>
      </w:r>
      <w:r>
        <w:rPr>
          <w:spacing w:val="-3"/>
          <w:w w:val="105"/>
          <w:sz w:val="21"/>
        </w:rPr>
        <w:t>trees’.</w:t>
      </w:r>
      <w:r>
        <w:rPr>
          <w:spacing w:val="-3"/>
          <w:w w:val="105"/>
          <w:position w:val="7"/>
          <w:sz w:val="12"/>
        </w:rPr>
        <w:t>200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1"/>
        </w:rPr>
      </w:pPr>
      <w:r>
        <w:rPr/>
        <w:pict>
          <v:line style="position:absolute;mso-position-horizontal-relative:page;mso-position-vertical-relative:paragraph;z-index:6776;mso-wrap-distance-left:0;mso-wrap-distance-right:0" from="79.370102pt,9.275976pt" to="515.905102pt,9.275976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tabs>
          <w:tab w:pos="2380" w:val="left" w:leader="none"/>
        </w:tabs>
        <w:spacing w:before="48"/>
        <w:ind w:left="1587" w:right="0" w:firstLine="0"/>
        <w:jc w:val="left"/>
        <w:rPr>
          <w:i/>
          <w:sz w:val="13"/>
        </w:rPr>
      </w:pPr>
      <w:r>
        <w:rPr>
          <w:w w:val="105"/>
          <w:sz w:val="13"/>
        </w:rPr>
        <w:t>192</w:t>
        <w:tab/>
        <w:t>Supplementary</w:t>
      </w:r>
      <w:r>
        <w:rPr>
          <w:spacing w:val="6"/>
          <w:w w:val="105"/>
          <w:sz w:val="13"/>
        </w:rPr>
        <w:t> </w:t>
      </w:r>
      <w:r>
        <w:rPr>
          <w:w w:val="105"/>
          <w:sz w:val="13"/>
        </w:rPr>
        <w:t>Consultation</w:t>
      </w:r>
      <w:r>
        <w:rPr>
          <w:spacing w:val="7"/>
          <w:w w:val="105"/>
          <w:sz w:val="13"/>
        </w:rPr>
        <w:t> </w:t>
      </w:r>
      <w:r>
        <w:rPr>
          <w:w w:val="105"/>
          <w:sz w:val="13"/>
        </w:rPr>
        <w:t>1</w:t>
      </w:r>
      <w:r>
        <w:rPr>
          <w:spacing w:val="7"/>
          <w:w w:val="105"/>
          <w:sz w:val="13"/>
        </w:rPr>
        <w:t> </w:t>
      </w:r>
      <w:r>
        <w:rPr>
          <w:w w:val="105"/>
          <w:sz w:val="13"/>
        </w:rPr>
        <w:t>(Victorian</w:t>
      </w:r>
      <w:r>
        <w:rPr>
          <w:spacing w:val="7"/>
          <w:w w:val="105"/>
          <w:sz w:val="13"/>
        </w:rPr>
        <w:t> </w:t>
      </w:r>
      <w:r>
        <w:rPr>
          <w:w w:val="105"/>
          <w:sz w:val="13"/>
        </w:rPr>
        <w:t>Civil</w:t>
      </w:r>
      <w:r>
        <w:rPr>
          <w:spacing w:val="7"/>
          <w:w w:val="105"/>
          <w:sz w:val="13"/>
        </w:rPr>
        <w:t> </w:t>
      </w:r>
      <w:r>
        <w:rPr>
          <w:w w:val="105"/>
          <w:sz w:val="13"/>
        </w:rPr>
        <w:t>and</w:t>
      </w:r>
      <w:r>
        <w:rPr>
          <w:spacing w:val="7"/>
          <w:w w:val="105"/>
          <w:sz w:val="13"/>
        </w:rPr>
        <w:t> </w:t>
      </w:r>
      <w:r>
        <w:rPr>
          <w:w w:val="105"/>
          <w:sz w:val="13"/>
        </w:rPr>
        <w:t>Administrative</w:t>
      </w:r>
      <w:r>
        <w:rPr>
          <w:spacing w:val="7"/>
          <w:w w:val="105"/>
          <w:sz w:val="13"/>
        </w:rPr>
        <w:t> </w:t>
      </w:r>
      <w:r>
        <w:rPr>
          <w:w w:val="105"/>
          <w:sz w:val="13"/>
        </w:rPr>
        <w:t>Tribunal);</w:t>
      </w:r>
      <w:r>
        <w:rPr>
          <w:spacing w:val="7"/>
          <w:w w:val="105"/>
          <w:sz w:val="13"/>
        </w:rPr>
        <w:t> </w:t>
      </w:r>
      <w:r>
        <w:rPr>
          <w:w w:val="105"/>
          <w:sz w:val="13"/>
        </w:rPr>
        <w:t>see</w:t>
      </w:r>
      <w:r>
        <w:rPr>
          <w:spacing w:val="6"/>
          <w:w w:val="105"/>
          <w:sz w:val="13"/>
        </w:rPr>
        <w:t> </w:t>
      </w:r>
      <w:r>
        <w:rPr>
          <w:w w:val="105"/>
          <w:sz w:val="13"/>
        </w:rPr>
        <w:t>also</w:t>
      </w:r>
      <w:r>
        <w:rPr>
          <w:spacing w:val="7"/>
          <w:w w:val="105"/>
          <w:sz w:val="13"/>
        </w:rPr>
        <w:t> </w:t>
      </w:r>
      <w:r>
        <w:rPr>
          <w:i/>
          <w:w w:val="105"/>
          <w:sz w:val="13"/>
        </w:rPr>
        <w:t>Victorian</w:t>
      </w:r>
      <w:r>
        <w:rPr>
          <w:i/>
          <w:spacing w:val="7"/>
          <w:w w:val="105"/>
          <w:sz w:val="13"/>
        </w:rPr>
        <w:t> </w:t>
      </w:r>
      <w:r>
        <w:rPr>
          <w:i/>
          <w:w w:val="105"/>
          <w:sz w:val="13"/>
        </w:rPr>
        <w:t>Civil</w:t>
      </w:r>
      <w:r>
        <w:rPr>
          <w:i/>
          <w:spacing w:val="7"/>
          <w:w w:val="105"/>
          <w:sz w:val="13"/>
        </w:rPr>
        <w:t> </w:t>
      </w:r>
      <w:r>
        <w:rPr>
          <w:i/>
          <w:w w:val="105"/>
          <w:sz w:val="13"/>
        </w:rPr>
        <w:t>and</w:t>
      </w:r>
      <w:r>
        <w:rPr>
          <w:i/>
          <w:spacing w:val="7"/>
          <w:w w:val="105"/>
          <w:sz w:val="13"/>
        </w:rPr>
        <w:t> </w:t>
      </w:r>
      <w:r>
        <w:rPr>
          <w:i/>
          <w:w w:val="105"/>
          <w:sz w:val="13"/>
        </w:rPr>
        <w:t>Administrative</w:t>
      </w:r>
      <w:r>
        <w:rPr>
          <w:i/>
          <w:spacing w:val="7"/>
          <w:w w:val="105"/>
          <w:sz w:val="13"/>
        </w:rPr>
        <w:t> </w:t>
      </w:r>
      <w:r>
        <w:rPr>
          <w:i/>
          <w:w w:val="105"/>
          <w:sz w:val="13"/>
        </w:rPr>
        <w:t>Tribunal</w:t>
      </w:r>
      <w:r>
        <w:rPr>
          <w:i/>
          <w:spacing w:val="7"/>
          <w:w w:val="105"/>
          <w:sz w:val="13"/>
        </w:rPr>
        <w:t> </w:t>
      </w:r>
      <w:r>
        <w:rPr>
          <w:i/>
          <w:w w:val="105"/>
          <w:sz w:val="13"/>
        </w:rPr>
        <w:t>Act</w:t>
      </w:r>
      <w:r>
        <w:rPr>
          <w:i/>
          <w:spacing w:val="7"/>
          <w:w w:val="105"/>
          <w:sz w:val="13"/>
        </w:rPr>
        <w:t> </w:t>
      </w:r>
      <w:r>
        <w:rPr>
          <w:i/>
          <w:w w:val="105"/>
          <w:sz w:val="13"/>
        </w:rPr>
        <w:t>1998</w:t>
      </w:r>
    </w:p>
    <w:p>
      <w:pPr>
        <w:spacing w:before="1"/>
        <w:ind w:left="2381" w:right="0" w:firstLine="0"/>
        <w:jc w:val="left"/>
        <w:rPr>
          <w:sz w:val="13"/>
        </w:rPr>
      </w:pPr>
      <w:r>
        <w:rPr>
          <w:sz w:val="13"/>
        </w:rPr>
        <w:t>(Vic) s 129.</w:t>
      </w:r>
    </w:p>
    <w:p>
      <w:pPr>
        <w:tabs>
          <w:tab w:pos="2381" w:val="left" w:leader="none"/>
        </w:tabs>
        <w:spacing w:before="2"/>
        <w:ind w:left="1587" w:right="3433" w:hanging="1"/>
        <w:jc w:val="left"/>
        <w:rPr>
          <w:sz w:val="13"/>
        </w:rPr>
      </w:pPr>
      <w:r>
        <w:rPr>
          <w:spacing w:val="-3"/>
          <w:w w:val="105"/>
          <w:sz w:val="13"/>
        </w:rPr>
        <w:t>193</w:t>
        <w:tab/>
      </w:r>
      <w:r>
        <w:rPr>
          <w:w w:val="105"/>
          <w:sz w:val="13"/>
        </w:rPr>
        <w:t>Supplementary Consultation 1 (Victorian Civil and Administrative Tribunal). 194</w:t>
        <w:tab/>
        <w:t>Ibid.</w:t>
      </w:r>
    </w:p>
    <w:p>
      <w:pPr>
        <w:pStyle w:val="ListParagraph"/>
        <w:numPr>
          <w:ilvl w:val="0"/>
          <w:numId w:val="118"/>
        </w:numPr>
        <w:tabs>
          <w:tab w:pos="2381" w:val="left" w:leader="none"/>
          <w:tab w:pos="2382" w:val="left" w:leader="none"/>
        </w:tabs>
        <w:spacing w:line="240" w:lineRule="auto" w:before="2" w:after="0"/>
        <w:ind w:left="2381" w:right="0" w:hanging="794"/>
        <w:jc w:val="left"/>
        <w:rPr>
          <w:sz w:val="13"/>
        </w:rPr>
      </w:pPr>
      <w:r>
        <w:rPr>
          <w:w w:val="105"/>
          <w:sz w:val="13"/>
        </w:rPr>
        <w:t>Consultation 5 </w:t>
      </w:r>
      <w:r>
        <w:rPr>
          <w:spacing w:val="2"/>
          <w:w w:val="105"/>
          <w:sz w:val="13"/>
        </w:rPr>
        <w:t>(Victorian </w:t>
      </w:r>
      <w:r>
        <w:rPr>
          <w:w w:val="105"/>
          <w:sz w:val="13"/>
        </w:rPr>
        <w:t>Civil and Administrative</w:t>
      </w:r>
      <w:r>
        <w:rPr>
          <w:spacing w:val="25"/>
          <w:w w:val="105"/>
          <w:sz w:val="13"/>
        </w:rPr>
        <w:t> </w:t>
      </w:r>
      <w:r>
        <w:rPr>
          <w:w w:val="105"/>
          <w:sz w:val="13"/>
        </w:rPr>
        <w:t>Tribunal).</w:t>
      </w:r>
    </w:p>
    <w:p>
      <w:pPr>
        <w:pStyle w:val="ListParagraph"/>
        <w:numPr>
          <w:ilvl w:val="0"/>
          <w:numId w:val="118"/>
        </w:numPr>
        <w:tabs>
          <w:tab w:pos="2381" w:val="left" w:leader="none"/>
          <w:tab w:pos="2382" w:val="left" w:leader="none"/>
        </w:tabs>
        <w:spacing w:line="240" w:lineRule="auto" w:before="2" w:after="0"/>
        <w:ind w:left="2381" w:right="0" w:hanging="794"/>
        <w:jc w:val="left"/>
        <w:rPr>
          <w:sz w:val="13"/>
        </w:rPr>
      </w:pPr>
      <w:r>
        <w:rPr>
          <w:w w:val="105"/>
          <w:sz w:val="13"/>
        </w:rPr>
        <w:t>Submissions</w:t>
      </w:r>
      <w:r>
        <w:rPr>
          <w:spacing w:val="4"/>
          <w:w w:val="105"/>
          <w:sz w:val="13"/>
        </w:rPr>
        <w:t> </w:t>
      </w:r>
      <w:r>
        <w:rPr>
          <w:w w:val="105"/>
          <w:sz w:val="13"/>
        </w:rPr>
        <w:t>4</w:t>
      </w:r>
      <w:r>
        <w:rPr>
          <w:spacing w:val="4"/>
          <w:w w:val="105"/>
          <w:sz w:val="13"/>
        </w:rPr>
        <w:t> </w:t>
      </w:r>
      <w:r>
        <w:rPr>
          <w:spacing w:val="2"/>
          <w:w w:val="105"/>
          <w:sz w:val="13"/>
        </w:rPr>
        <w:t>(Name</w:t>
      </w:r>
      <w:r>
        <w:rPr>
          <w:spacing w:val="4"/>
          <w:w w:val="105"/>
          <w:sz w:val="13"/>
        </w:rPr>
        <w:t> </w:t>
      </w:r>
      <w:r>
        <w:rPr>
          <w:w w:val="105"/>
          <w:sz w:val="13"/>
        </w:rPr>
        <w:t>withheld),</w:t>
      </w:r>
      <w:r>
        <w:rPr>
          <w:spacing w:val="5"/>
          <w:w w:val="105"/>
          <w:sz w:val="13"/>
        </w:rPr>
        <w:t> </w:t>
      </w:r>
      <w:r>
        <w:rPr>
          <w:w w:val="105"/>
          <w:sz w:val="13"/>
        </w:rPr>
        <w:t>10</w:t>
      </w:r>
      <w:r>
        <w:rPr>
          <w:spacing w:val="4"/>
          <w:w w:val="105"/>
          <w:sz w:val="13"/>
        </w:rPr>
        <w:t> </w:t>
      </w:r>
      <w:r>
        <w:rPr>
          <w:w w:val="105"/>
          <w:sz w:val="13"/>
        </w:rPr>
        <w:t>(Professor</w:t>
      </w:r>
      <w:r>
        <w:rPr>
          <w:spacing w:val="4"/>
          <w:w w:val="105"/>
          <w:sz w:val="13"/>
        </w:rPr>
        <w:t> </w:t>
      </w:r>
      <w:r>
        <w:rPr>
          <w:w w:val="105"/>
          <w:sz w:val="13"/>
        </w:rPr>
        <w:t>Phillip</w:t>
      </w:r>
      <w:r>
        <w:rPr>
          <w:spacing w:val="5"/>
          <w:w w:val="105"/>
          <w:sz w:val="13"/>
        </w:rPr>
        <w:t> </w:t>
      </w:r>
      <w:r>
        <w:rPr>
          <w:w w:val="105"/>
          <w:sz w:val="13"/>
        </w:rPr>
        <w:t>Hamilton),</w:t>
      </w:r>
      <w:r>
        <w:rPr>
          <w:spacing w:val="4"/>
          <w:w w:val="105"/>
          <w:sz w:val="13"/>
        </w:rPr>
        <w:t> </w:t>
      </w:r>
      <w:r>
        <w:rPr>
          <w:w w:val="105"/>
          <w:sz w:val="13"/>
        </w:rPr>
        <w:t>21</w:t>
      </w:r>
      <w:r>
        <w:rPr>
          <w:spacing w:val="4"/>
          <w:w w:val="105"/>
          <w:sz w:val="13"/>
        </w:rPr>
        <w:t> </w:t>
      </w:r>
      <w:r>
        <w:rPr>
          <w:w w:val="105"/>
          <w:sz w:val="13"/>
        </w:rPr>
        <w:t>(Pointon</w:t>
      </w:r>
      <w:r>
        <w:rPr>
          <w:spacing w:val="5"/>
          <w:w w:val="105"/>
          <w:sz w:val="13"/>
        </w:rPr>
        <w:t> </w:t>
      </w:r>
      <w:r>
        <w:rPr>
          <w:w w:val="105"/>
          <w:sz w:val="13"/>
        </w:rPr>
        <w:t>Partners</w:t>
      </w:r>
      <w:r>
        <w:rPr>
          <w:spacing w:val="4"/>
          <w:w w:val="105"/>
          <w:sz w:val="13"/>
        </w:rPr>
        <w:t> </w:t>
      </w:r>
      <w:r>
        <w:rPr>
          <w:spacing w:val="2"/>
          <w:w w:val="105"/>
          <w:sz w:val="13"/>
        </w:rPr>
        <w:t>Lawyers).</w:t>
      </w:r>
    </w:p>
    <w:p>
      <w:pPr>
        <w:pStyle w:val="ListParagraph"/>
        <w:numPr>
          <w:ilvl w:val="0"/>
          <w:numId w:val="118"/>
        </w:numPr>
        <w:tabs>
          <w:tab w:pos="2381" w:val="left" w:leader="none"/>
          <w:tab w:pos="2382" w:val="left" w:leader="none"/>
        </w:tabs>
        <w:spacing w:line="240" w:lineRule="auto" w:before="1" w:after="0"/>
        <w:ind w:left="1587" w:right="5030" w:firstLine="0"/>
        <w:jc w:val="left"/>
        <w:rPr>
          <w:sz w:val="13"/>
        </w:rPr>
      </w:pPr>
      <w:r>
        <w:rPr>
          <w:w w:val="105"/>
          <w:sz w:val="13"/>
        </w:rPr>
        <w:t>Submission 16 (Magistrates’ Court of </w:t>
      </w:r>
      <w:r>
        <w:rPr>
          <w:spacing w:val="2"/>
          <w:w w:val="105"/>
          <w:sz w:val="13"/>
        </w:rPr>
        <w:t>Victoria). </w:t>
      </w:r>
      <w:r>
        <w:rPr>
          <w:w w:val="105"/>
          <w:sz w:val="13"/>
        </w:rPr>
        <w:t>198</w:t>
        <w:tab/>
        <w:t>Ibid.</w:t>
      </w:r>
    </w:p>
    <w:p>
      <w:pPr>
        <w:tabs>
          <w:tab w:pos="2381" w:val="left" w:leader="none"/>
        </w:tabs>
        <w:spacing w:before="3"/>
        <w:ind w:left="1587" w:right="0" w:firstLine="0"/>
        <w:jc w:val="left"/>
        <w:rPr>
          <w:sz w:val="13"/>
        </w:rPr>
      </w:pPr>
      <w:r>
        <w:rPr>
          <w:w w:val="105"/>
          <w:sz w:val="13"/>
        </w:rPr>
        <w:t>199</w:t>
        <w:tab/>
        <w:t>Submissions 21 (Pointon Partners</w:t>
      </w:r>
      <w:r>
        <w:rPr>
          <w:spacing w:val="17"/>
          <w:w w:val="105"/>
          <w:sz w:val="13"/>
        </w:rPr>
        <w:t> </w:t>
      </w:r>
      <w:r>
        <w:rPr>
          <w:spacing w:val="2"/>
          <w:w w:val="105"/>
          <w:sz w:val="13"/>
        </w:rPr>
        <w:t>Lawyers).</w:t>
      </w:r>
    </w:p>
    <w:p>
      <w:pPr>
        <w:tabs>
          <w:tab w:pos="2381" w:val="left" w:leader="none"/>
        </w:tabs>
        <w:spacing w:before="1"/>
        <w:ind w:left="1587" w:right="0" w:firstLine="0"/>
        <w:jc w:val="left"/>
        <w:rPr>
          <w:sz w:val="13"/>
        </w:rPr>
      </w:pPr>
      <w:r>
        <w:rPr>
          <w:w w:val="105"/>
          <w:sz w:val="13"/>
        </w:rPr>
        <w:t>200</w:t>
        <w:tab/>
        <w:t>Ibid.</w:t>
      </w:r>
    </w:p>
    <w:p>
      <w:pPr>
        <w:pStyle w:val="BodyText"/>
        <w:rPr>
          <w:sz w:val="28"/>
        </w:rPr>
      </w:pPr>
      <w:r>
        <w:rPr/>
        <w:br w:type="column"/>
      </w:r>
      <w:r>
        <w:rPr>
          <w:sz w:val="28"/>
        </w:rPr>
      </w:r>
    </w:p>
    <w:p>
      <w:pPr>
        <w:pStyle w:val="BodyText"/>
        <w:rPr>
          <w:sz w:val="28"/>
        </w:rPr>
      </w:pPr>
    </w:p>
    <w:p>
      <w:pPr>
        <w:pStyle w:val="BodyText"/>
        <w:rPr>
          <w:sz w:val="28"/>
        </w:rPr>
      </w:pPr>
    </w:p>
    <w:p>
      <w:pPr>
        <w:pStyle w:val="BodyText"/>
        <w:spacing w:before="4"/>
        <w:rPr>
          <w:sz w:val="29"/>
        </w:rPr>
      </w:pPr>
    </w:p>
    <w:p>
      <w:pPr>
        <w:spacing w:before="0"/>
        <w:ind w:left="781" w:right="575" w:firstLine="0"/>
        <w:jc w:val="center"/>
        <w:rPr>
          <w:b/>
          <w:sz w:val="24"/>
        </w:rPr>
      </w:pPr>
      <w:r>
        <w:rPr>
          <w:b/>
          <w:color w:val="658464"/>
          <w:w w:val="110"/>
          <w:sz w:val="24"/>
        </w:rPr>
        <w:t>149</w:t>
      </w:r>
    </w:p>
    <w:p>
      <w:pPr>
        <w:spacing w:after="0"/>
        <w:jc w:val="center"/>
        <w:rPr>
          <w:sz w:val="24"/>
        </w:rPr>
        <w:sectPr>
          <w:type w:val="continuous"/>
          <w:pgSz w:w="11910" w:h="16840"/>
          <w:pgMar w:top="300" w:bottom="280" w:left="0" w:right="0"/>
          <w:cols w:num="2" w:equalWidth="0">
            <w:col w:w="10072" w:space="40"/>
            <w:col w:w="1798"/>
          </w:cols>
        </w:sectPr>
      </w:pPr>
    </w:p>
    <w:p>
      <w:pPr>
        <w:pStyle w:val="BodyText"/>
        <w:spacing w:before="2"/>
        <w:rPr>
          <w:b/>
          <w:sz w:val="22"/>
        </w:rPr>
      </w:pPr>
    </w:p>
    <w:p>
      <w:pPr>
        <w:pStyle w:val="Heading7"/>
        <w:spacing w:before="97"/>
      </w:pPr>
      <w:r>
        <w:rPr>
          <w:w w:val="115"/>
        </w:rPr>
        <w:t>Community support for other options</w:t>
      </w:r>
    </w:p>
    <w:p>
      <w:pPr>
        <w:pStyle w:val="ListParagraph"/>
        <w:numPr>
          <w:ilvl w:val="1"/>
          <w:numId w:val="114"/>
        </w:numPr>
        <w:tabs>
          <w:tab w:pos="2380" w:val="left" w:leader="none"/>
          <w:tab w:pos="2381" w:val="left" w:leader="none"/>
        </w:tabs>
        <w:spacing w:line="242" w:lineRule="auto" w:before="142" w:after="0"/>
        <w:ind w:left="2381" w:right="1823" w:hanging="794"/>
        <w:jc w:val="left"/>
        <w:rPr>
          <w:sz w:val="21"/>
        </w:rPr>
      </w:pPr>
      <w:r>
        <w:rPr>
          <w:w w:val="105"/>
          <w:sz w:val="21"/>
        </w:rPr>
        <w:t>A </w:t>
      </w:r>
      <w:r>
        <w:rPr>
          <w:spacing w:val="-3"/>
          <w:w w:val="105"/>
          <w:sz w:val="21"/>
        </w:rPr>
        <w:t>small </w:t>
      </w:r>
      <w:r>
        <w:rPr>
          <w:w w:val="105"/>
          <w:sz w:val="21"/>
        </w:rPr>
        <w:t>number of people made suggestions </w:t>
      </w:r>
      <w:r>
        <w:rPr>
          <w:spacing w:val="-3"/>
          <w:w w:val="105"/>
          <w:sz w:val="21"/>
        </w:rPr>
        <w:t>for alternative </w:t>
      </w:r>
      <w:r>
        <w:rPr>
          <w:w w:val="105"/>
          <w:sz w:val="21"/>
        </w:rPr>
        <w:t>decision-making </w:t>
      </w:r>
      <w:r>
        <w:rPr>
          <w:spacing w:val="-3"/>
          <w:w w:val="105"/>
          <w:sz w:val="21"/>
        </w:rPr>
        <w:t>forums.</w:t>
      </w:r>
      <w:r>
        <w:rPr>
          <w:spacing w:val="-3"/>
          <w:w w:val="105"/>
          <w:position w:val="7"/>
          <w:sz w:val="12"/>
        </w:rPr>
        <w:t>201</w:t>
      </w:r>
      <w:r>
        <w:rPr>
          <w:spacing w:val="-3"/>
          <w:w w:val="105"/>
          <w:sz w:val="12"/>
        </w:rPr>
        <w:t> </w:t>
      </w:r>
      <w:r>
        <w:rPr>
          <w:w w:val="105"/>
          <w:sz w:val="21"/>
        </w:rPr>
        <w:t>The </w:t>
      </w:r>
      <w:r>
        <w:rPr>
          <w:spacing w:val="-3"/>
          <w:w w:val="105"/>
          <w:sz w:val="21"/>
        </w:rPr>
        <w:t>City </w:t>
      </w:r>
      <w:r>
        <w:rPr>
          <w:w w:val="105"/>
          <w:sz w:val="21"/>
        </w:rPr>
        <w:t>of Port </w:t>
      </w:r>
      <w:r>
        <w:rPr>
          <w:spacing w:val="-3"/>
          <w:w w:val="105"/>
          <w:sz w:val="21"/>
        </w:rPr>
        <w:t>Phillip </w:t>
      </w:r>
      <w:r>
        <w:rPr>
          <w:w w:val="105"/>
          <w:sz w:val="21"/>
        </w:rPr>
        <w:t>and one community member supported the introduction of a </w:t>
      </w:r>
      <w:r>
        <w:rPr>
          <w:spacing w:val="-3"/>
          <w:w w:val="105"/>
          <w:sz w:val="21"/>
        </w:rPr>
        <w:t>land </w:t>
      </w:r>
      <w:r>
        <w:rPr>
          <w:w w:val="105"/>
          <w:sz w:val="21"/>
        </w:rPr>
        <w:t>and </w:t>
      </w:r>
      <w:r>
        <w:rPr>
          <w:spacing w:val="-3"/>
          <w:w w:val="105"/>
          <w:sz w:val="21"/>
        </w:rPr>
        <w:t>environment </w:t>
      </w:r>
      <w:r>
        <w:rPr>
          <w:w w:val="105"/>
          <w:sz w:val="21"/>
        </w:rPr>
        <w:t>court or a </w:t>
      </w:r>
      <w:r>
        <w:rPr>
          <w:spacing w:val="-3"/>
          <w:w w:val="105"/>
          <w:sz w:val="21"/>
        </w:rPr>
        <w:t>land </w:t>
      </w:r>
      <w:r>
        <w:rPr>
          <w:w w:val="105"/>
          <w:sz w:val="21"/>
        </w:rPr>
        <w:t>court in Victoria, </w:t>
      </w:r>
      <w:r>
        <w:rPr>
          <w:spacing w:val="-3"/>
          <w:w w:val="105"/>
          <w:sz w:val="21"/>
        </w:rPr>
        <w:t>to exclusively </w:t>
      </w:r>
      <w:r>
        <w:rPr>
          <w:w w:val="105"/>
          <w:sz w:val="21"/>
        </w:rPr>
        <w:t>decide </w:t>
      </w:r>
      <w:r>
        <w:rPr>
          <w:spacing w:val="-3"/>
          <w:w w:val="105"/>
          <w:sz w:val="21"/>
        </w:rPr>
        <w:t>land </w:t>
      </w:r>
      <w:r>
        <w:rPr>
          <w:w w:val="105"/>
          <w:sz w:val="21"/>
        </w:rPr>
        <w:t>and </w:t>
      </w:r>
      <w:r>
        <w:rPr>
          <w:spacing w:val="-3"/>
          <w:w w:val="105"/>
          <w:sz w:val="21"/>
        </w:rPr>
        <w:t>environmental</w:t>
      </w:r>
      <w:r>
        <w:rPr>
          <w:spacing w:val="-10"/>
          <w:w w:val="105"/>
          <w:sz w:val="21"/>
        </w:rPr>
        <w:t> </w:t>
      </w:r>
      <w:r>
        <w:rPr>
          <w:w w:val="105"/>
          <w:sz w:val="21"/>
        </w:rPr>
        <w:t>matters</w:t>
      </w:r>
      <w:r>
        <w:rPr>
          <w:w w:val="105"/>
          <w:position w:val="7"/>
          <w:sz w:val="12"/>
        </w:rPr>
        <w:t>202</w:t>
      </w:r>
      <w:r>
        <w:rPr>
          <w:spacing w:val="13"/>
          <w:w w:val="105"/>
          <w:position w:val="7"/>
          <w:sz w:val="12"/>
        </w:rPr>
        <w:t> </w:t>
      </w:r>
      <w:r>
        <w:rPr>
          <w:spacing w:val="-3"/>
          <w:w w:val="105"/>
          <w:sz w:val="21"/>
        </w:rPr>
        <w:t>including</w:t>
      </w:r>
      <w:r>
        <w:rPr>
          <w:spacing w:val="-10"/>
          <w:w w:val="105"/>
          <w:sz w:val="21"/>
        </w:rPr>
        <w:t> </w:t>
      </w:r>
      <w:r>
        <w:rPr>
          <w:spacing w:val="-3"/>
          <w:w w:val="105"/>
          <w:sz w:val="21"/>
        </w:rPr>
        <w:t>disputes</w:t>
      </w:r>
      <w:r>
        <w:rPr>
          <w:spacing w:val="-10"/>
          <w:w w:val="105"/>
          <w:sz w:val="21"/>
        </w:rPr>
        <w:t> </w:t>
      </w:r>
      <w:r>
        <w:rPr>
          <w:w w:val="105"/>
          <w:sz w:val="21"/>
        </w:rPr>
        <w:t>between</w:t>
      </w:r>
      <w:r>
        <w:rPr>
          <w:spacing w:val="-10"/>
          <w:w w:val="105"/>
          <w:sz w:val="21"/>
        </w:rPr>
        <w:t> </w:t>
      </w:r>
      <w:r>
        <w:rPr>
          <w:w w:val="105"/>
          <w:sz w:val="21"/>
        </w:rPr>
        <w:t>neighbours</w:t>
      </w:r>
      <w:r>
        <w:rPr>
          <w:spacing w:val="-10"/>
          <w:w w:val="105"/>
          <w:sz w:val="21"/>
        </w:rPr>
        <w:t> </w:t>
      </w:r>
      <w:r>
        <w:rPr>
          <w:w w:val="105"/>
          <w:sz w:val="21"/>
        </w:rPr>
        <w:t>about</w:t>
      </w:r>
      <w:r>
        <w:rPr>
          <w:spacing w:val="-10"/>
          <w:w w:val="105"/>
          <w:sz w:val="21"/>
        </w:rPr>
        <w:t> </w:t>
      </w:r>
      <w:r>
        <w:rPr>
          <w:w w:val="105"/>
          <w:sz w:val="21"/>
        </w:rPr>
        <w:t>trees</w:t>
      </w:r>
      <w:r>
        <w:rPr>
          <w:spacing w:val="-9"/>
          <w:w w:val="105"/>
          <w:sz w:val="21"/>
        </w:rPr>
        <w:t> </w:t>
      </w:r>
      <w:r>
        <w:rPr>
          <w:w w:val="105"/>
          <w:sz w:val="21"/>
        </w:rPr>
        <w:t>on</w:t>
      </w:r>
      <w:r>
        <w:rPr>
          <w:spacing w:val="-10"/>
          <w:w w:val="105"/>
          <w:sz w:val="21"/>
        </w:rPr>
        <w:t> </w:t>
      </w:r>
      <w:r>
        <w:rPr>
          <w:spacing w:val="-3"/>
          <w:w w:val="105"/>
          <w:sz w:val="21"/>
        </w:rPr>
        <w:t>private land</w:t>
      </w:r>
    </w:p>
    <w:p>
      <w:pPr>
        <w:pStyle w:val="ListParagraph"/>
        <w:numPr>
          <w:ilvl w:val="1"/>
          <w:numId w:val="114"/>
        </w:numPr>
        <w:tabs>
          <w:tab w:pos="2380" w:val="left" w:leader="none"/>
          <w:tab w:pos="2381" w:val="left" w:leader="none"/>
        </w:tabs>
        <w:spacing w:line="242" w:lineRule="auto" w:before="126" w:after="0"/>
        <w:ind w:left="2380" w:right="1778" w:hanging="793"/>
        <w:jc w:val="left"/>
        <w:rPr>
          <w:sz w:val="12"/>
        </w:rPr>
      </w:pPr>
      <w:r>
        <w:rPr>
          <w:spacing w:val="-3"/>
          <w:w w:val="105"/>
          <w:sz w:val="21"/>
        </w:rPr>
        <w:t>Pointon</w:t>
      </w:r>
      <w:r>
        <w:rPr>
          <w:spacing w:val="-15"/>
          <w:w w:val="105"/>
          <w:sz w:val="21"/>
        </w:rPr>
        <w:t> </w:t>
      </w:r>
      <w:r>
        <w:rPr>
          <w:w w:val="105"/>
          <w:sz w:val="21"/>
        </w:rPr>
        <w:t>Partners</w:t>
      </w:r>
      <w:r>
        <w:rPr>
          <w:spacing w:val="-14"/>
          <w:w w:val="105"/>
          <w:sz w:val="21"/>
        </w:rPr>
        <w:t> </w:t>
      </w:r>
      <w:r>
        <w:rPr>
          <w:w w:val="105"/>
          <w:sz w:val="21"/>
        </w:rPr>
        <w:t>and</w:t>
      </w:r>
      <w:r>
        <w:rPr>
          <w:spacing w:val="-15"/>
          <w:w w:val="105"/>
          <w:sz w:val="21"/>
        </w:rPr>
        <w:t> </w:t>
      </w:r>
      <w:r>
        <w:rPr>
          <w:w w:val="105"/>
          <w:sz w:val="21"/>
        </w:rPr>
        <w:t>one</w:t>
      </w:r>
      <w:r>
        <w:rPr>
          <w:spacing w:val="-14"/>
          <w:w w:val="105"/>
          <w:sz w:val="21"/>
        </w:rPr>
        <w:t> </w:t>
      </w:r>
      <w:r>
        <w:rPr>
          <w:w w:val="105"/>
          <w:sz w:val="21"/>
        </w:rPr>
        <w:t>community</w:t>
      </w:r>
      <w:r>
        <w:rPr>
          <w:spacing w:val="-14"/>
          <w:w w:val="105"/>
          <w:sz w:val="21"/>
        </w:rPr>
        <w:t> </w:t>
      </w:r>
      <w:r>
        <w:rPr>
          <w:w w:val="105"/>
          <w:sz w:val="21"/>
        </w:rPr>
        <w:t>member</w:t>
      </w:r>
      <w:r>
        <w:rPr>
          <w:spacing w:val="-15"/>
          <w:w w:val="105"/>
          <w:sz w:val="21"/>
        </w:rPr>
        <w:t> </w:t>
      </w:r>
      <w:r>
        <w:rPr>
          <w:w w:val="105"/>
          <w:sz w:val="21"/>
        </w:rPr>
        <w:t>suggested</w:t>
      </w:r>
      <w:r>
        <w:rPr>
          <w:spacing w:val="-14"/>
          <w:w w:val="105"/>
          <w:sz w:val="21"/>
        </w:rPr>
        <w:t> </w:t>
      </w:r>
      <w:r>
        <w:rPr>
          <w:w w:val="105"/>
          <w:sz w:val="21"/>
        </w:rPr>
        <w:t>the</w:t>
      </w:r>
      <w:r>
        <w:rPr>
          <w:spacing w:val="-14"/>
          <w:w w:val="105"/>
          <w:sz w:val="21"/>
        </w:rPr>
        <w:t> </w:t>
      </w:r>
      <w:r>
        <w:rPr>
          <w:w w:val="105"/>
          <w:sz w:val="21"/>
        </w:rPr>
        <w:t>introduction</w:t>
      </w:r>
      <w:r>
        <w:rPr>
          <w:spacing w:val="-15"/>
          <w:w w:val="105"/>
          <w:sz w:val="21"/>
        </w:rPr>
        <w:t> </w:t>
      </w:r>
      <w:r>
        <w:rPr>
          <w:w w:val="105"/>
          <w:sz w:val="21"/>
        </w:rPr>
        <w:t>of</w:t>
      </w:r>
      <w:r>
        <w:rPr>
          <w:spacing w:val="-14"/>
          <w:w w:val="105"/>
          <w:sz w:val="21"/>
        </w:rPr>
        <w:t> </w:t>
      </w:r>
      <w:r>
        <w:rPr>
          <w:w w:val="105"/>
          <w:sz w:val="21"/>
        </w:rPr>
        <w:t>a</w:t>
      </w:r>
      <w:r>
        <w:rPr>
          <w:spacing w:val="-14"/>
          <w:w w:val="105"/>
          <w:sz w:val="21"/>
        </w:rPr>
        <w:t> </w:t>
      </w:r>
      <w:r>
        <w:rPr>
          <w:w w:val="105"/>
          <w:sz w:val="21"/>
        </w:rPr>
        <w:t>specialist </w:t>
      </w:r>
      <w:r>
        <w:rPr>
          <w:spacing w:val="-3"/>
          <w:w w:val="105"/>
          <w:sz w:val="21"/>
        </w:rPr>
        <w:t>tribunal for </w:t>
      </w:r>
      <w:r>
        <w:rPr>
          <w:w w:val="105"/>
          <w:sz w:val="21"/>
        </w:rPr>
        <w:t>tree</w:t>
      </w:r>
      <w:r>
        <w:rPr>
          <w:spacing w:val="20"/>
          <w:w w:val="105"/>
          <w:sz w:val="21"/>
        </w:rPr>
        <w:t> </w:t>
      </w:r>
      <w:r>
        <w:rPr>
          <w:w w:val="105"/>
          <w:sz w:val="21"/>
        </w:rPr>
        <w:t>disputes:</w:t>
      </w:r>
      <w:r>
        <w:rPr>
          <w:w w:val="105"/>
          <w:position w:val="7"/>
          <w:sz w:val="12"/>
        </w:rPr>
        <w:t>203</w:t>
      </w:r>
    </w:p>
    <w:p>
      <w:pPr>
        <w:spacing w:line="254" w:lineRule="auto" w:before="131"/>
        <w:ind w:left="2834" w:right="1636" w:firstLine="0"/>
        <w:jc w:val="left"/>
        <w:rPr>
          <w:sz w:val="11"/>
        </w:rPr>
      </w:pPr>
      <w:r>
        <w:rPr>
          <w:sz w:val="20"/>
        </w:rPr>
        <w:t>constituted by one or more members with specialist knowledge of the </w:t>
      </w:r>
      <w:r>
        <w:rPr>
          <w:spacing w:val="-3"/>
          <w:sz w:val="20"/>
        </w:rPr>
        <w:t>key </w:t>
      </w:r>
      <w:r>
        <w:rPr>
          <w:sz w:val="20"/>
        </w:rPr>
        <w:t>issues that are </w:t>
      </w:r>
      <w:r>
        <w:rPr>
          <w:spacing w:val="-3"/>
          <w:sz w:val="20"/>
        </w:rPr>
        <w:t>likely </w:t>
      </w:r>
      <w:r>
        <w:rPr>
          <w:sz w:val="20"/>
        </w:rPr>
        <w:t>to arise (potentially lawyers, arborists, town planners, </w:t>
      </w:r>
      <w:r>
        <w:rPr>
          <w:spacing w:val="-2"/>
          <w:sz w:val="20"/>
        </w:rPr>
        <w:t>environmental  </w:t>
      </w:r>
      <w:r>
        <w:rPr>
          <w:sz w:val="20"/>
        </w:rPr>
        <w:t>consultants, etc). They might also include </w:t>
      </w:r>
      <w:r>
        <w:rPr>
          <w:spacing w:val="-3"/>
          <w:sz w:val="20"/>
        </w:rPr>
        <w:t>conciliators </w:t>
      </w:r>
      <w:r>
        <w:rPr>
          <w:sz w:val="20"/>
        </w:rPr>
        <w:t>from </w:t>
      </w:r>
      <w:r>
        <w:rPr>
          <w:spacing w:val="-5"/>
          <w:sz w:val="20"/>
        </w:rPr>
        <w:t>DSCV, </w:t>
      </w:r>
      <w:r>
        <w:rPr>
          <w:sz w:val="20"/>
        </w:rPr>
        <w:t>who  would  </w:t>
      </w:r>
      <w:r>
        <w:rPr>
          <w:spacing w:val="-3"/>
          <w:sz w:val="20"/>
        </w:rPr>
        <w:t>have  </w:t>
      </w:r>
      <w:r>
        <w:rPr>
          <w:sz w:val="20"/>
        </w:rPr>
        <w:t>significant experience in this</w:t>
      </w:r>
      <w:r>
        <w:rPr>
          <w:spacing w:val="24"/>
          <w:sz w:val="20"/>
        </w:rPr>
        <w:t> </w:t>
      </w:r>
      <w:r>
        <w:rPr>
          <w:sz w:val="20"/>
        </w:rPr>
        <w:t>area.</w:t>
      </w:r>
      <w:r>
        <w:rPr>
          <w:position w:val="7"/>
          <w:sz w:val="11"/>
        </w:rPr>
        <w:t>204</w:t>
      </w:r>
    </w:p>
    <w:p>
      <w:pPr>
        <w:pStyle w:val="ListParagraph"/>
        <w:numPr>
          <w:ilvl w:val="1"/>
          <w:numId w:val="114"/>
        </w:numPr>
        <w:tabs>
          <w:tab w:pos="2381" w:val="left" w:leader="none"/>
          <w:tab w:pos="2382" w:val="left" w:leader="none"/>
        </w:tabs>
        <w:spacing w:line="242" w:lineRule="auto" w:before="116" w:after="0"/>
        <w:ind w:left="2381" w:right="1810" w:hanging="794"/>
        <w:jc w:val="left"/>
        <w:rPr>
          <w:sz w:val="21"/>
        </w:rPr>
      </w:pPr>
      <w:r>
        <w:rPr>
          <w:spacing w:val="-3"/>
          <w:sz w:val="21"/>
        </w:rPr>
        <w:t>Pointon </w:t>
      </w:r>
      <w:r>
        <w:rPr>
          <w:sz w:val="21"/>
        </w:rPr>
        <w:t>Partners further stated </w:t>
      </w:r>
      <w:r>
        <w:rPr>
          <w:spacing w:val="-3"/>
          <w:sz w:val="21"/>
        </w:rPr>
        <w:t>that </w:t>
      </w:r>
      <w:r>
        <w:rPr>
          <w:sz w:val="21"/>
        </w:rPr>
        <w:t>where a party is unsatisfied with the </w:t>
      </w:r>
      <w:r>
        <w:rPr>
          <w:spacing w:val="-3"/>
          <w:sz w:val="21"/>
        </w:rPr>
        <w:t>outcome, </w:t>
      </w:r>
      <w:r>
        <w:rPr>
          <w:sz w:val="21"/>
        </w:rPr>
        <w:t>they should</w:t>
      </w:r>
      <w:r>
        <w:rPr>
          <w:spacing w:val="8"/>
          <w:sz w:val="21"/>
        </w:rPr>
        <w:t> </w:t>
      </w:r>
      <w:r>
        <w:rPr>
          <w:sz w:val="21"/>
        </w:rPr>
        <w:t>be:</w:t>
      </w:r>
    </w:p>
    <w:p>
      <w:pPr>
        <w:spacing w:line="254" w:lineRule="auto" w:before="132"/>
        <w:ind w:left="2834" w:right="1695" w:firstLine="0"/>
        <w:jc w:val="left"/>
        <w:rPr>
          <w:sz w:val="11"/>
        </w:rPr>
      </w:pPr>
      <w:r>
        <w:rPr>
          <w:w w:val="105"/>
          <w:sz w:val="20"/>
        </w:rPr>
        <w:t>entitled</w:t>
      </w:r>
      <w:r>
        <w:rPr>
          <w:spacing w:val="-9"/>
          <w:w w:val="105"/>
          <w:sz w:val="20"/>
        </w:rPr>
        <w:t> </w:t>
      </w:r>
      <w:r>
        <w:rPr>
          <w:w w:val="105"/>
          <w:sz w:val="20"/>
        </w:rPr>
        <w:t>to</w:t>
      </w:r>
      <w:r>
        <w:rPr>
          <w:spacing w:val="-9"/>
          <w:w w:val="105"/>
          <w:sz w:val="20"/>
        </w:rPr>
        <w:t> </w:t>
      </w:r>
      <w:r>
        <w:rPr>
          <w:w w:val="105"/>
          <w:sz w:val="20"/>
        </w:rPr>
        <w:t>seek</w:t>
      </w:r>
      <w:r>
        <w:rPr>
          <w:spacing w:val="-8"/>
          <w:w w:val="105"/>
          <w:sz w:val="20"/>
        </w:rPr>
        <w:t> </w:t>
      </w:r>
      <w:r>
        <w:rPr>
          <w:w w:val="105"/>
          <w:sz w:val="20"/>
        </w:rPr>
        <w:t>a</w:t>
      </w:r>
      <w:r>
        <w:rPr>
          <w:spacing w:val="-9"/>
          <w:w w:val="105"/>
          <w:sz w:val="20"/>
        </w:rPr>
        <w:t> </w:t>
      </w:r>
      <w:r>
        <w:rPr>
          <w:w w:val="105"/>
          <w:sz w:val="20"/>
        </w:rPr>
        <w:t>review</w:t>
      </w:r>
      <w:r>
        <w:rPr>
          <w:spacing w:val="-9"/>
          <w:w w:val="105"/>
          <w:sz w:val="20"/>
        </w:rPr>
        <w:t> </w:t>
      </w:r>
      <w:r>
        <w:rPr>
          <w:w w:val="105"/>
          <w:sz w:val="20"/>
        </w:rPr>
        <w:t>in</w:t>
      </w:r>
      <w:r>
        <w:rPr>
          <w:spacing w:val="-8"/>
          <w:w w:val="105"/>
          <w:sz w:val="20"/>
        </w:rPr>
        <w:t> </w:t>
      </w:r>
      <w:r>
        <w:rPr>
          <w:w w:val="105"/>
          <w:sz w:val="20"/>
        </w:rPr>
        <w:t>the</w:t>
      </w:r>
      <w:r>
        <w:rPr>
          <w:spacing w:val="-9"/>
          <w:w w:val="105"/>
          <w:sz w:val="20"/>
        </w:rPr>
        <w:t> </w:t>
      </w:r>
      <w:r>
        <w:rPr>
          <w:w w:val="105"/>
          <w:sz w:val="20"/>
        </w:rPr>
        <w:t>Magistrates’</w:t>
      </w:r>
      <w:r>
        <w:rPr>
          <w:spacing w:val="-8"/>
          <w:w w:val="105"/>
          <w:sz w:val="20"/>
        </w:rPr>
        <w:t> </w:t>
      </w:r>
      <w:r>
        <w:rPr>
          <w:w w:val="105"/>
          <w:sz w:val="20"/>
        </w:rPr>
        <w:t>Court,</w:t>
      </w:r>
      <w:r>
        <w:rPr>
          <w:spacing w:val="-9"/>
          <w:w w:val="105"/>
          <w:sz w:val="20"/>
        </w:rPr>
        <w:t> </w:t>
      </w:r>
      <w:r>
        <w:rPr>
          <w:w w:val="105"/>
          <w:sz w:val="20"/>
        </w:rPr>
        <w:t>and</w:t>
      </w:r>
      <w:r>
        <w:rPr>
          <w:spacing w:val="-9"/>
          <w:w w:val="105"/>
          <w:sz w:val="20"/>
        </w:rPr>
        <w:t> </w:t>
      </w:r>
      <w:r>
        <w:rPr>
          <w:w w:val="105"/>
          <w:sz w:val="20"/>
        </w:rPr>
        <w:t>that</w:t>
      </w:r>
      <w:r>
        <w:rPr>
          <w:spacing w:val="-8"/>
          <w:w w:val="105"/>
          <w:sz w:val="20"/>
        </w:rPr>
        <w:t> </w:t>
      </w:r>
      <w:r>
        <w:rPr>
          <w:w w:val="105"/>
          <w:sz w:val="20"/>
        </w:rPr>
        <w:t>this</w:t>
      </w:r>
      <w:r>
        <w:rPr>
          <w:spacing w:val="-9"/>
          <w:w w:val="105"/>
          <w:sz w:val="20"/>
        </w:rPr>
        <w:t> </w:t>
      </w:r>
      <w:r>
        <w:rPr>
          <w:w w:val="105"/>
          <w:sz w:val="20"/>
        </w:rPr>
        <w:t>right</w:t>
      </w:r>
      <w:r>
        <w:rPr>
          <w:spacing w:val="-9"/>
          <w:w w:val="105"/>
          <w:sz w:val="20"/>
        </w:rPr>
        <w:t> </w:t>
      </w:r>
      <w:r>
        <w:rPr>
          <w:w w:val="105"/>
          <w:sz w:val="20"/>
        </w:rPr>
        <w:t>of</w:t>
      </w:r>
      <w:r>
        <w:rPr>
          <w:spacing w:val="-8"/>
          <w:w w:val="105"/>
          <w:sz w:val="20"/>
        </w:rPr>
        <w:t> </w:t>
      </w:r>
      <w:r>
        <w:rPr>
          <w:w w:val="105"/>
          <w:sz w:val="20"/>
        </w:rPr>
        <w:t>appeal</w:t>
      </w:r>
      <w:r>
        <w:rPr>
          <w:spacing w:val="-9"/>
          <w:w w:val="105"/>
          <w:sz w:val="20"/>
        </w:rPr>
        <w:t> </w:t>
      </w:r>
      <w:r>
        <w:rPr>
          <w:w w:val="105"/>
          <w:sz w:val="20"/>
        </w:rPr>
        <w:t>operate as a hearing </w:t>
      </w:r>
      <w:r>
        <w:rPr>
          <w:i/>
          <w:w w:val="105"/>
          <w:sz w:val="20"/>
        </w:rPr>
        <w:t>ab initio.</w:t>
      </w:r>
      <w:r>
        <w:rPr>
          <w:w w:val="105"/>
          <w:position w:val="7"/>
          <w:sz w:val="11"/>
        </w:rPr>
        <w:t>205</w:t>
      </w:r>
      <w:r>
        <w:rPr>
          <w:w w:val="105"/>
          <w:sz w:val="20"/>
        </w:rPr>
        <w:t>In this </w:t>
      </w:r>
      <w:r>
        <w:rPr>
          <w:spacing w:val="-5"/>
          <w:w w:val="105"/>
          <w:sz w:val="20"/>
        </w:rPr>
        <w:t>way, </w:t>
      </w:r>
      <w:r>
        <w:rPr>
          <w:w w:val="105"/>
          <w:sz w:val="20"/>
        </w:rPr>
        <w:t>parties wishing to </w:t>
      </w:r>
      <w:r>
        <w:rPr>
          <w:spacing w:val="-3"/>
          <w:w w:val="105"/>
          <w:sz w:val="20"/>
        </w:rPr>
        <w:t>have </w:t>
      </w:r>
      <w:r>
        <w:rPr>
          <w:w w:val="105"/>
          <w:sz w:val="20"/>
        </w:rPr>
        <w:t>complicated matters determined</w:t>
      </w:r>
      <w:r>
        <w:rPr>
          <w:spacing w:val="-8"/>
          <w:w w:val="105"/>
          <w:sz w:val="20"/>
        </w:rPr>
        <w:t> </w:t>
      </w:r>
      <w:r>
        <w:rPr>
          <w:w w:val="105"/>
          <w:sz w:val="20"/>
        </w:rPr>
        <w:t>by</w:t>
      </w:r>
      <w:r>
        <w:rPr>
          <w:spacing w:val="-8"/>
          <w:w w:val="105"/>
          <w:sz w:val="20"/>
        </w:rPr>
        <w:t> </w:t>
      </w:r>
      <w:r>
        <w:rPr>
          <w:w w:val="105"/>
          <w:sz w:val="20"/>
        </w:rPr>
        <w:t>the</w:t>
      </w:r>
      <w:r>
        <w:rPr>
          <w:spacing w:val="-8"/>
          <w:w w:val="105"/>
          <w:sz w:val="20"/>
        </w:rPr>
        <w:t> </w:t>
      </w:r>
      <w:r>
        <w:rPr>
          <w:w w:val="105"/>
          <w:sz w:val="20"/>
        </w:rPr>
        <w:t>courts</w:t>
      </w:r>
      <w:r>
        <w:rPr>
          <w:spacing w:val="-8"/>
          <w:w w:val="105"/>
          <w:sz w:val="20"/>
        </w:rPr>
        <w:t> </w:t>
      </w:r>
      <w:r>
        <w:rPr>
          <w:w w:val="105"/>
          <w:sz w:val="20"/>
        </w:rPr>
        <w:t>are</w:t>
      </w:r>
      <w:r>
        <w:rPr>
          <w:spacing w:val="-8"/>
          <w:w w:val="105"/>
          <w:sz w:val="20"/>
        </w:rPr>
        <w:t> </w:t>
      </w:r>
      <w:r>
        <w:rPr>
          <w:w w:val="105"/>
          <w:sz w:val="20"/>
        </w:rPr>
        <w:t>not</w:t>
      </w:r>
      <w:r>
        <w:rPr>
          <w:spacing w:val="-8"/>
          <w:w w:val="105"/>
          <w:sz w:val="20"/>
        </w:rPr>
        <w:t> </w:t>
      </w:r>
      <w:r>
        <w:rPr>
          <w:w w:val="105"/>
          <w:sz w:val="20"/>
        </w:rPr>
        <w:t>shut</w:t>
      </w:r>
      <w:r>
        <w:rPr>
          <w:spacing w:val="-8"/>
          <w:w w:val="105"/>
          <w:sz w:val="20"/>
        </w:rPr>
        <w:t> </w:t>
      </w:r>
      <w:r>
        <w:rPr>
          <w:w w:val="105"/>
          <w:sz w:val="20"/>
        </w:rPr>
        <w:t>out</w:t>
      </w:r>
      <w:r>
        <w:rPr>
          <w:spacing w:val="-7"/>
          <w:w w:val="105"/>
          <w:sz w:val="20"/>
        </w:rPr>
        <w:t> </w:t>
      </w:r>
      <w:r>
        <w:rPr>
          <w:w w:val="105"/>
          <w:sz w:val="20"/>
        </w:rPr>
        <w:t>from</w:t>
      </w:r>
      <w:r>
        <w:rPr>
          <w:spacing w:val="-8"/>
          <w:w w:val="105"/>
          <w:sz w:val="20"/>
        </w:rPr>
        <w:t> </w:t>
      </w:r>
      <w:r>
        <w:rPr>
          <w:w w:val="105"/>
          <w:sz w:val="20"/>
        </w:rPr>
        <w:t>doing</w:t>
      </w:r>
      <w:r>
        <w:rPr>
          <w:spacing w:val="-8"/>
          <w:w w:val="105"/>
          <w:sz w:val="20"/>
        </w:rPr>
        <w:t> </w:t>
      </w:r>
      <w:r>
        <w:rPr>
          <w:w w:val="105"/>
          <w:sz w:val="20"/>
        </w:rPr>
        <w:t>so.</w:t>
      </w:r>
      <w:r>
        <w:rPr>
          <w:spacing w:val="-8"/>
          <w:w w:val="105"/>
          <w:sz w:val="20"/>
        </w:rPr>
        <w:t> </w:t>
      </w:r>
      <w:r>
        <w:rPr>
          <w:spacing w:val="-4"/>
          <w:w w:val="105"/>
          <w:sz w:val="20"/>
        </w:rPr>
        <w:t>However,</w:t>
      </w:r>
      <w:r>
        <w:rPr>
          <w:spacing w:val="-8"/>
          <w:w w:val="105"/>
          <w:sz w:val="20"/>
        </w:rPr>
        <w:t> </w:t>
      </w:r>
      <w:r>
        <w:rPr>
          <w:w w:val="105"/>
          <w:sz w:val="20"/>
        </w:rPr>
        <w:t>parties</w:t>
      </w:r>
      <w:r>
        <w:rPr>
          <w:spacing w:val="-8"/>
          <w:w w:val="105"/>
          <w:sz w:val="20"/>
        </w:rPr>
        <w:t> </w:t>
      </w:r>
      <w:r>
        <w:rPr>
          <w:w w:val="105"/>
          <w:sz w:val="20"/>
        </w:rPr>
        <w:t>with</w:t>
      </w:r>
      <w:r>
        <w:rPr>
          <w:spacing w:val="-8"/>
          <w:w w:val="105"/>
          <w:sz w:val="20"/>
        </w:rPr>
        <w:t> </w:t>
      </w:r>
      <w:r>
        <w:rPr>
          <w:w w:val="105"/>
          <w:sz w:val="20"/>
        </w:rPr>
        <w:t>simpler disputes (which are the overwhelming majority of disputes), would be entitled to </w:t>
      </w:r>
      <w:r>
        <w:rPr>
          <w:spacing w:val="-3"/>
          <w:w w:val="105"/>
          <w:sz w:val="20"/>
        </w:rPr>
        <w:t>have </w:t>
      </w:r>
      <w:r>
        <w:rPr>
          <w:w w:val="105"/>
          <w:sz w:val="20"/>
        </w:rPr>
        <w:t>their dispute resolved in an </w:t>
      </w:r>
      <w:r>
        <w:rPr>
          <w:spacing w:val="-3"/>
          <w:w w:val="105"/>
          <w:sz w:val="20"/>
        </w:rPr>
        <w:t>informal, </w:t>
      </w:r>
      <w:r>
        <w:rPr>
          <w:w w:val="105"/>
          <w:sz w:val="20"/>
        </w:rPr>
        <w:t>yet effective</w:t>
      </w:r>
      <w:r>
        <w:rPr>
          <w:spacing w:val="28"/>
          <w:w w:val="105"/>
          <w:sz w:val="20"/>
        </w:rPr>
        <w:t> </w:t>
      </w:r>
      <w:r>
        <w:rPr>
          <w:spacing w:val="-3"/>
          <w:w w:val="105"/>
          <w:sz w:val="20"/>
        </w:rPr>
        <w:t>manner.</w:t>
      </w:r>
      <w:r>
        <w:rPr>
          <w:spacing w:val="-3"/>
          <w:w w:val="105"/>
          <w:position w:val="7"/>
          <w:sz w:val="11"/>
        </w:rPr>
        <w:t>206</w:t>
      </w:r>
    </w:p>
    <w:p>
      <w:pPr>
        <w:pStyle w:val="ListParagraph"/>
        <w:numPr>
          <w:ilvl w:val="1"/>
          <w:numId w:val="114"/>
        </w:numPr>
        <w:tabs>
          <w:tab w:pos="2381" w:val="left" w:leader="none"/>
          <w:tab w:pos="2382" w:val="left" w:leader="none"/>
        </w:tabs>
        <w:spacing w:line="242" w:lineRule="auto" w:before="116" w:after="0"/>
        <w:ind w:left="2381" w:right="1595" w:hanging="794"/>
        <w:jc w:val="left"/>
        <w:rPr>
          <w:sz w:val="12"/>
        </w:rPr>
      </w:pPr>
      <w:r>
        <w:rPr>
          <w:w w:val="105"/>
          <w:sz w:val="21"/>
        </w:rPr>
        <w:t>Dr Gregory Moore OAM suggested there </w:t>
      </w:r>
      <w:r>
        <w:rPr>
          <w:spacing w:val="-3"/>
          <w:w w:val="105"/>
          <w:sz w:val="21"/>
        </w:rPr>
        <w:t>may </w:t>
      </w:r>
      <w:r>
        <w:rPr>
          <w:w w:val="105"/>
          <w:sz w:val="21"/>
        </w:rPr>
        <w:t>be a case </w:t>
      </w:r>
      <w:r>
        <w:rPr>
          <w:spacing w:val="-3"/>
          <w:w w:val="105"/>
          <w:sz w:val="21"/>
        </w:rPr>
        <w:t>for establishing </w:t>
      </w:r>
      <w:r>
        <w:rPr>
          <w:w w:val="105"/>
          <w:sz w:val="21"/>
        </w:rPr>
        <w:t>an Office of the </w:t>
      </w:r>
      <w:r>
        <w:rPr>
          <w:spacing w:val="-3"/>
          <w:w w:val="105"/>
          <w:sz w:val="21"/>
        </w:rPr>
        <w:t>State</w:t>
      </w:r>
      <w:r>
        <w:rPr>
          <w:spacing w:val="-9"/>
          <w:w w:val="105"/>
          <w:sz w:val="21"/>
        </w:rPr>
        <w:t> </w:t>
      </w:r>
      <w:r>
        <w:rPr>
          <w:w w:val="105"/>
          <w:sz w:val="21"/>
        </w:rPr>
        <w:t>Arborist</w:t>
      </w:r>
      <w:r>
        <w:rPr>
          <w:spacing w:val="-9"/>
          <w:w w:val="105"/>
          <w:sz w:val="21"/>
        </w:rPr>
        <w:t> </w:t>
      </w:r>
      <w:r>
        <w:rPr>
          <w:w w:val="105"/>
          <w:sz w:val="21"/>
        </w:rPr>
        <w:t>which</w:t>
      </w:r>
      <w:r>
        <w:rPr>
          <w:spacing w:val="-9"/>
          <w:w w:val="105"/>
          <w:sz w:val="21"/>
        </w:rPr>
        <w:t> </w:t>
      </w:r>
      <w:r>
        <w:rPr>
          <w:w w:val="105"/>
          <w:sz w:val="21"/>
        </w:rPr>
        <w:t>would</w:t>
      </w:r>
      <w:r>
        <w:rPr>
          <w:spacing w:val="-8"/>
          <w:w w:val="105"/>
          <w:sz w:val="21"/>
        </w:rPr>
        <w:t> </w:t>
      </w:r>
      <w:r>
        <w:rPr>
          <w:spacing w:val="-3"/>
          <w:w w:val="105"/>
          <w:sz w:val="21"/>
        </w:rPr>
        <w:t>have</w:t>
      </w:r>
      <w:r>
        <w:rPr>
          <w:spacing w:val="-9"/>
          <w:w w:val="105"/>
          <w:sz w:val="21"/>
        </w:rPr>
        <w:t> </w:t>
      </w:r>
      <w:r>
        <w:rPr>
          <w:spacing w:val="-3"/>
          <w:w w:val="105"/>
          <w:sz w:val="21"/>
        </w:rPr>
        <w:t>‘powers</w:t>
      </w:r>
      <w:r>
        <w:rPr>
          <w:spacing w:val="-9"/>
          <w:w w:val="105"/>
          <w:sz w:val="21"/>
        </w:rPr>
        <w:t> </w:t>
      </w:r>
      <w:r>
        <w:rPr>
          <w:spacing w:val="-3"/>
          <w:w w:val="105"/>
          <w:sz w:val="21"/>
        </w:rPr>
        <w:t>similar</w:t>
      </w:r>
      <w:r>
        <w:rPr>
          <w:spacing w:val="-9"/>
          <w:w w:val="105"/>
          <w:sz w:val="21"/>
        </w:rPr>
        <w:t> </w:t>
      </w:r>
      <w:r>
        <w:rPr>
          <w:spacing w:val="-3"/>
          <w:w w:val="105"/>
          <w:sz w:val="21"/>
        </w:rPr>
        <w:t>to</w:t>
      </w:r>
      <w:r>
        <w:rPr>
          <w:spacing w:val="-8"/>
          <w:w w:val="105"/>
          <w:sz w:val="21"/>
        </w:rPr>
        <w:t> </w:t>
      </w:r>
      <w:r>
        <w:rPr>
          <w:w w:val="105"/>
          <w:sz w:val="21"/>
        </w:rPr>
        <w:t>an</w:t>
      </w:r>
      <w:r>
        <w:rPr>
          <w:spacing w:val="-9"/>
          <w:w w:val="105"/>
          <w:sz w:val="21"/>
        </w:rPr>
        <w:t> </w:t>
      </w:r>
      <w:r>
        <w:rPr>
          <w:spacing w:val="-3"/>
          <w:w w:val="105"/>
          <w:sz w:val="21"/>
        </w:rPr>
        <w:t>ombudsman</w:t>
      </w:r>
      <w:r>
        <w:rPr>
          <w:spacing w:val="-9"/>
          <w:w w:val="105"/>
          <w:sz w:val="21"/>
        </w:rPr>
        <w:t> </w:t>
      </w:r>
      <w:r>
        <w:rPr>
          <w:w w:val="105"/>
          <w:sz w:val="21"/>
        </w:rPr>
        <w:t>in</w:t>
      </w:r>
      <w:r>
        <w:rPr>
          <w:spacing w:val="-8"/>
          <w:w w:val="105"/>
          <w:sz w:val="21"/>
        </w:rPr>
        <w:t> </w:t>
      </w:r>
      <w:r>
        <w:rPr>
          <w:w w:val="105"/>
          <w:sz w:val="21"/>
        </w:rPr>
        <w:t>tree-related</w:t>
      </w:r>
      <w:r>
        <w:rPr>
          <w:spacing w:val="-9"/>
          <w:w w:val="105"/>
          <w:sz w:val="21"/>
        </w:rPr>
        <w:t> </w:t>
      </w:r>
      <w:r>
        <w:rPr>
          <w:w w:val="105"/>
          <w:sz w:val="21"/>
        </w:rPr>
        <w:t>matters on </w:t>
      </w:r>
      <w:r>
        <w:rPr>
          <w:spacing w:val="-3"/>
          <w:w w:val="105"/>
          <w:sz w:val="21"/>
        </w:rPr>
        <w:t>private </w:t>
      </w:r>
      <w:r>
        <w:rPr>
          <w:w w:val="105"/>
          <w:sz w:val="21"/>
        </w:rPr>
        <w:t>and </w:t>
      </w:r>
      <w:r>
        <w:rPr>
          <w:spacing w:val="-3"/>
          <w:w w:val="105"/>
          <w:sz w:val="21"/>
        </w:rPr>
        <w:t>public </w:t>
      </w:r>
      <w:r>
        <w:rPr>
          <w:spacing w:val="-4"/>
          <w:w w:val="105"/>
          <w:sz w:val="21"/>
        </w:rPr>
        <w:t>land’.</w:t>
      </w:r>
      <w:r>
        <w:rPr>
          <w:spacing w:val="-4"/>
          <w:w w:val="105"/>
          <w:position w:val="7"/>
          <w:sz w:val="12"/>
        </w:rPr>
        <w:t>207 </w:t>
      </w:r>
      <w:r>
        <w:rPr>
          <w:w w:val="105"/>
          <w:sz w:val="21"/>
        </w:rPr>
        <w:t>The </w:t>
      </w:r>
      <w:r>
        <w:rPr>
          <w:spacing w:val="-3"/>
          <w:w w:val="105"/>
          <w:sz w:val="21"/>
        </w:rPr>
        <w:t>State </w:t>
      </w:r>
      <w:r>
        <w:rPr>
          <w:w w:val="105"/>
          <w:sz w:val="21"/>
        </w:rPr>
        <w:t>Arborist should </w:t>
      </w:r>
      <w:r>
        <w:rPr>
          <w:spacing w:val="-3"/>
          <w:w w:val="105"/>
          <w:sz w:val="21"/>
        </w:rPr>
        <w:t>have significant arboricultural </w:t>
      </w:r>
      <w:r>
        <w:rPr>
          <w:w w:val="105"/>
          <w:sz w:val="21"/>
        </w:rPr>
        <w:t>understanding and </w:t>
      </w:r>
      <w:r>
        <w:rPr>
          <w:spacing w:val="-3"/>
          <w:w w:val="105"/>
          <w:sz w:val="21"/>
        </w:rPr>
        <w:t>could </w:t>
      </w:r>
      <w:r>
        <w:rPr>
          <w:w w:val="105"/>
          <w:sz w:val="21"/>
        </w:rPr>
        <w:t>provide independent and impartial advice when a tree </w:t>
      </w:r>
      <w:r>
        <w:rPr>
          <w:spacing w:val="-3"/>
          <w:w w:val="105"/>
          <w:sz w:val="21"/>
        </w:rPr>
        <w:t>dispute </w:t>
      </w:r>
      <w:r>
        <w:rPr>
          <w:w w:val="105"/>
          <w:sz w:val="21"/>
        </w:rPr>
        <w:t>occurs.</w:t>
      </w:r>
      <w:r>
        <w:rPr>
          <w:w w:val="105"/>
          <w:position w:val="7"/>
          <w:sz w:val="12"/>
        </w:rPr>
        <w:t>208 </w:t>
      </w:r>
      <w:r>
        <w:rPr>
          <w:w w:val="105"/>
          <w:sz w:val="21"/>
        </w:rPr>
        <w:t>The </w:t>
      </w:r>
      <w:r>
        <w:rPr>
          <w:spacing w:val="-3"/>
          <w:w w:val="105"/>
          <w:sz w:val="21"/>
        </w:rPr>
        <w:t>State </w:t>
      </w:r>
      <w:r>
        <w:rPr>
          <w:w w:val="105"/>
          <w:sz w:val="21"/>
        </w:rPr>
        <w:t>Arborist </w:t>
      </w:r>
      <w:r>
        <w:rPr>
          <w:spacing w:val="-3"/>
          <w:w w:val="105"/>
          <w:sz w:val="21"/>
        </w:rPr>
        <w:t>could </w:t>
      </w:r>
      <w:r>
        <w:rPr>
          <w:w w:val="105"/>
          <w:sz w:val="21"/>
        </w:rPr>
        <w:t>also </w:t>
      </w:r>
      <w:r>
        <w:rPr>
          <w:spacing w:val="-3"/>
          <w:w w:val="105"/>
          <w:sz w:val="21"/>
        </w:rPr>
        <w:t>‘take </w:t>
      </w:r>
      <w:r>
        <w:rPr>
          <w:w w:val="105"/>
          <w:sz w:val="21"/>
        </w:rPr>
        <w:t>part in mediation and court cases </w:t>
      </w:r>
      <w:r>
        <w:rPr>
          <w:spacing w:val="-3"/>
          <w:w w:val="105"/>
          <w:sz w:val="21"/>
        </w:rPr>
        <w:t>related to trees’.</w:t>
      </w:r>
      <w:r>
        <w:rPr>
          <w:spacing w:val="-3"/>
          <w:w w:val="105"/>
          <w:position w:val="7"/>
          <w:sz w:val="12"/>
        </w:rPr>
        <w:t>209 </w:t>
      </w:r>
      <w:r>
        <w:rPr>
          <w:w w:val="105"/>
          <w:sz w:val="21"/>
        </w:rPr>
        <w:t>In Dr </w:t>
      </w:r>
      <w:r>
        <w:rPr>
          <w:spacing w:val="-3"/>
          <w:w w:val="105"/>
          <w:sz w:val="21"/>
        </w:rPr>
        <w:t>Moore’s </w:t>
      </w:r>
      <w:r>
        <w:rPr>
          <w:spacing w:val="-4"/>
          <w:w w:val="105"/>
          <w:sz w:val="21"/>
        </w:rPr>
        <w:t>view, </w:t>
      </w:r>
      <w:r>
        <w:rPr>
          <w:w w:val="105"/>
          <w:sz w:val="21"/>
        </w:rPr>
        <w:t>this approach would be cost-effective, </w:t>
      </w:r>
      <w:r>
        <w:rPr>
          <w:spacing w:val="-3"/>
          <w:w w:val="105"/>
          <w:sz w:val="21"/>
        </w:rPr>
        <w:t>consisting </w:t>
      </w:r>
      <w:r>
        <w:rPr>
          <w:w w:val="105"/>
          <w:sz w:val="21"/>
        </w:rPr>
        <w:t>of only a </w:t>
      </w:r>
      <w:r>
        <w:rPr>
          <w:spacing w:val="-3"/>
          <w:w w:val="105"/>
          <w:sz w:val="21"/>
        </w:rPr>
        <w:t>few positions, such </w:t>
      </w:r>
      <w:r>
        <w:rPr>
          <w:w w:val="105"/>
          <w:sz w:val="21"/>
        </w:rPr>
        <w:t>as the </w:t>
      </w:r>
      <w:r>
        <w:rPr>
          <w:spacing w:val="-3"/>
          <w:w w:val="105"/>
          <w:sz w:val="21"/>
        </w:rPr>
        <w:t>State </w:t>
      </w:r>
      <w:r>
        <w:rPr>
          <w:w w:val="105"/>
          <w:sz w:val="21"/>
        </w:rPr>
        <w:t>Arborist, a lawyer and support </w:t>
      </w:r>
      <w:r>
        <w:rPr>
          <w:spacing w:val="-3"/>
          <w:w w:val="105"/>
          <w:sz w:val="21"/>
        </w:rPr>
        <w:t>staff, </w:t>
      </w:r>
      <w:r>
        <w:rPr>
          <w:w w:val="105"/>
          <w:sz w:val="21"/>
        </w:rPr>
        <w:t>and costs </w:t>
      </w:r>
      <w:r>
        <w:rPr>
          <w:spacing w:val="-3"/>
          <w:w w:val="105"/>
          <w:sz w:val="21"/>
        </w:rPr>
        <w:t>could </w:t>
      </w:r>
      <w:r>
        <w:rPr>
          <w:w w:val="105"/>
          <w:sz w:val="21"/>
        </w:rPr>
        <w:t>be met </w:t>
      </w:r>
      <w:r>
        <w:rPr>
          <w:spacing w:val="-3"/>
          <w:w w:val="105"/>
          <w:sz w:val="21"/>
        </w:rPr>
        <w:t>from </w:t>
      </w:r>
      <w:r>
        <w:rPr>
          <w:w w:val="105"/>
          <w:sz w:val="21"/>
        </w:rPr>
        <w:t>the fees paid by the parties </w:t>
      </w:r>
      <w:r>
        <w:rPr>
          <w:spacing w:val="-3"/>
          <w:w w:val="105"/>
          <w:sz w:val="21"/>
        </w:rPr>
        <w:t>to </w:t>
      </w:r>
      <w:r>
        <w:rPr>
          <w:w w:val="105"/>
          <w:sz w:val="21"/>
        </w:rPr>
        <w:t>the</w:t>
      </w:r>
      <w:r>
        <w:rPr>
          <w:spacing w:val="44"/>
          <w:w w:val="105"/>
          <w:sz w:val="21"/>
        </w:rPr>
        <w:t> </w:t>
      </w:r>
      <w:r>
        <w:rPr>
          <w:spacing w:val="-3"/>
          <w:w w:val="105"/>
          <w:sz w:val="21"/>
        </w:rPr>
        <w:t>dispute.</w:t>
      </w:r>
      <w:r>
        <w:rPr>
          <w:spacing w:val="-3"/>
          <w:w w:val="105"/>
          <w:position w:val="7"/>
          <w:sz w:val="12"/>
        </w:rPr>
        <w:t>210</w:t>
      </w:r>
    </w:p>
    <w:p>
      <w:pPr>
        <w:pStyle w:val="ListParagraph"/>
        <w:numPr>
          <w:ilvl w:val="1"/>
          <w:numId w:val="114"/>
        </w:numPr>
        <w:tabs>
          <w:tab w:pos="2381" w:val="left" w:leader="none"/>
        </w:tabs>
        <w:spacing w:line="242" w:lineRule="auto" w:before="129" w:after="0"/>
        <w:ind w:left="2381" w:right="2567" w:hanging="794"/>
        <w:jc w:val="both"/>
        <w:rPr>
          <w:sz w:val="12"/>
        </w:rPr>
      </w:pPr>
      <w:r>
        <w:rPr>
          <w:sz w:val="21"/>
        </w:rPr>
        <w:t>One person suggested </w:t>
      </w:r>
      <w:r>
        <w:rPr>
          <w:spacing w:val="-3"/>
          <w:sz w:val="21"/>
        </w:rPr>
        <w:t>that </w:t>
      </w:r>
      <w:r>
        <w:rPr>
          <w:sz w:val="21"/>
        </w:rPr>
        <w:t>both </w:t>
      </w:r>
      <w:r>
        <w:rPr>
          <w:spacing w:val="-5"/>
          <w:sz w:val="21"/>
        </w:rPr>
        <w:t>VCAT </w:t>
      </w:r>
      <w:r>
        <w:rPr>
          <w:sz w:val="21"/>
        </w:rPr>
        <w:t>and the </w:t>
      </w:r>
      <w:r>
        <w:rPr>
          <w:spacing w:val="-3"/>
          <w:sz w:val="21"/>
        </w:rPr>
        <w:t>Magistrates’ Court </w:t>
      </w:r>
      <w:r>
        <w:rPr>
          <w:sz w:val="21"/>
        </w:rPr>
        <w:t>should </w:t>
      </w:r>
      <w:r>
        <w:rPr>
          <w:spacing w:val="-3"/>
          <w:sz w:val="21"/>
        </w:rPr>
        <w:t>have </w:t>
      </w:r>
      <w:r>
        <w:rPr>
          <w:sz w:val="21"/>
        </w:rPr>
        <w:t>jurisdiction. This would </w:t>
      </w:r>
      <w:r>
        <w:rPr>
          <w:spacing w:val="-3"/>
          <w:sz w:val="21"/>
        </w:rPr>
        <w:t>allow </w:t>
      </w:r>
      <w:r>
        <w:rPr>
          <w:sz w:val="21"/>
        </w:rPr>
        <w:t>an </w:t>
      </w:r>
      <w:r>
        <w:rPr>
          <w:spacing w:val="-3"/>
          <w:sz w:val="21"/>
        </w:rPr>
        <w:t>applicant to </w:t>
      </w:r>
      <w:r>
        <w:rPr>
          <w:sz w:val="21"/>
        </w:rPr>
        <w:t>decide the jurisdiction in which </w:t>
      </w:r>
      <w:r>
        <w:rPr>
          <w:spacing w:val="-3"/>
          <w:sz w:val="21"/>
        </w:rPr>
        <w:t>to commence </w:t>
      </w:r>
      <w:r>
        <w:rPr>
          <w:sz w:val="21"/>
        </w:rPr>
        <w:t>legal</w:t>
      </w:r>
      <w:r>
        <w:rPr>
          <w:spacing w:val="21"/>
          <w:sz w:val="21"/>
        </w:rPr>
        <w:t> </w:t>
      </w:r>
      <w:r>
        <w:rPr>
          <w:spacing w:val="-4"/>
          <w:sz w:val="21"/>
        </w:rPr>
        <w:t>action.</w:t>
      </w:r>
      <w:r>
        <w:rPr>
          <w:spacing w:val="-4"/>
          <w:position w:val="7"/>
          <w:sz w:val="12"/>
        </w:rPr>
        <w:t>211</w:t>
      </w:r>
    </w:p>
    <w:p>
      <w:pPr>
        <w:pStyle w:val="ListParagraph"/>
        <w:numPr>
          <w:ilvl w:val="1"/>
          <w:numId w:val="114"/>
        </w:numPr>
        <w:tabs>
          <w:tab w:pos="2380" w:val="left" w:leader="none"/>
          <w:tab w:pos="2382" w:val="left" w:leader="none"/>
        </w:tabs>
        <w:spacing w:line="242" w:lineRule="auto" w:before="123" w:after="0"/>
        <w:ind w:left="2381" w:right="2185" w:hanging="794"/>
        <w:jc w:val="left"/>
        <w:rPr>
          <w:sz w:val="21"/>
        </w:rPr>
      </w:pPr>
      <w:r>
        <w:rPr>
          <w:sz w:val="21"/>
        </w:rPr>
        <w:t>Other responses proposed a role </w:t>
      </w:r>
      <w:r>
        <w:rPr>
          <w:spacing w:val="-3"/>
          <w:sz w:val="21"/>
        </w:rPr>
        <w:t>for </w:t>
      </w:r>
      <w:r>
        <w:rPr>
          <w:sz w:val="21"/>
        </w:rPr>
        <w:t>local </w:t>
      </w:r>
      <w:r>
        <w:rPr>
          <w:spacing w:val="-3"/>
          <w:sz w:val="21"/>
        </w:rPr>
        <w:t>councils, through  </w:t>
      </w:r>
      <w:r>
        <w:rPr>
          <w:sz w:val="21"/>
        </w:rPr>
        <w:t>local laws or otherwise,  </w:t>
      </w:r>
      <w:r>
        <w:rPr>
          <w:spacing w:val="-3"/>
          <w:sz w:val="21"/>
        </w:rPr>
        <w:t>to </w:t>
      </w:r>
      <w:r>
        <w:rPr>
          <w:sz w:val="21"/>
        </w:rPr>
        <w:t>inspect trees and put tree owners on </w:t>
      </w:r>
      <w:r>
        <w:rPr>
          <w:spacing w:val="-3"/>
          <w:sz w:val="21"/>
        </w:rPr>
        <w:t>notice for </w:t>
      </w:r>
      <w:r>
        <w:rPr>
          <w:sz w:val="21"/>
        </w:rPr>
        <w:t>trees </w:t>
      </w:r>
      <w:r>
        <w:rPr>
          <w:spacing w:val="-3"/>
          <w:sz w:val="21"/>
        </w:rPr>
        <w:t>causing interference.</w:t>
      </w:r>
      <w:r>
        <w:rPr>
          <w:spacing w:val="16"/>
          <w:sz w:val="21"/>
        </w:rPr>
        <w:t> </w:t>
      </w:r>
      <w:r>
        <w:rPr>
          <w:sz w:val="21"/>
        </w:rPr>
        <w:t>These</w:t>
      </w:r>
    </w:p>
    <w:p>
      <w:pPr>
        <w:pStyle w:val="BodyText"/>
        <w:spacing w:line="242" w:lineRule="auto" w:before="2"/>
        <w:ind w:left="2381" w:right="1787"/>
        <w:rPr>
          <w:sz w:val="12"/>
        </w:rPr>
      </w:pPr>
      <w:r>
        <w:rPr>
          <w:w w:val="105"/>
        </w:rPr>
        <w:t>community members suggested </w:t>
      </w:r>
      <w:r>
        <w:rPr>
          <w:spacing w:val="-3"/>
          <w:w w:val="105"/>
        </w:rPr>
        <w:t>that </w:t>
      </w:r>
      <w:r>
        <w:rPr>
          <w:w w:val="105"/>
        </w:rPr>
        <w:t>tree owners who do </w:t>
      </w:r>
      <w:r>
        <w:rPr>
          <w:spacing w:val="-2"/>
          <w:w w:val="105"/>
        </w:rPr>
        <w:t>not </w:t>
      </w:r>
      <w:r>
        <w:rPr>
          <w:w w:val="105"/>
        </w:rPr>
        <w:t>comply should be issued with a </w:t>
      </w:r>
      <w:r>
        <w:rPr>
          <w:spacing w:val="-4"/>
          <w:w w:val="105"/>
        </w:rPr>
        <w:t>fine.</w:t>
      </w:r>
      <w:r>
        <w:rPr>
          <w:spacing w:val="-4"/>
          <w:w w:val="105"/>
          <w:position w:val="7"/>
          <w:sz w:val="12"/>
        </w:rPr>
        <w:t>212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r>
        <w:rPr/>
        <w:pict>
          <v:line style="position:absolute;mso-position-horizontal-relative:page;mso-position-vertical-relative:paragraph;z-index:6800;mso-wrap-distance-left:0;mso-wrap-distance-right:0" from="79.370102pt,9.467244pt" to="515.905102pt,9.46724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5"/>
        </w:rPr>
      </w:pPr>
    </w:p>
    <w:p>
      <w:pPr>
        <w:spacing w:before="0"/>
        <w:ind w:left="720" w:right="0" w:firstLine="0"/>
        <w:jc w:val="left"/>
        <w:rPr>
          <w:b/>
          <w:sz w:val="24"/>
        </w:rPr>
      </w:pPr>
      <w:r>
        <w:rPr>
          <w:b/>
          <w:color w:val="658464"/>
          <w:spacing w:val="-4"/>
          <w:w w:val="110"/>
          <w:sz w:val="24"/>
        </w:rPr>
        <w:t>150</w:t>
      </w:r>
    </w:p>
    <w:p>
      <w:pPr>
        <w:pStyle w:val="ListParagraph"/>
        <w:numPr>
          <w:ilvl w:val="0"/>
          <w:numId w:val="119"/>
        </w:numPr>
        <w:tabs>
          <w:tab w:pos="1228" w:val="left" w:leader="none"/>
          <w:tab w:pos="1230" w:val="left" w:leader="none"/>
        </w:tabs>
        <w:spacing w:line="240" w:lineRule="auto" w:before="48" w:after="0"/>
        <w:ind w:left="1229" w:right="1587" w:hanging="794"/>
        <w:jc w:val="left"/>
        <w:rPr>
          <w:sz w:val="13"/>
        </w:rPr>
      </w:pPr>
      <w:r>
        <w:rPr>
          <w:w w:val="108"/>
          <w:sz w:val="13"/>
        </w:rPr>
        <w:br w:type="column"/>
      </w:r>
      <w:r>
        <w:rPr>
          <w:w w:val="105"/>
          <w:sz w:val="13"/>
        </w:rPr>
        <w:t>Submissions </w:t>
      </w:r>
      <w:r>
        <w:rPr>
          <w:spacing w:val="-4"/>
          <w:w w:val="105"/>
          <w:sz w:val="13"/>
        </w:rPr>
        <w:t>12 </w:t>
      </w:r>
      <w:r>
        <w:rPr>
          <w:spacing w:val="3"/>
          <w:w w:val="105"/>
          <w:sz w:val="13"/>
        </w:rPr>
        <w:t>(Dr </w:t>
      </w:r>
      <w:r>
        <w:rPr>
          <w:w w:val="105"/>
          <w:sz w:val="13"/>
        </w:rPr>
        <w:t>Gregory Moore OAM),19 </w:t>
      </w:r>
      <w:r>
        <w:rPr>
          <w:spacing w:val="2"/>
          <w:w w:val="105"/>
          <w:sz w:val="13"/>
        </w:rPr>
        <w:t>(Name </w:t>
      </w:r>
      <w:r>
        <w:rPr>
          <w:w w:val="105"/>
          <w:sz w:val="13"/>
        </w:rPr>
        <w:t>withheld), 21 (Pointon Partners </w:t>
      </w:r>
      <w:r>
        <w:rPr>
          <w:spacing w:val="2"/>
          <w:w w:val="105"/>
          <w:sz w:val="13"/>
        </w:rPr>
        <w:t>Lawyers), </w:t>
      </w:r>
      <w:r>
        <w:rPr>
          <w:w w:val="105"/>
          <w:sz w:val="13"/>
        </w:rPr>
        <w:t>23 </w:t>
      </w:r>
      <w:r>
        <w:rPr>
          <w:spacing w:val="2"/>
          <w:w w:val="105"/>
          <w:sz w:val="13"/>
        </w:rPr>
        <w:t>(Name </w:t>
      </w:r>
      <w:r>
        <w:rPr>
          <w:w w:val="105"/>
          <w:sz w:val="13"/>
        </w:rPr>
        <w:t>withheld); Consultation </w:t>
      </w:r>
      <w:r>
        <w:rPr>
          <w:spacing w:val="-4"/>
          <w:w w:val="105"/>
          <w:sz w:val="13"/>
        </w:rPr>
        <w:t>12 </w:t>
      </w:r>
      <w:r>
        <w:rPr>
          <w:w w:val="105"/>
          <w:sz w:val="13"/>
        </w:rPr>
        <w:t>(City of Port</w:t>
      </w:r>
      <w:r>
        <w:rPr>
          <w:spacing w:val="4"/>
          <w:w w:val="105"/>
          <w:sz w:val="13"/>
        </w:rPr>
        <w:t> </w:t>
      </w:r>
      <w:r>
        <w:rPr>
          <w:w w:val="105"/>
          <w:sz w:val="13"/>
        </w:rPr>
        <w:t>Phillip).</w:t>
      </w:r>
    </w:p>
    <w:p>
      <w:pPr>
        <w:pStyle w:val="ListParagraph"/>
        <w:numPr>
          <w:ilvl w:val="0"/>
          <w:numId w:val="119"/>
        </w:numPr>
        <w:tabs>
          <w:tab w:pos="1228" w:val="left" w:leader="none"/>
          <w:tab w:pos="1230" w:val="left" w:leader="none"/>
        </w:tabs>
        <w:spacing w:line="240" w:lineRule="auto" w:before="3" w:after="0"/>
        <w:ind w:left="1229" w:right="0" w:hanging="794"/>
        <w:jc w:val="left"/>
        <w:rPr>
          <w:sz w:val="13"/>
        </w:rPr>
      </w:pPr>
      <w:r>
        <w:rPr>
          <w:w w:val="105"/>
          <w:sz w:val="13"/>
        </w:rPr>
        <w:t>Submission </w:t>
      </w:r>
      <w:r>
        <w:rPr>
          <w:spacing w:val="-3"/>
          <w:w w:val="105"/>
          <w:sz w:val="13"/>
        </w:rPr>
        <w:t>19 </w:t>
      </w:r>
      <w:r>
        <w:rPr>
          <w:spacing w:val="2"/>
          <w:w w:val="105"/>
          <w:sz w:val="13"/>
        </w:rPr>
        <w:t>(Name </w:t>
      </w:r>
      <w:r>
        <w:rPr>
          <w:w w:val="105"/>
          <w:sz w:val="13"/>
        </w:rPr>
        <w:t>withheld); Consultation </w:t>
      </w:r>
      <w:r>
        <w:rPr>
          <w:spacing w:val="-4"/>
          <w:w w:val="105"/>
          <w:sz w:val="13"/>
        </w:rPr>
        <w:t>12 </w:t>
      </w:r>
      <w:r>
        <w:rPr>
          <w:w w:val="105"/>
          <w:sz w:val="13"/>
        </w:rPr>
        <w:t>(City of Port</w:t>
      </w:r>
      <w:r>
        <w:rPr>
          <w:spacing w:val="20"/>
          <w:w w:val="105"/>
          <w:sz w:val="13"/>
        </w:rPr>
        <w:t> </w:t>
      </w:r>
      <w:r>
        <w:rPr>
          <w:w w:val="105"/>
          <w:sz w:val="13"/>
        </w:rPr>
        <w:t>Phillip).</w:t>
      </w:r>
    </w:p>
    <w:p>
      <w:pPr>
        <w:pStyle w:val="ListParagraph"/>
        <w:numPr>
          <w:ilvl w:val="0"/>
          <w:numId w:val="119"/>
        </w:numPr>
        <w:tabs>
          <w:tab w:pos="1228" w:val="left" w:leader="none"/>
          <w:tab w:pos="1230" w:val="left" w:leader="none"/>
        </w:tabs>
        <w:spacing w:line="240" w:lineRule="auto" w:before="1" w:after="0"/>
        <w:ind w:left="1229" w:right="0" w:hanging="794"/>
        <w:jc w:val="left"/>
        <w:rPr>
          <w:sz w:val="13"/>
        </w:rPr>
      </w:pPr>
      <w:r>
        <w:rPr>
          <w:w w:val="105"/>
          <w:sz w:val="13"/>
        </w:rPr>
        <w:t>Submissions 21 (Pointon Partners </w:t>
      </w:r>
      <w:r>
        <w:rPr>
          <w:spacing w:val="2"/>
          <w:w w:val="105"/>
          <w:sz w:val="13"/>
        </w:rPr>
        <w:t>Lawyers), </w:t>
      </w:r>
      <w:r>
        <w:rPr>
          <w:w w:val="105"/>
          <w:sz w:val="13"/>
        </w:rPr>
        <w:t>23 </w:t>
      </w:r>
      <w:r>
        <w:rPr>
          <w:spacing w:val="2"/>
          <w:w w:val="105"/>
          <w:sz w:val="13"/>
        </w:rPr>
        <w:t>(Name</w:t>
      </w:r>
      <w:r>
        <w:rPr>
          <w:spacing w:val="29"/>
          <w:w w:val="105"/>
          <w:sz w:val="13"/>
        </w:rPr>
        <w:t> </w:t>
      </w:r>
      <w:r>
        <w:rPr>
          <w:w w:val="105"/>
          <w:sz w:val="13"/>
        </w:rPr>
        <w:t>withheld).</w:t>
      </w:r>
    </w:p>
    <w:p>
      <w:pPr>
        <w:pStyle w:val="ListParagraph"/>
        <w:numPr>
          <w:ilvl w:val="0"/>
          <w:numId w:val="119"/>
        </w:numPr>
        <w:tabs>
          <w:tab w:pos="1228" w:val="left" w:leader="none"/>
          <w:tab w:pos="1230" w:val="left" w:leader="none"/>
        </w:tabs>
        <w:spacing w:line="240" w:lineRule="auto" w:before="1" w:after="0"/>
        <w:ind w:left="1229" w:right="0" w:hanging="794"/>
        <w:jc w:val="left"/>
        <w:rPr>
          <w:sz w:val="13"/>
        </w:rPr>
      </w:pPr>
      <w:r>
        <w:rPr>
          <w:w w:val="105"/>
          <w:sz w:val="13"/>
        </w:rPr>
        <w:t>Submission 21 (Pointon Partners</w:t>
      </w:r>
      <w:r>
        <w:rPr>
          <w:spacing w:val="17"/>
          <w:w w:val="105"/>
          <w:sz w:val="13"/>
        </w:rPr>
        <w:t> </w:t>
      </w:r>
      <w:r>
        <w:rPr>
          <w:spacing w:val="2"/>
          <w:w w:val="105"/>
          <w:sz w:val="13"/>
        </w:rPr>
        <w:t>Lawyers).</w:t>
      </w:r>
    </w:p>
    <w:p>
      <w:pPr>
        <w:pStyle w:val="ListParagraph"/>
        <w:numPr>
          <w:ilvl w:val="0"/>
          <w:numId w:val="119"/>
        </w:numPr>
        <w:tabs>
          <w:tab w:pos="1228" w:val="left" w:leader="none"/>
          <w:tab w:pos="1230" w:val="left" w:leader="none"/>
        </w:tabs>
        <w:spacing w:line="240" w:lineRule="auto" w:before="2" w:after="0"/>
        <w:ind w:left="1229" w:right="1750" w:hanging="794"/>
        <w:jc w:val="left"/>
        <w:rPr>
          <w:sz w:val="13"/>
        </w:rPr>
      </w:pPr>
      <w:r>
        <w:rPr>
          <w:i/>
          <w:sz w:val="13"/>
        </w:rPr>
        <w:t>Ab initio </w:t>
      </w:r>
      <w:r>
        <w:rPr>
          <w:spacing w:val="2"/>
          <w:sz w:val="13"/>
        </w:rPr>
        <w:t>(Latin) </w:t>
      </w:r>
      <w:r>
        <w:rPr>
          <w:sz w:val="13"/>
        </w:rPr>
        <w:t>means ‘from the  beginning’:  Peter  Butt  </w:t>
      </w:r>
      <w:r>
        <w:rPr>
          <w:spacing w:val="2"/>
          <w:sz w:val="13"/>
        </w:rPr>
        <w:t>(ed),  </w:t>
      </w:r>
      <w:r>
        <w:rPr>
          <w:i/>
          <w:sz w:val="13"/>
        </w:rPr>
        <w:t>Butterworths’  Concise  Australian  Legal  Dictionary  </w:t>
      </w:r>
      <w:r>
        <w:rPr>
          <w:spacing w:val="2"/>
          <w:sz w:val="13"/>
        </w:rPr>
        <w:t>(LexisNexis/Butterworths, </w:t>
      </w:r>
      <w:r>
        <w:rPr>
          <w:sz w:val="13"/>
        </w:rPr>
        <w:t>3rd ed,</w:t>
      </w:r>
      <w:r>
        <w:rPr>
          <w:spacing w:val="12"/>
          <w:sz w:val="13"/>
        </w:rPr>
        <w:t> </w:t>
      </w:r>
      <w:r>
        <w:rPr>
          <w:spacing w:val="2"/>
          <w:sz w:val="13"/>
        </w:rPr>
        <w:t>2004).</w:t>
      </w:r>
    </w:p>
    <w:p>
      <w:pPr>
        <w:pStyle w:val="ListParagraph"/>
        <w:numPr>
          <w:ilvl w:val="0"/>
          <w:numId w:val="119"/>
        </w:numPr>
        <w:tabs>
          <w:tab w:pos="1229" w:val="left" w:leader="none"/>
          <w:tab w:pos="1230" w:val="left" w:leader="none"/>
        </w:tabs>
        <w:spacing w:line="240" w:lineRule="auto" w:before="2" w:after="0"/>
        <w:ind w:left="1229" w:right="0" w:hanging="794"/>
        <w:jc w:val="left"/>
        <w:rPr>
          <w:sz w:val="13"/>
        </w:rPr>
      </w:pPr>
      <w:r>
        <w:rPr>
          <w:w w:val="105"/>
          <w:sz w:val="13"/>
        </w:rPr>
        <w:t>Submission 21 (Pointon Partners</w:t>
      </w:r>
      <w:r>
        <w:rPr>
          <w:spacing w:val="17"/>
          <w:w w:val="105"/>
          <w:sz w:val="13"/>
        </w:rPr>
        <w:t> </w:t>
      </w:r>
      <w:r>
        <w:rPr>
          <w:spacing w:val="2"/>
          <w:w w:val="105"/>
          <w:sz w:val="13"/>
        </w:rPr>
        <w:t>Lawyers).</w:t>
      </w:r>
    </w:p>
    <w:p>
      <w:pPr>
        <w:pStyle w:val="ListParagraph"/>
        <w:numPr>
          <w:ilvl w:val="0"/>
          <w:numId w:val="119"/>
        </w:numPr>
        <w:tabs>
          <w:tab w:pos="1229" w:val="left" w:leader="none"/>
          <w:tab w:pos="1230" w:val="left" w:leader="none"/>
        </w:tabs>
        <w:spacing w:line="240" w:lineRule="auto" w:before="2" w:after="0"/>
        <w:ind w:left="1229" w:right="0" w:hanging="794"/>
        <w:jc w:val="left"/>
        <w:rPr>
          <w:sz w:val="13"/>
        </w:rPr>
      </w:pPr>
      <w:r>
        <w:rPr>
          <w:w w:val="105"/>
          <w:sz w:val="13"/>
        </w:rPr>
        <w:t>Submission </w:t>
      </w:r>
      <w:r>
        <w:rPr>
          <w:spacing w:val="-4"/>
          <w:w w:val="105"/>
          <w:sz w:val="13"/>
        </w:rPr>
        <w:t>12 </w:t>
      </w:r>
      <w:r>
        <w:rPr>
          <w:spacing w:val="3"/>
          <w:w w:val="105"/>
          <w:sz w:val="13"/>
        </w:rPr>
        <w:t>(Dr </w:t>
      </w:r>
      <w:r>
        <w:rPr>
          <w:w w:val="105"/>
          <w:sz w:val="13"/>
        </w:rPr>
        <w:t>Gregory Moore</w:t>
      </w:r>
      <w:r>
        <w:rPr>
          <w:spacing w:val="-3"/>
          <w:w w:val="105"/>
          <w:sz w:val="13"/>
        </w:rPr>
        <w:t> </w:t>
      </w:r>
      <w:r>
        <w:rPr>
          <w:spacing w:val="2"/>
          <w:w w:val="105"/>
          <w:sz w:val="13"/>
        </w:rPr>
        <w:t>OAM).</w:t>
      </w:r>
    </w:p>
    <w:p>
      <w:pPr>
        <w:pStyle w:val="ListParagraph"/>
        <w:numPr>
          <w:ilvl w:val="0"/>
          <w:numId w:val="119"/>
        </w:numPr>
        <w:tabs>
          <w:tab w:pos="1229" w:val="left" w:leader="none"/>
          <w:tab w:pos="1230" w:val="left" w:leader="none"/>
        </w:tabs>
        <w:spacing w:line="240" w:lineRule="auto" w:before="1" w:after="0"/>
        <w:ind w:left="1229" w:right="0" w:hanging="794"/>
        <w:jc w:val="left"/>
        <w:rPr>
          <w:sz w:val="13"/>
        </w:rPr>
      </w:pPr>
      <w:r>
        <w:rPr>
          <w:sz w:val="13"/>
        </w:rPr>
        <w:t>Ibid.</w:t>
      </w:r>
    </w:p>
    <w:p>
      <w:pPr>
        <w:pStyle w:val="ListParagraph"/>
        <w:numPr>
          <w:ilvl w:val="0"/>
          <w:numId w:val="119"/>
        </w:numPr>
        <w:tabs>
          <w:tab w:pos="1229" w:val="left" w:leader="none"/>
          <w:tab w:pos="1230" w:val="left" w:leader="none"/>
        </w:tabs>
        <w:spacing w:line="240" w:lineRule="auto" w:before="1" w:after="0"/>
        <w:ind w:left="1229" w:right="0" w:hanging="794"/>
        <w:jc w:val="left"/>
        <w:rPr>
          <w:sz w:val="13"/>
        </w:rPr>
      </w:pPr>
      <w:r>
        <w:rPr>
          <w:sz w:val="13"/>
        </w:rPr>
        <w:t>Ibid.</w:t>
      </w:r>
    </w:p>
    <w:p>
      <w:pPr>
        <w:pStyle w:val="ListParagraph"/>
        <w:numPr>
          <w:ilvl w:val="0"/>
          <w:numId w:val="119"/>
        </w:numPr>
        <w:tabs>
          <w:tab w:pos="1229" w:val="left" w:leader="none"/>
          <w:tab w:pos="1230" w:val="left" w:leader="none"/>
        </w:tabs>
        <w:spacing w:line="240" w:lineRule="auto" w:before="2" w:after="0"/>
        <w:ind w:left="1229" w:right="0" w:hanging="794"/>
        <w:jc w:val="left"/>
        <w:rPr>
          <w:sz w:val="13"/>
        </w:rPr>
      </w:pPr>
      <w:r>
        <w:rPr>
          <w:sz w:val="13"/>
        </w:rPr>
        <w:t>Ibid.</w:t>
      </w:r>
    </w:p>
    <w:p>
      <w:pPr>
        <w:pStyle w:val="ListParagraph"/>
        <w:numPr>
          <w:ilvl w:val="0"/>
          <w:numId w:val="119"/>
        </w:numPr>
        <w:tabs>
          <w:tab w:pos="1229" w:val="left" w:leader="none"/>
          <w:tab w:pos="1230" w:val="left" w:leader="none"/>
        </w:tabs>
        <w:spacing w:line="240" w:lineRule="auto" w:before="1" w:after="0"/>
        <w:ind w:left="1229" w:right="0" w:hanging="794"/>
        <w:jc w:val="left"/>
        <w:rPr>
          <w:sz w:val="13"/>
        </w:rPr>
      </w:pPr>
      <w:r>
        <w:rPr>
          <w:w w:val="105"/>
          <w:sz w:val="13"/>
        </w:rPr>
        <w:t>Submission 5 </w:t>
      </w:r>
      <w:r>
        <w:rPr>
          <w:spacing w:val="2"/>
          <w:w w:val="105"/>
          <w:sz w:val="13"/>
        </w:rPr>
        <w:t>(Name</w:t>
      </w:r>
      <w:r>
        <w:rPr>
          <w:spacing w:val="13"/>
          <w:w w:val="105"/>
          <w:sz w:val="13"/>
        </w:rPr>
        <w:t> </w:t>
      </w:r>
      <w:r>
        <w:rPr>
          <w:w w:val="105"/>
          <w:sz w:val="13"/>
        </w:rPr>
        <w:t>withheld).</w:t>
      </w:r>
    </w:p>
    <w:p>
      <w:pPr>
        <w:pStyle w:val="ListParagraph"/>
        <w:numPr>
          <w:ilvl w:val="0"/>
          <w:numId w:val="119"/>
        </w:numPr>
        <w:tabs>
          <w:tab w:pos="1229" w:val="left" w:leader="none"/>
          <w:tab w:pos="1230" w:val="left" w:leader="none"/>
        </w:tabs>
        <w:spacing w:line="240" w:lineRule="auto" w:before="1" w:after="0"/>
        <w:ind w:left="1229" w:right="0" w:hanging="794"/>
        <w:jc w:val="left"/>
        <w:rPr>
          <w:sz w:val="13"/>
        </w:rPr>
      </w:pPr>
      <w:r>
        <w:rPr>
          <w:w w:val="105"/>
          <w:sz w:val="13"/>
        </w:rPr>
        <w:t>Submissions 5 </w:t>
      </w:r>
      <w:r>
        <w:rPr>
          <w:spacing w:val="2"/>
          <w:w w:val="105"/>
          <w:sz w:val="13"/>
        </w:rPr>
        <w:t>(Name </w:t>
      </w:r>
      <w:r>
        <w:rPr>
          <w:w w:val="105"/>
          <w:sz w:val="13"/>
        </w:rPr>
        <w:t>withheld), 6 </w:t>
      </w:r>
      <w:r>
        <w:rPr>
          <w:spacing w:val="2"/>
          <w:w w:val="105"/>
          <w:sz w:val="13"/>
        </w:rPr>
        <w:t>(Name</w:t>
      </w:r>
      <w:r>
        <w:rPr>
          <w:spacing w:val="25"/>
          <w:w w:val="105"/>
          <w:sz w:val="13"/>
        </w:rPr>
        <w:t> </w:t>
      </w:r>
      <w:r>
        <w:rPr>
          <w:w w:val="105"/>
          <w:sz w:val="13"/>
        </w:rPr>
        <w:t>withheld).</w:t>
      </w:r>
    </w:p>
    <w:p>
      <w:pPr>
        <w:spacing w:after="0" w:line="240" w:lineRule="auto"/>
        <w:jc w:val="left"/>
        <w:rPr>
          <w:sz w:val="13"/>
        </w:rPr>
        <w:sectPr>
          <w:type w:val="continuous"/>
          <w:pgSz w:w="11910" w:h="16840"/>
          <w:pgMar w:top="300" w:bottom="280" w:left="0" w:right="0"/>
          <w:cols w:num="2" w:equalWidth="0">
            <w:col w:w="1113" w:space="40"/>
            <w:col w:w="10757"/>
          </w:cols>
        </w:sectPr>
      </w:pPr>
    </w:p>
    <w:p>
      <w:pPr>
        <w:pStyle w:val="BodyText"/>
        <w:rPr>
          <w:sz w:val="20"/>
        </w:rPr>
      </w:pPr>
    </w:p>
    <w:p>
      <w:pPr>
        <w:pStyle w:val="BodyText"/>
        <w:spacing w:before="3"/>
        <w:rPr>
          <w:sz w:val="17"/>
        </w:rPr>
      </w:pPr>
    </w:p>
    <w:p>
      <w:pPr>
        <w:pStyle w:val="Heading4"/>
        <w:spacing w:line="211" w:lineRule="auto" w:before="128"/>
        <w:ind w:right="1626"/>
      </w:pPr>
      <w:bookmarkStart w:name="Community responses—important characteri" w:id="170"/>
      <w:bookmarkEnd w:id="170"/>
      <w:r>
        <w:rPr>
          <w:b w:val="0"/>
        </w:rPr>
      </w:r>
      <w:bookmarkStart w:name="_bookmark78" w:id="171"/>
      <w:bookmarkEnd w:id="171"/>
      <w:r>
        <w:rPr>
          <w:b w:val="0"/>
        </w:rPr>
      </w:r>
      <w:r>
        <w:rPr>
          <w:color w:val="658464"/>
          <w:w w:val="115"/>
        </w:rPr>
        <w:t>Community</w:t>
      </w:r>
      <w:r>
        <w:rPr>
          <w:color w:val="658464"/>
          <w:spacing w:val="-36"/>
          <w:w w:val="115"/>
        </w:rPr>
        <w:t> </w:t>
      </w:r>
      <w:r>
        <w:rPr>
          <w:color w:val="658464"/>
          <w:w w:val="115"/>
        </w:rPr>
        <w:t>responses—important</w:t>
      </w:r>
      <w:r>
        <w:rPr>
          <w:color w:val="658464"/>
          <w:spacing w:val="-36"/>
          <w:w w:val="115"/>
        </w:rPr>
        <w:t> </w:t>
      </w:r>
      <w:r>
        <w:rPr>
          <w:color w:val="658464"/>
          <w:w w:val="115"/>
        </w:rPr>
        <w:t>characteristics</w:t>
      </w:r>
      <w:r>
        <w:rPr>
          <w:color w:val="658464"/>
          <w:spacing w:val="-36"/>
          <w:w w:val="115"/>
        </w:rPr>
        <w:t> </w:t>
      </w:r>
      <w:r>
        <w:rPr>
          <w:color w:val="658464"/>
          <w:w w:val="115"/>
        </w:rPr>
        <w:t>of</w:t>
      </w:r>
      <w:r>
        <w:rPr>
          <w:color w:val="658464"/>
          <w:spacing w:val="-36"/>
          <w:w w:val="115"/>
        </w:rPr>
        <w:t> </w:t>
      </w:r>
      <w:r>
        <w:rPr>
          <w:color w:val="658464"/>
          <w:w w:val="115"/>
        </w:rPr>
        <w:t>a</w:t>
      </w:r>
      <w:r>
        <w:rPr>
          <w:color w:val="658464"/>
          <w:spacing w:val="-36"/>
          <w:w w:val="115"/>
        </w:rPr>
        <w:t> </w:t>
      </w:r>
      <w:r>
        <w:rPr>
          <w:color w:val="658464"/>
          <w:w w:val="115"/>
        </w:rPr>
        <w:t>tree</w:t>
      </w:r>
      <w:r>
        <w:rPr>
          <w:color w:val="658464"/>
          <w:spacing w:val="-35"/>
          <w:w w:val="115"/>
        </w:rPr>
        <w:t> </w:t>
      </w:r>
      <w:r>
        <w:rPr>
          <w:color w:val="658464"/>
          <w:w w:val="115"/>
        </w:rPr>
        <w:t>dispute </w:t>
      </w:r>
      <w:r>
        <w:rPr>
          <w:color w:val="658464"/>
          <w:spacing w:val="-3"/>
          <w:w w:val="115"/>
        </w:rPr>
        <w:t>forum</w:t>
      </w:r>
    </w:p>
    <w:p>
      <w:pPr>
        <w:pStyle w:val="Heading7"/>
        <w:spacing w:before="193"/>
      </w:pPr>
      <w:r>
        <w:rPr>
          <w:w w:val="115"/>
        </w:rPr>
        <w:t>The expertise of decision makers</w:t>
      </w:r>
    </w:p>
    <w:p>
      <w:pPr>
        <w:pStyle w:val="ListParagraph"/>
        <w:numPr>
          <w:ilvl w:val="1"/>
          <w:numId w:val="114"/>
        </w:numPr>
        <w:tabs>
          <w:tab w:pos="2382" w:val="left" w:leader="none"/>
        </w:tabs>
        <w:spacing w:line="242" w:lineRule="auto" w:before="143" w:after="0"/>
        <w:ind w:left="2381" w:right="1884" w:hanging="794"/>
        <w:jc w:val="both"/>
        <w:rPr>
          <w:sz w:val="12"/>
        </w:rPr>
      </w:pPr>
      <w:r>
        <w:rPr>
          <w:sz w:val="21"/>
        </w:rPr>
        <w:t>A large number of people suggested </w:t>
      </w:r>
      <w:r>
        <w:rPr>
          <w:spacing w:val="-3"/>
          <w:sz w:val="21"/>
        </w:rPr>
        <w:t>that  </w:t>
      </w:r>
      <w:r>
        <w:rPr>
          <w:sz w:val="21"/>
        </w:rPr>
        <w:t>one of the most important characteristics of     a decision </w:t>
      </w:r>
      <w:r>
        <w:rPr>
          <w:spacing w:val="-4"/>
          <w:sz w:val="21"/>
        </w:rPr>
        <w:t>maker </w:t>
      </w:r>
      <w:r>
        <w:rPr>
          <w:sz w:val="21"/>
        </w:rPr>
        <w:t>in tree </w:t>
      </w:r>
      <w:r>
        <w:rPr>
          <w:spacing w:val="-3"/>
          <w:sz w:val="21"/>
        </w:rPr>
        <w:t>disputes </w:t>
      </w:r>
      <w:r>
        <w:rPr>
          <w:sz w:val="21"/>
        </w:rPr>
        <w:t>should be an expert in </w:t>
      </w:r>
      <w:r>
        <w:rPr>
          <w:spacing w:val="-3"/>
          <w:sz w:val="21"/>
        </w:rPr>
        <w:t>arboriculture </w:t>
      </w:r>
      <w:r>
        <w:rPr>
          <w:sz w:val="21"/>
        </w:rPr>
        <w:t>or other </w:t>
      </w:r>
      <w:r>
        <w:rPr>
          <w:spacing w:val="-3"/>
          <w:sz w:val="21"/>
        </w:rPr>
        <w:t>relevant </w:t>
      </w:r>
      <w:r>
        <w:rPr>
          <w:sz w:val="21"/>
        </w:rPr>
        <w:t>fields.</w:t>
      </w:r>
      <w:r>
        <w:rPr>
          <w:position w:val="7"/>
          <w:sz w:val="12"/>
        </w:rPr>
        <w:t>213 </w:t>
      </w:r>
      <w:r>
        <w:rPr>
          <w:spacing w:val="-3"/>
          <w:sz w:val="21"/>
        </w:rPr>
        <w:t>Many </w:t>
      </w:r>
      <w:r>
        <w:rPr>
          <w:sz w:val="21"/>
        </w:rPr>
        <w:t>endorsed the approach of the NSWLEC where commissioners </w:t>
      </w:r>
      <w:r>
        <w:rPr>
          <w:spacing w:val="-3"/>
          <w:sz w:val="21"/>
        </w:rPr>
        <w:t>trained </w:t>
      </w:r>
      <w:r>
        <w:rPr>
          <w:sz w:val="21"/>
        </w:rPr>
        <w:t>in </w:t>
      </w:r>
      <w:r>
        <w:rPr>
          <w:spacing w:val="-3"/>
          <w:sz w:val="21"/>
        </w:rPr>
        <w:t>arboriculture determine</w:t>
      </w:r>
      <w:r>
        <w:rPr>
          <w:spacing w:val="21"/>
          <w:sz w:val="21"/>
        </w:rPr>
        <w:t> </w:t>
      </w:r>
      <w:r>
        <w:rPr>
          <w:spacing w:val="-3"/>
          <w:sz w:val="21"/>
        </w:rPr>
        <w:t>matters.</w:t>
      </w:r>
      <w:r>
        <w:rPr>
          <w:spacing w:val="-3"/>
          <w:position w:val="7"/>
          <w:sz w:val="12"/>
        </w:rPr>
        <w:t>214</w:t>
      </w:r>
    </w:p>
    <w:p>
      <w:pPr>
        <w:pStyle w:val="ListParagraph"/>
        <w:numPr>
          <w:ilvl w:val="1"/>
          <w:numId w:val="114"/>
        </w:numPr>
        <w:tabs>
          <w:tab w:pos="2380" w:val="left" w:leader="none"/>
          <w:tab w:pos="2381" w:val="left" w:leader="none"/>
        </w:tabs>
        <w:spacing w:line="240" w:lineRule="auto" w:before="124" w:after="0"/>
        <w:ind w:left="2381" w:right="0" w:hanging="794"/>
        <w:jc w:val="left"/>
        <w:rPr>
          <w:sz w:val="21"/>
        </w:rPr>
      </w:pPr>
      <w:r>
        <w:rPr>
          <w:w w:val="105"/>
          <w:sz w:val="21"/>
        </w:rPr>
        <w:t>Dr Gregory Moore OAM</w:t>
      </w:r>
      <w:r>
        <w:rPr>
          <w:spacing w:val="21"/>
          <w:w w:val="105"/>
          <w:sz w:val="21"/>
        </w:rPr>
        <w:t> </w:t>
      </w:r>
      <w:r>
        <w:rPr>
          <w:w w:val="105"/>
          <w:sz w:val="21"/>
        </w:rPr>
        <w:t>stated:</w:t>
      </w:r>
    </w:p>
    <w:p>
      <w:pPr>
        <w:spacing w:line="254" w:lineRule="auto" w:before="133"/>
        <w:ind w:left="2834" w:right="2059" w:firstLine="0"/>
        <w:jc w:val="left"/>
        <w:rPr>
          <w:sz w:val="11"/>
        </w:rPr>
      </w:pPr>
      <w:r>
        <w:rPr>
          <w:sz w:val="20"/>
        </w:rPr>
        <w:t>One of the advantages of the NSW Land and </w:t>
      </w:r>
      <w:r>
        <w:rPr>
          <w:spacing w:val="-3"/>
          <w:sz w:val="20"/>
        </w:rPr>
        <w:t>Environment </w:t>
      </w:r>
      <w:r>
        <w:rPr>
          <w:sz w:val="20"/>
        </w:rPr>
        <w:t>Court in dealing with trees was that it appointed people with arboricultural expertise as commissioners to deal  with cases </w:t>
      </w:r>
      <w:r>
        <w:rPr>
          <w:spacing w:val="-2"/>
          <w:sz w:val="20"/>
        </w:rPr>
        <w:t>involving </w:t>
      </w:r>
      <w:r>
        <w:rPr>
          <w:sz w:val="20"/>
        </w:rPr>
        <w:t>trees </w:t>
      </w:r>
      <w:r>
        <w:rPr>
          <w:w w:val="115"/>
          <w:sz w:val="20"/>
        </w:rPr>
        <w:t>… </w:t>
      </w:r>
      <w:r>
        <w:rPr>
          <w:sz w:val="20"/>
        </w:rPr>
        <w:t>It would be worth considering following this model in Victoria.</w:t>
      </w:r>
      <w:r>
        <w:rPr>
          <w:position w:val="7"/>
          <w:sz w:val="11"/>
        </w:rPr>
        <w:t>215</w:t>
      </w:r>
    </w:p>
    <w:p>
      <w:pPr>
        <w:pStyle w:val="ListParagraph"/>
        <w:numPr>
          <w:ilvl w:val="1"/>
          <w:numId w:val="114"/>
        </w:numPr>
        <w:tabs>
          <w:tab w:pos="2381" w:val="left" w:leader="none"/>
          <w:tab w:pos="2382" w:val="left" w:leader="none"/>
        </w:tabs>
        <w:spacing w:line="240" w:lineRule="auto" w:before="116" w:after="0"/>
        <w:ind w:left="2381" w:right="0" w:hanging="794"/>
        <w:jc w:val="left"/>
        <w:rPr>
          <w:sz w:val="21"/>
        </w:rPr>
      </w:pPr>
      <w:r>
        <w:rPr>
          <w:w w:val="105"/>
          <w:sz w:val="21"/>
        </w:rPr>
        <w:t>Acting </w:t>
      </w:r>
      <w:r>
        <w:rPr>
          <w:spacing w:val="-3"/>
          <w:w w:val="105"/>
          <w:sz w:val="21"/>
        </w:rPr>
        <w:t>Commissioner David Galwey </w:t>
      </w:r>
      <w:r>
        <w:rPr>
          <w:w w:val="105"/>
          <w:sz w:val="21"/>
        </w:rPr>
        <w:t>of the NSWLEC</w:t>
      </w:r>
      <w:r>
        <w:rPr>
          <w:spacing w:val="47"/>
          <w:w w:val="105"/>
          <w:sz w:val="21"/>
        </w:rPr>
        <w:t> </w:t>
      </w:r>
      <w:r>
        <w:rPr>
          <w:w w:val="105"/>
          <w:sz w:val="21"/>
        </w:rPr>
        <w:t>explained:</w:t>
      </w:r>
    </w:p>
    <w:p>
      <w:pPr>
        <w:spacing w:line="254" w:lineRule="auto" w:before="133"/>
        <w:ind w:left="2834" w:right="1719" w:firstLine="0"/>
        <w:jc w:val="left"/>
        <w:rPr>
          <w:sz w:val="20"/>
        </w:rPr>
      </w:pPr>
      <w:r>
        <w:rPr>
          <w:sz w:val="20"/>
        </w:rPr>
        <w:t>In my experience, appointing decision-makers with  some  arboricultural  expertise  to hear</w:t>
      </w:r>
      <w:r>
        <w:rPr>
          <w:spacing w:val="12"/>
          <w:sz w:val="20"/>
        </w:rPr>
        <w:t> </w:t>
      </w:r>
      <w:r>
        <w:rPr>
          <w:sz w:val="20"/>
        </w:rPr>
        <w:t>these</w:t>
      </w:r>
      <w:r>
        <w:rPr>
          <w:spacing w:val="13"/>
          <w:sz w:val="20"/>
        </w:rPr>
        <w:t> </w:t>
      </w:r>
      <w:r>
        <w:rPr>
          <w:sz w:val="20"/>
        </w:rPr>
        <w:t>matters</w:t>
      </w:r>
      <w:r>
        <w:rPr>
          <w:spacing w:val="12"/>
          <w:sz w:val="20"/>
        </w:rPr>
        <w:t> </w:t>
      </w:r>
      <w:r>
        <w:rPr>
          <w:sz w:val="20"/>
        </w:rPr>
        <w:t>allows</w:t>
      </w:r>
      <w:r>
        <w:rPr>
          <w:spacing w:val="13"/>
          <w:sz w:val="20"/>
        </w:rPr>
        <w:t> </w:t>
      </w:r>
      <w:r>
        <w:rPr>
          <w:sz w:val="20"/>
        </w:rPr>
        <w:t>discerning</w:t>
      </w:r>
      <w:r>
        <w:rPr>
          <w:spacing w:val="13"/>
          <w:sz w:val="20"/>
        </w:rPr>
        <w:t> </w:t>
      </w:r>
      <w:r>
        <w:rPr>
          <w:sz w:val="20"/>
        </w:rPr>
        <w:t>review</w:t>
      </w:r>
      <w:r>
        <w:rPr>
          <w:spacing w:val="12"/>
          <w:sz w:val="20"/>
        </w:rPr>
        <w:t> </w:t>
      </w:r>
      <w:r>
        <w:rPr>
          <w:sz w:val="20"/>
        </w:rPr>
        <w:t>of</w:t>
      </w:r>
      <w:r>
        <w:rPr>
          <w:spacing w:val="13"/>
          <w:sz w:val="20"/>
        </w:rPr>
        <w:t> </w:t>
      </w:r>
      <w:r>
        <w:rPr>
          <w:sz w:val="20"/>
        </w:rPr>
        <w:t>the</w:t>
      </w:r>
      <w:r>
        <w:rPr>
          <w:spacing w:val="13"/>
          <w:sz w:val="20"/>
        </w:rPr>
        <w:t> </w:t>
      </w:r>
      <w:r>
        <w:rPr>
          <w:sz w:val="20"/>
        </w:rPr>
        <w:t>situation</w:t>
      </w:r>
      <w:r>
        <w:rPr>
          <w:spacing w:val="12"/>
          <w:sz w:val="20"/>
        </w:rPr>
        <w:t> </w:t>
      </w:r>
      <w:r>
        <w:rPr>
          <w:sz w:val="20"/>
        </w:rPr>
        <w:t>and</w:t>
      </w:r>
      <w:r>
        <w:rPr>
          <w:spacing w:val="13"/>
          <w:sz w:val="20"/>
        </w:rPr>
        <w:t> </w:t>
      </w:r>
      <w:r>
        <w:rPr>
          <w:spacing w:val="-2"/>
          <w:sz w:val="20"/>
        </w:rPr>
        <w:t>any</w:t>
      </w:r>
      <w:r>
        <w:rPr>
          <w:spacing w:val="12"/>
          <w:sz w:val="20"/>
        </w:rPr>
        <w:t> </w:t>
      </w:r>
      <w:r>
        <w:rPr>
          <w:sz w:val="20"/>
        </w:rPr>
        <w:t>specialist</w:t>
      </w:r>
      <w:r>
        <w:rPr>
          <w:spacing w:val="13"/>
          <w:sz w:val="20"/>
        </w:rPr>
        <w:t> </w:t>
      </w:r>
      <w:r>
        <w:rPr>
          <w:sz w:val="20"/>
        </w:rPr>
        <w:t>evidence.</w:t>
      </w:r>
    </w:p>
    <w:p>
      <w:pPr>
        <w:spacing w:line="254" w:lineRule="auto" w:before="2"/>
        <w:ind w:left="2834" w:right="1924" w:firstLine="0"/>
        <w:jc w:val="left"/>
        <w:rPr>
          <w:sz w:val="20"/>
        </w:rPr>
      </w:pPr>
      <w:r>
        <w:rPr>
          <w:sz w:val="20"/>
        </w:rPr>
        <w:t>Experts’ evidence may occasionally be misleading, despite the experts’ obligation to      a</w:t>
      </w:r>
      <w:r>
        <w:rPr>
          <w:spacing w:val="15"/>
          <w:sz w:val="20"/>
        </w:rPr>
        <w:t> </w:t>
      </w:r>
      <w:r>
        <w:rPr>
          <w:sz w:val="20"/>
        </w:rPr>
        <w:t>court.</w:t>
      </w:r>
      <w:r>
        <w:rPr>
          <w:spacing w:val="15"/>
          <w:sz w:val="20"/>
        </w:rPr>
        <w:t> </w:t>
      </w:r>
      <w:r>
        <w:rPr>
          <w:sz w:val="20"/>
        </w:rPr>
        <w:t>If</w:t>
      </w:r>
      <w:r>
        <w:rPr>
          <w:spacing w:val="15"/>
          <w:sz w:val="20"/>
        </w:rPr>
        <w:t> </w:t>
      </w:r>
      <w:r>
        <w:rPr>
          <w:sz w:val="20"/>
        </w:rPr>
        <w:t>the</w:t>
      </w:r>
      <w:r>
        <w:rPr>
          <w:spacing w:val="15"/>
          <w:sz w:val="20"/>
        </w:rPr>
        <w:t> </w:t>
      </w:r>
      <w:r>
        <w:rPr>
          <w:sz w:val="20"/>
        </w:rPr>
        <w:t>decision-maker</w:t>
      </w:r>
      <w:r>
        <w:rPr>
          <w:spacing w:val="15"/>
          <w:sz w:val="20"/>
        </w:rPr>
        <w:t> </w:t>
      </w:r>
      <w:r>
        <w:rPr>
          <w:sz w:val="20"/>
        </w:rPr>
        <w:t>has</w:t>
      </w:r>
      <w:r>
        <w:rPr>
          <w:spacing w:val="16"/>
          <w:sz w:val="20"/>
        </w:rPr>
        <w:t> </w:t>
      </w:r>
      <w:r>
        <w:rPr>
          <w:sz w:val="20"/>
        </w:rPr>
        <w:t>some</w:t>
      </w:r>
      <w:r>
        <w:rPr>
          <w:spacing w:val="15"/>
          <w:sz w:val="20"/>
        </w:rPr>
        <w:t> </w:t>
      </w:r>
      <w:r>
        <w:rPr>
          <w:sz w:val="20"/>
        </w:rPr>
        <w:t>expertise</w:t>
      </w:r>
      <w:r>
        <w:rPr>
          <w:spacing w:val="15"/>
          <w:sz w:val="20"/>
        </w:rPr>
        <w:t> </w:t>
      </w:r>
      <w:r>
        <w:rPr>
          <w:sz w:val="20"/>
        </w:rPr>
        <w:t>in</w:t>
      </w:r>
      <w:r>
        <w:rPr>
          <w:spacing w:val="15"/>
          <w:sz w:val="20"/>
        </w:rPr>
        <w:t> </w:t>
      </w:r>
      <w:r>
        <w:rPr>
          <w:sz w:val="20"/>
        </w:rPr>
        <w:t>the</w:t>
      </w:r>
      <w:r>
        <w:rPr>
          <w:spacing w:val="15"/>
          <w:sz w:val="20"/>
        </w:rPr>
        <w:t> </w:t>
      </w:r>
      <w:r>
        <w:rPr>
          <w:spacing w:val="-4"/>
          <w:sz w:val="20"/>
        </w:rPr>
        <w:t>matter,</w:t>
      </w:r>
      <w:r>
        <w:rPr>
          <w:spacing w:val="16"/>
          <w:sz w:val="20"/>
        </w:rPr>
        <w:t> </w:t>
      </w:r>
      <w:r>
        <w:rPr>
          <w:sz w:val="20"/>
        </w:rPr>
        <w:t>this</w:t>
      </w:r>
      <w:r>
        <w:rPr>
          <w:spacing w:val="15"/>
          <w:sz w:val="20"/>
        </w:rPr>
        <w:t> </w:t>
      </w:r>
      <w:r>
        <w:rPr>
          <w:sz w:val="20"/>
        </w:rPr>
        <w:t>also</w:t>
      </w:r>
      <w:r>
        <w:rPr>
          <w:spacing w:val="15"/>
          <w:sz w:val="20"/>
        </w:rPr>
        <w:t> </w:t>
      </w:r>
      <w:r>
        <w:rPr>
          <w:sz w:val="20"/>
        </w:rPr>
        <w:t>allows</w:t>
      </w:r>
      <w:r>
        <w:rPr>
          <w:spacing w:val="15"/>
          <w:sz w:val="20"/>
        </w:rPr>
        <w:t> </w:t>
      </w:r>
      <w:r>
        <w:rPr>
          <w:spacing w:val="-3"/>
          <w:sz w:val="20"/>
        </w:rPr>
        <w:t>many</w:t>
      </w:r>
    </w:p>
    <w:p>
      <w:pPr>
        <w:spacing w:line="254" w:lineRule="auto" w:before="3"/>
        <w:ind w:left="2834" w:right="1874" w:firstLine="0"/>
        <w:jc w:val="both"/>
        <w:rPr>
          <w:sz w:val="11"/>
        </w:rPr>
      </w:pPr>
      <w:r>
        <w:rPr>
          <w:w w:val="105"/>
          <w:sz w:val="20"/>
        </w:rPr>
        <w:t>parties,</w:t>
      </w:r>
      <w:r>
        <w:rPr>
          <w:spacing w:val="-10"/>
          <w:w w:val="105"/>
          <w:sz w:val="20"/>
        </w:rPr>
        <w:t> </w:t>
      </w:r>
      <w:r>
        <w:rPr>
          <w:w w:val="105"/>
          <w:sz w:val="20"/>
        </w:rPr>
        <w:t>especially</w:t>
      </w:r>
      <w:r>
        <w:rPr>
          <w:spacing w:val="-10"/>
          <w:w w:val="105"/>
          <w:sz w:val="20"/>
        </w:rPr>
        <w:t> </w:t>
      </w:r>
      <w:r>
        <w:rPr>
          <w:w w:val="105"/>
          <w:sz w:val="20"/>
        </w:rPr>
        <w:t>in</w:t>
      </w:r>
      <w:r>
        <w:rPr>
          <w:spacing w:val="-10"/>
          <w:w w:val="105"/>
          <w:sz w:val="20"/>
        </w:rPr>
        <w:t> </w:t>
      </w:r>
      <w:r>
        <w:rPr>
          <w:w w:val="105"/>
          <w:sz w:val="20"/>
        </w:rPr>
        <w:t>less</w:t>
      </w:r>
      <w:r>
        <w:rPr>
          <w:spacing w:val="-10"/>
          <w:w w:val="105"/>
          <w:sz w:val="20"/>
        </w:rPr>
        <w:t> </w:t>
      </w:r>
      <w:r>
        <w:rPr>
          <w:w w:val="105"/>
          <w:sz w:val="20"/>
        </w:rPr>
        <w:t>complex</w:t>
      </w:r>
      <w:r>
        <w:rPr>
          <w:spacing w:val="-10"/>
          <w:w w:val="105"/>
          <w:sz w:val="20"/>
        </w:rPr>
        <w:t> </w:t>
      </w:r>
      <w:r>
        <w:rPr>
          <w:w w:val="105"/>
          <w:sz w:val="20"/>
        </w:rPr>
        <w:t>matters,</w:t>
      </w:r>
      <w:r>
        <w:rPr>
          <w:spacing w:val="-10"/>
          <w:w w:val="105"/>
          <w:sz w:val="20"/>
        </w:rPr>
        <w:t> </w:t>
      </w:r>
      <w:r>
        <w:rPr>
          <w:w w:val="105"/>
          <w:sz w:val="20"/>
        </w:rPr>
        <w:t>to</w:t>
      </w:r>
      <w:r>
        <w:rPr>
          <w:spacing w:val="-10"/>
          <w:w w:val="105"/>
          <w:sz w:val="20"/>
        </w:rPr>
        <w:t> </w:t>
      </w:r>
      <w:r>
        <w:rPr>
          <w:w w:val="105"/>
          <w:sz w:val="20"/>
        </w:rPr>
        <w:t>come</w:t>
      </w:r>
      <w:r>
        <w:rPr>
          <w:spacing w:val="-10"/>
          <w:w w:val="105"/>
          <w:sz w:val="20"/>
        </w:rPr>
        <w:t> </w:t>
      </w:r>
      <w:r>
        <w:rPr>
          <w:w w:val="105"/>
          <w:sz w:val="20"/>
        </w:rPr>
        <w:t>to</w:t>
      </w:r>
      <w:r>
        <w:rPr>
          <w:spacing w:val="-10"/>
          <w:w w:val="105"/>
          <w:sz w:val="20"/>
        </w:rPr>
        <w:t> </w:t>
      </w:r>
      <w:r>
        <w:rPr>
          <w:w w:val="105"/>
          <w:sz w:val="20"/>
        </w:rPr>
        <w:t>court</w:t>
      </w:r>
      <w:r>
        <w:rPr>
          <w:spacing w:val="-10"/>
          <w:w w:val="105"/>
          <w:sz w:val="20"/>
        </w:rPr>
        <w:t> </w:t>
      </w:r>
      <w:r>
        <w:rPr>
          <w:w w:val="105"/>
          <w:sz w:val="20"/>
        </w:rPr>
        <w:t>without</w:t>
      </w:r>
      <w:r>
        <w:rPr>
          <w:spacing w:val="-10"/>
          <w:w w:val="105"/>
          <w:sz w:val="20"/>
        </w:rPr>
        <w:t> </w:t>
      </w:r>
      <w:r>
        <w:rPr>
          <w:w w:val="105"/>
          <w:sz w:val="20"/>
        </w:rPr>
        <w:t>having</w:t>
      </w:r>
      <w:r>
        <w:rPr>
          <w:spacing w:val="-10"/>
          <w:w w:val="105"/>
          <w:sz w:val="20"/>
        </w:rPr>
        <w:t> </w:t>
      </w:r>
      <w:r>
        <w:rPr>
          <w:w w:val="105"/>
          <w:sz w:val="20"/>
        </w:rPr>
        <w:t>to</w:t>
      </w:r>
      <w:r>
        <w:rPr>
          <w:spacing w:val="-10"/>
          <w:w w:val="105"/>
          <w:sz w:val="20"/>
        </w:rPr>
        <w:t> </w:t>
      </w:r>
      <w:r>
        <w:rPr>
          <w:w w:val="105"/>
          <w:sz w:val="20"/>
        </w:rPr>
        <w:t>pay</w:t>
      </w:r>
      <w:r>
        <w:rPr>
          <w:spacing w:val="-10"/>
          <w:w w:val="105"/>
          <w:sz w:val="20"/>
        </w:rPr>
        <w:t> </w:t>
      </w:r>
      <w:r>
        <w:rPr>
          <w:w w:val="105"/>
          <w:sz w:val="20"/>
        </w:rPr>
        <w:t>for expert</w:t>
      </w:r>
      <w:r>
        <w:rPr>
          <w:spacing w:val="-11"/>
          <w:w w:val="105"/>
          <w:sz w:val="20"/>
        </w:rPr>
        <w:t> </w:t>
      </w:r>
      <w:r>
        <w:rPr>
          <w:w w:val="105"/>
          <w:sz w:val="20"/>
        </w:rPr>
        <w:t>evidence.</w:t>
      </w:r>
      <w:r>
        <w:rPr>
          <w:spacing w:val="-11"/>
          <w:w w:val="105"/>
          <w:sz w:val="20"/>
        </w:rPr>
        <w:t> </w:t>
      </w:r>
      <w:r>
        <w:rPr>
          <w:w w:val="105"/>
          <w:sz w:val="20"/>
        </w:rPr>
        <w:t>In</w:t>
      </w:r>
      <w:r>
        <w:rPr>
          <w:spacing w:val="-11"/>
          <w:w w:val="105"/>
          <w:sz w:val="20"/>
        </w:rPr>
        <w:t> </w:t>
      </w:r>
      <w:r>
        <w:rPr>
          <w:spacing w:val="-3"/>
          <w:w w:val="105"/>
          <w:sz w:val="20"/>
        </w:rPr>
        <w:t>NSW,</w:t>
      </w:r>
      <w:r>
        <w:rPr>
          <w:spacing w:val="-10"/>
          <w:w w:val="105"/>
          <w:sz w:val="20"/>
        </w:rPr>
        <w:t> </w:t>
      </w:r>
      <w:r>
        <w:rPr>
          <w:w w:val="105"/>
          <w:sz w:val="20"/>
        </w:rPr>
        <w:t>the</w:t>
      </w:r>
      <w:r>
        <w:rPr>
          <w:spacing w:val="-11"/>
          <w:w w:val="105"/>
          <w:sz w:val="20"/>
        </w:rPr>
        <w:t> </w:t>
      </w:r>
      <w:r>
        <w:rPr>
          <w:spacing w:val="-2"/>
          <w:w w:val="105"/>
          <w:sz w:val="20"/>
        </w:rPr>
        <w:t>Commissioner</w:t>
      </w:r>
      <w:r>
        <w:rPr>
          <w:spacing w:val="-11"/>
          <w:w w:val="105"/>
          <w:sz w:val="20"/>
        </w:rPr>
        <w:t> </w:t>
      </w:r>
      <w:r>
        <w:rPr>
          <w:w w:val="105"/>
          <w:sz w:val="20"/>
        </w:rPr>
        <w:t>hearing</w:t>
      </w:r>
      <w:r>
        <w:rPr>
          <w:spacing w:val="-10"/>
          <w:w w:val="105"/>
          <w:sz w:val="20"/>
        </w:rPr>
        <w:t> </w:t>
      </w:r>
      <w:r>
        <w:rPr>
          <w:w w:val="105"/>
          <w:sz w:val="20"/>
        </w:rPr>
        <w:t>the</w:t>
      </w:r>
      <w:r>
        <w:rPr>
          <w:spacing w:val="-11"/>
          <w:w w:val="105"/>
          <w:sz w:val="20"/>
        </w:rPr>
        <w:t> </w:t>
      </w:r>
      <w:r>
        <w:rPr>
          <w:w w:val="105"/>
          <w:sz w:val="20"/>
        </w:rPr>
        <w:t>matter</w:t>
      </w:r>
      <w:r>
        <w:rPr>
          <w:spacing w:val="-11"/>
          <w:w w:val="105"/>
          <w:sz w:val="20"/>
        </w:rPr>
        <w:t> </w:t>
      </w:r>
      <w:r>
        <w:rPr>
          <w:w w:val="105"/>
          <w:sz w:val="20"/>
        </w:rPr>
        <w:t>has</w:t>
      </w:r>
      <w:r>
        <w:rPr>
          <w:spacing w:val="-11"/>
          <w:w w:val="105"/>
          <w:sz w:val="20"/>
        </w:rPr>
        <w:t> </w:t>
      </w:r>
      <w:r>
        <w:rPr>
          <w:w w:val="105"/>
          <w:sz w:val="20"/>
        </w:rPr>
        <w:t>suitable</w:t>
      </w:r>
      <w:r>
        <w:rPr>
          <w:spacing w:val="-10"/>
          <w:w w:val="105"/>
          <w:sz w:val="20"/>
        </w:rPr>
        <w:t> </w:t>
      </w:r>
      <w:r>
        <w:rPr>
          <w:w w:val="105"/>
          <w:sz w:val="20"/>
        </w:rPr>
        <w:t>expertise and can view the situation at the onsite</w:t>
      </w:r>
      <w:r>
        <w:rPr>
          <w:spacing w:val="32"/>
          <w:w w:val="105"/>
          <w:sz w:val="20"/>
        </w:rPr>
        <w:t> </w:t>
      </w:r>
      <w:r>
        <w:rPr>
          <w:w w:val="105"/>
          <w:sz w:val="20"/>
        </w:rPr>
        <w:t>hearing.</w:t>
      </w:r>
      <w:r>
        <w:rPr>
          <w:w w:val="105"/>
          <w:position w:val="7"/>
          <w:sz w:val="11"/>
        </w:rPr>
        <w:t>216</w:t>
      </w:r>
    </w:p>
    <w:p>
      <w:pPr>
        <w:pStyle w:val="ListParagraph"/>
        <w:numPr>
          <w:ilvl w:val="1"/>
          <w:numId w:val="114"/>
        </w:numPr>
        <w:tabs>
          <w:tab w:pos="2381" w:val="left" w:leader="none"/>
          <w:tab w:pos="2382" w:val="left" w:leader="none"/>
        </w:tabs>
        <w:spacing w:line="242" w:lineRule="auto" w:before="114" w:after="0"/>
        <w:ind w:left="2381" w:right="1733" w:hanging="794"/>
        <w:jc w:val="left"/>
        <w:rPr>
          <w:sz w:val="21"/>
        </w:rPr>
      </w:pPr>
      <w:r>
        <w:rPr>
          <w:spacing w:val="-3"/>
          <w:w w:val="105"/>
          <w:sz w:val="21"/>
        </w:rPr>
        <w:t>Nillumbik Shire </w:t>
      </w:r>
      <w:r>
        <w:rPr>
          <w:spacing w:val="-4"/>
          <w:w w:val="105"/>
          <w:sz w:val="21"/>
        </w:rPr>
        <w:t>Council </w:t>
      </w:r>
      <w:r>
        <w:rPr>
          <w:spacing w:val="-3"/>
          <w:w w:val="105"/>
          <w:sz w:val="21"/>
        </w:rPr>
        <w:t>noted that </w:t>
      </w:r>
      <w:r>
        <w:rPr>
          <w:w w:val="105"/>
          <w:sz w:val="21"/>
        </w:rPr>
        <w:t>an arborist would be best </w:t>
      </w:r>
      <w:r>
        <w:rPr>
          <w:spacing w:val="-2"/>
          <w:w w:val="105"/>
          <w:sz w:val="21"/>
        </w:rPr>
        <w:t>placed </w:t>
      </w:r>
      <w:r>
        <w:rPr>
          <w:spacing w:val="-3"/>
          <w:w w:val="105"/>
          <w:sz w:val="21"/>
        </w:rPr>
        <w:t>to </w:t>
      </w:r>
      <w:r>
        <w:rPr>
          <w:w w:val="105"/>
          <w:sz w:val="21"/>
        </w:rPr>
        <w:t>identify </w:t>
      </w:r>
      <w:r>
        <w:rPr>
          <w:spacing w:val="-3"/>
          <w:w w:val="105"/>
          <w:sz w:val="21"/>
        </w:rPr>
        <w:t>any </w:t>
      </w:r>
      <w:r>
        <w:rPr>
          <w:w w:val="105"/>
          <w:sz w:val="21"/>
        </w:rPr>
        <w:t>risks posed by a </w:t>
      </w:r>
      <w:r>
        <w:rPr>
          <w:spacing w:val="-3"/>
          <w:w w:val="105"/>
          <w:sz w:val="21"/>
        </w:rPr>
        <w:t>tree.</w:t>
      </w:r>
      <w:r>
        <w:rPr>
          <w:spacing w:val="-3"/>
          <w:w w:val="105"/>
          <w:position w:val="7"/>
          <w:sz w:val="12"/>
        </w:rPr>
        <w:t>217 </w:t>
      </w:r>
      <w:r>
        <w:rPr>
          <w:w w:val="105"/>
          <w:sz w:val="21"/>
        </w:rPr>
        <w:t>This approach was further supported by the </w:t>
      </w:r>
      <w:r>
        <w:rPr>
          <w:spacing w:val="-3"/>
          <w:w w:val="105"/>
          <w:sz w:val="21"/>
        </w:rPr>
        <w:t>City </w:t>
      </w:r>
      <w:r>
        <w:rPr>
          <w:w w:val="105"/>
          <w:sz w:val="21"/>
        </w:rPr>
        <w:t>of Port </w:t>
      </w:r>
      <w:r>
        <w:rPr>
          <w:spacing w:val="-4"/>
          <w:w w:val="105"/>
          <w:sz w:val="21"/>
        </w:rPr>
        <w:t>Phillip.</w:t>
      </w:r>
      <w:r>
        <w:rPr>
          <w:spacing w:val="-4"/>
          <w:w w:val="105"/>
          <w:position w:val="7"/>
          <w:sz w:val="12"/>
        </w:rPr>
        <w:t>218 </w:t>
      </w:r>
      <w:r>
        <w:rPr>
          <w:w w:val="105"/>
          <w:sz w:val="21"/>
        </w:rPr>
        <w:t>The </w:t>
      </w:r>
      <w:r>
        <w:rPr>
          <w:spacing w:val="-3"/>
          <w:w w:val="105"/>
          <w:sz w:val="21"/>
        </w:rPr>
        <w:t>City </w:t>
      </w:r>
      <w:r>
        <w:rPr>
          <w:w w:val="105"/>
          <w:sz w:val="21"/>
        </w:rPr>
        <w:t>of </w:t>
      </w:r>
      <w:r>
        <w:rPr>
          <w:spacing w:val="-3"/>
          <w:w w:val="105"/>
          <w:sz w:val="21"/>
        </w:rPr>
        <w:t>Boroondara</w:t>
      </w:r>
      <w:r>
        <w:rPr>
          <w:spacing w:val="19"/>
          <w:w w:val="105"/>
          <w:sz w:val="21"/>
        </w:rPr>
        <w:t> </w:t>
      </w:r>
      <w:r>
        <w:rPr>
          <w:w w:val="105"/>
          <w:sz w:val="21"/>
        </w:rPr>
        <w:t>stated:</w:t>
      </w:r>
    </w:p>
    <w:p>
      <w:pPr>
        <w:spacing w:line="254" w:lineRule="auto" w:before="133"/>
        <w:ind w:left="2834" w:right="1810" w:firstLine="0"/>
        <w:jc w:val="left"/>
        <w:rPr>
          <w:sz w:val="20"/>
        </w:rPr>
      </w:pPr>
      <w:r>
        <w:rPr>
          <w:sz w:val="20"/>
        </w:rPr>
        <w:t>Cases should be heard by people with technical expertise in the field. Council considers that if a merits-based assessment is going to be made about a tree, then such decisions should be made by technical experts. This is the way in which the Planning and Environment List at the Victorian Civil and Administrative Tribunal (VCAT) operates.</w:t>
      </w:r>
    </w:p>
    <w:p>
      <w:pPr>
        <w:spacing w:line="254" w:lineRule="auto" w:before="4"/>
        <w:ind w:left="2834" w:right="1526" w:firstLine="0"/>
        <w:jc w:val="left"/>
        <w:rPr>
          <w:sz w:val="11"/>
        </w:rPr>
      </w:pPr>
      <w:r>
        <w:rPr>
          <w:w w:val="105"/>
          <w:sz w:val="20"/>
        </w:rPr>
        <w:t>Council is also aware that some commissioners of the NSW Land and Environment Court have an environmental and/or arboricultural background.</w:t>
      </w:r>
      <w:r>
        <w:rPr>
          <w:w w:val="105"/>
          <w:position w:val="7"/>
          <w:sz w:val="11"/>
        </w:rPr>
        <w:t>219</w:t>
      </w:r>
    </w:p>
    <w:p>
      <w:pPr>
        <w:pStyle w:val="ListParagraph"/>
        <w:numPr>
          <w:ilvl w:val="1"/>
          <w:numId w:val="114"/>
        </w:numPr>
        <w:tabs>
          <w:tab w:pos="2381" w:val="left" w:leader="none"/>
        </w:tabs>
        <w:spacing w:line="242" w:lineRule="auto" w:before="113" w:after="0"/>
        <w:ind w:left="2381" w:right="1849" w:hanging="794"/>
        <w:jc w:val="both"/>
        <w:rPr>
          <w:sz w:val="12"/>
        </w:rPr>
      </w:pPr>
      <w:r>
        <w:rPr>
          <w:w w:val="105"/>
          <w:sz w:val="21"/>
        </w:rPr>
        <w:t>One</w:t>
      </w:r>
      <w:r>
        <w:rPr>
          <w:spacing w:val="-11"/>
          <w:w w:val="105"/>
          <w:sz w:val="21"/>
        </w:rPr>
        <w:t> </w:t>
      </w:r>
      <w:r>
        <w:rPr>
          <w:spacing w:val="-3"/>
          <w:w w:val="105"/>
          <w:sz w:val="21"/>
        </w:rPr>
        <w:t>submission</w:t>
      </w:r>
      <w:r>
        <w:rPr>
          <w:spacing w:val="-11"/>
          <w:w w:val="105"/>
          <w:sz w:val="21"/>
        </w:rPr>
        <w:t> </w:t>
      </w:r>
      <w:r>
        <w:rPr>
          <w:w w:val="105"/>
          <w:sz w:val="21"/>
        </w:rPr>
        <w:t>cautioned</w:t>
      </w:r>
      <w:r>
        <w:rPr>
          <w:spacing w:val="-11"/>
          <w:w w:val="105"/>
          <w:sz w:val="21"/>
        </w:rPr>
        <w:t> </w:t>
      </w:r>
      <w:r>
        <w:rPr>
          <w:spacing w:val="-3"/>
          <w:w w:val="105"/>
          <w:sz w:val="21"/>
        </w:rPr>
        <w:t>that</w:t>
      </w:r>
      <w:r>
        <w:rPr>
          <w:spacing w:val="-11"/>
          <w:w w:val="105"/>
          <w:sz w:val="21"/>
        </w:rPr>
        <w:t> </w:t>
      </w:r>
      <w:r>
        <w:rPr>
          <w:w w:val="105"/>
          <w:sz w:val="21"/>
        </w:rPr>
        <w:t>the</w:t>
      </w:r>
      <w:r>
        <w:rPr>
          <w:spacing w:val="-10"/>
          <w:w w:val="105"/>
          <w:sz w:val="21"/>
        </w:rPr>
        <w:t> </w:t>
      </w:r>
      <w:r>
        <w:rPr>
          <w:w w:val="105"/>
          <w:sz w:val="21"/>
        </w:rPr>
        <w:t>expertise</w:t>
      </w:r>
      <w:r>
        <w:rPr>
          <w:spacing w:val="-11"/>
          <w:w w:val="105"/>
          <w:sz w:val="21"/>
        </w:rPr>
        <w:t> </w:t>
      </w:r>
      <w:r>
        <w:rPr>
          <w:w w:val="105"/>
          <w:sz w:val="21"/>
        </w:rPr>
        <w:t>and</w:t>
      </w:r>
      <w:r>
        <w:rPr>
          <w:spacing w:val="-11"/>
          <w:w w:val="105"/>
          <w:sz w:val="21"/>
        </w:rPr>
        <w:t> </w:t>
      </w:r>
      <w:r>
        <w:rPr>
          <w:w w:val="105"/>
          <w:sz w:val="21"/>
        </w:rPr>
        <w:t>practices</w:t>
      </w:r>
      <w:r>
        <w:rPr>
          <w:spacing w:val="-11"/>
          <w:w w:val="105"/>
          <w:sz w:val="21"/>
        </w:rPr>
        <w:t> </w:t>
      </w:r>
      <w:r>
        <w:rPr>
          <w:w w:val="105"/>
          <w:sz w:val="21"/>
        </w:rPr>
        <w:t>of</w:t>
      </w:r>
      <w:r>
        <w:rPr>
          <w:spacing w:val="-11"/>
          <w:w w:val="105"/>
          <w:sz w:val="21"/>
        </w:rPr>
        <w:t> </w:t>
      </w:r>
      <w:r>
        <w:rPr>
          <w:w w:val="105"/>
          <w:sz w:val="21"/>
        </w:rPr>
        <w:t>arborists</w:t>
      </w:r>
      <w:r>
        <w:rPr>
          <w:spacing w:val="-10"/>
          <w:w w:val="105"/>
          <w:sz w:val="21"/>
        </w:rPr>
        <w:t> </w:t>
      </w:r>
      <w:r>
        <w:rPr>
          <w:w w:val="105"/>
          <w:sz w:val="21"/>
        </w:rPr>
        <w:t>can</w:t>
      </w:r>
      <w:r>
        <w:rPr>
          <w:spacing w:val="-11"/>
          <w:w w:val="105"/>
          <w:sz w:val="21"/>
        </w:rPr>
        <w:t> </w:t>
      </w:r>
      <w:r>
        <w:rPr>
          <w:w w:val="105"/>
          <w:sz w:val="21"/>
        </w:rPr>
        <w:t>vary</w:t>
      </w:r>
      <w:r>
        <w:rPr>
          <w:spacing w:val="-11"/>
          <w:w w:val="105"/>
          <w:sz w:val="21"/>
        </w:rPr>
        <w:t> </w:t>
      </w:r>
      <w:r>
        <w:rPr>
          <w:spacing w:val="-4"/>
          <w:w w:val="105"/>
          <w:sz w:val="21"/>
        </w:rPr>
        <w:t>greatly. Accordingly,</w:t>
      </w:r>
      <w:r>
        <w:rPr>
          <w:spacing w:val="-5"/>
          <w:w w:val="105"/>
          <w:sz w:val="21"/>
        </w:rPr>
        <w:t> </w:t>
      </w:r>
      <w:r>
        <w:rPr>
          <w:w w:val="105"/>
          <w:sz w:val="21"/>
        </w:rPr>
        <w:t>they</w:t>
      </w:r>
      <w:r>
        <w:rPr>
          <w:spacing w:val="-5"/>
          <w:w w:val="105"/>
          <w:sz w:val="21"/>
        </w:rPr>
        <w:t> </w:t>
      </w:r>
      <w:r>
        <w:rPr>
          <w:w w:val="105"/>
          <w:sz w:val="21"/>
        </w:rPr>
        <w:t>stated</w:t>
      </w:r>
      <w:r>
        <w:rPr>
          <w:spacing w:val="-5"/>
          <w:w w:val="105"/>
          <w:sz w:val="21"/>
        </w:rPr>
        <w:t> </w:t>
      </w:r>
      <w:r>
        <w:rPr>
          <w:spacing w:val="-3"/>
          <w:w w:val="105"/>
          <w:sz w:val="21"/>
        </w:rPr>
        <w:t>that</w:t>
      </w:r>
      <w:r>
        <w:rPr>
          <w:spacing w:val="-5"/>
          <w:w w:val="105"/>
          <w:sz w:val="21"/>
        </w:rPr>
        <w:t> </w:t>
      </w:r>
      <w:r>
        <w:rPr>
          <w:spacing w:val="-3"/>
          <w:w w:val="105"/>
          <w:sz w:val="21"/>
        </w:rPr>
        <w:t>skills</w:t>
      </w:r>
      <w:r>
        <w:rPr>
          <w:spacing w:val="-4"/>
          <w:w w:val="105"/>
          <w:sz w:val="21"/>
        </w:rPr>
        <w:t> </w:t>
      </w:r>
      <w:r>
        <w:rPr>
          <w:w w:val="105"/>
          <w:sz w:val="21"/>
        </w:rPr>
        <w:t>and</w:t>
      </w:r>
      <w:r>
        <w:rPr>
          <w:spacing w:val="-5"/>
          <w:w w:val="105"/>
          <w:sz w:val="21"/>
        </w:rPr>
        <w:t> </w:t>
      </w:r>
      <w:r>
        <w:rPr>
          <w:spacing w:val="-3"/>
          <w:w w:val="105"/>
          <w:sz w:val="21"/>
        </w:rPr>
        <w:t>qualifications</w:t>
      </w:r>
      <w:r>
        <w:rPr>
          <w:spacing w:val="-5"/>
          <w:w w:val="105"/>
          <w:sz w:val="21"/>
        </w:rPr>
        <w:t> </w:t>
      </w:r>
      <w:r>
        <w:rPr>
          <w:w w:val="105"/>
          <w:sz w:val="21"/>
        </w:rPr>
        <w:t>would</w:t>
      </w:r>
      <w:r>
        <w:rPr>
          <w:spacing w:val="-5"/>
          <w:w w:val="105"/>
          <w:sz w:val="21"/>
        </w:rPr>
        <w:t> </w:t>
      </w:r>
      <w:r>
        <w:rPr>
          <w:w w:val="105"/>
          <w:sz w:val="21"/>
        </w:rPr>
        <w:t>be</w:t>
      </w:r>
      <w:r>
        <w:rPr>
          <w:spacing w:val="-5"/>
          <w:w w:val="105"/>
          <w:sz w:val="21"/>
        </w:rPr>
        <w:t> </w:t>
      </w:r>
      <w:r>
        <w:rPr>
          <w:w w:val="105"/>
          <w:sz w:val="21"/>
        </w:rPr>
        <w:t>best</w:t>
      </w:r>
      <w:r>
        <w:rPr>
          <w:spacing w:val="-4"/>
          <w:w w:val="105"/>
          <w:sz w:val="21"/>
        </w:rPr>
        <w:t> </w:t>
      </w:r>
      <w:r>
        <w:rPr>
          <w:w w:val="105"/>
          <w:sz w:val="21"/>
        </w:rPr>
        <w:t>assessed</w:t>
      </w:r>
      <w:r>
        <w:rPr>
          <w:spacing w:val="-5"/>
          <w:w w:val="105"/>
          <w:sz w:val="21"/>
        </w:rPr>
        <w:t> </w:t>
      </w:r>
      <w:r>
        <w:rPr>
          <w:w w:val="105"/>
          <w:sz w:val="21"/>
        </w:rPr>
        <w:t>by</w:t>
      </w:r>
      <w:r>
        <w:rPr>
          <w:spacing w:val="-5"/>
          <w:w w:val="105"/>
          <w:sz w:val="21"/>
        </w:rPr>
        <w:t> </w:t>
      </w:r>
      <w:r>
        <w:rPr>
          <w:w w:val="105"/>
          <w:sz w:val="21"/>
        </w:rPr>
        <w:t>a</w:t>
      </w:r>
      <w:r>
        <w:rPr>
          <w:spacing w:val="-5"/>
          <w:w w:val="105"/>
          <w:sz w:val="21"/>
        </w:rPr>
        <w:t> </w:t>
      </w:r>
      <w:r>
        <w:rPr>
          <w:w w:val="105"/>
          <w:sz w:val="21"/>
        </w:rPr>
        <w:t>panel </w:t>
      </w:r>
      <w:r>
        <w:rPr>
          <w:spacing w:val="-3"/>
          <w:w w:val="105"/>
          <w:sz w:val="21"/>
        </w:rPr>
        <w:t>that included </w:t>
      </w:r>
      <w:r>
        <w:rPr>
          <w:w w:val="105"/>
          <w:sz w:val="21"/>
        </w:rPr>
        <w:t>experienced arborists and in </w:t>
      </w:r>
      <w:r>
        <w:rPr>
          <w:spacing w:val="-3"/>
          <w:w w:val="105"/>
          <w:sz w:val="21"/>
        </w:rPr>
        <w:t>accordance </w:t>
      </w:r>
      <w:r>
        <w:rPr>
          <w:w w:val="105"/>
          <w:sz w:val="21"/>
        </w:rPr>
        <w:t>with </w:t>
      </w:r>
      <w:r>
        <w:rPr>
          <w:spacing w:val="-3"/>
          <w:w w:val="105"/>
          <w:sz w:val="21"/>
        </w:rPr>
        <w:t>clear</w:t>
      </w:r>
      <w:r>
        <w:rPr>
          <w:spacing w:val="8"/>
          <w:w w:val="105"/>
          <w:sz w:val="21"/>
        </w:rPr>
        <w:t> </w:t>
      </w:r>
      <w:r>
        <w:rPr>
          <w:w w:val="105"/>
          <w:sz w:val="21"/>
        </w:rPr>
        <w:t>criteria.</w:t>
      </w:r>
      <w:r>
        <w:rPr>
          <w:w w:val="105"/>
          <w:position w:val="7"/>
          <w:sz w:val="12"/>
        </w:rPr>
        <w:t>220</w:t>
      </w:r>
    </w:p>
    <w:p>
      <w:pPr>
        <w:pStyle w:val="Heading7"/>
      </w:pPr>
      <w:r>
        <w:rPr>
          <w:w w:val="115"/>
        </w:rPr>
        <w:t>On-site hearings or inspections</w:t>
      </w:r>
    </w:p>
    <w:p>
      <w:pPr>
        <w:pStyle w:val="ListParagraph"/>
        <w:numPr>
          <w:ilvl w:val="1"/>
          <w:numId w:val="114"/>
        </w:numPr>
        <w:tabs>
          <w:tab w:pos="2381" w:val="left" w:leader="none"/>
          <w:tab w:pos="2382" w:val="left" w:leader="none"/>
        </w:tabs>
        <w:spacing w:line="242" w:lineRule="auto" w:before="143" w:after="0"/>
        <w:ind w:left="2381" w:right="2193" w:hanging="794"/>
        <w:jc w:val="left"/>
        <w:rPr>
          <w:sz w:val="12"/>
        </w:rPr>
      </w:pPr>
      <w:r>
        <w:rPr>
          <w:sz w:val="21"/>
        </w:rPr>
        <w:t>The community also </w:t>
      </w:r>
      <w:r>
        <w:rPr>
          <w:spacing w:val="-3"/>
          <w:sz w:val="21"/>
        </w:rPr>
        <w:t>felt </w:t>
      </w:r>
      <w:r>
        <w:rPr>
          <w:sz w:val="21"/>
        </w:rPr>
        <w:t>strongly about the ability of the decision </w:t>
      </w:r>
      <w:r>
        <w:rPr>
          <w:spacing w:val="-4"/>
          <w:sz w:val="21"/>
        </w:rPr>
        <w:t>maker </w:t>
      </w:r>
      <w:r>
        <w:rPr>
          <w:spacing w:val="-3"/>
          <w:sz w:val="21"/>
        </w:rPr>
        <w:t>to </w:t>
      </w:r>
      <w:r>
        <w:rPr>
          <w:sz w:val="21"/>
        </w:rPr>
        <w:t>conduct inspections or hear the matter on</w:t>
      </w:r>
      <w:r>
        <w:rPr>
          <w:spacing w:val="4"/>
          <w:sz w:val="21"/>
        </w:rPr>
        <w:t> </w:t>
      </w:r>
      <w:r>
        <w:rPr>
          <w:spacing w:val="-3"/>
          <w:sz w:val="21"/>
        </w:rPr>
        <w:t>site.</w:t>
      </w:r>
      <w:r>
        <w:rPr>
          <w:spacing w:val="-3"/>
          <w:position w:val="7"/>
          <w:sz w:val="12"/>
        </w:rPr>
        <w:t>221</w:t>
      </w:r>
    </w:p>
    <w:p>
      <w:pPr>
        <w:pStyle w:val="ListParagraph"/>
        <w:numPr>
          <w:ilvl w:val="1"/>
          <w:numId w:val="114"/>
        </w:numPr>
        <w:tabs>
          <w:tab w:pos="2380" w:val="left" w:leader="none"/>
          <w:tab w:pos="2381" w:val="left" w:leader="none"/>
        </w:tabs>
        <w:spacing w:line="242" w:lineRule="auto" w:before="122" w:after="0"/>
        <w:ind w:left="2381" w:right="1972" w:hanging="794"/>
        <w:jc w:val="left"/>
        <w:rPr>
          <w:sz w:val="21"/>
        </w:rPr>
      </w:pPr>
      <w:r>
        <w:rPr>
          <w:w w:val="105"/>
          <w:sz w:val="21"/>
        </w:rPr>
        <w:t>The NSWLEC advised </w:t>
      </w:r>
      <w:r>
        <w:rPr>
          <w:spacing w:val="-3"/>
          <w:w w:val="105"/>
          <w:sz w:val="21"/>
        </w:rPr>
        <w:t>that </w:t>
      </w:r>
      <w:r>
        <w:rPr>
          <w:w w:val="105"/>
          <w:sz w:val="21"/>
        </w:rPr>
        <w:t>on-site </w:t>
      </w:r>
      <w:r>
        <w:rPr>
          <w:spacing w:val="-3"/>
          <w:w w:val="105"/>
          <w:sz w:val="21"/>
        </w:rPr>
        <w:t>hearings are </w:t>
      </w:r>
      <w:r>
        <w:rPr>
          <w:w w:val="105"/>
          <w:sz w:val="21"/>
        </w:rPr>
        <w:t>a </w:t>
      </w:r>
      <w:r>
        <w:rPr>
          <w:spacing w:val="-3"/>
          <w:w w:val="105"/>
          <w:sz w:val="21"/>
        </w:rPr>
        <w:t>crucial </w:t>
      </w:r>
      <w:r>
        <w:rPr>
          <w:w w:val="105"/>
          <w:sz w:val="21"/>
        </w:rPr>
        <w:t>aspect of the NSW scheme.</w:t>
      </w:r>
      <w:r>
        <w:rPr>
          <w:w w:val="105"/>
          <w:position w:val="7"/>
          <w:sz w:val="12"/>
        </w:rPr>
        <w:t>222</w:t>
      </w:r>
      <w:r>
        <w:rPr>
          <w:w w:val="105"/>
          <w:sz w:val="12"/>
        </w:rPr>
        <w:t> </w:t>
      </w:r>
      <w:r>
        <w:rPr>
          <w:w w:val="105"/>
          <w:sz w:val="21"/>
        </w:rPr>
        <w:t>Acting </w:t>
      </w:r>
      <w:r>
        <w:rPr>
          <w:spacing w:val="-3"/>
          <w:w w:val="105"/>
          <w:sz w:val="21"/>
        </w:rPr>
        <w:t>Commissioner Galwey </w:t>
      </w:r>
      <w:r>
        <w:rPr>
          <w:w w:val="105"/>
          <w:sz w:val="21"/>
        </w:rPr>
        <w:t>of the NSWLEC</w:t>
      </w:r>
      <w:r>
        <w:rPr>
          <w:spacing w:val="38"/>
          <w:w w:val="105"/>
          <w:sz w:val="21"/>
        </w:rPr>
        <w:t> </w:t>
      </w:r>
      <w:r>
        <w:rPr>
          <w:w w:val="105"/>
          <w:sz w:val="21"/>
        </w:rPr>
        <w:t>submited:</w:t>
      </w:r>
    </w:p>
    <w:p>
      <w:pPr>
        <w:pStyle w:val="BodyText"/>
        <w:rPr>
          <w:sz w:val="20"/>
        </w:rPr>
      </w:pPr>
    </w:p>
    <w:p>
      <w:pPr>
        <w:pStyle w:val="BodyText"/>
        <w:rPr>
          <w:sz w:val="20"/>
        </w:rPr>
      </w:pPr>
    </w:p>
    <w:p>
      <w:pPr>
        <w:pStyle w:val="BodyText"/>
        <w:rPr>
          <w:sz w:val="20"/>
        </w:rPr>
      </w:pPr>
    </w:p>
    <w:p>
      <w:pPr>
        <w:pStyle w:val="BodyText"/>
        <w:rPr>
          <w:sz w:val="15"/>
        </w:rPr>
      </w:pPr>
      <w:r>
        <w:rPr/>
        <w:pict>
          <v:line style="position:absolute;mso-position-horizontal-relative:page;mso-position-vertical-relative:paragraph;z-index:6824;mso-wrap-distance-left:0;mso-wrap-distance-right:0" from="79.370102pt,11.652243pt" to="515.905102pt,11.65224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20"/>
        </w:numPr>
        <w:tabs>
          <w:tab w:pos="2380" w:val="left" w:leader="none"/>
          <w:tab w:pos="2382" w:val="left" w:leader="none"/>
        </w:tabs>
        <w:spacing w:line="240" w:lineRule="auto" w:before="48" w:after="0"/>
        <w:ind w:left="2381" w:right="0" w:hanging="794"/>
        <w:jc w:val="left"/>
        <w:rPr>
          <w:sz w:val="13"/>
        </w:rPr>
      </w:pPr>
      <w:r>
        <w:rPr>
          <w:w w:val="105"/>
          <w:sz w:val="13"/>
        </w:rPr>
        <w:t>Submissions</w:t>
      </w:r>
      <w:r>
        <w:rPr>
          <w:spacing w:val="5"/>
          <w:w w:val="105"/>
          <w:sz w:val="13"/>
        </w:rPr>
        <w:t> </w:t>
      </w:r>
      <w:r>
        <w:rPr>
          <w:w w:val="105"/>
          <w:sz w:val="13"/>
        </w:rPr>
        <w:t>4</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spacing w:val="-3"/>
          <w:w w:val="105"/>
          <w:sz w:val="13"/>
        </w:rPr>
        <w:t>19</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23</w:t>
      </w:r>
      <w:r>
        <w:rPr>
          <w:spacing w:val="5"/>
          <w:w w:val="105"/>
          <w:sz w:val="13"/>
        </w:rPr>
        <w:t> </w:t>
      </w:r>
      <w:r>
        <w:rPr>
          <w:spacing w:val="2"/>
          <w:w w:val="105"/>
          <w:sz w:val="13"/>
        </w:rPr>
        <w:t>(Name</w:t>
      </w:r>
      <w:r>
        <w:rPr>
          <w:spacing w:val="6"/>
          <w:w w:val="105"/>
          <w:sz w:val="13"/>
        </w:rPr>
        <w:t> </w:t>
      </w:r>
      <w:r>
        <w:rPr>
          <w:w w:val="105"/>
          <w:sz w:val="13"/>
        </w:rPr>
        <w:t>withheld),</w:t>
      </w:r>
      <w:r>
        <w:rPr>
          <w:spacing w:val="5"/>
          <w:w w:val="105"/>
          <w:sz w:val="13"/>
        </w:rPr>
        <w:t> </w:t>
      </w:r>
      <w:r>
        <w:rPr>
          <w:w w:val="105"/>
          <w:sz w:val="13"/>
        </w:rPr>
        <w:t>25</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p>
    <w:p>
      <w:pPr>
        <w:pStyle w:val="ListParagraph"/>
        <w:numPr>
          <w:ilvl w:val="0"/>
          <w:numId w:val="120"/>
        </w:numPr>
        <w:tabs>
          <w:tab w:pos="2380" w:val="left" w:leader="none"/>
          <w:tab w:pos="2382" w:val="left" w:leader="none"/>
        </w:tabs>
        <w:spacing w:line="240" w:lineRule="auto" w:before="1" w:after="0"/>
        <w:ind w:left="2381" w:right="0" w:hanging="794"/>
        <w:jc w:val="left"/>
        <w:rPr>
          <w:sz w:val="13"/>
        </w:rPr>
      </w:pPr>
      <w:r>
        <w:rPr>
          <w:w w:val="105"/>
          <w:sz w:val="13"/>
        </w:rPr>
        <w:t>Submissions </w:t>
      </w:r>
      <w:r>
        <w:rPr>
          <w:spacing w:val="-4"/>
          <w:w w:val="105"/>
          <w:sz w:val="13"/>
        </w:rPr>
        <w:t>12  </w:t>
      </w:r>
      <w:r>
        <w:rPr>
          <w:spacing w:val="3"/>
          <w:w w:val="105"/>
          <w:sz w:val="13"/>
        </w:rPr>
        <w:t>(Dr </w:t>
      </w:r>
      <w:r>
        <w:rPr>
          <w:w w:val="105"/>
          <w:sz w:val="13"/>
        </w:rPr>
        <w:t>Gregory Moore </w:t>
      </w:r>
      <w:r>
        <w:rPr>
          <w:spacing w:val="2"/>
          <w:w w:val="105"/>
          <w:sz w:val="13"/>
        </w:rPr>
        <w:t>OAM), </w:t>
      </w:r>
      <w:r>
        <w:rPr>
          <w:spacing w:val="-4"/>
          <w:w w:val="105"/>
          <w:sz w:val="13"/>
        </w:rPr>
        <w:t>17  </w:t>
      </w:r>
      <w:r>
        <w:rPr>
          <w:spacing w:val="2"/>
          <w:w w:val="105"/>
          <w:sz w:val="13"/>
        </w:rPr>
        <w:t>(Name </w:t>
      </w:r>
      <w:r>
        <w:rPr>
          <w:w w:val="105"/>
          <w:sz w:val="13"/>
        </w:rPr>
        <w:t>withheld), 21 (Pointon Partners </w:t>
      </w:r>
      <w:r>
        <w:rPr>
          <w:spacing w:val="2"/>
          <w:w w:val="105"/>
          <w:sz w:val="13"/>
        </w:rPr>
        <w:t>Lawyers), </w:t>
      </w:r>
      <w:r>
        <w:rPr>
          <w:w w:val="105"/>
          <w:sz w:val="13"/>
        </w:rPr>
        <w:t>25 (City of Boorondara), 27 </w:t>
      </w:r>
      <w:r>
        <w:rPr>
          <w:spacing w:val="2"/>
          <w:w w:val="105"/>
          <w:sz w:val="13"/>
        </w:rPr>
        <w:t>(Name   </w:t>
      </w:r>
      <w:r>
        <w:rPr>
          <w:w w:val="105"/>
          <w:sz w:val="13"/>
        </w:rPr>
        <w:t>withheld),</w:t>
      </w:r>
      <w:r>
        <w:rPr>
          <w:spacing w:val="8"/>
          <w:w w:val="105"/>
          <w:sz w:val="13"/>
        </w:rPr>
        <w:t> </w:t>
      </w:r>
      <w:r>
        <w:rPr>
          <w:w w:val="105"/>
          <w:sz w:val="13"/>
        </w:rPr>
        <w:t>29</w:t>
      </w:r>
      <w:r>
        <w:rPr>
          <w:spacing w:val="8"/>
          <w:w w:val="105"/>
          <w:sz w:val="13"/>
        </w:rPr>
        <w:t> </w:t>
      </w:r>
      <w:r>
        <w:rPr>
          <w:w w:val="105"/>
          <w:sz w:val="13"/>
        </w:rPr>
        <w:t>(David</w:t>
      </w:r>
      <w:r>
        <w:rPr>
          <w:spacing w:val="8"/>
          <w:w w:val="105"/>
          <w:sz w:val="13"/>
        </w:rPr>
        <w:t> </w:t>
      </w:r>
      <w:r>
        <w:rPr>
          <w:w w:val="105"/>
          <w:sz w:val="13"/>
        </w:rPr>
        <w:t>Galwey);</w:t>
      </w:r>
      <w:r>
        <w:rPr>
          <w:spacing w:val="9"/>
          <w:w w:val="105"/>
          <w:sz w:val="13"/>
        </w:rPr>
        <w:t> </w:t>
      </w:r>
      <w:r>
        <w:rPr>
          <w:w w:val="105"/>
          <w:sz w:val="13"/>
        </w:rPr>
        <w:t>Consultations</w:t>
      </w:r>
      <w:r>
        <w:rPr>
          <w:spacing w:val="8"/>
          <w:w w:val="105"/>
          <w:sz w:val="13"/>
        </w:rPr>
        <w:t> </w:t>
      </w:r>
      <w:r>
        <w:rPr>
          <w:w w:val="105"/>
          <w:sz w:val="13"/>
        </w:rPr>
        <w:t>8</w:t>
      </w:r>
      <w:r>
        <w:rPr>
          <w:spacing w:val="8"/>
          <w:w w:val="105"/>
          <w:sz w:val="13"/>
        </w:rPr>
        <w:t> </w:t>
      </w:r>
      <w:r>
        <w:rPr>
          <w:w w:val="105"/>
          <w:sz w:val="13"/>
        </w:rPr>
        <w:t>(City</w:t>
      </w:r>
      <w:r>
        <w:rPr>
          <w:spacing w:val="9"/>
          <w:w w:val="105"/>
          <w:sz w:val="13"/>
        </w:rPr>
        <w:t> </w:t>
      </w:r>
      <w:r>
        <w:rPr>
          <w:w w:val="105"/>
          <w:sz w:val="13"/>
        </w:rPr>
        <w:t>of</w:t>
      </w:r>
      <w:r>
        <w:rPr>
          <w:spacing w:val="8"/>
          <w:w w:val="105"/>
          <w:sz w:val="13"/>
        </w:rPr>
        <w:t> </w:t>
      </w:r>
      <w:r>
        <w:rPr>
          <w:w w:val="105"/>
          <w:sz w:val="13"/>
        </w:rPr>
        <w:t>Boroondara),</w:t>
      </w:r>
      <w:r>
        <w:rPr>
          <w:spacing w:val="8"/>
          <w:w w:val="105"/>
          <w:sz w:val="13"/>
        </w:rPr>
        <w:t> </w:t>
      </w:r>
      <w:r>
        <w:rPr>
          <w:w w:val="105"/>
          <w:sz w:val="13"/>
        </w:rPr>
        <w:t>9</w:t>
      </w:r>
      <w:r>
        <w:rPr>
          <w:spacing w:val="8"/>
          <w:w w:val="105"/>
          <w:sz w:val="13"/>
        </w:rPr>
        <w:t> </w:t>
      </w:r>
      <w:r>
        <w:rPr>
          <w:w w:val="105"/>
          <w:sz w:val="13"/>
        </w:rPr>
        <w:t>(Nillumbik</w:t>
      </w:r>
      <w:r>
        <w:rPr>
          <w:spacing w:val="9"/>
          <w:w w:val="105"/>
          <w:sz w:val="13"/>
        </w:rPr>
        <w:t> </w:t>
      </w:r>
      <w:r>
        <w:rPr>
          <w:w w:val="105"/>
          <w:sz w:val="13"/>
        </w:rPr>
        <w:t>Shire</w:t>
      </w:r>
      <w:r>
        <w:rPr>
          <w:spacing w:val="8"/>
          <w:w w:val="105"/>
          <w:sz w:val="13"/>
        </w:rPr>
        <w:t> </w:t>
      </w:r>
      <w:r>
        <w:rPr>
          <w:w w:val="105"/>
          <w:sz w:val="13"/>
        </w:rPr>
        <w:t>Council),</w:t>
      </w:r>
      <w:r>
        <w:rPr>
          <w:spacing w:val="8"/>
          <w:w w:val="105"/>
          <w:sz w:val="13"/>
        </w:rPr>
        <w:t> </w:t>
      </w:r>
      <w:r>
        <w:rPr>
          <w:spacing w:val="-4"/>
          <w:w w:val="105"/>
          <w:sz w:val="13"/>
        </w:rPr>
        <w:t>12</w:t>
      </w:r>
      <w:r>
        <w:rPr>
          <w:spacing w:val="9"/>
          <w:w w:val="105"/>
          <w:sz w:val="13"/>
        </w:rPr>
        <w:t> </w:t>
      </w:r>
      <w:r>
        <w:rPr>
          <w:w w:val="105"/>
          <w:sz w:val="13"/>
        </w:rPr>
        <w:t>(City</w:t>
      </w:r>
      <w:r>
        <w:rPr>
          <w:spacing w:val="8"/>
          <w:w w:val="105"/>
          <w:sz w:val="13"/>
        </w:rPr>
        <w:t> </w:t>
      </w:r>
      <w:r>
        <w:rPr>
          <w:w w:val="105"/>
          <w:sz w:val="13"/>
        </w:rPr>
        <w:t>of</w:t>
      </w:r>
      <w:r>
        <w:rPr>
          <w:spacing w:val="8"/>
          <w:w w:val="105"/>
          <w:sz w:val="13"/>
        </w:rPr>
        <w:t> </w:t>
      </w:r>
      <w:r>
        <w:rPr>
          <w:w w:val="105"/>
          <w:sz w:val="13"/>
        </w:rPr>
        <w:t>Port</w:t>
      </w:r>
      <w:r>
        <w:rPr>
          <w:spacing w:val="8"/>
          <w:w w:val="105"/>
          <w:sz w:val="13"/>
        </w:rPr>
        <w:t> </w:t>
      </w:r>
      <w:r>
        <w:rPr>
          <w:w w:val="105"/>
          <w:sz w:val="13"/>
        </w:rPr>
        <w:t>Phillip),</w:t>
      </w:r>
      <w:r>
        <w:rPr>
          <w:spacing w:val="9"/>
          <w:w w:val="105"/>
          <w:sz w:val="13"/>
        </w:rPr>
        <w:t> </w:t>
      </w:r>
      <w:r>
        <w:rPr>
          <w:spacing w:val="-3"/>
          <w:w w:val="105"/>
          <w:sz w:val="13"/>
        </w:rPr>
        <w:t>14</w:t>
      </w:r>
      <w:r>
        <w:rPr>
          <w:spacing w:val="8"/>
          <w:w w:val="105"/>
          <w:sz w:val="13"/>
        </w:rPr>
        <w:t> </w:t>
      </w:r>
      <w:r>
        <w:rPr>
          <w:spacing w:val="2"/>
          <w:w w:val="105"/>
          <w:sz w:val="13"/>
        </w:rPr>
        <w:t>(Robert</w:t>
      </w:r>
      <w:r>
        <w:rPr>
          <w:spacing w:val="8"/>
          <w:w w:val="105"/>
          <w:sz w:val="13"/>
        </w:rPr>
        <w:t> </w:t>
      </w:r>
      <w:r>
        <w:rPr>
          <w:spacing w:val="2"/>
          <w:w w:val="105"/>
          <w:sz w:val="13"/>
        </w:rPr>
        <w:t>Mineo).</w:t>
      </w:r>
    </w:p>
    <w:p>
      <w:pPr>
        <w:pStyle w:val="ListParagraph"/>
        <w:numPr>
          <w:ilvl w:val="0"/>
          <w:numId w:val="120"/>
        </w:numPr>
        <w:tabs>
          <w:tab w:pos="2380" w:val="left" w:leader="none"/>
          <w:tab w:pos="2382" w:val="left" w:leader="none"/>
        </w:tabs>
        <w:spacing w:line="240" w:lineRule="auto" w:before="3" w:after="0"/>
        <w:ind w:left="2381" w:right="0" w:hanging="794"/>
        <w:jc w:val="left"/>
        <w:rPr>
          <w:sz w:val="13"/>
        </w:rPr>
      </w:pPr>
      <w:r>
        <w:rPr>
          <w:w w:val="105"/>
          <w:sz w:val="13"/>
        </w:rPr>
        <w:t>Submission </w:t>
      </w:r>
      <w:r>
        <w:rPr>
          <w:spacing w:val="-4"/>
          <w:w w:val="105"/>
          <w:sz w:val="13"/>
        </w:rPr>
        <w:t>12 </w:t>
      </w:r>
      <w:r>
        <w:rPr>
          <w:spacing w:val="3"/>
          <w:w w:val="105"/>
          <w:sz w:val="13"/>
        </w:rPr>
        <w:t>(Dr </w:t>
      </w:r>
      <w:r>
        <w:rPr>
          <w:w w:val="105"/>
          <w:sz w:val="13"/>
        </w:rPr>
        <w:t>Gregory Moore</w:t>
      </w:r>
      <w:r>
        <w:rPr>
          <w:spacing w:val="-3"/>
          <w:w w:val="105"/>
          <w:sz w:val="13"/>
        </w:rPr>
        <w:t> </w:t>
      </w:r>
      <w:r>
        <w:rPr>
          <w:spacing w:val="2"/>
          <w:w w:val="105"/>
          <w:sz w:val="13"/>
        </w:rPr>
        <w:t>OAM).</w:t>
      </w:r>
    </w:p>
    <w:p>
      <w:pPr>
        <w:pStyle w:val="ListParagraph"/>
        <w:numPr>
          <w:ilvl w:val="0"/>
          <w:numId w:val="120"/>
        </w:numPr>
        <w:tabs>
          <w:tab w:pos="2380" w:val="left" w:leader="none"/>
          <w:tab w:pos="2382" w:val="left" w:leader="none"/>
        </w:tabs>
        <w:spacing w:line="240" w:lineRule="auto" w:before="1" w:after="0"/>
        <w:ind w:left="2381" w:right="0" w:hanging="794"/>
        <w:jc w:val="left"/>
        <w:rPr>
          <w:sz w:val="13"/>
        </w:rPr>
      </w:pPr>
      <w:r>
        <w:rPr>
          <w:w w:val="105"/>
          <w:sz w:val="13"/>
        </w:rPr>
        <w:t>Submission 29 (David</w:t>
      </w:r>
      <w:r>
        <w:rPr>
          <w:spacing w:val="13"/>
          <w:w w:val="105"/>
          <w:sz w:val="13"/>
        </w:rPr>
        <w:t> </w:t>
      </w:r>
      <w:r>
        <w:rPr>
          <w:w w:val="105"/>
          <w:sz w:val="13"/>
        </w:rPr>
        <w:t>Galwey).</w:t>
      </w:r>
    </w:p>
    <w:p>
      <w:pPr>
        <w:pStyle w:val="ListParagraph"/>
        <w:numPr>
          <w:ilvl w:val="0"/>
          <w:numId w:val="120"/>
        </w:numPr>
        <w:tabs>
          <w:tab w:pos="2380" w:val="left" w:leader="none"/>
          <w:tab w:pos="2382" w:val="left" w:leader="none"/>
        </w:tabs>
        <w:spacing w:line="240" w:lineRule="auto" w:before="2" w:after="0"/>
        <w:ind w:left="2381" w:right="0" w:hanging="794"/>
        <w:jc w:val="left"/>
        <w:rPr>
          <w:sz w:val="13"/>
        </w:rPr>
      </w:pPr>
      <w:r>
        <w:rPr>
          <w:w w:val="105"/>
          <w:sz w:val="13"/>
        </w:rPr>
        <w:t>Consultation 9 (Nillumbik Shire</w:t>
      </w:r>
      <w:r>
        <w:rPr>
          <w:spacing w:val="18"/>
          <w:w w:val="105"/>
          <w:sz w:val="13"/>
        </w:rPr>
        <w:t> </w:t>
      </w:r>
      <w:r>
        <w:rPr>
          <w:w w:val="105"/>
          <w:sz w:val="13"/>
        </w:rPr>
        <w:t>Council).</w:t>
      </w:r>
    </w:p>
    <w:p>
      <w:pPr>
        <w:pStyle w:val="ListParagraph"/>
        <w:numPr>
          <w:ilvl w:val="0"/>
          <w:numId w:val="120"/>
        </w:numPr>
        <w:tabs>
          <w:tab w:pos="2380" w:val="left" w:leader="none"/>
          <w:tab w:pos="2382" w:val="left" w:leader="none"/>
        </w:tabs>
        <w:spacing w:line="240" w:lineRule="auto" w:before="1" w:after="0"/>
        <w:ind w:left="2381" w:right="0" w:hanging="794"/>
        <w:jc w:val="left"/>
        <w:rPr>
          <w:sz w:val="13"/>
        </w:rPr>
      </w:pPr>
      <w:r>
        <w:rPr>
          <w:w w:val="105"/>
          <w:sz w:val="13"/>
        </w:rPr>
        <w:t>Consultation </w:t>
      </w:r>
      <w:r>
        <w:rPr>
          <w:spacing w:val="-4"/>
          <w:w w:val="105"/>
          <w:sz w:val="13"/>
        </w:rPr>
        <w:t>12  </w:t>
      </w:r>
      <w:r>
        <w:rPr>
          <w:w w:val="105"/>
          <w:sz w:val="13"/>
        </w:rPr>
        <w:t>(City of Port</w:t>
      </w:r>
      <w:r>
        <w:rPr>
          <w:spacing w:val="26"/>
          <w:w w:val="105"/>
          <w:sz w:val="13"/>
        </w:rPr>
        <w:t> </w:t>
      </w:r>
      <w:r>
        <w:rPr>
          <w:w w:val="105"/>
          <w:sz w:val="13"/>
        </w:rPr>
        <w:t>Phillip).</w:t>
      </w:r>
    </w:p>
    <w:p>
      <w:pPr>
        <w:pStyle w:val="ListParagraph"/>
        <w:numPr>
          <w:ilvl w:val="0"/>
          <w:numId w:val="120"/>
        </w:numPr>
        <w:tabs>
          <w:tab w:pos="2381" w:val="left" w:leader="none"/>
          <w:tab w:pos="2382" w:val="left" w:leader="none"/>
        </w:tabs>
        <w:spacing w:line="240" w:lineRule="auto" w:before="1" w:after="0"/>
        <w:ind w:left="2381" w:right="0" w:hanging="794"/>
        <w:jc w:val="left"/>
        <w:rPr>
          <w:sz w:val="13"/>
        </w:rPr>
      </w:pPr>
      <w:r>
        <w:rPr>
          <w:w w:val="105"/>
          <w:sz w:val="13"/>
        </w:rPr>
        <w:t>Submission 25 (City of </w:t>
      </w:r>
      <w:r>
        <w:rPr>
          <w:spacing w:val="17"/>
          <w:w w:val="105"/>
          <w:sz w:val="13"/>
        </w:rPr>
        <w:t> </w:t>
      </w:r>
      <w:r>
        <w:rPr>
          <w:w w:val="105"/>
          <w:sz w:val="13"/>
        </w:rPr>
        <w:t>Boorondara).</w:t>
      </w:r>
    </w:p>
    <w:p>
      <w:pPr>
        <w:pStyle w:val="ListParagraph"/>
        <w:numPr>
          <w:ilvl w:val="0"/>
          <w:numId w:val="120"/>
        </w:numPr>
        <w:tabs>
          <w:tab w:pos="2381" w:val="left" w:leader="none"/>
          <w:tab w:pos="2382" w:val="left" w:leader="none"/>
        </w:tabs>
        <w:spacing w:line="240" w:lineRule="auto" w:before="2" w:after="0"/>
        <w:ind w:left="2381" w:right="0" w:hanging="794"/>
        <w:jc w:val="left"/>
        <w:rPr>
          <w:sz w:val="13"/>
        </w:rPr>
      </w:pPr>
      <w:r>
        <w:rPr>
          <w:w w:val="105"/>
          <w:sz w:val="13"/>
        </w:rPr>
        <w:t>Confidential</w:t>
      </w:r>
      <w:r>
        <w:rPr>
          <w:spacing w:val="4"/>
          <w:w w:val="105"/>
          <w:sz w:val="13"/>
        </w:rPr>
        <w:t> </w:t>
      </w:r>
      <w:r>
        <w:rPr>
          <w:w w:val="105"/>
          <w:sz w:val="13"/>
        </w:rPr>
        <w:t>submission.</w:t>
      </w:r>
    </w:p>
    <w:p>
      <w:pPr>
        <w:pStyle w:val="ListParagraph"/>
        <w:numPr>
          <w:ilvl w:val="0"/>
          <w:numId w:val="120"/>
        </w:numPr>
        <w:tabs>
          <w:tab w:pos="2381" w:val="left" w:leader="none"/>
          <w:tab w:pos="2382" w:val="left" w:leader="none"/>
        </w:tabs>
        <w:spacing w:line="240" w:lineRule="auto" w:before="1" w:after="0"/>
        <w:ind w:left="2381" w:right="568" w:hanging="794"/>
        <w:jc w:val="left"/>
        <w:rPr>
          <w:sz w:val="13"/>
        </w:rPr>
      </w:pPr>
      <w:r>
        <w:rPr>
          <w:w w:val="105"/>
          <w:sz w:val="13"/>
        </w:rPr>
        <w:t>Submissions 10 (Professor Phillip Hamilton), 29 (David Galwey); Consultations 9 (Nillumbik Shire Council), </w:t>
      </w:r>
      <w:r>
        <w:rPr>
          <w:spacing w:val="-4"/>
          <w:w w:val="105"/>
          <w:sz w:val="13"/>
        </w:rPr>
        <w:t>12  </w:t>
      </w:r>
      <w:r>
        <w:rPr>
          <w:w w:val="105"/>
          <w:sz w:val="13"/>
        </w:rPr>
        <w:t>(City of Port Phillip),</w:t>
      </w:r>
      <w:r>
        <w:rPr>
          <w:spacing w:val="30"/>
          <w:w w:val="105"/>
          <w:sz w:val="13"/>
        </w:rPr>
        <w:t> </w:t>
      </w:r>
      <w:r>
        <w:rPr>
          <w:spacing w:val="-3"/>
          <w:w w:val="105"/>
          <w:sz w:val="13"/>
        </w:rPr>
        <w:t>14 </w:t>
      </w:r>
      <w:r>
        <w:rPr>
          <w:spacing w:val="2"/>
          <w:w w:val="105"/>
          <w:sz w:val="13"/>
        </w:rPr>
        <w:t>(Robert</w:t>
      </w:r>
      <w:r>
        <w:rPr>
          <w:spacing w:val="11"/>
          <w:w w:val="105"/>
          <w:sz w:val="13"/>
        </w:rPr>
        <w:t> </w:t>
      </w:r>
      <w:r>
        <w:rPr>
          <w:spacing w:val="2"/>
          <w:w w:val="105"/>
          <w:sz w:val="13"/>
        </w:rPr>
        <w:t>Mineo).</w:t>
      </w:r>
    </w:p>
    <w:p>
      <w:pPr>
        <w:pStyle w:val="ListParagraph"/>
        <w:numPr>
          <w:ilvl w:val="0"/>
          <w:numId w:val="120"/>
        </w:numPr>
        <w:tabs>
          <w:tab w:pos="2381" w:val="left" w:leader="none"/>
          <w:tab w:pos="2382" w:val="left" w:leader="none"/>
        </w:tabs>
        <w:spacing w:line="240" w:lineRule="auto" w:before="3"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3"/>
          <w:w w:val="105"/>
          <w:sz w:val="13"/>
        </w:rPr>
        <w:t> </w:t>
      </w:r>
      <w:r>
        <w:rPr>
          <w:w w:val="105"/>
          <w:sz w:val="13"/>
        </w:rPr>
        <w:t>Wales).</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6"/>
        <w:rPr>
          <w:sz w:val="27"/>
        </w:rPr>
      </w:pPr>
    </w:p>
    <w:p>
      <w:pPr>
        <w:spacing w:before="0"/>
        <w:ind w:left="574" w:right="579" w:firstLine="0"/>
        <w:jc w:val="center"/>
        <w:rPr>
          <w:b/>
          <w:sz w:val="24"/>
        </w:rPr>
      </w:pPr>
      <w:r>
        <w:rPr>
          <w:b/>
          <w:color w:val="658464"/>
          <w:w w:val="110"/>
          <w:sz w:val="24"/>
        </w:rPr>
        <w:t>151</w:t>
      </w:r>
    </w:p>
    <w:p>
      <w:pPr>
        <w:spacing w:after="0"/>
        <w:jc w:val="center"/>
        <w:rPr>
          <w:sz w:val="24"/>
        </w:rPr>
        <w:sectPr>
          <w:type w:val="continuous"/>
          <w:pgSz w:w="11910" w:h="16840"/>
          <w:pgMar w:top="300" w:bottom="280" w:left="0" w:right="0"/>
          <w:cols w:num="2" w:equalWidth="0">
            <w:col w:w="10275" w:space="40"/>
            <w:col w:w="1595"/>
          </w:cols>
        </w:sectPr>
      </w:pPr>
    </w:p>
    <w:p>
      <w:pPr>
        <w:pStyle w:val="BodyText"/>
        <w:spacing w:before="11"/>
        <w:rPr>
          <w:b/>
          <w:sz w:val="22"/>
        </w:rPr>
      </w:pPr>
    </w:p>
    <w:p>
      <w:pPr>
        <w:spacing w:line="254" w:lineRule="auto" w:before="92"/>
        <w:ind w:left="2834" w:right="1685" w:firstLine="0"/>
        <w:jc w:val="both"/>
        <w:rPr>
          <w:sz w:val="11"/>
        </w:rPr>
      </w:pPr>
      <w:bookmarkStart w:name="The Commission’s conclusions—where shoul" w:id="172"/>
      <w:bookmarkEnd w:id="172"/>
      <w:r>
        <w:rPr/>
      </w:r>
      <w:bookmarkStart w:name="_bookmark79" w:id="173"/>
      <w:bookmarkEnd w:id="173"/>
      <w:r>
        <w:rPr/>
      </w:r>
      <w:r>
        <w:rPr>
          <w:sz w:val="20"/>
        </w:rPr>
        <w:t>Having the hearing onsite is invaluable. Most matters in NSW are also completed onsite. There are often many factors to consider in a tree dispute, and the interaction between these can be important. It can be difficult to fully present this in a court.</w:t>
      </w:r>
      <w:r>
        <w:rPr>
          <w:position w:val="7"/>
          <w:sz w:val="11"/>
        </w:rPr>
        <w:t>223</w:t>
      </w:r>
    </w:p>
    <w:p>
      <w:pPr>
        <w:pStyle w:val="ListParagraph"/>
        <w:numPr>
          <w:ilvl w:val="1"/>
          <w:numId w:val="114"/>
        </w:numPr>
        <w:tabs>
          <w:tab w:pos="2381" w:val="left" w:leader="none"/>
          <w:tab w:pos="2382" w:val="left" w:leader="none"/>
        </w:tabs>
        <w:spacing w:line="242" w:lineRule="auto" w:before="114" w:after="0"/>
        <w:ind w:left="2381" w:right="1799" w:hanging="794"/>
        <w:jc w:val="left"/>
        <w:rPr>
          <w:sz w:val="12"/>
        </w:rPr>
      </w:pPr>
      <w:r>
        <w:rPr>
          <w:spacing w:val="-4"/>
          <w:w w:val="105"/>
          <w:sz w:val="21"/>
        </w:rPr>
        <w:t>QCAT </w:t>
      </w:r>
      <w:r>
        <w:rPr>
          <w:w w:val="105"/>
          <w:sz w:val="21"/>
        </w:rPr>
        <w:t>members </w:t>
      </w:r>
      <w:r>
        <w:rPr>
          <w:spacing w:val="-3"/>
          <w:w w:val="105"/>
          <w:sz w:val="21"/>
        </w:rPr>
        <w:t>are </w:t>
      </w:r>
      <w:r>
        <w:rPr>
          <w:w w:val="105"/>
          <w:sz w:val="21"/>
        </w:rPr>
        <w:t>supported by the expertise of </w:t>
      </w:r>
      <w:r>
        <w:rPr>
          <w:spacing w:val="-3"/>
          <w:w w:val="105"/>
          <w:sz w:val="21"/>
        </w:rPr>
        <w:t>Tribunal-appointed </w:t>
      </w:r>
      <w:r>
        <w:rPr>
          <w:w w:val="105"/>
          <w:sz w:val="21"/>
        </w:rPr>
        <w:t>tree assessors. </w:t>
      </w:r>
      <w:r>
        <w:rPr>
          <w:spacing w:val="-4"/>
          <w:w w:val="105"/>
          <w:sz w:val="21"/>
        </w:rPr>
        <w:t>QCAT</w:t>
      </w:r>
      <w:r>
        <w:rPr>
          <w:spacing w:val="-10"/>
          <w:w w:val="105"/>
          <w:sz w:val="21"/>
        </w:rPr>
        <w:t> </w:t>
      </w:r>
      <w:r>
        <w:rPr>
          <w:w w:val="105"/>
          <w:sz w:val="21"/>
        </w:rPr>
        <w:t>explained</w:t>
      </w:r>
      <w:r>
        <w:rPr>
          <w:spacing w:val="-9"/>
          <w:w w:val="105"/>
          <w:sz w:val="21"/>
        </w:rPr>
        <w:t> </w:t>
      </w:r>
      <w:r>
        <w:rPr>
          <w:spacing w:val="-3"/>
          <w:w w:val="105"/>
          <w:sz w:val="21"/>
        </w:rPr>
        <w:t>that</w:t>
      </w:r>
      <w:r>
        <w:rPr>
          <w:spacing w:val="-9"/>
          <w:w w:val="105"/>
          <w:sz w:val="21"/>
        </w:rPr>
        <w:t> </w:t>
      </w:r>
      <w:r>
        <w:rPr>
          <w:w w:val="105"/>
          <w:sz w:val="21"/>
        </w:rPr>
        <w:t>a</w:t>
      </w:r>
      <w:r>
        <w:rPr>
          <w:spacing w:val="-9"/>
          <w:w w:val="105"/>
          <w:sz w:val="21"/>
        </w:rPr>
        <w:t> </w:t>
      </w:r>
      <w:r>
        <w:rPr>
          <w:spacing w:val="-3"/>
          <w:w w:val="105"/>
          <w:sz w:val="21"/>
        </w:rPr>
        <w:t>site</w:t>
      </w:r>
      <w:r>
        <w:rPr>
          <w:spacing w:val="-10"/>
          <w:w w:val="105"/>
          <w:sz w:val="21"/>
        </w:rPr>
        <w:t> </w:t>
      </w:r>
      <w:r>
        <w:rPr>
          <w:w w:val="105"/>
          <w:sz w:val="21"/>
        </w:rPr>
        <w:t>inspection</w:t>
      </w:r>
      <w:r>
        <w:rPr>
          <w:spacing w:val="-9"/>
          <w:w w:val="105"/>
          <w:sz w:val="21"/>
        </w:rPr>
        <w:t> </w:t>
      </w:r>
      <w:r>
        <w:rPr>
          <w:w w:val="105"/>
          <w:sz w:val="21"/>
        </w:rPr>
        <w:t>is</w:t>
      </w:r>
      <w:r>
        <w:rPr>
          <w:spacing w:val="-9"/>
          <w:w w:val="105"/>
          <w:sz w:val="21"/>
        </w:rPr>
        <w:t> </w:t>
      </w:r>
      <w:r>
        <w:rPr>
          <w:w w:val="105"/>
          <w:sz w:val="21"/>
        </w:rPr>
        <w:t>a</w:t>
      </w:r>
      <w:r>
        <w:rPr>
          <w:spacing w:val="-9"/>
          <w:w w:val="105"/>
          <w:sz w:val="21"/>
        </w:rPr>
        <w:t> </w:t>
      </w:r>
      <w:r>
        <w:rPr>
          <w:spacing w:val="-3"/>
          <w:w w:val="105"/>
          <w:sz w:val="21"/>
        </w:rPr>
        <w:t>‘critical’</w:t>
      </w:r>
      <w:r>
        <w:rPr>
          <w:spacing w:val="-10"/>
          <w:w w:val="105"/>
          <w:sz w:val="21"/>
        </w:rPr>
        <w:t> </w:t>
      </w:r>
      <w:r>
        <w:rPr>
          <w:w w:val="105"/>
          <w:sz w:val="21"/>
        </w:rPr>
        <w:t>part</w:t>
      </w:r>
      <w:r>
        <w:rPr>
          <w:spacing w:val="-9"/>
          <w:w w:val="105"/>
          <w:sz w:val="21"/>
        </w:rPr>
        <w:t> </w:t>
      </w:r>
      <w:r>
        <w:rPr>
          <w:w w:val="105"/>
          <w:sz w:val="21"/>
        </w:rPr>
        <w:t>of</w:t>
      </w:r>
      <w:r>
        <w:rPr>
          <w:spacing w:val="-9"/>
          <w:w w:val="105"/>
          <w:sz w:val="21"/>
        </w:rPr>
        <w:t> </w:t>
      </w:r>
      <w:r>
        <w:rPr>
          <w:w w:val="105"/>
          <w:sz w:val="21"/>
        </w:rPr>
        <w:t>the</w:t>
      </w:r>
      <w:r>
        <w:rPr>
          <w:spacing w:val="-9"/>
          <w:w w:val="105"/>
          <w:sz w:val="21"/>
        </w:rPr>
        <w:t> </w:t>
      </w:r>
      <w:r>
        <w:rPr>
          <w:w w:val="105"/>
          <w:sz w:val="21"/>
        </w:rPr>
        <w:t>tree</w:t>
      </w:r>
      <w:r>
        <w:rPr>
          <w:spacing w:val="-10"/>
          <w:w w:val="105"/>
          <w:sz w:val="21"/>
        </w:rPr>
        <w:t> </w:t>
      </w:r>
      <w:r>
        <w:rPr>
          <w:w w:val="105"/>
          <w:sz w:val="21"/>
        </w:rPr>
        <w:t>assessor’s</w:t>
      </w:r>
      <w:r>
        <w:rPr>
          <w:spacing w:val="-9"/>
          <w:w w:val="105"/>
          <w:sz w:val="21"/>
        </w:rPr>
        <w:t> </w:t>
      </w:r>
      <w:r>
        <w:rPr>
          <w:w w:val="105"/>
          <w:sz w:val="21"/>
        </w:rPr>
        <w:t>assessment process.</w:t>
      </w:r>
      <w:r>
        <w:rPr>
          <w:w w:val="105"/>
          <w:position w:val="7"/>
          <w:sz w:val="12"/>
        </w:rPr>
        <w:t>224</w:t>
      </w:r>
    </w:p>
    <w:p>
      <w:pPr>
        <w:pStyle w:val="ListParagraph"/>
        <w:numPr>
          <w:ilvl w:val="1"/>
          <w:numId w:val="114"/>
        </w:numPr>
        <w:tabs>
          <w:tab w:pos="2380" w:val="left" w:leader="none"/>
          <w:tab w:pos="2381" w:val="left" w:leader="none"/>
        </w:tabs>
        <w:spacing w:line="242" w:lineRule="auto" w:before="123" w:after="0"/>
        <w:ind w:left="2381" w:right="1641" w:hanging="794"/>
        <w:jc w:val="left"/>
        <w:rPr>
          <w:sz w:val="12"/>
        </w:rPr>
      </w:pPr>
      <w:r>
        <w:rPr>
          <w:w w:val="105"/>
          <w:sz w:val="21"/>
        </w:rPr>
        <w:t>The </w:t>
      </w:r>
      <w:r>
        <w:rPr>
          <w:spacing w:val="-3"/>
          <w:w w:val="105"/>
          <w:sz w:val="21"/>
        </w:rPr>
        <w:t>City </w:t>
      </w:r>
      <w:r>
        <w:rPr>
          <w:w w:val="105"/>
          <w:sz w:val="21"/>
        </w:rPr>
        <w:t>of </w:t>
      </w:r>
      <w:r>
        <w:rPr>
          <w:spacing w:val="-3"/>
          <w:w w:val="105"/>
          <w:sz w:val="21"/>
        </w:rPr>
        <w:t>Boroondara, </w:t>
      </w:r>
      <w:r>
        <w:rPr>
          <w:w w:val="105"/>
          <w:sz w:val="21"/>
        </w:rPr>
        <w:t>which also </w:t>
      </w:r>
      <w:r>
        <w:rPr>
          <w:spacing w:val="-3"/>
          <w:w w:val="105"/>
          <w:sz w:val="21"/>
        </w:rPr>
        <w:t>favoured </w:t>
      </w:r>
      <w:r>
        <w:rPr>
          <w:w w:val="105"/>
          <w:sz w:val="21"/>
        </w:rPr>
        <w:t>inspections of the tree on </w:t>
      </w:r>
      <w:r>
        <w:rPr>
          <w:spacing w:val="-4"/>
          <w:w w:val="105"/>
          <w:sz w:val="21"/>
        </w:rPr>
        <w:t>site, </w:t>
      </w:r>
      <w:r>
        <w:rPr>
          <w:spacing w:val="-3"/>
          <w:w w:val="105"/>
          <w:sz w:val="21"/>
        </w:rPr>
        <w:t>gave </w:t>
      </w:r>
      <w:r>
        <w:rPr>
          <w:w w:val="105"/>
          <w:sz w:val="21"/>
        </w:rPr>
        <w:t>the example of </w:t>
      </w:r>
      <w:r>
        <w:rPr>
          <w:spacing w:val="-8"/>
          <w:w w:val="105"/>
          <w:sz w:val="21"/>
        </w:rPr>
        <w:t>VCAT, </w:t>
      </w:r>
      <w:r>
        <w:rPr>
          <w:w w:val="105"/>
          <w:sz w:val="21"/>
        </w:rPr>
        <w:t>which conducts </w:t>
      </w:r>
      <w:r>
        <w:rPr>
          <w:spacing w:val="-3"/>
          <w:w w:val="105"/>
          <w:sz w:val="21"/>
        </w:rPr>
        <w:t>site </w:t>
      </w:r>
      <w:r>
        <w:rPr>
          <w:w w:val="105"/>
          <w:sz w:val="21"/>
        </w:rPr>
        <w:t>visits in </w:t>
      </w:r>
      <w:r>
        <w:rPr>
          <w:spacing w:val="-3"/>
          <w:w w:val="105"/>
          <w:sz w:val="21"/>
        </w:rPr>
        <w:t>planning disputes to determine </w:t>
      </w:r>
      <w:r>
        <w:rPr>
          <w:w w:val="105"/>
          <w:sz w:val="21"/>
        </w:rPr>
        <w:t>subjective issues </w:t>
      </w:r>
      <w:r>
        <w:rPr>
          <w:spacing w:val="-3"/>
          <w:w w:val="105"/>
          <w:sz w:val="21"/>
        </w:rPr>
        <w:t>such </w:t>
      </w:r>
      <w:r>
        <w:rPr>
          <w:w w:val="105"/>
          <w:sz w:val="21"/>
        </w:rPr>
        <w:t>as neighbourhood </w:t>
      </w:r>
      <w:r>
        <w:rPr>
          <w:spacing w:val="-4"/>
          <w:w w:val="105"/>
          <w:sz w:val="21"/>
        </w:rPr>
        <w:t>character. </w:t>
      </w:r>
      <w:r>
        <w:rPr>
          <w:spacing w:val="-3"/>
          <w:w w:val="105"/>
          <w:sz w:val="21"/>
        </w:rPr>
        <w:t>Boroondara </w:t>
      </w:r>
      <w:r>
        <w:rPr>
          <w:w w:val="105"/>
          <w:sz w:val="21"/>
        </w:rPr>
        <w:t>stated </w:t>
      </w:r>
      <w:r>
        <w:rPr>
          <w:spacing w:val="-3"/>
          <w:w w:val="105"/>
          <w:sz w:val="21"/>
        </w:rPr>
        <w:t>that </w:t>
      </w:r>
      <w:r>
        <w:rPr>
          <w:w w:val="105"/>
          <w:sz w:val="21"/>
        </w:rPr>
        <w:t>it believes these on-site visits </w:t>
      </w:r>
      <w:r>
        <w:rPr>
          <w:spacing w:val="-3"/>
          <w:w w:val="105"/>
          <w:sz w:val="21"/>
        </w:rPr>
        <w:t>have </w:t>
      </w:r>
      <w:r>
        <w:rPr>
          <w:w w:val="105"/>
          <w:sz w:val="21"/>
        </w:rPr>
        <w:t>been </w:t>
      </w:r>
      <w:r>
        <w:rPr>
          <w:spacing w:val="-3"/>
          <w:w w:val="105"/>
          <w:sz w:val="21"/>
        </w:rPr>
        <w:t>helpful </w:t>
      </w:r>
      <w:r>
        <w:rPr>
          <w:w w:val="105"/>
          <w:sz w:val="21"/>
        </w:rPr>
        <w:t>in this context. </w:t>
      </w:r>
      <w:r>
        <w:rPr>
          <w:spacing w:val="-3"/>
          <w:w w:val="105"/>
          <w:sz w:val="21"/>
        </w:rPr>
        <w:t>Boroondara </w:t>
      </w:r>
      <w:r>
        <w:rPr>
          <w:w w:val="105"/>
          <w:sz w:val="21"/>
        </w:rPr>
        <w:t>explained </w:t>
      </w:r>
      <w:r>
        <w:rPr>
          <w:spacing w:val="-3"/>
          <w:w w:val="105"/>
          <w:sz w:val="21"/>
        </w:rPr>
        <w:t>that, </w:t>
      </w:r>
      <w:r>
        <w:rPr>
          <w:w w:val="105"/>
          <w:sz w:val="21"/>
        </w:rPr>
        <w:t>in the context of a tree</w:t>
      </w:r>
      <w:r>
        <w:rPr>
          <w:spacing w:val="-10"/>
          <w:w w:val="105"/>
          <w:sz w:val="21"/>
        </w:rPr>
        <w:t> </w:t>
      </w:r>
      <w:r>
        <w:rPr>
          <w:spacing w:val="-3"/>
          <w:w w:val="105"/>
          <w:sz w:val="21"/>
        </w:rPr>
        <w:t>dispute,</w:t>
      </w:r>
      <w:r>
        <w:rPr>
          <w:spacing w:val="-9"/>
          <w:w w:val="105"/>
          <w:sz w:val="21"/>
        </w:rPr>
        <w:t> </w:t>
      </w:r>
      <w:r>
        <w:rPr>
          <w:spacing w:val="-3"/>
          <w:w w:val="105"/>
          <w:sz w:val="21"/>
        </w:rPr>
        <w:t>words</w:t>
      </w:r>
      <w:r>
        <w:rPr>
          <w:spacing w:val="-9"/>
          <w:w w:val="105"/>
          <w:sz w:val="21"/>
        </w:rPr>
        <w:t> </w:t>
      </w:r>
      <w:r>
        <w:rPr>
          <w:w w:val="105"/>
          <w:sz w:val="21"/>
        </w:rPr>
        <w:t>and</w:t>
      </w:r>
      <w:r>
        <w:rPr>
          <w:spacing w:val="-9"/>
          <w:w w:val="105"/>
          <w:sz w:val="21"/>
        </w:rPr>
        <w:t> </w:t>
      </w:r>
      <w:r>
        <w:rPr>
          <w:spacing w:val="-3"/>
          <w:w w:val="105"/>
          <w:sz w:val="21"/>
        </w:rPr>
        <w:t>photos</w:t>
      </w:r>
      <w:r>
        <w:rPr>
          <w:spacing w:val="-9"/>
          <w:w w:val="105"/>
          <w:sz w:val="21"/>
        </w:rPr>
        <w:t> </w:t>
      </w:r>
      <w:r>
        <w:rPr>
          <w:w w:val="105"/>
          <w:sz w:val="21"/>
        </w:rPr>
        <w:t>do</w:t>
      </w:r>
      <w:r>
        <w:rPr>
          <w:spacing w:val="-9"/>
          <w:w w:val="105"/>
          <w:sz w:val="21"/>
        </w:rPr>
        <w:t> </w:t>
      </w:r>
      <w:r>
        <w:rPr>
          <w:spacing w:val="-2"/>
          <w:w w:val="105"/>
          <w:sz w:val="21"/>
        </w:rPr>
        <w:t>not</w:t>
      </w:r>
      <w:r>
        <w:rPr>
          <w:spacing w:val="-9"/>
          <w:w w:val="105"/>
          <w:sz w:val="21"/>
        </w:rPr>
        <w:t> </w:t>
      </w:r>
      <w:r>
        <w:rPr>
          <w:w w:val="105"/>
          <w:sz w:val="21"/>
        </w:rPr>
        <w:t>necessarily</w:t>
      </w:r>
      <w:r>
        <w:rPr>
          <w:spacing w:val="-9"/>
          <w:w w:val="105"/>
          <w:sz w:val="21"/>
        </w:rPr>
        <w:t> </w:t>
      </w:r>
      <w:r>
        <w:rPr>
          <w:w w:val="105"/>
          <w:sz w:val="21"/>
        </w:rPr>
        <w:t>provide</w:t>
      </w:r>
      <w:r>
        <w:rPr>
          <w:spacing w:val="-9"/>
          <w:w w:val="105"/>
          <w:sz w:val="21"/>
        </w:rPr>
        <w:t> </w:t>
      </w:r>
      <w:r>
        <w:rPr>
          <w:w w:val="105"/>
          <w:sz w:val="21"/>
        </w:rPr>
        <w:t>the</w:t>
      </w:r>
      <w:r>
        <w:rPr>
          <w:spacing w:val="-9"/>
          <w:w w:val="105"/>
          <w:sz w:val="21"/>
        </w:rPr>
        <w:t> </w:t>
      </w:r>
      <w:r>
        <w:rPr>
          <w:spacing w:val="-3"/>
          <w:w w:val="105"/>
          <w:sz w:val="21"/>
        </w:rPr>
        <w:t>complete</w:t>
      </w:r>
      <w:r>
        <w:rPr>
          <w:spacing w:val="-9"/>
          <w:w w:val="105"/>
          <w:sz w:val="21"/>
        </w:rPr>
        <w:t> </w:t>
      </w:r>
      <w:r>
        <w:rPr>
          <w:spacing w:val="-3"/>
          <w:w w:val="105"/>
          <w:sz w:val="21"/>
        </w:rPr>
        <w:t>story,</w:t>
      </w:r>
      <w:r>
        <w:rPr>
          <w:spacing w:val="-10"/>
          <w:w w:val="105"/>
          <w:sz w:val="21"/>
        </w:rPr>
        <w:t> </w:t>
      </w:r>
      <w:r>
        <w:rPr>
          <w:w w:val="105"/>
          <w:sz w:val="21"/>
        </w:rPr>
        <w:t>and</w:t>
      </w:r>
      <w:r>
        <w:rPr>
          <w:spacing w:val="-9"/>
          <w:w w:val="105"/>
          <w:sz w:val="21"/>
        </w:rPr>
        <w:t> </w:t>
      </w:r>
      <w:r>
        <w:rPr>
          <w:w w:val="105"/>
          <w:sz w:val="21"/>
        </w:rPr>
        <w:t>on-site visits can lead </w:t>
      </w:r>
      <w:r>
        <w:rPr>
          <w:spacing w:val="-3"/>
          <w:w w:val="105"/>
          <w:sz w:val="21"/>
        </w:rPr>
        <w:t>to </w:t>
      </w:r>
      <w:r>
        <w:rPr>
          <w:w w:val="105"/>
          <w:sz w:val="21"/>
        </w:rPr>
        <w:t>more </w:t>
      </w:r>
      <w:r>
        <w:rPr>
          <w:spacing w:val="-3"/>
          <w:w w:val="105"/>
          <w:sz w:val="21"/>
        </w:rPr>
        <w:t>creative</w:t>
      </w:r>
      <w:r>
        <w:rPr>
          <w:spacing w:val="27"/>
          <w:w w:val="105"/>
          <w:sz w:val="21"/>
        </w:rPr>
        <w:t> </w:t>
      </w:r>
      <w:r>
        <w:rPr>
          <w:w w:val="105"/>
          <w:sz w:val="21"/>
        </w:rPr>
        <w:t>solutions.</w:t>
      </w:r>
      <w:r>
        <w:rPr>
          <w:w w:val="105"/>
          <w:position w:val="7"/>
          <w:sz w:val="12"/>
        </w:rPr>
        <w:t>225</w:t>
      </w:r>
    </w:p>
    <w:p>
      <w:pPr>
        <w:pStyle w:val="Heading7"/>
        <w:spacing w:before="157"/>
      </w:pPr>
      <w:r>
        <w:rPr>
          <w:w w:val="115"/>
        </w:rPr>
        <w:t>Other important features</w:t>
      </w:r>
    </w:p>
    <w:p>
      <w:pPr>
        <w:pStyle w:val="ListParagraph"/>
        <w:numPr>
          <w:ilvl w:val="1"/>
          <w:numId w:val="114"/>
        </w:numPr>
        <w:tabs>
          <w:tab w:pos="2381" w:val="left" w:leader="none"/>
          <w:tab w:pos="2382" w:val="left" w:leader="none"/>
        </w:tabs>
        <w:spacing w:line="240" w:lineRule="auto" w:before="143" w:after="0"/>
        <w:ind w:left="2381" w:right="0" w:hanging="794"/>
        <w:jc w:val="left"/>
        <w:rPr>
          <w:sz w:val="21"/>
        </w:rPr>
      </w:pPr>
      <w:r>
        <w:rPr>
          <w:sz w:val="21"/>
        </w:rPr>
        <w:t>Other</w:t>
      </w:r>
      <w:r>
        <w:rPr>
          <w:spacing w:val="9"/>
          <w:sz w:val="21"/>
        </w:rPr>
        <w:t> </w:t>
      </w:r>
      <w:r>
        <w:rPr>
          <w:sz w:val="21"/>
        </w:rPr>
        <w:t>characteristics</w:t>
      </w:r>
      <w:r>
        <w:rPr>
          <w:spacing w:val="10"/>
          <w:sz w:val="21"/>
        </w:rPr>
        <w:t> </w:t>
      </w:r>
      <w:r>
        <w:rPr>
          <w:spacing w:val="-3"/>
          <w:sz w:val="21"/>
        </w:rPr>
        <w:t>that</w:t>
      </w:r>
      <w:r>
        <w:rPr>
          <w:spacing w:val="10"/>
          <w:sz w:val="21"/>
        </w:rPr>
        <w:t> </w:t>
      </w:r>
      <w:r>
        <w:rPr>
          <w:sz w:val="21"/>
        </w:rPr>
        <w:t>community</w:t>
      </w:r>
      <w:r>
        <w:rPr>
          <w:spacing w:val="10"/>
          <w:sz w:val="21"/>
        </w:rPr>
        <w:t> </w:t>
      </w:r>
      <w:r>
        <w:rPr>
          <w:sz w:val="21"/>
        </w:rPr>
        <w:t>members</w:t>
      </w:r>
      <w:r>
        <w:rPr>
          <w:spacing w:val="10"/>
          <w:sz w:val="21"/>
        </w:rPr>
        <w:t> </w:t>
      </w:r>
      <w:r>
        <w:rPr>
          <w:spacing w:val="-3"/>
          <w:sz w:val="21"/>
        </w:rPr>
        <w:t>considered</w:t>
      </w:r>
      <w:r>
        <w:rPr>
          <w:spacing w:val="10"/>
          <w:sz w:val="21"/>
        </w:rPr>
        <w:t> </w:t>
      </w:r>
      <w:r>
        <w:rPr>
          <w:sz w:val="21"/>
        </w:rPr>
        <w:t>important</w:t>
      </w:r>
      <w:r>
        <w:rPr>
          <w:spacing w:val="10"/>
          <w:sz w:val="21"/>
        </w:rPr>
        <w:t> </w:t>
      </w:r>
      <w:r>
        <w:rPr>
          <w:sz w:val="21"/>
        </w:rPr>
        <w:t>included:</w:t>
      </w:r>
    </w:p>
    <w:p>
      <w:pPr>
        <w:pStyle w:val="ListParagraph"/>
        <w:numPr>
          <w:ilvl w:val="2"/>
          <w:numId w:val="114"/>
        </w:numPr>
        <w:tabs>
          <w:tab w:pos="2721" w:val="left" w:leader="none"/>
          <w:tab w:pos="2722" w:val="left" w:leader="none"/>
        </w:tabs>
        <w:spacing w:line="240" w:lineRule="auto" w:before="124" w:after="0"/>
        <w:ind w:left="2721" w:right="0" w:hanging="340"/>
        <w:jc w:val="left"/>
        <w:rPr>
          <w:sz w:val="12"/>
        </w:rPr>
      </w:pPr>
      <w:r>
        <w:rPr>
          <w:w w:val="105"/>
          <w:sz w:val="21"/>
        </w:rPr>
        <w:t>support </w:t>
      </w:r>
      <w:r>
        <w:rPr>
          <w:spacing w:val="-3"/>
          <w:w w:val="105"/>
          <w:sz w:val="21"/>
        </w:rPr>
        <w:t>for self-represented</w:t>
      </w:r>
      <w:r>
        <w:rPr>
          <w:spacing w:val="17"/>
          <w:w w:val="105"/>
          <w:sz w:val="21"/>
        </w:rPr>
        <w:t> </w:t>
      </w:r>
      <w:r>
        <w:rPr>
          <w:w w:val="105"/>
          <w:sz w:val="21"/>
        </w:rPr>
        <w:t>litigants</w:t>
      </w:r>
      <w:r>
        <w:rPr>
          <w:w w:val="105"/>
          <w:position w:val="7"/>
          <w:sz w:val="12"/>
        </w:rPr>
        <w:t>226</w:t>
      </w:r>
    </w:p>
    <w:p>
      <w:pPr>
        <w:pStyle w:val="ListParagraph"/>
        <w:numPr>
          <w:ilvl w:val="2"/>
          <w:numId w:val="114"/>
        </w:numPr>
        <w:tabs>
          <w:tab w:pos="2721" w:val="left" w:leader="none"/>
          <w:tab w:pos="2722" w:val="left" w:leader="none"/>
        </w:tabs>
        <w:spacing w:line="242" w:lineRule="auto" w:before="88" w:after="0"/>
        <w:ind w:left="2721" w:right="1717" w:hanging="340"/>
        <w:jc w:val="left"/>
        <w:rPr>
          <w:sz w:val="12"/>
        </w:rPr>
      </w:pPr>
      <w:r>
        <w:rPr>
          <w:w w:val="105"/>
          <w:sz w:val="21"/>
        </w:rPr>
        <w:t>conducting</w:t>
      </w:r>
      <w:r>
        <w:rPr>
          <w:spacing w:val="-5"/>
          <w:w w:val="105"/>
          <w:sz w:val="21"/>
        </w:rPr>
        <w:t> </w:t>
      </w:r>
      <w:r>
        <w:rPr>
          <w:spacing w:val="-3"/>
          <w:w w:val="105"/>
          <w:sz w:val="21"/>
        </w:rPr>
        <w:t>hearings</w:t>
      </w:r>
      <w:r>
        <w:rPr>
          <w:spacing w:val="-5"/>
          <w:w w:val="105"/>
          <w:sz w:val="21"/>
        </w:rPr>
        <w:t> </w:t>
      </w:r>
      <w:r>
        <w:rPr>
          <w:w w:val="105"/>
          <w:sz w:val="21"/>
        </w:rPr>
        <w:t>in</w:t>
      </w:r>
      <w:r>
        <w:rPr>
          <w:spacing w:val="-5"/>
          <w:w w:val="105"/>
          <w:sz w:val="21"/>
        </w:rPr>
        <w:t> </w:t>
      </w:r>
      <w:r>
        <w:rPr>
          <w:spacing w:val="-3"/>
          <w:w w:val="105"/>
          <w:sz w:val="21"/>
        </w:rPr>
        <w:t>accessible</w:t>
      </w:r>
      <w:r>
        <w:rPr>
          <w:spacing w:val="-5"/>
          <w:w w:val="105"/>
          <w:sz w:val="21"/>
        </w:rPr>
        <w:t> </w:t>
      </w:r>
      <w:r>
        <w:rPr>
          <w:w w:val="105"/>
          <w:sz w:val="21"/>
        </w:rPr>
        <w:t>locations</w:t>
      </w:r>
      <w:r>
        <w:rPr>
          <w:spacing w:val="-5"/>
          <w:w w:val="105"/>
          <w:sz w:val="21"/>
        </w:rPr>
        <w:t> </w:t>
      </w:r>
      <w:r>
        <w:rPr>
          <w:w w:val="105"/>
          <w:sz w:val="21"/>
        </w:rPr>
        <w:t>so</w:t>
      </w:r>
      <w:r>
        <w:rPr>
          <w:spacing w:val="-5"/>
          <w:w w:val="105"/>
          <w:sz w:val="21"/>
        </w:rPr>
        <w:t> </w:t>
      </w:r>
      <w:r>
        <w:rPr>
          <w:spacing w:val="-3"/>
          <w:w w:val="105"/>
          <w:sz w:val="21"/>
        </w:rPr>
        <w:t>that</w:t>
      </w:r>
      <w:r>
        <w:rPr>
          <w:spacing w:val="-5"/>
          <w:w w:val="105"/>
          <w:sz w:val="21"/>
        </w:rPr>
        <w:t> </w:t>
      </w:r>
      <w:r>
        <w:rPr>
          <w:w w:val="105"/>
          <w:sz w:val="21"/>
        </w:rPr>
        <w:t>parties</w:t>
      </w:r>
      <w:r>
        <w:rPr>
          <w:spacing w:val="-5"/>
          <w:w w:val="105"/>
          <w:sz w:val="21"/>
        </w:rPr>
        <w:t> </w:t>
      </w:r>
      <w:r>
        <w:rPr>
          <w:w w:val="105"/>
          <w:sz w:val="21"/>
        </w:rPr>
        <w:t>do</w:t>
      </w:r>
      <w:r>
        <w:rPr>
          <w:spacing w:val="-5"/>
          <w:w w:val="105"/>
          <w:sz w:val="21"/>
        </w:rPr>
        <w:t> </w:t>
      </w:r>
      <w:r>
        <w:rPr>
          <w:spacing w:val="-2"/>
          <w:w w:val="105"/>
          <w:sz w:val="21"/>
        </w:rPr>
        <w:t>not</w:t>
      </w:r>
      <w:r>
        <w:rPr>
          <w:spacing w:val="-5"/>
          <w:w w:val="105"/>
          <w:sz w:val="21"/>
        </w:rPr>
        <w:t> </w:t>
      </w:r>
      <w:r>
        <w:rPr>
          <w:spacing w:val="-3"/>
          <w:w w:val="105"/>
          <w:sz w:val="21"/>
        </w:rPr>
        <w:t>have</w:t>
      </w:r>
      <w:r>
        <w:rPr>
          <w:spacing w:val="-5"/>
          <w:w w:val="105"/>
          <w:sz w:val="21"/>
        </w:rPr>
        <w:t> </w:t>
      </w:r>
      <w:r>
        <w:rPr>
          <w:spacing w:val="-3"/>
          <w:w w:val="105"/>
          <w:sz w:val="21"/>
        </w:rPr>
        <w:t>to</w:t>
      </w:r>
      <w:r>
        <w:rPr>
          <w:spacing w:val="-5"/>
          <w:w w:val="105"/>
          <w:sz w:val="21"/>
        </w:rPr>
        <w:t> </w:t>
      </w:r>
      <w:r>
        <w:rPr>
          <w:spacing w:val="-3"/>
          <w:w w:val="105"/>
          <w:sz w:val="21"/>
        </w:rPr>
        <w:t>travel</w:t>
      </w:r>
      <w:r>
        <w:rPr>
          <w:spacing w:val="-5"/>
          <w:w w:val="105"/>
          <w:sz w:val="21"/>
        </w:rPr>
        <w:t> </w:t>
      </w:r>
      <w:r>
        <w:rPr>
          <w:spacing w:val="-3"/>
          <w:w w:val="105"/>
          <w:sz w:val="21"/>
        </w:rPr>
        <w:t>great </w:t>
      </w:r>
      <w:r>
        <w:rPr>
          <w:w w:val="105"/>
          <w:sz w:val="21"/>
        </w:rPr>
        <w:t>distances</w:t>
      </w:r>
      <w:r>
        <w:rPr>
          <w:w w:val="105"/>
          <w:position w:val="7"/>
          <w:sz w:val="12"/>
        </w:rPr>
        <w:t>227</w:t>
      </w:r>
    </w:p>
    <w:p>
      <w:pPr>
        <w:pStyle w:val="ListParagraph"/>
        <w:numPr>
          <w:ilvl w:val="2"/>
          <w:numId w:val="114"/>
        </w:numPr>
        <w:tabs>
          <w:tab w:pos="2721" w:val="left" w:leader="none"/>
          <w:tab w:pos="2722" w:val="left" w:leader="none"/>
        </w:tabs>
        <w:spacing w:line="240" w:lineRule="auto" w:before="87" w:after="0"/>
        <w:ind w:left="2721" w:right="0" w:hanging="340"/>
        <w:jc w:val="left"/>
        <w:rPr>
          <w:sz w:val="12"/>
        </w:rPr>
      </w:pPr>
      <w:r>
        <w:rPr>
          <w:spacing w:val="-3"/>
          <w:w w:val="105"/>
          <w:sz w:val="21"/>
        </w:rPr>
        <w:t>ensuring formal adjudication </w:t>
      </w:r>
      <w:r>
        <w:rPr>
          <w:w w:val="105"/>
          <w:sz w:val="21"/>
        </w:rPr>
        <w:t>is </w:t>
      </w:r>
      <w:r>
        <w:rPr>
          <w:spacing w:val="-2"/>
          <w:w w:val="105"/>
          <w:sz w:val="21"/>
        </w:rPr>
        <w:t>not </w:t>
      </w:r>
      <w:r>
        <w:rPr>
          <w:w w:val="105"/>
          <w:sz w:val="21"/>
        </w:rPr>
        <w:t>too</w:t>
      </w:r>
      <w:r>
        <w:rPr>
          <w:spacing w:val="41"/>
          <w:w w:val="105"/>
          <w:sz w:val="21"/>
        </w:rPr>
        <w:t> </w:t>
      </w:r>
      <w:r>
        <w:rPr>
          <w:w w:val="105"/>
          <w:sz w:val="21"/>
        </w:rPr>
        <w:t>costly.</w:t>
      </w:r>
      <w:r>
        <w:rPr>
          <w:w w:val="105"/>
          <w:position w:val="7"/>
          <w:sz w:val="12"/>
        </w:rPr>
        <w:t>228</w:t>
      </w:r>
    </w:p>
    <w:p>
      <w:pPr>
        <w:pStyle w:val="BodyText"/>
        <w:spacing w:before="8"/>
      </w:pPr>
    </w:p>
    <w:p>
      <w:pPr>
        <w:pStyle w:val="Heading4"/>
        <w:spacing w:line="211" w:lineRule="auto"/>
        <w:ind w:right="1636"/>
      </w:pPr>
      <w:r>
        <w:rPr>
          <w:color w:val="658464"/>
          <w:w w:val="110"/>
        </w:rPr>
        <w:t>The Commission’s conclusions—where should tree disputes be resolved?</w:t>
      </w:r>
    </w:p>
    <w:p>
      <w:pPr>
        <w:pStyle w:val="Heading5"/>
        <w:spacing w:before="175"/>
      </w:pPr>
      <w:r>
        <w:rPr>
          <w:w w:val="115"/>
        </w:rPr>
        <w:t>VCAT to determine tree disputes under the new Act</w:t>
      </w:r>
    </w:p>
    <w:p>
      <w:pPr>
        <w:pStyle w:val="ListParagraph"/>
        <w:numPr>
          <w:ilvl w:val="1"/>
          <w:numId w:val="114"/>
        </w:numPr>
        <w:tabs>
          <w:tab w:pos="2381" w:val="left" w:leader="none"/>
          <w:tab w:pos="2382" w:val="left" w:leader="none"/>
        </w:tabs>
        <w:spacing w:line="242" w:lineRule="auto" w:before="137" w:after="0"/>
        <w:ind w:left="2381" w:right="1666" w:hanging="794"/>
        <w:jc w:val="left"/>
        <w:rPr>
          <w:sz w:val="21"/>
        </w:rPr>
      </w:pPr>
      <w:r>
        <w:rPr>
          <w:w w:val="105"/>
          <w:sz w:val="21"/>
        </w:rPr>
        <w:t>The</w:t>
      </w:r>
      <w:r>
        <w:rPr>
          <w:spacing w:val="-8"/>
          <w:w w:val="105"/>
          <w:sz w:val="21"/>
        </w:rPr>
        <w:t> </w:t>
      </w:r>
      <w:r>
        <w:rPr>
          <w:spacing w:val="-3"/>
          <w:w w:val="105"/>
          <w:sz w:val="21"/>
        </w:rPr>
        <w:t>Magistrates’</w:t>
      </w:r>
      <w:r>
        <w:rPr>
          <w:spacing w:val="-7"/>
          <w:w w:val="105"/>
          <w:sz w:val="21"/>
        </w:rPr>
        <w:t> </w:t>
      </w:r>
      <w:r>
        <w:rPr>
          <w:spacing w:val="-3"/>
          <w:w w:val="105"/>
          <w:sz w:val="21"/>
        </w:rPr>
        <w:t>Court</w:t>
      </w:r>
      <w:r>
        <w:rPr>
          <w:spacing w:val="-7"/>
          <w:w w:val="105"/>
          <w:sz w:val="21"/>
        </w:rPr>
        <w:t> </w:t>
      </w:r>
      <w:r>
        <w:rPr>
          <w:spacing w:val="-2"/>
          <w:w w:val="105"/>
          <w:sz w:val="21"/>
        </w:rPr>
        <w:t>has</w:t>
      </w:r>
      <w:r>
        <w:rPr>
          <w:spacing w:val="-8"/>
          <w:w w:val="105"/>
          <w:sz w:val="21"/>
        </w:rPr>
        <w:t> </w:t>
      </w:r>
      <w:r>
        <w:rPr>
          <w:spacing w:val="-3"/>
          <w:w w:val="105"/>
          <w:sz w:val="21"/>
        </w:rPr>
        <w:t>many</w:t>
      </w:r>
      <w:r>
        <w:rPr>
          <w:spacing w:val="-7"/>
          <w:w w:val="105"/>
          <w:sz w:val="21"/>
        </w:rPr>
        <w:t> </w:t>
      </w:r>
      <w:r>
        <w:rPr>
          <w:w w:val="105"/>
          <w:sz w:val="21"/>
        </w:rPr>
        <w:t>characteristics</w:t>
      </w:r>
      <w:r>
        <w:rPr>
          <w:spacing w:val="-7"/>
          <w:w w:val="105"/>
          <w:sz w:val="21"/>
        </w:rPr>
        <w:t> </w:t>
      </w:r>
      <w:r>
        <w:rPr>
          <w:spacing w:val="-3"/>
          <w:w w:val="105"/>
          <w:sz w:val="21"/>
        </w:rPr>
        <w:t>that</w:t>
      </w:r>
      <w:r>
        <w:rPr>
          <w:spacing w:val="-7"/>
          <w:w w:val="105"/>
          <w:sz w:val="21"/>
        </w:rPr>
        <w:t> </w:t>
      </w:r>
      <w:r>
        <w:rPr>
          <w:w w:val="105"/>
          <w:sz w:val="21"/>
        </w:rPr>
        <w:t>would</w:t>
      </w:r>
      <w:r>
        <w:rPr>
          <w:spacing w:val="-8"/>
          <w:w w:val="105"/>
          <w:sz w:val="21"/>
        </w:rPr>
        <w:t> </w:t>
      </w:r>
      <w:r>
        <w:rPr>
          <w:spacing w:val="-4"/>
          <w:w w:val="105"/>
          <w:sz w:val="21"/>
        </w:rPr>
        <w:t>make</w:t>
      </w:r>
      <w:r>
        <w:rPr>
          <w:spacing w:val="-7"/>
          <w:w w:val="105"/>
          <w:sz w:val="21"/>
        </w:rPr>
        <w:t> </w:t>
      </w:r>
      <w:r>
        <w:rPr>
          <w:w w:val="105"/>
          <w:sz w:val="21"/>
        </w:rPr>
        <w:t>it</w:t>
      </w:r>
      <w:r>
        <w:rPr>
          <w:spacing w:val="-7"/>
          <w:w w:val="105"/>
          <w:sz w:val="21"/>
        </w:rPr>
        <w:t> </w:t>
      </w:r>
      <w:r>
        <w:rPr>
          <w:w w:val="105"/>
          <w:sz w:val="21"/>
        </w:rPr>
        <w:t>suitable</w:t>
      </w:r>
      <w:r>
        <w:rPr>
          <w:spacing w:val="-7"/>
          <w:w w:val="105"/>
          <w:sz w:val="21"/>
        </w:rPr>
        <w:t> </w:t>
      </w:r>
      <w:r>
        <w:rPr>
          <w:spacing w:val="-3"/>
          <w:w w:val="105"/>
          <w:sz w:val="21"/>
        </w:rPr>
        <w:t>to</w:t>
      </w:r>
      <w:r>
        <w:rPr>
          <w:spacing w:val="-8"/>
          <w:w w:val="105"/>
          <w:sz w:val="21"/>
        </w:rPr>
        <w:t> </w:t>
      </w:r>
      <w:r>
        <w:rPr>
          <w:spacing w:val="-3"/>
          <w:w w:val="105"/>
          <w:sz w:val="21"/>
        </w:rPr>
        <w:t>administer </w:t>
      </w:r>
      <w:r>
        <w:rPr>
          <w:w w:val="105"/>
          <w:sz w:val="21"/>
        </w:rPr>
        <w:t>the new Act. </w:t>
      </w:r>
      <w:r>
        <w:rPr>
          <w:spacing w:val="-4"/>
          <w:w w:val="105"/>
          <w:sz w:val="21"/>
        </w:rPr>
        <w:t>However,  </w:t>
      </w:r>
      <w:r>
        <w:rPr>
          <w:w w:val="105"/>
          <w:sz w:val="21"/>
        </w:rPr>
        <w:t>on </w:t>
      </w:r>
      <w:r>
        <w:rPr>
          <w:spacing w:val="-3"/>
          <w:w w:val="105"/>
          <w:sz w:val="21"/>
        </w:rPr>
        <w:t>balance, </w:t>
      </w:r>
      <w:r>
        <w:rPr>
          <w:w w:val="105"/>
          <w:sz w:val="21"/>
        </w:rPr>
        <w:t>the </w:t>
      </w:r>
      <w:r>
        <w:rPr>
          <w:spacing w:val="-3"/>
          <w:w w:val="105"/>
          <w:sz w:val="21"/>
        </w:rPr>
        <w:t>Commission concludes that </w:t>
      </w:r>
      <w:r>
        <w:rPr>
          <w:spacing w:val="-5"/>
          <w:w w:val="105"/>
          <w:sz w:val="21"/>
        </w:rPr>
        <w:t>VCAT  </w:t>
      </w:r>
      <w:r>
        <w:rPr>
          <w:w w:val="105"/>
          <w:sz w:val="21"/>
        </w:rPr>
        <w:t>is better  </w:t>
      </w:r>
      <w:r>
        <w:rPr>
          <w:spacing w:val="-2"/>
          <w:w w:val="105"/>
          <w:sz w:val="21"/>
        </w:rPr>
        <w:t>placed </w:t>
      </w:r>
      <w:r>
        <w:rPr>
          <w:spacing w:val="-3"/>
          <w:w w:val="105"/>
          <w:sz w:val="21"/>
        </w:rPr>
        <w:t>to administer </w:t>
      </w:r>
      <w:r>
        <w:rPr>
          <w:w w:val="105"/>
          <w:sz w:val="21"/>
        </w:rPr>
        <w:t>the new Act and </w:t>
      </w:r>
      <w:r>
        <w:rPr>
          <w:spacing w:val="-3"/>
          <w:w w:val="105"/>
          <w:sz w:val="21"/>
        </w:rPr>
        <w:t>to </w:t>
      </w:r>
      <w:r>
        <w:rPr>
          <w:w w:val="105"/>
          <w:sz w:val="21"/>
        </w:rPr>
        <w:t>resolve these community-based </w:t>
      </w:r>
      <w:r>
        <w:rPr>
          <w:spacing w:val="-3"/>
          <w:w w:val="105"/>
          <w:sz w:val="21"/>
        </w:rPr>
        <w:t>disputes. </w:t>
      </w:r>
      <w:r>
        <w:rPr>
          <w:w w:val="105"/>
          <w:sz w:val="21"/>
        </w:rPr>
        <w:t>This </w:t>
      </w:r>
      <w:r>
        <w:rPr>
          <w:spacing w:val="-3"/>
          <w:w w:val="105"/>
          <w:sz w:val="21"/>
        </w:rPr>
        <w:t>conclusion aligns </w:t>
      </w:r>
      <w:r>
        <w:rPr>
          <w:w w:val="105"/>
          <w:sz w:val="21"/>
        </w:rPr>
        <w:t>with community</w:t>
      </w:r>
      <w:r>
        <w:rPr>
          <w:spacing w:val="23"/>
          <w:w w:val="105"/>
          <w:sz w:val="21"/>
        </w:rPr>
        <w:t> </w:t>
      </w:r>
      <w:r>
        <w:rPr>
          <w:w w:val="105"/>
          <w:sz w:val="21"/>
        </w:rPr>
        <w:t>responses.</w:t>
      </w:r>
    </w:p>
    <w:p>
      <w:pPr>
        <w:pStyle w:val="ListParagraph"/>
        <w:numPr>
          <w:ilvl w:val="1"/>
          <w:numId w:val="114"/>
        </w:numPr>
        <w:tabs>
          <w:tab w:pos="2380" w:val="left" w:leader="none"/>
          <w:tab w:pos="2381" w:val="left" w:leader="none"/>
        </w:tabs>
        <w:spacing w:line="242" w:lineRule="auto" w:before="124" w:after="0"/>
        <w:ind w:left="2381" w:right="1976" w:hanging="794"/>
        <w:jc w:val="left"/>
        <w:rPr>
          <w:sz w:val="21"/>
        </w:rPr>
      </w:pPr>
      <w:r>
        <w:rPr>
          <w:spacing w:val="-5"/>
          <w:sz w:val="21"/>
        </w:rPr>
        <w:t>Tree </w:t>
      </w:r>
      <w:r>
        <w:rPr>
          <w:spacing w:val="-3"/>
          <w:sz w:val="21"/>
        </w:rPr>
        <w:t>disputes are generally small </w:t>
      </w:r>
      <w:r>
        <w:rPr>
          <w:sz w:val="21"/>
        </w:rPr>
        <w:t>matters between two parties </w:t>
      </w:r>
      <w:r>
        <w:rPr>
          <w:spacing w:val="-3"/>
          <w:sz w:val="21"/>
        </w:rPr>
        <w:t>that involve factual interpretation, </w:t>
      </w:r>
      <w:r>
        <w:rPr>
          <w:spacing w:val="-2"/>
          <w:sz w:val="21"/>
        </w:rPr>
        <w:t>not </w:t>
      </w:r>
      <w:r>
        <w:rPr>
          <w:sz w:val="21"/>
        </w:rPr>
        <w:t>complex legal </w:t>
      </w:r>
      <w:r>
        <w:rPr>
          <w:spacing w:val="-3"/>
          <w:sz w:val="21"/>
        </w:rPr>
        <w:t>analysis. </w:t>
      </w:r>
      <w:r>
        <w:rPr>
          <w:sz w:val="21"/>
        </w:rPr>
        <w:t>The new Act is </w:t>
      </w:r>
      <w:r>
        <w:rPr>
          <w:spacing w:val="-3"/>
          <w:sz w:val="21"/>
        </w:rPr>
        <w:t>intended to </w:t>
      </w:r>
      <w:r>
        <w:rPr>
          <w:sz w:val="21"/>
        </w:rPr>
        <w:t>help parties </w:t>
      </w:r>
      <w:r>
        <w:rPr>
          <w:spacing w:val="-3"/>
          <w:sz w:val="21"/>
        </w:rPr>
        <w:t>to reach </w:t>
      </w:r>
      <w:r>
        <w:rPr>
          <w:sz w:val="21"/>
        </w:rPr>
        <w:t>a practical and low-cost solution </w:t>
      </w:r>
      <w:r>
        <w:rPr>
          <w:spacing w:val="-3"/>
          <w:sz w:val="21"/>
        </w:rPr>
        <w:t>to </w:t>
      </w:r>
      <w:r>
        <w:rPr>
          <w:sz w:val="21"/>
        </w:rPr>
        <w:t>their </w:t>
      </w:r>
      <w:r>
        <w:rPr>
          <w:spacing w:val="-3"/>
          <w:sz w:val="21"/>
        </w:rPr>
        <w:t>dispute </w:t>
      </w:r>
      <w:r>
        <w:rPr>
          <w:sz w:val="21"/>
        </w:rPr>
        <w:t>so </w:t>
      </w:r>
      <w:r>
        <w:rPr>
          <w:spacing w:val="-3"/>
          <w:sz w:val="21"/>
        </w:rPr>
        <w:t>that </w:t>
      </w:r>
      <w:r>
        <w:rPr>
          <w:sz w:val="21"/>
        </w:rPr>
        <w:t>they can carry on </w:t>
      </w:r>
      <w:r>
        <w:rPr>
          <w:spacing w:val="-3"/>
          <w:sz w:val="21"/>
        </w:rPr>
        <w:t>living </w:t>
      </w:r>
      <w:r>
        <w:rPr>
          <w:sz w:val="21"/>
        </w:rPr>
        <w:t>close </w:t>
      </w:r>
      <w:r>
        <w:rPr>
          <w:spacing w:val="-3"/>
          <w:sz w:val="21"/>
        </w:rPr>
        <w:t>to </w:t>
      </w:r>
      <w:r>
        <w:rPr>
          <w:sz w:val="21"/>
        </w:rPr>
        <w:t>each</w:t>
      </w:r>
      <w:r>
        <w:rPr>
          <w:spacing w:val="27"/>
          <w:sz w:val="21"/>
        </w:rPr>
        <w:t> </w:t>
      </w:r>
      <w:r>
        <w:rPr>
          <w:spacing w:val="-5"/>
          <w:sz w:val="21"/>
        </w:rPr>
        <w:t>other.</w:t>
      </w:r>
    </w:p>
    <w:p>
      <w:pPr>
        <w:pStyle w:val="ListParagraph"/>
        <w:numPr>
          <w:ilvl w:val="1"/>
          <w:numId w:val="114"/>
        </w:numPr>
        <w:tabs>
          <w:tab w:pos="2380" w:val="left" w:leader="none"/>
          <w:tab w:pos="2381" w:val="left" w:leader="none"/>
        </w:tabs>
        <w:spacing w:line="242" w:lineRule="auto" w:before="125" w:after="0"/>
        <w:ind w:left="2380" w:right="1652" w:hanging="793"/>
        <w:jc w:val="left"/>
        <w:rPr>
          <w:sz w:val="21"/>
        </w:rPr>
      </w:pPr>
      <w:r>
        <w:rPr>
          <w:sz w:val="21"/>
        </w:rPr>
        <w:t>The </w:t>
      </w:r>
      <w:r>
        <w:rPr>
          <w:spacing w:val="-3"/>
          <w:sz w:val="21"/>
        </w:rPr>
        <w:t>Commission </w:t>
      </w:r>
      <w:r>
        <w:rPr>
          <w:sz w:val="21"/>
        </w:rPr>
        <w:t>is impressed by the </w:t>
      </w:r>
      <w:r>
        <w:rPr>
          <w:spacing w:val="-3"/>
          <w:sz w:val="21"/>
        </w:rPr>
        <w:t>success </w:t>
      </w:r>
      <w:r>
        <w:rPr>
          <w:sz w:val="21"/>
        </w:rPr>
        <w:t>of interstate schemes and observes </w:t>
      </w:r>
      <w:r>
        <w:rPr>
          <w:spacing w:val="-3"/>
          <w:sz w:val="21"/>
        </w:rPr>
        <w:t>that </w:t>
      </w:r>
      <w:r>
        <w:rPr>
          <w:sz w:val="21"/>
        </w:rPr>
        <w:t>they do </w:t>
      </w:r>
      <w:r>
        <w:rPr>
          <w:spacing w:val="-2"/>
          <w:sz w:val="21"/>
        </w:rPr>
        <w:t>not demand  </w:t>
      </w:r>
      <w:r>
        <w:rPr>
          <w:spacing w:val="-3"/>
          <w:sz w:val="21"/>
        </w:rPr>
        <w:t>significant  resources.  </w:t>
      </w:r>
      <w:r>
        <w:rPr>
          <w:sz w:val="21"/>
        </w:rPr>
        <w:t>In these </w:t>
      </w:r>
      <w:r>
        <w:rPr>
          <w:spacing w:val="-3"/>
          <w:sz w:val="21"/>
        </w:rPr>
        <w:t>circumstances</w:t>
      </w:r>
      <w:r>
        <w:rPr>
          <w:spacing w:val="41"/>
          <w:sz w:val="21"/>
        </w:rPr>
        <w:t> </w:t>
      </w:r>
      <w:r>
        <w:rPr>
          <w:sz w:val="21"/>
        </w:rPr>
        <w:t>it is unnecessary </w:t>
      </w:r>
      <w:r>
        <w:rPr>
          <w:spacing w:val="-3"/>
          <w:sz w:val="21"/>
        </w:rPr>
        <w:t>to  </w:t>
      </w:r>
      <w:r>
        <w:rPr>
          <w:sz w:val="21"/>
        </w:rPr>
        <w:t>burden the courts with these</w:t>
      </w:r>
      <w:r>
        <w:rPr>
          <w:spacing w:val="33"/>
          <w:sz w:val="21"/>
        </w:rPr>
        <w:t> </w:t>
      </w:r>
      <w:r>
        <w:rPr>
          <w:sz w:val="21"/>
        </w:rPr>
        <w:t>cases.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r>
        <w:rPr/>
        <w:pict>
          <v:line style="position:absolute;mso-position-horizontal-relative:page;mso-position-vertical-relative:paragraph;z-index:6848;mso-wrap-distance-left:0;mso-wrap-distance-right:0" from="79.370003pt,12.571457pt" to="515.905003pt,12.57145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spacing w:before="11"/>
        <w:rPr>
          <w:sz w:val="32"/>
        </w:rPr>
      </w:pPr>
    </w:p>
    <w:p>
      <w:pPr>
        <w:spacing w:before="0"/>
        <w:ind w:left="720" w:right="0" w:firstLine="0"/>
        <w:jc w:val="left"/>
        <w:rPr>
          <w:b/>
          <w:sz w:val="24"/>
        </w:rPr>
      </w:pPr>
      <w:r>
        <w:rPr>
          <w:b/>
          <w:color w:val="658464"/>
          <w:spacing w:val="-4"/>
          <w:w w:val="110"/>
          <w:sz w:val="24"/>
        </w:rPr>
        <w:t>152</w:t>
      </w:r>
    </w:p>
    <w:p>
      <w:pPr>
        <w:pStyle w:val="ListParagraph"/>
        <w:numPr>
          <w:ilvl w:val="0"/>
          <w:numId w:val="120"/>
        </w:numPr>
        <w:tabs>
          <w:tab w:pos="1231" w:val="left" w:leader="none"/>
          <w:tab w:pos="1232" w:val="left" w:leader="none"/>
        </w:tabs>
        <w:spacing w:line="240" w:lineRule="auto" w:before="48" w:after="0"/>
        <w:ind w:left="1231" w:right="0" w:hanging="793"/>
        <w:jc w:val="left"/>
        <w:rPr>
          <w:sz w:val="13"/>
        </w:rPr>
      </w:pPr>
      <w:r>
        <w:rPr>
          <w:w w:val="108"/>
          <w:sz w:val="13"/>
        </w:rPr>
        <w:br w:type="column"/>
      </w:r>
      <w:r>
        <w:rPr>
          <w:w w:val="105"/>
          <w:sz w:val="13"/>
        </w:rPr>
        <w:t>Submission 29 (David</w:t>
      </w:r>
      <w:r>
        <w:rPr>
          <w:spacing w:val="13"/>
          <w:w w:val="105"/>
          <w:sz w:val="13"/>
        </w:rPr>
        <w:t> </w:t>
      </w:r>
      <w:r>
        <w:rPr>
          <w:w w:val="105"/>
          <w:sz w:val="13"/>
        </w:rPr>
        <w:t>Galwey).</w:t>
      </w:r>
    </w:p>
    <w:p>
      <w:pPr>
        <w:pStyle w:val="ListParagraph"/>
        <w:numPr>
          <w:ilvl w:val="0"/>
          <w:numId w:val="120"/>
        </w:numPr>
        <w:tabs>
          <w:tab w:pos="1231" w:val="left" w:leader="none"/>
          <w:tab w:pos="1232" w:val="left" w:leader="none"/>
        </w:tabs>
        <w:spacing w:line="240" w:lineRule="auto" w:before="1" w:after="0"/>
        <w:ind w:left="1231" w:right="0" w:hanging="793"/>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120"/>
        </w:numPr>
        <w:tabs>
          <w:tab w:pos="1231" w:val="left" w:leader="none"/>
          <w:tab w:pos="1232" w:val="left" w:leader="none"/>
        </w:tabs>
        <w:spacing w:line="240" w:lineRule="auto" w:before="2" w:after="0"/>
        <w:ind w:left="1231" w:right="0" w:hanging="793"/>
        <w:jc w:val="left"/>
        <w:rPr>
          <w:sz w:val="13"/>
        </w:rPr>
      </w:pPr>
      <w:r>
        <w:rPr>
          <w:w w:val="105"/>
          <w:sz w:val="13"/>
        </w:rPr>
        <w:t>Consultation 8 (City of</w:t>
      </w:r>
      <w:r>
        <w:rPr>
          <w:spacing w:val="18"/>
          <w:w w:val="105"/>
          <w:sz w:val="13"/>
        </w:rPr>
        <w:t> </w:t>
      </w:r>
      <w:r>
        <w:rPr>
          <w:w w:val="105"/>
          <w:sz w:val="13"/>
        </w:rPr>
        <w:t>Boroondara).</w:t>
      </w:r>
    </w:p>
    <w:p>
      <w:pPr>
        <w:pStyle w:val="ListParagraph"/>
        <w:numPr>
          <w:ilvl w:val="0"/>
          <w:numId w:val="120"/>
        </w:numPr>
        <w:tabs>
          <w:tab w:pos="1231" w:val="left" w:leader="none"/>
          <w:tab w:pos="1232" w:val="left" w:leader="none"/>
        </w:tabs>
        <w:spacing w:line="240" w:lineRule="auto" w:before="1" w:after="0"/>
        <w:ind w:left="1231" w:right="0" w:hanging="793"/>
        <w:jc w:val="left"/>
        <w:rPr>
          <w:sz w:val="13"/>
        </w:rPr>
      </w:pPr>
      <w:r>
        <w:rPr>
          <w:w w:val="105"/>
          <w:sz w:val="13"/>
        </w:rPr>
        <w:t>Submission 31 </w:t>
      </w:r>
      <w:r>
        <w:rPr>
          <w:spacing w:val="2"/>
          <w:w w:val="105"/>
          <w:sz w:val="13"/>
        </w:rPr>
        <w:t>(Barwon </w:t>
      </w:r>
      <w:r>
        <w:rPr>
          <w:w w:val="105"/>
          <w:sz w:val="13"/>
        </w:rPr>
        <w:t>Community Legal</w:t>
      </w:r>
      <w:r>
        <w:rPr>
          <w:spacing w:val="21"/>
          <w:w w:val="105"/>
          <w:sz w:val="13"/>
        </w:rPr>
        <w:t> </w:t>
      </w:r>
      <w:r>
        <w:rPr>
          <w:spacing w:val="2"/>
          <w:w w:val="105"/>
          <w:sz w:val="13"/>
        </w:rPr>
        <w:t>Service).</w:t>
      </w:r>
    </w:p>
    <w:p>
      <w:pPr>
        <w:pStyle w:val="ListParagraph"/>
        <w:numPr>
          <w:ilvl w:val="0"/>
          <w:numId w:val="120"/>
        </w:numPr>
        <w:tabs>
          <w:tab w:pos="1231" w:val="left" w:leader="none"/>
          <w:tab w:pos="1232" w:val="left" w:leader="none"/>
        </w:tabs>
        <w:spacing w:line="240" w:lineRule="auto" w:before="1" w:after="0"/>
        <w:ind w:left="1231" w:right="0" w:hanging="793"/>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120"/>
        </w:numPr>
        <w:tabs>
          <w:tab w:pos="1231" w:val="left" w:leader="none"/>
          <w:tab w:pos="1232" w:val="left" w:leader="none"/>
        </w:tabs>
        <w:spacing w:line="240" w:lineRule="auto" w:before="2" w:after="0"/>
        <w:ind w:left="1231" w:right="0" w:hanging="793"/>
        <w:jc w:val="left"/>
        <w:rPr>
          <w:sz w:val="13"/>
        </w:rPr>
      </w:pPr>
      <w:r>
        <w:rPr>
          <w:sz w:val="13"/>
        </w:rPr>
        <w:t>Ibid.</w:t>
      </w:r>
    </w:p>
    <w:p>
      <w:pPr>
        <w:spacing w:after="0" w:line="240" w:lineRule="auto"/>
        <w:jc w:val="left"/>
        <w:rPr>
          <w:sz w:val="13"/>
        </w:rPr>
        <w:sectPr>
          <w:type w:val="continuous"/>
          <w:pgSz w:w="11910" w:h="16840"/>
          <w:pgMar w:top="300" w:bottom="280" w:left="0" w:right="0"/>
          <w:cols w:num="2" w:equalWidth="0">
            <w:col w:w="1110" w:space="40"/>
            <w:col w:w="10760"/>
          </w:cols>
        </w:sectPr>
      </w:pPr>
    </w:p>
    <w:p>
      <w:pPr>
        <w:pStyle w:val="BodyText"/>
        <w:rPr>
          <w:sz w:val="20"/>
        </w:rPr>
      </w:pPr>
    </w:p>
    <w:p>
      <w:pPr>
        <w:pStyle w:val="BodyText"/>
        <w:spacing w:before="9"/>
        <w:rPr>
          <w:sz w:val="18"/>
        </w:rPr>
      </w:pPr>
    </w:p>
    <w:p>
      <w:pPr>
        <w:pStyle w:val="ListParagraph"/>
        <w:numPr>
          <w:ilvl w:val="1"/>
          <w:numId w:val="114"/>
        </w:numPr>
        <w:tabs>
          <w:tab w:pos="2381" w:val="left" w:leader="none"/>
          <w:tab w:pos="2382" w:val="left" w:leader="none"/>
        </w:tabs>
        <w:spacing w:line="242" w:lineRule="auto" w:before="91" w:after="0"/>
        <w:ind w:left="2381" w:right="1862" w:hanging="794"/>
        <w:jc w:val="left"/>
        <w:rPr>
          <w:sz w:val="21"/>
        </w:rPr>
      </w:pPr>
      <w:r>
        <w:rPr>
          <w:w w:val="105"/>
          <w:sz w:val="21"/>
        </w:rPr>
        <w:t>Victoria does </w:t>
      </w:r>
      <w:r>
        <w:rPr>
          <w:spacing w:val="-2"/>
          <w:w w:val="105"/>
          <w:sz w:val="21"/>
        </w:rPr>
        <w:t>not </w:t>
      </w:r>
      <w:r>
        <w:rPr>
          <w:spacing w:val="-3"/>
          <w:w w:val="105"/>
          <w:sz w:val="21"/>
        </w:rPr>
        <w:t>have </w:t>
      </w:r>
      <w:r>
        <w:rPr>
          <w:w w:val="105"/>
          <w:sz w:val="21"/>
        </w:rPr>
        <w:t>the benefit of a specialised Land and </w:t>
      </w:r>
      <w:r>
        <w:rPr>
          <w:spacing w:val="-3"/>
          <w:w w:val="105"/>
          <w:sz w:val="21"/>
        </w:rPr>
        <w:t>Environment Court </w:t>
      </w:r>
      <w:r>
        <w:rPr>
          <w:w w:val="105"/>
          <w:sz w:val="21"/>
        </w:rPr>
        <w:t>as exists</w:t>
      </w:r>
      <w:r>
        <w:rPr>
          <w:spacing w:val="-5"/>
          <w:w w:val="105"/>
          <w:sz w:val="21"/>
        </w:rPr>
        <w:t> </w:t>
      </w:r>
      <w:r>
        <w:rPr>
          <w:w w:val="105"/>
          <w:sz w:val="21"/>
        </w:rPr>
        <w:t>in</w:t>
      </w:r>
      <w:r>
        <w:rPr>
          <w:spacing w:val="-4"/>
          <w:w w:val="105"/>
          <w:sz w:val="21"/>
        </w:rPr>
        <w:t> </w:t>
      </w:r>
      <w:r>
        <w:rPr>
          <w:w w:val="105"/>
          <w:sz w:val="21"/>
        </w:rPr>
        <w:t>New</w:t>
      </w:r>
      <w:r>
        <w:rPr>
          <w:spacing w:val="-4"/>
          <w:w w:val="105"/>
          <w:sz w:val="21"/>
        </w:rPr>
        <w:t> </w:t>
      </w:r>
      <w:r>
        <w:rPr>
          <w:w w:val="105"/>
          <w:sz w:val="21"/>
        </w:rPr>
        <w:t>South</w:t>
      </w:r>
      <w:r>
        <w:rPr>
          <w:spacing w:val="-4"/>
          <w:w w:val="105"/>
          <w:sz w:val="21"/>
        </w:rPr>
        <w:t> </w:t>
      </w:r>
      <w:r>
        <w:rPr>
          <w:spacing w:val="-3"/>
          <w:w w:val="105"/>
          <w:sz w:val="21"/>
        </w:rPr>
        <w:t>Wales.</w:t>
      </w:r>
      <w:r>
        <w:rPr>
          <w:spacing w:val="-4"/>
          <w:w w:val="105"/>
          <w:sz w:val="21"/>
        </w:rPr>
        <w:t> </w:t>
      </w:r>
      <w:r>
        <w:rPr>
          <w:spacing w:val="-3"/>
          <w:w w:val="105"/>
          <w:sz w:val="21"/>
        </w:rPr>
        <w:t>Many</w:t>
      </w:r>
      <w:r>
        <w:rPr>
          <w:spacing w:val="-4"/>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practical</w:t>
      </w:r>
      <w:r>
        <w:rPr>
          <w:spacing w:val="-4"/>
          <w:w w:val="105"/>
          <w:sz w:val="21"/>
        </w:rPr>
        <w:t> </w:t>
      </w:r>
      <w:r>
        <w:rPr>
          <w:spacing w:val="-3"/>
          <w:w w:val="105"/>
          <w:sz w:val="21"/>
        </w:rPr>
        <w:t>features</w:t>
      </w:r>
      <w:r>
        <w:rPr>
          <w:spacing w:val="-4"/>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New</w:t>
      </w:r>
      <w:r>
        <w:rPr>
          <w:spacing w:val="-4"/>
          <w:w w:val="105"/>
          <w:sz w:val="21"/>
        </w:rPr>
        <w:t> </w:t>
      </w:r>
      <w:r>
        <w:rPr>
          <w:w w:val="105"/>
          <w:sz w:val="21"/>
        </w:rPr>
        <w:t>South</w:t>
      </w:r>
      <w:r>
        <w:rPr>
          <w:spacing w:val="-4"/>
          <w:w w:val="105"/>
          <w:sz w:val="21"/>
        </w:rPr>
        <w:t> </w:t>
      </w:r>
      <w:r>
        <w:rPr>
          <w:spacing w:val="-3"/>
          <w:w w:val="105"/>
          <w:sz w:val="21"/>
        </w:rPr>
        <w:t>Wales</w:t>
      </w:r>
      <w:r>
        <w:rPr>
          <w:spacing w:val="-4"/>
          <w:w w:val="105"/>
          <w:sz w:val="21"/>
        </w:rPr>
        <w:t> </w:t>
      </w:r>
      <w:r>
        <w:rPr>
          <w:w w:val="105"/>
          <w:sz w:val="21"/>
        </w:rPr>
        <w:t>and</w:t>
      </w:r>
    </w:p>
    <w:p>
      <w:pPr>
        <w:pStyle w:val="BodyText"/>
        <w:spacing w:line="242" w:lineRule="auto" w:before="3"/>
        <w:ind w:left="2381" w:right="1558"/>
      </w:pPr>
      <w:r>
        <w:rPr>
          <w:w w:val="105"/>
        </w:rPr>
        <w:t>Queensland schemes could be adapted to work well in VCAT because VCAT has the most flexibility to enable this to occur.</w:t>
      </w:r>
    </w:p>
    <w:p>
      <w:pPr>
        <w:pStyle w:val="ListParagraph"/>
        <w:numPr>
          <w:ilvl w:val="1"/>
          <w:numId w:val="114"/>
        </w:numPr>
        <w:tabs>
          <w:tab w:pos="2380" w:val="left" w:leader="none"/>
          <w:tab w:pos="2381" w:val="left" w:leader="none"/>
        </w:tabs>
        <w:spacing w:line="240" w:lineRule="auto" w:before="122" w:after="0"/>
        <w:ind w:left="2381" w:right="0" w:hanging="794"/>
        <w:jc w:val="left"/>
        <w:rPr>
          <w:sz w:val="21"/>
        </w:rPr>
      </w:pPr>
      <w:r>
        <w:rPr>
          <w:spacing w:val="-3"/>
          <w:sz w:val="21"/>
        </w:rPr>
        <w:t>Disputes</w:t>
      </w:r>
      <w:r>
        <w:rPr>
          <w:spacing w:val="13"/>
          <w:sz w:val="21"/>
        </w:rPr>
        <w:t> </w:t>
      </w:r>
      <w:r>
        <w:rPr>
          <w:sz w:val="21"/>
        </w:rPr>
        <w:t>would</w:t>
      </w:r>
      <w:r>
        <w:rPr>
          <w:spacing w:val="14"/>
          <w:sz w:val="21"/>
        </w:rPr>
        <w:t> </w:t>
      </w:r>
      <w:r>
        <w:rPr>
          <w:sz w:val="21"/>
        </w:rPr>
        <w:t>most</w:t>
      </w:r>
      <w:r>
        <w:rPr>
          <w:spacing w:val="13"/>
          <w:sz w:val="21"/>
        </w:rPr>
        <w:t> </w:t>
      </w:r>
      <w:r>
        <w:rPr>
          <w:spacing w:val="-3"/>
          <w:sz w:val="21"/>
        </w:rPr>
        <w:t>appropriately</w:t>
      </w:r>
      <w:r>
        <w:rPr>
          <w:spacing w:val="14"/>
          <w:sz w:val="21"/>
        </w:rPr>
        <w:t> </w:t>
      </w:r>
      <w:r>
        <w:rPr>
          <w:sz w:val="21"/>
        </w:rPr>
        <w:t>be</w:t>
      </w:r>
      <w:r>
        <w:rPr>
          <w:spacing w:val="13"/>
          <w:sz w:val="21"/>
        </w:rPr>
        <w:t> </w:t>
      </w:r>
      <w:r>
        <w:rPr>
          <w:spacing w:val="-3"/>
          <w:sz w:val="21"/>
        </w:rPr>
        <w:t>adjudicated</w:t>
      </w:r>
      <w:r>
        <w:rPr>
          <w:spacing w:val="14"/>
          <w:sz w:val="21"/>
        </w:rPr>
        <w:t> </w:t>
      </w:r>
      <w:r>
        <w:rPr>
          <w:sz w:val="21"/>
        </w:rPr>
        <w:t>in</w:t>
      </w:r>
      <w:r>
        <w:rPr>
          <w:spacing w:val="14"/>
          <w:sz w:val="21"/>
        </w:rPr>
        <w:t> </w:t>
      </w:r>
      <w:r>
        <w:rPr>
          <w:spacing w:val="-5"/>
          <w:sz w:val="21"/>
        </w:rPr>
        <w:t>VCAT</w:t>
      </w:r>
      <w:r>
        <w:rPr>
          <w:spacing w:val="13"/>
          <w:sz w:val="21"/>
        </w:rPr>
        <w:t> </w:t>
      </w:r>
      <w:r>
        <w:rPr>
          <w:spacing w:val="-3"/>
          <w:sz w:val="21"/>
        </w:rPr>
        <w:t>for</w:t>
      </w:r>
      <w:r>
        <w:rPr>
          <w:spacing w:val="14"/>
          <w:sz w:val="21"/>
        </w:rPr>
        <w:t> </w:t>
      </w:r>
      <w:r>
        <w:rPr>
          <w:sz w:val="21"/>
        </w:rPr>
        <w:t>the</w:t>
      </w:r>
      <w:r>
        <w:rPr>
          <w:spacing w:val="13"/>
          <w:sz w:val="21"/>
        </w:rPr>
        <w:t> </w:t>
      </w:r>
      <w:r>
        <w:rPr>
          <w:spacing w:val="-3"/>
          <w:sz w:val="21"/>
        </w:rPr>
        <w:t>following</w:t>
      </w:r>
      <w:r>
        <w:rPr>
          <w:spacing w:val="14"/>
          <w:sz w:val="21"/>
        </w:rPr>
        <w:t> </w:t>
      </w:r>
      <w:r>
        <w:rPr>
          <w:sz w:val="21"/>
        </w:rPr>
        <w:t>reasons:</w:t>
      </w:r>
    </w:p>
    <w:p>
      <w:pPr>
        <w:pStyle w:val="ListParagraph"/>
        <w:numPr>
          <w:ilvl w:val="2"/>
          <w:numId w:val="114"/>
        </w:numPr>
        <w:tabs>
          <w:tab w:pos="2721" w:val="left" w:leader="none"/>
          <w:tab w:pos="2722" w:val="left" w:leader="none"/>
        </w:tabs>
        <w:spacing w:line="242" w:lineRule="auto" w:before="124" w:after="0"/>
        <w:ind w:left="2721" w:right="2373" w:hanging="340"/>
        <w:jc w:val="left"/>
        <w:rPr>
          <w:sz w:val="21"/>
        </w:rPr>
      </w:pPr>
      <w:r>
        <w:rPr>
          <w:w w:val="105"/>
          <w:sz w:val="21"/>
        </w:rPr>
        <w:t>Application costs can be </w:t>
      </w:r>
      <w:r>
        <w:rPr>
          <w:spacing w:val="-3"/>
          <w:w w:val="105"/>
          <w:sz w:val="21"/>
        </w:rPr>
        <w:t>kept to </w:t>
      </w:r>
      <w:r>
        <w:rPr>
          <w:w w:val="105"/>
          <w:sz w:val="21"/>
        </w:rPr>
        <w:t>a </w:t>
      </w:r>
      <w:r>
        <w:rPr>
          <w:spacing w:val="-3"/>
          <w:w w:val="105"/>
          <w:sz w:val="21"/>
        </w:rPr>
        <w:t>minimum </w:t>
      </w:r>
      <w:r>
        <w:rPr>
          <w:w w:val="105"/>
          <w:sz w:val="21"/>
        </w:rPr>
        <w:t>in </w:t>
      </w:r>
      <w:r>
        <w:rPr>
          <w:spacing w:val="-5"/>
          <w:w w:val="105"/>
          <w:sz w:val="21"/>
        </w:rPr>
        <w:t>VCAT </w:t>
      </w:r>
      <w:r>
        <w:rPr>
          <w:spacing w:val="-3"/>
          <w:w w:val="105"/>
          <w:sz w:val="21"/>
        </w:rPr>
        <w:t>proceedings </w:t>
      </w:r>
      <w:r>
        <w:rPr>
          <w:w w:val="105"/>
          <w:sz w:val="21"/>
        </w:rPr>
        <w:t>and parties </w:t>
      </w:r>
      <w:r>
        <w:rPr>
          <w:spacing w:val="-3"/>
          <w:w w:val="105"/>
          <w:sz w:val="21"/>
        </w:rPr>
        <w:t>generally </w:t>
      </w:r>
      <w:r>
        <w:rPr>
          <w:w w:val="105"/>
          <w:sz w:val="21"/>
        </w:rPr>
        <w:t>bear their own</w:t>
      </w:r>
      <w:r>
        <w:rPr>
          <w:spacing w:val="21"/>
          <w:w w:val="105"/>
          <w:sz w:val="21"/>
        </w:rPr>
        <w:t> </w:t>
      </w:r>
      <w:r>
        <w:rPr>
          <w:w w:val="105"/>
          <w:sz w:val="21"/>
        </w:rPr>
        <w:t>costs.</w:t>
      </w:r>
    </w:p>
    <w:p>
      <w:pPr>
        <w:pStyle w:val="ListParagraph"/>
        <w:numPr>
          <w:ilvl w:val="2"/>
          <w:numId w:val="114"/>
        </w:numPr>
        <w:tabs>
          <w:tab w:pos="2721" w:val="left" w:leader="none"/>
          <w:tab w:pos="2722" w:val="left" w:leader="none"/>
        </w:tabs>
        <w:spacing w:line="240" w:lineRule="auto" w:before="87" w:after="0"/>
        <w:ind w:left="2721" w:right="0" w:hanging="340"/>
        <w:jc w:val="left"/>
        <w:rPr>
          <w:sz w:val="21"/>
        </w:rPr>
      </w:pPr>
      <w:r>
        <w:rPr>
          <w:w w:val="105"/>
          <w:sz w:val="21"/>
        </w:rPr>
        <w:t>The</w:t>
      </w:r>
      <w:r>
        <w:rPr>
          <w:spacing w:val="5"/>
          <w:w w:val="105"/>
          <w:sz w:val="21"/>
        </w:rPr>
        <w:t> </w:t>
      </w:r>
      <w:r>
        <w:rPr>
          <w:w w:val="105"/>
          <w:sz w:val="21"/>
        </w:rPr>
        <w:t>use</w:t>
      </w:r>
      <w:r>
        <w:rPr>
          <w:spacing w:val="5"/>
          <w:w w:val="105"/>
          <w:sz w:val="21"/>
        </w:rPr>
        <w:t> </w:t>
      </w:r>
      <w:r>
        <w:rPr>
          <w:w w:val="105"/>
          <w:sz w:val="21"/>
        </w:rPr>
        <w:t>of</w:t>
      </w:r>
      <w:r>
        <w:rPr>
          <w:spacing w:val="6"/>
          <w:w w:val="105"/>
          <w:sz w:val="21"/>
        </w:rPr>
        <w:t> </w:t>
      </w:r>
      <w:r>
        <w:rPr>
          <w:w w:val="105"/>
          <w:sz w:val="21"/>
        </w:rPr>
        <w:t>ADR</w:t>
      </w:r>
      <w:r>
        <w:rPr>
          <w:spacing w:val="5"/>
          <w:w w:val="105"/>
          <w:sz w:val="21"/>
        </w:rPr>
        <w:t> </w:t>
      </w:r>
      <w:r>
        <w:rPr>
          <w:w w:val="105"/>
          <w:sz w:val="21"/>
        </w:rPr>
        <w:t>is</w:t>
      </w:r>
      <w:r>
        <w:rPr>
          <w:spacing w:val="5"/>
          <w:w w:val="105"/>
          <w:sz w:val="21"/>
        </w:rPr>
        <w:t> </w:t>
      </w:r>
      <w:r>
        <w:rPr>
          <w:spacing w:val="-3"/>
          <w:w w:val="105"/>
          <w:sz w:val="21"/>
        </w:rPr>
        <w:t>encouraged</w:t>
      </w:r>
      <w:r>
        <w:rPr>
          <w:spacing w:val="6"/>
          <w:w w:val="105"/>
          <w:sz w:val="21"/>
        </w:rPr>
        <w:t> </w:t>
      </w:r>
      <w:r>
        <w:rPr>
          <w:w w:val="105"/>
          <w:sz w:val="21"/>
        </w:rPr>
        <w:t>and</w:t>
      </w:r>
      <w:r>
        <w:rPr>
          <w:spacing w:val="5"/>
          <w:w w:val="105"/>
          <w:sz w:val="21"/>
        </w:rPr>
        <w:t> </w:t>
      </w:r>
      <w:r>
        <w:rPr>
          <w:spacing w:val="-5"/>
          <w:w w:val="105"/>
          <w:sz w:val="21"/>
        </w:rPr>
        <w:t>VCAT</w:t>
      </w:r>
      <w:r>
        <w:rPr>
          <w:spacing w:val="5"/>
          <w:w w:val="105"/>
          <w:sz w:val="21"/>
        </w:rPr>
        <w:t> </w:t>
      </w:r>
      <w:r>
        <w:rPr>
          <w:spacing w:val="-2"/>
          <w:w w:val="105"/>
          <w:sz w:val="21"/>
        </w:rPr>
        <w:t>has</w:t>
      </w:r>
      <w:r>
        <w:rPr>
          <w:spacing w:val="6"/>
          <w:w w:val="105"/>
          <w:sz w:val="21"/>
        </w:rPr>
        <w:t> </w:t>
      </w:r>
      <w:r>
        <w:rPr>
          <w:w w:val="105"/>
          <w:sz w:val="21"/>
        </w:rPr>
        <w:t>established</w:t>
      </w:r>
      <w:r>
        <w:rPr>
          <w:spacing w:val="5"/>
          <w:w w:val="105"/>
          <w:sz w:val="21"/>
        </w:rPr>
        <w:t> </w:t>
      </w:r>
      <w:r>
        <w:rPr>
          <w:w w:val="105"/>
          <w:sz w:val="21"/>
        </w:rPr>
        <w:t>ADR</w:t>
      </w:r>
      <w:r>
        <w:rPr>
          <w:spacing w:val="5"/>
          <w:w w:val="105"/>
          <w:sz w:val="21"/>
        </w:rPr>
        <w:t> </w:t>
      </w:r>
      <w:r>
        <w:rPr>
          <w:spacing w:val="-3"/>
          <w:w w:val="105"/>
          <w:sz w:val="21"/>
        </w:rPr>
        <w:t>programs.</w:t>
      </w:r>
    </w:p>
    <w:p>
      <w:pPr>
        <w:pStyle w:val="ListParagraph"/>
        <w:numPr>
          <w:ilvl w:val="2"/>
          <w:numId w:val="114"/>
        </w:numPr>
        <w:tabs>
          <w:tab w:pos="2721" w:val="left" w:leader="none"/>
          <w:tab w:pos="2722" w:val="left" w:leader="none"/>
        </w:tabs>
        <w:spacing w:line="242" w:lineRule="auto" w:before="88" w:after="0"/>
        <w:ind w:left="2721" w:right="2040" w:hanging="340"/>
        <w:jc w:val="left"/>
        <w:rPr>
          <w:sz w:val="21"/>
        </w:rPr>
      </w:pPr>
      <w:r>
        <w:rPr>
          <w:spacing w:val="-5"/>
          <w:sz w:val="21"/>
        </w:rPr>
        <w:t>VCAT </w:t>
      </w:r>
      <w:r>
        <w:rPr>
          <w:spacing w:val="-2"/>
          <w:sz w:val="21"/>
        </w:rPr>
        <w:t>has </w:t>
      </w:r>
      <w:r>
        <w:rPr>
          <w:spacing w:val="-3"/>
          <w:sz w:val="21"/>
        </w:rPr>
        <w:t>considerable </w:t>
      </w:r>
      <w:r>
        <w:rPr>
          <w:sz w:val="21"/>
        </w:rPr>
        <w:t>flexibility in the </w:t>
      </w:r>
      <w:r>
        <w:rPr>
          <w:spacing w:val="-3"/>
          <w:sz w:val="21"/>
        </w:rPr>
        <w:t>way </w:t>
      </w:r>
      <w:r>
        <w:rPr>
          <w:sz w:val="21"/>
        </w:rPr>
        <w:t>it can conduct </w:t>
      </w:r>
      <w:r>
        <w:rPr>
          <w:spacing w:val="-3"/>
          <w:sz w:val="21"/>
        </w:rPr>
        <w:t>hearings, </w:t>
      </w:r>
      <w:r>
        <w:rPr>
          <w:sz w:val="21"/>
        </w:rPr>
        <w:t>is specifically designed</w:t>
      </w:r>
      <w:r>
        <w:rPr>
          <w:spacing w:val="17"/>
          <w:sz w:val="21"/>
        </w:rPr>
        <w:t> </w:t>
      </w:r>
      <w:r>
        <w:rPr>
          <w:spacing w:val="-3"/>
          <w:sz w:val="21"/>
        </w:rPr>
        <w:t>for</w:t>
      </w:r>
      <w:r>
        <w:rPr>
          <w:spacing w:val="18"/>
          <w:sz w:val="21"/>
        </w:rPr>
        <w:t> </w:t>
      </w:r>
      <w:r>
        <w:rPr>
          <w:sz w:val="21"/>
        </w:rPr>
        <w:t>parties</w:t>
      </w:r>
      <w:r>
        <w:rPr>
          <w:spacing w:val="18"/>
          <w:sz w:val="21"/>
        </w:rPr>
        <w:t> </w:t>
      </w:r>
      <w:r>
        <w:rPr>
          <w:sz w:val="21"/>
        </w:rPr>
        <w:t>without</w:t>
      </w:r>
      <w:r>
        <w:rPr>
          <w:spacing w:val="18"/>
          <w:sz w:val="21"/>
        </w:rPr>
        <w:t> </w:t>
      </w:r>
      <w:r>
        <w:rPr>
          <w:sz w:val="21"/>
        </w:rPr>
        <w:t>legal</w:t>
      </w:r>
      <w:r>
        <w:rPr>
          <w:spacing w:val="18"/>
          <w:sz w:val="21"/>
        </w:rPr>
        <w:t> </w:t>
      </w:r>
      <w:r>
        <w:rPr>
          <w:spacing w:val="-2"/>
          <w:sz w:val="21"/>
        </w:rPr>
        <w:t>representation</w:t>
      </w:r>
      <w:r>
        <w:rPr>
          <w:spacing w:val="17"/>
          <w:sz w:val="21"/>
        </w:rPr>
        <w:t> </w:t>
      </w:r>
      <w:r>
        <w:rPr>
          <w:sz w:val="21"/>
        </w:rPr>
        <w:t>and</w:t>
      </w:r>
      <w:r>
        <w:rPr>
          <w:spacing w:val="18"/>
          <w:sz w:val="21"/>
        </w:rPr>
        <w:t> </w:t>
      </w:r>
      <w:r>
        <w:rPr>
          <w:sz w:val="21"/>
        </w:rPr>
        <w:t>is</w:t>
      </w:r>
      <w:r>
        <w:rPr>
          <w:spacing w:val="18"/>
          <w:sz w:val="21"/>
        </w:rPr>
        <w:t> </w:t>
      </w:r>
      <w:r>
        <w:rPr>
          <w:sz w:val="21"/>
        </w:rPr>
        <w:t>less</w:t>
      </w:r>
      <w:r>
        <w:rPr>
          <w:spacing w:val="18"/>
          <w:sz w:val="21"/>
        </w:rPr>
        <w:t> </w:t>
      </w:r>
      <w:r>
        <w:rPr>
          <w:spacing w:val="-3"/>
          <w:sz w:val="21"/>
        </w:rPr>
        <w:t>formal</w:t>
      </w:r>
      <w:r>
        <w:rPr>
          <w:spacing w:val="18"/>
          <w:sz w:val="21"/>
        </w:rPr>
        <w:t> </w:t>
      </w:r>
      <w:r>
        <w:rPr>
          <w:spacing w:val="-3"/>
          <w:sz w:val="21"/>
        </w:rPr>
        <w:t>than</w:t>
      </w:r>
      <w:r>
        <w:rPr>
          <w:spacing w:val="17"/>
          <w:sz w:val="21"/>
        </w:rPr>
        <w:t> </w:t>
      </w:r>
      <w:r>
        <w:rPr>
          <w:sz w:val="21"/>
        </w:rPr>
        <w:t>a</w:t>
      </w:r>
      <w:r>
        <w:rPr>
          <w:spacing w:val="18"/>
          <w:sz w:val="21"/>
        </w:rPr>
        <w:t> </w:t>
      </w:r>
      <w:r>
        <w:rPr>
          <w:sz w:val="21"/>
        </w:rPr>
        <w:t>court.</w:t>
      </w:r>
    </w:p>
    <w:p>
      <w:pPr>
        <w:pStyle w:val="ListParagraph"/>
        <w:numPr>
          <w:ilvl w:val="2"/>
          <w:numId w:val="114"/>
        </w:numPr>
        <w:tabs>
          <w:tab w:pos="2721" w:val="left" w:leader="none"/>
          <w:tab w:pos="2722" w:val="left" w:leader="none"/>
        </w:tabs>
        <w:spacing w:line="242" w:lineRule="auto" w:before="88" w:after="0"/>
        <w:ind w:left="2721" w:right="2480" w:hanging="340"/>
        <w:jc w:val="left"/>
        <w:rPr>
          <w:sz w:val="21"/>
        </w:rPr>
      </w:pPr>
      <w:r>
        <w:rPr>
          <w:spacing w:val="-5"/>
          <w:sz w:val="21"/>
        </w:rPr>
        <w:t>VCAT </w:t>
      </w:r>
      <w:r>
        <w:rPr>
          <w:sz w:val="21"/>
        </w:rPr>
        <w:t>decision </w:t>
      </w:r>
      <w:r>
        <w:rPr>
          <w:spacing w:val="-3"/>
          <w:sz w:val="21"/>
        </w:rPr>
        <w:t>makers have </w:t>
      </w:r>
      <w:r>
        <w:rPr>
          <w:sz w:val="21"/>
        </w:rPr>
        <w:t>existing </w:t>
      </w:r>
      <w:r>
        <w:rPr>
          <w:spacing w:val="-3"/>
          <w:sz w:val="21"/>
        </w:rPr>
        <w:t>relevant </w:t>
      </w:r>
      <w:r>
        <w:rPr>
          <w:sz w:val="21"/>
        </w:rPr>
        <w:t>experience in </w:t>
      </w:r>
      <w:r>
        <w:rPr>
          <w:spacing w:val="-3"/>
          <w:sz w:val="21"/>
        </w:rPr>
        <w:t>hearing planning, environmental </w:t>
      </w:r>
      <w:r>
        <w:rPr>
          <w:sz w:val="21"/>
        </w:rPr>
        <w:t>and </w:t>
      </w:r>
      <w:r>
        <w:rPr>
          <w:spacing w:val="-3"/>
          <w:sz w:val="21"/>
        </w:rPr>
        <w:t>small </w:t>
      </w:r>
      <w:r>
        <w:rPr>
          <w:sz w:val="21"/>
        </w:rPr>
        <w:t>civil</w:t>
      </w:r>
      <w:r>
        <w:rPr>
          <w:spacing w:val="41"/>
          <w:sz w:val="21"/>
        </w:rPr>
        <w:t> </w:t>
      </w:r>
      <w:r>
        <w:rPr>
          <w:spacing w:val="-3"/>
          <w:sz w:val="21"/>
        </w:rPr>
        <w:t>claims.</w:t>
      </w:r>
    </w:p>
    <w:p>
      <w:pPr>
        <w:pStyle w:val="ListParagraph"/>
        <w:numPr>
          <w:ilvl w:val="1"/>
          <w:numId w:val="114"/>
        </w:numPr>
        <w:tabs>
          <w:tab w:pos="2381" w:val="left" w:leader="none"/>
          <w:tab w:pos="2382" w:val="left" w:leader="none"/>
        </w:tabs>
        <w:spacing w:line="240" w:lineRule="auto" w:before="87" w:after="0"/>
        <w:ind w:left="2381" w:right="0" w:hanging="794"/>
        <w:jc w:val="left"/>
        <w:rPr>
          <w:sz w:val="21"/>
        </w:rPr>
      </w:pPr>
      <w:r>
        <w:rPr>
          <w:w w:val="105"/>
          <w:sz w:val="21"/>
        </w:rPr>
        <w:t>The </w:t>
      </w:r>
      <w:r>
        <w:rPr>
          <w:spacing w:val="-4"/>
          <w:w w:val="105"/>
          <w:sz w:val="21"/>
        </w:rPr>
        <w:t>Commission’s </w:t>
      </w:r>
      <w:r>
        <w:rPr>
          <w:spacing w:val="-3"/>
          <w:w w:val="105"/>
          <w:sz w:val="21"/>
        </w:rPr>
        <w:t>reasons are </w:t>
      </w:r>
      <w:r>
        <w:rPr>
          <w:w w:val="105"/>
          <w:sz w:val="21"/>
        </w:rPr>
        <w:t>explained in the </w:t>
      </w:r>
      <w:r>
        <w:rPr>
          <w:spacing w:val="-3"/>
          <w:w w:val="105"/>
          <w:sz w:val="21"/>
        </w:rPr>
        <w:t>following</w:t>
      </w:r>
      <w:r>
        <w:rPr>
          <w:spacing w:val="-1"/>
          <w:w w:val="105"/>
          <w:sz w:val="21"/>
        </w:rPr>
        <w:t> </w:t>
      </w:r>
      <w:r>
        <w:rPr>
          <w:w w:val="105"/>
          <w:sz w:val="21"/>
        </w:rPr>
        <w:t>section.</w:t>
      </w:r>
    </w:p>
    <w:p>
      <w:pPr>
        <w:pStyle w:val="Heading7"/>
      </w:pPr>
      <w:r>
        <w:rPr>
          <w:w w:val="115"/>
        </w:rPr>
        <w:t>Affordability and fast decision making</w:t>
      </w:r>
    </w:p>
    <w:p>
      <w:pPr>
        <w:pStyle w:val="ListParagraph"/>
        <w:numPr>
          <w:ilvl w:val="1"/>
          <w:numId w:val="114"/>
        </w:numPr>
        <w:tabs>
          <w:tab w:pos="2381" w:val="left" w:leader="none"/>
          <w:tab w:pos="2382" w:val="left" w:leader="none"/>
        </w:tabs>
        <w:spacing w:line="242" w:lineRule="auto" w:before="143" w:after="0"/>
        <w:ind w:left="2381" w:right="1748" w:hanging="794"/>
        <w:jc w:val="left"/>
        <w:rPr>
          <w:sz w:val="12"/>
        </w:rPr>
      </w:pPr>
      <w:r>
        <w:rPr>
          <w:w w:val="105"/>
          <w:sz w:val="21"/>
        </w:rPr>
        <w:t>It is less costly </w:t>
      </w:r>
      <w:r>
        <w:rPr>
          <w:spacing w:val="-3"/>
          <w:w w:val="105"/>
          <w:sz w:val="21"/>
        </w:rPr>
        <w:t>to </w:t>
      </w:r>
      <w:r>
        <w:rPr>
          <w:w w:val="105"/>
          <w:sz w:val="21"/>
        </w:rPr>
        <w:t>pursue a matter in </w:t>
      </w:r>
      <w:r>
        <w:rPr>
          <w:spacing w:val="-5"/>
          <w:w w:val="105"/>
          <w:sz w:val="21"/>
        </w:rPr>
        <w:t>VCAT </w:t>
      </w:r>
      <w:r>
        <w:rPr>
          <w:spacing w:val="-3"/>
          <w:w w:val="105"/>
          <w:sz w:val="21"/>
        </w:rPr>
        <w:t>than </w:t>
      </w:r>
      <w:r>
        <w:rPr>
          <w:w w:val="105"/>
          <w:sz w:val="21"/>
        </w:rPr>
        <w:t>in the </w:t>
      </w:r>
      <w:r>
        <w:rPr>
          <w:spacing w:val="-3"/>
          <w:w w:val="105"/>
          <w:sz w:val="21"/>
        </w:rPr>
        <w:t>Magistrates’ Court. </w:t>
      </w:r>
      <w:r>
        <w:rPr>
          <w:spacing w:val="-5"/>
          <w:w w:val="105"/>
          <w:sz w:val="21"/>
        </w:rPr>
        <w:t>VCAT </w:t>
      </w:r>
      <w:r>
        <w:rPr>
          <w:spacing w:val="-2"/>
          <w:w w:val="105"/>
          <w:sz w:val="21"/>
        </w:rPr>
        <w:t>has </w:t>
      </w:r>
      <w:r>
        <w:rPr>
          <w:w w:val="105"/>
          <w:sz w:val="21"/>
        </w:rPr>
        <w:t>a  fee </w:t>
      </w:r>
      <w:r>
        <w:rPr>
          <w:spacing w:val="-3"/>
          <w:w w:val="105"/>
          <w:sz w:val="21"/>
        </w:rPr>
        <w:t>relief program for </w:t>
      </w:r>
      <w:r>
        <w:rPr>
          <w:w w:val="105"/>
          <w:sz w:val="21"/>
        </w:rPr>
        <w:t>people experiencing </w:t>
      </w:r>
      <w:r>
        <w:rPr>
          <w:spacing w:val="-3"/>
          <w:w w:val="105"/>
          <w:sz w:val="21"/>
        </w:rPr>
        <w:t>financial hardship.</w:t>
      </w:r>
      <w:r>
        <w:rPr>
          <w:spacing w:val="-3"/>
          <w:w w:val="105"/>
          <w:position w:val="7"/>
          <w:sz w:val="12"/>
        </w:rPr>
        <w:t>229 </w:t>
      </w:r>
      <w:r>
        <w:rPr>
          <w:w w:val="105"/>
          <w:sz w:val="21"/>
        </w:rPr>
        <w:t>Fees </w:t>
      </w:r>
      <w:r>
        <w:rPr>
          <w:spacing w:val="-3"/>
          <w:w w:val="105"/>
          <w:sz w:val="21"/>
        </w:rPr>
        <w:t>may </w:t>
      </w:r>
      <w:r>
        <w:rPr>
          <w:w w:val="105"/>
          <w:sz w:val="21"/>
        </w:rPr>
        <w:t>be postponed, </w:t>
      </w:r>
      <w:r>
        <w:rPr>
          <w:spacing w:val="-3"/>
          <w:w w:val="105"/>
          <w:sz w:val="21"/>
        </w:rPr>
        <w:t>reduced </w:t>
      </w:r>
      <w:r>
        <w:rPr>
          <w:w w:val="105"/>
          <w:sz w:val="21"/>
        </w:rPr>
        <w:t>or </w:t>
      </w:r>
      <w:r>
        <w:rPr>
          <w:spacing w:val="-3"/>
          <w:w w:val="105"/>
          <w:sz w:val="21"/>
        </w:rPr>
        <w:t>completely</w:t>
      </w:r>
      <w:r>
        <w:rPr>
          <w:spacing w:val="18"/>
          <w:w w:val="105"/>
          <w:sz w:val="21"/>
        </w:rPr>
        <w:t> </w:t>
      </w:r>
      <w:r>
        <w:rPr>
          <w:w w:val="105"/>
          <w:sz w:val="21"/>
        </w:rPr>
        <w:t>waived.</w:t>
      </w:r>
      <w:r>
        <w:rPr>
          <w:w w:val="105"/>
          <w:position w:val="7"/>
          <w:sz w:val="12"/>
        </w:rPr>
        <w:t>230</w:t>
      </w:r>
    </w:p>
    <w:p>
      <w:pPr>
        <w:pStyle w:val="ListParagraph"/>
        <w:numPr>
          <w:ilvl w:val="1"/>
          <w:numId w:val="114"/>
        </w:numPr>
        <w:tabs>
          <w:tab w:pos="2380" w:val="left" w:leader="none"/>
          <w:tab w:pos="2381" w:val="left" w:leader="none"/>
        </w:tabs>
        <w:spacing w:line="242" w:lineRule="auto" w:before="123" w:after="0"/>
        <w:ind w:left="2381" w:right="1967" w:hanging="794"/>
        <w:jc w:val="left"/>
        <w:rPr>
          <w:sz w:val="12"/>
        </w:rPr>
      </w:pPr>
      <w:r>
        <w:rPr>
          <w:w w:val="105"/>
          <w:sz w:val="21"/>
        </w:rPr>
        <w:t>Parties in </w:t>
      </w:r>
      <w:r>
        <w:rPr>
          <w:spacing w:val="-5"/>
          <w:w w:val="105"/>
          <w:sz w:val="21"/>
        </w:rPr>
        <w:t>VCAT </w:t>
      </w:r>
      <w:r>
        <w:rPr>
          <w:spacing w:val="-3"/>
          <w:w w:val="105"/>
          <w:sz w:val="21"/>
        </w:rPr>
        <w:t>are </w:t>
      </w:r>
      <w:r>
        <w:rPr>
          <w:w w:val="105"/>
          <w:sz w:val="21"/>
        </w:rPr>
        <w:t>expected </w:t>
      </w:r>
      <w:r>
        <w:rPr>
          <w:spacing w:val="-3"/>
          <w:w w:val="105"/>
          <w:sz w:val="21"/>
        </w:rPr>
        <w:t>to </w:t>
      </w:r>
      <w:r>
        <w:rPr>
          <w:w w:val="105"/>
          <w:sz w:val="21"/>
        </w:rPr>
        <w:t>bear their own costs.</w:t>
      </w:r>
      <w:r>
        <w:rPr>
          <w:w w:val="105"/>
          <w:position w:val="7"/>
          <w:sz w:val="12"/>
        </w:rPr>
        <w:t>231 </w:t>
      </w:r>
      <w:r>
        <w:rPr>
          <w:w w:val="105"/>
          <w:sz w:val="21"/>
        </w:rPr>
        <w:t>The </w:t>
      </w:r>
      <w:r>
        <w:rPr>
          <w:spacing w:val="-3"/>
          <w:w w:val="105"/>
          <w:sz w:val="21"/>
        </w:rPr>
        <w:t>Commission </w:t>
      </w:r>
      <w:r>
        <w:rPr>
          <w:w w:val="105"/>
          <w:sz w:val="21"/>
        </w:rPr>
        <w:t>also acknowledges </w:t>
      </w:r>
      <w:r>
        <w:rPr>
          <w:spacing w:val="-4"/>
          <w:w w:val="105"/>
          <w:sz w:val="21"/>
        </w:rPr>
        <w:t>BCLS’ </w:t>
      </w:r>
      <w:r>
        <w:rPr>
          <w:w w:val="105"/>
          <w:sz w:val="21"/>
        </w:rPr>
        <w:t>view </w:t>
      </w:r>
      <w:r>
        <w:rPr>
          <w:spacing w:val="-3"/>
          <w:w w:val="105"/>
          <w:sz w:val="21"/>
        </w:rPr>
        <w:t>that </w:t>
      </w:r>
      <w:r>
        <w:rPr>
          <w:w w:val="105"/>
          <w:sz w:val="21"/>
        </w:rPr>
        <w:t>tree </w:t>
      </w:r>
      <w:r>
        <w:rPr>
          <w:spacing w:val="-3"/>
          <w:w w:val="105"/>
          <w:sz w:val="21"/>
        </w:rPr>
        <w:t>disputes </w:t>
      </w:r>
      <w:r>
        <w:rPr>
          <w:w w:val="105"/>
          <w:sz w:val="21"/>
        </w:rPr>
        <w:t>should be a </w:t>
      </w:r>
      <w:r>
        <w:rPr>
          <w:spacing w:val="-4"/>
          <w:w w:val="105"/>
          <w:sz w:val="21"/>
        </w:rPr>
        <w:t>‘no </w:t>
      </w:r>
      <w:r>
        <w:rPr>
          <w:w w:val="105"/>
          <w:sz w:val="21"/>
        </w:rPr>
        <w:t>cost </w:t>
      </w:r>
      <w:r>
        <w:rPr>
          <w:spacing w:val="-3"/>
          <w:w w:val="105"/>
          <w:sz w:val="21"/>
        </w:rPr>
        <w:t>jurisdiction’ </w:t>
      </w:r>
      <w:r>
        <w:rPr>
          <w:w w:val="105"/>
          <w:sz w:val="21"/>
        </w:rPr>
        <w:t>so </w:t>
      </w:r>
      <w:r>
        <w:rPr>
          <w:spacing w:val="-3"/>
          <w:w w:val="105"/>
          <w:sz w:val="21"/>
        </w:rPr>
        <w:t>that </w:t>
      </w:r>
      <w:r>
        <w:rPr>
          <w:w w:val="105"/>
          <w:sz w:val="21"/>
        </w:rPr>
        <w:t>parties</w:t>
      </w:r>
      <w:r>
        <w:rPr>
          <w:spacing w:val="-10"/>
          <w:w w:val="105"/>
          <w:sz w:val="21"/>
        </w:rPr>
        <w:t> </w:t>
      </w:r>
      <w:r>
        <w:rPr>
          <w:spacing w:val="-3"/>
          <w:w w:val="105"/>
          <w:sz w:val="21"/>
        </w:rPr>
        <w:t>already</w:t>
      </w:r>
      <w:r>
        <w:rPr>
          <w:spacing w:val="-10"/>
          <w:w w:val="105"/>
          <w:sz w:val="21"/>
        </w:rPr>
        <w:t> </w:t>
      </w:r>
      <w:r>
        <w:rPr>
          <w:w w:val="105"/>
          <w:sz w:val="21"/>
        </w:rPr>
        <w:t>experiencing</w:t>
      </w:r>
      <w:r>
        <w:rPr>
          <w:spacing w:val="-10"/>
          <w:w w:val="105"/>
          <w:sz w:val="21"/>
        </w:rPr>
        <w:t> </w:t>
      </w:r>
      <w:r>
        <w:rPr>
          <w:spacing w:val="-3"/>
          <w:w w:val="105"/>
          <w:sz w:val="21"/>
        </w:rPr>
        <w:t>financial</w:t>
      </w:r>
      <w:r>
        <w:rPr>
          <w:spacing w:val="-10"/>
          <w:w w:val="105"/>
          <w:sz w:val="21"/>
        </w:rPr>
        <w:t> </w:t>
      </w:r>
      <w:r>
        <w:rPr>
          <w:spacing w:val="-3"/>
          <w:w w:val="105"/>
          <w:sz w:val="21"/>
        </w:rPr>
        <w:t>hardship</w:t>
      </w:r>
      <w:r>
        <w:rPr>
          <w:spacing w:val="-9"/>
          <w:w w:val="105"/>
          <w:sz w:val="21"/>
        </w:rPr>
        <w:t> </w:t>
      </w:r>
      <w:r>
        <w:rPr>
          <w:spacing w:val="-3"/>
          <w:w w:val="105"/>
          <w:sz w:val="21"/>
        </w:rPr>
        <w:t>are</w:t>
      </w:r>
      <w:r>
        <w:rPr>
          <w:spacing w:val="-10"/>
          <w:w w:val="105"/>
          <w:sz w:val="21"/>
        </w:rPr>
        <w:t> </w:t>
      </w:r>
      <w:r>
        <w:rPr>
          <w:spacing w:val="-2"/>
          <w:w w:val="105"/>
          <w:sz w:val="21"/>
        </w:rPr>
        <w:t>not</w:t>
      </w:r>
      <w:r>
        <w:rPr>
          <w:spacing w:val="-10"/>
          <w:w w:val="105"/>
          <w:sz w:val="21"/>
        </w:rPr>
        <w:t> </w:t>
      </w:r>
      <w:r>
        <w:rPr>
          <w:w w:val="105"/>
          <w:sz w:val="21"/>
        </w:rPr>
        <w:t>burdened</w:t>
      </w:r>
      <w:r>
        <w:rPr>
          <w:spacing w:val="-10"/>
          <w:w w:val="105"/>
          <w:sz w:val="21"/>
        </w:rPr>
        <w:t> </w:t>
      </w:r>
      <w:r>
        <w:rPr>
          <w:w w:val="105"/>
          <w:sz w:val="21"/>
        </w:rPr>
        <w:t>by</w:t>
      </w:r>
      <w:r>
        <w:rPr>
          <w:spacing w:val="-10"/>
          <w:w w:val="105"/>
          <w:sz w:val="21"/>
        </w:rPr>
        <w:t> </w:t>
      </w:r>
      <w:r>
        <w:rPr>
          <w:w w:val="105"/>
          <w:sz w:val="21"/>
        </w:rPr>
        <w:t>a</w:t>
      </w:r>
      <w:r>
        <w:rPr>
          <w:spacing w:val="-9"/>
          <w:w w:val="105"/>
          <w:sz w:val="21"/>
        </w:rPr>
        <w:t> </w:t>
      </w:r>
      <w:r>
        <w:rPr>
          <w:w w:val="105"/>
          <w:sz w:val="21"/>
        </w:rPr>
        <w:t>cost</w:t>
      </w:r>
      <w:r>
        <w:rPr>
          <w:spacing w:val="-10"/>
          <w:w w:val="105"/>
          <w:sz w:val="21"/>
        </w:rPr>
        <w:t> </w:t>
      </w:r>
      <w:r>
        <w:rPr>
          <w:w w:val="105"/>
          <w:sz w:val="21"/>
        </w:rPr>
        <w:t>order</w:t>
      </w:r>
      <w:r>
        <w:rPr>
          <w:spacing w:val="-10"/>
          <w:w w:val="105"/>
          <w:sz w:val="21"/>
        </w:rPr>
        <w:t> </w:t>
      </w:r>
      <w:r>
        <w:rPr>
          <w:w w:val="105"/>
          <w:sz w:val="21"/>
        </w:rPr>
        <w:t>made </w:t>
      </w:r>
      <w:r>
        <w:rPr>
          <w:spacing w:val="-3"/>
          <w:w w:val="105"/>
          <w:sz w:val="21"/>
        </w:rPr>
        <w:t>against</w:t>
      </w:r>
      <w:r>
        <w:rPr>
          <w:spacing w:val="5"/>
          <w:w w:val="105"/>
          <w:sz w:val="21"/>
        </w:rPr>
        <w:t> </w:t>
      </w:r>
      <w:r>
        <w:rPr>
          <w:w w:val="105"/>
          <w:sz w:val="21"/>
        </w:rPr>
        <w:t>them.</w:t>
      </w:r>
      <w:r>
        <w:rPr>
          <w:w w:val="105"/>
          <w:position w:val="7"/>
          <w:sz w:val="12"/>
        </w:rPr>
        <w:t>232</w:t>
      </w:r>
    </w:p>
    <w:p>
      <w:pPr>
        <w:pStyle w:val="ListParagraph"/>
        <w:numPr>
          <w:ilvl w:val="1"/>
          <w:numId w:val="114"/>
        </w:numPr>
        <w:tabs>
          <w:tab w:pos="2380" w:val="left" w:leader="none"/>
          <w:tab w:pos="2381" w:val="left" w:leader="none"/>
        </w:tabs>
        <w:spacing w:line="242" w:lineRule="auto" w:before="124" w:after="0"/>
        <w:ind w:left="2381" w:right="1652" w:hanging="794"/>
        <w:jc w:val="left"/>
        <w:rPr>
          <w:sz w:val="21"/>
        </w:rPr>
      </w:pPr>
      <w:r>
        <w:rPr>
          <w:w w:val="105"/>
          <w:sz w:val="21"/>
        </w:rPr>
        <w:t>Baw Baw </w:t>
      </w:r>
      <w:r>
        <w:rPr>
          <w:spacing w:val="-3"/>
          <w:w w:val="105"/>
          <w:sz w:val="21"/>
        </w:rPr>
        <w:t>Shire </w:t>
      </w:r>
      <w:r>
        <w:rPr>
          <w:spacing w:val="-4"/>
          <w:w w:val="105"/>
          <w:sz w:val="21"/>
        </w:rPr>
        <w:t>Council </w:t>
      </w:r>
      <w:r>
        <w:rPr>
          <w:w w:val="105"/>
          <w:sz w:val="21"/>
        </w:rPr>
        <w:t>was in </w:t>
      </w:r>
      <w:r>
        <w:rPr>
          <w:spacing w:val="-3"/>
          <w:w w:val="105"/>
          <w:sz w:val="21"/>
        </w:rPr>
        <w:t>favour </w:t>
      </w:r>
      <w:r>
        <w:rPr>
          <w:w w:val="105"/>
          <w:sz w:val="21"/>
        </w:rPr>
        <w:t>of </w:t>
      </w:r>
      <w:r>
        <w:rPr>
          <w:spacing w:val="-3"/>
          <w:w w:val="105"/>
          <w:sz w:val="21"/>
        </w:rPr>
        <w:t>awarding </w:t>
      </w:r>
      <w:r>
        <w:rPr>
          <w:w w:val="105"/>
          <w:sz w:val="21"/>
        </w:rPr>
        <w:t>costs when matters </w:t>
      </w:r>
      <w:r>
        <w:rPr>
          <w:spacing w:val="-3"/>
          <w:w w:val="105"/>
          <w:sz w:val="21"/>
        </w:rPr>
        <w:t>are commenced </w:t>
      </w:r>
      <w:r>
        <w:rPr>
          <w:w w:val="105"/>
          <w:sz w:val="21"/>
        </w:rPr>
        <w:t>vexatiously or without merit.</w:t>
      </w:r>
      <w:r>
        <w:rPr>
          <w:w w:val="105"/>
          <w:position w:val="7"/>
          <w:sz w:val="12"/>
        </w:rPr>
        <w:t>233 </w:t>
      </w:r>
      <w:r>
        <w:rPr>
          <w:spacing w:val="-5"/>
          <w:w w:val="105"/>
          <w:sz w:val="21"/>
        </w:rPr>
        <w:t>VCAT </w:t>
      </w:r>
      <w:r>
        <w:rPr>
          <w:spacing w:val="-3"/>
          <w:w w:val="105"/>
          <w:sz w:val="21"/>
        </w:rPr>
        <w:t>may </w:t>
      </w:r>
      <w:r>
        <w:rPr>
          <w:w w:val="105"/>
          <w:sz w:val="21"/>
        </w:rPr>
        <w:t>order costs in certain </w:t>
      </w:r>
      <w:r>
        <w:rPr>
          <w:spacing w:val="-3"/>
          <w:w w:val="105"/>
          <w:sz w:val="21"/>
        </w:rPr>
        <w:t>circumstances, such </w:t>
      </w:r>
      <w:r>
        <w:rPr>
          <w:w w:val="105"/>
          <w:sz w:val="21"/>
        </w:rPr>
        <w:t>as where</w:t>
      </w:r>
      <w:r>
        <w:rPr>
          <w:spacing w:val="-9"/>
          <w:w w:val="105"/>
          <w:sz w:val="21"/>
        </w:rPr>
        <w:t> </w:t>
      </w:r>
      <w:r>
        <w:rPr>
          <w:w w:val="105"/>
          <w:sz w:val="21"/>
        </w:rPr>
        <w:t>the</w:t>
      </w:r>
      <w:r>
        <w:rPr>
          <w:spacing w:val="-8"/>
          <w:w w:val="105"/>
          <w:sz w:val="21"/>
        </w:rPr>
        <w:t> </w:t>
      </w:r>
      <w:r>
        <w:rPr>
          <w:w w:val="105"/>
          <w:sz w:val="21"/>
        </w:rPr>
        <w:t>matter</w:t>
      </w:r>
      <w:r>
        <w:rPr>
          <w:spacing w:val="-9"/>
          <w:w w:val="105"/>
          <w:sz w:val="21"/>
        </w:rPr>
        <w:t> </w:t>
      </w:r>
      <w:r>
        <w:rPr>
          <w:w w:val="105"/>
          <w:sz w:val="21"/>
        </w:rPr>
        <w:t>was</w:t>
      </w:r>
      <w:r>
        <w:rPr>
          <w:spacing w:val="-8"/>
          <w:w w:val="105"/>
          <w:sz w:val="21"/>
        </w:rPr>
        <w:t> </w:t>
      </w:r>
      <w:r>
        <w:rPr>
          <w:spacing w:val="-3"/>
          <w:w w:val="105"/>
          <w:sz w:val="21"/>
        </w:rPr>
        <w:t>brought</w:t>
      </w:r>
      <w:r>
        <w:rPr>
          <w:spacing w:val="-8"/>
          <w:w w:val="105"/>
          <w:sz w:val="21"/>
        </w:rPr>
        <w:t> </w:t>
      </w:r>
      <w:r>
        <w:rPr>
          <w:w w:val="105"/>
          <w:sz w:val="21"/>
        </w:rPr>
        <w:t>without</w:t>
      </w:r>
      <w:r>
        <w:rPr>
          <w:spacing w:val="-9"/>
          <w:w w:val="105"/>
          <w:sz w:val="21"/>
        </w:rPr>
        <w:t> </w:t>
      </w:r>
      <w:r>
        <w:rPr>
          <w:w w:val="105"/>
          <w:sz w:val="21"/>
        </w:rPr>
        <w:t>merit,</w:t>
      </w:r>
      <w:r>
        <w:rPr>
          <w:spacing w:val="-8"/>
          <w:w w:val="105"/>
          <w:sz w:val="21"/>
        </w:rPr>
        <w:t> </w:t>
      </w:r>
      <w:r>
        <w:rPr>
          <w:w w:val="105"/>
          <w:sz w:val="21"/>
        </w:rPr>
        <w:t>or</w:t>
      </w:r>
      <w:r>
        <w:rPr>
          <w:spacing w:val="-9"/>
          <w:w w:val="105"/>
          <w:sz w:val="21"/>
        </w:rPr>
        <w:t> </w:t>
      </w:r>
      <w:r>
        <w:rPr>
          <w:spacing w:val="-3"/>
          <w:w w:val="105"/>
          <w:sz w:val="21"/>
        </w:rPr>
        <w:t>to</w:t>
      </w:r>
      <w:r>
        <w:rPr>
          <w:spacing w:val="-8"/>
          <w:w w:val="105"/>
          <w:sz w:val="21"/>
        </w:rPr>
        <w:t> </w:t>
      </w:r>
      <w:r>
        <w:rPr>
          <w:spacing w:val="-3"/>
          <w:w w:val="105"/>
          <w:sz w:val="21"/>
        </w:rPr>
        <w:t>harass,</w:t>
      </w:r>
      <w:r>
        <w:rPr>
          <w:spacing w:val="-8"/>
          <w:w w:val="105"/>
          <w:sz w:val="21"/>
        </w:rPr>
        <w:t> </w:t>
      </w:r>
      <w:r>
        <w:rPr>
          <w:spacing w:val="-3"/>
          <w:w w:val="105"/>
          <w:sz w:val="21"/>
        </w:rPr>
        <w:t>annoy</w:t>
      </w:r>
      <w:r>
        <w:rPr>
          <w:spacing w:val="-9"/>
          <w:w w:val="105"/>
          <w:sz w:val="21"/>
        </w:rPr>
        <w:t> </w:t>
      </w:r>
      <w:r>
        <w:rPr>
          <w:w w:val="105"/>
          <w:sz w:val="21"/>
        </w:rPr>
        <w:t>or</w:t>
      </w:r>
      <w:r>
        <w:rPr>
          <w:spacing w:val="-8"/>
          <w:w w:val="105"/>
          <w:sz w:val="21"/>
        </w:rPr>
        <w:t> </w:t>
      </w:r>
      <w:r>
        <w:rPr>
          <w:w w:val="105"/>
          <w:sz w:val="21"/>
        </w:rPr>
        <w:t>distress</w:t>
      </w:r>
      <w:r>
        <w:rPr>
          <w:spacing w:val="-9"/>
          <w:w w:val="105"/>
          <w:sz w:val="21"/>
        </w:rPr>
        <w:t> </w:t>
      </w:r>
      <w:r>
        <w:rPr>
          <w:w w:val="105"/>
          <w:sz w:val="21"/>
        </w:rPr>
        <w:t>someone,</w:t>
      </w:r>
      <w:r>
        <w:rPr>
          <w:spacing w:val="-8"/>
          <w:w w:val="105"/>
          <w:sz w:val="21"/>
        </w:rPr>
        <w:t> </w:t>
      </w:r>
      <w:r>
        <w:rPr>
          <w:w w:val="105"/>
          <w:sz w:val="21"/>
        </w:rPr>
        <w:t>or</w:t>
      </w:r>
    </w:p>
    <w:p>
      <w:pPr>
        <w:pStyle w:val="BodyText"/>
        <w:spacing w:before="44"/>
        <w:ind w:left="2381"/>
        <w:rPr>
          <w:sz w:val="12"/>
        </w:rPr>
      </w:pPr>
      <w:r>
        <w:rPr>
          <w:w w:val="105"/>
        </w:rPr>
        <w:t>is not well supported in fact or law.</w:t>
      </w:r>
      <w:r>
        <w:rPr>
          <w:w w:val="105"/>
          <w:position w:val="7"/>
          <w:sz w:val="12"/>
        </w:rPr>
        <w:t>234</w:t>
      </w:r>
    </w:p>
    <w:p>
      <w:pPr>
        <w:pStyle w:val="ListParagraph"/>
        <w:numPr>
          <w:ilvl w:val="1"/>
          <w:numId w:val="114"/>
        </w:numPr>
        <w:tabs>
          <w:tab w:pos="2381" w:val="left" w:leader="none"/>
          <w:tab w:pos="2382" w:val="left" w:leader="none"/>
        </w:tabs>
        <w:spacing w:line="242" w:lineRule="auto" w:before="123" w:after="0"/>
        <w:ind w:left="2381" w:right="1659" w:hanging="794"/>
        <w:jc w:val="left"/>
        <w:rPr>
          <w:sz w:val="12"/>
        </w:rPr>
      </w:pPr>
      <w:r>
        <w:rPr>
          <w:w w:val="105"/>
          <w:sz w:val="21"/>
        </w:rPr>
        <w:t>Matters </w:t>
      </w:r>
      <w:r>
        <w:rPr>
          <w:spacing w:val="-3"/>
          <w:w w:val="105"/>
          <w:sz w:val="21"/>
        </w:rPr>
        <w:t>are </w:t>
      </w:r>
      <w:r>
        <w:rPr>
          <w:spacing w:val="-4"/>
          <w:w w:val="105"/>
          <w:sz w:val="21"/>
        </w:rPr>
        <w:t>likely </w:t>
      </w:r>
      <w:r>
        <w:rPr>
          <w:spacing w:val="-3"/>
          <w:w w:val="105"/>
          <w:sz w:val="21"/>
        </w:rPr>
        <w:t>to </w:t>
      </w:r>
      <w:r>
        <w:rPr>
          <w:w w:val="105"/>
          <w:sz w:val="21"/>
        </w:rPr>
        <w:t>be resolved more quickly in </w:t>
      </w:r>
      <w:r>
        <w:rPr>
          <w:spacing w:val="-8"/>
          <w:w w:val="105"/>
          <w:sz w:val="21"/>
        </w:rPr>
        <w:t>VCAT, </w:t>
      </w:r>
      <w:r>
        <w:rPr>
          <w:w w:val="105"/>
          <w:sz w:val="21"/>
        </w:rPr>
        <w:t>with </w:t>
      </w:r>
      <w:r>
        <w:rPr>
          <w:spacing w:val="-3"/>
          <w:w w:val="105"/>
          <w:sz w:val="21"/>
        </w:rPr>
        <w:t>many </w:t>
      </w:r>
      <w:r>
        <w:rPr>
          <w:w w:val="105"/>
          <w:sz w:val="21"/>
        </w:rPr>
        <w:t>matters </w:t>
      </w:r>
      <w:r>
        <w:rPr>
          <w:spacing w:val="-3"/>
          <w:w w:val="105"/>
          <w:sz w:val="21"/>
        </w:rPr>
        <w:t>heard within four to eight </w:t>
      </w:r>
      <w:r>
        <w:rPr>
          <w:w w:val="105"/>
          <w:sz w:val="21"/>
        </w:rPr>
        <w:t>weeks depending on their subject </w:t>
      </w:r>
      <w:r>
        <w:rPr>
          <w:spacing w:val="-3"/>
          <w:w w:val="105"/>
          <w:sz w:val="21"/>
        </w:rPr>
        <w:t>matter.</w:t>
      </w:r>
      <w:r>
        <w:rPr>
          <w:spacing w:val="-3"/>
          <w:w w:val="105"/>
          <w:position w:val="7"/>
          <w:sz w:val="12"/>
        </w:rPr>
        <w:t>235 </w:t>
      </w:r>
      <w:r>
        <w:rPr>
          <w:spacing w:val="-5"/>
          <w:w w:val="105"/>
          <w:sz w:val="21"/>
        </w:rPr>
        <w:t>VCAT </w:t>
      </w:r>
      <w:r>
        <w:rPr>
          <w:spacing w:val="-3"/>
          <w:w w:val="105"/>
          <w:sz w:val="21"/>
        </w:rPr>
        <w:t>aims to limit </w:t>
      </w:r>
      <w:r>
        <w:rPr>
          <w:w w:val="105"/>
          <w:sz w:val="21"/>
        </w:rPr>
        <w:t>the </w:t>
      </w:r>
      <w:r>
        <w:rPr>
          <w:spacing w:val="-3"/>
          <w:w w:val="105"/>
          <w:sz w:val="21"/>
        </w:rPr>
        <w:t>duration </w:t>
      </w:r>
      <w:r>
        <w:rPr>
          <w:w w:val="105"/>
          <w:sz w:val="21"/>
        </w:rPr>
        <w:t>of </w:t>
      </w:r>
      <w:r>
        <w:rPr>
          <w:spacing w:val="-3"/>
          <w:w w:val="105"/>
          <w:sz w:val="21"/>
        </w:rPr>
        <w:t>hearings </w:t>
      </w:r>
      <w:r>
        <w:rPr>
          <w:w w:val="105"/>
          <w:sz w:val="21"/>
        </w:rPr>
        <w:t>where practical so as </w:t>
      </w:r>
      <w:r>
        <w:rPr>
          <w:spacing w:val="-2"/>
          <w:w w:val="105"/>
          <w:sz w:val="21"/>
        </w:rPr>
        <w:t>not </w:t>
      </w:r>
      <w:r>
        <w:rPr>
          <w:spacing w:val="-3"/>
          <w:w w:val="105"/>
          <w:sz w:val="21"/>
        </w:rPr>
        <w:t>to overburden</w:t>
      </w:r>
      <w:r>
        <w:rPr>
          <w:spacing w:val="41"/>
          <w:w w:val="105"/>
          <w:sz w:val="21"/>
        </w:rPr>
        <w:t> </w:t>
      </w:r>
      <w:r>
        <w:rPr>
          <w:w w:val="105"/>
          <w:sz w:val="21"/>
        </w:rPr>
        <w:t>parties.</w:t>
      </w:r>
      <w:r>
        <w:rPr>
          <w:w w:val="105"/>
          <w:position w:val="7"/>
          <w:sz w:val="12"/>
        </w:rPr>
        <w:t>236</w:t>
      </w:r>
    </w:p>
    <w:p>
      <w:pPr>
        <w:pStyle w:val="Heading7"/>
      </w:pPr>
      <w:r>
        <w:rPr>
          <w:w w:val="115"/>
        </w:rPr>
        <w:t>Alternative dispute resolution and flexibility</w:t>
      </w:r>
    </w:p>
    <w:p>
      <w:pPr>
        <w:pStyle w:val="ListParagraph"/>
        <w:numPr>
          <w:ilvl w:val="1"/>
          <w:numId w:val="114"/>
        </w:numPr>
        <w:tabs>
          <w:tab w:pos="2381" w:val="left" w:leader="none"/>
          <w:tab w:pos="2382" w:val="left" w:leader="none"/>
        </w:tabs>
        <w:spacing w:line="242" w:lineRule="auto" w:before="143" w:after="0"/>
        <w:ind w:left="2381" w:right="2099" w:hanging="794"/>
        <w:jc w:val="left"/>
        <w:rPr>
          <w:sz w:val="12"/>
        </w:rPr>
      </w:pPr>
      <w:r>
        <w:rPr>
          <w:spacing w:val="-5"/>
          <w:w w:val="105"/>
          <w:sz w:val="21"/>
        </w:rPr>
        <w:t>Tree </w:t>
      </w:r>
      <w:r>
        <w:rPr>
          <w:spacing w:val="-3"/>
          <w:w w:val="105"/>
          <w:sz w:val="21"/>
        </w:rPr>
        <w:t>disputes </w:t>
      </w:r>
      <w:r>
        <w:rPr>
          <w:w w:val="105"/>
          <w:sz w:val="21"/>
        </w:rPr>
        <w:t>in </w:t>
      </w:r>
      <w:r>
        <w:rPr>
          <w:spacing w:val="-3"/>
          <w:w w:val="105"/>
          <w:sz w:val="21"/>
        </w:rPr>
        <w:t>Queensland </w:t>
      </w:r>
      <w:r>
        <w:rPr>
          <w:w w:val="105"/>
          <w:sz w:val="21"/>
        </w:rPr>
        <w:t>and </w:t>
      </w:r>
      <w:r>
        <w:rPr>
          <w:spacing w:val="-5"/>
          <w:w w:val="105"/>
          <w:sz w:val="21"/>
        </w:rPr>
        <w:t>Tasmania </w:t>
      </w:r>
      <w:r>
        <w:rPr>
          <w:w w:val="105"/>
          <w:sz w:val="21"/>
        </w:rPr>
        <w:t>can often be resolved at mediation or negotiation prior </w:t>
      </w:r>
      <w:r>
        <w:rPr>
          <w:spacing w:val="-3"/>
          <w:w w:val="105"/>
          <w:sz w:val="21"/>
        </w:rPr>
        <w:t>to </w:t>
      </w:r>
      <w:r>
        <w:rPr>
          <w:w w:val="105"/>
          <w:sz w:val="21"/>
        </w:rPr>
        <w:t>a hearing.</w:t>
      </w:r>
      <w:r>
        <w:rPr>
          <w:w w:val="105"/>
          <w:position w:val="7"/>
          <w:sz w:val="12"/>
        </w:rPr>
        <w:t>237 </w:t>
      </w:r>
      <w:r>
        <w:rPr>
          <w:spacing w:val="-5"/>
          <w:w w:val="105"/>
          <w:sz w:val="21"/>
        </w:rPr>
        <w:t>QCAT’s </w:t>
      </w:r>
      <w:r>
        <w:rPr>
          <w:w w:val="105"/>
          <w:sz w:val="21"/>
        </w:rPr>
        <w:t>resolution </w:t>
      </w:r>
      <w:r>
        <w:rPr>
          <w:spacing w:val="-3"/>
          <w:w w:val="105"/>
          <w:sz w:val="21"/>
        </w:rPr>
        <w:t>rates through </w:t>
      </w:r>
      <w:r>
        <w:rPr>
          <w:w w:val="105"/>
          <w:sz w:val="21"/>
        </w:rPr>
        <w:t>ADR processes </w:t>
      </w:r>
      <w:r>
        <w:rPr>
          <w:spacing w:val="-4"/>
          <w:w w:val="105"/>
          <w:sz w:val="21"/>
        </w:rPr>
        <w:t>are </w:t>
      </w:r>
      <w:r>
        <w:rPr>
          <w:w w:val="105"/>
          <w:sz w:val="21"/>
        </w:rPr>
        <w:t>high.</w:t>
      </w:r>
      <w:r>
        <w:rPr>
          <w:w w:val="105"/>
          <w:position w:val="7"/>
          <w:sz w:val="12"/>
        </w:rPr>
        <w:t>238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r>
        <w:rPr/>
        <w:pict>
          <v:line style="position:absolute;mso-position-horizontal-relative:page;mso-position-vertical-relative:paragraph;z-index:6872;mso-wrap-distance-left:0;mso-wrap-distance-right:0" from="79.370102pt,14.602243pt" to="515.905102pt,14.60224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21"/>
        </w:numPr>
        <w:tabs>
          <w:tab w:pos="2380" w:val="left" w:leader="none"/>
          <w:tab w:pos="2382" w:val="left" w:leader="none"/>
        </w:tabs>
        <w:spacing w:line="240" w:lineRule="auto" w:before="48" w:after="0"/>
        <w:ind w:left="2381" w:right="212" w:hanging="794"/>
        <w:jc w:val="left"/>
        <w:rPr>
          <w:sz w:val="13"/>
        </w:rPr>
      </w:pPr>
      <w:r>
        <w:rPr>
          <w:sz w:val="13"/>
        </w:rPr>
        <w:t>Victorian Civil and Administrative Tribunal, </w:t>
      </w:r>
      <w:r>
        <w:rPr>
          <w:i/>
          <w:sz w:val="13"/>
        </w:rPr>
        <w:t>Fee Relief </w:t>
      </w:r>
      <w:r>
        <w:rPr>
          <w:sz w:val="13"/>
        </w:rPr>
        <w:t>(Web Page) </w:t>
      </w:r>
      <w:r>
        <w:rPr>
          <w:spacing w:val="2"/>
          <w:sz w:val="13"/>
        </w:rPr>
        <w:t>&lt;https://</w:t>
      </w:r>
      <w:hyperlink r:id="rId193">
        <w:r>
          <w:rPr>
            <w:spacing w:val="2"/>
            <w:sz w:val="13"/>
          </w:rPr>
          <w:t>www.vcat.vic.gov.au/steps-to-resolve-your-case/fees-at-vcat/</w:t>
        </w:r>
      </w:hyperlink>
      <w:r>
        <w:rPr>
          <w:spacing w:val="2"/>
          <w:sz w:val="13"/>
        </w:rPr>
        <w:t> </w:t>
      </w:r>
      <w:r>
        <w:rPr>
          <w:sz w:val="13"/>
        </w:rPr>
        <w:t>fee-relief&gt;.</w:t>
      </w:r>
    </w:p>
    <w:p>
      <w:pPr>
        <w:pStyle w:val="ListParagraph"/>
        <w:numPr>
          <w:ilvl w:val="0"/>
          <w:numId w:val="121"/>
        </w:numPr>
        <w:tabs>
          <w:tab w:pos="2380"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121"/>
        </w:numPr>
        <w:tabs>
          <w:tab w:pos="2380" w:val="left" w:leader="none"/>
          <w:tab w:pos="2382" w:val="left" w:leader="none"/>
        </w:tabs>
        <w:spacing w:line="240" w:lineRule="auto" w:before="1" w:after="0"/>
        <w:ind w:left="2381" w:right="231" w:hanging="794"/>
        <w:jc w:val="left"/>
        <w:rPr>
          <w:sz w:val="13"/>
        </w:rPr>
      </w:pPr>
      <w:r>
        <w:rPr>
          <w:i/>
          <w:w w:val="105"/>
          <w:sz w:val="13"/>
        </w:rPr>
        <w:t>Victorian Civil and Administrative Tribunal Act 1998 </w:t>
      </w:r>
      <w:r>
        <w:rPr>
          <w:spacing w:val="2"/>
          <w:w w:val="105"/>
          <w:sz w:val="13"/>
        </w:rPr>
        <w:t>(Vic) </w:t>
      </w:r>
      <w:r>
        <w:rPr>
          <w:w w:val="105"/>
          <w:sz w:val="13"/>
        </w:rPr>
        <w:t>s 109(1); see also Victorian Civil and Administrative Tribunal, </w:t>
      </w:r>
      <w:r>
        <w:rPr>
          <w:i/>
          <w:w w:val="105"/>
          <w:sz w:val="13"/>
        </w:rPr>
        <w:t>Who Pays For My </w:t>
      </w:r>
      <w:r>
        <w:rPr>
          <w:i/>
          <w:w w:val="105"/>
          <w:sz w:val="13"/>
        </w:rPr>
        <w:t>Legal Costs? </w:t>
      </w:r>
      <w:r>
        <w:rPr>
          <w:w w:val="105"/>
          <w:sz w:val="13"/>
        </w:rPr>
        <w:t>(Web Page)</w:t>
      </w:r>
      <w:r>
        <w:rPr>
          <w:spacing w:val="-8"/>
          <w:w w:val="105"/>
          <w:sz w:val="13"/>
        </w:rPr>
        <w:t> </w:t>
      </w:r>
      <w:r>
        <w:rPr>
          <w:spacing w:val="2"/>
          <w:w w:val="105"/>
          <w:sz w:val="13"/>
        </w:rPr>
        <w:t>&lt;https://</w:t>
      </w:r>
      <w:hyperlink r:id="rId194">
        <w:r>
          <w:rPr>
            <w:spacing w:val="2"/>
            <w:w w:val="105"/>
            <w:sz w:val="13"/>
          </w:rPr>
          <w:t>www.vcat.vic.gov.au/steps-to-resolve-your-case/on-hearing-day/who-pays-for-my-legal-costs</w:t>
        </w:r>
      </w:hyperlink>
      <w:r>
        <w:rPr>
          <w:spacing w:val="2"/>
          <w:w w:val="105"/>
          <w:sz w:val="13"/>
        </w:rPr>
        <w:t>&gt;.</w:t>
      </w:r>
    </w:p>
    <w:p>
      <w:pPr>
        <w:pStyle w:val="ListParagraph"/>
        <w:numPr>
          <w:ilvl w:val="0"/>
          <w:numId w:val="121"/>
        </w:numPr>
        <w:tabs>
          <w:tab w:pos="2380" w:val="left" w:leader="none"/>
          <w:tab w:pos="2382" w:val="left" w:leader="none"/>
        </w:tabs>
        <w:spacing w:line="240" w:lineRule="auto" w:before="3" w:after="0"/>
        <w:ind w:left="2381" w:right="0" w:hanging="794"/>
        <w:jc w:val="left"/>
        <w:rPr>
          <w:sz w:val="13"/>
        </w:rPr>
      </w:pPr>
      <w:r>
        <w:rPr>
          <w:w w:val="105"/>
          <w:sz w:val="13"/>
        </w:rPr>
        <w:t>Submission 31 </w:t>
      </w:r>
      <w:r>
        <w:rPr>
          <w:spacing w:val="2"/>
          <w:w w:val="105"/>
          <w:sz w:val="13"/>
        </w:rPr>
        <w:t>(Barwon </w:t>
      </w:r>
      <w:r>
        <w:rPr>
          <w:w w:val="105"/>
          <w:sz w:val="13"/>
        </w:rPr>
        <w:t>Community Legal</w:t>
      </w:r>
      <w:r>
        <w:rPr>
          <w:spacing w:val="21"/>
          <w:w w:val="105"/>
          <w:sz w:val="13"/>
        </w:rPr>
        <w:t> </w:t>
      </w:r>
      <w:r>
        <w:rPr>
          <w:spacing w:val="2"/>
          <w:w w:val="105"/>
          <w:sz w:val="13"/>
        </w:rPr>
        <w:t>Service).</w:t>
      </w:r>
    </w:p>
    <w:p>
      <w:pPr>
        <w:pStyle w:val="ListParagraph"/>
        <w:numPr>
          <w:ilvl w:val="0"/>
          <w:numId w:val="121"/>
        </w:numPr>
        <w:tabs>
          <w:tab w:pos="2380" w:val="left" w:leader="none"/>
          <w:tab w:pos="2382" w:val="left" w:leader="none"/>
        </w:tabs>
        <w:spacing w:line="240" w:lineRule="auto" w:before="1"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121"/>
        </w:numPr>
        <w:tabs>
          <w:tab w:pos="2380" w:val="left" w:leader="none"/>
          <w:tab w:pos="2382" w:val="left" w:leader="none"/>
        </w:tabs>
        <w:spacing w:line="240" w:lineRule="auto" w:before="1" w:after="0"/>
        <w:ind w:left="2381" w:right="83" w:hanging="794"/>
        <w:jc w:val="left"/>
        <w:rPr>
          <w:sz w:val="13"/>
        </w:rPr>
      </w:pPr>
      <w:r>
        <w:rPr>
          <w:w w:val="105"/>
          <w:sz w:val="13"/>
        </w:rPr>
        <w:t>For a full list of circumstances in which VCAT can award costs, see </w:t>
      </w:r>
      <w:r>
        <w:rPr>
          <w:i/>
          <w:w w:val="105"/>
          <w:sz w:val="13"/>
        </w:rPr>
        <w:t>Victorian Civil and Administrative Tribunal Act 1998 </w:t>
      </w:r>
      <w:r>
        <w:rPr>
          <w:spacing w:val="2"/>
          <w:w w:val="105"/>
          <w:sz w:val="13"/>
        </w:rPr>
        <w:t>(Vic) </w:t>
      </w:r>
      <w:r>
        <w:rPr>
          <w:w w:val="105"/>
          <w:sz w:val="13"/>
        </w:rPr>
        <w:t>s 109(1); see   also Victorian Civil and Administrative Tribunal, </w:t>
      </w:r>
      <w:r>
        <w:rPr>
          <w:i/>
          <w:w w:val="105"/>
          <w:sz w:val="13"/>
        </w:rPr>
        <w:t>Who Pays For My Legal Costs? </w:t>
      </w:r>
      <w:r>
        <w:rPr>
          <w:w w:val="105"/>
          <w:sz w:val="13"/>
        </w:rPr>
        <w:t>(Web Page) &lt;https://</w:t>
      </w:r>
      <w:hyperlink r:id="rId195">
        <w:r>
          <w:rPr>
            <w:w w:val="105"/>
            <w:sz w:val="13"/>
          </w:rPr>
          <w:t>www.vcat.vic.gov.au/steps-to-resolve-</w:t>
        </w:r>
      </w:hyperlink>
      <w:r>
        <w:rPr>
          <w:w w:val="105"/>
          <w:sz w:val="13"/>
        </w:rPr>
        <w:t> </w:t>
      </w:r>
      <w:r>
        <w:rPr>
          <w:spacing w:val="2"/>
          <w:w w:val="105"/>
          <w:sz w:val="13"/>
        </w:rPr>
        <w:t>your-case/on-hearing-day/who-pays-for-my-legal-costs&gt;.</w:t>
      </w:r>
    </w:p>
    <w:p>
      <w:pPr>
        <w:pStyle w:val="ListParagraph"/>
        <w:numPr>
          <w:ilvl w:val="0"/>
          <w:numId w:val="121"/>
        </w:numPr>
        <w:tabs>
          <w:tab w:pos="2380" w:val="left" w:leader="none"/>
          <w:tab w:pos="2382" w:val="left" w:leader="none"/>
        </w:tabs>
        <w:spacing w:line="240" w:lineRule="auto" w:before="4" w:after="0"/>
        <w:ind w:left="2381" w:right="0" w:hanging="794"/>
        <w:jc w:val="left"/>
        <w:rPr>
          <w:sz w:val="13"/>
        </w:rPr>
      </w:pPr>
      <w:r>
        <w:rPr>
          <w:w w:val="105"/>
          <w:sz w:val="13"/>
        </w:rPr>
        <w:t>For example, owners corporation matters take eight weeks to reach a final hearing; residential tenancies matters take two weeks from the termination date to reach a final hearing; civil claims such as for goods and services take eight weeks to reach a final hearing. Some matters   in the Building and </w:t>
      </w:r>
      <w:r>
        <w:rPr>
          <w:spacing w:val="2"/>
          <w:w w:val="105"/>
          <w:sz w:val="13"/>
        </w:rPr>
        <w:t>Property </w:t>
      </w:r>
      <w:r>
        <w:rPr>
          <w:w w:val="105"/>
          <w:sz w:val="13"/>
        </w:rPr>
        <w:t>List are resolved in eight weeks but many matters ‘may take longer for other reasons, such as the complexity      of legal and technical issues particularly where the dispute concerns multi-unit developments, multiple related files, additional parties are joined to a proceeding and defects are identified after a proceeding starts.’: See Victorian Civil and Administrative Tribunal, </w:t>
      </w:r>
      <w:r>
        <w:rPr>
          <w:i/>
          <w:w w:val="105"/>
          <w:sz w:val="13"/>
        </w:rPr>
        <w:t>How Long a    </w:t>
      </w:r>
      <w:r>
        <w:rPr>
          <w:i/>
          <w:w w:val="105"/>
          <w:sz w:val="13"/>
        </w:rPr>
        <w:t>VCAT Case Takes </w:t>
      </w:r>
      <w:r>
        <w:rPr>
          <w:w w:val="105"/>
          <w:sz w:val="13"/>
        </w:rPr>
        <w:t>(Web Page)</w:t>
      </w:r>
      <w:r>
        <w:rPr>
          <w:spacing w:val="20"/>
          <w:w w:val="105"/>
          <w:sz w:val="13"/>
        </w:rPr>
        <w:t> </w:t>
      </w:r>
      <w:r>
        <w:rPr>
          <w:spacing w:val="2"/>
          <w:w w:val="105"/>
          <w:sz w:val="13"/>
        </w:rPr>
        <w:t>&lt;https://</w:t>
      </w:r>
      <w:hyperlink r:id="rId196">
        <w:r>
          <w:rPr>
            <w:spacing w:val="2"/>
            <w:w w:val="105"/>
            <w:sz w:val="13"/>
          </w:rPr>
          <w:t>www.vcat.vic.gov.au/about-us/how-long-a-vcat-case-takes</w:t>
        </w:r>
      </w:hyperlink>
      <w:r>
        <w:rPr>
          <w:spacing w:val="2"/>
          <w:w w:val="105"/>
          <w:sz w:val="13"/>
        </w:rPr>
        <w:t>&gt;</w:t>
      </w:r>
    </w:p>
    <w:p>
      <w:pPr>
        <w:pStyle w:val="ListParagraph"/>
        <w:numPr>
          <w:ilvl w:val="0"/>
          <w:numId w:val="121"/>
        </w:numPr>
        <w:tabs>
          <w:tab w:pos="2381" w:val="left" w:leader="none"/>
          <w:tab w:pos="2382" w:val="left" w:leader="none"/>
        </w:tabs>
        <w:spacing w:line="240" w:lineRule="auto" w:before="8" w:after="0"/>
        <w:ind w:left="2381" w:right="0" w:hanging="794"/>
        <w:jc w:val="left"/>
        <w:rPr>
          <w:sz w:val="13"/>
        </w:rPr>
      </w:pPr>
      <w:r>
        <w:rPr>
          <w:w w:val="105"/>
          <w:sz w:val="13"/>
        </w:rPr>
        <w:t>Consultation 5 </w:t>
      </w:r>
      <w:r>
        <w:rPr>
          <w:spacing w:val="2"/>
          <w:w w:val="105"/>
          <w:sz w:val="13"/>
        </w:rPr>
        <w:t>(Victorian </w:t>
      </w:r>
      <w:r>
        <w:rPr>
          <w:w w:val="105"/>
          <w:sz w:val="13"/>
        </w:rPr>
        <w:t>Civil and Administrative</w:t>
      </w:r>
      <w:r>
        <w:rPr>
          <w:spacing w:val="25"/>
          <w:w w:val="105"/>
          <w:sz w:val="13"/>
        </w:rPr>
        <w:t> </w:t>
      </w:r>
      <w:r>
        <w:rPr>
          <w:w w:val="105"/>
          <w:sz w:val="13"/>
        </w:rPr>
        <w:t>Tribunal).</w:t>
      </w:r>
    </w:p>
    <w:p>
      <w:pPr>
        <w:pStyle w:val="ListParagraph"/>
        <w:numPr>
          <w:ilvl w:val="0"/>
          <w:numId w:val="121"/>
        </w:numPr>
        <w:tabs>
          <w:tab w:pos="2381" w:val="left" w:leader="none"/>
          <w:tab w:pos="2382" w:val="left" w:leader="none"/>
        </w:tabs>
        <w:spacing w:line="240" w:lineRule="auto" w:before="2" w:after="0"/>
        <w:ind w:left="2381" w:right="0" w:hanging="794"/>
        <w:jc w:val="left"/>
        <w:rPr>
          <w:sz w:val="13"/>
        </w:rPr>
      </w:pPr>
      <w:r>
        <w:rPr>
          <w:w w:val="105"/>
          <w:sz w:val="13"/>
        </w:rPr>
        <w:t>Consultation</w:t>
      </w:r>
      <w:r>
        <w:rPr>
          <w:spacing w:val="5"/>
          <w:w w:val="105"/>
          <w:sz w:val="13"/>
        </w:rPr>
        <w:t> </w:t>
      </w:r>
      <w:r>
        <w:rPr>
          <w:spacing w:val="-3"/>
          <w:w w:val="105"/>
          <w:sz w:val="13"/>
        </w:rPr>
        <w:t>15</w:t>
      </w:r>
      <w:r>
        <w:rPr>
          <w:spacing w:val="6"/>
          <w:w w:val="105"/>
          <w:sz w:val="13"/>
        </w:rPr>
        <w:t> </w:t>
      </w:r>
      <w:r>
        <w:rPr>
          <w:w w:val="105"/>
          <w:sz w:val="13"/>
        </w:rPr>
        <w:t>(Queensland</w:t>
      </w:r>
      <w:r>
        <w:rPr>
          <w:spacing w:val="5"/>
          <w:w w:val="105"/>
          <w:sz w:val="13"/>
        </w:rPr>
        <w:t> </w:t>
      </w:r>
      <w:r>
        <w:rPr>
          <w:w w:val="105"/>
          <w:sz w:val="13"/>
        </w:rPr>
        <w:t>Civil</w:t>
      </w:r>
      <w:r>
        <w:rPr>
          <w:spacing w:val="6"/>
          <w:w w:val="105"/>
          <w:sz w:val="13"/>
        </w:rPr>
        <w:t> </w:t>
      </w:r>
      <w:r>
        <w:rPr>
          <w:w w:val="105"/>
          <w:sz w:val="13"/>
        </w:rPr>
        <w:t>and</w:t>
      </w:r>
      <w:r>
        <w:rPr>
          <w:spacing w:val="5"/>
          <w:w w:val="105"/>
          <w:sz w:val="13"/>
        </w:rPr>
        <w:t> </w:t>
      </w:r>
      <w:r>
        <w:rPr>
          <w:w w:val="105"/>
          <w:sz w:val="13"/>
        </w:rPr>
        <w:t>Administrative</w:t>
      </w:r>
      <w:r>
        <w:rPr>
          <w:spacing w:val="6"/>
          <w:w w:val="105"/>
          <w:sz w:val="13"/>
        </w:rPr>
        <w:t> </w:t>
      </w:r>
      <w:r>
        <w:rPr>
          <w:w w:val="105"/>
          <w:sz w:val="13"/>
        </w:rPr>
        <w:t>Tribunal);</w:t>
      </w:r>
      <w:r>
        <w:rPr>
          <w:spacing w:val="6"/>
          <w:w w:val="105"/>
          <w:sz w:val="13"/>
        </w:rPr>
        <w:t> </w:t>
      </w:r>
      <w:r>
        <w:rPr>
          <w:w w:val="105"/>
          <w:sz w:val="13"/>
        </w:rPr>
        <w:t>information</w:t>
      </w:r>
      <w:r>
        <w:rPr>
          <w:spacing w:val="5"/>
          <w:w w:val="105"/>
          <w:sz w:val="13"/>
        </w:rPr>
        <w:t> </w:t>
      </w:r>
      <w:r>
        <w:rPr>
          <w:w w:val="105"/>
          <w:sz w:val="13"/>
        </w:rPr>
        <w:t>provided</w:t>
      </w:r>
      <w:r>
        <w:rPr>
          <w:spacing w:val="6"/>
          <w:w w:val="105"/>
          <w:sz w:val="13"/>
        </w:rPr>
        <w:t> </w:t>
      </w:r>
      <w:r>
        <w:rPr>
          <w:w w:val="105"/>
          <w:sz w:val="13"/>
        </w:rPr>
        <w:t>by</w:t>
      </w:r>
      <w:r>
        <w:rPr>
          <w:spacing w:val="5"/>
          <w:w w:val="105"/>
          <w:sz w:val="13"/>
        </w:rPr>
        <w:t> </w:t>
      </w:r>
      <w:r>
        <w:rPr>
          <w:w w:val="105"/>
          <w:sz w:val="13"/>
        </w:rPr>
        <w:t>RMPAT</w:t>
      </w:r>
      <w:r>
        <w:rPr>
          <w:spacing w:val="6"/>
          <w:w w:val="105"/>
          <w:sz w:val="13"/>
        </w:rPr>
        <w:t> </w:t>
      </w:r>
      <w:r>
        <w:rPr>
          <w:w w:val="105"/>
          <w:sz w:val="13"/>
        </w:rPr>
        <w:t>to</w:t>
      </w:r>
      <w:r>
        <w:rPr>
          <w:spacing w:val="5"/>
          <w:w w:val="105"/>
          <w:sz w:val="13"/>
        </w:rPr>
        <w:t> </w:t>
      </w:r>
      <w:r>
        <w:rPr>
          <w:w w:val="105"/>
          <w:sz w:val="13"/>
        </w:rPr>
        <w:t>the</w:t>
      </w:r>
      <w:r>
        <w:rPr>
          <w:spacing w:val="6"/>
          <w:w w:val="105"/>
          <w:sz w:val="13"/>
        </w:rPr>
        <w:t> </w:t>
      </w:r>
      <w:r>
        <w:rPr>
          <w:w w:val="105"/>
          <w:sz w:val="13"/>
        </w:rPr>
        <w:t>Commission,</w:t>
      </w:r>
      <w:r>
        <w:rPr>
          <w:spacing w:val="6"/>
          <w:w w:val="105"/>
          <w:sz w:val="13"/>
        </w:rPr>
        <w:t> </w:t>
      </w:r>
      <w:r>
        <w:rPr>
          <w:w w:val="105"/>
          <w:sz w:val="13"/>
        </w:rPr>
        <w:t>April</w:t>
      </w:r>
      <w:r>
        <w:rPr>
          <w:spacing w:val="5"/>
          <w:w w:val="105"/>
          <w:sz w:val="13"/>
        </w:rPr>
        <w:t> </w:t>
      </w:r>
      <w:r>
        <w:rPr>
          <w:w w:val="105"/>
          <w:sz w:val="13"/>
        </w:rPr>
        <w:t>2019.</w:t>
      </w:r>
    </w:p>
    <w:p>
      <w:pPr>
        <w:pStyle w:val="ListParagraph"/>
        <w:numPr>
          <w:ilvl w:val="0"/>
          <w:numId w:val="121"/>
        </w:numPr>
        <w:tabs>
          <w:tab w:pos="2381" w:val="left" w:leader="none"/>
          <w:tab w:pos="2382" w:val="left" w:leader="none"/>
        </w:tabs>
        <w:spacing w:line="240" w:lineRule="auto" w:before="1" w:after="0"/>
        <w:ind w:left="2381" w:right="0" w:hanging="794"/>
        <w:jc w:val="left"/>
        <w:rPr>
          <w:sz w:val="13"/>
        </w:rPr>
      </w:pPr>
      <w:r>
        <w:rPr>
          <w:w w:val="105"/>
          <w:sz w:val="13"/>
        </w:rPr>
        <w:t>Consultation </w:t>
      </w:r>
      <w:r>
        <w:rPr>
          <w:spacing w:val="-3"/>
          <w:w w:val="105"/>
          <w:sz w:val="13"/>
        </w:rPr>
        <w:t>15 </w:t>
      </w:r>
      <w:r>
        <w:rPr>
          <w:w w:val="105"/>
          <w:sz w:val="13"/>
        </w:rPr>
        <w:t>(Queensland Civil and Administrative Tribunal).</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35"/>
        </w:rPr>
      </w:pPr>
    </w:p>
    <w:p>
      <w:pPr>
        <w:spacing w:before="0"/>
        <w:ind w:left="560" w:right="571" w:firstLine="0"/>
        <w:jc w:val="center"/>
        <w:rPr>
          <w:b/>
          <w:sz w:val="24"/>
        </w:rPr>
      </w:pPr>
      <w:r>
        <w:rPr>
          <w:b/>
          <w:color w:val="658464"/>
          <w:w w:val="110"/>
          <w:sz w:val="24"/>
        </w:rPr>
        <w:t>153</w:t>
      </w:r>
    </w:p>
    <w:p>
      <w:pPr>
        <w:spacing w:after="0"/>
        <w:jc w:val="center"/>
        <w:rPr>
          <w:sz w:val="24"/>
        </w:rPr>
        <w:sectPr>
          <w:type w:val="continuous"/>
          <w:pgSz w:w="11910" w:h="16840"/>
          <w:pgMar w:top="300" w:bottom="280" w:left="0" w:right="0"/>
          <w:cols w:num="2" w:equalWidth="0">
            <w:col w:w="10292" w:space="40"/>
            <w:col w:w="1578"/>
          </w:cols>
        </w:sectPr>
      </w:pPr>
    </w:p>
    <w:p>
      <w:pPr>
        <w:pStyle w:val="BodyText"/>
        <w:spacing w:before="9"/>
        <w:rPr>
          <w:b/>
          <w:sz w:val="22"/>
        </w:rPr>
      </w:pPr>
    </w:p>
    <w:p>
      <w:pPr>
        <w:pStyle w:val="ListParagraph"/>
        <w:numPr>
          <w:ilvl w:val="1"/>
          <w:numId w:val="114"/>
        </w:numPr>
        <w:tabs>
          <w:tab w:pos="2380" w:val="left" w:leader="none"/>
          <w:tab w:pos="2381" w:val="left" w:leader="none"/>
        </w:tabs>
        <w:spacing w:line="242" w:lineRule="auto" w:before="92" w:after="0"/>
        <w:ind w:left="2381" w:right="1653" w:hanging="794"/>
        <w:jc w:val="left"/>
        <w:rPr>
          <w:sz w:val="21"/>
        </w:rPr>
      </w:pPr>
      <w:r>
        <w:rPr>
          <w:spacing w:val="-5"/>
          <w:w w:val="105"/>
          <w:sz w:val="21"/>
        </w:rPr>
        <w:t>VCAT </w:t>
      </w:r>
      <w:r>
        <w:rPr>
          <w:spacing w:val="-3"/>
          <w:w w:val="105"/>
          <w:sz w:val="21"/>
        </w:rPr>
        <w:t>already </w:t>
      </w:r>
      <w:r>
        <w:rPr>
          <w:w w:val="105"/>
          <w:sz w:val="21"/>
        </w:rPr>
        <w:t>offers extensive ADR services.</w:t>
      </w:r>
      <w:r>
        <w:rPr>
          <w:w w:val="105"/>
          <w:position w:val="7"/>
          <w:sz w:val="12"/>
        </w:rPr>
        <w:t>239 </w:t>
      </w:r>
      <w:r>
        <w:rPr>
          <w:spacing w:val="-3"/>
          <w:w w:val="105"/>
          <w:sz w:val="21"/>
        </w:rPr>
        <w:t>Importantly, </w:t>
      </w:r>
      <w:r>
        <w:rPr>
          <w:w w:val="105"/>
          <w:sz w:val="21"/>
        </w:rPr>
        <w:t>in </w:t>
      </w:r>
      <w:r>
        <w:rPr>
          <w:spacing w:val="-9"/>
          <w:w w:val="105"/>
          <w:sz w:val="21"/>
        </w:rPr>
        <w:t>2017 </w:t>
      </w:r>
      <w:r>
        <w:rPr>
          <w:spacing w:val="-5"/>
          <w:w w:val="105"/>
          <w:sz w:val="21"/>
        </w:rPr>
        <w:t>VCAT </w:t>
      </w:r>
      <w:r>
        <w:rPr>
          <w:w w:val="105"/>
          <w:sz w:val="21"/>
        </w:rPr>
        <w:t>and DSCV </w:t>
      </w:r>
      <w:r>
        <w:rPr>
          <w:spacing w:val="-3"/>
          <w:w w:val="105"/>
          <w:sz w:val="21"/>
        </w:rPr>
        <w:t>formally </w:t>
      </w:r>
      <w:r>
        <w:rPr>
          <w:w w:val="105"/>
          <w:sz w:val="21"/>
        </w:rPr>
        <w:t>partnered </w:t>
      </w:r>
      <w:r>
        <w:rPr>
          <w:spacing w:val="-3"/>
          <w:w w:val="105"/>
          <w:sz w:val="21"/>
        </w:rPr>
        <w:t>to </w:t>
      </w:r>
      <w:r>
        <w:rPr>
          <w:w w:val="105"/>
          <w:sz w:val="21"/>
        </w:rPr>
        <w:t>expand the </w:t>
      </w:r>
      <w:r>
        <w:rPr>
          <w:spacing w:val="-3"/>
          <w:w w:val="105"/>
          <w:sz w:val="21"/>
        </w:rPr>
        <w:t>provision </w:t>
      </w:r>
      <w:r>
        <w:rPr>
          <w:w w:val="105"/>
          <w:sz w:val="21"/>
        </w:rPr>
        <w:t>of </w:t>
      </w:r>
      <w:r>
        <w:rPr>
          <w:spacing w:val="-3"/>
          <w:w w:val="105"/>
          <w:sz w:val="21"/>
        </w:rPr>
        <w:t>DSCV’s </w:t>
      </w:r>
      <w:r>
        <w:rPr>
          <w:w w:val="105"/>
          <w:sz w:val="21"/>
        </w:rPr>
        <w:t>ADR services </w:t>
      </w:r>
      <w:r>
        <w:rPr>
          <w:spacing w:val="-3"/>
          <w:w w:val="105"/>
          <w:sz w:val="21"/>
        </w:rPr>
        <w:t>to </w:t>
      </w:r>
      <w:r>
        <w:rPr>
          <w:spacing w:val="-5"/>
          <w:w w:val="105"/>
          <w:sz w:val="21"/>
        </w:rPr>
        <w:t>VCAT.</w:t>
      </w:r>
      <w:r>
        <w:rPr>
          <w:spacing w:val="-5"/>
          <w:w w:val="105"/>
          <w:position w:val="7"/>
          <w:sz w:val="12"/>
        </w:rPr>
        <w:t>240 </w:t>
      </w:r>
      <w:r>
        <w:rPr>
          <w:spacing w:val="-4"/>
          <w:w w:val="105"/>
          <w:sz w:val="21"/>
        </w:rPr>
        <w:t>DSCV’s </w:t>
      </w:r>
      <w:r>
        <w:rPr>
          <w:w w:val="105"/>
          <w:sz w:val="21"/>
        </w:rPr>
        <w:t>experience in </w:t>
      </w:r>
      <w:r>
        <w:rPr>
          <w:spacing w:val="-3"/>
          <w:w w:val="105"/>
          <w:sz w:val="21"/>
        </w:rPr>
        <w:t>managing </w:t>
      </w:r>
      <w:r>
        <w:rPr>
          <w:w w:val="105"/>
          <w:sz w:val="21"/>
        </w:rPr>
        <w:t>tree </w:t>
      </w:r>
      <w:r>
        <w:rPr>
          <w:spacing w:val="-3"/>
          <w:w w:val="105"/>
          <w:sz w:val="21"/>
        </w:rPr>
        <w:t>disputes will </w:t>
      </w:r>
      <w:r>
        <w:rPr>
          <w:w w:val="105"/>
          <w:sz w:val="21"/>
        </w:rPr>
        <w:t>be of </w:t>
      </w:r>
      <w:r>
        <w:rPr>
          <w:spacing w:val="-3"/>
          <w:w w:val="105"/>
          <w:sz w:val="21"/>
        </w:rPr>
        <w:t>great </w:t>
      </w:r>
      <w:r>
        <w:rPr>
          <w:w w:val="105"/>
          <w:sz w:val="21"/>
        </w:rPr>
        <w:t>benefit </w:t>
      </w:r>
      <w:r>
        <w:rPr>
          <w:spacing w:val="-3"/>
          <w:w w:val="105"/>
          <w:sz w:val="21"/>
        </w:rPr>
        <w:t>to </w:t>
      </w:r>
      <w:r>
        <w:rPr>
          <w:spacing w:val="-5"/>
          <w:w w:val="105"/>
          <w:sz w:val="21"/>
        </w:rPr>
        <w:t>VCAT </w:t>
      </w:r>
      <w:r>
        <w:rPr>
          <w:w w:val="105"/>
          <w:sz w:val="21"/>
        </w:rPr>
        <w:t>in </w:t>
      </w:r>
      <w:r>
        <w:rPr>
          <w:spacing w:val="-3"/>
          <w:w w:val="105"/>
          <w:sz w:val="21"/>
        </w:rPr>
        <w:t>determining </w:t>
      </w:r>
      <w:r>
        <w:rPr>
          <w:w w:val="105"/>
          <w:sz w:val="21"/>
        </w:rPr>
        <w:t>tree </w:t>
      </w:r>
      <w:r>
        <w:rPr>
          <w:spacing w:val="-3"/>
          <w:w w:val="105"/>
          <w:sz w:val="21"/>
        </w:rPr>
        <w:t>disputes. </w:t>
      </w:r>
      <w:r>
        <w:rPr>
          <w:w w:val="105"/>
          <w:sz w:val="21"/>
        </w:rPr>
        <w:t>The </w:t>
      </w:r>
      <w:r>
        <w:rPr>
          <w:spacing w:val="-3"/>
          <w:w w:val="105"/>
          <w:sz w:val="21"/>
        </w:rPr>
        <w:t>Commission </w:t>
      </w:r>
      <w:r>
        <w:rPr>
          <w:w w:val="105"/>
          <w:sz w:val="21"/>
        </w:rPr>
        <w:t>considers </w:t>
      </w:r>
      <w:r>
        <w:rPr>
          <w:spacing w:val="-3"/>
          <w:w w:val="105"/>
          <w:sz w:val="21"/>
        </w:rPr>
        <w:t>that </w:t>
      </w:r>
      <w:r>
        <w:rPr>
          <w:spacing w:val="-6"/>
          <w:w w:val="105"/>
          <w:sz w:val="21"/>
        </w:rPr>
        <w:t>VCAT’s </w:t>
      </w:r>
      <w:r>
        <w:rPr>
          <w:w w:val="105"/>
          <w:sz w:val="21"/>
        </w:rPr>
        <w:t>existing ADR </w:t>
      </w:r>
      <w:r>
        <w:rPr>
          <w:spacing w:val="-3"/>
          <w:w w:val="105"/>
          <w:sz w:val="21"/>
        </w:rPr>
        <w:t>mechanisms </w:t>
      </w:r>
      <w:r>
        <w:rPr>
          <w:w w:val="105"/>
          <w:sz w:val="21"/>
        </w:rPr>
        <w:t>should be used </w:t>
      </w:r>
      <w:r>
        <w:rPr>
          <w:spacing w:val="-3"/>
          <w:w w:val="105"/>
          <w:sz w:val="21"/>
        </w:rPr>
        <w:t>for </w:t>
      </w:r>
      <w:r>
        <w:rPr>
          <w:w w:val="105"/>
          <w:sz w:val="21"/>
        </w:rPr>
        <w:t>tree </w:t>
      </w:r>
      <w:r>
        <w:rPr>
          <w:spacing w:val="-3"/>
          <w:w w:val="105"/>
          <w:sz w:val="21"/>
        </w:rPr>
        <w:t>disputes that are initiated </w:t>
      </w:r>
      <w:r>
        <w:rPr>
          <w:w w:val="105"/>
          <w:sz w:val="21"/>
        </w:rPr>
        <w:t>in the </w:t>
      </w:r>
      <w:r>
        <w:rPr>
          <w:spacing w:val="-5"/>
          <w:w w:val="105"/>
          <w:sz w:val="21"/>
        </w:rPr>
        <w:t>Tribunal.</w:t>
      </w:r>
    </w:p>
    <w:p>
      <w:pPr>
        <w:pStyle w:val="ListParagraph"/>
        <w:numPr>
          <w:ilvl w:val="1"/>
          <w:numId w:val="114"/>
        </w:numPr>
        <w:tabs>
          <w:tab w:pos="2380" w:val="left" w:leader="none"/>
          <w:tab w:pos="2381" w:val="left" w:leader="none"/>
        </w:tabs>
        <w:spacing w:line="242" w:lineRule="auto" w:before="125" w:after="0"/>
        <w:ind w:left="2380" w:right="1748" w:hanging="793"/>
        <w:jc w:val="left"/>
        <w:rPr>
          <w:sz w:val="21"/>
        </w:rPr>
      </w:pPr>
      <w:r>
        <w:rPr>
          <w:spacing w:val="-5"/>
          <w:w w:val="105"/>
          <w:sz w:val="21"/>
        </w:rPr>
        <w:t>VCAT </w:t>
      </w:r>
      <w:r>
        <w:rPr>
          <w:w w:val="105"/>
          <w:sz w:val="21"/>
        </w:rPr>
        <w:t>allows </w:t>
      </w:r>
      <w:r>
        <w:rPr>
          <w:spacing w:val="-3"/>
          <w:w w:val="105"/>
          <w:sz w:val="21"/>
        </w:rPr>
        <w:t>for </w:t>
      </w:r>
      <w:r>
        <w:rPr>
          <w:w w:val="105"/>
          <w:sz w:val="21"/>
        </w:rPr>
        <w:t>more </w:t>
      </w:r>
      <w:r>
        <w:rPr>
          <w:spacing w:val="-3"/>
          <w:w w:val="105"/>
          <w:sz w:val="21"/>
        </w:rPr>
        <w:t>responsive </w:t>
      </w:r>
      <w:r>
        <w:rPr>
          <w:w w:val="105"/>
          <w:sz w:val="21"/>
        </w:rPr>
        <w:t>and flexible processes </w:t>
      </w:r>
      <w:r>
        <w:rPr>
          <w:spacing w:val="-3"/>
          <w:w w:val="105"/>
          <w:sz w:val="21"/>
        </w:rPr>
        <w:t>than </w:t>
      </w:r>
      <w:r>
        <w:rPr>
          <w:w w:val="105"/>
          <w:sz w:val="21"/>
        </w:rPr>
        <w:t>the </w:t>
      </w:r>
      <w:r>
        <w:rPr>
          <w:spacing w:val="-3"/>
          <w:w w:val="105"/>
          <w:sz w:val="21"/>
        </w:rPr>
        <w:t>Magistrates’ Court. </w:t>
      </w:r>
      <w:r>
        <w:rPr>
          <w:spacing w:val="-4"/>
          <w:w w:val="105"/>
          <w:sz w:val="21"/>
        </w:rPr>
        <w:t>Unlike </w:t>
      </w:r>
      <w:r>
        <w:rPr>
          <w:w w:val="105"/>
          <w:sz w:val="21"/>
        </w:rPr>
        <w:t>most </w:t>
      </w:r>
      <w:r>
        <w:rPr>
          <w:spacing w:val="-3"/>
          <w:w w:val="105"/>
          <w:sz w:val="21"/>
        </w:rPr>
        <w:t>Australian </w:t>
      </w:r>
      <w:r>
        <w:rPr>
          <w:w w:val="105"/>
          <w:sz w:val="21"/>
        </w:rPr>
        <w:t>courts, </w:t>
      </w:r>
      <w:r>
        <w:rPr>
          <w:spacing w:val="-5"/>
          <w:w w:val="105"/>
          <w:sz w:val="21"/>
        </w:rPr>
        <w:t>VCAT </w:t>
      </w:r>
      <w:r>
        <w:rPr>
          <w:w w:val="105"/>
          <w:sz w:val="21"/>
        </w:rPr>
        <w:t>can </w:t>
      </w:r>
      <w:r>
        <w:rPr>
          <w:spacing w:val="-3"/>
          <w:w w:val="105"/>
          <w:sz w:val="21"/>
        </w:rPr>
        <w:t>take </w:t>
      </w:r>
      <w:r>
        <w:rPr>
          <w:w w:val="105"/>
          <w:sz w:val="21"/>
        </w:rPr>
        <w:t>an active role in </w:t>
      </w:r>
      <w:r>
        <w:rPr>
          <w:spacing w:val="-3"/>
          <w:w w:val="105"/>
          <w:sz w:val="21"/>
        </w:rPr>
        <w:t>determining </w:t>
      </w:r>
      <w:r>
        <w:rPr>
          <w:w w:val="105"/>
          <w:sz w:val="21"/>
        </w:rPr>
        <w:t>the facts of a matter </w:t>
      </w:r>
      <w:r>
        <w:rPr>
          <w:spacing w:val="-3"/>
          <w:w w:val="105"/>
          <w:sz w:val="21"/>
        </w:rPr>
        <w:t>before </w:t>
      </w:r>
      <w:r>
        <w:rPr>
          <w:w w:val="105"/>
          <w:sz w:val="21"/>
        </w:rPr>
        <w:t>the </w:t>
      </w:r>
      <w:r>
        <w:rPr>
          <w:spacing w:val="-5"/>
          <w:w w:val="105"/>
          <w:sz w:val="21"/>
        </w:rPr>
        <w:t>Tribunal, </w:t>
      </w:r>
      <w:r>
        <w:rPr>
          <w:spacing w:val="-3"/>
          <w:w w:val="105"/>
          <w:sz w:val="21"/>
        </w:rPr>
        <w:t>usually </w:t>
      </w:r>
      <w:r>
        <w:rPr>
          <w:w w:val="105"/>
          <w:sz w:val="21"/>
        </w:rPr>
        <w:t>by </w:t>
      </w:r>
      <w:r>
        <w:rPr>
          <w:spacing w:val="-3"/>
          <w:w w:val="105"/>
          <w:sz w:val="21"/>
        </w:rPr>
        <w:t>asking</w:t>
      </w:r>
      <w:r>
        <w:rPr>
          <w:spacing w:val="38"/>
          <w:w w:val="105"/>
          <w:sz w:val="21"/>
        </w:rPr>
        <w:t> </w:t>
      </w:r>
      <w:r>
        <w:rPr>
          <w:w w:val="105"/>
          <w:sz w:val="21"/>
        </w:rPr>
        <w:t>questions.</w:t>
      </w:r>
    </w:p>
    <w:p>
      <w:pPr>
        <w:pStyle w:val="Heading7"/>
      </w:pPr>
      <w:r>
        <w:rPr>
          <w:w w:val="115"/>
        </w:rPr>
        <w:t>Accessibility and regional presence</w:t>
      </w:r>
    </w:p>
    <w:p>
      <w:pPr>
        <w:pStyle w:val="ListParagraph"/>
        <w:numPr>
          <w:ilvl w:val="1"/>
          <w:numId w:val="114"/>
        </w:numPr>
        <w:tabs>
          <w:tab w:pos="2381" w:val="left" w:leader="none"/>
          <w:tab w:pos="2382" w:val="left" w:leader="none"/>
        </w:tabs>
        <w:spacing w:line="242" w:lineRule="auto" w:before="143" w:after="0"/>
        <w:ind w:left="2381" w:right="1781" w:hanging="794"/>
        <w:jc w:val="left"/>
        <w:rPr>
          <w:sz w:val="21"/>
        </w:rPr>
      </w:pPr>
      <w:r>
        <w:rPr>
          <w:spacing w:val="-3"/>
          <w:sz w:val="21"/>
        </w:rPr>
        <w:t>Court </w:t>
      </w:r>
      <w:r>
        <w:rPr>
          <w:sz w:val="21"/>
        </w:rPr>
        <w:t>processes </w:t>
      </w:r>
      <w:r>
        <w:rPr>
          <w:spacing w:val="-3"/>
          <w:sz w:val="21"/>
        </w:rPr>
        <w:t>are </w:t>
      </w:r>
      <w:r>
        <w:rPr>
          <w:sz w:val="21"/>
        </w:rPr>
        <w:t>more difficult </w:t>
      </w:r>
      <w:r>
        <w:rPr>
          <w:spacing w:val="-3"/>
          <w:sz w:val="21"/>
        </w:rPr>
        <w:t>to navigate than </w:t>
      </w:r>
      <w:r>
        <w:rPr>
          <w:sz w:val="21"/>
        </w:rPr>
        <w:t>those of a </w:t>
      </w:r>
      <w:r>
        <w:rPr>
          <w:spacing w:val="-3"/>
          <w:sz w:val="21"/>
        </w:rPr>
        <w:t>tribunal. </w:t>
      </w:r>
      <w:r>
        <w:rPr>
          <w:spacing w:val="-5"/>
          <w:sz w:val="21"/>
        </w:rPr>
        <w:t>VCAT </w:t>
      </w:r>
      <w:r>
        <w:rPr>
          <w:spacing w:val="-2"/>
          <w:sz w:val="21"/>
        </w:rPr>
        <w:t>has </w:t>
      </w:r>
      <w:r>
        <w:rPr>
          <w:sz w:val="21"/>
        </w:rPr>
        <w:t>been established </w:t>
      </w:r>
      <w:r>
        <w:rPr>
          <w:spacing w:val="-3"/>
          <w:sz w:val="21"/>
        </w:rPr>
        <w:t>to </w:t>
      </w:r>
      <w:r>
        <w:rPr>
          <w:sz w:val="21"/>
        </w:rPr>
        <w:t>enable people </w:t>
      </w:r>
      <w:r>
        <w:rPr>
          <w:spacing w:val="-3"/>
          <w:sz w:val="21"/>
        </w:rPr>
        <w:t>to </w:t>
      </w:r>
      <w:r>
        <w:rPr>
          <w:sz w:val="21"/>
        </w:rPr>
        <w:t>participate in matters without lawyers. It provides active case </w:t>
      </w:r>
      <w:r>
        <w:rPr>
          <w:spacing w:val="-3"/>
          <w:sz w:val="21"/>
        </w:rPr>
        <w:t>management </w:t>
      </w:r>
      <w:r>
        <w:rPr>
          <w:sz w:val="21"/>
        </w:rPr>
        <w:t>and </w:t>
      </w:r>
      <w:r>
        <w:rPr>
          <w:spacing w:val="-3"/>
          <w:sz w:val="21"/>
        </w:rPr>
        <w:t>resources to </w:t>
      </w:r>
      <w:r>
        <w:rPr>
          <w:sz w:val="21"/>
        </w:rPr>
        <w:t>help </w:t>
      </w:r>
      <w:r>
        <w:rPr>
          <w:spacing w:val="-3"/>
          <w:sz w:val="21"/>
        </w:rPr>
        <w:t>selfrepresented litigants.</w:t>
      </w:r>
      <w:r>
        <w:rPr>
          <w:spacing w:val="-3"/>
          <w:position w:val="7"/>
          <w:sz w:val="12"/>
        </w:rPr>
        <w:t>241 </w:t>
      </w:r>
      <w:r>
        <w:rPr>
          <w:sz w:val="21"/>
        </w:rPr>
        <w:t>It also</w:t>
      </w:r>
      <w:r>
        <w:rPr>
          <w:spacing w:val="-6"/>
          <w:sz w:val="21"/>
        </w:rPr>
        <w:t> </w:t>
      </w:r>
      <w:r>
        <w:rPr>
          <w:sz w:val="21"/>
        </w:rPr>
        <w:t>provides</w:t>
      </w:r>
    </w:p>
    <w:p>
      <w:pPr>
        <w:pStyle w:val="BodyText"/>
        <w:spacing w:line="242" w:lineRule="auto" w:before="3"/>
        <w:ind w:left="2381" w:right="2075"/>
        <w:rPr>
          <w:sz w:val="12"/>
        </w:rPr>
      </w:pPr>
      <w:r>
        <w:rPr>
          <w:w w:val="105"/>
        </w:rPr>
        <w:t>free </w:t>
      </w:r>
      <w:r>
        <w:rPr>
          <w:spacing w:val="-3"/>
          <w:w w:val="105"/>
        </w:rPr>
        <w:t>interpreter </w:t>
      </w:r>
      <w:r>
        <w:rPr>
          <w:w w:val="105"/>
        </w:rPr>
        <w:t>services</w:t>
      </w:r>
      <w:r>
        <w:rPr>
          <w:w w:val="105"/>
          <w:position w:val="7"/>
          <w:sz w:val="12"/>
        </w:rPr>
        <w:t>242 </w:t>
      </w:r>
      <w:r>
        <w:rPr>
          <w:w w:val="105"/>
        </w:rPr>
        <w:t>and volunteers </w:t>
      </w:r>
      <w:r>
        <w:rPr>
          <w:spacing w:val="-3"/>
          <w:w w:val="105"/>
        </w:rPr>
        <w:t>from Court </w:t>
      </w:r>
      <w:r>
        <w:rPr>
          <w:w w:val="105"/>
        </w:rPr>
        <w:t>Network who offer </w:t>
      </w:r>
      <w:r>
        <w:rPr>
          <w:spacing w:val="-3"/>
          <w:w w:val="105"/>
        </w:rPr>
        <w:t>assistance, information </w:t>
      </w:r>
      <w:r>
        <w:rPr>
          <w:w w:val="105"/>
        </w:rPr>
        <w:t>and </w:t>
      </w:r>
      <w:r>
        <w:rPr>
          <w:spacing w:val="-3"/>
          <w:w w:val="105"/>
        </w:rPr>
        <w:t>emotional </w:t>
      </w:r>
      <w:r>
        <w:rPr>
          <w:w w:val="105"/>
        </w:rPr>
        <w:t>support.</w:t>
      </w:r>
      <w:r>
        <w:rPr>
          <w:w w:val="105"/>
          <w:position w:val="7"/>
          <w:sz w:val="12"/>
        </w:rPr>
        <w:t>243</w:t>
      </w:r>
    </w:p>
    <w:p>
      <w:pPr>
        <w:pStyle w:val="ListParagraph"/>
        <w:numPr>
          <w:ilvl w:val="1"/>
          <w:numId w:val="114"/>
        </w:numPr>
        <w:tabs>
          <w:tab w:pos="2380" w:val="left" w:leader="none"/>
          <w:tab w:pos="2381" w:val="left" w:leader="none"/>
        </w:tabs>
        <w:spacing w:line="242" w:lineRule="auto" w:before="122" w:after="0"/>
        <w:ind w:left="2380" w:right="1738" w:hanging="793"/>
        <w:jc w:val="left"/>
        <w:rPr>
          <w:sz w:val="12"/>
        </w:rPr>
      </w:pPr>
      <w:r>
        <w:rPr>
          <w:spacing w:val="-5"/>
          <w:w w:val="105"/>
          <w:sz w:val="21"/>
        </w:rPr>
        <w:t>VCAT </w:t>
      </w:r>
      <w:r>
        <w:rPr>
          <w:w w:val="105"/>
          <w:sz w:val="21"/>
        </w:rPr>
        <w:t>is </w:t>
      </w:r>
      <w:r>
        <w:rPr>
          <w:spacing w:val="-3"/>
          <w:w w:val="105"/>
          <w:sz w:val="21"/>
        </w:rPr>
        <w:t>making </w:t>
      </w:r>
      <w:r>
        <w:rPr>
          <w:w w:val="105"/>
          <w:sz w:val="21"/>
        </w:rPr>
        <w:t>further </w:t>
      </w:r>
      <w:r>
        <w:rPr>
          <w:spacing w:val="-3"/>
          <w:w w:val="105"/>
          <w:sz w:val="21"/>
        </w:rPr>
        <w:t>improvements flowing from recommendations from </w:t>
      </w:r>
      <w:r>
        <w:rPr>
          <w:w w:val="105"/>
          <w:sz w:val="21"/>
        </w:rPr>
        <w:t>the </w:t>
      </w:r>
      <w:r>
        <w:rPr>
          <w:spacing w:val="-3"/>
          <w:w w:val="105"/>
          <w:sz w:val="21"/>
        </w:rPr>
        <w:t>Access to </w:t>
      </w:r>
      <w:r>
        <w:rPr>
          <w:w w:val="105"/>
          <w:sz w:val="21"/>
        </w:rPr>
        <w:t>Justice </w:t>
      </w:r>
      <w:r>
        <w:rPr>
          <w:spacing w:val="-3"/>
          <w:w w:val="105"/>
          <w:sz w:val="21"/>
        </w:rPr>
        <w:t>Review. </w:t>
      </w:r>
      <w:r>
        <w:rPr>
          <w:w w:val="105"/>
          <w:sz w:val="21"/>
        </w:rPr>
        <w:t>It </w:t>
      </w:r>
      <w:r>
        <w:rPr>
          <w:spacing w:val="-2"/>
          <w:w w:val="105"/>
          <w:sz w:val="21"/>
        </w:rPr>
        <w:t>has </w:t>
      </w:r>
      <w:r>
        <w:rPr>
          <w:w w:val="105"/>
          <w:sz w:val="21"/>
        </w:rPr>
        <w:t>partnered with Justice Connect</w:t>
      </w:r>
      <w:r>
        <w:rPr>
          <w:w w:val="105"/>
          <w:position w:val="7"/>
          <w:sz w:val="12"/>
        </w:rPr>
        <w:t>244 </w:t>
      </w:r>
      <w:r>
        <w:rPr>
          <w:w w:val="105"/>
          <w:sz w:val="21"/>
        </w:rPr>
        <w:t>‘to identify the </w:t>
      </w:r>
      <w:r>
        <w:rPr>
          <w:spacing w:val="-3"/>
          <w:w w:val="105"/>
          <w:sz w:val="21"/>
        </w:rPr>
        <w:t>unmet </w:t>
      </w:r>
      <w:r>
        <w:rPr>
          <w:w w:val="105"/>
          <w:sz w:val="21"/>
        </w:rPr>
        <w:t>needs of</w:t>
      </w:r>
      <w:r>
        <w:rPr>
          <w:spacing w:val="-11"/>
          <w:w w:val="105"/>
          <w:sz w:val="21"/>
        </w:rPr>
        <w:t> </w:t>
      </w:r>
      <w:r>
        <w:rPr>
          <w:w w:val="105"/>
          <w:sz w:val="21"/>
        </w:rPr>
        <w:t>people</w:t>
      </w:r>
      <w:r>
        <w:rPr>
          <w:spacing w:val="-11"/>
          <w:w w:val="105"/>
          <w:sz w:val="21"/>
        </w:rPr>
        <w:t> </w:t>
      </w:r>
      <w:r>
        <w:rPr>
          <w:spacing w:val="-3"/>
          <w:w w:val="105"/>
          <w:sz w:val="21"/>
        </w:rPr>
        <w:t>representing</w:t>
      </w:r>
      <w:r>
        <w:rPr>
          <w:spacing w:val="-10"/>
          <w:w w:val="105"/>
          <w:sz w:val="21"/>
        </w:rPr>
        <w:t> </w:t>
      </w:r>
      <w:r>
        <w:rPr>
          <w:w w:val="105"/>
          <w:sz w:val="21"/>
        </w:rPr>
        <w:t>themselves</w:t>
      </w:r>
      <w:r>
        <w:rPr>
          <w:spacing w:val="-11"/>
          <w:w w:val="105"/>
          <w:sz w:val="21"/>
        </w:rPr>
        <w:t> </w:t>
      </w:r>
      <w:r>
        <w:rPr>
          <w:w w:val="105"/>
          <w:sz w:val="21"/>
        </w:rPr>
        <w:t>and</w:t>
      </w:r>
      <w:r>
        <w:rPr>
          <w:spacing w:val="-11"/>
          <w:w w:val="105"/>
          <w:sz w:val="21"/>
        </w:rPr>
        <w:t> </w:t>
      </w:r>
      <w:r>
        <w:rPr>
          <w:w w:val="105"/>
          <w:sz w:val="21"/>
        </w:rPr>
        <w:t>scope</w:t>
      </w:r>
      <w:r>
        <w:rPr>
          <w:spacing w:val="-10"/>
          <w:w w:val="105"/>
          <w:sz w:val="21"/>
        </w:rPr>
        <w:t> </w:t>
      </w:r>
      <w:r>
        <w:rPr>
          <w:w w:val="105"/>
          <w:sz w:val="21"/>
        </w:rPr>
        <w:t>a</w:t>
      </w:r>
      <w:r>
        <w:rPr>
          <w:spacing w:val="-11"/>
          <w:w w:val="105"/>
          <w:sz w:val="21"/>
        </w:rPr>
        <w:t> </w:t>
      </w:r>
      <w:r>
        <w:rPr>
          <w:w w:val="105"/>
          <w:sz w:val="21"/>
        </w:rPr>
        <w:t>proposed</w:t>
      </w:r>
      <w:r>
        <w:rPr>
          <w:spacing w:val="-11"/>
          <w:w w:val="105"/>
          <w:sz w:val="21"/>
        </w:rPr>
        <w:t> </w:t>
      </w:r>
      <w:r>
        <w:rPr>
          <w:w w:val="105"/>
          <w:sz w:val="21"/>
        </w:rPr>
        <w:t>model</w:t>
      </w:r>
      <w:r>
        <w:rPr>
          <w:spacing w:val="-10"/>
          <w:w w:val="105"/>
          <w:sz w:val="21"/>
        </w:rPr>
        <w:t> </w:t>
      </w:r>
      <w:r>
        <w:rPr>
          <w:spacing w:val="-3"/>
          <w:w w:val="105"/>
          <w:sz w:val="21"/>
        </w:rPr>
        <w:t>for</w:t>
      </w:r>
      <w:r>
        <w:rPr>
          <w:spacing w:val="-11"/>
          <w:w w:val="105"/>
          <w:sz w:val="21"/>
        </w:rPr>
        <w:t> </w:t>
      </w:r>
      <w:r>
        <w:rPr>
          <w:w w:val="105"/>
          <w:sz w:val="21"/>
        </w:rPr>
        <w:t>a</w:t>
      </w:r>
      <w:r>
        <w:rPr>
          <w:spacing w:val="-11"/>
          <w:w w:val="105"/>
          <w:sz w:val="21"/>
        </w:rPr>
        <w:t> </w:t>
      </w:r>
      <w:r>
        <w:rPr>
          <w:w w:val="105"/>
          <w:sz w:val="21"/>
        </w:rPr>
        <w:t>self-help</w:t>
      </w:r>
      <w:r>
        <w:rPr>
          <w:spacing w:val="-10"/>
          <w:w w:val="105"/>
          <w:sz w:val="21"/>
        </w:rPr>
        <w:t> </w:t>
      </w:r>
      <w:r>
        <w:rPr>
          <w:w w:val="105"/>
          <w:sz w:val="21"/>
        </w:rPr>
        <w:t>service</w:t>
      </w:r>
      <w:r>
        <w:rPr>
          <w:spacing w:val="-11"/>
          <w:w w:val="105"/>
          <w:sz w:val="21"/>
        </w:rPr>
        <w:t> </w:t>
      </w:r>
      <w:r>
        <w:rPr>
          <w:w w:val="105"/>
          <w:sz w:val="21"/>
        </w:rPr>
        <w:t>at </w:t>
      </w:r>
      <w:r>
        <w:rPr>
          <w:spacing w:val="-5"/>
          <w:w w:val="105"/>
          <w:sz w:val="21"/>
        </w:rPr>
        <w:t>VCAT’.</w:t>
      </w:r>
      <w:r>
        <w:rPr>
          <w:spacing w:val="-5"/>
          <w:w w:val="105"/>
          <w:position w:val="7"/>
          <w:sz w:val="12"/>
        </w:rPr>
        <w:t>245 </w:t>
      </w:r>
      <w:r>
        <w:rPr>
          <w:w w:val="105"/>
          <w:sz w:val="21"/>
        </w:rPr>
        <w:t>This partnership </w:t>
      </w:r>
      <w:r>
        <w:rPr>
          <w:spacing w:val="-3"/>
          <w:w w:val="105"/>
          <w:sz w:val="21"/>
        </w:rPr>
        <w:t>builds </w:t>
      </w:r>
      <w:r>
        <w:rPr>
          <w:w w:val="105"/>
          <w:sz w:val="21"/>
        </w:rPr>
        <w:t>on </w:t>
      </w:r>
      <w:r>
        <w:rPr>
          <w:spacing w:val="-6"/>
          <w:w w:val="105"/>
          <w:sz w:val="21"/>
        </w:rPr>
        <w:t>VCAT’s </w:t>
      </w:r>
      <w:r>
        <w:rPr>
          <w:spacing w:val="-3"/>
          <w:w w:val="105"/>
          <w:sz w:val="21"/>
        </w:rPr>
        <w:t>previous </w:t>
      </w:r>
      <w:r>
        <w:rPr>
          <w:w w:val="105"/>
          <w:sz w:val="21"/>
        </w:rPr>
        <w:t>Self Help </w:t>
      </w:r>
      <w:r>
        <w:rPr>
          <w:spacing w:val="-4"/>
          <w:w w:val="105"/>
          <w:sz w:val="21"/>
        </w:rPr>
        <w:t>Centre </w:t>
      </w:r>
      <w:r>
        <w:rPr>
          <w:spacing w:val="-3"/>
          <w:w w:val="105"/>
          <w:sz w:val="21"/>
        </w:rPr>
        <w:t>pilot</w:t>
      </w:r>
      <w:r>
        <w:rPr>
          <w:spacing w:val="2"/>
          <w:w w:val="105"/>
          <w:sz w:val="21"/>
        </w:rPr>
        <w:t> </w:t>
      </w:r>
      <w:r>
        <w:rPr>
          <w:w w:val="105"/>
          <w:sz w:val="21"/>
        </w:rPr>
        <w:t>program</w:t>
      </w:r>
      <w:r>
        <w:rPr>
          <w:w w:val="105"/>
          <w:position w:val="7"/>
          <w:sz w:val="12"/>
        </w:rPr>
        <w:t>246</w:t>
      </w:r>
    </w:p>
    <w:p>
      <w:pPr>
        <w:pStyle w:val="ListParagraph"/>
        <w:numPr>
          <w:ilvl w:val="1"/>
          <w:numId w:val="114"/>
        </w:numPr>
        <w:tabs>
          <w:tab w:pos="2381" w:val="left" w:leader="none"/>
          <w:tab w:pos="2382" w:val="left" w:leader="none"/>
        </w:tabs>
        <w:spacing w:line="242" w:lineRule="auto" w:before="124" w:after="0"/>
        <w:ind w:left="2381" w:right="1900" w:hanging="794"/>
        <w:jc w:val="left"/>
        <w:rPr>
          <w:sz w:val="21"/>
        </w:rPr>
      </w:pPr>
      <w:r>
        <w:rPr>
          <w:spacing w:val="-5"/>
          <w:w w:val="105"/>
          <w:sz w:val="21"/>
        </w:rPr>
        <w:t>VCAT </w:t>
      </w:r>
      <w:r>
        <w:rPr>
          <w:w w:val="105"/>
          <w:sz w:val="21"/>
        </w:rPr>
        <w:t>is also </w:t>
      </w:r>
      <w:r>
        <w:rPr>
          <w:spacing w:val="-3"/>
          <w:w w:val="105"/>
          <w:sz w:val="21"/>
        </w:rPr>
        <w:t>changing </w:t>
      </w:r>
      <w:r>
        <w:rPr>
          <w:w w:val="105"/>
          <w:sz w:val="21"/>
        </w:rPr>
        <w:t>the </w:t>
      </w:r>
      <w:r>
        <w:rPr>
          <w:spacing w:val="-3"/>
          <w:w w:val="105"/>
          <w:sz w:val="21"/>
        </w:rPr>
        <w:t>way </w:t>
      </w:r>
      <w:r>
        <w:rPr>
          <w:w w:val="105"/>
          <w:sz w:val="21"/>
        </w:rPr>
        <w:t>it manages cases. </w:t>
      </w:r>
      <w:r>
        <w:rPr>
          <w:spacing w:val="-5"/>
          <w:w w:val="105"/>
          <w:sz w:val="21"/>
        </w:rPr>
        <w:t>VCAT </w:t>
      </w:r>
      <w:r>
        <w:rPr>
          <w:w w:val="105"/>
          <w:sz w:val="21"/>
        </w:rPr>
        <w:t>is </w:t>
      </w:r>
      <w:r>
        <w:rPr>
          <w:spacing w:val="-3"/>
          <w:w w:val="105"/>
          <w:sz w:val="21"/>
        </w:rPr>
        <w:t>instigating </w:t>
      </w:r>
      <w:r>
        <w:rPr>
          <w:w w:val="105"/>
          <w:sz w:val="21"/>
        </w:rPr>
        <w:t>a ‘system where  </w:t>
      </w:r>
      <w:r>
        <w:rPr>
          <w:spacing w:val="-3"/>
          <w:w w:val="105"/>
          <w:sz w:val="21"/>
        </w:rPr>
        <w:t>all</w:t>
      </w:r>
      <w:r>
        <w:rPr>
          <w:spacing w:val="-7"/>
          <w:w w:val="105"/>
          <w:sz w:val="21"/>
        </w:rPr>
        <w:t> </w:t>
      </w:r>
      <w:r>
        <w:rPr>
          <w:w w:val="105"/>
          <w:sz w:val="21"/>
        </w:rPr>
        <w:t>parties</w:t>
      </w:r>
      <w:r>
        <w:rPr>
          <w:spacing w:val="-6"/>
          <w:w w:val="105"/>
          <w:sz w:val="21"/>
        </w:rPr>
        <w:t> </w:t>
      </w:r>
      <w:r>
        <w:rPr>
          <w:w w:val="105"/>
          <w:sz w:val="21"/>
        </w:rPr>
        <w:t>can</w:t>
      </w:r>
      <w:r>
        <w:rPr>
          <w:spacing w:val="-7"/>
          <w:w w:val="105"/>
          <w:sz w:val="21"/>
        </w:rPr>
        <w:t> </w:t>
      </w:r>
      <w:r>
        <w:rPr>
          <w:w w:val="105"/>
          <w:sz w:val="21"/>
        </w:rPr>
        <w:t>start</w:t>
      </w:r>
      <w:r>
        <w:rPr>
          <w:spacing w:val="-6"/>
          <w:w w:val="105"/>
          <w:sz w:val="21"/>
        </w:rPr>
        <w:t> </w:t>
      </w:r>
      <w:r>
        <w:rPr>
          <w:w w:val="105"/>
          <w:sz w:val="21"/>
        </w:rPr>
        <w:t>a</w:t>
      </w:r>
      <w:r>
        <w:rPr>
          <w:spacing w:val="-7"/>
          <w:w w:val="105"/>
          <w:sz w:val="21"/>
        </w:rPr>
        <w:t> </w:t>
      </w:r>
      <w:r>
        <w:rPr>
          <w:w w:val="105"/>
          <w:sz w:val="21"/>
        </w:rPr>
        <w:t>matter</w:t>
      </w:r>
      <w:r>
        <w:rPr>
          <w:spacing w:val="-6"/>
          <w:w w:val="105"/>
          <w:sz w:val="21"/>
        </w:rPr>
        <w:t> </w:t>
      </w:r>
      <w:r>
        <w:rPr>
          <w:spacing w:val="-4"/>
          <w:w w:val="105"/>
          <w:sz w:val="21"/>
        </w:rPr>
        <w:t>online,</w:t>
      </w:r>
      <w:r>
        <w:rPr>
          <w:spacing w:val="-7"/>
          <w:w w:val="105"/>
          <w:sz w:val="21"/>
        </w:rPr>
        <w:t> </w:t>
      </w:r>
      <w:r>
        <w:rPr>
          <w:spacing w:val="-3"/>
          <w:w w:val="105"/>
          <w:sz w:val="21"/>
        </w:rPr>
        <w:t>have</w:t>
      </w:r>
      <w:r>
        <w:rPr>
          <w:spacing w:val="-6"/>
          <w:w w:val="105"/>
          <w:sz w:val="21"/>
        </w:rPr>
        <w:t> </w:t>
      </w:r>
      <w:r>
        <w:rPr>
          <w:spacing w:val="-2"/>
          <w:w w:val="105"/>
          <w:sz w:val="21"/>
        </w:rPr>
        <w:t>access</w:t>
      </w:r>
      <w:r>
        <w:rPr>
          <w:spacing w:val="-7"/>
          <w:w w:val="105"/>
          <w:sz w:val="21"/>
        </w:rPr>
        <w:t> </w:t>
      </w:r>
      <w:r>
        <w:rPr>
          <w:spacing w:val="-3"/>
          <w:w w:val="105"/>
          <w:sz w:val="21"/>
        </w:rPr>
        <w:t>to</w:t>
      </w:r>
      <w:r>
        <w:rPr>
          <w:spacing w:val="-6"/>
          <w:w w:val="105"/>
          <w:sz w:val="21"/>
        </w:rPr>
        <w:t> </w:t>
      </w:r>
      <w:r>
        <w:rPr>
          <w:w w:val="105"/>
          <w:sz w:val="21"/>
        </w:rPr>
        <w:t>an</w:t>
      </w:r>
      <w:r>
        <w:rPr>
          <w:spacing w:val="-7"/>
          <w:w w:val="105"/>
          <w:sz w:val="21"/>
        </w:rPr>
        <w:t> </w:t>
      </w:r>
      <w:r>
        <w:rPr>
          <w:w w:val="105"/>
          <w:sz w:val="21"/>
        </w:rPr>
        <w:t>electronic</w:t>
      </w:r>
      <w:r>
        <w:rPr>
          <w:spacing w:val="-6"/>
          <w:w w:val="105"/>
          <w:sz w:val="21"/>
        </w:rPr>
        <w:t> </w:t>
      </w:r>
      <w:r>
        <w:rPr>
          <w:w w:val="105"/>
          <w:sz w:val="21"/>
        </w:rPr>
        <w:t>case</w:t>
      </w:r>
      <w:r>
        <w:rPr>
          <w:spacing w:val="-7"/>
          <w:w w:val="105"/>
          <w:sz w:val="21"/>
        </w:rPr>
        <w:t> </w:t>
      </w:r>
      <w:r>
        <w:rPr>
          <w:w w:val="105"/>
          <w:sz w:val="21"/>
        </w:rPr>
        <w:t>file</w:t>
      </w:r>
      <w:r>
        <w:rPr>
          <w:spacing w:val="-6"/>
          <w:w w:val="105"/>
          <w:sz w:val="21"/>
        </w:rPr>
        <w:t> </w:t>
      </w:r>
      <w:r>
        <w:rPr>
          <w:w w:val="105"/>
          <w:sz w:val="21"/>
        </w:rPr>
        <w:t>and</w:t>
      </w:r>
      <w:r>
        <w:rPr>
          <w:spacing w:val="-6"/>
          <w:w w:val="105"/>
          <w:sz w:val="21"/>
        </w:rPr>
        <w:t> </w:t>
      </w:r>
      <w:r>
        <w:rPr>
          <w:spacing w:val="-3"/>
          <w:w w:val="105"/>
          <w:sz w:val="21"/>
        </w:rPr>
        <w:t>follow</w:t>
      </w:r>
      <w:r>
        <w:rPr>
          <w:spacing w:val="-7"/>
          <w:w w:val="105"/>
          <w:sz w:val="21"/>
        </w:rPr>
        <w:t> </w:t>
      </w:r>
      <w:r>
        <w:rPr>
          <w:w w:val="105"/>
          <w:sz w:val="21"/>
        </w:rPr>
        <w:t>its</w:t>
      </w:r>
    </w:p>
    <w:p>
      <w:pPr>
        <w:pStyle w:val="BodyText"/>
        <w:spacing w:line="242" w:lineRule="auto" w:before="2"/>
        <w:ind w:left="2381" w:right="1636"/>
        <w:rPr>
          <w:sz w:val="12"/>
        </w:rPr>
      </w:pPr>
      <w:r>
        <w:rPr>
          <w:w w:val="105"/>
        </w:rPr>
        <w:t>progress </w:t>
      </w:r>
      <w:r>
        <w:rPr>
          <w:spacing w:val="-4"/>
          <w:w w:val="105"/>
        </w:rPr>
        <w:t>online’.</w:t>
      </w:r>
      <w:r>
        <w:rPr>
          <w:spacing w:val="-4"/>
          <w:w w:val="105"/>
          <w:position w:val="7"/>
          <w:sz w:val="12"/>
        </w:rPr>
        <w:t>247 </w:t>
      </w:r>
      <w:r>
        <w:rPr>
          <w:w w:val="105"/>
        </w:rPr>
        <w:t>In July </w:t>
      </w:r>
      <w:r>
        <w:rPr>
          <w:spacing w:val="-12"/>
          <w:w w:val="105"/>
        </w:rPr>
        <w:t>2017, </w:t>
      </w:r>
      <w:r>
        <w:rPr>
          <w:spacing w:val="-5"/>
          <w:w w:val="105"/>
        </w:rPr>
        <w:t>VCAT </w:t>
      </w:r>
      <w:r>
        <w:rPr>
          <w:w w:val="105"/>
        </w:rPr>
        <w:t>began a </w:t>
      </w:r>
      <w:r>
        <w:rPr>
          <w:spacing w:val="-4"/>
          <w:w w:val="105"/>
        </w:rPr>
        <w:t>four-year </w:t>
      </w:r>
      <w:r>
        <w:rPr>
          <w:spacing w:val="-3"/>
          <w:w w:val="105"/>
        </w:rPr>
        <w:t>digital </w:t>
      </w:r>
      <w:r>
        <w:rPr>
          <w:w w:val="105"/>
        </w:rPr>
        <w:t>strategy ‘to deliver better </w:t>
      </w:r>
      <w:r>
        <w:rPr>
          <w:spacing w:val="-3"/>
          <w:w w:val="105"/>
        </w:rPr>
        <w:t>online services’.</w:t>
      </w:r>
      <w:r>
        <w:rPr>
          <w:spacing w:val="-3"/>
          <w:w w:val="105"/>
          <w:position w:val="7"/>
          <w:sz w:val="12"/>
        </w:rPr>
        <w:t>248</w:t>
      </w:r>
    </w:p>
    <w:p>
      <w:pPr>
        <w:pStyle w:val="ListParagraph"/>
        <w:numPr>
          <w:ilvl w:val="1"/>
          <w:numId w:val="114"/>
        </w:numPr>
        <w:tabs>
          <w:tab w:pos="2381" w:val="left" w:leader="none"/>
          <w:tab w:pos="2382" w:val="left" w:leader="none"/>
        </w:tabs>
        <w:spacing w:line="242" w:lineRule="auto" w:before="123" w:after="0"/>
        <w:ind w:left="2381" w:right="2321" w:hanging="794"/>
        <w:jc w:val="left"/>
        <w:rPr>
          <w:sz w:val="21"/>
        </w:rPr>
      </w:pPr>
      <w:r>
        <w:rPr>
          <w:spacing w:val="-5"/>
          <w:w w:val="105"/>
          <w:sz w:val="21"/>
        </w:rPr>
        <w:t>VCAT </w:t>
      </w:r>
      <w:r>
        <w:rPr>
          <w:spacing w:val="-2"/>
          <w:w w:val="105"/>
          <w:sz w:val="21"/>
        </w:rPr>
        <w:t>has </w:t>
      </w:r>
      <w:r>
        <w:rPr>
          <w:w w:val="105"/>
          <w:sz w:val="21"/>
        </w:rPr>
        <w:t>less </w:t>
      </w:r>
      <w:r>
        <w:rPr>
          <w:spacing w:val="-3"/>
          <w:w w:val="105"/>
          <w:sz w:val="21"/>
        </w:rPr>
        <w:t>regional reach than </w:t>
      </w:r>
      <w:r>
        <w:rPr>
          <w:w w:val="105"/>
          <w:sz w:val="21"/>
        </w:rPr>
        <w:t>the </w:t>
      </w:r>
      <w:r>
        <w:rPr>
          <w:spacing w:val="-3"/>
          <w:w w:val="105"/>
          <w:sz w:val="21"/>
        </w:rPr>
        <w:t>Magistrates’ Court. </w:t>
      </w:r>
      <w:r>
        <w:rPr>
          <w:spacing w:val="-6"/>
          <w:w w:val="105"/>
          <w:sz w:val="21"/>
        </w:rPr>
        <w:t>VCAT’s </w:t>
      </w:r>
      <w:r>
        <w:rPr>
          <w:w w:val="105"/>
          <w:sz w:val="21"/>
        </w:rPr>
        <w:t>only standalone location is in </w:t>
      </w:r>
      <w:r>
        <w:rPr>
          <w:spacing w:val="-3"/>
          <w:w w:val="105"/>
          <w:sz w:val="21"/>
        </w:rPr>
        <w:t>Melbourne’s </w:t>
      </w:r>
      <w:r>
        <w:rPr>
          <w:spacing w:val="-4"/>
          <w:w w:val="105"/>
          <w:sz w:val="21"/>
        </w:rPr>
        <w:t>Central </w:t>
      </w:r>
      <w:r>
        <w:rPr>
          <w:w w:val="105"/>
          <w:sz w:val="21"/>
        </w:rPr>
        <w:t>Business</w:t>
      </w:r>
      <w:r>
        <w:rPr>
          <w:spacing w:val="28"/>
          <w:w w:val="105"/>
          <w:sz w:val="21"/>
        </w:rPr>
        <w:t> </w:t>
      </w:r>
      <w:r>
        <w:rPr>
          <w:w w:val="105"/>
          <w:sz w:val="21"/>
        </w:rPr>
        <w:t>District.</w:t>
      </w:r>
    </w:p>
    <w:p>
      <w:pPr>
        <w:pStyle w:val="ListParagraph"/>
        <w:numPr>
          <w:ilvl w:val="1"/>
          <w:numId w:val="114"/>
        </w:numPr>
        <w:tabs>
          <w:tab w:pos="2380" w:val="left" w:leader="none"/>
          <w:tab w:pos="2381" w:val="left" w:leader="none"/>
        </w:tabs>
        <w:spacing w:line="242" w:lineRule="auto" w:before="122" w:after="0"/>
        <w:ind w:left="2381" w:right="1849" w:hanging="794"/>
        <w:jc w:val="left"/>
        <w:rPr>
          <w:sz w:val="21"/>
        </w:rPr>
      </w:pPr>
      <w:r>
        <w:rPr>
          <w:spacing w:val="-3"/>
          <w:w w:val="105"/>
          <w:sz w:val="21"/>
        </w:rPr>
        <w:t>Since </w:t>
      </w:r>
      <w:r>
        <w:rPr>
          <w:w w:val="105"/>
          <w:sz w:val="21"/>
        </w:rPr>
        <w:t>the </w:t>
      </w:r>
      <w:r>
        <w:rPr>
          <w:spacing w:val="-3"/>
          <w:w w:val="105"/>
          <w:sz w:val="21"/>
        </w:rPr>
        <w:t>publication </w:t>
      </w:r>
      <w:r>
        <w:rPr>
          <w:w w:val="105"/>
          <w:sz w:val="21"/>
        </w:rPr>
        <w:t>of the </w:t>
      </w:r>
      <w:r>
        <w:rPr>
          <w:spacing w:val="-3"/>
          <w:w w:val="105"/>
          <w:sz w:val="21"/>
        </w:rPr>
        <w:t>government’s </w:t>
      </w:r>
      <w:r>
        <w:rPr>
          <w:w w:val="105"/>
          <w:sz w:val="21"/>
        </w:rPr>
        <w:t>response </w:t>
      </w:r>
      <w:r>
        <w:rPr>
          <w:spacing w:val="-3"/>
          <w:w w:val="105"/>
          <w:sz w:val="21"/>
        </w:rPr>
        <w:t>to </w:t>
      </w:r>
      <w:r>
        <w:rPr>
          <w:w w:val="105"/>
          <w:sz w:val="21"/>
        </w:rPr>
        <w:t>the Fences Review in </w:t>
      </w:r>
      <w:r>
        <w:rPr>
          <w:spacing w:val="-4"/>
          <w:w w:val="105"/>
          <w:sz w:val="21"/>
        </w:rPr>
        <w:t>2001 </w:t>
      </w:r>
      <w:r>
        <w:rPr>
          <w:w w:val="105"/>
          <w:sz w:val="21"/>
        </w:rPr>
        <w:t>which expressed </w:t>
      </w:r>
      <w:r>
        <w:rPr>
          <w:spacing w:val="-3"/>
          <w:w w:val="105"/>
          <w:sz w:val="21"/>
        </w:rPr>
        <w:t>concern </w:t>
      </w:r>
      <w:r>
        <w:rPr>
          <w:w w:val="105"/>
          <w:sz w:val="21"/>
        </w:rPr>
        <w:t>about </w:t>
      </w:r>
      <w:r>
        <w:rPr>
          <w:spacing w:val="-6"/>
          <w:w w:val="105"/>
          <w:sz w:val="21"/>
        </w:rPr>
        <w:t>VCAT’s </w:t>
      </w:r>
      <w:r>
        <w:rPr>
          <w:spacing w:val="-3"/>
          <w:w w:val="105"/>
          <w:sz w:val="21"/>
        </w:rPr>
        <w:t>regional reach, </w:t>
      </w:r>
      <w:r>
        <w:rPr>
          <w:spacing w:val="-5"/>
          <w:w w:val="105"/>
          <w:sz w:val="21"/>
        </w:rPr>
        <w:t>VCAT </w:t>
      </w:r>
      <w:r>
        <w:rPr>
          <w:spacing w:val="-2"/>
          <w:w w:val="105"/>
          <w:sz w:val="21"/>
        </w:rPr>
        <w:t>has </w:t>
      </w:r>
      <w:r>
        <w:rPr>
          <w:w w:val="105"/>
          <w:sz w:val="21"/>
        </w:rPr>
        <w:t>expanded its </w:t>
      </w:r>
      <w:r>
        <w:rPr>
          <w:spacing w:val="-3"/>
          <w:w w:val="105"/>
          <w:sz w:val="21"/>
        </w:rPr>
        <w:t>regional </w:t>
      </w:r>
      <w:r>
        <w:rPr>
          <w:w w:val="105"/>
          <w:sz w:val="21"/>
        </w:rPr>
        <w:t>presence.</w:t>
      </w:r>
      <w:r>
        <w:rPr>
          <w:w w:val="105"/>
          <w:position w:val="7"/>
          <w:sz w:val="12"/>
        </w:rPr>
        <w:t>249 </w:t>
      </w:r>
      <w:r>
        <w:rPr>
          <w:spacing w:val="-6"/>
          <w:w w:val="105"/>
          <w:sz w:val="21"/>
        </w:rPr>
        <w:t>VCAT’s </w:t>
      </w:r>
      <w:r>
        <w:rPr>
          <w:spacing w:val="-3"/>
          <w:w w:val="105"/>
          <w:sz w:val="21"/>
        </w:rPr>
        <w:t>Strategic </w:t>
      </w:r>
      <w:r>
        <w:rPr>
          <w:w w:val="105"/>
          <w:sz w:val="21"/>
        </w:rPr>
        <w:t>Plan </w:t>
      </w:r>
      <w:r>
        <w:rPr>
          <w:spacing w:val="-4"/>
          <w:w w:val="105"/>
          <w:sz w:val="21"/>
        </w:rPr>
        <w:t>2018–22</w:t>
      </w:r>
      <w:r>
        <w:rPr>
          <w:spacing w:val="29"/>
          <w:w w:val="105"/>
          <w:sz w:val="21"/>
        </w:rPr>
        <w:t> </w:t>
      </w:r>
      <w:r>
        <w:rPr>
          <w:w w:val="105"/>
          <w:sz w:val="21"/>
        </w:rPr>
        <w:t>states:</w:t>
      </w:r>
    </w:p>
    <w:p>
      <w:pPr>
        <w:spacing w:line="254" w:lineRule="auto" w:before="133"/>
        <w:ind w:left="2834" w:right="1828" w:firstLine="0"/>
        <w:jc w:val="left"/>
        <w:rPr>
          <w:sz w:val="11"/>
        </w:rPr>
      </w:pPr>
      <w:r>
        <w:rPr>
          <w:w w:val="105"/>
          <w:sz w:val="20"/>
        </w:rPr>
        <w:t>We want to expand access for people living in regional areas. We will </w:t>
      </w:r>
      <w:r>
        <w:rPr>
          <w:spacing w:val="-3"/>
          <w:w w:val="105"/>
          <w:sz w:val="20"/>
        </w:rPr>
        <w:t>enhance </w:t>
      </w:r>
      <w:r>
        <w:rPr>
          <w:w w:val="105"/>
          <w:sz w:val="20"/>
        </w:rPr>
        <w:t>our regional and suburban </w:t>
      </w:r>
      <w:r>
        <w:rPr>
          <w:spacing w:val="-3"/>
          <w:w w:val="105"/>
          <w:sz w:val="20"/>
        </w:rPr>
        <w:t>coverage </w:t>
      </w:r>
      <w:r>
        <w:rPr>
          <w:w w:val="105"/>
          <w:sz w:val="20"/>
        </w:rPr>
        <w:t>with venues </w:t>
      </w:r>
      <w:r>
        <w:rPr>
          <w:spacing w:val="-3"/>
          <w:w w:val="105"/>
          <w:sz w:val="20"/>
        </w:rPr>
        <w:t>conveniently </w:t>
      </w:r>
      <w:r>
        <w:rPr>
          <w:w w:val="105"/>
          <w:sz w:val="20"/>
        </w:rPr>
        <w:t>located in areas where our services are needed most. We are focussed on providing </w:t>
      </w:r>
      <w:r>
        <w:rPr>
          <w:spacing w:val="-3"/>
          <w:w w:val="105"/>
          <w:sz w:val="20"/>
        </w:rPr>
        <w:t>welcoming, </w:t>
      </w:r>
      <w:r>
        <w:rPr>
          <w:w w:val="105"/>
          <w:sz w:val="20"/>
        </w:rPr>
        <w:t>fit-for-purpose venues that respond to local needs within local communities.</w:t>
      </w:r>
      <w:r>
        <w:rPr>
          <w:w w:val="105"/>
          <w:position w:val="7"/>
          <w:sz w:val="11"/>
        </w:rPr>
        <w:t>250</w:t>
      </w:r>
    </w:p>
    <w:p>
      <w:pPr>
        <w:pStyle w:val="ListParagraph"/>
        <w:numPr>
          <w:ilvl w:val="1"/>
          <w:numId w:val="114"/>
        </w:numPr>
        <w:tabs>
          <w:tab w:pos="2381" w:val="left" w:leader="none"/>
          <w:tab w:pos="2382" w:val="left" w:leader="none"/>
        </w:tabs>
        <w:spacing w:line="242" w:lineRule="auto" w:before="115" w:after="0"/>
        <w:ind w:left="2381" w:right="1656" w:hanging="794"/>
        <w:jc w:val="left"/>
        <w:rPr>
          <w:sz w:val="21"/>
        </w:rPr>
      </w:pPr>
      <w:r>
        <w:rPr>
          <w:w w:val="105"/>
          <w:sz w:val="21"/>
        </w:rPr>
        <w:t>The </w:t>
      </w:r>
      <w:r>
        <w:rPr>
          <w:spacing w:val="-5"/>
          <w:w w:val="105"/>
          <w:sz w:val="21"/>
        </w:rPr>
        <w:t>Tribunal </w:t>
      </w:r>
      <w:r>
        <w:rPr>
          <w:w w:val="105"/>
          <w:sz w:val="21"/>
        </w:rPr>
        <w:t>now visits a </w:t>
      </w:r>
      <w:r>
        <w:rPr>
          <w:spacing w:val="-3"/>
          <w:w w:val="105"/>
          <w:sz w:val="21"/>
        </w:rPr>
        <w:t>regional area </w:t>
      </w:r>
      <w:r>
        <w:rPr>
          <w:w w:val="105"/>
          <w:sz w:val="21"/>
        </w:rPr>
        <w:t>every </w:t>
      </w:r>
      <w:r>
        <w:rPr>
          <w:spacing w:val="-3"/>
          <w:w w:val="105"/>
          <w:sz w:val="21"/>
        </w:rPr>
        <w:t>day </w:t>
      </w:r>
      <w:r>
        <w:rPr>
          <w:w w:val="105"/>
          <w:sz w:val="21"/>
        </w:rPr>
        <w:t>in Victoria, as </w:t>
      </w:r>
      <w:r>
        <w:rPr>
          <w:spacing w:val="-3"/>
          <w:w w:val="105"/>
          <w:sz w:val="21"/>
        </w:rPr>
        <w:t>determined </w:t>
      </w:r>
      <w:r>
        <w:rPr>
          <w:w w:val="105"/>
          <w:sz w:val="21"/>
        </w:rPr>
        <w:t>by scheduled </w:t>
      </w:r>
      <w:r>
        <w:rPr>
          <w:spacing w:val="-3"/>
          <w:w w:val="105"/>
          <w:sz w:val="21"/>
        </w:rPr>
        <w:t>hearings </w:t>
      </w:r>
      <w:r>
        <w:rPr>
          <w:w w:val="105"/>
          <w:sz w:val="21"/>
        </w:rPr>
        <w:t>and needs.</w:t>
      </w:r>
      <w:r>
        <w:rPr>
          <w:w w:val="105"/>
          <w:position w:val="7"/>
          <w:sz w:val="12"/>
        </w:rPr>
        <w:t>251 </w:t>
      </w:r>
      <w:r>
        <w:rPr>
          <w:spacing w:val="-5"/>
          <w:w w:val="105"/>
          <w:sz w:val="21"/>
        </w:rPr>
        <w:t>VCAT </w:t>
      </w:r>
      <w:r>
        <w:rPr>
          <w:w w:val="105"/>
          <w:sz w:val="21"/>
        </w:rPr>
        <w:t>sits at </w:t>
      </w:r>
      <w:r>
        <w:rPr>
          <w:spacing w:val="-3"/>
          <w:w w:val="105"/>
          <w:sz w:val="21"/>
        </w:rPr>
        <w:t>regional </w:t>
      </w:r>
      <w:r>
        <w:rPr>
          <w:w w:val="105"/>
          <w:sz w:val="21"/>
        </w:rPr>
        <w:t>locations in </w:t>
      </w:r>
      <w:r>
        <w:rPr>
          <w:spacing w:val="-3"/>
          <w:w w:val="105"/>
          <w:sz w:val="21"/>
        </w:rPr>
        <w:t>Magistrates’ </w:t>
      </w:r>
      <w:r>
        <w:rPr>
          <w:w w:val="105"/>
          <w:sz w:val="21"/>
        </w:rPr>
        <w:t>Courts, local </w:t>
      </w:r>
      <w:r>
        <w:rPr>
          <w:spacing w:val="-3"/>
          <w:w w:val="105"/>
          <w:sz w:val="21"/>
        </w:rPr>
        <w:t>council </w:t>
      </w:r>
      <w:r>
        <w:rPr>
          <w:w w:val="105"/>
          <w:sz w:val="21"/>
        </w:rPr>
        <w:t>customer service </w:t>
      </w:r>
      <w:r>
        <w:rPr>
          <w:spacing w:val="-3"/>
          <w:w w:val="105"/>
          <w:sz w:val="21"/>
        </w:rPr>
        <w:t>centres </w:t>
      </w:r>
      <w:r>
        <w:rPr>
          <w:w w:val="105"/>
          <w:sz w:val="21"/>
        </w:rPr>
        <w:t>and the </w:t>
      </w:r>
      <w:r>
        <w:rPr>
          <w:spacing w:val="-3"/>
          <w:w w:val="105"/>
          <w:sz w:val="21"/>
        </w:rPr>
        <w:t>City </w:t>
      </w:r>
      <w:r>
        <w:rPr>
          <w:w w:val="105"/>
          <w:sz w:val="21"/>
        </w:rPr>
        <w:t>of </w:t>
      </w:r>
      <w:r>
        <w:rPr>
          <w:spacing w:val="-6"/>
          <w:w w:val="105"/>
          <w:sz w:val="21"/>
        </w:rPr>
        <w:t>Yarra’s </w:t>
      </w:r>
      <w:r>
        <w:rPr>
          <w:w w:val="105"/>
          <w:sz w:val="21"/>
        </w:rPr>
        <w:t>Neighbourhood Justice </w:t>
      </w:r>
      <w:r>
        <w:rPr>
          <w:spacing w:val="-4"/>
          <w:w w:val="105"/>
          <w:sz w:val="21"/>
        </w:rPr>
        <w:t>Centre. </w:t>
      </w:r>
      <w:r>
        <w:rPr>
          <w:spacing w:val="-3"/>
          <w:w w:val="105"/>
          <w:sz w:val="21"/>
        </w:rPr>
        <w:t>During </w:t>
      </w:r>
      <w:r>
        <w:rPr>
          <w:spacing w:val="-9"/>
          <w:w w:val="105"/>
          <w:sz w:val="21"/>
        </w:rPr>
        <w:t>2017–18, </w:t>
      </w:r>
      <w:r>
        <w:rPr>
          <w:spacing w:val="-5"/>
          <w:w w:val="105"/>
          <w:sz w:val="21"/>
        </w:rPr>
        <w:t>VCAT </w:t>
      </w:r>
      <w:r>
        <w:rPr>
          <w:w w:val="105"/>
          <w:sz w:val="21"/>
        </w:rPr>
        <w:t>held </w:t>
      </w:r>
      <w:r>
        <w:rPr>
          <w:spacing w:val="-3"/>
          <w:w w:val="105"/>
          <w:sz w:val="21"/>
        </w:rPr>
        <w:t>hearings </w:t>
      </w:r>
      <w:r>
        <w:rPr>
          <w:w w:val="105"/>
          <w:sz w:val="21"/>
        </w:rPr>
        <w:t>at </w:t>
      </w:r>
      <w:r>
        <w:rPr>
          <w:spacing w:val="-3"/>
          <w:w w:val="105"/>
          <w:sz w:val="21"/>
        </w:rPr>
        <w:t>Magistrates’ Court </w:t>
      </w:r>
      <w:r>
        <w:rPr>
          <w:w w:val="105"/>
          <w:sz w:val="21"/>
        </w:rPr>
        <w:t>locations in </w:t>
      </w:r>
      <w:r>
        <w:rPr>
          <w:spacing w:val="-3"/>
          <w:w w:val="105"/>
          <w:sz w:val="21"/>
        </w:rPr>
        <w:t>Bairnsdale, Ballarat, Benalla,</w:t>
      </w:r>
      <w:r>
        <w:rPr>
          <w:spacing w:val="6"/>
          <w:w w:val="105"/>
          <w:sz w:val="21"/>
        </w:rPr>
        <w:t> </w:t>
      </w:r>
      <w:r>
        <w:rPr>
          <w:spacing w:val="-3"/>
          <w:w w:val="105"/>
          <w:sz w:val="21"/>
        </w:rPr>
        <w:t>Bendigo,</w:t>
      </w:r>
      <w:r>
        <w:rPr>
          <w:spacing w:val="7"/>
          <w:w w:val="105"/>
          <w:sz w:val="21"/>
        </w:rPr>
        <w:t> </w:t>
      </w:r>
      <w:r>
        <w:rPr>
          <w:spacing w:val="-3"/>
          <w:w w:val="105"/>
          <w:sz w:val="21"/>
        </w:rPr>
        <w:t>Castlemaine,</w:t>
      </w:r>
      <w:r>
        <w:rPr>
          <w:spacing w:val="6"/>
          <w:w w:val="105"/>
          <w:sz w:val="21"/>
        </w:rPr>
        <w:t> </w:t>
      </w:r>
      <w:r>
        <w:rPr>
          <w:spacing w:val="-4"/>
          <w:w w:val="105"/>
          <w:sz w:val="21"/>
        </w:rPr>
        <w:t>Colac,</w:t>
      </w:r>
      <w:r>
        <w:rPr>
          <w:spacing w:val="7"/>
          <w:w w:val="105"/>
          <w:sz w:val="21"/>
        </w:rPr>
        <w:t> </w:t>
      </w:r>
      <w:r>
        <w:rPr>
          <w:spacing w:val="-3"/>
          <w:w w:val="105"/>
          <w:sz w:val="21"/>
        </w:rPr>
        <w:t>Dromana,</w:t>
      </w:r>
      <w:r>
        <w:rPr>
          <w:spacing w:val="6"/>
          <w:w w:val="105"/>
          <w:sz w:val="21"/>
        </w:rPr>
        <w:t> </w:t>
      </w:r>
      <w:r>
        <w:rPr>
          <w:spacing w:val="-3"/>
          <w:w w:val="105"/>
          <w:sz w:val="21"/>
        </w:rPr>
        <w:t>Echuca,</w:t>
      </w:r>
      <w:r>
        <w:rPr>
          <w:spacing w:val="7"/>
          <w:w w:val="105"/>
          <w:sz w:val="21"/>
        </w:rPr>
        <w:t> </w:t>
      </w:r>
      <w:r>
        <w:rPr>
          <w:w w:val="105"/>
          <w:sz w:val="21"/>
        </w:rPr>
        <w:t>Geelong,</w:t>
      </w:r>
      <w:r>
        <w:rPr>
          <w:spacing w:val="6"/>
          <w:w w:val="105"/>
          <w:sz w:val="21"/>
        </w:rPr>
        <w:t> </w:t>
      </w:r>
      <w:r>
        <w:rPr>
          <w:spacing w:val="-3"/>
          <w:w w:val="105"/>
          <w:sz w:val="21"/>
        </w:rPr>
        <w:t>Hamilton,</w:t>
      </w:r>
      <w:r>
        <w:rPr>
          <w:spacing w:val="7"/>
          <w:w w:val="105"/>
          <w:sz w:val="21"/>
        </w:rPr>
        <w:t> </w:t>
      </w:r>
      <w:r>
        <w:rPr>
          <w:w w:val="105"/>
          <w:sz w:val="21"/>
        </w:rPr>
        <w:t>Horsham,</w:t>
      </w:r>
    </w:p>
    <w:p>
      <w:pPr>
        <w:pStyle w:val="BodyText"/>
        <w:rPr>
          <w:sz w:val="20"/>
        </w:rPr>
      </w:pPr>
    </w:p>
    <w:p>
      <w:pPr>
        <w:pStyle w:val="BodyText"/>
        <w:rPr>
          <w:sz w:val="20"/>
        </w:rPr>
      </w:pPr>
    </w:p>
    <w:p>
      <w:pPr>
        <w:pStyle w:val="BodyText"/>
        <w:spacing w:before="1"/>
        <w:rPr>
          <w:sz w:val="11"/>
        </w:rPr>
      </w:pPr>
      <w:r>
        <w:rPr/>
        <w:pict>
          <v:line style="position:absolute;mso-position-horizontal-relative:page;mso-position-vertical-relative:paragraph;z-index:6896;mso-wrap-distance-left:0;mso-wrap-distance-right:0" from="79.370102pt,9.237801pt" to="515.905102pt,9.237801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35"/>
        </w:rPr>
      </w:pPr>
    </w:p>
    <w:p>
      <w:pPr>
        <w:spacing w:before="0"/>
        <w:ind w:left="720" w:right="0" w:firstLine="0"/>
        <w:jc w:val="left"/>
        <w:rPr>
          <w:b/>
          <w:sz w:val="24"/>
        </w:rPr>
      </w:pPr>
      <w:r>
        <w:rPr>
          <w:b/>
          <w:color w:val="658464"/>
          <w:spacing w:val="-3"/>
          <w:w w:val="110"/>
          <w:sz w:val="24"/>
        </w:rPr>
        <w:t>154</w:t>
      </w:r>
    </w:p>
    <w:p>
      <w:pPr>
        <w:pStyle w:val="ListParagraph"/>
        <w:numPr>
          <w:ilvl w:val="0"/>
          <w:numId w:val="121"/>
        </w:numPr>
        <w:tabs>
          <w:tab w:pos="1226" w:val="left" w:leader="none"/>
          <w:tab w:pos="1227" w:val="left" w:leader="none"/>
        </w:tabs>
        <w:spacing w:line="240" w:lineRule="auto" w:before="48" w:after="0"/>
        <w:ind w:left="1226" w:right="0" w:hanging="794"/>
        <w:jc w:val="left"/>
        <w:rPr>
          <w:sz w:val="13"/>
        </w:rPr>
      </w:pPr>
      <w:r>
        <w:rPr>
          <w:spacing w:val="2"/>
          <w:w w:val="108"/>
          <w:sz w:val="13"/>
        </w:rPr>
        <w:br w:type="column"/>
      </w:r>
      <w:r>
        <w:rPr>
          <w:w w:val="105"/>
          <w:sz w:val="13"/>
        </w:rPr>
        <w:t>See,</w:t>
      </w:r>
      <w:r>
        <w:rPr>
          <w:spacing w:val="5"/>
          <w:w w:val="105"/>
          <w:sz w:val="13"/>
        </w:rPr>
        <w:t> </w:t>
      </w:r>
      <w:r>
        <w:rPr>
          <w:w w:val="105"/>
          <w:sz w:val="13"/>
        </w:rPr>
        <w:t>eg,</w:t>
      </w:r>
      <w:r>
        <w:rPr>
          <w:spacing w:val="5"/>
          <w:w w:val="105"/>
          <w:sz w:val="13"/>
        </w:rPr>
        <w:t> </w:t>
      </w:r>
      <w:r>
        <w:rPr>
          <w:w w:val="105"/>
          <w:sz w:val="13"/>
        </w:rPr>
        <w:t>Victorian</w:t>
      </w:r>
      <w:r>
        <w:rPr>
          <w:spacing w:val="6"/>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6"/>
          <w:w w:val="105"/>
          <w:sz w:val="13"/>
        </w:rPr>
        <w:t> </w:t>
      </w:r>
      <w:r>
        <w:rPr>
          <w:w w:val="105"/>
          <w:sz w:val="13"/>
        </w:rPr>
        <w:t>Tribunal,</w:t>
      </w:r>
      <w:r>
        <w:rPr>
          <w:spacing w:val="5"/>
          <w:w w:val="105"/>
          <w:sz w:val="13"/>
        </w:rPr>
        <w:t> </w:t>
      </w:r>
      <w:r>
        <w:rPr>
          <w:i/>
          <w:w w:val="105"/>
          <w:sz w:val="13"/>
        </w:rPr>
        <w:t>Practice</w:t>
      </w:r>
      <w:r>
        <w:rPr>
          <w:i/>
          <w:spacing w:val="5"/>
          <w:w w:val="105"/>
          <w:sz w:val="13"/>
        </w:rPr>
        <w:t> </w:t>
      </w:r>
      <w:r>
        <w:rPr>
          <w:i/>
          <w:w w:val="105"/>
          <w:sz w:val="13"/>
        </w:rPr>
        <w:t>Note</w:t>
      </w:r>
      <w:r>
        <w:rPr>
          <w:i/>
          <w:spacing w:val="6"/>
          <w:w w:val="105"/>
          <w:sz w:val="13"/>
        </w:rPr>
        <w:t> </w:t>
      </w:r>
      <w:r>
        <w:rPr>
          <w:i/>
          <w:w w:val="105"/>
          <w:sz w:val="13"/>
        </w:rPr>
        <w:t>PNVCAT4:</w:t>
      </w:r>
      <w:r>
        <w:rPr>
          <w:i/>
          <w:spacing w:val="5"/>
          <w:w w:val="105"/>
          <w:sz w:val="13"/>
        </w:rPr>
        <w:t> </w:t>
      </w:r>
      <w:r>
        <w:rPr>
          <w:i/>
          <w:w w:val="105"/>
          <w:sz w:val="13"/>
        </w:rPr>
        <w:t>Alternative</w:t>
      </w:r>
      <w:r>
        <w:rPr>
          <w:i/>
          <w:spacing w:val="5"/>
          <w:w w:val="105"/>
          <w:sz w:val="13"/>
        </w:rPr>
        <w:t> </w:t>
      </w:r>
      <w:r>
        <w:rPr>
          <w:i/>
          <w:w w:val="105"/>
          <w:sz w:val="13"/>
        </w:rPr>
        <w:t>Dispute</w:t>
      </w:r>
      <w:r>
        <w:rPr>
          <w:i/>
          <w:spacing w:val="6"/>
          <w:w w:val="105"/>
          <w:sz w:val="13"/>
        </w:rPr>
        <w:t> </w:t>
      </w:r>
      <w:r>
        <w:rPr>
          <w:i/>
          <w:w w:val="105"/>
          <w:sz w:val="13"/>
        </w:rPr>
        <w:t>Resolution</w:t>
      </w:r>
      <w:r>
        <w:rPr>
          <w:i/>
          <w:spacing w:val="5"/>
          <w:w w:val="105"/>
          <w:sz w:val="13"/>
        </w:rPr>
        <w:t> </w:t>
      </w:r>
      <w:r>
        <w:rPr>
          <w:spacing w:val="3"/>
          <w:w w:val="105"/>
          <w:sz w:val="13"/>
        </w:rPr>
        <w:t>(ADR),</w:t>
      </w:r>
      <w:r>
        <w:rPr>
          <w:spacing w:val="5"/>
          <w:w w:val="105"/>
          <w:sz w:val="13"/>
        </w:rPr>
        <w:t> </w:t>
      </w:r>
      <w:r>
        <w:rPr>
          <w:spacing w:val="-3"/>
          <w:w w:val="105"/>
          <w:sz w:val="13"/>
        </w:rPr>
        <w:t>19</w:t>
      </w:r>
      <w:r>
        <w:rPr>
          <w:spacing w:val="6"/>
          <w:w w:val="105"/>
          <w:sz w:val="13"/>
        </w:rPr>
        <w:t> </w:t>
      </w:r>
      <w:r>
        <w:rPr>
          <w:w w:val="105"/>
          <w:sz w:val="13"/>
        </w:rPr>
        <w:t>December</w:t>
      </w:r>
      <w:r>
        <w:rPr>
          <w:spacing w:val="5"/>
          <w:w w:val="105"/>
          <w:sz w:val="13"/>
        </w:rPr>
        <w:t> </w:t>
      </w:r>
      <w:r>
        <w:rPr>
          <w:w w:val="105"/>
          <w:sz w:val="13"/>
        </w:rPr>
        <w:t>2018.</w:t>
      </w:r>
    </w:p>
    <w:p>
      <w:pPr>
        <w:pStyle w:val="ListParagraph"/>
        <w:numPr>
          <w:ilvl w:val="0"/>
          <w:numId w:val="121"/>
        </w:numPr>
        <w:tabs>
          <w:tab w:pos="1226" w:val="left" w:leader="none"/>
          <w:tab w:pos="1227" w:val="left" w:leader="none"/>
        </w:tabs>
        <w:spacing w:line="240" w:lineRule="auto" w:before="1" w:after="0"/>
        <w:ind w:left="1226" w:right="0" w:hanging="793"/>
        <w:jc w:val="left"/>
        <w:rPr>
          <w:sz w:val="13"/>
        </w:rPr>
      </w:pPr>
      <w:r>
        <w:rPr>
          <w:w w:val="105"/>
          <w:sz w:val="13"/>
        </w:rPr>
        <w:t>Consultation 7 (Dispute Settlement Centre of</w:t>
      </w:r>
      <w:r>
        <w:rPr>
          <w:spacing w:val="28"/>
          <w:w w:val="105"/>
          <w:sz w:val="13"/>
        </w:rPr>
        <w:t> </w:t>
      </w:r>
      <w:r>
        <w:rPr>
          <w:w w:val="105"/>
          <w:sz w:val="13"/>
        </w:rPr>
        <w:t>Victoria).</w:t>
      </w:r>
    </w:p>
    <w:p>
      <w:pPr>
        <w:pStyle w:val="ListParagraph"/>
        <w:numPr>
          <w:ilvl w:val="0"/>
          <w:numId w:val="121"/>
        </w:numPr>
        <w:tabs>
          <w:tab w:pos="1226" w:val="left" w:leader="none"/>
          <w:tab w:pos="1227" w:val="left" w:leader="none"/>
        </w:tabs>
        <w:spacing w:line="240" w:lineRule="auto" w:before="2" w:after="0"/>
        <w:ind w:left="1226" w:right="0" w:hanging="793"/>
        <w:jc w:val="left"/>
        <w:rPr>
          <w:sz w:val="13"/>
        </w:rPr>
      </w:pPr>
      <w:r>
        <w:rPr>
          <w:w w:val="105"/>
          <w:sz w:val="13"/>
        </w:rPr>
        <w:t>See,</w:t>
      </w:r>
      <w:r>
        <w:rPr>
          <w:spacing w:val="5"/>
          <w:w w:val="105"/>
          <w:sz w:val="13"/>
        </w:rPr>
        <w:t> </w:t>
      </w:r>
      <w:r>
        <w:rPr>
          <w:w w:val="105"/>
          <w:sz w:val="13"/>
        </w:rPr>
        <w:t>eg,</w:t>
      </w:r>
      <w:r>
        <w:rPr>
          <w:spacing w:val="5"/>
          <w:w w:val="105"/>
          <w:sz w:val="13"/>
        </w:rPr>
        <w:t> </w:t>
      </w:r>
      <w:r>
        <w:rPr>
          <w:w w:val="105"/>
          <w:sz w:val="13"/>
        </w:rPr>
        <w:t>Victorian</w:t>
      </w:r>
      <w:r>
        <w:rPr>
          <w:spacing w:val="5"/>
          <w:w w:val="105"/>
          <w:sz w:val="13"/>
        </w:rPr>
        <w:t> </w:t>
      </w:r>
      <w:r>
        <w:rPr>
          <w:w w:val="105"/>
          <w:sz w:val="13"/>
        </w:rPr>
        <w:t>Civil</w:t>
      </w:r>
      <w:r>
        <w:rPr>
          <w:spacing w:val="5"/>
          <w:w w:val="105"/>
          <w:sz w:val="13"/>
        </w:rPr>
        <w:t> </w:t>
      </w:r>
      <w:r>
        <w:rPr>
          <w:w w:val="105"/>
          <w:sz w:val="13"/>
        </w:rPr>
        <w:t>and</w:t>
      </w:r>
      <w:r>
        <w:rPr>
          <w:spacing w:val="6"/>
          <w:w w:val="105"/>
          <w:sz w:val="13"/>
        </w:rPr>
        <w:t> </w:t>
      </w:r>
      <w:r>
        <w:rPr>
          <w:w w:val="105"/>
          <w:sz w:val="13"/>
        </w:rPr>
        <w:t>Administrative</w:t>
      </w:r>
      <w:r>
        <w:rPr>
          <w:spacing w:val="5"/>
          <w:w w:val="105"/>
          <w:sz w:val="13"/>
        </w:rPr>
        <w:t> </w:t>
      </w:r>
      <w:r>
        <w:rPr>
          <w:w w:val="105"/>
          <w:sz w:val="13"/>
        </w:rPr>
        <w:t>Tribunal,</w:t>
      </w:r>
      <w:r>
        <w:rPr>
          <w:spacing w:val="5"/>
          <w:w w:val="105"/>
          <w:sz w:val="13"/>
        </w:rPr>
        <w:t> </w:t>
      </w:r>
      <w:r>
        <w:rPr>
          <w:i/>
          <w:w w:val="105"/>
          <w:sz w:val="13"/>
        </w:rPr>
        <w:t>Practice</w:t>
      </w:r>
      <w:r>
        <w:rPr>
          <w:i/>
          <w:spacing w:val="5"/>
          <w:w w:val="105"/>
          <w:sz w:val="13"/>
        </w:rPr>
        <w:t> </w:t>
      </w:r>
      <w:r>
        <w:rPr>
          <w:i/>
          <w:w w:val="105"/>
          <w:sz w:val="13"/>
        </w:rPr>
        <w:t>Note</w:t>
      </w:r>
      <w:r>
        <w:rPr>
          <w:i/>
          <w:spacing w:val="5"/>
          <w:w w:val="105"/>
          <w:sz w:val="13"/>
        </w:rPr>
        <w:t> </w:t>
      </w:r>
      <w:r>
        <w:rPr>
          <w:i/>
          <w:w w:val="105"/>
          <w:sz w:val="13"/>
        </w:rPr>
        <w:t>PNVCAT3:</w:t>
      </w:r>
      <w:r>
        <w:rPr>
          <w:i/>
          <w:spacing w:val="6"/>
          <w:w w:val="105"/>
          <w:sz w:val="13"/>
        </w:rPr>
        <w:t> </w:t>
      </w:r>
      <w:r>
        <w:rPr>
          <w:i/>
          <w:w w:val="105"/>
          <w:sz w:val="13"/>
        </w:rPr>
        <w:t>Fair</w:t>
      </w:r>
      <w:r>
        <w:rPr>
          <w:i/>
          <w:spacing w:val="5"/>
          <w:w w:val="105"/>
          <w:sz w:val="13"/>
        </w:rPr>
        <w:t> </w:t>
      </w:r>
      <w:r>
        <w:rPr>
          <w:i/>
          <w:w w:val="105"/>
          <w:sz w:val="13"/>
        </w:rPr>
        <w:t>Hearing</w:t>
      </w:r>
      <w:r>
        <w:rPr>
          <w:i/>
          <w:spacing w:val="5"/>
          <w:w w:val="105"/>
          <w:sz w:val="13"/>
        </w:rPr>
        <w:t> </w:t>
      </w:r>
      <w:r>
        <w:rPr>
          <w:i/>
          <w:w w:val="105"/>
          <w:sz w:val="13"/>
        </w:rPr>
        <w:t>Obligation</w:t>
      </w:r>
      <w:r>
        <w:rPr>
          <w:w w:val="105"/>
          <w:sz w:val="13"/>
        </w:rPr>
        <w:t>,</w:t>
      </w:r>
      <w:r>
        <w:rPr>
          <w:spacing w:val="5"/>
          <w:w w:val="105"/>
          <w:sz w:val="13"/>
        </w:rPr>
        <w:t> </w:t>
      </w:r>
      <w:r>
        <w:rPr>
          <w:w w:val="105"/>
          <w:sz w:val="13"/>
        </w:rPr>
        <w:t>1</w:t>
      </w:r>
      <w:r>
        <w:rPr>
          <w:spacing w:val="6"/>
          <w:w w:val="105"/>
          <w:sz w:val="13"/>
        </w:rPr>
        <w:t> </w:t>
      </w:r>
      <w:r>
        <w:rPr>
          <w:w w:val="105"/>
          <w:sz w:val="13"/>
        </w:rPr>
        <w:t>January</w:t>
      </w:r>
      <w:r>
        <w:rPr>
          <w:spacing w:val="5"/>
          <w:w w:val="105"/>
          <w:sz w:val="13"/>
        </w:rPr>
        <w:t> </w:t>
      </w:r>
      <w:r>
        <w:rPr>
          <w:spacing w:val="-3"/>
          <w:w w:val="105"/>
          <w:sz w:val="13"/>
        </w:rPr>
        <w:t>2013,</w:t>
      </w:r>
      <w:r>
        <w:rPr>
          <w:spacing w:val="5"/>
          <w:w w:val="105"/>
          <w:sz w:val="13"/>
        </w:rPr>
        <w:t> </w:t>
      </w:r>
      <w:r>
        <w:rPr>
          <w:spacing w:val="3"/>
          <w:w w:val="105"/>
          <w:sz w:val="13"/>
        </w:rPr>
        <w:t>4–5.</w:t>
      </w:r>
    </w:p>
    <w:p>
      <w:pPr>
        <w:pStyle w:val="ListParagraph"/>
        <w:numPr>
          <w:ilvl w:val="0"/>
          <w:numId w:val="121"/>
        </w:numPr>
        <w:tabs>
          <w:tab w:pos="1226" w:val="left" w:leader="none"/>
          <w:tab w:pos="1227" w:val="left" w:leader="none"/>
        </w:tabs>
        <w:spacing w:line="240" w:lineRule="auto" w:before="1" w:after="0"/>
        <w:ind w:left="1226" w:right="0" w:hanging="794"/>
        <w:jc w:val="left"/>
        <w:rPr>
          <w:sz w:val="13"/>
        </w:rPr>
      </w:pPr>
      <w:r>
        <w:rPr>
          <w:w w:val="105"/>
          <w:sz w:val="13"/>
        </w:rPr>
        <w:t>Ibid</w:t>
      </w:r>
      <w:r>
        <w:rPr>
          <w:spacing w:val="4"/>
          <w:w w:val="105"/>
          <w:sz w:val="13"/>
        </w:rPr>
        <w:t> </w:t>
      </w:r>
      <w:r>
        <w:rPr>
          <w:w w:val="105"/>
          <w:sz w:val="13"/>
        </w:rPr>
        <w:t>3.</w:t>
      </w:r>
    </w:p>
    <w:p>
      <w:pPr>
        <w:pStyle w:val="ListParagraph"/>
        <w:numPr>
          <w:ilvl w:val="0"/>
          <w:numId w:val="121"/>
        </w:numPr>
        <w:tabs>
          <w:tab w:pos="1226" w:val="left" w:leader="none"/>
          <w:tab w:pos="1227" w:val="left" w:leader="none"/>
        </w:tabs>
        <w:spacing w:line="240" w:lineRule="auto" w:before="1" w:after="0"/>
        <w:ind w:left="1226" w:right="1897" w:hanging="794"/>
        <w:jc w:val="left"/>
        <w:rPr>
          <w:sz w:val="13"/>
        </w:rPr>
      </w:pPr>
      <w:r>
        <w:rPr>
          <w:w w:val="105"/>
          <w:sz w:val="13"/>
        </w:rPr>
        <w:t>Supplementary Consultation 1 (Victorian Civil and Administrative Tribunal). Volunteers cannot provide legal advice. Court </w:t>
      </w:r>
      <w:r>
        <w:rPr>
          <w:spacing w:val="2"/>
          <w:w w:val="105"/>
          <w:sz w:val="13"/>
        </w:rPr>
        <w:t>Network </w:t>
      </w:r>
      <w:r>
        <w:rPr>
          <w:w w:val="105"/>
          <w:sz w:val="13"/>
        </w:rPr>
        <w:t>is a community</w:t>
      </w:r>
      <w:r>
        <w:rPr>
          <w:spacing w:val="6"/>
          <w:w w:val="105"/>
          <w:sz w:val="13"/>
        </w:rPr>
        <w:t> </w:t>
      </w:r>
      <w:r>
        <w:rPr>
          <w:w w:val="105"/>
          <w:sz w:val="13"/>
        </w:rPr>
        <w:t>organisation</w:t>
      </w:r>
      <w:r>
        <w:rPr>
          <w:spacing w:val="6"/>
          <w:w w:val="105"/>
          <w:sz w:val="13"/>
        </w:rPr>
        <w:t> </w:t>
      </w:r>
      <w:r>
        <w:rPr>
          <w:w w:val="105"/>
          <w:sz w:val="13"/>
        </w:rPr>
        <w:t>that</w:t>
      </w:r>
      <w:r>
        <w:rPr>
          <w:spacing w:val="6"/>
          <w:w w:val="105"/>
          <w:sz w:val="13"/>
        </w:rPr>
        <w:t> </w:t>
      </w:r>
      <w:r>
        <w:rPr>
          <w:w w:val="105"/>
          <w:sz w:val="13"/>
        </w:rPr>
        <w:t>supports</w:t>
      </w:r>
      <w:r>
        <w:rPr>
          <w:spacing w:val="6"/>
          <w:w w:val="105"/>
          <w:sz w:val="13"/>
        </w:rPr>
        <w:t> </w:t>
      </w:r>
      <w:r>
        <w:rPr>
          <w:w w:val="105"/>
          <w:sz w:val="13"/>
        </w:rPr>
        <w:t>people</w:t>
      </w:r>
      <w:r>
        <w:rPr>
          <w:spacing w:val="6"/>
          <w:w w:val="105"/>
          <w:sz w:val="13"/>
        </w:rPr>
        <w:t> </w:t>
      </w:r>
      <w:r>
        <w:rPr>
          <w:w w:val="105"/>
          <w:sz w:val="13"/>
        </w:rPr>
        <w:t>accessing</w:t>
      </w:r>
      <w:r>
        <w:rPr>
          <w:spacing w:val="6"/>
          <w:w w:val="105"/>
          <w:sz w:val="13"/>
        </w:rPr>
        <w:t> </w:t>
      </w:r>
      <w:r>
        <w:rPr>
          <w:w w:val="105"/>
          <w:sz w:val="13"/>
        </w:rPr>
        <w:t>the</w:t>
      </w:r>
      <w:r>
        <w:rPr>
          <w:spacing w:val="6"/>
          <w:w w:val="105"/>
          <w:sz w:val="13"/>
        </w:rPr>
        <w:t> </w:t>
      </w:r>
      <w:r>
        <w:rPr>
          <w:w w:val="105"/>
          <w:sz w:val="13"/>
        </w:rPr>
        <w:t>court</w:t>
      </w:r>
      <w:r>
        <w:rPr>
          <w:spacing w:val="6"/>
          <w:w w:val="105"/>
          <w:sz w:val="13"/>
        </w:rPr>
        <w:t> </w:t>
      </w:r>
      <w:r>
        <w:rPr>
          <w:w w:val="105"/>
          <w:sz w:val="13"/>
        </w:rPr>
        <w:t>system:</w:t>
      </w:r>
      <w:r>
        <w:rPr>
          <w:spacing w:val="6"/>
          <w:w w:val="105"/>
          <w:sz w:val="13"/>
        </w:rPr>
        <w:t> </w:t>
      </w:r>
      <w:r>
        <w:rPr>
          <w:w w:val="105"/>
          <w:sz w:val="13"/>
        </w:rPr>
        <w:t>see</w:t>
      </w:r>
      <w:r>
        <w:rPr>
          <w:spacing w:val="6"/>
          <w:w w:val="105"/>
          <w:sz w:val="13"/>
        </w:rPr>
        <w:t> </w:t>
      </w:r>
      <w:r>
        <w:rPr>
          <w:w w:val="105"/>
          <w:sz w:val="13"/>
        </w:rPr>
        <w:t>Court</w:t>
      </w:r>
      <w:r>
        <w:rPr>
          <w:spacing w:val="6"/>
          <w:w w:val="105"/>
          <w:sz w:val="13"/>
        </w:rPr>
        <w:t> </w:t>
      </w:r>
      <w:r>
        <w:rPr>
          <w:spacing w:val="2"/>
          <w:w w:val="105"/>
          <w:sz w:val="13"/>
        </w:rPr>
        <w:t>Network,</w:t>
      </w:r>
      <w:r>
        <w:rPr>
          <w:spacing w:val="6"/>
          <w:w w:val="105"/>
          <w:sz w:val="13"/>
        </w:rPr>
        <w:t> </w:t>
      </w:r>
      <w:r>
        <w:rPr>
          <w:i/>
          <w:w w:val="105"/>
          <w:sz w:val="13"/>
        </w:rPr>
        <w:t>What</w:t>
      </w:r>
      <w:r>
        <w:rPr>
          <w:i/>
          <w:spacing w:val="6"/>
          <w:w w:val="105"/>
          <w:sz w:val="13"/>
        </w:rPr>
        <w:t> </w:t>
      </w:r>
      <w:r>
        <w:rPr>
          <w:i/>
          <w:w w:val="105"/>
          <w:sz w:val="13"/>
        </w:rPr>
        <w:t>We</w:t>
      </w:r>
      <w:r>
        <w:rPr>
          <w:i/>
          <w:spacing w:val="6"/>
          <w:w w:val="105"/>
          <w:sz w:val="13"/>
        </w:rPr>
        <w:t> </w:t>
      </w:r>
      <w:r>
        <w:rPr>
          <w:i/>
          <w:w w:val="105"/>
          <w:sz w:val="13"/>
        </w:rPr>
        <w:t>Do</w:t>
      </w:r>
      <w:r>
        <w:rPr>
          <w:i/>
          <w:spacing w:val="6"/>
          <w:w w:val="105"/>
          <w:sz w:val="13"/>
        </w:rPr>
        <w:t> </w:t>
      </w:r>
      <w:r>
        <w:rPr>
          <w:w w:val="105"/>
          <w:sz w:val="13"/>
        </w:rPr>
        <w:t>(Web</w:t>
      </w:r>
      <w:r>
        <w:rPr>
          <w:spacing w:val="7"/>
          <w:w w:val="105"/>
          <w:sz w:val="13"/>
        </w:rPr>
        <w:t> </w:t>
      </w:r>
      <w:r>
        <w:rPr>
          <w:w w:val="105"/>
          <w:sz w:val="13"/>
        </w:rPr>
        <w:t>Page,</w:t>
      </w:r>
      <w:r>
        <w:rPr>
          <w:spacing w:val="6"/>
          <w:w w:val="105"/>
          <w:sz w:val="13"/>
        </w:rPr>
        <w:t> </w:t>
      </w:r>
      <w:r>
        <w:rPr>
          <w:w w:val="105"/>
          <w:sz w:val="13"/>
        </w:rPr>
        <w:t>2019)</w:t>
      </w:r>
    </w:p>
    <w:p>
      <w:pPr>
        <w:spacing w:before="3"/>
        <w:ind w:left="1226" w:right="0" w:firstLine="0"/>
        <w:jc w:val="left"/>
        <w:rPr>
          <w:sz w:val="13"/>
        </w:rPr>
      </w:pPr>
      <w:r>
        <w:rPr>
          <w:sz w:val="13"/>
        </w:rPr>
        <w:t>&lt;https://courtnetwork.com.au/about/what-we-do/&gt;.</w:t>
      </w:r>
    </w:p>
    <w:p>
      <w:pPr>
        <w:pStyle w:val="ListParagraph"/>
        <w:numPr>
          <w:ilvl w:val="0"/>
          <w:numId w:val="121"/>
        </w:numPr>
        <w:tabs>
          <w:tab w:pos="1226" w:val="left" w:leader="none"/>
          <w:tab w:pos="1227" w:val="left" w:leader="none"/>
        </w:tabs>
        <w:spacing w:line="240" w:lineRule="auto" w:before="1" w:after="0"/>
        <w:ind w:left="1226" w:right="1708" w:hanging="794"/>
        <w:jc w:val="left"/>
        <w:rPr>
          <w:sz w:val="13"/>
        </w:rPr>
      </w:pPr>
      <w:r>
        <w:rPr>
          <w:w w:val="105"/>
          <w:sz w:val="13"/>
        </w:rPr>
        <w:t>Justice Connect is a not-for-profit organisation that aims to improve access to the justice system by putting people in touch with pro bono (free)</w:t>
      </w:r>
      <w:r>
        <w:rPr>
          <w:spacing w:val="5"/>
          <w:w w:val="105"/>
          <w:sz w:val="13"/>
        </w:rPr>
        <w:t> </w:t>
      </w:r>
      <w:r>
        <w:rPr>
          <w:w w:val="105"/>
          <w:sz w:val="13"/>
        </w:rPr>
        <w:t>legal</w:t>
      </w:r>
      <w:r>
        <w:rPr>
          <w:spacing w:val="6"/>
          <w:w w:val="105"/>
          <w:sz w:val="13"/>
        </w:rPr>
        <w:t> </w:t>
      </w:r>
      <w:r>
        <w:rPr>
          <w:w w:val="105"/>
          <w:sz w:val="13"/>
        </w:rPr>
        <w:t>assistance,</w:t>
      </w:r>
      <w:r>
        <w:rPr>
          <w:spacing w:val="6"/>
          <w:w w:val="105"/>
          <w:sz w:val="13"/>
        </w:rPr>
        <w:t> </w:t>
      </w:r>
      <w:r>
        <w:rPr>
          <w:w w:val="105"/>
          <w:sz w:val="13"/>
        </w:rPr>
        <w:t>conducting</w:t>
      </w:r>
      <w:r>
        <w:rPr>
          <w:spacing w:val="6"/>
          <w:w w:val="105"/>
          <w:sz w:val="13"/>
        </w:rPr>
        <w:t> </w:t>
      </w:r>
      <w:r>
        <w:rPr>
          <w:w w:val="105"/>
          <w:sz w:val="13"/>
        </w:rPr>
        <w:t>research</w:t>
      </w:r>
      <w:r>
        <w:rPr>
          <w:spacing w:val="5"/>
          <w:w w:val="105"/>
          <w:sz w:val="13"/>
        </w:rPr>
        <w:t> </w:t>
      </w:r>
      <w:r>
        <w:rPr>
          <w:w w:val="105"/>
          <w:sz w:val="13"/>
        </w:rPr>
        <w:t>and</w:t>
      </w:r>
      <w:r>
        <w:rPr>
          <w:spacing w:val="6"/>
          <w:w w:val="105"/>
          <w:sz w:val="13"/>
        </w:rPr>
        <w:t> </w:t>
      </w:r>
      <w:r>
        <w:rPr>
          <w:w w:val="105"/>
          <w:sz w:val="13"/>
        </w:rPr>
        <w:t>engaging</w:t>
      </w:r>
      <w:r>
        <w:rPr>
          <w:spacing w:val="6"/>
          <w:w w:val="105"/>
          <w:sz w:val="13"/>
        </w:rPr>
        <w:t> </w:t>
      </w:r>
      <w:r>
        <w:rPr>
          <w:w w:val="105"/>
          <w:sz w:val="13"/>
        </w:rPr>
        <w:t>in</w:t>
      </w:r>
      <w:r>
        <w:rPr>
          <w:spacing w:val="6"/>
          <w:w w:val="105"/>
          <w:sz w:val="13"/>
        </w:rPr>
        <w:t> </w:t>
      </w:r>
      <w:r>
        <w:rPr>
          <w:spacing w:val="2"/>
          <w:w w:val="105"/>
          <w:sz w:val="13"/>
        </w:rPr>
        <w:t>advocacy:</w:t>
      </w:r>
      <w:r>
        <w:rPr>
          <w:spacing w:val="5"/>
          <w:w w:val="105"/>
          <w:sz w:val="13"/>
        </w:rPr>
        <w:t> </w:t>
      </w:r>
      <w:r>
        <w:rPr>
          <w:w w:val="105"/>
          <w:sz w:val="13"/>
        </w:rPr>
        <w:t>Justice</w:t>
      </w:r>
      <w:r>
        <w:rPr>
          <w:spacing w:val="6"/>
          <w:w w:val="105"/>
          <w:sz w:val="13"/>
        </w:rPr>
        <w:t> </w:t>
      </w:r>
      <w:r>
        <w:rPr>
          <w:w w:val="105"/>
          <w:sz w:val="13"/>
        </w:rPr>
        <w:t>Connect,</w:t>
      </w:r>
      <w:r>
        <w:rPr>
          <w:spacing w:val="6"/>
          <w:w w:val="105"/>
          <w:sz w:val="13"/>
        </w:rPr>
        <w:t> </w:t>
      </w:r>
      <w:r>
        <w:rPr>
          <w:i/>
          <w:w w:val="105"/>
          <w:sz w:val="13"/>
        </w:rPr>
        <w:t>How</w:t>
      </w:r>
      <w:r>
        <w:rPr>
          <w:i/>
          <w:spacing w:val="6"/>
          <w:w w:val="105"/>
          <w:sz w:val="13"/>
        </w:rPr>
        <w:t> </w:t>
      </w:r>
      <w:r>
        <w:rPr>
          <w:i/>
          <w:w w:val="105"/>
          <w:sz w:val="13"/>
        </w:rPr>
        <w:t>We</w:t>
      </w:r>
      <w:r>
        <w:rPr>
          <w:i/>
          <w:spacing w:val="5"/>
          <w:w w:val="105"/>
          <w:sz w:val="13"/>
        </w:rPr>
        <w:t> </w:t>
      </w:r>
      <w:r>
        <w:rPr>
          <w:i/>
          <w:w w:val="105"/>
          <w:sz w:val="13"/>
        </w:rPr>
        <w:t>Help</w:t>
      </w:r>
      <w:r>
        <w:rPr>
          <w:i/>
          <w:spacing w:val="6"/>
          <w:w w:val="105"/>
          <w:sz w:val="13"/>
        </w:rPr>
        <w:t> </w:t>
      </w:r>
      <w:r>
        <w:rPr>
          <w:w w:val="105"/>
          <w:sz w:val="13"/>
        </w:rPr>
        <w:t>(Web</w:t>
      </w:r>
      <w:r>
        <w:rPr>
          <w:spacing w:val="6"/>
          <w:w w:val="105"/>
          <w:sz w:val="13"/>
        </w:rPr>
        <w:t> </w:t>
      </w:r>
      <w:r>
        <w:rPr>
          <w:w w:val="105"/>
          <w:sz w:val="13"/>
        </w:rPr>
        <w:t>Page)</w:t>
      </w:r>
    </w:p>
    <w:p>
      <w:pPr>
        <w:spacing w:before="3"/>
        <w:ind w:left="1226" w:right="0" w:firstLine="0"/>
        <w:jc w:val="left"/>
        <w:rPr>
          <w:sz w:val="13"/>
        </w:rPr>
      </w:pPr>
      <w:r>
        <w:rPr>
          <w:sz w:val="13"/>
        </w:rPr>
        <w:t>&lt;https://justiceconnect.org.au/how-we-help/&gt;.</w:t>
      </w:r>
    </w:p>
    <w:p>
      <w:pPr>
        <w:pStyle w:val="ListParagraph"/>
        <w:numPr>
          <w:ilvl w:val="0"/>
          <w:numId w:val="121"/>
        </w:numPr>
        <w:tabs>
          <w:tab w:pos="1226" w:val="left" w:leader="none"/>
          <w:tab w:pos="1227" w:val="left" w:leader="none"/>
        </w:tabs>
        <w:spacing w:line="240" w:lineRule="auto" w:before="1" w:after="0"/>
        <w:ind w:left="1226" w:right="0" w:hanging="794"/>
        <w:jc w:val="left"/>
        <w:rPr>
          <w:sz w:val="13"/>
        </w:rPr>
      </w:pPr>
      <w:r>
        <w:rPr>
          <w:w w:val="105"/>
          <w:sz w:val="13"/>
        </w:rPr>
        <w:t>Victorian</w:t>
      </w:r>
      <w:r>
        <w:rPr>
          <w:spacing w:val="4"/>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5"/>
          <w:w w:val="105"/>
          <w:sz w:val="13"/>
        </w:rPr>
        <w:t> </w:t>
      </w:r>
      <w:r>
        <w:rPr>
          <w:w w:val="105"/>
          <w:sz w:val="13"/>
        </w:rPr>
        <w:t>Tribunal,</w:t>
      </w:r>
      <w:r>
        <w:rPr>
          <w:spacing w:val="5"/>
          <w:w w:val="105"/>
          <w:sz w:val="13"/>
        </w:rPr>
        <w:t> </w:t>
      </w:r>
      <w:r>
        <w:rPr>
          <w:i/>
          <w:w w:val="105"/>
          <w:sz w:val="13"/>
        </w:rPr>
        <w:t>VCAT</w:t>
      </w:r>
      <w:r>
        <w:rPr>
          <w:i/>
          <w:spacing w:val="5"/>
          <w:w w:val="105"/>
          <w:sz w:val="13"/>
        </w:rPr>
        <w:t> </w:t>
      </w:r>
      <w:r>
        <w:rPr>
          <w:i/>
          <w:w w:val="105"/>
          <w:sz w:val="13"/>
        </w:rPr>
        <w:t>Annual</w:t>
      </w:r>
      <w:r>
        <w:rPr>
          <w:i/>
          <w:spacing w:val="5"/>
          <w:w w:val="105"/>
          <w:sz w:val="13"/>
        </w:rPr>
        <w:t> </w:t>
      </w:r>
      <w:r>
        <w:rPr>
          <w:i/>
          <w:spacing w:val="2"/>
          <w:w w:val="105"/>
          <w:sz w:val="13"/>
        </w:rPr>
        <w:t>Report</w:t>
      </w:r>
      <w:r>
        <w:rPr>
          <w:i/>
          <w:spacing w:val="5"/>
          <w:w w:val="105"/>
          <w:sz w:val="13"/>
        </w:rPr>
        <w:t> </w:t>
      </w:r>
      <w:r>
        <w:rPr>
          <w:i/>
          <w:spacing w:val="-3"/>
          <w:w w:val="105"/>
          <w:sz w:val="13"/>
        </w:rPr>
        <w:t>2017–2018</w:t>
      </w:r>
      <w:r>
        <w:rPr>
          <w:i/>
          <w:spacing w:val="5"/>
          <w:w w:val="105"/>
          <w:sz w:val="13"/>
        </w:rPr>
        <w:t> </w:t>
      </w:r>
      <w:r>
        <w:rPr>
          <w:spacing w:val="2"/>
          <w:w w:val="105"/>
          <w:sz w:val="13"/>
        </w:rPr>
        <w:t>(Report,</w:t>
      </w:r>
      <w:r>
        <w:rPr>
          <w:spacing w:val="5"/>
          <w:w w:val="105"/>
          <w:sz w:val="13"/>
        </w:rPr>
        <w:t> </w:t>
      </w:r>
      <w:r>
        <w:rPr>
          <w:w w:val="105"/>
          <w:sz w:val="13"/>
        </w:rPr>
        <w:t>2018)</w:t>
      </w:r>
      <w:r>
        <w:rPr>
          <w:spacing w:val="5"/>
          <w:w w:val="105"/>
          <w:sz w:val="13"/>
        </w:rPr>
        <w:t> </w:t>
      </w:r>
      <w:r>
        <w:rPr>
          <w:spacing w:val="-3"/>
          <w:w w:val="105"/>
          <w:sz w:val="13"/>
        </w:rPr>
        <w:t>21.</w:t>
      </w:r>
    </w:p>
    <w:p>
      <w:pPr>
        <w:pStyle w:val="ListParagraph"/>
        <w:numPr>
          <w:ilvl w:val="0"/>
          <w:numId w:val="121"/>
        </w:numPr>
        <w:tabs>
          <w:tab w:pos="1226" w:val="left" w:leader="none"/>
          <w:tab w:pos="1227" w:val="left" w:leader="none"/>
        </w:tabs>
        <w:spacing w:line="240" w:lineRule="auto" w:before="2" w:after="0"/>
        <w:ind w:left="1226" w:right="0" w:hanging="794"/>
        <w:jc w:val="left"/>
        <w:rPr>
          <w:sz w:val="13"/>
        </w:rPr>
      </w:pPr>
      <w:r>
        <w:rPr>
          <w:sz w:val="13"/>
        </w:rPr>
        <w:t>Victorian</w:t>
      </w:r>
      <w:r>
        <w:rPr>
          <w:spacing w:val="8"/>
          <w:sz w:val="13"/>
        </w:rPr>
        <w:t> </w:t>
      </w:r>
      <w:r>
        <w:rPr>
          <w:sz w:val="13"/>
        </w:rPr>
        <w:t>Civil</w:t>
      </w:r>
      <w:r>
        <w:rPr>
          <w:spacing w:val="8"/>
          <w:sz w:val="13"/>
        </w:rPr>
        <w:t> </w:t>
      </w:r>
      <w:r>
        <w:rPr>
          <w:sz w:val="13"/>
        </w:rPr>
        <w:t>and</w:t>
      </w:r>
      <w:r>
        <w:rPr>
          <w:spacing w:val="8"/>
          <w:sz w:val="13"/>
        </w:rPr>
        <w:t> </w:t>
      </w:r>
      <w:r>
        <w:rPr>
          <w:sz w:val="13"/>
        </w:rPr>
        <w:t>Administrative</w:t>
      </w:r>
      <w:r>
        <w:rPr>
          <w:spacing w:val="8"/>
          <w:sz w:val="13"/>
        </w:rPr>
        <w:t> </w:t>
      </w:r>
      <w:r>
        <w:rPr>
          <w:sz w:val="13"/>
        </w:rPr>
        <w:t>Tribunal,</w:t>
      </w:r>
      <w:r>
        <w:rPr>
          <w:spacing w:val="8"/>
          <w:sz w:val="13"/>
        </w:rPr>
        <w:t> </w:t>
      </w:r>
      <w:r>
        <w:rPr>
          <w:i/>
          <w:sz w:val="13"/>
        </w:rPr>
        <w:t>Building</w:t>
      </w:r>
      <w:r>
        <w:rPr>
          <w:i/>
          <w:spacing w:val="9"/>
          <w:sz w:val="13"/>
        </w:rPr>
        <w:t> </w:t>
      </w:r>
      <w:r>
        <w:rPr>
          <w:i/>
          <w:sz w:val="13"/>
        </w:rPr>
        <w:t>a</w:t>
      </w:r>
      <w:r>
        <w:rPr>
          <w:i/>
          <w:spacing w:val="8"/>
          <w:sz w:val="13"/>
        </w:rPr>
        <w:t> </w:t>
      </w:r>
      <w:r>
        <w:rPr>
          <w:i/>
          <w:sz w:val="13"/>
        </w:rPr>
        <w:t>Better</w:t>
      </w:r>
      <w:r>
        <w:rPr>
          <w:i/>
          <w:spacing w:val="8"/>
          <w:sz w:val="13"/>
        </w:rPr>
        <w:t> </w:t>
      </w:r>
      <w:r>
        <w:rPr>
          <w:i/>
          <w:sz w:val="13"/>
        </w:rPr>
        <w:t>VCAT:</w:t>
      </w:r>
      <w:r>
        <w:rPr>
          <w:i/>
          <w:spacing w:val="8"/>
          <w:sz w:val="13"/>
        </w:rPr>
        <w:t> </w:t>
      </w:r>
      <w:r>
        <w:rPr>
          <w:i/>
          <w:sz w:val="13"/>
        </w:rPr>
        <w:t>Strategic</w:t>
      </w:r>
      <w:r>
        <w:rPr>
          <w:i/>
          <w:spacing w:val="8"/>
          <w:sz w:val="13"/>
        </w:rPr>
        <w:t> </w:t>
      </w:r>
      <w:r>
        <w:rPr>
          <w:i/>
          <w:sz w:val="13"/>
        </w:rPr>
        <w:t>Plan</w:t>
      </w:r>
      <w:r>
        <w:rPr>
          <w:i/>
          <w:spacing w:val="8"/>
          <w:sz w:val="13"/>
        </w:rPr>
        <w:t> </w:t>
      </w:r>
      <w:r>
        <w:rPr>
          <w:i/>
          <w:spacing w:val="-3"/>
          <w:sz w:val="13"/>
        </w:rPr>
        <w:t>2014–17</w:t>
      </w:r>
      <w:r>
        <w:rPr>
          <w:i/>
          <w:spacing w:val="9"/>
          <w:sz w:val="13"/>
        </w:rPr>
        <w:t> </w:t>
      </w:r>
      <w:r>
        <w:rPr>
          <w:spacing w:val="2"/>
          <w:sz w:val="13"/>
        </w:rPr>
        <w:t>(Report)</w:t>
      </w:r>
      <w:r>
        <w:rPr>
          <w:spacing w:val="8"/>
          <w:sz w:val="13"/>
        </w:rPr>
        <w:t> </w:t>
      </w:r>
      <w:r>
        <w:rPr>
          <w:spacing w:val="-5"/>
          <w:sz w:val="13"/>
        </w:rPr>
        <w:t>1.</w:t>
      </w:r>
    </w:p>
    <w:p>
      <w:pPr>
        <w:pStyle w:val="ListParagraph"/>
        <w:numPr>
          <w:ilvl w:val="0"/>
          <w:numId w:val="121"/>
        </w:numPr>
        <w:tabs>
          <w:tab w:pos="1226" w:val="left" w:leader="none"/>
          <w:tab w:pos="1227" w:val="left" w:leader="none"/>
        </w:tabs>
        <w:spacing w:line="240" w:lineRule="auto" w:before="1" w:after="0"/>
        <w:ind w:left="1226" w:right="0" w:hanging="793"/>
        <w:jc w:val="left"/>
        <w:rPr>
          <w:sz w:val="13"/>
        </w:rPr>
      </w:pPr>
      <w:r>
        <w:rPr>
          <w:w w:val="105"/>
          <w:sz w:val="13"/>
        </w:rPr>
        <w:t>Victorian</w:t>
      </w:r>
      <w:r>
        <w:rPr>
          <w:spacing w:val="4"/>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5"/>
          <w:w w:val="105"/>
          <w:sz w:val="13"/>
        </w:rPr>
        <w:t> </w:t>
      </w:r>
      <w:r>
        <w:rPr>
          <w:w w:val="105"/>
          <w:sz w:val="13"/>
        </w:rPr>
        <w:t>Tribunal,</w:t>
      </w:r>
      <w:r>
        <w:rPr>
          <w:spacing w:val="5"/>
          <w:w w:val="105"/>
          <w:sz w:val="13"/>
        </w:rPr>
        <w:t> </w:t>
      </w:r>
      <w:r>
        <w:rPr>
          <w:i/>
          <w:w w:val="105"/>
          <w:sz w:val="13"/>
        </w:rPr>
        <w:t>VCAT</w:t>
      </w:r>
      <w:r>
        <w:rPr>
          <w:i/>
          <w:spacing w:val="4"/>
          <w:w w:val="105"/>
          <w:sz w:val="13"/>
        </w:rPr>
        <w:t> </w:t>
      </w:r>
      <w:r>
        <w:rPr>
          <w:i/>
          <w:w w:val="105"/>
          <w:sz w:val="13"/>
        </w:rPr>
        <w:t>Annual</w:t>
      </w:r>
      <w:r>
        <w:rPr>
          <w:i/>
          <w:spacing w:val="5"/>
          <w:w w:val="105"/>
          <w:sz w:val="13"/>
        </w:rPr>
        <w:t> </w:t>
      </w:r>
      <w:r>
        <w:rPr>
          <w:i/>
          <w:spacing w:val="2"/>
          <w:w w:val="105"/>
          <w:sz w:val="13"/>
        </w:rPr>
        <w:t>Report</w:t>
      </w:r>
      <w:r>
        <w:rPr>
          <w:i/>
          <w:spacing w:val="5"/>
          <w:w w:val="105"/>
          <w:sz w:val="13"/>
        </w:rPr>
        <w:t> </w:t>
      </w:r>
      <w:r>
        <w:rPr>
          <w:i/>
          <w:w w:val="105"/>
          <w:sz w:val="13"/>
        </w:rPr>
        <w:t>2016–2017</w:t>
      </w:r>
      <w:r>
        <w:rPr>
          <w:i/>
          <w:spacing w:val="5"/>
          <w:w w:val="105"/>
          <w:sz w:val="13"/>
        </w:rPr>
        <w:t> </w:t>
      </w:r>
      <w:r>
        <w:rPr>
          <w:spacing w:val="2"/>
          <w:w w:val="105"/>
          <w:sz w:val="13"/>
        </w:rPr>
        <w:t>(Report,</w:t>
      </w:r>
      <w:r>
        <w:rPr>
          <w:spacing w:val="5"/>
          <w:w w:val="105"/>
          <w:sz w:val="13"/>
        </w:rPr>
        <w:t> </w:t>
      </w:r>
      <w:r>
        <w:rPr>
          <w:w w:val="105"/>
          <w:sz w:val="13"/>
        </w:rPr>
        <w:t>2017)</w:t>
      </w:r>
      <w:r>
        <w:rPr>
          <w:spacing w:val="4"/>
          <w:w w:val="105"/>
          <w:sz w:val="13"/>
        </w:rPr>
        <w:t> </w:t>
      </w:r>
      <w:r>
        <w:rPr>
          <w:w w:val="105"/>
          <w:sz w:val="13"/>
        </w:rPr>
        <w:t>24.</w:t>
      </w:r>
    </w:p>
    <w:p>
      <w:pPr>
        <w:pStyle w:val="ListParagraph"/>
        <w:numPr>
          <w:ilvl w:val="0"/>
          <w:numId w:val="121"/>
        </w:numPr>
        <w:tabs>
          <w:tab w:pos="1226" w:val="left" w:leader="none"/>
          <w:tab w:pos="1227" w:val="left" w:leader="none"/>
        </w:tabs>
        <w:spacing w:line="240" w:lineRule="auto" w:before="1" w:after="0"/>
        <w:ind w:left="1227" w:right="0" w:hanging="794"/>
        <w:jc w:val="left"/>
        <w:rPr>
          <w:sz w:val="13"/>
        </w:rPr>
      </w:pPr>
      <w:r>
        <w:rPr>
          <w:w w:val="105"/>
          <w:sz w:val="13"/>
        </w:rPr>
        <w:t>Ibid</w:t>
      </w:r>
      <w:r>
        <w:rPr>
          <w:spacing w:val="4"/>
          <w:w w:val="105"/>
          <w:sz w:val="13"/>
        </w:rPr>
        <w:t> </w:t>
      </w:r>
      <w:r>
        <w:rPr>
          <w:w w:val="105"/>
          <w:sz w:val="13"/>
        </w:rPr>
        <w:t>16.</w:t>
      </w:r>
    </w:p>
    <w:p>
      <w:pPr>
        <w:pStyle w:val="ListParagraph"/>
        <w:numPr>
          <w:ilvl w:val="0"/>
          <w:numId w:val="121"/>
        </w:numPr>
        <w:tabs>
          <w:tab w:pos="1226" w:val="left" w:leader="none"/>
          <w:tab w:pos="1227" w:val="left" w:leader="none"/>
        </w:tabs>
        <w:spacing w:line="240" w:lineRule="auto" w:before="2" w:after="0"/>
        <w:ind w:left="1227" w:right="1688" w:hanging="794"/>
        <w:jc w:val="left"/>
        <w:rPr>
          <w:sz w:val="13"/>
        </w:rPr>
      </w:pPr>
      <w:r>
        <w:rPr>
          <w:w w:val="105"/>
          <w:sz w:val="13"/>
        </w:rPr>
        <w:t>See, eg, Justice Kevin Bell, </w:t>
      </w:r>
      <w:r>
        <w:rPr>
          <w:i/>
          <w:w w:val="105"/>
          <w:sz w:val="13"/>
        </w:rPr>
        <w:t>One VCAT–President’s Review of VCAT </w:t>
      </w:r>
      <w:r>
        <w:rPr>
          <w:spacing w:val="2"/>
          <w:w w:val="105"/>
          <w:sz w:val="13"/>
        </w:rPr>
        <w:t>(Report, </w:t>
      </w:r>
      <w:r>
        <w:rPr>
          <w:w w:val="105"/>
          <w:sz w:val="13"/>
        </w:rPr>
        <w:t>30 November </w:t>
      </w:r>
      <w:r>
        <w:rPr>
          <w:spacing w:val="2"/>
          <w:w w:val="105"/>
          <w:sz w:val="13"/>
        </w:rPr>
        <w:t>2009) </w:t>
      </w:r>
      <w:r>
        <w:rPr>
          <w:w w:val="105"/>
          <w:sz w:val="13"/>
        </w:rPr>
        <w:t>71–2; Recommendations </w:t>
      </w:r>
      <w:r>
        <w:rPr>
          <w:spacing w:val="3"/>
          <w:w w:val="105"/>
          <w:sz w:val="13"/>
        </w:rPr>
        <w:t>54–56; </w:t>
      </w:r>
      <w:r>
        <w:rPr>
          <w:i/>
          <w:w w:val="105"/>
          <w:sz w:val="13"/>
        </w:rPr>
        <w:t>Victorian </w:t>
      </w:r>
      <w:r>
        <w:rPr>
          <w:i/>
          <w:w w:val="105"/>
          <w:sz w:val="13"/>
        </w:rPr>
        <w:t>Civil and Administrative Tribunal, Building A Better VCAT: Strategic Plan </w:t>
      </w:r>
      <w:r>
        <w:rPr>
          <w:i/>
          <w:spacing w:val="-3"/>
          <w:w w:val="105"/>
          <w:sz w:val="13"/>
        </w:rPr>
        <w:t>2014–17  </w:t>
      </w:r>
      <w:r>
        <w:rPr>
          <w:spacing w:val="2"/>
          <w:w w:val="105"/>
          <w:sz w:val="13"/>
        </w:rPr>
        <w:t>(Report) </w:t>
      </w:r>
      <w:r>
        <w:rPr>
          <w:w w:val="105"/>
          <w:sz w:val="13"/>
        </w:rPr>
        <w:t>3; </w:t>
      </w:r>
      <w:r>
        <w:rPr>
          <w:i/>
          <w:w w:val="105"/>
          <w:sz w:val="13"/>
        </w:rPr>
        <w:t>Victorian Civil and Administrative Tribunal,</w:t>
      </w:r>
      <w:r>
        <w:rPr>
          <w:i/>
          <w:spacing w:val="30"/>
          <w:w w:val="105"/>
          <w:sz w:val="13"/>
        </w:rPr>
        <w:t> </w:t>
      </w:r>
      <w:r>
        <w:rPr>
          <w:i/>
          <w:w w:val="105"/>
          <w:sz w:val="13"/>
        </w:rPr>
        <w:t>VCAT For the Future: Strategic Plan 2018–22 </w:t>
      </w:r>
      <w:r>
        <w:rPr>
          <w:spacing w:val="2"/>
          <w:w w:val="105"/>
          <w:sz w:val="13"/>
        </w:rPr>
        <w:t>(Report)</w:t>
      </w:r>
      <w:r>
        <w:rPr>
          <w:spacing w:val="4"/>
          <w:w w:val="105"/>
          <w:sz w:val="13"/>
        </w:rPr>
        <w:t> </w:t>
      </w:r>
      <w:r>
        <w:rPr>
          <w:w w:val="105"/>
          <w:sz w:val="13"/>
        </w:rPr>
        <w:t>8.</w:t>
      </w:r>
    </w:p>
    <w:p>
      <w:pPr>
        <w:pStyle w:val="ListParagraph"/>
        <w:numPr>
          <w:ilvl w:val="0"/>
          <w:numId w:val="121"/>
        </w:numPr>
        <w:tabs>
          <w:tab w:pos="1226" w:val="left" w:leader="none"/>
          <w:tab w:pos="1227" w:val="left" w:leader="none"/>
        </w:tabs>
        <w:spacing w:line="240" w:lineRule="auto" w:before="4" w:after="0"/>
        <w:ind w:left="1227" w:right="0" w:hanging="794"/>
        <w:jc w:val="left"/>
        <w:rPr>
          <w:sz w:val="13"/>
        </w:rPr>
      </w:pPr>
      <w:r>
        <w:rPr>
          <w:sz w:val="13"/>
        </w:rPr>
        <w:t>Victorian</w:t>
      </w:r>
      <w:r>
        <w:rPr>
          <w:spacing w:val="8"/>
          <w:sz w:val="13"/>
        </w:rPr>
        <w:t> </w:t>
      </w:r>
      <w:r>
        <w:rPr>
          <w:sz w:val="13"/>
        </w:rPr>
        <w:t>Civil</w:t>
      </w:r>
      <w:r>
        <w:rPr>
          <w:spacing w:val="8"/>
          <w:sz w:val="13"/>
        </w:rPr>
        <w:t> </w:t>
      </w:r>
      <w:r>
        <w:rPr>
          <w:sz w:val="13"/>
        </w:rPr>
        <w:t>and</w:t>
      </w:r>
      <w:r>
        <w:rPr>
          <w:spacing w:val="8"/>
          <w:sz w:val="13"/>
        </w:rPr>
        <w:t> </w:t>
      </w:r>
      <w:r>
        <w:rPr>
          <w:sz w:val="13"/>
        </w:rPr>
        <w:t>Administrative</w:t>
      </w:r>
      <w:r>
        <w:rPr>
          <w:spacing w:val="8"/>
          <w:sz w:val="13"/>
        </w:rPr>
        <w:t> </w:t>
      </w:r>
      <w:r>
        <w:rPr>
          <w:sz w:val="13"/>
        </w:rPr>
        <w:t>Tribunal,</w:t>
      </w:r>
      <w:r>
        <w:rPr>
          <w:spacing w:val="8"/>
          <w:sz w:val="13"/>
        </w:rPr>
        <w:t> </w:t>
      </w:r>
      <w:r>
        <w:rPr>
          <w:i/>
          <w:sz w:val="13"/>
        </w:rPr>
        <w:t>VCAT</w:t>
      </w:r>
      <w:r>
        <w:rPr>
          <w:i/>
          <w:spacing w:val="8"/>
          <w:sz w:val="13"/>
        </w:rPr>
        <w:t> </w:t>
      </w:r>
      <w:r>
        <w:rPr>
          <w:i/>
          <w:sz w:val="13"/>
        </w:rPr>
        <w:t>For</w:t>
      </w:r>
      <w:r>
        <w:rPr>
          <w:i/>
          <w:spacing w:val="8"/>
          <w:sz w:val="13"/>
        </w:rPr>
        <w:t> </w:t>
      </w:r>
      <w:r>
        <w:rPr>
          <w:i/>
          <w:sz w:val="13"/>
        </w:rPr>
        <w:t>the</w:t>
      </w:r>
      <w:r>
        <w:rPr>
          <w:i/>
          <w:spacing w:val="8"/>
          <w:sz w:val="13"/>
        </w:rPr>
        <w:t> </w:t>
      </w:r>
      <w:r>
        <w:rPr>
          <w:i/>
          <w:sz w:val="13"/>
        </w:rPr>
        <w:t>Future:</w:t>
      </w:r>
      <w:r>
        <w:rPr>
          <w:i/>
          <w:spacing w:val="8"/>
          <w:sz w:val="13"/>
        </w:rPr>
        <w:t> </w:t>
      </w:r>
      <w:r>
        <w:rPr>
          <w:i/>
          <w:sz w:val="13"/>
        </w:rPr>
        <w:t>Strategic</w:t>
      </w:r>
      <w:r>
        <w:rPr>
          <w:i/>
          <w:spacing w:val="8"/>
          <w:sz w:val="13"/>
        </w:rPr>
        <w:t> </w:t>
      </w:r>
      <w:r>
        <w:rPr>
          <w:i/>
          <w:sz w:val="13"/>
        </w:rPr>
        <w:t>Plan</w:t>
      </w:r>
      <w:r>
        <w:rPr>
          <w:i/>
          <w:spacing w:val="8"/>
          <w:sz w:val="13"/>
        </w:rPr>
        <w:t> </w:t>
      </w:r>
      <w:r>
        <w:rPr>
          <w:i/>
          <w:sz w:val="13"/>
        </w:rPr>
        <w:t>2018–22</w:t>
      </w:r>
      <w:r>
        <w:rPr>
          <w:i/>
          <w:spacing w:val="8"/>
          <w:sz w:val="13"/>
        </w:rPr>
        <w:t> </w:t>
      </w:r>
      <w:r>
        <w:rPr>
          <w:spacing w:val="2"/>
          <w:sz w:val="13"/>
        </w:rPr>
        <w:t>(Report)</w:t>
      </w:r>
      <w:r>
        <w:rPr>
          <w:spacing w:val="9"/>
          <w:sz w:val="13"/>
        </w:rPr>
        <w:t> </w:t>
      </w:r>
      <w:r>
        <w:rPr>
          <w:sz w:val="13"/>
        </w:rPr>
        <w:t>8.</w:t>
      </w:r>
    </w:p>
    <w:p>
      <w:pPr>
        <w:pStyle w:val="ListParagraph"/>
        <w:numPr>
          <w:ilvl w:val="0"/>
          <w:numId w:val="121"/>
        </w:numPr>
        <w:tabs>
          <w:tab w:pos="1226" w:val="left" w:leader="none"/>
          <w:tab w:pos="1227" w:val="left" w:leader="none"/>
        </w:tabs>
        <w:spacing w:line="240" w:lineRule="auto" w:before="1" w:after="0"/>
        <w:ind w:left="1227" w:right="0" w:hanging="794"/>
        <w:jc w:val="left"/>
        <w:rPr>
          <w:sz w:val="13"/>
        </w:rPr>
      </w:pPr>
      <w:r>
        <w:rPr>
          <w:w w:val="105"/>
          <w:sz w:val="13"/>
        </w:rPr>
        <w:t>Supplementary Consultation 1 (Victorian Civil and Administrative</w:t>
      </w:r>
      <w:r>
        <w:rPr>
          <w:spacing w:val="2"/>
          <w:w w:val="105"/>
          <w:sz w:val="13"/>
        </w:rPr>
        <w:t> </w:t>
      </w:r>
      <w:r>
        <w:rPr>
          <w:w w:val="105"/>
          <w:sz w:val="13"/>
        </w:rPr>
        <w:t>Tribunal).</w:t>
      </w:r>
    </w:p>
    <w:p>
      <w:pPr>
        <w:spacing w:after="0" w:line="240" w:lineRule="auto"/>
        <w:jc w:val="left"/>
        <w:rPr>
          <w:sz w:val="13"/>
        </w:rPr>
        <w:sectPr>
          <w:type w:val="continuous"/>
          <w:pgSz w:w="11910" w:h="16840"/>
          <w:pgMar w:top="300" w:bottom="280" w:left="0" w:right="0"/>
          <w:cols w:num="2" w:equalWidth="0">
            <w:col w:w="1115" w:space="40"/>
            <w:col w:w="10755"/>
          </w:cols>
        </w:sectPr>
      </w:pPr>
    </w:p>
    <w:p>
      <w:pPr>
        <w:pStyle w:val="BodyText"/>
        <w:rPr>
          <w:sz w:val="20"/>
        </w:rPr>
      </w:pPr>
    </w:p>
    <w:p>
      <w:pPr>
        <w:pStyle w:val="BodyText"/>
        <w:spacing w:before="9"/>
        <w:rPr>
          <w:sz w:val="18"/>
        </w:rPr>
      </w:pPr>
    </w:p>
    <w:p>
      <w:pPr>
        <w:pStyle w:val="BodyText"/>
        <w:spacing w:line="242" w:lineRule="auto" w:before="91"/>
        <w:ind w:left="2381" w:right="1636"/>
        <w:rPr>
          <w:sz w:val="12"/>
        </w:rPr>
      </w:pPr>
      <w:bookmarkStart w:name="_bookmark80" w:id="174"/>
      <w:bookmarkEnd w:id="174"/>
      <w:r>
        <w:rPr/>
      </w:r>
      <w:r>
        <w:rPr>
          <w:spacing w:val="-3"/>
          <w:w w:val="105"/>
        </w:rPr>
        <w:t>Kerang, Korumburra, Mildura, </w:t>
      </w:r>
      <w:r>
        <w:rPr>
          <w:w w:val="105"/>
        </w:rPr>
        <w:t>Moe, Morwell, Portland, </w:t>
      </w:r>
      <w:r>
        <w:rPr>
          <w:spacing w:val="-3"/>
          <w:w w:val="105"/>
        </w:rPr>
        <w:t>Sale, </w:t>
      </w:r>
      <w:r>
        <w:rPr>
          <w:spacing w:val="-4"/>
          <w:w w:val="105"/>
        </w:rPr>
        <w:t>Seymour, </w:t>
      </w:r>
      <w:r>
        <w:rPr>
          <w:w w:val="105"/>
        </w:rPr>
        <w:t>Shepparton, </w:t>
      </w:r>
      <w:r>
        <w:rPr>
          <w:spacing w:val="-3"/>
          <w:w w:val="105"/>
        </w:rPr>
        <w:t>Swan Hill, Wangaratta, Warrnambool </w:t>
      </w:r>
      <w:r>
        <w:rPr>
          <w:w w:val="105"/>
        </w:rPr>
        <w:t>and Wodonga.</w:t>
      </w:r>
      <w:r>
        <w:rPr>
          <w:w w:val="105"/>
          <w:position w:val="7"/>
          <w:sz w:val="12"/>
        </w:rPr>
        <w:t>252</w:t>
      </w:r>
    </w:p>
    <w:p>
      <w:pPr>
        <w:pStyle w:val="ListParagraph"/>
        <w:numPr>
          <w:ilvl w:val="1"/>
          <w:numId w:val="114"/>
        </w:numPr>
        <w:tabs>
          <w:tab w:pos="2381" w:val="left" w:leader="none"/>
          <w:tab w:pos="2382" w:val="left" w:leader="none"/>
        </w:tabs>
        <w:spacing w:line="242" w:lineRule="auto" w:before="123" w:after="0"/>
        <w:ind w:left="2381" w:right="1621" w:hanging="794"/>
        <w:jc w:val="left"/>
        <w:rPr>
          <w:sz w:val="21"/>
        </w:rPr>
      </w:pPr>
      <w:r>
        <w:rPr>
          <w:spacing w:val="-5"/>
          <w:sz w:val="21"/>
        </w:rPr>
        <w:t>VCAT </w:t>
      </w:r>
      <w:r>
        <w:rPr>
          <w:sz w:val="21"/>
        </w:rPr>
        <w:t>offers parties a </w:t>
      </w:r>
      <w:r>
        <w:rPr>
          <w:spacing w:val="-3"/>
          <w:sz w:val="21"/>
        </w:rPr>
        <w:t>range </w:t>
      </w:r>
      <w:r>
        <w:rPr>
          <w:sz w:val="21"/>
        </w:rPr>
        <w:t>of technologies </w:t>
      </w:r>
      <w:r>
        <w:rPr>
          <w:spacing w:val="-3"/>
          <w:sz w:val="21"/>
        </w:rPr>
        <w:t>to  </w:t>
      </w:r>
      <w:r>
        <w:rPr>
          <w:sz w:val="21"/>
        </w:rPr>
        <w:t>provide  flexible  processes  </w:t>
      </w:r>
      <w:r>
        <w:rPr>
          <w:spacing w:val="-3"/>
          <w:sz w:val="21"/>
        </w:rPr>
        <w:t>such  </w:t>
      </w:r>
      <w:r>
        <w:rPr>
          <w:sz w:val="21"/>
        </w:rPr>
        <w:t>as telephone  </w:t>
      </w:r>
      <w:r>
        <w:rPr>
          <w:spacing w:val="-3"/>
          <w:sz w:val="21"/>
        </w:rPr>
        <w:t>conference  </w:t>
      </w:r>
      <w:r>
        <w:rPr>
          <w:sz w:val="21"/>
        </w:rPr>
        <w:t>and  video  </w:t>
      </w:r>
      <w:r>
        <w:rPr>
          <w:spacing w:val="-3"/>
          <w:sz w:val="21"/>
        </w:rPr>
        <w:t>conference  facilities.</w:t>
      </w:r>
      <w:r>
        <w:rPr>
          <w:spacing w:val="-3"/>
          <w:position w:val="7"/>
          <w:sz w:val="12"/>
        </w:rPr>
        <w:t>253</w:t>
      </w:r>
      <w:r>
        <w:rPr>
          <w:spacing w:val="21"/>
          <w:position w:val="7"/>
          <w:sz w:val="12"/>
        </w:rPr>
        <w:t> </w:t>
      </w:r>
      <w:r>
        <w:rPr>
          <w:sz w:val="21"/>
        </w:rPr>
        <w:t>Video  </w:t>
      </w:r>
      <w:r>
        <w:rPr>
          <w:spacing w:val="-3"/>
          <w:sz w:val="21"/>
        </w:rPr>
        <w:t>conferencing  </w:t>
      </w:r>
      <w:r>
        <w:rPr>
          <w:spacing w:val="-4"/>
          <w:sz w:val="21"/>
        </w:rPr>
        <w:t>‘allows  </w:t>
      </w:r>
      <w:r>
        <w:rPr>
          <w:sz w:val="21"/>
        </w:rPr>
        <w:t>a party or </w:t>
      </w:r>
      <w:r>
        <w:rPr>
          <w:spacing w:val="-3"/>
          <w:sz w:val="21"/>
        </w:rPr>
        <w:t>multiple </w:t>
      </w:r>
      <w:r>
        <w:rPr>
          <w:sz w:val="21"/>
        </w:rPr>
        <w:t>parties </w:t>
      </w:r>
      <w:r>
        <w:rPr>
          <w:spacing w:val="-3"/>
          <w:sz w:val="21"/>
        </w:rPr>
        <w:t>to </w:t>
      </w:r>
      <w:r>
        <w:rPr>
          <w:sz w:val="21"/>
        </w:rPr>
        <w:t>participate in a </w:t>
      </w:r>
      <w:r>
        <w:rPr>
          <w:spacing w:val="-3"/>
          <w:sz w:val="21"/>
        </w:rPr>
        <w:t>hearing from metropolitan, regional, rural, </w:t>
      </w:r>
      <w:r>
        <w:rPr>
          <w:sz w:val="21"/>
        </w:rPr>
        <w:t>interstate or </w:t>
      </w:r>
      <w:r>
        <w:rPr>
          <w:spacing w:val="-3"/>
          <w:sz w:val="21"/>
        </w:rPr>
        <w:t>international </w:t>
      </w:r>
      <w:r>
        <w:rPr>
          <w:sz w:val="21"/>
        </w:rPr>
        <w:t>locations </w:t>
      </w:r>
      <w:r>
        <w:rPr>
          <w:spacing w:val="-3"/>
          <w:sz w:val="21"/>
        </w:rPr>
        <w:t>including public </w:t>
      </w:r>
      <w:r>
        <w:rPr>
          <w:sz w:val="21"/>
        </w:rPr>
        <w:t>and </w:t>
      </w:r>
      <w:r>
        <w:rPr>
          <w:spacing w:val="-3"/>
          <w:sz w:val="21"/>
        </w:rPr>
        <w:t>private </w:t>
      </w:r>
      <w:r>
        <w:rPr>
          <w:spacing w:val="-4"/>
          <w:sz w:val="21"/>
        </w:rPr>
        <w:t>facilities’.</w:t>
      </w:r>
      <w:r>
        <w:rPr>
          <w:spacing w:val="-4"/>
          <w:position w:val="7"/>
          <w:sz w:val="12"/>
        </w:rPr>
        <w:t>254 </w:t>
      </w:r>
      <w:r>
        <w:rPr>
          <w:sz w:val="21"/>
        </w:rPr>
        <w:t>These </w:t>
      </w:r>
      <w:r>
        <w:rPr>
          <w:spacing w:val="-3"/>
          <w:sz w:val="21"/>
        </w:rPr>
        <w:t>facilities may </w:t>
      </w:r>
      <w:r>
        <w:rPr>
          <w:sz w:val="21"/>
        </w:rPr>
        <w:t>be of particular benefit </w:t>
      </w:r>
      <w:r>
        <w:rPr>
          <w:spacing w:val="-3"/>
          <w:sz w:val="21"/>
        </w:rPr>
        <w:t>to </w:t>
      </w:r>
      <w:r>
        <w:rPr>
          <w:sz w:val="21"/>
        </w:rPr>
        <w:t>people who live in </w:t>
      </w:r>
      <w:r>
        <w:rPr>
          <w:spacing w:val="-3"/>
          <w:sz w:val="21"/>
        </w:rPr>
        <w:t>regional areas </w:t>
      </w:r>
      <w:r>
        <w:rPr>
          <w:sz w:val="21"/>
        </w:rPr>
        <w:t>and </w:t>
      </w:r>
      <w:r>
        <w:rPr>
          <w:spacing w:val="-3"/>
          <w:sz w:val="21"/>
        </w:rPr>
        <w:t>may </w:t>
      </w:r>
      <w:r>
        <w:rPr>
          <w:sz w:val="21"/>
        </w:rPr>
        <w:t>help </w:t>
      </w:r>
      <w:r>
        <w:rPr>
          <w:spacing w:val="-3"/>
          <w:sz w:val="21"/>
        </w:rPr>
        <w:t>to limit </w:t>
      </w:r>
      <w:r>
        <w:rPr>
          <w:sz w:val="21"/>
        </w:rPr>
        <w:t>the need </w:t>
      </w:r>
      <w:r>
        <w:rPr>
          <w:spacing w:val="-3"/>
          <w:sz w:val="21"/>
        </w:rPr>
        <w:t>to </w:t>
      </w:r>
      <w:r>
        <w:rPr>
          <w:sz w:val="21"/>
        </w:rPr>
        <w:t>appear in person at a final </w:t>
      </w:r>
      <w:r>
        <w:rPr>
          <w:spacing w:val="-3"/>
          <w:sz w:val="21"/>
        </w:rPr>
        <w:t>hearing </w:t>
      </w:r>
      <w:r>
        <w:rPr>
          <w:sz w:val="21"/>
        </w:rPr>
        <w:t>or on-site inspection or</w:t>
      </w:r>
      <w:r>
        <w:rPr>
          <w:spacing w:val="17"/>
          <w:sz w:val="21"/>
        </w:rPr>
        <w:t> </w:t>
      </w:r>
      <w:r>
        <w:rPr>
          <w:spacing w:val="-3"/>
          <w:sz w:val="21"/>
        </w:rPr>
        <w:t>for mediation.</w:t>
      </w:r>
    </w:p>
    <w:p>
      <w:pPr>
        <w:pStyle w:val="ListParagraph"/>
        <w:numPr>
          <w:ilvl w:val="1"/>
          <w:numId w:val="114"/>
        </w:numPr>
        <w:tabs>
          <w:tab w:pos="2380" w:val="left" w:leader="none"/>
          <w:tab w:pos="2381" w:val="left" w:leader="none"/>
        </w:tabs>
        <w:spacing w:line="242" w:lineRule="auto" w:before="126" w:after="0"/>
        <w:ind w:left="2381" w:right="1727" w:hanging="794"/>
        <w:jc w:val="left"/>
        <w:rPr>
          <w:sz w:val="21"/>
        </w:rPr>
      </w:pPr>
      <w:r>
        <w:rPr>
          <w:sz w:val="21"/>
        </w:rPr>
        <w:t>The </w:t>
      </w:r>
      <w:r>
        <w:rPr>
          <w:spacing w:val="-5"/>
          <w:sz w:val="21"/>
        </w:rPr>
        <w:t>Tribunal </w:t>
      </w:r>
      <w:r>
        <w:rPr>
          <w:spacing w:val="-2"/>
          <w:sz w:val="21"/>
        </w:rPr>
        <w:t>has </w:t>
      </w:r>
      <w:r>
        <w:rPr>
          <w:sz w:val="21"/>
        </w:rPr>
        <w:t>started </w:t>
      </w:r>
      <w:r>
        <w:rPr>
          <w:spacing w:val="-3"/>
          <w:sz w:val="21"/>
        </w:rPr>
        <w:t>delivering </w:t>
      </w:r>
      <w:r>
        <w:rPr>
          <w:sz w:val="21"/>
        </w:rPr>
        <w:t>on some aspects of its </w:t>
      </w:r>
      <w:r>
        <w:rPr>
          <w:spacing w:val="-3"/>
          <w:sz w:val="21"/>
        </w:rPr>
        <w:t>strategic  plan,  </w:t>
      </w:r>
      <w:r>
        <w:rPr>
          <w:sz w:val="21"/>
        </w:rPr>
        <w:t>which </w:t>
      </w:r>
      <w:r>
        <w:rPr>
          <w:spacing w:val="-3"/>
          <w:sz w:val="21"/>
        </w:rPr>
        <w:t>will</w:t>
      </w:r>
      <w:r>
        <w:rPr>
          <w:spacing w:val="41"/>
          <w:sz w:val="21"/>
        </w:rPr>
        <w:t> </w:t>
      </w:r>
      <w:r>
        <w:rPr>
          <w:spacing w:val="-4"/>
          <w:sz w:val="21"/>
        </w:rPr>
        <w:t>make  </w:t>
      </w:r>
      <w:r>
        <w:rPr>
          <w:sz w:val="21"/>
        </w:rPr>
        <w:t>its services more efficient and </w:t>
      </w:r>
      <w:r>
        <w:rPr>
          <w:spacing w:val="-3"/>
          <w:sz w:val="21"/>
        </w:rPr>
        <w:t>accessible for </w:t>
      </w:r>
      <w:r>
        <w:rPr>
          <w:sz w:val="21"/>
        </w:rPr>
        <w:t>people </w:t>
      </w:r>
      <w:r>
        <w:rPr>
          <w:spacing w:val="-3"/>
          <w:sz w:val="21"/>
        </w:rPr>
        <w:t>living </w:t>
      </w:r>
      <w:r>
        <w:rPr>
          <w:sz w:val="21"/>
        </w:rPr>
        <w:t>in </w:t>
      </w:r>
      <w:r>
        <w:rPr>
          <w:spacing w:val="-3"/>
          <w:sz w:val="21"/>
        </w:rPr>
        <w:t>regional</w:t>
      </w:r>
      <w:r>
        <w:rPr>
          <w:sz w:val="21"/>
        </w:rPr>
        <w:t> areas:</w:t>
      </w:r>
    </w:p>
    <w:p>
      <w:pPr>
        <w:pStyle w:val="ListParagraph"/>
        <w:numPr>
          <w:ilvl w:val="2"/>
          <w:numId w:val="114"/>
        </w:numPr>
        <w:tabs>
          <w:tab w:pos="2721" w:val="left" w:leader="none"/>
          <w:tab w:pos="2722" w:val="left" w:leader="none"/>
        </w:tabs>
        <w:spacing w:line="242" w:lineRule="auto" w:before="123" w:after="0"/>
        <w:ind w:left="2721" w:right="1661" w:hanging="340"/>
        <w:jc w:val="left"/>
        <w:rPr>
          <w:sz w:val="12"/>
        </w:rPr>
      </w:pPr>
      <w:r>
        <w:rPr>
          <w:spacing w:val="-5"/>
          <w:sz w:val="21"/>
        </w:rPr>
        <w:t>VCAT </w:t>
      </w:r>
      <w:r>
        <w:rPr>
          <w:spacing w:val="-2"/>
          <w:sz w:val="21"/>
        </w:rPr>
        <w:t>has </w:t>
      </w:r>
      <w:r>
        <w:rPr>
          <w:sz w:val="21"/>
        </w:rPr>
        <w:t>extended </w:t>
      </w:r>
      <w:r>
        <w:rPr>
          <w:spacing w:val="-3"/>
          <w:sz w:val="21"/>
        </w:rPr>
        <w:t>principal  registrar  </w:t>
      </w:r>
      <w:r>
        <w:rPr>
          <w:sz w:val="21"/>
        </w:rPr>
        <w:t>delegations </w:t>
      </w:r>
      <w:r>
        <w:rPr>
          <w:spacing w:val="-3"/>
          <w:sz w:val="21"/>
        </w:rPr>
        <w:t>to</w:t>
      </w:r>
      <w:r>
        <w:rPr>
          <w:spacing w:val="41"/>
          <w:sz w:val="21"/>
        </w:rPr>
        <w:t> </w:t>
      </w:r>
      <w:r>
        <w:rPr>
          <w:sz w:val="21"/>
        </w:rPr>
        <w:t>qualified </w:t>
      </w:r>
      <w:r>
        <w:rPr>
          <w:spacing w:val="-3"/>
          <w:sz w:val="21"/>
        </w:rPr>
        <w:t>regional  </w:t>
      </w:r>
      <w:r>
        <w:rPr>
          <w:sz w:val="21"/>
        </w:rPr>
        <w:t>staff members </w:t>
      </w:r>
      <w:r>
        <w:rPr>
          <w:spacing w:val="-3"/>
          <w:sz w:val="21"/>
        </w:rPr>
        <w:t>to </w:t>
      </w:r>
      <w:r>
        <w:rPr>
          <w:sz w:val="21"/>
        </w:rPr>
        <w:t>speed up </w:t>
      </w:r>
      <w:r>
        <w:rPr>
          <w:spacing w:val="-3"/>
          <w:sz w:val="21"/>
        </w:rPr>
        <w:t>processing </w:t>
      </w:r>
      <w:r>
        <w:rPr>
          <w:sz w:val="21"/>
        </w:rPr>
        <w:t>or matters </w:t>
      </w:r>
      <w:r>
        <w:rPr>
          <w:spacing w:val="-3"/>
          <w:sz w:val="21"/>
        </w:rPr>
        <w:t>(for example, </w:t>
      </w:r>
      <w:r>
        <w:rPr>
          <w:sz w:val="21"/>
        </w:rPr>
        <w:t>certifying </w:t>
      </w:r>
      <w:r>
        <w:rPr>
          <w:spacing w:val="-5"/>
          <w:sz w:val="21"/>
        </w:rPr>
        <w:t>Tribunal </w:t>
      </w:r>
      <w:r>
        <w:rPr>
          <w:sz w:val="21"/>
        </w:rPr>
        <w:t>orders). This was </w:t>
      </w:r>
      <w:r>
        <w:rPr>
          <w:spacing w:val="-3"/>
          <w:sz w:val="21"/>
        </w:rPr>
        <w:t>implemented </w:t>
      </w:r>
      <w:r>
        <w:rPr>
          <w:sz w:val="21"/>
        </w:rPr>
        <w:t>in </w:t>
      </w:r>
      <w:r>
        <w:rPr>
          <w:spacing w:val="-6"/>
          <w:sz w:val="21"/>
        </w:rPr>
        <w:t>VCAT’s </w:t>
      </w:r>
      <w:r>
        <w:rPr>
          <w:sz w:val="21"/>
        </w:rPr>
        <w:t>Review and </w:t>
      </w:r>
      <w:r>
        <w:rPr>
          <w:spacing w:val="-3"/>
          <w:sz w:val="21"/>
        </w:rPr>
        <w:t>Regulation </w:t>
      </w:r>
      <w:r>
        <w:rPr>
          <w:sz w:val="21"/>
        </w:rPr>
        <w:t>and Legal Practice lists and  </w:t>
      </w:r>
      <w:r>
        <w:rPr>
          <w:spacing w:val="-3"/>
          <w:sz w:val="21"/>
        </w:rPr>
        <w:t>will  </w:t>
      </w:r>
      <w:r>
        <w:rPr>
          <w:sz w:val="21"/>
        </w:rPr>
        <w:t>be further expanded, especially </w:t>
      </w:r>
      <w:r>
        <w:rPr>
          <w:spacing w:val="-4"/>
          <w:sz w:val="21"/>
        </w:rPr>
        <w:t>into </w:t>
      </w:r>
      <w:r>
        <w:rPr>
          <w:spacing w:val="-3"/>
          <w:sz w:val="21"/>
        </w:rPr>
        <w:t>regional</w:t>
      </w:r>
      <w:r>
        <w:rPr>
          <w:spacing w:val="7"/>
          <w:sz w:val="21"/>
        </w:rPr>
        <w:t> </w:t>
      </w:r>
      <w:r>
        <w:rPr>
          <w:sz w:val="21"/>
        </w:rPr>
        <w:t>areas.</w:t>
      </w:r>
      <w:r>
        <w:rPr>
          <w:position w:val="7"/>
          <w:sz w:val="12"/>
        </w:rPr>
        <w:t>255</w:t>
      </w:r>
    </w:p>
    <w:p>
      <w:pPr>
        <w:pStyle w:val="ListParagraph"/>
        <w:numPr>
          <w:ilvl w:val="2"/>
          <w:numId w:val="114"/>
        </w:numPr>
        <w:tabs>
          <w:tab w:pos="2721" w:val="left" w:leader="none"/>
          <w:tab w:pos="2722" w:val="left" w:leader="none"/>
        </w:tabs>
        <w:spacing w:line="242" w:lineRule="auto" w:before="89" w:after="0"/>
        <w:ind w:left="2721" w:right="1762" w:hanging="340"/>
        <w:jc w:val="left"/>
        <w:rPr>
          <w:sz w:val="12"/>
        </w:rPr>
      </w:pPr>
      <w:r>
        <w:rPr>
          <w:w w:val="105"/>
          <w:sz w:val="21"/>
        </w:rPr>
        <w:t>The new Shepparton Law Courts opened in </w:t>
      </w:r>
      <w:r>
        <w:rPr>
          <w:spacing w:val="-3"/>
          <w:w w:val="105"/>
          <w:sz w:val="21"/>
        </w:rPr>
        <w:t>March </w:t>
      </w:r>
      <w:r>
        <w:rPr>
          <w:spacing w:val="-7"/>
          <w:w w:val="105"/>
          <w:sz w:val="21"/>
        </w:rPr>
        <w:t>2018 </w:t>
      </w:r>
      <w:r>
        <w:rPr>
          <w:w w:val="105"/>
          <w:sz w:val="21"/>
        </w:rPr>
        <w:t>and </w:t>
      </w:r>
      <w:r>
        <w:rPr>
          <w:spacing w:val="-3"/>
          <w:w w:val="105"/>
          <w:sz w:val="21"/>
        </w:rPr>
        <w:t>have </w:t>
      </w:r>
      <w:r>
        <w:rPr>
          <w:w w:val="105"/>
          <w:sz w:val="21"/>
        </w:rPr>
        <w:t>been specifically designed </w:t>
      </w:r>
      <w:r>
        <w:rPr>
          <w:spacing w:val="-3"/>
          <w:w w:val="105"/>
          <w:sz w:val="21"/>
        </w:rPr>
        <w:t>for </w:t>
      </w:r>
      <w:r>
        <w:rPr>
          <w:w w:val="105"/>
          <w:sz w:val="21"/>
        </w:rPr>
        <w:t>use by </w:t>
      </w:r>
      <w:r>
        <w:rPr>
          <w:spacing w:val="-3"/>
          <w:w w:val="105"/>
          <w:sz w:val="21"/>
        </w:rPr>
        <w:t>all </w:t>
      </w:r>
      <w:r>
        <w:rPr>
          <w:w w:val="105"/>
          <w:sz w:val="21"/>
        </w:rPr>
        <w:t>Victorian courts and by </w:t>
      </w:r>
      <w:r>
        <w:rPr>
          <w:spacing w:val="-8"/>
          <w:w w:val="105"/>
          <w:sz w:val="21"/>
        </w:rPr>
        <w:t>VCAT. </w:t>
      </w:r>
      <w:r>
        <w:rPr>
          <w:w w:val="105"/>
          <w:sz w:val="21"/>
        </w:rPr>
        <w:t>This court </w:t>
      </w:r>
      <w:r>
        <w:rPr>
          <w:spacing w:val="-2"/>
          <w:w w:val="105"/>
          <w:sz w:val="21"/>
        </w:rPr>
        <w:t>has </w:t>
      </w:r>
      <w:r>
        <w:rPr>
          <w:spacing w:val="-3"/>
          <w:w w:val="105"/>
          <w:sz w:val="21"/>
        </w:rPr>
        <w:t>many innovative features, including </w:t>
      </w:r>
      <w:r>
        <w:rPr>
          <w:w w:val="105"/>
          <w:sz w:val="21"/>
        </w:rPr>
        <w:t>a </w:t>
      </w:r>
      <w:r>
        <w:rPr>
          <w:spacing w:val="-4"/>
          <w:w w:val="105"/>
          <w:sz w:val="21"/>
        </w:rPr>
        <w:t>‘remote </w:t>
      </w:r>
      <w:r>
        <w:rPr>
          <w:spacing w:val="-3"/>
          <w:w w:val="105"/>
          <w:sz w:val="21"/>
        </w:rPr>
        <w:t>judge’ facility that </w:t>
      </w:r>
      <w:r>
        <w:rPr>
          <w:w w:val="105"/>
          <w:sz w:val="21"/>
        </w:rPr>
        <w:t>uses technology </w:t>
      </w:r>
      <w:r>
        <w:rPr>
          <w:spacing w:val="-3"/>
          <w:w w:val="105"/>
          <w:sz w:val="21"/>
        </w:rPr>
        <w:t>to </w:t>
      </w:r>
      <w:r>
        <w:rPr>
          <w:w w:val="105"/>
          <w:sz w:val="21"/>
        </w:rPr>
        <w:t>enable a </w:t>
      </w:r>
      <w:r>
        <w:rPr>
          <w:spacing w:val="-5"/>
          <w:w w:val="105"/>
          <w:sz w:val="21"/>
        </w:rPr>
        <w:t>VCAT </w:t>
      </w:r>
      <w:r>
        <w:rPr>
          <w:w w:val="105"/>
          <w:sz w:val="21"/>
        </w:rPr>
        <w:t>member in Melbourne </w:t>
      </w:r>
      <w:r>
        <w:rPr>
          <w:spacing w:val="-3"/>
          <w:w w:val="105"/>
          <w:sz w:val="21"/>
        </w:rPr>
        <w:t>to </w:t>
      </w:r>
      <w:r>
        <w:rPr>
          <w:w w:val="105"/>
          <w:sz w:val="21"/>
        </w:rPr>
        <w:t>conduct a </w:t>
      </w:r>
      <w:r>
        <w:rPr>
          <w:spacing w:val="-3"/>
          <w:w w:val="105"/>
          <w:sz w:val="21"/>
        </w:rPr>
        <w:t>hearing </w:t>
      </w:r>
      <w:r>
        <w:rPr>
          <w:w w:val="105"/>
          <w:sz w:val="21"/>
        </w:rPr>
        <w:t>in</w:t>
      </w:r>
      <w:r>
        <w:rPr>
          <w:spacing w:val="33"/>
          <w:w w:val="105"/>
          <w:sz w:val="21"/>
        </w:rPr>
        <w:t> </w:t>
      </w:r>
      <w:r>
        <w:rPr>
          <w:w w:val="105"/>
          <w:sz w:val="21"/>
        </w:rPr>
        <w:t>Shepparton.</w:t>
      </w:r>
      <w:r>
        <w:rPr>
          <w:w w:val="105"/>
          <w:position w:val="7"/>
          <w:sz w:val="12"/>
        </w:rPr>
        <w:t>256</w:t>
      </w:r>
    </w:p>
    <w:p>
      <w:pPr>
        <w:pStyle w:val="Heading7"/>
        <w:spacing w:before="120"/>
      </w:pPr>
      <w:r>
        <w:rPr>
          <w:w w:val="115"/>
        </w:rPr>
        <w:t>Existing experience</w:t>
      </w:r>
    </w:p>
    <w:p>
      <w:pPr>
        <w:pStyle w:val="ListParagraph"/>
        <w:numPr>
          <w:ilvl w:val="1"/>
          <w:numId w:val="114"/>
        </w:numPr>
        <w:tabs>
          <w:tab w:pos="2380" w:val="left" w:leader="none"/>
          <w:tab w:pos="2381" w:val="left" w:leader="none"/>
        </w:tabs>
        <w:spacing w:line="242" w:lineRule="auto" w:before="142" w:after="0"/>
        <w:ind w:left="2381" w:right="1589" w:hanging="794"/>
        <w:jc w:val="left"/>
        <w:rPr>
          <w:sz w:val="21"/>
        </w:rPr>
      </w:pPr>
      <w:r>
        <w:rPr>
          <w:spacing w:val="-5"/>
          <w:w w:val="105"/>
          <w:sz w:val="21"/>
        </w:rPr>
        <w:t>VCAT </w:t>
      </w:r>
      <w:r>
        <w:rPr>
          <w:spacing w:val="-2"/>
          <w:w w:val="105"/>
          <w:sz w:val="21"/>
        </w:rPr>
        <w:t>has </w:t>
      </w:r>
      <w:r>
        <w:rPr>
          <w:w w:val="105"/>
          <w:sz w:val="21"/>
        </w:rPr>
        <w:t>power </w:t>
      </w:r>
      <w:r>
        <w:rPr>
          <w:spacing w:val="-3"/>
          <w:w w:val="105"/>
          <w:sz w:val="21"/>
        </w:rPr>
        <w:t>to </w:t>
      </w:r>
      <w:r>
        <w:rPr>
          <w:w w:val="105"/>
          <w:sz w:val="21"/>
        </w:rPr>
        <w:t>review decisions made by </w:t>
      </w:r>
      <w:r>
        <w:rPr>
          <w:spacing w:val="-3"/>
          <w:w w:val="105"/>
          <w:sz w:val="21"/>
        </w:rPr>
        <w:t>responsible </w:t>
      </w:r>
      <w:r>
        <w:rPr>
          <w:w w:val="105"/>
          <w:sz w:val="21"/>
        </w:rPr>
        <w:t>authorities under the </w:t>
      </w:r>
      <w:r>
        <w:rPr>
          <w:i/>
          <w:spacing w:val="-3"/>
          <w:w w:val="105"/>
          <w:sz w:val="21"/>
        </w:rPr>
        <w:t>Planning </w:t>
      </w:r>
      <w:r>
        <w:rPr>
          <w:i/>
          <w:w w:val="105"/>
          <w:sz w:val="21"/>
        </w:rPr>
        <w:t>and </w:t>
      </w:r>
      <w:r>
        <w:rPr>
          <w:i/>
          <w:spacing w:val="-3"/>
          <w:w w:val="105"/>
          <w:sz w:val="21"/>
        </w:rPr>
        <w:t>Environment </w:t>
      </w:r>
      <w:r>
        <w:rPr>
          <w:i/>
          <w:w w:val="105"/>
          <w:sz w:val="21"/>
        </w:rPr>
        <w:t>Act </w:t>
      </w:r>
      <w:r>
        <w:rPr>
          <w:i/>
          <w:spacing w:val="-6"/>
          <w:w w:val="105"/>
          <w:sz w:val="21"/>
        </w:rPr>
        <w:t>1987 </w:t>
      </w:r>
      <w:r>
        <w:rPr>
          <w:w w:val="105"/>
          <w:sz w:val="21"/>
        </w:rPr>
        <w:t>(Vic) and heritage laws </w:t>
      </w:r>
      <w:r>
        <w:rPr>
          <w:spacing w:val="-3"/>
          <w:w w:val="105"/>
          <w:sz w:val="21"/>
        </w:rPr>
        <w:t>pursuant to </w:t>
      </w:r>
      <w:r>
        <w:rPr>
          <w:w w:val="105"/>
          <w:sz w:val="21"/>
        </w:rPr>
        <w:t>the </w:t>
      </w:r>
      <w:r>
        <w:rPr>
          <w:i/>
          <w:w w:val="105"/>
          <w:sz w:val="21"/>
        </w:rPr>
        <w:t>Heritage Act </w:t>
      </w:r>
      <w:r>
        <w:rPr>
          <w:i/>
          <w:spacing w:val="-10"/>
          <w:w w:val="105"/>
          <w:sz w:val="21"/>
        </w:rPr>
        <w:t>2017 </w:t>
      </w:r>
      <w:r>
        <w:rPr>
          <w:w w:val="105"/>
          <w:sz w:val="21"/>
        </w:rPr>
        <w:t>(Vic) and other Acts. </w:t>
      </w:r>
      <w:r>
        <w:rPr>
          <w:spacing w:val="-6"/>
          <w:w w:val="105"/>
          <w:sz w:val="21"/>
        </w:rPr>
        <w:t>VCAT’s </w:t>
      </w:r>
      <w:r>
        <w:rPr>
          <w:w w:val="105"/>
          <w:sz w:val="21"/>
        </w:rPr>
        <w:t>existing experience in these </w:t>
      </w:r>
      <w:r>
        <w:rPr>
          <w:spacing w:val="-3"/>
          <w:w w:val="105"/>
          <w:sz w:val="21"/>
        </w:rPr>
        <w:t>areas </w:t>
      </w:r>
      <w:r>
        <w:rPr>
          <w:w w:val="105"/>
          <w:sz w:val="21"/>
        </w:rPr>
        <w:t>supports the </w:t>
      </w:r>
      <w:r>
        <w:rPr>
          <w:spacing w:val="-3"/>
          <w:w w:val="105"/>
          <w:sz w:val="21"/>
        </w:rPr>
        <w:t>conclusion that </w:t>
      </w:r>
      <w:r>
        <w:rPr>
          <w:w w:val="105"/>
          <w:sz w:val="21"/>
        </w:rPr>
        <w:t>it should be given jurisdiction </w:t>
      </w:r>
      <w:r>
        <w:rPr>
          <w:spacing w:val="-3"/>
          <w:w w:val="105"/>
          <w:sz w:val="21"/>
        </w:rPr>
        <w:t>to </w:t>
      </w:r>
      <w:r>
        <w:rPr>
          <w:w w:val="105"/>
          <w:sz w:val="21"/>
        </w:rPr>
        <w:t>hear tree </w:t>
      </w:r>
      <w:r>
        <w:rPr>
          <w:spacing w:val="-3"/>
          <w:w w:val="105"/>
          <w:sz w:val="21"/>
        </w:rPr>
        <w:t>disputes. </w:t>
      </w:r>
      <w:r>
        <w:rPr>
          <w:w w:val="105"/>
          <w:sz w:val="21"/>
        </w:rPr>
        <w:t>It </w:t>
      </w:r>
      <w:r>
        <w:rPr>
          <w:spacing w:val="-3"/>
          <w:w w:val="105"/>
          <w:sz w:val="21"/>
        </w:rPr>
        <w:t>will </w:t>
      </w:r>
      <w:r>
        <w:rPr>
          <w:w w:val="105"/>
          <w:sz w:val="21"/>
        </w:rPr>
        <w:t>also </w:t>
      </w:r>
      <w:r>
        <w:rPr>
          <w:spacing w:val="-3"/>
          <w:w w:val="105"/>
          <w:sz w:val="21"/>
        </w:rPr>
        <w:t>ensure that </w:t>
      </w:r>
      <w:r>
        <w:rPr>
          <w:w w:val="105"/>
          <w:sz w:val="21"/>
        </w:rPr>
        <w:t>where there is </w:t>
      </w:r>
      <w:r>
        <w:rPr>
          <w:spacing w:val="-3"/>
          <w:w w:val="105"/>
          <w:sz w:val="21"/>
        </w:rPr>
        <w:t>overlap </w:t>
      </w:r>
      <w:r>
        <w:rPr>
          <w:w w:val="105"/>
          <w:sz w:val="21"/>
        </w:rPr>
        <w:t>with an existing </w:t>
      </w:r>
      <w:r>
        <w:rPr>
          <w:spacing w:val="-5"/>
          <w:w w:val="105"/>
          <w:sz w:val="21"/>
        </w:rPr>
        <w:t>law, VCAT </w:t>
      </w:r>
      <w:r>
        <w:rPr>
          <w:w w:val="105"/>
          <w:sz w:val="21"/>
        </w:rPr>
        <w:t>is able </w:t>
      </w:r>
      <w:r>
        <w:rPr>
          <w:spacing w:val="-3"/>
          <w:w w:val="105"/>
          <w:sz w:val="21"/>
        </w:rPr>
        <w:t>to </w:t>
      </w:r>
      <w:r>
        <w:rPr>
          <w:w w:val="105"/>
          <w:sz w:val="21"/>
        </w:rPr>
        <w:t>triage the matter </w:t>
      </w:r>
      <w:r>
        <w:rPr>
          <w:spacing w:val="-4"/>
          <w:w w:val="105"/>
          <w:sz w:val="21"/>
        </w:rPr>
        <w:t>into </w:t>
      </w:r>
      <w:r>
        <w:rPr>
          <w:w w:val="105"/>
          <w:sz w:val="21"/>
        </w:rPr>
        <w:t>the most </w:t>
      </w:r>
      <w:r>
        <w:rPr>
          <w:spacing w:val="-3"/>
          <w:w w:val="105"/>
          <w:sz w:val="21"/>
        </w:rPr>
        <w:t>appropriate </w:t>
      </w:r>
      <w:r>
        <w:rPr>
          <w:w w:val="105"/>
          <w:sz w:val="21"/>
        </w:rPr>
        <w:t>list or </w:t>
      </w:r>
      <w:r>
        <w:rPr>
          <w:spacing w:val="-3"/>
          <w:w w:val="105"/>
          <w:sz w:val="21"/>
        </w:rPr>
        <w:t>utilise relevant </w:t>
      </w:r>
      <w:r>
        <w:rPr>
          <w:w w:val="105"/>
          <w:sz w:val="21"/>
        </w:rPr>
        <w:t>member expertise (see </w:t>
      </w:r>
      <w:r>
        <w:rPr>
          <w:spacing w:val="-4"/>
          <w:w w:val="105"/>
          <w:sz w:val="21"/>
        </w:rPr>
        <w:t>Chapter</w:t>
      </w:r>
      <w:r>
        <w:rPr>
          <w:spacing w:val="30"/>
          <w:w w:val="105"/>
          <w:sz w:val="21"/>
        </w:rPr>
        <w:t> </w:t>
      </w:r>
      <w:r>
        <w:rPr>
          <w:w w:val="105"/>
          <w:sz w:val="21"/>
        </w:rPr>
        <w:t>10).</w:t>
      </w:r>
    </w:p>
    <w:p>
      <w:pPr>
        <w:pStyle w:val="BodyText"/>
        <w:spacing w:before="7"/>
        <w:rPr>
          <w:sz w:val="20"/>
        </w:rPr>
      </w:pPr>
    </w:p>
    <w:p>
      <w:pPr>
        <w:pStyle w:val="Heading5"/>
        <w:spacing w:before="1"/>
      </w:pPr>
      <w:r>
        <w:rPr>
          <w:w w:val="115"/>
        </w:rPr>
        <w:t>Alternative options</w:t>
      </w:r>
    </w:p>
    <w:p>
      <w:pPr>
        <w:pStyle w:val="ListParagraph"/>
        <w:numPr>
          <w:ilvl w:val="1"/>
          <w:numId w:val="114"/>
        </w:numPr>
        <w:tabs>
          <w:tab w:pos="2380" w:val="left" w:leader="none"/>
          <w:tab w:pos="2381" w:val="left" w:leader="none"/>
        </w:tabs>
        <w:spacing w:line="242" w:lineRule="auto" w:before="137" w:after="0"/>
        <w:ind w:left="2381" w:right="1703" w:hanging="794"/>
        <w:jc w:val="left"/>
        <w:rPr>
          <w:sz w:val="21"/>
        </w:rPr>
      </w:pPr>
      <w:r>
        <w:rPr>
          <w:w w:val="105"/>
          <w:sz w:val="21"/>
        </w:rPr>
        <w:t>The </w:t>
      </w:r>
      <w:r>
        <w:rPr>
          <w:spacing w:val="-3"/>
          <w:w w:val="105"/>
          <w:sz w:val="21"/>
        </w:rPr>
        <w:t>Commission </w:t>
      </w:r>
      <w:r>
        <w:rPr>
          <w:w w:val="105"/>
          <w:sz w:val="21"/>
        </w:rPr>
        <w:t>acknowledges the suggestions </w:t>
      </w:r>
      <w:r>
        <w:rPr>
          <w:spacing w:val="-3"/>
          <w:w w:val="105"/>
          <w:sz w:val="21"/>
        </w:rPr>
        <w:t>for </w:t>
      </w:r>
      <w:r>
        <w:rPr>
          <w:w w:val="105"/>
          <w:sz w:val="21"/>
        </w:rPr>
        <w:t>other decision-making </w:t>
      </w:r>
      <w:r>
        <w:rPr>
          <w:spacing w:val="-3"/>
          <w:w w:val="105"/>
          <w:sz w:val="21"/>
        </w:rPr>
        <w:t>forums from </w:t>
      </w:r>
      <w:r>
        <w:rPr>
          <w:w w:val="105"/>
          <w:sz w:val="21"/>
        </w:rPr>
        <w:t>community members. One is </w:t>
      </w:r>
      <w:r>
        <w:rPr>
          <w:spacing w:val="-3"/>
          <w:w w:val="105"/>
          <w:sz w:val="21"/>
        </w:rPr>
        <w:t>for </w:t>
      </w:r>
      <w:r>
        <w:rPr>
          <w:w w:val="105"/>
          <w:sz w:val="21"/>
        </w:rPr>
        <w:t>a Victorian Land and </w:t>
      </w:r>
      <w:r>
        <w:rPr>
          <w:spacing w:val="-3"/>
          <w:w w:val="105"/>
          <w:sz w:val="21"/>
        </w:rPr>
        <w:t>Environment </w:t>
      </w:r>
      <w:r>
        <w:rPr>
          <w:w w:val="105"/>
          <w:sz w:val="21"/>
        </w:rPr>
        <w:t>Court</w:t>
      </w:r>
      <w:r>
        <w:rPr>
          <w:w w:val="105"/>
          <w:position w:val="7"/>
          <w:sz w:val="12"/>
        </w:rPr>
        <w:t>257 </w:t>
      </w:r>
      <w:r>
        <w:rPr>
          <w:w w:val="105"/>
          <w:sz w:val="21"/>
        </w:rPr>
        <w:t>or a new specialist </w:t>
      </w:r>
      <w:r>
        <w:rPr>
          <w:spacing w:val="-3"/>
          <w:w w:val="105"/>
          <w:sz w:val="21"/>
        </w:rPr>
        <w:t>Tribunal.</w:t>
      </w:r>
      <w:r>
        <w:rPr>
          <w:spacing w:val="-3"/>
          <w:w w:val="105"/>
          <w:position w:val="7"/>
          <w:sz w:val="12"/>
        </w:rPr>
        <w:t>258 </w:t>
      </w:r>
      <w:r>
        <w:rPr>
          <w:w w:val="105"/>
          <w:sz w:val="21"/>
        </w:rPr>
        <w:t>While the proposal </w:t>
      </w:r>
      <w:r>
        <w:rPr>
          <w:spacing w:val="-2"/>
          <w:w w:val="105"/>
          <w:sz w:val="21"/>
        </w:rPr>
        <w:t>has </w:t>
      </w:r>
      <w:r>
        <w:rPr>
          <w:w w:val="105"/>
          <w:sz w:val="21"/>
        </w:rPr>
        <w:t>merit, the </w:t>
      </w:r>
      <w:r>
        <w:rPr>
          <w:spacing w:val="-2"/>
          <w:w w:val="105"/>
          <w:sz w:val="21"/>
        </w:rPr>
        <w:t>appropriateness </w:t>
      </w:r>
      <w:r>
        <w:rPr>
          <w:w w:val="105"/>
          <w:sz w:val="21"/>
        </w:rPr>
        <w:t>of </w:t>
      </w:r>
      <w:r>
        <w:rPr>
          <w:spacing w:val="-3"/>
          <w:w w:val="105"/>
          <w:sz w:val="21"/>
        </w:rPr>
        <w:t>establishing such </w:t>
      </w:r>
      <w:r>
        <w:rPr>
          <w:w w:val="105"/>
          <w:sz w:val="21"/>
        </w:rPr>
        <w:t>a court is outside the scope of this </w:t>
      </w:r>
      <w:r>
        <w:rPr>
          <w:spacing w:val="-4"/>
          <w:w w:val="105"/>
          <w:sz w:val="21"/>
        </w:rPr>
        <w:t>inquiry. </w:t>
      </w:r>
      <w:r>
        <w:rPr>
          <w:w w:val="105"/>
          <w:sz w:val="21"/>
        </w:rPr>
        <w:t>The use of an existing jurisdiction is </w:t>
      </w:r>
      <w:r>
        <w:rPr>
          <w:spacing w:val="-3"/>
          <w:w w:val="105"/>
          <w:sz w:val="21"/>
        </w:rPr>
        <w:t>preferable to </w:t>
      </w:r>
      <w:r>
        <w:rPr>
          <w:w w:val="105"/>
          <w:sz w:val="21"/>
        </w:rPr>
        <w:t>the </w:t>
      </w:r>
      <w:r>
        <w:rPr>
          <w:spacing w:val="-3"/>
          <w:w w:val="105"/>
          <w:sz w:val="21"/>
        </w:rPr>
        <w:t>creation </w:t>
      </w:r>
      <w:r>
        <w:rPr>
          <w:w w:val="105"/>
          <w:sz w:val="21"/>
        </w:rPr>
        <w:t>of a new court or a new specialist </w:t>
      </w:r>
      <w:r>
        <w:rPr>
          <w:spacing w:val="-3"/>
          <w:w w:val="105"/>
          <w:sz w:val="21"/>
        </w:rPr>
        <w:t>tribunal. </w:t>
      </w:r>
      <w:r>
        <w:rPr>
          <w:spacing w:val="-5"/>
          <w:w w:val="105"/>
          <w:sz w:val="21"/>
        </w:rPr>
        <w:t>VCAT </w:t>
      </w:r>
      <w:r>
        <w:rPr>
          <w:spacing w:val="-3"/>
          <w:w w:val="105"/>
          <w:sz w:val="21"/>
        </w:rPr>
        <w:t>already </w:t>
      </w:r>
      <w:r>
        <w:rPr>
          <w:spacing w:val="-2"/>
          <w:w w:val="105"/>
          <w:sz w:val="21"/>
        </w:rPr>
        <w:t>has </w:t>
      </w:r>
      <w:r>
        <w:rPr>
          <w:w w:val="105"/>
          <w:sz w:val="21"/>
        </w:rPr>
        <w:t>established</w:t>
      </w:r>
      <w:r>
        <w:rPr>
          <w:spacing w:val="-9"/>
          <w:w w:val="105"/>
          <w:sz w:val="21"/>
        </w:rPr>
        <w:t> </w:t>
      </w:r>
      <w:r>
        <w:rPr>
          <w:w w:val="105"/>
          <w:sz w:val="21"/>
        </w:rPr>
        <w:t>expertise</w:t>
      </w:r>
      <w:r>
        <w:rPr>
          <w:spacing w:val="-8"/>
          <w:w w:val="105"/>
          <w:sz w:val="21"/>
        </w:rPr>
        <w:t> </w:t>
      </w:r>
      <w:r>
        <w:rPr>
          <w:w w:val="105"/>
          <w:sz w:val="21"/>
        </w:rPr>
        <w:t>and</w:t>
      </w:r>
      <w:r>
        <w:rPr>
          <w:spacing w:val="-9"/>
          <w:w w:val="105"/>
          <w:sz w:val="21"/>
        </w:rPr>
        <w:t> </w:t>
      </w:r>
      <w:r>
        <w:rPr>
          <w:spacing w:val="-3"/>
          <w:w w:val="105"/>
          <w:sz w:val="21"/>
        </w:rPr>
        <w:t>programs</w:t>
      </w:r>
      <w:r>
        <w:rPr>
          <w:spacing w:val="-8"/>
          <w:w w:val="105"/>
          <w:sz w:val="21"/>
        </w:rPr>
        <w:t> </w:t>
      </w:r>
      <w:r>
        <w:rPr>
          <w:spacing w:val="-3"/>
          <w:w w:val="105"/>
          <w:sz w:val="21"/>
        </w:rPr>
        <w:t>that</w:t>
      </w:r>
      <w:r>
        <w:rPr>
          <w:spacing w:val="-8"/>
          <w:w w:val="105"/>
          <w:sz w:val="21"/>
        </w:rPr>
        <w:t> </w:t>
      </w:r>
      <w:r>
        <w:rPr>
          <w:spacing w:val="-3"/>
          <w:w w:val="105"/>
          <w:sz w:val="21"/>
        </w:rPr>
        <w:t>align</w:t>
      </w:r>
      <w:r>
        <w:rPr>
          <w:spacing w:val="-9"/>
          <w:w w:val="105"/>
          <w:sz w:val="21"/>
        </w:rPr>
        <w:t> </w:t>
      </w:r>
      <w:r>
        <w:rPr>
          <w:spacing w:val="-3"/>
          <w:w w:val="105"/>
          <w:sz w:val="21"/>
        </w:rPr>
        <w:t>well</w:t>
      </w:r>
      <w:r>
        <w:rPr>
          <w:spacing w:val="-8"/>
          <w:w w:val="105"/>
          <w:sz w:val="21"/>
        </w:rPr>
        <w:t> </w:t>
      </w:r>
      <w:r>
        <w:rPr>
          <w:w w:val="105"/>
          <w:sz w:val="21"/>
        </w:rPr>
        <w:t>with</w:t>
      </w:r>
      <w:r>
        <w:rPr>
          <w:spacing w:val="-9"/>
          <w:w w:val="105"/>
          <w:sz w:val="21"/>
        </w:rPr>
        <w:t> </w:t>
      </w:r>
      <w:r>
        <w:rPr>
          <w:w w:val="105"/>
          <w:sz w:val="21"/>
        </w:rPr>
        <w:t>the</w:t>
      </w:r>
      <w:r>
        <w:rPr>
          <w:spacing w:val="-8"/>
          <w:w w:val="105"/>
          <w:sz w:val="21"/>
        </w:rPr>
        <w:t> </w:t>
      </w:r>
      <w:r>
        <w:rPr>
          <w:spacing w:val="-3"/>
          <w:w w:val="105"/>
          <w:sz w:val="21"/>
        </w:rPr>
        <w:t>requirements</w:t>
      </w:r>
      <w:r>
        <w:rPr>
          <w:spacing w:val="-8"/>
          <w:w w:val="105"/>
          <w:sz w:val="21"/>
        </w:rPr>
        <w:t> </w:t>
      </w:r>
      <w:r>
        <w:rPr>
          <w:spacing w:val="-3"/>
          <w:w w:val="105"/>
          <w:sz w:val="21"/>
        </w:rPr>
        <w:t>for</w:t>
      </w:r>
      <w:r>
        <w:rPr>
          <w:spacing w:val="-9"/>
          <w:w w:val="105"/>
          <w:sz w:val="21"/>
        </w:rPr>
        <w:t> </w:t>
      </w:r>
      <w:r>
        <w:rPr>
          <w:w w:val="105"/>
          <w:sz w:val="21"/>
        </w:rPr>
        <w:t>tree</w:t>
      </w:r>
      <w:r>
        <w:rPr>
          <w:spacing w:val="-8"/>
          <w:w w:val="105"/>
          <w:sz w:val="21"/>
        </w:rPr>
        <w:t> </w:t>
      </w:r>
      <w:r>
        <w:rPr>
          <w:spacing w:val="-3"/>
          <w:w w:val="105"/>
          <w:sz w:val="21"/>
        </w:rPr>
        <w:t>dispute hearings.</w:t>
      </w:r>
    </w:p>
    <w:p>
      <w:pPr>
        <w:pStyle w:val="ListParagraph"/>
        <w:numPr>
          <w:ilvl w:val="1"/>
          <w:numId w:val="114"/>
        </w:numPr>
        <w:tabs>
          <w:tab w:pos="2380" w:val="left" w:leader="none"/>
          <w:tab w:pos="2382" w:val="left" w:leader="none"/>
        </w:tabs>
        <w:spacing w:line="242" w:lineRule="auto" w:before="128" w:after="0"/>
        <w:ind w:left="2381" w:right="1960" w:hanging="794"/>
        <w:jc w:val="left"/>
        <w:rPr>
          <w:sz w:val="21"/>
        </w:rPr>
      </w:pPr>
      <w:r>
        <w:rPr>
          <w:w w:val="105"/>
          <w:sz w:val="21"/>
        </w:rPr>
        <w:t>For </w:t>
      </w:r>
      <w:r>
        <w:rPr>
          <w:spacing w:val="-3"/>
          <w:w w:val="105"/>
          <w:sz w:val="21"/>
        </w:rPr>
        <w:t>similar reasons </w:t>
      </w:r>
      <w:r>
        <w:rPr>
          <w:w w:val="105"/>
          <w:sz w:val="21"/>
        </w:rPr>
        <w:t>the establishment of an Office of the </w:t>
      </w:r>
      <w:r>
        <w:rPr>
          <w:spacing w:val="-3"/>
          <w:w w:val="105"/>
          <w:sz w:val="21"/>
        </w:rPr>
        <w:t>State </w:t>
      </w:r>
      <w:r>
        <w:rPr>
          <w:w w:val="105"/>
          <w:sz w:val="21"/>
        </w:rPr>
        <w:t>Arborist is </w:t>
      </w:r>
      <w:r>
        <w:rPr>
          <w:spacing w:val="-2"/>
          <w:w w:val="105"/>
          <w:sz w:val="21"/>
        </w:rPr>
        <w:t>not </w:t>
      </w:r>
      <w:r>
        <w:rPr>
          <w:w w:val="105"/>
          <w:sz w:val="21"/>
        </w:rPr>
        <w:t>recommended.</w:t>
      </w:r>
      <w:r>
        <w:rPr>
          <w:w w:val="105"/>
          <w:position w:val="7"/>
          <w:sz w:val="12"/>
        </w:rPr>
        <w:t>259 </w:t>
      </w:r>
      <w:r>
        <w:rPr>
          <w:w w:val="105"/>
          <w:sz w:val="21"/>
        </w:rPr>
        <w:t>Although </w:t>
      </w:r>
      <w:r>
        <w:rPr>
          <w:spacing w:val="-3"/>
          <w:w w:val="105"/>
          <w:sz w:val="21"/>
        </w:rPr>
        <w:t>such </w:t>
      </w:r>
      <w:r>
        <w:rPr>
          <w:w w:val="105"/>
          <w:sz w:val="21"/>
        </w:rPr>
        <w:t>an office would be able </w:t>
      </w:r>
      <w:r>
        <w:rPr>
          <w:spacing w:val="-3"/>
          <w:w w:val="105"/>
          <w:sz w:val="21"/>
        </w:rPr>
        <w:t>to </w:t>
      </w:r>
      <w:r>
        <w:rPr>
          <w:w w:val="105"/>
          <w:sz w:val="21"/>
        </w:rPr>
        <w:t>provide independent expertise,</w:t>
      </w:r>
      <w:r>
        <w:rPr>
          <w:spacing w:val="-10"/>
          <w:w w:val="105"/>
          <w:sz w:val="21"/>
        </w:rPr>
        <w:t> </w:t>
      </w:r>
      <w:r>
        <w:rPr>
          <w:w w:val="105"/>
          <w:sz w:val="21"/>
        </w:rPr>
        <w:t>the</w:t>
      </w:r>
      <w:r>
        <w:rPr>
          <w:spacing w:val="-9"/>
          <w:w w:val="105"/>
          <w:sz w:val="21"/>
        </w:rPr>
        <w:t> </w:t>
      </w:r>
      <w:r>
        <w:rPr>
          <w:w w:val="105"/>
          <w:sz w:val="21"/>
        </w:rPr>
        <w:t>new</w:t>
      </w:r>
      <w:r>
        <w:rPr>
          <w:spacing w:val="-10"/>
          <w:w w:val="105"/>
          <w:sz w:val="21"/>
        </w:rPr>
        <w:t> </w:t>
      </w:r>
      <w:r>
        <w:rPr>
          <w:w w:val="105"/>
          <w:sz w:val="21"/>
        </w:rPr>
        <w:t>Act</w:t>
      </w:r>
      <w:r>
        <w:rPr>
          <w:spacing w:val="-9"/>
          <w:w w:val="105"/>
          <w:sz w:val="21"/>
        </w:rPr>
        <w:t> </w:t>
      </w:r>
      <w:r>
        <w:rPr>
          <w:w w:val="105"/>
          <w:sz w:val="21"/>
        </w:rPr>
        <w:t>envisages</w:t>
      </w:r>
      <w:r>
        <w:rPr>
          <w:spacing w:val="-10"/>
          <w:w w:val="105"/>
          <w:sz w:val="21"/>
        </w:rPr>
        <w:t> </w:t>
      </w:r>
      <w:r>
        <w:rPr>
          <w:w w:val="105"/>
          <w:sz w:val="21"/>
        </w:rPr>
        <w:t>a</w:t>
      </w:r>
      <w:r>
        <w:rPr>
          <w:spacing w:val="-9"/>
          <w:w w:val="105"/>
          <w:sz w:val="21"/>
        </w:rPr>
        <w:t> </w:t>
      </w:r>
      <w:r>
        <w:rPr>
          <w:w w:val="105"/>
          <w:sz w:val="21"/>
        </w:rPr>
        <w:t>scheme</w:t>
      </w:r>
      <w:r>
        <w:rPr>
          <w:spacing w:val="-10"/>
          <w:w w:val="105"/>
          <w:sz w:val="21"/>
        </w:rPr>
        <w:t> </w:t>
      </w:r>
      <w:r>
        <w:rPr>
          <w:spacing w:val="-3"/>
          <w:w w:val="105"/>
          <w:sz w:val="21"/>
        </w:rPr>
        <w:t>that</w:t>
      </w:r>
      <w:r>
        <w:rPr>
          <w:spacing w:val="-9"/>
          <w:w w:val="105"/>
          <w:sz w:val="21"/>
        </w:rPr>
        <w:t> </w:t>
      </w:r>
      <w:r>
        <w:rPr>
          <w:w w:val="105"/>
          <w:sz w:val="21"/>
        </w:rPr>
        <w:t>uses</w:t>
      </w:r>
      <w:r>
        <w:rPr>
          <w:spacing w:val="-10"/>
          <w:w w:val="105"/>
          <w:sz w:val="21"/>
        </w:rPr>
        <w:t> </w:t>
      </w:r>
      <w:r>
        <w:rPr>
          <w:w w:val="105"/>
          <w:sz w:val="21"/>
        </w:rPr>
        <w:t>expert</w:t>
      </w:r>
      <w:r>
        <w:rPr>
          <w:spacing w:val="-9"/>
          <w:w w:val="105"/>
          <w:sz w:val="21"/>
        </w:rPr>
        <w:t> </w:t>
      </w:r>
      <w:r>
        <w:rPr>
          <w:w w:val="105"/>
          <w:sz w:val="21"/>
        </w:rPr>
        <w:t>decision</w:t>
      </w:r>
      <w:r>
        <w:rPr>
          <w:spacing w:val="-9"/>
          <w:w w:val="105"/>
          <w:sz w:val="21"/>
        </w:rPr>
        <w:t> </w:t>
      </w:r>
      <w:r>
        <w:rPr>
          <w:spacing w:val="-3"/>
          <w:w w:val="105"/>
          <w:sz w:val="21"/>
        </w:rPr>
        <w:t>makers</w:t>
      </w:r>
      <w:r>
        <w:rPr>
          <w:spacing w:val="-10"/>
          <w:w w:val="105"/>
          <w:sz w:val="21"/>
        </w:rPr>
        <w:t> </w:t>
      </w:r>
      <w:r>
        <w:rPr>
          <w:w w:val="105"/>
          <w:sz w:val="21"/>
        </w:rPr>
        <w:t>or</w:t>
      </w:r>
      <w:r>
        <w:rPr>
          <w:spacing w:val="-9"/>
          <w:w w:val="105"/>
          <w:sz w:val="21"/>
        </w:rPr>
        <w:t> </w:t>
      </w:r>
      <w:r>
        <w:rPr>
          <w:w w:val="105"/>
          <w:sz w:val="21"/>
        </w:rPr>
        <w:t>where decision</w:t>
      </w:r>
      <w:r>
        <w:rPr>
          <w:spacing w:val="-13"/>
          <w:w w:val="105"/>
          <w:sz w:val="21"/>
        </w:rPr>
        <w:t> </w:t>
      </w:r>
      <w:r>
        <w:rPr>
          <w:spacing w:val="-3"/>
          <w:w w:val="105"/>
          <w:sz w:val="21"/>
        </w:rPr>
        <w:t>makers</w:t>
      </w:r>
      <w:r>
        <w:rPr>
          <w:spacing w:val="-12"/>
          <w:w w:val="105"/>
          <w:sz w:val="21"/>
        </w:rPr>
        <w:t> </w:t>
      </w:r>
      <w:r>
        <w:rPr>
          <w:spacing w:val="-3"/>
          <w:w w:val="105"/>
          <w:sz w:val="21"/>
        </w:rPr>
        <w:t>are</w:t>
      </w:r>
      <w:r>
        <w:rPr>
          <w:spacing w:val="-13"/>
          <w:w w:val="105"/>
          <w:sz w:val="21"/>
        </w:rPr>
        <w:t> </w:t>
      </w:r>
      <w:r>
        <w:rPr>
          <w:w w:val="105"/>
          <w:sz w:val="21"/>
        </w:rPr>
        <w:t>guided</w:t>
      </w:r>
      <w:r>
        <w:rPr>
          <w:spacing w:val="-12"/>
          <w:w w:val="105"/>
          <w:sz w:val="21"/>
        </w:rPr>
        <w:t> </w:t>
      </w:r>
      <w:r>
        <w:rPr>
          <w:w w:val="105"/>
          <w:sz w:val="21"/>
        </w:rPr>
        <w:t>by</w:t>
      </w:r>
      <w:r>
        <w:rPr>
          <w:spacing w:val="-13"/>
          <w:w w:val="105"/>
          <w:sz w:val="21"/>
        </w:rPr>
        <w:t> </w:t>
      </w:r>
      <w:r>
        <w:rPr>
          <w:spacing w:val="-3"/>
          <w:w w:val="105"/>
          <w:sz w:val="21"/>
        </w:rPr>
        <w:t>provision</w:t>
      </w:r>
      <w:r>
        <w:rPr>
          <w:spacing w:val="-12"/>
          <w:w w:val="105"/>
          <w:sz w:val="21"/>
        </w:rPr>
        <w:t> </w:t>
      </w:r>
      <w:r>
        <w:rPr>
          <w:w w:val="105"/>
          <w:sz w:val="21"/>
        </w:rPr>
        <w:t>of</w:t>
      </w:r>
      <w:r>
        <w:rPr>
          <w:spacing w:val="-13"/>
          <w:w w:val="105"/>
          <w:sz w:val="21"/>
        </w:rPr>
        <w:t> </w:t>
      </w:r>
      <w:r>
        <w:rPr>
          <w:w w:val="105"/>
          <w:sz w:val="21"/>
        </w:rPr>
        <w:t>independent</w:t>
      </w:r>
      <w:r>
        <w:rPr>
          <w:spacing w:val="-12"/>
          <w:w w:val="105"/>
          <w:sz w:val="21"/>
        </w:rPr>
        <w:t> </w:t>
      </w:r>
      <w:r>
        <w:rPr>
          <w:w w:val="105"/>
          <w:sz w:val="21"/>
        </w:rPr>
        <w:t>expert</w:t>
      </w:r>
      <w:r>
        <w:rPr>
          <w:spacing w:val="-13"/>
          <w:w w:val="105"/>
          <w:sz w:val="21"/>
        </w:rPr>
        <w:t> </w:t>
      </w:r>
      <w:r>
        <w:rPr>
          <w:w w:val="105"/>
          <w:sz w:val="21"/>
        </w:rPr>
        <w:t>evidence</w:t>
      </w:r>
      <w:r>
        <w:rPr>
          <w:spacing w:val="-12"/>
          <w:w w:val="105"/>
          <w:sz w:val="21"/>
        </w:rPr>
        <w:t> </w:t>
      </w:r>
      <w:r>
        <w:rPr>
          <w:spacing w:val="-3"/>
          <w:w w:val="105"/>
          <w:sz w:val="21"/>
        </w:rPr>
        <w:t>from</w:t>
      </w:r>
      <w:r>
        <w:rPr>
          <w:spacing w:val="-13"/>
          <w:w w:val="105"/>
          <w:sz w:val="21"/>
        </w:rPr>
        <w:t> </w:t>
      </w:r>
      <w:r>
        <w:rPr>
          <w:w w:val="105"/>
          <w:sz w:val="21"/>
        </w:rPr>
        <w:t>suitably qualified and experienced</w:t>
      </w:r>
      <w:r>
        <w:rPr>
          <w:spacing w:val="12"/>
          <w:w w:val="105"/>
          <w:sz w:val="21"/>
        </w:rPr>
        <w:t> </w:t>
      </w:r>
      <w:r>
        <w:rPr>
          <w:w w:val="105"/>
          <w:sz w:val="21"/>
        </w:rPr>
        <w:t>arborists.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0"/>
        </w:rPr>
      </w:pPr>
      <w:r>
        <w:rPr/>
        <w:pict>
          <v:line style="position:absolute;mso-position-horizontal-relative:page;mso-position-vertical-relative:paragraph;z-index:6920;mso-wrap-distance-left:0;mso-wrap-distance-right:0" from="79.370102pt,9.124711pt" to="515.905102pt,9.124711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22"/>
        </w:numPr>
        <w:tabs>
          <w:tab w:pos="2380" w:val="left" w:leader="none"/>
          <w:tab w:pos="2382" w:val="left" w:leader="none"/>
        </w:tabs>
        <w:spacing w:line="240" w:lineRule="auto" w:before="48" w:after="0"/>
        <w:ind w:left="2381" w:right="0" w:hanging="794"/>
        <w:jc w:val="left"/>
        <w:rPr>
          <w:sz w:val="13"/>
        </w:rPr>
      </w:pPr>
      <w:r>
        <w:rPr>
          <w:w w:val="105"/>
          <w:sz w:val="13"/>
        </w:rPr>
        <w:t>Victorian</w:t>
      </w:r>
      <w:r>
        <w:rPr>
          <w:spacing w:val="5"/>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6"/>
          <w:w w:val="105"/>
          <w:sz w:val="13"/>
        </w:rPr>
        <w:t> </w:t>
      </w:r>
      <w:r>
        <w:rPr>
          <w:w w:val="105"/>
          <w:sz w:val="13"/>
        </w:rPr>
        <w:t>Tribunal,</w:t>
      </w:r>
      <w:r>
        <w:rPr>
          <w:spacing w:val="5"/>
          <w:w w:val="105"/>
          <w:sz w:val="13"/>
        </w:rPr>
        <w:t> </w:t>
      </w:r>
      <w:r>
        <w:rPr>
          <w:i/>
          <w:w w:val="105"/>
          <w:sz w:val="13"/>
        </w:rPr>
        <w:t>VCAT</w:t>
      </w:r>
      <w:r>
        <w:rPr>
          <w:i/>
          <w:spacing w:val="5"/>
          <w:w w:val="105"/>
          <w:sz w:val="13"/>
        </w:rPr>
        <w:t> </w:t>
      </w:r>
      <w:r>
        <w:rPr>
          <w:i/>
          <w:w w:val="105"/>
          <w:sz w:val="13"/>
        </w:rPr>
        <w:t>Annual</w:t>
      </w:r>
      <w:r>
        <w:rPr>
          <w:i/>
          <w:spacing w:val="6"/>
          <w:w w:val="105"/>
          <w:sz w:val="13"/>
        </w:rPr>
        <w:t> </w:t>
      </w:r>
      <w:r>
        <w:rPr>
          <w:i/>
          <w:spacing w:val="2"/>
          <w:w w:val="105"/>
          <w:sz w:val="13"/>
        </w:rPr>
        <w:t>Report</w:t>
      </w:r>
      <w:r>
        <w:rPr>
          <w:i/>
          <w:spacing w:val="5"/>
          <w:w w:val="105"/>
          <w:sz w:val="13"/>
        </w:rPr>
        <w:t> </w:t>
      </w:r>
      <w:r>
        <w:rPr>
          <w:i/>
          <w:spacing w:val="-3"/>
          <w:w w:val="105"/>
          <w:sz w:val="13"/>
        </w:rPr>
        <w:t>2017–2018</w:t>
      </w:r>
      <w:r>
        <w:rPr>
          <w:i/>
          <w:spacing w:val="5"/>
          <w:w w:val="105"/>
          <w:sz w:val="13"/>
        </w:rPr>
        <w:t> </w:t>
      </w:r>
      <w:r>
        <w:rPr>
          <w:spacing w:val="2"/>
          <w:w w:val="105"/>
          <w:sz w:val="13"/>
        </w:rPr>
        <w:t>(Report,</w:t>
      </w:r>
      <w:r>
        <w:rPr>
          <w:spacing w:val="5"/>
          <w:w w:val="105"/>
          <w:sz w:val="13"/>
        </w:rPr>
        <w:t> </w:t>
      </w:r>
      <w:r>
        <w:rPr>
          <w:w w:val="105"/>
          <w:sz w:val="13"/>
        </w:rPr>
        <w:t>2018)</w:t>
      </w:r>
      <w:r>
        <w:rPr>
          <w:spacing w:val="6"/>
          <w:w w:val="105"/>
          <w:sz w:val="13"/>
        </w:rPr>
        <w:t> </w:t>
      </w:r>
      <w:r>
        <w:rPr>
          <w:spacing w:val="-4"/>
          <w:w w:val="105"/>
          <w:sz w:val="13"/>
        </w:rPr>
        <w:t>87.</w:t>
      </w:r>
    </w:p>
    <w:p>
      <w:pPr>
        <w:pStyle w:val="ListParagraph"/>
        <w:numPr>
          <w:ilvl w:val="0"/>
          <w:numId w:val="122"/>
        </w:numPr>
        <w:tabs>
          <w:tab w:pos="2380" w:val="left" w:leader="none"/>
          <w:tab w:pos="2382" w:val="left" w:leader="none"/>
        </w:tabs>
        <w:spacing w:line="240" w:lineRule="auto" w:before="1" w:after="0"/>
        <w:ind w:left="2381" w:right="0" w:hanging="794"/>
        <w:jc w:val="left"/>
        <w:rPr>
          <w:sz w:val="13"/>
        </w:rPr>
      </w:pPr>
      <w:r>
        <w:rPr>
          <w:w w:val="105"/>
          <w:sz w:val="13"/>
        </w:rPr>
        <w:t>For a full list of facilities, see Victorian Civil and Administrative Tribunal, </w:t>
      </w:r>
      <w:r>
        <w:rPr>
          <w:i/>
          <w:w w:val="105"/>
          <w:sz w:val="13"/>
        </w:rPr>
        <w:t>Practice Note PNVCAT7: Hearing Room Technology, </w:t>
      </w:r>
      <w:r>
        <w:rPr>
          <w:spacing w:val="-3"/>
          <w:w w:val="105"/>
          <w:sz w:val="13"/>
        </w:rPr>
        <w:t>14 </w:t>
      </w:r>
      <w:r>
        <w:rPr>
          <w:w w:val="105"/>
          <w:sz w:val="13"/>
        </w:rPr>
        <w:t>December 2018</w:t>
      </w:r>
      <w:r>
        <w:rPr>
          <w:spacing w:val="5"/>
          <w:w w:val="105"/>
          <w:sz w:val="13"/>
        </w:rPr>
        <w:t> </w:t>
      </w:r>
      <w:r>
        <w:rPr>
          <w:w w:val="105"/>
          <w:sz w:val="13"/>
        </w:rPr>
        <w:t>&lt;https://</w:t>
      </w:r>
      <w:hyperlink r:id="rId197">
        <w:r>
          <w:rPr>
            <w:w w:val="105"/>
            <w:sz w:val="13"/>
          </w:rPr>
          <w:t>www.vcat.vic.gov.au/resources/vcat-practice-note-pnvcat7-hearing-room-technology</w:t>
        </w:r>
      </w:hyperlink>
      <w:r>
        <w:rPr>
          <w:w w:val="105"/>
          <w:sz w:val="13"/>
        </w:rPr>
        <w:t>&gt;.</w:t>
      </w:r>
    </w:p>
    <w:p>
      <w:pPr>
        <w:pStyle w:val="ListParagraph"/>
        <w:numPr>
          <w:ilvl w:val="0"/>
          <w:numId w:val="122"/>
        </w:numPr>
        <w:tabs>
          <w:tab w:pos="2380"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122"/>
        </w:numPr>
        <w:tabs>
          <w:tab w:pos="2381" w:val="left" w:leader="none"/>
          <w:tab w:pos="2382" w:val="left" w:leader="none"/>
        </w:tabs>
        <w:spacing w:line="240" w:lineRule="auto" w:before="1" w:after="0"/>
        <w:ind w:left="2381" w:right="0" w:hanging="794"/>
        <w:jc w:val="left"/>
        <w:rPr>
          <w:sz w:val="13"/>
        </w:rPr>
      </w:pPr>
      <w:r>
        <w:rPr>
          <w:w w:val="105"/>
          <w:sz w:val="13"/>
        </w:rPr>
        <w:t>Victorian</w:t>
      </w:r>
      <w:r>
        <w:rPr>
          <w:spacing w:val="5"/>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5"/>
          <w:w w:val="105"/>
          <w:sz w:val="13"/>
        </w:rPr>
        <w:t> </w:t>
      </w:r>
      <w:r>
        <w:rPr>
          <w:w w:val="105"/>
          <w:sz w:val="13"/>
        </w:rPr>
        <w:t>Tribunal,</w:t>
      </w:r>
      <w:r>
        <w:rPr>
          <w:spacing w:val="5"/>
          <w:w w:val="105"/>
          <w:sz w:val="13"/>
        </w:rPr>
        <w:t> </w:t>
      </w:r>
      <w:r>
        <w:rPr>
          <w:i/>
          <w:w w:val="105"/>
          <w:sz w:val="13"/>
        </w:rPr>
        <w:t>VCAT</w:t>
      </w:r>
      <w:r>
        <w:rPr>
          <w:i/>
          <w:spacing w:val="5"/>
          <w:w w:val="105"/>
          <w:sz w:val="13"/>
        </w:rPr>
        <w:t> </w:t>
      </w:r>
      <w:r>
        <w:rPr>
          <w:i/>
          <w:w w:val="105"/>
          <w:sz w:val="13"/>
        </w:rPr>
        <w:t>Annual</w:t>
      </w:r>
      <w:r>
        <w:rPr>
          <w:i/>
          <w:spacing w:val="5"/>
          <w:w w:val="105"/>
          <w:sz w:val="13"/>
        </w:rPr>
        <w:t> </w:t>
      </w:r>
      <w:r>
        <w:rPr>
          <w:i/>
          <w:spacing w:val="2"/>
          <w:w w:val="105"/>
          <w:sz w:val="13"/>
        </w:rPr>
        <w:t>Report</w:t>
      </w:r>
      <w:r>
        <w:rPr>
          <w:i/>
          <w:spacing w:val="5"/>
          <w:w w:val="105"/>
          <w:sz w:val="13"/>
        </w:rPr>
        <w:t> </w:t>
      </w:r>
      <w:r>
        <w:rPr>
          <w:i/>
          <w:w w:val="105"/>
          <w:sz w:val="13"/>
        </w:rPr>
        <w:t>2016–2017</w:t>
      </w:r>
      <w:r>
        <w:rPr>
          <w:i/>
          <w:spacing w:val="5"/>
          <w:w w:val="105"/>
          <w:sz w:val="13"/>
        </w:rPr>
        <w:t> </w:t>
      </w:r>
      <w:r>
        <w:rPr>
          <w:spacing w:val="2"/>
          <w:w w:val="105"/>
          <w:sz w:val="13"/>
        </w:rPr>
        <w:t>(Report,</w:t>
      </w:r>
      <w:r>
        <w:rPr>
          <w:spacing w:val="6"/>
          <w:w w:val="105"/>
          <w:sz w:val="13"/>
        </w:rPr>
        <w:t> </w:t>
      </w:r>
      <w:r>
        <w:rPr>
          <w:w w:val="105"/>
          <w:sz w:val="13"/>
        </w:rPr>
        <w:t>2017)</w:t>
      </w:r>
      <w:r>
        <w:rPr>
          <w:spacing w:val="5"/>
          <w:w w:val="105"/>
          <w:sz w:val="13"/>
        </w:rPr>
        <w:t> </w:t>
      </w:r>
      <w:r>
        <w:rPr>
          <w:w w:val="105"/>
          <w:sz w:val="13"/>
        </w:rPr>
        <w:t>14,</w:t>
      </w:r>
      <w:r>
        <w:rPr>
          <w:spacing w:val="5"/>
          <w:w w:val="105"/>
          <w:sz w:val="13"/>
        </w:rPr>
        <w:t> </w:t>
      </w:r>
      <w:r>
        <w:rPr>
          <w:w w:val="105"/>
          <w:sz w:val="13"/>
        </w:rPr>
        <w:t>28.</w:t>
      </w:r>
    </w:p>
    <w:p>
      <w:pPr>
        <w:pStyle w:val="ListParagraph"/>
        <w:numPr>
          <w:ilvl w:val="0"/>
          <w:numId w:val="122"/>
        </w:numPr>
        <w:tabs>
          <w:tab w:pos="2381" w:val="left" w:leader="none"/>
          <w:tab w:pos="2382" w:val="left" w:leader="none"/>
        </w:tabs>
        <w:spacing w:line="240" w:lineRule="auto" w:before="2" w:after="0"/>
        <w:ind w:left="2381" w:right="0" w:hanging="794"/>
        <w:jc w:val="left"/>
        <w:rPr>
          <w:sz w:val="13"/>
        </w:rPr>
      </w:pPr>
      <w:r>
        <w:rPr>
          <w:w w:val="105"/>
          <w:sz w:val="13"/>
        </w:rPr>
        <w:t>Victorian</w:t>
      </w:r>
      <w:r>
        <w:rPr>
          <w:spacing w:val="5"/>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6"/>
          <w:w w:val="105"/>
          <w:sz w:val="13"/>
        </w:rPr>
        <w:t> </w:t>
      </w:r>
      <w:r>
        <w:rPr>
          <w:w w:val="105"/>
          <w:sz w:val="13"/>
        </w:rPr>
        <w:t>Tribunal,</w:t>
      </w:r>
      <w:r>
        <w:rPr>
          <w:spacing w:val="5"/>
          <w:w w:val="105"/>
          <w:sz w:val="13"/>
        </w:rPr>
        <w:t> </w:t>
      </w:r>
      <w:r>
        <w:rPr>
          <w:i/>
          <w:w w:val="105"/>
          <w:sz w:val="13"/>
        </w:rPr>
        <w:t>VCAT</w:t>
      </w:r>
      <w:r>
        <w:rPr>
          <w:i/>
          <w:spacing w:val="5"/>
          <w:w w:val="105"/>
          <w:sz w:val="13"/>
        </w:rPr>
        <w:t> </w:t>
      </w:r>
      <w:r>
        <w:rPr>
          <w:i/>
          <w:w w:val="105"/>
          <w:sz w:val="13"/>
        </w:rPr>
        <w:t>Annual</w:t>
      </w:r>
      <w:r>
        <w:rPr>
          <w:i/>
          <w:spacing w:val="6"/>
          <w:w w:val="105"/>
          <w:sz w:val="13"/>
        </w:rPr>
        <w:t> </w:t>
      </w:r>
      <w:r>
        <w:rPr>
          <w:i/>
          <w:spacing w:val="2"/>
          <w:w w:val="105"/>
          <w:sz w:val="13"/>
        </w:rPr>
        <w:t>Report</w:t>
      </w:r>
      <w:r>
        <w:rPr>
          <w:i/>
          <w:spacing w:val="5"/>
          <w:w w:val="105"/>
          <w:sz w:val="13"/>
        </w:rPr>
        <w:t> </w:t>
      </w:r>
      <w:r>
        <w:rPr>
          <w:i/>
          <w:spacing w:val="-3"/>
          <w:w w:val="105"/>
          <w:sz w:val="13"/>
        </w:rPr>
        <w:t>2017–2018</w:t>
      </w:r>
      <w:r>
        <w:rPr>
          <w:i/>
          <w:spacing w:val="5"/>
          <w:w w:val="105"/>
          <w:sz w:val="13"/>
        </w:rPr>
        <w:t> </w:t>
      </w:r>
      <w:r>
        <w:rPr>
          <w:spacing w:val="2"/>
          <w:w w:val="105"/>
          <w:sz w:val="13"/>
        </w:rPr>
        <w:t>(Report,</w:t>
      </w:r>
      <w:r>
        <w:rPr>
          <w:spacing w:val="6"/>
          <w:w w:val="105"/>
          <w:sz w:val="13"/>
        </w:rPr>
        <w:t> </w:t>
      </w:r>
      <w:r>
        <w:rPr>
          <w:w w:val="105"/>
          <w:sz w:val="13"/>
        </w:rPr>
        <w:t>2018)</w:t>
      </w:r>
      <w:r>
        <w:rPr>
          <w:spacing w:val="5"/>
          <w:w w:val="105"/>
          <w:sz w:val="13"/>
        </w:rPr>
        <w:t> </w:t>
      </w:r>
      <w:r>
        <w:rPr>
          <w:w w:val="105"/>
          <w:sz w:val="13"/>
        </w:rPr>
        <w:t>30.</w:t>
      </w:r>
    </w:p>
    <w:p>
      <w:pPr>
        <w:pStyle w:val="ListParagraph"/>
        <w:numPr>
          <w:ilvl w:val="0"/>
          <w:numId w:val="122"/>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3"/>
          <w:w w:val="105"/>
          <w:sz w:val="13"/>
        </w:rPr>
        <w:t>19 </w:t>
      </w:r>
      <w:r>
        <w:rPr>
          <w:spacing w:val="2"/>
          <w:w w:val="105"/>
          <w:sz w:val="13"/>
        </w:rPr>
        <w:t>(Name </w:t>
      </w:r>
      <w:r>
        <w:rPr>
          <w:w w:val="105"/>
          <w:sz w:val="13"/>
        </w:rPr>
        <w:t>withheld); Consultation </w:t>
      </w:r>
      <w:r>
        <w:rPr>
          <w:spacing w:val="-4"/>
          <w:w w:val="105"/>
          <w:sz w:val="13"/>
        </w:rPr>
        <w:t>12 </w:t>
      </w:r>
      <w:r>
        <w:rPr>
          <w:w w:val="105"/>
          <w:sz w:val="13"/>
        </w:rPr>
        <w:t>(City of Port</w:t>
      </w:r>
      <w:r>
        <w:rPr>
          <w:spacing w:val="21"/>
          <w:w w:val="105"/>
          <w:sz w:val="13"/>
        </w:rPr>
        <w:t> </w:t>
      </w:r>
      <w:r>
        <w:rPr>
          <w:w w:val="105"/>
          <w:sz w:val="13"/>
        </w:rPr>
        <w:t>Phillip).</w:t>
      </w:r>
    </w:p>
    <w:p>
      <w:pPr>
        <w:pStyle w:val="ListParagraph"/>
        <w:numPr>
          <w:ilvl w:val="0"/>
          <w:numId w:val="122"/>
        </w:numPr>
        <w:tabs>
          <w:tab w:pos="2381" w:val="left" w:leader="none"/>
          <w:tab w:pos="2382" w:val="left" w:leader="none"/>
        </w:tabs>
        <w:spacing w:line="240" w:lineRule="auto" w:before="1" w:after="0"/>
        <w:ind w:left="2381" w:right="0" w:hanging="794"/>
        <w:jc w:val="left"/>
        <w:rPr>
          <w:sz w:val="13"/>
        </w:rPr>
      </w:pPr>
      <w:r>
        <w:rPr>
          <w:w w:val="105"/>
          <w:sz w:val="13"/>
        </w:rPr>
        <w:t>Submissions 21 (Pointon Partners </w:t>
      </w:r>
      <w:r>
        <w:rPr>
          <w:spacing w:val="2"/>
          <w:w w:val="105"/>
          <w:sz w:val="13"/>
        </w:rPr>
        <w:t>Lawyers), </w:t>
      </w:r>
      <w:r>
        <w:rPr>
          <w:w w:val="105"/>
          <w:sz w:val="13"/>
        </w:rPr>
        <w:t>23 </w:t>
      </w:r>
      <w:r>
        <w:rPr>
          <w:spacing w:val="2"/>
          <w:w w:val="105"/>
          <w:sz w:val="13"/>
        </w:rPr>
        <w:t>(Name</w:t>
      </w:r>
      <w:r>
        <w:rPr>
          <w:spacing w:val="29"/>
          <w:w w:val="105"/>
          <w:sz w:val="13"/>
        </w:rPr>
        <w:t> </w:t>
      </w:r>
      <w:r>
        <w:rPr>
          <w:w w:val="105"/>
          <w:sz w:val="13"/>
        </w:rPr>
        <w:t>withheld).</w:t>
      </w:r>
    </w:p>
    <w:p>
      <w:pPr>
        <w:pStyle w:val="ListParagraph"/>
        <w:numPr>
          <w:ilvl w:val="0"/>
          <w:numId w:val="122"/>
        </w:numPr>
        <w:tabs>
          <w:tab w:pos="2381" w:val="left" w:leader="none"/>
          <w:tab w:pos="2382" w:val="left" w:leader="none"/>
        </w:tabs>
        <w:spacing w:line="240" w:lineRule="auto" w:before="2" w:after="0"/>
        <w:ind w:left="2381" w:right="0" w:hanging="794"/>
        <w:jc w:val="left"/>
        <w:rPr>
          <w:sz w:val="13"/>
        </w:rPr>
      </w:pPr>
      <w:r>
        <w:rPr>
          <w:w w:val="105"/>
          <w:sz w:val="13"/>
        </w:rPr>
        <w:t>Consultation 2 </w:t>
      </w:r>
      <w:r>
        <w:rPr>
          <w:spacing w:val="3"/>
          <w:w w:val="105"/>
          <w:sz w:val="13"/>
        </w:rPr>
        <w:t>(Dr </w:t>
      </w:r>
      <w:r>
        <w:rPr>
          <w:w w:val="105"/>
          <w:sz w:val="13"/>
        </w:rPr>
        <w:t>Gregory Moore</w:t>
      </w:r>
      <w:r>
        <w:rPr>
          <w:spacing w:val="20"/>
          <w:w w:val="105"/>
          <w:sz w:val="13"/>
        </w:rPr>
        <w:t> </w:t>
      </w:r>
      <w:r>
        <w:rPr>
          <w:spacing w:val="2"/>
          <w:w w:val="105"/>
          <w:sz w:val="13"/>
        </w:rPr>
        <w:t>OAM).</w:t>
      </w:r>
    </w:p>
    <w:p>
      <w:pPr>
        <w:pStyle w:val="BodyText"/>
        <w:rPr>
          <w:sz w:val="28"/>
        </w:rPr>
      </w:pPr>
      <w:r>
        <w:rPr/>
        <w:br w:type="column"/>
      </w:r>
      <w:r>
        <w:rPr>
          <w:sz w:val="28"/>
        </w:rPr>
      </w:r>
    </w:p>
    <w:p>
      <w:pPr>
        <w:pStyle w:val="BodyText"/>
        <w:rPr>
          <w:sz w:val="28"/>
        </w:rPr>
      </w:pPr>
    </w:p>
    <w:p>
      <w:pPr>
        <w:pStyle w:val="BodyText"/>
        <w:rPr>
          <w:sz w:val="28"/>
        </w:rPr>
      </w:pPr>
    </w:p>
    <w:p>
      <w:pPr>
        <w:spacing w:before="198"/>
        <w:ind w:left="680" w:right="574" w:firstLine="0"/>
        <w:jc w:val="center"/>
        <w:rPr>
          <w:b/>
          <w:sz w:val="24"/>
        </w:rPr>
      </w:pPr>
      <w:r>
        <w:rPr>
          <w:b/>
          <w:color w:val="658464"/>
          <w:w w:val="110"/>
          <w:sz w:val="24"/>
        </w:rPr>
        <w:t>155</w:t>
      </w:r>
    </w:p>
    <w:p>
      <w:pPr>
        <w:spacing w:after="0"/>
        <w:jc w:val="center"/>
        <w:rPr>
          <w:sz w:val="24"/>
        </w:rPr>
        <w:sectPr>
          <w:type w:val="continuous"/>
          <w:pgSz w:w="11910" w:h="16840"/>
          <w:pgMar w:top="300" w:bottom="280" w:left="0" w:right="0"/>
          <w:cols w:num="2" w:equalWidth="0">
            <w:col w:w="10173" w:space="40"/>
            <w:col w:w="1697"/>
          </w:cols>
        </w:sectPr>
      </w:pPr>
    </w:p>
    <w:p>
      <w:pPr>
        <w:pStyle w:val="BodyText"/>
        <w:spacing w:before="9"/>
        <w:rPr>
          <w:b/>
          <w:sz w:val="22"/>
        </w:rPr>
      </w:pPr>
    </w:p>
    <w:p>
      <w:pPr>
        <w:pStyle w:val="ListParagraph"/>
        <w:numPr>
          <w:ilvl w:val="1"/>
          <w:numId w:val="114"/>
        </w:numPr>
        <w:tabs>
          <w:tab w:pos="2380" w:val="left" w:leader="none"/>
          <w:tab w:pos="2381" w:val="left" w:leader="none"/>
        </w:tabs>
        <w:spacing w:line="242" w:lineRule="auto" w:before="92" w:after="0"/>
        <w:ind w:left="2381" w:right="1656" w:hanging="794"/>
        <w:jc w:val="left"/>
        <w:rPr>
          <w:sz w:val="21"/>
        </w:rPr>
      </w:pPr>
      <w:bookmarkStart w:name="_bookmark81" w:id="175"/>
      <w:bookmarkEnd w:id="175"/>
      <w:r>
        <w:rPr/>
      </w:r>
      <w:bookmarkStart w:name="_bookmark81" w:id="176"/>
      <w:bookmarkEnd w:id="176"/>
      <w:r>
        <w:rPr>
          <w:w w:val="105"/>
          <w:sz w:val="21"/>
        </w:rPr>
        <w:t>W</w:t>
      </w:r>
      <w:r>
        <w:rPr>
          <w:w w:val="105"/>
          <w:sz w:val="21"/>
        </w:rPr>
        <w:t>ith</w:t>
      </w:r>
      <w:r>
        <w:rPr>
          <w:spacing w:val="-8"/>
          <w:w w:val="105"/>
          <w:sz w:val="21"/>
        </w:rPr>
        <w:t> </w:t>
      </w:r>
      <w:r>
        <w:rPr>
          <w:w w:val="105"/>
          <w:sz w:val="21"/>
        </w:rPr>
        <w:t>its</w:t>
      </w:r>
      <w:r>
        <w:rPr>
          <w:spacing w:val="-7"/>
          <w:w w:val="105"/>
          <w:sz w:val="21"/>
        </w:rPr>
        <w:t> </w:t>
      </w:r>
      <w:r>
        <w:rPr>
          <w:w w:val="105"/>
          <w:sz w:val="21"/>
        </w:rPr>
        <w:t>existing</w:t>
      </w:r>
      <w:r>
        <w:rPr>
          <w:spacing w:val="-8"/>
          <w:w w:val="105"/>
          <w:sz w:val="21"/>
        </w:rPr>
        <w:t> </w:t>
      </w:r>
      <w:r>
        <w:rPr>
          <w:w w:val="105"/>
          <w:sz w:val="21"/>
        </w:rPr>
        <w:t>expertise</w:t>
      </w:r>
      <w:r>
        <w:rPr>
          <w:spacing w:val="-7"/>
          <w:w w:val="105"/>
          <w:sz w:val="21"/>
        </w:rPr>
        <w:t> </w:t>
      </w:r>
      <w:r>
        <w:rPr>
          <w:w w:val="105"/>
          <w:sz w:val="21"/>
        </w:rPr>
        <w:t>in</w:t>
      </w:r>
      <w:r>
        <w:rPr>
          <w:spacing w:val="-7"/>
          <w:w w:val="105"/>
          <w:sz w:val="21"/>
        </w:rPr>
        <w:t> </w:t>
      </w:r>
      <w:r>
        <w:rPr>
          <w:w w:val="105"/>
          <w:sz w:val="21"/>
        </w:rPr>
        <w:t>civil</w:t>
      </w:r>
      <w:r>
        <w:rPr>
          <w:spacing w:val="-8"/>
          <w:w w:val="105"/>
          <w:sz w:val="21"/>
        </w:rPr>
        <w:t> </w:t>
      </w:r>
      <w:r>
        <w:rPr>
          <w:spacing w:val="-3"/>
          <w:w w:val="105"/>
          <w:sz w:val="21"/>
        </w:rPr>
        <w:t>disputes,</w:t>
      </w:r>
      <w:r>
        <w:rPr>
          <w:spacing w:val="-7"/>
          <w:w w:val="105"/>
          <w:sz w:val="21"/>
        </w:rPr>
        <w:t> </w:t>
      </w:r>
      <w:r>
        <w:rPr>
          <w:spacing w:val="-5"/>
          <w:w w:val="105"/>
          <w:sz w:val="21"/>
        </w:rPr>
        <w:t>VCAT</w:t>
      </w:r>
      <w:r>
        <w:rPr>
          <w:spacing w:val="-7"/>
          <w:w w:val="105"/>
          <w:sz w:val="21"/>
        </w:rPr>
        <w:t> </w:t>
      </w:r>
      <w:r>
        <w:rPr>
          <w:w w:val="105"/>
          <w:sz w:val="21"/>
        </w:rPr>
        <w:t>would</w:t>
      </w:r>
      <w:r>
        <w:rPr>
          <w:spacing w:val="-8"/>
          <w:w w:val="105"/>
          <w:sz w:val="21"/>
        </w:rPr>
        <w:t> </w:t>
      </w:r>
      <w:r>
        <w:rPr>
          <w:w w:val="105"/>
          <w:sz w:val="21"/>
        </w:rPr>
        <w:t>also</w:t>
      </w:r>
      <w:r>
        <w:rPr>
          <w:spacing w:val="-7"/>
          <w:w w:val="105"/>
          <w:sz w:val="21"/>
        </w:rPr>
        <w:t> </w:t>
      </w:r>
      <w:r>
        <w:rPr>
          <w:w w:val="105"/>
          <w:sz w:val="21"/>
        </w:rPr>
        <w:t>be</w:t>
      </w:r>
      <w:r>
        <w:rPr>
          <w:spacing w:val="-7"/>
          <w:w w:val="105"/>
          <w:sz w:val="21"/>
        </w:rPr>
        <w:t> </w:t>
      </w:r>
      <w:r>
        <w:rPr>
          <w:w w:val="105"/>
          <w:sz w:val="21"/>
        </w:rPr>
        <w:t>better</w:t>
      </w:r>
      <w:r>
        <w:rPr>
          <w:spacing w:val="-8"/>
          <w:w w:val="105"/>
          <w:sz w:val="21"/>
        </w:rPr>
        <w:t> </w:t>
      </w:r>
      <w:r>
        <w:rPr>
          <w:w w:val="105"/>
          <w:sz w:val="21"/>
        </w:rPr>
        <w:t>equipped</w:t>
      </w:r>
      <w:r>
        <w:rPr>
          <w:spacing w:val="-7"/>
          <w:w w:val="105"/>
          <w:sz w:val="21"/>
        </w:rPr>
        <w:t> </w:t>
      </w:r>
      <w:r>
        <w:rPr>
          <w:spacing w:val="-3"/>
          <w:w w:val="105"/>
          <w:sz w:val="21"/>
        </w:rPr>
        <w:t>to</w:t>
      </w:r>
      <w:r>
        <w:rPr>
          <w:spacing w:val="-7"/>
          <w:w w:val="105"/>
          <w:sz w:val="21"/>
        </w:rPr>
        <w:t> </w:t>
      </w:r>
      <w:r>
        <w:rPr>
          <w:w w:val="105"/>
          <w:sz w:val="21"/>
        </w:rPr>
        <w:t>decide certain matters, </w:t>
      </w:r>
      <w:r>
        <w:rPr>
          <w:spacing w:val="-3"/>
          <w:w w:val="105"/>
          <w:sz w:val="21"/>
        </w:rPr>
        <w:t>such </w:t>
      </w:r>
      <w:r>
        <w:rPr>
          <w:w w:val="105"/>
          <w:sz w:val="21"/>
        </w:rPr>
        <w:t>as the extent and apportionment of </w:t>
      </w:r>
      <w:r>
        <w:rPr>
          <w:spacing w:val="-4"/>
          <w:w w:val="105"/>
          <w:sz w:val="21"/>
        </w:rPr>
        <w:t>liability. </w:t>
      </w:r>
      <w:r>
        <w:rPr>
          <w:spacing w:val="-5"/>
          <w:w w:val="105"/>
          <w:sz w:val="21"/>
        </w:rPr>
        <w:t>VCAT </w:t>
      </w:r>
      <w:r>
        <w:rPr>
          <w:w w:val="105"/>
          <w:sz w:val="21"/>
        </w:rPr>
        <w:t>can provide </w:t>
      </w:r>
      <w:r>
        <w:rPr>
          <w:spacing w:val="-3"/>
          <w:w w:val="105"/>
          <w:sz w:val="21"/>
        </w:rPr>
        <w:t>accessible </w:t>
      </w:r>
      <w:r>
        <w:rPr>
          <w:w w:val="105"/>
          <w:sz w:val="21"/>
        </w:rPr>
        <w:t>locations in </w:t>
      </w:r>
      <w:r>
        <w:rPr>
          <w:spacing w:val="-3"/>
          <w:w w:val="105"/>
          <w:sz w:val="21"/>
        </w:rPr>
        <w:t>regional areas, </w:t>
      </w:r>
      <w:r>
        <w:rPr>
          <w:w w:val="105"/>
          <w:sz w:val="21"/>
        </w:rPr>
        <w:t>opportunities </w:t>
      </w:r>
      <w:r>
        <w:rPr>
          <w:spacing w:val="-3"/>
          <w:w w:val="105"/>
          <w:sz w:val="21"/>
        </w:rPr>
        <w:t>to </w:t>
      </w:r>
      <w:r>
        <w:rPr>
          <w:w w:val="105"/>
          <w:sz w:val="21"/>
        </w:rPr>
        <w:t>engage in </w:t>
      </w:r>
      <w:r>
        <w:rPr>
          <w:spacing w:val="-3"/>
          <w:w w:val="105"/>
          <w:sz w:val="21"/>
        </w:rPr>
        <w:t>alternative dispute resolution, </w:t>
      </w:r>
      <w:r>
        <w:rPr>
          <w:w w:val="105"/>
          <w:sz w:val="21"/>
        </w:rPr>
        <w:t>and appeal and </w:t>
      </w:r>
      <w:r>
        <w:rPr>
          <w:spacing w:val="-3"/>
          <w:w w:val="105"/>
          <w:sz w:val="21"/>
        </w:rPr>
        <w:t>enforcement mechanisms. </w:t>
      </w:r>
      <w:r>
        <w:rPr>
          <w:w w:val="105"/>
          <w:sz w:val="21"/>
        </w:rPr>
        <w:t>This approach is </w:t>
      </w:r>
      <w:r>
        <w:rPr>
          <w:spacing w:val="-3"/>
          <w:w w:val="105"/>
          <w:sz w:val="21"/>
        </w:rPr>
        <w:t>consistent </w:t>
      </w:r>
      <w:r>
        <w:rPr>
          <w:w w:val="105"/>
          <w:sz w:val="21"/>
        </w:rPr>
        <w:t>with New South </w:t>
      </w:r>
      <w:r>
        <w:rPr>
          <w:spacing w:val="-3"/>
          <w:w w:val="105"/>
          <w:sz w:val="21"/>
        </w:rPr>
        <w:t>Wales, Queensland </w:t>
      </w:r>
      <w:r>
        <w:rPr>
          <w:w w:val="105"/>
          <w:sz w:val="21"/>
        </w:rPr>
        <w:t>and </w:t>
      </w:r>
      <w:r>
        <w:rPr>
          <w:spacing w:val="-5"/>
          <w:w w:val="105"/>
          <w:sz w:val="21"/>
        </w:rPr>
        <w:t>Tasmania, </w:t>
      </w:r>
      <w:r>
        <w:rPr>
          <w:w w:val="105"/>
          <w:sz w:val="21"/>
        </w:rPr>
        <w:t>which </w:t>
      </w:r>
      <w:r>
        <w:rPr>
          <w:spacing w:val="-3"/>
          <w:w w:val="105"/>
          <w:sz w:val="21"/>
        </w:rPr>
        <w:t>have conferred </w:t>
      </w:r>
      <w:r>
        <w:rPr>
          <w:w w:val="105"/>
          <w:sz w:val="21"/>
        </w:rPr>
        <w:t>jurisdiction under their respective Acts </w:t>
      </w:r>
      <w:r>
        <w:rPr>
          <w:spacing w:val="-3"/>
          <w:w w:val="105"/>
          <w:sz w:val="21"/>
        </w:rPr>
        <w:t>to </w:t>
      </w:r>
      <w:r>
        <w:rPr>
          <w:w w:val="105"/>
          <w:sz w:val="21"/>
        </w:rPr>
        <w:t>existing courts and</w:t>
      </w:r>
      <w:r>
        <w:rPr>
          <w:spacing w:val="28"/>
          <w:w w:val="105"/>
          <w:sz w:val="21"/>
        </w:rPr>
        <w:t> </w:t>
      </w:r>
      <w:r>
        <w:rPr>
          <w:spacing w:val="-3"/>
          <w:w w:val="105"/>
          <w:sz w:val="21"/>
        </w:rPr>
        <w:t>tribunals.</w:t>
      </w:r>
    </w:p>
    <w:p>
      <w:pPr>
        <w:pStyle w:val="ListParagraph"/>
        <w:numPr>
          <w:ilvl w:val="1"/>
          <w:numId w:val="114"/>
        </w:numPr>
        <w:tabs>
          <w:tab w:pos="2380" w:val="left" w:leader="none"/>
          <w:tab w:pos="2381" w:val="left" w:leader="none"/>
        </w:tabs>
        <w:spacing w:line="242" w:lineRule="auto" w:before="126" w:after="0"/>
        <w:ind w:left="2381" w:right="1619" w:hanging="794"/>
        <w:jc w:val="left"/>
        <w:rPr>
          <w:sz w:val="21"/>
        </w:rPr>
      </w:pPr>
      <w:r>
        <w:rPr>
          <w:w w:val="105"/>
          <w:sz w:val="21"/>
        </w:rPr>
        <w:t>The proposals </w:t>
      </w:r>
      <w:r>
        <w:rPr>
          <w:spacing w:val="-3"/>
          <w:w w:val="105"/>
          <w:sz w:val="21"/>
        </w:rPr>
        <w:t>for </w:t>
      </w:r>
      <w:r>
        <w:rPr>
          <w:w w:val="105"/>
          <w:sz w:val="21"/>
        </w:rPr>
        <w:t>a resolution and </w:t>
      </w:r>
      <w:r>
        <w:rPr>
          <w:spacing w:val="-3"/>
          <w:w w:val="105"/>
          <w:sz w:val="21"/>
        </w:rPr>
        <w:t>enforcement </w:t>
      </w:r>
      <w:r>
        <w:rPr>
          <w:w w:val="105"/>
          <w:sz w:val="21"/>
        </w:rPr>
        <w:t>process </w:t>
      </w:r>
      <w:r>
        <w:rPr>
          <w:spacing w:val="-3"/>
          <w:w w:val="105"/>
          <w:sz w:val="21"/>
        </w:rPr>
        <w:t>through </w:t>
      </w:r>
      <w:r>
        <w:rPr>
          <w:w w:val="105"/>
          <w:sz w:val="21"/>
        </w:rPr>
        <w:t>local </w:t>
      </w:r>
      <w:r>
        <w:rPr>
          <w:spacing w:val="-3"/>
          <w:w w:val="105"/>
          <w:sz w:val="21"/>
        </w:rPr>
        <w:t>government recognise </w:t>
      </w:r>
      <w:r>
        <w:rPr>
          <w:w w:val="105"/>
          <w:sz w:val="21"/>
        </w:rPr>
        <w:t>local </w:t>
      </w:r>
      <w:r>
        <w:rPr>
          <w:spacing w:val="-3"/>
          <w:w w:val="105"/>
          <w:sz w:val="21"/>
        </w:rPr>
        <w:t>councils’ </w:t>
      </w:r>
      <w:r>
        <w:rPr>
          <w:w w:val="105"/>
          <w:sz w:val="21"/>
        </w:rPr>
        <w:t>expertise in tree </w:t>
      </w:r>
      <w:r>
        <w:rPr>
          <w:spacing w:val="-3"/>
          <w:w w:val="105"/>
          <w:sz w:val="21"/>
        </w:rPr>
        <w:t>management, </w:t>
      </w:r>
      <w:r>
        <w:rPr>
          <w:w w:val="105"/>
          <w:sz w:val="21"/>
        </w:rPr>
        <w:t>particularly in </w:t>
      </w:r>
      <w:r>
        <w:rPr>
          <w:spacing w:val="-3"/>
          <w:w w:val="105"/>
          <w:sz w:val="21"/>
        </w:rPr>
        <w:t>public areas </w:t>
      </w:r>
      <w:r>
        <w:rPr>
          <w:w w:val="105"/>
          <w:sz w:val="21"/>
        </w:rPr>
        <w:t>and developments on </w:t>
      </w:r>
      <w:r>
        <w:rPr>
          <w:spacing w:val="-3"/>
          <w:w w:val="105"/>
          <w:sz w:val="21"/>
        </w:rPr>
        <w:t>private </w:t>
      </w:r>
      <w:r>
        <w:rPr>
          <w:w w:val="105"/>
          <w:sz w:val="21"/>
        </w:rPr>
        <w:t>land.</w:t>
      </w:r>
      <w:r>
        <w:rPr>
          <w:w w:val="105"/>
          <w:position w:val="7"/>
          <w:sz w:val="12"/>
        </w:rPr>
        <w:t>260 </w:t>
      </w:r>
      <w:r>
        <w:rPr>
          <w:spacing w:val="-4"/>
          <w:w w:val="105"/>
          <w:sz w:val="21"/>
        </w:rPr>
        <w:t>However, </w:t>
      </w:r>
      <w:r>
        <w:rPr>
          <w:w w:val="105"/>
          <w:sz w:val="21"/>
        </w:rPr>
        <w:t>the primary objective of local </w:t>
      </w:r>
      <w:r>
        <w:rPr>
          <w:spacing w:val="-3"/>
          <w:w w:val="105"/>
          <w:sz w:val="21"/>
        </w:rPr>
        <w:t>councils </w:t>
      </w:r>
      <w:r>
        <w:rPr>
          <w:w w:val="105"/>
          <w:sz w:val="21"/>
        </w:rPr>
        <w:t>is </w:t>
      </w:r>
      <w:r>
        <w:rPr>
          <w:spacing w:val="-3"/>
          <w:w w:val="105"/>
          <w:sz w:val="21"/>
        </w:rPr>
        <w:t>to achieve </w:t>
      </w:r>
      <w:r>
        <w:rPr>
          <w:w w:val="105"/>
          <w:sz w:val="21"/>
        </w:rPr>
        <w:t>the best </w:t>
      </w:r>
      <w:r>
        <w:rPr>
          <w:spacing w:val="-3"/>
          <w:w w:val="105"/>
          <w:sz w:val="21"/>
        </w:rPr>
        <w:t>outcomes for </w:t>
      </w:r>
      <w:r>
        <w:rPr>
          <w:w w:val="105"/>
          <w:sz w:val="21"/>
        </w:rPr>
        <w:t>the local community as a collective in </w:t>
      </w:r>
      <w:r>
        <w:rPr>
          <w:spacing w:val="-3"/>
          <w:w w:val="105"/>
          <w:sz w:val="21"/>
        </w:rPr>
        <w:t>areas such </w:t>
      </w:r>
      <w:r>
        <w:rPr>
          <w:w w:val="105"/>
          <w:sz w:val="21"/>
        </w:rPr>
        <w:t>as </w:t>
      </w:r>
      <w:r>
        <w:rPr>
          <w:spacing w:val="-3"/>
          <w:w w:val="105"/>
          <w:sz w:val="21"/>
        </w:rPr>
        <w:t>health </w:t>
      </w:r>
      <w:r>
        <w:rPr>
          <w:w w:val="105"/>
          <w:sz w:val="21"/>
        </w:rPr>
        <w:t>services, </w:t>
      </w:r>
      <w:r>
        <w:rPr>
          <w:spacing w:val="-3"/>
          <w:w w:val="105"/>
          <w:sz w:val="21"/>
        </w:rPr>
        <w:t>planning, </w:t>
      </w:r>
      <w:r>
        <w:rPr>
          <w:w w:val="105"/>
          <w:sz w:val="21"/>
        </w:rPr>
        <w:t>economic development, waste and </w:t>
      </w:r>
      <w:r>
        <w:rPr>
          <w:spacing w:val="-3"/>
          <w:w w:val="105"/>
          <w:sz w:val="21"/>
        </w:rPr>
        <w:t>environmental management, </w:t>
      </w:r>
      <w:r>
        <w:rPr>
          <w:w w:val="105"/>
          <w:sz w:val="21"/>
        </w:rPr>
        <w:t>and </w:t>
      </w:r>
      <w:r>
        <w:rPr>
          <w:spacing w:val="-3"/>
          <w:w w:val="105"/>
          <w:sz w:val="21"/>
        </w:rPr>
        <w:t>human</w:t>
      </w:r>
      <w:r>
        <w:rPr>
          <w:spacing w:val="-8"/>
          <w:w w:val="105"/>
          <w:sz w:val="21"/>
        </w:rPr>
        <w:t> </w:t>
      </w:r>
      <w:r>
        <w:rPr>
          <w:w w:val="105"/>
          <w:sz w:val="21"/>
        </w:rPr>
        <w:t>and</w:t>
      </w:r>
      <w:r>
        <w:rPr>
          <w:spacing w:val="-7"/>
          <w:w w:val="105"/>
          <w:sz w:val="21"/>
        </w:rPr>
        <w:t> </w:t>
      </w:r>
      <w:r>
        <w:rPr>
          <w:w w:val="105"/>
          <w:sz w:val="21"/>
        </w:rPr>
        <w:t>community</w:t>
      </w:r>
      <w:r>
        <w:rPr>
          <w:spacing w:val="-7"/>
          <w:w w:val="105"/>
          <w:sz w:val="21"/>
        </w:rPr>
        <w:t> </w:t>
      </w:r>
      <w:r>
        <w:rPr>
          <w:w w:val="105"/>
          <w:sz w:val="21"/>
        </w:rPr>
        <w:t>services.</w:t>
      </w:r>
      <w:r>
        <w:rPr>
          <w:w w:val="105"/>
          <w:position w:val="7"/>
          <w:sz w:val="12"/>
        </w:rPr>
        <w:t>261</w:t>
      </w:r>
      <w:r>
        <w:rPr>
          <w:spacing w:val="-3"/>
          <w:w w:val="105"/>
          <w:position w:val="7"/>
          <w:sz w:val="12"/>
        </w:rPr>
        <w:t> </w:t>
      </w:r>
      <w:r>
        <w:rPr>
          <w:w w:val="105"/>
          <w:sz w:val="21"/>
        </w:rPr>
        <w:t>Local</w:t>
      </w:r>
      <w:r>
        <w:rPr>
          <w:spacing w:val="-7"/>
          <w:w w:val="105"/>
          <w:sz w:val="21"/>
        </w:rPr>
        <w:t> </w:t>
      </w:r>
      <w:r>
        <w:rPr>
          <w:spacing w:val="-3"/>
          <w:w w:val="105"/>
          <w:sz w:val="21"/>
        </w:rPr>
        <w:t>councils</w:t>
      </w:r>
      <w:r>
        <w:rPr>
          <w:spacing w:val="-7"/>
          <w:w w:val="105"/>
          <w:sz w:val="21"/>
        </w:rPr>
        <w:t> </w:t>
      </w:r>
      <w:r>
        <w:rPr>
          <w:w w:val="105"/>
          <w:sz w:val="21"/>
        </w:rPr>
        <w:t>do</w:t>
      </w:r>
      <w:r>
        <w:rPr>
          <w:spacing w:val="-7"/>
          <w:w w:val="105"/>
          <w:sz w:val="21"/>
        </w:rPr>
        <w:t> </w:t>
      </w:r>
      <w:r>
        <w:rPr>
          <w:spacing w:val="-2"/>
          <w:w w:val="105"/>
          <w:sz w:val="21"/>
        </w:rPr>
        <w:t>not</w:t>
      </w:r>
      <w:r>
        <w:rPr>
          <w:spacing w:val="-7"/>
          <w:w w:val="105"/>
          <w:sz w:val="21"/>
        </w:rPr>
        <w:t> </w:t>
      </w:r>
      <w:r>
        <w:rPr>
          <w:spacing w:val="-3"/>
          <w:w w:val="105"/>
          <w:sz w:val="21"/>
        </w:rPr>
        <w:t>manage</w:t>
      </w:r>
      <w:r>
        <w:rPr>
          <w:spacing w:val="-7"/>
          <w:w w:val="105"/>
          <w:sz w:val="21"/>
        </w:rPr>
        <w:t> </w:t>
      </w:r>
      <w:r>
        <w:rPr>
          <w:w w:val="105"/>
          <w:sz w:val="21"/>
        </w:rPr>
        <w:t>matters</w:t>
      </w:r>
      <w:r>
        <w:rPr>
          <w:spacing w:val="-7"/>
          <w:w w:val="105"/>
          <w:sz w:val="21"/>
        </w:rPr>
        <w:t> </w:t>
      </w:r>
      <w:r>
        <w:rPr>
          <w:w w:val="105"/>
          <w:sz w:val="21"/>
        </w:rPr>
        <w:t>between</w:t>
      </w:r>
      <w:r>
        <w:rPr>
          <w:spacing w:val="-7"/>
          <w:w w:val="105"/>
          <w:sz w:val="21"/>
        </w:rPr>
        <w:t> </w:t>
      </w:r>
      <w:r>
        <w:rPr>
          <w:spacing w:val="-3"/>
          <w:w w:val="105"/>
          <w:sz w:val="21"/>
        </w:rPr>
        <w:t>private citizens. </w:t>
      </w:r>
      <w:r>
        <w:rPr>
          <w:w w:val="105"/>
          <w:sz w:val="21"/>
        </w:rPr>
        <w:t>Any system </w:t>
      </w:r>
      <w:r>
        <w:rPr>
          <w:spacing w:val="-3"/>
          <w:w w:val="105"/>
          <w:sz w:val="21"/>
        </w:rPr>
        <w:t>for </w:t>
      </w:r>
      <w:r>
        <w:rPr>
          <w:w w:val="105"/>
          <w:sz w:val="21"/>
        </w:rPr>
        <w:t>resolving tree </w:t>
      </w:r>
      <w:r>
        <w:rPr>
          <w:spacing w:val="-3"/>
          <w:w w:val="105"/>
          <w:sz w:val="21"/>
        </w:rPr>
        <w:t>disputes that </w:t>
      </w:r>
      <w:r>
        <w:rPr>
          <w:w w:val="105"/>
          <w:sz w:val="21"/>
        </w:rPr>
        <w:t>is </w:t>
      </w:r>
      <w:r>
        <w:rPr>
          <w:spacing w:val="-3"/>
          <w:w w:val="105"/>
          <w:sz w:val="21"/>
        </w:rPr>
        <w:t>administered </w:t>
      </w:r>
      <w:r>
        <w:rPr>
          <w:w w:val="105"/>
          <w:sz w:val="21"/>
        </w:rPr>
        <w:t>by local </w:t>
      </w:r>
      <w:r>
        <w:rPr>
          <w:spacing w:val="-3"/>
          <w:w w:val="105"/>
          <w:sz w:val="21"/>
        </w:rPr>
        <w:t>councils </w:t>
      </w:r>
      <w:r>
        <w:rPr>
          <w:w w:val="105"/>
          <w:sz w:val="21"/>
        </w:rPr>
        <w:t>would </w:t>
      </w:r>
      <w:r>
        <w:rPr>
          <w:spacing w:val="-3"/>
          <w:w w:val="105"/>
          <w:sz w:val="21"/>
        </w:rPr>
        <w:t>therefore </w:t>
      </w:r>
      <w:r>
        <w:rPr>
          <w:w w:val="105"/>
          <w:sz w:val="21"/>
        </w:rPr>
        <w:t>be at odds with the role and objectives of local </w:t>
      </w:r>
      <w:r>
        <w:rPr>
          <w:spacing w:val="-3"/>
          <w:w w:val="105"/>
          <w:sz w:val="21"/>
        </w:rPr>
        <w:t>councils </w:t>
      </w:r>
      <w:r>
        <w:rPr>
          <w:w w:val="105"/>
          <w:sz w:val="21"/>
        </w:rPr>
        <w:t>under the </w:t>
      </w:r>
      <w:r>
        <w:rPr>
          <w:i/>
          <w:w w:val="105"/>
          <w:sz w:val="21"/>
        </w:rPr>
        <w:t>Local </w:t>
      </w:r>
      <w:r>
        <w:rPr>
          <w:i/>
          <w:spacing w:val="-3"/>
          <w:w w:val="105"/>
          <w:sz w:val="21"/>
        </w:rPr>
        <w:t>Government </w:t>
      </w:r>
      <w:r>
        <w:rPr>
          <w:i/>
          <w:w w:val="105"/>
          <w:sz w:val="21"/>
        </w:rPr>
        <w:t>Act </w:t>
      </w:r>
      <w:r>
        <w:rPr>
          <w:i/>
          <w:spacing w:val="-5"/>
          <w:w w:val="105"/>
          <w:sz w:val="21"/>
        </w:rPr>
        <w:t>1989</w:t>
      </w:r>
      <w:r>
        <w:rPr>
          <w:i/>
          <w:spacing w:val="20"/>
          <w:w w:val="105"/>
          <w:sz w:val="21"/>
        </w:rPr>
        <w:t> </w:t>
      </w:r>
      <w:r>
        <w:rPr>
          <w:w w:val="105"/>
          <w:sz w:val="21"/>
        </w:rPr>
        <w:t>(Vic).</w:t>
      </w:r>
    </w:p>
    <w:p>
      <w:pPr>
        <w:pStyle w:val="BodyText"/>
        <w:spacing w:before="10"/>
        <w:rPr>
          <w:sz w:val="20"/>
        </w:rPr>
      </w:pPr>
    </w:p>
    <w:p>
      <w:pPr>
        <w:pStyle w:val="Heading5"/>
        <w:spacing w:before="1"/>
      </w:pPr>
      <w:r>
        <w:rPr>
          <w:w w:val="115"/>
        </w:rPr>
        <w:t>The nature of jurisdiction given to VCAT</w:t>
      </w:r>
    </w:p>
    <w:p>
      <w:pPr>
        <w:pStyle w:val="ListParagraph"/>
        <w:numPr>
          <w:ilvl w:val="1"/>
          <w:numId w:val="114"/>
        </w:numPr>
        <w:tabs>
          <w:tab w:pos="2381" w:val="left" w:leader="none"/>
          <w:tab w:pos="2382" w:val="left" w:leader="none"/>
        </w:tabs>
        <w:spacing w:line="242" w:lineRule="auto" w:before="137" w:after="0"/>
        <w:ind w:left="2381" w:right="1584" w:hanging="794"/>
        <w:jc w:val="left"/>
        <w:rPr>
          <w:sz w:val="21"/>
        </w:rPr>
      </w:pPr>
      <w:r>
        <w:rPr>
          <w:sz w:val="21"/>
        </w:rPr>
        <w:t>The new Act should provide </w:t>
      </w:r>
      <w:r>
        <w:rPr>
          <w:spacing w:val="-5"/>
          <w:sz w:val="21"/>
        </w:rPr>
        <w:t>VCAT </w:t>
      </w:r>
      <w:r>
        <w:rPr>
          <w:sz w:val="21"/>
        </w:rPr>
        <w:t>with </w:t>
      </w:r>
      <w:r>
        <w:rPr>
          <w:spacing w:val="-3"/>
          <w:sz w:val="21"/>
        </w:rPr>
        <w:t>original </w:t>
      </w:r>
      <w:r>
        <w:rPr>
          <w:sz w:val="21"/>
        </w:rPr>
        <w:t>jurisdiction </w:t>
      </w:r>
      <w:r>
        <w:rPr>
          <w:spacing w:val="-3"/>
          <w:sz w:val="21"/>
        </w:rPr>
        <w:t>to determine </w:t>
      </w:r>
      <w:r>
        <w:rPr>
          <w:sz w:val="21"/>
        </w:rPr>
        <w:t>matters </w:t>
      </w:r>
      <w:r>
        <w:rPr>
          <w:spacing w:val="-3"/>
          <w:sz w:val="21"/>
        </w:rPr>
        <w:t>that </w:t>
      </w:r>
      <w:r>
        <w:rPr>
          <w:spacing w:val="-4"/>
          <w:sz w:val="21"/>
        </w:rPr>
        <w:t>fall </w:t>
      </w:r>
      <w:r>
        <w:rPr>
          <w:spacing w:val="-3"/>
          <w:sz w:val="21"/>
        </w:rPr>
        <w:t>within </w:t>
      </w:r>
      <w:r>
        <w:rPr>
          <w:sz w:val="21"/>
        </w:rPr>
        <w:t>its </w:t>
      </w:r>
      <w:r>
        <w:rPr>
          <w:spacing w:val="-3"/>
          <w:sz w:val="21"/>
        </w:rPr>
        <w:t>scope. </w:t>
      </w:r>
      <w:r>
        <w:rPr>
          <w:sz w:val="21"/>
        </w:rPr>
        <w:t>Jurisdiction should </w:t>
      </w:r>
      <w:r>
        <w:rPr>
          <w:spacing w:val="-2"/>
          <w:sz w:val="21"/>
        </w:rPr>
        <w:t>not </w:t>
      </w:r>
      <w:r>
        <w:rPr>
          <w:sz w:val="21"/>
        </w:rPr>
        <w:t>be </w:t>
      </w:r>
      <w:r>
        <w:rPr>
          <w:spacing w:val="-3"/>
          <w:sz w:val="21"/>
        </w:rPr>
        <w:t>conferred </w:t>
      </w:r>
      <w:r>
        <w:rPr>
          <w:sz w:val="21"/>
        </w:rPr>
        <w:t>in tree </w:t>
      </w:r>
      <w:r>
        <w:rPr>
          <w:spacing w:val="-3"/>
          <w:sz w:val="21"/>
        </w:rPr>
        <w:t>dispute </w:t>
      </w:r>
      <w:r>
        <w:rPr>
          <w:sz w:val="21"/>
        </w:rPr>
        <w:t>matters on either the </w:t>
      </w:r>
      <w:r>
        <w:rPr>
          <w:spacing w:val="-3"/>
          <w:sz w:val="21"/>
        </w:rPr>
        <w:t>Magistrates’ Court </w:t>
      </w:r>
      <w:r>
        <w:rPr>
          <w:sz w:val="21"/>
        </w:rPr>
        <w:t>or the </w:t>
      </w:r>
      <w:r>
        <w:rPr>
          <w:spacing w:val="-3"/>
          <w:sz w:val="21"/>
        </w:rPr>
        <w:t>County </w:t>
      </w:r>
      <w:r>
        <w:rPr>
          <w:sz w:val="21"/>
        </w:rPr>
        <w:t>Court.</w:t>
      </w:r>
      <w:r>
        <w:rPr>
          <w:position w:val="7"/>
          <w:sz w:val="12"/>
        </w:rPr>
        <w:t>262 </w:t>
      </w:r>
      <w:r>
        <w:rPr>
          <w:spacing w:val="-3"/>
          <w:sz w:val="21"/>
        </w:rPr>
        <w:t>Original </w:t>
      </w:r>
      <w:r>
        <w:rPr>
          <w:sz w:val="21"/>
        </w:rPr>
        <w:t>jurisdiction </w:t>
      </w:r>
      <w:r>
        <w:rPr>
          <w:spacing w:val="-3"/>
          <w:sz w:val="21"/>
        </w:rPr>
        <w:t>means that </w:t>
      </w:r>
      <w:r>
        <w:rPr>
          <w:spacing w:val="-5"/>
          <w:sz w:val="21"/>
        </w:rPr>
        <w:t>VCAT </w:t>
      </w:r>
      <w:r>
        <w:rPr>
          <w:sz w:val="21"/>
        </w:rPr>
        <w:t>is the first </w:t>
      </w:r>
      <w:r>
        <w:rPr>
          <w:spacing w:val="-3"/>
          <w:sz w:val="21"/>
        </w:rPr>
        <w:t>instance </w:t>
      </w:r>
      <w:r>
        <w:rPr>
          <w:sz w:val="21"/>
        </w:rPr>
        <w:t>decision </w:t>
      </w:r>
      <w:r>
        <w:rPr>
          <w:spacing w:val="-4"/>
          <w:sz w:val="21"/>
        </w:rPr>
        <w:t>maker </w:t>
      </w:r>
      <w:r>
        <w:rPr>
          <w:sz w:val="21"/>
        </w:rPr>
        <w:t>under the new Act. It does </w:t>
      </w:r>
      <w:r>
        <w:rPr>
          <w:spacing w:val="-2"/>
          <w:sz w:val="21"/>
        </w:rPr>
        <w:t>not </w:t>
      </w:r>
      <w:r>
        <w:rPr>
          <w:spacing w:val="-3"/>
          <w:sz w:val="21"/>
        </w:rPr>
        <w:t>have exclusive </w:t>
      </w:r>
      <w:r>
        <w:rPr>
          <w:sz w:val="21"/>
        </w:rPr>
        <w:t>jurisdiction. It</w:t>
      </w:r>
      <w:r>
        <w:rPr>
          <w:spacing w:val="-12"/>
          <w:sz w:val="21"/>
        </w:rPr>
        <w:t> </w:t>
      </w:r>
      <w:r>
        <w:rPr>
          <w:sz w:val="21"/>
        </w:rPr>
        <w:t>is</w:t>
      </w:r>
    </w:p>
    <w:p>
      <w:pPr>
        <w:pStyle w:val="BodyText"/>
        <w:spacing w:line="242" w:lineRule="auto" w:before="4"/>
        <w:ind w:left="2381" w:right="1558"/>
      </w:pPr>
      <w:r>
        <w:rPr>
          <w:w w:val="105"/>
        </w:rPr>
        <w:t>the </w:t>
      </w:r>
      <w:r>
        <w:rPr>
          <w:spacing w:val="-3"/>
          <w:w w:val="105"/>
        </w:rPr>
        <w:t>intention that </w:t>
      </w:r>
      <w:r>
        <w:rPr>
          <w:spacing w:val="-5"/>
          <w:w w:val="105"/>
        </w:rPr>
        <w:t>VCAT </w:t>
      </w:r>
      <w:r>
        <w:rPr>
          <w:w w:val="105"/>
        </w:rPr>
        <w:t>hear the majority of tree </w:t>
      </w:r>
      <w:r>
        <w:rPr>
          <w:spacing w:val="-3"/>
          <w:w w:val="105"/>
        </w:rPr>
        <w:t>dispute </w:t>
      </w:r>
      <w:r>
        <w:rPr>
          <w:w w:val="105"/>
        </w:rPr>
        <w:t>matters. </w:t>
      </w:r>
      <w:r>
        <w:rPr>
          <w:spacing w:val="-4"/>
          <w:w w:val="105"/>
        </w:rPr>
        <w:t>However, </w:t>
      </w:r>
      <w:r>
        <w:rPr>
          <w:w w:val="105"/>
        </w:rPr>
        <w:t>the </w:t>
      </w:r>
      <w:r>
        <w:rPr>
          <w:spacing w:val="-3"/>
          <w:w w:val="105"/>
        </w:rPr>
        <w:t>Supreme Court will </w:t>
      </w:r>
      <w:r>
        <w:rPr>
          <w:w w:val="105"/>
        </w:rPr>
        <w:t>also </w:t>
      </w:r>
      <w:r>
        <w:rPr>
          <w:spacing w:val="-3"/>
          <w:w w:val="105"/>
        </w:rPr>
        <w:t>have </w:t>
      </w:r>
      <w:r>
        <w:rPr>
          <w:w w:val="105"/>
        </w:rPr>
        <w:t>jurisdiction </w:t>
      </w:r>
      <w:r>
        <w:rPr>
          <w:spacing w:val="-3"/>
          <w:w w:val="105"/>
        </w:rPr>
        <w:t>to </w:t>
      </w:r>
      <w:r>
        <w:rPr>
          <w:w w:val="105"/>
        </w:rPr>
        <w:t>hear tree </w:t>
      </w:r>
      <w:r>
        <w:rPr>
          <w:spacing w:val="-3"/>
          <w:w w:val="105"/>
        </w:rPr>
        <w:t>disputes. </w:t>
      </w:r>
      <w:r>
        <w:rPr>
          <w:w w:val="105"/>
        </w:rPr>
        <w:t>This is because the </w:t>
      </w:r>
      <w:r>
        <w:rPr>
          <w:spacing w:val="-3"/>
          <w:w w:val="105"/>
        </w:rPr>
        <w:t>Supreme Court </w:t>
      </w:r>
      <w:r>
        <w:rPr>
          <w:spacing w:val="-2"/>
          <w:w w:val="105"/>
        </w:rPr>
        <w:t>has </w:t>
      </w:r>
      <w:r>
        <w:rPr>
          <w:spacing w:val="-3"/>
          <w:w w:val="105"/>
        </w:rPr>
        <w:t>unlimited </w:t>
      </w:r>
      <w:r>
        <w:rPr>
          <w:w w:val="105"/>
        </w:rPr>
        <w:t>jurisdiction under the Victorian </w:t>
      </w:r>
      <w:r>
        <w:rPr>
          <w:spacing w:val="-3"/>
          <w:w w:val="105"/>
        </w:rPr>
        <w:t>Constitution </w:t>
      </w:r>
      <w:r>
        <w:rPr>
          <w:w w:val="105"/>
        </w:rPr>
        <w:t>unless processes specified</w:t>
      </w:r>
    </w:p>
    <w:p>
      <w:pPr>
        <w:pStyle w:val="BodyText"/>
        <w:spacing w:line="242" w:lineRule="auto" w:before="4"/>
        <w:ind w:left="2381" w:right="1636" w:hanging="1"/>
      </w:pPr>
      <w:r>
        <w:rPr>
          <w:w w:val="105"/>
        </w:rPr>
        <w:t>in the </w:t>
      </w:r>
      <w:r>
        <w:rPr>
          <w:spacing w:val="-3"/>
          <w:w w:val="105"/>
        </w:rPr>
        <w:t>Constitution are followed to limit </w:t>
      </w:r>
      <w:r>
        <w:rPr>
          <w:w w:val="105"/>
        </w:rPr>
        <w:t>it in some </w:t>
      </w:r>
      <w:r>
        <w:rPr>
          <w:spacing w:val="-5"/>
          <w:w w:val="105"/>
        </w:rPr>
        <w:t>way. </w:t>
      </w:r>
      <w:r>
        <w:rPr>
          <w:w w:val="105"/>
          <w:position w:val="7"/>
          <w:sz w:val="12"/>
        </w:rPr>
        <w:t>263 </w:t>
      </w:r>
      <w:r>
        <w:rPr>
          <w:w w:val="105"/>
        </w:rPr>
        <w:t>The </w:t>
      </w:r>
      <w:r>
        <w:rPr>
          <w:spacing w:val="-3"/>
          <w:w w:val="105"/>
        </w:rPr>
        <w:t>Commission </w:t>
      </w:r>
      <w:r>
        <w:rPr>
          <w:w w:val="105"/>
        </w:rPr>
        <w:t>does </w:t>
      </w:r>
      <w:r>
        <w:rPr>
          <w:spacing w:val="-2"/>
          <w:w w:val="105"/>
        </w:rPr>
        <w:t>not </w:t>
      </w:r>
      <w:r>
        <w:rPr>
          <w:spacing w:val="-3"/>
          <w:w w:val="105"/>
        </w:rPr>
        <w:t>recommend that </w:t>
      </w:r>
      <w:r>
        <w:rPr>
          <w:w w:val="105"/>
        </w:rPr>
        <w:t>those processes should be </w:t>
      </w:r>
      <w:r>
        <w:rPr>
          <w:spacing w:val="-3"/>
          <w:w w:val="105"/>
        </w:rPr>
        <w:t>implemented.</w:t>
      </w:r>
    </w:p>
    <w:p>
      <w:pPr>
        <w:pStyle w:val="ListParagraph"/>
        <w:numPr>
          <w:ilvl w:val="1"/>
          <w:numId w:val="114"/>
        </w:numPr>
        <w:tabs>
          <w:tab w:pos="2380" w:val="left" w:leader="none"/>
          <w:tab w:pos="2381" w:val="left" w:leader="none"/>
        </w:tabs>
        <w:spacing w:line="242" w:lineRule="auto" w:before="122" w:after="0"/>
        <w:ind w:left="2380" w:right="1727" w:hanging="793"/>
        <w:jc w:val="left"/>
        <w:rPr>
          <w:sz w:val="21"/>
        </w:rPr>
      </w:pPr>
      <w:r>
        <w:rPr>
          <w:w w:val="105"/>
          <w:sz w:val="21"/>
        </w:rPr>
        <w:t>The practical reality is </w:t>
      </w:r>
      <w:r>
        <w:rPr>
          <w:spacing w:val="-3"/>
          <w:w w:val="105"/>
          <w:sz w:val="21"/>
        </w:rPr>
        <w:t>that </w:t>
      </w:r>
      <w:r>
        <w:rPr>
          <w:w w:val="105"/>
          <w:sz w:val="21"/>
        </w:rPr>
        <w:t>most tree </w:t>
      </w:r>
      <w:r>
        <w:rPr>
          <w:spacing w:val="-3"/>
          <w:w w:val="105"/>
          <w:sz w:val="21"/>
        </w:rPr>
        <w:t>disputes will </w:t>
      </w:r>
      <w:r>
        <w:rPr>
          <w:w w:val="105"/>
          <w:sz w:val="21"/>
        </w:rPr>
        <w:t>be </w:t>
      </w:r>
      <w:r>
        <w:rPr>
          <w:spacing w:val="-3"/>
          <w:w w:val="105"/>
          <w:sz w:val="21"/>
        </w:rPr>
        <w:t>initiated </w:t>
      </w:r>
      <w:r>
        <w:rPr>
          <w:w w:val="105"/>
          <w:sz w:val="21"/>
        </w:rPr>
        <w:t>by a party in </w:t>
      </w:r>
      <w:r>
        <w:rPr>
          <w:spacing w:val="-5"/>
          <w:w w:val="105"/>
          <w:sz w:val="21"/>
        </w:rPr>
        <w:t>VCAT </w:t>
      </w:r>
      <w:r>
        <w:rPr>
          <w:spacing w:val="-3"/>
          <w:w w:val="105"/>
          <w:sz w:val="21"/>
        </w:rPr>
        <w:t>rather than </w:t>
      </w:r>
      <w:r>
        <w:rPr>
          <w:w w:val="105"/>
          <w:sz w:val="21"/>
        </w:rPr>
        <w:t>the </w:t>
      </w:r>
      <w:r>
        <w:rPr>
          <w:spacing w:val="-3"/>
          <w:w w:val="105"/>
          <w:sz w:val="21"/>
        </w:rPr>
        <w:t>Supreme Court </w:t>
      </w:r>
      <w:r>
        <w:rPr>
          <w:w w:val="105"/>
          <w:sz w:val="21"/>
        </w:rPr>
        <w:t>because </w:t>
      </w:r>
      <w:r>
        <w:rPr>
          <w:spacing w:val="-5"/>
          <w:w w:val="105"/>
          <w:sz w:val="21"/>
        </w:rPr>
        <w:t>VCAT </w:t>
      </w:r>
      <w:r>
        <w:rPr>
          <w:w w:val="105"/>
          <w:sz w:val="21"/>
        </w:rPr>
        <w:t>is less costly and less </w:t>
      </w:r>
      <w:r>
        <w:rPr>
          <w:spacing w:val="-3"/>
          <w:w w:val="105"/>
          <w:sz w:val="21"/>
        </w:rPr>
        <w:t>formal. </w:t>
      </w:r>
      <w:r>
        <w:rPr>
          <w:spacing w:val="-4"/>
          <w:w w:val="105"/>
          <w:sz w:val="21"/>
        </w:rPr>
        <w:t>However, </w:t>
      </w:r>
      <w:r>
        <w:rPr>
          <w:spacing w:val="-3"/>
          <w:w w:val="105"/>
          <w:sz w:val="21"/>
        </w:rPr>
        <w:t>for reasons </w:t>
      </w:r>
      <w:r>
        <w:rPr>
          <w:w w:val="105"/>
          <w:sz w:val="21"/>
        </w:rPr>
        <w:t>of </w:t>
      </w:r>
      <w:r>
        <w:rPr>
          <w:spacing w:val="-3"/>
          <w:w w:val="105"/>
          <w:sz w:val="21"/>
        </w:rPr>
        <w:t>clarity, </w:t>
      </w:r>
      <w:r>
        <w:rPr>
          <w:w w:val="105"/>
          <w:sz w:val="21"/>
        </w:rPr>
        <w:t>it </w:t>
      </w:r>
      <w:r>
        <w:rPr>
          <w:spacing w:val="-3"/>
          <w:w w:val="105"/>
          <w:sz w:val="21"/>
        </w:rPr>
        <w:t>may </w:t>
      </w:r>
      <w:r>
        <w:rPr>
          <w:w w:val="105"/>
          <w:sz w:val="21"/>
        </w:rPr>
        <w:t>be </w:t>
      </w:r>
      <w:r>
        <w:rPr>
          <w:spacing w:val="-3"/>
          <w:w w:val="105"/>
          <w:sz w:val="21"/>
        </w:rPr>
        <w:t>useful for </w:t>
      </w:r>
      <w:r>
        <w:rPr>
          <w:w w:val="105"/>
          <w:sz w:val="21"/>
        </w:rPr>
        <w:t>the new Act </w:t>
      </w:r>
      <w:r>
        <w:rPr>
          <w:spacing w:val="-3"/>
          <w:w w:val="105"/>
          <w:sz w:val="21"/>
        </w:rPr>
        <w:t>to </w:t>
      </w:r>
      <w:r>
        <w:rPr>
          <w:w w:val="105"/>
          <w:sz w:val="21"/>
        </w:rPr>
        <w:t>state </w:t>
      </w:r>
      <w:r>
        <w:rPr>
          <w:spacing w:val="-3"/>
          <w:w w:val="105"/>
          <w:sz w:val="21"/>
        </w:rPr>
        <w:t>that </w:t>
      </w:r>
      <w:r>
        <w:rPr>
          <w:spacing w:val="-5"/>
          <w:w w:val="105"/>
          <w:sz w:val="21"/>
        </w:rPr>
        <w:t>VCAT </w:t>
      </w:r>
      <w:r>
        <w:rPr>
          <w:w w:val="105"/>
          <w:sz w:val="21"/>
        </w:rPr>
        <w:t>is ‘to be chiefly responsible’</w:t>
      </w:r>
      <w:r>
        <w:rPr>
          <w:w w:val="105"/>
          <w:position w:val="7"/>
          <w:sz w:val="12"/>
        </w:rPr>
        <w:t>264</w:t>
      </w:r>
      <w:r>
        <w:rPr>
          <w:spacing w:val="15"/>
          <w:w w:val="105"/>
          <w:position w:val="7"/>
          <w:sz w:val="12"/>
        </w:rPr>
        <w:t> </w:t>
      </w:r>
      <w:r>
        <w:rPr>
          <w:spacing w:val="-3"/>
          <w:w w:val="105"/>
          <w:sz w:val="21"/>
        </w:rPr>
        <w:t>for</w:t>
      </w:r>
      <w:r>
        <w:rPr>
          <w:spacing w:val="-7"/>
          <w:w w:val="105"/>
          <w:sz w:val="21"/>
        </w:rPr>
        <w:t> </w:t>
      </w:r>
      <w:r>
        <w:rPr>
          <w:spacing w:val="-3"/>
          <w:w w:val="105"/>
          <w:sz w:val="21"/>
        </w:rPr>
        <w:t>determining</w:t>
      </w:r>
      <w:r>
        <w:rPr>
          <w:spacing w:val="-7"/>
          <w:w w:val="105"/>
          <w:sz w:val="21"/>
        </w:rPr>
        <w:t> </w:t>
      </w:r>
      <w:r>
        <w:rPr>
          <w:w w:val="105"/>
          <w:sz w:val="21"/>
        </w:rPr>
        <w:t>tree</w:t>
      </w:r>
      <w:r>
        <w:rPr>
          <w:spacing w:val="-7"/>
          <w:w w:val="105"/>
          <w:sz w:val="21"/>
        </w:rPr>
        <w:t> </w:t>
      </w:r>
      <w:r>
        <w:rPr>
          <w:spacing w:val="-3"/>
          <w:w w:val="105"/>
          <w:sz w:val="21"/>
        </w:rPr>
        <w:t>disputes</w:t>
      </w:r>
      <w:r>
        <w:rPr>
          <w:spacing w:val="-7"/>
          <w:w w:val="105"/>
          <w:sz w:val="21"/>
        </w:rPr>
        <w:t> </w:t>
      </w:r>
      <w:r>
        <w:rPr>
          <w:w w:val="105"/>
          <w:sz w:val="21"/>
        </w:rPr>
        <w:t>and</w:t>
      </w:r>
      <w:r>
        <w:rPr>
          <w:spacing w:val="-7"/>
          <w:w w:val="105"/>
          <w:sz w:val="21"/>
        </w:rPr>
        <w:t> </w:t>
      </w:r>
      <w:r>
        <w:rPr>
          <w:spacing w:val="-3"/>
          <w:w w:val="105"/>
          <w:sz w:val="21"/>
        </w:rPr>
        <w:t>to</w:t>
      </w:r>
      <w:r>
        <w:rPr>
          <w:spacing w:val="-7"/>
          <w:w w:val="105"/>
          <w:sz w:val="21"/>
        </w:rPr>
        <w:t> </w:t>
      </w:r>
      <w:r>
        <w:rPr>
          <w:spacing w:val="-3"/>
          <w:w w:val="105"/>
          <w:sz w:val="21"/>
        </w:rPr>
        <w:t>introduce</w:t>
      </w:r>
      <w:r>
        <w:rPr>
          <w:spacing w:val="-7"/>
          <w:w w:val="105"/>
          <w:sz w:val="21"/>
        </w:rPr>
        <w:t> </w:t>
      </w:r>
      <w:r>
        <w:rPr>
          <w:w w:val="105"/>
          <w:sz w:val="21"/>
        </w:rPr>
        <w:t>a</w:t>
      </w:r>
      <w:r>
        <w:rPr>
          <w:spacing w:val="-7"/>
          <w:w w:val="105"/>
          <w:sz w:val="21"/>
        </w:rPr>
        <w:t> </w:t>
      </w:r>
      <w:r>
        <w:rPr>
          <w:spacing w:val="-3"/>
          <w:w w:val="105"/>
          <w:sz w:val="21"/>
        </w:rPr>
        <w:t>provision</w:t>
      </w:r>
      <w:r>
        <w:rPr>
          <w:spacing w:val="-7"/>
          <w:w w:val="105"/>
          <w:sz w:val="21"/>
        </w:rPr>
        <w:t> </w:t>
      </w:r>
      <w:r>
        <w:rPr>
          <w:w w:val="105"/>
          <w:sz w:val="21"/>
        </w:rPr>
        <w:t>which</w:t>
      </w:r>
      <w:r>
        <w:rPr>
          <w:spacing w:val="-7"/>
          <w:w w:val="105"/>
          <w:sz w:val="21"/>
        </w:rPr>
        <w:t> </w:t>
      </w:r>
      <w:r>
        <w:rPr>
          <w:w w:val="105"/>
          <w:sz w:val="21"/>
        </w:rPr>
        <w:t>gives</w:t>
      </w:r>
      <w:r>
        <w:rPr>
          <w:spacing w:val="-7"/>
          <w:w w:val="105"/>
          <w:sz w:val="21"/>
        </w:rPr>
        <w:t> </w:t>
      </w:r>
      <w:r>
        <w:rPr>
          <w:w w:val="105"/>
          <w:sz w:val="21"/>
        </w:rPr>
        <w:t>the</w:t>
      </w:r>
    </w:p>
    <w:p>
      <w:pPr>
        <w:pStyle w:val="BodyText"/>
        <w:spacing w:line="242" w:lineRule="auto" w:before="4"/>
        <w:ind w:left="2381" w:right="1810"/>
        <w:rPr>
          <w:sz w:val="12"/>
        </w:rPr>
      </w:pPr>
      <w:r>
        <w:rPr>
          <w:spacing w:val="-3"/>
        </w:rPr>
        <w:t>Supreme Court </w:t>
      </w:r>
      <w:r>
        <w:rPr/>
        <w:t>power </w:t>
      </w:r>
      <w:r>
        <w:rPr>
          <w:spacing w:val="-3"/>
        </w:rPr>
        <w:t>to </w:t>
      </w:r>
      <w:r>
        <w:rPr/>
        <w:t>stay a </w:t>
      </w:r>
      <w:r>
        <w:rPr>
          <w:spacing w:val="-3"/>
        </w:rPr>
        <w:t>proceeding commenced </w:t>
      </w:r>
      <w:r>
        <w:rPr/>
        <w:t>there if it </w:t>
      </w:r>
      <w:r>
        <w:rPr>
          <w:spacing w:val="-3"/>
        </w:rPr>
        <w:t>could  </w:t>
      </w:r>
      <w:r>
        <w:rPr/>
        <w:t>be </w:t>
      </w:r>
      <w:r>
        <w:rPr>
          <w:spacing w:val="-3"/>
        </w:rPr>
        <w:t>heard</w:t>
      </w:r>
      <w:r>
        <w:rPr>
          <w:spacing w:val="41"/>
        </w:rPr>
        <w:t> </w:t>
      </w:r>
      <w:r>
        <w:rPr/>
        <w:t>in </w:t>
      </w:r>
      <w:r>
        <w:rPr>
          <w:spacing w:val="-5"/>
        </w:rPr>
        <w:t>VCAT  </w:t>
      </w:r>
      <w:r>
        <w:rPr/>
        <w:t>and</w:t>
      </w:r>
      <w:r>
        <w:rPr>
          <w:spacing w:val="17"/>
        </w:rPr>
        <w:t> </w:t>
      </w:r>
      <w:r>
        <w:rPr/>
        <w:t>the</w:t>
      </w:r>
      <w:r>
        <w:rPr>
          <w:spacing w:val="17"/>
        </w:rPr>
        <w:t> </w:t>
      </w:r>
      <w:r>
        <w:rPr>
          <w:spacing w:val="-3"/>
        </w:rPr>
        <w:t>Court</w:t>
      </w:r>
      <w:r>
        <w:rPr>
          <w:spacing w:val="17"/>
        </w:rPr>
        <w:t> </w:t>
      </w:r>
      <w:r>
        <w:rPr/>
        <w:t>is</w:t>
      </w:r>
      <w:r>
        <w:rPr>
          <w:spacing w:val="17"/>
        </w:rPr>
        <w:t> </w:t>
      </w:r>
      <w:r>
        <w:rPr/>
        <w:t>satisfied</w:t>
      </w:r>
      <w:r>
        <w:rPr>
          <w:spacing w:val="18"/>
        </w:rPr>
        <w:t> </w:t>
      </w:r>
      <w:r>
        <w:rPr>
          <w:spacing w:val="-3"/>
        </w:rPr>
        <w:t>that</w:t>
      </w:r>
      <w:r>
        <w:rPr>
          <w:spacing w:val="17"/>
        </w:rPr>
        <w:t> </w:t>
      </w:r>
      <w:r>
        <w:rPr/>
        <w:t>it</w:t>
      </w:r>
      <w:r>
        <w:rPr>
          <w:spacing w:val="17"/>
        </w:rPr>
        <w:t> </w:t>
      </w:r>
      <w:r>
        <w:rPr/>
        <w:t>would</w:t>
      </w:r>
      <w:r>
        <w:rPr>
          <w:spacing w:val="17"/>
        </w:rPr>
        <w:t> </w:t>
      </w:r>
      <w:r>
        <w:rPr/>
        <w:t>be</w:t>
      </w:r>
      <w:r>
        <w:rPr>
          <w:spacing w:val="17"/>
        </w:rPr>
        <w:t> </w:t>
      </w:r>
      <w:r>
        <w:rPr/>
        <w:t>more</w:t>
      </w:r>
      <w:r>
        <w:rPr>
          <w:spacing w:val="18"/>
        </w:rPr>
        <w:t> </w:t>
      </w:r>
      <w:r>
        <w:rPr>
          <w:spacing w:val="-3"/>
        </w:rPr>
        <w:t>appropriately</w:t>
      </w:r>
      <w:r>
        <w:rPr>
          <w:spacing w:val="17"/>
        </w:rPr>
        <w:t> </w:t>
      </w:r>
      <w:r>
        <w:rPr/>
        <w:t>dealt</w:t>
      </w:r>
      <w:r>
        <w:rPr>
          <w:spacing w:val="17"/>
        </w:rPr>
        <w:t> </w:t>
      </w:r>
      <w:r>
        <w:rPr/>
        <w:t>with</w:t>
      </w:r>
      <w:r>
        <w:rPr>
          <w:spacing w:val="17"/>
        </w:rPr>
        <w:t> </w:t>
      </w:r>
      <w:r>
        <w:rPr/>
        <w:t>by</w:t>
      </w:r>
      <w:r>
        <w:rPr>
          <w:spacing w:val="18"/>
        </w:rPr>
        <w:t> </w:t>
      </w:r>
      <w:r>
        <w:rPr>
          <w:spacing w:val="-5"/>
        </w:rPr>
        <w:t>VCAT.</w:t>
      </w:r>
      <w:r>
        <w:rPr>
          <w:spacing w:val="-5"/>
          <w:position w:val="7"/>
          <w:sz w:val="12"/>
        </w:rPr>
        <w:t>265</w:t>
      </w:r>
    </w:p>
    <w:p>
      <w:pPr>
        <w:pStyle w:val="BodyText"/>
        <w:spacing w:before="6"/>
      </w:pPr>
      <w:r>
        <w:rPr/>
        <w:pict>
          <v:group style="position:absolute;margin-left:62.362202pt;margin-top:15.075098pt;width:479.1pt;height:83.4pt;mso-position-horizontal-relative:page;mso-position-vertical-relative:paragraph;z-index:6992;mso-wrap-distance-left:0;mso-wrap-distance-right:0" coordorigin="1247,302" coordsize="9582,1668">
            <v:rect style="position:absolute;left:1587;top:301;width:8731;height:1668" filled="true" fillcolor="#dbe0dd" stroked="false">
              <v:fill type="solid"/>
            </v:rect>
            <v:line style="position:absolute" from="1247,1048" to="10828,1048" stroked="true" strokeweight="2.5pt" strokecolor="#ffffff">
              <v:stroke dashstyle="solid"/>
            </v:line>
            <v:shape style="position:absolute;left:1587;top:1073;width:8731;height:896" type="#_x0000_t202" filled="true" fillcolor="#dbe0dd" stroked="false">
              <v:textbox inset="0,0,0,0">
                <w:txbxContent>
                  <w:p>
                    <w:pPr>
                      <w:tabs>
                        <w:tab w:pos="793" w:val="left" w:leader="none"/>
                      </w:tabs>
                      <w:spacing w:line="242" w:lineRule="auto" w:before="208"/>
                      <w:ind w:left="793" w:right="615" w:hanging="567"/>
                      <w:jc w:val="left"/>
                      <w:rPr>
                        <w:sz w:val="21"/>
                      </w:rPr>
                    </w:pPr>
                    <w:r>
                      <w:rPr>
                        <w:b/>
                        <w:w w:val="115"/>
                        <w:sz w:val="21"/>
                      </w:rPr>
                      <w:t>20</w:t>
                      <w:tab/>
                    </w:r>
                    <w:r>
                      <w:rPr>
                        <w:w w:val="115"/>
                        <w:sz w:val="21"/>
                      </w:rPr>
                      <w:t>The Victorian Civil and Administrative </w:t>
                    </w:r>
                    <w:r>
                      <w:rPr>
                        <w:spacing w:val="-4"/>
                        <w:w w:val="115"/>
                        <w:sz w:val="21"/>
                      </w:rPr>
                      <w:t>Tribunal </w:t>
                    </w:r>
                    <w:r>
                      <w:rPr>
                        <w:w w:val="115"/>
                        <w:sz w:val="21"/>
                      </w:rPr>
                      <w:t>should </w:t>
                    </w:r>
                    <w:r>
                      <w:rPr>
                        <w:spacing w:val="-3"/>
                        <w:w w:val="115"/>
                        <w:sz w:val="21"/>
                      </w:rPr>
                      <w:t>have </w:t>
                    </w:r>
                    <w:r>
                      <w:rPr>
                        <w:w w:val="115"/>
                        <w:sz w:val="21"/>
                      </w:rPr>
                      <w:t>original but not exclusive</w:t>
                    </w:r>
                    <w:r>
                      <w:rPr>
                        <w:spacing w:val="-5"/>
                        <w:w w:val="115"/>
                        <w:sz w:val="21"/>
                      </w:rPr>
                      <w:t> </w:t>
                    </w:r>
                    <w:r>
                      <w:rPr>
                        <w:w w:val="115"/>
                        <w:sz w:val="21"/>
                      </w:rPr>
                      <w:t>jurisdiction</w:t>
                    </w:r>
                    <w:r>
                      <w:rPr>
                        <w:spacing w:val="-5"/>
                        <w:w w:val="115"/>
                        <w:sz w:val="21"/>
                      </w:rPr>
                      <w:t> </w:t>
                    </w:r>
                    <w:r>
                      <w:rPr>
                        <w:w w:val="115"/>
                        <w:sz w:val="21"/>
                      </w:rPr>
                      <w:t>to</w:t>
                    </w:r>
                    <w:r>
                      <w:rPr>
                        <w:spacing w:val="-5"/>
                        <w:w w:val="115"/>
                        <w:sz w:val="21"/>
                      </w:rPr>
                      <w:t> </w:t>
                    </w:r>
                    <w:r>
                      <w:rPr>
                        <w:w w:val="115"/>
                        <w:sz w:val="21"/>
                      </w:rPr>
                      <w:t>determine</w:t>
                    </w:r>
                    <w:r>
                      <w:rPr>
                        <w:spacing w:val="-5"/>
                        <w:w w:val="115"/>
                        <w:sz w:val="21"/>
                      </w:rPr>
                      <w:t> </w:t>
                    </w:r>
                    <w:r>
                      <w:rPr>
                        <w:w w:val="115"/>
                        <w:sz w:val="21"/>
                      </w:rPr>
                      <w:t>tree</w:t>
                    </w:r>
                    <w:r>
                      <w:rPr>
                        <w:spacing w:val="-5"/>
                        <w:w w:val="115"/>
                        <w:sz w:val="21"/>
                      </w:rPr>
                      <w:t> </w:t>
                    </w:r>
                    <w:r>
                      <w:rPr>
                        <w:w w:val="115"/>
                        <w:sz w:val="21"/>
                      </w:rPr>
                      <w:t>disputes</w:t>
                    </w:r>
                    <w:r>
                      <w:rPr>
                        <w:spacing w:val="-5"/>
                        <w:w w:val="115"/>
                        <w:sz w:val="21"/>
                      </w:rPr>
                      <w:t> </w:t>
                    </w:r>
                    <w:r>
                      <w:rPr>
                        <w:w w:val="115"/>
                        <w:sz w:val="21"/>
                      </w:rPr>
                      <w:t>under</w:t>
                    </w:r>
                    <w:r>
                      <w:rPr>
                        <w:spacing w:val="-5"/>
                        <w:w w:val="115"/>
                        <w:sz w:val="21"/>
                      </w:rPr>
                      <w:t> </w:t>
                    </w:r>
                    <w:r>
                      <w:rPr>
                        <w:w w:val="115"/>
                        <w:sz w:val="21"/>
                      </w:rPr>
                      <w:t>the</w:t>
                    </w:r>
                    <w:r>
                      <w:rPr>
                        <w:spacing w:val="-5"/>
                        <w:w w:val="115"/>
                        <w:sz w:val="21"/>
                      </w:rPr>
                      <w:t> </w:t>
                    </w:r>
                    <w:r>
                      <w:rPr>
                        <w:w w:val="115"/>
                        <w:sz w:val="21"/>
                      </w:rPr>
                      <w:t>new</w:t>
                    </w:r>
                    <w:r>
                      <w:rPr>
                        <w:spacing w:val="-5"/>
                        <w:w w:val="115"/>
                        <w:sz w:val="21"/>
                      </w:rPr>
                      <w:t> </w:t>
                    </w:r>
                    <w:r>
                      <w:rPr>
                        <w:w w:val="115"/>
                        <w:sz w:val="21"/>
                      </w:rPr>
                      <w:t>Act.</w:t>
                    </w:r>
                  </w:p>
                </w:txbxContent>
              </v:textbox>
              <v:fill type="solid"/>
              <w10:wrap type="none"/>
            </v:shape>
            <v:shape style="position:absolute;left:1587;top:301;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r>
        <w:rPr/>
        <w:pict>
          <v:line style="position:absolute;mso-position-horizontal-relative:page;mso-position-vertical-relative:paragraph;z-index:7016;mso-wrap-distance-left:0;mso-wrap-distance-right:0" from="79.370003pt,14.120875pt" to="515.905003pt,14.12087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5"/>
        </w:rPr>
      </w:pPr>
    </w:p>
    <w:p>
      <w:pPr>
        <w:spacing w:before="0"/>
        <w:ind w:left="720" w:right="0" w:firstLine="0"/>
        <w:jc w:val="left"/>
        <w:rPr>
          <w:b/>
          <w:sz w:val="24"/>
        </w:rPr>
      </w:pPr>
      <w:r>
        <w:rPr>
          <w:b/>
          <w:color w:val="658464"/>
          <w:spacing w:val="-4"/>
          <w:w w:val="110"/>
          <w:sz w:val="24"/>
        </w:rPr>
        <w:t>156</w:t>
      </w:r>
    </w:p>
    <w:p>
      <w:pPr>
        <w:pStyle w:val="ListParagraph"/>
        <w:numPr>
          <w:ilvl w:val="0"/>
          <w:numId w:val="122"/>
        </w:numPr>
        <w:tabs>
          <w:tab w:pos="1230" w:val="left" w:leader="none"/>
          <w:tab w:pos="1231" w:val="left" w:leader="none"/>
        </w:tabs>
        <w:spacing w:line="240" w:lineRule="auto" w:before="48" w:after="0"/>
        <w:ind w:left="1230" w:right="0" w:hanging="794"/>
        <w:jc w:val="left"/>
        <w:rPr>
          <w:sz w:val="13"/>
        </w:rPr>
      </w:pPr>
      <w:r>
        <w:rPr>
          <w:w w:val="108"/>
          <w:sz w:val="13"/>
        </w:rPr>
        <w:br w:type="column"/>
      </w:r>
      <w:r>
        <w:rPr>
          <w:w w:val="105"/>
          <w:sz w:val="13"/>
        </w:rPr>
        <w:t>Submissions 5 </w:t>
      </w:r>
      <w:r>
        <w:rPr>
          <w:spacing w:val="2"/>
          <w:w w:val="105"/>
          <w:sz w:val="13"/>
        </w:rPr>
        <w:t>(Name </w:t>
      </w:r>
      <w:r>
        <w:rPr>
          <w:w w:val="105"/>
          <w:sz w:val="13"/>
        </w:rPr>
        <w:t>withheld), 6 </w:t>
      </w:r>
      <w:r>
        <w:rPr>
          <w:spacing w:val="2"/>
          <w:w w:val="105"/>
          <w:sz w:val="13"/>
        </w:rPr>
        <w:t>(Name</w:t>
      </w:r>
      <w:r>
        <w:rPr>
          <w:spacing w:val="25"/>
          <w:w w:val="105"/>
          <w:sz w:val="13"/>
        </w:rPr>
        <w:t> </w:t>
      </w:r>
      <w:r>
        <w:rPr>
          <w:w w:val="105"/>
          <w:sz w:val="13"/>
        </w:rPr>
        <w:t>withheld).</w:t>
      </w:r>
    </w:p>
    <w:p>
      <w:pPr>
        <w:pStyle w:val="ListParagraph"/>
        <w:numPr>
          <w:ilvl w:val="0"/>
          <w:numId w:val="122"/>
        </w:numPr>
        <w:tabs>
          <w:tab w:pos="1230" w:val="left" w:leader="none"/>
          <w:tab w:pos="1231" w:val="left" w:leader="none"/>
        </w:tabs>
        <w:spacing w:line="240" w:lineRule="auto" w:before="1" w:after="0"/>
        <w:ind w:left="1230" w:right="1631" w:hanging="794"/>
        <w:jc w:val="left"/>
        <w:rPr>
          <w:sz w:val="13"/>
        </w:rPr>
      </w:pPr>
      <w:r>
        <w:rPr>
          <w:i/>
          <w:w w:val="105"/>
          <w:sz w:val="13"/>
        </w:rPr>
        <w:t>Local Government Act 1989 </w:t>
      </w:r>
      <w:r>
        <w:rPr>
          <w:spacing w:val="2"/>
          <w:w w:val="105"/>
          <w:sz w:val="13"/>
        </w:rPr>
        <w:t>(Vic) </w:t>
      </w:r>
      <w:r>
        <w:rPr>
          <w:w w:val="105"/>
          <w:sz w:val="13"/>
        </w:rPr>
        <w:t>s 3C; Victorian Government, </w:t>
      </w:r>
      <w:r>
        <w:rPr>
          <w:i/>
          <w:w w:val="105"/>
          <w:sz w:val="13"/>
        </w:rPr>
        <w:t>Guide to Councils </w:t>
      </w:r>
      <w:r>
        <w:rPr>
          <w:w w:val="105"/>
          <w:sz w:val="13"/>
        </w:rPr>
        <w:t>(Web Page) &lt;</w:t>
      </w:r>
      <w:hyperlink r:id="rId198">
        <w:r>
          <w:rPr>
            <w:w w:val="105"/>
            <w:sz w:val="13"/>
          </w:rPr>
          <w:t>http://knowyourcouncil.vic.gov.au/guide-to-</w:t>
        </w:r>
      </w:hyperlink>
      <w:r>
        <w:rPr>
          <w:w w:val="105"/>
          <w:sz w:val="13"/>
        </w:rPr>
        <w:t> councils/how-councils-work/local-government-in-victoria&gt;.</w:t>
      </w:r>
    </w:p>
    <w:p>
      <w:pPr>
        <w:pStyle w:val="ListParagraph"/>
        <w:numPr>
          <w:ilvl w:val="0"/>
          <w:numId w:val="122"/>
        </w:numPr>
        <w:tabs>
          <w:tab w:pos="1230" w:val="left" w:leader="none"/>
          <w:tab w:pos="1231" w:val="left" w:leader="none"/>
        </w:tabs>
        <w:spacing w:line="240" w:lineRule="auto" w:before="3" w:after="0"/>
        <w:ind w:left="1230" w:right="0" w:hanging="794"/>
        <w:jc w:val="left"/>
        <w:rPr>
          <w:sz w:val="13"/>
        </w:rPr>
      </w:pPr>
      <w:r>
        <w:rPr>
          <w:w w:val="105"/>
          <w:sz w:val="13"/>
        </w:rPr>
        <w:t>See</w:t>
      </w:r>
      <w:r>
        <w:rPr>
          <w:spacing w:val="9"/>
          <w:w w:val="105"/>
          <w:sz w:val="13"/>
        </w:rPr>
        <w:t> </w:t>
      </w:r>
      <w:r>
        <w:rPr>
          <w:i/>
          <w:w w:val="105"/>
          <w:sz w:val="13"/>
        </w:rPr>
        <w:t>Magistrates’</w:t>
      </w:r>
      <w:r>
        <w:rPr>
          <w:i/>
          <w:spacing w:val="9"/>
          <w:w w:val="105"/>
          <w:sz w:val="13"/>
        </w:rPr>
        <w:t> </w:t>
      </w:r>
      <w:r>
        <w:rPr>
          <w:i/>
          <w:w w:val="105"/>
          <w:sz w:val="13"/>
        </w:rPr>
        <w:t>Court</w:t>
      </w:r>
      <w:r>
        <w:rPr>
          <w:i/>
          <w:spacing w:val="9"/>
          <w:w w:val="105"/>
          <w:sz w:val="13"/>
        </w:rPr>
        <w:t> </w:t>
      </w:r>
      <w:r>
        <w:rPr>
          <w:i/>
          <w:w w:val="105"/>
          <w:sz w:val="13"/>
        </w:rPr>
        <w:t>Act</w:t>
      </w:r>
      <w:r>
        <w:rPr>
          <w:i/>
          <w:spacing w:val="9"/>
          <w:w w:val="105"/>
          <w:sz w:val="13"/>
        </w:rPr>
        <w:t> </w:t>
      </w:r>
      <w:r>
        <w:rPr>
          <w:i/>
          <w:w w:val="105"/>
          <w:sz w:val="13"/>
        </w:rPr>
        <w:t>1989</w:t>
      </w:r>
      <w:r>
        <w:rPr>
          <w:i/>
          <w:spacing w:val="10"/>
          <w:w w:val="105"/>
          <w:sz w:val="13"/>
        </w:rPr>
        <w:t> </w:t>
      </w:r>
      <w:r>
        <w:rPr>
          <w:spacing w:val="2"/>
          <w:w w:val="105"/>
          <w:sz w:val="13"/>
        </w:rPr>
        <w:t>(Vic)</w:t>
      </w:r>
      <w:r>
        <w:rPr>
          <w:spacing w:val="9"/>
          <w:w w:val="105"/>
          <w:sz w:val="13"/>
        </w:rPr>
        <w:t> </w:t>
      </w:r>
      <w:r>
        <w:rPr>
          <w:w w:val="105"/>
          <w:sz w:val="13"/>
        </w:rPr>
        <w:t>s</w:t>
      </w:r>
      <w:r>
        <w:rPr>
          <w:spacing w:val="9"/>
          <w:w w:val="105"/>
          <w:sz w:val="13"/>
        </w:rPr>
        <w:t> </w:t>
      </w:r>
      <w:r>
        <w:rPr>
          <w:w w:val="105"/>
          <w:sz w:val="13"/>
        </w:rPr>
        <w:t>100;</w:t>
      </w:r>
      <w:r>
        <w:rPr>
          <w:spacing w:val="9"/>
          <w:w w:val="105"/>
          <w:sz w:val="13"/>
        </w:rPr>
        <w:t> </w:t>
      </w:r>
      <w:r>
        <w:rPr>
          <w:i/>
          <w:w w:val="105"/>
          <w:sz w:val="13"/>
        </w:rPr>
        <w:t>County</w:t>
      </w:r>
      <w:r>
        <w:rPr>
          <w:i/>
          <w:spacing w:val="10"/>
          <w:w w:val="105"/>
          <w:sz w:val="13"/>
        </w:rPr>
        <w:t> </w:t>
      </w:r>
      <w:r>
        <w:rPr>
          <w:i/>
          <w:w w:val="105"/>
          <w:sz w:val="13"/>
        </w:rPr>
        <w:t>Court</w:t>
      </w:r>
      <w:r>
        <w:rPr>
          <w:i/>
          <w:spacing w:val="9"/>
          <w:w w:val="105"/>
          <w:sz w:val="13"/>
        </w:rPr>
        <w:t> </w:t>
      </w:r>
      <w:r>
        <w:rPr>
          <w:i/>
          <w:w w:val="105"/>
          <w:sz w:val="13"/>
        </w:rPr>
        <w:t>Act</w:t>
      </w:r>
      <w:r>
        <w:rPr>
          <w:i/>
          <w:spacing w:val="9"/>
          <w:w w:val="105"/>
          <w:sz w:val="13"/>
        </w:rPr>
        <w:t> </w:t>
      </w:r>
      <w:r>
        <w:rPr>
          <w:i/>
          <w:w w:val="105"/>
          <w:sz w:val="13"/>
        </w:rPr>
        <w:t>1958</w:t>
      </w:r>
      <w:r>
        <w:rPr>
          <w:i/>
          <w:spacing w:val="9"/>
          <w:w w:val="105"/>
          <w:sz w:val="13"/>
        </w:rPr>
        <w:t> </w:t>
      </w:r>
      <w:r>
        <w:rPr>
          <w:spacing w:val="2"/>
          <w:w w:val="105"/>
          <w:sz w:val="13"/>
        </w:rPr>
        <w:t>(Vic)</w:t>
      </w:r>
      <w:r>
        <w:rPr>
          <w:spacing w:val="10"/>
          <w:w w:val="105"/>
          <w:sz w:val="13"/>
        </w:rPr>
        <w:t> </w:t>
      </w:r>
      <w:r>
        <w:rPr>
          <w:w w:val="105"/>
          <w:sz w:val="13"/>
        </w:rPr>
        <w:t>s</w:t>
      </w:r>
      <w:r>
        <w:rPr>
          <w:spacing w:val="9"/>
          <w:w w:val="105"/>
          <w:sz w:val="13"/>
        </w:rPr>
        <w:t> </w:t>
      </w:r>
      <w:r>
        <w:rPr>
          <w:w w:val="105"/>
          <w:sz w:val="13"/>
        </w:rPr>
        <w:t>37(1).</w:t>
      </w:r>
    </w:p>
    <w:p>
      <w:pPr>
        <w:pStyle w:val="ListParagraph"/>
        <w:numPr>
          <w:ilvl w:val="0"/>
          <w:numId w:val="122"/>
        </w:numPr>
        <w:tabs>
          <w:tab w:pos="1230" w:val="left" w:leader="none"/>
          <w:tab w:pos="1231" w:val="left" w:leader="none"/>
        </w:tabs>
        <w:spacing w:line="240" w:lineRule="auto" w:before="1" w:after="0"/>
        <w:ind w:left="1230" w:right="1838" w:hanging="794"/>
        <w:jc w:val="left"/>
        <w:rPr>
          <w:sz w:val="13"/>
        </w:rPr>
      </w:pPr>
      <w:r>
        <w:rPr>
          <w:sz w:val="13"/>
        </w:rPr>
        <w:t>Section 85(1) of the </w:t>
      </w:r>
      <w:r>
        <w:rPr>
          <w:i/>
          <w:sz w:val="13"/>
        </w:rPr>
        <w:t>Constitution Act </w:t>
      </w:r>
      <w:r>
        <w:rPr>
          <w:i/>
          <w:spacing w:val="-4"/>
          <w:sz w:val="13"/>
        </w:rPr>
        <w:t>1975  </w:t>
      </w:r>
      <w:r>
        <w:rPr>
          <w:spacing w:val="2"/>
          <w:sz w:val="13"/>
        </w:rPr>
        <w:t>(Vic) </w:t>
      </w:r>
      <w:r>
        <w:rPr>
          <w:sz w:val="13"/>
        </w:rPr>
        <w:t>provides that, subject to that Act, the Supreme Court has ‘unlimited jurisdiction’, so the   Supreme Court will have jurisdiction to determine tree disputes unless the processes provided for in sections  </w:t>
      </w:r>
      <w:r>
        <w:rPr>
          <w:spacing w:val="2"/>
          <w:sz w:val="13"/>
        </w:rPr>
        <w:t>18(2A)  </w:t>
      </w:r>
      <w:r>
        <w:rPr>
          <w:sz w:val="13"/>
        </w:rPr>
        <w:t>and  </w:t>
      </w:r>
      <w:r>
        <w:rPr>
          <w:spacing w:val="3"/>
          <w:sz w:val="13"/>
        </w:rPr>
        <w:t>85(5)  </w:t>
      </w:r>
      <w:r>
        <w:rPr>
          <w:sz w:val="13"/>
        </w:rPr>
        <w:t>of  the Victorian</w:t>
      </w:r>
      <w:r>
        <w:rPr>
          <w:spacing w:val="7"/>
          <w:sz w:val="13"/>
        </w:rPr>
        <w:t> </w:t>
      </w:r>
      <w:r>
        <w:rPr>
          <w:sz w:val="13"/>
        </w:rPr>
        <w:t>Constitution</w:t>
      </w:r>
      <w:r>
        <w:rPr>
          <w:spacing w:val="8"/>
          <w:sz w:val="13"/>
        </w:rPr>
        <w:t> </w:t>
      </w:r>
      <w:r>
        <w:rPr>
          <w:sz w:val="13"/>
        </w:rPr>
        <w:t>are</w:t>
      </w:r>
      <w:r>
        <w:rPr>
          <w:spacing w:val="8"/>
          <w:sz w:val="13"/>
        </w:rPr>
        <w:t> </w:t>
      </w:r>
      <w:r>
        <w:rPr>
          <w:sz w:val="13"/>
        </w:rPr>
        <w:t>followed</w:t>
      </w:r>
      <w:r>
        <w:rPr>
          <w:spacing w:val="8"/>
          <w:sz w:val="13"/>
        </w:rPr>
        <w:t> </w:t>
      </w:r>
      <w:r>
        <w:rPr>
          <w:sz w:val="13"/>
        </w:rPr>
        <w:t>to</w:t>
      </w:r>
      <w:r>
        <w:rPr>
          <w:spacing w:val="8"/>
          <w:sz w:val="13"/>
        </w:rPr>
        <w:t> </w:t>
      </w:r>
      <w:r>
        <w:rPr>
          <w:sz w:val="13"/>
        </w:rPr>
        <w:t>render</w:t>
      </w:r>
      <w:r>
        <w:rPr>
          <w:spacing w:val="8"/>
          <w:sz w:val="13"/>
        </w:rPr>
        <w:t> </w:t>
      </w:r>
      <w:r>
        <w:rPr>
          <w:sz w:val="13"/>
        </w:rPr>
        <w:t>VCAT’s</w:t>
      </w:r>
      <w:r>
        <w:rPr>
          <w:spacing w:val="8"/>
          <w:sz w:val="13"/>
        </w:rPr>
        <w:t> </w:t>
      </w:r>
      <w:r>
        <w:rPr>
          <w:sz w:val="13"/>
        </w:rPr>
        <w:t>jurisdiction</w:t>
      </w:r>
      <w:r>
        <w:rPr>
          <w:spacing w:val="8"/>
          <w:sz w:val="13"/>
        </w:rPr>
        <w:t> </w:t>
      </w:r>
      <w:r>
        <w:rPr>
          <w:sz w:val="13"/>
        </w:rPr>
        <w:t>exclusive.</w:t>
      </w:r>
    </w:p>
    <w:p>
      <w:pPr>
        <w:pStyle w:val="ListParagraph"/>
        <w:numPr>
          <w:ilvl w:val="0"/>
          <w:numId w:val="122"/>
        </w:numPr>
        <w:tabs>
          <w:tab w:pos="1230" w:val="left" w:leader="none"/>
          <w:tab w:pos="1231" w:val="left" w:leader="none"/>
        </w:tabs>
        <w:spacing w:line="240" w:lineRule="auto" w:before="4" w:after="0"/>
        <w:ind w:left="1230" w:right="0" w:hanging="794"/>
        <w:jc w:val="left"/>
        <w:rPr>
          <w:sz w:val="13"/>
        </w:rPr>
      </w:pPr>
      <w:r>
        <w:rPr>
          <w:w w:val="105"/>
          <w:sz w:val="13"/>
        </w:rPr>
        <w:t>See,</w:t>
      </w:r>
      <w:r>
        <w:rPr>
          <w:spacing w:val="4"/>
          <w:w w:val="105"/>
          <w:sz w:val="13"/>
        </w:rPr>
        <w:t> </w:t>
      </w:r>
      <w:r>
        <w:rPr>
          <w:w w:val="105"/>
          <w:sz w:val="13"/>
        </w:rPr>
        <w:t>eg,</w:t>
      </w:r>
      <w:r>
        <w:rPr>
          <w:spacing w:val="5"/>
          <w:w w:val="105"/>
          <w:sz w:val="13"/>
        </w:rPr>
        <w:t> </w:t>
      </w:r>
      <w:r>
        <w:rPr>
          <w:i/>
          <w:w w:val="105"/>
          <w:sz w:val="13"/>
        </w:rPr>
        <w:t>Domestic</w:t>
      </w:r>
      <w:r>
        <w:rPr>
          <w:i/>
          <w:spacing w:val="5"/>
          <w:w w:val="105"/>
          <w:sz w:val="13"/>
        </w:rPr>
        <w:t> </w:t>
      </w:r>
      <w:r>
        <w:rPr>
          <w:i/>
          <w:w w:val="105"/>
          <w:sz w:val="13"/>
        </w:rPr>
        <w:t>Building</w:t>
      </w:r>
      <w:r>
        <w:rPr>
          <w:i/>
          <w:spacing w:val="5"/>
          <w:w w:val="105"/>
          <w:sz w:val="13"/>
        </w:rPr>
        <w:t> </w:t>
      </w:r>
      <w:r>
        <w:rPr>
          <w:i/>
          <w:w w:val="105"/>
          <w:sz w:val="13"/>
        </w:rPr>
        <w:t>Contracts</w:t>
      </w:r>
      <w:r>
        <w:rPr>
          <w:i/>
          <w:spacing w:val="5"/>
          <w:w w:val="105"/>
          <w:sz w:val="13"/>
        </w:rPr>
        <w:t> </w:t>
      </w:r>
      <w:r>
        <w:rPr>
          <w:i/>
          <w:w w:val="105"/>
          <w:sz w:val="13"/>
        </w:rPr>
        <w:t>Act</w:t>
      </w:r>
      <w:r>
        <w:rPr>
          <w:i/>
          <w:spacing w:val="5"/>
          <w:w w:val="105"/>
          <w:sz w:val="13"/>
        </w:rPr>
        <w:t> </w:t>
      </w:r>
      <w:r>
        <w:rPr>
          <w:i/>
          <w:w w:val="105"/>
          <w:sz w:val="13"/>
        </w:rPr>
        <w:t>1995</w:t>
      </w:r>
      <w:r>
        <w:rPr>
          <w:i/>
          <w:spacing w:val="4"/>
          <w:w w:val="105"/>
          <w:sz w:val="13"/>
        </w:rPr>
        <w:t> </w:t>
      </w:r>
      <w:r>
        <w:rPr>
          <w:spacing w:val="2"/>
          <w:w w:val="105"/>
          <w:sz w:val="13"/>
        </w:rPr>
        <w:t>(Vic)</w:t>
      </w:r>
      <w:r>
        <w:rPr>
          <w:spacing w:val="5"/>
          <w:w w:val="105"/>
          <w:sz w:val="13"/>
        </w:rPr>
        <w:t> </w:t>
      </w:r>
      <w:r>
        <w:rPr>
          <w:w w:val="105"/>
          <w:sz w:val="13"/>
        </w:rPr>
        <w:t>s</w:t>
      </w:r>
      <w:r>
        <w:rPr>
          <w:spacing w:val="5"/>
          <w:w w:val="105"/>
          <w:sz w:val="13"/>
        </w:rPr>
        <w:t> </w:t>
      </w:r>
      <w:r>
        <w:rPr>
          <w:spacing w:val="-4"/>
          <w:w w:val="105"/>
          <w:sz w:val="13"/>
        </w:rPr>
        <w:t>57.</w:t>
      </w:r>
    </w:p>
    <w:p>
      <w:pPr>
        <w:pStyle w:val="ListParagraph"/>
        <w:numPr>
          <w:ilvl w:val="0"/>
          <w:numId w:val="122"/>
        </w:numPr>
        <w:tabs>
          <w:tab w:pos="1229" w:val="left" w:leader="none"/>
          <w:tab w:pos="1230" w:val="left" w:leader="none"/>
        </w:tabs>
        <w:spacing w:line="240" w:lineRule="auto" w:before="2" w:after="0"/>
        <w:ind w:left="1230" w:right="1679" w:hanging="794"/>
        <w:jc w:val="left"/>
        <w:rPr>
          <w:sz w:val="13"/>
        </w:rPr>
      </w:pPr>
      <w:r>
        <w:rPr>
          <w:w w:val="105"/>
          <w:sz w:val="13"/>
        </w:rPr>
        <w:t>See, similarly, </w:t>
      </w:r>
      <w:r>
        <w:rPr>
          <w:i/>
          <w:w w:val="105"/>
          <w:sz w:val="13"/>
        </w:rPr>
        <w:t>Australian Consumer Law and Fair Trading Act </w:t>
      </w:r>
      <w:r>
        <w:rPr>
          <w:i/>
          <w:spacing w:val="-4"/>
          <w:w w:val="105"/>
          <w:sz w:val="13"/>
        </w:rPr>
        <w:t>2012  </w:t>
      </w:r>
      <w:r>
        <w:rPr>
          <w:spacing w:val="2"/>
          <w:w w:val="105"/>
          <w:sz w:val="13"/>
        </w:rPr>
        <w:t>(Vic) </w:t>
      </w:r>
      <w:r>
        <w:rPr>
          <w:w w:val="105"/>
          <w:sz w:val="13"/>
        </w:rPr>
        <w:t>s 188; </w:t>
      </w:r>
      <w:r>
        <w:rPr>
          <w:i/>
          <w:w w:val="105"/>
          <w:sz w:val="13"/>
        </w:rPr>
        <w:t>Domestic Building Contracts Act 1995 </w:t>
      </w:r>
      <w:r>
        <w:rPr>
          <w:spacing w:val="2"/>
          <w:w w:val="105"/>
          <w:sz w:val="13"/>
        </w:rPr>
        <w:t>(Vic) </w:t>
      </w:r>
      <w:r>
        <w:rPr>
          <w:w w:val="105"/>
          <w:sz w:val="13"/>
        </w:rPr>
        <w:t>s </w:t>
      </w:r>
      <w:r>
        <w:rPr>
          <w:spacing w:val="-4"/>
          <w:w w:val="105"/>
          <w:sz w:val="13"/>
        </w:rPr>
        <w:t>57.  </w:t>
      </w:r>
      <w:r>
        <w:rPr>
          <w:w w:val="105"/>
          <w:sz w:val="13"/>
        </w:rPr>
        <w:t>Depending</w:t>
      </w:r>
      <w:r>
        <w:rPr>
          <w:spacing w:val="30"/>
          <w:w w:val="105"/>
          <w:sz w:val="13"/>
        </w:rPr>
        <w:t> </w:t>
      </w:r>
      <w:r>
        <w:rPr>
          <w:w w:val="105"/>
          <w:sz w:val="13"/>
        </w:rPr>
        <w:t>on how such a provision is drafted, it might itself be considered to limit the jurisdiction of the Supreme Court: see </w:t>
      </w:r>
      <w:r>
        <w:rPr>
          <w:i/>
          <w:w w:val="105"/>
          <w:sz w:val="13"/>
        </w:rPr>
        <w:t>Australian Consumer     </w:t>
      </w:r>
      <w:r>
        <w:rPr>
          <w:i/>
          <w:w w:val="105"/>
          <w:sz w:val="13"/>
        </w:rPr>
        <w:t>Law and Fair Trading Act </w:t>
      </w:r>
      <w:r>
        <w:rPr>
          <w:i/>
          <w:spacing w:val="-4"/>
          <w:w w:val="105"/>
          <w:sz w:val="13"/>
        </w:rPr>
        <w:t>2012  </w:t>
      </w:r>
      <w:r>
        <w:rPr>
          <w:spacing w:val="2"/>
          <w:w w:val="105"/>
          <w:sz w:val="13"/>
        </w:rPr>
        <w:t>(Vic) </w:t>
      </w:r>
      <w:r>
        <w:rPr>
          <w:w w:val="105"/>
          <w:sz w:val="13"/>
        </w:rPr>
        <w:t>s 231; </w:t>
      </w:r>
      <w:r>
        <w:rPr>
          <w:i/>
          <w:w w:val="105"/>
          <w:sz w:val="13"/>
        </w:rPr>
        <w:t>Domestic Building Contracts Act 1995 </w:t>
      </w:r>
      <w:r>
        <w:rPr>
          <w:spacing w:val="2"/>
          <w:w w:val="105"/>
          <w:sz w:val="13"/>
        </w:rPr>
        <w:t>(Vic) </w:t>
      </w:r>
      <w:r>
        <w:rPr>
          <w:w w:val="105"/>
          <w:sz w:val="13"/>
        </w:rPr>
        <w:t>s 134. This means that it will not be effective unless</w:t>
      </w:r>
      <w:r>
        <w:rPr>
          <w:spacing w:val="30"/>
          <w:w w:val="105"/>
          <w:sz w:val="13"/>
        </w:rPr>
        <w:t> </w:t>
      </w:r>
      <w:r>
        <w:rPr>
          <w:w w:val="105"/>
          <w:sz w:val="13"/>
        </w:rPr>
        <w:t>the process prescribed in section 85 of the Constitution Act is followed, including that the third reading of the Bill is passed by an absolute majority of both Houses of Parliament: </w:t>
      </w:r>
      <w:r>
        <w:rPr>
          <w:i/>
          <w:w w:val="105"/>
          <w:sz w:val="13"/>
        </w:rPr>
        <w:t>Constitution Act </w:t>
      </w:r>
      <w:r>
        <w:rPr>
          <w:i/>
          <w:spacing w:val="-4"/>
          <w:w w:val="105"/>
          <w:sz w:val="13"/>
        </w:rPr>
        <w:t>1975  </w:t>
      </w:r>
      <w:r>
        <w:rPr>
          <w:spacing w:val="2"/>
          <w:w w:val="105"/>
          <w:sz w:val="13"/>
        </w:rPr>
        <w:t>(Vic) </w:t>
      </w:r>
      <w:r>
        <w:rPr>
          <w:w w:val="105"/>
          <w:sz w:val="13"/>
        </w:rPr>
        <w:t>s </w:t>
      </w:r>
      <w:r>
        <w:rPr>
          <w:spacing w:val="2"/>
          <w:w w:val="105"/>
          <w:sz w:val="13"/>
        </w:rPr>
        <w:t>18(2A). </w:t>
      </w:r>
      <w:r>
        <w:rPr>
          <w:w w:val="105"/>
          <w:sz w:val="13"/>
        </w:rPr>
        <w:t>Nevertheless, on balance the Commission is of the view that   this</w:t>
      </w:r>
      <w:r>
        <w:rPr>
          <w:spacing w:val="4"/>
          <w:w w:val="105"/>
          <w:sz w:val="13"/>
        </w:rPr>
        <w:t> </w:t>
      </w:r>
      <w:r>
        <w:rPr>
          <w:w w:val="105"/>
          <w:sz w:val="13"/>
        </w:rPr>
        <w:t>approach</w:t>
      </w:r>
      <w:r>
        <w:rPr>
          <w:spacing w:val="5"/>
          <w:w w:val="105"/>
          <w:sz w:val="13"/>
        </w:rPr>
        <w:t> </w:t>
      </w:r>
      <w:r>
        <w:rPr>
          <w:w w:val="105"/>
          <w:sz w:val="13"/>
        </w:rPr>
        <w:t>is</w:t>
      </w:r>
      <w:r>
        <w:rPr>
          <w:spacing w:val="5"/>
          <w:w w:val="105"/>
          <w:sz w:val="13"/>
        </w:rPr>
        <w:t> </w:t>
      </w:r>
      <w:r>
        <w:rPr>
          <w:w w:val="105"/>
          <w:sz w:val="13"/>
        </w:rPr>
        <w:t>sensible</w:t>
      </w:r>
      <w:r>
        <w:rPr>
          <w:spacing w:val="4"/>
          <w:w w:val="105"/>
          <w:sz w:val="13"/>
        </w:rPr>
        <w:t> </w:t>
      </w:r>
      <w:r>
        <w:rPr>
          <w:w w:val="105"/>
          <w:sz w:val="13"/>
        </w:rPr>
        <w:t>even</w:t>
      </w:r>
      <w:r>
        <w:rPr>
          <w:spacing w:val="5"/>
          <w:w w:val="105"/>
          <w:sz w:val="13"/>
        </w:rPr>
        <w:t> </w:t>
      </w:r>
      <w:r>
        <w:rPr>
          <w:w w:val="105"/>
          <w:sz w:val="13"/>
        </w:rPr>
        <w:t>if</w:t>
      </w:r>
      <w:r>
        <w:rPr>
          <w:spacing w:val="5"/>
          <w:w w:val="105"/>
          <w:sz w:val="13"/>
        </w:rPr>
        <w:t> </w:t>
      </w:r>
      <w:r>
        <w:rPr>
          <w:w w:val="105"/>
          <w:sz w:val="13"/>
        </w:rPr>
        <w:t>it</w:t>
      </w:r>
      <w:r>
        <w:rPr>
          <w:spacing w:val="4"/>
          <w:w w:val="105"/>
          <w:sz w:val="13"/>
        </w:rPr>
        <w:t> </w:t>
      </w:r>
      <w:r>
        <w:rPr>
          <w:w w:val="105"/>
          <w:sz w:val="13"/>
        </w:rPr>
        <w:t>may</w:t>
      </w:r>
      <w:r>
        <w:rPr>
          <w:spacing w:val="5"/>
          <w:w w:val="105"/>
          <w:sz w:val="13"/>
        </w:rPr>
        <w:t> </w:t>
      </w:r>
      <w:r>
        <w:rPr>
          <w:w w:val="105"/>
          <w:sz w:val="13"/>
        </w:rPr>
        <w:t>attract</w:t>
      </w:r>
      <w:r>
        <w:rPr>
          <w:spacing w:val="5"/>
          <w:w w:val="105"/>
          <w:sz w:val="13"/>
        </w:rPr>
        <w:t> </w:t>
      </w:r>
      <w:r>
        <w:rPr>
          <w:w w:val="105"/>
          <w:sz w:val="13"/>
        </w:rPr>
        <w:t>the</w:t>
      </w:r>
      <w:r>
        <w:rPr>
          <w:spacing w:val="4"/>
          <w:w w:val="105"/>
          <w:sz w:val="13"/>
        </w:rPr>
        <w:t> </w:t>
      </w:r>
      <w:r>
        <w:rPr>
          <w:w w:val="105"/>
          <w:sz w:val="13"/>
        </w:rPr>
        <w:t>operation</w:t>
      </w:r>
      <w:r>
        <w:rPr>
          <w:spacing w:val="5"/>
          <w:w w:val="105"/>
          <w:sz w:val="13"/>
        </w:rPr>
        <w:t> </w:t>
      </w:r>
      <w:r>
        <w:rPr>
          <w:w w:val="105"/>
          <w:sz w:val="13"/>
        </w:rPr>
        <w:t>of</w:t>
      </w:r>
      <w:r>
        <w:rPr>
          <w:spacing w:val="5"/>
          <w:w w:val="105"/>
          <w:sz w:val="13"/>
        </w:rPr>
        <w:t> </w:t>
      </w:r>
      <w:r>
        <w:rPr>
          <w:w w:val="105"/>
          <w:sz w:val="13"/>
        </w:rPr>
        <w:t>section</w:t>
      </w:r>
      <w:r>
        <w:rPr>
          <w:spacing w:val="5"/>
          <w:w w:val="105"/>
          <w:sz w:val="13"/>
        </w:rPr>
        <w:t> </w:t>
      </w:r>
      <w:r>
        <w:rPr>
          <w:w w:val="105"/>
          <w:sz w:val="13"/>
        </w:rPr>
        <w:t>85</w:t>
      </w:r>
      <w:r>
        <w:rPr>
          <w:spacing w:val="4"/>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Victorian</w:t>
      </w:r>
      <w:r>
        <w:rPr>
          <w:spacing w:val="4"/>
          <w:w w:val="105"/>
          <w:sz w:val="13"/>
        </w:rPr>
        <w:t> </w:t>
      </w:r>
      <w:r>
        <w:rPr>
          <w:w w:val="105"/>
          <w:sz w:val="13"/>
        </w:rPr>
        <w:t>Constitution.</w:t>
      </w:r>
    </w:p>
    <w:p>
      <w:pPr>
        <w:spacing w:after="0" w:line="240" w:lineRule="auto"/>
        <w:jc w:val="left"/>
        <w:rPr>
          <w:sz w:val="13"/>
        </w:rPr>
        <w:sectPr>
          <w:type w:val="continuous"/>
          <w:pgSz w:w="11910" w:h="16840"/>
          <w:pgMar w:top="300" w:bottom="280" w:left="0" w:right="0"/>
          <w:cols w:num="2" w:equalWidth="0">
            <w:col w:w="1112" w:space="40"/>
            <w:col w:w="10758"/>
          </w:cols>
        </w:sectPr>
      </w:pPr>
    </w:p>
    <w:p>
      <w:pPr>
        <w:pStyle w:val="BodyText"/>
        <w:rPr>
          <w:sz w:val="20"/>
        </w:rPr>
      </w:pPr>
    </w:p>
    <w:p>
      <w:pPr>
        <w:pStyle w:val="BodyText"/>
        <w:spacing w:before="11"/>
        <w:rPr>
          <w:sz w:val="17"/>
        </w:rPr>
      </w:pPr>
    </w:p>
    <w:p>
      <w:pPr>
        <w:pStyle w:val="Heading5"/>
        <w:spacing w:before="96"/>
      </w:pPr>
      <w:bookmarkStart w:name="_bookmark82" w:id="177"/>
      <w:bookmarkEnd w:id="177"/>
      <w:r>
        <w:rPr>
          <w:b w:val="0"/>
        </w:rPr>
      </w:r>
      <w:r>
        <w:rPr>
          <w:w w:val="110"/>
        </w:rPr>
        <w:t>Diversity jurisdiction</w:t>
      </w:r>
    </w:p>
    <w:p>
      <w:pPr>
        <w:pStyle w:val="ListParagraph"/>
        <w:numPr>
          <w:ilvl w:val="1"/>
          <w:numId w:val="114"/>
        </w:numPr>
        <w:tabs>
          <w:tab w:pos="2381" w:val="left" w:leader="none"/>
          <w:tab w:pos="2382" w:val="left" w:leader="none"/>
        </w:tabs>
        <w:spacing w:line="242" w:lineRule="auto" w:before="137" w:after="0"/>
        <w:ind w:left="2381" w:right="1661" w:hanging="794"/>
        <w:jc w:val="left"/>
        <w:rPr>
          <w:sz w:val="21"/>
        </w:rPr>
      </w:pPr>
      <w:r>
        <w:rPr>
          <w:sz w:val="21"/>
        </w:rPr>
        <w:t>Given </w:t>
      </w:r>
      <w:r>
        <w:rPr>
          <w:spacing w:val="-3"/>
          <w:sz w:val="21"/>
        </w:rPr>
        <w:t>that </w:t>
      </w:r>
      <w:r>
        <w:rPr>
          <w:spacing w:val="-5"/>
          <w:sz w:val="21"/>
        </w:rPr>
        <w:t>VCAT </w:t>
      </w:r>
      <w:r>
        <w:rPr>
          <w:sz w:val="21"/>
        </w:rPr>
        <w:t>is recommended as the </w:t>
      </w:r>
      <w:r>
        <w:rPr>
          <w:spacing w:val="-3"/>
          <w:sz w:val="21"/>
        </w:rPr>
        <w:t>appropriate forum  </w:t>
      </w:r>
      <w:r>
        <w:rPr>
          <w:sz w:val="21"/>
        </w:rPr>
        <w:t>in which tree </w:t>
      </w:r>
      <w:r>
        <w:rPr>
          <w:spacing w:val="-3"/>
          <w:sz w:val="21"/>
        </w:rPr>
        <w:t>disputes</w:t>
      </w:r>
      <w:r>
        <w:rPr>
          <w:spacing w:val="41"/>
          <w:sz w:val="21"/>
        </w:rPr>
        <w:t> </w:t>
      </w:r>
      <w:r>
        <w:rPr>
          <w:sz w:val="21"/>
        </w:rPr>
        <w:t>should  be</w:t>
      </w:r>
      <w:r>
        <w:rPr>
          <w:spacing w:val="10"/>
          <w:sz w:val="21"/>
        </w:rPr>
        <w:t> </w:t>
      </w:r>
      <w:r>
        <w:rPr>
          <w:spacing w:val="-3"/>
          <w:sz w:val="21"/>
        </w:rPr>
        <w:t>adjudicated,</w:t>
      </w:r>
      <w:r>
        <w:rPr>
          <w:spacing w:val="11"/>
          <w:sz w:val="21"/>
        </w:rPr>
        <w:t> </w:t>
      </w:r>
      <w:r>
        <w:rPr>
          <w:sz w:val="21"/>
        </w:rPr>
        <w:t>it</w:t>
      </w:r>
      <w:r>
        <w:rPr>
          <w:spacing w:val="11"/>
          <w:sz w:val="21"/>
        </w:rPr>
        <w:t> </w:t>
      </w:r>
      <w:r>
        <w:rPr>
          <w:sz w:val="21"/>
        </w:rPr>
        <w:t>is</w:t>
      </w:r>
      <w:r>
        <w:rPr>
          <w:spacing w:val="10"/>
          <w:sz w:val="21"/>
        </w:rPr>
        <w:t> </w:t>
      </w:r>
      <w:r>
        <w:rPr>
          <w:sz w:val="21"/>
        </w:rPr>
        <w:t>necessary</w:t>
      </w:r>
      <w:r>
        <w:rPr>
          <w:spacing w:val="11"/>
          <w:sz w:val="21"/>
        </w:rPr>
        <w:t> </w:t>
      </w:r>
      <w:r>
        <w:rPr>
          <w:spacing w:val="-3"/>
          <w:sz w:val="21"/>
        </w:rPr>
        <w:t>to</w:t>
      </w:r>
      <w:r>
        <w:rPr>
          <w:spacing w:val="11"/>
          <w:sz w:val="21"/>
        </w:rPr>
        <w:t> </w:t>
      </w:r>
      <w:r>
        <w:rPr>
          <w:spacing w:val="-3"/>
          <w:sz w:val="21"/>
        </w:rPr>
        <w:t>note</w:t>
      </w:r>
      <w:r>
        <w:rPr>
          <w:spacing w:val="11"/>
          <w:sz w:val="21"/>
        </w:rPr>
        <w:t> </w:t>
      </w:r>
      <w:r>
        <w:rPr>
          <w:spacing w:val="-3"/>
          <w:sz w:val="21"/>
        </w:rPr>
        <w:t>that</w:t>
      </w:r>
      <w:r>
        <w:rPr>
          <w:spacing w:val="10"/>
          <w:sz w:val="21"/>
        </w:rPr>
        <w:t> </w:t>
      </w:r>
      <w:r>
        <w:rPr>
          <w:sz w:val="21"/>
        </w:rPr>
        <w:t>diversity</w:t>
      </w:r>
      <w:r>
        <w:rPr>
          <w:spacing w:val="11"/>
          <w:sz w:val="21"/>
        </w:rPr>
        <w:t> </w:t>
      </w:r>
      <w:r>
        <w:rPr>
          <w:sz w:val="21"/>
        </w:rPr>
        <w:t>jurisdiction</w:t>
      </w:r>
      <w:r>
        <w:rPr>
          <w:spacing w:val="11"/>
          <w:sz w:val="21"/>
        </w:rPr>
        <w:t> </w:t>
      </w:r>
      <w:r>
        <w:rPr>
          <w:sz w:val="21"/>
        </w:rPr>
        <w:t>issues</w:t>
      </w:r>
      <w:r>
        <w:rPr>
          <w:spacing w:val="10"/>
          <w:sz w:val="21"/>
        </w:rPr>
        <w:t> </w:t>
      </w:r>
      <w:r>
        <w:rPr>
          <w:spacing w:val="-3"/>
          <w:sz w:val="21"/>
        </w:rPr>
        <w:t>may</w:t>
      </w:r>
      <w:r>
        <w:rPr>
          <w:spacing w:val="11"/>
          <w:sz w:val="21"/>
        </w:rPr>
        <w:t> </w:t>
      </w:r>
      <w:r>
        <w:rPr>
          <w:spacing w:val="-3"/>
          <w:sz w:val="21"/>
        </w:rPr>
        <w:t>arise.</w:t>
      </w:r>
    </w:p>
    <w:p>
      <w:pPr>
        <w:pStyle w:val="ListParagraph"/>
        <w:numPr>
          <w:ilvl w:val="1"/>
          <w:numId w:val="114"/>
        </w:numPr>
        <w:tabs>
          <w:tab w:pos="2380" w:val="left" w:leader="none"/>
          <w:tab w:pos="2381" w:val="left" w:leader="none"/>
        </w:tabs>
        <w:spacing w:line="242" w:lineRule="auto" w:before="122" w:after="0"/>
        <w:ind w:left="2381" w:right="1737" w:hanging="794"/>
        <w:jc w:val="left"/>
        <w:rPr>
          <w:sz w:val="21"/>
        </w:rPr>
      </w:pPr>
      <w:r>
        <w:rPr>
          <w:w w:val="105"/>
          <w:sz w:val="21"/>
        </w:rPr>
        <w:t>In </w:t>
      </w:r>
      <w:r>
        <w:rPr>
          <w:spacing w:val="-4"/>
          <w:w w:val="105"/>
          <w:sz w:val="21"/>
        </w:rPr>
        <w:t>Chapter </w:t>
      </w:r>
      <w:r>
        <w:rPr>
          <w:w w:val="105"/>
          <w:sz w:val="21"/>
        </w:rPr>
        <w:t>5 it is recommended </w:t>
      </w:r>
      <w:r>
        <w:rPr>
          <w:spacing w:val="-3"/>
          <w:w w:val="105"/>
          <w:sz w:val="21"/>
        </w:rPr>
        <w:t>that </w:t>
      </w:r>
      <w:r>
        <w:rPr>
          <w:w w:val="105"/>
          <w:sz w:val="21"/>
        </w:rPr>
        <w:t>legal action under the new Act should be able </w:t>
      </w:r>
      <w:r>
        <w:rPr>
          <w:spacing w:val="-3"/>
          <w:w w:val="105"/>
          <w:sz w:val="21"/>
        </w:rPr>
        <w:t>to </w:t>
      </w:r>
      <w:r>
        <w:rPr>
          <w:w w:val="105"/>
          <w:sz w:val="21"/>
        </w:rPr>
        <w:t>be </w:t>
      </w:r>
      <w:r>
        <w:rPr>
          <w:spacing w:val="-3"/>
          <w:w w:val="105"/>
          <w:sz w:val="21"/>
        </w:rPr>
        <w:t>brought against </w:t>
      </w:r>
      <w:r>
        <w:rPr>
          <w:w w:val="105"/>
          <w:sz w:val="21"/>
        </w:rPr>
        <w:t>the owner of </w:t>
      </w:r>
      <w:r>
        <w:rPr>
          <w:spacing w:val="-3"/>
          <w:w w:val="105"/>
          <w:sz w:val="21"/>
        </w:rPr>
        <w:t>land </w:t>
      </w:r>
      <w:r>
        <w:rPr>
          <w:w w:val="105"/>
          <w:sz w:val="21"/>
        </w:rPr>
        <w:t>on which the tree is </w:t>
      </w:r>
      <w:r>
        <w:rPr>
          <w:spacing w:val="-3"/>
          <w:w w:val="105"/>
          <w:sz w:val="21"/>
        </w:rPr>
        <w:t>situated. </w:t>
      </w:r>
      <w:r>
        <w:rPr>
          <w:w w:val="105"/>
          <w:sz w:val="21"/>
        </w:rPr>
        <w:t>A </w:t>
      </w:r>
      <w:r>
        <w:rPr>
          <w:spacing w:val="-3"/>
          <w:w w:val="105"/>
          <w:sz w:val="21"/>
        </w:rPr>
        <w:t>situation may </w:t>
      </w:r>
      <w:r>
        <w:rPr>
          <w:w w:val="105"/>
          <w:sz w:val="21"/>
        </w:rPr>
        <w:t>arise where a tree owner owns a property in Victoria but resides in </w:t>
      </w:r>
      <w:r>
        <w:rPr>
          <w:spacing w:val="-3"/>
          <w:w w:val="105"/>
          <w:sz w:val="21"/>
        </w:rPr>
        <w:t>another</w:t>
      </w:r>
      <w:r>
        <w:rPr>
          <w:spacing w:val="-4"/>
          <w:w w:val="105"/>
          <w:sz w:val="21"/>
        </w:rPr>
        <w:t> </w:t>
      </w:r>
      <w:r>
        <w:rPr>
          <w:spacing w:val="-3"/>
          <w:w w:val="105"/>
          <w:sz w:val="21"/>
        </w:rPr>
        <w:t>state.</w:t>
      </w:r>
    </w:p>
    <w:p>
      <w:pPr>
        <w:pStyle w:val="ListParagraph"/>
        <w:numPr>
          <w:ilvl w:val="1"/>
          <w:numId w:val="114"/>
        </w:numPr>
        <w:tabs>
          <w:tab w:pos="2380" w:val="left" w:leader="none"/>
          <w:tab w:pos="2381" w:val="left" w:leader="none"/>
        </w:tabs>
        <w:spacing w:line="242" w:lineRule="auto" w:before="123" w:after="0"/>
        <w:ind w:left="2380" w:right="1910" w:hanging="793"/>
        <w:jc w:val="left"/>
        <w:rPr>
          <w:sz w:val="12"/>
        </w:rPr>
      </w:pPr>
      <w:r>
        <w:rPr>
          <w:sz w:val="21"/>
        </w:rPr>
        <w:t>This </w:t>
      </w:r>
      <w:r>
        <w:rPr>
          <w:spacing w:val="-2"/>
          <w:sz w:val="21"/>
        </w:rPr>
        <w:t>raises </w:t>
      </w:r>
      <w:r>
        <w:rPr>
          <w:sz w:val="21"/>
        </w:rPr>
        <w:t>complex </w:t>
      </w:r>
      <w:r>
        <w:rPr>
          <w:spacing w:val="-3"/>
          <w:sz w:val="21"/>
        </w:rPr>
        <w:t>constitutional </w:t>
      </w:r>
      <w:r>
        <w:rPr>
          <w:sz w:val="21"/>
        </w:rPr>
        <w:t>issues because the </w:t>
      </w:r>
      <w:r>
        <w:rPr>
          <w:spacing w:val="-3"/>
          <w:sz w:val="21"/>
        </w:rPr>
        <w:t>adjudication </w:t>
      </w:r>
      <w:r>
        <w:rPr>
          <w:sz w:val="21"/>
        </w:rPr>
        <w:t>of a matter between </w:t>
      </w:r>
      <w:r>
        <w:rPr>
          <w:spacing w:val="-3"/>
          <w:sz w:val="21"/>
        </w:rPr>
        <w:t>natural </w:t>
      </w:r>
      <w:r>
        <w:rPr>
          <w:sz w:val="21"/>
        </w:rPr>
        <w:t>people</w:t>
      </w:r>
      <w:r>
        <w:rPr>
          <w:position w:val="7"/>
          <w:sz w:val="12"/>
        </w:rPr>
        <w:t>266 </w:t>
      </w:r>
      <w:r>
        <w:rPr>
          <w:sz w:val="21"/>
        </w:rPr>
        <w:t>who permanently reside in </w:t>
      </w:r>
      <w:r>
        <w:rPr>
          <w:spacing w:val="-3"/>
          <w:sz w:val="21"/>
        </w:rPr>
        <w:t>different </w:t>
      </w:r>
      <w:r>
        <w:rPr>
          <w:sz w:val="21"/>
        </w:rPr>
        <w:t>states</w:t>
      </w:r>
      <w:r>
        <w:rPr>
          <w:position w:val="7"/>
          <w:sz w:val="12"/>
        </w:rPr>
        <w:t>267 </w:t>
      </w:r>
      <w:r>
        <w:rPr>
          <w:spacing w:val="-3"/>
          <w:sz w:val="21"/>
        </w:rPr>
        <w:t>requires </w:t>
      </w:r>
      <w:r>
        <w:rPr>
          <w:sz w:val="21"/>
        </w:rPr>
        <w:t>the </w:t>
      </w:r>
      <w:r>
        <w:rPr>
          <w:spacing w:val="-3"/>
          <w:sz w:val="21"/>
        </w:rPr>
        <w:t>exercise </w:t>
      </w:r>
      <w:r>
        <w:rPr>
          <w:spacing w:val="-4"/>
          <w:sz w:val="21"/>
        </w:rPr>
        <w:t>of </w:t>
      </w:r>
      <w:r>
        <w:rPr>
          <w:spacing w:val="-3"/>
          <w:sz w:val="21"/>
        </w:rPr>
        <w:t>federal  ‘diversity  </w:t>
      </w:r>
      <w:r>
        <w:rPr>
          <w:spacing w:val="-4"/>
          <w:sz w:val="21"/>
        </w:rPr>
        <w:t>jurisdiction’.  </w:t>
      </w:r>
      <w:r>
        <w:rPr>
          <w:sz w:val="21"/>
        </w:rPr>
        <w:t>Diversity jurisdiction can be understood as the authority  </w:t>
      </w:r>
      <w:r>
        <w:rPr>
          <w:spacing w:val="-3"/>
          <w:sz w:val="21"/>
        </w:rPr>
        <w:t>to exercise judicial </w:t>
      </w:r>
      <w:r>
        <w:rPr>
          <w:sz w:val="21"/>
        </w:rPr>
        <w:t>power </w:t>
      </w:r>
      <w:r>
        <w:rPr>
          <w:spacing w:val="-3"/>
          <w:sz w:val="21"/>
        </w:rPr>
        <w:t>to </w:t>
      </w:r>
      <w:r>
        <w:rPr>
          <w:sz w:val="21"/>
        </w:rPr>
        <w:t>resolve </w:t>
      </w:r>
      <w:r>
        <w:rPr>
          <w:spacing w:val="-3"/>
          <w:sz w:val="21"/>
        </w:rPr>
        <w:t>disputes </w:t>
      </w:r>
      <w:r>
        <w:rPr>
          <w:sz w:val="21"/>
        </w:rPr>
        <w:t>between residents of </w:t>
      </w:r>
      <w:r>
        <w:rPr>
          <w:spacing w:val="-3"/>
          <w:sz w:val="21"/>
        </w:rPr>
        <w:t>different</w:t>
      </w:r>
      <w:r>
        <w:rPr>
          <w:spacing w:val="-18"/>
          <w:sz w:val="21"/>
        </w:rPr>
        <w:t> </w:t>
      </w:r>
      <w:r>
        <w:rPr>
          <w:sz w:val="21"/>
        </w:rPr>
        <w:t>states.</w:t>
      </w:r>
      <w:r>
        <w:rPr>
          <w:position w:val="7"/>
          <w:sz w:val="12"/>
        </w:rPr>
        <w:t>268</w:t>
      </w:r>
    </w:p>
    <w:p>
      <w:pPr>
        <w:pStyle w:val="BodyText"/>
        <w:spacing w:line="242" w:lineRule="auto" w:before="5"/>
        <w:ind w:left="2381" w:right="1810"/>
        <w:rPr>
          <w:sz w:val="12"/>
        </w:rPr>
      </w:pPr>
      <w:r>
        <w:rPr/>
        <w:t>Diversity jurisdiction can only be </w:t>
      </w:r>
      <w:r>
        <w:rPr>
          <w:spacing w:val="-3"/>
        </w:rPr>
        <w:t>exercised </w:t>
      </w:r>
      <w:r>
        <w:rPr/>
        <w:t>by a court of the state.</w:t>
      </w:r>
      <w:r>
        <w:rPr>
          <w:position w:val="7"/>
          <w:sz w:val="12"/>
        </w:rPr>
        <w:t>269 </w:t>
      </w:r>
      <w:r>
        <w:rPr>
          <w:spacing w:val="-5"/>
        </w:rPr>
        <w:t>VCAT </w:t>
      </w:r>
      <w:r>
        <w:rPr/>
        <w:t>is a </w:t>
      </w:r>
      <w:r>
        <w:rPr>
          <w:spacing w:val="-3"/>
        </w:rPr>
        <w:t>tribunal </w:t>
      </w:r>
      <w:r>
        <w:rPr/>
        <w:t>and  </w:t>
      </w:r>
      <w:r>
        <w:rPr>
          <w:spacing w:val="-2"/>
        </w:rPr>
        <w:t>not </w:t>
      </w:r>
      <w:r>
        <w:rPr/>
        <w:t>a court of the</w:t>
      </w:r>
      <w:r>
        <w:rPr>
          <w:spacing w:val="44"/>
        </w:rPr>
        <w:t> </w:t>
      </w:r>
      <w:r>
        <w:rPr/>
        <w:t>state.</w:t>
      </w:r>
      <w:r>
        <w:rPr>
          <w:position w:val="7"/>
          <w:sz w:val="12"/>
        </w:rPr>
        <w:t>270</w:t>
      </w:r>
    </w:p>
    <w:p>
      <w:pPr>
        <w:pStyle w:val="ListParagraph"/>
        <w:numPr>
          <w:ilvl w:val="1"/>
          <w:numId w:val="114"/>
        </w:numPr>
        <w:tabs>
          <w:tab w:pos="2381" w:val="left" w:leader="none"/>
          <w:tab w:pos="2382" w:val="left" w:leader="none"/>
        </w:tabs>
        <w:spacing w:line="242" w:lineRule="auto" w:before="122" w:after="0"/>
        <w:ind w:left="2381" w:right="1782" w:hanging="794"/>
        <w:jc w:val="left"/>
        <w:rPr>
          <w:sz w:val="12"/>
        </w:rPr>
      </w:pPr>
      <w:r>
        <w:rPr>
          <w:w w:val="105"/>
          <w:sz w:val="21"/>
        </w:rPr>
        <w:t>The High </w:t>
      </w:r>
      <w:r>
        <w:rPr>
          <w:spacing w:val="-3"/>
          <w:w w:val="105"/>
          <w:sz w:val="21"/>
        </w:rPr>
        <w:t>Court </w:t>
      </w:r>
      <w:r>
        <w:rPr>
          <w:w w:val="105"/>
          <w:sz w:val="21"/>
        </w:rPr>
        <w:t>of </w:t>
      </w:r>
      <w:r>
        <w:rPr>
          <w:spacing w:val="-3"/>
          <w:w w:val="105"/>
          <w:sz w:val="21"/>
        </w:rPr>
        <w:t>Australia </w:t>
      </w:r>
      <w:r>
        <w:rPr>
          <w:w w:val="105"/>
          <w:sz w:val="21"/>
        </w:rPr>
        <w:t>held in </w:t>
      </w:r>
      <w:r>
        <w:rPr>
          <w:i/>
          <w:spacing w:val="-3"/>
          <w:w w:val="105"/>
          <w:sz w:val="21"/>
        </w:rPr>
        <w:t>Burns </w:t>
      </w:r>
      <w:r>
        <w:rPr>
          <w:i/>
          <w:w w:val="105"/>
          <w:sz w:val="21"/>
        </w:rPr>
        <w:t>v Corbett</w:t>
      </w:r>
      <w:r>
        <w:rPr>
          <w:w w:val="105"/>
          <w:position w:val="7"/>
          <w:sz w:val="12"/>
        </w:rPr>
        <w:t>271 </w:t>
      </w:r>
      <w:r>
        <w:rPr>
          <w:spacing w:val="-3"/>
          <w:w w:val="105"/>
          <w:sz w:val="21"/>
        </w:rPr>
        <w:t>that </w:t>
      </w:r>
      <w:r>
        <w:rPr>
          <w:w w:val="105"/>
          <w:sz w:val="21"/>
        </w:rPr>
        <w:t>New South </w:t>
      </w:r>
      <w:r>
        <w:rPr>
          <w:spacing w:val="-3"/>
          <w:w w:val="105"/>
          <w:sz w:val="21"/>
        </w:rPr>
        <w:t>Wales’ equivalent tribunal, </w:t>
      </w:r>
      <w:r>
        <w:rPr>
          <w:w w:val="105"/>
          <w:sz w:val="21"/>
        </w:rPr>
        <w:t>the New South </w:t>
      </w:r>
      <w:r>
        <w:rPr>
          <w:spacing w:val="-3"/>
          <w:w w:val="105"/>
          <w:sz w:val="21"/>
        </w:rPr>
        <w:t>Wales Civil </w:t>
      </w:r>
      <w:r>
        <w:rPr>
          <w:w w:val="105"/>
          <w:sz w:val="21"/>
        </w:rPr>
        <w:t>and </w:t>
      </w:r>
      <w:r>
        <w:rPr>
          <w:spacing w:val="-3"/>
          <w:w w:val="105"/>
          <w:sz w:val="21"/>
        </w:rPr>
        <w:t>Administrative </w:t>
      </w:r>
      <w:r>
        <w:rPr>
          <w:spacing w:val="-5"/>
          <w:w w:val="105"/>
          <w:sz w:val="21"/>
        </w:rPr>
        <w:t>Tribunal </w:t>
      </w:r>
      <w:r>
        <w:rPr>
          <w:w w:val="105"/>
          <w:sz w:val="21"/>
        </w:rPr>
        <w:t>(NCAT), did </w:t>
      </w:r>
      <w:r>
        <w:rPr>
          <w:spacing w:val="-2"/>
          <w:w w:val="105"/>
          <w:sz w:val="21"/>
        </w:rPr>
        <w:t>not </w:t>
      </w:r>
      <w:r>
        <w:rPr>
          <w:spacing w:val="-3"/>
          <w:w w:val="105"/>
          <w:sz w:val="21"/>
        </w:rPr>
        <w:t>have </w:t>
      </w:r>
      <w:r>
        <w:rPr>
          <w:w w:val="105"/>
          <w:sz w:val="21"/>
        </w:rPr>
        <w:t>authority </w:t>
      </w:r>
      <w:r>
        <w:rPr>
          <w:spacing w:val="-3"/>
          <w:w w:val="105"/>
          <w:sz w:val="21"/>
        </w:rPr>
        <w:t>to exercise </w:t>
      </w:r>
      <w:r>
        <w:rPr>
          <w:w w:val="105"/>
          <w:sz w:val="21"/>
        </w:rPr>
        <w:t>diversity jurisdiction on an </w:t>
      </w:r>
      <w:r>
        <w:rPr>
          <w:spacing w:val="-3"/>
          <w:w w:val="105"/>
          <w:sz w:val="21"/>
        </w:rPr>
        <w:t>antidiscrimination complaint </w:t>
      </w:r>
      <w:r>
        <w:rPr>
          <w:w w:val="105"/>
          <w:sz w:val="21"/>
        </w:rPr>
        <w:t>because it was a </w:t>
      </w:r>
      <w:r>
        <w:rPr>
          <w:spacing w:val="-3"/>
          <w:w w:val="105"/>
          <w:sz w:val="21"/>
        </w:rPr>
        <w:t>tribunal </w:t>
      </w:r>
      <w:r>
        <w:rPr>
          <w:w w:val="105"/>
          <w:sz w:val="21"/>
        </w:rPr>
        <w:t>and </w:t>
      </w:r>
      <w:r>
        <w:rPr>
          <w:spacing w:val="-2"/>
          <w:w w:val="105"/>
          <w:sz w:val="21"/>
        </w:rPr>
        <w:t>not </w:t>
      </w:r>
      <w:r>
        <w:rPr>
          <w:w w:val="105"/>
          <w:sz w:val="21"/>
        </w:rPr>
        <w:t>a court of the</w:t>
      </w:r>
      <w:r>
        <w:rPr>
          <w:spacing w:val="47"/>
          <w:w w:val="105"/>
          <w:sz w:val="21"/>
        </w:rPr>
        <w:t> </w:t>
      </w:r>
      <w:r>
        <w:rPr>
          <w:w w:val="105"/>
          <w:sz w:val="21"/>
        </w:rPr>
        <w:t>state.</w:t>
      </w:r>
      <w:r>
        <w:rPr>
          <w:w w:val="105"/>
          <w:position w:val="7"/>
          <w:sz w:val="12"/>
        </w:rPr>
        <w:t>272</w:t>
      </w:r>
    </w:p>
    <w:p>
      <w:pPr>
        <w:pStyle w:val="ListParagraph"/>
        <w:numPr>
          <w:ilvl w:val="1"/>
          <w:numId w:val="114"/>
        </w:numPr>
        <w:tabs>
          <w:tab w:pos="2381" w:val="left" w:leader="none"/>
          <w:tab w:pos="2382" w:val="left" w:leader="none"/>
        </w:tabs>
        <w:spacing w:line="242" w:lineRule="auto" w:before="124" w:after="0"/>
        <w:ind w:left="2381" w:right="1585" w:hanging="794"/>
        <w:jc w:val="left"/>
        <w:rPr>
          <w:sz w:val="12"/>
        </w:rPr>
      </w:pPr>
      <w:r>
        <w:rPr>
          <w:w w:val="105"/>
          <w:sz w:val="21"/>
        </w:rPr>
        <w:t>Legal </w:t>
      </w:r>
      <w:r>
        <w:rPr>
          <w:spacing w:val="-3"/>
          <w:w w:val="105"/>
          <w:sz w:val="21"/>
        </w:rPr>
        <w:t>commentators have </w:t>
      </w:r>
      <w:r>
        <w:rPr>
          <w:w w:val="105"/>
          <w:sz w:val="21"/>
        </w:rPr>
        <w:t>stated </w:t>
      </w:r>
      <w:r>
        <w:rPr>
          <w:spacing w:val="-3"/>
          <w:w w:val="105"/>
          <w:sz w:val="21"/>
        </w:rPr>
        <w:t>that </w:t>
      </w:r>
      <w:r>
        <w:rPr>
          <w:w w:val="105"/>
          <w:sz w:val="21"/>
        </w:rPr>
        <w:t>this </w:t>
      </w:r>
      <w:r>
        <w:rPr>
          <w:spacing w:val="-3"/>
          <w:w w:val="105"/>
          <w:sz w:val="21"/>
        </w:rPr>
        <w:t>ruling </w:t>
      </w:r>
      <w:r>
        <w:rPr>
          <w:w w:val="105"/>
          <w:sz w:val="21"/>
        </w:rPr>
        <w:t>also extends </w:t>
      </w:r>
      <w:r>
        <w:rPr>
          <w:spacing w:val="-3"/>
          <w:w w:val="105"/>
          <w:sz w:val="21"/>
        </w:rPr>
        <w:t>to </w:t>
      </w:r>
      <w:r>
        <w:rPr>
          <w:spacing w:val="-5"/>
          <w:w w:val="105"/>
          <w:sz w:val="21"/>
        </w:rPr>
        <w:t>VCAT.</w:t>
      </w:r>
      <w:r>
        <w:rPr>
          <w:spacing w:val="-5"/>
          <w:w w:val="105"/>
          <w:position w:val="7"/>
          <w:sz w:val="12"/>
        </w:rPr>
        <w:t>273 </w:t>
      </w:r>
      <w:r>
        <w:rPr>
          <w:spacing w:val="-4"/>
          <w:w w:val="105"/>
          <w:sz w:val="21"/>
        </w:rPr>
        <w:t>However, </w:t>
      </w:r>
      <w:r>
        <w:rPr>
          <w:spacing w:val="-5"/>
          <w:w w:val="105"/>
          <w:sz w:val="21"/>
        </w:rPr>
        <w:t>VCAT </w:t>
      </w:r>
      <w:r>
        <w:rPr>
          <w:spacing w:val="-3"/>
          <w:w w:val="105"/>
          <w:sz w:val="21"/>
        </w:rPr>
        <w:t>notes </w:t>
      </w:r>
      <w:r>
        <w:rPr>
          <w:w w:val="105"/>
          <w:sz w:val="21"/>
        </w:rPr>
        <w:t>on its </w:t>
      </w:r>
      <w:r>
        <w:rPr>
          <w:spacing w:val="-3"/>
          <w:w w:val="105"/>
          <w:sz w:val="21"/>
        </w:rPr>
        <w:t>website that </w:t>
      </w:r>
      <w:r>
        <w:rPr>
          <w:w w:val="105"/>
          <w:sz w:val="21"/>
        </w:rPr>
        <w:t>the High </w:t>
      </w:r>
      <w:r>
        <w:rPr>
          <w:spacing w:val="-3"/>
          <w:w w:val="105"/>
          <w:sz w:val="21"/>
        </w:rPr>
        <w:t>Court’s </w:t>
      </w:r>
      <w:r>
        <w:rPr>
          <w:w w:val="105"/>
          <w:sz w:val="21"/>
        </w:rPr>
        <w:t>decision </w:t>
      </w:r>
      <w:r>
        <w:rPr>
          <w:spacing w:val="-3"/>
          <w:w w:val="105"/>
          <w:sz w:val="21"/>
        </w:rPr>
        <w:t>‘is </w:t>
      </w:r>
      <w:r>
        <w:rPr>
          <w:w w:val="105"/>
          <w:sz w:val="21"/>
        </w:rPr>
        <w:t>specific </w:t>
      </w:r>
      <w:r>
        <w:rPr>
          <w:spacing w:val="-3"/>
          <w:w w:val="105"/>
          <w:sz w:val="21"/>
        </w:rPr>
        <w:t>to </w:t>
      </w:r>
      <w:r>
        <w:rPr>
          <w:spacing w:val="-4"/>
          <w:w w:val="105"/>
          <w:sz w:val="21"/>
        </w:rPr>
        <w:t>NCAT </w:t>
      </w:r>
      <w:r>
        <w:rPr>
          <w:spacing w:val="-3"/>
          <w:w w:val="105"/>
          <w:sz w:val="21"/>
        </w:rPr>
        <w:t>proceedings </w:t>
      </w:r>
      <w:r>
        <w:rPr>
          <w:w w:val="115"/>
          <w:sz w:val="21"/>
        </w:rPr>
        <w:t>… </w:t>
      </w:r>
      <w:r>
        <w:rPr>
          <w:w w:val="105"/>
          <w:sz w:val="21"/>
        </w:rPr>
        <w:t>whether</w:t>
      </w:r>
      <w:r>
        <w:rPr>
          <w:spacing w:val="-5"/>
          <w:w w:val="105"/>
          <w:sz w:val="21"/>
        </w:rPr>
        <w:t> </w:t>
      </w:r>
      <w:r>
        <w:rPr>
          <w:spacing w:val="-6"/>
          <w:w w:val="105"/>
          <w:sz w:val="21"/>
        </w:rPr>
        <w:t>VCAT’s</w:t>
      </w:r>
      <w:r>
        <w:rPr>
          <w:spacing w:val="-5"/>
          <w:w w:val="105"/>
          <w:sz w:val="21"/>
        </w:rPr>
        <w:t> </w:t>
      </w:r>
      <w:r>
        <w:rPr>
          <w:w w:val="105"/>
          <w:sz w:val="21"/>
        </w:rPr>
        <w:t>jurisdiction</w:t>
      </w:r>
      <w:r>
        <w:rPr>
          <w:spacing w:val="-5"/>
          <w:w w:val="105"/>
          <w:sz w:val="21"/>
        </w:rPr>
        <w:t> </w:t>
      </w:r>
      <w:r>
        <w:rPr>
          <w:w w:val="105"/>
          <w:sz w:val="21"/>
        </w:rPr>
        <w:t>is</w:t>
      </w:r>
      <w:r>
        <w:rPr>
          <w:spacing w:val="-5"/>
          <w:w w:val="105"/>
          <w:sz w:val="21"/>
        </w:rPr>
        <w:t> </w:t>
      </w:r>
      <w:r>
        <w:rPr>
          <w:w w:val="105"/>
          <w:sz w:val="21"/>
        </w:rPr>
        <w:t>affected</w:t>
      </w:r>
      <w:r>
        <w:rPr>
          <w:spacing w:val="-5"/>
          <w:w w:val="105"/>
          <w:sz w:val="21"/>
        </w:rPr>
        <w:t> </w:t>
      </w:r>
      <w:r>
        <w:rPr>
          <w:w w:val="105"/>
          <w:sz w:val="21"/>
        </w:rPr>
        <w:t>is</w:t>
      </w:r>
      <w:r>
        <w:rPr>
          <w:spacing w:val="-5"/>
          <w:w w:val="105"/>
          <w:sz w:val="21"/>
        </w:rPr>
        <w:t> </w:t>
      </w:r>
      <w:r>
        <w:rPr>
          <w:w w:val="105"/>
          <w:sz w:val="21"/>
        </w:rPr>
        <w:t>yet</w:t>
      </w:r>
      <w:r>
        <w:rPr>
          <w:spacing w:val="-5"/>
          <w:w w:val="105"/>
          <w:sz w:val="21"/>
        </w:rPr>
        <w:t> </w:t>
      </w:r>
      <w:r>
        <w:rPr>
          <w:spacing w:val="-3"/>
          <w:w w:val="105"/>
          <w:sz w:val="21"/>
        </w:rPr>
        <w:t>to</w:t>
      </w:r>
      <w:r>
        <w:rPr>
          <w:spacing w:val="-4"/>
          <w:w w:val="105"/>
          <w:sz w:val="21"/>
        </w:rPr>
        <w:t> </w:t>
      </w:r>
      <w:r>
        <w:rPr>
          <w:w w:val="105"/>
          <w:sz w:val="21"/>
        </w:rPr>
        <w:t>be</w:t>
      </w:r>
      <w:r>
        <w:rPr>
          <w:spacing w:val="-5"/>
          <w:w w:val="105"/>
          <w:sz w:val="21"/>
        </w:rPr>
        <w:t> </w:t>
      </w:r>
      <w:r>
        <w:rPr>
          <w:spacing w:val="-4"/>
          <w:w w:val="105"/>
          <w:sz w:val="21"/>
        </w:rPr>
        <w:t>determined’.</w:t>
      </w:r>
      <w:r>
        <w:rPr>
          <w:spacing w:val="-4"/>
          <w:w w:val="105"/>
          <w:position w:val="7"/>
          <w:sz w:val="12"/>
        </w:rPr>
        <w:t>274</w:t>
      </w:r>
      <w:r>
        <w:rPr>
          <w:spacing w:val="-1"/>
          <w:w w:val="105"/>
          <w:position w:val="7"/>
          <w:sz w:val="12"/>
        </w:rPr>
        <w:t> </w:t>
      </w:r>
      <w:r>
        <w:rPr>
          <w:spacing w:val="-5"/>
          <w:w w:val="105"/>
          <w:sz w:val="21"/>
        </w:rPr>
        <w:t>VCAT </w:t>
      </w:r>
      <w:r>
        <w:rPr>
          <w:w w:val="105"/>
          <w:sz w:val="21"/>
        </w:rPr>
        <w:t>further</w:t>
      </w:r>
      <w:r>
        <w:rPr>
          <w:spacing w:val="-5"/>
          <w:w w:val="105"/>
          <w:sz w:val="21"/>
        </w:rPr>
        <w:t> </w:t>
      </w:r>
      <w:r>
        <w:rPr>
          <w:w w:val="105"/>
          <w:sz w:val="21"/>
        </w:rPr>
        <w:t>states</w:t>
      </w:r>
      <w:r>
        <w:rPr>
          <w:spacing w:val="-5"/>
          <w:w w:val="105"/>
          <w:sz w:val="21"/>
        </w:rPr>
        <w:t> </w:t>
      </w:r>
      <w:r>
        <w:rPr>
          <w:spacing w:val="-3"/>
          <w:w w:val="105"/>
          <w:sz w:val="21"/>
        </w:rPr>
        <w:t>that </w:t>
      </w:r>
      <w:r>
        <w:rPr>
          <w:w w:val="105"/>
          <w:sz w:val="21"/>
        </w:rPr>
        <w:t>if its authority </w:t>
      </w:r>
      <w:r>
        <w:rPr>
          <w:spacing w:val="-3"/>
          <w:w w:val="105"/>
          <w:sz w:val="21"/>
        </w:rPr>
        <w:t>were to </w:t>
      </w:r>
      <w:r>
        <w:rPr>
          <w:w w:val="105"/>
          <w:sz w:val="21"/>
        </w:rPr>
        <w:t>be </w:t>
      </w:r>
      <w:r>
        <w:rPr>
          <w:spacing w:val="-3"/>
          <w:w w:val="105"/>
          <w:sz w:val="21"/>
        </w:rPr>
        <w:t>challenged </w:t>
      </w:r>
      <w:r>
        <w:rPr>
          <w:w w:val="105"/>
          <w:sz w:val="21"/>
        </w:rPr>
        <w:t>in a case with </w:t>
      </w:r>
      <w:r>
        <w:rPr>
          <w:spacing w:val="-3"/>
          <w:w w:val="105"/>
          <w:sz w:val="21"/>
        </w:rPr>
        <w:t>similar grounds </w:t>
      </w:r>
      <w:r>
        <w:rPr>
          <w:w w:val="105"/>
          <w:sz w:val="21"/>
        </w:rPr>
        <w:t>as </w:t>
      </w:r>
      <w:r>
        <w:rPr>
          <w:i/>
          <w:spacing w:val="-3"/>
          <w:w w:val="105"/>
          <w:sz w:val="21"/>
        </w:rPr>
        <w:t>Burns </w:t>
      </w:r>
      <w:r>
        <w:rPr>
          <w:i/>
          <w:w w:val="105"/>
          <w:sz w:val="21"/>
        </w:rPr>
        <w:t>v Corbett</w:t>
      </w:r>
      <w:r>
        <w:rPr>
          <w:w w:val="105"/>
          <w:position w:val="7"/>
          <w:sz w:val="12"/>
        </w:rPr>
        <w:t>275</w:t>
      </w:r>
      <w:r>
        <w:rPr>
          <w:w w:val="105"/>
          <w:sz w:val="12"/>
        </w:rPr>
        <w:t> </w:t>
      </w:r>
      <w:r>
        <w:rPr>
          <w:w w:val="105"/>
          <w:sz w:val="21"/>
        </w:rPr>
        <w:t>then it can </w:t>
      </w:r>
      <w:r>
        <w:rPr>
          <w:spacing w:val="-3"/>
          <w:w w:val="105"/>
          <w:sz w:val="21"/>
        </w:rPr>
        <w:t>‘hear from </w:t>
      </w:r>
      <w:r>
        <w:rPr>
          <w:w w:val="105"/>
          <w:sz w:val="21"/>
        </w:rPr>
        <w:t>the parties on whether </w:t>
      </w:r>
      <w:r>
        <w:rPr>
          <w:spacing w:val="-3"/>
          <w:w w:val="105"/>
          <w:sz w:val="21"/>
        </w:rPr>
        <w:t>to refer </w:t>
      </w:r>
      <w:r>
        <w:rPr>
          <w:w w:val="105"/>
          <w:sz w:val="21"/>
        </w:rPr>
        <w:t>a question of law </w:t>
      </w:r>
      <w:r>
        <w:rPr>
          <w:spacing w:val="-3"/>
          <w:w w:val="105"/>
          <w:sz w:val="21"/>
        </w:rPr>
        <w:t>to </w:t>
      </w:r>
      <w:r>
        <w:rPr>
          <w:w w:val="105"/>
          <w:sz w:val="21"/>
        </w:rPr>
        <w:t>the </w:t>
      </w:r>
      <w:r>
        <w:rPr>
          <w:spacing w:val="-3"/>
          <w:w w:val="105"/>
          <w:sz w:val="21"/>
        </w:rPr>
        <w:t>Supreme Court </w:t>
      </w:r>
      <w:r>
        <w:rPr>
          <w:w w:val="105"/>
          <w:sz w:val="21"/>
        </w:rPr>
        <w:t>of Victoria, and give </w:t>
      </w:r>
      <w:r>
        <w:rPr>
          <w:spacing w:val="-3"/>
          <w:w w:val="105"/>
          <w:sz w:val="21"/>
        </w:rPr>
        <w:t>notice to </w:t>
      </w:r>
      <w:r>
        <w:rPr>
          <w:w w:val="105"/>
          <w:sz w:val="21"/>
        </w:rPr>
        <w:t>the </w:t>
      </w:r>
      <w:r>
        <w:rPr>
          <w:spacing w:val="-3"/>
          <w:w w:val="105"/>
          <w:sz w:val="21"/>
        </w:rPr>
        <w:t>State </w:t>
      </w:r>
      <w:r>
        <w:rPr>
          <w:w w:val="105"/>
          <w:sz w:val="21"/>
        </w:rPr>
        <w:t>of Victoria </w:t>
      </w:r>
      <w:r>
        <w:rPr>
          <w:spacing w:val="-3"/>
          <w:w w:val="105"/>
          <w:sz w:val="21"/>
        </w:rPr>
        <w:t>to consider making submissions </w:t>
      </w:r>
      <w:r>
        <w:rPr>
          <w:w w:val="105"/>
          <w:sz w:val="21"/>
        </w:rPr>
        <w:t>or </w:t>
      </w:r>
      <w:r>
        <w:rPr>
          <w:spacing w:val="-3"/>
          <w:w w:val="105"/>
          <w:sz w:val="21"/>
        </w:rPr>
        <w:t>to </w:t>
      </w:r>
      <w:r>
        <w:rPr>
          <w:w w:val="105"/>
          <w:sz w:val="21"/>
        </w:rPr>
        <w:t>also be</w:t>
      </w:r>
      <w:r>
        <w:rPr>
          <w:spacing w:val="24"/>
          <w:w w:val="105"/>
          <w:sz w:val="21"/>
        </w:rPr>
        <w:t> </w:t>
      </w:r>
      <w:r>
        <w:rPr>
          <w:spacing w:val="-4"/>
          <w:w w:val="105"/>
          <w:sz w:val="21"/>
        </w:rPr>
        <w:t>heard’.</w:t>
      </w:r>
      <w:r>
        <w:rPr>
          <w:spacing w:val="-4"/>
          <w:w w:val="105"/>
          <w:position w:val="7"/>
          <w:sz w:val="12"/>
        </w:rPr>
        <w:t>276</w:t>
      </w:r>
    </w:p>
    <w:p>
      <w:pPr>
        <w:pStyle w:val="ListParagraph"/>
        <w:numPr>
          <w:ilvl w:val="1"/>
          <w:numId w:val="114"/>
        </w:numPr>
        <w:tabs>
          <w:tab w:pos="2380" w:val="left" w:leader="none"/>
          <w:tab w:pos="2381" w:val="left" w:leader="none"/>
        </w:tabs>
        <w:spacing w:line="242" w:lineRule="auto" w:before="128" w:after="0"/>
        <w:ind w:left="2381" w:right="1761" w:hanging="794"/>
        <w:jc w:val="left"/>
        <w:rPr>
          <w:sz w:val="21"/>
        </w:rPr>
      </w:pPr>
      <w:r>
        <w:rPr>
          <w:w w:val="105"/>
          <w:sz w:val="21"/>
        </w:rPr>
        <w:t>The</w:t>
      </w:r>
      <w:r>
        <w:rPr>
          <w:spacing w:val="-8"/>
          <w:w w:val="105"/>
          <w:sz w:val="21"/>
        </w:rPr>
        <w:t> </w:t>
      </w:r>
      <w:r>
        <w:rPr>
          <w:w w:val="105"/>
          <w:sz w:val="21"/>
        </w:rPr>
        <w:t>issue</w:t>
      </w:r>
      <w:r>
        <w:rPr>
          <w:spacing w:val="-8"/>
          <w:w w:val="105"/>
          <w:sz w:val="21"/>
        </w:rPr>
        <w:t> </w:t>
      </w:r>
      <w:r>
        <w:rPr>
          <w:w w:val="105"/>
          <w:sz w:val="21"/>
        </w:rPr>
        <w:t>of</w:t>
      </w:r>
      <w:r>
        <w:rPr>
          <w:spacing w:val="-8"/>
          <w:w w:val="105"/>
          <w:sz w:val="21"/>
        </w:rPr>
        <w:t> </w:t>
      </w:r>
      <w:r>
        <w:rPr>
          <w:w w:val="105"/>
          <w:sz w:val="21"/>
        </w:rPr>
        <w:t>diversity</w:t>
      </w:r>
      <w:r>
        <w:rPr>
          <w:spacing w:val="-8"/>
          <w:w w:val="105"/>
          <w:sz w:val="21"/>
        </w:rPr>
        <w:t> </w:t>
      </w:r>
      <w:r>
        <w:rPr>
          <w:w w:val="105"/>
          <w:sz w:val="21"/>
        </w:rPr>
        <w:t>jurisdiction</w:t>
      </w:r>
      <w:r>
        <w:rPr>
          <w:spacing w:val="-8"/>
          <w:w w:val="105"/>
          <w:sz w:val="21"/>
        </w:rPr>
        <w:t> </w:t>
      </w:r>
      <w:r>
        <w:rPr>
          <w:w w:val="105"/>
          <w:sz w:val="21"/>
        </w:rPr>
        <w:t>and</w:t>
      </w:r>
      <w:r>
        <w:rPr>
          <w:spacing w:val="-8"/>
          <w:w w:val="105"/>
          <w:sz w:val="21"/>
        </w:rPr>
        <w:t> </w:t>
      </w:r>
      <w:r>
        <w:rPr>
          <w:spacing w:val="-5"/>
          <w:w w:val="105"/>
          <w:sz w:val="21"/>
        </w:rPr>
        <w:t>VCAT</w:t>
      </w:r>
      <w:r>
        <w:rPr>
          <w:spacing w:val="-8"/>
          <w:w w:val="105"/>
          <w:sz w:val="21"/>
        </w:rPr>
        <w:t> </w:t>
      </w:r>
      <w:r>
        <w:rPr>
          <w:w w:val="105"/>
          <w:sz w:val="21"/>
        </w:rPr>
        <w:t>is</w:t>
      </w:r>
      <w:r>
        <w:rPr>
          <w:spacing w:val="-8"/>
          <w:w w:val="105"/>
          <w:sz w:val="21"/>
        </w:rPr>
        <w:t> </w:t>
      </w:r>
      <w:r>
        <w:rPr>
          <w:w w:val="105"/>
          <w:sz w:val="21"/>
        </w:rPr>
        <w:t>beyond</w:t>
      </w:r>
      <w:r>
        <w:rPr>
          <w:spacing w:val="-8"/>
          <w:w w:val="105"/>
          <w:sz w:val="21"/>
        </w:rPr>
        <w:t> </w:t>
      </w:r>
      <w:r>
        <w:rPr>
          <w:w w:val="105"/>
          <w:sz w:val="21"/>
        </w:rPr>
        <w:t>the</w:t>
      </w:r>
      <w:r>
        <w:rPr>
          <w:spacing w:val="-7"/>
          <w:w w:val="105"/>
          <w:sz w:val="21"/>
        </w:rPr>
        <w:t> </w:t>
      </w:r>
      <w:r>
        <w:rPr>
          <w:w w:val="105"/>
          <w:sz w:val="21"/>
        </w:rPr>
        <w:t>scope</w:t>
      </w:r>
      <w:r>
        <w:rPr>
          <w:spacing w:val="-8"/>
          <w:w w:val="105"/>
          <w:sz w:val="21"/>
        </w:rPr>
        <w:t> </w:t>
      </w:r>
      <w:r>
        <w:rPr>
          <w:w w:val="105"/>
          <w:sz w:val="21"/>
        </w:rPr>
        <w:t>of</w:t>
      </w:r>
      <w:r>
        <w:rPr>
          <w:spacing w:val="-8"/>
          <w:w w:val="105"/>
          <w:sz w:val="21"/>
        </w:rPr>
        <w:t> </w:t>
      </w:r>
      <w:r>
        <w:rPr>
          <w:w w:val="105"/>
          <w:sz w:val="21"/>
        </w:rPr>
        <w:t>this</w:t>
      </w:r>
      <w:r>
        <w:rPr>
          <w:spacing w:val="-8"/>
          <w:w w:val="105"/>
          <w:sz w:val="21"/>
        </w:rPr>
        <w:t> </w:t>
      </w:r>
      <w:r>
        <w:rPr>
          <w:spacing w:val="-4"/>
          <w:w w:val="105"/>
          <w:sz w:val="21"/>
        </w:rPr>
        <w:t>inquiry.</w:t>
      </w:r>
      <w:r>
        <w:rPr>
          <w:spacing w:val="-8"/>
          <w:w w:val="105"/>
          <w:sz w:val="21"/>
        </w:rPr>
        <w:t> </w:t>
      </w:r>
      <w:r>
        <w:rPr>
          <w:spacing w:val="-4"/>
          <w:w w:val="105"/>
          <w:sz w:val="21"/>
        </w:rPr>
        <w:t>However, </w:t>
      </w:r>
      <w:r>
        <w:rPr>
          <w:w w:val="105"/>
          <w:sz w:val="21"/>
        </w:rPr>
        <w:t>the </w:t>
      </w:r>
      <w:r>
        <w:rPr>
          <w:spacing w:val="-3"/>
          <w:w w:val="105"/>
          <w:sz w:val="21"/>
        </w:rPr>
        <w:t>Commission </w:t>
      </w:r>
      <w:r>
        <w:rPr>
          <w:w w:val="105"/>
          <w:sz w:val="21"/>
        </w:rPr>
        <w:t>acknowledges </w:t>
      </w:r>
      <w:r>
        <w:rPr>
          <w:spacing w:val="-3"/>
          <w:w w:val="105"/>
          <w:sz w:val="21"/>
        </w:rPr>
        <w:t>that </w:t>
      </w:r>
      <w:r>
        <w:rPr>
          <w:w w:val="105"/>
          <w:sz w:val="21"/>
        </w:rPr>
        <w:t>some tree </w:t>
      </w:r>
      <w:r>
        <w:rPr>
          <w:spacing w:val="-3"/>
          <w:w w:val="105"/>
          <w:sz w:val="21"/>
        </w:rPr>
        <w:t>disputes </w:t>
      </w:r>
      <w:r>
        <w:rPr>
          <w:w w:val="105"/>
          <w:sz w:val="21"/>
        </w:rPr>
        <w:t>under the new Act </w:t>
      </w:r>
      <w:r>
        <w:rPr>
          <w:spacing w:val="-3"/>
          <w:w w:val="105"/>
          <w:sz w:val="21"/>
        </w:rPr>
        <w:t>may </w:t>
      </w:r>
      <w:r>
        <w:rPr>
          <w:w w:val="105"/>
          <w:sz w:val="21"/>
        </w:rPr>
        <w:t>be affected. </w:t>
      </w:r>
      <w:r>
        <w:rPr>
          <w:spacing w:val="-3"/>
          <w:w w:val="105"/>
          <w:sz w:val="21"/>
        </w:rPr>
        <w:t>Therefore, any future government consideration </w:t>
      </w:r>
      <w:r>
        <w:rPr>
          <w:w w:val="105"/>
          <w:sz w:val="21"/>
        </w:rPr>
        <w:t>of diversity</w:t>
      </w:r>
      <w:r>
        <w:rPr>
          <w:spacing w:val="-8"/>
          <w:w w:val="105"/>
          <w:sz w:val="21"/>
        </w:rPr>
        <w:t> </w:t>
      </w:r>
      <w:r>
        <w:rPr>
          <w:w w:val="105"/>
          <w:sz w:val="21"/>
        </w:rPr>
        <w:t>jurisdiction</w:t>
      </w:r>
    </w:p>
    <w:p>
      <w:pPr>
        <w:pStyle w:val="BodyText"/>
        <w:spacing w:line="242" w:lineRule="auto" w:before="3"/>
        <w:ind w:left="2380" w:right="1636"/>
      </w:pPr>
      <w:r>
        <w:rPr>
          <w:w w:val="105"/>
        </w:rPr>
        <w:t>issues in</w:t>
      </w:r>
      <w:r>
        <w:rPr>
          <w:spacing w:val="-5"/>
          <w:w w:val="105"/>
        </w:rPr>
        <w:t> VCAT </w:t>
      </w:r>
      <w:r>
        <w:rPr>
          <w:w w:val="105"/>
        </w:rPr>
        <w:t>should extend </w:t>
      </w:r>
      <w:r>
        <w:rPr>
          <w:spacing w:val="-3"/>
          <w:w w:val="105"/>
        </w:rPr>
        <w:t>to consideration </w:t>
      </w:r>
      <w:r>
        <w:rPr>
          <w:w w:val="105"/>
        </w:rPr>
        <w:t>of the </w:t>
      </w:r>
      <w:r>
        <w:rPr>
          <w:spacing w:val="-3"/>
          <w:w w:val="105"/>
        </w:rPr>
        <w:t>scenarios </w:t>
      </w:r>
      <w:r>
        <w:rPr>
          <w:spacing w:val="-2"/>
          <w:w w:val="105"/>
        </w:rPr>
        <w:t>raised </w:t>
      </w:r>
      <w:r>
        <w:rPr>
          <w:w w:val="105"/>
        </w:rPr>
        <w:t>above and the </w:t>
      </w:r>
      <w:r>
        <w:rPr>
          <w:spacing w:val="-2"/>
          <w:w w:val="105"/>
        </w:rPr>
        <w:t>implementation </w:t>
      </w:r>
      <w:r>
        <w:rPr>
          <w:w w:val="105"/>
        </w:rPr>
        <w:t>of the new Act.</w:t>
      </w:r>
    </w:p>
    <w:p>
      <w:pPr>
        <w:pStyle w:val="BodyText"/>
        <w:spacing w:before="10"/>
        <w:rPr>
          <w:sz w:val="20"/>
        </w:rPr>
      </w:pPr>
      <w:r>
        <w:rPr/>
        <w:pict>
          <v:group style="position:absolute;margin-left:62.362099pt;margin-top:14.681126pt;width:479.1pt;height:96.4pt;mso-position-horizontal-relative:page;mso-position-vertical-relative:paragraph;z-index:7088;mso-wrap-distance-left:0;mso-wrap-distance-right:0" coordorigin="1247,294" coordsize="9582,1928">
            <v:rect style="position:absolute;left:1587;top:293;width:8731;height:1928" filled="true" fillcolor="#dbe0dd" stroked="false">
              <v:fill type="solid"/>
            </v:rect>
            <v:line style="position:absolute" from="1247,1041" to="10828,1041" stroked="true" strokeweight="2.5pt" strokecolor="#ffffff">
              <v:stroke dashstyle="solid"/>
            </v:line>
            <v:shape style="position:absolute;left:1587;top:1065;width:8731;height:1156" type="#_x0000_t202" filled="true" fillcolor="#dbe0dd" stroked="false">
              <v:textbox inset="0,0,0,0">
                <w:txbxContent>
                  <w:p>
                    <w:pPr>
                      <w:spacing w:line="242" w:lineRule="auto" w:before="208"/>
                      <w:ind w:left="793" w:right="304" w:hanging="567"/>
                      <w:jc w:val="both"/>
                      <w:rPr>
                        <w:sz w:val="21"/>
                      </w:rPr>
                    </w:pPr>
                    <w:r>
                      <w:rPr>
                        <w:b/>
                        <w:spacing w:val="-3"/>
                        <w:w w:val="115"/>
                        <w:sz w:val="21"/>
                      </w:rPr>
                      <w:t>21 </w:t>
                    </w:r>
                    <w:r>
                      <w:rPr>
                        <w:w w:val="115"/>
                        <w:sz w:val="21"/>
                      </w:rPr>
                      <w:t>Any Government consideration of diversity jurisdiction issues that apply to the Victorian</w:t>
                    </w:r>
                    <w:r>
                      <w:rPr>
                        <w:spacing w:val="-9"/>
                        <w:w w:val="115"/>
                        <w:sz w:val="21"/>
                      </w:rPr>
                      <w:t> </w:t>
                    </w:r>
                    <w:r>
                      <w:rPr>
                        <w:w w:val="115"/>
                        <w:sz w:val="21"/>
                      </w:rPr>
                      <w:t>Civil</w:t>
                    </w:r>
                    <w:r>
                      <w:rPr>
                        <w:spacing w:val="-9"/>
                        <w:w w:val="115"/>
                        <w:sz w:val="21"/>
                      </w:rPr>
                      <w:t> </w:t>
                    </w:r>
                    <w:r>
                      <w:rPr>
                        <w:w w:val="115"/>
                        <w:sz w:val="21"/>
                      </w:rPr>
                      <w:t>and</w:t>
                    </w:r>
                    <w:r>
                      <w:rPr>
                        <w:spacing w:val="-8"/>
                        <w:w w:val="115"/>
                        <w:sz w:val="21"/>
                      </w:rPr>
                      <w:t> </w:t>
                    </w:r>
                    <w:r>
                      <w:rPr>
                        <w:w w:val="115"/>
                        <w:sz w:val="21"/>
                      </w:rPr>
                      <w:t>Administrative</w:t>
                    </w:r>
                    <w:r>
                      <w:rPr>
                        <w:spacing w:val="-9"/>
                        <w:w w:val="115"/>
                        <w:sz w:val="21"/>
                      </w:rPr>
                      <w:t> </w:t>
                    </w:r>
                    <w:r>
                      <w:rPr>
                        <w:spacing w:val="-4"/>
                        <w:w w:val="115"/>
                        <w:sz w:val="21"/>
                      </w:rPr>
                      <w:t>Tribunal</w:t>
                    </w:r>
                    <w:r>
                      <w:rPr>
                        <w:spacing w:val="-9"/>
                        <w:w w:val="115"/>
                        <w:sz w:val="21"/>
                      </w:rPr>
                      <w:t> </w:t>
                    </w:r>
                    <w:r>
                      <w:rPr>
                        <w:w w:val="115"/>
                        <w:sz w:val="21"/>
                      </w:rPr>
                      <w:t>should</w:t>
                    </w:r>
                    <w:r>
                      <w:rPr>
                        <w:spacing w:val="-8"/>
                        <w:w w:val="115"/>
                        <w:sz w:val="21"/>
                      </w:rPr>
                      <w:t> </w:t>
                    </w:r>
                    <w:r>
                      <w:rPr>
                        <w:w w:val="115"/>
                        <w:sz w:val="21"/>
                      </w:rPr>
                      <w:t>also</w:t>
                    </w:r>
                    <w:r>
                      <w:rPr>
                        <w:spacing w:val="-9"/>
                        <w:w w:val="115"/>
                        <w:sz w:val="21"/>
                      </w:rPr>
                      <w:t> </w:t>
                    </w:r>
                    <w:r>
                      <w:rPr>
                        <w:w w:val="115"/>
                        <w:sz w:val="21"/>
                      </w:rPr>
                      <w:t>include</w:t>
                    </w:r>
                    <w:r>
                      <w:rPr>
                        <w:spacing w:val="-9"/>
                        <w:w w:val="115"/>
                        <w:sz w:val="21"/>
                      </w:rPr>
                      <w:t> </w:t>
                    </w:r>
                    <w:r>
                      <w:rPr>
                        <w:w w:val="115"/>
                        <w:sz w:val="21"/>
                      </w:rPr>
                      <w:t>consideration</w:t>
                    </w:r>
                    <w:r>
                      <w:rPr>
                        <w:spacing w:val="-8"/>
                        <w:w w:val="115"/>
                        <w:sz w:val="21"/>
                      </w:rPr>
                      <w:t> </w:t>
                    </w:r>
                    <w:r>
                      <w:rPr>
                        <w:w w:val="115"/>
                        <w:sz w:val="21"/>
                      </w:rPr>
                      <w:t>of the new</w:t>
                    </w:r>
                    <w:r>
                      <w:rPr>
                        <w:spacing w:val="1"/>
                        <w:w w:val="115"/>
                        <w:sz w:val="21"/>
                      </w:rPr>
                      <w:t> </w:t>
                    </w:r>
                    <w:r>
                      <w:rPr>
                        <w:w w:val="115"/>
                        <w:sz w:val="21"/>
                      </w:rPr>
                      <w:t>Act.</w:t>
                    </w:r>
                  </w:p>
                </w:txbxContent>
              </v:textbox>
              <v:fill type="solid"/>
              <w10:wrap type="none"/>
            </v:shape>
            <v:shape style="position:absolute;left:1587;top:293;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spacing w:before="9"/>
        <w:rPr>
          <w:sz w:val="14"/>
        </w:rPr>
      </w:pPr>
      <w:r>
        <w:rPr/>
        <w:pict>
          <v:line style="position:absolute;mso-position-horizontal-relative:page;mso-position-vertical-relative:paragraph;z-index:7112;mso-wrap-distance-left:0;mso-wrap-distance-right:0" from="79.370003pt,11.472537pt" to="515.905003pt,11.47253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23"/>
        </w:numPr>
        <w:tabs>
          <w:tab w:pos="2380" w:val="left" w:leader="none"/>
          <w:tab w:pos="2382" w:val="left" w:leader="none"/>
        </w:tabs>
        <w:spacing w:line="240" w:lineRule="auto" w:before="48" w:after="0"/>
        <w:ind w:left="2381" w:right="351" w:hanging="794"/>
        <w:jc w:val="left"/>
        <w:rPr>
          <w:sz w:val="13"/>
        </w:rPr>
      </w:pPr>
      <w:r>
        <w:rPr>
          <w:w w:val="105"/>
          <w:sz w:val="13"/>
        </w:rPr>
        <w:t>A natural person means a human being in the ordinary sense, as opposed to artificial persons or entities such as companies which are recognised</w:t>
      </w:r>
      <w:r>
        <w:rPr>
          <w:spacing w:val="5"/>
          <w:w w:val="105"/>
          <w:sz w:val="13"/>
        </w:rPr>
        <w:t> </w:t>
      </w:r>
      <w:r>
        <w:rPr>
          <w:w w:val="105"/>
          <w:sz w:val="13"/>
        </w:rPr>
        <w:t>as</w:t>
      </w:r>
      <w:r>
        <w:rPr>
          <w:spacing w:val="6"/>
          <w:w w:val="105"/>
          <w:sz w:val="13"/>
        </w:rPr>
        <w:t> </w:t>
      </w:r>
      <w:r>
        <w:rPr>
          <w:w w:val="105"/>
          <w:sz w:val="13"/>
        </w:rPr>
        <w:t>legal</w:t>
      </w:r>
      <w:r>
        <w:rPr>
          <w:spacing w:val="6"/>
          <w:w w:val="105"/>
          <w:sz w:val="13"/>
        </w:rPr>
        <w:t> </w:t>
      </w:r>
      <w:r>
        <w:rPr>
          <w:w w:val="105"/>
          <w:sz w:val="13"/>
        </w:rPr>
        <w:t>persons</w:t>
      </w:r>
      <w:r>
        <w:rPr>
          <w:spacing w:val="5"/>
          <w:w w:val="105"/>
          <w:sz w:val="13"/>
        </w:rPr>
        <w:t> </w:t>
      </w:r>
      <w:r>
        <w:rPr>
          <w:w w:val="105"/>
          <w:sz w:val="13"/>
        </w:rPr>
        <w:t>under</w:t>
      </w:r>
      <w:r>
        <w:rPr>
          <w:spacing w:val="6"/>
          <w:w w:val="105"/>
          <w:sz w:val="13"/>
        </w:rPr>
        <w:t> </w:t>
      </w:r>
      <w:r>
        <w:rPr>
          <w:w w:val="105"/>
          <w:sz w:val="13"/>
        </w:rPr>
        <w:t>the</w:t>
      </w:r>
      <w:r>
        <w:rPr>
          <w:spacing w:val="6"/>
          <w:w w:val="105"/>
          <w:sz w:val="13"/>
        </w:rPr>
        <w:t> </w:t>
      </w:r>
      <w:r>
        <w:rPr>
          <w:w w:val="105"/>
          <w:sz w:val="13"/>
        </w:rPr>
        <w:t>law:</w:t>
      </w:r>
      <w:r>
        <w:rPr>
          <w:spacing w:val="5"/>
          <w:w w:val="105"/>
          <w:sz w:val="13"/>
        </w:rPr>
        <w:t> </w:t>
      </w:r>
      <w:r>
        <w:rPr>
          <w:w w:val="105"/>
          <w:sz w:val="13"/>
        </w:rPr>
        <w:t>LexisNexis,</w:t>
      </w:r>
      <w:r>
        <w:rPr>
          <w:spacing w:val="6"/>
          <w:w w:val="105"/>
          <w:sz w:val="13"/>
        </w:rPr>
        <w:t> </w:t>
      </w:r>
      <w:r>
        <w:rPr>
          <w:i/>
          <w:w w:val="105"/>
          <w:sz w:val="13"/>
        </w:rPr>
        <w:t>Encyclopaedic</w:t>
      </w:r>
      <w:r>
        <w:rPr>
          <w:i/>
          <w:spacing w:val="6"/>
          <w:w w:val="105"/>
          <w:sz w:val="13"/>
        </w:rPr>
        <w:t> </w:t>
      </w:r>
      <w:r>
        <w:rPr>
          <w:i/>
          <w:w w:val="105"/>
          <w:sz w:val="13"/>
        </w:rPr>
        <w:t>Australian</w:t>
      </w:r>
      <w:r>
        <w:rPr>
          <w:i/>
          <w:spacing w:val="5"/>
          <w:w w:val="105"/>
          <w:sz w:val="13"/>
        </w:rPr>
        <w:t> </w:t>
      </w:r>
      <w:r>
        <w:rPr>
          <w:i/>
          <w:w w:val="105"/>
          <w:sz w:val="13"/>
        </w:rPr>
        <w:t>Legal</w:t>
      </w:r>
      <w:r>
        <w:rPr>
          <w:i/>
          <w:spacing w:val="6"/>
          <w:w w:val="105"/>
          <w:sz w:val="13"/>
        </w:rPr>
        <w:t> </w:t>
      </w:r>
      <w:r>
        <w:rPr>
          <w:i/>
          <w:w w:val="105"/>
          <w:sz w:val="13"/>
        </w:rPr>
        <w:t>Dictionary</w:t>
      </w:r>
      <w:r>
        <w:rPr>
          <w:i/>
          <w:spacing w:val="6"/>
          <w:w w:val="105"/>
          <w:sz w:val="13"/>
        </w:rPr>
        <w:t> </w:t>
      </w:r>
      <w:r>
        <w:rPr>
          <w:w w:val="105"/>
          <w:sz w:val="13"/>
        </w:rPr>
        <w:t>(at</w:t>
      </w:r>
      <w:r>
        <w:rPr>
          <w:spacing w:val="5"/>
          <w:w w:val="105"/>
          <w:sz w:val="13"/>
        </w:rPr>
        <w:t> </w:t>
      </w:r>
      <w:r>
        <w:rPr>
          <w:spacing w:val="-3"/>
          <w:w w:val="105"/>
          <w:sz w:val="13"/>
        </w:rPr>
        <w:t>15</w:t>
      </w:r>
      <w:r>
        <w:rPr>
          <w:spacing w:val="6"/>
          <w:w w:val="105"/>
          <w:sz w:val="13"/>
        </w:rPr>
        <w:t> </w:t>
      </w:r>
      <w:r>
        <w:rPr>
          <w:w w:val="105"/>
          <w:sz w:val="13"/>
        </w:rPr>
        <w:t>April</w:t>
      </w:r>
      <w:r>
        <w:rPr>
          <w:spacing w:val="6"/>
          <w:w w:val="105"/>
          <w:sz w:val="13"/>
        </w:rPr>
        <w:t> </w:t>
      </w:r>
      <w:r>
        <w:rPr>
          <w:w w:val="105"/>
          <w:sz w:val="13"/>
        </w:rPr>
        <w:t>2019).</w:t>
      </w:r>
    </w:p>
    <w:p>
      <w:pPr>
        <w:pStyle w:val="ListParagraph"/>
        <w:numPr>
          <w:ilvl w:val="0"/>
          <w:numId w:val="123"/>
        </w:numPr>
        <w:tabs>
          <w:tab w:pos="2380" w:val="left" w:leader="none"/>
          <w:tab w:pos="2382" w:val="left" w:leader="none"/>
        </w:tabs>
        <w:spacing w:line="240" w:lineRule="auto" w:before="3" w:after="0"/>
        <w:ind w:left="2381" w:right="116" w:hanging="794"/>
        <w:jc w:val="left"/>
        <w:rPr>
          <w:sz w:val="13"/>
        </w:rPr>
      </w:pPr>
      <w:r>
        <w:rPr>
          <w:sz w:val="13"/>
        </w:rPr>
        <w:t>Within the meaning of section </w:t>
      </w:r>
      <w:r>
        <w:rPr>
          <w:spacing w:val="2"/>
          <w:sz w:val="13"/>
        </w:rPr>
        <w:t>75(iv) </w:t>
      </w:r>
      <w:r>
        <w:rPr>
          <w:sz w:val="13"/>
        </w:rPr>
        <w:t>of  the  </w:t>
      </w:r>
      <w:r>
        <w:rPr>
          <w:i/>
          <w:sz w:val="13"/>
        </w:rPr>
        <w:t>Australian  Constitution</w:t>
      </w:r>
      <w:r>
        <w:rPr>
          <w:sz w:val="13"/>
        </w:rPr>
        <w:t>.  A  resident  of  a  state  does  not  include  a  resident  of  a  territory: Victorian Civil and Administrative Tribunal, </w:t>
      </w:r>
      <w:r>
        <w:rPr>
          <w:i/>
          <w:sz w:val="13"/>
        </w:rPr>
        <w:t>Resolving Disputes Between Residents of Different Australian States </w:t>
      </w:r>
      <w:r>
        <w:rPr>
          <w:sz w:val="13"/>
        </w:rPr>
        <w:t>(Web Page, </w:t>
      </w:r>
      <w:r>
        <w:rPr>
          <w:spacing w:val="-4"/>
          <w:sz w:val="13"/>
        </w:rPr>
        <w:t>13 </w:t>
      </w:r>
      <w:r>
        <w:rPr>
          <w:sz w:val="13"/>
        </w:rPr>
        <w:t>June</w:t>
      </w:r>
      <w:r>
        <w:rPr>
          <w:spacing w:val="-1"/>
          <w:sz w:val="13"/>
        </w:rPr>
        <w:t> </w:t>
      </w:r>
      <w:r>
        <w:rPr>
          <w:sz w:val="13"/>
        </w:rPr>
        <w:t>2018)</w:t>
      </w:r>
    </w:p>
    <w:p>
      <w:pPr>
        <w:spacing w:before="2"/>
        <w:ind w:left="2381" w:right="0" w:firstLine="0"/>
        <w:jc w:val="left"/>
        <w:rPr>
          <w:sz w:val="13"/>
        </w:rPr>
      </w:pPr>
      <w:r>
        <w:rPr>
          <w:sz w:val="13"/>
        </w:rPr>
        <w:t>&lt;https://</w:t>
      </w:r>
      <w:hyperlink r:id="rId199">
        <w:r>
          <w:rPr>
            <w:sz w:val="13"/>
          </w:rPr>
          <w:t>www.vcat.vic.gov.au/news/resolving-disputes-between-residents-of-different-australian-states</w:t>
        </w:r>
      </w:hyperlink>
      <w:r>
        <w:rPr>
          <w:sz w:val="13"/>
        </w:rPr>
        <w:t>&gt;.</w:t>
      </w:r>
    </w:p>
    <w:p>
      <w:pPr>
        <w:pStyle w:val="ListParagraph"/>
        <w:numPr>
          <w:ilvl w:val="0"/>
          <w:numId w:val="123"/>
        </w:numPr>
        <w:tabs>
          <w:tab w:pos="2380" w:val="left" w:leader="none"/>
          <w:tab w:pos="2382" w:val="left" w:leader="none"/>
        </w:tabs>
        <w:spacing w:line="240" w:lineRule="auto" w:before="2" w:after="0"/>
        <w:ind w:left="2381" w:right="0" w:hanging="794"/>
        <w:jc w:val="left"/>
        <w:rPr>
          <w:sz w:val="13"/>
        </w:rPr>
      </w:pPr>
      <w:r>
        <w:rPr>
          <w:i/>
          <w:w w:val="105"/>
          <w:sz w:val="13"/>
        </w:rPr>
        <w:t>Burns v Corbett </w:t>
      </w:r>
      <w:r>
        <w:rPr>
          <w:w w:val="105"/>
          <w:sz w:val="13"/>
        </w:rPr>
        <w:t>(2018) 92 </w:t>
      </w:r>
      <w:r>
        <w:rPr>
          <w:spacing w:val="3"/>
          <w:w w:val="105"/>
          <w:sz w:val="13"/>
        </w:rPr>
        <w:t>ALJR </w:t>
      </w:r>
      <w:r>
        <w:rPr>
          <w:w w:val="105"/>
          <w:sz w:val="13"/>
        </w:rPr>
        <w:t>423</w:t>
      </w:r>
      <w:r>
        <w:rPr>
          <w:spacing w:val="30"/>
          <w:w w:val="105"/>
          <w:sz w:val="13"/>
        </w:rPr>
        <w:t> </w:t>
      </w:r>
      <w:r>
        <w:rPr>
          <w:w w:val="105"/>
          <w:sz w:val="13"/>
        </w:rPr>
        <w:t>[149].</w:t>
      </w:r>
    </w:p>
    <w:p>
      <w:pPr>
        <w:pStyle w:val="ListParagraph"/>
        <w:numPr>
          <w:ilvl w:val="0"/>
          <w:numId w:val="123"/>
        </w:numPr>
        <w:tabs>
          <w:tab w:pos="2380" w:val="left" w:leader="none"/>
          <w:tab w:pos="2382" w:val="left" w:leader="none"/>
        </w:tabs>
        <w:spacing w:line="240" w:lineRule="auto" w:before="1" w:after="0"/>
        <w:ind w:left="2381" w:right="0" w:hanging="794"/>
        <w:jc w:val="left"/>
        <w:rPr>
          <w:i/>
          <w:sz w:val="13"/>
        </w:rPr>
      </w:pPr>
      <w:r>
        <w:rPr>
          <w:w w:val="105"/>
          <w:sz w:val="13"/>
        </w:rPr>
        <w:t>Within</w:t>
      </w:r>
      <w:r>
        <w:rPr>
          <w:spacing w:val="4"/>
          <w:w w:val="105"/>
          <w:sz w:val="13"/>
        </w:rPr>
        <w:t> </w:t>
      </w:r>
      <w:r>
        <w:rPr>
          <w:w w:val="105"/>
          <w:sz w:val="13"/>
        </w:rPr>
        <w:t>the</w:t>
      </w:r>
      <w:r>
        <w:rPr>
          <w:spacing w:val="5"/>
          <w:w w:val="105"/>
          <w:sz w:val="13"/>
        </w:rPr>
        <w:t> </w:t>
      </w:r>
      <w:r>
        <w:rPr>
          <w:w w:val="105"/>
          <w:sz w:val="13"/>
        </w:rPr>
        <w:t>meaning</w:t>
      </w:r>
      <w:r>
        <w:rPr>
          <w:spacing w:val="5"/>
          <w:w w:val="105"/>
          <w:sz w:val="13"/>
        </w:rPr>
        <w:t> </w:t>
      </w:r>
      <w:r>
        <w:rPr>
          <w:w w:val="105"/>
          <w:sz w:val="13"/>
        </w:rPr>
        <w:t>of</w:t>
      </w:r>
      <w:r>
        <w:rPr>
          <w:spacing w:val="4"/>
          <w:w w:val="105"/>
          <w:sz w:val="13"/>
        </w:rPr>
        <w:t> </w:t>
      </w:r>
      <w:r>
        <w:rPr>
          <w:w w:val="105"/>
          <w:sz w:val="13"/>
        </w:rPr>
        <w:t>s</w:t>
      </w:r>
      <w:r>
        <w:rPr>
          <w:spacing w:val="5"/>
          <w:w w:val="105"/>
          <w:sz w:val="13"/>
        </w:rPr>
        <w:t> </w:t>
      </w:r>
      <w:r>
        <w:rPr>
          <w:w w:val="105"/>
          <w:sz w:val="13"/>
        </w:rPr>
        <w:t>77(iii)</w:t>
      </w:r>
      <w:r>
        <w:rPr>
          <w:spacing w:val="5"/>
          <w:w w:val="105"/>
          <w:sz w:val="13"/>
        </w:rPr>
        <w:t> </w:t>
      </w:r>
      <w:r>
        <w:rPr>
          <w:w w:val="105"/>
          <w:sz w:val="13"/>
        </w:rPr>
        <w:t>of</w:t>
      </w:r>
      <w:r>
        <w:rPr>
          <w:spacing w:val="5"/>
          <w:w w:val="105"/>
          <w:sz w:val="13"/>
        </w:rPr>
        <w:t> </w:t>
      </w:r>
      <w:r>
        <w:rPr>
          <w:w w:val="105"/>
          <w:sz w:val="13"/>
        </w:rPr>
        <w:t>the</w:t>
      </w:r>
      <w:r>
        <w:rPr>
          <w:spacing w:val="4"/>
          <w:w w:val="105"/>
          <w:sz w:val="13"/>
        </w:rPr>
        <w:t> </w:t>
      </w:r>
      <w:r>
        <w:rPr>
          <w:i/>
          <w:w w:val="105"/>
          <w:sz w:val="13"/>
        </w:rPr>
        <w:t>Australian</w:t>
      </w:r>
      <w:r>
        <w:rPr>
          <w:i/>
          <w:spacing w:val="5"/>
          <w:w w:val="105"/>
          <w:sz w:val="13"/>
        </w:rPr>
        <w:t> </w:t>
      </w:r>
      <w:r>
        <w:rPr>
          <w:i/>
          <w:w w:val="105"/>
          <w:sz w:val="13"/>
        </w:rPr>
        <w:t>Constitution.</w:t>
      </w:r>
    </w:p>
    <w:p>
      <w:pPr>
        <w:pStyle w:val="ListParagraph"/>
        <w:numPr>
          <w:ilvl w:val="0"/>
          <w:numId w:val="123"/>
        </w:numPr>
        <w:tabs>
          <w:tab w:pos="2380" w:val="left" w:leader="none"/>
          <w:tab w:pos="2382" w:val="left" w:leader="none"/>
        </w:tabs>
        <w:spacing w:line="240" w:lineRule="auto" w:before="1" w:after="0"/>
        <w:ind w:left="1587" w:right="3689" w:firstLine="0"/>
        <w:jc w:val="left"/>
        <w:rPr>
          <w:sz w:val="13"/>
        </w:rPr>
      </w:pPr>
      <w:r>
        <w:rPr>
          <w:w w:val="105"/>
          <w:sz w:val="13"/>
        </w:rPr>
        <w:t>See generally </w:t>
      </w:r>
      <w:r>
        <w:rPr>
          <w:i/>
          <w:w w:val="105"/>
          <w:sz w:val="13"/>
        </w:rPr>
        <w:t>Victorian Civil and Administrative Tribunal Act 1998 </w:t>
      </w:r>
      <w:r>
        <w:rPr>
          <w:spacing w:val="2"/>
          <w:w w:val="105"/>
          <w:sz w:val="13"/>
        </w:rPr>
        <w:t>(Vic) </w:t>
      </w:r>
      <w:r>
        <w:rPr>
          <w:w w:val="105"/>
          <w:sz w:val="13"/>
        </w:rPr>
        <w:t>s 8. </w:t>
      </w:r>
      <w:r>
        <w:rPr>
          <w:spacing w:val="-2"/>
          <w:w w:val="105"/>
          <w:sz w:val="13"/>
        </w:rPr>
        <w:t>271</w:t>
        <w:tab/>
      </w:r>
      <w:r>
        <w:rPr>
          <w:w w:val="105"/>
          <w:sz w:val="13"/>
        </w:rPr>
        <w:t>(2018) 92 </w:t>
      </w:r>
      <w:r>
        <w:rPr>
          <w:spacing w:val="3"/>
          <w:w w:val="105"/>
          <w:sz w:val="13"/>
        </w:rPr>
        <w:t>ALJR</w:t>
      </w:r>
      <w:r>
        <w:rPr>
          <w:spacing w:val="14"/>
          <w:w w:val="105"/>
          <w:sz w:val="13"/>
        </w:rPr>
        <w:t> </w:t>
      </w:r>
      <w:r>
        <w:rPr>
          <w:w w:val="105"/>
          <w:sz w:val="13"/>
        </w:rPr>
        <w:t>423.</w:t>
      </w:r>
    </w:p>
    <w:p>
      <w:pPr>
        <w:pStyle w:val="ListParagraph"/>
        <w:numPr>
          <w:ilvl w:val="0"/>
          <w:numId w:val="124"/>
        </w:numPr>
        <w:tabs>
          <w:tab w:pos="2381" w:val="left" w:leader="none"/>
          <w:tab w:pos="2382" w:val="left" w:leader="none"/>
        </w:tabs>
        <w:spacing w:line="240" w:lineRule="auto" w:before="3" w:after="0"/>
        <w:ind w:left="2381" w:right="0" w:hanging="794"/>
        <w:jc w:val="left"/>
        <w:rPr>
          <w:sz w:val="13"/>
        </w:rPr>
      </w:pPr>
      <w:r>
        <w:rPr>
          <w:i/>
          <w:w w:val="105"/>
          <w:sz w:val="13"/>
        </w:rPr>
        <w:t>Burns</w:t>
      </w:r>
      <w:r>
        <w:rPr>
          <w:i/>
          <w:spacing w:val="5"/>
          <w:w w:val="105"/>
          <w:sz w:val="13"/>
        </w:rPr>
        <w:t> </w:t>
      </w:r>
      <w:r>
        <w:rPr>
          <w:i/>
          <w:w w:val="105"/>
          <w:sz w:val="13"/>
        </w:rPr>
        <w:t>v</w:t>
      </w:r>
      <w:r>
        <w:rPr>
          <w:i/>
          <w:spacing w:val="6"/>
          <w:w w:val="105"/>
          <w:sz w:val="13"/>
        </w:rPr>
        <w:t> </w:t>
      </w:r>
      <w:r>
        <w:rPr>
          <w:i/>
          <w:w w:val="105"/>
          <w:sz w:val="13"/>
        </w:rPr>
        <w:t>Corbett</w:t>
      </w:r>
      <w:r>
        <w:rPr>
          <w:i/>
          <w:spacing w:val="5"/>
          <w:w w:val="105"/>
          <w:sz w:val="13"/>
        </w:rPr>
        <w:t> </w:t>
      </w:r>
      <w:r>
        <w:rPr>
          <w:w w:val="105"/>
          <w:sz w:val="13"/>
        </w:rPr>
        <w:t>(2018)</w:t>
      </w:r>
      <w:r>
        <w:rPr>
          <w:spacing w:val="6"/>
          <w:w w:val="105"/>
          <w:sz w:val="13"/>
        </w:rPr>
        <w:t> </w:t>
      </w:r>
      <w:r>
        <w:rPr>
          <w:w w:val="105"/>
          <w:sz w:val="13"/>
        </w:rPr>
        <w:t>92</w:t>
      </w:r>
      <w:r>
        <w:rPr>
          <w:spacing w:val="6"/>
          <w:w w:val="105"/>
          <w:sz w:val="13"/>
        </w:rPr>
        <w:t> </w:t>
      </w:r>
      <w:r>
        <w:rPr>
          <w:spacing w:val="3"/>
          <w:w w:val="105"/>
          <w:sz w:val="13"/>
        </w:rPr>
        <w:t>ALJR</w:t>
      </w:r>
      <w:r>
        <w:rPr>
          <w:spacing w:val="5"/>
          <w:w w:val="105"/>
          <w:sz w:val="13"/>
        </w:rPr>
        <w:t> </w:t>
      </w:r>
      <w:r>
        <w:rPr>
          <w:w w:val="105"/>
          <w:sz w:val="13"/>
        </w:rPr>
        <w:t>423</w:t>
      </w:r>
      <w:r>
        <w:rPr>
          <w:spacing w:val="6"/>
          <w:w w:val="105"/>
          <w:sz w:val="13"/>
        </w:rPr>
        <w:t> </w:t>
      </w:r>
      <w:r>
        <w:rPr>
          <w:spacing w:val="3"/>
          <w:w w:val="105"/>
          <w:sz w:val="13"/>
        </w:rPr>
        <w:t>[64]</w:t>
      </w:r>
      <w:r>
        <w:rPr>
          <w:spacing w:val="5"/>
          <w:w w:val="105"/>
          <w:sz w:val="13"/>
        </w:rPr>
        <w:t> </w:t>
      </w:r>
      <w:r>
        <w:rPr>
          <w:w w:val="105"/>
          <w:sz w:val="13"/>
        </w:rPr>
        <w:t>(Kiefel</w:t>
      </w:r>
      <w:r>
        <w:rPr>
          <w:spacing w:val="6"/>
          <w:w w:val="105"/>
          <w:sz w:val="13"/>
        </w:rPr>
        <w:t> </w:t>
      </w:r>
      <w:r>
        <w:rPr>
          <w:w w:val="105"/>
          <w:sz w:val="13"/>
        </w:rPr>
        <w:t>CJ,</w:t>
      </w:r>
      <w:r>
        <w:rPr>
          <w:spacing w:val="6"/>
          <w:w w:val="105"/>
          <w:sz w:val="13"/>
        </w:rPr>
        <w:t> </w:t>
      </w:r>
      <w:r>
        <w:rPr>
          <w:w w:val="105"/>
          <w:sz w:val="13"/>
        </w:rPr>
        <w:t>Bell</w:t>
      </w:r>
      <w:r>
        <w:rPr>
          <w:spacing w:val="5"/>
          <w:w w:val="105"/>
          <w:sz w:val="13"/>
        </w:rPr>
        <w:t> </w:t>
      </w:r>
      <w:r>
        <w:rPr>
          <w:w w:val="105"/>
          <w:sz w:val="13"/>
        </w:rPr>
        <w:t>J,</w:t>
      </w:r>
      <w:r>
        <w:rPr>
          <w:spacing w:val="6"/>
          <w:w w:val="105"/>
          <w:sz w:val="13"/>
        </w:rPr>
        <w:t> </w:t>
      </w:r>
      <w:r>
        <w:rPr>
          <w:w w:val="105"/>
          <w:sz w:val="13"/>
        </w:rPr>
        <w:t>Keane</w:t>
      </w:r>
      <w:r>
        <w:rPr>
          <w:spacing w:val="5"/>
          <w:w w:val="105"/>
          <w:sz w:val="13"/>
        </w:rPr>
        <w:t> </w:t>
      </w:r>
      <w:r>
        <w:rPr>
          <w:spacing w:val="3"/>
          <w:w w:val="105"/>
          <w:sz w:val="13"/>
        </w:rPr>
        <w:t>J);</w:t>
      </w:r>
      <w:r>
        <w:rPr>
          <w:spacing w:val="6"/>
          <w:w w:val="105"/>
          <w:sz w:val="13"/>
        </w:rPr>
        <w:t> </w:t>
      </w:r>
      <w:r>
        <w:rPr>
          <w:w w:val="105"/>
          <w:sz w:val="13"/>
        </w:rPr>
        <w:t>see</w:t>
      </w:r>
      <w:r>
        <w:rPr>
          <w:spacing w:val="6"/>
          <w:w w:val="105"/>
          <w:sz w:val="13"/>
        </w:rPr>
        <w:t> </w:t>
      </w:r>
      <w:r>
        <w:rPr>
          <w:w w:val="105"/>
          <w:sz w:val="13"/>
        </w:rPr>
        <w:t>also</w:t>
      </w:r>
      <w:r>
        <w:rPr>
          <w:spacing w:val="5"/>
          <w:w w:val="105"/>
          <w:sz w:val="13"/>
        </w:rPr>
        <w:t> </w:t>
      </w:r>
      <w:r>
        <w:rPr>
          <w:i/>
          <w:w w:val="105"/>
          <w:sz w:val="13"/>
        </w:rPr>
        <w:t>Judiciary</w:t>
      </w:r>
      <w:r>
        <w:rPr>
          <w:i/>
          <w:spacing w:val="6"/>
          <w:w w:val="105"/>
          <w:sz w:val="13"/>
        </w:rPr>
        <w:t> </w:t>
      </w:r>
      <w:r>
        <w:rPr>
          <w:i/>
          <w:w w:val="105"/>
          <w:sz w:val="13"/>
        </w:rPr>
        <w:t>Act</w:t>
      </w:r>
      <w:r>
        <w:rPr>
          <w:i/>
          <w:spacing w:val="5"/>
          <w:w w:val="105"/>
          <w:sz w:val="13"/>
        </w:rPr>
        <w:t> </w:t>
      </w:r>
      <w:r>
        <w:rPr>
          <w:i/>
          <w:w w:val="105"/>
          <w:sz w:val="13"/>
        </w:rPr>
        <w:t>1903</w:t>
      </w:r>
      <w:r>
        <w:rPr>
          <w:i/>
          <w:spacing w:val="6"/>
          <w:w w:val="105"/>
          <w:sz w:val="13"/>
        </w:rPr>
        <w:t> </w:t>
      </w:r>
      <w:r>
        <w:rPr>
          <w:w w:val="105"/>
          <w:sz w:val="13"/>
        </w:rPr>
        <w:t>(Cth)</w:t>
      </w:r>
      <w:r>
        <w:rPr>
          <w:spacing w:val="6"/>
          <w:w w:val="105"/>
          <w:sz w:val="13"/>
        </w:rPr>
        <w:t> </w:t>
      </w:r>
      <w:r>
        <w:rPr>
          <w:w w:val="105"/>
          <w:sz w:val="13"/>
        </w:rPr>
        <w:t>s</w:t>
      </w:r>
      <w:r>
        <w:rPr>
          <w:spacing w:val="5"/>
          <w:w w:val="105"/>
          <w:sz w:val="13"/>
        </w:rPr>
        <w:t> </w:t>
      </w:r>
      <w:r>
        <w:rPr>
          <w:spacing w:val="3"/>
          <w:w w:val="105"/>
          <w:sz w:val="13"/>
        </w:rPr>
        <w:t>39(2).</w:t>
      </w:r>
    </w:p>
    <w:p>
      <w:pPr>
        <w:pStyle w:val="ListParagraph"/>
        <w:numPr>
          <w:ilvl w:val="0"/>
          <w:numId w:val="124"/>
        </w:numPr>
        <w:tabs>
          <w:tab w:pos="2381" w:val="left" w:leader="none"/>
          <w:tab w:pos="2382" w:val="left" w:leader="none"/>
        </w:tabs>
        <w:spacing w:line="240" w:lineRule="auto" w:before="1" w:after="0"/>
        <w:ind w:left="2381" w:right="0" w:hanging="794"/>
        <w:jc w:val="left"/>
        <w:rPr>
          <w:sz w:val="13"/>
        </w:rPr>
      </w:pPr>
      <w:r>
        <w:rPr>
          <w:w w:val="105"/>
          <w:sz w:val="13"/>
        </w:rPr>
        <w:t>Talitha Fishburn, ‘If NCAT is Not a Court It Has No Standing to Hear Interstate </w:t>
      </w:r>
      <w:r>
        <w:rPr>
          <w:spacing w:val="2"/>
          <w:w w:val="105"/>
          <w:sz w:val="13"/>
        </w:rPr>
        <w:t>Party </w:t>
      </w:r>
      <w:r>
        <w:rPr>
          <w:w w:val="105"/>
          <w:sz w:val="13"/>
        </w:rPr>
        <w:t>Disputes’ [2018] (Spring), </w:t>
      </w:r>
      <w:r>
        <w:rPr>
          <w:i/>
          <w:w w:val="105"/>
          <w:sz w:val="13"/>
        </w:rPr>
        <w:t>The Journal of the NSW Bar </w:t>
      </w:r>
      <w:r>
        <w:rPr>
          <w:i/>
          <w:w w:val="105"/>
          <w:sz w:val="13"/>
        </w:rPr>
        <w:t>Association, </w:t>
      </w:r>
      <w:r>
        <w:rPr>
          <w:w w:val="105"/>
          <w:sz w:val="13"/>
        </w:rPr>
        <w:t>33, </w:t>
      </w:r>
      <w:r>
        <w:rPr>
          <w:spacing w:val="2"/>
          <w:w w:val="105"/>
          <w:sz w:val="13"/>
        </w:rPr>
        <w:t>34; </w:t>
      </w:r>
      <w:r>
        <w:rPr>
          <w:w w:val="105"/>
          <w:sz w:val="13"/>
        </w:rPr>
        <w:t>WestLaw AU, </w:t>
      </w:r>
      <w:r>
        <w:rPr>
          <w:i/>
          <w:spacing w:val="2"/>
          <w:w w:val="105"/>
          <w:sz w:val="13"/>
        </w:rPr>
        <w:t>Lawyers </w:t>
      </w:r>
      <w:r>
        <w:rPr>
          <w:i/>
          <w:w w:val="105"/>
          <w:sz w:val="13"/>
        </w:rPr>
        <w:t>Practice Manual Vic </w:t>
      </w:r>
      <w:r>
        <w:rPr>
          <w:w w:val="105"/>
          <w:sz w:val="13"/>
        </w:rPr>
        <w:t>(online at </w:t>
      </w:r>
      <w:r>
        <w:rPr>
          <w:spacing w:val="-6"/>
          <w:w w:val="105"/>
          <w:sz w:val="13"/>
        </w:rPr>
        <w:t>11 </w:t>
      </w:r>
      <w:r>
        <w:rPr>
          <w:w w:val="105"/>
          <w:sz w:val="13"/>
        </w:rPr>
        <w:t>June 2019) ‘7 Administrative Law’ [7.1.204]; Victoria Legal Aid, ‘High Court Decision Affecting Your Practice in VCAT’, </w:t>
      </w:r>
      <w:r>
        <w:rPr>
          <w:i/>
          <w:w w:val="105"/>
          <w:sz w:val="13"/>
        </w:rPr>
        <w:t>News </w:t>
      </w:r>
      <w:r>
        <w:rPr>
          <w:w w:val="105"/>
          <w:sz w:val="13"/>
        </w:rPr>
        <w:t>(Web Page, 30 May 2018) </w:t>
      </w:r>
      <w:r>
        <w:rPr>
          <w:spacing w:val="2"/>
          <w:w w:val="105"/>
          <w:sz w:val="13"/>
        </w:rPr>
        <w:t>&lt;https://</w:t>
      </w:r>
      <w:hyperlink r:id="rId200">
        <w:r>
          <w:rPr>
            <w:spacing w:val="2"/>
            <w:w w:val="105"/>
            <w:sz w:val="13"/>
          </w:rPr>
          <w:t>www.legalaid.vic.gov.au/about-us/news/</w:t>
        </w:r>
      </w:hyperlink>
      <w:r>
        <w:rPr>
          <w:spacing w:val="2"/>
          <w:w w:val="105"/>
          <w:sz w:val="13"/>
        </w:rPr>
        <w:t> </w:t>
      </w:r>
      <w:r>
        <w:rPr>
          <w:w w:val="105"/>
          <w:sz w:val="13"/>
        </w:rPr>
        <w:t>high-court-decision-affecting-your-practice-in-vcat&gt;.</w:t>
      </w:r>
    </w:p>
    <w:p>
      <w:pPr>
        <w:pStyle w:val="ListParagraph"/>
        <w:numPr>
          <w:ilvl w:val="0"/>
          <w:numId w:val="124"/>
        </w:numPr>
        <w:tabs>
          <w:tab w:pos="2381" w:val="left" w:leader="none"/>
          <w:tab w:pos="2382" w:val="left" w:leader="none"/>
        </w:tabs>
        <w:spacing w:line="240" w:lineRule="auto" w:before="6" w:after="0"/>
        <w:ind w:left="2381" w:right="0" w:hanging="794"/>
        <w:jc w:val="left"/>
        <w:rPr>
          <w:sz w:val="13"/>
        </w:rPr>
      </w:pPr>
      <w:r>
        <w:rPr>
          <w:w w:val="105"/>
          <w:sz w:val="13"/>
        </w:rPr>
        <w:t>Victorian</w:t>
      </w:r>
      <w:r>
        <w:rPr>
          <w:spacing w:val="7"/>
          <w:w w:val="105"/>
          <w:sz w:val="13"/>
        </w:rPr>
        <w:t> </w:t>
      </w:r>
      <w:r>
        <w:rPr>
          <w:w w:val="105"/>
          <w:sz w:val="13"/>
        </w:rPr>
        <w:t>Civil</w:t>
      </w:r>
      <w:r>
        <w:rPr>
          <w:spacing w:val="7"/>
          <w:w w:val="105"/>
          <w:sz w:val="13"/>
        </w:rPr>
        <w:t> </w:t>
      </w:r>
      <w:r>
        <w:rPr>
          <w:w w:val="105"/>
          <w:sz w:val="13"/>
        </w:rPr>
        <w:t>and</w:t>
      </w:r>
      <w:r>
        <w:rPr>
          <w:spacing w:val="7"/>
          <w:w w:val="105"/>
          <w:sz w:val="13"/>
        </w:rPr>
        <w:t> </w:t>
      </w:r>
      <w:r>
        <w:rPr>
          <w:w w:val="105"/>
          <w:sz w:val="13"/>
        </w:rPr>
        <w:t>Administrative</w:t>
      </w:r>
      <w:r>
        <w:rPr>
          <w:spacing w:val="8"/>
          <w:w w:val="105"/>
          <w:sz w:val="13"/>
        </w:rPr>
        <w:t> </w:t>
      </w:r>
      <w:r>
        <w:rPr>
          <w:w w:val="105"/>
          <w:sz w:val="13"/>
        </w:rPr>
        <w:t>Tribunal,</w:t>
      </w:r>
      <w:r>
        <w:rPr>
          <w:spacing w:val="7"/>
          <w:w w:val="105"/>
          <w:sz w:val="13"/>
        </w:rPr>
        <w:t> </w:t>
      </w:r>
      <w:r>
        <w:rPr>
          <w:i/>
          <w:w w:val="105"/>
          <w:sz w:val="13"/>
        </w:rPr>
        <w:t>Resolving</w:t>
      </w:r>
      <w:r>
        <w:rPr>
          <w:i/>
          <w:spacing w:val="7"/>
          <w:w w:val="105"/>
          <w:sz w:val="13"/>
        </w:rPr>
        <w:t> </w:t>
      </w:r>
      <w:r>
        <w:rPr>
          <w:i/>
          <w:w w:val="105"/>
          <w:sz w:val="13"/>
        </w:rPr>
        <w:t>Disputes</w:t>
      </w:r>
      <w:r>
        <w:rPr>
          <w:i/>
          <w:spacing w:val="8"/>
          <w:w w:val="105"/>
          <w:sz w:val="13"/>
        </w:rPr>
        <w:t> </w:t>
      </w:r>
      <w:r>
        <w:rPr>
          <w:i/>
          <w:w w:val="105"/>
          <w:sz w:val="13"/>
        </w:rPr>
        <w:t>Between</w:t>
      </w:r>
      <w:r>
        <w:rPr>
          <w:i/>
          <w:spacing w:val="7"/>
          <w:w w:val="105"/>
          <w:sz w:val="13"/>
        </w:rPr>
        <w:t> </w:t>
      </w:r>
      <w:r>
        <w:rPr>
          <w:i/>
          <w:w w:val="105"/>
          <w:sz w:val="13"/>
        </w:rPr>
        <w:t>Residents</w:t>
      </w:r>
      <w:r>
        <w:rPr>
          <w:i/>
          <w:spacing w:val="7"/>
          <w:w w:val="105"/>
          <w:sz w:val="13"/>
        </w:rPr>
        <w:t> </w:t>
      </w:r>
      <w:r>
        <w:rPr>
          <w:i/>
          <w:w w:val="105"/>
          <w:sz w:val="13"/>
        </w:rPr>
        <w:t>of</w:t>
      </w:r>
      <w:r>
        <w:rPr>
          <w:i/>
          <w:spacing w:val="8"/>
          <w:w w:val="105"/>
          <w:sz w:val="13"/>
        </w:rPr>
        <w:t> </w:t>
      </w:r>
      <w:r>
        <w:rPr>
          <w:i/>
          <w:w w:val="105"/>
          <w:sz w:val="13"/>
        </w:rPr>
        <w:t>Different</w:t>
      </w:r>
      <w:r>
        <w:rPr>
          <w:i/>
          <w:spacing w:val="7"/>
          <w:w w:val="105"/>
          <w:sz w:val="13"/>
        </w:rPr>
        <w:t> </w:t>
      </w:r>
      <w:r>
        <w:rPr>
          <w:i/>
          <w:w w:val="105"/>
          <w:sz w:val="13"/>
        </w:rPr>
        <w:t>Australian</w:t>
      </w:r>
      <w:r>
        <w:rPr>
          <w:i/>
          <w:spacing w:val="7"/>
          <w:w w:val="105"/>
          <w:sz w:val="13"/>
        </w:rPr>
        <w:t> </w:t>
      </w:r>
      <w:r>
        <w:rPr>
          <w:i/>
          <w:w w:val="105"/>
          <w:sz w:val="13"/>
        </w:rPr>
        <w:t>States</w:t>
      </w:r>
      <w:r>
        <w:rPr>
          <w:i/>
          <w:spacing w:val="8"/>
          <w:w w:val="105"/>
          <w:sz w:val="13"/>
        </w:rPr>
        <w:t> </w:t>
      </w:r>
      <w:r>
        <w:rPr>
          <w:w w:val="105"/>
          <w:sz w:val="13"/>
        </w:rPr>
        <w:t>(Web</w:t>
      </w:r>
      <w:r>
        <w:rPr>
          <w:spacing w:val="7"/>
          <w:w w:val="105"/>
          <w:sz w:val="13"/>
        </w:rPr>
        <w:t> </w:t>
      </w:r>
      <w:r>
        <w:rPr>
          <w:w w:val="105"/>
          <w:sz w:val="13"/>
        </w:rPr>
        <w:t>Page,</w:t>
      </w:r>
      <w:r>
        <w:rPr>
          <w:spacing w:val="7"/>
          <w:w w:val="105"/>
          <w:sz w:val="13"/>
        </w:rPr>
        <w:t> </w:t>
      </w:r>
      <w:r>
        <w:rPr>
          <w:spacing w:val="-4"/>
          <w:w w:val="105"/>
          <w:sz w:val="13"/>
        </w:rPr>
        <w:t>13</w:t>
      </w:r>
      <w:r>
        <w:rPr>
          <w:spacing w:val="8"/>
          <w:w w:val="105"/>
          <w:sz w:val="13"/>
        </w:rPr>
        <w:t> </w:t>
      </w:r>
      <w:r>
        <w:rPr>
          <w:w w:val="105"/>
          <w:sz w:val="13"/>
        </w:rPr>
        <w:t>June</w:t>
      </w:r>
      <w:r>
        <w:rPr>
          <w:spacing w:val="7"/>
          <w:w w:val="105"/>
          <w:sz w:val="13"/>
        </w:rPr>
        <w:t> </w:t>
      </w:r>
      <w:r>
        <w:rPr>
          <w:w w:val="105"/>
          <w:sz w:val="13"/>
        </w:rPr>
        <w:t>2018)</w:t>
      </w:r>
    </w:p>
    <w:p>
      <w:pPr>
        <w:spacing w:before="1"/>
        <w:ind w:left="2381" w:right="0" w:firstLine="0"/>
        <w:jc w:val="left"/>
        <w:rPr>
          <w:sz w:val="13"/>
        </w:rPr>
      </w:pPr>
      <w:r>
        <w:rPr>
          <w:sz w:val="13"/>
        </w:rPr>
        <w:t>&lt;https://</w:t>
      </w:r>
      <w:hyperlink r:id="rId199">
        <w:r>
          <w:rPr>
            <w:sz w:val="13"/>
          </w:rPr>
          <w:t>www.vcat.vic.gov.au/news/resolving-disputes-between-residents-of-different-australian-states</w:t>
        </w:r>
      </w:hyperlink>
      <w:r>
        <w:rPr>
          <w:sz w:val="13"/>
        </w:rPr>
        <w:t>&gt;.</w:t>
      </w:r>
    </w:p>
    <w:p>
      <w:pPr>
        <w:tabs>
          <w:tab w:pos="2381" w:val="left" w:leader="none"/>
        </w:tabs>
        <w:spacing w:before="1"/>
        <w:ind w:left="1587" w:right="0" w:firstLine="0"/>
        <w:jc w:val="left"/>
        <w:rPr>
          <w:sz w:val="13"/>
        </w:rPr>
      </w:pPr>
      <w:r>
        <w:rPr>
          <w:w w:val="105"/>
          <w:sz w:val="13"/>
        </w:rPr>
        <w:t>275</w:t>
        <w:tab/>
        <w:t>(2018) 92 </w:t>
      </w:r>
      <w:r>
        <w:rPr>
          <w:spacing w:val="3"/>
          <w:w w:val="105"/>
          <w:sz w:val="13"/>
        </w:rPr>
        <w:t>ALJR</w:t>
      </w:r>
      <w:r>
        <w:rPr>
          <w:spacing w:val="14"/>
          <w:w w:val="105"/>
          <w:sz w:val="13"/>
        </w:rPr>
        <w:t> </w:t>
      </w:r>
      <w:r>
        <w:rPr>
          <w:w w:val="105"/>
          <w:sz w:val="13"/>
        </w:rPr>
        <w:t>423.</w:t>
      </w:r>
    </w:p>
    <w:p>
      <w:pPr>
        <w:tabs>
          <w:tab w:pos="2381" w:val="left" w:leader="none"/>
        </w:tabs>
        <w:spacing w:before="2"/>
        <w:ind w:left="2381" w:right="145" w:hanging="794"/>
        <w:jc w:val="left"/>
        <w:rPr>
          <w:sz w:val="13"/>
        </w:rPr>
      </w:pPr>
      <w:r>
        <w:rPr>
          <w:w w:val="105"/>
          <w:sz w:val="13"/>
        </w:rPr>
        <w:t>276</w:t>
        <w:tab/>
        <w:t>Victorian Civil and Administrative Tribunal, </w:t>
      </w:r>
      <w:r>
        <w:rPr>
          <w:i/>
          <w:w w:val="105"/>
          <w:sz w:val="13"/>
        </w:rPr>
        <w:t>Resolving Disputes Between Residents of Different  Australian  States  </w:t>
      </w:r>
      <w:r>
        <w:rPr>
          <w:w w:val="105"/>
          <w:sz w:val="13"/>
        </w:rPr>
        <w:t>(Web  Page,  </w:t>
      </w:r>
      <w:r>
        <w:rPr>
          <w:spacing w:val="-4"/>
          <w:w w:val="105"/>
          <w:sz w:val="13"/>
        </w:rPr>
        <w:t>13  </w:t>
      </w:r>
      <w:r>
        <w:rPr>
          <w:w w:val="105"/>
          <w:sz w:val="13"/>
        </w:rPr>
        <w:t>June 2018) &lt;https://</w:t>
      </w:r>
      <w:hyperlink r:id="rId199">
        <w:r>
          <w:rPr>
            <w:w w:val="105"/>
            <w:sz w:val="13"/>
          </w:rPr>
          <w:t>www.vcat.vic.gov.au/news/resolving-disputes-between-residents-of-different-australian-states</w:t>
        </w:r>
      </w:hyperlink>
      <w:r>
        <w:rPr>
          <w:w w:val="105"/>
          <w:sz w:val="13"/>
        </w:rPr>
        <w:t>&gt;. VCAT also states on this webpage</w:t>
      </w:r>
      <w:r>
        <w:rPr>
          <w:spacing w:val="4"/>
          <w:w w:val="105"/>
          <w:sz w:val="13"/>
        </w:rPr>
        <w:t> </w:t>
      </w:r>
      <w:r>
        <w:rPr>
          <w:w w:val="105"/>
          <w:sz w:val="13"/>
        </w:rPr>
        <w:t>that</w:t>
      </w:r>
      <w:r>
        <w:rPr>
          <w:spacing w:val="4"/>
          <w:w w:val="105"/>
          <w:sz w:val="13"/>
        </w:rPr>
        <w:t> </w:t>
      </w:r>
      <w:r>
        <w:rPr>
          <w:w w:val="105"/>
          <w:sz w:val="13"/>
        </w:rPr>
        <w:t>‘any</w:t>
      </w:r>
      <w:r>
        <w:rPr>
          <w:spacing w:val="5"/>
          <w:w w:val="105"/>
          <w:sz w:val="13"/>
        </w:rPr>
        <w:t> </w:t>
      </w:r>
      <w:r>
        <w:rPr>
          <w:w w:val="105"/>
          <w:sz w:val="13"/>
        </w:rPr>
        <w:t>referral</w:t>
      </w:r>
      <w:r>
        <w:rPr>
          <w:spacing w:val="4"/>
          <w:w w:val="105"/>
          <w:sz w:val="13"/>
        </w:rPr>
        <w:t> </w:t>
      </w:r>
      <w:r>
        <w:rPr>
          <w:w w:val="105"/>
          <w:sz w:val="13"/>
        </w:rPr>
        <w:t>to</w:t>
      </w:r>
      <w:r>
        <w:rPr>
          <w:spacing w:val="5"/>
          <w:w w:val="105"/>
          <w:sz w:val="13"/>
        </w:rPr>
        <w:t> </w:t>
      </w:r>
      <w:r>
        <w:rPr>
          <w:w w:val="105"/>
          <w:sz w:val="13"/>
        </w:rPr>
        <w:t>the</w:t>
      </w:r>
      <w:r>
        <w:rPr>
          <w:spacing w:val="4"/>
          <w:w w:val="105"/>
          <w:sz w:val="13"/>
        </w:rPr>
        <w:t> </w:t>
      </w:r>
      <w:r>
        <w:rPr>
          <w:w w:val="105"/>
          <w:sz w:val="13"/>
        </w:rPr>
        <w:t>Supreme</w:t>
      </w:r>
      <w:r>
        <w:rPr>
          <w:spacing w:val="5"/>
          <w:w w:val="105"/>
          <w:sz w:val="13"/>
        </w:rPr>
        <w:t> </w:t>
      </w:r>
      <w:r>
        <w:rPr>
          <w:w w:val="105"/>
          <w:sz w:val="13"/>
        </w:rPr>
        <w:t>Court</w:t>
      </w:r>
      <w:r>
        <w:rPr>
          <w:spacing w:val="4"/>
          <w:w w:val="105"/>
          <w:sz w:val="13"/>
        </w:rPr>
        <w:t> </w:t>
      </w:r>
      <w:r>
        <w:rPr>
          <w:w w:val="105"/>
          <w:sz w:val="13"/>
        </w:rPr>
        <w:t>requires</w:t>
      </w:r>
      <w:r>
        <w:rPr>
          <w:spacing w:val="5"/>
          <w:w w:val="105"/>
          <w:sz w:val="13"/>
        </w:rPr>
        <w:t> </w:t>
      </w:r>
      <w:r>
        <w:rPr>
          <w:w w:val="105"/>
          <w:sz w:val="13"/>
        </w:rPr>
        <w:t>the</w:t>
      </w:r>
      <w:r>
        <w:rPr>
          <w:spacing w:val="4"/>
          <w:w w:val="105"/>
          <w:sz w:val="13"/>
        </w:rPr>
        <w:t> </w:t>
      </w:r>
      <w:r>
        <w:rPr>
          <w:w w:val="105"/>
          <w:sz w:val="13"/>
        </w:rPr>
        <w:t>consent</w:t>
      </w:r>
      <w:r>
        <w:rPr>
          <w:spacing w:val="5"/>
          <w:w w:val="105"/>
          <w:sz w:val="13"/>
        </w:rPr>
        <w:t> </w:t>
      </w:r>
      <w:r>
        <w:rPr>
          <w:w w:val="105"/>
          <w:sz w:val="13"/>
        </w:rPr>
        <w:t>of</w:t>
      </w:r>
      <w:r>
        <w:rPr>
          <w:spacing w:val="4"/>
          <w:w w:val="105"/>
          <w:sz w:val="13"/>
        </w:rPr>
        <w:t> </w:t>
      </w:r>
      <w:r>
        <w:rPr>
          <w:w w:val="105"/>
          <w:sz w:val="13"/>
        </w:rPr>
        <w:t>VCAT’s</w:t>
      </w:r>
      <w:r>
        <w:rPr>
          <w:spacing w:val="5"/>
          <w:w w:val="105"/>
          <w:sz w:val="13"/>
        </w:rPr>
        <w:t> </w:t>
      </w:r>
      <w:r>
        <w:rPr>
          <w:w w:val="105"/>
          <w:sz w:val="13"/>
        </w:rPr>
        <w:t>President’.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49"/>
        <w:ind w:left="555" w:right="572" w:firstLine="0"/>
        <w:jc w:val="center"/>
        <w:rPr>
          <w:b/>
          <w:sz w:val="24"/>
        </w:rPr>
      </w:pPr>
      <w:r>
        <w:rPr>
          <w:b/>
          <w:color w:val="658464"/>
          <w:w w:val="110"/>
          <w:sz w:val="24"/>
        </w:rPr>
        <w:t>157</w:t>
      </w:r>
    </w:p>
    <w:p>
      <w:pPr>
        <w:spacing w:after="0"/>
        <w:jc w:val="center"/>
        <w:rPr>
          <w:sz w:val="24"/>
        </w:rPr>
        <w:sectPr>
          <w:type w:val="continuous"/>
          <w:pgSz w:w="11910" w:h="16840"/>
          <w:pgMar w:top="300" w:bottom="280" w:left="0" w:right="0"/>
          <w:cols w:num="2" w:equalWidth="0">
            <w:col w:w="10298" w:space="40"/>
            <w:col w:w="1572"/>
          </w:cols>
        </w:sectPr>
      </w:pPr>
    </w:p>
    <w:p>
      <w:pPr>
        <w:pStyle w:val="BodyText"/>
        <w:spacing w:before="11"/>
        <w:rPr>
          <w:b/>
        </w:rPr>
      </w:pPr>
    </w:p>
    <w:p>
      <w:pPr>
        <w:spacing w:before="96"/>
        <w:ind w:left="1587" w:right="0" w:firstLine="0"/>
        <w:jc w:val="left"/>
        <w:rPr>
          <w:b/>
          <w:sz w:val="24"/>
        </w:rPr>
      </w:pPr>
      <w:bookmarkStart w:name="_bookmark83" w:id="178"/>
      <w:bookmarkEnd w:id="178"/>
      <w:r>
        <w:rPr/>
      </w:r>
      <w:r>
        <w:rPr>
          <w:b/>
          <w:w w:val="115"/>
          <w:sz w:val="24"/>
        </w:rPr>
        <w:t>VCAT process for tree disputes</w:t>
      </w:r>
    </w:p>
    <w:p>
      <w:pPr>
        <w:pStyle w:val="Heading7"/>
        <w:spacing w:before="168"/>
      </w:pPr>
      <w:r>
        <w:rPr>
          <w:w w:val="115"/>
        </w:rPr>
        <w:t>Tribunal-referred alternative dispute resolution</w:t>
      </w:r>
    </w:p>
    <w:p>
      <w:pPr>
        <w:pStyle w:val="ListParagraph"/>
        <w:numPr>
          <w:ilvl w:val="1"/>
          <w:numId w:val="114"/>
        </w:numPr>
        <w:tabs>
          <w:tab w:pos="2380" w:val="left" w:leader="none"/>
          <w:tab w:pos="2381" w:val="left" w:leader="none"/>
        </w:tabs>
        <w:spacing w:line="242" w:lineRule="auto" w:before="142" w:after="0"/>
        <w:ind w:left="2381" w:right="1776" w:hanging="794"/>
        <w:jc w:val="left"/>
        <w:rPr>
          <w:sz w:val="21"/>
        </w:rPr>
      </w:pPr>
      <w:r>
        <w:rPr>
          <w:w w:val="105"/>
          <w:sz w:val="21"/>
        </w:rPr>
        <w:t>It</w:t>
      </w:r>
      <w:r>
        <w:rPr>
          <w:spacing w:val="-5"/>
          <w:w w:val="105"/>
          <w:sz w:val="21"/>
        </w:rPr>
        <w:t> </w:t>
      </w:r>
      <w:r>
        <w:rPr>
          <w:w w:val="105"/>
          <w:sz w:val="21"/>
        </w:rPr>
        <w:t>is</w:t>
      </w:r>
      <w:r>
        <w:rPr>
          <w:spacing w:val="-4"/>
          <w:w w:val="105"/>
          <w:sz w:val="21"/>
        </w:rPr>
        <w:t> </w:t>
      </w:r>
      <w:r>
        <w:rPr>
          <w:spacing w:val="-3"/>
          <w:w w:val="105"/>
          <w:sz w:val="21"/>
        </w:rPr>
        <w:t>intended</w:t>
      </w:r>
      <w:r>
        <w:rPr>
          <w:spacing w:val="-4"/>
          <w:w w:val="105"/>
          <w:sz w:val="21"/>
        </w:rPr>
        <w:t> </w:t>
      </w:r>
      <w:r>
        <w:rPr>
          <w:spacing w:val="-3"/>
          <w:w w:val="105"/>
          <w:sz w:val="21"/>
        </w:rPr>
        <w:t>that</w:t>
      </w:r>
      <w:r>
        <w:rPr>
          <w:spacing w:val="-5"/>
          <w:w w:val="105"/>
          <w:sz w:val="21"/>
        </w:rPr>
        <w:t> </w:t>
      </w:r>
      <w:r>
        <w:rPr>
          <w:w w:val="105"/>
          <w:sz w:val="21"/>
        </w:rPr>
        <w:t>the</w:t>
      </w:r>
      <w:r>
        <w:rPr>
          <w:spacing w:val="-4"/>
          <w:w w:val="105"/>
          <w:sz w:val="21"/>
        </w:rPr>
        <w:t> </w:t>
      </w:r>
      <w:r>
        <w:rPr>
          <w:w w:val="105"/>
          <w:sz w:val="21"/>
        </w:rPr>
        <w:t>new</w:t>
      </w:r>
      <w:r>
        <w:rPr>
          <w:spacing w:val="-4"/>
          <w:w w:val="105"/>
          <w:sz w:val="21"/>
        </w:rPr>
        <w:t> </w:t>
      </w:r>
      <w:r>
        <w:rPr>
          <w:w w:val="105"/>
          <w:sz w:val="21"/>
        </w:rPr>
        <w:t>Act</w:t>
      </w:r>
      <w:r>
        <w:rPr>
          <w:spacing w:val="-4"/>
          <w:w w:val="105"/>
          <w:sz w:val="21"/>
        </w:rPr>
        <w:t> </w:t>
      </w:r>
      <w:r>
        <w:rPr>
          <w:spacing w:val="-3"/>
          <w:w w:val="105"/>
          <w:sz w:val="21"/>
        </w:rPr>
        <w:t>will</w:t>
      </w:r>
      <w:r>
        <w:rPr>
          <w:spacing w:val="-5"/>
          <w:w w:val="105"/>
          <w:sz w:val="21"/>
        </w:rPr>
        <w:t> </w:t>
      </w:r>
      <w:r>
        <w:rPr>
          <w:w w:val="105"/>
          <w:sz w:val="21"/>
        </w:rPr>
        <w:t>provide</w:t>
      </w:r>
      <w:r>
        <w:rPr>
          <w:spacing w:val="-4"/>
          <w:w w:val="105"/>
          <w:sz w:val="21"/>
        </w:rPr>
        <w:t> </w:t>
      </w:r>
      <w:r>
        <w:rPr>
          <w:w w:val="105"/>
          <w:sz w:val="21"/>
        </w:rPr>
        <w:t>an</w:t>
      </w:r>
      <w:r>
        <w:rPr>
          <w:spacing w:val="-4"/>
          <w:w w:val="105"/>
          <w:sz w:val="21"/>
        </w:rPr>
        <w:t> </w:t>
      </w:r>
      <w:r>
        <w:rPr>
          <w:spacing w:val="-3"/>
          <w:w w:val="105"/>
          <w:sz w:val="21"/>
        </w:rPr>
        <w:t>improved</w:t>
      </w:r>
      <w:r>
        <w:rPr>
          <w:spacing w:val="-5"/>
          <w:w w:val="105"/>
          <w:sz w:val="21"/>
        </w:rPr>
        <w:t> </w:t>
      </w:r>
      <w:r>
        <w:rPr>
          <w:spacing w:val="-3"/>
          <w:w w:val="105"/>
          <w:sz w:val="21"/>
        </w:rPr>
        <w:t>framework</w:t>
      </w:r>
      <w:r>
        <w:rPr>
          <w:spacing w:val="-4"/>
          <w:w w:val="105"/>
          <w:sz w:val="21"/>
        </w:rPr>
        <w:t> </w:t>
      </w:r>
      <w:r>
        <w:rPr>
          <w:spacing w:val="-3"/>
          <w:w w:val="105"/>
          <w:sz w:val="21"/>
        </w:rPr>
        <w:t>for</w:t>
      </w:r>
      <w:r>
        <w:rPr>
          <w:spacing w:val="-4"/>
          <w:w w:val="105"/>
          <w:sz w:val="21"/>
        </w:rPr>
        <w:t> </w:t>
      </w:r>
      <w:r>
        <w:rPr>
          <w:w w:val="105"/>
          <w:sz w:val="21"/>
        </w:rPr>
        <w:t>the</w:t>
      </w:r>
      <w:r>
        <w:rPr>
          <w:spacing w:val="-4"/>
          <w:w w:val="105"/>
          <w:sz w:val="21"/>
        </w:rPr>
        <w:t> </w:t>
      </w:r>
      <w:r>
        <w:rPr>
          <w:w w:val="105"/>
          <w:sz w:val="21"/>
        </w:rPr>
        <w:t>resolution</w:t>
      </w:r>
      <w:r>
        <w:rPr>
          <w:spacing w:val="-5"/>
          <w:w w:val="105"/>
          <w:sz w:val="21"/>
        </w:rPr>
        <w:t> </w:t>
      </w:r>
      <w:r>
        <w:rPr>
          <w:w w:val="105"/>
          <w:sz w:val="21"/>
        </w:rPr>
        <w:t>of tree </w:t>
      </w:r>
      <w:r>
        <w:rPr>
          <w:spacing w:val="-3"/>
          <w:w w:val="105"/>
          <w:sz w:val="21"/>
        </w:rPr>
        <w:t>disputes </w:t>
      </w:r>
      <w:r>
        <w:rPr>
          <w:spacing w:val="-4"/>
          <w:w w:val="105"/>
          <w:sz w:val="21"/>
        </w:rPr>
        <w:t>generally, </w:t>
      </w:r>
      <w:r>
        <w:rPr>
          <w:spacing w:val="-3"/>
          <w:w w:val="105"/>
          <w:sz w:val="21"/>
        </w:rPr>
        <w:t>including through </w:t>
      </w:r>
      <w:r>
        <w:rPr>
          <w:w w:val="105"/>
          <w:sz w:val="21"/>
        </w:rPr>
        <w:t>mediation </w:t>
      </w:r>
      <w:r>
        <w:rPr>
          <w:spacing w:val="-3"/>
          <w:w w:val="105"/>
          <w:sz w:val="21"/>
        </w:rPr>
        <w:t>that </w:t>
      </w:r>
      <w:r>
        <w:rPr>
          <w:w w:val="105"/>
          <w:sz w:val="21"/>
        </w:rPr>
        <w:t>is either community-based or </w:t>
      </w:r>
      <w:r>
        <w:rPr>
          <w:spacing w:val="-3"/>
          <w:w w:val="105"/>
          <w:sz w:val="21"/>
        </w:rPr>
        <w:t>referred </w:t>
      </w:r>
      <w:r>
        <w:rPr>
          <w:w w:val="105"/>
          <w:sz w:val="21"/>
        </w:rPr>
        <w:t>by</w:t>
      </w:r>
      <w:r>
        <w:rPr>
          <w:spacing w:val="14"/>
          <w:w w:val="105"/>
          <w:sz w:val="21"/>
        </w:rPr>
        <w:t> </w:t>
      </w:r>
      <w:r>
        <w:rPr>
          <w:spacing w:val="-8"/>
          <w:w w:val="105"/>
          <w:sz w:val="21"/>
        </w:rPr>
        <w:t>VCAT.</w:t>
      </w:r>
    </w:p>
    <w:p>
      <w:pPr>
        <w:pStyle w:val="ListParagraph"/>
        <w:numPr>
          <w:ilvl w:val="1"/>
          <w:numId w:val="114"/>
        </w:numPr>
        <w:tabs>
          <w:tab w:pos="2380" w:val="left" w:leader="none"/>
          <w:tab w:pos="2381" w:val="left" w:leader="none"/>
        </w:tabs>
        <w:spacing w:line="242" w:lineRule="auto" w:before="124" w:after="0"/>
        <w:ind w:left="2380" w:right="1699" w:hanging="793"/>
        <w:jc w:val="left"/>
        <w:rPr>
          <w:sz w:val="21"/>
        </w:rPr>
      </w:pPr>
      <w:r>
        <w:rPr>
          <w:spacing w:val="-3"/>
          <w:sz w:val="21"/>
        </w:rPr>
        <w:t>Tribunal-referred </w:t>
      </w:r>
      <w:r>
        <w:rPr>
          <w:sz w:val="21"/>
        </w:rPr>
        <w:t>mediation should be used </w:t>
      </w:r>
      <w:r>
        <w:rPr>
          <w:spacing w:val="-3"/>
          <w:sz w:val="21"/>
        </w:rPr>
        <w:t>wherever appropriate to </w:t>
      </w:r>
      <w:r>
        <w:rPr>
          <w:sz w:val="21"/>
        </w:rPr>
        <w:t>resolve tree </w:t>
      </w:r>
      <w:r>
        <w:rPr>
          <w:spacing w:val="-3"/>
          <w:sz w:val="21"/>
        </w:rPr>
        <w:t>disputes </w:t>
      </w:r>
      <w:r>
        <w:rPr>
          <w:sz w:val="21"/>
        </w:rPr>
        <w:t>under the new Act. The </w:t>
      </w:r>
      <w:r>
        <w:rPr>
          <w:spacing w:val="-3"/>
          <w:sz w:val="21"/>
        </w:rPr>
        <w:t>Commission </w:t>
      </w:r>
      <w:r>
        <w:rPr>
          <w:sz w:val="21"/>
        </w:rPr>
        <w:t>is </w:t>
      </w:r>
      <w:r>
        <w:rPr>
          <w:spacing w:val="-3"/>
          <w:sz w:val="21"/>
        </w:rPr>
        <w:t>encouraged </w:t>
      </w:r>
      <w:r>
        <w:rPr>
          <w:sz w:val="21"/>
        </w:rPr>
        <w:t>by the </w:t>
      </w:r>
      <w:r>
        <w:rPr>
          <w:spacing w:val="-3"/>
          <w:sz w:val="21"/>
        </w:rPr>
        <w:t>successful </w:t>
      </w:r>
      <w:r>
        <w:rPr>
          <w:sz w:val="21"/>
        </w:rPr>
        <w:t>resolution of tree </w:t>
      </w:r>
      <w:r>
        <w:rPr>
          <w:spacing w:val="-3"/>
          <w:sz w:val="21"/>
        </w:rPr>
        <w:t>disputes through </w:t>
      </w:r>
      <w:r>
        <w:rPr>
          <w:sz w:val="21"/>
        </w:rPr>
        <w:t>tribunal-ordered ADR  in  </w:t>
      </w:r>
      <w:r>
        <w:rPr>
          <w:spacing w:val="-3"/>
          <w:sz w:val="21"/>
        </w:rPr>
        <w:t>Queensland  </w:t>
      </w:r>
      <w:r>
        <w:rPr>
          <w:sz w:val="21"/>
        </w:rPr>
        <w:t>and  </w:t>
      </w:r>
      <w:r>
        <w:rPr>
          <w:spacing w:val="-4"/>
          <w:sz w:val="21"/>
        </w:rPr>
        <w:t>Tasmania.  </w:t>
      </w:r>
      <w:r>
        <w:rPr>
          <w:sz w:val="21"/>
        </w:rPr>
        <w:t>The  </w:t>
      </w:r>
      <w:r>
        <w:rPr>
          <w:spacing w:val="-3"/>
          <w:sz w:val="21"/>
        </w:rPr>
        <w:t>Commission </w:t>
      </w:r>
      <w:r>
        <w:rPr>
          <w:sz w:val="21"/>
        </w:rPr>
        <w:t>was </w:t>
      </w:r>
      <w:r>
        <w:rPr>
          <w:spacing w:val="-3"/>
          <w:sz w:val="21"/>
        </w:rPr>
        <w:t>informed that </w:t>
      </w:r>
      <w:r>
        <w:rPr>
          <w:sz w:val="21"/>
        </w:rPr>
        <w:t>the </w:t>
      </w:r>
      <w:r>
        <w:rPr>
          <w:spacing w:val="-3"/>
          <w:sz w:val="21"/>
        </w:rPr>
        <w:t>formality </w:t>
      </w:r>
      <w:r>
        <w:rPr>
          <w:sz w:val="21"/>
        </w:rPr>
        <w:t>of the </w:t>
      </w:r>
      <w:r>
        <w:rPr>
          <w:spacing w:val="-3"/>
          <w:sz w:val="21"/>
        </w:rPr>
        <w:t>tribunal environment, combined </w:t>
      </w:r>
      <w:r>
        <w:rPr>
          <w:sz w:val="21"/>
        </w:rPr>
        <w:t>with </w:t>
      </w:r>
      <w:r>
        <w:rPr>
          <w:spacing w:val="-3"/>
          <w:sz w:val="21"/>
        </w:rPr>
        <w:t>information </w:t>
      </w:r>
      <w:r>
        <w:rPr>
          <w:sz w:val="21"/>
        </w:rPr>
        <w:t>about</w:t>
      </w:r>
      <w:r>
        <w:rPr>
          <w:spacing w:val="16"/>
          <w:sz w:val="21"/>
        </w:rPr>
        <w:t> </w:t>
      </w:r>
      <w:r>
        <w:rPr>
          <w:sz w:val="21"/>
        </w:rPr>
        <w:t>what</w:t>
      </w:r>
      <w:r>
        <w:rPr>
          <w:spacing w:val="17"/>
          <w:sz w:val="21"/>
        </w:rPr>
        <w:t> </w:t>
      </w:r>
      <w:r>
        <w:rPr>
          <w:sz w:val="21"/>
        </w:rPr>
        <w:t>orders</w:t>
      </w:r>
      <w:r>
        <w:rPr>
          <w:spacing w:val="17"/>
          <w:sz w:val="21"/>
        </w:rPr>
        <w:t> </w:t>
      </w:r>
      <w:r>
        <w:rPr>
          <w:sz w:val="21"/>
        </w:rPr>
        <w:t>can</w:t>
      </w:r>
      <w:r>
        <w:rPr>
          <w:spacing w:val="17"/>
          <w:sz w:val="21"/>
        </w:rPr>
        <w:t> </w:t>
      </w:r>
      <w:r>
        <w:rPr>
          <w:sz w:val="21"/>
        </w:rPr>
        <w:t>and</w:t>
      </w:r>
      <w:r>
        <w:rPr>
          <w:spacing w:val="16"/>
          <w:sz w:val="21"/>
        </w:rPr>
        <w:t> </w:t>
      </w:r>
      <w:r>
        <w:rPr>
          <w:spacing w:val="-3"/>
          <w:sz w:val="21"/>
        </w:rPr>
        <w:t>cannot</w:t>
      </w:r>
      <w:r>
        <w:rPr>
          <w:spacing w:val="17"/>
          <w:sz w:val="21"/>
        </w:rPr>
        <w:t> </w:t>
      </w:r>
      <w:r>
        <w:rPr>
          <w:sz w:val="21"/>
        </w:rPr>
        <w:t>be</w:t>
      </w:r>
      <w:r>
        <w:rPr>
          <w:spacing w:val="17"/>
          <w:sz w:val="21"/>
        </w:rPr>
        <w:t> </w:t>
      </w:r>
      <w:r>
        <w:rPr>
          <w:sz w:val="21"/>
        </w:rPr>
        <w:t>made</w:t>
      </w:r>
      <w:r>
        <w:rPr>
          <w:spacing w:val="17"/>
          <w:sz w:val="21"/>
        </w:rPr>
        <w:t> </w:t>
      </w:r>
      <w:r>
        <w:rPr>
          <w:sz w:val="21"/>
        </w:rPr>
        <w:t>and</w:t>
      </w:r>
      <w:r>
        <w:rPr>
          <w:spacing w:val="17"/>
          <w:sz w:val="21"/>
        </w:rPr>
        <w:t> </w:t>
      </w:r>
      <w:r>
        <w:rPr>
          <w:sz w:val="21"/>
        </w:rPr>
        <w:t>the</w:t>
      </w:r>
      <w:r>
        <w:rPr>
          <w:spacing w:val="16"/>
          <w:sz w:val="21"/>
        </w:rPr>
        <w:t> </w:t>
      </w:r>
      <w:r>
        <w:rPr>
          <w:sz w:val="21"/>
        </w:rPr>
        <w:t>factors</w:t>
      </w:r>
      <w:r>
        <w:rPr>
          <w:spacing w:val="17"/>
          <w:sz w:val="21"/>
        </w:rPr>
        <w:t> </w:t>
      </w:r>
      <w:r>
        <w:rPr>
          <w:sz w:val="21"/>
        </w:rPr>
        <w:t>the</w:t>
      </w:r>
      <w:r>
        <w:rPr>
          <w:spacing w:val="17"/>
          <w:sz w:val="21"/>
        </w:rPr>
        <w:t> </w:t>
      </w:r>
      <w:r>
        <w:rPr>
          <w:spacing w:val="-3"/>
          <w:sz w:val="21"/>
        </w:rPr>
        <w:t>tribunal</w:t>
      </w:r>
      <w:r>
        <w:rPr>
          <w:spacing w:val="17"/>
          <w:sz w:val="21"/>
        </w:rPr>
        <w:t> </w:t>
      </w:r>
      <w:r>
        <w:rPr>
          <w:spacing w:val="-3"/>
          <w:sz w:val="21"/>
        </w:rPr>
        <w:t>will</w:t>
      </w:r>
      <w:r>
        <w:rPr>
          <w:spacing w:val="17"/>
          <w:sz w:val="21"/>
        </w:rPr>
        <w:t> </w:t>
      </w:r>
      <w:r>
        <w:rPr>
          <w:spacing w:val="-3"/>
          <w:sz w:val="21"/>
        </w:rPr>
        <w:t>consider</w:t>
      </w:r>
    </w:p>
    <w:p>
      <w:pPr>
        <w:pStyle w:val="BodyText"/>
        <w:spacing w:line="242" w:lineRule="auto" w:before="5"/>
        <w:ind w:left="2381" w:right="1558" w:hanging="1"/>
        <w:rPr>
          <w:sz w:val="12"/>
        </w:rPr>
      </w:pPr>
      <w:r>
        <w:rPr>
          <w:w w:val="105"/>
        </w:rPr>
        <w:t>in </w:t>
      </w:r>
      <w:r>
        <w:rPr>
          <w:spacing w:val="-3"/>
          <w:w w:val="105"/>
        </w:rPr>
        <w:t>reaching </w:t>
      </w:r>
      <w:r>
        <w:rPr>
          <w:w w:val="105"/>
        </w:rPr>
        <w:t>its </w:t>
      </w:r>
      <w:r>
        <w:rPr>
          <w:spacing w:val="-3"/>
          <w:w w:val="105"/>
        </w:rPr>
        <w:t>decision, encourage </w:t>
      </w:r>
      <w:r>
        <w:rPr>
          <w:w w:val="105"/>
        </w:rPr>
        <w:t>parties </w:t>
      </w:r>
      <w:r>
        <w:rPr>
          <w:spacing w:val="-3"/>
          <w:w w:val="105"/>
        </w:rPr>
        <w:t>to negotiate informally.</w:t>
      </w:r>
      <w:r>
        <w:rPr>
          <w:spacing w:val="-3"/>
          <w:w w:val="105"/>
          <w:position w:val="7"/>
          <w:sz w:val="12"/>
        </w:rPr>
        <w:t>277 </w:t>
      </w:r>
      <w:r>
        <w:rPr>
          <w:spacing w:val="-4"/>
          <w:w w:val="105"/>
        </w:rPr>
        <w:t>Similarly, </w:t>
      </w:r>
      <w:r>
        <w:rPr>
          <w:spacing w:val="-6"/>
          <w:w w:val="105"/>
        </w:rPr>
        <w:t>RMPAT </w:t>
      </w:r>
      <w:r>
        <w:rPr>
          <w:w w:val="105"/>
        </w:rPr>
        <w:t>explained </w:t>
      </w:r>
      <w:r>
        <w:rPr>
          <w:spacing w:val="-3"/>
          <w:w w:val="105"/>
        </w:rPr>
        <w:t>that </w:t>
      </w:r>
      <w:r>
        <w:rPr>
          <w:w w:val="105"/>
        </w:rPr>
        <w:t>the majority of </w:t>
      </w:r>
      <w:r>
        <w:rPr>
          <w:spacing w:val="-3"/>
          <w:w w:val="105"/>
        </w:rPr>
        <w:t>applications were withdrawn </w:t>
      </w:r>
      <w:r>
        <w:rPr>
          <w:w w:val="105"/>
        </w:rPr>
        <w:t>because parties </w:t>
      </w:r>
      <w:r>
        <w:rPr>
          <w:spacing w:val="-2"/>
          <w:w w:val="105"/>
        </w:rPr>
        <w:t>had </w:t>
      </w:r>
      <w:r>
        <w:rPr>
          <w:w w:val="105"/>
        </w:rPr>
        <w:t>engaged in </w:t>
      </w:r>
      <w:r>
        <w:rPr>
          <w:spacing w:val="-3"/>
          <w:w w:val="105"/>
        </w:rPr>
        <w:t>negotiations </w:t>
      </w:r>
      <w:r>
        <w:rPr>
          <w:w w:val="105"/>
        </w:rPr>
        <w:t>between themselves or </w:t>
      </w:r>
      <w:r>
        <w:rPr>
          <w:spacing w:val="-2"/>
          <w:w w:val="105"/>
        </w:rPr>
        <w:t>had </w:t>
      </w:r>
      <w:r>
        <w:rPr>
          <w:w w:val="105"/>
        </w:rPr>
        <w:t>participated in </w:t>
      </w:r>
      <w:r>
        <w:rPr>
          <w:spacing w:val="-3"/>
          <w:w w:val="105"/>
        </w:rPr>
        <w:t>formal </w:t>
      </w:r>
      <w:r>
        <w:rPr>
          <w:w w:val="105"/>
        </w:rPr>
        <w:t>mediation </w:t>
      </w:r>
      <w:r>
        <w:rPr>
          <w:spacing w:val="-3"/>
          <w:w w:val="105"/>
        </w:rPr>
        <w:t>that </w:t>
      </w:r>
      <w:r>
        <w:rPr>
          <w:spacing w:val="-2"/>
          <w:w w:val="105"/>
        </w:rPr>
        <w:t>had </w:t>
      </w:r>
      <w:r>
        <w:rPr>
          <w:w w:val="105"/>
        </w:rPr>
        <w:t>led </w:t>
      </w:r>
      <w:r>
        <w:rPr>
          <w:spacing w:val="-3"/>
          <w:w w:val="105"/>
        </w:rPr>
        <w:t>to </w:t>
      </w:r>
      <w:r>
        <w:rPr>
          <w:w w:val="105"/>
        </w:rPr>
        <w:t>resolution of the </w:t>
      </w:r>
      <w:r>
        <w:rPr>
          <w:spacing w:val="-3"/>
          <w:w w:val="105"/>
        </w:rPr>
        <w:t>dispute. </w:t>
      </w:r>
      <w:r>
        <w:rPr>
          <w:w w:val="105"/>
        </w:rPr>
        <w:t>Formal orders </w:t>
      </w:r>
      <w:r>
        <w:rPr>
          <w:spacing w:val="-3"/>
          <w:w w:val="105"/>
        </w:rPr>
        <w:t>were </w:t>
      </w:r>
      <w:r>
        <w:rPr>
          <w:spacing w:val="-2"/>
          <w:w w:val="105"/>
        </w:rPr>
        <w:t>not </w:t>
      </w:r>
      <w:r>
        <w:rPr>
          <w:spacing w:val="-3"/>
          <w:w w:val="105"/>
        </w:rPr>
        <w:t>sought </w:t>
      </w:r>
      <w:r>
        <w:rPr>
          <w:w w:val="105"/>
        </w:rPr>
        <w:t>in these matters.</w:t>
      </w:r>
      <w:r>
        <w:rPr>
          <w:w w:val="105"/>
          <w:position w:val="7"/>
          <w:sz w:val="12"/>
        </w:rPr>
        <w:t>278</w:t>
      </w:r>
    </w:p>
    <w:p>
      <w:pPr>
        <w:pStyle w:val="ListParagraph"/>
        <w:numPr>
          <w:ilvl w:val="1"/>
          <w:numId w:val="114"/>
        </w:numPr>
        <w:tabs>
          <w:tab w:pos="2380" w:val="left" w:leader="none"/>
          <w:tab w:pos="2382" w:val="left" w:leader="none"/>
        </w:tabs>
        <w:spacing w:line="242" w:lineRule="auto" w:before="124" w:after="0"/>
        <w:ind w:left="2381" w:right="2089" w:hanging="794"/>
        <w:jc w:val="left"/>
        <w:rPr>
          <w:sz w:val="21"/>
        </w:rPr>
      </w:pPr>
      <w:r>
        <w:rPr>
          <w:w w:val="105"/>
          <w:sz w:val="21"/>
        </w:rPr>
        <w:t>The</w:t>
      </w:r>
      <w:r>
        <w:rPr>
          <w:spacing w:val="-6"/>
          <w:w w:val="105"/>
          <w:sz w:val="21"/>
        </w:rPr>
        <w:t> </w:t>
      </w:r>
      <w:r>
        <w:rPr>
          <w:w w:val="105"/>
          <w:sz w:val="21"/>
        </w:rPr>
        <w:t>usefulness</w:t>
      </w:r>
      <w:r>
        <w:rPr>
          <w:spacing w:val="-6"/>
          <w:w w:val="105"/>
          <w:sz w:val="21"/>
        </w:rPr>
        <w:t> </w:t>
      </w:r>
      <w:r>
        <w:rPr>
          <w:w w:val="105"/>
          <w:sz w:val="21"/>
        </w:rPr>
        <w:t>of</w:t>
      </w:r>
      <w:r>
        <w:rPr>
          <w:spacing w:val="-6"/>
          <w:w w:val="105"/>
          <w:sz w:val="21"/>
        </w:rPr>
        <w:t> </w:t>
      </w:r>
      <w:r>
        <w:rPr>
          <w:w w:val="105"/>
          <w:sz w:val="21"/>
        </w:rPr>
        <w:t>ADR</w:t>
      </w:r>
      <w:r>
        <w:rPr>
          <w:spacing w:val="-6"/>
          <w:w w:val="105"/>
          <w:sz w:val="21"/>
        </w:rPr>
        <w:t> </w:t>
      </w:r>
      <w:r>
        <w:rPr>
          <w:spacing w:val="-3"/>
          <w:w w:val="105"/>
          <w:sz w:val="21"/>
        </w:rPr>
        <w:t>generally</w:t>
      </w:r>
      <w:r>
        <w:rPr>
          <w:spacing w:val="-6"/>
          <w:w w:val="105"/>
          <w:sz w:val="21"/>
        </w:rPr>
        <w:t> </w:t>
      </w:r>
      <w:r>
        <w:rPr>
          <w:spacing w:val="-3"/>
          <w:w w:val="105"/>
          <w:sz w:val="21"/>
        </w:rPr>
        <w:t>will</w:t>
      </w:r>
      <w:r>
        <w:rPr>
          <w:spacing w:val="-6"/>
          <w:w w:val="105"/>
          <w:sz w:val="21"/>
        </w:rPr>
        <w:t> </w:t>
      </w:r>
      <w:r>
        <w:rPr>
          <w:w w:val="105"/>
          <w:sz w:val="21"/>
        </w:rPr>
        <w:t>be</w:t>
      </w:r>
      <w:r>
        <w:rPr>
          <w:spacing w:val="-6"/>
          <w:w w:val="105"/>
          <w:sz w:val="21"/>
        </w:rPr>
        <w:t> </w:t>
      </w:r>
      <w:r>
        <w:rPr>
          <w:w w:val="105"/>
          <w:sz w:val="21"/>
        </w:rPr>
        <w:t>further</w:t>
      </w:r>
      <w:r>
        <w:rPr>
          <w:spacing w:val="-5"/>
          <w:w w:val="105"/>
          <w:sz w:val="21"/>
        </w:rPr>
        <w:t> </w:t>
      </w:r>
      <w:r>
        <w:rPr>
          <w:spacing w:val="-3"/>
          <w:w w:val="105"/>
          <w:sz w:val="21"/>
        </w:rPr>
        <w:t>enhanced</w:t>
      </w:r>
      <w:r>
        <w:rPr>
          <w:spacing w:val="-6"/>
          <w:w w:val="105"/>
          <w:sz w:val="21"/>
        </w:rPr>
        <w:t> </w:t>
      </w:r>
      <w:r>
        <w:rPr>
          <w:w w:val="105"/>
          <w:sz w:val="21"/>
        </w:rPr>
        <w:t>by</w:t>
      </w:r>
      <w:r>
        <w:rPr>
          <w:spacing w:val="-6"/>
          <w:w w:val="105"/>
          <w:sz w:val="21"/>
        </w:rPr>
        <w:t> </w:t>
      </w:r>
      <w:r>
        <w:rPr>
          <w:w w:val="105"/>
          <w:sz w:val="21"/>
        </w:rPr>
        <w:t>community</w:t>
      </w:r>
      <w:r>
        <w:rPr>
          <w:spacing w:val="-6"/>
          <w:w w:val="105"/>
          <w:sz w:val="21"/>
        </w:rPr>
        <w:t> </w:t>
      </w:r>
      <w:r>
        <w:rPr>
          <w:spacing w:val="-3"/>
          <w:w w:val="105"/>
          <w:sz w:val="21"/>
        </w:rPr>
        <w:t>information </w:t>
      </w:r>
      <w:r>
        <w:rPr>
          <w:w w:val="105"/>
          <w:sz w:val="21"/>
        </w:rPr>
        <w:t>which states </w:t>
      </w:r>
      <w:r>
        <w:rPr>
          <w:spacing w:val="-3"/>
          <w:w w:val="105"/>
          <w:sz w:val="21"/>
        </w:rPr>
        <w:t>that </w:t>
      </w:r>
      <w:r>
        <w:rPr>
          <w:spacing w:val="-5"/>
          <w:w w:val="105"/>
          <w:sz w:val="21"/>
        </w:rPr>
        <w:t>VCAT </w:t>
      </w:r>
      <w:r>
        <w:rPr>
          <w:spacing w:val="-2"/>
          <w:w w:val="105"/>
          <w:sz w:val="21"/>
        </w:rPr>
        <w:t>has </w:t>
      </w:r>
      <w:r>
        <w:rPr>
          <w:w w:val="105"/>
          <w:sz w:val="21"/>
        </w:rPr>
        <w:t>the power </w:t>
      </w:r>
      <w:r>
        <w:rPr>
          <w:spacing w:val="-3"/>
          <w:w w:val="105"/>
          <w:sz w:val="21"/>
        </w:rPr>
        <w:t>to refer </w:t>
      </w:r>
      <w:r>
        <w:rPr>
          <w:w w:val="105"/>
          <w:sz w:val="21"/>
        </w:rPr>
        <w:t>parties </w:t>
      </w:r>
      <w:r>
        <w:rPr>
          <w:spacing w:val="-3"/>
          <w:w w:val="105"/>
          <w:sz w:val="21"/>
        </w:rPr>
        <w:t>to mediation. </w:t>
      </w:r>
      <w:r>
        <w:rPr>
          <w:w w:val="105"/>
          <w:sz w:val="21"/>
        </w:rPr>
        <w:t>See </w:t>
      </w:r>
      <w:r>
        <w:rPr>
          <w:spacing w:val="-4"/>
          <w:w w:val="105"/>
          <w:sz w:val="21"/>
        </w:rPr>
        <w:t>Chapter</w:t>
      </w:r>
      <w:r>
        <w:rPr>
          <w:spacing w:val="34"/>
          <w:w w:val="105"/>
          <w:sz w:val="21"/>
        </w:rPr>
        <w:t> </w:t>
      </w:r>
      <w:r>
        <w:rPr>
          <w:spacing w:val="-9"/>
          <w:w w:val="105"/>
          <w:sz w:val="21"/>
        </w:rPr>
        <w:t>12.</w:t>
      </w:r>
    </w:p>
    <w:p>
      <w:pPr>
        <w:pStyle w:val="ListParagraph"/>
        <w:numPr>
          <w:ilvl w:val="1"/>
          <w:numId w:val="114"/>
        </w:numPr>
        <w:tabs>
          <w:tab w:pos="2380" w:val="left" w:leader="none"/>
          <w:tab w:pos="2382" w:val="left" w:leader="none"/>
        </w:tabs>
        <w:spacing w:line="242" w:lineRule="auto" w:before="123" w:after="0"/>
        <w:ind w:left="2381" w:right="2307" w:hanging="794"/>
        <w:jc w:val="left"/>
        <w:rPr>
          <w:sz w:val="21"/>
        </w:rPr>
      </w:pPr>
      <w:r>
        <w:rPr>
          <w:spacing w:val="-2"/>
          <w:w w:val="105"/>
          <w:sz w:val="21"/>
        </w:rPr>
        <w:t>The </w:t>
      </w:r>
      <w:r>
        <w:rPr>
          <w:spacing w:val="-4"/>
          <w:w w:val="105"/>
          <w:sz w:val="21"/>
        </w:rPr>
        <w:t>fast track mediation </w:t>
      </w:r>
      <w:r>
        <w:rPr>
          <w:spacing w:val="-5"/>
          <w:w w:val="105"/>
          <w:sz w:val="21"/>
        </w:rPr>
        <w:t>hearing program </w:t>
      </w:r>
      <w:r>
        <w:rPr>
          <w:spacing w:val="-4"/>
          <w:w w:val="105"/>
          <w:sz w:val="21"/>
        </w:rPr>
        <w:t>should </w:t>
      </w:r>
      <w:r>
        <w:rPr>
          <w:w w:val="105"/>
          <w:sz w:val="21"/>
        </w:rPr>
        <w:t>be </w:t>
      </w:r>
      <w:r>
        <w:rPr>
          <w:spacing w:val="-4"/>
          <w:w w:val="105"/>
          <w:sz w:val="21"/>
        </w:rPr>
        <w:t>expanded to tree disputes. This </w:t>
      </w:r>
      <w:r>
        <w:rPr>
          <w:spacing w:val="-5"/>
          <w:w w:val="105"/>
          <w:sz w:val="21"/>
        </w:rPr>
        <w:t>program </w:t>
      </w:r>
      <w:r>
        <w:rPr>
          <w:spacing w:val="-3"/>
          <w:w w:val="105"/>
          <w:sz w:val="21"/>
        </w:rPr>
        <w:t>is </w:t>
      </w:r>
      <w:r>
        <w:rPr>
          <w:spacing w:val="-5"/>
          <w:w w:val="105"/>
          <w:sz w:val="21"/>
        </w:rPr>
        <w:t>currently </w:t>
      </w:r>
      <w:r>
        <w:rPr>
          <w:spacing w:val="-4"/>
          <w:w w:val="105"/>
          <w:sz w:val="21"/>
        </w:rPr>
        <w:t>only </w:t>
      </w:r>
      <w:r>
        <w:rPr>
          <w:spacing w:val="-5"/>
          <w:w w:val="105"/>
          <w:sz w:val="21"/>
        </w:rPr>
        <w:t>available </w:t>
      </w:r>
      <w:r>
        <w:rPr>
          <w:spacing w:val="-4"/>
          <w:w w:val="105"/>
          <w:sz w:val="21"/>
        </w:rPr>
        <w:t>for disputes </w:t>
      </w:r>
      <w:r>
        <w:rPr>
          <w:spacing w:val="-5"/>
          <w:w w:val="105"/>
          <w:sz w:val="21"/>
        </w:rPr>
        <w:t>concerning </w:t>
      </w:r>
      <w:r>
        <w:rPr>
          <w:spacing w:val="-3"/>
          <w:w w:val="105"/>
          <w:sz w:val="21"/>
        </w:rPr>
        <w:t>goods </w:t>
      </w:r>
      <w:r>
        <w:rPr>
          <w:spacing w:val="-4"/>
          <w:w w:val="105"/>
          <w:sz w:val="21"/>
        </w:rPr>
        <w:t>and </w:t>
      </w:r>
      <w:r>
        <w:rPr>
          <w:spacing w:val="-3"/>
          <w:w w:val="105"/>
          <w:sz w:val="21"/>
        </w:rPr>
        <w:t>services up</w:t>
      </w:r>
      <w:r>
        <w:rPr>
          <w:spacing w:val="-11"/>
          <w:w w:val="105"/>
          <w:sz w:val="21"/>
        </w:rPr>
        <w:t> </w:t>
      </w:r>
      <w:r>
        <w:rPr>
          <w:spacing w:val="-4"/>
          <w:w w:val="105"/>
          <w:sz w:val="21"/>
        </w:rPr>
        <w:t>to</w:t>
      </w:r>
    </w:p>
    <w:p>
      <w:pPr>
        <w:pStyle w:val="BodyText"/>
        <w:spacing w:line="242" w:lineRule="auto" w:before="2"/>
        <w:ind w:left="2381" w:right="1810" w:hanging="1"/>
        <w:rPr>
          <w:sz w:val="12"/>
        </w:rPr>
      </w:pPr>
      <w:r>
        <w:rPr>
          <w:spacing w:val="-5"/>
        </w:rPr>
        <w:t>$10,000.</w:t>
      </w:r>
      <w:r>
        <w:rPr>
          <w:spacing w:val="-5"/>
          <w:position w:val="7"/>
          <w:sz w:val="12"/>
        </w:rPr>
        <w:t>279 </w:t>
      </w:r>
      <w:r>
        <w:rPr/>
        <w:t>It </w:t>
      </w:r>
      <w:r>
        <w:rPr>
          <w:spacing w:val="-3"/>
        </w:rPr>
        <w:t>is </w:t>
      </w:r>
      <w:r>
        <w:rPr>
          <w:spacing w:val="-5"/>
        </w:rPr>
        <w:t>administered </w:t>
      </w:r>
      <w:r>
        <w:rPr>
          <w:spacing w:val="-3"/>
        </w:rPr>
        <w:t>by </w:t>
      </w:r>
      <w:r>
        <w:rPr>
          <w:spacing w:val="-4"/>
        </w:rPr>
        <w:t>DSCV and </w:t>
      </w:r>
      <w:r>
        <w:rPr>
          <w:spacing w:val="-3"/>
        </w:rPr>
        <w:t>benefits </w:t>
      </w:r>
      <w:r>
        <w:rPr>
          <w:spacing w:val="-4"/>
        </w:rPr>
        <w:t>from  DSCV’s  </w:t>
      </w:r>
      <w:r>
        <w:rPr>
          <w:spacing w:val="-3"/>
        </w:rPr>
        <w:t>vast  expertise  in  </w:t>
      </w:r>
      <w:r>
        <w:rPr>
          <w:spacing w:val="-5"/>
        </w:rPr>
        <w:t>handling </w:t>
      </w:r>
      <w:r>
        <w:rPr>
          <w:spacing w:val="-4"/>
        </w:rPr>
        <w:t>and</w:t>
      </w:r>
      <w:r>
        <w:rPr>
          <w:spacing w:val="16"/>
        </w:rPr>
        <w:t> </w:t>
      </w:r>
      <w:r>
        <w:rPr>
          <w:spacing w:val="-5"/>
        </w:rPr>
        <w:t>mediating</w:t>
      </w:r>
      <w:r>
        <w:rPr>
          <w:spacing w:val="16"/>
        </w:rPr>
        <w:t> </w:t>
      </w:r>
      <w:r>
        <w:rPr>
          <w:spacing w:val="-4"/>
        </w:rPr>
        <w:t>tree</w:t>
      </w:r>
      <w:r>
        <w:rPr>
          <w:spacing w:val="17"/>
        </w:rPr>
        <w:t> </w:t>
      </w:r>
      <w:r>
        <w:rPr>
          <w:spacing w:val="-4"/>
        </w:rPr>
        <w:t>disputes.</w:t>
      </w:r>
      <w:r>
        <w:rPr>
          <w:spacing w:val="16"/>
        </w:rPr>
        <w:t> </w:t>
      </w:r>
      <w:r>
        <w:rPr>
          <w:spacing w:val="-2"/>
        </w:rPr>
        <w:t>The</w:t>
      </w:r>
      <w:r>
        <w:rPr>
          <w:spacing w:val="16"/>
        </w:rPr>
        <w:t> </w:t>
      </w:r>
      <w:r>
        <w:rPr>
          <w:spacing w:val="-5"/>
        </w:rPr>
        <w:t>program</w:t>
      </w:r>
      <w:r>
        <w:rPr>
          <w:spacing w:val="17"/>
        </w:rPr>
        <w:t> </w:t>
      </w:r>
      <w:r>
        <w:rPr>
          <w:spacing w:val="-3"/>
        </w:rPr>
        <w:t>is</w:t>
      </w:r>
      <w:r>
        <w:rPr>
          <w:spacing w:val="16"/>
        </w:rPr>
        <w:t> </w:t>
      </w:r>
      <w:r>
        <w:rPr>
          <w:spacing w:val="-5"/>
        </w:rPr>
        <w:t>currently</w:t>
      </w:r>
      <w:r>
        <w:rPr>
          <w:spacing w:val="17"/>
        </w:rPr>
        <w:t> </w:t>
      </w:r>
      <w:r>
        <w:rPr>
          <w:spacing w:val="-4"/>
        </w:rPr>
        <w:t>expanding</w:t>
      </w:r>
      <w:r>
        <w:rPr>
          <w:spacing w:val="16"/>
        </w:rPr>
        <w:t> </w:t>
      </w:r>
      <w:r>
        <w:rPr>
          <w:spacing w:val="-3"/>
        </w:rPr>
        <w:t>in</w:t>
      </w:r>
      <w:r>
        <w:rPr>
          <w:spacing w:val="16"/>
        </w:rPr>
        <w:t> </w:t>
      </w:r>
      <w:r>
        <w:rPr>
          <w:spacing w:val="-5"/>
        </w:rPr>
        <w:t>regional</w:t>
      </w:r>
      <w:r>
        <w:rPr>
          <w:spacing w:val="17"/>
        </w:rPr>
        <w:t> </w:t>
      </w:r>
      <w:r>
        <w:rPr>
          <w:spacing w:val="-3"/>
        </w:rPr>
        <w:t>areas.</w:t>
      </w:r>
      <w:r>
        <w:rPr>
          <w:spacing w:val="-3"/>
          <w:position w:val="7"/>
          <w:sz w:val="12"/>
        </w:rPr>
        <w:t>280</w:t>
      </w:r>
    </w:p>
    <w:p>
      <w:pPr>
        <w:pStyle w:val="ListParagraph"/>
        <w:numPr>
          <w:ilvl w:val="1"/>
          <w:numId w:val="114"/>
        </w:numPr>
        <w:tabs>
          <w:tab w:pos="2381" w:val="left" w:leader="none"/>
          <w:tab w:pos="2382" w:val="left" w:leader="none"/>
        </w:tabs>
        <w:spacing w:line="242" w:lineRule="auto" w:before="122" w:after="0"/>
        <w:ind w:left="2381" w:right="1834" w:hanging="794"/>
        <w:jc w:val="left"/>
        <w:rPr>
          <w:sz w:val="21"/>
        </w:rPr>
      </w:pPr>
      <w:r>
        <w:rPr>
          <w:w w:val="105"/>
          <w:sz w:val="21"/>
        </w:rPr>
        <w:t>The </w:t>
      </w:r>
      <w:r>
        <w:rPr>
          <w:spacing w:val="-3"/>
          <w:w w:val="105"/>
          <w:sz w:val="21"/>
        </w:rPr>
        <w:t>Commission </w:t>
      </w:r>
      <w:r>
        <w:rPr>
          <w:w w:val="105"/>
          <w:sz w:val="21"/>
        </w:rPr>
        <w:t>acknowledges </w:t>
      </w:r>
      <w:r>
        <w:rPr>
          <w:spacing w:val="-6"/>
          <w:w w:val="105"/>
          <w:sz w:val="21"/>
        </w:rPr>
        <w:t>VCAT’s  </w:t>
      </w:r>
      <w:r>
        <w:rPr>
          <w:w w:val="105"/>
          <w:sz w:val="21"/>
        </w:rPr>
        <w:t>comments </w:t>
      </w:r>
      <w:r>
        <w:rPr>
          <w:spacing w:val="-3"/>
          <w:w w:val="105"/>
          <w:sz w:val="21"/>
        </w:rPr>
        <w:t>that fast-track </w:t>
      </w:r>
      <w:r>
        <w:rPr>
          <w:w w:val="105"/>
          <w:sz w:val="21"/>
        </w:rPr>
        <w:t>mediation </w:t>
      </w:r>
      <w:r>
        <w:rPr>
          <w:spacing w:val="-3"/>
          <w:w w:val="105"/>
          <w:sz w:val="21"/>
        </w:rPr>
        <w:t>may </w:t>
      </w:r>
      <w:r>
        <w:rPr>
          <w:spacing w:val="-2"/>
          <w:w w:val="105"/>
          <w:sz w:val="21"/>
        </w:rPr>
        <w:t>not </w:t>
      </w:r>
      <w:r>
        <w:rPr>
          <w:w w:val="105"/>
          <w:sz w:val="21"/>
        </w:rPr>
        <w:t>be suitable </w:t>
      </w:r>
      <w:r>
        <w:rPr>
          <w:spacing w:val="-3"/>
          <w:w w:val="105"/>
          <w:sz w:val="21"/>
        </w:rPr>
        <w:t>for all </w:t>
      </w:r>
      <w:r>
        <w:rPr>
          <w:w w:val="105"/>
          <w:sz w:val="21"/>
        </w:rPr>
        <w:t>cases, particularly those </w:t>
      </w:r>
      <w:r>
        <w:rPr>
          <w:spacing w:val="-3"/>
          <w:w w:val="105"/>
          <w:sz w:val="21"/>
        </w:rPr>
        <w:t>that are </w:t>
      </w:r>
      <w:r>
        <w:rPr>
          <w:w w:val="105"/>
          <w:sz w:val="21"/>
        </w:rPr>
        <w:t>more complex and </w:t>
      </w:r>
      <w:r>
        <w:rPr>
          <w:spacing w:val="-3"/>
          <w:w w:val="105"/>
          <w:sz w:val="21"/>
        </w:rPr>
        <w:t>involve multiple </w:t>
      </w:r>
      <w:r>
        <w:rPr>
          <w:w w:val="105"/>
          <w:sz w:val="21"/>
        </w:rPr>
        <w:t>witnesses,</w:t>
      </w:r>
      <w:r>
        <w:rPr>
          <w:spacing w:val="-6"/>
          <w:w w:val="105"/>
          <w:sz w:val="21"/>
        </w:rPr>
        <w:t> </w:t>
      </w:r>
      <w:r>
        <w:rPr>
          <w:w w:val="105"/>
          <w:sz w:val="21"/>
        </w:rPr>
        <w:t>because</w:t>
      </w:r>
      <w:r>
        <w:rPr>
          <w:spacing w:val="-5"/>
          <w:w w:val="105"/>
          <w:sz w:val="21"/>
        </w:rPr>
        <w:t> </w:t>
      </w:r>
      <w:r>
        <w:rPr>
          <w:w w:val="105"/>
          <w:sz w:val="21"/>
        </w:rPr>
        <w:t>the</w:t>
      </w:r>
      <w:r>
        <w:rPr>
          <w:spacing w:val="-6"/>
          <w:w w:val="105"/>
          <w:sz w:val="21"/>
        </w:rPr>
        <w:t> </w:t>
      </w:r>
      <w:r>
        <w:rPr>
          <w:w w:val="105"/>
          <w:sz w:val="21"/>
        </w:rPr>
        <w:t>matter</w:t>
      </w:r>
      <w:r>
        <w:rPr>
          <w:spacing w:val="-5"/>
          <w:w w:val="105"/>
          <w:sz w:val="21"/>
        </w:rPr>
        <w:t> </w:t>
      </w:r>
      <w:r>
        <w:rPr>
          <w:spacing w:val="-3"/>
          <w:w w:val="105"/>
          <w:sz w:val="21"/>
        </w:rPr>
        <w:t>may</w:t>
      </w:r>
      <w:r>
        <w:rPr>
          <w:spacing w:val="-6"/>
          <w:w w:val="105"/>
          <w:sz w:val="21"/>
        </w:rPr>
        <w:t> </w:t>
      </w:r>
      <w:r>
        <w:rPr>
          <w:spacing w:val="-2"/>
          <w:w w:val="105"/>
          <w:sz w:val="21"/>
        </w:rPr>
        <w:t>not</w:t>
      </w:r>
      <w:r>
        <w:rPr>
          <w:spacing w:val="-5"/>
          <w:w w:val="105"/>
          <w:sz w:val="21"/>
        </w:rPr>
        <w:t> </w:t>
      </w:r>
      <w:r>
        <w:rPr>
          <w:w w:val="105"/>
          <w:sz w:val="21"/>
        </w:rPr>
        <w:t>be</w:t>
      </w:r>
      <w:r>
        <w:rPr>
          <w:spacing w:val="-6"/>
          <w:w w:val="105"/>
          <w:sz w:val="21"/>
        </w:rPr>
        <w:t> </w:t>
      </w:r>
      <w:r>
        <w:rPr>
          <w:w w:val="105"/>
          <w:sz w:val="21"/>
        </w:rPr>
        <w:t>able</w:t>
      </w:r>
      <w:r>
        <w:rPr>
          <w:spacing w:val="-5"/>
          <w:w w:val="105"/>
          <w:sz w:val="21"/>
        </w:rPr>
        <w:t> </w:t>
      </w:r>
      <w:r>
        <w:rPr>
          <w:spacing w:val="-3"/>
          <w:w w:val="105"/>
          <w:sz w:val="21"/>
        </w:rPr>
        <w:t>to</w:t>
      </w:r>
      <w:r>
        <w:rPr>
          <w:spacing w:val="-6"/>
          <w:w w:val="105"/>
          <w:sz w:val="21"/>
        </w:rPr>
        <w:t> </w:t>
      </w:r>
      <w:r>
        <w:rPr>
          <w:w w:val="105"/>
          <w:sz w:val="21"/>
        </w:rPr>
        <w:t>be</w:t>
      </w:r>
      <w:r>
        <w:rPr>
          <w:spacing w:val="-5"/>
          <w:w w:val="105"/>
          <w:sz w:val="21"/>
        </w:rPr>
        <w:t> </w:t>
      </w:r>
      <w:r>
        <w:rPr>
          <w:spacing w:val="-3"/>
          <w:w w:val="105"/>
          <w:sz w:val="21"/>
        </w:rPr>
        <w:t>referred</w:t>
      </w:r>
      <w:r>
        <w:rPr>
          <w:spacing w:val="-5"/>
          <w:w w:val="105"/>
          <w:sz w:val="21"/>
        </w:rPr>
        <w:t> </w:t>
      </w:r>
      <w:r>
        <w:rPr>
          <w:spacing w:val="-3"/>
          <w:w w:val="105"/>
          <w:sz w:val="21"/>
        </w:rPr>
        <w:t>to</w:t>
      </w:r>
      <w:r>
        <w:rPr>
          <w:spacing w:val="-6"/>
          <w:w w:val="105"/>
          <w:sz w:val="21"/>
        </w:rPr>
        <w:t> </w:t>
      </w:r>
      <w:r>
        <w:rPr>
          <w:w w:val="105"/>
          <w:sz w:val="21"/>
        </w:rPr>
        <w:t>a</w:t>
      </w:r>
      <w:r>
        <w:rPr>
          <w:spacing w:val="-5"/>
          <w:w w:val="105"/>
          <w:sz w:val="21"/>
        </w:rPr>
        <w:t> </w:t>
      </w:r>
      <w:r>
        <w:rPr>
          <w:spacing w:val="-3"/>
          <w:w w:val="105"/>
          <w:sz w:val="21"/>
        </w:rPr>
        <w:t>hearing</w:t>
      </w:r>
      <w:r>
        <w:rPr>
          <w:spacing w:val="-6"/>
          <w:w w:val="105"/>
          <w:sz w:val="21"/>
        </w:rPr>
        <w:t> </w:t>
      </w:r>
      <w:r>
        <w:rPr>
          <w:w w:val="105"/>
          <w:sz w:val="21"/>
        </w:rPr>
        <w:t>on</w:t>
      </w:r>
      <w:r>
        <w:rPr>
          <w:spacing w:val="-5"/>
          <w:w w:val="105"/>
          <w:sz w:val="21"/>
        </w:rPr>
        <w:t> </w:t>
      </w:r>
      <w:r>
        <w:rPr>
          <w:w w:val="105"/>
          <w:sz w:val="21"/>
        </w:rPr>
        <w:t>the</w:t>
      </w:r>
      <w:r>
        <w:rPr>
          <w:spacing w:val="-6"/>
          <w:w w:val="105"/>
          <w:sz w:val="21"/>
        </w:rPr>
        <w:t> </w:t>
      </w:r>
      <w:r>
        <w:rPr>
          <w:w w:val="105"/>
          <w:sz w:val="21"/>
        </w:rPr>
        <w:t>same</w:t>
      </w:r>
    </w:p>
    <w:p>
      <w:pPr>
        <w:pStyle w:val="BodyText"/>
        <w:spacing w:line="242" w:lineRule="auto" w:before="3"/>
        <w:ind w:left="2381" w:right="1558"/>
      </w:pPr>
      <w:r>
        <w:rPr>
          <w:spacing w:val="-3"/>
          <w:w w:val="105"/>
        </w:rPr>
        <w:t>day.</w:t>
      </w:r>
      <w:r>
        <w:rPr>
          <w:spacing w:val="-3"/>
          <w:w w:val="105"/>
          <w:position w:val="7"/>
          <w:sz w:val="12"/>
        </w:rPr>
        <w:t>281</w:t>
      </w:r>
      <w:r>
        <w:rPr>
          <w:spacing w:val="7"/>
          <w:w w:val="105"/>
          <w:position w:val="7"/>
          <w:sz w:val="12"/>
        </w:rPr>
        <w:t> </w:t>
      </w:r>
      <w:r>
        <w:rPr>
          <w:w w:val="105"/>
        </w:rPr>
        <w:t>The</w:t>
      </w:r>
      <w:r>
        <w:rPr>
          <w:spacing w:val="-15"/>
          <w:w w:val="105"/>
        </w:rPr>
        <w:t> </w:t>
      </w:r>
      <w:r>
        <w:rPr>
          <w:w w:val="105"/>
        </w:rPr>
        <w:t>suitability</w:t>
      </w:r>
      <w:r>
        <w:rPr>
          <w:spacing w:val="-14"/>
          <w:w w:val="105"/>
        </w:rPr>
        <w:t> </w:t>
      </w:r>
      <w:r>
        <w:rPr>
          <w:w w:val="105"/>
        </w:rPr>
        <w:t>of</w:t>
      </w:r>
      <w:r>
        <w:rPr>
          <w:spacing w:val="-15"/>
          <w:w w:val="105"/>
        </w:rPr>
        <w:t> </w:t>
      </w:r>
      <w:r>
        <w:rPr>
          <w:w w:val="105"/>
        </w:rPr>
        <w:t>particular</w:t>
      </w:r>
      <w:r>
        <w:rPr>
          <w:spacing w:val="-14"/>
          <w:w w:val="105"/>
        </w:rPr>
        <w:t> </w:t>
      </w:r>
      <w:r>
        <w:rPr>
          <w:w w:val="105"/>
        </w:rPr>
        <w:t>cases</w:t>
      </w:r>
      <w:r>
        <w:rPr>
          <w:spacing w:val="-15"/>
          <w:w w:val="105"/>
        </w:rPr>
        <w:t> </w:t>
      </w:r>
      <w:r>
        <w:rPr>
          <w:spacing w:val="-3"/>
          <w:w w:val="105"/>
        </w:rPr>
        <w:t>for</w:t>
      </w:r>
      <w:r>
        <w:rPr>
          <w:spacing w:val="-14"/>
          <w:w w:val="105"/>
        </w:rPr>
        <w:t> </w:t>
      </w:r>
      <w:r>
        <w:rPr>
          <w:w w:val="105"/>
        </w:rPr>
        <w:t>the</w:t>
      </w:r>
      <w:r>
        <w:rPr>
          <w:spacing w:val="-15"/>
          <w:w w:val="105"/>
        </w:rPr>
        <w:t> </w:t>
      </w:r>
      <w:r>
        <w:rPr>
          <w:w w:val="105"/>
        </w:rPr>
        <w:t>fast</w:t>
      </w:r>
      <w:r>
        <w:rPr>
          <w:spacing w:val="-14"/>
          <w:w w:val="105"/>
        </w:rPr>
        <w:t> </w:t>
      </w:r>
      <w:r>
        <w:rPr>
          <w:spacing w:val="-3"/>
          <w:w w:val="105"/>
        </w:rPr>
        <w:t>track</w:t>
      </w:r>
      <w:r>
        <w:rPr>
          <w:spacing w:val="-15"/>
          <w:w w:val="105"/>
        </w:rPr>
        <w:t> </w:t>
      </w:r>
      <w:r>
        <w:rPr>
          <w:spacing w:val="-3"/>
          <w:w w:val="105"/>
        </w:rPr>
        <w:t>program</w:t>
      </w:r>
      <w:r>
        <w:rPr>
          <w:spacing w:val="-14"/>
          <w:w w:val="105"/>
        </w:rPr>
        <w:t> </w:t>
      </w:r>
      <w:r>
        <w:rPr>
          <w:w w:val="105"/>
        </w:rPr>
        <w:t>should</w:t>
      </w:r>
      <w:r>
        <w:rPr>
          <w:spacing w:val="-15"/>
          <w:w w:val="105"/>
        </w:rPr>
        <w:t> </w:t>
      </w:r>
      <w:r>
        <w:rPr>
          <w:w w:val="105"/>
        </w:rPr>
        <w:t>be</w:t>
      </w:r>
      <w:r>
        <w:rPr>
          <w:spacing w:val="-15"/>
          <w:w w:val="105"/>
        </w:rPr>
        <w:t> </w:t>
      </w:r>
      <w:r>
        <w:rPr>
          <w:spacing w:val="-3"/>
          <w:w w:val="105"/>
        </w:rPr>
        <w:t>determined</w:t>
      </w:r>
      <w:r>
        <w:rPr>
          <w:spacing w:val="-14"/>
          <w:w w:val="105"/>
        </w:rPr>
        <w:t> </w:t>
      </w:r>
      <w:r>
        <w:rPr>
          <w:w w:val="105"/>
        </w:rPr>
        <w:t>by </w:t>
      </w:r>
      <w:r>
        <w:rPr>
          <w:spacing w:val="-5"/>
          <w:w w:val="105"/>
        </w:rPr>
        <w:t>VCAT </w:t>
      </w:r>
      <w:r>
        <w:rPr>
          <w:w w:val="105"/>
        </w:rPr>
        <w:t>but the </w:t>
      </w:r>
      <w:r>
        <w:rPr>
          <w:spacing w:val="-3"/>
          <w:w w:val="105"/>
        </w:rPr>
        <w:t>Commission </w:t>
      </w:r>
      <w:r>
        <w:rPr>
          <w:w w:val="105"/>
        </w:rPr>
        <w:t>considers it </w:t>
      </w:r>
      <w:r>
        <w:rPr>
          <w:spacing w:val="-3"/>
          <w:w w:val="105"/>
        </w:rPr>
        <w:t>may </w:t>
      </w:r>
      <w:r>
        <w:rPr>
          <w:w w:val="105"/>
        </w:rPr>
        <w:t>be of benefit in tree </w:t>
      </w:r>
      <w:r>
        <w:rPr>
          <w:spacing w:val="-3"/>
          <w:w w:val="105"/>
        </w:rPr>
        <w:t>dispute</w:t>
      </w:r>
      <w:r>
        <w:rPr>
          <w:spacing w:val="22"/>
          <w:w w:val="105"/>
        </w:rPr>
        <w:t> </w:t>
      </w:r>
      <w:r>
        <w:rPr>
          <w:w w:val="105"/>
        </w:rPr>
        <w:t>matters.</w:t>
      </w:r>
    </w:p>
    <w:p>
      <w:pPr>
        <w:pStyle w:val="ListParagraph"/>
        <w:numPr>
          <w:ilvl w:val="1"/>
          <w:numId w:val="114"/>
        </w:numPr>
        <w:tabs>
          <w:tab w:pos="2381" w:val="left" w:leader="none"/>
          <w:tab w:pos="2382" w:val="left" w:leader="none"/>
        </w:tabs>
        <w:spacing w:line="242" w:lineRule="auto" w:before="122" w:after="0"/>
        <w:ind w:left="2381" w:right="1721" w:hanging="794"/>
        <w:jc w:val="left"/>
        <w:rPr>
          <w:sz w:val="21"/>
        </w:rPr>
      </w:pPr>
      <w:r>
        <w:rPr>
          <w:w w:val="105"/>
          <w:sz w:val="21"/>
        </w:rPr>
        <w:t>For</w:t>
      </w:r>
      <w:r>
        <w:rPr>
          <w:spacing w:val="-9"/>
          <w:w w:val="105"/>
          <w:sz w:val="21"/>
        </w:rPr>
        <w:t> </w:t>
      </w:r>
      <w:r>
        <w:rPr>
          <w:w w:val="105"/>
          <w:sz w:val="21"/>
        </w:rPr>
        <w:t>those</w:t>
      </w:r>
      <w:r>
        <w:rPr>
          <w:spacing w:val="-8"/>
          <w:w w:val="105"/>
          <w:sz w:val="21"/>
        </w:rPr>
        <w:t> </w:t>
      </w:r>
      <w:r>
        <w:rPr>
          <w:w w:val="105"/>
          <w:sz w:val="21"/>
        </w:rPr>
        <w:t>matters</w:t>
      </w:r>
      <w:r>
        <w:rPr>
          <w:spacing w:val="-8"/>
          <w:w w:val="105"/>
          <w:sz w:val="21"/>
        </w:rPr>
        <w:t> </w:t>
      </w:r>
      <w:r>
        <w:rPr>
          <w:spacing w:val="-3"/>
          <w:w w:val="105"/>
          <w:sz w:val="21"/>
        </w:rPr>
        <w:t>that</w:t>
      </w:r>
      <w:r>
        <w:rPr>
          <w:spacing w:val="-8"/>
          <w:w w:val="105"/>
          <w:sz w:val="21"/>
        </w:rPr>
        <w:t> </w:t>
      </w:r>
      <w:r>
        <w:rPr>
          <w:spacing w:val="-3"/>
          <w:w w:val="105"/>
          <w:sz w:val="21"/>
        </w:rPr>
        <w:t>are</w:t>
      </w:r>
      <w:r>
        <w:rPr>
          <w:spacing w:val="-8"/>
          <w:w w:val="105"/>
          <w:sz w:val="21"/>
        </w:rPr>
        <w:t> </w:t>
      </w:r>
      <w:r>
        <w:rPr>
          <w:spacing w:val="-3"/>
          <w:w w:val="105"/>
          <w:sz w:val="21"/>
        </w:rPr>
        <w:t>referred</w:t>
      </w:r>
      <w:r>
        <w:rPr>
          <w:spacing w:val="-8"/>
          <w:w w:val="105"/>
          <w:sz w:val="21"/>
        </w:rPr>
        <w:t> </w:t>
      </w:r>
      <w:r>
        <w:rPr>
          <w:spacing w:val="-3"/>
          <w:w w:val="105"/>
          <w:sz w:val="21"/>
        </w:rPr>
        <w:t>to</w:t>
      </w:r>
      <w:r>
        <w:rPr>
          <w:spacing w:val="-8"/>
          <w:w w:val="105"/>
          <w:sz w:val="21"/>
        </w:rPr>
        <w:t> </w:t>
      </w:r>
      <w:r>
        <w:rPr>
          <w:w w:val="105"/>
          <w:sz w:val="21"/>
        </w:rPr>
        <w:t>mediation</w:t>
      </w:r>
      <w:r>
        <w:rPr>
          <w:spacing w:val="-8"/>
          <w:w w:val="105"/>
          <w:sz w:val="21"/>
        </w:rPr>
        <w:t> </w:t>
      </w:r>
      <w:r>
        <w:rPr>
          <w:w w:val="105"/>
          <w:sz w:val="21"/>
        </w:rPr>
        <w:t>by</w:t>
      </w:r>
      <w:r>
        <w:rPr>
          <w:spacing w:val="-8"/>
          <w:w w:val="105"/>
          <w:sz w:val="21"/>
        </w:rPr>
        <w:t> </w:t>
      </w:r>
      <w:r>
        <w:rPr>
          <w:w w:val="105"/>
          <w:sz w:val="21"/>
        </w:rPr>
        <w:t>the</w:t>
      </w:r>
      <w:r>
        <w:rPr>
          <w:spacing w:val="-8"/>
          <w:w w:val="105"/>
          <w:sz w:val="21"/>
        </w:rPr>
        <w:t> </w:t>
      </w:r>
      <w:r>
        <w:rPr>
          <w:spacing w:val="-5"/>
          <w:w w:val="105"/>
          <w:sz w:val="21"/>
        </w:rPr>
        <w:t>Tribunal,</w:t>
      </w:r>
      <w:r>
        <w:rPr>
          <w:spacing w:val="-8"/>
          <w:w w:val="105"/>
          <w:sz w:val="21"/>
        </w:rPr>
        <w:t> </w:t>
      </w:r>
      <w:r>
        <w:rPr>
          <w:w w:val="105"/>
          <w:sz w:val="21"/>
        </w:rPr>
        <w:t>the</w:t>
      </w:r>
      <w:r>
        <w:rPr>
          <w:spacing w:val="-8"/>
          <w:w w:val="105"/>
          <w:sz w:val="21"/>
        </w:rPr>
        <w:t> </w:t>
      </w:r>
      <w:r>
        <w:rPr>
          <w:spacing w:val="-3"/>
          <w:w w:val="105"/>
          <w:sz w:val="21"/>
        </w:rPr>
        <w:t>Commission</w:t>
      </w:r>
      <w:r>
        <w:rPr>
          <w:spacing w:val="-8"/>
          <w:w w:val="105"/>
          <w:sz w:val="21"/>
        </w:rPr>
        <w:t> </w:t>
      </w:r>
      <w:r>
        <w:rPr>
          <w:spacing w:val="-3"/>
          <w:w w:val="105"/>
          <w:sz w:val="21"/>
        </w:rPr>
        <w:t>favours </w:t>
      </w:r>
      <w:r>
        <w:rPr>
          <w:w w:val="105"/>
          <w:sz w:val="21"/>
        </w:rPr>
        <w:t>the approach in the </w:t>
      </w:r>
      <w:r>
        <w:rPr>
          <w:spacing w:val="-4"/>
          <w:w w:val="105"/>
          <w:sz w:val="21"/>
        </w:rPr>
        <w:t>Tasmanian </w:t>
      </w:r>
      <w:r>
        <w:rPr>
          <w:w w:val="105"/>
          <w:sz w:val="21"/>
        </w:rPr>
        <w:t>Act, which </w:t>
      </w:r>
      <w:r>
        <w:rPr>
          <w:spacing w:val="-3"/>
          <w:w w:val="105"/>
          <w:sz w:val="21"/>
        </w:rPr>
        <w:t>outlines </w:t>
      </w:r>
      <w:r>
        <w:rPr>
          <w:w w:val="105"/>
          <w:sz w:val="21"/>
        </w:rPr>
        <w:t>a </w:t>
      </w:r>
      <w:r>
        <w:rPr>
          <w:spacing w:val="-3"/>
          <w:w w:val="105"/>
          <w:sz w:val="21"/>
        </w:rPr>
        <w:t>range </w:t>
      </w:r>
      <w:r>
        <w:rPr>
          <w:w w:val="105"/>
          <w:sz w:val="21"/>
        </w:rPr>
        <w:t>of factors </w:t>
      </w:r>
      <w:r>
        <w:rPr>
          <w:spacing w:val="-3"/>
          <w:w w:val="105"/>
          <w:sz w:val="21"/>
        </w:rPr>
        <w:t>for </w:t>
      </w:r>
      <w:r>
        <w:rPr>
          <w:w w:val="105"/>
          <w:sz w:val="21"/>
        </w:rPr>
        <w:t>the</w:t>
      </w:r>
      <w:r>
        <w:rPr>
          <w:spacing w:val="15"/>
          <w:w w:val="105"/>
          <w:sz w:val="21"/>
        </w:rPr>
        <w:t> </w:t>
      </w:r>
      <w:r>
        <w:rPr>
          <w:spacing w:val="-5"/>
          <w:w w:val="105"/>
          <w:sz w:val="21"/>
        </w:rPr>
        <w:t>Tribunal</w:t>
      </w:r>
    </w:p>
    <w:p>
      <w:pPr>
        <w:pStyle w:val="BodyText"/>
        <w:spacing w:line="242" w:lineRule="auto" w:before="3"/>
        <w:ind w:left="2381" w:right="1636"/>
        <w:rPr>
          <w:sz w:val="12"/>
        </w:rPr>
      </w:pPr>
      <w:r>
        <w:rPr/>
        <w:t>to consider in determining whether this is appropriate (for example, whether there are threats of violence).</w:t>
      </w:r>
      <w:r>
        <w:rPr>
          <w:position w:val="7"/>
          <w:sz w:val="12"/>
        </w:rPr>
        <w:t>282</w:t>
      </w:r>
    </w:p>
    <w:p>
      <w:pPr>
        <w:pStyle w:val="BodyText"/>
        <w:spacing w:before="5"/>
        <w:rPr>
          <w:sz w:val="17"/>
        </w:rPr>
      </w:pPr>
      <w:r>
        <w:rPr/>
        <w:pict>
          <v:group style="position:absolute;margin-left:62.362202pt;margin-top:12.614416pt;width:479.1pt;height:96.4pt;mso-position-horizontal-relative:page;mso-position-vertical-relative:paragraph;z-index:7184;mso-wrap-distance-left:0;mso-wrap-distance-right:0" coordorigin="1247,252" coordsize="9582,1928">
            <v:rect style="position:absolute;left:1587;top:252;width:8731;height:1928" filled="true" fillcolor="#dbe0dd" stroked="false">
              <v:fill type="solid"/>
            </v:rect>
            <v:line style="position:absolute" from="1247,999" to="10828,999" stroked="true" strokeweight="2.5pt" strokecolor="#ffffff">
              <v:stroke dashstyle="solid"/>
            </v:line>
            <v:shape style="position:absolute;left:1587;top:1024;width:8731;height:1156" type="#_x0000_t202" filled="true" fillcolor="#dbe0dd" stroked="false">
              <v:textbox inset="0,0,0,0">
                <w:txbxContent>
                  <w:p>
                    <w:pPr>
                      <w:tabs>
                        <w:tab w:pos="793" w:val="left" w:leader="none"/>
                      </w:tabs>
                      <w:spacing w:line="242" w:lineRule="auto" w:before="208"/>
                      <w:ind w:left="793" w:right="600" w:hanging="567"/>
                      <w:jc w:val="left"/>
                      <w:rPr>
                        <w:sz w:val="21"/>
                      </w:rPr>
                    </w:pPr>
                    <w:r>
                      <w:rPr>
                        <w:b/>
                        <w:w w:val="115"/>
                        <w:sz w:val="21"/>
                      </w:rPr>
                      <w:t>22</w:t>
                      <w:tab/>
                    </w:r>
                    <w:r>
                      <w:rPr>
                        <w:w w:val="115"/>
                        <w:sz w:val="21"/>
                      </w:rPr>
                      <w:t>The Victorian Civil and Administrative </w:t>
                    </w:r>
                    <w:r>
                      <w:rPr>
                        <w:spacing w:val="-4"/>
                        <w:w w:val="115"/>
                        <w:sz w:val="21"/>
                      </w:rPr>
                      <w:t>Tribunal </w:t>
                    </w:r>
                    <w:r>
                      <w:rPr>
                        <w:w w:val="115"/>
                        <w:sz w:val="21"/>
                      </w:rPr>
                      <w:t>should consider extending the</w:t>
                    </w:r>
                    <w:r>
                      <w:rPr>
                        <w:spacing w:val="-9"/>
                        <w:w w:val="115"/>
                        <w:sz w:val="21"/>
                      </w:rPr>
                      <w:t> </w:t>
                    </w:r>
                    <w:r>
                      <w:rPr>
                        <w:w w:val="115"/>
                        <w:sz w:val="21"/>
                      </w:rPr>
                      <w:t>Fast</w:t>
                    </w:r>
                    <w:r>
                      <w:rPr>
                        <w:spacing w:val="-9"/>
                        <w:w w:val="115"/>
                        <w:sz w:val="21"/>
                      </w:rPr>
                      <w:t> </w:t>
                    </w:r>
                    <w:r>
                      <w:rPr>
                        <w:spacing w:val="-5"/>
                        <w:w w:val="115"/>
                        <w:sz w:val="21"/>
                      </w:rPr>
                      <w:t>Track</w:t>
                    </w:r>
                    <w:r>
                      <w:rPr>
                        <w:spacing w:val="-8"/>
                        <w:w w:val="115"/>
                        <w:sz w:val="21"/>
                      </w:rPr>
                      <w:t> </w:t>
                    </w:r>
                    <w:r>
                      <w:rPr>
                        <w:w w:val="115"/>
                        <w:sz w:val="21"/>
                      </w:rPr>
                      <w:t>Mediation</w:t>
                    </w:r>
                    <w:r>
                      <w:rPr>
                        <w:spacing w:val="-9"/>
                        <w:w w:val="115"/>
                        <w:sz w:val="21"/>
                      </w:rPr>
                      <w:t> </w:t>
                    </w:r>
                    <w:r>
                      <w:rPr>
                        <w:w w:val="115"/>
                        <w:sz w:val="21"/>
                      </w:rPr>
                      <w:t>and</w:t>
                    </w:r>
                    <w:r>
                      <w:rPr>
                        <w:spacing w:val="-8"/>
                        <w:w w:val="115"/>
                        <w:sz w:val="21"/>
                      </w:rPr>
                      <w:t> </w:t>
                    </w:r>
                    <w:r>
                      <w:rPr>
                        <w:w w:val="115"/>
                        <w:sz w:val="21"/>
                      </w:rPr>
                      <w:t>Hearing</w:t>
                    </w:r>
                    <w:r>
                      <w:rPr>
                        <w:spacing w:val="-9"/>
                        <w:w w:val="115"/>
                        <w:sz w:val="21"/>
                      </w:rPr>
                      <w:t> </w:t>
                    </w:r>
                    <w:r>
                      <w:rPr>
                        <w:w w:val="115"/>
                        <w:sz w:val="21"/>
                      </w:rPr>
                      <w:t>Program</w:t>
                    </w:r>
                    <w:r>
                      <w:rPr>
                        <w:spacing w:val="-8"/>
                        <w:w w:val="115"/>
                        <w:sz w:val="21"/>
                      </w:rPr>
                      <w:t> </w:t>
                    </w:r>
                    <w:r>
                      <w:rPr>
                        <w:w w:val="115"/>
                        <w:sz w:val="21"/>
                      </w:rPr>
                      <w:t>administered</w:t>
                    </w:r>
                    <w:r>
                      <w:rPr>
                        <w:spacing w:val="-9"/>
                        <w:w w:val="115"/>
                        <w:sz w:val="21"/>
                      </w:rPr>
                      <w:t> </w:t>
                    </w:r>
                    <w:r>
                      <w:rPr>
                        <w:w w:val="115"/>
                        <w:sz w:val="21"/>
                      </w:rPr>
                      <w:t>by</w:t>
                    </w:r>
                    <w:r>
                      <w:rPr>
                        <w:spacing w:val="-8"/>
                        <w:w w:val="115"/>
                        <w:sz w:val="21"/>
                      </w:rPr>
                      <w:t> </w:t>
                    </w:r>
                    <w:r>
                      <w:rPr>
                        <w:w w:val="115"/>
                        <w:sz w:val="21"/>
                      </w:rPr>
                      <w:t>the</w:t>
                    </w:r>
                    <w:r>
                      <w:rPr>
                        <w:spacing w:val="-9"/>
                        <w:w w:val="115"/>
                        <w:sz w:val="21"/>
                      </w:rPr>
                      <w:t> </w:t>
                    </w:r>
                    <w:r>
                      <w:rPr>
                        <w:w w:val="115"/>
                        <w:sz w:val="21"/>
                      </w:rPr>
                      <w:t>Dispute Settlement Centre of Victoria in </w:t>
                    </w:r>
                    <w:r>
                      <w:rPr>
                        <w:spacing w:val="-4"/>
                        <w:w w:val="115"/>
                        <w:sz w:val="21"/>
                      </w:rPr>
                      <w:t>VCAT </w:t>
                    </w:r>
                    <w:r>
                      <w:rPr>
                        <w:w w:val="115"/>
                        <w:sz w:val="21"/>
                      </w:rPr>
                      <w:t>to suitable tree</w:t>
                    </w:r>
                    <w:r>
                      <w:rPr>
                        <w:spacing w:val="-10"/>
                        <w:w w:val="115"/>
                        <w:sz w:val="21"/>
                      </w:rPr>
                      <w:t> </w:t>
                    </w:r>
                    <w:r>
                      <w:rPr>
                        <w:w w:val="115"/>
                        <w:sz w:val="21"/>
                      </w:rPr>
                      <w:t>disputes.</w:t>
                    </w:r>
                  </w:p>
                </w:txbxContent>
              </v:textbox>
              <v:fill type="solid"/>
              <w10:wrap type="none"/>
            </v:shape>
            <v:shape style="position:absolute;left:1587;top:252;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r>
        <w:rPr/>
        <w:pict>
          <v:line style="position:absolute;mso-position-horizontal-relative:page;mso-position-vertical-relative:paragraph;z-index:7208;mso-wrap-distance-left:0;mso-wrap-distance-right:0" from="79.370003pt,14.593813pt" to="515.905003pt,14.59381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spacing w:before="176"/>
        <w:ind w:left="720" w:right="0" w:firstLine="0"/>
        <w:jc w:val="left"/>
        <w:rPr>
          <w:b/>
          <w:sz w:val="24"/>
        </w:rPr>
      </w:pPr>
      <w:r>
        <w:rPr>
          <w:b/>
          <w:color w:val="658464"/>
          <w:spacing w:val="-4"/>
          <w:w w:val="110"/>
          <w:sz w:val="24"/>
        </w:rPr>
        <w:t>158</w:t>
      </w:r>
    </w:p>
    <w:p>
      <w:pPr>
        <w:pStyle w:val="ListParagraph"/>
        <w:numPr>
          <w:ilvl w:val="0"/>
          <w:numId w:val="125"/>
        </w:numPr>
        <w:tabs>
          <w:tab w:pos="1228" w:val="left" w:leader="none"/>
          <w:tab w:pos="1229" w:val="left" w:leader="none"/>
        </w:tabs>
        <w:spacing w:line="240" w:lineRule="auto" w:before="48" w:after="0"/>
        <w:ind w:left="1228" w:right="0" w:hanging="793"/>
        <w:jc w:val="left"/>
        <w:rPr>
          <w:sz w:val="13"/>
        </w:rPr>
      </w:pPr>
      <w:r>
        <w:rPr>
          <w:spacing w:val="-3"/>
          <w:w w:val="125"/>
          <w:sz w:val="13"/>
        </w:rPr>
        <w:br w:type="column"/>
      </w:r>
      <w:r>
        <w:rPr>
          <w:w w:val="105"/>
          <w:sz w:val="13"/>
        </w:rPr>
        <w:t>Consultation </w:t>
      </w:r>
      <w:r>
        <w:rPr>
          <w:spacing w:val="-3"/>
          <w:w w:val="105"/>
          <w:sz w:val="13"/>
        </w:rPr>
        <w:t>15 </w:t>
      </w:r>
      <w:r>
        <w:rPr>
          <w:w w:val="105"/>
          <w:sz w:val="13"/>
        </w:rPr>
        <w:t>(Queensland Civil and Administrative Tribunal).</w:t>
      </w:r>
    </w:p>
    <w:p>
      <w:pPr>
        <w:pStyle w:val="ListParagraph"/>
        <w:numPr>
          <w:ilvl w:val="0"/>
          <w:numId w:val="125"/>
        </w:numPr>
        <w:tabs>
          <w:tab w:pos="1228" w:val="left" w:leader="none"/>
          <w:tab w:pos="1230" w:val="left" w:leader="none"/>
        </w:tabs>
        <w:spacing w:line="240" w:lineRule="auto" w:before="1" w:after="0"/>
        <w:ind w:left="1229"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the</w:t>
      </w:r>
      <w:r>
        <w:rPr>
          <w:spacing w:val="5"/>
          <w:w w:val="105"/>
          <w:sz w:val="13"/>
        </w:rPr>
        <w:t> </w:t>
      </w:r>
      <w:r>
        <w:rPr>
          <w:w w:val="105"/>
          <w:sz w:val="13"/>
        </w:rPr>
        <w:t>Resource</w:t>
      </w:r>
      <w:r>
        <w:rPr>
          <w:spacing w:val="5"/>
          <w:w w:val="105"/>
          <w:sz w:val="13"/>
        </w:rPr>
        <w:t> </w:t>
      </w:r>
      <w:r>
        <w:rPr>
          <w:w w:val="105"/>
          <w:sz w:val="13"/>
        </w:rPr>
        <w:t>Management</w:t>
      </w:r>
      <w:r>
        <w:rPr>
          <w:spacing w:val="5"/>
          <w:w w:val="105"/>
          <w:sz w:val="13"/>
        </w:rPr>
        <w:t> </w:t>
      </w:r>
      <w:r>
        <w:rPr>
          <w:w w:val="105"/>
          <w:sz w:val="13"/>
        </w:rPr>
        <w:t>and</w:t>
      </w:r>
      <w:r>
        <w:rPr>
          <w:spacing w:val="4"/>
          <w:w w:val="105"/>
          <w:sz w:val="13"/>
        </w:rPr>
        <w:t> </w:t>
      </w:r>
      <w:r>
        <w:rPr>
          <w:w w:val="105"/>
          <w:sz w:val="13"/>
        </w:rPr>
        <w:t>Planning</w:t>
      </w:r>
      <w:r>
        <w:rPr>
          <w:spacing w:val="5"/>
          <w:w w:val="105"/>
          <w:sz w:val="13"/>
        </w:rPr>
        <w:t> </w:t>
      </w:r>
      <w:r>
        <w:rPr>
          <w:w w:val="105"/>
          <w:sz w:val="13"/>
        </w:rPr>
        <w:t>Appeal</w:t>
      </w:r>
      <w:r>
        <w:rPr>
          <w:spacing w:val="5"/>
          <w:w w:val="105"/>
          <w:sz w:val="13"/>
        </w:rPr>
        <w:t> </w:t>
      </w:r>
      <w:r>
        <w:rPr>
          <w:w w:val="105"/>
          <w:sz w:val="13"/>
        </w:rPr>
        <w:t>Tribunal</w:t>
      </w:r>
      <w:r>
        <w:rPr>
          <w:spacing w:val="5"/>
          <w:w w:val="105"/>
          <w:sz w:val="13"/>
        </w:rPr>
        <w:t> </w:t>
      </w:r>
      <w:r>
        <w:rPr>
          <w:w w:val="105"/>
          <w:sz w:val="13"/>
        </w:rPr>
        <w:t>to</w:t>
      </w:r>
      <w:r>
        <w:rPr>
          <w:spacing w:val="5"/>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April</w:t>
      </w:r>
      <w:r>
        <w:rPr>
          <w:spacing w:val="4"/>
          <w:w w:val="105"/>
          <w:sz w:val="13"/>
        </w:rPr>
        <w:t> </w:t>
      </w:r>
      <w:r>
        <w:rPr>
          <w:w w:val="105"/>
          <w:sz w:val="13"/>
        </w:rPr>
        <w:t>2019.</w:t>
      </w:r>
    </w:p>
    <w:p>
      <w:pPr>
        <w:pStyle w:val="ListParagraph"/>
        <w:numPr>
          <w:ilvl w:val="0"/>
          <w:numId w:val="125"/>
        </w:numPr>
        <w:tabs>
          <w:tab w:pos="1228" w:val="left" w:leader="none"/>
          <w:tab w:pos="1230" w:val="left" w:leader="none"/>
        </w:tabs>
        <w:spacing w:line="240" w:lineRule="auto" w:before="2" w:after="0"/>
        <w:ind w:left="1229" w:right="1662" w:hanging="794"/>
        <w:jc w:val="left"/>
        <w:rPr>
          <w:sz w:val="13"/>
        </w:rPr>
      </w:pPr>
      <w:r>
        <w:rPr>
          <w:sz w:val="13"/>
        </w:rPr>
        <w:t>Victorian Civil and Administrative Tribunal, </w:t>
      </w:r>
      <w:r>
        <w:rPr>
          <w:i/>
          <w:sz w:val="13"/>
        </w:rPr>
        <w:t>Fast Track Mediation and Hearing </w:t>
      </w:r>
      <w:r>
        <w:rPr>
          <w:sz w:val="13"/>
        </w:rPr>
        <w:t>(Web Page) &lt;https://</w:t>
      </w:r>
      <w:hyperlink r:id="rId201">
        <w:r>
          <w:rPr>
            <w:sz w:val="13"/>
          </w:rPr>
          <w:t>www.vcat.vic.gov.au/resources/fast-</w:t>
        </w:r>
      </w:hyperlink>
      <w:r>
        <w:rPr>
          <w:sz w:val="13"/>
        </w:rPr>
        <w:t> track-mediation-and-hearing&gt;. In its  most  recent  annual  report  VCAT  explains  that  ‘further  regional  expansion  of  the  program  is  planned and the value of disputes mediated will gradually increase in stages to $15,000 over four years’: Victorian Civil and Administrative Tribunal,         VCAT </w:t>
      </w:r>
      <w:r>
        <w:rPr>
          <w:i/>
          <w:sz w:val="13"/>
        </w:rPr>
        <w:t>Annual </w:t>
      </w:r>
      <w:r>
        <w:rPr>
          <w:i/>
          <w:spacing w:val="2"/>
          <w:sz w:val="13"/>
        </w:rPr>
        <w:t>Report </w:t>
      </w:r>
      <w:r>
        <w:rPr>
          <w:i/>
          <w:spacing w:val="-3"/>
          <w:sz w:val="13"/>
        </w:rPr>
        <w:t>2017–2018 </w:t>
      </w:r>
      <w:r>
        <w:rPr>
          <w:spacing w:val="2"/>
          <w:sz w:val="13"/>
        </w:rPr>
        <w:t>(Report, </w:t>
      </w:r>
      <w:r>
        <w:rPr>
          <w:sz w:val="13"/>
        </w:rPr>
        <w:t>2018)</w:t>
      </w:r>
      <w:r>
        <w:rPr>
          <w:spacing w:val="16"/>
          <w:sz w:val="13"/>
        </w:rPr>
        <w:t> </w:t>
      </w:r>
      <w:r>
        <w:rPr>
          <w:sz w:val="13"/>
        </w:rPr>
        <w:t>25.</w:t>
      </w:r>
    </w:p>
    <w:p>
      <w:pPr>
        <w:pStyle w:val="ListParagraph"/>
        <w:numPr>
          <w:ilvl w:val="0"/>
          <w:numId w:val="125"/>
        </w:numPr>
        <w:tabs>
          <w:tab w:pos="1228" w:val="left" w:leader="none"/>
          <w:tab w:pos="1230" w:val="left" w:leader="none"/>
        </w:tabs>
        <w:spacing w:line="240" w:lineRule="auto" w:before="5" w:after="0"/>
        <w:ind w:left="1229" w:right="1756" w:hanging="794"/>
        <w:jc w:val="left"/>
        <w:rPr>
          <w:sz w:val="13"/>
        </w:rPr>
      </w:pPr>
      <w:r>
        <w:rPr>
          <w:w w:val="105"/>
          <w:sz w:val="13"/>
        </w:rPr>
        <w:t>See Victorian Civil and Administrative Tribunal, </w:t>
      </w:r>
      <w:r>
        <w:rPr>
          <w:i/>
          <w:w w:val="105"/>
          <w:sz w:val="13"/>
        </w:rPr>
        <w:t>VCAT Annual </w:t>
      </w:r>
      <w:r>
        <w:rPr>
          <w:i/>
          <w:spacing w:val="2"/>
          <w:w w:val="105"/>
          <w:sz w:val="13"/>
        </w:rPr>
        <w:t>Report </w:t>
      </w:r>
      <w:r>
        <w:rPr>
          <w:i/>
          <w:spacing w:val="-3"/>
          <w:w w:val="105"/>
          <w:sz w:val="13"/>
        </w:rPr>
        <w:t>2017–2018 </w:t>
      </w:r>
      <w:r>
        <w:rPr>
          <w:spacing w:val="2"/>
          <w:w w:val="105"/>
          <w:sz w:val="13"/>
        </w:rPr>
        <w:t>(Report, </w:t>
      </w:r>
      <w:r>
        <w:rPr>
          <w:w w:val="105"/>
          <w:sz w:val="13"/>
        </w:rPr>
        <w:t>2018) 25; see also Dispute Settlement Centre of Victoria, </w:t>
      </w:r>
      <w:r>
        <w:rPr>
          <w:i/>
          <w:w w:val="105"/>
          <w:sz w:val="13"/>
        </w:rPr>
        <w:t>Civil Mediation at VCAT Program </w:t>
      </w:r>
      <w:r>
        <w:rPr>
          <w:w w:val="105"/>
          <w:sz w:val="13"/>
        </w:rPr>
        <w:t>(Web Page, 7 June 2019) &lt;https://</w:t>
      </w:r>
      <w:hyperlink r:id="rId202">
        <w:r>
          <w:rPr>
            <w:w w:val="105"/>
            <w:sz w:val="13"/>
          </w:rPr>
          <w:t>www.disputes.vic.gov.au/about-us/civil-mediation-at-vcat-</w:t>
        </w:r>
      </w:hyperlink>
      <w:r>
        <w:rPr>
          <w:w w:val="105"/>
          <w:sz w:val="13"/>
        </w:rPr>
        <w:t> program&gt;.</w:t>
      </w:r>
    </w:p>
    <w:p>
      <w:pPr>
        <w:pStyle w:val="ListParagraph"/>
        <w:numPr>
          <w:ilvl w:val="0"/>
          <w:numId w:val="125"/>
        </w:numPr>
        <w:tabs>
          <w:tab w:pos="1228" w:val="left" w:leader="none"/>
          <w:tab w:pos="1230" w:val="left" w:leader="none"/>
        </w:tabs>
        <w:spacing w:line="240" w:lineRule="auto" w:before="4" w:after="0"/>
        <w:ind w:left="1229" w:right="0" w:hanging="794"/>
        <w:jc w:val="left"/>
        <w:rPr>
          <w:sz w:val="13"/>
        </w:rPr>
      </w:pPr>
      <w:r>
        <w:rPr>
          <w:w w:val="105"/>
          <w:sz w:val="13"/>
        </w:rPr>
        <w:t>Supplementary Consultation 1 (Victorian Civil and Administrative</w:t>
      </w:r>
      <w:r>
        <w:rPr>
          <w:spacing w:val="2"/>
          <w:w w:val="105"/>
          <w:sz w:val="13"/>
        </w:rPr>
        <w:t> </w:t>
      </w:r>
      <w:r>
        <w:rPr>
          <w:w w:val="105"/>
          <w:sz w:val="13"/>
        </w:rPr>
        <w:t>Tribunal).</w:t>
      </w:r>
    </w:p>
    <w:p>
      <w:pPr>
        <w:pStyle w:val="ListParagraph"/>
        <w:numPr>
          <w:ilvl w:val="0"/>
          <w:numId w:val="125"/>
        </w:numPr>
        <w:tabs>
          <w:tab w:pos="1228" w:val="left" w:leader="none"/>
          <w:tab w:pos="1230" w:val="left" w:leader="none"/>
        </w:tabs>
        <w:spacing w:line="240" w:lineRule="auto" w:before="1" w:after="0"/>
        <w:ind w:left="1229" w:right="0" w:hanging="794"/>
        <w:jc w:val="left"/>
        <w:rPr>
          <w:sz w:val="13"/>
        </w:rPr>
      </w:pPr>
      <w:r>
        <w:rPr>
          <w:i/>
          <w:w w:val="105"/>
          <w:sz w:val="13"/>
        </w:rPr>
        <w:t>Neighbourhood Disputes About Plants Act </w:t>
      </w:r>
      <w:r>
        <w:rPr>
          <w:i/>
          <w:spacing w:val="-4"/>
          <w:w w:val="105"/>
          <w:sz w:val="13"/>
        </w:rPr>
        <w:t>2017 </w:t>
      </w:r>
      <w:r>
        <w:rPr>
          <w:w w:val="105"/>
          <w:sz w:val="13"/>
        </w:rPr>
        <w:t>(Tas) s</w:t>
      </w:r>
      <w:r>
        <w:rPr>
          <w:spacing w:val="15"/>
          <w:w w:val="105"/>
          <w:sz w:val="13"/>
        </w:rPr>
        <w:t> </w:t>
      </w:r>
      <w:r>
        <w:rPr>
          <w:spacing w:val="3"/>
          <w:w w:val="105"/>
          <w:sz w:val="13"/>
        </w:rPr>
        <w:t>26(3).</w:t>
      </w:r>
    </w:p>
    <w:p>
      <w:pPr>
        <w:spacing w:after="0" w:line="240" w:lineRule="auto"/>
        <w:jc w:val="left"/>
        <w:rPr>
          <w:sz w:val="13"/>
        </w:rPr>
        <w:sectPr>
          <w:type w:val="continuous"/>
          <w:pgSz w:w="11910" w:h="16840"/>
          <w:pgMar w:top="300" w:bottom="280" w:left="0" w:right="0"/>
          <w:cols w:num="2" w:equalWidth="0">
            <w:col w:w="1113" w:space="40"/>
            <w:col w:w="10757"/>
          </w:cols>
        </w:sectPr>
      </w:pPr>
    </w:p>
    <w:p>
      <w:pPr>
        <w:pStyle w:val="BodyText"/>
        <w:rPr>
          <w:sz w:val="20"/>
        </w:rPr>
      </w:pPr>
    </w:p>
    <w:p>
      <w:pPr>
        <w:pStyle w:val="BodyText"/>
        <w:spacing w:before="11"/>
        <w:rPr>
          <w:sz w:val="17"/>
        </w:rPr>
      </w:pPr>
    </w:p>
    <w:p>
      <w:pPr>
        <w:pStyle w:val="Heading5"/>
        <w:spacing w:before="96"/>
      </w:pPr>
      <w:bookmarkStart w:name="_bookmark84" w:id="179"/>
      <w:bookmarkEnd w:id="179"/>
      <w:r>
        <w:rPr>
          <w:b w:val="0"/>
        </w:rPr>
      </w:r>
      <w:r>
        <w:rPr>
          <w:w w:val="115"/>
        </w:rPr>
        <w:t>The expertise of decision makers</w:t>
      </w:r>
    </w:p>
    <w:p>
      <w:pPr>
        <w:pStyle w:val="ListParagraph"/>
        <w:numPr>
          <w:ilvl w:val="1"/>
          <w:numId w:val="114"/>
        </w:numPr>
        <w:tabs>
          <w:tab w:pos="2380" w:val="left" w:leader="none"/>
          <w:tab w:pos="2381" w:val="left" w:leader="none"/>
        </w:tabs>
        <w:spacing w:line="242" w:lineRule="auto" w:before="137" w:after="0"/>
        <w:ind w:left="2381" w:right="1761" w:hanging="794"/>
        <w:jc w:val="left"/>
        <w:rPr>
          <w:sz w:val="21"/>
        </w:rPr>
      </w:pPr>
      <w:r>
        <w:rPr>
          <w:w w:val="105"/>
          <w:sz w:val="21"/>
        </w:rPr>
        <w:t>The</w:t>
      </w:r>
      <w:r>
        <w:rPr>
          <w:spacing w:val="-9"/>
          <w:w w:val="105"/>
          <w:sz w:val="21"/>
        </w:rPr>
        <w:t> </w:t>
      </w:r>
      <w:r>
        <w:rPr>
          <w:spacing w:val="-3"/>
          <w:w w:val="105"/>
          <w:sz w:val="21"/>
        </w:rPr>
        <w:t>Commission</w:t>
      </w:r>
      <w:r>
        <w:rPr>
          <w:spacing w:val="-9"/>
          <w:w w:val="105"/>
          <w:sz w:val="21"/>
        </w:rPr>
        <w:t> </w:t>
      </w:r>
      <w:r>
        <w:rPr>
          <w:w w:val="105"/>
          <w:sz w:val="21"/>
        </w:rPr>
        <w:t>agrees</w:t>
      </w:r>
      <w:r>
        <w:rPr>
          <w:spacing w:val="-8"/>
          <w:w w:val="105"/>
          <w:sz w:val="21"/>
        </w:rPr>
        <w:t> </w:t>
      </w:r>
      <w:r>
        <w:rPr>
          <w:w w:val="105"/>
          <w:sz w:val="21"/>
        </w:rPr>
        <w:t>with</w:t>
      </w:r>
      <w:r>
        <w:rPr>
          <w:spacing w:val="-9"/>
          <w:w w:val="105"/>
          <w:sz w:val="21"/>
        </w:rPr>
        <w:t> </w:t>
      </w:r>
      <w:r>
        <w:rPr>
          <w:w w:val="105"/>
          <w:sz w:val="21"/>
        </w:rPr>
        <w:t>community</w:t>
      </w:r>
      <w:r>
        <w:rPr>
          <w:spacing w:val="-9"/>
          <w:w w:val="105"/>
          <w:sz w:val="21"/>
        </w:rPr>
        <w:t> </w:t>
      </w:r>
      <w:r>
        <w:rPr>
          <w:w w:val="105"/>
          <w:sz w:val="21"/>
        </w:rPr>
        <w:t>responses</w:t>
      </w:r>
      <w:r>
        <w:rPr>
          <w:spacing w:val="-8"/>
          <w:w w:val="105"/>
          <w:sz w:val="21"/>
        </w:rPr>
        <w:t> </w:t>
      </w:r>
      <w:r>
        <w:rPr>
          <w:w w:val="105"/>
          <w:sz w:val="21"/>
        </w:rPr>
        <w:t>about</w:t>
      </w:r>
      <w:r>
        <w:rPr>
          <w:spacing w:val="-9"/>
          <w:w w:val="105"/>
          <w:sz w:val="21"/>
        </w:rPr>
        <w:t> </w:t>
      </w:r>
      <w:r>
        <w:rPr>
          <w:w w:val="105"/>
          <w:sz w:val="21"/>
        </w:rPr>
        <w:t>the</w:t>
      </w:r>
      <w:r>
        <w:rPr>
          <w:spacing w:val="-9"/>
          <w:w w:val="105"/>
          <w:sz w:val="21"/>
        </w:rPr>
        <w:t> </w:t>
      </w:r>
      <w:r>
        <w:rPr>
          <w:w w:val="105"/>
          <w:sz w:val="21"/>
        </w:rPr>
        <w:t>advantages</w:t>
      </w:r>
      <w:r>
        <w:rPr>
          <w:spacing w:val="-8"/>
          <w:w w:val="105"/>
          <w:sz w:val="21"/>
        </w:rPr>
        <w:t> </w:t>
      </w:r>
      <w:r>
        <w:rPr>
          <w:w w:val="105"/>
          <w:sz w:val="21"/>
        </w:rPr>
        <w:t>of</w:t>
      </w:r>
      <w:r>
        <w:rPr>
          <w:spacing w:val="-9"/>
          <w:w w:val="105"/>
          <w:sz w:val="21"/>
        </w:rPr>
        <w:t> </w:t>
      </w:r>
      <w:r>
        <w:rPr>
          <w:spacing w:val="-3"/>
          <w:w w:val="105"/>
          <w:sz w:val="21"/>
        </w:rPr>
        <w:t>having</w:t>
      </w:r>
      <w:r>
        <w:rPr>
          <w:spacing w:val="-8"/>
          <w:w w:val="105"/>
          <w:sz w:val="21"/>
        </w:rPr>
        <w:t> </w:t>
      </w:r>
      <w:r>
        <w:rPr>
          <w:w w:val="105"/>
          <w:sz w:val="21"/>
        </w:rPr>
        <w:t>tree </w:t>
      </w:r>
      <w:r>
        <w:rPr>
          <w:spacing w:val="-3"/>
          <w:w w:val="105"/>
          <w:sz w:val="21"/>
        </w:rPr>
        <w:t>disputes heard </w:t>
      </w:r>
      <w:r>
        <w:rPr>
          <w:w w:val="105"/>
          <w:sz w:val="21"/>
        </w:rPr>
        <w:t>and </w:t>
      </w:r>
      <w:r>
        <w:rPr>
          <w:spacing w:val="-3"/>
          <w:w w:val="105"/>
          <w:sz w:val="21"/>
        </w:rPr>
        <w:t>determined </w:t>
      </w:r>
      <w:r>
        <w:rPr>
          <w:w w:val="105"/>
          <w:sz w:val="21"/>
        </w:rPr>
        <w:t>by expert decision</w:t>
      </w:r>
      <w:r>
        <w:rPr>
          <w:spacing w:val="34"/>
          <w:w w:val="105"/>
          <w:sz w:val="21"/>
        </w:rPr>
        <w:t> </w:t>
      </w:r>
      <w:r>
        <w:rPr>
          <w:spacing w:val="-3"/>
          <w:w w:val="105"/>
          <w:sz w:val="21"/>
        </w:rPr>
        <w:t>makers.</w:t>
      </w:r>
    </w:p>
    <w:p>
      <w:pPr>
        <w:pStyle w:val="ListParagraph"/>
        <w:numPr>
          <w:ilvl w:val="1"/>
          <w:numId w:val="114"/>
        </w:numPr>
        <w:tabs>
          <w:tab w:pos="2380" w:val="left" w:leader="none"/>
          <w:tab w:pos="2381" w:val="left" w:leader="none"/>
        </w:tabs>
        <w:spacing w:line="242" w:lineRule="auto" w:before="122" w:after="0"/>
        <w:ind w:left="2381" w:right="1854" w:hanging="794"/>
        <w:jc w:val="left"/>
        <w:rPr>
          <w:sz w:val="21"/>
        </w:rPr>
      </w:pPr>
      <w:r>
        <w:rPr>
          <w:spacing w:val="-5"/>
          <w:sz w:val="21"/>
        </w:rPr>
        <w:t>VCAT </w:t>
      </w:r>
      <w:r>
        <w:rPr>
          <w:sz w:val="21"/>
        </w:rPr>
        <w:t>matters </w:t>
      </w:r>
      <w:r>
        <w:rPr>
          <w:spacing w:val="-3"/>
          <w:sz w:val="21"/>
        </w:rPr>
        <w:t>are heard </w:t>
      </w:r>
      <w:r>
        <w:rPr>
          <w:sz w:val="21"/>
        </w:rPr>
        <w:t>by members with expertise in fields </w:t>
      </w:r>
      <w:r>
        <w:rPr>
          <w:spacing w:val="-3"/>
          <w:sz w:val="21"/>
        </w:rPr>
        <w:t>relevant to </w:t>
      </w:r>
      <w:r>
        <w:rPr>
          <w:sz w:val="21"/>
        </w:rPr>
        <w:t>the  subject matter of </w:t>
      </w:r>
      <w:r>
        <w:rPr>
          <w:spacing w:val="-6"/>
          <w:sz w:val="21"/>
        </w:rPr>
        <w:t>VCAT’s </w:t>
      </w:r>
      <w:r>
        <w:rPr>
          <w:sz w:val="21"/>
        </w:rPr>
        <w:t>Lists. In </w:t>
      </w:r>
      <w:r>
        <w:rPr>
          <w:spacing w:val="-3"/>
          <w:sz w:val="21"/>
        </w:rPr>
        <w:t>contrast </w:t>
      </w:r>
      <w:r>
        <w:rPr>
          <w:sz w:val="21"/>
        </w:rPr>
        <w:t>decision </w:t>
      </w:r>
      <w:r>
        <w:rPr>
          <w:spacing w:val="-3"/>
          <w:sz w:val="21"/>
        </w:rPr>
        <w:t>makers </w:t>
      </w:r>
      <w:r>
        <w:rPr>
          <w:sz w:val="21"/>
        </w:rPr>
        <w:t>in courts </w:t>
      </w:r>
      <w:r>
        <w:rPr>
          <w:spacing w:val="-3"/>
          <w:sz w:val="21"/>
        </w:rPr>
        <w:t>are </w:t>
      </w:r>
      <w:r>
        <w:rPr>
          <w:sz w:val="21"/>
        </w:rPr>
        <w:t>judges and </w:t>
      </w:r>
      <w:r>
        <w:rPr>
          <w:spacing w:val="-3"/>
          <w:sz w:val="21"/>
        </w:rPr>
        <w:t>magistrates trained </w:t>
      </w:r>
      <w:r>
        <w:rPr>
          <w:sz w:val="21"/>
        </w:rPr>
        <w:t>in the</w:t>
      </w:r>
      <w:r>
        <w:rPr>
          <w:spacing w:val="28"/>
          <w:sz w:val="21"/>
        </w:rPr>
        <w:t> </w:t>
      </w:r>
      <w:r>
        <w:rPr>
          <w:spacing w:val="-5"/>
          <w:sz w:val="21"/>
        </w:rPr>
        <w:t>law.</w:t>
      </w:r>
    </w:p>
    <w:p>
      <w:pPr>
        <w:pStyle w:val="ListParagraph"/>
        <w:numPr>
          <w:ilvl w:val="1"/>
          <w:numId w:val="114"/>
        </w:numPr>
        <w:tabs>
          <w:tab w:pos="2380" w:val="left" w:leader="none"/>
          <w:tab w:pos="2381" w:val="left" w:leader="none"/>
        </w:tabs>
        <w:spacing w:line="242" w:lineRule="auto" w:before="124" w:after="0"/>
        <w:ind w:left="2381" w:right="1706" w:hanging="794"/>
        <w:jc w:val="left"/>
        <w:rPr>
          <w:sz w:val="21"/>
        </w:rPr>
      </w:pPr>
      <w:r>
        <w:rPr>
          <w:sz w:val="21"/>
        </w:rPr>
        <w:t>One of the advantages of </w:t>
      </w:r>
      <w:r>
        <w:rPr>
          <w:spacing w:val="-3"/>
          <w:sz w:val="21"/>
        </w:rPr>
        <w:t>having </w:t>
      </w:r>
      <w:r>
        <w:rPr>
          <w:sz w:val="21"/>
        </w:rPr>
        <w:t>matters </w:t>
      </w:r>
      <w:r>
        <w:rPr>
          <w:spacing w:val="-3"/>
          <w:sz w:val="21"/>
        </w:rPr>
        <w:t>heard </w:t>
      </w:r>
      <w:r>
        <w:rPr>
          <w:sz w:val="21"/>
        </w:rPr>
        <w:t>by expert decision </w:t>
      </w:r>
      <w:r>
        <w:rPr>
          <w:spacing w:val="-3"/>
          <w:sz w:val="21"/>
        </w:rPr>
        <w:t>makers </w:t>
      </w:r>
      <w:r>
        <w:rPr>
          <w:sz w:val="21"/>
        </w:rPr>
        <w:t>is </w:t>
      </w:r>
      <w:r>
        <w:rPr>
          <w:spacing w:val="-3"/>
          <w:sz w:val="21"/>
        </w:rPr>
        <w:t>that </w:t>
      </w:r>
      <w:r>
        <w:rPr>
          <w:sz w:val="21"/>
        </w:rPr>
        <w:t>the decision </w:t>
      </w:r>
      <w:r>
        <w:rPr>
          <w:spacing w:val="-4"/>
          <w:sz w:val="21"/>
        </w:rPr>
        <w:t>maker  </w:t>
      </w:r>
      <w:r>
        <w:rPr>
          <w:sz w:val="21"/>
        </w:rPr>
        <w:t>can rely on their own expertise </w:t>
      </w:r>
      <w:r>
        <w:rPr>
          <w:spacing w:val="-3"/>
          <w:sz w:val="21"/>
        </w:rPr>
        <w:t>to  evaluate  </w:t>
      </w:r>
      <w:r>
        <w:rPr>
          <w:sz w:val="21"/>
        </w:rPr>
        <w:t>a </w:t>
      </w:r>
      <w:r>
        <w:rPr>
          <w:spacing w:val="-3"/>
          <w:sz w:val="21"/>
        </w:rPr>
        <w:t>dispute</w:t>
      </w:r>
      <w:r>
        <w:rPr>
          <w:spacing w:val="41"/>
          <w:sz w:val="21"/>
        </w:rPr>
        <w:t> </w:t>
      </w:r>
      <w:r>
        <w:rPr>
          <w:sz w:val="21"/>
        </w:rPr>
        <w:t>and the evidence   put forward by the parties, which can be important  in  cases  where  expert  witnesses </w:t>
      </w:r>
      <w:r>
        <w:rPr>
          <w:spacing w:val="-3"/>
          <w:sz w:val="21"/>
        </w:rPr>
        <w:t>have </w:t>
      </w:r>
      <w:r>
        <w:rPr>
          <w:sz w:val="21"/>
        </w:rPr>
        <w:t>adversarial bias. Parties who </w:t>
      </w:r>
      <w:r>
        <w:rPr>
          <w:spacing w:val="-3"/>
          <w:sz w:val="21"/>
        </w:rPr>
        <w:t>cannot </w:t>
      </w:r>
      <w:r>
        <w:rPr>
          <w:spacing w:val="-2"/>
          <w:sz w:val="21"/>
        </w:rPr>
        <w:t>access </w:t>
      </w:r>
      <w:r>
        <w:rPr>
          <w:sz w:val="21"/>
        </w:rPr>
        <w:t>or afford an expert can also rely on the expertise of the decision </w:t>
      </w:r>
      <w:r>
        <w:rPr>
          <w:spacing w:val="-6"/>
          <w:sz w:val="21"/>
        </w:rPr>
        <w:t>maker. </w:t>
      </w:r>
      <w:r>
        <w:rPr>
          <w:sz w:val="21"/>
        </w:rPr>
        <w:t>The use of expert decision </w:t>
      </w:r>
      <w:r>
        <w:rPr>
          <w:spacing w:val="-3"/>
          <w:sz w:val="21"/>
        </w:rPr>
        <w:t>makers </w:t>
      </w:r>
      <w:r>
        <w:rPr>
          <w:sz w:val="21"/>
        </w:rPr>
        <w:t>also </w:t>
      </w:r>
      <w:r>
        <w:rPr>
          <w:spacing w:val="-3"/>
          <w:sz w:val="21"/>
        </w:rPr>
        <w:t>potentially </w:t>
      </w:r>
      <w:r>
        <w:rPr>
          <w:sz w:val="21"/>
        </w:rPr>
        <w:t>allows  </w:t>
      </w:r>
      <w:r>
        <w:rPr>
          <w:spacing w:val="-3"/>
          <w:sz w:val="21"/>
        </w:rPr>
        <w:t>for </w:t>
      </w:r>
      <w:r>
        <w:rPr>
          <w:sz w:val="21"/>
        </w:rPr>
        <w:t>more </w:t>
      </w:r>
      <w:r>
        <w:rPr>
          <w:spacing w:val="-3"/>
          <w:sz w:val="21"/>
        </w:rPr>
        <w:t>creative </w:t>
      </w:r>
      <w:r>
        <w:rPr>
          <w:sz w:val="21"/>
        </w:rPr>
        <w:t>and practical solutions </w:t>
      </w:r>
      <w:r>
        <w:rPr>
          <w:spacing w:val="-3"/>
          <w:sz w:val="21"/>
        </w:rPr>
        <w:t>to </w:t>
      </w:r>
      <w:r>
        <w:rPr>
          <w:spacing w:val="-2"/>
          <w:sz w:val="21"/>
        </w:rPr>
        <w:t>problems,  </w:t>
      </w:r>
      <w:r>
        <w:rPr>
          <w:sz w:val="21"/>
        </w:rPr>
        <w:t>as an expert decision </w:t>
      </w:r>
      <w:r>
        <w:rPr>
          <w:spacing w:val="-4"/>
          <w:sz w:val="21"/>
        </w:rPr>
        <w:t>maker  </w:t>
      </w:r>
      <w:r>
        <w:rPr>
          <w:sz w:val="21"/>
        </w:rPr>
        <w:t>is able </w:t>
      </w:r>
      <w:r>
        <w:rPr>
          <w:spacing w:val="-3"/>
          <w:sz w:val="21"/>
        </w:rPr>
        <w:t>to draw </w:t>
      </w:r>
      <w:r>
        <w:rPr>
          <w:sz w:val="21"/>
        </w:rPr>
        <w:t>on their own practical experience </w:t>
      </w:r>
      <w:r>
        <w:rPr>
          <w:spacing w:val="-3"/>
          <w:sz w:val="21"/>
        </w:rPr>
        <w:t>to </w:t>
      </w:r>
      <w:r>
        <w:rPr>
          <w:sz w:val="21"/>
        </w:rPr>
        <w:t>assess the workability of a</w:t>
      </w:r>
      <w:r>
        <w:rPr>
          <w:spacing w:val="26"/>
          <w:sz w:val="21"/>
        </w:rPr>
        <w:t> </w:t>
      </w:r>
      <w:r>
        <w:rPr>
          <w:sz w:val="21"/>
        </w:rPr>
        <w:t>solution.</w:t>
      </w:r>
    </w:p>
    <w:p>
      <w:pPr>
        <w:pStyle w:val="ListParagraph"/>
        <w:numPr>
          <w:ilvl w:val="1"/>
          <w:numId w:val="114"/>
        </w:numPr>
        <w:tabs>
          <w:tab w:pos="2438" w:val="left" w:leader="none"/>
          <w:tab w:pos="2439" w:val="left" w:leader="none"/>
        </w:tabs>
        <w:spacing w:line="242" w:lineRule="auto" w:before="127" w:after="0"/>
        <w:ind w:left="2381" w:right="1684" w:hanging="794"/>
        <w:jc w:val="left"/>
        <w:rPr>
          <w:sz w:val="21"/>
        </w:rPr>
      </w:pPr>
      <w:r>
        <w:rPr/>
        <w:tab/>
      </w:r>
      <w:r>
        <w:rPr>
          <w:spacing w:val="-3"/>
          <w:sz w:val="21"/>
        </w:rPr>
        <w:t>Government </w:t>
      </w:r>
      <w:r>
        <w:rPr>
          <w:sz w:val="21"/>
        </w:rPr>
        <w:t>should </w:t>
      </w:r>
      <w:r>
        <w:rPr>
          <w:spacing w:val="-3"/>
          <w:sz w:val="21"/>
        </w:rPr>
        <w:t>consider appointing </w:t>
      </w:r>
      <w:r>
        <w:rPr>
          <w:sz w:val="21"/>
        </w:rPr>
        <w:t>members </w:t>
      </w:r>
      <w:r>
        <w:rPr>
          <w:spacing w:val="-3"/>
          <w:sz w:val="21"/>
        </w:rPr>
        <w:t>to </w:t>
      </w:r>
      <w:r>
        <w:rPr>
          <w:spacing w:val="-5"/>
          <w:sz w:val="21"/>
        </w:rPr>
        <w:t>VCAT </w:t>
      </w:r>
      <w:r>
        <w:rPr>
          <w:sz w:val="21"/>
        </w:rPr>
        <w:t>with </w:t>
      </w:r>
      <w:r>
        <w:rPr>
          <w:spacing w:val="-3"/>
          <w:sz w:val="21"/>
        </w:rPr>
        <w:t>significant arboriculture </w:t>
      </w:r>
      <w:r>
        <w:rPr>
          <w:sz w:val="21"/>
        </w:rPr>
        <w:t>experience </w:t>
      </w:r>
      <w:r>
        <w:rPr>
          <w:spacing w:val="-3"/>
          <w:sz w:val="21"/>
        </w:rPr>
        <w:t>to </w:t>
      </w:r>
      <w:r>
        <w:rPr>
          <w:sz w:val="21"/>
        </w:rPr>
        <w:t>hear tree </w:t>
      </w:r>
      <w:r>
        <w:rPr>
          <w:spacing w:val="-3"/>
          <w:sz w:val="21"/>
        </w:rPr>
        <w:t>disputes, </w:t>
      </w:r>
      <w:r>
        <w:rPr>
          <w:sz w:val="21"/>
        </w:rPr>
        <w:t>as occurs in New South Wales.</w:t>
      </w:r>
      <w:r>
        <w:rPr>
          <w:position w:val="7"/>
          <w:sz w:val="12"/>
        </w:rPr>
        <w:t>283 </w:t>
      </w:r>
      <w:r>
        <w:rPr>
          <w:spacing w:val="-3"/>
          <w:sz w:val="21"/>
        </w:rPr>
        <w:t>Alternatively,  </w:t>
      </w:r>
      <w:r>
        <w:rPr>
          <w:spacing w:val="-9"/>
          <w:sz w:val="21"/>
        </w:rPr>
        <w:t>VCAT </w:t>
      </w:r>
      <w:r>
        <w:rPr>
          <w:sz w:val="21"/>
        </w:rPr>
        <w:t>should </w:t>
      </w:r>
      <w:r>
        <w:rPr>
          <w:spacing w:val="-3"/>
          <w:sz w:val="21"/>
        </w:rPr>
        <w:t>consider appointing </w:t>
      </w:r>
      <w:r>
        <w:rPr>
          <w:spacing w:val="-5"/>
          <w:sz w:val="21"/>
        </w:rPr>
        <w:t>Tribunal </w:t>
      </w:r>
      <w:r>
        <w:rPr>
          <w:spacing w:val="-3"/>
          <w:sz w:val="21"/>
        </w:rPr>
        <w:t>appointed </w:t>
      </w:r>
      <w:r>
        <w:rPr>
          <w:sz w:val="21"/>
        </w:rPr>
        <w:t>independent tree assessors  </w:t>
      </w:r>
      <w:r>
        <w:rPr>
          <w:spacing w:val="-3"/>
          <w:sz w:val="21"/>
        </w:rPr>
        <w:t>to  </w:t>
      </w:r>
      <w:r>
        <w:rPr>
          <w:sz w:val="21"/>
        </w:rPr>
        <w:t>provide expert assistance </w:t>
      </w:r>
      <w:r>
        <w:rPr>
          <w:spacing w:val="-3"/>
          <w:sz w:val="21"/>
        </w:rPr>
        <w:t>to </w:t>
      </w:r>
      <w:r>
        <w:rPr>
          <w:sz w:val="21"/>
        </w:rPr>
        <w:t>the </w:t>
      </w:r>
      <w:r>
        <w:rPr>
          <w:spacing w:val="-3"/>
          <w:sz w:val="21"/>
        </w:rPr>
        <w:t>tribunal, </w:t>
      </w:r>
      <w:r>
        <w:rPr>
          <w:sz w:val="21"/>
        </w:rPr>
        <w:t>as occurs in </w:t>
      </w:r>
      <w:r>
        <w:rPr>
          <w:spacing w:val="-3"/>
          <w:sz w:val="21"/>
        </w:rPr>
        <w:t>Queensland. </w:t>
      </w:r>
      <w:r>
        <w:rPr>
          <w:sz w:val="21"/>
        </w:rPr>
        <w:t>An expert decision</w:t>
      </w:r>
      <w:r>
        <w:rPr>
          <w:spacing w:val="19"/>
          <w:sz w:val="21"/>
        </w:rPr>
        <w:t> </w:t>
      </w:r>
      <w:r>
        <w:rPr>
          <w:spacing w:val="-4"/>
          <w:sz w:val="21"/>
        </w:rPr>
        <w:t>maker</w:t>
      </w:r>
    </w:p>
    <w:p>
      <w:pPr>
        <w:pStyle w:val="BodyText"/>
        <w:spacing w:line="242" w:lineRule="auto" w:before="4"/>
        <w:ind w:left="2381" w:right="1933"/>
      </w:pPr>
      <w:r>
        <w:rPr/>
        <w:t>or tree assessor should hold a </w:t>
      </w:r>
      <w:r>
        <w:rPr>
          <w:spacing w:val="-3"/>
        </w:rPr>
        <w:t>minimum </w:t>
      </w:r>
      <w:r>
        <w:rPr>
          <w:spacing w:val="-2"/>
        </w:rPr>
        <w:t>qualification </w:t>
      </w:r>
      <w:r>
        <w:rPr>
          <w:spacing w:val="-3"/>
        </w:rPr>
        <w:t>equivalent to </w:t>
      </w:r>
      <w:r>
        <w:rPr/>
        <w:t>an </w:t>
      </w:r>
      <w:r>
        <w:rPr>
          <w:spacing w:val="-3"/>
        </w:rPr>
        <w:t>Australian </w:t>
      </w:r>
      <w:r>
        <w:rPr/>
        <w:t>Qualification </w:t>
      </w:r>
      <w:r>
        <w:rPr>
          <w:spacing w:val="-3"/>
        </w:rPr>
        <w:t>Framework </w:t>
      </w:r>
      <w:r>
        <w:rPr/>
        <w:t>(AQF) Level 5 and at least two years’ experience. Arborists qualified at this level </w:t>
      </w:r>
      <w:r>
        <w:rPr>
          <w:spacing w:val="-3"/>
        </w:rPr>
        <w:t>are </w:t>
      </w:r>
      <w:r>
        <w:rPr/>
        <w:t>specifically </w:t>
      </w:r>
      <w:r>
        <w:rPr>
          <w:spacing w:val="-3"/>
        </w:rPr>
        <w:t>trained </w:t>
      </w:r>
      <w:r>
        <w:rPr/>
        <w:t>in the assessment and </w:t>
      </w:r>
      <w:r>
        <w:rPr>
          <w:spacing w:val="-3"/>
        </w:rPr>
        <w:t>management </w:t>
      </w:r>
      <w:r>
        <w:rPr/>
        <w:t>of trees.</w:t>
      </w:r>
      <w:r>
        <w:rPr>
          <w:position w:val="7"/>
          <w:sz w:val="12"/>
        </w:rPr>
        <w:t>284 </w:t>
      </w:r>
      <w:r>
        <w:rPr>
          <w:spacing w:val="18"/>
          <w:position w:val="7"/>
          <w:sz w:val="12"/>
        </w:rPr>
        <w:t> </w:t>
      </w:r>
      <w:r>
        <w:rPr/>
        <w:t>Expert</w:t>
      </w:r>
      <w:r>
        <w:rPr>
          <w:spacing w:val="22"/>
        </w:rPr>
        <w:t> </w:t>
      </w:r>
      <w:r>
        <w:rPr/>
        <w:t>assessors</w:t>
      </w:r>
      <w:r>
        <w:rPr>
          <w:spacing w:val="23"/>
        </w:rPr>
        <w:t> </w:t>
      </w:r>
      <w:r>
        <w:rPr/>
        <w:t>should</w:t>
      </w:r>
      <w:r>
        <w:rPr>
          <w:spacing w:val="23"/>
        </w:rPr>
        <w:t> </w:t>
      </w:r>
      <w:r>
        <w:rPr/>
        <w:t>conduct</w:t>
      </w:r>
      <w:r>
        <w:rPr>
          <w:spacing w:val="23"/>
        </w:rPr>
        <w:t> </w:t>
      </w:r>
      <w:r>
        <w:rPr/>
        <w:t>on-site</w:t>
      </w:r>
      <w:r>
        <w:rPr>
          <w:spacing w:val="22"/>
        </w:rPr>
        <w:t> </w:t>
      </w:r>
      <w:r>
        <w:rPr/>
        <w:t>inspections,</w:t>
      </w:r>
      <w:r>
        <w:rPr>
          <w:spacing w:val="23"/>
        </w:rPr>
        <w:t> </w:t>
      </w:r>
      <w:r>
        <w:rPr/>
        <w:t>as</w:t>
      </w:r>
      <w:r>
        <w:rPr>
          <w:spacing w:val="23"/>
        </w:rPr>
        <w:t> </w:t>
      </w:r>
      <w:r>
        <w:rPr/>
        <w:t>occurs</w:t>
      </w:r>
      <w:r>
        <w:rPr>
          <w:spacing w:val="22"/>
        </w:rPr>
        <w:t> </w:t>
      </w:r>
      <w:r>
        <w:rPr/>
        <w:t>in</w:t>
      </w:r>
      <w:r>
        <w:rPr>
          <w:spacing w:val="23"/>
        </w:rPr>
        <w:t> </w:t>
      </w:r>
      <w:r>
        <w:rPr>
          <w:spacing w:val="-3"/>
        </w:rPr>
        <w:t>Queensland.</w:t>
      </w:r>
    </w:p>
    <w:p>
      <w:pPr>
        <w:pStyle w:val="ListParagraph"/>
        <w:numPr>
          <w:ilvl w:val="1"/>
          <w:numId w:val="114"/>
        </w:numPr>
        <w:tabs>
          <w:tab w:pos="2438" w:val="left" w:leader="none"/>
          <w:tab w:pos="2439" w:val="left" w:leader="none"/>
        </w:tabs>
        <w:spacing w:line="242" w:lineRule="auto" w:before="125" w:after="0"/>
        <w:ind w:left="2381" w:right="1954" w:hanging="794"/>
        <w:jc w:val="left"/>
        <w:rPr>
          <w:sz w:val="21"/>
        </w:rPr>
      </w:pPr>
      <w:r>
        <w:rPr/>
        <w:tab/>
      </w:r>
      <w:r>
        <w:rPr>
          <w:sz w:val="21"/>
        </w:rPr>
        <w:t>The use of tree assessors </w:t>
      </w:r>
      <w:r>
        <w:rPr>
          <w:spacing w:val="-3"/>
          <w:sz w:val="21"/>
        </w:rPr>
        <w:t>may  </w:t>
      </w:r>
      <w:r>
        <w:rPr>
          <w:sz w:val="21"/>
        </w:rPr>
        <w:t>also </w:t>
      </w:r>
      <w:r>
        <w:rPr>
          <w:spacing w:val="-3"/>
          <w:sz w:val="21"/>
        </w:rPr>
        <w:t>limit</w:t>
      </w:r>
      <w:r>
        <w:rPr>
          <w:spacing w:val="41"/>
          <w:sz w:val="21"/>
        </w:rPr>
        <w:t> </w:t>
      </w:r>
      <w:r>
        <w:rPr>
          <w:sz w:val="21"/>
        </w:rPr>
        <w:t>expert costs </w:t>
      </w:r>
      <w:r>
        <w:rPr>
          <w:spacing w:val="-3"/>
          <w:sz w:val="21"/>
        </w:rPr>
        <w:t>for  </w:t>
      </w:r>
      <w:r>
        <w:rPr>
          <w:sz w:val="21"/>
        </w:rPr>
        <w:t>the parties in these matters. As </w:t>
      </w:r>
      <w:r>
        <w:rPr>
          <w:spacing w:val="-3"/>
          <w:sz w:val="21"/>
        </w:rPr>
        <w:t>noted  </w:t>
      </w:r>
      <w:r>
        <w:rPr>
          <w:spacing w:val="-4"/>
          <w:sz w:val="21"/>
        </w:rPr>
        <w:t>earlier,  </w:t>
      </w:r>
      <w:r>
        <w:rPr>
          <w:sz w:val="21"/>
        </w:rPr>
        <w:t>parties </w:t>
      </w:r>
      <w:r>
        <w:rPr>
          <w:spacing w:val="-3"/>
          <w:sz w:val="21"/>
        </w:rPr>
        <w:t>will  generally  share  </w:t>
      </w:r>
      <w:r>
        <w:rPr>
          <w:sz w:val="21"/>
        </w:rPr>
        <w:t>the cost of a tree </w:t>
      </w:r>
      <w:r>
        <w:rPr>
          <w:spacing w:val="-3"/>
          <w:sz w:val="21"/>
        </w:rPr>
        <w:t>assessor,</w:t>
      </w:r>
      <w:r>
        <w:rPr>
          <w:spacing w:val="41"/>
          <w:sz w:val="21"/>
        </w:rPr>
        <w:t> </w:t>
      </w:r>
      <w:r>
        <w:rPr>
          <w:sz w:val="21"/>
        </w:rPr>
        <w:t>up </w:t>
      </w:r>
      <w:r>
        <w:rPr>
          <w:spacing w:val="-3"/>
          <w:sz w:val="21"/>
        </w:rPr>
        <w:t>to  </w:t>
      </w:r>
      <w:r>
        <w:rPr>
          <w:sz w:val="21"/>
        </w:rPr>
        <w:t>a </w:t>
      </w:r>
      <w:r>
        <w:rPr>
          <w:spacing w:val="-3"/>
          <w:sz w:val="21"/>
        </w:rPr>
        <w:t>total</w:t>
      </w:r>
      <w:r>
        <w:rPr>
          <w:spacing w:val="9"/>
          <w:sz w:val="21"/>
        </w:rPr>
        <w:t> </w:t>
      </w:r>
      <w:r>
        <w:rPr>
          <w:sz w:val="21"/>
        </w:rPr>
        <w:t>of</w:t>
      </w:r>
    </w:p>
    <w:p>
      <w:pPr>
        <w:spacing w:before="2"/>
        <w:ind w:left="2381" w:right="0" w:firstLine="0"/>
        <w:jc w:val="left"/>
        <w:rPr>
          <w:sz w:val="12"/>
        </w:rPr>
      </w:pPr>
      <w:r>
        <w:rPr>
          <w:w w:val="110"/>
          <w:sz w:val="21"/>
        </w:rPr>
        <w:t>$1000.</w:t>
      </w:r>
      <w:r>
        <w:rPr>
          <w:w w:val="110"/>
          <w:position w:val="7"/>
          <w:sz w:val="12"/>
        </w:rPr>
        <w:t>285</w:t>
      </w:r>
    </w:p>
    <w:p>
      <w:pPr>
        <w:pStyle w:val="ListParagraph"/>
        <w:numPr>
          <w:ilvl w:val="1"/>
          <w:numId w:val="114"/>
        </w:numPr>
        <w:tabs>
          <w:tab w:pos="2381" w:val="left" w:leader="none"/>
          <w:tab w:pos="2382" w:val="left" w:leader="none"/>
        </w:tabs>
        <w:spacing w:line="242" w:lineRule="auto" w:before="124" w:after="0"/>
        <w:ind w:left="2381" w:right="1960" w:hanging="794"/>
        <w:jc w:val="left"/>
        <w:rPr>
          <w:sz w:val="12"/>
        </w:rPr>
      </w:pPr>
      <w:r>
        <w:rPr>
          <w:spacing w:val="-3"/>
          <w:w w:val="105"/>
          <w:sz w:val="21"/>
        </w:rPr>
        <w:t>Queensland’s </w:t>
      </w:r>
      <w:r>
        <w:rPr>
          <w:w w:val="105"/>
          <w:sz w:val="21"/>
        </w:rPr>
        <w:t>tree assessor model </w:t>
      </w:r>
      <w:r>
        <w:rPr>
          <w:spacing w:val="-3"/>
          <w:w w:val="105"/>
          <w:sz w:val="21"/>
        </w:rPr>
        <w:t>may </w:t>
      </w:r>
      <w:r>
        <w:rPr>
          <w:w w:val="105"/>
          <w:sz w:val="21"/>
        </w:rPr>
        <w:t>also be of use </w:t>
      </w:r>
      <w:r>
        <w:rPr>
          <w:spacing w:val="-3"/>
          <w:w w:val="105"/>
          <w:sz w:val="21"/>
        </w:rPr>
        <w:t>to </w:t>
      </w:r>
      <w:r>
        <w:rPr>
          <w:spacing w:val="-5"/>
          <w:w w:val="105"/>
          <w:sz w:val="21"/>
        </w:rPr>
        <w:t>VCAT </w:t>
      </w:r>
      <w:r>
        <w:rPr>
          <w:w w:val="105"/>
          <w:sz w:val="21"/>
        </w:rPr>
        <w:t>in </w:t>
      </w:r>
      <w:r>
        <w:rPr>
          <w:spacing w:val="-3"/>
          <w:w w:val="105"/>
          <w:sz w:val="21"/>
        </w:rPr>
        <w:t>regional areas. </w:t>
      </w:r>
      <w:r>
        <w:rPr>
          <w:w w:val="105"/>
          <w:sz w:val="21"/>
        </w:rPr>
        <w:t>There is a large pool of tree assessors in </w:t>
      </w:r>
      <w:r>
        <w:rPr>
          <w:spacing w:val="-3"/>
          <w:w w:val="105"/>
          <w:sz w:val="21"/>
        </w:rPr>
        <w:t>Queensland </w:t>
      </w:r>
      <w:r>
        <w:rPr>
          <w:w w:val="105"/>
          <w:sz w:val="21"/>
        </w:rPr>
        <w:t>who </w:t>
      </w:r>
      <w:r>
        <w:rPr>
          <w:spacing w:val="-3"/>
          <w:w w:val="105"/>
          <w:sz w:val="21"/>
        </w:rPr>
        <w:t>travel to </w:t>
      </w:r>
      <w:r>
        <w:rPr>
          <w:w w:val="105"/>
          <w:sz w:val="21"/>
        </w:rPr>
        <w:t>inspect trees across Queensland.</w:t>
      </w:r>
      <w:r>
        <w:rPr>
          <w:w w:val="105"/>
          <w:position w:val="7"/>
          <w:sz w:val="12"/>
        </w:rPr>
        <w:t>286</w:t>
      </w:r>
    </w:p>
    <w:p>
      <w:pPr>
        <w:pStyle w:val="ListParagraph"/>
        <w:numPr>
          <w:ilvl w:val="1"/>
          <w:numId w:val="114"/>
        </w:numPr>
        <w:tabs>
          <w:tab w:pos="2381" w:val="left" w:leader="none"/>
          <w:tab w:pos="2382" w:val="left" w:leader="none"/>
        </w:tabs>
        <w:spacing w:line="242" w:lineRule="auto" w:before="123" w:after="0"/>
        <w:ind w:left="2381" w:right="2079" w:hanging="794"/>
        <w:jc w:val="left"/>
        <w:rPr>
          <w:sz w:val="21"/>
        </w:rPr>
      </w:pPr>
      <w:r>
        <w:rPr>
          <w:spacing w:val="-5"/>
          <w:sz w:val="21"/>
        </w:rPr>
        <w:t>VCAT </w:t>
      </w:r>
      <w:r>
        <w:rPr>
          <w:spacing w:val="-2"/>
          <w:sz w:val="21"/>
        </w:rPr>
        <w:t>has </w:t>
      </w:r>
      <w:r>
        <w:rPr>
          <w:sz w:val="21"/>
        </w:rPr>
        <w:t>suggested </w:t>
      </w:r>
      <w:r>
        <w:rPr>
          <w:spacing w:val="-3"/>
          <w:sz w:val="21"/>
        </w:rPr>
        <w:t>that </w:t>
      </w:r>
      <w:r>
        <w:rPr>
          <w:sz w:val="21"/>
        </w:rPr>
        <w:t>tree </w:t>
      </w:r>
      <w:r>
        <w:rPr>
          <w:spacing w:val="-3"/>
          <w:sz w:val="21"/>
        </w:rPr>
        <w:t>disputes </w:t>
      </w:r>
      <w:r>
        <w:rPr>
          <w:sz w:val="21"/>
        </w:rPr>
        <w:t>would best fit in the </w:t>
      </w:r>
      <w:r>
        <w:rPr>
          <w:spacing w:val="-3"/>
          <w:sz w:val="21"/>
        </w:rPr>
        <w:t>Civil </w:t>
      </w:r>
      <w:r>
        <w:rPr>
          <w:sz w:val="21"/>
        </w:rPr>
        <w:t>Division.</w:t>
      </w:r>
      <w:r>
        <w:rPr>
          <w:position w:val="7"/>
          <w:sz w:val="12"/>
        </w:rPr>
        <w:t>287 </w:t>
      </w:r>
      <w:r>
        <w:rPr>
          <w:sz w:val="21"/>
        </w:rPr>
        <w:t>The </w:t>
      </w:r>
      <w:r>
        <w:rPr>
          <w:spacing w:val="-3"/>
          <w:sz w:val="21"/>
        </w:rPr>
        <w:t>Commission </w:t>
      </w:r>
      <w:r>
        <w:rPr>
          <w:sz w:val="21"/>
        </w:rPr>
        <w:t>observes </w:t>
      </w:r>
      <w:r>
        <w:rPr>
          <w:spacing w:val="-3"/>
          <w:sz w:val="21"/>
        </w:rPr>
        <w:t>that </w:t>
      </w:r>
      <w:r>
        <w:rPr>
          <w:sz w:val="21"/>
        </w:rPr>
        <w:t>tree </w:t>
      </w:r>
      <w:r>
        <w:rPr>
          <w:spacing w:val="-3"/>
          <w:sz w:val="21"/>
        </w:rPr>
        <w:t>disputes </w:t>
      </w:r>
      <w:r>
        <w:rPr>
          <w:sz w:val="21"/>
        </w:rPr>
        <w:t>between neighbours  </w:t>
      </w:r>
      <w:r>
        <w:rPr>
          <w:spacing w:val="-3"/>
          <w:sz w:val="21"/>
        </w:rPr>
        <w:t>are  unique  </w:t>
      </w:r>
      <w:r>
        <w:rPr>
          <w:sz w:val="21"/>
        </w:rPr>
        <w:t>and  sit  at the</w:t>
      </w:r>
      <w:r>
        <w:rPr>
          <w:spacing w:val="19"/>
          <w:sz w:val="21"/>
        </w:rPr>
        <w:t> </w:t>
      </w:r>
      <w:r>
        <w:rPr>
          <w:sz w:val="21"/>
        </w:rPr>
        <w:t>intersection</w:t>
      </w:r>
      <w:r>
        <w:rPr>
          <w:spacing w:val="20"/>
          <w:sz w:val="21"/>
        </w:rPr>
        <w:t> </w:t>
      </w:r>
      <w:r>
        <w:rPr>
          <w:sz w:val="21"/>
        </w:rPr>
        <w:t>of</w:t>
      </w:r>
      <w:r>
        <w:rPr>
          <w:spacing w:val="20"/>
          <w:sz w:val="21"/>
        </w:rPr>
        <w:t> </w:t>
      </w:r>
      <w:r>
        <w:rPr>
          <w:sz w:val="21"/>
        </w:rPr>
        <w:t>civil</w:t>
      </w:r>
      <w:r>
        <w:rPr>
          <w:spacing w:val="20"/>
          <w:sz w:val="21"/>
        </w:rPr>
        <w:t> </w:t>
      </w:r>
      <w:r>
        <w:rPr>
          <w:spacing w:val="-3"/>
          <w:sz w:val="21"/>
        </w:rPr>
        <w:t>disputes</w:t>
      </w:r>
      <w:r>
        <w:rPr>
          <w:spacing w:val="19"/>
          <w:sz w:val="21"/>
        </w:rPr>
        <w:t> </w:t>
      </w:r>
      <w:r>
        <w:rPr>
          <w:sz w:val="21"/>
        </w:rPr>
        <w:t>between</w:t>
      </w:r>
      <w:r>
        <w:rPr>
          <w:spacing w:val="20"/>
          <w:sz w:val="21"/>
        </w:rPr>
        <w:t> </w:t>
      </w:r>
      <w:r>
        <w:rPr>
          <w:sz w:val="21"/>
        </w:rPr>
        <w:t>neighbours</w:t>
      </w:r>
      <w:r>
        <w:rPr>
          <w:spacing w:val="20"/>
          <w:sz w:val="21"/>
        </w:rPr>
        <w:t> </w:t>
      </w:r>
      <w:r>
        <w:rPr>
          <w:sz w:val="21"/>
        </w:rPr>
        <w:t>and</w:t>
      </w:r>
      <w:r>
        <w:rPr>
          <w:spacing w:val="20"/>
          <w:sz w:val="21"/>
        </w:rPr>
        <w:t> </w:t>
      </w:r>
      <w:r>
        <w:rPr>
          <w:sz w:val="21"/>
        </w:rPr>
        <w:t>the</w:t>
      </w:r>
      <w:r>
        <w:rPr>
          <w:spacing w:val="20"/>
          <w:sz w:val="21"/>
        </w:rPr>
        <w:t> </w:t>
      </w:r>
      <w:r>
        <w:rPr>
          <w:sz w:val="21"/>
        </w:rPr>
        <w:t>broader</w:t>
      </w:r>
      <w:r>
        <w:rPr>
          <w:spacing w:val="19"/>
          <w:sz w:val="21"/>
        </w:rPr>
        <w:t> </w:t>
      </w:r>
      <w:r>
        <w:rPr>
          <w:spacing w:val="-3"/>
          <w:sz w:val="21"/>
        </w:rPr>
        <w:t>environmental</w:t>
      </w:r>
    </w:p>
    <w:p>
      <w:pPr>
        <w:pStyle w:val="BodyText"/>
        <w:spacing w:line="242" w:lineRule="auto" w:before="3"/>
        <w:ind w:left="2381" w:right="1636"/>
      </w:pPr>
      <w:r>
        <w:rPr/>
        <w:t>context. Community feedback also stressed the importance of recognising the public and environmental benefit of trees. Additionally, tree disputes are likely to involve complex matters relating to planning laws and regulation, for which this expertise would be highly valuable in a decision maker.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3"/>
        </w:rPr>
      </w:pPr>
      <w:r>
        <w:rPr/>
        <w:pict>
          <v:line style="position:absolute;mso-position-horizontal-relative:page;mso-position-vertical-relative:paragraph;z-index:7232;mso-wrap-distance-left:0;mso-wrap-distance-right:0" from="79.370102pt,10.613878pt" to="515.905102pt,10.61387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26"/>
        </w:numPr>
        <w:tabs>
          <w:tab w:pos="2380" w:val="left" w:leader="none"/>
          <w:tab w:pos="2382" w:val="left" w:leader="none"/>
        </w:tabs>
        <w:spacing w:line="240" w:lineRule="auto" w:before="48" w:after="0"/>
        <w:ind w:left="2381" w:right="1" w:hanging="794"/>
        <w:jc w:val="left"/>
        <w:rPr>
          <w:sz w:val="13"/>
        </w:rPr>
      </w:pPr>
      <w:r>
        <w:rPr>
          <w:sz w:val="13"/>
        </w:rPr>
        <w:t>Schedule 1 of the </w:t>
      </w:r>
      <w:r>
        <w:rPr>
          <w:i/>
          <w:sz w:val="13"/>
        </w:rPr>
        <w:t>Victorian Civil and Administrative Tribunal Act 1998 </w:t>
      </w:r>
      <w:r>
        <w:rPr>
          <w:spacing w:val="2"/>
          <w:sz w:val="13"/>
        </w:rPr>
        <w:t>(Vic) </w:t>
      </w:r>
      <w:r>
        <w:rPr>
          <w:sz w:val="13"/>
        </w:rPr>
        <w:t>sets  out  how  the  tribunal  may  be  constituted  for  various proceedings pursuant to enabling enactments. For example, part 1A, section  2A  outlines  how  the  Tribunal  is  to  be  constituted  for  the purposes of a proceeding under part 8 of the </w:t>
      </w:r>
      <w:r>
        <w:rPr>
          <w:i/>
          <w:sz w:val="13"/>
        </w:rPr>
        <w:t>Aboriginal Heritage Act 2006 </w:t>
      </w:r>
      <w:r>
        <w:rPr>
          <w:spacing w:val="2"/>
          <w:sz w:val="13"/>
        </w:rPr>
        <w:t>(Vic) </w:t>
      </w:r>
      <w:r>
        <w:rPr>
          <w:sz w:val="13"/>
        </w:rPr>
        <w:t>as: </w:t>
      </w:r>
      <w:r>
        <w:rPr>
          <w:spacing w:val="2"/>
          <w:sz w:val="13"/>
        </w:rPr>
        <w:t>(a) </w:t>
      </w:r>
      <w:r>
        <w:rPr>
          <w:sz w:val="13"/>
        </w:rPr>
        <w:t>one member who  has  sound  knowledge  of,  and experience in, Aboriginal cultural heritage; or </w:t>
      </w:r>
      <w:r>
        <w:rPr>
          <w:spacing w:val="2"/>
          <w:sz w:val="13"/>
        </w:rPr>
        <w:t>(b) </w:t>
      </w:r>
      <w:r>
        <w:rPr>
          <w:sz w:val="13"/>
        </w:rPr>
        <w:t>if it is constituted by 2 members, at least one member who has sound knowledge of, and experience in, Aboriginal cultural heritage; or (c) if it is constituted by 3, 4 or 5 members, at least 2 members who have sound knowledge                 of, and experience in, Aboriginal cultural</w:t>
      </w:r>
      <w:r>
        <w:rPr>
          <w:spacing w:val="12"/>
          <w:sz w:val="13"/>
        </w:rPr>
        <w:t> </w:t>
      </w:r>
      <w:r>
        <w:rPr>
          <w:sz w:val="13"/>
        </w:rPr>
        <w:t>heritage.</w:t>
      </w:r>
    </w:p>
    <w:p>
      <w:pPr>
        <w:pStyle w:val="ListParagraph"/>
        <w:numPr>
          <w:ilvl w:val="0"/>
          <w:numId w:val="126"/>
        </w:numPr>
        <w:tabs>
          <w:tab w:pos="2380" w:val="left" w:leader="none"/>
          <w:tab w:pos="2382" w:val="left" w:leader="none"/>
        </w:tabs>
        <w:spacing w:line="240" w:lineRule="auto" w:before="8" w:after="0"/>
        <w:ind w:left="2381" w:right="575" w:hanging="794"/>
        <w:jc w:val="left"/>
        <w:rPr>
          <w:sz w:val="13"/>
        </w:rPr>
      </w:pPr>
      <w:r>
        <w:rPr>
          <w:w w:val="105"/>
          <w:sz w:val="13"/>
        </w:rPr>
        <w:t>See, eg, Department of Education and Training </w:t>
      </w:r>
      <w:r>
        <w:rPr>
          <w:spacing w:val="2"/>
          <w:w w:val="105"/>
          <w:sz w:val="13"/>
        </w:rPr>
        <w:t>(Vic), </w:t>
      </w:r>
      <w:r>
        <w:rPr>
          <w:i/>
          <w:w w:val="105"/>
          <w:sz w:val="13"/>
        </w:rPr>
        <w:t>Diploma of Arboriculture </w:t>
      </w:r>
      <w:r>
        <w:rPr>
          <w:w w:val="105"/>
          <w:sz w:val="13"/>
        </w:rPr>
        <w:t>(Web Page, 2017) &lt;https://</w:t>
      </w:r>
      <w:hyperlink r:id="rId203">
        <w:r>
          <w:rPr>
            <w:w w:val="105"/>
            <w:sz w:val="13"/>
          </w:rPr>
          <w:t>www.skills.vic.gov.au/</w:t>
        </w:r>
      </w:hyperlink>
      <w:r>
        <w:rPr>
          <w:w w:val="105"/>
          <w:sz w:val="13"/>
        </w:rPr>
        <w:t> victorianskillsgateway/Students/Pages/CourseSearchDescription.aspx?type=course&amp;CourseId=12920&amp;new=1&gt;.</w:t>
      </w:r>
    </w:p>
    <w:p>
      <w:pPr>
        <w:pStyle w:val="ListParagraph"/>
        <w:numPr>
          <w:ilvl w:val="0"/>
          <w:numId w:val="126"/>
        </w:numPr>
        <w:tabs>
          <w:tab w:pos="2380" w:val="left" w:leader="none"/>
          <w:tab w:pos="2382" w:val="left" w:leader="none"/>
        </w:tabs>
        <w:spacing w:line="240" w:lineRule="auto" w:before="3" w:after="0"/>
        <w:ind w:left="2381" w:right="0" w:hanging="794"/>
        <w:jc w:val="both"/>
        <w:rPr>
          <w:sz w:val="13"/>
        </w:rPr>
      </w:pPr>
      <w:r>
        <w:rPr>
          <w:w w:val="105"/>
          <w:sz w:val="13"/>
        </w:rPr>
        <w:t>Queensland Civil and Administrative Tribunal, </w:t>
      </w:r>
      <w:r>
        <w:rPr>
          <w:i/>
          <w:w w:val="105"/>
          <w:sz w:val="13"/>
        </w:rPr>
        <w:t>QCAT Practice Direction No 7 of 2013</w:t>
      </w:r>
      <w:r>
        <w:rPr>
          <w:w w:val="105"/>
          <w:sz w:val="13"/>
        </w:rPr>
        <w:t>—</w:t>
      </w:r>
      <w:r>
        <w:rPr>
          <w:i/>
          <w:w w:val="105"/>
          <w:sz w:val="13"/>
        </w:rPr>
        <w:t>Arrangements for Applications for Orders to Resolve </w:t>
      </w:r>
      <w:r>
        <w:rPr>
          <w:i/>
          <w:w w:val="105"/>
          <w:sz w:val="13"/>
        </w:rPr>
        <w:t>Other Issues About Trees </w:t>
      </w:r>
      <w:r>
        <w:rPr>
          <w:w w:val="105"/>
          <w:sz w:val="13"/>
        </w:rPr>
        <w:t>(Practice Document, 1 July </w:t>
      </w:r>
      <w:r>
        <w:rPr>
          <w:spacing w:val="-3"/>
          <w:w w:val="105"/>
          <w:sz w:val="13"/>
        </w:rPr>
        <w:t>2013, </w:t>
      </w:r>
      <w:r>
        <w:rPr>
          <w:w w:val="105"/>
          <w:sz w:val="13"/>
        </w:rPr>
        <w:t>updated 3 April 2014) 2; see also </w:t>
      </w:r>
      <w:r>
        <w:rPr>
          <w:i/>
          <w:w w:val="105"/>
          <w:sz w:val="13"/>
        </w:rPr>
        <w:t>Queensland Civil and Administrative Act 2009 </w:t>
      </w:r>
      <w:r>
        <w:rPr>
          <w:spacing w:val="2"/>
          <w:w w:val="105"/>
          <w:sz w:val="13"/>
        </w:rPr>
        <w:t>(Qld) </w:t>
      </w:r>
      <w:r>
        <w:rPr>
          <w:w w:val="105"/>
          <w:sz w:val="13"/>
        </w:rPr>
        <w:t>s</w:t>
      </w:r>
      <w:r>
        <w:rPr>
          <w:spacing w:val="7"/>
          <w:w w:val="105"/>
          <w:sz w:val="13"/>
        </w:rPr>
        <w:t> </w:t>
      </w:r>
      <w:r>
        <w:rPr>
          <w:spacing w:val="-5"/>
          <w:w w:val="105"/>
          <w:sz w:val="13"/>
        </w:rPr>
        <w:t>112.</w:t>
      </w:r>
    </w:p>
    <w:p>
      <w:pPr>
        <w:pStyle w:val="ListParagraph"/>
        <w:numPr>
          <w:ilvl w:val="0"/>
          <w:numId w:val="126"/>
        </w:numPr>
        <w:tabs>
          <w:tab w:pos="2380" w:val="left" w:leader="none"/>
          <w:tab w:pos="2382" w:val="left" w:leader="none"/>
        </w:tabs>
        <w:spacing w:line="240" w:lineRule="auto" w:before="4" w:after="0"/>
        <w:ind w:left="2381" w:right="0" w:hanging="794"/>
        <w:jc w:val="left"/>
        <w:rPr>
          <w:sz w:val="13"/>
        </w:rPr>
      </w:pPr>
      <w:r>
        <w:rPr>
          <w:sz w:val="13"/>
        </w:rPr>
        <w:t>Queensland</w:t>
      </w:r>
      <w:r>
        <w:rPr>
          <w:spacing w:val="11"/>
          <w:sz w:val="13"/>
        </w:rPr>
        <w:t> </w:t>
      </w:r>
      <w:r>
        <w:rPr>
          <w:sz w:val="13"/>
        </w:rPr>
        <w:t>Civil</w:t>
      </w:r>
      <w:r>
        <w:rPr>
          <w:spacing w:val="11"/>
          <w:sz w:val="13"/>
        </w:rPr>
        <w:t> </w:t>
      </w:r>
      <w:r>
        <w:rPr>
          <w:sz w:val="13"/>
        </w:rPr>
        <w:t>and</w:t>
      </w:r>
      <w:r>
        <w:rPr>
          <w:spacing w:val="11"/>
          <w:sz w:val="13"/>
        </w:rPr>
        <w:t> </w:t>
      </w:r>
      <w:r>
        <w:rPr>
          <w:sz w:val="13"/>
        </w:rPr>
        <w:t>Administrative</w:t>
      </w:r>
      <w:r>
        <w:rPr>
          <w:spacing w:val="11"/>
          <w:sz w:val="13"/>
        </w:rPr>
        <w:t> </w:t>
      </w:r>
      <w:r>
        <w:rPr>
          <w:sz w:val="13"/>
        </w:rPr>
        <w:t>Tribunal,</w:t>
      </w:r>
      <w:r>
        <w:rPr>
          <w:spacing w:val="11"/>
          <w:sz w:val="13"/>
        </w:rPr>
        <w:t> </w:t>
      </w:r>
      <w:r>
        <w:rPr>
          <w:i/>
          <w:sz w:val="13"/>
        </w:rPr>
        <w:t>Information</w:t>
      </w:r>
      <w:r>
        <w:rPr>
          <w:i/>
          <w:spacing w:val="11"/>
          <w:sz w:val="13"/>
        </w:rPr>
        <w:t> </w:t>
      </w:r>
      <w:r>
        <w:rPr>
          <w:i/>
          <w:sz w:val="13"/>
        </w:rPr>
        <w:t>Kit:</w:t>
      </w:r>
      <w:r>
        <w:rPr>
          <w:i/>
          <w:spacing w:val="11"/>
          <w:sz w:val="13"/>
        </w:rPr>
        <w:t> </w:t>
      </w:r>
      <w:r>
        <w:rPr>
          <w:i/>
          <w:sz w:val="13"/>
        </w:rPr>
        <w:t>Tree</w:t>
      </w:r>
      <w:r>
        <w:rPr>
          <w:i/>
          <w:spacing w:val="12"/>
          <w:sz w:val="13"/>
        </w:rPr>
        <w:t> </w:t>
      </w:r>
      <w:r>
        <w:rPr>
          <w:i/>
          <w:spacing w:val="2"/>
          <w:sz w:val="13"/>
        </w:rPr>
        <w:t>Assessors</w:t>
      </w:r>
      <w:r>
        <w:rPr>
          <w:i/>
          <w:spacing w:val="11"/>
          <w:sz w:val="13"/>
        </w:rPr>
        <w:t> </w:t>
      </w:r>
      <w:r>
        <w:rPr>
          <w:i/>
          <w:sz w:val="13"/>
        </w:rPr>
        <w:t>Expression</w:t>
      </w:r>
      <w:r>
        <w:rPr>
          <w:i/>
          <w:spacing w:val="11"/>
          <w:sz w:val="13"/>
        </w:rPr>
        <w:t> </w:t>
      </w:r>
      <w:r>
        <w:rPr>
          <w:i/>
          <w:sz w:val="13"/>
        </w:rPr>
        <w:t>of</w:t>
      </w:r>
      <w:r>
        <w:rPr>
          <w:i/>
          <w:spacing w:val="11"/>
          <w:sz w:val="13"/>
        </w:rPr>
        <w:t> </w:t>
      </w:r>
      <w:r>
        <w:rPr>
          <w:i/>
          <w:sz w:val="13"/>
        </w:rPr>
        <w:t>Interest</w:t>
      </w:r>
      <w:r>
        <w:rPr>
          <w:i/>
          <w:spacing w:val="11"/>
          <w:sz w:val="13"/>
        </w:rPr>
        <w:t> </w:t>
      </w:r>
      <w:r>
        <w:rPr>
          <w:spacing w:val="3"/>
          <w:sz w:val="13"/>
        </w:rPr>
        <w:t>(EOI)</w:t>
      </w:r>
      <w:r>
        <w:rPr>
          <w:spacing w:val="11"/>
          <w:sz w:val="13"/>
        </w:rPr>
        <w:t> </w:t>
      </w:r>
      <w:r>
        <w:rPr>
          <w:sz w:val="13"/>
        </w:rPr>
        <w:t>(2013)</w:t>
      </w:r>
      <w:r>
        <w:rPr>
          <w:spacing w:val="11"/>
          <w:sz w:val="13"/>
        </w:rPr>
        <w:t> </w:t>
      </w:r>
      <w:r>
        <w:rPr>
          <w:sz w:val="13"/>
        </w:rPr>
        <w:t>3.</w:t>
      </w:r>
    </w:p>
    <w:p>
      <w:pPr>
        <w:pStyle w:val="ListParagraph"/>
        <w:numPr>
          <w:ilvl w:val="0"/>
          <w:numId w:val="126"/>
        </w:numPr>
        <w:tabs>
          <w:tab w:pos="2380" w:val="left" w:leader="none"/>
          <w:tab w:pos="2382" w:val="left" w:leader="none"/>
        </w:tabs>
        <w:spacing w:line="240" w:lineRule="auto" w:before="1" w:after="0"/>
        <w:ind w:left="2381" w:right="0" w:hanging="794"/>
        <w:jc w:val="left"/>
        <w:rPr>
          <w:sz w:val="13"/>
        </w:rPr>
      </w:pPr>
      <w:r>
        <w:rPr>
          <w:w w:val="105"/>
          <w:sz w:val="13"/>
        </w:rPr>
        <w:t>Consultation 5 </w:t>
      </w:r>
      <w:r>
        <w:rPr>
          <w:spacing w:val="2"/>
          <w:w w:val="105"/>
          <w:sz w:val="13"/>
        </w:rPr>
        <w:t>(Victorian </w:t>
      </w:r>
      <w:r>
        <w:rPr>
          <w:w w:val="105"/>
          <w:sz w:val="13"/>
        </w:rPr>
        <w:t>Civil and Administrative</w:t>
      </w:r>
      <w:r>
        <w:rPr>
          <w:spacing w:val="25"/>
          <w:w w:val="105"/>
          <w:sz w:val="13"/>
        </w:rPr>
        <w:t> </w:t>
      </w:r>
      <w:r>
        <w:rPr>
          <w:w w:val="105"/>
          <w:sz w:val="13"/>
        </w:rPr>
        <w:t>Tribunal).</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8"/>
        <w:rPr>
          <w:sz w:val="40"/>
        </w:rPr>
      </w:pPr>
    </w:p>
    <w:p>
      <w:pPr>
        <w:spacing w:before="0"/>
        <w:ind w:left="616" w:right="575" w:firstLine="0"/>
        <w:jc w:val="center"/>
        <w:rPr>
          <w:b/>
          <w:sz w:val="24"/>
        </w:rPr>
      </w:pPr>
      <w:r>
        <w:rPr>
          <w:b/>
          <w:color w:val="658464"/>
          <w:w w:val="110"/>
          <w:sz w:val="24"/>
        </w:rPr>
        <w:t>159</w:t>
      </w:r>
    </w:p>
    <w:p>
      <w:pPr>
        <w:spacing w:after="0"/>
        <w:jc w:val="center"/>
        <w:rPr>
          <w:sz w:val="24"/>
        </w:rPr>
        <w:sectPr>
          <w:type w:val="continuous"/>
          <w:pgSz w:w="11910" w:h="16840"/>
          <w:pgMar w:top="300" w:bottom="280" w:left="0" w:right="0"/>
          <w:cols w:num="2" w:equalWidth="0">
            <w:col w:w="10237" w:space="40"/>
            <w:col w:w="1633"/>
          </w:cols>
        </w:sectPr>
      </w:pPr>
    </w:p>
    <w:p>
      <w:pPr>
        <w:pStyle w:val="BodyText"/>
        <w:rPr>
          <w:b/>
          <w:sz w:val="20"/>
        </w:rPr>
      </w:pPr>
    </w:p>
    <w:p>
      <w:pPr>
        <w:pStyle w:val="BodyText"/>
        <w:spacing w:before="8" w:after="1"/>
        <w:rPr>
          <w:b/>
          <w:sz w:val="14"/>
        </w:rPr>
      </w:pPr>
    </w:p>
    <w:p>
      <w:pPr>
        <w:pStyle w:val="BodyText"/>
        <w:ind w:left="1222"/>
        <w:rPr>
          <w:sz w:val="20"/>
        </w:rPr>
      </w:pPr>
      <w:r>
        <w:rPr>
          <w:sz w:val="20"/>
        </w:rPr>
        <w:pict>
          <v:group style="width:479.1pt;height:148.4pt;mso-position-horizontal-relative:char;mso-position-vertical-relative:line" coordorigin="0,0" coordsize="9582,2968">
            <v:rect style="position:absolute;left:340;top:0;width:8731;height:2968" filled="true" fillcolor="#dbe0dd" stroked="false">
              <v:fill type="solid"/>
            </v:rect>
            <v:line style="position:absolute" from="0,747" to="9581,747" stroked="true" strokeweight="2.5pt" strokecolor="#ffffff">
              <v:stroke dashstyle="solid"/>
            </v:line>
            <v:shape style="position:absolute;left:340;top:771;width:8731;height:2196" type="#_x0000_t202" filled="true" fillcolor="#dbe0dd" stroked="false">
              <v:textbox inset="0,0,0,0">
                <w:txbxContent>
                  <w:p>
                    <w:pPr>
                      <w:tabs>
                        <w:tab w:pos="793" w:val="left" w:leader="none"/>
                      </w:tabs>
                      <w:spacing w:line="242" w:lineRule="auto" w:before="208"/>
                      <w:ind w:left="793" w:right="268" w:hanging="567"/>
                      <w:jc w:val="left"/>
                      <w:rPr>
                        <w:sz w:val="21"/>
                      </w:rPr>
                    </w:pPr>
                    <w:bookmarkStart w:name="_bookmark85" w:id="180"/>
                    <w:bookmarkEnd w:id="180"/>
                    <w:r>
                      <w:rPr/>
                    </w:r>
                    <w:r>
                      <w:rPr>
                        <w:b/>
                        <w:w w:val="115"/>
                        <w:sz w:val="21"/>
                      </w:rPr>
                      <w:t>23</w:t>
                      <w:tab/>
                    </w:r>
                    <w:r>
                      <w:rPr>
                        <w:w w:val="115"/>
                        <w:sz w:val="21"/>
                      </w:rPr>
                      <w:t>Government should consider appointing members with arboricultural expertise</w:t>
                    </w:r>
                    <w:r>
                      <w:rPr>
                        <w:spacing w:val="-8"/>
                        <w:w w:val="115"/>
                        <w:sz w:val="21"/>
                      </w:rPr>
                      <w:t> </w:t>
                    </w:r>
                    <w:r>
                      <w:rPr>
                        <w:w w:val="115"/>
                        <w:sz w:val="21"/>
                      </w:rPr>
                      <w:t>to</w:t>
                    </w:r>
                    <w:r>
                      <w:rPr>
                        <w:spacing w:val="-7"/>
                        <w:w w:val="115"/>
                        <w:sz w:val="21"/>
                      </w:rPr>
                      <w:t> </w:t>
                    </w:r>
                    <w:r>
                      <w:rPr>
                        <w:w w:val="115"/>
                        <w:sz w:val="21"/>
                      </w:rPr>
                      <w:t>the</w:t>
                    </w:r>
                    <w:r>
                      <w:rPr>
                        <w:spacing w:val="-7"/>
                        <w:w w:val="115"/>
                        <w:sz w:val="21"/>
                      </w:rPr>
                      <w:t> </w:t>
                    </w:r>
                    <w:r>
                      <w:rPr>
                        <w:w w:val="115"/>
                        <w:sz w:val="21"/>
                      </w:rPr>
                      <w:t>Victorian</w:t>
                    </w:r>
                    <w:r>
                      <w:rPr>
                        <w:spacing w:val="-7"/>
                        <w:w w:val="115"/>
                        <w:sz w:val="21"/>
                      </w:rPr>
                      <w:t> </w:t>
                    </w:r>
                    <w:r>
                      <w:rPr>
                        <w:w w:val="115"/>
                        <w:sz w:val="21"/>
                      </w:rPr>
                      <w:t>Civil</w:t>
                    </w:r>
                    <w:r>
                      <w:rPr>
                        <w:spacing w:val="-7"/>
                        <w:w w:val="115"/>
                        <w:sz w:val="21"/>
                      </w:rPr>
                      <w:t> </w:t>
                    </w:r>
                    <w:r>
                      <w:rPr>
                        <w:w w:val="115"/>
                        <w:sz w:val="21"/>
                      </w:rPr>
                      <w:t>and</w:t>
                    </w:r>
                    <w:r>
                      <w:rPr>
                        <w:spacing w:val="-7"/>
                        <w:w w:val="115"/>
                        <w:sz w:val="21"/>
                      </w:rPr>
                      <w:t> </w:t>
                    </w:r>
                    <w:r>
                      <w:rPr>
                        <w:w w:val="115"/>
                        <w:sz w:val="21"/>
                      </w:rPr>
                      <w:t>Administrative</w:t>
                    </w:r>
                    <w:r>
                      <w:rPr>
                        <w:spacing w:val="-7"/>
                        <w:w w:val="115"/>
                        <w:sz w:val="21"/>
                      </w:rPr>
                      <w:t> </w:t>
                    </w:r>
                    <w:r>
                      <w:rPr>
                        <w:spacing w:val="-4"/>
                        <w:w w:val="115"/>
                        <w:sz w:val="21"/>
                      </w:rPr>
                      <w:t>Tribunal</w:t>
                    </w:r>
                    <w:r>
                      <w:rPr>
                        <w:spacing w:val="-7"/>
                        <w:w w:val="115"/>
                        <w:sz w:val="21"/>
                      </w:rPr>
                      <w:t> </w:t>
                    </w:r>
                    <w:r>
                      <w:rPr>
                        <w:w w:val="115"/>
                        <w:sz w:val="21"/>
                      </w:rPr>
                      <w:t>to</w:t>
                    </w:r>
                    <w:r>
                      <w:rPr>
                        <w:spacing w:val="-7"/>
                        <w:w w:val="115"/>
                        <w:sz w:val="21"/>
                      </w:rPr>
                      <w:t> </w:t>
                    </w:r>
                    <w:r>
                      <w:rPr>
                        <w:w w:val="115"/>
                        <w:sz w:val="21"/>
                      </w:rPr>
                      <w:t>hear</w:t>
                    </w:r>
                    <w:r>
                      <w:rPr>
                        <w:spacing w:val="-7"/>
                        <w:w w:val="115"/>
                        <w:sz w:val="21"/>
                      </w:rPr>
                      <w:t> </w:t>
                    </w:r>
                    <w:r>
                      <w:rPr>
                        <w:w w:val="115"/>
                        <w:sz w:val="21"/>
                      </w:rPr>
                      <w:t>tree</w:t>
                    </w:r>
                    <w:r>
                      <w:rPr>
                        <w:spacing w:val="-7"/>
                        <w:w w:val="115"/>
                        <w:sz w:val="21"/>
                      </w:rPr>
                      <w:t> </w:t>
                    </w:r>
                    <w:r>
                      <w:rPr>
                        <w:w w:val="115"/>
                        <w:sz w:val="21"/>
                      </w:rPr>
                      <w:t>dispute matters. </w:t>
                    </w:r>
                    <w:r>
                      <w:rPr>
                        <w:spacing w:val="-3"/>
                        <w:w w:val="115"/>
                        <w:sz w:val="21"/>
                      </w:rPr>
                      <w:t>Alternatively, </w:t>
                    </w:r>
                    <w:r>
                      <w:rPr>
                        <w:w w:val="115"/>
                        <w:sz w:val="21"/>
                      </w:rPr>
                      <w:t>in order to obtain expert opinions on arboriculture matters and to obtain the complete context of the dispute, the Victorian Civil and Administrative </w:t>
                    </w:r>
                    <w:r>
                      <w:rPr>
                        <w:spacing w:val="-4"/>
                        <w:w w:val="115"/>
                        <w:sz w:val="21"/>
                      </w:rPr>
                      <w:t>Tribunal </w:t>
                    </w:r>
                    <w:r>
                      <w:rPr>
                        <w:w w:val="115"/>
                        <w:sz w:val="21"/>
                      </w:rPr>
                      <w:t>should consider adopting the Queensland Civil and Administrative </w:t>
                    </w:r>
                    <w:r>
                      <w:rPr>
                        <w:spacing w:val="-4"/>
                        <w:w w:val="115"/>
                        <w:sz w:val="21"/>
                      </w:rPr>
                      <w:t>Tribunal </w:t>
                    </w:r>
                    <w:r>
                      <w:rPr>
                        <w:w w:val="115"/>
                        <w:sz w:val="21"/>
                      </w:rPr>
                      <w:t>approach of using independent tree assessors throughout Victoria.</w:t>
                    </w:r>
                  </w:p>
                </w:txbxContent>
              </v:textbox>
              <v:fill type="solid"/>
              <w10:wrap type="none"/>
            </v:shape>
            <v:shape style="position:absolute;left:340;top:0;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w:t>
                    </w:r>
                  </w:p>
                </w:txbxContent>
              </v:textbox>
              <v:fill type="solid"/>
              <w10:wrap type="none"/>
            </v:shape>
          </v:group>
        </w:pict>
      </w:r>
      <w:r>
        <w:rPr>
          <w:sz w:val="20"/>
        </w:rPr>
      </w:r>
    </w:p>
    <w:p>
      <w:pPr>
        <w:pStyle w:val="BodyText"/>
        <w:rPr>
          <w:b/>
          <w:sz w:val="20"/>
        </w:rPr>
      </w:pPr>
    </w:p>
    <w:p>
      <w:pPr>
        <w:spacing w:before="221"/>
        <w:ind w:left="1587" w:right="0" w:firstLine="0"/>
        <w:jc w:val="left"/>
        <w:rPr>
          <w:b/>
          <w:sz w:val="24"/>
        </w:rPr>
      </w:pPr>
      <w:r>
        <w:rPr>
          <w:b/>
          <w:w w:val="110"/>
          <w:sz w:val="24"/>
        </w:rPr>
        <w:t>On-site hearings or inspections</w:t>
      </w:r>
    </w:p>
    <w:p>
      <w:pPr>
        <w:pStyle w:val="ListParagraph"/>
        <w:numPr>
          <w:ilvl w:val="1"/>
          <w:numId w:val="114"/>
        </w:numPr>
        <w:tabs>
          <w:tab w:pos="2381" w:val="left" w:leader="none"/>
          <w:tab w:pos="2382" w:val="left" w:leader="none"/>
        </w:tabs>
        <w:spacing w:line="242" w:lineRule="auto" w:before="137" w:after="0"/>
        <w:ind w:left="2381" w:right="1561" w:hanging="794"/>
        <w:jc w:val="left"/>
        <w:rPr>
          <w:sz w:val="12"/>
        </w:rPr>
      </w:pPr>
      <w:r>
        <w:rPr>
          <w:spacing w:val="-2"/>
          <w:sz w:val="21"/>
        </w:rPr>
        <w:t>The </w:t>
      </w:r>
      <w:r>
        <w:rPr>
          <w:spacing w:val="-5"/>
          <w:sz w:val="21"/>
        </w:rPr>
        <w:t>Commission </w:t>
      </w:r>
      <w:r>
        <w:rPr>
          <w:spacing w:val="-4"/>
          <w:sz w:val="21"/>
        </w:rPr>
        <w:t>agrees </w:t>
      </w:r>
      <w:r>
        <w:rPr>
          <w:spacing w:val="-3"/>
          <w:sz w:val="21"/>
        </w:rPr>
        <w:t>with  </w:t>
      </w:r>
      <w:r>
        <w:rPr>
          <w:spacing w:val="-4"/>
          <w:sz w:val="21"/>
        </w:rPr>
        <w:t>community  responses  </w:t>
      </w:r>
      <w:r>
        <w:rPr>
          <w:spacing w:val="-3"/>
          <w:sz w:val="21"/>
        </w:rPr>
        <w:t>about  the  </w:t>
      </w:r>
      <w:r>
        <w:rPr>
          <w:spacing w:val="-4"/>
          <w:sz w:val="21"/>
        </w:rPr>
        <w:t>importance  </w:t>
      </w:r>
      <w:r>
        <w:rPr>
          <w:spacing w:val="-3"/>
          <w:sz w:val="21"/>
        </w:rPr>
        <w:t>of  </w:t>
      </w:r>
      <w:r>
        <w:rPr>
          <w:spacing w:val="-4"/>
          <w:sz w:val="21"/>
        </w:rPr>
        <w:t>inspecting  </w:t>
      </w:r>
      <w:r>
        <w:rPr>
          <w:sz w:val="21"/>
        </w:rPr>
        <w:t>a </w:t>
      </w:r>
      <w:r>
        <w:rPr>
          <w:spacing w:val="-4"/>
          <w:sz w:val="21"/>
        </w:rPr>
        <w:t>tree </w:t>
      </w:r>
      <w:r>
        <w:rPr>
          <w:spacing w:val="-3"/>
          <w:sz w:val="21"/>
        </w:rPr>
        <w:t>in </w:t>
      </w:r>
      <w:r>
        <w:rPr>
          <w:sz w:val="21"/>
        </w:rPr>
        <w:t>its </w:t>
      </w:r>
      <w:r>
        <w:rPr>
          <w:spacing w:val="-4"/>
          <w:sz w:val="21"/>
        </w:rPr>
        <w:t>physical context </w:t>
      </w:r>
      <w:r>
        <w:rPr>
          <w:spacing w:val="-3"/>
          <w:sz w:val="21"/>
        </w:rPr>
        <w:t>in </w:t>
      </w:r>
      <w:r>
        <w:rPr>
          <w:spacing w:val="-4"/>
          <w:sz w:val="21"/>
        </w:rPr>
        <w:t>order to </w:t>
      </w:r>
      <w:r>
        <w:rPr>
          <w:spacing w:val="-5"/>
          <w:sz w:val="21"/>
        </w:rPr>
        <w:t>make </w:t>
      </w:r>
      <w:r>
        <w:rPr>
          <w:sz w:val="21"/>
        </w:rPr>
        <w:t>a </w:t>
      </w:r>
      <w:r>
        <w:rPr>
          <w:spacing w:val="-4"/>
          <w:sz w:val="21"/>
        </w:rPr>
        <w:t>thorough assessment </w:t>
      </w:r>
      <w:r>
        <w:rPr>
          <w:spacing w:val="-3"/>
          <w:sz w:val="21"/>
        </w:rPr>
        <w:t>of </w:t>
      </w:r>
      <w:r>
        <w:rPr>
          <w:spacing w:val="-4"/>
          <w:sz w:val="21"/>
        </w:rPr>
        <w:t>both </w:t>
      </w:r>
      <w:r>
        <w:rPr>
          <w:spacing w:val="-3"/>
          <w:sz w:val="21"/>
        </w:rPr>
        <w:t>the </w:t>
      </w:r>
      <w:r>
        <w:rPr>
          <w:spacing w:val="-5"/>
          <w:sz w:val="21"/>
        </w:rPr>
        <w:t>arboricultural </w:t>
      </w:r>
      <w:r>
        <w:rPr>
          <w:spacing w:val="-4"/>
          <w:sz w:val="21"/>
        </w:rPr>
        <w:t>problem and </w:t>
      </w:r>
      <w:r>
        <w:rPr>
          <w:spacing w:val="-3"/>
          <w:sz w:val="21"/>
        </w:rPr>
        <w:t>the </w:t>
      </w:r>
      <w:r>
        <w:rPr>
          <w:spacing w:val="-4"/>
          <w:sz w:val="21"/>
        </w:rPr>
        <w:t>broader context </w:t>
      </w:r>
      <w:r>
        <w:rPr>
          <w:spacing w:val="-3"/>
          <w:sz w:val="21"/>
        </w:rPr>
        <w:t>of the </w:t>
      </w:r>
      <w:r>
        <w:rPr>
          <w:spacing w:val="-5"/>
          <w:sz w:val="21"/>
        </w:rPr>
        <w:t>dispute. </w:t>
      </w:r>
      <w:r>
        <w:rPr>
          <w:sz w:val="21"/>
        </w:rPr>
        <w:t>An </w:t>
      </w:r>
      <w:r>
        <w:rPr>
          <w:spacing w:val="-4"/>
          <w:sz w:val="21"/>
        </w:rPr>
        <w:t>on-site </w:t>
      </w:r>
      <w:r>
        <w:rPr>
          <w:spacing w:val="-5"/>
          <w:sz w:val="21"/>
        </w:rPr>
        <w:t>hearing </w:t>
      </w:r>
      <w:r>
        <w:rPr>
          <w:spacing w:val="-4"/>
          <w:sz w:val="21"/>
        </w:rPr>
        <w:t>would </w:t>
      </w:r>
      <w:r>
        <w:rPr>
          <w:sz w:val="21"/>
        </w:rPr>
        <w:t>be </w:t>
      </w:r>
      <w:r>
        <w:rPr>
          <w:spacing w:val="-4"/>
          <w:sz w:val="21"/>
        </w:rPr>
        <w:t>easier to </w:t>
      </w:r>
      <w:r>
        <w:rPr>
          <w:spacing w:val="-5"/>
          <w:sz w:val="21"/>
        </w:rPr>
        <w:t>implement </w:t>
      </w:r>
      <w:r>
        <w:rPr>
          <w:spacing w:val="-4"/>
          <w:sz w:val="21"/>
        </w:rPr>
        <w:t>and more </w:t>
      </w:r>
      <w:r>
        <w:rPr>
          <w:spacing w:val="-6"/>
          <w:sz w:val="21"/>
        </w:rPr>
        <w:t>appropriate </w:t>
      </w:r>
      <w:r>
        <w:rPr>
          <w:spacing w:val="-4"/>
          <w:sz w:val="21"/>
        </w:rPr>
        <w:t>in </w:t>
      </w:r>
      <w:r>
        <w:rPr>
          <w:spacing w:val="-8"/>
          <w:sz w:val="21"/>
        </w:rPr>
        <w:t>VCAT </w:t>
      </w:r>
      <w:r>
        <w:rPr>
          <w:spacing w:val="-5"/>
          <w:sz w:val="21"/>
        </w:rPr>
        <w:t>than </w:t>
      </w:r>
      <w:r>
        <w:rPr>
          <w:spacing w:val="-4"/>
          <w:sz w:val="21"/>
        </w:rPr>
        <w:t>in the </w:t>
      </w:r>
      <w:r>
        <w:rPr>
          <w:spacing w:val="-6"/>
          <w:sz w:val="21"/>
        </w:rPr>
        <w:t>Magistrates’ </w:t>
      </w:r>
      <w:r>
        <w:rPr>
          <w:spacing w:val="-5"/>
          <w:sz w:val="21"/>
        </w:rPr>
        <w:t>Court. </w:t>
      </w:r>
      <w:r>
        <w:rPr>
          <w:spacing w:val="-8"/>
          <w:sz w:val="21"/>
        </w:rPr>
        <w:t>VCAT </w:t>
      </w:r>
      <w:r>
        <w:rPr>
          <w:spacing w:val="-6"/>
          <w:sz w:val="21"/>
        </w:rPr>
        <w:t>informed </w:t>
      </w:r>
      <w:r>
        <w:rPr>
          <w:spacing w:val="-4"/>
          <w:sz w:val="21"/>
        </w:rPr>
        <w:t>the </w:t>
      </w:r>
      <w:r>
        <w:rPr>
          <w:spacing w:val="-5"/>
          <w:sz w:val="21"/>
        </w:rPr>
        <w:t>Commission</w:t>
      </w:r>
      <w:r>
        <w:rPr>
          <w:spacing w:val="19"/>
          <w:sz w:val="21"/>
        </w:rPr>
        <w:t> </w:t>
      </w:r>
      <w:r>
        <w:rPr>
          <w:spacing w:val="-4"/>
          <w:sz w:val="21"/>
        </w:rPr>
        <w:t>that</w:t>
      </w:r>
      <w:r>
        <w:rPr>
          <w:spacing w:val="20"/>
          <w:sz w:val="21"/>
        </w:rPr>
        <w:t> </w:t>
      </w:r>
      <w:r>
        <w:rPr>
          <w:spacing w:val="-4"/>
          <w:sz w:val="21"/>
        </w:rPr>
        <w:t>on-site</w:t>
      </w:r>
      <w:r>
        <w:rPr>
          <w:spacing w:val="20"/>
          <w:sz w:val="21"/>
        </w:rPr>
        <w:t> </w:t>
      </w:r>
      <w:r>
        <w:rPr>
          <w:spacing w:val="-4"/>
          <w:sz w:val="21"/>
        </w:rPr>
        <w:t>inspections</w:t>
      </w:r>
      <w:r>
        <w:rPr>
          <w:spacing w:val="20"/>
          <w:sz w:val="21"/>
        </w:rPr>
        <w:t> </w:t>
      </w:r>
      <w:r>
        <w:rPr>
          <w:spacing w:val="-4"/>
          <w:sz w:val="21"/>
        </w:rPr>
        <w:t>often</w:t>
      </w:r>
      <w:r>
        <w:rPr>
          <w:spacing w:val="20"/>
          <w:sz w:val="21"/>
        </w:rPr>
        <w:t> </w:t>
      </w:r>
      <w:r>
        <w:rPr>
          <w:spacing w:val="-4"/>
          <w:sz w:val="21"/>
        </w:rPr>
        <w:t>occur</w:t>
      </w:r>
      <w:r>
        <w:rPr>
          <w:spacing w:val="20"/>
          <w:sz w:val="21"/>
        </w:rPr>
        <w:t> </w:t>
      </w:r>
      <w:r>
        <w:rPr>
          <w:spacing w:val="-3"/>
          <w:sz w:val="21"/>
        </w:rPr>
        <w:t>in</w:t>
      </w:r>
      <w:r>
        <w:rPr>
          <w:spacing w:val="19"/>
          <w:sz w:val="21"/>
        </w:rPr>
        <w:t> </w:t>
      </w:r>
      <w:r>
        <w:rPr>
          <w:spacing w:val="-3"/>
          <w:sz w:val="21"/>
        </w:rPr>
        <w:t>the</w:t>
      </w:r>
      <w:r>
        <w:rPr>
          <w:spacing w:val="20"/>
          <w:sz w:val="21"/>
        </w:rPr>
        <w:t> </w:t>
      </w:r>
      <w:r>
        <w:rPr>
          <w:spacing w:val="-5"/>
          <w:sz w:val="21"/>
        </w:rPr>
        <w:t>Planning</w:t>
      </w:r>
      <w:r>
        <w:rPr>
          <w:spacing w:val="20"/>
          <w:sz w:val="21"/>
        </w:rPr>
        <w:t> </w:t>
      </w:r>
      <w:r>
        <w:rPr>
          <w:spacing w:val="-4"/>
          <w:sz w:val="21"/>
        </w:rPr>
        <w:t>and</w:t>
      </w:r>
      <w:r>
        <w:rPr>
          <w:spacing w:val="20"/>
          <w:sz w:val="21"/>
        </w:rPr>
        <w:t> </w:t>
      </w:r>
      <w:r>
        <w:rPr>
          <w:spacing w:val="-5"/>
          <w:sz w:val="21"/>
        </w:rPr>
        <w:t>Environment</w:t>
      </w:r>
      <w:r>
        <w:rPr>
          <w:spacing w:val="20"/>
          <w:sz w:val="21"/>
        </w:rPr>
        <w:t> </w:t>
      </w:r>
      <w:r>
        <w:rPr>
          <w:spacing w:val="-3"/>
          <w:sz w:val="21"/>
        </w:rPr>
        <w:t>List.</w:t>
      </w:r>
      <w:r>
        <w:rPr>
          <w:spacing w:val="-3"/>
          <w:position w:val="7"/>
          <w:sz w:val="12"/>
        </w:rPr>
        <w:t>288</w:t>
      </w:r>
    </w:p>
    <w:p>
      <w:pPr>
        <w:pStyle w:val="ListParagraph"/>
        <w:numPr>
          <w:ilvl w:val="1"/>
          <w:numId w:val="114"/>
        </w:numPr>
        <w:tabs>
          <w:tab w:pos="2380" w:val="left" w:leader="none"/>
          <w:tab w:pos="2381" w:val="left" w:leader="none"/>
        </w:tabs>
        <w:spacing w:line="240" w:lineRule="auto" w:before="126" w:after="0"/>
        <w:ind w:left="2380" w:right="0" w:hanging="793"/>
        <w:jc w:val="left"/>
        <w:rPr>
          <w:sz w:val="21"/>
        </w:rPr>
      </w:pPr>
      <w:r>
        <w:rPr>
          <w:w w:val="105"/>
          <w:sz w:val="21"/>
        </w:rPr>
        <w:t>A member of </w:t>
      </w:r>
      <w:r>
        <w:rPr>
          <w:spacing w:val="-5"/>
          <w:w w:val="105"/>
          <w:sz w:val="21"/>
        </w:rPr>
        <w:t>VCAT </w:t>
      </w:r>
      <w:r>
        <w:rPr>
          <w:spacing w:val="-3"/>
          <w:w w:val="105"/>
          <w:sz w:val="21"/>
        </w:rPr>
        <w:t>notes </w:t>
      </w:r>
      <w:r>
        <w:rPr>
          <w:w w:val="105"/>
          <w:sz w:val="21"/>
        </w:rPr>
        <w:t>the </w:t>
      </w:r>
      <w:r>
        <w:rPr>
          <w:spacing w:val="-3"/>
          <w:w w:val="105"/>
          <w:sz w:val="21"/>
        </w:rPr>
        <w:t>following </w:t>
      </w:r>
      <w:r>
        <w:rPr>
          <w:w w:val="105"/>
          <w:sz w:val="21"/>
        </w:rPr>
        <w:t>about the importance of on-site</w:t>
      </w:r>
      <w:r>
        <w:rPr>
          <w:spacing w:val="4"/>
          <w:w w:val="105"/>
          <w:sz w:val="21"/>
        </w:rPr>
        <w:t> </w:t>
      </w:r>
      <w:r>
        <w:rPr>
          <w:w w:val="105"/>
          <w:sz w:val="21"/>
        </w:rPr>
        <w:t>inspections:</w:t>
      </w:r>
    </w:p>
    <w:p>
      <w:pPr>
        <w:spacing w:line="254" w:lineRule="auto" w:before="133"/>
        <w:ind w:left="2834" w:right="1810" w:firstLine="0"/>
        <w:jc w:val="left"/>
        <w:rPr>
          <w:sz w:val="20"/>
        </w:rPr>
      </w:pPr>
      <w:r>
        <w:rPr>
          <w:sz w:val="20"/>
        </w:rPr>
        <w:t>When I conduct inspections of properties after a hearing it is </w:t>
      </w:r>
      <w:r>
        <w:rPr>
          <w:spacing w:val="-3"/>
          <w:sz w:val="20"/>
        </w:rPr>
        <w:t>surprising </w:t>
      </w:r>
      <w:r>
        <w:rPr>
          <w:sz w:val="20"/>
        </w:rPr>
        <w:t>how often the person letting me </w:t>
      </w:r>
      <w:r>
        <w:rPr>
          <w:spacing w:val="-3"/>
          <w:sz w:val="20"/>
        </w:rPr>
        <w:t>onto </w:t>
      </w:r>
      <w:r>
        <w:rPr>
          <w:sz w:val="20"/>
        </w:rPr>
        <w:t>the property says words to the effect of ‘thank </w:t>
      </w:r>
      <w:r>
        <w:rPr>
          <w:spacing w:val="-3"/>
          <w:sz w:val="20"/>
        </w:rPr>
        <w:t>you,  </w:t>
      </w:r>
      <w:r>
        <w:rPr>
          <w:sz w:val="20"/>
        </w:rPr>
        <w:t>you are the  first person to come and </w:t>
      </w:r>
      <w:r>
        <w:rPr>
          <w:spacing w:val="-3"/>
          <w:sz w:val="20"/>
        </w:rPr>
        <w:t>have </w:t>
      </w:r>
      <w:r>
        <w:rPr>
          <w:sz w:val="20"/>
        </w:rPr>
        <w:t>a </w:t>
      </w:r>
      <w:r>
        <w:rPr>
          <w:spacing w:val="-4"/>
          <w:sz w:val="20"/>
        </w:rPr>
        <w:t>look’. </w:t>
      </w:r>
      <w:r>
        <w:rPr>
          <w:sz w:val="20"/>
        </w:rPr>
        <w:t>The benefit of a site inspection cannot and should  not</w:t>
      </w:r>
      <w:r>
        <w:rPr>
          <w:spacing w:val="13"/>
          <w:sz w:val="20"/>
        </w:rPr>
        <w:t> </w:t>
      </w:r>
      <w:r>
        <w:rPr>
          <w:sz w:val="20"/>
        </w:rPr>
        <w:t>be</w:t>
      </w:r>
      <w:r>
        <w:rPr>
          <w:spacing w:val="14"/>
          <w:sz w:val="20"/>
        </w:rPr>
        <w:t> </w:t>
      </w:r>
      <w:r>
        <w:rPr>
          <w:sz w:val="20"/>
        </w:rPr>
        <w:t>underestimated.</w:t>
      </w:r>
      <w:r>
        <w:rPr>
          <w:spacing w:val="14"/>
          <w:sz w:val="20"/>
        </w:rPr>
        <w:t> </w:t>
      </w:r>
      <w:r>
        <w:rPr>
          <w:sz w:val="20"/>
        </w:rPr>
        <w:t>It</w:t>
      </w:r>
      <w:r>
        <w:rPr>
          <w:spacing w:val="14"/>
          <w:sz w:val="20"/>
        </w:rPr>
        <w:t> </w:t>
      </w:r>
      <w:r>
        <w:rPr>
          <w:sz w:val="20"/>
        </w:rPr>
        <w:t>has</w:t>
      </w:r>
      <w:r>
        <w:rPr>
          <w:spacing w:val="14"/>
          <w:sz w:val="20"/>
        </w:rPr>
        <w:t> </w:t>
      </w:r>
      <w:r>
        <w:rPr>
          <w:sz w:val="20"/>
        </w:rPr>
        <w:t>been</w:t>
      </w:r>
      <w:r>
        <w:rPr>
          <w:spacing w:val="14"/>
          <w:sz w:val="20"/>
        </w:rPr>
        <w:t> </w:t>
      </w:r>
      <w:r>
        <w:rPr>
          <w:sz w:val="20"/>
        </w:rPr>
        <w:t>said</w:t>
      </w:r>
      <w:r>
        <w:rPr>
          <w:spacing w:val="14"/>
          <w:sz w:val="20"/>
        </w:rPr>
        <w:t> </w:t>
      </w:r>
      <w:r>
        <w:rPr>
          <w:sz w:val="20"/>
        </w:rPr>
        <w:t>to</w:t>
      </w:r>
      <w:r>
        <w:rPr>
          <w:spacing w:val="14"/>
          <w:sz w:val="20"/>
        </w:rPr>
        <w:t> </w:t>
      </w:r>
      <w:r>
        <w:rPr>
          <w:sz w:val="20"/>
        </w:rPr>
        <w:t>me</w:t>
      </w:r>
      <w:r>
        <w:rPr>
          <w:spacing w:val="14"/>
          <w:sz w:val="20"/>
        </w:rPr>
        <w:t> </w:t>
      </w:r>
      <w:r>
        <w:rPr>
          <w:sz w:val="20"/>
        </w:rPr>
        <w:t>in</w:t>
      </w:r>
      <w:r>
        <w:rPr>
          <w:spacing w:val="14"/>
          <w:sz w:val="20"/>
        </w:rPr>
        <w:t> </w:t>
      </w:r>
      <w:r>
        <w:rPr>
          <w:sz w:val="20"/>
        </w:rPr>
        <w:t>other</w:t>
      </w:r>
      <w:r>
        <w:rPr>
          <w:spacing w:val="14"/>
          <w:sz w:val="20"/>
        </w:rPr>
        <w:t> </w:t>
      </w:r>
      <w:r>
        <w:rPr>
          <w:sz w:val="20"/>
        </w:rPr>
        <w:t>hearings</w:t>
      </w:r>
      <w:r>
        <w:rPr>
          <w:spacing w:val="14"/>
          <w:sz w:val="20"/>
        </w:rPr>
        <w:t> </w:t>
      </w:r>
      <w:r>
        <w:rPr>
          <w:sz w:val="20"/>
        </w:rPr>
        <w:t>that</w:t>
      </w:r>
      <w:r>
        <w:rPr>
          <w:spacing w:val="14"/>
          <w:sz w:val="20"/>
        </w:rPr>
        <w:t> </w:t>
      </w:r>
      <w:r>
        <w:rPr>
          <w:spacing w:val="-4"/>
          <w:sz w:val="20"/>
        </w:rPr>
        <w:t>Council</w:t>
      </w:r>
      <w:r>
        <w:rPr>
          <w:spacing w:val="14"/>
          <w:sz w:val="20"/>
        </w:rPr>
        <w:t> </w:t>
      </w:r>
      <w:r>
        <w:rPr>
          <w:sz w:val="20"/>
        </w:rPr>
        <w:t>officers</w:t>
      </w:r>
    </w:p>
    <w:p>
      <w:pPr>
        <w:spacing w:line="254" w:lineRule="auto" w:before="5"/>
        <w:ind w:left="2834" w:right="1521" w:firstLine="0"/>
        <w:jc w:val="left"/>
        <w:rPr>
          <w:sz w:val="11"/>
        </w:rPr>
      </w:pPr>
      <w:r>
        <w:rPr>
          <w:w w:val="105"/>
          <w:sz w:val="20"/>
        </w:rPr>
        <w:t>do not </w:t>
      </w:r>
      <w:r>
        <w:rPr>
          <w:spacing w:val="-3"/>
          <w:w w:val="105"/>
          <w:sz w:val="20"/>
        </w:rPr>
        <w:t>have </w:t>
      </w:r>
      <w:r>
        <w:rPr>
          <w:w w:val="105"/>
          <w:sz w:val="20"/>
        </w:rPr>
        <w:t>time to undertake inspections. Expert witnesses sometimes say they </w:t>
      </w:r>
      <w:r>
        <w:rPr>
          <w:spacing w:val="-3"/>
          <w:w w:val="105"/>
          <w:sz w:val="20"/>
        </w:rPr>
        <w:t>have </w:t>
      </w:r>
      <w:r>
        <w:rPr>
          <w:w w:val="105"/>
          <w:sz w:val="20"/>
        </w:rPr>
        <w:t>inspected</w:t>
      </w:r>
      <w:r>
        <w:rPr>
          <w:spacing w:val="-9"/>
          <w:w w:val="105"/>
          <w:sz w:val="20"/>
        </w:rPr>
        <w:t> </w:t>
      </w:r>
      <w:r>
        <w:rPr>
          <w:w w:val="105"/>
          <w:sz w:val="20"/>
        </w:rPr>
        <w:t>the</w:t>
      </w:r>
      <w:r>
        <w:rPr>
          <w:spacing w:val="-9"/>
          <w:w w:val="105"/>
          <w:sz w:val="20"/>
        </w:rPr>
        <w:t> </w:t>
      </w:r>
      <w:r>
        <w:rPr>
          <w:w w:val="105"/>
          <w:sz w:val="20"/>
        </w:rPr>
        <w:t>site</w:t>
      </w:r>
      <w:r>
        <w:rPr>
          <w:spacing w:val="-9"/>
          <w:w w:val="105"/>
          <w:sz w:val="20"/>
        </w:rPr>
        <w:t> </w:t>
      </w:r>
      <w:r>
        <w:rPr>
          <w:w w:val="105"/>
          <w:sz w:val="20"/>
        </w:rPr>
        <w:t>but</w:t>
      </w:r>
      <w:r>
        <w:rPr>
          <w:spacing w:val="-8"/>
          <w:w w:val="105"/>
          <w:sz w:val="20"/>
        </w:rPr>
        <w:t> </w:t>
      </w:r>
      <w:r>
        <w:rPr>
          <w:w w:val="105"/>
          <w:sz w:val="20"/>
        </w:rPr>
        <w:t>in</w:t>
      </w:r>
      <w:r>
        <w:rPr>
          <w:spacing w:val="-9"/>
          <w:w w:val="105"/>
          <w:sz w:val="20"/>
        </w:rPr>
        <w:t> </w:t>
      </w:r>
      <w:r>
        <w:rPr>
          <w:w w:val="105"/>
          <w:sz w:val="20"/>
        </w:rPr>
        <w:t>reality</w:t>
      </w:r>
      <w:r>
        <w:rPr>
          <w:spacing w:val="-9"/>
          <w:w w:val="105"/>
          <w:sz w:val="20"/>
        </w:rPr>
        <w:t> </w:t>
      </w:r>
      <w:r>
        <w:rPr>
          <w:w w:val="105"/>
          <w:sz w:val="20"/>
        </w:rPr>
        <w:t>it</w:t>
      </w:r>
      <w:r>
        <w:rPr>
          <w:spacing w:val="-9"/>
          <w:w w:val="105"/>
          <w:sz w:val="20"/>
        </w:rPr>
        <w:t> </w:t>
      </w:r>
      <w:r>
        <w:rPr>
          <w:w w:val="105"/>
          <w:sz w:val="20"/>
        </w:rPr>
        <w:t>is</w:t>
      </w:r>
      <w:r>
        <w:rPr>
          <w:spacing w:val="-8"/>
          <w:w w:val="105"/>
          <w:sz w:val="20"/>
        </w:rPr>
        <w:t> </w:t>
      </w:r>
      <w:r>
        <w:rPr>
          <w:w w:val="105"/>
          <w:sz w:val="20"/>
        </w:rPr>
        <w:t>a</w:t>
      </w:r>
      <w:r>
        <w:rPr>
          <w:spacing w:val="-9"/>
          <w:w w:val="105"/>
          <w:sz w:val="20"/>
        </w:rPr>
        <w:t> </w:t>
      </w:r>
      <w:r>
        <w:rPr>
          <w:w w:val="105"/>
          <w:sz w:val="20"/>
        </w:rPr>
        <w:t>streetscape</w:t>
      </w:r>
      <w:r>
        <w:rPr>
          <w:spacing w:val="-9"/>
          <w:w w:val="105"/>
          <w:sz w:val="20"/>
        </w:rPr>
        <w:t> </w:t>
      </w:r>
      <w:r>
        <w:rPr>
          <w:w w:val="105"/>
          <w:sz w:val="20"/>
        </w:rPr>
        <w:t>inspection</w:t>
      </w:r>
      <w:r>
        <w:rPr>
          <w:spacing w:val="-9"/>
          <w:w w:val="105"/>
          <w:sz w:val="20"/>
        </w:rPr>
        <w:t> </w:t>
      </w:r>
      <w:r>
        <w:rPr>
          <w:w w:val="105"/>
          <w:sz w:val="20"/>
        </w:rPr>
        <w:t>only</w:t>
      </w:r>
      <w:r>
        <w:rPr>
          <w:spacing w:val="-8"/>
          <w:w w:val="105"/>
          <w:sz w:val="20"/>
        </w:rPr>
        <w:t> </w:t>
      </w:r>
      <w:r>
        <w:rPr>
          <w:w w:val="105"/>
          <w:sz w:val="20"/>
        </w:rPr>
        <w:t>and</w:t>
      </w:r>
      <w:r>
        <w:rPr>
          <w:spacing w:val="-9"/>
          <w:w w:val="105"/>
          <w:sz w:val="20"/>
        </w:rPr>
        <w:t> </w:t>
      </w:r>
      <w:r>
        <w:rPr>
          <w:w w:val="105"/>
          <w:sz w:val="20"/>
        </w:rPr>
        <w:t>not</w:t>
      </w:r>
      <w:r>
        <w:rPr>
          <w:spacing w:val="-9"/>
          <w:w w:val="105"/>
          <w:sz w:val="20"/>
        </w:rPr>
        <w:t> </w:t>
      </w:r>
      <w:r>
        <w:rPr>
          <w:w w:val="105"/>
          <w:sz w:val="20"/>
        </w:rPr>
        <w:t>an</w:t>
      </w:r>
      <w:r>
        <w:rPr>
          <w:spacing w:val="-9"/>
          <w:w w:val="105"/>
          <w:sz w:val="20"/>
        </w:rPr>
        <w:t> </w:t>
      </w:r>
      <w:r>
        <w:rPr>
          <w:w w:val="105"/>
          <w:sz w:val="20"/>
        </w:rPr>
        <w:t>inspection</w:t>
      </w:r>
      <w:r>
        <w:rPr>
          <w:spacing w:val="-8"/>
          <w:w w:val="105"/>
          <w:sz w:val="20"/>
        </w:rPr>
        <w:t> </w:t>
      </w:r>
      <w:r>
        <w:rPr>
          <w:w w:val="105"/>
          <w:sz w:val="20"/>
        </w:rPr>
        <w:t>of the whole of the </w:t>
      </w:r>
      <w:r>
        <w:rPr>
          <w:spacing w:val="-3"/>
          <w:w w:val="105"/>
          <w:sz w:val="20"/>
        </w:rPr>
        <w:t>site. </w:t>
      </w:r>
      <w:r>
        <w:rPr>
          <w:w w:val="105"/>
          <w:sz w:val="20"/>
        </w:rPr>
        <w:t>Often these approaches are just not good enough </w:t>
      </w:r>
      <w:r>
        <w:rPr>
          <w:w w:val="115"/>
          <w:sz w:val="20"/>
        </w:rPr>
        <w:t>… </w:t>
      </w:r>
      <w:r>
        <w:rPr>
          <w:w w:val="105"/>
          <w:sz w:val="20"/>
        </w:rPr>
        <w:t>in a case such as this one, where there are narrow properties; neighbours saying their amenity is being unreasonably</w:t>
      </w:r>
      <w:r>
        <w:rPr>
          <w:spacing w:val="-16"/>
          <w:w w:val="105"/>
          <w:sz w:val="20"/>
        </w:rPr>
        <w:t> </w:t>
      </w:r>
      <w:r>
        <w:rPr>
          <w:w w:val="105"/>
          <w:sz w:val="20"/>
        </w:rPr>
        <w:t>impacted;</w:t>
      </w:r>
      <w:r>
        <w:rPr>
          <w:spacing w:val="-16"/>
          <w:w w:val="105"/>
          <w:sz w:val="20"/>
        </w:rPr>
        <w:t> </w:t>
      </w:r>
      <w:r>
        <w:rPr>
          <w:w w:val="105"/>
          <w:sz w:val="20"/>
        </w:rPr>
        <w:t>and</w:t>
      </w:r>
      <w:r>
        <w:rPr>
          <w:spacing w:val="-16"/>
          <w:w w:val="105"/>
          <w:sz w:val="20"/>
        </w:rPr>
        <w:t> </w:t>
      </w:r>
      <w:r>
        <w:rPr>
          <w:w w:val="105"/>
          <w:sz w:val="20"/>
        </w:rPr>
        <w:t>the</w:t>
      </w:r>
      <w:r>
        <w:rPr>
          <w:spacing w:val="-16"/>
          <w:w w:val="105"/>
          <w:sz w:val="20"/>
        </w:rPr>
        <w:t> </w:t>
      </w:r>
      <w:r>
        <w:rPr>
          <w:w w:val="105"/>
          <w:sz w:val="20"/>
        </w:rPr>
        <w:t>rear/back</w:t>
      </w:r>
      <w:r>
        <w:rPr>
          <w:spacing w:val="-15"/>
          <w:w w:val="105"/>
          <w:sz w:val="20"/>
        </w:rPr>
        <w:t> </w:t>
      </w:r>
      <w:r>
        <w:rPr>
          <w:w w:val="105"/>
          <w:sz w:val="20"/>
        </w:rPr>
        <w:t>gardens</w:t>
      </w:r>
      <w:r>
        <w:rPr>
          <w:spacing w:val="-16"/>
          <w:w w:val="105"/>
          <w:sz w:val="20"/>
        </w:rPr>
        <w:t> </w:t>
      </w:r>
      <w:r>
        <w:rPr>
          <w:w w:val="105"/>
          <w:sz w:val="20"/>
        </w:rPr>
        <w:t>of</w:t>
      </w:r>
      <w:r>
        <w:rPr>
          <w:spacing w:val="-16"/>
          <w:w w:val="105"/>
          <w:sz w:val="20"/>
        </w:rPr>
        <w:t> </w:t>
      </w:r>
      <w:r>
        <w:rPr>
          <w:w w:val="105"/>
          <w:sz w:val="20"/>
        </w:rPr>
        <w:t>the</w:t>
      </w:r>
      <w:r>
        <w:rPr>
          <w:spacing w:val="-16"/>
          <w:w w:val="105"/>
          <w:sz w:val="20"/>
        </w:rPr>
        <w:t> </w:t>
      </w:r>
      <w:r>
        <w:rPr>
          <w:w w:val="105"/>
          <w:sz w:val="20"/>
        </w:rPr>
        <w:t>properties</w:t>
      </w:r>
      <w:r>
        <w:rPr>
          <w:spacing w:val="-16"/>
          <w:w w:val="105"/>
          <w:sz w:val="20"/>
        </w:rPr>
        <w:t> </w:t>
      </w:r>
      <w:r>
        <w:rPr>
          <w:w w:val="105"/>
          <w:sz w:val="20"/>
        </w:rPr>
        <w:t>are</w:t>
      </w:r>
      <w:r>
        <w:rPr>
          <w:spacing w:val="-15"/>
          <w:w w:val="105"/>
          <w:sz w:val="20"/>
        </w:rPr>
        <w:t> </w:t>
      </w:r>
      <w:r>
        <w:rPr>
          <w:w w:val="105"/>
          <w:sz w:val="20"/>
        </w:rPr>
        <w:t>not</w:t>
      </w:r>
      <w:r>
        <w:rPr>
          <w:spacing w:val="-16"/>
          <w:w w:val="105"/>
          <w:sz w:val="20"/>
        </w:rPr>
        <w:t> </w:t>
      </w:r>
      <w:r>
        <w:rPr>
          <w:w w:val="105"/>
          <w:sz w:val="20"/>
        </w:rPr>
        <w:t>clearly</w:t>
      </w:r>
      <w:r>
        <w:rPr>
          <w:spacing w:val="-16"/>
          <w:w w:val="105"/>
          <w:sz w:val="20"/>
        </w:rPr>
        <w:t> </w:t>
      </w:r>
      <w:r>
        <w:rPr>
          <w:w w:val="105"/>
          <w:sz w:val="20"/>
        </w:rPr>
        <w:t>visible from the street boundaries, the veracity of the opinions and decision making becomes questionable in the absence of an</w:t>
      </w:r>
      <w:r>
        <w:rPr>
          <w:spacing w:val="27"/>
          <w:w w:val="105"/>
          <w:sz w:val="20"/>
        </w:rPr>
        <w:t> </w:t>
      </w:r>
      <w:r>
        <w:rPr>
          <w:w w:val="105"/>
          <w:sz w:val="20"/>
        </w:rPr>
        <w:t>inspection.</w:t>
      </w:r>
      <w:r>
        <w:rPr>
          <w:w w:val="105"/>
          <w:position w:val="7"/>
          <w:sz w:val="11"/>
        </w:rPr>
        <w:t>289</w:t>
      </w:r>
    </w:p>
    <w:p>
      <w:pPr>
        <w:pStyle w:val="ListParagraph"/>
        <w:numPr>
          <w:ilvl w:val="1"/>
          <w:numId w:val="114"/>
        </w:numPr>
        <w:tabs>
          <w:tab w:pos="2381" w:val="left" w:leader="none"/>
          <w:tab w:pos="2382" w:val="left" w:leader="none"/>
        </w:tabs>
        <w:spacing w:line="242" w:lineRule="auto" w:before="119" w:after="0"/>
        <w:ind w:left="2381" w:right="1576" w:hanging="794"/>
        <w:jc w:val="left"/>
        <w:rPr>
          <w:sz w:val="21"/>
        </w:rPr>
      </w:pPr>
      <w:r>
        <w:rPr>
          <w:spacing w:val="-3"/>
          <w:w w:val="105"/>
          <w:sz w:val="21"/>
        </w:rPr>
        <w:t>The </w:t>
      </w:r>
      <w:r>
        <w:rPr>
          <w:spacing w:val="-6"/>
          <w:w w:val="105"/>
          <w:sz w:val="21"/>
        </w:rPr>
        <w:t>Commission </w:t>
      </w:r>
      <w:r>
        <w:rPr>
          <w:spacing w:val="-3"/>
          <w:w w:val="105"/>
          <w:sz w:val="21"/>
        </w:rPr>
        <w:t>is </w:t>
      </w:r>
      <w:r>
        <w:rPr>
          <w:spacing w:val="-5"/>
          <w:w w:val="105"/>
          <w:sz w:val="21"/>
        </w:rPr>
        <w:t>persuaded </w:t>
      </w:r>
      <w:r>
        <w:rPr>
          <w:spacing w:val="-4"/>
          <w:w w:val="105"/>
          <w:sz w:val="21"/>
        </w:rPr>
        <w:t>by the </w:t>
      </w:r>
      <w:r>
        <w:rPr>
          <w:spacing w:val="-5"/>
          <w:w w:val="105"/>
          <w:sz w:val="21"/>
        </w:rPr>
        <w:t>advice </w:t>
      </w:r>
      <w:r>
        <w:rPr>
          <w:spacing w:val="-4"/>
          <w:w w:val="105"/>
          <w:sz w:val="21"/>
        </w:rPr>
        <w:t>of the NSWLEC and </w:t>
      </w:r>
      <w:r>
        <w:rPr>
          <w:spacing w:val="-6"/>
          <w:w w:val="105"/>
          <w:sz w:val="21"/>
        </w:rPr>
        <w:t>QCAT </w:t>
      </w:r>
      <w:r>
        <w:rPr>
          <w:spacing w:val="-4"/>
          <w:w w:val="105"/>
          <w:sz w:val="21"/>
        </w:rPr>
        <w:t>about the </w:t>
      </w:r>
      <w:r>
        <w:rPr>
          <w:spacing w:val="-5"/>
          <w:w w:val="105"/>
          <w:sz w:val="21"/>
        </w:rPr>
        <w:t>importance </w:t>
      </w:r>
      <w:r>
        <w:rPr>
          <w:spacing w:val="-3"/>
          <w:w w:val="105"/>
          <w:sz w:val="21"/>
        </w:rPr>
        <w:t>of </w:t>
      </w:r>
      <w:r>
        <w:rPr>
          <w:spacing w:val="-4"/>
          <w:w w:val="105"/>
          <w:sz w:val="21"/>
        </w:rPr>
        <w:t>inspecting </w:t>
      </w:r>
      <w:r>
        <w:rPr>
          <w:w w:val="105"/>
          <w:sz w:val="21"/>
        </w:rPr>
        <w:t>a </w:t>
      </w:r>
      <w:r>
        <w:rPr>
          <w:spacing w:val="-5"/>
          <w:w w:val="105"/>
          <w:sz w:val="21"/>
        </w:rPr>
        <w:t>tree, </w:t>
      </w:r>
      <w:r>
        <w:rPr>
          <w:spacing w:val="-4"/>
          <w:w w:val="105"/>
          <w:sz w:val="21"/>
        </w:rPr>
        <w:t>either </w:t>
      </w:r>
      <w:r>
        <w:rPr>
          <w:spacing w:val="-3"/>
          <w:w w:val="105"/>
          <w:sz w:val="21"/>
        </w:rPr>
        <w:t>via </w:t>
      </w:r>
      <w:r>
        <w:rPr>
          <w:spacing w:val="-4"/>
          <w:w w:val="105"/>
          <w:sz w:val="21"/>
        </w:rPr>
        <w:t>on-site </w:t>
      </w:r>
      <w:r>
        <w:rPr>
          <w:spacing w:val="-5"/>
          <w:w w:val="105"/>
          <w:sz w:val="21"/>
        </w:rPr>
        <w:t>hearings </w:t>
      </w:r>
      <w:r>
        <w:rPr>
          <w:w w:val="105"/>
          <w:sz w:val="21"/>
        </w:rPr>
        <w:t>or </w:t>
      </w:r>
      <w:r>
        <w:rPr>
          <w:spacing w:val="-4"/>
          <w:w w:val="105"/>
          <w:sz w:val="21"/>
        </w:rPr>
        <w:t>inspections </w:t>
      </w:r>
      <w:r>
        <w:rPr>
          <w:spacing w:val="-3"/>
          <w:w w:val="105"/>
          <w:sz w:val="21"/>
        </w:rPr>
        <w:t>by </w:t>
      </w:r>
      <w:r>
        <w:rPr>
          <w:spacing w:val="-4"/>
          <w:w w:val="105"/>
          <w:sz w:val="21"/>
        </w:rPr>
        <w:t>tree </w:t>
      </w:r>
      <w:r>
        <w:rPr>
          <w:spacing w:val="-3"/>
          <w:w w:val="105"/>
          <w:sz w:val="21"/>
        </w:rPr>
        <w:t>assessors, </w:t>
      </w:r>
      <w:r>
        <w:rPr>
          <w:spacing w:val="-4"/>
          <w:w w:val="105"/>
          <w:sz w:val="21"/>
        </w:rPr>
        <w:t>and</w:t>
      </w:r>
      <w:r>
        <w:rPr>
          <w:spacing w:val="-12"/>
          <w:w w:val="105"/>
          <w:sz w:val="21"/>
        </w:rPr>
        <w:t> </w:t>
      </w:r>
      <w:r>
        <w:rPr>
          <w:spacing w:val="-3"/>
          <w:w w:val="105"/>
          <w:sz w:val="21"/>
        </w:rPr>
        <w:t>how</w:t>
      </w:r>
    </w:p>
    <w:p>
      <w:pPr>
        <w:pStyle w:val="BodyText"/>
        <w:spacing w:line="242" w:lineRule="auto" w:before="2"/>
        <w:ind w:left="2381" w:right="1852"/>
      </w:pPr>
      <w:r>
        <w:rPr>
          <w:spacing w:val="-4"/>
          <w:w w:val="105"/>
        </w:rPr>
        <w:t>this </w:t>
      </w:r>
      <w:r>
        <w:rPr>
          <w:spacing w:val="-5"/>
          <w:w w:val="105"/>
        </w:rPr>
        <w:t>feature </w:t>
      </w:r>
      <w:r>
        <w:rPr>
          <w:spacing w:val="-3"/>
          <w:w w:val="105"/>
        </w:rPr>
        <w:t>is </w:t>
      </w:r>
      <w:r>
        <w:rPr>
          <w:spacing w:val="-4"/>
          <w:w w:val="105"/>
        </w:rPr>
        <w:t>critical to </w:t>
      </w:r>
      <w:r>
        <w:rPr>
          <w:spacing w:val="-3"/>
          <w:w w:val="105"/>
        </w:rPr>
        <w:t>the </w:t>
      </w:r>
      <w:r>
        <w:rPr>
          <w:spacing w:val="-4"/>
          <w:w w:val="105"/>
        </w:rPr>
        <w:t>success </w:t>
      </w:r>
      <w:r>
        <w:rPr>
          <w:spacing w:val="-3"/>
          <w:w w:val="105"/>
        </w:rPr>
        <w:t>of these </w:t>
      </w:r>
      <w:r>
        <w:rPr>
          <w:spacing w:val="-4"/>
          <w:w w:val="105"/>
        </w:rPr>
        <w:t>interstate schemes. </w:t>
      </w:r>
      <w:r>
        <w:rPr>
          <w:spacing w:val="-2"/>
          <w:w w:val="105"/>
        </w:rPr>
        <w:t>The </w:t>
      </w:r>
      <w:r>
        <w:rPr>
          <w:spacing w:val="-3"/>
          <w:w w:val="105"/>
        </w:rPr>
        <w:t>NSWLEC </w:t>
      </w:r>
      <w:r>
        <w:rPr>
          <w:spacing w:val="-4"/>
          <w:w w:val="105"/>
        </w:rPr>
        <w:t>noted that </w:t>
      </w:r>
      <w:r>
        <w:rPr>
          <w:spacing w:val="-3"/>
          <w:w w:val="105"/>
        </w:rPr>
        <w:t>an </w:t>
      </w:r>
      <w:r>
        <w:rPr>
          <w:spacing w:val="-4"/>
          <w:w w:val="105"/>
        </w:rPr>
        <w:t>on-site </w:t>
      </w:r>
      <w:r>
        <w:rPr>
          <w:spacing w:val="-5"/>
          <w:w w:val="105"/>
        </w:rPr>
        <w:t>hearing </w:t>
      </w:r>
      <w:r>
        <w:rPr>
          <w:spacing w:val="-4"/>
          <w:w w:val="105"/>
        </w:rPr>
        <w:t>provides </w:t>
      </w:r>
      <w:r>
        <w:rPr>
          <w:spacing w:val="-3"/>
          <w:w w:val="105"/>
        </w:rPr>
        <w:t>the </w:t>
      </w:r>
      <w:r>
        <w:rPr>
          <w:spacing w:val="-4"/>
          <w:w w:val="105"/>
        </w:rPr>
        <w:t>decision </w:t>
      </w:r>
      <w:r>
        <w:rPr>
          <w:spacing w:val="-5"/>
          <w:w w:val="105"/>
        </w:rPr>
        <w:t>maker </w:t>
      </w:r>
      <w:r>
        <w:rPr>
          <w:spacing w:val="-3"/>
          <w:w w:val="105"/>
        </w:rPr>
        <w:t>with the </w:t>
      </w:r>
      <w:r>
        <w:rPr>
          <w:spacing w:val="-6"/>
          <w:w w:val="105"/>
        </w:rPr>
        <w:t>‘complete </w:t>
      </w:r>
      <w:r>
        <w:rPr>
          <w:spacing w:val="-4"/>
          <w:w w:val="105"/>
        </w:rPr>
        <w:t>picture’ </w:t>
      </w:r>
      <w:r>
        <w:rPr>
          <w:spacing w:val="-3"/>
          <w:w w:val="105"/>
        </w:rPr>
        <w:t>of the </w:t>
      </w:r>
      <w:r>
        <w:rPr>
          <w:spacing w:val="-4"/>
          <w:w w:val="105"/>
        </w:rPr>
        <w:t>tree and </w:t>
      </w:r>
      <w:r>
        <w:rPr>
          <w:spacing w:val="-3"/>
          <w:w w:val="105"/>
        </w:rPr>
        <w:t>the </w:t>
      </w:r>
      <w:r>
        <w:rPr>
          <w:spacing w:val="-5"/>
          <w:w w:val="105"/>
        </w:rPr>
        <w:t>dispute </w:t>
      </w:r>
      <w:r>
        <w:rPr>
          <w:spacing w:val="-4"/>
          <w:w w:val="105"/>
        </w:rPr>
        <w:t>and enables </w:t>
      </w:r>
      <w:r>
        <w:rPr>
          <w:spacing w:val="-3"/>
          <w:w w:val="105"/>
        </w:rPr>
        <w:t>the most efficient </w:t>
      </w:r>
      <w:r>
        <w:rPr>
          <w:spacing w:val="-4"/>
          <w:w w:val="105"/>
        </w:rPr>
        <w:t>and practical resolution. </w:t>
      </w:r>
      <w:r>
        <w:rPr>
          <w:spacing w:val="-2"/>
          <w:w w:val="105"/>
        </w:rPr>
        <w:t>The </w:t>
      </w:r>
      <w:r>
        <w:rPr>
          <w:spacing w:val="-4"/>
          <w:w w:val="105"/>
        </w:rPr>
        <w:t>Court </w:t>
      </w:r>
      <w:r>
        <w:rPr>
          <w:spacing w:val="-3"/>
          <w:w w:val="105"/>
        </w:rPr>
        <w:t>stated </w:t>
      </w:r>
      <w:r>
        <w:rPr>
          <w:spacing w:val="-4"/>
          <w:w w:val="105"/>
        </w:rPr>
        <w:t>that </w:t>
      </w:r>
      <w:r>
        <w:rPr>
          <w:spacing w:val="-3"/>
          <w:w w:val="105"/>
        </w:rPr>
        <w:t>the </w:t>
      </w:r>
      <w:r>
        <w:rPr>
          <w:spacing w:val="-5"/>
          <w:w w:val="105"/>
        </w:rPr>
        <w:t>hearing </w:t>
      </w:r>
      <w:r>
        <w:rPr>
          <w:spacing w:val="-4"/>
          <w:w w:val="105"/>
        </w:rPr>
        <w:t>process would not </w:t>
      </w:r>
      <w:r>
        <w:rPr>
          <w:w w:val="105"/>
        </w:rPr>
        <w:t>be as </w:t>
      </w:r>
      <w:r>
        <w:rPr>
          <w:spacing w:val="-5"/>
          <w:w w:val="105"/>
        </w:rPr>
        <w:t>successful </w:t>
      </w:r>
      <w:r>
        <w:rPr>
          <w:spacing w:val="-3"/>
          <w:w w:val="105"/>
        </w:rPr>
        <w:t>if </w:t>
      </w:r>
      <w:r>
        <w:rPr>
          <w:spacing w:val="-4"/>
          <w:w w:val="105"/>
        </w:rPr>
        <w:t>decisions were </w:t>
      </w:r>
      <w:r>
        <w:rPr>
          <w:spacing w:val="-3"/>
          <w:w w:val="105"/>
        </w:rPr>
        <w:t>made </w:t>
      </w:r>
      <w:r>
        <w:rPr>
          <w:w w:val="105"/>
        </w:rPr>
        <w:t>on </w:t>
      </w:r>
      <w:r>
        <w:rPr>
          <w:spacing w:val="-3"/>
          <w:w w:val="105"/>
        </w:rPr>
        <w:t>the </w:t>
      </w:r>
      <w:r>
        <w:rPr>
          <w:spacing w:val="-4"/>
          <w:w w:val="105"/>
        </w:rPr>
        <w:t>basis </w:t>
      </w:r>
      <w:r>
        <w:rPr>
          <w:spacing w:val="-3"/>
          <w:w w:val="105"/>
        </w:rPr>
        <w:t>of </w:t>
      </w:r>
      <w:r>
        <w:rPr>
          <w:spacing w:val="-4"/>
          <w:w w:val="105"/>
        </w:rPr>
        <w:t>descriptions, </w:t>
      </w:r>
      <w:r>
        <w:rPr>
          <w:spacing w:val="-3"/>
          <w:w w:val="105"/>
        </w:rPr>
        <w:t>reports, </w:t>
      </w:r>
      <w:r>
        <w:rPr>
          <w:spacing w:val="-5"/>
          <w:w w:val="105"/>
        </w:rPr>
        <w:t>photographs </w:t>
      </w:r>
      <w:r>
        <w:rPr>
          <w:spacing w:val="-4"/>
          <w:w w:val="105"/>
        </w:rPr>
        <w:t>and </w:t>
      </w:r>
      <w:r>
        <w:rPr>
          <w:spacing w:val="-5"/>
          <w:w w:val="105"/>
        </w:rPr>
        <w:t>drawings alone. </w:t>
      </w:r>
      <w:r>
        <w:rPr>
          <w:spacing w:val="-2"/>
          <w:w w:val="105"/>
        </w:rPr>
        <w:t>The </w:t>
      </w:r>
      <w:r>
        <w:rPr>
          <w:spacing w:val="-4"/>
          <w:w w:val="105"/>
        </w:rPr>
        <w:t>Court noted that nearly</w:t>
      </w:r>
      <w:r>
        <w:rPr>
          <w:spacing w:val="13"/>
          <w:w w:val="105"/>
        </w:rPr>
        <w:t> </w:t>
      </w:r>
      <w:r>
        <w:rPr>
          <w:spacing w:val="-4"/>
          <w:w w:val="105"/>
        </w:rPr>
        <w:t>all</w:t>
      </w:r>
    </w:p>
    <w:p>
      <w:pPr>
        <w:pStyle w:val="BodyText"/>
        <w:spacing w:line="242" w:lineRule="auto" w:before="5"/>
        <w:ind w:left="2381" w:right="1636"/>
      </w:pPr>
      <w:r>
        <w:rPr>
          <w:spacing w:val="-4"/>
        </w:rPr>
        <w:t>tree disputes </w:t>
      </w:r>
      <w:r>
        <w:rPr>
          <w:spacing w:val="-3"/>
        </w:rPr>
        <w:t>can </w:t>
      </w:r>
      <w:r>
        <w:rPr/>
        <w:t>be </w:t>
      </w:r>
      <w:r>
        <w:rPr>
          <w:spacing w:val="-4"/>
        </w:rPr>
        <w:t>heard and determined </w:t>
      </w:r>
      <w:r>
        <w:rPr>
          <w:spacing w:val="-5"/>
        </w:rPr>
        <w:t>entirely </w:t>
      </w:r>
      <w:r>
        <w:rPr/>
        <w:t>on </w:t>
      </w:r>
      <w:r>
        <w:rPr>
          <w:spacing w:val="-4"/>
        </w:rPr>
        <w:t>site.</w:t>
      </w:r>
      <w:r>
        <w:rPr>
          <w:spacing w:val="-4"/>
          <w:position w:val="7"/>
          <w:sz w:val="12"/>
        </w:rPr>
        <w:t>290 </w:t>
      </w:r>
      <w:r>
        <w:rPr>
          <w:spacing w:val="-2"/>
        </w:rPr>
        <w:t>The </w:t>
      </w:r>
      <w:r>
        <w:rPr>
          <w:spacing w:val="-5"/>
        </w:rPr>
        <w:t>Commission </w:t>
      </w:r>
      <w:r>
        <w:rPr>
          <w:spacing w:val="-4"/>
        </w:rPr>
        <w:t>has also </w:t>
      </w:r>
      <w:r>
        <w:rPr>
          <w:spacing w:val="-3"/>
        </w:rPr>
        <w:t>been </w:t>
      </w:r>
      <w:r>
        <w:rPr>
          <w:spacing w:val="-4"/>
        </w:rPr>
        <w:t>guided </w:t>
      </w:r>
      <w:r>
        <w:rPr>
          <w:spacing w:val="-3"/>
        </w:rPr>
        <w:t>by </w:t>
      </w:r>
      <w:r>
        <w:rPr>
          <w:spacing w:val="-4"/>
        </w:rPr>
        <w:t>responses from </w:t>
      </w:r>
      <w:r>
        <w:rPr>
          <w:spacing w:val="-3"/>
        </w:rPr>
        <w:t>arborists </w:t>
      </w:r>
      <w:r>
        <w:rPr>
          <w:spacing w:val="-4"/>
        </w:rPr>
        <w:t>and </w:t>
      </w:r>
      <w:r>
        <w:rPr>
          <w:spacing w:val="-3"/>
        </w:rPr>
        <w:t>local </w:t>
      </w:r>
      <w:r>
        <w:rPr>
          <w:spacing w:val="-5"/>
        </w:rPr>
        <w:t>councils </w:t>
      </w:r>
      <w:r>
        <w:rPr>
          <w:spacing w:val="-4"/>
        </w:rPr>
        <w:t>which  suggested  that  inspection  </w:t>
      </w:r>
      <w:r>
        <w:rPr>
          <w:spacing w:val="-3"/>
        </w:rPr>
        <w:t>of  </w:t>
      </w:r>
      <w:r>
        <w:rPr/>
        <w:t>a </w:t>
      </w:r>
      <w:r>
        <w:rPr>
          <w:spacing w:val="-4"/>
        </w:rPr>
        <w:t>tree</w:t>
      </w:r>
      <w:r>
        <w:rPr>
          <w:spacing w:val="13"/>
        </w:rPr>
        <w:t> </w:t>
      </w:r>
      <w:r>
        <w:rPr>
          <w:spacing w:val="-3"/>
        </w:rPr>
        <w:t>in</w:t>
      </w:r>
      <w:r>
        <w:rPr>
          <w:spacing w:val="13"/>
        </w:rPr>
        <w:t> </w:t>
      </w:r>
      <w:r>
        <w:rPr/>
        <w:t>its</w:t>
      </w:r>
      <w:r>
        <w:rPr>
          <w:spacing w:val="13"/>
        </w:rPr>
        <w:t> </w:t>
      </w:r>
      <w:r>
        <w:rPr>
          <w:spacing w:val="-4"/>
        </w:rPr>
        <w:t>physical</w:t>
      </w:r>
      <w:r>
        <w:rPr>
          <w:spacing w:val="13"/>
        </w:rPr>
        <w:t> </w:t>
      </w:r>
      <w:r>
        <w:rPr>
          <w:spacing w:val="-4"/>
        </w:rPr>
        <w:t>context</w:t>
      </w:r>
      <w:r>
        <w:rPr>
          <w:spacing w:val="14"/>
        </w:rPr>
        <w:t> </w:t>
      </w:r>
      <w:r>
        <w:rPr>
          <w:spacing w:val="-3"/>
        </w:rPr>
        <w:t>is</w:t>
      </w:r>
      <w:r>
        <w:rPr>
          <w:spacing w:val="13"/>
        </w:rPr>
        <w:t> </w:t>
      </w:r>
      <w:r>
        <w:rPr>
          <w:spacing w:val="-4"/>
        </w:rPr>
        <w:t>often</w:t>
      </w:r>
      <w:r>
        <w:rPr>
          <w:spacing w:val="13"/>
        </w:rPr>
        <w:t> </w:t>
      </w:r>
      <w:r>
        <w:rPr>
          <w:spacing w:val="-3"/>
        </w:rPr>
        <w:t>necessary</w:t>
      </w:r>
      <w:r>
        <w:rPr>
          <w:spacing w:val="13"/>
        </w:rPr>
        <w:t> </w:t>
      </w:r>
      <w:r>
        <w:rPr>
          <w:spacing w:val="-4"/>
        </w:rPr>
        <w:t>for</w:t>
      </w:r>
      <w:r>
        <w:rPr>
          <w:spacing w:val="13"/>
        </w:rPr>
        <w:t> </w:t>
      </w:r>
      <w:r>
        <w:rPr/>
        <w:t>a</w:t>
      </w:r>
      <w:r>
        <w:rPr>
          <w:spacing w:val="14"/>
        </w:rPr>
        <w:t> </w:t>
      </w:r>
      <w:r>
        <w:rPr>
          <w:spacing w:val="-5"/>
        </w:rPr>
        <w:t>professional</w:t>
      </w:r>
      <w:r>
        <w:rPr>
          <w:spacing w:val="13"/>
        </w:rPr>
        <w:t> </w:t>
      </w:r>
      <w:r>
        <w:rPr>
          <w:spacing w:val="-5"/>
        </w:rPr>
        <w:t>arboricultural</w:t>
      </w:r>
      <w:r>
        <w:rPr>
          <w:spacing w:val="13"/>
        </w:rPr>
        <w:t> </w:t>
      </w:r>
      <w:r>
        <w:rPr>
          <w:spacing w:val="-4"/>
        </w:rPr>
        <w:t>assessment.</w:t>
      </w:r>
    </w:p>
    <w:p>
      <w:pPr>
        <w:pStyle w:val="BodyText"/>
        <w:spacing w:before="1"/>
        <w:rPr>
          <w:sz w:val="16"/>
        </w:rPr>
      </w:pPr>
      <w:r>
        <w:rPr/>
        <w:pict>
          <v:group style="position:absolute;margin-left:62.362202pt;margin-top:11.799814pt;width:479.1pt;height:83.4pt;mso-position-horizontal-relative:page;mso-position-vertical-relative:paragraph;z-index:7376;mso-wrap-distance-left:0;mso-wrap-distance-right:0" coordorigin="1247,236" coordsize="9582,1668">
            <v:rect style="position:absolute;left:1587;top:236;width:8731;height:1668" filled="true" fillcolor="#dbe0dd" stroked="false">
              <v:fill type="solid"/>
            </v:rect>
            <v:line style="position:absolute" from="1247,983" to="10828,983" stroked="true" strokeweight="2.5pt" strokecolor="#ffffff">
              <v:stroke dashstyle="solid"/>
            </v:line>
            <v:shape style="position:absolute;left:1587;top:1007;width:8731;height:896" type="#_x0000_t202" filled="true" fillcolor="#dbe0dd" stroked="false">
              <v:textbox inset="0,0,0,0">
                <w:txbxContent>
                  <w:p>
                    <w:pPr>
                      <w:tabs>
                        <w:tab w:pos="793" w:val="left" w:leader="none"/>
                      </w:tabs>
                      <w:spacing w:line="242" w:lineRule="auto" w:before="208"/>
                      <w:ind w:left="793" w:right="664" w:hanging="567"/>
                      <w:jc w:val="left"/>
                      <w:rPr>
                        <w:sz w:val="21"/>
                      </w:rPr>
                    </w:pPr>
                    <w:r>
                      <w:rPr>
                        <w:b/>
                        <w:w w:val="115"/>
                        <w:sz w:val="21"/>
                      </w:rPr>
                      <w:t>24</w:t>
                      <w:tab/>
                    </w:r>
                    <w:r>
                      <w:rPr>
                        <w:w w:val="115"/>
                        <w:sz w:val="21"/>
                      </w:rPr>
                      <w:t>The</w:t>
                    </w:r>
                    <w:r>
                      <w:rPr>
                        <w:spacing w:val="-6"/>
                        <w:w w:val="115"/>
                        <w:sz w:val="21"/>
                      </w:rPr>
                      <w:t> </w:t>
                    </w:r>
                    <w:r>
                      <w:rPr>
                        <w:w w:val="115"/>
                        <w:sz w:val="21"/>
                      </w:rPr>
                      <w:t>Victorian</w:t>
                    </w:r>
                    <w:r>
                      <w:rPr>
                        <w:spacing w:val="-6"/>
                        <w:w w:val="115"/>
                        <w:sz w:val="21"/>
                      </w:rPr>
                      <w:t> </w:t>
                    </w:r>
                    <w:r>
                      <w:rPr>
                        <w:w w:val="115"/>
                        <w:sz w:val="21"/>
                      </w:rPr>
                      <w:t>Civil</w:t>
                    </w:r>
                    <w:r>
                      <w:rPr>
                        <w:spacing w:val="-6"/>
                        <w:w w:val="115"/>
                        <w:sz w:val="21"/>
                      </w:rPr>
                      <w:t> </w:t>
                    </w:r>
                    <w:r>
                      <w:rPr>
                        <w:w w:val="115"/>
                        <w:sz w:val="21"/>
                      </w:rPr>
                      <w:t>and</w:t>
                    </w:r>
                    <w:r>
                      <w:rPr>
                        <w:spacing w:val="-6"/>
                        <w:w w:val="115"/>
                        <w:sz w:val="21"/>
                      </w:rPr>
                      <w:t> </w:t>
                    </w:r>
                    <w:r>
                      <w:rPr>
                        <w:w w:val="115"/>
                        <w:sz w:val="21"/>
                      </w:rPr>
                      <w:t>Administrative</w:t>
                    </w:r>
                    <w:r>
                      <w:rPr>
                        <w:spacing w:val="-6"/>
                        <w:w w:val="115"/>
                        <w:sz w:val="21"/>
                      </w:rPr>
                      <w:t> </w:t>
                    </w:r>
                    <w:r>
                      <w:rPr>
                        <w:spacing w:val="-4"/>
                        <w:w w:val="115"/>
                        <w:sz w:val="21"/>
                      </w:rPr>
                      <w:t>Tribunal</w:t>
                    </w:r>
                    <w:r>
                      <w:rPr>
                        <w:spacing w:val="-6"/>
                        <w:w w:val="115"/>
                        <w:sz w:val="21"/>
                      </w:rPr>
                      <w:t> </w:t>
                    </w:r>
                    <w:r>
                      <w:rPr>
                        <w:w w:val="115"/>
                        <w:sz w:val="21"/>
                      </w:rPr>
                      <w:t>should</w:t>
                    </w:r>
                    <w:r>
                      <w:rPr>
                        <w:spacing w:val="-6"/>
                        <w:w w:val="115"/>
                        <w:sz w:val="21"/>
                      </w:rPr>
                      <w:t> </w:t>
                    </w:r>
                    <w:r>
                      <w:rPr>
                        <w:w w:val="115"/>
                        <w:sz w:val="21"/>
                      </w:rPr>
                      <w:t>conduct</w:t>
                    </w:r>
                    <w:r>
                      <w:rPr>
                        <w:spacing w:val="-6"/>
                        <w:w w:val="115"/>
                        <w:sz w:val="21"/>
                      </w:rPr>
                      <w:t> </w:t>
                    </w:r>
                    <w:r>
                      <w:rPr>
                        <w:w w:val="115"/>
                        <w:sz w:val="21"/>
                      </w:rPr>
                      <w:t>on-site</w:t>
                    </w:r>
                    <w:r>
                      <w:rPr>
                        <w:spacing w:val="-6"/>
                        <w:w w:val="115"/>
                        <w:sz w:val="21"/>
                      </w:rPr>
                      <w:t> </w:t>
                    </w:r>
                    <w:r>
                      <w:rPr>
                        <w:w w:val="115"/>
                        <w:sz w:val="21"/>
                      </w:rPr>
                      <w:t>final hearings or on-site inspections for </w:t>
                    </w:r>
                    <w:r>
                      <w:rPr>
                        <w:spacing w:val="-3"/>
                        <w:w w:val="115"/>
                        <w:sz w:val="21"/>
                      </w:rPr>
                      <w:t>all </w:t>
                    </w:r>
                    <w:r>
                      <w:rPr>
                        <w:w w:val="115"/>
                        <w:sz w:val="21"/>
                      </w:rPr>
                      <w:t>tree</w:t>
                    </w:r>
                    <w:r>
                      <w:rPr>
                        <w:spacing w:val="-3"/>
                        <w:w w:val="115"/>
                        <w:sz w:val="21"/>
                      </w:rPr>
                      <w:t> </w:t>
                    </w:r>
                    <w:r>
                      <w:rPr>
                        <w:w w:val="115"/>
                        <w:sz w:val="21"/>
                      </w:rPr>
                      <w:t>disputes.</w:t>
                    </w:r>
                  </w:p>
                </w:txbxContent>
              </v:textbox>
              <v:fill type="solid"/>
              <w10:wrap type="none"/>
            </v:shape>
            <v:shape style="position:absolute;left:1587;top:236;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w:t>
                    </w:r>
                  </w:p>
                </w:txbxContent>
              </v:textbox>
              <v:fill type="solid"/>
              <w10:wrap type="none"/>
            </v:shape>
            <w10:wrap type="topAndBottom"/>
          </v:group>
        </w:pict>
      </w:r>
      <w:r>
        <w:rPr/>
        <w:pict>
          <v:line style="position:absolute;mso-position-horizontal-relative:page;mso-position-vertical-relative:paragraph;z-index:7400;mso-wrap-distance-left:0;mso-wrap-distance-right:0" from="79.370102pt,112.896118pt" to="521.575102pt,112.896118pt" stroked="true" strokeweight="1pt" strokecolor="#c9d2cb">
            <v:stroke dashstyle="solid"/>
            <w10:wrap type="topAndBottom"/>
          </v:line>
        </w:pict>
      </w:r>
    </w:p>
    <w:p>
      <w:pPr>
        <w:pStyle w:val="BodyText"/>
        <w:spacing w:before="8"/>
        <w:rPr>
          <w:sz w:val="22"/>
        </w:rPr>
      </w:pPr>
    </w:p>
    <w:p>
      <w:pPr>
        <w:pStyle w:val="BodyText"/>
        <w:spacing w:before="8"/>
        <w:rPr>
          <w:sz w:val="5"/>
        </w:rPr>
      </w:pPr>
    </w:p>
    <w:p>
      <w:pPr>
        <w:spacing w:after="0"/>
        <w:rPr>
          <w:sz w:val="5"/>
        </w:rPr>
        <w:sectPr>
          <w:pgSz w:w="11910" w:h="16840"/>
          <w:pgMar w:header="546" w:footer="0" w:top="1560" w:bottom="280" w:left="0" w:right="0"/>
        </w:sectPr>
      </w:pPr>
    </w:p>
    <w:p>
      <w:pPr>
        <w:pStyle w:val="BodyText"/>
        <w:spacing w:before="8"/>
        <w:rPr>
          <w:sz w:val="34"/>
        </w:rPr>
      </w:pPr>
    </w:p>
    <w:p>
      <w:pPr>
        <w:spacing w:before="0"/>
        <w:ind w:left="720" w:right="0" w:firstLine="0"/>
        <w:jc w:val="left"/>
        <w:rPr>
          <w:b/>
          <w:sz w:val="24"/>
        </w:rPr>
      </w:pPr>
      <w:r>
        <w:rPr>
          <w:b/>
          <w:color w:val="658464"/>
          <w:spacing w:val="-2"/>
          <w:w w:val="110"/>
          <w:sz w:val="24"/>
        </w:rPr>
        <w:t>160</w:t>
      </w:r>
    </w:p>
    <w:p>
      <w:pPr>
        <w:pStyle w:val="ListParagraph"/>
        <w:numPr>
          <w:ilvl w:val="0"/>
          <w:numId w:val="126"/>
        </w:numPr>
        <w:tabs>
          <w:tab w:pos="1225" w:val="left" w:leader="none"/>
          <w:tab w:pos="1226" w:val="left" w:leader="none"/>
        </w:tabs>
        <w:spacing w:line="240" w:lineRule="auto" w:before="48" w:after="0"/>
        <w:ind w:left="1225" w:right="0" w:hanging="794"/>
        <w:jc w:val="left"/>
        <w:rPr>
          <w:sz w:val="13"/>
        </w:rPr>
      </w:pPr>
      <w:r>
        <w:rPr>
          <w:w w:val="108"/>
          <w:sz w:val="13"/>
        </w:rPr>
        <w:br w:type="column"/>
      </w:r>
      <w:r>
        <w:rPr>
          <w:sz w:val="13"/>
        </w:rPr>
        <w:t>Supplementary</w:t>
      </w:r>
      <w:r>
        <w:rPr>
          <w:spacing w:val="10"/>
          <w:sz w:val="13"/>
        </w:rPr>
        <w:t> </w:t>
      </w:r>
      <w:r>
        <w:rPr>
          <w:sz w:val="13"/>
        </w:rPr>
        <w:t>Consultation</w:t>
      </w:r>
      <w:r>
        <w:rPr>
          <w:spacing w:val="11"/>
          <w:sz w:val="13"/>
        </w:rPr>
        <w:t> </w:t>
      </w:r>
      <w:r>
        <w:rPr>
          <w:sz w:val="13"/>
        </w:rPr>
        <w:t>1</w:t>
      </w:r>
      <w:r>
        <w:rPr>
          <w:spacing w:val="11"/>
          <w:sz w:val="13"/>
        </w:rPr>
        <w:t> </w:t>
      </w:r>
      <w:r>
        <w:rPr>
          <w:sz w:val="13"/>
        </w:rPr>
        <w:t>(Victorian</w:t>
      </w:r>
      <w:r>
        <w:rPr>
          <w:spacing w:val="11"/>
          <w:sz w:val="13"/>
        </w:rPr>
        <w:t> </w:t>
      </w:r>
      <w:r>
        <w:rPr>
          <w:sz w:val="13"/>
        </w:rPr>
        <w:t>Civil</w:t>
      </w:r>
      <w:r>
        <w:rPr>
          <w:spacing w:val="11"/>
          <w:sz w:val="13"/>
        </w:rPr>
        <w:t> </w:t>
      </w:r>
      <w:r>
        <w:rPr>
          <w:sz w:val="13"/>
        </w:rPr>
        <w:t>and</w:t>
      </w:r>
      <w:r>
        <w:rPr>
          <w:spacing w:val="10"/>
          <w:sz w:val="13"/>
        </w:rPr>
        <w:t> </w:t>
      </w:r>
      <w:r>
        <w:rPr>
          <w:sz w:val="13"/>
        </w:rPr>
        <w:t>Administrative</w:t>
      </w:r>
      <w:r>
        <w:rPr>
          <w:spacing w:val="11"/>
          <w:sz w:val="13"/>
        </w:rPr>
        <w:t> </w:t>
      </w:r>
      <w:r>
        <w:rPr>
          <w:sz w:val="13"/>
        </w:rPr>
        <w:t>Tribunal);</w:t>
      </w:r>
      <w:r>
        <w:rPr>
          <w:spacing w:val="11"/>
          <w:sz w:val="13"/>
        </w:rPr>
        <w:t> </w:t>
      </w:r>
      <w:r>
        <w:rPr>
          <w:sz w:val="13"/>
        </w:rPr>
        <w:t>see,</w:t>
      </w:r>
      <w:r>
        <w:rPr>
          <w:spacing w:val="11"/>
          <w:sz w:val="13"/>
        </w:rPr>
        <w:t> </w:t>
      </w:r>
      <w:r>
        <w:rPr>
          <w:sz w:val="13"/>
        </w:rPr>
        <w:t>eg,</w:t>
      </w:r>
      <w:r>
        <w:rPr>
          <w:spacing w:val="11"/>
          <w:sz w:val="13"/>
        </w:rPr>
        <w:t> </w:t>
      </w:r>
      <w:r>
        <w:rPr>
          <w:i/>
          <w:sz w:val="13"/>
        </w:rPr>
        <w:t>Gordon</w:t>
      </w:r>
      <w:r>
        <w:rPr>
          <w:i/>
          <w:spacing w:val="10"/>
          <w:sz w:val="13"/>
        </w:rPr>
        <w:t> </w:t>
      </w:r>
      <w:r>
        <w:rPr>
          <w:i/>
          <w:sz w:val="13"/>
        </w:rPr>
        <w:t>v</w:t>
      </w:r>
      <w:r>
        <w:rPr>
          <w:i/>
          <w:spacing w:val="11"/>
          <w:sz w:val="13"/>
        </w:rPr>
        <w:t> </w:t>
      </w:r>
      <w:r>
        <w:rPr>
          <w:i/>
          <w:spacing w:val="2"/>
          <w:sz w:val="13"/>
        </w:rPr>
        <w:t>Port</w:t>
      </w:r>
      <w:r>
        <w:rPr>
          <w:i/>
          <w:spacing w:val="11"/>
          <w:sz w:val="13"/>
        </w:rPr>
        <w:t> </w:t>
      </w:r>
      <w:r>
        <w:rPr>
          <w:i/>
          <w:sz w:val="13"/>
        </w:rPr>
        <w:t>Phillip</w:t>
      </w:r>
      <w:r>
        <w:rPr>
          <w:i/>
          <w:spacing w:val="11"/>
          <w:sz w:val="13"/>
        </w:rPr>
        <w:t> </w:t>
      </w:r>
      <w:r>
        <w:rPr>
          <w:i/>
          <w:sz w:val="13"/>
        </w:rPr>
        <w:t>CC</w:t>
      </w:r>
      <w:r>
        <w:rPr>
          <w:i/>
          <w:spacing w:val="11"/>
          <w:sz w:val="13"/>
        </w:rPr>
        <w:t> </w:t>
      </w:r>
      <w:r>
        <w:rPr>
          <w:sz w:val="13"/>
        </w:rPr>
        <w:t>[2016]</w:t>
      </w:r>
      <w:r>
        <w:rPr>
          <w:spacing w:val="10"/>
          <w:sz w:val="13"/>
        </w:rPr>
        <w:t> </w:t>
      </w:r>
      <w:r>
        <w:rPr>
          <w:sz w:val="13"/>
        </w:rPr>
        <w:t>VCAT</w:t>
      </w:r>
      <w:r>
        <w:rPr>
          <w:spacing w:val="11"/>
          <w:sz w:val="13"/>
        </w:rPr>
        <w:t> </w:t>
      </w:r>
      <w:r>
        <w:rPr>
          <w:sz w:val="13"/>
        </w:rPr>
        <w:t>282</w:t>
      </w:r>
      <w:r>
        <w:rPr>
          <w:spacing w:val="11"/>
          <w:sz w:val="13"/>
        </w:rPr>
        <w:t> </w:t>
      </w:r>
      <w:r>
        <w:rPr>
          <w:spacing w:val="3"/>
          <w:sz w:val="13"/>
        </w:rPr>
        <w:t>[6];</w:t>
      </w:r>
    </w:p>
    <w:p>
      <w:pPr>
        <w:spacing w:before="1"/>
        <w:ind w:left="1225" w:right="0" w:firstLine="0"/>
        <w:jc w:val="left"/>
        <w:rPr>
          <w:sz w:val="13"/>
        </w:rPr>
      </w:pPr>
      <w:r>
        <w:rPr>
          <w:i/>
          <w:w w:val="105"/>
          <w:sz w:val="13"/>
        </w:rPr>
        <w:t>Broome v Maroondah CC </w:t>
      </w:r>
      <w:r>
        <w:rPr>
          <w:w w:val="105"/>
          <w:sz w:val="13"/>
        </w:rPr>
        <w:t>[2016] VCAT 1161 [11]; </w:t>
      </w:r>
      <w:r>
        <w:rPr>
          <w:i/>
          <w:w w:val="105"/>
          <w:sz w:val="13"/>
        </w:rPr>
        <w:t>Jones v Darebin CC </w:t>
      </w:r>
      <w:r>
        <w:rPr>
          <w:w w:val="105"/>
          <w:sz w:val="13"/>
        </w:rPr>
        <w:t>[2014] VCAT 1161 [12].</w:t>
      </w:r>
    </w:p>
    <w:p>
      <w:pPr>
        <w:pStyle w:val="ListParagraph"/>
        <w:numPr>
          <w:ilvl w:val="0"/>
          <w:numId w:val="126"/>
        </w:numPr>
        <w:tabs>
          <w:tab w:pos="1225" w:val="left" w:leader="none"/>
          <w:tab w:pos="1226" w:val="left" w:leader="none"/>
        </w:tabs>
        <w:spacing w:line="240" w:lineRule="auto" w:before="2" w:after="0"/>
        <w:ind w:left="1225" w:right="0" w:hanging="794"/>
        <w:jc w:val="left"/>
        <w:rPr>
          <w:sz w:val="13"/>
        </w:rPr>
      </w:pPr>
      <w:r>
        <w:rPr>
          <w:i/>
          <w:w w:val="105"/>
          <w:sz w:val="13"/>
        </w:rPr>
        <w:t>Gordon v </w:t>
      </w:r>
      <w:r>
        <w:rPr>
          <w:i/>
          <w:spacing w:val="2"/>
          <w:w w:val="105"/>
          <w:sz w:val="13"/>
        </w:rPr>
        <w:t>Port </w:t>
      </w:r>
      <w:r>
        <w:rPr>
          <w:i/>
          <w:w w:val="105"/>
          <w:sz w:val="13"/>
        </w:rPr>
        <w:t>Phillip CC </w:t>
      </w:r>
      <w:r>
        <w:rPr>
          <w:w w:val="105"/>
          <w:sz w:val="13"/>
        </w:rPr>
        <w:t>[2016] VCAT 282</w:t>
      </w:r>
      <w:r>
        <w:rPr>
          <w:spacing w:val="4"/>
          <w:w w:val="105"/>
          <w:sz w:val="13"/>
        </w:rPr>
        <w:t> [6].</w:t>
      </w:r>
    </w:p>
    <w:p>
      <w:pPr>
        <w:pStyle w:val="ListParagraph"/>
        <w:numPr>
          <w:ilvl w:val="0"/>
          <w:numId w:val="126"/>
        </w:numPr>
        <w:tabs>
          <w:tab w:pos="1225" w:val="left" w:leader="none"/>
          <w:tab w:pos="1226" w:val="left" w:leader="none"/>
        </w:tabs>
        <w:spacing w:line="240" w:lineRule="auto" w:before="1" w:after="0"/>
        <w:ind w:left="1225"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spacing w:after="0" w:line="240" w:lineRule="auto"/>
        <w:jc w:val="left"/>
        <w:rPr>
          <w:sz w:val="13"/>
        </w:rPr>
        <w:sectPr>
          <w:type w:val="continuous"/>
          <w:pgSz w:w="11910" w:h="16840"/>
          <w:pgMar w:top="300" w:bottom="280" w:left="0" w:right="0"/>
          <w:cols w:num="2" w:equalWidth="0">
            <w:col w:w="1116" w:space="40"/>
            <w:col w:w="10754"/>
          </w:cols>
        </w:sectPr>
      </w:pPr>
    </w:p>
    <w:p>
      <w:pPr>
        <w:pStyle w:val="Heading1"/>
        <w:tabs>
          <w:tab w:pos="1417" w:val="left" w:leader="none"/>
        </w:tabs>
      </w:pPr>
      <w:r>
        <w:rPr/>
        <w:pict>
          <v:rect style="position:absolute;margin-left:0pt;margin-top:0pt;width:595.276001pt;height:841.890015pt;mso-position-horizontal-relative:page;mso-position-vertical-relative:page;z-index:-449536" filled="true" fillcolor="#ecefee" stroked="false">
            <v:fill type="solid"/>
            <w10:wrap type="none"/>
          </v:rect>
        </w:pict>
      </w:r>
      <w:bookmarkStart w:name="8. VCAT decision-making principles and e" w:id="181"/>
      <w:bookmarkEnd w:id="181"/>
      <w:r>
        <w:rPr>
          <w:b w:val="0"/>
        </w:rPr>
      </w:r>
      <w:bookmarkStart w:name="Introduction" w:id="182"/>
      <w:bookmarkEnd w:id="182"/>
      <w:r>
        <w:rPr>
          <w:b w:val="0"/>
        </w:rPr>
      </w:r>
      <w:r>
        <w:rPr>
          <w:color w:val="FFFFFF"/>
          <w:w w:val="122"/>
          <w:shd w:fill="658464" w:color="auto" w:val="clear"/>
        </w:rPr>
        <w:t> </w:t>
      </w:r>
      <w:r>
        <w:rPr>
          <w:color w:val="FFFFFF"/>
          <w:spacing w:val="41"/>
          <w:shd w:fill="658464" w:color="auto" w:val="clear"/>
        </w:rPr>
        <w:t> </w:t>
      </w:r>
      <w:r>
        <w:rPr>
          <w:color w:val="FFFFFF"/>
          <w:w w:val="105"/>
          <w:shd w:fill="658464" w:color="auto" w:val="clear"/>
        </w:rPr>
        <w:t>8</w:t>
      </w:r>
      <w:r>
        <w:rPr>
          <w:color w:val="FFFFFF"/>
          <w:shd w:fill="658464" w:color="auto" w:val="clear"/>
        </w:rPr>
        <w:tab/>
      </w:r>
    </w:p>
    <w:p>
      <w:pPr>
        <w:pStyle w:val="BodyText"/>
        <w:spacing w:before="10"/>
        <w:rPr>
          <w:b/>
        </w:rPr>
      </w:pPr>
      <w:r>
        <w:rPr/>
        <w:pict>
          <v:shape style="position:absolute;margin-left:0pt;margin-top:14.559025pt;width:412.9pt;height:52pt;mso-position-horizontal-relative:page;mso-position-vertical-relative:paragraph;z-index:7424;mso-wrap-distance-left:0;mso-wrap-distance-right:0" type="#_x0000_t202" filled="true" fillcolor="#ffffff" stroked="false">
            <v:textbox inset="0,0,0,0">
              <w:txbxContent>
                <w:p>
                  <w:pPr>
                    <w:spacing w:line="1040" w:lineRule="exact" w:before="0"/>
                    <w:ind w:left="1587" w:right="0" w:firstLine="0"/>
                    <w:jc w:val="left"/>
                    <w:rPr>
                      <w:b/>
                      <w:sz w:val="96"/>
                    </w:rPr>
                  </w:pPr>
                  <w:r>
                    <w:rPr>
                      <w:b/>
                      <w:color w:val="658464"/>
                      <w:spacing w:val="-35"/>
                      <w:w w:val="115"/>
                      <w:sz w:val="96"/>
                    </w:rPr>
                    <w:t>VCAT </w:t>
                  </w:r>
                  <w:r>
                    <w:rPr>
                      <w:b/>
                      <w:color w:val="658464"/>
                      <w:spacing w:val="-21"/>
                      <w:w w:val="115"/>
                      <w:sz w:val="96"/>
                    </w:rPr>
                    <w:t>decision-</w:t>
                  </w:r>
                </w:p>
              </w:txbxContent>
            </v:textbox>
            <v:fill type="solid"/>
            <w10:wrap type="topAndBottom"/>
          </v:shape>
        </w:pict>
      </w:r>
    </w:p>
    <w:p>
      <w:pPr>
        <w:pStyle w:val="BodyText"/>
        <w:spacing w:before="3"/>
        <w:rPr>
          <w:b/>
          <w:sz w:val="5"/>
        </w:rPr>
      </w:pPr>
    </w:p>
    <w:p>
      <w:pPr>
        <w:pStyle w:val="BodyText"/>
        <w:rPr>
          <w:sz w:val="20"/>
        </w:rPr>
      </w:pPr>
      <w:r>
        <w:rPr>
          <w:sz w:val="20"/>
        </w:rPr>
        <w:pict>
          <v:shape style="width:470.85pt;height:52pt;mso-position-horizontal-relative:char;mso-position-vertical-relative:line" type="#_x0000_t202" filled="true" fillcolor="#ffffff" stroked="false">
            <w10:anchorlock/>
            <v:textbox inset="0,0,0,0">
              <w:txbxContent>
                <w:p>
                  <w:pPr>
                    <w:spacing w:line="1040" w:lineRule="exact" w:before="0"/>
                    <w:ind w:left="1587" w:right="0" w:firstLine="0"/>
                    <w:jc w:val="left"/>
                    <w:rPr>
                      <w:b/>
                      <w:sz w:val="96"/>
                    </w:rPr>
                  </w:pPr>
                  <w:r>
                    <w:rPr>
                      <w:b/>
                      <w:color w:val="658464"/>
                      <w:spacing w:val="-24"/>
                      <w:w w:val="115"/>
                      <w:sz w:val="96"/>
                    </w:rPr>
                    <w:t>making </w:t>
                  </w:r>
                  <w:r>
                    <w:rPr>
                      <w:b/>
                      <w:color w:val="658464"/>
                      <w:spacing w:val="-25"/>
                      <w:w w:val="115"/>
                      <w:sz w:val="96"/>
                    </w:rPr>
                    <w:t>principles</w:t>
                  </w:r>
                </w:p>
              </w:txbxContent>
            </v:textbox>
            <v:fill type="solid"/>
          </v:shape>
        </w:pict>
      </w:r>
      <w:r>
        <w:rPr>
          <w:sz w:val="20"/>
        </w:rPr>
      </w:r>
    </w:p>
    <w:p>
      <w:pPr>
        <w:tabs>
          <w:tab w:pos="1587" w:val="left" w:leader="none"/>
          <w:tab w:pos="10636" w:val="left" w:leader="none"/>
        </w:tabs>
        <w:spacing w:before="21"/>
        <w:ind w:left="0" w:right="0" w:firstLine="0"/>
        <w:jc w:val="left"/>
        <w:rPr>
          <w:b/>
          <w:sz w:val="96"/>
        </w:rPr>
      </w:pPr>
      <w:r>
        <w:rPr>
          <w:b/>
          <w:color w:val="658464"/>
          <w:w w:val="122"/>
          <w:sz w:val="96"/>
          <w:shd w:fill="FFFFFF" w:color="auto" w:val="clear"/>
        </w:rPr>
        <w:t> </w:t>
      </w:r>
      <w:r>
        <w:rPr>
          <w:b/>
          <w:color w:val="658464"/>
          <w:sz w:val="96"/>
          <w:shd w:fill="FFFFFF" w:color="auto" w:val="clear"/>
        </w:rPr>
        <w:tab/>
      </w:r>
      <w:r>
        <w:rPr>
          <w:b/>
          <w:color w:val="658464"/>
          <w:spacing w:val="-18"/>
          <w:w w:val="115"/>
          <w:sz w:val="96"/>
          <w:shd w:fill="FFFFFF" w:color="auto" w:val="clear"/>
        </w:rPr>
        <w:t>and </w:t>
      </w:r>
      <w:r>
        <w:rPr>
          <w:b/>
          <w:color w:val="658464"/>
          <w:spacing w:val="-19"/>
          <w:w w:val="115"/>
          <w:sz w:val="96"/>
          <w:shd w:fill="FFFFFF" w:color="auto" w:val="clear"/>
        </w:rPr>
        <w:t>expert</w:t>
      </w:r>
      <w:r>
        <w:rPr>
          <w:b/>
          <w:color w:val="658464"/>
          <w:spacing w:val="-175"/>
          <w:w w:val="115"/>
          <w:sz w:val="96"/>
          <w:shd w:fill="FFFFFF" w:color="auto" w:val="clear"/>
        </w:rPr>
        <w:t> </w:t>
      </w:r>
      <w:r>
        <w:rPr>
          <w:b/>
          <w:color w:val="658464"/>
          <w:spacing w:val="-27"/>
          <w:w w:val="115"/>
          <w:sz w:val="96"/>
          <w:shd w:fill="FFFFFF" w:color="auto" w:val="clear"/>
        </w:rPr>
        <w:t>evidence</w:t>
      </w:r>
      <w:r>
        <w:rPr>
          <w:b/>
          <w:color w:val="658464"/>
          <w:spacing w:val="-27"/>
          <w:sz w:val="96"/>
          <w:shd w:fill="FFFFFF" w:color="auto" w:val="clear"/>
        </w:rPr>
        <w:tab/>
      </w:r>
    </w:p>
    <w:p>
      <w:pPr>
        <w:pStyle w:val="BodyText"/>
        <w:rPr>
          <w:sz w:val="20"/>
        </w:rPr>
      </w:pPr>
      <w:r>
        <w:rPr>
          <w:sz w:val="20"/>
        </w:rPr>
        <w:pict>
          <v:shape style="width:483.3pt;height:52pt;mso-position-horizontal-relative:char;mso-position-vertical-relative:line" type="#_x0000_t202" filled="true" fillcolor="#ffffff" stroked="false">
            <w10:anchorlock/>
            <v:textbox inset="0,0,0,0">
              <w:txbxContent>
                <w:p>
                  <w:pPr>
                    <w:spacing w:line="1040" w:lineRule="exact" w:before="0"/>
                    <w:ind w:left="1587" w:right="0" w:firstLine="0"/>
                    <w:jc w:val="left"/>
                    <w:rPr>
                      <w:b/>
                      <w:sz w:val="96"/>
                    </w:rPr>
                  </w:pPr>
                  <w:r>
                    <w:rPr>
                      <w:b/>
                      <w:color w:val="658464"/>
                      <w:spacing w:val="-16"/>
                      <w:w w:val="115"/>
                      <w:sz w:val="96"/>
                    </w:rPr>
                    <w:t>in </w:t>
                  </w:r>
                  <w:r>
                    <w:rPr>
                      <w:b/>
                      <w:color w:val="658464"/>
                      <w:spacing w:val="-25"/>
                      <w:w w:val="115"/>
                      <w:sz w:val="96"/>
                    </w:rPr>
                    <w:t>neighbourhood</w:t>
                  </w:r>
                </w:p>
              </w:txbxContent>
            </v:textbox>
            <v:fill type="solid"/>
          </v:shape>
        </w:pict>
      </w:r>
      <w:r>
        <w:rPr>
          <w:sz w:val="20"/>
        </w:rPr>
      </w:r>
    </w:p>
    <w:p>
      <w:pPr>
        <w:pStyle w:val="BodyText"/>
        <w:spacing w:before="1"/>
        <w:rPr>
          <w:b/>
          <w:sz w:val="3"/>
        </w:rPr>
      </w:pPr>
    </w:p>
    <w:p>
      <w:pPr>
        <w:pStyle w:val="BodyText"/>
        <w:rPr>
          <w:sz w:val="20"/>
        </w:rPr>
      </w:pPr>
      <w:r>
        <w:rPr>
          <w:sz w:val="20"/>
        </w:rPr>
        <w:pict>
          <v:shape style="width:373.3pt;height:52pt;mso-position-horizontal-relative:char;mso-position-vertical-relative:line" type="#_x0000_t202" filled="true" fillcolor="#ffffff" stroked="false">
            <w10:anchorlock/>
            <v:textbox inset="0,0,0,0">
              <w:txbxContent>
                <w:p>
                  <w:pPr>
                    <w:spacing w:line="1040" w:lineRule="exact" w:before="0"/>
                    <w:ind w:left="1587" w:right="0" w:firstLine="0"/>
                    <w:jc w:val="left"/>
                    <w:rPr>
                      <w:b/>
                      <w:sz w:val="96"/>
                    </w:rPr>
                  </w:pPr>
                  <w:r>
                    <w:rPr>
                      <w:b/>
                      <w:color w:val="658464"/>
                      <w:spacing w:val="-18"/>
                      <w:w w:val="110"/>
                      <w:sz w:val="96"/>
                    </w:rPr>
                    <w:t>tree</w:t>
                  </w:r>
                  <w:r>
                    <w:rPr>
                      <w:b/>
                      <w:color w:val="658464"/>
                      <w:spacing w:val="41"/>
                      <w:w w:val="110"/>
                      <w:sz w:val="96"/>
                    </w:rPr>
                    <w:t> </w:t>
                  </w:r>
                  <w:r>
                    <w:rPr>
                      <w:b/>
                      <w:color w:val="658464"/>
                      <w:spacing w:val="-24"/>
                      <w:w w:val="110"/>
                      <w:sz w:val="96"/>
                    </w:rPr>
                    <w:t>disputes</w:t>
                  </w:r>
                </w:p>
              </w:txbxContent>
            </v:textbox>
            <v:fill type="solid"/>
          </v:shape>
        </w:pict>
      </w:r>
      <w:r>
        <w:rPr>
          <w:sz w:val="20"/>
        </w:rPr>
      </w:r>
    </w:p>
    <w:p>
      <w:pPr>
        <w:pStyle w:val="BodyText"/>
        <w:rPr>
          <w:b/>
          <w:sz w:val="20"/>
        </w:rPr>
      </w:pPr>
    </w:p>
    <w:p>
      <w:pPr>
        <w:pStyle w:val="BodyText"/>
        <w:rPr>
          <w:b/>
          <w:sz w:val="20"/>
        </w:rPr>
      </w:pPr>
    </w:p>
    <w:p>
      <w:pPr>
        <w:pStyle w:val="BodyText"/>
        <w:rPr>
          <w:b/>
          <w:sz w:val="20"/>
        </w:rPr>
      </w:pPr>
    </w:p>
    <w:p>
      <w:pPr>
        <w:pStyle w:val="BodyText"/>
        <w:spacing w:before="2"/>
        <w:rPr>
          <w:b/>
          <w:sz w:val="18"/>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6702"/>
      </w:tblGrid>
      <w:tr>
        <w:trPr>
          <w:trHeight w:val="335" w:hRule="atLeast"/>
        </w:trPr>
        <w:tc>
          <w:tcPr>
            <w:tcW w:w="510" w:type="dxa"/>
            <w:tcBorders>
              <w:bottom w:val="single" w:sz="18" w:space="0" w:color="FFFFFF"/>
            </w:tcBorders>
            <w:shd w:val="clear" w:color="auto" w:fill="ECEFEE"/>
          </w:tcPr>
          <w:p>
            <w:pPr>
              <w:pStyle w:val="TableParagraph"/>
              <w:spacing w:line="289" w:lineRule="exact"/>
              <w:rPr>
                <w:b/>
                <w:sz w:val="24"/>
              </w:rPr>
            </w:pPr>
            <w:hyperlink w:history="true" w:anchor="_bookmark86">
              <w:r>
                <w:rPr>
                  <w:b/>
                  <w:w w:val="110"/>
                  <w:sz w:val="24"/>
                </w:rPr>
                <w:t>162</w:t>
              </w:r>
            </w:hyperlink>
          </w:p>
        </w:tc>
        <w:tc>
          <w:tcPr>
            <w:tcW w:w="6702" w:type="dxa"/>
            <w:shd w:val="clear" w:color="auto" w:fill="ECEFEE"/>
          </w:tcPr>
          <w:p>
            <w:pPr>
              <w:pStyle w:val="TableParagraph"/>
              <w:spacing w:line="289" w:lineRule="exact"/>
              <w:ind w:left="56"/>
              <w:rPr>
                <w:b/>
                <w:sz w:val="24"/>
              </w:rPr>
            </w:pPr>
            <w:hyperlink w:history="true" w:anchor="_bookmark86">
              <w:r>
                <w:rPr>
                  <w:b/>
                  <w:w w:val="110"/>
                  <w:sz w:val="24"/>
                </w:rPr>
                <w:t>Introduction</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9"/>
              <w:rPr>
                <w:b/>
                <w:sz w:val="24"/>
              </w:rPr>
            </w:pPr>
            <w:hyperlink w:history="true" w:anchor="_bookmark86">
              <w:r>
                <w:rPr>
                  <w:b/>
                  <w:w w:val="110"/>
                  <w:sz w:val="24"/>
                </w:rPr>
                <w:t>162</w:t>
              </w:r>
            </w:hyperlink>
          </w:p>
        </w:tc>
        <w:tc>
          <w:tcPr>
            <w:tcW w:w="6702" w:type="dxa"/>
            <w:shd w:val="clear" w:color="auto" w:fill="ECEFEE"/>
          </w:tcPr>
          <w:p>
            <w:pPr>
              <w:pStyle w:val="TableParagraph"/>
              <w:spacing w:before="89"/>
              <w:ind w:left="56"/>
              <w:rPr>
                <w:b/>
                <w:sz w:val="24"/>
              </w:rPr>
            </w:pPr>
            <w:hyperlink w:history="true" w:anchor="_bookmark86">
              <w:r>
                <w:rPr>
                  <w:b/>
                  <w:w w:val="110"/>
                  <w:sz w:val="24"/>
                </w:rPr>
                <w:t>Decision-making principles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88">
              <w:r>
                <w:rPr>
                  <w:b/>
                  <w:w w:val="110"/>
                  <w:sz w:val="24"/>
                </w:rPr>
                <w:t>165</w:t>
              </w:r>
            </w:hyperlink>
          </w:p>
        </w:tc>
        <w:tc>
          <w:tcPr>
            <w:tcW w:w="6702" w:type="dxa"/>
            <w:shd w:val="clear" w:color="auto" w:fill="ECEFEE"/>
          </w:tcPr>
          <w:p>
            <w:pPr>
              <w:pStyle w:val="TableParagraph"/>
              <w:spacing w:before="88"/>
              <w:ind w:left="56"/>
              <w:rPr>
                <w:b/>
                <w:sz w:val="24"/>
              </w:rPr>
            </w:pPr>
            <w:hyperlink w:history="true" w:anchor="_bookmark88">
              <w:r>
                <w:rPr>
                  <w:b/>
                  <w:w w:val="110"/>
                  <w:sz w:val="24"/>
                </w:rPr>
                <w:t>Decision-making principles in other jurisdictions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89">
              <w:r>
                <w:rPr>
                  <w:b/>
                  <w:w w:val="110"/>
                  <w:sz w:val="24"/>
                </w:rPr>
                <w:t>169</w:t>
              </w:r>
            </w:hyperlink>
          </w:p>
        </w:tc>
        <w:tc>
          <w:tcPr>
            <w:tcW w:w="6702" w:type="dxa"/>
            <w:shd w:val="clear" w:color="auto" w:fill="ECEFEE"/>
          </w:tcPr>
          <w:p>
            <w:pPr>
              <w:pStyle w:val="TableParagraph"/>
              <w:spacing w:before="88"/>
              <w:ind w:left="56"/>
              <w:rPr>
                <w:b/>
                <w:sz w:val="24"/>
              </w:rPr>
            </w:pPr>
            <w:hyperlink w:history="true" w:anchor="_bookmark89">
              <w:r>
                <w:rPr>
                  <w:b/>
                  <w:w w:val="110"/>
                  <w:sz w:val="24"/>
                </w:rPr>
                <w:t>Community responses—decision-making principles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90">
              <w:r>
                <w:rPr>
                  <w:b/>
                  <w:w w:val="110"/>
                  <w:sz w:val="24"/>
                </w:rPr>
                <w:t>172</w:t>
              </w:r>
            </w:hyperlink>
          </w:p>
        </w:tc>
        <w:tc>
          <w:tcPr>
            <w:tcW w:w="6702" w:type="dxa"/>
            <w:shd w:val="clear" w:color="auto" w:fill="ECEFEE"/>
          </w:tcPr>
          <w:p>
            <w:pPr>
              <w:pStyle w:val="TableParagraph"/>
              <w:spacing w:before="88"/>
              <w:ind w:left="56"/>
              <w:rPr>
                <w:b/>
                <w:sz w:val="24"/>
              </w:rPr>
            </w:pPr>
            <w:hyperlink w:history="true" w:anchor="_bookmark90">
              <w:r>
                <w:rPr>
                  <w:b/>
                  <w:w w:val="110"/>
                  <w:sz w:val="24"/>
                </w:rPr>
                <w:t>The Commission’s conclusions—decision-making principles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94">
              <w:r>
                <w:rPr>
                  <w:b/>
                  <w:w w:val="110"/>
                  <w:sz w:val="24"/>
                </w:rPr>
                <w:t>177</w:t>
              </w:r>
            </w:hyperlink>
          </w:p>
        </w:tc>
        <w:tc>
          <w:tcPr>
            <w:tcW w:w="6702" w:type="dxa"/>
            <w:shd w:val="clear" w:color="auto" w:fill="ECEFEE"/>
          </w:tcPr>
          <w:p>
            <w:pPr>
              <w:pStyle w:val="TableParagraph"/>
              <w:spacing w:before="88"/>
              <w:ind w:left="56"/>
              <w:rPr>
                <w:b/>
                <w:sz w:val="24"/>
              </w:rPr>
            </w:pPr>
            <w:hyperlink w:history="true" w:anchor="_bookmark94">
              <w:r>
                <w:rPr>
                  <w:b/>
                  <w:w w:val="115"/>
                  <w:sz w:val="24"/>
                </w:rPr>
                <w:t>Expert evidence</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98">
              <w:r>
                <w:rPr>
                  <w:b/>
                  <w:w w:val="110"/>
                  <w:sz w:val="24"/>
                </w:rPr>
                <w:t>184</w:t>
              </w:r>
            </w:hyperlink>
          </w:p>
        </w:tc>
        <w:tc>
          <w:tcPr>
            <w:tcW w:w="6702" w:type="dxa"/>
            <w:shd w:val="clear" w:color="auto" w:fill="ECEFEE"/>
          </w:tcPr>
          <w:p>
            <w:pPr>
              <w:pStyle w:val="TableParagraph"/>
              <w:spacing w:before="88"/>
              <w:ind w:left="56"/>
              <w:rPr>
                <w:b/>
                <w:sz w:val="24"/>
              </w:rPr>
            </w:pPr>
            <w:hyperlink w:history="true" w:anchor="_bookmark98">
              <w:r>
                <w:rPr>
                  <w:b/>
                  <w:w w:val="110"/>
                  <w:sz w:val="24"/>
                </w:rPr>
                <w:t>Community responses—expert evidence</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99">
              <w:r>
                <w:rPr>
                  <w:b/>
                  <w:w w:val="110"/>
                  <w:sz w:val="24"/>
                </w:rPr>
                <w:t>187</w:t>
              </w:r>
            </w:hyperlink>
          </w:p>
        </w:tc>
        <w:tc>
          <w:tcPr>
            <w:tcW w:w="6702" w:type="dxa"/>
            <w:shd w:val="clear" w:color="auto" w:fill="ECEFEE"/>
          </w:tcPr>
          <w:p>
            <w:pPr>
              <w:pStyle w:val="TableParagraph"/>
              <w:spacing w:before="88"/>
              <w:ind w:left="56"/>
              <w:rPr>
                <w:b/>
                <w:sz w:val="24"/>
              </w:rPr>
            </w:pPr>
            <w:hyperlink w:history="true" w:anchor="_bookmark99">
              <w:r>
                <w:rPr>
                  <w:b/>
                  <w:w w:val="110"/>
                  <w:sz w:val="24"/>
                </w:rPr>
                <w:t>The Commission’s conclusions—expert evidence</w:t>
              </w:r>
            </w:hyperlink>
          </w:p>
        </w:tc>
      </w:tr>
    </w:tbl>
    <w:p>
      <w:pPr>
        <w:spacing w:after="0"/>
        <w:rPr>
          <w:sz w:val="24"/>
        </w:rPr>
        <w:sectPr>
          <w:headerReference w:type="default" r:id="rId204"/>
          <w:headerReference w:type="even" r:id="rId205"/>
          <w:pgSz w:w="11910" w:h="16840"/>
          <w:pgMar w:header="0" w:footer="0" w:top="720" w:bottom="280" w:left="0" w:right="0"/>
        </w:sectPr>
      </w:pPr>
    </w:p>
    <w:p>
      <w:pPr>
        <w:pStyle w:val="BodyText"/>
        <w:spacing w:before="10"/>
        <w:rPr>
          <w:b/>
          <w:sz w:val="18"/>
        </w:rPr>
      </w:pPr>
    </w:p>
    <w:p>
      <w:pPr>
        <w:pStyle w:val="Heading2"/>
        <w:numPr>
          <w:ilvl w:val="0"/>
          <w:numId w:val="16"/>
        </w:numPr>
        <w:tabs>
          <w:tab w:pos="1247" w:val="left" w:leader="none"/>
          <w:tab w:pos="1248" w:val="left" w:leader="none"/>
        </w:tabs>
        <w:spacing w:line="232" w:lineRule="auto" w:before="106" w:after="0"/>
        <w:ind w:left="1247" w:right="1637" w:hanging="681"/>
        <w:jc w:val="left"/>
      </w:pPr>
      <w:bookmarkStart w:name="Decision-making principles" w:id="183"/>
      <w:bookmarkEnd w:id="183"/>
      <w:r>
        <w:rPr>
          <w:b w:val="0"/>
        </w:rPr>
      </w:r>
      <w:bookmarkStart w:name="_bookmark86" w:id="184"/>
      <w:bookmarkEnd w:id="184"/>
      <w:r>
        <w:rPr>
          <w:b w:val="0"/>
        </w:rPr>
      </w:r>
      <w:bookmarkStart w:name="_bookmark86" w:id="185"/>
      <w:bookmarkEnd w:id="185"/>
      <w:r>
        <w:rPr>
          <w:color w:val="658464"/>
          <w:spacing w:val="-8"/>
          <w:w w:val="115"/>
        </w:rPr>
        <w:t>V</w:t>
      </w:r>
      <w:r>
        <w:rPr>
          <w:color w:val="658464"/>
          <w:spacing w:val="-8"/>
          <w:w w:val="115"/>
        </w:rPr>
        <w:t>CAT</w:t>
      </w:r>
      <w:r>
        <w:rPr>
          <w:color w:val="658464"/>
          <w:spacing w:val="-35"/>
          <w:w w:val="115"/>
        </w:rPr>
        <w:t> </w:t>
      </w:r>
      <w:r>
        <w:rPr>
          <w:color w:val="658464"/>
          <w:w w:val="115"/>
        </w:rPr>
        <w:t>decision-making</w:t>
      </w:r>
      <w:r>
        <w:rPr>
          <w:color w:val="658464"/>
          <w:spacing w:val="-34"/>
          <w:w w:val="115"/>
        </w:rPr>
        <w:t> </w:t>
      </w:r>
      <w:r>
        <w:rPr>
          <w:color w:val="658464"/>
          <w:spacing w:val="-3"/>
          <w:w w:val="115"/>
        </w:rPr>
        <w:t>principles</w:t>
      </w:r>
      <w:r>
        <w:rPr>
          <w:color w:val="658464"/>
          <w:spacing w:val="-34"/>
          <w:w w:val="115"/>
        </w:rPr>
        <w:t> </w:t>
      </w:r>
      <w:r>
        <w:rPr>
          <w:color w:val="658464"/>
          <w:w w:val="115"/>
        </w:rPr>
        <w:t>and</w:t>
      </w:r>
      <w:r>
        <w:rPr>
          <w:color w:val="658464"/>
          <w:spacing w:val="-34"/>
          <w:w w:val="115"/>
        </w:rPr>
        <w:t> </w:t>
      </w:r>
      <w:r>
        <w:rPr>
          <w:color w:val="658464"/>
          <w:w w:val="115"/>
        </w:rPr>
        <w:t>expert </w:t>
      </w:r>
      <w:r>
        <w:rPr>
          <w:color w:val="658464"/>
          <w:spacing w:val="-4"/>
          <w:w w:val="115"/>
        </w:rPr>
        <w:t>evidence </w:t>
      </w:r>
      <w:r>
        <w:rPr>
          <w:color w:val="658464"/>
          <w:spacing w:val="-3"/>
          <w:w w:val="115"/>
        </w:rPr>
        <w:t>in neighbourhood </w:t>
      </w:r>
      <w:r>
        <w:rPr>
          <w:color w:val="658464"/>
          <w:w w:val="115"/>
        </w:rPr>
        <w:t>tree</w:t>
      </w:r>
      <w:r>
        <w:rPr>
          <w:color w:val="658464"/>
          <w:spacing w:val="-21"/>
          <w:w w:val="115"/>
        </w:rPr>
        <w:t> </w:t>
      </w:r>
      <w:r>
        <w:rPr>
          <w:color w:val="658464"/>
          <w:spacing w:val="-3"/>
          <w:w w:val="115"/>
        </w:rPr>
        <w:t>disputes</w:t>
      </w:r>
    </w:p>
    <w:p>
      <w:pPr>
        <w:pStyle w:val="BodyText"/>
        <w:rPr>
          <w:b/>
          <w:sz w:val="52"/>
        </w:rPr>
      </w:pPr>
    </w:p>
    <w:p>
      <w:pPr>
        <w:pStyle w:val="BodyText"/>
        <w:rPr>
          <w:b/>
          <w:sz w:val="52"/>
        </w:rPr>
      </w:pPr>
    </w:p>
    <w:p>
      <w:pPr>
        <w:pStyle w:val="BodyText"/>
        <w:rPr>
          <w:b/>
          <w:sz w:val="52"/>
        </w:rPr>
      </w:pPr>
    </w:p>
    <w:p>
      <w:pPr>
        <w:pStyle w:val="BodyText"/>
        <w:spacing w:before="5"/>
        <w:rPr>
          <w:b/>
          <w:sz w:val="57"/>
        </w:rPr>
      </w:pPr>
    </w:p>
    <w:p>
      <w:pPr>
        <w:pStyle w:val="Heading4"/>
        <w:spacing w:before="1"/>
      </w:pPr>
      <w:r>
        <w:rPr>
          <w:color w:val="658464"/>
          <w:w w:val="110"/>
        </w:rPr>
        <w:t>Introduction</w:t>
      </w:r>
    </w:p>
    <w:p>
      <w:pPr>
        <w:pStyle w:val="ListParagraph"/>
        <w:numPr>
          <w:ilvl w:val="1"/>
          <w:numId w:val="16"/>
        </w:numPr>
        <w:tabs>
          <w:tab w:pos="2380" w:val="left" w:leader="none"/>
          <w:tab w:pos="2381" w:val="left" w:leader="none"/>
        </w:tabs>
        <w:spacing w:line="242" w:lineRule="auto" w:before="155" w:after="0"/>
        <w:ind w:left="2381" w:right="1585" w:hanging="794"/>
        <w:jc w:val="left"/>
        <w:rPr>
          <w:sz w:val="21"/>
        </w:rPr>
      </w:pPr>
      <w:r>
        <w:rPr>
          <w:w w:val="105"/>
          <w:sz w:val="21"/>
        </w:rPr>
        <w:t>This </w:t>
      </w:r>
      <w:r>
        <w:rPr>
          <w:spacing w:val="-3"/>
          <w:w w:val="105"/>
          <w:sz w:val="21"/>
        </w:rPr>
        <w:t>chapter makes recommendations </w:t>
      </w:r>
      <w:r>
        <w:rPr>
          <w:w w:val="105"/>
          <w:sz w:val="21"/>
        </w:rPr>
        <w:t>about the decision-making </w:t>
      </w:r>
      <w:r>
        <w:rPr>
          <w:spacing w:val="-3"/>
          <w:w w:val="105"/>
          <w:sz w:val="21"/>
        </w:rPr>
        <w:t>principles that </w:t>
      </w:r>
      <w:r>
        <w:rPr>
          <w:w w:val="105"/>
          <w:sz w:val="21"/>
        </w:rPr>
        <w:t>should be </w:t>
      </w:r>
      <w:r>
        <w:rPr>
          <w:spacing w:val="-3"/>
          <w:w w:val="105"/>
          <w:sz w:val="21"/>
        </w:rPr>
        <w:t>contained </w:t>
      </w:r>
      <w:r>
        <w:rPr>
          <w:w w:val="105"/>
          <w:sz w:val="21"/>
        </w:rPr>
        <w:t>in the new Act. Decision-making </w:t>
      </w:r>
      <w:r>
        <w:rPr>
          <w:spacing w:val="-3"/>
          <w:w w:val="105"/>
          <w:sz w:val="21"/>
        </w:rPr>
        <w:t>principles </w:t>
      </w:r>
      <w:r>
        <w:rPr>
          <w:w w:val="105"/>
          <w:sz w:val="21"/>
        </w:rPr>
        <w:t>in Victorian </w:t>
      </w:r>
      <w:r>
        <w:rPr>
          <w:spacing w:val="-3"/>
          <w:w w:val="105"/>
          <w:sz w:val="21"/>
        </w:rPr>
        <w:t>planning </w:t>
      </w:r>
      <w:r>
        <w:rPr>
          <w:w w:val="105"/>
          <w:sz w:val="21"/>
        </w:rPr>
        <w:t>schemes, local</w:t>
      </w:r>
      <w:r>
        <w:rPr>
          <w:spacing w:val="-10"/>
          <w:w w:val="105"/>
          <w:sz w:val="21"/>
        </w:rPr>
        <w:t> </w:t>
      </w:r>
      <w:r>
        <w:rPr>
          <w:w w:val="105"/>
          <w:sz w:val="21"/>
        </w:rPr>
        <w:t>laws</w:t>
      </w:r>
      <w:r>
        <w:rPr>
          <w:spacing w:val="-10"/>
          <w:w w:val="105"/>
          <w:sz w:val="21"/>
        </w:rPr>
        <w:t> </w:t>
      </w:r>
      <w:r>
        <w:rPr>
          <w:w w:val="105"/>
          <w:sz w:val="21"/>
        </w:rPr>
        <w:t>and</w:t>
      </w:r>
      <w:r>
        <w:rPr>
          <w:spacing w:val="-10"/>
          <w:w w:val="105"/>
          <w:sz w:val="21"/>
        </w:rPr>
        <w:t> </w:t>
      </w:r>
      <w:r>
        <w:rPr>
          <w:w w:val="105"/>
          <w:sz w:val="21"/>
        </w:rPr>
        <w:t>interstate</w:t>
      </w:r>
      <w:r>
        <w:rPr>
          <w:spacing w:val="-10"/>
          <w:w w:val="105"/>
          <w:sz w:val="21"/>
        </w:rPr>
        <w:t> </w:t>
      </w:r>
      <w:r>
        <w:rPr>
          <w:w w:val="105"/>
          <w:sz w:val="21"/>
        </w:rPr>
        <w:t>Acts</w:t>
      </w:r>
      <w:r>
        <w:rPr>
          <w:spacing w:val="-10"/>
          <w:w w:val="105"/>
          <w:sz w:val="21"/>
        </w:rPr>
        <w:t> </w:t>
      </w:r>
      <w:r>
        <w:rPr>
          <w:spacing w:val="-3"/>
          <w:w w:val="105"/>
          <w:sz w:val="21"/>
        </w:rPr>
        <w:t>are</w:t>
      </w:r>
      <w:r>
        <w:rPr>
          <w:spacing w:val="-9"/>
          <w:w w:val="105"/>
          <w:sz w:val="21"/>
        </w:rPr>
        <w:t> </w:t>
      </w:r>
      <w:r>
        <w:rPr>
          <w:spacing w:val="-2"/>
          <w:w w:val="105"/>
          <w:sz w:val="21"/>
        </w:rPr>
        <w:t>examined</w:t>
      </w:r>
      <w:r>
        <w:rPr>
          <w:spacing w:val="-10"/>
          <w:w w:val="105"/>
          <w:sz w:val="21"/>
        </w:rPr>
        <w:t> </w:t>
      </w:r>
      <w:r>
        <w:rPr>
          <w:w w:val="105"/>
          <w:sz w:val="21"/>
        </w:rPr>
        <w:t>as</w:t>
      </w:r>
      <w:r>
        <w:rPr>
          <w:spacing w:val="-10"/>
          <w:w w:val="105"/>
          <w:sz w:val="21"/>
        </w:rPr>
        <w:t> </w:t>
      </w:r>
      <w:r>
        <w:rPr>
          <w:spacing w:val="-3"/>
          <w:w w:val="105"/>
          <w:sz w:val="21"/>
        </w:rPr>
        <w:t>well</w:t>
      </w:r>
      <w:r>
        <w:rPr>
          <w:spacing w:val="-10"/>
          <w:w w:val="105"/>
          <w:sz w:val="21"/>
        </w:rPr>
        <w:t> </w:t>
      </w:r>
      <w:r>
        <w:rPr>
          <w:w w:val="105"/>
          <w:sz w:val="21"/>
        </w:rPr>
        <w:t>as</w:t>
      </w:r>
      <w:r>
        <w:rPr>
          <w:spacing w:val="-10"/>
          <w:w w:val="105"/>
          <w:sz w:val="21"/>
        </w:rPr>
        <w:t> </w:t>
      </w:r>
      <w:r>
        <w:rPr>
          <w:w w:val="105"/>
          <w:sz w:val="21"/>
        </w:rPr>
        <w:t>community</w:t>
      </w:r>
      <w:r>
        <w:rPr>
          <w:spacing w:val="-10"/>
          <w:w w:val="105"/>
          <w:sz w:val="21"/>
        </w:rPr>
        <w:t> </w:t>
      </w:r>
      <w:r>
        <w:rPr>
          <w:w w:val="105"/>
          <w:sz w:val="21"/>
        </w:rPr>
        <w:t>views</w:t>
      </w:r>
      <w:r>
        <w:rPr>
          <w:spacing w:val="-9"/>
          <w:w w:val="105"/>
          <w:sz w:val="21"/>
        </w:rPr>
        <w:t> </w:t>
      </w:r>
      <w:r>
        <w:rPr>
          <w:w w:val="105"/>
          <w:sz w:val="21"/>
        </w:rPr>
        <w:t>about</w:t>
      </w:r>
      <w:r>
        <w:rPr>
          <w:spacing w:val="-10"/>
          <w:w w:val="105"/>
          <w:sz w:val="21"/>
        </w:rPr>
        <w:t> </w:t>
      </w:r>
      <w:r>
        <w:rPr>
          <w:w w:val="105"/>
          <w:sz w:val="21"/>
        </w:rPr>
        <w:t>the</w:t>
      </w:r>
      <w:r>
        <w:rPr>
          <w:spacing w:val="-10"/>
          <w:w w:val="105"/>
          <w:sz w:val="21"/>
        </w:rPr>
        <w:t> </w:t>
      </w:r>
      <w:r>
        <w:rPr>
          <w:w w:val="105"/>
          <w:sz w:val="21"/>
        </w:rPr>
        <w:t>matters a decision </w:t>
      </w:r>
      <w:r>
        <w:rPr>
          <w:spacing w:val="-4"/>
          <w:w w:val="105"/>
          <w:sz w:val="21"/>
        </w:rPr>
        <w:t>maker </w:t>
      </w:r>
      <w:r>
        <w:rPr>
          <w:w w:val="105"/>
          <w:sz w:val="21"/>
        </w:rPr>
        <w:t>should </w:t>
      </w:r>
      <w:r>
        <w:rPr>
          <w:spacing w:val="-3"/>
          <w:w w:val="105"/>
          <w:sz w:val="21"/>
        </w:rPr>
        <w:t>consider </w:t>
      </w:r>
      <w:r>
        <w:rPr>
          <w:w w:val="105"/>
          <w:sz w:val="21"/>
        </w:rPr>
        <w:t>in tree</w:t>
      </w:r>
      <w:r>
        <w:rPr>
          <w:spacing w:val="35"/>
          <w:w w:val="105"/>
          <w:sz w:val="21"/>
        </w:rPr>
        <w:t> </w:t>
      </w:r>
      <w:r>
        <w:rPr>
          <w:spacing w:val="-3"/>
          <w:w w:val="105"/>
          <w:sz w:val="21"/>
        </w:rPr>
        <w:t>disputes.</w:t>
      </w:r>
    </w:p>
    <w:p>
      <w:pPr>
        <w:pStyle w:val="ListParagraph"/>
        <w:numPr>
          <w:ilvl w:val="1"/>
          <w:numId w:val="16"/>
        </w:numPr>
        <w:tabs>
          <w:tab w:pos="2380" w:val="left" w:leader="none"/>
          <w:tab w:pos="2381" w:val="left" w:leader="none"/>
        </w:tabs>
        <w:spacing w:line="242" w:lineRule="auto" w:before="124" w:after="0"/>
        <w:ind w:left="2381" w:right="1880" w:hanging="794"/>
        <w:jc w:val="left"/>
        <w:rPr>
          <w:sz w:val="21"/>
        </w:rPr>
      </w:pPr>
      <w:r>
        <w:rPr>
          <w:w w:val="105"/>
          <w:sz w:val="21"/>
        </w:rPr>
        <w:t>This </w:t>
      </w:r>
      <w:r>
        <w:rPr>
          <w:spacing w:val="-3"/>
          <w:w w:val="105"/>
          <w:sz w:val="21"/>
        </w:rPr>
        <w:t>chapter </w:t>
      </w:r>
      <w:r>
        <w:rPr>
          <w:w w:val="105"/>
          <w:sz w:val="21"/>
        </w:rPr>
        <w:t>also </w:t>
      </w:r>
      <w:r>
        <w:rPr>
          <w:spacing w:val="-3"/>
          <w:w w:val="105"/>
          <w:sz w:val="21"/>
        </w:rPr>
        <w:t>makes recommendations </w:t>
      </w:r>
      <w:r>
        <w:rPr>
          <w:w w:val="105"/>
          <w:sz w:val="21"/>
        </w:rPr>
        <w:t>about the use of expert evidence </w:t>
      </w:r>
      <w:r>
        <w:rPr>
          <w:spacing w:val="-3"/>
          <w:w w:val="105"/>
          <w:sz w:val="21"/>
        </w:rPr>
        <w:t>to </w:t>
      </w:r>
      <w:r>
        <w:rPr>
          <w:w w:val="105"/>
          <w:sz w:val="21"/>
        </w:rPr>
        <w:t>help the Victorian </w:t>
      </w:r>
      <w:r>
        <w:rPr>
          <w:spacing w:val="-3"/>
          <w:w w:val="105"/>
          <w:sz w:val="21"/>
        </w:rPr>
        <w:t>Civil </w:t>
      </w:r>
      <w:r>
        <w:rPr>
          <w:w w:val="105"/>
          <w:sz w:val="21"/>
        </w:rPr>
        <w:t>and </w:t>
      </w:r>
      <w:r>
        <w:rPr>
          <w:spacing w:val="-3"/>
          <w:w w:val="105"/>
          <w:sz w:val="21"/>
        </w:rPr>
        <w:t>Administrative </w:t>
      </w:r>
      <w:r>
        <w:rPr>
          <w:spacing w:val="-5"/>
          <w:w w:val="105"/>
          <w:sz w:val="21"/>
        </w:rPr>
        <w:t>Tribunal </w:t>
      </w:r>
      <w:r>
        <w:rPr>
          <w:w w:val="105"/>
          <w:sz w:val="21"/>
        </w:rPr>
        <w:t>(VCAT) in its decision-making process. It </w:t>
      </w:r>
      <w:r>
        <w:rPr>
          <w:spacing w:val="-3"/>
          <w:w w:val="105"/>
          <w:sz w:val="21"/>
        </w:rPr>
        <w:t>includes</w:t>
      </w:r>
      <w:r>
        <w:rPr>
          <w:spacing w:val="-6"/>
          <w:w w:val="105"/>
          <w:sz w:val="21"/>
        </w:rPr>
        <w:t> </w:t>
      </w:r>
      <w:r>
        <w:rPr>
          <w:spacing w:val="-3"/>
          <w:w w:val="105"/>
          <w:sz w:val="21"/>
        </w:rPr>
        <w:t>recommendations</w:t>
      </w:r>
      <w:r>
        <w:rPr>
          <w:spacing w:val="-5"/>
          <w:w w:val="105"/>
          <w:sz w:val="21"/>
        </w:rPr>
        <w:t> </w:t>
      </w:r>
      <w:r>
        <w:rPr>
          <w:w w:val="105"/>
          <w:sz w:val="21"/>
        </w:rPr>
        <w:t>about</w:t>
      </w:r>
      <w:r>
        <w:rPr>
          <w:spacing w:val="-5"/>
          <w:w w:val="105"/>
          <w:sz w:val="21"/>
        </w:rPr>
        <w:t> </w:t>
      </w:r>
      <w:r>
        <w:rPr>
          <w:w w:val="105"/>
          <w:sz w:val="21"/>
        </w:rPr>
        <w:t>who</w:t>
      </w:r>
      <w:r>
        <w:rPr>
          <w:spacing w:val="-5"/>
          <w:w w:val="105"/>
          <w:sz w:val="21"/>
        </w:rPr>
        <w:t> </w:t>
      </w:r>
      <w:r>
        <w:rPr>
          <w:w w:val="105"/>
          <w:sz w:val="21"/>
        </w:rPr>
        <w:t>should</w:t>
      </w:r>
      <w:r>
        <w:rPr>
          <w:spacing w:val="-5"/>
          <w:w w:val="105"/>
          <w:sz w:val="21"/>
        </w:rPr>
        <w:t> </w:t>
      </w:r>
      <w:r>
        <w:rPr>
          <w:w w:val="105"/>
          <w:sz w:val="21"/>
        </w:rPr>
        <w:t>give</w:t>
      </w:r>
      <w:r>
        <w:rPr>
          <w:spacing w:val="-5"/>
          <w:w w:val="105"/>
          <w:sz w:val="21"/>
        </w:rPr>
        <w:t> </w:t>
      </w:r>
      <w:r>
        <w:rPr>
          <w:w w:val="105"/>
          <w:sz w:val="21"/>
        </w:rPr>
        <w:t>expert</w:t>
      </w:r>
      <w:r>
        <w:rPr>
          <w:spacing w:val="-6"/>
          <w:w w:val="105"/>
          <w:sz w:val="21"/>
        </w:rPr>
        <w:t> </w:t>
      </w:r>
      <w:r>
        <w:rPr>
          <w:spacing w:val="-3"/>
          <w:w w:val="105"/>
          <w:sz w:val="21"/>
        </w:rPr>
        <w:t>evidence,</w:t>
      </w:r>
      <w:r>
        <w:rPr>
          <w:spacing w:val="-5"/>
          <w:w w:val="105"/>
          <w:sz w:val="21"/>
        </w:rPr>
        <w:t> </w:t>
      </w:r>
      <w:r>
        <w:rPr>
          <w:w w:val="105"/>
          <w:sz w:val="21"/>
        </w:rPr>
        <w:t>what</w:t>
      </w:r>
      <w:r>
        <w:rPr>
          <w:spacing w:val="-5"/>
          <w:w w:val="105"/>
          <w:sz w:val="21"/>
        </w:rPr>
        <w:t> </w:t>
      </w:r>
      <w:r>
        <w:rPr>
          <w:spacing w:val="-3"/>
          <w:w w:val="105"/>
          <w:sz w:val="21"/>
        </w:rPr>
        <w:t>qualifications </w:t>
      </w:r>
      <w:r>
        <w:rPr>
          <w:w w:val="105"/>
          <w:sz w:val="21"/>
        </w:rPr>
        <w:t>they should </w:t>
      </w:r>
      <w:r>
        <w:rPr>
          <w:spacing w:val="-4"/>
          <w:w w:val="105"/>
          <w:sz w:val="21"/>
        </w:rPr>
        <w:t>have, </w:t>
      </w:r>
      <w:r>
        <w:rPr>
          <w:w w:val="105"/>
          <w:sz w:val="21"/>
        </w:rPr>
        <w:t>and the </w:t>
      </w:r>
      <w:r>
        <w:rPr>
          <w:spacing w:val="-3"/>
          <w:w w:val="105"/>
          <w:sz w:val="21"/>
        </w:rPr>
        <w:t>format </w:t>
      </w:r>
      <w:r>
        <w:rPr>
          <w:w w:val="105"/>
          <w:sz w:val="21"/>
        </w:rPr>
        <w:t>of their</w:t>
      </w:r>
      <w:r>
        <w:rPr>
          <w:spacing w:val="38"/>
          <w:w w:val="105"/>
          <w:sz w:val="21"/>
        </w:rPr>
        <w:t> </w:t>
      </w:r>
      <w:r>
        <w:rPr>
          <w:spacing w:val="-3"/>
          <w:w w:val="105"/>
          <w:sz w:val="21"/>
        </w:rPr>
        <w:t>evidence.</w:t>
      </w:r>
    </w:p>
    <w:p>
      <w:pPr>
        <w:pStyle w:val="BodyText"/>
        <w:spacing w:before="11"/>
      </w:pPr>
    </w:p>
    <w:p>
      <w:pPr>
        <w:pStyle w:val="Heading4"/>
      </w:pPr>
      <w:r>
        <w:rPr>
          <w:color w:val="658464"/>
          <w:w w:val="115"/>
        </w:rPr>
        <w:t>Decision-making principles</w:t>
      </w:r>
    </w:p>
    <w:p>
      <w:pPr>
        <w:pStyle w:val="ListParagraph"/>
        <w:numPr>
          <w:ilvl w:val="1"/>
          <w:numId w:val="16"/>
        </w:numPr>
        <w:tabs>
          <w:tab w:pos="2381" w:val="left" w:leader="none"/>
          <w:tab w:pos="2382" w:val="left" w:leader="none"/>
        </w:tabs>
        <w:spacing w:line="242" w:lineRule="auto" w:before="155" w:after="0"/>
        <w:ind w:left="2381" w:right="1988" w:hanging="794"/>
        <w:jc w:val="left"/>
        <w:rPr>
          <w:sz w:val="21"/>
        </w:rPr>
      </w:pPr>
      <w:r>
        <w:rPr>
          <w:w w:val="105"/>
          <w:sz w:val="21"/>
        </w:rPr>
        <w:t>A </w:t>
      </w:r>
      <w:r>
        <w:rPr>
          <w:spacing w:val="-3"/>
          <w:w w:val="105"/>
          <w:sz w:val="21"/>
        </w:rPr>
        <w:t>range </w:t>
      </w:r>
      <w:r>
        <w:rPr>
          <w:w w:val="105"/>
          <w:sz w:val="21"/>
        </w:rPr>
        <w:t>of existing laws and </w:t>
      </w:r>
      <w:r>
        <w:rPr>
          <w:spacing w:val="-3"/>
          <w:w w:val="105"/>
          <w:sz w:val="21"/>
        </w:rPr>
        <w:t>regulations are relevant to </w:t>
      </w:r>
      <w:r>
        <w:rPr>
          <w:w w:val="105"/>
          <w:sz w:val="21"/>
        </w:rPr>
        <w:t>the rights and </w:t>
      </w:r>
      <w:r>
        <w:rPr>
          <w:spacing w:val="-3"/>
          <w:w w:val="105"/>
          <w:sz w:val="21"/>
        </w:rPr>
        <w:t>responsibilities </w:t>
      </w:r>
      <w:r>
        <w:rPr>
          <w:w w:val="105"/>
          <w:sz w:val="21"/>
        </w:rPr>
        <w:t>of</w:t>
      </w:r>
      <w:r>
        <w:rPr>
          <w:spacing w:val="-12"/>
          <w:w w:val="105"/>
          <w:sz w:val="21"/>
        </w:rPr>
        <w:t> </w:t>
      </w:r>
      <w:r>
        <w:rPr>
          <w:w w:val="105"/>
          <w:sz w:val="21"/>
        </w:rPr>
        <w:t>parties</w:t>
      </w:r>
      <w:r>
        <w:rPr>
          <w:spacing w:val="-11"/>
          <w:w w:val="105"/>
          <w:sz w:val="21"/>
        </w:rPr>
        <w:t> </w:t>
      </w:r>
      <w:r>
        <w:rPr>
          <w:w w:val="105"/>
          <w:sz w:val="21"/>
        </w:rPr>
        <w:t>in</w:t>
      </w:r>
      <w:r>
        <w:rPr>
          <w:spacing w:val="-11"/>
          <w:w w:val="105"/>
          <w:sz w:val="21"/>
        </w:rPr>
        <w:t> </w:t>
      </w:r>
      <w:r>
        <w:rPr>
          <w:w w:val="105"/>
          <w:sz w:val="21"/>
        </w:rPr>
        <w:t>tree</w:t>
      </w:r>
      <w:r>
        <w:rPr>
          <w:spacing w:val="-11"/>
          <w:w w:val="105"/>
          <w:sz w:val="21"/>
        </w:rPr>
        <w:t> </w:t>
      </w:r>
      <w:r>
        <w:rPr>
          <w:spacing w:val="-3"/>
          <w:w w:val="105"/>
          <w:sz w:val="21"/>
        </w:rPr>
        <w:t>disputes.</w:t>
      </w:r>
      <w:r>
        <w:rPr>
          <w:spacing w:val="-12"/>
          <w:w w:val="105"/>
          <w:sz w:val="21"/>
        </w:rPr>
        <w:t> </w:t>
      </w:r>
      <w:r>
        <w:rPr>
          <w:w w:val="105"/>
          <w:sz w:val="21"/>
        </w:rPr>
        <w:t>They</w:t>
      </w:r>
      <w:r>
        <w:rPr>
          <w:spacing w:val="-11"/>
          <w:w w:val="105"/>
          <w:sz w:val="21"/>
        </w:rPr>
        <w:t> </w:t>
      </w:r>
      <w:r>
        <w:rPr>
          <w:spacing w:val="-3"/>
          <w:w w:val="105"/>
          <w:sz w:val="21"/>
        </w:rPr>
        <w:t>contain</w:t>
      </w:r>
      <w:r>
        <w:rPr>
          <w:spacing w:val="-11"/>
          <w:w w:val="105"/>
          <w:sz w:val="21"/>
        </w:rPr>
        <w:t> </w:t>
      </w:r>
      <w:r>
        <w:rPr>
          <w:w w:val="105"/>
          <w:sz w:val="21"/>
        </w:rPr>
        <w:t>decision-making</w:t>
      </w:r>
      <w:r>
        <w:rPr>
          <w:spacing w:val="-11"/>
          <w:w w:val="105"/>
          <w:sz w:val="21"/>
        </w:rPr>
        <w:t> </w:t>
      </w:r>
      <w:r>
        <w:rPr>
          <w:spacing w:val="-3"/>
          <w:w w:val="105"/>
          <w:sz w:val="21"/>
        </w:rPr>
        <w:t>principles</w:t>
      </w:r>
      <w:r>
        <w:rPr>
          <w:spacing w:val="-12"/>
          <w:w w:val="105"/>
          <w:sz w:val="21"/>
        </w:rPr>
        <w:t> </w:t>
      </w:r>
      <w:r>
        <w:rPr>
          <w:spacing w:val="-3"/>
          <w:w w:val="105"/>
          <w:sz w:val="21"/>
        </w:rPr>
        <w:t>that</w:t>
      </w:r>
      <w:r>
        <w:rPr>
          <w:spacing w:val="-11"/>
          <w:w w:val="105"/>
          <w:sz w:val="21"/>
        </w:rPr>
        <w:t> </w:t>
      </w:r>
      <w:r>
        <w:rPr>
          <w:w w:val="105"/>
          <w:sz w:val="21"/>
        </w:rPr>
        <w:t>assist</w:t>
      </w:r>
      <w:r>
        <w:rPr>
          <w:spacing w:val="-11"/>
          <w:w w:val="105"/>
          <w:sz w:val="21"/>
        </w:rPr>
        <w:t> </w:t>
      </w:r>
      <w:r>
        <w:rPr>
          <w:w w:val="105"/>
          <w:sz w:val="21"/>
        </w:rPr>
        <w:t>decision</w:t>
      </w:r>
    </w:p>
    <w:p>
      <w:pPr>
        <w:pStyle w:val="BodyText"/>
        <w:spacing w:line="242" w:lineRule="auto" w:before="2"/>
        <w:ind w:left="2381" w:right="1636"/>
      </w:pPr>
      <w:r>
        <w:rPr/>
        <w:t>makers to decide in what circumstances trees on private land may be pruned or removed. These principles have informed the Commission’s recommendations in this chapter.</w:t>
      </w:r>
    </w:p>
    <w:p>
      <w:pPr>
        <w:pStyle w:val="BodyText"/>
        <w:spacing w:before="3"/>
        <w:rPr>
          <w:sz w:val="20"/>
        </w:rPr>
      </w:pPr>
    </w:p>
    <w:p>
      <w:pPr>
        <w:pStyle w:val="Heading5"/>
      </w:pPr>
      <w:r>
        <w:rPr>
          <w:w w:val="115"/>
        </w:rPr>
        <w:t>Decision-making guidelines in planning schemes</w:t>
      </w:r>
    </w:p>
    <w:p>
      <w:pPr>
        <w:pStyle w:val="ListParagraph"/>
        <w:numPr>
          <w:ilvl w:val="1"/>
          <w:numId w:val="16"/>
        </w:numPr>
        <w:tabs>
          <w:tab w:pos="2380" w:val="left" w:leader="none"/>
          <w:tab w:pos="2382" w:val="left" w:leader="none"/>
        </w:tabs>
        <w:spacing w:line="242" w:lineRule="auto" w:before="138" w:after="0"/>
        <w:ind w:left="2381" w:right="1846" w:hanging="794"/>
        <w:jc w:val="left"/>
        <w:rPr>
          <w:sz w:val="21"/>
        </w:rPr>
      </w:pPr>
      <w:r>
        <w:rPr>
          <w:sz w:val="21"/>
        </w:rPr>
        <w:t>The </w:t>
      </w:r>
      <w:r>
        <w:rPr>
          <w:i/>
          <w:spacing w:val="-3"/>
          <w:sz w:val="21"/>
        </w:rPr>
        <w:t>Planning </w:t>
      </w:r>
      <w:r>
        <w:rPr>
          <w:i/>
          <w:sz w:val="21"/>
        </w:rPr>
        <w:t>and </w:t>
      </w:r>
      <w:r>
        <w:rPr>
          <w:i/>
          <w:spacing w:val="-3"/>
          <w:sz w:val="21"/>
        </w:rPr>
        <w:t>Environment </w:t>
      </w:r>
      <w:r>
        <w:rPr>
          <w:i/>
          <w:sz w:val="21"/>
        </w:rPr>
        <w:t>Act </w:t>
      </w:r>
      <w:r>
        <w:rPr>
          <w:i/>
          <w:spacing w:val="-6"/>
          <w:sz w:val="21"/>
        </w:rPr>
        <w:t>1987 </w:t>
      </w:r>
      <w:r>
        <w:rPr>
          <w:sz w:val="21"/>
        </w:rPr>
        <w:t>(Vic) provides the </w:t>
      </w:r>
      <w:r>
        <w:rPr>
          <w:spacing w:val="-3"/>
          <w:sz w:val="21"/>
        </w:rPr>
        <w:t>framework for  Victoria’s planning </w:t>
      </w:r>
      <w:r>
        <w:rPr>
          <w:sz w:val="21"/>
        </w:rPr>
        <w:t>system. If a </w:t>
      </w:r>
      <w:r>
        <w:rPr>
          <w:spacing w:val="-3"/>
          <w:sz w:val="21"/>
        </w:rPr>
        <w:t>regular planning </w:t>
      </w:r>
      <w:r>
        <w:rPr>
          <w:sz w:val="21"/>
        </w:rPr>
        <w:t>permit process applies and vegetation on </w:t>
      </w:r>
      <w:r>
        <w:rPr>
          <w:spacing w:val="-3"/>
          <w:sz w:val="21"/>
        </w:rPr>
        <w:t>private land </w:t>
      </w:r>
      <w:r>
        <w:rPr>
          <w:sz w:val="21"/>
        </w:rPr>
        <w:t>is protected by a </w:t>
      </w:r>
      <w:r>
        <w:rPr>
          <w:spacing w:val="-3"/>
          <w:sz w:val="21"/>
        </w:rPr>
        <w:t>Significant </w:t>
      </w:r>
      <w:r>
        <w:rPr>
          <w:sz w:val="21"/>
        </w:rPr>
        <w:t>Landscape </w:t>
      </w:r>
      <w:r>
        <w:rPr>
          <w:spacing w:val="-6"/>
          <w:sz w:val="21"/>
        </w:rPr>
        <w:t>Overlay,</w:t>
      </w:r>
      <w:r>
        <w:rPr>
          <w:spacing w:val="-6"/>
          <w:position w:val="7"/>
          <w:sz w:val="12"/>
        </w:rPr>
        <w:t>1 </w:t>
      </w:r>
      <w:r>
        <w:rPr>
          <w:sz w:val="21"/>
        </w:rPr>
        <w:t>the </w:t>
      </w:r>
      <w:r>
        <w:rPr>
          <w:spacing w:val="-3"/>
          <w:sz w:val="21"/>
        </w:rPr>
        <w:t>Environmental Significance Overlay,</w:t>
      </w:r>
      <w:r>
        <w:rPr>
          <w:spacing w:val="-3"/>
          <w:position w:val="7"/>
          <w:sz w:val="12"/>
        </w:rPr>
        <w:t>2 </w:t>
      </w:r>
      <w:r>
        <w:rPr>
          <w:sz w:val="21"/>
        </w:rPr>
        <w:t>the </w:t>
      </w:r>
      <w:r>
        <w:rPr>
          <w:spacing w:val="-3"/>
          <w:sz w:val="21"/>
        </w:rPr>
        <w:t>Vegetation </w:t>
      </w:r>
      <w:r>
        <w:rPr>
          <w:sz w:val="21"/>
        </w:rPr>
        <w:t>Protection </w:t>
      </w:r>
      <w:r>
        <w:rPr>
          <w:spacing w:val="-4"/>
          <w:sz w:val="21"/>
        </w:rPr>
        <w:t>Overlay,</w:t>
      </w:r>
      <w:r>
        <w:rPr>
          <w:spacing w:val="-4"/>
          <w:position w:val="7"/>
          <w:sz w:val="12"/>
        </w:rPr>
        <w:t>3 </w:t>
      </w:r>
      <w:r>
        <w:rPr>
          <w:sz w:val="21"/>
        </w:rPr>
        <w:t>the Heritage </w:t>
      </w:r>
      <w:r>
        <w:rPr>
          <w:spacing w:val="-3"/>
          <w:sz w:val="21"/>
        </w:rPr>
        <w:t>Overlay,</w:t>
      </w:r>
      <w:r>
        <w:rPr>
          <w:spacing w:val="-3"/>
          <w:position w:val="7"/>
          <w:sz w:val="12"/>
        </w:rPr>
        <w:t>4 </w:t>
      </w:r>
      <w:r>
        <w:rPr>
          <w:sz w:val="21"/>
        </w:rPr>
        <w:t>the </w:t>
      </w:r>
      <w:r>
        <w:rPr>
          <w:spacing w:val="-3"/>
          <w:sz w:val="21"/>
        </w:rPr>
        <w:t>Bushfire </w:t>
      </w:r>
      <w:r>
        <w:rPr>
          <w:sz w:val="21"/>
        </w:rPr>
        <w:t>Management Overlay</w:t>
      </w:r>
      <w:r>
        <w:rPr>
          <w:position w:val="7"/>
          <w:sz w:val="12"/>
        </w:rPr>
        <w:t>5 </w:t>
      </w:r>
      <w:r>
        <w:rPr>
          <w:sz w:val="21"/>
        </w:rPr>
        <w:t>or the Native </w:t>
      </w:r>
      <w:r>
        <w:rPr>
          <w:spacing w:val="-3"/>
          <w:sz w:val="21"/>
        </w:rPr>
        <w:t>Vegetation </w:t>
      </w:r>
      <w:r>
        <w:rPr>
          <w:sz w:val="21"/>
        </w:rPr>
        <w:t>Particular </w:t>
      </w:r>
      <w:r>
        <w:rPr>
          <w:spacing w:val="-3"/>
          <w:sz w:val="21"/>
        </w:rPr>
        <w:t>Provisions,</w:t>
      </w:r>
      <w:r>
        <w:rPr>
          <w:spacing w:val="-3"/>
          <w:position w:val="7"/>
          <w:sz w:val="12"/>
        </w:rPr>
        <w:t>6 </w:t>
      </w:r>
      <w:r>
        <w:rPr>
          <w:sz w:val="21"/>
        </w:rPr>
        <w:t>standard decision </w:t>
      </w:r>
      <w:r>
        <w:rPr>
          <w:spacing w:val="-3"/>
          <w:sz w:val="21"/>
        </w:rPr>
        <w:t>guidelines </w:t>
      </w:r>
      <w:r>
        <w:rPr>
          <w:sz w:val="21"/>
        </w:rPr>
        <w:t>apply </w:t>
      </w:r>
      <w:r>
        <w:rPr>
          <w:spacing w:val="-3"/>
          <w:sz w:val="21"/>
        </w:rPr>
        <w:t>for </w:t>
      </w:r>
      <w:r>
        <w:rPr>
          <w:sz w:val="21"/>
        </w:rPr>
        <w:t>each of these </w:t>
      </w:r>
      <w:r>
        <w:rPr>
          <w:spacing w:val="-3"/>
          <w:sz w:val="21"/>
        </w:rPr>
        <w:t>overlays.</w:t>
      </w:r>
      <w:r>
        <w:rPr>
          <w:spacing w:val="-3"/>
          <w:position w:val="7"/>
          <w:sz w:val="12"/>
        </w:rPr>
        <w:t>7 </w:t>
      </w:r>
      <w:r>
        <w:rPr>
          <w:sz w:val="21"/>
        </w:rPr>
        <w:t>These </w:t>
      </w:r>
      <w:r>
        <w:rPr>
          <w:spacing w:val="-3"/>
          <w:sz w:val="21"/>
        </w:rPr>
        <w:t>guidelines outline principles that </w:t>
      </w:r>
      <w:r>
        <w:rPr>
          <w:sz w:val="21"/>
        </w:rPr>
        <w:t>the </w:t>
      </w:r>
      <w:r>
        <w:rPr>
          <w:spacing w:val="-3"/>
          <w:sz w:val="21"/>
        </w:rPr>
        <w:t>relevant </w:t>
      </w:r>
      <w:r>
        <w:rPr>
          <w:sz w:val="21"/>
        </w:rPr>
        <w:t>authority must </w:t>
      </w:r>
      <w:r>
        <w:rPr>
          <w:spacing w:val="-3"/>
          <w:sz w:val="21"/>
        </w:rPr>
        <w:t>consider before granting </w:t>
      </w:r>
      <w:r>
        <w:rPr>
          <w:sz w:val="21"/>
        </w:rPr>
        <w:t>a permit. For </w:t>
      </w:r>
      <w:r>
        <w:rPr>
          <w:spacing w:val="-3"/>
          <w:sz w:val="21"/>
        </w:rPr>
        <w:t>example, </w:t>
      </w:r>
      <w:r>
        <w:rPr>
          <w:sz w:val="21"/>
        </w:rPr>
        <w:t>the decision </w:t>
      </w:r>
      <w:r>
        <w:rPr>
          <w:spacing w:val="-3"/>
          <w:sz w:val="21"/>
        </w:rPr>
        <w:t>guidelines for </w:t>
      </w:r>
      <w:r>
        <w:rPr>
          <w:sz w:val="21"/>
        </w:rPr>
        <w:t>the </w:t>
      </w:r>
      <w:r>
        <w:rPr>
          <w:spacing w:val="-3"/>
          <w:sz w:val="21"/>
        </w:rPr>
        <w:t>Vegetation </w:t>
      </w:r>
      <w:r>
        <w:rPr>
          <w:sz w:val="21"/>
        </w:rPr>
        <w:t>Protection Overlay </w:t>
      </w:r>
      <w:r>
        <w:rPr>
          <w:spacing w:val="-3"/>
          <w:sz w:val="21"/>
        </w:rPr>
        <w:t>require </w:t>
      </w:r>
      <w:r>
        <w:rPr>
          <w:sz w:val="21"/>
        </w:rPr>
        <w:t>the decision </w:t>
      </w:r>
      <w:r>
        <w:rPr>
          <w:spacing w:val="-4"/>
          <w:sz w:val="21"/>
        </w:rPr>
        <w:t>maker </w:t>
      </w:r>
      <w:r>
        <w:rPr>
          <w:spacing w:val="-3"/>
          <w:sz w:val="21"/>
        </w:rPr>
        <w:t>to </w:t>
      </w:r>
      <w:r>
        <w:rPr>
          <w:spacing w:val="-4"/>
          <w:sz w:val="21"/>
        </w:rPr>
        <w:t>consider, </w:t>
      </w:r>
      <w:r>
        <w:rPr>
          <w:sz w:val="21"/>
        </w:rPr>
        <w:t>among other</w:t>
      </w:r>
      <w:r>
        <w:rPr>
          <w:spacing w:val="16"/>
          <w:sz w:val="21"/>
        </w:rPr>
        <w:t> </w:t>
      </w:r>
      <w:r>
        <w:rPr>
          <w:sz w:val="21"/>
        </w:rPr>
        <w:t>things:</w:t>
      </w:r>
    </w:p>
    <w:p>
      <w:pPr>
        <w:pStyle w:val="BodyText"/>
        <w:rPr>
          <w:sz w:val="20"/>
        </w:rPr>
      </w:pPr>
    </w:p>
    <w:p>
      <w:pPr>
        <w:pStyle w:val="BodyText"/>
        <w:spacing w:before="7"/>
        <w:rPr>
          <w:sz w:val="19"/>
        </w:rPr>
      </w:pPr>
      <w:r>
        <w:rPr/>
        <w:pict>
          <v:line style="position:absolute;mso-position-horizontal-relative:page;mso-position-vertical-relative:paragraph;z-index:7544;mso-wrap-distance-left:0;mso-wrap-distance-right:0" from="79.370003pt,14.42092pt" to="515.905003pt,14.42092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3"/>
        </w:rPr>
      </w:pPr>
    </w:p>
    <w:p>
      <w:pPr>
        <w:spacing w:before="1"/>
        <w:ind w:left="720" w:right="0" w:firstLine="0"/>
        <w:jc w:val="left"/>
        <w:rPr>
          <w:b/>
          <w:sz w:val="24"/>
        </w:rPr>
      </w:pPr>
      <w:r>
        <w:rPr>
          <w:b/>
          <w:color w:val="658464"/>
          <w:spacing w:val="-3"/>
          <w:w w:val="110"/>
          <w:sz w:val="24"/>
        </w:rPr>
        <w:t>162</w:t>
      </w:r>
    </w:p>
    <w:p>
      <w:pPr>
        <w:tabs>
          <w:tab w:pos="1228" w:val="left" w:leader="none"/>
        </w:tabs>
        <w:spacing w:before="48"/>
        <w:ind w:left="434" w:right="3046" w:firstLine="0"/>
        <w:jc w:val="left"/>
        <w:rPr>
          <w:sz w:val="13"/>
        </w:rPr>
      </w:pPr>
      <w:r>
        <w:rPr/>
        <w:br w:type="column"/>
      </w:r>
      <w:r>
        <w:rPr>
          <w:w w:val="105"/>
          <w:sz w:val="13"/>
        </w:rPr>
        <w:t>1</w:t>
        <w:tab/>
        <w:t>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42.03.   2</w:t>
        <w:tab/>
        <w:t>Ibid, cl</w:t>
      </w:r>
      <w:r>
        <w:rPr>
          <w:spacing w:val="9"/>
          <w:w w:val="105"/>
          <w:sz w:val="13"/>
        </w:rPr>
        <w:t> </w:t>
      </w:r>
      <w:r>
        <w:rPr>
          <w:w w:val="105"/>
          <w:sz w:val="13"/>
        </w:rPr>
        <w:t>42.01.</w:t>
      </w:r>
    </w:p>
    <w:p>
      <w:pPr>
        <w:tabs>
          <w:tab w:pos="1228" w:val="left" w:leader="none"/>
        </w:tabs>
        <w:spacing w:before="3"/>
        <w:ind w:left="434" w:right="0" w:firstLine="0"/>
        <w:jc w:val="left"/>
        <w:rPr>
          <w:sz w:val="13"/>
        </w:rPr>
      </w:pPr>
      <w:r>
        <w:rPr>
          <w:w w:val="105"/>
          <w:sz w:val="13"/>
        </w:rPr>
        <w:t>3</w:t>
        <w:tab/>
        <w:t>Ibid,  cl</w:t>
      </w:r>
      <w:r>
        <w:rPr>
          <w:spacing w:val="-8"/>
          <w:w w:val="105"/>
          <w:sz w:val="13"/>
        </w:rPr>
        <w:t> </w:t>
      </w:r>
      <w:r>
        <w:rPr>
          <w:w w:val="105"/>
          <w:sz w:val="13"/>
        </w:rPr>
        <w:t>42.02.</w:t>
      </w:r>
    </w:p>
    <w:p>
      <w:pPr>
        <w:tabs>
          <w:tab w:pos="1228" w:val="left" w:leader="none"/>
        </w:tabs>
        <w:spacing w:before="1"/>
        <w:ind w:left="434" w:right="0" w:firstLine="0"/>
        <w:jc w:val="left"/>
        <w:rPr>
          <w:sz w:val="13"/>
        </w:rPr>
      </w:pPr>
      <w:r>
        <w:rPr>
          <w:w w:val="105"/>
          <w:sz w:val="13"/>
        </w:rPr>
        <w:t>4</w:t>
        <w:tab/>
        <w:t>Ibid, cl</w:t>
      </w:r>
      <w:r>
        <w:rPr>
          <w:spacing w:val="17"/>
          <w:w w:val="105"/>
          <w:sz w:val="13"/>
        </w:rPr>
        <w:t> </w:t>
      </w:r>
      <w:r>
        <w:rPr>
          <w:w w:val="105"/>
          <w:sz w:val="13"/>
        </w:rPr>
        <w:t>43.01.</w:t>
      </w:r>
    </w:p>
    <w:p>
      <w:pPr>
        <w:pStyle w:val="ListParagraph"/>
        <w:numPr>
          <w:ilvl w:val="0"/>
          <w:numId w:val="127"/>
        </w:numPr>
        <w:tabs>
          <w:tab w:pos="1228" w:val="left" w:leader="none"/>
          <w:tab w:pos="1229" w:val="left" w:leader="none"/>
        </w:tabs>
        <w:spacing w:line="240" w:lineRule="auto" w:before="1" w:after="0"/>
        <w:ind w:left="1228" w:right="1844" w:hanging="794"/>
        <w:jc w:val="left"/>
        <w:rPr>
          <w:sz w:val="13"/>
        </w:rPr>
      </w:pPr>
      <w:r>
        <w:rPr>
          <w:w w:val="105"/>
          <w:sz w:val="13"/>
        </w:rPr>
        <w:t>Ibid, cl </w:t>
      </w:r>
      <w:r>
        <w:rPr>
          <w:spacing w:val="2"/>
          <w:w w:val="105"/>
          <w:sz w:val="13"/>
        </w:rPr>
        <w:t>44.06. </w:t>
      </w:r>
      <w:r>
        <w:rPr>
          <w:w w:val="105"/>
          <w:sz w:val="13"/>
        </w:rPr>
        <w:t>Other </w:t>
      </w:r>
      <w:r>
        <w:rPr>
          <w:spacing w:val="2"/>
          <w:w w:val="105"/>
          <w:sz w:val="13"/>
        </w:rPr>
        <w:t>VPPs </w:t>
      </w:r>
      <w:r>
        <w:rPr>
          <w:w w:val="105"/>
          <w:sz w:val="13"/>
        </w:rPr>
        <w:t>that relate to bushfire and vegetation removal are: cl 53.02 ‘Bushfire Planning’; cl </w:t>
      </w:r>
      <w:r>
        <w:rPr>
          <w:spacing w:val="-4"/>
          <w:w w:val="105"/>
          <w:sz w:val="13"/>
        </w:rPr>
        <w:t>52.12 </w:t>
      </w:r>
      <w:r>
        <w:rPr>
          <w:w w:val="105"/>
          <w:sz w:val="13"/>
        </w:rPr>
        <w:t>‘Bushfire Protections: Exemptions’. See also Department of Environment, Land, Water and Planning </w:t>
      </w:r>
      <w:r>
        <w:rPr>
          <w:spacing w:val="2"/>
          <w:w w:val="105"/>
          <w:sz w:val="13"/>
        </w:rPr>
        <w:t>(Vic), </w:t>
      </w:r>
      <w:r>
        <w:rPr>
          <w:i/>
          <w:w w:val="105"/>
          <w:sz w:val="13"/>
        </w:rPr>
        <w:t>Planning Practice Note No </w:t>
      </w:r>
      <w:r>
        <w:rPr>
          <w:i/>
          <w:spacing w:val="2"/>
          <w:w w:val="105"/>
          <w:sz w:val="13"/>
        </w:rPr>
        <w:t>64: </w:t>
      </w:r>
      <w:r>
        <w:rPr>
          <w:i/>
          <w:w w:val="105"/>
          <w:sz w:val="13"/>
        </w:rPr>
        <w:t>Local Planning for </w:t>
      </w:r>
      <w:r>
        <w:rPr>
          <w:i/>
          <w:w w:val="105"/>
          <w:sz w:val="13"/>
        </w:rPr>
        <w:t>Bushfire Protection, </w:t>
      </w:r>
      <w:r>
        <w:rPr>
          <w:w w:val="105"/>
          <w:sz w:val="13"/>
        </w:rPr>
        <w:t>September 2015, 3</w:t>
      </w:r>
      <w:r>
        <w:rPr>
          <w:spacing w:val="2"/>
          <w:w w:val="105"/>
          <w:sz w:val="13"/>
        </w:rPr>
        <w:t> </w:t>
      </w:r>
      <w:r>
        <w:rPr>
          <w:w w:val="105"/>
          <w:sz w:val="13"/>
        </w:rPr>
        <w:t>&lt;</w:t>
      </w:r>
      <w:hyperlink r:id="rId206">
        <w:r>
          <w:rPr>
            <w:w w:val="105"/>
            <w:sz w:val="13"/>
          </w:rPr>
          <w:t>www.planning.vic.gov.au/publications/planning-practice-notes</w:t>
        </w:r>
      </w:hyperlink>
      <w:r>
        <w:rPr>
          <w:w w:val="105"/>
          <w:sz w:val="13"/>
        </w:rPr>
        <w:t>&gt;.</w:t>
      </w:r>
    </w:p>
    <w:p>
      <w:pPr>
        <w:pStyle w:val="ListParagraph"/>
        <w:numPr>
          <w:ilvl w:val="0"/>
          <w:numId w:val="127"/>
        </w:numPr>
        <w:tabs>
          <w:tab w:pos="1228" w:val="left" w:leader="none"/>
          <w:tab w:pos="1229" w:val="left" w:leader="none"/>
        </w:tabs>
        <w:spacing w:line="240" w:lineRule="auto" w:before="4" w:after="0"/>
        <w:ind w:left="1228" w:right="1762" w:hanging="794"/>
        <w:jc w:val="left"/>
        <w:rPr>
          <w:sz w:val="13"/>
        </w:rPr>
      </w:pPr>
      <w:r>
        <w:rPr>
          <w:w w:val="105"/>
          <w:sz w:val="13"/>
        </w:rPr>
        <w:t>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w:t>
      </w:r>
      <w:r>
        <w:rPr>
          <w:spacing w:val="-5"/>
          <w:w w:val="105"/>
          <w:sz w:val="13"/>
        </w:rPr>
        <w:t>52.17.  </w:t>
      </w:r>
      <w:r>
        <w:rPr>
          <w:w w:val="105"/>
          <w:sz w:val="13"/>
        </w:rPr>
        <w:t>Particular provisions    are specific prerequisites or planning provisions for a range of particular uses and developments. They apply consistently across the state: Department of Environment, Land, Water and Planning </w:t>
      </w:r>
      <w:r>
        <w:rPr>
          <w:spacing w:val="2"/>
          <w:w w:val="105"/>
          <w:sz w:val="13"/>
        </w:rPr>
        <w:t>(Vic), </w:t>
      </w:r>
      <w:r>
        <w:rPr>
          <w:i/>
          <w:w w:val="105"/>
          <w:sz w:val="13"/>
        </w:rPr>
        <w:t>A Practitioner’s Guide to Victorian Planning Schemes </w:t>
      </w:r>
      <w:r>
        <w:rPr>
          <w:w w:val="105"/>
          <w:sz w:val="13"/>
        </w:rPr>
        <w:t>(Version </w:t>
      </w:r>
      <w:r>
        <w:rPr>
          <w:spacing w:val="-5"/>
          <w:w w:val="105"/>
          <w:sz w:val="13"/>
        </w:rPr>
        <w:t>1.1, </w:t>
      </w:r>
      <w:r>
        <w:rPr>
          <w:w w:val="105"/>
          <w:sz w:val="13"/>
        </w:rPr>
        <w:t>October 2018) [3.4]</w:t>
      </w:r>
      <w:r>
        <w:rPr>
          <w:spacing w:val="6"/>
          <w:w w:val="105"/>
          <w:sz w:val="13"/>
        </w:rPr>
        <w:t> </w:t>
      </w:r>
      <w:r>
        <w:rPr>
          <w:spacing w:val="2"/>
          <w:w w:val="105"/>
          <w:sz w:val="13"/>
        </w:rPr>
        <w:t>&lt;https://</w:t>
      </w:r>
      <w:hyperlink r:id="rId207">
        <w:r>
          <w:rPr>
            <w:spacing w:val="2"/>
            <w:w w:val="105"/>
            <w:sz w:val="13"/>
          </w:rPr>
          <w:t>www.planning.vic.gov.au/guide-home/a-practitioners-guide-to-victorian-planning-schemes</w:t>
        </w:r>
      </w:hyperlink>
      <w:r>
        <w:rPr>
          <w:spacing w:val="2"/>
          <w:w w:val="105"/>
          <w:sz w:val="13"/>
        </w:rPr>
        <w:t>&gt;.</w:t>
      </w:r>
    </w:p>
    <w:p>
      <w:pPr>
        <w:pStyle w:val="ListParagraph"/>
        <w:numPr>
          <w:ilvl w:val="0"/>
          <w:numId w:val="127"/>
        </w:numPr>
        <w:tabs>
          <w:tab w:pos="1228" w:val="left" w:leader="none"/>
          <w:tab w:pos="1229" w:val="left" w:leader="none"/>
        </w:tabs>
        <w:spacing w:line="240" w:lineRule="auto" w:before="6" w:after="0"/>
        <w:ind w:left="1228" w:right="1763" w:hanging="794"/>
        <w:jc w:val="left"/>
        <w:rPr>
          <w:sz w:val="13"/>
        </w:rPr>
      </w:pPr>
      <w:r>
        <w:rPr>
          <w:w w:val="105"/>
          <w:sz w:val="13"/>
        </w:rPr>
        <w:t>These decision guidelines in overlays or schedules to overlays must also be considered as part of the VicSmart permit application process. For the native vegetation particular provisions these guidelines are encompassed within the Department of Environment, Land, Water    and</w:t>
      </w:r>
      <w:r>
        <w:rPr>
          <w:spacing w:val="8"/>
          <w:w w:val="105"/>
          <w:sz w:val="13"/>
        </w:rPr>
        <w:t> </w:t>
      </w:r>
      <w:r>
        <w:rPr>
          <w:w w:val="105"/>
          <w:sz w:val="13"/>
        </w:rPr>
        <w:t>Planning</w:t>
      </w:r>
      <w:r>
        <w:rPr>
          <w:i/>
          <w:w w:val="105"/>
          <w:sz w:val="13"/>
        </w:rPr>
        <w:t>,</w:t>
      </w:r>
      <w:r>
        <w:rPr>
          <w:i/>
          <w:spacing w:val="8"/>
          <w:w w:val="105"/>
          <w:sz w:val="13"/>
        </w:rPr>
        <w:t> </w:t>
      </w:r>
      <w:r>
        <w:rPr>
          <w:i/>
          <w:w w:val="105"/>
          <w:sz w:val="13"/>
        </w:rPr>
        <w:t>Guidelines</w:t>
      </w:r>
      <w:r>
        <w:rPr>
          <w:i/>
          <w:spacing w:val="8"/>
          <w:w w:val="105"/>
          <w:sz w:val="13"/>
        </w:rPr>
        <w:t> </w:t>
      </w:r>
      <w:r>
        <w:rPr>
          <w:i/>
          <w:w w:val="105"/>
          <w:sz w:val="13"/>
        </w:rPr>
        <w:t>for</w:t>
      </w:r>
      <w:r>
        <w:rPr>
          <w:i/>
          <w:spacing w:val="9"/>
          <w:w w:val="105"/>
          <w:sz w:val="13"/>
        </w:rPr>
        <w:t> </w:t>
      </w:r>
      <w:r>
        <w:rPr>
          <w:i/>
          <w:w w:val="105"/>
          <w:sz w:val="13"/>
        </w:rPr>
        <w:t>the</w:t>
      </w:r>
      <w:r>
        <w:rPr>
          <w:i/>
          <w:spacing w:val="8"/>
          <w:w w:val="105"/>
          <w:sz w:val="13"/>
        </w:rPr>
        <w:t> </w:t>
      </w:r>
      <w:r>
        <w:rPr>
          <w:i/>
          <w:w w:val="105"/>
          <w:sz w:val="13"/>
        </w:rPr>
        <w:t>Removal,</w:t>
      </w:r>
      <w:r>
        <w:rPr>
          <w:i/>
          <w:spacing w:val="8"/>
          <w:w w:val="105"/>
          <w:sz w:val="13"/>
        </w:rPr>
        <w:t> </w:t>
      </w:r>
      <w:r>
        <w:rPr>
          <w:i/>
          <w:w w:val="105"/>
          <w:sz w:val="13"/>
        </w:rPr>
        <w:t>Destruction</w:t>
      </w:r>
      <w:r>
        <w:rPr>
          <w:i/>
          <w:spacing w:val="9"/>
          <w:w w:val="105"/>
          <w:sz w:val="13"/>
        </w:rPr>
        <w:t> </w:t>
      </w:r>
      <w:r>
        <w:rPr>
          <w:i/>
          <w:w w:val="105"/>
          <w:sz w:val="13"/>
        </w:rPr>
        <w:t>or</w:t>
      </w:r>
      <w:r>
        <w:rPr>
          <w:i/>
          <w:spacing w:val="8"/>
          <w:w w:val="105"/>
          <w:sz w:val="13"/>
        </w:rPr>
        <w:t> </w:t>
      </w:r>
      <w:r>
        <w:rPr>
          <w:i/>
          <w:w w:val="105"/>
          <w:sz w:val="13"/>
        </w:rPr>
        <w:t>Lopping</w:t>
      </w:r>
      <w:r>
        <w:rPr>
          <w:i/>
          <w:spacing w:val="8"/>
          <w:w w:val="105"/>
          <w:sz w:val="13"/>
        </w:rPr>
        <w:t> </w:t>
      </w:r>
      <w:r>
        <w:rPr>
          <w:i/>
          <w:w w:val="105"/>
          <w:sz w:val="13"/>
        </w:rPr>
        <w:t>of</w:t>
      </w:r>
      <w:r>
        <w:rPr>
          <w:i/>
          <w:spacing w:val="9"/>
          <w:w w:val="105"/>
          <w:sz w:val="13"/>
        </w:rPr>
        <w:t> </w:t>
      </w:r>
      <w:r>
        <w:rPr>
          <w:i/>
          <w:w w:val="105"/>
          <w:sz w:val="13"/>
        </w:rPr>
        <w:t>Native</w:t>
      </w:r>
      <w:r>
        <w:rPr>
          <w:i/>
          <w:spacing w:val="8"/>
          <w:w w:val="105"/>
          <w:sz w:val="13"/>
        </w:rPr>
        <w:t> </w:t>
      </w:r>
      <w:r>
        <w:rPr>
          <w:i/>
          <w:w w:val="105"/>
          <w:sz w:val="13"/>
        </w:rPr>
        <w:t>Vegetation</w:t>
      </w:r>
      <w:r>
        <w:rPr>
          <w:i/>
          <w:spacing w:val="8"/>
          <w:w w:val="105"/>
          <w:sz w:val="13"/>
        </w:rPr>
        <w:t> </w:t>
      </w:r>
      <w:r>
        <w:rPr>
          <w:w w:val="105"/>
          <w:sz w:val="13"/>
        </w:rPr>
        <w:t>(2017),</w:t>
      </w:r>
      <w:r>
        <w:rPr>
          <w:spacing w:val="8"/>
          <w:w w:val="105"/>
          <w:sz w:val="13"/>
        </w:rPr>
        <w:t> </w:t>
      </w:r>
      <w:r>
        <w:rPr>
          <w:w w:val="105"/>
          <w:sz w:val="13"/>
        </w:rPr>
        <w:t>an</w:t>
      </w:r>
      <w:r>
        <w:rPr>
          <w:spacing w:val="9"/>
          <w:w w:val="105"/>
          <w:sz w:val="13"/>
        </w:rPr>
        <w:t> </w:t>
      </w:r>
      <w:r>
        <w:rPr>
          <w:w w:val="105"/>
          <w:sz w:val="13"/>
        </w:rPr>
        <w:t>incorporated</w:t>
      </w:r>
      <w:r>
        <w:rPr>
          <w:spacing w:val="8"/>
          <w:w w:val="105"/>
          <w:sz w:val="13"/>
        </w:rPr>
        <w:t> </w:t>
      </w:r>
      <w:r>
        <w:rPr>
          <w:w w:val="105"/>
          <w:sz w:val="13"/>
        </w:rPr>
        <w:t>document</w:t>
      </w:r>
      <w:r>
        <w:rPr>
          <w:spacing w:val="8"/>
          <w:w w:val="105"/>
          <w:sz w:val="13"/>
        </w:rPr>
        <w:t> </w:t>
      </w:r>
      <w:r>
        <w:rPr>
          <w:w w:val="105"/>
          <w:sz w:val="13"/>
        </w:rPr>
        <w:t>in</w:t>
      </w:r>
      <w:r>
        <w:rPr>
          <w:spacing w:val="9"/>
          <w:w w:val="105"/>
          <w:sz w:val="13"/>
        </w:rPr>
        <w:t> </w:t>
      </w:r>
      <w:r>
        <w:rPr>
          <w:w w:val="105"/>
          <w:sz w:val="13"/>
        </w:rPr>
        <w:t>all</w:t>
      </w:r>
      <w:r>
        <w:rPr>
          <w:spacing w:val="8"/>
          <w:w w:val="105"/>
          <w:sz w:val="13"/>
        </w:rPr>
        <w:t> </w:t>
      </w:r>
      <w:r>
        <w:rPr>
          <w:w w:val="105"/>
          <w:sz w:val="13"/>
        </w:rPr>
        <w:t>Victorian</w:t>
      </w:r>
    </w:p>
    <w:p>
      <w:pPr>
        <w:spacing w:before="4"/>
        <w:ind w:left="1228" w:right="1579" w:firstLine="0"/>
        <w:jc w:val="left"/>
        <w:rPr>
          <w:sz w:val="13"/>
        </w:rPr>
      </w:pPr>
      <w:r>
        <w:rPr>
          <w:w w:val="105"/>
          <w:sz w:val="13"/>
        </w:rPr>
        <w:t>planning schemes: see Department of Environment, Land, Water and Planning (Vic), </w:t>
      </w:r>
      <w:r>
        <w:rPr>
          <w:i/>
          <w:w w:val="105"/>
          <w:sz w:val="13"/>
        </w:rPr>
        <w:t>Victoria Planning Provisions </w:t>
      </w:r>
      <w:r>
        <w:rPr>
          <w:w w:val="105"/>
          <w:sz w:val="13"/>
        </w:rPr>
        <w:t>(11 April 2019) cl 59.06-2 ‘Decision guidelines’; 72.04 ‘Documents incorporated in this planning scheme’.</w:t>
      </w:r>
    </w:p>
    <w:p>
      <w:pPr>
        <w:spacing w:after="0"/>
        <w:jc w:val="left"/>
        <w:rPr>
          <w:sz w:val="13"/>
        </w:rPr>
        <w:sectPr>
          <w:type w:val="continuous"/>
          <w:pgSz w:w="11910" w:h="16840"/>
          <w:pgMar w:top="300" w:bottom="280" w:left="0" w:right="0"/>
          <w:cols w:num="2" w:equalWidth="0">
            <w:col w:w="1113" w:space="40"/>
            <w:col w:w="10757"/>
          </w:cols>
        </w:sectPr>
      </w:pPr>
    </w:p>
    <w:p>
      <w:pPr>
        <w:pStyle w:val="BodyText"/>
        <w:rPr>
          <w:sz w:val="20"/>
        </w:rPr>
      </w:pPr>
    </w:p>
    <w:p>
      <w:pPr>
        <w:pStyle w:val="BodyText"/>
        <w:spacing w:before="9"/>
        <w:rPr>
          <w:sz w:val="18"/>
        </w:rPr>
      </w:pPr>
    </w:p>
    <w:p>
      <w:pPr>
        <w:pStyle w:val="ListParagraph"/>
        <w:numPr>
          <w:ilvl w:val="1"/>
          <w:numId w:val="127"/>
        </w:numPr>
        <w:tabs>
          <w:tab w:pos="2721" w:val="left" w:leader="none"/>
          <w:tab w:pos="2722" w:val="left" w:leader="none"/>
        </w:tabs>
        <w:spacing w:line="242" w:lineRule="auto" w:before="91" w:after="0"/>
        <w:ind w:left="2721" w:right="1679" w:hanging="340"/>
        <w:jc w:val="left"/>
        <w:rPr>
          <w:sz w:val="21"/>
        </w:rPr>
      </w:pPr>
      <w:r>
        <w:rPr>
          <w:w w:val="105"/>
          <w:sz w:val="21"/>
        </w:rPr>
        <w:t>the effect of the proposed </w:t>
      </w:r>
      <w:r>
        <w:rPr>
          <w:spacing w:val="-3"/>
          <w:w w:val="105"/>
          <w:sz w:val="21"/>
        </w:rPr>
        <w:t>use, building, </w:t>
      </w:r>
      <w:r>
        <w:rPr>
          <w:w w:val="105"/>
          <w:sz w:val="21"/>
        </w:rPr>
        <w:t>works or </w:t>
      </w:r>
      <w:r>
        <w:rPr>
          <w:spacing w:val="-3"/>
          <w:w w:val="105"/>
          <w:sz w:val="21"/>
        </w:rPr>
        <w:t>subdivision </w:t>
      </w:r>
      <w:r>
        <w:rPr>
          <w:w w:val="105"/>
          <w:sz w:val="21"/>
        </w:rPr>
        <w:t>on the </w:t>
      </w:r>
      <w:r>
        <w:rPr>
          <w:spacing w:val="-3"/>
          <w:w w:val="105"/>
          <w:sz w:val="21"/>
        </w:rPr>
        <w:t>nature </w:t>
      </w:r>
      <w:r>
        <w:rPr>
          <w:w w:val="105"/>
          <w:sz w:val="21"/>
        </w:rPr>
        <w:t>and type of vegetation </w:t>
      </w:r>
      <w:r>
        <w:rPr>
          <w:spacing w:val="-3"/>
          <w:w w:val="105"/>
          <w:sz w:val="21"/>
        </w:rPr>
        <w:t>to </w:t>
      </w:r>
      <w:r>
        <w:rPr>
          <w:w w:val="105"/>
          <w:sz w:val="21"/>
        </w:rPr>
        <w:t>be</w:t>
      </w:r>
      <w:r>
        <w:rPr>
          <w:spacing w:val="22"/>
          <w:w w:val="105"/>
          <w:sz w:val="21"/>
        </w:rPr>
        <w:t> </w:t>
      </w:r>
      <w:r>
        <w:rPr>
          <w:w w:val="105"/>
          <w:sz w:val="21"/>
        </w:rPr>
        <w:t>protected</w:t>
      </w:r>
    </w:p>
    <w:p>
      <w:pPr>
        <w:pStyle w:val="ListParagraph"/>
        <w:numPr>
          <w:ilvl w:val="1"/>
          <w:numId w:val="127"/>
        </w:numPr>
        <w:tabs>
          <w:tab w:pos="2721" w:val="left" w:leader="none"/>
          <w:tab w:pos="2722" w:val="left" w:leader="none"/>
        </w:tabs>
        <w:spacing w:line="240" w:lineRule="auto" w:before="88" w:after="0"/>
        <w:ind w:left="2721" w:right="0" w:hanging="340"/>
        <w:jc w:val="left"/>
        <w:rPr>
          <w:sz w:val="21"/>
        </w:rPr>
      </w:pPr>
      <w:r>
        <w:rPr>
          <w:w w:val="105"/>
          <w:sz w:val="21"/>
        </w:rPr>
        <w:t>the role of </w:t>
      </w:r>
      <w:r>
        <w:rPr>
          <w:spacing w:val="-3"/>
          <w:w w:val="105"/>
          <w:sz w:val="21"/>
        </w:rPr>
        <w:t>native </w:t>
      </w:r>
      <w:r>
        <w:rPr>
          <w:w w:val="105"/>
          <w:sz w:val="21"/>
        </w:rPr>
        <w:t>vegetation in conserving flora and</w:t>
      </w:r>
      <w:r>
        <w:rPr>
          <w:spacing w:val="39"/>
          <w:w w:val="105"/>
          <w:sz w:val="21"/>
        </w:rPr>
        <w:t> </w:t>
      </w:r>
      <w:r>
        <w:rPr>
          <w:spacing w:val="-4"/>
          <w:w w:val="105"/>
          <w:sz w:val="21"/>
        </w:rPr>
        <w:t>fauna</w:t>
      </w:r>
    </w:p>
    <w:p>
      <w:pPr>
        <w:pStyle w:val="ListParagraph"/>
        <w:numPr>
          <w:ilvl w:val="1"/>
          <w:numId w:val="127"/>
        </w:numPr>
        <w:tabs>
          <w:tab w:pos="2721" w:val="left" w:leader="none"/>
          <w:tab w:pos="2722" w:val="left" w:leader="none"/>
        </w:tabs>
        <w:spacing w:line="242" w:lineRule="auto" w:before="88" w:after="0"/>
        <w:ind w:left="2721" w:right="1686" w:hanging="340"/>
        <w:jc w:val="left"/>
        <w:rPr>
          <w:sz w:val="21"/>
        </w:rPr>
      </w:pPr>
      <w:r>
        <w:rPr>
          <w:sz w:val="21"/>
        </w:rPr>
        <w:t>the need </w:t>
      </w:r>
      <w:r>
        <w:rPr>
          <w:spacing w:val="-3"/>
          <w:sz w:val="21"/>
        </w:rPr>
        <w:t>to retain native </w:t>
      </w:r>
      <w:r>
        <w:rPr>
          <w:sz w:val="21"/>
        </w:rPr>
        <w:t>or other vegetation if it is </w:t>
      </w:r>
      <w:r>
        <w:rPr>
          <w:spacing w:val="-4"/>
          <w:sz w:val="21"/>
        </w:rPr>
        <w:t>rare,  </w:t>
      </w:r>
      <w:r>
        <w:rPr>
          <w:sz w:val="21"/>
        </w:rPr>
        <w:t>supports </w:t>
      </w:r>
      <w:r>
        <w:rPr>
          <w:spacing w:val="-3"/>
          <w:sz w:val="21"/>
        </w:rPr>
        <w:t>rare  </w:t>
      </w:r>
      <w:r>
        <w:rPr>
          <w:sz w:val="21"/>
        </w:rPr>
        <w:t>species of flora or </w:t>
      </w:r>
      <w:r>
        <w:rPr>
          <w:spacing w:val="-4"/>
          <w:sz w:val="21"/>
        </w:rPr>
        <w:t>fauna </w:t>
      </w:r>
      <w:r>
        <w:rPr>
          <w:sz w:val="21"/>
        </w:rPr>
        <w:t>or </w:t>
      </w:r>
      <w:r>
        <w:rPr>
          <w:spacing w:val="-3"/>
          <w:sz w:val="21"/>
        </w:rPr>
        <w:t>forms </w:t>
      </w:r>
      <w:r>
        <w:rPr>
          <w:sz w:val="21"/>
        </w:rPr>
        <w:t>part of a </w:t>
      </w:r>
      <w:r>
        <w:rPr>
          <w:spacing w:val="-3"/>
          <w:sz w:val="21"/>
        </w:rPr>
        <w:t>wildlife</w:t>
      </w:r>
      <w:r>
        <w:rPr>
          <w:spacing w:val="36"/>
          <w:sz w:val="21"/>
        </w:rPr>
        <w:t> </w:t>
      </w:r>
      <w:r>
        <w:rPr>
          <w:sz w:val="21"/>
        </w:rPr>
        <w:t>corridor</w:t>
      </w:r>
    </w:p>
    <w:p>
      <w:pPr>
        <w:pStyle w:val="ListParagraph"/>
        <w:numPr>
          <w:ilvl w:val="1"/>
          <w:numId w:val="127"/>
        </w:numPr>
        <w:tabs>
          <w:tab w:pos="2721" w:val="left" w:leader="none"/>
          <w:tab w:pos="2722" w:val="left" w:leader="none"/>
        </w:tabs>
        <w:spacing w:line="242" w:lineRule="auto" w:before="88" w:after="0"/>
        <w:ind w:left="2721" w:right="2096" w:hanging="340"/>
        <w:jc w:val="left"/>
        <w:rPr>
          <w:sz w:val="21"/>
        </w:rPr>
      </w:pPr>
      <w:r>
        <w:rPr>
          <w:sz w:val="21"/>
        </w:rPr>
        <w:t>the need </w:t>
      </w:r>
      <w:r>
        <w:rPr>
          <w:spacing w:val="-3"/>
          <w:sz w:val="21"/>
        </w:rPr>
        <w:t>to retain </w:t>
      </w:r>
      <w:r>
        <w:rPr>
          <w:sz w:val="21"/>
        </w:rPr>
        <w:t>vegetation which </w:t>
      </w:r>
      <w:r>
        <w:rPr>
          <w:spacing w:val="-2"/>
          <w:sz w:val="21"/>
        </w:rPr>
        <w:t>prevents </w:t>
      </w:r>
      <w:r>
        <w:rPr>
          <w:sz w:val="21"/>
        </w:rPr>
        <w:t>or </w:t>
      </w:r>
      <w:r>
        <w:rPr>
          <w:spacing w:val="-2"/>
          <w:sz w:val="21"/>
        </w:rPr>
        <w:t>limits </w:t>
      </w:r>
      <w:r>
        <w:rPr>
          <w:sz w:val="21"/>
        </w:rPr>
        <w:t>adverse effects on </w:t>
      </w:r>
      <w:r>
        <w:rPr>
          <w:spacing w:val="-3"/>
          <w:sz w:val="21"/>
        </w:rPr>
        <w:t>ground water</w:t>
      </w:r>
      <w:r>
        <w:rPr>
          <w:spacing w:val="8"/>
          <w:sz w:val="21"/>
        </w:rPr>
        <w:t> </w:t>
      </w:r>
      <w:r>
        <w:rPr>
          <w:spacing w:val="-3"/>
          <w:sz w:val="21"/>
        </w:rPr>
        <w:t>recharge</w:t>
      </w:r>
    </w:p>
    <w:p>
      <w:pPr>
        <w:pStyle w:val="ListParagraph"/>
        <w:numPr>
          <w:ilvl w:val="1"/>
          <w:numId w:val="127"/>
        </w:numPr>
        <w:tabs>
          <w:tab w:pos="2721" w:val="left" w:leader="none"/>
          <w:tab w:pos="2722" w:val="left" w:leader="none"/>
        </w:tabs>
        <w:spacing w:line="242" w:lineRule="auto" w:before="87" w:after="0"/>
        <w:ind w:left="2721" w:right="2115" w:hanging="340"/>
        <w:jc w:val="left"/>
        <w:rPr>
          <w:sz w:val="21"/>
        </w:rPr>
      </w:pPr>
      <w:r>
        <w:rPr>
          <w:sz w:val="21"/>
        </w:rPr>
        <w:t>whether </w:t>
      </w:r>
      <w:r>
        <w:rPr>
          <w:spacing w:val="-3"/>
          <w:sz w:val="21"/>
        </w:rPr>
        <w:t>provision </w:t>
      </w:r>
      <w:r>
        <w:rPr>
          <w:sz w:val="21"/>
        </w:rPr>
        <w:t>is made or is </w:t>
      </w:r>
      <w:r>
        <w:rPr>
          <w:spacing w:val="-3"/>
          <w:sz w:val="21"/>
        </w:rPr>
        <w:t>to </w:t>
      </w:r>
      <w:r>
        <w:rPr>
          <w:sz w:val="21"/>
        </w:rPr>
        <w:t>be made </w:t>
      </w:r>
      <w:r>
        <w:rPr>
          <w:spacing w:val="-3"/>
          <w:sz w:val="21"/>
        </w:rPr>
        <w:t>to </w:t>
      </w:r>
      <w:r>
        <w:rPr>
          <w:sz w:val="21"/>
        </w:rPr>
        <w:t>establish and </w:t>
      </w:r>
      <w:r>
        <w:rPr>
          <w:spacing w:val="-3"/>
          <w:sz w:val="21"/>
        </w:rPr>
        <w:t>maintain </w:t>
      </w:r>
      <w:r>
        <w:rPr>
          <w:sz w:val="21"/>
        </w:rPr>
        <w:t>vegetation elsewhere on the</w:t>
      </w:r>
      <w:r>
        <w:rPr>
          <w:spacing w:val="24"/>
          <w:sz w:val="21"/>
        </w:rPr>
        <w:t> </w:t>
      </w:r>
      <w:r>
        <w:rPr>
          <w:spacing w:val="-3"/>
          <w:sz w:val="21"/>
        </w:rPr>
        <w:t>land</w:t>
      </w:r>
    </w:p>
    <w:p>
      <w:pPr>
        <w:pStyle w:val="ListParagraph"/>
        <w:numPr>
          <w:ilvl w:val="1"/>
          <w:numId w:val="127"/>
        </w:numPr>
        <w:tabs>
          <w:tab w:pos="2721" w:val="left" w:leader="none"/>
          <w:tab w:pos="2722" w:val="left" w:leader="none"/>
        </w:tabs>
        <w:spacing w:line="240" w:lineRule="auto" w:before="87" w:after="0"/>
        <w:ind w:left="2721" w:right="0" w:hanging="340"/>
        <w:jc w:val="left"/>
        <w:rPr>
          <w:sz w:val="21"/>
        </w:rPr>
      </w:pPr>
      <w:r>
        <w:rPr>
          <w:w w:val="105"/>
          <w:sz w:val="21"/>
        </w:rPr>
        <w:t>the need </w:t>
      </w:r>
      <w:r>
        <w:rPr>
          <w:spacing w:val="-3"/>
          <w:w w:val="105"/>
          <w:sz w:val="21"/>
        </w:rPr>
        <w:t>to retain </w:t>
      </w:r>
      <w:r>
        <w:rPr>
          <w:w w:val="105"/>
          <w:sz w:val="21"/>
        </w:rPr>
        <w:t>vegetation which is of heritage or </w:t>
      </w:r>
      <w:r>
        <w:rPr>
          <w:spacing w:val="-3"/>
          <w:w w:val="105"/>
          <w:sz w:val="21"/>
        </w:rPr>
        <w:t>cultural</w:t>
      </w:r>
      <w:r>
        <w:rPr>
          <w:spacing w:val="-2"/>
          <w:w w:val="105"/>
          <w:sz w:val="21"/>
        </w:rPr>
        <w:t> </w:t>
      </w:r>
      <w:r>
        <w:rPr>
          <w:spacing w:val="-3"/>
          <w:w w:val="105"/>
          <w:sz w:val="21"/>
        </w:rPr>
        <w:t>significance</w:t>
      </w:r>
    </w:p>
    <w:p>
      <w:pPr>
        <w:pStyle w:val="ListParagraph"/>
        <w:numPr>
          <w:ilvl w:val="1"/>
          <w:numId w:val="127"/>
        </w:numPr>
        <w:tabs>
          <w:tab w:pos="2721" w:val="left" w:leader="none"/>
          <w:tab w:pos="2722" w:val="left" w:leader="none"/>
        </w:tabs>
        <w:spacing w:line="240" w:lineRule="auto" w:before="89" w:after="0"/>
        <w:ind w:left="2721" w:right="0" w:hanging="340"/>
        <w:jc w:val="left"/>
        <w:rPr>
          <w:sz w:val="21"/>
        </w:rPr>
      </w:pPr>
      <w:r>
        <w:rPr>
          <w:spacing w:val="-3"/>
          <w:sz w:val="21"/>
        </w:rPr>
        <w:t>any</w:t>
      </w:r>
      <w:r>
        <w:rPr>
          <w:spacing w:val="8"/>
          <w:sz w:val="21"/>
        </w:rPr>
        <w:t> </w:t>
      </w:r>
      <w:r>
        <w:rPr>
          <w:sz w:val="21"/>
        </w:rPr>
        <w:t>other</w:t>
      </w:r>
      <w:r>
        <w:rPr>
          <w:spacing w:val="9"/>
          <w:sz w:val="21"/>
        </w:rPr>
        <w:t> </w:t>
      </w:r>
      <w:r>
        <w:rPr>
          <w:sz w:val="21"/>
        </w:rPr>
        <w:t>matters</w:t>
      </w:r>
      <w:r>
        <w:rPr>
          <w:spacing w:val="8"/>
          <w:sz w:val="21"/>
        </w:rPr>
        <w:t> </w:t>
      </w:r>
      <w:r>
        <w:rPr>
          <w:sz w:val="21"/>
        </w:rPr>
        <w:t>specified</w:t>
      </w:r>
      <w:r>
        <w:rPr>
          <w:spacing w:val="9"/>
          <w:sz w:val="21"/>
        </w:rPr>
        <w:t> </w:t>
      </w:r>
      <w:r>
        <w:rPr>
          <w:sz w:val="21"/>
        </w:rPr>
        <w:t>in</w:t>
      </w:r>
      <w:r>
        <w:rPr>
          <w:spacing w:val="8"/>
          <w:sz w:val="21"/>
        </w:rPr>
        <w:t> </w:t>
      </w:r>
      <w:r>
        <w:rPr>
          <w:sz w:val="21"/>
        </w:rPr>
        <w:t>a</w:t>
      </w:r>
      <w:r>
        <w:rPr>
          <w:spacing w:val="9"/>
          <w:sz w:val="21"/>
        </w:rPr>
        <w:t> </w:t>
      </w:r>
      <w:r>
        <w:rPr>
          <w:sz w:val="21"/>
        </w:rPr>
        <w:t>schedule</w:t>
      </w:r>
      <w:r>
        <w:rPr>
          <w:spacing w:val="8"/>
          <w:sz w:val="21"/>
        </w:rPr>
        <w:t> </w:t>
      </w:r>
      <w:r>
        <w:rPr>
          <w:spacing w:val="-3"/>
          <w:sz w:val="21"/>
        </w:rPr>
        <w:t>to</w:t>
      </w:r>
      <w:r>
        <w:rPr>
          <w:spacing w:val="9"/>
          <w:sz w:val="21"/>
        </w:rPr>
        <w:t> </w:t>
      </w:r>
      <w:r>
        <w:rPr>
          <w:sz w:val="21"/>
        </w:rPr>
        <w:t>this</w:t>
      </w:r>
      <w:r>
        <w:rPr>
          <w:spacing w:val="8"/>
          <w:sz w:val="21"/>
        </w:rPr>
        <w:t> </w:t>
      </w:r>
      <w:r>
        <w:rPr>
          <w:spacing w:val="-4"/>
          <w:sz w:val="21"/>
        </w:rPr>
        <w:t>overlay.</w:t>
      </w:r>
    </w:p>
    <w:p>
      <w:pPr>
        <w:pStyle w:val="Heading7"/>
        <w:spacing w:before="119"/>
      </w:pPr>
      <w:r>
        <w:rPr>
          <w:w w:val="110"/>
        </w:rPr>
        <w:t>Planning scheme schedules</w:t>
      </w:r>
    </w:p>
    <w:p>
      <w:pPr>
        <w:pStyle w:val="ListParagraph"/>
        <w:numPr>
          <w:ilvl w:val="1"/>
          <w:numId w:val="16"/>
        </w:numPr>
        <w:tabs>
          <w:tab w:pos="2381" w:val="left" w:leader="none"/>
          <w:tab w:pos="2382" w:val="left" w:leader="none"/>
        </w:tabs>
        <w:spacing w:line="242" w:lineRule="auto" w:before="143" w:after="0"/>
        <w:ind w:left="2381" w:right="1645" w:hanging="794"/>
        <w:jc w:val="left"/>
        <w:rPr>
          <w:sz w:val="21"/>
        </w:rPr>
      </w:pPr>
      <w:r>
        <w:rPr>
          <w:spacing w:val="-4"/>
          <w:w w:val="105"/>
          <w:sz w:val="21"/>
        </w:rPr>
        <w:t>Councils </w:t>
      </w:r>
      <w:r>
        <w:rPr>
          <w:spacing w:val="-3"/>
          <w:w w:val="105"/>
          <w:sz w:val="21"/>
        </w:rPr>
        <w:t>may </w:t>
      </w:r>
      <w:r>
        <w:rPr>
          <w:w w:val="105"/>
          <w:sz w:val="21"/>
        </w:rPr>
        <w:t>add local </w:t>
      </w:r>
      <w:r>
        <w:rPr>
          <w:spacing w:val="-3"/>
          <w:w w:val="105"/>
          <w:sz w:val="21"/>
        </w:rPr>
        <w:t>content to planning </w:t>
      </w:r>
      <w:r>
        <w:rPr>
          <w:w w:val="105"/>
          <w:sz w:val="21"/>
        </w:rPr>
        <w:t>schemes </w:t>
      </w:r>
      <w:r>
        <w:rPr>
          <w:spacing w:val="-3"/>
          <w:w w:val="105"/>
          <w:sz w:val="21"/>
        </w:rPr>
        <w:t>through </w:t>
      </w:r>
      <w:r>
        <w:rPr>
          <w:w w:val="105"/>
          <w:sz w:val="21"/>
        </w:rPr>
        <w:t>schedules.</w:t>
      </w:r>
      <w:r>
        <w:rPr>
          <w:w w:val="105"/>
          <w:position w:val="7"/>
          <w:sz w:val="12"/>
        </w:rPr>
        <w:t>8 </w:t>
      </w:r>
      <w:r>
        <w:rPr>
          <w:w w:val="105"/>
          <w:sz w:val="21"/>
        </w:rPr>
        <w:t>These schedules </w:t>
      </w:r>
      <w:r>
        <w:rPr>
          <w:spacing w:val="-3"/>
          <w:w w:val="105"/>
          <w:sz w:val="21"/>
        </w:rPr>
        <w:t>may </w:t>
      </w:r>
      <w:r>
        <w:rPr>
          <w:w w:val="105"/>
          <w:sz w:val="21"/>
        </w:rPr>
        <w:t>modify the state wide decision-making </w:t>
      </w:r>
      <w:r>
        <w:rPr>
          <w:spacing w:val="-3"/>
          <w:w w:val="105"/>
          <w:sz w:val="21"/>
        </w:rPr>
        <w:t>principles </w:t>
      </w:r>
      <w:r>
        <w:rPr>
          <w:w w:val="105"/>
          <w:sz w:val="21"/>
        </w:rPr>
        <w:t>in the Victoria </w:t>
      </w:r>
      <w:r>
        <w:rPr>
          <w:spacing w:val="-3"/>
          <w:w w:val="105"/>
          <w:sz w:val="21"/>
        </w:rPr>
        <w:t>Planning Provisions </w:t>
      </w:r>
      <w:r>
        <w:rPr>
          <w:w w:val="105"/>
          <w:sz w:val="21"/>
        </w:rPr>
        <w:t>(VPPs).</w:t>
      </w:r>
    </w:p>
    <w:p>
      <w:pPr>
        <w:pStyle w:val="ListParagraph"/>
        <w:numPr>
          <w:ilvl w:val="1"/>
          <w:numId w:val="16"/>
        </w:numPr>
        <w:tabs>
          <w:tab w:pos="2380" w:val="left" w:leader="none"/>
          <w:tab w:pos="2382" w:val="left" w:leader="none"/>
        </w:tabs>
        <w:spacing w:line="242" w:lineRule="auto" w:before="123" w:after="0"/>
        <w:ind w:left="2381" w:right="1783" w:hanging="794"/>
        <w:jc w:val="left"/>
        <w:rPr>
          <w:sz w:val="21"/>
        </w:rPr>
      </w:pPr>
      <w:r>
        <w:rPr>
          <w:w w:val="105"/>
          <w:sz w:val="21"/>
        </w:rPr>
        <w:t>The East </w:t>
      </w:r>
      <w:r>
        <w:rPr>
          <w:spacing w:val="-3"/>
          <w:w w:val="105"/>
          <w:sz w:val="21"/>
        </w:rPr>
        <w:t>Gippsland Shire </w:t>
      </w:r>
      <w:r>
        <w:rPr>
          <w:spacing w:val="-2"/>
          <w:w w:val="105"/>
          <w:sz w:val="21"/>
        </w:rPr>
        <w:t>has </w:t>
      </w:r>
      <w:r>
        <w:rPr>
          <w:spacing w:val="-3"/>
          <w:w w:val="105"/>
          <w:sz w:val="21"/>
        </w:rPr>
        <w:t>eight </w:t>
      </w:r>
      <w:r>
        <w:rPr>
          <w:w w:val="105"/>
          <w:sz w:val="21"/>
        </w:rPr>
        <w:t>local schedules </w:t>
      </w:r>
      <w:r>
        <w:rPr>
          <w:spacing w:val="-3"/>
          <w:w w:val="105"/>
          <w:sz w:val="21"/>
        </w:rPr>
        <w:t>to </w:t>
      </w:r>
      <w:r>
        <w:rPr>
          <w:w w:val="105"/>
          <w:sz w:val="21"/>
        </w:rPr>
        <w:t>the </w:t>
      </w:r>
      <w:r>
        <w:rPr>
          <w:spacing w:val="-3"/>
          <w:w w:val="105"/>
          <w:sz w:val="21"/>
        </w:rPr>
        <w:t>Vegetation </w:t>
      </w:r>
      <w:r>
        <w:rPr>
          <w:w w:val="105"/>
          <w:sz w:val="21"/>
        </w:rPr>
        <w:t>Protection Overlay which </w:t>
      </w:r>
      <w:r>
        <w:rPr>
          <w:spacing w:val="-3"/>
          <w:w w:val="105"/>
          <w:sz w:val="21"/>
        </w:rPr>
        <w:t>outline </w:t>
      </w:r>
      <w:r>
        <w:rPr>
          <w:w w:val="105"/>
          <w:sz w:val="21"/>
        </w:rPr>
        <w:t>the </w:t>
      </w:r>
      <w:r>
        <w:rPr>
          <w:spacing w:val="-3"/>
          <w:w w:val="105"/>
          <w:sz w:val="21"/>
        </w:rPr>
        <w:t>nature </w:t>
      </w:r>
      <w:r>
        <w:rPr>
          <w:w w:val="105"/>
          <w:sz w:val="21"/>
        </w:rPr>
        <w:t>and </w:t>
      </w:r>
      <w:r>
        <w:rPr>
          <w:spacing w:val="-3"/>
          <w:w w:val="105"/>
          <w:sz w:val="21"/>
        </w:rPr>
        <w:t>significance </w:t>
      </w:r>
      <w:r>
        <w:rPr>
          <w:w w:val="105"/>
          <w:sz w:val="21"/>
        </w:rPr>
        <w:t>of the vegetation </w:t>
      </w:r>
      <w:r>
        <w:rPr>
          <w:spacing w:val="-3"/>
          <w:w w:val="105"/>
          <w:sz w:val="21"/>
        </w:rPr>
        <w:t>to </w:t>
      </w:r>
      <w:r>
        <w:rPr>
          <w:w w:val="105"/>
          <w:sz w:val="21"/>
        </w:rPr>
        <w:t>be protected as </w:t>
      </w:r>
      <w:r>
        <w:rPr>
          <w:spacing w:val="-3"/>
          <w:w w:val="105"/>
          <w:sz w:val="21"/>
        </w:rPr>
        <w:t>well </w:t>
      </w:r>
      <w:r>
        <w:rPr>
          <w:w w:val="105"/>
          <w:sz w:val="21"/>
        </w:rPr>
        <w:t>as </w:t>
      </w:r>
      <w:r>
        <w:rPr>
          <w:spacing w:val="-3"/>
          <w:w w:val="105"/>
          <w:sz w:val="21"/>
        </w:rPr>
        <w:t>additional </w:t>
      </w:r>
      <w:r>
        <w:rPr>
          <w:w w:val="105"/>
          <w:sz w:val="21"/>
        </w:rPr>
        <w:t>decision-making </w:t>
      </w:r>
      <w:r>
        <w:rPr>
          <w:spacing w:val="-3"/>
          <w:w w:val="105"/>
          <w:sz w:val="21"/>
        </w:rPr>
        <w:t>guidelines to </w:t>
      </w:r>
      <w:r>
        <w:rPr>
          <w:w w:val="105"/>
          <w:sz w:val="21"/>
        </w:rPr>
        <w:t>those </w:t>
      </w:r>
      <w:r>
        <w:rPr>
          <w:spacing w:val="-3"/>
          <w:w w:val="105"/>
          <w:sz w:val="21"/>
        </w:rPr>
        <w:t>contained within </w:t>
      </w:r>
      <w:r>
        <w:rPr>
          <w:w w:val="105"/>
          <w:sz w:val="21"/>
        </w:rPr>
        <w:t>the standard </w:t>
      </w:r>
      <w:r>
        <w:rPr>
          <w:spacing w:val="-3"/>
          <w:w w:val="105"/>
          <w:sz w:val="21"/>
        </w:rPr>
        <w:t>overlay </w:t>
      </w:r>
      <w:r>
        <w:rPr>
          <w:spacing w:val="-4"/>
          <w:w w:val="105"/>
          <w:sz w:val="21"/>
        </w:rPr>
        <w:t>clause.</w:t>
      </w:r>
      <w:r>
        <w:rPr>
          <w:spacing w:val="-4"/>
          <w:w w:val="105"/>
          <w:position w:val="7"/>
          <w:sz w:val="12"/>
        </w:rPr>
        <w:t>9 </w:t>
      </w:r>
      <w:r>
        <w:rPr>
          <w:w w:val="105"/>
          <w:sz w:val="21"/>
        </w:rPr>
        <w:t>Schedule 8 is the </w:t>
      </w:r>
      <w:r>
        <w:rPr>
          <w:spacing w:val="-3"/>
          <w:w w:val="105"/>
          <w:sz w:val="21"/>
        </w:rPr>
        <w:t>Mallacoota Vegetation </w:t>
      </w:r>
      <w:r>
        <w:rPr>
          <w:w w:val="105"/>
          <w:sz w:val="21"/>
        </w:rPr>
        <w:t>Protection </w:t>
      </w:r>
      <w:r>
        <w:rPr>
          <w:spacing w:val="-5"/>
          <w:w w:val="105"/>
          <w:sz w:val="21"/>
        </w:rPr>
        <w:t>Area.</w:t>
      </w:r>
      <w:r>
        <w:rPr>
          <w:spacing w:val="-5"/>
          <w:w w:val="105"/>
          <w:position w:val="7"/>
          <w:sz w:val="12"/>
        </w:rPr>
        <w:t>10 </w:t>
      </w:r>
      <w:r>
        <w:rPr>
          <w:w w:val="105"/>
          <w:sz w:val="21"/>
        </w:rPr>
        <w:t>It seeks </w:t>
      </w:r>
      <w:r>
        <w:rPr>
          <w:spacing w:val="-3"/>
          <w:w w:val="105"/>
          <w:sz w:val="21"/>
        </w:rPr>
        <w:t>to </w:t>
      </w:r>
      <w:r>
        <w:rPr>
          <w:w w:val="105"/>
          <w:sz w:val="21"/>
        </w:rPr>
        <w:t>protect vegetation</w:t>
      </w:r>
      <w:r>
        <w:rPr>
          <w:spacing w:val="-10"/>
          <w:w w:val="105"/>
          <w:sz w:val="21"/>
        </w:rPr>
        <w:t> </w:t>
      </w:r>
      <w:r>
        <w:rPr>
          <w:w w:val="105"/>
          <w:sz w:val="21"/>
        </w:rPr>
        <w:t>of</w:t>
      </w:r>
      <w:r>
        <w:rPr>
          <w:spacing w:val="-9"/>
          <w:w w:val="105"/>
          <w:sz w:val="21"/>
        </w:rPr>
        <w:t> </w:t>
      </w:r>
      <w:r>
        <w:rPr>
          <w:spacing w:val="-3"/>
          <w:w w:val="105"/>
          <w:sz w:val="21"/>
        </w:rPr>
        <w:t>high</w:t>
      </w:r>
      <w:r>
        <w:rPr>
          <w:spacing w:val="-10"/>
          <w:w w:val="105"/>
          <w:sz w:val="21"/>
        </w:rPr>
        <w:t> </w:t>
      </w:r>
      <w:r>
        <w:rPr>
          <w:w w:val="105"/>
          <w:sz w:val="21"/>
        </w:rPr>
        <w:t>conservation</w:t>
      </w:r>
      <w:r>
        <w:rPr>
          <w:spacing w:val="-9"/>
          <w:w w:val="105"/>
          <w:sz w:val="21"/>
        </w:rPr>
        <w:t> </w:t>
      </w:r>
      <w:r>
        <w:rPr>
          <w:spacing w:val="-3"/>
          <w:w w:val="105"/>
          <w:sz w:val="21"/>
        </w:rPr>
        <w:t>value</w:t>
      </w:r>
      <w:r>
        <w:rPr>
          <w:spacing w:val="-9"/>
          <w:w w:val="105"/>
          <w:sz w:val="21"/>
        </w:rPr>
        <w:t> </w:t>
      </w:r>
      <w:r>
        <w:rPr>
          <w:w w:val="105"/>
          <w:sz w:val="21"/>
        </w:rPr>
        <w:t>and</w:t>
      </w:r>
      <w:r>
        <w:rPr>
          <w:spacing w:val="-10"/>
          <w:w w:val="105"/>
          <w:sz w:val="21"/>
        </w:rPr>
        <w:t> </w:t>
      </w:r>
      <w:r>
        <w:rPr>
          <w:w w:val="105"/>
          <w:sz w:val="21"/>
        </w:rPr>
        <w:t>vegetation</w:t>
      </w:r>
      <w:r>
        <w:rPr>
          <w:spacing w:val="-9"/>
          <w:w w:val="105"/>
          <w:sz w:val="21"/>
        </w:rPr>
        <w:t> </w:t>
      </w:r>
      <w:r>
        <w:rPr>
          <w:w w:val="105"/>
          <w:sz w:val="21"/>
        </w:rPr>
        <w:t>with</w:t>
      </w:r>
      <w:r>
        <w:rPr>
          <w:spacing w:val="-10"/>
          <w:w w:val="105"/>
          <w:sz w:val="21"/>
        </w:rPr>
        <w:t> </w:t>
      </w:r>
      <w:r>
        <w:rPr>
          <w:spacing w:val="-3"/>
          <w:w w:val="105"/>
          <w:sz w:val="21"/>
        </w:rPr>
        <w:t>high</w:t>
      </w:r>
      <w:r>
        <w:rPr>
          <w:spacing w:val="-9"/>
          <w:w w:val="105"/>
          <w:sz w:val="21"/>
        </w:rPr>
        <w:t> </w:t>
      </w:r>
      <w:r>
        <w:rPr>
          <w:w w:val="105"/>
          <w:sz w:val="21"/>
        </w:rPr>
        <w:t>aesthetic</w:t>
      </w:r>
      <w:r>
        <w:rPr>
          <w:spacing w:val="-9"/>
          <w:w w:val="105"/>
          <w:sz w:val="21"/>
        </w:rPr>
        <w:t> </w:t>
      </w:r>
      <w:r>
        <w:rPr>
          <w:w w:val="105"/>
          <w:sz w:val="21"/>
        </w:rPr>
        <w:t>and</w:t>
      </w:r>
      <w:r>
        <w:rPr>
          <w:spacing w:val="-10"/>
          <w:w w:val="105"/>
          <w:sz w:val="21"/>
        </w:rPr>
        <w:t> </w:t>
      </w:r>
      <w:r>
        <w:rPr>
          <w:w w:val="105"/>
          <w:sz w:val="21"/>
        </w:rPr>
        <w:t>landscape </w:t>
      </w:r>
      <w:r>
        <w:rPr>
          <w:spacing w:val="-3"/>
          <w:w w:val="105"/>
          <w:sz w:val="21"/>
        </w:rPr>
        <w:t>value within built-up areas around </w:t>
      </w:r>
      <w:r>
        <w:rPr>
          <w:w w:val="105"/>
          <w:sz w:val="21"/>
        </w:rPr>
        <w:t>the </w:t>
      </w:r>
      <w:r>
        <w:rPr>
          <w:spacing w:val="-3"/>
          <w:w w:val="105"/>
          <w:sz w:val="21"/>
        </w:rPr>
        <w:t>township </w:t>
      </w:r>
      <w:r>
        <w:rPr>
          <w:w w:val="105"/>
          <w:sz w:val="21"/>
        </w:rPr>
        <w:t>of </w:t>
      </w:r>
      <w:r>
        <w:rPr>
          <w:spacing w:val="-3"/>
          <w:w w:val="105"/>
          <w:sz w:val="21"/>
        </w:rPr>
        <w:t>Mallacoota. Before </w:t>
      </w:r>
      <w:r>
        <w:rPr>
          <w:spacing w:val="-2"/>
          <w:w w:val="105"/>
          <w:sz w:val="21"/>
        </w:rPr>
        <w:t>deciding </w:t>
      </w:r>
      <w:r>
        <w:rPr>
          <w:w w:val="105"/>
          <w:sz w:val="21"/>
        </w:rPr>
        <w:t>on an </w:t>
      </w:r>
      <w:r>
        <w:rPr>
          <w:spacing w:val="-3"/>
          <w:w w:val="105"/>
          <w:sz w:val="21"/>
        </w:rPr>
        <w:t>application, </w:t>
      </w:r>
      <w:r>
        <w:rPr>
          <w:w w:val="105"/>
          <w:sz w:val="21"/>
        </w:rPr>
        <w:t>in addition </w:t>
      </w:r>
      <w:r>
        <w:rPr>
          <w:spacing w:val="-3"/>
          <w:w w:val="105"/>
          <w:sz w:val="21"/>
        </w:rPr>
        <w:t>to </w:t>
      </w:r>
      <w:r>
        <w:rPr>
          <w:w w:val="105"/>
          <w:sz w:val="21"/>
        </w:rPr>
        <w:t>the decision </w:t>
      </w:r>
      <w:r>
        <w:rPr>
          <w:spacing w:val="-3"/>
          <w:w w:val="105"/>
          <w:sz w:val="21"/>
        </w:rPr>
        <w:t>guidelines </w:t>
      </w:r>
      <w:r>
        <w:rPr>
          <w:w w:val="105"/>
          <w:sz w:val="21"/>
        </w:rPr>
        <w:t>in </w:t>
      </w:r>
      <w:r>
        <w:rPr>
          <w:spacing w:val="-3"/>
          <w:w w:val="105"/>
          <w:sz w:val="21"/>
        </w:rPr>
        <w:t>clause </w:t>
      </w:r>
      <w:r>
        <w:rPr>
          <w:spacing w:val="-6"/>
          <w:w w:val="105"/>
          <w:sz w:val="21"/>
        </w:rPr>
        <w:t>42.02-5, </w:t>
      </w:r>
      <w:r>
        <w:rPr>
          <w:w w:val="105"/>
          <w:sz w:val="21"/>
        </w:rPr>
        <w:t>the </w:t>
      </w:r>
      <w:r>
        <w:rPr>
          <w:spacing w:val="-3"/>
          <w:w w:val="105"/>
          <w:sz w:val="21"/>
        </w:rPr>
        <w:t>responsible </w:t>
      </w:r>
      <w:r>
        <w:rPr>
          <w:w w:val="105"/>
          <w:sz w:val="21"/>
        </w:rPr>
        <w:t>authority must </w:t>
      </w:r>
      <w:r>
        <w:rPr>
          <w:spacing w:val="-4"/>
          <w:w w:val="105"/>
          <w:sz w:val="21"/>
        </w:rPr>
        <w:t>consider, </w:t>
      </w:r>
      <w:r>
        <w:rPr>
          <w:w w:val="105"/>
          <w:sz w:val="21"/>
        </w:rPr>
        <w:t>as</w:t>
      </w:r>
      <w:r>
        <w:rPr>
          <w:spacing w:val="20"/>
          <w:w w:val="105"/>
          <w:sz w:val="21"/>
        </w:rPr>
        <w:t> </w:t>
      </w:r>
      <w:r>
        <w:rPr>
          <w:w w:val="105"/>
          <w:sz w:val="21"/>
        </w:rPr>
        <w:t>appropriate:</w:t>
      </w:r>
    </w:p>
    <w:p>
      <w:pPr>
        <w:pStyle w:val="ListParagraph"/>
        <w:numPr>
          <w:ilvl w:val="2"/>
          <w:numId w:val="16"/>
        </w:numPr>
        <w:tabs>
          <w:tab w:pos="2721" w:val="left" w:leader="none"/>
          <w:tab w:pos="2722" w:val="left" w:leader="none"/>
        </w:tabs>
        <w:spacing w:line="242" w:lineRule="auto" w:before="129" w:after="0"/>
        <w:ind w:left="2721" w:right="2154" w:hanging="340"/>
        <w:jc w:val="left"/>
        <w:rPr>
          <w:sz w:val="21"/>
        </w:rPr>
      </w:pPr>
      <w:r>
        <w:rPr>
          <w:sz w:val="21"/>
        </w:rPr>
        <w:t>the extent </w:t>
      </w:r>
      <w:r>
        <w:rPr>
          <w:spacing w:val="-3"/>
          <w:sz w:val="21"/>
        </w:rPr>
        <w:t>to </w:t>
      </w:r>
      <w:r>
        <w:rPr>
          <w:sz w:val="21"/>
        </w:rPr>
        <w:t>which the vegetation </w:t>
      </w:r>
      <w:r>
        <w:rPr>
          <w:spacing w:val="-3"/>
          <w:sz w:val="21"/>
        </w:rPr>
        <w:t>sought to </w:t>
      </w:r>
      <w:r>
        <w:rPr>
          <w:sz w:val="21"/>
        </w:rPr>
        <w:t>be removed or </w:t>
      </w:r>
      <w:r>
        <w:rPr>
          <w:spacing w:val="-3"/>
          <w:sz w:val="21"/>
        </w:rPr>
        <w:t>cleared contributes towards </w:t>
      </w:r>
      <w:r>
        <w:rPr>
          <w:sz w:val="21"/>
        </w:rPr>
        <w:t>the need</w:t>
      </w:r>
      <w:r>
        <w:rPr>
          <w:spacing w:val="28"/>
          <w:sz w:val="21"/>
        </w:rPr>
        <w:t> </w:t>
      </w:r>
      <w:r>
        <w:rPr>
          <w:sz w:val="21"/>
        </w:rPr>
        <w:t>to:</w:t>
      </w:r>
    </w:p>
    <w:p>
      <w:pPr>
        <w:pStyle w:val="ListParagraph"/>
        <w:numPr>
          <w:ilvl w:val="3"/>
          <w:numId w:val="16"/>
        </w:numPr>
        <w:tabs>
          <w:tab w:pos="3061" w:val="left" w:leader="none"/>
          <w:tab w:pos="3062" w:val="left" w:leader="none"/>
        </w:tabs>
        <w:spacing w:line="242" w:lineRule="auto" w:before="87" w:after="0"/>
        <w:ind w:left="3061" w:right="1642" w:hanging="340"/>
        <w:jc w:val="left"/>
        <w:rPr>
          <w:sz w:val="21"/>
        </w:rPr>
      </w:pPr>
      <w:r>
        <w:rPr>
          <w:w w:val="105"/>
          <w:sz w:val="21"/>
        </w:rPr>
        <w:t>conserve</w:t>
      </w:r>
      <w:r>
        <w:rPr>
          <w:spacing w:val="-10"/>
          <w:w w:val="105"/>
          <w:sz w:val="21"/>
        </w:rPr>
        <w:t> </w:t>
      </w:r>
      <w:r>
        <w:rPr>
          <w:w w:val="105"/>
          <w:sz w:val="21"/>
        </w:rPr>
        <w:t>and</w:t>
      </w:r>
      <w:r>
        <w:rPr>
          <w:spacing w:val="-10"/>
          <w:w w:val="105"/>
          <w:sz w:val="21"/>
        </w:rPr>
        <w:t> </w:t>
      </w:r>
      <w:r>
        <w:rPr>
          <w:spacing w:val="-3"/>
          <w:w w:val="105"/>
          <w:sz w:val="21"/>
        </w:rPr>
        <w:t>enhance</w:t>
      </w:r>
      <w:r>
        <w:rPr>
          <w:spacing w:val="-10"/>
          <w:w w:val="105"/>
          <w:sz w:val="21"/>
        </w:rPr>
        <w:t> </w:t>
      </w:r>
      <w:r>
        <w:rPr>
          <w:spacing w:val="-3"/>
          <w:w w:val="105"/>
          <w:sz w:val="21"/>
        </w:rPr>
        <w:t>areas</w:t>
      </w:r>
      <w:r>
        <w:rPr>
          <w:spacing w:val="-10"/>
          <w:w w:val="105"/>
          <w:sz w:val="21"/>
        </w:rPr>
        <w:t> </w:t>
      </w:r>
      <w:r>
        <w:rPr>
          <w:w w:val="105"/>
          <w:sz w:val="21"/>
        </w:rPr>
        <w:t>of</w:t>
      </w:r>
      <w:r>
        <w:rPr>
          <w:spacing w:val="-9"/>
          <w:w w:val="105"/>
          <w:sz w:val="21"/>
        </w:rPr>
        <w:t> </w:t>
      </w:r>
      <w:r>
        <w:rPr>
          <w:spacing w:val="-3"/>
          <w:w w:val="105"/>
          <w:sz w:val="21"/>
        </w:rPr>
        <w:t>high</w:t>
      </w:r>
      <w:r>
        <w:rPr>
          <w:spacing w:val="-10"/>
          <w:w w:val="105"/>
          <w:sz w:val="21"/>
        </w:rPr>
        <w:t> </w:t>
      </w:r>
      <w:r>
        <w:rPr>
          <w:w w:val="105"/>
          <w:sz w:val="21"/>
        </w:rPr>
        <w:t>conservation</w:t>
      </w:r>
      <w:r>
        <w:rPr>
          <w:spacing w:val="-10"/>
          <w:w w:val="105"/>
          <w:sz w:val="21"/>
        </w:rPr>
        <w:t> </w:t>
      </w:r>
      <w:r>
        <w:rPr>
          <w:spacing w:val="-3"/>
          <w:w w:val="105"/>
          <w:sz w:val="21"/>
        </w:rPr>
        <w:t>value</w:t>
      </w:r>
      <w:r>
        <w:rPr>
          <w:spacing w:val="-10"/>
          <w:w w:val="105"/>
          <w:sz w:val="21"/>
        </w:rPr>
        <w:t> </w:t>
      </w:r>
      <w:r>
        <w:rPr>
          <w:w w:val="105"/>
          <w:sz w:val="21"/>
        </w:rPr>
        <w:t>vegetation,</w:t>
      </w:r>
      <w:r>
        <w:rPr>
          <w:spacing w:val="-9"/>
          <w:w w:val="105"/>
          <w:sz w:val="21"/>
        </w:rPr>
        <w:t> </w:t>
      </w:r>
      <w:r>
        <w:rPr>
          <w:w w:val="105"/>
          <w:sz w:val="21"/>
        </w:rPr>
        <w:t>as</w:t>
      </w:r>
      <w:r>
        <w:rPr>
          <w:spacing w:val="-10"/>
          <w:w w:val="105"/>
          <w:sz w:val="21"/>
        </w:rPr>
        <w:t> </w:t>
      </w:r>
      <w:r>
        <w:rPr>
          <w:spacing w:val="-3"/>
          <w:w w:val="105"/>
          <w:sz w:val="21"/>
        </w:rPr>
        <w:t>determined </w:t>
      </w:r>
      <w:r>
        <w:rPr>
          <w:w w:val="105"/>
          <w:sz w:val="21"/>
        </w:rPr>
        <w:t>by the Draft East </w:t>
      </w:r>
      <w:r>
        <w:rPr>
          <w:spacing w:val="-3"/>
          <w:w w:val="105"/>
          <w:sz w:val="21"/>
        </w:rPr>
        <w:t>Gippsland </w:t>
      </w:r>
      <w:r>
        <w:rPr>
          <w:w w:val="105"/>
          <w:sz w:val="21"/>
        </w:rPr>
        <w:t>Native </w:t>
      </w:r>
      <w:r>
        <w:rPr>
          <w:spacing w:val="-3"/>
          <w:w w:val="105"/>
          <w:sz w:val="21"/>
        </w:rPr>
        <w:t>Vegetation</w:t>
      </w:r>
      <w:r>
        <w:rPr>
          <w:spacing w:val="31"/>
          <w:w w:val="105"/>
          <w:sz w:val="21"/>
        </w:rPr>
        <w:t> </w:t>
      </w:r>
      <w:r>
        <w:rPr>
          <w:w w:val="105"/>
          <w:sz w:val="21"/>
        </w:rPr>
        <w:t>Plan</w:t>
      </w:r>
    </w:p>
    <w:p>
      <w:pPr>
        <w:pStyle w:val="ListParagraph"/>
        <w:numPr>
          <w:ilvl w:val="3"/>
          <w:numId w:val="16"/>
        </w:numPr>
        <w:tabs>
          <w:tab w:pos="3061" w:val="left" w:leader="none"/>
          <w:tab w:pos="3062" w:val="left" w:leader="none"/>
        </w:tabs>
        <w:spacing w:line="240" w:lineRule="auto" w:before="87" w:after="0"/>
        <w:ind w:left="3061" w:right="0" w:hanging="340"/>
        <w:jc w:val="left"/>
        <w:rPr>
          <w:sz w:val="21"/>
        </w:rPr>
      </w:pPr>
      <w:r>
        <w:rPr>
          <w:w w:val="105"/>
          <w:sz w:val="21"/>
        </w:rPr>
        <w:t>conserve and </w:t>
      </w:r>
      <w:r>
        <w:rPr>
          <w:spacing w:val="-3"/>
          <w:w w:val="105"/>
          <w:sz w:val="21"/>
        </w:rPr>
        <w:t>enhance </w:t>
      </w:r>
      <w:r>
        <w:rPr>
          <w:spacing w:val="-4"/>
          <w:w w:val="105"/>
          <w:sz w:val="21"/>
        </w:rPr>
        <w:t>fauna </w:t>
      </w:r>
      <w:r>
        <w:rPr>
          <w:w w:val="105"/>
          <w:sz w:val="21"/>
        </w:rPr>
        <w:t>habitat and habitat</w:t>
      </w:r>
      <w:r>
        <w:rPr>
          <w:spacing w:val="33"/>
          <w:w w:val="105"/>
          <w:sz w:val="21"/>
        </w:rPr>
        <w:t> </w:t>
      </w:r>
      <w:r>
        <w:rPr>
          <w:w w:val="105"/>
          <w:sz w:val="21"/>
        </w:rPr>
        <w:t>corridors</w:t>
      </w:r>
    </w:p>
    <w:p>
      <w:pPr>
        <w:pStyle w:val="ListParagraph"/>
        <w:numPr>
          <w:ilvl w:val="3"/>
          <w:numId w:val="16"/>
        </w:numPr>
        <w:tabs>
          <w:tab w:pos="3061" w:val="left" w:leader="none"/>
          <w:tab w:pos="3062" w:val="left" w:leader="none"/>
        </w:tabs>
        <w:spacing w:line="240" w:lineRule="auto" w:before="89" w:after="0"/>
        <w:ind w:left="3061" w:right="0" w:hanging="340"/>
        <w:jc w:val="left"/>
        <w:rPr>
          <w:sz w:val="21"/>
        </w:rPr>
      </w:pPr>
      <w:r>
        <w:rPr>
          <w:w w:val="105"/>
          <w:sz w:val="21"/>
        </w:rPr>
        <w:t>protect and </w:t>
      </w:r>
      <w:r>
        <w:rPr>
          <w:spacing w:val="-3"/>
          <w:w w:val="105"/>
          <w:sz w:val="21"/>
        </w:rPr>
        <w:t>enhance </w:t>
      </w:r>
      <w:r>
        <w:rPr>
          <w:w w:val="105"/>
          <w:sz w:val="21"/>
        </w:rPr>
        <w:t>the </w:t>
      </w:r>
      <w:r>
        <w:rPr>
          <w:spacing w:val="-3"/>
          <w:w w:val="105"/>
          <w:sz w:val="21"/>
        </w:rPr>
        <w:t>visual </w:t>
      </w:r>
      <w:r>
        <w:rPr>
          <w:w w:val="105"/>
          <w:sz w:val="21"/>
        </w:rPr>
        <w:t>amenity and landscape quality of the</w:t>
      </w:r>
      <w:r>
        <w:rPr>
          <w:spacing w:val="31"/>
          <w:w w:val="105"/>
          <w:sz w:val="21"/>
        </w:rPr>
        <w:t> </w:t>
      </w:r>
      <w:r>
        <w:rPr>
          <w:spacing w:val="-3"/>
          <w:w w:val="105"/>
          <w:sz w:val="21"/>
        </w:rPr>
        <w:t>area</w:t>
      </w:r>
    </w:p>
    <w:p>
      <w:pPr>
        <w:pStyle w:val="ListParagraph"/>
        <w:numPr>
          <w:ilvl w:val="3"/>
          <w:numId w:val="16"/>
        </w:numPr>
        <w:tabs>
          <w:tab w:pos="3061" w:val="left" w:leader="none"/>
          <w:tab w:pos="3062" w:val="left" w:leader="none"/>
        </w:tabs>
        <w:spacing w:line="240" w:lineRule="auto" w:before="88" w:after="0"/>
        <w:ind w:left="3061" w:right="0" w:hanging="340"/>
        <w:jc w:val="left"/>
        <w:rPr>
          <w:sz w:val="21"/>
        </w:rPr>
      </w:pPr>
      <w:r>
        <w:rPr>
          <w:spacing w:val="-3"/>
          <w:w w:val="105"/>
          <w:sz w:val="21"/>
        </w:rPr>
        <w:t>minimise </w:t>
      </w:r>
      <w:r>
        <w:rPr>
          <w:w w:val="105"/>
          <w:sz w:val="21"/>
        </w:rPr>
        <w:t>the risk of soil </w:t>
      </w:r>
      <w:r>
        <w:rPr>
          <w:spacing w:val="-3"/>
          <w:w w:val="105"/>
          <w:sz w:val="21"/>
        </w:rPr>
        <w:t>erosion, </w:t>
      </w:r>
      <w:r>
        <w:rPr>
          <w:w w:val="105"/>
          <w:sz w:val="21"/>
        </w:rPr>
        <w:t>sedimentation and </w:t>
      </w:r>
      <w:r>
        <w:rPr>
          <w:spacing w:val="-3"/>
          <w:w w:val="105"/>
          <w:sz w:val="21"/>
        </w:rPr>
        <w:t>degradation </w:t>
      </w:r>
      <w:r>
        <w:rPr>
          <w:w w:val="105"/>
          <w:sz w:val="21"/>
        </w:rPr>
        <w:t>of </w:t>
      </w:r>
      <w:r>
        <w:rPr>
          <w:spacing w:val="-3"/>
          <w:w w:val="105"/>
          <w:sz w:val="21"/>
        </w:rPr>
        <w:t>water</w:t>
      </w:r>
      <w:r>
        <w:rPr>
          <w:spacing w:val="27"/>
          <w:w w:val="105"/>
          <w:sz w:val="21"/>
        </w:rPr>
        <w:t> </w:t>
      </w:r>
      <w:r>
        <w:rPr>
          <w:w w:val="105"/>
          <w:sz w:val="21"/>
        </w:rPr>
        <w:t>quality</w:t>
      </w:r>
    </w:p>
    <w:p>
      <w:pPr>
        <w:pStyle w:val="ListParagraph"/>
        <w:numPr>
          <w:ilvl w:val="2"/>
          <w:numId w:val="16"/>
        </w:numPr>
        <w:tabs>
          <w:tab w:pos="2721" w:val="left" w:leader="none"/>
          <w:tab w:pos="2722" w:val="left" w:leader="none"/>
        </w:tabs>
        <w:spacing w:line="242" w:lineRule="auto" w:before="89" w:after="0"/>
        <w:ind w:left="2721" w:right="1782" w:hanging="340"/>
        <w:jc w:val="left"/>
        <w:rPr>
          <w:sz w:val="21"/>
        </w:rPr>
      </w:pPr>
      <w:r>
        <w:rPr>
          <w:w w:val="105"/>
          <w:sz w:val="21"/>
        </w:rPr>
        <w:t>the need </w:t>
      </w:r>
      <w:r>
        <w:rPr>
          <w:spacing w:val="-3"/>
          <w:w w:val="105"/>
          <w:sz w:val="21"/>
        </w:rPr>
        <w:t>to </w:t>
      </w:r>
      <w:r>
        <w:rPr>
          <w:w w:val="105"/>
          <w:sz w:val="21"/>
        </w:rPr>
        <w:t>work </w:t>
      </w:r>
      <w:r>
        <w:rPr>
          <w:spacing w:val="-3"/>
          <w:w w:val="105"/>
          <w:sz w:val="21"/>
        </w:rPr>
        <w:t>towards </w:t>
      </w:r>
      <w:r>
        <w:rPr>
          <w:w w:val="105"/>
          <w:sz w:val="21"/>
        </w:rPr>
        <w:t>the Victorian </w:t>
      </w:r>
      <w:r>
        <w:rPr>
          <w:spacing w:val="-3"/>
          <w:w w:val="105"/>
          <w:sz w:val="21"/>
        </w:rPr>
        <w:t>Government’s </w:t>
      </w:r>
      <w:r>
        <w:rPr>
          <w:w w:val="105"/>
          <w:sz w:val="21"/>
        </w:rPr>
        <w:t>policy of </w:t>
      </w:r>
      <w:r>
        <w:rPr>
          <w:spacing w:val="-3"/>
          <w:w w:val="105"/>
          <w:sz w:val="21"/>
        </w:rPr>
        <w:t>achieving </w:t>
      </w:r>
      <w:r>
        <w:rPr>
          <w:w w:val="105"/>
          <w:sz w:val="21"/>
        </w:rPr>
        <w:t>a net </w:t>
      </w:r>
      <w:r>
        <w:rPr>
          <w:spacing w:val="-3"/>
          <w:w w:val="105"/>
          <w:sz w:val="21"/>
        </w:rPr>
        <w:t>gain </w:t>
      </w:r>
      <w:r>
        <w:rPr>
          <w:w w:val="105"/>
          <w:sz w:val="21"/>
        </w:rPr>
        <w:t>in the extent and quality of </w:t>
      </w:r>
      <w:r>
        <w:rPr>
          <w:spacing w:val="-3"/>
          <w:w w:val="105"/>
          <w:sz w:val="21"/>
        </w:rPr>
        <w:t>native </w:t>
      </w:r>
      <w:r>
        <w:rPr>
          <w:w w:val="105"/>
          <w:sz w:val="21"/>
        </w:rPr>
        <w:t>vegetation </w:t>
      </w:r>
      <w:r>
        <w:rPr>
          <w:spacing w:val="-3"/>
          <w:w w:val="105"/>
          <w:sz w:val="21"/>
        </w:rPr>
        <w:t>throughout</w:t>
      </w:r>
      <w:r>
        <w:rPr>
          <w:spacing w:val="21"/>
          <w:w w:val="105"/>
          <w:sz w:val="21"/>
        </w:rPr>
        <w:t> </w:t>
      </w:r>
      <w:r>
        <w:rPr>
          <w:w w:val="105"/>
          <w:sz w:val="21"/>
        </w:rPr>
        <w:t>Victoria</w:t>
      </w:r>
    </w:p>
    <w:p>
      <w:pPr>
        <w:pStyle w:val="ListParagraph"/>
        <w:numPr>
          <w:ilvl w:val="2"/>
          <w:numId w:val="16"/>
        </w:numPr>
        <w:tabs>
          <w:tab w:pos="2721" w:val="left" w:leader="none"/>
          <w:tab w:pos="2722" w:val="left" w:leader="none"/>
        </w:tabs>
        <w:spacing w:line="242" w:lineRule="auto" w:before="87" w:after="0"/>
        <w:ind w:left="2721" w:right="2255" w:hanging="340"/>
        <w:jc w:val="left"/>
        <w:rPr>
          <w:sz w:val="21"/>
        </w:rPr>
      </w:pPr>
      <w:r>
        <w:rPr>
          <w:w w:val="105"/>
          <w:sz w:val="21"/>
        </w:rPr>
        <w:t>whether</w:t>
      </w:r>
      <w:r>
        <w:rPr>
          <w:spacing w:val="-12"/>
          <w:w w:val="105"/>
          <w:sz w:val="21"/>
        </w:rPr>
        <w:t> </w:t>
      </w:r>
      <w:r>
        <w:rPr>
          <w:w w:val="105"/>
          <w:sz w:val="21"/>
        </w:rPr>
        <w:t>there</w:t>
      </w:r>
      <w:r>
        <w:rPr>
          <w:spacing w:val="-12"/>
          <w:w w:val="105"/>
          <w:sz w:val="21"/>
        </w:rPr>
        <w:t> </w:t>
      </w:r>
      <w:r>
        <w:rPr>
          <w:spacing w:val="-3"/>
          <w:w w:val="105"/>
          <w:sz w:val="21"/>
        </w:rPr>
        <w:t>are</w:t>
      </w:r>
      <w:r>
        <w:rPr>
          <w:spacing w:val="-11"/>
          <w:w w:val="105"/>
          <w:sz w:val="21"/>
        </w:rPr>
        <w:t> </w:t>
      </w:r>
      <w:r>
        <w:rPr>
          <w:w w:val="105"/>
          <w:sz w:val="21"/>
        </w:rPr>
        <w:t>other</w:t>
      </w:r>
      <w:r>
        <w:rPr>
          <w:spacing w:val="-12"/>
          <w:w w:val="105"/>
          <w:sz w:val="21"/>
        </w:rPr>
        <w:t> </w:t>
      </w:r>
      <w:r>
        <w:rPr>
          <w:w w:val="105"/>
          <w:sz w:val="21"/>
        </w:rPr>
        <w:t>options</w:t>
      </w:r>
      <w:r>
        <w:rPr>
          <w:spacing w:val="-11"/>
          <w:w w:val="105"/>
          <w:sz w:val="21"/>
        </w:rPr>
        <w:t> </w:t>
      </w:r>
      <w:r>
        <w:rPr>
          <w:spacing w:val="-3"/>
          <w:w w:val="105"/>
          <w:sz w:val="21"/>
        </w:rPr>
        <w:t>regarding</w:t>
      </w:r>
      <w:r>
        <w:rPr>
          <w:spacing w:val="-12"/>
          <w:w w:val="105"/>
          <w:sz w:val="21"/>
        </w:rPr>
        <w:t> </w:t>
      </w:r>
      <w:r>
        <w:rPr>
          <w:w w:val="105"/>
          <w:sz w:val="21"/>
        </w:rPr>
        <w:t>the</w:t>
      </w:r>
      <w:r>
        <w:rPr>
          <w:spacing w:val="-12"/>
          <w:w w:val="105"/>
          <w:sz w:val="21"/>
        </w:rPr>
        <w:t> </w:t>
      </w:r>
      <w:r>
        <w:rPr>
          <w:spacing w:val="-3"/>
          <w:w w:val="105"/>
          <w:sz w:val="21"/>
        </w:rPr>
        <w:t>removal</w:t>
      </w:r>
      <w:r>
        <w:rPr>
          <w:spacing w:val="-11"/>
          <w:w w:val="105"/>
          <w:sz w:val="21"/>
        </w:rPr>
        <w:t> </w:t>
      </w:r>
      <w:r>
        <w:rPr>
          <w:w w:val="105"/>
          <w:sz w:val="21"/>
        </w:rPr>
        <w:t>of</w:t>
      </w:r>
      <w:r>
        <w:rPr>
          <w:spacing w:val="-12"/>
          <w:w w:val="105"/>
          <w:sz w:val="21"/>
        </w:rPr>
        <w:t> </w:t>
      </w:r>
      <w:r>
        <w:rPr>
          <w:w w:val="105"/>
          <w:sz w:val="21"/>
        </w:rPr>
        <w:t>vegetation,</w:t>
      </w:r>
      <w:r>
        <w:rPr>
          <w:spacing w:val="-11"/>
          <w:w w:val="105"/>
          <w:sz w:val="21"/>
        </w:rPr>
        <w:t> </w:t>
      </w:r>
      <w:r>
        <w:rPr>
          <w:spacing w:val="-3"/>
          <w:w w:val="105"/>
          <w:sz w:val="21"/>
        </w:rPr>
        <w:t>to</w:t>
      </w:r>
      <w:r>
        <w:rPr>
          <w:spacing w:val="-12"/>
          <w:w w:val="105"/>
          <w:sz w:val="21"/>
        </w:rPr>
        <w:t> </w:t>
      </w:r>
      <w:r>
        <w:rPr>
          <w:w w:val="105"/>
          <w:sz w:val="21"/>
        </w:rPr>
        <w:t>better </w:t>
      </w:r>
      <w:r>
        <w:rPr>
          <w:spacing w:val="-3"/>
          <w:w w:val="105"/>
          <w:sz w:val="21"/>
        </w:rPr>
        <w:t>achieve </w:t>
      </w:r>
      <w:r>
        <w:rPr>
          <w:w w:val="105"/>
          <w:sz w:val="21"/>
        </w:rPr>
        <w:t>the </w:t>
      </w:r>
      <w:r>
        <w:rPr>
          <w:spacing w:val="-3"/>
          <w:w w:val="105"/>
          <w:sz w:val="21"/>
        </w:rPr>
        <w:t>overlay</w:t>
      </w:r>
      <w:r>
        <w:rPr>
          <w:spacing w:val="16"/>
          <w:w w:val="105"/>
          <w:sz w:val="21"/>
        </w:rPr>
        <w:t> </w:t>
      </w:r>
      <w:r>
        <w:rPr>
          <w:w w:val="105"/>
          <w:sz w:val="21"/>
        </w:rPr>
        <w:t>objectives</w:t>
      </w:r>
    </w:p>
    <w:p>
      <w:pPr>
        <w:pStyle w:val="ListParagraph"/>
        <w:numPr>
          <w:ilvl w:val="2"/>
          <w:numId w:val="16"/>
        </w:numPr>
        <w:tabs>
          <w:tab w:pos="2721" w:val="left" w:leader="none"/>
          <w:tab w:pos="2722" w:val="left" w:leader="none"/>
        </w:tabs>
        <w:spacing w:line="242" w:lineRule="auto" w:before="87" w:after="0"/>
        <w:ind w:left="2721" w:right="1703" w:hanging="340"/>
        <w:jc w:val="left"/>
        <w:rPr>
          <w:sz w:val="21"/>
        </w:rPr>
      </w:pPr>
      <w:r>
        <w:rPr>
          <w:sz w:val="21"/>
        </w:rPr>
        <w:t>whether there is a need </w:t>
      </w:r>
      <w:r>
        <w:rPr>
          <w:spacing w:val="-3"/>
          <w:sz w:val="21"/>
        </w:rPr>
        <w:t>to </w:t>
      </w:r>
      <w:r>
        <w:rPr>
          <w:sz w:val="21"/>
        </w:rPr>
        <w:t>undertake </w:t>
      </w:r>
      <w:r>
        <w:rPr>
          <w:spacing w:val="-2"/>
          <w:sz w:val="21"/>
        </w:rPr>
        <w:t>revegetation  </w:t>
      </w:r>
      <w:r>
        <w:rPr>
          <w:sz w:val="21"/>
        </w:rPr>
        <w:t>with  </w:t>
      </w:r>
      <w:r>
        <w:rPr>
          <w:spacing w:val="-3"/>
          <w:sz w:val="21"/>
        </w:rPr>
        <w:t>appropriate  indigenous </w:t>
      </w:r>
      <w:r>
        <w:rPr>
          <w:sz w:val="21"/>
        </w:rPr>
        <w:t>species </w:t>
      </w:r>
      <w:r>
        <w:rPr>
          <w:spacing w:val="-3"/>
          <w:sz w:val="21"/>
        </w:rPr>
        <w:t>to </w:t>
      </w:r>
      <w:r>
        <w:rPr>
          <w:sz w:val="21"/>
        </w:rPr>
        <w:t>offset </w:t>
      </w:r>
      <w:r>
        <w:rPr>
          <w:spacing w:val="-3"/>
          <w:sz w:val="21"/>
        </w:rPr>
        <w:t>any </w:t>
      </w:r>
      <w:r>
        <w:rPr>
          <w:sz w:val="21"/>
        </w:rPr>
        <w:t>loss of </w:t>
      </w:r>
      <w:r>
        <w:rPr>
          <w:spacing w:val="-3"/>
          <w:sz w:val="21"/>
        </w:rPr>
        <w:t>environmental values resulting from </w:t>
      </w:r>
      <w:r>
        <w:rPr>
          <w:sz w:val="21"/>
        </w:rPr>
        <w:t>the works or development, or </w:t>
      </w:r>
      <w:r>
        <w:rPr>
          <w:spacing w:val="-3"/>
          <w:sz w:val="21"/>
        </w:rPr>
        <w:t>to replace </w:t>
      </w:r>
      <w:r>
        <w:rPr>
          <w:spacing w:val="-4"/>
          <w:sz w:val="21"/>
        </w:rPr>
        <w:t>key </w:t>
      </w:r>
      <w:r>
        <w:rPr>
          <w:sz w:val="21"/>
        </w:rPr>
        <w:t>non-indigenous vegetation where this is important </w:t>
      </w:r>
      <w:r>
        <w:rPr>
          <w:spacing w:val="-3"/>
          <w:sz w:val="21"/>
        </w:rPr>
        <w:t>to </w:t>
      </w:r>
      <w:r>
        <w:rPr>
          <w:sz w:val="21"/>
        </w:rPr>
        <w:t>the aesthetic </w:t>
      </w:r>
      <w:r>
        <w:rPr>
          <w:spacing w:val="-3"/>
          <w:sz w:val="21"/>
        </w:rPr>
        <w:t>values </w:t>
      </w:r>
      <w:r>
        <w:rPr>
          <w:sz w:val="21"/>
        </w:rPr>
        <w:t>of a particular</w:t>
      </w:r>
      <w:r>
        <w:rPr>
          <w:spacing w:val="5"/>
          <w:sz w:val="21"/>
        </w:rPr>
        <w:t> </w:t>
      </w:r>
      <w:r>
        <w:rPr>
          <w:spacing w:val="-3"/>
          <w:sz w:val="21"/>
        </w:rPr>
        <w:t>site</w:t>
      </w:r>
    </w:p>
    <w:p>
      <w:pPr>
        <w:pStyle w:val="ListParagraph"/>
        <w:numPr>
          <w:ilvl w:val="2"/>
          <w:numId w:val="16"/>
        </w:numPr>
        <w:tabs>
          <w:tab w:pos="2721" w:val="left" w:leader="none"/>
          <w:tab w:pos="2722" w:val="left" w:leader="none"/>
        </w:tabs>
        <w:spacing w:line="242" w:lineRule="auto" w:before="90" w:after="0"/>
        <w:ind w:left="2721" w:right="2305" w:hanging="340"/>
        <w:jc w:val="left"/>
        <w:rPr>
          <w:sz w:val="21"/>
        </w:rPr>
      </w:pPr>
      <w:r>
        <w:rPr>
          <w:w w:val="105"/>
          <w:sz w:val="21"/>
        </w:rPr>
        <w:t>whether</w:t>
      </w:r>
      <w:r>
        <w:rPr>
          <w:spacing w:val="-8"/>
          <w:w w:val="105"/>
          <w:sz w:val="21"/>
        </w:rPr>
        <w:t> </w:t>
      </w:r>
      <w:r>
        <w:rPr>
          <w:w w:val="105"/>
          <w:sz w:val="21"/>
        </w:rPr>
        <w:t>the</w:t>
      </w:r>
      <w:r>
        <w:rPr>
          <w:spacing w:val="-8"/>
          <w:w w:val="105"/>
          <w:sz w:val="21"/>
        </w:rPr>
        <w:t> </w:t>
      </w:r>
      <w:r>
        <w:rPr>
          <w:w w:val="105"/>
          <w:sz w:val="21"/>
        </w:rPr>
        <w:t>vegetation</w:t>
      </w:r>
      <w:r>
        <w:rPr>
          <w:spacing w:val="-7"/>
          <w:w w:val="105"/>
          <w:sz w:val="21"/>
        </w:rPr>
        <w:t> </w:t>
      </w:r>
      <w:r>
        <w:rPr>
          <w:w w:val="105"/>
          <w:sz w:val="21"/>
        </w:rPr>
        <w:t>is</w:t>
      </w:r>
      <w:r>
        <w:rPr>
          <w:spacing w:val="-8"/>
          <w:w w:val="105"/>
          <w:sz w:val="21"/>
        </w:rPr>
        <w:t> </w:t>
      </w:r>
      <w:r>
        <w:rPr>
          <w:spacing w:val="-3"/>
          <w:w w:val="105"/>
          <w:sz w:val="21"/>
        </w:rPr>
        <w:t>planted</w:t>
      </w:r>
      <w:r>
        <w:rPr>
          <w:spacing w:val="-7"/>
          <w:w w:val="105"/>
          <w:sz w:val="21"/>
        </w:rPr>
        <w:t> </w:t>
      </w:r>
      <w:r>
        <w:rPr>
          <w:w w:val="105"/>
          <w:sz w:val="21"/>
        </w:rPr>
        <w:t>vegetation</w:t>
      </w:r>
      <w:r>
        <w:rPr>
          <w:spacing w:val="-8"/>
          <w:w w:val="105"/>
          <w:sz w:val="21"/>
        </w:rPr>
        <w:t> </w:t>
      </w:r>
      <w:r>
        <w:rPr>
          <w:spacing w:val="-3"/>
          <w:w w:val="105"/>
          <w:sz w:val="21"/>
        </w:rPr>
        <w:t>that</w:t>
      </w:r>
      <w:r>
        <w:rPr>
          <w:spacing w:val="-7"/>
          <w:w w:val="105"/>
          <w:sz w:val="21"/>
        </w:rPr>
        <w:t> </w:t>
      </w:r>
      <w:r>
        <w:rPr>
          <w:w w:val="105"/>
          <w:sz w:val="21"/>
        </w:rPr>
        <w:t>blocks</w:t>
      </w:r>
      <w:r>
        <w:rPr>
          <w:spacing w:val="-8"/>
          <w:w w:val="105"/>
          <w:sz w:val="21"/>
        </w:rPr>
        <w:t> </w:t>
      </w:r>
      <w:r>
        <w:rPr>
          <w:w w:val="105"/>
          <w:sz w:val="21"/>
        </w:rPr>
        <w:t>views</w:t>
      </w:r>
      <w:r>
        <w:rPr>
          <w:spacing w:val="-7"/>
          <w:w w:val="105"/>
          <w:sz w:val="21"/>
        </w:rPr>
        <w:t> </w:t>
      </w:r>
      <w:r>
        <w:rPr>
          <w:spacing w:val="-3"/>
          <w:w w:val="105"/>
          <w:sz w:val="21"/>
        </w:rPr>
        <w:t>from</w:t>
      </w:r>
      <w:r>
        <w:rPr>
          <w:spacing w:val="-8"/>
          <w:w w:val="105"/>
          <w:sz w:val="21"/>
        </w:rPr>
        <w:t> </w:t>
      </w:r>
      <w:r>
        <w:rPr>
          <w:spacing w:val="-3"/>
          <w:w w:val="105"/>
          <w:sz w:val="21"/>
        </w:rPr>
        <w:t>adjoining </w:t>
      </w:r>
      <w:r>
        <w:rPr>
          <w:spacing w:val="-5"/>
          <w:w w:val="105"/>
          <w:sz w:val="21"/>
        </w:rPr>
        <w:t>properties.</w:t>
      </w:r>
      <w:r>
        <w:rPr>
          <w:spacing w:val="-5"/>
          <w:w w:val="105"/>
          <w:position w:val="7"/>
          <w:sz w:val="12"/>
        </w:rPr>
        <w:t>11</w:t>
      </w:r>
    </w:p>
    <w:p>
      <w:pPr>
        <w:pStyle w:val="BodyText"/>
        <w:rPr>
          <w:sz w:val="20"/>
        </w:rPr>
      </w:pPr>
    </w:p>
    <w:p>
      <w:pPr>
        <w:pStyle w:val="BodyText"/>
        <w:rPr>
          <w:sz w:val="20"/>
        </w:rPr>
      </w:pPr>
    </w:p>
    <w:p>
      <w:pPr>
        <w:pStyle w:val="BodyText"/>
        <w:rPr>
          <w:sz w:val="20"/>
        </w:rPr>
      </w:pPr>
    </w:p>
    <w:p>
      <w:pPr>
        <w:pStyle w:val="BodyText"/>
        <w:spacing w:before="5"/>
        <w:rPr>
          <w:sz w:val="17"/>
        </w:rPr>
      </w:pPr>
      <w:r>
        <w:rPr/>
        <w:pict>
          <v:line style="position:absolute;mso-position-horizontal-relative:page;mso-position-vertical-relative:paragraph;z-index:7568;mso-wrap-distance-left:0;mso-wrap-distance-right:0" from="79.370102pt,13.083946pt" to="515.905102pt,13.083946pt" stroked="true" strokeweight="1pt" strokecolor="#c9d2cb">
            <v:stroke dashstyle="solid"/>
            <w10:wrap type="topAndBottom"/>
          </v:line>
        </w:pict>
      </w:r>
    </w:p>
    <w:p>
      <w:pPr>
        <w:pStyle w:val="BodyText"/>
        <w:spacing w:before="8"/>
        <w:rPr>
          <w:sz w:val="5"/>
        </w:rPr>
      </w:pPr>
    </w:p>
    <w:p>
      <w:pPr>
        <w:spacing w:after="0"/>
        <w:rPr>
          <w:sz w:val="5"/>
        </w:rPr>
        <w:sectPr>
          <w:headerReference w:type="default" r:id="rId208"/>
          <w:headerReference w:type="even" r:id="rId209"/>
          <w:pgSz w:w="11910" w:h="16840"/>
          <w:pgMar w:header="808" w:footer="0" w:top="1360" w:bottom="280" w:left="0" w:right="0"/>
        </w:sectPr>
      </w:pPr>
    </w:p>
    <w:p>
      <w:pPr>
        <w:pStyle w:val="ListParagraph"/>
        <w:numPr>
          <w:ilvl w:val="0"/>
          <w:numId w:val="127"/>
        </w:numPr>
        <w:tabs>
          <w:tab w:pos="2380" w:val="left" w:leader="none"/>
          <w:tab w:pos="2382" w:val="left" w:leader="none"/>
        </w:tabs>
        <w:spacing w:line="240" w:lineRule="auto" w:before="48" w:after="0"/>
        <w:ind w:left="2381" w:right="49" w:hanging="794"/>
        <w:jc w:val="left"/>
        <w:rPr>
          <w:sz w:val="13"/>
        </w:rPr>
      </w:pPr>
      <w:r>
        <w:rPr>
          <w:w w:val="105"/>
          <w:sz w:val="13"/>
        </w:rPr>
        <w:t>Department of Environment, Land, Water and Planning </w:t>
      </w:r>
      <w:r>
        <w:rPr>
          <w:spacing w:val="2"/>
          <w:w w:val="105"/>
          <w:sz w:val="13"/>
        </w:rPr>
        <w:t>(Vic), </w:t>
      </w:r>
      <w:r>
        <w:rPr>
          <w:i/>
          <w:w w:val="105"/>
          <w:sz w:val="13"/>
        </w:rPr>
        <w:t>A Practitioner’s Guide to Victorian Planning Schemes </w:t>
      </w:r>
      <w:r>
        <w:rPr>
          <w:w w:val="105"/>
          <w:sz w:val="13"/>
        </w:rPr>
        <w:t>(Version </w:t>
      </w:r>
      <w:r>
        <w:rPr>
          <w:spacing w:val="-5"/>
          <w:w w:val="105"/>
          <w:sz w:val="13"/>
        </w:rPr>
        <w:t>1.1, </w:t>
      </w:r>
      <w:r>
        <w:rPr>
          <w:w w:val="105"/>
          <w:sz w:val="13"/>
        </w:rPr>
        <w:t>October 2018) [3.4]</w:t>
      </w:r>
      <w:r>
        <w:rPr>
          <w:spacing w:val="6"/>
          <w:w w:val="105"/>
          <w:sz w:val="13"/>
        </w:rPr>
        <w:t> </w:t>
      </w:r>
      <w:r>
        <w:rPr>
          <w:spacing w:val="2"/>
          <w:w w:val="105"/>
          <w:sz w:val="13"/>
        </w:rPr>
        <w:t>&lt;https://</w:t>
      </w:r>
      <w:hyperlink r:id="rId207">
        <w:r>
          <w:rPr>
            <w:spacing w:val="2"/>
            <w:w w:val="105"/>
            <w:sz w:val="13"/>
          </w:rPr>
          <w:t>www.planning.vic.gov.au/guide-home/a-practitioners-guide-to-victorian-planning-schemes</w:t>
        </w:r>
      </w:hyperlink>
      <w:r>
        <w:rPr>
          <w:spacing w:val="2"/>
          <w:w w:val="105"/>
          <w:sz w:val="13"/>
        </w:rPr>
        <w:t>&gt;.</w:t>
      </w:r>
    </w:p>
    <w:p>
      <w:pPr>
        <w:pStyle w:val="ListParagraph"/>
        <w:numPr>
          <w:ilvl w:val="0"/>
          <w:numId w:val="127"/>
        </w:numPr>
        <w:tabs>
          <w:tab w:pos="2380" w:val="left" w:leader="none"/>
          <w:tab w:pos="2382" w:val="left" w:leader="none"/>
        </w:tabs>
        <w:spacing w:line="240" w:lineRule="auto" w:before="3" w:after="0"/>
        <w:ind w:left="2381" w:right="0" w:hanging="794"/>
        <w:jc w:val="left"/>
        <w:rPr>
          <w:sz w:val="13"/>
        </w:rPr>
      </w:pPr>
      <w:r>
        <w:rPr>
          <w:w w:val="105"/>
          <w:sz w:val="13"/>
        </w:rPr>
        <w:t>Department of Environment, Land, Water and Planning </w:t>
      </w:r>
      <w:r>
        <w:rPr>
          <w:spacing w:val="2"/>
          <w:w w:val="105"/>
          <w:sz w:val="13"/>
        </w:rPr>
        <w:t>(Vic), </w:t>
      </w:r>
      <w:r>
        <w:rPr>
          <w:w w:val="105"/>
          <w:sz w:val="13"/>
        </w:rPr>
        <w:t>‘East Gippsland Planning Scheme’, </w:t>
      </w:r>
      <w:r>
        <w:rPr>
          <w:i/>
          <w:w w:val="105"/>
          <w:sz w:val="13"/>
        </w:rPr>
        <w:t>Planning Schemes Online </w:t>
      </w:r>
      <w:r>
        <w:rPr>
          <w:spacing w:val="-5"/>
          <w:w w:val="105"/>
          <w:sz w:val="13"/>
        </w:rPr>
        <w:t>(11  </w:t>
      </w:r>
      <w:r>
        <w:rPr>
          <w:w w:val="105"/>
          <w:sz w:val="13"/>
        </w:rPr>
        <w:t>April 2019)    cl 42.02-5 ‘Decision guidelines’,</w:t>
      </w:r>
      <w:r>
        <w:rPr>
          <w:spacing w:val="23"/>
          <w:w w:val="105"/>
          <w:sz w:val="13"/>
        </w:rPr>
        <w:t> </w:t>
      </w:r>
      <w:r>
        <w:rPr>
          <w:w w:val="105"/>
          <w:sz w:val="13"/>
        </w:rPr>
        <w:t>&lt;</w:t>
      </w:r>
      <w:hyperlink r:id="rId210">
        <w:r>
          <w:rPr>
            <w:w w:val="105"/>
            <w:sz w:val="13"/>
          </w:rPr>
          <w:t>http://planning-schemes.delwp.vic.gov.au/schemes/eastgippsland</w:t>
        </w:r>
      </w:hyperlink>
      <w:r>
        <w:rPr>
          <w:w w:val="105"/>
          <w:sz w:val="13"/>
        </w:rPr>
        <w:t>&gt;.</w:t>
      </w:r>
    </w:p>
    <w:p>
      <w:pPr>
        <w:pStyle w:val="ListParagraph"/>
        <w:numPr>
          <w:ilvl w:val="0"/>
          <w:numId w:val="127"/>
        </w:numPr>
        <w:tabs>
          <w:tab w:pos="2380" w:val="left" w:leader="none"/>
          <w:tab w:pos="2382" w:val="left" w:leader="none"/>
        </w:tabs>
        <w:spacing w:line="240" w:lineRule="auto" w:before="2" w:after="0"/>
        <w:ind w:left="2381" w:right="161" w:hanging="794"/>
        <w:jc w:val="left"/>
        <w:rPr>
          <w:sz w:val="13"/>
        </w:rPr>
      </w:pPr>
      <w:r>
        <w:rPr>
          <w:w w:val="105"/>
          <w:sz w:val="13"/>
        </w:rPr>
        <w:t>East Gippsland Shire Council, </w:t>
      </w:r>
      <w:r>
        <w:rPr>
          <w:i/>
          <w:w w:val="105"/>
          <w:sz w:val="13"/>
        </w:rPr>
        <w:t>East Gippsland Planning Scheme </w:t>
      </w:r>
      <w:r>
        <w:rPr>
          <w:spacing w:val="-5"/>
          <w:w w:val="105"/>
          <w:sz w:val="13"/>
        </w:rPr>
        <w:t>(11 </w:t>
      </w:r>
      <w:r>
        <w:rPr>
          <w:w w:val="105"/>
          <w:sz w:val="13"/>
        </w:rPr>
        <w:t>April 2019) sch 8 to the Vegetation Protection Overlay—Mallacoota Vegetation Protection Area</w:t>
      </w:r>
      <w:r>
        <w:rPr>
          <w:spacing w:val="16"/>
          <w:w w:val="105"/>
          <w:sz w:val="13"/>
        </w:rPr>
        <w:t> </w:t>
      </w:r>
      <w:r>
        <w:rPr>
          <w:w w:val="105"/>
          <w:sz w:val="13"/>
        </w:rPr>
        <w:t>&lt;</w:t>
      </w:r>
      <w:hyperlink r:id="rId210">
        <w:r>
          <w:rPr>
            <w:w w:val="105"/>
            <w:sz w:val="13"/>
          </w:rPr>
          <w:t>http://planning-schemes.delwp.vic.gov.au/schemes/eastgippsland</w:t>
        </w:r>
      </w:hyperlink>
      <w:r>
        <w:rPr>
          <w:w w:val="105"/>
          <w:sz w:val="13"/>
        </w:rPr>
        <w:t>&gt;.</w:t>
      </w:r>
    </w:p>
    <w:p>
      <w:pPr>
        <w:pStyle w:val="ListParagraph"/>
        <w:numPr>
          <w:ilvl w:val="0"/>
          <w:numId w:val="127"/>
        </w:numPr>
        <w:tabs>
          <w:tab w:pos="2381" w:val="left" w:leader="none"/>
          <w:tab w:pos="2382" w:val="left" w:leader="none"/>
        </w:tabs>
        <w:spacing w:line="240" w:lineRule="auto" w:before="3" w:after="0"/>
        <w:ind w:left="2381" w:right="0" w:hanging="794"/>
        <w:jc w:val="left"/>
        <w:rPr>
          <w:sz w:val="13"/>
        </w:rPr>
      </w:pPr>
      <w:r>
        <w:rPr>
          <w:sz w:val="13"/>
        </w:rPr>
        <w:t>Ibid.</w:t>
      </w:r>
    </w:p>
    <w:p>
      <w:pPr>
        <w:pStyle w:val="BodyText"/>
        <w:rPr>
          <w:sz w:val="28"/>
        </w:rPr>
      </w:pPr>
      <w:r>
        <w:rPr/>
        <w:br w:type="column"/>
      </w:r>
      <w:r>
        <w:rPr>
          <w:sz w:val="28"/>
        </w:rPr>
      </w:r>
    </w:p>
    <w:p>
      <w:pPr>
        <w:pStyle w:val="BodyText"/>
        <w:rPr>
          <w:sz w:val="28"/>
        </w:rPr>
      </w:pPr>
    </w:p>
    <w:p>
      <w:pPr>
        <w:spacing w:before="220"/>
        <w:ind w:left="702" w:right="575" w:firstLine="0"/>
        <w:jc w:val="center"/>
        <w:rPr>
          <w:b/>
          <w:sz w:val="24"/>
        </w:rPr>
      </w:pPr>
      <w:r>
        <w:rPr>
          <w:b/>
          <w:color w:val="658464"/>
          <w:w w:val="110"/>
          <w:sz w:val="24"/>
        </w:rPr>
        <w:t>163</w:t>
      </w:r>
    </w:p>
    <w:p>
      <w:pPr>
        <w:spacing w:after="0"/>
        <w:jc w:val="center"/>
        <w:rPr>
          <w:sz w:val="24"/>
        </w:rPr>
        <w:sectPr>
          <w:type w:val="continuous"/>
          <w:pgSz w:w="11910" w:h="16840"/>
          <w:pgMar w:top="300" w:bottom="280" w:left="0" w:right="0"/>
          <w:cols w:num="2" w:equalWidth="0">
            <w:col w:w="10151" w:space="40"/>
            <w:col w:w="1719"/>
          </w:cols>
        </w:sectPr>
      </w:pPr>
    </w:p>
    <w:p>
      <w:pPr>
        <w:pStyle w:val="BodyText"/>
        <w:spacing w:before="9"/>
        <w:rPr>
          <w:b/>
          <w:sz w:val="22"/>
        </w:rPr>
      </w:pPr>
    </w:p>
    <w:p>
      <w:pPr>
        <w:pStyle w:val="ListParagraph"/>
        <w:numPr>
          <w:ilvl w:val="1"/>
          <w:numId w:val="16"/>
        </w:numPr>
        <w:tabs>
          <w:tab w:pos="2381" w:val="left" w:leader="none"/>
          <w:tab w:pos="2382" w:val="left" w:leader="none"/>
        </w:tabs>
        <w:spacing w:line="242" w:lineRule="auto" w:before="92" w:after="0"/>
        <w:ind w:left="2381" w:right="1626" w:hanging="794"/>
        <w:jc w:val="left"/>
        <w:rPr>
          <w:sz w:val="21"/>
        </w:rPr>
      </w:pPr>
      <w:bookmarkStart w:name="_bookmark87" w:id="186"/>
      <w:bookmarkEnd w:id="186"/>
      <w:r>
        <w:rPr/>
      </w:r>
      <w:bookmarkStart w:name="_bookmark87" w:id="187"/>
      <w:bookmarkEnd w:id="187"/>
      <w:r>
        <w:rPr>
          <w:w w:val="105"/>
          <w:sz w:val="21"/>
        </w:rPr>
        <w:t>D</w:t>
      </w:r>
      <w:r>
        <w:rPr>
          <w:w w:val="105"/>
          <w:sz w:val="21"/>
        </w:rPr>
        <w:t>ecision-making </w:t>
      </w:r>
      <w:r>
        <w:rPr>
          <w:spacing w:val="-3"/>
          <w:w w:val="105"/>
          <w:sz w:val="21"/>
        </w:rPr>
        <w:t>principles </w:t>
      </w:r>
      <w:r>
        <w:rPr>
          <w:w w:val="105"/>
          <w:sz w:val="21"/>
        </w:rPr>
        <w:t>in the </w:t>
      </w:r>
      <w:r>
        <w:rPr>
          <w:spacing w:val="-3"/>
          <w:w w:val="105"/>
          <w:sz w:val="21"/>
        </w:rPr>
        <w:t>planning </w:t>
      </w:r>
      <w:r>
        <w:rPr>
          <w:w w:val="105"/>
          <w:sz w:val="21"/>
        </w:rPr>
        <w:t>schemes reflect the broader policy </w:t>
      </w:r>
      <w:r>
        <w:rPr>
          <w:spacing w:val="-3"/>
          <w:w w:val="105"/>
          <w:sz w:val="21"/>
        </w:rPr>
        <w:t>considerations that underpin </w:t>
      </w:r>
      <w:r>
        <w:rPr>
          <w:w w:val="105"/>
          <w:sz w:val="21"/>
        </w:rPr>
        <w:t>the </w:t>
      </w:r>
      <w:r>
        <w:rPr>
          <w:spacing w:val="-3"/>
          <w:w w:val="105"/>
          <w:sz w:val="21"/>
        </w:rPr>
        <w:t>planning </w:t>
      </w:r>
      <w:r>
        <w:rPr>
          <w:w w:val="105"/>
          <w:sz w:val="21"/>
        </w:rPr>
        <w:t>scheme </w:t>
      </w:r>
      <w:r>
        <w:rPr>
          <w:spacing w:val="-3"/>
          <w:w w:val="105"/>
          <w:sz w:val="21"/>
        </w:rPr>
        <w:t>framework </w:t>
      </w:r>
      <w:r>
        <w:rPr>
          <w:w w:val="105"/>
          <w:sz w:val="21"/>
        </w:rPr>
        <w:t>in Victoria. Not </w:t>
      </w:r>
      <w:r>
        <w:rPr>
          <w:spacing w:val="-3"/>
          <w:w w:val="105"/>
          <w:sz w:val="21"/>
        </w:rPr>
        <w:t>all </w:t>
      </w:r>
      <w:r>
        <w:rPr>
          <w:w w:val="105"/>
          <w:sz w:val="21"/>
        </w:rPr>
        <w:t>of them </w:t>
      </w:r>
      <w:r>
        <w:rPr>
          <w:spacing w:val="-3"/>
          <w:w w:val="105"/>
          <w:sz w:val="21"/>
        </w:rPr>
        <w:t>will</w:t>
      </w:r>
      <w:r>
        <w:rPr>
          <w:spacing w:val="-8"/>
          <w:w w:val="105"/>
          <w:sz w:val="21"/>
        </w:rPr>
        <w:t> </w:t>
      </w:r>
      <w:r>
        <w:rPr>
          <w:w w:val="105"/>
          <w:sz w:val="21"/>
        </w:rPr>
        <w:t>be</w:t>
      </w:r>
      <w:r>
        <w:rPr>
          <w:spacing w:val="-7"/>
          <w:w w:val="105"/>
          <w:sz w:val="21"/>
        </w:rPr>
        <w:t> </w:t>
      </w:r>
      <w:r>
        <w:rPr>
          <w:spacing w:val="-3"/>
          <w:w w:val="105"/>
          <w:sz w:val="21"/>
        </w:rPr>
        <w:t>relevant</w:t>
      </w:r>
      <w:r>
        <w:rPr>
          <w:spacing w:val="-7"/>
          <w:w w:val="105"/>
          <w:sz w:val="21"/>
        </w:rPr>
        <w:t> </w:t>
      </w:r>
      <w:r>
        <w:rPr>
          <w:w w:val="105"/>
          <w:sz w:val="21"/>
        </w:rPr>
        <w:t>in</w:t>
      </w:r>
      <w:r>
        <w:rPr>
          <w:spacing w:val="-7"/>
          <w:w w:val="105"/>
          <w:sz w:val="21"/>
        </w:rPr>
        <w:t> </w:t>
      </w:r>
      <w:r>
        <w:rPr>
          <w:w w:val="105"/>
          <w:sz w:val="21"/>
        </w:rPr>
        <w:t>the</w:t>
      </w:r>
      <w:r>
        <w:rPr>
          <w:spacing w:val="-7"/>
          <w:w w:val="105"/>
          <w:sz w:val="21"/>
        </w:rPr>
        <w:t> </w:t>
      </w:r>
      <w:r>
        <w:rPr>
          <w:w w:val="105"/>
          <w:sz w:val="21"/>
        </w:rPr>
        <w:t>context</w:t>
      </w:r>
      <w:r>
        <w:rPr>
          <w:spacing w:val="-7"/>
          <w:w w:val="105"/>
          <w:sz w:val="21"/>
        </w:rPr>
        <w:t> </w:t>
      </w:r>
      <w:r>
        <w:rPr>
          <w:w w:val="105"/>
          <w:sz w:val="21"/>
        </w:rPr>
        <w:t>of</w:t>
      </w:r>
      <w:r>
        <w:rPr>
          <w:spacing w:val="-7"/>
          <w:w w:val="105"/>
          <w:sz w:val="21"/>
        </w:rPr>
        <w:t> </w:t>
      </w:r>
      <w:r>
        <w:rPr>
          <w:w w:val="105"/>
          <w:sz w:val="21"/>
        </w:rPr>
        <w:t>tree</w:t>
      </w:r>
      <w:r>
        <w:rPr>
          <w:spacing w:val="-8"/>
          <w:w w:val="105"/>
          <w:sz w:val="21"/>
        </w:rPr>
        <w:t> </w:t>
      </w:r>
      <w:r>
        <w:rPr>
          <w:spacing w:val="-3"/>
          <w:w w:val="105"/>
          <w:sz w:val="21"/>
        </w:rPr>
        <w:t>disputes</w:t>
      </w:r>
      <w:r>
        <w:rPr>
          <w:spacing w:val="-7"/>
          <w:w w:val="105"/>
          <w:sz w:val="21"/>
        </w:rPr>
        <w:t> </w:t>
      </w:r>
      <w:r>
        <w:rPr>
          <w:w w:val="105"/>
          <w:sz w:val="21"/>
        </w:rPr>
        <w:t>but</w:t>
      </w:r>
      <w:r>
        <w:rPr>
          <w:spacing w:val="-7"/>
          <w:w w:val="105"/>
          <w:sz w:val="21"/>
        </w:rPr>
        <w:t> </w:t>
      </w:r>
      <w:r>
        <w:rPr>
          <w:w w:val="105"/>
          <w:sz w:val="21"/>
        </w:rPr>
        <w:t>where</w:t>
      </w:r>
      <w:r>
        <w:rPr>
          <w:spacing w:val="-7"/>
          <w:w w:val="105"/>
          <w:sz w:val="21"/>
        </w:rPr>
        <w:t> </w:t>
      </w:r>
      <w:r>
        <w:rPr>
          <w:w w:val="105"/>
          <w:sz w:val="21"/>
        </w:rPr>
        <w:t>they</w:t>
      </w:r>
      <w:r>
        <w:rPr>
          <w:spacing w:val="-7"/>
          <w:w w:val="105"/>
          <w:sz w:val="21"/>
        </w:rPr>
        <w:t> </w:t>
      </w:r>
      <w:r>
        <w:rPr>
          <w:spacing w:val="-3"/>
          <w:w w:val="105"/>
          <w:sz w:val="21"/>
        </w:rPr>
        <w:t>are</w:t>
      </w:r>
      <w:r>
        <w:rPr>
          <w:spacing w:val="-7"/>
          <w:w w:val="105"/>
          <w:sz w:val="21"/>
        </w:rPr>
        <w:t> </w:t>
      </w:r>
      <w:r>
        <w:rPr>
          <w:w w:val="105"/>
          <w:sz w:val="21"/>
        </w:rPr>
        <w:t>it</w:t>
      </w:r>
      <w:r>
        <w:rPr>
          <w:spacing w:val="-7"/>
          <w:w w:val="105"/>
          <w:sz w:val="21"/>
        </w:rPr>
        <w:t> </w:t>
      </w:r>
      <w:r>
        <w:rPr>
          <w:spacing w:val="-3"/>
          <w:w w:val="105"/>
          <w:sz w:val="21"/>
        </w:rPr>
        <w:t>will</w:t>
      </w:r>
      <w:r>
        <w:rPr>
          <w:spacing w:val="-7"/>
          <w:w w:val="105"/>
          <w:sz w:val="21"/>
        </w:rPr>
        <w:t> </w:t>
      </w:r>
      <w:r>
        <w:rPr>
          <w:w w:val="105"/>
          <w:sz w:val="21"/>
        </w:rPr>
        <w:t>be</w:t>
      </w:r>
      <w:r>
        <w:rPr>
          <w:spacing w:val="-8"/>
          <w:w w:val="105"/>
          <w:sz w:val="21"/>
        </w:rPr>
        <w:t> </w:t>
      </w:r>
      <w:r>
        <w:rPr>
          <w:w w:val="105"/>
          <w:sz w:val="21"/>
        </w:rPr>
        <w:t>important</w:t>
      </w:r>
      <w:r>
        <w:rPr>
          <w:spacing w:val="-7"/>
          <w:w w:val="105"/>
          <w:sz w:val="21"/>
        </w:rPr>
        <w:t> </w:t>
      </w:r>
      <w:r>
        <w:rPr>
          <w:spacing w:val="-3"/>
          <w:w w:val="105"/>
          <w:sz w:val="21"/>
        </w:rPr>
        <w:t>that </w:t>
      </w:r>
      <w:r>
        <w:rPr>
          <w:w w:val="105"/>
          <w:sz w:val="21"/>
        </w:rPr>
        <w:t>they </w:t>
      </w:r>
      <w:r>
        <w:rPr>
          <w:spacing w:val="-3"/>
          <w:w w:val="105"/>
          <w:sz w:val="21"/>
        </w:rPr>
        <w:t>continue to </w:t>
      </w:r>
      <w:r>
        <w:rPr>
          <w:w w:val="105"/>
          <w:sz w:val="21"/>
        </w:rPr>
        <w:t>be </w:t>
      </w:r>
      <w:r>
        <w:rPr>
          <w:spacing w:val="-3"/>
          <w:w w:val="105"/>
          <w:sz w:val="21"/>
        </w:rPr>
        <w:t>considered </w:t>
      </w:r>
      <w:r>
        <w:rPr>
          <w:w w:val="105"/>
          <w:sz w:val="21"/>
        </w:rPr>
        <w:t>by </w:t>
      </w:r>
      <w:r>
        <w:rPr>
          <w:spacing w:val="-5"/>
          <w:w w:val="105"/>
          <w:sz w:val="21"/>
        </w:rPr>
        <w:t>VCAT </w:t>
      </w:r>
      <w:r>
        <w:rPr>
          <w:w w:val="105"/>
          <w:sz w:val="21"/>
        </w:rPr>
        <w:t>under the new Act. </w:t>
      </w:r>
      <w:r>
        <w:rPr>
          <w:spacing w:val="-3"/>
          <w:w w:val="105"/>
          <w:sz w:val="21"/>
        </w:rPr>
        <w:t>Relevant recommendations </w:t>
      </w:r>
      <w:r>
        <w:rPr>
          <w:w w:val="105"/>
          <w:sz w:val="21"/>
        </w:rPr>
        <w:t>can also be </w:t>
      </w:r>
      <w:r>
        <w:rPr>
          <w:spacing w:val="-3"/>
          <w:w w:val="105"/>
          <w:sz w:val="21"/>
        </w:rPr>
        <w:t>found </w:t>
      </w:r>
      <w:r>
        <w:rPr>
          <w:w w:val="105"/>
          <w:sz w:val="21"/>
        </w:rPr>
        <w:t>in </w:t>
      </w:r>
      <w:r>
        <w:rPr>
          <w:spacing w:val="-4"/>
          <w:w w:val="105"/>
          <w:sz w:val="21"/>
        </w:rPr>
        <w:t>Chapter</w:t>
      </w:r>
      <w:r>
        <w:rPr>
          <w:spacing w:val="36"/>
          <w:w w:val="105"/>
          <w:sz w:val="21"/>
        </w:rPr>
        <w:t> </w:t>
      </w:r>
      <w:r>
        <w:rPr>
          <w:spacing w:val="-5"/>
          <w:w w:val="105"/>
          <w:sz w:val="21"/>
        </w:rPr>
        <w:t>10.</w:t>
      </w:r>
    </w:p>
    <w:p>
      <w:pPr>
        <w:pStyle w:val="BodyText"/>
        <w:spacing w:before="6"/>
        <w:rPr>
          <w:sz w:val="20"/>
        </w:rPr>
      </w:pPr>
    </w:p>
    <w:p>
      <w:pPr>
        <w:pStyle w:val="Heading5"/>
      </w:pPr>
      <w:r>
        <w:rPr>
          <w:w w:val="115"/>
        </w:rPr>
        <w:t>Local laws</w:t>
      </w:r>
    </w:p>
    <w:p>
      <w:pPr>
        <w:pStyle w:val="ListParagraph"/>
        <w:numPr>
          <w:ilvl w:val="1"/>
          <w:numId w:val="16"/>
        </w:numPr>
        <w:tabs>
          <w:tab w:pos="2381" w:val="left" w:leader="none"/>
          <w:tab w:pos="2382" w:val="left" w:leader="none"/>
        </w:tabs>
        <w:spacing w:line="242" w:lineRule="auto" w:before="137" w:after="0"/>
        <w:ind w:left="2381" w:right="1614" w:hanging="794"/>
        <w:jc w:val="left"/>
        <w:rPr>
          <w:sz w:val="21"/>
        </w:rPr>
      </w:pPr>
      <w:r>
        <w:rPr>
          <w:w w:val="105"/>
          <w:sz w:val="21"/>
        </w:rPr>
        <w:t>Some </w:t>
      </w:r>
      <w:r>
        <w:rPr>
          <w:spacing w:val="-3"/>
          <w:w w:val="105"/>
          <w:sz w:val="21"/>
        </w:rPr>
        <w:t>councils have </w:t>
      </w:r>
      <w:r>
        <w:rPr>
          <w:w w:val="105"/>
          <w:sz w:val="21"/>
        </w:rPr>
        <w:t>local laws </w:t>
      </w:r>
      <w:r>
        <w:rPr>
          <w:spacing w:val="-3"/>
          <w:w w:val="105"/>
          <w:sz w:val="21"/>
        </w:rPr>
        <w:t>to </w:t>
      </w:r>
      <w:r>
        <w:rPr>
          <w:w w:val="105"/>
          <w:sz w:val="21"/>
        </w:rPr>
        <w:t>protect trees on </w:t>
      </w:r>
      <w:r>
        <w:rPr>
          <w:spacing w:val="-3"/>
          <w:w w:val="105"/>
          <w:sz w:val="21"/>
        </w:rPr>
        <w:t>private </w:t>
      </w:r>
      <w:r>
        <w:rPr>
          <w:w w:val="105"/>
          <w:sz w:val="21"/>
        </w:rPr>
        <w:t>and </w:t>
      </w:r>
      <w:r>
        <w:rPr>
          <w:spacing w:val="-3"/>
          <w:w w:val="105"/>
          <w:sz w:val="21"/>
        </w:rPr>
        <w:t>public land. </w:t>
      </w:r>
      <w:r>
        <w:rPr>
          <w:w w:val="105"/>
          <w:sz w:val="21"/>
        </w:rPr>
        <w:t>The </w:t>
      </w:r>
      <w:r>
        <w:rPr>
          <w:spacing w:val="-3"/>
          <w:w w:val="105"/>
          <w:sz w:val="21"/>
        </w:rPr>
        <w:t>Commission consulted </w:t>
      </w:r>
      <w:r>
        <w:rPr>
          <w:w w:val="105"/>
          <w:sz w:val="21"/>
        </w:rPr>
        <w:t>with two </w:t>
      </w:r>
      <w:r>
        <w:rPr>
          <w:spacing w:val="-3"/>
          <w:w w:val="105"/>
          <w:sz w:val="21"/>
        </w:rPr>
        <w:t>councils </w:t>
      </w:r>
      <w:r>
        <w:rPr>
          <w:w w:val="105"/>
          <w:sz w:val="21"/>
        </w:rPr>
        <w:t>who </w:t>
      </w:r>
      <w:r>
        <w:rPr>
          <w:spacing w:val="-3"/>
          <w:w w:val="105"/>
          <w:sz w:val="21"/>
        </w:rPr>
        <w:t>have </w:t>
      </w:r>
      <w:r>
        <w:rPr>
          <w:w w:val="105"/>
          <w:sz w:val="21"/>
        </w:rPr>
        <w:t>enacted local laws </w:t>
      </w:r>
      <w:r>
        <w:rPr>
          <w:spacing w:val="-3"/>
          <w:w w:val="105"/>
          <w:sz w:val="21"/>
        </w:rPr>
        <w:t>to </w:t>
      </w:r>
      <w:r>
        <w:rPr>
          <w:w w:val="105"/>
          <w:sz w:val="21"/>
        </w:rPr>
        <w:t>protect trees on </w:t>
      </w:r>
      <w:r>
        <w:rPr>
          <w:spacing w:val="-3"/>
          <w:w w:val="105"/>
          <w:sz w:val="21"/>
        </w:rPr>
        <w:t>private </w:t>
      </w:r>
      <w:r>
        <w:rPr>
          <w:spacing w:val="-6"/>
          <w:w w:val="105"/>
          <w:sz w:val="21"/>
        </w:rPr>
        <w:t>land.</w:t>
      </w:r>
      <w:r>
        <w:rPr>
          <w:spacing w:val="-6"/>
          <w:w w:val="105"/>
          <w:position w:val="7"/>
          <w:sz w:val="12"/>
        </w:rPr>
        <w:t>12 </w:t>
      </w:r>
      <w:r>
        <w:rPr>
          <w:w w:val="105"/>
          <w:sz w:val="21"/>
        </w:rPr>
        <w:t>The decision-making process applied by </w:t>
      </w:r>
      <w:r>
        <w:rPr>
          <w:spacing w:val="-3"/>
          <w:w w:val="105"/>
          <w:sz w:val="21"/>
        </w:rPr>
        <w:t>councils </w:t>
      </w:r>
      <w:r>
        <w:rPr>
          <w:w w:val="105"/>
          <w:sz w:val="21"/>
        </w:rPr>
        <w:t>provides </w:t>
      </w:r>
      <w:r>
        <w:rPr>
          <w:spacing w:val="-3"/>
          <w:w w:val="105"/>
          <w:sz w:val="21"/>
        </w:rPr>
        <w:t>another useful </w:t>
      </w:r>
      <w:r>
        <w:rPr>
          <w:spacing w:val="-4"/>
          <w:w w:val="105"/>
          <w:sz w:val="21"/>
        </w:rPr>
        <w:t>insight into </w:t>
      </w:r>
      <w:r>
        <w:rPr>
          <w:w w:val="105"/>
          <w:sz w:val="21"/>
        </w:rPr>
        <w:t>the types of issue </w:t>
      </w:r>
      <w:r>
        <w:rPr>
          <w:spacing w:val="-3"/>
          <w:w w:val="105"/>
          <w:sz w:val="21"/>
        </w:rPr>
        <w:t>that may </w:t>
      </w:r>
      <w:r>
        <w:rPr>
          <w:w w:val="105"/>
          <w:sz w:val="21"/>
        </w:rPr>
        <w:t>need </w:t>
      </w:r>
      <w:r>
        <w:rPr>
          <w:spacing w:val="-3"/>
          <w:w w:val="105"/>
          <w:sz w:val="21"/>
        </w:rPr>
        <w:t>to </w:t>
      </w:r>
      <w:r>
        <w:rPr>
          <w:w w:val="105"/>
          <w:sz w:val="21"/>
        </w:rPr>
        <w:t>be </w:t>
      </w:r>
      <w:r>
        <w:rPr>
          <w:spacing w:val="-3"/>
          <w:w w:val="105"/>
          <w:sz w:val="21"/>
        </w:rPr>
        <w:t>considered </w:t>
      </w:r>
      <w:r>
        <w:rPr>
          <w:w w:val="105"/>
          <w:sz w:val="21"/>
        </w:rPr>
        <w:t>by </w:t>
      </w:r>
      <w:r>
        <w:rPr>
          <w:spacing w:val="-5"/>
          <w:w w:val="105"/>
          <w:sz w:val="21"/>
        </w:rPr>
        <w:t>VCAT </w:t>
      </w:r>
      <w:r>
        <w:rPr>
          <w:w w:val="105"/>
          <w:sz w:val="21"/>
        </w:rPr>
        <w:t>under the new Act.</w:t>
      </w:r>
      <w:r>
        <w:rPr>
          <w:spacing w:val="-5"/>
          <w:w w:val="105"/>
          <w:sz w:val="21"/>
        </w:rPr>
        <w:t> </w:t>
      </w:r>
      <w:r>
        <w:rPr>
          <w:w w:val="105"/>
          <w:sz w:val="21"/>
        </w:rPr>
        <w:t>Some</w:t>
      </w:r>
      <w:r>
        <w:rPr>
          <w:spacing w:val="-5"/>
          <w:w w:val="105"/>
          <w:sz w:val="21"/>
        </w:rPr>
        <w:t> </w:t>
      </w:r>
      <w:r>
        <w:rPr>
          <w:w w:val="105"/>
          <w:sz w:val="21"/>
        </w:rPr>
        <w:t>of</w:t>
      </w:r>
      <w:r>
        <w:rPr>
          <w:spacing w:val="-5"/>
          <w:w w:val="105"/>
          <w:sz w:val="21"/>
        </w:rPr>
        <w:t> </w:t>
      </w:r>
      <w:r>
        <w:rPr>
          <w:w w:val="105"/>
          <w:sz w:val="21"/>
        </w:rPr>
        <w:t>these</w:t>
      </w:r>
      <w:r>
        <w:rPr>
          <w:spacing w:val="-4"/>
          <w:w w:val="105"/>
          <w:sz w:val="21"/>
        </w:rPr>
        <w:t> </w:t>
      </w:r>
      <w:r>
        <w:rPr>
          <w:spacing w:val="-3"/>
          <w:w w:val="105"/>
          <w:sz w:val="21"/>
        </w:rPr>
        <w:t>considerations</w:t>
      </w:r>
      <w:r>
        <w:rPr>
          <w:spacing w:val="-5"/>
          <w:w w:val="105"/>
          <w:sz w:val="21"/>
        </w:rPr>
        <w:t> </w:t>
      </w:r>
      <w:r>
        <w:rPr>
          <w:spacing w:val="-3"/>
          <w:w w:val="105"/>
          <w:sz w:val="21"/>
        </w:rPr>
        <w:t>are</w:t>
      </w:r>
      <w:r>
        <w:rPr>
          <w:spacing w:val="-5"/>
          <w:w w:val="105"/>
          <w:sz w:val="21"/>
        </w:rPr>
        <w:t> </w:t>
      </w:r>
      <w:r>
        <w:rPr>
          <w:spacing w:val="-3"/>
          <w:w w:val="105"/>
          <w:sz w:val="21"/>
        </w:rPr>
        <w:t>similar</w:t>
      </w:r>
      <w:r>
        <w:rPr>
          <w:spacing w:val="-4"/>
          <w:w w:val="105"/>
          <w:sz w:val="21"/>
        </w:rPr>
        <w:t> </w:t>
      </w:r>
      <w:r>
        <w:rPr>
          <w:spacing w:val="-3"/>
          <w:w w:val="105"/>
          <w:sz w:val="21"/>
        </w:rPr>
        <w:t>to</w:t>
      </w:r>
      <w:r>
        <w:rPr>
          <w:spacing w:val="-5"/>
          <w:w w:val="105"/>
          <w:sz w:val="21"/>
        </w:rPr>
        <w:t> </w:t>
      </w:r>
      <w:r>
        <w:rPr>
          <w:w w:val="105"/>
          <w:sz w:val="21"/>
        </w:rPr>
        <w:t>those</w:t>
      </w:r>
      <w:r>
        <w:rPr>
          <w:spacing w:val="-5"/>
          <w:w w:val="105"/>
          <w:sz w:val="21"/>
        </w:rPr>
        <w:t> </w:t>
      </w:r>
      <w:r>
        <w:rPr>
          <w:w w:val="105"/>
          <w:sz w:val="21"/>
        </w:rPr>
        <w:t>in</w:t>
      </w:r>
      <w:r>
        <w:rPr>
          <w:spacing w:val="-4"/>
          <w:w w:val="105"/>
          <w:sz w:val="21"/>
        </w:rPr>
        <w:t> </w:t>
      </w:r>
      <w:r>
        <w:rPr>
          <w:spacing w:val="-3"/>
          <w:w w:val="105"/>
          <w:sz w:val="21"/>
        </w:rPr>
        <w:t>planning</w:t>
      </w:r>
      <w:r>
        <w:rPr>
          <w:spacing w:val="-5"/>
          <w:w w:val="105"/>
          <w:sz w:val="21"/>
        </w:rPr>
        <w:t> </w:t>
      </w:r>
      <w:r>
        <w:rPr>
          <w:w w:val="105"/>
          <w:sz w:val="21"/>
        </w:rPr>
        <w:t>schemes.</w:t>
      </w:r>
      <w:r>
        <w:rPr>
          <w:spacing w:val="-5"/>
          <w:w w:val="105"/>
          <w:sz w:val="21"/>
        </w:rPr>
        <w:t> </w:t>
      </w:r>
      <w:r>
        <w:rPr>
          <w:w w:val="105"/>
          <w:sz w:val="21"/>
        </w:rPr>
        <w:t>Local</w:t>
      </w:r>
      <w:r>
        <w:rPr>
          <w:spacing w:val="-4"/>
          <w:w w:val="105"/>
          <w:sz w:val="21"/>
        </w:rPr>
        <w:t> </w:t>
      </w:r>
      <w:r>
        <w:rPr>
          <w:w w:val="105"/>
          <w:sz w:val="21"/>
        </w:rPr>
        <w:t>laws</w:t>
      </w:r>
      <w:r>
        <w:rPr>
          <w:spacing w:val="-5"/>
          <w:w w:val="105"/>
          <w:sz w:val="21"/>
        </w:rPr>
        <w:t> </w:t>
      </w:r>
      <w:r>
        <w:rPr>
          <w:spacing w:val="-3"/>
          <w:w w:val="105"/>
          <w:sz w:val="21"/>
        </w:rPr>
        <w:t>are </w:t>
      </w:r>
      <w:r>
        <w:rPr>
          <w:w w:val="105"/>
          <w:sz w:val="21"/>
        </w:rPr>
        <w:t>also discussed in detail in </w:t>
      </w:r>
      <w:r>
        <w:rPr>
          <w:spacing w:val="-4"/>
          <w:w w:val="105"/>
          <w:sz w:val="21"/>
        </w:rPr>
        <w:t>Chapter</w:t>
      </w:r>
      <w:r>
        <w:rPr>
          <w:spacing w:val="29"/>
          <w:w w:val="105"/>
          <w:sz w:val="21"/>
        </w:rPr>
        <w:t> </w:t>
      </w:r>
      <w:r>
        <w:rPr>
          <w:spacing w:val="-5"/>
          <w:w w:val="105"/>
          <w:sz w:val="21"/>
        </w:rPr>
        <w:t>10.</w:t>
      </w:r>
    </w:p>
    <w:p>
      <w:pPr>
        <w:pStyle w:val="Heading7"/>
        <w:spacing w:before="157"/>
      </w:pPr>
      <w:r>
        <w:rPr>
          <w:w w:val="115"/>
        </w:rPr>
        <w:t>City of Boroondara</w:t>
      </w:r>
    </w:p>
    <w:p>
      <w:pPr>
        <w:pStyle w:val="ListParagraph"/>
        <w:numPr>
          <w:ilvl w:val="1"/>
          <w:numId w:val="16"/>
        </w:numPr>
        <w:tabs>
          <w:tab w:pos="2381" w:val="left" w:leader="none"/>
          <w:tab w:pos="2382" w:val="left" w:leader="none"/>
        </w:tabs>
        <w:spacing w:line="242" w:lineRule="auto" w:before="143" w:after="0"/>
        <w:ind w:left="2381" w:right="1921" w:hanging="794"/>
        <w:jc w:val="left"/>
        <w:rPr>
          <w:sz w:val="21"/>
        </w:rPr>
      </w:pPr>
      <w:r>
        <w:rPr>
          <w:w w:val="105"/>
          <w:sz w:val="21"/>
        </w:rPr>
        <w:t>The</w:t>
      </w:r>
      <w:r>
        <w:rPr>
          <w:spacing w:val="-8"/>
          <w:w w:val="105"/>
          <w:sz w:val="21"/>
        </w:rPr>
        <w:t> </w:t>
      </w:r>
      <w:r>
        <w:rPr>
          <w:spacing w:val="-3"/>
          <w:w w:val="105"/>
          <w:sz w:val="21"/>
        </w:rPr>
        <w:t>City</w:t>
      </w:r>
      <w:r>
        <w:rPr>
          <w:spacing w:val="-8"/>
          <w:w w:val="105"/>
          <w:sz w:val="21"/>
        </w:rPr>
        <w:t> </w:t>
      </w:r>
      <w:r>
        <w:rPr>
          <w:w w:val="105"/>
          <w:sz w:val="21"/>
        </w:rPr>
        <w:t>of</w:t>
      </w:r>
      <w:r>
        <w:rPr>
          <w:spacing w:val="-8"/>
          <w:w w:val="105"/>
          <w:sz w:val="21"/>
        </w:rPr>
        <w:t> </w:t>
      </w:r>
      <w:r>
        <w:rPr>
          <w:spacing w:val="-3"/>
          <w:w w:val="105"/>
          <w:sz w:val="21"/>
        </w:rPr>
        <w:t>Boroondara</w:t>
      </w:r>
      <w:r>
        <w:rPr>
          <w:spacing w:val="-8"/>
          <w:w w:val="105"/>
          <w:sz w:val="21"/>
        </w:rPr>
        <w:t> </w:t>
      </w:r>
      <w:r>
        <w:rPr>
          <w:w w:val="105"/>
          <w:sz w:val="21"/>
        </w:rPr>
        <w:t>in</w:t>
      </w:r>
      <w:r>
        <w:rPr>
          <w:spacing w:val="-8"/>
          <w:w w:val="105"/>
          <w:sz w:val="21"/>
        </w:rPr>
        <w:t> </w:t>
      </w:r>
      <w:r>
        <w:rPr>
          <w:w w:val="105"/>
          <w:sz w:val="21"/>
        </w:rPr>
        <w:t>the</w:t>
      </w:r>
      <w:r>
        <w:rPr>
          <w:spacing w:val="-8"/>
          <w:w w:val="105"/>
          <w:sz w:val="21"/>
        </w:rPr>
        <w:t> </w:t>
      </w:r>
      <w:r>
        <w:rPr>
          <w:w w:val="105"/>
          <w:sz w:val="21"/>
        </w:rPr>
        <w:t>eastern</w:t>
      </w:r>
      <w:r>
        <w:rPr>
          <w:spacing w:val="-8"/>
          <w:w w:val="105"/>
          <w:sz w:val="21"/>
        </w:rPr>
        <w:t> </w:t>
      </w:r>
      <w:r>
        <w:rPr>
          <w:spacing w:val="-3"/>
          <w:w w:val="105"/>
          <w:sz w:val="21"/>
        </w:rPr>
        <w:t>suburbs</w:t>
      </w:r>
      <w:r>
        <w:rPr>
          <w:spacing w:val="-8"/>
          <w:w w:val="105"/>
          <w:sz w:val="21"/>
        </w:rPr>
        <w:t> </w:t>
      </w:r>
      <w:r>
        <w:rPr>
          <w:w w:val="105"/>
          <w:sz w:val="21"/>
        </w:rPr>
        <w:t>of</w:t>
      </w:r>
      <w:r>
        <w:rPr>
          <w:spacing w:val="-8"/>
          <w:w w:val="105"/>
          <w:sz w:val="21"/>
        </w:rPr>
        <w:t> </w:t>
      </w:r>
      <w:r>
        <w:rPr>
          <w:w w:val="105"/>
          <w:sz w:val="21"/>
        </w:rPr>
        <w:t>Melbourne</w:t>
      </w:r>
      <w:r>
        <w:rPr>
          <w:spacing w:val="-8"/>
          <w:w w:val="105"/>
          <w:sz w:val="21"/>
        </w:rPr>
        <w:t> </w:t>
      </w:r>
      <w:r>
        <w:rPr>
          <w:spacing w:val="-3"/>
          <w:w w:val="105"/>
          <w:sz w:val="21"/>
        </w:rPr>
        <w:t>includes</w:t>
      </w:r>
      <w:r>
        <w:rPr>
          <w:spacing w:val="-8"/>
          <w:w w:val="105"/>
          <w:sz w:val="21"/>
        </w:rPr>
        <w:t> </w:t>
      </w:r>
      <w:r>
        <w:rPr>
          <w:w w:val="105"/>
          <w:sz w:val="21"/>
        </w:rPr>
        <w:t>established</w:t>
      </w:r>
      <w:r>
        <w:rPr>
          <w:spacing w:val="-8"/>
          <w:w w:val="105"/>
          <w:sz w:val="21"/>
        </w:rPr>
        <w:t> </w:t>
      </w:r>
      <w:r>
        <w:rPr>
          <w:w w:val="105"/>
          <w:sz w:val="21"/>
        </w:rPr>
        <w:t>leafy </w:t>
      </w:r>
      <w:r>
        <w:rPr>
          <w:spacing w:val="-3"/>
          <w:w w:val="105"/>
          <w:sz w:val="21"/>
        </w:rPr>
        <w:t>suburbs alongside </w:t>
      </w:r>
      <w:r>
        <w:rPr>
          <w:w w:val="105"/>
          <w:sz w:val="21"/>
        </w:rPr>
        <w:t>the </w:t>
      </w:r>
      <w:r>
        <w:rPr>
          <w:spacing w:val="-5"/>
          <w:w w:val="105"/>
          <w:sz w:val="21"/>
        </w:rPr>
        <w:t>Yarra </w:t>
      </w:r>
      <w:r>
        <w:rPr>
          <w:spacing w:val="-7"/>
          <w:w w:val="105"/>
          <w:sz w:val="21"/>
        </w:rPr>
        <w:t>River.</w:t>
      </w:r>
      <w:r>
        <w:rPr>
          <w:spacing w:val="-7"/>
          <w:w w:val="105"/>
          <w:position w:val="7"/>
          <w:sz w:val="12"/>
        </w:rPr>
        <w:t>13 </w:t>
      </w:r>
      <w:r>
        <w:rPr>
          <w:w w:val="105"/>
          <w:sz w:val="21"/>
        </w:rPr>
        <w:t>The </w:t>
      </w:r>
      <w:r>
        <w:rPr>
          <w:spacing w:val="-3"/>
          <w:w w:val="105"/>
          <w:sz w:val="21"/>
        </w:rPr>
        <w:t>City </w:t>
      </w:r>
      <w:r>
        <w:rPr>
          <w:w w:val="105"/>
          <w:sz w:val="21"/>
        </w:rPr>
        <w:t>of </w:t>
      </w:r>
      <w:r>
        <w:rPr>
          <w:spacing w:val="-3"/>
          <w:w w:val="105"/>
          <w:sz w:val="21"/>
        </w:rPr>
        <w:t>Boroondara </w:t>
      </w:r>
      <w:r>
        <w:rPr>
          <w:spacing w:val="-5"/>
          <w:w w:val="105"/>
          <w:sz w:val="21"/>
        </w:rPr>
        <w:t>Tree </w:t>
      </w:r>
      <w:r>
        <w:rPr>
          <w:w w:val="105"/>
          <w:sz w:val="21"/>
        </w:rPr>
        <w:t>Protection Local Law </w:t>
      </w:r>
      <w:r>
        <w:rPr>
          <w:spacing w:val="-7"/>
          <w:w w:val="105"/>
          <w:sz w:val="21"/>
        </w:rPr>
        <w:t>2016 </w:t>
      </w:r>
      <w:r>
        <w:rPr>
          <w:w w:val="105"/>
          <w:sz w:val="21"/>
        </w:rPr>
        <w:t>was enacted</w:t>
      </w:r>
      <w:r>
        <w:rPr>
          <w:spacing w:val="23"/>
          <w:w w:val="105"/>
          <w:sz w:val="21"/>
        </w:rPr>
        <w:t> </w:t>
      </w:r>
      <w:r>
        <w:rPr>
          <w:w w:val="105"/>
          <w:sz w:val="21"/>
        </w:rPr>
        <w:t>to:</w:t>
      </w:r>
    </w:p>
    <w:p>
      <w:pPr>
        <w:pStyle w:val="ListParagraph"/>
        <w:numPr>
          <w:ilvl w:val="2"/>
          <w:numId w:val="16"/>
        </w:numPr>
        <w:tabs>
          <w:tab w:pos="2721" w:val="left" w:leader="none"/>
          <w:tab w:pos="2722" w:val="left" w:leader="none"/>
        </w:tabs>
        <w:spacing w:line="240" w:lineRule="auto" w:before="123" w:after="0"/>
        <w:ind w:left="2721" w:right="0" w:hanging="340"/>
        <w:jc w:val="left"/>
        <w:rPr>
          <w:sz w:val="21"/>
        </w:rPr>
      </w:pPr>
      <w:r>
        <w:rPr>
          <w:spacing w:val="-3"/>
          <w:sz w:val="21"/>
        </w:rPr>
        <w:t>ensure that </w:t>
      </w:r>
      <w:r>
        <w:rPr>
          <w:sz w:val="21"/>
        </w:rPr>
        <w:t>the established treed </w:t>
      </w:r>
      <w:r>
        <w:rPr>
          <w:spacing w:val="-3"/>
          <w:sz w:val="21"/>
        </w:rPr>
        <w:t>character </w:t>
      </w:r>
      <w:r>
        <w:rPr>
          <w:sz w:val="21"/>
        </w:rPr>
        <w:t>of the </w:t>
      </w:r>
      <w:r>
        <w:rPr>
          <w:spacing w:val="-3"/>
          <w:sz w:val="21"/>
        </w:rPr>
        <w:t>municipal</w:t>
      </w:r>
      <w:r>
        <w:rPr>
          <w:spacing w:val="-9"/>
          <w:sz w:val="21"/>
        </w:rPr>
        <w:t> </w:t>
      </w:r>
      <w:r>
        <w:rPr>
          <w:sz w:val="21"/>
        </w:rPr>
        <w:t>district is </w:t>
      </w:r>
      <w:r>
        <w:rPr>
          <w:spacing w:val="-3"/>
          <w:sz w:val="21"/>
        </w:rPr>
        <w:t>maintained</w:t>
      </w:r>
    </w:p>
    <w:p>
      <w:pPr>
        <w:pStyle w:val="ListParagraph"/>
        <w:numPr>
          <w:ilvl w:val="2"/>
          <w:numId w:val="16"/>
        </w:numPr>
        <w:tabs>
          <w:tab w:pos="2721" w:val="left" w:leader="none"/>
          <w:tab w:pos="2722" w:val="left" w:leader="none"/>
        </w:tabs>
        <w:spacing w:line="242" w:lineRule="auto" w:before="89" w:after="0"/>
        <w:ind w:left="2721" w:right="1662" w:hanging="340"/>
        <w:jc w:val="left"/>
        <w:rPr>
          <w:sz w:val="21"/>
        </w:rPr>
      </w:pPr>
      <w:r>
        <w:rPr>
          <w:spacing w:val="-3"/>
          <w:w w:val="105"/>
          <w:sz w:val="21"/>
        </w:rPr>
        <w:t>prohibit, regulate </w:t>
      </w:r>
      <w:r>
        <w:rPr>
          <w:w w:val="105"/>
          <w:sz w:val="21"/>
        </w:rPr>
        <w:t>and </w:t>
      </w:r>
      <w:r>
        <w:rPr>
          <w:spacing w:val="-3"/>
          <w:w w:val="105"/>
          <w:sz w:val="21"/>
        </w:rPr>
        <w:t>control any </w:t>
      </w:r>
      <w:r>
        <w:rPr>
          <w:w w:val="105"/>
          <w:sz w:val="21"/>
        </w:rPr>
        <w:t>activities which </w:t>
      </w:r>
      <w:r>
        <w:rPr>
          <w:spacing w:val="-3"/>
          <w:w w:val="105"/>
          <w:sz w:val="21"/>
        </w:rPr>
        <w:t>may endanger Significant </w:t>
      </w:r>
      <w:r>
        <w:rPr>
          <w:spacing w:val="-4"/>
          <w:w w:val="105"/>
          <w:sz w:val="21"/>
        </w:rPr>
        <w:t>Trees </w:t>
      </w:r>
      <w:r>
        <w:rPr>
          <w:w w:val="105"/>
          <w:sz w:val="21"/>
        </w:rPr>
        <w:t>and canopy trees </w:t>
      </w:r>
      <w:r>
        <w:rPr>
          <w:spacing w:val="-3"/>
          <w:w w:val="105"/>
          <w:sz w:val="21"/>
        </w:rPr>
        <w:t>within </w:t>
      </w:r>
      <w:r>
        <w:rPr>
          <w:w w:val="105"/>
          <w:sz w:val="21"/>
        </w:rPr>
        <w:t>the </w:t>
      </w:r>
      <w:r>
        <w:rPr>
          <w:spacing w:val="-3"/>
          <w:w w:val="105"/>
          <w:sz w:val="21"/>
        </w:rPr>
        <w:t>municipal</w:t>
      </w:r>
      <w:r>
        <w:rPr>
          <w:spacing w:val="25"/>
          <w:w w:val="105"/>
          <w:sz w:val="21"/>
        </w:rPr>
        <w:t> </w:t>
      </w:r>
      <w:r>
        <w:rPr>
          <w:spacing w:val="-4"/>
          <w:w w:val="105"/>
          <w:sz w:val="21"/>
        </w:rPr>
        <w:t>district.</w:t>
      </w:r>
      <w:r>
        <w:rPr>
          <w:spacing w:val="-4"/>
          <w:w w:val="105"/>
          <w:position w:val="7"/>
          <w:sz w:val="12"/>
        </w:rPr>
        <w:t>14</w:t>
      </w:r>
    </w:p>
    <w:p>
      <w:pPr>
        <w:pStyle w:val="ListParagraph"/>
        <w:numPr>
          <w:ilvl w:val="1"/>
          <w:numId w:val="16"/>
        </w:numPr>
        <w:tabs>
          <w:tab w:pos="2382" w:val="left" w:leader="none"/>
        </w:tabs>
        <w:spacing w:line="242" w:lineRule="auto" w:before="87" w:after="0"/>
        <w:ind w:left="2381" w:right="1930" w:hanging="794"/>
        <w:jc w:val="both"/>
        <w:rPr>
          <w:sz w:val="21"/>
        </w:rPr>
      </w:pPr>
      <w:r>
        <w:rPr>
          <w:w w:val="105"/>
          <w:sz w:val="21"/>
        </w:rPr>
        <w:t>The</w:t>
      </w:r>
      <w:r>
        <w:rPr>
          <w:spacing w:val="-7"/>
          <w:w w:val="105"/>
          <w:sz w:val="21"/>
        </w:rPr>
        <w:t> </w:t>
      </w:r>
      <w:r>
        <w:rPr>
          <w:spacing w:val="-3"/>
          <w:w w:val="105"/>
          <w:sz w:val="21"/>
        </w:rPr>
        <w:t>Boroondara</w:t>
      </w:r>
      <w:r>
        <w:rPr>
          <w:spacing w:val="-8"/>
          <w:w w:val="105"/>
          <w:sz w:val="21"/>
        </w:rPr>
        <w:t> </w:t>
      </w:r>
      <w:r>
        <w:rPr>
          <w:w w:val="105"/>
          <w:sz w:val="21"/>
        </w:rPr>
        <w:t>Local</w:t>
      </w:r>
      <w:r>
        <w:rPr>
          <w:spacing w:val="-7"/>
          <w:w w:val="105"/>
          <w:sz w:val="21"/>
        </w:rPr>
        <w:t> </w:t>
      </w:r>
      <w:r>
        <w:rPr>
          <w:w w:val="105"/>
          <w:sz w:val="21"/>
        </w:rPr>
        <w:t>Law</w:t>
      </w:r>
      <w:r>
        <w:rPr>
          <w:spacing w:val="-7"/>
          <w:w w:val="105"/>
          <w:sz w:val="21"/>
        </w:rPr>
        <w:t> </w:t>
      </w:r>
      <w:r>
        <w:rPr>
          <w:w w:val="105"/>
          <w:sz w:val="21"/>
        </w:rPr>
        <w:t>sets</w:t>
      </w:r>
      <w:r>
        <w:rPr>
          <w:spacing w:val="-7"/>
          <w:w w:val="105"/>
          <w:sz w:val="21"/>
        </w:rPr>
        <w:t> </w:t>
      </w:r>
      <w:r>
        <w:rPr>
          <w:w w:val="105"/>
          <w:sz w:val="21"/>
        </w:rPr>
        <w:t>out</w:t>
      </w:r>
      <w:r>
        <w:rPr>
          <w:spacing w:val="-7"/>
          <w:w w:val="105"/>
          <w:sz w:val="21"/>
        </w:rPr>
        <w:t> </w:t>
      </w:r>
      <w:r>
        <w:rPr>
          <w:w w:val="105"/>
          <w:sz w:val="21"/>
        </w:rPr>
        <w:t>detailed</w:t>
      </w:r>
      <w:r>
        <w:rPr>
          <w:spacing w:val="-7"/>
          <w:w w:val="105"/>
          <w:sz w:val="21"/>
        </w:rPr>
        <w:t> </w:t>
      </w:r>
      <w:r>
        <w:rPr>
          <w:w w:val="105"/>
          <w:sz w:val="21"/>
        </w:rPr>
        <w:t>decision-making</w:t>
      </w:r>
      <w:r>
        <w:rPr>
          <w:spacing w:val="-7"/>
          <w:w w:val="105"/>
          <w:sz w:val="21"/>
        </w:rPr>
        <w:t> </w:t>
      </w:r>
      <w:r>
        <w:rPr>
          <w:spacing w:val="-3"/>
          <w:w w:val="105"/>
          <w:sz w:val="21"/>
        </w:rPr>
        <w:t>criteria</w:t>
      </w:r>
      <w:r>
        <w:rPr>
          <w:spacing w:val="-7"/>
          <w:w w:val="105"/>
          <w:sz w:val="21"/>
        </w:rPr>
        <w:t> </w:t>
      </w:r>
      <w:r>
        <w:rPr>
          <w:spacing w:val="-3"/>
          <w:w w:val="105"/>
          <w:sz w:val="21"/>
        </w:rPr>
        <w:t>that</w:t>
      </w:r>
      <w:r>
        <w:rPr>
          <w:spacing w:val="-7"/>
          <w:w w:val="105"/>
          <w:sz w:val="21"/>
        </w:rPr>
        <w:t> </w:t>
      </w:r>
      <w:r>
        <w:rPr>
          <w:spacing w:val="-3"/>
          <w:w w:val="105"/>
          <w:sz w:val="21"/>
        </w:rPr>
        <w:t>council</w:t>
      </w:r>
      <w:r>
        <w:rPr>
          <w:spacing w:val="-7"/>
          <w:w w:val="105"/>
          <w:sz w:val="21"/>
        </w:rPr>
        <w:t> </w:t>
      </w:r>
      <w:r>
        <w:rPr>
          <w:w w:val="105"/>
          <w:sz w:val="21"/>
        </w:rPr>
        <w:t>must </w:t>
      </w:r>
      <w:r>
        <w:rPr>
          <w:spacing w:val="-4"/>
          <w:w w:val="105"/>
          <w:sz w:val="21"/>
        </w:rPr>
        <w:t>apply,</w:t>
      </w:r>
      <w:r>
        <w:rPr>
          <w:spacing w:val="-9"/>
          <w:w w:val="105"/>
          <w:sz w:val="21"/>
        </w:rPr>
        <w:t> </w:t>
      </w:r>
      <w:r>
        <w:rPr>
          <w:spacing w:val="-3"/>
          <w:w w:val="105"/>
          <w:sz w:val="21"/>
        </w:rPr>
        <w:t>to</w:t>
      </w:r>
      <w:r>
        <w:rPr>
          <w:spacing w:val="-8"/>
          <w:w w:val="105"/>
          <w:sz w:val="21"/>
        </w:rPr>
        <w:t> </w:t>
      </w:r>
      <w:r>
        <w:rPr>
          <w:w w:val="105"/>
          <w:sz w:val="21"/>
        </w:rPr>
        <w:t>the</w:t>
      </w:r>
      <w:r>
        <w:rPr>
          <w:spacing w:val="-8"/>
          <w:w w:val="105"/>
          <w:sz w:val="21"/>
        </w:rPr>
        <w:t> </w:t>
      </w:r>
      <w:r>
        <w:rPr>
          <w:w w:val="105"/>
          <w:sz w:val="21"/>
        </w:rPr>
        <w:t>extent</w:t>
      </w:r>
      <w:r>
        <w:rPr>
          <w:spacing w:val="-8"/>
          <w:w w:val="105"/>
          <w:sz w:val="21"/>
        </w:rPr>
        <w:t> </w:t>
      </w:r>
      <w:r>
        <w:rPr>
          <w:w w:val="105"/>
          <w:sz w:val="21"/>
        </w:rPr>
        <w:t>it</w:t>
      </w:r>
      <w:r>
        <w:rPr>
          <w:spacing w:val="-8"/>
          <w:w w:val="105"/>
          <w:sz w:val="21"/>
        </w:rPr>
        <w:t> </w:t>
      </w:r>
      <w:r>
        <w:rPr>
          <w:w w:val="105"/>
          <w:sz w:val="21"/>
        </w:rPr>
        <w:t>considers</w:t>
      </w:r>
      <w:r>
        <w:rPr>
          <w:spacing w:val="-8"/>
          <w:w w:val="105"/>
          <w:sz w:val="21"/>
        </w:rPr>
        <w:t> </w:t>
      </w:r>
      <w:r>
        <w:rPr>
          <w:spacing w:val="-3"/>
          <w:w w:val="105"/>
          <w:sz w:val="21"/>
        </w:rPr>
        <w:t>appropriate,</w:t>
      </w:r>
      <w:r>
        <w:rPr>
          <w:spacing w:val="-8"/>
          <w:w w:val="105"/>
          <w:sz w:val="21"/>
        </w:rPr>
        <w:t> </w:t>
      </w:r>
      <w:r>
        <w:rPr>
          <w:w w:val="105"/>
          <w:sz w:val="21"/>
        </w:rPr>
        <w:t>when</w:t>
      </w:r>
      <w:r>
        <w:rPr>
          <w:spacing w:val="-8"/>
          <w:w w:val="105"/>
          <w:sz w:val="21"/>
        </w:rPr>
        <w:t> </w:t>
      </w:r>
      <w:r>
        <w:rPr>
          <w:spacing w:val="-3"/>
          <w:w w:val="105"/>
          <w:sz w:val="21"/>
        </w:rPr>
        <w:t>determining</w:t>
      </w:r>
      <w:r>
        <w:rPr>
          <w:spacing w:val="-8"/>
          <w:w w:val="105"/>
          <w:sz w:val="21"/>
        </w:rPr>
        <w:t> </w:t>
      </w:r>
      <w:r>
        <w:rPr>
          <w:w w:val="105"/>
          <w:sz w:val="21"/>
        </w:rPr>
        <w:t>permit</w:t>
      </w:r>
      <w:r>
        <w:rPr>
          <w:spacing w:val="-8"/>
          <w:w w:val="105"/>
          <w:sz w:val="21"/>
        </w:rPr>
        <w:t> </w:t>
      </w:r>
      <w:r>
        <w:rPr>
          <w:spacing w:val="-3"/>
          <w:w w:val="105"/>
          <w:sz w:val="21"/>
        </w:rPr>
        <w:t>applications</w:t>
      </w:r>
      <w:r>
        <w:rPr>
          <w:spacing w:val="-8"/>
          <w:w w:val="105"/>
          <w:sz w:val="21"/>
        </w:rPr>
        <w:t> </w:t>
      </w:r>
      <w:r>
        <w:rPr>
          <w:spacing w:val="-3"/>
          <w:w w:val="105"/>
          <w:sz w:val="21"/>
        </w:rPr>
        <w:t>for </w:t>
      </w:r>
      <w:r>
        <w:rPr>
          <w:w w:val="105"/>
          <w:sz w:val="21"/>
        </w:rPr>
        <w:t>works </w:t>
      </w:r>
      <w:r>
        <w:rPr>
          <w:spacing w:val="-3"/>
          <w:w w:val="105"/>
          <w:sz w:val="21"/>
        </w:rPr>
        <w:t>to </w:t>
      </w:r>
      <w:r>
        <w:rPr>
          <w:w w:val="105"/>
          <w:sz w:val="21"/>
        </w:rPr>
        <w:t>protected</w:t>
      </w:r>
      <w:r>
        <w:rPr>
          <w:spacing w:val="17"/>
          <w:w w:val="105"/>
          <w:sz w:val="21"/>
        </w:rPr>
        <w:t> </w:t>
      </w:r>
      <w:r>
        <w:rPr>
          <w:w w:val="105"/>
          <w:sz w:val="21"/>
        </w:rPr>
        <w:t>trees:</w:t>
      </w:r>
    </w:p>
    <w:p>
      <w:pPr>
        <w:pStyle w:val="ListParagraph"/>
        <w:numPr>
          <w:ilvl w:val="2"/>
          <w:numId w:val="16"/>
        </w:numPr>
        <w:tabs>
          <w:tab w:pos="2721" w:val="left" w:leader="none"/>
          <w:tab w:pos="2722" w:val="left" w:leader="none"/>
        </w:tabs>
        <w:spacing w:line="240" w:lineRule="auto" w:before="123" w:after="0"/>
        <w:ind w:left="2721" w:right="0" w:hanging="340"/>
        <w:jc w:val="left"/>
        <w:rPr>
          <w:sz w:val="21"/>
        </w:rPr>
      </w:pPr>
      <w:r>
        <w:rPr>
          <w:w w:val="105"/>
          <w:sz w:val="21"/>
        </w:rPr>
        <w:t>the effect of the proposed action on the aesthetics of the</w:t>
      </w:r>
      <w:r>
        <w:rPr>
          <w:spacing w:val="32"/>
          <w:w w:val="105"/>
          <w:sz w:val="21"/>
        </w:rPr>
        <w:t> </w:t>
      </w:r>
      <w:r>
        <w:rPr>
          <w:w w:val="105"/>
          <w:sz w:val="21"/>
        </w:rPr>
        <w:t>neighbourhood</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z w:val="21"/>
        </w:rPr>
        <w:t>whether the tree is a </w:t>
      </w:r>
      <w:r>
        <w:rPr>
          <w:spacing w:val="-3"/>
          <w:sz w:val="21"/>
        </w:rPr>
        <w:t>significant</w:t>
      </w:r>
      <w:r>
        <w:rPr>
          <w:spacing w:val="5"/>
          <w:sz w:val="21"/>
        </w:rPr>
        <w:t> </w:t>
      </w:r>
      <w:r>
        <w:rPr>
          <w:sz w:val="21"/>
        </w:rPr>
        <w:t>tree</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z w:val="21"/>
        </w:rPr>
        <w:t>the</w:t>
      </w:r>
      <w:r>
        <w:rPr>
          <w:spacing w:val="8"/>
          <w:sz w:val="21"/>
        </w:rPr>
        <w:t> </w:t>
      </w:r>
      <w:r>
        <w:rPr>
          <w:spacing w:val="-3"/>
          <w:sz w:val="21"/>
        </w:rPr>
        <w:t>condition</w:t>
      </w:r>
      <w:r>
        <w:rPr>
          <w:spacing w:val="8"/>
          <w:sz w:val="21"/>
        </w:rPr>
        <w:t> </w:t>
      </w:r>
      <w:r>
        <w:rPr>
          <w:sz w:val="21"/>
        </w:rPr>
        <w:t>of</w:t>
      </w:r>
      <w:r>
        <w:rPr>
          <w:spacing w:val="9"/>
          <w:sz w:val="21"/>
        </w:rPr>
        <w:t> </w:t>
      </w:r>
      <w:r>
        <w:rPr>
          <w:sz w:val="21"/>
        </w:rPr>
        <w:t>the</w:t>
      </w:r>
      <w:r>
        <w:rPr>
          <w:spacing w:val="8"/>
          <w:sz w:val="21"/>
        </w:rPr>
        <w:t> </w:t>
      </w:r>
      <w:r>
        <w:rPr>
          <w:sz w:val="21"/>
        </w:rPr>
        <w:t>tree</w:t>
      </w:r>
      <w:r>
        <w:rPr>
          <w:spacing w:val="9"/>
          <w:sz w:val="21"/>
        </w:rPr>
        <w:t> </w:t>
      </w:r>
      <w:r>
        <w:rPr>
          <w:sz w:val="21"/>
        </w:rPr>
        <w:t>(health</w:t>
      </w:r>
      <w:r>
        <w:rPr>
          <w:spacing w:val="8"/>
          <w:sz w:val="21"/>
        </w:rPr>
        <w:t> </w:t>
      </w:r>
      <w:r>
        <w:rPr>
          <w:sz w:val="21"/>
        </w:rPr>
        <w:t>and</w:t>
      </w:r>
      <w:r>
        <w:rPr>
          <w:spacing w:val="9"/>
          <w:sz w:val="21"/>
        </w:rPr>
        <w:t> </w:t>
      </w:r>
      <w:r>
        <w:rPr>
          <w:sz w:val="21"/>
        </w:rPr>
        <w:t>structural</w:t>
      </w:r>
      <w:r>
        <w:rPr>
          <w:spacing w:val="8"/>
          <w:sz w:val="21"/>
        </w:rPr>
        <w:t> </w:t>
      </w:r>
      <w:r>
        <w:rPr>
          <w:sz w:val="21"/>
        </w:rPr>
        <w:t>integrity)</w:t>
      </w:r>
    </w:p>
    <w:p>
      <w:pPr>
        <w:pStyle w:val="ListParagraph"/>
        <w:numPr>
          <w:ilvl w:val="2"/>
          <w:numId w:val="16"/>
        </w:numPr>
        <w:tabs>
          <w:tab w:pos="2721" w:val="left" w:leader="none"/>
          <w:tab w:pos="2722" w:val="left" w:leader="none"/>
        </w:tabs>
        <w:spacing w:line="242" w:lineRule="auto" w:before="88" w:after="0"/>
        <w:ind w:left="2721" w:right="1831" w:hanging="340"/>
        <w:jc w:val="left"/>
        <w:rPr>
          <w:sz w:val="21"/>
        </w:rPr>
      </w:pPr>
      <w:r>
        <w:rPr>
          <w:sz w:val="21"/>
        </w:rPr>
        <w:t>the </w:t>
      </w:r>
      <w:r>
        <w:rPr>
          <w:spacing w:val="-2"/>
          <w:sz w:val="21"/>
        </w:rPr>
        <w:t>appropriateness </w:t>
      </w:r>
      <w:r>
        <w:rPr>
          <w:sz w:val="21"/>
        </w:rPr>
        <w:t>of the tree </w:t>
      </w:r>
      <w:r>
        <w:rPr>
          <w:spacing w:val="-3"/>
          <w:sz w:val="21"/>
        </w:rPr>
        <w:t>for </w:t>
      </w:r>
      <w:r>
        <w:rPr>
          <w:sz w:val="21"/>
        </w:rPr>
        <w:t>its location on the property </w:t>
      </w:r>
      <w:r>
        <w:rPr>
          <w:spacing w:val="-3"/>
          <w:sz w:val="21"/>
        </w:rPr>
        <w:t>having regard to </w:t>
      </w:r>
      <w:r>
        <w:rPr>
          <w:sz w:val="21"/>
        </w:rPr>
        <w:t>the existing </w:t>
      </w:r>
      <w:r>
        <w:rPr>
          <w:spacing w:val="-3"/>
          <w:sz w:val="21"/>
        </w:rPr>
        <w:t>buildings </w:t>
      </w:r>
      <w:r>
        <w:rPr>
          <w:sz w:val="21"/>
        </w:rPr>
        <w:t>and </w:t>
      </w:r>
      <w:r>
        <w:rPr>
          <w:spacing w:val="-3"/>
          <w:sz w:val="21"/>
        </w:rPr>
        <w:t>conditions </w:t>
      </w:r>
      <w:r>
        <w:rPr>
          <w:sz w:val="21"/>
        </w:rPr>
        <w:t>on the</w:t>
      </w:r>
      <w:r>
        <w:rPr>
          <w:spacing w:val="18"/>
          <w:sz w:val="21"/>
        </w:rPr>
        <w:t> </w:t>
      </w:r>
      <w:r>
        <w:rPr>
          <w:sz w:val="21"/>
        </w:rPr>
        <w:t>property</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w w:val="105"/>
          <w:sz w:val="21"/>
        </w:rPr>
        <w:t>whether the proposed action is </w:t>
      </w:r>
      <w:r>
        <w:rPr>
          <w:spacing w:val="-3"/>
          <w:w w:val="105"/>
          <w:sz w:val="21"/>
        </w:rPr>
        <w:t>to </w:t>
      </w:r>
      <w:r>
        <w:rPr>
          <w:w w:val="105"/>
          <w:sz w:val="21"/>
        </w:rPr>
        <w:t>be undertaken </w:t>
      </w:r>
      <w:r>
        <w:rPr>
          <w:spacing w:val="-3"/>
          <w:w w:val="105"/>
          <w:sz w:val="21"/>
        </w:rPr>
        <w:t>for reasons </w:t>
      </w:r>
      <w:r>
        <w:rPr>
          <w:w w:val="105"/>
          <w:sz w:val="21"/>
        </w:rPr>
        <w:t>of </w:t>
      </w:r>
      <w:r>
        <w:rPr>
          <w:spacing w:val="-3"/>
          <w:w w:val="105"/>
          <w:sz w:val="21"/>
        </w:rPr>
        <w:t>health </w:t>
      </w:r>
      <w:r>
        <w:rPr>
          <w:w w:val="105"/>
          <w:sz w:val="21"/>
        </w:rPr>
        <w:t>or</w:t>
      </w:r>
      <w:r>
        <w:rPr>
          <w:spacing w:val="40"/>
          <w:w w:val="105"/>
          <w:sz w:val="21"/>
        </w:rPr>
        <w:t> </w:t>
      </w:r>
      <w:r>
        <w:rPr>
          <w:w w:val="105"/>
          <w:sz w:val="21"/>
        </w:rPr>
        <w:t>safety</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z w:val="21"/>
        </w:rPr>
        <w:t>whether</w:t>
      </w:r>
      <w:r>
        <w:rPr>
          <w:spacing w:val="9"/>
          <w:sz w:val="21"/>
        </w:rPr>
        <w:t> </w:t>
      </w:r>
      <w:r>
        <w:rPr>
          <w:sz w:val="21"/>
        </w:rPr>
        <w:t>the</w:t>
      </w:r>
      <w:r>
        <w:rPr>
          <w:spacing w:val="10"/>
          <w:sz w:val="21"/>
        </w:rPr>
        <w:t> </w:t>
      </w:r>
      <w:r>
        <w:rPr>
          <w:sz w:val="21"/>
        </w:rPr>
        <w:t>tree</w:t>
      </w:r>
      <w:r>
        <w:rPr>
          <w:spacing w:val="10"/>
          <w:sz w:val="21"/>
        </w:rPr>
        <w:t> </w:t>
      </w:r>
      <w:r>
        <w:rPr>
          <w:sz w:val="21"/>
        </w:rPr>
        <w:t>is</w:t>
      </w:r>
      <w:r>
        <w:rPr>
          <w:spacing w:val="10"/>
          <w:sz w:val="21"/>
        </w:rPr>
        <w:t> </w:t>
      </w:r>
      <w:r>
        <w:rPr>
          <w:spacing w:val="-3"/>
          <w:sz w:val="21"/>
        </w:rPr>
        <w:t>causing</w:t>
      </w:r>
      <w:r>
        <w:rPr>
          <w:spacing w:val="10"/>
          <w:sz w:val="21"/>
        </w:rPr>
        <w:t> </w:t>
      </w:r>
      <w:r>
        <w:rPr>
          <w:spacing w:val="-3"/>
          <w:sz w:val="21"/>
        </w:rPr>
        <w:t>any</w:t>
      </w:r>
      <w:r>
        <w:rPr>
          <w:spacing w:val="9"/>
          <w:sz w:val="21"/>
        </w:rPr>
        <w:t> </w:t>
      </w:r>
      <w:r>
        <w:rPr>
          <w:spacing w:val="-3"/>
          <w:sz w:val="21"/>
        </w:rPr>
        <w:t>unreasonable</w:t>
      </w:r>
      <w:r>
        <w:rPr>
          <w:spacing w:val="10"/>
          <w:sz w:val="21"/>
        </w:rPr>
        <w:t> </w:t>
      </w:r>
      <w:r>
        <w:rPr>
          <w:sz w:val="21"/>
        </w:rPr>
        <w:t>property</w:t>
      </w:r>
      <w:r>
        <w:rPr>
          <w:spacing w:val="10"/>
          <w:sz w:val="21"/>
        </w:rPr>
        <w:t> </w:t>
      </w:r>
      <w:r>
        <w:rPr>
          <w:sz w:val="21"/>
        </w:rPr>
        <w:t>damage</w:t>
      </w:r>
    </w:p>
    <w:p>
      <w:pPr>
        <w:pStyle w:val="ListParagraph"/>
        <w:numPr>
          <w:ilvl w:val="2"/>
          <w:numId w:val="16"/>
        </w:numPr>
        <w:tabs>
          <w:tab w:pos="2721" w:val="left" w:leader="none"/>
          <w:tab w:pos="2722" w:val="left" w:leader="none"/>
        </w:tabs>
        <w:spacing w:line="242" w:lineRule="auto" w:before="89" w:after="0"/>
        <w:ind w:left="2721" w:right="2423" w:hanging="340"/>
        <w:jc w:val="left"/>
        <w:rPr>
          <w:sz w:val="21"/>
        </w:rPr>
      </w:pPr>
      <w:r>
        <w:rPr>
          <w:sz w:val="21"/>
        </w:rPr>
        <w:t>whether the tree is </w:t>
      </w:r>
      <w:r>
        <w:rPr>
          <w:spacing w:val="-3"/>
          <w:sz w:val="21"/>
        </w:rPr>
        <w:t>causing any unreasonable public nuisance </w:t>
      </w:r>
      <w:r>
        <w:rPr>
          <w:sz w:val="21"/>
        </w:rPr>
        <w:t>or </w:t>
      </w:r>
      <w:r>
        <w:rPr>
          <w:spacing w:val="-3"/>
          <w:sz w:val="21"/>
        </w:rPr>
        <w:t>creating any unreasonable</w:t>
      </w:r>
      <w:r>
        <w:rPr>
          <w:spacing w:val="12"/>
          <w:sz w:val="21"/>
        </w:rPr>
        <w:t> </w:t>
      </w:r>
      <w:r>
        <w:rPr>
          <w:spacing w:val="-3"/>
          <w:sz w:val="21"/>
        </w:rPr>
        <w:t>nuisance</w:t>
      </w:r>
      <w:r>
        <w:rPr>
          <w:spacing w:val="12"/>
          <w:sz w:val="21"/>
        </w:rPr>
        <w:t> </w:t>
      </w:r>
      <w:r>
        <w:rPr>
          <w:spacing w:val="-3"/>
          <w:sz w:val="21"/>
        </w:rPr>
        <w:t>to</w:t>
      </w:r>
      <w:r>
        <w:rPr>
          <w:spacing w:val="12"/>
          <w:sz w:val="21"/>
        </w:rPr>
        <w:t> </w:t>
      </w:r>
      <w:r>
        <w:rPr>
          <w:spacing w:val="-3"/>
          <w:sz w:val="21"/>
        </w:rPr>
        <w:t>private</w:t>
      </w:r>
      <w:r>
        <w:rPr>
          <w:spacing w:val="12"/>
          <w:sz w:val="21"/>
        </w:rPr>
        <w:t> </w:t>
      </w:r>
      <w:r>
        <w:rPr>
          <w:sz w:val="21"/>
        </w:rPr>
        <w:t>property</w:t>
      </w:r>
      <w:r>
        <w:rPr>
          <w:spacing w:val="13"/>
          <w:sz w:val="21"/>
        </w:rPr>
        <w:t> </w:t>
      </w:r>
      <w:r>
        <w:rPr>
          <w:sz w:val="21"/>
        </w:rPr>
        <w:t>owners</w:t>
      </w:r>
      <w:r>
        <w:rPr>
          <w:spacing w:val="12"/>
          <w:sz w:val="21"/>
        </w:rPr>
        <w:t> </w:t>
      </w:r>
      <w:r>
        <w:rPr>
          <w:sz w:val="21"/>
        </w:rPr>
        <w:t>or</w:t>
      </w:r>
      <w:r>
        <w:rPr>
          <w:spacing w:val="12"/>
          <w:sz w:val="21"/>
        </w:rPr>
        <w:t> </w:t>
      </w:r>
      <w:r>
        <w:rPr>
          <w:sz w:val="21"/>
        </w:rPr>
        <w:t>occupiers</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z w:val="21"/>
        </w:rPr>
        <w:t>whether the tree is a recognised</w:t>
      </w:r>
      <w:r>
        <w:rPr>
          <w:spacing w:val="2"/>
          <w:sz w:val="21"/>
        </w:rPr>
        <w:t> </w:t>
      </w:r>
      <w:r>
        <w:rPr>
          <w:sz w:val="21"/>
        </w:rPr>
        <w:t>weed</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w w:val="105"/>
          <w:sz w:val="21"/>
        </w:rPr>
        <w:t>zoning </w:t>
      </w:r>
      <w:r>
        <w:rPr>
          <w:w w:val="105"/>
          <w:sz w:val="21"/>
        </w:rPr>
        <w:t>under the </w:t>
      </w:r>
      <w:r>
        <w:rPr>
          <w:spacing w:val="-3"/>
          <w:w w:val="105"/>
          <w:sz w:val="21"/>
        </w:rPr>
        <w:t>Boroondara Planning</w:t>
      </w:r>
      <w:r>
        <w:rPr>
          <w:spacing w:val="32"/>
          <w:w w:val="105"/>
          <w:sz w:val="21"/>
        </w:rPr>
        <w:t> </w:t>
      </w:r>
      <w:r>
        <w:rPr>
          <w:w w:val="105"/>
          <w:sz w:val="21"/>
        </w:rPr>
        <w:t>Scheme</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pacing w:val="-3"/>
          <w:sz w:val="21"/>
        </w:rPr>
        <w:t>any legislative</w:t>
      </w:r>
      <w:r>
        <w:rPr>
          <w:spacing w:val="20"/>
          <w:sz w:val="21"/>
        </w:rPr>
        <w:t> </w:t>
      </w:r>
      <w:r>
        <w:rPr>
          <w:spacing w:val="-3"/>
          <w:sz w:val="21"/>
        </w:rPr>
        <w:t>requirements</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sz w:val="21"/>
        </w:rPr>
        <w:t>any </w:t>
      </w:r>
      <w:r>
        <w:rPr>
          <w:sz w:val="21"/>
        </w:rPr>
        <w:t>other </w:t>
      </w:r>
      <w:r>
        <w:rPr>
          <w:spacing w:val="-3"/>
          <w:sz w:val="21"/>
        </w:rPr>
        <w:t>relevant</w:t>
      </w:r>
      <w:r>
        <w:rPr>
          <w:spacing w:val="28"/>
          <w:sz w:val="21"/>
        </w:rPr>
        <w:t> </w:t>
      </w:r>
      <w:r>
        <w:rPr>
          <w:spacing w:val="-7"/>
          <w:sz w:val="21"/>
        </w:rPr>
        <w:t>matter.</w:t>
      </w:r>
      <w:r>
        <w:rPr>
          <w:spacing w:val="-7"/>
          <w:position w:val="7"/>
          <w:sz w:val="12"/>
        </w:rPr>
        <w:t>15</w:t>
      </w:r>
    </w:p>
    <w:p>
      <w:pPr>
        <w:pStyle w:val="ListParagraph"/>
        <w:numPr>
          <w:ilvl w:val="1"/>
          <w:numId w:val="16"/>
        </w:numPr>
        <w:tabs>
          <w:tab w:pos="2381" w:val="left" w:leader="none"/>
          <w:tab w:pos="2382" w:val="left" w:leader="none"/>
        </w:tabs>
        <w:spacing w:line="242" w:lineRule="auto" w:before="89" w:after="0"/>
        <w:ind w:left="2381" w:right="2011" w:hanging="794"/>
        <w:jc w:val="left"/>
        <w:rPr>
          <w:sz w:val="21"/>
        </w:rPr>
      </w:pPr>
      <w:r>
        <w:rPr>
          <w:w w:val="105"/>
          <w:sz w:val="21"/>
        </w:rPr>
        <w:t>The</w:t>
      </w:r>
      <w:r>
        <w:rPr>
          <w:spacing w:val="-5"/>
          <w:w w:val="105"/>
          <w:sz w:val="21"/>
        </w:rPr>
        <w:t> </w:t>
      </w:r>
      <w:r>
        <w:rPr>
          <w:w w:val="105"/>
          <w:sz w:val="21"/>
        </w:rPr>
        <w:t>decision-making</w:t>
      </w:r>
      <w:r>
        <w:rPr>
          <w:spacing w:val="-5"/>
          <w:w w:val="105"/>
          <w:sz w:val="21"/>
        </w:rPr>
        <w:t> </w:t>
      </w:r>
      <w:r>
        <w:rPr>
          <w:spacing w:val="-3"/>
          <w:w w:val="105"/>
          <w:sz w:val="21"/>
        </w:rPr>
        <w:t>principles</w:t>
      </w:r>
      <w:r>
        <w:rPr>
          <w:spacing w:val="-5"/>
          <w:w w:val="105"/>
          <w:sz w:val="21"/>
        </w:rPr>
        <w:t> </w:t>
      </w:r>
      <w:r>
        <w:rPr>
          <w:spacing w:val="-3"/>
          <w:w w:val="105"/>
          <w:sz w:val="21"/>
        </w:rPr>
        <w:t>are</w:t>
      </w:r>
      <w:r>
        <w:rPr>
          <w:spacing w:val="-5"/>
          <w:w w:val="105"/>
          <w:sz w:val="21"/>
        </w:rPr>
        <w:t> </w:t>
      </w:r>
      <w:r>
        <w:rPr>
          <w:spacing w:val="-3"/>
          <w:w w:val="105"/>
          <w:sz w:val="21"/>
        </w:rPr>
        <w:t>intended</w:t>
      </w:r>
      <w:r>
        <w:rPr>
          <w:spacing w:val="-5"/>
          <w:w w:val="105"/>
          <w:sz w:val="21"/>
        </w:rPr>
        <w:t> </w:t>
      </w:r>
      <w:r>
        <w:rPr>
          <w:spacing w:val="-3"/>
          <w:w w:val="105"/>
          <w:sz w:val="21"/>
        </w:rPr>
        <w:t>to</w:t>
      </w:r>
      <w:r>
        <w:rPr>
          <w:spacing w:val="-5"/>
          <w:w w:val="105"/>
          <w:sz w:val="21"/>
        </w:rPr>
        <w:t> </w:t>
      </w:r>
      <w:r>
        <w:rPr>
          <w:spacing w:val="-3"/>
          <w:w w:val="105"/>
          <w:sz w:val="21"/>
        </w:rPr>
        <w:t>produce</w:t>
      </w:r>
      <w:r>
        <w:rPr>
          <w:spacing w:val="-5"/>
          <w:w w:val="105"/>
          <w:sz w:val="21"/>
        </w:rPr>
        <w:t> </w:t>
      </w:r>
      <w:r>
        <w:rPr>
          <w:w w:val="105"/>
          <w:sz w:val="21"/>
        </w:rPr>
        <w:t>a</w:t>
      </w:r>
      <w:r>
        <w:rPr>
          <w:spacing w:val="-5"/>
          <w:w w:val="105"/>
          <w:sz w:val="21"/>
        </w:rPr>
        <w:t> </w:t>
      </w:r>
      <w:r>
        <w:rPr>
          <w:w w:val="105"/>
          <w:sz w:val="21"/>
        </w:rPr>
        <w:t>decision</w:t>
      </w:r>
      <w:r>
        <w:rPr>
          <w:spacing w:val="-5"/>
          <w:w w:val="105"/>
          <w:sz w:val="21"/>
        </w:rPr>
        <w:t> </w:t>
      </w:r>
      <w:r>
        <w:rPr>
          <w:spacing w:val="-3"/>
          <w:w w:val="105"/>
          <w:sz w:val="21"/>
        </w:rPr>
        <w:t>that</w:t>
      </w:r>
      <w:r>
        <w:rPr>
          <w:spacing w:val="-5"/>
          <w:w w:val="105"/>
          <w:sz w:val="21"/>
        </w:rPr>
        <w:t> </w:t>
      </w:r>
      <w:r>
        <w:rPr>
          <w:w w:val="105"/>
          <w:sz w:val="21"/>
        </w:rPr>
        <w:t>is</w:t>
      </w:r>
      <w:r>
        <w:rPr>
          <w:spacing w:val="-4"/>
          <w:w w:val="105"/>
          <w:sz w:val="21"/>
        </w:rPr>
        <w:t> </w:t>
      </w:r>
      <w:r>
        <w:rPr>
          <w:spacing w:val="-3"/>
          <w:w w:val="105"/>
          <w:sz w:val="21"/>
        </w:rPr>
        <w:t>‘holistic</w:t>
      </w:r>
      <w:r>
        <w:rPr>
          <w:spacing w:val="-5"/>
          <w:w w:val="105"/>
          <w:sz w:val="21"/>
        </w:rPr>
        <w:t> </w:t>
      </w:r>
      <w:r>
        <w:rPr>
          <w:w w:val="105"/>
          <w:sz w:val="21"/>
        </w:rPr>
        <w:t>and </w:t>
      </w:r>
      <w:r>
        <w:rPr>
          <w:spacing w:val="-6"/>
          <w:w w:val="105"/>
          <w:sz w:val="21"/>
        </w:rPr>
        <w:t>balanced’.</w:t>
      </w:r>
      <w:r>
        <w:rPr>
          <w:spacing w:val="-6"/>
          <w:w w:val="105"/>
          <w:position w:val="7"/>
          <w:sz w:val="12"/>
        </w:rPr>
        <w:t>16</w:t>
      </w:r>
    </w:p>
    <w:p>
      <w:pPr>
        <w:pStyle w:val="BodyText"/>
        <w:rPr>
          <w:sz w:val="20"/>
        </w:rPr>
      </w:pPr>
    </w:p>
    <w:p>
      <w:pPr>
        <w:pStyle w:val="BodyText"/>
        <w:spacing w:before="10"/>
        <w:rPr>
          <w:sz w:val="25"/>
        </w:rPr>
      </w:pPr>
      <w:r>
        <w:rPr/>
        <w:pict>
          <v:line style="position:absolute;mso-position-horizontal-relative:page;mso-position-vertical-relative:paragraph;z-index:7592;mso-wrap-distance-left:0;mso-wrap-distance-right:0" from="79.370102pt,18.247488pt" to="515.905102pt,18.24748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27"/>
        </w:rPr>
      </w:pPr>
    </w:p>
    <w:p>
      <w:pPr>
        <w:spacing w:before="0"/>
        <w:ind w:left="720" w:right="0" w:firstLine="0"/>
        <w:jc w:val="left"/>
        <w:rPr>
          <w:b/>
          <w:sz w:val="24"/>
        </w:rPr>
      </w:pPr>
      <w:r>
        <w:rPr>
          <w:b/>
          <w:color w:val="658464"/>
          <w:w w:val="105"/>
          <w:sz w:val="24"/>
        </w:rPr>
        <w:t>164</w:t>
      </w:r>
    </w:p>
    <w:p>
      <w:pPr>
        <w:pStyle w:val="ListParagraph"/>
        <w:numPr>
          <w:ilvl w:val="0"/>
          <w:numId w:val="127"/>
        </w:numPr>
        <w:tabs>
          <w:tab w:pos="1223" w:val="left" w:leader="none"/>
          <w:tab w:pos="1224" w:val="left" w:leader="none"/>
        </w:tabs>
        <w:spacing w:line="240" w:lineRule="auto" w:before="48" w:after="0"/>
        <w:ind w:left="1223" w:right="1635" w:hanging="794"/>
        <w:jc w:val="left"/>
        <w:rPr>
          <w:sz w:val="13"/>
        </w:rPr>
      </w:pPr>
      <w:r>
        <w:rPr>
          <w:spacing w:val="2"/>
          <w:w w:val="105"/>
          <w:sz w:val="13"/>
        </w:rPr>
        <w:br w:type="column"/>
      </w:r>
      <w:r>
        <w:rPr>
          <w:w w:val="105"/>
          <w:sz w:val="13"/>
        </w:rPr>
        <w:t>Local laws are made by local governments under the </w:t>
      </w:r>
      <w:r>
        <w:rPr>
          <w:i/>
          <w:w w:val="105"/>
          <w:sz w:val="13"/>
        </w:rPr>
        <w:t>Local Government Act 1989 </w:t>
      </w:r>
      <w:r>
        <w:rPr>
          <w:spacing w:val="2"/>
          <w:w w:val="105"/>
          <w:sz w:val="13"/>
        </w:rPr>
        <w:t>(Vic). </w:t>
      </w:r>
      <w:r>
        <w:rPr>
          <w:w w:val="105"/>
          <w:sz w:val="13"/>
        </w:rPr>
        <w:t>Local laws are therefore aimed at dealing with local issues</w:t>
      </w:r>
      <w:r>
        <w:rPr>
          <w:spacing w:val="4"/>
          <w:w w:val="105"/>
          <w:sz w:val="13"/>
        </w:rPr>
        <w:t> </w:t>
      </w:r>
      <w:r>
        <w:rPr>
          <w:w w:val="105"/>
          <w:sz w:val="13"/>
        </w:rPr>
        <w:t>only.</w:t>
      </w:r>
    </w:p>
    <w:p>
      <w:pPr>
        <w:pStyle w:val="ListParagraph"/>
        <w:numPr>
          <w:ilvl w:val="0"/>
          <w:numId w:val="127"/>
        </w:numPr>
        <w:tabs>
          <w:tab w:pos="1223" w:val="left" w:leader="none"/>
          <w:tab w:pos="1224" w:val="left" w:leader="none"/>
        </w:tabs>
        <w:spacing w:line="240" w:lineRule="auto" w:before="3" w:after="0"/>
        <w:ind w:left="1223" w:right="1686" w:hanging="794"/>
        <w:jc w:val="left"/>
        <w:rPr>
          <w:sz w:val="13"/>
        </w:rPr>
      </w:pPr>
      <w:r>
        <w:rPr>
          <w:w w:val="105"/>
          <w:sz w:val="13"/>
        </w:rPr>
        <w:t>It includes the suburbs of Ashburton, Balwyn, </w:t>
      </w:r>
      <w:r>
        <w:rPr>
          <w:spacing w:val="2"/>
          <w:w w:val="105"/>
          <w:sz w:val="13"/>
        </w:rPr>
        <w:t>Balwyn North, </w:t>
      </w:r>
      <w:r>
        <w:rPr>
          <w:w w:val="105"/>
          <w:sz w:val="13"/>
        </w:rPr>
        <w:t>Burwood, Camberwell, Canterbury, Deepdene, Glen Iris, Glenferrie South, Greythorn, Hawthorn, Hawthorn East, Kew, Kew East, Mont </w:t>
      </w:r>
      <w:r>
        <w:rPr>
          <w:spacing w:val="2"/>
          <w:w w:val="105"/>
          <w:sz w:val="13"/>
        </w:rPr>
        <w:t>Albert </w:t>
      </w:r>
      <w:r>
        <w:rPr>
          <w:w w:val="105"/>
          <w:sz w:val="13"/>
        </w:rPr>
        <w:t>and Surrey Hills: Victorian Government, ‘Boroondara City’, </w:t>
      </w:r>
      <w:r>
        <w:rPr>
          <w:i/>
          <w:w w:val="105"/>
          <w:sz w:val="13"/>
        </w:rPr>
        <w:t>Know Your </w:t>
      </w:r>
      <w:r>
        <w:rPr>
          <w:i/>
          <w:w w:val="105"/>
          <w:sz w:val="13"/>
        </w:rPr>
        <w:t>Council </w:t>
      </w:r>
      <w:r>
        <w:rPr>
          <w:w w:val="105"/>
          <w:sz w:val="13"/>
        </w:rPr>
        <w:t>(Web Page)</w:t>
      </w:r>
      <w:r>
        <w:rPr>
          <w:spacing w:val="15"/>
          <w:w w:val="105"/>
          <w:sz w:val="13"/>
        </w:rPr>
        <w:t> </w:t>
      </w:r>
      <w:r>
        <w:rPr>
          <w:w w:val="105"/>
          <w:sz w:val="13"/>
        </w:rPr>
        <w:t>&lt;</w:t>
      </w:r>
      <w:hyperlink r:id="rId211">
        <w:r>
          <w:rPr>
            <w:w w:val="105"/>
            <w:sz w:val="13"/>
          </w:rPr>
          <w:t>http://knowyourcouncil.vic.gov.au/councils/boroondara</w:t>
        </w:r>
      </w:hyperlink>
      <w:r>
        <w:rPr>
          <w:w w:val="105"/>
          <w:sz w:val="13"/>
        </w:rPr>
        <w:t>&gt;.</w:t>
      </w:r>
    </w:p>
    <w:p>
      <w:pPr>
        <w:pStyle w:val="ListParagraph"/>
        <w:numPr>
          <w:ilvl w:val="0"/>
          <w:numId w:val="127"/>
        </w:numPr>
        <w:tabs>
          <w:tab w:pos="1223" w:val="left" w:leader="none"/>
          <w:tab w:pos="1224" w:val="left" w:leader="none"/>
        </w:tabs>
        <w:spacing w:line="240" w:lineRule="auto" w:before="4" w:after="0"/>
        <w:ind w:left="1223" w:right="1593" w:hanging="793"/>
        <w:jc w:val="left"/>
        <w:rPr>
          <w:sz w:val="13"/>
        </w:rPr>
      </w:pPr>
      <w:r>
        <w:rPr>
          <w:i/>
          <w:w w:val="105"/>
          <w:sz w:val="13"/>
        </w:rPr>
        <w:t>Tree Protection Local Law </w:t>
      </w:r>
      <w:r>
        <w:rPr>
          <w:i/>
          <w:spacing w:val="-3"/>
          <w:w w:val="105"/>
          <w:sz w:val="13"/>
        </w:rPr>
        <w:t>2016 </w:t>
      </w:r>
      <w:r>
        <w:rPr>
          <w:w w:val="105"/>
          <w:sz w:val="13"/>
        </w:rPr>
        <w:t>(City of Boroondara) s 2. A ‘significant tree’ means a tree listed in Council’s Significant Tree Study. A ‘canopy tree’ means any tree </w:t>
      </w:r>
      <w:r>
        <w:rPr>
          <w:spacing w:val="2"/>
          <w:w w:val="105"/>
          <w:sz w:val="13"/>
        </w:rPr>
        <w:t>(a) </w:t>
      </w:r>
      <w:r>
        <w:rPr>
          <w:w w:val="105"/>
          <w:sz w:val="13"/>
        </w:rPr>
        <w:t>with a total trunk circumference of 110cm or more measured at a point 1.5 metres along the trunk’s length from     the closest point above ground level; or </w:t>
      </w:r>
      <w:r>
        <w:rPr>
          <w:spacing w:val="2"/>
          <w:w w:val="105"/>
          <w:sz w:val="13"/>
        </w:rPr>
        <w:t>(b) </w:t>
      </w:r>
      <w:r>
        <w:rPr>
          <w:w w:val="105"/>
          <w:sz w:val="13"/>
        </w:rPr>
        <w:t>if multi-stemmed, with a total trunk circumference of all its trunks of 110cm or more measured     at a point 1.5 metres along the trunks’ lengths from the closest point above ground level; or (c) with a trunk circumference of 150cm or     more measured at ground</w:t>
      </w:r>
      <w:r>
        <w:rPr>
          <w:spacing w:val="17"/>
          <w:w w:val="105"/>
          <w:sz w:val="13"/>
        </w:rPr>
        <w:t> </w:t>
      </w:r>
      <w:r>
        <w:rPr>
          <w:w w:val="105"/>
          <w:sz w:val="13"/>
        </w:rPr>
        <w:t>level.</w:t>
      </w:r>
    </w:p>
    <w:p>
      <w:pPr>
        <w:pStyle w:val="ListParagraph"/>
        <w:numPr>
          <w:ilvl w:val="0"/>
          <w:numId w:val="127"/>
        </w:numPr>
        <w:tabs>
          <w:tab w:pos="1223" w:val="left" w:leader="none"/>
          <w:tab w:pos="1224" w:val="left" w:leader="none"/>
        </w:tabs>
        <w:spacing w:line="240" w:lineRule="auto" w:before="6" w:after="0"/>
        <w:ind w:left="1223" w:right="0" w:hanging="793"/>
        <w:jc w:val="left"/>
        <w:rPr>
          <w:sz w:val="13"/>
        </w:rPr>
      </w:pPr>
      <w:r>
        <w:rPr>
          <w:i/>
          <w:w w:val="105"/>
          <w:sz w:val="13"/>
        </w:rPr>
        <w:t>Tree</w:t>
      </w:r>
      <w:r>
        <w:rPr>
          <w:i/>
          <w:spacing w:val="4"/>
          <w:w w:val="105"/>
          <w:sz w:val="13"/>
        </w:rPr>
        <w:t> </w:t>
      </w:r>
      <w:r>
        <w:rPr>
          <w:i/>
          <w:w w:val="105"/>
          <w:sz w:val="13"/>
        </w:rPr>
        <w:t>Protection</w:t>
      </w:r>
      <w:r>
        <w:rPr>
          <w:i/>
          <w:spacing w:val="5"/>
          <w:w w:val="105"/>
          <w:sz w:val="13"/>
        </w:rPr>
        <w:t> </w:t>
      </w:r>
      <w:r>
        <w:rPr>
          <w:i/>
          <w:w w:val="105"/>
          <w:sz w:val="13"/>
        </w:rPr>
        <w:t>Local</w:t>
      </w:r>
      <w:r>
        <w:rPr>
          <w:i/>
          <w:spacing w:val="5"/>
          <w:w w:val="105"/>
          <w:sz w:val="13"/>
        </w:rPr>
        <w:t> </w:t>
      </w:r>
      <w:r>
        <w:rPr>
          <w:i/>
          <w:w w:val="105"/>
          <w:sz w:val="13"/>
        </w:rPr>
        <w:t>Law</w:t>
      </w:r>
      <w:r>
        <w:rPr>
          <w:i/>
          <w:spacing w:val="4"/>
          <w:w w:val="105"/>
          <w:sz w:val="13"/>
        </w:rPr>
        <w:t> </w:t>
      </w:r>
      <w:r>
        <w:rPr>
          <w:i/>
          <w:spacing w:val="-3"/>
          <w:w w:val="105"/>
          <w:sz w:val="13"/>
        </w:rPr>
        <w:t>2016</w:t>
      </w:r>
      <w:r>
        <w:rPr>
          <w:i/>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r>
        <w:rPr>
          <w:spacing w:val="4"/>
          <w:w w:val="105"/>
          <w:sz w:val="13"/>
        </w:rPr>
        <w:t> </w:t>
      </w:r>
      <w:r>
        <w:rPr>
          <w:w w:val="105"/>
          <w:sz w:val="13"/>
        </w:rPr>
        <w:t>s</w:t>
      </w:r>
      <w:r>
        <w:rPr>
          <w:spacing w:val="5"/>
          <w:w w:val="105"/>
          <w:sz w:val="13"/>
        </w:rPr>
        <w:t> </w:t>
      </w:r>
      <w:r>
        <w:rPr>
          <w:w w:val="105"/>
          <w:sz w:val="13"/>
        </w:rPr>
        <w:t>12(2).</w:t>
      </w:r>
    </w:p>
    <w:p>
      <w:pPr>
        <w:pStyle w:val="ListParagraph"/>
        <w:numPr>
          <w:ilvl w:val="0"/>
          <w:numId w:val="127"/>
        </w:numPr>
        <w:tabs>
          <w:tab w:pos="1223" w:val="left" w:leader="none"/>
          <w:tab w:pos="1225" w:val="left" w:leader="none"/>
        </w:tabs>
        <w:spacing w:line="240" w:lineRule="auto" w:before="2" w:after="0"/>
        <w:ind w:left="1224" w:right="0" w:hanging="794"/>
        <w:jc w:val="left"/>
        <w:rPr>
          <w:sz w:val="13"/>
        </w:rPr>
      </w:pPr>
      <w:r>
        <w:rPr>
          <w:sz w:val="13"/>
        </w:rPr>
        <w:t>Ibid.</w:t>
      </w:r>
    </w:p>
    <w:p>
      <w:pPr>
        <w:spacing w:after="0" w:line="240" w:lineRule="auto"/>
        <w:jc w:val="left"/>
        <w:rPr>
          <w:sz w:val="13"/>
        </w:rPr>
        <w:sectPr>
          <w:type w:val="continuous"/>
          <w:pgSz w:w="11910" w:h="16840"/>
          <w:pgMar w:top="300" w:bottom="280" w:left="0" w:right="0"/>
          <w:cols w:num="2" w:equalWidth="0">
            <w:col w:w="1118" w:space="40"/>
            <w:col w:w="10752"/>
          </w:cols>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2088" w:hanging="794"/>
        <w:jc w:val="left"/>
        <w:rPr>
          <w:sz w:val="21"/>
        </w:rPr>
      </w:pPr>
      <w:bookmarkStart w:name="Decision-making principles in other juri" w:id="188"/>
      <w:bookmarkEnd w:id="188"/>
      <w:r>
        <w:rPr/>
      </w:r>
      <w:bookmarkStart w:name="_bookmark88" w:id="189"/>
      <w:bookmarkEnd w:id="189"/>
      <w:r>
        <w:rPr/>
      </w:r>
      <w:bookmarkStart w:name="_bookmark88" w:id="190"/>
      <w:bookmarkEnd w:id="190"/>
      <w:r>
        <w:rPr>
          <w:spacing w:val="-3"/>
          <w:sz w:val="21"/>
        </w:rPr>
        <w:t>Bo</w:t>
      </w:r>
      <w:r>
        <w:rPr>
          <w:spacing w:val="-3"/>
          <w:sz w:val="21"/>
        </w:rPr>
        <w:t>roondara </w:t>
      </w:r>
      <w:r>
        <w:rPr>
          <w:sz w:val="21"/>
        </w:rPr>
        <w:t>supports the </w:t>
      </w:r>
      <w:r>
        <w:rPr>
          <w:spacing w:val="-3"/>
          <w:sz w:val="21"/>
        </w:rPr>
        <w:t>principle that </w:t>
      </w:r>
      <w:r>
        <w:rPr>
          <w:sz w:val="21"/>
        </w:rPr>
        <w:t>if the tree existed prior </w:t>
      </w:r>
      <w:r>
        <w:rPr>
          <w:spacing w:val="-3"/>
          <w:sz w:val="21"/>
        </w:rPr>
        <w:t>to occupation </w:t>
      </w:r>
      <w:r>
        <w:rPr>
          <w:sz w:val="21"/>
        </w:rPr>
        <w:t>or development, it should </w:t>
      </w:r>
      <w:r>
        <w:rPr>
          <w:spacing w:val="-3"/>
          <w:sz w:val="21"/>
        </w:rPr>
        <w:t>generally </w:t>
      </w:r>
      <w:r>
        <w:rPr>
          <w:spacing w:val="-2"/>
          <w:sz w:val="21"/>
        </w:rPr>
        <w:t>not </w:t>
      </w:r>
      <w:r>
        <w:rPr>
          <w:sz w:val="21"/>
        </w:rPr>
        <w:t>be disturbed or removed in </w:t>
      </w:r>
      <w:r>
        <w:rPr>
          <w:spacing w:val="-3"/>
          <w:sz w:val="21"/>
        </w:rPr>
        <w:t>favour </w:t>
      </w:r>
      <w:r>
        <w:rPr>
          <w:sz w:val="21"/>
        </w:rPr>
        <w:t>of newer </w:t>
      </w:r>
      <w:r>
        <w:rPr>
          <w:spacing w:val="-4"/>
          <w:sz w:val="21"/>
        </w:rPr>
        <w:t>structures.</w:t>
      </w:r>
      <w:r>
        <w:rPr>
          <w:spacing w:val="-4"/>
          <w:position w:val="7"/>
          <w:sz w:val="12"/>
        </w:rPr>
        <w:t>17 </w:t>
      </w:r>
      <w:r>
        <w:rPr>
          <w:spacing w:val="-4"/>
          <w:sz w:val="21"/>
        </w:rPr>
        <w:t>However, </w:t>
      </w:r>
      <w:r>
        <w:rPr>
          <w:sz w:val="21"/>
        </w:rPr>
        <w:t>each application still needs </w:t>
      </w:r>
      <w:r>
        <w:rPr>
          <w:spacing w:val="-3"/>
          <w:sz w:val="21"/>
        </w:rPr>
        <w:t>to </w:t>
      </w:r>
      <w:r>
        <w:rPr>
          <w:sz w:val="21"/>
        </w:rPr>
        <w:t>be assessed on its merits </w:t>
      </w:r>
      <w:r>
        <w:rPr>
          <w:spacing w:val="-3"/>
          <w:sz w:val="21"/>
        </w:rPr>
        <w:t>having regard to</w:t>
      </w:r>
      <w:r>
        <w:rPr>
          <w:spacing w:val="20"/>
          <w:sz w:val="21"/>
        </w:rPr>
        <w:t> </w:t>
      </w:r>
      <w:r>
        <w:rPr>
          <w:spacing w:val="-5"/>
          <w:sz w:val="21"/>
        </w:rPr>
        <w:t>evidence.</w:t>
      </w:r>
      <w:r>
        <w:rPr>
          <w:spacing w:val="-5"/>
          <w:position w:val="7"/>
          <w:sz w:val="12"/>
        </w:rPr>
        <w:t>18</w:t>
      </w:r>
    </w:p>
    <w:p>
      <w:pPr>
        <w:pStyle w:val="ListParagraph"/>
        <w:numPr>
          <w:ilvl w:val="1"/>
          <w:numId w:val="16"/>
        </w:numPr>
        <w:tabs>
          <w:tab w:pos="2381" w:val="left" w:leader="none"/>
          <w:tab w:pos="2382" w:val="left" w:leader="none"/>
        </w:tabs>
        <w:spacing w:line="242" w:lineRule="auto" w:before="125" w:after="0"/>
        <w:ind w:left="2381" w:right="2097" w:hanging="794"/>
        <w:jc w:val="left"/>
        <w:rPr>
          <w:sz w:val="21"/>
        </w:rPr>
      </w:pPr>
      <w:r>
        <w:rPr>
          <w:w w:val="105"/>
          <w:sz w:val="21"/>
        </w:rPr>
        <w:t>If</w:t>
      </w:r>
      <w:r>
        <w:rPr>
          <w:spacing w:val="-5"/>
          <w:w w:val="105"/>
          <w:sz w:val="21"/>
        </w:rPr>
        <w:t> </w:t>
      </w:r>
      <w:r>
        <w:rPr>
          <w:w w:val="105"/>
          <w:sz w:val="21"/>
        </w:rPr>
        <w:t>a</w:t>
      </w:r>
      <w:r>
        <w:rPr>
          <w:spacing w:val="-5"/>
          <w:w w:val="105"/>
          <w:sz w:val="21"/>
        </w:rPr>
        <w:t> </w:t>
      </w:r>
      <w:r>
        <w:rPr>
          <w:w w:val="105"/>
          <w:sz w:val="21"/>
        </w:rPr>
        <w:t>permit</w:t>
      </w:r>
      <w:r>
        <w:rPr>
          <w:spacing w:val="-4"/>
          <w:w w:val="105"/>
          <w:sz w:val="21"/>
        </w:rPr>
        <w:t> </w:t>
      </w:r>
      <w:r>
        <w:rPr>
          <w:spacing w:val="-3"/>
          <w:w w:val="105"/>
          <w:sz w:val="21"/>
        </w:rPr>
        <w:t>to</w:t>
      </w:r>
      <w:r>
        <w:rPr>
          <w:spacing w:val="-5"/>
          <w:w w:val="105"/>
          <w:sz w:val="21"/>
        </w:rPr>
        <w:t> </w:t>
      </w:r>
      <w:r>
        <w:rPr>
          <w:spacing w:val="-3"/>
          <w:w w:val="105"/>
          <w:sz w:val="21"/>
        </w:rPr>
        <w:t>remove</w:t>
      </w:r>
      <w:r>
        <w:rPr>
          <w:spacing w:val="-4"/>
          <w:w w:val="105"/>
          <w:sz w:val="21"/>
        </w:rPr>
        <w:t> </w:t>
      </w:r>
      <w:r>
        <w:rPr>
          <w:w w:val="105"/>
          <w:sz w:val="21"/>
        </w:rPr>
        <w:t>vegetation</w:t>
      </w:r>
      <w:r>
        <w:rPr>
          <w:spacing w:val="-5"/>
          <w:w w:val="105"/>
          <w:sz w:val="21"/>
        </w:rPr>
        <w:t> </w:t>
      </w:r>
      <w:r>
        <w:rPr>
          <w:w w:val="105"/>
          <w:sz w:val="21"/>
        </w:rPr>
        <w:t>is</w:t>
      </w:r>
      <w:r>
        <w:rPr>
          <w:spacing w:val="-4"/>
          <w:w w:val="105"/>
          <w:sz w:val="21"/>
        </w:rPr>
        <w:t> </w:t>
      </w:r>
      <w:r>
        <w:rPr>
          <w:spacing w:val="-3"/>
          <w:w w:val="105"/>
          <w:sz w:val="21"/>
        </w:rPr>
        <w:t>granted</w:t>
      </w:r>
      <w:r>
        <w:rPr>
          <w:spacing w:val="-5"/>
          <w:w w:val="105"/>
          <w:sz w:val="21"/>
        </w:rPr>
        <w:t> </w:t>
      </w:r>
      <w:r>
        <w:rPr>
          <w:w w:val="105"/>
          <w:sz w:val="21"/>
        </w:rPr>
        <w:t>under</w:t>
      </w:r>
      <w:r>
        <w:rPr>
          <w:spacing w:val="-4"/>
          <w:w w:val="105"/>
          <w:sz w:val="21"/>
        </w:rPr>
        <w:t> </w:t>
      </w:r>
      <w:r>
        <w:rPr>
          <w:w w:val="105"/>
          <w:sz w:val="21"/>
        </w:rPr>
        <w:t>local</w:t>
      </w:r>
      <w:r>
        <w:rPr>
          <w:spacing w:val="-5"/>
          <w:w w:val="105"/>
          <w:sz w:val="21"/>
        </w:rPr>
        <w:t> law,</w:t>
      </w:r>
      <w:r>
        <w:rPr>
          <w:spacing w:val="-4"/>
          <w:w w:val="105"/>
          <w:sz w:val="21"/>
        </w:rPr>
        <w:t> Council</w:t>
      </w:r>
      <w:r>
        <w:rPr>
          <w:spacing w:val="-5"/>
          <w:w w:val="105"/>
          <w:sz w:val="21"/>
        </w:rPr>
        <w:t> </w:t>
      </w:r>
      <w:r>
        <w:rPr>
          <w:spacing w:val="-3"/>
          <w:w w:val="105"/>
          <w:sz w:val="21"/>
        </w:rPr>
        <w:t>may</w:t>
      </w:r>
      <w:r>
        <w:rPr>
          <w:spacing w:val="-4"/>
          <w:w w:val="105"/>
          <w:sz w:val="21"/>
        </w:rPr>
        <w:t> </w:t>
      </w:r>
      <w:r>
        <w:rPr>
          <w:w w:val="105"/>
          <w:sz w:val="21"/>
        </w:rPr>
        <w:t>also</w:t>
      </w:r>
      <w:r>
        <w:rPr>
          <w:spacing w:val="-5"/>
          <w:w w:val="105"/>
          <w:sz w:val="21"/>
        </w:rPr>
        <w:t> </w:t>
      </w:r>
      <w:r>
        <w:rPr>
          <w:spacing w:val="-3"/>
          <w:w w:val="105"/>
          <w:sz w:val="21"/>
        </w:rPr>
        <w:t>require replanting to </w:t>
      </w:r>
      <w:r>
        <w:rPr>
          <w:w w:val="105"/>
          <w:sz w:val="21"/>
        </w:rPr>
        <w:t>offset </w:t>
      </w:r>
      <w:r>
        <w:rPr>
          <w:spacing w:val="-3"/>
          <w:w w:val="105"/>
          <w:sz w:val="21"/>
        </w:rPr>
        <w:t>any </w:t>
      </w:r>
      <w:r>
        <w:rPr>
          <w:w w:val="105"/>
          <w:sz w:val="21"/>
        </w:rPr>
        <w:t>net loss of</w:t>
      </w:r>
      <w:r>
        <w:rPr>
          <w:spacing w:val="42"/>
          <w:w w:val="105"/>
          <w:sz w:val="21"/>
        </w:rPr>
        <w:t> </w:t>
      </w:r>
      <w:r>
        <w:rPr>
          <w:spacing w:val="-4"/>
          <w:w w:val="105"/>
          <w:sz w:val="21"/>
        </w:rPr>
        <w:t>vegetation.</w:t>
      </w:r>
      <w:r>
        <w:rPr>
          <w:spacing w:val="-4"/>
          <w:w w:val="105"/>
          <w:position w:val="7"/>
          <w:sz w:val="12"/>
        </w:rPr>
        <w:t>19</w:t>
      </w:r>
    </w:p>
    <w:p>
      <w:pPr>
        <w:pStyle w:val="Heading7"/>
        <w:spacing w:before="152"/>
      </w:pPr>
      <w:r>
        <w:rPr>
          <w:w w:val="115"/>
        </w:rPr>
        <w:t>City of Port Phillip</w:t>
      </w:r>
    </w:p>
    <w:p>
      <w:pPr>
        <w:pStyle w:val="ListParagraph"/>
        <w:numPr>
          <w:ilvl w:val="1"/>
          <w:numId w:val="16"/>
        </w:numPr>
        <w:tabs>
          <w:tab w:pos="2381" w:val="left" w:leader="none"/>
          <w:tab w:pos="2382" w:val="left" w:leader="none"/>
        </w:tabs>
        <w:spacing w:line="242" w:lineRule="auto" w:before="143" w:after="0"/>
        <w:ind w:left="2381" w:right="1627" w:hanging="794"/>
        <w:jc w:val="left"/>
        <w:rPr>
          <w:sz w:val="21"/>
        </w:rPr>
      </w:pPr>
      <w:r>
        <w:rPr>
          <w:w w:val="105"/>
          <w:sz w:val="21"/>
        </w:rPr>
        <w:t>The </w:t>
      </w:r>
      <w:r>
        <w:rPr>
          <w:spacing w:val="-3"/>
          <w:w w:val="105"/>
          <w:sz w:val="21"/>
        </w:rPr>
        <w:t>City </w:t>
      </w:r>
      <w:r>
        <w:rPr>
          <w:w w:val="105"/>
          <w:sz w:val="21"/>
        </w:rPr>
        <w:t>of Port </w:t>
      </w:r>
      <w:r>
        <w:rPr>
          <w:spacing w:val="-3"/>
          <w:w w:val="105"/>
          <w:sz w:val="21"/>
        </w:rPr>
        <w:t>Phillip </w:t>
      </w:r>
      <w:r>
        <w:rPr>
          <w:w w:val="105"/>
          <w:sz w:val="21"/>
        </w:rPr>
        <w:t>Local Law No 1 </w:t>
      </w:r>
      <w:r>
        <w:rPr>
          <w:spacing w:val="-3"/>
          <w:w w:val="105"/>
          <w:sz w:val="21"/>
        </w:rPr>
        <w:t>(Community </w:t>
      </w:r>
      <w:r>
        <w:rPr>
          <w:w w:val="105"/>
          <w:sz w:val="21"/>
        </w:rPr>
        <w:t>Amenity) </w:t>
      </w:r>
      <w:r>
        <w:rPr>
          <w:spacing w:val="-9"/>
          <w:w w:val="105"/>
          <w:sz w:val="21"/>
        </w:rPr>
        <w:t>2013 </w:t>
      </w:r>
      <w:r>
        <w:rPr>
          <w:w w:val="105"/>
          <w:sz w:val="21"/>
        </w:rPr>
        <w:t>protects </w:t>
      </w:r>
      <w:r>
        <w:rPr>
          <w:spacing w:val="-3"/>
          <w:w w:val="105"/>
          <w:sz w:val="21"/>
        </w:rPr>
        <w:t>significant </w:t>
      </w:r>
      <w:r>
        <w:rPr>
          <w:w w:val="105"/>
          <w:sz w:val="21"/>
        </w:rPr>
        <w:t>trees.</w:t>
      </w:r>
      <w:r>
        <w:rPr>
          <w:w w:val="105"/>
          <w:position w:val="7"/>
          <w:sz w:val="12"/>
        </w:rPr>
        <w:t>20 </w:t>
      </w:r>
      <w:r>
        <w:rPr>
          <w:spacing w:val="-4"/>
          <w:w w:val="105"/>
          <w:sz w:val="21"/>
        </w:rPr>
        <w:t>Council </w:t>
      </w:r>
      <w:r>
        <w:rPr>
          <w:w w:val="105"/>
          <w:sz w:val="21"/>
        </w:rPr>
        <w:t>advised the </w:t>
      </w:r>
      <w:r>
        <w:rPr>
          <w:spacing w:val="-3"/>
          <w:w w:val="105"/>
          <w:sz w:val="21"/>
        </w:rPr>
        <w:t>Commission that </w:t>
      </w:r>
      <w:r>
        <w:rPr>
          <w:w w:val="105"/>
          <w:sz w:val="21"/>
        </w:rPr>
        <w:t>the local law applies </w:t>
      </w:r>
      <w:r>
        <w:rPr>
          <w:spacing w:val="-3"/>
          <w:w w:val="105"/>
          <w:sz w:val="21"/>
        </w:rPr>
        <w:t>to </w:t>
      </w:r>
      <w:r>
        <w:rPr>
          <w:w w:val="105"/>
          <w:sz w:val="21"/>
        </w:rPr>
        <w:t>and protects a large number</w:t>
      </w:r>
      <w:r>
        <w:rPr>
          <w:spacing w:val="-6"/>
          <w:w w:val="105"/>
          <w:sz w:val="21"/>
        </w:rPr>
        <w:t> </w:t>
      </w:r>
      <w:r>
        <w:rPr>
          <w:w w:val="105"/>
          <w:sz w:val="21"/>
        </w:rPr>
        <w:t>of</w:t>
      </w:r>
      <w:r>
        <w:rPr>
          <w:spacing w:val="-5"/>
          <w:w w:val="105"/>
          <w:sz w:val="21"/>
        </w:rPr>
        <w:t> </w:t>
      </w:r>
      <w:r>
        <w:rPr>
          <w:w w:val="105"/>
          <w:sz w:val="21"/>
        </w:rPr>
        <w:t>trees</w:t>
      </w:r>
      <w:r>
        <w:rPr>
          <w:spacing w:val="-5"/>
          <w:w w:val="105"/>
          <w:sz w:val="21"/>
        </w:rPr>
        <w:t> </w:t>
      </w:r>
      <w:r>
        <w:rPr>
          <w:spacing w:val="-3"/>
          <w:w w:val="105"/>
          <w:sz w:val="21"/>
        </w:rPr>
        <w:t>within</w:t>
      </w:r>
      <w:r>
        <w:rPr>
          <w:spacing w:val="-5"/>
          <w:w w:val="105"/>
          <w:sz w:val="21"/>
        </w:rPr>
        <w:t> </w:t>
      </w:r>
      <w:r>
        <w:rPr>
          <w:w w:val="105"/>
          <w:sz w:val="21"/>
        </w:rPr>
        <w:t>the</w:t>
      </w:r>
      <w:r>
        <w:rPr>
          <w:spacing w:val="-5"/>
          <w:w w:val="105"/>
          <w:sz w:val="21"/>
        </w:rPr>
        <w:t> </w:t>
      </w:r>
      <w:r>
        <w:rPr>
          <w:spacing w:val="-3"/>
          <w:w w:val="105"/>
          <w:sz w:val="21"/>
        </w:rPr>
        <w:t>municipality.</w:t>
      </w:r>
      <w:r>
        <w:rPr>
          <w:spacing w:val="-3"/>
          <w:w w:val="105"/>
          <w:position w:val="7"/>
          <w:sz w:val="12"/>
        </w:rPr>
        <w:t>21</w:t>
      </w:r>
      <w:r>
        <w:rPr>
          <w:spacing w:val="18"/>
          <w:w w:val="105"/>
          <w:position w:val="7"/>
          <w:sz w:val="12"/>
        </w:rPr>
        <w:t> </w:t>
      </w:r>
      <w:r>
        <w:rPr>
          <w:w w:val="105"/>
          <w:sz w:val="21"/>
        </w:rPr>
        <w:t>A</w:t>
      </w:r>
      <w:r>
        <w:rPr>
          <w:spacing w:val="-5"/>
          <w:w w:val="105"/>
          <w:sz w:val="21"/>
        </w:rPr>
        <w:t> </w:t>
      </w:r>
      <w:r>
        <w:rPr>
          <w:w w:val="105"/>
          <w:sz w:val="21"/>
        </w:rPr>
        <w:t>permit</w:t>
      </w:r>
      <w:r>
        <w:rPr>
          <w:spacing w:val="-5"/>
          <w:w w:val="105"/>
          <w:sz w:val="21"/>
        </w:rPr>
        <w:t> </w:t>
      </w:r>
      <w:r>
        <w:rPr>
          <w:w w:val="105"/>
          <w:sz w:val="21"/>
        </w:rPr>
        <w:t>is</w:t>
      </w:r>
      <w:r>
        <w:rPr>
          <w:spacing w:val="-5"/>
          <w:w w:val="105"/>
          <w:sz w:val="21"/>
        </w:rPr>
        <w:t> </w:t>
      </w:r>
      <w:r>
        <w:rPr>
          <w:spacing w:val="-3"/>
          <w:w w:val="105"/>
          <w:sz w:val="21"/>
        </w:rPr>
        <w:t>required</w:t>
      </w:r>
      <w:r>
        <w:rPr>
          <w:spacing w:val="-5"/>
          <w:w w:val="105"/>
          <w:sz w:val="21"/>
        </w:rPr>
        <w:t> </w:t>
      </w:r>
      <w:r>
        <w:rPr>
          <w:spacing w:val="-3"/>
          <w:w w:val="105"/>
          <w:sz w:val="21"/>
        </w:rPr>
        <w:t>to</w:t>
      </w:r>
      <w:r>
        <w:rPr>
          <w:spacing w:val="-6"/>
          <w:w w:val="105"/>
          <w:sz w:val="21"/>
        </w:rPr>
        <w:t> </w:t>
      </w:r>
      <w:r>
        <w:rPr>
          <w:w w:val="105"/>
          <w:sz w:val="21"/>
        </w:rPr>
        <w:t>carry</w:t>
      </w:r>
      <w:r>
        <w:rPr>
          <w:spacing w:val="-5"/>
          <w:w w:val="105"/>
          <w:sz w:val="21"/>
        </w:rPr>
        <w:t> </w:t>
      </w:r>
      <w:r>
        <w:rPr>
          <w:w w:val="105"/>
          <w:sz w:val="21"/>
        </w:rPr>
        <w:t>out</w:t>
      </w:r>
      <w:r>
        <w:rPr>
          <w:spacing w:val="-5"/>
          <w:w w:val="105"/>
          <w:sz w:val="21"/>
        </w:rPr>
        <w:t> </w:t>
      </w:r>
      <w:r>
        <w:rPr>
          <w:w w:val="105"/>
          <w:sz w:val="21"/>
        </w:rPr>
        <w:t>works</w:t>
      </w:r>
      <w:r>
        <w:rPr>
          <w:spacing w:val="-5"/>
          <w:w w:val="105"/>
          <w:sz w:val="21"/>
        </w:rPr>
        <w:t> </w:t>
      </w:r>
      <w:r>
        <w:rPr>
          <w:w w:val="105"/>
          <w:sz w:val="21"/>
        </w:rPr>
        <w:t>or</w:t>
      </w:r>
      <w:r>
        <w:rPr>
          <w:spacing w:val="-5"/>
          <w:w w:val="105"/>
          <w:sz w:val="21"/>
        </w:rPr>
        <w:t> </w:t>
      </w:r>
      <w:r>
        <w:rPr>
          <w:spacing w:val="-3"/>
          <w:w w:val="105"/>
          <w:sz w:val="21"/>
        </w:rPr>
        <w:t>allow </w:t>
      </w:r>
      <w:r>
        <w:rPr>
          <w:w w:val="105"/>
          <w:sz w:val="21"/>
        </w:rPr>
        <w:t>works </w:t>
      </w:r>
      <w:r>
        <w:rPr>
          <w:spacing w:val="-3"/>
          <w:w w:val="105"/>
          <w:sz w:val="21"/>
        </w:rPr>
        <w:t>to </w:t>
      </w:r>
      <w:r>
        <w:rPr>
          <w:w w:val="105"/>
          <w:sz w:val="21"/>
        </w:rPr>
        <w:t>a </w:t>
      </w:r>
      <w:r>
        <w:rPr>
          <w:spacing w:val="-3"/>
          <w:w w:val="105"/>
          <w:sz w:val="21"/>
        </w:rPr>
        <w:t>significant </w:t>
      </w:r>
      <w:r>
        <w:rPr>
          <w:w w:val="105"/>
          <w:sz w:val="21"/>
        </w:rPr>
        <w:t>tree or</w:t>
      </w:r>
      <w:r>
        <w:rPr>
          <w:spacing w:val="37"/>
          <w:w w:val="105"/>
          <w:sz w:val="21"/>
        </w:rPr>
        <w:t> </w:t>
      </w:r>
      <w:r>
        <w:rPr>
          <w:w w:val="105"/>
          <w:sz w:val="21"/>
        </w:rPr>
        <w:t>palm.</w:t>
      </w:r>
      <w:r>
        <w:rPr>
          <w:w w:val="105"/>
          <w:position w:val="7"/>
          <w:sz w:val="12"/>
        </w:rPr>
        <w:t>22</w:t>
      </w:r>
    </w:p>
    <w:p>
      <w:pPr>
        <w:pStyle w:val="ListParagraph"/>
        <w:numPr>
          <w:ilvl w:val="1"/>
          <w:numId w:val="16"/>
        </w:numPr>
        <w:tabs>
          <w:tab w:pos="2380" w:val="left" w:leader="none"/>
          <w:tab w:pos="2381" w:val="left" w:leader="none"/>
        </w:tabs>
        <w:spacing w:line="240" w:lineRule="auto" w:before="125" w:after="0"/>
        <w:ind w:left="2381" w:right="0" w:hanging="794"/>
        <w:jc w:val="left"/>
        <w:rPr>
          <w:sz w:val="21"/>
        </w:rPr>
      </w:pPr>
      <w:r>
        <w:rPr>
          <w:w w:val="105"/>
          <w:sz w:val="21"/>
        </w:rPr>
        <w:t>In</w:t>
      </w:r>
      <w:r>
        <w:rPr>
          <w:spacing w:val="4"/>
          <w:w w:val="105"/>
          <w:sz w:val="21"/>
        </w:rPr>
        <w:t> </w:t>
      </w:r>
      <w:r>
        <w:rPr>
          <w:spacing w:val="-3"/>
          <w:w w:val="105"/>
          <w:sz w:val="21"/>
        </w:rPr>
        <w:t>eciding</w:t>
      </w:r>
      <w:r>
        <w:rPr>
          <w:spacing w:val="5"/>
          <w:w w:val="105"/>
          <w:sz w:val="21"/>
        </w:rPr>
        <w:t> </w:t>
      </w:r>
      <w:r>
        <w:rPr>
          <w:w w:val="105"/>
          <w:sz w:val="21"/>
        </w:rPr>
        <w:t>whether</w:t>
      </w:r>
      <w:r>
        <w:rPr>
          <w:spacing w:val="5"/>
          <w:w w:val="105"/>
          <w:sz w:val="21"/>
        </w:rPr>
        <w:t> </w:t>
      </w:r>
      <w:r>
        <w:rPr>
          <w:spacing w:val="-3"/>
          <w:w w:val="105"/>
          <w:sz w:val="21"/>
        </w:rPr>
        <w:t>to</w:t>
      </w:r>
      <w:r>
        <w:rPr>
          <w:spacing w:val="5"/>
          <w:w w:val="105"/>
          <w:sz w:val="21"/>
        </w:rPr>
        <w:t> </w:t>
      </w:r>
      <w:r>
        <w:rPr>
          <w:spacing w:val="-3"/>
          <w:w w:val="105"/>
          <w:sz w:val="21"/>
        </w:rPr>
        <w:t>grant</w:t>
      </w:r>
      <w:r>
        <w:rPr>
          <w:spacing w:val="4"/>
          <w:w w:val="105"/>
          <w:sz w:val="21"/>
        </w:rPr>
        <w:t> </w:t>
      </w:r>
      <w:r>
        <w:rPr>
          <w:w w:val="105"/>
          <w:sz w:val="21"/>
        </w:rPr>
        <w:t>a</w:t>
      </w:r>
      <w:r>
        <w:rPr>
          <w:spacing w:val="5"/>
          <w:w w:val="105"/>
          <w:sz w:val="21"/>
        </w:rPr>
        <w:t> </w:t>
      </w:r>
      <w:r>
        <w:rPr>
          <w:w w:val="105"/>
          <w:sz w:val="21"/>
        </w:rPr>
        <w:t>permit</w:t>
      </w:r>
      <w:r>
        <w:rPr>
          <w:spacing w:val="5"/>
          <w:w w:val="105"/>
          <w:sz w:val="21"/>
        </w:rPr>
        <w:t> </w:t>
      </w:r>
      <w:r>
        <w:rPr>
          <w:spacing w:val="-4"/>
          <w:w w:val="105"/>
          <w:sz w:val="21"/>
        </w:rPr>
        <w:t>Council</w:t>
      </w:r>
      <w:r>
        <w:rPr>
          <w:spacing w:val="5"/>
          <w:w w:val="105"/>
          <w:sz w:val="21"/>
        </w:rPr>
        <w:t> </w:t>
      </w:r>
      <w:r>
        <w:rPr>
          <w:w w:val="105"/>
          <w:sz w:val="21"/>
        </w:rPr>
        <w:t>must</w:t>
      </w:r>
      <w:r>
        <w:rPr>
          <w:spacing w:val="4"/>
          <w:w w:val="105"/>
          <w:sz w:val="21"/>
        </w:rPr>
        <w:t> </w:t>
      </w:r>
      <w:r>
        <w:rPr>
          <w:spacing w:val="-3"/>
          <w:w w:val="105"/>
          <w:sz w:val="21"/>
        </w:rPr>
        <w:t>have</w:t>
      </w:r>
      <w:r>
        <w:rPr>
          <w:spacing w:val="5"/>
          <w:w w:val="105"/>
          <w:sz w:val="21"/>
        </w:rPr>
        <w:t> </w:t>
      </w:r>
      <w:r>
        <w:rPr>
          <w:spacing w:val="-3"/>
          <w:w w:val="105"/>
          <w:sz w:val="21"/>
        </w:rPr>
        <w:t>regard</w:t>
      </w:r>
      <w:r>
        <w:rPr>
          <w:spacing w:val="5"/>
          <w:w w:val="105"/>
          <w:sz w:val="21"/>
        </w:rPr>
        <w:t> </w:t>
      </w:r>
      <w:r>
        <w:rPr>
          <w:w w:val="105"/>
          <w:sz w:val="21"/>
        </w:rPr>
        <w:t>to:</w:t>
      </w:r>
    </w:p>
    <w:p>
      <w:pPr>
        <w:pStyle w:val="ListParagraph"/>
        <w:numPr>
          <w:ilvl w:val="2"/>
          <w:numId w:val="16"/>
        </w:numPr>
        <w:tabs>
          <w:tab w:pos="2721" w:val="left" w:leader="none"/>
          <w:tab w:pos="2722" w:val="left" w:leader="none"/>
        </w:tabs>
        <w:spacing w:line="240" w:lineRule="auto" w:before="123" w:after="0"/>
        <w:ind w:left="2721" w:right="0" w:hanging="340"/>
        <w:jc w:val="left"/>
        <w:rPr>
          <w:sz w:val="21"/>
        </w:rPr>
      </w:pPr>
      <w:r>
        <w:rPr>
          <w:sz w:val="21"/>
        </w:rPr>
        <w:t>whether an arborist’s report is</w:t>
      </w:r>
      <w:r>
        <w:rPr>
          <w:spacing w:val="41"/>
          <w:sz w:val="21"/>
        </w:rPr>
        <w:t> </w:t>
      </w:r>
      <w:r>
        <w:rPr>
          <w:sz w:val="21"/>
        </w:rPr>
        <w:t>needed</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z w:val="21"/>
        </w:rPr>
        <w:t>whether the tree is </w:t>
      </w:r>
      <w:r>
        <w:rPr>
          <w:spacing w:val="-3"/>
          <w:sz w:val="21"/>
        </w:rPr>
        <w:t>included </w:t>
      </w:r>
      <w:r>
        <w:rPr>
          <w:sz w:val="21"/>
        </w:rPr>
        <w:t>on </w:t>
      </w:r>
      <w:r>
        <w:rPr>
          <w:spacing w:val="-3"/>
          <w:sz w:val="21"/>
        </w:rPr>
        <w:t>any</w:t>
      </w:r>
      <w:r>
        <w:rPr>
          <w:spacing w:val="19"/>
          <w:sz w:val="21"/>
        </w:rPr>
        <w:t> </w:t>
      </w:r>
      <w:r>
        <w:rPr>
          <w:spacing w:val="-3"/>
          <w:sz w:val="21"/>
        </w:rPr>
        <w:t>register</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z w:val="21"/>
        </w:rPr>
        <w:t>the </w:t>
      </w:r>
      <w:r>
        <w:rPr>
          <w:spacing w:val="-3"/>
          <w:sz w:val="21"/>
        </w:rPr>
        <w:t>reasons for </w:t>
      </w:r>
      <w:r>
        <w:rPr>
          <w:sz w:val="21"/>
        </w:rPr>
        <w:t>the permit</w:t>
      </w:r>
      <w:r>
        <w:rPr>
          <w:spacing w:val="47"/>
          <w:sz w:val="21"/>
        </w:rPr>
        <w:t> </w:t>
      </w:r>
      <w:r>
        <w:rPr>
          <w:sz w:val="21"/>
        </w:rPr>
        <w:t>request</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w w:val="105"/>
          <w:sz w:val="21"/>
        </w:rPr>
        <w:t>the impact on the amenity and the safety of the</w:t>
      </w:r>
      <w:r>
        <w:rPr>
          <w:spacing w:val="41"/>
          <w:w w:val="105"/>
          <w:sz w:val="21"/>
        </w:rPr>
        <w:t> </w:t>
      </w:r>
      <w:r>
        <w:rPr>
          <w:spacing w:val="-3"/>
          <w:w w:val="105"/>
          <w:sz w:val="21"/>
        </w:rPr>
        <w:t>area</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w w:val="105"/>
          <w:sz w:val="21"/>
        </w:rPr>
        <w:t>any </w:t>
      </w:r>
      <w:r>
        <w:rPr>
          <w:w w:val="105"/>
          <w:sz w:val="21"/>
        </w:rPr>
        <w:t>proposed </w:t>
      </w:r>
      <w:r>
        <w:rPr>
          <w:spacing w:val="-3"/>
          <w:w w:val="105"/>
          <w:sz w:val="21"/>
        </w:rPr>
        <w:t>replacement</w:t>
      </w:r>
      <w:r>
        <w:rPr>
          <w:spacing w:val="18"/>
          <w:w w:val="105"/>
          <w:sz w:val="21"/>
        </w:rPr>
        <w:t> </w:t>
      </w:r>
      <w:r>
        <w:rPr>
          <w:spacing w:val="-3"/>
          <w:w w:val="105"/>
          <w:sz w:val="21"/>
        </w:rPr>
        <w:t>plantings</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sz w:val="21"/>
        </w:rPr>
        <w:t>any </w:t>
      </w:r>
      <w:r>
        <w:rPr>
          <w:sz w:val="21"/>
        </w:rPr>
        <w:t>other matter </w:t>
      </w:r>
      <w:r>
        <w:rPr>
          <w:spacing w:val="-3"/>
          <w:sz w:val="21"/>
        </w:rPr>
        <w:t>considered relevant </w:t>
      </w:r>
      <w:r>
        <w:rPr>
          <w:sz w:val="21"/>
        </w:rPr>
        <w:t>by</w:t>
      </w:r>
      <w:r>
        <w:rPr>
          <w:spacing w:val="14"/>
          <w:sz w:val="21"/>
        </w:rPr>
        <w:t> </w:t>
      </w:r>
      <w:r>
        <w:rPr>
          <w:sz w:val="21"/>
        </w:rPr>
        <w:t>council.</w:t>
      </w:r>
      <w:r>
        <w:rPr>
          <w:position w:val="7"/>
          <w:sz w:val="12"/>
        </w:rPr>
        <w:t>23</w:t>
      </w:r>
    </w:p>
    <w:p>
      <w:pPr>
        <w:pStyle w:val="BodyText"/>
        <w:rPr>
          <w:sz w:val="19"/>
        </w:rPr>
      </w:pPr>
    </w:p>
    <w:p>
      <w:pPr>
        <w:pStyle w:val="Heading4"/>
      </w:pPr>
      <w:r>
        <w:rPr>
          <w:color w:val="658464"/>
          <w:w w:val="110"/>
        </w:rPr>
        <w:t>Decision-making principles in other jurisdictions</w:t>
      </w:r>
    </w:p>
    <w:p>
      <w:pPr>
        <w:pStyle w:val="ListParagraph"/>
        <w:numPr>
          <w:ilvl w:val="1"/>
          <w:numId w:val="16"/>
        </w:numPr>
        <w:tabs>
          <w:tab w:pos="2380" w:val="left" w:leader="none"/>
          <w:tab w:pos="2381" w:val="left" w:leader="none"/>
        </w:tabs>
        <w:spacing w:line="242" w:lineRule="auto" w:before="155" w:after="0"/>
        <w:ind w:left="2381" w:right="1680" w:hanging="794"/>
        <w:jc w:val="left"/>
        <w:rPr>
          <w:sz w:val="21"/>
        </w:rPr>
      </w:pPr>
      <w:r>
        <w:rPr>
          <w:w w:val="105"/>
          <w:sz w:val="21"/>
        </w:rPr>
        <w:t>The New South </w:t>
      </w:r>
      <w:r>
        <w:rPr>
          <w:spacing w:val="-3"/>
          <w:w w:val="105"/>
          <w:sz w:val="21"/>
        </w:rPr>
        <w:t>Wales, Queensland </w:t>
      </w:r>
      <w:r>
        <w:rPr>
          <w:w w:val="105"/>
          <w:sz w:val="21"/>
        </w:rPr>
        <w:t>and </w:t>
      </w:r>
      <w:r>
        <w:rPr>
          <w:spacing w:val="-4"/>
          <w:w w:val="105"/>
          <w:sz w:val="21"/>
        </w:rPr>
        <w:t>Tasmanian </w:t>
      </w:r>
      <w:r>
        <w:rPr>
          <w:w w:val="105"/>
          <w:sz w:val="21"/>
        </w:rPr>
        <w:t>Acts </w:t>
      </w:r>
      <w:r>
        <w:rPr>
          <w:spacing w:val="-3"/>
          <w:w w:val="105"/>
          <w:sz w:val="21"/>
        </w:rPr>
        <w:t>require </w:t>
      </w:r>
      <w:r>
        <w:rPr>
          <w:w w:val="105"/>
          <w:sz w:val="21"/>
        </w:rPr>
        <w:t>the decision </w:t>
      </w:r>
      <w:r>
        <w:rPr>
          <w:spacing w:val="-3"/>
          <w:w w:val="105"/>
          <w:sz w:val="21"/>
        </w:rPr>
        <w:t>makers to consider</w:t>
      </w:r>
      <w:r>
        <w:rPr>
          <w:spacing w:val="-8"/>
          <w:w w:val="105"/>
          <w:sz w:val="21"/>
        </w:rPr>
        <w:t> </w:t>
      </w:r>
      <w:r>
        <w:rPr>
          <w:w w:val="105"/>
          <w:sz w:val="21"/>
        </w:rPr>
        <w:t>certain</w:t>
      </w:r>
      <w:r>
        <w:rPr>
          <w:spacing w:val="-7"/>
          <w:w w:val="105"/>
          <w:sz w:val="21"/>
        </w:rPr>
        <w:t> </w:t>
      </w:r>
      <w:r>
        <w:rPr>
          <w:w w:val="105"/>
          <w:sz w:val="21"/>
        </w:rPr>
        <w:t>matters</w:t>
      </w:r>
      <w:r>
        <w:rPr>
          <w:spacing w:val="-7"/>
          <w:w w:val="105"/>
          <w:sz w:val="21"/>
        </w:rPr>
        <w:t> </w:t>
      </w:r>
      <w:r>
        <w:rPr>
          <w:spacing w:val="-3"/>
          <w:w w:val="105"/>
          <w:sz w:val="21"/>
        </w:rPr>
        <w:t>before</w:t>
      </w:r>
      <w:r>
        <w:rPr>
          <w:spacing w:val="-7"/>
          <w:w w:val="105"/>
          <w:sz w:val="21"/>
        </w:rPr>
        <w:t> </w:t>
      </w:r>
      <w:r>
        <w:rPr>
          <w:spacing w:val="-3"/>
          <w:w w:val="105"/>
          <w:sz w:val="21"/>
        </w:rPr>
        <w:t>determining</w:t>
      </w:r>
      <w:r>
        <w:rPr>
          <w:spacing w:val="-7"/>
          <w:w w:val="105"/>
          <w:sz w:val="21"/>
        </w:rPr>
        <w:t> </w:t>
      </w:r>
      <w:r>
        <w:rPr>
          <w:w w:val="105"/>
          <w:sz w:val="21"/>
        </w:rPr>
        <w:t>an</w:t>
      </w:r>
      <w:r>
        <w:rPr>
          <w:spacing w:val="-7"/>
          <w:w w:val="105"/>
          <w:sz w:val="21"/>
        </w:rPr>
        <w:t> </w:t>
      </w:r>
      <w:r>
        <w:rPr>
          <w:w w:val="105"/>
          <w:sz w:val="21"/>
        </w:rPr>
        <w:t>application.</w:t>
      </w:r>
      <w:r>
        <w:rPr>
          <w:w w:val="105"/>
          <w:position w:val="7"/>
          <w:sz w:val="12"/>
        </w:rPr>
        <w:t>24</w:t>
      </w:r>
      <w:r>
        <w:rPr>
          <w:spacing w:val="16"/>
          <w:w w:val="105"/>
          <w:position w:val="7"/>
          <w:sz w:val="12"/>
        </w:rPr>
        <w:t> </w:t>
      </w:r>
      <w:r>
        <w:rPr>
          <w:w w:val="105"/>
          <w:sz w:val="21"/>
        </w:rPr>
        <w:t>The</w:t>
      </w:r>
      <w:r>
        <w:rPr>
          <w:spacing w:val="-7"/>
          <w:w w:val="105"/>
          <w:sz w:val="21"/>
        </w:rPr>
        <w:t> </w:t>
      </w:r>
      <w:r>
        <w:rPr>
          <w:w w:val="105"/>
          <w:sz w:val="21"/>
        </w:rPr>
        <w:t>New</w:t>
      </w:r>
      <w:r>
        <w:rPr>
          <w:spacing w:val="-7"/>
          <w:w w:val="105"/>
          <w:sz w:val="21"/>
        </w:rPr>
        <w:t> </w:t>
      </w:r>
      <w:r>
        <w:rPr>
          <w:w w:val="105"/>
          <w:sz w:val="21"/>
        </w:rPr>
        <w:t>South</w:t>
      </w:r>
      <w:r>
        <w:rPr>
          <w:spacing w:val="-8"/>
          <w:w w:val="105"/>
          <w:sz w:val="21"/>
        </w:rPr>
        <w:t> </w:t>
      </w:r>
      <w:r>
        <w:rPr>
          <w:spacing w:val="-3"/>
          <w:w w:val="105"/>
          <w:sz w:val="21"/>
        </w:rPr>
        <w:t>Wales</w:t>
      </w:r>
      <w:r>
        <w:rPr>
          <w:spacing w:val="-7"/>
          <w:w w:val="105"/>
          <w:sz w:val="21"/>
        </w:rPr>
        <w:t> </w:t>
      </w:r>
      <w:r>
        <w:rPr>
          <w:w w:val="105"/>
          <w:sz w:val="21"/>
        </w:rPr>
        <w:t>Land and </w:t>
      </w:r>
      <w:r>
        <w:rPr>
          <w:spacing w:val="-3"/>
          <w:w w:val="105"/>
          <w:sz w:val="21"/>
        </w:rPr>
        <w:t>Environment Court informed </w:t>
      </w:r>
      <w:r>
        <w:rPr>
          <w:w w:val="105"/>
          <w:sz w:val="21"/>
        </w:rPr>
        <w:t>the </w:t>
      </w:r>
      <w:r>
        <w:rPr>
          <w:spacing w:val="-3"/>
          <w:w w:val="105"/>
          <w:sz w:val="21"/>
        </w:rPr>
        <w:t>Commission </w:t>
      </w:r>
      <w:r>
        <w:rPr>
          <w:w w:val="105"/>
          <w:sz w:val="21"/>
        </w:rPr>
        <w:t>the decision </w:t>
      </w:r>
      <w:r>
        <w:rPr>
          <w:spacing w:val="-4"/>
          <w:w w:val="105"/>
          <w:sz w:val="21"/>
        </w:rPr>
        <w:t>maker </w:t>
      </w:r>
      <w:r>
        <w:rPr>
          <w:w w:val="105"/>
          <w:sz w:val="21"/>
        </w:rPr>
        <w:t>does </w:t>
      </w:r>
      <w:r>
        <w:rPr>
          <w:spacing w:val="-2"/>
          <w:w w:val="105"/>
          <w:sz w:val="21"/>
        </w:rPr>
        <w:t>not</w:t>
      </w:r>
      <w:r>
        <w:rPr>
          <w:spacing w:val="24"/>
          <w:w w:val="105"/>
          <w:sz w:val="21"/>
        </w:rPr>
        <w:t> </w:t>
      </w:r>
      <w:r>
        <w:rPr>
          <w:w w:val="105"/>
          <w:sz w:val="21"/>
        </w:rPr>
        <w:t>need</w:t>
      </w:r>
    </w:p>
    <w:p>
      <w:pPr>
        <w:pStyle w:val="BodyText"/>
        <w:spacing w:line="242" w:lineRule="auto" w:before="3"/>
        <w:ind w:left="2381" w:right="2059"/>
        <w:rPr>
          <w:sz w:val="12"/>
        </w:rPr>
      </w:pPr>
      <w:r>
        <w:rPr>
          <w:spacing w:val="-3"/>
        </w:rPr>
        <w:t>to  </w:t>
      </w:r>
      <w:r>
        <w:rPr/>
        <w:t>address every decision-making </w:t>
      </w:r>
      <w:r>
        <w:rPr>
          <w:spacing w:val="-3"/>
        </w:rPr>
        <w:t>principle</w:t>
      </w:r>
      <w:r>
        <w:rPr>
          <w:spacing w:val="41"/>
        </w:rPr>
        <w:t> </w:t>
      </w:r>
      <w:r>
        <w:rPr/>
        <w:t>in its decision even though it is mandatory     </w:t>
      </w:r>
      <w:r>
        <w:rPr>
          <w:spacing w:val="-3"/>
        </w:rPr>
        <w:t>to consider </w:t>
      </w:r>
      <w:r>
        <w:rPr/>
        <w:t>each </w:t>
      </w:r>
      <w:r>
        <w:rPr>
          <w:spacing w:val="-3"/>
        </w:rPr>
        <w:t>one, </w:t>
      </w:r>
      <w:r>
        <w:rPr/>
        <w:t>because some </w:t>
      </w:r>
      <w:r>
        <w:rPr>
          <w:spacing w:val="-3"/>
        </w:rPr>
        <w:t>principles may </w:t>
      </w:r>
      <w:r>
        <w:rPr/>
        <w:t>be </w:t>
      </w:r>
      <w:r>
        <w:rPr>
          <w:spacing w:val="-3"/>
        </w:rPr>
        <w:t>irrelevant </w:t>
      </w:r>
      <w:r>
        <w:rPr/>
        <w:t>in the particular circumstances.</w:t>
      </w:r>
      <w:r>
        <w:rPr>
          <w:position w:val="7"/>
          <w:sz w:val="12"/>
        </w:rPr>
        <w:t>25 </w:t>
      </w:r>
      <w:r>
        <w:rPr/>
        <w:t>In </w:t>
      </w:r>
      <w:r>
        <w:rPr>
          <w:spacing w:val="-5"/>
        </w:rPr>
        <w:t>Tasmania, </w:t>
      </w:r>
      <w:r>
        <w:rPr/>
        <w:t>decision </w:t>
      </w:r>
      <w:r>
        <w:rPr>
          <w:spacing w:val="-3"/>
        </w:rPr>
        <w:t>makers </w:t>
      </w:r>
      <w:r>
        <w:rPr/>
        <w:t>must </w:t>
      </w:r>
      <w:r>
        <w:rPr>
          <w:spacing w:val="-3"/>
        </w:rPr>
        <w:t>consider </w:t>
      </w:r>
      <w:r>
        <w:rPr/>
        <w:t>these </w:t>
      </w:r>
      <w:r>
        <w:rPr>
          <w:spacing w:val="-3"/>
        </w:rPr>
        <w:t>principles </w:t>
      </w:r>
      <w:r>
        <w:rPr/>
        <w:t>but only </w:t>
      </w:r>
      <w:r>
        <w:rPr>
          <w:spacing w:val="-3"/>
        </w:rPr>
        <w:t>to </w:t>
      </w:r>
      <w:r>
        <w:rPr/>
        <w:t>the extent </w:t>
      </w:r>
      <w:r>
        <w:rPr>
          <w:spacing w:val="-3"/>
        </w:rPr>
        <w:t>that </w:t>
      </w:r>
      <w:r>
        <w:rPr/>
        <w:t>they </w:t>
      </w:r>
      <w:r>
        <w:rPr>
          <w:spacing w:val="-3"/>
        </w:rPr>
        <w:t>are</w:t>
      </w:r>
      <w:r>
        <w:rPr>
          <w:spacing w:val="1"/>
        </w:rPr>
        <w:t> </w:t>
      </w:r>
      <w:r>
        <w:rPr>
          <w:spacing w:val="-3"/>
        </w:rPr>
        <w:t>relevant.</w:t>
      </w:r>
      <w:r>
        <w:rPr>
          <w:spacing w:val="-3"/>
          <w:position w:val="7"/>
          <w:sz w:val="12"/>
        </w:rPr>
        <w:t>26</w:t>
      </w:r>
    </w:p>
    <w:p>
      <w:pPr>
        <w:pStyle w:val="ListParagraph"/>
        <w:numPr>
          <w:ilvl w:val="1"/>
          <w:numId w:val="16"/>
        </w:numPr>
        <w:tabs>
          <w:tab w:pos="2381" w:val="left" w:leader="none"/>
          <w:tab w:pos="2382" w:val="left" w:leader="none"/>
        </w:tabs>
        <w:spacing w:line="240" w:lineRule="auto" w:before="124" w:after="0"/>
        <w:ind w:left="2381" w:right="0" w:hanging="794"/>
        <w:jc w:val="left"/>
        <w:rPr>
          <w:sz w:val="21"/>
        </w:rPr>
      </w:pPr>
      <w:r>
        <w:rPr>
          <w:sz w:val="21"/>
        </w:rPr>
        <w:t>Principles</w:t>
      </w:r>
      <w:r>
        <w:rPr>
          <w:spacing w:val="10"/>
          <w:sz w:val="21"/>
        </w:rPr>
        <w:t> </w:t>
      </w:r>
      <w:r>
        <w:rPr>
          <w:spacing w:val="-3"/>
          <w:sz w:val="21"/>
        </w:rPr>
        <w:t>to</w:t>
      </w:r>
      <w:r>
        <w:rPr>
          <w:spacing w:val="10"/>
          <w:sz w:val="21"/>
        </w:rPr>
        <w:t> </w:t>
      </w:r>
      <w:r>
        <w:rPr>
          <w:sz w:val="21"/>
        </w:rPr>
        <w:t>be</w:t>
      </w:r>
      <w:r>
        <w:rPr>
          <w:spacing w:val="11"/>
          <w:sz w:val="21"/>
        </w:rPr>
        <w:t> </w:t>
      </w:r>
      <w:r>
        <w:rPr>
          <w:spacing w:val="-3"/>
          <w:sz w:val="21"/>
        </w:rPr>
        <w:t>considered</w:t>
      </w:r>
      <w:r>
        <w:rPr>
          <w:spacing w:val="10"/>
          <w:sz w:val="21"/>
        </w:rPr>
        <w:t> </w:t>
      </w:r>
      <w:r>
        <w:rPr>
          <w:sz w:val="21"/>
        </w:rPr>
        <w:t>which</w:t>
      </w:r>
      <w:r>
        <w:rPr>
          <w:spacing w:val="11"/>
          <w:sz w:val="21"/>
        </w:rPr>
        <w:t> </w:t>
      </w:r>
      <w:r>
        <w:rPr>
          <w:spacing w:val="-3"/>
          <w:sz w:val="21"/>
        </w:rPr>
        <w:t>are</w:t>
      </w:r>
      <w:r>
        <w:rPr>
          <w:spacing w:val="10"/>
          <w:sz w:val="21"/>
        </w:rPr>
        <w:t> </w:t>
      </w:r>
      <w:r>
        <w:rPr>
          <w:spacing w:val="-2"/>
          <w:sz w:val="21"/>
        </w:rPr>
        <w:t>common</w:t>
      </w:r>
      <w:r>
        <w:rPr>
          <w:spacing w:val="11"/>
          <w:sz w:val="21"/>
        </w:rPr>
        <w:t> </w:t>
      </w:r>
      <w:r>
        <w:rPr>
          <w:spacing w:val="-3"/>
          <w:sz w:val="21"/>
        </w:rPr>
        <w:t>to</w:t>
      </w:r>
      <w:r>
        <w:rPr>
          <w:spacing w:val="10"/>
          <w:sz w:val="21"/>
        </w:rPr>
        <w:t> </w:t>
      </w:r>
      <w:r>
        <w:rPr>
          <w:spacing w:val="-3"/>
          <w:sz w:val="21"/>
        </w:rPr>
        <w:t>all</w:t>
      </w:r>
      <w:r>
        <w:rPr>
          <w:spacing w:val="11"/>
          <w:sz w:val="21"/>
        </w:rPr>
        <w:t> </w:t>
      </w:r>
      <w:r>
        <w:rPr>
          <w:sz w:val="21"/>
        </w:rPr>
        <w:t>three</w:t>
      </w:r>
      <w:r>
        <w:rPr>
          <w:spacing w:val="10"/>
          <w:sz w:val="21"/>
        </w:rPr>
        <w:t> </w:t>
      </w:r>
      <w:r>
        <w:rPr>
          <w:sz w:val="21"/>
        </w:rPr>
        <w:t>Acts</w:t>
      </w:r>
      <w:r>
        <w:rPr>
          <w:spacing w:val="11"/>
          <w:sz w:val="21"/>
        </w:rPr>
        <w:t> </w:t>
      </w:r>
      <w:r>
        <w:rPr>
          <w:spacing w:val="-3"/>
          <w:sz w:val="21"/>
        </w:rPr>
        <w:t>include:</w:t>
      </w:r>
      <w:r>
        <w:rPr>
          <w:spacing w:val="-3"/>
          <w:position w:val="7"/>
          <w:sz w:val="12"/>
        </w:rPr>
        <w:t>27</w:t>
      </w:r>
    </w:p>
    <w:p>
      <w:pPr>
        <w:pStyle w:val="ListParagraph"/>
        <w:numPr>
          <w:ilvl w:val="2"/>
          <w:numId w:val="16"/>
        </w:numPr>
        <w:tabs>
          <w:tab w:pos="2721" w:val="left" w:leader="none"/>
          <w:tab w:pos="2722" w:val="left" w:leader="none"/>
        </w:tabs>
        <w:spacing w:line="240" w:lineRule="auto" w:before="124" w:after="0"/>
        <w:ind w:left="2721" w:right="0" w:hanging="340"/>
        <w:jc w:val="left"/>
        <w:rPr>
          <w:sz w:val="21"/>
        </w:rPr>
      </w:pPr>
      <w:r>
        <w:rPr>
          <w:sz w:val="21"/>
        </w:rPr>
        <w:t>the</w:t>
      </w:r>
      <w:r>
        <w:rPr>
          <w:spacing w:val="9"/>
          <w:sz w:val="21"/>
        </w:rPr>
        <w:t> </w:t>
      </w:r>
      <w:r>
        <w:rPr>
          <w:sz w:val="21"/>
        </w:rPr>
        <w:t>location</w:t>
      </w:r>
      <w:r>
        <w:rPr>
          <w:spacing w:val="10"/>
          <w:sz w:val="21"/>
        </w:rPr>
        <w:t> </w:t>
      </w:r>
      <w:r>
        <w:rPr>
          <w:sz w:val="21"/>
        </w:rPr>
        <w:t>of</w:t>
      </w:r>
      <w:r>
        <w:rPr>
          <w:spacing w:val="10"/>
          <w:sz w:val="21"/>
        </w:rPr>
        <w:t> </w:t>
      </w:r>
      <w:r>
        <w:rPr>
          <w:sz w:val="21"/>
        </w:rPr>
        <w:t>the</w:t>
      </w:r>
      <w:r>
        <w:rPr>
          <w:spacing w:val="9"/>
          <w:sz w:val="21"/>
        </w:rPr>
        <w:t> </w:t>
      </w:r>
      <w:r>
        <w:rPr>
          <w:sz w:val="21"/>
        </w:rPr>
        <w:t>tree</w:t>
      </w:r>
      <w:r>
        <w:rPr>
          <w:spacing w:val="10"/>
          <w:sz w:val="21"/>
        </w:rPr>
        <w:t> </w:t>
      </w:r>
      <w:r>
        <w:rPr>
          <w:sz w:val="21"/>
        </w:rPr>
        <w:t>in</w:t>
      </w:r>
      <w:r>
        <w:rPr>
          <w:spacing w:val="10"/>
          <w:sz w:val="21"/>
        </w:rPr>
        <w:t> </w:t>
      </w:r>
      <w:r>
        <w:rPr>
          <w:spacing w:val="-3"/>
          <w:sz w:val="21"/>
        </w:rPr>
        <w:t>relation</w:t>
      </w:r>
      <w:r>
        <w:rPr>
          <w:spacing w:val="10"/>
          <w:sz w:val="21"/>
        </w:rPr>
        <w:t> </w:t>
      </w:r>
      <w:r>
        <w:rPr>
          <w:spacing w:val="-3"/>
          <w:sz w:val="21"/>
        </w:rPr>
        <w:t>to</w:t>
      </w:r>
      <w:r>
        <w:rPr>
          <w:spacing w:val="9"/>
          <w:sz w:val="21"/>
        </w:rPr>
        <w:t> </w:t>
      </w:r>
      <w:r>
        <w:rPr>
          <w:sz w:val="21"/>
        </w:rPr>
        <w:t>the</w:t>
      </w:r>
      <w:r>
        <w:rPr>
          <w:spacing w:val="10"/>
          <w:sz w:val="21"/>
        </w:rPr>
        <w:t> </w:t>
      </w:r>
      <w:r>
        <w:rPr>
          <w:sz w:val="21"/>
        </w:rPr>
        <w:t>boundary</w:t>
      </w:r>
      <w:r>
        <w:rPr>
          <w:spacing w:val="10"/>
          <w:sz w:val="21"/>
        </w:rPr>
        <w:t> </w:t>
      </w:r>
      <w:r>
        <w:rPr>
          <w:sz w:val="21"/>
        </w:rPr>
        <w:t>or</w:t>
      </w:r>
      <w:r>
        <w:rPr>
          <w:spacing w:val="10"/>
          <w:sz w:val="21"/>
        </w:rPr>
        <w:t> </w:t>
      </w:r>
      <w:r>
        <w:rPr>
          <w:sz w:val="21"/>
        </w:rPr>
        <w:t>other</w:t>
      </w:r>
      <w:r>
        <w:rPr>
          <w:spacing w:val="9"/>
          <w:sz w:val="21"/>
        </w:rPr>
        <w:t> </w:t>
      </w:r>
      <w:r>
        <w:rPr>
          <w:sz w:val="21"/>
        </w:rPr>
        <w:t>structures</w:t>
      </w:r>
      <w:r>
        <w:rPr>
          <w:spacing w:val="10"/>
          <w:sz w:val="21"/>
        </w:rPr>
        <w:t> </w:t>
      </w:r>
      <w:r>
        <w:rPr>
          <w:sz w:val="21"/>
        </w:rPr>
        <w:t>on</w:t>
      </w:r>
      <w:r>
        <w:rPr>
          <w:spacing w:val="10"/>
          <w:sz w:val="21"/>
        </w:rPr>
        <w:t> </w:t>
      </w:r>
      <w:r>
        <w:rPr>
          <w:sz w:val="21"/>
        </w:rPr>
        <w:t>the</w:t>
      </w:r>
      <w:r>
        <w:rPr>
          <w:spacing w:val="10"/>
          <w:sz w:val="21"/>
        </w:rPr>
        <w:t> </w:t>
      </w:r>
      <w:r>
        <w:rPr>
          <w:spacing w:val="-3"/>
          <w:sz w:val="21"/>
        </w:rPr>
        <w:t>land</w:t>
      </w:r>
    </w:p>
    <w:p>
      <w:pPr>
        <w:pStyle w:val="ListParagraph"/>
        <w:numPr>
          <w:ilvl w:val="2"/>
          <w:numId w:val="16"/>
        </w:numPr>
        <w:tabs>
          <w:tab w:pos="2721" w:val="left" w:leader="none"/>
          <w:tab w:pos="2722" w:val="left" w:leader="none"/>
        </w:tabs>
        <w:spacing w:line="242" w:lineRule="auto" w:before="89" w:after="0"/>
        <w:ind w:left="2721" w:right="1834" w:hanging="340"/>
        <w:jc w:val="left"/>
        <w:rPr>
          <w:sz w:val="21"/>
        </w:rPr>
      </w:pPr>
      <w:r>
        <w:rPr>
          <w:w w:val="105"/>
          <w:sz w:val="21"/>
        </w:rPr>
        <w:t>whether</w:t>
      </w:r>
      <w:r>
        <w:rPr>
          <w:spacing w:val="-11"/>
          <w:w w:val="105"/>
          <w:sz w:val="21"/>
        </w:rPr>
        <w:t> </w:t>
      </w:r>
      <w:r>
        <w:rPr>
          <w:spacing w:val="-3"/>
          <w:w w:val="105"/>
          <w:sz w:val="21"/>
        </w:rPr>
        <w:t>consent</w:t>
      </w:r>
      <w:r>
        <w:rPr>
          <w:spacing w:val="-11"/>
          <w:w w:val="105"/>
          <w:sz w:val="21"/>
        </w:rPr>
        <w:t> </w:t>
      </w:r>
      <w:r>
        <w:rPr>
          <w:w w:val="105"/>
          <w:sz w:val="21"/>
        </w:rPr>
        <w:t>or</w:t>
      </w:r>
      <w:r>
        <w:rPr>
          <w:spacing w:val="-11"/>
          <w:w w:val="105"/>
          <w:sz w:val="21"/>
        </w:rPr>
        <w:t> </w:t>
      </w:r>
      <w:r>
        <w:rPr>
          <w:w w:val="105"/>
          <w:sz w:val="21"/>
        </w:rPr>
        <w:t>authorisation</w:t>
      </w:r>
      <w:r>
        <w:rPr>
          <w:spacing w:val="-10"/>
          <w:w w:val="105"/>
          <w:sz w:val="21"/>
        </w:rPr>
        <w:t> </w:t>
      </w:r>
      <w:r>
        <w:rPr>
          <w:w w:val="105"/>
          <w:sz w:val="21"/>
        </w:rPr>
        <w:t>would</w:t>
      </w:r>
      <w:r>
        <w:rPr>
          <w:spacing w:val="-11"/>
          <w:w w:val="105"/>
          <w:sz w:val="21"/>
        </w:rPr>
        <w:t> </w:t>
      </w:r>
      <w:r>
        <w:rPr>
          <w:spacing w:val="-3"/>
          <w:w w:val="105"/>
          <w:sz w:val="21"/>
        </w:rPr>
        <w:t>ordinarily</w:t>
      </w:r>
      <w:r>
        <w:rPr>
          <w:spacing w:val="-11"/>
          <w:w w:val="105"/>
          <w:sz w:val="21"/>
        </w:rPr>
        <w:t> </w:t>
      </w:r>
      <w:r>
        <w:rPr>
          <w:w w:val="105"/>
          <w:sz w:val="21"/>
        </w:rPr>
        <w:t>be</w:t>
      </w:r>
      <w:r>
        <w:rPr>
          <w:spacing w:val="-10"/>
          <w:w w:val="105"/>
          <w:sz w:val="21"/>
        </w:rPr>
        <w:t> </w:t>
      </w:r>
      <w:r>
        <w:rPr>
          <w:spacing w:val="-3"/>
          <w:w w:val="105"/>
          <w:sz w:val="21"/>
        </w:rPr>
        <w:t>required</w:t>
      </w:r>
      <w:r>
        <w:rPr>
          <w:spacing w:val="-11"/>
          <w:w w:val="105"/>
          <w:sz w:val="21"/>
        </w:rPr>
        <w:t> </w:t>
      </w:r>
      <w:r>
        <w:rPr>
          <w:w w:val="105"/>
          <w:sz w:val="21"/>
        </w:rPr>
        <w:t>under</w:t>
      </w:r>
      <w:r>
        <w:rPr>
          <w:spacing w:val="-11"/>
          <w:w w:val="105"/>
          <w:sz w:val="21"/>
        </w:rPr>
        <w:t> </w:t>
      </w:r>
      <w:r>
        <w:rPr>
          <w:w w:val="105"/>
          <w:sz w:val="21"/>
        </w:rPr>
        <w:t>local</w:t>
      </w:r>
      <w:r>
        <w:rPr>
          <w:spacing w:val="-11"/>
          <w:w w:val="105"/>
          <w:sz w:val="21"/>
        </w:rPr>
        <w:t> </w:t>
      </w:r>
      <w:r>
        <w:rPr>
          <w:w w:val="105"/>
          <w:sz w:val="21"/>
        </w:rPr>
        <w:t>laws</w:t>
      </w:r>
      <w:r>
        <w:rPr>
          <w:spacing w:val="-10"/>
          <w:w w:val="105"/>
          <w:sz w:val="21"/>
        </w:rPr>
        <w:t> </w:t>
      </w:r>
      <w:r>
        <w:rPr>
          <w:w w:val="105"/>
          <w:sz w:val="21"/>
        </w:rPr>
        <w:t>and Acts, and whether </w:t>
      </w:r>
      <w:r>
        <w:rPr>
          <w:spacing w:val="-3"/>
          <w:w w:val="105"/>
          <w:sz w:val="21"/>
        </w:rPr>
        <w:t>that consent </w:t>
      </w:r>
      <w:r>
        <w:rPr>
          <w:spacing w:val="-2"/>
          <w:w w:val="105"/>
          <w:sz w:val="21"/>
        </w:rPr>
        <w:t>has </w:t>
      </w:r>
      <w:r>
        <w:rPr>
          <w:w w:val="105"/>
          <w:sz w:val="21"/>
        </w:rPr>
        <w:t>been</w:t>
      </w:r>
      <w:r>
        <w:rPr>
          <w:spacing w:val="38"/>
          <w:w w:val="105"/>
          <w:sz w:val="21"/>
        </w:rPr>
        <w:t> </w:t>
      </w:r>
      <w:r>
        <w:rPr>
          <w:w w:val="105"/>
          <w:sz w:val="21"/>
        </w:rPr>
        <w:t>obtained</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z w:val="21"/>
        </w:rPr>
        <w:t>whether the tree </w:t>
      </w:r>
      <w:r>
        <w:rPr>
          <w:spacing w:val="-2"/>
          <w:sz w:val="21"/>
        </w:rPr>
        <w:t>has </w:t>
      </w:r>
      <w:r>
        <w:rPr>
          <w:spacing w:val="-3"/>
          <w:sz w:val="21"/>
        </w:rPr>
        <w:t>any historical, </w:t>
      </w:r>
      <w:r>
        <w:rPr>
          <w:spacing w:val="-4"/>
          <w:sz w:val="21"/>
        </w:rPr>
        <w:t>cultural, </w:t>
      </w:r>
      <w:r>
        <w:rPr>
          <w:sz w:val="21"/>
        </w:rPr>
        <w:t>social or scientific</w:t>
      </w:r>
      <w:r>
        <w:rPr>
          <w:spacing w:val="14"/>
          <w:sz w:val="21"/>
        </w:rPr>
        <w:t> </w:t>
      </w:r>
      <w:r>
        <w:rPr>
          <w:spacing w:val="-3"/>
          <w:sz w:val="21"/>
        </w:rPr>
        <w:t>value</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sz w:val="21"/>
        </w:rPr>
        <w:t>any</w:t>
      </w:r>
      <w:r>
        <w:rPr>
          <w:spacing w:val="9"/>
          <w:sz w:val="21"/>
        </w:rPr>
        <w:t> </w:t>
      </w:r>
      <w:r>
        <w:rPr>
          <w:spacing w:val="-3"/>
          <w:sz w:val="21"/>
        </w:rPr>
        <w:t>contribution</w:t>
      </w:r>
      <w:r>
        <w:rPr>
          <w:spacing w:val="9"/>
          <w:sz w:val="21"/>
        </w:rPr>
        <w:t> </w:t>
      </w:r>
      <w:r>
        <w:rPr>
          <w:sz w:val="21"/>
        </w:rPr>
        <w:t>the</w:t>
      </w:r>
      <w:r>
        <w:rPr>
          <w:spacing w:val="10"/>
          <w:sz w:val="21"/>
        </w:rPr>
        <w:t> </w:t>
      </w:r>
      <w:r>
        <w:rPr>
          <w:sz w:val="21"/>
        </w:rPr>
        <w:t>tree</w:t>
      </w:r>
      <w:r>
        <w:rPr>
          <w:spacing w:val="9"/>
          <w:sz w:val="21"/>
        </w:rPr>
        <w:t> </w:t>
      </w:r>
      <w:r>
        <w:rPr>
          <w:spacing w:val="-3"/>
          <w:sz w:val="21"/>
        </w:rPr>
        <w:t>makes</w:t>
      </w:r>
      <w:r>
        <w:rPr>
          <w:spacing w:val="10"/>
          <w:sz w:val="21"/>
        </w:rPr>
        <w:t> </w:t>
      </w:r>
      <w:r>
        <w:rPr>
          <w:spacing w:val="-3"/>
          <w:sz w:val="21"/>
        </w:rPr>
        <w:t>to</w:t>
      </w:r>
      <w:r>
        <w:rPr>
          <w:spacing w:val="9"/>
          <w:sz w:val="21"/>
        </w:rPr>
        <w:t> </w:t>
      </w:r>
      <w:r>
        <w:rPr>
          <w:sz w:val="21"/>
        </w:rPr>
        <w:t>the</w:t>
      </w:r>
      <w:r>
        <w:rPr>
          <w:spacing w:val="9"/>
          <w:sz w:val="21"/>
        </w:rPr>
        <w:t> </w:t>
      </w:r>
      <w:r>
        <w:rPr>
          <w:sz w:val="21"/>
        </w:rPr>
        <w:t>local</w:t>
      </w:r>
      <w:r>
        <w:rPr>
          <w:spacing w:val="10"/>
          <w:sz w:val="21"/>
        </w:rPr>
        <w:t> </w:t>
      </w:r>
      <w:r>
        <w:rPr>
          <w:sz w:val="21"/>
        </w:rPr>
        <w:t>ecosystem</w:t>
      </w:r>
      <w:r>
        <w:rPr>
          <w:spacing w:val="9"/>
          <w:sz w:val="21"/>
        </w:rPr>
        <w:t> </w:t>
      </w:r>
      <w:r>
        <w:rPr>
          <w:sz w:val="21"/>
        </w:rPr>
        <w:t>and</w:t>
      </w:r>
      <w:r>
        <w:rPr>
          <w:spacing w:val="10"/>
          <w:sz w:val="21"/>
        </w:rPr>
        <w:t> </w:t>
      </w:r>
      <w:r>
        <w:rPr>
          <w:sz w:val="21"/>
        </w:rPr>
        <w:t>biodiversity</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pacing w:val="-3"/>
          <w:sz w:val="21"/>
        </w:rPr>
        <w:t>any</w:t>
      </w:r>
      <w:r>
        <w:rPr>
          <w:spacing w:val="9"/>
          <w:sz w:val="21"/>
        </w:rPr>
        <w:t> </w:t>
      </w:r>
      <w:r>
        <w:rPr>
          <w:spacing w:val="-3"/>
          <w:sz w:val="21"/>
        </w:rPr>
        <w:t>contribution</w:t>
      </w:r>
      <w:r>
        <w:rPr>
          <w:spacing w:val="9"/>
          <w:sz w:val="21"/>
        </w:rPr>
        <w:t> </w:t>
      </w:r>
      <w:r>
        <w:rPr>
          <w:sz w:val="21"/>
        </w:rPr>
        <w:t>the</w:t>
      </w:r>
      <w:r>
        <w:rPr>
          <w:spacing w:val="9"/>
          <w:sz w:val="21"/>
        </w:rPr>
        <w:t> </w:t>
      </w:r>
      <w:r>
        <w:rPr>
          <w:sz w:val="21"/>
        </w:rPr>
        <w:t>tree</w:t>
      </w:r>
      <w:r>
        <w:rPr>
          <w:spacing w:val="9"/>
          <w:sz w:val="21"/>
        </w:rPr>
        <w:t> </w:t>
      </w:r>
      <w:r>
        <w:rPr>
          <w:spacing w:val="-3"/>
          <w:sz w:val="21"/>
        </w:rPr>
        <w:t>makes</w:t>
      </w:r>
      <w:r>
        <w:rPr>
          <w:spacing w:val="9"/>
          <w:sz w:val="21"/>
        </w:rPr>
        <w:t> </w:t>
      </w:r>
      <w:r>
        <w:rPr>
          <w:spacing w:val="-3"/>
          <w:sz w:val="21"/>
        </w:rPr>
        <w:t>to</w:t>
      </w:r>
      <w:r>
        <w:rPr>
          <w:spacing w:val="9"/>
          <w:sz w:val="21"/>
        </w:rPr>
        <w:t> </w:t>
      </w:r>
      <w:r>
        <w:rPr>
          <w:spacing w:val="-3"/>
          <w:sz w:val="21"/>
        </w:rPr>
        <w:t>public</w:t>
      </w:r>
      <w:r>
        <w:rPr>
          <w:spacing w:val="9"/>
          <w:sz w:val="21"/>
        </w:rPr>
        <w:t> </w:t>
      </w:r>
      <w:r>
        <w:rPr>
          <w:sz w:val="21"/>
        </w:rPr>
        <w:t>amenity</w:t>
      </w:r>
    </w:p>
    <w:p>
      <w:pPr>
        <w:pStyle w:val="BodyText"/>
        <w:rPr>
          <w:sz w:val="20"/>
        </w:rPr>
      </w:pPr>
    </w:p>
    <w:p>
      <w:pPr>
        <w:pStyle w:val="BodyText"/>
        <w:rPr>
          <w:sz w:val="20"/>
        </w:rPr>
      </w:pPr>
    </w:p>
    <w:p>
      <w:pPr>
        <w:pStyle w:val="BodyText"/>
        <w:spacing w:before="11"/>
        <w:rPr>
          <w:sz w:val="19"/>
        </w:rPr>
      </w:pPr>
      <w:r>
        <w:rPr/>
        <w:pict>
          <v:line style="position:absolute;mso-position-horizontal-relative:page;mso-position-vertical-relative:paragraph;z-index:7616;mso-wrap-distance-left:0;mso-wrap-distance-right:0" from="79.370102pt,14.63735pt" to="515.905102pt,14.6373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27"/>
        </w:numPr>
        <w:tabs>
          <w:tab w:pos="2380" w:val="left" w:leader="none"/>
          <w:tab w:pos="2382" w:val="left" w:leader="none"/>
        </w:tabs>
        <w:spacing w:line="240" w:lineRule="auto" w:before="48" w:after="0"/>
        <w:ind w:left="2381" w:right="0" w:hanging="794"/>
        <w:jc w:val="left"/>
        <w:rPr>
          <w:sz w:val="13"/>
        </w:rPr>
      </w:pPr>
      <w:r>
        <w:rPr>
          <w:w w:val="105"/>
          <w:sz w:val="13"/>
        </w:rPr>
        <w:t>Consultation 8 (City of</w:t>
      </w:r>
      <w:r>
        <w:rPr>
          <w:spacing w:val="19"/>
          <w:w w:val="105"/>
          <w:sz w:val="13"/>
        </w:rPr>
        <w:t> </w:t>
      </w:r>
      <w:r>
        <w:rPr>
          <w:w w:val="105"/>
          <w:sz w:val="13"/>
        </w:rPr>
        <w:t>Boroondara).</w:t>
      </w:r>
    </w:p>
    <w:p>
      <w:pPr>
        <w:pStyle w:val="ListParagraph"/>
        <w:numPr>
          <w:ilvl w:val="0"/>
          <w:numId w:val="127"/>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27"/>
        </w:numPr>
        <w:tabs>
          <w:tab w:pos="2380"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127"/>
        </w:numPr>
        <w:tabs>
          <w:tab w:pos="2380" w:val="left" w:leader="none"/>
          <w:tab w:pos="2382" w:val="left" w:leader="none"/>
        </w:tabs>
        <w:spacing w:line="240" w:lineRule="auto" w:before="1" w:after="0"/>
        <w:ind w:left="2381" w:right="7" w:hanging="794"/>
        <w:jc w:val="left"/>
        <w:rPr>
          <w:sz w:val="13"/>
        </w:rPr>
      </w:pPr>
      <w:r>
        <w:rPr>
          <w:i/>
          <w:w w:val="105"/>
          <w:sz w:val="13"/>
        </w:rPr>
        <w:t>Local Law No.1 (Community Amenity) </w:t>
      </w:r>
      <w:r>
        <w:rPr>
          <w:i/>
          <w:spacing w:val="-3"/>
          <w:w w:val="105"/>
          <w:sz w:val="13"/>
        </w:rPr>
        <w:t>2013 </w:t>
      </w:r>
      <w:r>
        <w:rPr>
          <w:w w:val="105"/>
          <w:sz w:val="13"/>
        </w:rPr>
        <w:t>(City of Port Phillip) defines a significant tree as </w:t>
      </w:r>
      <w:r>
        <w:rPr>
          <w:spacing w:val="-3"/>
          <w:w w:val="105"/>
          <w:sz w:val="13"/>
        </w:rPr>
        <w:t>‘a </w:t>
      </w:r>
      <w:r>
        <w:rPr>
          <w:w w:val="105"/>
          <w:sz w:val="13"/>
        </w:rPr>
        <w:t>tree or palm on private land: with a trunk circumference or 150 centimetres or greater, measured 1 metre above the ground; or with multiple stems where the circumference of its exterior</w:t>
      </w:r>
      <w:r>
        <w:rPr>
          <w:spacing w:val="4"/>
          <w:w w:val="105"/>
          <w:sz w:val="13"/>
        </w:rPr>
        <w:t> </w:t>
      </w:r>
      <w:r>
        <w:rPr>
          <w:w w:val="105"/>
          <w:sz w:val="13"/>
        </w:rPr>
        <w:t>stems</w:t>
      </w:r>
      <w:r>
        <w:rPr>
          <w:spacing w:val="4"/>
          <w:w w:val="105"/>
          <w:sz w:val="13"/>
        </w:rPr>
        <w:t> </w:t>
      </w:r>
      <w:r>
        <w:rPr>
          <w:w w:val="105"/>
          <w:sz w:val="13"/>
        </w:rPr>
        <w:t>is</w:t>
      </w:r>
      <w:r>
        <w:rPr>
          <w:spacing w:val="4"/>
          <w:w w:val="105"/>
          <w:sz w:val="13"/>
        </w:rPr>
        <w:t> </w:t>
      </w:r>
      <w:r>
        <w:rPr>
          <w:w w:val="105"/>
          <w:sz w:val="13"/>
        </w:rPr>
        <w:t>equal</w:t>
      </w:r>
      <w:r>
        <w:rPr>
          <w:spacing w:val="4"/>
          <w:w w:val="105"/>
          <w:sz w:val="13"/>
        </w:rPr>
        <w:t> </w:t>
      </w:r>
      <w:r>
        <w:rPr>
          <w:w w:val="105"/>
          <w:sz w:val="13"/>
        </w:rPr>
        <w:t>to,</w:t>
      </w:r>
      <w:r>
        <w:rPr>
          <w:spacing w:val="4"/>
          <w:w w:val="105"/>
          <w:sz w:val="13"/>
        </w:rPr>
        <w:t> </w:t>
      </w:r>
      <w:r>
        <w:rPr>
          <w:w w:val="105"/>
          <w:sz w:val="13"/>
        </w:rPr>
        <w:t>or</w:t>
      </w:r>
      <w:r>
        <w:rPr>
          <w:spacing w:val="4"/>
          <w:w w:val="105"/>
          <w:sz w:val="13"/>
        </w:rPr>
        <w:t> </w:t>
      </w:r>
      <w:r>
        <w:rPr>
          <w:w w:val="105"/>
          <w:sz w:val="13"/>
        </w:rPr>
        <w:t>greater</w:t>
      </w:r>
      <w:r>
        <w:rPr>
          <w:spacing w:val="4"/>
          <w:w w:val="105"/>
          <w:sz w:val="13"/>
        </w:rPr>
        <w:t> </w:t>
      </w:r>
      <w:r>
        <w:rPr>
          <w:w w:val="105"/>
          <w:sz w:val="13"/>
        </w:rPr>
        <w:t>than</w:t>
      </w:r>
      <w:r>
        <w:rPr>
          <w:spacing w:val="4"/>
          <w:w w:val="105"/>
          <w:sz w:val="13"/>
        </w:rPr>
        <w:t> </w:t>
      </w:r>
      <w:r>
        <w:rPr>
          <w:w w:val="105"/>
          <w:sz w:val="13"/>
        </w:rPr>
        <w:t>150</w:t>
      </w:r>
      <w:r>
        <w:rPr>
          <w:spacing w:val="4"/>
          <w:w w:val="105"/>
          <w:sz w:val="13"/>
        </w:rPr>
        <w:t> </w:t>
      </w:r>
      <w:r>
        <w:rPr>
          <w:w w:val="105"/>
          <w:sz w:val="13"/>
        </w:rPr>
        <w:t>centimetres</w:t>
      </w:r>
      <w:r>
        <w:rPr>
          <w:spacing w:val="5"/>
          <w:w w:val="105"/>
          <w:sz w:val="13"/>
        </w:rPr>
        <w:t> </w:t>
      </w:r>
      <w:r>
        <w:rPr>
          <w:w w:val="105"/>
          <w:sz w:val="13"/>
        </w:rPr>
        <w:t>when</w:t>
      </w:r>
      <w:r>
        <w:rPr>
          <w:spacing w:val="4"/>
          <w:w w:val="105"/>
          <w:sz w:val="13"/>
        </w:rPr>
        <w:t> </w:t>
      </w:r>
      <w:r>
        <w:rPr>
          <w:w w:val="105"/>
          <w:sz w:val="13"/>
        </w:rPr>
        <w:t>measured</w:t>
      </w:r>
      <w:r>
        <w:rPr>
          <w:spacing w:val="4"/>
          <w:w w:val="105"/>
          <w:sz w:val="13"/>
        </w:rPr>
        <w:t> </w:t>
      </w:r>
      <w:r>
        <w:rPr>
          <w:w w:val="105"/>
          <w:sz w:val="13"/>
        </w:rPr>
        <w:t>1</w:t>
      </w:r>
      <w:r>
        <w:rPr>
          <w:spacing w:val="4"/>
          <w:w w:val="105"/>
          <w:sz w:val="13"/>
        </w:rPr>
        <w:t> </w:t>
      </w:r>
      <w:r>
        <w:rPr>
          <w:w w:val="105"/>
          <w:sz w:val="13"/>
        </w:rPr>
        <w:t>metre</w:t>
      </w:r>
      <w:r>
        <w:rPr>
          <w:spacing w:val="4"/>
          <w:w w:val="105"/>
          <w:sz w:val="13"/>
        </w:rPr>
        <w:t> </w:t>
      </w:r>
      <w:r>
        <w:rPr>
          <w:w w:val="105"/>
          <w:sz w:val="13"/>
        </w:rPr>
        <w:t>about</w:t>
      </w:r>
      <w:r>
        <w:rPr>
          <w:spacing w:val="4"/>
          <w:w w:val="105"/>
          <w:sz w:val="13"/>
        </w:rPr>
        <w:t> </w:t>
      </w:r>
      <w:r>
        <w:rPr>
          <w:w w:val="105"/>
          <w:sz w:val="13"/>
        </w:rPr>
        <w:t>ground</w:t>
      </w:r>
      <w:r>
        <w:rPr>
          <w:spacing w:val="4"/>
          <w:w w:val="105"/>
          <w:sz w:val="13"/>
        </w:rPr>
        <w:t> </w:t>
      </w:r>
      <w:r>
        <w:rPr>
          <w:w w:val="105"/>
          <w:sz w:val="13"/>
        </w:rPr>
        <w:t>level’.</w:t>
      </w:r>
    </w:p>
    <w:p>
      <w:pPr>
        <w:pStyle w:val="ListParagraph"/>
        <w:numPr>
          <w:ilvl w:val="0"/>
          <w:numId w:val="127"/>
        </w:numPr>
        <w:tabs>
          <w:tab w:pos="2380" w:val="left" w:leader="none"/>
          <w:tab w:pos="2382" w:val="left" w:leader="none"/>
        </w:tabs>
        <w:spacing w:line="240" w:lineRule="auto" w:before="4" w:after="0"/>
        <w:ind w:left="2381" w:right="0" w:hanging="794"/>
        <w:jc w:val="left"/>
        <w:rPr>
          <w:sz w:val="13"/>
        </w:rPr>
      </w:pPr>
      <w:r>
        <w:rPr>
          <w:w w:val="105"/>
          <w:sz w:val="13"/>
        </w:rPr>
        <w:t>Consultation </w:t>
      </w:r>
      <w:r>
        <w:rPr>
          <w:spacing w:val="-4"/>
          <w:w w:val="105"/>
          <w:sz w:val="13"/>
        </w:rPr>
        <w:t>12 </w:t>
      </w:r>
      <w:r>
        <w:rPr>
          <w:w w:val="105"/>
          <w:sz w:val="13"/>
        </w:rPr>
        <w:t>(City of Port Phillip).</w:t>
      </w:r>
    </w:p>
    <w:p>
      <w:pPr>
        <w:pStyle w:val="ListParagraph"/>
        <w:numPr>
          <w:ilvl w:val="0"/>
          <w:numId w:val="127"/>
        </w:numPr>
        <w:tabs>
          <w:tab w:pos="2380" w:val="left" w:leader="none"/>
          <w:tab w:pos="2382" w:val="left" w:leader="none"/>
        </w:tabs>
        <w:spacing w:line="240" w:lineRule="auto" w:before="1" w:after="0"/>
        <w:ind w:left="2381" w:right="0" w:hanging="794"/>
        <w:jc w:val="left"/>
        <w:rPr>
          <w:sz w:val="13"/>
        </w:rPr>
      </w:pPr>
      <w:r>
        <w:rPr>
          <w:i/>
          <w:w w:val="105"/>
          <w:sz w:val="13"/>
        </w:rPr>
        <w:t>Local Law No 1 (Community Amenity) </w:t>
      </w:r>
      <w:r>
        <w:rPr>
          <w:i/>
          <w:spacing w:val="-3"/>
          <w:w w:val="105"/>
          <w:sz w:val="13"/>
        </w:rPr>
        <w:t>2013 </w:t>
      </w:r>
      <w:r>
        <w:rPr>
          <w:w w:val="105"/>
          <w:sz w:val="13"/>
        </w:rPr>
        <w:t>(City of Port Phillip) s </w:t>
      </w:r>
      <w:r>
        <w:rPr>
          <w:spacing w:val="2"/>
          <w:w w:val="105"/>
          <w:sz w:val="13"/>
        </w:rPr>
        <w:t>44(1). </w:t>
      </w:r>
      <w:r>
        <w:rPr>
          <w:w w:val="105"/>
          <w:sz w:val="13"/>
        </w:rPr>
        <w:t>Note that a permit does not apply where an adjacent landowner removes branches which overhang that adjacent</w:t>
      </w:r>
      <w:r>
        <w:rPr>
          <w:spacing w:val="27"/>
          <w:w w:val="105"/>
          <w:sz w:val="13"/>
        </w:rPr>
        <w:t> </w:t>
      </w:r>
      <w:r>
        <w:rPr>
          <w:w w:val="105"/>
          <w:sz w:val="13"/>
        </w:rPr>
        <w:t>land.</w:t>
      </w:r>
    </w:p>
    <w:p>
      <w:pPr>
        <w:pStyle w:val="ListParagraph"/>
        <w:numPr>
          <w:ilvl w:val="0"/>
          <w:numId w:val="127"/>
        </w:numPr>
        <w:tabs>
          <w:tab w:pos="2380"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127"/>
        </w:numPr>
        <w:tabs>
          <w:tab w:pos="2381" w:val="left" w:leader="none"/>
          <w:tab w:pos="2382" w:val="left" w:leader="none"/>
        </w:tabs>
        <w:spacing w:line="240" w:lineRule="auto" w:before="1" w:after="0"/>
        <w:ind w:left="2381" w:right="0" w:hanging="794"/>
        <w:jc w:val="left"/>
        <w:rPr>
          <w:sz w:val="13"/>
        </w:rPr>
      </w:pPr>
      <w:r>
        <w:rPr>
          <w:i/>
          <w:w w:val="105"/>
          <w:sz w:val="13"/>
        </w:rPr>
        <w:t>Trees</w:t>
      </w:r>
      <w:r>
        <w:rPr>
          <w:i/>
          <w:spacing w:val="9"/>
          <w:w w:val="105"/>
          <w:sz w:val="13"/>
        </w:rPr>
        <w:t> </w:t>
      </w:r>
      <w:r>
        <w:rPr>
          <w:i/>
          <w:w w:val="105"/>
          <w:sz w:val="13"/>
        </w:rPr>
        <w:t>(Disputes</w:t>
      </w:r>
      <w:r>
        <w:rPr>
          <w:i/>
          <w:spacing w:val="10"/>
          <w:w w:val="105"/>
          <w:sz w:val="13"/>
        </w:rPr>
        <w:t> </w:t>
      </w:r>
      <w:r>
        <w:rPr>
          <w:i/>
          <w:w w:val="105"/>
          <w:sz w:val="13"/>
        </w:rPr>
        <w:t>Between</w:t>
      </w:r>
      <w:r>
        <w:rPr>
          <w:i/>
          <w:spacing w:val="9"/>
          <w:w w:val="105"/>
          <w:sz w:val="13"/>
        </w:rPr>
        <w:t> </w:t>
      </w:r>
      <w:r>
        <w:rPr>
          <w:i/>
          <w:w w:val="105"/>
          <w:sz w:val="13"/>
        </w:rPr>
        <w:t>Neighbours)</w:t>
      </w:r>
      <w:r>
        <w:rPr>
          <w:i/>
          <w:spacing w:val="10"/>
          <w:w w:val="105"/>
          <w:sz w:val="13"/>
        </w:rPr>
        <w:t> </w:t>
      </w:r>
      <w:r>
        <w:rPr>
          <w:i/>
          <w:w w:val="105"/>
          <w:sz w:val="13"/>
        </w:rPr>
        <w:t>Act</w:t>
      </w:r>
      <w:r>
        <w:rPr>
          <w:i/>
          <w:spacing w:val="9"/>
          <w:w w:val="105"/>
          <w:sz w:val="13"/>
        </w:rPr>
        <w:t> </w:t>
      </w:r>
      <w:r>
        <w:rPr>
          <w:i/>
          <w:w w:val="105"/>
          <w:sz w:val="13"/>
        </w:rPr>
        <w:t>2006</w:t>
      </w:r>
      <w:r>
        <w:rPr>
          <w:i/>
          <w:spacing w:val="10"/>
          <w:w w:val="105"/>
          <w:sz w:val="13"/>
        </w:rPr>
        <w:t> </w:t>
      </w:r>
      <w:r>
        <w:rPr>
          <w:spacing w:val="3"/>
          <w:w w:val="105"/>
          <w:sz w:val="13"/>
        </w:rPr>
        <w:t>(NSW)</w:t>
      </w:r>
      <w:r>
        <w:rPr>
          <w:spacing w:val="10"/>
          <w:w w:val="105"/>
          <w:sz w:val="13"/>
        </w:rPr>
        <w:t> </w:t>
      </w:r>
      <w:r>
        <w:rPr>
          <w:w w:val="105"/>
          <w:sz w:val="13"/>
        </w:rPr>
        <w:t>s</w:t>
      </w:r>
      <w:r>
        <w:rPr>
          <w:spacing w:val="9"/>
          <w:w w:val="105"/>
          <w:sz w:val="13"/>
        </w:rPr>
        <w:t> </w:t>
      </w:r>
      <w:r>
        <w:rPr>
          <w:spacing w:val="-3"/>
          <w:w w:val="105"/>
          <w:sz w:val="13"/>
        </w:rPr>
        <w:t>12;</w:t>
      </w:r>
      <w:r>
        <w:rPr>
          <w:spacing w:val="10"/>
          <w:w w:val="105"/>
          <w:sz w:val="13"/>
        </w:rPr>
        <w:t> </w:t>
      </w:r>
      <w:r>
        <w:rPr>
          <w:i/>
          <w:w w:val="105"/>
          <w:sz w:val="13"/>
        </w:rPr>
        <w:t>Neighbourhood</w:t>
      </w:r>
      <w:r>
        <w:rPr>
          <w:i/>
          <w:spacing w:val="9"/>
          <w:w w:val="105"/>
          <w:sz w:val="13"/>
        </w:rPr>
        <w:t> </w:t>
      </w:r>
      <w:r>
        <w:rPr>
          <w:i/>
          <w:w w:val="105"/>
          <w:sz w:val="13"/>
        </w:rPr>
        <w:t>Disputes</w:t>
      </w:r>
      <w:r>
        <w:rPr>
          <w:i/>
          <w:spacing w:val="10"/>
          <w:w w:val="105"/>
          <w:sz w:val="13"/>
        </w:rPr>
        <w:t> </w:t>
      </w:r>
      <w:r>
        <w:rPr>
          <w:i/>
          <w:w w:val="105"/>
          <w:sz w:val="13"/>
        </w:rPr>
        <w:t>(Dividing</w:t>
      </w:r>
      <w:r>
        <w:rPr>
          <w:i/>
          <w:spacing w:val="9"/>
          <w:w w:val="105"/>
          <w:sz w:val="13"/>
        </w:rPr>
        <w:t> </w:t>
      </w:r>
      <w:r>
        <w:rPr>
          <w:i/>
          <w:w w:val="105"/>
          <w:sz w:val="13"/>
        </w:rPr>
        <w:t>Fences</w:t>
      </w:r>
      <w:r>
        <w:rPr>
          <w:i/>
          <w:spacing w:val="10"/>
          <w:w w:val="105"/>
          <w:sz w:val="13"/>
        </w:rPr>
        <w:t> </w:t>
      </w:r>
      <w:r>
        <w:rPr>
          <w:i/>
          <w:w w:val="105"/>
          <w:sz w:val="13"/>
        </w:rPr>
        <w:t>and</w:t>
      </w:r>
      <w:r>
        <w:rPr>
          <w:i/>
          <w:spacing w:val="9"/>
          <w:w w:val="105"/>
          <w:sz w:val="13"/>
        </w:rPr>
        <w:t> </w:t>
      </w:r>
      <w:r>
        <w:rPr>
          <w:i/>
          <w:w w:val="105"/>
          <w:sz w:val="13"/>
        </w:rPr>
        <w:t>Trees)</w:t>
      </w:r>
      <w:r>
        <w:rPr>
          <w:i/>
          <w:spacing w:val="10"/>
          <w:w w:val="105"/>
          <w:sz w:val="13"/>
        </w:rPr>
        <w:t> </w:t>
      </w:r>
      <w:r>
        <w:rPr>
          <w:i/>
          <w:w w:val="105"/>
          <w:sz w:val="13"/>
        </w:rPr>
        <w:t>Act</w:t>
      </w:r>
      <w:r>
        <w:rPr>
          <w:i/>
          <w:spacing w:val="10"/>
          <w:w w:val="105"/>
          <w:sz w:val="13"/>
        </w:rPr>
        <w:t> </w:t>
      </w:r>
      <w:r>
        <w:rPr>
          <w:i/>
          <w:spacing w:val="-4"/>
          <w:w w:val="105"/>
          <w:sz w:val="13"/>
        </w:rPr>
        <w:t>2011</w:t>
      </w:r>
      <w:r>
        <w:rPr>
          <w:i/>
          <w:spacing w:val="9"/>
          <w:w w:val="105"/>
          <w:sz w:val="13"/>
        </w:rPr>
        <w:t> </w:t>
      </w:r>
      <w:r>
        <w:rPr>
          <w:spacing w:val="2"/>
          <w:w w:val="105"/>
          <w:sz w:val="13"/>
        </w:rPr>
        <w:t>(Qld)</w:t>
      </w:r>
      <w:r>
        <w:rPr>
          <w:spacing w:val="10"/>
          <w:w w:val="105"/>
          <w:sz w:val="13"/>
        </w:rPr>
        <w:t> </w:t>
      </w:r>
      <w:r>
        <w:rPr>
          <w:w w:val="105"/>
          <w:sz w:val="13"/>
        </w:rPr>
        <w:t>s</w:t>
      </w:r>
      <w:r>
        <w:rPr>
          <w:spacing w:val="9"/>
          <w:w w:val="105"/>
          <w:sz w:val="13"/>
        </w:rPr>
        <w:t> </w:t>
      </w:r>
      <w:r>
        <w:rPr>
          <w:w w:val="105"/>
          <w:sz w:val="13"/>
        </w:rPr>
        <w:t>73;</w:t>
      </w:r>
    </w:p>
    <w:p>
      <w:pPr>
        <w:spacing w:before="2"/>
        <w:ind w:left="2381" w:right="0" w:firstLine="0"/>
        <w:jc w:val="left"/>
        <w:rPr>
          <w:sz w:val="13"/>
        </w:rPr>
      </w:pPr>
      <w:r>
        <w:rPr>
          <w:i/>
          <w:w w:val="105"/>
          <w:sz w:val="13"/>
        </w:rPr>
        <w:t>Neighbourhood Disputes About Plants Act 2017 </w:t>
      </w:r>
      <w:r>
        <w:rPr>
          <w:w w:val="105"/>
          <w:sz w:val="13"/>
        </w:rPr>
        <w:t>(Tas) s 30.</w:t>
      </w:r>
    </w:p>
    <w:p>
      <w:pPr>
        <w:pStyle w:val="ListParagraph"/>
        <w:numPr>
          <w:ilvl w:val="0"/>
          <w:numId w:val="127"/>
        </w:numPr>
        <w:tabs>
          <w:tab w:pos="2381" w:val="left" w:leader="none"/>
          <w:tab w:pos="2382" w:val="left" w:leader="none"/>
        </w:tabs>
        <w:spacing w:line="240" w:lineRule="auto" w:before="1"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3"/>
          <w:w w:val="105"/>
          <w:sz w:val="13"/>
        </w:rPr>
        <w:t> </w:t>
      </w:r>
      <w:r>
        <w:rPr>
          <w:w w:val="105"/>
          <w:sz w:val="13"/>
        </w:rPr>
        <w:t>Wales).</w:t>
      </w:r>
    </w:p>
    <w:p>
      <w:pPr>
        <w:pStyle w:val="ListParagraph"/>
        <w:numPr>
          <w:ilvl w:val="0"/>
          <w:numId w:val="127"/>
        </w:numPr>
        <w:tabs>
          <w:tab w:pos="2381" w:val="left" w:leader="none"/>
          <w:tab w:pos="2382" w:val="left" w:leader="none"/>
        </w:tabs>
        <w:spacing w:line="240" w:lineRule="auto" w:before="1" w:after="0"/>
        <w:ind w:left="2381" w:right="89" w:hanging="794"/>
        <w:jc w:val="left"/>
        <w:rPr>
          <w:sz w:val="13"/>
        </w:rPr>
      </w:pPr>
      <w:r>
        <w:rPr>
          <w:i/>
          <w:w w:val="105"/>
          <w:sz w:val="13"/>
        </w:rPr>
        <w:t>Neighbourhood Disputes About Plants Act </w:t>
      </w:r>
      <w:r>
        <w:rPr>
          <w:i/>
          <w:spacing w:val="-4"/>
          <w:w w:val="105"/>
          <w:sz w:val="13"/>
        </w:rPr>
        <w:t>2017  </w:t>
      </w:r>
      <w:r>
        <w:rPr>
          <w:w w:val="105"/>
          <w:sz w:val="13"/>
        </w:rPr>
        <w:t>(Tas) s </w:t>
      </w:r>
      <w:r>
        <w:rPr>
          <w:spacing w:val="2"/>
          <w:w w:val="105"/>
          <w:sz w:val="13"/>
        </w:rPr>
        <w:t>30; </w:t>
      </w:r>
      <w:r>
        <w:rPr>
          <w:w w:val="105"/>
          <w:sz w:val="13"/>
        </w:rPr>
        <w:t>see, eg, Tasmania, </w:t>
      </w:r>
      <w:r>
        <w:rPr>
          <w:i/>
          <w:w w:val="105"/>
          <w:sz w:val="13"/>
        </w:rPr>
        <w:t>Parliamentary Debates, House of Assembly, </w:t>
      </w:r>
      <w:r>
        <w:rPr>
          <w:w w:val="105"/>
          <w:sz w:val="13"/>
        </w:rPr>
        <w:t>4 April </w:t>
      </w:r>
      <w:r>
        <w:rPr>
          <w:spacing w:val="-5"/>
          <w:w w:val="105"/>
          <w:sz w:val="13"/>
        </w:rPr>
        <w:t>2017,       </w:t>
      </w:r>
      <w:r>
        <w:rPr>
          <w:w w:val="105"/>
          <w:sz w:val="13"/>
        </w:rPr>
        <w:t>6 </w:t>
      </w:r>
      <w:r>
        <w:rPr>
          <w:spacing w:val="2"/>
          <w:w w:val="105"/>
          <w:sz w:val="13"/>
        </w:rPr>
        <w:t>(Rene </w:t>
      </w:r>
      <w:r>
        <w:rPr>
          <w:w w:val="105"/>
          <w:sz w:val="13"/>
        </w:rPr>
        <w:t>Hidding); </w:t>
      </w:r>
      <w:r>
        <w:rPr>
          <w:i/>
          <w:w w:val="105"/>
          <w:sz w:val="13"/>
        </w:rPr>
        <w:t>Neighbourhood Disputes About Plants Bill</w:t>
      </w:r>
      <w:r>
        <w:rPr>
          <w:i/>
          <w:spacing w:val="20"/>
          <w:w w:val="105"/>
          <w:sz w:val="13"/>
        </w:rPr>
        <w:t> </w:t>
      </w:r>
      <w:r>
        <w:rPr>
          <w:i/>
          <w:spacing w:val="-4"/>
          <w:w w:val="105"/>
          <w:sz w:val="13"/>
        </w:rPr>
        <w:t>2017 </w:t>
      </w:r>
      <w:r>
        <w:rPr>
          <w:w w:val="105"/>
          <w:sz w:val="13"/>
        </w:rPr>
        <w:t>(Tas).</w:t>
      </w:r>
    </w:p>
    <w:p>
      <w:pPr>
        <w:pStyle w:val="ListParagraph"/>
        <w:numPr>
          <w:ilvl w:val="0"/>
          <w:numId w:val="127"/>
        </w:numPr>
        <w:tabs>
          <w:tab w:pos="2381" w:val="left" w:leader="none"/>
          <w:tab w:pos="2382" w:val="left" w:leader="none"/>
        </w:tabs>
        <w:spacing w:line="240" w:lineRule="auto" w:before="3" w:after="0"/>
        <w:ind w:left="2381" w:right="0" w:hanging="794"/>
        <w:jc w:val="left"/>
        <w:rPr>
          <w:i/>
          <w:sz w:val="13"/>
        </w:rPr>
      </w:pPr>
      <w:r>
        <w:rPr>
          <w:w w:val="105"/>
          <w:sz w:val="13"/>
        </w:rPr>
        <w:t>See</w:t>
      </w:r>
      <w:r>
        <w:rPr>
          <w:spacing w:val="10"/>
          <w:w w:val="105"/>
          <w:sz w:val="13"/>
        </w:rPr>
        <w:t> </w:t>
      </w:r>
      <w:r>
        <w:rPr>
          <w:w w:val="105"/>
          <w:sz w:val="13"/>
        </w:rPr>
        <w:t>generally</w:t>
      </w:r>
      <w:r>
        <w:rPr>
          <w:spacing w:val="11"/>
          <w:w w:val="105"/>
          <w:sz w:val="13"/>
        </w:rPr>
        <w:t> </w:t>
      </w:r>
      <w:r>
        <w:rPr>
          <w:i/>
          <w:w w:val="105"/>
          <w:sz w:val="13"/>
        </w:rPr>
        <w:t>Trees</w:t>
      </w:r>
      <w:r>
        <w:rPr>
          <w:i/>
          <w:spacing w:val="11"/>
          <w:w w:val="105"/>
          <w:sz w:val="13"/>
        </w:rPr>
        <w:t> </w:t>
      </w:r>
      <w:r>
        <w:rPr>
          <w:i/>
          <w:w w:val="105"/>
          <w:sz w:val="13"/>
        </w:rPr>
        <w:t>(Disputes</w:t>
      </w:r>
      <w:r>
        <w:rPr>
          <w:i/>
          <w:spacing w:val="11"/>
          <w:w w:val="105"/>
          <w:sz w:val="13"/>
        </w:rPr>
        <w:t> </w:t>
      </w:r>
      <w:r>
        <w:rPr>
          <w:i/>
          <w:w w:val="105"/>
          <w:sz w:val="13"/>
        </w:rPr>
        <w:t>Between</w:t>
      </w:r>
      <w:r>
        <w:rPr>
          <w:i/>
          <w:spacing w:val="11"/>
          <w:w w:val="105"/>
          <w:sz w:val="13"/>
        </w:rPr>
        <w:t> </w:t>
      </w:r>
      <w:r>
        <w:rPr>
          <w:i/>
          <w:w w:val="105"/>
          <w:sz w:val="13"/>
        </w:rPr>
        <w:t>Neighbours)</w:t>
      </w:r>
      <w:r>
        <w:rPr>
          <w:i/>
          <w:spacing w:val="11"/>
          <w:w w:val="105"/>
          <w:sz w:val="13"/>
        </w:rPr>
        <w:t> </w:t>
      </w:r>
      <w:r>
        <w:rPr>
          <w:i/>
          <w:w w:val="105"/>
          <w:sz w:val="13"/>
        </w:rPr>
        <w:t>Act</w:t>
      </w:r>
      <w:r>
        <w:rPr>
          <w:i/>
          <w:spacing w:val="11"/>
          <w:w w:val="105"/>
          <w:sz w:val="13"/>
        </w:rPr>
        <w:t> </w:t>
      </w:r>
      <w:r>
        <w:rPr>
          <w:i/>
          <w:w w:val="105"/>
          <w:sz w:val="13"/>
        </w:rPr>
        <w:t>2006</w:t>
      </w:r>
      <w:r>
        <w:rPr>
          <w:i/>
          <w:spacing w:val="11"/>
          <w:w w:val="105"/>
          <w:sz w:val="13"/>
        </w:rPr>
        <w:t> </w:t>
      </w:r>
      <w:r>
        <w:rPr>
          <w:spacing w:val="3"/>
          <w:w w:val="105"/>
          <w:sz w:val="13"/>
        </w:rPr>
        <w:t>(NSW)</w:t>
      </w:r>
      <w:r>
        <w:rPr>
          <w:spacing w:val="11"/>
          <w:w w:val="105"/>
          <w:sz w:val="13"/>
        </w:rPr>
        <w:t> </w:t>
      </w:r>
      <w:r>
        <w:rPr>
          <w:w w:val="105"/>
          <w:sz w:val="13"/>
        </w:rPr>
        <w:t>s</w:t>
      </w:r>
      <w:r>
        <w:rPr>
          <w:spacing w:val="11"/>
          <w:w w:val="105"/>
          <w:sz w:val="13"/>
        </w:rPr>
        <w:t> </w:t>
      </w:r>
      <w:r>
        <w:rPr>
          <w:spacing w:val="-3"/>
          <w:w w:val="105"/>
          <w:sz w:val="13"/>
        </w:rPr>
        <w:t>12;</w:t>
      </w:r>
      <w:r>
        <w:rPr>
          <w:spacing w:val="11"/>
          <w:w w:val="105"/>
          <w:sz w:val="13"/>
        </w:rPr>
        <w:t> </w:t>
      </w:r>
      <w:r>
        <w:rPr>
          <w:i/>
          <w:w w:val="105"/>
          <w:sz w:val="13"/>
        </w:rPr>
        <w:t>Neighbourhood</w:t>
      </w:r>
      <w:r>
        <w:rPr>
          <w:i/>
          <w:spacing w:val="11"/>
          <w:w w:val="105"/>
          <w:sz w:val="13"/>
        </w:rPr>
        <w:t> </w:t>
      </w:r>
      <w:r>
        <w:rPr>
          <w:i/>
          <w:w w:val="105"/>
          <w:sz w:val="13"/>
        </w:rPr>
        <w:t>Disputes</w:t>
      </w:r>
      <w:r>
        <w:rPr>
          <w:i/>
          <w:spacing w:val="11"/>
          <w:w w:val="105"/>
          <w:sz w:val="13"/>
        </w:rPr>
        <w:t> </w:t>
      </w:r>
      <w:r>
        <w:rPr>
          <w:i/>
          <w:w w:val="105"/>
          <w:sz w:val="13"/>
        </w:rPr>
        <w:t>(Dividing</w:t>
      </w:r>
      <w:r>
        <w:rPr>
          <w:i/>
          <w:spacing w:val="11"/>
          <w:w w:val="105"/>
          <w:sz w:val="13"/>
        </w:rPr>
        <w:t> </w:t>
      </w:r>
      <w:r>
        <w:rPr>
          <w:i/>
          <w:w w:val="105"/>
          <w:sz w:val="13"/>
        </w:rPr>
        <w:t>Fences</w:t>
      </w:r>
      <w:r>
        <w:rPr>
          <w:i/>
          <w:spacing w:val="11"/>
          <w:w w:val="105"/>
          <w:sz w:val="13"/>
        </w:rPr>
        <w:t> </w:t>
      </w:r>
      <w:r>
        <w:rPr>
          <w:i/>
          <w:w w:val="105"/>
          <w:sz w:val="13"/>
        </w:rPr>
        <w:t>and</w:t>
      </w:r>
      <w:r>
        <w:rPr>
          <w:i/>
          <w:spacing w:val="11"/>
          <w:w w:val="105"/>
          <w:sz w:val="13"/>
        </w:rPr>
        <w:t> </w:t>
      </w:r>
      <w:r>
        <w:rPr>
          <w:i/>
          <w:w w:val="105"/>
          <w:sz w:val="13"/>
        </w:rPr>
        <w:t>Trees)</w:t>
      </w:r>
      <w:r>
        <w:rPr>
          <w:i/>
          <w:spacing w:val="11"/>
          <w:w w:val="105"/>
          <w:sz w:val="13"/>
        </w:rPr>
        <w:t> </w:t>
      </w:r>
      <w:r>
        <w:rPr>
          <w:i/>
          <w:w w:val="105"/>
          <w:sz w:val="13"/>
        </w:rPr>
        <w:t>Act</w:t>
      </w:r>
      <w:r>
        <w:rPr>
          <w:i/>
          <w:spacing w:val="11"/>
          <w:w w:val="105"/>
          <w:sz w:val="13"/>
        </w:rPr>
        <w:t> </w:t>
      </w:r>
      <w:r>
        <w:rPr>
          <w:i/>
          <w:spacing w:val="-4"/>
          <w:w w:val="105"/>
          <w:sz w:val="13"/>
        </w:rPr>
        <w:t>2011</w:t>
      </w:r>
    </w:p>
    <w:p>
      <w:pPr>
        <w:spacing w:before="1"/>
        <w:ind w:left="2381" w:right="0" w:firstLine="0"/>
        <w:jc w:val="left"/>
        <w:rPr>
          <w:sz w:val="13"/>
        </w:rPr>
      </w:pPr>
      <w:r>
        <w:rPr>
          <w:w w:val="105"/>
          <w:sz w:val="13"/>
        </w:rPr>
        <w:t>(Qld) s 73; </w:t>
      </w:r>
      <w:r>
        <w:rPr>
          <w:i/>
          <w:w w:val="105"/>
          <w:sz w:val="13"/>
        </w:rPr>
        <w:t>Neighbourhood Disputes About Plants Act 2017 </w:t>
      </w:r>
      <w:r>
        <w:rPr>
          <w:w w:val="105"/>
          <w:sz w:val="13"/>
        </w:rPr>
        <w:t>(Tas) s 30.</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7"/>
        </w:rPr>
      </w:pPr>
    </w:p>
    <w:p>
      <w:pPr>
        <w:spacing w:before="0"/>
        <w:ind w:left="729" w:right="575" w:firstLine="0"/>
        <w:jc w:val="center"/>
        <w:rPr>
          <w:b/>
          <w:sz w:val="24"/>
        </w:rPr>
      </w:pPr>
      <w:r>
        <w:rPr>
          <w:b/>
          <w:color w:val="658464"/>
          <w:w w:val="110"/>
          <w:sz w:val="24"/>
        </w:rPr>
        <w:t>165</w:t>
      </w:r>
    </w:p>
    <w:p>
      <w:pPr>
        <w:spacing w:after="0"/>
        <w:jc w:val="center"/>
        <w:rPr>
          <w:sz w:val="24"/>
        </w:rPr>
        <w:sectPr>
          <w:type w:val="continuous"/>
          <w:pgSz w:w="11910" w:h="16840"/>
          <w:pgMar w:top="300" w:bottom="280" w:left="0" w:right="0"/>
          <w:cols w:num="2" w:equalWidth="0">
            <w:col w:w="10124" w:space="40"/>
            <w:col w:w="1746"/>
          </w:cols>
        </w:sectPr>
      </w:pPr>
    </w:p>
    <w:p>
      <w:pPr>
        <w:pStyle w:val="BodyText"/>
        <w:spacing w:before="9"/>
        <w:rPr>
          <w:b/>
          <w:sz w:val="22"/>
        </w:rPr>
      </w:pPr>
    </w:p>
    <w:p>
      <w:pPr>
        <w:pStyle w:val="ListParagraph"/>
        <w:numPr>
          <w:ilvl w:val="1"/>
          <w:numId w:val="127"/>
        </w:numPr>
        <w:tabs>
          <w:tab w:pos="2721" w:val="left" w:leader="none"/>
          <w:tab w:pos="2722" w:val="left" w:leader="none"/>
        </w:tabs>
        <w:spacing w:line="242" w:lineRule="auto" w:before="92" w:after="0"/>
        <w:ind w:left="2721" w:right="1724" w:hanging="340"/>
        <w:jc w:val="left"/>
        <w:rPr>
          <w:sz w:val="21"/>
        </w:rPr>
      </w:pPr>
      <w:r>
        <w:rPr>
          <w:spacing w:val="-3"/>
          <w:w w:val="105"/>
          <w:sz w:val="21"/>
        </w:rPr>
        <w:t>any contribution </w:t>
      </w:r>
      <w:r>
        <w:rPr>
          <w:w w:val="105"/>
          <w:sz w:val="21"/>
        </w:rPr>
        <w:t>the tree </w:t>
      </w:r>
      <w:r>
        <w:rPr>
          <w:spacing w:val="-3"/>
          <w:w w:val="105"/>
          <w:sz w:val="21"/>
        </w:rPr>
        <w:t>makes to </w:t>
      </w:r>
      <w:r>
        <w:rPr>
          <w:w w:val="105"/>
          <w:sz w:val="21"/>
        </w:rPr>
        <w:t>the </w:t>
      </w:r>
      <w:r>
        <w:rPr>
          <w:spacing w:val="-3"/>
          <w:w w:val="105"/>
          <w:sz w:val="21"/>
        </w:rPr>
        <w:t>natural landscape, </w:t>
      </w:r>
      <w:r>
        <w:rPr>
          <w:w w:val="105"/>
          <w:sz w:val="21"/>
        </w:rPr>
        <w:t>garden </w:t>
      </w:r>
      <w:r>
        <w:rPr>
          <w:spacing w:val="-3"/>
          <w:w w:val="105"/>
          <w:sz w:val="21"/>
        </w:rPr>
        <w:t>design, </w:t>
      </w:r>
      <w:r>
        <w:rPr>
          <w:w w:val="105"/>
          <w:sz w:val="21"/>
        </w:rPr>
        <w:t>privacy and protection </w:t>
      </w:r>
      <w:r>
        <w:rPr>
          <w:spacing w:val="-3"/>
          <w:w w:val="105"/>
          <w:sz w:val="21"/>
        </w:rPr>
        <w:t>from natural</w:t>
      </w:r>
      <w:r>
        <w:rPr>
          <w:spacing w:val="16"/>
          <w:w w:val="105"/>
          <w:sz w:val="21"/>
        </w:rPr>
        <w:t> </w:t>
      </w:r>
      <w:r>
        <w:rPr>
          <w:w w:val="105"/>
          <w:sz w:val="21"/>
        </w:rPr>
        <w:t>elements.</w:t>
      </w:r>
    </w:p>
    <w:p>
      <w:pPr>
        <w:pStyle w:val="ListParagraph"/>
        <w:numPr>
          <w:ilvl w:val="1"/>
          <w:numId w:val="127"/>
        </w:numPr>
        <w:tabs>
          <w:tab w:pos="2721" w:val="left" w:leader="none"/>
          <w:tab w:pos="2722" w:val="left" w:leader="none"/>
        </w:tabs>
        <w:spacing w:line="242" w:lineRule="auto" w:before="87" w:after="0"/>
        <w:ind w:left="2721" w:right="1940" w:hanging="340"/>
        <w:jc w:val="left"/>
        <w:rPr>
          <w:sz w:val="21"/>
        </w:rPr>
      </w:pPr>
      <w:r>
        <w:rPr>
          <w:w w:val="105"/>
          <w:sz w:val="21"/>
        </w:rPr>
        <w:t>the impact of works </w:t>
      </w:r>
      <w:r>
        <w:rPr>
          <w:spacing w:val="-3"/>
          <w:w w:val="105"/>
          <w:sz w:val="21"/>
        </w:rPr>
        <w:t>such </w:t>
      </w:r>
      <w:r>
        <w:rPr>
          <w:w w:val="105"/>
          <w:sz w:val="21"/>
        </w:rPr>
        <w:t>as </w:t>
      </w:r>
      <w:r>
        <w:rPr>
          <w:spacing w:val="-3"/>
          <w:w w:val="105"/>
          <w:sz w:val="21"/>
        </w:rPr>
        <w:t>pruning (including maintaining </w:t>
      </w:r>
      <w:r>
        <w:rPr>
          <w:w w:val="105"/>
          <w:sz w:val="21"/>
        </w:rPr>
        <w:t>the tree at a particular </w:t>
      </w:r>
      <w:r>
        <w:rPr>
          <w:spacing w:val="-3"/>
          <w:w w:val="105"/>
          <w:sz w:val="21"/>
        </w:rPr>
        <w:t>height, </w:t>
      </w:r>
      <w:r>
        <w:rPr>
          <w:w w:val="105"/>
          <w:sz w:val="21"/>
        </w:rPr>
        <w:t>width or shape) </w:t>
      </w:r>
      <w:r>
        <w:rPr>
          <w:spacing w:val="-3"/>
          <w:w w:val="105"/>
          <w:sz w:val="21"/>
        </w:rPr>
        <w:t>to </w:t>
      </w:r>
      <w:r>
        <w:rPr>
          <w:w w:val="105"/>
          <w:sz w:val="21"/>
        </w:rPr>
        <w:t>the </w:t>
      </w:r>
      <w:r>
        <w:rPr>
          <w:spacing w:val="-3"/>
          <w:w w:val="105"/>
          <w:sz w:val="21"/>
        </w:rPr>
        <w:t>health </w:t>
      </w:r>
      <w:r>
        <w:rPr>
          <w:w w:val="105"/>
          <w:sz w:val="21"/>
        </w:rPr>
        <w:t>of the</w:t>
      </w:r>
      <w:r>
        <w:rPr>
          <w:spacing w:val="46"/>
          <w:w w:val="105"/>
          <w:sz w:val="21"/>
        </w:rPr>
        <w:t> </w:t>
      </w:r>
      <w:r>
        <w:rPr>
          <w:w w:val="105"/>
          <w:sz w:val="21"/>
        </w:rPr>
        <w:t>tree</w:t>
      </w:r>
    </w:p>
    <w:p>
      <w:pPr>
        <w:pStyle w:val="ListParagraph"/>
        <w:numPr>
          <w:ilvl w:val="1"/>
          <w:numId w:val="127"/>
        </w:numPr>
        <w:tabs>
          <w:tab w:pos="2721" w:val="left" w:leader="none"/>
          <w:tab w:pos="2722" w:val="left" w:leader="none"/>
        </w:tabs>
        <w:spacing w:line="242" w:lineRule="auto" w:before="87" w:after="0"/>
        <w:ind w:left="2721" w:right="1989" w:hanging="340"/>
        <w:jc w:val="left"/>
        <w:rPr>
          <w:sz w:val="21"/>
        </w:rPr>
      </w:pPr>
      <w:r>
        <w:rPr>
          <w:spacing w:val="-3"/>
          <w:sz w:val="21"/>
        </w:rPr>
        <w:t>any </w:t>
      </w:r>
      <w:r>
        <w:rPr>
          <w:sz w:val="21"/>
        </w:rPr>
        <w:t>impact of the tree on soil </w:t>
      </w:r>
      <w:r>
        <w:rPr>
          <w:spacing w:val="-3"/>
          <w:sz w:val="21"/>
        </w:rPr>
        <w:t>stability, water </w:t>
      </w:r>
      <w:r>
        <w:rPr>
          <w:sz w:val="21"/>
        </w:rPr>
        <w:t>table or other </w:t>
      </w:r>
      <w:r>
        <w:rPr>
          <w:spacing w:val="-3"/>
          <w:sz w:val="21"/>
        </w:rPr>
        <w:t>natural features </w:t>
      </w:r>
      <w:r>
        <w:rPr>
          <w:sz w:val="21"/>
        </w:rPr>
        <w:t>of the </w:t>
      </w:r>
      <w:r>
        <w:rPr>
          <w:spacing w:val="-3"/>
          <w:sz w:val="21"/>
        </w:rPr>
        <w:t>land </w:t>
      </w:r>
      <w:r>
        <w:rPr>
          <w:sz w:val="21"/>
        </w:rPr>
        <w:t>or</w:t>
      </w:r>
      <w:r>
        <w:rPr>
          <w:spacing w:val="19"/>
          <w:sz w:val="21"/>
        </w:rPr>
        <w:t> </w:t>
      </w:r>
      <w:r>
        <w:rPr>
          <w:sz w:val="21"/>
        </w:rPr>
        <w:t>locality</w:t>
      </w:r>
    </w:p>
    <w:p>
      <w:pPr>
        <w:pStyle w:val="ListParagraph"/>
        <w:numPr>
          <w:ilvl w:val="1"/>
          <w:numId w:val="127"/>
        </w:numPr>
        <w:tabs>
          <w:tab w:pos="2721" w:val="left" w:leader="none"/>
          <w:tab w:pos="2722" w:val="left" w:leader="none"/>
        </w:tabs>
        <w:spacing w:line="240" w:lineRule="auto" w:before="87" w:after="0"/>
        <w:ind w:left="2721" w:right="0" w:hanging="340"/>
        <w:jc w:val="left"/>
        <w:rPr>
          <w:sz w:val="21"/>
        </w:rPr>
      </w:pPr>
      <w:r>
        <w:rPr>
          <w:sz w:val="21"/>
        </w:rPr>
        <w:t>the</w:t>
      </w:r>
      <w:r>
        <w:rPr>
          <w:spacing w:val="9"/>
          <w:sz w:val="21"/>
        </w:rPr>
        <w:t> </w:t>
      </w:r>
      <w:r>
        <w:rPr>
          <w:sz w:val="21"/>
        </w:rPr>
        <w:t>type</w:t>
      </w:r>
      <w:r>
        <w:rPr>
          <w:spacing w:val="9"/>
          <w:sz w:val="21"/>
        </w:rPr>
        <w:t> </w:t>
      </w:r>
      <w:r>
        <w:rPr>
          <w:sz w:val="21"/>
        </w:rPr>
        <w:t>of</w:t>
      </w:r>
      <w:r>
        <w:rPr>
          <w:spacing w:val="9"/>
          <w:sz w:val="21"/>
        </w:rPr>
        <w:t> </w:t>
      </w:r>
      <w:r>
        <w:rPr>
          <w:sz w:val="21"/>
        </w:rPr>
        <w:t>tree</w:t>
      </w:r>
      <w:r>
        <w:rPr>
          <w:spacing w:val="10"/>
          <w:sz w:val="21"/>
        </w:rPr>
        <w:t> </w:t>
      </w:r>
      <w:r>
        <w:rPr>
          <w:sz w:val="21"/>
        </w:rPr>
        <w:t>and</w:t>
      </w:r>
      <w:r>
        <w:rPr>
          <w:spacing w:val="9"/>
          <w:sz w:val="21"/>
        </w:rPr>
        <w:t> </w:t>
      </w:r>
      <w:r>
        <w:rPr>
          <w:sz w:val="21"/>
        </w:rPr>
        <w:t>whether</w:t>
      </w:r>
      <w:r>
        <w:rPr>
          <w:spacing w:val="9"/>
          <w:sz w:val="21"/>
        </w:rPr>
        <w:t> </w:t>
      </w:r>
      <w:r>
        <w:rPr>
          <w:sz w:val="21"/>
        </w:rPr>
        <w:t>it</w:t>
      </w:r>
      <w:r>
        <w:rPr>
          <w:spacing w:val="9"/>
          <w:sz w:val="21"/>
        </w:rPr>
        <w:t> </w:t>
      </w:r>
      <w:r>
        <w:rPr>
          <w:sz w:val="21"/>
        </w:rPr>
        <w:t>is</w:t>
      </w:r>
      <w:r>
        <w:rPr>
          <w:spacing w:val="10"/>
          <w:sz w:val="21"/>
        </w:rPr>
        <w:t> </w:t>
      </w:r>
      <w:r>
        <w:rPr>
          <w:spacing w:val="-3"/>
          <w:sz w:val="21"/>
        </w:rPr>
        <w:t>native,</w:t>
      </w:r>
      <w:r>
        <w:rPr>
          <w:spacing w:val="9"/>
          <w:sz w:val="21"/>
        </w:rPr>
        <w:t> </w:t>
      </w:r>
      <w:r>
        <w:rPr>
          <w:sz w:val="21"/>
        </w:rPr>
        <w:t>protected</w:t>
      </w:r>
      <w:r>
        <w:rPr>
          <w:spacing w:val="9"/>
          <w:sz w:val="21"/>
        </w:rPr>
        <w:t> </w:t>
      </w:r>
      <w:r>
        <w:rPr>
          <w:sz w:val="21"/>
        </w:rPr>
        <w:t>or</w:t>
      </w:r>
      <w:r>
        <w:rPr>
          <w:spacing w:val="10"/>
          <w:sz w:val="21"/>
        </w:rPr>
        <w:t> </w:t>
      </w:r>
      <w:r>
        <w:rPr>
          <w:spacing w:val="-3"/>
          <w:sz w:val="21"/>
        </w:rPr>
        <w:t>considered</w:t>
      </w:r>
      <w:r>
        <w:rPr>
          <w:spacing w:val="9"/>
          <w:sz w:val="21"/>
        </w:rPr>
        <w:t> </w:t>
      </w:r>
      <w:r>
        <w:rPr>
          <w:sz w:val="21"/>
        </w:rPr>
        <w:t>a</w:t>
      </w:r>
      <w:r>
        <w:rPr>
          <w:spacing w:val="9"/>
          <w:sz w:val="21"/>
        </w:rPr>
        <w:t> </w:t>
      </w:r>
      <w:r>
        <w:rPr>
          <w:sz w:val="21"/>
        </w:rPr>
        <w:t>pest</w:t>
      </w:r>
    </w:p>
    <w:p>
      <w:pPr>
        <w:pStyle w:val="ListParagraph"/>
        <w:numPr>
          <w:ilvl w:val="1"/>
          <w:numId w:val="127"/>
        </w:numPr>
        <w:tabs>
          <w:tab w:pos="2721" w:val="left" w:leader="none"/>
          <w:tab w:pos="2722" w:val="left" w:leader="none"/>
        </w:tabs>
        <w:spacing w:line="242" w:lineRule="auto" w:before="89" w:after="0"/>
        <w:ind w:left="2721" w:right="1701" w:hanging="340"/>
        <w:jc w:val="left"/>
        <w:rPr>
          <w:sz w:val="21"/>
        </w:rPr>
      </w:pPr>
      <w:r>
        <w:rPr>
          <w:spacing w:val="-3"/>
          <w:sz w:val="21"/>
        </w:rPr>
        <w:t>such </w:t>
      </w:r>
      <w:r>
        <w:rPr>
          <w:sz w:val="21"/>
        </w:rPr>
        <w:t>other matters </w:t>
      </w:r>
      <w:r>
        <w:rPr>
          <w:spacing w:val="-3"/>
          <w:sz w:val="21"/>
        </w:rPr>
        <w:t>that </w:t>
      </w:r>
      <w:r>
        <w:rPr>
          <w:sz w:val="21"/>
        </w:rPr>
        <w:t>the decision </w:t>
      </w:r>
      <w:r>
        <w:rPr>
          <w:spacing w:val="-4"/>
          <w:sz w:val="21"/>
        </w:rPr>
        <w:t>maker </w:t>
      </w:r>
      <w:r>
        <w:rPr>
          <w:sz w:val="21"/>
        </w:rPr>
        <w:t>considers </w:t>
      </w:r>
      <w:r>
        <w:rPr>
          <w:spacing w:val="-3"/>
          <w:sz w:val="21"/>
        </w:rPr>
        <w:t>relevant </w:t>
      </w:r>
      <w:r>
        <w:rPr>
          <w:sz w:val="21"/>
        </w:rPr>
        <w:t>in the </w:t>
      </w:r>
      <w:r>
        <w:rPr>
          <w:spacing w:val="-3"/>
          <w:sz w:val="21"/>
        </w:rPr>
        <w:t>circumstances </w:t>
      </w:r>
      <w:r>
        <w:rPr>
          <w:sz w:val="21"/>
        </w:rPr>
        <w:t>of the</w:t>
      </w:r>
      <w:r>
        <w:rPr>
          <w:spacing w:val="8"/>
          <w:sz w:val="21"/>
        </w:rPr>
        <w:t> </w:t>
      </w:r>
      <w:r>
        <w:rPr>
          <w:sz w:val="21"/>
        </w:rPr>
        <w:t>case</w:t>
      </w:r>
    </w:p>
    <w:p>
      <w:pPr>
        <w:pStyle w:val="ListParagraph"/>
        <w:numPr>
          <w:ilvl w:val="1"/>
          <w:numId w:val="127"/>
        </w:numPr>
        <w:tabs>
          <w:tab w:pos="2721" w:val="left" w:leader="none"/>
          <w:tab w:pos="2722" w:val="left" w:leader="none"/>
        </w:tabs>
        <w:spacing w:line="242" w:lineRule="auto" w:before="87" w:after="0"/>
        <w:ind w:left="2721" w:right="2363" w:hanging="340"/>
        <w:jc w:val="left"/>
        <w:rPr>
          <w:sz w:val="12"/>
        </w:rPr>
      </w:pPr>
      <w:r>
        <w:rPr>
          <w:spacing w:val="-4"/>
          <w:sz w:val="21"/>
        </w:rPr>
        <w:t>any risk associated </w:t>
      </w:r>
      <w:r>
        <w:rPr>
          <w:spacing w:val="-3"/>
          <w:sz w:val="21"/>
        </w:rPr>
        <w:t>with the </w:t>
      </w:r>
      <w:r>
        <w:rPr>
          <w:spacing w:val="-4"/>
          <w:sz w:val="21"/>
        </w:rPr>
        <w:t>tree </w:t>
      </w:r>
      <w:r>
        <w:rPr>
          <w:spacing w:val="-3"/>
          <w:sz w:val="21"/>
        </w:rPr>
        <w:t>due </w:t>
      </w:r>
      <w:r>
        <w:rPr>
          <w:spacing w:val="-4"/>
          <w:sz w:val="21"/>
        </w:rPr>
        <w:t>to seasonal changes and </w:t>
      </w:r>
      <w:r>
        <w:rPr>
          <w:spacing w:val="-3"/>
          <w:sz w:val="21"/>
        </w:rPr>
        <w:t>extreme </w:t>
      </w:r>
      <w:r>
        <w:rPr>
          <w:spacing w:val="-4"/>
          <w:sz w:val="21"/>
        </w:rPr>
        <w:t>weather </w:t>
      </w:r>
      <w:r>
        <w:rPr>
          <w:spacing w:val="-3"/>
          <w:sz w:val="21"/>
        </w:rPr>
        <w:t>events.</w:t>
      </w:r>
      <w:r>
        <w:rPr>
          <w:spacing w:val="-3"/>
          <w:position w:val="7"/>
          <w:sz w:val="12"/>
        </w:rPr>
        <w:t>28</w:t>
      </w:r>
    </w:p>
    <w:p>
      <w:pPr>
        <w:pStyle w:val="ListParagraph"/>
        <w:numPr>
          <w:ilvl w:val="1"/>
          <w:numId w:val="16"/>
        </w:numPr>
        <w:tabs>
          <w:tab w:pos="2380" w:val="left" w:leader="none"/>
          <w:tab w:pos="2381" w:val="left" w:leader="none"/>
        </w:tabs>
        <w:spacing w:line="242" w:lineRule="auto" w:before="87" w:after="0"/>
        <w:ind w:left="2381" w:right="2059" w:hanging="794"/>
        <w:jc w:val="left"/>
        <w:rPr>
          <w:sz w:val="21"/>
        </w:rPr>
      </w:pPr>
      <w:r>
        <w:rPr>
          <w:w w:val="105"/>
          <w:sz w:val="21"/>
        </w:rPr>
        <w:t>If the </w:t>
      </w:r>
      <w:r>
        <w:rPr>
          <w:spacing w:val="-3"/>
          <w:w w:val="105"/>
          <w:sz w:val="21"/>
        </w:rPr>
        <w:t>applicant’s allegations relate to </w:t>
      </w:r>
      <w:r>
        <w:rPr>
          <w:w w:val="105"/>
          <w:sz w:val="21"/>
        </w:rPr>
        <w:t>the tree </w:t>
      </w:r>
      <w:r>
        <w:rPr>
          <w:spacing w:val="-3"/>
          <w:w w:val="105"/>
          <w:sz w:val="21"/>
        </w:rPr>
        <w:t>causing </w:t>
      </w:r>
      <w:r>
        <w:rPr>
          <w:w w:val="105"/>
          <w:sz w:val="21"/>
        </w:rPr>
        <w:t>damage </w:t>
      </w:r>
      <w:r>
        <w:rPr>
          <w:spacing w:val="-3"/>
          <w:w w:val="105"/>
          <w:sz w:val="21"/>
        </w:rPr>
        <w:t>to </w:t>
      </w:r>
      <w:r>
        <w:rPr>
          <w:w w:val="105"/>
          <w:sz w:val="21"/>
        </w:rPr>
        <w:t>property or </w:t>
      </w:r>
      <w:r>
        <w:rPr>
          <w:spacing w:val="-3"/>
          <w:w w:val="105"/>
          <w:sz w:val="21"/>
        </w:rPr>
        <w:t>harm, additional</w:t>
      </w:r>
      <w:r>
        <w:rPr>
          <w:spacing w:val="-14"/>
          <w:w w:val="105"/>
          <w:sz w:val="21"/>
        </w:rPr>
        <w:t> </w:t>
      </w:r>
      <w:r>
        <w:rPr>
          <w:w w:val="105"/>
          <w:sz w:val="21"/>
        </w:rPr>
        <w:t>decision-making</w:t>
      </w:r>
      <w:r>
        <w:rPr>
          <w:spacing w:val="-13"/>
          <w:w w:val="105"/>
          <w:sz w:val="21"/>
        </w:rPr>
        <w:t> </w:t>
      </w:r>
      <w:r>
        <w:rPr>
          <w:spacing w:val="-3"/>
          <w:w w:val="105"/>
          <w:sz w:val="21"/>
        </w:rPr>
        <w:t>considerations</w:t>
      </w:r>
      <w:r>
        <w:rPr>
          <w:spacing w:val="-13"/>
          <w:w w:val="105"/>
          <w:sz w:val="21"/>
        </w:rPr>
        <w:t> </w:t>
      </w:r>
      <w:r>
        <w:rPr>
          <w:w w:val="105"/>
          <w:sz w:val="21"/>
        </w:rPr>
        <w:t>apply</w:t>
      </w:r>
      <w:r>
        <w:rPr>
          <w:spacing w:val="-13"/>
          <w:w w:val="105"/>
          <w:sz w:val="21"/>
        </w:rPr>
        <w:t> </w:t>
      </w:r>
      <w:r>
        <w:rPr>
          <w:w w:val="105"/>
          <w:sz w:val="21"/>
        </w:rPr>
        <w:t>in</w:t>
      </w:r>
      <w:r>
        <w:rPr>
          <w:spacing w:val="-13"/>
          <w:w w:val="105"/>
          <w:sz w:val="21"/>
        </w:rPr>
        <w:t> </w:t>
      </w:r>
      <w:r>
        <w:rPr>
          <w:w w:val="105"/>
          <w:sz w:val="21"/>
        </w:rPr>
        <w:t>the</w:t>
      </w:r>
      <w:r>
        <w:rPr>
          <w:spacing w:val="-13"/>
          <w:w w:val="105"/>
          <w:sz w:val="21"/>
        </w:rPr>
        <w:t> </w:t>
      </w:r>
      <w:r>
        <w:rPr>
          <w:w w:val="105"/>
          <w:sz w:val="21"/>
        </w:rPr>
        <w:t>interstate</w:t>
      </w:r>
      <w:r>
        <w:rPr>
          <w:spacing w:val="-13"/>
          <w:w w:val="105"/>
          <w:sz w:val="21"/>
        </w:rPr>
        <w:t> </w:t>
      </w:r>
      <w:r>
        <w:rPr>
          <w:w w:val="105"/>
          <w:sz w:val="21"/>
        </w:rPr>
        <w:t>Acts.</w:t>
      </w:r>
      <w:r>
        <w:rPr>
          <w:spacing w:val="-13"/>
          <w:w w:val="105"/>
          <w:sz w:val="21"/>
        </w:rPr>
        <w:t> </w:t>
      </w:r>
      <w:r>
        <w:rPr>
          <w:w w:val="105"/>
          <w:sz w:val="21"/>
        </w:rPr>
        <w:t>These</w:t>
      </w:r>
      <w:r>
        <w:rPr>
          <w:spacing w:val="-13"/>
          <w:w w:val="105"/>
          <w:sz w:val="21"/>
        </w:rPr>
        <w:t> </w:t>
      </w:r>
      <w:r>
        <w:rPr>
          <w:w w:val="105"/>
          <w:sz w:val="21"/>
        </w:rPr>
        <w:t>include:</w:t>
      </w:r>
    </w:p>
    <w:p>
      <w:pPr>
        <w:pStyle w:val="ListParagraph"/>
        <w:numPr>
          <w:ilvl w:val="2"/>
          <w:numId w:val="16"/>
        </w:numPr>
        <w:tabs>
          <w:tab w:pos="2721" w:val="left" w:leader="none"/>
          <w:tab w:pos="2722" w:val="left" w:leader="none"/>
        </w:tabs>
        <w:spacing w:line="242" w:lineRule="auto" w:before="123" w:after="0"/>
        <w:ind w:left="2721" w:right="2144" w:hanging="340"/>
        <w:jc w:val="left"/>
        <w:rPr>
          <w:sz w:val="21"/>
        </w:rPr>
      </w:pPr>
      <w:r>
        <w:rPr>
          <w:sz w:val="21"/>
        </w:rPr>
        <w:t>anything other </w:t>
      </w:r>
      <w:r>
        <w:rPr>
          <w:spacing w:val="-3"/>
          <w:sz w:val="21"/>
        </w:rPr>
        <w:t>than </w:t>
      </w:r>
      <w:r>
        <w:rPr>
          <w:sz w:val="21"/>
        </w:rPr>
        <w:t>the tree </w:t>
      </w:r>
      <w:r>
        <w:rPr>
          <w:spacing w:val="-3"/>
          <w:sz w:val="21"/>
        </w:rPr>
        <w:t>that may have contributed to </w:t>
      </w:r>
      <w:r>
        <w:rPr>
          <w:sz w:val="21"/>
        </w:rPr>
        <w:t>the damage or </w:t>
      </w:r>
      <w:r>
        <w:rPr>
          <w:spacing w:val="-3"/>
          <w:sz w:val="21"/>
        </w:rPr>
        <w:t>harm, including</w:t>
      </w:r>
      <w:r>
        <w:rPr>
          <w:spacing w:val="9"/>
          <w:sz w:val="21"/>
        </w:rPr>
        <w:t> </w:t>
      </w:r>
      <w:r>
        <w:rPr>
          <w:spacing w:val="-3"/>
          <w:sz w:val="21"/>
        </w:rPr>
        <w:t>any</w:t>
      </w:r>
      <w:r>
        <w:rPr>
          <w:spacing w:val="10"/>
          <w:sz w:val="21"/>
        </w:rPr>
        <w:t> </w:t>
      </w:r>
      <w:r>
        <w:rPr>
          <w:sz w:val="21"/>
        </w:rPr>
        <w:t>act</w:t>
      </w:r>
      <w:r>
        <w:rPr>
          <w:spacing w:val="10"/>
          <w:sz w:val="21"/>
        </w:rPr>
        <w:t> </w:t>
      </w:r>
      <w:r>
        <w:rPr>
          <w:sz w:val="21"/>
        </w:rPr>
        <w:t>or</w:t>
      </w:r>
      <w:r>
        <w:rPr>
          <w:spacing w:val="10"/>
          <w:sz w:val="21"/>
        </w:rPr>
        <w:t> </w:t>
      </w:r>
      <w:r>
        <w:rPr>
          <w:sz w:val="21"/>
        </w:rPr>
        <w:t>omission</w:t>
      </w:r>
      <w:r>
        <w:rPr>
          <w:spacing w:val="9"/>
          <w:sz w:val="21"/>
        </w:rPr>
        <w:t> </w:t>
      </w:r>
      <w:r>
        <w:rPr>
          <w:sz w:val="21"/>
        </w:rPr>
        <w:t>by</w:t>
      </w:r>
      <w:r>
        <w:rPr>
          <w:spacing w:val="10"/>
          <w:sz w:val="21"/>
        </w:rPr>
        <w:t> </w:t>
      </w:r>
      <w:r>
        <w:rPr>
          <w:sz w:val="21"/>
        </w:rPr>
        <w:t>the</w:t>
      </w:r>
      <w:r>
        <w:rPr>
          <w:spacing w:val="10"/>
          <w:sz w:val="21"/>
        </w:rPr>
        <w:t> </w:t>
      </w:r>
      <w:r>
        <w:rPr>
          <w:spacing w:val="-3"/>
          <w:sz w:val="21"/>
        </w:rPr>
        <w:t>applicant</w:t>
      </w:r>
    </w:p>
    <w:p>
      <w:pPr>
        <w:pStyle w:val="ListParagraph"/>
        <w:numPr>
          <w:ilvl w:val="2"/>
          <w:numId w:val="16"/>
        </w:numPr>
        <w:tabs>
          <w:tab w:pos="2721" w:val="left" w:leader="none"/>
          <w:tab w:pos="2722" w:val="left" w:leader="none"/>
        </w:tabs>
        <w:spacing w:line="242" w:lineRule="auto" w:before="87" w:after="0"/>
        <w:ind w:left="2721" w:right="1981" w:hanging="340"/>
        <w:jc w:val="left"/>
        <w:rPr>
          <w:sz w:val="21"/>
        </w:rPr>
      </w:pPr>
      <w:r>
        <w:rPr>
          <w:spacing w:val="-3"/>
          <w:w w:val="105"/>
          <w:sz w:val="21"/>
        </w:rPr>
        <w:t>any</w:t>
      </w:r>
      <w:r>
        <w:rPr>
          <w:spacing w:val="-5"/>
          <w:w w:val="105"/>
          <w:sz w:val="21"/>
        </w:rPr>
        <w:t> </w:t>
      </w:r>
      <w:r>
        <w:rPr>
          <w:w w:val="105"/>
          <w:sz w:val="21"/>
        </w:rPr>
        <w:t>steps</w:t>
      </w:r>
      <w:r>
        <w:rPr>
          <w:spacing w:val="-4"/>
          <w:w w:val="105"/>
          <w:sz w:val="21"/>
        </w:rPr>
        <w:t> </w:t>
      </w:r>
      <w:r>
        <w:rPr>
          <w:spacing w:val="-3"/>
          <w:w w:val="105"/>
          <w:sz w:val="21"/>
        </w:rPr>
        <w:t>taken</w:t>
      </w:r>
      <w:r>
        <w:rPr>
          <w:spacing w:val="-5"/>
          <w:w w:val="105"/>
          <w:sz w:val="21"/>
        </w:rPr>
        <w:t> </w:t>
      </w:r>
      <w:r>
        <w:rPr>
          <w:w w:val="105"/>
          <w:sz w:val="21"/>
        </w:rPr>
        <w:t>by</w:t>
      </w:r>
      <w:r>
        <w:rPr>
          <w:spacing w:val="-4"/>
          <w:w w:val="105"/>
          <w:sz w:val="21"/>
        </w:rPr>
        <w:t> </w:t>
      </w:r>
      <w:r>
        <w:rPr>
          <w:w w:val="105"/>
          <w:sz w:val="21"/>
        </w:rPr>
        <w:t>the</w:t>
      </w:r>
      <w:r>
        <w:rPr>
          <w:spacing w:val="-5"/>
          <w:w w:val="105"/>
          <w:sz w:val="21"/>
        </w:rPr>
        <w:t> </w:t>
      </w:r>
      <w:r>
        <w:rPr>
          <w:spacing w:val="-3"/>
          <w:w w:val="105"/>
          <w:sz w:val="21"/>
        </w:rPr>
        <w:t>applicant</w:t>
      </w:r>
      <w:r>
        <w:rPr>
          <w:spacing w:val="-4"/>
          <w:w w:val="105"/>
          <w:sz w:val="21"/>
        </w:rPr>
        <w:t> </w:t>
      </w:r>
      <w:r>
        <w:rPr>
          <w:w w:val="105"/>
          <w:sz w:val="21"/>
        </w:rPr>
        <w:t>or</w:t>
      </w:r>
      <w:r>
        <w:rPr>
          <w:spacing w:val="-4"/>
          <w:w w:val="105"/>
          <w:sz w:val="21"/>
        </w:rPr>
        <w:t> </w:t>
      </w:r>
      <w:r>
        <w:rPr>
          <w:w w:val="105"/>
          <w:sz w:val="21"/>
        </w:rPr>
        <w:t>the</w:t>
      </w:r>
      <w:r>
        <w:rPr>
          <w:spacing w:val="-5"/>
          <w:w w:val="105"/>
          <w:sz w:val="21"/>
        </w:rPr>
        <w:t> </w:t>
      </w:r>
      <w:r>
        <w:rPr>
          <w:w w:val="105"/>
          <w:sz w:val="21"/>
        </w:rPr>
        <w:t>owner</w:t>
      </w:r>
      <w:r>
        <w:rPr>
          <w:spacing w:val="-4"/>
          <w:w w:val="105"/>
          <w:sz w:val="21"/>
        </w:rPr>
        <w:t> </w:t>
      </w:r>
      <w:r>
        <w:rPr>
          <w:w w:val="105"/>
          <w:sz w:val="21"/>
        </w:rPr>
        <w:t>of</w:t>
      </w:r>
      <w:r>
        <w:rPr>
          <w:spacing w:val="-5"/>
          <w:w w:val="105"/>
          <w:sz w:val="21"/>
        </w:rPr>
        <w:t> </w:t>
      </w:r>
      <w:r>
        <w:rPr>
          <w:w w:val="105"/>
          <w:sz w:val="21"/>
        </w:rPr>
        <w:t>the</w:t>
      </w:r>
      <w:r>
        <w:rPr>
          <w:spacing w:val="-4"/>
          <w:w w:val="105"/>
          <w:sz w:val="21"/>
        </w:rPr>
        <w:t> </w:t>
      </w:r>
      <w:r>
        <w:rPr>
          <w:spacing w:val="-3"/>
          <w:w w:val="105"/>
          <w:sz w:val="21"/>
        </w:rPr>
        <w:t>land</w:t>
      </w:r>
      <w:r>
        <w:rPr>
          <w:spacing w:val="-5"/>
          <w:w w:val="105"/>
          <w:sz w:val="21"/>
        </w:rPr>
        <w:t> </w:t>
      </w:r>
      <w:r>
        <w:rPr>
          <w:spacing w:val="-3"/>
          <w:w w:val="105"/>
          <w:sz w:val="21"/>
        </w:rPr>
        <w:t>to</w:t>
      </w:r>
      <w:r>
        <w:rPr>
          <w:spacing w:val="-4"/>
          <w:w w:val="105"/>
          <w:sz w:val="21"/>
        </w:rPr>
        <w:t> </w:t>
      </w:r>
      <w:r>
        <w:rPr>
          <w:spacing w:val="-3"/>
          <w:w w:val="105"/>
          <w:sz w:val="21"/>
        </w:rPr>
        <w:t>prevent</w:t>
      </w:r>
      <w:r>
        <w:rPr>
          <w:spacing w:val="-4"/>
          <w:w w:val="105"/>
          <w:sz w:val="21"/>
        </w:rPr>
        <w:t> </w:t>
      </w:r>
      <w:r>
        <w:rPr>
          <w:w w:val="105"/>
          <w:sz w:val="21"/>
        </w:rPr>
        <w:t>or</w:t>
      </w:r>
      <w:r>
        <w:rPr>
          <w:spacing w:val="-5"/>
          <w:w w:val="105"/>
          <w:sz w:val="21"/>
        </w:rPr>
        <w:t> </w:t>
      </w:r>
      <w:r>
        <w:rPr>
          <w:w w:val="105"/>
          <w:sz w:val="21"/>
        </w:rPr>
        <w:t>rectify</w:t>
      </w:r>
      <w:r>
        <w:rPr>
          <w:spacing w:val="-4"/>
          <w:w w:val="105"/>
          <w:sz w:val="21"/>
        </w:rPr>
        <w:t> </w:t>
      </w:r>
      <w:r>
        <w:rPr>
          <w:w w:val="105"/>
          <w:sz w:val="21"/>
        </w:rPr>
        <w:t>the damage or</w:t>
      </w:r>
      <w:r>
        <w:rPr>
          <w:spacing w:val="10"/>
          <w:w w:val="105"/>
          <w:sz w:val="21"/>
        </w:rPr>
        <w:t> </w:t>
      </w:r>
      <w:r>
        <w:rPr>
          <w:w w:val="105"/>
          <w:sz w:val="21"/>
        </w:rPr>
        <w:t>harm.</w:t>
      </w:r>
      <w:r>
        <w:rPr>
          <w:w w:val="105"/>
          <w:position w:val="7"/>
          <w:sz w:val="12"/>
        </w:rPr>
        <w:t>29</w:t>
      </w:r>
    </w:p>
    <w:p>
      <w:pPr>
        <w:pStyle w:val="ListParagraph"/>
        <w:numPr>
          <w:ilvl w:val="1"/>
          <w:numId w:val="16"/>
        </w:numPr>
        <w:tabs>
          <w:tab w:pos="2380" w:val="left" w:leader="none"/>
          <w:tab w:pos="2381" w:val="left" w:leader="none"/>
        </w:tabs>
        <w:spacing w:line="242" w:lineRule="auto" w:before="87" w:after="0"/>
        <w:ind w:left="2381" w:right="1613" w:hanging="794"/>
        <w:jc w:val="left"/>
        <w:rPr>
          <w:sz w:val="21"/>
        </w:rPr>
      </w:pPr>
      <w:r>
        <w:rPr>
          <w:w w:val="105"/>
          <w:sz w:val="21"/>
        </w:rPr>
        <w:t>The</w:t>
      </w:r>
      <w:r>
        <w:rPr>
          <w:spacing w:val="-6"/>
          <w:w w:val="105"/>
          <w:sz w:val="21"/>
        </w:rPr>
        <w:t> </w:t>
      </w:r>
      <w:r>
        <w:rPr>
          <w:spacing w:val="-3"/>
          <w:w w:val="105"/>
          <w:sz w:val="21"/>
        </w:rPr>
        <w:t>Queensland</w:t>
      </w:r>
      <w:r>
        <w:rPr>
          <w:spacing w:val="-5"/>
          <w:w w:val="105"/>
          <w:sz w:val="21"/>
        </w:rPr>
        <w:t> </w:t>
      </w:r>
      <w:r>
        <w:rPr>
          <w:w w:val="105"/>
          <w:sz w:val="21"/>
        </w:rPr>
        <w:t>and</w:t>
      </w:r>
      <w:r>
        <w:rPr>
          <w:spacing w:val="-5"/>
          <w:w w:val="105"/>
          <w:sz w:val="21"/>
        </w:rPr>
        <w:t> </w:t>
      </w:r>
      <w:r>
        <w:rPr>
          <w:spacing w:val="-4"/>
          <w:w w:val="105"/>
          <w:sz w:val="21"/>
        </w:rPr>
        <w:t>Tasmanian</w:t>
      </w:r>
      <w:r>
        <w:rPr>
          <w:spacing w:val="-5"/>
          <w:w w:val="105"/>
          <w:sz w:val="21"/>
        </w:rPr>
        <w:t> </w:t>
      </w:r>
      <w:r>
        <w:rPr>
          <w:w w:val="105"/>
          <w:sz w:val="21"/>
        </w:rPr>
        <w:t>Acts</w:t>
      </w:r>
      <w:r>
        <w:rPr>
          <w:spacing w:val="-5"/>
          <w:w w:val="105"/>
          <w:sz w:val="21"/>
        </w:rPr>
        <w:t> </w:t>
      </w:r>
      <w:r>
        <w:rPr>
          <w:w w:val="105"/>
          <w:sz w:val="21"/>
        </w:rPr>
        <w:t>further</w:t>
      </w:r>
      <w:r>
        <w:rPr>
          <w:spacing w:val="-5"/>
          <w:w w:val="105"/>
          <w:sz w:val="21"/>
        </w:rPr>
        <w:t> </w:t>
      </w:r>
      <w:r>
        <w:rPr>
          <w:w w:val="105"/>
          <w:sz w:val="21"/>
        </w:rPr>
        <w:t>specify</w:t>
      </w:r>
      <w:r>
        <w:rPr>
          <w:spacing w:val="-5"/>
          <w:w w:val="105"/>
          <w:sz w:val="21"/>
        </w:rPr>
        <w:t> </w:t>
      </w:r>
      <w:r>
        <w:rPr>
          <w:spacing w:val="-3"/>
          <w:w w:val="105"/>
          <w:sz w:val="21"/>
        </w:rPr>
        <w:t>that</w:t>
      </w:r>
      <w:r>
        <w:rPr>
          <w:spacing w:val="-5"/>
          <w:w w:val="105"/>
          <w:sz w:val="21"/>
        </w:rPr>
        <w:t> </w:t>
      </w:r>
      <w:r>
        <w:rPr>
          <w:w w:val="105"/>
          <w:sz w:val="21"/>
        </w:rPr>
        <w:t>the</w:t>
      </w:r>
      <w:r>
        <w:rPr>
          <w:spacing w:val="-5"/>
          <w:w w:val="105"/>
          <w:sz w:val="21"/>
        </w:rPr>
        <w:t> </w:t>
      </w:r>
      <w:r>
        <w:rPr>
          <w:w w:val="105"/>
          <w:sz w:val="21"/>
        </w:rPr>
        <w:t>decision</w:t>
      </w:r>
      <w:r>
        <w:rPr>
          <w:spacing w:val="-5"/>
          <w:w w:val="105"/>
          <w:sz w:val="21"/>
        </w:rPr>
        <w:t> </w:t>
      </w:r>
      <w:r>
        <w:rPr>
          <w:spacing w:val="-4"/>
          <w:w w:val="105"/>
          <w:sz w:val="21"/>
        </w:rPr>
        <w:t>maker</w:t>
      </w:r>
      <w:r>
        <w:rPr>
          <w:spacing w:val="-5"/>
          <w:w w:val="105"/>
          <w:sz w:val="21"/>
        </w:rPr>
        <w:t> </w:t>
      </w:r>
      <w:r>
        <w:rPr>
          <w:spacing w:val="-3"/>
          <w:w w:val="105"/>
          <w:sz w:val="21"/>
        </w:rPr>
        <w:t>may</w:t>
      </w:r>
      <w:r>
        <w:rPr>
          <w:spacing w:val="-5"/>
          <w:w w:val="105"/>
          <w:sz w:val="21"/>
        </w:rPr>
        <w:t> </w:t>
      </w:r>
      <w:r>
        <w:rPr>
          <w:spacing w:val="-3"/>
          <w:w w:val="105"/>
          <w:sz w:val="21"/>
        </w:rPr>
        <w:t>consider additional principles </w:t>
      </w:r>
      <w:r>
        <w:rPr>
          <w:w w:val="105"/>
          <w:sz w:val="21"/>
        </w:rPr>
        <w:t>where an order </w:t>
      </w:r>
      <w:r>
        <w:rPr>
          <w:spacing w:val="-3"/>
          <w:w w:val="105"/>
          <w:sz w:val="21"/>
        </w:rPr>
        <w:t>could involve </w:t>
      </w:r>
      <w:r>
        <w:rPr>
          <w:w w:val="105"/>
          <w:sz w:val="21"/>
        </w:rPr>
        <w:t>destroying a tree or</w:t>
      </w:r>
      <w:r>
        <w:rPr>
          <w:spacing w:val="14"/>
          <w:w w:val="105"/>
          <w:sz w:val="21"/>
        </w:rPr>
        <w:t> </w:t>
      </w:r>
      <w:r>
        <w:rPr>
          <w:w w:val="105"/>
          <w:sz w:val="21"/>
        </w:rPr>
        <w:t>plant.</w:t>
      </w:r>
      <w:r>
        <w:rPr>
          <w:w w:val="105"/>
          <w:position w:val="7"/>
          <w:sz w:val="12"/>
        </w:rPr>
        <w:t>30</w:t>
      </w:r>
    </w:p>
    <w:p>
      <w:pPr>
        <w:pStyle w:val="BodyText"/>
        <w:spacing w:before="3"/>
        <w:rPr>
          <w:sz w:val="20"/>
        </w:rPr>
      </w:pPr>
    </w:p>
    <w:p>
      <w:pPr>
        <w:pStyle w:val="Heading5"/>
      </w:pPr>
      <w:r>
        <w:rPr>
          <w:w w:val="115"/>
        </w:rPr>
        <w:t>New South Wales</w:t>
      </w:r>
    </w:p>
    <w:p>
      <w:pPr>
        <w:pStyle w:val="ListParagraph"/>
        <w:numPr>
          <w:ilvl w:val="1"/>
          <w:numId w:val="16"/>
        </w:numPr>
        <w:tabs>
          <w:tab w:pos="2381" w:val="left" w:leader="none"/>
          <w:tab w:pos="2382" w:val="left" w:leader="none"/>
        </w:tabs>
        <w:spacing w:line="242" w:lineRule="auto" w:before="137" w:after="0"/>
        <w:ind w:left="2381" w:right="2004" w:hanging="794"/>
        <w:jc w:val="left"/>
        <w:rPr>
          <w:sz w:val="21"/>
        </w:rPr>
      </w:pPr>
      <w:r>
        <w:rPr>
          <w:w w:val="105"/>
          <w:sz w:val="21"/>
        </w:rPr>
        <w:t>The NSWLEC advised </w:t>
      </w:r>
      <w:r>
        <w:rPr>
          <w:spacing w:val="-3"/>
          <w:w w:val="105"/>
          <w:sz w:val="21"/>
        </w:rPr>
        <w:t>that </w:t>
      </w:r>
      <w:r>
        <w:rPr>
          <w:w w:val="105"/>
          <w:sz w:val="21"/>
        </w:rPr>
        <w:t>the decision-making </w:t>
      </w:r>
      <w:r>
        <w:rPr>
          <w:spacing w:val="-3"/>
          <w:w w:val="105"/>
          <w:sz w:val="21"/>
        </w:rPr>
        <w:t>principles underpinning </w:t>
      </w:r>
      <w:r>
        <w:rPr>
          <w:w w:val="105"/>
          <w:sz w:val="21"/>
        </w:rPr>
        <w:t>the NSW Act </w:t>
      </w:r>
      <w:r>
        <w:rPr>
          <w:spacing w:val="-3"/>
          <w:w w:val="105"/>
          <w:sz w:val="21"/>
        </w:rPr>
        <w:t>are</w:t>
      </w:r>
      <w:r>
        <w:rPr>
          <w:spacing w:val="-5"/>
          <w:w w:val="105"/>
          <w:sz w:val="21"/>
        </w:rPr>
        <w:t> </w:t>
      </w:r>
      <w:r>
        <w:rPr>
          <w:w w:val="105"/>
          <w:sz w:val="21"/>
        </w:rPr>
        <w:t>sufficient</w:t>
      </w:r>
      <w:r>
        <w:rPr>
          <w:spacing w:val="-4"/>
          <w:w w:val="105"/>
          <w:sz w:val="21"/>
        </w:rPr>
        <w:t> </w:t>
      </w:r>
      <w:r>
        <w:rPr>
          <w:w w:val="105"/>
          <w:sz w:val="21"/>
        </w:rPr>
        <w:t>and</w:t>
      </w:r>
      <w:r>
        <w:rPr>
          <w:spacing w:val="-4"/>
          <w:w w:val="105"/>
          <w:sz w:val="21"/>
        </w:rPr>
        <w:t> </w:t>
      </w:r>
      <w:r>
        <w:rPr>
          <w:spacing w:val="-3"/>
          <w:w w:val="105"/>
          <w:sz w:val="21"/>
        </w:rPr>
        <w:t>cover</w:t>
      </w:r>
      <w:r>
        <w:rPr>
          <w:spacing w:val="-5"/>
          <w:w w:val="105"/>
          <w:sz w:val="21"/>
        </w:rPr>
        <w:t> </w:t>
      </w:r>
      <w:r>
        <w:rPr>
          <w:w w:val="105"/>
          <w:sz w:val="21"/>
        </w:rPr>
        <w:t>a</w:t>
      </w:r>
      <w:r>
        <w:rPr>
          <w:spacing w:val="-4"/>
          <w:w w:val="105"/>
          <w:sz w:val="21"/>
        </w:rPr>
        <w:t> </w:t>
      </w:r>
      <w:r>
        <w:rPr>
          <w:w w:val="105"/>
          <w:sz w:val="21"/>
        </w:rPr>
        <w:t>broad</w:t>
      </w:r>
      <w:r>
        <w:rPr>
          <w:spacing w:val="-4"/>
          <w:w w:val="105"/>
          <w:sz w:val="21"/>
        </w:rPr>
        <w:t> </w:t>
      </w:r>
      <w:r>
        <w:rPr>
          <w:spacing w:val="-3"/>
          <w:w w:val="105"/>
          <w:sz w:val="21"/>
        </w:rPr>
        <w:t>range</w:t>
      </w:r>
      <w:r>
        <w:rPr>
          <w:spacing w:val="-5"/>
          <w:w w:val="105"/>
          <w:sz w:val="21"/>
        </w:rPr>
        <w:t> </w:t>
      </w:r>
      <w:r>
        <w:rPr>
          <w:w w:val="105"/>
          <w:sz w:val="21"/>
        </w:rPr>
        <w:t>of</w:t>
      </w:r>
      <w:r>
        <w:rPr>
          <w:spacing w:val="-4"/>
          <w:w w:val="105"/>
          <w:sz w:val="21"/>
        </w:rPr>
        <w:t> </w:t>
      </w:r>
      <w:r>
        <w:rPr>
          <w:w w:val="105"/>
          <w:sz w:val="21"/>
        </w:rPr>
        <w:t>issues</w:t>
      </w:r>
      <w:r>
        <w:rPr>
          <w:spacing w:val="-4"/>
          <w:w w:val="105"/>
          <w:sz w:val="21"/>
        </w:rPr>
        <w:t> </w:t>
      </w:r>
      <w:r>
        <w:rPr>
          <w:spacing w:val="-3"/>
          <w:w w:val="105"/>
          <w:sz w:val="21"/>
        </w:rPr>
        <w:t>such</w:t>
      </w:r>
      <w:r>
        <w:rPr>
          <w:spacing w:val="-4"/>
          <w:w w:val="105"/>
          <w:sz w:val="21"/>
        </w:rPr>
        <w:t> </w:t>
      </w:r>
      <w:r>
        <w:rPr>
          <w:w w:val="105"/>
          <w:sz w:val="21"/>
        </w:rPr>
        <w:t>as</w:t>
      </w:r>
      <w:r>
        <w:rPr>
          <w:spacing w:val="-5"/>
          <w:w w:val="105"/>
          <w:sz w:val="21"/>
        </w:rPr>
        <w:t> </w:t>
      </w:r>
      <w:r>
        <w:rPr>
          <w:w w:val="105"/>
          <w:sz w:val="21"/>
        </w:rPr>
        <w:t>the</w:t>
      </w:r>
      <w:r>
        <w:rPr>
          <w:spacing w:val="-4"/>
          <w:w w:val="105"/>
          <w:sz w:val="21"/>
        </w:rPr>
        <w:t> </w:t>
      </w:r>
      <w:r>
        <w:rPr>
          <w:spacing w:val="-3"/>
          <w:w w:val="105"/>
          <w:sz w:val="21"/>
        </w:rPr>
        <w:t>social,</w:t>
      </w:r>
      <w:r>
        <w:rPr>
          <w:spacing w:val="-4"/>
          <w:w w:val="105"/>
          <w:sz w:val="21"/>
        </w:rPr>
        <w:t> </w:t>
      </w:r>
      <w:r>
        <w:rPr>
          <w:spacing w:val="-3"/>
          <w:w w:val="105"/>
          <w:sz w:val="21"/>
        </w:rPr>
        <w:t>public</w:t>
      </w:r>
      <w:r>
        <w:rPr>
          <w:spacing w:val="-5"/>
          <w:w w:val="105"/>
          <w:sz w:val="21"/>
        </w:rPr>
        <w:t> </w:t>
      </w:r>
      <w:r>
        <w:rPr>
          <w:w w:val="105"/>
          <w:sz w:val="21"/>
        </w:rPr>
        <w:t>amenity</w:t>
      </w:r>
      <w:r>
        <w:rPr>
          <w:spacing w:val="-4"/>
          <w:w w:val="105"/>
          <w:sz w:val="21"/>
        </w:rPr>
        <w:t> </w:t>
      </w:r>
      <w:r>
        <w:rPr>
          <w:w w:val="105"/>
          <w:sz w:val="21"/>
        </w:rPr>
        <w:t>and </w:t>
      </w:r>
      <w:r>
        <w:rPr>
          <w:spacing w:val="-3"/>
          <w:w w:val="105"/>
          <w:sz w:val="21"/>
        </w:rPr>
        <w:t>environmental value </w:t>
      </w:r>
      <w:r>
        <w:rPr>
          <w:w w:val="105"/>
          <w:sz w:val="21"/>
        </w:rPr>
        <w:t>of trees.</w:t>
      </w:r>
      <w:r>
        <w:rPr>
          <w:w w:val="105"/>
          <w:position w:val="7"/>
          <w:sz w:val="12"/>
        </w:rPr>
        <w:t>31 </w:t>
      </w:r>
      <w:r>
        <w:rPr>
          <w:w w:val="105"/>
          <w:sz w:val="21"/>
        </w:rPr>
        <w:t>The </w:t>
      </w:r>
      <w:r>
        <w:rPr>
          <w:spacing w:val="-3"/>
          <w:w w:val="105"/>
          <w:sz w:val="21"/>
        </w:rPr>
        <w:t>Court </w:t>
      </w:r>
      <w:r>
        <w:rPr>
          <w:w w:val="105"/>
          <w:sz w:val="21"/>
        </w:rPr>
        <w:t>also identified </w:t>
      </w:r>
      <w:r>
        <w:rPr>
          <w:spacing w:val="-3"/>
          <w:w w:val="105"/>
          <w:sz w:val="21"/>
        </w:rPr>
        <w:t>that </w:t>
      </w:r>
      <w:r>
        <w:rPr>
          <w:w w:val="105"/>
          <w:sz w:val="21"/>
        </w:rPr>
        <w:t>the</w:t>
      </w:r>
      <w:r>
        <w:rPr>
          <w:spacing w:val="-25"/>
          <w:w w:val="105"/>
          <w:sz w:val="21"/>
        </w:rPr>
        <w:t> </w:t>
      </w:r>
      <w:r>
        <w:rPr>
          <w:w w:val="105"/>
          <w:sz w:val="21"/>
        </w:rPr>
        <w:t>decision-making</w:t>
      </w:r>
    </w:p>
    <w:p>
      <w:pPr>
        <w:pStyle w:val="BodyText"/>
        <w:spacing w:line="242" w:lineRule="auto" w:before="3"/>
        <w:ind w:left="2381" w:right="1636"/>
        <w:rPr>
          <w:sz w:val="12"/>
        </w:rPr>
      </w:pPr>
      <w:r>
        <w:rPr/>
        <w:t>principles in the NSW Act reflect the public policy position that trees are beneficial to the community and that people wish to live among trees.</w:t>
      </w:r>
      <w:r>
        <w:rPr>
          <w:position w:val="7"/>
          <w:sz w:val="12"/>
        </w:rPr>
        <w:t>32</w:t>
      </w:r>
    </w:p>
    <w:p>
      <w:pPr>
        <w:pStyle w:val="ListParagraph"/>
        <w:numPr>
          <w:ilvl w:val="1"/>
          <w:numId w:val="16"/>
        </w:numPr>
        <w:tabs>
          <w:tab w:pos="2380" w:val="left" w:leader="none"/>
          <w:tab w:pos="2381" w:val="left" w:leader="none"/>
        </w:tabs>
        <w:spacing w:line="242" w:lineRule="auto" w:before="123" w:after="0"/>
        <w:ind w:left="2381" w:right="1593" w:hanging="794"/>
        <w:jc w:val="left"/>
        <w:rPr>
          <w:sz w:val="21"/>
        </w:rPr>
      </w:pPr>
      <w:r>
        <w:rPr>
          <w:w w:val="105"/>
          <w:sz w:val="21"/>
        </w:rPr>
        <w:t>New South </w:t>
      </w:r>
      <w:r>
        <w:rPr>
          <w:spacing w:val="-3"/>
          <w:w w:val="105"/>
          <w:sz w:val="21"/>
        </w:rPr>
        <w:t>Wales </w:t>
      </w:r>
      <w:r>
        <w:rPr>
          <w:spacing w:val="-2"/>
          <w:w w:val="105"/>
          <w:sz w:val="21"/>
        </w:rPr>
        <w:t>has </w:t>
      </w:r>
      <w:r>
        <w:rPr>
          <w:w w:val="105"/>
          <w:sz w:val="21"/>
        </w:rPr>
        <w:t>an </w:t>
      </w:r>
      <w:r>
        <w:rPr>
          <w:spacing w:val="-3"/>
          <w:w w:val="105"/>
          <w:sz w:val="21"/>
        </w:rPr>
        <w:t>annotated </w:t>
      </w:r>
      <w:r>
        <w:rPr>
          <w:w w:val="105"/>
          <w:sz w:val="21"/>
        </w:rPr>
        <w:t>version of its Act </w:t>
      </w:r>
      <w:r>
        <w:rPr>
          <w:spacing w:val="-3"/>
          <w:w w:val="105"/>
          <w:sz w:val="21"/>
        </w:rPr>
        <w:t>outlining </w:t>
      </w:r>
      <w:r>
        <w:rPr>
          <w:w w:val="105"/>
          <w:sz w:val="21"/>
        </w:rPr>
        <w:t>how some of the decision- </w:t>
      </w:r>
      <w:r>
        <w:rPr>
          <w:spacing w:val="-3"/>
          <w:w w:val="105"/>
          <w:sz w:val="21"/>
        </w:rPr>
        <w:t>making principles have </w:t>
      </w:r>
      <w:r>
        <w:rPr>
          <w:w w:val="105"/>
          <w:sz w:val="21"/>
        </w:rPr>
        <w:t>been applied </w:t>
      </w:r>
      <w:r>
        <w:rPr>
          <w:spacing w:val="-3"/>
          <w:w w:val="105"/>
          <w:sz w:val="21"/>
        </w:rPr>
        <w:t>to </w:t>
      </w:r>
      <w:r>
        <w:rPr>
          <w:w w:val="105"/>
          <w:sz w:val="21"/>
        </w:rPr>
        <w:t>particular cases.</w:t>
      </w:r>
      <w:r>
        <w:rPr>
          <w:w w:val="105"/>
          <w:position w:val="7"/>
          <w:sz w:val="12"/>
        </w:rPr>
        <w:t>33 </w:t>
      </w:r>
      <w:r>
        <w:rPr>
          <w:w w:val="105"/>
          <w:sz w:val="21"/>
        </w:rPr>
        <w:t>Of particular </w:t>
      </w:r>
      <w:r>
        <w:rPr>
          <w:spacing w:val="-3"/>
          <w:w w:val="105"/>
          <w:sz w:val="21"/>
        </w:rPr>
        <w:t>note </w:t>
      </w:r>
      <w:r>
        <w:rPr>
          <w:w w:val="105"/>
          <w:sz w:val="21"/>
        </w:rPr>
        <w:t>is section </w:t>
      </w:r>
      <w:r>
        <w:rPr>
          <w:spacing w:val="-3"/>
          <w:w w:val="105"/>
          <w:sz w:val="21"/>
        </w:rPr>
        <w:t>12(h) </w:t>
      </w:r>
      <w:r>
        <w:rPr>
          <w:w w:val="105"/>
          <w:sz w:val="21"/>
        </w:rPr>
        <w:t>of the Act, which </w:t>
      </w:r>
      <w:r>
        <w:rPr>
          <w:spacing w:val="-3"/>
          <w:w w:val="105"/>
          <w:sz w:val="21"/>
        </w:rPr>
        <w:t>requires </w:t>
      </w:r>
      <w:r>
        <w:rPr>
          <w:w w:val="105"/>
          <w:sz w:val="21"/>
        </w:rPr>
        <w:t>the court </w:t>
      </w:r>
      <w:r>
        <w:rPr>
          <w:spacing w:val="-3"/>
          <w:w w:val="105"/>
          <w:sz w:val="21"/>
        </w:rPr>
        <w:t>to consider </w:t>
      </w:r>
      <w:r>
        <w:rPr>
          <w:w w:val="105"/>
          <w:sz w:val="21"/>
        </w:rPr>
        <w:t>whether anything other </w:t>
      </w:r>
      <w:r>
        <w:rPr>
          <w:spacing w:val="-3"/>
          <w:w w:val="105"/>
          <w:sz w:val="21"/>
        </w:rPr>
        <w:t>than </w:t>
      </w:r>
      <w:r>
        <w:rPr>
          <w:w w:val="105"/>
          <w:sz w:val="21"/>
        </w:rPr>
        <w:t>the tree in question </w:t>
      </w:r>
      <w:r>
        <w:rPr>
          <w:spacing w:val="-3"/>
          <w:w w:val="105"/>
          <w:sz w:val="21"/>
        </w:rPr>
        <w:t>may have contributed to </w:t>
      </w:r>
      <w:r>
        <w:rPr>
          <w:w w:val="105"/>
          <w:sz w:val="21"/>
        </w:rPr>
        <w:t>the </w:t>
      </w:r>
      <w:r>
        <w:rPr>
          <w:spacing w:val="-3"/>
          <w:w w:val="105"/>
          <w:sz w:val="21"/>
        </w:rPr>
        <w:t>damage, </w:t>
      </w:r>
      <w:r>
        <w:rPr>
          <w:w w:val="105"/>
          <w:sz w:val="21"/>
        </w:rPr>
        <w:t>or </w:t>
      </w:r>
      <w:r>
        <w:rPr>
          <w:spacing w:val="-3"/>
          <w:w w:val="105"/>
          <w:sz w:val="21"/>
        </w:rPr>
        <w:t>likelihood </w:t>
      </w:r>
      <w:r>
        <w:rPr>
          <w:w w:val="105"/>
          <w:sz w:val="21"/>
        </w:rPr>
        <w:t>of damage or </w:t>
      </w:r>
      <w:r>
        <w:rPr>
          <w:spacing w:val="-4"/>
          <w:w w:val="105"/>
          <w:sz w:val="21"/>
        </w:rPr>
        <w:t>injury, </w:t>
      </w:r>
      <w:r>
        <w:rPr>
          <w:w w:val="105"/>
          <w:sz w:val="21"/>
        </w:rPr>
        <w:t>and the steps </w:t>
      </w:r>
      <w:r>
        <w:rPr>
          <w:spacing w:val="-3"/>
          <w:w w:val="105"/>
          <w:sz w:val="21"/>
        </w:rPr>
        <w:t>taken </w:t>
      </w:r>
      <w:r>
        <w:rPr>
          <w:w w:val="105"/>
          <w:sz w:val="21"/>
        </w:rPr>
        <w:t>by both the affected </w:t>
      </w:r>
      <w:r>
        <w:rPr>
          <w:spacing w:val="-3"/>
          <w:w w:val="105"/>
          <w:sz w:val="21"/>
        </w:rPr>
        <w:t>neighbour </w:t>
      </w:r>
      <w:r>
        <w:rPr>
          <w:w w:val="105"/>
          <w:sz w:val="21"/>
        </w:rPr>
        <w:t>and the owner or </w:t>
      </w:r>
      <w:r>
        <w:rPr>
          <w:spacing w:val="-3"/>
          <w:w w:val="105"/>
          <w:sz w:val="21"/>
        </w:rPr>
        <w:t>occupier </w:t>
      </w:r>
      <w:r>
        <w:rPr>
          <w:w w:val="105"/>
          <w:sz w:val="21"/>
        </w:rPr>
        <w:t>of</w:t>
      </w:r>
      <w:r>
        <w:rPr>
          <w:spacing w:val="6"/>
          <w:w w:val="105"/>
          <w:sz w:val="21"/>
        </w:rPr>
        <w:t> </w:t>
      </w:r>
      <w:r>
        <w:rPr>
          <w:spacing w:val="-3"/>
          <w:w w:val="105"/>
          <w:sz w:val="21"/>
        </w:rPr>
        <w:t>land</w:t>
      </w:r>
    </w:p>
    <w:p>
      <w:pPr>
        <w:pStyle w:val="BodyText"/>
        <w:spacing w:line="242" w:lineRule="auto" w:before="5"/>
        <w:ind w:left="2381" w:right="1636" w:hanging="1"/>
      </w:pPr>
      <w:r>
        <w:rPr>
          <w:w w:val="105"/>
        </w:rPr>
        <w:t>on which the tree is </w:t>
      </w:r>
      <w:r>
        <w:rPr>
          <w:spacing w:val="-3"/>
          <w:w w:val="105"/>
        </w:rPr>
        <w:t>situated to prevent such </w:t>
      </w:r>
      <w:r>
        <w:rPr>
          <w:w w:val="105"/>
        </w:rPr>
        <w:t>damage or </w:t>
      </w:r>
      <w:r>
        <w:rPr>
          <w:spacing w:val="-3"/>
          <w:w w:val="105"/>
        </w:rPr>
        <w:t>injury.</w:t>
      </w:r>
      <w:r>
        <w:rPr>
          <w:spacing w:val="-3"/>
          <w:w w:val="105"/>
          <w:position w:val="7"/>
          <w:sz w:val="12"/>
        </w:rPr>
        <w:t>34 </w:t>
      </w:r>
      <w:r>
        <w:rPr>
          <w:w w:val="105"/>
        </w:rPr>
        <w:t>This decision-making </w:t>
      </w:r>
      <w:r>
        <w:rPr>
          <w:spacing w:val="-3"/>
          <w:w w:val="105"/>
        </w:rPr>
        <w:t>principle </w:t>
      </w:r>
      <w:r>
        <w:rPr>
          <w:w w:val="105"/>
        </w:rPr>
        <w:t>enables the court </w:t>
      </w:r>
      <w:r>
        <w:rPr>
          <w:spacing w:val="-3"/>
          <w:w w:val="105"/>
        </w:rPr>
        <w:t>to consider any </w:t>
      </w:r>
      <w:r>
        <w:rPr>
          <w:w w:val="105"/>
        </w:rPr>
        <w:t>past actions or </w:t>
      </w:r>
      <w:r>
        <w:rPr>
          <w:spacing w:val="-3"/>
          <w:w w:val="105"/>
        </w:rPr>
        <w:t>omissions </w:t>
      </w:r>
      <w:r>
        <w:rPr>
          <w:w w:val="105"/>
        </w:rPr>
        <w:t>of both parties, </w:t>
      </w:r>
      <w:r>
        <w:rPr>
          <w:spacing w:val="-3"/>
          <w:w w:val="105"/>
        </w:rPr>
        <w:t>including any </w:t>
      </w:r>
      <w:r>
        <w:rPr>
          <w:w w:val="105"/>
        </w:rPr>
        <w:t>development on </w:t>
      </w:r>
      <w:r>
        <w:rPr>
          <w:spacing w:val="-3"/>
          <w:w w:val="105"/>
        </w:rPr>
        <w:t>land that occurred subsequent to </w:t>
      </w:r>
      <w:r>
        <w:rPr>
          <w:w w:val="105"/>
        </w:rPr>
        <w:t>the </w:t>
      </w:r>
      <w:r>
        <w:rPr>
          <w:spacing w:val="-4"/>
          <w:w w:val="105"/>
        </w:rPr>
        <w:t>tree’s </w:t>
      </w:r>
      <w:r>
        <w:rPr>
          <w:spacing w:val="-3"/>
          <w:w w:val="105"/>
        </w:rPr>
        <w:t>existence.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r>
        <w:rPr/>
        <w:pict>
          <v:line style="position:absolute;mso-position-horizontal-relative:page;mso-position-vertical-relative:paragraph;z-index:7640;mso-wrap-distance-left:0;mso-wrap-distance-right:0" from="79.370102pt,13.208808pt" to="515.905102pt,13.20880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40"/>
        </w:rPr>
      </w:pPr>
    </w:p>
    <w:p>
      <w:pPr>
        <w:spacing w:before="0"/>
        <w:ind w:left="720" w:right="0" w:firstLine="0"/>
        <w:jc w:val="left"/>
        <w:rPr>
          <w:b/>
          <w:sz w:val="24"/>
        </w:rPr>
      </w:pPr>
      <w:r>
        <w:rPr>
          <w:b/>
          <w:color w:val="658464"/>
          <w:w w:val="105"/>
          <w:sz w:val="24"/>
        </w:rPr>
        <w:t>166</w:t>
      </w:r>
    </w:p>
    <w:p>
      <w:pPr>
        <w:pStyle w:val="ListParagraph"/>
        <w:numPr>
          <w:ilvl w:val="0"/>
          <w:numId w:val="127"/>
        </w:numPr>
        <w:tabs>
          <w:tab w:pos="1226" w:val="left" w:leader="none"/>
          <w:tab w:pos="1227" w:val="left" w:leader="none"/>
        </w:tabs>
        <w:spacing w:line="240" w:lineRule="auto" w:before="48" w:after="0"/>
        <w:ind w:left="1226" w:right="1865" w:hanging="794"/>
        <w:jc w:val="left"/>
        <w:rPr>
          <w:sz w:val="13"/>
        </w:rPr>
      </w:pPr>
      <w:r>
        <w:rPr>
          <w:spacing w:val="3"/>
          <w:w w:val="103"/>
          <w:sz w:val="13"/>
        </w:rPr>
        <w:br w:type="column"/>
      </w:r>
      <w:r>
        <w:rPr>
          <w:w w:val="105"/>
          <w:sz w:val="13"/>
        </w:rPr>
        <w:t>See </w:t>
      </w:r>
      <w:r>
        <w:rPr>
          <w:i/>
          <w:w w:val="105"/>
          <w:sz w:val="13"/>
        </w:rPr>
        <w:t>Neighbourhood Disputes (Dividing Fences and Trees) Act </w:t>
      </w:r>
      <w:r>
        <w:rPr>
          <w:i/>
          <w:spacing w:val="-4"/>
          <w:w w:val="105"/>
          <w:sz w:val="13"/>
        </w:rPr>
        <w:t>2011 </w:t>
      </w:r>
      <w:r>
        <w:rPr>
          <w:spacing w:val="2"/>
          <w:w w:val="105"/>
          <w:sz w:val="13"/>
        </w:rPr>
        <w:t>(Qld) </w:t>
      </w:r>
      <w:r>
        <w:rPr>
          <w:w w:val="105"/>
          <w:sz w:val="13"/>
        </w:rPr>
        <w:t>s </w:t>
      </w:r>
      <w:r>
        <w:rPr>
          <w:spacing w:val="3"/>
          <w:w w:val="105"/>
          <w:sz w:val="13"/>
        </w:rPr>
        <w:t>73(i); </w:t>
      </w:r>
      <w:r>
        <w:rPr>
          <w:i/>
          <w:w w:val="105"/>
          <w:sz w:val="13"/>
        </w:rPr>
        <w:t>Neighbourhood Disputes About Plants Act </w:t>
      </w:r>
      <w:r>
        <w:rPr>
          <w:i/>
          <w:spacing w:val="-4"/>
          <w:w w:val="105"/>
          <w:sz w:val="13"/>
        </w:rPr>
        <w:t>2017 </w:t>
      </w:r>
      <w:r>
        <w:rPr>
          <w:w w:val="105"/>
          <w:sz w:val="13"/>
        </w:rPr>
        <w:t>(Tas) s </w:t>
      </w:r>
      <w:r>
        <w:rPr>
          <w:spacing w:val="4"/>
          <w:w w:val="105"/>
          <w:sz w:val="13"/>
        </w:rPr>
        <w:t>30(h). </w:t>
      </w:r>
      <w:r>
        <w:rPr>
          <w:w w:val="105"/>
          <w:sz w:val="13"/>
        </w:rPr>
        <w:t>This</w:t>
      </w:r>
      <w:r>
        <w:rPr>
          <w:spacing w:val="4"/>
          <w:w w:val="105"/>
          <w:sz w:val="13"/>
        </w:rPr>
        <w:t> </w:t>
      </w:r>
      <w:r>
        <w:rPr>
          <w:w w:val="105"/>
          <w:sz w:val="13"/>
        </w:rPr>
        <w:t>decision-making</w:t>
      </w:r>
      <w:r>
        <w:rPr>
          <w:spacing w:val="5"/>
          <w:w w:val="105"/>
          <w:sz w:val="13"/>
        </w:rPr>
        <w:t> </w:t>
      </w:r>
      <w:r>
        <w:rPr>
          <w:w w:val="105"/>
          <w:sz w:val="13"/>
        </w:rPr>
        <w:t>principle</w:t>
      </w:r>
      <w:r>
        <w:rPr>
          <w:spacing w:val="4"/>
          <w:w w:val="105"/>
          <w:sz w:val="13"/>
        </w:rPr>
        <w:t> </w:t>
      </w:r>
      <w:r>
        <w:rPr>
          <w:w w:val="105"/>
          <w:sz w:val="13"/>
        </w:rPr>
        <w:t>is</w:t>
      </w:r>
      <w:r>
        <w:rPr>
          <w:spacing w:val="5"/>
          <w:w w:val="105"/>
          <w:sz w:val="13"/>
        </w:rPr>
        <w:t> </w:t>
      </w:r>
      <w:r>
        <w:rPr>
          <w:w w:val="105"/>
          <w:sz w:val="13"/>
        </w:rPr>
        <w:t>unique</w:t>
      </w:r>
      <w:r>
        <w:rPr>
          <w:spacing w:val="4"/>
          <w:w w:val="105"/>
          <w:sz w:val="13"/>
        </w:rPr>
        <w:t> </w:t>
      </w:r>
      <w:r>
        <w:rPr>
          <w:w w:val="105"/>
          <w:sz w:val="13"/>
        </w:rPr>
        <w:t>to</w:t>
      </w:r>
      <w:r>
        <w:rPr>
          <w:spacing w:val="4"/>
          <w:w w:val="105"/>
          <w:sz w:val="13"/>
        </w:rPr>
        <w:t> </w:t>
      </w:r>
      <w:r>
        <w:rPr>
          <w:w w:val="105"/>
          <w:sz w:val="13"/>
        </w:rPr>
        <w:t>the</w:t>
      </w:r>
      <w:r>
        <w:rPr>
          <w:spacing w:val="5"/>
          <w:w w:val="105"/>
          <w:sz w:val="13"/>
        </w:rPr>
        <w:t> </w:t>
      </w:r>
      <w:r>
        <w:rPr>
          <w:w w:val="105"/>
          <w:sz w:val="13"/>
        </w:rPr>
        <w:t>dedicated</w:t>
      </w:r>
      <w:r>
        <w:rPr>
          <w:spacing w:val="4"/>
          <w:w w:val="105"/>
          <w:sz w:val="13"/>
        </w:rPr>
        <w:t> </w:t>
      </w:r>
      <w:r>
        <w:rPr>
          <w:w w:val="105"/>
          <w:sz w:val="13"/>
        </w:rPr>
        <w:t>tree</w:t>
      </w:r>
      <w:r>
        <w:rPr>
          <w:spacing w:val="5"/>
          <w:w w:val="105"/>
          <w:sz w:val="13"/>
        </w:rPr>
        <w:t> </w:t>
      </w:r>
      <w:r>
        <w:rPr>
          <w:w w:val="105"/>
          <w:sz w:val="13"/>
        </w:rPr>
        <w:t>dispute</w:t>
      </w:r>
      <w:r>
        <w:rPr>
          <w:spacing w:val="4"/>
          <w:w w:val="105"/>
          <w:sz w:val="13"/>
        </w:rPr>
        <w:t> </w:t>
      </w:r>
      <w:r>
        <w:rPr>
          <w:w w:val="105"/>
          <w:sz w:val="13"/>
        </w:rPr>
        <w:t>schemes</w:t>
      </w:r>
      <w:r>
        <w:rPr>
          <w:spacing w:val="5"/>
          <w:w w:val="105"/>
          <w:sz w:val="13"/>
        </w:rPr>
        <w:t> </w:t>
      </w:r>
      <w:r>
        <w:rPr>
          <w:w w:val="105"/>
          <w:sz w:val="13"/>
        </w:rPr>
        <w:t>in</w:t>
      </w:r>
      <w:r>
        <w:rPr>
          <w:spacing w:val="4"/>
          <w:w w:val="105"/>
          <w:sz w:val="13"/>
        </w:rPr>
        <w:t> </w:t>
      </w:r>
      <w:r>
        <w:rPr>
          <w:w w:val="105"/>
          <w:sz w:val="13"/>
        </w:rPr>
        <w:t>Queensland</w:t>
      </w:r>
      <w:r>
        <w:rPr>
          <w:spacing w:val="4"/>
          <w:w w:val="105"/>
          <w:sz w:val="13"/>
        </w:rPr>
        <w:t> </w:t>
      </w:r>
      <w:r>
        <w:rPr>
          <w:w w:val="105"/>
          <w:sz w:val="13"/>
        </w:rPr>
        <w:t>and</w:t>
      </w:r>
      <w:r>
        <w:rPr>
          <w:spacing w:val="5"/>
          <w:w w:val="105"/>
          <w:sz w:val="13"/>
        </w:rPr>
        <w:t> </w:t>
      </w:r>
      <w:r>
        <w:rPr>
          <w:w w:val="105"/>
          <w:sz w:val="13"/>
        </w:rPr>
        <w:t>Tasmania</w:t>
      </w:r>
      <w:r>
        <w:rPr>
          <w:spacing w:val="4"/>
          <w:w w:val="105"/>
          <w:sz w:val="13"/>
        </w:rPr>
        <w:t> </w:t>
      </w:r>
      <w:r>
        <w:rPr>
          <w:w w:val="105"/>
          <w:sz w:val="13"/>
        </w:rPr>
        <w:t>only.</w:t>
      </w:r>
    </w:p>
    <w:p>
      <w:pPr>
        <w:pStyle w:val="ListParagraph"/>
        <w:numPr>
          <w:ilvl w:val="0"/>
          <w:numId w:val="127"/>
        </w:numPr>
        <w:tabs>
          <w:tab w:pos="1226" w:val="left" w:leader="none"/>
          <w:tab w:pos="1227" w:val="left" w:leader="none"/>
        </w:tabs>
        <w:spacing w:line="240" w:lineRule="auto" w:before="3" w:after="0"/>
        <w:ind w:left="1226" w:right="0" w:hanging="794"/>
        <w:jc w:val="left"/>
        <w:rPr>
          <w:sz w:val="13"/>
        </w:rPr>
      </w:pPr>
      <w:r>
        <w:rPr>
          <w:i/>
          <w:w w:val="105"/>
          <w:sz w:val="13"/>
        </w:rPr>
        <w:t>Trees</w:t>
      </w:r>
      <w:r>
        <w:rPr>
          <w:i/>
          <w:spacing w:val="6"/>
          <w:w w:val="105"/>
          <w:sz w:val="13"/>
        </w:rPr>
        <w:t> </w:t>
      </w:r>
      <w:r>
        <w:rPr>
          <w:i/>
          <w:w w:val="105"/>
          <w:sz w:val="13"/>
        </w:rPr>
        <w:t>(Disputes</w:t>
      </w:r>
      <w:r>
        <w:rPr>
          <w:i/>
          <w:spacing w:val="6"/>
          <w:w w:val="105"/>
          <w:sz w:val="13"/>
        </w:rPr>
        <w:t> </w:t>
      </w:r>
      <w:r>
        <w:rPr>
          <w:i/>
          <w:w w:val="105"/>
          <w:sz w:val="13"/>
        </w:rPr>
        <w:t>Between</w:t>
      </w:r>
      <w:r>
        <w:rPr>
          <w:i/>
          <w:spacing w:val="6"/>
          <w:w w:val="105"/>
          <w:sz w:val="13"/>
        </w:rPr>
        <w:t> </w:t>
      </w:r>
      <w:r>
        <w:rPr>
          <w:i/>
          <w:w w:val="105"/>
          <w:sz w:val="13"/>
        </w:rPr>
        <w:t>Neighbours)</w:t>
      </w:r>
      <w:r>
        <w:rPr>
          <w:i/>
          <w:spacing w:val="6"/>
          <w:w w:val="105"/>
          <w:sz w:val="13"/>
        </w:rPr>
        <w:t> </w:t>
      </w:r>
      <w:r>
        <w:rPr>
          <w:i/>
          <w:w w:val="105"/>
          <w:sz w:val="13"/>
        </w:rPr>
        <w:t>Act</w:t>
      </w:r>
      <w:r>
        <w:rPr>
          <w:i/>
          <w:spacing w:val="6"/>
          <w:w w:val="105"/>
          <w:sz w:val="13"/>
        </w:rPr>
        <w:t> </w:t>
      </w:r>
      <w:r>
        <w:rPr>
          <w:i/>
          <w:w w:val="105"/>
          <w:sz w:val="13"/>
        </w:rPr>
        <w:t>2006</w:t>
      </w:r>
      <w:r>
        <w:rPr>
          <w:i/>
          <w:spacing w:val="6"/>
          <w:w w:val="105"/>
          <w:sz w:val="13"/>
        </w:rPr>
        <w:t> </w:t>
      </w:r>
      <w:r>
        <w:rPr>
          <w:spacing w:val="3"/>
          <w:w w:val="105"/>
          <w:sz w:val="13"/>
        </w:rPr>
        <w:t>(NSW)</w:t>
      </w:r>
      <w:r>
        <w:rPr>
          <w:spacing w:val="6"/>
          <w:w w:val="105"/>
          <w:sz w:val="13"/>
        </w:rPr>
        <w:t> </w:t>
      </w:r>
      <w:r>
        <w:rPr>
          <w:w w:val="105"/>
          <w:sz w:val="13"/>
        </w:rPr>
        <w:t>s</w:t>
      </w:r>
      <w:r>
        <w:rPr>
          <w:spacing w:val="6"/>
          <w:w w:val="105"/>
          <w:sz w:val="13"/>
        </w:rPr>
        <w:t> </w:t>
      </w:r>
      <w:r>
        <w:rPr>
          <w:spacing w:val="2"/>
          <w:w w:val="105"/>
          <w:sz w:val="13"/>
        </w:rPr>
        <w:t>12(h)(i);</w:t>
      </w:r>
      <w:r>
        <w:rPr>
          <w:spacing w:val="6"/>
          <w:w w:val="105"/>
          <w:sz w:val="13"/>
        </w:rPr>
        <w:t> </w:t>
      </w:r>
      <w:r>
        <w:rPr>
          <w:i/>
          <w:w w:val="105"/>
          <w:sz w:val="13"/>
        </w:rPr>
        <w:t>Neighbourhood</w:t>
      </w:r>
      <w:r>
        <w:rPr>
          <w:i/>
          <w:spacing w:val="6"/>
          <w:w w:val="105"/>
          <w:sz w:val="13"/>
        </w:rPr>
        <w:t> </w:t>
      </w:r>
      <w:r>
        <w:rPr>
          <w:i/>
          <w:w w:val="105"/>
          <w:sz w:val="13"/>
        </w:rPr>
        <w:t>Disputes</w:t>
      </w:r>
      <w:r>
        <w:rPr>
          <w:i/>
          <w:spacing w:val="6"/>
          <w:w w:val="105"/>
          <w:sz w:val="13"/>
        </w:rPr>
        <w:t> </w:t>
      </w:r>
      <w:r>
        <w:rPr>
          <w:i/>
          <w:w w:val="105"/>
          <w:sz w:val="13"/>
        </w:rPr>
        <w:t>(Dividing</w:t>
      </w:r>
      <w:r>
        <w:rPr>
          <w:i/>
          <w:spacing w:val="6"/>
          <w:w w:val="105"/>
          <w:sz w:val="13"/>
        </w:rPr>
        <w:t> </w:t>
      </w:r>
      <w:r>
        <w:rPr>
          <w:i/>
          <w:w w:val="105"/>
          <w:sz w:val="13"/>
        </w:rPr>
        <w:t>Fences</w:t>
      </w:r>
      <w:r>
        <w:rPr>
          <w:i/>
          <w:spacing w:val="6"/>
          <w:w w:val="105"/>
          <w:sz w:val="13"/>
        </w:rPr>
        <w:t> </w:t>
      </w:r>
      <w:r>
        <w:rPr>
          <w:i/>
          <w:w w:val="105"/>
          <w:sz w:val="13"/>
        </w:rPr>
        <w:t>and</w:t>
      </w:r>
      <w:r>
        <w:rPr>
          <w:i/>
          <w:spacing w:val="6"/>
          <w:w w:val="105"/>
          <w:sz w:val="13"/>
        </w:rPr>
        <w:t> </w:t>
      </w:r>
      <w:r>
        <w:rPr>
          <w:i/>
          <w:w w:val="105"/>
          <w:sz w:val="13"/>
        </w:rPr>
        <w:t>Trees)</w:t>
      </w:r>
      <w:r>
        <w:rPr>
          <w:i/>
          <w:spacing w:val="6"/>
          <w:w w:val="105"/>
          <w:sz w:val="13"/>
        </w:rPr>
        <w:t> </w:t>
      </w:r>
      <w:r>
        <w:rPr>
          <w:i/>
          <w:w w:val="105"/>
          <w:sz w:val="13"/>
        </w:rPr>
        <w:t>Act</w:t>
      </w:r>
      <w:r>
        <w:rPr>
          <w:i/>
          <w:spacing w:val="6"/>
          <w:w w:val="105"/>
          <w:sz w:val="13"/>
        </w:rPr>
        <w:t> </w:t>
      </w:r>
      <w:r>
        <w:rPr>
          <w:i/>
          <w:spacing w:val="-4"/>
          <w:w w:val="105"/>
          <w:sz w:val="13"/>
        </w:rPr>
        <w:t>2011</w:t>
      </w:r>
      <w:r>
        <w:rPr>
          <w:i/>
          <w:spacing w:val="6"/>
          <w:w w:val="105"/>
          <w:sz w:val="13"/>
        </w:rPr>
        <w:t> </w:t>
      </w:r>
      <w:r>
        <w:rPr>
          <w:spacing w:val="2"/>
          <w:w w:val="105"/>
          <w:sz w:val="13"/>
        </w:rPr>
        <w:t>(Qld)</w:t>
      </w:r>
      <w:r>
        <w:rPr>
          <w:spacing w:val="6"/>
          <w:w w:val="105"/>
          <w:sz w:val="13"/>
        </w:rPr>
        <w:t> </w:t>
      </w:r>
      <w:r>
        <w:rPr>
          <w:w w:val="105"/>
          <w:sz w:val="13"/>
        </w:rPr>
        <w:t>s</w:t>
      </w:r>
      <w:r>
        <w:rPr>
          <w:spacing w:val="6"/>
          <w:w w:val="105"/>
          <w:sz w:val="13"/>
        </w:rPr>
        <w:t> </w:t>
      </w:r>
      <w:r>
        <w:rPr>
          <w:w w:val="105"/>
          <w:sz w:val="13"/>
        </w:rPr>
        <w:t>74;</w:t>
      </w:r>
    </w:p>
    <w:p>
      <w:pPr>
        <w:spacing w:before="1"/>
        <w:ind w:left="1226" w:right="0" w:firstLine="0"/>
        <w:jc w:val="left"/>
        <w:rPr>
          <w:sz w:val="13"/>
        </w:rPr>
      </w:pPr>
      <w:r>
        <w:rPr>
          <w:i/>
          <w:w w:val="105"/>
          <w:sz w:val="13"/>
        </w:rPr>
        <w:t>Neighbourhood Disputes About Plants Act 2017 </w:t>
      </w:r>
      <w:r>
        <w:rPr>
          <w:w w:val="105"/>
          <w:sz w:val="13"/>
        </w:rPr>
        <w:t>(Tas) s 31(1).</w:t>
      </w:r>
    </w:p>
    <w:p>
      <w:pPr>
        <w:pStyle w:val="ListParagraph"/>
        <w:numPr>
          <w:ilvl w:val="0"/>
          <w:numId w:val="127"/>
        </w:numPr>
        <w:tabs>
          <w:tab w:pos="1226" w:val="left" w:leader="none"/>
          <w:tab w:pos="1227" w:val="left" w:leader="none"/>
        </w:tabs>
        <w:spacing w:line="240" w:lineRule="auto" w:before="1" w:after="0"/>
        <w:ind w:left="1226" w:right="1584"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 74(2); </w:t>
      </w:r>
      <w:r>
        <w:rPr>
          <w:i/>
          <w:w w:val="105"/>
          <w:sz w:val="13"/>
        </w:rPr>
        <w:t>Neighbourhood Disputes About Plants Act </w:t>
      </w:r>
      <w:r>
        <w:rPr>
          <w:i/>
          <w:spacing w:val="-4"/>
          <w:w w:val="105"/>
          <w:sz w:val="13"/>
        </w:rPr>
        <w:t>2017  </w:t>
      </w:r>
      <w:r>
        <w:rPr>
          <w:w w:val="105"/>
          <w:sz w:val="13"/>
        </w:rPr>
        <w:t>(Tas) s 31(2).</w:t>
      </w:r>
      <w:r>
        <w:rPr>
          <w:spacing w:val="30"/>
          <w:w w:val="105"/>
          <w:sz w:val="13"/>
        </w:rPr>
        <w:t> </w:t>
      </w:r>
      <w:r>
        <w:rPr>
          <w:w w:val="105"/>
          <w:sz w:val="13"/>
        </w:rPr>
        <w:t>These principles include anything, other than the tree or plant, that has contributed, or is contributing, to the injury or damage or likelihood   of injury or damage, including any </w:t>
      </w:r>
      <w:r>
        <w:rPr>
          <w:spacing w:val="2"/>
          <w:w w:val="105"/>
          <w:sz w:val="13"/>
        </w:rPr>
        <w:t>act </w:t>
      </w:r>
      <w:r>
        <w:rPr>
          <w:w w:val="105"/>
          <w:sz w:val="13"/>
        </w:rPr>
        <w:t>or omission by the affected landholder or neighbour and the effect of any tree or plant situated on      the affected landholder’s or neighbour’s land and any steps taken by the affected landholder or neighbour, or the owner of the area of land   or</w:t>
      </w:r>
      <w:r>
        <w:rPr>
          <w:spacing w:val="4"/>
          <w:w w:val="105"/>
          <w:sz w:val="13"/>
        </w:rPr>
        <w:t> </w:t>
      </w:r>
      <w:r>
        <w:rPr>
          <w:w w:val="105"/>
          <w:sz w:val="13"/>
        </w:rPr>
        <w:t>tree-keeper</w:t>
      </w:r>
      <w:r>
        <w:rPr>
          <w:spacing w:val="4"/>
          <w:w w:val="105"/>
          <w:sz w:val="13"/>
        </w:rPr>
        <w:t> </w:t>
      </w:r>
      <w:r>
        <w:rPr>
          <w:w w:val="105"/>
          <w:sz w:val="13"/>
        </w:rPr>
        <w:t>on</w:t>
      </w:r>
      <w:r>
        <w:rPr>
          <w:spacing w:val="4"/>
          <w:w w:val="105"/>
          <w:sz w:val="13"/>
        </w:rPr>
        <w:t> </w:t>
      </w:r>
      <w:r>
        <w:rPr>
          <w:w w:val="105"/>
          <w:sz w:val="13"/>
        </w:rPr>
        <w:t>which</w:t>
      </w:r>
      <w:r>
        <w:rPr>
          <w:spacing w:val="4"/>
          <w:w w:val="105"/>
          <w:sz w:val="13"/>
        </w:rPr>
        <w:t> </w:t>
      </w:r>
      <w:r>
        <w:rPr>
          <w:w w:val="105"/>
          <w:sz w:val="13"/>
        </w:rPr>
        <w:t>the</w:t>
      </w:r>
      <w:r>
        <w:rPr>
          <w:spacing w:val="4"/>
          <w:w w:val="105"/>
          <w:sz w:val="13"/>
        </w:rPr>
        <w:t> </w:t>
      </w:r>
      <w:r>
        <w:rPr>
          <w:w w:val="105"/>
          <w:sz w:val="13"/>
        </w:rPr>
        <w:t>tree</w:t>
      </w:r>
      <w:r>
        <w:rPr>
          <w:spacing w:val="4"/>
          <w:w w:val="105"/>
          <w:sz w:val="13"/>
        </w:rPr>
        <w:t> </w:t>
      </w:r>
      <w:r>
        <w:rPr>
          <w:w w:val="105"/>
          <w:sz w:val="13"/>
        </w:rPr>
        <w:t>or</w:t>
      </w:r>
      <w:r>
        <w:rPr>
          <w:spacing w:val="4"/>
          <w:w w:val="105"/>
          <w:sz w:val="13"/>
        </w:rPr>
        <w:t> </w:t>
      </w:r>
      <w:r>
        <w:rPr>
          <w:w w:val="105"/>
          <w:sz w:val="13"/>
        </w:rPr>
        <w:t>plant</w:t>
      </w:r>
      <w:r>
        <w:rPr>
          <w:spacing w:val="4"/>
          <w:w w:val="105"/>
          <w:sz w:val="13"/>
        </w:rPr>
        <w:t> </w:t>
      </w:r>
      <w:r>
        <w:rPr>
          <w:w w:val="105"/>
          <w:sz w:val="13"/>
        </w:rPr>
        <w:t>is</w:t>
      </w:r>
      <w:r>
        <w:rPr>
          <w:spacing w:val="4"/>
          <w:w w:val="105"/>
          <w:sz w:val="13"/>
        </w:rPr>
        <w:t> </w:t>
      </w:r>
      <w:r>
        <w:rPr>
          <w:w w:val="105"/>
          <w:sz w:val="13"/>
        </w:rPr>
        <w:t>situated,</w:t>
      </w:r>
      <w:r>
        <w:rPr>
          <w:spacing w:val="4"/>
          <w:w w:val="105"/>
          <w:sz w:val="13"/>
        </w:rPr>
        <w:t> </w:t>
      </w:r>
      <w:r>
        <w:rPr>
          <w:w w:val="105"/>
          <w:sz w:val="13"/>
        </w:rPr>
        <w:t>to</w:t>
      </w:r>
      <w:r>
        <w:rPr>
          <w:spacing w:val="4"/>
          <w:w w:val="105"/>
          <w:sz w:val="13"/>
        </w:rPr>
        <w:t> </w:t>
      </w:r>
      <w:r>
        <w:rPr>
          <w:w w:val="105"/>
          <w:sz w:val="13"/>
        </w:rPr>
        <w:t>prevent</w:t>
      </w:r>
      <w:r>
        <w:rPr>
          <w:spacing w:val="4"/>
          <w:w w:val="105"/>
          <w:sz w:val="13"/>
        </w:rPr>
        <w:t> </w:t>
      </w:r>
      <w:r>
        <w:rPr>
          <w:w w:val="105"/>
          <w:sz w:val="13"/>
        </w:rPr>
        <w:t>or</w:t>
      </w:r>
      <w:r>
        <w:rPr>
          <w:spacing w:val="4"/>
          <w:w w:val="105"/>
          <w:sz w:val="13"/>
        </w:rPr>
        <w:t> </w:t>
      </w:r>
      <w:r>
        <w:rPr>
          <w:w w:val="105"/>
          <w:sz w:val="13"/>
        </w:rPr>
        <w:t>rectify</w:t>
      </w:r>
      <w:r>
        <w:rPr>
          <w:spacing w:val="4"/>
          <w:w w:val="105"/>
          <w:sz w:val="13"/>
        </w:rPr>
        <w:t> </w:t>
      </w:r>
      <w:r>
        <w:rPr>
          <w:w w:val="105"/>
          <w:sz w:val="13"/>
        </w:rPr>
        <w:t>the</w:t>
      </w:r>
      <w:r>
        <w:rPr>
          <w:spacing w:val="4"/>
          <w:w w:val="105"/>
          <w:sz w:val="13"/>
        </w:rPr>
        <w:t> </w:t>
      </w:r>
      <w:r>
        <w:rPr>
          <w:w w:val="105"/>
          <w:sz w:val="13"/>
        </w:rPr>
        <w:t>injury</w:t>
      </w:r>
      <w:r>
        <w:rPr>
          <w:spacing w:val="4"/>
          <w:w w:val="105"/>
          <w:sz w:val="13"/>
        </w:rPr>
        <w:t> </w:t>
      </w:r>
      <w:r>
        <w:rPr>
          <w:w w:val="105"/>
          <w:sz w:val="13"/>
        </w:rPr>
        <w:t>or</w:t>
      </w:r>
      <w:r>
        <w:rPr>
          <w:spacing w:val="4"/>
          <w:w w:val="105"/>
          <w:sz w:val="13"/>
        </w:rPr>
        <w:t> </w:t>
      </w:r>
      <w:r>
        <w:rPr>
          <w:w w:val="105"/>
          <w:sz w:val="13"/>
        </w:rPr>
        <w:t>damage</w:t>
      </w:r>
      <w:r>
        <w:rPr>
          <w:spacing w:val="4"/>
          <w:w w:val="105"/>
          <w:sz w:val="13"/>
        </w:rPr>
        <w:t> </w:t>
      </w:r>
      <w:r>
        <w:rPr>
          <w:w w:val="105"/>
          <w:sz w:val="13"/>
        </w:rPr>
        <w:t>or</w:t>
      </w:r>
      <w:r>
        <w:rPr>
          <w:spacing w:val="4"/>
          <w:w w:val="105"/>
          <w:sz w:val="13"/>
        </w:rPr>
        <w:t> </w:t>
      </w:r>
      <w:r>
        <w:rPr>
          <w:w w:val="105"/>
          <w:sz w:val="13"/>
        </w:rPr>
        <w:t>the</w:t>
      </w:r>
      <w:r>
        <w:rPr>
          <w:spacing w:val="4"/>
          <w:w w:val="105"/>
          <w:sz w:val="13"/>
        </w:rPr>
        <w:t> </w:t>
      </w:r>
      <w:r>
        <w:rPr>
          <w:w w:val="105"/>
          <w:sz w:val="13"/>
        </w:rPr>
        <w:t>likelihood</w:t>
      </w:r>
      <w:r>
        <w:rPr>
          <w:spacing w:val="4"/>
          <w:w w:val="105"/>
          <w:sz w:val="13"/>
        </w:rPr>
        <w:t> </w:t>
      </w:r>
      <w:r>
        <w:rPr>
          <w:w w:val="105"/>
          <w:sz w:val="13"/>
        </w:rPr>
        <w:t>of</w:t>
      </w:r>
      <w:r>
        <w:rPr>
          <w:spacing w:val="4"/>
          <w:w w:val="105"/>
          <w:sz w:val="13"/>
        </w:rPr>
        <w:t> </w:t>
      </w:r>
      <w:r>
        <w:rPr>
          <w:w w:val="105"/>
          <w:sz w:val="13"/>
        </w:rPr>
        <w:t>injury</w:t>
      </w:r>
      <w:r>
        <w:rPr>
          <w:spacing w:val="4"/>
          <w:w w:val="105"/>
          <w:sz w:val="13"/>
        </w:rPr>
        <w:t> </w:t>
      </w:r>
      <w:r>
        <w:rPr>
          <w:w w:val="105"/>
          <w:sz w:val="13"/>
        </w:rPr>
        <w:t>or</w:t>
      </w:r>
      <w:r>
        <w:rPr>
          <w:spacing w:val="4"/>
          <w:w w:val="105"/>
          <w:sz w:val="13"/>
        </w:rPr>
        <w:t> </w:t>
      </w:r>
      <w:r>
        <w:rPr>
          <w:w w:val="105"/>
          <w:sz w:val="13"/>
        </w:rPr>
        <w:t>damage.</w:t>
      </w:r>
    </w:p>
    <w:p>
      <w:pPr>
        <w:pStyle w:val="ListParagraph"/>
        <w:numPr>
          <w:ilvl w:val="0"/>
          <w:numId w:val="127"/>
        </w:numPr>
        <w:tabs>
          <w:tab w:pos="1226" w:val="left" w:leader="none"/>
          <w:tab w:pos="1227" w:val="left" w:leader="none"/>
        </w:tabs>
        <w:spacing w:line="240" w:lineRule="auto" w:before="7" w:after="0"/>
        <w:ind w:left="1226"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127"/>
        </w:numPr>
        <w:tabs>
          <w:tab w:pos="1226" w:val="left" w:leader="none"/>
          <w:tab w:pos="1227" w:val="left" w:leader="none"/>
        </w:tabs>
        <w:spacing w:line="240" w:lineRule="auto" w:before="1" w:after="0"/>
        <w:ind w:left="1226" w:right="0" w:hanging="794"/>
        <w:jc w:val="left"/>
        <w:rPr>
          <w:sz w:val="13"/>
        </w:rPr>
      </w:pPr>
      <w:r>
        <w:rPr>
          <w:sz w:val="13"/>
        </w:rPr>
        <w:t>Ibid.</w:t>
      </w:r>
    </w:p>
    <w:p>
      <w:pPr>
        <w:pStyle w:val="ListParagraph"/>
        <w:numPr>
          <w:ilvl w:val="0"/>
          <w:numId w:val="127"/>
        </w:numPr>
        <w:tabs>
          <w:tab w:pos="1226" w:val="left" w:leader="none"/>
          <w:tab w:pos="1227" w:val="left" w:leader="none"/>
        </w:tabs>
        <w:spacing w:line="240" w:lineRule="auto" w:before="2" w:after="0"/>
        <w:ind w:left="1226" w:right="0" w:hanging="794"/>
        <w:jc w:val="left"/>
        <w:rPr>
          <w:sz w:val="13"/>
        </w:rPr>
      </w:pPr>
      <w:r>
        <w:rPr>
          <w:w w:val="105"/>
          <w:sz w:val="13"/>
        </w:rPr>
        <w:t>Land</w:t>
      </w:r>
      <w:r>
        <w:rPr>
          <w:spacing w:val="5"/>
          <w:w w:val="105"/>
          <w:sz w:val="13"/>
        </w:rPr>
        <w:t> </w:t>
      </w:r>
      <w:r>
        <w:rPr>
          <w:w w:val="105"/>
          <w:sz w:val="13"/>
        </w:rPr>
        <w:t>and</w:t>
      </w:r>
      <w:r>
        <w:rPr>
          <w:spacing w:val="6"/>
          <w:w w:val="105"/>
          <w:sz w:val="13"/>
        </w:rPr>
        <w:t> </w:t>
      </w:r>
      <w:r>
        <w:rPr>
          <w:w w:val="105"/>
          <w:sz w:val="13"/>
        </w:rPr>
        <w:t>Environment</w:t>
      </w:r>
      <w:r>
        <w:rPr>
          <w:spacing w:val="6"/>
          <w:w w:val="105"/>
          <w:sz w:val="13"/>
        </w:rPr>
        <w:t> </w:t>
      </w:r>
      <w:r>
        <w:rPr>
          <w:w w:val="105"/>
          <w:sz w:val="13"/>
        </w:rPr>
        <w:t>Court</w:t>
      </w:r>
      <w:r>
        <w:rPr>
          <w:spacing w:val="6"/>
          <w:w w:val="105"/>
          <w:sz w:val="13"/>
        </w:rPr>
        <w:t> </w:t>
      </w:r>
      <w:r>
        <w:rPr>
          <w:w w:val="105"/>
          <w:sz w:val="13"/>
        </w:rPr>
        <w:t>of</w:t>
      </w:r>
      <w:r>
        <w:rPr>
          <w:spacing w:val="6"/>
          <w:w w:val="105"/>
          <w:sz w:val="13"/>
        </w:rPr>
        <w:t> </w:t>
      </w:r>
      <w:r>
        <w:rPr>
          <w:w w:val="105"/>
          <w:sz w:val="13"/>
        </w:rPr>
        <w:t>New</w:t>
      </w:r>
      <w:r>
        <w:rPr>
          <w:spacing w:val="6"/>
          <w:w w:val="105"/>
          <w:sz w:val="13"/>
        </w:rPr>
        <w:t> </w:t>
      </w:r>
      <w:r>
        <w:rPr>
          <w:w w:val="105"/>
          <w:sz w:val="13"/>
        </w:rPr>
        <w:t>South</w:t>
      </w:r>
      <w:r>
        <w:rPr>
          <w:spacing w:val="6"/>
          <w:w w:val="105"/>
          <w:sz w:val="13"/>
        </w:rPr>
        <w:t> </w:t>
      </w:r>
      <w:r>
        <w:rPr>
          <w:w w:val="105"/>
          <w:sz w:val="13"/>
        </w:rPr>
        <w:t>Wales,</w:t>
      </w:r>
      <w:r>
        <w:rPr>
          <w:spacing w:val="6"/>
          <w:w w:val="105"/>
          <w:sz w:val="13"/>
        </w:rPr>
        <w:t> </w:t>
      </w:r>
      <w:r>
        <w:rPr>
          <w:i/>
          <w:w w:val="105"/>
          <w:sz w:val="13"/>
        </w:rPr>
        <w:t>Annotated</w:t>
      </w:r>
      <w:r>
        <w:rPr>
          <w:i/>
          <w:spacing w:val="6"/>
          <w:w w:val="105"/>
          <w:sz w:val="13"/>
        </w:rPr>
        <w:t> </w:t>
      </w:r>
      <w:r>
        <w:rPr>
          <w:i/>
          <w:w w:val="105"/>
          <w:sz w:val="13"/>
        </w:rPr>
        <w:t>Trees</w:t>
      </w:r>
      <w:r>
        <w:rPr>
          <w:i/>
          <w:spacing w:val="6"/>
          <w:w w:val="105"/>
          <w:sz w:val="13"/>
        </w:rPr>
        <w:t> </w:t>
      </w:r>
      <w:r>
        <w:rPr>
          <w:i/>
          <w:w w:val="105"/>
          <w:sz w:val="13"/>
        </w:rPr>
        <w:t>(Disputes</w:t>
      </w:r>
      <w:r>
        <w:rPr>
          <w:i/>
          <w:spacing w:val="6"/>
          <w:w w:val="105"/>
          <w:sz w:val="13"/>
        </w:rPr>
        <w:t> </w:t>
      </w:r>
      <w:r>
        <w:rPr>
          <w:i/>
          <w:w w:val="105"/>
          <w:sz w:val="13"/>
        </w:rPr>
        <w:t>Between</w:t>
      </w:r>
      <w:r>
        <w:rPr>
          <w:i/>
          <w:spacing w:val="6"/>
          <w:w w:val="105"/>
          <w:sz w:val="13"/>
        </w:rPr>
        <w:t> </w:t>
      </w:r>
      <w:r>
        <w:rPr>
          <w:i/>
          <w:w w:val="105"/>
          <w:sz w:val="13"/>
        </w:rPr>
        <w:t>Neighbours)</w:t>
      </w:r>
      <w:r>
        <w:rPr>
          <w:i/>
          <w:spacing w:val="6"/>
          <w:w w:val="105"/>
          <w:sz w:val="13"/>
        </w:rPr>
        <w:t> </w:t>
      </w:r>
      <w:r>
        <w:rPr>
          <w:i/>
          <w:w w:val="105"/>
          <w:sz w:val="13"/>
        </w:rPr>
        <w:t>Act</w:t>
      </w:r>
      <w:r>
        <w:rPr>
          <w:i/>
          <w:spacing w:val="6"/>
          <w:w w:val="105"/>
          <w:sz w:val="13"/>
        </w:rPr>
        <w:t> </w:t>
      </w:r>
      <w:r>
        <w:rPr>
          <w:i/>
          <w:w w:val="105"/>
          <w:sz w:val="13"/>
        </w:rPr>
        <w:t>2006</w:t>
      </w:r>
      <w:r>
        <w:rPr>
          <w:i/>
          <w:spacing w:val="6"/>
          <w:w w:val="105"/>
          <w:sz w:val="13"/>
        </w:rPr>
        <w:t> </w:t>
      </w:r>
      <w:r>
        <w:rPr>
          <w:spacing w:val="-3"/>
          <w:w w:val="105"/>
          <w:sz w:val="13"/>
        </w:rPr>
        <w:t>(14</w:t>
      </w:r>
      <w:r>
        <w:rPr>
          <w:spacing w:val="6"/>
          <w:w w:val="105"/>
          <w:sz w:val="13"/>
        </w:rPr>
        <w:t> </w:t>
      </w:r>
      <w:r>
        <w:rPr>
          <w:w w:val="105"/>
          <w:sz w:val="13"/>
        </w:rPr>
        <w:t>January</w:t>
      </w:r>
      <w:r>
        <w:rPr>
          <w:spacing w:val="6"/>
          <w:w w:val="105"/>
          <w:sz w:val="13"/>
        </w:rPr>
        <w:t> </w:t>
      </w:r>
      <w:r>
        <w:rPr>
          <w:w w:val="105"/>
          <w:sz w:val="13"/>
        </w:rPr>
        <w:t>2013).</w:t>
      </w:r>
    </w:p>
    <w:p>
      <w:pPr>
        <w:pStyle w:val="ListParagraph"/>
        <w:numPr>
          <w:ilvl w:val="0"/>
          <w:numId w:val="127"/>
        </w:numPr>
        <w:tabs>
          <w:tab w:pos="1226" w:val="left" w:leader="none"/>
          <w:tab w:pos="1227" w:val="left" w:leader="none"/>
        </w:tabs>
        <w:spacing w:line="240" w:lineRule="auto" w:before="1" w:after="0"/>
        <w:ind w:left="1226" w:right="0" w:hanging="794"/>
        <w:jc w:val="left"/>
        <w:rPr>
          <w:sz w:val="13"/>
        </w:rPr>
      </w:pPr>
      <w:r>
        <w:rPr>
          <w:i/>
          <w:w w:val="105"/>
          <w:sz w:val="13"/>
        </w:rPr>
        <w:t>Trees (Disputes Between Neighbours) Act 2006 </w:t>
      </w:r>
      <w:r>
        <w:rPr>
          <w:spacing w:val="3"/>
          <w:w w:val="105"/>
          <w:sz w:val="13"/>
        </w:rPr>
        <w:t>(NSW) </w:t>
      </w:r>
      <w:r>
        <w:rPr>
          <w:w w:val="105"/>
          <w:sz w:val="13"/>
        </w:rPr>
        <w:t>s</w:t>
      </w:r>
      <w:r>
        <w:rPr>
          <w:spacing w:val="5"/>
          <w:w w:val="105"/>
          <w:sz w:val="13"/>
        </w:rPr>
        <w:t> </w:t>
      </w:r>
      <w:r>
        <w:rPr>
          <w:w w:val="105"/>
          <w:sz w:val="13"/>
        </w:rPr>
        <w:t>12(h).</w:t>
      </w:r>
    </w:p>
    <w:p>
      <w:pPr>
        <w:spacing w:after="0" w:line="240" w:lineRule="auto"/>
        <w:jc w:val="left"/>
        <w:rPr>
          <w:sz w:val="13"/>
        </w:rPr>
        <w:sectPr>
          <w:type w:val="continuous"/>
          <w:pgSz w:w="11910" w:h="16840"/>
          <w:pgMar w:top="300" w:bottom="280" w:left="0" w:right="0"/>
          <w:cols w:num="2" w:equalWidth="0">
            <w:col w:w="1115" w:space="40"/>
            <w:col w:w="10755"/>
          </w:cols>
        </w:sectPr>
      </w:pPr>
    </w:p>
    <w:p>
      <w:pPr>
        <w:pStyle w:val="BodyText"/>
        <w:rPr>
          <w:sz w:val="20"/>
        </w:rPr>
      </w:pPr>
    </w:p>
    <w:p>
      <w:pPr>
        <w:pStyle w:val="BodyText"/>
        <w:spacing w:before="9"/>
        <w:rPr>
          <w:sz w:val="18"/>
        </w:rPr>
      </w:pPr>
    </w:p>
    <w:p>
      <w:pPr>
        <w:pStyle w:val="ListParagraph"/>
        <w:numPr>
          <w:ilvl w:val="1"/>
          <w:numId w:val="16"/>
        </w:numPr>
        <w:tabs>
          <w:tab w:pos="2380" w:val="left" w:leader="none"/>
          <w:tab w:pos="2381" w:val="left" w:leader="none"/>
        </w:tabs>
        <w:spacing w:line="242" w:lineRule="auto" w:before="91" w:after="0"/>
        <w:ind w:left="2381" w:right="1820" w:hanging="794"/>
        <w:jc w:val="left"/>
        <w:rPr>
          <w:sz w:val="21"/>
        </w:rPr>
      </w:pPr>
      <w:r>
        <w:rPr>
          <w:w w:val="105"/>
          <w:sz w:val="21"/>
        </w:rPr>
        <w:t>Under</w:t>
      </w:r>
      <w:r>
        <w:rPr>
          <w:spacing w:val="-5"/>
          <w:w w:val="105"/>
          <w:sz w:val="21"/>
        </w:rPr>
        <w:t> </w:t>
      </w:r>
      <w:r>
        <w:rPr>
          <w:w w:val="105"/>
          <w:sz w:val="21"/>
        </w:rPr>
        <w:t>this</w:t>
      </w:r>
      <w:r>
        <w:rPr>
          <w:spacing w:val="-4"/>
          <w:w w:val="105"/>
          <w:sz w:val="21"/>
        </w:rPr>
        <w:t> </w:t>
      </w:r>
      <w:r>
        <w:rPr>
          <w:spacing w:val="-3"/>
          <w:w w:val="105"/>
          <w:sz w:val="21"/>
        </w:rPr>
        <w:t>provision</w:t>
      </w:r>
      <w:r>
        <w:rPr>
          <w:spacing w:val="-4"/>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NSW</w:t>
      </w:r>
      <w:r>
        <w:rPr>
          <w:spacing w:val="-4"/>
          <w:w w:val="105"/>
          <w:sz w:val="21"/>
        </w:rPr>
        <w:t> </w:t>
      </w:r>
      <w:r>
        <w:rPr>
          <w:w w:val="105"/>
          <w:sz w:val="21"/>
        </w:rPr>
        <w:t>Act,</w:t>
      </w:r>
      <w:r>
        <w:rPr>
          <w:spacing w:val="-4"/>
          <w:w w:val="105"/>
          <w:sz w:val="21"/>
        </w:rPr>
        <w:t> </w:t>
      </w:r>
      <w:r>
        <w:rPr>
          <w:w w:val="105"/>
          <w:sz w:val="21"/>
        </w:rPr>
        <w:t>the</w:t>
      </w:r>
      <w:r>
        <w:rPr>
          <w:spacing w:val="-4"/>
          <w:w w:val="105"/>
          <w:sz w:val="21"/>
        </w:rPr>
        <w:t> </w:t>
      </w:r>
      <w:r>
        <w:rPr>
          <w:w w:val="105"/>
          <w:sz w:val="21"/>
        </w:rPr>
        <w:t>NSWLEC</w:t>
      </w:r>
      <w:r>
        <w:rPr>
          <w:spacing w:val="-4"/>
          <w:w w:val="105"/>
          <w:sz w:val="21"/>
        </w:rPr>
        <w:t> </w:t>
      </w:r>
      <w:r>
        <w:rPr>
          <w:spacing w:val="-2"/>
          <w:w w:val="105"/>
          <w:sz w:val="21"/>
        </w:rPr>
        <w:t>has</w:t>
      </w:r>
      <w:r>
        <w:rPr>
          <w:spacing w:val="-4"/>
          <w:w w:val="105"/>
          <w:sz w:val="21"/>
        </w:rPr>
        <w:t> </w:t>
      </w:r>
      <w:r>
        <w:rPr>
          <w:w w:val="105"/>
          <w:sz w:val="21"/>
        </w:rPr>
        <w:t>adopted</w:t>
      </w:r>
      <w:r>
        <w:rPr>
          <w:spacing w:val="-4"/>
          <w:w w:val="105"/>
          <w:sz w:val="21"/>
        </w:rPr>
        <w:t> </w:t>
      </w:r>
      <w:r>
        <w:rPr>
          <w:w w:val="105"/>
          <w:sz w:val="21"/>
        </w:rPr>
        <w:t>a</w:t>
      </w:r>
      <w:r>
        <w:rPr>
          <w:spacing w:val="-4"/>
          <w:w w:val="105"/>
          <w:sz w:val="21"/>
        </w:rPr>
        <w:t> </w:t>
      </w:r>
      <w:r>
        <w:rPr>
          <w:w w:val="105"/>
          <w:sz w:val="21"/>
        </w:rPr>
        <w:t>tree</w:t>
      </w:r>
      <w:r>
        <w:rPr>
          <w:spacing w:val="-4"/>
          <w:w w:val="105"/>
          <w:sz w:val="21"/>
        </w:rPr>
        <w:t> </w:t>
      </w:r>
      <w:r>
        <w:rPr>
          <w:spacing w:val="-3"/>
          <w:w w:val="105"/>
          <w:sz w:val="21"/>
        </w:rPr>
        <w:t>dispute</w:t>
      </w:r>
      <w:r>
        <w:rPr>
          <w:spacing w:val="-4"/>
          <w:w w:val="105"/>
          <w:sz w:val="21"/>
        </w:rPr>
        <w:t> </w:t>
      </w:r>
      <w:r>
        <w:rPr>
          <w:w w:val="105"/>
          <w:sz w:val="21"/>
        </w:rPr>
        <w:t>principle: ‘the tree was there</w:t>
      </w:r>
      <w:r>
        <w:rPr>
          <w:spacing w:val="19"/>
          <w:w w:val="105"/>
          <w:sz w:val="21"/>
        </w:rPr>
        <w:t> </w:t>
      </w:r>
      <w:r>
        <w:rPr>
          <w:w w:val="105"/>
          <w:sz w:val="21"/>
        </w:rPr>
        <w:t>first’:</w:t>
      </w:r>
      <w:r>
        <w:rPr>
          <w:w w:val="105"/>
          <w:position w:val="7"/>
          <w:sz w:val="12"/>
        </w:rPr>
        <w:t>35</w:t>
      </w:r>
    </w:p>
    <w:p>
      <w:pPr>
        <w:spacing w:line="254" w:lineRule="auto" w:before="132"/>
        <w:ind w:left="2834" w:right="1558" w:firstLine="0"/>
        <w:jc w:val="left"/>
        <w:rPr>
          <w:sz w:val="20"/>
        </w:rPr>
      </w:pPr>
      <w:r>
        <w:rPr>
          <w:w w:val="105"/>
          <w:sz w:val="20"/>
        </w:rPr>
        <w:t>The existence of a tree prior to the construction of a structure which has subsequently been damaged by the tree is not a matter </w:t>
      </w:r>
      <w:r>
        <w:rPr>
          <w:spacing w:val="-3"/>
          <w:w w:val="105"/>
          <w:sz w:val="20"/>
        </w:rPr>
        <w:t>likely </w:t>
      </w:r>
      <w:r>
        <w:rPr>
          <w:w w:val="105"/>
          <w:sz w:val="20"/>
        </w:rPr>
        <w:t>to be </w:t>
      </w:r>
      <w:r>
        <w:rPr>
          <w:spacing w:val="-3"/>
          <w:w w:val="105"/>
          <w:sz w:val="20"/>
        </w:rPr>
        <w:t>taken into </w:t>
      </w:r>
      <w:r>
        <w:rPr>
          <w:w w:val="105"/>
          <w:sz w:val="20"/>
        </w:rPr>
        <w:t>consideration on the question</w:t>
      </w:r>
      <w:r>
        <w:rPr>
          <w:spacing w:val="-11"/>
          <w:w w:val="105"/>
          <w:sz w:val="20"/>
        </w:rPr>
        <w:t> </w:t>
      </w:r>
      <w:r>
        <w:rPr>
          <w:w w:val="105"/>
          <w:sz w:val="20"/>
        </w:rPr>
        <w:t>of</w:t>
      </w:r>
      <w:r>
        <w:rPr>
          <w:spacing w:val="-10"/>
          <w:w w:val="105"/>
          <w:sz w:val="20"/>
        </w:rPr>
        <w:t> </w:t>
      </w:r>
      <w:r>
        <w:rPr>
          <w:w w:val="105"/>
          <w:sz w:val="20"/>
        </w:rPr>
        <w:t>whether</w:t>
      </w:r>
      <w:r>
        <w:rPr>
          <w:spacing w:val="-10"/>
          <w:w w:val="105"/>
          <w:sz w:val="20"/>
        </w:rPr>
        <w:t> </w:t>
      </w:r>
      <w:r>
        <w:rPr>
          <w:w w:val="105"/>
          <w:sz w:val="20"/>
        </w:rPr>
        <w:t>or</w:t>
      </w:r>
      <w:r>
        <w:rPr>
          <w:spacing w:val="-10"/>
          <w:w w:val="105"/>
          <w:sz w:val="20"/>
        </w:rPr>
        <w:t> </w:t>
      </w:r>
      <w:r>
        <w:rPr>
          <w:w w:val="105"/>
          <w:sz w:val="20"/>
        </w:rPr>
        <w:t>not</w:t>
      </w:r>
      <w:r>
        <w:rPr>
          <w:spacing w:val="-10"/>
          <w:w w:val="105"/>
          <w:sz w:val="20"/>
        </w:rPr>
        <w:t> </w:t>
      </w:r>
      <w:r>
        <w:rPr>
          <w:w w:val="105"/>
          <w:sz w:val="20"/>
        </w:rPr>
        <w:t>some</w:t>
      </w:r>
      <w:r>
        <w:rPr>
          <w:spacing w:val="-10"/>
          <w:w w:val="105"/>
          <w:sz w:val="20"/>
        </w:rPr>
        <w:t> </w:t>
      </w:r>
      <w:r>
        <w:rPr>
          <w:w w:val="105"/>
          <w:sz w:val="20"/>
        </w:rPr>
        <w:t>order</w:t>
      </w:r>
      <w:r>
        <w:rPr>
          <w:spacing w:val="-10"/>
          <w:w w:val="105"/>
          <w:sz w:val="20"/>
        </w:rPr>
        <w:t> </w:t>
      </w:r>
      <w:r>
        <w:rPr>
          <w:w w:val="105"/>
          <w:sz w:val="20"/>
        </w:rPr>
        <w:t>should</w:t>
      </w:r>
      <w:r>
        <w:rPr>
          <w:spacing w:val="-10"/>
          <w:w w:val="105"/>
          <w:sz w:val="20"/>
        </w:rPr>
        <w:t> </w:t>
      </w:r>
      <w:r>
        <w:rPr>
          <w:w w:val="105"/>
          <w:sz w:val="20"/>
        </w:rPr>
        <w:t>be</w:t>
      </w:r>
      <w:r>
        <w:rPr>
          <w:spacing w:val="-10"/>
          <w:w w:val="105"/>
          <w:sz w:val="20"/>
        </w:rPr>
        <w:t> </w:t>
      </w:r>
      <w:r>
        <w:rPr>
          <w:w w:val="105"/>
          <w:sz w:val="20"/>
        </w:rPr>
        <w:t>made</w:t>
      </w:r>
      <w:r>
        <w:rPr>
          <w:spacing w:val="-10"/>
          <w:w w:val="105"/>
          <w:sz w:val="20"/>
        </w:rPr>
        <w:t> </w:t>
      </w:r>
      <w:r>
        <w:rPr>
          <w:w w:val="105"/>
          <w:sz w:val="20"/>
        </w:rPr>
        <w:t>for</w:t>
      </w:r>
      <w:r>
        <w:rPr>
          <w:spacing w:val="-10"/>
          <w:w w:val="105"/>
          <w:sz w:val="20"/>
        </w:rPr>
        <w:t> </w:t>
      </w:r>
      <w:r>
        <w:rPr>
          <w:w w:val="105"/>
          <w:sz w:val="20"/>
        </w:rPr>
        <w:t>interference</w:t>
      </w:r>
      <w:r>
        <w:rPr>
          <w:spacing w:val="-10"/>
          <w:w w:val="105"/>
          <w:sz w:val="20"/>
        </w:rPr>
        <w:t> </w:t>
      </w:r>
      <w:r>
        <w:rPr>
          <w:w w:val="105"/>
          <w:sz w:val="20"/>
        </w:rPr>
        <w:t>with</w:t>
      </w:r>
      <w:r>
        <w:rPr>
          <w:spacing w:val="-10"/>
          <w:w w:val="105"/>
          <w:sz w:val="20"/>
        </w:rPr>
        <w:t> </w:t>
      </w:r>
      <w:r>
        <w:rPr>
          <w:w w:val="105"/>
          <w:sz w:val="20"/>
        </w:rPr>
        <w:t>or</w:t>
      </w:r>
      <w:r>
        <w:rPr>
          <w:spacing w:val="-11"/>
          <w:w w:val="105"/>
          <w:sz w:val="20"/>
        </w:rPr>
        <w:t> </w:t>
      </w:r>
      <w:r>
        <w:rPr>
          <w:w w:val="105"/>
          <w:sz w:val="20"/>
        </w:rPr>
        <w:t>removal of that tree or other remedial work. On that question, the seriousness of the damage and </w:t>
      </w:r>
      <w:r>
        <w:rPr>
          <w:spacing w:val="-2"/>
          <w:w w:val="105"/>
          <w:sz w:val="20"/>
        </w:rPr>
        <w:t>any </w:t>
      </w:r>
      <w:r>
        <w:rPr>
          <w:w w:val="105"/>
          <w:sz w:val="20"/>
        </w:rPr>
        <w:t>attendant risks are the primary matters for</w:t>
      </w:r>
      <w:r>
        <w:rPr>
          <w:spacing w:val="21"/>
          <w:w w:val="105"/>
          <w:sz w:val="20"/>
        </w:rPr>
        <w:t> </w:t>
      </w:r>
      <w:r>
        <w:rPr>
          <w:spacing w:val="-3"/>
          <w:w w:val="105"/>
          <w:sz w:val="20"/>
        </w:rPr>
        <w:t>consideration.</w:t>
      </w:r>
    </w:p>
    <w:p>
      <w:pPr>
        <w:spacing w:line="254" w:lineRule="auto" w:before="126"/>
        <w:ind w:left="2834" w:right="1636" w:firstLine="0"/>
        <w:jc w:val="left"/>
        <w:rPr>
          <w:sz w:val="20"/>
        </w:rPr>
      </w:pPr>
      <w:r>
        <w:rPr>
          <w:w w:val="105"/>
          <w:sz w:val="20"/>
        </w:rPr>
        <w:t>If interference with or removal of the tree or other work is </w:t>
      </w:r>
      <w:r>
        <w:rPr>
          <w:spacing w:val="-3"/>
          <w:w w:val="105"/>
          <w:sz w:val="20"/>
        </w:rPr>
        <w:t>warranted </w:t>
      </w:r>
      <w:r>
        <w:rPr>
          <w:w w:val="105"/>
          <w:sz w:val="20"/>
        </w:rPr>
        <w:t>because of the extent of the damage the tree has caused or risks now posed by the </w:t>
      </w:r>
      <w:r>
        <w:rPr>
          <w:spacing w:val="-3"/>
          <w:w w:val="105"/>
          <w:sz w:val="20"/>
        </w:rPr>
        <w:t>damage, </w:t>
      </w:r>
      <w:r>
        <w:rPr>
          <w:w w:val="105"/>
          <w:sz w:val="20"/>
        </w:rPr>
        <w:t>the fact that</w:t>
      </w:r>
      <w:r>
        <w:rPr>
          <w:spacing w:val="-9"/>
          <w:w w:val="105"/>
          <w:sz w:val="20"/>
        </w:rPr>
        <w:t> </w:t>
      </w:r>
      <w:r>
        <w:rPr>
          <w:w w:val="105"/>
          <w:sz w:val="20"/>
        </w:rPr>
        <w:t>the</w:t>
      </w:r>
      <w:r>
        <w:rPr>
          <w:spacing w:val="-8"/>
          <w:w w:val="105"/>
          <w:sz w:val="20"/>
        </w:rPr>
        <w:t> </w:t>
      </w:r>
      <w:r>
        <w:rPr>
          <w:w w:val="105"/>
          <w:sz w:val="20"/>
        </w:rPr>
        <w:t>tree</w:t>
      </w:r>
      <w:r>
        <w:rPr>
          <w:spacing w:val="-8"/>
          <w:w w:val="105"/>
          <w:sz w:val="20"/>
        </w:rPr>
        <w:t> </w:t>
      </w:r>
      <w:r>
        <w:rPr>
          <w:w w:val="105"/>
          <w:sz w:val="20"/>
        </w:rPr>
        <w:t>was</w:t>
      </w:r>
      <w:r>
        <w:rPr>
          <w:spacing w:val="-8"/>
          <w:w w:val="105"/>
          <w:sz w:val="20"/>
        </w:rPr>
        <w:t> </w:t>
      </w:r>
      <w:r>
        <w:rPr>
          <w:w w:val="105"/>
          <w:sz w:val="20"/>
        </w:rPr>
        <w:t>already</w:t>
      </w:r>
      <w:r>
        <w:rPr>
          <w:spacing w:val="-8"/>
          <w:w w:val="105"/>
          <w:sz w:val="20"/>
        </w:rPr>
        <w:t> </w:t>
      </w:r>
      <w:r>
        <w:rPr>
          <w:w w:val="105"/>
          <w:sz w:val="20"/>
        </w:rPr>
        <w:t>growing</w:t>
      </w:r>
      <w:r>
        <w:rPr>
          <w:spacing w:val="-9"/>
          <w:w w:val="105"/>
          <w:sz w:val="20"/>
        </w:rPr>
        <w:t> </w:t>
      </w:r>
      <w:r>
        <w:rPr>
          <w:w w:val="105"/>
          <w:sz w:val="20"/>
        </w:rPr>
        <w:t>in</w:t>
      </w:r>
      <w:r>
        <w:rPr>
          <w:spacing w:val="-8"/>
          <w:w w:val="105"/>
          <w:sz w:val="20"/>
        </w:rPr>
        <w:t> </w:t>
      </w:r>
      <w:r>
        <w:rPr>
          <w:w w:val="105"/>
          <w:sz w:val="20"/>
        </w:rPr>
        <w:t>the</w:t>
      </w:r>
      <w:r>
        <w:rPr>
          <w:spacing w:val="-8"/>
          <w:w w:val="105"/>
          <w:sz w:val="20"/>
        </w:rPr>
        <w:t> </w:t>
      </w:r>
      <w:r>
        <w:rPr>
          <w:w w:val="105"/>
          <w:sz w:val="20"/>
        </w:rPr>
        <w:t>vicinity</w:t>
      </w:r>
      <w:r>
        <w:rPr>
          <w:spacing w:val="-8"/>
          <w:w w:val="105"/>
          <w:sz w:val="20"/>
        </w:rPr>
        <w:t> </w:t>
      </w:r>
      <w:r>
        <w:rPr>
          <w:w w:val="105"/>
          <w:sz w:val="20"/>
        </w:rPr>
        <w:t>at</w:t>
      </w:r>
      <w:r>
        <w:rPr>
          <w:spacing w:val="-8"/>
          <w:w w:val="105"/>
          <w:sz w:val="20"/>
        </w:rPr>
        <w:t> </w:t>
      </w:r>
      <w:r>
        <w:rPr>
          <w:w w:val="105"/>
          <w:sz w:val="20"/>
        </w:rPr>
        <w:t>the</w:t>
      </w:r>
      <w:r>
        <w:rPr>
          <w:spacing w:val="-9"/>
          <w:w w:val="105"/>
          <w:sz w:val="20"/>
        </w:rPr>
        <w:t> </w:t>
      </w:r>
      <w:r>
        <w:rPr>
          <w:w w:val="105"/>
          <w:sz w:val="20"/>
        </w:rPr>
        <w:t>time</w:t>
      </w:r>
      <w:r>
        <w:rPr>
          <w:spacing w:val="-8"/>
          <w:w w:val="105"/>
          <w:sz w:val="20"/>
        </w:rPr>
        <w:t> </w:t>
      </w:r>
      <w:r>
        <w:rPr>
          <w:w w:val="105"/>
          <w:sz w:val="20"/>
        </w:rPr>
        <w:t>the</w:t>
      </w:r>
      <w:r>
        <w:rPr>
          <w:spacing w:val="-8"/>
          <w:w w:val="105"/>
          <w:sz w:val="20"/>
        </w:rPr>
        <w:t> </w:t>
      </w:r>
      <w:r>
        <w:rPr>
          <w:w w:val="105"/>
          <w:sz w:val="20"/>
        </w:rPr>
        <w:t>structure</w:t>
      </w:r>
      <w:r>
        <w:rPr>
          <w:spacing w:val="-8"/>
          <w:w w:val="105"/>
          <w:sz w:val="20"/>
        </w:rPr>
        <w:t> </w:t>
      </w:r>
      <w:r>
        <w:rPr>
          <w:w w:val="105"/>
          <w:sz w:val="20"/>
        </w:rPr>
        <w:t>was</w:t>
      </w:r>
      <w:r>
        <w:rPr>
          <w:spacing w:val="-8"/>
          <w:w w:val="105"/>
          <w:sz w:val="20"/>
        </w:rPr>
        <w:t> </w:t>
      </w:r>
      <w:r>
        <w:rPr>
          <w:w w:val="105"/>
          <w:sz w:val="20"/>
        </w:rPr>
        <w:t>built</w:t>
      </w:r>
      <w:r>
        <w:rPr>
          <w:spacing w:val="-9"/>
          <w:w w:val="105"/>
          <w:sz w:val="20"/>
        </w:rPr>
        <w:t> </w:t>
      </w:r>
      <w:r>
        <w:rPr>
          <w:w w:val="105"/>
          <w:sz w:val="20"/>
        </w:rPr>
        <w:t>is</w:t>
      </w:r>
      <w:r>
        <w:rPr>
          <w:spacing w:val="-8"/>
          <w:w w:val="105"/>
          <w:sz w:val="20"/>
        </w:rPr>
        <w:t> </w:t>
      </w:r>
      <w:r>
        <w:rPr>
          <w:w w:val="105"/>
          <w:sz w:val="20"/>
        </w:rPr>
        <w:t>a matter</w:t>
      </w:r>
      <w:r>
        <w:rPr>
          <w:spacing w:val="-6"/>
          <w:w w:val="105"/>
          <w:sz w:val="20"/>
        </w:rPr>
        <w:t> </w:t>
      </w:r>
      <w:r>
        <w:rPr>
          <w:w w:val="105"/>
          <w:sz w:val="20"/>
        </w:rPr>
        <w:t>which</w:t>
      </w:r>
      <w:r>
        <w:rPr>
          <w:spacing w:val="-5"/>
          <w:w w:val="105"/>
          <w:sz w:val="20"/>
        </w:rPr>
        <w:t> </w:t>
      </w:r>
      <w:r>
        <w:rPr>
          <w:w w:val="105"/>
          <w:sz w:val="20"/>
        </w:rPr>
        <w:t>may</w:t>
      </w:r>
      <w:r>
        <w:rPr>
          <w:spacing w:val="-6"/>
          <w:w w:val="105"/>
          <w:sz w:val="20"/>
        </w:rPr>
        <w:t> </w:t>
      </w:r>
      <w:r>
        <w:rPr>
          <w:w w:val="105"/>
          <w:sz w:val="20"/>
        </w:rPr>
        <w:t>be</w:t>
      </w:r>
      <w:r>
        <w:rPr>
          <w:spacing w:val="-5"/>
          <w:w w:val="105"/>
          <w:sz w:val="20"/>
        </w:rPr>
        <w:t> </w:t>
      </w:r>
      <w:r>
        <w:rPr>
          <w:spacing w:val="-3"/>
          <w:w w:val="105"/>
          <w:sz w:val="20"/>
        </w:rPr>
        <w:t>relevant</w:t>
      </w:r>
      <w:r>
        <w:rPr>
          <w:spacing w:val="-5"/>
          <w:w w:val="105"/>
          <w:sz w:val="20"/>
        </w:rPr>
        <w:t> </w:t>
      </w:r>
      <w:r>
        <w:rPr>
          <w:w w:val="105"/>
          <w:sz w:val="20"/>
        </w:rPr>
        <w:t>and</w:t>
      </w:r>
      <w:r>
        <w:rPr>
          <w:spacing w:val="-6"/>
          <w:w w:val="105"/>
          <w:sz w:val="20"/>
        </w:rPr>
        <w:t> </w:t>
      </w:r>
      <w:r>
        <w:rPr>
          <w:w w:val="105"/>
          <w:sz w:val="20"/>
        </w:rPr>
        <w:t>appropriate</w:t>
      </w:r>
      <w:r>
        <w:rPr>
          <w:spacing w:val="-5"/>
          <w:w w:val="105"/>
          <w:sz w:val="20"/>
        </w:rPr>
        <w:t> </w:t>
      </w:r>
      <w:r>
        <w:rPr>
          <w:w w:val="105"/>
          <w:sz w:val="20"/>
        </w:rPr>
        <w:t>to</w:t>
      </w:r>
      <w:r>
        <w:rPr>
          <w:spacing w:val="-6"/>
          <w:w w:val="105"/>
          <w:sz w:val="20"/>
        </w:rPr>
        <w:t> </w:t>
      </w:r>
      <w:r>
        <w:rPr>
          <w:spacing w:val="-3"/>
          <w:w w:val="105"/>
          <w:sz w:val="20"/>
        </w:rPr>
        <w:t>take</w:t>
      </w:r>
      <w:r>
        <w:rPr>
          <w:spacing w:val="-5"/>
          <w:w w:val="105"/>
          <w:sz w:val="20"/>
        </w:rPr>
        <w:t> </w:t>
      </w:r>
      <w:r>
        <w:rPr>
          <w:spacing w:val="-3"/>
          <w:w w:val="105"/>
          <w:sz w:val="20"/>
        </w:rPr>
        <w:t>into</w:t>
      </w:r>
      <w:r>
        <w:rPr>
          <w:spacing w:val="-5"/>
          <w:w w:val="105"/>
          <w:sz w:val="20"/>
        </w:rPr>
        <w:t> </w:t>
      </w:r>
      <w:r>
        <w:rPr>
          <w:spacing w:val="-3"/>
          <w:w w:val="105"/>
          <w:sz w:val="20"/>
        </w:rPr>
        <w:t>account</w:t>
      </w:r>
      <w:r>
        <w:rPr>
          <w:spacing w:val="-6"/>
          <w:w w:val="105"/>
          <w:sz w:val="20"/>
        </w:rPr>
        <w:t> </w:t>
      </w:r>
      <w:r>
        <w:rPr>
          <w:w w:val="105"/>
          <w:sz w:val="20"/>
        </w:rPr>
        <w:t>on</w:t>
      </w:r>
      <w:r>
        <w:rPr>
          <w:spacing w:val="-5"/>
          <w:w w:val="105"/>
          <w:sz w:val="20"/>
        </w:rPr>
        <w:t> </w:t>
      </w:r>
      <w:r>
        <w:rPr>
          <w:w w:val="105"/>
          <w:sz w:val="20"/>
        </w:rPr>
        <w:t>the</w:t>
      </w:r>
      <w:r>
        <w:rPr>
          <w:spacing w:val="-6"/>
          <w:w w:val="105"/>
          <w:sz w:val="20"/>
        </w:rPr>
        <w:t> </w:t>
      </w:r>
      <w:r>
        <w:rPr>
          <w:w w:val="105"/>
          <w:sz w:val="20"/>
        </w:rPr>
        <w:t>question</w:t>
      </w:r>
      <w:r>
        <w:rPr>
          <w:spacing w:val="-5"/>
          <w:w w:val="105"/>
          <w:sz w:val="20"/>
        </w:rPr>
        <w:t> </w:t>
      </w:r>
      <w:r>
        <w:rPr>
          <w:w w:val="105"/>
          <w:sz w:val="20"/>
        </w:rPr>
        <w:t>of who should undertake </w:t>
      </w:r>
      <w:r>
        <w:rPr>
          <w:spacing w:val="-2"/>
          <w:w w:val="105"/>
          <w:sz w:val="20"/>
        </w:rPr>
        <w:t>any </w:t>
      </w:r>
      <w:r>
        <w:rPr>
          <w:w w:val="105"/>
          <w:sz w:val="20"/>
        </w:rPr>
        <w:t>work and/or apportionment of the cost of such</w:t>
      </w:r>
      <w:r>
        <w:rPr>
          <w:spacing w:val="-5"/>
          <w:w w:val="105"/>
          <w:sz w:val="20"/>
        </w:rPr>
        <w:t> </w:t>
      </w:r>
      <w:r>
        <w:rPr>
          <w:w w:val="105"/>
          <w:sz w:val="20"/>
        </w:rPr>
        <w:t>work.</w:t>
      </w:r>
    </w:p>
    <w:p>
      <w:pPr>
        <w:spacing w:line="254" w:lineRule="auto" w:before="126"/>
        <w:ind w:left="2834" w:right="1810" w:firstLine="0"/>
        <w:jc w:val="left"/>
        <w:rPr>
          <w:sz w:val="20"/>
        </w:rPr>
      </w:pPr>
      <w:r>
        <w:rPr>
          <w:spacing w:val="-4"/>
          <w:sz w:val="20"/>
        </w:rPr>
        <w:t>However,  </w:t>
      </w:r>
      <w:r>
        <w:rPr>
          <w:sz w:val="20"/>
        </w:rPr>
        <w:t>it will also be </w:t>
      </w:r>
      <w:r>
        <w:rPr>
          <w:spacing w:val="-3"/>
          <w:sz w:val="20"/>
        </w:rPr>
        <w:t>relevant  </w:t>
      </w:r>
      <w:r>
        <w:rPr>
          <w:sz w:val="20"/>
        </w:rPr>
        <w:t>to consider whether or not the tree was self-sown or     was </w:t>
      </w:r>
      <w:r>
        <w:rPr>
          <w:spacing w:val="-3"/>
          <w:sz w:val="20"/>
        </w:rPr>
        <w:t>planted. </w:t>
      </w:r>
      <w:r>
        <w:rPr>
          <w:sz w:val="20"/>
        </w:rPr>
        <w:t>If it was </w:t>
      </w:r>
      <w:r>
        <w:rPr>
          <w:spacing w:val="-3"/>
          <w:sz w:val="20"/>
        </w:rPr>
        <w:t>planted,  </w:t>
      </w:r>
      <w:r>
        <w:rPr>
          <w:sz w:val="20"/>
        </w:rPr>
        <w:t>consideration will need to be given to the appropriateness  or otherwise</w:t>
      </w:r>
      <w:r>
        <w:rPr>
          <w:spacing w:val="16"/>
          <w:sz w:val="20"/>
        </w:rPr>
        <w:t> </w:t>
      </w:r>
      <w:r>
        <w:rPr>
          <w:sz w:val="20"/>
        </w:rPr>
        <w:t>of:</w:t>
      </w:r>
    </w:p>
    <w:p>
      <w:pPr>
        <w:pStyle w:val="ListParagraph"/>
        <w:numPr>
          <w:ilvl w:val="2"/>
          <w:numId w:val="16"/>
        </w:numPr>
        <w:tabs>
          <w:tab w:pos="3174" w:val="left" w:leader="none"/>
          <w:tab w:pos="3175" w:val="left" w:leader="none"/>
        </w:tabs>
        <w:spacing w:line="240" w:lineRule="auto" w:before="124" w:after="0"/>
        <w:ind w:left="3174" w:right="0" w:hanging="340"/>
        <w:jc w:val="left"/>
        <w:rPr>
          <w:sz w:val="20"/>
        </w:rPr>
      </w:pPr>
      <w:r>
        <w:rPr>
          <w:w w:val="105"/>
          <w:sz w:val="20"/>
        </w:rPr>
        <w:t>the type of tree planted;</w:t>
      </w:r>
      <w:r>
        <w:rPr>
          <w:spacing w:val="25"/>
          <w:w w:val="105"/>
          <w:sz w:val="20"/>
        </w:rPr>
        <w:t> </w:t>
      </w:r>
      <w:r>
        <w:rPr>
          <w:w w:val="105"/>
          <w:sz w:val="20"/>
        </w:rPr>
        <w:t>and</w:t>
      </w:r>
    </w:p>
    <w:p>
      <w:pPr>
        <w:pStyle w:val="ListParagraph"/>
        <w:numPr>
          <w:ilvl w:val="2"/>
          <w:numId w:val="16"/>
        </w:numPr>
        <w:tabs>
          <w:tab w:pos="3174" w:val="left" w:leader="none"/>
          <w:tab w:pos="3175" w:val="left" w:leader="none"/>
        </w:tabs>
        <w:spacing w:line="240" w:lineRule="auto" w:before="136" w:after="0"/>
        <w:ind w:left="3174" w:right="0" w:hanging="340"/>
        <w:jc w:val="left"/>
        <w:rPr>
          <w:sz w:val="20"/>
        </w:rPr>
      </w:pPr>
      <w:r>
        <w:rPr>
          <w:sz w:val="20"/>
        </w:rPr>
        <w:t>the</w:t>
      </w:r>
      <w:r>
        <w:rPr>
          <w:spacing w:val="9"/>
          <w:sz w:val="20"/>
        </w:rPr>
        <w:t> </w:t>
      </w:r>
      <w:r>
        <w:rPr>
          <w:sz w:val="20"/>
        </w:rPr>
        <w:t>suitability</w:t>
      </w:r>
      <w:r>
        <w:rPr>
          <w:spacing w:val="9"/>
          <w:sz w:val="20"/>
        </w:rPr>
        <w:t> </w:t>
      </w:r>
      <w:r>
        <w:rPr>
          <w:sz w:val="20"/>
        </w:rPr>
        <w:t>of</w:t>
      </w:r>
      <w:r>
        <w:rPr>
          <w:spacing w:val="9"/>
          <w:sz w:val="20"/>
        </w:rPr>
        <w:t> </w:t>
      </w:r>
      <w:r>
        <w:rPr>
          <w:sz w:val="20"/>
        </w:rPr>
        <w:t>the</w:t>
      </w:r>
      <w:r>
        <w:rPr>
          <w:spacing w:val="9"/>
          <w:sz w:val="20"/>
        </w:rPr>
        <w:t> </w:t>
      </w:r>
      <w:r>
        <w:rPr>
          <w:sz w:val="20"/>
        </w:rPr>
        <w:t>location</w:t>
      </w:r>
      <w:r>
        <w:rPr>
          <w:spacing w:val="9"/>
          <w:sz w:val="20"/>
        </w:rPr>
        <w:t> </w:t>
      </w:r>
      <w:r>
        <w:rPr>
          <w:sz w:val="20"/>
        </w:rPr>
        <w:t>in</w:t>
      </w:r>
      <w:r>
        <w:rPr>
          <w:spacing w:val="9"/>
          <w:sz w:val="20"/>
        </w:rPr>
        <w:t> </w:t>
      </w:r>
      <w:r>
        <w:rPr>
          <w:sz w:val="20"/>
        </w:rPr>
        <w:t>which</w:t>
      </w:r>
      <w:r>
        <w:rPr>
          <w:spacing w:val="9"/>
          <w:sz w:val="20"/>
        </w:rPr>
        <w:t> </w:t>
      </w:r>
      <w:r>
        <w:rPr>
          <w:sz w:val="20"/>
        </w:rPr>
        <w:t>it</w:t>
      </w:r>
      <w:r>
        <w:rPr>
          <w:spacing w:val="9"/>
          <w:sz w:val="20"/>
        </w:rPr>
        <w:t> </w:t>
      </w:r>
      <w:r>
        <w:rPr>
          <w:sz w:val="20"/>
        </w:rPr>
        <w:t>has</w:t>
      </w:r>
      <w:r>
        <w:rPr>
          <w:spacing w:val="9"/>
          <w:sz w:val="20"/>
        </w:rPr>
        <w:t> </w:t>
      </w:r>
      <w:r>
        <w:rPr>
          <w:sz w:val="20"/>
        </w:rPr>
        <w:t>been</w:t>
      </w:r>
      <w:r>
        <w:rPr>
          <w:spacing w:val="9"/>
          <w:sz w:val="20"/>
        </w:rPr>
        <w:t> </w:t>
      </w:r>
      <w:r>
        <w:rPr>
          <w:spacing w:val="-3"/>
          <w:sz w:val="20"/>
        </w:rPr>
        <w:t>planted.</w:t>
      </w:r>
    </w:p>
    <w:p>
      <w:pPr>
        <w:spacing w:line="254" w:lineRule="auto" w:before="136"/>
        <w:ind w:left="2834" w:right="1636" w:firstLine="0"/>
        <w:jc w:val="left"/>
        <w:rPr>
          <w:sz w:val="11"/>
        </w:rPr>
      </w:pPr>
      <w:r>
        <w:rPr>
          <w:spacing w:val="-4"/>
          <w:w w:val="105"/>
          <w:sz w:val="20"/>
        </w:rPr>
        <w:t>Equally,</w:t>
      </w:r>
      <w:r>
        <w:rPr>
          <w:spacing w:val="-9"/>
          <w:w w:val="105"/>
          <w:sz w:val="20"/>
        </w:rPr>
        <w:t> </w:t>
      </w:r>
      <w:r>
        <w:rPr>
          <w:w w:val="105"/>
          <w:sz w:val="20"/>
        </w:rPr>
        <w:t>it</w:t>
      </w:r>
      <w:r>
        <w:rPr>
          <w:spacing w:val="-8"/>
          <w:w w:val="105"/>
          <w:sz w:val="20"/>
        </w:rPr>
        <w:t> </w:t>
      </w:r>
      <w:r>
        <w:rPr>
          <w:w w:val="105"/>
          <w:sz w:val="20"/>
        </w:rPr>
        <w:t>will</w:t>
      </w:r>
      <w:r>
        <w:rPr>
          <w:spacing w:val="-8"/>
          <w:w w:val="105"/>
          <w:sz w:val="20"/>
        </w:rPr>
        <w:t> </w:t>
      </w:r>
      <w:r>
        <w:rPr>
          <w:w w:val="105"/>
          <w:sz w:val="20"/>
        </w:rPr>
        <w:t>be</w:t>
      </w:r>
      <w:r>
        <w:rPr>
          <w:spacing w:val="-8"/>
          <w:w w:val="105"/>
          <w:sz w:val="20"/>
        </w:rPr>
        <w:t> </w:t>
      </w:r>
      <w:r>
        <w:rPr>
          <w:spacing w:val="-3"/>
          <w:w w:val="105"/>
          <w:sz w:val="20"/>
        </w:rPr>
        <w:t>relevant</w:t>
      </w:r>
      <w:r>
        <w:rPr>
          <w:spacing w:val="-8"/>
          <w:w w:val="105"/>
          <w:sz w:val="20"/>
        </w:rPr>
        <w:t> </w:t>
      </w:r>
      <w:r>
        <w:rPr>
          <w:w w:val="105"/>
          <w:sz w:val="20"/>
        </w:rPr>
        <w:t>to</w:t>
      </w:r>
      <w:r>
        <w:rPr>
          <w:spacing w:val="-8"/>
          <w:w w:val="105"/>
          <w:sz w:val="20"/>
        </w:rPr>
        <w:t> </w:t>
      </w:r>
      <w:r>
        <w:rPr>
          <w:w w:val="105"/>
          <w:sz w:val="20"/>
        </w:rPr>
        <w:t>consider</w:t>
      </w:r>
      <w:r>
        <w:rPr>
          <w:spacing w:val="-8"/>
          <w:w w:val="105"/>
          <w:sz w:val="20"/>
        </w:rPr>
        <w:t> </w:t>
      </w:r>
      <w:r>
        <w:rPr>
          <w:w w:val="105"/>
          <w:sz w:val="20"/>
        </w:rPr>
        <w:t>whether</w:t>
      </w:r>
      <w:r>
        <w:rPr>
          <w:spacing w:val="-8"/>
          <w:w w:val="105"/>
          <w:sz w:val="20"/>
        </w:rPr>
        <w:t> </w:t>
      </w:r>
      <w:r>
        <w:rPr>
          <w:w w:val="105"/>
          <w:sz w:val="20"/>
        </w:rPr>
        <w:t>the</w:t>
      </w:r>
      <w:r>
        <w:rPr>
          <w:spacing w:val="-8"/>
          <w:w w:val="105"/>
          <w:sz w:val="20"/>
        </w:rPr>
        <w:t> </w:t>
      </w:r>
      <w:r>
        <w:rPr>
          <w:w w:val="105"/>
          <w:sz w:val="20"/>
        </w:rPr>
        <w:t>choice</w:t>
      </w:r>
      <w:r>
        <w:rPr>
          <w:spacing w:val="-8"/>
          <w:w w:val="105"/>
          <w:sz w:val="20"/>
        </w:rPr>
        <w:t> </w:t>
      </w:r>
      <w:r>
        <w:rPr>
          <w:w w:val="105"/>
          <w:sz w:val="20"/>
        </w:rPr>
        <w:t>of</w:t>
      </w:r>
      <w:r>
        <w:rPr>
          <w:spacing w:val="-8"/>
          <w:w w:val="105"/>
          <w:sz w:val="20"/>
        </w:rPr>
        <w:t> </w:t>
      </w:r>
      <w:r>
        <w:rPr>
          <w:w w:val="105"/>
          <w:sz w:val="20"/>
        </w:rPr>
        <w:t>location</w:t>
      </w:r>
      <w:r>
        <w:rPr>
          <w:spacing w:val="-8"/>
          <w:w w:val="105"/>
          <w:sz w:val="20"/>
        </w:rPr>
        <w:t> </w:t>
      </w:r>
      <w:r>
        <w:rPr>
          <w:w w:val="105"/>
          <w:sz w:val="20"/>
        </w:rPr>
        <w:t>for</w:t>
      </w:r>
      <w:r>
        <w:rPr>
          <w:spacing w:val="-8"/>
          <w:w w:val="105"/>
          <w:sz w:val="20"/>
        </w:rPr>
        <w:t> </w:t>
      </w:r>
      <w:r>
        <w:rPr>
          <w:w w:val="105"/>
          <w:sz w:val="20"/>
        </w:rPr>
        <w:t>the</w:t>
      </w:r>
      <w:r>
        <w:rPr>
          <w:spacing w:val="-8"/>
          <w:w w:val="105"/>
          <w:sz w:val="20"/>
        </w:rPr>
        <w:t> </w:t>
      </w:r>
      <w:r>
        <w:rPr>
          <w:w w:val="105"/>
          <w:sz w:val="20"/>
        </w:rPr>
        <w:t>structure was unnecessary or avoidable </w:t>
      </w:r>
      <w:r>
        <w:rPr>
          <w:spacing w:val="-6"/>
          <w:w w:val="105"/>
          <w:sz w:val="20"/>
        </w:rPr>
        <w:t>or, </w:t>
      </w:r>
      <w:r>
        <w:rPr>
          <w:w w:val="105"/>
          <w:sz w:val="20"/>
        </w:rPr>
        <w:t>on the other </w:t>
      </w:r>
      <w:r>
        <w:rPr>
          <w:spacing w:val="-3"/>
          <w:w w:val="105"/>
          <w:sz w:val="20"/>
        </w:rPr>
        <w:t>hand, </w:t>
      </w:r>
      <w:r>
        <w:rPr>
          <w:w w:val="105"/>
          <w:sz w:val="20"/>
        </w:rPr>
        <w:t>if it would </w:t>
      </w:r>
      <w:r>
        <w:rPr>
          <w:spacing w:val="-3"/>
          <w:w w:val="105"/>
          <w:sz w:val="20"/>
        </w:rPr>
        <w:t>have </w:t>
      </w:r>
      <w:r>
        <w:rPr>
          <w:w w:val="105"/>
          <w:sz w:val="20"/>
        </w:rPr>
        <w:t>been an unreasonable</w:t>
      </w:r>
      <w:r>
        <w:rPr>
          <w:spacing w:val="-11"/>
          <w:w w:val="105"/>
          <w:sz w:val="20"/>
        </w:rPr>
        <w:t> </w:t>
      </w:r>
      <w:r>
        <w:rPr>
          <w:spacing w:val="-3"/>
          <w:w w:val="105"/>
          <w:sz w:val="20"/>
        </w:rPr>
        <w:t>constraint</w:t>
      </w:r>
      <w:r>
        <w:rPr>
          <w:spacing w:val="-10"/>
          <w:w w:val="105"/>
          <w:sz w:val="20"/>
        </w:rPr>
        <w:t> </w:t>
      </w:r>
      <w:r>
        <w:rPr>
          <w:w w:val="105"/>
          <w:sz w:val="20"/>
        </w:rPr>
        <w:t>on</w:t>
      </w:r>
      <w:r>
        <w:rPr>
          <w:spacing w:val="-11"/>
          <w:w w:val="105"/>
          <w:sz w:val="20"/>
        </w:rPr>
        <w:t> </w:t>
      </w:r>
      <w:r>
        <w:rPr>
          <w:w w:val="105"/>
          <w:sz w:val="20"/>
        </w:rPr>
        <w:t>the</w:t>
      </w:r>
      <w:r>
        <w:rPr>
          <w:spacing w:val="-10"/>
          <w:w w:val="105"/>
          <w:sz w:val="20"/>
        </w:rPr>
        <w:t> </w:t>
      </w:r>
      <w:r>
        <w:rPr>
          <w:w w:val="105"/>
          <w:sz w:val="20"/>
        </w:rPr>
        <w:t>development</w:t>
      </w:r>
      <w:r>
        <w:rPr>
          <w:spacing w:val="-11"/>
          <w:w w:val="105"/>
          <w:sz w:val="20"/>
        </w:rPr>
        <w:t> </w:t>
      </w:r>
      <w:r>
        <w:rPr>
          <w:spacing w:val="-3"/>
          <w:w w:val="105"/>
          <w:sz w:val="20"/>
        </w:rPr>
        <w:t>potential</w:t>
      </w:r>
      <w:r>
        <w:rPr>
          <w:spacing w:val="-10"/>
          <w:w w:val="105"/>
          <w:sz w:val="20"/>
        </w:rPr>
        <w:t> </w:t>
      </w:r>
      <w:r>
        <w:rPr>
          <w:w w:val="105"/>
          <w:sz w:val="20"/>
        </w:rPr>
        <w:t>of</w:t>
      </w:r>
      <w:r>
        <w:rPr>
          <w:spacing w:val="-11"/>
          <w:w w:val="105"/>
          <w:sz w:val="20"/>
        </w:rPr>
        <w:t> </w:t>
      </w:r>
      <w:r>
        <w:rPr>
          <w:w w:val="105"/>
          <w:sz w:val="20"/>
        </w:rPr>
        <w:t>the</w:t>
      </w:r>
      <w:r>
        <w:rPr>
          <w:spacing w:val="-10"/>
          <w:w w:val="105"/>
          <w:sz w:val="20"/>
        </w:rPr>
        <w:t> </w:t>
      </w:r>
      <w:r>
        <w:rPr>
          <w:w w:val="105"/>
          <w:sz w:val="20"/>
        </w:rPr>
        <w:t>site</w:t>
      </w:r>
      <w:r>
        <w:rPr>
          <w:spacing w:val="-11"/>
          <w:w w:val="105"/>
          <w:sz w:val="20"/>
        </w:rPr>
        <w:t> </w:t>
      </w:r>
      <w:r>
        <w:rPr>
          <w:w w:val="105"/>
          <w:sz w:val="20"/>
        </w:rPr>
        <w:t>had</w:t>
      </w:r>
      <w:r>
        <w:rPr>
          <w:spacing w:val="-10"/>
          <w:w w:val="105"/>
          <w:sz w:val="20"/>
        </w:rPr>
        <w:t> </w:t>
      </w:r>
      <w:r>
        <w:rPr>
          <w:w w:val="105"/>
          <w:sz w:val="20"/>
        </w:rPr>
        <w:t>the</w:t>
      </w:r>
      <w:r>
        <w:rPr>
          <w:spacing w:val="-11"/>
          <w:w w:val="105"/>
          <w:sz w:val="20"/>
        </w:rPr>
        <w:t> </w:t>
      </w:r>
      <w:r>
        <w:rPr>
          <w:w w:val="105"/>
          <w:sz w:val="20"/>
        </w:rPr>
        <w:t>existence</w:t>
      </w:r>
      <w:r>
        <w:rPr>
          <w:spacing w:val="-10"/>
          <w:w w:val="105"/>
          <w:sz w:val="20"/>
        </w:rPr>
        <w:t> </w:t>
      </w:r>
      <w:r>
        <w:rPr>
          <w:w w:val="105"/>
          <w:sz w:val="20"/>
        </w:rPr>
        <w:t>of the tree limited that</w:t>
      </w:r>
      <w:r>
        <w:rPr>
          <w:spacing w:val="18"/>
          <w:w w:val="105"/>
          <w:sz w:val="20"/>
        </w:rPr>
        <w:t> </w:t>
      </w:r>
      <w:r>
        <w:rPr>
          <w:w w:val="105"/>
          <w:sz w:val="20"/>
        </w:rPr>
        <w:t>potential.</w:t>
      </w:r>
      <w:r>
        <w:rPr>
          <w:w w:val="105"/>
          <w:position w:val="7"/>
          <w:sz w:val="11"/>
        </w:rPr>
        <w:t>36</w:t>
      </w:r>
    </w:p>
    <w:p>
      <w:pPr>
        <w:pStyle w:val="ListParagraph"/>
        <w:numPr>
          <w:ilvl w:val="1"/>
          <w:numId w:val="16"/>
        </w:numPr>
        <w:tabs>
          <w:tab w:pos="2380" w:val="left" w:leader="none"/>
          <w:tab w:pos="2381" w:val="left" w:leader="none"/>
        </w:tabs>
        <w:spacing w:line="242" w:lineRule="auto" w:before="115" w:after="0"/>
        <w:ind w:left="2381" w:right="1728" w:hanging="794"/>
        <w:jc w:val="left"/>
        <w:rPr>
          <w:sz w:val="21"/>
        </w:rPr>
      </w:pPr>
      <w:r>
        <w:rPr>
          <w:w w:val="105"/>
          <w:sz w:val="21"/>
        </w:rPr>
        <w:t>In</w:t>
      </w:r>
      <w:r>
        <w:rPr>
          <w:spacing w:val="-6"/>
          <w:w w:val="105"/>
          <w:sz w:val="21"/>
        </w:rPr>
        <w:t> </w:t>
      </w:r>
      <w:r>
        <w:rPr>
          <w:w w:val="105"/>
          <w:sz w:val="21"/>
        </w:rPr>
        <w:t>other</w:t>
      </w:r>
      <w:r>
        <w:rPr>
          <w:spacing w:val="-5"/>
          <w:w w:val="105"/>
          <w:sz w:val="21"/>
        </w:rPr>
        <w:t> </w:t>
      </w:r>
      <w:r>
        <w:rPr>
          <w:w w:val="105"/>
          <w:sz w:val="21"/>
        </w:rPr>
        <w:t>cases</w:t>
      </w:r>
      <w:r>
        <w:rPr>
          <w:spacing w:val="-6"/>
          <w:w w:val="105"/>
          <w:sz w:val="21"/>
        </w:rPr>
        <w:t> </w:t>
      </w:r>
      <w:r>
        <w:rPr>
          <w:w w:val="105"/>
          <w:sz w:val="21"/>
        </w:rPr>
        <w:t>the</w:t>
      </w:r>
      <w:r>
        <w:rPr>
          <w:spacing w:val="-5"/>
          <w:w w:val="105"/>
          <w:sz w:val="21"/>
        </w:rPr>
        <w:t> </w:t>
      </w:r>
      <w:r>
        <w:rPr>
          <w:spacing w:val="-3"/>
          <w:w w:val="105"/>
          <w:sz w:val="21"/>
        </w:rPr>
        <w:t>Court</w:t>
      </w:r>
      <w:r>
        <w:rPr>
          <w:spacing w:val="-6"/>
          <w:w w:val="105"/>
          <w:sz w:val="21"/>
        </w:rPr>
        <w:t> </w:t>
      </w:r>
      <w:r>
        <w:rPr>
          <w:spacing w:val="-2"/>
          <w:w w:val="105"/>
          <w:sz w:val="21"/>
        </w:rPr>
        <w:t>has</w:t>
      </w:r>
      <w:r>
        <w:rPr>
          <w:spacing w:val="-5"/>
          <w:w w:val="105"/>
          <w:sz w:val="21"/>
        </w:rPr>
        <w:t> </w:t>
      </w:r>
      <w:r>
        <w:rPr>
          <w:w w:val="105"/>
          <w:sz w:val="21"/>
        </w:rPr>
        <w:t>ordered</w:t>
      </w:r>
      <w:r>
        <w:rPr>
          <w:spacing w:val="-6"/>
          <w:w w:val="105"/>
          <w:sz w:val="21"/>
        </w:rPr>
        <w:t> </w:t>
      </w:r>
      <w:r>
        <w:rPr>
          <w:spacing w:val="-3"/>
          <w:w w:val="105"/>
          <w:sz w:val="21"/>
        </w:rPr>
        <w:t>that</w:t>
      </w:r>
      <w:r>
        <w:rPr>
          <w:spacing w:val="-5"/>
          <w:w w:val="105"/>
          <w:sz w:val="21"/>
        </w:rPr>
        <w:t> </w:t>
      </w:r>
      <w:r>
        <w:rPr>
          <w:w w:val="105"/>
          <w:sz w:val="21"/>
        </w:rPr>
        <w:t>the</w:t>
      </w:r>
      <w:r>
        <w:rPr>
          <w:spacing w:val="-6"/>
          <w:w w:val="105"/>
          <w:sz w:val="21"/>
        </w:rPr>
        <w:t> </w:t>
      </w:r>
      <w:r>
        <w:rPr>
          <w:w w:val="105"/>
          <w:sz w:val="21"/>
        </w:rPr>
        <w:t>costs</w:t>
      </w:r>
      <w:r>
        <w:rPr>
          <w:spacing w:val="-5"/>
          <w:w w:val="105"/>
          <w:sz w:val="21"/>
        </w:rPr>
        <w:t> </w:t>
      </w:r>
      <w:r>
        <w:rPr>
          <w:w w:val="105"/>
          <w:sz w:val="21"/>
        </w:rPr>
        <w:t>of</w:t>
      </w:r>
      <w:r>
        <w:rPr>
          <w:spacing w:val="-5"/>
          <w:w w:val="105"/>
          <w:sz w:val="21"/>
        </w:rPr>
        <w:t> </w:t>
      </w:r>
      <w:r>
        <w:rPr>
          <w:w w:val="105"/>
          <w:sz w:val="21"/>
        </w:rPr>
        <w:t>rectifying</w:t>
      </w:r>
      <w:r>
        <w:rPr>
          <w:spacing w:val="-6"/>
          <w:w w:val="105"/>
          <w:sz w:val="21"/>
        </w:rPr>
        <w:t> </w:t>
      </w:r>
      <w:r>
        <w:rPr>
          <w:w w:val="105"/>
          <w:sz w:val="21"/>
        </w:rPr>
        <w:t>the</w:t>
      </w:r>
      <w:r>
        <w:rPr>
          <w:spacing w:val="-5"/>
          <w:w w:val="105"/>
          <w:sz w:val="21"/>
        </w:rPr>
        <w:t> </w:t>
      </w:r>
      <w:r>
        <w:rPr>
          <w:w w:val="105"/>
          <w:sz w:val="21"/>
        </w:rPr>
        <w:t>damage</w:t>
      </w:r>
      <w:r>
        <w:rPr>
          <w:spacing w:val="-6"/>
          <w:w w:val="105"/>
          <w:sz w:val="21"/>
        </w:rPr>
        <w:t> </w:t>
      </w:r>
      <w:r>
        <w:rPr>
          <w:w w:val="105"/>
          <w:sz w:val="21"/>
        </w:rPr>
        <w:t>caused</w:t>
      </w:r>
      <w:r>
        <w:rPr>
          <w:spacing w:val="-5"/>
          <w:w w:val="105"/>
          <w:sz w:val="21"/>
        </w:rPr>
        <w:t> </w:t>
      </w:r>
      <w:r>
        <w:rPr>
          <w:w w:val="105"/>
          <w:sz w:val="21"/>
        </w:rPr>
        <w:t>by</w:t>
      </w:r>
      <w:r>
        <w:rPr>
          <w:spacing w:val="-6"/>
          <w:w w:val="105"/>
          <w:sz w:val="21"/>
        </w:rPr>
        <w:t> </w:t>
      </w:r>
      <w:r>
        <w:rPr>
          <w:w w:val="105"/>
          <w:sz w:val="21"/>
        </w:rPr>
        <w:t>a tree should be </w:t>
      </w:r>
      <w:r>
        <w:rPr>
          <w:spacing w:val="-3"/>
          <w:w w:val="105"/>
          <w:sz w:val="21"/>
        </w:rPr>
        <w:t>shared equally </w:t>
      </w:r>
      <w:r>
        <w:rPr>
          <w:w w:val="105"/>
          <w:sz w:val="21"/>
        </w:rPr>
        <w:t>by both parties.</w:t>
      </w:r>
      <w:r>
        <w:rPr>
          <w:w w:val="105"/>
          <w:position w:val="7"/>
          <w:sz w:val="12"/>
        </w:rPr>
        <w:t>37 </w:t>
      </w:r>
      <w:r>
        <w:rPr>
          <w:w w:val="105"/>
          <w:sz w:val="21"/>
        </w:rPr>
        <w:t>For </w:t>
      </w:r>
      <w:r>
        <w:rPr>
          <w:spacing w:val="-3"/>
          <w:w w:val="105"/>
          <w:sz w:val="21"/>
        </w:rPr>
        <w:t>example, </w:t>
      </w:r>
      <w:r>
        <w:rPr>
          <w:w w:val="105"/>
          <w:sz w:val="21"/>
        </w:rPr>
        <w:t>in </w:t>
      </w:r>
      <w:r>
        <w:rPr>
          <w:i/>
          <w:spacing w:val="-4"/>
          <w:w w:val="105"/>
          <w:sz w:val="21"/>
        </w:rPr>
        <w:t>O’Connell </w:t>
      </w:r>
      <w:r>
        <w:rPr>
          <w:i/>
          <w:w w:val="105"/>
          <w:sz w:val="21"/>
        </w:rPr>
        <w:t>v</w:t>
      </w:r>
      <w:r>
        <w:rPr>
          <w:i/>
          <w:spacing w:val="-9"/>
          <w:w w:val="105"/>
          <w:sz w:val="21"/>
        </w:rPr>
        <w:t> </w:t>
      </w:r>
      <w:r>
        <w:rPr>
          <w:i/>
          <w:spacing w:val="-3"/>
          <w:w w:val="105"/>
          <w:sz w:val="21"/>
        </w:rPr>
        <w:t>Gallagher</w:t>
      </w:r>
      <w:r>
        <w:rPr>
          <w:spacing w:val="-3"/>
          <w:w w:val="105"/>
          <w:position w:val="7"/>
          <w:sz w:val="12"/>
        </w:rPr>
        <w:t>38</w:t>
      </w:r>
    </w:p>
    <w:p>
      <w:pPr>
        <w:pStyle w:val="BodyText"/>
        <w:spacing w:line="242" w:lineRule="auto" w:before="2"/>
        <w:ind w:left="2381" w:right="1671"/>
        <w:jc w:val="both"/>
        <w:rPr>
          <w:sz w:val="12"/>
        </w:rPr>
      </w:pPr>
      <w:r>
        <w:rPr>
          <w:w w:val="105"/>
        </w:rPr>
        <w:t>it</w:t>
      </w:r>
      <w:r>
        <w:rPr>
          <w:spacing w:val="-6"/>
          <w:w w:val="105"/>
        </w:rPr>
        <w:t> </w:t>
      </w:r>
      <w:r>
        <w:rPr>
          <w:w w:val="105"/>
        </w:rPr>
        <w:t>was</w:t>
      </w:r>
      <w:r>
        <w:rPr>
          <w:spacing w:val="-5"/>
          <w:w w:val="105"/>
        </w:rPr>
        <w:t> </w:t>
      </w:r>
      <w:r>
        <w:rPr>
          <w:w w:val="105"/>
        </w:rPr>
        <w:t>held</w:t>
      </w:r>
      <w:r>
        <w:rPr>
          <w:spacing w:val="-6"/>
          <w:w w:val="105"/>
        </w:rPr>
        <w:t> </w:t>
      </w:r>
      <w:r>
        <w:rPr>
          <w:spacing w:val="-3"/>
          <w:w w:val="105"/>
        </w:rPr>
        <w:t>that</w:t>
      </w:r>
      <w:r>
        <w:rPr>
          <w:spacing w:val="-5"/>
          <w:w w:val="105"/>
        </w:rPr>
        <w:t> </w:t>
      </w:r>
      <w:r>
        <w:rPr>
          <w:w w:val="105"/>
        </w:rPr>
        <w:t>because</w:t>
      </w:r>
      <w:r>
        <w:rPr>
          <w:spacing w:val="-6"/>
          <w:w w:val="105"/>
        </w:rPr>
        <w:t> </w:t>
      </w:r>
      <w:r>
        <w:rPr>
          <w:w w:val="105"/>
        </w:rPr>
        <w:t>the</w:t>
      </w:r>
      <w:r>
        <w:rPr>
          <w:spacing w:val="-5"/>
          <w:w w:val="105"/>
        </w:rPr>
        <w:t> </w:t>
      </w:r>
      <w:r>
        <w:rPr>
          <w:w w:val="105"/>
        </w:rPr>
        <w:t>affected</w:t>
      </w:r>
      <w:r>
        <w:rPr>
          <w:spacing w:val="-6"/>
          <w:w w:val="105"/>
        </w:rPr>
        <w:t> </w:t>
      </w:r>
      <w:r>
        <w:rPr>
          <w:w w:val="105"/>
        </w:rPr>
        <w:t>neighbours</w:t>
      </w:r>
      <w:r>
        <w:rPr>
          <w:spacing w:val="-5"/>
          <w:w w:val="105"/>
        </w:rPr>
        <w:t> </w:t>
      </w:r>
      <w:r>
        <w:rPr>
          <w:spacing w:val="-2"/>
          <w:w w:val="105"/>
        </w:rPr>
        <w:t>had</w:t>
      </w:r>
      <w:r>
        <w:rPr>
          <w:spacing w:val="-6"/>
          <w:w w:val="105"/>
        </w:rPr>
        <w:t> </w:t>
      </w:r>
      <w:r>
        <w:rPr>
          <w:spacing w:val="-2"/>
          <w:w w:val="105"/>
        </w:rPr>
        <w:t>not</w:t>
      </w:r>
      <w:r>
        <w:rPr>
          <w:spacing w:val="-5"/>
          <w:w w:val="105"/>
        </w:rPr>
        <w:t> </w:t>
      </w:r>
      <w:r>
        <w:rPr>
          <w:w w:val="105"/>
        </w:rPr>
        <w:t>made</w:t>
      </w:r>
      <w:r>
        <w:rPr>
          <w:spacing w:val="-5"/>
          <w:w w:val="105"/>
        </w:rPr>
        <w:t> </w:t>
      </w:r>
      <w:r>
        <w:rPr>
          <w:spacing w:val="-3"/>
          <w:w w:val="105"/>
        </w:rPr>
        <w:t>any</w:t>
      </w:r>
      <w:r>
        <w:rPr>
          <w:spacing w:val="-6"/>
          <w:w w:val="105"/>
        </w:rPr>
        <w:t> </w:t>
      </w:r>
      <w:r>
        <w:rPr>
          <w:w w:val="105"/>
        </w:rPr>
        <w:t>effort</w:t>
      </w:r>
      <w:r>
        <w:rPr>
          <w:spacing w:val="-5"/>
          <w:w w:val="105"/>
        </w:rPr>
        <w:t> </w:t>
      </w:r>
      <w:r>
        <w:rPr>
          <w:spacing w:val="-3"/>
          <w:w w:val="105"/>
        </w:rPr>
        <w:t>to</w:t>
      </w:r>
      <w:r>
        <w:rPr>
          <w:spacing w:val="-6"/>
          <w:w w:val="105"/>
        </w:rPr>
        <w:t> </w:t>
      </w:r>
      <w:r>
        <w:rPr>
          <w:w w:val="105"/>
        </w:rPr>
        <w:t>remedy</w:t>
      </w:r>
      <w:r>
        <w:rPr>
          <w:spacing w:val="-5"/>
          <w:w w:val="105"/>
        </w:rPr>
        <w:t> </w:t>
      </w:r>
      <w:r>
        <w:rPr>
          <w:w w:val="105"/>
        </w:rPr>
        <w:t>the damage</w:t>
      </w:r>
      <w:r>
        <w:rPr>
          <w:spacing w:val="-6"/>
          <w:w w:val="105"/>
        </w:rPr>
        <w:t> </w:t>
      </w:r>
      <w:r>
        <w:rPr>
          <w:w w:val="105"/>
        </w:rPr>
        <w:t>which</w:t>
      </w:r>
      <w:r>
        <w:rPr>
          <w:spacing w:val="-6"/>
          <w:w w:val="105"/>
        </w:rPr>
        <w:t> </w:t>
      </w:r>
      <w:r>
        <w:rPr>
          <w:spacing w:val="-2"/>
          <w:w w:val="105"/>
        </w:rPr>
        <w:t>had</w:t>
      </w:r>
      <w:r>
        <w:rPr>
          <w:spacing w:val="-6"/>
          <w:w w:val="105"/>
        </w:rPr>
        <w:t> </w:t>
      </w:r>
      <w:r>
        <w:rPr>
          <w:w w:val="105"/>
        </w:rPr>
        <w:t>been</w:t>
      </w:r>
      <w:r>
        <w:rPr>
          <w:spacing w:val="-5"/>
          <w:w w:val="105"/>
        </w:rPr>
        <w:t> </w:t>
      </w:r>
      <w:r>
        <w:rPr>
          <w:spacing w:val="-3"/>
          <w:w w:val="105"/>
        </w:rPr>
        <w:t>developing</w:t>
      </w:r>
      <w:r>
        <w:rPr>
          <w:spacing w:val="-6"/>
          <w:w w:val="105"/>
        </w:rPr>
        <w:t> </w:t>
      </w:r>
      <w:r>
        <w:rPr>
          <w:w w:val="105"/>
        </w:rPr>
        <w:t>over</w:t>
      </w:r>
      <w:r>
        <w:rPr>
          <w:spacing w:val="-6"/>
          <w:w w:val="105"/>
        </w:rPr>
        <w:t> </w:t>
      </w:r>
      <w:r>
        <w:rPr>
          <w:w w:val="105"/>
        </w:rPr>
        <w:t>a</w:t>
      </w:r>
      <w:r>
        <w:rPr>
          <w:spacing w:val="-6"/>
          <w:w w:val="105"/>
        </w:rPr>
        <w:t> </w:t>
      </w:r>
      <w:r>
        <w:rPr>
          <w:w w:val="105"/>
        </w:rPr>
        <w:t>number</w:t>
      </w:r>
      <w:r>
        <w:rPr>
          <w:spacing w:val="-5"/>
          <w:w w:val="105"/>
        </w:rPr>
        <w:t> </w:t>
      </w:r>
      <w:r>
        <w:rPr>
          <w:w w:val="105"/>
        </w:rPr>
        <w:t>of</w:t>
      </w:r>
      <w:r>
        <w:rPr>
          <w:spacing w:val="-6"/>
          <w:w w:val="105"/>
        </w:rPr>
        <w:t> </w:t>
      </w:r>
      <w:r>
        <w:rPr>
          <w:w w:val="105"/>
        </w:rPr>
        <w:t>years,</w:t>
      </w:r>
      <w:r>
        <w:rPr>
          <w:spacing w:val="-6"/>
          <w:w w:val="105"/>
        </w:rPr>
        <w:t> </w:t>
      </w:r>
      <w:r>
        <w:rPr>
          <w:w w:val="105"/>
        </w:rPr>
        <w:t>the</w:t>
      </w:r>
      <w:r>
        <w:rPr>
          <w:spacing w:val="-5"/>
          <w:w w:val="105"/>
        </w:rPr>
        <w:t> </w:t>
      </w:r>
      <w:r>
        <w:rPr>
          <w:w w:val="105"/>
        </w:rPr>
        <w:t>costs</w:t>
      </w:r>
      <w:r>
        <w:rPr>
          <w:spacing w:val="-6"/>
          <w:w w:val="105"/>
        </w:rPr>
        <w:t> </w:t>
      </w:r>
      <w:r>
        <w:rPr>
          <w:spacing w:val="-3"/>
          <w:w w:val="105"/>
        </w:rPr>
        <w:t>to</w:t>
      </w:r>
      <w:r>
        <w:rPr>
          <w:spacing w:val="-6"/>
          <w:w w:val="105"/>
        </w:rPr>
        <w:t> </w:t>
      </w:r>
      <w:r>
        <w:rPr>
          <w:w w:val="105"/>
        </w:rPr>
        <w:t>rectify</w:t>
      </w:r>
      <w:r>
        <w:rPr>
          <w:spacing w:val="-6"/>
          <w:w w:val="105"/>
        </w:rPr>
        <w:t> </w:t>
      </w:r>
      <w:r>
        <w:rPr>
          <w:w w:val="105"/>
        </w:rPr>
        <w:t>it</w:t>
      </w:r>
      <w:r>
        <w:rPr>
          <w:spacing w:val="-5"/>
          <w:w w:val="105"/>
        </w:rPr>
        <w:t> </w:t>
      </w:r>
      <w:r>
        <w:rPr>
          <w:w w:val="105"/>
        </w:rPr>
        <w:t>should be </w:t>
      </w:r>
      <w:r>
        <w:rPr>
          <w:spacing w:val="-3"/>
          <w:w w:val="105"/>
        </w:rPr>
        <w:t>equally shared </w:t>
      </w:r>
      <w:r>
        <w:rPr>
          <w:w w:val="105"/>
        </w:rPr>
        <w:t>between the</w:t>
      </w:r>
      <w:r>
        <w:rPr>
          <w:spacing w:val="29"/>
          <w:w w:val="105"/>
        </w:rPr>
        <w:t> </w:t>
      </w:r>
      <w:r>
        <w:rPr>
          <w:w w:val="105"/>
        </w:rPr>
        <w:t>parties.</w:t>
      </w:r>
      <w:r>
        <w:rPr>
          <w:w w:val="105"/>
          <w:position w:val="7"/>
          <w:sz w:val="12"/>
        </w:rPr>
        <w:t>39</w:t>
      </w:r>
    </w:p>
    <w:p>
      <w:pPr>
        <w:pStyle w:val="ListParagraph"/>
        <w:numPr>
          <w:ilvl w:val="1"/>
          <w:numId w:val="16"/>
        </w:numPr>
        <w:tabs>
          <w:tab w:pos="2381" w:val="left" w:leader="none"/>
          <w:tab w:pos="2382" w:val="left" w:leader="none"/>
        </w:tabs>
        <w:spacing w:line="242" w:lineRule="auto" w:before="123" w:after="0"/>
        <w:ind w:left="2381" w:right="1725" w:hanging="794"/>
        <w:jc w:val="left"/>
        <w:rPr>
          <w:sz w:val="21"/>
        </w:rPr>
      </w:pPr>
      <w:r>
        <w:rPr>
          <w:spacing w:val="-3"/>
          <w:sz w:val="21"/>
        </w:rPr>
        <w:t>Steps taken </w:t>
      </w:r>
      <w:r>
        <w:rPr>
          <w:sz w:val="21"/>
        </w:rPr>
        <w:t>by tree owners </w:t>
      </w:r>
      <w:r>
        <w:rPr>
          <w:spacing w:val="-3"/>
          <w:sz w:val="21"/>
        </w:rPr>
        <w:t>to </w:t>
      </w:r>
      <w:r>
        <w:rPr>
          <w:sz w:val="21"/>
        </w:rPr>
        <w:t>address </w:t>
      </w:r>
      <w:r>
        <w:rPr>
          <w:spacing w:val="-3"/>
          <w:sz w:val="21"/>
        </w:rPr>
        <w:t>potential </w:t>
      </w:r>
      <w:r>
        <w:rPr>
          <w:spacing w:val="-2"/>
          <w:sz w:val="21"/>
        </w:rPr>
        <w:t>problems </w:t>
      </w:r>
      <w:r>
        <w:rPr>
          <w:spacing w:val="-3"/>
          <w:sz w:val="21"/>
        </w:rPr>
        <w:t>have </w:t>
      </w:r>
      <w:r>
        <w:rPr>
          <w:sz w:val="21"/>
        </w:rPr>
        <w:t>also been  </w:t>
      </w:r>
      <w:r>
        <w:rPr>
          <w:spacing w:val="-3"/>
          <w:sz w:val="21"/>
        </w:rPr>
        <w:t>taken  </w:t>
      </w:r>
      <w:r>
        <w:rPr>
          <w:spacing w:val="-4"/>
          <w:sz w:val="21"/>
        </w:rPr>
        <w:t>into </w:t>
      </w:r>
      <w:r>
        <w:rPr>
          <w:spacing w:val="-3"/>
          <w:sz w:val="21"/>
        </w:rPr>
        <w:t>account  </w:t>
      </w:r>
      <w:r>
        <w:rPr>
          <w:sz w:val="21"/>
        </w:rPr>
        <w:t>by the </w:t>
      </w:r>
      <w:r>
        <w:rPr>
          <w:spacing w:val="-3"/>
          <w:sz w:val="21"/>
        </w:rPr>
        <w:t>Court.</w:t>
      </w:r>
      <w:r>
        <w:rPr>
          <w:spacing w:val="41"/>
          <w:sz w:val="21"/>
        </w:rPr>
        <w:t> </w:t>
      </w:r>
      <w:r>
        <w:rPr>
          <w:sz w:val="21"/>
        </w:rPr>
        <w:t>For example in </w:t>
      </w:r>
      <w:r>
        <w:rPr>
          <w:i/>
          <w:sz w:val="21"/>
        </w:rPr>
        <w:t>Nolan v Psaltis</w:t>
      </w:r>
      <w:r>
        <w:rPr>
          <w:position w:val="7"/>
          <w:sz w:val="12"/>
        </w:rPr>
        <w:t>40   </w:t>
      </w:r>
      <w:r>
        <w:rPr>
          <w:sz w:val="21"/>
        </w:rPr>
        <w:t>the owner of </w:t>
      </w:r>
      <w:r>
        <w:rPr>
          <w:spacing w:val="-3"/>
          <w:sz w:val="21"/>
        </w:rPr>
        <w:t>land  </w:t>
      </w:r>
      <w:r>
        <w:rPr>
          <w:spacing w:val="-2"/>
          <w:sz w:val="21"/>
        </w:rPr>
        <w:t>had  </w:t>
      </w:r>
      <w:r>
        <w:rPr>
          <w:sz w:val="21"/>
        </w:rPr>
        <w:t>installed root barriers along the </w:t>
      </w:r>
      <w:r>
        <w:rPr>
          <w:spacing w:val="-3"/>
          <w:sz w:val="21"/>
        </w:rPr>
        <w:t>fence  </w:t>
      </w:r>
      <w:r>
        <w:rPr>
          <w:sz w:val="21"/>
        </w:rPr>
        <w:t>and </w:t>
      </w:r>
      <w:r>
        <w:rPr>
          <w:spacing w:val="-3"/>
          <w:sz w:val="21"/>
        </w:rPr>
        <w:t>regularly</w:t>
      </w:r>
      <w:r>
        <w:rPr>
          <w:spacing w:val="41"/>
          <w:sz w:val="21"/>
        </w:rPr>
        <w:t> </w:t>
      </w:r>
      <w:r>
        <w:rPr>
          <w:sz w:val="21"/>
        </w:rPr>
        <w:t>pruned the tree </w:t>
      </w:r>
      <w:r>
        <w:rPr>
          <w:spacing w:val="-3"/>
          <w:sz w:val="21"/>
        </w:rPr>
        <w:t>to  prevent  </w:t>
      </w:r>
      <w:r>
        <w:rPr>
          <w:sz w:val="21"/>
        </w:rPr>
        <w:t>damage or injury  </w:t>
      </w:r>
      <w:r>
        <w:rPr>
          <w:spacing w:val="-3"/>
          <w:sz w:val="21"/>
        </w:rPr>
        <w:t>to </w:t>
      </w:r>
      <w:r>
        <w:rPr>
          <w:sz w:val="21"/>
        </w:rPr>
        <w:t>neighbours. It was </w:t>
      </w:r>
      <w:r>
        <w:rPr>
          <w:spacing w:val="-3"/>
          <w:sz w:val="21"/>
        </w:rPr>
        <w:t>determined that </w:t>
      </w:r>
      <w:r>
        <w:rPr>
          <w:sz w:val="21"/>
        </w:rPr>
        <w:t>the  </w:t>
      </w:r>
      <w:r>
        <w:rPr>
          <w:spacing w:val="-3"/>
          <w:sz w:val="21"/>
        </w:rPr>
        <w:t>installation  </w:t>
      </w:r>
      <w:r>
        <w:rPr>
          <w:sz w:val="21"/>
        </w:rPr>
        <w:t>of  the  root  barrier  </w:t>
      </w:r>
      <w:r>
        <w:rPr>
          <w:spacing w:val="-2"/>
          <w:sz w:val="21"/>
        </w:rPr>
        <w:t>had  </w:t>
      </w:r>
      <w:r>
        <w:rPr>
          <w:spacing w:val="-3"/>
          <w:sz w:val="21"/>
        </w:rPr>
        <w:t>reduced </w:t>
      </w:r>
      <w:r>
        <w:rPr>
          <w:sz w:val="21"/>
        </w:rPr>
        <w:t>the growth of the tree </w:t>
      </w:r>
      <w:r>
        <w:rPr>
          <w:spacing w:val="-3"/>
          <w:sz w:val="21"/>
        </w:rPr>
        <w:t>rendering </w:t>
      </w:r>
      <w:r>
        <w:rPr>
          <w:sz w:val="21"/>
        </w:rPr>
        <w:t>it less </w:t>
      </w:r>
      <w:r>
        <w:rPr>
          <w:spacing w:val="-4"/>
          <w:sz w:val="21"/>
        </w:rPr>
        <w:t>likely </w:t>
      </w:r>
      <w:r>
        <w:rPr>
          <w:spacing w:val="-3"/>
          <w:sz w:val="21"/>
        </w:rPr>
        <w:t>to </w:t>
      </w:r>
      <w:r>
        <w:rPr>
          <w:sz w:val="21"/>
        </w:rPr>
        <w:t>cause damage or injury and </w:t>
      </w:r>
      <w:r>
        <w:rPr>
          <w:spacing w:val="-3"/>
          <w:sz w:val="21"/>
        </w:rPr>
        <w:t>that </w:t>
      </w:r>
      <w:r>
        <w:rPr>
          <w:sz w:val="21"/>
        </w:rPr>
        <w:t>the tree should </w:t>
      </w:r>
      <w:r>
        <w:rPr>
          <w:spacing w:val="-2"/>
          <w:sz w:val="21"/>
        </w:rPr>
        <w:t>not </w:t>
      </w:r>
      <w:r>
        <w:rPr>
          <w:sz w:val="21"/>
        </w:rPr>
        <w:t>be</w:t>
      </w:r>
      <w:r>
        <w:rPr>
          <w:spacing w:val="28"/>
          <w:sz w:val="21"/>
        </w:rPr>
        <w:t> </w:t>
      </w:r>
      <w:r>
        <w:rPr>
          <w:spacing w:val="-3"/>
          <w:sz w:val="21"/>
        </w:rPr>
        <w:t>removed.</w:t>
      </w:r>
      <w:r>
        <w:rPr>
          <w:spacing w:val="-3"/>
          <w:position w:val="7"/>
          <w:sz w:val="12"/>
        </w:rPr>
        <w:t>41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0"/>
        </w:rPr>
      </w:pPr>
      <w:r>
        <w:rPr/>
        <w:pict>
          <v:line style="position:absolute;mso-position-horizontal-relative:page;mso-position-vertical-relative:paragraph;z-index:7664;mso-wrap-distance-left:0;mso-wrap-distance-right:0" from="79.370102pt,8.949858pt" to="515.905102pt,8.94985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27"/>
        </w:numPr>
        <w:tabs>
          <w:tab w:pos="2380" w:val="left" w:leader="none"/>
          <w:tab w:pos="2382" w:val="left" w:leader="none"/>
        </w:tabs>
        <w:spacing w:line="240" w:lineRule="auto" w:before="48" w:after="0"/>
        <w:ind w:left="2381" w:right="0" w:hanging="794"/>
        <w:jc w:val="left"/>
        <w:rPr>
          <w:sz w:val="13"/>
        </w:rPr>
      </w:pPr>
      <w:r>
        <w:rPr>
          <w:sz w:val="13"/>
        </w:rPr>
        <w:t>The Court publishes decisions under the NSW Act which contain ‘tree dispute principles’. These principles provide an understanding of how              the Court has approached a particular aspect of a dispute. Three principles have been published to date – ‘claims for structural damage to    property’, ‘the tree was there first’ and  ‘urban  trees  and  ordinary  maintenance.’  For  a  list  of  the  Court’s  Tree  Dispute  Principles,  see  Land and Environment Court of New South Wales, </w:t>
      </w:r>
      <w:r>
        <w:rPr>
          <w:i/>
          <w:sz w:val="13"/>
        </w:rPr>
        <w:t>Tree Dispute Principles </w:t>
      </w:r>
      <w:r>
        <w:rPr>
          <w:sz w:val="13"/>
        </w:rPr>
        <w:t>(Web Page, 25 September 2017) &lt;</w:t>
      </w:r>
      <w:hyperlink r:id="rId212">
        <w:r>
          <w:rPr>
            <w:sz w:val="13"/>
          </w:rPr>
          <w:t>http://www.lec.justice.nsw.gov.au/</w:t>
        </w:r>
      </w:hyperlink>
      <w:r>
        <w:rPr>
          <w:sz w:val="13"/>
        </w:rPr>
        <w:t> </w:t>
      </w:r>
      <w:r>
        <w:rPr>
          <w:spacing w:val="2"/>
          <w:sz w:val="13"/>
        </w:rPr>
        <w:t>Pages/practice_procedure/principles/tree_principles.aspx&gt;.</w:t>
      </w:r>
    </w:p>
    <w:p>
      <w:pPr>
        <w:pStyle w:val="ListParagraph"/>
        <w:numPr>
          <w:ilvl w:val="0"/>
          <w:numId w:val="127"/>
        </w:numPr>
        <w:tabs>
          <w:tab w:pos="2380" w:val="left" w:leader="none"/>
          <w:tab w:pos="2382" w:val="left" w:leader="none"/>
        </w:tabs>
        <w:spacing w:line="240" w:lineRule="auto" w:before="7" w:after="0"/>
        <w:ind w:left="2381" w:right="54" w:hanging="794"/>
        <w:jc w:val="left"/>
        <w:rPr>
          <w:sz w:val="13"/>
        </w:rPr>
      </w:pPr>
      <w:r>
        <w:rPr>
          <w:sz w:val="13"/>
        </w:rPr>
        <w:t>This tree dispute principle is derived from the case of </w:t>
      </w:r>
      <w:r>
        <w:rPr>
          <w:i/>
          <w:sz w:val="13"/>
        </w:rPr>
        <w:t>Black v Johnson </w:t>
      </w:r>
      <w:r>
        <w:rPr>
          <w:i/>
          <w:spacing w:val="3"/>
          <w:sz w:val="13"/>
        </w:rPr>
        <w:t>(No </w:t>
      </w:r>
      <w:r>
        <w:rPr>
          <w:i/>
          <w:sz w:val="13"/>
        </w:rPr>
        <w:t>2) </w:t>
      </w:r>
      <w:r>
        <w:rPr>
          <w:sz w:val="13"/>
        </w:rPr>
        <w:t>[2007] NSWLEC  </w:t>
      </w:r>
      <w:r>
        <w:rPr>
          <w:spacing w:val="-5"/>
          <w:sz w:val="13"/>
        </w:rPr>
        <w:t>513  </w:t>
      </w:r>
      <w:r>
        <w:rPr>
          <w:sz w:val="13"/>
        </w:rPr>
        <w:t>[15].  In  this  case  the  court  ordered  the removal of a tree on a common boundary that had caused damage to the affected neighbour’s building. A relevant consideration was that              the tree </w:t>
      </w:r>
      <w:r>
        <w:rPr>
          <w:spacing w:val="2"/>
          <w:sz w:val="13"/>
        </w:rPr>
        <w:t>pre-existed </w:t>
      </w:r>
      <w:r>
        <w:rPr>
          <w:sz w:val="13"/>
        </w:rPr>
        <w:t>the construction of the building. The court considered whether alternative designs  of  the  building  and  an  alternative location would have mitigated the damage that resulted. The court determined that the tree would have posed a  problem  regardless  and therefore</w:t>
      </w:r>
      <w:r>
        <w:rPr>
          <w:spacing w:val="7"/>
          <w:sz w:val="13"/>
        </w:rPr>
        <w:t> </w:t>
      </w:r>
      <w:r>
        <w:rPr>
          <w:sz w:val="13"/>
        </w:rPr>
        <w:t>did</w:t>
      </w:r>
      <w:r>
        <w:rPr>
          <w:spacing w:val="7"/>
          <w:sz w:val="13"/>
        </w:rPr>
        <w:t> </w:t>
      </w:r>
      <w:r>
        <w:rPr>
          <w:sz w:val="13"/>
        </w:rPr>
        <w:t>not</w:t>
      </w:r>
      <w:r>
        <w:rPr>
          <w:spacing w:val="8"/>
          <w:sz w:val="13"/>
        </w:rPr>
        <w:t> </w:t>
      </w:r>
      <w:r>
        <w:rPr>
          <w:sz w:val="13"/>
        </w:rPr>
        <w:t>require</w:t>
      </w:r>
      <w:r>
        <w:rPr>
          <w:spacing w:val="7"/>
          <w:sz w:val="13"/>
        </w:rPr>
        <w:t> </w:t>
      </w:r>
      <w:r>
        <w:rPr>
          <w:sz w:val="13"/>
        </w:rPr>
        <w:t>the</w:t>
      </w:r>
      <w:r>
        <w:rPr>
          <w:spacing w:val="7"/>
          <w:sz w:val="13"/>
        </w:rPr>
        <w:t> </w:t>
      </w:r>
      <w:r>
        <w:rPr>
          <w:sz w:val="13"/>
        </w:rPr>
        <w:t>affected</w:t>
      </w:r>
      <w:r>
        <w:rPr>
          <w:spacing w:val="8"/>
          <w:sz w:val="13"/>
        </w:rPr>
        <w:t> </w:t>
      </w:r>
      <w:r>
        <w:rPr>
          <w:sz w:val="13"/>
        </w:rPr>
        <w:t>neighbour</w:t>
      </w:r>
      <w:r>
        <w:rPr>
          <w:spacing w:val="7"/>
          <w:sz w:val="13"/>
        </w:rPr>
        <w:t> </w:t>
      </w:r>
      <w:r>
        <w:rPr>
          <w:sz w:val="13"/>
        </w:rPr>
        <w:t>to</w:t>
      </w:r>
      <w:r>
        <w:rPr>
          <w:spacing w:val="7"/>
          <w:sz w:val="13"/>
        </w:rPr>
        <w:t> </w:t>
      </w:r>
      <w:r>
        <w:rPr>
          <w:sz w:val="13"/>
        </w:rPr>
        <w:t>pay</w:t>
      </w:r>
      <w:r>
        <w:rPr>
          <w:spacing w:val="8"/>
          <w:sz w:val="13"/>
        </w:rPr>
        <w:t> </w:t>
      </w:r>
      <w:r>
        <w:rPr>
          <w:sz w:val="13"/>
        </w:rPr>
        <w:t>for</w:t>
      </w:r>
      <w:r>
        <w:rPr>
          <w:spacing w:val="7"/>
          <w:sz w:val="13"/>
        </w:rPr>
        <w:t> </w:t>
      </w:r>
      <w:r>
        <w:rPr>
          <w:sz w:val="13"/>
        </w:rPr>
        <w:t>its</w:t>
      </w:r>
      <w:r>
        <w:rPr>
          <w:spacing w:val="7"/>
          <w:sz w:val="13"/>
        </w:rPr>
        <w:t> </w:t>
      </w:r>
      <w:r>
        <w:rPr>
          <w:sz w:val="13"/>
        </w:rPr>
        <w:t>removal.</w:t>
      </w:r>
    </w:p>
    <w:p>
      <w:pPr>
        <w:pStyle w:val="ListParagraph"/>
        <w:numPr>
          <w:ilvl w:val="0"/>
          <w:numId w:val="127"/>
        </w:numPr>
        <w:tabs>
          <w:tab w:pos="2380" w:val="left" w:leader="none"/>
          <w:tab w:pos="2382" w:val="left" w:leader="none"/>
        </w:tabs>
        <w:spacing w:line="240" w:lineRule="auto" w:before="6" w:after="0"/>
        <w:ind w:left="2381" w:right="264" w:hanging="794"/>
        <w:jc w:val="left"/>
        <w:rPr>
          <w:sz w:val="13"/>
        </w:rPr>
      </w:pPr>
      <w:r>
        <w:rPr>
          <w:i/>
          <w:w w:val="105"/>
          <w:sz w:val="13"/>
        </w:rPr>
        <w:t>O’Connell v Gallagher </w:t>
      </w:r>
      <w:r>
        <w:rPr>
          <w:w w:val="105"/>
          <w:sz w:val="13"/>
        </w:rPr>
        <w:t>[2007] NSWLEC 718; See also </w:t>
      </w:r>
      <w:r>
        <w:rPr>
          <w:i/>
          <w:w w:val="105"/>
          <w:sz w:val="13"/>
        </w:rPr>
        <w:t>Osborne v Hook </w:t>
      </w:r>
      <w:r>
        <w:rPr>
          <w:spacing w:val="2"/>
          <w:w w:val="105"/>
          <w:sz w:val="13"/>
        </w:rPr>
        <w:t>[2008] </w:t>
      </w:r>
      <w:r>
        <w:rPr>
          <w:w w:val="105"/>
          <w:sz w:val="13"/>
        </w:rPr>
        <w:t>NSWLEC </w:t>
      </w:r>
      <w:r>
        <w:rPr>
          <w:spacing w:val="-3"/>
          <w:w w:val="105"/>
          <w:sz w:val="13"/>
        </w:rPr>
        <w:t>1231; </w:t>
      </w:r>
      <w:r>
        <w:rPr>
          <w:i/>
          <w:w w:val="105"/>
          <w:sz w:val="13"/>
        </w:rPr>
        <w:t>Lazarus v Le </w:t>
      </w:r>
      <w:r>
        <w:rPr>
          <w:w w:val="105"/>
          <w:sz w:val="13"/>
        </w:rPr>
        <w:t>[2010] NSWLEC </w:t>
      </w:r>
      <w:r>
        <w:rPr>
          <w:spacing w:val="-5"/>
          <w:w w:val="105"/>
          <w:sz w:val="13"/>
        </w:rPr>
        <w:t>1118, </w:t>
      </w:r>
      <w:r>
        <w:rPr>
          <w:spacing w:val="-3"/>
          <w:w w:val="105"/>
          <w:sz w:val="13"/>
        </w:rPr>
        <w:t>[11–13] </w:t>
      </w:r>
      <w:r>
        <w:rPr>
          <w:w w:val="105"/>
          <w:sz w:val="13"/>
        </w:rPr>
        <w:t>where</w:t>
      </w:r>
      <w:r>
        <w:rPr>
          <w:spacing w:val="5"/>
          <w:w w:val="105"/>
          <w:sz w:val="13"/>
        </w:rPr>
        <w:t> </w:t>
      </w:r>
      <w:r>
        <w:rPr>
          <w:w w:val="105"/>
          <w:sz w:val="13"/>
        </w:rPr>
        <w:t>the</w:t>
      </w:r>
      <w:r>
        <w:rPr>
          <w:spacing w:val="5"/>
          <w:w w:val="105"/>
          <w:sz w:val="13"/>
        </w:rPr>
        <w:t> </w:t>
      </w:r>
      <w:r>
        <w:rPr>
          <w:w w:val="105"/>
          <w:sz w:val="13"/>
        </w:rPr>
        <w:t>Court</w:t>
      </w:r>
      <w:r>
        <w:rPr>
          <w:spacing w:val="5"/>
          <w:w w:val="105"/>
          <w:sz w:val="13"/>
        </w:rPr>
        <w:t> </w:t>
      </w:r>
      <w:r>
        <w:rPr>
          <w:w w:val="105"/>
          <w:sz w:val="13"/>
        </w:rPr>
        <w:t>considered</w:t>
      </w:r>
      <w:r>
        <w:rPr>
          <w:spacing w:val="5"/>
          <w:w w:val="105"/>
          <w:sz w:val="13"/>
        </w:rPr>
        <w:t> </w:t>
      </w:r>
      <w:r>
        <w:rPr>
          <w:w w:val="105"/>
          <w:sz w:val="13"/>
        </w:rPr>
        <w:t>the</w:t>
      </w:r>
      <w:r>
        <w:rPr>
          <w:spacing w:val="6"/>
          <w:w w:val="105"/>
          <w:sz w:val="13"/>
        </w:rPr>
        <w:t> </w:t>
      </w:r>
      <w:r>
        <w:rPr>
          <w:w w:val="105"/>
          <w:sz w:val="13"/>
        </w:rPr>
        <w:t>failure</w:t>
      </w:r>
      <w:r>
        <w:rPr>
          <w:spacing w:val="5"/>
          <w:w w:val="105"/>
          <w:sz w:val="13"/>
        </w:rPr>
        <w:t> </w:t>
      </w:r>
      <w:r>
        <w:rPr>
          <w:w w:val="105"/>
          <w:sz w:val="13"/>
        </w:rPr>
        <w:t>by</w:t>
      </w:r>
      <w:r>
        <w:rPr>
          <w:spacing w:val="5"/>
          <w:w w:val="105"/>
          <w:sz w:val="13"/>
        </w:rPr>
        <w:t> </w:t>
      </w:r>
      <w:r>
        <w:rPr>
          <w:w w:val="105"/>
          <w:sz w:val="13"/>
        </w:rPr>
        <w:t>the</w:t>
      </w:r>
      <w:r>
        <w:rPr>
          <w:spacing w:val="5"/>
          <w:w w:val="105"/>
          <w:sz w:val="13"/>
        </w:rPr>
        <w:t> </w:t>
      </w:r>
      <w:r>
        <w:rPr>
          <w:w w:val="105"/>
          <w:sz w:val="13"/>
        </w:rPr>
        <w:t>affected</w:t>
      </w:r>
      <w:r>
        <w:rPr>
          <w:spacing w:val="6"/>
          <w:w w:val="105"/>
          <w:sz w:val="13"/>
        </w:rPr>
        <w:t> </w:t>
      </w:r>
      <w:r>
        <w:rPr>
          <w:w w:val="105"/>
          <w:sz w:val="13"/>
        </w:rPr>
        <w:t>neighbour</w:t>
      </w:r>
      <w:r>
        <w:rPr>
          <w:spacing w:val="5"/>
          <w:w w:val="105"/>
          <w:sz w:val="13"/>
        </w:rPr>
        <w:t> </w:t>
      </w:r>
      <w:r>
        <w:rPr>
          <w:w w:val="105"/>
          <w:sz w:val="13"/>
        </w:rPr>
        <w:t>to</w:t>
      </w:r>
      <w:r>
        <w:rPr>
          <w:spacing w:val="5"/>
          <w:w w:val="105"/>
          <w:sz w:val="13"/>
        </w:rPr>
        <w:t> </w:t>
      </w:r>
      <w:r>
        <w:rPr>
          <w:w w:val="105"/>
          <w:sz w:val="13"/>
        </w:rPr>
        <w:t>give</w:t>
      </w:r>
      <w:r>
        <w:rPr>
          <w:spacing w:val="5"/>
          <w:w w:val="105"/>
          <w:sz w:val="13"/>
        </w:rPr>
        <w:t> </w:t>
      </w:r>
      <w:r>
        <w:rPr>
          <w:w w:val="105"/>
          <w:sz w:val="13"/>
        </w:rPr>
        <w:t>notice</w:t>
      </w:r>
      <w:r>
        <w:rPr>
          <w:spacing w:val="6"/>
          <w:w w:val="105"/>
          <w:sz w:val="13"/>
        </w:rPr>
        <w:t> </w:t>
      </w:r>
      <w:r>
        <w:rPr>
          <w:w w:val="105"/>
          <w:sz w:val="13"/>
        </w:rPr>
        <w:t>to</w:t>
      </w:r>
      <w:r>
        <w:rPr>
          <w:spacing w:val="5"/>
          <w:w w:val="105"/>
          <w:sz w:val="13"/>
        </w:rPr>
        <w:t> </w:t>
      </w:r>
      <w:r>
        <w:rPr>
          <w:w w:val="105"/>
          <w:sz w:val="13"/>
        </w:rPr>
        <w:t>the</w:t>
      </w:r>
      <w:r>
        <w:rPr>
          <w:spacing w:val="5"/>
          <w:w w:val="105"/>
          <w:sz w:val="13"/>
        </w:rPr>
        <w:t> </w:t>
      </w:r>
      <w:r>
        <w:rPr>
          <w:w w:val="105"/>
          <w:sz w:val="13"/>
        </w:rPr>
        <w:t>tree</w:t>
      </w:r>
      <w:r>
        <w:rPr>
          <w:spacing w:val="5"/>
          <w:w w:val="105"/>
          <w:sz w:val="13"/>
        </w:rPr>
        <w:t> </w:t>
      </w:r>
      <w:r>
        <w:rPr>
          <w:w w:val="105"/>
          <w:sz w:val="13"/>
        </w:rPr>
        <w:t>owner</w:t>
      </w:r>
      <w:r>
        <w:rPr>
          <w:spacing w:val="6"/>
          <w:w w:val="105"/>
          <w:sz w:val="13"/>
        </w:rPr>
        <w:t> </w:t>
      </w:r>
      <w:r>
        <w:rPr>
          <w:w w:val="105"/>
          <w:sz w:val="13"/>
        </w:rPr>
        <w:t>when</w:t>
      </w:r>
      <w:r>
        <w:rPr>
          <w:spacing w:val="5"/>
          <w:w w:val="105"/>
          <w:sz w:val="13"/>
        </w:rPr>
        <w:t> </w:t>
      </w:r>
      <w:r>
        <w:rPr>
          <w:w w:val="105"/>
          <w:sz w:val="13"/>
        </w:rPr>
        <w:t>the</w:t>
      </w:r>
      <w:r>
        <w:rPr>
          <w:spacing w:val="5"/>
          <w:w w:val="105"/>
          <w:sz w:val="13"/>
        </w:rPr>
        <w:t> </w:t>
      </w:r>
      <w:r>
        <w:rPr>
          <w:w w:val="105"/>
          <w:sz w:val="13"/>
        </w:rPr>
        <w:t>damage</w:t>
      </w:r>
      <w:r>
        <w:rPr>
          <w:spacing w:val="5"/>
          <w:w w:val="105"/>
          <w:sz w:val="13"/>
        </w:rPr>
        <w:t> </w:t>
      </w:r>
      <w:r>
        <w:rPr>
          <w:w w:val="105"/>
          <w:sz w:val="13"/>
        </w:rPr>
        <w:t>occurred.</w:t>
      </w:r>
    </w:p>
    <w:p>
      <w:pPr>
        <w:tabs>
          <w:tab w:pos="2380" w:val="left" w:leader="none"/>
        </w:tabs>
        <w:spacing w:before="3"/>
        <w:ind w:left="1587" w:right="0" w:firstLine="0"/>
        <w:jc w:val="left"/>
        <w:rPr>
          <w:sz w:val="13"/>
        </w:rPr>
      </w:pPr>
      <w:r>
        <w:rPr>
          <w:w w:val="110"/>
          <w:sz w:val="13"/>
        </w:rPr>
        <w:t>38</w:t>
        <w:tab/>
        <w:t>[2007] NSWLEC</w:t>
      </w:r>
      <w:r>
        <w:rPr>
          <w:spacing w:val="-8"/>
          <w:w w:val="110"/>
          <w:sz w:val="13"/>
        </w:rPr>
        <w:t> </w:t>
      </w:r>
      <w:r>
        <w:rPr>
          <w:w w:val="110"/>
          <w:sz w:val="13"/>
        </w:rPr>
        <w:t>718.</w:t>
      </w:r>
    </w:p>
    <w:p>
      <w:pPr>
        <w:tabs>
          <w:tab w:pos="2380" w:val="left" w:leader="none"/>
        </w:tabs>
        <w:spacing w:before="1"/>
        <w:ind w:left="1587" w:right="494" w:firstLine="0"/>
        <w:jc w:val="left"/>
        <w:rPr>
          <w:sz w:val="13"/>
        </w:rPr>
      </w:pPr>
      <w:r>
        <w:rPr>
          <w:w w:val="105"/>
          <w:sz w:val="13"/>
        </w:rPr>
        <w:t>39</w:t>
        <w:tab/>
      </w:r>
      <w:r>
        <w:rPr>
          <w:i/>
          <w:w w:val="105"/>
          <w:sz w:val="13"/>
        </w:rPr>
        <w:t>O’Connell v Gallagher </w:t>
      </w:r>
      <w:r>
        <w:rPr>
          <w:w w:val="105"/>
          <w:sz w:val="13"/>
        </w:rPr>
        <w:t>[2007] NSWLEC 718. The damage was caused by a tree root to a low brick wall supporting a hot water pipe.  </w:t>
      </w:r>
      <w:r>
        <w:rPr>
          <w:spacing w:val="30"/>
          <w:w w:val="105"/>
          <w:sz w:val="13"/>
        </w:rPr>
        <w:t> </w:t>
      </w:r>
      <w:r>
        <w:rPr>
          <w:w w:val="105"/>
          <w:sz w:val="13"/>
        </w:rPr>
        <w:t>40</w:t>
        <w:tab/>
        <w:t>[2007] NSWLEC</w:t>
      </w:r>
      <w:r>
        <w:rPr>
          <w:spacing w:val="9"/>
          <w:w w:val="105"/>
          <w:sz w:val="13"/>
        </w:rPr>
        <w:t> </w:t>
      </w:r>
      <w:r>
        <w:rPr>
          <w:w w:val="105"/>
          <w:sz w:val="13"/>
        </w:rPr>
        <w:t>764.</w:t>
      </w:r>
    </w:p>
    <w:p>
      <w:pPr>
        <w:tabs>
          <w:tab w:pos="2380" w:val="left" w:leader="none"/>
        </w:tabs>
        <w:spacing w:before="3"/>
        <w:ind w:left="1587" w:right="0" w:firstLine="0"/>
        <w:jc w:val="left"/>
        <w:rPr>
          <w:sz w:val="13"/>
        </w:rPr>
      </w:pPr>
      <w:r>
        <w:rPr>
          <w:spacing w:val="-3"/>
          <w:w w:val="105"/>
          <w:sz w:val="13"/>
        </w:rPr>
        <w:t>41</w:t>
        <w:tab/>
      </w:r>
      <w:r>
        <w:rPr>
          <w:i/>
          <w:w w:val="105"/>
          <w:sz w:val="13"/>
        </w:rPr>
        <w:t>Nolan v Psaltis </w:t>
      </w:r>
      <w:r>
        <w:rPr>
          <w:w w:val="105"/>
          <w:sz w:val="13"/>
        </w:rPr>
        <w:t>[2007] NSWLEC 764,</w:t>
      </w:r>
      <w:r>
        <w:rPr>
          <w:spacing w:val="28"/>
          <w:w w:val="105"/>
          <w:sz w:val="13"/>
        </w:rPr>
        <w:t> </w:t>
      </w:r>
      <w:r>
        <w:rPr>
          <w:w w:val="105"/>
          <w:sz w:val="13"/>
        </w:rPr>
        <w:t>9.</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3"/>
        </w:rPr>
      </w:pPr>
    </w:p>
    <w:p>
      <w:pPr>
        <w:spacing w:before="1"/>
        <w:ind w:left="561" w:right="573" w:firstLine="0"/>
        <w:jc w:val="center"/>
        <w:rPr>
          <w:b/>
          <w:sz w:val="24"/>
        </w:rPr>
      </w:pPr>
      <w:r>
        <w:rPr>
          <w:b/>
          <w:color w:val="658464"/>
          <w:w w:val="110"/>
          <w:sz w:val="24"/>
        </w:rPr>
        <w:t>167</w:t>
      </w:r>
    </w:p>
    <w:p>
      <w:pPr>
        <w:spacing w:after="0"/>
        <w:jc w:val="center"/>
        <w:rPr>
          <w:sz w:val="24"/>
        </w:rPr>
        <w:sectPr>
          <w:type w:val="continuous"/>
          <w:pgSz w:w="11910" w:h="16840"/>
          <w:pgMar w:top="300" w:bottom="280" w:left="0" w:right="0"/>
          <w:cols w:num="2" w:equalWidth="0">
            <w:col w:w="10293" w:space="40"/>
            <w:col w:w="1577"/>
          </w:cols>
        </w:sectPr>
      </w:pPr>
    </w:p>
    <w:p>
      <w:pPr>
        <w:pStyle w:val="BodyText"/>
        <w:spacing w:before="11"/>
        <w:rPr>
          <w:b/>
        </w:rPr>
      </w:pPr>
    </w:p>
    <w:p>
      <w:pPr>
        <w:spacing w:before="96"/>
        <w:ind w:left="1587" w:right="0" w:firstLine="0"/>
        <w:jc w:val="left"/>
        <w:rPr>
          <w:b/>
          <w:sz w:val="24"/>
        </w:rPr>
      </w:pPr>
      <w:r>
        <w:rPr>
          <w:b/>
          <w:w w:val="115"/>
          <w:sz w:val="24"/>
        </w:rPr>
        <w:t>Queensland</w:t>
      </w:r>
    </w:p>
    <w:p>
      <w:pPr>
        <w:pStyle w:val="ListParagraph"/>
        <w:numPr>
          <w:ilvl w:val="1"/>
          <w:numId w:val="16"/>
        </w:numPr>
        <w:tabs>
          <w:tab w:pos="2381" w:val="left" w:leader="none"/>
          <w:tab w:pos="2382" w:val="left" w:leader="none"/>
        </w:tabs>
        <w:spacing w:line="242" w:lineRule="auto" w:before="137" w:after="0"/>
        <w:ind w:left="2381" w:right="1829" w:hanging="794"/>
        <w:jc w:val="left"/>
        <w:rPr>
          <w:sz w:val="21"/>
        </w:rPr>
      </w:pPr>
      <w:r>
        <w:rPr>
          <w:w w:val="105"/>
          <w:sz w:val="21"/>
        </w:rPr>
        <w:t>The </w:t>
      </w:r>
      <w:r>
        <w:rPr>
          <w:spacing w:val="-3"/>
          <w:w w:val="105"/>
          <w:sz w:val="21"/>
        </w:rPr>
        <w:t>Queensland </w:t>
      </w:r>
      <w:r>
        <w:rPr>
          <w:w w:val="105"/>
          <w:sz w:val="21"/>
        </w:rPr>
        <w:t>Act sets out mandatory decision-making </w:t>
      </w:r>
      <w:r>
        <w:rPr>
          <w:spacing w:val="-3"/>
          <w:w w:val="105"/>
          <w:sz w:val="21"/>
        </w:rPr>
        <w:t>criteria that </w:t>
      </w:r>
      <w:r>
        <w:rPr>
          <w:w w:val="105"/>
          <w:sz w:val="21"/>
        </w:rPr>
        <w:t>largely </w:t>
      </w:r>
      <w:r>
        <w:rPr>
          <w:spacing w:val="-3"/>
          <w:w w:val="105"/>
          <w:sz w:val="21"/>
        </w:rPr>
        <w:t>replicate </w:t>
      </w:r>
      <w:r>
        <w:rPr>
          <w:w w:val="105"/>
          <w:sz w:val="21"/>
        </w:rPr>
        <w:t>the</w:t>
      </w:r>
      <w:r>
        <w:rPr>
          <w:spacing w:val="-8"/>
          <w:w w:val="105"/>
          <w:sz w:val="21"/>
        </w:rPr>
        <w:t> </w:t>
      </w:r>
      <w:r>
        <w:rPr>
          <w:w w:val="105"/>
          <w:sz w:val="21"/>
        </w:rPr>
        <w:t>approach</w:t>
      </w:r>
      <w:r>
        <w:rPr>
          <w:spacing w:val="-8"/>
          <w:w w:val="105"/>
          <w:sz w:val="21"/>
        </w:rPr>
        <w:t> </w:t>
      </w:r>
      <w:r>
        <w:rPr>
          <w:w w:val="105"/>
          <w:sz w:val="21"/>
        </w:rPr>
        <w:t>in</w:t>
      </w:r>
      <w:r>
        <w:rPr>
          <w:spacing w:val="-8"/>
          <w:w w:val="105"/>
          <w:sz w:val="21"/>
        </w:rPr>
        <w:t> </w:t>
      </w:r>
      <w:r>
        <w:rPr>
          <w:w w:val="105"/>
          <w:sz w:val="21"/>
        </w:rPr>
        <w:t>the</w:t>
      </w:r>
      <w:r>
        <w:rPr>
          <w:spacing w:val="-8"/>
          <w:w w:val="105"/>
          <w:sz w:val="21"/>
        </w:rPr>
        <w:t> </w:t>
      </w:r>
      <w:r>
        <w:rPr>
          <w:w w:val="105"/>
          <w:sz w:val="21"/>
        </w:rPr>
        <w:t>NSW</w:t>
      </w:r>
      <w:r>
        <w:rPr>
          <w:spacing w:val="-8"/>
          <w:w w:val="105"/>
          <w:sz w:val="21"/>
        </w:rPr>
        <w:t> </w:t>
      </w:r>
      <w:r>
        <w:rPr>
          <w:w w:val="105"/>
          <w:sz w:val="21"/>
        </w:rPr>
        <w:t>Act.</w:t>
      </w:r>
      <w:r>
        <w:rPr>
          <w:spacing w:val="-8"/>
          <w:w w:val="105"/>
          <w:sz w:val="21"/>
        </w:rPr>
        <w:t> </w:t>
      </w:r>
      <w:r>
        <w:rPr>
          <w:spacing w:val="-3"/>
          <w:w w:val="105"/>
          <w:sz w:val="21"/>
        </w:rPr>
        <w:t>Queensland’s</w:t>
      </w:r>
      <w:r>
        <w:rPr>
          <w:spacing w:val="-8"/>
          <w:w w:val="105"/>
          <w:sz w:val="21"/>
        </w:rPr>
        <w:t> </w:t>
      </w:r>
      <w:r>
        <w:rPr>
          <w:spacing w:val="-3"/>
          <w:w w:val="105"/>
          <w:sz w:val="21"/>
        </w:rPr>
        <w:t>vulnerability</w:t>
      </w:r>
      <w:r>
        <w:rPr>
          <w:spacing w:val="-8"/>
          <w:w w:val="105"/>
          <w:sz w:val="21"/>
        </w:rPr>
        <w:t> </w:t>
      </w:r>
      <w:r>
        <w:rPr>
          <w:spacing w:val="-3"/>
          <w:w w:val="105"/>
          <w:sz w:val="21"/>
        </w:rPr>
        <w:t>to</w:t>
      </w:r>
      <w:r>
        <w:rPr>
          <w:spacing w:val="-8"/>
          <w:w w:val="105"/>
          <w:sz w:val="21"/>
        </w:rPr>
        <w:t> </w:t>
      </w:r>
      <w:r>
        <w:rPr>
          <w:w w:val="105"/>
          <w:sz w:val="21"/>
        </w:rPr>
        <w:t>cyclones</w:t>
      </w:r>
      <w:r>
        <w:rPr>
          <w:spacing w:val="-8"/>
          <w:w w:val="105"/>
          <w:sz w:val="21"/>
        </w:rPr>
        <w:t> </w:t>
      </w:r>
      <w:r>
        <w:rPr>
          <w:spacing w:val="-3"/>
          <w:w w:val="105"/>
          <w:sz w:val="21"/>
        </w:rPr>
        <w:t>any</w:t>
      </w:r>
      <w:r>
        <w:rPr>
          <w:spacing w:val="-8"/>
          <w:w w:val="105"/>
          <w:sz w:val="21"/>
        </w:rPr>
        <w:t> </w:t>
      </w:r>
      <w:r>
        <w:rPr>
          <w:w w:val="105"/>
          <w:sz w:val="21"/>
        </w:rPr>
        <w:t>other</w:t>
      </w:r>
      <w:r>
        <w:rPr>
          <w:spacing w:val="-8"/>
          <w:w w:val="105"/>
          <w:sz w:val="21"/>
        </w:rPr>
        <w:t> </w:t>
      </w:r>
      <w:r>
        <w:rPr>
          <w:w w:val="105"/>
          <w:sz w:val="21"/>
        </w:rPr>
        <w:t>extreme </w:t>
      </w:r>
      <w:r>
        <w:rPr>
          <w:spacing w:val="-3"/>
          <w:w w:val="105"/>
          <w:sz w:val="21"/>
        </w:rPr>
        <w:t>weather </w:t>
      </w:r>
      <w:r>
        <w:rPr>
          <w:w w:val="105"/>
          <w:sz w:val="21"/>
        </w:rPr>
        <w:t>events is an </w:t>
      </w:r>
      <w:r>
        <w:rPr>
          <w:spacing w:val="-3"/>
          <w:w w:val="105"/>
          <w:sz w:val="21"/>
        </w:rPr>
        <w:t>additional</w:t>
      </w:r>
      <w:r>
        <w:rPr>
          <w:spacing w:val="26"/>
          <w:w w:val="105"/>
          <w:sz w:val="21"/>
        </w:rPr>
        <w:t> </w:t>
      </w:r>
      <w:r>
        <w:rPr>
          <w:spacing w:val="-3"/>
          <w:w w:val="105"/>
          <w:sz w:val="21"/>
        </w:rPr>
        <w:t>consideration.</w:t>
      </w:r>
      <w:r>
        <w:rPr>
          <w:spacing w:val="-3"/>
          <w:w w:val="105"/>
          <w:position w:val="7"/>
          <w:sz w:val="12"/>
        </w:rPr>
        <w:t>42</w:t>
      </w:r>
    </w:p>
    <w:p>
      <w:pPr>
        <w:pStyle w:val="ListParagraph"/>
        <w:numPr>
          <w:ilvl w:val="1"/>
          <w:numId w:val="16"/>
        </w:numPr>
        <w:tabs>
          <w:tab w:pos="2380" w:val="left" w:leader="none"/>
          <w:tab w:pos="2381" w:val="left" w:leader="none"/>
        </w:tabs>
        <w:spacing w:line="242" w:lineRule="auto" w:before="124" w:after="0"/>
        <w:ind w:left="2380" w:right="1931" w:hanging="793"/>
        <w:jc w:val="left"/>
        <w:rPr>
          <w:sz w:val="21"/>
        </w:rPr>
      </w:pPr>
      <w:r>
        <w:rPr>
          <w:sz w:val="21"/>
        </w:rPr>
        <w:t>The </w:t>
      </w:r>
      <w:r>
        <w:rPr>
          <w:spacing w:val="-3"/>
          <w:sz w:val="21"/>
        </w:rPr>
        <w:t>Queensland </w:t>
      </w:r>
      <w:r>
        <w:rPr>
          <w:sz w:val="21"/>
        </w:rPr>
        <w:t>Act also provides </w:t>
      </w:r>
      <w:r>
        <w:rPr>
          <w:spacing w:val="-3"/>
          <w:sz w:val="21"/>
        </w:rPr>
        <w:t>additional principles that </w:t>
      </w:r>
      <w:r>
        <w:rPr>
          <w:i/>
          <w:spacing w:val="-3"/>
          <w:sz w:val="21"/>
        </w:rPr>
        <w:t>may </w:t>
      </w:r>
      <w:r>
        <w:rPr>
          <w:sz w:val="21"/>
        </w:rPr>
        <w:t>be </w:t>
      </w:r>
      <w:r>
        <w:rPr>
          <w:spacing w:val="-3"/>
          <w:sz w:val="21"/>
        </w:rPr>
        <w:t>considered </w:t>
      </w:r>
      <w:r>
        <w:rPr>
          <w:sz w:val="21"/>
        </w:rPr>
        <w:t>by the decision </w:t>
      </w:r>
      <w:r>
        <w:rPr>
          <w:spacing w:val="-4"/>
          <w:sz w:val="21"/>
        </w:rPr>
        <w:t>maker </w:t>
      </w:r>
      <w:r>
        <w:rPr>
          <w:sz w:val="21"/>
        </w:rPr>
        <w:t>in specific </w:t>
      </w:r>
      <w:r>
        <w:rPr>
          <w:spacing w:val="-3"/>
          <w:sz w:val="21"/>
        </w:rPr>
        <w:t>situations </w:t>
      </w:r>
      <w:r>
        <w:rPr>
          <w:sz w:val="21"/>
        </w:rPr>
        <w:t>—where serious </w:t>
      </w:r>
      <w:r>
        <w:rPr>
          <w:spacing w:val="-4"/>
          <w:sz w:val="21"/>
        </w:rPr>
        <w:t>injury, </w:t>
      </w:r>
      <w:r>
        <w:rPr>
          <w:sz w:val="21"/>
        </w:rPr>
        <w:t>damage or </w:t>
      </w:r>
      <w:r>
        <w:rPr>
          <w:spacing w:val="-3"/>
          <w:sz w:val="21"/>
        </w:rPr>
        <w:t>unreasonable interference are </w:t>
      </w:r>
      <w:r>
        <w:rPr>
          <w:sz w:val="21"/>
        </w:rPr>
        <w:t>alleged or where a tree is ordered </w:t>
      </w:r>
      <w:r>
        <w:rPr>
          <w:spacing w:val="-3"/>
          <w:sz w:val="21"/>
        </w:rPr>
        <w:t>to </w:t>
      </w:r>
      <w:r>
        <w:rPr>
          <w:sz w:val="21"/>
        </w:rPr>
        <w:t>be destroyed under section 66.</w:t>
      </w:r>
      <w:r>
        <w:rPr>
          <w:position w:val="7"/>
          <w:sz w:val="12"/>
        </w:rPr>
        <w:t>43</w:t>
      </w:r>
      <w:r>
        <w:rPr>
          <w:sz w:val="12"/>
        </w:rPr>
        <w:t> </w:t>
      </w:r>
      <w:r>
        <w:rPr>
          <w:sz w:val="21"/>
        </w:rPr>
        <w:t>For </w:t>
      </w:r>
      <w:r>
        <w:rPr>
          <w:spacing w:val="-3"/>
          <w:sz w:val="21"/>
        </w:rPr>
        <w:t>example, </w:t>
      </w:r>
      <w:r>
        <w:rPr>
          <w:sz w:val="21"/>
        </w:rPr>
        <w:t>in </w:t>
      </w:r>
      <w:r>
        <w:rPr>
          <w:spacing w:val="-3"/>
          <w:sz w:val="21"/>
        </w:rPr>
        <w:t>making </w:t>
      </w:r>
      <w:r>
        <w:rPr>
          <w:sz w:val="21"/>
        </w:rPr>
        <w:t>an order </w:t>
      </w:r>
      <w:r>
        <w:rPr>
          <w:spacing w:val="-3"/>
          <w:sz w:val="21"/>
        </w:rPr>
        <w:t>to </w:t>
      </w:r>
      <w:r>
        <w:rPr>
          <w:sz w:val="21"/>
        </w:rPr>
        <w:t>carry out work </w:t>
      </w:r>
      <w:r>
        <w:rPr>
          <w:spacing w:val="-3"/>
          <w:sz w:val="21"/>
        </w:rPr>
        <w:t>that involves </w:t>
      </w:r>
      <w:r>
        <w:rPr>
          <w:sz w:val="21"/>
        </w:rPr>
        <w:t>destroying a </w:t>
      </w:r>
      <w:r>
        <w:rPr>
          <w:spacing w:val="-3"/>
          <w:sz w:val="21"/>
        </w:rPr>
        <w:t>tree, Queensland Civil </w:t>
      </w:r>
      <w:r>
        <w:rPr>
          <w:sz w:val="21"/>
        </w:rPr>
        <w:t>and </w:t>
      </w:r>
      <w:r>
        <w:rPr>
          <w:spacing w:val="-3"/>
          <w:sz w:val="21"/>
        </w:rPr>
        <w:t>Administrative </w:t>
      </w:r>
      <w:r>
        <w:rPr>
          <w:spacing w:val="-5"/>
          <w:sz w:val="21"/>
        </w:rPr>
        <w:t>Tribunal </w:t>
      </w:r>
      <w:r>
        <w:rPr>
          <w:i/>
          <w:spacing w:val="-3"/>
          <w:sz w:val="21"/>
        </w:rPr>
        <w:t>may</w:t>
      </w:r>
      <w:r>
        <w:rPr>
          <w:i/>
          <w:spacing w:val="41"/>
          <w:sz w:val="21"/>
        </w:rPr>
        <w:t> </w:t>
      </w:r>
      <w:r>
        <w:rPr>
          <w:spacing w:val="-3"/>
          <w:sz w:val="21"/>
        </w:rPr>
        <w:t>consider:</w:t>
      </w:r>
    </w:p>
    <w:p>
      <w:pPr>
        <w:pStyle w:val="ListParagraph"/>
        <w:numPr>
          <w:ilvl w:val="2"/>
          <w:numId w:val="16"/>
        </w:numPr>
        <w:tabs>
          <w:tab w:pos="2721" w:val="left" w:leader="none"/>
          <w:tab w:pos="2722" w:val="left" w:leader="none"/>
        </w:tabs>
        <w:spacing w:line="240" w:lineRule="auto" w:before="125" w:after="0"/>
        <w:ind w:left="2721" w:right="0" w:hanging="340"/>
        <w:jc w:val="left"/>
        <w:rPr>
          <w:sz w:val="21"/>
        </w:rPr>
      </w:pPr>
      <w:r>
        <w:rPr>
          <w:w w:val="105"/>
          <w:sz w:val="21"/>
        </w:rPr>
        <w:t>how long the </w:t>
      </w:r>
      <w:r>
        <w:rPr>
          <w:spacing w:val="-3"/>
          <w:w w:val="105"/>
          <w:sz w:val="21"/>
        </w:rPr>
        <w:t>neighbour </w:t>
      </w:r>
      <w:r>
        <w:rPr>
          <w:spacing w:val="-2"/>
          <w:w w:val="105"/>
          <w:sz w:val="21"/>
        </w:rPr>
        <w:t>has </w:t>
      </w:r>
      <w:r>
        <w:rPr>
          <w:w w:val="105"/>
          <w:sz w:val="21"/>
        </w:rPr>
        <w:t>known of the injury or</w:t>
      </w:r>
      <w:r>
        <w:rPr>
          <w:spacing w:val="4"/>
          <w:w w:val="105"/>
          <w:sz w:val="21"/>
        </w:rPr>
        <w:t> </w:t>
      </w:r>
      <w:r>
        <w:rPr>
          <w:w w:val="105"/>
          <w:sz w:val="21"/>
        </w:rPr>
        <w:t>damage</w:t>
      </w:r>
    </w:p>
    <w:p>
      <w:pPr>
        <w:pStyle w:val="ListParagraph"/>
        <w:numPr>
          <w:ilvl w:val="2"/>
          <w:numId w:val="16"/>
        </w:numPr>
        <w:tabs>
          <w:tab w:pos="2721" w:val="left" w:leader="none"/>
          <w:tab w:pos="2722" w:val="left" w:leader="none"/>
        </w:tabs>
        <w:spacing w:line="242" w:lineRule="auto" w:before="89" w:after="0"/>
        <w:ind w:left="2721" w:right="1590" w:hanging="340"/>
        <w:jc w:val="left"/>
        <w:rPr>
          <w:sz w:val="21"/>
        </w:rPr>
      </w:pPr>
      <w:r>
        <w:rPr>
          <w:spacing w:val="-3"/>
          <w:sz w:val="21"/>
        </w:rPr>
        <w:t>any </w:t>
      </w:r>
      <w:r>
        <w:rPr>
          <w:sz w:val="21"/>
        </w:rPr>
        <w:t>steps </w:t>
      </w:r>
      <w:r>
        <w:rPr>
          <w:spacing w:val="-3"/>
          <w:sz w:val="21"/>
        </w:rPr>
        <w:t>that have </w:t>
      </w:r>
      <w:r>
        <w:rPr>
          <w:sz w:val="21"/>
        </w:rPr>
        <w:t>been </w:t>
      </w:r>
      <w:r>
        <w:rPr>
          <w:spacing w:val="-3"/>
          <w:sz w:val="21"/>
        </w:rPr>
        <w:t>taken </w:t>
      </w:r>
      <w:r>
        <w:rPr>
          <w:sz w:val="21"/>
        </w:rPr>
        <w:t>by the tree-keeper or the </w:t>
      </w:r>
      <w:r>
        <w:rPr>
          <w:spacing w:val="-3"/>
          <w:sz w:val="21"/>
        </w:rPr>
        <w:t>neighbour to prevent </w:t>
      </w:r>
      <w:r>
        <w:rPr>
          <w:sz w:val="21"/>
        </w:rPr>
        <w:t>further injury or</w:t>
      </w:r>
      <w:r>
        <w:rPr>
          <w:spacing w:val="16"/>
          <w:sz w:val="21"/>
        </w:rPr>
        <w:t> </w:t>
      </w:r>
      <w:r>
        <w:rPr>
          <w:sz w:val="21"/>
        </w:rPr>
        <w:t>damage</w:t>
      </w:r>
    </w:p>
    <w:p>
      <w:pPr>
        <w:pStyle w:val="ListParagraph"/>
        <w:numPr>
          <w:ilvl w:val="2"/>
          <w:numId w:val="16"/>
        </w:numPr>
        <w:tabs>
          <w:tab w:pos="2721" w:val="left" w:leader="none"/>
          <w:tab w:pos="2722" w:val="left" w:leader="none"/>
        </w:tabs>
        <w:spacing w:line="242" w:lineRule="auto" w:before="87" w:after="0"/>
        <w:ind w:left="2721" w:right="1899" w:hanging="340"/>
        <w:jc w:val="left"/>
        <w:rPr>
          <w:sz w:val="21"/>
        </w:rPr>
      </w:pPr>
      <w:r>
        <w:rPr>
          <w:sz w:val="21"/>
        </w:rPr>
        <w:t>anything other </w:t>
      </w:r>
      <w:r>
        <w:rPr>
          <w:spacing w:val="-3"/>
          <w:sz w:val="21"/>
        </w:rPr>
        <w:t>than </w:t>
      </w:r>
      <w:r>
        <w:rPr>
          <w:sz w:val="21"/>
        </w:rPr>
        <w:t>the tree </w:t>
      </w:r>
      <w:r>
        <w:rPr>
          <w:spacing w:val="-3"/>
          <w:sz w:val="21"/>
        </w:rPr>
        <w:t>that may have </w:t>
      </w:r>
      <w:r>
        <w:rPr>
          <w:sz w:val="21"/>
        </w:rPr>
        <w:t>caused or </w:t>
      </w:r>
      <w:r>
        <w:rPr>
          <w:spacing w:val="-3"/>
          <w:sz w:val="21"/>
        </w:rPr>
        <w:t>contributed to </w:t>
      </w:r>
      <w:r>
        <w:rPr>
          <w:sz w:val="21"/>
        </w:rPr>
        <w:t>some or </w:t>
      </w:r>
      <w:r>
        <w:rPr>
          <w:spacing w:val="-3"/>
          <w:sz w:val="21"/>
        </w:rPr>
        <w:t>all  </w:t>
      </w:r>
      <w:r>
        <w:rPr>
          <w:sz w:val="21"/>
        </w:rPr>
        <w:t>of the injury or</w:t>
      </w:r>
      <w:r>
        <w:rPr>
          <w:spacing w:val="24"/>
          <w:sz w:val="21"/>
        </w:rPr>
        <w:t> </w:t>
      </w:r>
      <w:r>
        <w:rPr>
          <w:sz w:val="21"/>
        </w:rPr>
        <w:t>damage</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pacing w:val="-3"/>
          <w:w w:val="105"/>
          <w:sz w:val="21"/>
        </w:rPr>
        <w:t>any </w:t>
      </w:r>
      <w:r>
        <w:rPr>
          <w:w w:val="105"/>
          <w:sz w:val="21"/>
        </w:rPr>
        <w:t>other matters </w:t>
      </w:r>
      <w:r>
        <w:rPr>
          <w:spacing w:val="-4"/>
          <w:w w:val="105"/>
          <w:sz w:val="21"/>
        </w:rPr>
        <w:t>QCAT </w:t>
      </w:r>
      <w:r>
        <w:rPr>
          <w:w w:val="105"/>
          <w:sz w:val="21"/>
        </w:rPr>
        <w:t>considers</w:t>
      </w:r>
      <w:r>
        <w:rPr>
          <w:spacing w:val="30"/>
          <w:w w:val="105"/>
          <w:sz w:val="21"/>
        </w:rPr>
        <w:t> </w:t>
      </w:r>
      <w:r>
        <w:rPr>
          <w:w w:val="105"/>
          <w:sz w:val="21"/>
        </w:rPr>
        <w:t>relevant.</w:t>
      </w:r>
      <w:r>
        <w:rPr>
          <w:w w:val="105"/>
          <w:position w:val="7"/>
          <w:sz w:val="12"/>
        </w:rPr>
        <w:t>44</w:t>
      </w:r>
    </w:p>
    <w:p>
      <w:pPr>
        <w:pStyle w:val="ListParagraph"/>
        <w:numPr>
          <w:ilvl w:val="1"/>
          <w:numId w:val="16"/>
        </w:numPr>
        <w:tabs>
          <w:tab w:pos="2381" w:val="left" w:leader="none"/>
          <w:tab w:pos="2382" w:val="left" w:leader="none"/>
        </w:tabs>
        <w:spacing w:line="242" w:lineRule="auto" w:before="89" w:after="0"/>
        <w:ind w:left="2381" w:right="2239" w:hanging="794"/>
        <w:jc w:val="left"/>
        <w:rPr>
          <w:sz w:val="21"/>
        </w:rPr>
      </w:pPr>
      <w:r>
        <w:rPr>
          <w:sz w:val="21"/>
        </w:rPr>
        <w:t>Another </w:t>
      </w:r>
      <w:r>
        <w:rPr>
          <w:spacing w:val="-4"/>
          <w:sz w:val="21"/>
        </w:rPr>
        <w:t>key </w:t>
      </w:r>
      <w:r>
        <w:rPr>
          <w:spacing w:val="-3"/>
          <w:sz w:val="21"/>
        </w:rPr>
        <w:t>difference </w:t>
      </w:r>
      <w:r>
        <w:rPr>
          <w:sz w:val="21"/>
        </w:rPr>
        <w:t>between the NSW and </w:t>
      </w:r>
      <w:r>
        <w:rPr>
          <w:spacing w:val="-3"/>
          <w:sz w:val="21"/>
        </w:rPr>
        <w:t>Queensland legislation </w:t>
      </w:r>
      <w:r>
        <w:rPr>
          <w:sz w:val="21"/>
        </w:rPr>
        <w:t>is </w:t>
      </w:r>
      <w:r>
        <w:rPr>
          <w:spacing w:val="-3"/>
          <w:sz w:val="21"/>
        </w:rPr>
        <w:t>that </w:t>
      </w:r>
      <w:r>
        <w:rPr>
          <w:sz w:val="21"/>
        </w:rPr>
        <w:t>the </w:t>
      </w:r>
      <w:r>
        <w:rPr>
          <w:spacing w:val="-3"/>
          <w:sz w:val="21"/>
        </w:rPr>
        <w:t>Queensland</w:t>
      </w:r>
      <w:r>
        <w:rPr>
          <w:spacing w:val="27"/>
          <w:sz w:val="21"/>
        </w:rPr>
        <w:t> </w:t>
      </w:r>
      <w:r>
        <w:rPr>
          <w:sz w:val="21"/>
        </w:rPr>
        <w:t>Act</w:t>
      </w:r>
      <w:r>
        <w:rPr>
          <w:spacing w:val="27"/>
          <w:sz w:val="21"/>
        </w:rPr>
        <w:t> </w:t>
      </w:r>
      <w:r>
        <w:rPr>
          <w:sz w:val="21"/>
        </w:rPr>
        <w:t>sets</w:t>
      </w:r>
      <w:r>
        <w:rPr>
          <w:spacing w:val="27"/>
          <w:sz w:val="21"/>
        </w:rPr>
        <w:t> </w:t>
      </w:r>
      <w:r>
        <w:rPr>
          <w:sz w:val="21"/>
        </w:rPr>
        <w:t>out</w:t>
      </w:r>
      <w:r>
        <w:rPr>
          <w:spacing w:val="27"/>
          <w:sz w:val="21"/>
        </w:rPr>
        <w:t> </w:t>
      </w:r>
      <w:r>
        <w:rPr>
          <w:sz w:val="21"/>
        </w:rPr>
        <w:t>the</w:t>
      </w:r>
      <w:r>
        <w:rPr>
          <w:spacing w:val="27"/>
          <w:sz w:val="21"/>
        </w:rPr>
        <w:t> </w:t>
      </w:r>
      <w:r>
        <w:rPr>
          <w:spacing w:val="-3"/>
          <w:sz w:val="21"/>
        </w:rPr>
        <w:t>responsibilities</w:t>
      </w:r>
      <w:r>
        <w:rPr>
          <w:spacing w:val="27"/>
          <w:sz w:val="21"/>
        </w:rPr>
        <w:t> </w:t>
      </w:r>
      <w:r>
        <w:rPr>
          <w:sz w:val="21"/>
        </w:rPr>
        <w:t>of</w:t>
      </w:r>
      <w:r>
        <w:rPr>
          <w:spacing w:val="28"/>
          <w:sz w:val="21"/>
        </w:rPr>
        <w:t> </w:t>
      </w:r>
      <w:r>
        <w:rPr>
          <w:sz w:val="21"/>
        </w:rPr>
        <w:t>tree</w:t>
      </w:r>
      <w:r>
        <w:rPr>
          <w:spacing w:val="27"/>
          <w:sz w:val="21"/>
        </w:rPr>
        <w:t> </w:t>
      </w:r>
      <w:r>
        <w:rPr>
          <w:sz w:val="21"/>
        </w:rPr>
        <w:t>owners.</w:t>
      </w:r>
      <w:r>
        <w:rPr>
          <w:position w:val="7"/>
          <w:sz w:val="12"/>
        </w:rPr>
        <w:t>45</w:t>
      </w:r>
      <w:r>
        <w:rPr>
          <w:spacing w:val="17"/>
          <w:position w:val="7"/>
          <w:sz w:val="12"/>
        </w:rPr>
        <w:t> </w:t>
      </w:r>
      <w:r>
        <w:rPr>
          <w:spacing w:val="-4"/>
          <w:sz w:val="21"/>
        </w:rPr>
        <w:t>QCAT</w:t>
      </w:r>
      <w:r>
        <w:rPr>
          <w:spacing w:val="27"/>
          <w:sz w:val="21"/>
        </w:rPr>
        <w:t> </w:t>
      </w:r>
      <w:r>
        <w:rPr>
          <w:sz w:val="21"/>
        </w:rPr>
        <w:t>confirmed</w:t>
      </w:r>
      <w:r>
        <w:rPr>
          <w:spacing w:val="28"/>
          <w:sz w:val="21"/>
        </w:rPr>
        <w:t> </w:t>
      </w:r>
      <w:r>
        <w:rPr>
          <w:spacing w:val="-3"/>
          <w:sz w:val="21"/>
        </w:rPr>
        <w:t>that</w:t>
      </w:r>
    </w:p>
    <w:p>
      <w:pPr>
        <w:pStyle w:val="BodyText"/>
        <w:spacing w:line="242" w:lineRule="auto" w:before="2"/>
        <w:ind w:left="2381" w:right="1636"/>
        <w:rPr>
          <w:sz w:val="12"/>
        </w:rPr>
      </w:pPr>
      <w:r>
        <w:rPr/>
        <w:t>the tree owner’s responsibilities under the Queensland Act are mirrored in the principles QCAT takes into account when making decisions.</w:t>
      </w:r>
      <w:r>
        <w:rPr>
          <w:position w:val="7"/>
          <w:sz w:val="12"/>
        </w:rPr>
        <w:t>46</w:t>
      </w:r>
    </w:p>
    <w:p>
      <w:pPr>
        <w:pStyle w:val="ListParagraph"/>
        <w:numPr>
          <w:ilvl w:val="1"/>
          <w:numId w:val="16"/>
        </w:numPr>
        <w:tabs>
          <w:tab w:pos="2381" w:val="left" w:leader="none"/>
          <w:tab w:pos="2382" w:val="left" w:leader="none"/>
        </w:tabs>
        <w:spacing w:line="242" w:lineRule="auto" w:before="122" w:after="0"/>
        <w:ind w:left="2381" w:right="1717" w:hanging="794"/>
        <w:jc w:val="left"/>
        <w:rPr>
          <w:sz w:val="21"/>
        </w:rPr>
      </w:pPr>
      <w:r>
        <w:rPr>
          <w:w w:val="105"/>
          <w:sz w:val="21"/>
        </w:rPr>
        <w:t>Under the </w:t>
      </w:r>
      <w:r>
        <w:rPr>
          <w:spacing w:val="-3"/>
          <w:w w:val="105"/>
          <w:sz w:val="21"/>
        </w:rPr>
        <w:t>Queensland </w:t>
      </w:r>
      <w:r>
        <w:rPr>
          <w:w w:val="105"/>
          <w:sz w:val="21"/>
        </w:rPr>
        <w:t>Act, the primary </w:t>
      </w:r>
      <w:r>
        <w:rPr>
          <w:spacing w:val="-3"/>
          <w:w w:val="105"/>
          <w:sz w:val="21"/>
        </w:rPr>
        <w:t>consideration </w:t>
      </w:r>
      <w:r>
        <w:rPr>
          <w:w w:val="105"/>
          <w:sz w:val="21"/>
        </w:rPr>
        <w:t>is the safety of </w:t>
      </w:r>
      <w:r>
        <w:rPr>
          <w:spacing w:val="-3"/>
          <w:w w:val="105"/>
          <w:sz w:val="21"/>
        </w:rPr>
        <w:t>any individual.</w:t>
      </w:r>
      <w:r>
        <w:rPr>
          <w:spacing w:val="-3"/>
          <w:w w:val="105"/>
          <w:position w:val="7"/>
          <w:sz w:val="12"/>
        </w:rPr>
        <w:t>47</w:t>
      </w:r>
      <w:r>
        <w:rPr>
          <w:spacing w:val="-3"/>
          <w:w w:val="105"/>
          <w:sz w:val="12"/>
        </w:rPr>
        <w:t> </w:t>
      </w:r>
      <w:r>
        <w:rPr>
          <w:spacing w:val="-4"/>
          <w:w w:val="105"/>
          <w:sz w:val="21"/>
        </w:rPr>
        <w:t>However,</w:t>
      </w:r>
      <w:r>
        <w:rPr>
          <w:spacing w:val="-6"/>
          <w:w w:val="105"/>
          <w:sz w:val="21"/>
        </w:rPr>
        <w:t> </w:t>
      </w:r>
      <w:r>
        <w:rPr>
          <w:w w:val="105"/>
          <w:sz w:val="21"/>
        </w:rPr>
        <w:t>in</w:t>
      </w:r>
      <w:r>
        <w:rPr>
          <w:spacing w:val="-6"/>
          <w:w w:val="105"/>
          <w:sz w:val="21"/>
        </w:rPr>
        <w:t> </w:t>
      </w:r>
      <w:r>
        <w:rPr>
          <w:w w:val="105"/>
          <w:sz w:val="21"/>
        </w:rPr>
        <w:t>an</w:t>
      </w:r>
      <w:r>
        <w:rPr>
          <w:spacing w:val="-6"/>
          <w:w w:val="105"/>
          <w:sz w:val="21"/>
        </w:rPr>
        <w:t> </w:t>
      </w:r>
      <w:r>
        <w:rPr>
          <w:w w:val="105"/>
          <w:sz w:val="21"/>
        </w:rPr>
        <w:t>attempt</w:t>
      </w:r>
      <w:r>
        <w:rPr>
          <w:spacing w:val="-5"/>
          <w:w w:val="105"/>
          <w:sz w:val="21"/>
        </w:rPr>
        <w:t> </w:t>
      </w:r>
      <w:r>
        <w:rPr>
          <w:spacing w:val="-3"/>
          <w:w w:val="105"/>
          <w:sz w:val="21"/>
        </w:rPr>
        <w:t>to</w:t>
      </w:r>
      <w:r>
        <w:rPr>
          <w:spacing w:val="-6"/>
          <w:w w:val="105"/>
          <w:sz w:val="21"/>
        </w:rPr>
        <w:t> </w:t>
      </w:r>
      <w:r>
        <w:rPr>
          <w:spacing w:val="-3"/>
          <w:w w:val="105"/>
          <w:sz w:val="21"/>
        </w:rPr>
        <w:t>counteract</w:t>
      </w:r>
      <w:r>
        <w:rPr>
          <w:spacing w:val="-6"/>
          <w:w w:val="105"/>
          <w:sz w:val="21"/>
        </w:rPr>
        <w:t> </w:t>
      </w:r>
      <w:r>
        <w:rPr>
          <w:spacing w:val="-3"/>
          <w:w w:val="105"/>
          <w:sz w:val="21"/>
        </w:rPr>
        <w:t>any</w:t>
      </w:r>
      <w:r>
        <w:rPr>
          <w:spacing w:val="-6"/>
          <w:w w:val="105"/>
          <w:sz w:val="21"/>
        </w:rPr>
        <w:t> </w:t>
      </w:r>
      <w:r>
        <w:rPr>
          <w:spacing w:val="-3"/>
          <w:w w:val="105"/>
          <w:sz w:val="21"/>
        </w:rPr>
        <w:t>presumption</w:t>
      </w:r>
      <w:r>
        <w:rPr>
          <w:spacing w:val="-5"/>
          <w:w w:val="105"/>
          <w:sz w:val="21"/>
        </w:rPr>
        <w:t> </w:t>
      </w:r>
      <w:r>
        <w:rPr>
          <w:w w:val="105"/>
          <w:sz w:val="21"/>
        </w:rPr>
        <w:t>about</w:t>
      </w:r>
      <w:r>
        <w:rPr>
          <w:spacing w:val="-6"/>
          <w:w w:val="105"/>
          <w:sz w:val="21"/>
        </w:rPr>
        <w:t> </w:t>
      </w:r>
      <w:r>
        <w:rPr>
          <w:w w:val="105"/>
          <w:sz w:val="21"/>
        </w:rPr>
        <w:t>the</w:t>
      </w:r>
      <w:r>
        <w:rPr>
          <w:spacing w:val="-6"/>
          <w:w w:val="105"/>
          <w:sz w:val="21"/>
        </w:rPr>
        <w:t> </w:t>
      </w:r>
      <w:r>
        <w:rPr>
          <w:spacing w:val="-3"/>
          <w:w w:val="105"/>
          <w:sz w:val="21"/>
        </w:rPr>
        <w:t>removal</w:t>
      </w:r>
      <w:r>
        <w:rPr>
          <w:spacing w:val="-5"/>
          <w:w w:val="105"/>
          <w:sz w:val="21"/>
        </w:rPr>
        <w:t> </w:t>
      </w:r>
      <w:r>
        <w:rPr>
          <w:w w:val="105"/>
          <w:sz w:val="21"/>
        </w:rPr>
        <w:t>of</w:t>
      </w:r>
      <w:r>
        <w:rPr>
          <w:spacing w:val="-6"/>
          <w:w w:val="105"/>
          <w:sz w:val="21"/>
        </w:rPr>
        <w:t> </w:t>
      </w:r>
      <w:r>
        <w:rPr>
          <w:w w:val="105"/>
          <w:sz w:val="21"/>
        </w:rPr>
        <w:t>trees</w:t>
      </w:r>
      <w:r>
        <w:rPr>
          <w:spacing w:val="-6"/>
          <w:w w:val="105"/>
          <w:sz w:val="21"/>
        </w:rPr>
        <w:t> </w:t>
      </w:r>
      <w:r>
        <w:rPr>
          <w:w w:val="105"/>
          <w:sz w:val="21"/>
        </w:rPr>
        <w:t>in</w:t>
      </w:r>
      <w:r>
        <w:rPr>
          <w:spacing w:val="-6"/>
          <w:w w:val="105"/>
          <w:sz w:val="21"/>
        </w:rPr>
        <w:t> </w:t>
      </w:r>
      <w:r>
        <w:rPr>
          <w:w w:val="105"/>
          <w:sz w:val="21"/>
        </w:rPr>
        <w:t>the </w:t>
      </w:r>
      <w:r>
        <w:rPr>
          <w:spacing w:val="-3"/>
          <w:w w:val="105"/>
          <w:sz w:val="21"/>
        </w:rPr>
        <w:t>interest</w:t>
      </w:r>
      <w:r>
        <w:rPr>
          <w:spacing w:val="-6"/>
          <w:w w:val="105"/>
          <w:sz w:val="21"/>
        </w:rPr>
        <w:t> </w:t>
      </w:r>
      <w:r>
        <w:rPr>
          <w:w w:val="105"/>
          <w:sz w:val="21"/>
        </w:rPr>
        <w:t>of</w:t>
      </w:r>
      <w:r>
        <w:rPr>
          <w:spacing w:val="-5"/>
          <w:w w:val="105"/>
          <w:sz w:val="21"/>
        </w:rPr>
        <w:t> </w:t>
      </w:r>
      <w:r>
        <w:rPr>
          <w:spacing w:val="-3"/>
          <w:w w:val="105"/>
          <w:sz w:val="21"/>
        </w:rPr>
        <w:t>safety,</w:t>
      </w:r>
      <w:r>
        <w:rPr>
          <w:spacing w:val="-5"/>
          <w:w w:val="105"/>
          <w:sz w:val="21"/>
        </w:rPr>
        <w:t> </w:t>
      </w:r>
      <w:r>
        <w:rPr>
          <w:w w:val="105"/>
          <w:sz w:val="21"/>
        </w:rPr>
        <w:t>section</w:t>
      </w:r>
      <w:r>
        <w:rPr>
          <w:spacing w:val="-6"/>
          <w:w w:val="105"/>
          <w:sz w:val="21"/>
        </w:rPr>
        <w:t> </w:t>
      </w:r>
      <w:r>
        <w:rPr>
          <w:spacing w:val="-3"/>
          <w:w w:val="105"/>
          <w:sz w:val="21"/>
        </w:rPr>
        <w:t>72</w:t>
      </w:r>
      <w:r>
        <w:rPr>
          <w:spacing w:val="-5"/>
          <w:w w:val="105"/>
          <w:sz w:val="21"/>
        </w:rPr>
        <w:t> </w:t>
      </w:r>
      <w:r>
        <w:rPr>
          <w:w w:val="105"/>
          <w:sz w:val="21"/>
        </w:rPr>
        <w:t>of</w:t>
      </w:r>
      <w:r>
        <w:rPr>
          <w:spacing w:val="-5"/>
          <w:w w:val="105"/>
          <w:sz w:val="21"/>
        </w:rPr>
        <w:t> </w:t>
      </w:r>
      <w:r>
        <w:rPr>
          <w:w w:val="105"/>
          <w:sz w:val="21"/>
        </w:rPr>
        <w:t>the</w:t>
      </w:r>
      <w:r>
        <w:rPr>
          <w:spacing w:val="-6"/>
          <w:w w:val="105"/>
          <w:sz w:val="21"/>
        </w:rPr>
        <w:t> </w:t>
      </w:r>
      <w:r>
        <w:rPr>
          <w:w w:val="105"/>
          <w:sz w:val="21"/>
        </w:rPr>
        <w:t>Act</w:t>
      </w:r>
      <w:r>
        <w:rPr>
          <w:spacing w:val="-5"/>
          <w:w w:val="105"/>
          <w:sz w:val="21"/>
        </w:rPr>
        <w:t> </w:t>
      </w:r>
      <w:r>
        <w:rPr>
          <w:w w:val="105"/>
          <w:sz w:val="21"/>
        </w:rPr>
        <w:t>provides</w:t>
      </w:r>
      <w:r>
        <w:rPr>
          <w:spacing w:val="-5"/>
          <w:w w:val="105"/>
          <w:sz w:val="21"/>
        </w:rPr>
        <w:t> </w:t>
      </w:r>
      <w:r>
        <w:rPr>
          <w:spacing w:val="-3"/>
          <w:w w:val="105"/>
          <w:sz w:val="21"/>
        </w:rPr>
        <w:t>that</w:t>
      </w:r>
      <w:r>
        <w:rPr>
          <w:spacing w:val="-6"/>
          <w:w w:val="105"/>
          <w:sz w:val="21"/>
        </w:rPr>
        <w:t> </w:t>
      </w:r>
      <w:r>
        <w:rPr>
          <w:w w:val="105"/>
          <w:sz w:val="21"/>
        </w:rPr>
        <w:t>a</w:t>
      </w:r>
      <w:r>
        <w:rPr>
          <w:spacing w:val="-5"/>
          <w:w w:val="105"/>
          <w:sz w:val="21"/>
        </w:rPr>
        <w:t> </w:t>
      </w:r>
      <w:r>
        <w:rPr>
          <w:spacing w:val="-3"/>
          <w:w w:val="105"/>
          <w:sz w:val="21"/>
        </w:rPr>
        <w:t>living</w:t>
      </w:r>
      <w:r>
        <w:rPr>
          <w:spacing w:val="-5"/>
          <w:w w:val="105"/>
          <w:sz w:val="21"/>
        </w:rPr>
        <w:t> </w:t>
      </w:r>
      <w:r>
        <w:rPr>
          <w:w w:val="105"/>
          <w:sz w:val="21"/>
        </w:rPr>
        <w:t>tree</w:t>
      </w:r>
      <w:r>
        <w:rPr>
          <w:spacing w:val="-5"/>
          <w:w w:val="105"/>
          <w:sz w:val="21"/>
        </w:rPr>
        <w:t> </w:t>
      </w:r>
      <w:r>
        <w:rPr>
          <w:w w:val="105"/>
          <w:sz w:val="21"/>
        </w:rPr>
        <w:t>should</w:t>
      </w:r>
      <w:r>
        <w:rPr>
          <w:spacing w:val="-6"/>
          <w:w w:val="105"/>
          <w:sz w:val="21"/>
        </w:rPr>
        <w:t> </w:t>
      </w:r>
      <w:r>
        <w:rPr>
          <w:spacing w:val="-2"/>
          <w:w w:val="105"/>
          <w:sz w:val="21"/>
        </w:rPr>
        <w:t>not</w:t>
      </w:r>
      <w:r>
        <w:rPr>
          <w:spacing w:val="-5"/>
          <w:w w:val="105"/>
          <w:sz w:val="21"/>
        </w:rPr>
        <w:t> </w:t>
      </w:r>
      <w:r>
        <w:rPr>
          <w:w w:val="105"/>
          <w:sz w:val="21"/>
        </w:rPr>
        <w:t>be</w:t>
      </w:r>
      <w:r>
        <w:rPr>
          <w:spacing w:val="-5"/>
          <w:w w:val="105"/>
          <w:sz w:val="21"/>
        </w:rPr>
        <w:t> </w:t>
      </w:r>
      <w:r>
        <w:rPr>
          <w:w w:val="105"/>
          <w:sz w:val="21"/>
        </w:rPr>
        <w:t>removed or destroyed unless there is no other satisfactory </w:t>
      </w:r>
      <w:r>
        <w:rPr>
          <w:spacing w:val="-3"/>
          <w:w w:val="105"/>
          <w:sz w:val="21"/>
        </w:rPr>
        <w:t>means to </w:t>
      </w:r>
      <w:r>
        <w:rPr>
          <w:w w:val="105"/>
          <w:sz w:val="21"/>
        </w:rPr>
        <w:t>resolve the issue.</w:t>
      </w:r>
      <w:r>
        <w:rPr>
          <w:w w:val="105"/>
          <w:position w:val="7"/>
          <w:sz w:val="12"/>
        </w:rPr>
        <w:t>48 </w:t>
      </w:r>
      <w:r>
        <w:rPr>
          <w:spacing w:val="-4"/>
          <w:w w:val="105"/>
          <w:sz w:val="21"/>
        </w:rPr>
        <w:t>Further, </w:t>
      </w:r>
      <w:r>
        <w:rPr>
          <w:w w:val="105"/>
          <w:sz w:val="21"/>
        </w:rPr>
        <w:t>one of the decision-making </w:t>
      </w:r>
      <w:r>
        <w:rPr>
          <w:spacing w:val="-3"/>
          <w:w w:val="105"/>
          <w:sz w:val="21"/>
        </w:rPr>
        <w:t>principles relating to substantial, </w:t>
      </w:r>
      <w:r>
        <w:rPr>
          <w:w w:val="105"/>
          <w:sz w:val="21"/>
        </w:rPr>
        <w:t>ongoing and </w:t>
      </w:r>
      <w:r>
        <w:rPr>
          <w:spacing w:val="-3"/>
          <w:w w:val="105"/>
          <w:sz w:val="21"/>
        </w:rPr>
        <w:t>unreasonable interference </w:t>
      </w:r>
      <w:r>
        <w:rPr>
          <w:w w:val="105"/>
          <w:sz w:val="21"/>
        </w:rPr>
        <w:t>is whether the tree existed </w:t>
      </w:r>
      <w:r>
        <w:rPr>
          <w:spacing w:val="-3"/>
          <w:w w:val="105"/>
          <w:sz w:val="21"/>
        </w:rPr>
        <w:t>before </w:t>
      </w:r>
      <w:r>
        <w:rPr>
          <w:w w:val="105"/>
          <w:sz w:val="21"/>
        </w:rPr>
        <w:t>the </w:t>
      </w:r>
      <w:r>
        <w:rPr>
          <w:spacing w:val="-3"/>
          <w:w w:val="105"/>
          <w:sz w:val="21"/>
        </w:rPr>
        <w:t>neighbour acquired </w:t>
      </w:r>
      <w:r>
        <w:rPr>
          <w:w w:val="105"/>
          <w:sz w:val="21"/>
        </w:rPr>
        <w:t>the</w:t>
      </w:r>
      <w:r>
        <w:rPr>
          <w:spacing w:val="-8"/>
          <w:w w:val="105"/>
          <w:sz w:val="21"/>
        </w:rPr>
        <w:t> </w:t>
      </w:r>
      <w:r>
        <w:rPr>
          <w:w w:val="105"/>
          <w:sz w:val="21"/>
        </w:rPr>
        <w:t>land.</w:t>
      </w:r>
      <w:r>
        <w:rPr>
          <w:w w:val="105"/>
          <w:position w:val="7"/>
          <w:sz w:val="12"/>
        </w:rPr>
        <w:t>49</w:t>
      </w:r>
    </w:p>
    <w:p>
      <w:pPr>
        <w:pStyle w:val="ListParagraph"/>
        <w:numPr>
          <w:ilvl w:val="1"/>
          <w:numId w:val="16"/>
        </w:numPr>
        <w:tabs>
          <w:tab w:pos="2380" w:val="left" w:leader="none"/>
          <w:tab w:pos="2381" w:val="left" w:leader="none"/>
        </w:tabs>
        <w:spacing w:line="242" w:lineRule="auto" w:before="127" w:after="0"/>
        <w:ind w:left="2381" w:right="1644" w:hanging="794"/>
        <w:jc w:val="left"/>
        <w:rPr>
          <w:sz w:val="21"/>
        </w:rPr>
      </w:pPr>
      <w:r>
        <w:rPr>
          <w:w w:val="105"/>
          <w:sz w:val="21"/>
        </w:rPr>
        <w:t>In</w:t>
      </w:r>
      <w:r>
        <w:rPr>
          <w:spacing w:val="-10"/>
          <w:w w:val="105"/>
          <w:sz w:val="21"/>
        </w:rPr>
        <w:t> </w:t>
      </w:r>
      <w:r>
        <w:rPr>
          <w:w w:val="105"/>
          <w:sz w:val="21"/>
        </w:rPr>
        <w:t>response</w:t>
      </w:r>
      <w:r>
        <w:rPr>
          <w:spacing w:val="-9"/>
          <w:w w:val="105"/>
          <w:sz w:val="21"/>
        </w:rPr>
        <w:t> </w:t>
      </w:r>
      <w:r>
        <w:rPr>
          <w:spacing w:val="-3"/>
          <w:w w:val="105"/>
          <w:sz w:val="21"/>
        </w:rPr>
        <w:t>to</w:t>
      </w:r>
      <w:r>
        <w:rPr>
          <w:spacing w:val="-9"/>
          <w:w w:val="105"/>
          <w:sz w:val="21"/>
        </w:rPr>
        <w:t> </w:t>
      </w:r>
      <w:r>
        <w:rPr>
          <w:w w:val="105"/>
          <w:sz w:val="21"/>
        </w:rPr>
        <w:t>community</w:t>
      </w:r>
      <w:r>
        <w:rPr>
          <w:spacing w:val="-9"/>
          <w:w w:val="105"/>
          <w:sz w:val="21"/>
        </w:rPr>
        <w:t> </w:t>
      </w:r>
      <w:r>
        <w:rPr>
          <w:w w:val="105"/>
          <w:sz w:val="21"/>
        </w:rPr>
        <w:t>suggestions</w:t>
      </w:r>
      <w:r>
        <w:rPr>
          <w:spacing w:val="-9"/>
          <w:w w:val="105"/>
          <w:sz w:val="21"/>
        </w:rPr>
        <w:t> </w:t>
      </w:r>
      <w:r>
        <w:rPr>
          <w:w w:val="105"/>
          <w:sz w:val="21"/>
        </w:rPr>
        <w:t>on</w:t>
      </w:r>
      <w:r>
        <w:rPr>
          <w:spacing w:val="-9"/>
          <w:w w:val="105"/>
          <w:sz w:val="21"/>
        </w:rPr>
        <w:t> </w:t>
      </w:r>
      <w:r>
        <w:rPr>
          <w:w w:val="105"/>
          <w:sz w:val="21"/>
        </w:rPr>
        <w:t>the</w:t>
      </w:r>
      <w:r>
        <w:rPr>
          <w:spacing w:val="-9"/>
          <w:w w:val="105"/>
          <w:sz w:val="21"/>
        </w:rPr>
        <w:t> </w:t>
      </w:r>
      <w:r>
        <w:rPr>
          <w:w w:val="105"/>
          <w:sz w:val="21"/>
        </w:rPr>
        <w:t>statutory</w:t>
      </w:r>
      <w:r>
        <w:rPr>
          <w:spacing w:val="-9"/>
          <w:w w:val="105"/>
          <w:sz w:val="21"/>
        </w:rPr>
        <w:t> </w:t>
      </w:r>
      <w:r>
        <w:rPr>
          <w:w w:val="105"/>
          <w:sz w:val="21"/>
        </w:rPr>
        <w:t>review</w:t>
      </w:r>
      <w:r>
        <w:rPr>
          <w:spacing w:val="-9"/>
          <w:w w:val="105"/>
          <w:sz w:val="21"/>
        </w:rPr>
        <w:t> </w:t>
      </w:r>
      <w:r>
        <w:rPr>
          <w:w w:val="105"/>
          <w:sz w:val="21"/>
        </w:rPr>
        <w:t>of</w:t>
      </w:r>
      <w:r>
        <w:rPr>
          <w:spacing w:val="-9"/>
          <w:w w:val="105"/>
          <w:sz w:val="21"/>
        </w:rPr>
        <w:t> </w:t>
      </w:r>
      <w:r>
        <w:rPr>
          <w:w w:val="105"/>
          <w:sz w:val="21"/>
        </w:rPr>
        <w:t>the</w:t>
      </w:r>
      <w:r>
        <w:rPr>
          <w:spacing w:val="-9"/>
          <w:w w:val="105"/>
          <w:sz w:val="21"/>
        </w:rPr>
        <w:t> </w:t>
      </w:r>
      <w:r>
        <w:rPr>
          <w:spacing w:val="-3"/>
          <w:w w:val="105"/>
          <w:sz w:val="21"/>
        </w:rPr>
        <w:t>Queensland</w:t>
      </w:r>
      <w:r>
        <w:rPr>
          <w:spacing w:val="-9"/>
          <w:w w:val="105"/>
          <w:sz w:val="21"/>
        </w:rPr>
        <w:t> </w:t>
      </w:r>
      <w:r>
        <w:rPr>
          <w:w w:val="105"/>
          <w:sz w:val="21"/>
        </w:rPr>
        <w:t>Act</w:t>
      </w:r>
      <w:r>
        <w:rPr>
          <w:spacing w:val="-9"/>
          <w:w w:val="105"/>
          <w:sz w:val="21"/>
        </w:rPr>
        <w:t> </w:t>
      </w:r>
      <w:r>
        <w:rPr>
          <w:w w:val="105"/>
          <w:sz w:val="21"/>
        </w:rPr>
        <w:t>the </w:t>
      </w:r>
      <w:r>
        <w:rPr>
          <w:spacing w:val="-3"/>
          <w:w w:val="105"/>
          <w:sz w:val="21"/>
        </w:rPr>
        <w:t>Queensland </w:t>
      </w:r>
      <w:r>
        <w:rPr>
          <w:w w:val="105"/>
          <w:sz w:val="21"/>
        </w:rPr>
        <w:t>Law </w:t>
      </w:r>
      <w:r>
        <w:rPr>
          <w:spacing w:val="-3"/>
          <w:w w:val="105"/>
          <w:sz w:val="21"/>
        </w:rPr>
        <w:t>Reform Commission </w:t>
      </w:r>
      <w:r>
        <w:rPr>
          <w:w w:val="105"/>
          <w:sz w:val="21"/>
        </w:rPr>
        <w:t>(QLRC) recommended </w:t>
      </w:r>
      <w:r>
        <w:rPr>
          <w:spacing w:val="-3"/>
          <w:w w:val="105"/>
          <w:sz w:val="21"/>
        </w:rPr>
        <w:t>that </w:t>
      </w:r>
      <w:r>
        <w:rPr>
          <w:spacing w:val="-4"/>
          <w:w w:val="105"/>
          <w:sz w:val="21"/>
        </w:rPr>
        <w:t>QCAT </w:t>
      </w:r>
      <w:r>
        <w:rPr>
          <w:w w:val="105"/>
          <w:sz w:val="21"/>
        </w:rPr>
        <w:t>must </w:t>
      </w:r>
      <w:r>
        <w:rPr>
          <w:spacing w:val="-3"/>
          <w:w w:val="105"/>
          <w:sz w:val="21"/>
        </w:rPr>
        <w:t>consider </w:t>
      </w:r>
      <w:r>
        <w:rPr>
          <w:w w:val="105"/>
          <w:sz w:val="21"/>
        </w:rPr>
        <w:t>whether the tree is </w:t>
      </w:r>
      <w:r>
        <w:rPr>
          <w:spacing w:val="-3"/>
          <w:w w:val="105"/>
          <w:sz w:val="21"/>
        </w:rPr>
        <w:t>interfering </w:t>
      </w:r>
      <w:r>
        <w:rPr>
          <w:w w:val="105"/>
          <w:sz w:val="21"/>
        </w:rPr>
        <w:t>with the use and </w:t>
      </w:r>
      <w:r>
        <w:rPr>
          <w:spacing w:val="-2"/>
          <w:w w:val="105"/>
          <w:sz w:val="21"/>
        </w:rPr>
        <w:t>enjoyment </w:t>
      </w:r>
      <w:r>
        <w:rPr>
          <w:w w:val="105"/>
          <w:sz w:val="21"/>
        </w:rPr>
        <w:t>of the </w:t>
      </w:r>
      <w:r>
        <w:rPr>
          <w:spacing w:val="-3"/>
          <w:w w:val="105"/>
          <w:sz w:val="21"/>
        </w:rPr>
        <w:t>neighbour’s land.</w:t>
      </w:r>
      <w:r>
        <w:rPr>
          <w:spacing w:val="-3"/>
          <w:w w:val="105"/>
          <w:position w:val="7"/>
          <w:sz w:val="12"/>
        </w:rPr>
        <w:t>50</w:t>
      </w:r>
      <w:r>
        <w:rPr>
          <w:spacing w:val="-3"/>
          <w:w w:val="105"/>
          <w:sz w:val="12"/>
        </w:rPr>
        <w:t> </w:t>
      </w:r>
      <w:r>
        <w:rPr>
          <w:w w:val="105"/>
          <w:sz w:val="21"/>
        </w:rPr>
        <w:t>While the QLRC </w:t>
      </w:r>
      <w:r>
        <w:rPr>
          <w:spacing w:val="-3"/>
          <w:w w:val="105"/>
          <w:sz w:val="21"/>
        </w:rPr>
        <w:t>accepted that </w:t>
      </w:r>
      <w:r>
        <w:rPr>
          <w:w w:val="105"/>
          <w:sz w:val="21"/>
        </w:rPr>
        <w:t>the actions of neighbours </w:t>
      </w:r>
      <w:r>
        <w:rPr>
          <w:spacing w:val="-3"/>
          <w:w w:val="105"/>
          <w:sz w:val="21"/>
        </w:rPr>
        <w:t>are relevant </w:t>
      </w:r>
      <w:r>
        <w:rPr>
          <w:w w:val="105"/>
          <w:sz w:val="21"/>
        </w:rPr>
        <w:t>in some cases, it did </w:t>
      </w:r>
      <w:r>
        <w:rPr>
          <w:spacing w:val="-2"/>
          <w:w w:val="105"/>
          <w:sz w:val="21"/>
        </w:rPr>
        <w:t>not </w:t>
      </w:r>
      <w:r>
        <w:rPr>
          <w:spacing w:val="-3"/>
          <w:w w:val="105"/>
          <w:sz w:val="21"/>
        </w:rPr>
        <w:t>recommend </w:t>
      </w:r>
      <w:r>
        <w:rPr>
          <w:w w:val="105"/>
          <w:sz w:val="21"/>
        </w:rPr>
        <w:t>the </w:t>
      </w:r>
      <w:r>
        <w:rPr>
          <w:spacing w:val="-3"/>
          <w:w w:val="105"/>
          <w:sz w:val="21"/>
        </w:rPr>
        <w:t>elevation </w:t>
      </w:r>
      <w:r>
        <w:rPr>
          <w:w w:val="105"/>
          <w:sz w:val="21"/>
        </w:rPr>
        <w:t>of this </w:t>
      </w:r>
      <w:r>
        <w:rPr>
          <w:spacing w:val="-3"/>
          <w:w w:val="105"/>
          <w:sz w:val="21"/>
        </w:rPr>
        <w:t>consideration to </w:t>
      </w:r>
      <w:r>
        <w:rPr>
          <w:w w:val="105"/>
          <w:sz w:val="21"/>
        </w:rPr>
        <w:t>a mandatory decision-making </w:t>
      </w:r>
      <w:r>
        <w:rPr>
          <w:spacing w:val="-4"/>
          <w:w w:val="105"/>
          <w:sz w:val="21"/>
        </w:rPr>
        <w:t>criteria.</w:t>
      </w:r>
      <w:r>
        <w:rPr>
          <w:spacing w:val="-4"/>
          <w:w w:val="105"/>
          <w:position w:val="7"/>
          <w:sz w:val="12"/>
        </w:rPr>
        <w:t>51</w:t>
      </w:r>
    </w:p>
    <w:p>
      <w:pPr>
        <w:pStyle w:val="BodyText"/>
        <w:spacing w:before="7"/>
        <w:rPr>
          <w:sz w:val="20"/>
        </w:rPr>
      </w:pPr>
    </w:p>
    <w:p>
      <w:pPr>
        <w:pStyle w:val="Heading5"/>
      </w:pPr>
      <w:r>
        <w:rPr>
          <w:w w:val="110"/>
        </w:rPr>
        <w:t>Tasmania</w:t>
      </w:r>
    </w:p>
    <w:p>
      <w:pPr>
        <w:pStyle w:val="ListParagraph"/>
        <w:numPr>
          <w:ilvl w:val="1"/>
          <w:numId w:val="16"/>
        </w:numPr>
        <w:tabs>
          <w:tab w:pos="2380" w:val="left" w:leader="none"/>
          <w:tab w:pos="2381" w:val="left" w:leader="none"/>
        </w:tabs>
        <w:spacing w:line="242" w:lineRule="auto" w:before="137" w:after="0"/>
        <w:ind w:left="2381" w:right="1828" w:hanging="794"/>
        <w:jc w:val="left"/>
        <w:rPr>
          <w:sz w:val="21"/>
        </w:rPr>
      </w:pPr>
      <w:r>
        <w:rPr>
          <w:w w:val="105"/>
          <w:sz w:val="21"/>
        </w:rPr>
        <w:t>The </w:t>
      </w:r>
      <w:r>
        <w:rPr>
          <w:spacing w:val="-4"/>
          <w:w w:val="105"/>
          <w:sz w:val="21"/>
        </w:rPr>
        <w:t>Tasmanian </w:t>
      </w:r>
      <w:r>
        <w:rPr>
          <w:w w:val="105"/>
          <w:sz w:val="21"/>
        </w:rPr>
        <w:t>Act largely </w:t>
      </w:r>
      <w:r>
        <w:rPr>
          <w:spacing w:val="-3"/>
          <w:w w:val="105"/>
          <w:sz w:val="21"/>
        </w:rPr>
        <w:t>replicates </w:t>
      </w:r>
      <w:r>
        <w:rPr>
          <w:w w:val="105"/>
          <w:sz w:val="21"/>
        </w:rPr>
        <w:t>the </w:t>
      </w:r>
      <w:r>
        <w:rPr>
          <w:spacing w:val="-3"/>
          <w:w w:val="105"/>
          <w:sz w:val="21"/>
        </w:rPr>
        <w:t>Queensland </w:t>
      </w:r>
      <w:r>
        <w:rPr>
          <w:w w:val="105"/>
          <w:sz w:val="21"/>
        </w:rPr>
        <w:t>Act by </w:t>
      </w:r>
      <w:r>
        <w:rPr>
          <w:spacing w:val="-3"/>
          <w:w w:val="105"/>
          <w:sz w:val="21"/>
        </w:rPr>
        <w:t>having </w:t>
      </w:r>
      <w:r>
        <w:rPr>
          <w:w w:val="105"/>
          <w:sz w:val="21"/>
        </w:rPr>
        <w:t>a list of general matters</w:t>
      </w:r>
      <w:r>
        <w:rPr>
          <w:spacing w:val="-8"/>
          <w:w w:val="105"/>
          <w:sz w:val="21"/>
        </w:rPr>
        <w:t> </w:t>
      </w:r>
      <w:r>
        <w:rPr>
          <w:spacing w:val="-3"/>
          <w:w w:val="105"/>
          <w:sz w:val="21"/>
        </w:rPr>
        <w:t>that</w:t>
      </w:r>
      <w:r>
        <w:rPr>
          <w:spacing w:val="-7"/>
          <w:w w:val="105"/>
          <w:sz w:val="21"/>
        </w:rPr>
        <w:t> </w:t>
      </w:r>
      <w:r>
        <w:rPr>
          <w:w w:val="105"/>
          <w:sz w:val="21"/>
        </w:rPr>
        <w:t>must,</w:t>
      </w:r>
      <w:r>
        <w:rPr>
          <w:spacing w:val="-7"/>
          <w:w w:val="105"/>
          <w:sz w:val="21"/>
        </w:rPr>
        <w:t> </w:t>
      </w:r>
      <w:r>
        <w:rPr>
          <w:spacing w:val="-3"/>
          <w:w w:val="105"/>
          <w:sz w:val="21"/>
        </w:rPr>
        <w:t>to</w:t>
      </w:r>
      <w:r>
        <w:rPr>
          <w:spacing w:val="-8"/>
          <w:w w:val="105"/>
          <w:sz w:val="21"/>
        </w:rPr>
        <w:t> </w:t>
      </w:r>
      <w:r>
        <w:rPr>
          <w:w w:val="105"/>
          <w:sz w:val="21"/>
        </w:rPr>
        <w:t>the</w:t>
      </w:r>
      <w:r>
        <w:rPr>
          <w:spacing w:val="-7"/>
          <w:w w:val="105"/>
          <w:sz w:val="21"/>
        </w:rPr>
        <w:t> </w:t>
      </w:r>
      <w:r>
        <w:rPr>
          <w:w w:val="105"/>
          <w:sz w:val="21"/>
        </w:rPr>
        <w:t>extent</w:t>
      </w:r>
      <w:r>
        <w:rPr>
          <w:spacing w:val="-7"/>
          <w:w w:val="105"/>
          <w:sz w:val="21"/>
        </w:rPr>
        <w:t> </w:t>
      </w:r>
      <w:r>
        <w:rPr>
          <w:spacing w:val="-3"/>
          <w:w w:val="105"/>
          <w:sz w:val="21"/>
        </w:rPr>
        <w:t>that</w:t>
      </w:r>
      <w:r>
        <w:rPr>
          <w:spacing w:val="-7"/>
          <w:w w:val="105"/>
          <w:sz w:val="21"/>
        </w:rPr>
        <w:t> </w:t>
      </w:r>
      <w:r>
        <w:rPr>
          <w:w w:val="105"/>
          <w:sz w:val="21"/>
        </w:rPr>
        <w:t>they</w:t>
      </w:r>
      <w:r>
        <w:rPr>
          <w:spacing w:val="-8"/>
          <w:w w:val="105"/>
          <w:sz w:val="21"/>
        </w:rPr>
        <w:t> </w:t>
      </w:r>
      <w:r>
        <w:rPr>
          <w:spacing w:val="-3"/>
          <w:w w:val="105"/>
          <w:sz w:val="21"/>
        </w:rPr>
        <w:t>are</w:t>
      </w:r>
      <w:r>
        <w:rPr>
          <w:spacing w:val="-7"/>
          <w:w w:val="105"/>
          <w:sz w:val="21"/>
        </w:rPr>
        <w:t> </w:t>
      </w:r>
      <w:r>
        <w:rPr>
          <w:spacing w:val="-3"/>
          <w:w w:val="105"/>
          <w:sz w:val="21"/>
        </w:rPr>
        <w:t>relevant</w:t>
      </w:r>
      <w:r>
        <w:rPr>
          <w:spacing w:val="-7"/>
          <w:w w:val="105"/>
          <w:sz w:val="21"/>
        </w:rPr>
        <w:t> </w:t>
      </w:r>
      <w:r>
        <w:rPr>
          <w:spacing w:val="-3"/>
          <w:w w:val="105"/>
          <w:sz w:val="21"/>
        </w:rPr>
        <w:t>to</w:t>
      </w:r>
      <w:r>
        <w:rPr>
          <w:spacing w:val="-7"/>
          <w:w w:val="105"/>
          <w:sz w:val="21"/>
        </w:rPr>
        <w:t> </w:t>
      </w:r>
      <w:r>
        <w:rPr>
          <w:w w:val="105"/>
          <w:sz w:val="21"/>
        </w:rPr>
        <w:t>the</w:t>
      </w:r>
      <w:r>
        <w:rPr>
          <w:spacing w:val="-8"/>
          <w:w w:val="105"/>
          <w:sz w:val="21"/>
        </w:rPr>
        <w:t> </w:t>
      </w:r>
      <w:r>
        <w:rPr>
          <w:spacing w:val="-3"/>
          <w:w w:val="105"/>
          <w:sz w:val="21"/>
        </w:rPr>
        <w:t>application,</w:t>
      </w:r>
      <w:r>
        <w:rPr>
          <w:spacing w:val="-7"/>
          <w:w w:val="105"/>
          <w:sz w:val="21"/>
        </w:rPr>
        <w:t> </w:t>
      </w:r>
      <w:r>
        <w:rPr>
          <w:w w:val="105"/>
          <w:sz w:val="21"/>
        </w:rPr>
        <w:t>be</w:t>
      </w:r>
      <w:r>
        <w:rPr>
          <w:spacing w:val="-7"/>
          <w:w w:val="105"/>
          <w:sz w:val="21"/>
        </w:rPr>
        <w:t> </w:t>
      </w:r>
      <w:r>
        <w:rPr>
          <w:spacing w:val="-3"/>
          <w:w w:val="105"/>
          <w:sz w:val="21"/>
        </w:rPr>
        <w:t>considered </w:t>
      </w:r>
      <w:r>
        <w:rPr>
          <w:w w:val="105"/>
          <w:sz w:val="21"/>
        </w:rPr>
        <w:t>by the </w:t>
      </w:r>
      <w:r>
        <w:rPr>
          <w:spacing w:val="-3"/>
          <w:w w:val="105"/>
          <w:sz w:val="21"/>
        </w:rPr>
        <w:t>Resource Management </w:t>
      </w:r>
      <w:r>
        <w:rPr>
          <w:w w:val="105"/>
          <w:sz w:val="21"/>
        </w:rPr>
        <w:t>and </w:t>
      </w:r>
      <w:r>
        <w:rPr>
          <w:spacing w:val="-3"/>
          <w:w w:val="105"/>
          <w:sz w:val="21"/>
        </w:rPr>
        <w:t>Planning </w:t>
      </w:r>
      <w:r>
        <w:rPr>
          <w:w w:val="105"/>
          <w:sz w:val="21"/>
        </w:rPr>
        <w:t>Appeal </w:t>
      </w:r>
      <w:r>
        <w:rPr>
          <w:spacing w:val="-5"/>
          <w:w w:val="105"/>
          <w:sz w:val="21"/>
        </w:rPr>
        <w:t>Tribunal </w:t>
      </w:r>
      <w:r>
        <w:rPr>
          <w:spacing w:val="-3"/>
          <w:w w:val="105"/>
          <w:sz w:val="21"/>
        </w:rPr>
        <w:t>(RMPAT).</w:t>
      </w:r>
      <w:r>
        <w:rPr>
          <w:spacing w:val="-3"/>
          <w:w w:val="105"/>
          <w:position w:val="7"/>
          <w:sz w:val="12"/>
        </w:rPr>
        <w:t>52 </w:t>
      </w:r>
      <w:r>
        <w:rPr>
          <w:w w:val="105"/>
          <w:sz w:val="21"/>
        </w:rPr>
        <w:t>The Act also </w:t>
      </w:r>
      <w:r>
        <w:rPr>
          <w:spacing w:val="-3"/>
          <w:w w:val="105"/>
          <w:sz w:val="21"/>
        </w:rPr>
        <w:t>contains additional </w:t>
      </w:r>
      <w:r>
        <w:rPr>
          <w:w w:val="105"/>
          <w:sz w:val="21"/>
        </w:rPr>
        <w:t>matters </w:t>
      </w:r>
      <w:r>
        <w:rPr>
          <w:spacing w:val="-3"/>
          <w:w w:val="105"/>
          <w:sz w:val="21"/>
        </w:rPr>
        <w:t>that </w:t>
      </w:r>
      <w:r>
        <w:rPr>
          <w:spacing w:val="-6"/>
          <w:w w:val="105"/>
          <w:sz w:val="21"/>
        </w:rPr>
        <w:t>RMPAT </w:t>
      </w:r>
      <w:r>
        <w:rPr>
          <w:i/>
          <w:spacing w:val="-3"/>
          <w:w w:val="105"/>
          <w:sz w:val="21"/>
        </w:rPr>
        <w:t>may </w:t>
      </w:r>
      <w:r>
        <w:rPr>
          <w:spacing w:val="-3"/>
          <w:w w:val="105"/>
          <w:sz w:val="21"/>
        </w:rPr>
        <w:t>consider </w:t>
      </w:r>
      <w:r>
        <w:rPr>
          <w:w w:val="105"/>
          <w:sz w:val="21"/>
        </w:rPr>
        <w:t>if an application </w:t>
      </w:r>
      <w:r>
        <w:rPr>
          <w:spacing w:val="-3"/>
          <w:w w:val="105"/>
          <w:sz w:val="21"/>
        </w:rPr>
        <w:t>relates to </w:t>
      </w:r>
      <w:r>
        <w:rPr>
          <w:w w:val="105"/>
          <w:sz w:val="21"/>
        </w:rPr>
        <w:t>an alleged </w:t>
      </w:r>
      <w:r>
        <w:rPr>
          <w:spacing w:val="-3"/>
          <w:w w:val="105"/>
          <w:sz w:val="21"/>
        </w:rPr>
        <w:t>threat </w:t>
      </w:r>
      <w:r>
        <w:rPr>
          <w:w w:val="105"/>
          <w:sz w:val="21"/>
        </w:rPr>
        <w:t>of serious injury or </w:t>
      </w:r>
      <w:r>
        <w:rPr>
          <w:spacing w:val="-3"/>
          <w:w w:val="105"/>
          <w:sz w:val="21"/>
        </w:rPr>
        <w:t>damage.</w:t>
      </w:r>
      <w:r>
        <w:rPr>
          <w:spacing w:val="-3"/>
          <w:w w:val="105"/>
          <w:position w:val="7"/>
          <w:sz w:val="12"/>
        </w:rPr>
        <w:t>53 </w:t>
      </w:r>
      <w:r>
        <w:rPr>
          <w:w w:val="105"/>
          <w:sz w:val="21"/>
        </w:rPr>
        <w:t>These </w:t>
      </w:r>
      <w:r>
        <w:rPr>
          <w:spacing w:val="-3"/>
          <w:w w:val="105"/>
          <w:sz w:val="21"/>
        </w:rPr>
        <w:t>additional principles </w:t>
      </w:r>
      <w:r>
        <w:rPr>
          <w:w w:val="105"/>
          <w:sz w:val="21"/>
        </w:rPr>
        <w:t>largely </w:t>
      </w:r>
      <w:r>
        <w:rPr>
          <w:spacing w:val="-3"/>
          <w:w w:val="105"/>
          <w:sz w:val="21"/>
        </w:rPr>
        <w:t>mirror </w:t>
      </w:r>
      <w:r>
        <w:rPr>
          <w:w w:val="105"/>
          <w:sz w:val="21"/>
        </w:rPr>
        <w:t>those in New South </w:t>
      </w:r>
      <w:r>
        <w:rPr>
          <w:spacing w:val="-3"/>
          <w:w w:val="105"/>
          <w:sz w:val="21"/>
        </w:rPr>
        <w:t>Wales </w:t>
      </w:r>
      <w:r>
        <w:rPr>
          <w:w w:val="105"/>
          <w:sz w:val="21"/>
        </w:rPr>
        <w:t>and</w:t>
      </w:r>
      <w:r>
        <w:rPr>
          <w:spacing w:val="32"/>
          <w:w w:val="105"/>
          <w:sz w:val="21"/>
        </w:rPr>
        <w:t> </w:t>
      </w:r>
      <w:r>
        <w:rPr>
          <w:spacing w:val="-3"/>
          <w:w w:val="105"/>
          <w:sz w:val="21"/>
        </w:rPr>
        <w:t>Queensland.</w:t>
      </w:r>
    </w:p>
    <w:p>
      <w:pPr>
        <w:pStyle w:val="BodyText"/>
        <w:spacing w:before="10"/>
        <w:rPr>
          <w:sz w:val="26"/>
        </w:rPr>
      </w:pPr>
      <w:r>
        <w:rPr/>
        <w:pict>
          <v:line style="position:absolute;mso-position-horizontal-relative:page;mso-position-vertical-relative:paragraph;z-index:7688;mso-wrap-distance-left:0;mso-wrap-distance-right:0" from="79.370102pt,18.82242pt" to="515.905102pt,18.82242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3"/>
        </w:rPr>
      </w:pPr>
    </w:p>
    <w:p>
      <w:pPr>
        <w:spacing w:before="1"/>
        <w:ind w:left="720" w:right="0" w:firstLine="0"/>
        <w:jc w:val="left"/>
        <w:rPr>
          <w:b/>
          <w:sz w:val="24"/>
        </w:rPr>
      </w:pPr>
      <w:r>
        <w:rPr>
          <w:b/>
          <w:color w:val="658464"/>
          <w:spacing w:val="-2"/>
          <w:w w:val="110"/>
          <w:sz w:val="24"/>
        </w:rPr>
        <w:t>168</w:t>
      </w:r>
    </w:p>
    <w:p>
      <w:pPr>
        <w:pStyle w:val="ListParagraph"/>
        <w:numPr>
          <w:ilvl w:val="0"/>
          <w:numId w:val="128"/>
        </w:numPr>
        <w:tabs>
          <w:tab w:pos="1225" w:val="left" w:leader="none"/>
          <w:tab w:pos="1226" w:val="left" w:leader="none"/>
        </w:tabs>
        <w:spacing w:line="240" w:lineRule="auto" w:before="48" w:after="0"/>
        <w:ind w:left="1225" w:right="1894" w:hanging="793"/>
        <w:jc w:val="left"/>
        <w:rPr>
          <w:sz w:val="13"/>
        </w:rPr>
      </w:pPr>
      <w:r>
        <w:rPr>
          <w:i/>
          <w:spacing w:val="3"/>
          <w:w w:val="103"/>
          <w:sz w:val="13"/>
        </w:rPr>
        <w:br w:type="column"/>
      </w:r>
      <w:r>
        <w:rPr>
          <w:i/>
          <w:w w:val="105"/>
          <w:sz w:val="13"/>
        </w:rPr>
        <w:t>Neighbourhood Disputes (Dividing Fences and Trees) Act </w:t>
      </w:r>
      <w:r>
        <w:rPr>
          <w:i/>
          <w:spacing w:val="-4"/>
          <w:w w:val="105"/>
          <w:sz w:val="13"/>
        </w:rPr>
        <w:t>2011  </w:t>
      </w:r>
      <w:r>
        <w:rPr>
          <w:spacing w:val="2"/>
          <w:w w:val="105"/>
          <w:sz w:val="13"/>
        </w:rPr>
        <w:t>(Qld) </w:t>
      </w:r>
      <w:r>
        <w:rPr>
          <w:w w:val="105"/>
          <w:sz w:val="13"/>
        </w:rPr>
        <w:t>s </w:t>
      </w:r>
      <w:r>
        <w:rPr>
          <w:spacing w:val="3"/>
          <w:w w:val="105"/>
          <w:sz w:val="13"/>
        </w:rPr>
        <w:t>73(i). </w:t>
      </w:r>
      <w:r>
        <w:rPr>
          <w:w w:val="105"/>
          <w:sz w:val="13"/>
        </w:rPr>
        <w:t>The Queensland Act also provides that ‘no financial value     or</w:t>
      </w:r>
      <w:r>
        <w:rPr>
          <w:spacing w:val="6"/>
          <w:w w:val="105"/>
          <w:sz w:val="13"/>
        </w:rPr>
        <w:t> </w:t>
      </w:r>
      <w:r>
        <w:rPr>
          <w:w w:val="105"/>
          <w:sz w:val="13"/>
        </w:rPr>
        <w:t>carbon</w:t>
      </w:r>
      <w:r>
        <w:rPr>
          <w:spacing w:val="7"/>
          <w:w w:val="105"/>
          <w:sz w:val="13"/>
        </w:rPr>
        <w:t> </w:t>
      </w:r>
      <w:r>
        <w:rPr>
          <w:w w:val="105"/>
          <w:sz w:val="13"/>
        </w:rPr>
        <w:t>trading</w:t>
      </w:r>
      <w:r>
        <w:rPr>
          <w:spacing w:val="6"/>
          <w:w w:val="105"/>
          <w:sz w:val="13"/>
        </w:rPr>
        <w:t> </w:t>
      </w:r>
      <w:r>
        <w:rPr>
          <w:w w:val="105"/>
          <w:sz w:val="13"/>
        </w:rPr>
        <w:t>value</w:t>
      </w:r>
      <w:r>
        <w:rPr>
          <w:spacing w:val="7"/>
          <w:w w:val="105"/>
          <w:sz w:val="13"/>
        </w:rPr>
        <w:t> </w:t>
      </w:r>
      <w:r>
        <w:rPr>
          <w:w w:val="105"/>
          <w:sz w:val="13"/>
        </w:rPr>
        <w:t>may</w:t>
      </w:r>
      <w:r>
        <w:rPr>
          <w:spacing w:val="7"/>
          <w:w w:val="105"/>
          <w:sz w:val="13"/>
        </w:rPr>
        <w:t> </w:t>
      </w:r>
      <w:r>
        <w:rPr>
          <w:w w:val="105"/>
          <w:sz w:val="13"/>
        </w:rPr>
        <w:t>be</w:t>
      </w:r>
      <w:r>
        <w:rPr>
          <w:spacing w:val="6"/>
          <w:w w:val="105"/>
          <w:sz w:val="13"/>
        </w:rPr>
        <w:t> </w:t>
      </w:r>
      <w:r>
        <w:rPr>
          <w:w w:val="105"/>
          <w:sz w:val="13"/>
        </w:rPr>
        <w:t>placed</w:t>
      </w:r>
      <w:r>
        <w:rPr>
          <w:spacing w:val="7"/>
          <w:w w:val="105"/>
          <w:sz w:val="13"/>
        </w:rPr>
        <w:t> </w:t>
      </w:r>
      <w:r>
        <w:rPr>
          <w:w w:val="105"/>
          <w:sz w:val="13"/>
        </w:rPr>
        <w:t>on</w:t>
      </w:r>
      <w:r>
        <w:rPr>
          <w:spacing w:val="7"/>
          <w:w w:val="105"/>
          <w:sz w:val="13"/>
        </w:rPr>
        <w:t> </w:t>
      </w:r>
      <w:r>
        <w:rPr>
          <w:w w:val="105"/>
          <w:sz w:val="13"/>
        </w:rPr>
        <w:t>a</w:t>
      </w:r>
      <w:r>
        <w:rPr>
          <w:spacing w:val="6"/>
          <w:w w:val="105"/>
          <w:sz w:val="13"/>
        </w:rPr>
        <w:t> </w:t>
      </w:r>
      <w:r>
        <w:rPr>
          <w:w w:val="105"/>
          <w:sz w:val="13"/>
        </w:rPr>
        <w:t>tree’:</w:t>
      </w:r>
      <w:r>
        <w:rPr>
          <w:spacing w:val="7"/>
          <w:w w:val="105"/>
          <w:sz w:val="13"/>
        </w:rPr>
        <w:t> </w:t>
      </w:r>
      <w:r>
        <w:rPr>
          <w:w w:val="105"/>
          <w:sz w:val="13"/>
        </w:rPr>
        <w:t>see</w:t>
      </w:r>
      <w:r>
        <w:rPr>
          <w:spacing w:val="7"/>
          <w:w w:val="105"/>
          <w:sz w:val="13"/>
        </w:rPr>
        <w:t> </w:t>
      </w:r>
      <w:r>
        <w:rPr>
          <w:i/>
          <w:w w:val="105"/>
          <w:sz w:val="13"/>
        </w:rPr>
        <w:t>Neighbourhood</w:t>
      </w:r>
      <w:r>
        <w:rPr>
          <w:i/>
          <w:spacing w:val="6"/>
          <w:w w:val="105"/>
          <w:sz w:val="13"/>
        </w:rPr>
        <w:t> </w:t>
      </w:r>
      <w:r>
        <w:rPr>
          <w:i/>
          <w:w w:val="105"/>
          <w:sz w:val="13"/>
        </w:rPr>
        <w:t>Disputes</w:t>
      </w:r>
      <w:r>
        <w:rPr>
          <w:i/>
          <w:spacing w:val="7"/>
          <w:w w:val="105"/>
          <w:sz w:val="13"/>
        </w:rPr>
        <w:t> </w:t>
      </w:r>
      <w:r>
        <w:rPr>
          <w:i/>
          <w:w w:val="105"/>
          <w:sz w:val="13"/>
        </w:rPr>
        <w:t>(Dividing</w:t>
      </w:r>
      <w:r>
        <w:rPr>
          <w:i/>
          <w:spacing w:val="6"/>
          <w:w w:val="105"/>
          <w:sz w:val="13"/>
        </w:rPr>
        <w:t> </w:t>
      </w:r>
      <w:r>
        <w:rPr>
          <w:i/>
          <w:w w:val="105"/>
          <w:sz w:val="13"/>
        </w:rPr>
        <w:t>Fences</w:t>
      </w:r>
      <w:r>
        <w:rPr>
          <w:i/>
          <w:spacing w:val="7"/>
          <w:w w:val="105"/>
          <w:sz w:val="13"/>
        </w:rPr>
        <w:t> </w:t>
      </w:r>
      <w:r>
        <w:rPr>
          <w:i/>
          <w:w w:val="105"/>
          <w:sz w:val="13"/>
        </w:rPr>
        <w:t>and</w:t>
      </w:r>
      <w:r>
        <w:rPr>
          <w:i/>
          <w:spacing w:val="7"/>
          <w:w w:val="105"/>
          <w:sz w:val="13"/>
        </w:rPr>
        <w:t> </w:t>
      </w:r>
      <w:r>
        <w:rPr>
          <w:i/>
          <w:w w:val="105"/>
          <w:sz w:val="13"/>
        </w:rPr>
        <w:t>Trees)</w:t>
      </w:r>
      <w:r>
        <w:rPr>
          <w:i/>
          <w:spacing w:val="6"/>
          <w:w w:val="105"/>
          <w:sz w:val="13"/>
        </w:rPr>
        <w:t> </w:t>
      </w:r>
      <w:r>
        <w:rPr>
          <w:i/>
          <w:w w:val="105"/>
          <w:sz w:val="13"/>
        </w:rPr>
        <w:t>Act</w:t>
      </w:r>
      <w:r>
        <w:rPr>
          <w:i/>
          <w:spacing w:val="7"/>
          <w:w w:val="105"/>
          <w:sz w:val="13"/>
        </w:rPr>
        <w:t> </w:t>
      </w:r>
      <w:r>
        <w:rPr>
          <w:i/>
          <w:spacing w:val="-4"/>
          <w:w w:val="105"/>
          <w:sz w:val="13"/>
        </w:rPr>
        <w:t>2011</w:t>
      </w:r>
      <w:r>
        <w:rPr>
          <w:i/>
          <w:spacing w:val="7"/>
          <w:w w:val="105"/>
          <w:sz w:val="13"/>
        </w:rPr>
        <w:t> </w:t>
      </w:r>
      <w:r>
        <w:rPr>
          <w:spacing w:val="2"/>
          <w:w w:val="105"/>
          <w:sz w:val="13"/>
        </w:rPr>
        <w:t>(Qld)</w:t>
      </w:r>
      <w:r>
        <w:rPr>
          <w:spacing w:val="6"/>
          <w:w w:val="105"/>
          <w:sz w:val="13"/>
        </w:rPr>
        <w:t> </w:t>
      </w:r>
      <w:r>
        <w:rPr>
          <w:w w:val="105"/>
          <w:sz w:val="13"/>
        </w:rPr>
        <w:t>s</w:t>
      </w:r>
      <w:r>
        <w:rPr>
          <w:spacing w:val="7"/>
          <w:w w:val="105"/>
          <w:sz w:val="13"/>
        </w:rPr>
        <w:t> </w:t>
      </w:r>
      <w:r>
        <w:rPr>
          <w:spacing w:val="3"/>
          <w:w w:val="105"/>
          <w:sz w:val="13"/>
        </w:rPr>
        <w:t>73(3).</w:t>
      </w:r>
      <w:r>
        <w:rPr>
          <w:spacing w:val="7"/>
          <w:w w:val="105"/>
          <w:sz w:val="13"/>
        </w:rPr>
        <w:t> </w:t>
      </w:r>
      <w:r>
        <w:rPr>
          <w:w w:val="105"/>
          <w:sz w:val="13"/>
        </w:rPr>
        <w:t>This</w:t>
      </w:r>
    </w:p>
    <w:p>
      <w:pPr>
        <w:spacing w:before="3"/>
        <w:ind w:left="1225" w:right="1448" w:firstLine="0"/>
        <w:jc w:val="left"/>
        <w:rPr>
          <w:sz w:val="13"/>
        </w:rPr>
      </w:pPr>
      <w:r>
        <w:rPr>
          <w:w w:val="105"/>
          <w:sz w:val="13"/>
        </w:rPr>
        <w:t>provision aims to prevent the resolution of disputes being affected or frustrated by ‘unsettled methods of calculating the monetary value of trees’: see Explanatory Notes, </w:t>
      </w:r>
      <w:r>
        <w:rPr>
          <w:i/>
          <w:w w:val="105"/>
          <w:sz w:val="13"/>
        </w:rPr>
        <w:t>Neighbourhood Disputes Resolution Bill 2010 </w:t>
      </w:r>
      <w:r>
        <w:rPr>
          <w:w w:val="105"/>
          <w:sz w:val="13"/>
        </w:rPr>
        <w:t>(Qld) cl 73.</w:t>
      </w:r>
    </w:p>
    <w:p>
      <w:pPr>
        <w:pStyle w:val="ListParagraph"/>
        <w:numPr>
          <w:ilvl w:val="0"/>
          <w:numId w:val="128"/>
        </w:numPr>
        <w:tabs>
          <w:tab w:pos="1225" w:val="left" w:leader="none"/>
          <w:tab w:pos="1226" w:val="left" w:leader="none"/>
        </w:tabs>
        <w:spacing w:line="240" w:lineRule="auto" w:before="2" w:after="0"/>
        <w:ind w:left="432" w:right="5104" w:firstLine="0"/>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ss 74–75. </w:t>
      </w:r>
      <w:r>
        <w:rPr>
          <w:spacing w:val="3"/>
          <w:w w:val="105"/>
          <w:sz w:val="13"/>
        </w:rPr>
        <w:t>44</w:t>
        <w:tab/>
      </w:r>
      <w:r>
        <w:rPr>
          <w:w w:val="105"/>
          <w:sz w:val="13"/>
        </w:rPr>
        <w:t>Ibid ss 66,</w:t>
      </w:r>
      <w:r>
        <w:rPr>
          <w:spacing w:val="14"/>
          <w:w w:val="105"/>
          <w:sz w:val="13"/>
        </w:rPr>
        <w:t> </w:t>
      </w:r>
      <w:r>
        <w:rPr>
          <w:w w:val="105"/>
          <w:sz w:val="13"/>
        </w:rPr>
        <w:t>74(2).</w:t>
      </w:r>
    </w:p>
    <w:p>
      <w:pPr>
        <w:tabs>
          <w:tab w:pos="1225" w:val="left" w:leader="none"/>
        </w:tabs>
        <w:spacing w:before="3"/>
        <w:ind w:left="432" w:right="0" w:firstLine="0"/>
        <w:jc w:val="left"/>
        <w:rPr>
          <w:sz w:val="13"/>
        </w:rPr>
      </w:pPr>
      <w:r>
        <w:rPr>
          <w:w w:val="105"/>
          <w:sz w:val="13"/>
        </w:rPr>
        <w:t>45</w:t>
        <w:tab/>
        <w:t>Ibid s</w:t>
      </w:r>
      <w:r>
        <w:rPr>
          <w:spacing w:val="9"/>
          <w:w w:val="105"/>
          <w:sz w:val="13"/>
        </w:rPr>
        <w:t> </w:t>
      </w:r>
      <w:r>
        <w:rPr>
          <w:w w:val="105"/>
          <w:sz w:val="13"/>
        </w:rPr>
        <w:t>41(1).</w:t>
      </w:r>
    </w:p>
    <w:p>
      <w:pPr>
        <w:pStyle w:val="ListParagraph"/>
        <w:numPr>
          <w:ilvl w:val="0"/>
          <w:numId w:val="129"/>
        </w:numPr>
        <w:tabs>
          <w:tab w:pos="1225" w:val="left" w:leader="none"/>
          <w:tab w:pos="1226" w:val="left" w:leader="none"/>
        </w:tabs>
        <w:spacing w:line="240" w:lineRule="auto" w:before="1" w:after="0"/>
        <w:ind w:left="1225" w:right="0" w:hanging="793"/>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129"/>
        </w:numPr>
        <w:tabs>
          <w:tab w:pos="1225" w:val="left" w:leader="none"/>
          <w:tab w:pos="1226" w:val="left" w:leader="none"/>
        </w:tabs>
        <w:spacing w:line="240" w:lineRule="auto" w:before="2" w:after="0"/>
        <w:ind w:left="1225" w:right="0" w:hanging="793"/>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4"/>
          <w:w w:val="105"/>
          <w:sz w:val="13"/>
        </w:rPr>
        <w:t> </w:t>
      </w:r>
      <w:r>
        <w:rPr>
          <w:spacing w:val="-3"/>
          <w:w w:val="105"/>
          <w:sz w:val="13"/>
        </w:rPr>
        <w:t>71.</w:t>
      </w:r>
    </w:p>
    <w:p>
      <w:pPr>
        <w:pStyle w:val="ListParagraph"/>
        <w:numPr>
          <w:ilvl w:val="0"/>
          <w:numId w:val="129"/>
        </w:numPr>
        <w:tabs>
          <w:tab w:pos="1225" w:val="left" w:leader="none"/>
          <w:tab w:pos="1226" w:val="left" w:leader="none"/>
        </w:tabs>
        <w:spacing w:line="240" w:lineRule="auto" w:before="1" w:after="0"/>
        <w:ind w:left="1225" w:right="0" w:hanging="793"/>
        <w:jc w:val="left"/>
        <w:rPr>
          <w:sz w:val="13"/>
        </w:rPr>
      </w:pPr>
      <w:r>
        <w:rPr>
          <w:sz w:val="13"/>
        </w:rPr>
        <w:t>Ibid s</w:t>
      </w:r>
      <w:r>
        <w:rPr>
          <w:spacing w:val="12"/>
          <w:sz w:val="13"/>
        </w:rPr>
        <w:t> </w:t>
      </w:r>
      <w:r>
        <w:rPr>
          <w:sz w:val="13"/>
        </w:rPr>
        <w:t>72.</w:t>
      </w:r>
    </w:p>
    <w:p>
      <w:pPr>
        <w:pStyle w:val="ListParagraph"/>
        <w:numPr>
          <w:ilvl w:val="0"/>
          <w:numId w:val="129"/>
        </w:numPr>
        <w:tabs>
          <w:tab w:pos="1225" w:val="left" w:leader="none"/>
          <w:tab w:pos="1226" w:val="left" w:leader="none"/>
        </w:tabs>
        <w:spacing w:line="240" w:lineRule="auto" w:before="1" w:after="0"/>
        <w:ind w:left="1225" w:right="0" w:hanging="793"/>
        <w:jc w:val="left"/>
        <w:rPr>
          <w:sz w:val="13"/>
        </w:rPr>
      </w:pPr>
      <w:r>
        <w:rPr>
          <w:sz w:val="13"/>
        </w:rPr>
        <w:t>Ibid s</w:t>
      </w:r>
      <w:r>
        <w:rPr>
          <w:spacing w:val="12"/>
          <w:sz w:val="13"/>
        </w:rPr>
        <w:t> </w:t>
      </w:r>
      <w:r>
        <w:rPr>
          <w:spacing w:val="3"/>
          <w:sz w:val="13"/>
        </w:rPr>
        <w:t>75(d).</w:t>
      </w:r>
    </w:p>
    <w:p>
      <w:pPr>
        <w:pStyle w:val="ListParagraph"/>
        <w:numPr>
          <w:ilvl w:val="0"/>
          <w:numId w:val="129"/>
        </w:numPr>
        <w:tabs>
          <w:tab w:pos="1225" w:val="left" w:leader="none"/>
          <w:tab w:pos="1226" w:val="left" w:leader="none"/>
        </w:tabs>
        <w:spacing w:line="240" w:lineRule="auto" w:before="2" w:after="0"/>
        <w:ind w:left="1225" w:right="2113" w:hanging="793"/>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 (2015)</w:t>
      </w:r>
      <w:r>
        <w:rPr>
          <w:spacing w:val="9"/>
          <w:w w:val="105"/>
          <w:sz w:val="13"/>
        </w:rPr>
        <w:t> </w:t>
      </w:r>
      <w:r>
        <w:rPr>
          <w:w w:val="105"/>
          <w:sz w:val="13"/>
        </w:rPr>
        <w:t>125—6.</w:t>
      </w:r>
    </w:p>
    <w:p>
      <w:pPr>
        <w:pStyle w:val="ListParagraph"/>
        <w:numPr>
          <w:ilvl w:val="0"/>
          <w:numId w:val="129"/>
        </w:numPr>
        <w:tabs>
          <w:tab w:pos="1225" w:val="left" w:leader="none"/>
          <w:tab w:pos="1227" w:val="left" w:leader="none"/>
        </w:tabs>
        <w:spacing w:line="240" w:lineRule="auto" w:before="2" w:after="0"/>
        <w:ind w:left="1226" w:right="0" w:hanging="794"/>
        <w:jc w:val="left"/>
        <w:rPr>
          <w:sz w:val="13"/>
        </w:rPr>
      </w:pPr>
      <w:r>
        <w:rPr>
          <w:w w:val="105"/>
          <w:sz w:val="13"/>
        </w:rPr>
        <w:t>Ibid</w:t>
      </w:r>
      <w:r>
        <w:rPr>
          <w:spacing w:val="4"/>
          <w:w w:val="105"/>
          <w:sz w:val="13"/>
        </w:rPr>
        <w:t> </w:t>
      </w:r>
      <w:r>
        <w:rPr>
          <w:w w:val="105"/>
          <w:sz w:val="13"/>
        </w:rPr>
        <w:t>128.</w:t>
      </w:r>
    </w:p>
    <w:p>
      <w:pPr>
        <w:pStyle w:val="ListParagraph"/>
        <w:numPr>
          <w:ilvl w:val="0"/>
          <w:numId w:val="129"/>
        </w:numPr>
        <w:tabs>
          <w:tab w:pos="1225" w:val="left" w:leader="none"/>
          <w:tab w:pos="1227" w:val="left" w:leader="none"/>
        </w:tabs>
        <w:spacing w:line="240" w:lineRule="auto" w:before="2" w:after="0"/>
        <w:ind w:left="1226" w:right="0" w:hanging="794"/>
        <w:jc w:val="left"/>
        <w:rPr>
          <w:sz w:val="13"/>
        </w:rPr>
      </w:pPr>
      <w:r>
        <w:rPr>
          <w:i/>
          <w:w w:val="105"/>
          <w:sz w:val="13"/>
        </w:rPr>
        <w:t>Neighbourhood Disputes About Plants Act </w:t>
      </w:r>
      <w:r>
        <w:rPr>
          <w:i/>
          <w:spacing w:val="-4"/>
          <w:w w:val="105"/>
          <w:sz w:val="13"/>
        </w:rPr>
        <w:t>2017 </w:t>
      </w:r>
      <w:r>
        <w:rPr>
          <w:w w:val="105"/>
          <w:sz w:val="13"/>
        </w:rPr>
        <w:t>(Tas) s</w:t>
      </w:r>
      <w:r>
        <w:rPr>
          <w:spacing w:val="16"/>
          <w:w w:val="105"/>
          <w:sz w:val="13"/>
        </w:rPr>
        <w:t> </w:t>
      </w:r>
      <w:r>
        <w:rPr>
          <w:w w:val="105"/>
          <w:sz w:val="13"/>
        </w:rPr>
        <w:t>30.</w:t>
      </w:r>
    </w:p>
    <w:p>
      <w:pPr>
        <w:pStyle w:val="ListParagraph"/>
        <w:numPr>
          <w:ilvl w:val="0"/>
          <w:numId w:val="129"/>
        </w:numPr>
        <w:tabs>
          <w:tab w:pos="1225" w:val="left" w:leader="none"/>
          <w:tab w:pos="1227" w:val="left" w:leader="none"/>
        </w:tabs>
        <w:spacing w:line="240" w:lineRule="auto" w:before="1" w:after="0"/>
        <w:ind w:left="1226" w:right="0" w:hanging="794"/>
        <w:jc w:val="left"/>
        <w:rPr>
          <w:sz w:val="13"/>
        </w:rPr>
      </w:pPr>
      <w:r>
        <w:rPr>
          <w:sz w:val="13"/>
        </w:rPr>
        <w:t>Ibid s</w:t>
      </w:r>
      <w:r>
        <w:rPr>
          <w:spacing w:val="12"/>
          <w:sz w:val="13"/>
        </w:rPr>
        <w:t> </w:t>
      </w:r>
      <w:r>
        <w:rPr>
          <w:spacing w:val="-3"/>
          <w:sz w:val="13"/>
        </w:rPr>
        <w:t>31.</w:t>
      </w:r>
    </w:p>
    <w:p>
      <w:pPr>
        <w:spacing w:after="0" w:line="240" w:lineRule="auto"/>
        <w:jc w:val="left"/>
        <w:rPr>
          <w:sz w:val="13"/>
        </w:rPr>
        <w:sectPr>
          <w:type w:val="continuous"/>
          <w:pgSz w:w="11910" w:h="16840"/>
          <w:pgMar w:top="300" w:bottom="280" w:left="0" w:right="0"/>
          <w:cols w:num="2" w:equalWidth="0">
            <w:col w:w="1116" w:space="40"/>
            <w:col w:w="10754"/>
          </w:cols>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584" w:hanging="794"/>
        <w:jc w:val="left"/>
        <w:rPr>
          <w:sz w:val="21"/>
        </w:rPr>
      </w:pPr>
      <w:bookmarkStart w:name="Community responses—decision-making prin" w:id="191"/>
      <w:bookmarkEnd w:id="191"/>
      <w:r>
        <w:rPr/>
      </w:r>
      <w:bookmarkStart w:name="_bookmark89" w:id="192"/>
      <w:bookmarkEnd w:id="192"/>
      <w:r>
        <w:rPr/>
      </w:r>
      <w:bookmarkStart w:name="_bookmark89" w:id="193"/>
      <w:bookmarkEnd w:id="193"/>
      <w:r>
        <w:rPr>
          <w:w w:val="105"/>
          <w:sz w:val="21"/>
        </w:rPr>
        <w:t>I</w:t>
      </w:r>
      <w:r>
        <w:rPr>
          <w:w w:val="105"/>
          <w:sz w:val="21"/>
        </w:rPr>
        <w:t>f </w:t>
      </w:r>
      <w:r>
        <w:rPr>
          <w:spacing w:val="-6"/>
          <w:w w:val="105"/>
          <w:sz w:val="21"/>
        </w:rPr>
        <w:t>RMPAT </w:t>
      </w:r>
      <w:r>
        <w:rPr>
          <w:w w:val="105"/>
          <w:sz w:val="21"/>
        </w:rPr>
        <w:t>is </w:t>
      </w:r>
      <w:r>
        <w:rPr>
          <w:spacing w:val="-3"/>
          <w:w w:val="105"/>
          <w:sz w:val="21"/>
        </w:rPr>
        <w:t>considering </w:t>
      </w:r>
      <w:r>
        <w:rPr>
          <w:w w:val="105"/>
          <w:sz w:val="21"/>
        </w:rPr>
        <w:t>an order </w:t>
      </w:r>
      <w:r>
        <w:rPr>
          <w:spacing w:val="-3"/>
          <w:w w:val="105"/>
          <w:sz w:val="21"/>
        </w:rPr>
        <w:t>that involves </w:t>
      </w:r>
      <w:r>
        <w:rPr>
          <w:w w:val="105"/>
          <w:sz w:val="21"/>
        </w:rPr>
        <w:t>destroying a </w:t>
      </w:r>
      <w:r>
        <w:rPr>
          <w:spacing w:val="-3"/>
          <w:w w:val="105"/>
          <w:sz w:val="21"/>
        </w:rPr>
        <w:t>plant, </w:t>
      </w:r>
      <w:r>
        <w:rPr>
          <w:spacing w:val="-6"/>
          <w:w w:val="105"/>
          <w:sz w:val="21"/>
        </w:rPr>
        <w:t>RMPAT </w:t>
      </w:r>
      <w:r>
        <w:rPr>
          <w:spacing w:val="-3"/>
          <w:w w:val="105"/>
          <w:sz w:val="21"/>
        </w:rPr>
        <w:t>may consider additional principles akin to </w:t>
      </w:r>
      <w:r>
        <w:rPr>
          <w:w w:val="105"/>
          <w:sz w:val="21"/>
        </w:rPr>
        <w:t>the </w:t>
      </w:r>
      <w:r>
        <w:rPr>
          <w:spacing w:val="-3"/>
          <w:w w:val="105"/>
          <w:sz w:val="21"/>
        </w:rPr>
        <w:t>Queensland </w:t>
      </w:r>
      <w:r>
        <w:rPr>
          <w:w w:val="105"/>
          <w:sz w:val="21"/>
        </w:rPr>
        <w:t>Act, </w:t>
      </w:r>
      <w:r>
        <w:rPr>
          <w:spacing w:val="-3"/>
          <w:w w:val="105"/>
          <w:sz w:val="21"/>
        </w:rPr>
        <w:t>for </w:t>
      </w:r>
      <w:r>
        <w:rPr>
          <w:w w:val="105"/>
          <w:sz w:val="21"/>
        </w:rPr>
        <w:t>example how long the </w:t>
      </w:r>
      <w:r>
        <w:rPr>
          <w:spacing w:val="-3"/>
          <w:w w:val="105"/>
          <w:sz w:val="21"/>
        </w:rPr>
        <w:t>neighbour </w:t>
      </w:r>
      <w:r>
        <w:rPr>
          <w:spacing w:val="-2"/>
          <w:w w:val="105"/>
          <w:sz w:val="21"/>
        </w:rPr>
        <w:t>has </w:t>
      </w:r>
      <w:r>
        <w:rPr>
          <w:w w:val="105"/>
          <w:sz w:val="21"/>
        </w:rPr>
        <w:t>known of the injury or</w:t>
      </w:r>
      <w:r>
        <w:rPr>
          <w:spacing w:val="27"/>
          <w:w w:val="105"/>
          <w:sz w:val="21"/>
        </w:rPr>
        <w:t> </w:t>
      </w:r>
      <w:r>
        <w:rPr>
          <w:spacing w:val="-3"/>
          <w:w w:val="105"/>
          <w:sz w:val="21"/>
        </w:rPr>
        <w:t>damage.</w:t>
      </w:r>
      <w:r>
        <w:rPr>
          <w:spacing w:val="-3"/>
          <w:w w:val="105"/>
          <w:position w:val="7"/>
          <w:sz w:val="12"/>
        </w:rPr>
        <w:t>54</w:t>
      </w:r>
    </w:p>
    <w:p>
      <w:pPr>
        <w:pStyle w:val="ListParagraph"/>
        <w:numPr>
          <w:ilvl w:val="1"/>
          <w:numId w:val="16"/>
        </w:numPr>
        <w:tabs>
          <w:tab w:pos="2380" w:val="left" w:leader="none"/>
          <w:tab w:pos="2381" w:val="left" w:leader="none"/>
        </w:tabs>
        <w:spacing w:line="242" w:lineRule="auto" w:before="124" w:after="0"/>
        <w:ind w:left="2381" w:right="1979" w:hanging="794"/>
        <w:jc w:val="left"/>
        <w:rPr>
          <w:sz w:val="21"/>
        </w:rPr>
      </w:pPr>
      <w:r>
        <w:rPr>
          <w:spacing w:val="-6"/>
          <w:sz w:val="21"/>
        </w:rPr>
        <w:t>RMPAT </w:t>
      </w:r>
      <w:r>
        <w:rPr>
          <w:spacing w:val="-3"/>
          <w:sz w:val="21"/>
        </w:rPr>
        <w:t>may </w:t>
      </w:r>
      <w:r>
        <w:rPr>
          <w:sz w:val="21"/>
        </w:rPr>
        <w:t>also </w:t>
      </w:r>
      <w:r>
        <w:rPr>
          <w:spacing w:val="-3"/>
          <w:sz w:val="21"/>
        </w:rPr>
        <w:t>consider additional </w:t>
      </w:r>
      <w:r>
        <w:rPr>
          <w:sz w:val="21"/>
        </w:rPr>
        <w:t>matters if </w:t>
      </w:r>
      <w:r>
        <w:rPr>
          <w:spacing w:val="-3"/>
          <w:sz w:val="21"/>
        </w:rPr>
        <w:t>unreasonable interference  </w:t>
      </w:r>
      <w:r>
        <w:rPr>
          <w:sz w:val="21"/>
        </w:rPr>
        <w:t>is alleged by the </w:t>
      </w:r>
      <w:r>
        <w:rPr>
          <w:spacing w:val="-3"/>
          <w:sz w:val="21"/>
        </w:rPr>
        <w:t>applicant.</w:t>
      </w:r>
      <w:r>
        <w:rPr>
          <w:spacing w:val="-3"/>
          <w:position w:val="7"/>
          <w:sz w:val="12"/>
        </w:rPr>
        <w:t>55 </w:t>
      </w:r>
      <w:r>
        <w:rPr>
          <w:sz w:val="21"/>
        </w:rPr>
        <w:t>One of these </w:t>
      </w:r>
      <w:r>
        <w:rPr>
          <w:spacing w:val="-3"/>
          <w:sz w:val="21"/>
        </w:rPr>
        <w:t>considerations </w:t>
      </w:r>
      <w:r>
        <w:rPr>
          <w:sz w:val="21"/>
        </w:rPr>
        <w:t>is whether the </w:t>
      </w:r>
      <w:r>
        <w:rPr>
          <w:spacing w:val="-3"/>
          <w:sz w:val="21"/>
        </w:rPr>
        <w:t>plant </w:t>
      </w:r>
      <w:r>
        <w:rPr>
          <w:sz w:val="21"/>
        </w:rPr>
        <w:t>existed </w:t>
      </w:r>
      <w:r>
        <w:rPr>
          <w:spacing w:val="-3"/>
          <w:sz w:val="21"/>
        </w:rPr>
        <w:t>before </w:t>
      </w:r>
      <w:r>
        <w:rPr>
          <w:sz w:val="21"/>
        </w:rPr>
        <w:t>the </w:t>
      </w:r>
      <w:r>
        <w:rPr>
          <w:spacing w:val="-3"/>
          <w:sz w:val="21"/>
        </w:rPr>
        <w:t>applicant </w:t>
      </w:r>
      <w:r>
        <w:rPr>
          <w:sz w:val="21"/>
        </w:rPr>
        <w:t>owned the affected</w:t>
      </w:r>
      <w:r>
        <w:rPr>
          <w:spacing w:val="40"/>
          <w:sz w:val="21"/>
        </w:rPr>
        <w:t> </w:t>
      </w:r>
      <w:r>
        <w:rPr>
          <w:sz w:val="21"/>
        </w:rPr>
        <w:t>land.</w:t>
      </w:r>
      <w:r>
        <w:rPr>
          <w:position w:val="7"/>
          <w:sz w:val="12"/>
        </w:rPr>
        <w:t>56</w:t>
      </w:r>
    </w:p>
    <w:p>
      <w:pPr>
        <w:pStyle w:val="BodyText"/>
        <w:spacing w:before="10"/>
      </w:pPr>
    </w:p>
    <w:p>
      <w:pPr>
        <w:pStyle w:val="Heading4"/>
      </w:pPr>
      <w:r>
        <w:rPr>
          <w:color w:val="658464"/>
          <w:w w:val="110"/>
        </w:rPr>
        <w:t>Community  responses—decision-making </w:t>
      </w:r>
      <w:r>
        <w:rPr>
          <w:color w:val="658464"/>
          <w:spacing w:val="1"/>
          <w:w w:val="110"/>
        </w:rPr>
        <w:t> </w:t>
      </w:r>
      <w:r>
        <w:rPr>
          <w:color w:val="658464"/>
          <w:w w:val="110"/>
        </w:rPr>
        <w:t>principles</w:t>
      </w:r>
    </w:p>
    <w:p>
      <w:pPr>
        <w:pStyle w:val="ListParagraph"/>
        <w:numPr>
          <w:ilvl w:val="1"/>
          <w:numId w:val="16"/>
        </w:numPr>
        <w:tabs>
          <w:tab w:pos="2380" w:val="left" w:leader="none"/>
          <w:tab w:pos="2381" w:val="left" w:leader="none"/>
        </w:tabs>
        <w:spacing w:line="242" w:lineRule="auto" w:before="155" w:after="0"/>
        <w:ind w:left="2381" w:right="1668" w:hanging="794"/>
        <w:jc w:val="left"/>
        <w:rPr>
          <w:sz w:val="21"/>
        </w:rPr>
      </w:pPr>
      <w:r>
        <w:rPr>
          <w:w w:val="105"/>
          <w:sz w:val="21"/>
        </w:rPr>
        <w:t>There</w:t>
      </w:r>
      <w:r>
        <w:rPr>
          <w:spacing w:val="-8"/>
          <w:w w:val="105"/>
          <w:sz w:val="21"/>
        </w:rPr>
        <w:t> </w:t>
      </w:r>
      <w:r>
        <w:rPr>
          <w:w w:val="105"/>
          <w:sz w:val="21"/>
        </w:rPr>
        <w:t>was</w:t>
      </w:r>
      <w:r>
        <w:rPr>
          <w:spacing w:val="-7"/>
          <w:w w:val="105"/>
          <w:sz w:val="21"/>
        </w:rPr>
        <w:t> </w:t>
      </w:r>
      <w:r>
        <w:rPr>
          <w:w w:val="105"/>
          <w:sz w:val="21"/>
        </w:rPr>
        <w:t>strong</w:t>
      </w:r>
      <w:r>
        <w:rPr>
          <w:spacing w:val="-7"/>
          <w:w w:val="105"/>
          <w:sz w:val="21"/>
        </w:rPr>
        <w:t> </w:t>
      </w:r>
      <w:r>
        <w:rPr>
          <w:w w:val="105"/>
          <w:sz w:val="21"/>
        </w:rPr>
        <w:t>community</w:t>
      </w:r>
      <w:r>
        <w:rPr>
          <w:spacing w:val="-7"/>
          <w:w w:val="105"/>
          <w:sz w:val="21"/>
        </w:rPr>
        <w:t> </w:t>
      </w:r>
      <w:r>
        <w:rPr>
          <w:w w:val="105"/>
          <w:sz w:val="21"/>
        </w:rPr>
        <w:t>support</w:t>
      </w:r>
      <w:r>
        <w:rPr>
          <w:spacing w:val="-7"/>
          <w:w w:val="105"/>
          <w:sz w:val="21"/>
        </w:rPr>
        <w:t> </w:t>
      </w:r>
      <w:r>
        <w:rPr>
          <w:spacing w:val="-3"/>
          <w:w w:val="105"/>
          <w:sz w:val="21"/>
        </w:rPr>
        <w:t>for</w:t>
      </w:r>
      <w:r>
        <w:rPr>
          <w:spacing w:val="-7"/>
          <w:w w:val="105"/>
          <w:sz w:val="21"/>
        </w:rPr>
        <w:t> </w:t>
      </w:r>
      <w:r>
        <w:rPr>
          <w:spacing w:val="-3"/>
          <w:w w:val="105"/>
          <w:sz w:val="21"/>
        </w:rPr>
        <w:t>including</w:t>
      </w:r>
      <w:r>
        <w:rPr>
          <w:spacing w:val="-7"/>
          <w:w w:val="105"/>
          <w:sz w:val="21"/>
        </w:rPr>
        <w:t> </w:t>
      </w:r>
      <w:r>
        <w:rPr>
          <w:w w:val="105"/>
          <w:sz w:val="21"/>
        </w:rPr>
        <w:t>decision-making</w:t>
      </w:r>
      <w:r>
        <w:rPr>
          <w:spacing w:val="-7"/>
          <w:w w:val="105"/>
          <w:sz w:val="21"/>
        </w:rPr>
        <w:t> </w:t>
      </w:r>
      <w:r>
        <w:rPr>
          <w:spacing w:val="-3"/>
          <w:w w:val="105"/>
          <w:sz w:val="21"/>
        </w:rPr>
        <w:t>principles</w:t>
      </w:r>
      <w:r>
        <w:rPr>
          <w:spacing w:val="-7"/>
          <w:w w:val="105"/>
          <w:sz w:val="21"/>
        </w:rPr>
        <w:t> </w:t>
      </w:r>
      <w:r>
        <w:rPr>
          <w:w w:val="105"/>
          <w:sz w:val="21"/>
        </w:rPr>
        <w:t>in</w:t>
      </w:r>
      <w:r>
        <w:rPr>
          <w:spacing w:val="-7"/>
          <w:w w:val="105"/>
          <w:sz w:val="21"/>
        </w:rPr>
        <w:t> </w:t>
      </w:r>
      <w:r>
        <w:rPr>
          <w:w w:val="105"/>
          <w:sz w:val="21"/>
        </w:rPr>
        <w:t>the</w:t>
      </w:r>
      <w:r>
        <w:rPr>
          <w:spacing w:val="-7"/>
          <w:w w:val="105"/>
          <w:sz w:val="21"/>
        </w:rPr>
        <w:t> </w:t>
      </w:r>
      <w:r>
        <w:rPr>
          <w:w w:val="105"/>
          <w:sz w:val="21"/>
        </w:rPr>
        <w:t>new Act.</w:t>
      </w:r>
      <w:r>
        <w:rPr>
          <w:w w:val="105"/>
          <w:position w:val="7"/>
          <w:sz w:val="12"/>
        </w:rPr>
        <w:t>57 </w:t>
      </w:r>
      <w:r>
        <w:rPr>
          <w:spacing w:val="-5"/>
          <w:w w:val="105"/>
          <w:sz w:val="21"/>
        </w:rPr>
        <w:t>VCAT </w:t>
      </w:r>
      <w:r>
        <w:rPr>
          <w:w w:val="105"/>
          <w:sz w:val="21"/>
        </w:rPr>
        <w:t>supported the idea of </w:t>
      </w:r>
      <w:r>
        <w:rPr>
          <w:spacing w:val="-3"/>
          <w:w w:val="105"/>
          <w:sz w:val="21"/>
        </w:rPr>
        <w:t>including </w:t>
      </w:r>
      <w:r>
        <w:rPr>
          <w:w w:val="105"/>
          <w:sz w:val="21"/>
        </w:rPr>
        <w:t>a non-exhaustive list of decision-making </w:t>
      </w:r>
      <w:r>
        <w:rPr>
          <w:spacing w:val="-3"/>
          <w:w w:val="105"/>
          <w:sz w:val="21"/>
        </w:rPr>
        <w:t>guidelines </w:t>
      </w:r>
      <w:r>
        <w:rPr>
          <w:w w:val="105"/>
          <w:sz w:val="21"/>
        </w:rPr>
        <w:t>in the new Act, as long as this list was </w:t>
      </w:r>
      <w:r>
        <w:rPr>
          <w:spacing w:val="-2"/>
          <w:w w:val="105"/>
          <w:sz w:val="21"/>
        </w:rPr>
        <w:t>not </w:t>
      </w:r>
      <w:r>
        <w:rPr>
          <w:w w:val="105"/>
          <w:sz w:val="21"/>
        </w:rPr>
        <w:t>overly </w:t>
      </w:r>
      <w:r>
        <w:rPr>
          <w:spacing w:val="-3"/>
          <w:w w:val="105"/>
          <w:sz w:val="21"/>
        </w:rPr>
        <w:t>prescriptive. </w:t>
      </w:r>
      <w:r>
        <w:rPr>
          <w:spacing w:val="-5"/>
          <w:w w:val="105"/>
          <w:sz w:val="21"/>
        </w:rPr>
        <w:t>VCAT </w:t>
      </w:r>
      <w:r>
        <w:rPr>
          <w:spacing w:val="-3"/>
          <w:w w:val="105"/>
          <w:sz w:val="21"/>
        </w:rPr>
        <w:t>noted that </w:t>
      </w:r>
      <w:r>
        <w:rPr>
          <w:w w:val="105"/>
          <w:sz w:val="21"/>
        </w:rPr>
        <w:t>a list of decision-making </w:t>
      </w:r>
      <w:r>
        <w:rPr>
          <w:spacing w:val="-3"/>
          <w:w w:val="105"/>
          <w:sz w:val="21"/>
        </w:rPr>
        <w:t>guidelines </w:t>
      </w:r>
      <w:r>
        <w:rPr>
          <w:w w:val="105"/>
          <w:sz w:val="21"/>
        </w:rPr>
        <w:t>would also assist and guide experts </w:t>
      </w:r>
      <w:r>
        <w:rPr>
          <w:spacing w:val="-3"/>
          <w:w w:val="105"/>
          <w:sz w:val="21"/>
        </w:rPr>
        <w:t>drafting </w:t>
      </w:r>
      <w:r>
        <w:rPr>
          <w:w w:val="105"/>
          <w:sz w:val="21"/>
        </w:rPr>
        <w:t>reports </w:t>
      </w:r>
      <w:r>
        <w:rPr>
          <w:spacing w:val="-3"/>
          <w:w w:val="105"/>
          <w:sz w:val="21"/>
        </w:rPr>
        <w:t>for </w:t>
      </w:r>
      <w:r>
        <w:rPr>
          <w:w w:val="105"/>
          <w:sz w:val="21"/>
        </w:rPr>
        <w:t>tree </w:t>
      </w:r>
      <w:r>
        <w:rPr>
          <w:spacing w:val="-3"/>
          <w:w w:val="105"/>
          <w:sz w:val="21"/>
        </w:rPr>
        <w:t>dispute</w:t>
      </w:r>
      <w:r>
        <w:rPr>
          <w:spacing w:val="19"/>
          <w:w w:val="105"/>
          <w:sz w:val="21"/>
        </w:rPr>
        <w:t> </w:t>
      </w:r>
      <w:r>
        <w:rPr>
          <w:spacing w:val="-3"/>
          <w:w w:val="105"/>
          <w:sz w:val="21"/>
        </w:rPr>
        <w:t>hearings.</w:t>
      </w:r>
      <w:r>
        <w:rPr>
          <w:spacing w:val="-3"/>
          <w:w w:val="105"/>
          <w:position w:val="7"/>
          <w:sz w:val="12"/>
        </w:rPr>
        <w:t>58</w:t>
      </w:r>
    </w:p>
    <w:p>
      <w:pPr>
        <w:pStyle w:val="ListParagraph"/>
        <w:numPr>
          <w:ilvl w:val="1"/>
          <w:numId w:val="16"/>
        </w:numPr>
        <w:tabs>
          <w:tab w:pos="2381" w:val="left" w:leader="none"/>
          <w:tab w:pos="2382" w:val="left" w:leader="none"/>
        </w:tabs>
        <w:spacing w:line="242" w:lineRule="auto" w:before="126" w:after="0"/>
        <w:ind w:left="2381" w:right="1887" w:hanging="794"/>
        <w:jc w:val="left"/>
        <w:rPr>
          <w:sz w:val="21"/>
        </w:rPr>
      </w:pPr>
      <w:r>
        <w:rPr>
          <w:w w:val="105"/>
          <w:sz w:val="21"/>
        </w:rPr>
        <w:t>The </w:t>
      </w:r>
      <w:r>
        <w:rPr>
          <w:spacing w:val="-3"/>
          <w:w w:val="105"/>
          <w:sz w:val="21"/>
        </w:rPr>
        <w:t>Commission </w:t>
      </w:r>
      <w:r>
        <w:rPr>
          <w:w w:val="105"/>
          <w:sz w:val="21"/>
        </w:rPr>
        <w:t>received a number of suggestions about what </w:t>
      </w:r>
      <w:r>
        <w:rPr>
          <w:spacing w:val="-3"/>
          <w:w w:val="105"/>
          <w:sz w:val="21"/>
        </w:rPr>
        <w:t>kinds </w:t>
      </w:r>
      <w:r>
        <w:rPr>
          <w:w w:val="105"/>
          <w:sz w:val="21"/>
        </w:rPr>
        <w:t>of </w:t>
      </w:r>
      <w:r>
        <w:rPr>
          <w:spacing w:val="-3"/>
          <w:w w:val="105"/>
          <w:sz w:val="21"/>
        </w:rPr>
        <w:t>principles </w:t>
      </w:r>
      <w:r>
        <w:rPr>
          <w:w w:val="105"/>
          <w:sz w:val="21"/>
        </w:rPr>
        <w:t>should be </w:t>
      </w:r>
      <w:r>
        <w:rPr>
          <w:spacing w:val="-3"/>
          <w:w w:val="105"/>
          <w:sz w:val="21"/>
        </w:rPr>
        <w:t>taken </w:t>
      </w:r>
      <w:r>
        <w:rPr>
          <w:spacing w:val="-4"/>
          <w:w w:val="105"/>
          <w:sz w:val="21"/>
        </w:rPr>
        <w:t>into </w:t>
      </w:r>
      <w:r>
        <w:rPr>
          <w:spacing w:val="-3"/>
          <w:w w:val="105"/>
          <w:sz w:val="21"/>
        </w:rPr>
        <w:t>account </w:t>
      </w:r>
      <w:r>
        <w:rPr>
          <w:w w:val="105"/>
          <w:sz w:val="21"/>
        </w:rPr>
        <w:t>by the decision </w:t>
      </w:r>
      <w:r>
        <w:rPr>
          <w:spacing w:val="-4"/>
          <w:w w:val="105"/>
          <w:sz w:val="21"/>
        </w:rPr>
        <w:t>maker </w:t>
      </w:r>
      <w:r>
        <w:rPr>
          <w:spacing w:val="-3"/>
          <w:w w:val="105"/>
          <w:sz w:val="21"/>
        </w:rPr>
        <w:t>determining </w:t>
      </w:r>
      <w:r>
        <w:rPr>
          <w:w w:val="105"/>
          <w:sz w:val="21"/>
        </w:rPr>
        <w:t>tree </w:t>
      </w:r>
      <w:r>
        <w:rPr>
          <w:spacing w:val="-3"/>
          <w:w w:val="105"/>
          <w:sz w:val="21"/>
        </w:rPr>
        <w:t>disputes. Several submissions</w:t>
      </w:r>
      <w:r>
        <w:rPr>
          <w:spacing w:val="-16"/>
          <w:w w:val="105"/>
          <w:sz w:val="21"/>
        </w:rPr>
        <w:t> </w:t>
      </w:r>
      <w:r>
        <w:rPr>
          <w:w w:val="105"/>
          <w:sz w:val="21"/>
        </w:rPr>
        <w:t>stated</w:t>
      </w:r>
      <w:r>
        <w:rPr>
          <w:spacing w:val="-15"/>
          <w:w w:val="105"/>
          <w:sz w:val="21"/>
        </w:rPr>
        <w:t> </w:t>
      </w:r>
      <w:r>
        <w:rPr>
          <w:spacing w:val="-3"/>
          <w:w w:val="105"/>
          <w:sz w:val="21"/>
        </w:rPr>
        <w:t>that</w:t>
      </w:r>
      <w:r>
        <w:rPr>
          <w:spacing w:val="-16"/>
          <w:w w:val="105"/>
          <w:sz w:val="21"/>
        </w:rPr>
        <w:t> </w:t>
      </w:r>
      <w:r>
        <w:rPr>
          <w:w w:val="105"/>
          <w:sz w:val="21"/>
        </w:rPr>
        <w:t>the</w:t>
      </w:r>
      <w:r>
        <w:rPr>
          <w:spacing w:val="-15"/>
          <w:w w:val="105"/>
          <w:sz w:val="21"/>
        </w:rPr>
        <w:t> </w:t>
      </w:r>
      <w:r>
        <w:rPr>
          <w:w w:val="105"/>
          <w:sz w:val="21"/>
        </w:rPr>
        <w:t>decision-making</w:t>
      </w:r>
      <w:r>
        <w:rPr>
          <w:spacing w:val="-16"/>
          <w:w w:val="105"/>
          <w:sz w:val="21"/>
        </w:rPr>
        <w:t> </w:t>
      </w:r>
      <w:r>
        <w:rPr>
          <w:spacing w:val="-3"/>
          <w:w w:val="105"/>
          <w:sz w:val="21"/>
        </w:rPr>
        <w:t>principles</w:t>
      </w:r>
      <w:r>
        <w:rPr>
          <w:spacing w:val="-15"/>
          <w:w w:val="105"/>
          <w:sz w:val="21"/>
        </w:rPr>
        <w:t> </w:t>
      </w:r>
      <w:r>
        <w:rPr>
          <w:spacing w:val="-3"/>
          <w:w w:val="105"/>
          <w:sz w:val="21"/>
        </w:rPr>
        <w:t>contained</w:t>
      </w:r>
      <w:r>
        <w:rPr>
          <w:spacing w:val="-16"/>
          <w:w w:val="105"/>
          <w:sz w:val="21"/>
        </w:rPr>
        <w:t> </w:t>
      </w:r>
      <w:r>
        <w:rPr>
          <w:w w:val="105"/>
          <w:sz w:val="21"/>
        </w:rPr>
        <w:t>in</w:t>
      </w:r>
      <w:r>
        <w:rPr>
          <w:spacing w:val="-15"/>
          <w:w w:val="105"/>
          <w:sz w:val="21"/>
        </w:rPr>
        <w:t> </w:t>
      </w:r>
      <w:r>
        <w:rPr>
          <w:w w:val="105"/>
          <w:sz w:val="21"/>
        </w:rPr>
        <w:t>interstate</w:t>
      </w:r>
      <w:r>
        <w:rPr>
          <w:spacing w:val="-16"/>
          <w:w w:val="105"/>
          <w:sz w:val="21"/>
        </w:rPr>
        <w:t> </w:t>
      </w:r>
      <w:r>
        <w:rPr>
          <w:w w:val="105"/>
          <w:sz w:val="21"/>
        </w:rPr>
        <w:t>statutory schemes would be </w:t>
      </w:r>
      <w:r>
        <w:rPr>
          <w:spacing w:val="-3"/>
          <w:w w:val="105"/>
          <w:sz w:val="21"/>
        </w:rPr>
        <w:t>appropriate for </w:t>
      </w:r>
      <w:r>
        <w:rPr>
          <w:w w:val="105"/>
          <w:sz w:val="21"/>
        </w:rPr>
        <w:t>a new statutory scheme in</w:t>
      </w:r>
      <w:r>
        <w:rPr>
          <w:spacing w:val="17"/>
          <w:w w:val="105"/>
          <w:sz w:val="21"/>
        </w:rPr>
        <w:t> </w:t>
      </w:r>
      <w:r>
        <w:rPr>
          <w:w w:val="105"/>
          <w:sz w:val="21"/>
        </w:rPr>
        <w:t>Victoria.</w:t>
      </w:r>
      <w:r>
        <w:rPr>
          <w:w w:val="105"/>
          <w:position w:val="7"/>
          <w:sz w:val="12"/>
        </w:rPr>
        <w:t>59</w:t>
      </w:r>
    </w:p>
    <w:p>
      <w:pPr>
        <w:pStyle w:val="ListParagraph"/>
        <w:numPr>
          <w:ilvl w:val="1"/>
          <w:numId w:val="16"/>
        </w:numPr>
        <w:tabs>
          <w:tab w:pos="2381" w:val="left" w:leader="none"/>
          <w:tab w:pos="2382" w:val="left" w:leader="none"/>
        </w:tabs>
        <w:spacing w:line="240" w:lineRule="auto" w:before="124" w:after="0"/>
        <w:ind w:left="2381" w:right="0" w:hanging="794"/>
        <w:jc w:val="left"/>
        <w:rPr>
          <w:sz w:val="21"/>
        </w:rPr>
      </w:pPr>
      <w:r>
        <w:rPr>
          <w:sz w:val="21"/>
        </w:rPr>
        <w:t>The</w:t>
      </w:r>
      <w:r>
        <w:rPr>
          <w:spacing w:val="9"/>
          <w:sz w:val="21"/>
        </w:rPr>
        <w:t> </w:t>
      </w:r>
      <w:r>
        <w:rPr>
          <w:sz w:val="21"/>
        </w:rPr>
        <w:t>majority</w:t>
      </w:r>
      <w:r>
        <w:rPr>
          <w:spacing w:val="9"/>
          <w:sz w:val="21"/>
        </w:rPr>
        <w:t> </w:t>
      </w:r>
      <w:r>
        <w:rPr>
          <w:sz w:val="21"/>
        </w:rPr>
        <w:t>of</w:t>
      </w:r>
      <w:r>
        <w:rPr>
          <w:spacing w:val="9"/>
          <w:sz w:val="21"/>
        </w:rPr>
        <w:t> </w:t>
      </w:r>
      <w:r>
        <w:rPr>
          <w:sz w:val="21"/>
        </w:rPr>
        <w:t>responses</w:t>
      </w:r>
      <w:r>
        <w:rPr>
          <w:spacing w:val="9"/>
          <w:sz w:val="21"/>
        </w:rPr>
        <w:t> </w:t>
      </w:r>
      <w:r>
        <w:rPr>
          <w:spacing w:val="-3"/>
          <w:sz w:val="21"/>
        </w:rPr>
        <w:t>related</w:t>
      </w:r>
      <w:r>
        <w:rPr>
          <w:spacing w:val="9"/>
          <w:sz w:val="21"/>
        </w:rPr>
        <w:t> </w:t>
      </w:r>
      <w:r>
        <w:rPr>
          <w:spacing w:val="-3"/>
          <w:sz w:val="21"/>
        </w:rPr>
        <w:t>to</w:t>
      </w:r>
      <w:r>
        <w:rPr>
          <w:spacing w:val="9"/>
          <w:sz w:val="21"/>
        </w:rPr>
        <w:t> </w:t>
      </w:r>
      <w:r>
        <w:rPr>
          <w:sz w:val="21"/>
        </w:rPr>
        <w:t>the</w:t>
      </w:r>
      <w:r>
        <w:rPr>
          <w:spacing w:val="9"/>
          <w:sz w:val="21"/>
        </w:rPr>
        <w:t> </w:t>
      </w:r>
      <w:r>
        <w:rPr>
          <w:spacing w:val="-3"/>
          <w:sz w:val="21"/>
        </w:rPr>
        <w:t>following</w:t>
      </w:r>
      <w:r>
        <w:rPr>
          <w:spacing w:val="9"/>
          <w:sz w:val="21"/>
        </w:rPr>
        <w:t> </w:t>
      </w:r>
      <w:r>
        <w:rPr>
          <w:sz w:val="21"/>
        </w:rPr>
        <w:t>themes:</w:t>
      </w:r>
    </w:p>
    <w:p>
      <w:pPr>
        <w:pStyle w:val="ListParagraph"/>
        <w:numPr>
          <w:ilvl w:val="2"/>
          <w:numId w:val="16"/>
        </w:numPr>
        <w:tabs>
          <w:tab w:pos="2721" w:val="left" w:leader="none"/>
          <w:tab w:pos="2722" w:val="left" w:leader="none"/>
        </w:tabs>
        <w:spacing w:line="240" w:lineRule="auto" w:before="124" w:after="0"/>
        <w:ind w:left="2721" w:right="0" w:hanging="340"/>
        <w:jc w:val="left"/>
        <w:rPr>
          <w:sz w:val="21"/>
        </w:rPr>
      </w:pPr>
      <w:r>
        <w:rPr>
          <w:w w:val="105"/>
          <w:sz w:val="21"/>
        </w:rPr>
        <w:t>protecting the community </w:t>
      </w:r>
      <w:r>
        <w:rPr>
          <w:spacing w:val="-3"/>
          <w:w w:val="105"/>
          <w:sz w:val="21"/>
        </w:rPr>
        <w:t>from harm </w:t>
      </w:r>
      <w:r>
        <w:rPr>
          <w:w w:val="105"/>
          <w:sz w:val="21"/>
        </w:rPr>
        <w:t>or</w:t>
      </w:r>
      <w:r>
        <w:rPr>
          <w:spacing w:val="34"/>
          <w:w w:val="105"/>
          <w:sz w:val="21"/>
        </w:rPr>
        <w:t> </w:t>
      </w:r>
      <w:r>
        <w:rPr>
          <w:spacing w:val="-3"/>
          <w:w w:val="105"/>
          <w:sz w:val="21"/>
        </w:rPr>
        <w:t>damage.</w:t>
      </w:r>
    </w:p>
    <w:p>
      <w:pPr>
        <w:pStyle w:val="ListParagraph"/>
        <w:numPr>
          <w:ilvl w:val="2"/>
          <w:numId w:val="16"/>
        </w:numPr>
        <w:tabs>
          <w:tab w:pos="2721" w:val="left" w:leader="none"/>
          <w:tab w:pos="2722" w:val="left" w:leader="none"/>
        </w:tabs>
        <w:spacing w:line="242" w:lineRule="auto" w:before="88" w:after="0"/>
        <w:ind w:left="2721" w:right="2008" w:hanging="340"/>
        <w:jc w:val="left"/>
        <w:rPr>
          <w:sz w:val="21"/>
        </w:rPr>
      </w:pPr>
      <w:r>
        <w:rPr>
          <w:spacing w:val="-3"/>
          <w:w w:val="105"/>
          <w:sz w:val="21"/>
        </w:rPr>
        <w:t>consideration</w:t>
      </w:r>
      <w:r>
        <w:rPr>
          <w:spacing w:val="-9"/>
          <w:w w:val="105"/>
          <w:sz w:val="21"/>
        </w:rPr>
        <w:t> </w:t>
      </w:r>
      <w:r>
        <w:rPr>
          <w:w w:val="105"/>
          <w:sz w:val="21"/>
        </w:rPr>
        <w:t>of</w:t>
      </w:r>
      <w:r>
        <w:rPr>
          <w:spacing w:val="-9"/>
          <w:w w:val="105"/>
          <w:sz w:val="21"/>
        </w:rPr>
        <w:t> </w:t>
      </w:r>
      <w:r>
        <w:rPr>
          <w:w w:val="105"/>
          <w:sz w:val="21"/>
        </w:rPr>
        <w:t>the</w:t>
      </w:r>
      <w:r>
        <w:rPr>
          <w:spacing w:val="-9"/>
          <w:w w:val="105"/>
          <w:sz w:val="21"/>
        </w:rPr>
        <w:t> </w:t>
      </w:r>
      <w:r>
        <w:rPr>
          <w:w w:val="105"/>
          <w:sz w:val="21"/>
        </w:rPr>
        <w:t>benefits</w:t>
      </w:r>
      <w:r>
        <w:rPr>
          <w:spacing w:val="-8"/>
          <w:w w:val="105"/>
          <w:sz w:val="21"/>
        </w:rPr>
        <w:t> </w:t>
      </w:r>
      <w:r>
        <w:rPr>
          <w:w w:val="105"/>
          <w:sz w:val="21"/>
        </w:rPr>
        <w:t>provided</w:t>
      </w:r>
      <w:r>
        <w:rPr>
          <w:spacing w:val="-9"/>
          <w:w w:val="105"/>
          <w:sz w:val="21"/>
        </w:rPr>
        <w:t> </w:t>
      </w:r>
      <w:r>
        <w:rPr>
          <w:w w:val="105"/>
          <w:sz w:val="21"/>
        </w:rPr>
        <w:t>by</w:t>
      </w:r>
      <w:r>
        <w:rPr>
          <w:spacing w:val="-9"/>
          <w:w w:val="105"/>
          <w:sz w:val="21"/>
        </w:rPr>
        <w:t> </w:t>
      </w:r>
      <w:r>
        <w:rPr>
          <w:w w:val="105"/>
          <w:sz w:val="21"/>
        </w:rPr>
        <w:t>the</w:t>
      </w:r>
      <w:r>
        <w:rPr>
          <w:spacing w:val="-8"/>
          <w:w w:val="105"/>
          <w:sz w:val="21"/>
        </w:rPr>
        <w:t> </w:t>
      </w:r>
      <w:r>
        <w:rPr>
          <w:w w:val="105"/>
          <w:sz w:val="21"/>
        </w:rPr>
        <w:t>tree</w:t>
      </w:r>
      <w:r>
        <w:rPr>
          <w:spacing w:val="-9"/>
          <w:w w:val="105"/>
          <w:sz w:val="21"/>
        </w:rPr>
        <w:t> </w:t>
      </w:r>
      <w:r>
        <w:rPr>
          <w:spacing w:val="-3"/>
          <w:w w:val="105"/>
          <w:sz w:val="21"/>
        </w:rPr>
        <w:t>to</w:t>
      </w:r>
      <w:r>
        <w:rPr>
          <w:spacing w:val="-9"/>
          <w:w w:val="105"/>
          <w:sz w:val="21"/>
        </w:rPr>
        <w:t> </w:t>
      </w:r>
      <w:r>
        <w:rPr>
          <w:w w:val="105"/>
          <w:sz w:val="21"/>
        </w:rPr>
        <w:t>the</w:t>
      </w:r>
      <w:r>
        <w:rPr>
          <w:spacing w:val="-8"/>
          <w:w w:val="105"/>
          <w:sz w:val="21"/>
        </w:rPr>
        <w:t> </w:t>
      </w:r>
      <w:r>
        <w:rPr>
          <w:w w:val="105"/>
          <w:sz w:val="21"/>
        </w:rPr>
        <w:t>broader</w:t>
      </w:r>
      <w:r>
        <w:rPr>
          <w:spacing w:val="-9"/>
          <w:w w:val="105"/>
          <w:sz w:val="21"/>
        </w:rPr>
        <w:t> </w:t>
      </w:r>
      <w:r>
        <w:rPr>
          <w:spacing w:val="-4"/>
          <w:w w:val="105"/>
          <w:sz w:val="21"/>
        </w:rPr>
        <w:t>community,</w:t>
      </w:r>
      <w:r>
        <w:rPr>
          <w:spacing w:val="-9"/>
          <w:w w:val="105"/>
          <w:sz w:val="21"/>
        </w:rPr>
        <w:t> </w:t>
      </w:r>
      <w:r>
        <w:rPr>
          <w:w w:val="105"/>
          <w:sz w:val="21"/>
        </w:rPr>
        <w:t>and </w:t>
      </w:r>
      <w:r>
        <w:rPr>
          <w:spacing w:val="-3"/>
          <w:w w:val="105"/>
          <w:sz w:val="21"/>
        </w:rPr>
        <w:t>balancing that against any harm </w:t>
      </w:r>
      <w:r>
        <w:rPr>
          <w:w w:val="105"/>
          <w:sz w:val="21"/>
        </w:rPr>
        <w:t>it</w:t>
      </w:r>
      <w:r>
        <w:rPr>
          <w:spacing w:val="46"/>
          <w:w w:val="105"/>
          <w:sz w:val="21"/>
        </w:rPr>
        <w:t> </w:t>
      </w:r>
      <w:r>
        <w:rPr>
          <w:w w:val="105"/>
          <w:sz w:val="21"/>
        </w:rPr>
        <w:t>causes</w:t>
      </w:r>
    </w:p>
    <w:p>
      <w:pPr>
        <w:pStyle w:val="ListParagraph"/>
        <w:numPr>
          <w:ilvl w:val="2"/>
          <w:numId w:val="16"/>
        </w:numPr>
        <w:tabs>
          <w:tab w:pos="2721" w:val="left" w:leader="none"/>
          <w:tab w:pos="2722" w:val="left" w:leader="none"/>
        </w:tabs>
        <w:spacing w:line="242" w:lineRule="auto" w:before="88" w:after="0"/>
        <w:ind w:left="2721" w:right="1830" w:hanging="340"/>
        <w:jc w:val="left"/>
        <w:rPr>
          <w:sz w:val="21"/>
        </w:rPr>
      </w:pPr>
      <w:r>
        <w:rPr>
          <w:sz w:val="21"/>
        </w:rPr>
        <w:t>the ‘first in </w:t>
      </w:r>
      <w:r>
        <w:rPr>
          <w:spacing w:val="-3"/>
          <w:sz w:val="21"/>
        </w:rPr>
        <w:t>time’ </w:t>
      </w:r>
      <w:r>
        <w:rPr>
          <w:sz w:val="21"/>
        </w:rPr>
        <w:t>principle—whether the tree existed </w:t>
      </w:r>
      <w:r>
        <w:rPr>
          <w:spacing w:val="-3"/>
          <w:sz w:val="21"/>
        </w:rPr>
        <w:t>before </w:t>
      </w:r>
      <w:r>
        <w:rPr>
          <w:sz w:val="21"/>
        </w:rPr>
        <w:t>the affected </w:t>
      </w:r>
      <w:r>
        <w:rPr>
          <w:spacing w:val="-3"/>
          <w:sz w:val="21"/>
        </w:rPr>
        <w:t>neighbour </w:t>
      </w:r>
      <w:r>
        <w:rPr>
          <w:sz w:val="21"/>
        </w:rPr>
        <w:t>began</w:t>
      </w:r>
      <w:r>
        <w:rPr>
          <w:spacing w:val="9"/>
          <w:sz w:val="21"/>
        </w:rPr>
        <w:t> </w:t>
      </w:r>
      <w:r>
        <w:rPr>
          <w:spacing w:val="-3"/>
          <w:sz w:val="21"/>
        </w:rPr>
        <w:t>to</w:t>
      </w:r>
      <w:r>
        <w:rPr>
          <w:spacing w:val="9"/>
          <w:sz w:val="21"/>
        </w:rPr>
        <w:t> </w:t>
      </w:r>
      <w:r>
        <w:rPr>
          <w:spacing w:val="-3"/>
          <w:sz w:val="21"/>
        </w:rPr>
        <w:t>occupy</w:t>
      </w:r>
      <w:r>
        <w:rPr>
          <w:spacing w:val="10"/>
          <w:sz w:val="21"/>
        </w:rPr>
        <w:t> </w:t>
      </w:r>
      <w:r>
        <w:rPr>
          <w:sz w:val="21"/>
        </w:rPr>
        <w:t>the</w:t>
      </w:r>
      <w:r>
        <w:rPr>
          <w:spacing w:val="9"/>
          <w:sz w:val="21"/>
        </w:rPr>
        <w:t> </w:t>
      </w:r>
      <w:r>
        <w:rPr>
          <w:spacing w:val="-3"/>
          <w:sz w:val="21"/>
        </w:rPr>
        <w:t>land</w:t>
      </w:r>
      <w:r>
        <w:rPr>
          <w:spacing w:val="10"/>
          <w:sz w:val="21"/>
        </w:rPr>
        <w:t> </w:t>
      </w:r>
      <w:r>
        <w:rPr>
          <w:sz w:val="21"/>
        </w:rPr>
        <w:t>affected</w:t>
      </w:r>
      <w:r>
        <w:rPr>
          <w:spacing w:val="9"/>
          <w:sz w:val="21"/>
        </w:rPr>
        <w:t> </w:t>
      </w:r>
      <w:r>
        <w:rPr>
          <w:sz w:val="21"/>
        </w:rPr>
        <w:t>by</w:t>
      </w:r>
      <w:r>
        <w:rPr>
          <w:spacing w:val="10"/>
          <w:sz w:val="21"/>
        </w:rPr>
        <w:t> </w:t>
      </w:r>
      <w:r>
        <w:rPr>
          <w:sz w:val="21"/>
        </w:rPr>
        <w:t>the</w:t>
      </w:r>
      <w:r>
        <w:rPr>
          <w:spacing w:val="9"/>
          <w:sz w:val="21"/>
        </w:rPr>
        <w:t> </w:t>
      </w:r>
      <w:r>
        <w:rPr>
          <w:sz w:val="21"/>
        </w:rPr>
        <w:t>tree</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z w:val="21"/>
        </w:rPr>
        <w:t>past</w:t>
      </w:r>
      <w:r>
        <w:rPr>
          <w:spacing w:val="9"/>
          <w:sz w:val="21"/>
        </w:rPr>
        <w:t> </w:t>
      </w:r>
      <w:r>
        <w:rPr>
          <w:sz w:val="21"/>
        </w:rPr>
        <w:t>actions</w:t>
      </w:r>
      <w:r>
        <w:rPr>
          <w:spacing w:val="10"/>
          <w:sz w:val="21"/>
        </w:rPr>
        <w:t> </w:t>
      </w:r>
      <w:r>
        <w:rPr>
          <w:sz w:val="21"/>
        </w:rPr>
        <w:t>of</w:t>
      </w:r>
      <w:r>
        <w:rPr>
          <w:spacing w:val="10"/>
          <w:sz w:val="21"/>
        </w:rPr>
        <w:t> </w:t>
      </w:r>
      <w:r>
        <w:rPr>
          <w:sz w:val="21"/>
        </w:rPr>
        <w:t>the</w:t>
      </w:r>
      <w:r>
        <w:rPr>
          <w:spacing w:val="10"/>
          <w:sz w:val="21"/>
        </w:rPr>
        <w:t> </w:t>
      </w:r>
      <w:r>
        <w:rPr>
          <w:sz w:val="21"/>
        </w:rPr>
        <w:t>parties</w:t>
      </w:r>
      <w:r>
        <w:rPr>
          <w:spacing w:val="10"/>
          <w:sz w:val="21"/>
        </w:rPr>
        <w:t> </w:t>
      </w:r>
      <w:r>
        <w:rPr>
          <w:spacing w:val="-3"/>
          <w:sz w:val="21"/>
        </w:rPr>
        <w:t>that</w:t>
      </w:r>
      <w:r>
        <w:rPr>
          <w:spacing w:val="10"/>
          <w:sz w:val="21"/>
        </w:rPr>
        <w:t> </w:t>
      </w:r>
      <w:r>
        <w:rPr>
          <w:spacing w:val="-3"/>
          <w:sz w:val="21"/>
        </w:rPr>
        <w:t>may</w:t>
      </w:r>
      <w:r>
        <w:rPr>
          <w:spacing w:val="9"/>
          <w:sz w:val="21"/>
        </w:rPr>
        <w:t> </w:t>
      </w:r>
      <w:r>
        <w:rPr>
          <w:spacing w:val="-3"/>
          <w:sz w:val="21"/>
        </w:rPr>
        <w:t>have</w:t>
      </w:r>
      <w:r>
        <w:rPr>
          <w:spacing w:val="10"/>
          <w:sz w:val="21"/>
        </w:rPr>
        <w:t> </w:t>
      </w:r>
      <w:r>
        <w:rPr>
          <w:spacing w:val="-3"/>
          <w:sz w:val="21"/>
        </w:rPr>
        <w:t>contributed</w:t>
      </w:r>
      <w:r>
        <w:rPr>
          <w:spacing w:val="10"/>
          <w:sz w:val="21"/>
        </w:rPr>
        <w:t> </w:t>
      </w:r>
      <w:r>
        <w:rPr>
          <w:spacing w:val="-3"/>
          <w:sz w:val="21"/>
        </w:rPr>
        <w:t>to</w:t>
      </w:r>
      <w:r>
        <w:rPr>
          <w:spacing w:val="10"/>
          <w:sz w:val="21"/>
        </w:rPr>
        <w:t> </w:t>
      </w:r>
      <w:r>
        <w:rPr>
          <w:sz w:val="21"/>
        </w:rPr>
        <w:t>the</w:t>
      </w:r>
      <w:r>
        <w:rPr>
          <w:spacing w:val="10"/>
          <w:sz w:val="21"/>
        </w:rPr>
        <w:t> </w:t>
      </w:r>
      <w:r>
        <w:rPr>
          <w:spacing w:val="-3"/>
          <w:sz w:val="21"/>
        </w:rPr>
        <w:t>dispute</w:t>
      </w:r>
    </w:p>
    <w:p>
      <w:pPr>
        <w:pStyle w:val="ListParagraph"/>
        <w:numPr>
          <w:ilvl w:val="1"/>
          <w:numId w:val="16"/>
        </w:numPr>
        <w:tabs>
          <w:tab w:pos="2381" w:val="left" w:leader="none"/>
          <w:tab w:pos="2382" w:val="left" w:leader="none"/>
        </w:tabs>
        <w:spacing w:line="240" w:lineRule="auto" w:before="88" w:after="0"/>
        <w:ind w:left="2381" w:right="0" w:hanging="794"/>
        <w:jc w:val="left"/>
        <w:rPr>
          <w:sz w:val="21"/>
        </w:rPr>
      </w:pPr>
      <w:r>
        <w:rPr>
          <w:sz w:val="21"/>
        </w:rPr>
        <w:t>These</w:t>
      </w:r>
      <w:r>
        <w:rPr>
          <w:spacing w:val="9"/>
          <w:sz w:val="21"/>
        </w:rPr>
        <w:t> </w:t>
      </w:r>
      <w:r>
        <w:rPr>
          <w:sz w:val="21"/>
        </w:rPr>
        <w:t>themes</w:t>
      </w:r>
      <w:r>
        <w:rPr>
          <w:spacing w:val="9"/>
          <w:sz w:val="21"/>
        </w:rPr>
        <w:t> </w:t>
      </w:r>
      <w:r>
        <w:rPr>
          <w:spacing w:val="-3"/>
          <w:sz w:val="21"/>
        </w:rPr>
        <w:t>are</w:t>
      </w:r>
      <w:r>
        <w:rPr>
          <w:spacing w:val="10"/>
          <w:sz w:val="21"/>
        </w:rPr>
        <w:t> </w:t>
      </w:r>
      <w:r>
        <w:rPr>
          <w:sz w:val="21"/>
        </w:rPr>
        <w:t>discussed</w:t>
      </w:r>
      <w:r>
        <w:rPr>
          <w:spacing w:val="9"/>
          <w:sz w:val="21"/>
        </w:rPr>
        <w:t> </w:t>
      </w:r>
      <w:r>
        <w:rPr>
          <w:sz w:val="21"/>
        </w:rPr>
        <w:t>in</w:t>
      </w:r>
      <w:r>
        <w:rPr>
          <w:spacing w:val="10"/>
          <w:sz w:val="21"/>
        </w:rPr>
        <w:t> </w:t>
      </w:r>
      <w:r>
        <w:rPr>
          <w:sz w:val="21"/>
        </w:rPr>
        <w:t>the</w:t>
      </w:r>
      <w:r>
        <w:rPr>
          <w:spacing w:val="9"/>
          <w:sz w:val="21"/>
        </w:rPr>
        <w:t> </w:t>
      </w:r>
      <w:r>
        <w:rPr>
          <w:spacing w:val="-3"/>
          <w:sz w:val="21"/>
        </w:rPr>
        <w:t>following</w:t>
      </w:r>
      <w:r>
        <w:rPr>
          <w:spacing w:val="10"/>
          <w:sz w:val="21"/>
        </w:rPr>
        <w:t> </w:t>
      </w:r>
      <w:r>
        <w:rPr>
          <w:spacing w:val="-3"/>
          <w:sz w:val="21"/>
        </w:rPr>
        <w:t>paragraphs.</w:t>
      </w:r>
    </w:p>
    <w:p>
      <w:pPr>
        <w:pStyle w:val="BodyText"/>
        <w:spacing w:before="4"/>
        <w:rPr>
          <w:sz w:val="20"/>
        </w:rPr>
      </w:pPr>
    </w:p>
    <w:p>
      <w:pPr>
        <w:pStyle w:val="Heading5"/>
        <w:spacing w:before="1"/>
      </w:pPr>
      <w:r>
        <w:rPr>
          <w:w w:val="115"/>
        </w:rPr>
        <w:t>Protecting the community from harm or damage</w:t>
      </w:r>
    </w:p>
    <w:p>
      <w:pPr>
        <w:pStyle w:val="ListParagraph"/>
        <w:numPr>
          <w:ilvl w:val="1"/>
          <w:numId w:val="16"/>
        </w:numPr>
        <w:tabs>
          <w:tab w:pos="2380" w:val="left" w:leader="none"/>
          <w:tab w:pos="2381" w:val="left" w:leader="none"/>
        </w:tabs>
        <w:spacing w:line="242" w:lineRule="auto" w:before="137" w:after="0"/>
        <w:ind w:left="2381" w:right="2067" w:hanging="794"/>
        <w:jc w:val="left"/>
        <w:rPr>
          <w:sz w:val="21"/>
        </w:rPr>
      </w:pPr>
      <w:r>
        <w:rPr>
          <w:w w:val="105"/>
          <w:sz w:val="21"/>
        </w:rPr>
        <w:t>Some</w:t>
      </w:r>
      <w:r>
        <w:rPr>
          <w:spacing w:val="-15"/>
          <w:w w:val="105"/>
          <w:sz w:val="21"/>
        </w:rPr>
        <w:t> </w:t>
      </w:r>
      <w:r>
        <w:rPr>
          <w:w w:val="105"/>
          <w:sz w:val="21"/>
        </w:rPr>
        <w:t>community</w:t>
      </w:r>
      <w:r>
        <w:rPr>
          <w:spacing w:val="-15"/>
          <w:w w:val="105"/>
          <w:sz w:val="21"/>
        </w:rPr>
        <w:t> </w:t>
      </w:r>
      <w:r>
        <w:rPr>
          <w:w w:val="105"/>
          <w:sz w:val="21"/>
        </w:rPr>
        <w:t>members</w:t>
      </w:r>
      <w:r>
        <w:rPr>
          <w:spacing w:val="-14"/>
          <w:w w:val="105"/>
          <w:sz w:val="21"/>
        </w:rPr>
        <w:t> </w:t>
      </w:r>
      <w:r>
        <w:rPr>
          <w:w w:val="105"/>
          <w:sz w:val="21"/>
        </w:rPr>
        <w:t>emphasised</w:t>
      </w:r>
      <w:r>
        <w:rPr>
          <w:spacing w:val="-15"/>
          <w:w w:val="105"/>
          <w:sz w:val="21"/>
        </w:rPr>
        <w:t> </w:t>
      </w:r>
      <w:r>
        <w:rPr>
          <w:spacing w:val="-3"/>
          <w:w w:val="105"/>
          <w:sz w:val="21"/>
        </w:rPr>
        <w:t>that</w:t>
      </w:r>
      <w:r>
        <w:rPr>
          <w:spacing w:val="-15"/>
          <w:w w:val="105"/>
          <w:sz w:val="21"/>
        </w:rPr>
        <w:t> </w:t>
      </w:r>
      <w:r>
        <w:rPr>
          <w:w w:val="105"/>
          <w:sz w:val="21"/>
        </w:rPr>
        <w:t>physical</w:t>
      </w:r>
      <w:r>
        <w:rPr>
          <w:spacing w:val="-14"/>
          <w:w w:val="105"/>
          <w:sz w:val="21"/>
        </w:rPr>
        <w:t> </w:t>
      </w:r>
      <w:r>
        <w:rPr>
          <w:w w:val="105"/>
          <w:sz w:val="21"/>
        </w:rPr>
        <w:t>well-being</w:t>
      </w:r>
      <w:r>
        <w:rPr>
          <w:spacing w:val="-15"/>
          <w:w w:val="105"/>
          <w:sz w:val="21"/>
        </w:rPr>
        <w:t> </w:t>
      </w:r>
      <w:r>
        <w:rPr>
          <w:w w:val="105"/>
          <w:sz w:val="21"/>
        </w:rPr>
        <w:t>should</w:t>
      </w:r>
      <w:r>
        <w:rPr>
          <w:spacing w:val="-15"/>
          <w:w w:val="105"/>
          <w:sz w:val="21"/>
        </w:rPr>
        <w:t> </w:t>
      </w:r>
      <w:r>
        <w:rPr>
          <w:w w:val="105"/>
          <w:sz w:val="21"/>
        </w:rPr>
        <w:t>be</w:t>
      </w:r>
      <w:r>
        <w:rPr>
          <w:spacing w:val="-14"/>
          <w:w w:val="105"/>
          <w:sz w:val="21"/>
        </w:rPr>
        <w:t> </w:t>
      </w:r>
      <w:r>
        <w:rPr>
          <w:w w:val="105"/>
          <w:sz w:val="21"/>
        </w:rPr>
        <w:t>a</w:t>
      </w:r>
      <w:r>
        <w:rPr>
          <w:spacing w:val="-15"/>
          <w:w w:val="105"/>
          <w:sz w:val="21"/>
        </w:rPr>
        <w:t> </w:t>
      </w:r>
      <w:r>
        <w:rPr>
          <w:w w:val="105"/>
          <w:sz w:val="21"/>
        </w:rPr>
        <w:t>primary </w:t>
      </w:r>
      <w:r>
        <w:rPr>
          <w:spacing w:val="-3"/>
          <w:w w:val="105"/>
          <w:sz w:val="21"/>
        </w:rPr>
        <w:t>consideration </w:t>
      </w:r>
      <w:r>
        <w:rPr>
          <w:w w:val="105"/>
          <w:sz w:val="21"/>
        </w:rPr>
        <w:t>under the new Act.</w:t>
      </w:r>
      <w:r>
        <w:rPr>
          <w:w w:val="105"/>
          <w:position w:val="7"/>
          <w:sz w:val="12"/>
        </w:rPr>
        <w:t>60 </w:t>
      </w:r>
      <w:r>
        <w:rPr>
          <w:w w:val="105"/>
          <w:sz w:val="21"/>
        </w:rPr>
        <w:t>This view was supported by Baw Baw </w:t>
      </w:r>
      <w:r>
        <w:rPr>
          <w:spacing w:val="-3"/>
          <w:w w:val="105"/>
          <w:sz w:val="21"/>
        </w:rPr>
        <w:t>Shire </w:t>
      </w:r>
      <w:r>
        <w:rPr>
          <w:spacing w:val="-5"/>
          <w:w w:val="105"/>
          <w:sz w:val="21"/>
        </w:rPr>
        <w:t>Council.</w:t>
      </w:r>
      <w:r>
        <w:rPr>
          <w:spacing w:val="-5"/>
          <w:w w:val="105"/>
          <w:position w:val="7"/>
          <w:sz w:val="12"/>
        </w:rPr>
        <w:t>61</w:t>
      </w:r>
    </w:p>
    <w:p>
      <w:pPr>
        <w:pStyle w:val="ListParagraph"/>
        <w:numPr>
          <w:ilvl w:val="1"/>
          <w:numId w:val="16"/>
        </w:numPr>
        <w:tabs>
          <w:tab w:pos="2381" w:val="left" w:leader="none"/>
          <w:tab w:pos="2382" w:val="left" w:leader="none"/>
        </w:tabs>
        <w:spacing w:line="242" w:lineRule="auto" w:before="123" w:after="0"/>
        <w:ind w:left="2381" w:right="2028" w:hanging="794"/>
        <w:jc w:val="left"/>
        <w:rPr>
          <w:sz w:val="21"/>
        </w:rPr>
      </w:pPr>
      <w:r>
        <w:rPr>
          <w:w w:val="105"/>
          <w:sz w:val="21"/>
        </w:rPr>
        <w:t>The </w:t>
      </w:r>
      <w:r>
        <w:rPr>
          <w:spacing w:val="-3"/>
          <w:w w:val="105"/>
          <w:sz w:val="21"/>
        </w:rPr>
        <w:t>Commission </w:t>
      </w:r>
      <w:r>
        <w:rPr>
          <w:w w:val="105"/>
          <w:sz w:val="21"/>
        </w:rPr>
        <w:t>received a </w:t>
      </w:r>
      <w:r>
        <w:rPr>
          <w:spacing w:val="-3"/>
          <w:w w:val="105"/>
          <w:sz w:val="21"/>
        </w:rPr>
        <w:t>handful </w:t>
      </w:r>
      <w:r>
        <w:rPr>
          <w:w w:val="105"/>
          <w:sz w:val="21"/>
        </w:rPr>
        <w:t>of responses about whether the decision </w:t>
      </w:r>
      <w:r>
        <w:rPr>
          <w:spacing w:val="-4"/>
          <w:w w:val="105"/>
          <w:sz w:val="21"/>
        </w:rPr>
        <w:t>maker </w:t>
      </w:r>
      <w:r>
        <w:rPr>
          <w:w w:val="105"/>
          <w:sz w:val="21"/>
        </w:rPr>
        <w:t>should</w:t>
      </w:r>
      <w:r>
        <w:rPr>
          <w:spacing w:val="-9"/>
          <w:w w:val="105"/>
          <w:sz w:val="21"/>
        </w:rPr>
        <w:t> </w:t>
      </w:r>
      <w:r>
        <w:rPr>
          <w:w w:val="105"/>
          <w:sz w:val="21"/>
        </w:rPr>
        <w:t>give</w:t>
      </w:r>
      <w:r>
        <w:rPr>
          <w:spacing w:val="-8"/>
          <w:w w:val="105"/>
          <w:sz w:val="21"/>
        </w:rPr>
        <w:t> </w:t>
      </w:r>
      <w:r>
        <w:rPr>
          <w:spacing w:val="-3"/>
          <w:w w:val="105"/>
          <w:sz w:val="21"/>
        </w:rPr>
        <w:t>greater</w:t>
      </w:r>
      <w:r>
        <w:rPr>
          <w:spacing w:val="-8"/>
          <w:w w:val="105"/>
          <w:sz w:val="21"/>
        </w:rPr>
        <w:t> </w:t>
      </w:r>
      <w:r>
        <w:rPr>
          <w:spacing w:val="-3"/>
          <w:w w:val="105"/>
          <w:sz w:val="21"/>
        </w:rPr>
        <w:t>weight</w:t>
      </w:r>
      <w:r>
        <w:rPr>
          <w:spacing w:val="-8"/>
          <w:w w:val="105"/>
          <w:sz w:val="21"/>
        </w:rPr>
        <w:t> </w:t>
      </w:r>
      <w:r>
        <w:rPr>
          <w:spacing w:val="-3"/>
          <w:w w:val="105"/>
          <w:sz w:val="21"/>
        </w:rPr>
        <w:t>to</w:t>
      </w:r>
      <w:r>
        <w:rPr>
          <w:spacing w:val="-8"/>
          <w:w w:val="105"/>
          <w:sz w:val="21"/>
        </w:rPr>
        <w:t> </w:t>
      </w:r>
      <w:r>
        <w:rPr>
          <w:w w:val="105"/>
          <w:sz w:val="21"/>
        </w:rPr>
        <w:t>particular</w:t>
      </w:r>
      <w:r>
        <w:rPr>
          <w:spacing w:val="-8"/>
          <w:w w:val="105"/>
          <w:sz w:val="21"/>
        </w:rPr>
        <w:t> </w:t>
      </w:r>
      <w:r>
        <w:rPr>
          <w:w w:val="105"/>
          <w:sz w:val="21"/>
        </w:rPr>
        <w:t>decision-making</w:t>
      </w:r>
      <w:r>
        <w:rPr>
          <w:spacing w:val="-8"/>
          <w:w w:val="105"/>
          <w:sz w:val="21"/>
        </w:rPr>
        <w:t> </w:t>
      </w:r>
      <w:r>
        <w:rPr>
          <w:spacing w:val="-3"/>
          <w:w w:val="105"/>
          <w:sz w:val="21"/>
        </w:rPr>
        <w:t>principles.</w:t>
      </w:r>
      <w:r>
        <w:rPr>
          <w:spacing w:val="-8"/>
          <w:w w:val="105"/>
          <w:sz w:val="21"/>
        </w:rPr>
        <w:t> </w:t>
      </w:r>
      <w:r>
        <w:rPr>
          <w:w w:val="105"/>
          <w:sz w:val="21"/>
        </w:rPr>
        <w:t>Arborist</w:t>
      </w:r>
      <w:r>
        <w:rPr>
          <w:spacing w:val="-8"/>
          <w:w w:val="105"/>
          <w:sz w:val="21"/>
        </w:rPr>
        <w:t> </w:t>
      </w:r>
      <w:r>
        <w:rPr>
          <w:w w:val="105"/>
          <w:sz w:val="21"/>
        </w:rPr>
        <w:t>Dr</w:t>
      </w:r>
      <w:r>
        <w:rPr>
          <w:spacing w:val="-8"/>
          <w:w w:val="105"/>
          <w:sz w:val="21"/>
        </w:rPr>
        <w:t> </w:t>
      </w:r>
      <w:r>
        <w:rPr>
          <w:w w:val="105"/>
          <w:sz w:val="21"/>
        </w:rPr>
        <w:t>Karen </w:t>
      </w:r>
      <w:r>
        <w:rPr>
          <w:spacing w:val="-3"/>
          <w:w w:val="105"/>
          <w:sz w:val="21"/>
        </w:rPr>
        <w:t>Smith</w:t>
      </w:r>
      <w:r>
        <w:rPr>
          <w:spacing w:val="5"/>
          <w:w w:val="105"/>
          <w:sz w:val="21"/>
        </w:rPr>
        <w:t> </w:t>
      </w:r>
      <w:r>
        <w:rPr>
          <w:w w:val="105"/>
          <w:sz w:val="21"/>
        </w:rPr>
        <w:t>stated:</w:t>
      </w:r>
    </w:p>
    <w:p>
      <w:pPr>
        <w:spacing w:line="254" w:lineRule="auto" w:before="133"/>
        <w:ind w:left="2834" w:right="1810" w:firstLine="0"/>
        <w:jc w:val="left"/>
        <w:rPr>
          <w:sz w:val="11"/>
        </w:rPr>
      </w:pPr>
      <w:r>
        <w:rPr>
          <w:sz w:val="20"/>
        </w:rPr>
        <w:t>The highest </w:t>
      </w:r>
      <w:r>
        <w:rPr>
          <w:spacing w:val="-2"/>
          <w:sz w:val="20"/>
        </w:rPr>
        <w:t>weight  </w:t>
      </w:r>
      <w:r>
        <w:rPr>
          <w:sz w:val="20"/>
        </w:rPr>
        <w:t>should be always determined based on a risk assessment. It is no    good saying heritage or conservation value should </w:t>
      </w:r>
      <w:r>
        <w:rPr>
          <w:spacing w:val="-3"/>
          <w:sz w:val="20"/>
        </w:rPr>
        <w:t>take </w:t>
      </w:r>
      <w:r>
        <w:rPr>
          <w:sz w:val="20"/>
        </w:rPr>
        <w:t>precedence, if the risk cannot be mitigated or</w:t>
      </w:r>
      <w:r>
        <w:rPr>
          <w:spacing w:val="17"/>
          <w:sz w:val="20"/>
        </w:rPr>
        <w:t> </w:t>
      </w:r>
      <w:r>
        <w:rPr>
          <w:sz w:val="20"/>
        </w:rPr>
        <w:t>managed.</w:t>
      </w:r>
      <w:r>
        <w:rPr>
          <w:position w:val="7"/>
          <w:sz w:val="11"/>
        </w:rPr>
        <w:t>62</w:t>
      </w:r>
    </w:p>
    <w:p>
      <w:pPr>
        <w:pStyle w:val="ListParagraph"/>
        <w:numPr>
          <w:ilvl w:val="1"/>
          <w:numId w:val="16"/>
        </w:numPr>
        <w:tabs>
          <w:tab w:pos="2380" w:val="left" w:leader="none"/>
          <w:tab w:pos="2381" w:val="left" w:leader="none"/>
        </w:tabs>
        <w:spacing w:line="242" w:lineRule="auto" w:before="114" w:after="0"/>
        <w:ind w:left="2381" w:right="2227" w:hanging="794"/>
        <w:jc w:val="left"/>
        <w:rPr>
          <w:sz w:val="21"/>
        </w:rPr>
      </w:pPr>
      <w:r>
        <w:rPr>
          <w:spacing w:val="-3"/>
          <w:w w:val="105"/>
          <w:sz w:val="21"/>
        </w:rPr>
        <w:t>ENSPEC noted that ‘management </w:t>
      </w:r>
      <w:r>
        <w:rPr>
          <w:w w:val="105"/>
          <w:sz w:val="21"/>
        </w:rPr>
        <w:t>of </w:t>
      </w:r>
      <w:r>
        <w:rPr>
          <w:spacing w:val="-3"/>
          <w:w w:val="105"/>
          <w:sz w:val="21"/>
        </w:rPr>
        <w:t>unreasonable </w:t>
      </w:r>
      <w:r>
        <w:rPr>
          <w:w w:val="105"/>
          <w:sz w:val="21"/>
        </w:rPr>
        <w:t>risk is appropriate; </w:t>
      </w:r>
      <w:r>
        <w:rPr>
          <w:spacing w:val="-4"/>
          <w:w w:val="105"/>
          <w:sz w:val="21"/>
        </w:rPr>
        <w:t>however, </w:t>
      </w:r>
      <w:r>
        <w:rPr>
          <w:w w:val="105"/>
          <w:sz w:val="21"/>
        </w:rPr>
        <w:t>the </w:t>
      </w:r>
      <w:r>
        <w:rPr>
          <w:spacing w:val="-3"/>
          <w:w w:val="105"/>
          <w:sz w:val="21"/>
        </w:rPr>
        <w:t>elimination </w:t>
      </w:r>
      <w:r>
        <w:rPr>
          <w:w w:val="105"/>
          <w:sz w:val="21"/>
        </w:rPr>
        <w:t>of </w:t>
      </w:r>
      <w:r>
        <w:rPr>
          <w:spacing w:val="-3"/>
          <w:w w:val="105"/>
          <w:sz w:val="21"/>
        </w:rPr>
        <w:t>all </w:t>
      </w:r>
      <w:r>
        <w:rPr>
          <w:w w:val="105"/>
          <w:sz w:val="21"/>
        </w:rPr>
        <w:t>risk </w:t>
      </w:r>
      <w:r>
        <w:rPr>
          <w:spacing w:val="-3"/>
          <w:w w:val="105"/>
          <w:sz w:val="21"/>
        </w:rPr>
        <w:t>from any cause, including </w:t>
      </w:r>
      <w:r>
        <w:rPr>
          <w:w w:val="105"/>
          <w:sz w:val="21"/>
        </w:rPr>
        <w:t>trees, is </w:t>
      </w:r>
      <w:r>
        <w:rPr>
          <w:spacing w:val="-2"/>
          <w:w w:val="105"/>
          <w:sz w:val="21"/>
        </w:rPr>
        <w:t>not</w:t>
      </w:r>
      <w:r>
        <w:rPr>
          <w:spacing w:val="45"/>
          <w:w w:val="105"/>
          <w:sz w:val="21"/>
        </w:rPr>
        <w:t> </w:t>
      </w:r>
      <w:r>
        <w:rPr>
          <w:spacing w:val="-3"/>
          <w:w w:val="105"/>
          <w:sz w:val="21"/>
        </w:rPr>
        <w:t>practical’.</w:t>
      </w:r>
      <w:r>
        <w:rPr>
          <w:spacing w:val="-3"/>
          <w:w w:val="105"/>
          <w:position w:val="7"/>
          <w:sz w:val="12"/>
        </w:rPr>
        <w:t>63</w:t>
      </w:r>
    </w:p>
    <w:p>
      <w:pPr>
        <w:pStyle w:val="BodyText"/>
        <w:rPr>
          <w:sz w:val="20"/>
        </w:rPr>
      </w:pPr>
    </w:p>
    <w:p>
      <w:pPr>
        <w:pStyle w:val="BodyText"/>
        <w:spacing w:before="3"/>
        <w:rPr>
          <w:sz w:val="18"/>
        </w:rPr>
      </w:pPr>
      <w:r>
        <w:rPr/>
        <w:pict>
          <v:line style="position:absolute;mso-position-horizontal-relative:page;mso-position-vertical-relative:paragraph;z-index:7712;mso-wrap-distance-left:0;mso-wrap-distance-right:0" from="79.370102pt,13.602194pt" to="515.905102pt,13.60219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29"/>
        </w:numPr>
        <w:tabs>
          <w:tab w:pos="2381" w:val="left" w:leader="none"/>
          <w:tab w:pos="2382" w:val="left" w:leader="none"/>
        </w:tabs>
        <w:spacing w:line="240" w:lineRule="auto" w:before="48" w:after="0"/>
        <w:ind w:left="2381" w:right="0" w:hanging="794"/>
        <w:jc w:val="left"/>
        <w:rPr>
          <w:sz w:val="13"/>
        </w:rPr>
      </w:pPr>
      <w:r>
        <w:rPr>
          <w:i/>
          <w:w w:val="105"/>
          <w:sz w:val="13"/>
        </w:rPr>
        <w:t>Neighbourhood Disputes About Plants Act </w:t>
      </w:r>
      <w:r>
        <w:rPr>
          <w:i/>
          <w:spacing w:val="-4"/>
          <w:w w:val="105"/>
          <w:sz w:val="13"/>
        </w:rPr>
        <w:t>2017 </w:t>
      </w:r>
      <w:r>
        <w:rPr>
          <w:w w:val="105"/>
          <w:sz w:val="13"/>
        </w:rPr>
        <w:t>(Tas) s</w:t>
      </w:r>
      <w:r>
        <w:rPr>
          <w:spacing w:val="16"/>
          <w:w w:val="105"/>
          <w:sz w:val="13"/>
        </w:rPr>
        <w:t> </w:t>
      </w:r>
      <w:r>
        <w:rPr>
          <w:spacing w:val="2"/>
          <w:w w:val="105"/>
          <w:sz w:val="13"/>
        </w:rPr>
        <w:t>31(2)(a).</w:t>
      </w:r>
    </w:p>
    <w:p>
      <w:pPr>
        <w:pStyle w:val="ListParagraph"/>
        <w:numPr>
          <w:ilvl w:val="0"/>
          <w:numId w:val="129"/>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z w:val="13"/>
        </w:rPr>
        <w:t>32.</w:t>
      </w:r>
    </w:p>
    <w:p>
      <w:pPr>
        <w:pStyle w:val="ListParagraph"/>
        <w:numPr>
          <w:ilvl w:val="0"/>
          <w:numId w:val="129"/>
        </w:numPr>
        <w:tabs>
          <w:tab w:pos="2381" w:val="left" w:leader="none"/>
          <w:tab w:pos="2382" w:val="left" w:leader="none"/>
        </w:tabs>
        <w:spacing w:line="240" w:lineRule="auto" w:before="2" w:after="0"/>
        <w:ind w:left="2381" w:right="0" w:hanging="794"/>
        <w:jc w:val="left"/>
        <w:rPr>
          <w:sz w:val="13"/>
        </w:rPr>
      </w:pPr>
      <w:r>
        <w:rPr>
          <w:sz w:val="13"/>
        </w:rPr>
        <w:t>Ibid s</w:t>
      </w:r>
      <w:r>
        <w:rPr>
          <w:spacing w:val="12"/>
          <w:sz w:val="13"/>
        </w:rPr>
        <w:t> </w:t>
      </w:r>
      <w:r>
        <w:rPr>
          <w:spacing w:val="2"/>
          <w:sz w:val="13"/>
        </w:rPr>
        <w:t>32(d).</w:t>
      </w:r>
    </w:p>
    <w:p>
      <w:pPr>
        <w:pStyle w:val="ListParagraph"/>
        <w:numPr>
          <w:ilvl w:val="0"/>
          <w:numId w:val="129"/>
        </w:numPr>
        <w:tabs>
          <w:tab w:pos="2381" w:val="left" w:leader="none"/>
          <w:tab w:pos="2382" w:val="left" w:leader="none"/>
        </w:tabs>
        <w:spacing w:line="240" w:lineRule="auto" w:before="1" w:after="0"/>
        <w:ind w:left="2381" w:right="0" w:hanging="794"/>
        <w:jc w:val="left"/>
        <w:rPr>
          <w:sz w:val="13"/>
        </w:rPr>
      </w:pPr>
      <w:r>
        <w:rPr>
          <w:w w:val="105"/>
          <w:sz w:val="13"/>
        </w:rPr>
        <w:t>Submissions 4 </w:t>
      </w:r>
      <w:r>
        <w:rPr>
          <w:spacing w:val="2"/>
          <w:w w:val="105"/>
          <w:sz w:val="13"/>
        </w:rPr>
        <w:t>(Name </w:t>
      </w:r>
      <w:r>
        <w:rPr>
          <w:w w:val="105"/>
          <w:sz w:val="13"/>
        </w:rPr>
        <w:t>withheld), 5 </w:t>
      </w:r>
      <w:r>
        <w:rPr>
          <w:spacing w:val="2"/>
          <w:w w:val="105"/>
          <w:sz w:val="13"/>
        </w:rPr>
        <w:t>(Name </w:t>
      </w:r>
      <w:r>
        <w:rPr>
          <w:w w:val="105"/>
          <w:sz w:val="13"/>
        </w:rPr>
        <w:t>withheld), 7 </w:t>
      </w:r>
      <w:r>
        <w:rPr>
          <w:spacing w:val="2"/>
          <w:w w:val="105"/>
          <w:sz w:val="13"/>
        </w:rPr>
        <w:t>(Ben </w:t>
      </w:r>
      <w:r>
        <w:rPr>
          <w:w w:val="105"/>
          <w:sz w:val="13"/>
        </w:rPr>
        <w:t>Kenyon), 9 </w:t>
      </w:r>
      <w:r>
        <w:rPr>
          <w:spacing w:val="3"/>
          <w:w w:val="105"/>
          <w:sz w:val="13"/>
        </w:rPr>
        <w:t>(Dr </w:t>
      </w:r>
      <w:r>
        <w:rPr>
          <w:w w:val="105"/>
          <w:sz w:val="13"/>
        </w:rPr>
        <w:t>Karen Smith), </w:t>
      </w:r>
      <w:r>
        <w:rPr>
          <w:spacing w:val="-4"/>
          <w:w w:val="105"/>
          <w:sz w:val="13"/>
        </w:rPr>
        <w:t>12 </w:t>
      </w:r>
      <w:r>
        <w:rPr>
          <w:spacing w:val="3"/>
          <w:w w:val="105"/>
          <w:sz w:val="13"/>
        </w:rPr>
        <w:t>(Dr </w:t>
      </w:r>
      <w:r>
        <w:rPr>
          <w:w w:val="105"/>
          <w:sz w:val="13"/>
        </w:rPr>
        <w:t>Gregory Moore OAM),17 </w:t>
      </w:r>
      <w:r>
        <w:rPr>
          <w:spacing w:val="2"/>
          <w:w w:val="105"/>
          <w:sz w:val="13"/>
        </w:rPr>
        <w:t>(Name </w:t>
      </w:r>
      <w:r>
        <w:rPr>
          <w:w w:val="105"/>
          <w:sz w:val="13"/>
        </w:rPr>
        <w:t>withheld),</w:t>
      </w:r>
      <w:r>
        <w:rPr>
          <w:spacing w:val="30"/>
          <w:w w:val="105"/>
          <w:sz w:val="13"/>
        </w:rPr>
        <w:t> </w:t>
      </w:r>
      <w:r>
        <w:rPr>
          <w:w w:val="105"/>
          <w:sz w:val="13"/>
        </w:rPr>
        <w:t>18 (ENSPEC), </w:t>
      </w:r>
      <w:r>
        <w:rPr>
          <w:spacing w:val="-3"/>
          <w:w w:val="105"/>
          <w:sz w:val="13"/>
        </w:rPr>
        <w:t>19 </w:t>
      </w:r>
      <w:r>
        <w:rPr>
          <w:spacing w:val="2"/>
          <w:w w:val="105"/>
          <w:sz w:val="13"/>
        </w:rPr>
        <w:t>(Name </w:t>
      </w:r>
      <w:r>
        <w:rPr>
          <w:w w:val="105"/>
          <w:sz w:val="13"/>
        </w:rPr>
        <w:t>Withheld), 20 </w:t>
      </w:r>
      <w:r>
        <w:rPr>
          <w:spacing w:val="2"/>
          <w:w w:val="105"/>
          <w:sz w:val="13"/>
        </w:rPr>
        <w:t>(Name </w:t>
      </w:r>
      <w:r>
        <w:rPr>
          <w:w w:val="105"/>
          <w:sz w:val="13"/>
        </w:rPr>
        <w:t>Withheld), 22 </w:t>
      </w:r>
      <w:r>
        <w:rPr>
          <w:spacing w:val="2"/>
          <w:w w:val="105"/>
          <w:sz w:val="13"/>
        </w:rPr>
        <w:t>(Name </w:t>
      </w:r>
      <w:r>
        <w:rPr>
          <w:w w:val="105"/>
          <w:sz w:val="13"/>
        </w:rPr>
        <w:t>withheld), 25 (City of Boroondara), 27 </w:t>
      </w:r>
      <w:r>
        <w:rPr>
          <w:spacing w:val="2"/>
          <w:w w:val="105"/>
          <w:sz w:val="13"/>
        </w:rPr>
        <w:t>(Name </w:t>
      </w:r>
      <w:r>
        <w:rPr>
          <w:w w:val="105"/>
          <w:sz w:val="13"/>
        </w:rPr>
        <w:t>withheld), 28 </w:t>
      </w:r>
      <w:r>
        <w:rPr>
          <w:spacing w:val="3"/>
          <w:w w:val="105"/>
          <w:sz w:val="13"/>
        </w:rPr>
        <w:t>(HVP </w:t>
      </w:r>
      <w:r>
        <w:rPr>
          <w:w w:val="105"/>
          <w:sz w:val="13"/>
        </w:rPr>
        <w:t>Plantations), 29 (David Galwey); Consultations 2 </w:t>
      </w:r>
      <w:r>
        <w:rPr>
          <w:spacing w:val="3"/>
          <w:w w:val="105"/>
          <w:sz w:val="13"/>
        </w:rPr>
        <w:t>(Dr </w:t>
      </w:r>
      <w:r>
        <w:rPr>
          <w:w w:val="105"/>
          <w:sz w:val="13"/>
        </w:rPr>
        <w:t>Gregory Moore </w:t>
      </w:r>
      <w:r>
        <w:rPr>
          <w:spacing w:val="2"/>
          <w:w w:val="105"/>
          <w:sz w:val="13"/>
        </w:rPr>
        <w:t>OAM), </w:t>
      </w:r>
      <w:r>
        <w:rPr>
          <w:w w:val="105"/>
          <w:sz w:val="13"/>
        </w:rPr>
        <w:t>6 </w:t>
      </w:r>
      <w:r>
        <w:rPr>
          <w:spacing w:val="2"/>
          <w:w w:val="105"/>
          <w:sz w:val="13"/>
        </w:rPr>
        <w:t>(Ben </w:t>
      </w:r>
      <w:r>
        <w:rPr>
          <w:w w:val="105"/>
          <w:sz w:val="13"/>
        </w:rPr>
        <w:t>Kenyon), 8 (City of Boroondara), 9 (Nillumbik Shire</w:t>
      </w:r>
      <w:r>
        <w:rPr>
          <w:spacing w:val="30"/>
          <w:w w:val="105"/>
          <w:sz w:val="13"/>
        </w:rPr>
        <w:t> </w:t>
      </w:r>
      <w:r>
        <w:rPr>
          <w:w w:val="105"/>
          <w:sz w:val="13"/>
        </w:rPr>
        <w:t>Council), 10 </w:t>
      </w:r>
      <w:r>
        <w:rPr>
          <w:spacing w:val="2"/>
          <w:w w:val="105"/>
          <w:sz w:val="13"/>
        </w:rPr>
        <w:t>(Baw </w:t>
      </w:r>
      <w:r>
        <w:rPr>
          <w:w w:val="105"/>
          <w:sz w:val="13"/>
        </w:rPr>
        <w:t>Baw Shire Council), </w:t>
      </w:r>
      <w:r>
        <w:rPr>
          <w:spacing w:val="-4"/>
          <w:w w:val="105"/>
          <w:sz w:val="13"/>
        </w:rPr>
        <w:t>12 </w:t>
      </w:r>
      <w:r>
        <w:rPr>
          <w:w w:val="105"/>
          <w:sz w:val="13"/>
        </w:rPr>
        <w:t>(City of Port Phillip), </w:t>
      </w:r>
      <w:r>
        <w:rPr>
          <w:spacing w:val="-3"/>
          <w:w w:val="105"/>
          <w:sz w:val="13"/>
        </w:rPr>
        <w:t>14</w:t>
      </w:r>
      <w:r>
        <w:rPr>
          <w:spacing w:val="8"/>
          <w:w w:val="105"/>
          <w:sz w:val="13"/>
        </w:rPr>
        <w:t> </w:t>
      </w:r>
      <w:r>
        <w:rPr>
          <w:spacing w:val="2"/>
          <w:w w:val="105"/>
          <w:sz w:val="13"/>
        </w:rPr>
        <w:t>(Robert Mineo).</w:t>
      </w:r>
    </w:p>
    <w:p>
      <w:pPr>
        <w:pStyle w:val="ListParagraph"/>
        <w:numPr>
          <w:ilvl w:val="0"/>
          <w:numId w:val="129"/>
        </w:numPr>
        <w:tabs>
          <w:tab w:pos="2381" w:val="left" w:leader="none"/>
          <w:tab w:pos="2382" w:val="left" w:leader="none"/>
        </w:tabs>
        <w:spacing w:line="240" w:lineRule="auto" w:before="5" w:after="0"/>
        <w:ind w:left="2381" w:right="0" w:hanging="794"/>
        <w:jc w:val="left"/>
        <w:rPr>
          <w:sz w:val="13"/>
        </w:rPr>
      </w:pPr>
      <w:r>
        <w:rPr>
          <w:w w:val="105"/>
          <w:sz w:val="13"/>
        </w:rPr>
        <w:t>Supplementary Consultation 1 (Victorian Civil and Administrative</w:t>
      </w:r>
      <w:r>
        <w:rPr>
          <w:spacing w:val="2"/>
          <w:w w:val="105"/>
          <w:sz w:val="13"/>
        </w:rPr>
        <w:t> </w:t>
      </w:r>
      <w:r>
        <w:rPr>
          <w:w w:val="105"/>
          <w:sz w:val="13"/>
        </w:rPr>
        <w:t>Tribunal).</w:t>
      </w:r>
    </w:p>
    <w:p>
      <w:pPr>
        <w:pStyle w:val="ListParagraph"/>
        <w:numPr>
          <w:ilvl w:val="0"/>
          <w:numId w:val="129"/>
        </w:numPr>
        <w:tabs>
          <w:tab w:pos="2381" w:val="left" w:leader="none"/>
          <w:tab w:pos="2382" w:val="left" w:leader="none"/>
        </w:tabs>
        <w:spacing w:line="240" w:lineRule="auto" w:before="2" w:after="0"/>
        <w:ind w:left="2381" w:right="0" w:hanging="794"/>
        <w:jc w:val="left"/>
        <w:rPr>
          <w:sz w:val="13"/>
        </w:rPr>
      </w:pPr>
      <w:r>
        <w:rPr>
          <w:w w:val="105"/>
          <w:sz w:val="13"/>
        </w:rPr>
        <w:t>Submissions 20 </w:t>
      </w:r>
      <w:r>
        <w:rPr>
          <w:spacing w:val="2"/>
          <w:w w:val="105"/>
          <w:sz w:val="13"/>
        </w:rPr>
        <w:t>(Name </w:t>
      </w:r>
      <w:r>
        <w:rPr>
          <w:w w:val="105"/>
          <w:sz w:val="13"/>
        </w:rPr>
        <w:t>withheld); Confidential</w:t>
      </w:r>
      <w:r>
        <w:rPr>
          <w:spacing w:val="21"/>
          <w:w w:val="105"/>
          <w:sz w:val="13"/>
        </w:rPr>
        <w:t> </w:t>
      </w:r>
      <w:r>
        <w:rPr>
          <w:w w:val="105"/>
          <w:sz w:val="13"/>
        </w:rPr>
        <w:t>submission.</w:t>
      </w:r>
    </w:p>
    <w:p>
      <w:pPr>
        <w:pStyle w:val="ListParagraph"/>
        <w:numPr>
          <w:ilvl w:val="0"/>
          <w:numId w:val="129"/>
        </w:numPr>
        <w:tabs>
          <w:tab w:pos="2381" w:val="left" w:leader="none"/>
          <w:tab w:pos="2382" w:val="left" w:leader="none"/>
        </w:tabs>
        <w:spacing w:line="240" w:lineRule="auto" w:before="1" w:after="0"/>
        <w:ind w:left="2381" w:right="378" w:hanging="794"/>
        <w:jc w:val="left"/>
        <w:rPr>
          <w:sz w:val="13"/>
        </w:rPr>
      </w:pPr>
      <w:r>
        <w:rPr>
          <w:w w:val="105"/>
          <w:sz w:val="13"/>
        </w:rPr>
        <w:t>Submissions 9 </w:t>
      </w:r>
      <w:r>
        <w:rPr>
          <w:spacing w:val="3"/>
          <w:w w:val="105"/>
          <w:sz w:val="13"/>
        </w:rPr>
        <w:t>(Dr </w:t>
      </w:r>
      <w:r>
        <w:rPr>
          <w:w w:val="105"/>
          <w:sz w:val="13"/>
        </w:rPr>
        <w:t>Karen Smith), </w:t>
      </w:r>
      <w:r>
        <w:rPr>
          <w:spacing w:val="-3"/>
          <w:w w:val="105"/>
          <w:sz w:val="13"/>
        </w:rPr>
        <w:t>19  </w:t>
      </w:r>
      <w:r>
        <w:rPr>
          <w:spacing w:val="2"/>
          <w:w w:val="105"/>
          <w:sz w:val="13"/>
        </w:rPr>
        <w:t>(Name </w:t>
      </w:r>
      <w:r>
        <w:rPr>
          <w:w w:val="105"/>
          <w:sz w:val="13"/>
        </w:rPr>
        <w:t>withheld), 22 </w:t>
      </w:r>
      <w:r>
        <w:rPr>
          <w:spacing w:val="2"/>
          <w:w w:val="105"/>
          <w:sz w:val="13"/>
        </w:rPr>
        <w:t>(Name </w:t>
      </w:r>
      <w:r>
        <w:rPr>
          <w:w w:val="105"/>
          <w:sz w:val="13"/>
        </w:rPr>
        <w:t>withheld), 24 </w:t>
      </w:r>
      <w:r>
        <w:rPr>
          <w:spacing w:val="2"/>
          <w:w w:val="105"/>
          <w:sz w:val="13"/>
        </w:rPr>
        <w:t>(Name </w:t>
      </w:r>
      <w:r>
        <w:rPr>
          <w:w w:val="105"/>
          <w:sz w:val="13"/>
        </w:rPr>
        <w:t>withheld), 38 </w:t>
      </w:r>
      <w:r>
        <w:rPr>
          <w:spacing w:val="3"/>
          <w:w w:val="105"/>
          <w:sz w:val="13"/>
        </w:rPr>
        <w:t>(L. </w:t>
      </w:r>
      <w:r>
        <w:rPr>
          <w:spacing w:val="2"/>
          <w:w w:val="105"/>
          <w:sz w:val="13"/>
        </w:rPr>
        <w:t>Barry </w:t>
      </w:r>
      <w:r>
        <w:rPr>
          <w:w w:val="105"/>
          <w:sz w:val="13"/>
        </w:rPr>
        <w:t>Wollmer); Consultations   3 </w:t>
      </w:r>
      <w:r>
        <w:rPr>
          <w:spacing w:val="3"/>
          <w:w w:val="105"/>
          <w:sz w:val="13"/>
        </w:rPr>
        <w:t>(HVP </w:t>
      </w:r>
      <w:r>
        <w:rPr>
          <w:w w:val="105"/>
          <w:sz w:val="13"/>
        </w:rPr>
        <w:t>Plantations), 10 </w:t>
      </w:r>
      <w:r>
        <w:rPr>
          <w:spacing w:val="2"/>
          <w:w w:val="105"/>
          <w:sz w:val="13"/>
        </w:rPr>
        <w:t>(Baw </w:t>
      </w:r>
      <w:r>
        <w:rPr>
          <w:w w:val="105"/>
          <w:sz w:val="13"/>
        </w:rPr>
        <w:t>Baw Shire</w:t>
      </w:r>
      <w:r>
        <w:rPr>
          <w:spacing w:val="27"/>
          <w:w w:val="105"/>
          <w:sz w:val="13"/>
        </w:rPr>
        <w:t> </w:t>
      </w:r>
      <w:r>
        <w:rPr>
          <w:w w:val="105"/>
          <w:sz w:val="13"/>
        </w:rPr>
        <w:t>Council).</w:t>
      </w:r>
    </w:p>
    <w:p>
      <w:pPr>
        <w:pStyle w:val="ListParagraph"/>
        <w:numPr>
          <w:ilvl w:val="0"/>
          <w:numId w:val="129"/>
        </w:numPr>
        <w:tabs>
          <w:tab w:pos="2381" w:val="left" w:leader="none"/>
          <w:tab w:pos="2382" w:val="left" w:leader="none"/>
        </w:tabs>
        <w:spacing w:line="240" w:lineRule="auto" w:before="3"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129"/>
        </w:numPr>
        <w:tabs>
          <w:tab w:pos="2381" w:val="left" w:leader="none"/>
          <w:tab w:pos="2382" w:val="left" w:leader="none"/>
        </w:tabs>
        <w:spacing w:line="240" w:lineRule="auto" w:before="1" w:after="0"/>
        <w:ind w:left="2381" w:right="0" w:hanging="794"/>
        <w:jc w:val="left"/>
        <w:rPr>
          <w:sz w:val="13"/>
        </w:rPr>
      </w:pPr>
      <w:r>
        <w:rPr>
          <w:w w:val="105"/>
          <w:sz w:val="13"/>
        </w:rPr>
        <w:t>Submission 9 </w:t>
      </w:r>
      <w:r>
        <w:rPr>
          <w:spacing w:val="3"/>
          <w:w w:val="105"/>
          <w:sz w:val="13"/>
        </w:rPr>
        <w:t>(Dr </w:t>
      </w:r>
      <w:r>
        <w:rPr>
          <w:w w:val="105"/>
          <w:sz w:val="13"/>
        </w:rPr>
        <w:t>Karen</w:t>
      </w:r>
      <w:r>
        <w:rPr>
          <w:spacing w:val="15"/>
          <w:w w:val="105"/>
          <w:sz w:val="13"/>
        </w:rPr>
        <w:t> </w:t>
      </w:r>
      <w:r>
        <w:rPr>
          <w:w w:val="105"/>
          <w:sz w:val="13"/>
        </w:rPr>
        <w:t>Smith).</w:t>
      </w:r>
    </w:p>
    <w:p>
      <w:pPr>
        <w:pStyle w:val="ListParagraph"/>
        <w:numPr>
          <w:ilvl w:val="0"/>
          <w:numId w:val="129"/>
        </w:numPr>
        <w:tabs>
          <w:tab w:pos="2381" w:val="left" w:leader="none"/>
          <w:tab w:pos="2382" w:val="left" w:leader="none"/>
        </w:tabs>
        <w:spacing w:line="240" w:lineRule="auto" w:before="1" w:after="0"/>
        <w:ind w:left="2381" w:right="0" w:hanging="794"/>
        <w:jc w:val="left"/>
        <w:rPr>
          <w:sz w:val="13"/>
        </w:rPr>
      </w:pPr>
      <w:r>
        <w:rPr>
          <w:w w:val="105"/>
          <w:sz w:val="13"/>
        </w:rPr>
        <w:t>Submission 18</w:t>
      </w:r>
      <w:r>
        <w:rPr>
          <w:spacing w:val="9"/>
          <w:w w:val="105"/>
          <w:sz w:val="13"/>
        </w:rPr>
        <w:t> </w:t>
      </w:r>
      <w:r>
        <w:rPr>
          <w:w w:val="105"/>
          <w:sz w:val="13"/>
        </w:rPr>
        <w:t>(ENSPEC).</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5"/>
        </w:rPr>
      </w:pPr>
    </w:p>
    <w:p>
      <w:pPr>
        <w:spacing w:before="0"/>
        <w:ind w:left="560" w:right="571" w:firstLine="0"/>
        <w:jc w:val="center"/>
        <w:rPr>
          <w:b/>
          <w:sz w:val="24"/>
        </w:rPr>
      </w:pPr>
      <w:r>
        <w:rPr>
          <w:b/>
          <w:color w:val="658464"/>
          <w:w w:val="110"/>
          <w:sz w:val="24"/>
        </w:rPr>
        <w:t>169</w:t>
      </w:r>
    </w:p>
    <w:p>
      <w:pPr>
        <w:spacing w:after="0"/>
        <w:jc w:val="center"/>
        <w:rPr>
          <w:sz w:val="24"/>
        </w:rPr>
        <w:sectPr>
          <w:type w:val="continuous"/>
          <w:pgSz w:w="11910" w:h="16840"/>
          <w:pgMar w:top="300" w:bottom="280" w:left="0" w:right="0"/>
          <w:cols w:num="2" w:equalWidth="0">
            <w:col w:w="10292" w:space="40"/>
            <w:col w:w="1578"/>
          </w:cols>
        </w:sectPr>
      </w:pPr>
    </w:p>
    <w:p>
      <w:pPr>
        <w:pStyle w:val="BodyText"/>
        <w:spacing w:before="11"/>
        <w:rPr>
          <w:b/>
        </w:rPr>
      </w:pPr>
    </w:p>
    <w:p>
      <w:pPr>
        <w:spacing w:before="96"/>
        <w:ind w:left="1587" w:right="0" w:firstLine="0"/>
        <w:jc w:val="left"/>
        <w:rPr>
          <w:b/>
          <w:sz w:val="24"/>
        </w:rPr>
      </w:pPr>
      <w:r>
        <w:rPr>
          <w:b/>
          <w:w w:val="115"/>
          <w:sz w:val="24"/>
        </w:rPr>
        <w:t>The broader benefits of trees</w:t>
      </w:r>
    </w:p>
    <w:p>
      <w:pPr>
        <w:pStyle w:val="ListParagraph"/>
        <w:numPr>
          <w:ilvl w:val="1"/>
          <w:numId w:val="16"/>
        </w:numPr>
        <w:tabs>
          <w:tab w:pos="2380" w:val="left" w:leader="none"/>
          <w:tab w:pos="2381" w:val="left" w:leader="none"/>
        </w:tabs>
        <w:spacing w:line="242" w:lineRule="auto" w:before="137" w:after="0"/>
        <w:ind w:left="2381" w:right="1622" w:hanging="794"/>
        <w:jc w:val="left"/>
        <w:rPr>
          <w:sz w:val="21"/>
        </w:rPr>
      </w:pPr>
      <w:r>
        <w:rPr>
          <w:spacing w:val="-4"/>
          <w:w w:val="105"/>
          <w:sz w:val="21"/>
        </w:rPr>
        <w:t>Trees </w:t>
      </w:r>
      <w:r>
        <w:rPr>
          <w:spacing w:val="-3"/>
          <w:w w:val="105"/>
          <w:sz w:val="21"/>
        </w:rPr>
        <w:t>are increasingly </w:t>
      </w:r>
      <w:r>
        <w:rPr>
          <w:w w:val="105"/>
          <w:sz w:val="21"/>
        </w:rPr>
        <w:t>viewed as community assets.</w:t>
      </w:r>
      <w:r>
        <w:rPr>
          <w:w w:val="105"/>
          <w:position w:val="7"/>
          <w:sz w:val="12"/>
        </w:rPr>
        <w:t>64 </w:t>
      </w:r>
      <w:r>
        <w:rPr>
          <w:spacing w:val="-3"/>
          <w:w w:val="105"/>
          <w:sz w:val="21"/>
        </w:rPr>
        <w:t>Several </w:t>
      </w:r>
      <w:r>
        <w:rPr>
          <w:w w:val="105"/>
          <w:sz w:val="21"/>
        </w:rPr>
        <w:t>responses </w:t>
      </w:r>
      <w:r>
        <w:rPr>
          <w:spacing w:val="-3"/>
          <w:w w:val="105"/>
          <w:sz w:val="21"/>
        </w:rPr>
        <w:t>to </w:t>
      </w:r>
      <w:r>
        <w:rPr>
          <w:w w:val="105"/>
          <w:sz w:val="21"/>
        </w:rPr>
        <w:t>the </w:t>
      </w:r>
      <w:r>
        <w:rPr>
          <w:spacing w:val="-3"/>
          <w:w w:val="105"/>
          <w:sz w:val="21"/>
        </w:rPr>
        <w:t>Commission </w:t>
      </w:r>
      <w:r>
        <w:rPr>
          <w:w w:val="105"/>
          <w:sz w:val="21"/>
        </w:rPr>
        <w:t>emphasised the need </w:t>
      </w:r>
      <w:r>
        <w:rPr>
          <w:spacing w:val="-3"/>
          <w:w w:val="105"/>
          <w:sz w:val="21"/>
        </w:rPr>
        <w:t>for </w:t>
      </w:r>
      <w:r>
        <w:rPr>
          <w:w w:val="105"/>
          <w:sz w:val="21"/>
        </w:rPr>
        <w:t>the decision </w:t>
      </w:r>
      <w:r>
        <w:rPr>
          <w:spacing w:val="-4"/>
          <w:w w:val="105"/>
          <w:sz w:val="21"/>
        </w:rPr>
        <w:t>maker </w:t>
      </w:r>
      <w:r>
        <w:rPr>
          <w:spacing w:val="-3"/>
          <w:w w:val="105"/>
          <w:sz w:val="21"/>
        </w:rPr>
        <w:t>to consider any </w:t>
      </w:r>
      <w:r>
        <w:rPr>
          <w:w w:val="105"/>
          <w:sz w:val="21"/>
        </w:rPr>
        <w:t>benefits the tree provides </w:t>
      </w:r>
      <w:r>
        <w:rPr>
          <w:spacing w:val="-3"/>
          <w:w w:val="105"/>
          <w:sz w:val="21"/>
        </w:rPr>
        <w:t>to </w:t>
      </w:r>
      <w:r>
        <w:rPr>
          <w:w w:val="105"/>
          <w:sz w:val="21"/>
        </w:rPr>
        <w:t>the broader </w:t>
      </w:r>
      <w:r>
        <w:rPr>
          <w:spacing w:val="-3"/>
          <w:w w:val="105"/>
          <w:sz w:val="21"/>
        </w:rPr>
        <w:t>community.</w:t>
      </w:r>
      <w:r>
        <w:rPr>
          <w:spacing w:val="-3"/>
          <w:w w:val="105"/>
          <w:position w:val="7"/>
          <w:sz w:val="12"/>
        </w:rPr>
        <w:t>65 </w:t>
      </w:r>
      <w:r>
        <w:rPr>
          <w:w w:val="105"/>
          <w:sz w:val="21"/>
        </w:rPr>
        <w:t>Arborist Dr Karen </w:t>
      </w:r>
      <w:r>
        <w:rPr>
          <w:spacing w:val="-3"/>
          <w:w w:val="105"/>
          <w:sz w:val="21"/>
        </w:rPr>
        <w:t>Smith </w:t>
      </w:r>
      <w:r>
        <w:rPr>
          <w:w w:val="105"/>
          <w:sz w:val="21"/>
        </w:rPr>
        <w:t>expressed the view </w:t>
      </w:r>
      <w:r>
        <w:rPr>
          <w:spacing w:val="-3"/>
          <w:w w:val="105"/>
          <w:sz w:val="21"/>
        </w:rPr>
        <w:t>that </w:t>
      </w:r>
      <w:r>
        <w:rPr>
          <w:w w:val="105"/>
          <w:sz w:val="21"/>
        </w:rPr>
        <w:t>one of the </w:t>
      </w:r>
      <w:r>
        <w:rPr>
          <w:spacing w:val="-3"/>
          <w:w w:val="105"/>
          <w:sz w:val="21"/>
        </w:rPr>
        <w:t>aims </w:t>
      </w:r>
      <w:r>
        <w:rPr>
          <w:w w:val="105"/>
          <w:sz w:val="21"/>
        </w:rPr>
        <w:t>of new laws should be </w:t>
      </w:r>
      <w:r>
        <w:rPr>
          <w:spacing w:val="-3"/>
          <w:w w:val="105"/>
          <w:sz w:val="21"/>
        </w:rPr>
        <w:t>to ‘bring </w:t>
      </w:r>
      <w:r>
        <w:rPr>
          <w:w w:val="105"/>
          <w:sz w:val="21"/>
        </w:rPr>
        <w:t>the law up </w:t>
      </w:r>
      <w:r>
        <w:rPr>
          <w:spacing w:val="-3"/>
          <w:w w:val="105"/>
          <w:sz w:val="21"/>
        </w:rPr>
        <w:t>to date </w:t>
      </w:r>
      <w:r>
        <w:rPr>
          <w:w w:val="105"/>
          <w:sz w:val="21"/>
        </w:rPr>
        <w:t>with community views and expectations where </w:t>
      </w:r>
      <w:r>
        <w:rPr>
          <w:spacing w:val="-4"/>
          <w:w w:val="105"/>
          <w:sz w:val="21"/>
        </w:rPr>
        <w:t>possible’.</w:t>
      </w:r>
      <w:r>
        <w:rPr>
          <w:spacing w:val="-4"/>
          <w:w w:val="105"/>
          <w:position w:val="7"/>
          <w:sz w:val="12"/>
        </w:rPr>
        <w:t>66 </w:t>
      </w:r>
      <w:r>
        <w:rPr>
          <w:w w:val="105"/>
          <w:sz w:val="21"/>
        </w:rPr>
        <w:t>Another arborist, Mr </w:t>
      </w:r>
      <w:r>
        <w:rPr>
          <w:spacing w:val="-4"/>
          <w:w w:val="105"/>
          <w:sz w:val="21"/>
        </w:rPr>
        <w:t>Kenyon, </w:t>
      </w:r>
      <w:r>
        <w:rPr>
          <w:w w:val="105"/>
          <w:sz w:val="21"/>
        </w:rPr>
        <w:t>explained </w:t>
      </w:r>
      <w:r>
        <w:rPr>
          <w:spacing w:val="-3"/>
          <w:w w:val="105"/>
          <w:sz w:val="21"/>
        </w:rPr>
        <w:t>that </w:t>
      </w:r>
      <w:r>
        <w:rPr>
          <w:w w:val="105"/>
          <w:sz w:val="21"/>
        </w:rPr>
        <w:t>the</w:t>
      </w:r>
      <w:r>
        <w:rPr>
          <w:spacing w:val="-6"/>
          <w:w w:val="105"/>
          <w:sz w:val="21"/>
        </w:rPr>
        <w:t> </w:t>
      </w:r>
      <w:r>
        <w:rPr>
          <w:spacing w:val="-3"/>
          <w:w w:val="105"/>
          <w:sz w:val="21"/>
        </w:rPr>
        <w:t>community’s</w:t>
      </w:r>
      <w:r>
        <w:rPr>
          <w:spacing w:val="-6"/>
          <w:w w:val="105"/>
          <w:sz w:val="21"/>
        </w:rPr>
        <w:t> </w:t>
      </w:r>
      <w:r>
        <w:rPr>
          <w:spacing w:val="-3"/>
          <w:w w:val="105"/>
          <w:sz w:val="21"/>
        </w:rPr>
        <w:t>knowledge,</w:t>
      </w:r>
      <w:r>
        <w:rPr>
          <w:spacing w:val="-6"/>
          <w:w w:val="105"/>
          <w:sz w:val="21"/>
        </w:rPr>
        <w:t> </w:t>
      </w:r>
      <w:r>
        <w:rPr>
          <w:spacing w:val="-3"/>
          <w:w w:val="105"/>
          <w:sz w:val="21"/>
        </w:rPr>
        <w:t>appreciation</w:t>
      </w:r>
      <w:r>
        <w:rPr>
          <w:spacing w:val="-6"/>
          <w:w w:val="105"/>
          <w:sz w:val="21"/>
        </w:rPr>
        <w:t> </w:t>
      </w:r>
      <w:r>
        <w:rPr>
          <w:spacing w:val="-3"/>
          <w:w w:val="105"/>
          <w:sz w:val="21"/>
        </w:rPr>
        <w:t>for</w:t>
      </w:r>
      <w:r>
        <w:rPr>
          <w:spacing w:val="-5"/>
          <w:w w:val="105"/>
          <w:sz w:val="21"/>
        </w:rPr>
        <w:t> </w:t>
      </w:r>
      <w:r>
        <w:rPr>
          <w:w w:val="105"/>
          <w:sz w:val="21"/>
        </w:rPr>
        <w:t>and</w:t>
      </w:r>
      <w:r>
        <w:rPr>
          <w:spacing w:val="-6"/>
          <w:w w:val="105"/>
          <w:sz w:val="21"/>
        </w:rPr>
        <w:t> </w:t>
      </w:r>
      <w:r>
        <w:rPr>
          <w:w w:val="105"/>
          <w:sz w:val="21"/>
        </w:rPr>
        <w:t>expectations</w:t>
      </w:r>
      <w:r>
        <w:rPr>
          <w:spacing w:val="-6"/>
          <w:w w:val="105"/>
          <w:sz w:val="21"/>
        </w:rPr>
        <w:t> </w:t>
      </w:r>
      <w:r>
        <w:rPr>
          <w:w w:val="105"/>
          <w:sz w:val="21"/>
        </w:rPr>
        <w:t>of</w:t>
      </w:r>
      <w:r>
        <w:rPr>
          <w:spacing w:val="-6"/>
          <w:w w:val="105"/>
          <w:sz w:val="21"/>
        </w:rPr>
        <w:t> </w:t>
      </w:r>
      <w:r>
        <w:rPr>
          <w:w w:val="105"/>
          <w:sz w:val="21"/>
        </w:rPr>
        <w:t>trees</w:t>
      </w:r>
      <w:r>
        <w:rPr>
          <w:spacing w:val="-5"/>
          <w:w w:val="105"/>
          <w:sz w:val="21"/>
        </w:rPr>
        <w:t> </w:t>
      </w:r>
      <w:r>
        <w:rPr>
          <w:w w:val="105"/>
          <w:sz w:val="21"/>
        </w:rPr>
        <w:t>and</w:t>
      </w:r>
      <w:r>
        <w:rPr>
          <w:spacing w:val="-6"/>
          <w:w w:val="105"/>
          <w:sz w:val="21"/>
        </w:rPr>
        <w:t> </w:t>
      </w:r>
      <w:r>
        <w:rPr>
          <w:w w:val="105"/>
          <w:sz w:val="21"/>
        </w:rPr>
        <w:t>urban</w:t>
      </w:r>
      <w:r>
        <w:rPr>
          <w:spacing w:val="-6"/>
          <w:w w:val="105"/>
          <w:sz w:val="21"/>
        </w:rPr>
        <w:t> </w:t>
      </w:r>
      <w:r>
        <w:rPr>
          <w:w w:val="105"/>
          <w:sz w:val="21"/>
        </w:rPr>
        <w:t>forests </w:t>
      </w:r>
      <w:r>
        <w:rPr>
          <w:spacing w:val="-3"/>
          <w:w w:val="105"/>
          <w:sz w:val="21"/>
        </w:rPr>
        <w:t>have changed considerably </w:t>
      </w:r>
      <w:r>
        <w:rPr>
          <w:w w:val="105"/>
          <w:sz w:val="21"/>
        </w:rPr>
        <w:t>over the past</w:t>
      </w:r>
      <w:r>
        <w:rPr>
          <w:spacing w:val="36"/>
          <w:w w:val="105"/>
          <w:sz w:val="21"/>
        </w:rPr>
        <w:t> </w:t>
      </w:r>
      <w:r>
        <w:rPr>
          <w:w w:val="105"/>
          <w:sz w:val="21"/>
        </w:rPr>
        <w:t>decades.</w:t>
      </w:r>
      <w:r>
        <w:rPr>
          <w:w w:val="105"/>
          <w:position w:val="7"/>
          <w:sz w:val="12"/>
        </w:rPr>
        <w:t>67</w:t>
      </w:r>
    </w:p>
    <w:p>
      <w:pPr>
        <w:pStyle w:val="ListParagraph"/>
        <w:numPr>
          <w:ilvl w:val="1"/>
          <w:numId w:val="16"/>
        </w:numPr>
        <w:tabs>
          <w:tab w:pos="2380" w:val="left" w:leader="none"/>
          <w:tab w:pos="2381" w:val="left" w:leader="none"/>
        </w:tabs>
        <w:spacing w:line="240" w:lineRule="auto" w:before="128" w:after="0"/>
        <w:ind w:left="2380" w:right="0" w:hanging="793"/>
        <w:jc w:val="left"/>
        <w:rPr>
          <w:sz w:val="21"/>
        </w:rPr>
      </w:pPr>
      <w:r>
        <w:rPr>
          <w:w w:val="105"/>
          <w:sz w:val="21"/>
        </w:rPr>
        <w:t>Acting </w:t>
      </w:r>
      <w:r>
        <w:rPr>
          <w:spacing w:val="-3"/>
          <w:w w:val="105"/>
          <w:sz w:val="21"/>
        </w:rPr>
        <w:t>Commissioner David Galwey </w:t>
      </w:r>
      <w:r>
        <w:rPr>
          <w:w w:val="105"/>
          <w:sz w:val="21"/>
        </w:rPr>
        <w:t>of the NSWLEC</w:t>
      </w:r>
      <w:r>
        <w:rPr>
          <w:spacing w:val="48"/>
          <w:w w:val="105"/>
          <w:sz w:val="21"/>
        </w:rPr>
        <w:t> </w:t>
      </w:r>
      <w:r>
        <w:rPr>
          <w:w w:val="105"/>
          <w:sz w:val="21"/>
        </w:rPr>
        <w:t>stated:</w:t>
      </w:r>
    </w:p>
    <w:p>
      <w:pPr>
        <w:spacing w:line="254" w:lineRule="auto" w:before="133"/>
        <w:ind w:left="2834" w:right="1636" w:firstLine="0"/>
        <w:jc w:val="left"/>
        <w:rPr>
          <w:sz w:val="11"/>
        </w:rPr>
      </w:pPr>
      <w:r>
        <w:rPr>
          <w:w w:val="105"/>
          <w:sz w:val="20"/>
        </w:rPr>
        <w:t>I would suggest </w:t>
      </w:r>
      <w:r>
        <w:rPr>
          <w:spacing w:val="-2"/>
          <w:w w:val="105"/>
          <w:sz w:val="20"/>
        </w:rPr>
        <w:t>any </w:t>
      </w:r>
      <w:r>
        <w:rPr>
          <w:w w:val="105"/>
          <w:sz w:val="20"/>
        </w:rPr>
        <w:t>statutory scheme should give significant consideration to the benefits of the tree to the broader </w:t>
      </w:r>
      <w:r>
        <w:rPr>
          <w:spacing w:val="-3"/>
          <w:w w:val="105"/>
          <w:sz w:val="20"/>
        </w:rPr>
        <w:t>community, including </w:t>
      </w:r>
      <w:r>
        <w:rPr>
          <w:w w:val="105"/>
          <w:sz w:val="20"/>
        </w:rPr>
        <w:t>its ecosystem services and </w:t>
      </w:r>
      <w:r>
        <w:rPr>
          <w:spacing w:val="-3"/>
          <w:w w:val="105"/>
          <w:sz w:val="20"/>
        </w:rPr>
        <w:t>amenity.</w:t>
      </w:r>
      <w:r>
        <w:rPr>
          <w:spacing w:val="-10"/>
          <w:w w:val="105"/>
          <w:sz w:val="20"/>
        </w:rPr>
        <w:t> </w:t>
      </w:r>
      <w:r>
        <w:rPr>
          <w:w w:val="105"/>
          <w:sz w:val="20"/>
        </w:rPr>
        <w:t>This</w:t>
      </w:r>
      <w:r>
        <w:rPr>
          <w:spacing w:val="-10"/>
          <w:w w:val="105"/>
          <w:sz w:val="20"/>
        </w:rPr>
        <w:t> </w:t>
      </w:r>
      <w:r>
        <w:rPr>
          <w:w w:val="105"/>
          <w:sz w:val="20"/>
        </w:rPr>
        <w:t>is</w:t>
      </w:r>
      <w:r>
        <w:rPr>
          <w:spacing w:val="-10"/>
          <w:w w:val="105"/>
          <w:sz w:val="20"/>
        </w:rPr>
        <w:t> </w:t>
      </w:r>
      <w:r>
        <w:rPr>
          <w:w w:val="105"/>
          <w:sz w:val="20"/>
        </w:rPr>
        <w:t>one</w:t>
      </w:r>
      <w:r>
        <w:rPr>
          <w:spacing w:val="-10"/>
          <w:w w:val="105"/>
          <w:sz w:val="20"/>
        </w:rPr>
        <w:t> </w:t>
      </w:r>
      <w:r>
        <w:rPr>
          <w:w w:val="105"/>
          <w:sz w:val="20"/>
        </w:rPr>
        <w:t>clear</w:t>
      </w:r>
      <w:r>
        <w:rPr>
          <w:spacing w:val="-10"/>
          <w:w w:val="105"/>
          <w:sz w:val="20"/>
        </w:rPr>
        <w:t> </w:t>
      </w:r>
      <w:r>
        <w:rPr>
          <w:w w:val="105"/>
          <w:sz w:val="20"/>
        </w:rPr>
        <w:t>advantage</w:t>
      </w:r>
      <w:r>
        <w:rPr>
          <w:spacing w:val="-10"/>
          <w:w w:val="105"/>
          <w:sz w:val="20"/>
        </w:rPr>
        <w:t> </w:t>
      </w:r>
      <w:r>
        <w:rPr>
          <w:w w:val="105"/>
          <w:sz w:val="20"/>
        </w:rPr>
        <w:t>of</w:t>
      </w:r>
      <w:r>
        <w:rPr>
          <w:spacing w:val="-10"/>
          <w:w w:val="105"/>
          <w:sz w:val="20"/>
        </w:rPr>
        <w:t> </w:t>
      </w:r>
      <w:r>
        <w:rPr>
          <w:w w:val="105"/>
          <w:sz w:val="20"/>
        </w:rPr>
        <w:t>a</w:t>
      </w:r>
      <w:r>
        <w:rPr>
          <w:spacing w:val="-10"/>
          <w:w w:val="105"/>
          <w:sz w:val="20"/>
        </w:rPr>
        <w:t> </w:t>
      </w:r>
      <w:r>
        <w:rPr>
          <w:w w:val="105"/>
          <w:sz w:val="20"/>
        </w:rPr>
        <w:t>statutory</w:t>
      </w:r>
      <w:r>
        <w:rPr>
          <w:spacing w:val="-10"/>
          <w:w w:val="105"/>
          <w:sz w:val="20"/>
        </w:rPr>
        <w:t> </w:t>
      </w:r>
      <w:r>
        <w:rPr>
          <w:w w:val="105"/>
          <w:sz w:val="20"/>
        </w:rPr>
        <w:t>scheme</w:t>
      </w:r>
      <w:r>
        <w:rPr>
          <w:spacing w:val="-10"/>
          <w:w w:val="105"/>
          <w:sz w:val="20"/>
        </w:rPr>
        <w:t> </w:t>
      </w:r>
      <w:r>
        <w:rPr>
          <w:w w:val="105"/>
          <w:sz w:val="20"/>
        </w:rPr>
        <w:t>over</w:t>
      </w:r>
      <w:r>
        <w:rPr>
          <w:spacing w:val="-10"/>
          <w:w w:val="105"/>
          <w:sz w:val="20"/>
        </w:rPr>
        <w:t> </w:t>
      </w:r>
      <w:r>
        <w:rPr>
          <w:w w:val="105"/>
          <w:sz w:val="20"/>
        </w:rPr>
        <w:t>the</w:t>
      </w:r>
      <w:r>
        <w:rPr>
          <w:spacing w:val="-9"/>
          <w:w w:val="105"/>
          <w:sz w:val="20"/>
        </w:rPr>
        <w:t> </w:t>
      </w:r>
      <w:r>
        <w:rPr>
          <w:w w:val="105"/>
          <w:sz w:val="20"/>
        </w:rPr>
        <w:t>traditional</w:t>
      </w:r>
      <w:r>
        <w:rPr>
          <w:spacing w:val="-10"/>
          <w:w w:val="105"/>
          <w:sz w:val="20"/>
        </w:rPr>
        <w:t> </w:t>
      </w:r>
      <w:r>
        <w:rPr>
          <w:w w:val="105"/>
          <w:sz w:val="20"/>
        </w:rPr>
        <w:t>common law</w:t>
      </w:r>
      <w:r>
        <w:rPr>
          <w:spacing w:val="-16"/>
          <w:w w:val="105"/>
          <w:sz w:val="20"/>
        </w:rPr>
        <w:t> </w:t>
      </w:r>
      <w:r>
        <w:rPr>
          <w:w w:val="105"/>
          <w:sz w:val="20"/>
        </w:rPr>
        <w:t>process,</w:t>
      </w:r>
      <w:r>
        <w:rPr>
          <w:spacing w:val="-15"/>
          <w:w w:val="105"/>
          <w:sz w:val="20"/>
        </w:rPr>
        <w:t> </w:t>
      </w:r>
      <w:r>
        <w:rPr>
          <w:w w:val="105"/>
          <w:sz w:val="20"/>
        </w:rPr>
        <w:t>reflecting</w:t>
      </w:r>
      <w:r>
        <w:rPr>
          <w:spacing w:val="-16"/>
          <w:w w:val="105"/>
          <w:sz w:val="20"/>
        </w:rPr>
        <w:t> </w:t>
      </w:r>
      <w:r>
        <w:rPr>
          <w:spacing w:val="-3"/>
          <w:w w:val="105"/>
          <w:sz w:val="20"/>
        </w:rPr>
        <w:t>current</w:t>
      </w:r>
      <w:r>
        <w:rPr>
          <w:spacing w:val="-15"/>
          <w:w w:val="105"/>
          <w:sz w:val="20"/>
        </w:rPr>
        <w:t> </w:t>
      </w:r>
      <w:r>
        <w:rPr>
          <w:w w:val="105"/>
          <w:sz w:val="20"/>
        </w:rPr>
        <w:t>scientific</w:t>
      </w:r>
      <w:r>
        <w:rPr>
          <w:spacing w:val="-16"/>
          <w:w w:val="105"/>
          <w:sz w:val="20"/>
        </w:rPr>
        <w:t> </w:t>
      </w:r>
      <w:r>
        <w:rPr>
          <w:w w:val="105"/>
          <w:sz w:val="20"/>
        </w:rPr>
        <w:t>understanding,</w:t>
      </w:r>
      <w:r>
        <w:rPr>
          <w:spacing w:val="-15"/>
          <w:w w:val="105"/>
          <w:sz w:val="20"/>
        </w:rPr>
        <w:t> </w:t>
      </w:r>
      <w:r>
        <w:rPr>
          <w:w w:val="105"/>
          <w:sz w:val="20"/>
        </w:rPr>
        <w:t>social</w:t>
      </w:r>
      <w:r>
        <w:rPr>
          <w:spacing w:val="-16"/>
          <w:w w:val="105"/>
          <w:sz w:val="20"/>
        </w:rPr>
        <w:t> </w:t>
      </w:r>
      <w:r>
        <w:rPr>
          <w:w w:val="105"/>
          <w:sz w:val="20"/>
        </w:rPr>
        <w:t>attitudes</w:t>
      </w:r>
      <w:r>
        <w:rPr>
          <w:spacing w:val="-15"/>
          <w:w w:val="105"/>
          <w:sz w:val="20"/>
        </w:rPr>
        <w:t> </w:t>
      </w:r>
      <w:r>
        <w:rPr>
          <w:w w:val="105"/>
          <w:sz w:val="20"/>
        </w:rPr>
        <w:t>and</w:t>
      </w:r>
      <w:r>
        <w:rPr>
          <w:spacing w:val="-16"/>
          <w:w w:val="105"/>
          <w:sz w:val="20"/>
        </w:rPr>
        <w:t> </w:t>
      </w:r>
      <w:r>
        <w:rPr>
          <w:w w:val="105"/>
          <w:sz w:val="20"/>
        </w:rPr>
        <w:t>government policy.</w:t>
      </w:r>
      <w:r>
        <w:rPr>
          <w:w w:val="105"/>
          <w:position w:val="7"/>
          <w:sz w:val="11"/>
        </w:rPr>
        <w:t>68</w:t>
      </w:r>
    </w:p>
    <w:p>
      <w:pPr>
        <w:pStyle w:val="ListParagraph"/>
        <w:numPr>
          <w:ilvl w:val="1"/>
          <w:numId w:val="16"/>
        </w:numPr>
        <w:tabs>
          <w:tab w:pos="2382" w:val="left" w:leader="none"/>
        </w:tabs>
        <w:spacing w:line="242" w:lineRule="auto" w:before="116" w:after="0"/>
        <w:ind w:left="2381" w:right="2012" w:hanging="794"/>
        <w:jc w:val="both"/>
        <w:rPr>
          <w:sz w:val="21"/>
        </w:rPr>
      </w:pPr>
      <w:r>
        <w:rPr>
          <w:w w:val="105"/>
          <w:sz w:val="21"/>
        </w:rPr>
        <w:t>There</w:t>
      </w:r>
      <w:r>
        <w:rPr>
          <w:spacing w:val="-7"/>
          <w:w w:val="105"/>
          <w:sz w:val="21"/>
        </w:rPr>
        <w:t> </w:t>
      </w:r>
      <w:r>
        <w:rPr>
          <w:w w:val="105"/>
          <w:sz w:val="21"/>
        </w:rPr>
        <w:t>was</w:t>
      </w:r>
      <w:r>
        <w:rPr>
          <w:spacing w:val="-6"/>
          <w:w w:val="105"/>
          <w:sz w:val="21"/>
        </w:rPr>
        <w:t> </w:t>
      </w:r>
      <w:r>
        <w:rPr>
          <w:w w:val="105"/>
          <w:sz w:val="21"/>
        </w:rPr>
        <w:t>broad</w:t>
      </w:r>
      <w:r>
        <w:rPr>
          <w:spacing w:val="-6"/>
          <w:w w:val="105"/>
          <w:sz w:val="21"/>
        </w:rPr>
        <w:t> </w:t>
      </w:r>
      <w:r>
        <w:rPr>
          <w:w w:val="105"/>
          <w:sz w:val="21"/>
        </w:rPr>
        <w:t>community</w:t>
      </w:r>
      <w:r>
        <w:rPr>
          <w:spacing w:val="-6"/>
          <w:w w:val="105"/>
          <w:sz w:val="21"/>
        </w:rPr>
        <w:t> </w:t>
      </w:r>
      <w:r>
        <w:rPr>
          <w:w w:val="105"/>
          <w:sz w:val="21"/>
        </w:rPr>
        <w:t>support</w:t>
      </w:r>
      <w:r>
        <w:rPr>
          <w:spacing w:val="-7"/>
          <w:w w:val="105"/>
          <w:sz w:val="21"/>
        </w:rPr>
        <w:t> </w:t>
      </w:r>
      <w:r>
        <w:rPr>
          <w:spacing w:val="-3"/>
          <w:w w:val="105"/>
          <w:sz w:val="21"/>
        </w:rPr>
        <w:t>for</w:t>
      </w:r>
      <w:r>
        <w:rPr>
          <w:spacing w:val="-6"/>
          <w:w w:val="105"/>
          <w:sz w:val="21"/>
        </w:rPr>
        <w:t> </w:t>
      </w:r>
      <w:r>
        <w:rPr>
          <w:w w:val="105"/>
          <w:sz w:val="21"/>
        </w:rPr>
        <w:t>a</w:t>
      </w:r>
      <w:r>
        <w:rPr>
          <w:spacing w:val="-6"/>
          <w:w w:val="105"/>
          <w:sz w:val="21"/>
        </w:rPr>
        <w:t> </w:t>
      </w:r>
      <w:r>
        <w:rPr>
          <w:w w:val="105"/>
          <w:sz w:val="21"/>
        </w:rPr>
        <w:t>decision</w:t>
      </w:r>
      <w:r>
        <w:rPr>
          <w:spacing w:val="-7"/>
          <w:w w:val="105"/>
          <w:sz w:val="21"/>
        </w:rPr>
        <w:t> </w:t>
      </w:r>
      <w:r>
        <w:rPr>
          <w:spacing w:val="-4"/>
          <w:w w:val="105"/>
          <w:sz w:val="21"/>
        </w:rPr>
        <w:t>maker</w:t>
      </w:r>
      <w:r>
        <w:rPr>
          <w:spacing w:val="-6"/>
          <w:w w:val="105"/>
          <w:sz w:val="21"/>
        </w:rPr>
        <w:t> </w:t>
      </w:r>
      <w:r>
        <w:rPr>
          <w:spacing w:val="-3"/>
          <w:w w:val="105"/>
          <w:sz w:val="21"/>
        </w:rPr>
        <w:t>to</w:t>
      </w:r>
      <w:r>
        <w:rPr>
          <w:spacing w:val="-6"/>
          <w:w w:val="105"/>
          <w:sz w:val="21"/>
        </w:rPr>
        <w:t> </w:t>
      </w:r>
      <w:r>
        <w:rPr>
          <w:spacing w:val="-3"/>
          <w:w w:val="105"/>
          <w:sz w:val="21"/>
        </w:rPr>
        <w:t>balance</w:t>
      </w:r>
      <w:r>
        <w:rPr>
          <w:spacing w:val="-6"/>
          <w:w w:val="105"/>
          <w:sz w:val="21"/>
        </w:rPr>
        <w:t> </w:t>
      </w:r>
      <w:r>
        <w:rPr>
          <w:w w:val="105"/>
          <w:sz w:val="21"/>
        </w:rPr>
        <w:t>the</w:t>
      </w:r>
      <w:r>
        <w:rPr>
          <w:spacing w:val="-7"/>
          <w:w w:val="105"/>
          <w:sz w:val="21"/>
        </w:rPr>
        <w:t> </w:t>
      </w:r>
      <w:r>
        <w:rPr>
          <w:spacing w:val="-3"/>
          <w:w w:val="105"/>
          <w:sz w:val="21"/>
        </w:rPr>
        <w:t>value</w:t>
      </w:r>
      <w:r>
        <w:rPr>
          <w:spacing w:val="-6"/>
          <w:w w:val="105"/>
          <w:sz w:val="21"/>
        </w:rPr>
        <w:t> </w:t>
      </w:r>
      <w:r>
        <w:rPr>
          <w:w w:val="105"/>
          <w:sz w:val="21"/>
        </w:rPr>
        <w:t>of</w:t>
      </w:r>
      <w:r>
        <w:rPr>
          <w:spacing w:val="-6"/>
          <w:w w:val="105"/>
          <w:sz w:val="21"/>
        </w:rPr>
        <w:t> </w:t>
      </w:r>
      <w:r>
        <w:rPr>
          <w:w w:val="105"/>
          <w:sz w:val="21"/>
        </w:rPr>
        <w:t>the tree with </w:t>
      </w:r>
      <w:r>
        <w:rPr>
          <w:spacing w:val="-3"/>
          <w:w w:val="105"/>
          <w:sz w:val="21"/>
        </w:rPr>
        <w:t>any </w:t>
      </w:r>
      <w:r>
        <w:rPr>
          <w:w w:val="105"/>
          <w:sz w:val="21"/>
        </w:rPr>
        <w:t>damage or </w:t>
      </w:r>
      <w:r>
        <w:rPr>
          <w:spacing w:val="-3"/>
          <w:w w:val="105"/>
          <w:sz w:val="21"/>
        </w:rPr>
        <w:t>harm </w:t>
      </w:r>
      <w:r>
        <w:rPr>
          <w:w w:val="105"/>
          <w:sz w:val="21"/>
        </w:rPr>
        <w:t>caused or </w:t>
      </w:r>
      <w:r>
        <w:rPr>
          <w:spacing w:val="-4"/>
          <w:w w:val="105"/>
          <w:sz w:val="21"/>
        </w:rPr>
        <w:t>likely </w:t>
      </w:r>
      <w:r>
        <w:rPr>
          <w:spacing w:val="-3"/>
          <w:w w:val="105"/>
          <w:sz w:val="21"/>
        </w:rPr>
        <w:t>to </w:t>
      </w:r>
      <w:r>
        <w:rPr>
          <w:w w:val="105"/>
          <w:sz w:val="21"/>
        </w:rPr>
        <w:t>be caused by the </w:t>
      </w:r>
      <w:r>
        <w:rPr>
          <w:spacing w:val="-3"/>
          <w:w w:val="105"/>
          <w:sz w:val="21"/>
        </w:rPr>
        <w:t>tree.</w:t>
      </w:r>
      <w:r>
        <w:rPr>
          <w:spacing w:val="-3"/>
          <w:w w:val="105"/>
          <w:position w:val="7"/>
          <w:sz w:val="12"/>
        </w:rPr>
        <w:t>69 </w:t>
      </w:r>
      <w:r>
        <w:rPr>
          <w:w w:val="105"/>
          <w:sz w:val="21"/>
        </w:rPr>
        <w:t>The </w:t>
      </w:r>
      <w:r>
        <w:rPr>
          <w:spacing w:val="-3"/>
          <w:w w:val="105"/>
          <w:sz w:val="21"/>
        </w:rPr>
        <w:t>City </w:t>
      </w:r>
      <w:r>
        <w:rPr>
          <w:w w:val="105"/>
          <w:sz w:val="21"/>
        </w:rPr>
        <w:t>of </w:t>
      </w:r>
      <w:r>
        <w:rPr>
          <w:spacing w:val="-3"/>
          <w:w w:val="105"/>
          <w:sz w:val="21"/>
        </w:rPr>
        <w:t>Boroondara </w:t>
      </w:r>
      <w:r>
        <w:rPr>
          <w:w w:val="105"/>
          <w:sz w:val="21"/>
        </w:rPr>
        <w:t>argued</w:t>
      </w:r>
      <w:r>
        <w:rPr>
          <w:spacing w:val="13"/>
          <w:w w:val="105"/>
          <w:sz w:val="21"/>
        </w:rPr>
        <w:t> </w:t>
      </w:r>
      <w:r>
        <w:rPr>
          <w:w w:val="105"/>
          <w:sz w:val="21"/>
        </w:rPr>
        <w:t>that:</w:t>
      </w:r>
    </w:p>
    <w:p>
      <w:pPr>
        <w:spacing w:line="254" w:lineRule="auto" w:before="133"/>
        <w:ind w:left="2834" w:right="1810" w:firstLine="0"/>
        <w:jc w:val="left"/>
        <w:rPr>
          <w:sz w:val="11"/>
        </w:rPr>
      </w:pPr>
      <w:r>
        <w:rPr>
          <w:sz w:val="20"/>
        </w:rPr>
        <w:t>Legislation should set out criteria that the Court/Tribunal must consider when   determining what order they should </w:t>
      </w:r>
      <w:r>
        <w:rPr>
          <w:spacing w:val="-4"/>
          <w:sz w:val="20"/>
        </w:rPr>
        <w:t>make. </w:t>
      </w:r>
      <w:r>
        <w:rPr>
          <w:sz w:val="20"/>
        </w:rPr>
        <w:t>These criteria should </w:t>
      </w:r>
      <w:r>
        <w:rPr>
          <w:spacing w:val="-3"/>
          <w:sz w:val="20"/>
        </w:rPr>
        <w:t>ensure </w:t>
      </w:r>
      <w:r>
        <w:rPr>
          <w:sz w:val="20"/>
        </w:rPr>
        <w:t>that the benefits  of the tree are weighed against its disbenefits. </w:t>
      </w:r>
      <w:r>
        <w:rPr>
          <w:spacing w:val="-3"/>
          <w:sz w:val="20"/>
        </w:rPr>
        <w:t>At </w:t>
      </w:r>
      <w:r>
        <w:rPr>
          <w:sz w:val="20"/>
        </w:rPr>
        <w:t>a </w:t>
      </w:r>
      <w:r>
        <w:rPr>
          <w:spacing w:val="-3"/>
          <w:sz w:val="20"/>
        </w:rPr>
        <w:t>minimum, </w:t>
      </w:r>
      <w:r>
        <w:rPr>
          <w:sz w:val="20"/>
        </w:rPr>
        <w:t>the criteria should </w:t>
      </w:r>
      <w:r>
        <w:rPr>
          <w:spacing w:val="-3"/>
          <w:sz w:val="20"/>
        </w:rPr>
        <w:t>require </w:t>
      </w:r>
      <w:r>
        <w:rPr>
          <w:sz w:val="20"/>
        </w:rPr>
        <w:t>consideration of matters such as the aesthetic benefits of the </w:t>
      </w:r>
      <w:r>
        <w:rPr>
          <w:spacing w:val="-3"/>
          <w:sz w:val="20"/>
        </w:rPr>
        <w:t>tree, </w:t>
      </w:r>
      <w:r>
        <w:rPr>
          <w:sz w:val="20"/>
        </w:rPr>
        <w:t>the environmental/ ecological benefits of the tree and the benefits of the tree to the neighbourhood   character of the area. In </w:t>
      </w:r>
      <w:r>
        <w:rPr>
          <w:spacing w:val="-4"/>
          <w:sz w:val="20"/>
        </w:rPr>
        <w:t>Council’s </w:t>
      </w:r>
      <w:r>
        <w:rPr>
          <w:sz w:val="20"/>
        </w:rPr>
        <w:t>experience, it is often the case that a tree may be  causing minor damage or nuisance but that the benefit of the tree outweighs these impacts.</w:t>
      </w:r>
      <w:r>
        <w:rPr>
          <w:position w:val="7"/>
          <w:sz w:val="11"/>
        </w:rPr>
        <w:t>70</w:t>
      </w:r>
    </w:p>
    <w:p>
      <w:pPr>
        <w:pStyle w:val="ListParagraph"/>
        <w:numPr>
          <w:ilvl w:val="1"/>
          <w:numId w:val="16"/>
        </w:numPr>
        <w:tabs>
          <w:tab w:pos="2380" w:val="left" w:leader="none"/>
          <w:tab w:pos="2381" w:val="left" w:leader="none"/>
        </w:tabs>
        <w:spacing w:line="242" w:lineRule="auto" w:before="120" w:after="0"/>
        <w:ind w:left="2381" w:right="1745" w:hanging="794"/>
        <w:jc w:val="left"/>
        <w:rPr>
          <w:sz w:val="21"/>
        </w:rPr>
      </w:pPr>
      <w:r>
        <w:rPr>
          <w:spacing w:val="-5"/>
          <w:sz w:val="21"/>
        </w:rPr>
        <w:t>VCAT </w:t>
      </w:r>
      <w:r>
        <w:rPr>
          <w:spacing w:val="-3"/>
          <w:sz w:val="21"/>
        </w:rPr>
        <w:t>noted that </w:t>
      </w:r>
      <w:r>
        <w:rPr>
          <w:sz w:val="21"/>
        </w:rPr>
        <w:t>a </w:t>
      </w:r>
      <w:r>
        <w:rPr>
          <w:spacing w:val="-4"/>
          <w:sz w:val="21"/>
        </w:rPr>
        <w:t>tree’s </w:t>
      </w:r>
      <w:r>
        <w:rPr>
          <w:spacing w:val="-3"/>
          <w:sz w:val="21"/>
        </w:rPr>
        <w:t>contribution to </w:t>
      </w:r>
      <w:r>
        <w:rPr>
          <w:sz w:val="21"/>
        </w:rPr>
        <w:t>amenity as </w:t>
      </w:r>
      <w:r>
        <w:rPr>
          <w:spacing w:val="-3"/>
          <w:sz w:val="21"/>
        </w:rPr>
        <w:t>well </w:t>
      </w:r>
      <w:r>
        <w:rPr>
          <w:sz w:val="21"/>
        </w:rPr>
        <w:t>as other broader benefits </w:t>
      </w:r>
      <w:r>
        <w:rPr>
          <w:spacing w:val="-3"/>
          <w:sz w:val="21"/>
        </w:rPr>
        <w:t>are considerations that </w:t>
      </w:r>
      <w:r>
        <w:rPr>
          <w:sz w:val="21"/>
        </w:rPr>
        <w:t>intersect with </w:t>
      </w:r>
      <w:r>
        <w:rPr>
          <w:spacing w:val="-3"/>
          <w:sz w:val="21"/>
        </w:rPr>
        <w:t>planning </w:t>
      </w:r>
      <w:r>
        <w:rPr>
          <w:sz w:val="21"/>
        </w:rPr>
        <w:t>and </w:t>
      </w:r>
      <w:r>
        <w:rPr>
          <w:spacing w:val="-3"/>
          <w:sz w:val="21"/>
        </w:rPr>
        <w:t>environment </w:t>
      </w:r>
      <w:r>
        <w:rPr>
          <w:spacing w:val="-5"/>
          <w:sz w:val="21"/>
        </w:rPr>
        <w:t>law. </w:t>
      </w:r>
      <w:r>
        <w:rPr>
          <w:sz w:val="21"/>
        </w:rPr>
        <w:t>It suggested </w:t>
      </w:r>
      <w:r>
        <w:rPr>
          <w:spacing w:val="-3"/>
          <w:sz w:val="21"/>
        </w:rPr>
        <w:t>that </w:t>
      </w:r>
      <w:r>
        <w:rPr>
          <w:sz w:val="21"/>
        </w:rPr>
        <w:t>these factors </w:t>
      </w:r>
      <w:r>
        <w:rPr>
          <w:spacing w:val="-3"/>
          <w:sz w:val="21"/>
        </w:rPr>
        <w:t>are </w:t>
      </w:r>
      <w:r>
        <w:rPr>
          <w:sz w:val="21"/>
        </w:rPr>
        <w:t>also important </w:t>
      </w:r>
      <w:r>
        <w:rPr>
          <w:spacing w:val="-3"/>
          <w:sz w:val="21"/>
        </w:rPr>
        <w:t>considerations </w:t>
      </w:r>
      <w:r>
        <w:rPr>
          <w:sz w:val="21"/>
        </w:rPr>
        <w:t>in neighbourhood tree</w:t>
      </w:r>
      <w:r>
        <w:rPr>
          <w:spacing w:val="19"/>
          <w:sz w:val="21"/>
        </w:rPr>
        <w:t> </w:t>
      </w:r>
      <w:r>
        <w:rPr>
          <w:spacing w:val="-4"/>
          <w:sz w:val="21"/>
        </w:rPr>
        <w:t>disputes.</w:t>
      </w:r>
      <w:r>
        <w:rPr>
          <w:spacing w:val="-4"/>
          <w:position w:val="7"/>
          <w:sz w:val="12"/>
        </w:rPr>
        <w:t>71</w:t>
      </w:r>
    </w:p>
    <w:p>
      <w:pPr>
        <w:pStyle w:val="ListParagraph"/>
        <w:numPr>
          <w:ilvl w:val="1"/>
          <w:numId w:val="16"/>
        </w:numPr>
        <w:tabs>
          <w:tab w:pos="2380" w:val="left" w:leader="none"/>
          <w:tab w:pos="2381" w:val="left" w:leader="none"/>
        </w:tabs>
        <w:spacing w:line="242" w:lineRule="auto" w:before="124" w:after="0"/>
        <w:ind w:left="2381" w:right="1728" w:hanging="794"/>
        <w:jc w:val="left"/>
        <w:rPr>
          <w:sz w:val="21"/>
        </w:rPr>
      </w:pPr>
      <w:r>
        <w:rPr>
          <w:w w:val="105"/>
          <w:sz w:val="21"/>
        </w:rPr>
        <w:t>Dr</w:t>
      </w:r>
      <w:r>
        <w:rPr>
          <w:spacing w:val="-7"/>
          <w:w w:val="105"/>
          <w:sz w:val="21"/>
        </w:rPr>
        <w:t> </w:t>
      </w:r>
      <w:r>
        <w:rPr>
          <w:w w:val="105"/>
          <w:sz w:val="21"/>
        </w:rPr>
        <w:t>Gregory</w:t>
      </w:r>
      <w:r>
        <w:rPr>
          <w:spacing w:val="-6"/>
          <w:w w:val="105"/>
          <w:sz w:val="21"/>
        </w:rPr>
        <w:t> </w:t>
      </w:r>
      <w:r>
        <w:rPr>
          <w:w w:val="105"/>
          <w:sz w:val="21"/>
        </w:rPr>
        <w:t>Moore</w:t>
      </w:r>
      <w:r>
        <w:rPr>
          <w:spacing w:val="-7"/>
          <w:w w:val="105"/>
          <w:sz w:val="21"/>
        </w:rPr>
        <w:t> </w:t>
      </w:r>
      <w:r>
        <w:rPr>
          <w:w w:val="105"/>
          <w:sz w:val="21"/>
        </w:rPr>
        <w:t>OAM</w:t>
      </w:r>
      <w:r>
        <w:rPr>
          <w:spacing w:val="-6"/>
          <w:w w:val="105"/>
          <w:sz w:val="21"/>
        </w:rPr>
        <w:t> </w:t>
      </w:r>
      <w:r>
        <w:rPr>
          <w:w w:val="105"/>
          <w:sz w:val="21"/>
        </w:rPr>
        <w:t>explained</w:t>
      </w:r>
      <w:r>
        <w:rPr>
          <w:spacing w:val="-7"/>
          <w:w w:val="105"/>
          <w:sz w:val="21"/>
        </w:rPr>
        <w:t> </w:t>
      </w:r>
      <w:r>
        <w:rPr>
          <w:spacing w:val="-3"/>
          <w:w w:val="105"/>
          <w:sz w:val="21"/>
        </w:rPr>
        <w:t>that</w:t>
      </w:r>
      <w:r>
        <w:rPr>
          <w:spacing w:val="-6"/>
          <w:w w:val="105"/>
          <w:sz w:val="21"/>
        </w:rPr>
        <w:t> </w:t>
      </w:r>
      <w:r>
        <w:rPr>
          <w:w w:val="105"/>
          <w:sz w:val="21"/>
        </w:rPr>
        <w:t>a</w:t>
      </w:r>
      <w:r>
        <w:rPr>
          <w:spacing w:val="-6"/>
          <w:w w:val="105"/>
          <w:sz w:val="21"/>
        </w:rPr>
        <w:t> </w:t>
      </w:r>
      <w:r>
        <w:rPr>
          <w:w w:val="105"/>
          <w:sz w:val="21"/>
        </w:rPr>
        <w:t>tree</w:t>
      </w:r>
      <w:r>
        <w:rPr>
          <w:spacing w:val="-7"/>
          <w:w w:val="105"/>
          <w:sz w:val="21"/>
        </w:rPr>
        <w:t> </w:t>
      </w:r>
      <w:r>
        <w:rPr>
          <w:w w:val="105"/>
          <w:sz w:val="21"/>
        </w:rPr>
        <w:t>should</w:t>
      </w:r>
      <w:r>
        <w:rPr>
          <w:spacing w:val="-6"/>
          <w:w w:val="105"/>
          <w:sz w:val="21"/>
        </w:rPr>
        <w:t> </w:t>
      </w:r>
      <w:r>
        <w:rPr>
          <w:w w:val="105"/>
          <w:sz w:val="21"/>
        </w:rPr>
        <w:t>be</w:t>
      </w:r>
      <w:r>
        <w:rPr>
          <w:spacing w:val="-7"/>
          <w:w w:val="105"/>
          <w:sz w:val="21"/>
        </w:rPr>
        <w:t> </w:t>
      </w:r>
      <w:r>
        <w:rPr>
          <w:w w:val="105"/>
          <w:sz w:val="21"/>
        </w:rPr>
        <w:t>assessed</w:t>
      </w:r>
      <w:r>
        <w:rPr>
          <w:spacing w:val="-6"/>
          <w:w w:val="105"/>
          <w:sz w:val="21"/>
        </w:rPr>
        <w:t> </w:t>
      </w:r>
      <w:r>
        <w:rPr>
          <w:spacing w:val="-3"/>
          <w:w w:val="105"/>
          <w:sz w:val="21"/>
        </w:rPr>
        <w:t>through</w:t>
      </w:r>
      <w:r>
        <w:rPr>
          <w:spacing w:val="-6"/>
          <w:w w:val="105"/>
          <w:sz w:val="21"/>
        </w:rPr>
        <w:t> </w:t>
      </w:r>
      <w:r>
        <w:rPr>
          <w:w w:val="105"/>
          <w:sz w:val="21"/>
        </w:rPr>
        <w:t>a</w:t>
      </w:r>
      <w:r>
        <w:rPr>
          <w:spacing w:val="-7"/>
          <w:w w:val="105"/>
          <w:sz w:val="21"/>
        </w:rPr>
        <w:t> </w:t>
      </w:r>
      <w:r>
        <w:rPr>
          <w:w w:val="105"/>
          <w:sz w:val="21"/>
        </w:rPr>
        <w:t>cost-benefit model, stating </w:t>
      </w:r>
      <w:r>
        <w:rPr>
          <w:spacing w:val="-3"/>
          <w:w w:val="105"/>
          <w:sz w:val="21"/>
        </w:rPr>
        <w:t>‘if </w:t>
      </w:r>
      <w:r>
        <w:rPr>
          <w:w w:val="105"/>
          <w:sz w:val="21"/>
        </w:rPr>
        <w:t>the cost of </w:t>
      </w:r>
      <w:r>
        <w:rPr>
          <w:spacing w:val="-3"/>
          <w:w w:val="105"/>
          <w:sz w:val="21"/>
        </w:rPr>
        <w:t>repair </w:t>
      </w:r>
      <w:r>
        <w:rPr>
          <w:w w:val="105"/>
          <w:sz w:val="21"/>
        </w:rPr>
        <w:t>is </w:t>
      </w:r>
      <w:r>
        <w:rPr>
          <w:spacing w:val="-3"/>
          <w:w w:val="105"/>
          <w:sz w:val="21"/>
        </w:rPr>
        <w:t>greater than </w:t>
      </w:r>
      <w:r>
        <w:rPr>
          <w:w w:val="105"/>
          <w:sz w:val="21"/>
        </w:rPr>
        <w:t>the benefit the tree offers, then the tree can </w:t>
      </w:r>
      <w:r>
        <w:rPr>
          <w:spacing w:val="-6"/>
          <w:w w:val="105"/>
          <w:sz w:val="21"/>
        </w:rPr>
        <w:t>go’.</w:t>
      </w:r>
      <w:r>
        <w:rPr>
          <w:spacing w:val="-6"/>
          <w:w w:val="105"/>
          <w:position w:val="7"/>
          <w:sz w:val="12"/>
        </w:rPr>
        <w:t>72 </w:t>
      </w:r>
      <w:r>
        <w:rPr>
          <w:w w:val="105"/>
          <w:sz w:val="21"/>
        </w:rPr>
        <w:t>Dr Moore </w:t>
      </w:r>
      <w:r>
        <w:rPr>
          <w:spacing w:val="-3"/>
          <w:w w:val="105"/>
          <w:sz w:val="21"/>
        </w:rPr>
        <w:t>referred to quantifiable </w:t>
      </w:r>
      <w:r>
        <w:rPr>
          <w:w w:val="105"/>
          <w:sz w:val="21"/>
        </w:rPr>
        <w:t>benefits provided by</w:t>
      </w:r>
      <w:r>
        <w:rPr>
          <w:spacing w:val="2"/>
          <w:w w:val="105"/>
          <w:sz w:val="21"/>
        </w:rPr>
        <w:t> </w:t>
      </w:r>
      <w:r>
        <w:rPr>
          <w:w w:val="105"/>
          <w:sz w:val="21"/>
        </w:rPr>
        <w:t>trees:</w:t>
      </w:r>
    </w:p>
    <w:p>
      <w:pPr>
        <w:pStyle w:val="ListParagraph"/>
        <w:numPr>
          <w:ilvl w:val="2"/>
          <w:numId w:val="16"/>
        </w:numPr>
        <w:tabs>
          <w:tab w:pos="2721" w:val="left" w:leader="none"/>
          <w:tab w:pos="2722" w:val="left" w:leader="none"/>
        </w:tabs>
        <w:spacing w:line="240" w:lineRule="auto" w:before="123" w:after="0"/>
        <w:ind w:left="2721" w:right="0" w:hanging="340"/>
        <w:jc w:val="left"/>
        <w:rPr>
          <w:sz w:val="21"/>
        </w:rPr>
      </w:pPr>
      <w:r>
        <w:rPr>
          <w:spacing w:val="-4"/>
          <w:w w:val="105"/>
          <w:sz w:val="21"/>
        </w:rPr>
        <w:t>Trees </w:t>
      </w:r>
      <w:r>
        <w:rPr>
          <w:w w:val="105"/>
          <w:sz w:val="21"/>
        </w:rPr>
        <w:t>provide shade and </w:t>
      </w:r>
      <w:r>
        <w:rPr>
          <w:spacing w:val="-3"/>
          <w:w w:val="105"/>
          <w:sz w:val="21"/>
        </w:rPr>
        <w:t>natural cooling, </w:t>
      </w:r>
      <w:r>
        <w:rPr>
          <w:w w:val="105"/>
          <w:sz w:val="21"/>
        </w:rPr>
        <w:t>and </w:t>
      </w:r>
      <w:r>
        <w:rPr>
          <w:spacing w:val="-3"/>
          <w:w w:val="105"/>
          <w:sz w:val="21"/>
        </w:rPr>
        <w:t>reduce deaths during</w:t>
      </w:r>
      <w:r>
        <w:rPr>
          <w:spacing w:val="7"/>
          <w:w w:val="105"/>
          <w:sz w:val="21"/>
        </w:rPr>
        <w:t> </w:t>
      </w:r>
      <w:r>
        <w:rPr>
          <w:w w:val="105"/>
          <w:sz w:val="21"/>
        </w:rPr>
        <w:t>heat </w:t>
      </w:r>
      <w:r>
        <w:rPr>
          <w:spacing w:val="-3"/>
          <w:w w:val="105"/>
          <w:sz w:val="21"/>
        </w:rPr>
        <w:t>waves.</w:t>
      </w:r>
    </w:p>
    <w:p>
      <w:pPr>
        <w:pStyle w:val="ListParagraph"/>
        <w:numPr>
          <w:ilvl w:val="2"/>
          <w:numId w:val="16"/>
        </w:numPr>
        <w:tabs>
          <w:tab w:pos="2721" w:val="left" w:leader="none"/>
          <w:tab w:pos="2722" w:val="left" w:leader="none"/>
        </w:tabs>
        <w:spacing w:line="242" w:lineRule="auto" w:before="89" w:after="0"/>
        <w:ind w:left="2721" w:right="1821" w:hanging="340"/>
        <w:jc w:val="left"/>
        <w:rPr>
          <w:sz w:val="21"/>
        </w:rPr>
      </w:pPr>
      <w:r>
        <w:rPr>
          <w:w w:val="105"/>
          <w:sz w:val="21"/>
        </w:rPr>
        <w:t>In a </w:t>
      </w:r>
      <w:r>
        <w:rPr>
          <w:spacing w:val="-3"/>
          <w:w w:val="105"/>
          <w:sz w:val="21"/>
        </w:rPr>
        <w:t>storm, leaves </w:t>
      </w:r>
      <w:r>
        <w:rPr>
          <w:w w:val="105"/>
          <w:sz w:val="21"/>
        </w:rPr>
        <w:t>and </w:t>
      </w:r>
      <w:r>
        <w:rPr>
          <w:spacing w:val="-3"/>
          <w:w w:val="105"/>
          <w:sz w:val="21"/>
        </w:rPr>
        <w:t>branches </w:t>
      </w:r>
      <w:r>
        <w:rPr>
          <w:w w:val="105"/>
          <w:sz w:val="21"/>
        </w:rPr>
        <w:t>filter wind and </w:t>
      </w:r>
      <w:r>
        <w:rPr>
          <w:spacing w:val="-3"/>
          <w:w w:val="105"/>
          <w:sz w:val="21"/>
        </w:rPr>
        <w:t>remove </w:t>
      </w:r>
      <w:r>
        <w:rPr>
          <w:spacing w:val="-4"/>
          <w:w w:val="105"/>
          <w:sz w:val="21"/>
        </w:rPr>
        <w:t>force, </w:t>
      </w:r>
      <w:r>
        <w:rPr>
          <w:spacing w:val="-3"/>
          <w:w w:val="105"/>
          <w:sz w:val="21"/>
        </w:rPr>
        <w:t>preventing </w:t>
      </w:r>
      <w:r>
        <w:rPr>
          <w:w w:val="105"/>
          <w:sz w:val="21"/>
        </w:rPr>
        <w:t>damage </w:t>
      </w:r>
      <w:r>
        <w:rPr>
          <w:spacing w:val="-3"/>
          <w:w w:val="105"/>
          <w:sz w:val="21"/>
        </w:rPr>
        <w:t>to </w:t>
      </w:r>
      <w:r>
        <w:rPr>
          <w:w w:val="105"/>
          <w:sz w:val="21"/>
        </w:rPr>
        <w:t>property.</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pacing w:val="-4"/>
          <w:w w:val="105"/>
          <w:sz w:val="21"/>
        </w:rPr>
        <w:t>Trees</w:t>
      </w:r>
      <w:r>
        <w:rPr>
          <w:spacing w:val="4"/>
          <w:w w:val="105"/>
          <w:sz w:val="21"/>
        </w:rPr>
        <w:t> </w:t>
      </w:r>
      <w:r>
        <w:rPr>
          <w:w w:val="105"/>
          <w:sz w:val="21"/>
        </w:rPr>
        <w:t>in</w:t>
      </w:r>
      <w:r>
        <w:rPr>
          <w:spacing w:val="5"/>
          <w:w w:val="105"/>
          <w:sz w:val="21"/>
        </w:rPr>
        <w:t> </w:t>
      </w:r>
      <w:r>
        <w:rPr>
          <w:w w:val="105"/>
          <w:sz w:val="21"/>
        </w:rPr>
        <w:t>a</w:t>
      </w:r>
      <w:r>
        <w:rPr>
          <w:spacing w:val="5"/>
          <w:w w:val="105"/>
          <w:sz w:val="21"/>
        </w:rPr>
        <w:t> </w:t>
      </w:r>
      <w:r>
        <w:rPr>
          <w:spacing w:val="-3"/>
          <w:w w:val="105"/>
          <w:sz w:val="21"/>
        </w:rPr>
        <w:t>front</w:t>
      </w:r>
      <w:r>
        <w:rPr>
          <w:spacing w:val="5"/>
          <w:w w:val="105"/>
          <w:sz w:val="21"/>
        </w:rPr>
        <w:t> </w:t>
      </w:r>
      <w:r>
        <w:rPr>
          <w:w w:val="105"/>
          <w:sz w:val="21"/>
        </w:rPr>
        <w:t>garden</w:t>
      </w:r>
      <w:r>
        <w:rPr>
          <w:spacing w:val="4"/>
          <w:w w:val="105"/>
          <w:sz w:val="21"/>
        </w:rPr>
        <w:t> </w:t>
      </w:r>
      <w:r>
        <w:rPr>
          <w:w w:val="105"/>
          <w:sz w:val="21"/>
        </w:rPr>
        <w:t>add</w:t>
      </w:r>
      <w:r>
        <w:rPr>
          <w:spacing w:val="5"/>
          <w:w w:val="105"/>
          <w:sz w:val="21"/>
        </w:rPr>
        <w:t> </w:t>
      </w:r>
      <w:r>
        <w:rPr>
          <w:spacing w:val="-3"/>
          <w:w w:val="105"/>
          <w:sz w:val="21"/>
        </w:rPr>
        <w:t>to</w:t>
      </w:r>
      <w:r>
        <w:rPr>
          <w:spacing w:val="5"/>
          <w:w w:val="105"/>
          <w:sz w:val="21"/>
        </w:rPr>
        <w:t> </w:t>
      </w:r>
      <w:r>
        <w:rPr>
          <w:w w:val="105"/>
          <w:sz w:val="21"/>
        </w:rPr>
        <w:t>the</w:t>
      </w:r>
      <w:r>
        <w:rPr>
          <w:spacing w:val="5"/>
          <w:w w:val="105"/>
          <w:sz w:val="21"/>
        </w:rPr>
        <w:t> </w:t>
      </w:r>
      <w:r>
        <w:rPr>
          <w:spacing w:val="-3"/>
          <w:w w:val="105"/>
          <w:sz w:val="21"/>
        </w:rPr>
        <w:t>value</w:t>
      </w:r>
      <w:r>
        <w:rPr>
          <w:spacing w:val="4"/>
          <w:w w:val="105"/>
          <w:sz w:val="21"/>
        </w:rPr>
        <w:t> </w:t>
      </w:r>
      <w:r>
        <w:rPr>
          <w:w w:val="105"/>
          <w:sz w:val="21"/>
        </w:rPr>
        <w:t>of</w:t>
      </w:r>
      <w:r>
        <w:rPr>
          <w:spacing w:val="5"/>
          <w:w w:val="105"/>
          <w:sz w:val="21"/>
        </w:rPr>
        <w:t> </w:t>
      </w:r>
      <w:r>
        <w:rPr>
          <w:w w:val="105"/>
          <w:sz w:val="21"/>
        </w:rPr>
        <w:t>a</w:t>
      </w:r>
      <w:r>
        <w:rPr>
          <w:spacing w:val="5"/>
          <w:w w:val="105"/>
          <w:sz w:val="21"/>
        </w:rPr>
        <w:t> </w:t>
      </w:r>
      <w:r>
        <w:rPr>
          <w:spacing w:val="-3"/>
          <w:w w:val="105"/>
          <w:sz w:val="21"/>
        </w:rPr>
        <w:t>suburban</w:t>
      </w:r>
      <w:r>
        <w:rPr>
          <w:spacing w:val="5"/>
          <w:w w:val="105"/>
          <w:sz w:val="21"/>
        </w:rPr>
        <w:t> </w:t>
      </w:r>
      <w:r>
        <w:rPr>
          <w:spacing w:val="-4"/>
          <w:w w:val="105"/>
          <w:sz w:val="21"/>
        </w:rPr>
        <w:t>house.</w:t>
      </w:r>
      <w:r>
        <w:rPr>
          <w:spacing w:val="-4"/>
          <w:w w:val="105"/>
          <w:position w:val="7"/>
          <w:sz w:val="12"/>
        </w:rPr>
        <w:t>73</w:t>
      </w:r>
    </w:p>
    <w:p>
      <w:pPr>
        <w:pStyle w:val="ListParagraph"/>
        <w:numPr>
          <w:ilvl w:val="1"/>
          <w:numId w:val="16"/>
        </w:numPr>
        <w:tabs>
          <w:tab w:pos="2381" w:val="left" w:leader="none"/>
          <w:tab w:pos="2382" w:val="left" w:leader="none"/>
        </w:tabs>
        <w:spacing w:line="242" w:lineRule="auto" w:before="89" w:after="0"/>
        <w:ind w:left="2381" w:right="1649" w:hanging="794"/>
        <w:jc w:val="left"/>
        <w:rPr>
          <w:sz w:val="21"/>
        </w:rPr>
      </w:pPr>
      <w:r>
        <w:rPr>
          <w:w w:val="105"/>
          <w:sz w:val="21"/>
        </w:rPr>
        <w:t>Dr Moore suggested </w:t>
      </w:r>
      <w:r>
        <w:rPr>
          <w:spacing w:val="-3"/>
          <w:w w:val="105"/>
          <w:sz w:val="21"/>
        </w:rPr>
        <w:t>that </w:t>
      </w:r>
      <w:r>
        <w:rPr>
          <w:spacing w:val="-6"/>
          <w:w w:val="105"/>
          <w:sz w:val="21"/>
        </w:rPr>
        <w:t>VCAT’s </w:t>
      </w:r>
      <w:r>
        <w:rPr>
          <w:spacing w:val="-3"/>
          <w:w w:val="105"/>
          <w:sz w:val="21"/>
        </w:rPr>
        <w:t>current </w:t>
      </w:r>
      <w:r>
        <w:rPr>
          <w:w w:val="105"/>
          <w:sz w:val="21"/>
        </w:rPr>
        <w:t>processes and </w:t>
      </w:r>
      <w:r>
        <w:rPr>
          <w:spacing w:val="-3"/>
          <w:w w:val="105"/>
          <w:sz w:val="21"/>
        </w:rPr>
        <w:t>procedures </w:t>
      </w:r>
      <w:r>
        <w:rPr>
          <w:w w:val="105"/>
          <w:sz w:val="21"/>
        </w:rPr>
        <w:t>in matters </w:t>
      </w:r>
      <w:r>
        <w:rPr>
          <w:spacing w:val="-3"/>
          <w:w w:val="105"/>
          <w:sz w:val="21"/>
        </w:rPr>
        <w:t>concerning </w:t>
      </w:r>
      <w:r>
        <w:rPr>
          <w:w w:val="105"/>
          <w:sz w:val="21"/>
        </w:rPr>
        <w:t>vegetation can </w:t>
      </w:r>
      <w:r>
        <w:rPr>
          <w:spacing w:val="-3"/>
          <w:w w:val="105"/>
          <w:sz w:val="21"/>
        </w:rPr>
        <w:t>result </w:t>
      </w:r>
      <w:r>
        <w:rPr>
          <w:w w:val="105"/>
          <w:sz w:val="21"/>
        </w:rPr>
        <w:t>in </w:t>
      </w:r>
      <w:r>
        <w:rPr>
          <w:spacing w:val="-3"/>
          <w:w w:val="105"/>
          <w:sz w:val="21"/>
        </w:rPr>
        <w:t>outcomes that disregard </w:t>
      </w:r>
      <w:r>
        <w:rPr>
          <w:w w:val="105"/>
          <w:sz w:val="21"/>
        </w:rPr>
        <w:t>or overlook the merits of the</w:t>
      </w:r>
      <w:r>
        <w:rPr>
          <w:spacing w:val="-19"/>
          <w:w w:val="105"/>
          <w:sz w:val="21"/>
        </w:rPr>
        <w:t> </w:t>
      </w:r>
      <w:r>
        <w:rPr>
          <w:spacing w:val="-6"/>
          <w:w w:val="105"/>
          <w:sz w:val="21"/>
        </w:rPr>
        <w:t>tree.</w:t>
      </w:r>
      <w:r>
        <w:rPr>
          <w:spacing w:val="-6"/>
          <w:w w:val="105"/>
          <w:position w:val="7"/>
          <w:sz w:val="12"/>
        </w:rPr>
        <w:t>74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r>
        <w:rPr/>
        <w:pict>
          <v:line style="position:absolute;mso-position-horizontal-relative:page;mso-position-vertical-relative:paragraph;z-index:7736;mso-wrap-distance-left:0;mso-wrap-distance-right:0" from="79.370102pt,13.757483pt" to="515.905102pt,13.75748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40"/>
        </w:rPr>
      </w:pPr>
    </w:p>
    <w:p>
      <w:pPr>
        <w:spacing w:before="0"/>
        <w:ind w:left="720" w:right="0" w:firstLine="0"/>
        <w:jc w:val="left"/>
        <w:rPr>
          <w:b/>
          <w:sz w:val="24"/>
        </w:rPr>
      </w:pPr>
      <w:r>
        <w:rPr>
          <w:b/>
          <w:color w:val="658464"/>
          <w:spacing w:val="-6"/>
          <w:w w:val="110"/>
          <w:sz w:val="24"/>
        </w:rPr>
        <w:t>170</w:t>
      </w:r>
    </w:p>
    <w:p>
      <w:pPr>
        <w:pStyle w:val="ListParagraph"/>
        <w:numPr>
          <w:ilvl w:val="0"/>
          <w:numId w:val="129"/>
        </w:numPr>
        <w:tabs>
          <w:tab w:pos="1237" w:val="left" w:leader="none"/>
          <w:tab w:pos="1239" w:val="left" w:leader="none"/>
        </w:tabs>
        <w:spacing w:line="240" w:lineRule="auto" w:before="48" w:after="0"/>
        <w:ind w:left="1238" w:right="1984" w:hanging="794"/>
        <w:jc w:val="left"/>
        <w:rPr>
          <w:sz w:val="13"/>
        </w:rPr>
      </w:pPr>
      <w:r>
        <w:rPr>
          <w:w w:val="108"/>
          <w:sz w:val="13"/>
        </w:rPr>
        <w:br w:type="column"/>
      </w:r>
      <w:r>
        <w:rPr>
          <w:w w:val="105"/>
          <w:sz w:val="13"/>
        </w:rPr>
        <w:t>Submission 9 </w:t>
      </w:r>
      <w:r>
        <w:rPr>
          <w:spacing w:val="3"/>
          <w:w w:val="105"/>
          <w:sz w:val="13"/>
        </w:rPr>
        <w:t>(Dr </w:t>
      </w:r>
      <w:r>
        <w:rPr>
          <w:w w:val="105"/>
          <w:sz w:val="13"/>
        </w:rPr>
        <w:t>Karen Smith); Consultations 6 </w:t>
      </w:r>
      <w:r>
        <w:rPr>
          <w:spacing w:val="2"/>
          <w:w w:val="105"/>
          <w:sz w:val="13"/>
        </w:rPr>
        <w:t>(Ben </w:t>
      </w:r>
      <w:r>
        <w:rPr>
          <w:w w:val="105"/>
          <w:sz w:val="13"/>
        </w:rPr>
        <w:t>Kenyon), 8 (City of Boroondara), 9 (Nillumbik Shire Council), 10 </w:t>
      </w:r>
      <w:r>
        <w:rPr>
          <w:spacing w:val="2"/>
          <w:w w:val="105"/>
          <w:sz w:val="13"/>
        </w:rPr>
        <w:t>(Baw </w:t>
      </w:r>
      <w:r>
        <w:rPr>
          <w:w w:val="105"/>
          <w:sz w:val="13"/>
        </w:rPr>
        <w:t>Baw Shire Council), </w:t>
      </w:r>
      <w:r>
        <w:rPr>
          <w:spacing w:val="-6"/>
          <w:w w:val="105"/>
          <w:sz w:val="13"/>
        </w:rPr>
        <w:t>11 </w:t>
      </w:r>
      <w:r>
        <w:rPr>
          <w:spacing w:val="2"/>
          <w:w w:val="105"/>
          <w:sz w:val="13"/>
        </w:rPr>
        <w:t>(Land </w:t>
      </w:r>
      <w:r>
        <w:rPr>
          <w:w w:val="105"/>
          <w:sz w:val="13"/>
        </w:rPr>
        <w:t>and Environment Court of New South Wales), </w:t>
      </w:r>
      <w:r>
        <w:rPr>
          <w:spacing w:val="-4"/>
          <w:w w:val="105"/>
          <w:sz w:val="13"/>
        </w:rPr>
        <w:t>12 </w:t>
      </w:r>
      <w:r>
        <w:rPr>
          <w:w w:val="105"/>
          <w:sz w:val="13"/>
        </w:rPr>
        <w:t>(City of Port</w:t>
      </w:r>
      <w:r>
        <w:rPr>
          <w:spacing w:val="28"/>
          <w:w w:val="105"/>
          <w:sz w:val="13"/>
        </w:rPr>
        <w:t> </w:t>
      </w:r>
      <w:r>
        <w:rPr>
          <w:w w:val="105"/>
          <w:sz w:val="13"/>
        </w:rPr>
        <w:t>Phillip).</w:t>
      </w:r>
    </w:p>
    <w:p>
      <w:pPr>
        <w:pStyle w:val="ListParagraph"/>
        <w:numPr>
          <w:ilvl w:val="0"/>
          <w:numId w:val="129"/>
        </w:numPr>
        <w:tabs>
          <w:tab w:pos="1238" w:val="left" w:leader="none"/>
          <w:tab w:pos="1239" w:val="left" w:leader="none"/>
        </w:tabs>
        <w:spacing w:line="240" w:lineRule="auto" w:before="3" w:after="0"/>
        <w:ind w:left="1238" w:right="1832" w:hanging="794"/>
        <w:jc w:val="left"/>
        <w:rPr>
          <w:sz w:val="13"/>
        </w:rPr>
      </w:pPr>
      <w:r>
        <w:rPr>
          <w:w w:val="105"/>
          <w:sz w:val="13"/>
        </w:rPr>
        <w:t>Submissions 18 (ENSPEC), </w:t>
      </w:r>
      <w:r>
        <w:rPr>
          <w:spacing w:val="-3"/>
          <w:w w:val="105"/>
          <w:sz w:val="13"/>
        </w:rPr>
        <w:t>19  </w:t>
      </w:r>
      <w:r>
        <w:rPr>
          <w:spacing w:val="2"/>
          <w:w w:val="105"/>
          <w:sz w:val="13"/>
        </w:rPr>
        <w:t>(Name </w:t>
      </w:r>
      <w:r>
        <w:rPr>
          <w:w w:val="105"/>
          <w:sz w:val="13"/>
        </w:rPr>
        <w:t>Withheld), 25 (City of Boroondara); 29 (David Galwey); Consultations 2 </w:t>
      </w:r>
      <w:r>
        <w:rPr>
          <w:spacing w:val="3"/>
          <w:w w:val="105"/>
          <w:sz w:val="13"/>
        </w:rPr>
        <w:t>(Dr </w:t>
      </w:r>
      <w:r>
        <w:rPr>
          <w:w w:val="105"/>
          <w:sz w:val="13"/>
        </w:rPr>
        <w:t>Gregory Moore </w:t>
      </w:r>
      <w:r>
        <w:rPr>
          <w:spacing w:val="2"/>
          <w:w w:val="105"/>
          <w:sz w:val="13"/>
        </w:rPr>
        <w:t>OAM),   </w:t>
      </w:r>
      <w:r>
        <w:rPr>
          <w:spacing w:val="-3"/>
          <w:w w:val="105"/>
          <w:sz w:val="13"/>
        </w:rPr>
        <w:t>14 </w:t>
      </w:r>
      <w:r>
        <w:rPr>
          <w:spacing w:val="2"/>
          <w:w w:val="105"/>
          <w:sz w:val="13"/>
        </w:rPr>
        <w:t>(Robert</w:t>
      </w:r>
      <w:r>
        <w:rPr>
          <w:spacing w:val="11"/>
          <w:w w:val="105"/>
          <w:sz w:val="13"/>
        </w:rPr>
        <w:t> </w:t>
      </w:r>
      <w:r>
        <w:rPr>
          <w:spacing w:val="2"/>
          <w:w w:val="105"/>
          <w:sz w:val="13"/>
        </w:rPr>
        <w:t>Mineo).</w:t>
      </w:r>
    </w:p>
    <w:p>
      <w:pPr>
        <w:pStyle w:val="ListParagraph"/>
        <w:numPr>
          <w:ilvl w:val="0"/>
          <w:numId w:val="129"/>
        </w:numPr>
        <w:tabs>
          <w:tab w:pos="1238" w:val="left" w:leader="none"/>
          <w:tab w:pos="1239" w:val="left" w:leader="none"/>
        </w:tabs>
        <w:spacing w:line="240" w:lineRule="auto" w:before="2" w:after="0"/>
        <w:ind w:left="1238" w:right="0" w:hanging="794"/>
        <w:jc w:val="left"/>
        <w:rPr>
          <w:sz w:val="13"/>
        </w:rPr>
      </w:pPr>
      <w:r>
        <w:rPr>
          <w:w w:val="105"/>
          <w:sz w:val="13"/>
        </w:rPr>
        <w:t>Submission 9 </w:t>
      </w:r>
      <w:r>
        <w:rPr>
          <w:spacing w:val="3"/>
          <w:w w:val="105"/>
          <w:sz w:val="13"/>
        </w:rPr>
        <w:t>(Dr </w:t>
      </w:r>
      <w:r>
        <w:rPr>
          <w:w w:val="105"/>
          <w:sz w:val="13"/>
        </w:rPr>
        <w:t>Karen</w:t>
      </w:r>
      <w:r>
        <w:rPr>
          <w:spacing w:val="15"/>
          <w:w w:val="105"/>
          <w:sz w:val="13"/>
        </w:rPr>
        <w:t> </w:t>
      </w:r>
      <w:r>
        <w:rPr>
          <w:w w:val="105"/>
          <w:sz w:val="13"/>
        </w:rPr>
        <w:t>Smith).</w:t>
      </w:r>
    </w:p>
    <w:p>
      <w:pPr>
        <w:pStyle w:val="ListParagraph"/>
        <w:numPr>
          <w:ilvl w:val="0"/>
          <w:numId w:val="129"/>
        </w:numPr>
        <w:tabs>
          <w:tab w:pos="1238" w:val="left" w:leader="none"/>
          <w:tab w:pos="1239" w:val="left" w:leader="none"/>
        </w:tabs>
        <w:spacing w:line="240" w:lineRule="auto" w:before="2" w:after="0"/>
        <w:ind w:left="1238" w:right="0" w:hanging="794"/>
        <w:jc w:val="left"/>
        <w:rPr>
          <w:sz w:val="13"/>
        </w:rPr>
      </w:pPr>
      <w:r>
        <w:rPr>
          <w:w w:val="105"/>
          <w:sz w:val="13"/>
        </w:rPr>
        <w:t>Consultation 6 </w:t>
      </w:r>
      <w:r>
        <w:rPr>
          <w:spacing w:val="2"/>
          <w:w w:val="105"/>
          <w:sz w:val="13"/>
        </w:rPr>
        <w:t>(Ben</w:t>
      </w:r>
      <w:r>
        <w:rPr>
          <w:spacing w:val="13"/>
          <w:w w:val="105"/>
          <w:sz w:val="13"/>
        </w:rPr>
        <w:t> </w:t>
      </w:r>
      <w:r>
        <w:rPr>
          <w:w w:val="105"/>
          <w:sz w:val="13"/>
        </w:rPr>
        <w:t>Kenyon).</w:t>
      </w:r>
    </w:p>
    <w:p>
      <w:pPr>
        <w:pStyle w:val="ListParagraph"/>
        <w:numPr>
          <w:ilvl w:val="0"/>
          <w:numId w:val="129"/>
        </w:numPr>
        <w:tabs>
          <w:tab w:pos="1238" w:val="left" w:leader="none"/>
          <w:tab w:pos="1239" w:val="left" w:leader="none"/>
        </w:tabs>
        <w:spacing w:line="240" w:lineRule="auto" w:before="1" w:after="0"/>
        <w:ind w:left="1238" w:right="0" w:hanging="794"/>
        <w:jc w:val="left"/>
        <w:rPr>
          <w:sz w:val="13"/>
        </w:rPr>
      </w:pPr>
      <w:r>
        <w:rPr>
          <w:w w:val="105"/>
          <w:sz w:val="13"/>
        </w:rPr>
        <w:t>Submission 29 (David</w:t>
      </w:r>
      <w:r>
        <w:rPr>
          <w:spacing w:val="13"/>
          <w:w w:val="105"/>
          <w:sz w:val="13"/>
        </w:rPr>
        <w:t> </w:t>
      </w:r>
      <w:r>
        <w:rPr>
          <w:w w:val="105"/>
          <w:sz w:val="13"/>
        </w:rPr>
        <w:t>Galwey).</w:t>
      </w:r>
    </w:p>
    <w:p>
      <w:pPr>
        <w:pStyle w:val="ListParagraph"/>
        <w:numPr>
          <w:ilvl w:val="0"/>
          <w:numId w:val="129"/>
        </w:numPr>
        <w:tabs>
          <w:tab w:pos="1238" w:val="left" w:leader="none"/>
          <w:tab w:pos="1239" w:val="left" w:leader="none"/>
        </w:tabs>
        <w:spacing w:line="240" w:lineRule="auto" w:before="1" w:after="0"/>
        <w:ind w:left="1238" w:right="0" w:hanging="794"/>
        <w:jc w:val="left"/>
        <w:rPr>
          <w:sz w:val="13"/>
        </w:rPr>
      </w:pPr>
      <w:r>
        <w:rPr>
          <w:w w:val="105"/>
          <w:sz w:val="13"/>
        </w:rPr>
        <w:t>Submissions</w:t>
      </w:r>
      <w:r>
        <w:rPr>
          <w:spacing w:val="5"/>
          <w:w w:val="105"/>
          <w:sz w:val="13"/>
        </w:rPr>
        <w:t> </w:t>
      </w:r>
      <w:r>
        <w:rPr>
          <w:w w:val="105"/>
          <w:sz w:val="13"/>
        </w:rPr>
        <w:t>7</w:t>
      </w:r>
      <w:r>
        <w:rPr>
          <w:spacing w:val="6"/>
          <w:w w:val="105"/>
          <w:sz w:val="13"/>
        </w:rPr>
        <w:t> </w:t>
      </w:r>
      <w:r>
        <w:rPr>
          <w:spacing w:val="2"/>
          <w:w w:val="105"/>
          <w:sz w:val="13"/>
        </w:rPr>
        <w:t>(Ben</w:t>
      </w:r>
      <w:r>
        <w:rPr>
          <w:spacing w:val="5"/>
          <w:w w:val="105"/>
          <w:sz w:val="13"/>
        </w:rPr>
        <w:t> </w:t>
      </w:r>
      <w:r>
        <w:rPr>
          <w:w w:val="105"/>
          <w:sz w:val="13"/>
        </w:rPr>
        <w:t>Kenyon),</w:t>
      </w:r>
      <w:r>
        <w:rPr>
          <w:spacing w:val="6"/>
          <w:w w:val="105"/>
          <w:sz w:val="13"/>
        </w:rPr>
        <w:t> </w:t>
      </w:r>
      <w:r>
        <w:rPr>
          <w:w w:val="105"/>
          <w:sz w:val="13"/>
        </w:rPr>
        <w:t>18</w:t>
      </w:r>
      <w:r>
        <w:rPr>
          <w:spacing w:val="6"/>
          <w:w w:val="105"/>
          <w:sz w:val="13"/>
        </w:rPr>
        <w:t> </w:t>
      </w:r>
      <w:r>
        <w:rPr>
          <w:w w:val="105"/>
          <w:sz w:val="13"/>
        </w:rPr>
        <w:t>(ENSPEC),</w:t>
      </w:r>
      <w:r>
        <w:rPr>
          <w:spacing w:val="5"/>
          <w:w w:val="105"/>
          <w:sz w:val="13"/>
        </w:rPr>
        <w:t> </w:t>
      </w:r>
      <w:r>
        <w:rPr>
          <w:w w:val="105"/>
          <w:sz w:val="13"/>
        </w:rPr>
        <w:t>25</w:t>
      </w:r>
      <w:r>
        <w:rPr>
          <w:spacing w:val="6"/>
          <w:w w:val="105"/>
          <w:sz w:val="13"/>
        </w:rPr>
        <w:t> </w:t>
      </w:r>
      <w:r>
        <w:rPr>
          <w:w w:val="105"/>
          <w:sz w:val="13"/>
        </w:rPr>
        <w:t>(City</w:t>
      </w:r>
      <w:r>
        <w:rPr>
          <w:spacing w:val="6"/>
          <w:w w:val="105"/>
          <w:sz w:val="13"/>
        </w:rPr>
        <w:t> </w:t>
      </w:r>
      <w:r>
        <w:rPr>
          <w:w w:val="105"/>
          <w:sz w:val="13"/>
        </w:rPr>
        <w:t>of</w:t>
      </w:r>
      <w:r>
        <w:rPr>
          <w:spacing w:val="5"/>
          <w:w w:val="105"/>
          <w:sz w:val="13"/>
        </w:rPr>
        <w:t> </w:t>
      </w:r>
      <w:r>
        <w:rPr>
          <w:w w:val="105"/>
          <w:sz w:val="13"/>
        </w:rPr>
        <w:t>Boroondara);</w:t>
      </w:r>
      <w:r>
        <w:rPr>
          <w:spacing w:val="6"/>
          <w:w w:val="105"/>
          <w:sz w:val="13"/>
        </w:rPr>
        <w:t> </w:t>
      </w:r>
      <w:r>
        <w:rPr>
          <w:w w:val="105"/>
          <w:sz w:val="13"/>
        </w:rPr>
        <w:t>27</w:t>
      </w:r>
      <w:r>
        <w:rPr>
          <w:spacing w:val="6"/>
          <w:w w:val="105"/>
          <w:sz w:val="13"/>
        </w:rPr>
        <w:t> </w:t>
      </w:r>
      <w:r>
        <w:rPr>
          <w:spacing w:val="2"/>
          <w:w w:val="105"/>
          <w:sz w:val="13"/>
        </w:rPr>
        <w:t>(Name</w:t>
      </w:r>
      <w:r>
        <w:rPr>
          <w:spacing w:val="5"/>
          <w:w w:val="105"/>
          <w:sz w:val="13"/>
        </w:rPr>
        <w:t> </w:t>
      </w:r>
      <w:r>
        <w:rPr>
          <w:w w:val="105"/>
          <w:sz w:val="13"/>
        </w:rPr>
        <w:t>withheld);</w:t>
      </w:r>
      <w:r>
        <w:rPr>
          <w:spacing w:val="6"/>
          <w:w w:val="105"/>
          <w:sz w:val="13"/>
        </w:rPr>
        <w:t> </w:t>
      </w:r>
      <w:r>
        <w:rPr>
          <w:w w:val="105"/>
          <w:sz w:val="13"/>
        </w:rPr>
        <w:t>Consultation</w:t>
      </w:r>
      <w:r>
        <w:rPr>
          <w:spacing w:val="6"/>
          <w:w w:val="105"/>
          <w:sz w:val="13"/>
        </w:rPr>
        <w:t> </w:t>
      </w:r>
      <w:r>
        <w:rPr>
          <w:w w:val="105"/>
          <w:sz w:val="13"/>
        </w:rPr>
        <w:t>2</w:t>
      </w:r>
      <w:r>
        <w:rPr>
          <w:spacing w:val="5"/>
          <w:w w:val="105"/>
          <w:sz w:val="13"/>
        </w:rPr>
        <w:t> </w:t>
      </w:r>
      <w:r>
        <w:rPr>
          <w:spacing w:val="3"/>
          <w:w w:val="105"/>
          <w:sz w:val="13"/>
        </w:rPr>
        <w:t>(Dr</w:t>
      </w:r>
      <w:r>
        <w:rPr>
          <w:spacing w:val="6"/>
          <w:w w:val="105"/>
          <w:sz w:val="13"/>
        </w:rPr>
        <w:t> </w:t>
      </w:r>
      <w:r>
        <w:rPr>
          <w:w w:val="105"/>
          <w:sz w:val="13"/>
        </w:rPr>
        <w:t>Gregory</w:t>
      </w:r>
      <w:r>
        <w:rPr>
          <w:spacing w:val="6"/>
          <w:w w:val="105"/>
          <w:sz w:val="13"/>
        </w:rPr>
        <w:t> </w:t>
      </w:r>
      <w:r>
        <w:rPr>
          <w:w w:val="105"/>
          <w:sz w:val="13"/>
        </w:rPr>
        <w:t>Moore</w:t>
      </w:r>
      <w:r>
        <w:rPr>
          <w:spacing w:val="5"/>
          <w:w w:val="105"/>
          <w:sz w:val="13"/>
        </w:rPr>
        <w:t> </w:t>
      </w:r>
      <w:r>
        <w:rPr>
          <w:spacing w:val="2"/>
          <w:w w:val="105"/>
          <w:sz w:val="13"/>
        </w:rPr>
        <w:t>OAM).</w:t>
      </w:r>
    </w:p>
    <w:p>
      <w:pPr>
        <w:pStyle w:val="ListParagraph"/>
        <w:numPr>
          <w:ilvl w:val="0"/>
          <w:numId w:val="129"/>
        </w:numPr>
        <w:tabs>
          <w:tab w:pos="1238" w:val="left" w:leader="none"/>
          <w:tab w:pos="1239" w:val="left" w:leader="none"/>
        </w:tabs>
        <w:spacing w:line="240" w:lineRule="auto" w:before="2" w:after="0"/>
        <w:ind w:left="1238" w:right="0" w:hanging="794"/>
        <w:jc w:val="left"/>
        <w:rPr>
          <w:sz w:val="13"/>
        </w:rPr>
      </w:pPr>
      <w:r>
        <w:rPr>
          <w:w w:val="105"/>
          <w:sz w:val="13"/>
        </w:rPr>
        <w:t>Submission 25 (City of</w:t>
      </w:r>
      <w:r>
        <w:rPr>
          <w:spacing w:val="18"/>
          <w:w w:val="105"/>
          <w:sz w:val="13"/>
        </w:rPr>
        <w:t> </w:t>
      </w:r>
      <w:r>
        <w:rPr>
          <w:w w:val="105"/>
          <w:sz w:val="13"/>
        </w:rPr>
        <w:t>Boroondara).</w:t>
      </w:r>
    </w:p>
    <w:p>
      <w:pPr>
        <w:pStyle w:val="ListParagraph"/>
        <w:numPr>
          <w:ilvl w:val="0"/>
          <w:numId w:val="129"/>
        </w:numPr>
        <w:tabs>
          <w:tab w:pos="1238" w:val="left" w:leader="none"/>
          <w:tab w:pos="1239" w:val="left" w:leader="none"/>
        </w:tabs>
        <w:spacing w:line="240" w:lineRule="auto" w:before="1" w:after="0"/>
        <w:ind w:left="1238" w:right="0" w:hanging="794"/>
        <w:jc w:val="left"/>
        <w:rPr>
          <w:sz w:val="13"/>
        </w:rPr>
      </w:pPr>
      <w:r>
        <w:rPr>
          <w:w w:val="105"/>
          <w:sz w:val="13"/>
        </w:rPr>
        <w:t>Supplementary Consultation 1 (Victorian Civil and Administrative</w:t>
      </w:r>
      <w:r>
        <w:rPr>
          <w:spacing w:val="2"/>
          <w:w w:val="105"/>
          <w:sz w:val="13"/>
        </w:rPr>
        <w:t> </w:t>
      </w:r>
      <w:r>
        <w:rPr>
          <w:w w:val="105"/>
          <w:sz w:val="13"/>
        </w:rPr>
        <w:t>Tribunal).</w:t>
      </w:r>
    </w:p>
    <w:p>
      <w:pPr>
        <w:pStyle w:val="ListParagraph"/>
        <w:numPr>
          <w:ilvl w:val="0"/>
          <w:numId w:val="129"/>
        </w:numPr>
        <w:tabs>
          <w:tab w:pos="1238" w:val="left" w:leader="none"/>
          <w:tab w:pos="1239" w:val="left" w:leader="none"/>
        </w:tabs>
        <w:spacing w:line="240" w:lineRule="auto" w:before="1" w:after="0"/>
        <w:ind w:left="1238" w:right="0" w:hanging="794"/>
        <w:jc w:val="left"/>
        <w:rPr>
          <w:sz w:val="13"/>
        </w:rPr>
      </w:pPr>
      <w:r>
        <w:rPr>
          <w:w w:val="105"/>
          <w:sz w:val="13"/>
        </w:rPr>
        <w:t>Consultation 2 </w:t>
      </w:r>
      <w:r>
        <w:rPr>
          <w:spacing w:val="3"/>
          <w:w w:val="105"/>
          <w:sz w:val="13"/>
        </w:rPr>
        <w:t>(Dr </w:t>
      </w:r>
      <w:r>
        <w:rPr>
          <w:w w:val="105"/>
          <w:sz w:val="13"/>
        </w:rPr>
        <w:t>Gregory Moore</w:t>
      </w:r>
      <w:r>
        <w:rPr>
          <w:spacing w:val="20"/>
          <w:w w:val="105"/>
          <w:sz w:val="13"/>
        </w:rPr>
        <w:t> </w:t>
      </w:r>
      <w:r>
        <w:rPr>
          <w:spacing w:val="2"/>
          <w:w w:val="105"/>
          <w:sz w:val="13"/>
        </w:rPr>
        <w:t>OAM).</w:t>
      </w:r>
    </w:p>
    <w:p>
      <w:pPr>
        <w:pStyle w:val="ListParagraph"/>
        <w:numPr>
          <w:ilvl w:val="0"/>
          <w:numId w:val="129"/>
        </w:numPr>
        <w:tabs>
          <w:tab w:pos="1238" w:val="left" w:leader="none"/>
          <w:tab w:pos="1239" w:val="left" w:leader="none"/>
        </w:tabs>
        <w:spacing w:line="240" w:lineRule="auto" w:before="2" w:after="0"/>
        <w:ind w:left="1238" w:right="0" w:hanging="794"/>
        <w:jc w:val="left"/>
        <w:rPr>
          <w:sz w:val="13"/>
        </w:rPr>
      </w:pPr>
      <w:r>
        <w:rPr>
          <w:sz w:val="13"/>
        </w:rPr>
        <w:t>Ibid.</w:t>
      </w:r>
    </w:p>
    <w:p>
      <w:pPr>
        <w:pStyle w:val="ListParagraph"/>
        <w:numPr>
          <w:ilvl w:val="0"/>
          <w:numId w:val="129"/>
        </w:numPr>
        <w:tabs>
          <w:tab w:pos="1238" w:val="left" w:leader="none"/>
          <w:tab w:pos="1239" w:val="left" w:leader="none"/>
        </w:tabs>
        <w:spacing w:line="240" w:lineRule="auto" w:before="1" w:after="0"/>
        <w:ind w:left="1238" w:right="0" w:hanging="794"/>
        <w:jc w:val="left"/>
        <w:rPr>
          <w:sz w:val="13"/>
        </w:rPr>
      </w:pPr>
      <w:r>
        <w:rPr>
          <w:sz w:val="13"/>
        </w:rPr>
        <w:t>Ibid.</w:t>
      </w:r>
    </w:p>
    <w:p>
      <w:pPr>
        <w:spacing w:after="0" w:line="240" w:lineRule="auto"/>
        <w:jc w:val="left"/>
        <w:rPr>
          <w:sz w:val="13"/>
        </w:rPr>
        <w:sectPr>
          <w:type w:val="continuous"/>
          <w:pgSz w:w="11910" w:h="16840"/>
          <w:pgMar w:top="300" w:bottom="280" w:left="0" w:right="0"/>
          <w:cols w:num="2" w:equalWidth="0">
            <w:col w:w="1104" w:space="40"/>
            <w:col w:w="10766"/>
          </w:cols>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631" w:hanging="794"/>
        <w:jc w:val="left"/>
        <w:rPr>
          <w:sz w:val="21"/>
        </w:rPr>
      </w:pPr>
      <w:r>
        <w:rPr>
          <w:spacing w:val="-3"/>
          <w:w w:val="105"/>
          <w:sz w:val="21"/>
        </w:rPr>
        <w:t>ENSPEC </w:t>
      </w:r>
      <w:r>
        <w:rPr>
          <w:spacing w:val="-2"/>
          <w:w w:val="105"/>
          <w:sz w:val="21"/>
        </w:rPr>
        <w:t>submitted </w:t>
      </w:r>
      <w:r>
        <w:rPr>
          <w:spacing w:val="-3"/>
          <w:w w:val="105"/>
          <w:sz w:val="21"/>
        </w:rPr>
        <w:t>that </w:t>
      </w:r>
      <w:r>
        <w:rPr>
          <w:spacing w:val="-4"/>
          <w:w w:val="105"/>
          <w:sz w:val="21"/>
        </w:rPr>
        <w:t>‘urban </w:t>
      </w:r>
      <w:r>
        <w:rPr>
          <w:w w:val="105"/>
          <w:sz w:val="21"/>
        </w:rPr>
        <w:t>tree canopy is being lost, both </w:t>
      </w:r>
      <w:r>
        <w:rPr>
          <w:spacing w:val="-3"/>
          <w:w w:val="105"/>
          <w:sz w:val="21"/>
        </w:rPr>
        <w:t>through overall </w:t>
      </w:r>
      <w:r>
        <w:rPr>
          <w:w w:val="105"/>
          <w:sz w:val="21"/>
        </w:rPr>
        <w:t>reduction in tree numbers, as </w:t>
      </w:r>
      <w:r>
        <w:rPr>
          <w:spacing w:val="-3"/>
          <w:w w:val="105"/>
          <w:sz w:val="21"/>
        </w:rPr>
        <w:t>well through </w:t>
      </w:r>
      <w:r>
        <w:rPr>
          <w:spacing w:val="-4"/>
          <w:w w:val="105"/>
          <w:sz w:val="21"/>
        </w:rPr>
        <w:t>“replacement” </w:t>
      </w:r>
      <w:r>
        <w:rPr>
          <w:w w:val="105"/>
          <w:sz w:val="21"/>
        </w:rPr>
        <w:t>of trees with </w:t>
      </w:r>
      <w:r>
        <w:rPr>
          <w:spacing w:val="-3"/>
          <w:w w:val="105"/>
          <w:sz w:val="21"/>
        </w:rPr>
        <w:t>smaller growing </w:t>
      </w:r>
      <w:r>
        <w:rPr>
          <w:w w:val="105"/>
          <w:sz w:val="21"/>
        </w:rPr>
        <w:t>species and </w:t>
      </w:r>
      <w:r>
        <w:rPr>
          <w:spacing w:val="-3"/>
          <w:w w:val="105"/>
          <w:sz w:val="21"/>
        </w:rPr>
        <w:t>shrubs. Planting </w:t>
      </w:r>
      <w:r>
        <w:rPr>
          <w:w w:val="105"/>
          <w:sz w:val="21"/>
        </w:rPr>
        <w:t>a new tree is </w:t>
      </w:r>
      <w:r>
        <w:rPr>
          <w:spacing w:val="-2"/>
          <w:w w:val="105"/>
          <w:sz w:val="21"/>
        </w:rPr>
        <w:t>not </w:t>
      </w:r>
      <w:r>
        <w:rPr>
          <w:w w:val="105"/>
          <w:sz w:val="21"/>
        </w:rPr>
        <w:t>a </w:t>
      </w:r>
      <w:r>
        <w:rPr>
          <w:spacing w:val="-3"/>
          <w:w w:val="105"/>
          <w:sz w:val="21"/>
        </w:rPr>
        <w:t>replacement </w:t>
      </w:r>
      <w:r>
        <w:rPr>
          <w:w w:val="105"/>
          <w:sz w:val="21"/>
        </w:rPr>
        <w:t>of the loss of a </w:t>
      </w:r>
      <w:r>
        <w:rPr>
          <w:spacing w:val="-3"/>
          <w:w w:val="105"/>
          <w:sz w:val="21"/>
        </w:rPr>
        <w:t>mature tree, </w:t>
      </w:r>
      <w:r>
        <w:rPr>
          <w:w w:val="105"/>
          <w:sz w:val="21"/>
        </w:rPr>
        <w:t>even if it is </w:t>
      </w:r>
      <w:r>
        <w:rPr>
          <w:spacing w:val="-3"/>
          <w:w w:val="105"/>
          <w:sz w:val="21"/>
        </w:rPr>
        <w:t>replaced </w:t>
      </w:r>
      <w:r>
        <w:rPr>
          <w:w w:val="105"/>
          <w:sz w:val="21"/>
        </w:rPr>
        <w:t>by the same species, as the decades of growth </w:t>
      </w:r>
      <w:r>
        <w:rPr>
          <w:spacing w:val="-3"/>
          <w:w w:val="105"/>
          <w:sz w:val="21"/>
        </w:rPr>
        <w:t>required to </w:t>
      </w:r>
      <w:r>
        <w:rPr>
          <w:w w:val="105"/>
          <w:sz w:val="21"/>
        </w:rPr>
        <w:t>develop </w:t>
      </w:r>
      <w:r>
        <w:rPr>
          <w:spacing w:val="-3"/>
          <w:w w:val="105"/>
          <w:sz w:val="21"/>
        </w:rPr>
        <w:t>to </w:t>
      </w:r>
      <w:r>
        <w:rPr>
          <w:w w:val="105"/>
          <w:sz w:val="21"/>
        </w:rPr>
        <w:t>maturity </w:t>
      </w:r>
      <w:r>
        <w:rPr>
          <w:spacing w:val="-3"/>
          <w:w w:val="105"/>
          <w:sz w:val="21"/>
        </w:rPr>
        <w:t>are </w:t>
      </w:r>
      <w:r>
        <w:rPr>
          <w:w w:val="105"/>
          <w:sz w:val="21"/>
        </w:rPr>
        <w:t>lost. It is </w:t>
      </w:r>
      <w:r>
        <w:rPr>
          <w:spacing w:val="-3"/>
          <w:w w:val="105"/>
          <w:sz w:val="21"/>
        </w:rPr>
        <w:t>therefore </w:t>
      </w:r>
      <w:r>
        <w:rPr>
          <w:w w:val="105"/>
          <w:sz w:val="21"/>
        </w:rPr>
        <w:t>necessary </w:t>
      </w:r>
      <w:r>
        <w:rPr>
          <w:spacing w:val="-3"/>
          <w:w w:val="105"/>
          <w:sz w:val="21"/>
        </w:rPr>
        <w:t>to prevent </w:t>
      </w:r>
      <w:r>
        <w:rPr>
          <w:w w:val="105"/>
          <w:sz w:val="21"/>
        </w:rPr>
        <w:t>the </w:t>
      </w:r>
      <w:r>
        <w:rPr>
          <w:spacing w:val="-3"/>
          <w:w w:val="105"/>
          <w:sz w:val="21"/>
        </w:rPr>
        <w:t>removal </w:t>
      </w:r>
      <w:r>
        <w:rPr>
          <w:w w:val="105"/>
          <w:sz w:val="21"/>
        </w:rPr>
        <w:t>of </w:t>
      </w:r>
      <w:r>
        <w:rPr>
          <w:spacing w:val="-3"/>
          <w:w w:val="105"/>
          <w:sz w:val="21"/>
        </w:rPr>
        <w:t>mature </w:t>
      </w:r>
      <w:r>
        <w:rPr>
          <w:w w:val="105"/>
          <w:sz w:val="21"/>
        </w:rPr>
        <w:t>trees without solid </w:t>
      </w:r>
      <w:r>
        <w:rPr>
          <w:spacing w:val="-3"/>
          <w:w w:val="105"/>
          <w:sz w:val="21"/>
        </w:rPr>
        <w:t>justification.’</w:t>
      </w:r>
      <w:r>
        <w:rPr>
          <w:spacing w:val="-3"/>
          <w:w w:val="105"/>
          <w:position w:val="7"/>
          <w:sz w:val="12"/>
        </w:rPr>
        <w:t>75</w:t>
      </w:r>
    </w:p>
    <w:p>
      <w:pPr>
        <w:pStyle w:val="BodyText"/>
        <w:spacing w:before="7"/>
        <w:rPr>
          <w:sz w:val="20"/>
        </w:rPr>
      </w:pPr>
    </w:p>
    <w:p>
      <w:pPr>
        <w:pStyle w:val="Heading5"/>
        <w:spacing w:before="1"/>
      </w:pPr>
      <w:r>
        <w:rPr>
          <w:w w:val="110"/>
        </w:rPr>
        <w:t>‘First in time’ principle</w:t>
      </w:r>
    </w:p>
    <w:p>
      <w:pPr>
        <w:pStyle w:val="ListParagraph"/>
        <w:numPr>
          <w:ilvl w:val="1"/>
          <w:numId w:val="16"/>
        </w:numPr>
        <w:tabs>
          <w:tab w:pos="2380" w:val="left" w:leader="none"/>
          <w:tab w:pos="2381" w:val="left" w:leader="none"/>
        </w:tabs>
        <w:spacing w:line="242" w:lineRule="auto" w:before="137" w:after="0"/>
        <w:ind w:left="2381" w:right="1730" w:hanging="794"/>
        <w:jc w:val="left"/>
        <w:rPr>
          <w:sz w:val="21"/>
        </w:rPr>
      </w:pPr>
      <w:r>
        <w:rPr>
          <w:sz w:val="21"/>
        </w:rPr>
        <w:t>The </w:t>
      </w:r>
      <w:r>
        <w:rPr>
          <w:spacing w:val="-3"/>
          <w:sz w:val="21"/>
        </w:rPr>
        <w:t>Commission </w:t>
      </w:r>
      <w:r>
        <w:rPr>
          <w:sz w:val="21"/>
        </w:rPr>
        <w:t>was told </w:t>
      </w:r>
      <w:r>
        <w:rPr>
          <w:spacing w:val="-3"/>
          <w:sz w:val="21"/>
        </w:rPr>
        <w:t>that consideration </w:t>
      </w:r>
      <w:r>
        <w:rPr>
          <w:sz w:val="21"/>
        </w:rPr>
        <w:t>should be given </w:t>
      </w:r>
      <w:r>
        <w:rPr>
          <w:spacing w:val="-3"/>
          <w:sz w:val="21"/>
        </w:rPr>
        <w:t>to </w:t>
      </w:r>
      <w:r>
        <w:rPr>
          <w:sz w:val="21"/>
        </w:rPr>
        <w:t>whether the tree existed </w:t>
      </w:r>
      <w:r>
        <w:rPr>
          <w:spacing w:val="-3"/>
          <w:sz w:val="21"/>
        </w:rPr>
        <w:t>before  </w:t>
      </w:r>
      <w:r>
        <w:rPr>
          <w:sz w:val="21"/>
        </w:rPr>
        <w:t>the </w:t>
      </w:r>
      <w:r>
        <w:rPr>
          <w:spacing w:val="-3"/>
          <w:sz w:val="21"/>
        </w:rPr>
        <w:t>built</w:t>
      </w:r>
      <w:r>
        <w:rPr>
          <w:spacing w:val="41"/>
          <w:sz w:val="21"/>
        </w:rPr>
        <w:t> </w:t>
      </w:r>
      <w:r>
        <w:rPr>
          <w:sz w:val="21"/>
        </w:rPr>
        <w:t>structure on </w:t>
      </w:r>
      <w:r>
        <w:rPr>
          <w:spacing w:val="-3"/>
          <w:sz w:val="21"/>
        </w:rPr>
        <w:t>adjoining  land.  </w:t>
      </w:r>
      <w:r>
        <w:rPr>
          <w:sz w:val="21"/>
        </w:rPr>
        <w:t>As discussed under the NSW Act, if damage   is caused by an existing/established tree </w:t>
      </w:r>
      <w:r>
        <w:rPr>
          <w:spacing w:val="-3"/>
          <w:sz w:val="21"/>
        </w:rPr>
        <w:t>to </w:t>
      </w:r>
      <w:r>
        <w:rPr>
          <w:sz w:val="21"/>
        </w:rPr>
        <w:t>a new </w:t>
      </w:r>
      <w:r>
        <w:rPr>
          <w:spacing w:val="-3"/>
          <w:sz w:val="21"/>
        </w:rPr>
        <w:t>dwelling  </w:t>
      </w:r>
      <w:r>
        <w:rPr>
          <w:sz w:val="21"/>
        </w:rPr>
        <w:t>on </w:t>
      </w:r>
      <w:r>
        <w:rPr>
          <w:spacing w:val="-3"/>
          <w:sz w:val="21"/>
        </w:rPr>
        <w:t>neighbouring</w:t>
      </w:r>
      <w:r>
        <w:rPr>
          <w:spacing w:val="41"/>
          <w:sz w:val="21"/>
        </w:rPr>
        <w:t> </w:t>
      </w:r>
      <w:r>
        <w:rPr>
          <w:spacing w:val="-3"/>
          <w:sz w:val="21"/>
        </w:rPr>
        <w:t>land,  </w:t>
      </w:r>
      <w:r>
        <w:rPr>
          <w:sz w:val="21"/>
        </w:rPr>
        <w:t>then  this </w:t>
      </w:r>
      <w:r>
        <w:rPr>
          <w:spacing w:val="-3"/>
          <w:sz w:val="21"/>
        </w:rPr>
        <w:t>may result </w:t>
      </w:r>
      <w:r>
        <w:rPr>
          <w:sz w:val="21"/>
        </w:rPr>
        <w:t>in the affected </w:t>
      </w:r>
      <w:r>
        <w:rPr>
          <w:spacing w:val="-3"/>
          <w:sz w:val="21"/>
        </w:rPr>
        <w:t>neighbour paying </w:t>
      </w:r>
      <w:r>
        <w:rPr>
          <w:sz w:val="21"/>
        </w:rPr>
        <w:t>some or </w:t>
      </w:r>
      <w:r>
        <w:rPr>
          <w:spacing w:val="-3"/>
          <w:sz w:val="21"/>
        </w:rPr>
        <w:t>all </w:t>
      </w:r>
      <w:r>
        <w:rPr>
          <w:sz w:val="21"/>
        </w:rPr>
        <w:t>of the costs associated with </w:t>
      </w:r>
      <w:r>
        <w:rPr>
          <w:spacing w:val="-3"/>
          <w:sz w:val="21"/>
        </w:rPr>
        <w:t>pruning </w:t>
      </w:r>
      <w:r>
        <w:rPr>
          <w:sz w:val="21"/>
        </w:rPr>
        <w:t>or </w:t>
      </w:r>
      <w:r>
        <w:rPr>
          <w:spacing w:val="-3"/>
          <w:sz w:val="21"/>
        </w:rPr>
        <w:t>removing </w:t>
      </w:r>
      <w:r>
        <w:rPr>
          <w:sz w:val="21"/>
        </w:rPr>
        <w:t>the </w:t>
      </w:r>
      <w:r>
        <w:rPr>
          <w:spacing w:val="-4"/>
          <w:sz w:val="21"/>
        </w:rPr>
        <w:t>tree.</w:t>
      </w:r>
      <w:r>
        <w:rPr>
          <w:spacing w:val="-4"/>
          <w:position w:val="7"/>
          <w:sz w:val="12"/>
        </w:rPr>
        <w:t>76 </w:t>
      </w:r>
      <w:r>
        <w:rPr>
          <w:spacing w:val="-3"/>
          <w:sz w:val="21"/>
        </w:rPr>
        <w:t>Similar considerations </w:t>
      </w:r>
      <w:r>
        <w:rPr>
          <w:sz w:val="21"/>
        </w:rPr>
        <w:t>exist in the </w:t>
      </w:r>
      <w:r>
        <w:rPr>
          <w:spacing w:val="-4"/>
          <w:sz w:val="21"/>
        </w:rPr>
        <w:t>Tasmanian </w:t>
      </w:r>
      <w:r>
        <w:rPr>
          <w:sz w:val="21"/>
        </w:rPr>
        <w:t>Act and </w:t>
      </w:r>
      <w:r>
        <w:rPr>
          <w:spacing w:val="-3"/>
          <w:sz w:val="21"/>
        </w:rPr>
        <w:t>Queensland</w:t>
      </w:r>
      <w:r>
        <w:rPr>
          <w:spacing w:val="10"/>
          <w:sz w:val="21"/>
        </w:rPr>
        <w:t> </w:t>
      </w:r>
      <w:r>
        <w:rPr>
          <w:sz w:val="21"/>
        </w:rPr>
        <w:t>Acts</w:t>
      </w:r>
      <w:r>
        <w:rPr>
          <w:spacing w:val="10"/>
          <w:sz w:val="21"/>
        </w:rPr>
        <w:t> </w:t>
      </w:r>
      <w:r>
        <w:rPr>
          <w:sz w:val="21"/>
        </w:rPr>
        <w:t>in</w:t>
      </w:r>
      <w:r>
        <w:rPr>
          <w:spacing w:val="11"/>
          <w:sz w:val="21"/>
        </w:rPr>
        <w:t> </w:t>
      </w:r>
      <w:r>
        <w:rPr>
          <w:spacing w:val="-3"/>
          <w:sz w:val="21"/>
        </w:rPr>
        <w:t>relation</w:t>
      </w:r>
      <w:r>
        <w:rPr>
          <w:spacing w:val="10"/>
          <w:sz w:val="21"/>
        </w:rPr>
        <w:t> </w:t>
      </w:r>
      <w:r>
        <w:rPr>
          <w:spacing w:val="-3"/>
          <w:sz w:val="21"/>
        </w:rPr>
        <w:t>to</w:t>
      </w:r>
      <w:r>
        <w:rPr>
          <w:spacing w:val="11"/>
          <w:sz w:val="21"/>
        </w:rPr>
        <w:t> </w:t>
      </w:r>
      <w:r>
        <w:rPr>
          <w:spacing w:val="-3"/>
          <w:sz w:val="21"/>
        </w:rPr>
        <w:t>interference</w:t>
      </w:r>
      <w:r>
        <w:rPr>
          <w:spacing w:val="10"/>
          <w:sz w:val="21"/>
        </w:rPr>
        <w:t> </w:t>
      </w:r>
      <w:r>
        <w:rPr>
          <w:spacing w:val="-4"/>
          <w:sz w:val="21"/>
        </w:rPr>
        <w:t>claims.</w:t>
      </w:r>
      <w:r>
        <w:rPr>
          <w:spacing w:val="-4"/>
          <w:position w:val="7"/>
          <w:sz w:val="12"/>
        </w:rPr>
        <w:t>77</w:t>
      </w:r>
    </w:p>
    <w:p>
      <w:pPr>
        <w:pStyle w:val="ListParagraph"/>
        <w:numPr>
          <w:ilvl w:val="1"/>
          <w:numId w:val="16"/>
        </w:numPr>
        <w:tabs>
          <w:tab w:pos="2381" w:val="left" w:leader="none"/>
          <w:tab w:pos="2382" w:val="left" w:leader="none"/>
        </w:tabs>
        <w:spacing w:line="242" w:lineRule="auto" w:before="127" w:after="0"/>
        <w:ind w:left="2381" w:right="1584" w:hanging="794"/>
        <w:jc w:val="left"/>
        <w:rPr>
          <w:sz w:val="21"/>
        </w:rPr>
      </w:pPr>
      <w:r>
        <w:rPr>
          <w:spacing w:val="-5"/>
          <w:sz w:val="21"/>
        </w:rPr>
        <w:t>VCAT </w:t>
      </w:r>
      <w:r>
        <w:rPr>
          <w:sz w:val="21"/>
        </w:rPr>
        <w:t>suggested </w:t>
      </w:r>
      <w:r>
        <w:rPr>
          <w:spacing w:val="-3"/>
          <w:sz w:val="21"/>
        </w:rPr>
        <w:t>that </w:t>
      </w:r>
      <w:r>
        <w:rPr>
          <w:sz w:val="21"/>
        </w:rPr>
        <w:t>if a tree pre-dates development on </w:t>
      </w:r>
      <w:r>
        <w:rPr>
          <w:spacing w:val="-3"/>
          <w:sz w:val="21"/>
        </w:rPr>
        <w:t>neighbouring land, consideration </w:t>
      </w:r>
      <w:r>
        <w:rPr>
          <w:sz w:val="21"/>
        </w:rPr>
        <w:t>should be given </w:t>
      </w:r>
      <w:r>
        <w:rPr>
          <w:spacing w:val="-3"/>
          <w:sz w:val="21"/>
        </w:rPr>
        <w:t>to </w:t>
      </w:r>
      <w:r>
        <w:rPr>
          <w:sz w:val="21"/>
        </w:rPr>
        <w:t>whether </w:t>
      </w:r>
      <w:r>
        <w:rPr>
          <w:spacing w:val="-3"/>
          <w:sz w:val="21"/>
        </w:rPr>
        <w:t>any conditions  were  </w:t>
      </w:r>
      <w:r>
        <w:rPr>
          <w:sz w:val="21"/>
        </w:rPr>
        <w:t>attached </w:t>
      </w:r>
      <w:r>
        <w:rPr>
          <w:spacing w:val="-3"/>
          <w:sz w:val="21"/>
        </w:rPr>
        <w:t>to</w:t>
      </w:r>
      <w:r>
        <w:rPr>
          <w:spacing w:val="41"/>
          <w:sz w:val="21"/>
        </w:rPr>
        <w:t> </w:t>
      </w:r>
      <w:r>
        <w:rPr>
          <w:sz w:val="21"/>
        </w:rPr>
        <w:t>a development permit </w:t>
      </w:r>
      <w:r>
        <w:rPr>
          <w:spacing w:val="-3"/>
          <w:sz w:val="21"/>
        </w:rPr>
        <w:t>requiring </w:t>
      </w:r>
      <w:r>
        <w:rPr>
          <w:sz w:val="21"/>
        </w:rPr>
        <w:t>protection of the </w:t>
      </w:r>
      <w:r>
        <w:rPr>
          <w:spacing w:val="-3"/>
          <w:sz w:val="21"/>
        </w:rPr>
        <w:t>tree, for </w:t>
      </w:r>
      <w:r>
        <w:rPr>
          <w:sz w:val="21"/>
        </w:rPr>
        <w:t>example </w:t>
      </w:r>
      <w:r>
        <w:rPr>
          <w:spacing w:val="-3"/>
          <w:sz w:val="21"/>
        </w:rPr>
        <w:t>to </w:t>
      </w:r>
      <w:r>
        <w:rPr>
          <w:sz w:val="21"/>
        </w:rPr>
        <w:t>avoid the </w:t>
      </w:r>
      <w:r>
        <w:rPr>
          <w:spacing w:val="-4"/>
          <w:sz w:val="21"/>
        </w:rPr>
        <w:t>tree’s </w:t>
      </w:r>
      <w:r>
        <w:rPr>
          <w:sz w:val="21"/>
        </w:rPr>
        <w:t>protection </w:t>
      </w:r>
      <w:r>
        <w:rPr>
          <w:spacing w:val="-4"/>
          <w:sz w:val="21"/>
        </w:rPr>
        <w:t>zone. </w:t>
      </w:r>
      <w:r>
        <w:rPr>
          <w:spacing w:val="-5"/>
          <w:sz w:val="21"/>
        </w:rPr>
        <w:t>VCAT </w:t>
      </w:r>
      <w:r>
        <w:rPr>
          <w:sz w:val="21"/>
        </w:rPr>
        <w:t>suggested </w:t>
      </w:r>
      <w:r>
        <w:rPr>
          <w:spacing w:val="-3"/>
          <w:sz w:val="21"/>
        </w:rPr>
        <w:t>that </w:t>
      </w:r>
      <w:r>
        <w:rPr>
          <w:sz w:val="21"/>
        </w:rPr>
        <w:t>these protections </w:t>
      </w:r>
      <w:r>
        <w:rPr>
          <w:spacing w:val="-3"/>
          <w:sz w:val="21"/>
        </w:rPr>
        <w:t>are </w:t>
      </w:r>
      <w:r>
        <w:rPr>
          <w:spacing w:val="-2"/>
          <w:sz w:val="21"/>
        </w:rPr>
        <w:t>not </w:t>
      </w:r>
      <w:r>
        <w:rPr>
          <w:sz w:val="21"/>
        </w:rPr>
        <w:t>always </w:t>
      </w:r>
      <w:r>
        <w:rPr>
          <w:spacing w:val="-3"/>
          <w:sz w:val="21"/>
        </w:rPr>
        <w:t>followed </w:t>
      </w:r>
      <w:r>
        <w:rPr>
          <w:sz w:val="21"/>
        </w:rPr>
        <w:t>in </w:t>
      </w:r>
      <w:r>
        <w:rPr>
          <w:spacing w:val="-3"/>
          <w:sz w:val="21"/>
        </w:rPr>
        <w:t>planning</w:t>
      </w:r>
      <w:r>
        <w:rPr>
          <w:spacing w:val="-19"/>
          <w:sz w:val="21"/>
        </w:rPr>
        <w:t> </w:t>
      </w:r>
      <w:r>
        <w:rPr>
          <w:spacing w:val="-3"/>
          <w:sz w:val="21"/>
        </w:rPr>
        <w:t>matters.</w:t>
      </w:r>
      <w:r>
        <w:rPr>
          <w:spacing w:val="-3"/>
          <w:position w:val="7"/>
          <w:sz w:val="12"/>
        </w:rPr>
        <w:t>78</w:t>
      </w:r>
    </w:p>
    <w:p>
      <w:pPr>
        <w:pStyle w:val="ListParagraph"/>
        <w:numPr>
          <w:ilvl w:val="1"/>
          <w:numId w:val="16"/>
        </w:numPr>
        <w:tabs>
          <w:tab w:pos="2381" w:val="left" w:leader="none"/>
          <w:tab w:pos="2382" w:val="left" w:leader="none"/>
        </w:tabs>
        <w:spacing w:line="242" w:lineRule="auto" w:before="124" w:after="0"/>
        <w:ind w:left="2381" w:right="1749" w:hanging="794"/>
        <w:jc w:val="left"/>
        <w:rPr>
          <w:sz w:val="21"/>
        </w:rPr>
      </w:pPr>
      <w:r>
        <w:rPr>
          <w:w w:val="105"/>
          <w:sz w:val="21"/>
        </w:rPr>
        <w:t>Arborist</w:t>
      </w:r>
      <w:r>
        <w:rPr>
          <w:spacing w:val="-8"/>
          <w:w w:val="105"/>
          <w:sz w:val="21"/>
        </w:rPr>
        <w:t> </w:t>
      </w:r>
      <w:r>
        <w:rPr>
          <w:w w:val="105"/>
          <w:sz w:val="21"/>
        </w:rPr>
        <w:t>Ben</w:t>
      </w:r>
      <w:r>
        <w:rPr>
          <w:spacing w:val="-7"/>
          <w:w w:val="105"/>
          <w:sz w:val="21"/>
        </w:rPr>
        <w:t> </w:t>
      </w:r>
      <w:r>
        <w:rPr>
          <w:spacing w:val="-3"/>
          <w:w w:val="105"/>
          <w:sz w:val="21"/>
        </w:rPr>
        <w:t>Kenyon</w:t>
      </w:r>
      <w:r>
        <w:rPr>
          <w:spacing w:val="-7"/>
          <w:w w:val="105"/>
          <w:sz w:val="21"/>
        </w:rPr>
        <w:t> </w:t>
      </w:r>
      <w:r>
        <w:rPr>
          <w:w w:val="105"/>
          <w:sz w:val="21"/>
        </w:rPr>
        <w:t>expressed</w:t>
      </w:r>
      <w:r>
        <w:rPr>
          <w:spacing w:val="-7"/>
          <w:w w:val="105"/>
          <w:sz w:val="21"/>
        </w:rPr>
        <w:t> </w:t>
      </w:r>
      <w:r>
        <w:rPr>
          <w:w w:val="105"/>
          <w:sz w:val="21"/>
        </w:rPr>
        <w:t>the</w:t>
      </w:r>
      <w:r>
        <w:rPr>
          <w:spacing w:val="-7"/>
          <w:w w:val="105"/>
          <w:sz w:val="21"/>
        </w:rPr>
        <w:t> </w:t>
      </w:r>
      <w:r>
        <w:rPr>
          <w:w w:val="105"/>
          <w:sz w:val="21"/>
        </w:rPr>
        <w:t>view</w:t>
      </w:r>
      <w:r>
        <w:rPr>
          <w:spacing w:val="-8"/>
          <w:w w:val="105"/>
          <w:sz w:val="21"/>
        </w:rPr>
        <w:t> </w:t>
      </w:r>
      <w:r>
        <w:rPr>
          <w:spacing w:val="-3"/>
          <w:w w:val="105"/>
          <w:sz w:val="21"/>
        </w:rPr>
        <w:t>that</w:t>
      </w:r>
      <w:r>
        <w:rPr>
          <w:spacing w:val="-7"/>
          <w:w w:val="105"/>
          <w:sz w:val="21"/>
        </w:rPr>
        <w:t> </w:t>
      </w:r>
      <w:r>
        <w:rPr>
          <w:spacing w:val="-4"/>
          <w:w w:val="105"/>
          <w:sz w:val="21"/>
        </w:rPr>
        <w:t>‘one</w:t>
      </w:r>
      <w:r>
        <w:rPr>
          <w:spacing w:val="-7"/>
          <w:w w:val="105"/>
          <w:sz w:val="21"/>
        </w:rPr>
        <w:t> </w:t>
      </w:r>
      <w:r>
        <w:rPr>
          <w:w w:val="105"/>
          <w:sz w:val="21"/>
        </w:rPr>
        <w:t>of</w:t>
      </w:r>
      <w:r>
        <w:rPr>
          <w:spacing w:val="-7"/>
          <w:w w:val="105"/>
          <w:sz w:val="21"/>
        </w:rPr>
        <w:t> </w:t>
      </w:r>
      <w:r>
        <w:rPr>
          <w:w w:val="105"/>
          <w:sz w:val="21"/>
        </w:rPr>
        <w:t>the</w:t>
      </w:r>
      <w:r>
        <w:rPr>
          <w:spacing w:val="-7"/>
          <w:w w:val="105"/>
          <w:sz w:val="21"/>
        </w:rPr>
        <w:t> </w:t>
      </w:r>
      <w:r>
        <w:rPr>
          <w:w w:val="105"/>
          <w:sz w:val="21"/>
        </w:rPr>
        <w:t>most</w:t>
      </w:r>
      <w:r>
        <w:rPr>
          <w:spacing w:val="-8"/>
          <w:w w:val="105"/>
          <w:sz w:val="21"/>
        </w:rPr>
        <w:t> </w:t>
      </w:r>
      <w:r>
        <w:rPr>
          <w:w w:val="105"/>
          <w:sz w:val="21"/>
        </w:rPr>
        <w:t>important</w:t>
      </w:r>
      <w:r>
        <w:rPr>
          <w:spacing w:val="-7"/>
          <w:w w:val="105"/>
          <w:sz w:val="21"/>
        </w:rPr>
        <w:t> </w:t>
      </w:r>
      <w:r>
        <w:rPr>
          <w:spacing w:val="-3"/>
          <w:w w:val="105"/>
          <w:sz w:val="21"/>
        </w:rPr>
        <w:t>considerations </w:t>
      </w:r>
      <w:r>
        <w:rPr>
          <w:w w:val="105"/>
          <w:sz w:val="21"/>
        </w:rPr>
        <w:t>should</w:t>
      </w:r>
      <w:r>
        <w:rPr>
          <w:spacing w:val="-11"/>
          <w:w w:val="105"/>
          <w:sz w:val="21"/>
        </w:rPr>
        <w:t> </w:t>
      </w:r>
      <w:r>
        <w:rPr>
          <w:w w:val="105"/>
          <w:sz w:val="21"/>
        </w:rPr>
        <w:t>be</w:t>
      </w:r>
      <w:r>
        <w:rPr>
          <w:spacing w:val="-10"/>
          <w:w w:val="105"/>
          <w:sz w:val="21"/>
        </w:rPr>
        <w:t> </w:t>
      </w:r>
      <w:r>
        <w:rPr>
          <w:w w:val="105"/>
          <w:sz w:val="21"/>
        </w:rPr>
        <w:t>whether</w:t>
      </w:r>
      <w:r>
        <w:rPr>
          <w:spacing w:val="-10"/>
          <w:w w:val="105"/>
          <w:sz w:val="21"/>
        </w:rPr>
        <w:t> </w:t>
      </w:r>
      <w:r>
        <w:rPr>
          <w:w w:val="105"/>
          <w:sz w:val="21"/>
        </w:rPr>
        <w:t>the</w:t>
      </w:r>
      <w:r>
        <w:rPr>
          <w:spacing w:val="-10"/>
          <w:w w:val="105"/>
          <w:sz w:val="21"/>
        </w:rPr>
        <w:t> </w:t>
      </w:r>
      <w:r>
        <w:rPr>
          <w:w w:val="105"/>
          <w:sz w:val="21"/>
        </w:rPr>
        <w:t>tree</w:t>
      </w:r>
      <w:r>
        <w:rPr>
          <w:spacing w:val="-11"/>
          <w:w w:val="105"/>
          <w:sz w:val="21"/>
        </w:rPr>
        <w:t> </w:t>
      </w:r>
      <w:r>
        <w:rPr>
          <w:w w:val="105"/>
          <w:sz w:val="21"/>
        </w:rPr>
        <w:t>pre-existed</w:t>
      </w:r>
      <w:r>
        <w:rPr>
          <w:spacing w:val="-10"/>
          <w:w w:val="105"/>
          <w:sz w:val="21"/>
        </w:rPr>
        <w:t> </w:t>
      </w:r>
      <w:r>
        <w:rPr>
          <w:w w:val="105"/>
          <w:sz w:val="21"/>
        </w:rPr>
        <w:t>the</w:t>
      </w:r>
      <w:r>
        <w:rPr>
          <w:spacing w:val="-10"/>
          <w:w w:val="105"/>
          <w:sz w:val="21"/>
        </w:rPr>
        <w:t> </w:t>
      </w:r>
      <w:r>
        <w:rPr>
          <w:spacing w:val="-3"/>
          <w:w w:val="105"/>
          <w:sz w:val="21"/>
        </w:rPr>
        <w:t>built</w:t>
      </w:r>
      <w:r>
        <w:rPr>
          <w:spacing w:val="-10"/>
          <w:w w:val="105"/>
          <w:sz w:val="21"/>
        </w:rPr>
        <w:t> </w:t>
      </w:r>
      <w:r>
        <w:rPr>
          <w:w w:val="105"/>
          <w:sz w:val="21"/>
        </w:rPr>
        <w:t>structure</w:t>
      </w:r>
      <w:r>
        <w:rPr>
          <w:spacing w:val="-10"/>
          <w:w w:val="105"/>
          <w:sz w:val="21"/>
        </w:rPr>
        <w:t> </w:t>
      </w:r>
      <w:r>
        <w:rPr>
          <w:w w:val="105"/>
          <w:sz w:val="21"/>
        </w:rPr>
        <w:t>or</w:t>
      </w:r>
      <w:r>
        <w:rPr>
          <w:spacing w:val="-11"/>
          <w:w w:val="105"/>
          <w:sz w:val="21"/>
        </w:rPr>
        <w:t> </w:t>
      </w:r>
      <w:r>
        <w:rPr>
          <w:w w:val="105"/>
          <w:sz w:val="21"/>
        </w:rPr>
        <w:t>landowners</w:t>
      </w:r>
      <w:r>
        <w:rPr>
          <w:spacing w:val="-10"/>
          <w:w w:val="105"/>
          <w:sz w:val="21"/>
        </w:rPr>
        <w:t> </w:t>
      </w:r>
      <w:r>
        <w:rPr>
          <w:w w:val="105"/>
          <w:sz w:val="21"/>
        </w:rPr>
        <w:t>taking</w:t>
      </w:r>
      <w:r>
        <w:rPr>
          <w:spacing w:val="-10"/>
          <w:w w:val="105"/>
          <w:sz w:val="21"/>
        </w:rPr>
        <w:t> </w:t>
      </w:r>
      <w:r>
        <w:rPr>
          <w:spacing w:val="-3"/>
          <w:w w:val="105"/>
          <w:sz w:val="21"/>
        </w:rPr>
        <w:t>control </w:t>
      </w:r>
      <w:r>
        <w:rPr>
          <w:w w:val="105"/>
          <w:sz w:val="21"/>
        </w:rPr>
        <w:t>of [neighbouring] </w:t>
      </w:r>
      <w:r>
        <w:rPr>
          <w:spacing w:val="-6"/>
          <w:w w:val="105"/>
          <w:sz w:val="21"/>
        </w:rPr>
        <w:t>land’.</w:t>
      </w:r>
      <w:r>
        <w:rPr>
          <w:spacing w:val="-6"/>
          <w:w w:val="105"/>
          <w:position w:val="7"/>
          <w:sz w:val="12"/>
        </w:rPr>
        <w:t>79 </w:t>
      </w:r>
      <w:r>
        <w:rPr>
          <w:w w:val="105"/>
          <w:sz w:val="21"/>
        </w:rPr>
        <w:t>He provided the example of </w:t>
      </w:r>
      <w:r>
        <w:rPr>
          <w:spacing w:val="-3"/>
          <w:w w:val="105"/>
          <w:sz w:val="21"/>
        </w:rPr>
        <w:t>concerns that </w:t>
      </w:r>
      <w:r>
        <w:rPr>
          <w:w w:val="105"/>
          <w:sz w:val="21"/>
        </w:rPr>
        <w:t>emerged in a </w:t>
      </w:r>
      <w:r>
        <w:rPr>
          <w:spacing w:val="-6"/>
          <w:w w:val="105"/>
          <w:sz w:val="21"/>
        </w:rPr>
        <w:t>10–15 </w:t>
      </w:r>
      <w:r>
        <w:rPr>
          <w:spacing w:val="-3"/>
          <w:w w:val="105"/>
          <w:sz w:val="21"/>
        </w:rPr>
        <w:t>year </w:t>
      </w:r>
      <w:r>
        <w:rPr>
          <w:w w:val="105"/>
          <w:sz w:val="21"/>
        </w:rPr>
        <w:t>old </w:t>
      </w:r>
      <w:r>
        <w:rPr>
          <w:spacing w:val="-3"/>
          <w:w w:val="105"/>
          <w:sz w:val="21"/>
        </w:rPr>
        <w:t>housing </w:t>
      </w:r>
      <w:r>
        <w:rPr>
          <w:w w:val="105"/>
          <w:sz w:val="21"/>
        </w:rPr>
        <w:t>estate about the </w:t>
      </w:r>
      <w:r>
        <w:rPr>
          <w:spacing w:val="-3"/>
          <w:w w:val="105"/>
          <w:sz w:val="21"/>
        </w:rPr>
        <w:t>potential for </w:t>
      </w:r>
      <w:r>
        <w:rPr>
          <w:w w:val="105"/>
          <w:sz w:val="21"/>
        </w:rPr>
        <w:t>damage </w:t>
      </w:r>
      <w:r>
        <w:rPr>
          <w:spacing w:val="-3"/>
          <w:w w:val="105"/>
          <w:sz w:val="21"/>
        </w:rPr>
        <w:t>from remnant </w:t>
      </w:r>
      <w:r>
        <w:rPr>
          <w:w w:val="105"/>
          <w:sz w:val="21"/>
        </w:rPr>
        <w:t>trees </w:t>
      </w:r>
      <w:r>
        <w:rPr>
          <w:spacing w:val="-3"/>
          <w:w w:val="105"/>
          <w:sz w:val="21"/>
        </w:rPr>
        <w:t>that were hundreds </w:t>
      </w:r>
      <w:r>
        <w:rPr>
          <w:w w:val="105"/>
          <w:sz w:val="21"/>
        </w:rPr>
        <w:t>of years old. In his </w:t>
      </w:r>
      <w:r>
        <w:rPr>
          <w:spacing w:val="-4"/>
          <w:w w:val="105"/>
          <w:sz w:val="21"/>
        </w:rPr>
        <w:t>view, </w:t>
      </w:r>
      <w:r>
        <w:rPr>
          <w:w w:val="105"/>
          <w:sz w:val="21"/>
        </w:rPr>
        <w:t>people need </w:t>
      </w:r>
      <w:r>
        <w:rPr>
          <w:spacing w:val="-3"/>
          <w:w w:val="105"/>
          <w:sz w:val="21"/>
        </w:rPr>
        <w:t>to accept that </w:t>
      </w:r>
      <w:r>
        <w:rPr>
          <w:w w:val="105"/>
          <w:sz w:val="21"/>
        </w:rPr>
        <w:t>trees </w:t>
      </w:r>
      <w:r>
        <w:rPr>
          <w:spacing w:val="-3"/>
          <w:w w:val="105"/>
          <w:sz w:val="21"/>
        </w:rPr>
        <w:t>are </w:t>
      </w:r>
      <w:r>
        <w:rPr>
          <w:w w:val="105"/>
          <w:sz w:val="21"/>
        </w:rPr>
        <w:t>part of the </w:t>
      </w:r>
      <w:r>
        <w:rPr>
          <w:spacing w:val="-3"/>
          <w:w w:val="105"/>
          <w:sz w:val="21"/>
        </w:rPr>
        <w:t>environment </w:t>
      </w:r>
      <w:r>
        <w:rPr>
          <w:w w:val="105"/>
          <w:sz w:val="21"/>
        </w:rPr>
        <w:t>they </w:t>
      </w:r>
      <w:r>
        <w:rPr>
          <w:spacing w:val="-3"/>
          <w:w w:val="105"/>
          <w:sz w:val="21"/>
        </w:rPr>
        <w:t>are </w:t>
      </w:r>
      <w:r>
        <w:rPr>
          <w:w w:val="105"/>
          <w:sz w:val="21"/>
        </w:rPr>
        <w:t>looking </w:t>
      </w:r>
      <w:r>
        <w:rPr>
          <w:spacing w:val="-3"/>
          <w:w w:val="105"/>
          <w:sz w:val="21"/>
        </w:rPr>
        <w:t>to occupy </w:t>
      </w:r>
      <w:r>
        <w:rPr>
          <w:w w:val="105"/>
          <w:sz w:val="21"/>
        </w:rPr>
        <w:t>and should be more </w:t>
      </w:r>
      <w:r>
        <w:rPr>
          <w:spacing w:val="-3"/>
          <w:w w:val="105"/>
          <w:sz w:val="21"/>
        </w:rPr>
        <w:t>accommodating </w:t>
      </w:r>
      <w:r>
        <w:rPr>
          <w:w w:val="105"/>
          <w:sz w:val="21"/>
        </w:rPr>
        <w:t>of</w:t>
      </w:r>
      <w:r>
        <w:rPr>
          <w:spacing w:val="-8"/>
          <w:w w:val="105"/>
          <w:sz w:val="21"/>
        </w:rPr>
        <w:t> </w:t>
      </w:r>
      <w:r>
        <w:rPr>
          <w:w w:val="105"/>
          <w:sz w:val="21"/>
        </w:rPr>
        <w:t>them.</w:t>
      </w:r>
      <w:r>
        <w:rPr>
          <w:w w:val="105"/>
          <w:position w:val="7"/>
          <w:sz w:val="12"/>
        </w:rPr>
        <w:t>80</w:t>
      </w:r>
    </w:p>
    <w:p>
      <w:pPr>
        <w:pStyle w:val="ListParagraph"/>
        <w:numPr>
          <w:ilvl w:val="1"/>
          <w:numId w:val="16"/>
        </w:numPr>
        <w:tabs>
          <w:tab w:pos="2380" w:val="left" w:leader="none"/>
          <w:tab w:pos="2381" w:val="left" w:leader="none"/>
        </w:tabs>
        <w:spacing w:line="242" w:lineRule="auto" w:before="126" w:after="0"/>
        <w:ind w:left="2381" w:right="1896" w:hanging="794"/>
        <w:jc w:val="left"/>
        <w:rPr>
          <w:sz w:val="21"/>
        </w:rPr>
      </w:pPr>
      <w:r>
        <w:rPr>
          <w:sz w:val="21"/>
        </w:rPr>
        <w:t>Baw Baw </w:t>
      </w:r>
      <w:r>
        <w:rPr>
          <w:spacing w:val="-3"/>
          <w:sz w:val="21"/>
        </w:rPr>
        <w:t>Shire </w:t>
      </w:r>
      <w:r>
        <w:rPr>
          <w:spacing w:val="-4"/>
          <w:sz w:val="21"/>
        </w:rPr>
        <w:t>Council </w:t>
      </w:r>
      <w:r>
        <w:rPr>
          <w:sz w:val="21"/>
        </w:rPr>
        <w:t>also stated </w:t>
      </w:r>
      <w:r>
        <w:rPr>
          <w:spacing w:val="-3"/>
          <w:sz w:val="21"/>
        </w:rPr>
        <w:t>that </w:t>
      </w:r>
      <w:r>
        <w:rPr>
          <w:sz w:val="21"/>
        </w:rPr>
        <w:t>the decision </w:t>
      </w:r>
      <w:r>
        <w:rPr>
          <w:spacing w:val="-4"/>
          <w:sz w:val="21"/>
        </w:rPr>
        <w:t>maker </w:t>
      </w:r>
      <w:r>
        <w:rPr>
          <w:sz w:val="21"/>
        </w:rPr>
        <w:t>should </w:t>
      </w:r>
      <w:r>
        <w:rPr>
          <w:spacing w:val="-3"/>
          <w:sz w:val="21"/>
        </w:rPr>
        <w:t>have to consider </w:t>
      </w:r>
      <w:r>
        <w:rPr>
          <w:sz w:val="21"/>
        </w:rPr>
        <w:t>whether the tree or the </w:t>
      </w:r>
      <w:r>
        <w:rPr>
          <w:spacing w:val="-3"/>
          <w:sz w:val="21"/>
        </w:rPr>
        <w:t>built </w:t>
      </w:r>
      <w:r>
        <w:rPr>
          <w:sz w:val="21"/>
        </w:rPr>
        <w:t>structure came first.</w:t>
      </w:r>
      <w:r>
        <w:rPr>
          <w:position w:val="7"/>
          <w:sz w:val="12"/>
        </w:rPr>
        <w:t>81  </w:t>
      </w:r>
      <w:r>
        <w:rPr>
          <w:sz w:val="21"/>
        </w:rPr>
        <w:t>HVP  </w:t>
      </w:r>
      <w:r>
        <w:rPr>
          <w:spacing w:val="-3"/>
          <w:sz w:val="21"/>
        </w:rPr>
        <w:t>Plantations  </w:t>
      </w:r>
      <w:r>
        <w:rPr>
          <w:sz w:val="21"/>
        </w:rPr>
        <w:t>added  </w:t>
      </w:r>
      <w:r>
        <w:rPr>
          <w:spacing w:val="-3"/>
          <w:sz w:val="21"/>
        </w:rPr>
        <w:t>that  </w:t>
      </w:r>
      <w:r>
        <w:rPr>
          <w:sz w:val="21"/>
        </w:rPr>
        <w:t>the ‘first in time </w:t>
      </w:r>
      <w:r>
        <w:rPr>
          <w:spacing w:val="-3"/>
          <w:sz w:val="21"/>
        </w:rPr>
        <w:t>principle’ could </w:t>
      </w:r>
      <w:r>
        <w:rPr>
          <w:sz w:val="21"/>
        </w:rPr>
        <w:t>be </w:t>
      </w:r>
      <w:r>
        <w:rPr>
          <w:spacing w:val="-3"/>
          <w:sz w:val="21"/>
        </w:rPr>
        <w:t>considered </w:t>
      </w:r>
      <w:r>
        <w:rPr>
          <w:sz w:val="21"/>
        </w:rPr>
        <w:t>in the allocation of legal costs </w:t>
      </w:r>
      <w:r>
        <w:rPr>
          <w:spacing w:val="-3"/>
          <w:sz w:val="21"/>
        </w:rPr>
        <w:t>to ensure </w:t>
      </w:r>
      <w:r>
        <w:rPr>
          <w:sz w:val="21"/>
        </w:rPr>
        <w:t>the </w:t>
      </w:r>
      <w:r>
        <w:rPr>
          <w:spacing w:val="-3"/>
          <w:sz w:val="21"/>
        </w:rPr>
        <w:t>outcome </w:t>
      </w:r>
      <w:r>
        <w:rPr>
          <w:sz w:val="21"/>
        </w:rPr>
        <w:t>is just and</w:t>
      </w:r>
      <w:r>
        <w:rPr>
          <w:spacing w:val="37"/>
          <w:sz w:val="21"/>
        </w:rPr>
        <w:t> </w:t>
      </w:r>
      <w:r>
        <w:rPr>
          <w:spacing w:val="-4"/>
          <w:sz w:val="21"/>
        </w:rPr>
        <w:t>fair.</w:t>
      </w:r>
      <w:r>
        <w:rPr>
          <w:spacing w:val="-4"/>
          <w:position w:val="7"/>
          <w:sz w:val="12"/>
        </w:rPr>
        <w:t>82</w:t>
      </w:r>
    </w:p>
    <w:p>
      <w:pPr>
        <w:pStyle w:val="BodyText"/>
        <w:spacing w:before="5"/>
        <w:rPr>
          <w:sz w:val="20"/>
        </w:rPr>
      </w:pPr>
    </w:p>
    <w:p>
      <w:pPr>
        <w:pStyle w:val="Heading5"/>
      </w:pPr>
      <w:r>
        <w:rPr>
          <w:w w:val="110"/>
        </w:rPr>
        <w:t>Past actions of the parties</w:t>
      </w:r>
    </w:p>
    <w:p>
      <w:pPr>
        <w:pStyle w:val="ListParagraph"/>
        <w:numPr>
          <w:ilvl w:val="1"/>
          <w:numId w:val="16"/>
        </w:numPr>
        <w:tabs>
          <w:tab w:pos="2381" w:val="left" w:leader="none"/>
          <w:tab w:pos="2382" w:val="left" w:leader="none"/>
        </w:tabs>
        <w:spacing w:line="242" w:lineRule="auto" w:before="138" w:after="0"/>
        <w:ind w:left="2381" w:right="1989" w:hanging="794"/>
        <w:jc w:val="left"/>
        <w:rPr>
          <w:sz w:val="21"/>
        </w:rPr>
      </w:pPr>
      <w:r>
        <w:rPr>
          <w:sz w:val="21"/>
        </w:rPr>
        <w:t>A number of community members suggested </w:t>
      </w:r>
      <w:r>
        <w:rPr>
          <w:spacing w:val="-3"/>
          <w:sz w:val="21"/>
        </w:rPr>
        <w:t>that any </w:t>
      </w:r>
      <w:r>
        <w:rPr>
          <w:sz w:val="21"/>
        </w:rPr>
        <w:t>past actions of the parties </w:t>
      </w:r>
      <w:r>
        <w:rPr>
          <w:spacing w:val="-3"/>
          <w:sz w:val="21"/>
        </w:rPr>
        <w:t>that may have contributed to </w:t>
      </w:r>
      <w:r>
        <w:rPr>
          <w:sz w:val="21"/>
        </w:rPr>
        <w:t>the tree </w:t>
      </w:r>
      <w:r>
        <w:rPr>
          <w:spacing w:val="-3"/>
          <w:sz w:val="21"/>
        </w:rPr>
        <w:t>dispute </w:t>
      </w:r>
      <w:r>
        <w:rPr>
          <w:sz w:val="21"/>
        </w:rPr>
        <w:t>should also be </w:t>
      </w:r>
      <w:r>
        <w:rPr>
          <w:spacing w:val="-3"/>
          <w:sz w:val="21"/>
        </w:rPr>
        <w:t>taken </w:t>
      </w:r>
      <w:r>
        <w:rPr>
          <w:spacing w:val="-4"/>
          <w:sz w:val="21"/>
        </w:rPr>
        <w:t>into </w:t>
      </w:r>
      <w:r>
        <w:rPr>
          <w:spacing w:val="-3"/>
          <w:sz w:val="21"/>
        </w:rPr>
        <w:t>account.</w:t>
      </w:r>
      <w:r>
        <w:rPr>
          <w:spacing w:val="-3"/>
          <w:position w:val="7"/>
          <w:sz w:val="12"/>
        </w:rPr>
        <w:t>83 </w:t>
      </w:r>
      <w:r>
        <w:rPr>
          <w:sz w:val="21"/>
        </w:rPr>
        <w:t>One community member stated </w:t>
      </w:r>
      <w:r>
        <w:rPr>
          <w:spacing w:val="-3"/>
          <w:sz w:val="21"/>
        </w:rPr>
        <w:t>that  irresponsible  </w:t>
      </w:r>
      <w:r>
        <w:rPr>
          <w:sz w:val="21"/>
        </w:rPr>
        <w:t>tree  </w:t>
      </w:r>
      <w:r>
        <w:rPr>
          <w:spacing w:val="-3"/>
          <w:sz w:val="21"/>
        </w:rPr>
        <w:t>planting,  for  </w:t>
      </w:r>
      <w:r>
        <w:rPr>
          <w:sz w:val="21"/>
        </w:rPr>
        <w:t>example  </w:t>
      </w:r>
      <w:r>
        <w:rPr>
          <w:spacing w:val="-3"/>
          <w:sz w:val="21"/>
        </w:rPr>
        <w:t>allowing  </w:t>
      </w:r>
      <w:r>
        <w:rPr>
          <w:sz w:val="21"/>
        </w:rPr>
        <w:t>a tall tree </w:t>
      </w:r>
      <w:r>
        <w:rPr>
          <w:spacing w:val="-3"/>
          <w:sz w:val="21"/>
        </w:rPr>
        <w:t>to grow </w:t>
      </w:r>
      <w:r>
        <w:rPr>
          <w:sz w:val="21"/>
        </w:rPr>
        <w:t>close </w:t>
      </w:r>
      <w:r>
        <w:rPr>
          <w:spacing w:val="-3"/>
          <w:sz w:val="21"/>
        </w:rPr>
        <w:t>to </w:t>
      </w:r>
      <w:r>
        <w:rPr>
          <w:sz w:val="21"/>
        </w:rPr>
        <w:t>a </w:t>
      </w:r>
      <w:r>
        <w:rPr>
          <w:spacing w:val="-3"/>
          <w:sz w:val="21"/>
        </w:rPr>
        <w:t>house, </w:t>
      </w:r>
      <w:r>
        <w:rPr>
          <w:sz w:val="21"/>
        </w:rPr>
        <w:t>should be </w:t>
      </w:r>
      <w:r>
        <w:rPr>
          <w:spacing w:val="-3"/>
          <w:sz w:val="21"/>
        </w:rPr>
        <w:t>taken </w:t>
      </w:r>
      <w:r>
        <w:rPr>
          <w:spacing w:val="-4"/>
          <w:sz w:val="21"/>
        </w:rPr>
        <w:t>into </w:t>
      </w:r>
      <w:r>
        <w:rPr>
          <w:spacing w:val="-3"/>
          <w:sz w:val="21"/>
        </w:rPr>
        <w:t>consideration </w:t>
      </w:r>
      <w:r>
        <w:rPr>
          <w:sz w:val="21"/>
        </w:rPr>
        <w:t>by the decision </w:t>
      </w:r>
      <w:r>
        <w:rPr>
          <w:spacing w:val="-3"/>
          <w:sz w:val="21"/>
        </w:rPr>
        <w:t>maker.</w:t>
      </w:r>
      <w:r>
        <w:rPr>
          <w:spacing w:val="-3"/>
          <w:position w:val="7"/>
          <w:sz w:val="12"/>
        </w:rPr>
        <w:t>84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7760;mso-wrap-distance-left:0;mso-wrap-distance-right:0" from="79.370102pt,12.146335pt" to="515.905102pt,12.14633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29"/>
        </w:numPr>
        <w:tabs>
          <w:tab w:pos="2380" w:val="left" w:leader="none"/>
          <w:tab w:pos="2382" w:val="left" w:leader="none"/>
        </w:tabs>
        <w:spacing w:line="240" w:lineRule="auto" w:before="48" w:after="0"/>
        <w:ind w:left="2381" w:right="0" w:hanging="794"/>
        <w:jc w:val="left"/>
        <w:rPr>
          <w:sz w:val="13"/>
        </w:rPr>
      </w:pPr>
      <w:r>
        <w:rPr>
          <w:w w:val="105"/>
          <w:sz w:val="13"/>
        </w:rPr>
        <w:t>Submission 18</w:t>
      </w:r>
      <w:r>
        <w:rPr>
          <w:spacing w:val="9"/>
          <w:w w:val="105"/>
          <w:sz w:val="13"/>
        </w:rPr>
        <w:t> </w:t>
      </w:r>
      <w:r>
        <w:rPr>
          <w:w w:val="105"/>
          <w:sz w:val="13"/>
        </w:rPr>
        <w:t>(ENSPEC).</w:t>
      </w:r>
    </w:p>
    <w:p>
      <w:pPr>
        <w:pStyle w:val="ListParagraph"/>
        <w:numPr>
          <w:ilvl w:val="0"/>
          <w:numId w:val="129"/>
        </w:numPr>
        <w:tabs>
          <w:tab w:pos="2380" w:val="left" w:leader="none"/>
          <w:tab w:pos="2382" w:val="left" w:leader="none"/>
        </w:tabs>
        <w:spacing w:line="240" w:lineRule="auto" w:before="1" w:after="0"/>
        <w:ind w:left="2381" w:right="0" w:hanging="794"/>
        <w:jc w:val="left"/>
        <w:rPr>
          <w:sz w:val="13"/>
        </w:rPr>
      </w:pPr>
      <w:r>
        <w:rPr>
          <w:w w:val="105"/>
          <w:sz w:val="13"/>
        </w:rPr>
        <w:t>This</w:t>
      </w:r>
      <w:r>
        <w:rPr>
          <w:spacing w:val="6"/>
          <w:w w:val="105"/>
          <w:sz w:val="13"/>
        </w:rPr>
        <w:t> </w:t>
      </w:r>
      <w:r>
        <w:rPr>
          <w:w w:val="105"/>
          <w:sz w:val="13"/>
        </w:rPr>
        <w:t>is</w:t>
      </w:r>
      <w:r>
        <w:rPr>
          <w:spacing w:val="7"/>
          <w:w w:val="105"/>
          <w:sz w:val="13"/>
        </w:rPr>
        <w:t> </w:t>
      </w:r>
      <w:r>
        <w:rPr>
          <w:w w:val="105"/>
          <w:sz w:val="13"/>
        </w:rPr>
        <w:t>a</w:t>
      </w:r>
      <w:r>
        <w:rPr>
          <w:spacing w:val="6"/>
          <w:w w:val="105"/>
          <w:sz w:val="13"/>
        </w:rPr>
        <w:t> </w:t>
      </w:r>
      <w:r>
        <w:rPr>
          <w:w w:val="105"/>
          <w:sz w:val="13"/>
        </w:rPr>
        <w:t>Tree</w:t>
      </w:r>
      <w:r>
        <w:rPr>
          <w:spacing w:val="7"/>
          <w:w w:val="105"/>
          <w:sz w:val="13"/>
        </w:rPr>
        <w:t> </w:t>
      </w:r>
      <w:r>
        <w:rPr>
          <w:w w:val="105"/>
          <w:sz w:val="13"/>
        </w:rPr>
        <w:t>Dispute</w:t>
      </w:r>
      <w:r>
        <w:rPr>
          <w:spacing w:val="6"/>
          <w:w w:val="105"/>
          <w:sz w:val="13"/>
        </w:rPr>
        <w:t> </w:t>
      </w:r>
      <w:r>
        <w:rPr>
          <w:w w:val="105"/>
          <w:sz w:val="13"/>
        </w:rPr>
        <w:t>Principle</w:t>
      </w:r>
      <w:r>
        <w:rPr>
          <w:spacing w:val="7"/>
          <w:w w:val="105"/>
          <w:sz w:val="13"/>
        </w:rPr>
        <w:t> </w:t>
      </w:r>
      <w:r>
        <w:rPr>
          <w:w w:val="105"/>
          <w:sz w:val="13"/>
        </w:rPr>
        <w:t>developed</w:t>
      </w:r>
      <w:r>
        <w:rPr>
          <w:spacing w:val="6"/>
          <w:w w:val="105"/>
          <w:sz w:val="13"/>
        </w:rPr>
        <w:t> </w:t>
      </w:r>
      <w:r>
        <w:rPr>
          <w:w w:val="105"/>
          <w:sz w:val="13"/>
        </w:rPr>
        <w:t>by</w:t>
      </w:r>
      <w:r>
        <w:rPr>
          <w:spacing w:val="7"/>
          <w:w w:val="105"/>
          <w:sz w:val="13"/>
        </w:rPr>
        <w:t> </w:t>
      </w:r>
      <w:r>
        <w:rPr>
          <w:w w:val="105"/>
          <w:sz w:val="13"/>
        </w:rPr>
        <w:t>the</w:t>
      </w:r>
      <w:r>
        <w:rPr>
          <w:spacing w:val="6"/>
          <w:w w:val="105"/>
          <w:sz w:val="13"/>
        </w:rPr>
        <w:t> </w:t>
      </w:r>
      <w:r>
        <w:rPr>
          <w:w w:val="105"/>
          <w:sz w:val="13"/>
        </w:rPr>
        <w:t>Court</w:t>
      </w:r>
      <w:r>
        <w:rPr>
          <w:spacing w:val="7"/>
          <w:w w:val="105"/>
          <w:sz w:val="13"/>
        </w:rPr>
        <w:t> </w:t>
      </w:r>
      <w:r>
        <w:rPr>
          <w:w w:val="105"/>
          <w:sz w:val="13"/>
        </w:rPr>
        <w:t>under</w:t>
      </w:r>
      <w:r>
        <w:rPr>
          <w:spacing w:val="6"/>
          <w:w w:val="105"/>
          <w:sz w:val="13"/>
        </w:rPr>
        <w:t> </w:t>
      </w:r>
      <w:r>
        <w:rPr>
          <w:w w:val="105"/>
          <w:sz w:val="13"/>
        </w:rPr>
        <w:t>section</w:t>
      </w:r>
      <w:r>
        <w:rPr>
          <w:spacing w:val="7"/>
          <w:w w:val="105"/>
          <w:sz w:val="13"/>
        </w:rPr>
        <w:t> </w:t>
      </w:r>
      <w:r>
        <w:rPr>
          <w:w w:val="105"/>
          <w:sz w:val="13"/>
        </w:rPr>
        <w:t>12(h)</w:t>
      </w:r>
      <w:r>
        <w:rPr>
          <w:spacing w:val="6"/>
          <w:w w:val="105"/>
          <w:sz w:val="13"/>
        </w:rPr>
        <w:t> </w:t>
      </w:r>
      <w:r>
        <w:rPr>
          <w:w w:val="105"/>
          <w:sz w:val="13"/>
        </w:rPr>
        <w:t>of</w:t>
      </w:r>
      <w:r>
        <w:rPr>
          <w:spacing w:val="7"/>
          <w:w w:val="105"/>
          <w:sz w:val="13"/>
        </w:rPr>
        <w:t> </w:t>
      </w:r>
      <w:r>
        <w:rPr>
          <w:w w:val="105"/>
          <w:sz w:val="13"/>
        </w:rPr>
        <w:t>the</w:t>
      </w:r>
      <w:r>
        <w:rPr>
          <w:spacing w:val="6"/>
          <w:w w:val="105"/>
          <w:sz w:val="13"/>
        </w:rPr>
        <w:t> </w:t>
      </w:r>
      <w:r>
        <w:rPr>
          <w:i/>
          <w:w w:val="105"/>
          <w:sz w:val="13"/>
        </w:rPr>
        <w:t>Trees</w:t>
      </w:r>
      <w:r>
        <w:rPr>
          <w:i/>
          <w:spacing w:val="7"/>
          <w:w w:val="105"/>
          <w:sz w:val="13"/>
        </w:rPr>
        <w:t> </w:t>
      </w:r>
      <w:r>
        <w:rPr>
          <w:i/>
          <w:w w:val="105"/>
          <w:sz w:val="13"/>
        </w:rPr>
        <w:t>(Disputes</w:t>
      </w:r>
      <w:r>
        <w:rPr>
          <w:i/>
          <w:spacing w:val="6"/>
          <w:w w:val="105"/>
          <w:sz w:val="13"/>
        </w:rPr>
        <w:t> </w:t>
      </w:r>
      <w:r>
        <w:rPr>
          <w:i/>
          <w:w w:val="105"/>
          <w:sz w:val="13"/>
        </w:rPr>
        <w:t>Between</w:t>
      </w:r>
      <w:r>
        <w:rPr>
          <w:i/>
          <w:spacing w:val="7"/>
          <w:w w:val="105"/>
          <w:sz w:val="13"/>
        </w:rPr>
        <w:t> </w:t>
      </w:r>
      <w:r>
        <w:rPr>
          <w:i/>
          <w:w w:val="105"/>
          <w:sz w:val="13"/>
        </w:rPr>
        <w:t>Neighbours)</w:t>
      </w:r>
      <w:r>
        <w:rPr>
          <w:i/>
          <w:spacing w:val="6"/>
          <w:w w:val="105"/>
          <w:sz w:val="13"/>
        </w:rPr>
        <w:t> </w:t>
      </w:r>
      <w:r>
        <w:rPr>
          <w:i/>
          <w:w w:val="105"/>
          <w:sz w:val="13"/>
        </w:rPr>
        <w:t>Act</w:t>
      </w:r>
      <w:r>
        <w:rPr>
          <w:i/>
          <w:spacing w:val="7"/>
          <w:w w:val="105"/>
          <w:sz w:val="13"/>
        </w:rPr>
        <w:t> </w:t>
      </w:r>
      <w:r>
        <w:rPr>
          <w:i/>
          <w:w w:val="105"/>
          <w:sz w:val="13"/>
        </w:rPr>
        <w:t>2006</w:t>
      </w:r>
      <w:r>
        <w:rPr>
          <w:i/>
          <w:spacing w:val="6"/>
          <w:w w:val="105"/>
          <w:sz w:val="13"/>
        </w:rPr>
        <w:t> </w:t>
      </w:r>
      <w:r>
        <w:rPr>
          <w:spacing w:val="3"/>
          <w:w w:val="105"/>
          <w:sz w:val="13"/>
        </w:rPr>
        <w:t>(NSW).</w:t>
      </w:r>
    </w:p>
    <w:p>
      <w:pPr>
        <w:pStyle w:val="ListParagraph"/>
        <w:numPr>
          <w:ilvl w:val="0"/>
          <w:numId w:val="129"/>
        </w:numPr>
        <w:tabs>
          <w:tab w:pos="2380" w:val="left" w:leader="none"/>
          <w:tab w:pos="2382" w:val="left" w:leader="none"/>
        </w:tabs>
        <w:spacing w:line="240" w:lineRule="auto" w:before="2" w:after="0"/>
        <w:ind w:left="2381" w:right="0" w:hanging="794"/>
        <w:jc w:val="left"/>
        <w:rPr>
          <w:i/>
          <w:sz w:val="13"/>
        </w:rPr>
      </w:pPr>
      <w:r>
        <w:rPr>
          <w:w w:val="105"/>
          <w:sz w:val="13"/>
        </w:rPr>
        <w:t>See</w:t>
      </w:r>
      <w:r>
        <w:rPr>
          <w:spacing w:val="10"/>
          <w:w w:val="105"/>
          <w:sz w:val="13"/>
        </w:rPr>
        <w:t> </w:t>
      </w:r>
      <w:r>
        <w:rPr>
          <w:i/>
          <w:w w:val="105"/>
          <w:sz w:val="13"/>
        </w:rPr>
        <w:t>Neighbourhood</w:t>
      </w:r>
      <w:r>
        <w:rPr>
          <w:i/>
          <w:spacing w:val="11"/>
          <w:w w:val="105"/>
          <w:sz w:val="13"/>
        </w:rPr>
        <w:t> </w:t>
      </w:r>
      <w:r>
        <w:rPr>
          <w:i/>
          <w:w w:val="105"/>
          <w:sz w:val="13"/>
        </w:rPr>
        <w:t>Disputes</w:t>
      </w:r>
      <w:r>
        <w:rPr>
          <w:i/>
          <w:spacing w:val="11"/>
          <w:w w:val="105"/>
          <w:sz w:val="13"/>
        </w:rPr>
        <w:t> </w:t>
      </w:r>
      <w:r>
        <w:rPr>
          <w:i/>
          <w:w w:val="105"/>
          <w:sz w:val="13"/>
        </w:rPr>
        <w:t>About</w:t>
      </w:r>
      <w:r>
        <w:rPr>
          <w:i/>
          <w:spacing w:val="10"/>
          <w:w w:val="105"/>
          <w:sz w:val="13"/>
        </w:rPr>
        <w:t> </w:t>
      </w:r>
      <w:r>
        <w:rPr>
          <w:i/>
          <w:w w:val="105"/>
          <w:sz w:val="13"/>
        </w:rPr>
        <w:t>Plants</w:t>
      </w:r>
      <w:r>
        <w:rPr>
          <w:i/>
          <w:spacing w:val="11"/>
          <w:w w:val="105"/>
          <w:sz w:val="13"/>
        </w:rPr>
        <w:t> </w:t>
      </w:r>
      <w:r>
        <w:rPr>
          <w:i/>
          <w:w w:val="105"/>
          <w:sz w:val="13"/>
        </w:rPr>
        <w:t>Act</w:t>
      </w:r>
      <w:r>
        <w:rPr>
          <w:i/>
          <w:spacing w:val="11"/>
          <w:w w:val="105"/>
          <w:sz w:val="13"/>
        </w:rPr>
        <w:t> </w:t>
      </w:r>
      <w:r>
        <w:rPr>
          <w:i/>
          <w:spacing w:val="-4"/>
          <w:w w:val="105"/>
          <w:sz w:val="13"/>
        </w:rPr>
        <w:t>2017</w:t>
      </w:r>
      <w:r>
        <w:rPr>
          <w:i/>
          <w:spacing w:val="10"/>
          <w:w w:val="105"/>
          <w:sz w:val="13"/>
        </w:rPr>
        <w:t> </w:t>
      </w:r>
      <w:r>
        <w:rPr>
          <w:w w:val="105"/>
          <w:sz w:val="13"/>
        </w:rPr>
        <w:t>(Tas)</w:t>
      </w:r>
      <w:r>
        <w:rPr>
          <w:spacing w:val="11"/>
          <w:w w:val="105"/>
          <w:sz w:val="13"/>
        </w:rPr>
        <w:t> </w:t>
      </w:r>
      <w:r>
        <w:rPr>
          <w:w w:val="105"/>
          <w:sz w:val="13"/>
        </w:rPr>
        <w:t>ss</w:t>
      </w:r>
      <w:r>
        <w:rPr>
          <w:spacing w:val="11"/>
          <w:w w:val="105"/>
          <w:sz w:val="13"/>
        </w:rPr>
        <w:t> </w:t>
      </w:r>
      <w:r>
        <w:rPr>
          <w:spacing w:val="4"/>
          <w:w w:val="105"/>
          <w:sz w:val="13"/>
        </w:rPr>
        <w:t>30(d),</w:t>
      </w:r>
      <w:r>
        <w:rPr>
          <w:spacing w:val="11"/>
          <w:w w:val="105"/>
          <w:sz w:val="13"/>
        </w:rPr>
        <w:t> </w:t>
      </w:r>
      <w:r>
        <w:rPr>
          <w:spacing w:val="2"/>
          <w:w w:val="105"/>
          <w:sz w:val="13"/>
        </w:rPr>
        <w:t>32(d);</w:t>
      </w:r>
      <w:r>
        <w:rPr>
          <w:spacing w:val="10"/>
          <w:w w:val="105"/>
          <w:sz w:val="13"/>
        </w:rPr>
        <w:t> </w:t>
      </w:r>
      <w:r>
        <w:rPr>
          <w:i/>
          <w:w w:val="105"/>
          <w:sz w:val="13"/>
        </w:rPr>
        <w:t>Neighbourhood</w:t>
      </w:r>
      <w:r>
        <w:rPr>
          <w:i/>
          <w:spacing w:val="11"/>
          <w:w w:val="105"/>
          <w:sz w:val="13"/>
        </w:rPr>
        <w:t> </w:t>
      </w:r>
      <w:r>
        <w:rPr>
          <w:i/>
          <w:w w:val="105"/>
          <w:sz w:val="13"/>
        </w:rPr>
        <w:t>Disputes</w:t>
      </w:r>
      <w:r>
        <w:rPr>
          <w:i/>
          <w:spacing w:val="11"/>
          <w:w w:val="105"/>
          <w:sz w:val="13"/>
        </w:rPr>
        <w:t> </w:t>
      </w:r>
      <w:r>
        <w:rPr>
          <w:i/>
          <w:w w:val="105"/>
          <w:sz w:val="13"/>
        </w:rPr>
        <w:t>(Dividing</w:t>
      </w:r>
      <w:r>
        <w:rPr>
          <w:i/>
          <w:spacing w:val="10"/>
          <w:w w:val="105"/>
          <w:sz w:val="13"/>
        </w:rPr>
        <w:t> </w:t>
      </w:r>
      <w:r>
        <w:rPr>
          <w:i/>
          <w:w w:val="105"/>
          <w:sz w:val="13"/>
        </w:rPr>
        <w:t>Fences</w:t>
      </w:r>
      <w:r>
        <w:rPr>
          <w:i/>
          <w:spacing w:val="11"/>
          <w:w w:val="105"/>
          <w:sz w:val="13"/>
        </w:rPr>
        <w:t> </w:t>
      </w:r>
      <w:r>
        <w:rPr>
          <w:i/>
          <w:w w:val="105"/>
          <w:sz w:val="13"/>
        </w:rPr>
        <w:t>and</w:t>
      </w:r>
      <w:r>
        <w:rPr>
          <w:i/>
          <w:spacing w:val="11"/>
          <w:w w:val="105"/>
          <w:sz w:val="13"/>
        </w:rPr>
        <w:t> </w:t>
      </w:r>
      <w:r>
        <w:rPr>
          <w:i/>
          <w:w w:val="105"/>
          <w:sz w:val="13"/>
        </w:rPr>
        <w:t>Trees)</w:t>
      </w:r>
      <w:r>
        <w:rPr>
          <w:i/>
          <w:spacing w:val="11"/>
          <w:w w:val="105"/>
          <w:sz w:val="13"/>
        </w:rPr>
        <w:t> </w:t>
      </w:r>
      <w:r>
        <w:rPr>
          <w:i/>
          <w:w w:val="105"/>
          <w:sz w:val="13"/>
        </w:rPr>
        <w:t>Act</w:t>
      </w:r>
      <w:r>
        <w:rPr>
          <w:i/>
          <w:spacing w:val="10"/>
          <w:w w:val="105"/>
          <w:sz w:val="13"/>
        </w:rPr>
        <w:t> </w:t>
      </w:r>
      <w:r>
        <w:rPr>
          <w:i/>
          <w:spacing w:val="-4"/>
          <w:w w:val="105"/>
          <w:sz w:val="13"/>
        </w:rPr>
        <w:t>2011</w:t>
      </w:r>
    </w:p>
    <w:p>
      <w:pPr>
        <w:spacing w:before="1"/>
        <w:ind w:left="2381" w:right="0" w:firstLine="0"/>
        <w:jc w:val="left"/>
        <w:rPr>
          <w:sz w:val="13"/>
        </w:rPr>
      </w:pPr>
      <w:r>
        <w:rPr>
          <w:sz w:val="13"/>
        </w:rPr>
        <w:t>(Qld) s 75(d).</w:t>
      </w:r>
    </w:p>
    <w:p>
      <w:pPr>
        <w:pStyle w:val="ListParagraph"/>
        <w:numPr>
          <w:ilvl w:val="0"/>
          <w:numId w:val="129"/>
        </w:numPr>
        <w:tabs>
          <w:tab w:pos="2380" w:val="left" w:leader="none"/>
          <w:tab w:pos="2382" w:val="left" w:leader="none"/>
        </w:tabs>
        <w:spacing w:line="240" w:lineRule="auto" w:before="1" w:after="0"/>
        <w:ind w:left="2381" w:right="0" w:hanging="794"/>
        <w:jc w:val="left"/>
        <w:rPr>
          <w:sz w:val="13"/>
        </w:rPr>
      </w:pPr>
      <w:r>
        <w:rPr>
          <w:w w:val="105"/>
          <w:sz w:val="13"/>
        </w:rPr>
        <w:t>Supplementary Consultation 1 (Victorian Civil and Administrative</w:t>
      </w:r>
      <w:r>
        <w:rPr>
          <w:spacing w:val="2"/>
          <w:w w:val="105"/>
          <w:sz w:val="13"/>
        </w:rPr>
        <w:t> </w:t>
      </w:r>
      <w:r>
        <w:rPr>
          <w:w w:val="105"/>
          <w:sz w:val="13"/>
        </w:rPr>
        <w:t>Tribunal).</w:t>
      </w:r>
    </w:p>
    <w:p>
      <w:pPr>
        <w:pStyle w:val="ListParagraph"/>
        <w:numPr>
          <w:ilvl w:val="0"/>
          <w:numId w:val="129"/>
        </w:numPr>
        <w:tabs>
          <w:tab w:pos="2380" w:val="left" w:leader="none"/>
          <w:tab w:pos="2382" w:val="left" w:leader="none"/>
        </w:tabs>
        <w:spacing w:line="240" w:lineRule="auto" w:before="2" w:after="0"/>
        <w:ind w:left="2381" w:right="0" w:hanging="794"/>
        <w:jc w:val="left"/>
        <w:rPr>
          <w:sz w:val="13"/>
        </w:rPr>
      </w:pPr>
      <w:r>
        <w:rPr>
          <w:w w:val="105"/>
          <w:sz w:val="13"/>
        </w:rPr>
        <w:t>Consultation 6 </w:t>
      </w:r>
      <w:r>
        <w:rPr>
          <w:spacing w:val="2"/>
          <w:w w:val="105"/>
          <w:sz w:val="13"/>
        </w:rPr>
        <w:t>(Ben</w:t>
      </w:r>
      <w:r>
        <w:rPr>
          <w:spacing w:val="13"/>
          <w:w w:val="105"/>
          <w:sz w:val="13"/>
        </w:rPr>
        <w:t> </w:t>
      </w:r>
      <w:r>
        <w:rPr>
          <w:w w:val="105"/>
          <w:sz w:val="13"/>
        </w:rPr>
        <w:t>Kenyon).</w:t>
      </w:r>
    </w:p>
    <w:p>
      <w:pPr>
        <w:pStyle w:val="ListParagraph"/>
        <w:numPr>
          <w:ilvl w:val="0"/>
          <w:numId w:val="129"/>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29"/>
        </w:numPr>
        <w:tabs>
          <w:tab w:pos="2380" w:val="left" w:leader="none"/>
          <w:tab w:pos="2382" w:val="left" w:leader="none"/>
        </w:tabs>
        <w:spacing w:line="240" w:lineRule="auto" w:before="1"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129"/>
        </w:numPr>
        <w:tabs>
          <w:tab w:pos="2380" w:val="left" w:leader="none"/>
          <w:tab w:pos="2382" w:val="left" w:leader="none"/>
        </w:tabs>
        <w:spacing w:line="240" w:lineRule="auto" w:before="2" w:after="0"/>
        <w:ind w:left="2381" w:right="0" w:hanging="794"/>
        <w:jc w:val="left"/>
        <w:rPr>
          <w:sz w:val="13"/>
        </w:rPr>
      </w:pPr>
      <w:r>
        <w:rPr>
          <w:w w:val="105"/>
          <w:sz w:val="13"/>
        </w:rPr>
        <w:t>Submission 28 </w:t>
      </w:r>
      <w:r>
        <w:rPr>
          <w:spacing w:val="3"/>
          <w:w w:val="105"/>
          <w:sz w:val="13"/>
        </w:rPr>
        <w:t>(HVP</w:t>
      </w:r>
      <w:r>
        <w:rPr>
          <w:spacing w:val="13"/>
          <w:w w:val="105"/>
          <w:sz w:val="13"/>
        </w:rPr>
        <w:t> </w:t>
      </w:r>
      <w:r>
        <w:rPr>
          <w:w w:val="105"/>
          <w:sz w:val="13"/>
        </w:rPr>
        <w:t>Plantations).</w:t>
      </w:r>
    </w:p>
    <w:p>
      <w:pPr>
        <w:pStyle w:val="ListParagraph"/>
        <w:numPr>
          <w:ilvl w:val="0"/>
          <w:numId w:val="129"/>
        </w:numPr>
        <w:tabs>
          <w:tab w:pos="2380" w:val="left" w:leader="none"/>
          <w:tab w:pos="2382" w:val="left" w:leader="none"/>
        </w:tabs>
        <w:spacing w:line="240" w:lineRule="auto" w:before="1" w:after="0"/>
        <w:ind w:left="2381" w:right="0" w:hanging="794"/>
        <w:jc w:val="left"/>
        <w:rPr>
          <w:sz w:val="13"/>
        </w:rPr>
      </w:pPr>
      <w:r>
        <w:rPr>
          <w:w w:val="105"/>
          <w:sz w:val="13"/>
        </w:rPr>
        <w:t>Submissions 5 </w:t>
      </w:r>
      <w:r>
        <w:rPr>
          <w:spacing w:val="2"/>
          <w:w w:val="105"/>
          <w:sz w:val="13"/>
        </w:rPr>
        <w:t>(Name </w:t>
      </w:r>
      <w:r>
        <w:rPr>
          <w:w w:val="105"/>
          <w:sz w:val="13"/>
        </w:rPr>
        <w:t>withheld), 22 </w:t>
      </w:r>
      <w:r>
        <w:rPr>
          <w:spacing w:val="2"/>
          <w:w w:val="105"/>
          <w:sz w:val="13"/>
        </w:rPr>
        <w:t>(Name</w:t>
      </w:r>
      <w:r>
        <w:rPr>
          <w:spacing w:val="25"/>
          <w:w w:val="105"/>
          <w:sz w:val="13"/>
        </w:rPr>
        <w:t> </w:t>
      </w:r>
      <w:r>
        <w:rPr>
          <w:w w:val="105"/>
          <w:sz w:val="13"/>
        </w:rPr>
        <w:t>withheld).</w:t>
      </w:r>
    </w:p>
    <w:p>
      <w:pPr>
        <w:pStyle w:val="ListParagraph"/>
        <w:numPr>
          <w:ilvl w:val="0"/>
          <w:numId w:val="129"/>
        </w:numPr>
        <w:tabs>
          <w:tab w:pos="2380" w:val="left" w:leader="none"/>
          <w:tab w:pos="2382" w:val="left" w:leader="none"/>
        </w:tabs>
        <w:spacing w:line="240" w:lineRule="auto" w:before="1" w:after="0"/>
        <w:ind w:left="2381" w:right="0" w:hanging="794"/>
        <w:jc w:val="left"/>
        <w:rPr>
          <w:sz w:val="13"/>
        </w:rPr>
      </w:pPr>
      <w:r>
        <w:rPr>
          <w:w w:val="105"/>
          <w:sz w:val="13"/>
        </w:rPr>
        <w:t>Submission 22 </w:t>
      </w:r>
      <w:r>
        <w:rPr>
          <w:spacing w:val="2"/>
          <w:w w:val="105"/>
          <w:sz w:val="13"/>
        </w:rPr>
        <w:t>(Name</w:t>
      </w:r>
      <w:r>
        <w:rPr>
          <w:spacing w:val="13"/>
          <w:w w:val="105"/>
          <w:sz w:val="13"/>
        </w:rPr>
        <w:t> </w:t>
      </w:r>
      <w:r>
        <w:rPr>
          <w:w w:val="105"/>
          <w:sz w:val="13"/>
        </w:rPr>
        <w:t>withheld).</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spacing w:before="176"/>
        <w:ind w:left="721" w:right="575" w:firstLine="0"/>
        <w:jc w:val="center"/>
        <w:rPr>
          <w:b/>
          <w:sz w:val="24"/>
        </w:rPr>
      </w:pPr>
      <w:r>
        <w:rPr>
          <w:b/>
          <w:color w:val="658464"/>
          <w:w w:val="110"/>
          <w:sz w:val="24"/>
        </w:rPr>
        <w:t>171</w:t>
      </w:r>
    </w:p>
    <w:p>
      <w:pPr>
        <w:spacing w:after="0"/>
        <w:jc w:val="center"/>
        <w:rPr>
          <w:sz w:val="24"/>
        </w:rPr>
        <w:sectPr>
          <w:type w:val="continuous"/>
          <w:pgSz w:w="11910" w:h="16840"/>
          <w:pgMar w:top="300" w:bottom="280" w:left="0" w:right="0"/>
          <w:cols w:num="2" w:equalWidth="0">
            <w:col w:w="10132" w:space="40"/>
            <w:col w:w="1738"/>
          </w:cols>
        </w:sectPr>
      </w:pPr>
    </w:p>
    <w:p>
      <w:pPr>
        <w:pStyle w:val="BodyText"/>
        <w:spacing w:before="11"/>
        <w:rPr>
          <w:b/>
        </w:rPr>
      </w:pPr>
    </w:p>
    <w:p>
      <w:pPr>
        <w:spacing w:before="96"/>
        <w:ind w:left="1587" w:right="0" w:firstLine="0"/>
        <w:jc w:val="left"/>
        <w:rPr>
          <w:b/>
          <w:sz w:val="24"/>
        </w:rPr>
      </w:pPr>
      <w:bookmarkStart w:name="The Commission’s conclusions—decision-ma" w:id="194"/>
      <w:bookmarkEnd w:id="194"/>
      <w:r>
        <w:rPr/>
      </w:r>
      <w:bookmarkStart w:name="_bookmark90" w:id="195"/>
      <w:bookmarkEnd w:id="195"/>
      <w:r>
        <w:rPr/>
      </w:r>
      <w:r>
        <w:rPr>
          <w:b/>
          <w:w w:val="110"/>
          <w:sz w:val="24"/>
        </w:rPr>
        <w:t>Other issues</w:t>
      </w:r>
    </w:p>
    <w:p>
      <w:pPr>
        <w:pStyle w:val="Heading7"/>
        <w:spacing w:before="168"/>
      </w:pPr>
      <w:r>
        <w:rPr>
          <w:w w:val="115"/>
        </w:rPr>
        <w:t>Consideration of other laws</w:t>
      </w:r>
    </w:p>
    <w:p>
      <w:pPr>
        <w:pStyle w:val="ListParagraph"/>
        <w:numPr>
          <w:ilvl w:val="1"/>
          <w:numId w:val="16"/>
        </w:numPr>
        <w:tabs>
          <w:tab w:pos="2381" w:val="left" w:leader="none"/>
          <w:tab w:pos="2382" w:val="left" w:leader="none"/>
        </w:tabs>
        <w:spacing w:line="242" w:lineRule="auto" w:before="142" w:after="0"/>
        <w:ind w:left="2381" w:right="1821" w:hanging="794"/>
        <w:jc w:val="left"/>
        <w:rPr>
          <w:sz w:val="21"/>
        </w:rPr>
      </w:pPr>
      <w:r>
        <w:rPr>
          <w:w w:val="105"/>
          <w:sz w:val="21"/>
        </w:rPr>
        <w:t>One </w:t>
      </w:r>
      <w:r>
        <w:rPr>
          <w:spacing w:val="-3"/>
          <w:w w:val="105"/>
          <w:sz w:val="21"/>
        </w:rPr>
        <w:t>submission </w:t>
      </w:r>
      <w:r>
        <w:rPr>
          <w:w w:val="105"/>
          <w:sz w:val="21"/>
        </w:rPr>
        <w:t>advised </w:t>
      </w:r>
      <w:r>
        <w:rPr>
          <w:spacing w:val="-3"/>
          <w:w w:val="105"/>
          <w:sz w:val="21"/>
        </w:rPr>
        <w:t>that consideration </w:t>
      </w:r>
      <w:r>
        <w:rPr>
          <w:w w:val="105"/>
          <w:sz w:val="21"/>
        </w:rPr>
        <w:t>should be given </w:t>
      </w:r>
      <w:r>
        <w:rPr>
          <w:spacing w:val="-3"/>
          <w:w w:val="105"/>
          <w:sz w:val="21"/>
        </w:rPr>
        <w:t>to </w:t>
      </w:r>
      <w:r>
        <w:rPr>
          <w:w w:val="105"/>
          <w:sz w:val="21"/>
        </w:rPr>
        <w:t>the application of other laws</w:t>
      </w:r>
      <w:r>
        <w:rPr>
          <w:spacing w:val="-7"/>
          <w:w w:val="105"/>
          <w:sz w:val="21"/>
        </w:rPr>
        <w:t> </w:t>
      </w:r>
      <w:r>
        <w:rPr>
          <w:w w:val="105"/>
          <w:sz w:val="21"/>
        </w:rPr>
        <w:t>protecting</w:t>
      </w:r>
      <w:r>
        <w:rPr>
          <w:spacing w:val="-6"/>
          <w:w w:val="105"/>
          <w:sz w:val="21"/>
        </w:rPr>
        <w:t> </w:t>
      </w:r>
      <w:r>
        <w:rPr>
          <w:w w:val="105"/>
          <w:sz w:val="21"/>
        </w:rPr>
        <w:t>the</w:t>
      </w:r>
      <w:r>
        <w:rPr>
          <w:spacing w:val="-6"/>
          <w:w w:val="105"/>
          <w:sz w:val="21"/>
        </w:rPr>
        <w:t> </w:t>
      </w:r>
      <w:r>
        <w:rPr>
          <w:spacing w:val="-3"/>
          <w:w w:val="105"/>
          <w:sz w:val="21"/>
        </w:rPr>
        <w:t>tree,</w:t>
      </w:r>
      <w:r>
        <w:rPr>
          <w:spacing w:val="-7"/>
          <w:w w:val="105"/>
          <w:sz w:val="21"/>
        </w:rPr>
        <w:t> </w:t>
      </w:r>
      <w:r>
        <w:rPr>
          <w:spacing w:val="-3"/>
          <w:w w:val="105"/>
          <w:sz w:val="21"/>
        </w:rPr>
        <w:t>for</w:t>
      </w:r>
      <w:r>
        <w:rPr>
          <w:spacing w:val="-6"/>
          <w:w w:val="105"/>
          <w:sz w:val="21"/>
        </w:rPr>
        <w:t> </w:t>
      </w:r>
      <w:r>
        <w:rPr>
          <w:w w:val="105"/>
          <w:sz w:val="21"/>
        </w:rPr>
        <w:t>example</w:t>
      </w:r>
      <w:r>
        <w:rPr>
          <w:spacing w:val="-6"/>
          <w:w w:val="105"/>
          <w:sz w:val="21"/>
        </w:rPr>
        <w:t> </w:t>
      </w:r>
      <w:r>
        <w:rPr>
          <w:spacing w:val="-3"/>
          <w:w w:val="105"/>
          <w:sz w:val="21"/>
        </w:rPr>
        <w:t>significant</w:t>
      </w:r>
      <w:r>
        <w:rPr>
          <w:spacing w:val="-7"/>
          <w:w w:val="105"/>
          <w:sz w:val="21"/>
        </w:rPr>
        <w:t> </w:t>
      </w:r>
      <w:r>
        <w:rPr>
          <w:w w:val="105"/>
          <w:sz w:val="21"/>
        </w:rPr>
        <w:t>tree</w:t>
      </w:r>
      <w:r>
        <w:rPr>
          <w:spacing w:val="-6"/>
          <w:w w:val="105"/>
          <w:sz w:val="21"/>
        </w:rPr>
        <w:t> </w:t>
      </w:r>
      <w:r>
        <w:rPr>
          <w:w w:val="105"/>
          <w:sz w:val="21"/>
        </w:rPr>
        <w:t>registers.</w:t>
      </w:r>
      <w:r>
        <w:rPr>
          <w:w w:val="105"/>
          <w:position w:val="7"/>
          <w:sz w:val="12"/>
        </w:rPr>
        <w:t>85</w:t>
      </w:r>
      <w:r>
        <w:rPr>
          <w:spacing w:val="16"/>
          <w:w w:val="105"/>
          <w:position w:val="7"/>
          <w:sz w:val="12"/>
        </w:rPr>
        <w:t> </w:t>
      </w:r>
      <w:r>
        <w:rPr>
          <w:w w:val="105"/>
          <w:sz w:val="21"/>
        </w:rPr>
        <w:t>The</w:t>
      </w:r>
      <w:r>
        <w:rPr>
          <w:spacing w:val="-6"/>
          <w:w w:val="105"/>
          <w:sz w:val="21"/>
        </w:rPr>
        <w:t> </w:t>
      </w:r>
      <w:r>
        <w:rPr>
          <w:spacing w:val="-3"/>
          <w:w w:val="105"/>
          <w:sz w:val="21"/>
        </w:rPr>
        <w:t>City</w:t>
      </w:r>
      <w:r>
        <w:rPr>
          <w:spacing w:val="-6"/>
          <w:w w:val="105"/>
          <w:sz w:val="21"/>
        </w:rPr>
        <w:t> </w:t>
      </w:r>
      <w:r>
        <w:rPr>
          <w:w w:val="105"/>
          <w:sz w:val="21"/>
        </w:rPr>
        <w:t>of</w:t>
      </w:r>
      <w:r>
        <w:rPr>
          <w:spacing w:val="-7"/>
          <w:w w:val="105"/>
          <w:sz w:val="21"/>
        </w:rPr>
        <w:t> </w:t>
      </w:r>
      <w:r>
        <w:rPr>
          <w:spacing w:val="-3"/>
          <w:w w:val="105"/>
          <w:sz w:val="21"/>
        </w:rPr>
        <w:t>Boroondara </w:t>
      </w:r>
      <w:r>
        <w:rPr>
          <w:w w:val="105"/>
          <w:sz w:val="21"/>
        </w:rPr>
        <w:t>explained</w:t>
      </w:r>
      <w:r>
        <w:rPr>
          <w:spacing w:val="5"/>
          <w:w w:val="105"/>
          <w:sz w:val="21"/>
        </w:rPr>
        <w:t> </w:t>
      </w:r>
      <w:r>
        <w:rPr>
          <w:w w:val="105"/>
          <w:sz w:val="21"/>
        </w:rPr>
        <w:t>that:</w:t>
      </w:r>
    </w:p>
    <w:p>
      <w:pPr>
        <w:spacing w:line="254" w:lineRule="auto" w:before="133"/>
        <w:ind w:left="2834" w:right="1636" w:firstLine="0"/>
        <w:jc w:val="left"/>
        <w:rPr>
          <w:sz w:val="11"/>
        </w:rPr>
      </w:pPr>
      <w:r>
        <w:rPr>
          <w:w w:val="105"/>
          <w:sz w:val="20"/>
        </w:rPr>
        <w:t>[decision-making]</w:t>
      </w:r>
      <w:r>
        <w:rPr>
          <w:spacing w:val="-18"/>
          <w:w w:val="105"/>
          <w:sz w:val="20"/>
        </w:rPr>
        <w:t> </w:t>
      </w:r>
      <w:r>
        <w:rPr>
          <w:w w:val="105"/>
          <w:sz w:val="20"/>
        </w:rPr>
        <w:t>criteria</w:t>
      </w:r>
      <w:r>
        <w:rPr>
          <w:spacing w:val="-17"/>
          <w:w w:val="105"/>
          <w:sz w:val="20"/>
        </w:rPr>
        <w:t> </w:t>
      </w:r>
      <w:r>
        <w:rPr>
          <w:w w:val="105"/>
          <w:sz w:val="20"/>
        </w:rPr>
        <w:t>should</w:t>
      </w:r>
      <w:r>
        <w:rPr>
          <w:spacing w:val="-17"/>
          <w:w w:val="105"/>
          <w:sz w:val="20"/>
        </w:rPr>
        <w:t> </w:t>
      </w:r>
      <w:r>
        <w:rPr>
          <w:w w:val="105"/>
          <w:sz w:val="20"/>
        </w:rPr>
        <w:t>also</w:t>
      </w:r>
      <w:r>
        <w:rPr>
          <w:spacing w:val="-17"/>
          <w:w w:val="105"/>
          <w:sz w:val="20"/>
        </w:rPr>
        <w:t> </w:t>
      </w:r>
      <w:r>
        <w:rPr>
          <w:spacing w:val="-3"/>
          <w:w w:val="105"/>
          <w:sz w:val="20"/>
        </w:rPr>
        <w:t>require</w:t>
      </w:r>
      <w:r>
        <w:rPr>
          <w:spacing w:val="-17"/>
          <w:w w:val="105"/>
          <w:sz w:val="20"/>
        </w:rPr>
        <w:t> </w:t>
      </w:r>
      <w:r>
        <w:rPr>
          <w:w w:val="105"/>
          <w:sz w:val="20"/>
        </w:rPr>
        <w:t>the</w:t>
      </w:r>
      <w:r>
        <w:rPr>
          <w:spacing w:val="-17"/>
          <w:w w:val="105"/>
          <w:sz w:val="20"/>
        </w:rPr>
        <w:t> </w:t>
      </w:r>
      <w:r>
        <w:rPr>
          <w:w w:val="105"/>
          <w:sz w:val="20"/>
        </w:rPr>
        <w:t>Court/Tribunal</w:t>
      </w:r>
      <w:r>
        <w:rPr>
          <w:spacing w:val="-17"/>
          <w:w w:val="105"/>
          <w:sz w:val="20"/>
        </w:rPr>
        <w:t> </w:t>
      </w:r>
      <w:r>
        <w:rPr>
          <w:w w:val="105"/>
          <w:sz w:val="20"/>
        </w:rPr>
        <w:t>to</w:t>
      </w:r>
      <w:r>
        <w:rPr>
          <w:spacing w:val="-18"/>
          <w:w w:val="105"/>
          <w:sz w:val="20"/>
        </w:rPr>
        <w:t> </w:t>
      </w:r>
      <w:r>
        <w:rPr>
          <w:w w:val="105"/>
          <w:sz w:val="20"/>
        </w:rPr>
        <w:t>consider</w:t>
      </w:r>
      <w:r>
        <w:rPr>
          <w:spacing w:val="-17"/>
          <w:w w:val="105"/>
          <w:sz w:val="20"/>
        </w:rPr>
        <w:t> </w:t>
      </w:r>
      <w:r>
        <w:rPr>
          <w:w w:val="105"/>
          <w:sz w:val="20"/>
        </w:rPr>
        <w:t>whether</w:t>
      </w:r>
      <w:r>
        <w:rPr>
          <w:spacing w:val="-17"/>
          <w:w w:val="105"/>
          <w:sz w:val="20"/>
        </w:rPr>
        <w:t> </w:t>
      </w:r>
      <w:r>
        <w:rPr>
          <w:w w:val="105"/>
          <w:sz w:val="20"/>
        </w:rPr>
        <w:t>the tree is protected by a </w:t>
      </w:r>
      <w:r>
        <w:rPr>
          <w:spacing w:val="-3"/>
          <w:w w:val="105"/>
          <w:sz w:val="20"/>
        </w:rPr>
        <w:t>planning </w:t>
      </w:r>
      <w:r>
        <w:rPr>
          <w:w w:val="105"/>
          <w:sz w:val="20"/>
        </w:rPr>
        <w:t>scheme, a </w:t>
      </w:r>
      <w:r>
        <w:rPr>
          <w:spacing w:val="-3"/>
          <w:w w:val="105"/>
          <w:sz w:val="20"/>
        </w:rPr>
        <w:t>current </w:t>
      </w:r>
      <w:r>
        <w:rPr>
          <w:w w:val="105"/>
          <w:sz w:val="20"/>
        </w:rPr>
        <w:t>valid </w:t>
      </w:r>
      <w:r>
        <w:rPr>
          <w:spacing w:val="-3"/>
          <w:w w:val="105"/>
          <w:sz w:val="20"/>
        </w:rPr>
        <w:t>Planning </w:t>
      </w:r>
      <w:r>
        <w:rPr>
          <w:w w:val="105"/>
          <w:sz w:val="20"/>
        </w:rPr>
        <w:t>Permit, a Local Law or other legislation such as the Aboriginal Heritage Act</w:t>
      </w:r>
      <w:r>
        <w:rPr>
          <w:spacing w:val="37"/>
          <w:w w:val="105"/>
          <w:sz w:val="20"/>
        </w:rPr>
        <w:t> </w:t>
      </w:r>
      <w:r>
        <w:rPr>
          <w:w w:val="105"/>
          <w:sz w:val="20"/>
        </w:rPr>
        <w:t>2006.</w:t>
      </w:r>
      <w:r>
        <w:rPr>
          <w:w w:val="105"/>
          <w:position w:val="7"/>
          <w:sz w:val="11"/>
        </w:rPr>
        <w:t>86</w:t>
      </w:r>
    </w:p>
    <w:p>
      <w:pPr>
        <w:pStyle w:val="Heading7"/>
        <w:spacing w:before="145"/>
      </w:pPr>
      <w:r>
        <w:rPr>
          <w:w w:val="115"/>
        </w:rPr>
        <w:t>Tree removal as a last resort</w:t>
      </w:r>
    </w:p>
    <w:p>
      <w:pPr>
        <w:pStyle w:val="ListParagraph"/>
        <w:numPr>
          <w:ilvl w:val="1"/>
          <w:numId w:val="16"/>
        </w:numPr>
        <w:tabs>
          <w:tab w:pos="2380" w:val="left" w:leader="none"/>
          <w:tab w:pos="2381" w:val="left" w:leader="none"/>
        </w:tabs>
        <w:spacing w:line="242" w:lineRule="auto" w:before="142" w:after="0"/>
        <w:ind w:left="2381" w:right="1714" w:hanging="794"/>
        <w:jc w:val="left"/>
        <w:rPr>
          <w:sz w:val="21"/>
        </w:rPr>
      </w:pPr>
      <w:r>
        <w:rPr>
          <w:w w:val="105"/>
          <w:sz w:val="21"/>
        </w:rPr>
        <w:t>The </w:t>
      </w:r>
      <w:r>
        <w:rPr>
          <w:spacing w:val="-3"/>
          <w:w w:val="105"/>
          <w:sz w:val="21"/>
        </w:rPr>
        <w:t>City </w:t>
      </w:r>
      <w:r>
        <w:rPr>
          <w:w w:val="105"/>
          <w:sz w:val="21"/>
        </w:rPr>
        <w:t>of </w:t>
      </w:r>
      <w:r>
        <w:rPr>
          <w:spacing w:val="-3"/>
          <w:w w:val="105"/>
          <w:sz w:val="21"/>
        </w:rPr>
        <w:t>Boroondara, Nillumbik Shire </w:t>
      </w:r>
      <w:r>
        <w:rPr>
          <w:spacing w:val="-4"/>
          <w:w w:val="105"/>
          <w:sz w:val="21"/>
        </w:rPr>
        <w:t>Council </w:t>
      </w:r>
      <w:r>
        <w:rPr>
          <w:w w:val="105"/>
          <w:sz w:val="21"/>
        </w:rPr>
        <w:t>and arborist Robert Mineo </w:t>
      </w:r>
      <w:r>
        <w:rPr>
          <w:spacing w:val="-2"/>
          <w:w w:val="105"/>
          <w:sz w:val="21"/>
        </w:rPr>
        <w:t>submitted </w:t>
      </w:r>
      <w:r>
        <w:rPr>
          <w:spacing w:val="-3"/>
          <w:w w:val="105"/>
          <w:sz w:val="21"/>
        </w:rPr>
        <w:t>that</w:t>
      </w:r>
      <w:r>
        <w:rPr>
          <w:spacing w:val="-9"/>
          <w:w w:val="105"/>
          <w:sz w:val="21"/>
        </w:rPr>
        <w:t> </w:t>
      </w:r>
      <w:r>
        <w:rPr>
          <w:w w:val="105"/>
          <w:sz w:val="21"/>
        </w:rPr>
        <w:t>the</w:t>
      </w:r>
      <w:r>
        <w:rPr>
          <w:spacing w:val="-8"/>
          <w:w w:val="105"/>
          <w:sz w:val="21"/>
        </w:rPr>
        <w:t> </w:t>
      </w:r>
      <w:r>
        <w:rPr>
          <w:w w:val="105"/>
          <w:sz w:val="21"/>
        </w:rPr>
        <w:t>decision</w:t>
      </w:r>
      <w:r>
        <w:rPr>
          <w:spacing w:val="-8"/>
          <w:w w:val="105"/>
          <w:sz w:val="21"/>
        </w:rPr>
        <w:t> </w:t>
      </w:r>
      <w:r>
        <w:rPr>
          <w:spacing w:val="-4"/>
          <w:w w:val="105"/>
          <w:sz w:val="21"/>
        </w:rPr>
        <w:t>maker</w:t>
      </w:r>
      <w:r>
        <w:rPr>
          <w:spacing w:val="-8"/>
          <w:w w:val="105"/>
          <w:sz w:val="21"/>
        </w:rPr>
        <w:t> </w:t>
      </w:r>
      <w:r>
        <w:rPr>
          <w:w w:val="105"/>
          <w:sz w:val="21"/>
        </w:rPr>
        <w:t>should</w:t>
      </w:r>
      <w:r>
        <w:rPr>
          <w:spacing w:val="-8"/>
          <w:w w:val="105"/>
          <w:sz w:val="21"/>
        </w:rPr>
        <w:t> </w:t>
      </w:r>
      <w:r>
        <w:rPr>
          <w:w w:val="105"/>
          <w:sz w:val="21"/>
        </w:rPr>
        <w:t>first</w:t>
      </w:r>
      <w:r>
        <w:rPr>
          <w:spacing w:val="-8"/>
          <w:w w:val="105"/>
          <w:sz w:val="21"/>
        </w:rPr>
        <w:t> </w:t>
      </w:r>
      <w:r>
        <w:rPr>
          <w:spacing w:val="-3"/>
          <w:w w:val="105"/>
          <w:sz w:val="21"/>
        </w:rPr>
        <w:t>consider</w:t>
      </w:r>
      <w:r>
        <w:rPr>
          <w:spacing w:val="-8"/>
          <w:w w:val="105"/>
          <w:sz w:val="21"/>
        </w:rPr>
        <w:t> </w:t>
      </w:r>
      <w:r>
        <w:rPr>
          <w:w w:val="105"/>
          <w:sz w:val="21"/>
        </w:rPr>
        <w:t>remedies</w:t>
      </w:r>
      <w:r>
        <w:rPr>
          <w:spacing w:val="-8"/>
          <w:w w:val="105"/>
          <w:sz w:val="21"/>
        </w:rPr>
        <w:t> </w:t>
      </w:r>
      <w:r>
        <w:rPr>
          <w:spacing w:val="-3"/>
          <w:w w:val="105"/>
          <w:sz w:val="21"/>
        </w:rPr>
        <w:t>that</w:t>
      </w:r>
      <w:r>
        <w:rPr>
          <w:spacing w:val="-8"/>
          <w:w w:val="105"/>
          <w:sz w:val="21"/>
        </w:rPr>
        <w:t> </w:t>
      </w:r>
      <w:r>
        <w:rPr>
          <w:w w:val="105"/>
          <w:sz w:val="21"/>
        </w:rPr>
        <w:t>do</w:t>
      </w:r>
      <w:r>
        <w:rPr>
          <w:spacing w:val="-8"/>
          <w:w w:val="105"/>
          <w:sz w:val="21"/>
        </w:rPr>
        <w:t> </w:t>
      </w:r>
      <w:r>
        <w:rPr>
          <w:spacing w:val="-2"/>
          <w:w w:val="105"/>
          <w:sz w:val="21"/>
        </w:rPr>
        <w:t>not</w:t>
      </w:r>
      <w:r>
        <w:rPr>
          <w:spacing w:val="-8"/>
          <w:w w:val="105"/>
          <w:sz w:val="21"/>
        </w:rPr>
        <w:t> </w:t>
      </w:r>
      <w:r>
        <w:rPr>
          <w:spacing w:val="-3"/>
          <w:w w:val="105"/>
          <w:sz w:val="21"/>
        </w:rPr>
        <w:t>require</w:t>
      </w:r>
      <w:r>
        <w:rPr>
          <w:spacing w:val="-8"/>
          <w:w w:val="105"/>
          <w:sz w:val="21"/>
        </w:rPr>
        <w:t> </w:t>
      </w:r>
      <w:r>
        <w:rPr>
          <w:spacing w:val="-3"/>
          <w:w w:val="105"/>
          <w:sz w:val="21"/>
        </w:rPr>
        <w:t>removal</w:t>
      </w:r>
      <w:r>
        <w:rPr>
          <w:spacing w:val="-8"/>
          <w:w w:val="105"/>
          <w:sz w:val="21"/>
        </w:rPr>
        <w:t> </w:t>
      </w:r>
      <w:r>
        <w:rPr>
          <w:w w:val="105"/>
          <w:sz w:val="21"/>
        </w:rPr>
        <w:t>of</w:t>
      </w:r>
      <w:r>
        <w:rPr>
          <w:spacing w:val="-8"/>
          <w:w w:val="105"/>
          <w:sz w:val="21"/>
        </w:rPr>
        <w:t> </w:t>
      </w:r>
      <w:r>
        <w:rPr>
          <w:w w:val="105"/>
          <w:sz w:val="21"/>
        </w:rPr>
        <w:t>the tree.</w:t>
      </w:r>
      <w:r>
        <w:rPr>
          <w:w w:val="105"/>
          <w:position w:val="7"/>
          <w:sz w:val="12"/>
        </w:rPr>
        <w:t>87</w:t>
      </w:r>
    </w:p>
    <w:p>
      <w:pPr>
        <w:pStyle w:val="BodyText"/>
        <w:spacing w:before="11"/>
      </w:pPr>
    </w:p>
    <w:p>
      <w:pPr>
        <w:pStyle w:val="Heading4"/>
      </w:pPr>
      <w:r>
        <w:rPr>
          <w:color w:val="658464"/>
          <w:w w:val="110"/>
        </w:rPr>
        <w:t>The Commission’s conclusions—decision-making principles</w:t>
      </w:r>
    </w:p>
    <w:p>
      <w:pPr>
        <w:pStyle w:val="ListParagraph"/>
        <w:numPr>
          <w:ilvl w:val="1"/>
          <w:numId w:val="16"/>
        </w:numPr>
        <w:tabs>
          <w:tab w:pos="2381" w:val="left" w:leader="none"/>
          <w:tab w:pos="2382" w:val="left" w:leader="none"/>
        </w:tabs>
        <w:spacing w:line="242" w:lineRule="auto" w:before="155" w:after="0"/>
        <w:ind w:left="2381" w:right="1758" w:hanging="794"/>
        <w:jc w:val="left"/>
        <w:rPr>
          <w:sz w:val="21"/>
        </w:rPr>
      </w:pPr>
      <w:r>
        <w:rPr>
          <w:spacing w:val="-2"/>
          <w:w w:val="105"/>
          <w:sz w:val="21"/>
        </w:rPr>
        <w:t>The </w:t>
      </w:r>
      <w:r>
        <w:rPr>
          <w:spacing w:val="-3"/>
          <w:w w:val="105"/>
          <w:sz w:val="21"/>
        </w:rPr>
        <w:t>new </w:t>
      </w:r>
      <w:r>
        <w:rPr>
          <w:w w:val="105"/>
          <w:sz w:val="21"/>
        </w:rPr>
        <w:t>Act </w:t>
      </w:r>
      <w:r>
        <w:rPr>
          <w:spacing w:val="-4"/>
          <w:w w:val="105"/>
          <w:sz w:val="21"/>
        </w:rPr>
        <w:t>should </w:t>
      </w:r>
      <w:r>
        <w:rPr>
          <w:spacing w:val="-5"/>
          <w:w w:val="105"/>
          <w:sz w:val="21"/>
        </w:rPr>
        <w:t>facilitate </w:t>
      </w:r>
      <w:r>
        <w:rPr>
          <w:spacing w:val="-4"/>
          <w:w w:val="105"/>
          <w:sz w:val="21"/>
        </w:rPr>
        <w:t>evidence-based, </w:t>
      </w:r>
      <w:r>
        <w:rPr>
          <w:spacing w:val="-5"/>
          <w:w w:val="105"/>
          <w:sz w:val="21"/>
        </w:rPr>
        <w:t>transparent </w:t>
      </w:r>
      <w:r>
        <w:rPr>
          <w:spacing w:val="-4"/>
          <w:w w:val="105"/>
          <w:sz w:val="21"/>
        </w:rPr>
        <w:t>and </w:t>
      </w:r>
      <w:r>
        <w:rPr>
          <w:spacing w:val="-5"/>
          <w:w w:val="105"/>
          <w:sz w:val="21"/>
        </w:rPr>
        <w:t>consistent </w:t>
      </w:r>
      <w:r>
        <w:rPr>
          <w:spacing w:val="-4"/>
          <w:w w:val="105"/>
          <w:sz w:val="21"/>
        </w:rPr>
        <w:t>decision </w:t>
      </w:r>
      <w:r>
        <w:rPr>
          <w:spacing w:val="-5"/>
          <w:w w:val="105"/>
          <w:sz w:val="21"/>
        </w:rPr>
        <w:t>making. </w:t>
      </w:r>
      <w:r>
        <w:rPr>
          <w:spacing w:val="-4"/>
          <w:w w:val="105"/>
          <w:sz w:val="21"/>
        </w:rPr>
        <w:t>This will </w:t>
      </w:r>
      <w:r>
        <w:rPr>
          <w:spacing w:val="-5"/>
          <w:w w:val="105"/>
          <w:sz w:val="21"/>
        </w:rPr>
        <w:t>require </w:t>
      </w:r>
      <w:r>
        <w:rPr>
          <w:spacing w:val="-4"/>
          <w:w w:val="105"/>
          <w:sz w:val="21"/>
        </w:rPr>
        <w:t>clear and </w:t>
      </w:r>
      <w:r>
        <w:rPr>
          <w:spacing w:val="-5"/>
          <w:w w:val="105"/>
          <w:sz w:val="21"/>
        </w:rPr>
        <w:t>comprehensive </w:t>
      </w:r>
      <w:r>
        <w:rPr>
          <w:spacing w:val="-4"/>
          <w:w w:val="105"/>
          <w:sz w:val="21"/>
        </w:rPr>
        <w:t>principles to </w:t>
      </w:r>
      <w:r>
        <w:rPr>
          <w:w w:val="105"/>
          <w:sz w:val="21"/>
        </w:rPr>
        <w:t>be </w:t>
      </w:r>
      <w:r>
        <w:rPr>
          <w:spacing w:val="-5"/>
          <w:w w:val="105"/>
          <w:sz w:val="21"/>
        </w:rPr>
        <w:t>introduced </w:t>
      </w:r>
      <w:r>
        <w:rPr>
          <w:spacing w:val="-3"/>
          <w:w w:val="105"/>
          <w:sz w:val="21"/>
        </w:rPr>
        <w:t>in the new</w:t>
      </w:r>
      <w:r>
        <w:rPr>
          <w:spacing w:val="8"/>
          <w:w w:val="105"/>
          <w:sz w:val="21"/>
        </w:rPr>
        <w:t> </w:t>
      </w:r>
      <w:r>
        <w:rPr>
          <w:spacing w:val="-3"/>
          <w:w w:val="105"/>
          <w:sz w:val="21"/>
        </w:rPr>
        <w:t>Act.</w:t>
      </w:r>
    </w:p>
    <w:p>
      <w:pPr>
        <w:pStyle w:val="ListParagraph"/>
        <w:numPr>
          <w:ilvl w:val="1"/>
          <w:numId w:val="16"/>
        </w:numPr>
        <w:tabs>
          <w:tab w:pos="2381" w:val="left" w:leader="none"/>
          <w:tab w:pos="2382" w:val="left" w:leader="none"/>
        </w:tabs>
        <w:spacing w:line="242" w:lineRule="auto" w:before="122" w:after="0"/>
        <w:ind w:left="2381" w:right="1593" w:hanging="794"/>
        <w:jc w:val="left"/>
        <w:rPr>
          <w:sz w:val="21"/>
        </w:rPr>
      </w:pPr>
      <w:r>
        <w:rPr>
          <w:sz w:val="21"/>
        </w:rPr>
        <w:t>In practice this </w:t>
      </w:r>
      <w:r>
        <w:rPr>
          <w:spacing w:val="-3"/>
          <w:sz w:val="21"/>
        </w:rPr>
        <w:t>means that  </w:t>
      </w:r>
      <w:r>
        <w:rPr>
          <w:sz w:val="21"/>
        </w:rPr>
        <w:t>if a </w:t>
      </w:r>
      <w:r>
        <w:rPr>
          <w:spacing w:val="-3"/>
          <w:sz w:val="21"/>
        </w:rPr>
        <w:t>claim</w:t>
      </w:r>
      <w:r>
        <w:rPr>
          <w:spacing w:val="41"/>
          <w:sz w:val="21"/>
        </w:rPr>
        <w:t> </w:t>
      </w:r>
      <w:r>
        <w:rPr>
          <w:sz w:val="21"/>
        </w:rPr>
        <w:t>is </w:t>
      </w:r>
      <w:r>
        <w:rPr>
          <w:spacing w:val="-3"/>
          <w:sz w:val="21"/>
        </w:rPr>
        <w:t>initiated  </w:t>
      </w:r>
      <w:r>
        <w:rPr>
          <w:sz w:val="21"/>
        </w:rPr>
        <w:t>about damage or </w:t>
      </w:r>
      <w:r>
        <w:rPr>
          <w:spacing w:val="-3"/>
          <w:sz w:val="21"/>
        </w:rPr>
        <w:t>harm,  </w:t>
      </w:r>
      <w:r>
        <w:rPr>
          <w:sz w:val="21"/>
        </w:rPr>
        <w:t>a </w:t>
      </w:r>
      <w:r>
        <w:rPr>
          <w:spacing w:val="-3"/>
          <w:sz w:val="21"/>
        </w:rPr>
        <w:t>range  </w:t>
      </w:r>
      <w:r>
        <w:rPr>
          <w:sz w:val="21"/>
        </w:rPr>
        <w:t>of </w:t>
      </w:r>
      <w:r>
        <w:rPr>
          <w:spacing w:val="-3"/>
          <w:sz w:val="21"/>
        </w:rPr>
        <w:t>additional </w:t>
      </w:r>
      <w:r>
        <w:rPr>
          <w:sz w:val="21"/>
        </w:rPr>
        <w:t>matters </w:t>
      </w:r>
      <w:r>
        <w:rPr>
          <w:spacing w:val="-3"/>
          <w:sz w:val="21"/>
        </w:rPr>
        <w:t>will </w:t>
      </w:r>
      <w:r>
        <w:rPr>
          <w:sz w:val="21"/>
        </w:rPr>
        <w:t>be </w:t>
      </w:r>
      <w:r>
        <w:rPr>
          <w:spacing w:val="-3"/>
          <w:sz w:val="21"/>
        </w:rPr>
        <w:t>considered </w:t>
      </w:r>
      <w:r>
        <w:rPr>
          <w:sz w:val="21"/>
        </w:rPr>
        <w:t>by the decision </w:t>
      </w:r>
      <w:r>
        <w:rPr>
          <w:spacing w:val="-4"/>
          <w:sz w:val="21"/>
        </w:rPr>
        <w:t>maker </w:t>
      </w:r>
      <w:r>
        <w:rPr>
          <w:sz w:val="21"/>
        </w:rPr>
        <w:t>in </w:t>
      </w:r>
      <w:r>
        <w:rPr>
          <w:spacing w:val="-3"/>
          <w:sz w:val="21"/>
        </w:rPr>
        <w:t>determining </w:t>
      </w:r>
      <w:r>
        <w:rPr>
          <w:sz w:val="21"/>
        </w:rPr>
        <w:t>orders. </w:t>
      </w:r>
      <w:r>
        <w:rPr>
          <w:spacing w:val="-3"/>
          <w:sz w:val="21"/>
        </w:rPr>
        <w:t>Importantly, </w:t>
      </w:r>
      <w:r>
        <w:rPr>
          <w:sz w:val="21"/>
        </w:rPr>
        <w:t>these broader </w:t>
      </w:r>
      <w:r>
        <w:rPr>
          <w:spacing w:val="-3"/>
          <w:sz w:val="21"/>
        </w:rPr>
        <w:t>considerations will  </w:t>
      </w:r>
      <w:r>
        <w:rPr>
          <w:spacing w:val="-2"/>
          <w:sz w:val="21"/>
        </w:rPr>
        <w:t>not  </w:t>
      </w:r>
      <w:r>
        <w:rPr>
          <w:sz w:val="21"/>
        </w:rPr>
        <w:t>detract  </w:t>
      </w:r>
      <w:r>
        <w:rPr>
          <w:spacing w:val="-3"/>
          <w:sz w:val="21"/>
        </w:rPr>
        <w:t>from  consideration  </w:t>
      </w:r>
      <w:r>
        <w:rPr>
          <w:sz w:val="21"/>
        </w:rPr>
        <w:t>of  the alleged damage or </w:t>
      </w:r>
      <w:r>
        <w:rPr>
          <w:spacing w:val="-3"/>
          <w:sz w:val="21"/>
        </w:rPr>
        <w:t>harm </w:t>
      </w:r>
      <w:r>
        <w:rPr>
          <w:sz w:val="21"/>
        </w:rPr>
        <w:t>but </w:t>
      </w:r>
      <w:r>
        <w:rPr>
          <w:spacing w:val="-3"/>
          <w:sz w:val="21"/>
        </w:rPr>
        <w:t>will </w:t>
      </w:r>
      <w:r>
        <w:rPr>
          <w:sz w:val="21"/>
        </w:rPr>
        <w:t>help the decision </w:t>
      </w:r>
      <w:r>
        <w:rPr>
          <w:spacing w:val="-4"/>
          <w:sz w:val="21"/>
        </w:rPr>
        <w:t>maker </w:t>
      </w:r>
      <w:r>
        <w:rPr>
          <w:spacing w:val="-3"/>
          <w:sz w:val="21"/>
        </w:rPr>
        <w:t>to balance competing </w:t>
      </w:r>
      <w:r>
        <w:rPr>
          <w:sz w:val="21"/>
        </w:rPr>
        <w:t>rights and interests </w:t>
      </w:r>
      <w:r>
        <w:rPr>
          <w:spacing w:val="-3"/>
          <w:sz w:val="21"/>
        </w:rPr>
        <w:t>fairly </w:t>
      </w:r>
      <w:r>
        <w:rPr>
          <w:sz w:val="21"/>
        </w:rPr>
        <w:t>and </w:t>
      </w:r>
      <w:r>
        <w:rPr>
          <w:spacing w:val="-3"/>
          <w:sz w:val="21"/>
        </w:rPr>
        <w:t>transparently </w:t>
      </w:r>
      <w:r>
        <w:rPr>
          <w:sz w:val="21"/>
        </w:rPr>
        <w:t>in </w:t>
      </w:r>
      <w:r>
        <w:rPr>
          <w:spacing w:val="-3"/>
          <w:sz w:val="21"/>
        </w:rPr>
        <w:t>making</w:t>
      </w:r>
      <w:r>
        <w:rPr>
          <w:spacing w:val="15"/>
          <w:sz w:val="21"/>
        </w:rPr>
        <w:t> </w:t>
      </w:r>
      <w:r>
        <w:rPr>
          <w:sz w:val="21"/>
        </w:rPr>
        <w:t>orders.</w:t>
      </w:r>
    </w:p>
    <w:p>
      <w:pPr>
        <w:pStyle w:val="ListParagraph"/>
        <w:numPr>
          <w:ilvl w:val="1"/>
          <w:numId w:val="16"/>
        </w:numPr>
        <w:tabs>
          <w:tab w:pos="2380" w:val="left" w:leader="none"/>
          <w:tab w:pos="2381" w:val="left" w:leader="none"/>
        </w:tabs>
        <w:spacing w:line="240" w:lineRule="auto" w:before="125" w:after="0"/>
        <w:ind w:left="2381" w:right="0" w:hanging="794"/>
        <w:jc w:val="left"/>
        <w:rPr>
          <w:sz w:val="21"/>
        </w:rPr>
      </w:pPr>
      <w:r>
        <w:rPr>
          <w:sz w:val="21"/>
        </w:rPr>
        <w:t>Mandatory decision-making </w:t>
      </w:r>
      <w:r>
        <w:rPr>
          <w:spacing w:val="-3"/>
          <w:sz w:val="21"/>
        </w:rPr>
        <w:t>principles</w:t>
      </w:r>
      <w:r>
        <w:rPr>
          <w:spacing w:val="26"/>
          <w:sz w:val="21"/>
        </w:rPr>
        <w:t> </w:t>
      </w:r>
      <w:r>
        <w:rPr>
          <w:sz w:val="21"/>
        </w:rPr>
        <w:t>will:</w:t>
      </w:r>
    </w:p>
    <w:p>
      <w:pPr>
        <w:pStyle w:val="ListParagraph"/>
        <w:numPr>
          <w:ilvl w:val="2"/>
          <w:numId w:val="16"/>
        </w:numPr>
        <w:tabs>
          <w:tab w:pos="2721" w:val="left" w:leader="none"/>
          <w:tab w:pos="2722" w:val="left" w:leader="none"/>
        </w:tabs>
        <w:spacing w:line="242" w:lineRule="auto" w:before="124" w:after="0"/>
        <w:ind w:left="2721" w:right="1589" w:hanging="340"/>
        <w:jc w:val="left"/>
        <w:rPr>
          <w:sz w:val="21"/>
        </w:rPr>
      </w:pPr>
      <w:r>
        <w:rPr>
          <w:spacing w:val="-3"/>
          <w:sz w:val="21"/>
        </w:rPr>
        <w:t>ensure that all relevant information </w:t>
      </w:r>
      <w:r>
        <w:rPr>
          <w:sz w:val="21"/>
        </w:rPr>
        <w:t>about the tree </w:t>
      </w:r>
      <w:r>
        <w:rPr>
          <w:spacing w:val="-3"/>
          <w:sz w:val="21"/>
        </w:rPr>
        <w:t>dispute </w:t>
      </w:r>
      <w:r>
        <w:rPr>
          <w:sz w:val="21"/>
        </w:rPr>
        <w:t>is </w:t>
      </w:r>
      <w:r>
        <w:rPr>
          <w:spacing w:val="-3"/>
          <w:sz w:val="21"/>
        </w:rPr>
        <w:t>taken </w:t>
      </w:r>
      <w:r>
        <w:rPr>
          <w:spacing w:val="-4"/>
          <w:sz w:val="21"/>
        </w:rPr>
        <w:t>into  </w:t>
      </w:r>
      <w:r>
        <w:rPr>
          <w:spacing w:val="-3"/>
          <w:sz w:val="21"/>
        </w:rPr>
        <w:t>account during  </w:t>
      </w:r>
      <w:r>
        <w:rPr>
          <w:sz w:val="21"/>
        </w:rPr>
        <w:t>the decision-making</w:t>
      </w:r>
      <w:r>
        <w:rPr>
          <w:spacing w:val="17"/>
          <w:sz w:val="21"/>
        </w:rPr>
        <w:t> </w:t>
      </w:r>
      <w:r>
        <w:rPr>
          <w:sz w:val="21"/>
        </w:rPr>
        <w:t>process;</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w w:val="105"/>
          <w:sz w:val="21"/>
        </w:rPr>
        <w:t>help </w:t>
      </w:r>
      <w:r>
        <w:rPr>
          <w:spacing w:val="-3"/>
          <w:w w:val="105"/>
          <w:sz w:val="21"/>
        </w:rPr>
        <w:t>to balance competing </w:t>
      </w:r>
      <w:r>
        <w:rPr>
          <w:w w:val="105"/>
          <w:sz w:val="21"/>
        </w:rPr>
        <w:t>rights and interests </w:t>
      </w:r>
      <w:r>
        <w:rPr>
          <w:spacing w:val="-3"/>
          <w:w w:val="105"/>
          <w:sz w:val="21"/>
        </w:rPr>
        <w:t>fairly </w:t>
      </w:r>
      <w:r>
        <w:rPr>
          <w:w w:val="105"/>
          <w:sz w:val="21"/>
        </w:rPr>
        <w:t>and</w:t>
      </w:r>
      <w:r>
        <w:rPr>
          <w:spacing w:val="42"/>
          <w:w w:val="105"/>
          <w:sz w:val="21"/>
        </w:rPr>
        <w:t> </w:t>
      </w:r>
      <w:r>
        <w:rPr>
          <w:spacing w:val="-3"/>
          <w:w w:val="105"/>
          <w:sz w:val="21"/>
        </w:rPr>
        <w:t>transparently</w:t>
      </w:r>
    </w:p>
    <w:p>
      <w:pPr>
        <w:pStyle w:val="ListParagraph"/>
        <w:numPr>
          <w:ilvl w:val="2"/>
          <w:numId w:val="16"/>
        </w:numPr>
        <w:tabs>
          <w:tab w:pos="2721" w:val="left" w:leader="none"/>
          <w:tab w:pos="2722" w:val="left" w:leader="none"/>
        </w:tabs>
        <w:spacing w:line="242" w:lineRule="auto" w:before="89" w:after="0"/>
        <w:ind w:left="2721" w:right="1679" w:hanging="340"/>
        <w:jc w:val="left"/>
        <w:rPr>
          <w:sz w:val="21"/>
        </w:rPr>
      </w:pPr>
      <w:r>
        <w:rPr>
          <w:w w:val="105"/>
          <w:sz w:val="21"/>
        </w:rPr>
        <w:t>guide</w:t>
      </w:r>
      <w:r>
        <w:rPr>
          <w:spacing w:val="-9"/>
          <w:w w:val="105"/>
          <w:sz w:val="21"/>
        </w:rPr>
        <w:t> </w:t>
      </w:r>
      <w:r>
        <w:rPr>
          <w:w w:val="105"/>
          <w:sz w:val="21"/>
        </w:rPr>
        <w:t>the</w:t>
      </w:r>
      <w:r>
        <w:rPr>
          <w:spacing w:val="-9"/>
          <w:w w:val="105"/>
          <w:sz w:val="21"/>
        </w:rPr>
        <w:t> </w:t>
      </w:r>
      <w:r>
        <w:rPr>
          <w:w w:val="105"/>
          <w:sz w:val="21"/>
        </w:rPr>
        <w:t>community</w:t>
      </w:r>
      <w:r>
        <w:rPr>
          <w:spacing w:val="-9"/>
          <w:w w:val="105"/>
          <w:sz w:val="21"/>
        </w:rPr>
        <w:t> </w:t>
      </w:r>
      <w:r>
        <w:rPr>
          <w:w w:val="105"/>
          <w:sz w:val="21"/>
        </w:rPr>
        <w:t>about</w:t>
      </w:r>
      <w:r>
        <w:rPr>
          <w:spacing w:val="-8"/>
          <w:w w:val="105"/>
          <w:sz w:val="21"/>
        </w:rPr>
        <w:t> </w:t>
      </w:r>
      <w:r>
        <w:rPr>
          <w:w w:val="105"/>
          <w:sz w:val="21"/>
        </w:rPr>
        <w:t>the</w:t>
      </w:r>
      <w:r>
        <w:rPr>
          <w:spacing w:val="-9"/>
          <w:w w:val="105"/>
          <w:sz w:val="21"/>
        </w:rPr>
        <w:t> </w:t>
      </w:r>
      <w:r>
        <w:rPr>
          <w:w w:val="105"/>
          <w:sz w:val="21"/>
        </w:rPr>
        <w:t>application</w:t>
      </w:r>
      <w:r>
        <w:rPr>
          <w:spacing w:val="-9"/>
          <w:w w:val="105"/>
          <w:sz w:val="21"/>
        </w:rPr>
        <w:t> </w:t>
      </w:r>
      <w:r>
        <w:rPr>
          <w:w w:val="105"/>
          <w:sz w:val="21"/>
        </w:rPr>
        <w:t>of</w:t>
      </w:r>
      <w:r>
        <w:rPr>
          <w:spacing w:val="-9"/>
          <w:w w:val="105"/>
          <w:sz w:val="21"/>
        </w:rPr>
        <w:t> </w:t>
      </w:r>
      <w:r>
        <w:rPr>
          <w:w w:val="105"/>
          <w:sz w:val="21"/>
        </w:rPr>
        <w:t>the</w:t>
      </w:r>
      <w:r>
        <w:rPr>
          <w:spacing w:val="-8"/>
          <w:w w:val="105"/>
          <w:sz w:val="21"/>
        </w:rPr>
        <w:t> </w:t>
      </w:r>
      <w:r>
        <w:rPr>
          <w:w w:val="105"/>
          <w:sz w:val="21"/>
        </w:rPr>
        <w:t>law</w:t>
      </w:r>
      <w:r>
        <w:rPr>
          <w:spacing w:val="-9"/>
          <w:w w:val="105"/>
          <w:sz w:val="21"/>
        </w:rPr>
        <w:t> </w:t>
      </w:r>
      <w:r>
        <w:rPr>
          <w:w w:val="105"/>
          <w:sz w:val="21"/>
        </w:rPr>
        <w:t>and</w:t>
      </w:r>
      <w:r>
        <w:rPr>
          <w:spacing w:val="-9"/>
          <w:w w:val="105"/>
          <w:sz w:val="21"/>
        </w:rPr>
        <w:t> </w:t>
      </w:r>
      <w:r>
        <w:rPr>
          <w:w w:val="105"/>
          <w:sz w:val="21"/>
        </w:rPr>
        <w:t>help</w:t>
      </w:r>
      <w:r>
        <w:rPr>
          <w:spacing w:val="-8"/>
          <w:w w:val="105"/>
          <w:sz w:val="21"/>
        </w:rPr>
        <w:t> </w:t>
      </w:r>
      <w:r>
        <w:rPr>
          <w:w w:val="105"/>
          <w:sz w:val="21"/>
        </w:rPr>
        <w:t>the</w:t>
      </w:r>
      <w:r>
        <w:rPr>
          <w:spacing w:val="-9"/>
          <w:w w:val="105"/>
          <w:sz w:val="21"/>
        </w:rPr>
        <w:t> </w:t>
      </w:r>
      <w:r>
        <w:rPr>
          <w:w w:val="105"/>
          <w:sz w:val="21"/>
        </w:rPr>
        <w:t>parties</w:t>
      </w:r>
      <w:r>
        <w:rPr>
          <w:spacing w:val="-9"/>
          <w:w w:val="105"/>
          <w:sz w:val="21"/>
        </w:rPr>
        <w:t> </w:t>
      </w:r>
      <w:r>
        <w:rPr>
          <w:spacing w:val="-3"/>
          <w:w w:val="105"/>
          <w:sz w:val="21"/>
        </w:rPr>
        <w:t>anticipate </w:t>
      </w:r>
      <w:r>
        <w:rPr>
          <w:w w:val="105"/>
          <w:sz w:val="21"/>
        </w:rPr>
        <w:t>the </w:t>
      </w:r>
      <w:r>
        <w:rPr>
          <w:spacing w:val="-4"/>
          <w:w w:val="105"/>
          <w:sz w:val="21"/>
        </w:rPr>
        <w:t>likely </w:t>
      </w:r>
      <w:r>
        <w:rPr>
          <w:spacing w:val="-3"/>
          <w:w w:val="105"/>
          <w:sz w:val="21"/>
        </w:rPr>
        <w:t>outcome </w:t>
      </w:r>
      <w:r>
        <w:rPr>
          <w:w w:val="105"/>
          <w:sz w:val="21"/>
        </w:rPr>
        <w:t>of a</w:t>
      </w:r>
      <w:r>
        <w:rPr>
          <w:spacing w:val="33"/>
          <w:w w:val="105"/>
          <w:sz w:val="21"/>
        </w:rPr>
        <w:t> </w:t>
      </w:r>
      <w:r>
        <w:rPr>
          <w:spacing w:val="-3"/>
          <w:w w:val="105"/>
          <w:sz w:val="21"/>
        </w:rPr>
        <w:t>hearing</w:t>
      </w:r>
    </w:p>
    <w:p>
      <w:pPr>
        <w:pStyle w:val="ListParagraph"/>
        <w:numPr>
          <w:ilvl w:val="2"/>
          <w:numId w:val="16"/>
        </w:numPr>
        <w:tabs>
          <w:tab w:pos="2721" w:val="left" w:leader="none"/>
          <w:tab w:pos="2722" w:val="left" w:leader="none"/>
        </w:tabs>
        <w:spacing w:line="242" w:lineRule="auto" w:before="87" w:after="0"/>
        <w:ind w:left="2721" w:right="1640" w:hanging="340"/>
        <w:jc w:val="left"/>
        <w:rPr>
          <w:sz w:val="21"/>
        </w:rPr>
      </w:pPr>
      <w:r>
        <w:rPr>
          <w:sz w:val="21"/>
        </w:rPr>
        <w:t>help the community </w:t>
      </w:r>
      <w:r>
        <w:rPr>
          <w:spacing w:val="-3"/>
          <w:sz w:val="21"/>
        </w:rPr>
        <w:t>to </w:t>
      </w:r>
      <w:r>
        <w:rPr>
          <w:sz w:val="21"/>
        </w:rPr>
        <w:t>resolve their </w:t>
      </w:r>
      <w:r>
        <w:rPr>
          <w:spacing w:val="-3"/>
          <w:sz w:val="21"/>
        </w:rPr>
        <w:t>disputes informally </w:t>
      </w:r>
      <w:r>
        <w:rPr>
          <w:sz w:val="21"/>
        </w:rPr>
        <w:t>by applying these </w:t>
      </w:r>
      <w:r>
        <w:rPr>
          <w:spacing w:val="-3"/>
          <w:sz w:val="21"/>
        </w:rPr>
        <w:t>principles to </w:t>
      </w:r>
      <w:r>
        <w:rPr>
          <w:sz w:val="21"/>
        </w:rPr>
        <w:t>their own</w:t>
      </w:r>
      <w:r>
        <w:rPr>
          <w:spacing w:val="16"/>
          <w:sz w:val="21"/>
        </w:rPr>
        <w:t> </w:t>
      </w:r>
      <w:r>
        <w:rPr>
          <w:spacing w:val="-3"/>
          <w:sz w:val="21"/>
        </w:rPr>
        <w:t>disputes.</w:t>
      </w:r>
    </w:p>
    <w:p>
      <w:pPr>
        <w:pStyle w:val="Heading5"/>
        <w:spacing w:before="212"/>
      </w:pPr>
      <w:r>
        <w:rPr>
          <w:w w:val="115"/>
        </w:rPr>
        <w:t>One list of decision-making principles</w:t>
      </w:r>
    </w:p>
    <w:p>
      <w:pPr>
        <w:pStyle w:val="ListParagraph"/>
        <w:numPr>
          <w:ilvl w:val="1"/>
          <w:numId w:val="16"/>
        </w:numPr>
        <w:tabs>
          <w:tab w:pos="2381" w:val="left" w:leader="none"/>
          <w:tab w:pos="2382" w:val="left" w:leader="none"/>
        </w:tabs>
        <w:spacing w:line="242" w:lineRule="auto" w:before="137" w:after="0"/>
        <w:ind w:left="2381" w:right="1654" w:hanging="794"/>
        <w:jc w:val="left"/>
        <w:rPr>
          <w:sz w:val="21"/>
        </w:rPr>
      </w:pPr>
      <w:r>
        <w:rPr>
          <w:w w:val="105"/>
          <w:sz w:val="21"/>
        </w:rPr>
        <w:t>The New South </w:t>
      </w:r>
      <w:r>
        <w:rPr>
          <w:spacing w:val="-3"/>
          <w:w w:val="105"/>
          <w:sz w:val="21"/>
        </w:rPr>
        <w:t>Wales </w:t>
      </w:r>
      <w:r>
        <w:rPr>
          <w:w w:val="105"/>
          <w:sz w:val="21"/>
        </w:rPr>
        <w:t>approach of </w:t>
      </w:r>
      <w:r>
        <w:rPr>
          <w:spacing w:val="-3"/>
          <w:w w:val="105"/>
          <w:sz w:val="21"/>
        </w:rPr>
        <w:t>having all </w:t>
      </w:r>
      <w:r>
        <w:rPr>
          <w:w w:val="105"/>
          <w:sz w:val="21"/>
        </w:rPr>
        <w:t>decision-making </w:t>
      </w:r>
      <w:r>
        <w:rPr>
          <w:spacing w:val="-3"/>
          <w:w w:val="105"/>
          <w:sz w:val="21"/>
        </w:rPr>
        <w:t>principles </w:t>
      </w:r>
      <w:r>
        <w:rPr>
          <w:w w:val="105"/>
          <w:sz w:val="21"/>
        </w:rPr>
        <w:t>under the one </w:t>
      </w:r>
      <w:r>
        <w:rPr>
          <w:spacing w:val="-3"/>
          <w:w w:val="105"/>
          <w:sz w:val="21"/>
        </w:rPr>
        <w:t>provision</w:t>
      </w:r>
      <w:r>
        <w:rPr>
          <w:spacing w:val="-5"/>
          <w:w w:val="105"/>
          <w:sz w:val="21"/>
        </w:rPr>
        <w:t> </w:t>
      </w:r>
      <w:r>
        <w:rPr>
          <w:w w:val="105"/>
          <w:sz w:val="21"/>
        </w:rPr>
        <w:t>is</w:t>
      </w:r>
      <w:r>
        <w:rPr>
          <w:spacing w:val="-4"/>
          <w:w w:val="105"/>
          <w:sz w:val="21"/>
        </w:rPr>
        <w:t> </w:t>
      </w:r>
      <w:r>
        <w:rPr>
          <w:w w:val="105"/>
          <w:sz w:val="21"/>
        </w:rPr>
        <w:t>the</w:t>
      </w:r>
      <w:r>
        <w:rPr>
          <w:spacing w:val="-5"/>
          <w:w w:val="105"/>
          <w:sz w:val="21"/>
        </w:rPr>
        <w:t> </w:t>
      </w:r>
      <w:r>
        <w:rPr>
          <w:w w:val="105"/>
          <w:sz w:val="21"/>
        </w:rPr>
        <w:t>best</w:t>
      </w:r>
      <w:r>
        <w:rPr>
          <w:spacing w:val="-4"/>
          <w:w w:val="105"/>
          <w:sz w:val="21"/>
        </w:rPr>
        <w:t> </w:t>
      </w:r>
      <w:r>
        <w:rPr>
          <w:spacing w:val="-3"/>
          <w:w w:val="105"/>
          <w:sz w:val="21"/>
        </w:rPr>
        <w:t>way</w:t>
      </w:r>
      <w:r>
        <w:rPr>
          <w:spacing w:val="-5"/>
          <w:w w:val="105"/>
          <w:sz w:val="21"/>
        </w:rPr>
        <w:t> </w:t>
      </w:r>
      <w:r>
        <w:rPr>
          <w:spacing w:val="-3"/>
          <w:w w:val="105"/>
          <w:sz w:val="21"/>
        </w:rPr>
        <w:t>to</w:t>
      </w:r>
      <w:r>
        <w:rPr>
          <w:spacing w:val="-4"/>
          <w:w w:val="105"/>
          <w:sz w:val="21"/>
        </w:rPr>
        <w:t> </w:t>
      </w:r>
      <w:r>
        <w:rPr>
          <w:spacing w:val="-3"/>
          <w:w w:val="105"/>
          <w:sz w:val="21"/>
        </w:rPr>
        <w:t>ensure</w:t>
      </w:r>
      <w:r>
        <w:rPr>
          <w:spacing w:val="-5"/>
          <w:w w:val="105"/>
          <w:sz w:val="21"/>
        </w:rPr>
        <w:t> </w:t>
      </w:r>
      <w:r>
        <w:rPr>
          <w:spacing w:val="-3"/>
          <w:w w:val="105"/>
          <w:sz w:val="21"/>
        </w:rPr>
        <w:t>that</w:t>
      </w:r>
      <w:r>
        <w:rPr>
          <w:spacing w:val="-4"/>
          <w:w w:val="105"/>
          <w:sz w:val="21"/>
        </w:rPr>
        <w:t> </w:t>
      </w:r>
      <w:r>
        <w:rPr>
          <w:w w:val="105"/>
          <w:sz w:val="21"/>
        </w:rPr>
        <w:t>no</w:t>
      </w:r>
      <w:r>
        <w:rPr>
          <w:spacing w:val="-4"/>
          <w:w w:val="105"/>
          <w:sz w:val="21"/>
        </w:rPr>
        <w:t> </w:t>
      </w:r>
      <w:r>
        <w:rPr>
          <w:spacing w:val="-3"/>
          <w:w w:val="105"/>
          <w:sz w:val="21"/>
        </w:rPr>
        <w:t>principle</w:t>
      </w:r>
      <w:r>
        <w:rPr>
          <w:spacing w:val="-5"/>
          <w:w w:val="105"/>
          <w:sz w:val="21"/>
        </w:rPr>
        <w:t> </w:t>
      </w:r>
      <w:r>
        <w:rPr>
          <w:w w:val="105"/>
          <w:sz w:val="21"/>
        </w:rPr>
        <w:t>is</w:t>
      </w:r>
      <w:r>
        <w:rPr>
          <w:spacing w:val="-4"/>
          <w:w w:val="105"/>
          <w:sz w:val="21"/>
        </w:rPr>
        <w:t> </w:t>
      </w:r>
      <w:r>
        <w:rPr>
          <w:spacing w:val="-3"/>
          <w:w w:val="105"/>
          <w:sz w:val="21"/>
        </w:rPr>
        <w:t>excluded</w:t>
      </w:r>
      <w:r>
        <w:rPr>
          <w:spacing w:val="-5"/>
          <w:w w:val="105"/>
          <w:sz w:val="21"/>
        </w:rPr>
        <w:t> </w:t>
      </w:r>
      <w:r>
        <w:rPr>
          <w:spacing w:val="-3"/>
          <w:w w:val="105"/>
          <w:sz w:val="21"/>
        </w:rPr>
        <w:t>from</w:t>
      </w:r>
      <w:r>
        <w:rPr>
          <w:spacing w:val="-4"/>
          <w:w w:val="105"/>
          <w:sz w:val="21"/>
        </w:rPr>
        <w:t> </w:t>
      </w:r>
      <w:r>
        <w:rPr>
          <w:w w:val="105"/>
          <w:sz w:val="21"/>
        </w:rPr>
        <w:t>the</w:t>
      </w:r>
      <w:r>
        <w:rPr>
          <w:spacing w:val="-5"/>
          <w:w w:val="105"/>
          <w:sz w:val="21"/>
        </w:rPr>
        <w:t> </w:t>
      </w:r>
      <w:r>
        <w:rPr>
          <w:w w:val="105"/>
          <w:sz w:val="21"/>
        </w:rPr>
        <w:t>decision-making process. This </w:t>
      </w:r>
      <w:r>
        <w:rPr>
          <w:spacing w:val="-3"/>
          <w:w w:val="105"/>
          <w:sz w:val="21"/>
        </w:rPr>
        <w:t>will </w:t>
      </w:r>
      <w:r>
        <w:rPr>
          <w:w w:val="105"/>
          <w:sz w:val="21"/>
        </w:rPr>
        <w:t>also </w:t>
      </w:r>
      <w:r>
        <w:rPr>
          <w:spacing w:val="-3"/>
          <w:w w:val="105"/>
          <w:sz w:val="21"/>
        </w:rPr>
        <w:t>allow </w:t>
      </w:r>
      <w:r>
        <w:rPr>
          <w:w w:val="105"/>
          <w:sz w:val="21"/>
        </w:rPr>
        <w:t>parties or other community members </w:t>
      </w:r>
      <w:r>
        <w:rPr>
          <w:spacing w:val="-3"/>
          <w:w w:val="105"/>
          <w:sz w:val="21"/>
        </w:rPr>
        <w:t>to easily </w:t>
      </w:r>
      <w:r>
        <w:rPr>
          <w:w w:val="105"/>
          <w:sz w:val="21"/>
        </w:rPr>
        <w:t>find and </w:t>
      </w:r>
      <w:r>
        <w:rPr>
          <w:spacing w:val="-3"/>
          <w:w w:val="105"/>
          <w:sz w:val="21"/>
        </w:rPr>
        <w:t>determine </w:t>
      </w:r>
      <w:r>
        <w:rPr>
          <w:w w:val="105"/>
          <w:sz w:val="21"/>
        </w:rPr>
        <w:t>the </w:t>
      </w:r>
      <w:r>
        <w:rPr>
          <w:spacing w:val="-3"/>
          <w:w w:val="105"/>
          <w:sz w:val="21"/>
        </w:rPr>
        <w:t>principles that </w:t>
      </w:r>
      <w:r>
        <w:rPr>
          <w:spacing w:val="-5"/>
          <w:w w:val="105"/>
          <w:sz w:val="21"/>
        </w:rPr>
        <w:t>VCAT </w:t>
      </w:r>
      <w:r>
        <w:rPr>
          <w:spacing w:val="-3"/>
          <w:w w:val="105"/>
          <w:sz w:val="21"/>
        </w:rPr>
        <w:t>will consider </w:t>
      </w:r>
      <w:r>
        <w:rPr>
          <w:w w:val="105"/>
          <w:sz w:val="21"/>
        </w:rPr>
        <w:t>when it decides a</w:t>
      </w:r>
      <w:r>
        <w:rPr>
          <w:spacing w:val="5"/>
          <w:w w:val="105"/>
          <w:sz w:val="21"/>
        </w:rPr>
        <w:t> </w:t>
      </w:r>
      <w:r>
        <w:rPr>
          <w:spacing w:val="-4"/>
          <w:w w:val="105"/>
          <w:sz w:val="21"/>
        </w:rPr>
        <w:t>matter.</w:t>
      </w:r>
    </w:p>
    <w:p>
      <w:pPr>
        <w:pStyle w:val="BodyText"/>
        <w:spacing w:before="5"/>
        <w:rPr>
          <w:sz w:val="20"/>
        </w:rPr>
      </w:pPr>
    </w:p>
    <w:p>
      <w:pPr>
        <w:pStyle w:val="Heading5"/>
      </w:pPr>
      <w:r>
        <w:rPr>
          <w:w w:val="110"/>
        </w:rPr>
        <w:t>Principles should be </w:t>
      </w:r>
      <w:r>
        <w:rPr>
          <w:spacing w:val="4"/>
          <w:w w:val="110"/>
        </w:rPr>
        <w:t> </w:t>
      </w:r>
      <w:r>
        <w:rPr>
          <w:w w:val="110"/>
        </w:rPr>
        <w:t>mandatory</w:t>
      </w:r>
    </w:p>
    <w:p>
      <w:pPr>
        <w:pStyle w:val="ListParagraph"/>
        <w:numPr>
          <w:ilvl w:val="1"/>
          <w:numId w:val="16"/>
        </w:numPr>
        <w:tabs>
          <w:tab w:pos="2381" w:val="left" w:leader="none"/>
          <w:tab w:pos="2382" w:val="left" w:leader="none"/>
        </w:tabs>
        <w:spacing w:line="242" w:lineRule="auto" w:before="138" w:after="0"/>
        <w:ind w:left="2381" w:right="2069" w:hanging="794"/>
        <w:jc w:val="left"/>
        <w:rPr>
          <w:sz w:val="21"/>
        </w:rPr>
      </w:pPr>
      <w:r>
        <w:rPr>
          <w:w w:val="105"/>
          <w:sz w:val="21"/>
        </w:rPr>
        <w:t>The </w:t>
      </w:r>
      <w:r>
        <w:rPr>
          <w:spacing w:val="-3"/>
          <w:w w:val="105"/>
          <w:sz w:val="21"/>
        </w:rPr>
        <w:t>Queensland </w:t>
      </w:r>
      <w:r>
        <w:rPr>
          <w:w w:val="105"/>
          <w:sz w:val="21"/>
        </w:rPr>
        <w:t>and </w:t>
      </w:r>
      <w:r>
        <w:rPr>
          <w:spacing w:val="-4"/>
          <w:w w:val="105"/>
          <w:sz w:val="21"/>
        </w:rPr>
        <w:t>Tasmanian </w:t>
      </w:r>
      <w:r>
        <w:rPr>
          <w:w w:val="105"/>
          <w:sz w:val="21"/>
        </w:rPr>
        <w:t>schemes </w:t>
      </w:r>
      <w:r>
        <w:rPr>
          <w:spacing w:val="-3"/>
          <w:w w:val="105"/>
          <w:sz w:val="21"/>
        </w:rPr>
        <w:t>distinguish </w:t>
      </w:r>
      <w:r>
        <w:rPr>
          <w:w w:val="105"/>
          <w:sz w:val="21"/>
        </w:rPr>
        <w:t>between mandatory and discretionary decision-making </w:t>
      </w:r>
      <w:r>
        <w:rPr>
          <w:spacing w:val="-3"/>
          <w:w w:val="105"/>
          <w:sz w:val="21"/>
        </w:rPr>
        <w:t>criteria. </w:t>
      </w:r>
      <w:r>
        <w:rPr>
          <w:w w:val="105"/>
          <w:sz w:val="21"/>
        </w:rPr>
        <w:t>The New South </w:t>
      </w:r>
      <w:r>
        <w:rPr>
          <w:spacing w:val="-3"/>
          <w:w w:val="105"/>
          <w:sz w:val="21"/>
        </w:rPr>
        <w:t>Wales </w:t>
      </w:r>
      <w:r>
        <w:rPr>
          <w:w w:val="105"/>
          <w:sz w:val="21"/>
        </w:rPr>
        <w:t>approach of </w:t>
      </w:r>
      <w:r>
        <w:rPr>
          <w:spacing w:val="-3"/>
          <w:w w:val="105"/>
          <w:sz w:val="21"/>
        </w:rPr>
        <w:t>grouping all</w:t>
      </w:r>
      <w:r>
        <w:rPr>
          <w:spacing w:val="-8"/>
          <w:w w:val="105"/>
          <w:sz w:val="21"/>
        </w:rPr>
        <w:t> </w:t>
      </w:r>
      <w:r>
        <w:rPr>
          <w:w w:val="105"/>
          <w:sz w:val="21"/>
        </w:rPr>
        <w:t>decision-making</w:t>
      </w:r>
      <w:r>
        <w:rPr>
          <w:spacing w:val="-8"/>
          <w:w w:val="105"/>
          <w:sz w:val="21"/>
        </w:rPr>
        <w:t> </w:t>
      </w:r>
      <w:r>
        <w:rPr>
          <w:spacing w:val="-3"/>
          <w:w w:val="105"/>
          <w:sz w:val="21"/>
        </w:rPr>
        <w:t>principles</w:t>
      </w:r>
      <w:r>
        <w:rPr>
          <w:spacing w:val="-8"/>
          <w:w w:val="105"/>
          <w:sz w:val="21"/>
        </w:rPr>
        <w:t> </w:t>
      </w:r>
      <w:r>
        <w:rPr>
          <w:w w:val="105"/>
          <w:sz w:val="21"/>
        </w:rPr>
        <w:t>together</w:t>
      </w:r>
      <w:r>
        <w:rPr>
          <w:spacing w:val="-8"/>
          <w:w w:val="105"/>
          <w:sz w:val="21"/>
        </w:rPr>
        <w:t> </w:t>
      </w:r>
      <w:r>
        <w:rPr>
          <w:w w:val="105"/>
          <w:sz w:val="21"/>
        </w:rPr>
        <w:t>and</w:t>
      </w:r>
      <w:r>
        <w:rPr>
          <w:spacing w:val="-8"/>
          <w:w w:val="105"/>
          <w:sz w:val="21"/>
        </w:rPr>
        <w:t> </w:t>
      </w:r>
      <w:r>
        <w:rPr>
          <w:spacing w:val="-3"/>
          <w:w w:val="105"/>
          <w:sz w:val="21"/>
        </w:rPr>
        <w:t>requiring</w:t>
      </w:r>
      <w:r>
        <w:rPr>
          <w:spacing w:val="-8"/>
          <w:w w:val="105"/>
          <w:sz w:val="21"/>
        </w:rPr>
        <w:t> </w:t>
      </w:r>
      <w:r>
        <w:rPr>
          <w:w w:val="105"/>
          <w:sz w:val="21"/>
        </w:rPr>
        <w:t>the</w:t>
      </w:r>
      <w:r>
        <w:rPr>
          <w:spacing w:val="-7"/>
          <w:w w:val="105"/>
          <w:sz w:val="21"/>
        </w:rPr>
        <w:t> </w:t>
      </w:r>
      <w:r>
        <w:rPr>
          <w:w w:val="105"/>
          <w:sz w:val="21"/>
        </w:rPr>
        <w:t>court</w:t>
      </w:r>
      <w:r>
        <w:rPr>
          <w:spacing w:val="-8"/>
          <w:w w:val="105"/>
          <w:sz w:val="21"/>
        </w:rPr>
        <w:t> </w:t>
      </w:r>
      <w:r>
        <w:rPr>
          <w:spacing w:val="-3"/>
          <w:w w:val="105"/>
          <w:sz w:val="21"/>
        </w:rPr>
        <w:t>to</w:t>
      </w:r>
      <w:r>
        <w:rPr>
          <w:spacing w:val="-8"/>
          <w:w w:val="105"/>
          <w:sz w:val="21"/>
        </w:rPr>
        <w:t> </w:t>
      </w:r>
      <w:r>
        <w:rPr>
          <w:spacing w:val="-3"/>
          <w:w w:val="105"/>
          <w:sz w:val="21"/>
        </w:rPr>
        <w:t>consider</w:t>
      </w:r>
      <w:r>
        <w:rPr>
          <w:spacing w:val="-8"/>
          <w:w w:val="105"/>
          <w:sz w:val="21"/>
        </w:rPr>
        <w:t> </w:t>
      </w:r>
      <w:r>
        <w:rPr>
          <w:w w:val="105"/>
          <w:sz w:val="21"/>
        </w:rPr>
        <w:t>them</w:t>
      </w:r>
      <w:r>
        <w:rPr>
          <w:spacing w:val="-8"/>
          <w:w w:val="105"/>
          <w:sz w:val="21"/>
        </w:rPr>
        <w:t> </w:t>
      </w:r>
      <w:r>
        <w:rPr>
          <w:spacing w:val="-3"/>
          <w:w w:val="105"/>
          <w:sz w:val="21"/>
        </w:rPr>
        <w:t>all</w:t>
      </w:r>
      <w:r>
        <w:rPr>
          <w:spacing w:val="-8"/>
          <w:w w:val="105"/>
          <w:sz w:val="21"/>
        </w:rPr>
        <w:t> </w:t>
      </w:r>
      <w:r>
        <w:rPr>
          <w:w w:val="105"/>
          <w:sz w:val="21"/>
        </w:rPr>
        <w:t>is</w:t>
      </w:r>
    </w:p>
    <w:p>
      <w:pPr>
        <w:pStyle w:val="BodyText"/>
        <w:spacing w:line="242" w:lineRule="auto" w:before="3"/>
        <w:ind w:left="2381" w:right="1604"/>
        <w:rPr>
          <w:sz w:val="12"/>
        </w:rPr>
      </w:pPr>
      <w:r>
        <w:rPr>
          <w:spacing w:val="-3"/>
          <w:w w:val="105"/>
        </w:rPr>
        <w:t>preferred. </w:t>
      </w:r>
      <w:r>
        <w:rPr>
          <w:w w:val="105"/>
        </w:rPr>
        <w:t>The </w:t>
      </w:r>
      <w:r>
        <w:rPr>
          <w:spacing w:val="-3"/>
          <w:w w:val="105"/>
        </w:rPr>
        <w:t>Commission </w:t>
      </w:r>
      <w:r>
        <w:rPr>
          <w:w w:val="105"/>
        </w:rPr>
        <w:t>sees </w:t>
      </w:r>
      <w:r>
        <w:rPr>
          <w:spacing w:val="-3"/>
          <w:w w:val="105"/>
        </w:rPr>
        <w:t>value </w:t>
      </w:r>
      <w:r>
        <w:rPr>
          <w:w w:val="105"/>
        </w:rPr>
        <w:t>in the </w:t>
      </w:r>
      <w:r>
        <w:rPr>
          <w:spacing w:val="-4"/>
          <w:w w:val="105"/>
        </w:rPr>
        <w:t>Tasmanian </w:t>
      </w:r>
      <w:r>
        <w:rPr>
          <w:w w:val="105"/>
        </w:rPr>
        <w:t>Act’s </w:t>
      </w:r>
      <w:r>
        <w:rPr>
          <w:spacing w:val="-3"/>
          <w:w w:val="105"/>
        </w:rPr>
        <w:t>limitation that </w:t>
      </w:r>
      <w:r>
        <w:rPr>
          <w:w w:val="105"/>
        </w:rPr>
        <w:t>the </w:t>
      </w:r>
      <w:r>
        <w:rPr>
          <w:spacing w:val="-5"/>
          <w:w w:val="105"/>
        </w:rPr>
        <w:t>Tribunal </w:t>
      </w:r>
      <w:r>
        <w:rPr>
          <w:w w:val="105"/>
        </w:rPr>
        <w:t>only needs </w:t>
      </w:r>
      <w:r>
        <w:rPr>
          <w:spacing w:val="-3"/>
          <w:w w:val="105"/>
        </w:rPr>
        <w:t>to consider </w:t>
      </w:r>
      <w:r>
        <w:rPr>
          <w:w w:val="105"/>
        </w:rPr>
        <w:t>the </w:t>
      </w:r>
      <w:r>
        <w:rPr>
          <w:spacing w:val="-2"/>
          <w:w w:val="105"/>
        </w:rPr>
        <w:t>listed </w:t>
      </w:r>
      <w:r>
        <w:rPr>
          <w:spacing w:val="-3"/>
          <w:w w:val="105"/>
        </w:rPr>
        <w:t>principles </w:t>
      </w:r>
      <w:r>
        <w:rPr>
          <w:w w:val="105"/>
        </w:rPr>
        <w:t>‘to the extent </w:t>
      </w:r>
      <w:r>
        <w:rPr>
          <w:spacing w:val="-3"/>
          <w:w w:val="105"/>
        </w:rPr>
        <w:t>that </w:t>
      </w:r>
      <w:r>
        <w:rPr>
          <w:w w:val="105"/>
        </w:rPr>
        <w:t>they </w:t>
      </w:r>
      <w:r>
        <w:rPr>
          <w:spacing w:val="-3"/>
          <w:w w:val="105"/>
        </w:rPr>
        <w:t>are relevant </w:t>
      </w:r>
      <w:r>
        <w:rPr>
          <w:w w:val="105"/>
        </w:rPr>
        <w:t>in </w:t>
      </w:r>
      <w:r>
        <w:rPr>
          <w:spacing w:val="-3"/>
          <w:w w:val="105"/>
        </w:rPr>
        <w:t>relation to </w:t>
      </w:r>
      <w:r>
        <w:rPr>
          <w:w w:val="105"/>
        </w:rPr>
        <w:t>the </w:t>
      </w:r>
      <w:r>
        <w:rPr>
          <w:spacing w:val="-3"/>
          <w:w w:val="105"/>
        </w:rPr>
        <w:t>application’.</w:t>
      </w:r>
      <w:r>
        <w:rPr>
          <w:spacing w:val="-3"/>
          <w:w w:val="105"/>
          <w:position w:val="7"/>
          <w:sz w:val="12"/>
        </w:rPr>
        <w:t>88</w:t>
      </w:r>
    </w:p>
    <w:p>
      <w:pPr>
        <w:pStyle w:val="BodyText"/>
        <w:rPr>
          <w:sz w:val="20"/>
        </w:rPr>
      </w:pPr>
    </w:p>
    <w:p>
      <w:pPr>
        <w:pStyle w:val="BodyText"/>
        <w:spacing w:before="5"/>
        <w:rPr>
          <w:sz w:val="16"/>
        </w:rPr>
      </w:pPr>
      <w:r>
        <w:rPr/>
        <w:pict>
          <v:line style="position:absolute;mso-position-horizontal-relative:page;mso-position-vertical-relative:paragraph;z-index:7784;mso-wrap-distance-left:0;mso-wrap-distance-right:0" from="79.370102pt,12.51448pt" to="515.905102pt,12.5144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spacing w:before="8"/>
        <w:rPr>
          <w:sz w:val="34"/>
        </w:rPr>
      </w:pPr>
    </w:p>
    <w:p>
      <w:pPr>
        <w:spacing w:before="0"/>
        <w:ind w:left="720" w:right="0" w:firstLine="0"/>
        <w:jc w:val="left"/>
        <w:rPr>
          <w:b/>
          <w:sz w:val="24"/>
        </w:rPr>
      </w:pPr>
      <w:r>
        <w:rPr>
          <w:b/>
          <w:color w:val="658464"/>
          <w:spacing w:val="-6"/>
          <w:w w:val="110"/>
          <w:sz w:val="24"/>
        </w:rPr>
        <w:t>172</w:t>
      </w:r>
    </w:p>
    <w:p>
      <w:pPr>
        <w:pStyle w:val="ListParagraph"/>
        <w:numPr>
          <w:ilvl w:val="0"/>
          <w:numId w:val="129"/>
        </w:numPr>
        <w:tabs>
          <w:tab w:pos="1236" w:val="left" w:leader="none"/>
          <w:tab w:pos="1237" w:val="left" w:leader="none"/>
        </w:tabs>
        <w:spacing w:line="240" w:lineRule="auto" w:before="48" w:after="0"/>
        <w:ind w:left="1236" w:right="0" w:hanging="794"/>
        <w:jc w:val="left"/>
        <w:rPr>
          <w:sz w:val="13"/>
        </w:rPr>
      </w:pPr>
      <w:r>
        <w:rPr>
          <w:w w:val="108"/>
          <w:sz w:val="13"/>
        </w:rPr>
        <w:br w:type="column"/>
      </w:r>
      <w:r>
        <w:rPr>
          <w:w w:val="105"/>
          <w:sz w:val="13"/>
        </w:rPr>
        <w:t>Submissions </w:t>
      </w:r>
      <w:r>
        <w:rPr>
          <w:spacing w:val="-4"/>
          <w:w w:val="105"/>
          <w:sz w:val="13"/>
        </w:rPr>
        <w:t>17 </w:t>
      </w:r>
      <w:r>
        <w:rPr>
          <w:spacing w:val="2"/>
          <w:w w:val="105"/>
          <w:sz w:val="13"/>
        </w:rPr>
        <w:t>(Name</w:t>
      </w:r>
      <w:r>
        <w:rPr>
          <w:spacing w:val="-10"/>
          <w:w w:val="105"/>
          <w:sz w:val="13"/>
        </w:rPr>
        <w:t> </w:t>
      </w:r>
      <w:r>
        <w:rPr>
          <w:w w:val="105"/>
          <w:sz w:val="13"/>
        </w:rPr>
        <w:t>withheld).</w:t>
      </w:r>
    </w:p>
    <w:p>
      <w:pPr>
        <w:pStyle w:val="ListParagraph"/>
        <w:numPr>
          <w:ilvl w:val="0"/>
          <w:numId w:val="129"/>
        </w:numPr>
        <w:tabs>
          <w:tab w:pos="1236" w:val="left" w:leader="none"/>
          <w:tab w:pos="1237" w:val="left" w:leader="none"/>
        </w:tabs>
        <w:spacing w:line="240" w:lineRule="auto" w:before="1" w:after="0"/>
        <w:ind w:left="1236" w:right="0" w:hanging="794"/>
        <w:jc w:val="left"/>
        <w:rPr>
          <w:sz w:val="13"/>
        </w:rPr>
      </w:pPr>
      <w:r>
        <w:rPr>
          <w:w w:val="105"/>
          <w:sz w:val="13"/>
        </w:rPr>
        <w:t>Submission 25 (City of</w:t>
      </w:r>
      <w:r>
        <w:rPr>
          <w:spacing w:val="18"/>
          <w:w w:val="105"/>
          <w:sz w:val="13"/>
        </w:rPr>
        <w:t> </w:t>
      </w:r>
      <w:r>
        <w:rPr>
          <w:w w:val="105"/>
          <w:sz w:val="13"/>
        </w:rPr>
        <w:t>Boroondara).</w:t>
      </w:r>
    </w:p>
    <w:p>
      <w:pPr>
        <w:pStyle w:val="ListParagraph"/>
        <w:numPr>
          <w:ilvl w:val="0"/>
          <w:numId w:val="129"/>
        </w:numPr>
        <w:tabs>
          <w:tab w:pos="1236" w:val="left" w:leader="none"/>
          <w:tab w:pos="1237" w:val="left" w:leader="none"/>
        </w:tabs>
        <w:spacing w:line="240" w:lineRule="auto" w:before="2" w:after="0"/>
        <w:ind w:left="1236" w:right="0" w:hanging="794"/>
        <w:jc w:val="left"/>
        <w:rPr>
          <w:sz w:val="13"/>
        </w:rPr>
      </w:pPr>
      <w:r>
        <w:rPr>
          <w:w w:val="105"/>
          <w:sz w:val="13"/>
        </w:rPr>
        <w:t>Consultations</w:t>
      </w:r>
      <w:r>
        <w:rPr>
          <w:spacing w:val="4"/>
          <w:w w:val="105"/>
          <w:sz w:val="13"/>
        </w:rPr>
        <w:t> </w:t>
      </w:r>
      <w:r>
        <w:rPr>
          <w:w w:val="105"/>
          <w:sz w:val="13"/>
        </w:rPr>
        <w:t>8</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r>
        <w:rPr>
          <w:spacing w:val="5"/>
          <w:w w:val="105"/>
          <w:sz w:val="13"/>
        </w:rPr>
        <w:t> </w:t>
      </w:r>
      <w:r>
        <w:rPr>
          <w:w w:val="105"/>
          <w:sz w:val="13"/>
        </w:rPr>
        <w:t>9</w:t>
      </w:r>
      <w:r>
        <w:rPr>
          <w:spacing w:val="5"/>
          <w:w w:val="105"/>
          <w:sz w:val="13"/>
        </w:rPr>
        <w:t> </w:t>
      </w:r>
      <w:r>
        <w:rPr>
          <w:w w:val="105"/>
          <w:sz w:val="13"/>
        </w:rPr>
        <w:t>(Nillumbik</w:t>
      </w:r>
      <w:r>
        <w:rPr>
          <w:spacing w:val="4"/>
          <w:w w:val="105"/>
          <w:sz w:val="13"/>
        </w:rPr>
        <w:t> </w:t>
      </w:r>
      <w:r>
        <w:rPr>
          <w:w w:val="105"/>
          <w:sz w:val="13"/>
        </w:rPr>
        <w:t>Shire</w:t>
      </w:r>
      <w:r>
        <w:rPr>
          <w:spacing w:val="5"/>
          <w:w w:val="105"/>
          <w:sz w:val="13"/>
        </w:rPr>
        <w:t> </w:t>
      </w:r>
      <w:r>
        <w:rPr>
          <w:w w:val="105"/>
          <w:sz w:val="13"/>
        </w:rPr>
        <w:t>Council),</w:t>
      </w:r>
      <w:r>
        <w:rPr>
          <w:spacing w:val="5"/>
          <w:w w:val="105"/>
          <w:sz w:val="13"/>
        </w:rPr>
        <w:t> </w:t>
      </w:r>
      <w:r>
        <w:rPr>
          <w:spacing w:val="-3"/>
          <w:w w:val="105"/>
          <w:sz w:val="13"/>
        </w:rPr>
        <w:t>14</w:t>
      </w:r>
      <w:r>
        <w:rPr>
          <w:spacing w:val="5"/>
          <w:w w:val="105"/>
          <w:sz w:val="13"/>
        </w:rPr>
        <w:t> </w:t>
      </w:r>
      <w:r>
        <w:rPr>
          <w:spacing w:val="2"/>
          <w:w w:val="105"/>
          <w:sz w:val="13"/>
        </w:rPr>
        <w:t>(Robert</w:t>
      </w:r>
      <w:r>
        <w:rPr>
          <w:spacing w:val="5"/>
          <w:w w:val="105"/>
          <w:sz w:val="13"/>
        </w:rPr>
        <w:t> </w:t>
      </w:r>
      <w:r>
        <w:rPr>
          <w:spacing w:val="2"/>
          <w:w w:val="105"/>
          <w:sz w:val="13"/>
        </w:rPr>
        <w:t>Mineo).</w:t>
      </w:r>
    </w:p>
    <w:p>
      <w:pPr>
        <w:pStyle w:val="ListParagraph"/>
        <w:numPr>
          <w:ilvl w:val="0"/>
          <w:numId w:val="129"/>
        </w:numPr>
        <w:tabs>
          <w:tab w:pos="1236" w:val="left" w:leader="none"/>
          <w:tab w:pos="1237" w:val="left" w:leader="none"/>
        </w:tabs>
        <w:spacing w:line="240" w:lineRule="auto" w:before="1" w:after="0"/>
        <w:ind w:left="1236" w:right="0" w:hanging="794"/>
        <w:jc w:val="left"/>
        <w:rPr>
          <w:sz w:val="13"/>
        </w:rPr>
      </w:pPr>
      <w:r>
        <w:rPr>
          <w:i/>
          <w:w w:val="105"/>
          <w:sz w:val="13"/>
        </w:rPr>
        <w:t>Neighbourhood Disputes About Plants Act </w:t>
      </w:r>
      <w:r>
        <w:rPr>
          <w:i/>
          <w:spacing w:val="-4"/>
          <w:w w:val="105"/>
          <w:sz w:val="13"/>
        </w:rPr>
        <w:t>2017 </w:t>
      </w:r>
      <w:r>
        <w:rPr>
          <w:w w:val="105"/>
          <w:sz w:val="13"/>
        </w:rPr>
        <w:t>(Tas) s</w:t>
      </w:r>
      <w:r>
        <w:rPr>
          <w:spacing w:val="16"/>
          <w:w w:val="105"/>
          <w:sz w:val="13"/>
        </w:rPr>
        <w:t> </w:t>
      </w:r>
      <w:r>
        <w:rPr>
          <w:w w:val="105"/>
          <w:sz w:val="13"/>
        </w:rPr>
        <w:t>30.</w:t>
      </w:r>
    </w:p>
    <w:p>
      <w:pPr>
        <w:spacing w:after="0" w:line="240" w:lineRule="auto"/>
        <w:jc w:val="left"/>
        <w:rPr>
          <w:sz w:val="13"/>
        </w:rPr>
        <w:sectPr>
          <w:type w:val="continuous"/>
          <w:pgSz w:w="11910" w:h="16840"/>
          <w:pgMar w:top="300" w:bottom="280" w:left="0" w:right="0"/>
          <w:cols w:num="2" w:equalWidth="0">
            <w:col w:w="1105" w:space="40"/>
            <w:col w:w="10765"/>
          </w:cols>
        </w:sectPr>
      </w:pPr>
    </w:p>
    <w:p>
      <w:pPr>
        <w:pStyle w:val="BodyText"/>
        <w:rPr>
          <w:sz w:val="20"/>
        </w:rPr>
      </w:pPr>
    </w:p>
    <w:p>
      <w:pPr>
        <w:pStyle w:val="BodyText"/>
        <w:spacing w:before="11"/>
        <w:rPr>
          <w:sz w:val="17"/>
        </w:rPr>
      </w:pPr>
    </w:p>
    <w:p>
      <w:pPr>
        <w:pStyle w:val="Heading5"/>
        <w:spacing w:before="96"/>
      </w:pPr>
      <w:bookmarkStart w:name="_bookmark91" w:id="196"/>
      <w:bookmarkEnd w:id="196"/>
      <w:r>
        <w:rPr>
          <w:b w:val="0"/>
        </w:rPr>
      </w:r>
      <w:r>
        <w:rPr>
          <w:w w:val="110"/>
        </w:rPr>
        <w:t>Principles should be non-exhaustive</w:t>
      </w:r>
    </w:p>
    <w:p>
      <w:pPr>
        <w:pStyle w:val="ListParagraph"/>
        <w:numPr>
          <w:ilvl w:val="1"/>
          <w:numId w:val="16"/>
        </w:numPr>
        <w:tabs>
          <w:tab w:pos="2380" w:val="left" w:leader="none"/>
          <w:tab w:pos="2381" w:val="left" w:leader="none"/>
        </w:tabs>
        <w:spacing w:line="242" w:lineRule="auto" w:before="137" w:after="0"/>
        <w:ind w:left="2381" w:right="1773" w:hanging="794"/>
        <w:jc w:val="left"/>
        <w:rPr>
          <w:sz w:val="21"/>
        </w:rPr>
      </w:pPr>
      <w:r>
        <w:rPr>
          <w:spacing w:val="-5"/>
          <w:w w:val="105"/>
          <w:sz w:val="21"/>
        </w:rPr>
        <w:t>Tree </w:t>
      </w:r>
      <w:r>
        <w:rPr>
          <w:spacing w:val="-3"/>
          <w:w w:val="105"/>
          <w:sz w:val="21"/>
        </w:rPr>
        <w:t>disputes </w:t>
      </w:r>
      <w:r>
        <w:rPr>
          <w:w w:val="105"/>
          <w:sz w:val="21"/>
        </w:rPr>
        <w:t>can be complex. They </w:t>
      </w:r>
      <w:r>
        <w:rPr>
          <w:spacing w:val="-3"/>
          <w:w w:val="105"/>
          <w:sz w:val="21"/>
        </w:rPr>
        <w:t>may involve claims </w:t>
      </w:r>
      <w:r>
        <w:rPr>
          <w:w w:val="105"/>
          <w:sz w:val="21"/>
        </w:rPr>
        <w:t>of property damage </w:t>
      </w:r>
      <w:r>
        <w:rPr>
          <w:spacing w:val="-3"/>
          <w:w w:val="105"/>
          <w:sz w:val="21"/>
        </w:rPr>
        <w:t>that </w:t>
      </w:r>
      <w:r>
        <w:rPr>
          <w:w w:val="105"/>
          <w:sz w:val="21"/>
        </w:rPr>
        <w:t>need </w:t>
      </w:r>
      <w:r>
        <w:rPr>
          <w:spacing w:val="-3"/>
          <w:w w:val="105"/>
          <w:sz w:val="21"/>
        </w:rPr>
        <w:t>to</w:t>
      </w:r>
      <w:r>
        <w:rPr>
          <w:spacing w:val="-9"/>
          <w:w w:val="105"/>
          <w:sz w:val="21"/>
        </w:rPr>
        <w:t> </w:t>
      </w:r>
      <w:r>
        <w:rPr>
          <w:w w:val="105"/>
          <w:sz w:val="21"/>
        </w:rPr>
        <w:t>be</w:t>
      </w:r>
      <w:r>
        <w:rPr>
          <w:spacing w:val="-8"/>
          <w:w w:val="105"/>
          <w:sz w:val="21"/>
        </w:rPr>
        <w:t> </w:t>
      </w:r>
      <w:r>
        <w:rPr>
          <w:w w:val="105"/>
          <w:sz w:val="21"/>
        </w:rPr>
        <w:t>assessed</w:t>
      </w:r>
      <w:r>
        <w:rPr>
          <w:spacing w:val="-8"/>
          <w:w w:val="105"/>
          <w:sz w:val="21"/>
        </w:rPr>
        <w:t> </w:t>
      </w:r>
      <w:r>
        <w:rPr>
          <w:w w:val="105"/>
          <w:sz w:val="21"/>
        </w:rPr>
        <w:t>by</w:t>
      </w:r>
      <w:r>
        <w:rPr>
          <w:spacing w:val="-8"/>
          <w:w w:val="105"/>
          <w:sz w:val="21"/>
        </w:rPr>
        <w:t> </w:t>
      </w:r>
      <w:r>
        <w:rPr>
          <w:w w:val="105"/>
          <w:sz w:val="21"/>
        </w:rPr>
        <w:t>experts</w:t>
      </w:r>
      <w:r>
        <w:rPr>
          <w:spacing w:val="-8"/>
          <w:w w:val="105"/>
          <w:sz w:val="21"/>
        </w:rPr>
        <w:t> </w:t>
      </w:r>
      <w:r>
        <w:rPr>
          <w:spacing w:val="-3"/>
          <w:w w:val="105"/>
          <w:sz w:val="21"/>
        </w:rPr>
        <w:t>including</w:t>
      </w:r>
      <w:r>
        <w:rPr>
          <w:spacing w:val="-9"/>
          <w:w w:val="105"/>
          <w:sz w:val="21"/>
        </w:rPr>
        <w:t> </w:t>
      </w:r>
      <w:r>
        <w:rPr>
          <w:w w:val="105"/>
          <w:sz w:val="21"/>
        </w:rPr>
        <w:t>builders,</w:t>
      </w:r>
      <w:r>
        <w:rPr>
          <w:spacing w:val="-8"/>
          <w:w w:val="105"/>
          <w:sz w:val="21"/>
        </w:rPr>
        <w:t> </w:t>
      </w:r>
      <w:r>
        <w:rPr>
          <w:w w:val="105"/>
          <w:sz w:val="21"/>
        </w:rPr>
        <w:t>or</w:t>
      </w:r>
      <w:r>
        <w:rPr>
          <w:spacing w:val="-8"/>
          <w:w w:val="105"/>
          <w:sz w:val="21"/>
        </w:rPr>
        <w:t> </w:t>
      </w:r>
      <w:r>
        <w:rPr>
          <w:spacing w:val="-3"/>
          <w:w w:val="105"/>
          <w:sz w:val="21"/>
        </w:rPr>
        <w:t>claims</w:t>
      </w:r>
      <w:r>
        <w:rPr>
          <w:spacing w:val="-8"/>
          <w:w w:val="105"/>
          <w:sz w:val="21"/>
        </w:rPr>
        <w:t> </w:t>
      </w:r>
      <w:r>
        <w:rPr>
          <w:w w:val="105"/>
          <w:sz w:val="21"/>
        </w:rPr>
        <w:t>of</w:t>
      </w:r>
      <w:r>
        <w:rPr>
          <w:spacing w:val="-8"/>
          <w:w w:val="105"/>
          <w:sz w:val="21"/>
        </w:rPr>
        <w:t> </w:t>
      </w:r>
      <w:r>
        <w:rPr>
          <w:spacing w:val="-3"/>
          <w:w w:val="105"/>
          <w:sz w:val="21"/>
        </w:rPr>
        <w:t>future</w:t>
      </w:r>
      <w:r>
        <w:rPr>
          <w:spacing w:val="-9"/>
          <w:w w:val="105"/>
          <w:sz w:val="21"/>
        </w:rPr>
        <w:t> </w:t>
      </w:r>
      <w:r>
        <w:rPr>
          <w:spacing w:val="-3"/>
          <w:w w:val="105"/>
          <w:sz w:val="21"/>
        </w:rPr>
        <w:t>harm</w:t>
      </w:r>
      <w:r>
        <w:rPr>
          <w:spacing w:val="-8"/>
          <w:w w:val="105"/>
          <w:sz w:val="21"/>
        </w:rPr>
        <w:t> </w:t>
      </w:r>
      <w:r>
        <w:rPr>
          <w:spacing w:val="-3"/>
          <w:w w:val="105"/>
          <w:sz w:val="21"/>
        </w:rPr>
        <w:t>requiring</w:t>
      </w:r>
      <w:r>
        <w:rPr>
          <w:spacing w:val="-8"/>
          <w:w w:val="105"/>
          <w:sz w:val="21"/>
        </w:rPr>
        <w:t> </w:t>
      </w:r>
      <w:r>
        <w:rPr>
          <w:w w:val="105"/>
          <w:sz w:val="21"/>
        </w:rPr>
        <w:t>specialist medical</w:t>
      </w:r>
      <w:r>
        <w:rPr>
          <w:spacing w:val="-7"/>
          <w:w w:val="105"/>
          <w:sz w:val="21"/>
        </w:rPr>
        <w:t> </w:t>
      </w:r>
      <w:r>
        <w:rPr>
          <w:spacing w:val="-3"/>
          <w:w w:val="105"/>
          <w:sz w:val="21"/>
        </w:rPr>
        <w:t>evidence.</w:t>
      </w:r>
      <w:r>
        <w:rPr>
          <w:spacing w:val="-6"/>
          <w:w w:val="105"/>
          <w:sz w:val="21"/>
        </w:rPr>
        <w:t> </w:t>
      </w:r>
      <w:r>
        <w:rPr>
          <w:w w:val="105"/>
          <w:sz w:val="21"/>
        </w:rPr>
        <w:t>For</w:t>
      </w:r>
      <w:r>
        <w:rPr>
          <w:spacing w:val="-6"/>
          <w:w w:val="105"/>
          <w:sz w:val="21"/>
        </w:rPr>
        <w:t> </w:t>
      </w:r>
      <w:r>
        <w:rPr>
          <w:w w:val="105"/>
          <w:sz w:val="21"/>
        </w:rPr>
        <w:t>this</w:t>
      </w:r>
      <w:r>
        <w:rPr>
          <w:spacing w:val="-7"/>
          <w:w w:val="105"/>
          <w:sz w:val="21"/>
        </w:rPr>
        <w:t> </w:t>
      </w:r>
      <w:r>
        <w:rPr>
          <w:w w:val="105"/>
          <w:sz w:val="21"/>
        </w:rPr>
        <w:t>reason</w:t>
      </w:r>
      <w:r>
        <w:rPr>
          <w:spacing w:val="-6"/>
          <w:w w:val="105"/>
          <w:sz w:val="21"/>
        </w:rPr>
        <w:t> </w:t>
      </w:r>
      <w:r>
        <w:rPr>
          <w:w w:val="105"/>
          <w:sz w:val="21"/>
        </w:rPr>
        <w:t>it</w:t>
      </w:r>
      <w:r>
        <w:rPr>
          <w:spacing w:val="-6"/>
          <w:w w:val="105"/>
          <w:sz w:val="21"/>
        </w:rPr>
        <w:t> </w:t>
      </w:r>
      <w:r>
        <w:rPr>
          <w:w w:val="105"/>
          <w:sz w:val="21"/>
        </w:rPr>
        <w:t>is</w:t>
      </w:r>
      <w:r>
        <w:rPr>
          <w:spacing w:val="-7"/>
          <w:w w:val="105"/>
          <w:sz w:val="21"/>
        </w:rPr>
        <w:t> </w:t>
      </w:r>
      <w:r>
        <w:rPr>
          <w:w w:val="105"/>
          <w:sz w:val="21"/>
        </w:rPr>
        <w:t>recommended</w:t>
      </w:r>
      <w:r>
        <w:rPr>
          <w:spacing w:val="-6"/>
          <w:w w:val="105"/>
          <w:sz w:val="21"/>
        </w:rPr>
        <w:t> </w:t>
      </w:r>
      <w:r>
        <w:rPr>
          <w:spacing w:val="-3"/>
          <w:w w:val="105"/>
          <w:sz w:val="21"/>
        </w:rPr>
        <w:t>that</w:t>
      </w:r>
      <w:r>
        <w:rPr>
          <w:spacing w:val="-6"/>
          <w:w w:val="105"/>
          <w:sz w:val="21"/>
        </w:rPr>
        <w:t> </w:t>
      </w:r>
      <w:r>
        <w:rPr>
          <w:w w:val="105"/>
          <w:sz w:val="21"/>
        </w:rPr>
        <w:t>the</w:t>
      </w:r>
      <w:r>
        <w:rPr>
          <w:spacing w:val="-7"/>
          <w:w w:val="105"/>
          <w:sz w:val="21"/>
        </w:rPr>
        <w:t> </w:t>
      </w:r>
      <w:r>
        <w:rPr>
          <w:w w:val="105"/>
          <w:sz w:val="21"/>
        </w:rPr>
        <w:t>list</w:t>
      </w:r>
      <w:r>
        <w:rPr>
          <w:spacing w:val="-6"/>
          <w:w w:val="105"/>
          <w:sz w:val="21"/>
        </w:rPr>
        <w:t> </w:t>
      </w:r>
      <w:r>
        <w:rPr>
          <w:w w:val="105"/>
          <w:sz w:val="21"/>
        </w:rPr>
        <w:t>of</w:t>
      </w:r>
      <w:r>
        <w:rPr>
          <w:spacing w:val="-6"/>
          <w:w w:val="105"/>
          <w:sz w:val="21"/>
        </w:rPr>
        <w:t> </w:t>
      </w:r>
      <w:r>
        <w:rPr>
          <w:w w:val="105"/>
          <w:sz w:val="21"/>
        </w:rPr>
        <w:t>decision-making</w:t>
      </w:r>
    </w:p>
    <w:p>
      <w:pPr>
        <w:pStyle w:val="BodyText"/>
        <w:spacing w:line="242" w:lineRule="auto" w:before="3"/>
        <w:ind w:left="2380" w:right="1499"/>
      </w:pPr>
      <w:r>
        <w:rPr>
          <w:w w:val="105"/>
        </w:rPr>
        <w:t>principles in the new Act be non-exhaustive and that VCAT be able to consider such other matters as it considers relevant in the circumstances of the case. For example, VCAT may decide that if a tree is to be removed, another should be planted in its place.</w:t>
      </w:r>
    </w:p>
    <w:p>
      <w:pPr>
        <w:pStyle w:val="BodyText"/>
        <w:spacing w:before="4"/>
        <w:rPr>
          <w:sz w:val="20"/>
        </w:rPr>
      </w:pPr>
    </w:p>
    <w:p>
      <w:pPr>
        <w:pStyle w:val="Heading5"/>
      </w:pPr>
      <w:r>
        <w:rPr>
          <w:w w:val="115"/>
        </w:rPr>
        <w:t>Other Acts and laws</w:t>
      </w:r>
    </w:p>
    <w:p>
      <w:pPr>
        <w:pStyle w:val="ListParagraph"/>
        <w:numPr>
          <w:ilvl w:val="1"/>
          <w:numId w:val="16"/>
        </w:numPr>
        <w:tabs>
          <w:tab w:pos="2380" w:val="left" w:leader="none"/>
          <w:tab w:pos="2381" w:val="left" w:leader="none"/>
        </w:tabs>
        <w:spacing w:line="242" w:lineRule="auto" w:before="137" w:after="0"/>
        <w:ind w:left="2381" w:right="1649" w:hanging="794"/>
        <w:jc w:val="left"/>
        <w:rPr>
          <w:sz w:val="21"/>
        </w:rPr>
      </w:pPr>
      <w:r>
        <w:rPr>
          <w:w w:val="105"/>
          <w:sz w:val="21"/>
        </w:rPr>
        <w:t>The</w:t>
      </w:r>
      <w:r>
        <w:rPr>
          <w:spacing w:val="-4"/>
          <w:w w:val="105"/>
          <w:sz w:val="21"/>
        </w:rPr>
        <w:t> </w:t>
      </w:r>
      <w:r>
        <w:rPr>
          <w:spacing w:val="-3"/>
          <w:w w:val="105"/>
          <w:sz w:val="21"/>
        </w:rPr>
        <w:t>Commission</w:t>
      </w:r>
      <w:r>
        <w:rPr>
          <w:spacing w:val="-4"/>
          <w:w w:val="105"/>
          <w:sz w:val="21"/>
        </w:rPr>
        <w:t> </w:t>
      </w:r>
      <w:r>
        <w:rPr>
          <w:spacing w:val="-2"/>
          <w:w w:val="105"/>
          <w:sz w:val="21"/>
        </w:rPr>
        <w:t>has</w:t>
      </w:r>
      <w:r>
        <w:rPr>
          <w:spacing w:val="-4"/>
          <w:w w:val="105"/>
          <w:sz w:val="21"/>
        </w:rPr>
        <w:t> </w:t>
      </w:r>
      <w:r>
        <w:rPr>
          <w:w w:val="105"/>
          <w:sz w:val="21"/>
        </w:rPr>
        <w:t>been</w:t>
      </w:r>
      <w:r>
        <w:rPr>
          <w:spacing w:val="-4"/>
          <w:w w:val="105"/>
          <w:sz w:val="21"/>
        </w:rPr>
        <w:t> </w:t>
      </w:r>
      <w:r>
        <w:rPr>
          <w:w w:val="105"/>
          <w:sz w:val="21"/>
        </w:rPr>
        <w:t>guided</w:t>
      </w:r>
      <w:r>
        <w:rPr>
          <w:spacing w:val="-4"/>
          <w:w w:val="105"/>
          <w:sz w:val="21"/>
        </w:rPr>
        <w:t> </w:t>
      </w:r>
      <w:r>
        <w:rPr>
          <w:w w:val="105"/>
          <w:sz w:val="21"/>
        </w:rPr>
        <w:t>by</w:t>
      </w:r>
      <w:r>
        <w:rPr>
          <w:spacing w:val="-4"/>
          <w:w w:val="105"/>
          <w:sz w:val="21"/>
        </w:rPr>
        <w:t> </w:t>
      </w:r>
      <w:r>
        <w:rPr>
          <w:w w:val="105"/>
          <w:sz w:val="21"/>
        </w:rPr>
        <w:t>the</w:t>
      </w:r>
      <w:r>
        <w:rPr>
          <w:spacing w:val="-4"/>
          <w:w w:val="105"/>
          <w:sz w:val="21"/>
        </w:rPr>
        <w:t> </w:t>
      </w:r>
      <w:r>
        <w:rPr>
          <w:w w:val="105"/>
          <w:sz w:val="21"/>
        </w:rPr>
        <w:t>decision-making</w:t>
      </w:r>
      <w:r>
        <w:rPr>
          <w:spacing w:val="-4"/>
          <w:w w:val="105"/>
          <w:sz w:val="21"/>
        </w:rPr>
        <w:t> </w:t>
      </w:r>
      <w:r>
        <w:rPr>
          <w:spacing w:val="-3"/>
          <w:w w:val="105"/>
          <w:sz w:val="21"/>
        </w:rPr>
        <w:t>guidelines</w:t>
      </w:r>
      <w:r>
        <w:rPr>
          <w:spacing w:val="-4"/>
          <w:w w:val="105"/>
          <w:sz w:val="21"/>
        </w:rPr>
        <w:t> </w:t>
      </w:r>
      <w:r>
        <w:rPr>
          <w:w w:val="105"/>
          <w:sz w:val="21"/>
        </w:rPr>
        <w:t>set</w:t>
      </w:r>
      <w:r>
        <w:rPr>
          <w:spacing w:val="-4"/>
          <w:w w:val="105"/>
          <w:sz w:val="21"/>
        </w:rPr>
        <w:t> </w:t>
      </w:r>
      <w:r>
        <w:rPr>
          <w:w w:val="105"/>
          <w:sz w:val="21"/>
        </w:rPr>
        <w:t>out</w:t>
      </w:r>
      <w:r>
        <w:rPr>
          <w:spacing w:val="-4"/>
          <w:w w:val="105"/>
          <w:sz w:val="21"/>
        </w:rPr>
        <w:t> </w:t>
      </w:r>
      <w:r>
        <w:rPr>
          <w:w w:val="105"/>
          <w:sz w:val="21"/>
        </w:rPr>
        <w:t>in</w:t>
      </w:r>
      <w:r>
        <w:rPr>
          <w:spacing w:val="-4"/>
          <w:w w:val="105"/>
          <w:sz w:val="21"/>
        </w:rPr>
        <w:t> </w:t>
      </w:r>
      <w:r>
        <w:rPr>
          <w:w w:val="105"/>
          <w:sz w:val="21"/>
        </w:rPr>
        <w:t>other</w:t>
      </w:r>
      <w:r>
        <w:rPr>
          <w:spacing w:val="-4"/>
          <w:w w:val="105"/>
          <w:sz w:val="21"/>
        </w:rPr>
        <w:t> </w:t>
      </w:r>
      <w:r>
        <w:rPr>
          <w:w w:val="105"/>
          <w:sz w:val="21"/>
        </w:rPr>
        <w:t>laws and policies. </w:t>
      </w:r>
      <w:r>
        <w:rPr>
          <w:spacing w:val="-3"/>
          <w:w w:val="105"/>
          <w:sz w:val="21"/>
        </w:rPr>
        <w:t>Many </w:t>
      </w:r>
      <w:r>
        <w:rPr>
          <w:w w:val="105"/>
          <w:sz w:val="21"/>
        </w:rPr>
        <w:t>of these broader </w:t>
      </w:r>
      <w:r>
        <w:rPr>
          <w:spacing w:val="-3"/>
          <w:w w:val="105"/>
          <w:sz w:val="21"/>
        </w:rPr>
        <w:t>considerations are </w:t>
      </w:r>
      <w:r>
        <w:rPr>
          <w:w w:val="105"/>
          <w:sz w:val="21"/>
        </w:rPr>
        <w:t>reflected in the </w:t>
      </w:r>
      <w:r>
        <w:rPr>
          <w:spacing w:val="-4"/>
          <w:w w:val="105"/>
          <w:sz w:val="21"/>
        </w:rPr>
        <w:t>Commission’s </w:t>
      </w:r>
      <w:r>
        <w:rPr>
          <w:spacing w:val="-3"/>
          <w:w w:val="105"/>
          <w:sz w:val="21"/>
        </w:rPr>
        <w:t>recommendations </w:t>
      </w:r>
      <w:r>
        <w:rPr>
          <w:w w:val="105"/>
          <w:sz w:val="21"/>
        </w:rPr>
        <w:t>below and </w:t>
      </w:r>
      <w:r>
        <w:rPr>
          <w:spacing w:val="-3"/>
          <w:w w:val="105"/>
          <w:sz w:val="21"/>
        </w:rPr>
        <w:t>will </w:t>
      </w:r>
      <w:r>
        <w:rPr>
          <w:w w:val="105"/>
          <w:sz w:val="21"/>
        </w:rPr>
        <w:t>assist </w:t>
      </w:r>
      <w:r>
        <w:rPr>
          <w:spacing w:val="-5"/>
          <w:w w:val="105"/>
          <w:sz w:val="21"/>
        </w:rPr>
        <w:t>VCAT </w:t>
      </w:r>
      <w:r>
        <w:rPr>
          <w:spacing w:val="-3"/>
          <w:w w:val="105"/>
          <w:sz w:val="21"/>
        </w:rPr>
        <w:t>to balance competing </w:t>
      </w:r>
      <w:r>
        <w:rPr>
          <w:w w:val="105"/>
          <w:sz w:val="21"/>
        </w:rPr>
        <w:t>rights and interests </w:t>
      </w:r>
      <w:r>
        <w:rPr>
          <w:spacing w:val="-3"/>
          <w:w w:val="105"/>
          <w:sz w:val="21"/>
        </w:rPr>
        <w:t>fairly </w:t>
      </w:r>
      <w:r>
        <w:rPr>
          <w:w w:val="105"/>
          <w:sz w:val="21"/>
        </w:rPr>
        <w:t>and</w:t>
      </w:r>
      <w:r>
        <w:rPr>
          <w:spacing w:val="13"/>
          <w:w w:val="105"/>
          <w:sz w:val="21"/>
        </w:rPr>
        <w:t> </w:t>
      </w:r>
      <w:r>
        <w:rPr>
          <w:spacing w:val="-4"/>
          <w:w w:val="105"/>
          <w:sz w:val="21"/>
        </w:rPr>
        <w:t>transparently.</w:t>
      </w:r>
    </w:p>
    <w:p>
      <w:pPr>
        <w:pStyle w:val="ListParagraph"/>
        <w:numPr>
          <w:ilvl w:val="1"/>
          <w:numId w:val="16"/>
        </w:numPr>
        <w:tabs>
          <w:tab w:pos="2380" w:val="left" w:leader="none"/>
          <w:tab w:pos="2381" w:val="left" w:leader="none"/>
        </w:tabs>
        <w:spacing w:line="242" w:lineRule="auto" w:before="125" w:after="0"/>
        <w:ind w:left="2380" w:right="1910" w:hanging="793"/>
        <w:jc w:val="left"/>
        <w:rPr>
          <w:sz w:val="21"/>
        </w:rPr>
      </w:pPr>
      <w:r>
        <w:rPr>
          <w:w w:val="105"/>
          <w:sz w:val="21"/>
        </w:rPr>
        <w:t>The list of decision-making </w:t>
      </w:r>
      <w:r>
        <w:rPr>
          <w:spacing w:val="-3"/>
          <w:w w:val="105"/>
          <w:sz w:val="21"/>
        </w:rPr>
        <w:t>principles </w:t>
      </w:r>
      <w:r>
        <w:rPr>
          <w:w w:val="105"/>
          <w:sz w:val="21"/>
        </w:rPr>
        <w:t>in the new Act should </w:t>
      </w:r>
      <w:r>
        <w:rPr>
          <w:spacing w:val="-3"/>
          <w:w w:val="105"/>
          <w:sz w:val="21"/>
        </w:rPr>
        <w:t>require </w:t>
      </w:r>
      <w:r>
        <w:rPr>
          <w:w w:val="105"/>
          <w:sz w:val="21"/>
        </w:rPr>
        <w:t>the decision </w:t>
      </w:r>
      <w:r>
        <w:rPr>
          <w:spacing w:val="-4"/>
          <w:w w:val="105"/>
          <w:sz w:val="21"/>
        </w:rPr>
        <w:t>maker</w:t>
      </w:r>
      <w:r>
        <w:rPr>
          <w:spacing w:val="-11"/>
          <w:w w:val="105"/>
          <w:sz w:val="21"/>
        </w:rPr>
        <w:t> </w:t>
      </w:r>
      <w:r>
        <w:rPr>
          <w:spacing w:val="-3"/>
          <w:w w:val="105"/>
          <w:sz w:val="21"/>
        </w:rPr>
        <w:t>to</w:t>
      </w:r>
      <w:r>
        <w:rPr>
          <w:spacing w:val="-10"/>
          <w:w w:val="105"/>
          <w:sz w:val="21"/>
        </w:rPr>
        <w:t> </w:t>
      </w:r>
      <w:r>
        <w:rPr>
          <w:spacing w:val="-3"/>
          <w:w w:val="105"/>
          <w:sz w:val="21"/>
        </w:rPr>
        <w:t>consider</w:t>
      </w:r>
      <w:r>
        <w:rPr>
          <w:spacing w:val="-10"/>
          <w:w w:val="105"/>
          <w:sz w:val="21"/>
        </w:rPr>
        <w:t> </w:t>
      </w:r>
      <w:r>
        <w:rPr>
          <w:w w:val="105"/>
          <w:sz w:val="21"/>
        </w:rPr>
        <w:t>whether</w:t>
      </w:r>
      <w:r>
        <w:rPr>
          <w:spacing w:val="-10"/>
          <w:w w:val="105"/>
          <w:sz w:val="21"/>
        </w:rPr>
        <w:t> </w:t>
      </w:r>
      <w:r>
        <w:rPr>
          <w:spacing w:val="-3"/>
          <w:w w:val="105"/>
          <w:sz w:val="21"/>
        </w:rPr>
        <w:t>interference</w:t>
      </w:r>
      <w:r>
        <w:rPr>
          <w:spacing w:val="-10"/>
          <w:w w:val="105"/>
          <w:sz w:val="21"/>
        </w:rPr>
        <w:t> </w:t>
      </w:r>
      <w:r>
        <w:rPr>
          <w:w w:val="105"/>
          <w:sz w:val="21"/>
        </w:rPr>
        <w:t>with</w:t>
      </w:r>
      <w:r>
        <w:rPr>
          <w:spacing w:val="-10"/>
          <w:w w:val="105"/>
          <w:sz w:val="21"/>
        </w:rPr>
        <w:t> </w:t>
      </w:r>
      <w:r>
        <w:rPr>
          <w:w w:val="105"/>
          <w:sz w:val="21"/>
        </w:rPr>
        <w:t>the</w:t>
      </w:r>
      <w:r>
        <w:rPr>
          <w:spacing w:val="-10"/>
          <w:w w:val="105"/>
          <w:sz w:val="21"/>
        </w:rPr>
        <w:t> </w:t>
      </w:r>
      <w:r>
        <w:rPr>
          <w:w w:val="105"/>
          <w:sz w:val="21"/>
        </w:rPr>
        <w:t>tree</w:t>
      </w:r>
      <w:r>
        <w:rPr>
          <w:spacing w:val="-11"/>
          <w:w w:val="105"/>
          <w:sz w:val="21"/>
        </w:rPr>
        <w:t> </w:t>
      </w:r>
      <w:r>
        <w:rPr>
          <w:w w:val="105"/>
          <w:sz w:val="21"/>
        </w:rPr>
        <w:t>would</w:t>
      </w:r>
      <w:r>
        <w:rPr>
          <w:spacing w:val="-10"/>
          <w:w w:val="105"/>
          <w:sz w:val="21"/>
        </w:rPr>
        <w:t> </w:t>
      </w:r>
      <w:r>
        <w:rPr>
          <w:w w:val="105"/>
          <w:sz w:val="21"/>
        </w:rPr>
        <w:t>otherwise</w:t>
      </w:r>
      <w:r>
        <w:rPr>
          <w:spacing w:val="-10"/>
          <w:w w:val="105"/>
          <w:sz w:val="21"/>
        </w:rPr>
        <w:t> </w:t>
      </w:r>
      <w:r>
        <w:rPr>
          <w:spacing w:val="-3"/>
          <w:w w:val="105"/>
          <w:sz w:val="21"/>
        </w:rPr>
        <w:t>require</w:t>
      </w:r>
      <w:r>
        <w:rPr>
          <w:spacing w:val="-10"/>
          <w:w w:val="105"/>
          <w:sz w:val="21"/>
        </w:rPr>
        <w:t> </w:t>
      </w:r>
      <w:r>
        <w:rPr>
          <w:spacing w:val="-3"/>
          <w:w w:val="105"/>
          <w:sz w:val="21"/>
        </w:rPr>
        <w:t>consent </w:t>
      </w:r>
      <w:r>
        <w:rPr>
          <w:w w:val="105"/>
          <w:sz w:val="21"/>
        </w:rPr>
        <w:t>or authorisation under other Acts or local laws </w:t>
      </w:r>
      <w:r>
        <w:rPr>
          <w:spacing w:val="-3"/>
          <w:w w:val="105"/>
          <w:sz w:val="21"/>
        </w:rPr>
        <w:t>and, </w:t>
      </w:r>
      <w:r>
        <w:rPr>
          <w:w w:val="105"/>
          <w:sz w:val="21"/>
        </w:rPr>
        <w:t>if </w:t>
      </w:r>
      <w:r>
        <w:rPr>
          <w:spacing w:val="-3"/>
          <w:w w:val="105"/>
          <w:sz w:val="21"/>
        </w:rPr>
        <w:t>so, </w:t>
      </w:r>
      <w:r>
        <w:rPr>
          <w:w w:val="105"/>
          <w:sz w:val="21"/>
        </w:rPr>
        <w:t>whether </w:t>
      </w:r>
      <w:r>
        <w:rPr>
          <w:spacing w:val="-3"/>
          <w:w w:val="105"/>
          <w:sz w:val="21"/>
        </w:rPr>
        <w:t>such consent</w:t>
      </w:r>
      <w:r>
        <w:rPr>
          <w:spacing w:val="-20"/>
          <w:w w:val="105"/>
          <w:sz w:val="21"/>
        </w:rPr>
        <w:t> </w:t>
      </w:r>
      <w:r>
        <w:rPr>
          <w:w w:val="105"/>
          <w:sz w:val="21"/>
        </w:rPr>
        <w:t>or</w:t>
      </w:r>
    </w:p>
    <w:p>
      <w:pPr>
        <w:pStyle w:val="BodyText"/>
        <w:spacing w:line="242" w:lineRule="auto" w:before="3"/>
        <w:ind w:left="2380" w:right="1750"/>
      </w:pPr>
      <w:r>
        <w:rPr/>
        <w:t>authorisation </w:t>
      </w:r>
      <w:r>
        <w:rPr>
          <w:spacing w:val="-2"/>
        </w:rPr>
        <w:t>has </w:t>
      </w:r>
      <w:r>
        <w:rPr/>
        <w:t>been </w:t>
      </w:r>
      <w:r>
        <w:rPr>
          <w:spacing w:val="-2"/>
        </w:rPr>
        <w:t>obtained.  </w:t>
      </w:r>
      <w:r>
        <w:rPr/>
        <w:t>The decision </w:t>
      </w:r>
      <w:r>
        <w:rPr>
          <w:spacing w:val="-4"/>
        </w:rPr>
        <w:t>maker  </w:t>
      </w:r>
      <w:r>
        <w:rPr/>
        <w:t>should also be </w:t>
      </w:r>
      <w:r>
        <w:rPr>
          <w:spacing w:val="-3"/>
        </w:rPr>
        <w:t>required  to  consider </w:t>
      </w:r>
      <w:r>
        <w:rPr/>
        <w:t>the </w:t>
      </w:r>
      <w:r>
        <w:rPr>
          <w:spacing w:val="-3"/>
        </w:rPr>
        <w:t>requirements that may </w:t>
      </w:r>
      <w:r>
        <w:rPr/>
        <w:t>apply under other laws and policies </w:t>
      </w:r>
      <w:r>
        <w:rPr>
          <w:spacing w:val="-3"/>
        </w:rPr>
        <w:t>to that land </w:t>
      </w:r>
      <w:r>
        <w:rPr/>
        <w:t>or </w:t>
      </w:r>
      <w:r>
        <w:rPr>
          <w:spacing w:val="-3"/>
        </w:rPr>
        <w:t>tree. Even </w:t>
      </w:r>
      <w:r>
        <w:rPr/>
        <w:t>where </w:t>
      </w:r>
      <w:r>
        <w:rPr>
          <w:spacing w:val="-3"/>
        </w:rPr>
        <w:t>consent </w:t>
      </w:r>
      <w:r>
        <w:rPr/>
        <w:t>or authorisation is </w:t>
      </w:r>
      <w:r>
        <w:rPr>
          <w:spacing w:val="-2"/>
        </w:rPr>
        <w:t>not </w:t>
      </w:r>
      <w:r>
        <w:rPr>
          <w:spacing w:val="-3"/>
        </w:rPr>
        <w:t>required </w:t>
      </w:r>
      <w:r>
        <w:rPr/>
        <w:t>under other laws, these laws </w:t>
      </w:r>
      <w:r>
        <w:rPr>
          <w:spacing w:val="-3"/>
        </w:rPr>
        <w:t>may  </w:t>
      </w:r>
      <w:r>
        <w:rPr/>
        <w:t>still point  </w:t>
      </w:r>
      <w:r>
        <w:rPr>
          <w:spacing w:val="-3"/>
        </w:rPr>
        <w:t>to </w:t>
      </w:r>
      <w:r>
        <w:rPr/>
        <w:t>matters </w:t>
      </w:r>
      <w:r>
        <w:rPr>
          <w:spacing w:val="-3"/>
        </w:rPr>
        <w:t>that </w:t>
      </w:r>
      <w:r>
        <w:rPr>
          <w:spacing w:val="-5"/>
        </w:rPr>
        <w:t>VCAT </w:t>
      </w:r>
      <w:r>
        <w:rPr/>
        <w:t>should </w:t>
      </w:r>
      <w:r>
        <w:rPr>
          <w:spacing w:val="-3"/>
        </w:rPr>
        <w:t>have regard  to  </w:t>
      </w:r>
      <w:r>
        <w:rPr/>
        <w:t>in </w:t>
      </w:r>
      <w:r>
        <w:rPr>
          <w:spacing w:val="-3"/>
        </w:rPr>
        <w:t>making</w:t>
      </w:r>
      <w:r>
        <w:rPr>
          <w:spacing w:val="41"/>
        </w:rPr>
        <w:t> </w:t>
      </w:r>
      <w:r>
        <w:rPr/>
        <w:t>its </w:t>
      </w:r>
      <w:r>
        <w:rPr>
          <w:spacing w:val="-3"/>
        </w:rPr>
        <w:t>decision,  for  example,  </w:t>
      </w:r>
      <w:r>
        <w:rPr/>
        <w:t>the </w:t>
      </w:r>
      <w:r>
        <w:rPr>
          <w:spacing w:val="-3"/>
        </w:rPr>
        <w:t>zone </w:t>
      </w:r>
      <w:r>
        <w:rPr/>
        <w:t>use of the </w:t>
      </w:r>
      <w:r>
        <w:rPr>
          <w:spacing w:val="-3"/>
        </w:rPr>
        <w:t>land </w:t>
      </w:r>
      <w:r>
        <w:rPr/>
        <w:t>in</w:t>
      </w:r>
      <w:r>
        <w:rPr>
          <w:spacing w:val="45"/>
        </w:rPr>
        <w:t> </w:t>
      </w:r>
      <w:r>
        <w:rPr/>
        <w:t>question.</w:t>
      </w:r>
    </w:p>
    <w:p>
      <w:pPr>
        <w:pStyle w:val="ListParagraph"/>
        <w:numPr>
          <w:ilvl w:val="1"/>
          <w:numId w:val="16"/>
        </w:numPr>
        <w:tabs>
          <w:tab w:pos="2380" w:val="left" w:leader="none"/>
          <w:tab w:pos="2381" w:val="left" w:leader="none"/>
        </w:tabs>
        <w:spacing w:line="240" w:lineRule="auto" w:before="126" w:after="0"/>
        <w:ind w:left="2380" w:right="0" w:hanging="794"/>
        <w:jc w:val="left"/>
        <w:rPr>
          <w:sz w:val="21"/>
        </w:rPr>
      </w:pPr>
      <w:r>
        <w:rPr>
          <w:sz w:val="21"/>
        </w:rPr>
        <w:t>Other </w:t>
      </w:r>
      <w:r>
        <w:rPr>
          <w:spacing w:val="-3"/>
          <w:sz w:val="21"/>
        </w:rPr>
        <w:t>relevant </w:t>
      </w:r>
      <w:r>
        <w:rPr>
          <w:sz w:val="21"/>
        </w:rPr>
        <w:t>laws</w:t>
      </w:r>
      <w:r>
        <w:rPr>
          <w:spacing w:val="27"/>
          <w:sz w:val="21"/>
        </w:rPr>
        <w:t> </w:t>
      </w:r>
      <w:r>
        <w:rPr>
          <w:sz w:val="21"/>
        </w:rPr>
        <w:t>include:</w:t>
      </w:r>
    </w:p>
    <w:p>
      <w:pPr>
        <w:pStyle w:val="ListParagraph"/>
        <w:numPr>
          <w:ilvl w:val="2"/>
          <w:numId w:val="16"/>
        </w:numPr>
        <w:tabs>
          <w:tab w:pos="2720" w:val="left" w:leader="none"/>
          <w:tab w:pos="2721" w:val="left" w:leader="none"/>
        </w:tabs>
        <w:spacing w:line="240" w:lineRule="auto" w:before="123" w:after="0"/>
        <w:ind w:left="2720" w:right="0" w:hanging="340"/>
        <w:jc w:val="left"/>
        <w:rPr>
          <w:sz w:val="21"/>
        </w:rPr>
      </w:pPr>
      <w:r>
        <w:rPr>
          <w:w w:val="105"/>
          <w:sz w:val="21"/>
        </w:rPr>
        <w:t>the </w:t>
      </w:r>
      <w:r>
        <w:rPr>
          <w:i/>
          <w:spacing w:val="-3"/>
          <w:w w:val="105"/>
          <w:sz w:val="21"/>
        </w:rPr>
        <w:t>Planning </w:t>
      </w:r>
      <w:r>
        <w:rPr>
          <w:i/>
          <w:w w:val="105"/>
          <w:sz w:val="21"/>
        </w:rPr>
        <w:t>and </w:t>
      </w:r>
      <w:r>
        <w:rPr>
          <w:i/>
          <w:spacing w:val="-3"/>
          <w:w w:val="105"/>
          <w:sz w:val="21"/>
        </w:rPr>
        <w:t>Environment </w:t>
      </w:r>
      <w:r>
        <w:rPr>
          <w:i/>
          <w:w w:val="105"/>
          <w:sz w:val="21"/>
        </w:rPr>
        <w:t>Act </w:t>
      </w:r>
      <w:r>
        <w:rPr>
          <w:i/>
          <w:spacing w:val="-6"/>
          <w:w w:val="105"/>
          <w:sz w:val="21"/>
        </w:rPr>
        <w:t>1987</w:t>
      </w:r>
      <w:r>
        <w:rPr>
          <w:i/>
          <w:spacing w:val="-5"/>
          <w:w w:val="105"/>
          <w:sz w:val="21"/>
        </w:rPr>
        <w:t> </w:t>
      </w:r>
      <w:r>
        <w:rPr>
          <w:w w:val="105"/>
          <w:sz w:val="21"/>
        </w:rPr>
        <w:t>(Vic)</w:t>
      </w:r>
    </w:p>
    <w:p>
      <w:pPr>
        <w:pStyle w:val="ListParagraph"/>
        <w:numPr>
          <w:ilvl w:val="2"/>
          <w:numId w:val="16"/>
        </w:numPr>
        <w:tabs>
          <w:tab w:pos="2720" w:val="left" w:leader="none"/>
          <w:tab w:pos="2721" w:val="left" w:leader="none"/>
        </w:tabs>
        <w:spacing w:line="240" w:lineRule="auto" w:before="89" w:after="0"/>
        <w:ind w:left="2720" w:right="0" w:hanging="340"/>
        <w:jc w:val="left"/>
        <w:rPr>
          <w:sz w:val="21"/>
        </w:rPr>
      </w:pPr>
      <w:r>
        <w:rPr>
          <w:w w:val="105"/>
          <w:sz w:val="21"/>
        </w:rPr>
        <w:t>local laws made </w:t>
      </w:r>
      <w:r>
        <w:rPr>
          <w:spacing w:val="-3"/>
          <w:w w:val="105"/>
          <w:sz w:val="21"/>
        </w:rPr>
        <w:t>pursuant to </w:t>
      </w:r>
      <w:r>
        <w:rPr>
          <w:w w:val="105"/>
          <w:sz w:val="21"/>
        </w:rPr>
        <w:t>the </w:t>
      </w:r>
      <w:r>
        <w:rPr>
          <w:i/>
          <w:w w:val="105"/>
          <w:sz w:val="21"/>
        </w:rPr>
        <w:t>Local </w:t>
      </w:r>
      <w:r>
        <w:rPr>
          <w:i/>
          <w:spacing w:val="-3"/>
          <w:w w:val="105"/>
          <w:sz w:val="21"/>
        </w:rPr>
        <w:t>Government </w:t>
      </w:r>
      <w:r>
        <w:rPr>
          <w:i/>
          <w:w w:val="105"/>
          <w:sz w:val="21"/>
        </w:rPr>
        <w:t>Act </w:t>
      </w:r>
      <w:r>
        <w:rPr>
          <w:i/>
          <w:spacing w:val="-5"/>
          <w:w w:val="105"/>
          <w:sz w:val="21"/>
        </w:rPr>
        <w:t>1989</w:t>
      </w:r>
      <w:r>
        <w:rPr>
          <w:i/>
          <w:spacing w:val="14"/>
          <w:w w:val="105"/>
          <w:sz w:val="21"/>
        </w:rPr>
        <w:t> </w:t>
      </w:r>
      <w:r>
        <w:rPr>
          <w:w w:val="105"/>
          <w:sz w:val="21"/>
        </w:rPr>
        <w:t>(Vic)</w:t>
      </w:r>
    </w:p>
    <w:p>
      <w:pPr>
        <w:pStyle w:val="ListParagraph"/>
        <w:numPr>
          <w:ilvl w:val="2"/>
          <w:numId w:val="16"/>
        </w:numPr>
        <w:tabs>
          <w:tab w:pos="2720" w:val="left" w:leader="none"/>
          <w:tab w:pos="2721" w:val="left" w:leader="none"/>
        </w:tabs>
        <w:spacing w:line="240" w:lineRule="auto" w:before="89" w:after="0"/>
        <w:ind w:left="2720" w:right="0" w:hanging="340"/>
        <w:jc w:val="left"/>
        <w:rPr>
          <w:sz w:val="21"/>
        </w:rPr>
      </w:pPr>
      <w:r>
        <w:rPr>
          <w:w w:val="105"/>
          <w:sz w:val="21"/>
        </w:rPr>
        <w:t>the </w:t>
      </w:r>
      <w:r>
        <w:rPr>
          <w:i/>
          <w:w w:val="105"/>
          <w:sz w:val="21"/>
        </w:rPr>
        <w:t>Heritage Act </w:t>
      </w:r>
      <w:r>
        <w:rPr>
          <w:i/>
          <w:spacing w:val="-10"/>
          <w:w w:val="105"/>
          <w:sz w:val="21"/>
        </w:rPr>
        <w:t>2017</w:t>
      </w:r>
      <w:r>
        <w:rPr>
          <w:i/>
          <w:spacing w:val="21"/>
          <w:w w:val="105"/>
          <w:sz w:val="21"/>
        </w:rPr>
        <w:t> </w:t>
      </w:r>
      <w:r>
        <w:rPr>
          <w:w w:val="105"/>
          <w:sz w:val="21"/>
        </w:rPr>
        <w:t>(Vic)</w:t>
      </w:r>
    </w:p>
    <w:p>
      <w:pPr>
        <w:pStyle w:val="ListParagraph"/>
        <w:numPr>
          <w:ilvl w:val="2"/>
          <w:numId w:val="16"/>
        </w:numPr>
        <w:tabs>
          <w:tab w:pos="2720" w:val="left" w:leader="none"/>
          <w:tab w:pos="2721" w:val="left" w:leader="none"/>
        </w:tabs>
        <w:spacing w:line="240" w:lineRule="auto" w:before="88" w:after="0"/>
        <w:ind w:left="2720" w:right="0" w:hanging="340"/>
        <w:jc w:val="left"/>
        <w:rPr>
          <w:sz w:val="21"/>
        </w:rPr>
      </w:pPr>
      <w:r>
        <w:rPr>
          <w:w w:val="105"/>
          <w:sz w:val="21"/>
        </w:rPr>
        <w:t>the </w:t>
      </w:r>
      <w:r>
        <w:rPr>
          <w:i/>
          <w:w w:val="105"/>
          <w:sz w:val="21"/>
        </w:rPr>
        <w:t>Aboriginal Heritage Act 2006</w:t>
      </w:r>
      <w:r>
        <w:rPr>
          <w:i/>
          <w:spacing w:val="25"/>
          <w:w w:val="105"/>
          <w:sz w:val="21"/>
        </w:rPr>
        <w:t> </w:t>
      </w:r>
      <w:r>
        <w:rPr>
          <w:w w:val="105"/>
          <w:sz w:val="21"/>
        </w:rPr>
        <w:t>(Vic)</w:t>
      </w:r>
    </w:p>
    <w:p>
      <w:pPr>
        <w:pStyle w:val="ListParagraph"/>
        <w:numPr>
          <w:ilvl w:val="2"/>
          <w:numId w:val="16"/>
        </w:numPr>
        <w:tabs>
          <w:tab w:pos="2720" w:val="left" w:leader="none"/>
          <w:tab w:pos="2721" w:val="left" w:leader="none"/>
        </w:tabs>
        <w:spacing w:line="240" w:lineRule="auto" w:before="89" w:after="0"/>
        <w:ind w:left="2720" w:right="0" w:hanging="340"/>
        <w:jc w:val="left"/>
        <w:rPr>
          <w:sz w:val="21"/>
        </w:rPr>
      </w:pPr>
      <w:r>
        <w:rPr>
          <w:w w:val="105"/>
          <w:sz w:val="21"/>
        </w:rPr>
        <w:t>the </w:t>
      </w:r>
      <w:r>
        <w:rPr>
          <w:i/>
          <w:w w:val="105"/>
          <w:sz w:val="21"/>
        </w:rPr>
        <w:t>Fences Act </w:t>
      </w:r>
      <w:r>
        <w:rPr>
          <w:i/>
          <w:spacing w:val="-4"/>
          <w:w w:val="105"/>
          <w:sz w:val="21"/>
        </w:rPr>
        <w:t>1968</w:t>
      </w:r>
      <w:r>
        <w:rPr>
          <w:i/>
          <w:spacing w:val="21"/>
          <w:w w:val="105"/>
          <w:sz w:val="21"/>
        </w:rPr>
        <w:t> </w:t>
      </w:r>
      <w:r>
        <w:rPr>
          <w:w w:val="105"/>
          <w:sz w:val="21"/>
        </w:rPr>
        <w:t>(Vic)</w:t>
      </w:r>
    </w:p>
    <w:p>
      <w:pPr>
        <w:pStyle w:val="ListParagraph"/>
        <w:numPr>
          <w:ilvl w:val="2"/>
          <w:numId w:val="16"/>
        </w:numPr>
        <w:tabs>
          <w:tab w:pos="2720" w:val="left" w:leader="none"/>
          <w:tab w:pos="2721" w:val="left" w:leader="none"/>
        </w:tabs>
        <w:spacing w:line="240" w:lineRule="auto" w:before="89" w:after="0"/>
        <w:ind w:left="2720" w:right="0" w:hanging="340"/>
        <w:jc w:val="left"/>
        <w:rPr>
          <w:sz w:val="21"/>
        </w:rPr>
      </w:pPr>
      <w:r>
        <w:rPr>
          <w:w w:val="105"/>
          <w:sz w:val="21"/>
        </w:rPr>
        <w:t>the </w:t>
      </w:r>
      <w:r>
        <w:rPr>
          <w:i/>
          <w:spacing w:val="-3"/>
          <w:w w:val="105"/>
          <w:sz w:val="21"/>
        </w:rPr>
        <w:t>Catchment </w:t>
      </w:r>
      <w:r>
        <w:rPr>
          <w:i/>
          <w:w w:val="105"/>
          <w:sz w:val="21"/>
        </w:rPr>
        <w:t>and Land Protection Act </w:t>
      </w:r>
      <w:r>
        <w:rPr>
          <w:i/>
          <w:spacing w:val="-4"/>
          <w:w w:val="105"/>
          <w:sz w:val="21"/>
        </w:rPr>
        <w:t>1994</w:t>
      </w:r>
      <w:r>
        <w:rPr>
          <w:i/>
          <w:spacing w:val="39"/>
          <w:w w:val="105"/>
          <w:sz w:val="21"/>
        </w:rPr>
        <w:t> </w:t>
      </w:r>
      <w:r>
        <w:rPr>
          <w:w w:val="105"/>
          <w:sz w:val="21"/>
        </w:rPr>
        <w:t>(Vic)</w:t>
      </w:r>
    </w:p>
    <w:p>
      <w:pPr>
        <w:pStyle w:val="ListParagraph"/>
        <w:numPr>
          <w:ilvl w:val="2"/>
          <w:numId w:val="16"/>
        </w:numPr>
        <w:tabs>
          <w:tab w:pos="2720" w:val="left" w:leader="none"/>
          <w:tab w:pos="2721" w:val="left" w:leader="none"/>
        </w:tabs>
        <w:spacing w:line="240" w:lineRule="auto" w:before="88" w:after="0"/>
        <w:ind w:left="2720" w:right="0" w:hanging="340"/>
        <w:jc w:val="left"/>
        <w:rPr>
          <w:sz w:val="21"/>
        </w:rPr>
      </w:pPr>
      <w:r>
        <w:rPr>
          <w:w w:val="105"/>
          <w:sz w:val="21"/>
        </w:rPr>
        <w:t>the </w:t>
      </w:r>
      <w:r>
        <w:rPr>
          <w:i/>
          <w:spacing w:val="-3"/>
          <w:w w:val="105"/>
          <w:sz w:val="21"/>
        </w:rPr>
        <w:t>Environmental </w:t>
      </w:r>
      <w:r>
        <w:rPr>
          <w:i/>
          <w:w w:val="105"/>
          <w:sz w:val="21"/>
        </w:rPr>
        <w:t>Protection and Biodiversity </w:t>
      </w:r>
      <w:r>
        <w:rPr>
          <w:i/>
          <w:spacing w:val="-3"/>
          <w:w w:val="105"/>
          <w:sz w:val="21"/>
        </w:rPr>
        <w:t>Conservation </w:t>
      </w:r>
      <w:r>
        <w:rPr>
          <w:i/>
          <w:w w:val="105"/>
          <w:sz w:val="21"/>
        </w:rPr>
        <w:t>Act </w:t>
      </w:r>
      <w:r>
        <w:rPr>
          <w:i/>
          <w:spacing w:val="-5"/>
          <w:w w:val="105"/>
          <w:sz w:val="21"/>
        </w:rPr>
        <w:t>1999 </w:t>
      </w:r>
      <w:r>
        <w:rPr>
          <w:w w:val="105"/>
          <w:sz w:val="21"/>
        </w:rPr>
        <w:t>(Cth).</w:t>
      </w:r>
      <w:r>
        <w:rPr>
          <w:w w:val="105"/>
          <w:position w:val="7"/>
          <w:sz w:val="12"/>
        </w:rPr>
        <w:t>89</w:t>
      </w:r>
    </w:p>
    <w:p>
      <w:pPr>
        <w:pStyle w:val="ListParagraph"/>
        <w:numPr>
          <w:ilvl w:val="1"/>
          <w:numId w:val="16"/>
        </w:numPr>
        <w:tabs>
          <w:tab w:pos="2381" w:val="left" w:leader="none"/>
          <w:tab w:pos="2382" w:val="left" w:leader="none"/>
        </w:tabs>
        <w:spacing w:line="242" w:lineRule="auto" w:before="89" w:after="0"/>
        <w:ind w:left="2381" w:right="1599" w:hanging="794"/>
        <w:jc w:val="left"/>
        <w:rPr>
          <w:sz w:val="21"/>
        </w:rPr>
      </w:pPr>
      <w:r>
        <w:rPr>
          <w:w w:val="105"/>
          <w:sz w:val="21"/>
        </w:rPr>
        <w:t>In </w:t>
      </w:r>
      <w:r>
        <w:rPr>
          <w:spacing w:val="-4"/>
          <w:w w:val="105"/>
          <w:sz w:val="21"/>
        </w:rPr>
        <w:t>Chapter </w:t>
      </w:r>
      <w:r>
        <w:rPr>
          <w:spacing w:val="-6"/>
          <w:w w:val="105"/>
          <w:sz w:val="21"/>
        </w:rPr>
        <w:t>10 </w:t>
      </w:r>
      <w:r>
        <w:rPr>
          <w:w w:val="105"/>
          <w:sz w:val="21"/>
        </w:rPr>
        <w:t>the </w:t>
      </w:r>
      <w:r>
        <w:rPr>
          <w:spacing w:val="-3"/>
          <w:w w:val="105"/>
          <w:sz w:val="21"/>
        </w:rPr>
        <w:t>Commission makes recommendations </w:t>
      </w:r>
      <w:r>
        <w:rPr>
          <w:w w:val="105"/>
          <w:sz w:val="21"/>
        </w:rPr>
        <w:t>about the </w:t>
      </w:r>
      <w:r>
        <w:rPr>
          <w:spacing w:val="-3"/>
          <w:w w:val="105"/>
          <w:sz w:val="21"/>
        </w:rPr>
        <w:t>interaction </w:t>
      </w:r>
      <w:r>
        <w:rPr>
          <w:w w:val="105"/>
          <w:sz w:val="21"/>
        </w:rPr>
        <w:t>of laws and </w:t>
      </w:r>
      <w:r>
        <w:rPr>
          <w:spacing w:val="-3"/>
          <w:w w:val="105"/>
          <w:sz w:val="21"/>
        </w:rPr>
        <w:t>elaborates </w:t>
      </w:r>
      <w:r>
        <w:rPr>
          <w:w w:val="105"/>
          <w:sz w:val="21"/>
        </w:rPr>
        <w:t>on some of these decision </w:t>
      </w:r>
      <w:r>
        <w:rPr>
          <w:spacing w:val="-3"/>
          <w:w w:val="105"/>
          <w:sz w:val="21"/>
        </w:rPr>
        <w:t>making principles. </w:t>
      </w:r>
      <w:r>
        <w:rPr>
          <w:w w:val="105"/>
          <w:sz w:val="21"/>
        </w:rPr>
        <w:t>The </w:t>
      </w:r>
      <w:r>
        <w:rPr>
          <w:spacing w:val="-3"/>
          <w:w w:val="105"/>
          <w:sz w:val="21"/>
        </w:rPr>
        <w:t>weight that </w:t>
      </w:r>
      <w:r>
        <w:rPr>
          <w:w w:val="105"/>
          <w:sz w:val="21"/>
        </w:rPr>
        <w:t>should be given </w:t>
      </w:r>
      <w:r>
        <w:rPr>
          <w:spacing w:val="-3"/>
          <w:w w:val="105"/>
          <w:sz w:val="21"/>
        </w:rPr>
        <w:t>to </w:t>
      </w:r>
      <w:r>
        <w:rPr>
          <w:w w:val="105"/>
          <w:sz w:val="21"/>
        </w:rPr>
        <w:t>other laws and policies in the decision </w:t>
      </w:r>
      <w:r>
        <w:rPr>
          <w:spacing w:val="-3"/>
          <w:w w:val="105"/>
          <w:sz w:val="21"/>
        </w:rPr>
        <w:t>making </w:t>
      </w:r>
      <w:r>
        <w:rPr>
          <w:w w:val="105"/>
          <w:sz w:val="21"/>
        </w:rPr>
        <w:t>process is also</w:t>
      </w:r>
      <w:r>
        <w:rPr>
          <w:spacing w:val="14"/>
          <w:w w:val="105"/>
          <w:sz w:val="21"/>
        </w:rPr>
        <w:t> </w:t>
      </w:r>
      <w:r>
        <w:rPr>
          <w:spacing w:val="-3"/>
          <w:w w:val="105"/>
          <w:sz w:val="21"/>
        </w:rPr>
        <w:t>considered.</w:t>
      </w:r>
    </w:p>
    <w:p>
      <w:pPr>
        <w:pStyle w:val="BodyText"/>
        <w:spacing w:before="4"/>
        <w:rPr>
          <w:sz w:val="20"/>
        </w:rPr>
      </w:pPr>
    </w:p>
    <w:p>
      <w:pPr>
        <w:pStyle w:val="Heading5"/>
      </w:pPr>
      <w:r>
        <w:rPr>
          <w:w w:val="115"/>
        </w:rPr>
        <w:t>The benefits of trees</w:t>
      </w:r>
    </w:p>
    <w:p>
      <w:pPr>
        <w:pStyle w:val="ListParagraph"/>
        <w:numPr>
          <w:ilvl w:val="1"/>
          <w:numId w:val="16"/>
        </w:numPr>
        <w:tabs>
          <w:tab w:pos="2381" w:val="left" w:leader="none"/>
          <w:tab w:pos="2382" w:val="left" w:leader="none"/>
        </w:tabs>
        <w:spacing w:line="242" w:lineRule="auto" w:before="137" w:after="0"/>
        <w:ind w:left="2381" w:right="1807" w:hanging="794"/>
        <w:jc w:val="left"/>
        <w:rPr>
          <w:sz w:val="21"/>
        </w:rPr>
      </w:pPr>
      <w:r>
        <w:rPr>
          <w:w w:val="105"/>
          <w:sz w:val="21"/>
        </w:rPr>
        <w:t>Decision-making </w:t>
      </w:r>
      <w:r>
        <w:rPr>
          <w:spacing w:val="-3"/>
          <w:w w:val="105"/>
          <w:sz w:val="21"/>
        </w:rPr>
        <w:t>principles </w:t>
      </w:r>
      <w:r>
        <w:rPr>
          <w:w w:val="105"/>
          <w:sz w:val="21"/>
        </w:rPr>
        <w:t>should </w:t>
      </w:r>
      <w:r>
        <w:rPr>
          <w:spacing w:val="-3"/>
          <w:w w:val="105"/>
          <w:sz w:val="21"/>
        </w:rPr>
        <w:t>recognise </w:t>
      </w:r>
      <w:r>
        <w:rPr>
          <w:w w:val="105"/>
          <w:sz w:val="21"/>
        </w:rPr>
        <w:t>the broader </w:t>
      </w:r>
      <w:r>
        <w:rPr>
          <w:spacing w:val="-3"/>
          <w:w w:val="105"/>
          <w:sz w:val="21"/>
        </w:rPr>
        <w:t>intrinsic </w:t>
      </w:r>
      <w:r>
        <w:rPr>
          <w:w w:val="105"/>
          <w:sz w:val="21"/>
        </w:rPr>
        <w:t>benefits of trees </w:t>
      </w:r>
      <w:r>
        <w:rPr>
          <w:spacing w:val="-3"/>
          <w:w w:val="105"/>
          <w:sz w:val="21"/>
        </w:rPr>
        <w:t>to </w:t>
      </w:r>
      <w:r>
        <w:rPr>
          <w:w w:val="105"/>
          <w:sz w:val="21"/>
        </w:rPr>
        <w:t>the</w:t>
      </w:r>
      <w:r>
        <w:rPr>
          <w:spacing w:val="-7"/>
          <w:w w:val="105"/>
          <w:sz w:val="21"/>
        </w:rPr>
        <w:t> </w:t>
      </w:r>
      <w:r>
        <w:rPr>
          <w:w w:val="105"/>
          <w:sz w:val="21"/>
        </w:rPr>
        <w:t>community</w:t>
      </w:r>
      <w:r>
        <w:rPr>
          <w:spacing w:val="-7"/>
          <w:w w:val="105"/>
          <w:sz w:val="21"/>
        </w:rPr>
        <w:t> </w:t>
      </w:r>
      <w:r>
        <w:rPr>
          <w:spacing w:val="-3"/>
          <w:w w:val="105"/>
          <w:sz w:val="21"/>
        </w:rPr>
        <w:t>(for</w:t>
      </w:r>
      <w:r>
        <w:rPr>
          <w:spacing w:val="-7"/>
          <w:w w:val="105"/>
          <w:sz w:val="21"/>
        </w:rPr>
        <w:t> </w:t>
      </w:r>
      <w:r>
        <w:rPr>
          <w:spacing w:val="-3"/>
          <w:w w:val="105"/>
          <w:sz w:val="21"/>
        </w:rPr>
        <w:t>example,</w:t>
      </w:r>
      <w:r>
        <w:rPr>
          <w:spacing w:val="-7"/>
          <w:w w:val="105"/>
          <w:sz w:val="21"/>
        </w:rPr>
        <w:t> </w:t>
      </w:r>
      <w:r>
        <w:rPr>
          <w:w w:val="105"/>
          <w:sz w:val="21"/>
        </w:rPr>
        <w:t>shade</w:t>
      </w:r>
      <w:r>
        <w:rPr>
          <w:spacing w:val="-7"/>
          <w:w w:val="105"/>
          <w:sz w:val="21"/>
        </w:rPr>
        <w:t> </w:t>
      </w:r>
      <w:r>
        <w:rPr>
          <w:w w:val="105"/>
          <w:sz w:val="21"/>
        </w:rPr>
        <w:t>and</w:t>
      </w:r>
      <w:r>
        <w:rPr>
          <w:spacing w:val="-7"/>
          <w:w w:val="105"/>
          <w:sz w:val="21"/>
        </w:rPr>
        <w:t> </w:t>
      </w:r>
      <w:r>
        <w:rPr>
          <w:spacing w:val="-3"/>
          <w:w w:val="105"/>
          <w:sz w:val="21"/>
        </w:rPr>
        <w:t>natural</w:t>
      </w:r>
      <w:r>
        <w:rPr>
          <w:spacing w:val="-7"/>
          <w:w w:val="105"/>
          <w:sz w:val="21"/>
        </w:rPr>
        <w:t> </w:t>
      </w:r>
      <w:r>
        <w:rPr>
          <w:w w:val="105"/>
          <w:sz w:val="21"/>
        </w:rPr>
        <w:t>cooling).</w:t>
      </w:r>
      <w:r>
        <w:rPr>
          <w:spacing w:val="-7"/>
          <w:w w:val="105"/>
          <w:sz w:val="21"/>
        </w:rPr>
        <w:t> </w:t>
      </w:r>
      <w:r>
        <w:rPr>
          <w:w w:val="105"/>
          <w:sz w:val="21"/>
        </w:rPr>
        <w:t>Our</w:t>
      </w:r>
      <w:r>
        <w:rPr>
          <w:spacing w:val="-7"/>
          <w:w w:val="105"/>
          <w:sz w:val="21"/>
        </w:rPr>
        <w:t> </w:t>
      </w:r>
      <w:r>
        <w:rPr>
          <w:w w:val="105"/>
          <w:sz w:val="21"/>
        </w:rPr>
        <w:t>community</w:t>
      </w:r>
      <w:r>
        <w:rPr>
          <w:spacing w:val="-6"/>
          <w:w w:val="105"/>
          <w:sz w:val="21"/>
        </w:rPr>
        <w:t> </w:t>
      </w:r>
      <w:r>
        <w:rPr>
          <w:w w:val="105"/>
          <w:sz w:val="21"/>
        </w:rPr>
        <w:t>is</w:t>
      </w:r>
      <w:r>
        <w:rPr>
          <w:spacing w:val="-7"/>
          <w:w w:val="105"/>
          <w:sz w:val="21"/>
        </w:rPr>
        <w:t> </w:t>
      </w:r>
      <w:r>
        <w:rPr>
          <w:w w:val="105"/>
          <w:sz w:val="21"/>
        </w:rPr>
        <w:t>also</w:t>
      </w:r>
      <w:r>
        <w:rPr>
          <w:spacing w:val="-7"/>
          <w:w w:val="105"/>
          <w:sz w:val="21"/>
        </w:rPr>
        <w:t> </w:t>
      </w:r>
      <w:r>
        <w:rPr>
          <w:spacing w:val="-3"/>
          <w:w w:val="105"/>
          <w:sz w:val="21"/>
        </w:rPr>
        <w:t>placing increasing</w:t>
      </w:r>
      <w:r>
        <w:rPr>
          <w:spacing w:val="-7"/>
          <w:w w:val="105"/>
          <w:sz w:val="21"/>
        </w:rPr>
        <w:t> </w:t>
      </w:r>
      <w:r>
        <w:rPr>
          <w:w w:val="105"/>
          <w:sz w:val="21"/>
        </w:rPr>
        <w:t>importance</w:t>
      </w:r>
      <w:r>
        <w:rPr>
          <w:spacing w:val="-7"/>
          <w:w w:val="105"/>
          <w:sz w:val="21"/>
        </w:rPr>
        <w:t> </w:t>
      </w:r>
      <w:r>
        <w:rPr>
          <w:w w:val="105"/>
          <w:sz w:val="21"/>
        </w:rPr>
        <w:t>on</w:t>
      </w:r>
      <w:r>
        <w:rPr>
          <w:spacing w:val="-7"/>
          <w:w w:val="105"/>
          <w:sz w:val="21"/>
        </w:rPr>
        <w:t> </w:t>
      </w:r>
      <w:r>
        <w:rPr>
          <w:w w:val="105"/>
          <w:sz w:val="21"/>
        </w:rPr>
        <w:t>protecting</w:t>
      </w:r>
      <w:r>
        <w:rPr>
          <w:spacing w:val="-6"/>
          <w:w w:val="105"/>
          <w:sz w:val="21"/>
        </w:rPr>
        <w:t> </w:t>
      </w:r>
      <w:r>
        <w:rPr>
          <w:w w:val="105"/>
          <w:sz w:val="21"/>
        </w:rPr>
        <w:t>and</w:t>
      </w:r>
      <w:r>
        <w:rPr>
          <w:spacing w:val="-7"/>
          <w:w w:val="105"/>
          <w:sz w:val="21"/>
        </w:rPr>
        <w:t> </w:t>
      </w:r>
      <w:r>
        <w:rPr>
          <w:spacing w:val="-3"/>
          <w:w w:val="105"/>
          <w:sz w:val="21"/>
        </w:rPr>
        <w:t>encouraging</w:t>
      </w:r>
      <w:r>
        <w:rPr>
          <w:spacing w:val="-7"/>
          <w:w w:val="105"/>
          <w:sz w:val="21"/>
        </w:rPr>
        <w:t> </w:t>
      </w:r>
      <w:r>
        <w:rPr>
          <w:w w:val="105"/>
          <w:sz w:val="21"/>
        </w:rPr>
        <w:t>more</w:t>
      </w:r>
      <w:r>
        <w:rPr>
          <w:spacing w:val="-7"/>
          <w:w w:val="105"/>
          <w:sz w:val="21"/>
        </w:rPr>
        <w:t> </w:t>
      </w:r>
      <w:r>
        <w:rPr>
          <w:w w:val="105"/>
          <w:sz w:val="21"/>
        </w:rPr>
        <w:t>vegetation</w:t>
      </w:r>
      <w:r>
        <w:rPr>
          <w:spacing w:val="-6"/>
          <w:w w:val="105"/>
          <w:sz w:val="21"/>
        </w:rPr>
        <w:t> </w:t>
      </w:r>
      <w:r>
        <w:rPr>
          <w:w w:val="105"/>
          <w:sz w:val="21"/>
        </w:rPr>
        <w:t>in</w:t>
      </w:r>
      <w:r>
        <w:rPr>
          <w:spacing w:val="-7"/>
          <w:w w:val="105"/>
          <w:sz w:val="21"/>
        </w:rPr>
        <w:t> </w:t>
      </w:r>
      <w:r>
        <w:rPr>
          <w:w w:val="105"/>
          <w:sz w:val="21"/>
        </w:rPr>
        <w:t>urban</w:t>
      </w:r>
      <w:r>
        <w:rPr>
          <w:spacing w:val="-7"/>
          <w:w w:val="105"/>
          <w:sz w:val="21"/>
        </w:rPr>
        <w:t> </w:t>
      </w:r>
      <w:r>
        <w:rPr>
          <w:spacing w:val="-3"/>
          <w:w w:val="105"/>
          <w:sz w:val="21"/>
        </w:rPr>
        <w:t>spaces. </w:t>
      </w:r>
      <w:r>
        <w:rPr>
          <w:w w:val="105"/>
          <w:sz w:val="21"/>
        </w:rPr>
        <w:t>Viewing tree </w:t>
      </w:r>
      <w:r>
        <w:rPr>
          <w:spacing w:val="-3"/>
          <w:w w:val="105"/>
          <w:sz w:val="21"/>
        </w:rPr>
        <w:t>disputes </w:t>
      </w:r>
      <w:r>
        <w:rPr>
          <w:w w:val="105"/>
          <w:sz w:val="21"/>
        </w:rPr>
        <w:t>strictly as party–party </w:t>
      </w:r>
      <w:r>
        <w:rPr>
          <w:spacing w:val="-3"/>
          <w:w w:val="105"/>
          <w:sz w:val="21"/>
        </w:rPr>
        <w:t>disputes </w:t>
      </w:r>
      <w:r>
        <w:rPr>
          <w:w w:val="105"/>
          <w:sz w:val="21"/>
        </w:rPr>
        <w:t>overlooks some of the broader interests and </w:t>
      </w:r>
      <w:r>
        <w:rPr>
          <w:spacing w:val="-3"/>
          <w:w w:val="105"/>
          <w:sz w:val="21"/>
        </w:rPr>
        <w:t>considerations that </w:t>
      </w:r>
      <w:r>
        <w:rPr>
          <w:w w:val="105"/>
          <w:sz w:val="21"/>
        </w:rPr>
        <w:t>arise in our modern urban</w:t>
      </w:r>
      <w:r>
        <w:rPr>
          <w:spacing w:val="20"/>
          <w:w w:val="105"/>
          <w:sz w:val="21"/>
        </w:rPr>
        <w:t> </w:t>
      </w:r>
      <w:r>
        <w:rPr>
          <w:spacing w:val="-3"/>
          <w:w w:val="105"/>
          <w:sz w:val="21"/>
        </w:rPr>
        <w:t>spaces.</w:t>
      </w:r>
    </w:p>
    <w:p>
      <w:pPr>
        <w:pStyle w:val="ListParagraph"/>
        <w:numPr>
          <w:ilvl w:val="1"/>
          <w:numId w:val="16"/>
        </w:numPr>
        <w:tabs>
          <w:tab w:pos="2381" w:val="left" w:leader="none"/>
          <w:tab w:pos="2382" w:val="left" w:leader="none"/>
        </w:tabs>
        <w:spacing w:line="242" w:lineRule="auto" w:before="126" w:after="0"/>
        <w:ind w:left="2381" w:right="1753" w:hanging="794"/>
        <w:jc w:val="left"/>
        <w:rPr>
          <w:sz w:val="21"/>
        </w:rPr>
      </w:pPr>
      <w:r>
        <w:rPr>
          <w:spacing w:val="-2"/>
          <w:w w:val="105"/>
          <w:sz w:val="21"/>
        </w:rPr>
        <w:t>The </w:t>
      </w:r>
      <w:r>
        <w:rPr>
          <w:spacing w:val="-3"/>
          <w:w w:val="105"/>
          <w:sz w:val="21"/>
        </w:rPr>
        <w:t>new </w:t>
      </w:r>
      <w:r>
        <w:rPr>
          <w:w w:val="105"/>
          <w:sz w:val="21"/>
        </w:rPr>
        <w:t>Act </w:t>
      </w:r>
      <w:r>
        <w:rPr>
          <w:spacing w:val="-4"/>
          <w:w w:val="105"/>
          <w:sz w:val="21"/>
        </w:rPr>
        <w:t>should </w:t>
      </w:r>
      <w:r>
        <w:rPr>
          <w:spacing w:val="-3"/>
          <w:w w:val="105"/>
          <w:sz w:val="21"/>
        </w:rPr>
        <w:t>seek </w:t>
      </w:r>
      <w:r>
        <w:rPr>
          <w:spacing w:val="-4"/>
          <w:w w:val="105"/>
          <w:sz w:val="21"/>
        </w:rPr>
        <w:t>to </w:t>
      </w:r>
      <w:r>
        <w:rPr>
          <w:spacing w:val="-5"/>
          <w:w w:val="105"/>
          <w:sz w:val="21"/>
        </w:rPr>
        <w:t>balance </w:t>
      </w:r>
      <w:r>
        <w:rPr>
          <w:spacing w:val="-3"/>
          <w:w w:val="105"/>
          <w:sz w:val="21"/>
        </w:rPr>
        <w:t>the </w:t>
      </w:r>
      <w:r>
        <w:rPr>
          <w:spacing w:val="-5"/>
          <w:w w:val="105"/>
          <w:sz w:val="21"/>
        </w:rPr>
        <w:t>tension </w:t>
      </w:r>
      <w:r>
        <w:rPr>
          <w:spacing w:val="-3"/>
          <w:w w:val="105"/>
          <w:sz w:val="21"/>
        </w:rPr>
        <w:t>between property </w:t>
      </w:r>
      <w:r>
        <w:rPr>
          <w:spacing w:val="-4"/>
          <w:w w:val="105"/>
          <w:sz w:val="21"/>
        </w:rPr>
        <w:t>owners’ rights and </w:t>
      </w:r>
      <w:r>
        <w:rPr>
          <w:spacing w:val="-3"/>
          <w:w w:val="105"/>
          <w:sz w:val="21"/>
        </w:rPr>
        <w:t>the </w:t>
      </w:r>
      <w:r>
        <w:rPr>
          <w:spacing w:val="-4"/>
          <w:w w:val="105"/>
          <w:sz w:val="21"/>
        </w:rPr>
        <w:t>community</w:t>
      </w:r>
      <w:r>
        <w:rPr>
          <w:spacing w:val="-10"/>
          <w:w w:val="105"/>
          <w:sz w:val="21"/>
        </w:rPr>
        <w:t> </w:t>
      </w:r>
      <w:r>
        <w:rPr>
          <w:spacing w:val="-3"/>
          <w:w w:val="105"/>
          <w:sz w:val="21"/>
        </w:rPr>
        <w:t>benefits</w:t>
      </w:r>
      <w:r>
        <w:rPr>
          <w:spacing w:val="-10"/>
          <w:w w:val="105"/>
          <w:sz w:val="21"/>
        </w:rPr>
        <w:t> </w:t>
      </w:r>
      <w:r>
        <w:rPr>
          <w:spacing w:val="-3"/>
          <w:w w:val="105"/>
          <w:sz w:val="21"/>
        </w:rPr>
        <w:t>of</w:t>
      </w:r>
      <w:r>
        <w:rPr>
          <w:spacing w:val="-10"/>
          <w:w w:val="105"/>
          <w:sz w:val="21"/>
        </w:rPr>
        <w:t> </w:t>
      </w:r>
      <w:r>
        <w:rPr>
          <w:spacing w:val="-4"/>
          <w:w w:val="105"/>
          <w:sz w:val="21"/>
        </w:rPr>
        <w:t>living</w:t>
      </w:r>
      <w:r>
        <w:rPr>
          <w:spacing w:val="-10"/>
          <w:w w:val="105"/>
          <w:sz w:val="21"/>
        </w:rPr>
        <w:t> </w:t>
      </w:r>
      <w:r>
        <w:rPr>
          <w:spacing w:val="-3"/>
          <w:w w:val="105"/>
          <w:sz w:val="21"/>
        </w:rPr>
        <w:t>in</w:t>
      </w:r>
      <w:r>
        <w:rPr>
          <w:spacing w:val="-10"/>
          <w:w w:val="105"/>
          <w:sz w:val="21"/>
        </w:rPr>
        <w:t> </w:t>
      </w:r>
      <w:r>
        <w:rPr>
          <w:w w:val="105"/>
          <w:sz w:val="21"/>
        </w:rPr>
        <w:t>a</w:t>
      </w:r>
      <w:r>
        <w:rPr>
          <w:spacing w:val="-9"/>
          <w:w w:val="105"/>
          <w:sz w:val="21"/>
        </w:rPr>
        <w:t> </w:t>
      </w:r>
      <w:r>
        <w:rPr>
          <w:spacing w:val="-3"/>
          <w:w w:val="105"/>
          <w:sz w:val="21"/>
        </w:rPr>
        <w:t>leafy</w:t>
      </w:r>
      <w:r>
        <w:rPr>
          <w:spacing w:val="-10"/>
          <w:w w:val="105"/>
          <w:sz w:val="21"/>
        </w:rPr>
        <w:t> </w:t>
      </w:r>
      <w:r>
        <w:rPr>
          <w:spacing w:val="-5"/>
          <w:w w:val="105"/>
          <w:sz w:val="21"/>
        </w:rPr>
        <w:t>environment.</w:t>
      </w:r>
      <w:r>
        <w:rPr>
          <w:spacing w:val="-10"/>
          <w:w w:val="105"/>
          <w:sz w:val="21"/>
        </w:rPr>
        <w:t> </w:t>
      </w:r>
      <w:r>
        <w:rPr>
          <w:spacing w:val="-4"/>
          <w:w w:val="105"/>
          <w:sz w:val="21"/>
        </w:rPr>
        <w:t>Broader</w:t>
      </w:r>
      <w:r>
        <w:rPr>
          <w:spacing w:val="-10"/>
          <w:w w:val="105"/>
          <w:sz w:val="21"/>
        </w:rPr>
        <w:t> </w:t>
      </w:r>
      <w:r>
        <w:rPr>
          <w:spacing w:val="-5"/>
          <w:w w:val="105"/>
          <w:sz w:val="21"/>
        </w:rPr>
        <w:t>environmental</w:t>
      </w:r>
      <w:r>
        <w:rPr>
          <w:spacing w:val="-10"/>
          <w:w w:val="105"/>
          <w:sz w:val="21"/>
        </w:rPr>
        <w:t> </w:t>
      </w:r>
      <w:r>
        <w:rPr>
          <w:spacing w:val="-5"/>
          <w:w w:val="105"/>
          <w:sz w:val="21"/>
        </w:rPr>
        <w:t>considerations </w:t>
      </w:r>
      <w:r>
        <w:rPr>
          <w:spacing w:val="-4"/>
          <w:w w:val="105"/>
          <w:sz w:val="21"/>
        </w:rPr>
        <w:t>often underpin decision-making guidelines </w:t>
      </w:r>
      <w:r>
        <w:rPr>
          <w:spacing w:val="-3"/>
          <w:w w:val="105"/>
          <w:sz w:val="21"/>
        </w:rPr>
        <w:t>in </w:t>
      </w:r>
      <w:r>
        <w:rPr>
          <w:spacing w:val="-5"/>
          <w:w w:val="105"/>
          <w:sz w:val="21"/>
        </w:rPr>
        <w:t>planning </w:t>
      </w:r>
      <w:r>
        <w:rPr>
          <w:spacing w:val="-4"/>
          <w:w w:val="105"/>
          <w:sz w:val="21"/>
        </w:rPr>
        <w:t>schemes and </w:t>
      </w:r>
      <w:r>
        <w:rPr>
          <w:spacing w:val="-3"/>
          <w:w w:val="105"/>
          <w:sz w:val="21"/>
        </w:rPr>
        <w:t>local </w:t>
      </w:r>
      <w:r>
        <w:rPr>
          <w:spacing w:val="-4"/>
          <w:w w:val="105"/>
          <w:sz w:val="21"/>
        </w:rPr>
        <w:t>laws. </w:t>
      </w:r>
      <w:r>
        <w:rPr>
          <w:spacing w:val="-2"/>
          <w:w w:val="105"/>
          <w:sz w:val="21"/>
        </w:rPr>
        <w:t>The </w:t>
      </w:r>
      <w:r>
        <w:rPr>
          <w:spacing w:val="-5"/>
          <w:w w:val="105"/>
          <w:sz w:val="21"/>
        </w:rPr>
        <w:t>Commission </w:t>
      </w:r>
      <w:r>
        <w:rPr>
          <w:spacing w:val="-3"/>
          <w:w w:val="105"/>
          <w:sz w:val="21"/>
        </w:rPr>
        <w:t>supports the </w:t>
      </w:r>
      <w:r>
        <w:rPr>
          <w:spacing w:val="-4"/>
          <w:w w:val="105"/>
          <w:sz w:val="21"/>
        </w:rPr>
        <w:t>decision-making principles </w:t>
      </w:r>
      <w:r>
        <w:rPr>
          <w:spacing w:val="-3"/>
          <w:w w:val="105"/>
          <w:sz w:val="21"/>
        </w:rPr>
        <w:t>in </w:t>
      </w:r>
      <w:r>
        <w:rPr>
          <w:spacing w:val="-4"/>
          <w:w w:val="105"/>
          <w:sz w:val="21"/>
        </w:rPr>
        <w:t>interstate </w:t>
      </w:r>
      <w:r>
        <w:rPr>
          <w:spacing w:val="-5"/>
          <w:w w:val="105"/>
          <w:sz w:val="21"/>
        </w:rPr>
        <w:t>legislation </w:t>
      </w:r>
      <w:r>
        <w:rPr>
          <w:spacing w:val="-4"/>
          <w:w w:val="105"/>
          <w:sz w:val="21"/>
        </w:rPr>
        <w:t>that aim to consider </w:t>
      </w:r>
      <w:r>
        <w:rPr>
          <w:spacing w:val="-3"/>
          <w:w w:val="105"/>
          <w:sz w:val="21"/>
        </w:rPr>
        <w:t>the </w:t>
      </w:r>
      <w:r>
        <w:rPr>
          <w:spacing w:val="-5"/>
          <w:w w:val="105"/>
          <w:sz w:val="21"/>
        </w:rPr>
        <w:t>amenity, </w:t>
      </w:r>
      <w:r>
        <w:rPr>
          <w:spacing w:val="-4"/>
          <w:w w:val="105"/>
          <w:sz w:val="21"/>
        </w:rPr>
        <w:t>scientific, social, </w:t>
      </w:r>
      <w:r>
        <w:rPr>
          <w:spacing w:val="-5"/>
          <w:w w:val="105"/>
          <w:sz w:val="21"/>
        </w:rPr>
        <w:t>cultural, </w:t>
      </w:r>
      <w:r>
        <w:rPr>
          <w:spacing w:val="-4"/>
          <w:w w:val="105"/>
          <w:sz w:val="21"/>
        </w:rPr>
        <w:t>historic and </w:t>
      </w:r>
      <w:r>
        <w:rPr>
          <w:spacing w:val="-5"/>
          <w:w w:val="105"/>
          <w:sz w:val="21"/>
        </w:rPr>
        <w:t>environmental contributions </w:t>
      </w:r>
      <w:r>
        <w:rPr>
          <w:spacing w:val="-3"/>
          <w:w w:val="105"/>
          <w:sz w:val="21"/>
        </w:rPr>
        <w:t>of the </w:t>
      </w:r>
      <w:r>
        <w:rPr>
          <w:spacing w:val="-5"/>
          <w:w w:val="105"/>
          <w:sz w:val="21"/>
        </w:rPr>
        <w:t>tree. </w:t>
      </w:r>
      <w:r>
        <w:rPr>
          <w:spacing w:val="-2"/>
          <w:w w:val="105"/>
          <w:sz w:val="21"/>
        </w:rPr>
        <w:t>The </w:t>
      </w:r>
      <w:r>
        <w:rPr>
          <w:spacing w:val="-4"/>
          <w:w w:val="105"/>
          <w:sz w:val="21"/>
        </w:rPr>
        <w:t>importance </w:t>
      </w:r>
      <w:r>
        <w:rPr>
          <w:spacing w:val="-3"/>
          <w:w w:val="105"/>
          <w:sz w:val="21"/>
        </w:rPr>
        <w:t>of the </w:t>
      </w:r>
      <w:r>
        <w:rPr>
          <w:spacing w:val="-4"/>
          <w:w w:val="105"/>
          <w:sz w:val="21"/>
        </w:rPr>
        <w:t>tree for soil stability should also </w:t>
      </w:r>
      <w:r>
        <w:rPr>
          <w:w w:val="105"/>
          <w:sz w:val="21"/>
        </w:rPr>
        <w:t>be</w:t>
      </w:r>
      <w:r>
        <w:rPr>
          <w:spacing w:val="19"/>
          <w:w w:val="105"/>
          <w:sz w:val="21"/>
        </w:rPr>
        <w:t> </w:t>
      </w:r>
      <w:r>
        <w:rPr>
          <w:spacing w:val="-5"/>
          <w:w w:val="105"/>
          <w:sz w:val="21"/>
        </w:rPr>
        <w:t>considered.</w:t>
      </w:r>
      <w:r>
        <w:rPr>
          <w:spacing w:val="-5"/>
          <w:w w:val="105"/>
          <w:position w:val="7"/>
          <w:sz w:val="12"/>
        </w:rPr>
        <w:t>90</w:t>
      </w:r>
    </w:p>
    <w:p>
      <w:pPr>
        <w:pStyle w:val="BodyText"/>
        <w:spacing w:before="7"/>
        <w:rPr>
          <w:sz w:val="9"/>
        </w:rPr>
      </w:pPr>
      <w:r>
        <w:rPr/>
        <w:pict>
          <v:line style="position:absolute;mso-position-horizontal-relative:page;mso-position-vertical-relative:paragraph;z-index:7808;mso-wrap-distance-left:0;mso-wrap-distance-right:0" from="79.370102pt,8.294842pt" to="515.905102pt,8.294842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29"/>
        </w:numPr>
        <w:tabs>
          <w:tab w:pos="2381" w:val="left" w:leader="none"/>
          <w:tab w:pos="2382" w:val="left" w:leader="none"/>
        </w:tabs>
        <w:spacing w:line="240" w:lineRule="auto" w:before="48" w:after="0"/>
        <w:ind w:left="2381" w:right="67" w:hanging="794"/>
        <w:jc w:val="left"/>
        <w:rPr>
          <w:sz w:val="13"/>
        </w:rPr>
      </w:pPr>
      <w:r>
        <w:rPr>
          <w:w w:val="105"/>
          <w:sz w:val="13"/>
        </w:rPr>
        <w:t>Other </w:t>
      </w:r>
      <w:r>
        <w:rPr>
          <w:spacing w:val="2"/>
          <w:w w:val="105"/>
          <w:sz w:val="13"/>
        </w:rPr>
        <w:t>Acts </w:t>
      </w:r>
      <w:r>
        <w:rPr>
          <w:w w:val="105"/>
          <w:sz w:val="13"/>
        </w:rPr>
        <w:t>also relate to the management of vegetation for fire prevention; to minimise interference with powerlines and to protect public health</w:t>
      </w:r>
      <w:r>
        <w:rPr>
          <w:spacing w:val="4"/>
          <w:w w:val="105"/>
          <w:sz w:val="13"/>
        </w:rPr>
        <w:t> </w:t>
      </w:r>
      <w:r>
        <w:rPr>
          <w:w w:val="105"/>
          <w:sz w:val="13"/>
        </w:rPr>
        <w:t>and</w:t>
      </w:r>
      <w:r>
        <w:rPr>
          <w:spacing w:val="5"/>
          <w:w w:val="105"/>
          <w:sz w:val="13"/>
        </w:rPr>
        <w:t> </w:t>
      </w:r>
      <w:r>
        <w:rPr>
          <w:w w:val="105"/>
          <w:sz w:val="13"/>
        </w:rPr>
        <w:t>wellbeing</w:t>
      </w:r>
      <w:r>
        <w:rPr>
          <w:spacing w:val="5"/>
          <w:w w:val="105"/>
          <w:sz w:val="13"/>
        </w:rPr>
        <w:t> </w:t>
      </w:r>
      <w:r>
        <w:rPr>
          <w:w w:val="105"/>
          <w:sz w:val="13"/>
        </w:rPr>
        <w:t>and</w:t>
      </w:r>
      <w:r>
        <w:rPr>
          <w:spacing w:val="5"/>
          <w:w w:val="105"/>
          <w:sz w:val="13"/>
        </w:rPr>
        <w:t> </w:t>
      </w:r>
      <w:r>
        <w:rPr>
          <w:w w:val="105"/>
          <w:sz w:val="13"/>
        </w:rPr>
        <w:t>the</w:t>
      </w:r>
      <w:r>
        <w:rPr>
          <w:spacing w:val="5"/>
          <w:w w:val="105"/>
          <w:sz w:val="13"/>
        </w:rPr>
        <w:t> </w:t>
      </w:r>
      <w:r>
        <w:rPr>
          <w:w w:val="105"/>
          <w:sz w:val="13"/>
        </w:rPr>
        <w:t>environment.</w:t>
      </w:r>
      <w:r>
        <w:rPr>
          <w:spacing w:val="5"/>
          <w:w w:val="105"/>
          <w:sz w:val="13"/>
        </w:rPr>
        <w:t> </w:t>
      </w:r>
      <w:r>
        <w:rPr>
          <w:w w:val="105"/>
          <w:sz w:val="13"/>
        </w:rPr>
        <w:t>These</w:t>
      </w:r>
      <w:r>
        <w:rPr>
          <w:spacing w:val="5"/>
          <w:w w:val="105"/>
          <w:sz w:val="13"/>
        </w:rPr>
        <w:t> </w:t>
      </w:r>
      <w:r>
        <w:rPr>
          <w:spacing w:val="2"/>
          <w:w w:val="105"/>
          <w:sz w:val="13"/>
        </w:rPr>
        <w:t>Acts</w:t>
      </w:r>
      <w:r>
        <w:rPr>
          <w:spacing w:val="5"/>
          <w:w w:val="105"/>
          <w:sz w:val="13"/>
        </w:rPr>
        <w:t> </w:t>
      </w:r>
      <w:r>
        <w:rPr>
          <w:w w:val="105"/>
          <w:sz w:val="13"/>
        </w:rPr>
        <w:t>are</w:t>
      </w:r>
      <w:r>
        <w:rPr>
          <w:spacing w:val="5"/>
          <w:w w:val="105"/>
          <w:sz w:val="13"/>
        </w:rPr>
        <w:t> </w:t>
      </w:r>
      <w:r>
        <w:rPr>
          <w:w w:val="105"/>
          <w:sz w:val="13"/>
        </w:rPr>
        <w:t>less</w:t>
      </w:r>
      <w:r>
        <w:rPr>
          <w:spacing w:val="4"/>
          <w:w w:val="105"/>
          <w:sz w:val="13"/>
        </w:rPr>
        <w:t> </w:t>
      </w:r>
      <w:r>
        <w:rPr>
          <w:w w:val="105"/>
          <w:sz w:val="13"/>
        </w:rPr>
        <w:t>likely</w:t>
      </w:r>
      <w:r>
        <w:rPr>
          <w:spacing w:val="5"/>
          <w:w w:val="105"/>
          <w:sz w:val="13"/>
        </w:rPr>
        <w:t> </w:t>
      </w:r>
      <w:r>
        <w:rPr>
          <w:w w:val="105"/>
          <w:sz w:val="13"/>
        </w:rPr>
        <w:t>to</w:t>
      </w:r>
      <w:r>
        <w:rPr>
          <w:spacing w:val="5"/>
          <w:w w:val="105"/>
          <w:sz w:val="13"/>
        </w:rPr>
        <w:t> </w:t>
      </w:r>
      <w:r>
        <w:rPr>
          <w:w w:val="105"/>
          <w:sz w:val="13"/>
        </w:rPr>
        <w:t>impact</w:t>
      </w:r>
      <w:r>
        <w:rPr>
          <w:spacing w:val="5"/>
          <w:w w:val="105"/>
          <w:sz w:val="13"/>
        </w:rPr>
        <w:t> </w:t>
      </w:r>
      <w:r>
        <w:rPr>
          <w:w w:val="105"/>
          <w:sz w:val="13"/>
        </w:rPr>
        <w:t>the</w:t>
      </w:r>
      <w:r>
        <w:rPr>
          <w:spacing w:val="5"/>
          <w:w w:val="105"/>
          <w:sz w:val="13"/>
        </w:rPr>
        <w:t> </w:t>
      </w:r>
      <w:r>
        <w:rPr>
          <w:w w:val="105"/>
          <w:sz w:val="13"/>
        </w:rPr>
        <w:t>new</w:t>
      </w:r>
      <w:r>
        <w:rPr>
          <w:spacing w:val="5"/>
          <w:w w:val="105"/>
          <w:sz w:val="13"/>
        </w:rPr>
        <w:t> </w:t>
      </w:r>
      <w:r>
        <w:rPr>
          <w:w w:val="105"/>
          <w:sz w:val="13"/>
        </w:rPr>
        <w:t>Act.</w:t>
      </w:r>
      <w:r>
        <w:rPr>
          <w:spacing w:val="5"/>
          <w:w w:val="105"/>
          <w:sz w:val="13"/>
        </w:rPr>
        <w:t> </w:t>
      </w:r>
      <w:r>
        <w:rPr>
          <w:w w:val="105"/>
          <w:sz w:val="13"/>
        </w:rPr>
        <w:t>See</w:t>
      </w:r>
      <w:r>
        <w:rPr>
          <w:spacing w:val="5"/>
          <w:w w:val="105"/>
          <w:sz w:val="13"/>
        </w:rPr>
        <w:t> </w:t>
      </w:r>
      <w:r>
        <w:rPr>
          <w:w w:val="105"/>
          <w:sz w:val="13"/>
        </w:rPr>
        <w:t>Ch</w:t>
      </w:r>
      <w:r>
        <w:rPr>
          <w:spacing w:val="5"/>
          <w:w w:val="105"/>
          <w:sz w:val="13"/>
        </w:rPr>
        <w:t> </w:t>
      </w:r>
      <w:r>
        <w:rPr>
          <w:w w:val="105"/>
          <w:sz w:val="13"/>
        </w:rPr>
        <w:t>10.</w:t>
      </w:r>
    </w:p>
    <w:p>
      <w:pPr>
        <w:pStyle w:val="ListParagraph"/>
        <w:numPr>
          <w:ilvl w:val="0"/>
          <w:numId w:val="129"/>
        </w:numPr>
        <w:tabs>
          <w:tab w:pos="2381" w:val="left" w:leader="none"/>
          <w:tab w:pos="2382" w:val="left" w:leader="none"/>
        </w:tabs>
        <w:spacing w:line="240" w:lineRule="auto" w:before="3" w:after="0"/>
        <w:ind w:left="2381" w:right="0" w:hanging="794"/>
        <w:jc w:val="left"/>
        <w:rPr>
          <w:sz w:val="13"/>
        </w:rPr>
      </w:pPr>
      <w:r>
        <w:rPr>
          <w:w w:val="105"/>
          <w:sz w:val="13"/>
        </w:rPr>
        <w:t>See, eg, </w:t>
      </w:r>
      <w:r>
        <w:rPr>
          <w:i/>
          <w:w w:val="105"/>
          <w:sz w:val="13"/>
        </w:rPr>
        <w:t>Lee v Waugh </w:t>
      </w:r>
      <w:r>
        <w:rPr>
          <w:w w:val="105"/>
          <w:sz w:val="13"/>
        </w:rPr>
        <w:t>[2012] NSWLEC </w:t>
      </w:r>
      <w:r>
        <w:rPr>
          <w:spacing w:val="-3"/>
          <w:w w:val="105"/>
          <w:sz w:val="13"/>
        </w:rPr>
        <w:t>1341. </w:t>
      </w:r>
      <w:r>
        <w:rPr>
          <w:w w:val="105"/>
          <w:sz w:val="13"/>
        </w:rPr>
        <w:t>In this case the tree owner contended that the tree was ‘important as a means of retaining the sandy soil in the sloping backyard. The Court took this into account by ordering that steps be taken to stabilise the soil in removing the tree. This</w:t>
      </w:r>
      <w:r>
        <w:rPr>
          <w:spacing w:val="4"/>
          <w:w w:val="105"/>
          <w:sz w:val="13"/>
        </w:rPr>
        <w:t> </w:t>
      </w:r>
      <w:r>
        <w:rPr>
          <w:w w:val="105"/>
          <w:sz w:val="13"/>
        </w:rPr>
        <w:t>was</w:t>
      </w:r>
      <w:r>
        <w:rPr>
          <w:spacing w:val="5"/>
          <w:w w:val="105"/>
          <w:sz w:val="13"/>
        </w:rPr>
        <w:t> </w:t>
      </w:r>
      <w:r>
        <w:rPr>
          <w:w w:val="105"/>
          <w:sz w:val="13"/>
        </w:rPr>
        <w:t>by</w:t>
      </w:r>
      <w:r>
        <w:rPr>
          <w:spacing w:val="4"/>
          <w:w w:val="105"/>
          <w:sz w:val="13"/>
        </w:rPr>
        <w:t> </w:t>
      </w:r>
      <w:r>
        <w:rPr>
          <w:w w:val="105"/>
          <w:sz w:val="13"/>
        </w:rPr>
        <w:t>way</w:t>
      </w:r>
      <w:r>
        <w:rPr>
          <w:spacing w:val="5"/>
          <w:w w:val="105"/>
          <w:sz w:val="13"/>
        </w:rPr>
        <w:t> </w:t>
      </w:r>
      <w:r>
        <w:rPr>
          <w:w w:val="105"/>
          <w:sz w:val="13"/>
        </w:rPr>
        <w:t>of</w:t>
      </w:r>
      <w:r>
        <w:rPr>
          <w:spacing w:val="5"/>
          <w:w w:val="105"/>
          <w:sz w:val="13"/>
        </w:rPr>
        <w:t> </w:t>
      </w:r>
      <w:r>
        <w:rPr>
          <w:w w:val="105"/>
          <w:sz w:val="13"/>
        </w:rPr>
        <w:t>reducing</w:t>
      </w:r>
      <w:r>
        <w:rPr>
          <w:spacing w:val="4"/>
          <w:w w:val="105"/>
          <w:sz w:val="13"/>
        </w:rPr>
        <w:t> </w:t>
      </w:r>
      <w:r>
        <w:rPr>
          <w:w w:val="105"/>
          <w:sz w:val="13"/>
        </w:rPr>
        <w:t>the</w:t>
      </w:r>
      <w:r>
        <w:rPr>
          <w:spacing w:val="5"/>
          <w:w w:val="105"/>
          <w:sz w:val="13"/>
        </w:rPr>
        <w:t> </w:t>
      </w:r>
      <w:r>
        <w:rPr>
          <w:w w:val="105"/>
          <w:sz w:val="13"/>
        </w:rPr>
        <w:t>tree</w:t>
      </w:r>
      <w:r>
        <w:rPr>
          <w:spacing w:val="5"/>
          <w:w w:val="105"/>
          <w:sz w:val="13"/>
        </w:rPr>
        <w:t> </w:t>
      </w:r>
      <w:r>
        <w:rPr>
          <w:w w:val="105"/>
          <w:sz w:val="13"/>
        </w:rPr>
        <w:t>to</w:t>
      </w:r>
      <w:r>
        <w:rPr>
          <w:spacing w:val="4"/>
          <w:w w:val="105"/>
          <w:sz w:val="13"/>
        </w:rPr>
        <w:t> </w:t>
      </w:r>
      <w:r>
        <w:rPr>
          <w:w w:val="105"/>
          <w:sz w:val="13"/>
        </w:rPr>
        <w:t>a</w:t>
      </w:r>
      <w:r>
        <w:rPr>
          <w:spacing w:val="5"/>
          <w:w w:val="105"/>
          <w:sz w:val="13"/>
        </w:rPr>
        <w:t> </w:t>
      </w:r>
      <w:r>
        <w:rPr>
          <w:w w:val="105"/>
          <w:sz w:val="13"/>
        </w:rPr>
        <w:t>stump</w:t>
      </w:r>
      <w:r>
        <w:rPr>
          <w:spacing w:val="5"/>
          <w:w w:val="105"/>
          <w:sz w:val="13"/>
        </w:rPr>
        <w:t> </w:t>
      </w:r>
      <w:r>
        <w:rPr>
          <w:w w:val="105"/>
          <w:sz w:val="13"/>
        </w:rPr>
        <w:t>of</w:t>
      </w:r>
      <w:r>
        <w:rPr>
          <w:spacing w:val="4"/>
          <w:w w:val="105"/>
          <w:sz w:val="13"/>
        </w:rPr>
        <w:t> </w:t>
      </w:r>
      <w:r>
        <w:rPr>
          <w:spacing w:val="-3"/>
          <w:w w:val="105"/>
          <w:sz w:val="13"/>
        </w:rPr>
        <w:t>1m</w:t>
      </w:r>
      <w:r>
        <w:rPr>
          <w:spacing w:val="5"/>
          <w:w w:val="105"/>
          <w:sz w:val="13"/>
        </w:rPr>
        <w:t> </w:t>
      </w:r>
      <w:r>
        <w:rPr>
          <w:w w:val="105"/>
          <w:sz w:val="13"/>
        </w:rPr>
        <w:t>high:</w:t>
      </w:r>
      <w:r>
        <w:rPr>
          <w:spacing w:val="5"/>
          <w:w w:val="105"/>
          <w:sz w:val="13"/>
        </w:rPr>
        <w:t> </w:t>
      </w:r>
      <w:r>
        <w:rPr>
          <w:spacing w:val="2"/>
          <w:w w:val="105"/>
          <w:sz w:val="13"/>
        </w:rPr>
        <w:t>[25],[36]</w:t>
      </w:r>
    </w:p>
    <w:p>
      <w:pPr>
        <w:pStyle w:val="BodyText"/>
        <w:rPr>
          <w:sz w:val="28"/>
        </w:rPr>
      </w:pPr>
      <w:r>
        <w:rPr/>
        <w:br w:type="column"/>
      </w:r>
      <w:r>
        <w:rPr>
          <w:sz w:val="28"/>
        </w:rPr>
      </w:r>
    </w:p>
    <w:p>
      <w:pPr>
        <w:spacing w:before="241"/>
        <w:ind w:left="549" w:right="573" w:firstLine="0"/>
        <w:jc w:val="center"/>
        <w:rPr>
          <w:b/>
          <w:sz w:val="24"/>
        </w:rPr>
      </w:pPr>
      <w:r>
        <w:rPr>
          <w:b/>
          <w:color w:val="658464"/>
          <w:w w:val="110"/>
          <w:sz w:val="24"/>
        </w:rPr>
        <w:t>173</w:t>
      </w:r>
    </w:p>
    <w:p>
      <w:pPr>
        <w:spacing w:after="0"/>
        <w:jc w:val="center"/>
        <w:rPr>
          <w:sz w:val="24"/>
        </w:rPr>
        <w:sectPr>
          <w:type w:val="continuous"/>
          <w:pgSz w:w="11910" w:h="16840"/>
          <w:pgMar w:top="300" w:bottom="280" w:left="0" w:right="0"/>
          <w:cols w:num="2" w:equalWidth="0">
            <w:col w:w="10305" w:space="40"/>
            <w:col w:w="1565"/>
          </w:cols>
        </w:sectPr>
      </w:pPr>
    </w:p>
    <w:p>
      <w:pPr>
        <w:pStyle w:val="BodyText"/>
        <w:spacing w:before="9"/>
        <w:rPr>
          <w:b/>
          <w:sz w:val="22"/>
        </w:rPr>
      </w:pPr>
    </w:p>
    <w:p>
      <w:pPr>
        <w:pStyle w:val="ListParagraph"/>
        <w:numPr>
          <w:ilvl w:val="1"/>
          <w:numId w:val="16"/>
        </w:numPr>
        <w:tabs>
          <w:tab w:pos="2380" w:val="left" w:leader="none"/>
          <w:tab w:pos="2381" w:val="left" w:leader="none"/>
        </w:tabs>
        <w:spacing w:line="242" w:lineRule="auto" w:before="92" w:after="0"/>
        <w:ind w:left="2381" w:right="1686" w:hanging="794"/>
        <w:jc w:val="left"/>
        <w:rPr>
          <w:sz w:val="21"/>
        </w:rPr>
      </w:pPr>
      <w:bookmarkStart w:name="_bookmark92" w:id="197"/>
      <w:bookmarkEnd w:id="197"/>
      <w:r>
        <w:rPr/>
      </w:r>
      <w:bookmarkStart w:name="_bookmark92" w:id="198"/>
      <w:bookmarkEnd w:id="198"/>
      <w:r>
        <w:rPr>
          <w:w w:val="105"/>
          <w:sz w:val="21"/>
        </w:rPr>
        <w:t>I</w:t>
      </w:r>
      <w:r>
        <w:rPr>
          <w:w w:val="105"/>
          <w:sz w:val="21"/>
        </w:rPr>
        <w:t>n </w:t>
      </w:r>
      <w:r>
        <w:rPr>
          <w:spacing w:val="-3"/>
          <w:w w:val="105"/>
          <w:sz w:val="21"/>
        </w:rPr>
        <w:t>addition, </w:t>
      </w:r>
      <w:r>
        <w:rPr>
          <w:w w:val="105"/>
          <w:sz w:val="21"/>
        </w:rPr>
        <w:t>the decision </w:t>
      </w:r>
      <w:r>
        <w:rPr>
          <w:spacing w:val="-4"/>
          <w:w w:val="105"/>
          <w:sz w:val="21"/>
        </w:rPr>
        <w:t>maker </w:t>
      </w:r>
      <w:r>
        <w:rPr>
          <w:w w:val="105"/>
          <w:sz w:val="21"/>
        </w:rPr>
        <w:t>should </w:t>
      </w:r>
      <w:r>
        <w:rPr>
          <w:spacing w:val="-3"/>
          <w:w w:val="105"/>
          <w:sz w:val="21"/>
        </w:rPr>
        <w:t>have regard to </w:t>
      </w:r>
      <w:r>
        <w:rPr>
          <w:w w:val="105"/>
          <w:sz w:val="21"/>
        </w:rPr>
        <w:t>whether the tree is </w:t>
      </w:r>
      <w:r>
        <w:rPr>
          <w:spacing w:val="-2"/>
          <w:w w:val="105"/>
          <w:sz w:val="21"/>
        </w:rPr>
        <w:t>listed </w:t>
      </w:r>
      <w:r>
        <w:rPr>
          <w:w w:val="105"/>
          <w:sz w:val="21"/>
        </w:rPr>
        <w:t>on the Victorian Heritage Register under the </w:t>
      </w:r>
      <w:r>
        <w:rPr>
          <w:i/>
          <w:w w:val="105"/>
          <w:sz w:val="21"/>
        </w:rPr>
        <w:t>Heritage Act </w:t>
      </w:r>
      <w:r>
        <w:rPr>
          <w:i/>
          <w:spacing w:val="-10"/>
          <w:w w:val="105"/>
          <w:sz w:val="21"/>
        </w:rPr>
        <w:t>2017 </w:t>
      </w:r>
      <w:r>
        <w:rPr>
          <w:w w:val="105"/>
          <w:sz w:val="21"/>
        </w:rPr>
        <w:t>(Vic) or whether the tree is an </w:t>
      </w:r>
      <w:r>
        <w:rPr>
          <w:spacing w:val="-3"/>
          <w:w w:val="105"/>
          <w:sz w:val="21"/>
        </w:rPr>
        <w:t>Aboriginal</w:t>
      </w:r>
      <w:r>
        <w:rPr>
          <w:spacing w:val="-8"/>
          <w:w w:val="105"/>
          <w:sz w:val="21"/>
        </w:rPr>
        <w:t> </w:t>
      </w:r>
      <w:r>
        <w:rPr>
          <w:w w:val="105"/>
          <w:sz w:val="21"/>
        </w:rPr>
        <w:t>scarred</w:t>
      </w:r>
      <w:r>
        <w:rPr>
          <w:spacing w:val="-8"/>
          <w:w w:val="105"/>
          <w:sz w:val="21"/>
        </w:rPr>
        <w:t> </w:t>
      </w:r>
      <w:r>
        <w:rPr>
          <w:w w:val="105"/>
          <w:sz w:val="21"/>
        </w:rPr>
        <w:t>tree</w:t>
      </w:r>
      <w:r>
        <w:rPr>
          <w:spacing w:val="-7"/>
          <w:w w:val="105"/>
          <w:sz w:val="21"/>
        </w:rPr>
        <w:t> </w:t>
      </w:r>
      <w:r>
        <w:rPr>
          <w:w w:val="105"/>
          <w:sz w:val="21"/>
        </w:rPr>
        <w:t>or</w:t>
      </w:r>
      <w:r>
        <w:rPr>
          <w:spacing w:val="-8"/>
          <w:w w:val="105"/>
          <w:sz w:val="21"/>
        </w:rPr>
        <w:t> </w:t>
      </w:r>
      <w:r>
        <w:rPr>
          <w:w w:val="105"/>
          <w:sz w:val="21"/>
        </w:rPr>
        <w:t>other</w:t>
      </w:r>
      <w:r>
        <w:rPr>
          <w:spacing w:val="-8"/>
          <w:w w:val="105"/>
          <w:sz w:val="21"/>
        </w:rPr>
        <w:t> </w:t>
      </w:r>
      <w:r>
        <w:rPr>
          <w:w w:val="105"/>
          <w:sz w:val="21"/>
        </w:rPr>
        <w:t>tree</w:t>
      </w:r>
      <w:r>
        <w:rPr>
          <w:spacing w:val="-7"/>
          <w:w w:val="105"/>
          <w:sz w:val="21"/>
        </w:rPr>
        <w:t> </w:t>
      </w:r>
      <w:r>
        <w:rPr>
          <w:w w:val="105"/>
          <w:sz w:val="21"/>
        </w:rPr>
        <w:t>of</w:t>
      </w:r>
      <w:r>
        <w:rPr>
          <w:spacing w:val="-8"/>
          <w:w w:val="105"/>
          <w:sz w:val="21"/>
        </w:rPr>
        <w:t> </w:t>
      </w:r>
      <w:r>
        <w:rPr>
          <w:spacing w:val="-3"/>
          <w:w w:val="105"/>
          <w:sz w:val="21"/>
        </w:rPr>
        <w:t>Aboriginal</w:t>
      </w:r>
      <w:r>
        <w:rPr>
          <w:spacing w:val="-8"/>
          <w:w w:val="105"/>
          <w:sz w:val="21"/>
        </w:rPr>
        <w:t> </w:t>
      </w:r>
      <w:r>
        <w:rPr>
          <w:spacing w:val="-3"/>
          <w:w w:val="105"/>
          <w:sz w:val="21"/>
        </w:rPr>
        <w:t>cultural</w:t>
      </w:r>
      <w:r>
        <w:rPr>
          <w:spacing w:val="-7"/>
          <w:w w:val="105"/>
          <w:sz w:val="21"/>
        </w:rPr>
        <w:t> </w:t>
      </w:r>
      <w:r>
        <w:rPr>
          <w:w w:val="105"/>
          <w:sz w:val="21"/>
        </w:rPr>
        <w:t>heritage</w:t>
      </w:r>
      <w:r>
        <w:rPr>
          <w:spacing w:val="-8"/>
          <w:w w:val="105"/>
          <w:sz w:val="21"/>
        </w:rPr>
        <w:t> </w:t>
      </w:r>
      <w:r>
        <w:rPr>
          <w:spacing w:val="-3"/>
          <w:w w:val="105"/>
          <w:sz w:val="21"/>
        </w:rPr>
        <w:t>significance</w:t>
      </w:r>
      <w:r>
        <w:rPr>
          <w:spacing w:val="-8"/>
          <w:w w:val="105"/>
          <w:sz w:val="21"/>
        </w:rPr>
        <w:t> </w:t>
      </w:r>
      <w:r>
        <w:rPr>
          <w:w w:val="105"/>
          <w:sz w:val="21"/>
        </w:rPr>
        <w:t>protected under the </w:t>
      </w:r>
      <w:r>
        <w:rPr>
          <w:i/>
          <w:w w:val="105"/>
          <w:sz w:val="21"/>
        </w:rPr>
        <w:t>Aboriginal Heritage Act 2006 </w:t>
      </w:r>
      <w:r>
        <w:rPr>
          <w:w w:val="105"/>
          <w:sz w:val="21"/>
        </w:rPr>
        <w:t>(Vic). This approach </w:t>
      </w:r>
      <w:r>
        <w:rPr>
          <w:spacing w:val="-3"/>
          <w:w w:val="105"/>
          <w:sz w:val="21"/>
        </w:rPr>
        <w:t>will ensure that </w:t>
      </w:r>
      <w:r>
        <w:rPr>
          <w:w w:val="105"/>
          <w:sz w:val="21"/>
        </w:rPr>
        <w:t>the new Act either does </w:t>
      </w:r>
      <w:r>
        <w:rPr>
          <w:spacing w:val="-2"/>
          <w:w w:val="105"/>
          <w:sz w:val="21"/>
        </w:rPr>
        <w:t>not </w:t>
      </w:r>
      <w:r>
        <w:rPr>
          <w:spacing w:val="-3"/>
          <w:w w:val="105"/>
          <w:sz w:val="21"/>
        </w:rPr>
        <w:t>interfere </w:t>
      </w:r>
      <w:r>
        <w:rPr>
          <w:w w:val="105"/>
          <w:sz w:val="21"/>
        </w:rPr>
        <w:t>with the existing Acts in </w:t>
      </w:r>
      <w:r>
        <w:rPr>
          <w:spacing w:val="-3"/>
          <w:w w:val="105"/>
          <w:sz w:val="21"/>
        </w:rPr>
        <w:t>place to </w:t>
      </w:r>
      <w:r>
        <w:rPr>
          <w:w w:val="105"/>
          <w:sz w:val="21"/>
        </w:rPr>
        <w:t>protect trees of heritage </w:t>
      </w:r>
      <w:r>
        <w:rPr>
          <w:spacing w:val="-3"/>
          <w:w w:val="105"/>
          <w:sz w:val="21"/>
        </w:rPr>
        <w:t>value </w:t>
      </w:r>
      <w:r>
        <w:rPr>
          <w:w w:val="105"/>
          <w:sz w:val="21"/>
        </w:rPr>
        <w:t>or only does so in an </w:t>
      </w:r>
      <w:r>
        <w:rPr>
          <w:spacing w:val="-3"/>
          <w:w w:val="105"/>
          <w:sz w:val="21"/>
        </w:rPr>
        <w:t>emergency, </w:t>
      </w:r>
      <w:r>
        <w:rPr>
          <w:w w:val="105"/>
          <w:sz w:val="21"/>
        </w:rPr>
        <w:t>where the tree poses an </w:t>
      </w:r>
      <w:r>
        <w:rPr>
          <w:spacing w:val="-3"/>
          <w:w w:val="105"/>
          <w:sz w:val="21"/>
        </w:rPr>
        <w:t>imminent </w:t>
      </w:r>
      <w:r>
        <w:rPr>
          <w:w w:val="105"/>
          <w:sz w:val="21"/>
        </w:rPr>
        <w:t>danger </w:t>
      </w:r>
      <w:r>
        <w:rPr>
          <w:spacing w:val="-3"/>
          <w:w w:val="105"/>
          <w:sz w:val="21"/>
        </w:rPr>
        <w:t>to life </w:t>
      </w:r>
      <w:r>
        <w:rPr>
          <w:w w:val="105"/>
          <w:sz w:val="21"/>
        </w:rPr>
        <w:t>or </w:t>
      </w:r>
      <w:r>
        <w:rPr>
          <w:spacing w:val="-3"/>
          <w:w w:val="105"/>
          <w:sz w:val="21"/>
        </w:rPr>
        <w:t>property.</w:t>
      </w:r>
      <w:r>
        <w:rPr>
          <w:spacing w:val="-3"/>
          <w:w w:val="105"/>
          <w:position w:val="7"/>
          <w:sz w:val="12"/>
        </w:rPr>
        <w:t>91 </w:t>
      </w:r>
      <w:r>
        <w:rPr>
          <w:w w:val="105"/>
          <w:sz w:val="21"/>
        </w:rPr>
        <w:t>This is the approach </w:t>
      </w:r>
      <w:r>
        <w:rPr>
          <w:spacing w:val="-3"/>
          <w:w w:val="105"/>
          <w:sz w:val="21"/>
        </w:rPr>
        <w:t>taken </w:t>
      </w:r>
      <w:r>
        <w:rPr>
          <w:w w:val="105"/>
          <w:sz w:val="21"/>
        </w:rPr>
        <w:t>in the </w:t>
      </w:r>
      <w:r>
        <w:rPr>
          <w:spacing w:val="-3"/>
          <w:w w:val="105"/>
          <w:sz w:val="21"/>
        </w:rPr>
        <w:t>Queensland </w:t>
      </w:r>
      <w:r>
        <w:rPr>
          <w:w w:val="105"/>
          <w:sz w:val="21"/>
        </w:rPr>
        <w:t>scheme </w:t>
      </w:r>
      <w:r>
        <w:rPr>
          <w:spacing w:val="-3"/>
          <w:w w:val="105"/>
          <w:sz w:val="21"/>
        </w:rPr>
        <w:t>to </w:t>
      </w:r>
      <w:r>
        <w:rPr>
          <w:w w:val="105"/>
          <w:sz w:val="21"/>
        </w:rPr>
        <w:t>identify </w:t>
      </w:r>
      <w:r>
        <w:rPr>
          <w:spacing w:val="-3"/>
          <w:w w:val="105"/>
          <w:sz w:val="21"/>
        </w:rPr>
        <w:t>culturally significant</w:t>
      </w:r>
      <w:r>
        <w:rPr>
          <w:spacing w:val="5"/>
          <w:w w:val="105"/>
          <w:sz w:val="21"/>
        </w:rPr>
        <w:t> </w:t>
      </w:r>
      <w:r>
        <w:rPr>
          <w:spacing w:val="-3"/>
          <w:w w:val="105"/>
          <w:sz w:val="21"/>
        </w:rPr>
        <w:t>trees.</w:t>
      </w:r>
      <w:r>
        <w:rPr>
          <w:spacing w:val="-3"/>
          <w:w w:val="105"/>
          <w:position w:val="7"/>
          <w:sz w:val="12"/>
        </w:rPr>
        <w:t>92</w:t>
      </w:r>
    </w:p>
    <w:p>
      <w:pPr>
        <w:pStyle w:val="BodyText"/>
        <w:spacing w:before="9"/>
        <w:rPr>
          <w:sz w:val="20"/>
        </w:rPr>
      </w:pPr>
    </w:p>
    <w:p>
      <w:pPr>
        <w:pStyle w:val="Heading5"/>
      </w:pPr>
      <w:r>
        <w:rPr>
          <w:w w:val="115"/>
        </w:rPr>
        <w:t>Location and health of the tree and impact of works</w:t>
      </w:r>
    </w:p>
    <w:p>
      <w:pPr>
        <w:pStyle w:val="ListParagraph"/>
        <w:numPr>
          <w:ilvl w:val="1"/>
          <w:numId w:val="16"/>
        </w:numPr>
        <w:tabs>
          <w:tab w:pos="2381" w:val="left" w:leader="none"/>
          <w:tab w:pos="2382" w:val="left" w:leader="none"/>
        </w:tabs>
        <w:spacing w:line="242" w:lineRule="auto" w:before="137" w:after="0"/>
        <w:ind w:left="2381" w:right="1657" w:hanging="794"/>
        <w:jc w:val="left"/>
        <w:rPr>
          <w:sz w:val="21"/>
        </w:rPr>
      </w:pPr>
      <w:r>
        <w:rPr>
          <w:spacing w:val="-5"/>
          <w:sz w:val="21"/>
        </w:rPr>
        <w:t>VCAT </w:t>
      </w:r>
      <w:r>
        <w:rPr>
          <w:sz w:val="21"/>
        </w:rPr>
        <w:t>should </w:t>
      </w:r>
      <w:r>
        <w:rPr>
          <w:spacing w:val="-3"/>
          <w:sz w:val="21"/>
        </w:rPr>
        <w:t>have regard to </w:t>
      </w:r>
      <w:r>
        <w:rPr>
          <w:sz w:val="21"/>
        </w:rPr>
        <w:t>the location of the </w:t>
      </w:r>
      <w:r>
        <w:rPr>
          <w:spacing w:val="-3"/>
          <w:sz w:val="21"/>
        </w:rPr>
        <w:t>tree, for  </w:t>
      </w:r>
      <w:r>
        <w:rPr>
          <w:sz w:val="21"/>
        </w:rPr>
        <w:t>example  in  </w:t>
      </w:r>
      <w:r>
        <w:rPr>
          <w:spacing w:val="-3"/>
          <w:sz w:val="21"/>
        </w:rPr>
        <w:t>relation  to  </w:t>
      </w:r>
      <w:r>
        <w:rPr>
          <w:sz w:val="21"/>
        </w:rPr>
        <w:t>the </w:t>
      </w:r>
      <w:r>
        <w:rPr>
          <w:spacing w:val="-2"/>
          <w:sz w:val="21"/>
        </w:rPr>
        <w:t>common </w:t>
      </w:r>
      <w:r>
        <w:rPr>
          <w:sz w:val="21"/>
        </w:rPr>
        <w:t>boundary and </w:t>
      </w:r>
      <w:r>
        <w:rPr>
          <w:spacing w:val="-3"/>
          <w:sz w:val="21"/>
        </w:rPr>
        <w:t>any nearby built </w:t>
      </w:r>
      <w:r>
        <w:rPr>
          <w:sz w:val="21"/>
        </w:rPr>
        <w:t>structures. This is the approach in </w:t>
      </w:r>
      <w:r>
        <w:rPr>
          <w:spacing w:val="-3"/>
          <w:sz w:val="21"/>
        </w:rPr>
        <w:t>all </w:t>
      </w:r>
      <w:r>
        <w:rPr>
          <w:sz w:val="21"/>
        </w:rPr>
        <w:t>interstate jurisdictions. In the case of </w:t>
      </w:r>
      <w:r>
        <w:rPr>
          <w:i/>
          <w:sz w:val="21"/>
        </w:rPr>
        <w:t>Robson v </w:t>
      </w:r>
      <w:r>
        <w:rPr>
          <w:i/>
          <w:spacing w:val="-3"/>
          <w:sz w:val="21"/>
        </w:rPr>
        <w:t>Leischke</w:t>
      </w:r>
      <w:r>
        <w:rPr>
          <w:spacing w:val="-3"/>
          <w:position w:val="7"/>
          <w:sz w:val="12"/>
        </w:rPr>
        <w:t>93 </w:t>
      </w:r>
      <w:r>
        <w:rPr>
          <w:sz w:val="21"/>
        </w:rPr>
        <w:t>the  </w:t>
      </w:r>
      <w:r>
        <w:rPr>
          <w:spacing w:val="-3"/>
          <w:sz w:val="21"/>
        </w:rPr>
        <w:t>Court  </w:t>
      </w:r>
      <w:r>
        <w:rPr>
          <w:sz w:val="21"/>
        </w:rPr>
        <w:t>advised  </w:t>
      </w:r>
      <w:r>
        <w:rPr>
          <w:spacing w:val="-3"/>
          <w:sz w:val="21"/>
        </w:rPr>
        <w:t>that  </w:t>
      </w:r>
      <w:r>
        <w:rPr>
          <w:sz w:val="21"/>
        </w:rPr>
        <w:t>this  decision- </w:t>
      </w:r>
      <w:r>
        <w:rPr>
          <w:spacing w:val="-3"/>
          <w:sz w:val="21"/>
        </w:rPr>
        <w:t>making principle </w:t>
      </w:r>
      <w:r>
        <w:rPr>
          <w:sz w:val="21"/>
        </w:rPr>
        <w:t>enables a </w:t>
      </w:r>
      <w:r>
        <w:rPr>
          <w:spacing w:val="-3"/>
          <w:sz w:val="21"/>
        </w:rPr>
        <w:t>determination </w:t>
      </w:r>
      <w:r>
        <w:rPr>
          <w:sz w:val="21"/>
        </w:rPr>
        <w:t>of whether the tree is ‘sufficiently </w:t>
      </w:r>
      <w:r>
        <w:rPr>
          <w:spacing w:val="-3"/>
          <w:sz w:val="21"/>
        </w:rPr>
        <w:t>proximate’ to adjoining land that </w:t>
      </w:r>
      <w:r>
        <w:rPr>
          <w:sz w:val="21"/>
        </w:rPr>
        <w:t>it </w:t>
      </w:r>
      <w:r>
        <w:rPr>
          <w:spacing w:val="-3"/>
          <w:sz w:val="21"/>
        </w:rPr>
        <w:t>could </w:t>
      </w:r>
      <w:r>
        <w:rPr>
          <w:sz w:val="21"/>
        </w:rPr>
        <w:t>in fact cause damage or </w:t>
      </w:r>
      <w:r>
        <w:rPr>
          <w:spacing w:val="-3"/>
          <w:sz w:val="21"/>
        </w:rPr>
        <w:t>harm </w:t>
      </w:r>
      <w:r>
        <w:rPr>
          <w:sz w:val="21"/>
        </w:rPr>
        <w:t>in the </w:t>
      </w:r>
      <w:r>
        <w:rPr>
          <w:spacing w:val="-3"/>
          <w:sz w:val="21"/>
        </w:rPr>
        <w:t>event that</w:t>
      </w:r>
      <w:r>
        <w:rPr>
          <w:spacing w:val="1"/>
          <w:sz w:val="21"/>
        </w:rPr>
        <w:t> </w:t>
      </w:r>
      <w:r>
        <w:rPr>
          <w:sz w:val="21"/>
        </w:rPr>
        <w:t>it </w:t>
      </w:r>
      <w:r>
        <w:rPr>
          <w:spacing w:val="-3"/>
          <w:sz w:val="21"/>
        </w:rPr>
        <w:t>failed.</w:t>
      </w:r>
    </w:p>
    <w:p>
      <w:pPr>
        <w:pStyle w:val="ListParagraph"/>
        <w:numPr>
          <w:ilvl w:val="1"/>
          <w:numId w:val="16"/>
        </w:numPr>
        <w:tabs>
          <w:tab w:pos="2380" w:val="left" w:leader="none"/>
          <w:tab w:pos="2382" w:val="left" w:leader="none"/>
        </w:tabs>
        <w:spacing w:line="242" w:lineRule="auto" w:before="126" w:after="0"/>
        <w:ind w:left="2381" w:right="1756" w:hanging="794"/>
        <w:jc w:val="left"/>
        <w:rPr>
          <w:sz w:val="21"/>
        </w:rPr>
      </w:pPr>
      <w:r>
        <w:rPr>
          <w:spacing w:val="-5"/>
          <w:sz w:val="21"/>
        </w:rPr>
        <w:t>VCAT </w:t>
      </w:r>
      <w:r>
        <w:rPr>
          <w:sz w:val="21"/>
        </w:rPr>
        <w:t>should also </w:t>
      </w:r>
      <w:r>
        <w:rPr>
          <w:spacing w:val="-3"/>
          <w:sz w:val="21"/>
        </w:rPr>
        <w:t>have regard to </w:t>
      </w:r>
      <w:r>
        <w:rPr>
          <w:sz w:val="21"/>
        </w:rPr>
        <w:t>the </w:t>
      </w:r>
      <w:r>
        <w:rPr>
          <w:spacing w:val="-3"/>
          <w:sz w:val="21"/>
        </w:rPr>
        <w:t>condition </w:t>
      </w:r>
      <w:r>
        <w:rPr>
          <w:sz w:val="21"/>
        </w:rPr>
        <w:t>of the </w:t>
      </w:r>
      <w:r>
        <w:rPr>
          <w:spacing w:val="-3"/>
          <w:sz w:val="21"/>
        </w:rPr>
        <w:t>tree, for </w:t>
      </w:r>
      <w:r>
        <w:rPr>
          <w:sz w:val="21"/>
        </w:rPr>
        <w:t>example its </w:t>
      </w:r>
      <w:r>
        <w:rPr>
          <w:spacing w:val="-3"/>
          <w:sz w:val="21"/>
        </w:rPr>
        <w:t>health </w:t>
      </w:r>
      <w:r>
        <w:rPr>
          <w:sz w:val="21"/>
        </w:rPr>
        <w:t>and structural </w:t>
      </w:r>
      <w:r>
        <w:rPr>
          <w:spacing w:val="-4"/>
          <w:sz w:val="21"/>
        </w:rPr>
        <w:t>integrity. </w:t>
      </w:r>
      <w:r>
        <w:rPr>
          <w:sz w:val="21"/>
        </w:rPr>
        <w:t>This is the approach </w:t>
      </w:r>
      <w:r>
        <w:rPr>
          <w:spacing w:val="-3"/>
          <w:sz w:val="21"/>
        </w:rPr>
        <w:t>taken </w:t>
      </w:r>
      <w:r>
        <w:rPr>
          <w:sz w:val="21"/>
        </w:rPr>
        <w:t>by the  </w:t>
      </w:r>
      <w:r>
        <w:rPr>
          <w:spacing w:val="-3"/>
          <w:sz w:val="21"/>
        </w:rPr>
        <w:t>City  </w:t>
      </w:r>
      <w:r>
        <w:rPr>
          <w:sz w:val="21"/>
        </w:rPr>
        <w:t>of  </w:t>
      </w:r>
      <w:r>
        <w:rPr>
          <w:spacing w:val="-3"/>
          <w:sz w:val="21"/>
        </w:rPr>
        <w:t>Boroondara.</w:t>
      </w:r>
      <w:r>
        <w:rPr>
          <w:spacing w:val="-3"/>
          <w:position w:val="7"/>
          <w:sz w:val="12"/>
        </w:rPr>
        <w:t>94  </w:t>
      </w:r>
      <w:r>
        <w:rPr>
          <w:sz w:val="21"/>
        </w:rPr>
        <w:t>It  would </w:t>
      </w:r>
      <w:r>
        <w:rPr>
          <w:spacing w:val="-3"/>
          <w:sz w:val="21"/>
        </w:rPr>
        <w:t>ensure </w:t>
      </w:r>
      <w:r>
        <w:rPr>
          <w:sz w:val="21"/>
        </w:rPr>
        <w:t>the decision </w:t>
      </w:r>
      <w:r>
        <w:rPr>
          <w:spacing w:val="-4"/>
          <w:sz w:val="21"/>
        </w:rPr>
        <w:t>maker </w:t>
      </w:r>
      <w:r>
        <w:rPr>
          <w:spacing w:val="-3"/>
          <w:sz w:val="21"/>
        </w:rPr>
        <w:t>takes </w:t>
      </w:r>
      <w:r>
        <w:rPr>
          <w:spacing w:val="-4"/>
          <w:sz w:val="21"/>
        </w:rPr>
        <w:t>into </w:t>
      </w:r>
      <w:r>
        <w:rPr>
          <w:spacing w:val="-3"/>
          <w:sz w:val="21"/>
        </w:rPr>
        <w:t>account arboricultural </w:t>
      </w:r>
      <w:r>
        <w:rPr>
          <w:sz w:val="21"/>
        </w:rPr>
        <w:t>evidence about the </w:t>
      </w:r>
      <w:r>
        <w:rPr>
          <w:spacing w:val="-3"/>
          <w:sz w:val="21"/>
        </w:rPr>
        <w:t>health  </w:t>
      </w:r>
      <w:r>
        <w:rPr>
          <w:sz w:val="21"/>
        </w:rPr>
        <w:t>of the</w:t>
      </w:r>
      <w:r>
        <w:rPr>
          <w:spacing w:val="8"/>
          <w:sz w:val="21"/>
        </w:rPr>
        <w:t> </w:t>
      </w:r>
      <w:r>
        <w:rPr>
          <w:sz w:val="21"/>
        </w:rPr>
        <w:t>tree</w:t>
      </w:r>
      <w:r>
        <w:rPr>
          <w:spacing w:val="9"/>
          <w:sz w:val="21"/>
        </w:rPr>
        <w:t> </w:t>
      </w:r>
      <w:r>
        <w:rPr>
          <w:sz w:val="21"/>
        </w:rPr>
        <w:t>and</w:t>
      </w:r>
      <w:r>
        <w:rPr>
          <w:spacing w:val="9"/>
          <w:sz w:val="21"/>
        </w:rPr>
        <w:t> </w:t>
      </w:r>
      <w:r>
        <w:rPr>
          <w:spacing w:val="-3"/>
          <w:sz w:val="21"/>
        </w:rPr>
        <w:t>any</w:t>
      </w:r>
      <w:r>
        <w:rPr>
          <w:spacing w:val="8"/>
          <w:sz w:val="21"/>
        </w:rPr>
        <w:t> </w:t>
      </w:r>
      <w:r>
        <w:rPr>
          <w:sz w:val="21"/>
        </w:rPr>
        <w:t>risks</w:t>
      </w:r>
      <w:r>
        <w:rPr>
          <w:spacing w:val="9"/>
          <w:sz w:val="21"/>
        </w:rPr>
        <w:t> </w:t>
      </w:r>
      <w:r>
        <w:rPr>
          <w:spacing w:val="-3"/>
          <w:sz w:val="21"/>
        </w:rPr>
        <w:t>that</w:t>
      </w:r>
      <w:r>
        <w:rPr>
          <w:spacing w:val="9"/>
          <w:sz w:val="21"/>
        </w:rPr>
        <w:t> </w:t>
      </w:r>
      <w:r>
        <w:rPr>
          <w:spacing w:val="-3"/>
          <w:sz w:val="21"/>
        </w:rPr>
        <w:t>are</w:t>
      </w:r>
      <w:r>
        <w:rPr>
          <w:spacing w:val="8"/>
          <w:sz w:val="21"/>
        </w:rPr>
        <w:t> </w:t>
      </w:r>
      <w:r>
        <w:rPr>
          <w:sz w:val="21"/>
        </w:rPr>
        <w:t>posed</w:t>
      </w:r>
      <w:r>
        <w:rPr>
          <w:spacing w:val="9"/>
          <w:sz w:val="21"/>
        </w:rPr>
        <w:t> </w:t>
      </w:r>
      <w:r>
        <w:rPr>
          <w:sz w:val="21"/>
        </w:rPr>
        <w:t>by</w:t>
      </w:r>
      <w:r>
        <w:rPr>
          <w:spacing w:val="9"/>
          <w:sz w:val="21"/>
        </w:rPr>
        <w:t> </w:t>
      </w:r>
      <w:r>
        <w:rPr>
          <w:sz w:val="21"/>
        </w:rPr>
        <w:t>the</w:t>
      </w:r>
      <w:r>
        <w:rPr>
          <w:spacing w:val="9"/>
          <w:sz w:val="21"/>
        </w:rPr>
        <w:t> </w:t>
      </w:r>
      <w:r>
        <w:rPr>
          <w:spacing w:val="-3"/>
          <w:sz w:val="21"/>
        </w:rPr>
        <w:t>tree.</w:t>
      </w:r>
    </w:p>
    <w:p>
      <w:pPr>
        <w:pStyle w:val="ListParagraph"/>
        <w:numPr>
          <w:ilvl w:val="1"/>
          <w:numId w:val="16"/>
        </w:numPr>
        <w:tabs>
          <w:tab w:pos="2380" w:val="left" w:leader="none"/>
          <w:tab w:pos="2381" w:val="left" w:leader="none"/>
        </w:tabs>
        <w:spacing w:line="242" w:lineRule="auto" w:before="124" w:after="0"/>
        <w:ind w:left="2381" w:right="1653" w:hanging="794"/>
        <w:jc w:val="left"/>
        <w:rPr>
          <w:sz w:val="21"/>
        </w:rPr>
      </w:pPr>
      <w:r>
        <w:rPr>
          <w:w w:val="105"/>
          <w:sz w:val="21"/>
        </w:rPr>
        <w:t>It</w:t>
      </w:r>
      <w:r>
        <w:rPr>
          <w:spacing w:val="-8"/>
          <w:w w:val="105"/>
          <w:sz w:val="21"/>
        </w:rPr>
        <w:t> </w:t>
      </w:r>
      <w:r>
        <w:rPr>
          <w:spacing w:val="-3"/>
          <w:w w:val="105"/>
          <w:sz w:val="21"/>
        </w:rPr>
        <w:t>follows</w:t>
      </w:r>
      <w:r>
        <w:rPr>
          <w:spacing w:val="-7"/>
          <w:w w:val="105"/>
          <w:sz w:val="21"/>
        </w:rPr>
        <w:t> </w:t>
      </w:r>
      <w:r>
        <w:rPr>
          <w:spacing w:val="-3"/>
          <w:w w:val="105"/>
          <w:sz w:val="21"/>
        </w:rPr>
        <w:t>that</w:t>
      </w:r>
      <w:r>
        <w:rPr>
          <w:spacing w:val="-8"/>
          <w:w w:val="105"/>
          <w:sz w:val="21"/>
        </w:rPr>
        <w:t> </w:t>
      </w:r>
      <w:r>
        <w:rPr>
          <w:w w:val="105"/>
          <w:sz w:val="21"/>
        </w:rPr>
        <w:t>the</w:t>
      </w:r>
      <w:r>
        <w:rPr>
          <w:spacing w:val="-7"/>
          <w:w w:val="105"/>
          <w:sz w:val="21"/>
        </w:rPr>
        <w:t> </w:t>
      </w:r>
      <w:r>
        <w:rPr>
          <w:w w:val="105"/>
          <w:sz w:val="21"/>
        </w:rPr>
        <w:t>impact</w:t>
      </w:r>
      <w:r>
        <w:rPr>
          <w:spacing w:val="-8"/>
          <w:w w:val="105"/>
          <w:sz w:val="21"/>
        </w:rPr>
        <w:t> </w:t>
      </w:r>
      <w:r>
        <w:rPr>
          <w:w w:val="105"/>
          <w:sz w:val="21"/>
        </w:rPr>
        <w:t>of</w:t>
      </w:r>
      <w:r>
        <w:rPr>
          <w:spacing w:val="-7"/>
          <w:w w:val="105"/>
          <w:sz w:val="21"/>
        </w:rPr>
        <w:t> </w:t>
      </w:r>
      <w:r>
        <w:rPr>
          <w:w w:val="105"/>
          <w:sz w:val="21"/>
        </w:rPr>
        <w:t>works</w:t>
      </w:r>
      <w:r>
        <w:rPr>
          <w:spacing w:val="-8"/>
          <w:w w:val="105"/>
          <w:sz w:val="21"/>
        </w:rPr>
        <w:t> </w:t>
      </w:r>
      <w:r>
        <w:rPr>
          <w:spacing w:val="-3"/>
          <w:w w:val="105"/>
          <w:sz w:val="21"/>
        </w:rPr>
        <w:t>to</w:t>
      </w:r>
      <w:r>
        <w:rPr>
          <w:spacing w:val="-7"/>
          <w:w w:val="105"/>
          <w:sz w:val="21"/>
        </w:rPr>
        <w:t> </w:t>
      </w:r>
      <w:r>
        <w:rPr>
          <w:w w:val="105"/>
          <w:sz w:val="21"/>
        </w:rPr>
        <w:t>the</w:t>
      </w:r>
      <w:r>
        <w:rPr>
          <w:spacing w:val="-8"/>
          <w:w w:val="105"/>
          <w:sz w:val="21"/>
        </w:rPr>
        <w:t> </w:t>
      </w:r>
      <w:r>
        <w:rPr>
          <w:w w:val="105"/>
          <w:sz w:val="21"/>
        </w:rPr>
        <w:t>tree</w:t>
      </w:r>
      <w:r>
        <w:rPr>
          <w:spacing w:val="-7"/>
          <w:w w:val="105"/>
          <w:sz w:val="21"/>
        </w:rPr>
        <w:t> </w:t>
      </w:r>
      <w:r>
        <w:rPr>
          <w:w w:val="105"/>
          <w:sz w:val="21"/>
        </w:rPr>
        <w:t>should</w:t>
      </w:r>
      <w:r>
        <w:rPr>
          <w:spacing w:val="-8"/>
          <w:w w:val="105"/>
          <w:sz w:val="21"/>
        </w:rPr>
        <w:t> </w:t>
      </w:r>
      <w:r>
        <w:rPr>
          <w:w w:val="105"/>
          <w:sz w:val="21"/>
        </w:rPr>
        <w:t>be</w:t>
      </w:r>
      <w:r>
        <w:rPr>
          <w:spacing w:val="-7"/>
          <w:w w:val="105"/>
          <w:sz w:val="21"/>
        </w:rPr>
        <w:t> </w:t>
      </w:r>
      <w:r>
        <w:rPr>
          <w:w w:val="105"/>
          <w:sz w:val="21"/>
        </w:rPr>
        <w:t>articulated</w:t>
      </w:r>
      <w:r>
        <w:rPr>
          <w:spacing w:val="-8"/>
          <w:w w:val="105"/>
          <w:sz w:val="21"/>
        </w:rPr>
        <w:t> </w:t>
      </w:r>
      <w:r>
        <w:rPr>
          <w:w w:val="105"/>
          <w:sz w:val="21"/>
        </w:rPr>
        <w:t>as</w:t>
      </w:r>
      <w:r>
        <w:rPr>
          <w:spacing w:val="-7"/>
          <w:w w:val="105"/>
          <w:sz w:val="21"/>
        </w:rPr>
        <w:t> </w:t>
      </w:r>
      <w:r>
        <w:rPr>
          <w:w w:val="105"/>
          <w:sz w:val="21"/>
        </w:rPr>
        <w:t>a</w:t>
      </w:r>
      <w:r>
        <w:rPr>
          <w:spacing w:val="-8"/>
          <w:w w:val="105"/>
          <w:sz w:val="21"/>
        </w:rPr>
        <w:t> </w:t>
      </w:r>
      <w:r>
        <w:rPr>
          <w:w w:val="105"/>
          <w:sz w:val="21"/>
        </w:rPr>
        <w:t>distinct</w:t>
      </w:r>
      <w:r>
        <w:rPr>
          <w:spacing w:val="-7"/>
          <w:w w:val="105"/>
          <w:sz w:val="21"/>
        </w:rPr>
        <w:t> </w:t>
      </w:r>
      <w:r>
        <w:rPr>
          <w:w w:val="105"/>
          <w:sz w:val="21"/>
        </w:rPr>
        <w:t>decision- </w:t>
      </w:r>
      <w:r>
        <w:rPr>
          <w:spacing w:val="-3"/>
          <w:w w:val="105"/>
          <w:sz w:val="21"/>
        </w:rPr>
        <w:t>making principle. </w:t>
      </w:r>
      <w:r>
        <w:rPr>
          <w:w w:val="105"/>
          <w:sz w:val="21"/>
        </w:rPr>
        <w:t>In New South </w:t>
      </w:r>
      <w:r>
        <w:rPr>
          <w:spacing w:val="-3"/>
          <w:w w:val="105"/>
          <w:sz w:val="21"/>
        </w:rPr>
        <w:t>Wales </w:t>
      </w:r>
      <w:r>
        <w:rPr>
          <w:w w:val="105"/>
          <w:sz w:val="21"/>
        </w:rPr>
        <w:t>this decision-making </w:t>
      </w:r>
      <w:r>
        <w:rPr>
          <w:spacing w:val="-3"/>
          <w:w w:val="105"/>
          <w:sz w:val="21"/>
        </w:rPr>
        <w:t>principle </w:t>
      </w:r>
      <w:r>
        <w:rPr>
          <w:spacing w:val="-2"/>
          <w:w w:val="105"/>
          <w:sz w:val="21"/>
        </w:rPr>
        <w:t>has </w:t>
      </w:r>
      <w:r>
        <w:rPr>
          <w:w w:val="105"/>
          <w:sz w:val="21"/>
        </w:rPr>
        <w:t>enabled the </w:t>
      </w:r>
      <w:r>
        <w:rPr>
          <w:spacing w:val="-3"/>
          <w:w w:val="105"/>
          <w:sz w:val="21"/>
        </w:rPr>
        <w:t>Court to consider </w:t>
      </w:r>
      <w:r>
        <w:rPr>
          <w:w w:val="105"/>
          <w:sz w:val="21"/>
        </w:rPr>
        <w:t>whether </w:t>
      </w:r>
      <w:r>
        <w:rPr>
          <w:spacing w:val="-3"/>
          <w:w w:val="105"/>
          <w:sz w:val="21"/>
        </w:rPr>
        <w:t>pruning </w:t>
      </w:r>
      <w:r>
        <w:rPr>
          <w:w w:val="105"/>
          <w:sz w:val="21"/>
        </w:rPr>
        <w:t>of the tree would be detrimental </w:t>
      </w:r>
      <w:r>
        <w:rPr>
          <w:spacing w:val="-3"/>
          <w:w w:val="105"/>
          <w:sz w:val="21"/>
        </w:rPr>
        <w:t>to </w:t>
      </w:r>
      <w:r>
        <w:rPr>
          <w:w w:val="105"/>
          <w:sz w:val="21"/>
        </w:rPr>
        <w:t>the </w:t>
      </w:r>
      <w:r>
        <w:rPr>
          <w:spacing w:val="-4"/>
          <w:w w:val="105"/>
          <w:sz w:val="21"/>
        </w:rPr>
        <w:t>tree’s </w:t>
      </w:r>
      <w:r>
        <w:rPr>
          <w:spacing w:val="-3"/>
          <w:w w:val="105"/>
          <w:sz w:val="21"/>
        </w:rPr>
        <w:t>health </w:t>
      </w:r>
      <w:r>
        <w:rPr>
          <w:w w:val="105"/>
          <w:sz w:val="21"/>
        </w:rPr>
        <w:t>and structural </w:t>
      </w:r>
      <w:r>
        <w:rPr>
          <w:spacing w:val="-3"/>
          <w:w w:val="105"/>
          <w:sz w:val="21"/>
        </w:rPr>
        <w:t>stability.</w:t>
      </w:r>
      <w:r>
        <w:rPr>
          <w:spacing w:val="-3"/>
          <w:w w:val="105"/>
          <w:position w:val="7"/>
          <w:sz w:val="12"/>
        </w:rPr>
        <w:t>95 </w:t>
      </w:r>
      <w:r>
        <w:rPr>
          <w:w w:val="105"/>
          <w:sz w:val="21"/>
        </w:rPr>
        <w:t>For </w:t>
      </w:r>
      <w:r>
        <w:rPr>
          <w:spacing w:val="-3"/>
          <w:w w:val="105"/>
          <w:sz w:val="21"/>
        </w:rPr>
        <w:t>example, </w:t>
      </w:r>
      <w:r>
        <w:rPr>
          <w:w w:val="105"/>
          <w:sz w:val="21"/>
        </w:rPr>
        <w:t>if the tree is assessed as </w:t>
      </w:r>
      <w:r>
        <w:rPr>
          <w:spacing w:val="-4"/>
          <w:w w:val="105"/>
          <w:sz w:val="21"/>
        </w:rPr>
        <w:t>healthy, </w:t>
      </w:r>
      <w:r>
        <w:rPr>
          <w:spacing w:val="-3"/>
          <w:w w:val="105"/>
          <w:sz w:val="21"/>
        </w:rPr>
        <w:t>pruning </w:t>
      </w:r>
      <w:r>
        <w:rPr>
          <w:w w:val="105"/>
          <w:sz w:val="21"/>
        </w:rPr>
        <w:t>works should</w:t>
      </w:r>
      <w:r>
        <w:rPr>
          <w:spacing w:val="-6"/>
          <w:w w:val="105"/>
          <w:sz w:val="21"/>
        </w:rPr>
        <w:t> </w:t>
      </w:r>
      <w:r>
        <w:rPr>
          <w:w w:val="105"/>
          <w:sz w:val="21"/>
        </w:rPr>
        <w:t>be</w:t>
      </w:r>
      <w:r>
        <w:rPr>
          <w:spacing w:val="-6"/>
          <w:w w:val="105"/>
          <w:sz w:val="21"/>
        </w:rPr>
        <w:t> </w:t>
      </w:r>
      <w:r>
        <w:rPr>
          <w:w w:val="105"/>
          <w:sz w:val="21"/>
        </w:rPr>
        <w:t>conducted</w:t>
      </w:r>
      <w:r>
        <w:rPr>
          <w:spacing w:val="-5"/>
          <w:w w:val="105"/>
          <w:sz w:val="21"/>
        </w:rPr>
        <w:t> </w:t>
      </w:r>
      <w:r>
        <w:rPr>
          <w:w w:val="105"/>
          <w:sz w:val="21"/>
        </w:rPr>
        <w:t>so</w:t>
      </w:r>
      <w:r>
        <w:rPr>
          <w:spacing w:val="-6"/>
          <w:w w:val="105"/>
          <w:sz w:val="21"/>
        </w:rPr>
        <w:t> </w:t>
      </w:r>
      <w:r>
        <w:rPr>
          <w:w w:val="105"/>
          <w:sz w:val="21"/>
        </w:rPr>
        <w:t>as</w:t>
      </w:r>
      <w:r>
        <w:rPr>
          <w:spacing w:val="-5"/>
          <w:w w:val="105"/>
          <w:sz w:val="21"/>
        </w:rPr>
        <w:t> </w:t>
      </w:r>
      <w:r>
        <w:rPr>
          <w:spacing w:val="-3"/>
          <w:w w:val="105"/>
          <w:sz w:val="21"/>
        </w:rPr>
        <w:t>to</w:t>
      </w:r>
      <w:r>
        <w:rPr>
          <w:spacing w:val="-6"/>
          <w:w w:val="105"/>
          <w:sz w:val="21"/>
        </w:rPr>
        <w:t> </w:t>
      </w:r>
      <w:r>
        <w:rPr>
          <w:spacing w:val="-2"/>
          <w:w w:val="105"/>
          <w:sz w:val="21"/>
        </w:rPr>
        <w:t>not</w:t>
      </w:r>
      <w:r>
        <w:rPr>
          <w:spacing w:val="-6"/>
          <w:w w:val="105"/>
          <w:sz w:val="21"/>
        </w:rPr>
        <w:t> </w:t>
      </w:r>
      <w:r>
        <w:rPr>
          <w:spacing w:val="-2"/>
          <w:w w:val="105"/>
          <w:sz w:val="21"/>
        </w:rPr>
        <w:t>render</w:t>
      </w:r>
      <w:r>
        <w:rPr>
          <w:spacing w:val="-5"/>
          <w:w w:val="105"/>
          <w:sz w:val="21"/>
        </w:rPr>
        <w:t> </w:t>
      </w:r>
      <w:r>
        <w:rPr>
          <w:w w:val="105"/>
          <w:sz w:val="21"/>
        </w:rPr>
        <w:t>the</w:t>
      </w:r>
      <w:r>
        <w:rPr>
          <w:spacing w:val="-6"/>
          <w:w w:val="105"/>
          <w:sz w:val="21"/>
        </w:rPr>
        <w:t> </w:t>
      </w:r>
      <w:r>
        <w:rPr>
          <w:w w:val="105"/>
          <w:sz w:val="21"/>
        </w:rPr>
        <w:t>tree</w:t>
      </w:r>
      <w:r>
        <w:rPr>
          <w:spacing w:val="-5"/>
          <w:w w:val="105"/>
          <w:sz w:val="21"/>
        </w:rPr>
        <w:t> </w:t>
      </w:r>
      <w:r>
        <w:rPr>
          <w:spacing w:val="-3"/>
          <w:w w:val="105"/>
          <w:sz w:val="21"/>
        </w:rPr>
        <w:t>unsafe</w:t>
      </w:r>
      <w:r>
        <w:rPr>
          <w:spacing w:val="-6"/>
          <w:w w:val="105"/>
          <w:sz w:val="21"/>
        </w:rPr>
        <w:t> </w:t>
      </w:r>
      <w:r>
        <w:rPr>
          <w:w w:val="105"/>
          <w:sz w:val="21"/>
        </w:rPr>
        <w:t>in</w:t>
      </w:r>
      <w:r>
        <w:rPr>
          <w:spacing w:val="-6"/>
          <w:w w:val="105"/>
          <w:sz w:val="21"/>
        </w:rPr>
        <w:t> </w:t>
      </w:r>
      <w:r>
        <w:rPr>
          <w:w w:val="105"/>
          <w:sz w:val="21"/>
        </w:rPr>
        <w:t>the</w:t>
      </w:r>
      <w:r>
        <w:rPr>
          <w:spacing w:val="-5"/>
          <w:w w:val="105"/>
          <w:sz w:val="21"/>
        </w:rPr>
        <w:t> </w:t>
      </w:r>
      <w:r>
        <w:rPr>
          <w:spacing w:val="-4"/>
          <w:w w:val="105"/>
          <w:sz w:val="21"/>
        </w:rPr>
        <w:t>future.</w:t>
      </w:r>
      <w:r>
        <w:rPr>
          <w:spacing w:val="-6"/>
          <w:w w:val="105"/>
          <w:sz w:val="21"/>
        </w:rPr>
        <w:t> </w:t>
      </w:r>
      <w:r>
        <w:rPr>
          <w:spacing w:val="-3"/>
          <w:w w:val="105"/>
          <w:sz w:val="21"/>
        </w:rPr>
        <w:t>Alternatively,</w:t>
      </w:r>
      <w:r>
        <w:rPr>
          <w:spacing w:val="-5"/>
          <w:w w:val="105"/>
          <w:sz w:val="21"/>
        </w:rPr>
        <w:t> </w:t>
      </w:r>
      <w:r>
        <w:rPr>
          <w:w w:val="105"/>
          <w:sz w:val="21"/>
        </w:rPr>
        <w:t>if</w:t>
      </w:r>
      <w:r>
        <w:rPr>
          <w:spacing w:val="-6"/>
          <w:w w:val="105"/>
          <w:sz w:val="21"/>
        </w:rPr>
        <w:t> </w:t>
      </w:r>
      <w:r>
        <w:rPr>
          <w:w w:val="105"/>
          <w:sz w:val="21"/>
        </w:rPr>
        <w:t>the tree is </w:t>
      </w:r>
      <w:r>
        <w:rPr>
          <w:spacing w:val="-3"/>
          <w:w w:val="105"/>
          <w:sz w:val="21"/>
        </w:rPr>
        <w:t>unhealthy </w:t>
      </w:r>
      <w:r>
        <w:rPr>
          <w:w w:val="105"/>
          <w:sz w:val="21"/>
        </w:rPr>
        <w:t>the most </w:t>
      </w:r>
      <w:r>
        <w:rPr>
          <w:spacing w:val="-3"/>
          <w:w w:val="105"/>
          <w:sz w:val="21"/>
        </w:rPr>
        <w:t>appropriate </w:t>
      </w:r>
      <w:r>
        <w:rPr>
          <w:w w:val="105"/>
          <w:sz w:val="21"/>
        </w:rPr>
        <w:t>order </w:t>
      </w:r>
      <w:r>
        <w:rPr>
          <w:spacing w:val="-3"/>
          <w:w w:val="105"/>
          <w:sz w:val="21"/>
        </w:rPr>
        <w:t>may </w:t>
      </w:r>
      <w:r>
        <w:rPr>
          <w:w w:val="105"/>
          <w:sz w:val="21"/>
        </w:rPr>
        <w:t>be </w:t>
      </w:r>
      <w:r>
        <w:rPr>
          <w:spacing w:val="-3"/>
          <w:w w:val="105"/>
          <w:sz w:val="21"/>
        </w:rPr>
        <w:t>to remove</w:t>
      </w:r>
      <w:r>
        <w:rPr>
          <w:spacing w:val="37"/>
          <w:w w:val="105"/>
          <w:sz w:val="21"/>
        </w:rPr>
        <w:t> </w:t>
      </w:r>
      <w:r>
        <w:rPr>
          <w:w w:val="105"/>
          <w:sz w:val="21"/>
        </w:rPr>
        <w:t>it.</w:t>
      </w:r>
      <w:r>
        <w:rPr>
          <w:w w:val="105"/>
          <w:position w:val="7"/>
          <w:sz w:val="12"/>
        </w:rPr>
        <w:t>96</w:t>
      </w:r>
    </w:p>
    <w:p>
      <w:pPr>
        <w:pStyle w:val="BodyText"/>
        <w:spacing w:before="7"/>
        <w:rPr>
          <w:sz w:val="20"/>
        </w:rPr>
      </w:pPr>
    </w:p>
    <w:p>
      <w:pPr>
        <w:pStyle w:val="Heading5"/>
      </w:pPr>
      <w:r>
        <w:rPr>
          <w:w w:val="115"/>
        </w:rPr>
        <w:t>Past actions of parties</w:t>
      </w:r>
    </w:p>
    <w:p>
      <w:pPr>
        <w:pStyle w:val="ListParagraph"/>
        <w:numPr>
          <w:ilvl w:val="1"/>
          <w:numId w:val="16"/>
        </w:numPr>
        <w:tabs>
          <w:tab w:pos="2381" w:val="left" w:leader="none"/>
          <w:tab w:pos="2382" w:val="left" w:leader="none"/>
        </w:tabs>
        <w:spacing w:line="242" w:lineRule="auto" w:before="138" w:after="0"/>
        <w:ind w:left="2381" w:right="1673" w:hanging="794"/>
        <w:jc w:val="left"/>
        <w:rPr>
          <w:sz w:val="21"/>
        </w:rPr>
      </w:pPr>
      <w:r>
        <w:rPr>
          <w:spacing w:val="-5"/>
          <w:sz w:val="21"/>
        </w:rPr>
        <w:t>VCAT </w:t>
      </w:r>
      <w:r>
        <w:rPr>
          <w:sz w:val="21"/>
        </w:rPr>
        <w:t>should also </w:t>
      </w:r>
      <w:r>
        <w:rPr>
          <w:spacing w:val="-3"/>
          <w:sz w:val="21"/>
        </w:rPr>
        <w:t>consider </w:t>
      </w:r>
      <w:r>
        <w:rPr>
          <w:sz w:val="21"/>
        </w:rPr>
        <w:t>whether  anything  other  </w:t>
      </w:r>
      <w:r>
        <w:rPr>
          <w:spacing w:val="-3"/>
          <w:sz w:val="21"/>
        </w:rPr>
        <w:t>than  </w:t>
      </w:r>
      <w:r>
        <w:rPr>
          <w:sz w:val="21"/>
        </w:rPr>
        <w:t>the  tree  </w:t>
      </w:r>
      <w:r>
        <w:rPr>
          <w:spacing w:val="-3"/>
          <w:sz w:val="21"/>
        </w:rPr>
        <w:t>may  have  contributed to </w:t>
      </w:r>
      <w:r>
        <w:rPr>
          <w:sz w:val="21"/>
        </w:rPr>
        <w:t>the damage or </w:t>
      </w:r>
      <w:r>
        <w:rPr>
          <w:spacing w:val="-3"/>
          <w:sz w:val="21"/>
        </w:rPr>
        <w:t>harm. </w:t>
      </w:r>
      <w:r>
        <w:rPr>
          <w:sz w:val="21"/>
        </w:rPr>
        <w:t>For </w:t>
      </w:r>
      <w:r>
        <w:rPr>
          <w:spacing w:val="-3"/>
          <w:sz w:val="21"/>
        </w:rPr>
        <w:t>example, </w:t>
      </w:r>
      <w:r>
        <w:rPr>
          <w:sz w:val="21"/>
        </w:rPr>
        <w:t>this </w:t>
      </w:r>
      <w:r>
        <w:rPr>
          <w:spacing w:val="-3"/>
          <w:sz w:val="21"/>
        </w:rPr>
        <w:t>may require </w:t>
      </w:r>
      <w:r>
        <w:rPr>
          <w:sz w:val="21"/>
        </w:rPr>
        <w:t>the decision </w:t>
      </w:r>
      <w:r>
        <w:rPr>
          <w:spacing w:val="-4"/>
          <w:sz w:val="21"/>
        </w:rPr>
        <w:t>maker </w:t>
      </w:r>
      <w:r>
        <w:rPr>
          <w:spacing w:val="-3"/>
          <w:sz w:val="21"/>
        </w:rPr>
        <w:t>to consider </w:t>
      </w:r>
      <w:r>
        <w:rPr>
          <w:sz w:val="21"/>
        </w:rPr>
        <w:t>whether trees on the affected </w:t>
      </w:r>
      <w:r>
        <w:rPr>
          <w:spacing w:val="-3"/>
          <w:sz w:val="21"/>
        </w:rPr>
        <w:t>neighbour’s  land  have  contributed  to  </w:t>
      </w:r>
      <w:r>
        <w:rPr>
          <w:sz w:val="21"/>
        </w:rPr>
        <w:t>the  damage  or </w:t>
      </w:r>
      <w:r>
        <w:rPr>
          <w:spacing w:val="-3"/>
          <w:sz w:val="21"/>
        </w:rPr>
        <w:t>harm</w:t>
      </w:r>
      <w:r>
        <w:rPr>
          <w:spacing w:val="-3"/>
          <w:position w:val="7"/>
          <w:sz w:val="12"/>
        </w:rPr>
        <w:t>97 </w:t>
      </w:r>
      <w:r>
        <w:rPr>
          <w:sz w:val="21"/>
        </w:rPr>
        <w:t>or whether the affected </w:t>
      </w:r>
      <w:r>
        <w:rPr>
          <w:spacing w:val="-3"/>
          <w:sz w:val="21"/>
        </w:rPr>
        <w:t>neighbour failed to </w:t>
      </w:r>
      <w:r>
        <w:rPr>
          <w:sz w:val="21"/>
        </w:rPr>
        <w:t>give the tree owner an </w:t>
      </w:r>
      <w:r>
        <w:rPr>
          <w:spacing w:val="-3"/>
          <w:sz w:val="21"/>
        </w:rPr>
        <w:t>adequate </w:t>
      </w:r>
      <w:r>
        <w:rPr>
          <w:sz w:val="21"/>
        </w:rPr>
        <w:t>opportunity </w:t>
      </w:r>
      <w:r>
        <w:rPr>
          <w:spacing w:val="-3"/>
          <w:sz w:val="21"/>
        </w:rPr>
        <w:t>to </w:t>
      </w:r>
      <w:r>
        <w:rPr>
          <w:sz w:val="21"/>
        </w:rPr>
        <w:t>respond </w:t>
      </w:r>
      <w:r>
        <w:rPr>
          <w:spacing w:val="-3"/>
          <w:sz w:val="21"/>
        </w:rPr>
        <w:t>to </w:t>
      </w:r>
      <w:r>
        <w:rPr>
          <w:sz w:val="21"/>
        </w:rPr>
        <w:t>the </w:t>
      </w:r>
      <w:r>
        <w:rPr>
          <w:spacing w:val="-3"/>
          <w:sz w:val="21"/>
        </w:rPr>
        <w:t>damage.</w:t>
      </w:r>
      <w:r>
        <w:rPr>
          <w:spacing w:val="-3"/>
          <w:position w:val="7"/>
          <w:sz w:val="12"/>
        </w:rPr>
        <w:t>98 </w:t>
      </w:r>
      <w:r>
        <w:rPr>
          <w:sz w:val="21"/>
        </w:rPr>
        <w:t>While this would </w:t>
      </w:r>
      <w:r>
        <w:rPr>
          <w:spacing w:val="-2"/>
          <w:sz w:val="21"/>
        </w:rPr>
        <w:t>not </w:t>
      </w:r>
      <w:r>
        <w:rPr>
          <w:spacing w:val="-3"/>
          <w:sz w:val="21"/>
        </w:rPr>
        <w:t>result </w:t>
      </w:r>
      <w:r>
        <w:rPr>
          <w:sz w:val="21"/>
        </w:rPr>
        <w:t>in an otherwise </w:t>
      </w:r>
      <w:r>
        <w:rPr>
          <w:spacing w:val="-3"/>
          <w:sz w:val="21"/>
        </w:rPr>
        <w:t>hazardous </w:t>
      </w:r>
      <w:r>
        <w:rPr>
          <w:sz w:val="21"/>
        </w:rPr>
        <w:t>tree being </w:t>
      </w:r>
      <w:r>
        <w:rPr>
          <w:spacing w:val="-3"/>
          <w:sz w:val="21"/>
        </w:rPr>
        <w:t>retained, </w:t>
      </w:r>
      <w:r>
        <w:rPr>
          <w:sz w:val="21"/>
        </w:rPr>
        <w:t>it </w:t>
      </w:r>
      <w:r>
        <w:rPr>
          <w:spacing w:val="-3"/>
          <w:sz w:val="21"/>
        </w:rPr>
        <w:t>may result </w:t>
      </w:r>
      <w:r>
        <w:rPr>
          <w:sz w:val="21"/>
        </w:rPr>
        <w:t>in a portion of the cost of repairs an affected </w:t>
      </w:r>
      <w:r>
        <w:rPr>
          <w:spacing w:val="-3"/>
          <w:sz w:val="21"/>
        </w:rPr>
        <w:t>neighbour</w:t>
      </w:r>
      <w:r>
        <w:rPr>
          <w:spacing w:val="10"/>
          <w:sz w:val="21"/>
        </w:rPr>
        <w:t> </w:t>
      </w:r>
      <w:r>
        <w:rPr>
          <w:spacing w:val="-3"/>
          <w:sz w:val="21"/>
        </w:rPr>
        <w:t>might</w:t>
      </w:r>
      <w:r>
        <w:rPr>
          <w:spacing w:val="10"/>
          <w:sz w:val="21"/>
        </w:rPr>
        <w:t> </w:t>
      </w:r>
      <w:r>
        <w:rPr>
          <w:sz w:val="21"/>
        </w:rPr>
        <w:t>be</w:t>
      </w:r>
      <w:r>
        <w:rPr>
          <w:spacing w:val="10"/>
          <w:sz w:val="21"/>
        </w:rPr>
        <w:t> </w:t>
      </w:r>
      <w:r>
        <w:rPr>
          <w:sz w:val="21"/>
        </w:rPr>
        <w:t>seeking</w:t>
      </w:r>
      <w:r>
        <w:rPr>
          <w:spacing w:val="10"/>
          <w:sz w:val="21"/>
        </w:rPr>
        <w:t> </w:t>
      </w:r>
      <w:r>
        <w:rPr>
          <w:sz w:val="21"/>
        </w:rPr>
        <w:t>being</w:t>
      </w:r>
      <w:r>
        <w:rPr>
          <w:spacing w:val="10"/>
          <w:sz w:val="21"/>
        </w:rPr>
        <w:t> </w:t>
      </w:r>
      <w:r>
        <w:rPr>
          <w:sz w:val="21"/>
        </w:rPr>
        <w:t>borne</w:t>
      </w:r>
      <w:r>
        <w:rPr>
          <w:spacing w:val="11"/>
          <w:sz w:val="21"/>
        </w:rPr>
        <w:t> </w:t>
      </w:r>
      <w:r>
        <w:rPr>
          <w:sz w:val="21"/>
        </w:rPr>
        <w:t>by</w:t>
      </w:r>
      <w:r>
        <w:rPr>
          <w:spacing w:val="10"/>
          <w:sz w:val="21"/>
        </w:rPr>
        <w:t> </w:t>
      </w:r>
      <w:r>
        <w:rPr>
          <w:sz w:val="21"/>
        </w:rPr>
        <w:t>them.</w:t>
      </w:r>
    </w:p>
    <w:p>
      <w:pPr>
        <w:pStyle w:val="ListParagraph"/>
        <w:numPr>
          <w:ilvl w:val="1"/>
          <w:numId w:val="16"/>
        </w:numPr>
        <w:tabs>
          <w:tab w:pos="2381" w:val="left" w:leader="none"/>
          <w:tab w:pos="2382" w:val="left" w:leader="none"/>
        </w:tabs>
        <w:spacing w:line="242" w:lineRule="auto" w:before="127" w:after="0"/>
        <w:ind w:left="2381" w:right="1641" w:hanging="794"/>
        <w:jc w:val="left"/>
        <w:rPr>
          <w:sz w:val="21"/>
        </w:rPr>
      </w:pPr>
      <w:r>
        <w:rPr>
          <w:w w:val="105"/>
          <w:sz w:val="21"/>
        </w:rPr>
        <w:t>This decision-making </w:t>
      </w:r>
      <w:r>
        <w:rPr>
          <w:spacing w:val="-3"/>
          <w:w w:val="105"/>
          <w:sz w:val="21"/>
        </w:rPr>
        <w:t>principle </w:t>
      </w:r>
      <w:r>
        <w:rPr>
          <w:w w:val="105"/>
          <w:sz w:val="21"/>
        </w:rPr>
        <w:t>would also </w:t>
      </w:r>
      <w:r>
        <w:rPr>
          <w:spacing w:val="-3"/>
          <w:w w:val="105"/>
          <w:sz w:val="21"/>
        </w:rPr>
        <w:t>require </w:t>
      </w:r>
      <w:r>
        <w:rPr>
          <w:w w:val="105"/>
          <w:sz w:val="21"/>
        </w:rPr>
        <w:t>the decision </w:t>
      </w:r>
      <w:r>
        <w:rPr>
          <w:spacing w:val="-4"/>
          <w:w w:val="105"/>
          <w:sz w:val="21"/>
        </w:rPr>
        <w:t>maker </w:t>
      </w:r>
      <w:r>
        <w:rPr>
          <w:spacing w:val="-3"/>
          <w:w w:val="105"/>
          <w:sz w:val="21"/>
        </w:rPr>
        <w:t>to consider any </w:t>
      </w:r>
      <w:r>
        <w:rPr>
          <w:w w:val="105"/>
          <w:sz w:val="21"/>
        </w:rPr>
        <w:t>steps</w:t>
      </w:r>
      <w:r>
        <w:rPr>
          <w:spacing w:val="-8"/>
          <w:w w:val="105"/>
          <w:sz w:val="21"/>
        </w:rPr>
        <w:t> </w:t>
      </w:r>
      <w:r>
        <w:rPr>
          <w:spacing w:val="-3"/>
          <w:w w:val="105"/>
          <w:sz w:val="21"/>
        </w:rPr>
        <w:t>taken</w:t>
      </w:r>
      <w:r>
        <w:rPr>
          <w:spacing w:val="-8"/>
          <w:w w:val="105"/>
          <w:sz w:val="21"/>
        </w:rPr>
        <w:t> </w:t>
      </w:r>
      <w:r>
        <w:rPr>
          <w:w w:val="105"/>
          <w:sz w:val="21"/>
        </w:rPr>
        <w:t>by</w:t>
      </w:r>
      <w:r>
        <w:rPr>
          <w:spacing w:val="-8"/>
          <w:w w:val="105"/>
          <w:sz w:val="21"/>
        </w:rPr>
        <w:t> </w:t>
      </w:r>
      <w:r>
        <w:rPr>
          <w:w w:val="105"/>
          <w:sz w:val="21"/>
        </w:rPr>
        <w:t>the</w:t>
      </w:r>
      <w:r>
        <w:rPr>
          <w:spacing w:val="-7"/>
          <w:w w:val="105"/>
          <w:sz w:val="21"/>
        </w:rPr>
        <w:t> </w:t>
      </w:r>
      <w:r>
        <w:rPr>
          <w:w w:val="105"/>
          <w:sz w:val="21"/>
        </w:rPr>
        <w:t>affected</w:t>
      </w:r>
      <w:r>
        <w:rPr>
          <w:spacing w:val="-8"/>
          <w:w w:val="105"/>
          <w:sz w:val="21"/>
        </w:rPr>
        <w:t> </w:t>
      </w:r>
      <w:r>
        <w:rPr>
          <w:spacing w:val="-3"/>
          <w:w w:val="105"/>
          <w:sz w:val="21"/>
        </w:rPr>
        <w:t>neighbour</w:t>
      </w:r>
      <w:r>
        <w:rPr>
          <w:spacing w:val="-8"/>
          <w:w w:val="105"/>
          <w:sz w:val="21"/>
        </w:rPr>
        <w:t> </w:t>
      </w:r>
      <w:r>
        <w:rPr>
          <w:w w:val="105"/>
          <w:sz w:val="21"/>
        </w:rPr>
        <w:t>or</w:t>
      </w:r>
      <w:r>
        <w:rPr>
          <w:spacing w:val="-7"/>
          <w:w w:val="105"/>
          <w:sz w:val="21"/>
        </w:rPr>
        <w:t> </w:t>
      </w:r>
      <w:r>
        <w:rPr>
          <w:w w:val="105"/>
          <w:sz w:val="21"/>
        </w:rPr>
        <w:t>the</w:t>
      </w:r>
      <w:r>
        <w:rPr>
          <w:spacing w:val="-8"/>
          <w:w w:val="105"/>
          <w:sz w:val="21"/>
        </w:rPr>
        <w:t> </w:t>
      </w:r>
      <w:r>
        <w:rPr>
          <w:w w:val="105"/>
          <w:sz w:val="21"/>
        </w:rPr>
        <w:t>tree</w:t>
      </w:r>
      <w:r>
        <w:rPr>
          <w:spacing w:val="-8"/>
          <w:w w:val="105"/>
          <w:sz w:val="21"/>
        </w:rPr>
        <w:t> </w:t>
      </w:r>
      <w:r>
        <w:rPr>
          <w:w w:val="105"/>
          <w:sz w:val="21"/>
        </w:rPr>
        <w:t>owner</w:t>
      </w:r>
      <w:r>
        <w:rPr>
          <w:spacing w:val="-7"/>
          <w:w w:val="105"/>
          <w:sz w:val="21"/>
        </w:rPr>
        <w:t> </w:t>
      </w:r>
      <w:r>
        <w:rPr>
          <w:spacing w:val="-3"/>
          <w:w w:val="105"/>
          <w:sz w:val="21"/>
        </w:rPr>
        <w:t>to</w:t>
      </w:r>
      <w:r>
        <w:rPr>
          <w:spacing w:val="-8"/>
          <w:w w:val="105"/>
          <w:sz w:val="21"/>
        </w:rPr>
        <w:t> </w:t>
      </w:r>
      <w:r>
        <w:rPr>
          <w:w w:val="105"/>
          <w:sz w:val="21"/>
        </w:rPr>
        <w:t>resolve</w:t>
      </w:r>
      <w:r>
        <w:rPr>
          <w:spacing w:val="-8"/>
          <w:w w:val="105"/>
          <w:sz w:val="21"/>
        </w:rPr>
        <w:t> </w:t>
      </w:r>
      <w:r>
        <w:rPr>
          <w:w w:val="105"/>
          <w:sz w:val="21"/>
        </w:rPr>
        <w:t>the</w:t>
      </w:r>
      <w:r>
        <w:rPr>
          <w:spacing w:val="-7"/>
          <w:w w:val="105"/>
          <w:sz w:val="21"/>
        </w:rPr>
        <w:t> </w:t>
      </w:r>
      <w:r>
        <w:rPr>
          <w:spacing w:val="-3"/>
          <w:w w:val="105"/>
          <w:sz w:val="21"/>
        </w:rPr>
        <w:t>dispute.</w:t>
      </w:r>
      <w:r>
        <w:rPr>
          <w:spacing w:val="-8"/>
          <w:w w:val="105"/>
          <w:sz w:val="21"/>
        </w:rPr>
        <w:t> </w:t>
      </w:r>
      <w:r>
        <w:rPr>
          <w:w w:val="105"/>
          <w:sz w:val="21"/>
        </w:rPr>
        <w:t>If</w:t>
      </w:r>
      <w:r>
        <w:rPr>
          <w:spacing w:val="-8"/>
          <w:w w:val="105"/>
          <w:sz w:val="21"/>
        </w:rPr>
        <w:t> </w:t>
      </w:r>
      <w:r>
        <w:rPr>
          <w:w w:val="105"/>
          <w:sz w:val="21"/>
        </w:rPr>
        <w:t>the</w:t>
      </w:r>
      <w:r>
        <w:rPr>
          <w:spacing w:val="-7"/>
          <w:w w:val="105"/>
          <w:sz w:val="21"/>
        </w:rPr>
        <w:t> </w:t>
      </w:r>
      <w:r>
        <w:rPr>
          <w:w w:val="105"/>
          <w:sz w:val="21"/>
        </w:rPr>
        <w:t>tree owner </w:t>
      </w:r>
      <w:r>
        <w:rPr>
          <w:spacing w:val="-2"/>
          <w:w w:val="105"/>
          <w:sz w:val="21"/>
        </w:rPr>
        <w:t>has </w:t>
      </w:r>
      <w:r>
        <w:rPr>
          <w:spacing w:val="-3"/>
          <w:w w:val="105"/>
          <w:sz w:val="21"/>
        </w:rPr>
        <w:t>taken </w:t>
      </w:r>
      <w:r>
        <w:rPr>
          <w:w w:val="105"/>
          <w:sz w:val="21"/>
        </w:rPr>
        <w:t>steps </w:t>
      </w:r>
      <w:r>
        <w:rPr>
          <w:spacing w:val="-3"/>
          <w:w w:val="105"/>
          <w:sz w:val="21"/>
        </w:rPr>
        <w:t>to prevent </w:t>
      </w:r>
      <w:r>
        <w:rPr>
          <w:w w:val="105"/>
          <w:sz w:val="21"/>
        </w:rPr>
        <w:t>damage or </w:t>
      </w:r>
      <w:r>
        <w:rPr>
          <w:spacing w:val="-3"/>
          <w:w w:val="105"/>
          <w:sz w:val="21"/>
        </w:rPr>
        <w:t>harm </w:t>
      </w:r>
      <w:r>
        <w:rPr>
          <w:w w:val="105"/>
          <w:sz w:val="21"/>
        </w:rPr>
        <w:t>then this </w:t>
      </w:r>
      <w:r>
        <w:rPr>
          <w:spacing w:val="-3"/>
          <w:w w:val="105"/>
          <w:sz w:val="21"/>
        </w:rPr>
        <w:t>may </w:t>
      </w:r>
      <w:r>
        <w:rPr>
          <w:w w:val="105"/>
          <w:sz w:val="21"/>
        </w:rPr>
        <w:t>mean </w:t>
      </w:r>
      <w:r>
        <w:rPr>
          <w:spacing w:val="-3"/>
          <w:w w:val="105"/>
          <w:sz w:val="21"/>
        </w:rPr>
        <w:t>that </w:t>
      </w:r>
      <w:r>
        <w:rPr>
          <w:w w:val="105"/>
          <w:sz w:val="21"/>
        </w:rPr>
        <w:t>an order </w:t>
      </w:r>
      <w:r>
        <w:rPr>
          <w:spacing w:val="-3"/>
          <w:w w:val="105"/>
          <w:sz w:val="21"/>
        </w:rPr>
        <w:t>for </w:t>
      </w:r>
      <w:r>
        <w:rPr>
          <w:w w:val="105"/>
          <w:sz w:val="21"/>
        </w:rPr>
        <w:t>ongoing </w:t>
      </w:r>
      <w:r>
        <w:rPr>
          <w:spacing w:val="-3"/>
          <w:w w:val="105"/>
          <w:sz w:val="21"/>
        </w:rPr>
        <w:t>maintenance </w:t>
      </w:r>
      <w:r>
        <w:rPr>
          <w:w w:val="105"/>
          <w:sz w:val="21"/>
        </w:rPr>
        <w:t>is more </w:t>
      </w:r>
      <w:r>
        <w:rPr>
          <w:spacing w:val="-3"/>
          <w:w w:val="105"/>
          <w:sz w:val="21"/>
        </w:rPr>
        <w:t>appropriate than </w:t>
      </w:r>
      <w:r>
        <w:rPr>
          <w:w w:val="105"/>
          <w:sz w:val="21"/>
        </w:rPr>
        <w:t>tree</w:t>
      </w:r>
      <w:r>
        <w:rPr>
          <w:spacing w:val="35"/>
          <w:w w:val="105"/>
          <w:sz w:val="21"/>
        </w:rPr>
        <w:t> </w:t>
      </w:r>
      <w:r>
        <w:rPr>
          <w:spacing w:val="-3"/>
          <w:w w:val="105"/>
          <w:sz w:val="21"/>
        </w:rPr>
        <w:t>removal.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r>
        <w:rPr/>
        <w:pict>
          <v:line style="position:absolute;mso-position-horizontal-relative:page;mso-position-vertical-relative:paragraph;z-index:7832;mso-wrap-distance-left:0;mso-wrap-distance-right:0" from="79.370003pt,17.741083pt" to="515.905003pt,17.74108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spacing w:before="4"/>
        <w:rPr>
          <w:sz w:val="29"/>
        </w:rPr>
      </w:pPr>
    </w:p>
    <w:p>
      <w:pPr>
        <w:spacing w:before="0"/>
        <w:ind w:left="720" w:right="0" w:firstLine="0"/>
        <w:jc w:val="left"/>
        <w:rPr>
          <w:b/>
          <w:sz w:val="24"/>
        </w:rPr>
      </w:pPr>
      <w:r>
        <w:rPr>
          <w:b/>
          <w:color w:val="658464"/>
          <w:spacing w:val="-9"/>
          <w:w w:val="110"/>
          <w:sz w:val="24"/>
        </w:rPr>
        <w:t>174</w:t>
      </w:r>
    </w:p>
    <w:p>
      <w:pPr>
        <w:pStyle w:val="ListParagraph"/>
        <w:numPr>
          <w:ilvl w:val="0"/>
          <w:numId w:val="129"/>
        </w:numPr>
        <w:tabs>
          <w:tab w:pos="1246" w:val="left" w:leader="none"/>
          <w:tab w:pos="1247" w:val="left" w:leader="none"/>
        </w:tabs>
        <w:spacing w:line="240" w:lineRule="auto" w:before="48" w:after="0"/>
        <w:ind w:left="1246" w:right="0" w:hanging="794"/>
        <w:jc w:val="left"/>
        <w:rPr>
          <w:sz w:val="13"/>
        </w:rPr>
      </w:pPr>
      <w:r>
        <w:rPr>
          <w:spacing w:val="2"/>
          <w:w w:val="108"/>
          <w:sz w:val="13"/>
        </w:rPr>
        <w:br w:type="column"/>
      </w:r>
      <w:r>
        <w:rPr>
          <w:w w:val="105"/>
          <w:sz w:val="13"/>
        </w:rPr>
        <w:t>See,</w:t>
      </w:r>
      <w:r>
        <w:rPr>
          <w:spacing w:val="10"/>
          <w:w w:val="105"/>
          <w:sz w:val="13"/>
        </w:rPr>
        <w:t> </w:t>
      </w:r>
      <w:r>
        <w:rPr>
          <w:w w:val="105"/>
          <w:sz w:val="13"/>
        </w:rPr>
        <w:t>eg,</w:t>
      </w:r>
      <w:r>
        <w:rPr>
          <w:spacing w:val="10"/>
          <w:w w:val="105"/>
          <w:sz w:val="13"/>
        </w:rPr>
        <w:t> </w:t>
      </w:r>
      <w:r>
        <w:rPr>
          <w:i/>
          <w:w w:val="105"/>
          <w:sz w:val="13"/>
        </w:rPr>
        <w:t>Aboriginal</w:t>
      </w:r>
      <w:r>
        <w:rPr>
          <w:i/>
          <w:spacing w:val="10"/>
          <w:w w:val="105"/>
          <w:sz w:val="13"/>
        </w:rPr>
        <w:t> </w:t>
      </w:r>
      <w:r>
        <w:rPr>
          <w:i/>
          <w:w w:val="105"/>
          <w:sz w:val="13"/>
        </w:rPr>
        <w:t>Heritage</w:t>
      </w:r>
      <w:r>
        <w:rPr>
          <w:i/>
          <w:spacing w:val="11"/>
          <w:w w:val="105"/>
          <w:sz w:val="13"/>
        </w:rPr>
        <w:t> </w:t>
      </w:r>
      <w:r>
        <w:rPr>
          <w:i/>
          <w:w w:val="105"/>
          <w:sz w:val="13"/>
        </w:rPr>
        <w:t>Act</w:t>
      </w:r>
      <w:r>
        <w:rPr>
          <w:i/>
          <w:spacing w:val="10"/>
          <w:w w:val="105"/>
          <w:sz w:val="13"/>
        </w:rPr>
        <w:t> </w:t>
      </w:r>
      <w:r>
        <w:rPr>
          <w:i/>
          <w:w w:val="105"/>
          <w:sz w:val="13"/>
        </w:rPr>
        <w:t>2006</w:t>
      </w:r>
      <w:r>
        <w:rPr>
          <w:i/>
          <w:spacing w:val="10"/>
          <w:w w:val="105"/>
          <w:sz w:val="13"/>
        </w:rPr>
        <w:t> </w:t>
      </w:r>
      <w:r>
        <w:rPr>
          <w:spacing w:val="2"/>
          <w:w w:val="105"/>
          <w:sz w:val="13"/>
        </w:rPr>
        <w:t>(Vic)</w:t>
      </w:r>
      <w:r>
        <w:rPr>
          <w:spacing w:val="10"/>
          <w:w w:val="105"/>
          <w:sz w:val="13"/>
        </w:rPr>
        <w:t> </w:t>
      </w:r>
      <w:r>
        <w:rPr>
          <w:w w:val="105"/>
          <w:sz w:val="13"/>
        </w:rPr>
        <w:t>s</w:t>
      </w:r>
      <w:r>
        <w:rPr>
          <w:spacing w:val="11"/>
          <w:w w:val="105"/>
          <w:sz w:val="13"/>
        </w:rPr>
        <w:t> </w:t>
      </w:r>
      <w:r>
        <w:rPr>
          <w:spacing w:val="3"/>
          <w:w w:val="105"/>
          <w:sz w:val="13"/>
        </w:rPr>
        <w:t>29(c).</w:t>
      </w:r>
    </w:p>
    <w:p>
      <w:pPr>
        <w:pStyle w:val="ListParagraph"/>
        <w:numPr>
          <w:ilvl w:val="0"/>
          <w:numId w:val="129"/>
        </w:numPr>
        <w:tabs>
          <w:tab w:pos="1246" w:val="left" w:leader="none"/>
          <w:tab w:pos="1247" w:val="left" w:leader="none"/>
        </w:tabs>
        <w:spacing w:line="240" w:lineRule="auto" w:before="1" w:after="0"/>
        <w:ind w:left="452" w:right="5199" w:firstLine="0"/>
        <w:jc w:val="left"/>
        <w:rPr>
          <w:sz w:val="13"/>
        </w:rPr>
      </w:pPr>
      <w:r>
        <w:rPr>
          <w:w w:val="105"/>
          <w:sz w:val="13"/>
        </w:rPr>
        <w:t>See </w:t>
      </w:r>
      <w:r>
        <w:rPr>
          <w:i/>
          <w:w w:val="105"/>
          <w:sz w:val="13"/>
        </w:rPr>
        <w:t>Neighbourhood Disputes (Dividing Fences and Trees) </w:t>
      </w:r>
      <w:r>
        <w:rPr>
          <w:i/>
          <w:spacing w:val="-4"/>
          <w:w w:val="105"/>
          <w:sz w:val="13"/>
        </w:rPr>
        <w:t>2011 </w:t>
      </w:r>
      <w:r>
        <w:rPr>
          <w:spacing w:val="2"/>
          <w:w w:val="105"/>
          <w:sz w:val="13"/>
        </w:rPr>
        <w:t>(Qld) </w:t>
      </w:r>
      <w:r>
        <w:rPr>
          <w:w w:val="105"/>
          <w:sz w:val="13"/>
        </w:rPr>
        <w:t>s </w:t>
      </w:r>
      <w:r>
        <w:rPr>
          <w:spacing w:val="2"/>
          <w:w w:val="105"/>
          <w:sz w:val="13"/>
        </w:rPr>
        <w:t>73(2). </w:t>
      </w:r>
      <w:r>
        <w:rPr>
          <w:w w:val="105"/>
          <w:sz w:val="13"/>
        </w:rPr>
        <w:t>93</w:t>
        <w:tab/>
      </w:r>
      <w:r>
        <w:rPr>
          <w:spacing w:val="2"/>
          <w:w w:val="105"/>
          <w:sz w:val="13"/>
        </w:rPr>
        <w:t>(2008) </w:t>
      </w:r>
      <w:r>
        <w:rPr>
          <w:w w:val="105"/>
          <w:sz w:val="13"/>
        </w:rPr>
        <w:t>72 </w:t>
      </w:r>
      <w:r>
        <w:rPr>
          <w:spacing w:val="2"/>
          <w:w w:val="105"/>
          <w:sz w:val="13"/>
        </w:rPr>
        <w:t>NSWLR </w:t>
      </w:r>
      <w:r>
        <w:rPr>
          <w:w w:val="105"/>
          <w:sz w:val="13"/>
        </w:rPr>
        <w:t>98</w:t>
      </w:r>
      <w:r>
        <w:rPr>
          <w:spacing w:val="15"/>
          <w:w w:val="105"/>
          <w:sz w:val="13"/>
        </w:rPr>
        <w:t> </w:t>
      </w:r>
      <w:r>
        <w:rPr>
          <w:w w:val="105"/>
          <w:sz w:val="13"/>
        </w:rPr>
        <w:t>[222].</w:t>
      </w:r>
    </w:p>
    <w:p>
      <w:pPr>
        <w:pStyle w:val="ListParagraph"/>
        <w:numPr>
          <w:ilvl w:val="0"/>
          <w:numId w:val="130"/>
        </w:numPr>
        <w:tabs>
          <w:tab w:pos="1246" w:val="left" w:leader="none"/>
          <w:tab w:pos="1247" w:val="left" w:leader="none"/>
        </w:tabs>
        <w:spacing w:line="240" w:lineRule="auto" w:before="3" w:after="0"/>
        <w:ind w:left="1246" w:right="0" w:hanging="794"/>
        <w:jc w:val="left"/>
        <w:rPr>
          <w:sz w:val="13"/>
        </w:rPr>
      </w:pPr>
      <w:r>
        <w:rPr>
          <w:w w:val="105"/>
          <w:sz w:val="13"/>
        </w:rPr>
        <w:t>See</w:t>
      </w:r>
      <w:r>
        <w:rPr>
          <w:spacing w:val="4"/>
          <w:w w:val="105"/>
          <w:sz w:val="13"/>
        </w:rPr>
        <w:t> </w:t>
      </w:r>
      <w:r>
        <w:rPr>
          <w:i/>
          <w:w w:val="105"/>
          <w:sz w:val="13"/>
        </w:rPr>
        <w:t>Tree</w:t>
      </w:r>
      <w:r>
        <w:rPr>
          <w:i/>
          <w:spacing w:val="5"/>
          <w:w w:val="105"/>
          <w:sz w:val="13"/>
        </w:rPr>
        <w:t> </w:t>
      </w:r>
      <w:r>
        <w:rPr>
          <w:i/>
          <w:w w:val="105"/>
          <w:sz w:val="13"/>
        </w:rPr>
        <w:t>Protection</w:t>
      </w:r>
      <w:r>
        <w:rPr>
          <w:i/>
          <w:spacing w:val="5"/>
          <w:w w:val="105"/>
          <w:sz w:val="13"/>
        </w:rPr>
        <w:t> </w:t>
      </w:r>
      <w:r>
        <w:rPr>
          <w:i/>
          <w:w w:val="105"/>
          <w:sz w:val="13"/>
        </w:rPr>
        <w:t>Local</w:t>
      </w:r>
      <w:r>
        <w:rPr>
          <w:i/>
          <w:spacing w:val="4"/>
          <w:w w:val="105"/>
          <w:sz w:val="13"/>
        </w:rPr>
        <w:t> </w:t>
      </w:r>
      <w:r>
        <w:rPr>
          <w:i/>
          <w:w w:val="105"/>
          <w:sz w:val="13"/>
        </w:rPr>
        <w:t>Law</w:t>
      </w:r>
      <w:r>
        <w:rPr>
          <w:i/>
          <w:spacing w:val="5"/>
          <w:w w:val="105"/>
          <w:sz w:val="13"/>
        </w:rPr>
        <w:t> </w:t>
      </w:r>
      <w:r>
        <w:rPr>
          <w:i/>
          <w:spacing w:val="-3"/>
          <w:w w:val="105"/>
          <w:sz w:val="13"/>
        </w:rPr>
        <w:t>2016</w:t>
      </w:r>
      <w:r>
        <w:rPr>
          <w:i/>
          <w:spacing w:val="5"/>
          <w:w w:val="105"/>
          <w:sz w:val="13"/>
        </w:rPr>
        <w:t> </w:t>
      </w:r>
      <w:r>
        <w:rPr>
          <w:w w:val="105"/>
          <w:sz w:val="13"/>
        </w:rPr>
        <w:t>(City</w:t>
      </w:r>
      <w:r>
        <w:rPr>
          <w:spacing w:val="5"/>
          <w:w w:val="105"/>
          <w:sz w:val="13"/>
        </w:rPr>
        <w:t> </w:t>
      </w:r>
      <w:r>
        <w:rPr>
          <w:w w:val="105"/>
          <w:sz w:val="13"/>
        </w:rPr>
        <w:t>of</w:t>
      </w:r>
      <w:r>
        <w:rPr>
          <w:spacing w:val="4"/>
          <w:w w:val="105"/>
          <w:sz w:val="13"/>
        </w:rPr>
        <w:t> </w:t>
      </w:r>
      <w:r>
        <w:rPr>
          <w:w w:val="105"/>
          <w:sz w:val="13"/>
        </w:rPr>
        <w:t>Boroondara)</w:t>
      </w:r>
      <w:r>
        <w:rPr>
          <w:spacing w:val="5"/>
          <w:w w:val="105"/>
          <w:sz w:val="13"/>
        </w:rPr>
        <w:t> </w:t>
      </w:r>
      <w:r>
        <w:rPr>
          <w:w w:val="105"/>
          <w:sz w:val="13"/>
        </w:rPr>
        <w:t>s</w:t>
      </w:r>
      <w:r>
        <w:rPr>
          <w:spacing w:val="5"/>
          <w:w w:val="105"/>
          <w:sz w:val="13"/>
        </w:rPr>
        <w:t> </w:t>
      </w:r>
      <w:r>
        <w:rPr>
          <w:w w:val="105"/>
          <w:sz w:val="13"/>
        </w:rPr>
        <w:t>12(2).</w:t>
      </w:r>
    </w:p>
    <w:p>
      <w:pPr>
        <w:pStyle w:val="ListParagraph"/>
        <w:numPr>
          <w:ilvl w:val="0"/>
          <w:numId w:val="130"/>
        </w:numPr>
        <w:tabs>
          <w:tab w:pos="1246" w:val="left" w:leader="none"/>
          <w:tab w:pos="1247" w:val="left" w:leader="none"/>
        </w:tabs>
        <w:spacing w:line="240" w:lineRule="auto" w:before="1" w:after="0"/>
        <w:ind w:left="1246" w:right="0" w:hanging="794"/>
        <w:jc w:val="left"/>
        <w:rPr>
          <w:sz w:val="13"/>
        </w:rPr>
      </w:pPr>
      <w:r>
        <w:rPr>
          <w:i/>
          <w:w w:val="105"/>
          <w:sz w:val="13"/>
        </w:rPr>
        <w:t>Morris v Kedziora </w:t>
      </w:r>
      <w:r>
        <w:rPr>
          <w:spacing w:val="-3"/>
          <w:w w:val="105"/>
          <w:sz w:val="13"/>
        </w:rPr>
        <w:t>[2011]  </w:t>
      </w:r>
      <w:r>
        <w:rPr>
          <w:w w:val="105"/>
          <w:sz w:val="13"/>
        </w:rPr>
        <w:t>NSWLEC </w:t>
      </w:r>
      <w:r>
        <w:rPr>
          <w:spacing w:val="17"/>
          <w:w w:val="105"/>
          <w:sz w:val="13"/>
        </w:rPr>
        <w:t> </w:t>
      </w:r>
      <w:r>
        <w:rPr>
          <w:spacing w:val="-3"/>
          <w:w w:val="105"/>
          <w:sz w:val="13"/>
        </w:rPr>
        <w:t>1156.</w:t>
      </w:r>
    </w:p>
    <w:p>
      <w:pPr>
        <w:pStyle w:val="ListParagraph"/>
        <w:numPr>
          <w:ilvl w:val="0"/>
          <w:numId w:val="130"/>
        </w:numPr>
        <w:tabs>
          <w:tab w:pos="1246" w:val="left" w:leader="none"/>
          <w:tab w:pos="1247" w:val="left" w:leader="none"/>
        </w:tabs>
        <w:spacing w:line="240" w:lineRule="auto" w:before="2" w:after="0"/>
        <w:ind w:left="1246" w:right="1780" w:hanging="794"/>
        <w:jc w:val="left"/>
        <w:rPr>
          <w:sz w:val="13"/>
        </w:rPr>
      </w:pPr>
      <w:r>
        <w:rPr>
          <w:w w:val="105"/>
          <w:sz w:val="13"/>
        </w:rPr>
        <w:t>In </w:t>
      </w:r>
      <w:r>
        <w:rPr>
          <w:i/>
          <w:w w:val="105"/>
          <w:sz w:val="13"/>
        </w:rPr>
        <w:t>Morris v Kedziora </w:t>
      </w:r>
      <w:r>
        <w:rPr>
          <w:spacing w:val="-3"/>
          <w:w w:val="105"/>
          <w:sz w:val="13"/>
        </w:rPr>
        <w:t>[2011] </w:t>
      </w:r>
      <w:r>
        <w:rPr>
          <w:w w:val="105"/>
          <w:sz w:val="13"/>
        </w:rPr>
        <w:t>NSWLEC </w:t>
      </w:r>
      <w:r>
        <w:rPr>
          <w:spacing w:val="-4"/>
          <w:w w:val="105"/>
          <w:sz w:val="13"/>
        </w:rPr>
        <w:t>1156 </w:t>
      </w:r>
      <w:r>
        <w:rPr>
          <w:w w:val="105"/>
          <w:sz w:val="13"/>
        </w:rPr>
        <w:t>the Court determined that pruning the tree would make it unstable and therefore the Court ordered its removal. The lopping sought by the applicants (that is, the ‘flat-topping’ of the tree) would have had a detrimental impact on the structural integrity of the tree</w:t>
      </w:r>
      <w:r>
        <w:rPr>
          <w:spacing w:val="26"/>
          <w:w w:val="105"/>
          <w:sz w:val="13"/>
        </w:rPr>
        <w:t> </w:t>
      </w:r>
      <w:r>
        <w:rPr>
          <w:w w:val="105"/>
          <w:sz w:val="13"/>
        </w:rPr>
        <w:t>[17].</w:t>
      </w:r>
    </w:p>
    <w:p>
      <w:pPr>
        <w:pStyle w:val="ListParagraph"/>
        <w:numPr>
          <w:ilvl w:val="0"/>
          <w:numId w:val="130"/>
        </w:numPr>
        <w:tabs>
          <w:tab w:pos="1246" w:val="left" w:leader="none"/>
          <w:tab w:pos="1247" w:val="left" w:leader="none"/>
        </w:tabs>
        <w:spacing w:line="240" w:lineRule="auto" w:before="4" w:after="0"/>
        <w:ind w:left="1246" w:right="0" w:hanging="794"/>
        <w:jc w:val="left"/>
        <w:rPr>
          <w:sz w:val="13"/>
        </w:rPr>
      </w:pPr>
      <w:r>
        <w:rPr>
          <w:w w:val="105"/>
          <w:sz w:val="13"/>
        </w:rPr>
        <w:t>See,</w:t>
      </w:r>
      <w:r>
        <w:rPr>
          <w:spacing w:val="5"/>
          <w:w w:val="105"/>
          <w:sz w:val="13"/>
        </w:rPr>
        <w:t> </w:t>
      </w:r>
      <w:r>
        <w:rPr>
          <w:w w:val="105"/>
          <w:sz w:val="13"/>
        </w:rPr>
        <w:t>eg,</w:t>
      </w:r>
      <w:r>
        <w:rPr>
          <w:spacing w:val="5"/>
          <w:w w:val="105"/>
          <w:sz w:val="13"/>
        </w:rPr>
        <w:t> </w:t>
      </w:r>
      <w:r>
        <w:rPr>
          <w:i/>
          <w:w w:val="105"/>
          <w:sz w:val="13"/>
        </w:rPr>
        <w:t>O’Connell</w:t>
      </w:r>
      <w:r>
        <w:rPr>
          <w:i/>
          <w:spacing w:val="6"/>
          <w:w w:val="105"/>
          <w:sz w:val="13"/>
        </w:rPr>
        <w:t> </w:t>
      </w:r>
      <w:r>
        <w:rPr>
          <w:i/>
          <w:w w:val="105"/>
          <w:sz w:val="13"/>
        </w:rPr>
        <w:t>v</w:t>
      </w:r>
      <w:r>
        <w:rPr>
          <w:i/>
          <w:spacing w:val="5"/>
          <w:w w:val="105"/>
          <w:sz w:val="13"/>
        </w:rPr>
        <w:t> </w:t>
      </w:r>
      <w:r>
        <w:rPr>
          <w:i/>
          <w:w w:val="105"/>
          <w:sz w:val="13"/>
        </w:rPr>
        <w:t>Gallagher</w:t>
      </w:r>
      <w:r>
        <w:rPr>
          <w:i/>
          <w:spacing w:val="6"/>
          <w:w w:val="105"/>
          <w:sz w:val="13"/>
        </w:rPr>
        <w:t> </w:t>
      </w:r>
      <w:r>
        <w:rPr>
          <w:w w:val="105"/>
          <w:sz w:val="13"/>
        </w:rPr>
        <w:t>[2007]</w:t>
      </w:r>
      <w:r>
        <w:rPr>
          <w:spacing w:val="5"/>
          <w:w w:val="105"/>
          <w:sz w:val="13"/>
        </w:rPr>
        <w:t> </w:t>
      </w:r>
      <w:r>
        <w:rPr>
          <w:w w:val="105"/>
          <w:sz w:val="13"/>
        </w:rPr>
        <w:t>NSWLEC</w:t>
      </w:r>
      <w:r>
        <w:rPr>
          <w:spacing w:val="5"/>
          <w:w w:val="105"/>
          <w:sz w:val="13"/>
        </w:rPr>
        <w:t> </w:t>
      </w:r>
      <w:r>
        <w:rPr>
          <w:w w:val="105"/>
          <w:sz w:val="13"/>
        </w:rPr>
        <w:t>718;</w:t>
      </w:r>
      <w:r>
        <w:rPr>
          <w:spacing w:val="6"/>
          <w:w w:val="105"/>
          <w:sz w:val="13"/>
        </w:rPr>
        <w:t> </w:t>
      </w:r>
      <w:r>
        <w:rPr>
          <w:i/>
          <w:w w:val="105"/>
          <w:sz w:val="13"/>
        </w:rPr>
        <w:t>Culgan</w:t>
      </w:r>
      <w:r>
        <w:rPr>
          <w:i/>
          <w:spacing w:val="5"/>
          <w:w w:val="105"/>
          <w:sz w:val="13"/>
        </w:rPr>
        <w:t> </w:t>
      </w:r>
      <w:r>
        <w:rPr>
          <w:i/>
          <w:w w:val="105"/>
          <w:sz w:val="13"/>
        </w:rPr>
        <w:t>v</w:t>
      </w:r>
      <w:r>
        <w:rPr>
          <w:i/>
          <w:spacing w:val="6"/>
          <w:w w:val="105"/>
          <w:sz w:val="13"/>
        </w:rPr>
        <w:t> </w:t>
      </w:r>
      <w:r>
        <w:rPr>
          <w:i/>
          <w:w w:val="105"/>
          <w:sz w:val="13"/>
        </w:rPr>
        <w:t>Bradley</w:t>
      </w:r>
      <w:r>
        <w:rPr>
          <w:i/>
          <w:spacing w:val="5"/>
          <w:w w:val="105"/>
          <w:sz w:val="13"/>
        </w:rPr>
        <w:t> </w:t>
      </w:r>
      <w:r>
        <w:rPr>
          <w:spacing w:val="2"/>
          <w:w w:val="105"/>
          <w:sz w:val="13"/>
        </w:rPr>
        <w:t>[2009]</w:t>
      </w:r>
      <w:r>
        <w:rPr>
          <w:spacing w:val="6"/>
          <w:w w:val="105"/>
          <w:sz w:val="13"/>
        </w:rPr>
        <w:t> </w:t>
      </w:r>
      <w:r>
        <w:rPr>
          <w:w w:val="105"/>
          <w:sz w:val="13"/>
        </w:rPr>
        <w:t>NSWLEC</w:t>
      </w:r>
      <w:r>
        <w:rPr>
          <w:spacing w:val="5"/>
          <w:w w:val="105"/>
          <w:sz w:val="13"/>
        </w:rPr>
        <w:t> </w:t>
      </w:r>
      <w:r>
        <w:rPr>
          <w:spacing w:val="-4"/>
          <w:w w:val="105"/>
          <w:sz w:val="13"/>
        </w:rPr>
        <w:t>1347.</w:t>
      </w:r>
    </w:p>
    <w:p>
      <w:pPr>
        <w:pStyle w:val="ListParagraph"/>
        <w:numPr>
          <w:ilvl w:val="0"/>
          <w:numId w:val="130"/>
        </w:numPr>
        <w:tabs>
          <w:tab w:pos="1246" w:val="left" w:leader="none"/>
          <w:tab w:pos="1247" w:val="left" w:leader="none"/>
        </w:tabs>
        <w:spacing w:line="240" w:lineRule="auto" w:before="1" w:after="0"/>
        <w:ind w:left="1246" w:right="0" w:hanging="794"/>
        <w:jc w:val="left"/>
        <w:rPr>
          <w:sz w:val="13"/>
        </w:rPr>
      </w:pPr>
      <w:r>
        <w:rPr>
          <w:w w:val="105"/>
          <w:sz w:val="13"/>
        </w:rPr>
        <w:t>See,</w:t>
      </w:r>
      <w:r>
        <w:rPr>
          <w:spacing w:val="5"/>
          <w:w w:val="105"/>
          <w:sz w:val="13"/>
        </w:rPr>
        <w:t> </w:t>
      </w:r>
      <w:r>
        <w:rPr>
          <w:w w:val="105"/>
          <w:sz w:val="13"/>
        </w:rPr>
        <w:t>eg,</w:t>
      </w:r>
      <w:r>
        <w:rPr>
          <w:spacing w:val="6"/>
          <w:w w:val="105"/>
          <w:sz w:val="13"/>
        </w:rPr>
        <w:t> </w:t>
      </w:r>
      <w:r>
        <w:rPr>
          <w:i/>
          <w:w w:val="105"/>
          <w:sz w:val="13"/>
        </w:rPr>
        <w:t>Osborne</w:t>
      </w:r>
      <w:r>
        <w:rPr>
          <w:i/>
          <w:spacing w:val="5"/>
          <w:w w:val="105"/>
          <w:sz w:val="13"/>
        </w:rPr>
        <w:t> </w:t>
      </w:r>
      <w:r>
        <w:rPr>
          <w:i/>
          <w:w w:val="105"/>
          <w:sz w:val="13"/>
        </w:rPr>
        <w:t>v</w:t>
      </w:r>
      <w:r>
        <w:rPr>
          <w:i/>
          <w:spacing w:val="6"/>
          <w:w w:val="105"/>
          <w:sz w:val="13"/>
        </w:rPr>
        <w:t> </w:t>
      </w:r>
      <w:r>
        <w:rPr>
          <w:i/>
          <w:w w:val="105"/>
          <w:sz w:val="13"/>
        </w:rPr>
        <w:t>Hook</w:t>
      </w:r>
      <w:r>
        <w:rPr>
          <w:i/>
          <w:spacing w:val="5"/>
          <w:w w:val="105"/>
          <w:sz w:val="13"/>
        </w:rPr>
        <w:t> </w:t>
      </w:r>
      <w:r>
        <w:rPr>
          <w:spacing w:val="2"/>
          <w:w w:val="105"/>
          <w:sz w:val="13"/>
        </w:rPr>
        <w:t>[2008]</w:t>
      </w:r>
      <w:r>
        <w:rPr>
          <w:spacing w:val="6"/>
          <w:w w:val="105"/>
          <w:sz w:val="13"/>
        </w:rPr>
        <w:t> </w:t>
      </w:r>
      <w:r>
        <w:rPr>
          <w:w w:val="105"/>
          <w:sz w:val="13"/>
        </w:rPr>
        <w:t>NSWLEC</w:t>
      </w:r>
      <w:r>
        <w:rPr>
          <w:spacing w:val="6"/>
          <w:w w:val="105"/>
          <w:sz w:val="13"/>
        </w:rPr>
        <w:t> </w:t>
      </w:r>
      <w:r>
        <w:rPr>
          <w:spacing w:val="-3"/>
          <w:w w:val="105"/>
          <w:sz w:val="13"/>
        </w:rPr>
        <w:t>1231;</w:t>
      </w:r>
      <w:r>
        <w:rPr>
          <w:spacing w:val="5"/>
          <w:w w:val="105"/>
          <w:sz w:val="13"/>
        </w:rPr>
        <w:t> </w:t>
      </w:r>
      <w:r>
        <w:rPr>
          <w:i/>
          <w:w w:val="105"/>
          <w:sz w:val="13"/>
        </w:rPr>
        <w:t>Turner</w:t>
      </w:r>
      <w:r>
        <w:rPr>
          <w:i/>
          <w:spacing w:val="6"/>
          <w:w w:val="105"/>
          <w:sz w:val="13"/>
        </w:rPr>
        <w:t> </w:t>
      </w:r>
      <w:r>
        <w:rPr>
          <w:i/>
          <w:w w:val="105"/>
          <w:sz w:val="13"/>
        </w:rPr>
        <w:t>v</w:t>
      </w:r>
      <w:r>
        <w:rPr>
          <w:i/>
          <w:spacing w:val="5"/>
          <w:w w:val="105"/>
          <w:sz w:val="13"/>
        </w:rPr>
        <w:t> </w:t>
      </w:r>
      <w:r>
        <w:rPr>
          <w:i/>
          <w:w w:val="105"/>
          <w:sz w:val="13"/>
        </w:rPr>
        <w:t>O’Donnell</w:t>
      </w:r>
      <w:r>
        <w:rPr>
          <w:i/>
          <w:spacing w:val="6"/>
          <w:w w:val="105"/>
          <w:sz w:val="13"/>
        </w:rPr>
        <w:t> </w:t>
      </w:r>
      <w:r>
        <w:rPr>
          <w:spacing w:val="2"/>
          <w:w w:val="105"/>
          <w:sz w:val="13"/>
        </w:rPr>
        <w:t>[2009]</w:t>
      </w:r>
      <w:r>
        <w:rPr>
          <w:spacing w:val="5"/>
          <w:w w:val="105"/>
          <w:sz w:val="13"/>
        </w:rPr>
        <w:t> </w:t>
      </w:r>
      <w:r>
        <w:rPr>
          <w:w w:val="105"/>
          <w:sz w:val="13"/>
        </w:rPr>
        <w:t>NSWLEC</w:t>
      </w:r>
      <w:r>
        <w:rPr>
          <w:spacing w:val="6"/>
          <w:w w:val="105"/>
          <w:sz w:val="13"/>
        </w:rPr>
        <w:t> </w:t>
      </w:r>
      <w:r>
        <w:rPr>
          <w:w w:val="105"/>
          <w:sz w:val="13"/>
        </w:rPr>
        <w:t>1349</w:t>
      </w:r>
      <w:r>
        <w:rPr>
          <w:spacing w:val="6"/>
          <w:w w:val="105"/>
          <w:sz w:val="13"/>
        </w:rPr>
        <w:t> </w:t>
      </w:r>
      <w:r>
        <w:rPr>
          <w:spacing w:val="2"/>
          <w:w w:val="105"/>
          <w:sz w:val="13"/>
        </w:rPr>
        <w:t>[23].</w:t>
      </w:r>
    </w:p>
    <w:p>
      <w:pPr>
        <w:spacing w:after="0" w:line="240" w:lineRule="auto"/>
        <w:jc w:val="left"/>
        <w:rPr>
          <w:sz w:val="13"/>
        </w:rPr>
        <w:sectPr>
          <w:type w:val="continuous"/>
          <w:pgSz w:w="11910" w:h="16840"/>
          <w:pgMar w:top="300" w:bottom="280" w:left="0" w:right="0"/>
          <w:cols w:num="2" w:equalWidth="0">
            <w:col w:w="1095" w:space="40"/>
            <w:col w:w="10775"/>
          </w:cols>
        </w:sectPr>
      </w:pPr>
    </w:p>
    <w:p>
      <w:pPr>
        <w:pStyle w:val="BodyText"/>
        <w:rPr>
          <w:sz w:val="20"/>
        </w:rPr>
      </w:pPr>
    </w:p>
    <w:p>
      <w:pPr>
        <w:pStyle w:val="BodyText"/>
        <w:spacing w:before="11"/>
        <w:rPr>
          <w:sz w:val="17"/>
        </w:rPr>
      </w:pPr>
    </w:p>
    <w:p>
      <w:pPr>
        <w:pStyle w:val="Heading5"/>
        <w:spacing w:before="96"/>
      </w:pPr>
      <w:bookmarkStart w:name="_bookmark93" w:id="199"/>
      <w:bookmarkEnd w:id="199"/>
      <w:r>
        <w:rPr>
          <w:b w:val="0"/>
        </w:rPr>
      </w:r>
      <w:r>
        <w:rPr>
          <w:w w:val="110"/>
        </w:rPr>
        <w:t>‘First in time’ principle</w:t>
      </w:r>
    </w:p>
    <w:p>
      <w:pPr>
        <w:pStyle w:val="ListParagraph"/>
        <w:numPr>
          <w:ilvl w:val="1"/>
          <w:numId w:val="16"/>
        </w:numPr>
        <w:tabs>
          <w:tab w:pos="2380" w:val="left" w:leader="none"/>
          <w:tab w:pos="2381" w:val="left" w:leader="none"/>
        </w:tabs>
        <w:spacing w:line="242" w:lineRule="auto" w:before="137" w:after="0"/>
        <w:ind w:left="2381" w:right="1753" w:hanging="794"/>
        <w:jc w:val="left"/>
        <w:rPr>
          <w:sz w:val="21"/>
        </w:rPr>
      </w:pPr>
      <w:r>
        <w:rPr>
          <w:w w:val="105"/>
          <w:sz w:val="21"/>
        </w:rPr>
        <w:t>The new Act should specifically </w:t>
      </w:r>
      <w:r>
        <w:rPr>
          <w:spacing w:val="-3"/>
          <w:w w:val="105"/>
          <w:sz w:val="21"/>
        </w:rPr>
        <w:t>include </w:t>
      </w:r>
      <w:r>
        <w:rPr>
          <w:w w:val="105"/>
          <w:sz w:val="21"/>
        </w:rPr>
        <w:t>a decision-making </w:t>
      </w:r>
      <w:r>
        <w:rPr>
          <w:spacing w:val="-3"/>
          <w:w w:val="105"/>
          <w:sz w:val="21"/>
        </w:rPr>
        <w:t>principle that </w:t>
      </w:r>
      <w:r>
        <w:rPr>
          <w:w w:val="105"/>
          <w:sz w:val="21"/>
        </w:rPr>
        <w:t>addresses whether</w:t>
      </w:r>
      <w:r>
        <w:rPr>
          <w:spacing w:val="-5"/>
          <w:w w:val="105"/>
          <w:sz w:val="21"/>
        </w:rPr>
        <w:t> </w:t>
      </w:r>
      <w:r>
        <w:rPr>
          <w:w w:val="105"/>
          <w:sz w:val="21"/>
        </w:rPr>
        <w:t>the</w:t>
      </w:r>
      <w:r>
        <w:rPr>
          <w:spacing w:val="-5"/>
          <w:w w:val="105"/>
          <w:sz w:val="21"/>
        </w:rPr>
        <w:t> </w:t>
      </w:r>
      <w:r>
        <w:rPr>
          <w:w w:val="105"/>
          <w:sz w:val="21"/>
        </w:rPr>
        <w:t>tree</w:t>
      </w:r>
      <w:r>
        <w:rPr>
          <w:spacing w:val="-4"/>
          <w:w w:val="105"/>
          <w:sz w:val="21"/>
        </w:rPr>
        <w:t> </w:t>
      </w:r>
      <w:r>
        <w:rPr>
          <w:w w:val="105"/>
          <w:sz w:val="21"/>
        </w:rPr>
        <w:t>existed</w:t>
      </w:r>
      <w:r>
        <w:rPr>
          <w:spacing w:val="-5"/>
          <w:w w:val="105"/>
          <w:sz w:val="21"/>
        </w:rPr>
        <w:t> </w:t>
      </w:r>
      <w:r>
        <w:rPr>
          <w:spacing w:val="-3"/>
          <w:w w:val="105"/>
          <w:sz w:val="21"/>
        </w:rPr>
        <w:t>before</w:t>
      </w:r>
      <w:r>
        <w:rPr>
          <w:spacing w:val="-4"/>
          <w:w w:val="105"/>
          <w:sz w:val="21"/>
        </w:rPr>
        <w:t> </w:t>
      </w:r>
      <w:r>
        <w:rPr>
          <w:w w:val="105"/>
          <w:sz w:val="21"/>
        </w:rPr>
        <w:t>the</w:t>
      </w:r>
      <w:r>
        <w:rPr>
          <w:spacing w:val="-5"/>
          <w:w w:val="105"/>
          <w:sz w:val="21"/>
        </w:rPr>
        <w:t> </w:t>
      </w:r>
      <w:r>
        <w:rPr>
          <w:w w:val="105"/>
          <w:sz w:val="21"/>
        </w:rPr>
        <w:t>affected</w:t>
      </w:r>
      <w:r>
        <w:rPr>
          <w:spacing w:val="-4"/>
          <w:w w:val="105"/>
          <w:sz w:val="21"/>
        </w:rPr>
        <w:t> </w:t>
      </w:r>
      <w:r>
        <w:rPr>
          <w:spacing w:val="-3"/>
          <w:w w:val="105"/>
          <w:sz w:val="21"/>
        </w:rPr>
        <w:t>neighbour</w:t>
      </w:r>
      <w:r>
        <w:rPr>
          <w:spacing w:val="-5"/>
          <w:w w:val="105"/>
          <w:sz w:val="21"/>
        </w:rPr>
        <w:t> </w:t>
      </w:r>
      <w:r>
        <w:rPr>
          <w:w w:val="105"/>
          <w:sz w:val="21"/>
        </w:rPr>
        <w:t>began</w:t>
      </w:r>
      <w:r>
        <w:rPr>
          <w:spacing w:val="-4"/>
          <w:w w:val="105"/>
          <w:sz w:val="21"/>
        </w:rPr>
        <w:t> </w:t>
      </w:r>
      <w:r>
        <w:rPr>
          <w:spacing w:val="-3"/>
          <w:w w:val="105"/>
          <w:sz w:val="21"/>
        </w:rPr>
        <w:t>to</w:t>
      </w:r>
      <w:r>
        <w:rPr>
          <w:spacing w:val="-5"/>
          <w:w w:val="105"/>
          <w:sz w:val="21"/>
        </w:rPr>
        <w:t> </w:t>
      </w:r>
      <w:r>
        <w:rPr>
          <w:spacing w:val="-3"/>
          <w:w w:val="105"/>
          <w:sz w:val="21"/>
        </w:rPr>
        <w:t>occupy</w:t>
      </w:r>
      <w:r>
        <w:rPr>
          <w:spacing w:val="-4"/>
          <w:w w:val="105"/>
          <w:sz w:val="21"/>
        </w:rPr>
        <w:t> </w:t>
      </w:r>
      <w:r>
        <w:rPr>
          <w:w w:val="105"/>
          <w:sz w:val="21"/>
        </w:rPr>
        <w:t>the</w:t>
      </w:r>
      <w:r>
        <w:rPr>
          <w:spacing w:val="-5"/>
          <w:w w:val="105"/>
          <w:sz w:val="21"/>
        </w:rPr>
        <w:t> </w:t>
      </w:r>
      <w:r>
        <w:rPr>
          <w:spacing w:val="-3"/>
          <w:w w:val="105"/>
          <w:sz w:val="21"/>
        </w:rPr>
        <w:t>land</w:t>
      </w:r>
      <w:r>
        <w:rPr>
          <w:spacing w:val="-4"/>
          <w:w w:val="105"/>
          <w:sz w:val="21"/>
        </w:rPr>
        <w:t> </w:t>
      </w:r>
      <w:r>
        <w:rPr>
          <w:spacing w:val="-3"/>
          <w:w w:val="105"/>
          <w:sz w:val="21"/>
        </w:rPr>
        <w:t>that</w:t>
      </w:r>
      <w:r>
        <w:rPr>
          <w:spacing w:val="-5"/>
          <w:w w:val="105"/>
          <w:sz w:val="21"/>
        </w:rPr>
        <w:t> </w:t>
      </w:r>
      <w:r>
        <w:rPr>
          <w:w w:val="105"/>
          <w:sz w:val="21"/>
        </w:rPr>
        <w:t>is affected by the</w:t>
      </w:r>
      <w:r>
        <w:rPr>
          <w:spacing w:val="15"/>
          <w:w w:val="105"/>
          <w:sz w:val="21"/>
        </w:rPr>
        <w:t> </w:t>
      </w:r>
      <w:r>
        <w:rPr>
          <w:spacing w:val="-3"/>
          <w:w w:val="105"/>
          <w:sz w:val="21"/>
        </w:rPr>
        <w:t>tree.</w:t>
      </w:r>
    </w:p>
    <w:p>
      <w:pPr>
        <w:pStyle w:val="ListParagraph"/>
        <w:numPr>
          <w:ilvl w:val="1"/>
          <w:numId w:val="16"/>
        </w:numPr>
        <w:tabs>
          <w:tab w:pos="2380" w:val="left" w:leader="none"/>
          <w:tab w:pos="2381" w:val="left" w:leader="none"/>
        </w:tabs>
        <w:spacing w:line="242" w:lineRule="auto" w:before="123" w:after="0"/>
        <w:ind w:left="2380" w:right="1916" w:hanging="793"/>
        <w:jc w:val="left"/>
        <w:rPr>
          <w:sz w:val="21"/>
        </w:rPr>
      </w:pPr>
      <w:r>
        <w:rPr>
          <w:sz w:val="21"/>
        </w:rPr>
        <w:t>It is </w:t>
      </w:r>
      <w:r>
        <w:rPr>
          <w:spacing w:val="-2"/>
          <w:sz w:val="21"/>
        </w:rPr>
        <w:t>not </w:t>
      </w:r>
      <w:r>
        <w:rPr>
          <w:spacing w:val="-3"/>
          <w:sz w:val="21"/>
        </w:rPr>
        <w:t>intended that </w:t>
      </w:r>
      <w:r>
        <w:rPr>
          <w:sz w:val="21"/>
        </w:rPr>
        <w:t>this </w:t>
      </w:r>
      <w:r>
        <w:rPr>
          <w:spacing w:val="-3"/>
          <w:sz w:val="21"/>
        </w:rPr>
        <w:t>principle have </w:t>
      </w:r>
      <w:r>
        <w:rPr>
          <w:sz w:val="21"/>
        </w:rPr>
        <w:t>the effect of </w:t>
      </w:r>
      <w:r>
        <w:rPr>
          <w:spacing w:val="-3"/>
          <w:sz w:val="21"/>
        </w:rPr>
        <w:t>preventing </w:t>
      </w:r>
      <w:r>
        <w:rPr>
          <w:sz w:val="21"/>
        </w:rPr>
        <w:t>an </w:t>
      </w:r>
      <w:r>
        <w:rPr>
          <w:spacing w:val="-3"/>
          <w:sz w:val="21"/>
        </w:rPr>
        <w:t>applicant from pursuing relief </w:t>
      </w:r>
      <w:r>
        <w:rPr>
          <w:sz w:val="21"/>
        </w:rPr>
        <w:t>under the new Act but </w:t>
      </w:r>
      <w:r>
        <w:rPr>
          <w:spacing w:val="-3"/>
          <w:sz w:val="21"/>
        </w:rPr>
        <w:t>instead  that  </w:t>
      </w:r>
      <w:r>
        <w:rPr>
          <w:sz w:val="21"/>
        </w:rPr>
        <w:t>it  is  one  of  a  </w:t>
      </w:r>
      <w:r>
        <w:rPr>
          <w:spacing w:val="-3"/>
          <w:sz w:val="21"/>
        </w:rPr>
        <w:t>range  </w:t>
      </w:r>
      <w:r>
        <w:rPr>
          <w:sz w:val="21"/>
        </w:rPr>
        <w:t>of  </w:t>
      </w:r>
      <w:r>
        <w:rPr>
          <w:spacing w:val="-3"/>
          <w:sz w:val="21"/>
        </w:rPr>
        <w:t>principles that </w:t>
      </w:r>
      <w:r>
        <w:rPr>
          <w:spacing w:val="-5"/>
          <w:sz w:val="21"/>
        </w:rPr>
        <w:t>VCAT </w:t>
      </w:r>
      <w:r>
        <w:rPr>
          <w:sz w:val="21"/>
        </w:rPr>
        <w:t>should </w:t>
      </w:r>
      <w:r>
        <w:rPr>
          <w:spacing w:val="-3"/>
          <w:sz w:val="21"/>
        </w:rPr>
        <w:t>consider </w:t>
      </w:r>
      <w:r>
        <w:rPr>
          <w:sz w:val="21"/>
        </w:rPr>
        <w:t>in </w:t>
      </w:r>
      <w:r>
        <w:rPr>
          <w:spacing w:val="-3"/>
          <w:sz w:val="21"/>
        </w:rPr>
        <w:t>making </w:t>
      </w:r>
      <w:r>
        <w:rPr>
          <w:sz w:val="21"/>
        </w:rPr>
        <w:t>its orders. This approach most closely </w:t>
      </w:r>
      <w:r>
        <w:rPr>
          <w:spacing w:val="-3"/>
          <w:sz w:val="21"/>
        </w:rPr>
        <w:t>aligns  </w:t>
      </w:r>
      <w:r>
        <w:rPr>
          <w:sz w:val="21"/>
        </w:rPr>
        <w:t>with  the </w:t>
      </w:r>
      <w:r>
        <w:rPr>
          <w:spacing w:val="-3"/>
          <w:sz w:val="21"/>
        </w:rPr>
        <w:t>provision </w:t>
      </w:r>
      <w:r>
        <w:rPr>
          <w:sz w:val="21"/>
        </w:rPr>
        <w:t>in the </w:t>
      </w:r>
      <w:r>
        <w:rPr>
          <w:spacing w:val="-4"/>
          <w:sz w:val="21"/>
        </w:rPr>
        <w:t>Tasmanian </w:t>
      </w:r>
      <w:r>
        <w:rPr>
          <w:sz w:val="21"/>
        </w:rPr>
        <w:t>Act.</w:t>
      </w:r>
      <w:r>
        <w:rPr>
          <w:position w:val="7"/>
          <w:sz w:val="12"/>
        </w:rPr>
        <w:t>99 </w:t>
      </w:r>
      <w:r>
        <w:rPr>
          <w:sz w:val="21"/>
        </w:rPr>
        <w:t>The </w:t>
      </w:r>
      <w:r>
        <w:rPr>
          <w:spacing w:val="-3"/>
          <w:sz w:val="21"/>
        </w:rPr>
        <w:t>Commission </w:t>
      </w:r>
      <w:r>
        <w:rPr>
          <w:sz w:val="21"/>
        </w:rPr>
        <w:t>observes </w:t>
      </w:r>
      <w:r>
        <w:rPr>
          <w:spacing w:val="-3"/>
          <w:sz w:val="21"/>
        </w:rPr>
        <w:t>that </w:t>
      </w:r>
      <w:r>
        <w:rPr>
          <w:sz w:val="21"/>
        </w:rPr>
        <w:t>the NSWLEC </w:t>
      </w:r>
      <w:r>
        <w:rPr>
          <w:spacing w:val="-2"/>
          <w:sz w:val="21"/>
        </w:rPr>
        <w:t>has </w:t>
      </w:r>
      <w:r>
        <w:rPr>
          <w:spacing w:val="-3"/>
          <w:sz w:val="21"/>
        </w:rPr>
        <w:t>produced </w:t>
      </w:r>
      <w:r>
        <w:rPr>
          <w:sz w:val="21"/>
        </w:rPr>
        <w:t>a tree </w:t>
      </w:r>
      <w:r>
        <w:rPr>
          <w:spacing w:val="-3"/>
          <w:sz w:val="21"/>
        </w:rPr>
        <w:t>dispute principle </w:t>
      </w:r>
      <w:r>
        <w:rPr>
          <w:sz w:val="21"/>
        </w:rPr>
        <w:t>on this </w:t>
      </w:r>
      <w:r>
        <w:rPr>
          <w:spacing w:val="-4"/>
          <w:sz w:val="21"/>
        </w:rPr>
        <w:t>issue.</w:t>
      </w:r>
      <w:r>
        <w:rPr>
          <w:spacing w:val="-4"/>
          <w:position w:val="7"/>
          <w:sz w:val="12"/>
        </w:rPr>
        <w:t>100 </w:t>
      </w:r>
      <w:r>
        <w:rPr>
          <w:sz w:val="21"/>
        </w:rPr>
        <w:t>The </w:t>
      </w:r>
      <w:r>
        <w:rPr>
          <w:spacing w:val="-3"/>
          <w:sz w:val="21"/>
        </w:rPr>
        <w:t>Commission </w:t>
      </w:r>
      <w:r>
        <w:rPr>
          <w:sz w:val="21"/>
        </w:rPr>
        <w:t>considers </w:t>
      </w:r>
      <w:r>
        <w:rPr>
          <w:spacing w:val="-3"/>
          <w:sz w:val="21"/>
        </w:rPr>
        <w:t>that</w:t>
      </w:r>
      <w:r>
        <w:rPr>
          <w:spacing w:val="13"/>
          <w:sz w:val="21"/>
        </w:rPr>
        <w:t> </w:t>
      </w:r>
      <w:r>
        <w:rPr>
          <w:sz w:val="21"/>
        </w:rPr>
        <w:t>the</w:t>
      </w:r>
    </w:p>
    <w:p>
      <w:pPr>
        <w:pStyle w:val="BodyText"/>
        <w:spacing w:before="6"/>
        <w:ind w:left="2381"/>
      </w:pPr>
      <w:r>
        <w:rPr/>
        <w:t>same outcome may be better achieved by clearly articulating the principle in the new Act.</w:t>
      </w:r>
    </w:p>
    <w:p>
      <w:pPr>
        <w:pStyle w:val="BodyText"/>
        <w:spacing w:before="4"/>
        <w:rPr>
          <w:sz w:val="20"/>
        </w:rPr>
      </w:pPr>
    </w:p>
    <w:p>
      <w:pPr>
        <w:pStyle w:val="Heading5"/>
      </w:pPr>
      <w:r>
        <w:rPr>
          <w:w w:val="115"/>
        </w:rPr>
        <w:t>Recognised weed</w:t>
      </w:r>
    </w:p>
    <w:p>
      <w:pPr>
        <w:pStyle w:val="ListParagraph"/>
        <w:numPr>
          <w:ilvl w:val="1"/>
          <w:numId w:val="16"/>
        </w:numPr>
        <w:tabs>
          <w:tab w:pos="2381" w:val="left" w:leader="none"/>
          <w:tab w:pos="2382" w:val="left" w:leader="none"/>
        </w:tabs>
        <w:spacing w:line="242" w:lineRule="auto" w:before="137" w:after="0"/>
        <w:ind w:left="2381" w:right="1711" w:hanging="794"/>
        <w:jc w:val="left"/>
        <w:rPr>
          <w:sz w:val="21"/>
        </w:rPr>
      </w:pPr>
      <w:r>
        <w:rPr>
          <w:w w:val="105"/>
          <w:sz w:val="21"/>
        </w:rPr>
        <w:t>The</w:t>
      </w:r>
      <w:r>
        <w:rPr>
          <w:spacing w:val="-7"/>
          <w:w w:val="105"/>
          <w:sz w:val="21"/>
        </w:rPr>
        <w:t> </w:t>
      </w:r>
      <w:r>
        <w:rPr>
          <w:w w:val="105"/>
          <w:sz w:val="21"/>
        </w:rPr>
        <w:t>new</w:t>
      </w:r>
      <w:r>
        <w:rPr>
          <w:spacing w:val="-6"/>
          <w:w w:val="105"/>
          <w:sz w:val="21"/>
        </w:rPr>
        <w:t> </w:t>
      </w:r>
      <w:r>
        <w:rPr>
          <w:w w:val="105"/>
          <w:sz w:val="21"/>
        </w:rPr>
        <w:t>Act</w:t>
      </w:r>
      <w:r>
        <w:rPr>
          <w:spacing w:val="-6"/>
          <w:w w:val="105"/>
          <w:sz w:val="21"/>
        </w:rPr>
        <w:t> </w:t>
      </w:r>
      <w:r>
        <w:rPr>
          <w:w w:val="105"/>
          <w:sz w:val="21"/>
        </w:rPr>
        <w:t>should</w:t>
      </w:r>
      <w:r>
        <w:rPr>
          <w:spacing w:val="-7"/>
          <w:w w:val="105"/>
          <w:sz w:val="21"/>
        </w:rPr>
        <w:t> </w:t>
      </w:r>
      <w:r>
        <w:rPr>
          <w:w w:val="105"/>
          <w:sz w:val="21"/>
        </w:rPr>
        <w:t>apply</w:t>
      </w:r>
      <w:r>
        <w:rPr>
          <w:spacing w:val="-6"/>
          <w:w w:val="105"/>
          <w:sz w:val="21"/>
        </w:rPr>
        <w:t> </w:t>
      </w:r>
      <w:r>
        <w:rPr>
          <w:spacing w:val="-3"/>
          <w:w w:val="105"/>
          <w:sz w:val="21"/>
        </w:rPr>
        <w:t>to</w:t>
      </w:r>
      <w:r>
        <w:rPr>
          <w:spacing w:val="-6"/>
          <w:w w:val="105"/>
          <w:sz w:val="21"/>
        </w:rPr>
        <w:t> </w:t>
      </w:r>
      <w:r>
        <w:rPr>
          <w:w w:val="105"/>
          <w:sz w:val="21"/>
        </w:rPr>
        <w:t>a</w:t>
      </w:r>
      <w:r>
        <w:rPr>
          <w:spacing w:val="-6"/>
          <w:w w:val="105"/>
          <w:sz w:val="21"/>
        </w:rPr>
        <w:t> </w:t>
      </w:r>
      <w:r>
        <w:rPr>
          <w:w w:val="105"/>
          <w:sz w:val="21"/>
        </w:rPr>
        <w:t>recognised</w:t>
      </w:r>
      <w:r>
        <w:rPr>
          <w:spacing w:val="-7"/>
          <w:w w:val="105"/>
          <w:sz w:val="21"/>
        </w:rPr>
        <w:t> </w:t>
      </w:r>
      <w:r>
        <w:rPr>
          <w:w w:val="105"/>
          <w:sz w:val="21"/>
        </w:rPr>
        <w:t>weed</w:t>
      </w:r>
      <w:r>
        <w:rPr>
          <w:spacing w:val="-6"/>
          <w:w w:val="105"/>
          <w:sz w:val="21"/>
        </w:rPr>
        <w:t> </w:t>
      </w:r>
      <w:r>
        <w:rPr>
          <w:w w:val="105"/>
          <w:sz w:val="21"/>
        </w:rPr>
        <w:t>provided</w:t>
      </w:r>
      <w:r>
        <w:rPr>
          <w:spacing w:val="-6"/>
          <w:w w:val="105"/>
          <w:sz w:val="21"/>
        </w:rPr>
        <w:t> </w:t>
      </w:r>
      <w:r>
        <w:rPr>
          <w:w w:val="105"/>
          <w:sz w:val="21"/>
        </w:rPr>
        <w:t>it</w:t>
      </w:r>
      <w:r>
        <w:rPr>
          <w:spacing w:val="-6"/>
          <w:w w:val="105"/>
          <w:sz w:val="21"/>
        </w:rPr>
        <w:t> </w:t>
      </w:r>
      <w:r>
        <w:rPr>
          <w:w w:val="105"/>
          <w:sz w:val="21"/>
        </w:rPr>
        <w:t>both</w:t>
      </w:r>
      <w:r>
        <w:rPr>
          <w:spacing w:val="-7"/>
          <w:w w:val="105"/>
          <w:sz w:val="21"/>
        </w:rPr>
        <w:t> </w:t>
      </w:r>
      <w:r>
        <w:rPr>
          <w:w w:val="105"/>
          <w:sz w:val="21"/>
        </w:rPr>
        <w:t>meets</w:t>
      </w:r>
      <w:r>
        <w:rPr>
          <w:spacing w:val="-6"/>
          <w:w w:val="105"/>
          <w:sz w:val="21"/>
        </w:rPr>
        <w:t> </w:t>
      </w:r>
      <w:r>
        <w:rPr>
          <w:w w:val="105"/>
          <w:sz w:val="21"/>
        </w:rPr>
        <w:t>the</w:t>
      </w:r>
      <w:r>
        <w:rPr>
          <w:spacing w:val="-6"/>
          <w:w w:val="105"/>
          <w:sz w:val="21"/>
        </w:rPr>
        <w:t> </w:t>
      </w:r>
      <w:r>
        <w:rPr>
          <w:w w:val="105"/>
          <w:sz w:val="21"/>
        </w:rPr>
        <w:t>definition</w:t>
      </w:r>
      <w:r>
        <w:rPr>
          <w:spacing w:val="-6"/>
          <w:w w:val="105"/>
          <w:sz w:val="21"/>
        </w:rPr>
        <w:t> </w:t>
      </w:r>
      <w:r>
        <w:rPr>
          <w:w w:val="105"/>
          <w:sz w:val="21"/>
        </w:rPr>
        <w:t>of ‘tree’ in the new Act and </w:t>
      </w:r>
      <w:r>
        <w:rPr>
          <w:spacing w:val="-2"/>
          <w:w w:val="105"/>
          <w:sz w:val="21"/>
        </w:rPr>
        <w:t>has </w:t>
      </w:r>
      <w:r>
        <w:rPr>
          <w:w w:val="105"/>
          <w:sz w:val="21"/>
        </w:rPr>
        <w:t>caused, is </w:t>
      </w:r>
      <w:r>
        <w:rPr>
          <w:spacing w:val="-3"/>
          <w:w w:val="105"/>
          <w:sz w:val="21"/>
        </w:rPr>
        <w:t>causing </w:t>
      </w:r>
      <w:r>
        <w:rPr>
          <w:w w:val="105"/>
          <w:sz w:val="21"/>
        </w:rPr>
        <w:t>or is </w:t>
      </w:r>
      <w:r>
        <w:rPr>
          <w:spacing w:val="-4"/>
          <w:w w:val="105"/>
          <w:sz w:val="21"/>
        </w:rPr>
        <w:t>likely </w:t>
      </w:r>
      <w:r>
        <w:rPr>
          <w:spacing w:val="-3"/>
          <w:w w:val="105"/>
          <w:sz w:val="21"/>
        </w:rPr>
        <w:t>to </w:t>
      </w:r>
      <w:r>
        <w:rPr>
          <w:w w:val="105"/>
          <w:sz w:val="21"/>
        </w:rPr>
        <w:t>cause damage </w:t>
      </w:r>
      <w:r>
        <w:rPr>
          <w:spacing w:val="-3"/>
          <w:w w:val="105"/>
          <w:sz w:val="21"/>
        </w:rPr>
        <w:t>to </w:t>
      </w:r>
      <w:r>
        <w:rPr>
          <w:w w:val="105"/>
          <w:sz w:val="21"/>
        </w:rPr>
        <w:t>property or </w:t>
      </w:r>
      <w:r>
        <w:rPr>
          <w:spacing w:val="-3"/>
          <w:w w:val="105"/>
          <w:sz w:val="21"/>
        </w:rPr>
        <w:t>land </w:t>
      </w:r>
      <w:r>
        <w:rPr>
          <w:w w:val="105"/>
          <w:sz w:val="21"/>
        </w:rPr>
        <w:t>or </w:t>
      </w:r>
      <w:r>
        <w:rPr>
          <w:spacing w:val="-3"/>
          <w:w w:val="105"/>
          <w:sz w:val="21"/>
        </w:rPr>
        <w:t>harm to </w:t>
      </w:r>
      <w:r>
        <w:rPr>
          <w:w w:val="105"/>
          <w:sz w:val="21"/>
        </w:rPr>
        <w:t>people in the next </w:t>
      </w:r>
      <w:r>
        <w:rPr>
          <w:spacing w:val="-9"/>
          <w:w w:val="105"/>
          <w:sz w:val="21"/>
        </w:rPr>
        <w:t>12 </w:t>
      </w:r>
      <w:r>
        <w:rPr>
          <w:spacing w:val="-3"/>
          <w:w w:val="105"/>
          <w:sz w:val="21"/>
        </w:rPr>
        <w:t>months. </w:t>
      </w:r>
      <w:r>
        <w:rPr>
          <w:w w:val="105"/>
          <w:sz w:val="21"/>
        </w:rPr>
        <w:t>The </w:t>
      </w:r>
      <w:r>
        <w:rPr>
          <w:spacing w:val="-5"/>
          <w:w w:val="105"/>
          <w:sz w:val="21"/>
        </w:rPr>
        <w:t>VCAT </w:t>
      </w:r>
      <w:r>
        <w:rPr>
          <w:w w:val="105"/>
          <w:sz w:val="21"/>
        </w:rPr>
        <w:t>application </w:t>
      </w:r>
      <w:r>
        <w:rPr>
          <w:spacing w:val="-3"/>
          <w:w w:val="105"/>
          <w:sz w:val="21"/>
        </w:rPr>
        <w:t>form </w:t>
      </w:r>
      <w:r>
        <w:rPr>
          <w:w w:val="105"/>
          <w:sz w:val="21"/>
        </w:rPr>
        <w:t>should also specifically</w:t>
      </w:r>
      <w:r>
        <w:rPr>
          <w:spacing w:val="-8"/>
          <w:w w:val="105"/>
          <w:sz w:val="21"/>
        </w:rPr>
        <w:t> </w:t>
      </w:r>
      <w:r>
        <w:rPr>
          <w:w w:val="105"/>
          <w:sz w:val="21"/>
        </w:rPr>
        <w:t>ask</w:t>
      </w:r>
      <w:r>
        <w:rPr>
          <w:spacing w:val="-8"/>
          <w:w w:val="105"/>
          <w:sz w:val="21"/>
        </w:rPr>
        <w:t> </w:t>
      </w:r>
      <w:r>
        <w:rPr>
          <w:w w:val="105"/>
          <w:sz w:val="21"/>
        </w:rPr>
        <w:t>the</w:t>
      </w:r>
      <w:r>
        <w:rPr>
          <w:spacing w:val="-7"/>
          <w:w w:val="105"/>
          <w:sz w:val="21"/>
        </w:rPr>
        <w:t> </w:t>
      </w:r>
      <w:r>
        <w:rPr>
          <w:spacing w:val="-3"/>
          <w:w w:val="105"/>
          <w:sz w:val="21"/>
        </w:rPr>
        <w:t>applicant</w:t>
      </w:r>
      <w:r>
        <w:rPr>
          <w:spacing w:val="-8"/>
          <w:w w:val="105"/>
          <w:sz w:val="21"/>
        </w:rPr>
        <w:t> </w:t>
      </w:r>
      <w:r>
        <w:rPr>
          <w:spacing w:val="-3"/>
          <w:w w:val="105"/>
          <w:sz w:val="21"/>
        </w:rPr>
        <w:t>for</w:t>
      </w:r>
      <w:r>
        <w:rPr>
          <w:spacing w:val="-7"/>
          <w:w w:val="105"/>
          <w:sz w:val="21"/>
        </w:rPr>
        <w:t> </w:t>
      </w:r>
      <w:r>
        <w:rPr>
          <w:spacing w:val="-3"/>
          <w:w w:val="105"/>
          <w:sz w:val="21"/>
        </w:rPr>
        <w:t>information</w:t>
      </w:r>
      <w:r>
        <w:rPr>
          <w:spacing w:val="-8"/>
          <w:w w:val="105"/>
          <w:sz w:val="21"/>
        </w:rPr>
        <w:t> </w:t>
      </w:r>
      <w:r>
        <w:rPr>
          <w:w w:val="105"/>
          <w:sz w:val="21"/>
        </w:rPr>
        <w:t>about</w:t>
      </w:r>
      <w:r>
        <w:rPr>
          <w:spacing w:val="-7"/>
          <w:w w:val="105"/>
          <w:sz w:val="21"/>
        </w:rPr>
        <w:t> </w:t>
      </w:r>
      <w:r>
        <w:rPr>
          <w:w w:val="105"/>
          <w:sz w:val="21"/>
        </w:rPr>
        <w:t>the</w:t>
      </w:r>
      <w:r>
        <w:rPr>
          <w:spacing w:val="-8"/>
          <w:w w:val="105"/>
          <w:sz w:val="21"/>
        </w:rPr>
        <w:t> </w:t>
      </w:r>
      <w:r>
        <w:rPr>
          <w:w w:val="105"/>
          <w:sz w:val="21"/>
        </w:rPr>
        <w:t>species</w:t>
      </w:r>
      <w:r>
        <w:rPr>
          <w:spacing w:val="-7"/>
          <w:w w:val="105"/>
          <w:sz w:val="21"/>
        </w:rPr>
        <w:t> </w:t>
      </w:r>
      <w:r>
        <w:rPr>
          <w:w w:val="105"/>
          <w:sz w:val="21"/>
        </w:rPr>
        <w:t>of</w:t>
      </w:r>
      <w:r>
        <w:rPr>
          <w:spacing w:val="-8"/>
          <w:w w:val="105"/>
          <w:sz w:val="21"/>
        </w:rPr>
        <w:t> </w:t>
      </w:r>
      <w:r>
        <w:rPr>
          <w:w w:val="105"/>
          <w:sz w:val="21"/>
        </w:rPr>
        <w:t>tree</w:t>
      </w:r>
      <w:r>
        <w:rPr>
          <w:spacing w:val="-7"/>
          <w:w w:val="105"/>
          <w:sz w:val="21"/>
        </w:rPr>
        <w:t> </w:t>
      </w:r>
      <w:r>
        <w:rPr>
          <w:w w:val="105"/>
          <w:sz w:val="21"/>
        </w:rPr>
        <w:t>and</w:t>
      </w:r>
      <w:r>
        <w:rPr>
          <w:spacing w:val="-8"/>
          <w:w w:val="105"/>
          <w:sz w:val="21"/>
        </w:rPr>
        <w:t> </w:t>
      </w:r>
      <w:r>
        <w:rPr>
          <w:w w:val="105"/>
          <w:sz w:val="21"/>
        </w:rPr>
        <w:t>whether</w:t>
      </w:r>
      <w:r>
        <w:rPr>
          <w:spacing w:val="-8"/>
          <w:w w:val="105"/>
          <w:sz w:val="21"/>
        </w:rPr>
        <w:t> </w:t>
      </w:r>
      <w:r>
        <w:rPr>
          <w:w w:val="105"/>
          <w:sz w:val="21"/>
        </w:rPr>
        <w:t>it</w:t>
      </w:r>
      <w:r>
        <w:rPr>
          <w:spacing w:val="-7"/>
          <w:w w:val="105"/>
          <w:sz w:val="21"/>
        </w:rPr>
        <w:t> </w:t>
      </w:r>
      <w:r>
        <w:rPr>
          <w:w w:val="105"/>
          <w:sz w:val="21"/>
        </w:rPr>
        <w:t>is</w:t>
      </w:r>
      <w:r>
        <w:rPr>
          <w:spacing w:val="-8"/>
          <w:w w:val="105"/>
          <w:sz w:val="21"/>
        </w:rPr>
        <w:t> </w:t>
      </w:r>
      <w:r>
        <w:rPr>
          <w:w w:val="105"/>
          <w:sz w:val="21"/>
        </w:rPr>
        <w:t>a recognised</w:t>
      </w:r>
      <w:r>
        <w:rPr>
          <w:spacing w:val="5"/>
          <w:w w:val="105"/>
          <w:sz w:val="21"/>
        </w:rPr>
        <w:t> </w:t>
      </w:r>
      <w:r>
        <w:rPr>
          <w:w w:val="105"/>
          <w:sz w:val="21"/>
        </w:rPr>
        <w:t>weed.</w:t>
      </w:r>
    </w:p>
    <w:p>
      <w:pPr>
        <w:pStyle w:val="ListParagraph"/>
        <w:numPr>
          <w:ilvl w:val="1"/>
          <w:numId w:val="16"/>
        </w:numPr>
        <w:tabs>
          <w:tab w:pos="2381" w:val="left" w:leader="none"/>
          <w:tab w:pos="2382" w:val="left" w:leader="none"/>
        </w:tabs>
        <w:spacing w:line="242" w:lineRule="auto" w:before="126" w:after="0"/>
        <w:ind w:left="2381" w:right="1797" w:hanging="794"/>
        <w:jc w:val="left"/>
        <w:rPr>
          <w:sz w:val="21"/>
        </w:rPr>
      </w:pPr>
      <w:r>
        <w:rPr>
          <w:sz w:val="21"/>
        </w:rPr>
        <w:t>Whether the tree is a recognised weed should also be </w:t>
      </w:r>
      <w:r>
        <w:rPr>
          <w:spacing w:val="-3"/>
          <w:sz w:val="21"/>
        </w:rPr>
        <w:t>considered </w:t>
      </w:r>
      <w:r>
        <w:rPr>
          <w:sz w:val="21"/>
        </w:rPr>
        <w:t>by </w:t>
      </w:r>
      <w:r>
        <w:rPr>
          <w:spacing w:val="-5"/>
          <w:sz w:val="21"/>
        </w:rPr>
        <w:t>VCAT </w:t>
      </w:r>
      <w:r>
        <w:rPr>
          <w:sz w:val="21"/>
        </w:rPr>
        <w:t>in </w:t>
      </w:r>
      <w:r>
        <w:rPr>
          <w:spacing w:val="-3"/>
          <w:sz w:val="21"/>
        </w:rPr>
        <w:t>making </w:t>
      </w:r>
      <w:r>
        <w:rPr>
          <w:sz w:val="21"/>
        </w:rPr>
        <w:t>orders. It </w:t>
      </w:r>
      <w:r>
        <w:rPr>
          <w:spacing w:val="-3"/>
          <w:sz w:val="21"/>
        </w:rPr>
        <w:t>may </w:t>
      </w:r>
      <w:r>
        <w:rPr>
          <w:sz w:val="21"/>
        </w:rPr>
        <w:t>be </w:t>
      </w:r>
      <w:r>
        <w:rPr>
          <w:spacing w:val="-3"/>
          <w:sz w:val="21"/>
        </w:rPr>
        <w:t>appropriate for </w:t>
      </w:r>
      <w:r>
        <w:rPr>
          <w:spacing w:val="-5"/>
          <w:sz w:val="21"/>
        </w:rPr>
        <w:t>VCAT </w:t>
      </w:r>
      <w:r>
        <w:rPr>
          <w:spacing w:val="-3"/>
          <w:sz w:val="21"/>
        </w:rPr>
        <w:t>to consider any </w:t>
      </w:r>
      <w:r>
        <w:rPr>
          <w:sz w:val="21"/>
        </w:rPr>
        <w:t>past actions </w:t>
      </w:r>
      <w:r>
        <w:rPr>
          <w:spacing w:val="-3"/>
          <w:sz w:val="21"/>
        </w:rPr>
        <w:t>taken  </w:t>
      </w:r>
      <w:r>
        <w:rPr>
          <w:sz w:val="21"/>
        </w:rPr>
        <w:t>by  the landowner with respect </w:t>
      </w:r>
      <w:r>
        <w:rPr>
          <w:spacing w:val="-3"/>
          <w:sz w:val="21"/>
        </w:rPr>
        <w:t>to </w:t>
      </w:r>
      <w:r>
        <w:rPr>
          <w:sz w:val="21"/>
        </w:rPr>
        <w:t>the weed, </w:t>
      </w:r>
      <w:r>
        <w:rPr>
          <w:spacing w:val="-3"/>
          <w:sz w:val="21"/>
        </w:rPr>
        <w:t>for </w:t>
      </w:r>
      <w:r>
        <w:rPr>
          <w:sz w:val="21"/>
        </w:rPr>
        <w:t>example whether or </w:t>
      </w:r>
      <w:r>
        <w:rPr>
          <w:spacing w:val="-2"/>
          <w:sz w:val="21"/>
        </w:rPr>
        <w:t>not </w:t>
      </w:r>
      <w:r>
        <w:rPr>
          <w:sz w:val="21"/>
        </w:rPr>
        <w:t>the landowner was issued with a directions </w:t>
      </w:r>
      <w:r>
        <w:rPr>
          <w:spacing w:val="-3"/>
          <w:sz w:val="21"/>
        </w:rPr>
        <w:t>notice </w:t>
      </w:r>
      <w:r>
        <w:rPr>
          <w:sz w:val="21"/>
        </w:rPr>
        <w:t>under the </w:t>
      </w:r>
      <w:r>
        <w:rPr>
          <w:i/>
          <w:spacing w:val="-3"/>
          <w:sz w:val="21"/>
        </w:rPr>
        <w:t>Catchment </w:t>
      </w:r>
      <w:r>
        <w:rPr>
          <w:i/>
          <w:sz w:val="21"/>
        </w:rPr>
        <w:t>and Land Protection Act </w:t>
      </w:r>
      <w:r>
        <w:rPr>
          <w:i/>
          <w:spacing w:val="-4"/>
          <w:sz w:val="21"/>
        </w:rPr>
        <w:t>1994 </w:t>
      </w:r>
      <w:r>
        <w:rPr>
          <w:sz w:val="21"/>
        </w:rPr>
        <w:t>(Vic) and </w:t>
      </w:r>
      <w:r>
        <w:rPr>
          <w:spacing w:val="-3"/>
          <w:sz w:val="21"/>
        </w:rPr>
        <w:t>failed to </w:t>
      </w:r>
      <w:r>
        <w:rPr>
          <w:sz w:val="21"/>
        </w:rPr>
        <w:t>comply with this </w:t>
      </w:r>
      <w:r>
        <w:rPr>
          <w:spacing w:val="-5"/>
          <w:sz w:val="21"/>
        </w:rPr>
        <w:t>notice.</w:t>
      </w:r>
      <w:r>
        <w:rPr>
          <w:spacing w:val="-5"/>
          <w:position w:val="7"/>
          <w:sz w:val="12"/>
        </w:rPr>
        <w:t>101 </w:t>
      </w:r>
      <w:r>
        <w:rPr>
          <w:sz w:val="21"/>
        </w:rPr>
        <w:t>It </w:t>
      </w:r>
      <w:r>
        <w:rPr>
          <w:spacing w:val="-3"/>
          <w:sz w:val="21"/>
        </w:rPr>
        <w:t>may </w:t>
      </w:r>
      <w:r>
        <w:rPr>
          <w:sz w:val="21"/>
        </w:rPr>
        <w:t>also  be  more  </w:t>
      </w:r>
      <w:r>
        <w:rPr>
          <w:spacing w:val="-3"/>
          <w:sz w:val="21"/>
        </w:rPr>
        <w:t>appropriate  for  </w:t>
      </w:r>
      <w:r>
        <w:rPr>
          <w:spacing w:val="-5"/>
          <w:sz w:val="21"/>
        </w:rPr>
        <w:t>VCAT  </w:t>
      </w:r>
      <w:r>
        <w:rPr>
          <w:spacing w:val="-3"/>
          <w:sz w:val="21"/>
        </w:rPr>
        <w:t>to </w:t>
      </w:r>
      <w:r>
        <w:rPr>
          <w:sz w:val="21"/>
        </w:rPr>
        <w:t>order the </w:t>
      </w:r>
      <w:r>
        <w:rPr>
          <w:spacing w:val="-3"/>
          <w:sz w:val="21"/>
        </w:rPr>
        <w:t>removal </w:t>
      </w:r>
      <w:r>
        <w:rPr>
          <w:sz w:val="21"/>
        </w:rPr>
        <w:t>of a recognised</w:t>
      </w:r>
      <w:r>
        <w:rPr>
          <w:spacing w:val="8"/>
          <w:sz w:val="21"/>
        </w:rPr>
        <w:t> </w:t>
      </w:r>
      <w:r>
        <w:rPr>
          <w:sz w:val="21"/>
        </w:rPr>
        <w:t>weed.</w:t>
      </w:r>
    </w:p>
    <w:p>
      <w:pPr>
        <w:pStyle w:val="BodyText"/>
        <w:spacing w:before="7"/>
        <w:rPr>
          <w:sz w:val="20"/>
        </w:rPr>
      </w:pPr>
    </w:p>
    <w:p>
      <w:pPr>
        <w:pStyle w:val="Heading5"/>
      </w:pPr>
      <w:r>
        <w:rPr>
          <w:w w:val="110"/>
        </w:rPr>
        <w:t>Not recommended: </w:t>
      </w:r>
      <w:r>
        <w:rPr>
          <w:spacing w:val="-4"/>
          <w:w w:val="110"/>
        </w:rPr>
        <w:t>Tree </w:t>
      </w:r>
      <w:r>
        <w:rPr>
          <w:w w:val="110"/>
        </w:rPr>
        <w:t>removal as a last</w:t>
      </w:r>
      <w:r>
        <w:rPr>
          <w:spacing w:val="53"/>
          <w:w w:val="110"/>
        </w:rPr>
        <w:t> </w:t>
      </w:r>
      <w:r>
        <w:rPr>
          <w:w w:val="110"/>
        </w:rPr>
        <w:t>resort</w:t>
      </w:r>
    </w:p>
    <w:p>
      <w:pPr>
        <w:pStyle w:val="ListParagraph"/>
        <w:numPr>
          <w:ilvl w:val="1"/>
          <w:numId w:val="16"/>
        </w:numPr>
        <w:tabs>
          <w:tab w:pos="2381" w:val="left" w:leader="none"/>
          <w:tab w:pos="2382" w:val="left" w:leader="none"/>
        </w:tabs>
        <w:spacing w:line="242" w:lineRule="auto" w:before="137" w:after="0"/>
        <w:ind w:left="2381" w:right="1726" w:hanging="794"/>
        <w:jc w:val="left"/>
        <w:rPr>
          <w:sz w:val="21"/>
        </w:rPr>
      </w:pPr>
      <w:r>
        <w:rPr>
          <w:w w:val="105"/>
          <w:sz w:val="21"/>
        </w:rPr>
        <w:t>The </w:t>
      </w:r>
      <w:r>
        <w:rPr>
          <w:spacing w:val="-3"/>
          <w:w w:val="105"/>
          <w:sz w:val="21"/>
        </w:rPr>
        <w:t>Commission </w:t>
      </w:r>
      <w:r>
        <w:rPr>
          <w:w w:val="105"/>
          <w:sz w:val="21"/>
        </w:rPr>
        <w:t>is </w:t>
      </w:r>
      <w:r>
        <w:rPr>
          <w:spacing w:val="-2"/>
          <w:w w:val="105"/>
          <w:sz w:val="21"/>
        </w:rPr>
        <w:t>not </w:t>
      </w:r>
      <w:r>
        <w:rPr>
          <w:w w:val="105"/>
          <w:sz w:val="21"/>
        </w:rPr>
        <w:t>persuaded </w:t>
      </w:r>
      <w:r>
        <w:rPr>
          <w:spacing w:val="-3"/>
          <w:w w:val="105"/>
          <w:sz w:val="21"/>
        </w:rPr>
        <w:t>that </w:t>
      </w:r>
      <w:r>
        <w:rPr>
          <w:w w:val="105"/>
          <w:sz w:val="21"/>
        </w:rPr>
        <w:t>the new Act should </w:t>
      </w:r>
      <w:r>
        <w:rPr>
          <w:spacing w:val="-3"/>
          <w:w w:val="105"/>
          <w:sz w:val="21"/>
        </w:rPr>
        <w:t>include </w:t>
      </w:r>
      <w:r>
        <w:rPr>
          <w:w w:val="105"/>
          <w:sz w:val="21"/>
        </w:rPr>
        <w:t>a decision-making </w:t>
      </w:r>
      <w:r>
        <w:rPr>
          <w:spacing w:val="-3"/>
          <w:w w:val="105"/>
          <w:sz w:val="21"/>
        </w:rPr>
        <w:t>principle that </w:t>
      </w:r>
      <w:r>
        <w:rPr>
          <w:w w:val="105"/>
          <w:sz w:val="21"/>
        </w:rPr>
        <w:t>the tree be removed only as a last resort. The </w:t>
      </w:r>
      <w:r>
        <w:rPr>
          <w:spacing w:val="-3"/>
          <w:w w:val="105"/>
          <w:sz w:val="21"/>
        </w:rPr>
        <w:t>cumulative </w:t>
      </w:r>
      <w:r>
        <w:rPr>
          <w:w w:val="105"/>
          <w:sz w:val="21"/>
        </w:rPr>
        <w:t>effect of the </w:t>
      </w:r>
      <w:r>
        <w:rPr>
          <w:spacing w:val="-3"/>
          <w:w w:val="105"/>
          <w:sz w:val="21"/>
        </w:rPr>
        <w:t>range</w:t>
      </w:r>
      <w:r>
        <w:rPr>
          <w:spacing w:val="-8"/>
          <w:w w:val="105"/>
          <w:sz w:val="21"/>
        </w:rPr>
        <w:t> </w:t>
      </w:r>
      <w:r>
        <w:rPr>
          <w:w w:val="105"/>
          <w:sz w:val="21"/>
        </w:rPr>
        <w:t>of</w:t>
      </w:r>
      <w:r>
        <w:rPr>
          <w:spacing w:val="-8"/>
          <w:w w:val="105"/>
          <w:sz w:val="21"/>
        </w:rPr>
        <w:t> </w:t>
      </w:r>
      <w:r>
        <w:rPr>
          <w:w w:val="105"/>
          <w:sz w:val="21"/>
        </w:rPr>
        <w:t>other</w:t>
      </w:r>
      <w:r>
        <w:rPr>
          <w:spacing w:val="-8"/>
          <w:w w:val="105"/>
          <w:sz w:val="21"/>
        </w:rPr>
        <w:t> </w:t>
      </w:r>
      <w:r>
        <w:rPr>
          <w:w w:val="105"/>
          <w:sz w:val="21"/>
        </w:rPr>
        <w:t>decision-making</w:t>
      </w:r>
      <w:r>
        <w:rPr>
          <w:spacing w:val="-7"/>
          <w:w w:val="105"/>
          <w:sz w:val="21"/>
        </w:rPr>
        <w:t> </w:t>
      </w:r>
      <w:r>
        <w:rPr>
          <w:spacing w:val="-3"/>
          <w:w w:val="105"/>
          <w:sz w:val="21"/>
        </w:rPr>
        <w:t>principles</w:t>
      </w:r>
      <w:r>
        <w:rPr>
          <w:spacing w:val="-8"/>
          <w:w w:val="105"/>
          <w:sz w:val="21"/>
        </w:rPr>
        <w:t> </w:t>
      </w:r>
      <w:r>
        <w:rPr>
          <w:w w:val="105"/>
          <w:sz w:val="21"/>
        </w:rPr>
        <w:t>is</w:t>
      </w:r>
      <w:r>
        <w:rPr>
          <w:spacing w:val="-8"/>
          <w:w w:val="105"/>
          <w:sz w:val="21"/>
        </w:rPr>
        <w:t> </w:t>
      </w:r>
      <w:r>
        <w:rPr>
          <w:spacing w:val="-3"/>
          <w:w w:val="105"/>
          <w:sz w:val="21"/>
        </w:rPr>
        <w:t>that</w:t>
      </w:r>
      <w:r>
        <w:rPr>
          <w:spacing w:val="-7"/>
          <w:w w:val="105"/>
          <w:sz w:val="21"/>
        </w:rPr>
        <w:t> </w:t>
      </w:r>
      <w:r>
        <w:rPr>
          <w:w w:val="105"/>
          <w:sz w:val="21"/>
        </w:rPr>
        <w:t>tree</w:t>
      </w:r>
      <w:r>
        <w:rPr>
          <w:spacing w:val="-8"/>
          <w:w w:val="105"/>
          <w:sz w:val="21"/>
        </w:rPr>
        <w:t> </w:t>
      </w:r>
      <w:r>
        <w:rPr>
          <w:spacing w:val="-3"/>
          <w:w w:val="105"/>
          <w:sz w:val="21"/>
        </w:rPr>
        <w:t>removal</w:t>
      </w:r>
      <w:r>
        <w:rPr>
          <w:spacing w:val="-8"/>
          <w:w w:val="105"/>
          <w:sz w:val="21"/>
        </w:rPr>
        <w:t> </w:t>
      </w:r>
      <w:r>
        <w:rPr>
          <w:w w:val="105"/>
          <w:sz w:val="21"/>
        </w:rPr>
        <w:t>and</w:t>
      </w:r>
      <w:r>
        <w:rPr>
          <w:spacing w:val="-8"/>
          <w:w w:val="105"/>
          <w:sz w:val="21"/>
        </w:rPr>
        <w:t> </w:t>
      </w:r>
      <w:r>
        <w:rPr>
          <w:w w:val="105"/>
          <w:sz w:val="21"/>
        </w:rPr>
        <w:t>indeed</w:t>
      </w:r>
      <w:r>
        <w:rPr>
          <w:spacing w:val="-7"/>
          <w:w w:val="105"/>
          <w:sz w:val="21"/>
        </w:rPr>
        <w:t> </w:t>
      </w:r>
      <w:r>
        <w:rPr>
          <w:spacing w:val="-3"/>
          <w:w w:val="105"/>
          <w:sz w:val="21"/>
        </w:rPr>
        <w:t>any</w:t>
      </w:r>
      <w:r>
        <w:rPr>
          <w:spacing w:val="-8"/>
          <w:w w:val="105"/>
          <w:sz w:val="21"/>
        </w:rPr>
        <w:t> </w:t>
      </w:r>
      <w:r>
        <w:rPr>
          <w:w w:val="105"/>
          <w:sz w:val="21"/>
        </w:rPr>
        <w:t>tree</w:t>
      </w:r>
      <w:r>
        <w:rPr>
          <w:spacing w:val="-8"/>
          <w:w w:val="105"/>
          <w:sz w:val="21"/>
        </w:rPr>
        <w:t> </w:t>
      </w:r>
      <w:r>
        <w:rPr>
          <w:w w:val="105"/>
          <w:sz w:val="21"/>
        </w:rPr>
        <w:t>works </w:t>
      </w:r>
      <w:r>
        <w:rPr>
          <w:spacing w:val="-3"/>
          <w:w w:val="105"/>
          <w:sz w:val="21"/>
        </w:rPr>
        <w:t>will</w:t>
      </w:r>
      <w:r>
        <w:rPr>
          <w:spacing w:val="-4"/>
          <w:w w:val="105"/>
          <w:sz w:val="21"/>
        </w:rPr>
        <w:t> </w:t>
      </w:r>
      <w:r>
        <w:rPr>
          <w:w w:val="105"/>
          <w:sz w:val="21"/>
        </w:rPr>
        <w:t>only</w:t>
      </w:r>
      <w:r>
        <w:rPr>
          <w:spacing w:val="-4"/>
          <w:w w:val="105"/>
          <w:sz w:val="21"/>
        </w:rPr>
        <w:t> </w:t>
      </w:r>
      <w:r>
        <w:rPr>
          <w:spacing w:val="-3"/>
          <w:w w:val="105"/>
          <w:sz w:val="21"/>
        </w:rPr>
        <w:t>occur</w:t>
      </w:r>
      <w:r>
        <w:rPr>
          <w:spacing w:val="-4"/>
          <w:w w:val="105"/>
          <w:sz w:val="21"/>
        </w:rPr>
        <w:t> </w:t>
      </w:r>
      <w:r>
        <w:rPr>
          <w:w w:val="105"/>
          <w:sz w:val="21"/>
        </w:rPr>
        <w:t>as</w:t>
      </w:r>
      <w:r>
        <w:rPr>
          <w:spacing w:val="-3"/>
          <w:w w:val="105"/>
          <w:sz w:val="21"/>
        </w:rPr>
        <w:t> </w:t>
      </w:r>
      <w:r>
        <w:rPr>
          <w:w w:val="105"/>
          <w:sz w:val="21"/>
        </w:rPr>
        <w:t>a</w:t>
      </w:r>
      <w:r>
        <w:rPr>
          <w:spacing w:val="-4"/>
          <w:w w:val="105"/>
          <w:sz w:val="21"/>
        </w:rPr>
        <w:t> </w:t>
      </w:r>
      <w:r>
        <w:rPr>
          <w:w w:val="105"/>
          <w:sz w:val="21"/>
        </w:rPr>
        <w:t>last</w:t>
      </w:r>
      <w:r>
        <w:rPr>
          <w:spacing w:val="-4"/>
          <w:w w:val="105"/>
          <w:sz w:val="21"/>
        </w:rPr>
        <w:t> </w:t>
      </w:r>
      <w:r>
        <w:rPr>
          <w:w w:val="105"/>
          <w:sz w:val="21"/>
        </w:rPr>
        <w:t>resort</w:t>
      </w:r>
      <w:r>
        <w:rPr>
          <w:spacing w:val="-3"/>
          <w:w w:val="105"/>
          <w:sz w:val="21"/>
        </w:rPr>
        <w:t> </w:t>
      </w:r>
      <w:r>
        <w:rPr>
          <w:w w:val="105"/>
          <w:sz w:val="21"/>
        </w:rPr>
        <w:t>where</w:t>
      </w:r>
      <w:r>
        <w:rPr>
          <w:spacing w:val="-4"/>
          <w:w w:val="105"/>
          <w:sz w:val="21"/>
        </w:rPr>
        <w:t> </w:t>
      </w:r>
      <w:r>
        <w:rPr>
          <w:w w:val="105"/>
          <w:sz w:val="21"/>
        </w:rPr>
        <w:t>the</w:t>
      </w:r>
      <w:r>
        <w:rPr>
          <w:spacing w:val="-4"/>
          <w:w w:val="105"/>
          <w:sz w:val="21"/>
        </w:rPr>
        <w:t> </w:t>
      </w:r>
      <w:r>
        <w:rPr>
          <w:spacing w:val="-3"/>
          <w:w w:val="105"/>
          <w:sz w:val="21"/>
        </w:rPr>
        <w:t>situation demands</w:t>
      </w:r>
      <w:r>
        <w:rPr>
          <w:spacing w:val="-4"/>
          <w:w w:val="105"/>
          <w:sz w:val="21"/>
        </w:rPr>
        <w:t> </w:t>
      </w:r>
      <w:r>
        <w:rPr>
          <w:w w:val="105"/>
          <w:sz w:val="21"/>
        </w:rPr>
        <w:t>it.</w:t>
      </w:r>
      <w:r>
        <w:rPr>
          <w:spacing w:val="-4"/>
          <w:w w:val="105"/>
          <w:sz w:val="21"/>
        </w:rPr>
        <w:t> </w:t>
      </w:r>
      <w:r>
        <w:rPr>
          <w:w w:val="105"/>
          <w:sz w:val="21"/>
        </w:rPr>
        <w:t>The</w:t>
      </w:r>
      <w:r>
        <w:rPr>
          <w:spacing w:val="-3"/>
          <w:w w:val="105"/>
          <w:sz w:val="21"/>
        </w:rPr>
        <w:t> principles</w:t>
      </w:r>
      <w:r>
        <w:rPr>
          <w:spacing w:val="-4"/>
          <w:w w:val="105"/>
          <w:sz w:val="21"/>
        </w:rPr>
        <w:t> </w:t>
      </w:r>
      <w:r>
        <w:rPr>
          <w:w w:val="105"/>
          <w:sz w:val="21"/>
        </w:rPr>
        <w:t>do</w:t>
      </w:r>
      <w:r>
        <w:rPr>
          <w:spacing w:val="-4"/>
          <w:w w:val="105"/>
          <w:sz w:val="21"/>
        </w:rPr>
        <w:t> </w:t>
      </w:r>
      <w:r>
        <w:rPr>
          <w:w w:val="105"/>
          <w:sz w:val="21"/>
        </w:rPr>
        <w:t>this</w:t>
      </w:r>
      <w:r>
        <w:rPr>
          <w:spacing w:val="-3"/>
          <w:w w:val="105"/>
          <w:sz w:val="21"/>
        </w:rPr>
        <w:t> </w:t>
      </w:r>
      <w:r>
        <w:rPr>
          <w:w w:val="105"/>
          <w:sz w:val="21"/>
        </w:rPr>
        <w:t>by</w:t>
      </w:r>
    </w:p>
    <w:p>
      <w:pPr>
        <w:pStyle w:val="BodyText"/>
        <w:spacing w:line="242" w:lineRule="auto" w:before="5"/>
        <w:ind w:left="2381" w:right="1636"/>
      </w:pPr>
      <w:r>
        <w:rPr>
          <w:spacing w:val="-3"/>
        </w:rPr>
        <w:t>encouraging </w:t>
      </w:r>
      <w:r>
        <w:rPr/>
        <w:t>the decision </w:t>
      </w:r>
      <w:r>
        <w:rPr>
          <w:spacing w:val="-4"/>
        </w:rPr>
        <w:t>maker </w:t>
      </w:r>
      <w:r>
        <w:rPr>
          <w:spacing w:val="-3"/>
        </w:rPr>
        <w:t>to </w:t>
      </w:r>
      <w:r>
        <w:rPr/>
        <w:t>find </w:t>
      </w:r>
      <w:r>
        <w:rPr>
          <w:spacing w:val="-2"/>
        </w:rPr>
        <w:t>solutions </w:t>
      </w:r>
      <w:r>
        <w:rPr>
          <w:spacing w:val="-3"/>
        </w:rPr>
        <w:t>that consider </w:t>
      </w:r>
      <w:r>
        <w:rPr/>
        <w:t>the broader benefits of the tree and </w:t>
      </w:r>
      <w:r>
        <w:rPr>
          <w:spacing w:val="-3"/>
        </w:rPr>
        <w:t>underpinning </w:t>
      </w:r>
      <w:r>
        <w:rPr/>
        <w:t>decisions with impartial </w:t>
      </w:r>
      <w:r>
        <w:rPr>
          <w:spacing w:val="-3"/>
        </w:rPr>
        <w:t>arboricultural</w:t>
      </w:r>
      <w:r>
        <w:rPr>
          <w:spacing w:val="38"/>
        </w:rPr>
        <w:t> </w:t>
      </w:r>
      <w:r>
        <w:rPr>
          <w:spacing w:val="-3"/>
        </w:rPr>
        <w:t>evidence.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r>
        <w:rPr/>
        <w:pict>
          <v:line style="position:absolute;mso-position-horizontal-relative:page;mso-position-vertical-relative:paragraph;z-index:7856;mso-wrap-distance-left:0;mso-wrap-distance-right:0" from="79.370003pt,15.901625pt" to="515.905003pt,15.90162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30"/>
        </w:numPr>
        <w:tabs>
          <w:tab w:pos="2380" w:val="left" w:leader="none"/>
          <w:tab w:pos="2382" w:val="left" w:leader="none"/>
        </w:tabs>
        <w:spacing w:line="240" w:lineRule="auto" w:before="48" w:after="0"/>
        <w:ind w:left="1587" w:right="38" w:firstLine="0"/>
        <w:jc w:val="left"/>
        <w:rPr>
          <w:sz w:val="13"/>
        </w:rPr>
      </w:pPr>
      <w:r>
        <w:rPr>
          <w:w w:val="105"/>
          <w:sz w:val="13"/>
        </w:rPr>
        <w:t>See </w:t>
      </w:r>
      <w:r>
        <w:rPr>
          <w:i/>
          <w:w w:val="105"/>
          <w:sz w:val="13"/>
        </w:rPr>
        <w:t>Neighbourhood Disputes About Plants Act </w:t>
      </w:r>
      <w:r>
        <w:rPr>
          <w:i/>
          <w:spacing w:val="-4"/>
          <w:w w:val="105"/>
          <w:sz w:val="13"/>
        </w:rPr>
        <w:t>2017 </w:t>
      </w:r>
      <w:r>
        <w:rPr>
          <w:w w:val="105"/>
          <w:sz w:val="13"/>
        </w:rPr>
        <w:t>(Tas) s </w:t>
      </w:r>
      <w:r>
        <w:rPr>
          <w:spacing w:val="4"/>
          <w:w w:val="105"/>
          <w:sz w:val="13"/>
        </w:rPr>
        <w:t>30(d).</w:t>
      </w:r>
      <w:r>
        <w:rPr>
          <w:spacing w:val="38"/>
          <w:w w:val="105"/>
          <w:sz w:val="13"/>
        </w:rPr>
        <w:t> </w:t>
      </w:r>
      <w:r>
        <w:rPr>
          <w:w w:val="105"/>
          <w:sz w:val="13"/>
        </w:rPr>
        <w:t>100</w:t>
        <w:tab/>
      </w:r>
      <w:r>
        <w:rPr>
          <w:i/>
          <w:w w:val="105"/>
          <w:sz w:val="13"/>
        </w:rPr>
        <w:t>Black v Johnson </w:t>
      </w:r>
      <w:r>
        <w:rPr>
          <w:i/>
          <w:spacing w:val="3"/>
          <w:w w:val="105"/>
          <w:sz w:val="13"/>
        </w:rPr>
        <w:t>(No </w:t>
      </w:r>
      <w:r>
        <w:rPr>
          <w:i/>
          <w:w w:val="105"/>
          <w:sz w:val="13"/>
        </w:rPr>
        <w:t>2) </w:t>
      </w:r>
      <w:r>
        <w:rPr>
          <w:w w:val="105"/>
          <w:sz w:val="13"/>
        </w:rPr>
        <w:t>[2007] NSWLEC</w:t>
      </w:r>
      <w:r>
        <w:rPr>
          <w:spacing w:val="6"/>
          <w:w w:val="105"/>
          <w:sz w:val="13"/>
        </w:rPr>
        <w:t> </w:t>
      </w:r>
      <w:r>
        <w:rPr>
          <w:spacing w:val="-4"/>
          <w:w w:val="105"/>
          <w:sz w:val="13"/>
        </w:rPr>
        <w:t>513.</w:t>
      </w:r>
    </w:p>
    <w:p>
      <w:pPr>
        <w:pStyle w:val="ListParagraph"/>
        <w:numPr>
          <w:ilvl w:val="0"/>
          <w:numId w:val="131"/>
        </w:numPr>
        <w:tabs>
          <w:tab w:pos="2380" w:val="left" w:leader="none"/>
          <w:tab w:pos="2382" w:val="left" w:leader="none"/>
        </w:tabs>
        <w:spacing w:line="240" w:lineRule="auto" w:before="3" w:after="0"/>
        <w:ind w:left="2381" w:right="0" w:hanging="794"/>
        <w:jc w:val="left"/>
        <w:rPr>
          <w:sz w:val="13"/>
        </w:rPr>
      </w:pPr>
      <w:r>
        <w:rPr>
          <w:i/>
          <w:w w:val="105"/>
          <w:sz w:val="13"/>
        </w:rPr>
        <w:t>Catchment</w:t>
      </w:r>
      <w:r>
        <w:rPr>
          <w:i/>
          <w:spacing w:val="5"/>
          <w:w w:val="105"/>
          <w:sz w:val="13"/>
        </w:rPr>
        <w:t> </w:t>
      </w:r>
      <w:r>
        <w:rPr>
          <w:i/>
          <w:w w:val="105"/>
          <w:sz w:val="13"/>
        </w:rPr>
        <w:t>and</w:t>
      </w:r>
      <w:r>
        <w:rPr>
          <w:i/>
          <w:spacing w:val="6"/>
          <w:w w:val="105"/>
          <w:sz w:val="13"/>
        </w:rPr>
        <w:t> </w:t>
      </w:r>
      <w:r>
        <w:rPr>
          <w:i/>
          <w:w w:val="105"/>
          <w:sz w:val="13"/>
        </w:rPr>
        <w:t>Land</w:t>
      </w:r>
      <w:r>
        <w:rPr>
          <w:i/>
          <w:spacing w:val="6"/>
          <w:w w:val="105"/>
          <w:sz w:val="13"/>
        </w:rPr>
        <w:t> </w:t>
      </w:r>
      <w:r>
        <w:rPr>
          <w:i/>
          <w:w w:val="105"/>
          <w:sz w:val="13"/>
        </w:rPr>
        <w:t>Protection</w:t>
      </w:r>
      <w:r>
        <w:rPr>
          <w:i/>
          <w:spacing w:val="6"/>
          <w:w w:val="105"/>
          <w:sz w:val="13"/>
        </w:rPr>
        <w:t> </w:t>
      </w:r>
      <w:r>
        <w:rPr>
          <w:i/>
          <w:w w:val="105"/>
          <w:sz w:val="13"/>
        </w:rPr>
        <w:t>Act</w:t>
      </w:r>
      <w:r>
        <w:rPr>
          <w:i/>
          <w:spacing w:val="6"/>
          <w:w w:val="105"/>
          <w:sz w:val="13"/>
        </w:rPr>
        <w:t> </w:t>
      </w:r>
      <w:r>
        <w:rPr>
          <w:i/>
          <w:w w:val="105"/>
          <w:sz w:val="13"/>
        </w:rPr>
        <w:t>1994</w:t>
      </w:r>
      <w:r>
        <w:rPr>
          <w:i/>
          <w:spacing w:val="6"/>
          <w:w w:val="105"/>
          <w:sz w:val="13"/>
        </w:rPr>
        <w:t> </w:t>
      </w:r>
      <w:r>
        <w:rPr>
          <w:spacing w:val="2"/>
          <w:w w:val="105"/>
          <w:sz w:val="13"/>
        </w:rPr>
        <w:t>(Vic)</w:t>
      </w:r>
      <w:r>
        <w:rPr>
          <w:spacing w:val="6"/>
          <w:w w:val="105"/>
          <w:sz w:val="13"/>
        </w:rPr>
        <w:t> </w:t>
      </w:r>
      <w:r>
        <w:rPr>
          <w:w w:val="105"/>
          <w:sz w:val="13"/>
        </w:rPr>
        <w:t>s</w:t>
      </w:r>
      <w:r>
        <w:rPr>
          <w:spacing w:val="6"/>
          <w:w w:val="105"/>
          <w:sz w:val="13"/>
        </w:rPr>
        <w:t> </w:t>
      </w:r>
      <w:r>
        <w:rPr>
          <w:w w:val="105"/>
          <w:sz w:val="13"/>
        </w:rPr>
        <w:t>70B.</w:t>
      </w:r>
    </w:p>
    <w:p>
      <w:pPr>
        <w:pStyle w:val="BodyText"/>
        <w:spacing w:before="7"/>
      </w:pPr>
      <w:r>
        <w:rPr/>
        <w:br w:type="column"/>
      </w:r>
      <w:r>
        <w:rPr/>
      </w:r>
    </w:p>
    <w:p>
      <w:pPr>
        <w:spacing w:before="0"/>
        <w:ind w:left="1587" w:right="0" w:firstLine="0"/>
        <w:jc w:val="left"/>
        <w:rPr>
          <w:b/>
          <w:sz w:val="24"/>
        </w:rPr>
      </w:pPr>
      <w:r>
        <w:rPr>
          <w:b/>
          <w:color w:val="658464"/>
          <w:w w:val="110"/>
          <w:sz w:val="24"/>
        </w:rPr>
        <w:t>175</w:t>
      </w:r>
    </w:p>
    <w:p>
      <w:pPr>
        <w:spacing w:after="0"/>
        <w:jc w:val="left"/>
        <w:rPr>
          <w:sz w:val="24"/>
        </w:rPr>
        <w:sectPr>
          <w:type w:val="continuous"/>
          <w:pgSz w:w="11910" w:h="16840"/>
          <w:pgMar w:top="300" w:bottom="280" w:left="0" w:right="0"/>
          <w:cols w:num="2" w:equalWidth="0">
            <w:col w:w="6153" w:space="3181"/>
            <w:col w:w="2576"/>
          </w:cols>
        </w:sectPr>
      </w:pPr>
    </w:p>
    <w:p>
      <w:pPr>
        <w:pStyle w:val="BodyText"/>
        <w:rPr>
          <w:b/>
          <w:sz w:val="20"/>
        </w:rPr>
      </w:pPr>
    </w:p>
    <w:p>
      <w:pPr>
        <w:pStyle w:val="BodyText"/>
        <w:spacing w:before="3"/>
        <w:rPr>
          <w:b/>
          <w:sz w:val="19"/>
        </w:rPr>
      </w:pPr>
    </w:p>
    <w:p>
      <w:pPr>
        <w:spacing w:before="95"/>
        <w:ind w:left="1814" w:right="0" w:firstLine="0"/>
        <w:jc w:val="left"/>
        <w:rPr>
          <w:b/>
          <w:sz w:val="32"/>
        </w:rPr>
      </w:pPr>
      <w:r>
        <w:rPr/>
        <w:pict>
          <v:group style="position:absolute;margin-left:62.362202pt;margin-top:-3.354002pt;width:479.1pt;height:666.4pt;mso-position-horizontal-relative:page;mso-position-vertical-relative:paragraph;z-index:-449176" coordorigin="1247,-67" coordsize="9582,13328">
            <v:rect style="position:absolute;left:1587;top:-68;width:8731;height:13328" filled="true" fillcolor="#dbe0dd" stroked="false">
              <v:fill type="solid"/>
            </v:rect>
            <v:line style="position:absolute" from="1247,680" to="10828,680" stroked="true" strokeweight="2.5pt" strokecolor="#ffffff">
              <v:stroke dashstyle="solid"/>
            </v:line>
            <w10:wrap type="none"/>
          </v:group>
        </w:pict>
      </w:r>
      <w:r>
        <w:rPr>
          <w:b/>
          <w:color w:val="658464"/>
          <w:w w:val="110"/>
          <w:sz w:val="32"/>
        </w:rPr>
        <w:t>Recommendations</w:t>
      </w:r>
    </w:p>
    <w:p>
      <w:pPr>
        <w:pStyle w:val="BodyText"/>
        <w:rPr>
          <w:b/>
          <w:sz w:val="35"/>
        </w:rPr>
      </w:pPr>
    </w:p>
    <w:p>
      <w:pPr>
        <w:pStyle w:val="BodyText"/>
        <w:spacing w:line="242" w:lineRule="auto"/>
        <w:ind w:left="2380" w:right="1890" w:hanging="567"/>
        <w:jc w:val="both"/>
      </w:pPr>
      <w:r>
        <w:rPr>
          <w:b/>
          <w:w w:val="115"/>
        </w:rPr>
        <w:t>25 </w:t>
      </w:r>
      <w:r>
        <w:rPr>
          <w:w w:val="115"/>
        </w:rPr>
        <w:t>The Act should state that before determining an application the Victorian Civil and Administrative </w:t>
      </w:r>
      <w:r>
        <w:rPr>
          <w:spacing w:val="-4"/>
          <w:w w:val="115"/>
        </w:rPr>
        <w:t>Tribunal </w:t>
      </w:r>
      <w:r>
        <w:rPr>
          <w:w w:val="115"/>
        </w:rPr>
        <w:t>must consider the </w:t>
      </w:r>
      <w:r>
        <w:rPr>
          <w:spacing w:val="-2"/>
          <w:w w:val="115"/>
        </w:rPr>
        <w:t>following </w:t>
      </w:r>
      <w:r>
        <w:rPr>
          <w:w w:val="115"/>
        </w:rPr>
        <w:t>matters to the extent that they are </w:t>
      </w:r>
      <w:r>
        <w:rPr>
          <w:spacing w:val="-3"/>
          <w:w w:val="115"/>
        </w:rPr>
        <w:t>relevant </w:t>
      </w:r>
      <w:r>
        <w:rPr>
          <w:w w:val="115"/>
        </w:rPr>
        <w:t>to an application:</w:t>
      </w:r>
    </w:p>
    <w:p>
      <w:pPr>
        <w:pStyle w:val="ListParagraph"/>
        <w:numPr>
          <w:ilvl w:val="1"/>
          <w:numId w:val="131"/>
        </w:numPr>
        <w:tabs>
          <w:tab w:pos="2947" w:val="left" w:leader="none"/>
          <w:tab w:pos="2948" w:val="left" w:leader="none"/>
        </w:tabs>
        <w:spacing w:line="242" w:lineRule="auto" w:before="123" w:after="0"/>
        <w:ind w:left="2947" w:right="2027" w:hanging="567"/>
        <w:jc w:val="left"/>
        <w:rPr>
          <w:sz w:val="21"/>
        </w:rPr>
      </w:pPr>
      <w:r>
        <w:rPr>
          <w:w w:val="115"/>
          <w:sz w:val="21"/>
        </w:rPr>
        <w:t>the location of the tree in relation to the boundary of the land and </w:t>
      </w:r>
      <w:r>
        <w:rPr>
          <w:spacing w:val="-2"/>
          <w:w w:val="115"/>
          <w:sz w:val="21"/>
        </w:rPr>
        <w:t>any </w:t>
      </w:r>
      <w:r>
        <w:rPr>
          <w:w w:val="115"/>
          <w:sz w:val="21"/>
        </w:rPr>
        <w:t>structures or</w:t>
      </w:r>
      <w:r>
        <w:rPr>
          <w:spacing w:val="-1"/>
          <w:w w:val="115"/>
          <w:sz w:val="21"/>
        </w:rPr>
        <w:t> </w:t>
      </w:r>
      <w:r>
        <w:rPr>
          <w:w w:val="115"/>
          <w:sz w:val="21"/>
        </w:rPr>
        <w:t>premises</w:t>
      </w:r>
    </w:p>
    <w:p>
      <w:pPr>
        <w:pStyle w:val="ListParagraph"/>
        <w:numPr>
          <w:ilvl w:val="1"/>
          <w:numId w:val="131"/>
        </w:numPr>
        <w:tabs>
          <w:tab w:pos="2947" w:val="left" w:leader="none"/>
          <w:tab w:pos="2948" w:val="left" w:leader="none"/>
        </w:tabs>
        <w:spacing w:line="240" w:lineRule="auto" w:before="123" w:after="0"/>
        <w:ind w:left="2947" w:right="0" w:hanging="567"/>
        <w:jc w:val="left"/>
        <w:rPr>
          <w:sz w:val="21"/>
        </w:rPr>
      </w:pPr>
      <w:r>
        <w:rPr>
          <w:w w:val="115"/>
          <w:sz w:val="21"/>
        </w:rPr>
        <w:t>the condition of the tree in respect of its health and structural</w:t>
      </w:r>
      <w:r>
        <w:rPr>
          <w:spacing w:val="-8"/>
          <w:w w:val="115"/>
          <w:sz w:val="21"/>
        </w:rPr>
        <w:t> </w:t>
      </w:r>
      <w:r>
        <w:rPr>
          <w:w w:val="115"/>
          <w:sz w:val="21"/>
        </w:rPr>
        <w:t>integrity</w:t>
      </w:r>
    </w:p>
    <w:p>
      <w:pPr>
        <w:pStyle w:val="ListParagraph"/>
        <w:numPr>
          <w:ilvl w:val="1"/>
          <w:numId w:val="131"/>
        </w:numPr>
        <w:tabs>
          <w:tab w:pos="2947" w:val="left" w:leader="none"/>
          <w:tab w:pos="2948" w:val="left" w:leader="none"/>
        </w:tabs>
        <w:spacing w:line="242" w:lineRule="auto" w:before="123" w:after="0"/>
        <w:ind w:left="2947" w:right="1851" w:hanging="567"/>
        <w:jc w:val="left"/>
        <w:rPr>
          <w:sz w:val="21"/>
        </w:rPr>
      </w:pPr>
      <w:r>
        <w:rPr>
          <w:w w:val="115"/>
          <w:sz w:val="21"/>
        </w:rPr>
        <w:t>whether works to the tree would require </w:t>
      </w:r>
      <w:r>
        <w:rPr>
          <w:spacing w:val="-2"/>
          <w:w w:val="115"/>
          <w:sz w:val="21"/>
        </w:rPr>
        <w:t>any </w:t>
      </w:r>
      <w:r>
        <w:rPr>
          <w:w w:val="115"/>
          <w:sz w:val="21"/>
        </w:rPr>
        <w:t>consent or authorisation under</w:t>
      </w:r>
      <w:r>
        <w:rPr>
          <w:spacing w:val="-7"/>
          <w:w w:val="115"/>
          <w:sz w:val="21"/>
        </w:rPr>
        <w:t> </w:t>
      </w:r>
      <w:r>
        <w:rPr>
          <w:w w:val="115"/>
          <w:sz w:val="21"/>
        </w:rPr>
        <w:t>other</w:t>
      </w:r>
      <w:r>
        <w:rPr>
          <w:spacing w:val="-7"/>
          <w:w w:val="115"/>
          <w:sz w:val="21"/>
        </w:rPr>
        <w:t> </w:t>
      </w:r>
      <w:r>
        <w:rPr>
          <w:w w:val="115"/>
          <w:sz w:val="21"/>
        </w:rPr>
        <w:t>Acts</w:t>
      </w:r>
      <w:r>
        <w:rPr>
          <w:spacing w:val="-7"/>
          <w:w w:val="115"/>
          <w:sz w:val="21"/>
        </w:rPr>
        <w:t> </w:t>
      </w:r>
      <w:r>
        <w:rPr>
          <w:w w:val="115"/>
          <w:sz w:val="21"/>
        </w:rPr>
        <w:t>or</w:t>
      </w:r>
      <w:r>
        <w:rPr>
          <w:spacing w:val="-7"/>
          <w:w w:val="115"/>
          <w:sz w:val="21"/>
        </w:rPr>
        <w:t> </w:t>
      </w:r>
      <w:r>
        <w:rPr>
          <w:w w:val="115"/>
          <w:sz w:val="21"/>
        </w:rPr>
        <w:t>laws</w:t>
      </w:r>
      <w:r>
        <w:rPr>
          <w:spacing w:val="-6"/>
          <w:w w:val="115"/>
          <w:sz w:val="21"/>
        </w:rPr>
        <w:t> </w:t>
      </w:r>
      <w:r>
        <w:rPr>
          <w:w w:val="115"/>
          <w:sz w:val="21"/>
        </w:rPr>
        <w:t>and,</w:t>
      </w:r>
      <w:r>
        <w:rPr>
          <w:spacing w:val="-7"/>
          <w:w w:val="115"/>
          <w:sz w:val="21"/>
        </w:rPr>
        <w:t> </w:t>
      </w:r>
      <w:r>
        <w:rPr>
          <w:w w:val="115"/>
          <w:sz w:val="21"/>
        </w:rPr>
        <w:t>if</w:t>
      </w:r>
      <w:r>
        <w:rPr>
          <w:spacing w:val="-7"/>
          <w:w w:val="115"/>
          <w:sz w:val="21"/>
        </w:rPr>
        <w:t> </w:t>
      </w:r>
      <w:r>
        <w:rPr>
          <w:w w:val="115"/>
          <w:sz w:val="21"/>
        </w:rPr>
        <w:t>so,</w:t>
      </w:r>
      <w:r>
        <w:rPr>
          <w:spacing w:val="-7"/>
          <w:w w:val="115"/>
          <w:sz w:val="21"/>
        </w:rPr>
        <w:t> </w:t>
      </w:r>
      <w:r>
        <w:rPr>
          <w:w w:val="115"/>
          <w:sz w:val="21"/>
        </w:rPr>
        <w:t>whether</w:t>
      </w:r>
      <w:r>
        <w:rPr>
          <w:spacing w:val="-6"/>
          <w:w w:val="115"/>
          <w:sz w:val="21"/>
        </w:rPr>
        <w:t> </w:t>
      </w:r>
      <w:r>
        <w:rPr>
          <w:w w:val="115"/>
          <w:sz w:val="21"/>
        </w:rPr>
        <w:t>the</w:t>
      </w:r>
      <w:r>
        <w:rPr>
          <w:spacing w:val="-7"/>
          <w:w w:val="115"/>
          <w:sz w:val="21"/>
        </w:rPr>
        <w:t> </w:t>
      </w:r>
      <w:r>
        <w:rPr>
          <w:w w:val="115"/>
          <w:sz w:val="21"/>
        </w:rPr>
        <w:t>consent</w:t>
      </w:r>
      <w:r>
        <w:rPr>
          <w:spacing w:val="-7"/>
          <w:w w:val="115"/>
          <w:sz w:val="21"/>
        </w:rPr>
        <w:t> </w:t>
      </w:r>
      <w:r>
        <w:rPr>
          <w:w w:val="115"/>
          <w:sz w:val="21"/>
        </w:rPr>
        <w:t>or</w:t>
      </w:r>
      <w:r>
        <w:rPr>
          <w:spacing w:val="-7"/>
          <w:w w:val="115"/>
          <w:sz w:val="21"/>
        </w:rPr>
        <w:t> </w:t>
      </w:r>
      <w:r>
        <w:rPr>
          <w:w w:val="115"/>
          <w:sz w:val="21"/>
        </w:rPr>
        <w:t>authorisation has been</w:t>
      </w:r>
      <w:r>
        <w:rPr>
          <w:spacing w:val="1"/>
          <w:w w:val="115"/>
          <w:sz w:val="21"/>
        </w:rPr>
        <w:t> </w:t>
      </w:r>
      <w:r>
        <w:rPr>
          <w:w w:val="115"/>
          <w:sz w:val="21"/>
        </w:rPr>
        <w:t>obtained</w:t>
      </w:r>
    </w:p>
    <w:p>
      <w:pPr>
        <w:pStyle w:val="ListParagraph"/>
        <w:numPr>
          <w:ilvl w:val="1"/>
          <w:numId w:val="131"/>
        </w:numPr>
        <w:tabs>
          <w:tab w:pos="2947" w:val="left" w:leader="none"/>
          <w:tab w:pos="2948" w:val="left" w:leader="none"/>
        </w:tabs>
        <w:spacing w:line="242" w:lineRule="auto" w:before="124" w:after="0"/>
        <w:ind w:left="2947" w:right="1885" w:hanging="567"/>
        <w:jc w:val="left"/>
        <w:rPr>
          <w:sz w:val="21"/>
        </w:rPr>
      </w:pPr>
      <w:r>
        <w:rPr>
          <w:w w:val="110"/>
          <w:sz w:val="21"/>
        </w:rPr>
        <w:t>the provisions of the planning scheme which apply to the land under the </w:t>
      </w:r>
      <w:r>
        <w:rPr>
          <w:rFonts w:ascii="Lucida Sans"/>
          <w:i/>
          <w:w w:val="110"/>
          <w:sz w:val="21"/>
        </w:rPr>
        <w:t>Planning</w:t>
      </w:r>
      <w:r>
        <w:rPr>
          <w:rFonts w:ascii="Lucida Sans"/>
          <w:i/>
          <w:spacing w:val="-45"/>
          <w:w w:val="110"/>
          <w:sz w:val="21"/>
        </w:rPr>
        <w:t> </w:t>
      </w:r>
      <w:r>
        <w:rPr>
          <w:rFonts w:ascii="Lucida Sans"/>
          <w:i/>
          <w:w w:val="110"/>
          <w:sz w:val="21"/>
        </w:rPr>
        <w:t>and</w:t>
      </w:r>
      <w:r>
        <w:rPr>
          <w:rFonts w:ascii="Lucida Sans"/>
          <w:i/>
          <w:spacing w:val="-45"/>
          <w:w w:val="110"/>
          <w:sz w:val="21"/>
        </w:rPr>
        <w:t> </w:t>
      </w:r>
      <w:r>
        <w:rPr>
          <w:rFonts w:ascii="Lucida Sans"/>
          <w:i/>
          <w:w w:val="110"/>
          <w:sz w:val="21"/>
        </w:rPr>
        <w:t>Environment</w:t>
      </w:r>
      <w:r>
        <w:rPr>
          <w:rFonts w:ascii="Lucida Sans"/>
          <w:i/>
          <w:spacing w:val="-45"/>
          <w:w w:val="110"/>
          <w:sz w:val="21"/>
        </w:rPr>
        <w:t> </w:t>
      </w:r>
      <w:r>
        <w:rPr>
          <w:rFonts w:ascii="Lucida Sans"/>
          <w:i/>
          <w:w w:val="110"/>
          <w:sz w:val="21"/>
        </w:rPr>
        <w:t>Act</w:t>
      </w:r>
      <w:r>
        <w:rPr>
          <w:rFonts w:ascii="Lucida Sans"/>
          <w:i/>
          <w:spacing w:val="-44"/>
          <w:w w:val="110"/>
          <w:sz w:val="21"/>
        </w:rPr>
        <w:t> </w:t>
      </w:r>
      <w:r>
        <w:rPr>
          <w:rFonts w:ascii="Lucida Sans"/>
          <w:i/>
          <w:spacing w:val="-4"/>
          <w:w w:val="110"/>
          <w:sz w:val="21"/>
        </w:rPr>
        <w:t>1987</w:t>
      </w:r>
      <w:r>
        <w:rPr>
          <w:rFonts w:ascii="Lucida Sans"/>
          <w:i/>
          <w:spacing w:val="-45"/>
          <w:w w:val="110"/>
          <w:sz w:val="21"/>
        </w:rPr>
        <w:t> </w:t>
      </w:r>
      <w:r>
        <w:rPr>
          <w:w w:val="110"/>
          <w:sz w:val="21"/>
        </w:rPr>
        <w:t>(Vic)</w:t>
      </w:r>
      <w:r>
        <w:rPr>
          <w:spacing w:val="-24"/>
          <w:w w:val="110"/>
          <w:sz w:val="21"/>
        </w:rPr>
        <w:t> </w:t>
      </w:r>
      <w:r>
        <w:rPr>
          <w:w w:val="110"/>
          <w:sz w:val="21"/>
        </w:rPr>
        <w:t>including</w:t>
      </w:r>
      <w:r>
        <w:rPr>
          <w:spacing w:val="-23"/>
          <w:w w:val="110"/>
          <w:sz w:val="21"/>
        </w:rPr>
        <w:t> </w:t>
      </w:r>
      <w:r>
        <w:rPr>
          <w:spacing w:val="-3"/>
          <w:w w:val="110"/>
          <w:sz w:val="21"/>
        </w:rPr>
        <w:t>relevant</w:t>
      </w:r>
      <w:r>
        <w:rPr>
          <w:spacing w:val="-24"/>
          <w:w w:val="110"/>
          <w:sz w:val="21"/>
        </w:rPr>
        <w:t> </w:t>
      </w:r>
      <w:r>
        <w:rPr>
          <w:w w:val="110"/>
          <w:sz w:val="21"/>
        </w:rPr>
        <w:t>zones</w:t>
      </w:r>
      <w:r>
        <w:rPr>
          <w:spacing w:val="-24"/>
          <w:w w:val="110"/>
          <w:sz w:val="21"/>
        </w:rPr>
        <w:t> </w:t>
      </w:r>
      <w:r>
        <w:rPr>
          <w:w w:val="110"/>
          <w:sz w:val="21"/>
        </w:rPr>
        <w:t>and overlays and the provisions of other </w:t>
      </w:r>
      <w:r>
        <w:rPr>
          <w:spacing w:val="-3"/>
          <w:w w:val="110"/>
          <w:sz w:val="21"/>
        </w:rPr>
        <w:t>relevant  </w:t>
      </w:r>
      <w:r>
        <w:rPr>
          <w:w w:val="110"/>
          <w:sz w:val="21"/>
        </w:rPr>
        <w:t>Acts or laws that apply to   the land or</w:t>
      </w:r>
      <w:r>
        <w:rPr>
          <w:spacing w:val="10"/>
          <w:w w:val="110"/>
          <w:sz w:val="21"/>
        </w:rPr>
        <w:t> </w:t>
      </w:r>
      <w:r>
        <w:rPr>
          <w:w w:val="110"/>
          <w:sz w:val="21"/>
        </w:rPr>
        <w:t>tree</w:t>
      </w:r>
    </w:p>
    <w:p>
      <w:pPr>
        <w:pStyle w:val="ListParagraph"/>
        <w:numPr>
          <w:ilvl w:val="1"/>
          <w:numId w:val="131"/>
        </w:numPr>
        <w:tabs>
          <w:tab w:pos="2947" w:val="left" w:leader="none"/>
          <w:tab w:pos="2948" w:val="left" w:leader="none"/>
        </w:tabs>
        <w:spacing w:line="242" w:lineRule="auto" w:before="121" w:after="0"/>
        <w:ind w:left="2947" w:right="1976" w:hanging="567"/>
        <w:jc w:val="left"/>
        <w:rPr>
          <w:sz w:val="21"/>
        </w:rPr>
      </w:pPr>
      <w:r>
        <w:rPr>
          <w:w w:val="115"/>
          <w:sz w:val="21"/>
        </w:rPr>
        <w:t>the impact </w:t>
      </w:r>
      <w:r>
        <w:rPr>
          <w:spacing w:val="-2"/>
          <w:w w:val="115"/>
          <w:sz w:val="21"/>
        </w:rPr>
        <w:t>any </w:t>
      </w:r>
      <w:r>
        <w:rPr>
          <w:w w:val="115"/>
          <w:sz w:val="21"/>
        </w:rPr>
        <w:t>pruning, including the impact of maintaining the tree at a particular height, width or shape, would </w:t>
      </w:r>
      <w:r>
        <w:rPr>
          <w:spacing w:val="-3"/>
          <w:w w:val="115"/>
          <w:sz w:val="21"/>
        </w:rPr>
        <w:t>have </w:t>
      </w:r>
      <w:r>
        <w:rPr>
          <w:w w:val="115"/>
          <w:sz w:val="21"/>
        </w:rPr>
        <w:t>on the tree</w:t>
      </w:r>
    </w:p>
    <w:p>
      <w:pPr>
        <w:pStyle w:val="ListParagraph"/>
        <w:numPr>
          <w:ilvl w:val="1"/>
          <w:numId w:val="131"/>
        </w:numPr>
        <w:tabs>
          <w:tab w:pos="2947" w:val="left" w:leader="none"/>
          <w:tab w:pos="2948" w:val="left" w:leader="none"/>
        </w:tabs>
        <w:spacing w:line="240" w:lineRule="auto" w:before="122" w:after="0"/>
        <w:ind w:left="2947" w:right="0" w:hanging="567"/>
        <w:jc w:val="left"/>
        <w:rPr>
          <w:sz w:val="21"/>
        </w:rPr>
      </w:pPr>
      <w:r>
        <w:rPr>
          <w:spacing w:val="-2"/>
          <w:w w:val="115"/>
          <w:sz w:val="21"/>
        </w:rPr>
        <w:t>any </w:t>
      </w:r>
      <w:r>
        <w:rPr>
          <w:w w:val="115"/>
          <w:sz w:val="21"/>
        </w:rPr>
        <w:t>contribution the tree </w:t>
      </w:r>
      <w:r>
        <w:rPr>
          <w:spacing w:val="-3"/>
          <w:w w:val="115"/>
          <w:sz w:val="21"/>
        </w:rPr>
        <w:t>makes</w:t>
      </w:r>
      <w:r>
        <w:rPr>
          <w:spacing w:val="4"/>
          <w:w w:val="115"/>
          <w:sz w:val="21"/>
        </w:rPr>
        <w:t> </w:t>
      </w:r>
      <w:r>
        <w:rPr>
          <w:w w:val="115"/>
          <w:sz w:val="21"/>
        </w:rPr>
        <w:t>to:</w:t>
      </w:r>
    </w:p>
    <w:p>
      <w:pPr>
        <w:pStyle w:val="ListParagraph"/>
        <w:numPr>
          <w:ilvl w:val="2"/>
          <w:numId w:val="131"/>
        </w:numPr>
        <w:tabs>
          <w:tab w:pos="3514" w:val="left" w:leader="none"/>
          <w:tab w:pos="3515" w:val="left" w:leader="none"/>
        </w:tabs>
        <w:spacing w:line="242" w:lineRule="auto" w:before="124" w:after="0"/>
        <w:ind w:left="3514" w:right="2049" w:hanging="567"/>
        <w:jc w:val="left"/>
        <w:rPr>
          <w:sz w:val="21"/>
        </w:rPr>
      </w:pPr>
      <w:r>
        <w:rPr>
          <w:w w:val="115"/>
          <w:sz w:val="21"/>
        </w:rPr>
        <w:t>the amenity of land on which it is situated, including its contribution</w:t>
      </w:r>
      <w:r>
        <w:rPr>
          <w:spacing w:val="-8"/>
          <w:w w:val="115"/>
          <w:sz w:val="21"/>
        </w:rPr>
        <w:t> </w:t>
      </w:r>
      <w:r>
        <w:rPr>
          <w:w w:val="115"/>
          <w:sz w:val="21"/>
        </w:rPr>
        <w:t>to</w:t>
      </w:r>
      <w:r>
        <w:rPr>
          <w:spacing w:val="-8"/>
          <w:w w:val="115"/>
          <w:sz w:val="21"/>
        </w:rPr>
        <w:t> </w:t>
      </w:r>
      <w:r>
        <w:rPr>
          <w:w w:val="115"/>
          <w:sz w:val="21"/>
        </w:rPr>
        <w:t>privacy,</w:t>
      </w:r>
      <w:r>
        <w:rPr>
          <w:spacing w:val="-7"/>
          <w:w w:val="115"/>
          <w:sz w:val="21"/>
        </w:rPr>
        <w:t> </w:t>
      </w:r>
      <w:r>
        <w:rPr>
          <w:w w:val="115"/>
          <w:sz w:val="21"/>
        </w:rPr>
        <w:t>landscaping,</w:t>
      </w:r>
      <w:r>
        <w:rPr>
          <w:spacing w:val="-8"/>
          <w:w w:val="115"/>
          <w:sz w:val="21"/>
        </w:rPr>
        <w:t> </w:t>
      </w:r>
      <w:r>
        <w:rPr>
          <w:w w:val="115"/>
          <w:sz w:val="21"/>
        </w:rPr>
        <w:t>garden</w:t>
      </w:r>
      <w:r>
        <w:rPr>
          <w:spacing w:val="-7"/>
          <w:w w:val="115"/>
          <w:sz w:val="21"/>
        </w:rPr>
        <w:t> </w:t>
      </w:r>
      <w:r>
        <w:rPr>
          <w:w w:val="115"/>
          <w:sz w:val="21"/>
        </w:rPr>
        <w:t>design</w:t>
      </w:r>
      <w:r>
        <w:rPr>
          <w:spacing w:val="-8"/>
          <w:w w:val="115"/>
          <w:sz w:val="21"/>
        </w:rPr>
        <w:t> </w:t>
      </w:r>
      <w:r>
        <w:rPr>
          <w:w w:val="115"/>
          <w:sz w:val="21"/>
        </w:rPr>
        <w:t>or</w:t>
      </w:r>
      <w:r>
        <w:rPr>
          <w:spacing w:val="-8"/>
          <w:w w:val="115"/>
          <w:sz w:val="21"/>
        </w:rPr>
        <w:t> </w:t>
      </w:r>
      <w:r>
        <w:rPr>
          <w:w w:val="115"/>
          <w:sz w:val="21"/>
        </w:rPr>
        <w:t>protection from sun, wind, noise, odour or</w:t>
      </w:r>
      <w:r>
        <w:rPr>
          <w:spacing w:val="-2"/>
          <w:w w:val="115"/>
          <w:sz w:val="21"/>
        </w:rPr>
        <w:t> </w:t>
      </w:r>
      <w:r>
        <w:rPr>
          <w:w w:val="115"/>
          <w:sz w:val="21"/>
        </w:rPr>
        <w:t>smoke</w:t>
      </w:r>
    </w:p>
    <w:p>
      <w:pPr>
        <w:pStyle w:val="ListParagraph"/>
        <w:numPr>
          <w:ilvl w:val="2"/>
          <w:numId w:val="131"/>
        </w:numPr>
        <w:tabs>
          <w:tab w:pos="3514" w:val="left" w:leader="none"/>
          <w:tab w:pos="3515" w:val="left" w:leader="none"/>
        </w:tabs>
        <w:spacing w:line="240" w:lineRule="auto" w:before="123" w:after="0"/>
        <w:ind w:left="3514" w:right="0" w:hanging="567"/>
        <w:jc w:val="left"/>
        <w:rPr>
          <w:sz w:val="21"/>
        </w:rPr>
      </w:pPr>
      <w:r>
        <w:rPr>
          <w:w w:val="115"/>
          <w:sz w:val="21"/>
        </w:rPr>
        <w:t>the local ecosystem and</w:t>
      </w:r>
      <w:r>
        <w:rPr>
          <w:spacing w:val="-1"/>
          <w:w w:val="115"/>
          <w:sz w:val="21"/>
        </w:rPr>
        <w:t> </w:t>
      </w:r>
      <w:r>
        <w:rPr>
          <w:w w:val="115"/>
          <w:sz w:val="21"/>
        </w:rPr>
        <w:t>biodiversity</w:t>
      </w:r>
    </w:p>
    <w:p>
      <w:pPr>
        <w:pStyle w:val="ListParagraph"/>
        <w:numPr>
          <w:ilvl w:val="2"/>
          <w:numId w:val="131"/>
        </w:numPr>
        <w:tabs>
          <w:tab w:pos="3514" w:val="left" w:leader="none"/>
          <w:tab w:pos="3515" w:val="left" w:leader="none"/>
        </w:tabs>
        <w:spacing w:line="240" w:lineRule="auto" w:before="124" w:after="0"/>
        <w:ind w:left="3514" w:right="0" w:hanging="567"/>
        <w:jc w:val="left"/>
        <w:rPr>
          <w:sz w:val="21"/>
        </w:rPr>
      </w:pPr>
      <w:r>
        <w:rPr>
          <w:w w:val="115"/>
          <w:sz w:val="21"/>
        </w:rPr>
        <w:t>the </w:t>
      </w:r>
      <w:r>
        <w:rPr>
          <w:spacing w:val="-3"/>
          <w:w w:val="115"/>
          <w:sz w:val="21"/>
        </w:rPr>
        <w:t>natural </w:t>
      </w:r>
      <w:r>
        <w:rPr>
          <w:w w:val="115"/>
          <w:sz w:val="21"/>
        </w:rPr>
        <w:t>landscape and scenic value of the</w:t>
      </w:r>
      <w:r>
        <w:rPr>
          <w:spacing w:val="3"/>
          <w:w w:val="115"/>
          <w:sz w:val="21"/>
        </w:rPr>
        <w:t> </w:t>
      </w:r>
      <w:r>
        <w:rPr>
          <w:w w:val="115"/>
          <w:sz w:val="21"/>
        </w:rPr>
        <w:t>land</w:t>
      </w:r>
    </w:p>
    <w:p>
      <w:pPr>
        <w:pStyle w:val="ListParagraph"/>
        <w:numPr>
          <w:ilvl w:val="1"/>
          <w:numId w:val="131"/>
        </w:numPr>
        <w:tabs>
          <w:tab w:pos="2947" w:val="left" w:leader="none"/>
          <w:tab w:pos="2948" w:val="left" w:leader="none"/>
        </w:tabs>
        <w:spacing w:line="242" w:lineRule="auto" w:before="124" w:after="0"/>
        <w:ind w:left="2947" w:right="1939" w:hanging="567"/>
        <w:jc w:val="left"/>
        <w:rPr>
          <w:sz w:val="21"/>
        </w:rPr>
      </w:pPr>
      <w:r>
        <w:rPr>
          <w:w w:val="110"/>
          <w:sz w:val="21"/>
        </w:rPr>
        <w:t>whether the tree has </w:t>
      </w:r>
      <w:r>
        <w:rPr>
          <w:spacing w:val="-2"/>
          <w:w w:val="110"/>
          <w:sz w:val="21"/>
        </w:rPr>
        <w:t>any </w:t>
      </w:r>
      <w:r>
        <w:rPr>
          <w:w w:val="110"/>
          <w:sz w:val="21"/>
        </w:rPr>
        <w:t>historical, cultural, social  or  scientific  </w:t>
      </w:r>
      <w:r>
        <w:rPr>
          <w:spacing w:val="-3"/>
          <w:w w:val="110"/>
          <w:sz w:val="21"/>
        </w:rPr>
        <w:t>value. </w:t>
      </w:r>
      <w:r>
        <w:rPr>
          <w:w w:val="110"/>
          <w:sz w:val="21"/>
        </w:rPr>
        <w:t>This includes a tree that is part of Aboriginal </w:t>
      </w:r>
      <w:r>
        <w:rPr>
          <w:spacing w:val="-3"/>
          <w:w w:val="110"/>
          <w:sz w:val="21"/>
        </w:rPr>
        <w:t>cultural </w:t>
      </w:r>
      <w:r>
        <w:rPr>
          <w:w w:val="110"/>
          <w:sz w:val="21"/>
        </w:rPr>
        <w:t>heritage under the </w:t>
      </w:r>
      <w:r>
        <w:rPr>
          <w:rFonts w:ascii="Lucida Sans"/>
          <w:i/>
          <w:w w:val="105"/>
          <w:sz w:val="21"/>
        </w:rPr>
        <w:t>Aboriginal</w:t>
      </w:r>
      <w:r>
        <w:rPr>
          <w:rFonts w:ascii="Lucida Sans"/>
          <w:i/>
          <w:spacing w:val="-35"/>
          <w:w w:val="105"/>
          <w:sz w:val="21"/>
        </w:rPr>
        <w:t> </w:t>
      </w:r>
      <w:r>
        <w:rPr>
          <w:rFonts w:ascii="Lucida Sans"/>
          <w:i/>
          <w:w w:val="110"/>
          <w:sz w:val="21"/>
        </w:rPr>
        <w:t>Heritage</w:t>
      </w:r>
      <w:r>
        <w:rPr>
          <w:rFonts w:ascii="Lucida Sans"/>
          <w:i/>
          <w:spacing w:val="-37"/>
          <w:w w:val="110"/>
          <w:sz w:val="21"/>
        </w:rPr>
        <w:t> </w:t>
      </w:r>
      <w:r>
        <w:rPr>
          <w:rFonts w:ascii="Lucida Sans"/>
          <w:i/>
          <w:w w:val="110"/>
          <w:sz w:val="21"/>
        </w:rPr>
        <w:t>Act</w:t>
      </w:r>
      <w:r>
        <w:rPr>
          <w:rFonts w:ascii="Lucida Sans"/>
          <w:i/>
          <w:spacing w:val="-38"/>
          <w:w w:val="110"/>
          <w:sz w:val="21"/>
        </w:rPr>
        <w:t> </w:t>
      </w:r>
      <w:r>
        <w:rPr>
          <w:rFonts w:ascii="Lucida Sans"/>
          <w:i/>
          <w:w w:val="110"/>
          <w:sz w:val="21"/>
        </w:rPr>
        <w:t>2006</w:t>
      </w:r>
      <w:r>
        <w:rPr>
          <w:rFonts w:ascii="Lucida Sans"/>
          <w:i/>
          <w:spacing w:val="-37"/>
          <w:w w:val="110"/>
          <w:sz w:val="21"/>
        </w:rPr>
        <w:t> </w:t>
      </w:r>
      <w:r>
        <w:rPr>
          <w:w w:val="110"/>
          <w:sz w:val="21"/>
        </w:rPr>
        <w:t>(Vic)</w:t>
      </w:r>
      <w:r>
        <w:rPr>
          <w:spacing w:val="-17"/>
          <w:w w:val="110"/>
          <w:sz w:val="21"/>
        </w:rPr>
        <w:t> </w:t>
      </w:r>
      <w:r>
        <w:rPr>
          <w:w w:val="110"/>
          <w:sz w:val="21"/>
        </w:rPr>
        <w:t>or</w:t>
      </w:r>
      <w:r>
        <w:rPr>
          <w:spacing w:val="-16"/>
          <w:w w:val="110"/>
          <w:sz w:val="21"/>
        </w:rPr>
        <w:t> </w:t>
      </w:r>
      <w:r>
        <w:rPr>
          <w:w w:val="110"/>
          <w:sz w:val="21"/>
        </w:rPr>
        <w:t>is</w:t>
      </w:r>
      <w:r>
        <w:rPr>
          <w:spacing w:val="-17"/>
          <w:w w:val="110"/>
          <w:sz w:val="21"/>
        </w:rPr>
        <w:t> </w:t>
      </w:r>
      <w:r>
        <w:rPr>
          <w:w w:val="110"/>
          <w:sz w:val="21"/>
        </w:rPr>
        <w:t>a</w:t>
      </w:r>
      <w:r>
        <w:rPr>
          <w:spacing w:val="-16"/>
          <w:w w:val="110"/>
          <w:sz w:val="21"/>
        </w:rPr>
        <w:t> </w:t>
      </w:r>
      <w:r>
        <w:rPr>
          <w:w w:val="110"/>
          <w:sz w:val="21"/>
        </w:rPr>
        <w:t>registered</w:t>
      </w:r>
      <w:r>
        <w:rPr>
          <w:spacing w:val="-17"/>
          <w:w w:val="110"/>
          <w:sz w:val="21"/>
        </w:rPr>
        <w:t> </w:t>
      </w:r>
      <w:r>
        <w:rPr>
          <w:w w:val="110"/>
          <w:sz w:val="21"/>
        </w:rPr>
        <w:t>tree</w:t>
      </w:r>
      <w:r>
        <w:rPr>
          <w:spacing w:val="-17"/>
          <w:w w:val="110"/>
          <w:sz w:val="21"/>
        </w:rPr>
        <w:t> </w:t>
      </w:r>
      <w:r>
        <w:rPr>
          <w:w w:val="110"/>
          <w:sz w:val="21"/>
        </w:rPr>
        <w:t>or</w:t>
      </w:r>
      <w:r>
        <w:rPr>
          <w:spacing w:val="-16"/>
          <w:w w:val="110"/>
          <w:sz w:val="21"/>
        </w:rPr>
        <w:t> </w:t>
      </w:r>
      <w:r>
        <w:rPr>
          <w:w w:val="110"/>
          <w:sz w:val="21"/>
        </w:rPr>
        <w:t>is</w:t>
      </w:r>
      <w:r>
        <w:rPr>
          <w:spacing w:val="-17"/>
          <w:w w:val="110"/>
          <w:sz w:val="21"/>
        </w:rPr>
        <w:t> </w:t>
      </w:r>
      <w:r>
        <w:rPr>
          <w:w w:val="110"/>
          <w:sz w:val="21"/>
        </w:rPr>
        <w:t>situated</w:t>
      </w:r>
      <w:r>
        <w:rPr>
          <w:spacing w:val="-16"/>
          <w:w w:val="110"/>
          <w:sz w:val="21"/>
        </w:rPr>
        <w:t> </w:t>
      </w:r>
      <w:r>
        <w:rPr>
          <w:w w:val="110"/>
          <w:sz w:val="21"/>
        </w:rPr>
        <w:t>in a</w:t>
      </w:r>
      <w:r>
        <w:rPr>
          <w:spacing w:val="-2"/>
          <w:w w:val="110"/>
          <w:sz w:val="21"/>
        </w:rPr>
        <w:t> </w:t>
      </w:r>
      <w:r>
        <w:rPr>
          <w:w w:val="110"/>
          <w:sz w:val="21"/>
        </w:rPr>
        <w:t>Victorian</w:t>
      </w:r>
      <w:r>
        <w:rPr>
          <w:spacing w:val="-1"/>
          <w:w w:val="110"/>
          <w:sz w:val="21"/>
        </w:rPr>
        <w:t> </w:t>
      </w:r>
      <w:r>
        <w:rPr>
          <w:w w:val="110"/>
          <w:sz w:val="21"/>
        </w:rPr>
        <w:t>heritage</w:t>
      </w:r>
      <w:r>
        <w:rPr>
          <w:spacing w:val="-1"/>
          <w:w w:val="110"/>
          <w:sz w:val="21"/>
        </w:rPr>
        <w:t> </w:t>
      </w:r>
      <w:r>
        <w:rPr>
          <w:w w:val="110"/>
          <w:sz w:val="21"/>
        </w:rPr>
        <w:t>place</w:t>
      </w:r>
      <w:r>
        <w:rPr>
          <w:spacing w:val="-2"/>
          <w:w w:val="110"/>
          <w:sz w:val="21"/>
        </w:rPr>
        <w:t> </w:t>
      </w:r>
      <w:r>
        <w:rPr>
          <w:w w:val="110"/>
          <w:sz w:val="21"/>
        </w:rPr>
        <w:t>under</w:t>
      </w:r>
      <w:r>
        <w:rPr>
          <w:spacing w:val="-1"/>
          <w:w w:val="110"/>
          <w:sz w:val="21"/>
        </w:rPr>
        <w:t> </w:t>
      </w:r>
      <w:r>
        <w:rPr>
          <w:w w:val="110"/>
          <w:sz w:val="21"/>
        </w:rPr>
        <w:t>the</w:t>
      </w:r>
      <w:r>
        <w:rPr>
          <w:spacing w:val="-1"/>
          <w:w w:val="110"/>
          <w:sz w:val="21"/>
        </w:rPr>
        <w:t> </w:t>
      </w:r>
      <w:r>
        <w:rPr>
          <w:rFonts w:ascii="Lucida Sans"/>
          <w:i/>
          <w:w w:val="110"/>
          <w:sz w:val="21"/>
        </w:rPr>
        <w:t>Heritage</w:t>
      </w:r>
      <w:r>
        <w:rPr>
          <w:rFonts w:ascii="Lucida Sans"/>
          <w:i/>
          <w:spacing w:val="-22"/>
          <w:w w:val="110"/>
          <w:sz w:val="21"/>
        </w:rPr>
        <w:t> </w:t>
      </w:r>
      <w:r>
        <w:rPr>
          <w:rFonts w:ascii="Lucida Sans"/>
          <w:i/>
          <w:w w:val="110"/>
          <w:sz w:val="21"/>
        </w:rPr>
        <w:t>Act</w:t>
      </w:r>
      <w:r>
        <w:rPr>
          <w:rFonts w:ascii="Lucida Sans"/>
          <w:i/>
          <w:spacing w:val="-23"/>
          <w:w w:val="110"/>
          <w:sz w:val="21"/>
        </w:rPr>
        <w:t> </w:t>
      </w:r>
      <w:r>
        <w:rPr>
          <w:rFonts w:ascii="Lucida Sans"/>
          <w:i/>
          <w:spacing w:val="-6"/>
          <w:w w:val="110"/>
          <w:sz w:val="21"/>
        </w:rPr>
        <w:t>2017</w:t>
      </w:r>
      <w:r>
        <w:rPr>
          <w:rFonts w:ascii="Lucida Sans"/>
          <w:i/>
          <w:spacing w:val="-22"/>
          <w:w w:val="110"/>
          <w:sz w:val="21"/>
        </w:rPr>
        <w:t> </w:t>
      </w:r>
      <w:r>
        <w:rPr>
          <w:w w:val="110"/>
          <w:sz w:val="21"/>
        </w:rPr>
        <w:t>(Vic).</w:t>
      </w:r>
    </w:p>
    <w:p>
      <w:pPr>
        <w:pStyle w:val="ListParagraph"/>
        <w:numPr>
          <w:ilvl w:val="1"/>
          <w:numId w:val="131"/>
        </w:numPr>
        <w:tabs>
          <w:tab w:pos="2947" w:val="left" w:leader="none"/>
          <w:tab w:pos="2948" w:val="left" w:leader="none"/>
        </w:tabs>
        <w:spacing w:line="242" w:lineRule="auto" w:before="118" w:after="0"/>
        <w:ind w:left="2947" w:right="1935" w:hanging="567"/>
        <w:jc w:val="left"/>
        <w:rPr>
          <w:sz w:val="21"/>
        </w:rPr>
      </w:pPr>
      <w:r>
        <w:rPr>
          <w:spacing w:val="-2"/>
          <w:w w:val="115"/>
          <w:sz w:val="21"/>
        </w:rPr>
        <w:t>any</w:t>
      </w:r>
      <w:r>
        <w:rPr>
          <w:spacing w:val="-7"/>
          <w:w w:val="115"/>
          <w:sz w:val="21"/>
        </w:rPr>
        <w:t> </w:t>
      </w:r>
      <w:r>
        <w:rPr>
          <w:w w:val="115"/>
          <w:sz w:val="21"/>
        </w:rPr>
        <w:t>impact</w:t>
      </w:r>
      <w:r>
        <w:rPr>
          <w:spacing w:val="-7"/>
          <w:w w:val="115"/>
          <w:sz w:val="21"/>
        </w:rPr>
        <w:t> </w:t>
      </w:r>
      <w:r>
        <w:rPr>
          <w:w w:val="115"/>
          <w:sz w:val="21"/>
        </w:rPr>
        <w:t>the</w:t>
      </w:r>
      <w:r>
        <w:rPr>
          <w:spacing w:val="-7"/>
          <w:w w:val="115"/>
          <w:sz w:val="21"/>
        </w:rPr>
        <w:t> </w:t>
      </w:r>
      <w:r>
        <w:rPr>
          <w:w w:val="115"/>
          <w:sz w:val="21"/>
        </w:rPr>
        <w:t>tree</w:t>
      </w:r>
      <w:r>
        <w:rPr>
          <w:spacing w:val="-7"/>
          <w:w w:val="115"/>
          <w:sz w:val="21"/>
        </w:rPr>
        <w:t> </w:t>
      </w:r>
      <w:r>
        <w:rPr>
          <w:w w:val="115"/>
          <w:sz w:val="21"/>
        </w:rPr>
        <w:t>has</w:t>
      </w:r>
      <w:r>
        <w:rPr>
          <w:spacing w:val="-7"/>
          <w:w w:val="115"/>
          <w:sz w:val="21"/>
        </w:rPr>
        <w:t> </w:t>
      </w:r>
      <w:r>
        <w:rPr>
          <w:w w:val="115"/>
          <w:sz w:val="21"/>
        </w:rPr>
        <w:t>on</w:t>
      </w:r>
      <w:r>
        <w:rPr>
          <w:spacing w:val="-6"/>
          <w:w w:val="115"/>
          <w:sz w:val="21"/>
        </w:rPr>
        <w:t> </w:t>
      </w:r>
      <w:r>
        <w:rPr>
          <w:w w:val="115"/>
          <w:sz w:val="21"/>
        </w:rPr>
        <w:t>soil</w:t>
      </w:r>
      <w:r>
        <w:rPr>
          <w:spacing w:val="-7"/>
          <w:w w:val="115"/>
          <w:sz w:val="21"/>
        </w:rPr>
        <w:t> </w:t>
      </w:r>
      <w:r>
        <w:rPr>
          <w:w w:val="115"/>
          <w:sz w:val="21"/>
        </w:rPr>
        <w:t>stability,</w:t>
      </w:r>
      <w:r>
        <w:rPr>
          <w:spacing w:val="-7"/>
          <w:w w:val="115"/>
          <w:sz w:val="21"/>
        </w:rPr>
        <w:t> </w:t>
      </w:r>
      <w:r>
        <w:rPr>
          <w:w w:val="115"/>
          <w:sz w:val="21"/>
        </w:rPr>
        <w:t>the</w:t>
      </w:r>
      <w:r>
        <w:rPr>
          <w:spacing w:val="-7"/>
          <w:w w:val="115"/>
          <w:sz w:val="21"/>
        </w:rPr>
        <w:t> </w:t>
      </w:r>
      <w:r>
        <w:rPr>
          <w:w w:val="115"/>
          <w:sz w:val="21"/>
        </w:rPr>
        <w:t>water</w:t>
      </w:r>
      <w:r>
        <w:rPr>
          <w:spacing w:val="-7"/>
          <w:w w:val="115"/>
          <w:sz w:val="21"/>
        </w:rPr>
        <w:t> </w:t>
      </w:r>
      <w:r>
        <w:rPr>
          <w:w w:val="115"/>
          <w:sz w:val="21"/>
        </w:rPr>
        <w:t>table</w:t>
      </w:r>
      <w:r>
        <w:rPr>
          <w:spacing w:val="-6"/>
          <w:w w:val="115"/>
          <w:sz w:val="21"/>
        </w:rPr>
        <w:t> </w:t>
      </w:r>
      <w:r>
        <w:rPr>
          <w:w w:val="115"/>
          <w:sz w:val="21"/>
        </w:rPr>
        <w:t>or</w:t>
      </w:r>
      <w:r>
        <w:rPr>
          <w:spacing w:val="-7"/>
          <w:w w:val="115"/>
          <w:sz w:val="21"/>
        </w:rPr>
        <w:t> </w:t>
      </w:r>
      <w:r>
        <w:rPr>
          <w:w w:val="115"/>
          <w:sz w:val="21"/>
        </w:rPr>
        <w:t>other</w:t>
      </w:r>
      <w:r>
        <w:rPr>
          <w:spacing w:val="-7"/>
          <w:w w:val="115"/>
          <w:sz w:val="21"/>
        </w:rPr>
        <w:t> </w:t>
      </w:r>
      <w:r>
        <w:rPr>
          <w:w w:val="115"/>
          <w:sz w:val="21"/>
        </w:rPr>
        <w:t>natural features of the land or</w:t>
      </w:r>
      <w:r>
        <w:rPr>
          <w:spacing w:val="2"/>
          <w:w w:val="115"/>
          <w:sz w:val="21"/>
        </w:rPr>
        <w:t> </w:t>
      </w:r>
      <w:r>
        <w:rPr>
          <w:w w:val="115"/>
          <w:sz w:val="21"/>
        </w:rPr>
        <w:t>locality</w:t>
      </w:r>
    </w:p>
    <w:p>
      <w:pPr>
        <w:pStyle w:val="ListParagraph"/>
        <w:numPr>
          <w:ilvl w:val="1"/>
          <w:numId w:val="131"/>
        </w:numPr>
        <w:tabs>
          <w:tab w:pos="2947" w:val="left" w:leader="none"/>
          <w:tab w:pos="2948" w:val="left" w:leader="none"/>
        </w:tabs>
        <w:spacing w:line="242" w:lineRule="auto" w:before="122" w:after="0"/>
        <w:ind w:left="2947" w:right="1886" w:hanging="567"/>
        <w:jc w:val="left"/>
        <w:rPr>
          <w:sz w:val="21"/>
        </w:rPr>
      </w:pPr>
      <w:r>
        <w:rPr>
          <w:w w:val="115"/>
          <w:sz w:val="21"/>
        </w:rPr>
        <w:t>anything,</w:t>
      </w:r>
      <w:r>
        <w:rPr>
          <w:spacing w:val="-6"/>
          <w:w w:val="115"/>
          <w:sz w:val="21"/>
        </w:rPr>
        <w:t> </w:t>
      </w:r>
      <w:r>
        <w:rPr>
          <w:w w:val="115"/>
          <w:sz w:val="21"/>
        </w:rPr>
        <w:t>other</w:t>
      </w:r>
      <w:r>
        <w:rPr>
          <w:spacing w:val="-5"/>
          <w:w w:val="115"/>
          <w:sz w:val="21"/>
        </w:rPr>
        <w:t> </w:t>
      </w:r>
      <w:r>
        <w:rPr>
          <w:w w:val="115"/>
          <w:sz w:val="21"/>
        </w:rPr>
        <w:t>than</w:t>
      </w:r>
      <w:r>
        <w:rPr>
          <w:spacing w:val="-6"/>
          <w:w w:val="115"/>
          <w:sz w:val="21"/>
        </w:rPr>
        <w:t> </w:t>
      </w:r>
      <w:r>
        <w:rPr>
          <w:w w:val="115"/>
          <w:sz w:val="21"/>
        </w:rPr>
        <w:t>the</w:t>
      </w:r>
      <w:r>
        <w:rPr>
          <w:spacing w:val="-5"/>
          <w:w w:val="115"/>
          <w:sz w:val="21"/>
        </w:rPr>
        <w:t> </w:t>
      </w:r>
      <w:r>
        <w:rPr>
          <w:w w:val="115"/>
          <w:sz w:val="21"/>
        </w:rPr>
        <w:t>tree,</w:t>
      </w:r>
      <w:r>
        <w:rPr>
          <w:spacing w:val="-5"/>
          <w:w w:val="115"/>
          <w:sz w:val="21"/>
        </w:rPr>
        <w:t> </w:t>
      </w:r>
      <w:r>
        <w:rPr>
          <w:w w:val="115"/>
          <w:sz w:val="21"/>
        </w:rPr>
        <w:t>that</w:t>
      </w:r>
      <w:r>
        <w:rPr>
          <w:spacing w:val="-6"/>
          <w:w w:val="115"/>
          <w:sz w:val="21"/>
        </w:rPr>
        <w:t> </w:t>
      </w:r>
      <w:r>
        <w:rPr>
          <w:w w:val="115"/>
          <w:sz w:val="21"/>
        </w:rPr>
        <w:t>has</w:t>
      </w:r>
      <w:r>
        <w:rPr>
          <w:spacing w:val="-5"/>
          <w:w w:val="115"/>
          <w:sz w:val="21"/>
        </w:rPr>
        <w:t> </w:t>
      </w:r>
      <w:r>
        <w:rPr>
          <w:w w:val="115"/>
          <w:sz w:val="21"/>
        </w:rPr>
        <w:t>contributed,</w:t>
      </w:r>
      <w:r>
        <w:rPr>
          <w:spacing w:val="-5"/>
          <w:w w:val="115"/>
          <w:sz w:val="21"/>
        </w:rPr>
        <w:t> </w:t>
      </w:r>
      <w:r>
        <w:rPr>
          <w:w w:val="115"/>
          <w:sz w:val="21"/>
        </w:rPr>
        <w:t>or</w:t>
      </w:r>
      <w:r>
        <w:rPr>
          <w:spacing w:val="-6"/>
          <w:w w:val="115"/>
          <w:sz w:val="21"/>
        </w:rPr>
        <w:t> </w:t>
      </w:r>
      <w:r>
        <w:rPr>
          <w:w w:val="115"/>
          <w:sz w:val="21"/>
        </w:rPr>
        <w:t>is</w:t>
      </w:r>
      <w:r>
        <w:rPr>
          <w:spacing w:val="-5"/>
          <w:w w:val="115"/>
          <w:sz w:val="21"/>
        </w:rPr>
        <w:t> </w:t>
      </w:r>
      <w:r>
        <w:rPr>
          <w:w w:val="115"/>
          <w:sz w:val="21"/>
        </w:rPr>
        <w:t>contributing,</w:t>
      </w:r>
      <w:r>
        <w:rPr>
          <w:spacing w:val="-6"/>
          <w:w w:val="115"/>
          <w:sz w:val="21"/>
        </w:rPr>
        <w:t> </w:t>
      </w:r>
      <w:r>
        <w:rPr>
          <w:w w:val="115"/>
          <w:sz w:val="21"/>
        </w:rPr>
        <w:t>to </w:t>
      </w:r>
      <w:r>
        <w:rPr>
          <w:spacing w:val="-2"/>
          <w:w w:val="115"/>
          <w:sz w:val="21"/>
        </w:rPr>
        <w:t>any </w:t>
      </w:r>
      <w:r>
        <w:rPr>
          <w:w w:val="115"/>
          <w:sz w:val="21"/>
        </w:rPr>
        <w:t>harm or damage or </w:t>
      </w:r>
      <w:r>
        <w:rPr>
          <w:spacing w:val="-3"/>
          <w:w w:val="115"/>
          <w:sz w:val="21"/>
        </w:rPr>
        <w:t>likelihood </w:t>
      </w:r>
      <w:r>
        <w:rPr>
          <w:w w:val="115"/>
          <w:sz w:val="21"/>
        </w:rPr>
        <w:t>of harm or damage,</w:t>
      </w:r>
      <w:r>
        <w:rPr>
          <w:spacing w:val="15"/>
          <w:w w:val="115"/>
          <w:sz w:val="21"/>
        </w:rPr>
        <w:t> </w:t>
      </w:r>
      <w:r>
        <w:rPr>
          <w:w w:val="115"/>
          <w:sz w:val="21"/>
        </w:rPr>
        <w:t>including:</w:t>
      </w:r>
    </w:p>
    <w:p>
      <w:pPr>
        <w:pStyle w:val="ListParagraph"/>
        <w:numPr>
          <w:ilvl w:val="2"/>
          <w:numId w:val="131"/>
        </w:numPr>
        <w:tabs>
          <w:tab w:pos="3514" w:val="left" w:leader="none"/>
          <w:tab w:pos="3515" w:val="left" w:leader="none"/>
        </w:tabs>
        <w:spacing w:line="242" w:lineRule="auto" w:before="123" w:after="0"/>
        <w:ind w:left="3514" w:right="2104" w:hanging="567"/>
        <w:jc w:val="left"/>
        <w:rPr>
          <w:sz w:val="21"/>
        </w:rPr>
      </w:pPr>
      <w:r>
        <w:rPr>
          <w:spacing w:val="-2"/>
          <w:w w:val="115"/>
          <w:sz w:val="21"/>
        </w:rPr>
        <w:t>any</w:t>
      </w:r>
      <w:r>
        <w:rPr>
          <w:spacing w:val="-5"/>
          <w:w w:val="115"/>
          <w:sz w:val="21"/>
        </w:rPr>
        <w:t> </w:t>
      </w:r>
      <w:r>
        <w:rPr>
          <w:w w:val="115"/>
          <w:sz w:val="21"/>
        </w:rPr>
        <w:t>act</w:t>
      </w:r>
      <w:r>
        <w:rPr>
          <w:spacing w:val="-5"/>
          <w:w w:val="115"/>
          <w:sz w:val="21"/>
        </w:rPr>
        <w:t> </w:t>
      </w:r>
      <w:r>
        <w:rPr>
          <w:w w:val="115"/>
          <w:sz w:val="21"/>
        </w:rPr>
        <w:t>or</w:t>
      </w:r>
      <w:r>
        <w:rPr>
          <w:spacing w:val="-5"/>
          <w:w w:val="115"/>
          <w:sz w:val="21"/>
        </w:rPr>
        <w:t> </w:t>
      </w:r>
      <w:r>
        <w:rPr>
          <w:w w:val="115"/>
          <w:sz w:val="21"/>
        </w:rPr>
        <w:t>omission</w:t>
      </w:r>
      <w:r>
        <w:rPr>
          <w:spacing w:val="-5"/>
          <w:w w:val="115"/>
          <w:sz w:val="21"/>
        </w:rPr>
        <w:t> </w:t>
      </w:r>
      <w:r>
        <w:rPr>
          <w:w w:val="115"/>
          <w:sz w:val="21"/>
        </w:rPr>
        <w:t>by</w:t>
      </w:r>
      <w:r>
        <w:rPr>
          <w:spacing w:val="-5"/>
          <w:w w:val="115"/>
          <w:sz w:val="21"/>
        </w:rPr>
        <w:t> </w:t>
      </w:r>
      <w:r>
        <w:rPr>
          <w:w w:val="115"/>
          <w:sz w:val="21"/>
        </w:rPr>
        <w:t>the</w:t>
      </w:r>
      <w:r>
        <w:rPr>
          <w:spacing w:val="-5"/>
          <w:w w:val="115"/>
          <w:sz w:val="21"/>
        </w:rPr>
        <w:t> </w:t>
      </w:r>
      <w:r>
        <w:rPr>
          <w:w w:val="115"/>
          <w:sz w:val="21"/>
        </w:rPr>
        <w:t>applicant</w:t>
      </w:r>
      <w:r>
        <w:rPr>
          <w:spacing w:val="-5"/>
          <w:w w:val="115"/>
          <w:sz w:val="21"/>
        </w:rPr>
        <w:t> </w:t>
      </w:r>
      <w:r>
        <w:rPr>
          <w:w w:val="115"/>
          <w:sz w:val="21"/>
        </w:rPr>
        <w:t>and</w:t>
      </w:r>
      <w:r>
        <w:rPr>
          <w:spacing w:val="-4"/>
          <w:w w:val="115"/>
          <w:sz w:val="21"/>
        </w:rPr>
        <w:t> </w:t>
      </w:r>
      <w:r>
        <w:rPr>
          <w:w w:val="115"/>
          <w:sz w:val="21"/>
        </w:rPr>
        <w:t>the</w:t>
      </w:r>
      <w:r>
        <w:rPr>
          <w:spacing w:val="-5"/>
          <w:w w:val="115"/>
          <w:sz w:val="21"/>
        </w:rPr>
        <w:t> </w:t>
      </w:r>
      <w:r>
        <w:rPr>
          <w:w w:val="115"/>
          <w:sz w:val="21"/>
        </w:rPr>
        <w:t>impact</w:t>
      </w:r>
      <w:r>
        <w:rPr>
          <w:spacing w:val="-5"/>
          <w:w w:val="115"/>
          <w:sz w:val="21"/>
        </w:rPr>
        <w:t> </w:t>
      </w:r>
      <w:r>
        <w:rPr>
          <w:w w:val="115"/>
          <w:sz w:val="21"/>
        </w:rPr>
        <w:t>of</w:t>
      </w:r>
      <w:r>
        <w:rPr>
          <w:spacing w:val="-5"/>
          <w:w w:val="115"/>
          <w:sz w:val="21"/>
        </w:rPr>
        <w:t> </w:t>
      </w:r>
      <w:r>
        <w:rPr>
          <w:spacing w:val="-2"/>
          <w:w w:val="115"/>
          <w:sz w:val="21"/>
        </w:rPr>
        <w:t>any</w:t>
      </w:r>
      <w:r>
        <w:rPr>
          <w:spacing w:val="-5"/>
          <w:w w:val="115"/>
          <w:sz w:val="21"/>
        </w:rPr>
        <w:t> </w:t>
      </w:r>
      <w:r>
        <w:rPr>
          <w:w w:val="115"/>
          <w:sz w:val="21"/>
        </w:rPr>
        <w:t>other trees owned by the applicant</w:t>
      </w:r>
    </w:p>
    <w:p>
      <w:pPr>
        <w:pStyle w:val="ListParagraph"/>
        <w:numPr>
          <w:ilvl w:val="2"/>
          <w:numId w:val="131"/>
        </w:numPr>
        <w:tabs>
          <w:tab w:pos="3514" w:val="left" w:leader="none"/>
          <w:tab w:pos="3515" w:val="left" w:leader="none"/>
        </w:tabs>
        <w:spacing w:line="242" w:lineRule="auto" w:before="122" w:after="0"/>
        <w:ind w:left="3514" w:right="1850" w:hanging="567"/>
        <w:jc w:val="left"/>
        <w:rPr>
          <w:sz w:val="21"/>
        </w:rPr>
      </w:pPr>
      <w:r>
        <w:rPr>
          <w:spacing w:val="-2"/>
          <w:w w:val="115"/>
          <w:sz w:val="21"/>
        </w:rPr>
        <w:t>any</w:t>
      </w:r>
      <w:r>
        <w:rPr>
          <w:spacing w:val="-4"/>
          <w:w w:val="115"/>
          <w:sz w:val="21"/>
        </w:rPr>
        <w:t> </w:t>
      </w:r>
      <w:r>
        <w:rPr>
          <w:w w:val="115"/>
          <w:sz w:val="21"/>
        </w:rPr>
        <w:t>steps</w:t>
      </w:r>
      <w:r>
        <w:rPr>
          <w:spacing w:val="-4"/>
          <w:w w:val="115"/>
          <w:sz w:val="21"/>
        </w:rPr>
        <w:t> </w:t>
      </w:r>
      <w:r>
        <w:rPr>
          <w:w w:val="115"/>
          <w:sz w:val="21"/>
        </w:rPr>
        <w:t>taken</w:t>
      </w:r>
      <w:r>
        <w:rPr>
          <w:spacing w:val="-4"/>
          <w:w w:val="115"/>
          <w:sz w:val="21"/>
        </w:rPr>
        <w:t> </w:t>
      </w:r>
      <w:r>
        <w:rPr>
          <w:w w:val="115"/>
          <w:sz w:val="21"/>
        </w:rPr>
        <w:t>by</w:t>
      </w:r>
      <w:r>
        <w:rPr>
          <w:spacing w:val="-4"/>
          <w:w w:val="115"/>
          <w:sz w:val="21"/>
        </w:rPr>
        <w:t> </w:t>
      </w:r>
      <w:r>
        <w:rPr>
          <w:w w:val="115"/>
          <w:sz w:val="21"/>
        </w:rPr>
        <w:t>the</w:t>
      </w:r>
      <w:r>
        <w:rPr>
          <w:spacing w:val="-4"/>
          <w:w w:val="115"/>
          <w:sz w:val="21"/>
        </w:rPr>
        <w:t> </w:t>
      </w:r>
      <w:r>
        <w:rPr>
          <w:w w:val="115"/>
          <w:sz w:val="21"/>
        </w:rPr>
        <w:t>applicant</w:t>
      </w:r>
      <w:r>
        <w:rPr>
          <w:spacing w:val="-4"/>
          <w:w w:val="115"/>
          <w:sz w:val="21"/>
        </w:rPr>
        <w:t> </w:t>
      </w:r>
      <w:r>
        <w:rPr>
          <w:w w:val="115"/>
          <w:sz w:val="21"/>
        </w:rPr>
        <w:t>or</w:t>
      </w:r>
      <w:r>
        <w:rPr>
          <w:spacing w:val="-4"/>
          <w:w w:val="115"/>
          <w:sz w:val="21"/>
        </w:rPr>
        <w:t> </w:t>
      </w:r>
      <w:r>
        <w:rPr>
          <w:w w:val="115"/>
          <w:sz w:val="21"/>
        </w:rPr>
        <w:t>the</w:t>
      </w:r>
      <w:r>
        <w:rPr>
          <w:spacing w:val="-4"/>
          <w:w w:val="115"/>
          <w:sz w:val="21"/>
        </w:rPr>
        <w:t> </w:t>
      </w:r>
      <w:r>
        <w:rPr>
          <w:w w:val="115"/>
          <w:sz w:val="21"/>
        </w:rPr>
        <w:t>owner</w:t>
      </w:r>
      <w:r>
        <w:rPr>
          <w:spacing w:val="-4"/>
          <w:w w:val="115"/>
          <w:sz w:val="21"/>
        </w:rPr>
        <w:t> </w:t>
      </w:r>
      <w:r>
        <w:rPr>
          <w:w w:val="115"/>
          <w:sz w:val="21"/>
        </w:rPr>
        <w:t>of</w:t>
      </w:r>
      <w:r>
        <w:rPr>
          <w:spacing w:val="-4"/>
          <w:w w:val="115"/>
          <w:sz w:val="21"/>
        </w:rPr>
        <w:t> </w:t>
      </w:r>
      <w:r>
        <w:rPr>
          <w:w w:val="115"/>
          <w:sz w:val="21"/>
        </w:rPr>
        <w:t>the</w:t>
      </w:r>
      <w:r>
        <w:rPr>
          <w:spacing w:val="-4"/>
          <w:w w:val="115"/>
          <w:sz w:val="21"/>
        </w:rPr>
        <w:t> </w:t>
      </w:r>
      <w:r>
        <w:rPr>
          <w:w w:val="115"/>
          <w:sz w:val="21"/>
        </w:rPr>
        <w:t>land</w:t>
      </w:r>
      <w:r>
        <w:rPr>
          <w:spacing w:val="-4"/>
          <w:w w:val="115"/>
          <w:sz w:val="21"/>
        </w:rPr>
        <w:t> </w:t>
      </w:r>
      <w:r>
        <w:rPr>
          <w:w w:val="115"/>
          <w:sz w:val="21"/>
        </w:rPr>
        <w:t>on</w:t>
      </w:r>
      <w:r>
        <w:rPr>
          <w:spacing w:val="-4"/>
          <w:w w:val="115"/>
          <w:sz w:val="21"/>
        </w:rPr>
        <w:t> </w:t>
      </w:r>
      <w:r>
        <w:rPr>
          <w:w w:val="115"/>
          <w:sz w:val="21"/>
        </w:rPr>
        <w:t>which the tree is situated to prevent or rectify</w:t>
      </w:r>
      <w:r>
        <w:rPr>
          <w:spacing w:val="-8"/>
          <w:w w:val="115"/>
          <w:sz w:val="21"/>
        </w:rPr>
        <w:t> </w:t>
      </w:r>
      <w:r>
        <w:rPr>
          <w:w w:val="115"/>
          <w:sz w:val="21"/>
        </w:rPr>
        <w:t>damage</w:t>
      </w:r>
    </w:p>
    <w:p>
      <w:pPr>
        <w:pStyle w:val="ListParagraph"/>
        <w:numPr>
          <w:ilvl w:val="1"/>
          <w:numId w:val="131"/>
        </w:numPr>
        <w:tabs>
          <w:tab w:pos="2947" w:val="left" w:leader="none"/>
          <w:tab w:pos="2948" w:val="left" w:leader="none"/>
        </w:tabs>
        <w:spacing w:line="242" w:lineRule="auto" w:before="122" w:after="0"/>
        <w:ind w:left="2947" w:right="1850" w:hanging="567"/>
        <w:jc w:val="left"/>
        <w:rPr>
          <w:sz w:val="21"/>
        </w:rPr>
      </w:pPr>
      <w:r>
        <w:rPr>
          <w:w w:val="115"/>
          <w:sz w:val="21"/>
        </w:rPr>
        <w:t>whether the tree and </w:t>
      </w:r>
      <w:r>
        <w:rPr>
          <w:spacing w:val="-2"/>
          <w:w w:val="115"/>
          <w:sz w:val="21"/>
        </w:rPr>
        <w:t>any </w:t>
      </w:r>
      <w:r>
        <w:rPr>
          <w:w w:val="115"/>
          <w:sz w:val="21"/>
        </w:rPr>
        <w:t>risk, obstruction or interference associated with the tree existed before the affected neighbour began to occupy the land affected by the</w:t>
      </w:r>
      <w:r>
        <w:rPr>
          <w:spacing w:val="2"/>
          <w:w w:val="115"/>
          <w:sz w:val="21"/>
        </w:rPr>
        <w:t> </w:t>
      </w:r>
      <w:r>
        <w:rPr>
          <w:w w:val="115"/>
          <w:sz w:val="21"/>
        </w:rPr>
        <w:t>tree</w:t>
      </w:r>
    </w:p>
    <w:p>
      <w:pPr>
        <w:pStyle w:val="ListParagraph"/>
        <w:numPr>
          <w:ilvl w:val="1"/>
          <w:numId w:val="131"/>
        </w:numPr>
        <w:tabs>
          <w:tab w:pos="2947" w:val="left" w:leader="none"/>
          <w:tab w:pos="2948" w:val="left" w:leader="none"/>
        </w:tabs>
        <w:spacing w:line="240" w:lineRule="auto" w:before="124" w:after="0"/>
        <w:ind w:left="2947" w:right="0" w:hanging="567"/>
        <w:jc w:val="left"/>
        <w:rPr>
          <w:sz w:val="21"/>
        </w:rPr>
      </w:pPr>
      <w:r>
        <w:rPr>
          <w:w w:val="115"/>
          <w:sz w:val="21"/>
        </w:rPr>
        <w:t>whether the tree is a recognised</w:t>
      </w:r>
      <w:r>
        <w:rPr>
          <w:spacing w:val="1"/>
          <w:w w:val="115"/>
          <w:sz w:val="21"/>
        </w:rPr>
        <w:t> </w:t>
      </w:r>
      <w:r>
        <w:rPr>
          <w:w w:val="115"/>
          <w:sz w:val="21"/>
        </w:rPr>
        <w:t>weed</w:t>
      </w:r>
    </w:p>
    <w:p>
      <w:pPr>
        <w:pStyle w:val="ListParagraph"/>
        <w:numPr>
          <w:ilvl w:val="1"/>
          <w:numId w:val="131"/>
        </w:numPr>
        <w:tabs>
          <w:tab w:pos="2947" w:val="left" w:leader="none"/>
          <w:tab w:pos="2948" w:val="left" w:leader="none"/>
        </w:tabs>
        <w:spacing w:line="242" w:lineRule="auto" w:before="123" w:after="0"/>
        <w:ind w:left="2947" w:right="1871" w:hanging="567"/>
        <w:jc w:val="left"/>
        <w:rPr>
          <w:sz w:val="21"/>
        </w:rPr>
      </w:pPr>
      <w:r>
        <w:rPr>
          <w:w w:val="115"/>
          <w:sz w:val="21"/>
        </w:rPr>
        <w:t>such</w:t>
      </w:r>
      <w:r>
        <w:rPr>
          <w:spacing w:val="-11"/>
          <w:w w:val="115"/>
          <w:sz w:val="21"/>
        </w:rPr>
        <w:t> </w:t>
      </w:r>
      <w:r>
        <w:rPr>
          <w:w w:val="115"/>
          <w:sz w:val="21"/>
        </w:rPr>
        <w:t>other</w:t>
      </w:r>
      <w:r>
        <w:rPr>
          <w:spacing w:val="-11"/>
          <w:w w:val="115"/>
          <w:sz w:val="21"/>
        </w:rPr>
        <w:t> </w:t>
      </w:r>
      <w:r>
        <w:rPr>
          <w:w w:val="115"/>
          <w:sz w:val="21"/>
        </w:rPr>
        <w:t>matters</w:t>
      </w:r>
      <w:r>
        <w:rPr>
          <w:spacing w:val="-11"/>
          <w:w w:val="115"/>
          <w:sz w:val="21"/>
        </w:rPr>
        <w:t> </w:t>
      </w:r>
      <w:r>
        <w:rPr>
          <w:w w:val="115"/>
          <w:sz w:val="21"/>
        </w:rPr>
        <w:t>as</w:t>
      </w:r>
      <w:r>
        <w:rPr>
          <w:spacing w:val="-10"/>
          <w:w w:val="115"/>
          <w:sz w:val="21"/>
        </w:rPr>
        <w:t> </w:t>
      </w:r>
      <w:r>
        <w:rPr>
          <w:w w:val="115"/>
          <w:sz w:val="21"/>
        </w:rPr>
        <w:t>the</w:t>
      </w:r>
      <w:r>
        <w:rPr>
          <w:spacing w:val="-11"/>
          <w:w w:val="115"/>
          <w:sz w:val="21"/>
        </w:rPr>
        <w:t> </w:t>
      </w:r>
      <w:r>
        <w:rPr>
          <w:w w:val="115"/>
          <w:sz w:val="21"/>
        </w:rPr>
        <w:t>decision-making</w:t>
      </w:r>
      <w:r>
        <w:rPr>
          <w:spacing w:val="-11"/>
          <w:w w:val="115"/>
          <w:sz w:val="21"/>
        </w:rPr>
        <w:t> </w:t>
      </w:r>
      <w:r>
        <w:rPr>
          <w:w w:val="115"/>
          <w:sz w:val="21"/>
        </w:rPr>
        <w:t>body</w:t>
      </w:r>
      <w:r>
        <w:rPr>
          <w:spacing w:val="-11"/>
          <w:w w:val="115"/>
          <w:sz w:val="21"/>
        </w:rPr>
        <w:t> </w:t>
      </w:r>
      <w:r>
        <w:rPr>
          <w:w w:val="115"/>
          <w:sz w:val="21"/>
        </w:rPr>
        <w:t>considers</w:t>
      </w:r>
      <w:r>
        <w:rPr>
          <w:spacing w:val="-10"/>
          <w:w w:val="115"/>
          <w:sz w:val="21"/>
        </w:rPr>
        <w:t> </w:t>
      </w:r>
      <w:r>
        <w:rPr>
          <w:spacing w:val="-3"/>
          <w:w w:val="115"/>
          <w:sz w:val="21"/>
        </w:rPr>
        <w:t>relevant</w:t>
      </w:r>
      <w:r>
        <w:rPr>
          <w:spacing w:val="-11"/>
          <w:w w:val="115"/>
          <w:sz w:val="21"/>
        </w:rPr>
        <w:t> </w:t>
      </w:r>
      <w:r>
        <w:rPr>
          <w:w w:val="115"/>
          <w:sz w:val="21"/>
        </w:rPr>
        <w:t>in</w:t>
      </w:r>
      <w:r>
        <w:rPr>
          <w:spacing w:val="-11"/>
          <w:w w:val="115"/>
          <w:sz w:val="21"/>
        </w:rPr>
        <w:t> </w:t>
      </w:r>
      <w:r>
        <w:rPr>
          <w:w w:val="115"/>
          <w:sz w:val="21"/>
        </w:rPr>
        <w:t>the circumstances of the</w:t>
      </w:r>
      <w:r>
        <w:rPr>
          <w:spacing w:val="-1"/>
          <w:w w:val="115"/>
          <w:sz w:val="21"/>
        </w:rPr>
        <w:t> </w:t>
      </w:r>
      <w:r>
        <w:rPr>
          <w:w w:val="115"/>
          <w:sz w:val="21"/>
        </w:rPr>
        <w:t>case.</w:t>
      </w:r>
    </w:p>
    <w:p>
      <w:pPr>
        <w:pStyle w:val="BodyText"/>
        <w:rPr>
          <w:sz w:val="20"/>
        </w:rPr>
      </w:pPr>
    </w:p>
    <w:p>
      <w:pPr>
        <w:pStyle w:val="BodyText"/>
        <w:rPr>
          <w:sz w:val="20"/>
        </w:rPr>
      </w:pPr>
    </w:p>
    <w:p>
      <w:pPr>
        <w:pStyle w:val="BodyText"/>
        <w:spacing w:before="9"/>
        <w:rPr>
          <w:sz w:val="25"/>
        </w:rPr>
      </w:pPr>
    </w:p>
    <w:p>
      <w:pPr>
        <w:spacing w:before="96"/>
        <w:ind w:left="720" w:right="0" w:firstLine="0"/>
        <w:jc w:val="left"/>
        <w:rPr>
          <w:b/>
          <w:sz w:val="24"/>
        </w:rPr>
      </w:pPr>
      <w:r>
        <w:rPr>
          <w:b/>
          <w:color w:val="658464"/>
          <w:w w:val="110"/>
          <w:sz w:val="24"/>
        </w:rPr>
        <w:t>176</w:t>
      </w:r>
    </w:p>
    <w:p>
      <w:pPr>
        <w:spacing w:after="0"/>
        <w:jc w:val="left"/>
        <w:rPr>
          <w:sz w:val="24"/>
        </w:rPr>
        <w:sectPr>
          <w:pgSz w:w="11910" w:h="16840"/>
          <w:pgMar w:header="546" w:footer="0" w:top="1560" w:bottom="280" w:left="0" w:right="0"/>
        </w:sectPr>
      </w:pPr>
    </w:p>
    <w:p>
      <w:pPr>
        <w:pStyle w:val="BodyText"/>
        <w:rPr>
          <w:b/>
          <w:sz w:val="20"/>
        </w:rPr>
      </w:pPr>
    </w:p>
    <w:p>
      <w:pPr>
        <w:pStyle w:val="BodyText"/>
        <w:spacing w:before="3"/>
        <w:rPr>
          <w:b/>
          <w:sz w:val="17"/>
        </w:rPr>
      </w:pPr>
    </w:p>
    <w:p>
      <w:pPr>
        <w:spacing w:before="96"/>
        <w:ind w:left="1587" w:right="0" w:firstLine="0"/>
        <w:jc w:val="left"/>
        <w:rPr>
          <w:b/>
          <w:sz w:val="28"/>
        </w:rPr>
      </w:pPr>
      <w:bookmarkStart w:name="Expert evidence" w:id="200"/>
      <w:bookmarkEnd w:id="200"/>
      <w:r>
        <w:rPr/>
      </w:r>
      <w:bookmarkStart w:name="_bookmark94" w:id="201"/>
      <w:bookmarkEnd w:id="201"/>
      <w:r>
        <w:rPr/>
      </w:r>
      <w:r>
        <w:rPr>
          <w:b/>
          <w:color w:val="658464"/>
          <w:w w:val="115"/>
          <w:sz w:val="28"/>
        </w:rPr>
        <w:t>Expert evidence</w:t>
      </w:r>
    </w:p>
    <w:p>
      <w:pPr>
        <w:pStyle w:val="ListParagraph"/>
        <w:numPr>
          <w:ilvl w:val="1"/>
          <w:numId w:val="16"/>
        </w:numPr>
        <w:tabs>
          <w:tab w:pos="2380" w:val="left" w:leader="none"/>
          <w:tab w:pos="2381" w:val="left" w:leader="none"/>
        </w:tabs>
        <w:spacing w:line="242" w:lineRule="auto" w:before="154" w:after="0"/>
        <w:ind w:left="2381" w:right="1908" w:hanging="794"/>
        <w:jc w:val="left"/>
        <w:rPr>
          <w:sz w:val="21"/>
        </w:rPr>
      </w:pPr>
      <w:r>
        <w:rPr>
          <w:w w:val="105"/>
          <w:sz w:val="21"/>
        </w:rPr>
        <w:t>Expert evidence </w:t>
      </w:r>
      <w:r>
        <w:rPr>
          <w:spacing w:val="-3"/>
          <w:w w:val="105"/>
          <w:sz w:val="21"/>
        </w:rPr>
        <w:t>will </w:t>
      </w:r>
      <w:r>
        <w:rPr>
          <w:w w:val="105"/>
          <w:sz w:val="21"/>
        </w:rPr>
        <w:t>be important in the </w:t>
      </w:r>
      <w:r>
        <w:rPr>
          <w:spacing w:val="-3"/>
          <w:w w:val="105"/>
          <w:sz w:val="21"/>
        </w:rPr>
        <w:t>formal hearing </w:t>
      </w:r>
      <w:r>
        <w:rPr>
          <w:w w:val="105"/>
          <w:sz w:val="21"/>
        </w:rPr>
        <w:t>process under the new Act. </w:t>
      </w:r>
      <w:r>
        <w:rPr>
          <w:spacing w:val="-5"/>
          <w:w w:val="105"/>
          <w:sz w:val="21"/>
        </w:rPr>
        <w:t>Tree </w:t>
      </w:r>
      <w:r>
        <w:rPr>
          <w:spacing w:val="-3"/>
          <w:w w:val="105"/>
          <w:sz w:val="21"/>
        </w:rPr>
        <w:t>disputes </w:t>
      </w:r>
      <w:r>
        <w:rPr>
          <w:w w:val="105"/>
          <w:sz w:val="21"/>
        </w:rPr>
        <w:t>can encompass complex issues </w:t>
      </w:r>
      <w:r>
        <w:rPr>
          <w:spacing w:val="-3"/>
          <w:w w:val="105"/>
          <w:sz w:val="21"/>
        </w:rPr>
        <w:t>such </w:t>
      </w:r>
      <w:r>
        <w:rPr>
          <w:w w:val="105"/>
          <w:sz w:val="21"/>
        </w:rPr>
        <w:t>as the </w:t>
      </w:r>
      <w:r>
        <w:rPr>
          <w:spacing w:val="-3"/>
          <w:w w:val="105"/>
          <w:sz w:val="21"/>
        </w:rPr>
        <w:t>condition </w:t>
      </w:r>
      <w:r>
        <w:rPr>
          <w:w w:val="105"/>
          <w:sz w:val="21"/>
        </w:rPr>
        <w:t>of the </w:t>
      </w:r>
      <w:r>
        <w:rPr>
          <w:spacing w:val="-3"/>
          <w:w w:val="105"/>
          <w:sz w:val="21"/>
        </w:rPr>
        <w:t>tree, </w:t>
      </w:r>
      <w:r>
        <w:rPr>
          <w:w w:val="105"/>
          <w:sz w:val="21"/>
        </w:rPr>
        <w:t>tree roots,</w:t>
      </w:r>
      <w:r>
        <w:rPr>
          <w:spacing w:val="-13"/>
          <w:w w:val="105"/>
          <w:sz w:val="21"/>
        </w:rPr>
        <w:t> </w:t>
      </w:r>
      <w:r>
        <w:rPr>
          <w:w w:val="105"/>
          <w:sz w:val="21"/>
        </w:rPr>
        <w:t>issues</w:t>
      </w:r>
      <w:r>
        <w:rPr>
          <w:spacing w:val="-12"/>
          <w:w w:val="105"/>
          <w:sz w:val="21"/>
        </w:rPr>
        <w:t> </w:t>
      </w:r>
      <w:r>
        <w:rPr>
          <w:w w:val="105"/>
          <w:sz w:val="21"/>
        </w:rPr>
        <w:t>with</w:t>
      </w:r>
      <w:r>
        <w:rPr>
          <w:spacing w:val="-13"/>
          <w:w w:val="105"/>
          <w:sz w:val="21"/>
        </w:rPr>
        <w:t> </w:t>
      </w:r>
      <w:r>
        <w:rPr>
          <w:w w:val="105"/>
          <w:sz w:val="21"/>
        </w:rPr>
        <w:t>damaged</w:t>
      </w:r>
      <w:r>
        <w:rPr>
          <w:spacing w:val="-12"/>
          <w:w w:val="105"/>
          <w:sz w:val="21"/>
        </w:rPr>
        <w:t> </w:t>
      </w:r>
      <w:r>
        <w:rPr>
          <w:w w:val="105"/>
          <w:sz w:val="21"/>
        </w:rPr>
        <w:t>pavements</w:t>
      </w:r>
      <w:r>
        <w:rPr>
          <w:spacing w:val="-12"/>
          <w:w w:val="105"/>
          <w:sz w:val="21"/>
        </w:rPr>
        <w:t> </w:t>
      </w:r>
      <w:r>
        <w:rPr>
          <w:w w:val="105"/>
          <w:sz w:val="21"/>
        </w:rPr>
        <w:t>and</w:t>
      </w:r>
      <w:r>
        <w:rPr>
          <w:spacing w:val="-13"/>
          <w:w w:val="105"/>
          <w:sz w:val="21"/>
        </w:rPr>
        <w:t> </w:t>
      </w:r>
      <w:r>
        <w:rPr>
          <w:spacing w:val="-3"/>
          <w:w w:val="105"/>
          <w:sz w:val="21"/>
        </w:rPr>
        <w:t>built</w:t>
      </w:r>
      <w:r>
        <w:rPr>
          <w:spacing w:val="-12"/>
          <w:w w:val="105"/>
          <w:sz w:val="21"/>
        </w:rPr>
        <w:t> </w:t>
      </w:r>
      <w:r>
        <w:rPr>
          <w:w w:val="105"/>
          <w:sz w:val="21"/>
        </w:rPr>
        <w:t>structures,</w:t>
      </w:r>
      <w:r>
        <w:rPr>
          <w:spacing w:val="-13"/>
          <w:w w:val="105"/>
          <w:sz w:val="21"/>
        </w:rPr>
        <w:t> </w:t>
      </w:r>
      <w:r>
        <w:rPr>
          <w:w w:val="105"/>
          <w:sz w:val="21"/>
        </w:rPr>
        <w:t>and</w:t>
      </w:r>
      <w:r>
        <w:rPr>
          <w:spacing w:val="-12"/>
          <w:w w:val="105"/>
          <w:sz w:val="21"/>
        </w:rPr>
        <w:t> </w:t>
      </w:r>
      <w:r>
        <w:rPr>
          <w:w w:val="105"/>
          <w:sz w:val="21"/>
        </w:rPr>
        <w:t>medical</w:t>
      </w:r>
      <w:r>
        <w:rPr>
          <w:spacing w:val="-12"/>
          <w:w w:val="105"/>
          <w:sz w:val="21"/>
        </w:rPr>
        <w:t> </w:t>
      </w:r>
      <w:r>
        <w:rPr>
          <w:w w:val="105"/>
          <w:sz w:val="21"/>
        </w:rPr>
        <w:t>issues</w:t>
      </w:r>
      <w:r>
        <w:rPr>
          <w:spacing w:val="-13"/>
          <w:w w:val="105"/>
          <w:sz w:val="21"/>
        </w:rPr>
        <w:t> </w:t>
      </w:r>
      <w:r>
        <w:rPr>
          <w:spacing w:val="-3"/>
          <w:w w:val="105"/>
          <w:sz w:val="21"/>
        </w:rPr>
        <w:t>such</w:t>
      </w:r>
      <w:r>
        <w:rPr>
          <w:spacing w:val="-12"/>
          <w:w w:val="105"/>
          <w:sz w:val="21"/>
        </w:rPr>
        <w:t> </w:t>
      </w:r>
      <w:r>
        <w:rPr>
          <w:w w:val="105"/>
          <w:sz w:val="21"/>
        </w:rPr>
        <w:t>as pollen</w:t>
      </w:r>
      <w:r>
        <w:rPr>
          <w:spacing w:val="-7"/>
          <w:w w:val="105"/>
          <w:sz w:val="21"/>
        </w:rPr>
        <w:t> </w:t>
      </w:r>
      <w:r>
        <w:rPr>
          <w:spacing w:val="-3"/>
          <w:w w:val="105"/>
          <w:sz w:val="21"/>
        </w:rPr>
        <w:t>allergies</w:t>
      </w:r>
      <w:r>
        <w:rPr>
          <w:spacing w:val="-6"/>
          <w:w w:val="105"/>
          <w:sz w:val="21"/>
        </w:rPr>
        <w:t> </w:t>
      </w:r>
      <w:r>
        <w:rPr>
          <w:w w:val="105"/>
          <w:sz w:val="21"/>
        </w:rPr>
        <w:t>and</w:t>
      </w:r>
      <w:r>
        <w:rPr>
          <w:spacing w:val="-7"/>
          <w:w w:val="105"/>
          <w:sz w:val="21"/>
        </w:rPr>
        <w:t> </w:t>
      </w:r>
      <w:r>
        <w:rPr>
          <w:w w:val="105"/>
          <w:sz w:val="21"/>
        </w:rPr>
        <w:t>psychological</w:t>
      </w:r>
      <w:r>
        <w:rPr>
          <w:spacing w:val="-6"/>
          <w:w w:val="105"/>
          <w:sz w:val="21"/>
        </w:rPr>
        <w:t> </w:t>
      </w:r>
      <w:r>
        <w:rPr>
          <w:w w:val="105"/>
          <w:sz w:val="21"/>
        </w:rPr>
        <w:t>distress.</w:t>
      </w:r>
      <w:r>
        <w:rPr>
          <w:spacing w:val="-6"/>
          <w:w w:val="105"/>
          <w:sz w:val="21"/>
        </w:rPr>
        <w:t> </w:t>
      </w:r>
      <w:r>
        <w:rPr>
          <w:w w:val="105"/>
          <w:sz w:val="21"/>
        </w:rPr>
        <w:t>The</w:t>
      </w:r>
      <w:r>
        <w:rPr>
          <w:spacing w:val="-7"/>
          <w:w w:val="105"/>
          <w:sz w:val="21"/>
        </w:rPr>
        <w:t> </w:t>
      </w:r>
      <w:r>
        <w:rPr>
          <w:w w:val="105"/>
          <w:sz w:val="21"/>
        </w:rPr>
        <w:t>new</w:t>
      </w:r>
      <w:r>
        <w:rPr>
          <w:spacing w:val="-6"/>
          <w:w w:val="105"/>
          <w:sz w:val="21"/>
        </w:rPr>
        <w:t> </w:t>
      </w:r>
      <w:r>
        <w:rPr>
          <w:w w:val="105"/>
          <w:sz w:val="21"/>
        </w:rPr>
        <w:t>Act</w:t>
      </w:r>
      <w:r>
        <w:rPr>
          <w:spacing w:val="-7"/>
          <w:w w:val="105"/>
          <w:sz w:val="21"/>
        </w:rPr>
        <w:t> </w:t>
      </w:r>
      <w:r>
        <w:rPr>
          <w:w w:val="105"/>
          <w:sz w:val="21"/>
        </w:rPr>
        <w:t>should</w:t>
      </w:r>
      <w:r>
        <w:rPr>
          <w:spacing w:val="-6"/>
          <w:w w:val="105"/>
          <w:sz w:val="21"/>
        </w:rPr>
        <w:t> </w:t>
      </w:r>
      <w:r>
        <w:rPr>
          <w:w w:val="105"/>
          <w:sz w:val="21"/>
        </w:rPr>
        <w:t>be</w:t>
      </w:r>
      <w:r>
        <w:rPr>
          <w:spacing w:val="-6"/>
          <w:w w:val="105"/>
          <w:sz w:val="21"/>
        </w:rPr>
        <w:t> </w:t>
      </w:r>
      <w:r>
        <w:rPr>
          <w:spacing w:val="-3"/>
          <w:w w:val="105"/>
          <w:sz w:val="21"/>
        </w:rPr>
        <w:t>underpinned</w:t>
      </w:r>
      <w:r>
        <w:rPr>
          <w:spacing w:val="-7"/>
          <w:w w:val="105"/>
          <w:sz w:val="21"/>
        </w:rPr>
        <w:t> </w:t>
      </w:r>
      <w:r>
        <w:rPr>
          <w:w w:val="105"/>
          <w:sz w:val="21"/>
        </w:rPr>
        <w:t>by</w:t>
      </w:r>
      <w:r>
        <w:rPr>
          <w:spacing w:val="-6"/>
          <w:w w:val="105"/>
          <w:sz w:val="21"/>
        </w:rPr>
        <w:t> </w:t>
      </w:r>
      <w:r>
        <w:rPr>
          <w:w w:val="105"/>
          <w:sz w:val="21"/>
        </w:rPr>
        <w:t>the </w:t>
      </w:r>
      <w:r>
        <w:rPr>
          <w:spacing w:val="-3"/>
          <w:w w:val="105"/>
          <w:sz w:val="21"/>
        </w:rPr>
        <w:t>requirement for arboricultural </w:t>
      </w:r>
      <w:r>
        <w:rPr>
          <w:w w:val="105"/>
          <w:sz w:val="21"/>
        </w:rPr>
        <w:t>evidence </w:t>
      </w:r>
      <w:r>
        <w:rPr>
          <w:spacing w:val="-3"/>
          <w:w w:val="105"/>
          <w:sz w:val="21"/>
        </w:rPr>
        <w:t>that </w:t>
      </w:r>
      <w:r>
        <w:rPr>
          <w:w w:val="105"/>
          <w:sz w:val="21"/>
        </w:rPr>
        <w:t>shows </w:t>
      </w:r>
      <w:r>
        <w:rPr>
          <w:spacing w:val="-3"/>
          <w:w w:val="105"/>
          <w:sz w:val="21"/>
        </w:rPr>
        <w:t>that </w:t>
      </w:r>
      <w:r>
        <w:rPr>
          <w:w w:val="105"/>
          <w:sz w:val="21"/>
        </w:rPr>
        <w:t>the tree is the </w:t>
      </w:r>
      <w:r>
        <w:rPr>
          <w:spacing w:val="-3"/>
          <w:w w:val="105"/>
          <w:sz w:val="21"/>
        </w:rPr>
        <w:t>real </w:t>
      </w:r>
      <w:r>
        <w:rPr>
          <w:w w:val="105"/>
          <w:sz w:val="21"/>
        </w:rPr>
        <w:t>and actual cause of damage or </w:t>
      </w:r>
      <w:r>
        <w:rPr>
          <w:spacing w:val="-3"/>
          <w:w w:val="105"/>
          <w:sz w:val="21"/>
        </w:rPr>
        <w:t>harm that </w:t>
      </w:r>
      <w:r>
        <w:rPr>
          <w:spacing w:val="-2"/>
          <w:w w:val="105"/>
          <w:sz w:val="21"/>
        </w:rPr>
        <w:t>has </w:t>
      </w:r>
      <w:r>
        <w:rPr>
          <w:spacing w:val="-3"/>
          <w:w w:val="105"/>
          <w:sz w:val="21"/>
        </w:rPr>
        <w:t>occurred </w:t>
      </w:r>
      <w:r>
        <w:rPr>
          <w:w w:val="105"/>
          <w:sz w:val="21"/>
        </w:rPr>
        <w:t>or is </w:t>
      </w:r>
      <w:r>
        <w:rPr>
          <w:spacing w:val="-4"/>
          <w:w w:val="105"/>
          <w:sz w:val="21"/>
        </w:rPr>
        <w:t>likely </w:t>
      </w:r>
      <w:r>
        <w:rPr>
          <w:spacing w:val="-3"/>
          <w:w w:val="105"/>
          <w:sz w:val="21"/>
        </w:rPr>
        <w:t>to occur </w:t>
      </w:r>
      <w:r>
        <w:rPr>
          <w:w w:val="105"/>
          <w:sz w:val="21"/>
        </w:rPr>
        <w:t>in the next </w:t>
      </w:r>
      <w:r>
        <w:rPr>
          <w:spacing w:val="-9"/>
          <w:w w:val="105"/>
          <w:sz w:val="21"/>
        </w:rPr>
        <w:t>12 </w:t>
      </w:r>
      <w:r>
        <w:rPr>
          <w:spacing w:val="-3"/>
          <w:w w:val="105"/>
          <w:sz w:val="21"/>
        </w:rPr>
        <w:t>months. </w:t>
      </w:r>
      <w:r>
        <w:rPr>
          <w:w w:val="105"/>
          <w:sz w:val="21"/>
        </w:rPr>
        <w:t>This was broadly supported by community</w:t>
      </w:r>
      <w:r>
        <w:rPr>
          <w:spacing w:val="20"/>
          <w:w w:val="105"/>
          <w:sz w:val="21"/>
        </w:rPr>
        <w:t> </w:t>
      </w:r>
      <w:r>
        <w:rPr>
          <w:spacing w:val="-4"/>
          <w:w w:val="105"/>
          <w:sz w:val="21"/>
        </w:rPr>
        <w:t>responses.</w:t>
      </w:r>
      <w:r>
        <w:rPr>
          <w:spacing w:val="-4"/>
          <w:w w:val="105"/>
          <w:position w:val="7"/>
          <w:sz w:val="12"/>
        </w:rPr>
        <w:t>102</w:t>
      </w:r>
    </w:p>
    <w:p>
      <w:pPr>
        <w:pStyle w:val="ListParagraph"/>
        <w:numPr>
          <w:ilvl w:val="1"/>
          <w:numId w:val="16"/>
        </w:numPr>
        <w:tabs>
          <w:tab w:pos="2381" w:val="left" w:leader="none"/>
          <w:tab w:pos="2382" w:val="left" w:leader="none"/>
        </w:tabs>
        <w:spacing w:line="242" w:lineRule="auto" w:before="128" w:after="0"/>
        <w:ind w:left="2381" w:right="1768" w:hanging="794"/>
        <w:jc w:val="left"/>
        <w:rPr>
          <w:sz w:val="21"/>
        </w:rPr>
      </w:pPr>
      <w:r>
        <w:rPr>
          <w:spacing w:val="-3"/>
          <w:sz w:val="21"/>
        </w:rPr>
        <w:t>Nillumbik Shire </w:t>
      </w:r>
      <w:r>
        <w:rPr>
          <w:spacing w:val="-4"/>
          <w:sz w:val="21"/>
        </w:rPr>
        <w:t>Council </w:t>
      </w:r>
      <w:r>
        <w:rPr>
          <w:sz w:val="21"/>
        </w:rPr>
        <w:t>expressed </w:t>
      </w:r>
      <w:r>
        <w:rPr>
          <w:spacing w:val="-3"/>
          <w:sz w:val="21"/>
        </w:rPr>
        <w:t>concern that any </w:t>
      </w:r>
      <w:r>
        <w:rPr>
          <w:sz w:val="21"/>
        </w:rPr>
        <w:t>new Act </w:t>
      </w:r>
      <w:r>
        <w:rPr>
          <w:spacing w:val="-4"/>
          <w:sz w:val="21"/>
        </w:rPr>
        <w:t>‘not </w:t>
      </w:r>
      <w:r>
        <w:rPr>
          <w:sz w:val="21"/>
        </w:rPr>
        <w:t>provide scope  </w:t>
      </w:r>
      <w:r>
        <w:rPr>
          <w:spacing w:val="-3"/>
          <w:sz w:val="21"/>
        </w:rPr>
        <w:t>for </w:t>
      </w:r>
      <w:r>
        <w:rPr>
          <w:sz w:val="21"/>
        </w:rPr>
        <w:t>vindictive neighbours </w:t>
      </w:r>
      <w:r>
        <w:rPr>
          <w:spacing w:val="-3"/>
          <w:sz w:val="21"/>
        </w:rPr>
        <w:t>to take </w:t>
      </w:r>
      <w:r>
        <w:rPr>
          <w:sz w:val="21"/>
        </w:rPr>
        <w:t>advantage of a new scheme  by  </w:t>
      </w:r>
      <w:r>
        <w:rPr>
          <w:spacing w:val="-3"/>
          <w:sz w:val="21"/>
        </w:rPr>
        <w:t>bringing  unmeritorious claims against </w:t>
      </w:r>
      <w:r>
        <w:rPr>
          <w:sz w:val="21"/>
        </w:rPr>
        <w:t>neighbours on </w:t>
      </w:r>
      <w:r>
        <w:rPr>
          <w:spacing w:val="-3"/>
          <w:sz w:val="21"/>
        </w:rPr>
        <w:t>adjoining </w:t>
      </w:r>
      <w:r>
        <w:rPr>
          <w:spacing w:val="-6"/>
          <w:sz w:val="21"/>
        </w:rPr>
        <w:t>land’.</w:t>
      </w:r>
      <w:r>
        <w:rPr>
          <w:spacing w:val="-6"/>
          <w:position w:val="7"/>
          <w:sz w:val="12"/>
        </w:rPr>
        <w:t>103 </w:t>
      </w:r>
      <w:r>
        <w:rPr>
          <w:sz w:val="21"/>
        </w:rPr>
        <w:t>The </w:t>
      </w:r>
      <w:r>
        <w:rPr>
          <w:spacing w:val="-3"/>
          <w:sz w:val="21"/>
        </w:rPr>
        <w:t>requirement for </w:t>
      </w:r>
      <w:r>
        <w:rPr>
          <w:sz w:val="21"/>
        </w:rPr>
        <w:t>expert evidence </w:t>
      </w:r>
      <w:r>
        <w:rPr>
          <w:spacing w:val="-3"/>
          <w:sz w:val="21"/>
        </w:rPr>
        <w:t>will reduce </w:t>
      </w:r>
      <w:r>
        <w:rPr>
          <w:sz w:val="21"/>
        </w:rPr>
        <w:t>the scope </w:t>
      </w:r>
      <w:r>
        <w:rPr>
          <w:spacing w:val="-3"/>
          <w:sz w:val="21"/>
        </w:rPr>
        <w:t>for </w:t>
      </w:r>
      <w:r>
        <w:rPr>
          <w:sz w:val="21"/>
        </w:rPr>
        <w:t>neighbours </w:t>
      </w:r>
      <w:r>
        <w:rPr>
          <w:spacing w:val="-3"/>
          <w:sz w:val="21"/>
        </w:rPr>
        <w:t>to  bring  claims  </w:t>
      </w:r>
      <w:r>
        <w:rPr>
          <w:sz w:val="21"/>
        </w:rPr>
        <w:t>without merit. </w:t>
      </w:r>
      <w:r>
        <w:rPr>
          <w:spacing w:val="-3"/>
          <w:sz w:val="21"/>
        </w:rPr>
        <w:t>Arboricultural</w:t>
      </w:r>
      <w:r>
        <w:rPr>
          <w:spacing w:val="41"/>
          <w:sz w:val="21"/>
        </w:rPr>
        <w:t> </w:t>
      </w:r>
      <w:r>
        <w:rPr>
          <w:sz w:val="21"/>
        </w:rPr>
        <w:t>evidence </w:t>
      </w:r>
      <w:r>
        <w:rPr>
          <w:spacing w:val="-3"/>
          <w:sz w:val="21"/>
        </w:rPr>
        <w:t>will </w:t>
      </w:r>
      <w:r>
        <w:rPr>
          <w:sz w:val="21"/>
        </w:rPr>
        <w:t>also help </w:t>
      </w:r>
      <w:r>
        <w:rPr>
          <w:spacing w:val="-5"/>
          <w:sz w:val="21"/>
        </w:rPr>
        <w:t>VCAT </w:t>
      </w:r>
      <w:r>
        <w:rPr>
          <w:sz w:val="21"/>
        </w:rPr>
        <w:t>devise workable solutions </w:t>
      </w:r>
      <w:r>
        <w:rPr>
          <w:spacing w:val="-3"/>
          <w:sz w:val="21"/>
        </w:rPr>
        <w:t>to </w:t>
      </w:r>
      <w:r>
        <w:rPr>
          <w:sz w:val="21"/>
        </w:rPr>
        <w:t>tree</w:t>
      </w:r>
      <w:r>
        <w:rPr>
          <w:spacing w:val="-26"/>
          <w:sz w:val="21"/>
        </w:rPr>
        <w:t> </w:t>
      </w:r>
      <w:r>
        <w:rPr>
          <w:spacing w:val="-3"/>
          <w:sz w:val="21"/>
        </w:rPr>
        <w:t>problems.</w:t>
      </w:r>
    </w:p>
    <w:p>
      <w:pPr>
        <w:pStyle w:val="ListParagraph"/>
        <w:numPr>
          <w:ilvl w:val="1"/>
          <w:numId w:val="16"/>
        </w:numPr>
        <w:tabs>
          <w:tab w:pos="2380" w:val="left" w:leader="none"/>
          <w:tab w:pos="2381" w:val="left" w:leader="none"/>
        </w:tabs>
        <w:spacing w:line="242" w:lineRule="auto" w:before="126" w:after="0"/>
        <w:ind w:left="2381" w:right="1644" w:hanging="794"/>
        <w:jc w:val="left"/>
        <w:rPr>
          <w:sz w:val="21"/>
        </w:rPr>
      </w:pPr>
      <w:r>
        <w:rPr>
          <w:w w:val="105"/>
          <w:sz w:val="21"/>
        </w:rPr>
        <w:t>This </w:t>
      </w:r>
      <w:r>
        <w:rPr>
          <w:spacing w:val="-3"/>
          <w:w w:val="105"/>
          <w:sz w:val="21"/>
        </w:rPr>
        <w:t>chapter </w:t>
      </w:r>
      <w:r>
        <w:rPr>
          <w:w w:val="105"/>
          <w:sz w:val="21"/>
        </w:rPr>
        <w:t>focuses on </w:t>
      </w:r>
      <w:r>
        <w:rPr>
          <w:spacing w:val="-3"/>
          <w:w w:val="105"/>
          <w:sz w:val="21"/>
        </w:rPr>
        <w:t>arboricultural </w:t>
      </w:r>
      <w:r>
        <w:rPr>
          <w:w w:val="105"/>
          <w:sz w:val="21"/>
        </w:rPr>
        <w:t>evidence because most </w:t>
      </w:r>
      <w:r>
        <w:rPr>
          <w:spacing w:val="-3"/>
          <w:w w:val="105"/>
          <w:sz w:val="21"/>
        </w:rPr>
        <w:t>submissions </w:t>
      </w:r>
      <w:r>
        <w:rPr>
          <w:w w:val="105"/>
          <w:sz w:val="21"/>
        </w:rPr>
        <w:t>and </w:t>
      </w:r>
      <w:r>
        <w:rPr>
          <w:spacing w:val="-3"/>
          <w:w w:val="105"/>
          <w:sz w:val="21"/>
        </w:rPr>
        <w:t>consultations </w:t>
      </w:r>
      <w:r>
        <w:rPr>
          <w:w w:val="105"/>
          <w:sz w:val="21"/>
        </w:rPr>
        <w:t>emphasised this </w:t>
      </w:r>
      <w:r>
        <w:rPr>
          <w:spacing w:val="-3"/>
          <w:w w:val="105"/>
          <w:sz w:val="21"/>
        </w:rPr>
        <w:t>issue. </w:t>
      </w:r>
      <w:r>
        <w:rPr>
          <w:spacing w:val="-4"/>
          <w:w w:val="105"/>
          <w:sz w:val="21"/>
        </w:rPr>
        <w:t>However, </w:t>
      </w:r>
      <w:r>
        <w:rPr>
          <w:w w:val="105"/>
          <w:sz w:val="21"/>
        </w:rPr>
        <w:t>some comments about medical evidence </w:t>
      </w:r>
      <w:r>
        <w:rPr>
          <w:spacing w:val="-3"/>
          <w:w w:val="105"/>
          <w:sz w:val="21"/>
        </w:rPr>
        <w:t>were </w:t>
      </w:r>
      <w:r>
        <w:rPr>
          <w:w w:val="105"/>
          <w:sz w:val="21"/>
        </w:rPr>
        <w:t>also </w:t>
      </w:r>
      <w:r>
        <w:rPr>
          <w:spacing w:val="-3"/>
          <w:w w:val="105"/>
          <w:sz w:val="21"/>
        </w:rPr>
        <w:t>received, such </w:t>
      </w:r>
      <w:r>
        <w:rPr>
          <w:w w:val="105"/>
          <w:sz w:val="21"/>
        </w:rPr>
        <w:t>as where pollen </w:t>
      </w:r>
      <w:r>
        <w:rPr>
          <w:spacing w:val="-3"/>
          <w:w w:val="105"/>
          <w:sz w:val="21"/>
        </w:rPr>
        <w:t>allergies are </w:t>
      </w:r>
      <w:r>
        <w:rPr>
          <w:spacing w:val="-4"/>
          <w:w w:val="105"/>
          <w:sz w:val="21"/>
        </w:rPr>
        <w:t>claimed.</w:t>
      </w:r>
      <w:r>
        <w:rPr>
          <w:spacing w:val="-4"/>
          <w:w w:val="105"/>
          <w:position w:val="7"/>
          <w:sz w:val="12"/>
        </w:rPr>
        <w:t>104 </w:t>
      </w:r>
      <w:r>
        <w:rPr>
          <w:w w:val="105"/>
          <w:sz w:val="21"/>
        </w:rPr>
        <w:t>The role of qualified </w:t>
      </w:r>
      <w:r>
        <w:rPr>
          <w:spacing w:val="-3"/>
          <w:w w:val="105"/>
          <w:sz w:val="21"/>
        </w:rPr>
        <w:t>building</w:t>
      </w:r>
      <w:r>
        <w:rPr>
          <w:spacing w:val="-11"/>
          <w:w w:val="105"/>
          <w:sz w:val="21"/>
        </w:rPr>
        <w:t> </w:t>
      </w:r>
      <w:r>
        <w:rPr>
          <w:w w:val="105"/>
          <w:sz w:val="21"/>
        </w:rPr>
        <w:t>inspectors</w:t>
      </w:r>
      <w:r>
        <w:rPr>
          <w:spacing w:val="-11"/>
          <w:w w:val="105"/>
          <w:sz w:val="21"/>
        </w:rPr>
        <w:t> </w:t>
      </w:r>
      <w:r>
        <w:rPr>
          <w:w w:val="105"/>
          <w:sz w:val="21"/>
        </w:rPr>
        <w:t>and</w:t>
      </w:r>
      <w:r>
        <w:rPr>
          <w:spacing w:val="-11"/>
          <w:w w:val="105"/>
          <w:sz w:val="21"/>
        </w:rPr>
        <w:t> </w:t>
      </w:r>
      <w:r>
        <w:rPr>
          <w:spacing w:val="-3"/>
          <w:w w:val="105"/>
          <w:sz w:val="21"/>
        </w:rPr>
        <w:t>surveyors,</w:t>
      </w:r>
      <w:r>
        <w:rPr>
          <w:spacing w:val="-3"/>
          <w:w w:val="105"/>
          <w:position w:val="7"/>
          <w:sz w:val="12"/>
        </w:rPr>
        <w:t>105</w:t>
      </w:r>
      <w:r>
        <w:rPr>
          <w:spacing w:val="-5"/>
          <w:w w:val="105"/>
          <w:position w:val="7"/>
          <w:sz w:val="12"/>
        </w:rPr>
        <w:t> </w:t>
      </w:r>
      <w:r>
        <w:rPr>
          <w:w w:val="105"/>
          <w:sz w:val="21"/>
        </w:rPr>
        <w:t>construction</w:t>
      </w:r>
      <w:r>
        <w:rPr>
          <w:spacing w:val="-11"/>
          <w:w w:val="105"/>
          <w:sz w:val="21"/>
        </w:rPr>
        <w:t> </w:t>
      </w:r>
      <w:r>
        <w:rPr>
          <w:w w:val="105"/>
          <w:sz w:val="21"/>
        </w:rPr>
        <w:t>and</w:t>
      </w:r>
      <w:r>
        <w:rPr>
          <w:spacing w:val="-11"/>
          <w:w w:val="105"/>
          <w:sz w:val="21"/>
        </w:rPr>
        <w:t> </w:t>
      </w:r>
      <w:r>
        <w:rPr>
          <w:spacing w:val="-3"/>
          <w:w w:val="105"/>
          <w:sz w:val="21"/>
        </w:rPr>
        <w:t>geotechnical</w:t>
      </w:r>
      <w:r>
        <w:rPr>
          <w:spacing w:val="-11"/>
          <w:w w:val="105"/>
          <w:sz w:val="21"/>
        </w:rPr>
        <w:t> </w:t>
      </w:r>
      <w:r>
        <w:rPr>
          <w:w w:val="105"/>
          <w:sz w:val="21"/>
        </w:rPr>
        <w:t>engineers</w:t>
      </w:r>
      <w:r>
        <w:rPr>
          <w:spacing w:val="-11"/>
          <w:w w:val="105"/>
          <w:sz w:val="21"/>
        </w:rPr>
        <w:t> </w:t>
      </w:r>
      <w:r>
        <w:rPr>
          <w:spacing w:val="-3"/>
          <w:w w:val="105"/>
          <w:sz w:val="21"/>
        </w:rPr>
        <w:t>for</w:t>
      </w:r>
      <w:r>
        <w:rPr>
          <w:spacing w:val="-10"/>
          <w:w w:val="105"/>
          <w:sz w:val="21"/>
        </w:rPr>
        <w:t> </w:t>
      </w:r>
      <w:r>
        <w:rPr>
          <w:w w:val="105"/>
          <w:sz w:val="21"/>
        </w:rPr>
        <w:t>property </w:t>
      </w:r>
      <w:r>
        <w:rPr>
          <w:spacing w:val="-4"/>
          <w:w w:val="105"/>
          <w:sz w:val="21"/>
        </w:rPr>
        <w:t>damage</w:t>
      </w:r>
      <w:r>
        <w:rPr>
          <w:spacing w:val="-4"/>
          <w:w w:val="105"/>
          <w:position w:val="7"/>
          <w:sz w:val="12"/>
        </w:rPr>
        <w:t>106 </w:t>
      </w:r>
      <w:r>
        <w:rPr>
          <w:w w:val="105"/>
          <w:sz w:val="21"/>
        </w:rPr>
        <w:t>and plumbers </w:t>
      </w:r>
      <w:r>
        <w:rPr>
          <w:spacing w:val="-3"/>
          <w:w w:val="105"/>
          <w:sz w:val="21"/>
        </w:rPr>
        <w:t>for </w:t>
      </w:r>
      <w:r>
        <w:rPr>
          <w:w w:val="105"/>
          <w:sz w:val="21"/>
        </w:rPr>
        <w:t>damage </w:t>
      </w:r>
      <w:r>
        <w:rPr>
          <w:spacing w:val="-3"/>
          <w:w w:val="105"/>
          <w:sz w:val="21"/>
        </w:rPr>
        <w:t>to </w:t>
      </w:r>
      <w:r>
        <w:rPr>
          <w:w w:val="105"/>
          <w:sz w:val="21"/>
        </w:rPr>
        <w:t>pipes was also </w:t>
      </w:r>
      <w:r>
        <w:rPr>
          <w:spacing w:val="-2"/>
          <w:w w:val="105"/>
          <w:sz w:val="21"/>
        </w:rPr>
        <w:t>raised </w:t>
      </w:r>
      <w:r>
        <w:rPr>
          <w:w w:val="105"/>
          <w:sz w:val="21"/>
        </w:rPr>
        <w:t>in</w:t>
      </w:r>
      <w:r>
        <w:rPr>
          <w:spacing w:val="41"/>
          <w:w w:val="105"/>
          <w:sz w:val="21"/>
        </w:rPr>
        <w:t> </w:t>
      </w:r>
      <w:r>
        <w:rPr>
          <w:spacing w:val="-4"/>
          <w:w w:val="105"/>
          <w:sz w:val="21"/>
        </w:rPr>
        <w:t>submissions.</w:t>
      </w:r>
      <w:r>
        <w:rPr>
          <w:spacing w:val="-4"/>
          <w:w w:val="105"/>
          <w:position w:val="7"/>
          <w:sz w:val="12"/>
        </w:rPr>
        <w:t>107</w:t>
      </w:r>
    </w:p>
    <w:p>
      <w:pPr>
        <w:pStyle w:val="ListParagraph"/>
        <w:numPr>
          <w:ilvl w:val="1"/>
          <w:numId w:val="16"/>
        </w:numPr>
        <w:tabs>
          <w:tab w:pos="2381" w:val="left" w:leader="none"/>
          <w:tab w:pos="2382" w:val="left" w:leader="none"/>
        </w:tabs>
        <w:spacing w:line="242" w:lineRule="auto" w:before="125" w:after="0"/>
        <w:ind w:left="2381" w:right="1637" w:hanging="794"/>
        <w:jc w:val="left"/>
        <w:rPr>
          <w:sz w:val="21"/>
        </w:rPr>
      </w:pPr>
      <w:r>
        <w:rPr>
          <w:w w:val="105"/>
          <w:sz w:val="21"/>
        </w:rPr>
        <w:t>Arborists specialise in the assessment and </w:t>
      </w:r>
      <w:r>
        <w:rPr>
          <w:spacing w:val="-3"/>
          <w:w w:val="105"/>
          <w:sz w:val="21"/>
        </w:rPr>
        <w:t>management </w:t>
      </w:r>
      <w:r>
        <w:rPr>
          <w:w w:val="105"/>
          <w:sz w:val="21"/>
        </w:rPr>
        <w:t>of </w:t>
      </w:r>
      <w:r>
        <w:rPr>
          <w:spacing w:val="-3"/>
          <w:w w:val="105"/>
          <w:sz w:val="21"/>
        </w:rPr>
        <w:t>individual </w:t>
      </w:r>
      <w:r>
        <w:rPr>
          <w:spacing w:val="-4"/>
          <w:w w:val="105"/>
          <w:sz w:val="21"/>
        </w:rPr>
        <w:t>trees.</w:t>
      </w:r>
      <w:r>
        <w:rPr>
          <w:spacing w:val="-4"/>
          <w:w w:val="105"/>
          <w:position w:val="7"/>
          <w:sz w:val="12"/>
        </w:rPr>
        <w:t>108 </w:t>
      </w:r>
      <w:r>
        <w:rPr>
          <w:w w:val="105"/>
          <w:sz w:val="21"/>
        </w:rPr>
        <w:t>The </w:t>
      </w:r>
      <w:r>
        <w:rPr>
          <w:spacing w:val="-3"/>
          <w:w w:val="105"/>
          <w:sz w:val="21"/>
        </w:rPr>
        <w:t>Commission </w:t>
      </w:r>
      <w:r>
        <w:rPr>
          <w:spacing w:val="-2"/>
          <w:w w:val="105"/>
          <w:sz w:val="21"/>
        </w:rPr>
        <w:t>has </w:t>
      </w:r>
      <w:r>
        <w:rPr>
          <w:w w:val="105"/>
          <w:sz w:val="21"/>
        </w:rPr>
        <w:t>been </w:t>
      </w:r>
      <w:r>
        <w:rPr>
          <w:spacing w:val="-3"/>
          <w:w w:val="105"/>
          <w:sz w:val="21"/>
        </w:rPr>
        <w:t>informed that </w:t>
      </w:r>
      <w:r>
        <w:rPr>
          <w:w w:val="105"/>
          <w:sz w:val="21"/>
        </w:rPr>
        <w:t>the quality of </w:t>
      </w:r>
      <w:r>
        <w:rPr>
          <w:spacing w:val="-3"/>
          <w:w w:val="105"/>
          <w:sz w:val="21"/>
        </w:rPr>
        <w:t>arboricultural </w:t>
      </w:r>
      <w:r>
        <w:rPr>
          <w:w w:val="105"/>
          <w:sz w:val="21"/>
        </w:rPr>
        <w:t>assessment can vary </w:t>
      </w:r>
      <w:r>
        <w:rPr>
          <w:spacing w:val="-2"/>
          <w:w w:val="105"/>
          <w:sz w:val="21"/>
        </w:rPr>
        <w:t>significantly </w:t>
      </w:r>
      <w:r>
        <w:rPr>
          <w:w w:val="105"/>
          <w:sz w:val="21"/>
        </w:rPr>
        <w:t>and can affect the direction of neighbourhood tree </w:t>
      </w:r>
      <w:r>
        <w:rPr>
          <w:spacing w:val="-4"/>
          <w:w w:val="105"/>
          <w:sz w:val="21"/>
        </w:rPr>
        <w:t>disputes.</w:t>
      </w:r>
      <w:r>
        <w:rPr>
          <w:spacing w:val="-4"/>
          <w:w w:val="105"/>
          <w:position w:val="7"/>
          <w:sz w:val="12"/>
        </w:rPr>
        <w:t>109 </w:t>
      </w:r>
      <w:r>
        <w:rPr>
          <w:spacing w:val="-3"/>
          <w:w w:val="105"/>
          <w:sz w:val="21"/>
        </w:rPr>
        <w:t>Conflicting </w:t>
      </w:r>
      <w:r>
        <w:rPr>
          <w:w w:val="105"/>
          <w:sz w:val="21"/>
        </w:rPr>
        <w:t>assessments</w:t>
      </w:r>
      <w:r>
        <w:rPr>
          <w:spacing w:val="-14"/>
          <w:w w:val="105"/>
          <w:sz w:val="21"/>
        </w:rPr>
        <w:t> </w:t>
      </w:r>
      <w:r>
        <w:rPr>
          <w:spacing w:val="-3"/>
          <w:w w:val="105"/>
          <w:sz w:val="21"/>
        </w:rPr>
        <w:t>could</w:t>
      </w:r>
      <w:r>
        <w:rPr>
          <w:spacing w:val="-14"/>
          <w:w w:val="105"/>
          <w:sz w:val="21"/>
        </w:rPr>
        <w:t> </w:t>
      </w:r>
      <w:r>
        <w:rPr>
          <w:spacing w:val="-3"/>
          <w:w w:val="105"/>
          <w:sz w:val="21"/>
        </w:rPr>
        <w:t>result</w:t>
      </w:r>
      <w:r>
        <w:rPr>
          <w:spacing w:val="-13"/>
          <w:w w:val="105"/>
          <w:sz w:val="21"/>
        </w:rPr>
        <w:t> </w:t>
      </w:r>
      <w:r>
        <w:rPr>
          <w:w w:val="105"/>
          <w:sz w:val="21"/>
        </w:rPr>
        <w:t>in</w:t>
      </w:r>
      <w:r>
        <w:rPr>
          <w:spacing w:val="-14"/>
          <w:w w:val="105"/>
          <w:sz w:val="21"/>
        </w:rPr>
        <w:t> </w:t>
      </w:r>
      <w:r>
        <w:rPr>
          <w:w w:val="105"/>
          <w:sz w:val="21"/>
        </w:rPr>
        <w:t>an</w:t>
      </w:r>
      <w:r>
        <w:rPr>
          <w:spacing w:val="-13"/>
          <w:w w:val="105"/>
          <w:sz w:val="21"/>
        </w:rPr>
        <w:t> </w:t>
      </w:r>
      <w:r>
        <w:rPr>
          <w:w w:val="105"/>
          <w:sz w:val="21"/>
        </w:rPr>
        <w:t>escalation</w:t>
      </w:r>
      <w:r>
        <w:rPr>
          <w:spacing w:val="-14"/>
          <w:w w:val="105"/>
          <w:sz w:val="21"/>
        </w:rPr>
        <w:t> </w:t>
      </w:r>
      <w:r>
        <w:rPr>
          <w:w w:val="105"/>
          <w:sz w:val="21"/>
        </w:rPr>
        <w:t>of</w:t>
      </w:r>
      <w:r>
        <w:rPr>
          <w:spacing w:val="-13"/>
          <w:w w:val="105"/>
          <w:sz w:val="21"/>
        </w:rPr>
        <w:t> </w:t>
      </w:r>
      <w:r>
        <w:rPr>
          <w:w w:val="105"/>
          <w:sz w:val="21"/>
        </w:rPr>
        <w:t>the</w:t>
      </w:r>
      <w:r>
        <w:rPr>
          <w:spacing w:val="-14"/>
          <w:w w:val="105"/>
          <w:sz w:val="21"/>
        </w:rPr>
        <w:t> </w:t>
      </w:r>
      <w:r>
        <w:rPr>
          <w:spacing w:val="-3"/>
          <w:w w:val="105"/>
          <w:sz w:val="21"/>
        </w:rPr>
        <w:t>dispute.</w:t>
      </w:r>
      <w:r>
        <w:rPr>
          <w:spacing w:val="-13"/>
          <w:w w:val="105"/>
          <w:sz w:val="21"/>
        </w:rPr>
        <w:t> </w:t>
      </w:r>
      <w:r>
        <w:rPr>
          <w:spacing w:val="-4"/>
          <w:w w:val="105"/>
          <w:sz w:val="21"/>
        </w:rPr>
        <w:t>Further,</w:t>
      </w:r>
      <w:r>
        <w:rPr>
          <w:spacing w:val="-14"/>
          <w:w w:val="105"/>
          <w:sz w:val="21"/>
        </w:rPr>
        <w:t> </w:t>
      </w:r>
      <w:r>
        <w:rPr>
          <w:w w:val="105"/>
          <w:sz w:val="21"/>
        </w:rPr>
        <w:t>poor</w:t>
      </w:r>
      <w:r>
        <w:rPr>
          <w:spacing w:val="-13"/>
          <w:w w:val="105"/>
          <w:sz w:val="21"/>
        </w:rPr>
        <w:t> </w:t>
      </w:r>
      <w:r>
        <w:rPr>
          <w:w w:val="105"/>
          <w:sz w:val="21"/>
        </w:rPr>
        <w:t>quality</w:t>
      </w:r>
      <w:r>
        <w:rPr>
          <w:spacing w:val="-14"/>
          <w:w w:val="105"/>
          <w:sz w:val="21"/>
        </w:rPr>
        <w:t> </w:t>
      </w:r>
      <w:r>
        <w:rPr>
          <w:w w:val="105"/>
          <w:sz w:val="21"/>
        </w:rPr>
        <w:t>assessments </w:t>
      </w:r>
      <w:r>
        <w:rPr>
          <w:spacing w:val="-3"/>
          <w:w w:val="105"/>
          <w:sz w:val="21"/>
        </w:rPr>
        <w:t>could result </w:t>
      </w:r>
      <w:r>
        <w:rPr>
          <w:w w:val="105"/>
          <w:sz w:val="21"/>
        </w:rPr>
        <w:t>in trees being unnecessarily removed </w:t>
      </w:r>
      <w:r>
        <w:rPr>
          <w:spacing w:val="-6"/>
          <w:w w:val="105"/>
          <w:sz w:val="21"/>
        </w:rPr>
        <w:t>or, </w:t>
      </w:r>
      <w:r>
        <w:rPr>
          <w:spacing w:val="-4"/>
          <w:w w:val="105"/>
          <w:sz w:val="21"/>
        </w:rPr>
        <w:t>alternatively, </w:t>
      </w:r>
      <w:r>
        <w:rPr>
          <w:w w:val="105"/>
          <w:sz w:val="21"/>
        </w:rPr>
        <w:t>trees being </w:t>
      </w:r>
      <w:r>
        <w:rPr>
          <w:spacing w:val="-3"/>
          <w:w w:val="105"/>
          <w:sz w:val="21"/>
        </w:rPr>
        <w:t>retained that </w:t>
      </w:r>
      <w:r>
        <w:rPr>
          <w:w w:val="105"/>
          <w:sz w:val="21"/>
        </w:rPr>
        <w:t>present risks </w:t>
      </w:r>
      <w:r>
        <w:rPr>
          <w:spacing w:val="-3"/>
          <w:w w:val="105"/>
          <w:sz w:val="21"/>
        </w:rPr>
        <w:t>to health </w:t>
      </w:r>
      <w:r>
        <w:rPr>
          <w:w w:val="105"/>
          <w:sz w:val="21"/>
        </w:rPr>
        <w:t>and </w:t>
      </w:r>
      <w:r>
        <w:rPr>
          <w:spacing w:val="-3"/>
          <w:w w:val="105"/>
          <w:sz w:val="21"/>
        </w:rPr>
        <w:t>safety. </w:t>
      </w:r>
      <w:r>
        <w:rPr>
          <w:w w:val="105"/>
          <w:sz w:val="21"/>
        </w:rPr>
        <w:t>In </w:t>
      </w:r>
      <w:r>
        <w:rPr>
          <w:spacing w:val="-3"/>
          <w:w w:val="105"/>
          <w:sz w:val="21"/>
        </w:rPr>
        <w:t>addition, </w:t>
      </w:r>
      <w:r>
        <w:rPr>
          <w:w w:val="105"/>
          <w:sz w:val="21"/>
        </w:rPr>
        <w:t>the </w:t>
      </w:r>
      <w:r>
        <w:rPr>
          <w:spacing w:val="-3"/>
          <w:w w:val="105"/>
          <w:sz w:val="21"/>
        </w:rPr>
        <w:t>Commission </w:t>
      </w:r>
      <w:r>
        <w:rPr>
          <w:w w:val="105"/>
          <w:sz w:val="21"/>
        </w:rPr>
        <w:t>was </w:t>
      </w:r>
      <w:r>
        <w:rPr>
          <w:spacing w:val="-3"/>
          <w:w w:val="105"/>
          <w:sz w:val="21"/>
        </w:rPr>
        <w:t>informed that </w:t>
      </w:r>
      <w:r>
        <w:rPr>
          <w:w w:val="105"/>
          <w:sz w:val="21"/>
        </w:rPr>
        <w:t>assessments</w:t>
      </w:r>
      <w:r>
        <w:rPr>
          <w:spacing w:val="-15"/>
          <w:w w:val="105"/>
          <w:sz w:val="21"/>
        </w:rPr>
        <w:t> </w:t>
      </w:r>
      <w:r>
        <w:rPr>
          <w:w w:val="105"/>
          <w:sz w:val="21"/>
        </w:rPr>
        <w:t>undertaken</w:t>
      </w:r>
      <w:r>
        <w:rPr>
          <w:spacing w:val="-15"/>
          <w:w w:val="105"/>
          <w:sz w:val="21"/>
        </w:rPr>
        <w:t> </w:t>
      </w:r>
      <w:r>
        <w:rPr>
          <w:w w:val="105"/>
          <w:sz w:val="21"/>
        </w:rPr>
        <w:t>by</w:t>
      </w:r>
      <w:r>
        <w:rPr>
          <w:spacing w:val="-14"/>
          <w:w w:val="105"/>
          <w:sz w:val="21"/>
        </w:rPr>
        <w:t> </w:t>
      </w:r>
      <w:r>
        <w:rPr>
          <w:w w:val="105"/>
          <w:sz w:val="21"/>
        </w:rPr>
        <w:t>arborists</w:t>
      </w:r>
      <w:r>
        <w:rPr>
          <w:spacing w:val="-15"/>
          <w:w w:val="105"/>
          <w:sz w:val="21"/>
        </w:rPr>
        <w:t> </w:t>
      </w:r>
      <w:r>
        <w:rPr>
          <w:w w:val="105"/>
          <w:sz w:val="21"/>
        </w:rPr>
        <w:t>can</w:t>
      </w:r>
      <w:r>
        <w:rPr>
          <w:spacing w:val="-14"/>
          <w:w w:val="105"/>
          <w:sz w:val="21"/>
        </w:rPr>
        <w:t> </w:t>
      </w:r>
      <w:r>
        <w:rPr>
          <w:w w:val="105"/>
          <w:sz w:val="21"/>
        </w:rPr>
        <w:t>be</w:t>
      </w:r>
      <w:r>
        <w:rPr>
          <w:spacing w:val="-15"/>
          <w:w w:val="105"/>
          <w:sz w:val="21"/>
        </w:rPr>
        <w:t> </w:t>
      </w:r>
      <w:r>
        <w:rPr>
          <w:spacing w:val="-3"/>
          <w:w w:val="105"/>
          <w:sz w:val="21"/>
        </w:rPr>
        <w:t>prohibitively</w:t>
      </w:r>
      <w:r>
        <w:rPr>
          <w:spacing w:val="-14"/>
          <w:w w:val="105"/>
          <w:sz w:val="21"/>
        </w:rPr>
        <w:t> </w:t>
      </w:r>
      <w:r>
        <w:rPr>
          <w:w w:val="105"/>
          <w:sz w:val="21"/>
        </w:rPr>
        <w:t>expensive</w:t>
      </w:r>
      <w:r>
        <w:rPr>
          <w:spacing w:val="-15"/>
          <w:w w:val="105"/>
          <w:sz w:val="21"/>
        </w:rPr>
        <w:t> </w:t>
      </w:r>
      <w:r>
        <w:rPr>
          <w:spacing w:val="-3"/>
          <w:w w:val="105"/>
          <w:sz w:val="21"/>
        </w:rPr>
        <w:t>for</w:t>
      </w:r>
      <w:r>
        <w:rPr>
          <w:spacing w:val="-15"/>
          <w:w w:val="105"/>
          <w:sz w:val="21"/>
        </w:rPr>
        <w:t> </w:t>
      </w:r>
      <w:r>
        <w:rPr>
          <w:spacing w:val="-3"/>
          <w:w w:val="105"/>
          <w:sz w:val="21"/>
        </w:rPr>
        <w:t>many</w:t>
      </w:r>
      <w:r>
        <w:rPr>
          <w:spacing w:val="-14"/>
          <w:w w:val="105"/>
          <w:sz w:val="21"/>
        </w:rPr>
        <w:t> </w:t>
      </w:r>
      <w:r>
        <w:rPr>
          <w:w w:val="105"/>
          <w:sz w:val="21"/>
        </w:rPr>
        <w:t>members</w:t>
      </w:r>
      <w:r>
        <w:rPr>
          <w:spacing w:val="-15"/>
          <w:w w:val="105"/>
          <w:sz w:val="21"/>
        </w:rPr>
        <w:t> </w:t>
      </w:r>
      <w:r>
        <w:rPr>
          <w:w w:val="105"/>
          <w:sz w:val="21"/>
        </w:rPr>
        <w:t>of the</w:t>
      </w:r>
      <w:r>
        <w:rPr>
          <w:spacing w:val="5"/>
          <w:w w:val="105"/>
          <w:sz w:val="21"/>
        </w:rPr>
        <w:t> </w:t>
      </w:r>
      <w:r>
        <w:rPr>
          <w:spacing w:val="-5"/>
          <w:w w:val="105"/>
          <w:sz w:val="21"/>
        </w:rPr>
        <w:t>community.</w:t>
      </w:r>
      <w:r>
        <w:rPr>
          <w:spacing w:val="-5"/>
          <w:w w:val="105"/>
          <w:position w:val="7"/>
          <w:sz w:val="12"/>
        </w:rPr>
        <w:t>110</w:t>
      </w:r>
    </w:p>
    <w:p>
      <w:pPr>
        <w:pStyle w:val="ListParagraph"/>
        <w:numPr>
          <w:ilvl w:val="1"/>
          <w:numId w:val="16"/>
        </w:numPr>
        <w:tabs>
          <w:tab w:pos="2381" w:val="left" w:leader="none"/>
          <w:tab w:pos="2382" w:val="left" w:leader="none"/>
        </w:tabs>
        <w:spacing w:line="242" w:lineRule="auto" w:before="129" w:after="0"/>
        <w:ind w:left="2381" w:right="1741" w:hanging="794"/>
        <w:jc w:val="left"/>
        <w:rPr>
          <w:sz w:val="21"/>
        </w:rPr>
      </w:pPr>
      <w:r>
        <w:rPr>
          <w:sz w:val="21"/>
        </w:rPr>
        <w:t>The next section </w:t>
      </w:r>
      <w:r>
        <w:rPr>
          <w:spacing w:val="-2"/>
          <w:sz w:val="21"/>
        </w:rPr>
        <w:t>examines  </w:t>
      </w:r>
      <w:r>
        <w:rPr>
          <w:sz w:val="21"/>
        </w:rPr>
        <w:t>evidentiary </w:t>
      </w:r>
      <w:r>
        <w:rPr>
          <w:spacing w:val="-3"/>
          <w:sz w:val="21"/>
        </w:rPr>
        <w:t>requirements  </w:t>
      </w:r>
      <w:r>
        <w:rPr>
          <w:sz w:val="21"/>
        </w:rPr>
        <w:t>in </w:t>
      </w:r>
      <w:r>
        <w:rPr>
          <w:spacing w:val="-3"/>
          <w:sz w:val="21"/>
        </w:rPr>
        <w:t>planning  </w:t>
      </w:r>
      <w:r>
        <w:rPr>
          <w:sz w:val="21"/>
        </w:rPr>
        <w:t>schemes and local laws.  It then considers how </w:t>
      </w:r>
      <w:r>
        <w:rPr>
          <w:spacing w:val="-5"/>
          <w:sz w:val="21"/>
        </w:rPr>
        <w:t>VCAT  </w:t>
      </w:r>
      <w:r>
        <w:rPr>
          <w:spacing w:val="-3"/>
          <w:sz w:val="21"/>
        </w:rPr>
        <w:t>currently  </w:t>
      </w:r>
      <w:r>
        <w:rPr>
          <w:sz w:val="21"/>
        </w:rPr>
        <w:t>manages expert evidence across its lists and how  this is done by decision </w:t>
      </w:r>
      <w:r>
        <w:rPr>
          <w:spacing w:val="-3"/>
          <w:sz w:val="21"/>
        </w:rPr>
        <w:t>makers </w:t>
      </w:r>
      <w:r>
        <w:rPr>
          <w:sz w:val="21"/>
        </w:rPr>
        <w:t>in tree </w:t>
      </w:r>
      <w:r>
        <w:rPr>
          <w:spacing w:val="-3"/>
          <w:sz w:val="21"/>
        </w:rPr>
        <w:t>disputes interstate. Community </w:t>
      </w:r>
      <w:r>
        <w:rPr>
          <w:sz w:val="21"/>
        </w:rPr>
        <w:t>responses </w:t>
      </w:r>
      <w:r>
        <w:rPr>
          <w:spacing w:val="-3"/>
          <w:sz w:val="21"/>
        </w:rPr>
        <w:t>are </w:t>
      </w:r>
      <w:r>
        <w:rPr>
          <w:sz w:val="21"/>
        </w:rPr>
        <w:t>also </w:t>
      </w:r>
      <w:r>
        <w:rPr>
          <w:spacing w:val="-3"/>
          <w:sz w:val="21"/>
        </w:rPr>
        <w:t>considered.</w:t>
      </w:r>
    </w:p>
    <w:p>
      <w:pPr>
        <w:pStyle w:val="BodyText"/>
        <w:spacing w:before="5"/>
        <w:rPr>
          <w:sz w:val="20"/>
        </w:rPr>
      </w:pPr>
    </w:p>
    <w:p>
      <w:pPr>
        <w:pStyle w:val="Heading5"/>
      </w:pPr>
      <w:r>
        <w:rPr>
          <w:w w:val="110"/>
        </w:rPr>
        <w:t>Expert evidence—planning schemes</w:t>
      </w:r>
    </w:p>
    <w:p>
      <w:pPr>
        <w:pStyle w:val="ListParagraph"/>
        <w:numPr>
          <w:ilvl w:val="1"/>
          <w:numId w:val="16"/>
        </w:numPr>
        <w:tabs>
          <w:tab w:pos="2381" w:val="left" w:leader="none"/>
          <w:tab w:pos="2382" w:val="left" w:leader="none"/>
        </w:tabs>
        <w:spacing w:line="242" w:lineRule="auto" w:before="137" w:after="0"/>
        <w:ind w:left="2381" w:right="1704" w:hanging="794"/>
        <w:jc w:val="left"/>
        <w:rPr>
          <w:sz w:val="21"/>
        </w:rPr>
      </w:pPr>
      <w:r>
        <w:rPr>
          <w:spacing w:val="-3"/>
          <w:w w:val="105"/>
          <w:sz w:val="21"/>
        </w:rPr>
        <w:t>Planning </w:t>
      </w:r>
      <w:r>
        <w:rPr>
          <w:w w:val="105"/>
          <w:sz w:val="21"/>
        </w:rPr>
        <w:t>scheme </w:t>
      </w:r>
      <w:r>
        <w:rPr>
          <w:spacing w:val="-3"/>
          <w:w w:val="105"/>
          <w:sz w:val="21"/>
        </w:rPr>
        <w:t>overlays </w:t>
      </w:r>
      <w:r>
        <w:rPr>
          <w:w w:val="105"/>
          <w:sz w:val="21"/>
        </w:rPr>
        <w:t>and </w:t>
      </w:r>
      <w:r>
        <w:rPr>
          <w:spacing w:val="-3"/>
          <w:w w:val="105"/>
          <w:sz w:val="21"/>
        </w:rPr>
        <w:t>native </w:t>
      </w:r>
      <w:r>
        <w:rPr>
          <w:w w:val="105"/>
          <w:sz w:val="21"/>
        </w:rPr>
        <w:t>vegetation particular </w:t>
      </w:r>
      <w:r>
        <w:rPr>
          <w:spacing w:val="-3"/>
          <w:w w:val="105"/>
          <w:sz w:val="21"/>
        </w:rPr>
        <w:t>provisions </w:t>
      </w:r>
      <w:r>
        <w:rPr>
          <w:w w:val="105"/>
          <w:sz w:val="21"/>
        </w:rPr>
        <w:t>can protect vegetation on </w:t>
      </w:r>
      <w:r>
        <w:rPr>
          <w:spacing w:val="-3"/>
          <w:w w:val="105"/>
          <w:sz w:val="21"/>
        </w:rPr>
        <w:t>private land. </w:t>
      </w:r>
      <w:r>
        <w:rPr>
          <w:w w:val="105"/>
          <w:sz w:val="21"/>
        </w:rPr>
        <w:t>In </w:t>
      </w:r>
      <w:r>
        <w:rPr>
          <w:spacing w:val="-2"/>
          <w:w w:val="105"/>
          <w:sz w:val="21"/>
        </w:rPr>
        <w:t>deciding </w:t>
      </w:r>
      <w:r>
        <w:rPr>
          <w:w w:val="105"/>
          <w:sz w:val="21"/>
        </w:rPr>
        <w:t>whether </w:t>
      </w:r>
      <w:r>
        <w:rPr>
          <w:spacing w:val="-3"/>
          <w:w w:val="105"/>
          <w:sz w:val="21"/>
        </w:rPr>
        <w:t>to grant </w:t>
      </w:r>
      <w:r>
        <w:rPr>
          <w:w w:val="105"/>
          <w:sz w:val="21"/>
        </w:rPr>
        <w:t>a permit </w:t>
      </w:r>
      <w:r>
        <w:rPr>
          <w:spacing w:val="-3"/>
          <w:w w:val="105"/>
          <w:sz w:val="21"/>
        </w:rPr>
        <w:t>for </w:t>
      </w:r>
      <w:r>
        <w:rPr>
          <w:w w:val="105"/>
          <w:sz w:val="21"/>
        </w:rPr>
        <w:t>proposed tree works, </w:t>
      </w:r>
      <w:r>
        <w:rPr>
          <w:spacing w:val="-3"/>
          <w:w w:val="105"/>
          <w:sz w:val="21"/>
        </w:rPr>
        <w:t>such </w:t>
      </w:r>
      <w:r>
        <w:rPr>
          <w:w w:val="105"/>
          <w:sz w:val="21"/>
        </w:rPr>
        <w:t>as </w:t>
      </w:r>
      <w:r>
        <w:rPr>
          <w:spacing w:val="-3"/>
          <w:w w:val="105"/>
          <w:sz w:val="21"/>
        </w:rPr>
        <w:t>pruning </w:t>
      </w:r>
      <w:r>
        <w:rPr>
          <w:w w:val="105"/>
          <w:sz w:val="21"/>
        </w:rPr>
        <w:t>or tree </w:t>
      </w:r>
      <w:r>
        <w:rPr>
          <w:spacing w:val="-3"/>
          <w:w w:val="105"/>
          <w:sz w:val="21"/>
        </w:rPr>
        <w:t>removal, </w:t>
      </w:r>
      <w:r>
        <w:rPr>
          <w:w w:val="105"/>
          <w:sz w:val="21"/>
        </w:rPr>
        <w:t>the </w:t>
      </w:r>
      <w:r>
        <w:rPr>
          <w:spacing w:val="-3"/>
          <w:w w:val="105"/>
          <w:sz w:val="21"/>
        </w:rPr>
        <w:t>responsible </w:t>
      </w:r>
      <w:r>
        <w:rPr>
          <w:w w:val="105"/>
          <w:sz w:val="21"/>
        </w:rPr>
        <w:t>authority must </w:t>
      </w:r>
      <w:r>
        <w:rPr>
          <w:spacing w:val="-3"/>
          <w:w w:val="105"/>
          <w:sz w:val="21"/>
        </w:rPr>
        <w:t>consider </w:t>
      </w:r>
      <w:r>
        <w:rPr>
          <w:w w:val="105"/>
          <w:sz w:val="21"/>
        </w:rPr>
        <w:t>certain decision-making </w:t>
      </w:r>
      <w:r>
        <w:rPr>
          <w:spacing w:val="-3"/>
          <w:w w:val="105"/>
          <w:sz w:val="21"/>
        </w:rPr>
        <w:t>criteria. Planning </w:t>
      </w:r>
      <w:r>
        <w:rPr>
          <w:w w:val="105"/>
          <w:sz w:val="21"/>
        </w:rPr>
        <w:t>schemes can specify the </w:t>
      </w:r>
      <w:r>
        <w:rPr>
          <w:spacing w:val="-3"/>
          <w:w w:val="105"/>
          <w:sz w:val="21"/>
        </w:rPr>
        <w:t>information that </w:t>
      </w:r>
      <w:r>
        <w:rPr>
          <w:w w:val="105"/>
          <w:sz w:val="21"/>
        </w:rPr>
        <w:t>permit applicants </w:t>
      </w:r>
      <w:r>
        <w:rPr>
          <w:spacing w:val="-3"/>
          <w:w w:val="105"/>
          <w:sz w:val="21"/>
        </w:rPr>
        <w:t>are required to </w:t>
      </w:r>
      <w:r>
        <w:rPr>
          <w:w w:val="105"/>
          <w:sz w:val="21"/>
        </w:rPr>
        <w:t>provide </w:t>
      </w:r>
      <w:r>
        <w:rPr>
          <w:spacing w:val="-3"/>
          <w:w w:val="105"/>
          <w:sz w:val="21"/>
        </w:rPr>
        <w:t>to </w:t>
      </w:r>
      <w:r>
        <w:rPr>
          <w:w w:val="105"/>
          <w:sz w:val="21"/>
        </w:rPr>
        <w:t>the </w:t>
      </w:r>
      <w:r>
        <w:rPr>
          <w:spacing w:val="-3"/>
          <w:w w:val="105"/>
          <w:sz w:val="21"/>
        </w:rPr>
        <w:t>responsible </w:t>
      </w:r>
      <w:r>
        <w:rPr>
          <w:w w:val="105"/>
          <w:sz w:val="21"/>
        </w:rPr>
        <w:t>authority </w:t>
      </w:r>
      <w:r>
        <w:rPr>
          <w:spacing w:val="-3"/>
          <w:w w:val="105"/>
          <w:sz w:val="21"/>
        </w:rPr>
        <w:t>to facilitate informed </w:t>
      </w:r>
      <w:r>
        <w:rPr>
          <w:w w:val="105"/>
          <w:sz w:val="21"/>
        </w:rPr>
        <w:t>decision </w:t>
      </w:r>
      <w:r>
        <w:rPr>
          <w:spacing w:val="-3"/>
          <w:w w:val="105"/>
          <w:sz w:val="21"/>
        </w:rPr>
        <w:t>making. </w:t>
      </w:r>
      <w:r>
        <w:rPr>
          <w:w w:val="105"/>
          <w:sz w:val="21"/>
        </w:rPr>
        <w:t>Often this is done </w:t>
      </w:r>
      <w:r>
        <w:rPr>
          <w:spacing w:val="-3"/>
          <w:w w:val="105"/>
          <w:sz w:val="21"/>
        </w:rPr>
        <w:t>through </w:t>
      </w:r>
      <w:r>
        <w:rPr>
          <w:w w:val="105"/>
          <w:sz w:val="21"/>
        </w:rPr>
        <w:t>local schedules </w:t>
      </w:r>
      <w:r>
        <w:rPr>
          <w:spacing w:val="-3"/>
          <w:w w:val="105"/>
          <w:sz w:val="21"/>
        </w:rPr>
        <w:t>to </w:t>
      </w:r>
      <w:r>
        <w:rPr>
          <w:w w:val="105"/>
          <w:sz w:val="21"/>
        </w:rPr>
        <w:t>the </w:t>
      </w:r>
      <w:r>
        <w:rPr>
          <w:spacing w:val="-3"/>
          <w:w w:val="105"/>
          <w:sz w:val="21"/>
        </w:rPr>
        <w:t>planning scheme. </w:t>
      </w:r>
      <w:r>
        <w:rPr>
          <w:w w:val="105"/>
          <w:sz w:val="21"/>
        </w:rPr>
        <w:t>This </w:t>
      </w:r>
      <w:r>
        <w:rPr>
          <w:spacing w:val="-3"/>
          <w:w w:val="105"/>
          <w:sz w:val="21"/>
        </w:rPr>
        <w:t>information may require </w:t>
      </w:r>
      <w:r>
        <w:rPr>
          <w:w w:val="105"/>
          <w:sz w:val="21"/>
        </w:rPr>
        <w:t>supporting evidence </w:t>
      </w:r>
      <w:r>
        <w:rPr>
          <w:spacing w:val="-3"/>
          <w:w w:val="105"/>
          <w:sz w:val="21"/>
        </w:rPr>
        <w:t>from </w:t>
      </w:r>
      <w:r>
        <w:rPr>
          <w:w w:val="105"/>
          <w:sz w:val="21"/>
        </w:rPr>
        <w:t>an arborist and specify the </w:t>
      </w:r>
      <w:r>
        <w:rPr>
          <w:spacing w:val="-3"/>
          <w:w w:val="105"/>
          <w:sz w:val="21"/>
        </w:rPr>
        <w:t>form </w:t>
      </w:r>
      <w:r>
        <w:rPr>
          <w:w w:val="105"/>
          <w:sz w:val="21"/>
        </w:rPr>
        <w:t>of </w:t>
      </w:r>
      <w:r>
        <w:rPr>
          <w:spacing w:val="-3"/>
          <w:w w:val="105"/>
          <w:sz w:val="21"/>
        </w:rPr>
        <w:t>that</w:t>
      </w:r>
      <w:r>
        <w:rPr>
          <w:spacing w:val="5"/>
          <w:w w:val="105"/>
          <w:sz w:val="21"/>
        </w:rPr>
        <w:t> </w:t>
      </w:r>
      <w:r>
        <w:rPr>
          <w:spacing w:val="-3"/>
          <w:w w:val="105"/>
          <w:sz w:val="21"/>
        </w:rPr>
        <w:t>evidence.</w:t>
      </w:r>
    </w:p>
    <w:p>
      <w:pPr>
        <w:pStyle w:val="ListParagraph"/>
        <w:numPr>
          <w:ilvl w:val="1"/>
          <w:numId w:val="16"/>
        </w:numPr>
        <w:tabs>
          <w:tab w:pos="2381" w:val="left" w:leader="none"/>
          <w:tab w:pos="2382" w:val="left" w:leader="none"/>
        </w:tabs>
        <w:spacing w:line="242" w:lineRule="auto" w:before="129" w:after="0"/>
        <w:ind w:left="2381" w:right="1597" w:hanging="794"/>
        <w:jc w:val="left"/>
        <w:rPr>
          <w:sz w:val="21"/>
        </w:rPr>
      </w:pPr>
      <w:r>
        <w:rPr>
          <w:w w:val="105"/>
          <w:sz w:val="21"/>
        </w:rPr>
        <w:t>Under schedule 1 of the </w:t>
      </w:r>
      <w:r>
        <w:rPr>
          <w:spacing w:val="-3"/>
          <w:w w:val="105"/>
          <w:sz w:val="21"/>
        </w:rPr>
        <w:t>Significant </w:t>
      </w:r>
      <w:r>
        <w:rPr>
          <w:w w:val="105"/>
          <w:sz w:val="21"/>
        </w:rPr>
        <w:t>Landscape Overlay </w:t>
      </w:r>
      <w:r>
        <w:rPr>
          <w:spacing w:val="-3"/>
          <w:w w:val="105"/>
          <w:sz w:val="21"/>
        </w:rPr>
        <w:t>within </w:t>
      </w:r>
      <w:r>
        <w:rPr>
          <w:w w:val="105"/>
          <w:sz w:val="21"/>
        </w:rPr>
        <w:t>the </w:t>
      </w:r>
      <w:r>
        <w:rPr>
          <w:spacing w:val="-3"/>
          <w:w w:val="105"/>
          <w:sz w:val="21"/>
        </w:rPr>
        <w:t>City </w:t>
      </w:r>
      <w:r>
        <w:rPr>
          <w:w w:val="105"/>
          <w:sz w:val="21"/>
        </w:rPr>
        <w:t>of </w:t>
      </w:r>
      <w:r>
        <w:rPr>
          <w:spacing w:val="-3"/>
          <w:w w:val="105"/>
          <w:sz w:val="21"/>
        </w:rPr>
        <w:t>Boroondara Planning</w:t>
      </w:r>
      <w:r>
        <w:rPr>
          <w:spacing w:val="-7"/>
          <w:w w:val="105"/>
          <w:sz w:val="21"/>
        </w:rPr>
        <w:t> </w:t>
      </w:r>
      <w:r>
        <w:rPr>
          <w:spacing w:val="-3"/>
          <w:w w:val="105"/>
          <w:sz w:val="21"/>
        </w:rPr>
        <w:t>Scheme,</w:t>
      </w:r>
      <w:r>
        <w:rPr>
          <w:spacing w:val="-7"/>
          <w:w w:val="105"/>
          <w:sz w:val="21"/>
        </w:rPr>
        <w:t> </w:t>
      </w:r>
      <w:r>
        <w:rPr>
          <w:w w:val="105"/>
          <w:sz w:val="21"/>
        </w:rPr>
        <w:t>the</w:t>
      </w:r>
      <w:r>
        <w:rPr>
          <w:spacing w:val="-7"/>
          <w:w w:val="105"/>
          <w:sz w:val="21"/>
        </w:rPr>
        <w:t> </w:t>
      </w:r>
      <w:r>
        <w:rPr>
          <w:spacing w:val="-3"/>
          <w:w w:val="105"/>
          <w:sz w:val="21"/>
        </w:rPr>
        <w:t>following</w:t>
      </w:r>
      <w:r>
        <w:rPr>
          <w:spacing w:val="-6"/>
          <w:w w:val="105"/>
          <w:sz w:val="21"/>
        </w:rPr>
        <w:t> </w:t>
      </w:r>
      <w:r>
        <w:rPr>
          <w:w w:val="105"/>
          <w:sz w:val="21"/>
        </w:rPr>
        <w:t>evidence</w:t>
      </w:r>
      <w:r>
        <w:rPr>
          <w:spacing w:val="-7"/>
          <w:w w:val="105"/>
          <w:sz w:val="21"/>
        </w:rPr>
        <w:t> </w:t>
      </w:r>
      <w:r>
        <w:rPr>
          <w:w w:val="105"/>
          <w:sz w:val="21"/>
        </w:rPr>
        <w:t>is</w:t>
      </w:r>
      <w:r>
        <w:rPr>
          <w:spacing w:val="-7"/>
          <w:w w:val="105"/>
          <w:sz w:val="21"/>
        </w:rPr>
        <w:t> </w:t>
      </w:r>
      <w:r>
        <w:rPr>
          <w:spacing w:val="-3"/>
          <w:w w:val="105"/>
          <w:sz w:val="21"/>
        </w:rPr>
        <w:t>required</w:t>
      </w:r>
      <w:r>
        <w:rPr>
          <w:spacing w:val="-7"/>
          <w:w w:val="105"/>
          <w:sz w:val="21"/>
        </w:rPr>
        <w:t> </w:t>
      </w:r>
      <w:r>
        <w:rPr>
          <w:spacing w:val="-3"/>
          <w:w w:val="105"/>
          <w:sz w:val="21"/>
        </w:rPr>
        <w:t>to</w:t>
      </w:r>
      <w:r>
        <w:rPr>
          <w:spacing w:val="-6"/>
          <w:w w:val="105"/>
          <w:sz w:val="21"/>
        </w:rPr>
        <w:t> </w:t>
      </w:r>
      <w:r>
        <w:rPr>
          <w:w w:val="105"/>
          <w:sz w:val="21"/>
        </w:rPr>
        <w:t>obtain</w:t>
      </w:r>
      <w:r>
        <w:rPr>
          <w:spacing w:val="-7"/>
          <w:w w:val="105"/>
          <w:sz w:val="21"/>
        </w:rPr>
        <w:t> </w:t>
      </w:r>
      <w:r>
        <w:rPr>
          <w:w w:val="105"/>
          <w:sz w:val="21"/>
        </w:rPr>
        <w:t>a</w:t>
      </w:r>
      <w:r>
        <w:rPr>
          <w:spacing w:val="-7"/>
          <w:w w:val="105"/>
          <w:sz w:val="21"/>
        </w:rPr>
        <w:t> </w:t>
      </w:r>
      <w:r>
        <w:rPr>
          <w:w w:val="105"/>
          <w:sz w:val="21"/>
        </w:rPr>
        <w:t>permit</w:t>
      </w:r>
      <w:r>
        <w:rPr>
          <w:spacing w:val="-7"/>
          <w:w w:val="105"/>
          <w:sz w:val="21"/>
        </w:rPr>
        <w:t> </w:t>
      </w:r>
      <w:r>
        <w:rPr>
          <w:spacing w:val="-3"/>
          <w:w w:val="105"/>
          <w:sz w:val="21"/>
        </w:rPr>
        <w:t>to</w:t>
      </w:r>
      <w:r>
        <w:rPr>
          <w:spacing w:val="-6"/>
          <w:w w:val="105"/>
          <w:sz w:val="21"/>
        </w:rPr>
        <w:t> </w:t>
      </w:r>
      <w:r>
        <w:rPr>
          <w:spacing w:val="-3"/>
          <w:w w:val="105"/>
          <w:sz w:val="21"/>
        </w:rPr>
        <w:t>remove,</w:t>
      </w:r>
      <w:r>
        <w:rPr>
          <w:spacing w:val="-7"/>
          <w:w w:val="105"/>
          <w:sz w:val="21"/>
        </w:rPr>
        <w:t> </w:t>
      </w:r>
      <w:r>
        <w:rPr>
          <w:w w:val="105"/>
          <w:sz w:val="21"/>
        </w:rPr>
        <w:t>destroy or lop</w:t>
      </w:r>
      <w:r>
        <w:rPr>
          <w:spacing w:val="10"/>
          <w:w w:val="105"/>
          <w:sz w:val="21"/>
        </w:rPr>
        <w:t> </w:t>
      </w:r>
      <w:r>
        <w:rPr>
          <w:w w:val="105"/>
          <w:sz w:val="21"/>
        </w:rPr>
        <w:t>vegetation:</w:t>
      </w:r>
    </w:p>
    <w:p>
      <w:pPr>
        <w:pStyle w:val="BodyText"/>
        <w:spacing w:before="1"/>
        <w:rPr>
          <w:sz w:val="20"/>
        </w:rPr>
      </w:pPr>
      <w:r>
        <w:rPr/>
        <w:pict>
          <v:line style="position:absolute;mso-position-horizontal-relative:page;mso-position-vertical-relative:paragraph;z-index:7904;mso-wrap-distance-left:0;mso-wrap-distance-right:0" from="79.370102pt,14.732714pt" to="515.905102pt,14.73271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31"/>
        </w:numPr>
        <w:tabs>
          <w:tab w:pos="2380" w:val="left" w:leader="none"/>
          <w:tab w:pos="2382" w:val="left" w:leader="none"/>
        </w:tabs>
        <w:spacing w:line="240" w:lineRule="auto" w:before="48" w:after="0"/>
        <w:ind w:left="2381" w:right="0" w:hanging="794"/>
        <w:jc w:val="left"/>
        <w:rPr>
          <w:sz w:val="13"/>
        </w:rPr>
      </w:pPr>
      <w:r>
        <w:rPr>
          <w:w w:val="105"/>
          <w:sz w:val="13"/>
        </w:rPr>
        <w:t>Submissions</w:t>
      </w:r>
      <w:r>
        <w:rPr>
          <w:spacing w:val="6"/>
          <w:w w:val="105"/>
          <w:sz w:val="13"/>
        </w:rPr>
        <w:t> </w:t>
      </w:r>
      <w:r>
        <w:rPr>
          <w:w w:val="105"/>
          <w:sz w:val="13"/>
        </w:rPr>
        <w:t>2</w:t>
      </w:r>
      <w:r>
        <w:rPr>
          <w:spacing w:val="6"/>
          <w:w w:val="105"/>
          <w:sz w:val="13"/>
        </w:rPr>
        <w:t> </w:t>
      </w:r>
      <w:r>
        <w:rPr>
          <w:spacing w:val="2"/>
          <w:w w:val="105"/>
          <w:sz w:val="13"/>
        </w:rPr>
        <w:t>(Name</w:t>
      </w:r>
      <w:r>
        <w:rPr>
          <w:spacing w:val="7"/>
          <w:w w:val="105"/>
          <w:sz w:val="13"/>
        </w:rPr>
        <w:t> </w:t>
      </w:r>
      <w:r>
        <w:rPr>
          <w:w w:val="105"/>
          <w:sz w:val="13"/>
        </w:rPr>
        <w:t>withheld),</w:t>
      </w:r>
      <w:r>
        <w:rPr>
          <w:spacing w:val="6"/>
          <w:w w:val="105"/>
          <w:sz w:val="13"/>
        </w:rPr>
        <w:t> </w:t>
      </w:r>
      <w:r>
        <w:rPr>
          <w:spacing w:val="-4"/>
          <w:w w:val="105"/>
          <w:sz w:val="13"/>
        </w:rPr>
        <w:t>12</w:t>
      </w:r>
      <w:r>
        <w:rPr>
          <w:spacing w:val="6"/>
          <w:w w:val="105"/>
          <w:sz w:val="13"/>
        </w:rPr>
        <w:t> </w:t>
      </w:r>
      <w:r>
        <w:rPr>
          <w:spacing w:val="3"/>
          <w:w w:val="105"/>
          <w:sz w:val="13"/>
        </w:rPr>
        <w:t>(Dr</w:t>
      </w:r>
      <w:r>
        <w:rPr>
          <w:spacing w:val="7"/>
          <w:w w:val="105"/>
          <w:sz w:val="13"/>
        </w:rPr>
        <w:t> </w:t>
      </w:r>
      <w:r>
        <w:rPr>
          <w:w w:val="105"/>
          <w:sz w:val="13"/>
        </w:rPr>
        <w:t>Gregory</w:t>
      </w:r>
      <w:r>
        <w:rPr>
          <w:spacing w:val="6"/>
          <w:w w:val="105"/>
          <w:sz w:val="13"/>
        </w:rPr>
        <w:t> </w:t>
      </w:r>
      <w:r>
        <w:rPr>
          <w:w w:val="105"/>
          <w:sz w:val="13"/>
        </w:rPr>
        <w:t>Moore</w:t>
      </w:r>
      <w:r>
        <w:rPr>
          <w:spacing w:val="6"/>
          <w:w w:val="105"/>
          <w:sz w:val="13"/>
        </w:rPr>
        <w:t> </w:t>
      </w:r>
      <w:r>
        <w:rPr>
          <w:spacing w:val="2"/>
          <w:w w:val="105"/>
          <w:sz w:val="13"/>
        </w:rPr>
        <w:t>OAM),</w:t>
      </w:r>
      <w:r>
        <w:rPr>
          <w:spacing w:val="7"/>
          <w:w w:val="105"/>
          <w:sz w:val="13"/>
        </w:rPr>
        <w:t> </w:t>
      </w:r>
      <w:r>
        <w:rPr>
          <w:w w:val="105"/>
          <w:sz w:val="13"/>
        </w:rPr>
        <w:t>18</w:t>
      </w:r>
      <w:r>
        <w:rPr>
          <w:spacing w:val="6"/>
          <w:w w:val="105"/>
          <w:sz w:val="13"/>
        </w:rPr>
        <w:t> </w:t>
      </w:r>
      <w:r>
        <w:rPr>
          <w:w w:val="105"/>
          <w:sz w:val="13"/>
        </w:rPr>
        <w:t>(ENSPEC),</w:t>
      </w:r>
      <w:r>
        <w:rPr>
          <w:spacing w:val="7"/>
          <w:w w:val="105"/>
          <w:sz w:val="13"/>
        </w:rPr>
        <w:t> </w:t>
      </w:r>
      <w:r>
        <w:rPr>
          <w:w w:val="105"/>
          <w:sz w:val="13"/>
        </w:rPr>
        <w:t>20</w:t>
      </w:r>
      <w:r>
        <w:rPr>
          <w:spacing w:val="6"/>
          <w:w w:val="105"/>
          <w:sz w:val="13"/>
        </w:rPr>
        <w:t> </w:t>
      </w:r>
      <w:r>
        <w:rPr>
          <w:spacing w:val="2"/>
          <w:w w:val="105"/>
          <w:sz w:val="13"/>
        </w:rPr>
        <w:t>(Name</w:t>
      </w:r>
      <w:r>
        <w:rPr>
          <w:spacing w:val="6"/>
          <w:w w:val="105"/>
          <w:sz w:val="13"/>
        </w:rPr>
        <w:t> </w:t>
      </w:r>
      <w:r>
        <w:rPr>
          <w:w w:val="105"/>
          <w:sz w:val="13"/>
        </w:rPr>
        <w:t>withheld),</w:t>
      </w:r>
      <w:r>
        <w:rPr>
          <w:spacing w:val="7"/>
          <w:w w:val="105"/>
          <w:sz w:val="13"/>
        </w:rPr>
        <w:t> </w:t>
      </w:r>
      <w:r>
        <w:rPr>
          <w:w w:val="105"/>
          <w:sz w:val="13"/>
        </w:rPr>
        <w:t>25</w:t>
      </w:r>
      <w:r>
        <w:rPr>
          <w:spacing w:val="6"/>
          <w:w w:val="105"/>
          <w:sz w:val="13"/>
        </w:rPr>
        <w:t> </w:t>
      </w:r>
      <w:r>
        <w:rPr>
          <w:w w:val="105"/>
          <w:sz w:val="13"/>
        </w:rPr>
        <w:t>(City</w:t>
      </w:r>
      <w:r>
        <w:rPr>
          <w:spacing w:val="6"/>
          <w:w w:val="105"/>
          <w:sz w:val="13"/>
        </w:rPr>
        <w:t> </w:t>
      </w:r>
      <w:r>
        <w:rPr>
          <w:w w:val="105"/>
          <w:sz w:val="13"/>
        </w:rPr>
        <w:t>of</w:t>
      </w:r>
      <w:r>
        <w:rPr>
          <w:spacing w:val="7"/>
          <w:w w:val="105"/>
          <w:sz w:val="13"/>
        </w:rPr>
        <w:t> </w:t>
      </w:r>
      <w:r>
        <w:rPr>
          <w:w w:val="105"/>
          <w:sz w:val="13"/>
        </w:rPr>
        <w:t>Boroondara).</w:t>
      </w:r>
    </w:p>
    <w:p>
      <w:pPr>
        <w:pStyle w:val="ListParagraph"/>
        <w:numPr>
          <w:ilvl w:val="0"/>
          <w:numId w:val="131"/>
        </w:numPr>
        <w:tabs>
          <w:tab w:pos="2380" w:val="left" w:leader="none"/>
          <w:tab w:pos="2382" w:val="left" w:leader="none"/>
        </w:tabs>
        <w:spacing w:line="240" w:lineRule="auto" w:before="1" w:after="0"/>
        <w:ind w:left="2381" w:right="0" w:hanging="794"/>
        <w:jc w:val="left"/>
        <w:rPr>
          <w:sz w:val="13"/>
        </w:rPr>
      </w:pPr>
      <w:r>
        <w:rPr>
          <w:w w:val="105"/>
          <w:sz w:val="13"/>
        </w:rPr>
        <w:t>Consultation 9 (Nillumbik Shire</w:t>
      </w:r>
      <w:r>
        <w:rPr>
          <w:spacing w:val="19"/>
          <w:w w:val="105"/>
          <w:sz w:val="13"/>
        </w:rPr>
        <w:t> </w:t>
      </w:r>
      <w:r>
        <w:rPr>
          <w:w w:val="105"/>
          <w:sz w:val="13"/>
        </w:rPr>
        <w:t>Council).</w:t>
      </w:r>
    </w:p>
    <w:p>
      <w:pPr>
        <w:pStyle w:val="ListParagraph"/>
        <w:numPr>
          <w:ilvl w:val="0"/>
          <w:numId w:val="131"/>
        </w:numPr>
        <w:tabs>
          <w:tab w:pos="2380" w:val="left" w:leader="none"/>
          <w:tab w:pos="2382" w:val="left" w:leader="none"/>
        </w:tabs>
        <w:spacing w:line="240" w:lineRule="auto" w:before="2" w:after="0"/>
        <w:ind w:left="2381" w:right="0" w:hanging="794"/>
        <w:jc w:val="left"/>
        <w:rPr>
          <w:sz w:val="13"/>
        </w:rPr>
      </w:pPr>
      <w:r>
        <w:rPr>
          <w:w w:val="105"/>
          <w:sz w:val="13"/>
        </w:rPr>
        <w:t>Consultations 8 (City of Boroondara),12 (City of Port</w:t>
      </w:r>
      <w:r>
        <w:rPr>
          <w:spacing w:val="7"/>
          <w:w w:val="105"/>
          <w:sz w:val="13"/>
        </w:rPr>
        <w:t> </w:t>
      </w:r>
      <w:r>
        <w:rPr>
          <w:w w:val="105"/>
          <w:sz w:val="13"/>
        </w:rPr>
        <w:t>Phillip).</w:t>
      </w:r>
    </w:p>
    <w:p>
      <w:pPr>
        <w:pStyle w:val="ListParagraph"/>
        <w:numPr>
          <w:ilvl w:val="0"/>
          <w:numId w:val="131"/>
        </w:numPr>
        <w:tabs>
          <w:tab w:pos="2380" w:val="left" w:leader="none"/>
          <w:tab w:pos="2382" w:val="left" w:leader="none"/>
        </w:tabs>
        <w:spacing w:line="240" w:lineRule="auto" w:before="1" w:after="0"/>
        <w:ind w:left="2381" w:right="0" w:hanging="794"/>
        <w:jc w:val="left"/>
        <w:rPr>
          <w:sz w:val="13"/>
        </w:rPr>
      </w:pPr>
      <w:r>
        <w:rPr>
          <w:w w:val="105"/>
          <w:sz w:val="13"/>
        </w:rPr>
        <w:t>Submission 4 </w:t>
      </w:r>
      <w:r>
        <w:rPr>
          <w:spacing w:val="2"/>
          <w:w w:val="105"/>
          <w:sz w:val="13"/>
        </w:rPr>
        <w:t>(Name</w:t>
      </w:r>
      <w:r>
        <w:rPr>
          <w:spacing w:val="21"/>
          <w:w w:val="105"/>
          <w:sz w:val="13"/>
        </w:rPr>
        <w:t> </w:t>
      </w:r>
      <w:r>
        <w:rPr>
          <w:w w:val="105"/>
          <w:sz w:val="13"/>
        </w:rPr>
        <w:t>withheld).</w:t>
      </w:r>
    </w:p>
    <w:p>
      <w:pPr>
        <w:pStyle w:val="ListParagraph"/>
        <w:numPr>
          <w:ilvl w:val="0"/>
          <w:numId w:val="131"/>
        </w:numPr>
        <w:tabs>
          <w:tab w:pos="2380" w:val="left" w:leader="none"/>
          <w:tab w:pos="2382" w:val="left" w:leader="none"/>
        </w:tabs>
        <w:spacing w:line="240" w:lineRule="auto" w:before="1" w:after="0"/>
        <w:ind w:left="2381" w:right="0" w:hanging="794"/>
        <w:jc w:val="left"/>
        <w:rPr>
          <w:sz w:val="13"/>
        </w:rPr>
      </w:pPr>
      <w:r>
        <w:rPr>
          <w:w w:val="105"/>
          <w:sz w:val="13"/>
        </w:rPr>
        <w:t>Submission 9 </w:t>
      </w:r>
      <w:r>
        <w:rPr>
          <w:spacing w:val="3"/>
          <w:w w:val="105"/>
          <w:sz w:val="13"/>
        </w:rPr>
        <w:t>(Dr </w:t>
      </w:r>
      <w:r>
        <w:rPr>
          <w:w w:val="105"/>
          <w:sz w:val="13"/>
        </w:rPr>
        <w:t>Karen</w:t>
      </w:r>
      <w:r>
        <w:rPr>
          <w:spacing w:val="27"/>
          <w:w w:val="105"/>
          <w:sz w:val="13"/>
        </w:rPr>
        <w:t> </w:t>
      </w:r>
      <w:r>
        <w:rPr>
          <w:w w:val="105"/>
          <w:sz w:val="13"/>
        </w:rPr>
        <w:t>Smith).</w:t>
      </w:r>
    </w:p>
    <w:p>
      <w:pPr>
        <w:pStyle w:val="ListParagraph"/>
        <w:numPr>
          <w:ilvl w:val="0"/>
          <w:numId w:val="131"/>
        </w:numPr>
        <w:tabs>
          <w:tab w:pos="2380" w:val="left" w:leader="none"/>
          <w:tab w:pos="2382" w:val="left" w:leader="none"/>
        </w:tabs>
        <w:spacing w:line="240" w:lineRule="auto" w:before="2" w:after="0"/>
        <w:ind w:left="2381" w:right="0" w:hanging="794"/>
        <w:jc w:val="left"/>
        <w:rPr>
          <w:sz w:val="13"/>
        </w:rPr>
      </w:pPr>
      <w:r>
        <w:rPr>
          <w:w w:val="105"/>
          <w:sz w:val="13"/>
        </w:rPr>
        <w:t>Submission 4 </w:t>
      </w:r>
      <w:r>
        <w:rPr>
          <w:spacing w:val="2"/>
          <w:w w:val="105"/>
          <w:sz w:val="13"/>
        </w:rPr>
        <w:t>(Name </w:t>
      </w:r>
      <w:r>
        <w:rPr>
          <w:w w:val="105"/>
          <w:sz w:val="13"/>
        </w:rPr>
        <w:t>withheld); Consultation 8 (City of</w:t>
      </w:r>
      <w:r>
        <w:rPr>
          <w:spacing w:val="6"/>
          <w:w w:val="105"/>
          <w:sz w:val="13"/>
        </w:rPr>
        <w:t> </w:t>
      </w:r>
      <w:r>
        <w:rPr>
          <w:w w:val="105"/>
          <w:sz w:val="13"/>
        </w:rPr>
        <w:t>Boroondara).</w:t>
      </w:r>
    </w:p>
    <w:p>
      <w:pPr>
        <w:pStyle w:val="ListParagraph"/>
        <w:numPr>
          <w:ilvl w:val="0"/>
          <w:numId w:val="131"/>
        </w:numPr>
        <w:tabs>
          <w:tab w:pos="2380" w:val="left" w:leader="none"/>
          <w:tab w:pos="2382" w:val="left" w:leader="none"/>
        </w:tabs>
        <w:spacing w:line="240" w:lineRule="auto" w:before="1" w:after="0"/>
        <w:ind w:left="2381" w:right="0" w:hanging="794"/>
        <w:jc w:val="left"/>
        <w:rPr>
          <w:sz w:val="13"/>
        </w:rPr>
      </w:pPr>
      <w:r>
        <w:rPr>
          <w:sz w:val="13"/>
        </w:rPr>
        <w:t>Arboriculture Australia, </w:t>
      </w:r>
      <w:r>
        <w:rPr>
          <w:i/>
          <w:sz w:val="13"/>
        </w:rPr>
        <w:t>Australian Qualification Framework (AQF) and Australian Training Programs </w:t>
      </w:r>
      <w:r>
        <w:rPr>
          <w:sz w:val="13"/>
        </w:rPr>
        <w:t>(Web Page) &lt;</w:t>
      </w:r>
      <w:hyperlink r:id="rId213">
        <w:r>
          <w:rPr>
            <w:sz w:val="13"/>
          </w:rPr>
          <w:t>http://arboriculture.org.</w:t>
        </w:r>
      </w:hyperlink>
      <w:r>
        <w:rPr>
          <w:sz w:val="13"/>
        </w:rPr>
        <w:t> </w:t>
      </w:r>
      <w:r>
        <w:rPr>
          <w:spacing w:val="2"/>
          <w:sz w:val="13"/>
        </w:rPr>
        <w:t>au/Qualification&gt;.</w:t>
      </w:r>
    </w:p>
    <w:p>
      <w:pPr>
        <w:pStyle w:val="ListParagraph"/>
        <w:numPr>
          <w:ilvl w:val="0"/>
          <w:numId w:val="131"/>
        </w:numPr>
        <w:tabs>
          <w:tab w:pos="2380" w:val="left" w:leader="none"/>
          <w:tab w:pos="2382" w:val="left" w:leader="none"/>
        </w:tabs>
        <w:spacing w:line="240" w:lineRule="auto" w:before="3" w:after="0"/>
        <w:ind w:left="2381" w:right="0" w:hanging="794"/>
        <w:jc w:val="left"/>
        <w:rPr>
          <w:sz w:val="13"/>
        </w:rPr>
      </w:pPr>
      <w:r>
        <w:rPr>
          <w:w w:val="105"/>
          <w:sz w:val="13"/>
        </w:rPr>
        <w:t>Submission</w:t>
      </w:r>
      <w:r>
        <w:rPr>
          <w:spacing w:val="7"/>
          <w:w w:val="105"/>
          <w:sz w:val="13"/>
        </w:rPr>
        <w:t> </w:t>
      </w:r>
      <w:r>
        <w:rPr>
          <w:w w:val="105"/>
          <w:sz w:val="13"/>
        </w:rPr>
        <w:t>18</w:t>
      </w:r>
      <w:r>
        <w:rPr>
          <w:spacing w:val="7"/>
          <w:w w:val="105"/>
          <w:sz w:val="13"/>
        </w:rPr>
        <w:t> </w:t>
      </w:r>
      <w:r>
        <w:rPr>
          <w:w w:val="105"/>
          <w:sz w:val="13"/>
        </w:rPr>
        <w:t>(ENSPEC);</w:t>
      </w:r>
      <w:r>
        <w:rPr>
          <w:spacing w:val="8"/>
          <w:w w:val="105"/>
          <w:sz w:val="13"/>
        </w:rPr>
        <w:t> </w:t>
      </w:r>
      <w:r>
        <w:rPr>
          <w:w w:val="105"/>
          <w:sz w:val="13"/>
        </w:rPr>
        <w:t>Consultations</w:t>
      </w:r>
      <w:r>
        <w:rPr>
          <w:spacing w:val="7"/>
          <w:w w:val="105"/>
          <w:sz w:val="13"/>
        </w:rPr>
        <w:t> </w:t>
      </w:r>
      <w:r>
        <w:rPr>
          <w:w w:val="105"/>
          <w:sz w:val="13"/>
        </w:rPr>
        <w:t>4</w:t>
      </w:r>
      <w:r>
        <w:rPr>
          <w:spacing w:val="8"/>
          <w:w w:val="105"/>
          <w:sz w:val="13"/>
        </w:rPr>
        <w:t> </w:t>
      </w:r>
      <w:r>
        <w:rPr>
          <w:w w:val="105"/>
          <w:sz w:val="13"/>
        </w:rPr>
        <w:t>(Participants</w:t>
      </w:r>
      <w:r>
        <w:rPr>
          <w:spacing w:val="7"/>
          <w:w w:val="105"/>
          <w:sz w:val="13"/>
        </w:rPr>
        <w:t> </w:t>
      </w:r>
      <w:r>
        <w:rPr>
          <w:w w:val="105"/>
          <w:sz w:val="13"/>
        </w:rPr>
        <w:t>in</w:t>
      </w:r>
      <w:r>
        <w:rPr>
          <w:spacing w:val="7"/>
          <w:w w:val="105"/>
          <w:sz w:val="13"/>
        </w:rPr>
        <w:t> </w:t>
      </w:r>
      <w:r>
        <w:rPr>
          <w:w w:val="105"/>
          <w:sz w:val="13"/>
        </w:rPr>
        <w:t>facilitated</w:t>
      </w:r>
      <w:r>
        <w:rPr>
          <w:spacing w:val="8"/>
          <w:w w:val="105"/>
          <w:sz w:val="13"/>
        </w:rPr>
        <w:t> </w:t>
      </w:r>
      <w:r>
        <w:rPr>
          <w:w w:val="105"/>
          <w:sz w:val="13"/>
        </w:rPr>
        <w:t>discussion</w:t>
      </w:r>
      <w:r>
        <w:rPr>
          <w:spacing w:val="7"/>
          <w:w w:val="105"/>
          <w:sz w:val="13"/>
        </w:rPr>
        <w:t> </w:t>
      </w:r>
      <w:r>
        <w:rPr>
          <w:w w:val="105"/>
          <w:sz w:val="13"/>
        </w:rPr>
        <w:t>at</w:t>
      </w:r>
      <w:r>
        <w:rPr>
          <w:spacing w:val="8"/>
          <w:w w:val="105"/>
          <w:sz w:val="13"/>
        </w:rPr>
        <w:t> </w:t>
      </w:r>
      <w:r>
        <w:rPr>
          <w:spacing w:val="4"/>
          <w:w w:val="105"/>
          <w:sz w:val="13"/>
        </w:rPr>
        <w:t>VTIO</w:t>
      </w:r>
      <w:r>
        <w:rPr>
          <w:spacing w:val="7"/>
          <w:w w:val="105"/>
          <w:sz w:val="13"/>
        </w:rPr>
        <w:t> </w:t>
      </w:r>
      <w:r>
        <w:rPr>
          <w:w w:val="105"/>
          <w:sz w:val="13"/>
        </w:rPr>
        <w:t>ArborCamp2018),</w:t>
      </w:r>
      <w:r>
        <w:rPr>
          <w:spacing w:val="7"/>
          <w:w w:val="105"/>
          <w:sz w:val="13"/>
        </w:rPr>
        <w:t> </w:t>
      </w:r>
      <w:r>
        <w:rPr>
          <w:w w:val="105"/>
          <w:sz w:val="13"/>
        </w:rPr>
        <w:t>8</w:t>
      </w:r>
      <w:r>
        <w:rPr>
          <w:spacing w:val="8"/>
          <w:w w:val="105"/>
          <w:sz w:val="13"/>
        </w:rPr>
        <w:t> </w:t>
      </w:r>
      <w:r>
        <w:rPr>
          <w:w w:val="105"/>
          <w:sz w:val="13"/>
        </w:rPr>
        <w:t>(City</w:t>
      </w:r>
      <w:r>
        <w:rPr>
          <w:spacing w:val="7"/>
          <w:w w:val="105"/>
          <w:sz w:val="13"/>
        </w:rPr>
        <w:t> </w:t>
      </w:r>
      <w:r>
        <w:rPr>
          <w:w w:val="105"/>
          <w:sz w:val="13"/>
        </w:rPr>
        <w:t>of</w:t>
      </w:r>
      <w:r>
        <w:rPr>
          <w:spacing w:val="8"/>
          <w:w w:val="105"/>
          <w:sz w:val="13"/>
        </w:rPr>
        <w:t> </w:t>
      </w:r>
      <w:r>
        <w:rPr>
          <w:w w:val="105"/>
          <w:sz w:val="13"/>
        </w:rPr>
        <w:t>Boroondara),</w:t>
      </w:r>
    </w:p>
    <w:p>
      <w:pPr>
        <w:spacing w:before="1"/>
        <w:ind w:left="2381" w:right="0" w:firstLine="0"/>
        <w:jc w:val="left"/>
        <w:rPr>
          <w:sz w:val="13"/>
        </w:rPr>
      </w:pPr>
      <w:r>
        <w:rPr>
          <w:w w:val="105"/>
          <w:sz w:val="13"/>
        </w:rPr>
        <w:t>9 (Nillumbik Shire Council), 10 (Baw Baw Shire Council), 11 (Land and Environment Court of New South Wales), 14 (Robert Mineo).</w:t>
      </w:r>
    </w:p>
    <w:p>
      <w:pPr>
        <w:pStyle w:val="ListParagraph"/>
        <w:numPr>
          <w:ilvl w:val="0"/>
          <w:numId w:val="131"/>
        </w:numPr>
        <w:tabs>
          <w:tab w:pos="2380" w:val="left" w:leader="none"/>
          <w:tab w:pos="2382" w:val="left" w:leader="none"/>
        </w:tabs>
        <w:spacing w:line="240" w:lineRule="auto" w:before="1" w:after="0"/>
        <w:ind w:left="2381" w:right="0" w:hanging="794"/>
        <w:jc w:val="left"/>
        <w:rPr>
          <w:sz w:val="13"/>
        </w:rPr>
      </w:pPr>
      <w:r>
        <w:rPr>
          <w:w w:val="105"/>
          <w:sz w:val="13"/>
        </w:rPr>
        <w:t>Consultations</w:t>
      </w:r>
      <w:r>
        <w:rPr>
          <w:spacing w:val="4"/>
          <w:w w:val="105"/>
          <w:sz w:val="13"/>
        </w:rPr>
        <w:t> </w:t>
      </w:r>
      <w:r>
        <w:rPr>
          <w:w w:val="105"/>
          <w:sz w:val="13"/>
        </w:rPr>
        <w:t>5</w:t>
      </w:r>
      <w:r>
        <w:rPr>
          <w:spacing w:val="5"/>
          <w:w w:val="105"/>
          <w:sz w:val="13"/>
        </w:rPr>
        <w:t> </w:t>
      </w:r>
      <w:r>
        <w:rPr>
          <w:spacing w:val="2"/>
          <w:w w:val="105"/>
          <w:sz w:val="13"/>
        </w:rPr>
        <w:t>(Victorian</w:t>
      </w:r>
      <w:r>
        <w:rPr>
          <w:spacing w:val="4"/>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4"/>
          <w:w w:val="105"/>
          <w:sz w:val="13"/>
        </w:rPr>
        <w:t> </w:t>
      </w:r>
      <w:r>
        <w:rPr>
          <w:w w:val="105"/>
          <w:sz w:val="13"/>
        </w:rPr>
        <w:t>Tribunal),</w:t>
      </w:r>
      <w:r>
        <w:rPr>
          <w:spacing w:val="5"/>
          <w:w w:val="105"/>
          <w:sz w:val="13"/>
        </w:rPr>
        <w:t> </w:t>
      </w:r>
      <w:r>
        <w:rPr>
          <w:w w:val="105"/>
          <w:sz w:val="13"/>
        </w:rPr>
        <w:t>10</w:t>
      </w:r>
      <w:r>
        <w:rPr>
          <w:spacing w:val="5"/>
          <w:w w:val="105"/>
          <w:sz w:val="13"/>
        </w:rPr>
        <w:t> </w:t>
      </w:r>
      <w:r>
        <w:rPr>
          <w:spacing w:val="2"/>
          <w:w w:val="105"/>
          <w:sz w:val="13"/>
        </w:rPr>
        <w:t>(Baw</w:t>
      </w:r>
      <w:r>
        <w:rPr>
          <w:spacing w:val="4"/>
          <w:w w:val="105"/>
          <w:sz w:val="13"/>
        </w:rPr>
        <w:t> </w:t>
      </w:r>
      <w:r>
        <w:rPr>
          <w:w w:val="105"/>
          <w:sz w:val="13"/>
        </w:rPr>
        <w:t>Baw</w:t>
      </w:r>
      <w:r>
        <w:rPr>
          <w:spacing w:val="5"/>
          <w:w w:val="105"/>
          <w:sz w:val="13"/>
        </w:rPr>
        <w:t> </w:t>
      </w:r>
      <w:r>
        <w:rPr>
          <w:w w:val="105"/>
          <w:sz w:val="13"/>
        </w:rPr>
        <w:t>Shire</w:t>
      </w:r>
      <w:r>
        <w:rPr>
          <w:spacing w:val="5"/>
          <w:w w:val="105"/>
          <w:sz w:val="13"/>
        </w:rPr>
        <w:t> </w:t>
      </w:r>
      <w:r>
        <w:rPr>
          <w:w w:val="105"/>
          <w:sz w:val="13"/>
        </w:rPr>
        <w:t>Council),</w:t>
      </w:r>
      <w:r>
        <w:rPr>
          <w:spacing w:val="4"/>
          <w:w w:val="105"/>
          <w:sz w:val="13"/>
        </w:rPr>
        <w:t> </w:t>
      </w:r>
      <w:r>
        <w:rPr>
          <w:spacing w:val="-3"/>
          <w:w w:val="105"/>
          <w:sz w:val="13"/>
        </w:rPr>
        <w:t>14</w:t>
      </w:r>
      <w:r>
        <w:rPr>
          <w:spacing w:val="5"/>
          <w:w w:val="105"/>
          <w:sz w:val="13"/>
        </w:rPr>
        <w:t> </w:t>
      </w:r>
      <w:r>
        <w:rPr>
          <w:spacing w:val="2"/>
          <w:w w:val="105"/>
          <w:sz w:val="13"/>
        </w:rPr>
        <w:t>(Robert</w:t>
      </w:r>
      <w:r>
        <w:rPr>
          <w:spacing w:val="5"/>
          <w:w w:val="105"/>
          <w:sz w:val="13"/>
        </w:rPr>
        <w:t> </w:t>
      </w:r>
      <w:r>
        <w:rPr>
          <w:spacing w:val="2"/>
          <w:w w:val="105"/>
          <w:sz w:val="13"/>
        </w:rPr>
        <w:t>Mineo).</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spacing w:before="176"/>
        <w:ind w:left="670" w:right="575" w:firstLine="0"/>
        <w:jc w:val="center"/>
        <w:rPr>
          <w:b/>
          <w:sz w:val="24"/>
        </w:rPr>
      </w:pPr>
      <w:r>
        <w:rPr>
          <w:b/>
          <w:color w:val="658464"/>
          <w:w w:val="110"/>
          <w:sz w:val="24"/>
        </w:rPr>
        <w:t>177</w:t>
      </w:r>
    </w:p>
    <w:p>
      <w:pPr>
        <w:spacing w:after="0"/>
        <w:jc w:val="center"/>
        <w:rPr>
          <w:sz w:val="24"/>
        </w:rPr>
        <w:sectPr>
          <w:type w:val="continuous"/>
          <w:pgSz w:w="11910" w:h="16840"/>
          <w:pgMar w:top="300" w:bottom="280" w:left="0" w:right="0"/>
          <w:cols w:num="2" w:equalWidth="0">
            <w:col w:w="10183" w:space="40"/>
            <w:col w:w="1687"/>
          </w:cols>
        </w:sectPr>
      </w:pPr>
    </w:p>
    <w:p>
      <w:pPr>
        <w:pStyle w:val="BodyText"/>
        <w:spacing w:before="9"/>
        <w:rPr>
          <w:b/>
          <w:sz w:val="22"/>
        </w:rPr>
      </w:pPr>
    </w:p>
    <w:p>
      <w:pPr>
        <w:pStyle w:val="ListParagraph"/>
        <w:numPr>
          <w:ilvl w:val="1"/>
          <w:numId w:val="131"/>
        </w:numPr>
        <w:tabs>
          <w:tab w:pos="2721" w:val="left" w:leader="none"/>
          <w:tab w:pos="2722" w:val="left" w:leader="none"/>
        </w:tabs>
        <w:spacing w:line="242" w:lineRule="auto" w:before="92" w:after="0"/>
        <w:ind w:left="2721" w:right="1628" w:hanging="340"/>
        <w:jc w:val="left"/>
        <w:rPr>
          <w:sz w:val="12"/>
        </w:rPr>
      </w:pPr>
      <w:r>
        <w:rPr>
          <w:w w:val="105"/>
          <w:sz w:val="21"/>
        </w:rPr>
        <w:t>a</w:t>
      </w:r>
      <w:r>
        <w:rPr>
          <w:spacing w:val="-12"/>
          <w:w w:val="105"/>
          <w:sz w:val="21"/>
        </w:rPr>
        <w:t> </w:t>
      </w:r>
      <w:r>
        <w:rPr>
          <w:w w:val="105"/>
          <w:sz w:val="21"/>
        </w:rPr>
        <w:t>written</w:t>
      </w:r>
      <w:r>
        <w:rPr>
          <w:spacing w:val="-12"/>
          <w:w w:val="105"/>
          <w:sz w:val="21"/>
        </w:rPr>
        <w:t> </w:t>
      </w:r>
      <w:r>
        <w:rPr>
          <w:spacing w:val="-2"/>
          <w:w w:val="105"/>
          <w:sz w:val="21"/>
        </w:rPr>
        <w:t>explanation</w:t>
      </w:r>
      <w:r>
        <w:rPr>
          <w:spacing w:val="-11"/>
          <w:w w:val="105"/>
          <w:sz w:val="21"/>
        </w:rPr>
        <w:t> </w:t>
      </w:r>
      <w:r>
        <w:rPr>
          <w:w w:val="105"/>
          <w:sz w:val="21"/>
        </w:rPr>
        <w:t>justifying</w:t>
      </w:r>
      <w:r>
        <w:rPr>
          <w:spacing w:val="-12"/>
          <w:w w:val="105"/>
          <w:sz w:val="21"/>
        </w:rPr>
        <w:t> </w:t>
      </w:r>
      <w:r>
        <w:rPr>
          <w:w w:val="105"/>
          <w:sz w:val="21"/>
        </w:rPr>
        <w:t>the</w:t>
      </w:r>
      <w:r>
        <w:rPr>
          <w:spacing w:val="-12"/>
          <w:w w:val="105"/>
          <w:sz w:val="21"/>
        </w:rPr>
        <w:t> </w:t>
      </w:r>
      <w:r>
        <w:rPr>
          <w:spacing w:val="-3"/>
          <w:w w:val="105"/>
          <w:sz w:val="21"/>
        </w:rPr>
        <w:t>removal</w:t>
      </w:r>
      <w:r>
        <w:rPr>
          <w:spacing w:val="-11"/>
          <w:w w:val="105"/>
          <w:sz w:val="21"/>
        </w:rPr>
        <w:t> </w:t>
      </w:r>
      <w:r>
        <w:rPr>
          <w:w w:val="105"/>
          <w:sz w:val="21"/>
        </w:rPr>
        <w:t>of</w:t>
      </w:r>
      <w:r>
        <w:rPr>
          <w:spacing w:val="-12"/>
          <w:w w:val="105"/>
          <w:sz w:val="21"/>
        </w:rPr>
        <w:t> </w:t>
      </w:r>
      <w:r>
        <w:rPr>
          <w:w w:val="105"/>
          <w:sz w:val="21"/>
        </w:rPr>
        <w:t>the</w:t>
      </w:r>
      <w:r>
        <w:rPr>
          <w:spacing w:val="-11"/>
          <w:w w:val="105"/>
          <w:sz w:val="21"/>
        </w:rPr>
        <w:t> </w:t>
      </w:r>
      <w:r>
        <w:rPr>
          <w:w w:val="105"/>
          <w:sz w:val="21"/>
        </w:rPr>
        <w:t>vegetation,</w:t>
      </w:r>
      <w:r>
        <w:rPr>
          <w:spacing w:val="-12"/>
          <w:w w:val="105"/>
          <w:sz w:val="21"/>
        </w:rPr>
        <w:t> </w:t>
      </w:r>
      <w:r>
        <w:rPr>
          <w:w w:val="105"/>
          <w:sz w:val="21"/>
        </w:rPr>
        <w:t>supported</w:t>
      </w:r>
      <w:r>
        <w:rPr>
          <w:spacing w:val="-12"/>
          <w:w w:val="105"/>
          <w:sz w:val="21"/>
        </w:rPr>
        <w:t> </w:t>
      </w:r>
      <w:r>
        <w:rPr>
          <w:w w:val="105"/>
          <w:sz w:val="21"/>
        </w:rPr>
        <w:t>by</w:t>
      </w:r>
      <w:r>
        <w:rPr>
          <w:spacing w:val="-11"/>
          <w:w w:val="105"/>
          <w:sz w:val="21"/>
        </w:rPr>
        <w:t> </w:t>
      </w:r>
      <w:r>
        <w:rPr>
          <w:w w:val="105"/>
          <w:sz w:val="21"/>
        </w:rPr>
        <w:t>a</w:t>
      </w:r>
      <w:r>
        <w:rPr>
          <w:spacing w:val="-12"/>
          <w:w w:val="105"/>
          <w:sz w:val="21"/>
        </w:rPr>
        <w:t> </w:t>
      </w:r>
      <w:r>
        <w:rPr>
          <w:w w:val="105"/>
          <w:sz w:val="21"/>
        </w:rPr>
        <w:t>suitably qualified</w:t>
      </w:r>
      <w:r>
        <w:rPr>
          <w:spacing w:val="5"/>
          <w:w w:val="105"/>
          <w:sz w:val="21"/>
        </w:rPr>
        <w:t> </w:t>
      </w:r>
      <w:r>
        <w:rPr>
          <w:spacing w:val="-5"/>
          <w:w w:val="105"/>
          <w:sz w:val="21"/>
        </w:rPr>
        <w:t>arborist</w:t>
      </w:r>
      <w:r>
        <w:rPr>
          <w:spacing w:val="-5"/>
          <w:w w:val="105"/>
          <w:position w:val="7"/>
          <w:sz w:val="12"/>
        </w:rPr>
        <w:t>111</w:t>
      </w:r>
    </w:p>
    <w:p>
      <w:pPr>
        <w:pStyle w:val="ListParagraph"/>
        <w:numPr>
          <w:ilvl w:val="1"/>
          <w:numId w:val="131"/>
        </w:numPr>
        <w:tabs>
          <w:tab w:pos="2721" w:val="left" w:leader="none"/>
          <w:tab w:pos="2722" w:val="left" w:leader="none"/>
        </w:tabs>
        <w:spacing w:line="242" w:lineRule="auto" w:before="87" w:after="0"/>
        <w:ind w:left="2721" w:right="2092" w:hanging="340"/>
        <w:jc w:val="left"/>
        <w:rPr>
          <w:sz w:val="21"/>
        </w:rPr>
      </w:pPr>
      <w:r>
        <w:rPr>
          <w:w w:val="105"/>
          <w:sz w:val="21"/>
        </w:rPr>
        <w:t>a description and </w:t>
      </w:r>
      <w:r>
        <w:rPr>
          <w:spacing w:val="-3"/>
          <w:w w:val="105"/>
          <w:sz w:val="21"/>
        </w:rPr>
        <w:t>accurate site </w:t>
      </w:r>
      <w:r>
        <w:rPr>
          <w:w w:val="105"/>
          <w:sz w:val="21"/>
        </w:rPr>
        <w:t>plan </w:t>
      </w:r>
      <w:r>
        <w:rPr>
          <w:spacing w:val="-3"/>
          <w:w w:val="105"/>
          <w:sz w:val="21"/>
        </w:rPr>
        <w:t>denoting </w:t>
      </w:r>
      <w:r>
        <w:rPr>
          <w:w w:val="105"/>
          <w:sz w:val="21"/>
        </w:rPr>
        <w:t>the </w:t>
      </w:r>
      <w:r>
        <w:rPr>
          <w:spacing w:val="-3"/>
          <w:w w:val="105"/>
          <w:sz w:val="21"/>
        </w:rPr>
        <w:t>position, height, </w:t>
      </w:r>
      <w:r>
        <w:rPr>
          <w:spacing w:val="-4"/>
          <w:w w:val="105"/>
          <w:sz w:val="21"/>
        </w:rPr>
        <w:t>number, </w:t>
      </w:r>
      <w:r>
        <w:rPr>
          <w:w w:val="105"/>
          <w:sz w:val="21"/>
        </w:rPr>
        <w:t>trunk </w:t>
      </w:r>
      <w:r>
        <w:rPr>
          <w:spacing w:val="-4"/>
          <w:w w:val="105"/>
          <w:sz w:val="21"/>
        </w:rPr>
        <w:t>circumference, </w:t>
      </w:r>
      <w:r>
        <w:rPr>
          <w:spacing w:val="-3"/>
          <w:w w:val="105"/>
          <w:sz w:val="21"/>
        </w:rPr>
        <w:t>branch spread, </w:t>
      </w:r>
      <w:r>
        <w:rPr>
          <w:w w:val="105"/>
          <w:sz w:val="21"/>
        </w:rPr>
        <w:t>slope of </w:t>
      </w:r>
      <w:r>
        <w:rPr>
          <w:spacing w:val="-3"/>
          <w:w w:val="105"/>
          <w:sz w:val="21"/>
        </w:rPr>
        <w:t>land </w:t>
      </w:r>
      <w:r>
        <w:rPr>
          <w:w w:val="105"/>
          <w:sz w:val="21"/>
        </w:rPr>
        <w:t>and species of </w:t>
      </w:r>
      <w:r>
        <w:rPr>
          <w:spacing w:val="-3"/>
          <w:w w:val="105"/>
          <w:sz w:val="21"/>
        </w:rPr>
        <w:t>any </w:t>
      </w:r>
      <w:r>
        <w:rPr>
          <w:w w:val="105"/>
          <w:sz w:val="21"/>
        </w:rPr>
        <w:t>vegetation </w:t>
      </w:r>
      <w:r>
        <w:rPr>
          <w:spacing w:val="-3"/>
          <w:w w:val="105"/>
          <w:sz w:val="21"/>
        </w:rPr>
        <w:t>to </w:t>
      </w:r>
      <w:r>
        <w:rPr>
          <w:w w:val="105"/>
          <w:sz w:val="21"/>
        </w:rPr>
        <w:t>be </w:t>
      </w:r>
      <w:r>
        <w:rPr>
          <w:spacing w:val="-3"/>
          <w:w w:val="105"/>
          <w:sz w:val="21"/>
        </w:rPr>
        <w:t>removed</w:t>
      </w:r>
    </w:p>
    <w:p>
      <w:pPr>
        <w:pStyle w:val="ListParagraph"/>
        <w:numPr>
          <w:ilvl w:val="1"/>
          <w:numId w:val="131"/>
        </w:numPr>
        <w:tabs>
          <w:tab w:pos="2721" w:val="left" w:leader="none"/>
          <w:tab w:pos="2722" w:val="left" w:leader="none"/>
        </w:tabs>
        <w:spacing w:line="240" w:lineRule="auto" w:before="88" w:after="0"/>
        <w:ind w:left="2721" w:right="0" w:hanging="340"/>
        <w:jc w:val="left"/>
        <w:rPr>
          <w:sz w:val="12"/>
        </w:rPr>
      </w:pPr>
      <w:r>
        <w:rPr>
          <w:w w:val="105"/>
          <w:sz w:val="21"/>
        </w:rPr>
        <w:t>plan details of the location of proposed</w:t>
      </w:r>
      <w:r>
        <w:rPr>
          <w:spacing w:val="31"/>
          <w:w w:val="105"/>
          <w:sz w:val="21"/>
        </w:rPr>
        <w:t> </w:t>
      </w:r>
      <w:r>
        <w:rPr>
          <w:spacing w:val="-5"/>
          <w:w w:val="105"/>
          <w:sz w:val="21"/>
        </w:rPr>
        <w:t>replanting.</w:t>
      </w:r>
      <w:r>
        <w:rPr>
          <w:spacing w:val="-5"/>
          <w:w w:val="105"/>
          <w:position w:val="7"/>
          <w:sz w:val="12"/>
        </w:rPr>
        <w:t>112</w:t>
      </w:r>
    </w:p>
    <w:p>
      <w:pPr>
        <w:pStyle w:val="ListParagraph"/>
        <w:numPr>
          <w:ilvl w:val="1"/>
          <w:numId w:val="16"/>
        </w:numPr>
        <w:tabs>
          <w:tab w:pos="2381" w:val="left" w:leader="none"/>
          <w:tab w:pos="2382" w:val="left" w:leader="none"/>
        </w:tabs>
        <w:spacing w:line="242" w:lineRule="auto" w:before="89" w:after="0"/>
        <w:ind w:left="2381" w:right="1794" w:hanging="794"/>
        <w:jc w:val="left"/>
        <w:rPr>
          <w:sz w:val="21"/>
        </w:rPr>
      </w:pPr>
      <w:r>
        <w:rPr>
          <w:sz w:val="21"/>
        </w:rPr>
        <w:t>The </w:t>
      </w:r>
      <w:r>
        <w:rPr>
          <w:spacing w:val="-3"/>
          <w:sz w:val="21"/>
        </w:rPr>
        <w:t>planning </w:t>
      </w:r>
      <w:r>
        <w:rPr>
          <w:sz w:val="21"/>
        </w:rPr>
        <w:t>scheme does </w:t>
      </w:r>
      <w:r>
        <w:rPr>
          <w:spacing w:val="-2"/>
          <w:sz w:val="21"/>
        </w:rPr>
        <w:t>not </w:t>
      </w:r>
      <w:r>
        <w:rPr>
          <w:sz w:val="21"/>
        </w:rPr>
        <w:t>define what it </w:t>
      </w:r>
      <w:r>
        <w:rPr>
          <w:spacing w:val="-3"/>
          <w:sz w:val="21"/>
        </w:rPr>
        <w:t>means </w:t>
      </w:r>
      <w:r>
        <w:rPr>
          <w:sz w:val="21"/>
        </w:rPr>
        <w:t>by a suitably qualified arborist. </w:t>
      </w:r>
      <w:r>
        <w:rPr>
          <w:spacing w:val="-4"/>
          <w:sz w:val="21"/>
        </w:rPr>
        <w:t>However, </w:t>
      </w:r>
      <w:r>
        <w:rPr>
          <w:spacing w:val="-3"/>
          <w:sz w:val="21"/>
        </w:rPr>
        <w:t>council </w:t>
      </w:r>
      <w:r>
        <w:rPr>
          <w:sz w:val="21"/>
        </w:rPr>
        <w:t>advised </w:t>
      </w:r>
      <w:r>
        <w:rPr>
          <w:spacing w:val="-3"/>
          <w:sz w:val="21"/>
        </w:rPr>
        <w:t>that </w:t>
      </w:r>
      <w:r>
        <w:rPr>
          <w:sz w:val="21"/>
        </w:rPr>
        <w:t>it </w:t>
      </w:r>
      <w:r>
        <w:rPr>
          <w:spacing w:val="-2"/>
          <w:sz w:val="21"/>
        </w:rPr>
        <w:t>has </w:t>
      </w:r>
      <w:r>
        <w:rPr>
          <w:sz w:val="21"/>
        </w:rPr>
        <w:t>report writing </w:t>
      </w:r>
      <w:r>
        <w:rPr>
          <w:spacing w:val="-3"/>
          <w:sz w:val="21"/>
        </w:rPr>
        <w:t>guidelines for </w:t>
      </w:r>
      <w:r>
        <w:rPr>
          <w:sz w:val="21"/>
        </w:rPr>
        <w:t>arborists </w:t>
      </w:r>
      <w:r>
        <w:rPr>
          <w:spacing w:val="-3"/>
          <w:sz w:val="21"/>
        </w:rPr>
        <w:t>for </w:t>
      </w:r>
      <w:r>
        <w:rPr>
          <w:sz w:val="21"/>
        </w:rPr>
        <w:t>the assessment of development </w:t>
      </w:r>
      <w:r>
        <w:rPr>
          <w:spacing w:val="-3"/>
          <w:sz w:val="21"/>
        </w:rPr>
        <w:t>applications </w:t>
      </w:r>
      <w:r>
        <w:rPr>
          <w:sz w:val="21"/>
        </w:rPr>
        <w:t>under the </w:t>
      </w:r>
      <w:r>
        <w:rPr>
          <w:spacing w:val="-3"/>
          <w:sz w:val="21"/>
        </w:rPr>
        <w:t>planning </w:t>
      </w:r>
      <w:r>
        <w:rPr>
          <w:spacing w:val="-6"/>
          <w:sz w:val="21"/>
        </w:rPr>
        <w:t>scheme.</w:t>
      </w:r>
      <w:r>
        <w:rPr>
          <w:spacing w:val="-6"/>
          <w:position w:val="7"/>
          <w:sz w:val="12"/>
        </w:rPr>
        <w:t>113 </w:t>
      </w:r>
      <w:r>
        <w:rPr>
          <w:sz w:val="21"/>
        </w:rPr>
        <w:t>These </w:t>
      </w:r>
      <w:r>
        <w:rPr>
          <w:spacing w:val="-3"/>
          <w:sz w:val="21"/>
        </w:rPr>
        <w:t>guidelines recommend that arboricultural </w:t>
      </w:r>
      <w:r>
        <w:rPr>
          <w:sz w:val="21"/>
        </w:rPr>
        <w:t>reports </w:t>
      </w:r>
      <w:r>
        <w:rPr>
          <w:spacing w:val="-3"/>
          <w:sz w:val="21"/>
        </w:rPr>
        <w:t>‘should </w:t>
      </w:r>
      <w:r>
        <w:rPr>
          <w:sz w:val="21"/>
        </w:rPr>
        <w:t>be </w:t>
      </w:r>
      <w:r>
        <w:rPr>
          <w:spacing w:val="-3"/>
          <w:sz w:val="21"/>
        </w:rPr>
        <w:t>prepared </w:t>
      </w:r>
      <w:r>
        <w:rPr>
          <w:sz w:val="21"/>
        </w:rPr>
        <w:t>by a suitably qualified and experienced arborist with a Diploma in </w:t>
      </w:r>
      <w:r>
        <w:rPr>
          <w:spacing w:val="-3"/>
          <w:sz w:val="21"/>
        </w:rPr>
        <w:t>Arboriculture </w:t>
      </w:r>
      <w:r>
        <w:rPr>
          <w:sz w:val="21"/>
        </w:rPr>
        <w:t>(AQF Level 5) or </w:t>
      </w:r>
      <w:r>
        <w:rPr>
          <w:spacing w:val="-3"/>
          <w:sz w:val="21"/>
        </w:rPr>
        <w:t>higher relevant </w:t>
      </w:r>
      <w:r>
        <w:rPr>
          <w:sz w:val="21"/>
        </w:rPr>
        <w:t>qualification and </w:t>
      </w:r>
      <w:r>
        <w:rPr>
          <w:spacing w:val="-2"/>
          <w:sz w:val="21"/>
        </w:rPr>
        <w:t>demonstrated </w:t>
      </w:r>
      <w:r>
        <w:rPr>
          <w:sz w:val="21"/>
        </w:rPr>
        <w:t>tree assessment and report writing </w:t>
      </w:r>
      <w:r>
        <w:rPr>
          <w:spacing w:val="-5"/>
          <w:sz w:val="21"/>
        </w:rPr>
        <w:t>experience’.</w:t>
      </w:r>
      <w:r>
        <w:rPr>
          <w:spacing w:val="-5"/>
          <w:position w:val="7"/>
          <w:sz w:val="12"/>
        </w:rPr>
        <w:t>114 </w:t>
      </w:r>
      <w:r>
        <w:rPr>
          <w:sz w:val="21"/>
        </w:rPr>
        <w:t>They  also </w:t>
      </w:r>
      <w:r>
        <w:rPr>
          <w:spacing w:val="-3"/>
          <w:sz w:val="21"/>
        </w:rPr>
        <w:t>recommend</w:t>
      </w:r>
      <w:r>
        <w:rPr>
          <w:spacing w:val="16"/>
          <w:sz w:val="21"/>
        </w:rPr>
        <w:t> </w:t>
      </w:r>
      <w:r>
        <w:rPr>
          <w:sz w:val="21"/>
        </w:rPr>
        <w:t>that:</w:t>
      </w:r>
    </w:p>
    <w:p>
      <w:pPr>
        <w:pStyle w:val="ListParagraph"/>
        <w:numPr>
          <w:ilvl w:val="2"/>
          <w:numId w:val="16"/>
        </w:numPr>
        <w:tabs>
          <w:tab w:pos="2721" w:val="left" w:leader="none"/>
          <w:tab w:pos="2722" w:val="left" w:leader="none"/>
        </w:tabs>
        <w:spacing w:line="240" w:lineRule="auto" w:before="128" w:after="0"/>
        <w:ind w:left="2721" w:right="0" w:hanging="340"/>
        <w:jc w:val="left"/>
        <w:rPr>
          <w:sz w:val="21"/>
        </w:rPr>
      </w:pPr>
      <w:r>
        <w:rPr>
          <w:sz w:val="21"/>
        </w:rPr>
        <w:t>reports must be written </w:t>
      </w:r>
      <w:r>
        <w:rPr>
          <w:spacing w:val="-3"/>
          <w:sz w:val="21"/>
        </w:rPr>
        <w:t>within </w:t>
      </w:r>
      <w:r>
        <w:rPr>
          <w:sz w:val="21"/>
        </w:rPr>
        <w:t>the </w:t>
      </w:r>
      <w:r>
        <w:rPr>
          <w:spacing w:val="-3"/>
          <w:sz w:val="21"/>
        </w:rPr>
        <w:t>preceding </w:t>
      </w:r>
      <w:r>
        <w:rPr>
          <w:sz w:val="21"/>
        </w:rPr>
        <w:t>three </w:t>
      </w:r>
      <w:r>
        <w:rPr>
          <w:spacing w:val="-3"/>
          <w:sz w:val="21"/>
        </w:rPr>
        <w:t>months </w:t>
      </w:r>
      <w:r>
        <w:rPr>
          <w:sz w:val="21"/>
        </w:rPr>
        <w:t>of</w:t>
      </w:r>
      <w:r>
        <w:rPr>
          <w:spacing w:val="-17"/>
          <w:sz w:val="21"/>
        </w:rPr>
        <w:t> </w:t>
      </w:r>
      <w:r>
        <w:rPr>
          <w:spacing w:val="-3"/>
          <w:sz w:val="21"/>
        </w:rPr>
        <w:t>submission</w:t>
      </w:r>
    </w:p>
    <w:p>
      <w:pPr>
        <w:pStyle w:val="ListParagraph"/>
        <w:numPr>
          <w:ilvl w:val="2"/>
          <w:numId w:val="16"/>
        </w:numPr>
        <w:tabs>
          <w:tab w:pos="2722" w:val="left" w:leader="none"/>
        </w:tabs>
        <w:spacing w:line="242" w:lineRule="auto" w:before="88" w:after="0"/>
        <w:ind w:left="2721" w:right="1797" w:hanging="340"/>
        <w:jc w:val="both"/>
        <w:rPr>
          <w:sz w:val="21"/>
        </w:rPr>
      </w:pPr>
      <w:r>
        <w:rPr>
          <w:w w:val="105"/>
          <w:sz w:val="21"/>
        </w:rPr>
        <w:t>reports</w:t>
      </w:r>
      <w:r>
        <w:rPr>
          <w:spacing w:val="-6"/>
          <w:w w:val="105"/>
          <w:sz w:val="21"/>
        </w:rPr>
        <w:t> </w:t>
      </w:r>
      <w:r>
        <w:rPr>
          <w:w w:val="105"/>
          <w:sz w:val="21"/>
        </w:rPr>
        <w:t>must</w:t>
      </w:r>
      <w:r>
        <w:rPr>
          <w:spacing w:val="-5"/>
          <w:w w:val="105"/>
          <w:sz w:val="21"/>
        </w:rPr>
        <w:t> </w:t>
      </w:r>
      <w:r>
        <w:rPr>
          <w:w w:val="105"/>
          <w:sz w:val="21"/>
        </w:rPr>
        <w:t>be</w:t>
      </w:r>
      <w:r>
        <w:rPr>
          <w:spacing w:val="-5"/>
          <w:w w:val="105"/>
          <w:sz w:val="21"/>
        </w:rPr>
        <w:t> </w:t>
      </w:r>
      <w:r>
        <w:rPr>
          <w:spacing w:val="-2"/>
          <w:w w:val="105"/>
          <w:sz w:val="21"/>
        </w:rPr>
        <w:t>submitted</w:t>
      </w:r>
      <w:r>
        <w:rPr>
          <w:spacing w:val="-5"/>
          <w:w w:val="105"/>
          <w:sz w:val="21"/>
        </w:rPr>
        <w:t> </w:t>
      </w:r>
      <w:r>
        <w:rPr>
          <w:w w:val="105"/>
          <w:sz w:val="21"/>
        </w:rPr>
        <w:t>in</w:t>
      </w:r>
      <w:r>
        <w:rPr>
          <w:spacing w:val="-5"/>
          <w:w w:val="105"/>
          <w:sz w:val="21"/>
        </w:rPr>
        <w:t> </w:t>
      </w:r>
      <w:r>
        <w:rPr>
          <w:w w:val="105"/>
          <w:sz w:val="21"/>
        </w:rPr>
        <w:t>an</w:t>
      </w:r>
      <w:r>
        <w:rPr>
          <w:spacing w:val="-6"/>
          <w:w w:val="105"/>
          <w:sz w:val="21"/>
        </w:rPr>
        <w:t> </w:t>
      </w:r>
      <w:r>
        <w:rPr>
          <w:spacing w:val="-3"/>
          <w:w w:val="105"/>
          <w:sz w:val="21"/>
        </w:rPr>
        <w:t>accepted</w:t>
      </w:r>
      <w:r>
        <w:rPr>
          <w:spacing w:val="-5"/>
          <w:w w:val="105"/>
          <w:sz w:val="21"/>
        </w:rPr>
        <w:t> </w:t>
      </w:r>
      <w:r>
        <w:rPr>
          <w:spacing w:val="-3"/>
          <w:w w:val="105"/>
          <w:sz w:val="21"/>
        </w:rPr>
        <w:t>format</w:t>
      </w:r>
      <w:r>
        <w:rPr>
          <w:spacing w:val="-5"/>
          <w:w w:val="105"/>
          <w:sz w:val="21"/>
        </w:rPr>
        <w:t> </w:t>
      </w:r>
      <w:r>
        <w:rPr>
          <w:w w:val="105"/>
          <w:sz w:val="21"/>
        </w:rPr>
        <w:t>and</w:t>
      </w:r>
      <w:r>
        <w:rPr>
          <w:spacing w:val="-5"/>
          <w:w w:val="105"/>
          <w:sz w:val="21"/>
        </w:rPr>
        <w:t> </w:t>
      </w:r>
      <w:r>
        <w:rPr>
          <w:spacing w:val="-3"/>
          <w:w w:val="105"/>
          <w:sz w:val="21"/>
        </w:rPr>
        <w:t>all</w:t>
      </w:r>
      <w:r>
        <w:rPr>
          <w:spacing w:val="-5"/>
          <w:w w:val="105"/>
          <w:sz w:val="21"/>
        </w:rPr>
        <w:t> </w:t>
      </w:r>
      <w:r>
        <w:rPr>
          <w:spacing w:val="-3"/>
          <w:w w:val="105"/>
          <w:sz w:val="21"/>
        </w:rPr>
        <w:t>resource</w:t>
      </w:r>
      <w:r>
        <w:rPr>
          <w:spacing w:val="-5"/>
          <w:w w:val="105"/>
          <w:sz w:val="21"/>
        </w:rPr>
        <w:t> </w:t>
      </w:r>
      <w:r>
        <w:rPr>
          <w:spacing w:val="-3"/>
          <w:w w:val="105"/>
          <w:sz w:val="21"/>
        </w:rPr>
        <w:t>material</w:t>
      </w:r>
      <w:r>
        <w:rPr>
          <w:spacing w:val="-6"/>
          <w:w w:val="105"/>
          <w:sz w:val="21"/>
        </w:rPr>
        <w:t> </w:t>
      </w:r>
      <w:r>
        <w:rPr>
          <w:spacing w:val="-3"/>
          <w:w w:val="105"/>
          <w:sz w:val="21"/>
        </w:rPr>
        <w:t>including any calculations, </w:t>
      </w:r>
      <w:r>
        <w:rPr>
          <w:w w:val="105"/>
          <w:sz w:val="21"/>
        </w:rPr>
        <w:t>figures, or </w:t>
      </w:r>
      <w:r>
        <w:rPr>
          <w:spacing w:val="-3"/>
          <w:w w:val="105"/>
          <w:sz w:val="21"/>
        </w:rPr>
        <w:t>photographs </w:t>
      </w:r>
      <w:r>
        <w:rPr>
          <w:w w:val="105"/>
          <w:sz w:val="21"/>
        </w:rPr>
        <w:t>must be </w:t>
      </w:r>
      <w:r>
        <w:rPr>
          <w:spacing w:val="-3"/>
          <w:w w:val="105"/>
          <w:sz w:val="21"/>
        </w:rPr>
        <w:t>appropriately referenced using </w:t>
      </w:r>
      <w:r>
        <w:rPr>
          <w:w w:val="105"/>
          <w:sz w:val="21"/>
        </w:rPr>
        <w:t>an </w:t>
      </w:r>
      <w:r>
        <w:rPr>
          <w:spacing w:val="-3"/>
          <w:w w:val="105"/>
          <w:sz w:val="21"/>
        </w:rPr>
        <w:t>acceptable</w:t>
      </w:r>
      <w:r>
        <w:rPr>
          <w:spacing w:val="5"/>
          <w:w w:val="105"/>
          <w:sz w:val="21"/>
        </w:rPr>
        <w:t> </w:t>
      </w:r>
      <w:r>
        <w:rPr>
          <w:spacing w:val="-3"/>
          <w:w w:val="105"/>
          <w:sz w:val="21"/>
        </w:rPr>
        <w:t>format</w:t>
      </w:r>
    </w:p>
    <w:p>
      <w:pPr>
        <w:pStyle w:val="ListParagraph"/>
        <w:numPr>
          <w:ilvl w:val="2"/>
          <w:numId w:val="16"/>
        </w:numPr>
        <w:tabs>
          <w:tab w:pos="2721" w:val="left" w:leader="none"/>
          <w:tab w:pos="2722" w:val="left" w:leader="none"/>
        </w:tabs>
        <w:spacing w:line="242" w:lineRule="auto" w:before="89" w:after="0"/>
        <w:ind w:left="2721" w:right="1740" w:hanging="340"/>
        <w:jc w:val="left"/>
        <w:rPr>
          <w:sz w:val="21"/>
        </w:rPr>
      </w:pPr>
      <w:r>
        <w:rPr>
          <w:sz w:val="21"/>
        </w:rPr>
        <w:t>a </w:t>
      </w:r>
      <w:r>
        <w:rPr>
          <w:spacing w:val="-3"/>
          <w:sz w:val="21"/>
        </w:rPr>
        <w:t>clear </w:t>
      </w:r>
      <w:r>
        <w:rPr>
          <w:sz w:val="21"/>
        </w:rPr>
        <w:t>and detailed existing survey plan and/or proposed development plan must be used </w:t>
      </w:r>
      <w:r>
        <w:rPr>
          <w:spacing w:val="-3"/>
          <w:sz w:val="21"/>
        </w:rPr>
        <w:t>within all</w:t>
      </w:r>
      <w:r>
        <w:rPr>
          <w:spacing w:val="28"/>
          <w:sz w:val="21"/>
        </w:rPr>
        <w:t> </w:t>
      </w:r>
      <w:r>
        <w:rPr>
          <w:sz w:val="21"/>
        </w:rPr>
        <w:t>reports</w:t>
      </w:r>
    </w:p>
    <w:p>
      <w:pPr>
        <w:pStyle w:val="ListParagraph"/>
        <w:numPr>
          <w:ilvl w:val="2"/>
          <w:numId w:val="16"/>
        </w:numPr>
        <w:tabs>
          <w:tab w:pos="2721" w:val="left" w:leader="none"/>
          <w:tab w:pos="2722" w:val="left" w:leader="none"/>
        </w:tabs>
        <w:spacing w:line="242" w:lineRule="auto" w:before="87" w:after="0"/>
        <w:ind w:left="2721" w:right="1670" w:hanging="340"/>
        <w:jc w:val="left"/>
        <w:rPr>
          <w:sz w:val="21"/>
        </w:rPr>
      </w:pPr>
      <w:r>
        <w:rPr>
          <w:w w:val="105"/>
          <w:sz w:val="21"/>
        </w:rPr>
        <w:t>the report must </w:t>
      </w:r>
      <w:r>
        <w:rPr>
          <w:spacing w:val="-3"/>
          <w:w w:val="105"/>
          <w:sz w:val="21"/>
        </w:rPr>
        <w:t>focus </w:t>
      </w:r>
      <w:r>
        <w:rPr>
          <w:w w:val="105"/>
          <w:sz w:val="21"/>
        </w:rPr>
        <w:t>on the characteristics of each </w:t>
      </w:r>
      <w:r>
        <w:rPr>
          <w:spacing w:val="-3"/>
          <w:w w:val="105"/>
          <w:sz w:val="21"/>
        </w:rPr>
        <w:t>tree. </w:t>
      </w:r>
      <w:r>
        <w:rPr>
          <w:w w:val="105"/>
          <w:sz w:val="21"/>
        </w:rPr>
        <w:t>It must define each </w:t>
      </w:r>
      <w:r>
        <w:rPr>
          <w:spacing w:val="-4"/>
          <w:w w:val="105"/>
          <w:sz w:val="21"/>
        </w:rPr>
        <w:t>tree’s size, </w:t>
      </w:r>
      <w:r>
        <w:rPr>
          <w:spacing w:val="-3"/>
          <w:w w:val="105"/>
          <w:sz w:val="21"/>
        </w:rPr>
        <w:t>health </w:t>
      </w:r>
      <w:r>
        <w:rPr>
          <w:w w:val="105"/>
          <w:sz w:val="21"/>
        </w:rPr>
        <w:t>and </w:t>
      </w:r>
      <w:r>
        <w:rPr>
          <w:spacing w:val="-4"/>
          <w:w w:val="105"/>
          <w:sz w:val="21"/>
        </w:rPr>
        <w:t>vigour, </w:t>
      </w:r>
      <w:r>
        <w:rPr>
          <w:w w:val="105"/>
          <w:sz w:val="21"/>
        </w:rPr>
        <w:t>the structural </w:t>
      </w:r>
      <w:r>
        <w:rPr>
          <w:spacing w:val="-3"/>
          <w:w w:val="105"/>
          <w:sz w:val="21"/>
        </w:rPr>
        <w:t>condition </w:t>
      </w:r>
      <w:r>
        <w:rPr>
          <w:w w:val="105"/>
          <w:sz w:val="21"/>
        </w:rPr>
        <w:t>and </w:t>
      </w:r>
      <w:r>
        <w:rPr>
          <w:spacing w:val="-3"/>
          <w:w w:val="105"/>
          <w:sz w:val="21"/>
        </w:rPr>
        <w:t>longevity, </w:t>
      </w:r>
      <w:r>
        <w:rPr>
          <w:w w:val="105"/>
          <w:sz w:val="21"/>
        </w:rPr>
        <w:t>and </w:t>
      </w:r>
      <w:r>
        <w:rPr>
          <w:spacing w:val="-3"/>
          <w:w w:val="105"/>
          <w:sz w:val="21"/>
        </w:rPr>
        <w:t>rate </w:t>
      </w:r>
      <w:r>
        <w:rPr>
          <w:w w:val="105"/>
          <w:sz w:val="21"/>
        </w:rPr>
        <w:t>the </w:t>
      </w:r>
      <w:r>
        <w:rPr>
          <w:spacing w:val="-3"/>
          <w:w w:val="105"/>
          <w:sz w:val="21"/>
        </w:rPr>
        <w:t>retention value </w:t>
      </w:r>
      <w:r>
        <w:rPr>
          <w:w w:val="105"/>
          <w:sz w:val="21"/>
        </w:rPr>
        <w:t>of each tree as </w:t>
      </w:r>
      <w:r>
        <w:rPr>
          <w:spacing w:val="-3"/>
          <w:w w:val="105"/>
          <w:sz w:val="21"/>
        </w:rPr>
        <w:t>high, </w:t>
      </w:r>
      <w:r>
        <w:rPr>
          <w:w w:val="105"/>
          <w:sz w:val="21"/>
        </w:rPr>
        <w:t>medium or </w:t>
      </w:r>
      <w:r>
        <w:rPr>
          <w:spacing w:val="-4"/>
          <w:w w:val="105"/>
          <w:sz w:val="21"/>
        </w:rPr>
        <w:t>low. </w:t>
      </w:r>
      <w:r>
        <w:rPr>
          <w:spacing w:val="-3"/>
          <w:w w:val="105"/>
          <w:sz w:val="21"/>
        </w:rPr>
        <w:t>Consideration </w:t>
      </w:r>
      <w:r>
        <w:rPr>
          <w:w w:val="105"/>
          <w:sz w:val="21"/>
        </w:rPr>
        <w:t>must be given </w:t>
      </w:r>
      <w:r>
        <w:rPr>
          <w:spacing w:val="-3"/>
          <w:w w:val="105"/>
          <w:sz w:val="21"/>
        </w:rPr>
        <w:t>to </w:t>
      </w:r>
      <w:r>
        <w:rPr>
          <w:w w:val="105"/>
          <w:sz w:val="21"/>
        </w:rPr>
        <w:t>the </w:t>
      </w:r>
      <w:r>
        <w:rPr>
          <w:spacing w:val="-3"/>
          <w:w w:val="105"/>
          <w:sz w:val="21"/>
        </w:rPr>
        <w:t>requirements</w:t>
      </w:r>
      <w:r>
        <w:rPr>
          <w:spacing w:val="-8"/>
          <w:w w:val="105"/>
          <w:sz w:val="21"/>
        </w:rPr>
        <w:t> </w:t>
      </w:r>
      <w:r>
        <w:rPr>
          <w:w w:val="105"/>
          <w:sz w:val="21"/>
        </w:rPr>
        <w:t>of</w:t>
      </w:r>
      <w:r>
        <w:rPr>
          <w:spacing w:val="-7"/>
          <w:w w:val="105"/>
          <w:sz w:val="21"/>
        </w:rPr>
        <w:t> </w:t>
      </w:r>
      <w:r>
        <w:rPr>
          <w:w w:val="105"/>
          <w:sz w:val="21"/>
        </w:rPr>
        <w:t>the</w:t>
      </w:r>
      <w:r>
        <w:rPr>
          <w:spacing w:val="-7"/>
          <w:w w:val="105"/>
          <w:sz w:val="21"/>
        </w:rPr>
        <w:t> </w:t>
      </w:r>
      <w:r>
        <w:rPr>
          <w:spacing w:val="-3"/>
          <w:w w:val="105"/>
          <w:sz w:val="21"/>
        </w:rPr>
        <w:t>Preliminary</w:t>
      </w:r>
      <w:r>
        <w:rPr>
          <w:spacing w:val="-7"/>
          <w:w w:val="105"/>
          <w:sz w:val="21"/>
        </w:rPr>
        <w:t> </w:t>
      </w:r>
      <w:r>
        <w:rPr>
          <w:spacing w:val="-3"/>
          <w:w w:val="105"/>
          <w:sz w:val="21"/>
        </w:rPr>
        <w:t>Arboricultural</w:t>
      </w:r>
      <w:r>
        <w:rPr>
          <w:spacing w:val="-8"/>
          <w:w w:val="105"/>
          <w:sz w:val="21"/>
        </w:rPr>
        <w:t> </w:t>
      </w:r>
      <w:r>
        <w:rPr>
          <w:w w:val="105"/>
          <w:sz w:val="21"/>
        </w:rPr>
        <w:t>Assessment</w:t>
      </w:r>
      <w:r>
        <w:rPr>
          <w:spacing w:val="-7"/>
          <w:w w:val="105"/>
          <w:sz w:val="21"/>
        </w:rPr>
        <w:t> </w:t>
      </w:r>
      <w:r>
        <w:rPr>
          <w:w w:val="105"/>
          <w:sz w:val="21"/>
        </w:rPr>
        <w:t>as</w:t>
      </w:r>
      <w:r>
        <w:rPr>
          <w:spacing w:val="-7"/>
          <w:w w:val="105"/>
          <w:sz w:val="21"/>
        </w:rPr>
        <w:t> </w:t>
      </w:r>
      <w:r>
        <w:rPr>
          <w:w w:val="105"/>
          <w:sz w:val="21"/>
        </w:rPr>
        <w:t>defined</w:t>
      </w:r>
      <w:r>
        <w:rPr>
          <w:spacing w:val="-7"/>
          <w:w w:val="105"/>
          <w:sz w:val="21"/>
        </w:rPr>
        <w:t> </w:t>
      </w:r>
      <w:r>
        <w:rPr>
          <w:w w:val="105"/>
          <w:sz w:val="21"/>
        </w:rPr>
        <w:t>in</w:t>
      </w:r>
      <w:r>
        <w:rPr>
          <w:spacing w:val="-8"/>
          <w:w w:val="105"/>
          <w:sz w:val="21"/>
        </w:rPr>
        <w:t> </w:t>
      </w:r>
      <w:r>
        <w:rPr>
          <w:w w:val="105"/>
          <w:sz w:val="21"/>
        </w:rPr>
        <w:t>Section</w:t>
      </w:r>
      <w:r>
        <w:rPr>
          <w:spacing w:val="-7"/>
          <w:w w:val="105"/>
          <w:sz w:val="21"/>
        </w:rPr>
        <w:t> </w:t>
      </w:r>
      <w:r>
        <w:rPr>
          <w:spacing w:val="-3"/>
          <w:w w:val="105"/>
          <w:sz w:val="21"/>
        </w:rPr>
        <w:t>2.3.2 </w:t>
      </w:r>
      <w:r>
        <w:rPr>
          <w:w w:val="105"/>
          <w:sz w:val="21"/>
        </w:rPr>
        <w:t>of the </w:t>
      </w:r>
      <w:r>
        <w:rPr>
          <w:spacing w:val="-3"/>
          <w:w w:val="105"/>
          <w:sz w:val="21"/>
        </w:rPr>
        <w:t>Australian Standard </w:t>
      </w:r>
      <w:r>
        <w:rPr>
          <w:w w:val="105"/>
          <w:sz w:val="21"/>
        </w:rPr>
        <w:t>AS 4970-2009—Protection of </w:t>
      </w:r>
      <w:r>
        <w:rPr>
          <w:spacing w:val="-4"/>
          <w:w w:val="105"/>
          <w:sz w:val="21"/>
        </w:rPr>
        <w:t>Trees </w:t>
      </w:r>
      <w:r>
        <w:rPr>
          <w:w w:val="105"/>
          <w:sz w:val="21"/>
        </w:rPr>
        <w:t>on Development </w:t>
      </w:r>
      <w:r>
        <w:rPr>
          <w:spacing w:val="-6"/>
          <w:w w:val="105"/>
          <w:sz w:val="21"/>
        </w:rPr>
        <w:t>Sites.</w:t>
      </w:r>
      <w:r>
        <w:rPr>
          <w:spacing w:val="-6"/>
          <w:w w:val="105"/>
          <w:position w:val="7"/>
          <w:sz w:val="12"/>
        </w:rPr>
        <w:t>115</w:t>
      </w:r>
    </w:p>
    <w:p>
      <w:pPr>
        <w:pStyle w:val="ListParagraph"/>
        <w:numPr>
          <w:ilvl w:val="1"/>
          <w:numId w:val="16"/>
        </w:numPr>
        <w:tabs>
          <w:tab w:pos="2380" w:val="left" w:leader="none"/>
          <w:tab w:pos="2381" w:val="left" w:leader="none"/>
        </w:tabs>
        <w:spacing w:line="242" w:lineRule="auto" w:before="91" w:after="0"/>
        <w:ind w:left="2381" w:right="1776" w:hanging="794"/>
        <w:jc w:val="left"/>
        <w:rPr>
          <w:sz w:val="21"/>
        </w:rPr>
      </w:pPr>
      <w:r>
        <w:rPr>
          <w:w w:val="105"/>
          <w:sz w:val="21"/>
        </w:rPr>
        <w:t>The</w:t>
      </w:r>
      <w:r>
        <w:rPr>
          <w:spacing w:val="-5"/>
          <w:w w:val="105"/>
          <w:sz w:val="21"/>
        </w:rPr>
        <w:t> </w:t>
      </w:r>
      <w:r>
        <w:rPr>
          <w:spacing w:val="-3"/>
          <w:w w:val="105"/>
          <w:sz w:val="21"/>
        </w:rPr>
        <w:t>guidelines</w:t>
      </w:r>
      <w:r>
        <w:rPr>
          <w:spacing w:val="-5"/>
          <w:w w:val="105"/>
          <w:sz w:val="21"/>
        </w:rPr>
        <w:t> </w:t>
      </w:r>
      <w:r>
        <w:rPr>
          <w:w w:val="105"/>
          <w:sz w:val="21"/>
        </w:rPr>
        <w:t>further</w:t>
      </w:r>
      <w:r>
        <w:rPr>
          <w:spacing w:val="-5"/>
          <w:w w:val="105"/>
          <w:sz w:val="21"/>
        </w:rPr>
        <w:t> </w:t>
      </w:r>
      <w:r>
        <w:rPr>
          <w:spacing w:val="-3"/>
          <w:w w:val="105"/>
          <w:sz w:val="21"/>
        </w:rPr>
        <w:t>outline</w:t>
      </w:r>
      <w:r>
        <w:rPr>
          <w:spacing w:val="-4"/>
          <w:w w:val="105"/>
          <w:sz w:val="21"/>
        </w:rPr>
        <w:t> </w:t>
      </w:r>
      <w:r>
        <w:rPr>
          <w:w w:val="105"/>
          <w:sz w:val="21"/>
        </w:rPr>
        <w:t>what</w:t>
      </w:r>
      <w:r>
        <w:rPr>
          <w:spacing w:val="-5"/>
          <w:w w:val="105"/>
          <w:sz w:val="21"/>
        </w:rPr>
        <w:t> </w:t>
      </w:r>
      <w:r>
        <w:rPr>
          <w:w w:val="105"/>
          <w:sz w:val="21"/>
        </w:rPr>
        <w:t>must</w:t>
      </w:r>
      <w:r>
        <w:rPr>
          <w:spacing w:val="-5"/>
          <w:w w:val="105"/>
          <w:sz w:val="21"/>
        </w:rPr>
        <w:t> </w:t>
      </w:r>
      <w:r>
        <w:rPr>
          <w:w w:val="105"/>
          <w:sz w:val="21"/>
        </w:rPr>
        <w:t>be</w:t>
      </w:r>
      <w:r>
        <w:rPr>
          <w:spacing w:val="-5"/>
          <w:w w:val="105"/>
          <w:sz w:val="21"/>
        </w:rPr>
        <w:t> </w:t>
      </w:r>
      <w:r>
        <w:rPr>
          <w:spacing w:val="-3"/>
          <w:w w:val="105"/>
          <w:sz w:val="21"/>
        </w:rPr>
        <w:t>included</w:t>
      </w:r>
      <w:r>
        <w:rPr>
          <w:spacing w:val="-4"/>
          <w:w w:val="105"/>
          <w:sz w:val="21"/>
        </w:rPr>
        <w:t> </w:t>
      </w:r>
      <w:r>
        <w:rPr>
          <w:w w:val="105"/>
          <w:sz w:val="21"/>
        </w:rPr>
        <w:t>in</w:t>
      </w:r>
      <w:r>
        <w:rPr>
          <w:spacing w:val="-5"/>
          <w:w w:val="105"/>
          <w:sz w:val="21"/>
        </w:rPr>
        <w:t> </w:t>
      </w:r>
      <w:r>
        <w:rPr>
          <w:w w:val="105"/>
          <w:sz w:val="21"/>
        </w:rPr>
        <w:t>a</w:t>
      </w:r>
      <w:r>
        <w:rPr>
          <w:spacing w:val="-5"/>
          <w:w w:val="105"/>
          <w:sz w:val="21"/>
        </w:rPr>
        <w:t> </w:t>
      </w:r>
      <w:r>
        <w:rPr>
          <w:w w:val="105"/>
          <w:sz w:val="21"/>
        </w:rPr>
        <w:t>report,</w:t>
      </w:r>
      <w:r>
        <w:rPr>
          <w:spacing w:val="-4"/>
          <w:w w:val="105"/>
          <w:sz w:val="21"/>
        </w:rPr>
        <w:t> </w:t>
      </w:r>
      <w:r>
        <w:rPr>
          <w:spacing w:val="-3"/>
          <w:w w:val="105"/>
          <w:sz w:val="21"/>
        </w:rPr>
        <w:t>including</w:t>
      </w:r>
      <w:r>
        <w:rPr>
          <w:spacing w:val="-5"/>
          <w:w w:val="105"/>
          <w:sz w:val="21"/>
        </w:rPr>
        <w:t> </w:t>
      </w:r>
      <w:r>
        <w:rPr>
          <w:w w:val="105"/>
          <w:sz w:val="21"/>
        </w:rPr>
        <w:t>a</w:t>
      </w:r>
      <w:r>
        <w:rPr>
          <w:spacing w:val="-5"/>
          <w:w w:val="105"/>
          <w:sz w:val="21"/>
        </w:rPr>
        <w:t> </w:t>
      </w:r>
      <w:r>
        <w:rPr>
          <w:w w:val="105"/>
          <w:sz w:val="21"/>
        </w:rPr>
        <w:t>description of the inspection process used, </w:t>
      </w:r>
      <w:r>
        <w:rPr>
          <w:spacing w:val="-3"/>
          <w:w w:val="105"/>
          <w:sz w:val="21"/>
        </w:rPr>
        <w:t>for </w:t>
      </w:r>
      <w:r>
        <w:rPr>
          <w:w w:val="105"/>
          <w:sz w:val="21"/>
        </w:rPr>
        <w:t>example the risk assessment methodology; a discussion of the application of </w:t>
      </w:r>
      <w:r>
        <w:rPr>
          <w:spacing w:val="-3"/>
          <w:w w:val="105"/>
          <w:sz w:val="21"/>
        </w:rPr>
        <w:t>any </w:t>
      </w:r>
      <w:r>
        <w:rPr>
          <w:w w:val="105"/>
          <w:sz w:val="21"/>
        </w:rPr>
        <w:t>local </w:t>
      </w:r>
      <w:r>
        <w:rPr>
          <w:spacing w:val="-3"/>
          <w:w w:val="105"/>
          <w:sz w:val="21"/>
        </w:rPr>
        <w:t>planning </w:t>
      </w:r>
      <w:r>
        <w:rPr>
          <w:w w:val="105"/>
          <w:sz w:val="21"/>
        </w:rPr>
        <w:t>policies or tree protection </w:t>
      </w:r>
      <w:r>
        <w:rPr>
          <w:spacing w:val="-3"/>
          <w:w w:val="105"/>
          <w:sz w:val="21"/>
        </w:rPr>
        <w:t>controls; </w:t>
      </w:r>
      <w:r>
        <w:rPr>
          <w:w w:val="105"/>
          <w:sz w:val="21"/>
        </w:rPr>
        <w:t>and an overview of the </w:t>
      </w:r>
      <w:r>
        <w:rPr>
          <w:spacing w:val="-3"/>
          <w:w w:val="105"/>
          <w:sz w:val="21"/>
        </w:rPr>
        <w:t>retention value </w:t>
      </w:r>
      <w:r>
        <w:rPr>
          <w:w w:val="105"/>
          <w:sz w:val="21"/>
        </w:rPr>
        <w:t>of the </w:t>
      </w:r>
      <w:r>
        <w:rPr>
          <w:spacing w:val="-6"/>
          <w:w w:val="105"/>
          <w:sz w:val="21"/>
        </w:rPr>
        <w:t>tree.</w:t>
      </w:r>
      <w:r>
        <w:rPr>
          <w:spacing w:val="-6"/>
          <w:w w:val="105"/>
          <w:position w:val="7"/>
          <w:sz w:val="12"/>
        </w:rPr>
        <w:t>116 </w:t>
      </w:r>
      <w:r>
        <w:rPr>
          <w:spacing w:val="-4"/>
          <w:w w:val="105"/>
          <w:sz w:val="21"/>
        </w:rPr>
        <w:t>Council </w:t>
      </w:r>
      <w:r>
        <w:rPr>
          <w:spacing w:val="-3"/>
          <w:w w:val="105"/>
          <w:sz w:val="21"/>
        </w:rPr>
        <w:t>may </w:t>
      </w:r>
      <w:r>
        <w:rPr>
          <w:w w:val="105"/>
          <w:sz w:val="21"/>
        </w:rPr>
        <w:t>reject a report with </w:t>
      </w:r>
      <w:r>
        <w:rPr>
          <w:spacing w:val="-3"/>
          <w:w w:val="105"/>
          <w:sz w:val="21"/>
        </w:rPr>
        <w:t>significant </w:t>
      </w:r>
      <w:r>
        <w:rPr>
          <w:w w:val="105"/>
          <w:sz w:val="21"/>
        </w:rPr>
        <w:t>errors or </w:t>
      </w:r>
      <w:r>
        <w:rPr>
          <w:spacing w:val="-5"/>
          <w:w w:val="105"/>
          <w:sz w:val="21"/>
        </w:rPr>
        <w:t>omissions.</w:t>
      </w:r>
      <w:r>
        <w:rPr>
          <w:spacing w:val="-5"/>
          <w:w w:val="105"/>
          <w:position w:val="7"/>
          <w:sz w:val="12"/>
        </w:rPr>
        <w:t>117 </w:t>
      </w:r>
      <w:r>
        <w:rPr>
          <w:spacing w:val="-4"/>
          <w:w w:val="105"/>
          <w:sz w:val="21"/>
        </w:rPr>
        <w:t>Council </w:t>
      </w:r>
      <w:r>
        <w:rPr>
          <w:spacing w:val="-2"/>
          <w:w w:val="105"/>
          <w:sz w:val="21"/>
        </w:rPr>
        <w:t>has </w:t>
      </w:r>
      <w:r>
        <w:rPr>
          <w:spacing w:val="-3"/>
          <w:w w:val="105"/>
          <w:sz w:val="21"/>
        </w:rPr>
        <w:t>found that </w:t>
      </w:r>
      <w:r>
        <w:rPr>
          <w:w w:val="105"/>
          <w:sz w:val="21"/>
        </w:rPr>
        <w:t>the reports it receives </w:t>
      </w:r>
      <w:r>
        <w:rPr>
          <w:spacing w:val="-3"/>
          <w:w w:val="105"/>
          <w:sz w:val="21"/>
        </w:rPr>
        <w:t>from </w:t>
      </w:r>
      <w:r>
        <w:rPr>
          <w:w w:val="105"/>
          <w:sz w:val="21"/>
        </w:rPr>
        <w:t>arborists vary </w:t>
      </w:r>
      <w:r>
        <w:rPr>
          <w:spacing w:val="-3"/>
          <w:w w:val="105"/>
          <w:sz w:val="21"/>
        </w:rPr>
        <w:t>considerably </w:t>
      </w:r>
      <w:r>
        <w:rPr>
          <w:w w:val="105"/>
          <w:sz w:val="21"/>
        </w:rPr>
        <w:t>in quality and </w:t>
      </w:r>
      <w:r>
        <w:rPr>
          <w:spacing w:val="-6"/>
          <w:w w:val="105"/>
          <w:sz w:val="21"/>
        </w:rPr>
        <w:t>content.</w:t>
      </w:r>
      <w:r>
        <w:rPr>
          <w:spacing w:val="-6"/>
          <w:w w:val="105"/>
          <w:position w:val="7"/>
          <w:sz w:val="12"/>
        </w:rPr>
        <w:t>118 </w:t>
      </w:r>
      <w:r>
        <w:rPr>
          <w:w w:val="105"/>
          <w:sz w:val="21"/>
        </w:rPr>
        <w:t>The most </w:t>
      </w:r>
      <w:r>
        <w:rPr>
          <w:spacing w:val="-2"/>
          <w:w w:val="105"/>
          <w:sz w:val="21"/>
        </w:rPr>
        <w:t>common </w:t>
      </w:r>
      <w:r>
        <w:rPr>
          <w:w w:val="105"/>
          <w:sz w:val="21"/>
        </w:rPr>
        <w:t>error </w:t>
      </w:r>
      <w:r>
        <w:rPr>
          <w:spacing w:val="-3"/>
          <w:w w:val="105"/>
          <w:sz w:val="21"/>
        </w:rPr>
        <w:t>that </w:t>
      </w:r>
      <w:r>
        <w:rPr>
          <w:w w:val="105"/>
          <w:sz w:val="21"/>
        </w:rPr>
        <w:t>arborists </w:t>
      </w:r>
      <w:r>
        <w:rPr>
          <w:spacing w:val="-4"/>
          <w:w w:val="105"/>
          <w:sz w:val="21"/>
        </w:rPr>
        <w:t>make </w:t>
      </w:r>
      <w:r>
        <w:rPr>
          <w:w w:val="105"/>
          <w:sz w:val="21"/>
        </w:rPr>
        <w:t>is </w:t>
      </w:r>
      <w:r>
        <w:rPr>
          <w:spacing w:val="-2"/>
          <w:w w:val="105"/>
          <w:sz w:val="21"/>
        </w:rPr>
        <w:t>not </w:t>
      </w:r>
      <w:r>
        <w:rPr>
          <w:w w:val="105"/>
          <w:sz w:val="21"/>
        </w:rPr>
        <w:t>undertaking a risk assessment in </w:t>
      </w:r>
      <w:r>
        <w:rPr>
          <w:spacing w:val="-3"/>
          <w:w w:val="105"/>
          <w:sz w:val="21"/>
        </w:rPr>
        <w:t>line </w:t>
      </w:r>
      <w:r>
        <w:rPr>
          <w:w w:val="105"/>
          <w:sz w:val="21"/>
        </w:rPr>
        <w:t>with an industry-recognised </w:t>
      </w:r>
      <w:r>
        <w:rPr>
          <w:spacing w:val="-5"/>
          <w:w w:val="105"/>
          <w:sz w:val="21"/>
        </w:rPr>
        <w:t>methodology.</w:t>
      </w:r>
      <w:r>
        <w:rPr>
          <w:spacing w:val="-5"/>
          <w:w w:val="105"/>
          <w:position w:val="7"/>
          <w:sz w:val="12"/>
        </w:rPr>
        <w:t>119</w:t>
      </w:r>
    </w:p>
    <w:p>
      <w:pPr>
        <w:pStyle w:val="ListParagraph"/>
        <w:numPr>
          <w:ilvl w:val="1"/>
          <w:numId w:val="16"/>
        </w:numPr>
        <w:tabs>
          <w:tab w:pos="2381" w:val="left" w:leader="none"/>
          <w:tab w:pos="2382" w:val="left" w:leader="none"/>
        </w:tabs>
        <w:spacing w:line="242" w:lineRule="auto" w:before="129" w:after="0"/>
        <w:ind w:left="2381" w:right="1877" w:hanging="794"/>
        <w:jc w:val="left"/>
        <w:rPr>
          <w:sz w:val="21"/>
        </w:rPr>
      </w:pPr>
      <w:r>
        <w:rPr>
          <w:spacing w:val="-3"/>
          <w:w w:val="105"/>
          <w:sz w:val="21"/>
        </w:rPr>
        <w:t>Nillumbik Shire </w:t>
      </w:r>
      <w:r>
        <w:rPr>
          <w:spacing w:val="-4"/>
          <w:w w:val="105"/>
          <w:sz w:val="21"/>
        </w:rPr>
        <w:t>Council </w:t>
      </w:r>
      <w:r>
        <w:rPr>
          <w:w w:val="105"/>
          <w:sz w:val="21"/>
        </w:rPr>
        <w:t>advised </w:t>
      </w:r>
      <w:r>
        <w:rPr>
          <w:spacing w:val="-3"/>
          <w:w w:val="105"/>
          <w:sz w:val="21"/>
        </w:rPr>
        <w:t>that </w:t>
      </w:r>
      <w:r>
        <w:rPr>
          <w:w w:val="105"/>
          <w:sz w:val="21"/>
        </w:rPr>
        <w:t>if a </w:t>
      </w:r>
      <w:r>
        <w:rPr>
          <w:spacing w:val="-3"/>
          <w:w w:val="105"/>
          <w:sz w:val="21"/>
        </w:rPr>
        <w:t>planning </w:t>
      </w:r>
      <w:r>
        <w:rPr>
          <w:w w:val="105"/>
          <w:sz w:val="21"/>
        </w:rPr>
        <w:t>application is received by </w:t>
      </w:r>
      <w:r>
        <w:rPr>
          <w:spacing w:val="-4"/>
          <w:w w:val="105"/>
          <w:sz w:val="21"/>
        </w:rPr>
        <w:t>Council </w:t>
      </w:r>
      <w:r>
        <w:rPr>
          <w:w w:val="105"/>
          <w:sz w:val="21"/>
        </w:rPr>
        <w:t>which </w:t>
      </w:r>
      <w:r>
        <w:rPr>
          <w:spacing w:val="-3"/>
          <w:w w:val="105"/>
          <w:sz w:val="21"/>
        </w:rPr>
        <w:t>requires </w:t>
      </w:r>
      <w:r>
        <w:rPr>
          <w:w w:val="105"/>
          <w:sz w:val="21"/>
        </w:rPr>
        <w:t>tree </w:t>
      </w:r>
      <w:r>
        <w:rPr>
          <w:spacing w:val="-3"/>
          <w:w w:val="105"/>
          <w:sz w:val="21"/>
        </w:rPr>
        <w:t>removal </w:t>
      </w:r>
      <w:r>
        <w:rPr>
          <w:w w:val="105"/>
          <w:sz w:val="21"/>
        </w:rPr>
        <w:t>or </w:t>
      </w:r>
      <w:r>
        <w:rPr>
          <w:spacing w:val="-3"/>
          <w:w w:val="105"/>
          <w:sz w:val="21"/>
        </w:rPr>
        <w:t>may </w:t>
      </w:r>
      <w:r>
        <w:rPr>
          <w:w w:val="105"/>
          <w:sz w:val="21"/>
        </w:rPr>
        <w:t>impact on existing vegetation, a </w:t>
      </w:r>
      <w:r>
        <w:rPr>
          <w:spacing w:val="-3"/>
          <w:w w:val="105"/>
          <w:sz w:val="21"/>
        </w:rPr>
        <w:t>private consulting </w:t>
      </w:r>
      <w:r>
        <w:rPr>
          <w:w w:val="105"/>
          <w:sz w:val="21"/>
        </w:rPr>
        <w:t>arborist</w:t>
      </w:r>
      <w:r>
        <w:rPr>
          <w:spacing w:val="-9"/>
          <w:w w:val="105"/>
          <w:sz w:val="21"/>
        </w:rPr>
        <w:t> </w:t>
      </w:r>
      <w:r>
        <w:rPr>
          <w:spacing w:val="-2"/>
          <w:w w:val="105"/>
          <w:sz w:val="21"/>
        </w:rPr>
        <w:t>has</w:t>
      </w:r>
      <w:r>
        <w:rPr>
          <w:spacing w:val="-8"/>
          <w:w w:val="105"/>
          <w:sz w:val="21"/>
        </w:rPr>
        <w:t> </w:t>
      </w:r>
      <w:r>
        <w:rPr>
          <w:spacing w:val="-3"/>
          <w:w w:val="105"/>
          <w:sz w:val="21"/>
        </w:rPr>
        <w:t>usually</w:t>
      </w:r>
      <w:r>
        <w:rPr>
          <w:spacing w:val="-9"/>
          <w:w w:val="105"/>
          <w:sz w:val="21"/>
        </w:rPr>
        <w:t> </w:t>
      </w:r>
      <w:r>
        <w:rPr>
          <w:w w:val="105"/>
          <w:sz w:val="21"/>
        </w:rPr>
        <w:t>been</w:t>
      </w:r>
      <w:r>
        <w:rPr>
          <w:spacing w:val="-8"/>
          <w:w w:val="105"/>
          <w:sz w:val="21"/>
        </w:rPr>
        <w:t> </w:t>
      </w:r>
      <w:r>
        <w:rPr>
          <w:w w:val="105"/>
          <w:sz w:val="21"/>
        </w:rPr>
        <w:t>engaged</w:t>
      </w:r>
      <w:r>
        <w:rPr>
          <w:spacing w:val="-8"/>
          <w:w w:val="105"/>
          <w:sz w:val="21"/>
        </w:rPr>
        <w:t> </w:t>
      </w:r>
      <w:r>
        <w:rPr>
          <w:w w:val="105"/>
          <w:sz w:val="21"/>
        </w:rPr>
        <w:t>by</w:t>
      </w:r>
      <w:r>
        <w:rPr>
          <w:spacing w:val="-9"/>
          <w:w w:val="105"/>
          <w:sz w:val="21"/>
        </w:rPr>
        <w:t> </w:t>
      </w:r>
      <w:r>
        <w:rPr>
          <w:w w:val="105"/>
          <w:sz w:val="21"/>
        </w:rPr>
        <w:t>the</w:t>
      </w:r>
      <w:r>
        <w:rPr>
          <w:spacing w:val="-8"/>
          <w:w w:val="105"/>
          <w:sz w:val="21"/>
        </w:rPr>
        <w:t> </w:t>
      </w:r>
      <w:r>
        <w:rPr>
          <w:w w:val="105"/>
          <w:sz w:val="21"/>
        </w:rPr>
        <w:t>developer</w:t>
      </w:r>
      <w:r>
        <w:rPr>
          <w:spacing w:val="-8"/>
          <w:w w:val="105"/>
          <w:sz w:val="21"/>
        </w:rPr>
        <w:t> </w:t>
      </w:r>
      <w:r>
        <w:rPr>
          <w:spacing w:val="-3"/>
          <w:w w:val="105"/>
          <w:sz w:val="21"/>
        </w:rPr>
        <w:t>to</w:t>
      </w:r>
      <w:r>
        <w:rPr>
          <w:spacing w:val="-9"/>
          <w:w w:val="105"/>
          <w:sz w:val="21"/>
        </w:rPr>
        <w:t> </w:t>
      </w:r>
      <w:r>
        <w:rPr>
          <w:w w:val="105"/>
          <w:sz w:val="21"/>
        </w:rPr>
        <w:t>undertake</w:t>
      </w:r>
      <w:r>
        <w:rPr>
          <w:spacing w:val="-8"/>
          <w:w w:val="105"/>
          <w:sz w:val="21"/>
        </w:rPr>
        <w:t> </w:t>
      </w:r>
      <w:r>
        <w:rPr>
          <w:w w:val="105"/>
          <w:sz w:val="21"/>
        </w:rPr>
        <w:t>a</w:t>
      </w:r>
      <w:r>
        <w:rPr>
          <w:spacing w:val="-8"/>
          <w:w w:val="105"/>
          <w:sz w:val="21"/>
        </w:rPr>
        <w:t> </w:t>
      </w:r>
      <w:r>
        <w:rPr>
          <w:spacing w:val="-3"/>
          <w:w w:val="105"/>
          <w:sz w:val="21"/>
        </w:rPr>
        <w:t>site</w:t>
      </w:r>
      <w:r>
        <w:rPr>
          <w:spacing w:val="-9"/>
          <w:w w:val="105"/>
          <w:sz w:val="21"/>
        </w:rPr>
        <w:t> </w:t>
      </w:r>
      <w:r>
        <w:rPr>
          <w:w w:val="105"/>
          <w:sz w:val="21"/>
        </w:rPr>
        <w:t>inspection</w:t>
      </w:r>
      <w:r>
        <w:rPr>
          <w:spacing w:val="-8"/>
          <w:w w:val="105"/>
          <w:sz w:val="21"/>
        </w:rPr>
        <w:t> </w:t>
      </w:r>
      <w:r>
        <w:rPr>
          <w:w w:val="105"/>
          <w:sz w:val="21"/>
        </w:rPr>
        <w:t>and assessment. If not, an arborist’s report </w:t>
      </w:r>
      <w:r>
        <w:rPr>
          <w:spacing w:val="-3"/>
          <w:w w:val="105"/>
          <w:sz w:val="21"/>
        </w:rPr>
        <w:t>will </w:t>
      </w:r>
      <w:r>
        <w:rPr>
          <w:w w:val="105"/>
          <w:sz w:val="21"/>
        </w:rPr>
        <w:t>be </w:t>
      </w:r>
      <w:r>
        <w:rPr>
          <w:spacing w:val="-3"/>
          <w:w w:val="105"/>
          <w:sz w:val="21"/>
        </w:rPr>
        <w:t>required for </w:t>
      </w:r>
      <w:r>
        <w:rPr>
          <w:spacing w:val="-4"/>
          <w:w w:val="105"/>
          <w:sz w:val="21"/>
        </w:rPr>
        <w:t>assessment.</w:t>
      </w:r>
      <w:r>
        <w:rPr>
          <w:spacing w:val="-4"/>
          <w:w w:val="105"/>
          <w:position w:val="7"/>
          <w:sz w:val="12"/>
        </w:rPr>
        <w:t>120 </w:t>
      </w:r>
      <w:r>
        <w:rPr>
          <w:spacing w:val="-4"/>
          <w:w w:val="105"/>
          <w:sz w:val="21"/>
        </w:rPr>
        <w:t>Generally, all </w:t>
      </w:r>
      <w:r>
        <w:rPr>
          <w:w w:val="105"/>
          <w:sz w:val="21"/>
        </w:rPr>
        <w:t>arborist</w:t>
      </w:r>
      <w:r>
        <w:rPr>
          <w:spacing w:val="-9"/>
          <w:w w:val="105"/>
          <w:sz w:val="21"/>
        </w:rPr>
        <w:t> </w:t>
      </w:r>
      <w:r>
        <w:rPr>
          <w:w w:val="105"/>
          <w:sz w:val="21"/>
        </w:rPr>
        <w:t>reports</w:t>
      </w:r>
      <w:r>
        <w:rPr>
          <w:spacing w:val="-9"/>
          <w:w w:val="105"/>
          <w:sz w:val="21"/>
        </w:rPr>
        <w:t> </w:t>
      </w:r>
      <w:r>
        <w:rPr>
          <w:spacing w:val="-2"/>
          <w:w w:val="105"/>
          <w:sz w:val="21"/>
        </w:rPr>
        <w:t>submitted</w:t>
      </w:r>
      <w:r>
        <w:rPr>
          <w:spacing w:val="-9"/>
          <w:w w:val="105"/>
          <w:sz w:val="21"/>
        </w:rPr>
        <w:t> </w:t>
      </w:r>
      <w:r>
        <w:rPr>
          <w:w w:val="105"/>
          <w:sz w:val="21"/>
        </w:rPr>
        <w:t>with</w:t>
      </w:r>
      <w:r>
        <w:rPr>
          <w:spacing w:val="-9"/>
          <w:w w:val="105"/>
          <w:sz w:val="21"/>
        </w:rPr>
        <w:t> </w:t>
      </w:r>
      <w:r>
        <w:rPr>
          <w:w w:val="105"/>
          <w:sz w:val="21"/>
        </w:rPr>
        <w:t>a</w:t>
      </w:r>
      <w:r>
        <w:rPr>
          <w:spacing w:val="-9"/>
          <w:w w:val="105"/>
          <w:sz w:val="21"/>
        </w:rPr>
        <w:t> </w:t>
      </w:r>
      <w:r>
        <w:rPr>
          <w:spacing w:val="-3"/>
          <w:w w:val="105"/>
          <w:sz w:val="21"/>
        </w:rPr>
        <w:t>planning</w:t>
      </w:r>
      <w:r>
        <w:rPr>
          <w:spacing w:val="-9"/>
          <w:w w:val="105"/>
          <w:sz w:val="21"/>
        </w:rPr>
        <w:t> </w:t>
      </w:r>
      <w:r>
        <w:rPr>
          <w:w w:val="105"/>
          <w:sz w:val="21"/>
        </w:rPr>
        <w:t>application</w:t>
      </w:r>
      <w:r>
        <w:rPr>
          <w:spacing w:val="-9"/>
          <w:w w:val="105"/>
          <w:sz w:val="21"/>
        </w:rPr>
        <w:t> </w:t>
      </w:r>
      <w:r>
        <w:rPr>
          <w:spacing w:val="-3"/>
          <w:w w:val="105"/>
          <w:sz w:val="21"/>
        </w:rPr>
        <w:t>will</w:t>
      </w:r>
      <w:r>
        <w:rPr>
          <w:spacing w:val="-9"/>
          <w:w w:val="105"/>
          <w:sz w:val="21"/>
        </w:rPr>
        <w:t> </w:t>
      </w:r>
      <w:r>
        <w:rPr>
          <w:w w:val="105"/>
          <w:sz w:val="21"/>
        </w:rPr>
        <w:t>be</w:t>
      </w:r>
      <w:r>
        <w:rPr>
          <w:spacing w:val="-9"/>
          <w:w w:val="105"/>
          <w:sz w:val="21"/>
        </w:rPr>
        <w:t> </w:t>
      </w:r>
      <w:r>
        <w:rPr>
          <w:w w:val="105"/>
          <w:sz w:val="21"/>
        </w:rPr>
        <w:t>reviewed</w:t>
      </w:r>
      <w:r>
        <w:rPr>
          <w:spacing w:val="-9"/>
          <w:w w:val="105"/>
          <w:sz w:val="21"/>
        </w:rPr>
        <w:t> </w:t>
      </w:r>
      <w:r>
        <w:rPr>
          <w:w w:val="105"/>
          <w:sz w:val="21"/>
        </w:rPr>
        <w:t>by</w:t>
      </w:r>
      <w:r>
        <w:rPr>
          <w:spacing w:val="-9"/>
          <w:w w:val="105"/>
          <w:sz w:val="21"/>
        </w:rPr>
        <w:t> </w:t>
      </w:r>
      <w:r>
        <w:rPr>
          <w:w w:val="105"/>
          <w:sz w:val="21"/>
        </w:rPr>
        <w:t>the</w:t>
      </w:r>
      <w:r>
        <w:rPr>
          <w:spacing w:val="-8"/>
          <w:w w:val="105"/>
          <w:sz w:val="21"/>
        </w:rPr>
        <w:t> </w:t>
      </w:r>
      <w:r>
        <w:rPr>
          <w:spacing w:val="-3"/>
          <w:w w:val="105"/>
          <w:sz w:val="21"/>
        </w:rPr>
        <w:t>Planning</w:t>
      </w:r>
    </w:p>
    <w:p>
      <w:pPr>
        <w:pStyle w:val="BodyText"/>
        <w:spacing w:before="5"/>
        <w:ind w:left="2381"/>
      </w:pPr>
      <w:r>
        <w:rPr/>
        <w:t>Services’ consulting arborist, which will include a site inspection, to ensure the information</w:t>
      </w:r>
    </w:p>
    <w:p>
      <w:pPr>
        <w:pStyle w:val="BodyText"/>
        <w:rPr>
          <w:sz w:val="20"/>
        </w:rPr>
      </w:pPr>
    </w:p>
    <w:p>
      <w:pPr>
        <w:pStyle w:val="BodyText"/>
        <w:spacing w:before="5"/>
        <w:rPr>
          <w:sz w:val="18"/>
        </w:rPr>
      </w:pPr>
      <w:r>
        <w:rPr/>
        <w:pict>
          <v:line style="position:absolute;mso-position-horizontal-relative:page;mso-position-vertical-relative:paragraph;z-index:7928;mso-wrap-distance-left:0;mso-wrap-distance-right:0" from="79.370003pt,13.700646pt" to="515.905003pt,13.700646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7"/>
        </w:rPr>
      </w:pPr>
    </w:p>
    <w:p>
      <w:pPr>
        <w:spacing w:before="0"/>
        <w:ind w:left="720" w:right="0" w:firstLine="0"/>
        <w:jc w:val="left"/>
        <w:rPr>
          <w:b/>
          <w:sz w:val="24"/>
        </w:rPr>
      </w:pPr>
      <w:r>
        <w:rPr>
          <w:b/>
          <w:color w:val="658464"/>
          <w:w w:val="105"/>
          <w:sz w:val="24"/>
        </w:rPr>
        <w:t>178</w:t>
      </w:r>
    </w:p>
    <w:p>
      <w:pPr>
        <w:pStyle w:val="ListParagraph"/>
        <w:numPr>
          <w:ilvl w:val="0"/>
          <w:numId w:val="131"/>
        </w:numPr>
        <w:tabs>
          <w:tab w:pos="1235" w:val="left" w:leader="none"/>
          <w:tab w:pos="1236" w:val="left" w:leader="none"/>
        </w:tabs>
        <w:spacing w:line="240" w:lineRule="auto" w:before="48" w:after="0"/>
        <w:ind w:left="1235" w:right="0" w:hanging="794"/>
        <w:jc w:val="left"/>
        <w:rPr>
          <w:sz w:val="13"/>
        </w:rPr>
      </w:pPr>
      <w:r>
        <w:rPr>
          <w:spacing w:val="3"/>
          <w:w w:val="102"/>
          <w:sz w:val="13"/>
        </w:rPr>
        <w:br w:type="column"/>
      </w:r>
      <w:r>
        <w:rPr>
          <w:w w:val="105"/>
          <w:sz w:val="13"/>
        </w:rPr>
        <w:t>The</w:t>
      </w:r>
      <w:r>
        <w:rPr>
          <w:spacing w:val="4"/>
          <w:w w:val="105"/>
          <w:sz w:val="13"/>
        </w:rPr>
        <w:t> </w:t>
      </w:r>
      <w:r>
        <w:rPr>
          <w:w w:val="105"/>
          <w:sz w:val="13"/>
        </w:rPr>
        <w:t>qualification</w:t>
      </w:r>
      <w:r>
        <w:rPr>
          <w:spacing w:val="5"/>
          <w:w w:val="105"/>
          <w:sz w:val="13"/>
        </w:rPr>
        <w:t> </w:t>
      </w:r>
      <w:r>
        <w:rPr>
          <w:w w:val="105"/>
          <w:sz w:val="13"/>
        </w:rPr>
        <w:t>requirements</w:t>
      </w:r>
      <w:r>
        <w:rPr>
          <w:spacing w:val="5"/>
          <w:w w:val="105"/>
          <w:sz w:val="13"/>
        </w:rPr>
        <w:t> </w:t>
      </w:r>
      <w:r>
        <w:rPr>
          <w:w w:val="105"/>
          <w:sz w:val="13"/>
        </w:rPr>
        <w:t>of</w:t>
      </w:r>
      <w:r>
        <w:rPr>
          <w:spacing w:val="5"/>
          <w:w w:val="105"/>
          <w:sz w:val="13"/>
        </w:rPr>
        <w:t> </w:t>
      </w:r>
      <w:r>
        <w:rPr>
          <w:w w:val="105"/>
          <w:sz w:val="13"/>
        </w:rPr>
        <w:t>arborists</w:t>
      </w:r>
      <w:r>
        <w:rPr>
          <w:spacing w:val="5"/>
          <w:w w:val="105"/>
          <w:sz w:val="13"/>
        </w:rPr>
        <w:t> </w:t>
      </w:r>
      <w:r>
        <w:rPr>
          <w:w w:val="105"/>
          <w:sz w:val="13"/>
        </w:rPr>
        <w:t>are</w:t>
      </w:r>
      <w:r>
        <w:rPr>
          <w:spacing w:val="4"/>
          <w:w w:val="105"/>
          <w:sz w:val="13"/>
        </w:rPr>
        <w:t> </w:t>
      </w:r>
      <w:r>
        <w:rPr>
          <w:w w:val="105"/>
          <w:sz w:val="13"/>
        </w:rPr>
        <w:t>not</w:t>
      </w:r>
      <w:r>
        <w:rPr>
          <w:spacing w:val="5"/>
          <w:w w:val="105"/>
          <w:sz w:val="13"/>
        </w:rPr>
        <w:t> </w:t>
      </w:r>
      <w:r>
        <w:rPr>
          <w:w w:val="105"/>
          <w:sz w:val="13"/>
        </w:rPr>
        <w:t>further</w:t>
      </w:r>
      <w:r>
        <w:rPr>
          <w:spacing w:val="5"/>
          <w:w w:val="105"/>
          <w:sz w:val="13"/>
        </w:rPr>
        <w:t> </w:t>
      </w:r>
      <w:r>
        <w:rPr>
          <w:w w:val="105"/>
          <w:sz w:val="13"/>
        </w:rPr>
        <w:t>defined</w:t>
      </w:r>
      <w:r>
        <w:rPr>
          <w:spacing w:val="5"/>
          <w:w w:val="105"/>
          <w:sz w:val="13"/>
        </w:rPr>
        <w:t> </w:t>
      </w:r>
      <w:r>
        <w:rPr>
          <w:w w:val="105"/>
          <w:sz w:val="13"/>
        </w:rPr>
        <w:t>within</w:t>
      </w:r>
      <w:r>
        <w:rPr>
          <w:spacing w:val="5"/>
          <w:w w:val="105"/>
          <w:sz w:val="13"/>
        </w:rPr>
        <w:t> </w:t>
      </w:r>
      <w:r>
        <w:rPr>
          <w:w w:val="105"/>
          <w:sz w:val="13"/>
        </w:rPr>
        <w:t>the</w:t>
      </w:r>
      <w:r>
        <w:rPr>
          <w:spacing w:val="4"/>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r>
        <w:rPr>
          <w:spacing w:val="5"/>
          <w:w w:val="105"/>
          <w:sz w:val="13"/>
        </w:rPr>
        <w:t> </w:t>
      </w:r>
      <w:r>
        <w:rPr>
          <w:w w:val="105"/>
          <w:sz w:val="13"/>
        </w:rPr>
        <w:t>Planning</w:t>
      </w:r>
      <w:r>
        <w:rPr>
          <w:spacing w:val="5"/>
          <w:w w:val="105"/>
          <w:sz w:val="13"/>
        </w:rPr>
        <w:t> </w:t>
      </w:r>
      <w:r>
        <w:rPr>
          <w:w w:val="105"/>
          <w:sz w:val="13"/>
        </w:rPr>
        <w:t>Scheme.</w:t>
      </w:r>
    </w:p>
    <w:p>
      <w:pPr>
        <w:pStyle w:val="ListParagraph"/>
        <w:numPr>
          <w:ilvl w:val="0"/>
          <w:numId w:val="131"/>
        </w:numPr>
        <w:tabs>
          <w:tab w:pos="1235" w:val="left" w:leader="none"/>
          <w:tab w:pos="1236" w:val="left" w:leader="none"/>
        </w:tabs>
        <w:spacing w:line="240" w:lineRule="auto" w:before="1" w:after="0"/>
        <w:ind w:left="1235" w:right="0" w:hanging="794"/>
        <w:jc w:val="left"/>
        <w:rPr>
          <w:sz w:val="13"/>
        </w:rPr>
      </w:pPr>
      <w:r>
        <w:rPr>
          <w:w w:val="105"/>
          <w:sz w:val="13"/>
        </w:rPr>
        <w:t>City</w:t>
      </w:r>
      <w:r>
        <w:rPr>
          <w:spacing w:val="5"/>
          <w:w w:val="105"/>
          <w:sz w:val="13"/>
        </w:rPr>
        <w:t> </w:t>
      </w:r>
      <w:r>
        <w:rPr>
          <w:w w:val="105"/>
          <w:sz w:val="13"/>
        </w:rPr>
        <w:t>of</w:t>
      </w:r>
      <w:r>
        <w:rPr>
          <w:spacing w:val="6"/>
          <w:w w:val="105"/>
          <w:sz w:val="13"/>
        </w:rPr>
        <w:t> </w:t>
      </w:r>
      <w:r>
        <w:rPr>
          <w:w w:val="105"/>
          <w:sz w:val="13"/>
        </w:rPr>
        <w:t>Boroondara,</w:t>
      </w:r>
      <w:r>
        <w:rPr>
          <w:spacing w:val="5"/>
          <w:w w:val="105"/>
          <w:sz w:val="13"/>
        </w:rPr>
        <w:t> </w:t>
      </w:r>
      <w:r>
        <w:rPr>
          <w:i/>
          <w:w w:val="105"/>
          <w:sz w:val="13"/>
        </w:rPr>
        <w:t>City</w:t>
      </w:r>
      <w:r>
        <w:rPr>
          <w:i/>
          <w:spacing w:val="6"/>
          <w:w w:val="105"/>
          <w:sz w:val="13"/>
        </w:rPr>
        <w:t> </w:t>
      </w:r>
      <w:r>
        <w:rPr>
          <w:i/>
          <w:w w:val="105"/>
          <w:sz w:val="13"/>
        </w:rPr>
        <w:t>of</w:t>
      </w:r>
      <w:r>
        <w:rPr>
          <w:i/>
          <w:spacing w:val="6"/>
          <w:w w:val="105"/>
          <w:sz w:val="13"/>
        </w:rPr>
        <w:t> </w:t>
      </w:r>
      <w:r>
        <w:rPr>
          <w:i/>
          <w:w w:val="105"/>
          <w:sz w:val="13"/>
        </w:rPr>
        <w:t>Boroondara</w:t>
      </w:r>
      <w:r>
        <w:rPr>
          <w:i/>
          <w:spacing w:val="5"/>
          <w:w w:val="105"/>
          <w:sz w:val="13"/>
        </w:rPr>
        <w:t> </w:t>
      </w:r>
      <w:r>
        <w:rPr>
          <w:i/>
          <w:w w:val="105"/>
          <w:sz w:val="13"/>
        </w:rPr>
        <w:t>Planning</w:t>
      </w:r>
      <w:r>
        <w:rPr>
          <w:i/>
          <w:spacing w:val="6"/>
          <w:w w:val="105"/>
          <w:sz w:val="13"/>
        </w:rPr>
        <w:t> </w:t>
      </w:r>
      <w:r>
        <w:rPr>
          <w:i/>
          <w:w w:val="105"/>
          <w:sz w:val="13"/>
        </w:rPr>
        <w:t>Scheme</w:t>
      </w:r>
      <w:r>
        <w:rPr>
          <w:w w:val="105"/>
          <w:sz w:val="13"/>
        </w:rPr>
        <w:t>,</w:t>
      </w:r>
      <w:r>
        <w:rPr>
          <w:spacing w:val="5"/>
          <w:w w:val="105"/>
          <w:sz w:val="13"/>
        </w:rPr>
        <w:t> </w:t>
      </w:r>
      <w:r>
        <w:rPr>
          <w:spacing w:val="-3"/>
          <w:w w:val="105"/>
          <w:sz w:val="13"/>
        </w:rPr>
        <w:t>15</w:t>
      </w:r>
      <w:r>
        <w:rPr>
          <w:spacing w:val="6"/>
          <w:w w:val="105"/>
          <w:sz w:val="13"/>
        </w:rPr>
        <w:t> </w:t>
      </w:r>
      <w:r>
        <w:rPr>
          <w:w w:val="105"/>
          <w:sz w:val="13"/>
        </w:rPr>
        <w:t>March</w:t>
      </w:r>
      <w:r>
        <w:rPr>
          <w:spacing w:val="6"/>
          <w:w w:val="105"/>
          <w:sz w:val="13"/>
        </w:rPr>
        <w:t> </w:t>
      </w:r>
      <w:r>
        <w:rPr>
          <w:w w:val="105"/>
          <w:sz w:val="13"/>
        </w:rPr>
        <w:t>2019)</w:t>
      </w:r>
      <w:r>
        <w:rPr>
          <w:spacing w:val="5"/>
          <w:w w:val="105"/>
          <w:sz w:val="13"/>
        </w:rPr>
        <w:t> </w:t>
      </w:r>
      <w:r>
        <w:rPr>
          <w:w w:val="105"/>
          <w:sz w:val="13"/>
        </w:rPr>
        <w:t>cl</w:t>
      </w:r>
      <w:r>
        <w:rPr>
          <w:spacing w:val="6"/>
          <w:w w:val="105"/>
          <w:sz w:val="13"/>
        </w:rPr>
        <w:t> </w:t>
      </w:r>
      <w:r>
        <w:rPr>
          <w:w w:val="105"/>
          <w:sz w:val="13"/>
        </w:rPr>
        <w:t>42.03</w:t>
      </w:r>
      <w:r>
        <w:rPr>
          <w:spacing w:val="5"/>
          <w:w w:val="105"/>
          <w:sz w:val="13"/>
        </w:rPr>
        <w:t> </w:t>
      </w:r>
      <w:r>
        <w:rPr>
          <w:w w:val="105"/>
          <w:sz w:val="13"/>
        </w:rPr>
        <w:t>sch</w:t>
      </w:r>
      <w:r>
        <w:rPr>
          <w:spacing w:val="6"/>
          <w:w w:val="105"/>
          <w:sz w:val="13"/>
        </w:rPr>
        <w:t> </w:t>
      </w:r>
      <w:r>
        <w:rPr>
          <w:spacing w:val="-3"/>
          <w:w w:val="105"/>
          <w:sz w:val="13"/>
        </w:rPr>
        <w:t>1,</w:t>
      </w:r>
      <w:r>
        <w:rPr>
          <w:spacing w:val="6"/>
          <w:w w:val="105"/>
          <w:sz w:val="13"/>
        </w:rPr>
        <w:t> </w:t>
      </w:r>
      <w:r>
        <w:rPr>
          <w:w w:val="105"/>
          <w:sz w:val="13"/>
        </w:rPr>
        <w:t>4.0</w:t>
      </w:r>
      <w:r>
        <w:rPr>
          <w:spacing w:val="5"/>
          <w:w w:val="105"/>
          <w:sz w:val="13"/>
        </w:rPr>
        <w:t> </w:t>
      </w:r>
      <w:r>
        <w:rPr>
          <w:w w:val="105"/>
          <w:sz w:val="13"/>
        </w:rPr>
        <w:t>Application</w:t>
      </w:r>
      <w:r>
        <w:rPr>
          <w:spacing w:val="6"/>
          <w:w w:val="105"/>
          <w:sz w:val="13"/>
        </w:rPr>
        <w:t> </w:t>
      </w:r>
      <w:r>
        <w:rPr>
          <w:w w:val="105"/>
          <w:sz w:val="13"/>
        </w:rPr>
        <w:t>Requirements.</w:t>
      </w:r>
    </w:p>
    <w:p>
      <w:pPr>
        <w:pStyle w:val="ListParagraph"/>
        <w:numPr>
          <w:ilvl w:val="0"/>
          <w:numId w:val="131"/>
        </w:numPr>
        <w:tabs>
          <w:tab w:pos="1235" w:val="left" w:leader="none"/>
          <w:tab w:pos="1236" w:val="left" w:leader="none"/>
        </w:tabs>
        <w:spacing w:line="240" w:lineRule="auto" w:before="2" w:after="0"/>
        <w:ind w:left="1235" w:right="1850" w:hanging="794"/>
        <w:jc w:val="left"/>
        <w:rPr>
          <w:sz w:val="13"/>
        </w:rPr>
      </w:pPr>
      <w:r>
        <w:rPr>
          <w:w w:val="105"/>
          <w:sz w:val="13"/>
        </w:rPr>
        <w:t>City of Boroondara, </w:t>
      </w:r>
      <w:r>
        <w:rPr>
          <w:i/>
          <w:w w:val="105"/>
          <w:sz w:val="13"/>
        </w:rPr>
        <w:t>Arboricultural </w:t>
      </w:r>
      <w:r>
        <w:rPr>
          <w:i/>
          <w:spacing w:val="2"/>
          <w:w w:val="105"/>
          <w:sz w:val="13"/>
        </w:rPr>
        <w:t>Report </w:t>
      </w:r>
      <w:r>
        <w:rPr>
          <w:i/>
          <w:w w:val="105"/>
          <w:sz w:val="13"/>
        </w:rPr>
        <w:t>Writing Guide: Guide for the Preparation of Preliminary Arboricultural </w:t>
      </w:r>
      <w:r>
        <w:rPr>
          <w:i/>
          <w:spacing w:val="2"/>
          <w:w w:val="105"/>
          <w:sz w:val="13"/>
        </w:rPr>
        <w:t>Reports, </w:t>
      </w:r>
      <w:r>
        <w:rPr>
          <w:i/>
          <w:w w:val="105"/>
          <w:sz w:val="13"/>
        </w:rPr>
        <w:t>Arboricultural </w:t>
      </w:r>
      <w:r>
        <w:rPr>
          <w:i/>
          <w:w w:val="105"/>
          <w:sz w:val="13"/>
        </w:rPr>
        <w:t>Impact </w:t>
      </w:r>
      <w:r>
        <w:rPr>
          <w:i/>
          <w:spacing w:val="2"/>
          <w:w w:val="105"/>
          <w:sz w:val="13"/>
        </w:rPr>
        <w:t>Assessments, </w:t>
      </w:r>
      <w:r>
        <w:rPr>
          <w:i/>
          <w:w w:val="105"/>
          <w:sz w:val="13"/>
        </w:rPr>
        <w:t>Root Investigation/ Mapping </w:t>
      </w:r>
      <w:r>
        <w:rPr>
          <w:i/>
          <w:spacing w:val="2"/>
          <w:w w:val="105"/>
          <w:sz w:val="13"/>
        </w:rPr>
        <w:t>Reports, </w:t>
      </w:r>
      <w:r>
        <w:rPr>
          <w:i/>
          <w:w w:val="105"/>
          <w:sz w:val="13"/>
        </w:rPr>
        <w:t>Tree Management and Protection Plans and Transplant Method Statement, </w:t>
      </w:r>
      <w:r>
        <w:rPr>
          <w:w w:val="105"/>
          <w:sz w:val="13"/>
        </w:rPr>
        <w:t>(Guidelines, June</w:t>
      </w:r>
      <w:r>
        <w:rPr>
          <w:spacing w:val="9"/>
          <w:w w:val="105"/>
          <w:sz w:val="13"/>
        </w:rPr>
        <w:t> </w:t>
      </w:r>
      <w:r>
        <w:rPr>
          <w:w w:val="105"/>
          <w:sz w:val="13"/>
        </w:rPr>
        <w:t>2017).</w:t>
      </w:r>
    </w:p>
    <w:p>
      <w:pPr>
        <w:pStyle w:val="ListParagraph"/>
        <w:numPr>
          <w:ilvl w:val="0"/>
          <w:numId w:val="131"/>
        </w:numPr>
        <w:tabs>
          <w:tab w:pos="1235" w:val="left" w:leader="none"/>
          <w:tab w:pos="1236" w:val="left" w:leader="none"/>
        </w:tabs>
        <w:spacing w:line="240" w:lineRule="auto" w:before="4" w:after="0"/>
        <w:ind w:left="1235" w:right="0" w:hanging="794"/>
        <w:jc w:val="left"/>
        <w:rPr>
          <w:sz w:val="13"/>
        </w:rPr>
      </w:pPr>
      <w:r>
        <w:rPr>
          <w:sz w:val="13"/>
        </w:rPr>
        <w:t>Ibid.</w:t>
      </w:r>
    </w:p>
    <w:p>
      <w:pPr>
        <w:pStyle w:val="ListParagraph"/>
        <w:numPr>
          <w:ilvl w:val="0"/>
          <w:numId w:val="131"/>
        </w:numPr>
        <w:tabs>
          <w:tab w:pos="1235" w:val="left" w:leader="none"/>
          <w:tab w:pos="1236" w:val="left" w:leader="none"/>
        </w:tabs>
        <w:spacing w:line="240" w:lineRule="auto" w:before="1" w:after="0"/>
        <w:ind w:left="1235" w:right="1983" w:hanging="794"/>
        <w:jc w:val="left"/>
        <w:rPr>
          <w:sz w:val="13"/>
        </w:rPr>
      </w:pPr>
      <w:r>
        <w:rPr>
          <w:w w:val="105"/>
          <w:sz w:val="13"/>
        </w:rPr>
        <w:t>Ibid 3. See Ch 6 for a detailed discussion on the Australian Standards </w:t>
      </w:r>
      <w:r>
        <w:rPr>
          <w:i/>
          <w:w w:val="105"/>
          <w:sz w:val="13"/>
        </w:rPr>
        <w:t>Pruning of Amenity Trees </w:t>
      </w:r>
      <w:r>
        <w:rPr>
          <w:w w:val="105"/>
          <w:sz w:val="13"/>
        </w:rPr>
        <w:t>AS4373-2007 and </w:t>
      </w:r>
      <w:r>
        <w:rPr>
          <w:i/>
          <w:w w:val="105"/>
          <w:sz w:val="13"/>
        </w:rPr>
        <w:t>Protection of Trees    </w:t>
      </w:r>
      <w:r>
        <w:rPr>
          <w:i/>
          <w:w w:val="105"/>
          <w:sz w:val="13"/>
        </w:rPr>
        <w:t>on</w:t>
      </w:r>
      <w:r>
        <w:rPr>
          <w:i/>
          <w:spacing w:val="8"/>
          <w:w w:val="105"/>
          <w:sz w:val="13"/>
        </w:rPr>
        <w:t> </w:t>
      </w:r>
      <w:r>
        <w:rPr>
          <w:i/>
          <w:w w:val="105"/>
          <w:sz w:val="13"/>
        </w:rPr>
        <w:t>Development</w:t>
      </w:r>
      <w:r>
        <w:rPr>
          <w:i/>
          <w:spacing w:val="9"/>
          <w:w w:val="105"/>
          <w:sz w:val="13"/>
        </w:rPr>
        <w:t> </w:t>
      </w:r>
      <w:r>
        <w:rPr>
          <w:i/>
          <w:w w:val="105"/>
          <w:sz w:val="13"/>
        </w:rPr>
        <w:t>Sites</w:t>
      </w:r>
      <w:r>
        <w:rPr>
          <w:i/>
          <w:spacing w:val="9"/>
          <w:w w:val="105"/>
          <w:sz w:val="13"/>
        </w:rPr>
        <w:t> </w:t>
      </w:r>
      <w:r>
        <w:rPr>
          <w:w w:val="105"/>
          <w:sz w:val="13"/>
        </w:rPr>
        <w:t>AS4970-2009.</w:t>
      </w:r>
      <w:r>
        <w:rPr>
          <w:spacing w:val="9"/>
          <w:w w:val="105"/>
          <w:sz w:val="13"/>
        </w:rPr>
        <w:t> </w:t>
      </w:r>
      <w:r>
        <w:rPr>
          <w:w w:val="105"/>
          <w:sz w:val="13"/>
        </w:rPr>
        <w:t>In</w:t>
      </w:r>
      <w:r>
        <w:rPr>
          <w:spacing w:val="9"/>
          <w:w w:val="105"/>
          <w:sz w:val="13"/>
        </w:rPr>
        <w:t> </w:t>
      </w:r>
      <w:r>
        <w:rPr>
          <w:w w:val="105"/>
          <w:sz w:val="13"/>
        </w:rPr>
        <w:t>Ch</w:t>
      </w:r>
      <w:r>
        <w:rPr>
          <w:spacing w:val="9"/>
          <w:w w:val="105"/>
          <w:sz w:val="13"/>
        </w:rPr>
        <w:t> </w:t>
      </w:r>
      <w:r>
        <w:rPr>
          <w:w w:val="105"/>
          <w:sz w:val="13"/>
        </w:rPr>
        <w:t>9</w:t>
      </w:r>
      <w:r>
        <w:rPr>
          <w:spacing w:val="9"/>
          <w:w w:val="105"/>
          <w:sz w:val="13"/>
        </w:rPr>
        <w:t> </w:t>
      </w:r>
      <w:r>
        <w:rPr>
          <w:w w:val="105"/>
          <w:sz w:val="13"/>
        </w:rPr>
        <w:t>the</w:t>
      </w:r>
      <w:r>
        <w:rPr>
          <w:spacing w:val="9"/>
          <w:w w:val="105"/>
          <w:sz w:val="13"/>
        </w:rPr>
        <w:t> </w:t>
      </w:r>
      <w:r>
        <w:rPr>
          <w:w w:val="105"/>
          <w:sz w:val="13"/>
        </w:rPr>
        <w:t>Commission</w:t>
      </w:r>
      <w:r>
        <w:rPr>
          <w:spacing w:val="9"/>
          <w:w w:val="105"/>
          <w:sz w:val="13"/>
        </w:rPr>
        <w:t> </w:t>
      </w:r>
      <w:r>
        <w:rPr>
          <w:w w:val="105"/>
          <w:sz w:val="13"/>
        </w:rPr>
        <w:t>recommends</w:t>
      </w:r>
      <w:r>
        <w:rPr>
          <w:spacing w:val="9"/>
          <w:w w:val="105"/>
          <w:sz w:val="13"/>
        </w:rPr>
        <w:t> </w:t>
      </w:r>
      <w:r>
        <w:rPr>
          <w:w w:val="105"/>
          <w:sz w:val="13"/>
        </w:rPr>
        <w:t>that</w:t>
      </w:r>
      <w:r>
        <w:rPr>
          <w:spacing w:val="8"/>
          <w:w w:val="105"/>
          <w:sz w:val="13"/>
        </w:rPr>
        <w:t> </w:t>
      </w:r>
      <w:r>
        <w:rPr>
          <w:w w:val="105"/>
          <w:sz w:val="13"/>
        </w:rPr>
        <w:t>orders</w:t>
      </w:r>
      <w:r>
        <w:rPr>
          <w:spacing w:val="9"/>
          <w:w w:val="105"/>
          <w:sz w:val="13"/>
        </w:rPr>
        <w:t> </w:t>
      </w:r>
      <w:r>
        <w:rPr>
          <w:w w:val="105"/>
          <w:sz w:val="13"/>
        </w:rPr>
        <w:t>for</w:t>
      </w:r>
      <w:r>
        <w:rPr>
          <w:spacing w:val="9"/>
          <w:w w:val="105"/>
          <w:sz w:val="13"/>
        </w:rPr>
        <w:t> </w:t>
      </w:r>
      <w:r>
        <w:rPr>
          <w:w w:val="105"/>
          <w:sz w:val="13"/>
        </w:rPr>
        <w:t>tree</w:t>
      </w:r>
      <w:r>
        <w:rPr>
          <w:spacing w:val="9"/>
          <w:w w:val="105"/>
          <w:sz w:val="13"/>
        </w:rPr>
        <w:t> </w:t>
      </w:r>
      <w:r>
        <w:rPr>
          <w:w w:val="105"/>
          <w:sz w:val="13"/>
        </w:rPr>
        <w:t>works</w:t>
      </w:r>
      <w:r>
        <w:rPr>
          <w:spacing w:val="9"/>
          <w:w w:val="105"/>
          <w:sz w:val="13"/>
        </w:rPr>
        <w:t> </w:t>
      </w:r>
      <w:r>
        <w:rPr>
          <w:w w:val="105"/>
          <w:sz w:val="13"/>
        </w:rPr>
        <w:t>made</w:t>
      </w:r>
      <w:r>
        <w:rPr>
          <w:spacing w:val="9"/>
          <w:w w:val="105"/>
          <w:sz w:val="13"/>
        </w:rPr>
        <w:t> </w:t>
      </w:r>
      <w:r>
        <w:rPr>
          <w:w w:val="105"/>
          <w:sz w:val="13"/>
        </w:rPr>
        <w:t>under</w:t>
      </w:r>
      <w:r>
        <w:rPr>
          <w:spacing w:val="9"/>
          <w:w w:val="105"/>
          <w:sz w:val="13"/>
        </w:rPr>
        <w:t> </w:t>
      </w:r>
      <w:r>
        <w:rPr>
          <w:w w:val="105"/>
          <w:sz w:val="13"/>
        </w:rPr>
        <w:t>a</w:t>
      </w:r>
      <w:r>
        <w:rPr>
          <w:spacing w:val="9"/>
          <w:w w:val="105"/>
          <w:sz w:val="13"/>
        </w:rPr>
        <w:t> </w:t>
      </w:r>
      <w:r>
        <w:rPr>
          <w:w w:val="105"/>
          <w:sz w:val="13"/>
        </w:rPr>
        <w:t>the</w:t>
      </w:r>
      <w:r>
        <w:rPr>
          <w:spacing w:val="9"/>
          <w:w w:val="105"/>
          <w:sz w:val="13"/>
        </w:rPr>
        <w:t> </w:t>
      </w:r>
      <w:r>
        <w:rPr>
          <w:w w:val="105"/>
          <w:sz w:val="13"/>
        </w:rPr>
        <w:t>new</w:t>
      </w:r>
      <w:r>
        <w:rPr>
          <w:spacing w:val="9"/>
          <w:w w:val="105"/>
          <w:sz w:val="13"/>
        </w:rPr>
        <w:t> </w:t>
      </w:r>
      <w:r>
        <w:rPr>
          <w:w w:val="105"/>
          <w:sz w:val="13"/>
        </w:rPr>
        <w:t>Act</w:t>
      </w:r>
      <w:r>
        <w:rPr>
          <w:spacing w:val="9"/>
          <w:w w:val="105"/>
          <w:sz w:val="13"/>
        </w:rPr>
        <w:t> </w:t>
      </w:r>
      <w:r>
        <w:rPr>
          <w:w w:val="105"/>
          <w:sz w:val="13"/>
        </w:rPr>
        <w:t>be</w:t>
      </w:r>
    </w:p>
    <w:p>
      <w:pPr>
        <w:spacing w:before="3"/>
        <w:ind w:left="1235" w:right="1458" w:firstLine="0"/>
        <w:jc w:val="left"/>
        <w:rPr>
          <w:i/>
          <w:sz w:val="13"/>
        </w:rPr>
      </w:pPr>
      <w:r>
        <w:rPr>
          <w:w w:val="105"/>
          <w:sz w:val="13"/>
        </w:rPr>
        <w:t>carried out by a qualified arborist in accordance with the Australian Standards </w:t>
      </w:r>
      <w:r>
        <w:rPr>
          <w:i/>
          <w:w w:val="105"/>
          <w:sz w:val="13"/>
        </w:rPr>
        <w:t>AS4373-2007 Pruning of Amenity Trees </w:t>
      </w:r>
      <w:r>
        <w:rPr>
          <w:w w:val="105"/>
          <w:sz w:val="13"/>
        </w:rPr>
        <w:t>and </w:t>
      </w:r>
      <w:r>
        <w:rPr>
          <w:i/>
          <w:w w:val="105"/>
          <w:sz w:val="13"/>
        </w:rPr>
        <w:t>AS4970-2009 </w:t>
      </w:r>
      <w:r>
        <w:rPr>
          <w:i/>
          <w:w w:val="105"/>
          <w:sz w:val="13"/>
        </w:rPr>
        <w:t>Protection of Trees on Development Sites.</w:t>
      </w:r>
    </w:p>
    <w:p>
      <w:pPr>
        <w:pStyle w:val="ListParagraph"/>
        <w:numPr>
          <w:ilvl w:val="0"/>
          <w:numId w:val="131"/>
        </w:numPr>
        <w:tabs>
          <w:tab w:pos="1235" w:val="left" w:leader="none"/>
          <w:tab w:pos="1236" w:val="left" w:leader="none"/>
        </w:tabs>
        <w:spacing w:line="240" w:lineRule="auto" w:before="2" w:after="0"/>
        <w:ind w:left="1235" w:right="1850" w:hanging="794"/>
        <w:jc w:val="left"/>
        <w:rPr>
          <w:sz w:val="13"/>
        </w:rPr>
      </w:pPr>
      <w:r>
        <w:rPr>
          <w:w w:val="105"/>
          <w:sz w:val="13"/>
        </w:rPr>
        <w:t>City of Boroondara, </w:t>
      </w:r>
      <w:r>
        <w:rPr>
          <w:i/>
          <w:w w:val="105"/>
          <w:sz w:val="13"/>
        </w:rPr>
        <w:t>Arboricultural </w:t>
      </w:r>
      <w:r>
        <w:rPr>
          <w:i/>
          <w:spacing w:val="2"/>
          <w:w w:val="105"/>
          <w:sz w:val="13"/>
        </w:rPr>
        <w:t>Report </w:t>
      </w:r>
      <w:r>
        <w:rPr>
          <w:i/>
          <w:w w:val="105"/>
          <w:sz w:val="13"/>
        </w:rPr>
        <w:t>Writing Guide: Guide for the Preparation of Preliminary Arboricultural </w:t>
      </w:r>
      <w:r>
        <w:rPr>
          <w:i/>
          <w:spacing w:val="2"/>
          <w:w w:val="105"/>
          <w:sz w:val="13"/>
        </w:rPr>
        <w:t>Reports, </w:t>
      </w:r>
      <w:r>
        <w:rPr>
          <w:i/>
          <w:w w:val="105"/>
          <w:sz w:val="13"/>
        </w:rPr>
        <w:t>Arboricultural </w:t>
      </w:r>
      <w:r>
        <w:rPr>
          <w:i/>
          <w:w w:val="105"/>
          <w:sz w:val="13"/>
        </w:rPr>
        <w:t>Impact </w:t>
      </w:r>
      <w:r>
        <w:rPr>
          <w:i/>
          <w:spacing w:val="2"/>
          <w:w w:val="105"/>
          <w:sz w:val="13"/>
        </w:rPr>
        <w:t>Assessments, </w:t>
      </w:r>
      <w:r>
        <w:rPr>
          <w:i/>
          <w:w w:val="105"/>
          <w:sz w:val="13"/>
        </w:rPr>
        <w:t>Root Investigation/ Mapping </w:t>
      </w:r>
      <w:r>
        <w:rPr>
          <w:i/>
          <w:spacing w:val="2"/>
          <w:w w:val="105"/>
          <w:sz w:val="13"/>
        </w:rPr>
        <w:t>Reports, </w:t>
      </w:r>
      <w:r>
        <w:rPr>
          <w:i/>
          <w:w w:val="105"/>
          <w:sz w:val="13"/>
        </w:rPr>
        <w:t>Tree Management and Protection Plans and Transplant Method Statements </w:t>
      </w:r>
      <w:r>
        <w:rPr>
          <w:w w:val="105"/>
          <w:sz w:val="13"/>
        </w:rPr>
        <w:t>(Guidelines, June 2017)</w:t>
      </w:r>
      <w:r>
        <w:rPr>
          <w:spacing w:val="13"/>
          <w:w w:val="105"/>
          <w:sz w:val="13"/>
        </w:rPr>
        <w:t> </w:t>
      </w:r>
      <w:r>
        <w:rPr>
          <w:w w:val="105"/>
          <w:sz w:val="13"/>
        </w:rPr>
        <w:t>4.</w:t>
      </w:r>
    </w:p>
    <w:p>
      <w:pPr>
        <w:pStyle w:val="ListParagraph"/>
        <w:numPr>
          <w:ilvl w:val="0"/>
          <w:numId w:val="131"/>
        </w:numPr>
        <w:tabs>
          <w:tab w:pos="1235" w:val="left" w:leader="none"/>
          <w:tab w:pos="1236" w:val="left" w:leader="none"/>
        </w:tabs>
        <w:spacing w:line="240" w:lineRule="auto" w:before="4" w:after="0"/>
        <w:ind w:left="1235" w:right="0" w:hanging="794"/>
        <w:jc w:val="left"/>
        <w:rPr>
          <w:sz w:val="13"/>
        </w:rPr>
      </w:pPr>
      <w:r>
        <w:rPr>
          <w:w w:val="105"/>
          <w:sz w:val="13"/>
        </w:rPr>
        <w:t>Ibid</w:t>
      </w:r>
      <w:r>
        <w:rPr>
          <w:spacing w:val="4"/>
          <w:w w:val="105"/>
          <w:sz w:val="13"/>
        </w:rPr>
        <w:t> </w:t>
      </w:r>
      <w:r>
        <w:rPr>
          <w:w w:val="105"/>
          <w:sz w:val="13"/>
        </w:rPr>
        <w:t>3.</w:t>
      </w:r>
    </w:p>
    <w:p>
      <w:pPr>
        <w:pStyle w:val="ListParagraph"/>
        <w:numPr>
          <w:ilvl w:val="0"/>
          <w:numId w:val="131"/>
        </w:numPr>
        <w:tabs>
          <w:tab w:pos="1235" w:val="left" w:leader="none"/>
          <w:tab w:pos="1236" w:val="left" w:leader="none"/>
        </w:tabs>
        <w:spacing w:line="240" w:lineRule="auto" w:before="2" w:after="0"/>
        <w:ind w:left="1235" w:right="0" w:hanging="794"/>
        <w:jc w:val="left"/>
        <w:rPr>
          <w:sz w:val="13"/>
        </w:rPr>
      </w:pPr>
      <w:r>
        <w:rPr>
          <w:w w:val="105"/>
          <w:sz w:val="13"/>
        </w:rPr>
        <w:t>Consultation 8 (City of</w:t>
      </w:r>
      <w:r>
        <w:rPr>
          <w:spacing w:val="18"/>
          <w:w w:val="105"/>
          <w:sz w:val="13"/>
        </w:rPr>
        <w:t> </w:t>
      </w:r>
      <w:r>
        <w:rPr>
          <w:w w:val="105"/>
          <w:sz w:val="13"/>
        </w:rPr>
        <w:t>Boroondara).</w:t>
      </w:r>
    </w:p>
    <w:p>
      <w:pPr>
        <w:pStyle w:val="ListParagraph"/>
        <w:numPr>
          <w:ilvl w:val="0"/>
          <w:numId w:val="131"/>
        </w:numPr>
        <w:tabs>
          <w:tab w:pos="1235" w:val="left" w:leader="none"/>
          <w:tab w:pos="1236" w:val="left" w:leader="none"/>
        </w:tabs>
        <w:spacing w:line="240" w:lineRule="auto" w:before="1" w:after="0"/>
        <w:ind w:left="1235" w:right="0" w:hanging="794"/>
        <w:jc w:val="left"/>
        <w:rPr>
          <w:sz w:val="13"/>
        </w:rPr>
      </w:pPr>
      <w:r>
        <w:rPr>
          <w:sz w:val="13"/>
        </w:rPr>
        <w:t>Ibid.</w:t>
      </w:r>
    </w:p>
    <w:p>
      <w:pPr>
        <w:pStyle w:val="ListParagraph"/>
        <w:numPr>
          <w:ilvl w:val="0"/>
          <w:numId w:val="131"/>
        </w:numPr>
        <w:tabs>
          <w:tab w:pos="1235" w:val="left" w:leader="none"/>
          <w:tab w:pos="1236" w:val="left" w:leader="none"/>
        </w:tabs>
        <w:spacing w:line="240" w:lineRule="auto" w:before="1" w:after="0"/>
        <w:ind w:left="1235" w:right="0" w:hanging="794"/>
        <w:jc w:val="left"/>
        <w:rPr>
          <w:sz w:val="13"/>
        </w:rPr>
      </w:pPr>
      <w:r>
        <w:rPr>
          <w:w w:val="105"/>
          <w:sz w:val="13"/>
        </w:rPr>
        <w:t>Consultation 9 (Nillumbik Shire</w:t>
      </w:r>
      <w:r>
        <w:rPr>
          <w:spacing w:val="18"/>
          <w:w w:val="105"/>
          <w:sz w:val="13"/>
        </w:rPr>
        <w:t> </w:t>
      </w:r>
      <w:r>
        <w:rPr>
          <w:w w:val="105"/>
          <w:sz w:val="13"/>
        </w:rPr>
        <w:t>Council).</w:t>
      </w:r>
    </w:p>
    <w:p>
      <w:pPr>
        <w:spacing w:after="0" w:line="240" w:lineRule="auto"/>
        <w:jc w:val="left"/>
        <w:rPr>
          <w:sz w:val="13"/>
        </w:rPr>
        <w:sectPr>
          <w:type w:val="continuous"/>
          <w:pgSz w:w="11910" w:h="16840"/>
          <w:pgMar w:top="300" w:bottom="280" w:left="0" w:right="0"/>
          <w:cols w:num="2" w:equalWidth="0">
            <w:col w:w="1106" w:space="40"/>
            <w:col w:w="10764"/>
          </w:cols>
        </w:sectPr>
      </w:pPr>
    </w:p>
    <w:p>
      <w:pPr>
        <w:pStyle w:val="BodyText"/>
        <w:rPr>
          <w:sz w:val="20"/>
        </w:rPr>
      </w:pPr>
    </w:p>
    <w:p>
      <w:pPr>
        <w:pStyle w:val="BodyText"/>
        <w:spacing w:before="9"/>
        <w:rPr>
          <w:sz w:val="18"/>
        </w:rPr>
      </w:pPr>
    </w:p>
    <w:p>
      <w:pPr>
        <w:pStyle w:val="BodyText"/>
        <w:spacing w:line="242" w:lineRule="auto" w:before="91"/>
        <w:ind w:left="2381" w:right="1636" w:hanging="1"/>
        <w:rPr>
          <w:sz w:val="12"/>
        </w:rPr>
      </w:pPr>
      <w:bookmarkStart w:name="_bookmark95" w:id="202"/>
      <w:bookmarkEnd w:id="202"/>
      <w:r>
        <w:rPr/>
      </w:r>
      <w:r>
        <w:rPr>
          <w:w w:val="105"/>
        </w:rPr>
        <w:t>is correct and the impacts </w:t>
      </w:r>
      <w:r>
        <w:rPr>
          <w:spacing w:val="-3"/>
          <w:w w:val="105"/>
        </w:rPr>
        <w:t>to </w:t>
      </w:r>
      <w:r>
        <w:rPr>
          <w:w w:val="105"/>
        </w:rPr>
        <w:t>trees can be </w:t>
      </w:r>
      <w:r>
        <w:rPr>
          <w:spacing w:val="-5"/>
          <w:w w:val="105"/>
        </w:rPr>
        <w:t>mitigated.</w:t>
      </w:r>
      <w:r>
        <w:rPr>
          <w:spacing w:val="-5"/>
          <w:w w:val="105"/>
          <w:position w:val="7"/>
          <w:sz w:val="12"/>
        </w:rPr>
        <w:t>121 </w:t>
      </w:r>
      <w:r>
        <w:rPr>
          <w:spacing w:val="-3"/>
          <w:w w:val="105"/>
        </w:rPr>
        <w:t>Nillumbik </w:t>
      </w:r>
      <w:r>
        <w:rPr>
          <w:w w:val="105"/>
        </w:rPr>
        <w:t>believes </w:t>
      </w:r>
      <w:r>
        <w:rPr>
          <w:spacing w:val="-3"/>
          <w:w w:val="105"/>
        </w:rPr>
        <w:t>that </w:t>
      </w:r>
      <w:r>
        <w:rPr>
          <w:w w:val="105"/>
        </w:rPr>
        <w:t>the best </w:t>
      </w:r>
      <w:r>
        <w:rPr>
          <w:spacing w:val="-3"/>
          <w:w w:val="105"/>
        </w:rPr>
        <w:t>way to </w:t>
      </w:r>
      <w:r>
        <w:rPr>
          <w:w w:val="105"/>
        </w:rPr>
        <w:t>avoid poor quality </w:t>
      </w:r>
      <w:r>
        <w:rPr>
          <w:spacing w:val="-3"/>
          <w:w w:val="105"/>
        </w:rPr>
        <w:t>arboricultural </w:t>
      </w:r>
      <w:r>
        <w:rPr>
          <w:w w:val="105"/>
        </w:rPr>
        <w:t>assessments is </w:t>
      </w:r>
      <w:r>
        <w:rPr>
          <w:spacing w:val="-3"/>
          <w:w w:val="105"/>
        </w:rPr>
        <w:t>to require </w:t>
      </w:r>
      <w:r>
        <w:rPr>
          <w:w w:val="105"/>
        </w:rPr>
        <w:t>a </w:t>
      </w:r>
      <w:r>
        <w:rPr>
          <w:spacing w:val="-3"/>
          <w:w w:val="105"/>
        </w:rPr>
        <w:t>minimum </w:t>
      </w:r>
      <w:r>
        <w:rPr>
          <w:w w:val="105"/>
        </w:rPr>
        <w:t>set of </w:t>
      </w:r>
      <w:r>
        <w:rPr>
          <w:spacing w:val="-4"/>
          <w:w w:val="105"/>
        </w:rPr>
        <w:t>qualifications.</w:t>
      </w:r>
      <w:r>
        <w:rPr>
          <w:spacing w:val="-4"/>
          <w:w w:val="105"/>
          <w:position w:val="7"/>
          <w:sz w:val="12"/>
        </w:rPr>
        <w:t>122</w:t>
      </w:r>
    </w:p>
    <w:p>
      <w:pPr>
        <w:pStyle w:val="ListParagraph"/>
        <w:numPr>
          <w:ilvl w:val="1"/>
          <w:numId w:val="16"/>
        </w:numPr>
        <w:tabs>
          <w:tab w:pos="2380" w:val="left" w:leader="none"/>
          <w:tab w:pos="2381" w:val="left" w:leader="none"/>
        </w:tabs>
        <w:spacing w:line="242" w:lineRule="auto" w:before="124" w:after="0"/>
        <w:ind w:left="2381" w:right="1657" w:hanging="794"/>
        <w:jc w:val="left"/>
        <w:rPr>
          <w:sz w:val="21"/>
        </w:rPr>
      </w:pPr>
      <w:r>
        <w:rPr>
          <w:w w:val="105"/>
          <w:sz w:val="21"/>
        </w:rPr>
        <w:t>Baw</w:t>
      </w:r>
      <w:r>
        <w:rPr>
          <w:spacing w:val="-4"/>
          <w:w w:val="105"/>
          <w:sz w:val="21"/>
        </w:rPr>
        <w:t> </w:t>
      </w:r>
      <w:r>
        <w:rPr>
          <w:w w:val="105"/>
          <w:sz w:val="21"/>
        </w:rPr>
        <w:t>Baw</w:t>
      </w:r>
      <w:r>
        <w:rPr>
          <w:spacing w:val="-4"/>
          <w:w w:val="105"/>
          <w:sz w:val="21"/>
        </w:rPr>
        <w:t> </w:t>
      </w:r>
      <w:r>
        <w:rPr>
          <w:spacing w:val="-3"/>
          <w:w w:val="105"/>
          <w:sz w:val="21"/>
        </w:rPr>
        <w:t>Shire</w:t>
      </w:r>
      <w:r>
        <w:rPr>
          <w:spacing w:val="-4"/>
          <w:w w:val="105"/>
          <w:sz w:val="21"/>
        </w:rPr>
        <w:t> Council </w:t>
      </w:r>
      <w:r>
        <w:rPr>
          <w:spacing w:val="-3"/>
          <w:w w:val="105"/>
          <w:sz w:val="21"/>
        </w:rPr>
        <w:t>noted</w:t>
      </w:r>
      <w:r>
        <w:rPr>
          <w:spacing w:val="-4"/>
          <w:w w:val="105"/>
          <w:sz w:val="21"/>
        </w:rPr>
        <w:t> </w:t>
      </w:r>
      <w:r>
        <w:rPr>
          <w:spacing w:val="-3"/>
          <w:w w:val="105"/>
          <w:sz w:val="21"/>
        </w:rPr>
        <w:t>that </w:t>
      </w:r>
      <w:r>
        <w:rPr>
          <w:w w:val="105"/>
          <w:sz w:val="21"/>
        </w:rPr>
        <w:t>if</w:t>
      </w:r>
      <w:r>
        <w:rPr>
          <w:spacing w:val="-4"/>
          <w:w w:val="105"/>
          <w:sz w:val="21"/>
        </w:rPr>
        <w:t> </w:t>
      </w:r>
      <w:r>
        <w:rPr>
          <w:w w:val="105"/>
          <w:sz w:val="21"/>
        </w:rPr>
        <w:t>a</w:t>
      </w:r>
      <w:r>
        <w:rPr>
          <w:spacing w:val="-4"/>
          <w:w w:val="105"/>
          <w:sz w:val="21"/>
        </w:rPr>
        <w:t> </w:t>
      </w:r>
      <w:r>
        <w:rPr>
          <w:w w:val="105"/>
          <w:sz w:val="21"/>
        </w:rPr>
        <w:t>tree</w:t>
      </w:r>
      <w:r>
        <w:rPr>
          <w:spacing w:val="-4"/>
          <w:w w:val="105"/>
          <w:sz w:val="21"/>
        </w:rPr>
        <w:t> </w:t>
      </w:r>
      <w:r>
        <w:rPr>
          <w:w w:val="105"/>
          <w:sz w:val="21"/>
        </w:rPr>
        <w:t>is</w:t>
      </w:r>
      <w:r>
        <w:rPr>
          <w:spacing w:val="-4"/>
          <w:w w:val="105"/>
          <w:sz w:val="21"/>
        </w:rPr>
        <w:t> </w:t>
      </w:r>
      <w:r>
        <w:rPr>
          <w:w w:val="105"/>
          <w:sz w:val="21"/>
        </w:rPr>
        <w:t>subject</w:t>
      </w:r>
      <w:r>
        <w:rPr>
          <w:spacing w:val="-4"/>
          <w:w w:val="105"/>
          <w:sz w:val="21"/>
        </w:rPr>
        <w:t> </w:t>
      </w:r>
      <w:r>
        <w:rPr>
          <w:spacing w:val="-3"/>
          <w:w w:val="105"/>
          <w:sz w:val="21"/>
        </w:rPr>
        <w:t>to </w:t>
      </w:r>
      <w:r>
        <w:rPr>
          <w:w w:val="105"/>
          <w:sz w:val="21"/>
        </w:rPr>
        <w:t>a</w:t>
      </w:r>
      <w:r>
        <w:rPr>
          <w:spacing w:val="-4"/>
          <w:w w:val="105"/>
          <w:sz w:val="21"/>
        </w:rPr>
        <w:t> </w:t>
      </w:r>
      <w:r>
        <w:rPr>
          <w:w w:val="105"/>
          <w:sz w:val="21"/>
        </w:rPr>
        <w:t>heritage</w:t>
      </w:r>
      <w:r>
        <w:rPr>
          <w:spacing w:val="-4"/>
          <w:w w:val="105"/>
          <w:sz w:val="21"/>
        </w:rPr>
        <w:t> overlay, </w:t>
      </w:r>
      <w:r>
        <w:rPr>
          <w:w w:val="105"/>
          <w:sz w:val="21"/>
        </w:rPr>
        <w:t>the</w:t>
      </w:r>
      <w:r>
        <w:rPr>
          <w:spacing w:val="-4"/>
          <w:w w:val="105"/>
          <w:sz w:val="21"/>
        </w:rPr>
        <w:t> </w:t>
      </w:r>
      <w:r>
        <w:rPr>
          <w:w w:val="105"/>
          <w:sz w:val="21"/>
        </w:rPr>
        <w:t>tree</w:t>
      </w:r>
      <w:r>
        <w:rPr>
          <w:spacing w:val="-4"/>
          <w:w w:val="105"/>
          <w:sz w:val="21"/>
        </w:rPr>
        <w:t> </w:t>
      </w:r>
      <w:r>
        <w:rPr>
          <w:w w:val="105"/>
          <w:sz w:val="21"/>
        </w:rPr>
        <w:t>owner needs </w:t>
      </w:r>
      <w:r>
        <w:rPr>
          <w:spacing w:val="-3"/>
          <w:w w:val="105"/>
          <w:sz w:val="21"/>
        </w:rPr>
        <w:t>to </w:t>
      </w:r>
      <w:r>
        <w:rPr>
          <w:w w:val="105"/>
          <w:sz w:val="21"/>
        </w:rPr>
        <w:t>apply </w:t>
      </w:r>
      <w:r>
        <w:rPr>
          <w:spacing w:val="-3"/>
          <w:w w:val="105"/>
          <w:sz w:val="21"/>
        </w:rPr>
        <w:t>to council for </w:t>
      </w:r>
      <w:r>
        <w:rPr>
          <w:w w:val="105"/>
          <w:sz w:val="21"/>
        </w:rPr>
        <w:t>a permit </w:t>
      </w:r>
      <w:r>
        <w:rPr>
          <w:spacing w:val="-3"/>
          <w:w w:val="105"/>
          <w:sz w:val="21"/>
        </w:rPr>
        <w:t>to prune, chop, </w:t>
      </w:r>
      <w:r>
        <w:rPr>
          <w:w w:val="105"/>
          <w:sz w:val="21"/>
        </w:rPr>
        <w:t>lop or </w:t>
      </w:r>
      <w:r>
        <w:rPr>
          <w:spacing w:val="-3"/>
          <w:w w:val="105"/>
          <w:sz w:val="21"/>
        </w:rPr>
        <w:t>remove </w:t>
      </w:r>
      <w:r>
        <w:rPr>
          <w:spacing w:val="-6"/>
          <w:w w:val="105"/>
          <w:sz w:val="21"/>
        </w:rPr>
        <w:t>it.</w:t>
      </w:r>
      <w:r>
        <w:rPr>
          <w:spacing w:val="-6"/>
          <w:w w:val="105"/>
          <w:position w:val="7"/>
          <w:sz w:val="12"/>
        </w:rPr>
        <w:t>123 </w:t>
      </w:r>
      <w:r>
        <w:rPr>
          <w:w w:val="105"/>
          <w:sz w:val="21"/>
        </w:rPr>
        <w:t>After </w:t>
      </w:r>
      <w:r>
        <w:rPr>
          <w:spacing w:val="-3"/>
          <w:w w:val="105"/>
          <w:sz w:val="21"/>
        </w:rPr>
        <w:t>receiving </w:t>
      </w:r>
      <w:r>
        <w:rPr>
          <w:w w:val="105"/>
          <w:sz w:val="21"/>
        </w:rPr>
        <w:t>an </w:t>
      </w:r>
      <w:r>
        <w:rPr>
          <w:spacing w:val="-3"/>
          <w:w w:val="105"/>
          <w:sz w:val="21"/>
        </w:rPr>
        <w:t>application, council arranges for </w:t>
      </w:r>
      <w:r>
        <w:rPr>
          <w:w w:val="105"/>
          <w:sz w:val="21"/>
        </w:rPr>
        <w:t>an independent arborist </w:t>
      </w:r>
      <w:r>
        <w:rPr>
          <w:spacing w:val="-3"/>
          <w:w w:val="105"/>
          <w:sz w:val="21"/>
        </w:rPr>
        <w:t>to </w:t>
      </w:r>
      <w:r>
        <w:rPr>
          <w:w w:val="105"/>
          <w:sz w:val="21"/>
        </w:rPr>
        <w:t>assess the </w:t>
      </w:r>
      <w:r>
        <w:rPr>
          <w:spacing w:val="-6"/>
          <w:w w:val="105"/>
          <w:sz w:val="21"/>
        </w:rPr>
        <w:t>tree.</w:t>
      </w:r>
      <w:r>
        <w:rPr>
          <w:spacing w:val="-6"/>
          <w:w w:val="105"/>
          <w:position w:val="7"/>
          <w:sz w:val="12"/>
        </w:rPr>
        <w:t>124 </w:t>
      </w:r>
      <w:r>
        <w:rPr>
          <w:spacing w:val="-4"/>
          <w:w w:val="105"/>
          <w:sz w:val="21"/>
        </w:rPr>
        <w:t>Council </w:t>
      </w:r>
      <w:r>
        <w:rPr>
          <w:w w:val="105"/>
          <w:sz w:val="21"/>
        </w:rPr>
        <w:t>does </w:t>
      </w:r>
      <w:r>
        <w:rPr>
          <w:spacing w:val="-2"/>
          <w:w w:val="105"/>
          <w:sz w:val="21"/>
        </w:rPr>
        <w:t>not </w:t>
      </w:r>
      <w:r>
        <w:rPr>
          <w:spacing w:val="-3"/>
          <w:w w:val="105"/>
          <w:sz w:val="21"/>
        </w:rPr>
        <w:t>have any </w:t>
      </w:r>
      <w:r>
        <w:rPr>
          <w:w w:val="105"/>
          <w:sz w:val="21"/>
        </w:rPr>
        <w:t>in-house arborists of AQF Level 5. </w:t>
      </w:r>
      <w:r>
        <w:rPr>
          <w:spacing w:val="-4"/>
          <w:w w:val="105"/>
          <w:sz w:val="21"/>
        </w:rPr>
        <w:t>Council </w:t>
      </w:r>
      <w:r>
        <w:rPr>
          <w:w w:val="105"/>
          <w:sz w:val="21"/>
        </w:rPr>
        <w:t>arborists </w:t>
      </w:r>
      <w:r>
        <w:rPr>
          <w:spacing w:val="-3"/>
          <w:w w:val="105"/>
          <w:sz w:val="21"/>
        </w:rPr>
        <w:t>are </w:t>
      </w:r>
      <w:r>
        <w:rPr>
          <w:w w:val="105"/>
          <w:sz w:val="21"/>
        </w:rPr>
        <w:t>of AQF</w:t>
      </w:r>
      <w:r>
        <w:rPr>
          <w:spacing w:val="-27"/>
          <w:w w:val="105"/>
          <w:sz w:val="21"/>
        </w:rPr>
        <w:t> </w:t>
      </w:r>
      <w:r>
        <w:rPr>
          <w:w w:val="105"/>
          <w:sz w:val="21"/>
        </w:rPr>
        <w:t>Level</w:t>
      </w:r>
    </w:p>
    <w:p>
      <w:pPr>
        <w:pStyle w:val="BodyText"/>
        <w:spacing w:line="242" w:lineRule="auto" w:before="4"/>
        <w:ind w:left="2381" w:right="1750"/>
        <w:rPr>
          <w:sz w:val="12"/>
        </w:rPr>
      </w:pPr>
      <w:r>
        <w:rPr>
          <w:w w:val="105"/>
        </w:rPr>
        <w:t>4.</w:t>
      </w:r>
      <w:r>
        <w:rPr>
          <w:spacing w:val="-11"/>
          <w:w w:val="105"/>
        </w:rPr>
        <w:t> </w:t>
      </w:r>
      <w:r>
        <w:rPr>
          <w:spacing w:val="-4"/>
          <w:w w:val="105"/>
        </w:rPr>
        <w:t>Council</w:t>
      </w:r>
      <w:r>
        <w:rPr>
          <w:spacing w:val="-11"/>
          <w:w w:val="105"/>
        </w:rPr>
        <w:t> </w:t>
      </w:r>
      <w:r>
        <w:rPr>
          <w:w w:val="105"/>
        </w:rPr>
        <w:t>advises</w:t>
      </w:r>
      <w:r>
        <w:rPr>
          <w:spacing w:val="-11"/>
          <w:w w:val="105"/>
        </w:rPr>
        <w:t> </w:t>
      </w:r>
      <w:r>
        <w:rPr>
          <w:w w:val="105"/>
        </w:rPr>
        <w:t>community</w:t>
      </w:r>
      <w:r>
        <w:rPr>
          <w:spacing w:val="-11"/>
          <w:w w:val="105"/>
        </w:rPr>
        <w:t> </w:t>
      </w:r>
      <w:r>
        <w:rPr>
          <w:w w:val="105"/>
        </w:rPr>
        <w:t>members</w:t>
      </w:r>
      <w:r>
        <w:rPr>
          <w:spacing w:val="-11"/>
          <w:w w:val="105"/>
        </w:rPr>
        <w:t> </w:t>
      </w:r>
      <w:r>
        <w:rPr>
          <w:spacing w:val="-3"/>
          <w:w w:val="105"/>
        </w:rPr>
        <w:t>to</w:t>
      </w:r>
      <w:r>
        <w:rPr>
          <w:spacing w:val="-11"/>
          <w:w w:val="105"/>
        </w:rPr>
        <w:t> </w:t>
      </w:r>
      <w:r>
        <w:rPr>
          <w:spacing w:val="-3"/>
          <w:w w:val="105"/>
        </w:rPr>
        <w:t>have</w:t>
      </w:r>
      <w:r>
        <w:rPr>
          <w:spacing w:val="-11"/>
          <w:w w:val="105"/>
        </w:rPr>
        <w:t> </w:t>
      </w:r>
      <w:r>
        <w:rPr>
          <w:w w:val="105"/>
        </w:rPr>
        <w:t>risk</w:t>
      </w:r>
      <w:r>
        <w:rPr>
          <w:spacing w:val="-11"/>
          <w:w w:val="105"/>
        </w:rPr>
        <w:t> </w:t>
      </w:r>
      <w:r>
        <w:rPr>
          <w:w w:val="105"/>
        </w:rPr>
        <w:t>assessments</w:t>
      </w:r>
      <w:r>
        <w:rPr>
          <w:spacing w:val="-11"/>
          <w:w w:val="105"/>
        </w:rPr>
        <w:t> </w:t>
      </w:r>
      <w:r>
        <w:rPr>
          <w:w w:val="105"/>
        </w:rPr>
        <w:t>made</w:t>
      </w:r>
      <w:r>
        <w:rPr>
          <w:spacing w:val="-10"/>
          <w:w w:val="105"/>
        </w:rPr>
        <w:t> </w:t>
      </w:r>
      <w:r>
        <w:rPr>
          <w:w w:val="105"/>
        </w:rPr>
        <w:t>by</w:t>
      </w:r>
      <w:r>
        <w:rPr>
          <w:spacing w:val="-11"/>
          <w:w w:val="105"/>
        </w:rPr>
        <w:t> </w:t>
      </w:r>
      <w:r>
        <w:rPr>
          <w:w w:val="105"/>
        </w:rPr>
        <w:t>arborists</w:t>
      </w:r>
      <w:r>
        <w:rPr>
          <w:spacing w:val="-11"/>
          <w:w w:val="105"/>
        </w:rPr>
        <w:t> </w:t>
      </w:r>
      <w:r>
        <w:rPr>
          <w:w w:val="105"/>
        </w:rPr>
        <w:t>with </w:t>
      </w:r>
      <w:r>
        <w:rPr>
          <w:spacing w:val="-3"/>
          <w:w w:val="105"/>
        </w:rPr>
        <w:t>qualifications </w:t>
      </w:r>
      <w:r>
        <w:rPr>
          <w:w w:val="105"/>
        </w:rPr>
        <w:t>of AQF Level </w:t>
      </w:r>
      <w:r>
        <w:rPr>
          <w:spacing w:val="-7"/>
          <w:w w:val="105"/>
        </w:rPr>
        <w:t>5.</w:t>
      </w:r>
      <w:r>
        <w:rPr>
          <w:spacing w:val="-7"/>
          <w:w w:val="105"/>
          <w:position w:val="7"/>
          <w:sz w:val="12"/>
        </w:rPr>
        <w:t>125 </w:t>
      </w:r>
      <w:r>
        <w:rPr>
          <w:spacing w:val="-4"/>
          <w:w w:val="105"/>
        </w:rPr>
        <w:t>Council </w:t>
      </w:r>
      <w:r>
        <w:rPr>
          <w:w w:val="105"/>
        </w:rPr>
        <w:t>contracts external arborists of AQF Level 5 when they need </w:t>
      </w:r>
      <w:r>
        <w:rPr>
          <w:spacing w:val="-3"/>
          <w:w w:val="105"/>
        </w:rPr>
        <w:t>to </w:t>
      </w:r>
      <w:r>
        <w:rPr>
          <w:w w:val="105"/>
        </w:rPr>
        <w:t>conduct a tree </w:t>
      </w:r>
      <w:r>
        <w:rPr>
          <w:spacing w:val="-4"/>
          <w:w w:val="105"/>
        </w:rPr>
        <w:t>assessment.</w:t>
      </w:r>
      <w:r>
        <w:rPr>
          <w:spacing w:val="-4"/>
          <w:w w:val="105"/>
          <w:position w:val="7"/>
          <w:sz w:val="12"/>
        </w:rPr>
        <w:t>126 </w:t>
      </w:r>
      <w:r>
        <w:rPr>
          <w:spacing w:val="-4"/>
          <w:w w:val="105"/>
        </w:rPr>
        <w:t>Council </w:t>
      </w:r>
      <w:r>
        <w:rPr>
          <w:w w:val="105"/>
        </w:rPr>
        <w:t>then </w:t>
      </w:r>
      <w:r>
        <w:rPr>
          <w:spacing w:val="-3"/>
          <w:w w:val="105"/>
        </w:rPr>
        <w:t>determines </w:t>
      </w:r>
      <w:r>
        <w:rPr>
          <w:w w:val="105"/>
        </w:rPr>
        <w:t>whether the tree can be pruned or </w:t>
      </w:r>
      <w:r>
        <w:rPr>
          <w:spacing w:val="-3"/>
          <w:w w:val="105"/>
        </w:rPr>
        <w:t>removed, </w:t>
      </w:r>
      <w:r>
        <w:rPr>
          <w:w w:val="105"/>
        </w:rPr>
        <w:t>based on the </w:t>
      </w:r>
      <w:r>
        <w:rPr>
          <w:spacing w:val="-4"/>
          <w:w w:val="105"/>
        </w:rPr>
        <w:t>tree’s </w:t>
      </w:r>
      <w:r>
        <w:rPr>
          <w:spacing w:val="-3"/>
          <w:w w:val="105"/>
        </w:rPr>
        <w:t>current health </w:t>
      </w:r>
      <w:r>
        <w:rPr>
          <w:w w:val="105"/>
        </w:rPr>
        <w:t>and expected </w:t>
      </w:r>
      <w:r>
        <w:rPr>
          <w:spacing w:val="-5"/>
          <w:w w:val="105"/>
        </w:rPr>
        <w:t>lifespan.</w:t>
      </w:r>
      <w:r>
        <w:rPr>
          <w:spacing w:val="-5"/>
          <w:w w:val="105"/>
          <w:position w:val="7"/>
          <w:sz w:val="12"/>
        </w:rPr>
        <w:t>127</w:t>
      </w:r>
      <w:r>
        <w:rPr>
          <w:spacing w:val="-5"/>
          <w:w w:val="105"/>
          <w:sz w:val="12"/>
        </w:rPr>
        <w:t> </w:t>
      </w:r>
      <w:r>
        <w:rPr>
          <w:spacing w:val="-4"/>
          <w:w w:val="105"/>
        </w:rPr>
        <w:t>Council </w:t>
      </w:r>
      <w:r>
        <w:rPr>
          <w:w w:val="105"/>
        </w:rPr>
        <w:t>stated </w:t>
      </w:r>
      <w:r>
        <w:rPr>
          <w:spacing w:val="-3"/>
          <w:w w:val="105"/>
        </w:rPr>
        <w:t>that photographs, including </w:t>
      </w:r>
      <w:r>
        <w:rPr>
          <w:w w:val="105"/>
        </w:rPr>
        <w:t>aerial </w:t>
      </w:r>
      <w:r>
        <w:rPr>
          <w:spacing w:val="-3"/>
          <w:w w:val="105"/>
        </w:rPr>
        <w:t>photographs, </w:t>
      </w:r>
      <w:r>
        <w:rPr>
          <w:w w:val="105"/>
        </w:rPr>
        <w:t>can be </w:t>
      </w:r>
      <w:r>
        <w:rPr>
          <w:spacing w:val="-3"/>
          <w:w w:val="105"/>
        </w:rPr>
        <w:t>helpful </w:t>
      </w:r>
      <w:r>
        <w:rPr>
          <w:w w:val="105"/>
        </w:rPr>
        <w:t>in </w:t>
      </w:r>
      <w:r>
        <w:rPr>
          <w:spacing w:val="-3"/>
          <w:w w:val="105"/>
        </w:rPr>
        <w:t>making </w:t>
      </w:r>
      <w:r>
        <w:rPr>
          <w:w w:val="105"/>
        </w:rPr>
        <w:t>permit </w:t>
      </w:r>
      <w:r>
        <w:rPr>
          <w:spacing w:val="-4"/>
          <w:w w:val="105"/>
        </w:rPr>
        <w:t>decisions.</w:t>
      </w:r>
      <w:r>
        <w:rPr>
          <w:spacing w:val="-4"/>
          <w:w w:val="105"/>
          <w:position w:val="7"/>
          <w:sz w:val="12"/>
        </w:rPr>
        <w:t>128 </w:t>
      </w:r>
      <w:r>
        <w:rPr>
          <w:spacing w:val="-3"/>
          <w:w w:val="105"/>
        </w:rPr>
        <w:t>Photos allow </w:t>
      </w:r>
      <w:r>
        <w:rPr>
          <w:spacing w:val="-4"/>
          <w:w w:val="105"/>
        </w:rPr>
        <w:t>Council </w:t>
      </w:r>
      <w:r>
        <w:rPr>
          <w:spacing w:val="-3"/>
          <w:w w:val="105"/>
        </w:rPr>
        <w:t>to determine </w:t>
      </w:r>
      <w:r>
        <w:rPr>
          <w:w w:val="105"/>
        </w:rPr>
        <w:t>the species of </w:t>
      </w:r>
      <w:r>
        <w:rPr>
          <w:spacing w:val="-3"/>
          <w:w w:val="105"/>
        </w:rPr>
        <w:t>tree, </w:t>
      </w:r>
      <w:r>
        <w:rPr>
          <w:w w:val="105"/>
        </w:rPr>
        <w:t>and its </w:t>
      </w:r>
      <w:r>
        <w:rPr>
          <w:spacing w:val="-3"/>
          <w:w w:val="105"/>
        </w:rPr>
        <w:t>appearance </w:t>
      </w:r>
      <w:r>
        <w:rPr>
          <w:w w:val="105"/>
        </w:rPr>
        <w:t>and</w:t>
      </w:r>
      <w:r>
        <w:rPr>
          <w:spacing w:val="14"/>
          <w:w w:val="105"/>
        </w:rPr>
        <w:t> </w:t>
      </w:r>
      <w:r>
        <w:rPr>
          <w:spacing w:val="-4"/>
          <w:w w:val="105"/>
        </w:rPr>
        <w:t>position.</w:t>
      </w:r>
      <w:r>
        <w:rPr>
          <w:spacing w:val="-4"/>
          <w:w w:val="105"/>
          <w:position w:val="7"/>
          <w:sz w:val="12"/>
        </w:rPr>
        <w:t>129</w:t>
      </w:r>
    </w:p>
    <w:p>
      <w:pPr>
        <w:pStyle w:val="ListParagraph"/>
        <w:numPr>
          <w:ilvl w:val="1"/>
          <w:numId w:val="16"/>
        </w:numPr>
        <w:tabs>
          <w:tab w:pos="2381" w:val="left" w:leader="none"/>
          <w:tab w:pos="2382" w:val="left" w:leader="none"/>
        </w:tabs>
        <w:spacing w:line="242" w:lineRule="auto" w:before="128" w:after="0"/>
        <w:ind w:left="2381" w:right="1665" w:hanging="794"/>
        <w:jc w:val="left"/>
        <w:rPr>
          <w:sz w:val="21"/>
        </w:rPr>
      </w:pPr>
      <w:r>
        <w:rPr>
          <w:w w:val="105"/>
          <w:sz w:val="21"/>
        </w:rPr>
        <w:t>Baw Baw stated </w:t>
      </w:r>
      <w:r>
        <w:rPr>
          <w:spacing w:val="-3"/>
          <w:w w:val="105"/>
          <w:sz w:val="21"/>
        </w:rPr>
        <w:t>that </w:t>
      </w:r>
      <w:r>
        <w:rPr>
          <w:w w:val="105"/>
          <w:sz w:val="21"/>
        </w:rPr>
        <w:t>residents </w:t>
      </w:r>
      <w:r>
        <w:rPr>
          <w:spacing w:val="-3"/>
          <w:w w:val="105"/>
          <w:sz w:val="21"/>
        </w:rPr>
        <w:t>generally </w:t>
      </w:r>
      <w:r>
        <w:rPr>
          <w:w w:val="105"/>
          <w:sz w:val="21"/>
        </w:rPr>
        <w:t>provide the correct </w:t>
      </w:r>
      <w:r>
        <w:rPr>
          <w:spacing w:val="-3"/>
          <w:w w:val="105"/>
          <w:sz w:val="21"/>
        </w:rPr>
        <w:t>information </w:t>
      </w:r>
      <w:r>
        <w:rPr>
          <w:w w:val="105"/>
          <w:sz w:val="21"/>
        </w:rPr>
        <w:t>in their </w:t>
      </w:r>
      <w:r>
        <w:rPr>
          <w:spacing w:val="-4"/>
          <w:w w:val="105"/>
          <w:sz w:val="21"/>
        </w:rPr>
        <w:t>applications.</w:t>
      </w:r>
      <w:r>
        <w:rPr>
          <w:spacing w:val="-4"/>
          <w:w w:val="105"/>
          <w:position w:val="7"/>
          <w:sz w:val="12"/>
        </w:rPr>
        <w:t>130 </w:t>
      </w:r>
      <w:r>
        <w:rPr>
          <w:w w:val="105"/>
          <w:sz w:val="21"/>
        </w:rPr>
        <w:t>In some cases the cost of </w:t>
      </w:r>
      <w:r>
        <w:rPr>
          <w:spacing w:val="-3"/>
          <w:w w:val="105"/>
          <w:sz w:val="21"/>
        </w:rPr>
        <w:t>gathering material for </w:t>
      </w:r>
      <w:r>
        <w:rPr>
          <w:w w:val="105"/>
          <w:sz w:val="21"/>
        </w:rPr>
        <w:t>an application </w:t>
      </w:r>
      <w:r>
        <w:rPr>
          <w:spacing w:val="-3"/>
          <w:w w:val="105"/>
          <w:sz w:val="21"/>
        </w:rPr>
        <w:t>(including photography </w:t>
      </w:r>
      <w:r>
        <w:rPr>
          <w:w w:val="105"/>
          <w:sz w:val="21"/>
        </w:rPr>
        <w:t>and arborist report) can be </w:t>
      </w:r>
      <w:r>
        <w:rPr>
          <w:spacing w:val="-3"/>
          <w:w w:val="105"/>
          <w:sz w:val="21"/>
        </w:rPr>
        <w:t>prohibitive, </w:t>
      </w:r>
      <w:r>
        <w:rPr>
          <w:w w:val="105"/>
          <w:sz w:val="21"/>
        </w:rPr>
        <w:t>and sometimes people choose </w:t>
      </w:r>
      <w:r>
        <w:rPr>
          <w:spacing w:val="-3"/>
          <w:w w:val="105"/>
          <w:sz w:val="21"/>
        </w:rPr>
        <w:t>to </w:t>
      </w:r>
      <w:r>
        <w:rPr>
          <w:w w:val="105"/>
          <w:sz w:val="21"/>
        </w:rPr>
        <w:t>run the risk of a fine </w:t>
      </w:r>
      <w:r>
        <w:rPr>
          <w:spacing w:val="-3"/>
          <w:w w:val="105"/>
          <w:sz w:val="21"/>
        </w:rPr>
        <w:t>for unauthorised </w:t>
      </w:r>
      <w:r>
        <w:rPr>
          <w:w w:val="105"/>
          <w:sz w:val="21"/>
        </w:rPr>
        <w:t>tree works or </w:t>
      </w:r>
      <w:r>
        <w:rPr>
          <w:spacing w:val="-5"/>
          <w:w w:val="105"/>
          <w:sz w:val="21"/>
        </w:rPr>
        <w:t>removal.</w:t>
      </w:r>
      <w:r>
        <w:rPr>
          <w:spacing w:val="-5"/>
          <w:w w:val="105"/>
          <w:position w:val="7"/>
          <w:sz w:val="12"/>
        </w:rPr>
        <w:t>131 </w:t>
      </w:r>
      <w:r>
        <w:rPr>
          <w:spacing w:val="-4"/>
          <w:w w:val="105"/>
          <w:sz w:val="21"/>
        </w:rPr>
        <w:t>Council </w:t>
      </w:r>
      <w:r>
        <w:rPr>
          <w:w w:val="105"/>
          <w:sz w:val="21"/>
        </w:rPr>
        <w:t>explained </w:t>
      </w:r>
      <w:r>
        <w:rPr>
          <w:spacing w:val="-3"/>
          <w:w w:val="105"/>
          <w:sz w:val="21"/>
        </w:rPr>
        <w:t>that </w:t>
      </w:r>
      <w:r>
        <w:rPr>
          <w:w w:val="105"/>
          <w:sz w:val="21"/>
        </w:rPr>
        <w:t>a major</w:t>
      </w:r>
      <w:r>
        <w:rPr>
          <w:spacing w:val="-13"/>
          <w:w w:val="105"/>
          <w:sz w:val="21"/>
        </w:rPr>
        <w:t> </w:t>
      </w:r>
      <w:r>
        <w:rPr>
          <w:w w:val="105"/>
          <w:sz w:val="21"/>
        </w:rPr>
        <w:t>problem</w:t>
      </w:r>
      <w:r>
        <w:rPr>
          <w:spacing w:val="-13"/>
          <w:w w:val="105"/>
          <w:sz w:val="21"/>
        </w:rPr>
        <w:t> </w:t>
      </w:r>
      <w:r>
        <w:rPr>
          <w:w w:val="105"/>
          <w:sz w:val="21"/>
        </w:rPr>
        <w:t>with</w:t>
      </w:r>
      <w:r>
        <w:rPr>
          <w:spacing w:val="-13"/>
          <w:w w:val="105"/>
          <w:sz w:val="21"/>
        </w:rPr>
        <w:t> </w:t>
      </w:r>
      <w:r>
        <w:rPr>
          <w:w w:val="105"/>
          <w:sz w:val="21"/>
        </w:rPr>
        <w:t>arborists’</w:t>
      </w:r>
      <w:r>
        <w:rPr>
          <w:spacing w:val="-13"/>
          <w:w w:val="105"/>
          <w:sz w:val="21"/>
        </w:rPr>
        <w:t> </w:t>
      </w:r>
      <w:r>
        <w:rPr>
          <w:w w:val="105"/>
          <w:sz w:val="21"/>
        </w:rPr>
        <w:t>assessments</w:t>
      </w:r>
      <w:r>
        <w:rPr>
          <w:spacing w:val="-13"/>
          <w:w w:val="105"/>
          <w:sz w:val="21"/>
        </w:rPr>
        <w:t> </w:t>
      </w:r>
      <w:r>
        <w:rPr>
          <w:w w:val="105"/>
          <w:sz w:val="21"/>
        </w:rPr>
        <w:t>is</w:t>
      </w:r>
      <w:r>
        <w:rPr>
          <w:spacing w:val="-13"/>
          <w:w w:val="105"/>
          <w:sz w:val="21"/>
        </w:rPr>
        <w:t> </w:t>
      </w:r>
      <w:r>
        <w:rPr>
          <w:spacing w:val="-3"/>
          <w:w w:val="105"/>
          <w:sz w:val="21"/>
        </w:rPr>
        <w:t>that</w:t>
      </w:r>
      <w:r>
        <w:rPr>
          <w:spacing w:val="-12"/>
          <w:w w:val="105"/>
          <w:sz w:val="21"/>
        </w:rPr>
        <w:t> </w:t>
      </w:r>
      <w:r>
        <w:rPr>
          <w:spacing w:val="-3"/>
          <w:w w:val="105"/>
          <w:sz w:val="21"/>
        </w:rPr>
        <w:t>many</w:t>
      </w:r>
      <w:r>
        <w:rPr>
          <w:spacing w:val="-13"/>
          <w:w w:val="105"/>
          <w:sz w:val="21"/>
        </w:rPr>
        <w:t> </w:t>
      </w:r>
      <w:r>
        <w:rPr>
          <w:spacing w:val="-4"/>
          <w:w w:val="105"/>
          <w:sz w:val="21"/>
        </w:rPr>
        <w:t>fail</w:t>
      </w:r>
      <w:r>
        <w:rPr>
          <w:spacing w:val="-13"/>
          <w:w w:val="105"/>
          <w:sz w:val="21"/>
        </w:rPr>
        <w:t> </w:t>
      </w:r>
      <w:r>
        <w:rPr>
          <w:spacing w:val="-3"/>
          <w:w w:val="105"/>
          <w:sz w:val="21"/>
        </w:rPr>
        <w:t>to</w:t>
      </w:r>
      <w:r>
        <w:rPr>
          <w:spacing w:val="-13"/>
          <w:w w:val="105"/>
          <w:sz w:val="21"/>
        </w:rPr>
        <w:t> </w:t>
      </w:r>
      <w:r>
        <w:rPr>
          <w:spacing w:val="-3"/>
          <w:w w:val="105"/>
          <w:sz w:val="21"/>
        </w:rPr>
        <w:t>complete</w:t>
      </w:r>
      <w:r>
        <w:rPr>
          <w:spacing w:val="-13"/>
          <w:w w:val="105"/>
          <w:sz w:val="21"/>
        </w:rPr>
        <w:t> </w:t>
      </w:r>
      <w:r>
        <w:rPr>
          <w:w w:val="105"/>
          <w:sz w:val="21"/>
        </w:rPr>
        <w:t>a</w:t>
      </w:r>
      <w:r>
        <w:rPr>
          <w:spacing w:val="-13"/>
          <w:w w:val="105"/>
          <w:sz w:val="21"/>
        </w:rPr>
        <w:t> </w:t>
      </w:r>
      <w:r>
        <w:rPr>
          <w:w w:val="105"/>
          <w:sz w:val="21"/>
        </w:rPr>
        <w:t>risk</w:t>
      </w:r>
      <w:r>
        <w:rPr>
          <w:spacing w:val="-12"/>
          <w:w w:val="105"/>
          <w:sz w:val="21"/>
        </w:rPr>
        <w:t> </w:t>
      </w:r>
      <w:r>
        <w:rPr>
          <w:w w:val="105"/>
          <w:sz w:val="21"/>
        </w:rPr>
        <w:t>assessment as</w:t>
      </w:r>
      <w:r>
        <w:rPr>
          <w:spacing w:val="-5"/>
          <w:w w:val="105"/>
          <w:sz w:val="21"/>
        </w:rPr>
        <w:t> </w:t>
      </w:r>
      <w:r>
        <w:rPr>
          <w:w w:val="105"/>
          <w:sz w:val="21"/>
        </w:rPr>
        <w:t>part</w:t>
      </w:r>
      <w:r>
        <w:rPr>
          <w:spacing w:val="-4"/>
          <w:w w:val="105"/>
          <w:sz w:val="21"/>
        </w:rPr>
        <w:t> </w:t>
      </w:r>
      <w:r>
        <w:rPr>
          <w:w w:val="105"/>
          <w:sz w:val="21"/>
        </w:rPr>
        <w:t>of</w:t>
      </w:r>
      <w:r>
        <w:rPr>
          <w:spacing w:val="-5"/>
          <w:w w:val="105"/>
          <w:sz w:val="21"/>
        </w:rPr>
        <w:t> </w:t>
      </w:r>
      <w:r>
        <w:rPr>
          <w:w w:val="105"/>
          <w:sz w:val="21"/>
        </w:rPr>
        <w:t>their</w:t>
      </w:r>
      <w:r>
        <w:rPr>
          <w:spacing w:val="-4"/>
          <w:w w:val="105"/>
          <w:sz w:val="21"/>
        </w:rPr>
        <w:t> </w:t>
      </w:r>
      <w:r>
        <w:rPr>
          <w:spacing w:val="-3"/>
          <w:w w:val="105"/>
          <w:sz w:val="21"/>
        </w:rPr>
        <w:t>overall</w:t>
      </w:r>
      <w:r>
        <w:rPr>
          <w:spacing w:val="-5"/>
          <w:w w:val="105"/>
          <w:sz w:val="21"/>
        </w:rPr>
        <w:t> </w:t>
      </w:r>
      <w:r>
        <w:rPr>
          <w:w w:val="105"/>
          <w:sz w:val="21"/>
        </w:rPr>
        <w:t>assessment</w:t>
      </w:r>
      <w:r>
        <w:rPr>
          <w:spacing w:val="-4"/>
          <w:w w:val="105"/>
          <w:sz w:val="21"/>
        </w:rPr>
        <w:t> </w:t>
      </w:r>
      <w:r>
        <w:rPr>
          <w:w w:val="105"/>
          <w:sz w:val="21"/>
        </w:rPr>
        <w:t>of</w:t>
      </w:r>
      <w:r>
        <w:rPr>
          <w:spacing w:val="-5"/>
          <w:w w:val="105"/>
          <w:sz w:val="21"/>
        </w:rPr>
        <w:t> </w:t>
      </w:r>
      <w:r>
        <w:rPr>
          <w:w w:val="105"/>
          <w:sz w:val="21"/>
        </w:rPr>
        <w:t>tree</w:t>
      </w:r>
      <w:r>
        <w:rPr>
          <w:spacing w:val="-4"/>
          <w:w w:val="105"/>
          <w:sz w:val="21"/>
        </w:rPr>
        <w:t> </w:t>
      </w:r>
      <w:r>
        <w:rPr>
          <w:spacing w:val="-5"/>
          <w:w w:val="105"/>
          <w:sz w:val="21"/>
        </w:rPr>
        <w:t>health.</w:t>
      </w:r>
      <w:r>
        <w:rPr>
          <w:spacing w:val="-5"/>
          <w:w w:val="105"/>
          <w:position w:val="7"/>
          <w:sz w:val="12"/>
        </w:rPr>
        <w:t>132  </w:t>
      </w:r>
      <w:r>
        <w:rPr>
          <w:w w:val="105"/>
          <w:sz w:val="21"/>
        </w:rPr>
        <w:t>While</w:t>
      </w:r>
      <w:r>
        <w:rPr>
          <w:spacing w:val="-4"/>
          <w:w w:val="105"/>
          <w:sz w:val="21"/>
        </w:rPr>
        <w:t> </w:t>
      </w:r>
      <w:r>
        <w:rPr>
          <w:w w:val="105"/>
          <w:sz w:val="21"/>
        </w:rPr>
        <w:t>they</w:t>
      </w:r>
      <w:r>
        <w:rPr>
          <w:spacing w:val="-5"/>
          <w:w w:val="105"/>
          <w:sz w:val="21"/>
        </w:rPr>
        <w:t> </w:t>
      </w:r>
      <w:r>
        <w:rPr>
          <w:spacing w:val="-3"/>
          <w:w w:val="105"/>
          <w:sz w:val="21"/>
        </w:rPr>
        <w:t>may</w:t>
      </w:r>
      <w:r>
        <w:rPr>
          <w:spacing w:val="-4"/>
          <w:w w:val="105"/>
          <w:sz w:val="21"/>
        </w:rPr>
        <w:t> </w:t>
      </w:r>
      <w:r>
        <w:rPr>
          <w:w w:val="105"/>
          <w:sz w:val="21"/>
        </w:rPr>
        <w:t>assess</w:t>
      </w:r>
      <w:r>
        <w:rPr>
          <w:spacing w:val="-5"/>
          <w:w w:val="105"/>
          <w:sz w:val="21"/>
        </w:rPr>
        <w:t> </w:t>
      </w:r>
      <w:r>
        <w:rPr>
          <w:w w:val="105"/>
          <w:sz w:val="21"/>
        </w:rPr>
        <w:t>the</w:t>
      </w:r>
      <w:r>
        <w:rPr>
          <w:spacing w:val="-4"/>
          <w:w w:val="105"/>
          <w:sz w:val="21"/>
        </w:rPr>
        <w:t> </w:t>
      </w:r>
      <w:r>
        <w:rPr>
          <w:spacing w:val="-3"/>
          <w:w w:val="105"/>
          <w:sz w:val="21"/>
        </w:rPr>
        <w:t>health</w:t>
      </w:r>
    </w:p>
    <w:p>
      <w:pPr>
        <w:pStyle w:val="BodyText"/>
        <w:spacing w:line="242" w:lineRule="auto" w:before="6"/>
        <w:ind w:left="2381" w:right="1870"/>
        <w:rPr>
          <w:sz w:val="12"/>
        </w:rPr>
      </w:pPr>
      <w:r>
        <w:rPr>
          <w:w w:val="105"/>
        </w:rPr>
        <w:t>of a tree as </w:t>
      </w:r>
      <w:r>
        <w:rPr>
          <w:spacing w:val="-5"/>
          <w:w w:val="105"/>
        </w:rPr>
        <w:t>‘poor’, </w:t>
      </w:r>
      <w:r>
        <w:rPr>
          <w:w w:val="105"/>
        </w:rPr>
        <w:t>they do </w:t>
      </w:r>
      <w:r>
        <w:rPr>
          <w:spacing w:val="-2"/>
          <w:w w:val="105"/>
        </w:rPr>
        <w:t>not </w:t>
      </w:r>
      <w:r>
        <w:rPr>
          <w:w w:val="105"/>
        </w:rPr>
        <w:t>necessarily assess the</w:t>
      </w:r>
      <w:r>
        <w:rPr>
          <w:spacing w:val="-3"/>
          <w:w w:val="105"/>
        </w:rPr>
        <w:t> consequences </w:t>
      </w:r>
      <w:r>
        <w:rPr>
          <w:w w:val="105"/>
        </w:rPr>
        <w:t>if it </w:t>
      </w:r>
      <w:r>
        <w:rPr>
          <w:spacing w:val="-5"/>
          <w:w w:val="105"/>
        </w:rPr>
        <w:t>fails.</w:t>
      </w:r>
      <w:r>
        <w:rPr>
          <w:spacing w:val="-5"/>
          <w:w w:val="105"/>
          <w:position w:val="7"/>
          <w:sz w:val="12"/>
        </w:rPr>
        <w:t>133 </w:t>
      </w:r>
      <w:r>
        <w:rPr>
          <w:spacing w:val="-4"/>
          <w:w w:val="105"/>
        </w:rPr>
        <w:t>Council </w:t>
      </w:r>
      <w:r>
        <w:rPr>
          <w:spacing w:val="-3"/>
          <w:w w:val="105"/>
        </w:rPr>
        <w:t>requires </w:t>
      </w:r>
      <w:r>
        <w:rPr>
          <w:w w:val="105"/>
        </w:rPr>
        <w:t>arborists’ reports </w:t>
      </w:r>
      <w:r>
        <w:rPr>
          <w:spacing w:val="-3"/>
          <w:w w:val="105"/>
        </w:rPr>
        <w:t>to contain </w:t>
      </w:r>
      <w:r>
        <w:rPr>
          <w:w w:val="105"/>
        </w:rPr>
        <w:t>risk assessments as </w:t>
      </w:r>
      <w:r>
        <w:rPr>
          <w:spacing w:val="-3"/>
          <w:w w:val="105"/>
        </w:rPr>
        <w:t>well </w:t>
      </w:r>
      <w:r>
        <w:rPr>
          <w:w w:val="105"/>
        </w:rPr>
        <w:t>as </w:t>
      </w:r>
      <w:r>
        <w:rPr>
          <w:spacing w:val="-3"/>
          <w:w w:val="105"/>
        </w:rPr>
        <w:t>health assessments.</w:t>
      </w:r>
      <w:r>
        <w:rPr>
          <w:spacing w:val="-3"/>
          <w:w w:val="105"/>
          <w:position w:val="7"/>
          <w:sz w:val="12"/>
        </w:rPr>
        <w:t>134</w:t>
      </w:r>
    </w:p>
    <w:p>
      <w:pPr>
        <w:pStyle w:val="ListParagraph"/>
        <w:numPr>
          <w:ilvl w:val="1"/>
          <w:numId w:val="16"/>
        </w:numPr>
        <w:tabs>
          <w:tab w:pos="2380" w:val="left" w:leader="none"/>
          <w:tab w:pos="2381" w:val="left" w:leader="none"/>
        </w:tabs>
        <w:spacing w:line="242" w:lineRule="auto" w:before="122" w:after="0"/>
        <w:ind w:left="2381" w:right="1880" w:hanging="794"/>
        <w:jc w:val="left"/>
        <w:rPr>
          <w:sz w:val="21"/>
        </w:rPr>
      </w:pPr>
      <w:r>
        <w:rPr>
          <w:w w:val="105"/>
          <w:sz w:val="21"/>
        </w:rPr>
        <w:t>The </w:t>
      </w:r>
      <w:r>
        <w:rPr>
          <w:spacing w:val="-3"/>
          <w:w w:val="105"/>
          <w:sz w:val="21"/>
        </w:rPr>
        <w:t>City </w:t>
      </w:r>
      <w:r>
        <w:rPr>
          <w:w w:val="105"/>
          <w:sz w:val="21"/>
        </w:rPr>
        <w:t>of Port </w:t>
      </w:r>
      <w:r>
        <w:rPr>
          <w:spacing w:val="-3"/>
          <w:w w:val="105"/>
          <w:sz w:val="21"/>
        </w:rPr>
        <w:t>Phillip noted that </w:t>
      </w:r>
      <w:r>
        <w:rPr>
          <w:spacing w:val="-4"/>
          <w:w w:val="105"/>
          <w:sz w:val="21"/>
        </w:rPr>
        <w:t>Council </w:t>
      </w:r>
      <w:r>
        <w:rPr>
          <w:spacing w:val="-3"/>
          <w:w w:val="105"/>
          <w:sz w:val="21"/>
        </w:rPr>
        <w:t>will generally require </w:t>
      </w:r>
      <w:r>
        <w:rPr>
          <w:w w:val="105"/>
          <w:sz w:val="21"/>
        </w:rPr>
        <w:t>a report </w:t>
      </w:r>
      <w:r>
        <w:rPr>
          <w:spacing w:val="-3"/>
          <w:w w:val="105"/>
          <w:sz w:val="21"/>
        </w:rPr>
        <w:t>from </w:t>
      </w:r>
      <w:r>
        <w:rPr>
          <w:w w:val="105"/>
          <w:sz w:val="21"/>
        </w:rPr>
        <w:t>a suitably qualified arborist prior </w:t>
      </w:r>
      <w:r>
        <w:rPr>
          <w:spacing w:val="-3"/>
          <w:w w:val="105"/>
          <w:sz w:val="21"/>
        </w:rPr>
        <w:t>to approving </w:t>
      </w:r>
      <w:r>
        <w:rPr>
          <w:w w:val="105"/>
          <w:sz w:val="21"/>
        </w:rPr>
        <w:t>a development</w:t>
      </w:r>
      <w:r>
        <w:rPr>
          <w:spacing w:val="23"/>
          <w:w w:val="105"/>
          <w:sz w:val="21"/>
        </w:rPr>
        <w:t> </w:t>
      </w:r>
      <w:r>
        <w:rPr>
          <w:spacing w:val="-4"/>
          <w:w w:val="105"/>
          <w:sz w:val="21"/>
        </w:rPr>
        <w:t>application.</w:t>
      </w:r>
      <w:r>
        <w:rPr>
          <w:spacing w:val="-4"/>
          <w:w w:val="105"/>
          <w:position w:val="7"/>
          <w:sz w:val="12"/>
        </w:rPr>
        <w:t>135</w:t>
      </w:r>
    </w:p>
    <w:p>
      <w:pPr>
        <w:pStyle w:val="BodyText"/>
        <w:spacing w:before="3"/>
        <w:rPr>
          <w:sz w:val="20"/>
        </w:rPr>
      </w:pPr>
    </w:p>
    <w:p>
      <w:pPr>
        <w:pStyle w:val="Heading5"/>
      </w:pPr>
      <w:r>
        <w:rPr>
          <w:w w:val="115"/>
        </w:rPr>
        <w:t>Expert evidence—local laws</w:t>
      </w:r>
    </w:p>
    <w:p>
      <w:pPr>
        <w:pStyle w:val="Heading7"/>
        <w:spacing w:before="168"/>
      </w:pPr>
      <w:r>
        <w:rPr>
          <w:w w:val="115"/>
        </w:rPr>
        <w:t>City of Boroondara</w:t>
      </w:r>
    </w:p>
    <w:p>
      <w:pPr>
        <w:pStyle w:val="ListParagraph"/>
        <w:numPr>
          <w:ilvl w:val="1"/>
          <w:numId w:val="16"/>
        </w:numPr>
        <w:tabs>
          <w:tab w:pos="2381" w:val="left" w:leader="none"/>
          <w:tab w:pos="2382" w:val="left" w:leader="none"/>
        </w:tabs>
        <w:spacing w:line="240" w:lineRule="auto" w:before="143" w:after="0"/>
        <w:ind w:left="2381" w:right="0" w:hanging="794"/>
        <w:jc w:val="left"/>
        <w:rPr>
          <w:sz w:val="21"/>
        </w:rPr>
      </w:pPr>
      <w:r>
        <w:rPr>
          <w:w w:val="105"/>
          <w:sz w:val="21"/>
        </w:rPr>
        <w:t>The </w:t>
      </w:r>
      <w:r>
        <w:rPr>
          <w:spacing w:val="-3"/>
          <w:w w:val="105"/>
          <w:sz w:val="21"/>
        </w:rPr>
        <w:t>City </w:t>
      </w:r>
      <w:r>
        <w:rPr>
          <w:w w:val="105"/>
          <w:sz w:val="21"/>
        </w:rPr>
        <w:t>of </w:t>
      </w:r>
      <w:r>
        <w:rPr>
          <w:spacing w:val="-3"/>
          <w:w w:val="105"/>
          <w:sz w:val="21"/>
        </w:rPr>
        <w:t>Boroondara </w:t>
      </w:r>
      <w:r>
        <w:rPr>
          <w:w w:val="105"/>
          <w:sz w:val="21"/>
        </w:rPr>
        <w:t>advised</w:t>
      </w:r>
      <w:r>
        <w:rPr>
          <w:spacing w:val="32"/>
          <w:w w:val="105"/>
          <w:sz w:val="21"/>
        </w:rPr>
        <w:t> </w:t>
      </w:r>
      <w:r>
        <w:rPr>
          <w:w w:val="105"/>
          <w:sz w:val="21"/>
        </w:rPr>
        <w:t>that:</w:t>
      </w:r>
    </w:p>
    <w:p>
      <w:pPr>
        <w:spacing w:line="254" w:lineRule="auto" w:before="133"/>
        <w:ind w:left="2834" w:right="1856" w:firstLine="0"/>
        <w:jc w:val="left"/>
        <w:rPr>
          <w:sz w:val="11"/>
        </w:rPr>
      </w:pPr>
      <w:r>
        <w:rPr/>
        <w:pict>
          <v:shape style="position:absolute;margin-left:79.370102pt;margin-top:64.60598pt;width:436.55pt;height:254.85pt;mso-position-horizontal-relative:page;mso-position-vertical-relative:paragraph;z-index:1000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8"/>
                    <w:gridCol w:w="8142"/>
                  </w:tblGrid>
                  <w:tr>
                    <w:trPr>
                      <w:trHeight w:val="251" w:hRule="atLeast"/>
                    </w:trPr>
                    <w:tc>
                      <w:tcPr>
                        <w:tcW w:w="588" w:type="dxa"/>
                      </w:tcPr>
                      <w:p>
                        <w:pPr>
                          <w:pStyle w:val="TableParagraph"/>
                          <w:spacing w:line="232" w:lineRule="exact"/>
                          <w:rPr>
                            <w:sz w:val="21"/>
                          </w:rPr>
                        </w:pPr>
                        <w:r>
                          <w:rPr>
                            <w:w w:val="110"/>
                            <w:sz w:val="21"/>
                          </w:rPr>
                          <w:t>8.91</w:t>
                        </w:r>
                      </w:p>
                    </w:tc>
                    <w:tc>
                      <w:tcPr>
                        <w:tcW w:w="8142" w:type="dxa"/>
                      </w:tcPr>
                      <w:p>
                        <w:pPr>
                          <w:pStyle w:val="TableParagraph"/>
                          <w:spacing w:line="232" w:lineRule="exact"/>
                          <w:ind w:left="205"/>
                          <w:rPr>
                            <w:sz w:val="21"/>
                          </w:rPr>
                        </w:pPr>
                        <w:r>
                          <w:rPr>
                            <w:sz w:val="21"/>
                          </w:rPr>
                          <w:t>Boroondara explained that council arborists generally receive permit applications under</w:t>
                        </w:r>
                      </w:p>
                    </w:tc>
                  </w:tr>
                  <w:tr>
                    <w:trPr>
                      <w:trHeight w:val="259" w:hRule="atLeast"/>
                    </w:trPr>
                    <w:tc>
                      <w:tcPr>
                        <w:tcW w:w="588" w:type="dxa"/>
                      </w:tcPr>
                      <w:p>
                        <w:pPr>
                          <w:pStyle w:val="TableParagraph"/>
                          <w:rPr>
                            <w:rFonts w:ascii="Times New Roman"/>
                            <w:sz w:val="18"/>
                          </w:rPr>
                        </w:pPr>
                      </w:p>
                    </w:tc>
                    <w:tc>
                      <w:tcPr>
                        <w:tcW w:w="8142" w:type="dxa"/>
                      </w:tcPr>
                      <w:p>
                        <w:pPr>
                          <w:pStyle w:val="TableParagraph"/>
                          <w:spacing w:line="240" w:lineRule="exact"/>
                          <w:ind w:left="205"/>
                          <w:rPr>
                            <w:sz w:val="21"/>
                          </w:rPr>
                        </w:pPr>
                        <w:r>
                          <w:rPr>
                            <w:w w:val="105"/>
                            <w:sz w:val="21"/>
                          </w:rPr>
                          <w:t>the local law and conduct an on-site inspection of the vegetation prior to making a</w:t>
                        </w:r>
                      </w:p>
                    </w:tc>
                  </w:tr>
                  <w:tr>
                    <w:trPr>
                      <w:trHeight w:val="260" w:hRule="atLeast"/>
                    </w:trPr>
                    <w:tc>
                      <w:tcPr>
                        <w:tcW w:w="588" w:type="dxa"/>
                      </w:tcPr>
                      <w:p>
                        <w:pPr>
                          <w:pStyle w:val="TableParagraph"/>
                          <w:rPr>
                            <w:rFonts w:ascii="Times New Roman"/>
                            <w:sz w:val="18"/>
                          </w:rPr>
                        </w:pPr>
                      </w:p>
                    </w:tc>
                    <w:tc>
                      <w:tcPr>
                        <w:tcW w:w="8142" w:type="dxa"/>
                      </w:tcPr>
                      <w:p>
                        <w:pPr>
                          <w:pStyle w:val="TableParagraph"/>
                          <w:spacing w:line="240" w:lineRule="exact"/>
                          <w:ind w:left="205"/>
                          <w:rPr>
                            <w:sz w:val="21"/>
                          </w:rPr>
                        </w:pPr>
                        <w:r>
                          <w:rPr>
                            <w:w w:val="105"/>
                            <w:sz w:val="21"/>
                          </w:rPr>
                          <w:t>decision about whether to grant the permit.</w:t>
                        </w:r>
                        <w:r>
                          <w:rPr>
                            <w:w w:val="105"/>
                            <w:position w:val="7"/>
                            <w:sz w:val="12"/>
                          </w:rPr>
                          <w:t>137 </w:t>
                        </w:r>
                        <w:r>
                          <w:rPr>
                            <w:w w:val="105"/>
                            <w:sz w:val="21"/>
                          </w:rPr>
                          <w:t>All Council arborists have a minimum AQF</w:t>
                        </w:r>
                      </w:p>
                    </w:tc>
                  </w:tr>
                  <w:tr>
                    <w:trPr>
                      <w:trHeight w:val="259" w:hRule="atLeast"/>
                    </w:trPr>
                    <w:tc>
                      <w:tcPr>
                        <w:tcW w:w="588" w:type="dxa"/>
                      </w:tcPr>
                      <w:p>
                        <w:pPr>
                          <w:pStyle w:val="TableParagraph"/>
                          <w:rPr>
                            <w:rFonts w:ascii="Times New Roman"/>
                            <w:sz w:val="18"/>
                          </w:rPr>
                        </w:pPr>
                      </w:p>
                    </w:tc>
                    <w:tc>
                      <w:tcPr>
                        <w:tcW w:w="8142" w:type="dxa"/>
                      </w:tcPr>
                      <w:p>
                        <w:pPr>
                          <w:pStyle w:val="TableParagraph"/>
                          <w:spacing w:line="240" w:lineRule="exact"/>
                          <w:ind w:left="205"/>
                          <w:rPr>
                            <w:sz w:val="21"/>
                          </w:rPr>
                        </w:pPr>
                        <w:r>
                          <w:rPr>
                            <w:w w:val="105"/>
                            <w:sz w:val="21"/>
                          </w:rPr>
                          <w:t>Level 5 qualification and appropriate risk assessment qualifications; and all application</w:t>
                        </w:r>
                      </w:p>
                    </w:tc>
                  </w:tr>
                  <w:tr>
                    <w:trPr>
                      <w:trHeight w:val="259" w:hRule="atLeast"/>
                    </w:trPr>
                    <w:tc>
                      <w:tcPr>
                        <w:tcW w:w="588" w:type="dxa"/>
                      </w:tcPr>
                      <w:p>
                        <w:pPr>
                          <w:pStyle w:val="TableParagraph"/>
                          <w:rPr>
                            <w:rFonts w:ascii="Times New Roman"/>
                            <w:sz w:val="18"/>
                          </w:rPr>
                        </w:pPr>
                      </w:p>
                    </w:tc>
                    <w:tc>
                      <w:tcPr>
                        <w:tcW w:w="8142" w:type="dxa"/>
                      </w:tcPr>
                      <w:p>
                        <w:pPr>
                          <w:pStyle w:val="TableParagraph"/>
                          <w:spacing w:line="240" w:lineRule="exact"/>
                          <w:ind w:left="205"/>
                          <w:rPr>
                            <w:sz w:val="21"/>
                          </w:rPr>
                        </w:pPr>
                        <w:r>
                          <w:rPr>
                            <w:sz w:val="21"/>
                          </w:rPr>
                          <w:t>assessment is conducted in accordance with the Tree Protection Local Law assessment</w:t>
                        </w:r>
                      </w:p>
                    </w:tc>
                  </w:tr>
                  <w:tr>
                    <w:trPr>
                      <w:trHeight w:val="761" w:hRule="atLeast"/>
                    </w:trPr>
                    <w:tc>
                      <w:tcPr>
                        <w:tcW w:w="588" w:type="dxa"/>
                        <w:tcBorders>
                          <w:bottom w:val="single" w:sz="8" w:space="0" w:color="C9D2CB"/>
                        </w:tcBorders>
                      </w:tcPr>
                      <w:p>
                        <w:pPr>
                          <w:pStyle w:val="TableParagraph"/>
                          <w:rPr>
                            <w:rFonts w:ascii="Times New Roman"/>
                            <w:sz w:val="18"/>
                          </w:rPr>
                        </w:pPr>
                      </w:p>
                    </w:tc>
                    <w:tc>
                      <w:tcPr>
                        <w:tcW w:w="8142" w:type="dxa"/>
                        <w:tcBorders>
                          <w:bottom w:val="single" w:sz="8" w:space="0" w:color="C9D2CB"/>
                        </w:tcBorders>
                      </w:tcPr>
                      <w:p>
                        <w:pPr>
                          <w:pStyle w:val="TableParagraph"/>
                          <w:spacing w:line="256" w:lineRule="exact"/>
                          <w:ind w:left="205"/>
                          <w:rPr>
                            <w:sz w:val="12"/>
                          </w:rPr>
                        </w:pPr>
                        <w:r>
                          <w:rPr>
                            <w:w w:val="105"/>
                            <w:sz w:val="21"/>
                          </w:rPr>
                          <w:t>guidelines.</w:t>
                        </w:r>
                        <w:r>
                          <w:rPr>
                            <w:w w:val="105"/>
                            <w:position w:val="7"/>
                            <w:sz w:val="12"/>
                          </w:rPr>
                          <w:t>138</w:t>
                        </w:r>
                      </w:p>
                    </w:tc>
                  </w:tr>
                  <w:tr>
                    <w:trPr>
                      <w:trHeight w:val="307" w:hRule="atLeast"/>
                    </w:trPr>
                    <w:tc>
                      <w:tcPr>
                        <w:tcW w:w="588" w:type="dxa"/>
                        <w:tcBorders>
                          <w:top w:val="single" w:sz="8" w:space="0" w:color="C9D2CB"/>
                        </w:tcBorders>
                      </w:tcPr>
                      <w:p>
                        <w:pPr>
                          <w:pStyle w:val="TableParagraph"/>
                          <w:spacing w:before="11"/>
                          <w:rPr>
                            <w:b/>
                            <w:sz w:val="11"/>
                          </w:rPr>
                        </w:pPr>
                      </w:p>
                      <w:p>
                        <w:pPr>
                          <w:pStyle w:val="TableParagraph"/>
                          <w:spacing w:line="141" w:lineRule="exact" w:before="1"/>
                          <w:rPr>
                            <w:sz w:val="13"/>
                          </w:rPr>
                        </w:pPr>
                        <w:r>
                          <w:rPr>
                            <w:w w:val="110"/>
                            <w:sz w:val="13"/>
                          </w:rPr>
                          <w:t>121</w:t>
                        </w:r>
                      </w:p>
                    </w:tc>
                    <w:tc>
                      <w:tcPr>
                        <w:tcW w:w="8142" w:type="dxa"/>
                        <w:tcBorders>
                          <w:top w:val="single" w:sz="8" w:space="0" w:color="C9D2CB"/>
                        </w:tcBorders>
                      </w:tcPr>
                      <w:p>
                        <w:pPr>
                          <w:pStyle w:val="TableParagraph"/>
                          <w:spacing w:before="11"/>
                          <w:rPr>
                            <w:b/>
                            <w:sz w:val="11"/>
                          </w:rPr>
                        </w:pPr>
                      </w:p>
                      <w:p>
                        <w:pPr>
                          <w:pStyle w:val="TableParagraph"/>
                          <w:spacing w:line="141" w:lineRule="exact" w:before="1"/>
                          <w:ind w:left="205"/>
                          <w:rPr>
                            <w:sz w:val="13"/>
                          </w:rPr>
                        </w:pPr>
                        <w:r>
                          <w:rPr>
                            <w:w w:val="105"/>
                            <w:sz w:val="13"/>
                          </w:rPr>
                          <w:t>Consultation 9 (Nillumbik Shire Council).</w:t>
                        </w:r>
                      </w:p>
                    </w:tc>
                  </w:tr>
                  <w:tr>
                    <w:trPr>
                      <w:trHeight w:val="160" w:hRule="atLeast"/>
                    </w:trPr>
                    <w:tc>
                      <w:tcPr>
                        <w:tcW w:w="588" w:type="dxa"/>
                      </w:tcPr>
                      <w:p>
                        <w:pPr>
                          <w:pStyle w:val="TableParagraph"/>
                          <w:spacing w:line="140" w:lineRule="exact"/>
                          <w:rPr>
                            <w:sz w:val="13"/>
                          </w:rPr>
                        </w:pPr>
                        <w:r>
                          <w:rPr>
                            <w:w w:val="110"/>
                            <w:sz w:val="13"/>
                          </w:rPr>
                          <w:t>122</w:t>
                        </w:r>
                      </w:p>
                    </w:tc>
                    <w:tc>
                      <w:tcPr>
                        <w:tcW w:w="8142" w:type="dxa"/>
                      </w:tcPr>
                      <w:p>
                        <w:pPr>
                          <w:pStyle w:val="TableParagraph"/>
                          <w:spacing w:line="140" w:lineRule="exact"/>
                          <w:ind w:left="205"/>
                          <w:rPr>
                            <w:sz w:val="13"/>
                          </w:rPr>
                        </w:pPr>
                        <w:r>
                          <w:rPr>
                            <w:sz w:val="13"/>
                          </w:rPr>
                          <w:t>Ibid.</w:t>
                        </w:r>
                      </w:p>
                    </w:tc>
                  </w:tr>
                  <w:tr>
                    <w:trPr>
                      <w:trHeight w:val="160" w:hRule="atLeast"/>
                    </w:trPr>
                    <w:tc>
                      <w:tcPr>
                        <w:tcW w:w="588" w:type="dxa"/>
                      </w:tcPr>
                      <w:p>
                        <w:pPr>
                          <w:pStyle w:val="TableParagraph"/>
                          <w:spacing w:line="140" w:lineRule="exact"/>
                          <w:rPr>
                            <w:sz w:val="13"/>
                          </w:rPr>
                        </w:pPr>
                        <w:r>
                          <w:rPr>
                            <w:w w:val="110"/>
                            <w:sz w:val="13"/>
                          </w:rPr>
                          <w:t>123</w:t>
                        </w:r>
                      </w:p>
                    </w:tc>
                    <w:tc>
                      <w:tcPr>
                        <w:tcW w:w="8142" w:type="dxa"/>
                      </w:tcPr>
                      <w:p>
                        <w:pPr>
                          <w:pStyle w:val="TableParagraph"/>
                          <w:spacing w:line="140" w:lineRule="exact"/>
                          <w:ind w:left="205"/>
                          <w:rPr>
                            <w:sz w:val="13"/>
                          </w:rPr>
                        </w:pPr>
                        <w:r>
                          <w:rPr>
                            <w:w w:val="105"/>
                            <w:sz w:val="13"/>
                          </w:rPr>
                          <w:t>Consultation 10 (Baw Baw Shire Council).</w:t>
                        </w:r>
                      </w:p>
                    </w:tc>
                  </w:tr>
                  <w:tr>
                    <w:trPr>
                      <w:trHeight w:val="160" w:hRule="atLeast"/>
                    </w:trPr>
                    <w:tc>
                      <w:tcPr>
                        <w:tcW w:w="588" w:type="dxa"/>
                      </w:tcPr>
                      <w:p>
                        <w:pPr>
                          <w:pStyle w:val="TableParagraph"/>
                          <w:spacing w:line="140" w:lineRule="exact"/>
                          <w:rPr>
                            <w:sz w:val="13"/>
                          </w:rPr>
                        </w:pPr>
                        <w:r>
                          <w:rPr>
                            <w:w w:val="110"/>
                            <w:sz w:val="13"/>
                          </w:rPr>
                          <w:t>124</w:t>
                        </w:r>
                      </w:p>
                    </w:tc>
                    <w:tc>
                      <w:tcPr>
                        <w:tcW w:w="8142" w:type="dxa"/>
                      </w:tcPr>
                      <w:p>
                        <w:pPr>
                          <w:pStyle w:val="TableParagraph"/>
                          <w:spacing w:line="140" w:lineRule="exact"/>
                          <w:ind w:left="205"/>
                          <w:rPr>
                            <w:sz w:val="13"/>
                          </w:rPr>
                        </w:pPr>
                        <w:r>
                          <w:rPr>
                            <w:sz w:val="13"/>
                          </w:rPr>
                          <w:t>Ibid.</w:t>
                        </w:r>
                      </w:p>
                    </w:tc>
                  </w:tr>
                  <w:tr>
                    <w:trPr>
                      <w:trHeight w:val="160" w:hRule="atLeast"/>
                    </w:trPr>
                    <w:tc>
                      <w:tcPr>
                        <w:tcW w:w="588" w:type="dxa"/>
                      </w:tcPr>
                      <w:p>
                        <w:pPr>
                          <w:pStyle w:val="TableParagraph"/>
                          <w:spacing w:line="140" w:lineRule="exact"/>
                          <w:rPr>
                            <w:sz w:val="13"/>
                          </w:rPr>
                        </w:pPr>
                        <w:r>
                          <w:rPr>
                            <w:w w:val="110"/>
                            <w:sz w:val="13"/>
                          </w:rPr>
                          <w:t>125</w:t>
                        </w:r>
                      </w:p>
                    </w:tc>
                    <w:tc>
                      <w:tcPr>
                        <w:tcW w:w="8142" w:type="dxa"/>
                      </w:tcPr>
                      <w:p>
                        <w:pPr>
                          <w:pStyle w:val="TableParagraph"/>
                          <w:spacing w:line="140" w:lineRule="exact"/>
                          <w:ind w:left="205"/>
                          <w:rPr>
                            <w:sz w:val="13"/>
                          </w:rPr>
                        </w:pPr>
                        <w:r>
                          <w:rPr>
                            <w:sz w:val="13"/>
                          </w:rPr>
                          <w:t>Ibid.</w:t>
                        </w:r>
                      </w:p>
                    </w:tc>
                  </w:tr>
                  <w:tr>
                    <w:trPr>
                      <w:trHeight w:val="160" w:hRule="atLeast"/>
                    </w:trPr>
                    <w:tc>
                      <w:tcPr>
                        <w:tcW w:w="588" w:type="dxa"/>
                      </w:tcPr>
                      <w:p>
                        <w:pPr>
                          <w:pStyle w:val="TableParagraph"/>
                          <w:spacing w:line="140" w:lineRule="exact"/>
                          <w:rPr>
                            <w:sz w:val="13"/>
                          </w:rPr>
                        </w:pPr>
                        <w:r>
                          <w:rPr>
                            <w:w w:val="110"/>
                            <w:sz w:val="13"/>
                          </w:rPr>
                          <w:t>126</w:t>
                        </w:r>
                      </w:p>
                    </w:tc>
                    <w:tc>
                      <w:tcPr>
                        <w:tcW w:w="8142" w:type="dxa"/>
                      </w:tcPr>
                      <w:p>
                        <w:pPr>
                          <w:pStyle w:val="TableParagraph"/>
                          <w:spacing w:line="140" w:lineRule="exact"/>
                          <w:ind w:left="205"/>
                          <w:rPr>
                            <w:sz w:val="13"/>
                          </w:rPr>
                        </w:pPr>
                        <w:r>
                          <w:rPr>
                            <w:sz w:val="13"/>
                          </w:rPr>
                          <w:t>Ibid.</w:t>
                        </w:r>
                      </w:p>
                    </w:tc>
                  </w:tr>
                  <w:tr>
                    <w:trPr>
                      <w:trHeight w:val="160" w:hRule="atLeast"/>
                    </w:trPr>
                    <w:tc>
                      <w:tcPr>
                        <w:tcW w:w="588" w:type="dxa"/>
                      </w:tcPr>
                      <w:p>
                        <w:pPr>
                          <w:pStyle w:val="TableParagraph"/>
                          <w:spacing w:line="140" w:lineRule="exact"/>
                          <w:rPr>
                            <w:sz w:val="13"/>
                          </w:rPr>
                        </w:pPr>
                        <w:r>
                          <w:rPr>
                            <w:w w:val="110"/>
                            <w:sz w:val="13"/>
                          </w:rPr>
                          <w:t>127</w:t>
                        </w:r>
                      </w:p>
                    </w:tc>
                    <w:tc>
                      <w:tcPr>
                        <w:tcW w:w="8142" w:type="dxa"/>
                      </w:tcPr>
                      <w:p>
                        <w:pPr>
                          <w:pStyle w:val="TableParagraph"/>
                          <w:spacing w:line="140" w:lineRule="exact"/>
                          <w:ind w:left="205"/>
                          <w:rPr>
                            <w:sz w:val="13"/>
                          </w:rPr>
                        </w:pPr>
                        <w:r>
                          <w:rPr>
                            <w:sz w:val="13"/>
                          </w:rPr>
                          <w:t>Ibid.</w:t>
                        </w:r>
                      </w:p>
                    </w:tc>
                  </w:tr>
                  <w:tr>
                    <w:trPr>
                      <w:trHeight w:val="160" w:hRule="atLeast"/>
                    </w:trPr>
                    <w:tc>
                      <w:tcPr>
                        <w:tcW w:w="588" w:type="dxa"/>
                      </w:tcPr>
                      <w:p>
                        <w:pPr>
                          <w:pStyle w:val="TableParagraph"/>
                          <w:spacing w:line="140" w:lineRule="exact"/>
                          <w:rPr>
                            <w:sz w:val="13"/>
                          </w:rPr>
                        </w:pPr>
                        <w:r>
                          <w:rPr>
                            <w:w w:val="110"/>
                            <w:sz w:val="13"/>
                          </w:rPr>
                          <w:t>128</w:t>
                        </w:r>
                      </w:p>
                    </w:tc>
                    <w:tc>
                      <w:tcPr>
                        <w:tcW w:w="8142" w:type="dxa"/>
                      </w:tcPr>
                      <w:p>
                        <w:pPr>
                          <w:pStyle w:val="TableParagraph"/>
                          <w:spacing w:line="140" w:lineRule="exact"/>
                          <w:ind w:left="205"/>
                          <w:rPr>
                            <w:sz w:val="13"/>
                          </w:rPr>
                        </w:pPr>
                        <w:r>
                          <w:rPr>
                            <w:sz w:val="13"/>
                          </w:rPr>
                          <w:t>Ibid.</w:t>
                        </w:r>
                      </w:p>
                    </w:tc>
                  </w:tr>
                  <w:tr>
                    <w:trPr>
                      <w:trHeight w:val="160" w:hRule="atLeast"/>
                    </w:trPr>
                    <w:tc>
                      <w:tcPr>
                        <w:tcW w:w="588" w:type="dxa"/>
                      </w:tcPr>
                      <w:p>
                        <w:pPr>
                          <w:pStyle w:val="TableParagraph"/>
                          <w:spacing w:line="140" w:lineRule="exact"/>
                          <w:rPr>
                            <w:sz w:val="13"/>
                          </w:rPr>
                        </w:pPr>
                        <w:r>
                          <w:rPr>
                            <w:w w:val="110"/>
                            <w:sz w:val="13"/>
                          </w:rPr>
                          <w:t>129</w:t>
                        </w:r>
                      </w:p>
                    </w:tc>
                    <w:tc>
                      <w:tcPr>
                        <w:tcW w:w="8142" w:type="dxa"/>
                      </w:tcPr>
                      <w:p>
                        <w:pPr>
                          <w:pStyle w:val="TableParagraph"/>
                          <w:spacing w:line="140" w:lineRule="exact"/>
                          <w:ind w:left="205"/>
                          <w:rPr>
                            <w:sz w:val="13"/>
                          </w:rPr>
                        </w:pPr>
                        <w:r>
                          <w:rPr>
                            <w:sz w:val="13"/>
                          </w:rPr>
                          <w:t>Ibid.</w:t>
                        </w:r>
                      </w:p>
                    </w:tc>
                  </w:tr>
                  <w:tr>
                    <w:trPr>
                      <w:trHeight w:val="160" w:hRule="atLeast"/>
                    </w:trPr>
                    <w:tc>
                      <w:tcPr>
                        <w:tcW w:w="588" w:type="dxa"/>
                      </w:tcPr>
                      <w:p>
                        <w:pPr>
                          <w:pStyle w:val="TableParagraph"/>
                          <w:spacing w:line="140" w:lineRule="exact"/>
                          <w:rPr>
                            <w:sz w:val="13"/>
                          </w:rPr>
                        </w:pPr>
                        <w:r>
                          <w:rPr>
                            <w:w w:val="110"/>
                            <w:sz w:val="13"/>
                          </w:rPr>
                          <w:t>130</w:t>
                        </w:r>
                      </w:p>
                    </w:tc>
                    <w:tc>
                      <w:tcPr>
                        <w:tcW w:w="8142" w:type="dxa"/>
                      </w:tcPr>
                      <w:p>
                        <w:pPr>
                          <w:pStyle w:val="TableParagraph"/>
                          <w:spacing w:line="140" w:lineRule="exact"/>
                          <w:ind w:left="205"/>
                          <w:rPr>
                            <w:sz w:val="13"/>
                          </w:rPr>
                        </w:pPr>
                        <w:r>
                          <w:rPr>
                            <w:sz w:val="13"/>
                          </w:rPr>
                          <w:t>Ibid.</w:t>
                        </w:r>
                      </w:p>
                    </w:tc>
                  </w:tr>
                  <w:tr>
                    <w:trPr>
                      <w:trHeight w:val="160" w:hRule="atLeast"/>
                    </w:trPr>
                    <w:tc>
                      <w:tcPr>
                        <w:tcW w:w="588" w:type="dxa"/>
                      </w:tcPr>
                      <w:p>
                        <w:pPr>
                          <w:pStyle w:val="TableParagraph"/>
                          <w:spacing w:line="140" w:lineRule="exact"/>
                          <w:rPr>
                            <w:sz w:val="13"/>
                          </w:rPr>
                        </w:pPr>
                        <w:r>
                          <w:rPr>
                            <w:w w:val="110"/>
                            <w:sz w:val="13"/>
                          </w:rPr>
                          <w:t>131</w:t>
                        </w:r>
                      </w:p>
                    </w:tc>
                    <w:tc>
                      <w:tcPr>
                        <w:tcW w:w="8142" w:type="dxa"/>
                      </w:tcPr>
                      <w:p>
                        <w:pPr>
                          <w:pStyle w:val="TableParagraph"/>
                          <w:spacing w:line="140" w:lineRule="exact"/>
                          <w:ind w:left="205"/>
                          <w:rPr>
                            <w:sz w:val="13"/>
                          </w:rPr>
                        </w:pPr>
                        <w:r>
                          <w:rPr>
                            <w:sz w:val="13"/>
                          </w:rPr>
                          <w:t>Ibid.</w:t>
                        </w:r>
                      </w:p>
                    </w:tc>
                  </w:tr>
                  <w:tr>
                    <w:trPr>
                      <w:trHeight w:val="160" w:hRule="atLeast"/>
                    </w:trPr>
                    <w:tc>
                      <w:tcPr>
                        <w:tcW w:w="588" w:type="dxa"/>
                      </w:tcPr>
                      <w:p>
                        <w:pPr>
                          <w:pStyle w:val="TableParagraph"/>
                          <w:spacing w:line="140" w:lineRule="exact"/>
                          <w:rPr>
                            <w:sz w:val="13"/>
                          </w:rPr>
                        </w:pPr>
                        <w:r>
                          <w:rPr>
                            <w:w w:val="110"/>
                            <w:sz w:val="13"/>
                          </w:rPr>
                          <w:t>132</w:t>
                        </w:r>
                      </w:p>
                    </w:tc>
                    <w:tc>
                      <w:tcPr>
                        <w:tcW w:w="8142" w:type="dxa"/>
                      </w:tcPr>
                      <w:p>
                        <w:pPr>
                          <w:pStyle w:val="TableParagraph"/>
                          <w:spacing w:line="140" w:lineRule="exact"/>
                          <w:ind w:left="205"/>
                          <w:rPr>
                            <w:sz w:val="13"/>
                          </w:rPr>
                        </w:pPr>
                        <w:r>
                          <w:rPr>
                            <w:sz w:val="13"/>
                          </w:rPr>
                          <w:t>Ibid.</w:t>
                        </w:r>
                      </w:p>
                    </w:tc>
                  </w:tr>
                  <w:tr>
                    <w:trPr>
                      <w:trHeight w:val="160" w:hRule="atLeast"/>
                    </w:trPr>
                    <w:tc>
                      <w:tcPr>
                        <w:tcW w:w="588" w:type="dxa"/>
                      </w:tcPr>
                      <w:p>
                        <w:pPr>
                          <w:pStyle w:val="TableParagraph"/>
                          <w:spacing w:line="140" w:lineRule="exact"/>
                          <w:rPr>
                            <w:sz w:val="13"/>
                          </w:rPr>
                        </w:pPr>
                        <w:r>
                          <w:rPr>
                            <w:w w:val="110"/>
                            <w:sz w:val="13"/>
                          </w:rPr>
                          <w:t>133</w:t>
                        </w:r>
                      </w:p>
                    </w:tc>
                    <w:tc>
                      <w:tcPr>
                        <w:tcW w:w="8142" w:type="dxa"/>
                      </w:tcPr>
                      <w:p>
                        <w:pPr>
                          <w:pStyle w:val="TableParagraph"/>
                          <w:spacing w:line="140" w:lineRule="exact"/>
                          <w:ind w:left="205"/>
                          <w:rPr>
                            <w:sz w:val="13"/>
                          </w:rPr>
                        </w:pPr>
                        <w:r>
                          <w:rPr>
                            <w:sz w:val="13"/>
                          </w:rPr>
                          <w:t>Ibid.</w:t>
                        </w:r>
                      </w:p>
                    </w:tc>
                  </w:tr>
                  <w:tr>
                    <w:trPr>
                      <w:trHeight w:val="160" w:hRule="atLeast"/>
                    </w:trPr>
                    <w:tc>
                      <w:tcPr>
                        <w:tcW w:w="588" w:type="dxa"/>
                      </w:tcPr>
                      <w:p>
                        <w:pPr>
                          <w:pStyle w:val="TableParagraph"/>
                          <w:spacing w:line="140" w:lineRule="exact"/>
                          <w:rPr>
                            <w:sz w:val="13"/>
                          </w:rPr>
                        </w:pPr>
                        <w:r>
                          <w:rPr>
                            <w:w w:val="110"/>
                            <w:sz w:val="13"/>
                          </w:rPr>
                          <w:t>134</w:t>
                        </w:r>
                      </w:p>
                    </w:tc>
                    <w:tc>
                      <w:tcPr>
                        <w:tcW w:w="8142" w:type="dxa"/>
                      </w:tcPr>
                      <w:p>
                        <w:pPr>
                          <w:pStyle w:val="TableParagraph"/>
                          <w:spacing w:line="140" w:lineRule="exact"/>
                          <w:ind w:left="205"/>
                          <w:rPr>
                            <w:sz w:val="13"/>
                          </w:rPr>
                        </w:pPr>
                        <w:r>
                          <w:rPr>
                            <w:sz w:val="13"/>
                          </w:rPr>
                          <w:t>Ibid.</w:t>
                        </w:r>
                      </w:p>
                    </w:tc>
                  </w:tr>
                  <w:tr>
                    <w:trPr>
                      <w:trHeight w:val="160" w:hRule="atLeast"/>
                    </w:trPr>
                    <w:tc>
                      <w:tcPr>
                        <w:tcW w:w="588" w:type="dxa"/>
                      </w:tcPr>
                      <w:p>
                        <w:pPr>
                          <w:pStyle w:val="TableParagraph"/>
                          <w:spacing w:line="140" w:lineRule="exact"/>
                          <w:rPr>
                            <w:sz w:val="13"/>
                          </w:rPr>
                        </w:pPr>
                        <w:r>
                          <w:rPr>
                            <w:w w:val="110"/>
                            <w:sz w:val="13"/>
                          </w:rPr>
                          <w:t>135</w:t>
                        </w:r>
                      </w:p>
                    </w:tc>
                    <w:tc>
                      <w:tcPr>
                        <w:tcW w:w="8142" w:type="dxa"/>
                      </w:tcPr>
                      <w:p>
                        <w:pPr>
                          <w:pStyle w:val="TableParagraph"/>
                          <w:spacing w:line="140" w:lineRule="exact"/>
                          <w:ind w:left="205"/>
                          <w:rPr>
                            <w:sz w:val="13"/>
                          </w:rPr>
                        </w:pPr>
                        <w:r>
                          <w:rPr>
                            <w:w w:val="105"/>
                            <w:sz w:val="13"/>
                          </w:rPr>
                          <w:t>Consultation 12 (City of Port Phillip).</w:t>
                        </w:r>
                      </w:p>
                    </w:tc>
                  </w:tr>
                  <w:tr>
                    <w:trPr>
                      <w:trHeight w:val="160" w:hRule="atLeast"/>
                    </w:trPr>
                    <w:tc>
                      <w:tcPr>
                        <w:tcW w:w="588" w:type="dxa"/>
                      </w:tcPr>
                      <w:p>
                        <w:pPr>
                          <w:pStyle w:val="TableParagraph"/>
                          <w:spacing w:line="140" w:lineRule="exact"/>
                          <w:rPr>
                            <w:sz w:val="13"/>
                          </w:rPr>
                        </w:pPr>
                        <w:r>
                          <w:rPr>
                            <w:w w:val="110"/>
                            <w:sz w:val="13"/>
                          </w:rPr>
                          <w:t>136</w:t>
                        </w:r>
                      </w:p>
                    </w:tc>
                    <w:tc>
                      <w:tcPr>
                        <w:tcW w:w="8142" w:type="dxa"/>
                      </w:tcPr>
                      <w:p>
                        <w:pPr>
                          <w:pStyle w:val="TableParagraph"/>
                          <w:spacing w:line="140" w:lineRule="exact"/>
                          <w:ind w:left="205"/>
                          <w:rPr>
                            <w:sz w:val="13"/>
                          </w:rPr>
                        </w:pPr>
                        <w:r>
                          <w:rPr>
                            <w:w w:val="105"/>
                            <w:sz w:val="13"/>
                          </w:rPr>
                          <w:t>Consultation 8 (City of Boroondara).</w:t>
                        </w:r>
                      </w:p>
                    </w:tc>
                  </w:tr>
                  <w:tr>
                    <w:trPr>
                      <w:trHeight w:val="159" w:hRule="atLeast"/>
                    </w:trPr>
                    <w:tc>
                      <w:tcPr>
                        <w:tcW w:w="588" w:type="dxa"/>
                      </w:tcPr>
                      <w:p>
                        <w:pPr>
                          <w:pStyle w:val="TableParagraph"/>
                          <w:spacing w:line="140" w:lineRule="exact"/>
                          <w:rPr>
                            <w:sz w:val="13"/>
                          </w:rPr>
                        </w:pPr>
                        <w:r>
                          <w:rPr>
                            <w:w w:val="110"/>
                            <w:sz w:val="13"/>
                          </w:rPr>
                          <w:t>137</w:t>
                        </w:r>
                      </w:p>
                    </w:tc>
                    <w:tc>
                      <w:tcPr>
                        <w:tcW w:w="8142" w:type="dxa"/>
                      </w:tcPr>
                      <w:p>
                        <w:pPr>
                          <w:pStyle w:val="TableParagraph"/>
                          <w:spacing w:line="140" w:lineRule="exact"/>
                          <w:ind w:left="205"/>
                          <w:rPr>
                            <w:sz w:val="13"/>
                          </w:rPr>
                        </w:pPr>
                        <w:r>
                          <w:rPr>
                            <w:sz w:val="13"/>
                          </w:rPr>
                          <w:t>Ibid.</w:t>
                        </w:r>
                      </w:p>
                    </w:tc>
                  </w:tr>
                  <w:tr>
                    <w:trPr>
                      <w:trHeight w:val="155" w:hRule="atLeast"/>
                    </w:trPr>
                    <w:tc>
                      <w:tcPr>
                        <w:tcW w:w="588" w:type="dxa"/>
                      </w:tcPr>
                      <w:p>
                        <w:pPr>
                          <w:pStyle w:val="TableParagraph"/>
                          <w:spacing w:line="136" w:lineRule="exact"/>
                          <w:rPr>
                            <w:sz w:val="13"/>
                          </w:rPr>
                        </w:pPr>
                        <w:r>
                          <w:rPr>
                            <w:w w:val="110"/>
                            <w:sz w:val="13"/>
                          </w:rPr>
                          <w:t>138</w:t>
                        </w:r>
                      </w:p>
                    </w:tc>
                    <w:tc>
                      <w:tcPr>
                        <w:tcW w:w="8142" w:type="dxa"/>
                      </w:tcPr>
                      <w:p>
                        <w:pPr>
                          <w:pStyle w:val="TableParagraph"/>
                          <w:spacing w:line="136" w:lineRule="exact"/>
                          <w:ind w:left="205"/>
                          <w:rPr>
                            <w:sz w:val="13"/>
                          </w:rPr>
                        </w:pPr>
                        <w:r>
                          <w:rPr>
                            <w:w w:val="105"/>
                            <w:sz w:val="13"/>
                          </w:rPr>
                          <w:t>Ibid; see </w:t>
                        </w:r>
                        <w:r>
                          <w:rPr>
                            <w:i/>
                            <w:w w:val="105"/>
                            <w:sz w:val="13"/>
                          </w:rPr>
                          <w:t>Tree Protection Local Law 2016 </w:t>
                        </w:r>
                        <w:r>
                          <w:rPr>
                            <w:w w:val="105"/>
                            <w:sz w:val="13"/>
                          </w:rPr>
                          <w:t>(City of Boroondara) s 12(2).</w:t>
                        </w:r>
                      </w:p>
                    </w:tc>
                  </w:tr>
                </w:tbl>
                <w:p>
                  <w:pPr>
                    <w:pStyle w:val="BodyText"/>
                  </w:pPr>
                </w:p>
              </w:txbxContent>
            </v:textbox>
            <w10:wrap type="none"/>
          </v:shape>
        </w:pict>
      </w:r>
      <w:r>
        <w:rPr>
          <w:spacing w:val="-4"/>
          <w:w w:val="105"/>
          <w:sz w:val="20"/>
        </w:rPr>
        <w:t>Council </w:t>
      </w:r>
      <w:r>
        <w:rPr>
          <w:spacing w:val="-3"/>
          <w:w w:val="105"/>
          <w:sz w:val="20"/>
        </w:rPr>
        <w:t>makes </w:t>
      </w:r>
      <w:r>
        <w:rPr>
          <w:w w:val="105"/>
          <w:sz w:val="20"/>
        </w:rPr>
        <w:t>its decisions based on evidence. Where sufficient and compelling evidence is provided, </w:t>
      </w:r>
      <w:r>
        <w:rPr>
          <w:spacing w:val="-4"/>
          <w:w w:val="105"/>
          <w:sz w:val="20"/>
        </w:rPr>
        <w:t>Council </w:t>
      </w:r>
      <w:r>
        <w:rPr>
          <w:w w:val="105"/>
          <w:sz w:val="20"/>
        </w:rPr>
        <w:t>will generally </w:t>
      </w:r>
      <w:r>
        <w:rPr>
          <w:spacing w:val="-3"/>
          <w:w w:val="105"/>
          <w:sz w:val="20"/>
        </w:rPr>
        <w:t>grant </w:t>
      </w:r>
      <w:r>
        <w:rPr>
          <w:w w:val="105"/>
          <w:sz w:val="20"/>
        </w:rPr>
        <w:t>the permit requested by the tree </w:t>
      </w:r>
      <w:r>
        <w:rPr>
          <w:spacing w:val="-4"/>
          <w:w w:val="105"/>
          <w:sz w:val="20"/>
        </w:rPr>
        <w:t>owner. Council </w:t>
      </w:r>
      <w:r>
        <w:rPr>
          <w:w w:val="105"/>
          <w:sz w:val="20"/>
        </w:rPr>
        <w:t>accepts that obtaining expert evidence can be costly for residents but believes informed decisions cannot be made without this </w:t>
      </w:r>
      <w:r>
        <w:rPr>
          <w:spacing w:val="-4"/>
          <w:w w:val="105"/>
          <w:sz w:val="20"/>
        </w:rPr>
        <w:t>information.</w:t>
      </w:r>
      <w:r>
        <w:rPr>
          <w:spacing w:val="-4"/>
          <w:w w:val="105"/>
          <w:position w:val="7"/>
          <w:sz w:val="11"/>
        </w:rPr>
        <w:t>136</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32"/>
        </w:rPr>
      </w:pPr>
    </w:p>
    <w:p>
      <w:pPr>
        <w:spacing w:before="0"/>
        <w:ind w:left="0" w:right="599" w:firstLine="0"/>
        <w:jc w:val="right"/>
        <w:rPr>
          <w:b/>
          <w:sz w:val="24"/>
        </w:rPr>
      </w:pPr>
      <w:r>
        <w:rPr>
          <w:b/>
          <w:color w:val="658464"/>
          <w:w w:val="110"/>
          <w:sz w:val="24"/>
        </w:rPr>
        <w:t>179</w:t>
      </w:r>
    </w:p>
    <w:p>
      <w:pPr>
        <w:spacing w:after="0"/>
        <w:jc w:val="right"/>
        <w:rPr>
          <w:sz w:val="24"/>
        </w:rPr>
        <w:sectPr>
          <w:pgSz w:w="11910" w:h="16840"/>
          <w:pgMar w:header="808" w:footer="0" w:top="1360" w:bottom="280" w:left="0" w:right="0"/>
        </w:sectPr>
      </w:pPr>
    </w:p>
    <w:p>
      <w:pPr>
        <w:pStyle w:val="BodyText"/>
        <w:spacing w:before="9"/>
        <w:rPr>
          <w:b/>
          <w:sz w:val="22"/>
        </w:rPr>
      </w:pPr>
    </w:p>
    <w:p>
      <w:pPr>
        <w:pStyle w:val="ListParagraph"/>
        <w:numPr>
          <w:ilvl w:val="1"/>
          <w:numId w:val="132"/>
        </w:numPr>
        <w:tabs>
          <w:tab w:pos="2380" w:val="left" w:leader="none"/>
          <w:tab w:pos="2381" w:val="left" w:leader="none"/>
        </w:tabs>
        <w:spacing w:line="242" w:lineRule="auto" w:before="92" w:after="0"/>
        <w:ind w:left="2381" w:right="1849" w:hanging="794"/>
        <w:jc w:val="left"/>
        <w:rPr>
          <w:sz w:val="12"/>
        </w:rPr>
      </w:pPr>
      <w:bookmarkStart w:name="_bookmark96" w:id="203"/>
      <w:bookmarkEnd w:id="203"/>
      <w:r>
        <w:rPr/>
      </w:r>
      <w:bookmarkStart w:name="_bookmark96" w:id="204"/>
      <w:bookmarkEnd w:id="204"/>
      <w:r>
        <w:rPr>
          <w:spacing w:val="-4"/>
          <w:w w:val="105"/>
          <w:sz w:val="21"/>
        </w:rPr>
        <w:t>C</w:t>
      </w:r>
      <w:r>
        <w:rPr>
          <w:spacing w:val="-4"/>
          <w:w w:val="105"/>
          <w:sz w:val="21"/>
        </w:rPr>
        <w:t>ouncil </w:t>
      </w:r>
      <w:r>
        <w:rPr>
          <w:w w:val="105"/>
          <w:sz w:val="21"/>
        </w:rPr>
        <w:t>does </w:t>
      </w:r>
      <w:r>
        <w:rPr>
          <w:spacing w:val="-2"/>
          <w:w w:val="105"/>
          <w:sz w:val="21"/>
        </w:rPr>
        <w:t>not </w:t>
      </w:r>
      <w:r>
        <w:rPr>
          <w:w w:val="105"/>
          <w:sz w:val="21"/>
        </w:rPr>
        <w:t>provide </w:t>
      </w:r>
      <w:r>
        <w:rPr>
          <w:spacing w:val="-3"/>
          <w:w w:val="105"/>
          <w:sz w:val="21"/>
        </w:rPr>
        <w:t>formal guidelines for </w:t>
      </w:r>
      <w:r>
        <w:rPr>
          <w:w w:val="105"/>
          <w:sz w:val="21"/>
        </w:rPr>
        <w:t>report writing </w:t>
      </w:r>
      <w:r>
        <w:rPr>
          <w:spacing w:val="-3"/>
          <w:w w:val="105"/>
          <w:sz w:val="21"/>
        </w:rPr>
        <w:t>for applications </w:t>
      </w:r>
      <w:r>
        <w:rPr>
          <w:w w:val="105"/>
          <w:sz w:val="21"/>
        </w:rPr>
        <w:t>under the local </w:t>
      </w:r>
      <w:r>
        <w:rPr>
          <w:spacing w:val="-5"/>
          <w:w w:val="105"/>
          <w:sz w:val="21"/>
        </w:rPr>
        <w:t>law. </w:t>
      </w:r>
      <w:r>
        <w:rPr>
          <w:spacing w:val="-4"/>
          <w:w w:val="105"/>
          <w:sz w:val="21"/>
        </w:rPr>
        <w:t>However, </w:t>
      </w:r>
      <w:r>
        <w:rPr>
          <w:spacing w:val="-3"/>
          <w:w w:val="105"/>
          <w:sz w:val="21"/>
        </w:rPr>
        <w:t>guidelines for </w:t>
      </w:r>
      <w:r>
        <w:rPr>
          <w:w w:val="105"/>
          <w:sz w:val="21"/>
        </w:rPr>
        <w:t>arborists’ reports </w:t>
      </w:r>
      <w:r>
        <w:rPr>
          <w:spacing w:val="-3"/>
          <w:w w:val="105"/>
          <w:sz w:val="21"/>
        </w:rPr>
        <w:t>are </w:t>
      </w:r>
      <w:r>
        <w:rPr>
          <w:w w:val="105"/>
          <w:sz w:val="21"/>
        </w:rPr>
        <w:t>in </w:t>
      </w:r>
      <w:r>
        <w:rPr>
          <w:spacing w:val="-3"/>
          <w:w w:val="105"/>
          <w:sz w:val="21"/>
        </w:rPr>
        <w:t>place for </w:t>
      </w:r>
      <w:r>
        <w:rPr>
          <w:w w:val="105"/>
          <w:sz w:val="21"/>
        </w:rPr>
        <w:t>the assessment of development </w:t>
      </w:r>
      <w:r>
        <w:rPr>
          <w:spacing w:val="-3"/>
          <w:w w:val="105"/>
          <w:sz w:val="21"/>
        </w:rPr>
        <w:t>applications </w:t>
      </w:r>
      <w:r>
        <w:rPr>
          <w:w w:val="105"/>
          <w:sz w:val="21"/>
        </w:rPr>
        <w:t>under the </w:t>
      </w:r>
      <w:r>
        <w:rPr>
          <w:spacing w:val="-3"/>
          <w:w w:val="105"/>
          <w:sz w:val="21"/>
        </w:rPr>
        <w:t>Planning</w:t>
      </w:r>
      <w:r>
        <w:rPr>
          <w:spacing w:val="24"/>
          <w:w w:val="105"/>
          <w:sz w:val="21"/>
        </w:rPr>
        <w:t> </w:t>
      </w:r>
      <w:r>
        <w:rPr>
          <w:spacing w:val="-5"/>
          <w:w w:val="105"/>
          <w:sz w:val="21"/>
        </w:rPr>
        <w:t>Scheme.</w:t>
      </w:r>
      <w:r>
        <w:rPr>
          <w:spacing w:val="-5"/>
          <w:w w:val="105"/>
          <w:position w:val="7"/>
          <w:sz w:val="12"/>
        </w:rPr>
        <w:t>139</w:t>
      </w:r>
    </w:p>
    <w:p>
      <w:pPr>
        <w:pStyle w:val="ListParagraph"/>
        <w:numPr>
          <w:ilvl w:val="1"/>
          <w:numId w:val="132"/>
        </w:numPr>
        <w:tabs>
          <w:tab w:pos="2380" w:val="left" w:leader="none"/>
          <w:tab w:pos="2381" w:val="left" w:leader="none"/>
        </w:tabs>
        <w:spacing w:line="242" w:lineRule="auto" w:before="123" w:after="0"/>
        <w:ind w:left="2381" w:right="1652" w:hanging="794"/>
        <w:jc w:val="left"/>
        <w:rPr>
          <w:sz w:val="12"/>
        </w:rPr>
      </w:pPr>
      <w:r>
        <w:rPr>
          <w:spacing w:val="-3"/>
          <w:w w:val="105"/>
          <w:sz w:val="21"/>
        </w:rPr>
        <w:t>Boroondara </w:t>
      </w:r>
      <w:r>
        <w:rPr>
          <w:w w:val="105"/>
          <w:sz w:val="21"/>
        </w:rPr>
        <w:t>receives </w:t>
      </w:r>
      <w:r>
        <w:rPr>
          <w:spacing w:val="-3"/>
          <w:w w:val="105"/>
          <w:sz w:val="21"/>
        </w:rPr>
        <w:t>approximately half </w:t>
      </w:r>
      <w:r>
        <w:rPr>
          <w:w w:val="105"/>
          <w:sz w:val="21"/>
        </w:rPr>
        <w:t>a </w:t>
      </w:r>
      <w:r>
        <w:rPr>
          <w:spacing w:val="-3"/>
          <w:w w:val="105"/>
          <w:sz w:val="21"/>
        </w:rPr>
        <w:t>dozen claims relating to </w:t>
      </w:r>
      <w:r>
        <w:rPr>
          <w:w w:val="105"/>
          <w:sz w:val="21"/>
        </w:rPr>
        <w:t>pollen </w:t>
      </w:r>
      <w:r>
        <w:rPr>
          <w:spacing w:val="-3"/>
          <w:w w:val="105"/>
          <w:sz w:val="21"/>
        </w:rPr>
        <w:t>allergies </w:t>
      </w:r>
      <w:r>
        <w:rPr>
          <w:w w:val="105"/>
          <w:sz w:val="21"/>
        </w:rPr>
        <w:t>each </w:t>
      </w:r>
      <w:r>
        <w:rPr>
          <w:spacing w:val="-5"/>
          <w:w w:val="105"/>
          <w:sz w:val="21"/>
        </w:rPr>
        <w:t>year. </w:t>
      </w:r>
      <w:r>
        <w:rPr>
          <w:spacing w:val="-4"/>
          <w:w w:val="105"/>
          <w:sz w:val="21"/>
        </w:rPr>
        <w:t>Council </w:t>
      </w:r>
      <w:r>
        <w:rPr>
          <w:spacing w:val="-2"/>
          <w:w w:val="105"/>
          <w:sz w:val="21"/>
        </w:rPr>
        <w:t>has </w:t>
      </w:r>
      <w:r>
        <w:rPr>
          <w:w w:val="105"/>
          <w:sz w:val="21"/>
        </w:rPr>
        <w:t>started </w:t>
      </w:r>
      <w:r>
        <w:rPr>
          <w:spacing w:val="-3"/>
          <w:w w:val="105"/>
          <w:sz w:val="21"/>
        </w:rPr>
        <w:t>to </w:t>
      </w:r>
      <w:r>
        <w:rPr>
          <w:w w:val="105"/>
          <w:sz w:val="21"/>
        </w:rPr>
        <w:t>gather </w:t>
      </w:r>
      <w:r>
        <w:rPr>
          <w:spacing w:val="-3"/>
          <w:w w:val="105"/>
          <w:sz w:val="21"/>
        </w:rPr>
        <w:t>information from </w:t>
      </w:r>
      <w:r>
        <w:rPr>
          <w:w w:val="105"/>
          <w:sz w:val="21"/>
        </w:rPr>
        <w:t>medical practitioners, </w:t>
      </w:r>
      <w:r>
        <w:rPr>
          <w:spacing w:val="-3"/>
          <w:w w:val="105"/>
          <w:sz w:val="21"/>
        </w:rPr>
        <w:t>including </w:t>
      </w:r>
      <w:r>
        <w:rPr>
          <w:w w:val="105"/>
          <w:sz w:val="21"/>
        </w:rPr>
        <w:t>immunologists </w:t>
      </w:r>
      <w:r>
        <w:rPr>
          <w:spacing w:val="-3"/>
          <w:w w:val="105"/>
          <w:sz w:val="21"/>
        </w:rPr>
        <w:t>from </w:t>
      </w:r>
      <w:r>
        <w:rPr>
          <w:w w:val="105"/>
          <w:sz w:val="21"/>
        </w:rPr>
        <w:t>the </w:t>
      </w:r>
      <w:r>
        <w:rPr>
          <w:spacing w:val="-3"/>
          <w:w w:val="105"/>
          <w:sz w:val="21"/>
        </w:rPr>
        <w:t>Australasian </w:t>
      </w:r>
      <w:r>
        <w:rPr>
          <w:w w:val="105"/>
          <w:sz w:val="21"/>
        </w:rPr>
        <w:t>Society of </w:t>
      </w:r>
      <w:r>
        <w:rPr>
          <w:spacing w:val="-4"/>
          <w:w w:val="105"/>
          <w:sz w:val="21"/>
        </w:rPr>
        <w:t>Clinical </w:t>
      </w:r>
      <w:r>
        <w:rPr>
          <w:w w:val="105"/>
          <w:sz w:val="21"/>
        </w:rPr>
        <w:t>Immunology and </w:t>
      </w:r>
      <w:r>
        <w:rPr>
          <w:spacing w:val="-3"/>
          <w:w w:val="105"/>
          <w:sz w:val="21"/>
        </w:rPr>
        <w:t>Allergy, </w:t>
      </w:r>
      <w:r>
        <w:rPr>
          <w:w w:val="105"/>
          <w:sz w:val="21"/>
        </w:rPr>
        <w:t>about the </w:t>
      </w:r>
      <w:r>
        <w:rPr>
          <w:spacing w:val="-3"/>
          <w:w w:val="105"/>
          <w:sz w:val="21"/>
        </w:rPr>
        <w:t>sources </w:t>
      </w:r>
      <w:r>
        <w:rPr>
          <w:w w:val="105"/>
          <w:sz w:val="21"/>
        </w:rPr>
        <w:t>of </w:t>
      </w:r>
      <w:r>
        <w:rPr>
          <w:spacing w:val="-2"/>
          <w:w w:val="105"/>
          <w:sz w:val="21"/>
        </w:rPr>
        <w:t>common </w:t>
      </w:r>
      <w:r>
        <w:rPr>
          <w:spacing w:val="-3"/>
          <w:w w:val="105"/>
          <w:sz w:val="21"/>
        </w:rPr>
        <w:t>allergens. </w:t>
      </w:r>
      <w:r>
        <w:rPr>
          <w:w w:val="105"/>
          <w:sz w:val="21"/>
        </w:rPr>
        <w:t>Pathology services can run allergy tests </w:t>
      </w:r>
      <w:r>
        <w:rPr>
          <w:spacing w:val="-3"/>
          <w:w w:val="105"/>
          <w:sz w:val="21"/>
        </w:rPr>
        <w:t>for </w:t>
      </w:r>
      <w:r>
        <w:rPr>
          <w:w w:val="105"/>
          <w:sz w:val="21"/>
        </w:rPr>
        <w:t>a wide </w:t>
      </w:r>
      <w:r>
        <w:rPr>
          <w:spacing w:val="-3"/>
          <w:w w:val="105"/>
          <w:sz w:val="21"/>
        </w:rPr>
        <w:t>range </w:t>
      </w:r>
      <w:r>
        <w:rPr>
          <w:w w:val="105"/>
          <w:sz w:val="21"/>
        </w:rPr>
        <w:t>of tree and vegetation species. </w:t>
      </w:r>
      <w:r>
        <w:rPr>
          <w:spacing w:val="-4"/>
          <w:w w:val="105"/>
          <w:sz w:val="21"/>
        </w:rPr>
        <w:t>Council </w:t>
      </w:r>
      <w:r>
        <w:rPr>
          <w:w w:val="105"/>
          <w:sz w:val="21"/>
        </w:rPr>
        <w:t>confirmed </w:t>
      </w:r>
      <w:r>
        <w:rPr>
          <w:spacing w:val="-3"/>
          <w:w w:val="105"/>
          <w:sz w:val="21"/>
        </w:rPr>
        <w:t>that </w:t>
      </w:r>
      <w:r>
        <w:rPr>
          <w:w w:val="105"/>
          <w:sz w:val="21"/>
        </w:rPr>
        <w:t>if a reaction is </w:t>
      </w:r>
      <w:r>
        <w:rPr>
          <w:spacing w:val="-3"/>
          <w:w w:val="105"/>
          <w:sz w:val="21"/>
        </w:rPr>
        <w:t>severe </w:t>
      </w:r>
      <w:r>
        <w:rPr>
          <w:w w:val="105"/>
          <w:sz w:val="21"/>
        </w:rPr>
        <w:t>and </w:t>
      </w:r>
      <w:r>
        <w:rPr>
          <w:spacing w:val="-2"/>
          <w:w w:val="105"/>
          <w:sz w:val="21"/>
        </w:rPr>
        <w:t>limits </w:t>
      </w:r>
      <w:r>
        <w:rPr>
          <w:w w:val="105"/>
          <w:sz w:val="21"/>
        </w:rPr>
        <w:t>a </w:t>
      </w:r>
      <w:r>
        <w:rPr>
          <w:spacing w:val="-3"/>
          <w:w w:val="105"/>
          <w:sz w:val="21"/>
        </w:rPr>
        <w:t>resident’s </w:t>
      </w:r>
      <w:r>
        <w:rPr>
          <w:w w:val="105"/>
          <w:sz w:val="21"/>
        </w:rPr>
        <w:t>use of property, then they </w:t>
      </w:r>
      <w:r>
        <w:rPr>
          <w:spacing w:val="-3"/>
          <w:w w:val="105"/>
          <w:sz w:val="21"/>
        </w:rPr>
        <w:t>will consider issuing </w:t>
      </w:r>
      <w:r>
        <w:rPr>
          <w:w w:val="105"/>
          <w:sz w:val="21"/>
        </w:rPr>
        <w:t>a permit </w:t>
      </w:r>
      <w:r>
        <w:rPr>
          <w:spacing w:val="-3"/>
          <w:w w:val="105"/>
          <w:sz w:val="21"/>
        </w:rPr>
        <w:t>for removal. </w:t>
      </w:r>
      <w:r>
        <w:rPr>
          <w:w w:val="105"/>
          <w:sz w:val="21"/>
        </w:rPr>
        <w:t>In this </w:t>
      </w:r>
      <w:r>
        <w:rPr>
          <w:spacing w:val="-3"/>
          <w:w w:val="105"/>
          <w:sz w:val="21"/>
        </w:rPr>
        <w:t>situation council will consider </w:t>
      </w:r>
      <w:r>
        <w:rPr>
          <w:w w:val="105"/>
          <w:sz w:val="21"/>
        </w:rPr>
        <w:t>a </w:t>
      </w:r>
      <w:r>
        <w:rPr>
          <w:spacing w:val="-3"/>
          <w:w w:val="105"/>
          <w:sz w:val="21"/>
        </w:rPr>
        <w:t>range </w:t>
      </w:r>
      <w:r>
        <w:rPr>
          <w:w w:val="105"/>
          <w:sz w:val="21"/>
        </w:rPr>
        <w:t>of factors when it </w:t>
      </w:r>
      <w:r>
        <w:rPr>
          <w:spacing w:val="-2"/>
          <w:w w:val="105"/>
          <w:sz w:val="21"/>
        </w:rPr>
        <w:t>examines </w:t>
      </w:r>
      <w:r>
        <w:rPr>
          <w:spacing w:val="-3"/>
          <w:w w:val="105"/>
          <w:sz w:val="21"/>
        </w:rPr>
        <w:t>causation, such </w:t>
      </w:r>
      <w:r>
        <w:rPr>
          <w:w w:val="105"/>
          <w:sz w:val="21"/>
        </w:rPr>
        <w:t>as whether</w:t>
      </w:r>
      <w:r>
        <w:rPr>
          <w:spacing w:val="-9"/>
          <w:w w:val="105"/>
          <w:sz w:val="21"/>
        </w:rPr>
        <w:t> </w:t>
      </w:r>
      <w:r>
        <w:rPr>
          <w:w w:val="105"/>
          <w:sz w:val="21"/>
        </w:rPr>
        <w:t>the</w:t>
      </w:r>
      <w:r>
        <w:rPr>
          <w:spacing w:val="-8"/>
          <w:w w:val="105"/>
          <w:sz w:val="21"/>
        </w:rPr>
        <w:t> </w:t>
      </w:r>
      <w:r>
        <w:rPr>
          <w:w w:val="105"/>
          <w:sz w:val="21"/>
        </w:rPr>
        <w:t>allergy</w:t>
      </w:r>
      <w:r>
        <w:rPr>
          <w:spacing w:val="-8"/>
          <w:w w:val="105"/>
          <w:sz w:val="21"/>
        </w:rPr>
        <w:t> </w:t>
      </w:r>
      <w:r>
        <w:rPr>
          <w:w w:val="105"/>
          <w:sz w:val="21"/>
        </w:rPr>
        <w:t>can</w:t>
      </w:r>
      <w:r>
        <w:rPr>
          <w:spacing w:val="-8"/>
          <w:w w:val="105"/>
          <w:sz w:val="21"/>
        </w:rPr>
        <w:t> </w:t>
      </w:r>
      <w:r>
        <w:rPr>
          <w:w w:val="105"/>
          <w:sz w:val="21"/>
        </w:rPr>
        <w:t>be</w:t>
      </w:r>
      <w:r>
        <w:rPr>
          <w:spacing w:val="-8"/>
          <w:w w:val="105"/>
          <w:sz w:val="21"/>
        </w:rPr>
        <w:t> </w:t>
      </w:r>
      <w:r>
        <w:rPr>
          <w:w w:val="105"/>
          <w:sz w:val="21"/>
        </w:rPr>
        <w:t>attributed</w:t>
      </w:r>
      <w:r>
        <w:rPr>
          <w:spacing w:val="-9"/>
          <w:w w:val="105"/>
          <w:sz w:val="21"/>
        </w:rPr>
        <w:t> </w:t>
      </w:r>
      <w:r>
        <w:rPr>
          <w:spacing w:val="-3"/>
          <w:w w:val="105"/>
          <w:sz w:val="21"/>
        </w:rPr>
        <w:t>to</w:t>
      </w:r>
      <w:r>
        <w:rPr>
          <w:spacing w:val="-8"/>
          <w:w w:val="105"/>
          <w:sz w:val="21"/>
        </w:rPr>
        <w:t> </w:t>
      </w:r>
      <w:r>
        <w:rPr>
          <w:w w:val="105"/>
          <w:sz w:val="21"/>
        </w:rPr>
        <w:t>more</w:t>
      </w:r>
      <w:r>
        <w:rPr>
          <w:spacing w:val="-8"/>
          <w:w w:val="105"/>
          <w:sz w:val="21"/>
        </w:rPr>
        <w:t> </w:t>
      </w:r>
      <w:r>
        <w:rPr>
          <w:spacing w:val="-3"/>
          <w:w w:val="105"/>
          <w:sz w:val="21"/>
        </w:rPr>
        <w:t>than</w:t>
      </w:r>
      <w:r>
        <w:rPr>
          <w:spacing w:val="-8"/>
          <w:w w:val="105"/>
          <w:sz w:val="21"/>
        </w:rPr>
        <w:t> </w:t>
      </w:r>
      <w:r>
        <w:rPr>
          <w:w w:val="105"/>
          <w:sz w:val="21"/>
        </w:rPr>
        <w:t>one</w:t>
      </w:r>
      <w:r>
        <w:rPr>
          <w:spacing w:val="-8"/>
          <w:w w:val="105"/>
          <w:sz w:val="21"/>
        </w:rPr>
        <w:t> </w:t>
      </w:r>
      <w:r>
        <w:rPr>
          <w:spacing w:val="-3"/>
          <w:w w:val="105"/>
          <w:sz w:val="21"/>
        </w:rPr>
        <w:t>tree,</w:t>
      </w:r>
      <w:r>
        <w:rPr>
          <w:spacing w:val="-9"/>
          <w:w w:val="105"/>
          <w:sz w:val="21"/>
        </w:rPr>
        <w:t> </w:t>
      </w:r>
      <w:r>
        <w:rPr>
          <w:w w:val="105"/>
          <w:sz w:val="21"/>
        </w:rPr>
        <w:t>and</w:t>
      </w:r>
      <w:r>
        <w:rPr>
          <w:spacing w:val="-8"/>
          <w:w w:val="105"/>
          <w:sz w:val="21"/>
        </w:rPr>
        <w:t> </w:t>
      </w:r>
      <w:r>
        <w:rPr>
          <w:w w:val="105"/>
          <w:sz w:val="21"/>
        </w:rPr>
        <w:t>whether</w:t>
      </w:r>
      <w:r>
        <w:rPr>
          <w:spacing w:val="-8"/>
          <w:w w:val="105"/>
          <w:sz w:val="21"/>
        </w:rPr>
        <w:t> </w:t>
      </w:r>
      <w:r>
        <w:rPr>
          <w:w w:val="105"/>
          <w:sz w:val="21"/>
        </w:rPr>
        <w:t>the</w:t>
      </w:r>
      <w:r>
        <w:rPr>
          <w:spacing w:val="-8"/>
          <w:w w:val="105"/>
          <w:sz w:val="21"/>
        </w:rPr>
        <w:t> </w:t>
      </w:r>
      <w:r>
        <w:rPr>
          <w:spacing w:val="-3"/>
          <w:w w:val="105"/>
          <w:sz w:val="21"/>
        </w:rPr>
        <w:t>removal</w:t>
      </w:r>
      <w:r>
        <w:rPr>
          <w:spacing w:val="-8"/>
          <w:w w:val="105"/>
          <w:sz w:val="21"/>
        </w:rPr>
        <w:t> </w:t>
      </w:r>
      <w:r>
        <w:rPr>
          <w:w w:val="105"/>
          <w:sz w:val="21"/>
        </w:rPr>
        <w:t>of the tree would solve the</w:t>
      </w:r>
      <w:r>
        <w:rPr>
          <w:spacing w:val="24"/>
          <w:w w:val="105"/>
          <w:sz w:val="21"/>
        </w:rPr>
        <w:t> </w:t>
      </w:r>
      <w:r>
        <w:rPr>
          <w:spacing w:val="-4"/>
          <w:w w:val="105"/>
          <w:sz w:val="21"/>
        </w:rPr>
        <w:t>problem.</w:t>
      </w:r>
      <w:r>
        <w:rPr>
          <w:spacing w:val="-4"/>
          <w:w w:val="105"/>
          <w:position w:val="7"/>
          <w:sz w:val="12"/>
        </w:rPr>
        <w:t>140</w:t>
      </w:r>
    </w:p>
    <w:p>
      <w:pPr>
        <w:pStyle w:val="Heading7"/>
        <w:spacing w:before="160"/>
      </w:pPr>
      <w:r>
        <w:rPr>
          <w:w w:val="115"/>
        </w:rPr>
        <w:t>City of Port Phillip</w:t>
      </w:r>
    </w:p>
    <w:p>
      <w:pPr>
        <w:pStyle w:val="ListParagraph"/>
        <w:numPr>
          <w:ilvl w:val="1"/>
          <w:numId w:val="132"/>
        </w:numPr>
        <w:tabs>
          <w:tab w:pos="2380" w:val="left" w:leader="none"/>
          <w:tab w:pos="2381" w:val="left" w:leader="none"/>
        </w:tabs>
        <w:spacing w:line="242" w:lineRule="auto" w:before="143" w:after="0"/>
        <w:ind w:left="2381" w:right="1928" w:hanging="794"/>
        <w:jc w:val="left"/>
        <w:rPr>
          <w:sz w:val="12"/>
        </w:rPr>
      </w:pPr>
      <w:r>
        <w:rPr>
          <w:w w:val="105"/>
          <w:sz w:val="21"/>
        </w:rPr>
        <w:t>People who wish </w:t>
      </w:r>
      <w:r>
        <w:rPr>
          <w:spacing w:val="-3"/>
          <w:w w:val="105"/>
          <w:sz w:val="21"/>
        </w:rPr>
        <w:t>to remove </w:t>
      </w:r>
      <w:r>
        <w:rPr>
          <w:w w:val="105"/>
          <w:sz w:val="21"/>
        </w:rPr>
        <w:t>a </w:t>
      </w:r>
      <w:r>
        <w:rPr>
          <w:spacing w:val="-3"/>
          <w:w w:val="105"/>
          <w:sz w:val="21"/>
        </w:rPr>
        <w:t>significant </w:t>
      </w:r>
      <w:r>
        <w:rPr>
          <w:w w:val="105"/>
          <w:sz w:val="21"/>
        </w:rPr>
        <w:t>tree or </w:t>
      </w:r>
      <w:r>
        <w:rPr>
          <w:spacing w:val="-3"/>
          <w:w w:val="105"/>
          <w:sz w:val="21"/>
        </w:rPr>
        <w:t>palm </w:t>
      </w:r>
      <w:r>
        <w:rPr>
          <w:w w:val="105"/>
          <w:sz w:val="21"/>
        </w:rPr>
        <w:t>under </w:t>
      </w:r>
      <w:r>
        <w:rPr>
          <w:spacing w:val="-4"/>
          <w:w w:val="105"/>
          <w:sz w:val="21"/>
        </w:rPr>
        <w:t>council’s </w:t>
      </w:r>
      <w:r>
        <w:rPr>
          <w:w w:val="105"/>
          <w:sz w:val="21"/>
        </w:rPr>
        <w:t>local law </w:t>
      </w:r>
      <w:r>
        <w:rPr>
          <w:spacing w:val="-3"/>
          <w:w w:val="105"/>
          <w:sz w:val="21"/>
        </w:rPr>
        <w:t>are required to </w:t>
      </w:r>
      <w:r>
        <w:rPr>
          <w:w w:val="105"/>
          <w:sz w:val="21"/>
        </w:rPr>
        <w:t>apply </w:t>
      </w:r>
      <w:r>
        <w:rPr>
          <w:spacing w:val="-3"/>
          <w:w w:val="105"/>
          <w:sz w:val="21"/>
        </w:rPr>
        <w:t>to </w:t>
      </w:r>
      <w:r>
        <w:rPr>
          <w:w w:val="105"/>
          <w:sz w:val="21"/>
        </w:rPr>
        <w:t>the </w:t>
      </w:r>
      <w:r>
        <w:rPr>
          <w:spacing w:val="-3"/>
          <w:w w:val="105"/>
          <w:sz w:val="21"/>
        </w:rPr>
        <w:t>City </w:t>
      </w:r>
      <w:r>
        <w:rPr>
          <w:w w:val="105"/>
          <w:sz w:val="21"/>
        </w:rPr>
        <w:t>Permits Unit (CPU)</w:t>
      </w:r>
      <w:r>
        <w:rPr>
          <w:w w:val="105"/>
          <w:position w:val="7"/>
          <w:sz w:val="12"/>
        </w:rPr>
        <w:t>141 </w:t>
      </w:r>
      <w:r>
        <w:rPr>
          <w:w w:val="105"/>
          <w:sz w:val="21"/>
        </w:rPr>
        <w:t>which must decide the application </w:t>
      </w:r>
      <w:r>
        <w:rPr>
          <w:spacing w:val="-3"/>
          <w:w w:val="105"/>
          <w:sz w:val="21"/>
        </w:rPr>
        <w:t>within </w:t>
      </w:r>
      <w:r>
        <w:rPr>
          <w:spacing w:val="-8"/>
          <w:w w:val="105"/>
          <w:sz w:val="21"/>
        </w:rPr>
        <w:t>15 </w:t>
      </w:r>
      <w:r>
        <w:rPr>
          <w:w w:val="105"/>
          <w:sz w:val="21"/>
        </w:rPr>
        <w:t>days. The decision is evidence-based. </w:t>
      </w:r>
      <w:r>
        <w:rPr>
          <w:spacing w:val="-4"/>
          <w:w w:val="105"/>
          <w:sz w:val="21"/>
        </w:rPr>
        <w:t>Council’s </w:t>
      </w:r>
      <w:r>
        <w:rPr>
          <w:w w:val="105"/>
          <w:sz w:val="21"/>
        </w:rPr>
        <w:t>arborist </w:t>
      </w:r>
      <w:r>
        <w:rPr>
          <w:spacing w:val="-3"/>
          <w:w w:val="105"/>
          <w:sz w:val="21"/>
        </w:rPr>
        <w:t>will </w:t>
      </w:r>
      <w:r>
        <w:rPr>
          <w:spacing w:val="-4"/>
          <w:w w:val="105"/>
          <w:sz w:val="21"/>
        </w:rPr>
        <w:t>make </w:t>
      </w:r>
      <w:r>
        <w:rPr>
          <w:w w:val="105"/>
          <w:sz w:val="21"/>
        </w:rPr>
        <w:t>a </w:t>
      </w:r>
      <w:r>
        <w:rPr>
          <w:spacing w:val="-3"/>
          <w:w w:val="105"/>
          <w:sz w:val="21"/>
        </w:rPr>
        <w:t>recommendation </w:t>
      </w:r>
      <w:r>
        <w:rPr>
          <w:w w:val="105"/>
          <w:sz w:val="21"/>
        </w:rPr>
        <w:t>about the permit application </w:t>
      </w:r>
      <w:r>
        <w:rPr>
          <w:spacing w:val="-3"/>
          <w:w w:val="105"/>
          <w:sz w:val="21"/>
        </w:rPr>
        <w:t>to </w:t>
      </w:r>
      <w:r>
        <w:rPr>
          <w:w w:val="105"/>
          <w:sz w:val="21"/>
        </w:rPr>
        <w:t>the </w:t>
      </w:r>
      <w:r>
        <w:rPr>
          <w:spacing w:val="-4"/>
          <w:w w:val="105"/>
          <w:sz w:val="21"/>
        </w:rPr>
        <w:t>Coordinator </w:t>
      </w:r>
      <w:r>
        <w:rPr>
          <w:w w:val="105"/>
          <w:sz w:val="21"/>
        </w:rPr>
        <w:t>of the </w:t>
      </w:r>
      <w:r>
        <w:rPr>
          <w:spacing w:val="-3"/>
          <w:w w:val="105"/>
          <w:sz w:val="21"/>
        </w:rPr>
        <w:t>CPU </w:t>
      </w:r>
      <w:r>
        <w:rPr>
          <w:w w:val="105"/>
          <w:sz w:val="21"/>
        </w:rPr>
        <w:t>who </w:t>
      </w:r>
      <w:r>
        <w:rPr>
          <w:spacing w:val="-3"/>
          <w:w w:val="105"/>
          <w:sz w:val="21"/>
        </w:rPr>
        <w:t>will </w:t>
      </w:r>
      <w:r>
        <w:rPr>
          <w:w w:val="105"/>
          <w:sz w:val="21"/>
        </w:rPr>
        <w:t>then </w:t>
      </w:r>
      <w:r>
        <w:rPr>
          <w:spacing w:val="-4"/>
          <w:w w:val="105"/>
          <w:sz w:val="21"/>
        </w:rPr>
        <w:t>make </w:t>
      </w:r>
      <w:r>
        <w:rPr>
          <w:w w:val="105"/>
          <w:sz w:val="21"/>
        </w:rPr>
        <w:t>a</w:t>
      </w:r>
      <w:r>
        <w:rPr>
          <w:spacing w:val="20"/>
          <w:w w:val="105"/>
          <w:sz w:val="21"/>
        </w:rPr>
        <w:t> </w:t>
      </w:r>
      <w:r>
        <w:rPr>
          <w:spacing w:val="-4"/>
          <w:w w:val="105"/>
          <w:sz w:val="21"/>
        </w:rPr>
        <w:t>decision.</w:t>
      </w:r>
      <w:r>
        <w:rPr>
          <w:spacing w:val="-4"/>
          <w:w w:val="105"/>
          <w:position w:val="7"/>
          <w:sz w:val="12"/>
        </w:rPr>
        <w:t>142</w:t>
      </w:r>
    </w:p>
    <w:p>
      <w:pPr>
        <w:pStyle w:val="ListParagraph"/>
        <w:numPr>
          <w:ilvl w:val="1"/>
          <w:numId w:val="132"/>
        </w:numPr>
        <w:tabs>
          <w:tab w:pos="2380" w:val="left" w:leader="none"/>
          <w:tab w:pos="2381" w:val="left" w:leader="none"/>
        </w:tabs>
        <w:spacing w:line="242" w:lineRule="auto" w:before="125" w:after="0"/>
        <w:ind w:left="2381" w:right="1649" w:hanging="794"/>
        <w:jc w:val="left"/>
        <w:rPr>
          <w:sz w:val="12"/>
        </w:rPr>
      </w:pPr>
      <w:r>
        <w:rPr>
          <w:spacing w:val="-4"/>
          <w:sz w:val="21"/>
        </w:rPr>
        <w:t>Council </w:t>
      </w:r>
      <w:r>
        <w:rPr>
          <w:sz w:val="21"/>
        </w:rPr>
        <w:t>arborists provide expert advice on  permit  </w:t>
      </w:r>
      <w:r>
        <w:rPr>
          <w:spacing w:val="-3"/>
          <w:sz w:val="21"/>
        </w:rPr>
        <w:t>applications  </w:t>
      </w:r>
      <w:r>
        <w:rPr>
          <w:sz w:val="21"/>
        </w:rPr>
        <w:t>under  the  local  </w:t>
      </w:r>
      <w:r>
        <w:rPr>
          <w:spacing w:val="-7"/>
          <w:sz w:val="21"/>
        </w:rPr>
        <w:t>law.</w:t>
      </w:r>
      <w:r>
        <w:rPr>
          <w:spacing w:val="-7"/>
          <w:position w:val="7"/>
          <w:sz w:val="12"/>
        </w:rPr>
        <w:t>143</w:t>
      </w:r>
      <w:r>
        <w:rPr>
          <w:spacing w:val="-7"/>
          <w:sz w:val="12"/>
        </w:rPr>
        <w:t> </w:t>
      </w:r>
      <w:r>
        <w:rPr>
          <w:sz w:val="21"/>
        </w:rPr>
        <w:t>There </w:t>
      </w:r>
      <w:r>
        <w:rPr>
          <w:spacing w:val="-3"/>
          <w:sz w:val="21"/>
        </w:rPr>
        <w:t>are currently </w:t>
      </w:r>
      <w:r>
        <w:rPr>
          <w:sz w:val="21"/>
        </w:rPr>
        <w:t>three </w:t>
      </w:r>
      <w:r>
        <w:rPr>
          <w:spacing w:val="-3"/>
          <w:sz w:val="21"/>
        </w:rPr>
        <w:t>council </w:t>
      </w:r>
      <w:r>
        <w:rPr>
          <w:sz w:val="21"/>
        </w:rPr>
        <w:t>arborists with </w:t>
      </w:r>
      <w:r>
        <w:rPr>
          <w:spacing w:val="-3"/>
          <w:sz w:val="21"/>
        </w:rPr>
        <w:t>relevant qualifications  such  </w:t>
      </w:r>
      <w:r>
        <w:rPr>
          <w:sz w:val="21"/>
        </w:rPr>
        <w:t>as a Certificate </w:t>
      </w:r>
      <w:r>
        <w:rPr>
          <w:spacing w:val="-5"/>
          <w:sz w:val="21"/>
        </w:rPr>
        <w:t>IV, </w:t>
      </w:r>
      <w:r>
        <w:rPr>
          <w:spacing w:val="-3"/>
          <w:sz w:val="21"/>
        </w:rPr>
        <w:t>diploma </w:t>
      </w:r>
      <w:r>
        <w:rPr>
          <w:sz w:val="21"/>
        </w:rPr>
        <w:t>or </w:t>
      </w:r>
      <w:r>
        <w:rPr>
          <w:spacing w:val="-3"/>
          <w:sz w:val="21"/>
        </w:rPr>
        <w:t>degree. </w:t>
      </w:r>
      <w:r>
        <w:rPr>
          <w:spacing w:val="-4"/>
          <w:sz w:val="21"/>
        </w:rPr>
        <w:t>Council </w:t>
      </w:r>
      <w:r>
        <w:rPr>
          <w:spacing w:val="-3"/>
          <w:sz w:val="21"/>
        </w:rPr>
        <w:t>requires </w:t>
      </w:r>
      <w:r>
        <w:rPr>
          <w:sz w:val="21"/>
        </w:rPr>
        <w:t>an objective </w:t>
      </w:r>
      <w:r>
        <w:rPr>
          <w:spacing w:val="-3"/>
          <w:sz w:val="21"/>
        </w:rPr>
        <w:t>arboricultural </w:t>
      </w:r>
      <w:r>
        <w:rPr>
          <w:sz w:val="21"/>
        </w:rPr>
        <w:t>assessment by an experienced arborist, </w:t>
      </w:r>
      <w:r>
        <w:rPr>
          <w:spacing w:val="-3"/>
          <w:sz w:val="21"/>
        </w:rPr>
        <w:t>providing </w:t>
      </w:r>
      <w:r>
        <w:rPr>
          <w:sz w:val="21"/>
        </w:rPr>
        <w:t>observations on tree </w:t>
      </w:r>
      <w:r>
        <w:rPr>
          <w:spacing w:val="-3"/>
          <w:sz w:val="21"/>
        </w:rPr>
        <w:t>health </w:t>
      </w:r>
      <w:r>
        <w:rPr>
          <w:sz w:val="21"/>
        </w:rPr>
        <w:t>and whether or </w:t>
      </w:r>
      <w:r>
        <w:rPr>
          <w:spacing w:val="-2"/>
          <w:sz w:val="21"/>
        </w:rPr>
        <w:t>not  </w:t>
      </w:r>
      <w:r>
        <w:rPr>
          <w:sz w:val="21"/>
        </w:rPr>
        <w:t>they support </w:t>
      </w:r>
      <w:r>
        <w:rPr>
          <w:spacing w:val="-3"/>
          <w:sz w:val="21"/>
        </w:rPr>
        <w:t>removal </w:t>
      </w:r>
      <w:r>
        <w:rPr>
          <w:sz w:val="21"/>
        </w:rPr>
        <w:t>of the tree or</w:t>
      </w:r>
      <w:r>
        <w:rPr>
          <w:spacing w:val="9"/>
          <w:sz w:val="21"/>
        </w:rPr>
        <w:t> </w:t>
      </w:r>
      <w:r>
        <w:rPr>
          <w:spacing w:val="-5"/>
          <w:sz w:val="21"/>
        </w:rPr>
        <w:t>palm.</w:t>
      </w:r>
      <w:r>
        <w:rPr>
          <w:spacing w:val="-5"/>
          <w:position w:val="7"/>
          <w:sz w:val="12"/>
        </w:rPr>
        <w:t>144</w:t>
      </w:r>
    </w:p>
    <w:p>
      <w:pPr>
        <w:pStyle w:val="ListParagraph"/>
        <w:numPr>
          <w:ilvl w:val="1"/>
          <w:numId w:val="132"/>
        </w:numPr>
        <w:tabs>
          <w:tab w:pos="2381" w:val="left" w:leader="none"/>
          <w:tab w:pos="2382" w:val="left" w:leader="none"/>
        </w:tabs>
        <w:spacing w:line="242" w:lineRule="auto" w:before="126" w:after="0"/>
        <w:ind w:left="2381" w:right="1774" w:hanging="794"/>
        <w:jc w:val="left"/>
        <w:rPr>
          <w:sz w:val="21"/>
        </w:rPr>
      </w:pPr>
      <w:r>
        <w:rPr>
          <w:w w:val="105"/>
          <w:sz w:val="21"/>
        </w:rPr>
        <w:t>It is </w:t>
      </w:r>
      <w:r>
        <w:rPr>
          <w:spacing w:val="-2"/>
          <w:w w:val="105"/>
          <w:sz w:val="21"/>
        </w:rPr>
        <w:t>not </w:t>
      </w:r>
      <w:r>
        <w:rPr>
          <w:spacing w:val="-3"/>
          <w:w w:val="105"/>
          <w:sz w:val="21"/>
        </w:rPr>
        <w:t>uncommon for </w:t>
      </w:r>
      <w:r>
        <w:rPr>
          <w:w w:val="105"/>
          <w:sz w:val="21"/>
        </w:rPr>
        <w:t>permit applicants </w:t>
      </w:r>
      <w:r>
        <w:rPr>
          <w:spacing w:val="-3"/>
          <w:w w:val="105"/>
          <w:sz w:val="21"/>
        </w:rPr>
        <w:t>to submit </w:t>
      </w:r>
      <w:r>
        <w:rPr>
          <w:w w:val="105"/>
          <w:sz w:val="21"/>
        </w:rPr>
        <w:t>their own expert </w:t>
      </w:r>
      <w:r>
        <w:rPr>
          <w:spacing w:val="-3"/>
          <w:w w:val="105"/>
          <w:sz w:val="21"/>
        </w:rPr>
        <w:t>advice, </w:t>
      </w:r>
      <w:r>
        <w:rPr>
          <w:w w:val="105"/>
          <w:sz w:val="21"/>
        </w:rPr>
        <w:t>but </w:t>
      </w:r>
      <w:r>
        <w:rPr>
          <w:spacing w:val="-4"/>
          <w:w w:val="105"/>
          <w:sz w:val="21"/>
        </w:rPr>
        <w:t>Council </w:t>
      </w:r>
      <w:r>
        <w:rPr>
          <w:w w:val="105"/>
          <w:sz w:val="21"/>
        </w:rPr>
        <w:t>advised </w:t>
      </w:r>
      <w:r>
        <w:rPr>
          <w:spacing w:val="-3"/>
          <w:w w:val="105"/>
          <w:sz w:val="21"/>
        </w:rPr>
        <w:t>that </w:t>
      </w:r>
      <w:r>
        <w:rPr>
          <w:w w:val="105"/>
          <w:sz w:val="21"/>
        </w:rPr>
        <w:t>the quality of </w:t>
      </w:r>
      <w:r>
        <w:rPr>
          <w:spacing w:val="-3"/>
          <w:w w:val="105"/>
          <w:sz w:val="21"/>
        </w:rPr>
        <w:t>information </w:t>
      </w:r>
      <w:r>
        <w:rPr>
          <w:w w:val="105"/>
          <w:sz w:val="21"/>
        </w:rPr>
        <w:t>provided can be </w:t>
      </w:r>
      <w:r>
        <w:rPr>
          <w:spacing w:val="-6"/>
          <w:w w:val="105"/>
          <w:sz w:val="21"/>
        </w:rPr>
        <w:t>poor.</w:t>
      </w:r>
      <w:r>
        <w:rPr>
          <w:spacing w:val="-6"/>
          <w:w w:val="105"/>
          <w:position w:val="7"/>
          <w:sz w:val="12"/>
        </w:rPr>
        <w:t>145 </w:t>
      </w:r>
      <w:r>
        <w:rPr>
          <w:w w:val="105"/>
          <w:sz w:val="21"/>
        </w:rPr>
        <w:t>For </w:t>
      </w:r>
      <w:r>
        <w:rPr>
          <w:spacing w:val="-3"/>
          <w:w w:val="105"/>
          <w:sz w:val="21"/>
        </w:rPr>
        <w:t>example, </w:t>
      </w:r>
      <w:r>
        <w:rPr>
          <w:w w:val="105"/>
          <w:sz w:val="21"/>
        </w:rPr>
        <w:t>applicants </w:t>
      </w:r>
      <w:r>
        <w:rPr>
          <w:spacing w:val="-3"/>
          <w:w w:val="105"/>
          <w:sz w:val="21"/>
        </w:rPr>
        <w:t>may submit </w:t>
      </w:r>
      <w:r>
        <w:rPr>
          <w:w w:val="105"/>
          <w:sz w:val="21"/>
        </w:rPr>
        <w:t>only a </w:t>
      </w:r>
      <w:r>
        <w:rPr>
          <w:spacing w:val="-3"/>
          <w:w w:val="105"/>
          <w:sz w:val="21"/>
        </w:rPr>
        <w:t>quote </w:t>
      </w:r>
      <w:r>
        <w:rPr>
          <w:w w:val="105"/>
          <w:sz w:val="21"/>
        </w:rPr>
        <w:t>as evidence </w:t>
      </w:r>
      <w:r>
        <w:rPr>
          <w:spacing w:val="-3"/>
          <w:w w:val="105"/>
          <w:sz w:val="21"/>
        </w:rPr>
        <w:t>that </w:t>
      </w:r>
      <w:r>
        <w:rPr>
          <w:w w:val="105"/>
          <w:sz w:val="21"/>
        </w:rPr>
        <w:t>they </w:t>
      </w:r>
      <w:r>
        <w:rPr>
          <w:spacing w:val="-3"/>
          <w:w w:val="105"/>
          <w:sz w:val="21"/>
        </w:rPr>
        <w:t>have </w:t>
      </w:r>
      <w:r>
        <w:rPr>
          <w:w w:val="105"/>
          <w:sz w:val="21"/>
        </w:rPr>
        <w:t>engaged an arborist or structural </w:t>
      </w:r>
      <w:r>
        <w:rPr>
          <w:spacing w:val="-4"/>
          <w:w w:val="105"/>
          <w:sz w:val="21"/>
        </w:rPr>
        <w:t>engineer. </w:t>
      </w:r>
      <w:r>
        <w:rPr>
          <w:w w:val="105"/>
          <w:sz w:val="21"/>
        </w:rPr>
        <w:t>Often no further </w:t>
      </w:r>
      <w:r>
        <w:rPr>
          <w:spacing w:val="-3"/>
          <w:w w:val="105"/>
          <w:sz w:val="21"/>
        </w:rPr>
        <w:t>information </w:t>
      </w:r>
      <w:r>
        <w:rPr>
          <w:w w:val="105"/>
          <w:sz w:val="21"/>
        </w:rPr>
        <w:t>about the expert’s assessment of the tree is </w:t>
      </w:r>
      <w:r>
        <w:rPr>
          <w:spacing w:val="-2"/>
          <w:w w:val="105"/>
          <w:sz w:val="21"/>
        </w:rPr>
        <w:t>provided. </w:t>
      </w:r>
      <w:r>
        <w:rPr>
          <w:w w:val="105"/>
          <w:sz w:val="21"/>
        </w:rPr>
        <w:t>In these cases, </w:t>
      </w:r>
      <w:r>
        <w:rPr>
          <w:spacing w:val="-4"/>
          <w:w w:val="105"/>
          <w:sz w:val="21"/>
        </w:rPr>
        <w:t>Council </w:t>
      </w:r>
      <w:r>
        <w:rPr>
          <w:spacing w:val="-3"/>
          <w:w w:val="105"/>
          <w:sz w:val="21"/>
        </w:rPr>
        <w:t>will </w:t>
      </w:r>
      <w:r>
        <w:rPr>
          <w:w w:val="105"/>
          <w:sz w:val="21"/>
        </w:rPr>
        <w:t>request further </w:t>
      </w:r>
      <w:r>
        <w:rPr>
          <w:spacing w:val="-3"/>
          <w:w w:val="105"/>
          <w:sz w:val="21"/>
        </w:rPr>
        <w:t>information </w:t>
      </w:r>
      <w:r>
        <w:rPr>
          <w:w w:val="105"/>
          <w:sz w:val="21"/>
        </w:rPr>
        <w:t>prior </w:t>
      </w:r>
      <w:r>
        <w:rPr>
          <w:spacing w:val="-3"/>
          <w:w w:val="105"/>
          <w:sz w:val="21"/>
        </w:rPr>
        <w:t>to making </w:t>
      </w:r>
      <w:r>
        <w:rPr>
          <w:w w:val="105"/>
          <w:sz w:val="21"/>
        </w:rPr>
        <w:t>a decision under the local </w:t>
      </w:r>
      <w:r>
        <w:rPr>
          <w:spacing w:val="-6"/>
          <w:w w:val="105"/>
          <w:sz w:val="21"/>
        </w:rPr>
        <w:t>law.</w:t>
      </w:r>
      <w:r>
        <w:rPr>
          <w:spacing w:val="-6"/>
          <w:w w:val="105"/>
          <w:position w:val="7"/>
          <w:sz w:val="12"/>
        </w:rPr>
        <w:t>146 </w:t>
      </w:r>
      <w:r>
        <w:rPr>
          <w:spacing w:val="-4"/>
          <w:w w:val="105"/>
          <w:sz w:val="21"/>
        </w:rPr>
        <w:t>Council </w:t>
      </w:r>
      <w:r>
        <w:rPr>
          <w:spacing w:val="-3"/>
          <w:w w:val="105"/>
          <w:sz w:val="21"/>
        </w:rPr>
        <w:t>noted that </w:t>
      </w:r>
      <w:r>
        <w:rPr>
          <w:w w:val="105"/>
          <w:sz w:val="21"/>
        </w:rPr>
        <w:t>the community is </w:t>
      </w:r>
      <w:r>
        <w:rPr>
          <w:spacing w:val="-3"/>
          <w:w w:val="105"/>
          <w:sz w:val="21"/>
        </w:rPr>
        <w:t>generally unaware </w:t>
      </w:r>
      <w:r>
        <w:rPr>
          <w:w w:val="105"/>
          <w:sz w:val="21"/>
        </w:rPr>
        <w:t>of how </w:t>
      </w:r>
      <w:r>
        <w:rPr>
          <w:spacing w:val="-3"/>
          <w:w w:val="105"/>
          <w:sz w:val="21"/>
        </w:rPr>
        <w:t>to </w:t>
      </w:r>
      <w:r>
        <w:rPr>
          <w:w w:val="105"/>
          <w:sz w:val="21"/>
        </w:rPr>
        <w:t>obtain advice </w:t>
      </w:r>
      <w:r>
        <w:rPr>
          <w:spacing w:val="-3"/>
          <w:w w:val="105"/>
          <w:sz w:val="21"/>
        </w:rPr>
        <w:t>from </w:t>
      </w:r>
      <w:r>
        <w:rPr>
          <w:w w:val="105"/>
          <w:sz w:val="21"/>
        </w:rPr>
        <w:t>a suitably qualified</w:t>
      </w:r>
      <w:r>
        <w:rPr>
          <w:spacing w:val="33"/>
          <w:w w:val="105"/>
          <w:sz w:val="21"/>
        </w:rPr>
        <w:t> </w:t>
      </w:r>
      <w:r>
        <w:rPr>
          <w:w w:val="105"/>
          <w:sz w:val="21"/>
        </w:rPr>
        <w:t>arborist.</w:t>
      </w:r>
    </w:p>
    <w:p>
      <w:pPr>
        <w:pStyle w:val="ListParagraph"/>
        <w:numPr>
          <w:ilvl w:val="1"/>
          <w:numId w:val="132"/>
        </w:numPr>
        <w:tabs>
          <w:tab w:pos="2381" w:val="left" w:leader="none"/>
        </w:tabs>
        <w:spacing w:line="242" w:lineRule="auto" w:before="128" w:after="0"/>
        <w:ind w:left="2380" w:right="1687" w:hanging="793"/>
        <w:jc w:val="both"/>
        <w:rPr>
          <w:sz w:val="12"/>
        </w:rPr>
      </w:pPr>
      <w:r>
        <w:rPr>
          <w:w w:val="105"/>
          <w:sz w:val="21"/>
        </w:rPr>
        <w:t>Local law </w:t>
      </w:r>
      <w:r>
        <w:rPr>
          <w:spacing w:val="-3"/>
          <w:w w:val="105"/>
          <w:sz w:val="21"/>
        </w:rPr>
        <w:t>requires pruning </w:t>
      </w:r>
      <w:r>
        <w:rPr>
          <w:w w:val="105"/>
          <w:sz w:val="21"/>
        </w:rPr>
        <w:t>of </w:t>
      </w:r>
      <w:r>
        <w:rPr>
          <w:spacing w:val="-3"/>
          <w:w w:val="105"/>
          <w:sz w:val="21"/>
        </w:rPr>
        <w:t>significant </w:t>
      </w:r>
      <w:r>
        <w:rPr>
          <w:w w:val="105"/>
          <w:sz w:val="21"/>
        </w:rPr>
        <w:t>trees or </w:t>
      </w:r>
      <w:r>
        <w:rPr>
          <w:spacing w:val="-3"/>
          <w:w w:val="105"/>
          <w:sz w:val="21"/>
        </w:rPr>
        <w:t>palms to </w:t>
      </w:r>
      <w:r>
        <w:rPr>
          <w:w w:val="105"/>
          <w:sz w:val="21"/>
        </w:rPr>
        <w:t>be done </w:t>
      </w:r>
      <w:r>
        <w:rPr>
          <w:spacing w:val="-3"/>
          <w:w w:val="105"/>
          <w:sz w:val="21"/>
        </w:rPr>
        <w:t>to </w:t>
      </w:r>
      <w:r>
        <w:rPr>
          <w:i/>
          <w:spacing w:val="-3"/>
          <w:w w:val="105"/>
          <w:sz w:val="21"/>
        </w:rPr>
        <w:t>Australian Standard </w:t>
      </w:r>
      <w:r>
        <w:rPr>
          <w:i/>
          <w:w w:val="105"/>
          <w:sz w:val="21"/>
        </w:rPr>
        <w:t>AS </w:t>
      </w:r>
      <w:r>
        <w:rPr>
          <w:i/>
          <w:spacing w:val="-4"/>
          <w:w w:val="105"/>
          <w:sz w:val="21"/>
        </w:rPr>
        <w:t>4373-2007—Pruning </w:t>
      </w:r>
      <w:r>
        <w:rPr>
          <w:i/>
          <w:spacing w:val="-3"/>
          <w:w w:val="105"/>
          <w:sz w:val="21"/>
        </w:rPr>
        <w:t>of </w:t>
      </w:r>
      <w:r>
        <w:rPr>
          <w:i/>
          <w:w w:val="105"/>
          <w:sz w:val="21"/>
        </w:rPr>
        <w:t>Amenity </w:t>
      </w:r>
      <w:r>
        <w:rPr>
          <w:i/>
          <w:spacing w:val="-4"/>
          <w:w w:val="105"/>
          <w:sz w:val="21"/>
        </w:rPr>
        <w:t>Trees. </w:t>
      </w:r>
      <w:r>
        <w:rPr>
          <w:w w:val="105"/>
          <w:sz w:val="21"/>
        </w:rPr>
        <w:t>A suitably qualified arborist would be needed </w:t>
      </w:r>
      <w:r>
        <w:rPr>
          <w:spacing w:val="-3"/>
          <w:w w:val="105"/>
          <w:sz w:val="21"/>
        </w:rPr>
        <w:t>to </w:t>
      </w:r>
      <w:r>
        <w:rPr>
          <w:w w:val="105"/>
          <w:sz w:val="21"/>
        </w:rPr>
        <w:t>carry out these</w:t>
      </w:r>
      <w:r>
        <w:rPr>
          <w:spacing w:val="24"/>
          <w:w w:val="105"/>
          <w:sz w:val="21"/>
        </w:rPr>
        <w:t> </w:t>
      </w:r>
      <w:r>
        <w:rPr>
          <w:spacing w:val="-4"/>
          <w:w w:val="105"/>
          <w:sz w:val="21"/>
        </w:rPr>
        <w:t>works.</w:t>
      </w:r>
      <w:r>
        <w:rPr>
          <w:spacing w:val="-4"/>
          <w:w w:val="105"/>
          <w:position w:val="7"/>
          <w:sz w:val="12"/>
        </w:rPr>
        <w:t>147</w:t>
      </w:r>
    </w:p>
    <w:p>
      <w:pPr>
        <w:pStyle w:val="ListParagraph"/>
        <w:numPr>
          <w:ilvl w:val="1"/>
          <w:numId w:val="132"/>
        </w:numPr>
        <w:tabs>
          <w:tab w:pos="2381" w:val="left" w:leader="none"/>
          <w:tab w:pos="2382" w:val="left" w:leader="none"/>
        </w:tabs>
        <w:spacing w:line="242" w:lineRule="auto" w:before="123" w:after="0"/>
        <w:ind w:left="2381" w:right="1679" w:hanging="794"/>
        <w:jc w:val="left"/>
        <w:rPr>
          <w:sz w:val="12"/>
        </w:rPr>
      </w:pPr>
      <w:r>
        <w:rPr>
          <w:spacing w:val="-4"/>
          <w:sz w:val="21"/>
        </w:rPr>
        <w:t>Council </w:t>
      </w:r>
      <w:r>
        <w:rPr>
          <w:spacing w:val="-3"/>
          <w:sz w:val="21"/>
        </w:rPr>
        <w:t>noted that </w:t>
      </w:r>
      <w:r>
        <w:rPr>
          <w:sz w:val="21"/>
        </w:rPr>
        <w:t>if a pollen allergy is given as the reason </w:t>
      </w:r>
      <w:r>
        <w:rPr>
          <w:spacing w:val="-3"/>
          <w:sz w:val="21"/>
        </w:rPr>
        <w:t>for </w:t>
      </w:r>
      <w:r>
        <w:rPr>
          <w:sz w:val="21"/>
        </w:rPr>
        <w:t>requesting </w:t>
      </w:r>
      <w:r>
        <w:rPr>
          <w:spacing w:val="-3"/>
          <w:sz w:val="21"/>
        </w:rPr>
        <w:t>removal </w:t>
      </w:r>
      <w:r>
        <w:rPr>
          <w:sz w:val="21"/>
        </w:rPr>
        <w:t>of the  tree or </w:t>
      </w:r>
      <w:r>
        <w:rPr>
          <w:spacing w:val="-3"/>
          <w:sz w:val="21"/>
        </w:rPr>
        <w:t>palm, </w:t>
      </w:r>
      <w:r>
        <w:rPr>
          <w:sz w:val="21"/>
        </w:rPr>
        <w:t>then this </w:t>
      </w:r>
      <w:r>
        <w:rPr>
          <w:spacing w:val="-3"/>
          <w:sz w:val="21"/>
        </w:rPr>
        <w:t>will generally </w:t>
      </w:r>
      <w:r>
        <w:rPr>
          <w:sz w:val="21"/>
        </w:rPr>
        <w:t>need </w:t>
      </w:r>
      <w:r>
        <w:rPr>
          <w:spacing w:val="-3"/>
          <w:sz w:val="21"/>
        </w:rPr>
        <w:t>to </w:t>
      </w:r>
      <w:r>
        <w:rPr>
          <w:sz w:val="21"/>
        </w:rPr>
        <w:t>be supported by specialist medical </w:t>
      </w:r>
      <w:r>
        <w:rPr>
          <w:spacing w:val="-3"/>
          <w:sz w:val="21"/>
        </w:rPr>
        <w:t>evidence. </w:t>
      </w:r>
      <w:r>
        <w:rPr>
          <w:sz w:val="21"/>
        </w:rPr>
        <w:t>Psychological distress caused by </w:t>
      </w:r>
      <w:r>
        <w:rPr>
          <w:spacing w:val="-3"/>
          <w:sz w:val="21"/>
        </w:rPr>
        <w:t>fear </w:t>
      </w:r>
      <w:r>
        <w:rPr>
          <w:sz w:val="21"/>
        </w:rPr>
        <w:t>of a tree </w:t>
      </w:r>
      <w:r>
        <w:rPr>
          <w:spacing w:val="-2"/>
          <w:sz w:val="21"/>
        </w:rPr>
        <w:t>has </w:t>
      </w:r>
      <w:r>
        <w:rPr>
          <w:sz w:val="21"/>
        </w:rPr>
        <w:t>sometimes formed the basis </w:t>
      </w:r>
      <w:r>
        <w:rPr>
          <w:spacing w:val="-3"/>
          <w:sz w:val="21"/>
        </w:rPr>
        <w:t>for </w:t>
      </w:r>
      <w:r>
        <w:rPr>
          <w:sz w:val="21"/>
        </w:rPr>
        <w:t>an application </w:t>
      </w:r>
      <w:r>
        <w:rPr>
          <w:spacing w:val="-3"/>
          <w:sz w:val="21"/>
        </w:rPr>
        <w:t>to remove </w:t>
      </w:r>
      <w:r>
        <w:rPr>
          <w:sz w:val="21"/>
        </w:rPr>
        <w:t>a tree or</w:t>
      </w:r>
      <w:r>
        <w:rPr>
          <w:spacing w:val="11"/>
          <w:sz w:val="21"/>
        </w:rPr>
        <w:t> </w:t>
      </w:r>
      <w:r>
        <w:rPr>
          <w:spacing w:val="-5"/>
          <w:sz w:val="21"/>
        </w:rPr>
        <w:t>palm.</w:t>
      </w:r>
      <w:r>
        <w:rPr>
          <w:spacing w:val="-5"/>
          <w:position w:val="7"/>
          <w:sz w:val="12"/>
        </w:rPr>
        <w:t>148</w:t>
      </w:r>
    </w:p>
    <w:p>
      <w:pPr>
        <w:pStyle w:val="BodyText"/>
        <w:spacing w:before="5"/>
        <w:rPr>
          <w:sz w:val="20"/>
        </w:rPr>
      </w:pPr>
    </w:p>
    <w:p>
      <w:pPr>
        <w:pStyle w:val="Heading5"/>
      </w:pPr>
      <w:r>
        <w:rPr/>
        <w:pict>
          <v:shape style="position:absolute;margin-left:79.370102pt;margin-top:21.946884pt;width:436.55pt;height:157.85pt;mso-position-horizontal-relative:page;mso-position-vertical-relative:paragraph;z-index:1002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8"/>
                    <w:gridCol w:w="8133"/>
                  </w:tblGrid>
                  <w:tr>
                    <w:trPr>
                      <w:trHeight w:val="1233" w:hRule="atLeast"/>
                    </w:trPr>
                    <w:tc>
                      <w:tcPr>
                        <w:tcW w:w="598" w:type="dxa"/>
                        <w:tcBorders>
                          <w:bottom w:val="single" w:sz="8" w:space="0" w:color="C9D2CB"/>
                        </w:tcBorders>
                      </w:tcPr>
                      <w:p>
                        <w:pPr>
                          <w:pStyle w:val="TableParagraph"/>
                          <w:spacing w:line="248" w:lineRule="exact"/>
                          <w:rPr>
                            <w:sz w:val="21"/>
                          </w:rPr>
                        </w:pPr>
                        <w:r>
                          <w:rPr>
                            <w:w w:val="110"/>
                            <w:sz w:val="21"/>
                          </w:rPr>
                          <w:t>8.99</w:t>
                        </w:r>
                      </w:p>
                    </w:tc>
                    <w:tc>
                      <w:tcPr>
                        <w:tcW w:w="8133" w:type="dxa"/>
                        <w:tcBorders>
                          <w:bottom w:val="single" w:sz="8" w:space="0" w:color="C9D2CB"/>
                        </w:tcBorders>
                      </w:tcPr>
                      <w:p>
                        <w:pPr>
                          <w:pStyle w:val="TableParagraph"/>
                          <w:spacing w:line="242" w:lineRule="auto"/>
                          <w:ind w:left="195" w:right="53"/>
                          <w:rPr>
                            <w:sz w:val="21"/>
                          </w:rPr>
                        </w:pPr>
                        <w:r>
                          <w:rPr>
                            <w:w w:val="105"/>
                            <w:sz w:val="21"/>
                          </w:rPr>
                          <w:t>In VCAT, an expert witness is defined as ‘a person who has specialised knowledge based on the person’s training, study or experience’.</w:t>
                        </w:r>
                        <w:r>
                          <w:rPr>
                            <w:w w:val="105"/>
                            <w:position w:val="7"/>
                            <w:sz w:val="12"/>
                          </w:rPr>
                          <w:t>149 </w:t>
                        </w:r>
                        <w:r>
                          <w:rPr>
                            <w:w w:val="105"/>
                            <w:sz w:val="21"/>
                          </w:rPr>
                          <w:t>Schedule 3 to the </w:t>
                        </w:r>
                        <w:r>
                          <w:rPr>
                            <w:i/>
                            <w:w w:val="105"/>
                            <w:sz w:val="21"/>
                          </w:rPr>
                          <w:t>Victorian Civil and </w:t>
                        </w:r>
                        <w:r>
                          <w:rPr>
                            <w:i/>
                            <w:w w:val="105"/>
                            <w:sz w:val="21"/>
                          </w:rPr>
                          <w:t>Administrative Tribunal Act 1998 </w:t>
                        </w:r>
                        <w:r>
                          <w:rPr>
                            <w:w w:val="105"/>
                            <w:sz w:val="21"/>
                          </w:rPr>
                          <w:t>(Vic) (the VCAT Act) sets out the broad powers</w:t>
                        </w:r>
                      </w:p>
                    </w:tc>
                  </w:tr>
                  <w:tr>
                    <w:trPr>
                      <w:trHeight w:val="307" w:hRule="atLeast"/>
                    </w:trPr>
                    <w:tc>
                      <w:tcPr>
                        <w:tcW w:w="598" w:type="dxa"/>
                        <w:tcBorders>
                          <w:top w:val="single" w:sz="8" w:space="0" w:color="C9D2CB"/>
                        </w:tcBorders>
                      </w:tcPr>
                      <w:p>
                        <w:pPr>
                          <w:pStyle w:val="TableParagraph"/>
                          <w:spacing w:before="11"/>
                          <w:rPr>
                            <w:b/>
                            <w:sz w:val="11"/>
                          </w:rPr>
                        </w:pPr>
                      </w:p>
                      <w:p>
                        <w:pPr>
                          <w:pStyle w:val="TableParagraph"/>
                          <w:spacing w:line="141" w:lineRule="exact" w:before="1"/>
                          <w:rPr>
                            <w:sz w:val="13"/>
                          </w:rPr>
                        </w:pPr>
                        <w:r>
                          <w:rPr>
                            <w:w w:val="110"/>
                            <w:sz w:val="13"/>
                          </w:rPr>
                          <w:t>139</w:t>
                        </w:r>
                      </w:p>
                    </w:tc>
                    <w:tc>
                      <w:tcPr>
                        <w:tcW w:w="8133" w:type="dxa"/>
                        <w:tcBorders>
                          <w:top w:val="single" w:sz="8" w:space="0" w:color="C9D2CB"/>
                        </w:tcBorders>
                      </w:tcPr>
                      <w:p>
                        <w:pPr>
                          <w:pStyle w:val="TableParagraph"/>
                          <w:spacing w:before="11"/>
                          <w:rPr>
                            <w:b/>
                            <w:sz w:val="11"/>
                          </w:rPr>
                        </w:pPr>
                      </w:p>
                      <w:p>
                        <w:pPr>
                          <w:pStyle w:val="TableParagraph"/>
                          <w:spacing w:line="141" w:lineRule="exact" w:before="1"/>
                          <w:ind w:left="195"/>
                          <w:rPr>
                            <w:sz w:val="13"/>
                          </w:rPr>
                        </w:pPr>
                        <w:r>
                          <w:rPr>
                            <w:w w:val="105"/>
                            <w:sz w:val="13"/>
                          </w:rPr>
                          <w:t>Consultation 8 (City of Boroondara).</w:t>
                        </w:r>
                      </w:p>
                    </w:tc>
                  </w:tr>
                  <w:tr>
                    <w:trPr>
                      <w:trHeight w:val="160" w:hRule="atLeast"/>
                    </w:trPr>
                    <w:tc>
                      <w:tcPr>
                        <w:tcW w:w="598" w:type="dxa"/>
                      </w:tcPr>
                      <w:p>
                        <w:pPr>
                          <w:pStyle w:val="TableParagraph"/>
                          <w:spacing w:line="140" w:lineRule="exact"/>
                          <w:rPr>
                            <w:sz w:val="13"/>
                          </w:rPr>
                        </w:pPr>
                        <w:r>
                          <w:rPr>
                            <w:w w:val="110"/>
                            <w:sz w:val="13"/>
                          </w:rPr>
                          <w:t>140</w:t>
                        </w:r>
                      </w:p>
                    </w:tc>
                    <w:tc>
                      <w:tcPr>
                        <w:tcW w:w="8133" w:type="dxa"/>
                      </w:tcPr>
                      <w:p>
                        <w:pPr>
                          <w:pStyle w:val="TableParagraph"/>
                          <w:spacing w:line="140" w:lineRule="exact"/>
                          <w:ind w:left="195"/>
                          <w:rPr>
                            <w:sz w:val="13"/>
                          </w:rPr>
                        </w:pPr>
                        <w:r>
                          <w:rPr>
                            <w:sz w:val="13"/>
                          </w:rPr>
                          <w:t>Ibid.</w:t>
                        </w:r>
                      </w:p>
                    </w:tc>
                  </w:tr>
                  <w:tr>
                    <w:trPr>
                      <w:trHeight w:val="160" w:hRule="atLeast"/>
                    </w:trPr>
                    <w:tc>
                      <w:tcPr>
                        <w:tcW w:w="598" w:type="dxa"/>
                      </w:tcPr>
                      <w:p>
                        <w:pPr>
                          <w:pStyle w:val="TableParagraph"/>
                          <w:spacing w:line="140" w:lineRule="exact"/>
                          <w:rPr>
                            <w:sz w:val="13"/>
                          </w:rPr>
                        </w:pPr>
                        <w:r>
                          <w:rPr>
                            <w:w w:val="110"/>
                            <w:sz w:val="13"/>
                          </w:rPr>
                          <w:t>141</w:t>
                        </w:r>
                      </w:p>
                    </w:tc>
                    <w:tc>
                      <w:tcPr>
                        <w:tcW w:w="8133" w:type="dxa"/>
                      </w:tcPr>
                      <w:p>
                        <w:pPr>
                          <w:pStyle w:val="TableParagraph"/>
                          <w:spacing w:line="140" w:lineRule="exact"/>
                          <w:ind w:left="195"/>
                          <w:rPr>
                            <w:sz w:val="13"/>
                          </w:rPr>
                        </w:pPr>
                        <w:r>
                          <w:rPr>
                            <w:w w:val="105"/>
                            <w:sz w:val="13"/>
                          </w:rPr>
                          <w:t>Consultation 12 (City of Port Phillip).</w:t>
                        </w:r>
                      </w:p>
                    </w:tc>
                  </w:tr>
                  <w:tr>
                    <w:trPr>
                      <w:trHeight w:val="160" w:hRule="atLeast"/>
                    </w:trPr>
                    <w:tc>
                      <w:tcPr>
                        <w:tcW w:w="598" w:type="dxa"/>
                      </w:tcPr>
                      <w:p>
                        <w:pPr>
                          <w:pStyle w:val="TableParagraph"/>
                          <w:spacing w:line="140" w:lineRule="exact"/>
                          <w:rPr>
                            <w:sz w:val="13"/>
                          </w:rPr>
                        </w:pPr>
                        <w:r>
                          <w:rPr>
                            <w:w w:val="110"/>
                            <w:sz w:val="13"/>
                          </w:rPr>
                          <w:t>142</w:t>
                        </w:r>
                      </w:p>
                    </w:tc>
                    <w:tc>
                      <w:tcPr>
                        <w:tcW w:w="8133" w:type="dxa"/>
                      </w:tcPr>
                      <w:p>
                        <w:pPr>
                          <w:pStyle w:val="TableParagraph"/>
                          <w:spacing w:line="140" w:lineRule="exact"/>
                          <w:ind w:left="195"/>
                          <w:rPr>
                            <w:sz w:val="13"/>
                          </w:rPr>
                        </w:pPr>
                        <w:r>
                          <w:rPr>
                            <w:sz w:val="13"/>
                          </w:rPr>
                          <w:t>Ibid.</w:t>
                        </w:r>
                      </w:p>
                    </w:tc>
                  </w:tr>
                  <w:tr>
                    <w:trPr>
                      <w:trHeight w:val="159" w:hRule="atLeast"/>
                    </w:trPr>
                    <w:tc>
                      <w:tcPr>
                        <w:tcW w:w="598" w:type="dxa"/>
                      </w:tcPr>
                      <w:p>
                        <w:pPr>
                          <w:pStyle w:val="TableParagraph"/>
                          <w:spacing w:line="140" w:lineRule="exact"/>
                          <w:rPr>
                            <w:sz w:val="13"/>
                          </w:rPr>
                        </w:pPr>
                        <w:r>
                          <w:rPr>
                            <w:w w:val="110"/>
                            <w:sz w:val="13"/>
                          </w:rPr>
                          <w:t>143</w:t>
                        </w:r>
                      </w:p>
                    </w:tc>
                    <w:tc>
                      <w:tcPr>
                        <w:tcW w:w="8133" w:type="dxa"/>
                      </w:tcPr>
                      <w:p>
                        <w:pPr>
                          <w:pStyle w:val="TableParagraph"/>
                          <w:spacing w:line="140" w:lineRule="exact"/>
                          <w:ind w:left="195"/>
                          <w:rPr>
                            <w:sz w:val="13"/>
                          </w:rPr>
                        </w:pPr>
                        <w:r>
                          <w:rPr>
                            <w:sz w:val="13"/>
                          </w:rPr>
                          <w:t>Ibid.</w:t>
                        </w:r>
                      </w:p>
                    </w:tc>
                  </w:tr>
                  <w:tr>
                    <w:trPr>
                      <w:trHeight w:val="160" w:hRule="atLeast"/>
                    </w:trPr>
                    <w:tc>
                      <w:tcPr>
                        <w:tcW w:w="598" w:type="dxa"/>
                      </w:tcPr>
                      <w:p>
                        <w:pPr>
                          <w:pStyle w:val="TableParagraph"/>
                          <w:spacing w:line="140" w:lineRule="exact"/>
                          <w:rPr>
                            <w:sz w:val="13"/>
                          </w:rPr>
                        </w:pPr>
                        <w:r>
                          <w:rPr>
                            <w:w w:val="110"/>
                            <w:sz w:val="13"/>
                          </w:rPr>
                          <w:t>144</w:t>
                        </w:r>
                      </w:p>
                    </w:tc>
                    <w:tc>
                      <w:tcPr>
                        <w:tcW w:w="8133" w:type="dxa"/>
                      </w:tcPr>
                      <w:p>
                        <w:pPr>
                          <w:pStyle w:val="TableParagraph"/>
                          <w:spacing w:line="140" w:lineRule="exact"/>
                          <w:ind w:left="195"/>
                          <w:rPr>
                            <w:sz w:val="13"/>
                          </w:rPr>
                        </w:pPr>
                        <w:r>
                          <w:rPr>
                            <w:w w:val="105"/>
                            <w:sz w:val="13"/>
                          </w:rPr>
                          <w:t>Ibid; see also </w:t>
                        </w:r>
                        <w:r>
                          <w:rPr>
                            <w:i/>
                            <w:w w:val="105"/>
                            <w:sz w:val="13"/>
                          </w:rPr>
                          <w:t>Local Law No 1 (Community Amenity) 2013 </w:t>
                        </w:r>
                        <w:r>
                          <w:rPr>
                            <w:w w:val="105"/>
                            <w:sz w:val="13"/>
                          </w:rPr>
                          <w:t>(City of Port Phillip) cl 44(4)(a).</w:t>
                        </w:r>
                      </w:p>
                    </w:tc>
                  </w:tr>
                  <w:tr>
                    <w:trPr>
                      <w:trHeight w:val="160" w:hRule="atLeast"/>
                    </w:trPr>
                    <w:tc>
                      <w:tcPr>
                        <w:tcW w:w="598" w:type="dxa"/>
                      </w:tcPr>
                      <w:p>
                        <w:pPr>
                          <w:pStyle w:val="TableParagraph"/>
                          <w:spacing w:line="140" w:lineRule="exact"/>
                          <w:rPr>
                            <w:sz w:val="13"/>
                          </w:rPr>
                        </w:pPr>
                        <w:r>
                          <w:rPr>
                            <w:w w:val="110"/>
                            <w:sz w:val="13"/>
                          </w:rPr>
                          <w:t>145</w:t>
                        </w:r>
                      </w:p>
                    </w:tc>
                    <w:tc>
                      <w:tcPr>
                        <w:tcW w:w="8133" w:type="dxa"/>
                      </w:tcPr>
                      <w:p>
                        <w:pPr>
                          <w:pStyle w:val="TableParagraph"/>
                          <w:spacing w:line="140" w:lineRule="exact"/>
                          <w:ind w:left="195"/>
                          <w:rPr>
                            <w:sz w:val="13"/>
                          </w:rPr>
                        </w:pPr>
                        <w:r>
                          <w:rPr>
                            <w:w w:val="105"/>
                            <w:sz w:val="13"/>
                          </w:rPr>
                          <w:t>Consultation 12 (City of Port Phillip).</w:t>
                        </w:r>
                      </w:p>
                    </w:tc>
                  </w:tr>
                  <w:tr>
                    <w:trPr>
                      <w:trHeight w:val="160" w:hRule="atLeast"/>
                    </w:trPr>
                    <w:tc>
                      <w:tcPr>
                        <w:tcW w:w="598" w:type="dxa"/>
                      </w:tcPr>
                      <w:p>
                        <w:pPr>
                          <w:pStyle w:val="TableParagraph"/>
                          <w:spacing w:line="140" w:lineRule="exact"/>
                          <w:rPr>
                            <w:sz w:val="13"/>
                          </w:rPr>
                        </w:pPr>
                        <w:r>
                          <w:rPr>
                            <w:w w:val="110"/>
                            <w:sz w:val="13"/>
                          </w:rPr>
                          <w:t>146</w:t>
                        </w:r>
                      </w:p>
                    </w:tc>
                    <w:tc>
                      <w:tcPr>
                        <w:tcW w:w="8133" w:type="dxa"/>
                      </w:tcPr>
                      <w:p>
                        <w:pPr>
                          <w:pStyle w:val="TableParagraph"/>
                          <w:spacing w:line="140" w:lineRule="exact"/>
                          <w:ind w:left="195"/>
                          <w:rPr>
                            <w:sz w:val="13"/>
                          </w:rPr>
                        </w:pPr>
                        <w:r>
                          <w:rPr>
                            <w:sz w:val="13"/>
                          </w:rPr>
                          <w:t>Ibid.</w:t>
                        </w:r>
                      </w:p>
                    </w:tc>
                  </w:tr>
                  <w:tr>
                    <w:trPr>
                      <w:trHeight w:val="160" w:hRule="atLeast"/>
                    </w:trPr>
                    <w:tc>
                      <w:tcPr>
                        <w:tcW w:w="598" w:type="dxa"/>
                      </w:tcPr>
                      <w:p>
                        <w:pPr>
                          <w:pStyle w:val="TableParagraph"/>
                          <w:spacing w:line="140" w:lineRule="exact"/>
                          <w:rPr>
                            <w:sz w:val="13"/>
                          </w:rPr>
                        </w:pPr>
                        <w:r>
                          <w:rPr>
                            <w:w w:val="110"/>
                            <w:sz w:val="13"/>
                          </w:rPr>
                          <w:t>147</w:t>
                        </w:r>
                      </w:p>
                    </w:tc>
                    <w:tc>
                      <w:tcPr>
                        <w:tcW w:w="8133" w:type="dxa"/>
                      </w:tcPr>
                      <w:p>
                        <w:pPr>
                          <w:pStyle w:val="TableParagraph"/>
                          <w:spacing w:line="140" w:lineRule="exact"/>
                          <w:ind w:left="195"/>
                          <w:rPr>
                            <w:sz w:val="13"/>
                          </w:rPr>
                        </w:pPr>
                        <w:r>
                          <w:rPr>
                            <w:sz w:val="13"/>
                          </w:rPr>
                          <w:t>Ibid.</w:t>
                        </w:r>
                      </w:p>
                    </w:tc>
                  </w:tr>
                  <w:tr>
                    <w:trPr>
                      <w:trHeight w:val="159" w:hRule="atLeast"/>
                    </w:trPr>
                    <w:tc>
                      <w:tcPr>
                        <w:tcW w:w="598" w:type="dxa"/>
                      </w:tcPr>
                      <w:p>
                        <w:pPr>
                          <w:pStyle w:val="TableParagraph"/>
                          <w:spacing w:line="140" w:lineRule="exact"/>
                          <w:rPr>
                            <w:sz w:val="13"/>
                          </w:rPr>
                        </w:pPr>
                        <w:r>
                          <w:rPr>
                            <w:w w:val="110"/>
                            <w:sz w:val="13"/>
                          </w:rPr>
                          <w:t>148</w:t>
                        </w:r>
                      </w:p>
                    </w:tc>
                    <w:tc>
                      <w:tcPr>
                        <w:tcW w:w="8133" w:type="dxa"/>
                      </w:tcPr>
                      <w:p>
                        <w:pPr>
                          <w:pStyle w:val="TableParagraph"/>
                          <w:spacing w:line="140" w:lineRule="exact"/>
                          <w:ind w:left="195"/>
                          <w:rPr>
                            <w:sz w:val="13"/>
                          </w:rPr>
                        </w:pPr>
                        <w:r>
                          <w:rPr>
                            <w:sz w:val="13"/>
                          </w:rPr>
                          <w:t>Ibid.</w:t>
                        </w:r>
                      </w:p>
                    </w:tc>
                  </w:tr>
                  <w:tr>
                    <w:trPr>
                      <w:trHeight w:val="155" w:hRule="atLeast"/>
                    </w:trPr>
                    <w:tc>
                      <w:tcPr>
                        <w:tcW w:w="598" w:type="dxa"/>
                      </w:tcPr>
                      <w:p>
                        <w:pPr>
                          <w:pStyle w:val="TableParagraph"/>
                          <w:spacing w:line="136" w:lineRule="exact"/>
                          <w:rPr>
                            <w:sz w:val="13"/>
                          </w:rPr>
                        </w:pPr>
                        <w:r>
                          <w:rPr>
                            <w:w w:val="110"/>
                            <w:sz w:val="13"/>
                          </w:rPr>
                          <w:t>149</w:t>
                        </w:r>
                      </w:p>
                    </w:tc>
                    <w:tc>
                      <w:tcPr>
                        <w:tcW w:w="8133" w:type="dxa"/>
                      </w:tcPr>
                      <w:p>
                        <w:pPr>
                          <w:pStyle w:val="TableParagraph"/>
                          <w:spacing w:line="136" w:lineRule="exact"/>
                          <w:ind w:left="195"/>
                          <w:rPr>
                            <w:sz w:val="13"/>
                          </w:rPr>
                        </w:pPr>
                        <w:r>
                          <w:rPr>
                            <w:i/>
                            <w:w w:val="105"/>
                            <w:sz w:val="13"/>
                          </w:rPr>
                          <w:t>Victorian Civil and Administrative Tribunal Act 1998 </w:t>
                        </w:r>
                        <w:r>
                          <w:rPr>
                            <w:w w:val="105"/>
                            <w:sz w:val="13"/>
                          </w:rPr>
                          <w:t>(Vic) s 3.</w:t>
                        </w:r>
                      </w:p>
                    </w:tc>
                  </w:tr>
                </w:tbl>
                <w:p>
                  <w:pPr>
                    <w:pStyle w:val="BodyText"/>
                  </w:pPr>
                </w:p>
              </w:txbxContent>
            </v:textbox>
            <w10:wrap type="none"/>
          </v:shape>
        </w:pict>
      </w:r>
      <w:r>
        <w:rPr>
          <w:w w:val="115"/>
        </w:rPr>
        <w:t>Expert evidence—VCAT</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
        <w:rPr>
          <w:b/>
          <w:sz w:val="25"/>
        </w:rPr>
      </w:pPr>
    </w:p>
    <w:p>
      <w:pPr>
        <w:spacing w:before="0"/>
        <w:ind w:left="720" w:right="0" w:firstLine="0"/>
        <w:jc w:val="left"/>
        <w:rPr>
          <w:b/>
          <w:sz w:val="24"/>
        </w:rPr>
      </w:pPr>
      <w:r>
        <w:rPr>
          <w:b/>
          <w:color w:val="658464"/>
          <w:w w:val="110"/>
          <w:sz w:val="24"/>
        </w:rPr>
        <w:t>180</w:t>
      </w:r>
    </w:p>
    <w:p>
      <w:pPr>
        <w:spacing w:after="0"/>
        <w:jc w:val="left"/>
        <w:rPr>
          <w:sz w:val="24"/>
        </w:rPr>
        <w:sectPr>
          <w:pgSz w:w="11910" w:h="16840"/>
          <w:pgMar w:header="546" w:footer="0" w:top="1560" w:bottom="280" w:left="0" w:right="0"/>
        </w:sectPr>
      </w:pPr>
    </w:p>
    <w:p>
      <w:pPr>
        <w:pStyle w:val="BodyText"/>
        <w:rPr>
          <w:b/>
          <w:sz w:val="20"/>
        </w:rPr>
      </w:pPr>
    </w:p>
    <w:p>
      <w:pPr>
        <w:pStyle w:val="BodyText"/>
        <w:spacing w:before="9"/>
        <w:rPr>
          <w:b/>
          <w:sz w:val="18"/>
        </w:rPr>
      </w:pPr>
    </w:p>
    <w:p>
      <w:pPr>
        <w:pStyle w:val="BodyText"/>
        <w:spacing w:line="242" w:lineRule="auto" w:before="91"/>
        <w:ind w:left="2381" w:right="1744"/>
      </w:pPr>
      <w:r>
        <w:rPr>
          <w:spacing w:val="-5"/>
          <w:w w:val="105"/>
        </w:rPr>
        <w:t>VCAT </w:t>
      </w:r>
      <w:r>
        <w:rPr>
          <w:spacing w:val="-2"/>
          <w:w w:val="105"/>
        </w:rPr>
        <w:t>has </w:t>
      </w:r>
      <w:r>
        <w:rPr>
          <w:w w:val="105"/>
        </w:rPr>
        <w:t>in </w:t>
      </w:r>
      <w:r>
        <w:rPr>
          <w:spacing w:val="-3"/>
          <w:w w:val="105"/>
        </w:rPr>
        <w:t>relation to </w:t>
      </w:r>
      <w:r>
        <w:rPr>
          <w:w w:val="105"/>
        </w:rPr>
        <w:t>the </w:t>
      </w:r>
      <w:r>
        <w:rPr>
          <w:spacing w:val="-3"/>
          <w:w w:val="105"/>
        </w:rPr>
        <w:t>appointment </w:t>
      </w:r>
      <w:r>
        <w:rPr>
          <w:w w:val="105"/>
        </w:rPr>
        <w:t>of expert witnesses and the </w:t>
      </w:r>
      <w:r>
        <w:rPr>
          <w:spacing w:val="-3"/>
          <w:w w:val="105"/>
        </w:rPr>
        <w:t>provision </w:t>
      </w:r>
      <w:r>
        <w:rPr>
          <w:w w:val="105"/>
        </w:rPr>
        <w:t>of expert </w:t>
      </w:r>
      <w:r>
        <w:rPr>
          <w:spacing w:val="-3"/>
          <w:w w:val="105"/>
        </w:rPr>
        <w:t>evidence. </w:t>
      </w:r>
      <w:r>
        <w:rPr>
          <w:w w:val="105"/>
        </w:rPr>
        <w:t>Section 80 of the </w:t>
      </w:r>
      <w:r>
        <w:rPr>
          <w:spacing w:val="-5"/>
          <w:w w:val="105"/>
        </w:rPr>
        <w:t>VCAT </w:t>
      </w:r>
      <w:r>
        <w:rPr>
          <w:w w:val="105"/>
        </w:rPr>
        <w:t>Act </w:t>
      </w:r>
      <w:r>
        <w:rPr>
          <w:spacing w:val="-3"/>
          <w:w w:val="105"/>
        </w:rPr>
        <w:t>confers </w:t>
      </w:r>
      <w:r>
        <w:rPr>
          <w:w w:val="105"/>
        </w:rPr>
        <w:t>broad </w:t>
      </w:r>
      <w:r>
        <w:rPr>
          <w:spacing w:val="-3"/>
          <w:w w:val="105"/>
        </w:rPr>
        <w:t>discretion </w:t>
      </w:r>
      <w:r>
        <w:rPr>
          <w:w w:val="105"/>
        </w:rPr>
        <w:t>on </w:t>
      </w:r>
      <w:r>
        <w:rPr>
          <w:spacing w:val="-5"/>
          <w:w w:val="105"/>
        </w:rPr>
        <w:t>VCAT </w:t>
      </w:r>
      <w:r>
        <w:rPr>
          <w:spacing w:val="-3"/>
          <w:w w:val="105"/>
        </w:rPr>
        <w:t>to </w:t>
      </w:r>
      <w:r>
        <w:rPr>
          <w:spacing w:val="-4"/>
          <w:w w:val="105"/>
        </w:rPr>
        <w:t>make </w:t>
      </w:r>
      <w:r>
        <w:rPr>
          <w:w w:val="105"/>
        </w:rPr>
        <w:t>a </w:t>
      </w:r>
      <w:r>
        <w:rPr>
          <w:spacing w:val="-3"/>
          <w:w w:val="105"/>
        </w:rPr>
        <w:t>range </w:t>
      </w:r>
      <w:r>
        <w:rPr>
          <w:w w:val="105"/>
        </w:rPr>
        <w:t>of directions:</w:t>
      </w:r>
    </w:p>
    <w:p>
      <w:pPr>
        <w:pStyle w:val="ListParagraph"/>
        <w:numPr>
          <w:ilvl w:val="2"/>
          <w:numId w:val="132"/>
        </w:numPr>
        <w:tabs>
          <w:tab w:pos="2721" w:val="left" w:leader="none"/>
          <w:tab w:pos="2722" w:val="left" w:leader="none"/>
        </w:tabs>
        <w:spacing w:line="240" w:lineRule="auto" w:before="124" w:after="0"/>
        <w:ind w:left="2721" w:right="0" w:hanging="340"/>
        <w:jc w:val="left"/>
        <w:rPr>
          <w:sz w:val="21"/>
        </w:rPr>
      </w:pPr>
      <w:r>
        <w:rPr>
          <w:spacing w:val="-3"/>
          <w:w w:val="105"/>
          <w:sz w:val="21"/>
        </w:rPr>
        <w:t>providing for </w:t>
      </w:r>
      <w:r>
        <w:rPr>
          <w:w w:val="105"/>
          <w:sz w:val="21"/>
        </w:rPr>
        <w:t>the </w:t>
      </w:r>
      <w:r>
        <w:rPr>
          <w:spacing w:val="-3"/>
          <w:w w:val="105"/>
          <w:sz w:val="21"/>
        </w:rPr>
        <w:t>appointment </w:t>
      </w:r>
      <w:r>
        <w:rPr>
          <w:w w:val="105"/>
          <w:sz w:val="21"/>
        </w:rPr>
        <w:t>of </w:t>
      </w:r>
      <w:r>
        <w:rPr>
          <w:spacing w:val="-3"/>
          <w:w w:val="105"/>
          <w:sz w:val="21"/>
        </w:rPr>
        <w:t>single joint </w:t>
      </w:r>
      <w:r>
        <w:rPr>
          <w:w w:val="105"/>
          <w:sz w:val="21"/>
        </w:rPr>
        <w:t>experts or </w:t>
      </w:r>
      <w:r>
        <w:rPr>
          <w:spacing w:val="-3"/>
          <w:w w:val="105"/>
          <w:sz w:val="21"/>
        </w:rPr>
        <w:t>Tribunal-appointed</w:t>
      </w:r>
      <w:r>
        <w:rPr>
          <w:spacing w:val="1"/>
          <w:w w:val="105"/>
          <w:sz w:val="21"/>
        </w:rPr>
        <w:t> </w:t>
      </w:r>
      <w:r>
        <w:rPr>
          <w:w w:val="105"/>
          <w:sz w:val="21"/>
        </w:rPr>
        <w:t>experts</w:t>
      </w:r>
    </w:p>
    <w:p>
      <w:pPr>
        <w:pStyle w:val="ListParagraph"/>
        <w:numPr>
          <w:ilvl w:val="2"/>
          <w:numId w:val="132"/>
        </w:numPr>
        <w:tabs>
          <w:tab w:pos="2721" w:val="left" w:leader="none"/>
          <w:tab w:pos="2722" w:val="left" w:leader="none"/>
        </w:tabs>
        <w:spacing w:line="240" w:lineRule="auto" w:before="88" w:after="0"/>
        <w:ind w:left="2721" w:right="0" w:hanging="340"/>
        <w:jc w:val="left"/>
        <w:rPr>
          <w:sz w:val="12"/>
        </w:rPr>
      </w:pPr>
      <w:r>
        <w:rPr>
          <w:spacing w:val="-3"/>
          <w:sz w:val="21"/>
        </w:rPr>
        <w:t>limiting </w:t>
      </w:r>
      <w:r>
        <w:rPr>
          <w:sz w:val="21"/>
        </w:rPr>
        <w:t>expert evidence </w:t>
      </w:r>
      <w:r>
        <w:rPr>
          <w:spacing w:val="-3"/>
          <w:sz w:val="21"/>
        </w:rPr>
        <w:t>to </w:t>
      </w:r>
      <w:r>
        <w:rPr>
          <w:sz w:val="21"/>
        </w:rPr>
        <w:t>specified</w:t>
      </w:r>
      <w:r>
        <w:rPr>
          <w:spacing w:val="2"/>
          <w:sz w:val="21"/>
        </w:rPr>
        <w:t> </w:t>
      </w:r>
      <w:r>
        <w:rPr>
          <w:spacing w:val="-4"/>
          <w:sz w:val="21"/>
        </w:rPr>
        <w:t>issues.</w:t>
      </w:r>
      <w:r>
        <w:rPr>
          <w:spacing w:val="-4"/>
          <w:position w:val="7"/>
          <w:sz w:val="12"/>
        </w:rPr>
        <w:t>150</w:t>
      </w:r>
    </w:p>
    <w:p>
      <w:pPr>
        <w:pStyle w:val="ListParagraph"/>
        <w:numPr>
          <w:ilvl w:val="1"/>
          <w:numId w:val="133"/>
        </w:numPr>
        <w:tabs>
          <w:tab w:pos="2381" w:val="left" w:leader="none"/>
          <w:tab w:pos="2382" w:val="left" w:leader="none"/>
        </w:tabs>
        <w:spacing w:line="242" w:lineRule="auto" w:before="89" w:after="0"/>
        <w:ind w:left="2381" w:right="1762" w:hanging="794"/>
        <w:jc w:val="left"/>
        <w:rPr>
          <w:sz w:val="12"/>
        </w:rPr>
      </w:pPr>
      <w:r>
        <w:rPr>
          <w:w w:val="105"/>
          <w:sz w:val="21"/>
        </w:rPr>
        <w:t>In </w:t>
      </w:r>
      <w:r>
        <w:rPr>
          <w:spacing w:val="-3"/>
          <w:w w:val="105"/>
          <w:sz w:val="21"/>
        </w:rPr>
        <w:t>appropriate </w:t>
      </w:r>
      <w:r>
        <w:rPr>
          <w:w w:val="105"/>
          <w:sz w:val="21"/>
        </w:rPr>
        <w:t>cases </w:t>
      </w:r>
      <w:r>
        <w:rPr>
          <w:spacing w:val="-5"/>
          <w:w w:val="105"/>
          <w:sz w:val="21"/>
        </w:rPr>
        <w:t>VCAT </w:t>
      </w:r>
      <w:r>
        <w:rPr>
          <w:spacing w:val="-3"/>
          <w:w w:val="105"/>
          <w:sz w:val="21"/>
        </w:rPr>
        <w:t>may </w:t>
      </w:r>
      <w:r>
        <w:rPr>
          <w:w w:val="105"/>
          <w:sz w:val="21"/>
        </w:rPr>
        <w:t>appoint its own expert under </w:t>
      </w:r>
      <w:r>
        <w:rPr>
          <w:spacing w:val="-3"/>
          <w:w w:val="105"/>
          <w:sz w:val="21"/>
        </w:rPr>
        <w:t>clause </w:t>
      </w:r>
      <w:r>
        <w:rPr>
          <w:w w:val="105"/>
          <w:sz w:val="21"/>
        </w:rPr>
        <w:t>7 of schedule 3 of the Act or a special </w:t>
      </w:r>
      <w:r>
        <w:rPr>
          <w:spacing w:val="-3"/>
          <w:w w:val="105"/>
          <w:sz w:val="21"/>
        </w:rPr>
        <w:t>referee </w:t>
      </w:r>
      <w:r>
        <w:rPr>
          <w:w w:val="105"/>
          <w:sz w:val="21"/>
        </w:rPr>
        <w:t>under section 95 of the </w:t>
      </w:r>
      <w:r>
        <w:rPr>
          <w:spacing w:val="-6"/>
          <w:w w:val="105"/>
          <w:sz w:val="21"/>
        </w:rPr>
        <w:t>Act.</w:t>
      </w:r>
      <w:r>
        <w:rPr>
          <w:spacing w:val="-6"/>
          <w:w w:val="105"/>
          <w:position w:val="7"/>
          <w:sz w:val="12"/>
        </w:rPr>
        <w:t>151 </w:t>
      </w:r>
      <w:r>
        <w:rPr>
          <w:w w:val="105"/>
          <w:sz w:val="21"/>
        </w:rPr>
        <w:t>The </w:t>
      </w:r>
      <w:r>
        <w:rPr>
          <w:spacing w:val="-5"/>
          <w:w w:val="105"/>
          <w:sz w:val="21"/>
        </w:rPr>
        <w:t>Tribunal </w:t>
      </w:r>
      <w:r>
        <w:rPr>
          <w:spacing w:val="-3"/>
          <w:w w:val="105"/>
          <w:sz w:val="21"/>
        </w:rPr>
        <w:t>may </w:t>
      </w:r>
      <w:r>
        <w:rPr>
          <w:w w:val="105"/>
          <w:sz w:val="21"/>
        </w:rPr>
        <w:t>do this at the</w:t>
      </w:r>
      <w:r>
        <w:rPr>
          <w:spacing w:val="-7"/>
          <w:w w:val="105"/>
          <w:sz w:val="21"/>
        </w:rPr>
        <w:t> </w:t>
      </w:r>
      <w:r>
        <w:rPr>
          <w:w w:val="105"/>
          <w:sz w:val="21"/>
        </w:rPr>
        <w:t>request</w:t>
      </w:r>
      <w:r>
        <w:rPr>
          <w:spacing w:val="-7"/>
          <w:w w:val="105"/>
          <w:sz w:val="21"/>
        </w:rPr>
        <w:t> </w:t>
      </w:r>
      <w:r>
        <w:rPr>
          <w:w w:val="105"/>
          <w:sz w:val="21"/>
        </w:rPr>
        <w:t>of</w:t>
      </w:r>
      <w:r>
        <w:rPr>
          <w:spacing w:val="-6"/>
          <w:w w:val="105"/>
          <w:sz w:val="21"/>
        </w:rPr>
        <w:t> </w:t>
      </w:r>
      <w:r>
        <w:rPr>
          <w:w w:val="105"/>
          <w:sz w:val="21"/>
        </w:rPr>
        <w:t>the</w:t>
      </w:r>
      <w:r>
        <w:rPr>
          <w:spacing w:val="-7"/>
          <w:w w:val="105"/>
          <w:sz w:val="21"/>
        </w:rPr>
        <w:t> </w:t>
      </w:r>
      <w:r>
        <w:rPr>
          <w:w w:val="105"/>
          <w:sz w:val="21"/>
        </w:rPr>
        <w:t>parties,</w:t>
      </w:r>
      <w:r>
        <w:rPr>
          <w:spacing w:val="-6"/>
          <w:w w:val="105"/>
          <w:sz w:val="21"/>
        </w:rPr>
        <w:t> </w:t>
      </w:r>
      <w:r>
        <w:rPr>
          <w:w w:val="105"/>
          <w:sz w:val="21"/>
        </w:rPr>
        <w:t>or</w:t>
      </w:r>
      <w:r>
        <w:rPr>
          <w:spacing w:val="-7"/>
          <w:w w:val="105"/>
          <w:sz w:val="21"/>
        </w:rPr>
        <w:t> </w:t>
      </w:r>
      <w:r>
        <w:rPr>
          <w:spacing w:val="-3"/>
          <w:w w:val="105"/>
          <w:sz w:val="21"/>
        </w:rPr>
        <w:t>occasionally</w:t>
      </w:r>
      <w:r>
        <w:rPr>
          <w:spacing w:val="-6"/>
          <w:w w:val="105"/>
          <w:sz w:val="21"/>
        </w:rPr>
        <w:t> </w:t>
      </w:r>
      <w:r>
        <w:rPr>
          <w:w w:val="105"/>
          <w:sz w:val="21"/>
        </w:rPr>
        <w:t>on</w:t>
      </w:r>
      <w:r>
        <w:rPr>
          <w:spacing w:val="-7"/>
          <w:w w:val="105"/>
          <w:sz w:val="21"/>
        </w:rPr>
        <w:t> </w:t>
      </w:r>
      <w:r>
        <w:rPr>
          <w:w w:val="105"/>
          <w:sz w:val="21"/>
        </w:rPr>
        <w:t>its</w:t>
      </w:r>
      <w:r>
        <w:rPr>
          <w:spacing w:val="-7"/>
          <w:w w:val="105"/>
          <w:sz w:val="21"/>
        </w:rPr>
        <w:t> </w:t>
      </w:r>
      <w:r>
        <w:rPr>
          <w:w w:val="105"/>
          <w:sz w:val="21"/>
        </w:rPr>
        <w:t>own</w:t>
      </w:r>
      <w:r>
        <w:rPr>
          <w:spacing w:val="-6"/>
          <w:w w:val="105"/>
          <w:sz w:val="21"/>
        </w:rPr>
        <w:t> </w:t>
      </w:r>
      <w:r>
        <w:rPr>
          <w:spacing w:val="-5"/>
          <w:w w:val="105"/>
          <w:sz w:val="21"/>
        </w:rPr>
        <w:t>initiative.</w:t>
      </w:r>
      <w:r>
        <w:rPr>
          <w:spacing w:val="-5"/>
          <w:w w:val="105"/>
          <w:position w:val="7"/>
          <w:sz w:val="12"/>
        </w:rPr>
        <w:t>152</w:t>
      </w:r>
      <w:r>
        <w:rPr>
          <w:spacing w:val="16"/>
          <w:w w:val="105"/>
          <w:position w:val="7"/>
          <w:sz w:val="12"/>
        </w:rPr>
        <w:t> </w:t>
      </w:r>
      <w:r>
        <w:rPr>
          <w:w w:val="105"/>
          <w:sz w:val="21"/>
        </w:rPr>
        <w:t>If</w:t>
      </w:r>
      <w:r>
        <w:rPr>
          <w:spacing w:val="-7"/>
          <w:w w:val="105"/>
          <w:sz w:val="21"/>
        </w:rPr>
        <w:t> </w:t>
      </w:r>
      <w:r>
        <w:rPr>
          <w:w w:val="105"/>
          <w:sz w:val="21"/>
        </w:rPr>
        <w:t>the</w:t>
      </w:r>
      <w:r>
        <w:rPr>
          <w:spacing w:val="-6"/>
          <w:w w:val="105"/>
          <w:sz w:val="21"/>
        </w:rPr>
        <w:t> </w:t>
      </w:r>
      <w:r>
        <w:rPr>
          <w:spacing w:val="-5"/>
          <w:w w:val="105"/>
          <w:sz w:val="21"/>
        </w:rPr>
        <w:t>Tribunal</w:t>
      </w:r>
      <w:r>
        <w:rPr>
          <w:spacing w:val="-7"/>
          <w:w w:val="105"/>
          <w:sz w:val="21"/>
        </w:rPr>
        <w:t> </w:t>
      </w:r>
      <w:r>
        <w:rPr>
          <w:w w:val="105"/>
          <w:sz w:val="21"/>
        </w:rPr>
        <w:t>proposes </w:t>
      </w:r>
      <w:r>
        <w:rPr>
          <w:spacing w:val="-3"/>
          <w:w w:val="105"/>
          <w:sz w:val="21"/>
        </w:rPr>
        <w:t>to </w:t>
      </w:r>
      <w:r>
        <w:rPr>
          <w:w w:val="105"/>
          <w:sz w:val="21"/>
        </w:rPr>
        <w:t>appoint an expert or special </w:t>
      </w:r>
      <w:r>
        <w:rPr>
          <w:spacing w:val="-3"/>
          <w:w w:val="105"/>
          <w:sz w:val="21"/>
        </w:rPr>
        <w:t>referee </w:t>
      </w:r>
      <w:r>
        <w:rPr>
          <w:w w:val="105"/>
          <w:sz w:val="21"/>
        </w:rPr>
        <w:t>on its own </w:t>
      </w:r>
      <w:r>
        <w:rPr>
          <w:spacing w:val="-3"/>
          <w:w w:val="105"/>
          <w:sz w:val="21"/>
        </w:rPr>
        <w:t>initiative, </w:t>
      </w:r>
      <w:r>
        <w:rPr>
          <w:w w:val="105"/>
          <w:sz w:val="21"/>
        </w:rPr>
        <w:t>it </w:t>
      </w:r>
      <w:r>
        <w:rPr>
          <w:spacing w:val="-3"/>
          <w:w w:val="105"/>
          <w:sz w:val="21"/>
        </w:rPr>
        <w:t>will </w:t>
      </w:r>
      <w:r>
        <w:rPr>
          <w:w w:val="105"/>
          <w:sz w:val="21"/>
        </w:rPr>
        <w:t>first obtain the views of</w:t>
      </w:r>
      <w:r>
        <w:rPr>
          <w:spacing w:val="-6"/>
          <w:w w:val="105"/>
          <w:sz w:val="21"/>
        </w:rPr>
        <w:t> </w:t>
      </w:r>
      <w:r>
        <w:rPr>
          <w:w w:val="105"/>
          <w:sz w:val="21"/>
        </w:rPr>
        <w:t>the</w:t>
      </w:r>
      <w:r>
        <w:rPr>
          <w:spacing w:val="-5"/>
          <w:w w:val="105"/>
          <w:sz w:val="21"/>
        </w:rPr>
        <w:t> </w:t>
      </w:r>
      <w:r>
        <w:rPr>
          <w:w w:val="105"/>
          <w:sz w:val="21"/>
        </w:rPr>
        <w:t>parties</w:t>
      </w:r>
      <w:r>
        <w:rPr>
          <w:spacing w:val="-5"/>
          <w:w w:val="105"/>
          <w:sz w:val="21"/>
        </w:rPr>
        <w:t> </w:t>
      </w:r>
      <w:r>
        <w:rPr>
          <w:w w:val="105"/>
          <w:sz w:val="21"/>
        </w:rPr>
        <w:t>in</w:t>
      </w:r>
      <w:r>
        <w:rPr>
          <w:spacing w:val="-5"/>
          <w:w w:val="105"/>
          <w:sz w:val="21"/>
        </w:rPr>
        <w:t> </w:t>
      </w:r>
      <w:r>
        <w:rPr>
          <w:w w:val="105"/>
          <w:sz w:val="21"/>
        </w:rPr>
        <w:t>writing</w:t>
      </w:r>
      <w:r>
        <w:rPr>
          <w:spacing w:val="-5"/>
          <w:w w:val="105"/>
          <w:sz w:val="21"/>
        </w:rPr>
        <w:t> </w:t>
      </w:r>
      <w:r>
        <w:rPr>
          <w:w w:val="105"/>
          <w:sz w:val="21"/>
        </w:rPr>
        <w:t>or</w:t>
      </w:r>
      <w:r>
        <w:rPr>
          <w:spacing w:val="-5"/>
          <w:w w:val="105"/>
          <w:sz w:val="21"/>
        </w:rPr>
        <w:t> </w:t>
      </w:r>
      <w:r>
        <w:rPr>
          <w:w w:val="105"/>
          <w:sz w:val="21"/>
        </w:rPr>
        <w:t>at</w:t>
      </w:r>
      <w:r>
        <w:rPr>
          <w:spacing w:val="-5"/>
          <w:w w:val="105"/>
          <w:sz w:val="21"/>
        </w:rPr>
        <w:t> </w:t>
      </w:r>
      <w:r>
        <w:rPr>
          <w:w w:val="105"/>
          <w:sz w:val="21"/>
        </w:rPr>
        <w:t>a</w:t>
      </w:r>
      <w:r>
        <w:rPr>
          <w:spacing w:val="-5"/>
          <w:w w:val="105"/>
          <w:sz w:val="21"/>
        </w:rPr>
        <w:t> </w:t>
      </w:r>
      <w:r>
        <w:rPr>
          <w:w w:val="105"/>
          <w:sz w:val="21"/>
        </w:rPr>
        <w:t>directions</w:t>
      </w:r>
      <w:r>
        <w:rPr>
          <w:spacing w:val="-5"/>
          <w:w w:val="105"/>
          <w:sz w:val="21"/>
        </w:rPr>
        <w:t> </w:t>
      </w:r>
      <w:r>
        <w:rPr>
          <w:spacing w:val="-3"/>
          <w:w w:val="105"/>
          <w:sz w:val="21"/>
        </w:rPr>
        <w:t>hearing.</w:t>
      </w:r>
      <w:r>
        <w:rPr>
          <w:spacing w:val="-5"/>
          <w:w w:val="105"/>
          <w:sz w:val="21"/>
        </w:rPr>
        <w:t> </w:t>
      </w:r>
      <w:r>
        <w:rPr>
          <w:w w:val="105"/>
          <w:sz w:val="21"/>
        </w:rPr>
        <w:t>The</w:t>
      </w:r>
      <w:r>
        <w:rPr>
          <w:spacing w:val="-5"/>
          <w:w w:val="105"/>
          <w:sz w:val="21"/>
        </w:rPr>
        <w:t> </w:t>
      </w:r>
      <w:r>
        <w:rPr>
          <w:w w:val="105"/>
          <w:sz w:val="21"/>
        </w:rPr>
        <w:t>costs</w:t>
      </w:r>
      <w:r>
        <w:rPr>
          <w:spacing w:val="-5"/>
          <w:w w:val="105"/>
          <w:sz w:val="21"/>
        </w:rPr>
        <w:t> </w:t>
      </w:r>
      <w:r>
        <w:rPr>
          <w:w w:val="105"/>
          <w:sz w:val="21"/>
        </w:rPr>
        <w:t>of</w:t>
      </w:r>
      <w:r>
        <w:rPr>
          <w:spacing w:val="-5"/>
          <w:w w:val="105"/>
          <w:sz w:val="21"/>
        </w:rPr>
        <w:t> </w:t>
      </w:r>
      <w:r>
        <w:rPr>
          <w:w w:val="105"/>
          <w:sz w:val="21"/>
        </w:rPr>
        <w:t>the</w:t>
      </w:r>
      <w:r>
        <w:rPr>
          <w:spacing w:val="-5"/>
          <w:w w:val="105"/>
          <w:sz w:val="21"/>
        </w:rPr>
        <w:t> </w:t>
      </w:r>
      <w:r>
        <w:rPr>
          <w:w w:val="105"/>
          <w:sz w:val="21"/>
        </w:rPr>
        <w:t>expert</w:t>
      </w:r>
      <w:r>
        <w:rPr>
          <w:spacing w:val="-5"/>
          <w:w w:val="105"/>
          <w:sz w:val="21"/>
        </w:rPr>
        <w:t> </w:t>
      </w:r>
      <w:r>
        <w:rPr>
          <w:spacing w:val="-3"/>
          <w:w w:val="105"/>
          <w:sz w:val="21"/>
        </w:rPr>
        <w:t>will</w:t>
      </w:r>
      <w:r>
        <w:rPr>
          <w:spacing w:val="-5"/>
          <w:w w:val="105"/>
          <w:sz w:val="21"/>
        </w:rPr>
        <w:t> </w:t>
      </w:r>
      <w:r>
        <w:rPr>
          <w:w w:val="105"/>
          <w:sz w:val="21"/>
        </w:rPr>
        <w:t>be</w:t>
      </w:r>
      <w:r>
        <w:rPr>
          <w:spacing w:val="-5"/>
          <w:w w:val="105"/>
          <w:sz w:val="21"/>
        </w:rPr>
        <w:t> </w:t>
      </w:r>
      <w:r>
        <w:rPr>
          <w:spacing w:val="-3"/>
          <w:w w:val="105"/>
          <w:sz w:val="21"/>
        </w:rPr>
        <w:t>shared equally </w:t>
      </w:r>
      <w:r>
        <w:rPr>
          <w:w w:val="105"/>
          <w:sz w:val="21"/>
        </w:rPr>
        <w:t>by the parties, unless otherwise</w:t>
      </w:r>
      <w:r>
        <w:rPr>
          <w:spacing w:val="25"/>
          <w:w w:val="105"/>
          <w:sz w:val="21"/>
        </w:rPr>
        <w:t> </w:t>
      </w:r>
      <w:r>
        <w:rPr>
          <w:spacing w:val="-4"/>
          <w:w w:val="105"/>
          <w:sz w:val="21"/>
        </w:rPr>
        <w:t>ordered.</w:t>
      </w:r>
      <w:r>
        <w:rPr>
          <w:spacing w:val="-4"/>
          <w:w w:val="105"/>
          <w:position w:val="7"/>
          <w:sz w:val="12"/>
        </w:rPr>
        <w:t>153</w:t>
      </w:r>
    </w:p>
    <w:p>
      <w:pPr>
        <w:pStyle w:val="ListParagraph"/>
        <w:numPr>
          <w:ilvl w:val="1"/>
          <w:numId w:val="133"/>
        </w:numPr>
        <w:tabs>
          <w:tab w:pos="2381" w:val="left" w:leader="none"/>
          <w:tab w:pos="2382" w:val="left" w:leader="none"/>
        </w:tabs>
        <w:spacing w:line="242" w:lineRule="auto" w:before="127" w:after="0"/>
        <w:ind w:left="2381" w:right="2012" w:hanging="794"/>
        <w:jc w:val="left"/>
        <w:rPr>
          <w:sz w:val="21"/>
        </w:rPr>
      </w:pPr>
      <w:r>
        <w:rPr>
          <w:spacing w:val="-5"/>
          <w:w w:val="105"/>
          <w:sz w:val="21"/>
        </w:rPr>
        <w:t>VCAT </w:t>
      </w:r>
      <w:r>
        <w:rPr>
          <w:w w:val="105"/>
          <w:sz w:val="21"/>
        </w:rPr>
        <w:t>can</w:t>
      </w:r>
      <w:r>
        <w:rPr>
          <w:spacing w:val="-5"/>
          <w:w w:val="105"/>
          <w:sz w:val="21"/>
        </w:rPr>
        <w:t> </w:t>
      </w:r>
      <w:r>
        <w:rPr>
          <w:w w:val="105"/>
          <w:sz w:val="21"/>
        </w:rPr>
        <w:t>direct</w:t>
      </w:r>
      <w:r>
        <w:rPr>
          <w:spacing w:val="-4"/>
          <w:w w:val="105"/>
          <w:sz w:val="21"/>
        </w:rPr>
        <w:t> </w:t>
      </w:r>
      <w:r>
        <w:rPr>
          <w:w w:val="105"/>
          <w:sz w:val="21"/>
        </w:rPr>
        <w:t>experts</w:t>
      </w:r>
      <w:r>
        <w:rPr>
          <w:spacing w:val="-5"/>
          <w:w w:val="105"/>
          <w:sz w:val="21"/>
        </w:rPr>
        <w:t> </w:t>
      </w:r>
      <w:r>
        <w:rPr>
          <w:spacing w:val="-3"/>
          <w:w w:val="105"/>
          <w:sz w:val="21"/>
        </w:rPr>
        <w:t>to</w:t>
      </w:r>
      <w:r>
        <w:rPr>
          <w:spacing w:val="-4"/>
          <w:w w:val="105"/>
          <w:sz w:val="21"/>
        </w:rPr>
        <w:t> </w:t>
      </w:r>
      <w:r>
        <w:rPr>
          <w:spacing w:val="-3"/>
          <w:w w:val="105"/>
          <w:sz w:val="21"/>
        </w:rPr>
        <w:t>narrow</w:t>
      </w:r>
      <w:r>
        <w:rPr>
          <w:spacing w:val="-5"/>
          <w:w w:val="105"/>
          <w:sz w:val="21"/>
        </w:rPr>
        <w:t> </w:t>
      </w:r>
      <w:r>
        <w:rPr>
          <w:w w:val="105"/>
          <w:sz w:val="21"/>
        </w:rPr>
        <w:t>the</w:t>
      </w:r>
      <w:r>
        <w:rPr>
          <w:spacing w:val="-4"/>
          <w:w w:val="105"/>
          <w:sz w:val="21"/>
        </w:rPr>
        <w:t> </w:t>
      </w:r>
      <w:r>
        <w:rPr>
          <w:w w:val="105"/>
          <w:sz w:val="21"/>
        </w:rPr>
        <w:t>issues</w:t>
      </w:r>
      <w:r>
        <w:rPr>
          <w:spacing w:val="-5"/>
          <w:w w:val="105"/>
          <w:sz w:val="21"/>
        </w:rPr>
        <w:t> </w:t>
      </w:r>
      <w:r>
        <w:rPr>
          <w:w w:val="105"/>
          <w:sz w:val="21"/>
        </w:rPr>
        <w:t>in</w:t>
      </w:r>
      <w:r>
        <w:rPr>
          <w:spacing w:val="-4"/>
          <w:w w:val="105"/>
          <w:sz w:val="21"/>
        </w:rPr>
        <w:t> </w:t>
      </w:r>
      <w:r>
        <w:rPr>
          <w:spacing w:val="-3"/>
          <w:w w:val="105"/>
          <w:sz w:val="21"/>
        </w:rPr>
        <w:t>dispute</w:t>
      </w:r>
      <w:r>
        <w:rPr>
          <w:spacing w:val="-5"/>
          <w:w w:val="105"/>
          <w:sz w:val="21"/>
        </w:rPr>
        <w:t> </w:t>
      </w:r>
      <w:r>
        <w:rPr>
          <w:w w:val="105"/>
          <w:sz w:val="21"/>
        </w:rPr>
        <w:t>and</w:t>
      </w:r>
      <w:r>
        <w:rPr>
          <w:spacing w:val="-4"/>
          <w:w w:val="105"/>
          <w:sz w:val="21"/>
        </w:rPr>
        <w:t> </w:t>
      </w:r>
      <w:r>
        <w:rPr>
          <w:w w:val="105"/>
          <w:sz w:val="21"/>
        </w:rPr>
        <w:t>provide</w:t>
      </w:r>
      <w:r>
        <w:rPr>
          <w:spacing w:val="-5"/>
          <w:w w:val="105"/>
          <w:sz w:val="21"/>
        </w:rPr>
        <w:t> </w:t>
      </w:r>
      <w:r>
        <w:rPr>
          <w:w w:val="105"/>
          <w:sz w:val="21"/>
        </w:rPr>
        <w:t>the</w:t>
      </w:r>
      <w:r>
        <w:rPr>
          <w:spacing w:val="-4"/>
          <w:w w:val="105"/>
          <w:sz w:val="21"/>
        </w:rPr>
        <w:t> </w:t>
      </w:r>
      <w:r>
        <w:rPr>
          <w:spacing w:val="-5"/>
          <w:w w:val="105"/>
          <w:sz w:val="21"/>
        </w:rPr>
        <w:t>Tribunal </w:t>
      </w:r>
      <w:r>
        <w:rPr>
          <w:w w:val="105"/>
          <w:sz w:val="21"/>
        </w:rPr>
        <w:t>with a</w:t>
      </w:r>
      <w:r>
        <w:rPr>
          <w:spacing w:val="-8"/>
          <w:w w:val="105"/>
          <w:sz w:val="21"/>
        </w:rPr>
        <w:t> </w:t>
      </w:r>
      <w:r>
        <w:rPr>
          <w:spacing w:val="-3"/>
          <w:w w:val="105"/>
          <w:sz w:val="21"/>
        </w:rPr>
        <w:t>joint</w:t>
      </w:r>
      <w:r>
        <w:rPr>
          <w:spacing w:val="-8"/>
          <w:w w:val="105"/>
          <w:sz w:val="21"/>
        </w:rPr>
        <w:t> </w:t>
      </w:r>
      <w:r>
        <w:rPr>
          <w:w w:val="105"/>
          <w:sz w:val="21"/>
        </w:rPr>
        <w:t>report</w:t>
      </w:r>
      <w:r>
        <w:rPr>
          <w:spacing w:val="-7"/>
          <w:w w:val="105"/>
          <w:sz w:val="21"/>
        </w:rPr>
        <w:t> </w:t>
      </w:r>
      <w:r>
        <w:rPr>
          <w:w w:val="105"/>
          <w:sz w:val="21"/>
        </w:rPr>
        <w:t>specifying</w:t>
      </w:r>
      <w:r>
        <w:rPr>
          <w:spacing w:val="-8"/>
          <w:w w:val="105"/>
          <w:sz w:val="21"/>
        </w:rPr>
        <w:t> </w:t>
      </w:r>
      <w:r>
        <w:rPr>
          <w:w w:val="105"/>
          <w:sz w:val="21"/>
        </w:rPr>
        <w:t>matters</w:t>
      </w:r>
      <w:r>
        <w:rPr>
          <w:spacing w:val="-7"/>
          <w:w w:val="105"/>
          <w:sz w:val="21"/>
        </w:rPr>
        <w:t> </w:t>
      </w:r>
      <w:r>
        <w:rPr>
          <w:w w:val="105"/>
          <w:sz w:val="21"/>
        </w:rPr>
        <w:t>agreed,</w:t>
      </w:r>
      <w:r>
        <w:rPr>
          <w:spacing w:val="-8"/>
          <w:w w:val="105"/>
          <w:sz w:val="21"/>
        </w:rPr>
        <w:t> </w:t>
      </w:r>
      <w:r>
        <w:rPr>
          <w:w w:val="105"/>
          <w:sz w:val="21"/>
        </w:rPr>
        <w:t>matters</w:t>
      </w:r>
      <w:r>
        <w:rPr>
          <w:spacing w:val="-7"/>
          <w:w w:val="105"/>
          <w:sz w:val="21"/>
        </w:rPr>
        <w:t> </w:t>
      </w:r>
      <w:r>
        <w:rPr>
          <w:spacing w:val="-2"/>
          <w:w w:val="105"/>
          <w:sz w:val="21"/>
        </w:rPr>
        <w:t>not</w:t>
      </w:r>
      <w:r>
        <w:rPr>
          <w:spacing w:val="-8"/>
          <w:w w:val="105"/>
          <w:sz w:val="21"/>
        </w:rPr>
        <w:t> </w:t>
      </w:r>
      <w:r>
        <w:rPr>
          <w:w w:val="105"/>
          <w:sz w:val="21"/>
        </w:rPr>
        <w:t>agreed,</w:t>
      </w:r>
      <w:r>
        <w:rPr>
          <w:spacing w:val="-7"/>
          <w:w w:val="105"/>
          <w:sz w:val="21"/>
        </w:rPr>
        <w:t> </w:t>
      </w:r>
      <w:r>
        <w:rPr>
          <w:w w:val="105"/>
          <w:sz w:val="21"/>
        </w:rPr>
        <w:t>and</w:t>
      </w:r>
      <w:r>
        <w:rPr>
          <w:spacing w:val="-8"/>
          <w:w w:val="105"/>
          <w:sz w:val="21"/>
        </w:rPr>
        <w:t> </w:t>
      </w:r>
      <w:r>
        <w:rPr>
          <w:w w:val="105"/>
          <w:sz w:val="21"/>
        </w:rPr>
        <w:t>the</w:t>
      </w:r>
      <w:r>
        <w:rPr>
          <w:spacing w:val="-7"/>
          <w:w w:val="105"/>
          <w:sz w:val="21"/>
        </w:rPr>
        <w:t> </w:t>
      </w:r>
      <w:r>
        <w:rPr>
          <w:spacing w:val="-3"/>
          <w:w w:val="105"/>
          <w:sz w:val="21"/>
        </w:rPr>
        <w:t>reasons</w:t>
      </w:r>
      <w:r>
        <w:rPr>
          <w:spacing w:val="-8"/>
          <w:w w:val="105"/>
          <w:sz w:val="21"/>
        </w:rPr>
        <w:t> </w:t>
      </w:r>
      <w:r>
        <w:rPr>
          <w:spacing w:val="-3"/>
          <w:w w:val="105"/>
          <w:sz w:val="21"/>
        </w:rPr>
        <w:t>for</w:t>
      </w:r>
      <w:r>
        <w:rPr>
          <w:spacing w:val="-7"/>
          <w:w w:val="105"/>
          <w:sz w:val="21"/>
        </w:rPr>
        <w:t> </w:t>
      </w:r>
      <w:r>
        <w:rPr>
          <w:w w:val="105"/>
          <w:sz w:val="21"/>
        </w:rPr>
        <w:t>the</w:t>
      </w:r>
    </w:p>
    <w:p>
      <w:pPr>
        <w:pStyle w:val="BodyText"/>
        <w:spacing w:line="242" w:lineRule="auto" w:before="2"/>
        <w:ind w:left="2381" w:right="1636"/>
        <w:rPr>
          <w:sz w:val="12"/>
        </w:rPr>
      </w:pPr>
      <w:r>
        <w:rPr>
          <w:spacing w:val="-4"/>
          <w:w w:val="105"/>
        </w:rPr>
        <w:t>disagreement.</w:t>
      </w:r>
      <w:r>
        <w:rPr>
          <w:spacing w:val="-4"/>
          <w:w w:val="105"/>
          <w:position w:val="7"/>
          <w:sz w:val="12"/>
        </w:rPr>
        <w:t>154 </w:t>
      </w:r>
      <w:r>
        <w:rPr>
          <w:w w:val="105"/>
        </w:rPr>
        <w:t>In </w:t>
      </w:r>
      <w:r>
        <w:rPr>
          <w:spacing w:val="-3"/>
          <w:w w:val="105"/>
        </w:rPr>
        <w:t>addition, </w:t>
      </w:r>
      <w:r>
        <w:rPr>
          <w:spacing w:val="-5"/>
          <w:w w:val="105"/>
        </w:rPr>
        <w:t>VCAT </w:t>
      </w:r>
      <w:r>
        <w:rPr>
          <w:w w:val="105"/>
        </w:rPr>
        <w:t>can </w:t>
      </w:r>
      <w:r>
        <w:rPr>
          <w:spacing w:val="-3"/>
          <w:w w:val="105"/>
        </w:rPr>
        <w:t>require </w:t>
      </w:r>
      <w:r>
        <w:rPr>
          <w:w w:val="105"/>
        </w:rPr>
        <w:t>experts </w:t>
      </w:r>
      <w:r>
        <w:rPr>
          <w:spacing w:val="-3"/>
          <w:w w:val="105"/>
        </w:rPr>
        <w:t>to </w:t>
      </w:r>
      <w:r>
        <w:rPr>
          <w:w w:val="105"/>
        </w:rPr>
        <w:t>provide evidence </w:t>
      </w:r>
      <w:r>
        <w:rPr>
          <w:spacing w:val="-4"/>
          <w:w w:val="105"/>
        </w:rPr>
        <w:t>concurrently, </w:t>
      </w:r>
      <w:r>
        <w:rPr>
          <w:spacing w:val="-3"/>
          <w:w w:val="105"/>
        </w:rPr>
        <w:t>generally </w:t>
      </w:r>
      <w:r>
        <w:rPr>
          <w:w w:val="105"/>
        </w:rPr>
        <w:t>doing so in a panel </w:t>
      </w:r>
      <w:r>
        <w:rPr>
          <w:spacing w:val="-5"/>
          <w:w w:val="105"/>
        </w:rPr>
        <w:t>format.</w:t>
      </w:r>
      <w:r>
        <w:rPr>
          <w:spacing w:val="-5"/>
          <w:w w:val="105"/>
          <w:position w:val="7"/>
          <w:sz w:val="12"/>
        </w:rPr>
        <w:t>155</w:t>
      </w:r>
    </w:p>
    <w:p>
      <w:pPr>
        <w:pStyle w:val="ListParagraph"/>
        <w:numPr>
          <w:ilvl w:val="1"/>
          <w:numId w:val="133"/>
        </w:numPr>
        <w:tabs>
          <w:tab w:pos="2381" w:val="left" w:leader="none"/>
          <w:tab w:pos="2382" w:val="left" w:leader="none"/>
        </w:tabs>
        <w:spacing w:line="242" w:lineRule="auto" w:before="122" w:after="0"/>
        <w:ind w:left="2381" w:right="1666" w:hanging="794"/>
        <w:jc w:val="left"/>
        <w:rPr>
          <w:sz w:val="12"/>
        </w:rPr>
      </w:pPr>
      <w:r>
        <w:rPr>
          <w:spacing w:val="-5"/>
          <w:w w:val="105"/>
          <w:sz w:val="21"/>
        </w:rPr>
        <w:t>VCAT</w:t>
      </w:r>
      <w:r>
        <w:rPr>
          <w:spacing w:val="-10"/>
          <w:w w:val="105"/>
          <w:sz w:val="21"/>
        </w:rPr>
        <w:t> </w:t>
      </w:r>
      <w:r>
        <w:rPr>
          <w:w w:val="105"/>
          <w:sz w:val="21"/>
        </w:rPr>
        <w:t>can</w:t>
      </w:r>
      <w:r>
        <w:rPr>
          <w:spacing w:val="-9"/>
          <w:w w:val="105"/>
          <w:sz w:val="21"/>
        </w:rPr>
        <w:t> </w:t>
      </w:r>
      <w:r>
        <w:rPr>
          <w:w w:val="105"/>
          <w:sz w:val="21"/>
        </w:rPr>
        <w:t>appoint</w:t>
      </w:r>
      <w:r>
        <w:rPr>
          <w:spacing w:val="-9"/>
          <w:w w:val="105"/>
          <w:sz w:val="21"/>
        </w:rPr>
        <w:t> </w:t>
      </w:r>
      <w:r>
        <w:rPr>
          <w:w w:val="105"/>
          <w:sz w:val="21"/>
        </w:rPr>
        <w:t>ordinary</w:t>
      </w:r>
      <w:r>
        <w:rPr>
          <w:spacing w:val="-9"/>
          <w:w w:val="105"/>
          <w:sz w:val="21"/>
        </w:rPr>
        <w:t> </w:t>
      </w:r>
      <w:r>
        <w:rPr>
          <w:w w:val="105"/>
          <w:sz w:val="21"/>
        </w:rPr>
        <w:t>members</w:t>
      </w:r>
      <w:r>
        <w:rPr>
          <w:spacing w:val="-9"/>
          <w:w w:val="105"/>
          <w:sz w:val="21"/>
        </w:rPr>
        <w:t> </w:t>
      </w:r>
      <w:r>
        <w:rPr>
          <w:w w:val="105"/>
          <w:sz w:val="21"/>
        </w:rPr>
        <w:t>with</w:t>
      </w:r>
      <w:r>
        <w:rPr>
          <w:spacing w:val="-9"/>
          <w:w w:val="105"/>
          <w:sz w:val="21"/>
        </w:rPr>
        <w:t> </w:t>
      </w:r>
      <w:r>
        <w:rPr>
          <w:w w:val="105"/>
          <w:sz w:val="21"/>
        </w:rPr>
        <w:t>specialised</w:t>
      </w:r>
      <w:r>
        <w:rPr>
          <w:spacing w:val="-9"/>
          <w:w w:val="105"/>
          <w:sz w:val="21"/>
        </w:rPr>
        <w:t> </w:t>
      </w:r>
      <w:r>
        <w:rPr>
          <w:w w:val="105"/>
          <w:sz w:val="21"/>
        </w:rPr>
        <w:t>knowledge</w:t>
      </w:r>
      <w:r>
        <w:rPr>
          <w:spacing w:val="-9"/>
          <w:w w:val="105"/>
          <w:sz w:val="21"/>
        </w:rPr>
        <w:t> </w:t>
      </w:r>
      <w:r>
        <w:rPr>
          <w:w w:val="105"/>
          <w:sz w:val="21"/>
        </w:rPr>
        <w:t>or</w:t>
      </w:r>
      <w:r>
        <w:rPr>
          <w:spacing w:val="-10"/>
          <w:w w:val="105"/>
          <w:sz w:val="21"/>
        </w:rPr>
        <w:t> </w:t>
      </w:r>
      <w:r>
        <w:rPr>
          <w:w w:val="105"/>
          <w:sz w:val="21"/>
        </w:rPr>
        <w:t>experience</w:t>
      </w:r>
      <w:r>
        <w:rPr>
          <w:spacing w:val="-9"/>
          <w:w w:val="105"/>
          <w:sz w:val="21"/>
        </w:rPr>
        <w:t> </w:t>
      </w:r>
      <w:r>
        <w:rPr>
          <w:spacing w:val="-3"/>
          <w:w w:val="105"/>
          <w:sz w:val="21"/>
        </w:rPr>
        <w:t>to</w:t>
      </w:r>
      <w:r>
        <w:rPr>
          <w:spacing w:val="-9"/>
          <w:w w:val="105"/>
          <w:sz w:val="21"/>
        </w:rPr>
        <w:t> </w:t>
      </w:r>
      <w:r>
        <w:rPr>
          <w:spacing w:val="-3"/>
          <w:w w:val="105"/>
          <w:sz w:val="21"/>
        </w:rPr>
        <w:t>enable </w:t>
      </w:r>
      <w:r>
        <w:rPr>
          <w:w w:val="105"/>
          <w:sz w:val="21"/>
        </w:rPr>
        <w:t>the proper functioning of the</w:t>
      </w:r>
      <w:r>
        <w:rPr>
          <w:spacing w:val="24"/>
          <w:w w:val="105"/>
          <w:sz w:val="21"/>
        </w:rPr>
        <w:t> </w:t>
      </w:r>
      <w:r>
        <w:rPr>
          <w:spacing w:val="-6"/>
          <w:w w:val="105"/>
          <w:sz w:val="21"/>
        </w:rPr>
        <w:t>Tribunal.</w:t>
      </w:r>
      <w:r>
        <w:rPr>
          <w:spacing w:val="-6"/>
          <w:w w:val="105"/>
          <w:position w:val="7"/>
          <w:sz w:val="12"/>
        </w:rPr>
        <w:t>156</w:t>
      </w:r>
    </w:p>
    <w:p>
      <w:pPr>
        <w:pStyle w:val="Heading7"/>
        <w:spacing w:before="153"/>
      </w:pPr>
      <w:r>
        <w:rPr>
          <w:w w:val="115"/>
        </w:rPr>
        <w:t>Expert reports—VCAT</w:t>
      </w:r>
    </w:p>
    <w:p>
      <w:pPr>
        <w:pStyle w:val="ListParagraph"/>
        <w:numPr>
          <w:ilvl w:val="1"/>
          <w:numId w:val="133"/>
        </w:numPr>
        <w:tabs>
          <w:tab w:pos="2381" w:val="left" w:leader="none"/>
          <w:tab w:pos="2382" w:val="left" w:leader="none"/>
        </w:tabs>
        <w:spacing w:line="242" w:lineRule="auto" w:before="142" w:after="0"/>
        <w:ind w:left="2381" w:right="1804" w:hanging="794"/>
        <w:jc w:val="left"/>
        <w:rPr>
          <w:sz w:val="21"/>
        </w:rPr>
      </w:pPr>
      <w:r>
        <w:rPr>
          <w:spacing w:val="-5"/>
          <w:w w:val="105"/>
          <w:sz w:val="21"/>
        </w:rPr>
        <w:t>VCAT </w:t>
      </w:r>
      <w:r>
        <w:rPr>
          <w:w w:val="105"/>
          <w:sz w:val="21"/>
        </w:rPr>
        <w:t>provides the </w:t>
      </w:r>
      <w:r>
        <w:rPr>
          <w:spacing w:val="-3"/>
          <w:w w:val="105"/>
          <w:sz w:val="21"/>
        </w:rPr>
        <w:t>following guidance </w:t>
      </w:r>
      <w:r>
        <w:rPr>
          <w:w w:val="105"/>
          <w:sz w:val="21"/>
        </w:rPr>
        <w:t>about what </w:t>
      </w:r>
      <w:r>
        <w:rPr>
          <w:spacing w:val="-3"/>
          <w:w w:val="105"/>
          <w:sz w:val="21"/>
        </w:rPr>
        <w:t>to include </w:t>
      </w:r>
      <w:r>
        <w:rPr>
          <w:w w:val="105"/>
          <w:sz w:val="21"/>
        </w:rPr>
        <w:t>in an expert report, under </w:t>
      </w:r>
      <w:r>
        <w:rPr>
          <w:spacing w:val="-3"/>
          <w:w w:val="105"/>
          <w:sz w:val="21"/>
        </w:rPr>
        <w:t>clause </w:t>
      </w:r>
      <w:r>
        <w:rPr>
          <w:spacing w:val="-12"/>
          <w:w w:val="105"/>
          <w:sz w:val="21"/>
        </w:rPr>
        <w:t>11 </w:t>
      </w:r>
      <w:r>
        <w:rPr>
          <w:w w:val="105"/>
          <w:sz w:val="21"/>
        </w:rPr>
        <w:t>of its Practice Note – </w:t>
      </w:r>
      <w:r>
        <w:rPr>
          <w:spacing w:val="-3"/>
          <w:w w:val="105"/>
          <w:sz w:val="21"/>
        </w:rPr>
        <w:t>PNVCAT2 </w:t>
      </w:r>
      <w:r>
        <w:rPr>
          <w:w w:val="105"/>
          <w:sz w:val="21"/>
        </w:rPr>
        <w:t>– Expert Evidence </w:t>
      </w:r>
      <w:r>
        <w:rPr>
          <w:spacing w:val="-5"/>
          <w:w w:val="105"/>
          <w:sz w:val="21"/>
        </w:rPr>
        <w:t>(1 </w:t>
      </w:r>
      <w:r>
        <w:rPr>
          <w:w w:val="105"/>
          <w:sz w:val="21"/>
        </w:rPr>
        <w:t>October</w:t>
      </w:r>
      <w:r>
        <w:rPr>
          <w:spacing w:val="14"/>
          <w:w w:val="105"/>
          <w:sz w:val="21"/>
        </w:rPr>
        <w:t> </w:t>
      </w:r>
      <w:r>
        <w:rPr>
          <w:spacing w:val="-4"/>
          <w:w w:val="105"/>
          <w:sz w:val="21"/>
        </w:rPr>
        <w:t>2014):</w:t>
      </w:r>
    </w:p>
    <w:p>
      <w:pPr>
        <w:pStyle w:val="ListParagraph"/>
        <w:numPr>
          <w:ilvl w:val="2"/>
          <w:numId w:val="133"/>
        </w:numPr>
        <w:tabs>
          <w:tab w:pos="2721" w:val="left" w:leader="none"/>
          <w:tab w:pos="2722" w:val="left" w:leader="none"/>
        </w:tabs>
        <w:spacing w:line="240" w:lineRule="auto" w:before="123" w:after="0"/>
        <w:ind w:left="2721" w:right="0" w:hanging="340"/>
        <w:jc w:val="left"/>
        <w:rPr>
          <w:sz w:val="21"/>
        </w:rPr>
      </w:pPr>
      <w:r>
        <w:rPr>
          <w:w w:val="105"/>
          <w:sz w:val="21"/>
        </w:rPr>
        <w:t>the </w:t>
      </w:r>
      <w:r>
        <w:rPr>
          <w:spacing w:val="-3"/>
          <w:w w:val="105"/>
          <w:sz w:val="21"/>
        </w:rPr>
        <w:t>full </w:t>
      </w:r>
      <w:r>
        <w:rPr>
          <w:w w:val="105"/>
          <w:sz w:val="21"/>
        </w:rPr>
        <w:t>name and address of the expert</w:t>
      </w:r>
      <w:r>
        <w:rPr>
          <w:spacing w:val="38"/>
          <w:w w:val="105"/>
          <w:sz w:val="21"/>
        </w:rPr>
        <w:t> </w:t>
      </w:r>
      <w:r>
        <w:rPr>
          <w:w w:val="105"/>
          <w:sz w:val="21"/>
        </w:rPr>
        <w:t>witness</w:t>
      </w:r>
    </w:p>
    <w:p>
      <w:pPr>
        <w:pStyle w:val="ListParagraph"/>
        <w:numPr>
          <w:ilvl w:val="2"/>
          <w:numId w:val="133"/>
        </w:numPr>
        <w:tabs>
          <w:tab w:pos="2721" w:val="left" w:leader="none"/>
          <w:tab w:pos="2722" w:val="left" w:leader="none"/>
        </w:tabs>
        <w:spacing w:line="240" w:lineRule="auto" w:before="88" w:after="0"/>
        <w:ind w:left="2721" w:right="0" w:hanging="340"/>
        <w:jc w:val="left"/>
        <w:rPr>
          <w:sz w:val="21"/>
        </w:rPr>
      </w:pPr>
      <w:r>
        <w:rPr>
          <w:spacing w:val="-3"/>
          <w:w w:val="105"/>
          <w:sz w:val="21"/>
        </w:rPr>
        <w:t>qualifications, </w:t>
      </w:r>
      <w:r>
        <w:rPr>
          <w:w w:val="105"/>
          <w:sz w:val="21"/>
        </w:rPr>
        <w:t>experience and </w:t>
      </w:r>
      <w:r>
        <w:rPr>
          <w:spacing w:val="-3"/>
          <w:w w:val="105"/>
          <w:sz w:val="21"/>
        </w:rPr>
        <w:t>area </w:t>
      </w:r>
      <w:r>
        <w:rPr>
          <w:w w:val="105"/>
          <w:sz w:val="21"/>
        </w:rPr>
        <w:t>of</w:t>
      </w:r>
      <w:r>
        <w:rPr>
          <w:spacing w:val="28"/>
          <w:w w:val="105"/>
          <w:sz w:val="21"/>
        </w:rPr>
        <w:t> </w:t>
      </w:r>
      <w:r>
        <w:rPr>
          <w:w w:val="105"/>
          <w:sz w:val="21"/>
        </w:rPr>
        <w:t>expertise</w:t>
      </w:r>
    </w:p>
    <w:p>
      <w:pPr>
        <w:pStyle w:val="ListParagraph"/>
        <w:numPr>
          <w:ilvl w:val="2"/>
          <w:numId w:val="133"/>
        </w:numPr>
        <w:tabs>
          <w:tab w:pos="2721" w:val="left" w:leader="none"/>
          <w:tab w:pos="2722" w:val="left" w:leader="none"/>
        </w:tabs>
        <w:spacing w:line="240" w:lineRule="auto" w:before="89" w:after="0"/>
        <w:ind w:left="2721" w:right="0" w:hanging="340"/>
        <w:jc w:val="left"/>
        <w:rPr>
          <w:sz w:val="21"/>
        </w:rPr>
      </w:pPr>
      <w:r>
        <w:rPr>
          <w:sz w:val="21"/>
        </w:rPr>
        <w:t>a statement of expertise </w:t>
      </w:r>
      <w:r>
        <w:rPr>
          <w:spacing w:val="-3"/>
          <w:sz w:val="21"/>
        </w:rPr>
        <w:t>to  </w:t>
      </w:r>
      <w:r>
        <w:rPr>
          <w:spacing w:val="-4"/>
          <w:sz w:val="21"/>
        </w:rPr>
        <w:t>make  </w:t>
      </w:r>
      <w:r>
        <w:rPr>
          <w:sz w:val="21"/>
        </w:rPr>
        <w:t>the</w:t>
      </w:r>
      <w:r>
        <w:rPr>
          <w:spacing w:val="22"/>
          <w:sz w:val="21"/>
        </w:rPr>
        <w:t> </w:t>
      </w:r>
      <w:r>
        <w:rPr>
          <w:sz w:val="21"/>
        </w:rPr>
        <w:t>report</w:t>
      </w:r>
    </w:p>
    <w:p>
      <w:pPr>
        <w:pStyle w:val="ListParagraph"/>
        <w:numPr>
          <w:ilvl w:val="2"/>
          <w:numId w:val="133"/>
        </w:numPr>
        <w:tabs>
          <w:tab w:pos="2721" w:val="left" w:leader="none"/>
          <w:tab w:pos="2722" w:val="left" w:leader="none"/>
        </w:tabs>
        <w:spacing w:line="242" w:lineRule="auto" w:before="89" w:after="0"/>
        <w:ind w:left="2721" w:right="1759" w:hanging="340"/>
        <w:jc w:val="left"/>
        <w:rPr>
          <w:sz w:val="21"/>
        </w:rPr>
      </w:pPr>
      <w:r>
        <w:rPr>
          <w:spacing w:val="-3"/>
          <w:sz w:val="21"/>
        </w:rPr>
        <w:t>reference to any private </w:t>
      </w:r>
      <w:r>
        <w:rPr>
          <w:sz w:val="21"/>
        </w:rPr>
        <w:t>or business </w:t>
      </w:r>
      <w:r>
        <w:rPr>
          <w:spacing w:val="-3"/>
          <w:sz w:val="21"/>
        </w:rPr>
        <w:t>relationship </w:t>
      </w:r>
      <w:r>
        <w:rPr>
          <w:sz w:val="21"/>
        </w:rPr>
        <w:t>between the expert witness and the party </w:t>
      </w:r>
      <w:r>
        <w:rPr>
          <w:spacing w:val="-3"/>
          <w:sz w:val="21"/>
        </w:rPr>
        <w:t>for </w:t>
      </w:r>
      <w:r>
        <w:rPr>
          <w:sz w:val="21"/>
        </w:rPr>
        <w:t>whom the report is</w:t>
      </w:r>
      <w:r>
        <w:rPr>
          <w:spacing w:val="8"/>
          <w:sz w:val="21"/>
        </w:rPr>
        <w:t> </w:t>
      </w:r>
      <w:r>
        <w:rPr>
          <w:spacing w:val="-3"/>
          <w:sz w:val="21"/>
        </w:rPr>
        <w:t>prepared</w:t>
      </w:r>
    </w:p>
    <w:p>
      <w:pPr>
        <w:pStyle w:val="ListParagraph"/>
        <w:numPr>
          <w:ilvl w:val="2"/>
          <w:numId w:val="133"/>
        </w:numPr>
        <w:tabs>
          <w:tab w:pos="2721" w:val="left" w:leader="none"/>
          <w:tab w:pos="2722" w:val="left" w:leader="none"/>
        </w:tabs>
        <w:spacing w:line="242" w:lineRule="auto" w:before="87" w:after="0"/>
        <w:ind w:left="2721" w:right="1894" w:hanging="340"/>
        <w:jc w:val="left"/>
        <w:rPr>
          <w:sz w:val="21"/>
        </w:rPr>
      </w:pPr>
      <w:r>
        <w:rPr>
          <w:spacing w:val="-3"/>
          <w:sz w:val="21"/>
        </w:rPr>
        <w:t>all </w:t>
      </w:r>
      <w:r>
        <w:rPr>
          <w:sz w:val="21"/>
        </w:rPr>
        <w:t>instructions </w:t>
      </w:r>
      <w:r>
        <w:rPr>
          <w:spacing w:val="-3"/>
          <w:sz w:val="21"/>
        </w:rPr>
        <w:t>that </w:t>
      </w:r>
      <w:r>
        <w:rPr>
          <w:sz w:val="21"/>
        </w:rPr>
        <w:t>define the scope of the report </w:t>
      </w:r>
      <w:r>
        <w:rPr>
          <w:spacing w:val="-3"/>
          <w:sz w:val="21"/>
        </w:rPr>
        <w:t>(original </w:t>
      </w:r>
      <w:r>
        <w:rPr>
          <w:sz w:val="21"/>
        </w:rPr>
        <w:t>and supplementary and whether in writing or</w:t>
      </w:r>
      <w:r>
        <w:rPr>
          <w:spacing w:val="32"/>
          <w:sz w:val="21"/>
        </w:rPr>
        <w:t> </w:t>
      </w:r>
      <w:r>
        <w:rPr>
          <w:sz w:val="21"/>
        </w:rPr>
        <w:t>oral)</w:t>
      </w:r>
    </w:p>
    <w:p>
      <w:pPr>
        <w:pStyle w:val="ListParagraph"/>
        <w:numPr>
          <w:ilvl w:val="2"/>
          <w:numId w:val="133"/>
        </w:numPr>
        <w:tabs>
          <w:tab w:pos="2721" w:val="left" w:leader="none"/>
          <w:tab w:pos="2722" w:val="left" w:leader="none"/>
        </w:tabs>
        <w:spacing w:line="240" w:lineRule="auto" w:before="87" w:after="0"/>
        <w:ind w:left="2721" w:right="0" w:hanging="340"/>
        <w:jc w:val="left"/>
        <w:rPr>
          <w:sz w:val="21"/>
        </w:rPr>
      </w:pPr>
      <w:r>
        <w:rPr>
          <w:w w:val="105"/>
          <w:sz w:val="21"/>
        </w:rPr>
        <w:t>the facts, matters and </w:t>
      </w:r>
      <w:r>
        <w:rPr>
          <w:spacing w:val="-3"/>
          <w:w w:val="105"/>
          <w:sz w:val="21"/>
        </w:rPr>
        <w:t>all assumptions </w:t>
      </w:r>
      <w:r>
        <w:rPr>
          <w:w w:val="105"/>
          <w:sz w:val="21"/>
        </w:rPr>
        <w:t>upon which the report</w:t>
      </w:r>
      <w:r>
        <w:rPr>
          <w:spacing w:val="37"/>
          <w:w w:val="105"/>
          <w:sz w:val="21"/>
        </w:rPr>
        <w:t> </w:t>
      </w:r>
      <w:r>
        <w:rPr>
          <w:w w:val="105"/>
          <w:sz w:val="21"/>
        </w:rPr>
        <w:t>proceeds</w:t>
      </w:r>
    </w:p>
    <w:p>
      <w:pPr>
        <w:pStyle w:val="ListParagraph"/>
        <w:numPr>
          <w:ilvl w:val="2"/>
          <w:numId w:val="133"/>
        </w:numPr>
        <w:tabs>
          <w:tab w:pos="2721" w:val="left" w:leader="none"/>
          <w:tab w:pos="2722" w:val="left" w:leader="none"/>
        </w:tabs>
        <w:spacing w:line="242" w:lineRule="auto" w:before="89" w:after="0"/>
        <w:ind w:left="2721" w:right="1688" w:hanging="340"/>
        <w:jc w:val="left"/>
        <w:rPr>
          <w:sz w:val="21"/>
        </w:rPr>
      </w:pPr>
      <w:r>
        <w:rPr>
          <w:spacing w:val="-3"/>
          <w:sz w:val="21"/>
        </w:rPr>
        <w:t>reference to </w:t>
      </w:r>
      <w:r>
        <w:rPr>
          <w:sz w:val="21"/>
        </w:rPr>
        <w:t>those documents and other </w:t>
      </w:r>
      <w:r>
        <w:rPr>
          <w:spacing w:val="-3"/>
          <w:sz w:val="21"/>
        </w:rPr>
        <w:t>materials </w:t>
      </w:r>
      <w:r>
        <w:rPr>
          <w:sz w:val="21"/>
        </w:rPr>
        <w:t>the expert </w:t>
      </w:r>
      <w:r>
        <w:rPr>
          <w:spacing w:val="-2"/>
          <w:sz w:val="21"/>
        </w:rPr>
        <w:t>has </w:t>
      </w:r>
      <w:r>
        <w:rPr>
          <w:sz w:val="21"/>
        </w:rPr>
        <w:t>been instructed </w:t>
      </w:r>
      <w:r>
        <w:rPr>
          <w:spacing w:val="-3"/>
          <w:sz w:val="21"/>
        </w:rPr>
        <w:t>to consider </w:t>
      </w:r>
      <w:r>
        <w:rPr>
          <w:sz w:val="21"/>
        </w:rPr>
        <w:t>or </w:t>
      </w:r>
      <w:r>
        <w:rPr>
          <w:spacing w:val="-3"/>
          <w:sz w:val="21"/>
        </w:rPr>
        <w:t>take </w:t>
      </w:r>
      <w:r>
        <w:rPr>
          <w:spacing w:val="-4"/>
          <w:sz w:val="21"/>
        </w:rPr>
        <w:t>into </w:t>
      </w:r>
      <w:r>
        <w:rPr>
          <w:spacing w:val="-3"/>
          <w:sz w:val="21"/>
        </w:rPr>
        <w:t>account </w:t>
      </w:r>
      <w:r>
        <w:rPr>
          <w:sz w:val="21"/>
        </w:rPr>
        <w:t>in </w:t>
      </w:r>
      <w:r>
        <w:rPr>
          <w:spacing w:val="-3"/>
          <w:sz w:val="21"/>
        </w:rPr>
        <w:t>preparing </w:t>
      </w:r>
      <w:r>
        <w:rPr>
          <w:sz w:val="21"/>
        </w:rPr>
        <w:t>his or her report and the </w:t>
      </w:r>
      <w:r>
        <w:rPr>
          <w:spacing w:val="-4"/>
          <w:sz w:val="21"/>
        </w:rPr>
        <w:t>literature </w:t>
      </w:r>
      <w:r>
        <w:rPr>
          <w:sz w:val="21"/>
        </w:rPr>
        <w:t>or other </w:t>
      </w:r>
      <w:r>
        <w:rPr>
          <w:spacing w:val="-3"/>
          <w:sz w:val="21"/>
        </w:rPr>
        <w:t>material </w:t>
      </w:r>
      <w:r>
        <w:rPr>
          <w:sz w:val="21"/>
        </w:rPr>
        <w:t>used in </w:t>
      </w:r>
      <w:r>
        <w:rPr>
          <w:spacing w:val="-3"/>
          <w:sz w:val="21"/>
        </w:rPr>
        <w:t>making </w:t>
      </w:r>
      <w:r>
        <w:rPr>
          <w:sz w:val="21"/>
        </w:rPr>
        <w:t>the</w:t>
      </w:r>
      <w:r>
        <w:rPr>
          <w:spacing w:val="2"/>
          <w:sz w:val="21"/>
        </w:rPr>
        <w:t> </w:t>
      </w:r>
      <w:r>
        <w:rPr>
          <w:sz w:val="21"/>
        </w:rPr>
        <w:t>report</w:t>
      </w:r>
    </w:p>
    <w:p>
      <w:pPr>
        <w:pStyle w:val="ListParagraph"/>
        <w:numPr>
          <w:ilvl w:val="2"/>
          <w:numId w:val="133"/>
        </w:numPr>
        <w:tabs>
          <w:tab w:pos="2721" w:val="left" w:leader="none"/>
          <w:tab w:pos="2722" w:val="left" w:leader="none"/>
        </w:tabs>
        <w:spacing w:line="242" w:lineRule="auto" w:before="88" w:after="0"/>
        <w:ind w:left="2721" w:right="1668" w:hanging="340"/>
        <w:jc w:val="left"/>
        <w:rPr>
          <w:sz w:val="21"/>
        </w:rPr>
      </w:pPr>
      <w:r>
        <w:rPr>
          <w:w w:val="105"/>
          <w:sz w:val="21"/>
        </w:rPr>
        <w:t>the</w:t>
      </w:r>
      <w:r>
        <w:rPr>
          <w:spacing w:val="-10"/>
          <w:w w:val="105"/>
          <w:sz w:val="21"/>
        </w:rPr>
        <w:t> </w:t>
      </w:r>
      <w:r>
        <w:rPr>
          <w:w w:val="105"/>
          <w:sz w:val="21"/>
        </w:rPr>
        <w:t>identity</w:t>
      </w:r>
      <w:r>
        <w:rPr>
          <w:spacing w:val="-10"/>
          <w:w w:val="105"/>
          <w:sz w:val="21"/>
        </w:rPr>
        <w:t> </w:t>
      </w:r>
      <w:r>
        <w:rPr>
          <w:w w:val="105"/>
          <w:sz w:val="21"/>
        </w:rPr>
        <w:t>and</w:t>
      </w:r>
      <w:r>
        <w:rPr>
          <w:spacing w:val="-10"/>
          <w:w w:val="105"/>
          <w:sz w:val="21"/>
        </w:rPr>
        <w:t> </w:t>
      </w:r>
      <w:r>
        <w:rPr>
          <w:spacing w:val="-3"/>
          <w:w w:val="105"/>
          <w:sz w:val="21"/>
        </w:rPr>
        <w:t>qualifications</w:t>
      </w:r>
      <w:r>
        <w:rPr>
          <w:spacing w:val="-10"/>
          <w:w w:val="105"/>
          <w:sz w:val="21"/>
        </w:rPr>
        <w:t> </w:t>
      </w:r>
      <w:r>
        <w:rPr>
          <w:w w:val="105"/>
          <w:sz w:val="21"/>
        </w:rPr>
        <w:t>of</w:t>
      </w:r>
      <w:r>
        <w:rPr>
          <w:spacing w:val="-10"/>
          <w:w w:val="105"/>
          <w:sz w:val="21"/>
        </w:rPr>
        <w:t> </w:t>
      </w:r>
      <w:r>
        <w:rPr>
          <w:w w:val="105"/>
          <w:sz w:val="21"/>
        </w:rPr>
        <w:t>the</w:t>
      </w:r>
      <w:r>
        <w:rPr>
          <w:spacing w:val="-9"/>
          <w:w w:val="105"/>
          <w:sz w:val="21"/>
        </w:rPr>
        <w:t> </w:t>
      </w:r>
      <w:r>
        <w:rPr>
          <w:w w:val="105"/>
          <w:sz w:val="21"/>
        </w:rPr>
        <w:t>person</w:t>
      </w:r>
      <w:r>
        <w:rPr>
          <w:spacing w:val="-10"/>
          <w:w w:val="105"/>
          <w:sz w:val="21"/>
        </w:rPr>
        <w:t> </w:t>
      </w:r>
      <w:r>
        <w:rPr>
          <w:w w:val="105"/>
          <w:sz w:val="21"/>
        </w:rPr>
        <w:t>who</w:t>
      </w:r>
      <w:r>
        <w:rPr>
          <w:spacing w:val="-10"/>
          <w:w w:val="105"/>
          <w:sz w:val="21"/>
        </w:rPr>
        <w:t> </w:t>
      </w:r>
      <w:r>
        <w:rPr>
          <w:w w:val="105"/>
          <w:sz w:val="21"/>
        </w:rPr>
        <w:t>carried</w:t>
      </w:r>
      <w:r>
        <w:rPr>
          <w:spacing w:val="-10"/>
          <w:w w:val="105"/>
          <w:sz w:val="21"/>
        </w:rPr>
        <w:t> </w:t>
      </w:r>
      <w:r>
        <w:rPr>
          <w:w w:val="105"/>
          <w:sz w:val="21"/>
        </w:rPr>
        <w:t>out</w:t>
      </w:r>
      <w:r>
        <w:rPr>
          <w:spacing w:val="-10"/>
          <w:w w:val="105"/>
          <w:sz w:val="21"/>
        </w:rPr>
        <w:t> </w:t>
      </w:r>
      <w:r>
        <w:rPr>
          <w:spacing w:val="-3"/>
          <w:w w:val="105"/>
          <w:sz w:val="21"/>
        </w:rPr>
        <w:t>any</w:t>
      </w:r>
      <w:r>
        <w:rPr>
          <w:spacing w:val="-10"/>
          <w:w w:val="105"/>
          <w:sz w:val="21"/>
        </w:rPr>
        <w:t> </w:t>
      </w:r>
      <w:r>
        <w:rPr>
          <w:w w:val="105"/>
          <w:sz w:val="21"/>
        </w:rPr>
        <w:t>tests</w:t>
      </w:r>
      <w:r>
        <w:rPr>
          <w:spacing w:val="-10"/>
          <w:w w:val="105"/>
          <w:sz w:val="21"/>
        </w:rPr>
        <w:t> </w:t>
      </w:r>
      <w:r>
        <w:rPr>
          <w:w w:val="105"/>
          <w:sz w:val="21"/>
        </w:rPr>
        <w:t>or</w:t>
      </w:r>
      <w:r>
        <w:rPr>
          <w:spacing w:val="-9"/>
          <w:w w:val="105"/>
          <w:sz w:val="21"/>
        </w:rPr>
        <w:t> </w:t>
      </w:r>
      <w:r>
        <w:rPr>
          <w:w w:val="105"/>
          <w:sz w:val="21"/>
        </w:rPr>
        <w:t>experiments upon which the expert </w:t>
      </w:r>
      <w:r>
        <w:rPr>
          <w:spacing w:val="-3"/>
          <w:w w:val="105"/>
          <w:sz w:val="21"/>
        </w:rPr>
        <w:t>relied </w:t>
      </w:r>
      <w:r>
        <w:rPr>
          <w:w w:val="105"/>
          <w:sz w:val="21"/>
        </w:rPr>
        <w:t>in </w:t>
      </w:r>
      <w:r>
        <w:rPr>
          <w:spacing w:val="-3"/>
          <w:w w:val="105"/>
          <w:sz w:val="21"/>
        </w:rPr>
        <w:t>making </w:t>
      </w:r>
      <w:r>
        <w:rPr>
          <w:w w:val="105"/>
          <w:sz w:val="21"/>
        </w:rPr>
        <w:t>the</w:t>
      </w:r>
      <w:r>
        <w:rPr>
          <w:spacing w:val="40"/>
          <w:w w:val="105"/>
          <w:sz w:val="21"/>
        </w:rPr>
        <w:t> </w:t>
      </w:r>
      <w:r>
        <w:rPr>
          <w:w w:val="105"/>
          <w:sz w:val="21"/>
        </w:rPr>
        <w:t>report</w:t>
      </w:r>
    </w:p>
    <w:p>
      <w:pPr>
        <w:pStyle w:val="ListParagraph"/>
        <w:numPr>
          <w:ilvl w:val="2"/>
          <w:numId w:val="133"/>
        </w:numPr>
        <w:tabs>
          <w:tab w:pos="2721" w:val="left" w:leader="none"/>
          <w:tab w:pos="2722" w:val="left" w:leader="none"/>
        </w:tabs>
        <w:spacing w:line="240" w:lineRule="auto" w:before="87" w:after="0"/>
        <w:ind w:left="2721" w:right="0" w:hanging="340"/>
        <w:jc w:val="left"/>
        <w:rPr>
          <w:sz w:val="21"/>
        </w:rPr>
      </w:pPr>
      <w:r>
        <w:rPr>
          <w:w w:val="105"/>
          <w:sz w:val="21"/>
        </w:rPr>
        <w:t>a statement</w:t>
      </w:r>
      <w:r>
        <w:rPr>
          <w:spacing w:val="10"/>
          <w:w w:val="105"/>
          <w:sz w:val="21"/>
        </w:rPr>
        <w:t> </w:t>
      </w:r>
      <w:r>
        <w:rPr>
          <w:spacing w:val="-3"/>
          <w:w w:val="105"/>
          <w:sz w:val="21"/>
        </w:rPr>
        <w:t>including:</w:t>
      </w:r>
    </w:p>
    <w:p>
      <w:pPr>
        <w:pStyle w:val="ListParagraph"/>
        <w:numPr>
          <w:ilvl w:val="3"/>
          <w:numId w:val="133"/>
        </w:numPr>
        <w:tabs>
          <w:tab w:pos="3061" w:val="left" w:leader="none"/>
          <w:tab w:pos="3062" w:val="left" w:leader="none"/>
        </w:tabs>
        <w:spacing w:line="240" w:lineRule="auto" w:before="89" w:after="0"/>
        <w:ind w:left="3061" w:right="0" w:hanging="340"/>
        <w:jc w:val="left"/>
        <w:rPr>
          <w:sz w:val="21"/>
        </w:rPr>
      </w:pPr>
      <w:r>
        <w:rPr>
          <w:w w:val="105"/>
          <w:sz w:val="21"/>
        </w:rPr>
        <w:t>a summary of the</w:t>
      </w:r>
      <w:r>
        <w:rPr>
          <w:spacing w:val="20"/>
          <w:w w:val="105"/>
          <w:sz w:val="21"/>
        </w:rPr>
        <w:t> </w:t>
      </w:r>
      <w:r>
        <w:rPr>
          <w:w w:val="105"/>
          <w:sz w:val="21"/>
        </w:rPr>
        <w:t>opinion</w:t>
      </w:r>
    </w:p>
    <w:p>
      <w:pPr>
        <w:pStyle w:val="ListParagraph"/>
        <w:numPr>
          <w:ilvl w:val="3"/>
          <w:numId w:val="133"/>
        </w:numPr>
        <w:tabs>
          <w:tab w:pos="3061" w:val="left" w:leader="none"/>
          <w:tab w:pos="3062" w:val="left" w:leader="none"/>
        </w:tabs>
        <w:spacing w:line="242" w:lineRule="auto" w:before="89" w:after="0"/>
        <w:ind w:left="3061" w:right="1629" w:hanging="340"/>
        <w:jc w:val="left"/>
        <w:rPr>
          <w:sz w:val="21"/>
        </w:rPr>
      </w:pPr>
      <w:r>
        <w:rPr>
          <w:sz w:val="21"/>
        </w:rPr>
        <w:t>whether there </w:t>
      </w:r>
      <w:r>
        <w:rPr>
          <w:spacing w:val="-3"/>
          <w:sz w:val="21"/>
        </w:rPr>
        <w:t>are provisional opinions that are </w:t>
      </w:r>
      <w:r>
        <w:rPr>
          <w:spacing w:val="-2"/>
          <w:sz w:val="21"/>
        </w:rPr>
        <w:t>not </w:t>
      </w:r>
      <w:r>
        <w:rPr>
          <w:spacing w:val="-3"/>
          <w:sz w:val="21"/>
        </w:rPr>
        <w:t>fully researched for any </w:t>
      </w:r>
      <w:r>
        <w:rPr>
          <w:sz w:val="21"/>
        </w:rPr>
        <w:t>reason </w:t>
      </w:r>
      <w:r>
        <w:rPr>
          <w:spacing w:val="-3"/>
          <w:sz w:val="21"/>
        </w:rPr>
        <w:t>(including </w:t>
      </w:r>
      <w:r>
        <w:rPr>
          <w:sz w:val="21"/>
        </w:rPr>
        <w:t>the</w:t>
      </w:r>
      <w:r>
        <w:rPr>
          <w:spacing w:val="19"/>
          <w:sz w:val="21"/>
        </w:rPr>
        <w:t> </w:t>
      </w:r>
      <w:r>
        <w:rPr>
          <w:sz w:val="21"/>
        </w:rPr>
        <w:t>reasons)</w:t>
      </w:r>
    </w:p>
    <w:p>
      <w:pPr>
        <w:pStyle w:val="ListParagraph"/>
        <w:numPr>
          <w:ilvl w:val="3"/>
          <w:numId w:val="133"/>
        </w:numPr>
        <w:tabs>
          <w:tab w:pos="3061" w:val="left" w:leader="none"/>
          <w:tab w:pos="3062" w:val="left" w:leader="none"/>
        </w:tabs>
        <w:spacing w:line="240" w:lineRule="auto" w:before="87" w:after="0"/>
        <w:ind w:left="3061" w:right="0" w:hanging="340"/>
        <w:jc w:val="left"/>
        <w:rPr>
          <w:sz w:val="21"/>
        </w:rPr>
      </w:pPr>
      <w:r>
        <w:rPr>
          <w:spacing w:val="-3"/>
          <w:sz w:val="21"/>
        </w:rPr>
        <w:t>any </w:t>
      </w:r>
      <w:r>
        <w:rPr>
          <w:sz w:val="21"/>
        </w:rPr>
        <w:t>questions </w:t>
      </w:r>
      <w:r>
        <w:rPr>
          <w:spacing w:val="-4"/>
          <w:sz w:val="21"/>
        </w:rPr>
        <w:t>falling </w:t>
      </w:r>
      <w:r>
        <w:rPr>
          <w:sz w:val="21"/>
        </w:rPr>
        <w:t>outside the expert’s</w:t>
      </w:r>
      <w:r>
        <w:rPr>
          <w:spacing w:val="12"/>
          <w:sz w:val="21"/>
        </w:rPr>
        <w:t> </w:t>
      </w:r>
      <w:r>
        <w:rPr>
          <w:sz w:val="21"/>
        </w:rPr>
        <w:t>expertise</w:t>
      </w:r>
    </w:p>
    <w:p>
      <w:pPr>
        <w:pStyle w:val="ListParagraph"/>
        <w:numPr>
          <w:ilvl w:val="3"/>
          <w:numId w:val="133"/>
        </w:numPr>
        <w:tabs>
          <w:tab w:pos="3061" w:val="left" w:leader="none"/>
          <w:tab w:pos="3062" w:val="left" w:leader="none"/>
        </w:tabs>
        <w:spacing w:line="240" w:lineRule="auto" w:before="88" w:after="0"/>
        <w:ind w:left="3061" w:right="0" w:hanging="340"/>
        <w:jc w:val="left"/>
        <w:rPr>
          <w:sz w:val="21"/>
        </w:rPr>
      </w:pPr>
      <w:r>
        <w:rPr>
          <w:sz w:val="21"/>
        </w:rPr>
        <w:t>whether the report is </w:t>
      </w:r>
      <w:r>
        <w:rPr>
          <w:spacing w:val="-3"/>
          <w:sz w:val="21"/>
        </w:rPr>
        <w:t>incomplete </w:t>
      </w:r>
      <w:r>
        <w:rPr>
          <w:sz w:val="21"/>
        </w:rPr>
        <w:t>or </w:t>
      </w:r>
      <w:r>
        <w:rPr>
          <w:spacing w:val="-4"/>
          <w:sz w:val="21"/>
        </w:rPr>
        <w:t>inaccurate </w:t>
      </w:r>
      <w:r>
        <w:rPr>
          <w:sz w:val="21"/>
        </w:rPr>
        <w:t>in </w:t>
      </w:r>
      <w:r>
        <w:rPr>
          <w:spacing w:val="-3"/>
          <w:sz w:val="21"/>
        </w:rPr>
        <w:t>any</w:t>
      </w:r>
      <w:r>
        <w:rPr>
          <w:spacing w:val="2"/>
          <w:sz w:val="21"/>
        </w:rPr>
        <w:t> </w:t>
      </w:r>
      <w:r>
        <w:rPr>
          <w:sz w:val="21"/>
        </w:rPr>
        <w:t>respect</w:t>
      </w:r>
    </w:p>
    <w:p>
      <w:pPr>
        <w:pStyle w:val="BodyText"/>
        <w:rPr>
          <w:sz w:val="20"/>
        </w:rPr>
      </w:pPr>
    </w:p>
    <w:p>
      <w:pPr>
        <w:pStyle w:val="BodyText"/>
        <w:rPr>
          <w:sz w:val="20"/>
        </w:rPr>
      </w:pPr>
    </w:p>
    <w:p>
      <w:pPr>
        <w:pStyle w:val="BodyText"/>
        <w:spacing w:before="1"/>
        <w:rPr>
          <w:sz w:val="10"/>
        </w:rPr>
      </w:pPr>
      <w:r>
        <w:rPr/>
        <w:pict>
          <v:line style="position:absolute;mso-position-horizontal-relative:page;mso-position-vertical-relative:paragraph;z-index:8000;mso-wrap-distance-left:0;mso-wrap-distance-right:0" from="79.370102pt,8.64893pt" to="515.905102pt,8.6489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34"/>
        </w:numPr>
        <w:tabs>
          <w:tab w:pos="2381" w:val="left" w:leader="none"/>
          <w:tab w:pos="2382" w:val="left" w:leader="none"/>
        </w:tabs>
        <w:spacing w:line="240" w:lineRule="auto" w:before="48" w:after="0"/>
        <w:ind w:left="2381" w:right="0" w:hanging="794"/>
        <w:jc w:val="left"/>
        <w:rPr>
          <w:sz w:val="13"/>
        </w:rPr>
      </w:pPr>
      <w:r>
        <w:rPr>
          <w:i/>
          <w:w w:val="105"/>
          <w:sz w:val="13"/>
        </w:rPr>
        <w:t>Victorian</w:t>
      </w:r>
      <w:r>
        <w:rPr>
          <w:i/>
          <w:spacing w:val="4"/>
          <w:w w:val="105"/>
          <w:sz w:val="13"/>
        </w:rPr>
        <w:t> </w:t>
      </w:r>
      <w:r>
        <w:rPr>
          <w:i/>
          <w:w w:val="105"/>
          <w:sz w:val="13"/>
        </w:rPr>
        <w:t>Civil</w:t>
      </w:r>
      <w:r>
        <w:rPr>
          <w:i/>
          <w:spacing w:val="5"/>
          <w:w w:val="105"/>
          <w:sz w:val="13"/>
        </w:rPr>
        <w:t> </w:t>
      </w:r>
      <w:r>
        <w:rPr>
          <w:i/>
          <w:w w:val="105"/>
          <w:sz w:val="13"/>
        </w:rPr>
        <w:t>and</w:t>
      </w:r>
      <w:r>
        <w:rPr>
          <w:i/>
          <w:spacing w:val="5"/>
          <w:w w:val="105"/>
          <w:sz w:val="13"/>
        </w:rPr>
        <w:t> </w:t>
      </w:r>
      <w:r>
        <w:rPr>
          <w:i/>
          <w:w w:val="105"/>
          <w:sz w:val="13"/>
        </w:rPr>
        <w:t>Administrative</w:t>
      </w:r>
      <w:r>
        <w:rPr>
          <w:i/>
          <w:spacing w:val="4"/>
          <w:w w:val="105"/>
          <w:sz w:val="13"/>
        </w:rPr>
        <w:t> </w:t>
      </w:r>
      <w:r>
        <w:rPr>
          <w:i/>
          <w:w w:val="105"/>
          <w:sz w:val="13"/>
        </w:rPr>
        <w:t>Tribunal</w:t>
      </w:r>
      <w:r>
        <w:rPr>
          <w:i/>
          <w:spacing w:val="5"/>
          <w:w w:val="105"/>
          <w:sz w:val="13"/>
        </w:rPr>
        <w:t> </w:t>
      </w:r>
      <w:r>
        <w:rPr>
          <w:i/>
          <w:w w:val="105"/>
          <w:sz w:val="13"/>
        </w:rPr>
        <w:t>Act</w:t>
      </w:r>
      <w:r>
        <w:rPr>
          <w:i/>
          <w:spacing w:val="5"/>
          <w:w w:val="105"/>
          <w:sz w:val="13"/>
        </w:rPr>
        <w:t> </w:t>
      </w:r>
      <w:r>
        <w:rPr>
          <w:i/>
          <w:w w:val="105"/>
          <w:sz w:val="13"/>
        </w:rPr>
        <w:t>1998</w:t>
      </w:r>
      <w:r>
        <w:rPr>
          <w:i/>
          <w:spacing w:val="4"/>
          <w:w w:val="105"/>
          <w:sz w:val="13"/>
        </w:rPr>
        <w:t> </w:t>
      </w:r>
      <w:r>
        <w:rPr>
          <w:spacing w:val="2"/>
          <w:w w:val="105"/>
          <w:sz w:val="13"/>
        </w:rPr>
        <w:t>(Vic)</w:t>
      </w:r>
      <w:r>
        <w:rPr>
          <w:spacing w:val="5"/>
          <w:w w:val="105"/>
          <w:sz w:val="13"/>
        </w:rPr>
        <w:t> </w:t>
      </w:r>
      <w:r>
        <w:rPr>
          <w:w w:val="105"/>
          <w:sz w:val="13"/>
        </w:rPr>
        <w:t>s</w:t>
      </w:r>
      <w:r>
        <w:rPr>
          <w:spacing w:val="5"/>
          <w:w w:val="105"/>
          <w:sz w:val="13"/>
        </w:rPr>
        <w:t> </w:t>
      </w:r>
      <w:r>
        <w:rPr>
          <w:w w:val="105"/>
          <w:sz w:val="13"/>
        </w:rPr>
        <w:t>80.</w:t>
      </w:r>
    </w:p>
    <w:p>
      <w:pPr>
        <w:pStyle w:val="ListParagraph"/>
        <w:numPr>
          <w:ilvl w:val="0"/>
          <w:numId w:val="134"/>
        </w:numPr>
        <w:tabs>
          <w:tab w:pos="2381" w:val="left" w:leader="none"/>
          <w:tab w:pos="2382" w:val="left" w:leader="none"/>
        </w:tabs>
        <w:spacing w:line="240" w:lineRule="auto" w:before="1" w:after="0"/>
        <w:ind w:left="2381" w:right="0" w:hanging="794"/>
        <w:jc w:val="left"/>
        <w:rPr>
          <w:sz w:val="13"/>
        </w:rPr>
      </w:pPr>
      <w:r>
        <w:rPr>
          <w:sz w:val="13"/>
        </w:rPr>
        <w:t>VCAT</w:t>
      </w:r>
      <w:r>
        <w:rPr>
          <w:spacing w:val="7"/>
          <w:sz w:val="13"/>
        </w:rPr>
        <w:t> </w:t>
      </w:r>
      <w:r>
        <w:rPr>
          <w:sz w:val="13"/>
        </w:rPr>
        <w:t>may</w:t>
      </w:r>
      <w:r>
        <w:rPr>
          <w:spacing w:val="8"/>
          <w:sz w:val="13"/>
        </w:rPr>
        <w:t> </w:t>
      </w:r>
      <w:r>
        <w:rPr>
          <w:sz w:val="13"/>
        </w:rPr>
        <w:t>refer</w:t>
      </w:r>
      <w:r>
        <w:rPr>
          <w:spacing w:val="7"/>
          <w:sz w:val="13"/>
        </w:rPr>
        <w:t> </w:t>
      </w:r>
      <w:r>
        <w:rPr>
          <w:sz w:val="13"/>
        </w:rPr>
        <w:t>a</w:t>
      </w:r>
      <w:r>
        <w:rPr>
          <w:spacing w:val="8"/>
          <w:sz w:val="13"/>
        </w:rPr>
        <w:t> </w:t>
      </w:r>
      <w:r>
        <w:rPr>
          <w:sz w:val="13"/>
        </w:rPr>
        <w:t>question</w:t>
      </w:r>
      <w:r>
        <w:rPr>
          <w:spacing w:val="7"/>
          <w:sz w:val="13"/>
        </w:rPr>
        <w:t> </w:t>
      </w:r>
      <w:r>
        <w:rPr>
          <w:sz w:val="13"/>
        </w:rPr>
        <w:t>to</w:t>
      </w:r>
      <w:r>
        <w:rPr>
          <w:spacing w:val="8"/>
          <w:sz w:val="13"/>
        </w:rPr>
        <w:t> </w:t>
      </w:r>
      <w:r>
        <w:rPr>
          <w:sz w:val="13"/>
        </w:rPr>
        <w:t>a</w:t>
      </w:r>
      <w:r>
        <w:rPr>
          <w:spacing w:val="7"/>
          <w:sz w:val="13"/>
        </w:rPr>
        <w:t> </w:t>
      </w:r>
      <w:r>
        <w:rPr>
          <w:sz w:val="13"/>
        </w:rPr>
        <w:t>special</w:t>
      </w:r>
      <w:r>
        <w:rPr>
          <w:spacing w:val="8"/>
          <w:sz w:val="13"/>
        </w:rPr>
        <w:t> </w:t>
      </w:r>
      <w:r>
        <w:rPr>
          <w:sz w:val="13"/>
        </w:rPr>
        <w:t>referee</w:t>
      </w:r>
      <w:r>
        <w:rPr>
          <w:spacing w:val="8"/>
          <w:sz w:val="13"/>
        </w:rPr>
        <w:t> </w:t>
      </w:r>
      <w:r>
        <w:rPr>
          <w:sz w:val="13"/>
        </w:rPr>
        <w:t>for</w:t>
      </w:r>
      <w:r>
        <w:rPr>
          <w:spacing w:val="7"/>
          <w:sz w:val="13"/>
        </w:rPr>
        <w:t> </w:t>
      </w:r>
      <w:r>
        <w:rPr>
          <w:sz w:val="13"/>
        </w:rPr>
        <w:t>opinion/determination.</w:t>
      </w:r>
    </w:p>
    <w:p>
      <w:pPr>
        <w:pStyle w:val="ListParagraph"/>
        <w:numPr>
          <w:ilvl w:val="0"/>
          <w:numId w:val="134"/>
        </w:numPr>
        <w:tabs>
          <w:tab w:pos="2381" w:val="left" w:leader="none"/>
          <w:tab w:pos="2382" w:val="left" w:leader="none"/>
        </w:tabs>
        <w:spacing w:line="240" w:lineRule="auto" w:before="2" w:after="0"/>
        <w:ind w:left="2381" w:right="0" w:hanging="794"/>
        <w:jc w:val="left"/>
        <w:rPr>
          <w:sz w:val="13"/>
        </w:rPr>
      </w:pPr>
      <w:r>
        <w:rPr>
          <w:w w:val="105"/>
          <w:sz w:val="13"/>
        </w:rPr>
        <w:t>Victorian</w:t>
      </w:r>
      <w:r>
        <w:rPr>
          <w:spacing w:val="5"/>
          <w:w w:val="105"/>
          <w:sz w:val="13"/>
        </w:rPr>
        <w:t> </w:t>
      </w:r>
      <w:r>
        <w:rPr>
          <w:w w:val="105"/>
          <w:sz w:val="13"/>
        </w:rPr>
        <w:t>Civil</w:t>
      </w:r>
      <w:r>
        <w:rPr>
          <w:spacing w:val="6"/>
          <w:w w:val="105"/>
          <w:sz w:val="13"/>
        </w:rPr>
        <w:t> </w:t>
      </w:r>
      <w:r>
        <w:rPr>
          <w:w w:val="105"/>
          <w:sz w:val="13"/>
        </w:rPr>
        <w:t>and</w:t>
      </w:r>
      <w:r>
        <w:rPr>
          <w:spacing w:val="6"/>
          <w:w w:val="105"/>
          <w:sz w:val="13"/>
        </w:rPr>
        <w:t> </w:t>
      </w:r>
      <w:r>
        <w:rPr>
          <w:w w:val="105"/>
          <w:sz w:val="13"/>
        </w:rPr>
        <w:t>Administrative</w:t>
      </w:r>
      <w:r>
        <w:rPr>
          <w:spacing w:val="6"/>
          <w:w w:val="105"/>
          <w:sz w:val="13"/>
        </w:rPr>
        <w:t> </w:t>
      </w:r>
      <w:r>
        <w:rPr>
          <w:w w:val="105"/>
          <w:sz w:val="13"/>
        </w:rPr>
        <w:t>Tribunal</w:t>
      </w:r>
      <w:r>
        <w:rPr>
          <w:spacing w:val="6"/>
          <w:w w:val="105"/>
          <w:sz w:val="13"/>
        </w:rPr>
        <w:t> </w:t>
      </w:r>
      <w:r>
        <w:rPr>
          <w:w w:val="105"/>
          <w:sz w:val="13"/>
        </w:rPr>
        <w:t>(VCAT),</w:t>
      </w:r>
      <w:r>
        <w:rPr>
          <w:spacing w:val="6"/>
          <w:w w:val="105"/>
          <w:sz w:val="13"/>
        </w:rPr>
        <w:t> </w:t>
      </w:r>
      <w:r>
        <w:rPr>
          <w:i/>
          <w:w w:val="105"/>
          <w:sz w:val="13"/>
        </w:rPr>
        <w:t>Practice</w:t>
      </w:r>
      <w:r>
        <w:rPr>
          <w:i/>
          <w:spacing w:val="5"/>
          <w:w w:val="105"/>
          <w:sz w:val="13"/>
        </w:rPr>
        <w:t> </w:t>
      </w:r>
      <w:r>
        <w:rPr>
          <w:i/>
          <w:w w:val="105"/>
          <w:sz w:val="13"/>
        </w:rPr>
        <w:t>Note</w:t>
      </w:r>
      <w:r>
        <w:rPr>
          <w:i/>
          <w:spacing w:val="6"/>
          <w:w w:val="105"/>
          <w:sz w:val="13"/>
        </w:rPr>
        <w:t> </w:t>
      </w:r>
      <w:r>
        <w:rPr>
          <w:i/>
          <w:w w:val="105"/>
          <w:sz w:val="13"/>
        </w:rPr>
        <w:t>PNVCAT2:</w:t>
      </w:r>
      <w:r>
        <w:rPr>
          <w:i/>
          <w:spacing w:val="6"/>
          <w:w w:val="105"/>
          <w:sz w:val="13"/>
        </w:rPr>
        <w:t> </w:t>
      </w:r>
      <w:r>
        <w:rPr>
          <w:i/>
          <w:spacing w:val="2"/>
          <w:w w:val="105"/>
          <w:sz w:val="13"/>
        </w:rPr>
        <w:t>Expert</w:t>
      </w:r>
      <w:r>
        <w:rPr>
          <w:i/>
          <w:spacing w:val="6"/>
          <w:w w:val="105"/>
          <w:sz w:val="13"/>
        </w:rPr>
        <w:t> </w:t>
      </w:r>
      <w:r>
        <w:rPr>
          <w:i/>
          <w:w w:val="105"/>
          <w:sz w:val="13"/>
        </w:rPr>
        <w:t>Evidence,</w:t>
      </w:r>
      <w:r>
        <w:rPr>
          <w:i/>
          <w:spacing w:val="6"/>
          <w:w w:val="105"/>
          <w:sz w:val="13"/>
        </w:rPr>
        <w:t> </w:t>
      </w:r>
      <w:r>
        <w:rPr>
          <w:w w:val="105"/>
          <w:sz w:val="13"/>
        </w:rPr>
        <w:t>1</w:t>
      </w:r>
      <w:r>
        <w:rPr>
          <w:spacing w:val="6"/>
          <w:w w:val="105"/>
          <w:sz w:val="13"/>
        </w:rPr>
        <w:t> </w:t>
      </w:r>
      <w:r>
        <w:rPr>
          <w:w w:val="105"/>
          <w:sz w:val="13"/>
        </w:rPr>
        <w:t>October</w:t>
      </w:r>
      <w:r>
        <w:rPr>
          <w:spacing w:val="6"/>
          <w:w w:val="105"/>
          <w:sz w:val="13"/>
        </w:rPr>
        <w:t> </w:t>
      </w:r>
      <w:r>
        <w:rPr>
          <w:w w:val="105"/>
          <w:sz w:val="13"/>
        </w:rPr>
        <w:t>2014,</w:t>
      </w:r>
      <w:r>
        <w:rPr>
          <w:spacing w:val="5"/>
          <w:w w:val="105"/>
          <w:sz w:val="13"/>
        </w:rPr>
        <w:t> </w:t>
      </w:r>
      <w:r>
        <w:rPr>
          <w:spacing w:val="-5"/>
          <w:w w:val="105"/>
          <w:sz w:val="13"/>
        </w:rPr>
        <w:t>7.</w:t>
      </w:r>
    </w:p>
    <w:p>
      <w:pPr>
        <w:pStyle w:val="ListParagraph"/>
        <w:numPr>
          <w:ilvl w:val="0"/>
          <w:numId w:val="134"/>
        </w:numPr>
        <w:tabs>
          <w:tab w:pos="2381"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spacing w:val="3"/>
          <w:w w:val="105"/>
          <w:sz w:val="13"/>
        </w:rPr>
        <w:t>8.</w:t>
      </w:r>
    </w:p>
    <w:p>
      <w:pPr>
        <w:pStyle w:val="ListParagraph"/>
        <w:numPr>
          <w:ilvl w:val="0"/>
          <w:numId w:val="134"/>
        </w:numPr>
        <w:tabs>
          <w:tab w:pos="2381" w:val="left" w:leader="none"/>
          <w:tab w:pos="2382" w:val="left" w:leader="none"/>
        </w:tabs>
        <w:spacing w:line="240" w:lineRule="auto" w:before="1" w:after="0"/>
        <w:ind w:left="2381" w:right="0" w:hanging="794"/>
        <w:jc w:val="left"/>
        <w:rPr>
          <w:sz w:val="13"/>
        </w:rPr>
      </w:pPr>
      <w:r>
        <w:rPr>
          <w:i/>
          <w:w w:val="105"/>
          <w:sz w:val="13"/>
        </w:rPr>
        <w:t>Victorian Civil and Administrative Tribunal Act 1998 </w:t>
      </w:r>
      <w:r>
        <w:rPr>
          <w:spacing w:val="2"/>
          <w:w w:val="105"/>
          <w:sz w:val="13"/>
        </w:rPr>
        <w:t>(Vic) </w:t>
      </w:r>
      <w:r>
        <w:rPr>
          <w:w w:val="105"/>
          <w:sz w:val="13"/>
        </w:rPr>
        <w:t>sch 3; see also Victorian Civil and Administrative Tribunal (VCAT), </w:t>
      </w:r>
      <w:r>
        <w:rPr>
          <w:i/>
          <w:w w:val="105"/>
          <w:sz w:val="13"/>
        </w:rPr>
        <w:t>Practice Note </w:t>
      </w:r>
      <w:r>
        <w:rPr>
          <w:i/>
          <w:w w:val="105"/>
          <w:sz w:val="13"/>
        </w:rPr>
        <w:t>PNVCAT2: </w:t>
      </w:r>
      <w:r>
        <w:rPr>
          <w:i/>
          <w:spacing w:val="2"/>
          <w:w w:val="105"/>
          <w:sz w:val="13"/>
        </w:rPr>
        <w:t>Expert </w:t>
      </w:r>
      <w:r>
        <w:rPr>
          <w:i/>
          <w:w w:val="105"/>
          <w:sz w:val="13"/>
        </w:rPr>
        <w:t>Evidence, </w:t>
      </w:r>
      <w:r>
        <w:rPr>
          <w:w w:val="105"/>
          <w:sz w:val="13"/>
        </w:rPr>
        <w:t>1 October 2014,</w:t>
      </w:r>
      <w:r>
        <w:rPr>
          <w:spacing w:val="27"/>
          <w:w w:val="105"/>
          <w:sz w:val="13"/>
        </w:rPr>
        <w:t> </w:t>
      </w:r>
      <w:r>
        <w:rPr>
          <w:w w:val="105"/>
          <w:sz w:val="13"/>
        </w:rPr>
        <w:t>6.</w:t>
      </w:r>
    </w:p>
    <w:p>
      <w:pPr>
        <w:pStyle w:val="ListParagraph"/>
        <w:numPr>
          <w:ilvl w:val="0"/>
          <w:numId w:val="134"/>
        </w:numPr>
        <w:tabs>
          <w:tab w:pos="2381" w:val="left" w:leader="none"/>
          <w:tab w:pos="2382" w:val="left" w:leader="none"/>
        </w:tabs>
        <w:spacing w:line="240" w:lineRule="auto" w:before="3" w:after="0"/>
        <w:ind w:left="2381" w:right="0" w:hanging="794"/>
        <w:jc w:val="left"/>
        <w:rPr>
          <w:sz w:val="13"/>
        </w:rPr>
      </w:pPr>
      <w:r>
        <w:rPr>
          <w:i/>
          <w:w w:val="105"/>
          <w:sz w:val="13"/>
        </w:rPr>
        <w:t>Victorian Civil and Administrative Tribunal Act 1998 </w:t>
      </w:r>
      <w:r>
        <w:rPr>
          <w:spacing w:val="2"/>
          <w:w w:val="105"/>
          <w:sz w:val="13"/>
        </w:rPr>
        <w:t>(Vic) </w:t>
      </w:r>
      <w:r>
        <w:rPr>
          <w:w w:val="105"/>
          <w:sz w:val="13"/>
        </w:rPr>
        <w:t>sch 3; see also Victorian Civil and Administrative Tribunal (VCAT), </w:t>
      </w:r>
      <w:r>
        <w:rPr>
          <w:i/>
          <w:w w:val="105"/>
          <w:sz w:val="13"/>
        </w:rPr>
        <w:t>Practice Note </w:t>
      </w:r>
      <w:r>
        <w:rPr>
          <w:i/>
          <w:w w:val="105"/>
          <w:sz w:val="13"/>
        </w:rPr>
        <w:t>PNVCAT2: </w:t>
      </w:r>
      <w:r>
        <w:rPr>
          <w:i/>
          <w:spacing w:val="2"/>
          <w:w w:val="105"/>
          <w:sz w:val="13"/>
        </w:rPr>
        <w:t>Expert </w:t>
      </w:r>
      <w:r>
        <w:rPr>
          <w:i/>
          <w:w w:val="105"/>
          <w:sz w:val="13"/>
        </w:rPr>
        <w:t>Evidence, </w:t>
      </w:r>
      <w:r>
        <w:rPr>
          <w:w w:val="105"/>
          <w:sz w:val="13"/>
        </w:rPr>
        <w:t>1 October 2014,</w:t>
      </w:r>
      <w:r>
        <w:rPr>
          <w:spacing w:val="27"/>
          <w:w w:val="105"/>
          <w:sz w:val="13"/>
        </w:rPr>
        <w:t> </w:t>
      </w:r>
      <w:r>
        <w:rPr>
          <w:spacing w:val="-5"/>
          <w:w w:val="105"/>
          <w:sz w:val="13"/>
        </w:rPr>
        <w:t>7.</w:t>
      </w:r>
    </w:p>
    <w:p>
      <w:pPr>
        <w:pStyle w:val="ListParagraph"/>
        <w:numPr>
          <w:ilvl w:val="0"/>
          <w:numId w:val="134"/>
        </w:numPr>
        <w:tabs>
          <w:tab w:pos="2381" w:val="left" w:leader="none"/>
          <w:tab w:pos="2382" w:val="left" w:leader="none"/>
        </w:tabs>
        <w:spacing w:line="240" w:lineRule="auto" w:before="3" w:after="0"/>
        <w:ind w:left="2381" w:right="0" w:hanging="794"/>
        <w:jc w:val="left"/>
        <w:rPr>
          <w:sz w:val="13"/>
        </w:rPr>
      </w:pPr>
      <w:r>
        <w:rPr>
          <w:i/>
          <w:w w:val="105"/>
          <w:sz w:val="13"/>
        </w:rPr>
        <w:t>Victorian Civil and Administrative Tribunal Act 1998 </w:t>
      </w:r>
      <w:r>
        <w:rPr>
          <w:spacing w:val="2"/>
          <w:w w:val="105"/>
          <w:sz w:val="13"/>
        </w:rPr>
        <w:t>(Vic) </w:t>
      </w:r>
      <w:r>
        <w:rPr>
          <w:w w:val="105"/>
          <w:sz w:val="13"/>
        </w:rPr>
        <w:t>s</w:t>
      </w:r>
      <w:r>
        <w:rPr>
          <w:spacing w:val="8"/>
          <w:w w:val="105"/>
          <w:sz w:val="13"/>
        </w:rPr>
        <w:t> </w:t>
      </w:r>
      <w:r>
        <w:rPr>
          <w:w w:val="105"/>
          <w:sz w:val="13"/>
        </w:rPr>
        <w:t>14.</w:t>
      </w:r>
    </w:p>
    <w:p>
      <w:pPr>
        <w:pStyle w:val="BodyText"/>
        <w:rPr>
          <w:sz w:val="28"/>
        </w:rPr>
      </w:pPr>
      <w:r>
        <w:rPr/>
        <w:br w:type="column"/>
      </w:r>
      <w:r>
        <w:rPr>
          <w:sz w:val="28"/>
        </w:rPr>
      </w:r>
    </w:p>
    <w:p>
      <w:pPr>
        <w:pStyle w:val="BodyText"/>
        <w:rPr>
          <w:sz w:val="28"/>
        </w:rPr>
      </w:pPr>
    </w:p>
    <w:p>
      <w:pPr>
        <w:pStyle w:val="BodyText"/>
        <w:rPr>
          <w:sz w:val="28"/>
        </w:rPr>
      </w:pPr>
    </w:p>
    <w:p>
      <w:pPr>
        <w:spacing w:before="198"/>
        <w:ind w:left="746" w:right="575" w:firstLine="0"/>
        <w:jc w:val="center"/>
        <w:rPr>
          <w:b/>
          <w:sz w:val="24"/>
        </w:rPr>
      </w:pPr>
      <w:r>
        <w:rPr>
          <w:b/>
          <w:color w:val="658464"/>
          <w:w w:val="110"/>
          <w:sz w:val="24"/>
        </w:rPr>
        <w:t>181</w:t>
      </w:r>
    </w:p>
    <w:p>
      <w:pPr>
        <w:spacing w:after="0"/>
        <w:jc w:val="center"/>
        <w:rPr>
          <w:sz w:val="24"/>
        </w:rPr>
        <w:sectPr>
          <w:type w:val="continuous"/>
          <w:pgSz w:w="11910" w:h="16840"/>
          <w:pgMar w:top="300" w:bottom="280" w:left="0" w:right="0"/>
          <w:cols w:num="2" w:equalWidth="0">
            <w:col w:w="10107" w:space="40"/>
            <w:col w:w="1763"/>
          </w:cols>
        </w:sectPr>
      </w:pPr>
    </w:p>
    <w:p>
      <w:pPr>
        <w:pStyle w:val="BodyText"/>
        <w:spacing w:before="9"/>
        <w:rPr>
          <w:b/>
          <w:sz w:val="22"/>
        </w:rPr>
      </w:pPr>
    </w:p>
    <w:p>
      <w:pPr>
        <w:pStyle w:val="ListParagraph"/>
        <w:numPr>
          <w:ilvl w:val="1"/>
          <w:numId w:val="134"/>
        </w:numPr>
        <w:tabs>
          <w:tab w:pos="2721" w:val="left" w:leader="none"/>
          <w:tab w:pos="2722" w:val="left" w:leader="none"/>
        </w:tabs>
        <w:spacing w:line="240" w:lineRule="auto" w:before="92" w:after="0"/>
        <w:ind w:left="2721" w:right="0" w:hanging="340"/>
        <w:jc w:val="left"/>
        <w:rPr>
          <w:sz w:val="21"/>
        </w:rPr>
      </w:pPr>
      <w:bookmarkStart w:name="_bookmark97" w:id="205"/>
      <w:bookmarkEnd w:id="205"/>
      <w:r>
        <w:rPr/>
      </w:r>
      <w:bookmarkStart w:name="_bookmark97" w:id="206"/>
      <w:bookmarkEnd w:id="206"/>
      <w:r>
        <w:rPr>
          <w:w w:val="105"/>
          <w:sz w:val="21"/>
        </w:rPr>
        <w:t>a</w:t>
      </w:r>
      <w:r>
        <w:rPr>
          <w:w w:val="105"/>
          <w:sz w:val="21"/>
        </w:rPr>
        <w:t> signed </w:t>
      </w:r>
      <w:r>
        <w:rPr>
          <w:spacing w:val="-3"/>
          <w:w w:val="105"/>
          <w:sz w:val="21"/>
        </w:rPr>
        <w:t>declaration </w:t>
      </w:r>
      <w:r>
        <w:rPr>
          <w:w w:val="105"/>
          <w:sz w:val="21"/>
        </w:rPr>
        <w:t>by the</w:t>
      </w:r>
      <w:r>
        <w:rPr>
          <w:spacing w:val="28"/>
          <w:w w:val="105"/>
          <w:sz w:val="21"/>
        </w:rPr>
        <w:t> </w:t>
      </w:r>
      <w:r>
        <w:rPr>
          <w:w w:val="105"/>
          <w:sz w:val="21"/>
        </w:rPr>
        <w:t>expert:</w:t>
      </w:r>
    </w:p>
    <w:p>
      <w:pPr>
        <w:spacing w:line="254" w:lineRule="auto" w:before="98"/>
        <w:ind w:left="2834" w:right="1636" w:firstLine="0"/>
        <w:jc w:val="left"/>
        <w:rPr>
          <w:sz w:val="11"/>
        </w:rPr>
      </w:pPr>
      <w:r>
        <w:rPr>
          <w:sz w:val="20"/>
        </w:rPr>
        <w:t>I have made all the inquiries that I believe are desirable and appropriate and that no matters of significance which I regard as relevant have, to my knowledge, been withheld from the Tribunal.</w:t>
      </w:r>
      <w:r>
        <w:rPr>
          <w:position w:val="7"/>
          <w:sz w:val="11"/>
        </w:rPr>
        <w:t>157</w:t>
      </w:r>
    </w:p>
    <w:p>
      <w:pPr>
        <w:pStyle w:val="ListParagraph"/>
        <w:numPr>
          <w:ilvl w:val="1"/>
          <w:numId w:val="133"/>
        </w:numPr>
        <w:tabs>
          <w:tab w:pos="2381" w:val="left" w:leader="none"/>
          <w:tab w:pos="2382" w:val="left" w:leader="none"/>
        </w:tabs>
        <w:spacing w:line="242" w:lineRule="auto" w:before="114" w:after="0"/>
        <w:ind w:left="2381" w:right="1612" w:hanging="794"/>
        <w:jc w:val="left"/>
        <w:rPr>
          <w:sz w:val="21"/>
        </w:rPr>
      </w:pPr>
      <w:r>
        <w:rPr>
          <w:w w:val="105"/>
          <w:sz w:val="21"/>
        </w:rPr>
        <w:t>The </w:t>
      </w:r>
      <w:r>
        <w:rPr>
          <w:spacing w:val="-3"/>
          <w:w w:val="105"/>
          <w:sz w:val="21"/>
        </w:rPr>
        <w:t>requirements </w:t>
      </w:r>
      <w:r>
        <w:rPr>
          <w:w w:val="105"/>
          <w:sz w:val="21"/>
        </w:rPr>
        <w:t>of </w:t>
      </w:r>
      <w:r>
        <w:rPr>
          <w:spacing w:val="-3"/>
          <w:w w:val="105"/>
          <w:sz w:val="21"/>
        </w:rPr>
        <w:t>clause </w:t>
      </w:r>
      <w:r>
        <w:rPr>
          <w:spacing w:val="-12"/>
          <w:w w:val="105"/>
          <w:sz w:val="21"/>
        </w:rPr>
        <w:t>11 </w:t>
      </w:r>
      <w:r>
        <w:rPr>
          <w:w w:val="105"/>
          <w:sz w:val="21"/>
        </w:rPr>
        <w:t>do </w:t>
      </w:r>
      <w:r>
        <w:rPr>
          <w:spacing w:val="-2"/>
          <w:w w:val="105"/>
          <w:sz w:val="21"/>
        </w:rPr>
        <w:t>not </w:t>
      </w:r>
      <w:r>
        <w:rPr>
          <w:w w:val="105"/>
          <w:sz w:val="21"/>
        </w:rPr>
        <w:t>apply </w:t>
      </w:r>
      <w:r>
        <w:rPr>
          <w:spacing w:val="-3"/>
          <w:w w:val="105"/>
          <w:sz w:val="21"/>
        </w:rPr>
        <w:t>to </w:t>
      </w:r>
      <w:r>
        <w:rPr>
          <w:w w:val="105"/>
          <w:sz w:val="21"/>
        </w:rPr>
        <w:t>reports obtained </w:t>
      </w:r>
      <w:r>
        <w:rPr>
          <w:spacing w:val="-3"/>
          <w:w w:val="105"/>
          <w:sz w:val="21"/>
        </w:rPr>
        <w:t>from treating </w:t>
      </w:r>
      <w:r>
        <w:rPr>
          <w:w w:val="105"/>
          <w:sz w:val="21"/>
        </w:rPr>
        <w:t>doctors and hospitals, unless the </w:t>
      </w:r>
      <w:r>
        <w:rPr>
          <w:spacing w:val="-5"/>
          <w:w w:val="105"/>
          <w:sz w:val="21"/>
        </w:rPr>
        <w:t>Tribunal </w:t>
      </w:r>
      <w:r>
        <w:rPr>
          <w:w w:val="105"/>
          <w:sz w:val="21"/>
        </w:rPr>
        <w:t>directs </w:t>
      </w:r>
      <w:r>
        <w:rPr>
          <w:spacing w:val="-4"/>
          <w:w w:val="105"/>
          <w:sz w:val="21"/>
        </w:rPr>
        <w:t>otherwise.</w:t>
      </w:r>
      <w:r>
        <w:rPr>
          <w:spacing w:val="-4"/>
          <w:w w:val="105"/>
          <w:position w:val="7"/>
          <w:sz w:val="12"/>
        </w:rPr>
        <w:t>158 </w:t>
      </w:r>
      <w:r>
        <w:rPr>
          <w:w w:val="105"/>
          <w:sz w:val="21"/>
        </w:rPr>
        <w:t>Doctors and hospitals </w:t>
      </w:r>
      <w:r>
        <w:rPr>
          <w:spacing w:val="-3"/>
          <w:w w:val="105"/>
          <w:sz w:val="21"/>
        </w:rPr>
        <w:t>are </w:t>
      </w:r>
      <w:r>
        <w:rPr>
          <w:w w:val="105"/>
          <w:sz w:val="21"/>
        </w:rPr>
        <w:t>nonetheless </w:t>
      </w:r>
      <w:r>
        <w:rPr>
          <w:spacing w:val="-3"/>
          <w:w w:val="105"/>
          <w:sz w:val="21"/>
        </w:rPr>
        <w:t>encouraged to follow </w:t>
      </w:r>
      <w:r>
        <w:rPr>
          <w:w w:val="105"/>
          <w:sz w:val="21"/>
        </w:rPr>
        <w:t>these </w:t>
      </w:r>
      <w:r>
        <w:rPr>
          <w:spacing w:val="-3"/>
          <w:w w:val="105"/>
          <w:sz w:val="21"/>
        </w:rPr>
        <w:t>requirements to </w:t>
      </w:r>
      <w:r>
        <w:rPr>
          <w:w w:val="105"/>
          <w:sz w:val="21"/>
        </w:rPr>
        <w:t>the extent</w:t>
      </w:r>
      <w:r>
        <w:rPr>
          <w:spacing w:val="34"/>
          <w:w w:val="105"/>
          <w:sz w:val="21"/>
        </w:rPr>
        <w:t> </w:t>
      </w:r>
      <w:r>
        <w:rPr>
          <w:spacing w:val="-4"/>
          <w:w w:val="105"/>
          <w:sz w:val="21"/>
        </w:rPr>
        <w:t>practicable.</w:t>
      </w:r>
      <w:r>
        <w:rPr>
          <w:spacing w:val="-4"/>
          <w:w w:val="105"/>
          <w:position w:val="7"/>
          <w:sz w:val="12"/>
        </w:rPr>
        <w:t>159 </w:t>
      </w:r>
      <w:r>
        <w:rPr>
          <w:w w:val="105"/>
          <w:sz w:val="21"/>
        </w:rPr>
        <w:t>Written</w:t>
      </w:r>
    </w:p>
    <w:p>
      <w:pPr>
        <w:pStyle w:val="BodyText"/>
        <w:spacing w:line="242" w:lineRule="auto" w:before="3"/>
        <w:ind w:left="2381" w:right="1636"/>
        <w:rPr>
          <w:sz w:val="12"/>
        </w:rPr>
      </w:pPr>
      <w:r>
        <w:rPr/>
        <w:t>submissions are not compulsory, but they are the most common and preferred form of presentation to VCAT.</w:t>
      </w:r>
      <w:r>
        <w:rPr>
          <w:position w:val="7"/>
          <w:sz w:val="12"/>
        </w:rPr>
        <w:t>160</w:t>
      </w:r>
    </w:p>
    <w:p>
      <w:pPr>
        <w:pStyle w:val="Heading7"/>
        <w:spacing w:before="153"/>
      </w:pPr>
      <w:r>
        <w:rPr>
          <w:w w:val="115"/>
        </w:rPr>
        <w:t>Duty of expert witnesses—VCAT</w:t>
      </w:r>
    </w:p>
    <w:p>
      <w:pPr>
        <w:pStyle w:val="ListParagraph"/>
        <w:numPr>
          <w:ilvl w:val="1"/>
          <w:numId w:val="133"/>
        </w:numPr>
        <w:tabs>
          <w:tab w:pos="2381" w:val="left" w:leader="none"/>
          <w:tab w:pos="2382" w:val="left" w:leader="none"/>
        </w:tabs>
        <w:spacing w:line="240" w:lineRule="auto" w:before="143" w:after="0"/>
        <w:ind w:left="2381" w:right="0" w:hanging="794"/>
        <w:jc w:val="left"/>
        <w:rPr>
          <w:sz w:val="21"/>
        </w:rPr>
      </w:pPr>
      <w:r>
        <w:rPr>
          <w:sz w:val="21"/>
        </w:rPr>
        <w:t>The duty of an expert witness </w:t>
      </w:r>
      <w:r>
        <w:rPr>
          <w:spacing w:val="-3"/>
          <w:sz w:val="21"/>
        </w:rPr>
        <w:t>to </w:t>
      </w:r>
      <w:r>
        <w:rPr>
          <w:sz w:val="21"/>
        </w:rPr>
        <w:t>the </w:t>
      </w:r>
      <w:r>
        <w:rPr>
          <w:spacing w:val="-5"/>
          <w:sz w:val="21"/>
        </w:rPr>
        <w:t>Tribunal </w:t>
      </w:r>
      <w:r>
        <w:rPr>
          <w:sz w:val="21"/>
        </w:rPr>
        <w:t>is described in the </w:t>
      </w:r>
      <w:r>
        <w:rPr>
          <w:spacing w:val="-5"/>
          <w:sz w:val="21"/>
        </w:rPr>
        <w:t>VCAT </w:t>
      </w:r>
      <w:r>
        <w:rPr>
          <w:sz w:val="21"/>
        </w:rPr>
        <w:t>Act as</w:t>
      </w:r>
      <w:r>
        <w:rPr>
          <w:spacing w:val="20"/>
          <w:sz w:val="21"/>
        </w:rPr>
        <w:t> </w:t>
      </w:r>
      <w:r>
        <w:rPr>
          <w:sz w:val="21"/>
        </w:rPr>
        <w:t>follows:</w:t>
      </w:r>
    </w:p>
    <w:p>
      <w:pPr>
        <w:pStyle w:val="ListParagraph"/>
        <w:numPr>
          <w:ilvl w:val="2"/>
          <w:numId w:val="133"/>
        </w:numPr>
        <w:tabs>
          <w:tab w:pos="2721" w:val="left" w:leader="none"/>
          <w:tab w:pos="2722" w:val="left" w:leader="none"/>
        </w:tabs>
        <w:spacing w:line="242" w:lineRule="auto" w:before="123" w:after="0"/>
        <w:ind w:left="2721" w:right="1586" w:hanging="340"/>
        <w:jc w:val="left"/>
        <w:rPr>
          <w:sz w:val="21"/>
        </w:rPr>
      </w:pPr>
      <w:r>
        <w:rPr>
          <w:w w:val="105"/>
          <w:sz w:val="21"/>
        </w:rPr>
        <w:t>An expert witness </w:t>
      </w:r>
      <w:r>
        <w:rPr>
          <w:spacing w:val="-2"/>
          <w:w w:val="105"/>
          <w:sz w:val="21"/>
        </w:rPr>
        <w:t>has </w:t>
      </w:r>
      <w:r>
        <w:rPr>
          <w:w w:val="105"/>
          <w:sz w:val="21"/>
        </w:rPr>
        <w:t>a </w:t>
      </w:r>
      <w:r>
        <w:rPr>
          <w:spacing w:val="-3"/>
          <w:w w:val="105"/>
          <w:sz w:val="21"/>
        </w:rPr>
        <w:t>paramount </w:t>
      </w:r>
      <w:r>
        <w:rPr>
          <w:w w:val="105"/>
          <w:sz w:val="21"/>
        </w:rPr>
        <w:t>duty </w:t>
      </w:r>
      <w:r>
        <w:rPr>
          <w:spacing w:val="-3"/>
          <w:w w:val="105"/>
          <w:sz w:val="21"/>
        </w:rPr>
        <w:t>to </w:t>
      </w:r>
      <w:r>
        <w:rPr>
          <w:w w:val="105"/>
          <w:sz w:val="21"/>
        </w:rPr>
        <w:t>the </w:t>
      </w:r>
      <w:r>
        <w:rPr>
          <w:spacing w:val="-5"/>
          <w:w w:val="105"/>
          <w:sz w:val="21"/>
        </w:rPr>
        <w:t>Tribunal </w:t>
      </w:r>
      <w:r>
        <w:rPr>
          <w:w w:val="105"/>
          <w:sz w:val="21"/>
        </w:rPr>
        <w:t>and </w:t>
      </w:r>
      <w:r>
        <w:rPr>
          <w:spacing w:val="-2"/>
          <w:w w:val="105"/>
          <w:sz w:val="21"/>
        </w:rPr>
        <w:t>not </w:t>
      </w:r>
      <w:r>
        <w:rPr>
          <w:spacing w:val="-3"/>
          <w:w w:val="105"/>
          <w:sz w:val="21"/>
        </w:rPr>
        <w:t>to </w:t>
      </w:r>
      <w:r>
        <w:rPr>
          <w:w w:val="105"/>
          <w:sz w:val="21"/>
        </w:rPr>
        <w:t>the party </w:t>
      </w:r>
      <w:r>
        <w:rPr>
          <w:spacing w:val="-3"/>
          <w:w w:val="105"/>
          <w:sz w:val="21"/>
        </w:rPr>
        <w:t>retaining </w:t>
      </w:r>
      <w:r>
        <w:rPr>
          <w:w w:val="105"/>
          <w:sz w:val="21"/>
        </w:rPr>
        <w:t>the</w:t>
      </w:r>
      <w:r>
        <w:rPr>
          <w:spacing w:val="5"/>
          <w:w w:val="105"/>
          <w:sz w:val="21"/>
        </w:rPr>
        <w:t> </w:t>
      </w:r>
      <w:r>
        <w:rPr>
          <w:w w:val="105"/>
          <w:sz w:val="21"/>
        </w:rPr>
        <w:t>expert.</w:t>
      </w:r>
    </w:p>
    <w:p>
      <w:pPr>
        <w:pStyle w:val="ListParagraph"/>
        <w:numPr>
          <w:ilvl w:val="2"/>
          <w:numId w:val="133"/>
        </w:numPr>
        <w:tabs>
          <w:tab w:pos="2721" w:val="left" w:leader="none"/>
          <w:tab w:pos="2722" w:val="left" w:leader="none"/>
        </w:tabs>
        <w:spacing w:line="242" w:lineRule="auto" w:before="88" w:after="0"/>
        <w:ind w:left="2721" w:right="1717" w:hanging="340"/>
        <w:jc w:val="left"/>
        <w:rPr>
          <w:sz w:val="21"/>
        </w:rPr>
      </w:pPr>
      <w:r>
        <w:rPr>
          <w:sz w:val="21"/>
        </w:rPr>
        <w:t>An expert witness </w:t>
      </w:r>
      <w:r>
        <w:rPr>
          <w:spacing w:val="-2"/>
          <w:sz w:val="21"/>
        </w:rPr>
        <w:t>has </w:t>
      </w:r>
      <w:r>
        <w:rPr>
          <w:sz w:val="21"/>
        </w:rPr>
        <w:t>an </w:t>
      </w:r>
      <w:r>
        <w:rPr>
          <w:spacing w:val="-3"/>
          <w:sz w:val="21"/>
        </w:rPr>
        <w:t>overriding </w:t>
      </w:r>
      <w:r>
        <w:rPr>
          <w:sz w:val="21"/>
        </w:rPr>
        <w:t>duty </w:t>
      </w:r>
      <w:r>
        <w:rPr>
          <w:spacing w:val="-3"/>
          <w:sz w:val="21"/>
        </w:rPr>
        <w:t>to </w:t>
      </w:r>
      <w:r>
        <w:rPr>
          <w:sz w:val="21"/>
        </w:rPr>
        <w:t>assist the </w:t>
      </w:r>
      <w:r>
        <w:rPr>
          <w:spacing w:val="-5"/>
          <w:sz w:val="21"/>
        </w:rPr>
        <w:t>Tribunal </w:t>
      </w:r>
      <w:r>
        <w:rPr>
          <w:sz w:val="21"/>
        </w:rPr>
        <w:t>on matters </w:t>
      </w:r>
      <w:r>
        <w:rPr>
          <w:spacing w:val="-3"/>
          <w:sz w:val="21"/>
        </w:rPr>
        <w:t>relevant to </w:t>
      </w:r>
      <w:r>
        <w:rPr>
          <w:sz w:val="21"/>
        </w:rPr>
        <w:t>the expert’s</w:t>
      </w:r>
      <w:r>
        <w:rPr>
          <w:spacing w:val="16"/>
          <w:sz w:val="21"/>
        </w:rPr>
        <w:t> </w:t>
      </w:r>
      <w:r>
        <w:rPr>
          <w:sz w:val="21"/>
        </w:rPr>
        <w:t>expertise.</w:t>
      </w:r>
    </w:p>
    <w:p>
      <w:pPr>
        <w:pStyle w:val="ListParagraph"/>
        <w:numPr>
          <w:ilvl w:val="2"/>
          <w:numId w:val="133"/>
        </w:numPr>
        <w:tabs>
          <w:tab w:pos="2721" w:val="left" w:leader="none"/>
          <w:tab w:pos="2722" w:val="left" w:leader="none"/>
        </w:tabs>
        <w:spacing w:line="240" w:lineRule="auto" w:before="87" w:after="0"/>
        <w:ind w:left="2721" w:right="0" w:hanging="340"/>
        <w:jc w:val="left"/>
        <w:rPr>
          <w:sz w:val="12"/>
        </w:rPr>
      </w:pPr>
      <w:r>
        <w:rPr>
          <w:w w:val="105"/>
          <w:sz w:val="21"/>
        </w:rPr>
        <w:t>An</w:t>
      </w:r>
      <w:r>
        <w:rPr>
          <w:spacing w:val="4"/>
          <w:w w:val="105"/>
          <w:sz w:val="21"/>
        </w:rPr>
        <w:t> </w:t>
      </w:r>
      <w:r>
        <w:rPr>
          <w:w w:val="105"/>
          <w:sz w:val="21"/>
        </w:rPr>
        <w:t>expert</w:t>
      </w:r>
      <w:r>
        <w:rPr>
          <w:spacing w:val="5"/>
          <w:w w:val="105"/>
          <w:sz w:val="21"/>
        </w:rPr>
        <w:t> </w:t>
      </w:r>
      <w:r>
        <w:rPr>
          <w:w w:val="105"/>
          <w:sz w:val="21"/>
        </w:rPr>
        <w:t>witness</w:t>
      </w:r>
      <w:r>
        <w:rPr>
          <w:spacing w:val="4"/>
          <w:w w:val="105"/>
          <w:sz w:val="21"/>
        </w:rPr>
        <w:t> </w:t>
      </w:r>
      <w:r>
        <w:rPr>
          <w:w w:val="105"/>
          <w:sz w:val="21"/>
        </w:rPr>
        <w:t>is</w:t>
      </w:r>
      <w:r>
        <w:rPr>
          <w:spacing w:val="5"/>
          <w:w w:val="105"/>
          <w:sz w:val="21"/>
        </w:rPr>
        <w:t> </w:t>
      </w:r>
      <w:r>
        <w:rPr>
          <w:spacing w:val="-2"/>
          <w:w w:val="105"/>
          <w:sz w:val="21"/>
        </w:rPr>
        <w:t>not</w:t>
      </w:r>
      <w:r>
        <w:rPr>
          <w:spacing w:val="4"/>
          <w:w w:val="105"/>
          <w:sz w:val="21"/>
        </w:rPr>
        <w:t> </w:t>
      </w:r>
      <w:r>
        <w:rPr>
          <w:w w:val="105"/>
          <w:sz w:val="21"/>
        </w:rPr>
        <w:t>an</w:t>
      </w:r>
      <w:r>
        <w:rPr>
          <w:spacing w:val="5"/>
          <w:w w:val="105"/>
          <w:sz w:val="21"/>
        </w:rPr>
        <w:t> </w:t>
      </w:r>
      <w:r>
        <w:rPr>
          <w:w w:val="105"/>
          <w:sz w:val="21"/>
        </w:rPr>
        <w:t>advocate</w:t>
      </w:r>
      <w:r>
        <w:rPr>
          <w:spacing w:val="5"/>
          <w:w w:val="105"/>
          <w:sz w:val="21"/>
        </w:rPr>
        <w:t> </w:t>
      </w:r>
      <w:r>
        <w:rPr>
          <w:spacing w:val="-3"/>
          <w:w w:val="105"/>
          <w:sz w:val="21"/>
        </w:rPr>
        <w:t>for</w:t>
      </w:r>
      <w:r>
        <w:rPr>
          <w:spacing w:val="4"/>
          <w:w w:val="105"/>
          <w:sz w:val="21"/>
        </w:rPr>
        <w:t> </w:t>
      </w:r>
      <w:r>
        <w:rPr>
          <w:w w:val="105"/>
          <w:sz w:val="21"/>
        </w:rPr>
        <w:t>a</w:t>
      </w:r>
      <w:r>
        <w:rPr>
          <w:spacing w:val="5"/>
          <w:w w:val="105"/>
          <w:sz w:val="21"/>
        </w:rPr>
        <w:t> </w:t>
      </w:r>
      <w:r>
        <w:rPr>
          <w:w w:val="105"/>
          <w:sz w:val="21"/>
        </w:rPr>
        <w:t>party</w:t>
      </w:r>
      <w:r>
        <w:rPr>
          <w:spacing w:val="4"/>
          <w:w w:val="105"/>
          <w:sz w:val="21"/>
        </w:rPr>
        <w:t> </w:t>
      </w:r>
      <w:r>
        <w:rPr>
          <w:spacing w:val="-3"/>
          <w:w w:val="105"/>
          <w:sz w:val="21"/>
        </w:rPr>
        <w:t>to</w:t>
      </w:r>
      <w:r>
        <w:rPr>
          <w:spacing w:val="5"/>
          <w:w w:val="105"/>
          <w:sz w:val="21"/>
        </w:rPr>
        <w:t> </w:t>
      </w:r>
      <w:r>
        <w:rPr>
          <w:w w:val="105"/>
          <w:sz w:val="21"/>
        </w:rPr>
        <w:t>a</w:t>
      </w:r>
      <w:r>
        <w:rPr>
          <w:spacing w:val="4"/>
          <w:w w:val="105"/>
          <w:sz w:val="21"/>
        </w:rPr>
        <w:t> </w:t>
      </w:r>
      <w:r>
        <w:rPr>
          <w:spacing w:val="-5"/>
          <w:w w:val="105"/>
          <w:sz w:val="21"/>
        </w:rPr>
        <w:t>proceeding.</w:t>
      </w:r>
      <w:r>
        <w:rPr>
          <w:spacing w:val="-5"/>
          <w:w w:val="105"/>
          <w:position w:val="7"/>
          <w:sz w:val="12"/>
        </w:rPr>
        <w:t>161</w:t>
      </w:r>
    </w:p>
    <w:p>
      <w:pPr>
        <w:pStyle w:val="ListParagraph"/>
        <w:numPr>
          <w:ilvl w:val="1"/>
          <w:numId w:val="133"/>
        </w:numPr>
        <w:tabs>
          <w:tab w:pos="2381" w:val="left" w:leader="none"/>
          <w:tab w:pos="2382" w:val="left" w:leader="none"/>
        </w:tabs>
        <w:spacing w:line="242" w:lineRule="auto" w:before="88" w:after="0"/>
        <w:ind w:left="2381" w:right="1765" w:hanging="794"/>
        <w:jc w:val="left"/>
        <w:rPr>
          <w:sz w:val="12"/>
        </w:rPr>
      </w:pPr>
      <w:r>
        <w:rPr>
          <w:spacing w:val="-5"/>
          <w:w w:val="105"/>
          <w:sz w:val="21"/>
        </w:rPr>
        <w:t>VCAT </w:t>
      </w:r>
      <w:r>
        <w:rPr>
          <w:w w:val="105"/>
          <w:sz w:val="21"/>
        </w:rPr>
        <w:t>told the </w:t>
      </w:r>
      <w:r>
        <w:rPr>
          <w:spacing w:val="-3"/>
          <w:w w:val="105"/>
          <w:sz w:val="21"/>
        </w:rPr>
        <w:t>Commission that </w:t>
      </w:r>
      <w:r>
        <w:rPr>
          <w:w w:val="105"/>
          <w:sz w:val="21"/>
        </w:rPr>
        <w:t>80 per </w:t>
      </w:r>
      <w:r>
        <w:rPr>
          <w:spacing w:val="-3"/>
          <w:w w:val="105"/>
          <w:sz w:val="21"/>
        </w:rPr>
        <w:t>cent </w:t>
      </w:r>
      <w:r>
        <w:rPr>
          <w:w w:val="105"/>
          <w:sz w:val="21"/>
        </w:rPr>
        <w:t>of parties at </w:t>
      </w:r>
      <w:r>
        <w:rPr>
          <w:spacing w:val="-5"/>
          <w:w w:val="105"/>
          <w:sz w:val="21"/>
        </w:rPr>
        <w:t>VCAT </w:t>
      </w:r>
      <w:r>
        <w:rPr>
          <w:spacing w:val="-3"/>
          <w:w w:val="105"/>
          <w:sz w:val="21"/>
        </w:rPr>
        <w:t>are </w:t>
      </w:r>
      <w:r>
        <w:rPr>
          <w:spacing w:val="-4"/>
          <w:w w:val="105"/>
          <w:sz w:val="21"/>
        </w:rPr>
        <w:t>self-represented.</w:t>
      </w:r>
      <w:r>
        <w:rPr>
          <w:spacing w:val="-4"/>
          <w:w w:val="105"/>
          <w:position w:val="7"/>
          <w:sz w:val="12"/>
        </w:rPr>
        <w:t>162</w:t>
      </w:r>
      <w:r>
        <w:rPr>
          <w:spacing w:val="-4"/>
          <w:w w:val="105"/>
          <w:sz w:val="12"/>
        </w:rPr>
        <w:t> </w:t>
      </w:r>
      <w:r>
        <w:rPr>
          <w:w w:val="105"/>
          <w:sz w:val="21"/>
        </w:rPr>
        <w:t>Expert</w:t>
      </w:r>
      <w:r>
        <w:rPr>
          <w:spacing w:val="-7"/>
          <w:w w:val="105"/>
          <w:sz w:val="21"/>
        </w:rPr>
        <w:t> </w:t>
      </w:r>
      <w:r>
        <w:rPr>
          <w:w w:val="105"/>
          <w:sz w:val="21"/>
        </w:rPr>
        <w:t>evidence</w:t>
      </w:r>
      <w:r>
        <w:rPr>
          <w:spacing w:val="-7"/>
          <w:w w:val="105"/>
          <w:sz w:val="21"/>
        </w:rPr>
        <w:t> </w:t>
      </w:r>
      <w:r>
        <w:rPr>
          <w:w w:val="105"/>
          <w:sz w:val="21"/>
        </w:rPr>
        <w:t>can</w:t>
      </w:r>
      <w:r>
        <w:rPr>
          <w:spacing w:val="-6"/>
          <w:w w:val="105"/>
          <w:sz w:val="21"/>
        </w:rPr>
        <w:t> </w:t>
      </w:r>
      <w:r>
        <w:rPr>
          <w:w w:val="105"/>
          <w:sz w:val="21"/>
        </w:rPr>
        <w:t>be</w:t>
      </w:r>
      <w:r>
        <w:rPr>
          <w:spacing w:val="-7"/>
          <w:w w:val="105"/>
          <w:sz w:val="21"/>
        </w:rPr>
        <w:t> </w:t>
      </w:r>
      <w:r>
        <w:rPr>
          <w:w w:val="105"/>
          <w:sz w:val="21"/>
        </w:rPr>
        <w:t>a</w:t>
      </w:r>
      <w:r>
        <w:rPr>
          <w:spacing w:val="-7"/>
          <w:w w:val="105"/>
          <w:sz w:val="21"/>
        </w:rPr>
        <w:t> </w:t>
      </w:r>
      <w:r>
        <w:rPr>
          <w:spacing w:val="-3"/>
          <w:w w:val="105"/>
          <w:sz w:val="21"/>
        </w:rPr>
        <w:t>significant</w:t>
      </w:r>
      <w:r>
        <w:rPr>
          <w:spacing w:val="-6"/>
          <w:w w:val="105"/>
          <w:sz w:val="21"/>
        </w:rPr>
        <w:t> </w:t>
      </w:r>
      <w:r>
        <w:rPr>
          <w:w w:val="105"/>
          <w:sz w:val="21"/>
        </w:rPr>
        <w:t>cost</w:t>
      </w:r>
      <w:r>
        <w:rPr>
          <w:spacing w:val="-7"/>
          <w:w w:val="105"/>
          <w:sz w:val="21"/>
        </w:rPr>
        <w:t> </w:t>
      </w:r>
      <w:r>
        <w:rPr>
          <w:spacing w:val="-3"/>
          <w:w w:val="105"/>
          <w:sz w:val="21"/>
        </w:rPr>
        <w:t>to</w:t>
      </w:r>
      <w:r>
        <w:rPr>
          <w:spacing w:val="-6"/>
          <w:w w:val="105"/>
          <w:sz w:val="21"/>
        </w:rPr>
        <w:t> </w:t>
      </w:r>
      <w:r>
        <w:rPr>
          <w:w w:val="105"/>
          <w:sz w:val="21"/>
        </w:rPr>
        <w:t>the</w:t>
      </w:r>
      <w:r>
        <w:rPr>
          <w:spacing w:val="-7"/>
          <w:w w:val="105"/>
          <w:sz w:val="21"/>
        </w:rPr>
        <w:t> </w:t>
      </w:r>
      <w:r>
        <w:rPr>
          <w:w w:val="105"/>
          <w:sz w:val="21"/>
        </w:rPr>
        <w:t>parties.</w:t>
      </w:r>
      <w:r>
        <w:rPr>
          <w:spacing w:val="-7"/>
          <w:w w:val="105"/>
          <w:sz w:val="21"/>
        </w:rPr>
        <w:t> </w:t>
      </w:r>
      <w:r>
        <w:rPr>
          <w:w w:val="105"/>
          <w:sz w:val="21"/>
        </w:rPr>
        <w:t>It</w:t>
      </w:r>
      <w:r>
        <w:rPr>
          <w:spacing w:val="-6"/>
          <w:w w:val="105"/>
          <w:sz w:val="21"/>
        </w:rPr>
        <w:t> </w:t>
      </w:r>
      <w:r>
        <w:rPr>
          <w:w w:val="105"/>
          <w:sz w:val="21"/>
        </w:rPr>
        <w:t>was</w:t>
      </w:r>
      <w:r>
        <w:rPr>
          <w:spacing w:val="-7"/>
          <w:w w:val="105"/>
          <w:sz w:val="21"/>
        </w:rPr>
        <w:t> </w:t>
      </w:r>
      <w:r>
        <w:rPr>
          <w:w w:val="105"/>
          <w:sz w:val="21"/>
        </w:rPr>
        <w:t>suggested</w:t>
      </w:r>
      <w:r>
        <w:rPr>
          <w:spacing w:val="-6"/>
          <w:w w:val="105"/>
          <w:sz w:val="21"/>
        </w:rPr>
        <w:t> </w:t>
      </w:r>
      <w:r>
        <w:rPr>
          <w:spacing w:val="-3"/>
          <w:w w:val="105"/>
          <w:sz w:val="21"/>
        </w:rPr>
        <w:t>that</w:t>
      </w:r>
      <w:r>
        <w:rPr>
          <w:spacing w:val="-7"/>
          <w:w w:val="105"/>
          <w:sz w:val="21"/>
        </w:rPr>
        <w:t> </w:t>
      </w:r>
      <w:r>
        <w:rPr>
          <w:w w:val="105"/>
          <w:sz w:val="21"/>
        </w:rPr>
        <w:t>regardless of</w:t>
      </w:r>
      <w:r>
        <w:rPr>
          <w:spacing w:val="-7"/>
          <w:w w:val="105"/>
          <w:sz w:val="21"/>
        </w:rPr>
        <w:t> </w:t>
      </w:r>
      <w:r>
        <w:rPr>
          <w:w w:val="105"/>
          <w:sz w:val="21"/>
        </w:rPr>
        <w:t>whether</w:t>
      </w:r>
      <w:r>
        <w:rPr>
          <w:spacing w:val="-7"/>
          <w:w w:val="105"/>
          <w:sz w:val="21"/>
        </w:rPr>
        <w:t> </w:t>
      </w:r>
      <w:r>
        <w:rPr>
          <w:w w:val="105"/>
          <w:sz w:val="21"/>
        </w:rPr>
        <w:t>the</w:t>
      </w:r>
      <w:r>
        <w:rPr>
          <w:spacing w:val="-6"/>
          <w:w w:val="105"/>
          <w:sz w:val="21"/>
        </w:rPr>
        <w:t> </w:t>
      </w:r>
      <w:r>
        <w:rPr>
          <w:w w:val="105"/>
          <w:sz w:val="21"/>
        </w:rPr>
        <w:t>parties</w:t>
      </w:r>
      <w:r>
        <w:rPr>
          <w:spacing w:val="-7"/>
          <w:w w:val="105"/>
          <w:sz w:val="21"/>
        </w:rPr>
        <w:t> </w:t>
      </w:r>
      <w:r>
        <w:rPr>
          <w:spacing w:val="-3"/>
          <w:w w:val="105"/>
          <w:sz w:val="21"/>
        </w:rPr>
        <w:t>have</w:t>
      </w:r>
      <w:r>
        <w:rPr>
          <w:spacing w:val="-7"/>
          <w:w w:val="105"/>
          <w:sz w:val="21"/>
        </w:rPr>
        <w:t> </w:t>
      </w:r>
      <w:r>
        <w:rPr>
          <w:w w:val="105"/>
          <w:sz w:val="21"/>
        </w:rPr>
        <w:t>engaged</w:t>
      </w:r>
      <w:r>
        <w:rPr>
          <w:spacing w:val="-6"/>
          <w:w w:val="105"/>
          <w:sz w:val="21"/>
        </w:rPr>
        <w:t> </w:t>
      </w:r>
      <w:r>
        <w:rPr>
          <w:w w:val="105"/>
          <w:sz w:val="21"/>
        </w:rPr>
        <w:t>an</w:t>
      </w:r>
      <w:r>
        <w:rPr>
          <w:spacing w:val="-7"/>
          <w:w w:val="105"/>
          <w:sz w:val="21"/>
        </w:rPr>
        <w:t> </w:t>
      </w:r>
      <w:r>
        <w:rPr>
          <w:w w:val="105"/>
          <w:sz w:val="21"/>
        </w:rPr>
        <w:t>expert</w:t>
      </w:r>
      <w:r>
        <w:rPr>
          <w:spacing w:val="-7"/>
          <w:w w:val="105"/>
          <w:sz w:val="21"/>
        </w:rPr>
        <w:t> </w:t>
      </w:r>
      <w:r>
        <w:rPr>
          <w:w w:val="105"/>
          <w:sz w:val="21"/>
        </w:rPr>
        <w:t>or</w:t>
      </w:r>
      <w:r>
        <w:rPr>
          <w:spacing w:val="-6"/>
          <w:w w:val="105"/>
          <w:sz w:val="21"/>
        </w:rPr>
        <w:t> </w:t>
      </w:r>
      <w:r>
        <w:rPr>
          <w:w w:val="105"/>
          <w:sz w:val="21"/>
        </w:rPr>
        <w:t>not,</w:t>
      </w:r>
      <w:r>
        <w:rPr>
          <w:spacing w:val="-7"/>
          <w:w w:val="105"/>
          <w:sz w:val="21"/>
        </w:rPr>
        <w:t> </w:t>
      </w:r>
      <w:r>
        <w:rPr>
          <w:w w:val="105"/>
          <w:sz w:val="21"/>
        </w:rPr>
        <w:t>they</w:t>
      </w:r>
      <w:r>
        <w:rPr>
          <w:spacing w:val="-7"/>
          <w:w w:val="105"/>
          <w:sz w:val="21"/>
        </w:rPr>
        <w:t> </w:t>
      </w:r>
      <w:r>
        <w:rPr>
          <w:spacing w:val="-3"/>
          <w:w w:val="105"/>
          <w:sz w:val="21"/>
        </w:rPr>
        <w:t>are</w:t>
      </w:r>
      <w:r>
        <w:rPr>
          <w:spacing w:val="-6"/>
          <w:w w:val="105"/>
          <w:sz w:val="21"/>
        </w:rPr>
        <w:t> </w:t>
      </w:r>
      <w:r>
        <w:rPr>
          <w:w w:val="105"/>
          <w:sz w:val="21"/>
        </w:rPr>
        <w:t>often</w:t>
      </w:r>
      <w:r>
        <w:rPr>
          <w:spacing w:val="-7"/>
          <w:w w:val="105"/>
          <w:sz w:val="21"/>
        </w:rPr>
        <w:t> </w:t>
      </w:r>
      <w:r>
        <w:rPr>
          <w:w w:val="105"/>
          <w:sz w:val="21"/>
        </w:rPr>
        <w:t>dependent</w:t>
      </w:r>
      <w:r>
        <w:rPr>
          <w:spacing w:val="-7"/>
          <w:w w:val="105"/>
          <w:sz w:val="21"/>
        </w:rPr>
        <w:t> </w:t>
      </w:r>
      <w:r>
        <w:rPr>
          <w:w w:val="105"/>
          <w:sz w:val="21"/>
        </w:rPr>
        <w:t>on</w:t>
      </w:r>
      <w:r>
        <w:rPr>
          <w:spacing w:val="-6"/>
          <w:w w:val="105"/>
          <w:sz w:val="21"/>
        </w:rPr>
        <w:t> </w:t>
      </w:r>
      <w:r>
        <w:rPr>
          <w:w w:val="105"/>
          <w:sz w:val="21"/>
        </w:rPr>
        <w:t>the expertise of the </w:t>
      </w:r>
      <w:r>
        <w:rPr>
          <w:spacing w:val="-3"/>
          <w:w w:val="105"/>
          <w:sz w:val="21"/>
        </w:rPr>
        <w:t>judicial </w:t>
      </w:r>
      <w:r>
        <w:rPr>
          <w:w w:val="105"/>
          <w:sz w:val="21"/>
        </w:rPr>
        <w:t>officer or</w:t>
      </w:r>
      <w:r>
        <w:rPr>
          <w:spacing w:val="29"/>
          <w:w w:val="105"/>
          <w:sz w:val="21"/>
        </w:rPr>
        <w:t> </w:t>
      </w:r>
      <w:r>
        <w:rPr>
          <w:spacing w:val="-5"/>
          <w:w w:val="105"/>
          <w:sz w:val="21"/>
        </w:rPr>
        <w:t>member.</w:t>
      </w:r>
      <w:r>
        <w:rPr>
          <w:spacing w:val="-5"/>
          <w:w w:val="105"/>
          <w:position w:val="7"/>
          <w:sz w:val="12"/>
        </w:rPr>
        <w:t>163</w:t>
      </w:r>
    </w:p>
    <w:p>
      <w:pPr>
        <w:pStyle w:val="ListParagraph"/>
        <w:numPr>
          <w:ilvl w:val="1"/>
          <w:numId w:val="133"/>
        </w:numPr>
        <w:tabs>
          <w:tab w:pos="2380" w:val="left" w:leader="none"/>
          <w:tab w:pos="2381" w:val="left" w:leader="none"/>
        </w:tabs>
        <w:spacing w:line="242" w:lineRule="auto" w:before="125" w:after="0"/>
        <w:ind w:left="2381" w:right="1610" w:hanging="794"/>
        <w:jc w:val="left"/>
        <w:rPr>
          <w:sz w:val="12"/>
        </w:rPr>
      </w:pPr>
      <w:r>
        <w:rPr>
          <w:w w:val="105"/>
          <w:sz w:val="21"/>
        </w:rPr>
        <w:t>In</w:t>
      </w:r>
      <w:r>
        <w:rPr>
          <w:spacing w:val="-14"/>
          <w:w w:val="105"/>
          <w:sz w:val="21"/>
        </w:rPr>
        <w:t> </w:t>
      </w:r>
      <w:r>
        <w:rPr>
          <w:w w:val="105"/>
          <w:sz w:val="21"/>
        </w:rPr>
        <w:t>the</w:t>
      </w:r>
      <w:r>
        <w:rPr>
          <w:spacing w:val="-13"/>
          <w:w w:val="105"/>
          <w:sz w:val="21"/>
        </w:rPr>
        <w:t> </w:t>
      </w:r>
      <w:r>
        <w:rPr>
          <w:spacing w:val="-3"/>
          <w:w w:val="105"/>
          <w:sz w:val="21"/>
        </w:rPr>
        <w:t>Planning</w:t>
      </w:r>
      <w:r>
        <w:rPr>
          <w:spacing w:val="-13"/>
          <w:w w:val="105"/>
          <w:sz w:val="21"/>
        </w:rPr>
        <w:t> </w:t>
      </w:r>
      <w:r>
        <w:rPr>
          <w:w w:val="105"/>
          <w:sz w:val="21"/>
        </w:rPr>
        <w:t>and</w:t>
      </w:r>
      <w:r>
        <w:rPr>
          <w:spacing w:val="-13"/>
          <w:w w:val="105"/>
          <w:sz w:val="21"/>
        </w:rPr>
        <w:t> </w:t>
      </w:r>
      <w:r>
        <w:rPr>
          <w:spacing w:val="-3"/>
          <w:w w:val="105"/>
          <w:sz w:val="21"/>
        </w:rPr>
        <w:t>Environment</w:t>
      </w:r>
      <w:r>
        <w:rPr>
          <w:spacing w:val="-13"/>
          <w:w w:val="105"/>
          <w:sz w:val="21"/>
        </w:rPr>
        <w:t> </w:t>
      </w:r>
      <w:r>
        <w:rPr>
          <w:w w:val="105"/>
          <w:sz w:val="21"/>
        </w:rPr>
        <w:t>List,</w:t>
      </w:r>
      <w:r>
        <w:rPr>
          <w:spacing w:val="-13"/>
          <w:w w:val="105"/>
          <w:sz w:val="21"/>
        </w:rPr>
        <w:t> </w:t>
      </w:r>
      <w:r>
        <w:rPr>
          <w:w w:val="105"/>
          <w:sz w:val="21"/>
        </w:rPr>
        <w:t>expert</w:t>
      </w:r>
      <w:r>
        <w:rPr>
          <w:spacing w:val="-13"/>
          <w:w w:val="105"/>
          <w:sz w:val="21"/>
        </w:rPr>
        <w:t> </w:t>
      </w:r>
      <w:r>
        <w:rPr>
          <w:w w:val="105"/>
          <w:sz w:val="21"/>
        </w:rPr>
        <w:t>evidence</w:t>
      </w:r>
      <w:r>
        <w:rPr>
          <w:spacing w:val="-13"/>
          <w:w w:val="105"/>
          <w:sz w:val="21"/>
        </w:rPr>
        <w:t> </w:t>
      </w:r>
      <w:r>
        <w:rPr>
          <w:spacing w:val="-3"/>
          <w:w w:val="105"/>
          <w:sz w:val="21"/>
        </w:rPr>
        <w:t>from</w:t>
      </w:r>
      <w:r>
        <w:rPr>
          <w:spacing w:val="-13"/>
          <w:w w:val="105"/>
          <w:sz w:val="21"/>
        </w:rPr>
        <w:t> </w:t>
      </w:r>
      <w:r>
        <w:rPr>
          <w:w w:val="105"/>
          <w:sz w:val="21"/>
        </w:rPr>
        <w:t>arborists</w:t>
      </w:r>
      <w:r>
        <w:rPr>
          <w:spacing w:val="-13"/>
          <w:w w:val="105"/>
          <w:sz w:val="21"/>
        </w:rPr>
        <w:t> </w:t>
      </w:r>
      <w:r>
        <w:rPr>
          <w:w w:val="105"/>
          <w:sz w:val="21"/>
        </w:rPr>
        <w:t>is</w:t>
      </w:r>
      <w:r>
        <w:rPr>
          <w:spacing w:val="-13"/>
          <w:w w:val="105"/>
          <w:sz w:val="21"/>
        </w:rPr>
        <w:t> </w:t>
      </w:r>
      <w:r>
        <w:rPr>
          <w:spacing w:val="-3"/>
          <w:w w:val="105"/>
          <w:sz w:val="21"/>
        </w:rPr>
        <w:t>frequently</w:t>
      </w:r>
      <w:r>
        <w:rPr>
          <w:spacing w:val="-13"/>
          <w:w w:val="105"/>
          <w:sz w:val="21"/>
        </w:rPr>
        <w:t> </w:t>
      </w:r>
      <w:r>
        <w:rPr>
          <w:w w:val="105"/>
          <w:sz w:val="21"/>
        </w:rPr>
        <w:t>received about the </w:t>
      </w:r>
      <w:r>
        <w:rPr>
          <w:spacing w:val="-3"/>
          <w:w w:val="105"/>
          <w:sz w:val="21"/>
        </w:rPr>
        <w:t>health </w:t>
      </w:r>
      <w:r>
        <w:rPr>
          <w:w w:val="105"/>
          <w:sz w:val="21"/>
        </w:rPr>
        <w:t>of a </w:t>
      </w:r>
      <w:r>
        <w:rPr>
          <w:spacing w:val="-3"/>
          <w:w w:val="105"/>
          <w:sz w:val="21"/>
        </w:rPr>
        <w:t>tree, </w:t>
      </w:r>
      <w:r>
        <w:rPr>
          <w:w w:val="105"/>
          <w:sz w:val="21"/>
        </w:rPr>
        <w:t>its </w:t>
      </w:r>
      <w:r>
        <w:rPr>
          <w:spacing w:val="-3"/>
          <w:w w:val="105"/>
          <w:sz w:val="21"/>
        </w:rPr>
        <w:t>longevity, implications </w:t>
      </w:r>
      <w:r>
        <w:rPr>
          <w:w w:val="105"/>
          <w:sz w:val="21"/>
        </w:rPr>
        <w:t>of cutting roots, and protective </w:t>
      </w:r>
      <w:r>
        <w:rPr>
          <w:spacing w:val="-4"/>
          <w:w w:val="105"/>
          <w:sz w:val="21"/>
        </w:rPr>
        <w:t>mechanisms.</w:t>
      </w:r>
      <w:r>
        <w:rPr>
          <w:spacing w:val="-4"/>
          <w:w w:val="105"/>
          <w:position w:val="7"/>
          <w:sz w:val="12"/>
        </w:rPr>
        <w:t>164 </w:t>
      </w:r>
      <w:r>
        <w:rPr>
          <w:w w:val="105"/>
          <w:sz w:val="21"/>
        </w:rPr>
        <w:t>It was suggested </w:t>
      </w:r>
      <w:r>
        <w:rPr>
          <w:spacing w:val="-3"/>
          <w:w w:val="105"/>
          <w:sz w:val="21"/>
        </w:rPr>
        <w:t>that </w:t>
      </w:r>
      <w:r>
        <w:rPr>
          <w:spacing w:val="-5"/>
          <w:w w:val="105"/>
          <w:sz w:val="21"/>
        </w:rPr>
        <w:t>VCAT </w:t>
      </w:r>
      <w:r>
        <w:rPr>
          <w:w w:val="105"/>
          <w:sz w:val="21"/>
        </w:rPr>
        <w:t>members in the </w:t>
      </w:r>
      <w:r>
        <w:rPr>
          <w:spacing w:val="-3"/>
          <w:w w:val="105"/>
          <w:sz w:val="21"/>
        </w:rPr>
        <w:t>Planning </w:t>
      </w:r>
      <w:r>
        <w:rPr>
          <w:w w:val="105"/>
          <w:sz w:val="21"/>
        </w:rPr>
        <w:t>and </w:t>
      </w:r>
      <w:r>
        <w:rPr>
          <w:spacing w:val="-3"/>
          <w:w w:val="105"/>
          <w:sz w:val="21"/>
        </w:rPr>
        <w:t>Environment  </w:t>
      </w:r>
      <w:r>
        <w:rPr>
          <w:w w:val="105"/>
          <w:sz w:val="21"/>
        </w:rPr>
        <w:t>List develop </w:t>
      </w:r>
      <w:r>
        <w:rPr>
          <w:spacing w:val="-3"/>
          <w:w w:val="105"/>
          <w:sz w:val="21"/>
        </w:rPr>
        <w:t>skills </w:t>
      </w:r>
      <w:r>
        <w:rPr>
          <w:w w:val="105"/>
          <w:sz w:val="21"/>
        </w:rPr>
        <w:t>in assessing the accuracy of reports and </w:t>
      </w:r>
      <w:r>
        <w:rPr>
          <w:spacing w:val="-5"/>
          <w:w w:val="105"/>
          <w:sz w:val="21"/>
        </w:rPr>
        <w:t>VCAT </w:t>
      </w:r>
      <w:r>
        <w:rPr>
          <w:w w:val="105"/>
          <w:sz w:val="21"/>
        </w:rPr>
        <w:t>members </w:t>
      </w:r>
      <w:r>
        <w:rPr>
          <w:spacing w:val="-3"/>
          <w:w w:val="105"/>
          <w:sz w:val="21"/>
        </w:rPr>
        <w:t>are </w:t>
      </w:r>
      <w:r>
        <w:rPr>
          <w:spacing w:val="-2"/>
          <w:w w:val="105"/>
          <w:sz w:val="21"/>
        </w:rPr>
        <w:t>not </w:t>
      </w:r>
      <w:r>
        <w:rPr>
          <w:w w:val="105"/>
          <w:sz w:val="21"/>
        </w:rPr>
        <w:t>bound by the evidence </w:t>
      </w:r>
      <w:r>
        <w:rPr>
          <w:spacing w:val="-3"/>
          <w:w w:val="105"/>
          <w:sz w:val="21"/>
        </w:rPr>
        <w:t>presented to</w:t>
      </w:r>
      <w:r>
        <w:rPr>
          <w:spacing w:val="27"/>
          <w:w w:val="105"/>
          <w:sz w:val="21"/>
        </w:rPr>
        <w:t> </w:t>
      </w:r>
      <w:r>
        <w:rPr>
          <w:spacing w:val="-5"/>
          <w:w w:val="105"/>
          <w:sz w:val="21"/>
        </w:rPr>
        <w:t>them.</w:t>
      </w:r>
      <w:r>
        <w:rPr>
          <w:spacing w:val="-5"/>
          <w:w w:val="105"/>
          <w:position w:val="7"/>
          <w:sz w:val="12"/>
        </w:rPr>
        <w:t>165</w:t>
      </w:r>
    </w:p>
    <w:p>
      <w:pPr>
        <w:pStyle w:val="BodyText"/>
        <w:spacing w:before="6"/>
        <w:rPr>
          <w:sz w:val="20"/>
        </w:rPr>
      </w:pPr>
    </w:p>
    <w:p>
      <w:pPr>
        <w:pStyle w:val="Heading5"/>
      </w:pPr>
      <w:r>
        <w:rPr>
          <w:w w:val="110"/>
        </w:rPr>
        <w:t>Other jurisdictions—expert evidence</w:t>
      </w:r>
    </w:p>
    <w:p>
      <w:pPr>
        <w:pStyle w:val="Heading7"/>
        <w:spacing w:before="168"/>
      </w:pPr>
      <w:r>
        <w:rPr>
          <w:w w:val="115"/>
        </w:rPr>
        <w:t>New South Wales</w:t>
      </w:r>
    </w:p>
    <w:p>
      <w:pPr>
        <w:pStyle w:val="ListParagraph"/>
        <w:numPr>
          <w:ilvl w:val="1"/>
          <w:numId w:val="133"/>
        </w:numPr>
        <w:tabs>
          <w:tab w:pos="2380" w:val="left" w:leader="none"/>
          <w:tab w:pos="2381" w:val="left" w:leader="none"/>
        </w:tabs>
        <w:spacing w:line="242" w:lineRule="auto" w:before="142" w:after="0"/>
        <w:ind w:left="2381" w:right="1680" w:hanging="794"/>
        <w:jc w:val="left"/>
        <w:rPr>
          <w:sz w:val="12"/>
        </w:rPr>
      </w:pPr>
      <w:r>
        <w:rPr>
          <w:w w:val="105"/>
          <w:sz w:val="21"/>
        </w:rPr>
        <w:t>The application </w:t>
      </w:r>
      <w:r>
        <w:rPr>
          <w:spacing w:val="-3"/>
          <w:w w:val="105"/>
          <w:sz w:val="21"/>
        </w:rPr>
        <w:t>form </w:t>
      </w:r>
      <w:r>
        <w:rPr>
          <w:w w:val="105"/>
          <w:sz w:val="21"/>
        </w:rPr>
        <w:t>in New South </w:t>
      </w:r>
      <w:r>
        <w:rPr>
          <w:spacing w:val="-3"/>
          <w:w w:val="105"/>
          <w:sz w:val="21"/>
        </w:rPr>
        <w:t>Wales </w:t>
      </w:r>
      <w:r>
        <w:rPr>
          <w:w w:val="105"/>
          <w:sz w:val="21"/>
        </w:rPr>
        <w:t>puts parties on </w:t>
      </w:r>
      <w:r>
        <w:rPr>
          <w:spacing w:val="-3"/>
          <w:w w:val="105"/>
          <w:sz w:val="21"/>
        </w:rPr>
        <w:t>notice </w:t>
      </w:r>
      <w:r>
        <w:rPr>
          <w:w w:val="105"/>
          <w:sz w:val="21"/>
        </w:rPr>
        <w:t>about the importance of </w:t>
      </w:r>
      <w:r>
        <w:rPr>
          <w:spacing w:val="-4"/>
          <w:w w:val="105"/>
          <w:sz w:val="21"/>
        </w:rPr>
        <w:t>evidence.</w:t>
      </w:r>
      <w:r>
        <w:rPr>
          <w:spacing w:val="-4"/>
          <w:w w:val="105"/>
          <w:position w:val="7"/>
          <w:sz w:val="12"/>
        </w:rPr>
        <w:t>166 </w:t>
      </w:r>
      <w:r>
        <w:rPr>
          <w:w w:val="105"/>
          <w:sz w:val="21"/>
        </w:rPr>
        <w:t>The NSWLEC </w:t>
      </w:r>
      <w:r>
        <w:rPr>
          <w:spacing w:val="-3"/>
          <w:w w:val="105"/>
          <w:sz w:val="21"/>
        </w:rPr>
        <w:t>encourages </w:t>
      </w:r>
      <w:r>
        <w:rPr>
          <w:w w:val="105"/>
          <w:sz w:val="21"/>
        </w:rPr>
        <w:t>parties </w:t>
      </w:r>
      <w:r>
        <w:rPr>
          <w:spacing w:val="-3"/>
          <w:w w:val="105"/>
          <w:sz w:val="21"/>
        </w:rPr>
        <w:t>to carefully consider </w:t>
      </w:r>
      <w:r>
        <w:rPr>
          <w:w w:val="105"/>
          <w:sz w:val="21"/>
        </w:rPr>
        <w:t>whether expert evidence is </w:t>
      </w:r>
      <w:r>
        <w:rPr>
          <w:spacing w:val="-4"/>
          <w:w w:val="105"/>
          <w:sz w:val="21"/>
        </w:rPr>
        <w:t>necessary.</w:t>
      </w:r>
      <w:r>
        <w:rPr>
          <w:spacing w:val="-4"/>
          <w:w w:val="105"/>
          <w:position w:val="7"/>
          <w:sz w:val="12"/>
        </w:rPr>
        <w:t>167 </w:t>
      </w:r>
      <w:r>
        <w:rPr>
          <w:w w:val="105"/>
          <w:sz w:val="21"/>
        </w:rPr>
        <w:t>It does this because tree </w:t>
      </w:r>
      <w:r>
        <w:rPr>
          <w:spacing w:val="-3"/>
          <w:w w:val="105"/>
          <w:sz w:val="21"/>
        </w:rPr>
        <w:t>dispute hearings are generally </w:t>
      </w:r>
      <w:r>
        <w:rPr>
          <w:w w:val="105"/>
          <w:sz w:val="21"/>
        </w:rPr>
        <w:t>fixed </w:t>
      </w:r>
      <w:r>
        <w:rPr>
          <w:spacing w:val="-3"/>
          <w:w w:val="105"/>
          <w:sz w:val="21"/>
        </w:rPr>
        <w:t>for </w:t>
      </w:r>
      <w:r>
        <w:rPr>
          <w:w w:val="105"/>
          <w:sz w:val="21"/>
        </w:rPr>
        <w:t>a final </w:t>
      </w:r>
      <w:r>
        <w:rPr>
          <w:spacing w:val="-3"/>
          <w:w w:val="105"/>
          <w:sz w:val="21"/>
        </w:rPr>
        <w:t>hearing before </w:t>
      </w:r>
      <w:r>
        <w:rPr>
          <w:w w:val="105"/>
          <w:sz w:val="21"/>
        </w:rPr>
        <w:t>a </w:t>
      </w:r>
      <w:r>
        <w:rPr>
          <w:spacing w:val="-3"/>
          <w:w w:val="105"/>
          <w:sz w:val="21"/>
        </w:rPr>
        <w:t>commissioner </w:t>
      </w:r>
      <w:r>
        <w:rPr>
          <w:w w:val="105"/>
          <w:sz w:val="21"/>
        </w:rPr>
        <w:t>who is a qualified </w:t>
      </w:r>
      <w:r>
        <w:rPr>
          <w:spacing w:val="-3"/>
          <w:w w:val="105"/>
          <w:sz w:val="21"/>
        </w:rPr>
        <w:t>arborist</w:t>
      </w:r>
      <w:r>
        <w:rPr>
          <w:spacing w:val="-3"/>
          <w:w w:val="105"/>
          <w:position w:val="7"/>
          <w:sz w:val="12"/>
        </w:rPr>
        <w:t>168 </w:t>
      </w:r>
      <w:r>
        <w:rPr>
          <w:w w:val="105"/>
          <w:sz w:val="21"/>
        </w:rPr>
        <w:t>and </w:t>
      </w:r>
      <w:r>
        <w:rPr>
          <w:spacing w:val="-3"/>
          <w:w w:val="105"/>
          <w:sz w:val="21"/>
        </w:rPr>
        <w:t>therefore </w:t>
      </w:r>
      <w:r>
        <w:rPr>
          <w:w w:val="105"/>
          <w:sz w:val="21"/>
        </w:rPr>
        <w:t>able </w:t>
      </w:r>
      <w:r>
        <w:rPr>
          <w:spacing w:val="-3"/>
          <w:w w:val="105"/>
          <w:sz w:val="21"/>
        </w:rPr>
        <w:t>to </w:t>
      </w:r>
      <w:r>
        <w:rPr>
          <w:w w:val="105"/>
          <w:sz w:val="21"/>
        </w:rPr>
        <w:t>use his or her knowledge of </w:t>
      </w:r>
      <w:r>
        <w:rPr>
          <w:spacing w:val="-3"/>
          <w:w w:val="105"/>
          <w:sz w:val="21"/>
        </w:rPr>
        <w:t>arboriculture </w:t>
      </w:r>
      <w:r>
        <w:rPr>
          <w:w w:val="105"/>
          <w:sz w:val="21"/>
        </w:rPr>
        <w:t>in </w:t>
      </w:r>
      <w:r>
        <w:rPr>
          <w:spacing w:val="-2"/>
          <w:w w:val="105"/>
          <w:sz w:val="21"/>
        </w:rPr>
        <w:t>deciding </w:t>
      </w:r>
      <w:r>
        <w:rPr>
          <w:w w:val="105"/>
          <w:sz w:val="21"/>
        </w:rPr>
        <w:t>the </w:t>
      </w:r>
      <w:r>
        <w:rPr>
          <w:spacing w:val="-3"/>
          <w:w w:val="105"/>
          <w:sz w:val="21"/>
        </w:rPr>
        <w:t>application. </w:t>
      </w:r>
      <w:r>
        <w:rPr>
          <w:w w:val="105"/>
          <w:sz w:val="21"/>
        </w:rPr>
        <w:t>The </w:t>
      </w:r>
      <w:r>
        <w:rPr>
          <w:spacing w:val="-3"/>
          <w:w w:val="105"/>
          <w:sz w:val="21"/>
        </w:rPr>
        <w:t>Court may </w:t>
      </w:r>
      <w:r>
        <w:rPr>
          <w:w w:val="105"/>
          <w:sz w:val="21"/>
        </w:rPr>
        <w:t>also engage arborists as </w:t>
      </w:r>
      <w:r>
        <w:rPr>
          <w:spacing w:val="-3"/>
          <w:w w:val="105"/>
          <w:sz w:val="21"/>
        </w:rPr>
        <w:t>court-appointed </w:t>
      </w:r>
      <w:r>
        <w:rPr>
          <w:w w:val="105"/>
          <w:sz w:val="21"/>
        </w:rPr>
        <w:t>experts in certain</w:t>
      </w:r>
      <w:r>
        <w:rPr>
          <w:spacing w:val="21"/>
          <w:w w:val="105"/>
          <w:sz w:val="21"/>
        </w:rPr>
        <w:t> </w:t>
      </w:r>
      <w:r>
        <w:rPr>
          <w:spacing w:val="-4"/>
          <w:w w:val="105"/>
          <w:sz w:val="21"/>
        </w:rPr>
        <w:t>circumstances.</w:t>
      </w:r>
      <w:r>
        <w:rPr>
          <w:spacing w:val="-4"/>
          <w:w w:val="105"/>
          <w:position w:val="7"/>
          <w:sz w:val="12"/>
        </w:rPr>
        <w:t>169</w:t>
      </w:r>
    </w:p>
    <w:p>
      <w:pPr>
        <w:pStyle w:val="BodyText"/>
        <w:rPr>
          <w:sz w:val="20"/>
        </w:rPr>
      </w:pPr>
    </w:p>
    <w:p>
      <w:pPr>
        <w:pStyle w:val="BodyText"/>
        <w:rPr>
          <w:sz w:val="20"/>
        </w:rPr>
      </w:pPr>
    </w:p>
    <w:p>
      <w:pPr>
        <w:pStyle w:val="BodyText"/>
        <w:spacing w:before="5"/>
        <w:rPr>
          <w:sz w:val="11"/>
        </w:rPr>
      </w:pPr>
      <w:r>
        <w:rPr/>
        <w:pict>
          <v:line style="position:absolute;mso-position-horizontal-relative:page;mso-position-vertical-relative:paragraph;z-index:8024;mso-wrap-distance-left:0;mso-wrap-distance-right:0" from="79.370003pt,9.460798pt" to="515.905003pt,9.46079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33"/>
        </w:rPr>
      </w:pPr>
    </w:p>
    <w:p>
      <w:pPr>
        <w:spacing w:before="0"/>
        <w:ind w:left="720" w:right="0" w:firstLine="0"/>
        <w:jc w:val="left"/>
        <w:rPr>
          <w:b/>
          <w:sz w:val="24"/>
        </w:rPr>
      </w:pPr>
      <w:r>
        <w:rPr>
          <w:b/>
          <w:color w:val="658464"/>
          <w:spacing w:val="-2"/>
          <w:w w:val="110"/>
          <w:sz w:val="24"/>
        </w:rPr>
        <w:t>182</w:t>
      </w:r>
    </w:p>
    <w:p>
      <w:pPr>
        <w:pStyle w:val="ListParagraph"/>
        <w:numPr>
          <w:ilvl w:val="0"/>
          <w:numId w:val="134"/>
        </w:numPr>
        <w:tabs>
          <w:tab w:pos="1225" w:val="left" w:leader="none"/>
          <w:tab w:pos="1226" w:val="left" w:leader="none"/>
        </w:tabs>
        <w:spacing w:line="240" w:lineRule="auto" w:before="48" w:after="0"/>
        <w:ind w:left="431" w:right="3013" w:firstLine="1"/>
        <w:jc w:val="left"/>
        <w:rPr>
          <w:sz w:val="13"/>
        </w:rPr>
      </w:pPr>
      <w:r>
        <w:rPr>
          <w:spacing w:val="3"/>
          <w:w w:val="107"/>
          <w:sz w:val="13"/>
        </w:rPr>
        <w:br w:type="column"/>
      </w:r>
      <w:r>
        <w:rPr>
          <w:w w:val="105"/>
          <w:sz w:val="13"/>
        </w:rPr>
        <w:t>Victorian Civil and Administrative Tribunal (VCAT), </w:t>
      </w:r>
      <w:r>
        <w:rPr>
          <w:i/>
          <w:w w:val="105"/>
          <w:sz w:val="13"/>
        </w:rPr>
        <w:t>Practice Note PNVCAT2: </w:t>
      </w:r>
      <w:r>
        <w:rPr>
          <w:i/>
          <w:spacing w:val="2"/>
          <w:w w:val="105"/>
          <w:sz w:val="13"/>
        </w:rPr>
        <w:t>Expert </w:t>
      </w:r>
      <w:r>
        <w:rPr>
          <w:i/>
          <w:w w:val="105"/>
          <w:sz w:val="13"/>
        </w:rPr>
        <w:t>Evidence</w:t>
      </w:r>
      <w:r>
        <w:rPr>
          <w:w w:val="105"/>
          <w:sz w:val="13"/>
        </w:rPr>
        <w:t>, 1 October 2014, cl </w:t>
      </w:r>
      <w:r>
        <w:rPr>
          <w:spacing w:val="-6"/>
          <w:w w:val="105"/>
          <w:sz w:val="13"/>
        </w:rPr>
        <w:t>11. </w:t>
      </w:r>
      <w:r>
        <w:rPr>
          <w:w w:val="105"/>
          <w:sz w:val="13"/>
        </w:rPr>
        <w:t>158</w:t>
        <w:tab/>
        <w:t>Ibid cl</w:t>
      </w:r>
      <w:r>
        <w:rPr>
          <w:spacing w:val="9"/>
          <w:w w:val="105"/>
          <w:sz w:val="13"/>
        </w:rPr>
        <w:t> </w:t>
      </w:r>
      <w:r>
        <w:rPr>
          <w:spacing w:val="-3"/>
          <w:w w:val="105"/>
          <w:sz w:val="13"/>
        </w:rPr>
        <w:t>13.</w:t>
      </w:r>
    </w:p>
    <w:p>
      <w:pPr>
        <w:pStyle w:val="ListParagraph"/>
        <w:numPr>
          <w:ilvl w:val="0"/>
          <w:numId w:val="135"/>
        </w:numPr>
        <w:tabs>
          <w:tab w:pos="1225" w:val="left" w:leader="none"/>
          <w:tab w:pos="1226" w:val="left" w:leader="none"/>
        </w:tabs>
        <w:spacing w:line="240" w:lineRule="auto" w:before="3" w:after="0"/>
        <w:ind w:left="1225" w:right="0" w:hanging="794"/>
        <w:jc w:val="left"/>
        <w:rPr>
          <w:sz w:val="13"/>
        </w:rPr>
      </w:pPr>
      <w:r>
        <w:rPr>
          <w:sz w:val="13"/>
        </w:rPr>
        <w:t>Ibid.</w:t>
      </w:r>
    </w:p>
    <w:p>
      <w:pPr>
        <w:pStyle w:val="ListParagraph"/>
        <w:numPr>
          <w:ilvl w:val="0"/>
          <w:numId w:val="135"/>
        </w:numPr>
        <w:tabs>
          <w:tab w:pos="1225" w:val="left" w:leader="none"/>
          <w:tab w:pos="1226" w:val="left" w:leader="none"/>
        </w:tabs>
        <w:spacing w:line="240" w:lineRule="auto" w:before="1" w:after="0"/>
        <w:ind w:left="1225" w:right="1650" w:hanging="794"/>
        <w:jc w:val="left"/>
        <w:rPr>
          <w:sz w:val="13"/>
        </w:rPr>
      </w:pPr>
      <w:r>
        <w:rPr>
          <w:w w:val="105"/>
          <w:sz w:val="13"/>
        </w:rPr>
        <w:t>Victorian Civil and Administrative Tribunal (VCAT), </w:t>
      </w:r>
      <w:r>
        <w:rPr>
          <w:i/>
          <w:w w:val="105"/>
          <w:sz w:val="13"/>
        </w:rPr>
        <w:t>Submissions </w:t>
      </w:r>
      <w:r>
        <w:rPr>
          <w:w w:val="105"/>
          <w:sz w:val="13"/>
        </w:rPr>
        <w:t>(Web Page) </w:t>
      </w:r>
      <w:r>
        <w:rPr>
          <w:spacing w:val="2"/>
          <w:w w:val="105"/>
          <w:sz w:val="13"/>
        </w:rPr>
        <w:t>&lt;https://</w:t>
      </w:r>
      <w:hyperlink r:id="rId214">
        <w:r>
          <w:rPr>
            <w:spacing w:val="2"/>
            <w:w w:val="105"/>
            <w:sz w:val="13"/>
          </w:rPr>
          <w:t>www.vcat.vic.gov.au/steps-to-resolve-your-case/how-</w:t>
        </w:r>
      </w:hyperlink>
      <w:r>
        <w:rPr>
          <w:spacing w:val="2"/>
          <w:w w:val="105"/>
          <w:sz w:val="13"/>
        </w:rPr>
        <w:t> </w:t>
      </w:r>
      <w:r>
        <w:rPr>
          <w:w w:val="105"/>
          <w:sz w:val="13"/>
        </w:rPr>
        <w:t>to-prepare-for-your-hearing/submissions&gt;.</w:t>
      </w:r>
    </w:p>
    <w:p>
      <w:pPr>
        <w:pStyle w:val="ListParagraph"/>
        <w:numPr>
          <w:ilvl w:val="0"/>
          <w:numId w:val="135"/>
        </w:numPr>
        <w:tabs>
          <w:tab w:pos="1225" w:val="left" w:leader="none"/>
          <w:tab w:pos="1226" w:val="left" w:leader="none"/>
        </w:tabs>
        <w:spacing w:line="240" w:lineRule="auto" w:before="3" w:after="0"/>
        <w:ind w:left="1225" w:right="1638" w:hanging="794"/>
        <w:jc w:val="left"/>
        <w:rPr>
          <w:sz w:val="13"/>
        </w:rPr>
      </w:pPr>
      <w:r>
        <w:rPr>
          <w:w w:val="105"/>
          <w:sz w:val="13"/>
        </w:rPr>
        <w:t>Victorian Civil and Administrative Tribunal (VCAT), </w:t>
      </w:r>
      <w:r>
        <w:rPr>
          <w:i/>
          <w:w w:val="105"/>
          <w:sz w:val="13"/>
        </w:rPr>
        <w:t>Practice Note PNVCAT2: </w:t>
      </w:r>
      <w:r>
        <w:rPr>
          <w:i/>
          <w:spacing w:val="2"/>
          <w:w w:val="105"/>
          <w:sz w:val="13"/>
        </w:rPr>
        <w:t>Expert </w:t>
      </w:r>
      <w:r>
        <w:rPr>
          <w:i/>
          <w:w w:val="105"/>
          <w:sz w:val="13"/>
        </w:rPr>
        <w:t>Evidence, </w:t>
      </w:r>
      <w:r>
        <w:rPr>
          <w:w w:val="105"/>
          <w:sz w:val="13"/>
        </w:rPr>
        <w:t>1 October 2014, 3; see also Victorian Civil and Administrative Tribunal Act 1998 </w:t>
      </w:r>
      <w:r>
        <w:rPr>
          <w:spacing w:val="2"/>
          <w:w w:val="105"/>
          <w:sz w:val="13"/>
        </w:rPr>
        <w:t>(Vic) </w:t>
      </w:r>
      <w:r>
        <w:rPr>
          <w:w w:val="105"/>
          <w:sz w:val="13"/>
        </w:rPr>
        <w:t>sch</w:t>
      </w:r>
      <w:r>
        <w:rPr>
          <w:spacing w:val="25"/>
          <w:w w:val="105"/>
          <w:sz w:val="13"/>
        </w:rPr>
        <w:t> </w:t>
      </w:r>
      <w:r>
        <w:rPr>
          <w:w w:val="105"/>
          <w:sz w:val="13"/>
        </w:rPr>
        <w:t>3.</w:t>
      </w:r>
    </w:p>
    <w:p>
      <w:pPr>
        <w:pStyle w:val="ListParagraph"/>
        <w:numPr>
          <w:ilvl w:val="0"/>
          <w:numId w:val="135"/>
        </w:numPr>
        <w:tabs>
          <w:tab w:pos="1225" w:val="left" w:leader="none"/>
          <w:tab w:pos="1226" w:val="left" w:leader="none"/>
        </w:tabs>
        <w:spacing w:line="240" w:lineRule="auto" w:before="2" w:after="0"/>
        <w:ind w:left="1225" w:right="0" w:hanging="793"/>
        <w:jc w:val="left"/>
        <w:rPr>
          <w:sz w:val="13"/>
        </w:rPr>
      </w:pPr>
      <w:r>
        <w:rPr>
          <w:w w:val="105"/>
          <w:sz w:val="13"/>
        </w:rPr>
        <w:t>Consultation 5 </w:t>
      </w:r>
      <w:r>
        <w:rPr>
          <w:spacing w:val="2"/>
          <w:w w:val="105"/>
          <w:sz w:val="13"/>
        </w:rPr>
        <w:t>(Victorian </w:t>
      </w:r>
      <w:r>
        <w:rPr>
          <w:w w:val="105"/>
          <w:sz w:val="13"/>
        </w:rPr>
        <w:t>Civil and Administrative</w:t>
      </w:r>
      <w:r>
        <w:rPr>
          <w:spacing w:val="25"/>
          <w:w w:val="105"/>
          <w:sz w:val="13"/>
        </w:rPr>
        <w:t> </w:t>
      </w:r>
      <w:r>
        <w:rPr>
          <w:w w:val="105"/>
          <w:sz w:val="13"/>
        </w:rPr>
        <w:t>Tribunal).</w:t>
      </w:r>
    </w:p>
    <w:p>
      <w:pPr>
        <w:pStyle w:val="ListParagraph"/>
        <w:numPr>
          <w:ilvl w:val="0"/>
          <w:numId w:val="135"/>
        </w:numPr>
        <w:tabs>
          <w:tab w:pos="1225" w:val="left" w:leader="none"/>
          <w:tab w:pos="1226" w:val="left" w:leader="none"/>
        </w:tabs>
        <w:spacing w:line="240" w:lineRule="auto" w:before="2" w:after="0"/>
        <w:ind w:left="1225" w:right="0" w:hanging="793"/>
        <w:jc w:val="left"/>
        <w:rPr>
          <w:sz w:val="13"/>
        </w:rPr>
      </w:pPr>
      <w:r>
        <w:rPr>
          <w:sz w:val="13"/>
        </w:rPr>
        <w:t>Ibid.</w:t>
      </w:r>
    </w:p>
    <w:p>
      <w:pPr>
        <w:pStyle w:val="ListParagraph"/>
        <w:numPr>
          <w:ilvl w:val="0"/>
          <w:numId w:val="135"/>
        </w:numPr>
        <w:tabs>
          <w:tab w:pos="1225" w:val="left" w:leader="none"/>
          <w:tab w:pos="1226" w:val="left" w:leader="none"/>
        </w:tabs>
        <w:spacing w:line="240" w:lineRule="auto" w:before="1" w:after="0"/>
        <w:ind w:left="1225" w:right="0" w:hanging="793"/>
        <w:jc w:val="left"/>
        <w:rPr>
          <w:sz w:val="13"/>
        </w:rPr>
      </w:pPr>
      <w:r>
        <w:rPr>
          <w:sz w:val="13"/>
        </w:rPr>
        <w:t>Ibid.</w:t>
      </w:r>
    </w:p>
    <w:p>
      <w:pPr>
        <w:pStyle w:val="ListParagraph"/>
        <w:numPr>
          <w:ilvl w:val="0"/>
          <w:numId w:val="135"/>
        </w:numPr>
        <w:tabs>
          <w:tab w:pos="1225" w:val="left" w:leader="none"/>
          <w:tab w:pos="1226" w:val="left" w:leader="none"/>
        </w:tabs>
        <w:spacing w:line="240" w:lineRule="auto" w:before="1" w:after="0"/>
        <w:ind w:left="1225" w:right="0" w:hanging="793"/>
        <w:jc w:val="left"/>
        <w:rPr>
          <w:sz w:val="13"/>
        </w:rPr>
      </w:pPr>
      <w:r>
        <w:rPr>
          <w:sz w:val="13"/>
        </w:rPr>
        <w:t>Ibid.</w:t>
      </w:r>
    </w:p>
    <w:p>
      <w:pPr>
        <w:pStyle w:val="ListParagraph"/>
        <w:numPr>
          <w:ilvl w:val="0"/>
          <w:numId w:val="135"/>
        </w:numPr>
        <w:tabs>
          <w:tab w:pos="1225" w:val="left" w:leader="none"/>
          <w:tab w:pos="1226" w:val="left" w:leader="none"/>
        </w:tabs>
        <w:spacing w:line="240" w:lineRule="auto" w:before="2" w:after="0"/>
        <w:ind w:left="1225" w:right="1763" w:hanging="793"/>
        <w:jc w:val="left"/>
        <w:rPr>
          <w:i/>
          <w:sz w:val="13"/>
        </w:rPr>
      </w:pPr>
      <w:r>
        <w:rPr>
          <w:w w:val="105"/>
          <w:sz w:val="13"/>
        </w:rPr>
        <w:t>Consultation </w:t>
      </w:r>
      <w:r>
        <w:rPr>
          <w:spacing w:val="-6"/>
          <w:w w:val="105"/>
          <w:sz w:val="13"/>
        </w:rPr>
        <w:t>11 </w:t>
      </w:r>
      <w:r>
        <w:rPr>
          <w:spacing w:val="2"/>
          <w:w w:val="105"/>
          <w:sz w:val="13"/>
        </w:rPr>
        <w:t>(Land </w:t>
      </w:r>
      <w:r>
        <w:rPr>
          <w:w w:val="105"/>
          <w:sz w:val="13"/>
        </w:rPr>
        <w:t>and Environment Court of New South Wales); see Land and Environment Court of New South Wales, </w:t>
      </w:r>
      <w:r>
        <w:rPr>
          <w:i/>
          <w:w w:val="105"/>
          <w:sz w:val="13"/>
        </w:rPr>
        <w:t>Form C: Tree </w:t>
      </w:r>
      <w:r>
        <w:rPr>
          <w:i/>
          <w:w w:val="105"/>
          <w:sz w:val="13"/>
        </w:rPr>
        <w:t>Dispute Application </w:t>
      </w:r>
      <w:r>
        <w:rPr>
          <w:w w:val="105"/>
          <w:sz w:val="13"/>
        </w:rPr>
        <w:t>(Version </w:t>
      </w:r>
      <w:r>
        <w:rPr>
          <w:spacing w:val="2"/>
          <w:w w:val="105"/>
          <w:sz w:val="13"/>
        </w:rPr>
        <w:t>3) &lt;</w:t>
      </w:r>
      <w:hyperlink r:id="rId115">
        <w:r>
          <w:rPr>
            <w:spacing w:val="2"/>
            <w:w w:val="105"/>
            <w:sz w:val="13"/>
          </w:rPr>
          <w:t>http://www.lec.justice.nsw.gov.au/Pages/types_of_disputes/class_2/Trees-hedge-disputes-process/</w:t>
        </w:r>
      </w:hyperlink>
      <w:r>
        <w:rPr>
          <w:spacing w:val="2"/>
          <w:w w:val="105"/>
          <w:sz w:val="13"/>
        </w:rPr>
        <w:t> </w:t>
      </w:r>
      <w:r>
        <w:rPr>
          <w:w w:val="105"/>
          <w:sz w:val="13"/>
        </w:rPr>
        <w:t>treedisputes_how.aspx&gt;;</w:t>
      </w:r>
      <w:r>
        <w:rPr>
          <w:spacing w:val="5"/>
          <w:w w:val="105"/>
          <w:sz w:val="13"/>
        </w:rPr>
        <w:t> </w:t>
      </w:r>
      <w:r>
        <w:rPr>
          <w:w w:val="105"/>
          <w:sz w:val="13"/>
        </w:rPr>
        <w:t>Land</w:t>
      </w:r>
      <w:r>
        <w:rPr>
          <w:spacing w:val="6"/>
          <w:w w:val="105"/>
          <w:sz w:val="13"/>
        </w:rPr>
        <w:t> </w:t>
      </w:r>
      <w:r>
        <w:rPr>
          <w:w w:val="105"/>
          <w:sz w:val="13"/>
        </w:rPr>
        <w:t>and</w:t>
      </w:r>
      <w:r>
        <w:rPr>
          <w:spacing w:val="5"/>
          <w:w w:val="105"/>
          <w:sz w:val="13"/>
        </w:rPr>
        <w:t> </w:t>
      </w:r>
      <w:r>
        <w:rPr>
          <w:w w:val="105"/>
          <w:sz w:val="13"/>
        </w:rPr>
        <w:t>Environment</w:t>
      </w:r>
      <w:r>
        <w:rPr>
          <w:spacing w:val="6"/>
          <w:w w:val="105"/>
          <w:sz w:val="13"/>
        </w:rPr>
        <w:t> </w:t>
      </w:r>
      <w:r>
        <w:rPr>
          <w:w w:val="105"/>
          <w:sz w:val="13"/>
        </w:rPr>
        <w:t>Court</w:t>
      </w:r>
      <w:r>
        <w:rPr>
          <w:spacing w:val="5"/>
          <w:w w:val="105"/>
          <w:sz w:val="13"/>
        </w:rPr>
        <w:t> </w:t>
      </w:r>
      <w:r>
        <w:rPr>
          <w:w w:val="105"/>
          <w:sz w:val="13"/>
        </w:rPr>
        <w:t>of</w:t>
      </w:r>
      <w:r>
        <w:rPr>
          <w:spacing w:val="6"/>
          <w:w w:val="105"/>
          <w:sz w:val="13"/>
        </w:rPr>
        <w:t> </w:t>
      </w:r>
      <w:r>
        <w:rPr>
          <w:w w:val="105"/>
          <w:sz w:val="13"/>
        </w:rPr>
        <w:t>New</w:t>
      </w:r>
      <w:r>
        <w:rPr>
          <w:spacing w:val="5"/>
          <w:w w:val="105"/>
          <w:sz w:val="13"/>
        </w:rPr>
        <w:t> </w:t>
      </w:r>
      <w:r>
        <w:rPr>
          <w:w w:val="105"/>
          <w:sz w:val="13"/>
        </w:rPr>
        <w:t>South</w:t>
      </w:r>
      <w:r>
        <w:rPr>
          <w:spacing w:val="6"/>
          <w:w w:val="105"/>
          <w:sz w:val="13"/>
        </w:rPr>
        <w:t> </w:t>
      </w:r>
      <w:r>
        <w:rPr>
          <w:w w:val="105"/>
          <w:sz w:val="13"/>
        </w:rPr>
        <w:t>Wales,</w:t>
      </w:r>
      <w:r>
        <w:rPr>
          <w:spacing w:val="5"/>
          <w:w w:val="105"/>
          <w:sz w:val="13"/>
        </w:rPr>
        <w:t> </w:t>
      </w:r>
      <w:r>
        <w:rPr>
          <w:w w:val="105"/>
          <w:sz w:val="13"/>
        </w:rPr>
        <w:t>Form</w:t>
      </w:r>
      <w:r>
        <w:rPr>
          <w:spacing w:val="6"/>
          <w:w w:val="105"/>
          <w:sz w:val="13"/>
        </w:rPr>
        <w:t> </w:t>
      </w:r>
      <w:r>
        <w:rPr>
          <w:spacing w:val="3"/>
          <w:w w:val="105"/>
          <w:sz w:val="13"/>
        </w:rPr>
        <w:t>H:</w:t>
      </w:r>
      <w:r>
        <w:rPr>
          <w:spacing w:val="6"/>
          <w:w w:val="105"/>
          <w:sz w:val="13"/>
        </w:rPr>
        <w:t> </w:t>
      </w:r>
      <w:r>
        <w:rPr>
          <w:i/>
          <w:w w:val="105"/>
          <w:sz w:val="13"/>
        </w:rPr>
        <w:t>Tree</w:t>
      </w:r>
      <w:r>
        <w:rPr>
          <w:i/>
          <w:spacing w:val="5"/>
          <w:w w:val="105"/>
          <w:sz w:val="13"/>
        </w:rPr>
        <w:t> </w:t>
      </w:r>
      <w:r>
        <w:rPr>
          <w:i/>
          <w:w w:val="105"/>
          <w:sz w:val="13"/>
        </w:rPr>
        <w:t>Dispute</w:t>
      </w:r>
      <w:r>
        <w:rPr>
          <w:i/>
          <w:spacing w:val="6"/>
          <w:w w:val="105"/>
          <w:sz w:val="13"/>
        </w:rPr>
        <w:t> </w:t>
      </w:r>
      <w:r>
        <w:rPr>
          <w:i/>
          <w:w w:val="105"/>
          <w:sz w:val="13"/>
        </w:rPr>
        <w:t>Claim</w:t>
      </w:r>
      <w:r>
        <w:rPr>
          <w:i/>
          <w:spacing w:val="5"/>
          <w:w w:val="105"/>
          <w:sz w:val="13"/>
        </w:rPr>
        <w:t> </w:t>
      </w:r>
      <w:r>
        <w:rPr>
          <w:i/>
          <w:w w:val="105"/>
          <w:sz w:val="13"/>
        </w:rPr>
        <w:t>Details</w:t>
      </w:r>
      <w:r>
        <w:rPr>
          <w:i/>
          <w:spacing w:val="6"/>
          <w:w w:val="105"/>
          <w:sz w:val="13"/>
        </w:rPr>
        <w:t> </w:t>
      </w:r>
      <w:r>
        <w:rPr>
          <w:i/>
          <w:spacing w:val="2"/>
          <w:w w:val="105"/>
          <w:sz w:val="13"/>
        </w:rPr>
        <w:t>(Damage</w:t>
      </w:r>
      <w:r>
        <w:rPr>
          <w:i/>
          <w:spacing w:val="5"/>
          <w:w w:val="105"/>
          <w:sz w:val="13"/>
        </w:rPr>
        <w:t> </w:t>
      </w:r>
      <w:r>
        <w:rPr>
          <w:i/>
          <w:w w:val="105"/>
          <w:sz w:val="13"/>
        </w:rPr>
        <w:t>to</w:t>
      </w:r>
      <w:r>
        <w:rPr>
          <w:i/>
          <w:spacing w:val="6"/>
          <w:w w:val="105"/>
          <w:sz w:val="13"/>
        </w:rPr>
        <w:t> </w:t>
      </w:r>
      <w:r>
        <w:rPr>
          <w:i/>
          <w:spacing w:val="2"/>
          <w:w w:val="105"/>
          <w:sz w:val="13"/>
        </w:rPr>
        <w:t>Property</w:t>
      </w:r>
    </w:p>
    <w:p>
      <w:pPr>
        <w:spacing w:before="4"/>
        <w:ind w:left="1225" w:right="1862" w:firstLine="0"/>
        <w:jc w:val="left"/>
        <w:rPr>
          <w:sz w:val="13"/>
        </w:rPr>
      </w:pPr>
      <w:r>
        <w:rPr>
          <w:i/>
          <w:sz w:val="13"/>
        </w:rPr>
        <w:t>or Injury to a Person) </w:t>
      </w:r>
      <w:r>
        <w:rPr>
          <w:sz w:val="13"/>
        </w:rPr>
        <w:t>(Version 1) &lt;</w:t>
      </w:r>
      <w:hyperlink r:id="rId115">
        <w:r>
          <w:rPr>
            <w:sz w:val="13"/>
          </w:rPr>
          <w:t>http://www.lec.justice.nsw.gov.au/Pages/types_of_disputes/class_2/Trees-hedge-disputes-process/</w:t>
        </w:r>
      </w:hyperlink>
      <w:r>
        <w:rPr>
          <w:sz w:val="13"/>
        </w:rPr>
        <w:t> treedisputes_how.aspx&gt;.</w:t>
      </w:r>
    </w:p>
    <w:p>
      <w:pPr>
        <w:pStyle w:val="ListParagraph"/>
        <w:numPr>
          <w:ilvl w:val="0"/>
          <w:numId w:val="135"/>
        </w:numPr>
        <w:tabs>
          <w:tab w:pos="1225" w:val="left" w:leader="none"/>
          <w:tab w:pos="1226" w:val="left" w:leader="none"/>
        </w:tabs>
        <w:spacing w:line="240" w:lineRule="auto" w:before="2" w:after="0"/>
        <w:ind w:left="1225" w:right="0" w:hanging="793"/>
        <w:jc w:val="left"/>
        <w:rPr>
          <w:sz w:val="13"/>
        </w:rPr>
      </w:pPr>
      <w:r>
        <w:rPr>
          <w:w w:val="105"/>
          <w:sz w:val="13"/>
        </w:rPr>
        <w:t>Land</w:t>
      </w:r>
      <w:r>
        <w:rPr>
          <w:spacing w:val="5"/>
          <w:w w:val="105"/>
          <w:sz w:val="13"/>
        </w:rPr>
        <w:t> </w:t>
      </w:r>
      <w:r>
        <w:rPr>
          <w:w w:val="105"/>
          <w:sz w:val="13"/>
        </w:rPr>
        <w:t>and</w:t>
      </w:r>
      <w:r>
        <w:rPr>
          <w:spacing w:val="5"/>
          <w:w w:val="105"/>
          <w:sz w:val="13"/>
        </w:rPr>
        <w:t> </w:t>
      </w:r>
      <w:r>
        <w:rPr>
          <w:w w:val="105"/>
          <w:sz w:val="13"/>
        </w:rPr>
        <w:t>Environment</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r>
        <w:rPr>
          <w:spacing w:val="5"/>
          <w:w w:val="105"/>
          <w:sz w:val="13"/>
        </w:rPr>
        <w:t> </w:t>
      </w:r>
      <w:r>
        <w:rPr>
          <w:spacing w:val="2"/>
          <w:w w:val="105"/>
          <w:sz w:val="13"/>
        </w:rPr>
        <w:t>(NSWLEC),</w:t>
      </w:r>
      <w:r>
        <w:rPr>
          <w:spacing w:val="5"/>
          <w:w w:val="105"/>
          <w:sz w:val="13"/>
        </w:rPr>
        <w:t> </w:t>
      </w:r>
      <w:r>
        <w:rPr>
          <w:i/>
          <w:w w:val="105"/>
          <w:sz w:val="13"/>
        </w:rPr>
        <w:t>Practice</w:t>
      </w:r>
      <w:r>
        <w:rPr>
          <w:i/>
          <w:spacing w:val="5"/>
          <w:w w:val="105"/>
          <w:sz w:val="13"/>
        </w:rPr>
        <w:t> </w:t>
      </w:r>
      <w:r>
        <w:rPr>
          <w:i/>
          <w:w w:val="105"/>
          <w:sz w:val="13"/>
        </w:rPr>
        <w:t>Note</w:t>
      </w:r>
      <w:r>
        <w:rPr>
          <w:i/>
          <w:spacing w:val="5"/>
          <w:w w:val="105"/>
          <w:sz w:val="13"/>
        </w:rPr>
        <w:t> </w:t>
      </w:r>
      <w:r>
        <w:rPr>
          <w:i/>
          <w:w w:val="105"/>
          <w:sz w:val="13"/>
        </w:rPr>
        <w:t>Class</w:t>
      </w:r>
      <w:r>
        <w:rPr>
          <w:i/>
          <w:spacing w:val="5"/>
          <w:w w:val="105"/>
          <w:sz w:val="13"/>
        </w:rPr>
        <w:t> </w:t>
      </w:r>
      <w:r>
        <w:rPr>
          <w:i/>
          <w:w w:val="105"/>
          <w:sz w:val="13"/>
        </w:rPr>
        <w:t>2:</w:t>
      </w:r>
      <w:r>
        <w:rPr>
          <w:i/>
          <w:spacing w:val="5"/>
          <w:w w:val="105"/>
          <w:sz w:val="13"/>
        </w:rPr>
        <w:t> </w:t>
      </w:r>
      <w:r>
        <w:rPr>
          <w:i/>
          <w:w w:val="105"/>
          <w:sz w:val="13"/>
        </w:rPr>
        <w:t>Tree</w:t>
      </w:r>
      <w:r>
        <w:rPr>
          <w:i/>
          <w:spacing w:val="5"/>
          <w:w w:val="105"/>
          <w:sz w:val="13"/>
        </w:rPr>
        <w:t> </w:t>
      </w:r>
      <w:r>
        <w:rPr>
          <w:i/>
          <w:w w:val="105"/>
          <w:sz w:val="13"/>
        </w:rPr>
        <w:t>Applications</w:t>
      </w:r>
      <w:r>
        <w:rPr>
          <w:w w:val="105"/>
          <w:sz w:val="13"/>
        </w:rPr>
        <w:t>,</w:t>
      </w:r>
      <w:r>
        <w:rPr>
          <w:spacing w:val="5"/>
          <w:w w:val="105"/>
          <w:sz w:val="13"/>
        </w:rPr>
        <w:t> </w:t>
      </w:r>
      <w:r>
        <w:rPr>
          <w:w w:val="105"/>
          <w:sz w:val="13"/>
        </w:rPr>
        <w:t>1</w:t>
      </w:r>
      <w:r>
        <w:rPr>
          <w:spacing w:val="5"/>
          <w:w w:val="105"/>
          <w:sz w:val="13"/>
        </w:rPr>
        <w:t> </w:t>
      </w:r>
      <w:r>
        <w:rPr>
          <w:w w:val="105"/>
          <w:sz w:val="13"/>
        </w:rPr>
        <w:t>December</w:t>
      </w:r>
      <w:r>
        <w:rPr>
          <w:spacing w:val="6"/>
          <w:w w:val="105"/>
          <w:sz w:val="13"/>
        </w:rPr>
        <w:t> </w:t>
      </w:r>
      <w:r>
        <w:rPr>
          <w:w w:val="105"/>
          <w:sz w:val="13"/>
        </w:rPr>
        <w:t>2018</w:t>
      </w:r>
      <w:r>
        <w:rPr>
          <w:spacing w:val="5"/>
          <w:w w:val="105"/>
          <w:sz w:val="13"/>
        </w:rPr>
        <w:t> </w:t>
      </w:r>
      <w:r>
        <w:rPr>
          <w:w w:val="105"/>
          <w:sz w:val="13"/>
        </w:rPr>
        <w:t>[41].</w:t>
      </w:r>
    </w:p>
    <w:p>
      <w:pPr>
        <w:tabs>
          <w:tab w:pos="1225" w:val="left" w:leader="none"/>
        </w:tabs>
        <w:spacing w:before="2"/>
        <w:ind w:left="432" w:right="0" w:firstLine="0"/>
        <w:jc w:val="left"/>
        <w:rPr>
          <w:sz w:val="13"/>
        </w:rPr>
      </w:pPr>
      <w:r>
        <w:rPr>
          <w:w w:val="105"/>
          <w:sz w:val="13"/>
        </w:rPr>
        <w:t>168</w:t>
        <w:tab/>
        <w:t>Ibid</w:t>
      </w:r>
      <w:r>
        <w:rPr>
          <w:spacing w:val="4"/>
          <w:w w:val="105"/>
          <w:sz w:val="13"/>
        </w:rPr>
        <w:t> </w:t>
      </w:r>
      <w:r>
        <w:rPr>
          <w:spacing w:val="2"/>
          <w:w w:val="105"/>
          <w:sz w:val="13"/>
        </w:rPr>
        <w:t>[42].</w:t>
      </w:r>
    </w:p>
    <w:p>
      <w:pPr>
        <w:tabs>
          <w:tab w:pos="1225" w:val="left" w:leader="none"/>
        </w:tabs>
        <w:spacing w:before="1"/>
        <w:ind w:left="1225" w:right="1862" w:hanging="794"/>
        <w:jc w:val="left"/>
        <w:rPr>
          <w:sz w:val="13"/>
        </w:rPr>
      </w:pPr>
      <w:r>
        <w:rPr>
          <w:sz w:val="13"/>
        </w:rPr>
        <w:t>169</w:t>
        <w:tab/>
      </w:r>
      <w:r>
        <w:rPr>
          <w:i/>
          <w:sz w:val="13"/>
        </w:rPr>
        <w:t>Uniform Civil Procedure Rules 2005 </w:t>
      </w:r>
      <w:r>
        <w:rPr>
          <w:spacing w:val="3"/>
          <w:sz w:val="13"/>
        </w:rPr>
        <w:t>(NSW) </w:t>
      </w:r>
      <w:r>
        <w:rPr>
          <w:sz w:val="13"/>
        </w:rPr>
        <w:t>r </w:t>
      </w:r>
      <w:r>
        <w:rPr>
          <w:spacing w:val="2"/>
          <w:sz w:val="13"/>
        </w:rPr>
        <w:t>31.20(2)(g); </w:t>
      </w:r>
      <w:r>
        <w:rPr>
          <w:sz w:val="13"/>
        </w:rPr>
        <w:t>see generally Justice Rachel Pepper,  </w:t>
      </w:r>
      <w:r>
        <w:rPr>
          <w:spacing w:val="2"/>
          <w:sz w:val="13"/>
        </w:rPr>
        <w:t>‘Expert </w:t>
      </w:r>
      <w:r>
        <w:rPr>
          <w:sz w:val="13"/>
        </w:rPr>
        <w:t>Evidence  in  the  Land  and  Environment Court’ (Speech delivered at the Australian </w:t>
      </w:r>
      <w:r>
        <w:rPr>
          <w:spacing w:val="2"/>
          <w:sz w:val="13"/>
        </w:rPr>
        <w:t>Property </w:t>
      </w:r>
      <w:r>
        <w:rPr>
          <w:sz w:val="13"/>
        </w:rPr>
        <w:t>Institute, 21 January 2013) </w:t>
      </w:r>
      <w:r>
        <w:rPr>
          <w:spacing w:val="2"/>
          <w:sz w:val="13"/>
        </w:rPr>
        <w:t>&lt;</w:t>
      </w:r>
      <w:hyperlink r:id="rId215">
        <w:r>
          <w:rPr>
            <w:spacing w:val="2"/>
            <w:sz w:val="13"/>
          </w:rPr>
          <w:t>http://www.lec.justice.nsw.gov.au/Pages/publications/</w:t>
        </w:r>
      </w:hyperlink>
      <w:r>
        <w:rPr>
          <w:spacing w:val="2"/>
          <w:sz w:val="13"/>
        </w:rPr>
        <w:t> </w:t>
      </w:r>
      <w:r>
        <w:rPr>
          <w:sz w:val="13"/>
        </w:rPr>
        <w:t>speeches_papers.aspx&gt;.</w:t>
      </w:r>
    </w:p>
    <w:p>
      <w:pPr>
        <w:spacing w:after="0"/>
        <w:jc w:val="left"/>
        <w:rPr>
          <w:sz w:val="13"/>
        </w:rPr>
        <w:sectPr>
          <w:type w:val="continuous"/>
          <w:pgSz w:w="11910" w:h="16840"/>
          <w:pgMar w:top="300" w:bottom="280" w:left="0" w:right="0"/>
          <w:cols w:num="2" w:equalWidth="0">
            <w:col w:w="1116" w:space="40"/>
            <w:col w:w="10754"/>
          </w:cols>
        </w:sectPr>
      </w:pPr>
    </w:p>
    <w:p>
      <w:pPr>
        <w:pStyle w:val="BodyText"/>
        <w:rPr>
          <w:sz w:val="20"/>
        </w:rPr>
      </w:pPr>
    </w:p>
    <w:p>
      <w:pPr>
        <w:pStyle w:val="BodyText"/>
        <w:spacing w:before="9"/>
        <w:rPr>
          <w:sz w:val="18"/>
        </w:rPr>
      </w:pPr>
    </w:p>
    <w:p>
      <w:pPr>
        <w:pStyle w:val="ListParagraph"/>
        <w:numPr>
          <w:ilvl w:val="1"/>
          <w:numId w:val="133"/>
        </w:numPr>
        <w:tabs>
          <w:tab w:pos="2381" w:val="left" w:leader="none"/>
          <w:tab w:pos="2382" w:val="left" w:leader="none"/>
        </w:tabs>
        <w:spacing w:line="242" w:lineRule="auto" w:before="91" w:after="0"/>
        <w:ind w:left="2381" w:right="1660" w:hanging="794"/>
        <w:jc w:val="left"/>
        <w:rPr>
          <w:sz w:val="12"/>
        </w:rPr>
      </w:pPr>
      <w:r>
        <w:rPr>
          <w:w w:val="105"/>
          <w:sz w:val="21"/>
        </w:rPr>
        <w:t>The </w:t>
      </w:r>
      <w:r>
        <w:rPr>
          <w:spacing w:val="-3"/>
          <w:w w:val="105"/>
          <w:sz w:val="21"/>
        </w:rPr>
        <w:t>Court </w:t>
      </w:r>
      <w:r>
        <w:rPr>
          <w:w w:val="105"/>
          <w:sz w:val="21"/>
        </w:rPr>
        <w:t>acknowledged </w:t>
      </w:r>
      <w:r>
        <w:rPr>
          <w:spacing w:val="-3"/>
          <w:w w:val="105"/>
          <w:sz w:val="21"/>
        </w:rPr>
        <w:t>that </w:t>
      </w:r>
      <w:r>
        <w:rPr>
          <w:w w:val="105"/>
          <w:sz w:val="21"/>
        </w:rPr>
        <w:t>arborists engaged by parties </w:t>
      </w:r>
      <w:r>
        <w:rPr>
          <w:spacing w:val="-3"/>
          <w:w w:val="105"/>
          <w:sz w:val="21"/>
        </w:rPr>
        <w:t>may have </w:t>
      </w:r>
      <w:r>
        <w:rPr>
          <w:w w:val="105"/>
          <w:sz w:val="21"/>
        </w:rPr>
        <w:t>a </w:t>
      </w:r>
      <w:r>
        <w:rPr>
          <w:spacing w:val="-3"/>
          <w:w w:val="105"/>
          <w:sz w:val="21"/>
        </w:rPr>
        <w:t>high </w:t>
      </w:r>
      <w:r>
        <w:rPr>
          <w:w w:val="105"/>
          <w:sz w:val="21"/>
        </w:rPr>
        <w:t>level of adversarial </w:t>
      </w:r>
      <w:r>
        <w:rPr>
          <w:spacing w:val="-5"/>
          <w:w w:val="105"/>
          <w:sz w:val="21"/>
        </w:rPr>
        <w:t>bias.</w:t>
      </w:r>
      <w:r>
        <w:rPr>
          <w:spacing w:val="-5"/>
          <w:w w:val="105"/>
          <w:position w:val="7"/>
          <w:sz w:val="12"/>
        </w:rPr>
        <w:t>170 </w:t>
      </w:r>
      <w:r>
        <w:rPr>
          <w:w w:val="105"/>
          <w:sz w:val="21"/>
        </w:rPr>
        <w:t>Where parties </w:t>
      </w:r>
      <w:r>
        <w:rPr>
          <w:spacing w:val="-3"/>
          <w:w w:val="105"/>
          <w:sz w:val="21"/>
        </w:rPr>
        <w:t>have </w:t>
      </w:r>
      <w:r>
        <w:rPr>
          <w:w w:val="105"/>
          <w:sz w:val="21"/>
        </w:rPr>
        <w:t>their own experts who </w:t>
      </w:r>
      <w:r>
        <w:rPr>
          <w:spacing w:val="-3"/>
          <w:w w:val="105"/>
          <w:sz w:val="21"/>
        </w:rPr>
        <w:t>cannot agree, </w:t>
      </w:r>
      <w:r>
        <w:rPr>
          <w:w w:val="105"/>
          <w:sz w:val="21"/>
        </w:rPr>
        <w:t>the </w:t>
      </w:r>
      <w:r>
        <w:rPr>
          <w:spacing w:val="-3"/>
          <w:w w:val="105"/>
          <w:sz w:val="21"/>
        </w:rPr>
        <w:t>Court may</w:t>
      </w:r>
      <w:r>
        <w:rPr>
          <w:spacing w:val="-7"/>
          <w:w w:val="105"/>
          <w:sz w:val="21"/>
        </w:rPr>
        <w:t> </w:t>
      </w:r>
      <w:r>
        <w:rPr>
          <w:w w:val="105"/>
          <w:sz w:val="21"/>
        </w:rPr>
        <w:t>order</w:t>
      </w:r>
      <w:r>
        <w:rPr>
          <w:spacing w:val="-7"/>
          <w:w w:val="105"/>
          <w:sz w:val="21"/>
        </w:rPr>
        <w:t> </w:t>
      </w:r>
      <w:r>
        <w:rPr>
          <w:w w:val="105"/>
          <w:sz w:val="21"/>
        </w:rPr>
        <w:t>the</w:t>
      </w:r>
      <w:r>
        <w:rPr>
          <w:spacing w:val="-7"/>
          <w:w w:val="105"/>
          <w:sz w:val="21"/>
        </w:rPr>
        <w:t> </w:t>
      </w:r>
      <w:r>
        <w:rPr>
          <w:w w:val="105"/>
          <w:sz w:val="21"/>
        </w:rPr>
        <w:t>experts</w:t>
      </w:r>
      <w:r>
        <w:rPr>
          <w:spacing w:val="-7"/>
          <w:w w:val="105"/>
          <w:sz w:val="21"/>
        </w:rPr>
        <w:t> </w:t>
      </w:r>
      <w:r>
        <w:rPr>
          <w:spacing w:val="-3"/>
          <w:w w:val="105"/>
          <w:sz w:val="21"/>
        </w:rPr>
        <w:t>to</w:t>
      </w:r>
      <w:r>
        <w:rPr>
          <w:spacing w:val="-7"/>
          <w:w w:val="105"/>
          <w:sz w:val="21"/>
        </w:rPr>
        <w:t> </w:t>
      </w:r>
      <w:r>
        <w:rPr>
          <w:w w:val="105"/>
          <w:sz w:val="21"/>
        </w:rPr>
        <w:t>meet</w:t>
      </w:r>
      <w:r>
        <w:rPr>
          <w:spacing w:val="-7"/>
          <w:w w:val="105"/>
          <w:sz w:val="21"/>
        </w:rPr>
        <w:t> </w:t>
      </w:r>
      <w:r>
        <w:rPr>
          <w:w w:val="105"/>
          <w:sz w:val="21"/>
        </w:rPr>
        <w:t>together</w:t>
      </w:r>
      <w:r>
        <w:rPr>
          <w:spacing w:val="-7"/>
          <w:w w:val="105"/>
          <w:sz w:val="21"/>
        </w:rPr>
        <w:t> </w:t>
      </w:r>
      <w:r>
        <w:rPr>
          <w:w w:val="105"/>
          <w:sz w:val="21"/>
        </w:rPr>
        <w:t>on</w:t>
      </w:r>
      <w:r>
        <w:rPr>
          <w:spacing w:val="-7"/>
          <w:w w:val="105"/>
          <w:sz w:val="21"/>
        </w:rPr>
        <w:t> </w:t>
      </w:r>
      <w:r>
        <w:rPr>
          <w:spacing w:val="-6"/>
          <w:w w:val="105"/>
          <w:sz w:val="21"/>
        </w:rPr>
        <w:t>site.</w:t>
      </w:r>
      <w:r>
        <w:rPr>
          <w:spacing w:val="-6"/>
          <w:w w:val="105"/>
          <w:position w:val="7"/>
          <w:sz w:val="12"/>
        </w:rPr>
        <w:t>171</w:t>
      </w:r>
      <w:r>
        <w:rPr>
          <w:spacing w:val="16"/>
          <w:w w:val="105"/>
          <w:position w:val="7"/>
          <w:sz w:val="12"/>
        </w:rPr>
        <w:t> </w:t>
      </w:r>
      <w:r>
        <w:rPr>
          <w:spacing w:val="-4"/>
          <w:w w:val="105"/>
          <w:sz w:val="21"/>
        </w:rPr>
        <w:t>Concurrent</w:t>
      </w:r>
      <w:r>
        <w:rPr>
          <w:spacing w:val="-7"/>
          <w:w w:val="105"/>
          <w:sz w:val="21"/>
        </w:rPr>
        <w:t> </w:t>
      </w:r>
      <w:r>
        <w:rPr>
          <w:w w:val="105"/>
          <w:sz w:val="21"/>
        </w:rPr>
        <w:t>evidence</w:t>
      </w:r>
      <w:r>
        <w:rPr>
          <w:spacing w:val="-7"/>
          <w:w w:val="105"/>
          <w:sz w:val="21"/>
        </w:rPr>
        <w:t> </w:t>
      </w:r>
      <w:r>
        <w:rPr>
          <w:w w:val="105"/>
          <w:sz w:val="21"/>
        </w:rPr>
        <w:t>is</w:t>
      </w:r>
      <w:r>
        <w:rPr>
          <w:spacing w:val="-7"/>
          <w:w w:val="105"/>
          <w:sz w:val="21"/>
        </w:rPr>
        <w:t> </w:t>
      </w:r>
      <w:r>
        <w:rPr>
          <w:spacing w:val="-3"/>
          <w:w w:val="105"/>
          <w:sz w:val="21"/>
        </w:rPr>
        <w:t>favoured</w:t>
      </w:r>
      <w:r>
        <w:rPr>
          <w:spacing w:val="-7"/>
          <w:w w:val="105"/>
          <w:sz w:val="21"/>
        </w:rPr>
        <w:t> </w:t>
      </w:r>
      <w:r>
        <w:rPr>
          <w:w w:val="105"/>
          <w:sz w:val="21"/>
        </w:rPr>
        <w:t>by</w:t>
      </w:r>
      <w:r>
        <w:rPr>
          <w:spacing w:val="-7"/>
          <w:w w:val="105"/>
          <w:sz w:val="21"/>
        </w:rPr>
        <w:t> </w:t>
      </w:r>
      <w:r>
        <w:rPr>
          <w:w w:val="105"/>
          <w:sz w:val="21"/>
        </w:rPr>
        <w:t>the NSWLEC because it </w:t>
      </w:r>
      <w:r>
        <w:rPr>
          <w:spacing w:val="-3"/>
          <w:w w:val="105"/>
          <w:sz w:val="21"/>
        </w:rPr>
        <w:t>facilitates </w:t>
      </w:r>
      <w:r>
        <w:rPr>
          <w:w w:val="105"/>
          <w:sz w:val="21"/>
        </w:rPr>
        <w:t>a discussion between the experts and helps </w:t>
      </w:r>
      <w:r>
        <w:rPr>
          <w:spacing w:val="-3"/>
          <w:w w:val="105"/>
          <w:sz w:val="21"/>
        </w:rPr>
        <w:t>to narrow </w:t>
      </w:r>
      <w:r>
        <w:rPr>
          <w:w w:val="105"/>
          <w:sz w:val="21"/>
        </w:rPr>
        <w:t>the issues</w:t>
      </w:r>
      <w:r>
        <w:rPr>
          <w:spacing w:val="-8"/>
          <w:w w:val="105"/>
          <w:sz w:val="21"/>
        </w:rPr>
        <w:t> </w:t>
      </w:r>
      <w:r>
        <w:rPr>
          <w:w w:val="105"/>
          <w:sz w:val="21"/>
        </w:rPr>
        <w:t>in</w:t>
      </w:r>
      <w:r>
        <w:rPr>
          <w:spacing w:val="-8"/>
          <w:w w:val="105"/>
          <w:sz w:val="21"/>
        </w:rPr>
        <w:t> </w:t>
      </w:r>
      <w:r>
        <w:rPr>
          <w:spacing w:val="-5"/>
          <w:w w:val="105"/>
          <w:sz w:val="21"/>
        </w:rPr>
        <w:t>dispute.</w:t>
      </w:r>
      <w:r>
        <w:rPr>
          <w:spacing w:val="-5"/>
          <w:w w:val="105"/>
          <w:position w:val="7"/>
          <w:sz w:val="12"/>
        </w:rPr>
        <w:t>172</w:t>
      </w:r>
      <w:r>
        <w:rPr>
          <w:spacing w:val="15"/>
          <w:w w:val="105"/>
          <w:position w:val="7"/>
          <w:sz w:val="12"/>
        </w:rPr>
        <w:t> </w:t>
      </w:r>
      <w:r>
        <w:rPr>
          <w:w w:val="105"/>
          <w:sz w:val="21"/>
        </w:rPr>
        <w:t>It</w:t>
      </w:r>
      <w:r>
        <w:rPr>
          <w:spacing w:val="-8"/>
          <w:w w:val="105"/>
          <w:sz w:val="21"/>
        </w:rPr>
        <w:t> </w:t>
      </w:r>
      <w:r>
        <w:rPr>
          <w:w w:val="105"/>
          <w:sz w:val="21"/>
        </w:rPr>
        <w:t>can</w:t>
      </w:r>
      <w:r>
        <w:rPr>
          <w:spacing w:val="-8"/>
          <w:w w:val="105"/>
          <w:sz w:val="21"/>
        </w:rPr>
        <w:t> </w:t>
      </w:r>
      <w:r>
        <w:rPr>
          <w:w w:val="105"/>
          <w:sz w:val="21"/>
        </w:rPr>
        <w:t>also</w:t>
      </w:r>
      <w:r>
        <w:rPr>
          <w:spacing w:val="-7"/>
          <w:w w:val="105"/>
          <w:sz w:val="21"/>
        </w:rPr>
        <w:t> </w:t>
      </w:r>
      <w:r>
        <w:rPr>
          <w:spacing w:val="-3"/>
          <w:w w:val="105"/>
          <w:sz w:val="21"/>
        </w:rPr>
        <w:t>reduce</w:t>
      </w:r>
      <w:r>
        <w:rPr>
          <w:spacing w:val="-8"/>
          <w:w w:val="105"/>
          <w:sz w:val="21"/>
        </w:rPr>
        <w:t> </w:t>
      </w:r>
      <w:r>
        <w:rPr>
          <w:w w:val="105"/>
          <w:sz w:val="21"/>
        </w:rPr>
        <w:t>the</w:t>
      </w:r>
      <w:r>
        <w:rPr>
          <w:spacing w:val="-8"/>
          <w:w w:val="105"/>
          <w:sz w:val="21"/>
        </w:rPr>
        <w:t> </w:t>
      </w:r>
      <w:r>
        <w:rPr>
          <w:spacing w:val="-3"/>
          <w:w w:val="105"/>
          <w:sz w:val="21"/>
        </w:rPr>
        <w:t>likelihood</w:t>
      </w:r>
      <w:r>
        <w:rPr>
          <w:spacing w:val="-8"/>
          <w:w w:val="105"/>
          <w:sz w:val="21"/>
        </w:rPr>
        <w:t> </w:t>
      </w:r>
      <w:r>
        <w:rPr>
          <w:w w:val="105"/>
          <w:sz w:val="21"/>
        </w:rPr>
        <w:t>of</w:t>
      </w:r>
      <w:r>
        <w:rPr>
          <w:spacing w:val="-7"/>
          <w:w w:val="105"/>
          <w:sz w:val="21"/>
        </w:rPr>
        <w:t> </w:t>
      </w:r>
      <w:r>
        <w:rPr>
          <w:w w:val="105"/>
          <w:sz w:val="21"/>
        </w:rPr>
        <w:t>adversarial</w:t>
      </w:r>
      <w:r>
        <w:rPr>
          <w:spacing w:val="-8"/>
          <w:w w:val="105"/>
          <w:sz w:val="21"/>
        </w:rPr>
        <w:t> </w:t>
      </w:r>
      <w:r>
        <w:rPr>
          <w:w w:val="105"/>
          <w:sz w:val="21"/>
        </w:rPr>
        <w:t>bias</w:t>
      </w:r>
      <w:r>
        <w:rPr>
          <w:spacing w:val="-8"/>
          <w:w w:val="105"/>
          <w:sz w:val="21"/>
        </w:rPr>
        <w:t> </w:t>
      </w:r>
      <w:r>
        <w:rPr>
          <w:w w:val="105"/>
          <w:sz w:val="21"/>
        </w:rPr>
        <w:t>and</w:t>
      </w:r>
      <w:r>
        <w:rPr>
          <w:spacing w:val="-8"/>
          <w:w w:val="105"/>
          <w:sz w:val="21"/>
        </w:rPr>
        <w:t> </w:t>
      </w:r>
      <w:r>
        <w:rPr>
          <w:w w:val="105"/>
          <w:sz w:val="21"/>
        </w:rPr>
        <w:t>save</w:t>
      </w:r>
      <w:r>
        <w:rPr>
          <w:spacing w:val="-7"/>
          <w:w w:val="105"/>
          <w:sz w:val="21"/>
        </w:rPr>
        <w:t> </w:t>
      </w:r>
      <w:r>
        <w:rPr>
          <w:w w:val="105"/>
          <w:sz w:val="21"/>
        </w:rPr>
        <w:t>costs</w:t>
      </w:r>
      <w:r>
        <w:rPr>
          <w:spacing w:val="-8"/>
          <w:w w:val="105"/>
          <w:sz w:val="21"/>
        </w:rPr>
        <w:t> </w:t>
      </w:r>
      <w:r>
        <w:rPr>
          <w:w w:val="105"/>
          <w:sz w:val="21"/>
        </w:rPr>
        <w:t>and </w:t>
      </w:r>
      <w:r>
        <w:rPr>
          <w:spacing w:val="-6"/>
          <w:w w:val="105"/>
          <w:sz w:val="21"/>
        </w:rPr>
        <w:t>time.</w:t>
      </w:r>
      <w:r>
        <w:rPr>
          <w:spacing w:val="-6"/>
          <w:w w:val="105"/>
          <w:position w:val="7"/>
          <w:sz w:val="12"/>
        </w:rPr>
        <w:t>173</w:t>
      </w:r>
    </w:p>
    <w:p>
      <w:pPr>
        <w:pStyle w:val="ListParagraph"/>
        <w:numPr>
          <w:ilvl w:val="1"/>
          <w:numId w:val="133"/>
        </w:numPr>
        <w:tabs>
          <w:tab w:pos="2380" w:val="left" w:leader="none"/>
          <w:tab w:pos="2381" w:val="left" w:leader="none"/>
        </w:tabs>
        <w:spacing w:line="242" w:lineRule="auto" w:before="127" w:after="0"/>
        <w:ind w:left="2381" w:right="1683" w:hanging="794"/>
        <w:jc w:val="left"/>
        <w:rPr>
          <w:sz w:val="12"/>
        </w:rPr>
      </w:pPr>
      <w:r>
        <w:rPr>
          <w:w w:val="105"/>
          <w:sz w:val="21"/>
        </w:rPr>
        <w:t>There is no </w:t>
      </w:r>
      <w:r>
        <w:rPr>
          <w:spacing w:val="-3"/>
          <w:w w:val="105"/>
          <w:sz w:val="21"/>
        </w:rPr>
        <w:t>requirement that </w:t>
      </w:r>
      <w:r>
        <w:rPr>
          <w:w w:val="105"/>
          <w:sz w:val="21"/>
        </w:rPr>
        <w:t>expert evidence be provided by an arborist with particular </w:t>
      </w:r>
      <w:r>
        <w:rPr>
          <w:spacing w:val="-4"/>
          <w:w w:val="105"/>
          <w:sz w:val="21"/>
        </w:rPr>
        <w:t>qualifications.</w:t>
      </w:r>
      <w:r>
        <w:rPr>
          <w:spacing w:val="-4"/>
          <w:w w:val="105"/>
          <w:position w:val="7"/>
          <w:sz w:val="12"/>
        </w:rPr>
        <w:t>174 </w:t>
      </w:r>
      <w:r>
        <w:rPr>
          <w:spacing w:val="-4"/>
          <w:w w:val="105"/>
          <w:sz w:val="21"/>
        </w:rPr>
        <w:t>However, </w:t>
      </w:r>
      <w:r>
        <w:rPr>
          <w:w w:val="105"/>
          <w:sz w:val="21"/>
        </w:rPr>
        <w:t>it is </w:t>
      </w:r>
      <w:r>
        <w:rPr>
          <w:spacing w:val="-3"/>
          <w:w w:val="105"/>
          <w:sz w:val="21"/>
        </w:rPr>
        <w:t>generally accepted that </w:t>
      </w:r>
      <w:r>
        <w:rPr>
          <w:w w:val="105"/>
          <w:sz w:val="21"/>
        </w:rPr>
        <w:t>only arborists of AQF Level 5 </w:t>
      </w:r>
      <w:r>
        <w:rPr>
          <w:spacing w:val="-3"/>
          <w:w w:val="105"/>
          <w:sz w:val="21"/>
        </w:rPr>
        <w:t>will complete</w:t>
      </w:r>
      <w:r>
        <w:rPr>
          <w:spacing w:val="-10"/>
          <w:w w:val="105"/>
          <w:sz w:val="21"/>
        </w:rPr>
        <w:t> </w:t>
      </w:r>
      <w:r>
        <w:rPr>
          <w:w w:val="105"/>
          <w:sz w:val="21"/>
        </w:rPr>
        <w:t>assessment</w:t>
      </w:r>
      <w:r>
        <w:rPr>
          <w:spacing w:val="-9"/>
          <w:w w:val="105"/>
          <w:sz w:val="21"/>
        </w:rPr>
        <w:t> </w:t>
      </w:r>
      <w:r>
        <w:rPr>
          <w:w w:val="105"/>
          <w:sz w:val="21"/>
        </w:rPr>
        <w:t>reports.</w:t>
      </w:r>
      <w:r>
        <w:rPr>
          <w:spacing w:val="-9"/>
          <w:w w:val="105"/>
          <w:sz w:val="21"/>
        </w:rPr>
        <w:t> </w:t>
      </w:r>
      <w:r>
        <w:rPr>
          <w:w w:val="105"/>
          <w:sz w:val="21"/>
        </w:rPr>
        <w:t>The</w:t>
      </w:r>
      <w:r>
        <w:rPr>
          <w:spacing w:val="-9"/>
          <w:w w:val="105"/>
          <w:sz w:val="21"/>
        </w:rPr>
        <w:t> </w:t>
      </w:r>
      <w:r>
        <w:rPr>
          <w:spacing w:val="-3"/>
          <w:w w:val="105"/>
          <w:sz w:val="21"/>
        </w:rPr>
        <w:t>Court</w:t>
      </w:r>
      <w:r>
        <w:rPr>
          <w:spacing w:val="-9"/>
          <w:w w:val="105"/>
          <w:sz w:val="21"/>
        </w:rPr>
        <w:t> </w:t>
      </w:r>
      <w:r>
        <w:rPr>
          <w:w w:val="105"/>
          <w:sz w:val="21"/>
        </w:rPr>
        <w:t>considers</w:t>
      </w:r>
      <w:r>
        <w:rPr>
          <w:spacing w:val="-9"/>
          <w:w w:val="105"/>
          <w:sz w:val="21"/>
        </w:rPr>
        <w:t> </w:t>
      </w:r>
      <w:r>
        <w:rPr>
          <w:spacing w:val="-3"/>
          <w:w w:val="105"/>
          <w:sz w:val="21"/>
        </w:rPr>
        <w:t>that</w:t>
      </w:r>
      <w:r>
        <w:rPr>
          <w:spacing w:val="-9"/>
          <w:w w:val="105"/>
          <w:sz w:val="21"/>
        </w:rPr>
        <w:t> </w:t>
      </w:r>
      <w:r>
        <w:rPr>
          <w:w w:val="105"/>
          <w:sz w:val="21"/>
        </w:rPr>
        <w:t>arborists</w:t>
      </w:r>
      <w:r>
        <w:rPr>
          <w:spacing w:val="-9"/>
          <w:w w:val="105"/>
          <w:sz w:val="21"/>
        </w:rPr>
        <w:t> </w:t>
      </w:r>
      <w:r>
        <w:rPr>
          <w:w w:val="105"/>
          <w:sz w:val="21"/>
        </w:rPr>
        <w:t>in</w:t>
      </w:r>
      <w:r>
        <w:rPr>
          <w:spacing w:val="-9"/>
          <w:w w:val="105"/>
          <w:sz w:val="21"/>
        </w:rPr>
        <w:t> </w:t>
      </w:r>
      <w:r>
        <w:rPr>
          <w:w w:val="105"/>
          <w:sz w:val="21"/>
        </w:rPr>
        <w:t>New</w:t>
      </w:r>
      <w:r>
        <w:rPr>
          <w:spacing w:val="-9"/>
          <w:w w:val="105"/>
          <w:sz w:val="21"/>
        </w:rPr>
        <w:t> </w:t>
      </w:r>
      <w:r>
        <w:rPr>
          <w:w w:val="105"/>
          <w:sz w:val="21"/>
        </w:rPr>
        <w:t>South</w:t>
      </w:r>
      <w:r>
        <w:rPr>
          <w:spacing w:val="-9"/>
          <w:w w:val="105"/>
          <w:sz w:val="21"/>
        </w:rPr>
        <w:t> </w:t>
      </w:r>
      <w:r>
        <w:rPr>
          <w:spacing w:val="-3"/>
          <w:w w:val="105"/>
          <w:sz w:val="21"/>
        </w:rPr>
        <w:t>Wales</w:t>
      </w:r>
      <w:r>
        <w:rPr>
          <w:spacing w:val="-9"/>
          <w:w w:val="105"/>
          <w:sz w:val="21"/>
        </w:rPr>
        <w:t> </w:t>
      </w:r>
      <w:r>
        <w:rPr>
          <w:spacing w:val="-3"/>
          <w:w w:val="105"/>
          <w:sz w:val="21"/>
        </w:rPr>
        <w:t>are generally well trained </w:t>
      </w:r>
      <w:r>
        <w:rPr>
          <w:w w:val="105"/>
          <w:sz w:val="21"/>
        </w:rPr>
        <w:t>and </w:t>
      </w:r>
      <w:r>
        <w:rPr>
          <w:spacing w:val="-4"/>
          <w:w w:val="105"/>
          <w:sz w:val="21"/>
        </w:rPr>
        <w:t>knowledgeable.</w:t>
      </w:r>
      <w:r>
        <w:rPr>
          <w:spacing w:val="-4"/>
          <w:w w:val="105"/>
          <w:position w:val="7"/>
          <w:sz w:val="12"/>
        </w:rPr>
        <w:t>175 </w:t>
      </w:r>
      <w:r>
        <w:rPr>
          <w:w w:val="105"/>
          <w:sz w:val="21"/>
        </w:rPr>
        <w:t>The </w:t>
      </w:r>
      <w:r>
        <w:rPr>
          <w:spacing w:val="-3"/>
          <w:w w:val="105"/>
          <w:sz w:val="21"/>
        </w:rPr>
        <w:t>Court </w:t>
      </w:r>
      <w:r>
        <w:rPr>
          <w:w w:val="105"/>
          <w:sz w:val="21"/>
        </w:rPr>
        <w:t>also </w:t>
      </w:r>
      <w:r>
        <w:rPr>
          <w:spacing w:val="-3"/>
          <w:w w:val="105"/>
          <w:sz w:val="21"/>
        </w:rPr>
        <w:t>noted that all </w:t>
      </w:r>
      <w:r>
        <w:rPr>
          <w:w w:val="105"/>
          <w:sz w:val="21"/>
        </w:rPr>
        <w:t>arborists know about the </w:t>
      </w:r>
      <w:r>
        <w:rPr>
          <w:spacing w:val="-3"/>
          <w:w w:val="105"/>
          <w:sz w:val="21"/>
        </w:rPr>
        <w:t>relevant Australian Standards relating to pruning </w:t>
      </w:r>
      <w:r>
        <w:rPr>
          <w:w w:val="105"/>
          <w:sz w:val="21"/>
        </w:rPr>
        <w:t>and tree protection</w:t>
      </w:r>
      <w:r>
        <w:rPr>
          <w:spacing w:val="-11"/>
          <w:w w:val="105"/>
          <w:sz w:val="21"/>
        </w:rPr>
        <w:t> </w:t>
      </w:r>
      <w:r>
        <w:rPr>
          <w:spacing w:val="-5"/>
          <w:w w:val="105"/>
          <w:sz w:val="21"/>
        </w:rPr>
        <w:t>zones.</w:t>
      </w:r>
      <w:r>
        <w:rPr>
          <w:spacing w:val="-5"/>
          <w:w w:val="105"/>
          <w:position w:val="7"/>
          <w:sz w:val="12"/>
        </w:rPr>
        <w:t>176</w:t>
      </w:r>
    </w:p>
    <w:p>
      <w:pPr>
        <w:pStyle w:val="ListParagraph"/>
        <w:numPr>
          <w:ilvl w:val="1"/>
          <w:numId w:val="133"/>
        </w:numPr>
        <w:tabs>
          <w:tab w:pos="2381" w:val="left" w:leader="none"/>
          <w:tab w:pos="2382" w:val="left" w:leader="none"/>
        </w:tabs>
        <w:spacing w:line="242" w:lineRule="auto" w:before="126" w:after="0"/>
        <w:ind w:left="2381" w:right="1790" w:hanging="794"/>
        <w:jc w:val="left"/>
        <w:rPr>
          <w:sz w:val="21"/>
        </w:rPr>
      </w:pPr>
      <w:r>
        <w:rPr>
          <w:w w:val="105"/>
          <w:sz w:val="21"/>
        </w:rPr>
        <w:t>Any experts engaged independently by the parties </w:t>
      </w:r>
      <w:r>
        <w:rPr>
          <w:spacing w:val="-3"/>
          <w:w w:val="105"/>
          <w:sz w:val="21"/>
        </w:rPr>
        <w:t>are generally </w:t>
      </w:r>
      <w:r>
        <w:rPr>
          <w:spacing w:val="-2"/>
          <w:w w:val="105"/>
          <w:sz w:val="21"/>
        </w:rPr>
        <w:t>not </w:t>
      </w:r>
      <w:r>
        <w:rPr>
          <w:spacing w:val="-3"/>
          <w:w w:val="105"/>
          <w:sz w:val="21"/>
        </w:rPr>
        <w:t>required to </w:t>
      </w:r>
      <w:r>
        <w:rPr>
          <w:w w:val="105"/>
          <w:sz w:val="21"/>
        </w:rPr>
        <w:t>attend the </w:t>
      </w:r>
      <w:r>
        <w:rPr>
          <w:spacing w:val="-3"/>
          <w:w w:val="105"/>
          <w:sz w:val="21"/>
        </w:rPr>
        <w:t>hearing. </w:t>
      </w:r>
      <w:r>
        <w:rPr>
          <w:w w:val="105"/>
          <w:sz w:val="21"/>
        </w:rPr>
        <w:t>Written evidence is </w:t>
      </w:r>
      <w:r>
        <w:rPr>
          <w:spacing w:val="-3"/>
          <w:w w:val="105"/>
          <w:sz w:val="21"/>
        </w:rPr>
        <w:t>considered </w:t>
      </w:r>
      <w:r>
        <w:rPr>
          <w:spacing w:val="-4"/>
          <w:w w:val="105"/>
          <w:sz w:val="21"/>
        </w:rPr>
        <w:t>sufficient.</w:t>
      </w:r>
      <w:r>
        <w:rPr>
          <w:spacing w:val="-4"/>
          <w:w w:val="105"/>
          <w:position w:val="7"/>
          <w:sz w:val="12"/>
        </w:rPr>
        <w:t>177 </w:t>
      </w:r>
      <w:r>
        <w:rPr>
          <w:w w:val="105"/>
          <w:sz w:val="21"/>
        </w:rPr>
        <w:t>The expert and expert’s report must</w:t>
      </w:r>
      <w:r>
        <w:rPr>
          <w:spacing w:val="-6"/>
          <w:w w:val="105"/>
          <w:sz w:val="21"/>
        </w:rPr>
        <w:t> </w:t>
      </w:r>
      <w:r>
        <w:rPr>
          <w:w w:val="105"/>
          <w:sz w:val="21"/>
        </w:rPr>
        <w:t>comply</w:t>
      </w:r>
      <w:r>
        <w:rPr>
          <w:spacing w:val="-6"/>
          <w:w w:val="105"/>
          <w:sz w:val="21"/>
        </w:rPr>
        <w:t> </w:t>
      </w:r>
      <w:r>
        <w:rPr>
          <w:w w:val="105"/>
          <w:sz w:val="21"/>
        </w:rPr>
        <w:t>with</w:t>
      </w:r>
      <w:r>
        <w:rPr>
          <w:spacing w:val="-6"/>
          <w:w w:val="105"/>
          <w:sz w:val="21"/>
        </w:rPr>
        <w:t> </w:t>
      </w:r>
      <w:r>
        <w:rPr>
          <w:w w:val="105"/>
          <w:sz w:val="21"/>
        </w:rPr>
        <w:t>the</w:t>
      </w:r>
      <w:r>
        <w:rPr>
          <w:spacing w:val="-6"/>
          <w:w w:val="105"/>
          <w:sz w:val="21"/>
        </w:rPr>
        <w:t> </w:t>
      </w:r>
      <w:r>
        <w:rPr>
          <w:i/>
          <w:w w:val="105"/>
          <w:sz w:val="21"/>
        </w:rPr>
        <w:t>Uniform</w:t>
      </w:r>
      <w:r>
        <w:rPr>
          <w:i/>
          <w:spacing w:val="-5"/>
          <w:w w:val="105"/>
          <w:sz w:val="21"/>
        </w:rPr>
        <w:t> </w:t>
      </w:r>
      <w:r>
        <w:rPr>
          <w:i/>
          <w:w w:val="105"/>
          <w:sz w:val="21"/>
        </w:rPr>
        <w:t>Civil</w:t>
      </w:r>
      <w:r>
        <w:rPr>
          <w:i/>
          <w:spacing w:val="-6"/>
          <w:w w:val="105"/>
          <w:sz w:val="21"/>
        </w:rPr>
        <w:t> </w:t>
      </w:r>
      <w:r>
        <w:rPr>
          <w:i/>
          <w:w w:val="105"/>
          <w:sz w:val="21"/>
        </w:rPr>
        <w:t>Procedure</w:t>
      </w:r>
      <w:r>
        <w:rPr>
          <w:i/>
          <w:spacing w:val="-6"/>
          <w:w w:val="105"/>
          <w:sz w:val="21"/>
        </w:rPr>
        <w:t> </w:t>
      </w:r>
      <w:r>
        <w:rPr>
          <w:i/>
          <w:w w:val="105"/>
          <w:sz w:val="21"/>
        </w:rPr>
        <w:t>Rules</w:t>
      </w:r>
      <w:r>
        <w:rPr>
          <w:i/>
          <w:spacing w:val="-6"/>
          <w:w w:val="105"/>
          <w:sz w:val="21"/>
        </w:rPr>
        <w:t> </w:t>
      </w:r>
      <w:r>
        <w:rPr>
          <w:i/>
          <w:w w:val="105"/>
          <w:sz w:val="21"/>
        </w:rPr>
        <w:t>2005</w:t>
      </w:r>
      <w:r>
        <w:rPr>
          <w:i/>
          <w:spacing w:val="-6"/>
          <w:w w:val="105"/>
          <w:sz w:val="21"/>
        </w:rPr>
        <w:t> </w:t>
      </w:r>
      <w:r>
        <w:rPr>
          <w:w w:val="105"/>
          <w:sz w:val="21"/>
        </w:rPr>
        <w:t>(NSW).</w:t>
      </w:r>
      <w:r>
        <w:rPr>
          <w:w w:val="105"/>
          <w:position w:val="7"/>
          <w:sz w:val="12"/>
        </w:rPr>
        <w:t>178</w:t>
      </w:r>
      <w:r>
        <w:rPr>
          <w:spacing w:val="17"/>
          <w:w w:val="105"/>
          <w:position w:val="7"/>
          <w:sz w:val="12"/>
        </w:rPr>
        <w:t> </w:t>
      </w:r>
      <w:r>
        <w:rPr>
          <w:spacing w:val="-3"/>
          <w:w w:val="105"/>
          <w:sz w:val="21"/>
        </w:rPr>
        <w:t>Rule</w:t>
      </w:r>
      <w:r>
        <w:rPr>
          <w:spacing w:val="-5"/>
          <w:w w:val="105"/>
          <w:sz w:val="21"/>
        </w:rPr>
        <w:t> </w:t>
      </w:r>
      <w:r>
        <w:rPr>
          <w:spacing w:val="-7"/>
          <w:w w:val="105"/>
          <w:sz w:val="21"/>
        </w:rPr>
        <w:t>31.27</w:t>
      </w:r>
      <w:r>
        <w:rPr>
          <w:spacing w:val="-6"/>
          <w:w w:val="105"/>
          <w:sz w:val="21"/>
        </w:rPr>
        <w:t> </w:t>
      </w:r>
      <w:r>
        <w:rPr>
          <w:w w:val="105"/>
          <w:sz w:val="21"/>
        </w:rPr>
        <w:t>provides </w:t>
      </w:r>
      <w:r>
        <w:rPr>
          <w:spacing w:val="-3"/>
          <w:w w:val="105"/>
          <w:sz w:val="21"/>
        </w:rPr>
        <w:t>that </w:t>
      </w:r>
      <w:r>
        <w:rPr>
          <w:w w:val="105"/>
          <w:sz w:val="21"/>
        </w:rPr>
        <w:t>an expert’s report must </w:t>
      </w:r>
      <w:r>
        <w:rPr>
          <w:spacing w:val="-3"/>
          <w:w w:val="105"/>
          <w:sz w:val="21"/>
        </w:rPr>
        <w:t>include </w:t>
      </w:r>
      <w:r>
        <w:rPr>
          <w:w w:val="105"/>
          <w:sz w:val="21"/>
        </w:rPr>
        <w:t>the</w:t>
      </w:r>
      <w:r>
        <w:rPr>
          <w:spacing w:val="34"/>
          <w:w w:val="105"/>
          <w:sz w:val="21"/>
        </w:rPr>
        <w:t> </w:t>
      </w:r>
      <w:r>
        <w:rPr>
          <w:w w:val="105"/>
          <w:sz w:val="21"/>
        </w:rPr>
        <w:t>following:</w:t>
      </w:r>
    </w:p>
    <w:p>
      <w:pPr>
        <w:pStyle w:val="ListParagraph"/>
        <w:numPr>
          <w:ilvl w:val="2"/>
          <w:numId w:val="133"/>
        </w:numPr>
        <w:tabs>
          <w:tab w:pos="2721" w:val="left" w:leader="none"/>
          <w:tab w:pos="2722" w:val="left" w:leader="none"/>
        </w:tabs>
        <w:spacing w:line="240" w:lineRule="auto" w:before="124" w:after="0"/>
        <w:ind w:left="2721" w:right="0" w:hanging="340"/>
        <w:jc w:val="left"/>
        <w:rPr>
          <w:sz w:val="21"/>
        </w:rPr>
      </w:pPr>
      <w:r>
        <w:rPr>
          <w:sz w:val="21"/>
        </w:rPr>
        <w:t>the</w:t>
      </w:r>
      <w:r>
        <w:rPr>
          <w:spacing w:val="9"/>
          <w:sz w:val="21"/>
        </w:rPr>
        <w:t> </w:t>
      </w:r>
      <w:r>
        <w:rPr>
          <w:sz w:val="21"/>
        </w:rPr>
        <w:t>expert’s</w:t>
      </w:r>
      <w:r>
        <w:rPr>
          <w:spacing w:val="10"/>
          <w:sz w:val="21"/>
        </w:rPr>
        <w:t> </w:t>
      </w:r>
      <w:r>
        <w:rPr>
          <w:spacing w:val="-3"/>
          <w:sz w:val="21"/>
        </w:rPr>
        <w:t>qualifications</w:t>
      </w:r>
      <w:r>
        <w:rPr>
          <w:spacing w:val="10"/>
          <w:sz w:val="21"/>
        </w:rPr>
        <w:t> </w:t>
      </w:r>
      <w:r>
        <w:rPr>
          <w:sz w:val="21"/>
        </w:rPr>
        <w:t>as</w:t>
      </w:r>
      <w:r>
        <w:rPr>
          <w:spacing w:val="10"/>
          <w:sz w:val="21"/>
        </w:rPr>
        <w:t> </w:t>
      </w:r>
      <w:r>
        <w:rPr>
          <w:sz w:val="21"/>
        </w:rPr>
        <w:t>an</w:t>
      </w:r>
      <w:r>
        <w:rPr>
          <w:spacing w:val="9"/>
          <w:sz w:val="21"/>
        </w:rPr>
        <w:t> </w:t>
      </w:r>
      <w:r>
        <w:rPr>
          <w:sz w:val="21"/>
        </w:rPr>
        <w:t>expert</w:t>
      </w:r>
      <w:r>
        <w:rPr>
          <w:spacing w:val="10"/>
          <w:sz w:val="21"/>
        </w:rPr>
        <w:t> </w:t>
      </w:r>
      <w:r>
        <w:rPr>
          <w:sz w:val="21"/>
        </w:rPr>
        <w:t>on</w:t>
      </w:r>
      <w:r>
        <w:rPr>
          <w:spacing w:val="10"/>
          <w:sz w:val="21"/>
        </w:rPr>
        <w:t> </w:t>
      </w:r>
      <w:r>
        <w:rPr>
          <w:sz w:val="21"/>
        </w:rPr>
        <w:t>the</w:t>
      </w:r>
      <w:r>
        <w:rPr>
          <w:spacing w:val="10"/>
          <w:sz w:val="21"/>
        </w:rPr>
        <w:t> </w:t>
      </w:r>
      <w:r>
        <w:rPr>
          <w:sz w:val="21"/>
        </w:rPr>
        <w:t>issue</w:t>
      </w:r>
      <w:r>
        <w:rPr>
          <w:spacing w:val="10"/>
          <w:sz w:val="21"/>
        </w:rPr>
        <w:t> </w:t>
      </w:r>
      <w:r>
        <w:rPr>
          <w:sz w:val="21"/>
        </w:rPr>
        <w:t>the</w:t>
      </w:r>
      <w:r>
        <w:rPr>
          <w:spacing w:val="9"/>
          <w:sz w:val="21"/>
        </w:rPr>
        <w:t> </w:t>
      </w:r>
      <w:r>
        <w:rPr>
          <w:sz w:val="21"/>
        </w:rPr>
        <w:t>subject</w:t>
      </w:r>
      <w:r>
        <w:rPr>
          <w:spacing w:val="10"/>
          <w:sz w:val="21"/>
        </w:rPr>
        <w:t> </w:t>
      </w:r>
      <w:r>
        <w:rPr>
          <w:sz w:val="21"/>
        </w:rPr>
        <w:t>of</w:t>
      </w:r>
      <w:r>
        <w:rPr>
          <w:spacing w:val="10"/>
          <w:sz w:val="21"/>
        </w:rPr>
        <w:t> </w:t>
      </w:r>
      <w:r>
        <w:rPr>
          <w:sz w:val="21"/>
        </w:rPr>
        <w:t>the</w:t>
      </w:r>
      <w:r>
        <w:rPr>
          <w:spacing w:val="10"/>
          <w:sz w:val="21"/>
        </w:rPr>
        <w:t> </w:t>
      </w:r>
      <w:r>
        <w:rPr>
          <w:sz w:val="21"/>
        </w:rPr>
        <w:t>report</w:t>
      </w:r>
    </w:p>
    <w:p>
      <w:pPr>
        <w:pStyle w:val="ListParagraph"/>
        <w:numPr>
          <w:ilvl w:val="2"/>
          <w:numId w:val="133"/>
        </w:numPr>
        <w:tabs>
          <w:tab w:pos="2721" w:val="left" w:leader="none"/>
          <w:tab w:pos="2722" w:val="left" w:leader="none"/>
        </w:tabs>
        <w:spacing w:line="242" w:lineRule="auto" w:before="89" w:after="0"/>
        <w:ind w:left="2721" w:right="1826" w:hanging="340"/>
        <w:jc w:val="left"/>
        <w:rPr>
          <w:sz w:val="21"/>
        </w:rPr>
      </w:pPr>
      <w:r>
        <w:rPr>
          <w:sz w:val="21"/>
        </w:rPr>
        <w:t>the facts, and </w:t>
      </w:r>
      <w:r>
        <w:rPr>
          <w:spacing w:val="-3"/>
          <w:sz w:val="21"/>
        </w:rPr>
        <w:t>assumptions </w:t>
      </w:r>
      <w:r>
        <w:rPr>
          <w:sz w:val="21"/>
        </w:rPr>
        <w:t>of fact, on which the </w:t>
      </w:r>
      <w:r>
        <w:rPr>
          <w:spacing w:val="-3"/>
          <w:sz w:val="21"/>
        </w:rPr>
        <w:t>opinions </w:t>
      </w:r>
      <w:r>
        <w:rPr>
          <w:sz w:val="21"/>
        </w:rPr>
        <w:t>in the report </w:t>
      </w:r>
      <w:r>
        <w:rPr>
          <w:spacing w:val="-3"/>
          <w:sz w:val="21"/>
        </w:rPr>
        <w:t>are </w:t>
      </w:r>
      <w:r>
        <w:rPr>
          <w:sz w:val="21"/>
        </w:rPr>
        <w:t>based (a letter of instructions </w:t>
      </w:r>
      <w:r>
        <w:rPr>
          <w:spacing w:val="-3"/>
          <w:sz w:val="21"/>
        </w:rPr>
        <w:t>may </w:t>
      </w:r>
      <w:r>
        <w:rPr>
          <w:sz w:val="21"/>
        </w:rPr>
        <w:t>be</w:t>
      </w:r>
      <w:r>
        <w:rPr>
          <w:spacing w:val="44"/>
          <w:sz w:val="21"/>
        </w:rPr>
        <w:t> </w:t>
      </w:r>
      <w:r>
        <w:rPr>
          <w:sz w:val="21"/>
        </w:rPr>
        <w:t>annexed)</w:t>
      </w:r>
    </w:p>
    <w:p>
      <w:pPr>
        <w:pStyle w:val="ListParagraph"/>
        <w:numPr>
          <w:ilvl w:val="2"/>
          <w:numId w:val="133"/>
        </w:numPr>
        <w:tabs>
          <w:tab w:pos="2721" w:val="left" w:leader="none"/>
          <w:tab w:pos="2722" w:val="left" w:leader="none"/>
        </w:tabs>
        <w:spacing w:line="240" w:lineRule="auto" w:before="87" w:after="0"/>
        <w:ind w:left="2721" w:right="0" w:hanging="340"/>
        <w:jc w:val="left"/>
        <w:rPr>
          <w:sz w:val="21"/>
        </w:rPr>
      </w:pPr>
      <w:r>
        <w:rPr>
          <w:sz w:val="21"/>
        </w:rPr>
        <w:t>the expert’s </w:t>
      </w:r>
      <w:r>
        <w:rPr>
          <w:spacing w:val="-3"/>
          <w:sz w:val="21"/>
        </w:rPr>
        <w:t>reasons for </w:t>
      </w:r>
      <w:r>
        <w:rPr>
          <w:sz w:val="21"/>
        </w:rPr>
        <w:t>each opinion</w:t>
      </w:r>
      <w:r>
        <w:rPr>
          <w:spacing w:val="10"/>
          <w:sz w:val="21"/>
        </w:rPr>
        <w:t> </w:t>
      </w:r>
      <w:r>
        <w:rPr>
          <w:sz w:val="21"/>
        </w:rPr>
        <w:t>expressed</w:t>
      </w:r>
    </w:p>
    <w:p>
      <w:pPr>
        <w:pStyle w:val="ListParagraph"/>
        <w:numPr>
          <w:ilvl w:val="2"/>
          <w:numId w:val="133"/>
        </w:numPr>
        <w:tabs>
          <w:tab w:pos="2721" w:val="left" w:leader="none"/>
          <w:tab w:pos="2722" w:val="left" w:leader="none"/>
        </w:tabs>
        <w:spacing w:line="240" w:lineRule="auto" w:before="88" w:after="0"/>
        <w:ind w:left="2721" w:right="0" w:hanging="340"/>
        <w:jc w:val="left"/>
        <w:rPr>
          <w:sz w:val="21"/>
        </w:rPr>
      </w:pPr>
      <w:r>
        <w:rPr>
          <w:w w:val="105"/>
          <w:sz w:val="21"/>
        </w:rPr>
        <w:t>if </w:t>
      </w:r>
      <w:r>
        <w:rPr>
          <w:spacing w:val="-3"/>
          <w:w w:val="105"/>
          <w:sz w:val="21"/>
        </w:rPr>
        <w:t>applicable, that </w:t>
      </w:r>
      <w:r>
        <w:rPr>
          <w:w w:val="105"/>
          <w:sz w:val="21"/>
        </w:rPr>
        <w:t>a particular issue </w:t>
      </w:r>
      <w:r>
        <w:rPr>
          <w:spacing w:val="-4"/>
          <w:w w:val="105"/>
          <w:sz w:val="21"/>
        </w:rPr>
        <w:t>falls </w:t>
      </w:r>
      <w:r>
        <w:rPr>
          <w:w w:val="105"/>
          <w:sz w:val="21"/>
        </w:rPr>
        <w:t>outside the expert’s field of</w:t>
      </w:r>
      <w:r>
        <w:rPr>
          <w:spacing w:val="33"/>
          <w:w w:val="105"/>
          <w:sz w:val="21"/>
        </w:rPr>
        <w:t> </w:t>
      </w:r>
      <w:r>
        <w:rPr>
          <w:w w:val="105"/>
          <w:sz w:val="21"/>
        </w:rPr>
        <w:t>expertise</w:t>
      </w:r>
    </w:p>
    <w:p>
      <w:pPr>
        <w:pStyle w:val="ListParagraph"/>
        <w:numPr>
          <w:ilvl w:val="2"/>
          <w:numId w:val="133"/>
        </w:numPr>
        <w:tabs>
          <w:tab w:pos="2721" w:val="left" w:leader="none"/>
          <w:tab w:pos="2722" w:val="left" w:leader="none"/>
        </w:tabs>
        <w:spacing w:line="240" w:lineRule="auto" w:before="89" w:after="0"/>
        <w:ind w:left="2721" w:right="0" w:hanging="340"/>
        <w:jc w:val="left"/>
        <w:rPr>
          <w:sz w:val="21"/>
        </w:rPr>
      </w:pPr>
      <w:r>
        <w:rPr>
          <w:spacing w:val="-3"/>
          <w:sz w:val="21"/>
        </w:rPr>
        <w:t>any </w:t>
      </w:r>
      <w:r>
        <w:rPr>
          <w:spacing w:val="-4"/>
          <w:sz w:val="21"/>
        </w:rPr>
        <w:t>literature </w:t>
      </w:r>
      <w:r>
        <w:rPr>
          <w:sz w:val="21"/>
        </w:rPr>
        <w:t>or other </w:t>
      </w:r>
      <w:r>
        <w:rPr>
          <w:spacing w:val="-3"/>
          <w:sz w:val="21"/>
        </w:rPr>
        <w:t>materials </w:t>
      </w:r>
      <w:r>
        <w:rPr>
          <w:sz w:val="21"/>
        </w:rPr>
        <w:t>used in support of the</w:t>
      </w:r>
      <w:r>
        <w:rPr>
          <w:spacing w:val="12"/>
          <w:sz w:val="21"/>
        </w:rPr>
        <w:t> </w:t>
      </w:r>
      <w:r>
        <w:rPr>
          <w:spacing w:val="-3"/>
          <w:sz w:val="21"/>
        </w:rPr>
        <w:t>opinions</w:t>
      </w:r>
    </w:p>
    <w:p>
      <w:pPr>
        <w:pStyle w:val="ListParagraph"/>
        <w:numPr>
          <w:ilvl w:val="2"/>
          <w:numId w:val="133"/>
        </w:numPr>
        <w:tabs>
          <w:tab w:pos="2721" w:val="left" w:leader="none"/>
          <w:tab w:pos="2722" w:val="left" w:leader="none"/>
        </w:tabs>
        <w:spacing w:line="242" w:lineRule="auto" w:before="89" w:after="0"/>
        <w:ind w:left="2721" w:right="2349" w:hanging="340"/>
        <w:jc w:val="left"/>
        <w:rPr>
          <w:sz w:val="21"/>
        </w:rPr>
      </w:pPr>
      <w:r>
        <w:rPr>
          <w:spacing w:val="-3"/>
          <w:w w:val="105"/>
          <w:sz w:val="21"/>
        </w:rPr>
        <w:t>any</w:t>
      </w:r>
      <w:r>
        <w:rPr>
          <w:spacing w:val="-8"/>
          <w:w w:val="105"/>
          <w:sz w:val="21"/>
        </w:rPr>
        <w:t> </w:t>
      </w:r>
      <w:r>
        <w:rPr>
          <w:spacing w:val="-3"/>
          <w:w w:val="105"/>
          <w:sz w:val="21"/>
        </w:rPr>
        <w:t>examinations,</w:t>
      </w:r>
      <w:r>
        <w:rPr>
          <w:spacing w:val="-7"/>
          <w:w w:val="105"/>
          <w:sz w:val="21"/>
        </w:rPr>
        <w:t> </w:t>
      </w:r>
      <w:r>
        <w:rPr>
          <w:w w:val="105"/>
          <w:sz w:val="21"/>
        </w:rPr>
        <w:t>tests</w:t>
      </w:r>
      <w:r>
        <w:rPr>
          <w:spacing w:val="-7"/>
          <w:w w:val="105"/>
          <w:sz w:val="21"/>
        </w:rPr>
        <w:t> </w:t>
      </w:r>
      <w:r>
        <w:rPr>
          <w:w w:val="105"/>
          <w:sz w:val="21"/>
        </w:rPr>
        <w:t>or</w:t>
      </w:r>
      <w:r>
        <w:rPr>
          <w:spacing w:val="-7"/>
          <w:w w:val="105"/>
          <w:sz w:val="21"/>
        </w:rPr>
        <w:t> </w:t>
      </w:r>
      <w:r>
        <w:rPr>
          <w:w w:val="105"/>
          <w:sz w:val="21"/>
        </w:rPr>
        <w:t>other</w:t>
      </w:r>
      <w:r>
        <w:rPr>
          <w:spacing w:val="-8"/>
          <w:w w:val="105"/>
          <w:sz w:val="21"/>
        </w:rPr>
        <w:t> </w:t>
      </w:r>
      <w:r>
        <w:rPr>
          <w:spacing w:val="-3"/>
          <w:w w:val="105"/>
          <w:sz w:val="21"/>
        </w:rPr>
        <w:t>investigations</w:t>
      </w:r>
      <w:r>
        <w:rPr>
          <w:spacing w:val="-7"/>
          <w:w w:val="105"/>
          <w:sz w:val="21"/>
        </w:rPr>
        <w:t> </w:t>
      </w:r>
      <w:r>
        <w:rPr>
          <w:w w:val="105"/>
          <w:sz w:val="21"/>
        </w:rPr>
        <w:t>on</w:t>
      </w:r>
      <w:r>
        <w:rPr>
          <w:spacing w:val="-7"/>
          <w:w w:val="105"/>
          <w:sz w:val="21"/>
        </w:rPr>
        <w:t> </w:t>
      </w:r>
      <w:r>
        <w:rPr>
          <w:w w:val="105"/>
          <w:sz w:val="21"/>
        </w:rPr>
        <w:t>which</w:t>
      </w:r>
      <w:r>
        <w:rPr>
          <w:spacing w:val="-8"/>
          <w:w w:val="105"/>
          <w:sz w:val="21"/>
        </w:rPr>
        <w:t> </w:t>
      </w:r>
      <w:r>
        <w:rPr>
          <w:w w:val="105"/>
          <w:sz w:val="21"/>
        </w:rPr>
        <w:t>the</w:t>
      </w:r>
      <w:r>
        <w:rPr>
          <w:spacing w:val="-7"/>
          <w:w w:val="105"/>
          <w:sz w:val="21"/>
        </w:rPr>
        <w:t> </w:t>
      </w:r>
      <w:r>
        <w:rPr>
          <w:w w:val="105"/>
          <w:sz w:val="21"/>
        </w:rPr>
        <w:t>expert</w:t>
      </w:r>
      <w:r>
        <w:rPr>
          <w:spacing w:val="-7"/>
          <w:w w:val="105"/>
          <w:sz w:val="21"/>
        </w:rPr>
        <w:t> </w:t>
      </w:r>
      <w:r>
        <w:rPr>
          <w:spacing w:val="-2"/>
          <w:w w:val="105"/>
          <w:sz w:val="21"/>
        </w:rPr>
        <w:t>has</w:t>
      </w:r>
      <w:r>
        <w:rPr>
          <w:spacing w:val="-7"/>
          <w:w w:val="105"/>
          <w:sz w:val="21"/>
        </w:rPr>
        <w:t> </w:t>
      </w:r>
      <w:r>
        <w:rPr>
          <w:spacing w:val="-3"/>
          <w:w w:val="105"/>
          <w:sz w:val="21"/>
        </w:rPr>
        <w:t>relied, including </w:t>
      </w:r>
      <w:r>
        <w:rPr>
          <w:w w:val="105"/>
          <w:sz w:val="21"/>
        </w:rPr>
        <w:t>details of the </w:t>
      </w:r>
      <w:r>
        <w:rPr>
          <w:spacing w:val="-3"/>
          <w:w w:val="105"/>
          <w:sz w:val="21"/>
        </w:rPr>
        <w:t>qualifications </w:t>
      </w:r>
      <w:r>
        <w:rPr>
          <w:w w:val="105"/>
          <w:sz w:val="21"/>
        </w:rPr>
        <w:t>of the person who carried them</w:t>
      </w:r>
      <w:r>
        <w:rPr>
          <w:spacing w:val="-8"/>
          <w:w w:val="105"/>
          <w:sz w:val="21"/>
        </w:rPr>
        <w:t> </w:t>
      </w:r>
      <w:r>
        <w:rPr>
          <w:w w:val="105"/>
          <w:sz w:val="21"/>
        </w:rPr>
        <w:t>out</w:t>
      </w:r>
    </w:p>
    <w:p>
      <w:pPr>
        <w:pStyle w:val="ListParagraph"/>
        <w:numPr>
          <w:ilvl w:val="2"/>
          <w:numId w:val="133"/>
        </w:numPr>
        <w:tabs>
          <w:tab w:pos="2721" w:val="left" w:leader="none"/>
          <w:tab w:pos="2722" w:val="left" w:leader="none"/>
        </w:tabs>
        <w:spacing w:line="242" w:lineRule="auto" w:before="87" w:after="0"/>
        <w:ind w:left="2721" w:right="1594" w:hanging="340"/>
        <w:jc w:val="left"/>
        <w:rPr>
          <w:sz w:val="21"/>
        </w:rPr>
      </w:pPr>
      <w:r>
        <w:rPr>
          <w:w w:val="105"/>
          <w:sz w:val="21"/>
        </w:rPr>
        <w:t>in</w:t>
      </w:r>
      <w:r>
        <w:rPr>
          <w:spacing w:val="-6"/>
          <w:w w:val="105"/>
          <w:sz w:val="21"/>
        </w:rPr>
        <w:t> </w:t>
      </w:r>
      <w:r>
        <w:rPr>
          <w:w w:val="105"/>
          <w:sz w:val="21"/>
        </w:rPr>
        <w:t>the</w:t>
      </w:r>
      <w:r>
        <w:rPr>
          <w:spacing w:val="-5"/>
          <w:w w:val="105"/>
          <w:sz w:val="21"/>
        </w:rPr>
        <w:t> </w:t>
      </w:r>
      <w:r>
        <w:rPr>
          <w:w w:val="105"/>
          <w:sz w:val="21"/>
        </w:rPr>
        <w:t>case</w:t>
      </w:r>
      <w:r>
        <w:rPr>
          <w:spacing w:val="-6"/>
          <w:w w:val="105"/>
          <w:sz w:val="21"/>
        </w:rPr>
        <w:t> </w:t>
      </w:r>
      <w:r>
        <w:rPr>
          <w:w w:val="105"/>
          <w:sz w:val="21"/>
        </w:rPr>
        <w:t>of</w:t>
      </w:r>
      <w:r>
        <w:rPr>
          <w:spacing w:val="-5"/>
          <w:w w:val="105"/>
          <w:sz w:val="21"/>
        </w:rPr>
        <w:t> </w:t>
      </w:r>
      <w:r>
        <w:rPr>
          <w:w w:val="105"/>
          <w:sz w:val="21"/>
        </w:rPr>
        <w:t>a</w:t>
      </w:r>
      <w:r>
        <w:rPr>
          <w:spacing w:val="-5"/>
          <w:w w:val="105"/>
          <w:sz w:val="21"/>
        </w:rPr>
        <w:t> </w:t>
      </w:r>
      <w:r>
        <w:rPr>
          <w:w w:val="105"/>
          <w:sz w:val="21"/>
        </w:rPr>
        <w:t>report</w:t>
      </w:r>
      <w:r>
        <w:rPr>
          <w:spacing w:val="-6"/>
          <w:w w:val="105"/>
          <w:sz w:val="21"/>
        </w:rPr>
        <w:t> </w:t>
      </w:r>
      <w:r>
        <w:rPr>
          <w:spacing w:val="-3"/>
          <w:w w:val="105"/>
          <w:sz w:val="21"/>
        </w:rPr>
        <w:t>that</w:t>
      </w:r>
      <w:r>
        <w:rPr>
          <w:spacing w:val="-5"/>
          <w:w w:val="105"/>
          <w:sz w:val="21"/>
        </w:rPr>
        <w:t> </w:t>
      </w:r>
      <w:r>
        <w:rPr>
          <w:w w:val="105"/>
          <w:sz w:val="21"/>
        </w:rPr>
        <w:t>is</w:t>
      </w:r>
      <w:r>
        <w:rPr>
          <w:spacing w:val="-6"/>
          <w:w w:val="105"/>
          <w:sz w:val="21"/>
        </w:rPr>
        <w:t> </w:t>
      </w:r>
      <w:r>
        <w:rPr>
          <w:spacing w:val="-3"/>
          <w:w w:val="105"/>
          <w:sz w:val="21"/>
        </w:rPr>
        <w:t>lengthy</w:t>
      </w:r>
      <w:r>
        <w:rPr>
          <w:spacing w:val="-5"/>
          <w:w w:val="105"/>
          <w:sz w:val="21"/>
        </w:rPr>
        <w:t> </w:t>
      </w:r>
      <w:r>
        <w:rPr>
          <w:w w:val="105"/>
          <w:sz w:val="21"/>
        </w:rPr>
        <w:t>or</w:t>
      </w:r>
      <w:r>
        <w:rPr>
          <w:spacing w:val="-5"/>
          <w:w w:val="105"/>
          <w:sz w:val="21"/>
        </w:rPr>
        <w:t> </w:t>
      </w:r>
      <w:r>
        <w:rPr>
          <w:w w:val="105"/>
          <w:sz w:val="21"/>
        </w:rPr>
        <w:t>complex,</w:t>
      </w:r>
      <w:r>
        <w:rPr>
          <w:spacing w:val="-6"/>
          <w:w w:val="105"/>
          <w:sz w:val="21"/>
        </w:rPr>
        <w:t> </w:t>
      </w:r>
      <w:r>
        <w:rPr>
          <w:w w:val="105"/>
          <w:sz w:val="21"/>
        </w:rPr>
        <w:t>a</w:t>
      </w:r>
      <w:r>
        <w:rPr>
          <w:spacing w:val="-5"/>
          <w:w w:val="105"/>
          <w:sz w:val="21"/>
        </w:rPr>
        <w:t> </w:t>
      </w:r>
      <w:r>
        <w:rPr>
          <w:w w:val="105"/>
          <w:sz w:val="21"/>
        </w:rPr>
        <w:t>brief</w:t>
      </w:r>
      <w:r>
        <w:rPr>
          <w:spacing w:val="-6"/>
          <w:w w:val="105"/>
          <w:sz w:val="21"/>
        </w:rPr>
        <w:t> </w:t>
      </w:r>
      <w:r>
        <w:rPr>
          <w:w w:val="105"/>
          <w:sz w:val="21"/>
        </w:rPr>
        <w:t>summary</w:t>
      </w:r>
      <w:r>
        <w:rPr>
          <w:spacing w:val="-5"/>
          <w:w w:val="105"/>
          <w:sz w:val="21"/>
        </w:rPr>
        <w:t> </w:t>
      </w:r>
      <w:r>
        <w:rPr>
          <w:w w:val="105"/>
          <w:sz w:val="21"/>
        </w:rPr>
        <w:t>of</w:t>
      </w:r>
      <w:r>
        <w:rPr>
          <w:spacing w:val="-5"/>
          <w:w w:val="105"/>
          <w:sz w:val="21"/>
        </w:rPr>
        <w:t> </w:t>
      </w:r>
      <w:r>
        <w:rPr>
          <w:w w:val="105"/>
          <w:sz w:val="21"/>
        </w:rPr>
        <w:t>the</w:t>
      </w:r>
      <w:r>
        <w:rPr>
          <w:spacing w:val="-6"/>
          <w:w w:val="105"/>
          <w:sz w:val="21"/>
        </w:rPr>
        <w:t> </w:t>
      </w:r>
      <w:r>
        <w:rPr>
          <w:w w:val="105"/>
          <w:sz w:val="21"/>
        </w:rPr>
        <w:t>report</w:t>
      </w:r>
      <w:r>
        <w:rPr>
          <w:spacing w:val="-5"/>
          <w:w w:val="105"/>
          <w:sz w:val="21"/>
        </w:rPr>
        <w:t> </w:t>
      </w:r>
      <w:r>
        <w:rPr>
          <w:spacing w:val="-3"/>
          <w:w w:val="105"/>
          <w:sz w:val="21"/>
        </w:rPr>
        <w:t>(to</w:t>
      </w:r>
      <w:r>
        <w:rPr>
          <w:spacing w:val="-6"/>
          <w:w w:val="105"/>
          <w:sz w:val="21"/>
        </w:rPr>
        <w:t> </w:t>
      </w:r>
      <w:r>
        <w:rPr>
          <w:w w:val="105"/>
          <w:sz w:val="21"/>
        </w:rPr>
        <w:t>be located at the </w:t>
      </w:r>
      <w:r>
        <w:rPr>
          <w:spacing w:val="-3"/>
          <w:w w:val="105"/>
          <w:sz w:val="21"/>
        </w:rPr>
        <w:t>beginning </w:t>
      </w:r>
      <w:r>
        <w:rPr>
          <w:w w:val="105"/>
          <w:sz w:val="21"/>
        </w:rPr>
        <w:t>of the</w:t>
      </w:r>
      <w:r>
        <w:rPr>
          <w:spacing w:val="31"/>
          <w:w w:val="105"/>
          <w:sz w:val="21"/>
        </w:rPr>
        <w:t> </w:t>
      </w:r>
      <w:r>
        <w:rPr>
          <w:w w:val="105"/>
          <w:sz w:val="21"/>
        </w:rPr>
        <w:t>report).</w:t>
      </w:r>
    </w:p>
    <w:p>
      <w:pPr>
        <w:pStyle w:val="ListParagraph"/>
        <w:numPr>
          <w:ilvl w:val="1"/>
          <w:numId w:val="133"/>
        </w:numPr>
        <w:tabs>
          <w:tab w:pos="2380" w:val="left" w:leader="none"/>
          <w:tab w:pos="2382" w:val="left" w:leader="none"/>
        </w:tabs>
        <w:spacing w:line="242" w:lineRule="auto" w:before="87" w:after="0"/>
        <w:ind w:left="2381" w:right="1846" w:hanging="794"/>
        <w:jc w:val="left"/>
        <w:rPr>
          <w:sz w:val="12"/>
        </w:rPr>
      </w:pPr>
      <w:r>
        <w:rPr>
          <w:sz w:val="21"/>
        </w:rPr>
        <w:t>If an expert witness believes </w:t>
      </w:r>
      <w:r>
        <w:rPr>
          <w:spacing w:val="-3"/>
          <w:sz w:val="21"/>
        </w:rPr>
        <w:t>that </w:t>
      </w:r>
      <w:r>
        <w:rPr>
          <w:sz w:val="21"/>
        </w:rPr>
        <w:t>their expert report </w:t>
      </w:r>
      <w:r>
        <w:rPr>
          <w:spacing w:val="-3"/>
          <w:sz w:val="21"/>
        </w:rPr>
        <w:t>may </w:t>
      </w:r>
      <w:r>
        <w:rPr>
          <w:sz w:val="21"/>
        </w:rPr>
        <w:t>be </w:t>
      </w:r>
      <w:r>
        <w:rPr>
          <w:spacing w:val="-3"/>
          <w:sz w:val="21"/>
        </w:rPr>
        <w:t>incomplete </w:t>
      </w:r>
      <w:r>
        <w:rPr>
          <w:sz w:val="21"/>
        </w:rPr>
        <w:t>or </w:t>
      </w:r>
      <w:r>
        <w:rPr>
          <w:spacing w:val="-3"/>
          <w:sz w:val="21"/>
        </w:rPr>
        <w:t>requires </w:t>
      </w:r>
      <w:r>
        <w:rPr>
          <w:sz w:val="21"/>
        </w:rPr>
        <w:t>clarification on certain points, this must be stated in the </w:t>
      </w:r>
      <w:r>
        <w:rPr>
          <w:spacing w:val="-4"/>
          <w:sz w:val="21"/>
        </w:rPr>
        <w:t>report.</w:t>
      </w:r>
      <w:r>
        <w:rPr>
          <w:spacing w:val="-4"/>
          <w:position w:val="7"/>
          <w:sz w:val="12"/>
        </w:rPr>
        <w:t>179 </w:t>
      </w:r>
      <w:r>
        <w:rPr>
          <w:sz w:val="21"/>
        </w:rPr>
        <w:t>These </w:t>
      </w:r>
      <w:r>
        <w:rPr>
          <w:spacing w:val="-3"/>
          <w:sz w:val="21"/>
        </w:rPr>
        <w:t>requirements </w:t>
      </w:r>
      <w:r>
        <w:rPr>
          <w:sz w:val="21"/>
        </w:rPr>
        <w:t>broadly </w:t>
      </w:r>
      <w:r>
        <w:rPr>
          <w:spacing w:val="-3"/>
          <w:sz w:val="21"/>
        </w:rPr>
        <w:t>replicate </w:t>
      </w:r>
      <w:r>
        <w:rPr>
          <w:sz w:val="21"/>
        </w:rPr>
        <w:t>the expert report writing </w:t>
      </w:r>
      <w:r>
        <w:rPr>
          <w:spacing w:val="-3"/>
          <w:sz w:val="21"/>
        </w:rPr>
        <w:t>guidelines published </w:t>
      </w:r>
      <w:r>
        <w:rPr>
          <w:sz w:val="21"/>
        </w:rPr>
        <w:t>by </w:t>
      </w:r>
      <w:r>
        <w:rPr>
          <w:spacing w:val="-8"/>
          <w:sz w:val="21"/>
        </w:rPr>
        <w:t>VCAT. </w:t>
      </w:r>
      <w:r>
        <w:rPr>
          <w:sz w:val="21"/>
        </w:rPr>
        <w:t>The NSWLEC Practice Note </w:t>
      </w:r>
      <w:r>
        <w:rPr>
          <w:spacing w:val="-3"/>
          <w:sz w:val="21"/>
        </w:rPr>
        <w:t>for </w:t>
      </w:r>
      <w:r>
        <w:rPr>
          <w:sz w:val="21"/>
        </w:rPr>
        <w:t>tree </w:t>
      </w:r>
      <w:r>
        <w:rPr>
          <w:spacing w:val="-3"/>
          <w:sz w:val="21"/>
        </w:rPr>
        <w:t>disputes hearings </w:t>
      </w:r>
      <w:r>
        <w:rPr>
          <w:sz w:val="21"/>
        </w:rPr>
        <w:t>also states </w:t>
      </w:r>
      <w:r>
        <w:rPr>
          <w:spacing w:val="-3"/>
          <w:sz w:val="21"/>
        </w:rPr>
        <w:t>that ‘it </w:t>
      </w:r>
      <w:r>
        <w:rPr>
          <w:sz w:val="21"/>
        </w:rPr>
        <w:t>is </w:t>
      </w:r>
      <w:r>
        <w:rPr>
          <w:spacing w:val="-2"/>
          <w:sz w:val="21"/>
        </w:rPr>
        <w:t>not </w:t>
      </w:r>
      <w:r>
        <w:rPr>
          <w:sz w:val="21"/>
        </w:rPr>
        <w:t>the role of experts </w:t>
      </w:r>
      <w:r>
        <w:rPr>
          <w:spacing w:val="-3"/>
          <w:sz w:val="21"/>
        </w:rPr>
        <w:t>to </w:t>
      </w:r>
      <w:r>
        <w:rPr>
          <w:sz w:val="21"/>
        </w:rPr>
        <w:t>express</w:t>
      </w:r>
      <w:r>
        <w:rPr>
          <w:spacing w:val="21"/>
          <w:sz w:val="21"/>
        </w:rPr>
        <w:t> </w:t>
      </w:r>
      <w:r>
        <w:rPr>
          <w:sz w:val="21"/>
        </w:rPr>
        <w:t>an</w:t>
      </w:r>
      <w:r>
        <w:rPr>
          <w:spacing w:val="21"/>
          <w:sz w:val="21"/>
        </w:rPr>
        <w:t> </w:t>
      </w:r>
      <w:r>
        <w:rPr>
          <w:sz w:val="21"/>
        </w:rPr>
        <w:t>opinion</w:t>
      </w:r>
      <w:r>
        <w:rPr>
          <w:spacing w:val="21"/>
          <w:sz w:val="21"/>
        </w:rPr>
        <w:t> </w:t>
      </w:r>
      <w:r>
        <w:rPr>
          <w:sz w:val="21"/>
        </w:rPr>
        <w:t>about</w:t>
      </w:r>
      <w:r>
        <w:rPr>
          <w:spacing w:val="21"/>
          <w:sz w:val="21"/>
        </w:rPr>
        <w:t> </w:t>
      </w:r>
      <w:r>
        <w:rPr>
          <w:sz w:val="21"/>
        </w:rPr>
        <w:t>whether</w:t>
      </w:r>
      <w:r>
        <w:rPr>
          <w:spacing w:val="21"/>
          <w:sz w:val="21"/>
        </w:rPr>
        <w:t> </w:t>
      </w:r>
      <w:r>
        <w:rPr>
          <w:sz w:val="21"/>
        </w:rPr>
        <w:t>a</w:t>
      </w:r>
      <w:r>
        <w:rPr>
          <w:spacing w:val="21"/>
          <w:sz w:val="21"/>
        </w:rPr>
        <w:t> </w:t>
      </w:r>
      <w:r>
        <w:rPr>
          <w:sz w:val="21"/>
        </w:rPr>
        <w:t>tree</w:t>
      </w:r>
      <w:r>
        <w:rPr>
          <w:spacing w:val="21"/>
          <w:sz w:val="21"/>
        </w:rPr>
        <w:t> </w:t>
      </w:r>
      <w:r>
        <w:rPr>
          <w:sz w:val="21"/>
        </w:rPr>
        <w:t>application</w:t>
      </w:r>
      <w:r>
        <w:rPr>
          <w:spacing w:val="21"/>
          <w:sz w:val="21"/>
        </w:rPr>
        <w:t> </w:t>
      </w:r>
      <w:r>
        <w:rPr>
          <w:sz w:val="21"/>
        </w:rPr>
        <w:t>should</w:t>
      </w:r>
      <w:r>
        <w:rPr>
          <w:spacing w:val="21"/>
          <w:sz w:val="21"/>
        </w:rPr>
        <w:t> </w:t>
      </w:r>
      <w:r>
        <w:rPr>
          <w:sz w:val="21"/>
        </w:rPr>
        <w:t>be</w:t>
      </w:r>
      <w:r>
        <w:rPr>
          <w:spacing w:val="21"/>
          <w:sz w:val="21"/>
        </w:rPr>
        <w:t> </w:t>
      </w:r>
      <w:r>
        <w:rPr>
          <w:spacing w:val="-3"/>
          <w:sz w:val="21"/>
        </w:rPr>
        <w:t>granted</w:t>
      </w:r>
      <w:r>
        <w:rPr>
          <w:spacing w:val="21"/>
          <w:sz w:val="21"/>
        </w:rPr>
        <w:t> </w:t>
      </w:r>
      <w:r>
        <w:rPr>
          <w:sz w:val="21"/>
        </w:rPr>
        <w:t>or</w:t>
      </w:r>
      <w:r>
        <w:rPr>
          <w:spacing w:val="21"/>
          <w:sz w:val="21"/>
        </w:rPr>
        <w:t> </w:t>
      </w:r>
      <w:r>
        <w:rPr>
          <w:spacing w:val="-5"/>
          <w:sz w:val="21"/>
        </w:rPr>
        <w:t>dismissed’.</w:t>
      </w:r>
      <w:r>
        <w:rPr>
          <w:spacing w:val="-5"/>
          <w:position w:val="7"/>
          <w:sz w:val="12"/>
        </w:rPr>
        <w:t>180</w:t>
      </w:r>
    </w:p>
    <w:p>
      <w:pPr>
        <w:pStyle w:val="ListParagraph"/>
        <w:numPr>
          <w:ilvl w:val="1"/>
          <w:numId w:val="133"/>
        </w:numPr>
        <w:tabs>
          <w:tab w:pos="2380" w:val="left" w:leader="none"/>
          <w:tab w:pos="2382" w:val="left" w:leader="none"/>
        </w:tabs>
        <w:spacing w:line="242" w:lineRule="auto" w:before="126" w:after="0"/>
        <w:ind w:left="2381" w:right="1665" w:hanging="794"/>
        <w:jc w:val="left"/>
        <w:rPr>
          <w:sz w:val="12"/>
        </w:rPr>
      </w:pPr>
      <w:r>
        <w:rPr>
          <w:w w:val="105"/>
          <w:sz w:val="21"/>
        </w:rPr>
        <w:t>Where an application is made based on injury said </w:t>
      </w:r>
      <w:r>
        <w:rPr>
          <w:spacing w:val="-3"/>
          <w:w w:val="105"/>
          <w:sz w:val="21"/>
        </w:rPr>
        <w:t>to </w:t>
      </w:r>
      <w:r>
        <w:rPr>
          <w:w w:val="105"/>
          <w:sz w:val="21"/>
        </w:rPr>
        <w:t>arise </w:t>
      </w:r>
      <w:r>
        <w:rPr>
          <w:spacing w:val="-3"/>
          <w:w w:val="105"/>
          <w:sz w:val="21"/>
        </w:rPr>
        <w:t>from </w:t>
      </w:r>
      <w:r>
        <w:rPr>
          <w:w w:val="105"/>
          <w:sz w:val="21"/>
        </w:rPr>
        <w:t>a medical </w:t>
      </w:r>
      <w:r>
        <w:rPr>
          <w:spacing w:val="-3"/>
          <w:w w:val="105"/>
          <w:sz w:val="21"/>
        </w:rPr>
        <w:t>condition, </w:t>
      </w:r>
      <w:r>
        <w:rPr>
          <w:w w:val="105"/>
          <w:sz w:val="21"/>
        </w:rPr>
        <w:t>the </w:t>
      </w:r>
      <w:r>
        <w:rPr>
          <w:spacing w:val="-3"/>
          <w:w w:val="105"/>
          <w:sz w:val="21"/>
        </w:rPr>
        <w:t>Court </w:t>
      </w:r>
      <w:r>
        <w:rPr>
          <w:w w:val="105"/>
          <w:sz w:val="21"/>
        </w:rPr>
        <w:t>gives specific Supplementary </w:t>
      </w:r>
      <w:r>
        <w:rPr>
          <w:spacing w:val="-3"/>
          <w:w w:val="105"/>
          <w:sz w:val="21"/>
        </w:rPr>
        <w:t>Standard </w:t>
      </w:r>
      <w:r>
        <w:rPr>
          <w:w w:val="105"/>
          <w:sz w:val="21"/>
        </w:rPr>
        <w:t>Directions </w:t>
      </w:r>
      <w:r>
        <w:rPr>
          <w:spacing w:val="-3"/>
          <w:w w:val="105"/>
          <w:sz w:val="21"/>
        </w:rPr>
        <w:t>requiring </w:t>
      </w:r>
      <w:r>
        <w:rPr>
          <w:w w:val="105"/>
          <w:sz w:val="21"/>
        </w:rPr>
        <w:t>an </w:t>
      </w:r>
      <w:r>
        <w:rPr>
          <w:spacing w:val="-3"/>
          <w:w w:val="105"/>
          <w:sz w:val="21"/>
        </w:rPr>
        <w:t>applicant to </w:t>
      </w:r>
      <w:r>
        <w:rPr>
          <w:w w:val="105"/>
          <w:sz w:val="21"/>
        </w:rPr>
        <w:t>provide properly</w:t>
      </w:r>
      <w:r>
        <w:rPr>
          <w:spacing w:val="-14"/>
          <w:w w:val="105"/>
          <w:sz w:val="21"/>
        </w:rPr>
        <w:t> </w:t>
      </w:r>
      <w:r>
        <w:rPr>
          <w:w w:val="105"/>
          <w:sz w:val="21"/>
        </w:rPr>
        <w:t>qualified</w:t>
      </w:r>
      <w:r>
        <w:rPr>
          <w:spacing w:val="-14"/>
          <w:w w:val="105"/>
          <w:sz w:val="21"/>
        </w:rPr>
        <w:t> </w:t>
      </w:r>
      <w:r>
        <w:rPr>
          <w:w w:val="105"/>
          <w:sz w:val="21"/>
        </w:rPr>
        <w:t>medical</w:t>
      </w:r>
      <w:r>
        <w:rPr>
          <w:spacing w:val="-13"/>
          <w:w w:val="105"/>
          <w:sz w:val="21"/>
        </w:rPr>
        <w:t> </w:t>
      </w:r>
      <w:r>
        <w:rPr>
          <w:w w:val="105"/>
          <w:sz w:val="21"/>
        </w:rPr>
        <w:t>or</w:t>
      </w:r>
      <w:r>
        <w:rPr>
          <w:spacing w:val="-14"/>
          <w:w w:val="105"/>
          <w:sz w:val="21"/>
        </w:rPr>
        <w:t> </w:t>
      </w:r>
      <w:r>
        <w:rPr>
          <w:w w:val="105"/>
          <w:sz w:val="21"/>
        </w:rPr>
        <w:t>scientific</w:t>
      </w:r>
      <w:r>
        <w:rPr>
          <w:spacing w:val="-13"/>
          <w:w w:val="105"/>
          <w:sz w:val="21"/>
        </w:rPr>
        <w:t> </w:t>
      </w:r>
      <w:r>
        <w:rPr>
          <w:w w:val="105"/>
          <w:sz w:val="21"/>
        </w:rPr>
        <w:t>evidence</w:t>
      </w:r>
      <w:r>
        <w:rPr>
          <w:spacing w:val="-14"/>
          <w:w w:val="105"/>
          <w:sz w:val="21"/>
        </w:rPr>
        <w:t> </w:t>
      </w:r>
      <w:r>
        <w:rPr>
          <w:w w:val="105"/>
          <w:sz w:val="21"/>
        </w:rPr>
        <w:t>of</w:t>
      </w:r>
      <w:r>
        <w:rPr>
          <w:spacing w:val="-13"/>
          <w:w w:val="105"/>
          <w:sz w:val="21"/>
        </w:rPr>
        <w:t> </w:t>
      </w:r>
      <w:r>
        <w:rPr>
          <w:w w:val="105"/>
          <w:sz w:val="21"/>
        </w:rPr>
        <w:t>a</w:t>
      </w:r>
      <w:r>
        <w:rPr>
          <w:spacing w:val="-14"/>
          <w:w w:val="105"/>
          <w:sz w:val="21"/>
        </w:rPr>
        <w:t> </w:t>
      </w:r>
      <w:r>
        <w:rPr>
          <w:spacing w:val="-3"/>
          <w:w w:val="105"/>
          <w:sz w:val="21"/>
        </w:rPr>
        <w:t>link</w:t>
      </w:r>
      <w:r>
        <w:rPr>
          <w:spacing w:val="-13"/>
          <w:w w:val="105"/>
          <w:sz w:val="21"/>
        </w:rPr>
        <w:t> </w:t>
      </w:r>
      <w:r>
        <w:rPr>
          <w:w w:val="105"/>
          <w:sz w:val="21"/>
        </w:rPr>
        <w:t>between</w:t>
      </w:r>
      <w:r>
        <w:rPr>
          <w:spacing w:val="-14"/>
          <w:w w:val="105"/>
          <w:sz w:val="21"/>
        </w:rPr>
        <w:t> </w:t>
      </w:r>
      <w:r>
        <w:rPr>
          <w:w w:val="105"/>
          <w:sz w:val="21"/>
        </w:rPr>
        <w:t>the</w:t>
      </w:r>
      <w:r>
        <w:rPr>
          <w:spacing w:val="-13"/>
          <w:w w:val="105"/>
          <w:sz w:val="21"/>
        </w:rPr>
        <w:t> </w:t>
      </w:r>
      <w:r>
        <w:rPr>
          <w:w w:val="105"/>
          <w:sz w:val="21"/>
        </w:rPr>
        <w:t>injury</w:t>
      </w:r>
      <w:r>
        <w:rPr>
          <w:spacing w:val="-14"/>
          <w:w w:val="105"/>
          <w:sz w:val="21"/>
        </w:rPr>
        <w:t> </w:t>
      </w:r>
      <w:r>
        <w:rPr>
          <w:w w:val="105"/>
          <w:sz w:val="21"/>
        </w:rPr>
        <w:t>and</w:t>
      </w:r>
      <w:r>
        <w:rPr>
          <w:spacing w:val="-13"/>
          <w:w w:val="105"/>
          <w:sz w:val="21"/>
        </w:rPr>
        <w:t> </w:t>
      </w:r>
      <w:r>
        <w:rPr>
          <w:w w:val="105"/>
          <w:sz w:val="21"/>
        </w:rPr>
        <w:t>the</w:t>
      </w:r>
      <w:r>
        <w:rPr>
          <w:spacing w:val="-14"/>
          <w:w w:val="105"/>
          <w:sz w:val="21"/>
        </w:rPr>
        <w:t> </w:t>
      </w:r>
      <w:r>
        <w:rPr>
          <w:w w:val="105"/>
          <w:sz w:val="21"/>
        </w:rPr>
        <w:t>trees which </w:t>
      </w:r>
      <w:r>
        <w:rPr>
          <w:spacing w:val="-3"/>
          <w:w w:val="105"/>
          <w:sz w:val="21"/>
        </w:rPr>
        <w:t>are </w:t>
      </w:r>
      <w:r>
        <w:rPr>
          <w:w w:val="105"/>
          <w:sz w:val="21"/>
        </w:rPr>
        <w:t>the subject of the</w:t>
      </w:r>
      <w:r>
        <w:rPr>
          <w:spacing w:val="32"/>
          <w:w w:val="105"/>
          <w:sz w:val="21"/>
        </w:rPr>
        <w:t> </w:t>
      </w:r>
      <w:r>
        <w:rPr>
          <w:spacing w:val="-4"/>
          <w:w w:val="105"/>
          <w:sz w:val="21"/>
        </w:rPr>
        <w:t>application.</w:t>
      </w:r>
      <w:r>
        <w:rPr>
          <w:spacing w:val="-4"/>
          <w:w w:val="105"/>
          <w:position w:val="7"/>
          <w:sz w:val="12"/>
        </w:rPr>
        <w:t>181</w:t>
      </w:r>
    </w:p>
    <w:p>
      <w:pPr>
        <w:pStyle w:val="Heading7"/>
        <w:spacing w:before="155"/>
      </w:pPr>
      <w:r>
        <w:rPr>
          <w:w w:val="115"/>
        </w:rPr>
        <w:t>Queensland</w:t>
      </w:r>
    </w:p>
    <w:p>
      <w:pPr>
        <w:pStyle w:val="ListParagraph"/>
        <w:numPr>
          <w:ilvl w:val="1"/>
          <w:numId w:val="133"/>
        </w:numPr>
        <w:tabs>
          <w:tab w:pos="2380" w:val="left" w:leader="none"/>
          <w:tab w:pos="2381" w:val="left" w:leader="none"/>
        </w:tabs>
        <w:spacing w:line="242" w:lineRule="auto" w:before="142" w:after="0"/>
        <w:ind w:left="2381" w:right="1591" w:hanging="794"/>
        <w:jc w:val="left"/>
        <w:rPr>
          <w:sz w:val="21"/>
        </w:rPr>
      </w:pPr>
      <w:r>
        <w:rPr>
          <w:spacing w:val="-4"/>
          <w:sz w:val="21"/>
        </w:rPr>
        <w:t>QCAT </w:t>
      </w:r>
      <w:r>
        <w:rPr>
          <w:spacing w:val="-3"/>
          <w:sz w:val="21"/>
        </w:rPr>
        <w:t>may </w:t>
      </w:r>
      <w:r>
        <w:rPr>
          <w:spacing w:val="-4"/>
          <w:sz w:val="21"/>
        </w:rPr>
        <w:t>make </w:t>
      </w:r>
      <w:r>
        <w:rPr>
          <w:sz w:val="21"/>
        </w:rPr>
        <w:t>an order </w:t>
      </w:r>
      <w:r>
        <w:rPr>
          <w:spacing w:val="-3"/>
          <w:sz w:val="21"/>
        </w:rPr>
        <w:t>requiring  </w:t>
      </w:r>
      <w:r>
        <w:rPr>
          <w:sz w:val="21"/>
        </w:rPr>
        <w:t>a survey </w:t>
      </w:r>
      <w:r>
        <w:rPr>
          <w:spacing w:val="-3"/>
          <w:sz w:val="21"/>
        </w:rPr>
        <w:t>to</w:t>
      </w:r>
      <w:r>
        <w:rPr>
          <w:spacing w:val="41"/>
          <w:sz w:val="21"/>
        </w:rPr>
        <w:t> </w:t>
      </w:r>
      <w:r>
        <w:rPr>
          <w:sz w:val="21"/>
        </w:rPr>
        <w:t>be undertaken </w:t>
      </w:r>
      <w:r>
        <w:rPr>
          <w:spacing w:val="-3"/>
          <w:sz w:val="21"/>
        </w:rPr>
        <w:t>to  </w:t>
      </w:r>
      <w:r>
        <w:rPr>
          <w:sz w:val="21"/>
        </w:rPr>
        <w:t>clarify the </w:t>
      </w:r>
      <w:r>
        <w:rPr>
          <w:spacing w:val="-4"/>
          <w:sz w:val="21"/>
        </w:rPr>
        <w:t>tree’s  </w:t>
      </w:r>
      <w:r>
        <w:rPr>
          <w:sz w:val="21"/>
        </w:rPr>
        <w:t>location in </w:t>
      </w:r>
      <w:r>
        <w:rPr>
          <w:spacing w:val="-3"/>
          <w:sz w:val="21"/>
        </w:rPr>
        <w:t>relation to  </w:t>
      </w:r>
      <w:r>
        <w:rPr>
          <w:sz w:val="21"/>
        </w:rPr>
        <w:t>the </w:t>
      </w:r>
      <w:r>
        <w:rPr>
          <w:spacing w:val="-2"/>
          <w:sz w:val="21"/>
        </w:rPr>
        <w:t>common</w:t>
      </w:r>
      <w:r>
        <w:rPr>
          <w:spacing w:val="43"/>
          <w:sz w:val="21"/>
        </w:rPr>
        <w:t> </w:t>
      </w:r>
      <w:r>
        <w:rPr>
          <w:sz w:val="21"/>
        </w:rPr>
        <w:t>boundary; </w:t>
      </w:r>
      <w:r>
        <w:rPr>
          <w:spacing w:val="-3"/>
          <w:sz w:val="21"/>
        </w:rPr>
        <w:t>authorising  </w:t>
      </w:r>
      <w:r>
        <w:rPr>
          <w:sz w:val="21"/>
        </w:rPr>
        <w:t>a person </w:t>
      </w:r>
      <w:r>
        <w:rPr>
          <w:spacing w:val="-3"/>
          <w:sz w:val="21"/>
        </w:rPr>
        <w:t>to  enter  </w:t>
      </w:r>
      <w:r>
        <w:rPr>
          <w:sz w:val="21"/>
        </w:rPr>
        <w:t>the tree-keeper’s </w:t>
      </w:r>
      <w:r>
        <w:rPr>
          <w:spacing w:val="-3"/>
          <w:sz w:val="21"/>
        </w:rPr>
        <w:t>land to </w:t>
      </w:r>
      <w:r>
        <w:rPr>
          <w:sz w:val="21"/>
        </w:rPr>
        <w:t>carry out an </w:t>
      </w:r>
      <w:r>
        <w:rPr>
          <w:spacing w:val="-4"/>
          <w:sz w:val="21"/>
        </w:rPr>
        <w:t>order, </w:t>
      </w:r>
      <w:r>
        <w:rPr>
          <w:spacing w:val="-3"/>
          <w:sz w:val="21"/>
        </w:rPr>
        <w:t>including entering land to </w:t>
      </w:r>
      <w:r>
        <w:rPr>
          <w:sz w:val="21"/>
        </w:rPr>
        <w:t>obtain a quotation  </w:t>
      </w:r>
      <w:r>
        <w:rPr>
          <w:spacing w:val="-3"/>
          <w:sz w:val="21"/>
        </w:rPr>
        <w:t>for  </w:t>
      </w:r>
      <w:r>
        <w:rPr>
          <w:sz w:val="21"/>
        </w:rPr>
        <w:t>carrying  out  an order;</w:t>
      </w:r>
      <w:r>
        <w:rPr>
          <w:spacing w:val="21"/>
          <w:sz w:val="21"/>
        </w:rPr>
        <w:t> </w:t>
      </w:r>
      <w:r>
        <w:rPr>
          <w:sz w:val="21"/>
        </w:rPr>
        <w:t>and</w:t>
      </w:r>
      <w:r>
        <w:rPr>
          <w:spacing w:val="21"/>
          <w:sz w:val="21"/>
        </w:rPr>
        <w:t> </w:t>
      </w:r>
      <w:r>
        <w:rPr>
          <w:spacing w:val="-3"/>
          <w:sz w:val="21"/>
        </w:rPr>
        <w:t>requiring</w:t>
      </w:r>
      <w:r>
        <w:rPr>
          <w:spacing w:val="21"/>
          <w:sz w:val="21"/>
        </w:rPr>
        <w:t> </w:t>
      </w:r>
      <w:r>
        <w:rPr>
          <w:sz w:val="21"/>
        </w:rPr>
        <w:t>a</w:t>
      </w:r>
      <w:r>
        <w:rPr>
          <w:spacing w:val="21"/>
          <w:sz w:val="21"/>
        </w:rPr>
        <w:t> </w:t>
      </w:r>
      <w:r>
        <w:rPr>
          <w:sz w:val="21"/>
        </w:rPr>
        <w:t>report</w:t>
      </w:r>
      <w:r>
        <w:rPr>
          <w:spacing w:val="21"/>
          <w:sz w:val="21"/>
        </w:rPr>
        <w:t> </w:t>
      </w:r>
      <w:r>
        <w:rPr>
          <w:sz w:val="21"/>
        </w:rPr>
        <w:t>by</w:t>
      </w:r>
      <w:r>
        <w:rPr>
          <w:spacing w:val="21"/>
          <w:sz w:val="21"/>
        </w:rPr>
        <w:t> </w:t>
      </w:r>
      <w:r>
        <w:rPr>
          <w:sz w:val="21"/>
        </w:rPr>
        <w:t>an</w:t>
      </w:r>
      <w:r>
        <w:rPr>
          <w:spacing w:val="21"/>
          <w:sz w:val="21"/>
        </w:rPr>
        <w:t> </w:t>
      </w:r>
      <w:r>
        <w:rPr>
          <w:spacing w:val="-3"/>
          <w:sz w:val="21"/>
        </w:rPr>
        <w:t>‘appropriately</w:t>
      </w:r>
      <w:r>
        <w:rPr>
          <w:spacing w:val="22"/>
          <w:sz w:val="21"/>
        </w:rPr>
        <w:t> </w:t>
      </w:r>
      <w:r>
        <w:rPr>
          <w:sz w:val="21"/>
        </w:rPr>
        <w:t>qualified</w:t>
      </w:r>
      <w:r>
        <w:rPr>
          <w:spacing w:val="21"/>
          <w:sz w:val="21"/>
        </w:rPr>
        <w:t> </w:t>
      </w:r>
      <w:r>
        <w:rPr>
          <w:spacing w:val="-5"/>
          <w:sz w:val="21"/>
        </w:rPr>
        <w:t>arborist’.</w:t>
      </w:r>
      <w:r>
        <w:rPr>
          <w:spacing w:val="-5"/>
          <w:position w:val="7"/>
          <w:sz w:val="12"/>
        </w:rPr>
        <w:t>182</w:t>
      </w:r>
      <w:r>
        <w:rPr>
          <w:spacing w:val="-1"/>
          <w:position w:val="7"/>
          <w:sz w:val="12"/>
        </w:rPr>
        <w:t> </w:t>
      </w:r>
      <w:r>
        <w:rPr>
          <w:spacing w:val="-4"/>
          <w:sz w:val="21"/>
        </w:rPr>
        <w:t>QCAT</w:t>
      </w:r>
      <w:r>
        <w:rPr>
          <w:spacing w:val="21"/>
          <w:sz w:val="21"/>
        </w:rPr>
        <w:t> </w:t>
      </w:r>
      <w:r>
        <w:rPr>
          <w:spacing w:val="-3"/>
          <w:sz w:val="21"/>
        </w:rPr>
        <w:t>informed</w:t>
      </w:r>
    </w:p>
    <w:p>
      <w:pPr>
        <w:pStyle w:val="BodyText"/>
        <w:spacing w:before="3"/>
        <w:rPr>
          <w:sz w:val="20"/>
        </w:rPr>
      </w:pPr>
      <w:r>
        <w:rPr/>
        <w:pict>
          <v:line style="position:absolute;mso-position-horizontal-relative:page;mso-position-vertical-relative:paragraph;z-index:8048;mso-wrap-distance-left:0;mso-wrap-distance-right:0" from="79.370102pt,14.84345pt" to="515.905102pt,14.8434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36"/>
        </w:numPr>
        <w:tabs>
          <w:tab w:pos="2381" w:val="left" w:leader="none"/>
          <w:tab w:pos="2382" w:val="left" w:leader="none"/>
        </w:tabs>
        <w:spacing w:line="240" w:lineRule="auto" w:before="48"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3"/>
          <w:w w:val="105"/>
          <w:sz w:val="13"/>
        </w:rPr>
        <w:t> </w:t>
      </w:r>
      <w:r>
        <w:rPr>
          <w:w w:val="105"/>
          <w:sz w:val="13"/>
        </w:rPr>
        <w:t>Wales).</w:t>
      </w:r>
    </w:p>
    <w:p>
      <w:pPr>
        <w:pStyle w:val="ListParagraph"/>
        <w:numPr>
          <w:ilvl w:val="0"/>
          <w:numId w:val="136"/>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36"/>
        </w:numPr>
        <w:tabs>
          <w:tab w:pos="2381" w:val="left" w:leader="none"/>
          <w:tab w:pos="2382" w:val="left" w:leader="none"/>
        </w:tabs>
        <w:spacing w:line="240" w:lineRule="auto" w:before="2" w:after="0"/>
        <w:ind w:left="2381" w:right="0" w:hanging="794"/>
        <w:jc w:val="left"/>
        <w:rPr>
          <w:sz w:val="13"/>
        </w:rPr>
      </w:pPr>
      <w:r>
        <w:rPr>
          <w:w w:val="105"/>
          <w:sz w:val="13"/>
        </w:rPr>
        <w:t>See Justice Rachel Pepper</w:t>
      </w:r>
      <w:r>
        <w:rPr>
          <w:i/>
          <w:w w:val="105"/>
          <w:sz w:val="13"/>
        </w:rPr>
        <w:t>, </w:t>
      </w:r>
      <w:r>
        <w:rPr>
          <w:spacing w:val="2"/>
          <w:w w:val="105"/>
          <w:sz w:val="13"/>
        </w:rPr>
        <w:t>‘Expert </w:t>
      </w:r>
      <w:r>
        <w:rPr>
          <w:w w:val="105"/>
          <w:sz w:val="13"/>
        </w:rPr>
        <w:t>Evidence in the Land and Environment Court’ (Speech delivered at the Australian </w:t>
      </w:r>
      <w:r>
        <w:rPr>
          <w:spacing w:val="2"/>
          <w:w w:val="105"/>
          <w:sz w:val="13"/>
        </w:rPr>
        <w:t>Property </w:t>
      </w:r>
      <w:r>
        <w:rPr>
          <w:w w:val="105"/>
          <w:sz w:val="13"/>
        </w:rPr>
        <w:t>Institute, 21 January 2013) 18</w:t>
      </w:r>
      <w:r>
        <w:rPr>
          <w:spacing w:val="12"/>
          <w:w w:val="105"/>
          <w:sz w:val="13"/>
        </w:rPr>
        <w:t> </w:t>
      </w:r>
      <w:r>
        <w:rPr>
          <w:spacing w:val="2"/>
          <w:w w:val="105"/>
          <w:sz w:val="13"/>
        </w:rPr>
        <w:t>&lt;</w:t>
      </w:r>
      <w:hyperlink r:id="rId216">
        <w:r>
          <w:rPr>
            <w:spacing w:val="2"/>
            <w:w w:val="105"/>
            <w:sz w:val="13"/>
          </w:rPr>
          <w:t>http://www.lec.justice.nsw.gov.au/Pages/publications/speeches_papers.aspx</w:t>
        </w:r>
      </w:hyperlink>
      <w:r>
        <w:rPr>
          <w:spacing w:val="2"/>
          <w:w w:val="105"/>
          <w:sz w:val="13"/>
        </w:rPr>
        <w:t>&gt;.</w:t>
      </w:r>
    </w:p>
    <w:p>
      <w:pPr>
        <w:pStyle w:val="ListParagraph"/>
        <w:numPr>
          <w:ilvl w:val="0"/>
          <w:numId w:val="136"/>
        </w:numPr>
        <w:tabs>
          <w:tab w:pos="2381" w:val="left" w:leader="none"/>
          <w:tab w:pos="2382" w:val="left" w:leader="none"/>
        </w:tabs>
        <w:spacing w:line="240" w:lineRule="auto" w:before="2" w:after="0"/>
        <w:ind w:left="2381" w:right="0" w:hanging="794"/>
        <w:jc w:val="left"/>
        <w:rPr>
          <w:sz w:val="13"/>
        </w:rPr>
      </w:pPr>
      <w:r>
        <w:rPr>
          <w:w w:val="105"/>
          <w:sz w:val="13"/>
        </w:rPr>
        <w:t>See,</w:t>
      </w:r>
      <w:r>
        <w:rPr>
          <w:spacing w:val="7"/>
          <w:w w:val="105"/>
          <w:sz w:val="13"/>
        </w:rPr>
        <w:t> </w:t>
      </w:r>
      <w:r>
        <w:rPr>
          <w:w w:val="105"/>
          <w:sz w:val="13"/>
        </w:rPr>
        <w:t>eg,</w:t>
      </w:r>
      <w:r>
        <w:rPr>
          <w:spacing w:val="8"/>
          <w:w w:val="105"/>
          <w:sz w:val="13"/>
        </w:rPr>
        <w:t> </w:t>
      </w:r>
      <w:r>
        <w:rPr>
          <w:w w:val="105"/>
          <w:sz w:val="13"/>
        </w:rPr>
        <w:t>Justice</w:t>
      </w:r>
      <w:r>
        <w:rPr>
          <w:spacing w:val="8"/>
          <w:w w:val="105"/>
          <w:sz w:val="13"/>
        </w:rPr>
        <w:t> </w:t>
      </w:r>
      <w:r>
        <w:rPr>
          <w:w w:val="105"/>
          <w:sz w:val="13"/>
        </w:rPr>
        <w:t>Peter</w:t>
      </w:r>
      <w:r>
        <w:rPr>
          <w:spacing w:val="8"/>
          <w:w w:val="105"/>
          <w:sz w:val="13"/>
        </w:rPr>
        <w:t> </w:t>
      </w:r>
      <w:r>
        <w:rPr>
          <w:w w:val="105"/>
          <w:sz w:val="13"/>
        </w:rPr>
        <w:t>Garling,</w:t>
      </w:r>
      <w:r>
        <w:rPr>
          <w:spacing w:val="8"/>
          <w:w w:val="105"/>
          <w:sz w:val="13"/>
        </w:rPr>
        <w:t> </w:t>
      </w:r>
      <w:r>
        <w:rPr>
          <w:w w:val="105"/>
          <w:sz w:val="13"/>
        </w:rPr>
        <w:t>‘Concurrent</w:t>
      </w:r>
      <w:r>
        <w:rPr>
          <w:spacing w:val="8"/>
          <w:w w:val="105"/>
          <w:sz w:val="13"/>
        </w:rPr>
        <w:t> </w:t>
      </w:r>
      <w:r>
        <w:rPr>
          <w:spacing w:val="2"/>
          <w:w w:val="105"/>
          <w:sz w:val="13"/>
        </w:rPr>
        <w:t>Expert</w:t>
      </w:r>
      <w:r>
        <w:rPr>
          <w:spacing w:val="8"/>
          <w:w w:val="105"/>
          <w:sz w:val="13"/>
        </w:rPr>
        <w:t> </w:t>
      </w:r>
      <w:r>
        <w:rPr>
          <w:w w:val="105"/>
          <w:sz w:val="13"/>
        </w:rPr>
        <w:t>Evidence:</w:t>
      </w:r>
      <w:r>
        <w:rPr>
          <w:spacing w:val="8"/>
          <w:w w:val="105"/>
          <w:sz w:val="13"/>
        </w:rPr>
        <w:t> </w:t>
      </w:r>
      <w:r>
        <w:rPr>
          <w:w w:val="105"/>
          <w:sz w:val="13"/>
        </w:rPr>
        <w:t>Reflections</w:t>
      </w:r>
      <w:r>
        <w:rPr>
          <w:spacing w:val="8"/>
          <w:w w:val="105"/>
          <w:sz w:val="13"/>
        </w:rPr>
        <w:t> </w:t>
      </w:r>
      <w:r>
        <w:rPr>
          <w:w w:val="105"/>
          <w:sz w:val="13"/>
        </w:rPr>
        <w:t>and</w:t>
      </w:r>
      <w:r>
        <w:rPr>
          <w:spacing w:val="8"/>
          <w:w w:val="105"/>
          <w:sz w:val="13"/>
        </w:rPr>
        <w:t> </w:t>
      </w:r>
      <w:r>
        <w:rPr>
          <w:w w:val="105"/>
          <w:sz w:val="13"/>
        </w:rPr>
        <w:t>Development’</w:t>
      </w:r>
      <w:r>
        <w:rPr>
          <w:spacing w:val="8"/>
          <w:w w:val="105"/>
          <w:sz w:val="13"/>
        </w:rPr>
        <w:t> </w:t>
      </w:r>
      <w:r>
        <w:rPr>
          <w:spacing w:val="-3"/>
          <w:w w:val="105"/>
          <w:sz w:val="13"/>
        </w:rPr>
        <w:t>(2011)</w:t>
      </w:r>
      <w:r>
        <w:rPr>
          <w:spacing w:val="8"/>
          <w:w w:val="105"/>
          <w:sz w:val="13"/>
        </w:rPr>
        <w:t> </w:t>
      </w:r>
      <w:r>
        <w:rPr>
          <w:w w:val="105"/>
          <w:sz w:val="13"/>
        </w:rPr>
        <w:t>49(10)</w:t>
      </w:r>
      <w:r>
        <w:rPr>
          <w:spacing w:val="7"/>
          <w:w w:val="105"/>
          <w:sz w:val="13"/>
        </w:rPr>
        <w:t> </w:t>
      </w:r>
      <w:r>
        <w:rPr>
          <w:i/>
          <w:w w:val="105"/>
          <w:sz w:val="13"/>
        </w:rPr>
        <w:t>Law</w:t>
      </w:r>
      <w:r>
        <w:rPr>
          <w:i/>
          <w:spacing w:val="8"/>
          <w:w w:val="105"/>
          <w:sz w:val="13"/>
        </w:rPr>
        <w:t> </w:t>
      </w:r>
      <w:r>
        <w:rPr>
          <w:i/>
          <w:w w:val="105"/>
          <w:sz w:val="13"/>
        </w:rPr>
        <w:t>Society</w:t>
      </w:r>
      <w:r>
        <w:rPr>
          <w:i/>
          <w:spacing w:val="8"/>
          <w:w w:val="105"/>
          <w:sz w:val="13"/>
        </w:rPr>
        <w:t> </w:t>
      </w:r>
      <w:r>
        <w:rPr>
          <w:i/>
          <w:w w:val="105"/>
          <w:sz w:val="13"/>
        </w:rPr>
        <w:t>Journal</w:t>
      </w:r>
      <w:r>
        <w:rPr>
          <w:i/>
          <w:spacing w:val="8"/>
          <w:w w:val="105"/>
          <w:sz w:val="13"/>
        </w:rPr>
        <w:t> </w:t>
      </w:r>
      <w:r>
        <w:rPr>
          <w:w w:val="105"/>
          <w:sz w:val="13"/>
        </w:rPr>
        <w:t>59,</w:t>
      </w:r>
      <w:r>
        <w:rPr>
          <w:spacing w:val="8"/>
          <w:w w:val="105"/>
          <w:sz w:val="13"/>
        </w:rPr>
        <w:t> </w:t>
      </w:r>
      <w:r>
        <w:rPr>
          <w:w w:val="105"/>
          <w:sz w:val="13"/>
        </w:rPr>
        <w:t>60.</w:t>
      </w:r>
    </w:p>
    <w:p>
      <w:pPr>
        <w:pStyle w:val="ListParagraph"/>
        <w:numPr>
          <w:ilvl w:val="0"/>
          <w:numId w:val="136"/>
        </w:numPr>
        <w:tabs>
          <w:tab w:pos="2381" w:val="left" w:leader="none"/>
          <w:tab w:pos="2382" w:val="left" w:leader="none"/>
        </w:tabs>
        <w:spacing w:line="240" w:lineRule="auto" w:before="2"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3"/>
          <w:w w:val="105"/>
          <w:sz w:val="13"/>
        </w:rPr>
        <w:t> </w:t>
      </w:r>
      <w:r>
        <w:rPr>
          <w:w w:val="105"/>
          <w:sz w:val="13"/>
        </w:rPr>
        <w:t>Wales).</w:t>
      </w:r>
    </w:p>
    <w:p>
      <w:pPr>
        <w:pStyle w:val="ListParagraph"/>
        <w:numPr>
          <w:ilvl w:val="0"/>
          <w:numId w:val="136"/>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36"/>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36"/>
        </w:numPr>
        <w:tabs>
          <w:tab w:pos="2381" w:val="left" w:leader="none"/>
          <w:tab w:pos="2382" w:val="left" w:leader="none"/>
        </w:tabs>
        <w:spacing w:line="240" w:lineRule="auto" w:before="2" w:after="0"/>
        <w:ind w:left="2381" w:right="0" w:hanging="794"/>
        <w:jc w:val="left"/>
        <w:rPr>
          <w:sz w:val="13"/>
        </w:rPr>
      </w:pPr>
      <w:r>
        <w:rPr>
          <w:w w:val="105"/>
          <w:sz w:val="13"/>
        </w:rPr>
        <w:t>Land</w:t>
      </w:r>
      <w:r>
        <w:rPr>
          <w:spacing w:val="6"/>
          <w:w w:val="105"/>
          <w:sz w:val="13"/>
        </w:rPr>
        <w:t> </w:t>
      </w:r>
      <w:r>
        <w:rPr>
          <w:w w:val="105"/>
          <w:sz w:val="13"/>
        </w:rPr>
        <w:t>and</w:t>
      </w:r>
      <w:r>
        <w:rPr>
          <w:spacing w:val="6"/>
          <w:w w:val="105"/>
          <w:sz w:val="13"/>
        </w:rPr>
        <w:t> </w:t>
      </w:r>
      <w:r>
        <w:rPr>
          <w:w w:val="105"/>
          <w:sz w:val="13"/>
        </w:rPr>
        <w:t>Environment</w:t>
      </w:r>
      <w:r>
        <w:rPr>
          <w:spacing w:val="6"/>
          <w:w w:val="105"/>
          <w:sz w:val="13"/>
        </w:rPr>
        <w:t> </w:t>
      </w:r>
      <w:r>
        <w:rPr>
          <w:w w:val="105"/>
          <w:sz w:val="13"/>
        </w:rPr>
        <w:t>Court</w:t>
      </w:r>
      <w:r>
        <w:rPr>
          <w:spacing w:val="7"/>
          <w:w w:val="105"/>
          <w:sz w:val="13"/>
        </w:rPr>
        <w:t> </w:t>
      </w:r>
      <w:r>
        <w:rPr>
          <w:w w:val="105"/>
          <w:sz w:val="13"/>
        </w:rPr>
        <w:t>of</w:t>
      </w:r>
      <w:r>
        <w:rPr>
          <w:spacing w:val="6"/>
          <w:w w:val="105"/>
          <w:sz w:val="13"/>
        </w:rPr>
        <w:t> </w:t>
      </w:r>
      <w:r>
        <w:rPr>
          <w:w w:val="105"/>
          <w:sz w:val="13"/>
        </w:rPr>
        <w:t>New</w:t>
      </w:r>
      <w:r>
        <w:rPr>
          <w:spacing w:val="6"/>
          <w:w w:val="105"/>
          <w:sz w:val="13"/>
        </w:rPr>
        <w:t> </w:t>
      </w:r>
      <w:r>
        <w:rPr>
          <w:w w:val="105"/>
          <w:sz w:val="13"/>
        </w:rPr>
        <w:t>South</w:t>
      </w:r>
      <w:r>
        <w:rPr>
          <w:spacing w:val="7"/>
          <w:w w:val="105"/>
          <w:sz w:val="13"/>
        </w:rPr>
        <w:t> </w:t>
      </w:r>
      <w:r>
        <w:rPr>
          <w:w w:val="105"/>
          <w:sz w:val="13"/>
        </w:rPr>
        <w:t>Wales</w:t>
      </w:r>
      <w:r>
        <w:rPr>
          <w:spacing w:val="6"/>
          <w:w w:val="105"/>
          <w:sz w:val="13"/>
        </w:rPr>
        <w:t> </w:t>
      </w:r>
      <w:r>
        <w:rPr>
          <w:spacing w:val="2"/>
          <w:w w:val="105"/>
          <w:sz w:val="13"/>
        </w:rPr>
        <w:t>(NSWLEC),</w:t>
      </w:r>
      <w:r>
        <w:rPr>
          <w:spacing w:val="6"/>
          <w:w w:val="105"/>
          <w:sz w:val="13"/>
        </w:rPr>
        <w:t> </w:t>
      </w:r>
      <w:r>
        <w:rPr>
          <w:i/>
          <w:w w:val="105"/>
          <w:sz w:val="13"/>
        </w:rPr>
        <w:t>Practice</w:t>
      </w:r>
      <w:r>
        <w:rPr>
          <w:i/>
          <w:spacing w:val="7"/>
          <w:w w:val="105"/>
          <w:sz w:val="13"/>
        </w:rPr>
        <w:t> </w:t>
      </w:r>
      <w:r>
        <w:rPr>
          <w:i/>
          <w:w w:val="105"/>
          <w:sz w:val="13"/>
        </w:rPr>
        <w:t>Note</w:t>
      </w:r>
      <w:r>
        <w:rPr>
          <w:i/>
          <w:spacing w:val="6"/>
          <w:w w:val="105"/>
          <w:sz w:val="13"/>
        </w:rPr>
        <w:t> </w:t>
      </w:r>
      <w:r>
        <w:rPr>
          <w:i/>
          <w:w w:val="105"/>
          <w:sz w:val="13"/>
        </w:rPr>
        <w:t>Class</w:t>
      </w:r>
      <w:r>
        <w:rPr>
          <w:i/>
          <w:spacing w:val="6"/>
          <w:w w:val="105"/>
          <w:sz w:val="13"/>
        </w:rPr>
        <w:t> </w:t>
      </w:r>
      <w:r>
        <w:rPr>
          <w:i/>
          <w:w w:val="105"/>
          <w:sz w:val="13"/>
        </w:rPr>
        <w:t>2:</w:t>
      </w:r>
      <w:r>
        <w:rPr>
          <w:i/>
          <w:spacing w:val="7"/>
          <w:w w:val="105"/>
          <w:sz w:val="13"/>
        </w:rPr>
        <w:t> </w:t>
      </w:r>
      <w:r>
        <w:rPr>
          <w:i/>
          <w:w w:val="105"/>
          <w:sz w:val="13"/>
        </w:rPr>
        <w:t>Tree</w:t>
      </w:r>
      <w:r>
        <w:rPr>
          <w:i/>
          <w:spacing w:val="6"/>
          <w:w w:val="105"/>
          <w:sz w:val="13"/>
        </w:rPr>
        <w:t> </w:t>
      </w:r>
      <w:r>
        <w:rPr>
          <w:i/>
          <w:w w:val="105"/>
          <w:sz w:val="13"/>
        </w:rPr>
        <w:t>Applications,</w:t>
      </w:r>
      <w:r>
        <w:rPr>
          <w:i/>
          <w:spacing w:val="6"/>
          <w:w w:val="105"/>
          <w:sz w:val="13"/>
        </w:rPr>
        <w:t> </w:t>
      </w:r>
      <w:r>
        <w:rPr>
          <w:w w:val="105"/>
          <w:sz w:val="13"/>
        </w:rPr>
        <w:t>1</w:t>
      </w:r>
      <w:r>
        <w:rPr>
          <w:spacing w:val="7"/>
          <w:w w:val="105"/>
          <w:sz w:val="13"/>
        </w:rPr>
        <w:t> </w:t>
      </w:r>
      <w:r>
        <w:rPr>
          <w:w w:val="105"/>
          <w:sz w:val="13"/>
        </w:rPr>
        <w:t>December</w:t>
      </w:r>
      <w:r>
        <w:rPr>
          <w:spacing w:val="6"/>
          <w:w w:val="105"/>
          <w:sz w:val="13"/>
        </w:rPr>
        <w:t> </w:t>
      </w:r>
      <w:r>
        <w:rPr>
          <w:w w:val="105"/>
          <w:sz w:val="13"/>
        </w:rPr>
        <w:t>2018,</w:t>
      </w:r>
      <w:r>
        <w:rPr>
          <w:spacing w:val="6"/>
          <w:w w:val="105"/>
          <w:sz w:val="13"/>
        </w:rPr>
        <w:t> </w:t>
      </w:r>
      <w:r>
        <w:rPr>
          <w:spacing w:val="2"/>
          <w:w w:val="105"/>
          <w:sz w:val="13"/>
        </w:rPr>
        <w:t>[43].</w:t>
      </w:r>
    </w:p>
    <w:p>
      <w:pPr>
        <w:pStyle w:val="ListParagraph"/>
        <w:numPr>
          <w:ilvl w:val="0"/>
          <w:numId w:val="136"/>
        </w:numPr>
        <w:tabs>
          <w:tab w:pos="2381" w:val="left" w:leader="none"/>
          <w:tab w:pos="2382" w:val="left" w:leader="none"/>
        </w:tabs>
        <w:spacing w:line="240" w:lineRule="auto" w:before="1" w:after="0"/>
        <w:ind w:left="2381" w:right="0" w:hanging="794"/>
        <w:jc w:val="left"/>
        <w:rPr>
          <w:sz w:val="13"/>
        </w:rPr>
      </w:pPr>
      <w:r>
        <w:rPr>
          <w:i/>
          <w:w w:val="105"/>
          <w:sz w:val="13"/>
        </w:rPr>
        <w:t>Uniform Civil Procedure Rules 2005 </w:t>
      </w:r>
      <w:r>
        <w:rPr>
          <w:spacing w:val="3"/>
          <w:w w:val="105"/>
          <w:sz w:val="13"/>
        </w:rPr>
        <w:t>(NSW) </w:t>
      </w:r>
      <w:r>
        <w:rPr>
          <w:w w:val="105"/>
          <w:sz w:val="13"/>
        </w:rPr>
        <w:t>r</w:t>
      </w:r>
      <w:r>
        <w:rPr>
          <w:spacing w:val="30"/>
          <w:w w:val="105"/>
          <w:sz w:val="13"/>
        </w:rPr>
        <w:t> </w:t>
      </w:r>
      <w:r>
        <w:rPr>
          <w:spacing w:val="-3"/>
          <w:w w:val="105"/>
          <w:sz w:val="13"/>
        </w:rPr>
        <w:t>31.27.</w:t>
      </w:r>
    </w:p>
    <w:p>
      <w:pPr>
        <w:pStyle w:val="ListParagraph"/>
        <w:numPr>
          <w:ilvl w:val="0"/>
          <w:numId w:val="136"/>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36"/>
        </w:numPr>
        <w:tabs>
          <w:tab w:pos="2381" w:val="left" w:leader="none"/>
          <w:tab w:pos="2382" w:val="left" w:leader="none"/>
        </w:tabs>
        <w:spacing w:line="240" w:lineRule="auto" w:before="2" w:after="0"/>
        <w:ind w:left="2381" w:right="172" w:hanging="794"/>
        <w:jc w:val="left"/>
        <w:rPr>
          <w:sz w:val="13"/>
        </w:rPr>
      </w:pPr>
      <w:r>
        <w:rPr>
          <w:w w:val="105"/>
          <w:sz w:val="13"/>
        </w:rPr>
        <w:t>Land and Environment Court of New South Wales </w:t>
      </w:r>
      <w:r>
        <w:rPr>
          <w:spacing w:val="2"/>
          <w:w w:val="105"/>
          <w:sz w:val="13"/>
        </w:rPr>
        <w:t>(NSWLEC), </w:t>
      </w:r>
      <w:r>
        <w:rPr>
          <w:i/>
          <w:w w:val="105"/>
          <w:sz w:val="13"/>
        </w:rPr>
        <w:t>Practice Note Class 2: Tree Applications</w:t>
      </w:r>
      <w:r>
        <w:rPr>
          <w:w w:val="105"/>
          <w:sz w:val="13"/>
        </w:rPr>
        <w:t>, 1 December 2018, </w:t>
      </w:r>
      <w:r>
        <w:rPr>
          <w:spacing w:val="4"/>
          <w:w w:val="105"/>
          <w:sz w:val="13"/>
        </w:rPr>
        <w:t>[44]. </w:t>
      </w:r>
      <w:r>
        <w:rPr>
          <w:w w:val="105"/>
          <w:sz w:val="13"/>
        </w:rPr>
        <w:t>The Commission</w:t>
      </w:r>
      <w:r>
        <w:rPr>
          <w:spacing w:val="4"/>
          <w:w w:val="105"/>
          <w:sz w:val="13"/>
        </w:rPr>
        <w:t> </w:t>
      </w:r>
      <w:r>
        <w:rPr>
          <w:w w:val="105"/>
          <w:sz w:val="13"/>
        </w:rPr>
        <w:t>notes</w:t>
      </w:r>
      <w:r>
        <w:rPr>
          <w:spacing w:val="4"/>
          <w:w w:val="105"/>
          <w:sz w:val="13"/>
        </w:rPr>
        <w:t> </w:t>
      </w:r>
      <w:r>
        <w:rPr>
          <w:w w:val="105"/>
          <w:sz w:val="13"/>
        </w:rPr>
        <w:t>that</w:t>
      </w:r>
      <w:r>
        <w:rPr>
          <w:spacing w:val="5"/>
          <w:w w:val="105"/>
          <w:sz w:val="13"/>
        </w:rPr>
        <w:t> </w:t>
      </w:r>
      <w:r>
        <w:rPr>
          <w:w w:val="105"/>
          <w:sz w:val="13"/>
        </w:rPr>
        <w:t>Practice</w:t>
      </w:r>
      <w:r>
        <w:rPr>
          <w:spacing w:val="4"/>
          <w:w w:val="105"/>
          <w:sz w:val="13"/>
        </w:rPr>
        <w:t> </w:t>
      </w:r>
      <w:r>
        <w:rPr>
          <w:w w:val="105"/>
          <w:sz w:val="13"/>
        </w:rPr>
        <w:t>Notes</w:t>
      </w:r>
      <w:r>
        <w:rPr>
          <w:spacing w:val="5"/>
          <w:w w:val="105"/>
          <w:sz w:val="13"/>
        </w:rPr>
        <w:t> </w:t>
      </w:r>
      <w:r>
        <w:rPr>
          <w:w w:val="105"/>
          <w:sz w:val="13"/>
        </w:rPr>
        <w:t>do</w:t>
      </w:r>
      <w:r>
        <w:rPr>
          <w:spacing w:val="4"/>
          <w:w w:val="105"/>
          <w:sz w:val="13"/>
        </w:rPr>
        <w:t> </w:t>
      </w:r>
      <w:r>
        <w:rPr>
          <w:w w:val="105"/>
          <w:sz w:val="13"/>
        </w:rPr>
        <w:t>not</w:t>
      </w:r>
      <w:r>
        <w:rPr>
          <w:spacing w:val="5"/>
          <w:w w:val="105"/>
          <w:sz w:val="13"/>
        </w:rPr>
        <w:t> </w:t>
      </w:r>
      <w:r>
        <w:rPr>
          <w:w w:val="105"/>
          <w:sz w:val="13"/>
        </w:rPr>
        <w:t>have</w:t>
      </w:r>
      <w:r>
        <w:rPr>
          <w:spacing w:val="4"/>
          <w:w w:val="105"/>
          <w:sz w:val="13"/>
        </w:rPr>
        <w:t> </w:t>
      </w:r>
      <w:r>
        <w:rPr>
          <w:w w:val="105"/>
          <w:sz w:val="13"/>
        </w:rPr>
        <w:t>legislative</w:t>
      </w:r>
      <w:r>
        <w:rPr>
          <w:spacing w:val="5"/>
          <w:w w:val="105"/>
          <w:sz w:val="13"/>
        </w:rPr>
        <w:t> </w:t>
      </w:r>
      <w:r>
        <w:rPr>
          <w:w w:val="105"/>
          <w:sz w:val="13"/>
        </w:rPr>
        <w:t>force.</w:t>
      </w:r>
    </w:p>
    <w:p>
      <w:pPr>
        <w:tabs>
          <w:tab w:pos="2381" w:val="left" w:leader="none"/>
        </w:tabs>
        <w:spacing w:before="2"/>
        <w:ind w:left="1587" w:right="0" w:firstLine="0"/>
        <w:jc w:val="left"/>
        <w:rPr>
          <w:sz w:val="13"/>
        </w:rPr>
      </w:pPr>
      <w:r>
        <w:rPr>
          <w:spacing w:val="-2"/>
          <w:w w:val="110"/>
          <w:sz w:val="13"/>
        </w:rPr>
        <w:t>181</w:t>
        <w:tab/>
      </w:r>
      <w:r>
        <w:rPr>
          <w:w w:val="110"/>
          <w:sz w:val="13"/>
        </w:rPr>
        <w:t>Ibid 3,</w:t>
      </w:r>
      <w:r>
        <w:rPr>
          <w:spacing w:val="6"/>
          <w:w w:val="110"/>
          <w:sz w:val="13"/>
        </w:rPr>
        <w:t> </w:t>
      </w:r>
      <w:r>
        <w:rPr>
          <w:spacing w:val="-6"/>
          <w:w w:val="110"/>
          <w:sz w:val="13"/>
        </w:rPr>
        <w:t>11.</w:t>
      </w:r>
    </w:p>
    <w:p>
      <w:pPr>
        <w:tabs>
          <w:tab w:pos="2381" w:val="left" w:leader="none"/>
        </w:tabs>
        <w:spacing w:before="2"/>
        <w:ind w:left="1587" w:right="0" w:firstLine="0"/>
        <w:jc w:val="left"/>
        <w:rPr>
          <w:sz w:val="13"/>
        </w:rPr>
      </w:pPr>
      <w:r>
        <w:rPr>
          <w:w w:val="105"/>
          <w:sz w:val="13"/>
        </w:rPr>
        <w:t>182</w:t>
        <w:tab/>
      </w: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6"/>
          <w:w w:val="105"/>
          <w:sz w:val="13"/>
        </w:rPr>
        <w:t> </w:t>
      </w:r>
      <w:r>
        <w:rPr>
          <w:w w:val="105"/>
          <w:sz w:val="13"/>
        </w:rPr>
        <w:t>66.</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38"/>
        </w:rPr>
      </w:pPr>
    </w:p>
    <w:p>
      <w:pPr>
        <w:spacing w:before="0"/>
        <w:ind w:left="906" w:right="0" w:firstLine="0"/>
        <w:jc w:val="left"/>
        <w:rPr>
          <w:b/>
          <w:sz w:val="24"/>
        </w:rPr>
      </w:pPr>
      <w:r>
        <w:rPr>
          <w:b/>
          <w:color w:val="658464"/>
          <w:w w:val="110"/>
          <w:sz w:val="24"/>
        </w:rPr>
        <w:t>183</w:t>
      </w:r>
    </w:p>
    <w:p>
      <w:pPr>
        <w:spacing w:after="0"/>
        <w:jc w:val="left"/>
        <w:rPr>
          <w:sz w:val="24"/>
        </w:rPr>
        <w:sectPr>
          <w:type w:val="continuous"/>
          <w:pgSz w:w="11910" w:h="16840"/>
          <w:pgMar w:top="300" w:bottom="280" w:left="0" w:right="0"/>
          <w:cols w:num="2" w:equalWidth="0">
            <w:col w:w="9969" w:space="40"/>
            <w:col w:w="1901"/>
          </w:cols>
        </w:sectPr>
      </w:pPr>
    </w:p>
    <w:p>
      <w:pPr>
        <w:pStyle w:val="BodyText"/>
        <w:spacing w:before="9"/>
        <w:rPr>
          <w:b/>
          <w:sz w:val="22"/>
        </w:rPr>
      </w:pPr>
    </w:p>
    <w:p>
      <w:pPr>
        <w:pStyle w:val="BodyText"/>
        <w:spacing w:line="242" w:lineRule="auto" w:before="92"/>
        <w:ind w:left="2381" w:right="1636"/>
        <w:rPr>
          <w:sz w:val="12"/>
        </w:rPr>
      </w:pPr>
      <w:bookmarkStart w:name="Community responses—expert evidence" w:id="207"/>
      <w:bookmarkEnd w:id="207"/>
      <w:r>
        <w:rPr/>
      </w:r>
      <w:bookmarkStart w:name="_bookmark98" w:id="208"/>
      <w:bookmarkEnd w:id="208"/>
      <w:r>
        <w:rPr/>
      </w:r>
      <w:r>
        <w:rPr/>
        <w:t>the Commission that it will appoint a tree assessor</w:t>
      </w:r>
      <w:r>
        <w:rPr>
          <w:position w:val="7"/>
          <w:sz w:val="12"/>
        </w:rPr>
        <w:t>183 </w:t>
      </w:r>
      <w:r>
        <w:rPr/>
        <w:t>if the Tribunal is unable to make a decision without expert arboricultural opinion.</w:t>
      </w:r>
      <w:r>
        <w:rPr>
          <w:position w:val="7"/>
          <w:sz w:val="12"/>
        </w:rPr>
        <w:t>184</w:t>
      </w:r>
    </w:p>
    <w:p>
      <w:pPr>
        <w:pStyle w:val="ListParagraph"/>
        <w:numPr>
          <w:ilvl w:val="1"/>
          <w:numId w:val="133"/>
        </w:numPr>
        <w:tabs>
          <w:tab w:pos="2381" w:val="left" w:leader="none"/>
          <w:tab w:pos="2382" w:val="left" w:leader="none"/>
        </w:tabs>
        <w:spacing w:line="242" w:lineRule="auto" w:before="122" w:after="0"/>
        <w:ind w:left="2381" w:right="1731" w:hanging="794"/>
        <w:jc w:val="left"/>
        <w:rPr>
          <w:sz w:val="12"/>
        </w:rPr>
      </w:pPr>
      <w:r>
        <w:rPr>
          <w:spacing w:val="-4"/>
          <w:w w:val="105"/>
          <w:sz w:val="21"/>
        </w:rPr>
        <w:t>QCAT </w:t>
      </w:r>
      <w:r>
        <w:rPr>
          <w:spacing w:val="-2"/>
          <w:w w:val="105"/>
          <w:sz w:val="21"/>
        </w:rPr>
        <w:t>has </w:t>
      </w:r>
      <w:r>
        <w:rPr>
          <w:w w:val="105"/>
          <w:sz w:val="21"/>
        </w:rPr>
        <w:t>issued a Practice Direction </w:t>
      </w:r>
      <w:r>
        <w:rPr>
          <w:spacing w:val="-3"/>
          <w:w w:val="105"/>
          <w:sz w:val="21"/>
        </w:rPr>
        <w:t>detailing ‘Arrangements for applications for </w:t>
      </w:r>
      <w:r>
        <w:rPr>
          <w:w w:val="105"/>
          <w:sz w:val="21"/>
        </w:rPr>
        <w:t>orders </w:t>
      </w:r>
      <w:r>
        <w:rPr>
          <w:spacing w:val="-3"/>
          <w:w w:val="105"/>
          <w:sz w:val="21"/>
        </w:rPr>
        <w:t>to </w:t>
      </w:r>
      <w:r>
        <w:rPr>
          <w:w w:val="105"/>
          <w:sz w:val="21"/>
        </w:rPr>
        <w:t>resolve other issues about </w:t>
      </w:r>
      <w:r>
        <w:rPr>
          <w:spacing w:val="-6"/>
          <w:w w:val="105"/>
          <w:sz w:val="21"/>
        </w:rPr>
        <w:t>trees’.</w:t>
      </w:r>
      <w:r>
        <w:rPr>
          <w:spacing w:val="-6"/>
          <w:w w:val="105"/>
          <w:position w:val="7"/>
          <w:sz w:val="12"/>
        </w:rPr>
        <w:t>185 </w:t>
      </w:r>
      <w:r>
        <w:rPr>
          <w:w w:val="105"/>
          <w:sz w:val="21"/>
        </w:rPr>
        <w:t>The directive states </w:t>
      </w:r>
      <w:r>
        <w:rPr>
          <w:spacing w:val="-3"/>
          <w:w w:val="105"/>
          <w:sz w:val="21"/>
        </w:rPr>
        <w:t>that </w:t>
      </w:r>
      <w:r>
        <w:rPr>
          <w:spacing w:val="-4"/>
          <w:w w:val="105"/>
          <w:sz w:val="21"/>
        </w:rPr>
        <w:t>QCAT </w:t>
      </w:r>
      <w:r>
        <w:rPr>
          <w:spacing w:val="-3"/>
          <w:w w:val="105"/>
          <w:sz w:val="21"/>
        </w:rPr>
        <w:t>will generally </w:t>
      </w:r>
      <w:r>
        <w:rPr>
          <w:w w:val="105"/>
          <w:sz w:val="21"/>
        </w:rPr>
        <w:t>appoint</w:t>
      </w:r>
      <w:r>
        <w:rPr>
          <w:spacing w:val="-10"/>
          <w:w w:val="105"/>
          <w:sz w:val="21"/>
        </w:rPr>
        <w:t> </w:t>
      </w:r>
      <w:r>
        <w:rPr>
          <w:w w:val="105"/>
          <w:sz w:val="21"/>
        </w:rPr>
        <w:t>an</w:t>
      </w:r>
      <w:r>
        <w:rPr>
          <w:spacing w:val="-10"/>
          <w:w w:val="105"/>
          <w:sz w:val="21"/>
        </w:rPr>
        <w:t> </w:t>
      </w:r>
      <w:r>
        <w:rPr>
          <w:w w:val="105"/>
          <w:sz w:val="21"/>
        </w:rPr>
        <w:t>expert</w:t>
      </w:r>
      <w:r>
        <w:rPr>
          <w:spacing w:val="-10"/>
          <w:w w:val="105"/>
          <w:sz w:val="21"/>
        </w:rPr>
        <w:t> </w:t>
      </w:r>
      <w:r>
        <w:rPr>
          <w:w w:val="105"/>
          <w:sz w:val="21"/>
        </w:rPr>
        <w:t>tree</w:t>
      </w:r>
      <w:r>
        <w:rPr>
          <w:spacing w:val="-9"/>
          <w:w w:val="105"/>
          <w:sz w:val="21"/>
        </w:rPr>
        <w:t> </w:t>
      </w:r>
      <w:r>
        <w:rPr>
          <w:w w:val="105"/>
          <w:sz w:val="21"/>
        </w:rPr>
        <w:t>assessor</w:t>
      </w:r>
      <w:r>
        <w:rPr>
          <w:spacing w:val="-10"/>
          <w:w w:val="105"/>
          <w:sz w:val="21"/>
        </w:rPr>
        <w:t> </w:t>
      </w:r>
      <w:r>
        <w:rPr>
          <w:spacing w:val="-3"/>
          <w:w w:val="105"/>
          <w:sz w:val="21"/>
        </w:rPr>
        <w:t>to</w:t>
      </w:r>
      <w:r>
        <w:rPr>
          <w:spacing w:val="-10"/>
          <w:w w:val="105"/>
          <w:sz w:val="21"/>
        </w:rPr>
        <w:t> </w:t>
      </w:r>
      <w:r>
        <w:rPr>
          <w:w w:val="105"/>
          <w:sz w:val="21"/>
        </w:rPr>
        <w:t>assist</w:t>
      </w:r>
      <w:r>
        <w:rPr>
          <w:spacing w:val="-9"/>
          <w:w w:val="105"/>
          <w:sz w:val="21"/>
        </w:rPr>
        <w:t> </w:t>
      </w:r>
      <w:r>
        <w:rPr>
          <w:w w:val="105"/>
          <w:sz w:val="21"/>
        </w:rPr>
        <w:t>with</w:t>
      </w:r>
      <w:r>
        <w:rPr>
          <w:spacing w:val="-10"/>
          <w:w w:val="105"/>
          <w:sz w:val="21"/>
        </w:rPr>
        <w:t> </w:t>
      </w:r>
      <w:r>
        <w:rPr>
          <w:spacing w:val="-4"/>
          <w:w w:val="105"/>
          <w:sz w:val="21"/>
        </w:rPr>
        <w:t>disputes.</w:t>
      </w:r>
      <w:r>
        <w:rPr>
          <w:spacing w:val="-4"/>
          <w:w w:val="105"/>
          <w:position w:val="7"/>
          <w:sz w:val="12"/>
        </w:rPr>
        <w:t>186</w:t>
      </w:r>
      <w:r>
        <w:rPr>
          <w:spacing w:val="13"/>
          <w:w w:val="105"/>
          <w:position w:val="7"/>
          <w:sz w:val="12"/>
        </w:rPr>
        <w:t> </w:t>
      </w:r>
      <w:r>
        <w:rPr>
          <w:w w:val="105"/>
          <w:sz w:val="21"/>
        </w:rPr>
        <w:t>The</w:t>
      </w:r>
      <w:r>
        <w:rPr>
          <w:spacing w:val="-10"/>
          <w:w w:val="105"/>
          <w:sz w:val="21"/>
        </w:rPr>
        <w:t> </w:t>
      </w:r>
      <w:r>
        <w:rPr>
          <w:w w:val="105"/>
          <w:sz w:val="21"/>
        </w:rPr>
        <w:t>assessor</w:t>
      </w:r>
      <w:r>
        <w:rPr>
          <w:spacing w:val="-10"/>
          <w:w w:val="105"/>
          <w:sz w:val="21"/>
        </w:rPr>
        <w:t> </w:t>
      </w:r>
      <w:r>
        <w:rPr>
          <w:w w:val="105"/>
          <w:sz w:val="21"/>
        </w:rPr>
        <w:t>is</w:t>
      </w:r>
      <w:r>
        <w:rPr>
          <w:spacing w:val="-9"/>
          <w:w w:val="105"/>
          <w:sz w:val="21"/>
        </w:rPr>
        <w:t> </w:t>
      </w:r>
      <w:r>
        <w:rPr>
          <w:spacing w:val="-3"/>
          <w:w w:val="105"/>
          <w:sz w:val="21"/>
        </w:rPr>
        <w:t>asked</w:t>
      </w:r>
      <w:r>
        <w:rPr>
          <w:spacing w:val="-10"/>
          <w:w w:val="105"/>
          <w:sz w:val="21"/>
        </w:rPr>
        <w:t> </w:t>
      </w:r>
      <w:r>
        <w:rPr>
          <w:spacing w:val="-3"/>
          <w:w w:val="105"/>
          <w:sz w:val="21"/>
        </w:rPr>
        <w:t>to</w:t>
      </w:r>
      <w:r>
        <w:rPr>
          <w:spacing w:val="-10"/>
          <w:w w:val="105"/>
          <w:sz w:val="21"/>
        </w:rPr>
        <w:t> </w:t>
      </w:r>
      <w:r>
        <w:rPr>
          <w:w w:val="105"/>
          <w:sz w:val="21"/>
        </w:rPr>
        <w:t>inspect the tree/s and the properties subject </w:t>
      </w:r>
      <w:r>
        <w:rPr>
          <w:spacing w:val="-3"/>
          <w:w w:val="105"/>
          <w:sz w:val="21"/>
        </w:rPr>
        <w:t>to </w:t>
      </w:r>
      <w:r>
        <w:rPr>
          <w:w w:val="105"/>
          <w:sz w:val="21"/>
        </w:rPr>
        <w:t>the application and provide a report which </w:t>
      </w:r>
      <w:r>
        <w:rPr>
          <w:spacing w:val="-3"/>
          <w:w w:val="105"/>
          <w:sz w:val="21"/>
        </w:rPr>
        <w:t>outlines </w:t>
      </w:r>
      <w:r>
        <w:rPr>
          <w:w w:val="105"/>
          <w:sz w:val="21"/>
        </w:rPr>
        <w:t>solutions </w:t>
      </w:r>
      <w:r>
        <w:rPr>
          <w:spacing w:val="-3"/>
          <w:w w:val="105"/>
          <w:sz w:val="21"/>
        </w:rPr>
        <w:t>to </w:t>
      </w:r>
      <w:r>
        <w:rPr>
          <w:w w:val="105"/>
          <w:sz w:val="21"/>
        </w:rPr>
        <w:t>the</w:t>
      </w:r>
      <w:r>
        <w:rPr>
          <w:spacing w:val="26"/>
          <w:w w:val="105"/>
          <w:sz w:val="21"/>
        </w:rPr>
        <w:t> </w:t>
      </w:r>
      <w:r>
        <w:rPr>
          <w:spacing w:val="-5"/>
          <w:w w:val="105"/>
          <w:sz w:val="21"/>
        </w:rPr>
        <w:t>dispute.</w:t>
      </w:r>
      <w:r>
        <w:rPr>
          <w:spacing w:val="-5"/>
          <w:w w:val="105"/>
          <w:position w:val="7"/>
          <w:sz w:val="12"/>
        </w:rPr>
        <w:t>187</w:t>
      </w:r>
    </w:p>
    <w:p>
      <w:pPr>
        <w:pStyle w:val="ListParagraph"/>
        <w:numPr>
          <w:ilvl w:val="1"/>
          <w:numId w:val="133"/>
        </w:numPr>
        <w:tabs>
          <w:tab w:pos="2381" w:val="left" w:leader="none"/>
          <w:tab w:pos="2382" w:val="left" w:leader="none"/>
        </w:tabs>
        <w:spacing w:line="242" w:lineRule="auto" w:before="125" w:after="0"/>
        <w:ind w:left="2381" w:right="1819" w:hanging="794"/>
        <w:jc w:val="left"/>
        <w:rPr>
          <w:sz w:val="12"/>
        </w:rPr>
      </w:pPr>
      <w:r>
        <w:rPr>
          <w:spacing w:val="-3"/>
          <w:w w:val="105"/>
          <w:sz w:val="21"/>
        </w:rPr>
        <w:t>Alternatively,</w:t>
      </w:r>
      <w:r>
        <w:rPr>
          <w:spacing w:val="-9"/>
          <w:w w:val="105"/>
          <w:sz w:val="21"/>
        </w:rPr>
        <w:t> </w:t>
      </w:r>
      <w:r>
        <w:rPr>
          <w:w w:val="105"/>
          <w:sz w:val="21"/>
        </w:rPr>
        <w:t>parties</w:t>
      </w:r>
      <w:r>
        <w:rPr>
          <w:spacing w:val="-9"/>
          <w:w w:val="105"/>
          <w:sz w:val="21"/>
        </w:rPr>
        <w:t> </w:t>
      </w:r>
      <w:r>
        <w:rPr>
          <w:spacing w:val="-3"/>
          <w:w w:val="105"/>
          <w:sz w:val="21"/>
        </w:rPr>
        <w:t>may</w:t>
      </w:r>
      <w:r>
        <w:rPr>
          <w:spacing w:val="-9"/>
          <w:w w:val="105"/>
          <w:sz w:val="21"/>
        </w:rPr>
        <w:t> </w:t>
      </w:r>
      <w:r>
        <w:rPr>
          <w:w w:val="105"/>
          <w:sz w:val="21"/>
        </w:rPr>
        <w:t>engage</w:t>
      </w:r>
      <w:r>
        <w:rPr>
          <w:spacing w:val="-8"/>
          <w:w w:val="105"/>
          <w:sz w:val="21"/>
        </w:rPr>
        <w:t> </w:t>
      </w:r>
      <w:r>
        <w:rPr>
          <w:w w:val="105"/>
          <w:sz w:val="21"/>
        </w:rPr>
        <w:t>an</w:t>
      </w:r>
      <w:r>
        <w:rPr>
          <w:spacing w:val="-9"/>
          <w:w w:val="105"/>
          <w:sz w:val="21"/>
        </w:rPr>
        <w:t> </w:t>
      </w:r>
      <w:r>
        <w:rPr>
          <w:w w:val="105"/>
          <w:sz w:val="21"/>
        </w:rPr>
        <w:t>expert</w:t>
      </w:r>
      <w:r>
        <w:rPr>
          <w:spacing w:val="-9"/>
          <w:w w:val="105"/>
          <w:sz w:val="21"/>
        </w:rPr>
        <w:t> </w:t>
      </w:r>
      <w:r>
        <w:rPr>
          <w:spacing w:val="-3"/>
          <w:w w:val="105"/>
          <w:sz w:val="21"/>
        </w:rPr>
        <w:t>to</w:t>
      </w:r>
      <w:r>
        <w:rPr>
          <w:spacing w:val="-8"/>
          <w:w w:val="105"/>
          <w:sz w:val="21"/>
        </w:rPr>
        <w:t> </w:t>
      </w:r>
      <w:r>
        <w:rPr>
          <w:w w:val="105"/>
          <w:sz w:val="21"/>
        </w:rPr>
        <w:t>provide</w:t>
      </w:r>
      <w:r>
        <w:rPr>
          <w:spacing w:val="-9"/>
          <w:w w:val="105"/>
          <w:sz w:val="21"/>
        </w:rPr>
        <w:t> </w:t>
      </w:r>
      <w:r>
        <w:rPr>
          <w:w w:val="105"/>
          <w:sz w:val="21"/>
        </w:rPr>
        <w:t>a</w:t>
      </w:r>
      <w:r>
        <w:rPr>
          <w:spacing w:val="-9"/>
          <w:w w:val="105"/>
          <w:sz w:val="21"/>
        </w:rPr>
        <w:t> </w:t>
      </w:r>
      <w:r>
        <w:rPr>
          <w:w w:val="105"/>
          <w:sz w:val="21"/>
        </w:rPr>
        <w:t>report.</w:t>
      </w:r>
      <w:r>
        <w:rPr>
          <w:spacing w:val="-8"/>
          <w:w w:val="105"/>
          <w:sz w:val="21"/>
        </w:rPr>
        <w:t> </w:t>
      </w:r>
      <w:r>
        <w:rPr>
          <w:w w:val="105"/>
          <w:sz w:val="21"/>
        </w:rPr>
        <w:t>In</w:t>
      </w:r>
      <w:r>
        <w:rPr>
          <w:spacing w:val="-9"/>
          <w:w w:val="105"/>
          <w:sz w:val="21"/>
        </w:rPr>
        <w:t> </w:t>
      </w:r>
      <w:r>
        <w:rPr>
          <w:w w:val="105"/>
          <w:sz w:val="21"/>
        </w:rPr>
        <w:t>this</w:t>
      </w:r>
      <w:r>
        <w:rPr>
          <w:spacing w:val="-9"/>
          <w:w w:val="105"/>
          <w:sz w:val="21"/>
        </w:rPr>
        <w:t> </w:t>
      </w:r>
      <w:r>
        <w:rPr>
          <w:spacing w:val="-3"/>
          <w:w w:val="105"/>
          <w:sz w:val="21"/>
        </w:rPr>
        <w:t>case,</w:t>
      </w:r>
      <w:r>
        <w:rPr>
          <w:spacing w:val="-8"/>
          <w:w w:val="105"/>
          <w:sz w:val="21"/>
        </w:rPr>
        <w:t> </w:t>
      </w:r>
      <w:r>
        <w:rPr>
          <w:w w:val="105"/>
          <w:sz w:val="21"/>
        </w:rPr>
        <w:t>the</w:t>
      </w:r>
      <w:r>
        <w:rPr>
          <w:spacing w:val="-9"/>
          <w:w w:val="105"/>
          <w:sz w:val="21"/>
        </w:rPr>
        <w:t> </w:t>
      </w:r>
      <w:r>
        <w:rPr>
          <w:w w:val="105"/>
          <w:sz w:val="21"/>
        </w:rPr>
        <w:t>experts </w:t>
      </w:r>
      <w:r>
        <w:rPr>
          <w:spacing w:val="-3"/>
          <w:w w:val="105"/>
          <w:sz w:val="21"/>
        </w:rPr>
        <w:t>may </w:t>
      </w:r>
      <w:r>
        <w:rPr>
          <w:w w:val="105"/>
          <w:sz w:val="21"/>
        </w:rPr>
        <w:t>be </w:t>
      </w:r>
      <w:r>
        <w:rPr>
          <w:spacing w:val="-3"/>
          <w:w w:val="105"/>
          <w:sz w:val="21"/>
        </w:rPr>
        <w:t>required to </w:t>
      </w:r>
      <w:r>
        <w:rPr>
          <w:w w:val="105"/>
          <w:sz w:val="21"/>
        </w:rPr>
        <w:t>attend an experts’ </w:t>
      </w:r>
      <w:r>
        <w:rPr>
          <w:spacing w:val="-4"/>
          <w:w w:val="105"/>
          <w:sz w:val="21"/>
        </w:rPr>
        <w:t>conclave,</w:t>
      </w:r>
      <w:r>
        <w:rPr>
          <w:spacing w:val="-4"/>
          <w:w w:val="105"/>
          <w:position w:val="7"/>
          <w:sz w:val="12"/>
        </w:rPr>
        <w:t>188 </w:t>
      </w:r>
      <w:r>
        <w:rPr>
          <w:w w:val="105"/>
          <w:sz w:val="21"/>
        </w:rPr>
        <w:t>after </w:t>
      </w:r>
      <w:r>
        <w:rPr>
          <w:spacing w:val="-3"/>
          <w:w w:val="105"/>
          <w:sz w:val="21"/>
        </w:rPr>
        <w:t>which, </w:t>
      </w:r>
      <w:r>
        <w:rPr>
          <w:w w:val="105"/>
          <w:sz w:val="21"/>
        </w:rPr>
        <w:t>the experts should be able </w:t>
      </w:r>
      <w:r>
        <w:rPr>
          <w:spacing w:val="-3"/>
          <w:w w:val="105"/>
          <w:sz w:val="21"/>
        </w:rPr>
        <w:t>to produce </w:t>
      </w:r>
      <w:r>
        <w:rPr>
          <w:w w:val="105"/>
          <w:sz w:val="21"/>
        </w:rPr>
        <w:t>a short </w:t>
      </w:r>
      <w:r>
        <w:rPr>
          <w:spacing w:val="-3"/>
          <w:w w:val="105"/>
          <w:sz w:val="21"/>
        </w:rPr>
        <w:t>joint report.</w:t>
      </w:r>
      <w:r>
        <w:rPr>
          <w:spacing w:val="-3"/>
          <w:w w:val="105"/>
          <w:position w:val="7"/>
          <w:sz w:val="12"/>
        </w:rPr>
        <w:t>189 </w:t>
      </w:r>
      <w:r>
        <w:rPr>
          <w:w w:val="105"/>
          <w:sz w:val="21"/>
        </w:rPr>
        <w:t>On </w:t>
      </w:r>
      <w:r>
        <w:rPr>
          <w:spacing w:val="-5"/>
          <w:w w:val="105"/>
          <w:sz w:val="21"/>
        </w:rPr>
        <w:t>QCAT’s </w:t>
      </w:r>
      <w:r>
        <w:rPr>
          <w:spacing w:val="-3"/>
          <w:w w:val="105"/>
          <w:sz w:val="21"/>
        </w:rPr>
        <w:t>website, </w:t>
      </w:r>
      <w:r>
        <w:rPr>
          <w:w w:val="105"/>
          <w:sz w:val="21"/>
        </w:rPr>
        <w:t>community members </w:t>
      </w:r>
      <w:r>
        <w:rPr>
          <w:spacing w:val="-3"/>
          <w:w w:val="105"/>
          <w:sz w:val="21"/>
        </w:rPr>
        <w:t>are encouraged to </w:t>
      </w:r>
      <w:r>
        <w:rPr>
          <w:w w:val="105"/>
          <w:sz w:val="21"/>
        </w:rPr>
        <w:t>contact the </w:t>
      </w:r>
      <w:r>
        <w:rPr>
          <w:spacing w:val="-3"/>
          <w:w w:val="105"/>
          <w:sz w:val="21"/>
        </w:rPr>
        <w:t>Queensland Aboricultural </w:t>
      </w:r>
      <w:r>
        <w:rPr>
          <w:w w:val="105"/>
          <w:sz w:val="21"/>
        </w:rPr>
        <w:t>Association </w:t>
      </w:r>
      <w:r>
        <w:rPr>
          <w:spacing w:val="-3"/>
          <w:w w:val="105"/>
          <w:sz w:val="21"/>
        </w:rPr>
        <w:t>to </w:t>
      </w:r>
      <w:r>
        <w:rPr>
          <w:w w:val="105"/>
          <w:sz w:val="21"/>
        </w:rPr>
        <w:t>locate a qualified </w:t>
      </w:r>
      <w:r>
        <w:rPr>
          <w:spacing w:val="-3"/>
          <w:w w:val="105"/>
          <w:sz w:val="21"/>
        </w:rPr>
        <w:t>arborist.</w:t>
      </w:r>
      <w:r>
        <w:rPr>
          <w:spacing w:val="-3"/>
          <w:w w:val="105"/>
          <w:position w:val="7"/>
          <w:sz w:val="12"/>
        </w:rPr>
        <w:t>190 </w:t>
      </w:r>
      <w:r>
        <w:rPr>
          <w:w w:val="105"/>
          <w:sz w:val="21"/>
        </w:rPr>
        <w:t>The </w:t>
      </w:r>
      <w:r>
        <w:rPr>
          <w:spacing w:val="-3"/>
          <w:w w:val="105"/>
          <w:sz w:val="21"/>
        </w:rPr>
        <w:t>Association’s website </w:t>
      </w:r>
      <w:r>
        <w:rPr>
          <w:w w:val="105"/>
          <w:sz w:val="21"/>
        </w:rPr>
        <w:t>details the </w:t>
      </w:r>
      <w:r>
        <w:rPr>
          <w:spacing w:val="-3"/>
          <w:w w:val="105"/>
          <w:sz w:val="21"/>
        </w:rPr>
        <w:t>criteria for </w:t>
      </w:r>
      <w:r>
        <w:rPr>
          <w:w w:val="105"/>
          <w:sz w:val="21"/>
        </w:rPr>
        <w:t>both a qualified arborist </w:t>
      </w:r>
      <w:r>
        <w:rPr>
          <w:spacing w:val="-3"/>
          <w:w w:val="105"/>
          <w:sz w:val="21"/>
        </w:rPr>
        <w:t>consultant </w:t>
      </w:r>
      <w:r>
        <w:rPr>
          <w:w w:val="105"/>
          <w:sz w:val="21"/>
        </w:rPr>
        <w:t>and a qualified arborist</w:t>
      </w:r>
      <w:r>
        <w:rPr>
          <w:spacing w:val="25"/>
          <w:w w:val="105"/>
          <w:sz w:val="21"/>
        </w:rPr>
        <w:t> </w:t>
      </w:r>
      <w:r>
        <w:rPr>
          <w:spacing w:val="-5"/>
          <w:w w:val="105"/>
          <w:sz w:val="21"/>
        </w:rPr>
        <w:t>contractor.</w:t>
      </w:r>
      <w:r>
        <w:rPr>
          <w:spacing w:val="-5"/>
          <w:w w:val="105"/>
          <w:position w:val="7"/>
          <w:sz w:val="12"/>
        </w:rPr>
        <w:t>191</w:t>
      </w:r>
    </w:p>
    <w:p>
      <w:pPr>
        <w:pStyle w:val="ListParagraph"/>
        <w:numPr>
          <w:ilvl w:val="1"/>
          <w:numId w:val="133"/>
        </w:numPr>
        <w:tabs>
          <w:tab w:pos="2380" w:val="left" w:leader="none"/>
          <w:tab w:pos="2381" w:val="left" w:leader="none"/>
        </w:tabs>
        <w:spacing w:line="242" w:lineRule="auto" w:before="127" w:after="0"/>
        <w:ind w:left="2381" w:right="1750" w:hanging="794"/>
        <w:jc w:val="left"/>
        <w:rPr>
          <w:sz w:val="21"/>
        </w:rPr>
      </w:pPr>
      <w:r>
        <w:rPr>
          <w:sz w:val="21"/>
        </w:rPr>
        <w:t>Expert reports must </w:t>
      </w:r>
      <w:r>
        <w:rPr>
          <w:spacing w:val="-3"/>
          <w:sz w:val="21"/>
        </w:rPr>
        <w:t>adhere to Rule </w:t>
      </w:r>
      <w:r>
        <w:rPr>
          <w:spacing w:val="-4"/>
          <w:sz w:val="21"/>
        </w:rPr>
        <w:t>428 </w:t>
      </w:r>
      <w:r>
        <w:rPr>
          <w:sz w:val="21"/>
        </w:rPr>
        <w:t>of the </w:t>
      </w:r>
      <w:r>
        <w:rPr>
          <w:i/>
          <w:sz w:val="21"/>
        </w:rPr>
        <w:t>Uniform Civil Procedure Rules </w:t>
      </w:r>
      <w:r>
        <w:rPr>
          <w:i/>
          <w:spacing w:val="-5"/>
          <w:sz w:val="21"/>
        </w:rPr>
        <w:t>1999 </w:t>
      </w:r>
      <w:r>
        <w:rPr>
          <w:i/>
          <w:sz w:val="21"/>
        </w:rPr>
        <w:t>(Qld)</w:t>
      </w:r>
      <w:r>
        <w:rPr>
          <w:sz w:val="21"/>
        </w:rPr>
        <w:t>, </w:t>
      </w:r>
      <w:r>
        <w:rPr>
          <w:spacing w:val="-3"/>
          <w:sz w:val="21"/>
        </w:rPr>
        <w:t>containing </w:t>
      </w:r>
      <w:r>
        <w:rPr>
          <w:sz w:val="21"/>
        </w:rPr>
        <w:t>the same </w:t>
      </w:r>
      <w:r>
        <w:rPr>
          <w:spacing w:val="-3"/>
          <w:sz w:val="21"/>
        </w:rPr>
        <w:t>requirements </w:t>
      </w:r>
      <w:r>
        <w:rPr>
          <w:sz w:val="21"/>
        </w:rPr>
        <w:t>as under the NSW</w:t>
      </w:r>
      <w:r>
        <w:rPr>
          <w:spacing w:val="2"/>
          <w:sz w:val="21"/>
        </w:rPr>
        <w:t> </w:t>
      </w:r>
      <w:r>
        <w:rPr>
          <w:sz w:val="21"/>
        </w:rPr>
        <w:t>Act.</w:t>
      </w:r>
    </w:p>
    <w:p>
      <w:pPr>
        <w:pStyle w:val="Heading7"/>
        <w:spacing w:before="152"/>
      </w:pPr>
      <w:r>
        <w:rPr>
          <w:w w:val="115"/>
        </w:rPr>
        <w:t>Tasmania</w:t>
      </w:r>
    </w:p>
    <w:p>
      <w:pPr>
        <w:pStyle w:val="ListParagraph"/>
        <w:numPr>
          <w:ilvl w:val="1"/>
          <w:numId w:val="133"/>
        </w:numPr>
        <w:tabs>
          <w:tab w:pos="2381" w:val="left" w:leader="none"/>
          <w:tab w:pos="2382" w:val="left" w:leader="none"/>
        </w:tabs>
        <w:spacing w:line="242" w:lineRule="auto" w:before="143" w:after="0"/>
        <w:ind w:left="2381" w:right="2049" w:hanging="794"/>
        <w:jc w:val="left"/>
        <w:rPr>
          <w:sz w:val="21"/>
        </w:rPr>
      </w:pPr>
      <w:r>
        <w:rPr>
          <w:w w:val="105"/>
          <w:sz w:val="21"/>
        </w:rPr>
        <w:t>In </w:t>
      </w:r>
      <w:r>
        <w:rPr>
          <w:spacing w:val="-5"/>
          <w:w w:val="105"/>
          <w:sz w:val="21"/>
        </w:rPr>
        <w:t>Tasmania, </w:t>
      </w:r>
      <w:r>
        <w:rPr>
          <w:w w:val="105"/>
          <w:sz w:val="21"/>
        </w:rPr>
        <w:t>under section </w:t>
      </w:r>
      <w:r>
        <w:rPr>
          <w:spacing w:val="3"/>
          <w:w w:val="105"/>
          <w:sz w:val="21"/>
        </w:rPr>
        <w:t>33(6)(g) </w:t>
      </w:r>
      <w:r>
        <w:rPr>
          <w:w w:val="105"/>
          <w:sz w:val="21"/>
        </w:rPr>
        <w:t>of the </w:t>
      </w:r>
      <w:r>
        <w:rPr>
          <w:i/>
          <w:w w:val="105"/>
          <w:sz w:val="21"/>
        </w:rPr>
        <w:t>Neighbourhood </w:t>
      </w:r>
      <w:r>
        <w:rPr>
          <w:i/>
          <w:spacing w:val="-3"/>
          <w:w w:val="105"/>
          <w:sz w:val="21"/>
        </w:rPr>
        <w:t>Disputes </w:t>
      </w:r>
      <w:r>
        <w:rPr>
          <w:i/>
          <w:w w:val="105"/>
          <w:sz w:val="21"/>
        </w:rPr>
        <w:t>About Plants </w:t>
      </w:r>
      <w:r>
        <w:rPr>
          <w:i/>
          <w:w w:val="105"/>
          <w:sz w:val="21"/>
        </w:rPr>
        <w:t>Act </w:t>
      </w:r>
      <w:r>
        <w:rPr>
          <w:i/>
          <w:spacing w:val="-10"/>
          <w:w w:val="105"/>
          <w:sz w:val="21"/>
        </w:rPr>
        <w:t>2017 </w:t>
      </w:r>
      <w:r>
        <w:rPr>
          <w:spacing w:val="-2"/>
          <w:w w:val="105"/>
          <w:sz w:val="21"/>
        </w:rPr>
        <w:t>(Tas), </w:t>
      </w:r>
      <w:r>
        <w:rPr>
          <w:spacing w:val="-6"/>
          <w:w w:val="105"/>
          <w:sz w:val="21"/>
        </w:rPr>
        <w:t>RMPAT </w:t>
      </w:r>
      <w:r>
        <w:rPr>
          <w:spacing w:val="-3"/>
          <w:w w:val="105"/>
          <w:sz w:val="21"/>
        </w:rPr>
        <w:t>may </w:t>
      </w:r>
      <w:r>
        <w:rPr>
          <w:spacing w:val="-4"/>
          <w:w w:val="105"/>
          <w:sz w:val="21"/>
        </w:rPr>
        <w:t>make </w:t>
      </w:r>
      <w:r>
        <w:rPr>
          <w:w w:val="105"/>
          <w:sz w:val="21"/>
        </w:rPr>
        <w:t>an order </w:t>
      </w:r>
      <w:r>
        <w:rPr>
          <w:spacing w:val="-3"/>
          <w:w w:val="105"/>
          <w:sz w:val="21"/>
        </w:rPr>
        <w:t>requiring </w:t>
      </w:r>
      <w:r>
        <w:rPr>
          <w:w w:val="105"/>
          <w:sz w:val="21"/>
        </w:rPr>
        <w:t>a report </w:t>
      </w:r>
      <w:r>
        <w:rPr>
          <w:spacing w:val="-3"/>
          <w:w w:val="105"/>
          <w:sz w:val="21"/>
        </w:rPr>
        <w:t>to </w:t>
      </w:r>
      <w:r>
        <w:rPr>
          <w:w w:val="105"/>
          <w:sz w:val="21"/>
        </w:rPr>
        <w:t>be obtained </w:t>
      </w:r>
      <w:r>
        <w:rPr>
          <w:spacing w:val="-3"/>
          <w:w w:val="105"/>
          <w:sz w:val="21"/>
        </w:rPr>
        <w:t>from</w:t>
      </w:r>
      <w:r>
        <w:rPr>
          <w:spacing w:val="28"/>
          <w:w w:val="105"/>
          <w:sz w:val="21"/>
        </w:rPr>
        <w:t> </w:t>
      </w:r>
      <w:r>
        <w:rPr>
          <w:w w:val="105"/>
          <w:sz w:val="21"/>
        </w:rPr>
        <w:t>an</w:t>
      </w:r>
    </w:p>
    <w:p>
      <w:pPr>
        <w:pStyle w:val="BodyText"/>
        <w:spacing w:line="242" w:lineRule="auto" w:before="2"/>
        <w:ind w:left="2381" w:right="1636"/>
      </w:pPr>
      <w:r>
        <w:rPr/>
        <w:t>appropriately qualified arborist. No further information is provided about the qualification required of arborists.</w:t>
      </w:r>
    </w:p>
    <w:p>
      <w:pPr>
        <w:pStyle w:val="ListParagraph"/>
        <w:numPr>
          <w:ilvl w:val="1"/>
          <w:numId w:val="133"/>
        </w:numPr>
        <w:tabs>
          <w:tab w:pos="2381" w:val="left" w:leader="none"/>
          <w:tab w:pos="2382" w:val="left" w:leader="none"/>
        </w:tabs>
        <w:spacing w:line="242" w:lineRule="auto" w:before="123" w:after="0"/>
        <w:ind w:left="2381" w:right="1715" w:hanging="794"/>
        <w:jc w:val="left"/>
        <w:rPr>
          <w:sz w:val="12"/>
        </w:rPr>
      </w:pPr>
      <w:r>
        <w:rPr>
          <w:spacing w:val="-6"/>
          <w:w w:val="105"/>
          <w:sz w:val="21"/>
        </w:rPr>
        <w:t>RMPAT </w:t>
      </w:r>
      <w:r>
        <w:rPr>
          <w:spacing w:val="-3"/>
          <w:w w:val="105"/>
          <w:sz w:val="21"/>
        </w:rPr>
        <w:t>requires </w:t>
      </w:r>
      <w:r>
        <w:rPr>
          <w:w w:val="105"/>
          <w:sz w:val="21"/>
        </w:rPr>
        <w:t>experts </w:t>
      </w:r>
      <w:r>
        <w:rPr>
          <w:spacing w:val="-3"/>
          <w:w w:val="105"/>
          <w:sz w:val="21"/>
        </w:rPr>
        <w:t>to adhere to </w:t>
      </w:r>
      <w:r>
        <w:rPr>
          <w:w w:val="105"/>
          <w:sz w:val="21"/>
        </w:rPr>
        <w:t>a code of </w:t>
      </w:r>
      <w:r>
        <w:rPr>
          <w:spacing w:val="-4"/>
          <w:w w:val="105"/>
          <w:sz w:val="21"/>
        </w:rPr>
        <w:t>conduct.</w:t>
      </w:r>
      <w:r>
        <w:rPr>
          <w:spacing w:val="-4"/>
          <w:w w:val="105"/>
          <w:position w:val="7"/>
          <w:sz w:val="12"/>
        </w:rPr>
        <w:t>192 </w:t>
      </w:r>
      <w:r>
        <w:rPr>
          <w:w w:val="105"/>
          <w:sz w:val="21"/>
        </w:rPr>
        <w:t>It can direct experts </w:t>
      </w:r>
      <w:r>
        <w:rPr>
          <w:spacing w:val="-3"/>
          <w:w w:val="105"/>
          <w:sz w:val="21"/>
        </w:rPr>
        <w:t>to concur </w:t>
      </w:r>
      <w:r>
        <w:rPr>
          <w:w w:val="105"/>
          <w:sz w:val="21"/>
        </w:rPr>
        <w:t>and </w:t>
      </w:r>
      <w:r>
        <w:rPr>
          <w:spacing w:val="-3"/>
          <w:w w:val="105"/>
          <w:sz w:val="21"/>
        </w:rPr>
        <w:t>submit </w:t>
      </w:r>
      <w:r>
        <w:rPr>
          <w:w w:val="105"/>
          <w:sz w:val="21"/>
        </w:rPr>
        <w:t>a </w:t>
      </w:r>
      <w:r>
        <w:rPr>
          <w:spacing w:val="-3"/>
          <w:w w:val="105"/>
          <w:sz w:val="21"/>
        </w:rPr>
        <w:t>joint</w:t>
      </w:r>
      <w:r>
        <w:rPr>
          <w:spacing w:val="24"/>
          <w:w w:val="105"/>
          <w:sz w:val="21"/>
        </w:rPr>
        <w:t> </w:t>
      </w:r>
      <w:r>
        <w:rPr>
          <w:spacing w:val="-4"/>
          <w:w w:val="105"/>
          <w:sz w:val="21"/>
        </w:rPr>
        <w:t>report.</w:t>
      </w:r>
      <w:r>
        <w:rPr>
          <w:spacing w:val="-4"/>
          <w:w w:val="105"/>
          <w:position w:val="7"/>
          <w:sz w:val="12"/>
        </w:rPr>
        <w:t>193</w:t>
      </w:r>
    </w:p>
    <w:p>
      <w:pPr>
        <w:pStyle w:val="ListParagraph"/>
        <w:numPr>
          <w:ilvl w:val="1"/>
          <w:numId w:val="133"/>
        </w:numPr>
        <w:tabs>
          <w:tab w:pos="2381" w:val="left" w:leader="none"/>
          <w:tab w:pos="2382" w:val="left" w:leader="none"/>
        </w:tabs>
        <w:spacing w:line="242" w:lineRule="auto" w:before="122" w:after="0"/>
        <w:ind w:left="2381" w:right="1767" w:hanging="794"/>
        <w:jc w:val="left"/>
        <w:rPr>
          <w:sz w:val="21"/>
        </w:rPr>
      </w:pPr>
      <w:r>
        <w:rPr>
          <w:w w:val="105"/>
          <w:sz w:val="21"/>
        </w:rPr>
        <w:t>Expert</w:t>
      </w:r>
      <w:r>
        <w:rPr>
          <w:spacing w:val="-10"/>
          <w:w w:val="105"/>
          <w:sz w:val="21"/>
        </w:rPr>
        <w:t> </w:t>
      </w:r>
      <w:r>
        <w:rPr>
          <w:w w:val="105"/>
          <w:sz w:val="21"/>
        </w:rPr>
        <w:t>reports</w:t>
      </w:r>
      <w:r>
        <w:rPr>
          <w:spacing w:val="-9"/>
          <w:w w:val="105"/>
          <w:sz w:val="21"/>
        </w:rPr>
        <w:t> </w:t>
      </w:r>
      <w:r>
        <w:rPr>
          <w:w w:val="105"/>
          <w:sz w:val="21"/>
        </w:rPr>
        <w:t>must</w:t>
      </w:r>
      <w:r>
        <w:rPr>
          <w:spacing w:val="-10"/>
          <w:w w:val="105"/>
          <w:sz w:val="21"/>
        </w:rPr>
        <w:t> </w:t>
      </w:r>
      <w:r>
        <w:rPr>
          <w:spacing w:val="-3"/>
          <w:w w:val="105"/>
          <w:sz w:val="21"/>
        </w:rPr>
        <w:t>contain</w:t>
      </w:r>
      <w:r>
        <w:rPr>
          <w:spacing w:val="-10"/>
          <w:w w:val="105"/>
          <w:sz w:val="21"/>
        </w:rPr>
        <w:t> </w:t>
      </w:r>
      <w:r>
        <w:rPr>
          <w:w w:val="105"/>
          <w:sz w:val="21"/>
        </w:rPr>
        <w:t>certain</w:t>
      </w:r>
      <w:r>
        <w:rPr>
          <w:spacing w:val="-9"/>
          <w:w w:val="105"/>
          <w:sz w:val="21"/>
        </w:rPr>
        <w:t> </w:t>
      </w:r>
      <w:r>
        <w:rPr>
          <w:spacing w:val="-3"/>
          <w:w w:val="105"/>
          <w:sz w:val="21"/>
        </w:rPr>
        <w:t>information</w:t>
      </w:r>
      <w:r>
        <w:rPr>
          <w:spacing w:val="-10"/>
          <w:w w:val="105"/>
          <w:sz w:val="21"/>
        </w:rPr>
        <w:t> </w:t>
      </w:r>
      <w:r>
        <w:rPr>
          <w:w w:val="105"/>
          <w:sz w:val="21"/>
        </w:rPr>
        <w:t>as</w:t>
      </w:r>
      <w:r>
        <w:rPr>
          <w:spacing w:val="-9"/>
          <w:w w:val="105"/>
          <w:sz w:val="21"/>
        </w:rPr>
        <w:t> </w:t>
      </w:r>
      <w:r>
        <w:rPr>
          <w:w w:val="105"/>
          <w:sz w:val="21"/>
        </w:rPr>
        <w:t>set</w:t>
      </w:r>
      <w:r>
        <w:rPr>
          <w:spacing w:val="-10"/>
          <w:w w:val="105"/>
          <w:sz w:val="21"/>
        </w:rPr>
        <w:t> </w:t>
      </w:r>
      <w:r>
        <w:rPr>
          <w:w w:val="105"/>
          <w:sz w:val="21"/>
        </w:rPr>
        <w:t>out</w:t>
      </w:r>
      <w:r>
        <w:rPr>
          <w:spacing w:val="-9"/>
          <w:w w:val="105"/>
          <w:sz w:val="21"/>
        </w:rPr>
        <w:t> </w:t>
      </w:r>
      <w:r>
        <w:rPr>
          <w:w w:val="105"/>
          <w:sz w:val="21"/>
        </w:rPr>
        <w:t>in</w:t>
      </w:r>
      <w:r>
        <w:rPr>
          <w:spacing w:val="-10"/>
          <w:w w:val="105"/>
          <w:sz w:val="21"/>
        </w:rPr>
        <w:t> </w:t>
      </w:r>
      <w:r>
        <w:rPr>
          <w:w w:val="105"/>
          <w:sz w:val="21"/>
        </w:rPr>
        <w:t>a</w:t>
      </w:r>
      <w:r>
        <w:rPr>
          <w:spacing w:val="-9"/>
          <w:w w:val="105"/>
          <w:sz w:val="21"/>
        </w:rPr>
        <w:t> </w:t>
      </w:r>
      <w:r>
        <w:rPr>
          <w:spacing w:val="-6"/>
          <w:w w:val="105"/>
          <w:sz w:val="21"/>
        </w:rPr>
        <w:t>RMPAT</w:t>
      </w:r>
      <w:r>
        <w:rPr>
          <w:spacing w:val="-10"/>
          <w:w w:val="105"/>
          <w:sz w:val="21"/>
        </w:rPr>
        <w:t> </w:t>
      </w:r>
      <w:r>
        <w:rPr>
          <w:w w:val="105"/>
          <w:sz w:val="21"/>
        </w:rPr>
        <w:t>Practice</w:t>
      </w:r>
      <w:r>
        <w:rPr>
          <w:spacing w:val="-9"/>
          <w:w w:val="105"/>
          <w:sz w:val="21"/>
        </w:rPr>
        <w:t> </w:t>
      </w:r>
      <w:r>
        <w:rPr>
          <w:w w:val="105"/>
          <w:sz w:val="21"/>
        </w:rPr>
        <w:t>Direction </w:t>
      </w:r>
      <w:r>
        <w:rPr>
          <w:spacing w:val="-3"/>
          <w:w w:val="105"/>
          <w:sz w:val="21"/>
        </w:rPr>
        <w:t>governing </w:t>
      </w:r>
      <w:r>
        <w:rPr>
          <w:w w:val="105"/>
          <w:sz w:val="21"/>
        </w:rPr>
        <w:t>the giving of evidence by expert </w:t>
      </w:r>
      <w:r>
        <w:rPr>
          <w:spacing w:val="-3"/>
          <w:w w:val="105"/>
          <w:sz w:val="21"/>
        </w:rPr>
        <w:t>witnesses.</w:t>
      </w:r>
      <w:r>
        <w:rPr>
          <w:spacing w:val="-3"/>
          <w:w w:val="105"/>
          <w:position w:val="7"/>
          <w:sz w:val="12"/>
        </w:rPr>
        <w:t>194 </w:t>
      </w:r>
      <w:r>
        <w:rPr>
          <w:w w:val="105"/>
          <w:sz w:val="21"/>
        </w:rPr>
        <w:t>This </w:t>
      </w:r>
      <w:r>
        <w:rPr>
          <w:spacing w:val="-3"/>
          <w:w w:val="105"/>
          <w:sz w:val="21"/>
        </w:rPr>
        <w:t>information </w:t>
      </w:r>
      <w:r>
        <w:rPr>
          <w:w w:val="105"/>
          <w:sz w:val="21"/>
        </w:rPr>
        <w:t>is the same as </w:t>
      </w:r>
      <w:r>
        <w:rPr>
          <w:spacing w:val="-3"/>
          <w:w w:val="105"/>
          <w:sz w:val="21"/>
        </w:rPr>
        <w:t>that required </w:t>
      </w:r>
      <w:r>
        <w:rPr>
          <w:w w:val="105"/>
          <w:sz w:val="21"/>
        </w:rPr>
        <w:t>by the NSWLEC and</w:t>
      </w:r>
      <w:r>
        <w:rPr>
          <w:spacing w:val="40"/>
          <w:w w:val="105"/>
          <w:sz w:val="21"/>
        </w:rPr>
        <w:t> </w:t>
      </w:r>
      <w:r>
        <w:rPr>
          <w:spacing w:val="-7"/>
          <w:w w:val="105"/>
          <w:sz w:val="21"/>
        </w:rPr>
        <w:t>QCAT.</w:t>
      </w:r>
    </w:p>
    <w:p>
      <w:pPr>
        <w:pStyle w:val="BodyText"/>
        <w:spacing w:before="10"/>
      </w:pPr>
    </w:p>
    <w:p>
      <w:pPr>
        <w:pStyle w:val="Heading4"/>
      </w:pPr>
      <w:r>
        <w:rPr>
          <w:color w:val="658464"/>
          <w:w w:val="110"/>
        </w:rPr>
        <w:t>Community responses—expert evidence</w:t>
      </w:r>
    </w:p>
    <w:p>
      <w:pPr>
        <w:pStyle w:val="ListParagraph"/>
        <w:numPr>
          <w:ilvl w:val="1"/>
          <w:numId w:val="133"/>
        </w:numPr>
        <w:tabs>
          <w:tab w:pos="2381" w:val="left" w:leader="none"/>
          <w:tab w:pos="2382" w:val="left" w:leader="none"/>
        </w:tabs>
        <w:spacing w:line="242" w:lineRule="auto" w:before="155" w:after="0"/>
        <w:ind w:left="2381" w:right="2049" w:hanging="794"/>
        <w:jc w:val="left"/>
        <w:rPr>
          <w:sz w:val="21"/>
        </w:rPr>
      </w:pPr>
      <w:r>
        <w:rPr>
          <w:w w:val="105"/>
          <w:sz w:val="21"/>
        </w:rPr>
        <w:t>There</w:t>
      </w:r>
      <w:r>
        <w:rPr>
          <w:spacing w:val="-10"/>
          <w:w w:val="105"/>
          <w:sz w:val="21"/>
        </w:rPr>
        <w:t> </w:t>
      </w:r>
      <w:r>
        <w:rPr>
          <w:w w:val="105"/>
          <w:sz w:val="21"/>
        </w:rPr>
        <w:t>was</w:t>
      </w:r>
      <w:r>
        <w:rPr>
          <w:spacing w:val="-9"/>
          <w:w w:val="105"/>
          <w:sz w:val="21"/>
        </w:rPr>
        <w:t> </w:t>
      </w:r>
      <w:r>
        <w:rPr>
          <w:w w:val="105"/>
          <w:sz w:val="21"/>
        </w:rPr>
        <w:t>broad</w:t>
      </w:r>
      <w:r>
        <w:rPr>
          <w:spacing w:val="-10"/>
          <w:w w:val="105"/>
          <w:sz w:val="21"/>
        </w:rPr>
        <w:t> </w:t>
      </w:r>
      <w:r>
        <w:rPr>
          <w:w w:val="105"/>
          <w:sz w:val="21"/>
        </w:rPr>
        <w:t>community</w:t>
      </w:r>
      <w:r>
        <w:rPr>
          <w:spacing w:val="-9"/>
          <w:w w:val="105"/>
          <w:sz w:val="21"/>
        </w:rPr>
        <w:t> </w:t>
      </w:r>
      <w:r>
        <w:rPr>
          <w:w w:val="105"/>
          <w:sz w:val="21"/>
        </w:rPr>
        <w:t>support</w:t>
      </w:r>
      <w:r>
        <w:rPr>
          <w:spacing w:val="-10"/>
          <w:w w:val="105"/>
          <w:sz w:val="21"/>
        </w:rPr>
        <w:t> </w:t>
      </w:r>
      <w:r>
        <w:rPr>
          <w:spacing w:val="-3"/>
          <w:w w:val="105"/>
          <w:sz w:val="21"/>
        </w:rPr>
        <w:t>for</w:t>
      </w:r>
      <w:r>
        <w:rPr>
          <w:spacing w:val="-9"/>
          <w:w w:val="105"/>
          <w:sz w:val="21"/>
        </w:rPr>
        <w:t> </w:t>
      </w:r>
      <w:r>
        <w:rPr>
          <w:w w:val="105"/>
          <w:sz w:val="21"/>
        </w:rPr>
        <w:t>tree</w:t>
      </w:r>
      <w:r>
        <w:rPr>
          <w:spacing w:val="-10"/>
          <w:w w:val="105"/>
          <w:sz w:val="21"/>
        </w:rPr>
        <w:t> </w:t>
      </w:r>
      <w:r>
        <w:rPr>
          <w:spacing w:val="-3"/>
          <w:w w:val="105"/>
          <w:sz w:val="21"/>
        </w:rPr>
        <w:t>dispute</w:t>
      </w:r>
      <w:r>
        <w:rPr>
          <w:spacing w:val="-9"/>
          <w:w w:val="105"/>
          <w:sz w:val="21"/>
        </w:rPr>
        <w:t> </w:t>
      </w:r>
      <w:r>
        <w:rPr>
          <w:w w:val="105"/>
          <w:sz w:val="21"/>
        </w:rPr>
        <w:t>decisions</w:t>
      </w:r>
      <w:r>
        <w:rPr>
          <w:spacing w:val="-10"/>
          <w:w w:val="105"/>
          <w:sz w:val="21"/>
        </w:rPr>
        <w:t> </w:t>
      </w:r>
      <w:r>
        <w:rPr>
          <w:spacing w:val="-3"/>
          <w:w w:val="105"/>
          <w:sz w:val="21"/>
        </w:rPr>
        <w:t>to</w:t>
      </w:r>
      <w:r>
        <w:rPr>
          <w:spacing w:val="-9"/>
          <w:w w:val="105"/>
          <w:sz w:val="21"/>
        </w:rPr>
        <w:t> </w:t>
      </w:r>
      <w:r>
        <w:rPr>
          <w:w w:val="105"/>
          <w:sz w:val="21"/>
        </w:rPr>
        <w:t>be</w:t>
      </w:r>
      <w:r>
        <w:rPr>
          <w:spacing w:val="-10"/>
          <w:w w:val="105"/>
          <w:sz w:val="21"/>
        </w:rPr>
        <w:t> </w:t>
      </w:r>
      <w:r>
        <w:rPr>
          <w:spacing w:val="-3"/>
          <w:w w:val="105"/>
          <w:sz w:val="21"/>
        </w:rPr>
        <w:t>underpinned</w:t>
      </w:r>
      <w:r>
        <w:rPr>
          <w:spacing w:val="-9"/>
          <w:w w:val="105"/>
          <w:sz w:val="21"/>
        </w:rPr>
        <w:t> </w:t>
      </w:r>
      <w:r>
        <w:rPr>
          <w:w w:val="105"/>
          <w:sz w:val="21"/>
        </w:rPr>
        <w:t>by expert </w:t>
      </w:r>
      <w:r>
        <w:rPr>
          <w:spacing w:val="-4"/>
          <w:w w:val="105"/>
          <w:sz w:val="21"/>
        </w:rPr>
        <w:t>evidence.</w:t>
      </w:r>
      <w:r>
        <w:rPr>
          <w:spacing w:val="-4"/>
          <w:w w:val="105"/>
          <w:position w:val="7"/>
          <w:sz w:val="12"/>
        </w:rPr>
        <w:t>195 </w:t>
      </w:r>
      <w:r>
        <w:rPr>
          <w:w w:val="105"/>
          <w:sz w:val="21"/>
        </w:rPr>
        <w:t>Dr Gregory Moore OAM explained</w:t>
      </w:r>
      <w:r>
        <w:rPr>
          <w:spacing w:val="28"/>
          <w:w w:val="105"/>
          <w:sz w:val="21"/>
        </w:rPr>
        <w:t> </w:t>
      </w:r>
      <w:r>
        <w:rPr>
          <w:w w:val="105"/>
          <w:sz w:val="21"/>
        </w:rPr>
        <w:t>that:</w:t>
      </w:r>
    </w:p>
    <w:p>
      <w:pPr>
        <w:spacing w:line="254" w:lineRule="auto" w:before="132"/>
        <w:ind w:left="2834" w:right="1810" w:firstLine="0"/>
        <w:jc w:val="left"/>
        <w:rPr>
          <w:sz w:val="20"/>
        </w:rPr>
      </w:pPr>
      <w:r>
        <w:rPr>
          <w:spacing w:val="-5"/>
          <w:sz w:val="20"/>
        </w:rPr>
        <w:t>Too </w:t>
      </w:r>
      <w:r>
        <w:rPr>
          <w:sz w:val="20"/>
        </w:rPr>
        <w:t>often trees are assumed to be causing problems to infrastructure but there are no  data to support the assumptions or assertions made. If for example tree roots are said to be</w:t>
      </w:r>
      <w:r>
        <w:rPr>
          <w:spacing w:val="15"/>
          <w:sz w:val="20"/>
        </w:rPr>
        <w:t> </w:t>
      </w:r>
      <w:r>
        <w:rPr>
          <w:sz w:val="20"/>
        </w:rPr>
        <w:t>damaging</w:t>
      </w:r>
      <w:r>
        <w:rPr>
          <w:spacing w:val="15"/>
          <w:sz w:val="20"/>
        </w:rPr>
        <w:t> </w:t>
      </w:r>
      <w:r>
        <w:rPr>
          <w:spacing w:val="-3"/>
          <w:sz w:val="20"/>
        </w:rPr>
        <w:t>infrastructure,</w:t>
      </w:r>
      <w:r>
        <w:rPr>
          <w:spacing w:val="16"/>
          <w:sz w:val="20"/>
        </w:rPr>
        <w:t> </w:t>
      </w:r>
      <w:r>
        <w:rPr>
          <w:sz w:val="20"/>
        </w:rPr>
        <w:t>there</w:t>
      </w:r>
      <w:r>
        <w:rPr>
          <w:spacing w:val="15"/>
          <w:sz w:val="20"/>
        </w:rPr>
        <w:t> </w:t>
      </w:r>
      <w:r>
        <w:rPr>
          <w:sz w:val="20"/>
        </w:rPr>
        <w:t>should</w:t>
      </w:r>
      <w:r>
        <w:rPr>
          <w:spacing w:val="16"/>
          <w:sz w:val="20"/>
        </w:rPr>
        <w:t> </w:t>
      </w:r>
      <w:r>
        <w:rPr>
          <w:sz w:val="20"/>
        </w:rPr>
        <w:t>be</w:t>
      </w:r>
      <w:r>
        <w:rPr>
          <w:spacing w:val="15"/>
          <w:sz w:val="20"/>
        </w:rPr>
        <w:t> </w:t>
      </w:r>
      <w:r>
        <w:rPr>
          <w:sz w:val="20"/>
        </w:rPr>
        <w:t>some</w:t>
      </w:r>
      <w:r>
        <w:rPr>
          <w:spacing w:val="15"/>
          <w:sz w:val="20"/>
        </w:rPr>
        <w:t> </w:t>
      </w:r>
      <w:r>
        <w:rPr>
          <w:sz w:val="20"/>
        </w:rPr>
        <w:t>evidence</w:t>
      </w:r>
      <w:r>
        <w:rPr>
          <w:spacing w:val="16"/>
          <w:sz w:val="20"/>
        </w:rPr>
        <w:t> </w:t>
      </w:r>
      <w:r>
        <w:rPr>
          <w:sz w:val="20"/>
        </w:rPr>
        <w:t>that</w:t>
      </w:r>
      <w:r>
        <w:rPr>
          <w:spacing w:val="15"/>
          <w:sz w:val="20"/>
        </w:rPr>
        <w:t> </w:t>
      </w:r>
      <w:r>
        <w:rPr>
          <w:sz w:val="20"/>
        </w:rPr>
        <w:t>the</w:t>
      </w:r>
      <w:r>
        <w:rPr>
          <w:spacing w:val="16"/>
          <w:sz w:val="20"/>
        </w:rPr>
        <w:t> </w:t>
      </w:r>
      <w:r>
        <w:rPr>
          <w:sz w:val="20"/>
        </w:rPr>
        <w:t>roots</w:t>
      </w:r>
      <w:r>
        <w:rPr>
          <w:spacing w:val="15"/>
          <w:sz w:val="20"/>
        </w:rPr>
        <w:t> </w:t>
      </w:r>
      <w:r>
        <w:rPr>
          <w:sz w:val="20"/>
        </w:rPr>
        <w:t>of</w:t>
      </w:r>
      <w:r>
        <w:rPr>
          <w:spacing w:val="15"/>
          <w:sz w:val="20"/>
        </w:rPr>
        <w:t> </w:t>
      </w:r>
      <w:r>
        <w:rPr>
          <w:sz w:val="20"/>
        </w:rPr>
        <w:t>the</w:t>
      </w:r>
      <w:r>
        <w:rPr>
          <w:spacing w:val="16"/>
          <w:sz w:val="20"/>
        </w:rPr>
        <w:t> </w:t>
      </w:r>
      <w:r>
        <w:rPr>
          <w:sz w:val="20"/>
        </w:rPr>
        <w:t>said</w:t>
      </w:r>
    </w:p>
    <w:p>
      <w:pPr>
        <w:pStyle w:val="BodyText"/>
        <w:rPr>
          <w:sz w:val="20"/>
        </w:rPr>
      </w:pPr>
    </w:p>
    <w:p>
      <w:pPr>
        <w:pStyle w:val="BodyText"/>
        <w:rPr>
          <w:sz w:val="20"/>
        </w:rPr>
      </w:pPr>
    </w:p>
    <w:p>
      <w:pPr>
        <w:pStyle w:val="BodyText"/>
        <w:spacing w:before="12"/>
        <w:rPr>
          <w:sz w:val="19"/>
        </w:rPr>
      </w:pPr>
      <w:r>
        <w:rPr/>
        <w:pict>
          <v:line style="position:absolute;mso-position-horizontal-relative:page;mso-position-vertical-relative:paragraph;z-index:8072;mso-wrap-distance-left:0;mso-wrap-distance-right:0" from="79.370102pt,14.64771pt" to="515.905102pt,14.64771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05"/>
        <w:ind w:left="720" w:right="0" w:firstLine="0"/>
        <w:jc w:val="left"/>
        <w:rPr>
          <w:b/>
          <w:sz w:val="24"/>
        </w:rPr>
      </w:pPr>
      <w:r>
        <w:rPr>
          <w:b/>
          <w:color w:val="658464"/>
          <w:spacing w:val="-1"/>
          <w:w w:val="110"/>
          <w:sz w:val="24"/>
        </w:rPr>
        <w:t>184</w:t>
      </w:r>
    </w:p>
    <w:p>
      <w:pPr>
        <w:tabs>
          <w:tab w:pos="1221" w:val="left" w:leader="none"/>
        </w:tabs>
        <w:spacing w:before="48"/>
        <w:ind w:left="428" w:right="2991" w:hanging="1"/>
        <w:jc w:val="left"/>
        <w:rPr>
          <w:sz w:val="13"/>
        </w:rPr>
      </w:pPr>
      <w:r>
        <w:rPr/>
        <w:br w:type="column"/>
      </w:r>
      <w:r>
        <w:rPr>
          <w:w w:val="105"/>
          <w:sz w:val="13"/>
        </w:rPr>
        <w:t>183</w:t>
        <w:tab/>
        <w:t>An AQF Level 5 arborist with 5 years of experience: Consultation </w:t>
      </w:r>
      <w:r>
        <w:rPr>
          <w:spacing w:val="-3"/>
          <w:w w:val="105"/>
          <w:sz w:val="13"/>
        </w:rPr>
        <w:t>15 </w:t>
      </w:r>
      <w:r>
        <w:rPr>
          <w:w w:val="105"/>
          <w:sz w:val="13"/>
        </w:rPr>
        <w:t>(Queensland Civil and Administrative Tribunal). 184</w:t>
        <w:tab/>
        <w:t>Consultation </w:t>
      </w:r>
      <w:r>
        <w:rPr>
          <w:spacing w:val="-3"/>
          <w:w w:val="105"/>
          <w:sz w:val="13"/>
        </w:rPr>
        <w:t>15 </w:t>
      </w:r>
      <w:r>
        <w:rPr>
          <w:w w:val="105"/>
          <w:sz w:val="13"/>
        </w:rPr>
        <w:t>(Queensland Civil and Administrative Tribunal).</w:t>
      </w:r>
    </w:p>
    <w:p>
      <w:pPr>
        <w:pStyle w:val="ListParagraph"/>
        <w:numPr>
          <w:ilvl w:val="0"/>
          <w:numId w:val="137"/>
        </w:numPr>
        <w:tabs>
          <w:tab w:pos="1221" w:val="left" w:leader="none"/>
          <w:tab w:pos="1223" w:val="left" w:leader="none"/>
        </w:tabs>
        <w:spacing w:line="240" w:lineRule="auto" w:before="3" w:after="0"/>
        <w:ind w:left="1222" w:right="1735" w:hanging="794"/>
        <w:jc w:val="left"/>
        <w:rPr>
          <w:sz w:val="13"/>
        </w:rPr>
      </w:pPr>
      <w:r>
        <w:rPr>
          <w:w w:val="105"/>
          <w:sz w:val="13"/>
        </w:rPr>
        <w:t>Queensland Civil and Administrative Tribunal, </w:t>
      </w:r>
      <w:r>
        <w:rPr>
          <w:i/>
          <w:w w:val="105"/>
          <w:sz w:val="13"/>
        </w:rPr>
        <w:t>Practice Direction No 7 of 2013</w:t>
      </w:r>
      <w:r>
        <w:rPr>
          <w:w w:val="105"/>
          <w:sz w:val="13"/>
        </w:rPr>
        <w:t>: </w:t>
      </w:r>
      <w:r>
        <w:rPr>
          <w:i/>
          <w:w w:val="105"/>
          <w:sz w:val="13"/>
        </w:rPr>
        <w:t>Arrangements for Applications for Orders to Resolve Other </w:t>
      </w:r>
      <w:r>
        <w:rPr>
          <w:i/>
          <w:w w:val="105"/>
          <w:sz w:val="13"/>
        </w:rPr>
        <w:t>Issues About Trees</w:t>
      </w:r>
      <w:r>
        <w:rPr>
          <w:w w:val="105"/>
          <w:sz w:val="13"/>
        </w:rPr>
        <w:t>,</w:t>
      </w:r>
      <w:r>
        <w:rPr>
          <w:spacing w:val="14"/>
          <w:w w:val="105"/>
          <w:sz w:val="13"/>
        </w:rPr>
        <w:t> </w:t>
      </w:r>
      <w:r>
        <w:rPr>
          <w:spacing w:val="-3"/>
          <w:w w:val="105"/>
          <w:sz w:val="13"/>
        </w:rPr>
        <w:t>2013.</w:t>
      </w:r>
    </w:p>
    <w:p>
      <w:pPr>
        <w:pStyle w:val="ListParagraph"/>
        <w:numPr>
          <w:ilvl w:val="0"/>
          <w:numId w:val="137"/>
        </w:numPr>
        <w:tabs>
          <w:tab w:pos="1221" w:val="left" w:leader="none"/>
          <w:tab w:pos="1223" w:val="left" w:leader="none"/>
        </w:tabs>
        <w:spacing w:line="240" w:lineRule="auto" w:before="2" w:after="0"/>
        <w:ind w:left="1222" w:right="1759" w:hanging="794"/>
        <w:jc w:val="left"/>
        <w:rPr>
          <w:sz w:val="13"/>
        </w:rPr>
      </w:pPr>
      <w:r>
        <w:rPr>
          <w:w w:val="105"/>
          <w:sz w:val="13"/>
        </w:rPr>
        <w:t>An AQF Level 5 arborist with 5 years of experience: Consultation </w:t>
      </w:r>
      <w:r>
        <w:rPr>
          <w:spacing w:val="-3"/>
          <w:w w:val="105"/>
          <w:sz w:val="13"/>
        </w:rPr>
        <w:t>15 </w:t>
      </w:r>
      <w:r>
        <w:rPr>
          <w:w w:val="105"/>
          <w:sz w:val="13"/>
        </w:rPr>
        <w:t>(Queensland Civil and Administrative Tribunal); Queensland Civil and Administrative Tribunal, </w:t>
      </w:r>
      <w:r>
        <w:rPr>
          <w:i/>
          <w:w w:val="105"/>
          <w:sz w:val="13"/>
        </w:rPr>
        <w:t>Practice Direction No 7 of </w:t>
      </w:r>
      <w:r>
        <w:rPr>
          <w:i/>
          <w:spacing w:val="-2"/>
          <w:w w:val="105"/>
          <w:sz w:val="13"/>
        </w:rPr>
        <w:t>2013: </w:t>
      </w:r>
      <w:r>
        <w:rPr>
          <w:i/>
          <w:w w:val="105"/>
          <w:sz w:val="13"/>
        </w:rPr>
        <w:t>Arrangements for Applications for Orders to Resolve Other Issues About Trees, </w:t>
      </w:r>
      <w:r>
        <w:rPr>
          <w:spacing w:val="-3"/>
          <w:w w:val="105"/>
          <w:sz w:val="13"/>
        </w:rPr>
        <w:t>2013,</w:t>
      </w:r>
      <w:r>
        <w:rPr>
          <w:spacing w:val="4"/>
          <w:w w:val="105"/>
          <w:sz w:val="13"/>
        </w:rPr>
        <w:t> </w:t>
      </w:r>
      <w:r>
        <w:rPr>
          <w:spacing w:val="-3"/>
          <w:w w:val="105"/>
          <w:sz w:val="13"/>
        </w:rPr>
        <w:t>1.</w:t>
      </w:r>
    </w:p>
    <w:p>
      <w:pPr>
        <w:pStyle w:val="ListParagraph"/>
        <w:numPr>
          <w:ilvl w:val="0"/>
          <w:numId w:val="137"/>
        </w:numPr>
        <w:tabs>
          <w:tab w:pos="1221" w:val="left" w:leader="none"/>
          <w:tab w:pos="1223" w:val="left" w:leader="none"/>
        </w:tabs>
        <w:spacing w:line="240" w:lineRule="auto" w:before="4" w:after="0"/>
        <w:ind w:left="1222" w:right="1738" w:hanging="794"/>
        <w:jc w:val="left"/>
        <w:rPr>
          <w:sz w:val="13"/>
        </w:rPr>
      </w:pPr>
      <w:r>
        <w:rPr>
          <w:w w:val="105"/>
          <w:sz w:val="13"/>
        </w:rPr>
        <w:t>Queensland Civil and Administrative Tribunal, </w:t>
      </w:r>
      <w:r>
        <w:rPr>
          <w:i/>
          <w:w w:val="105"/>
          <w:sz w:val="13"/>
        </w:rPr>
        <w:t>Practice Direction No 7 of </w:t>
      </w:r>
      <w:r>
        <w:rPr>
          <w:i/>
          <w:spacing w:val="-2"/>
          <w:w w:val="105"/>
          <w:sz w:val="13"/>
        </w:rPr>
        <w:t>2013: </w:t>
      </w:r>
      <w:r>
        <w:rPr>
          <w:i/>
          <w:w w:val="105"/>
          <w:sz w:val="13"/>
        </w:rPr>
        <w:t>Arrangements for Applications for Orders to Resolve Other </w:t>
      </w:r>
      <w:r>
        <w:rPr>
          <w:i/>
          <w:w w:val="105"/>
          <w:sz w:val="13"/>
        </w:rPr>
        <w:t>Issues About Trees, </w:t>
      </w:r>
      <w:r>
        <w:rPr>
          <w:spacing w:val="-3"/>
          <w:w w:val="105"/>
          <w:sz w:val="13"/>
        </w:rPr>
        <w:t>2013,</w:t>
      </w:r>
      <w:r>
        <w:rPr>
          <w:spacing w:val="18"/>
          <w:w w:val="105"/>
          <w:sz w:val="13"/>
        </w:rPr>
        <w:t> </w:t>
      </w:r>
      <w:r>
        <w:rPr>
          <w:w w:val="105"/>
          <w:sz w:val="13"/>
        </w:rPr>
        <w:t>2.</w:t>
      </w:r>
    </w:p>
    <w:p>
      <w:pPr>
        <w:pStyle w:val="ListParagraph"/>
        <w:numPr>
          <w:ilvl w:val="0"/>
          <w:numId w:val="137"/>
        </w:numPr>
        <w:tabs>
          <w:tab w:pos="1221" w:val="left" w:leader="none"/>
          <w:tab w:pos="1223" w:val="left" w:leader="none"/>
        </w:tabs>
        <w:spacing w:line="240" w:lineRule="auto" w:before="3" w:after="0"/>
        <w:ind w:left="1222" w:right="0" w:hanging="794"/>
        <w:jc w:val="left"/>
        <w:rPr>
          <w:sz w:val="13"/>
        </w:rPr>
      </w:pPr>
      <w:r>
        <w:rPr>
          <w:sz w:val="13"/>
        </w:rPr>
        <w:t>This</w:t>
      </w:r>
      <w:r>
        <w:rPr>
          <w:spacing w:val="9"/>
          <w:sz w:val="13"/>
        </w:rPr>
        <w:t> </w:t>
      </w:r>
      <w:r>
        <w:rPr>
          <w:sz w:val="13"/>
        </w:rPr>
        <w:t>is</w:t>
      </w:r>
      <w:r>
        <w:rPr>
          <w:spacing w:val="10"/>
          <w:sz w:val="13"/>
        </w:rPr>
        <w:t> </w:t>
      </w:r>
      <w:r>
        <w:rPr>
          <w:sz w:val="13"/>
        </w:rPr>
        <w:t>a</w:t>
      </w:r>
      <w:r>
        <w:rPr>
          <w:spacing w:val="10"/>
          <w:sz w:val="13"/>
        </w:rPr>
        <w:t> </w:t>
      </w:r>
      <w:r>
        <w:rPr>
          <w:sz w:val="13"/>
        </w:rPr>
        <w:t>private</w:t>
      </w:r>
      <w:r>
        <w:rPr>
          <w:spacing w:val="10"/>
          <w:sz w:val="13"/>
        </w:rPr>
        <w:t> </w:t>
      </w:r>
      <w:r>
        <w:rPr>
          <w:sz w:val="13"/>
        </w:rPr>
        <w:t>meeting</w:t>
      </w:r>
      <w:r>
        <w:rPr>
          <w:spacing w:val="10"/>
          <w:sz w:val="13"/>
        </w:rPr>
        <w:t> </w:t>
      </w:r>
      <w:r>
        <w:rPr>
          <w:sz w:val="13"/>
        </w:rPr>
        <w:t>between</w:t>
      </w:r>
      <w:r>
        <w:rPr>
          <w:spacing w:val="9"/>
          <w:sz w:val="13"/>
        </w:rPr>
        <w:t> </w:t>
      </w:r>
      <w:r>
        <w:rPr>
          <w:sz w:val="13"/>
        </w:rPr>
        <w:t>the</w:t>
      </w:r>
      <w:r>
        <w:rPr>
          <w:spacing w:val="10"/>
          <w:sz w:val="13"/>
        </w:rPr>
        <w:t> </w:t>
      </w:r>
      <w:r>
        <w:rPr>
          <w:spacing w:val="2"/>
          <w:sz w:val="13"/>
        </w:rPr>
        <w:t>experts,</w:t>
      </w:r>
      <w:r>
        <w:rPr>
          <w:spacing w:val="10"/>
          <w:sz w:val="13"/>
        </w:rPr>
        <w:t> </w:t>
      </w:r>
      <w:r>
        <w:rPr>
          <w:sz w:val="13"/>
        </w:rPr>
        <w:t>chaired</w:t>
      </w:r>
      <w:r>
        <w:rPr>
          <w:spacing w:val="10"/>
          <w:sz w:val="13"/>
        </w:rPr>
        <w:t> </w:t>
      </w:r>
      <w:r>
        <w:rPr>
          <w:sz w:val="13"/>
        </w:rPr>
        <w:t>by</w:t>
      </w:r>
      <w:r>
        <w:rPr>
          <w:spacing w:val="10"/>
          <w:sz w:val="13"/>
        </w:rPr>
        <w:t> </w:t>
      </w:r>
      <w:r>
        <w:rPr>
          <w:sz w:val="13"/>
        </w:rPr>
        <w:t>a</w:t>
      </w:r>
      <w:r>
        <w:rPr>
          <w:spacing w:val="10"/>
          <w:sz w:val="13"/>
        </w:rPr>
        <w:t> </w:t>
      </w:r>
      <w:r>
        <w:rPr>
          <w:sz w:val="13"/>
        </w:rPr>
        <w:t>member</w:t>
      </w:r>
      <w:r>
        <w:rPr>
          <w:spacing w:val="9"/>
          <w:sz w:val="13"/>
        </w:rPr>
        <w:t> </w:t>
      </w:r>
      <w:r>
        <w:rPr>
          <w:sz w:val="13"/>
        </w:rPr>
        <w:t>of</w:t>
      </w:r>
      <w:r>
        <w:rPr>
          <w:spacing w:val="10"/>
          <w:sz w:val="13"/>
        </w:rPr>
        <w:t> </w:t>
      </w:r>
      <w:r>
        <w:rPr>
          <w:sz w:val="13"/>
        </w:rPr>
        <w:t>the</w:t>
      </w:r>
      <w:r>
        <w:rPr>
          <w:spacing w:val="10"/>
          <w:sz w:val="13"/>
        </w:rPr>
        <w:t> </w:t>
      </w:r>
      <w:r>
        <w:rPr>
          <w:sz w:val="13"/>
        </w:rPr>
        <w:t>Tribunal:</w:t>
      </w:r>
      <w:r>
        <w:rPr>
          <w:spacing w:val="10"/>
          <w:sz w:val="13"/>
        </w:rPr>
        <w:t> </w:t>
      </w:r>
      <w:r>
        <w:rPr>
          <w:sz w:val="13"/>
        </w:rPr>
        <w:t>see</w:t>
      </w:r>
      <w:r>
        <w:rPr>
          <w:spacing w:val="10"/>
          <w:sz w:val="13"/>
        </w:rPr>
        <w:t> </w:t>
      </w:r>
      <w:r>
        <w:rPr>
          <w:sz w:val="13"/>
        </w:rPr>
        <w:t>Queensland</w:t>
      </w:r>
      <w:r>
        <w:rPr>
          <w:spacing w:val="10"/>
          <w:sz w:val="13"/>
        </w:rPr>
        <w:t> </w:t>
      </w:r>
      <w:r>
        <w:rPr>
          <w:sz w:val="13"/>
        </w:rPr>
        <w:t>Civil</w:t>
      </w:r>
      <w:r>
        <w:rPr>
          <w:spacing w:val="9"/>
          <w:sz w:val="13"/>
        </w:rPr>
        <w:t> </w:t>
      </w:r>
      <w:r>
        <w:rPr>
          <w:sz w:val="13"/>
        </w:rPr>
        <w:t>and</w:t>
      </w:r>
      <w:r>
        <w:rPr>
          <w:spacing w:val="10"/>
          <w:sz w:val="13"/>
        </w:rPr>
        <w:t> </w:t>
      </w:r>
      <w:r>
        <w:rPr>
          <w:sz w:val="13"/>
        </w:rPr>
        <w:t>Administrative</w:t>
      </w:r>
      <w:r>
        <w:rPr>
          <w:spacing w:val="10"/>
          <w:sz w:val="13"/>
        </w:rPr>
        <w:t> </w:t>
      </w:r>
      <w:r>
        <w:rPr>
          <w:sz w:val="13"/>
        </w:rPr>
        <w:t>Tribunal,</w:t>
      </w:r>
    </w:p>
    <w:p>
      <w:pPr>
        <w:spacing w:before="1"/>
        <w:ind w:left="1222" w:right="0" w:firstLine="0"/>
        <w:jc w:val="left"/>
        <w:rPr>
          <w:sz w:val="13"/>
        </w:rPr>
      </w:pPr>
      <w:r>
        <w:rPr>
          <w:i/>
          <w:w w:val="105"/>
          <w:sz w:val="13"/>
        </w:rPr>
        <w:t>Practice Direction No 4 of 2009: Guide to Expert Conferences</w:t>
      </w:r>
      <w:r>
        <w:rPr>
          <w:w w:val="105"/>
          <w:sz w:val="13"/>
        </w:rPr>
        <w:t>, 2009.</w:t>
      </w:r>
    </w:p>
    <w:p>
      <w:pPr>
        <w:pStyle w:val="ListParagraph"/>
        <w:numPr>
          <w:ilvl w:val="0"/>
          <w:numId w:val="137"/>
        </w:numPr>
        <w:tabs>
          <w:tab w:pos="1221" w:val="left" w:leader="none"/>
          <w:tab w:pos="1223" w:val="left" w:leader="none"/>
        </w:tabs>
        <w:spacing w:line="240" w:lineRule="auto" w:before="2" w:after="0"/>
        <w:ind w:left="1222" w:right="0" w:hanging="794"/>
        <w:jc w:val="left"/>
        <w:rPr>
          <w:sz w:val="13"/>
        </w:rPr>
      </w:pPr>
      <w:r>
        <w:rPr>
          <w:sz w:val="13"/>
        </w:rPr>
        <w:t>See Ibid</w:t>
      </w:r>
      <w:r>
        <w:rPr>
          <w:spacing w:val="12"/>
          <w:sz w:val="13"/>
        </w:rPr>
        <w:t> </w:t>
      </w:r>
      <w:r>
        <w:rPr>
          <w:spacing w:val="-3"/>
          <w:sz w:val="13"/>
        </w:rPr>
        <w:t>1.</w:t>
      </w:r>
    </w:p>
    <w:p>
      <w:pPr>
        <w:pStyle w:val="ListParagraph"/>
        <w:numPr>
          <w:ilvl w:val="0"/>
          <w:numId w:val="137"/>
        </w:numPr>
        <w:tabs>
          <w:tab w:pos="1222" w:val="left" w:leader="none"/>
          <w:tab w:pos="1223" w:val="left" w:leader="none"/>
        </w:tabs>
        <w:spacing w:line="240" w:lineRule="auto" w:before="1" w:after="0"/>
        <w:ind w:left="1222" w:right="1865" w:hanging="794"/>
        <w:jc w:val="left"/>
        <w:rPr>
          <w:sz w:val="13"/>
        </w:rPr>
      </w:pPr>
      <w:r>
        <w:rPr>
          <w:w w:val="105"/>
          <w:sz w:val="13"/>
        </w:rPr>
        <w:t>Queensland Civil and Administrative Tribunal, </w:t>
      </w:r>
      <w:r>
        <w:rPr>
          <w:i/>
          <w:w w:val="105"/>
          <w:sz w:val="13"/>
        </w:rPr>
        <w:t>Tree Disputes </w:t>
      </w:r>
      <w:r>
        <w:rPr>
          <w:w w:val="105"/>
          <w:sz w:val="13"/>
        </w:rPr>
        <w:t>(Web Page, 29 February 2019) </w:t>
      </w:r>
      <w:r>
        <w:rPr>
          <w:spacing w:val="2"/>
          <w:w w:val="105"/>
          <w:sz w:val="13"/>
        </w:rPr>
        <w:t>&lt;</w:t>
      </w:r>
      <w:hyperlink r:id="rId217">
        <w:r>
          <w:rPr>
            <w:spacing w:val="2"/>
            <w:w w:val="105"/>
            <w:sz w:val="13"/>
          </w:rPr>
          <w:t>http://www.qcat.qld.gov.au/matter-types/</w:t>
        </w:r>
      </w:hyperlink>
      <w:r>
        <w:rPr>
          <w:spacing w:val="2"/>
          <w:w w:val="105"/>
          <w:sz w:val="13"/>
        </w:rPr>
        <w:t> </w:t>
      </w:r>
      <w:r>
        <w:rPr>
          <w:w w:val="105"/>
          <w:sz w:val="13"/>
        </w:rPr>
        <w:t>tree-disputes&gt;.</w:t>
      </w:r>
    </w:p>
    <w:p>
      <w:pPr>
        <w:pStyle w:val="ListParagraph"/>
        <w:numPr>
          <w:ilvl w:val="0"/>
          <w:numId w:val="137"/>
        </w:numPr>
        <w:tabs>
          <w:tab w:pos="1222" w:val="left" w:leader="none"/>
          <w:tab w:pos="1223" w:val="left" w:leader="none"/>
        </w:tabs>
        <w:spacing w:line="240" w:lineRule="auto" w:before="3" w:after="0"/>
        <w:ind w:left="1222" w:right="0" w:hanging="794"/>
        <w:jc w:val="left"/>
        <w:rPr>
          <w:sz w:val="13"/>
        </w:rPr>
      </w:pPr>
      <w:r>
        <w:rPr>
          <w:w w:val="105"/>
          <w:sz w:val="13"/>
        </w:rPr>
        <w:t>Queensland</w:t>
      </w:r>
      <w:r>
        <w:rPr>
          <w:spacing w:val="4"/>
          <w:w w:val="105"/>
          <w:sz w:val="13"/>
        </w:rPr>
        <w:t> </w:t>
      </w:r>
      <w:r>
        <w:rPr>
          <w:w w:val="105"/>
          <w:sz w:val="13"/>
        </w:rPr>
        <w:t>Arboricultural</w:t>
      </w:r>
      <w:r>
        <w:rPr>
          <w:spacing w:val="5"/>
          <w:w w:val="105"/>
          <w:sz w:val="13"/>
        </w:rPr>
        <w:t> </w:t>
      </w:r>
      <w:r>
        <w:rPr>
          <w:w w:val="105"/>
          <w:sz w:val="13"/>
        </w:rPr>
        <w:t>Association,</w:t>
      </w:r>
      <w:r>
        <w:rPr>
          <w:spacing w:val="5"/>
          <w:w w:val="105"/>
          <w:sz w:val="13"/>
        </w:rPr>
        <w:t> </w:t>
      </w:r>
      <w:r>
        <w:rPr>
          <w:i/>
          <w:w w:val="105"/>
          <w:sz w:val="13"/>
        </w:rPr>
        <w:t>About</w:t>
      </w:r>
      <w:r>
        <w:rPr>
          <w:i/>
          <w:spacing w:val="5"/>
          <w:w w:val="105"/>
          <w:sz w:val="13"/>
        </w:rPr>
        <w:t> </w:t>
      </w:r>
      <w:r>
        <w:rPr>
          <w:i/>
          <w:w w:val="105"/>
          <w:sz w:val="13"/>
        </w:rPr>
        <w:t>Approved</w:t>
      </w:r>
      <w:r>
        <w:rPr>
          <w:i/>
          <w:spacing w:val="5"/>
          <w:w w:val="105"/>
          <w:sz w:val="13"/>
        </w:rPr>
        <w:t> </w:t>
      </w:r>
      <w:r>
        <w:rPr>
          <w:i/>
          <w:w w:val="105"/>
          <w:sz w:val="13"/>
        </w:rPr>
        <w:t>Arborists</w:t>
      </w:r>
      <w:r>
        <w:rPr>
          <w:i/>
          <w:spacing w:val="5"/>
          <w:w w:val="105"/>
          <w:sz w:val="13"/>
        </w:rPr>
        <w:t> </w:t>
      </w:r>
      <w:r>
        <w:rPr>
          <w:w w:val="105"/>
          <w:sz w:val="13"/>
        </w:rPr>
        <w:t>(Web</w:t>
      </w:r>
      <w:r>
        <w:rPr>
          <w:spacing w:val="5"/>
          <w:w w:val="105"/>
          <w:sz w:val="13"/>
        </w:rPr>
        <w:t> </w:t>
      </w:r>
      <w:r>
        <w:rPr>
          <w:w w:val="105"/>
          <w:sz w:val="13"/>
        </w:rPr>
        <w:t>Page,</w:t>
      </w:r>
      <w:r>
        <w:rPr>
          <w:spacing w:val="5"/>
          <w:w w:val="105"/>
          <w:sz w:val="13"/>
        </w:rPr>
        <w:t> </w:t>
      </w:r>
      <w:r>
        <w:rPr>
          <w:w w:val="105"/>
          <w:sz w:val="13"/>
        </w:rPr>
        <w:t>2018)</w:t>
      </w:r>
      <w:r>
        <w:rPr>
          <w:spacing w:val="5"/>
          <w:w w:val="105"/>
          <w:sz w:val="13"/>
        </w:rPr>
        <w:t> </w:t>
      </w:r>
      <w:r>
        <w:rPr>
          <w:spacing w:val="2"/>
          <w:w w:val="105"/>
          <w:sz w:val="13"/>
        </w:rPr>
        <w:t>&lt;https://qaa.net.au/approved-arborist/&gt;</w:t>
      </w:r>
    </w:p>
    <w:p>
      <w:pPr>
        <w:pStyle w:val="ListParagraph"/>
        <w:numPr>
          <w:ilvl w:val="0"/>
          <w:numId w:val="137"/>
        </w:numPr>
        <w:tabs>
          <w:tab w:pos="1222" w:val="left" w:leader="none"/>
          <w:tab w:pos="1223" w:val="left" w:leader="none"/>
        </w:tabs>
        <w:spacing w:line="240" w:lineRule="auto" w:before="1" w:after="0"/>
        <w:ind w:left="1222" w:right="0" w:hanging="794"/>
        <w:jc w:val="left"/>
        <w:rPr>
          <w:i/>
          <w:sz w:val="13"/>
        </w:rPr>
      </w:pPr>
      <w:r>
        <w:rPr>
          <w:w w:val="105"/>
          <w:sz w:val="13"/>
        </w:rPr>
        <w:t>Resource</w:t>
      </w:r>
      <w:r>
        <w:rPr>
          <w:spacing w:val="5"/>
          <w:w w:val="105"/>
          <w:sz w:val="13"/>
        </w:rPr>
        <w:t> </w:t>
      </w:r>
      <w:r>
        <w:rPr>
          <w:w w:val="105"/>
          <w:sz w:val="13"/>
        </w:rPr>
        <w:t>Management</w:t>
      </w:r>
      <w:r>
        <w:rPr>
          <w:spacing w:val="5"/>
          <w:w w:val="105"/>
          <w:sz w:val="13"/>
        </w:rPr>
        <w:t> </w:t>
      </w:r>
      <w:r>
        <w:rPr>
          <w:w w:val="105"/>
          <w:sz w:val="13"/>
        </w:rPr>
        <w:t>and</w:t>
      </w:r>
      <w:r>
        <w:rPr>
          <w:spacing w:val="6"/>
          <w:w w:val="105"/>
          <w:sz w:val="13"/>
        </w:rPr>
        <w:t> </w:t>
      </w:r>
      <w:r>
        <w:rPr>
          <w:w w:val="105"/>
          <w:sz w:val="13"/>
        </w:rPr>
        <w:t>Planning</w:t>
      </w:r>
      <w:r>
        <w:rPr>
          <w:spacing w:val="5"/>
          <w:w w:val="105"/>
          <w:sz w:val="13"/>
        </w:rPr>
        <w:t> </w:t>
      </w:r>
      <w:r>
        <w:rPr>
          <w:w w:val="105"/>
          <w:sz w:val="13"/>
        </w:rPr>
        <w:t>Appeal</w:t>
      </w:r>
      <w:r>
        <w:rPr>
          <w:spacing w:val="6"/>
          <w:w w:val="105"/>
          <w:sz w:val="13"/>
        </w:rPr>
        <w:t> </w:t>
      </w:r>
      <w:r>
        <w:rPr>
          <w:w w:val="105"/>
          <w:sz w:val="13"/>
        </w:rPr>
        <w:t>Tribunal,</w:t>
      </w:r>
      <w:r>
        <w:rPr>
          <w:spacing w:val="5"/>
          <w:w w:val="105"/>
          <w:sz w:val="13"/>
        </w:rPr>
        <w:t> </w:t>
      </w:r>
      <w:r>
        <w:rPr>
          <w:i/>
          <w:w w:val="105"/>
          <w:sz w:val="13"/>
        </w:rPr>
        <w:t>Practice</w:t>
      </w:r>
      <w:r>
        <w:rPr>
          <w:i/>
          <w:spacing w:val="5"/>
          <w:w w:val="105"/>
          <w:sz w:val="13"/>
        </w:rPr>
        <w:t> </w:t>
      </w:r>
      <w:r>
        <w:rPr>
          <w:i/>
          <w:w w:val="105"/>
          <w:sz w:val="13"/>
        </w:rPr>
        <w:t>Direction</w:t>
      </w:r>
      <w:r>
        <w:rPr>
          <w:i/>
          <w:spacing w:val="6"/>
          <w:w w:val="105"/>
          <w:sz w:val="13"/>
        </w:rPr>
        <w:t> </w:t>
      </w:r>
      <w:r>
        <w:rPr>
          <w:i/>
          <w:w w:val="105"/>
          <w:sz w:val="13"/>
        </w:rPr>
        <w:t>No</w:t>
      </w:r>
      <w:r>
        <w:rPr>
          <w:i/>
          <w:spacing w:val="5"/>
          <w:w w:val="105"/>
          <w:sz w:val="13"/>
        </w:rPr>
        <w:t> </w:t>
      </w:r>
      <w:r>
        <w:rPr>
          <w:i/>
          <w:w w:val="105"/>
          <w:sz w:val="13"/>
        </w:rPr>
        <w:t>12A:</w:t>
      </w:r>
      <w:r>
        <w:rPr>
          <w:i/>
          <w:spacing w:val="6"/>
          <w:w w:val="105"/>
          <w:sz w:val="13"/>
        </w:rPr>
        <w:t> </w:t>
      </w:r>
      <w:r>
        <w:rPr>
          <w:i/>
          <w:spacing w:val="2"/>
          <w:w w:val="105"/>
          <w:sz w:val="13"/>
        </w:rPr>
        <w:t>Expert</w:t>
      </w:r>
      <w:r>
        <w:rPr>
          <w:i/>
          <w:spacing w:val="5"/>
          <w:w w:val="105"/>
          <w:sz w:val="13"/>
        </w:rPr>
        <w:t> </w:t>
      </w:r>
      <w:r>
        <w:rPr>
          <w:i/>
          <w:w w:val="105"/>
          <w:sz w:val="13"/>
        </w:rPr>
        <w:t>Witness</w:t>
      </w:r>
      <w:r>
        <w:rPr>
          <w:i/>
          <w:spacing w:val="5"/>
          <w:w w:val="105"/>
          <w:sz w:val="13"/>
        </w:rPr>
        <w:t> </w:t>
      </w:r>
      <w:r>
        <w:rPr>
          <w:i/>
          <w:w w:val="105"/>
          <w:sz w:val="13"/>
        </w:rPr>
        <w:t>Code</w:t>
      </w:r>
      <w:r>
        <w:rPr>
          <w:i/>
          <w:spacing w:val="6"/>
          <w:w w:val="105"/>
          <w:sz w:val="13"/>
        </w:rPr>
        <w:t> </w:t>
      </w:r>
      <w:r>
        <w:rPr>
          <w:i/>
          <w:w w:val="105"/>
          <w:sz w:val="13"/>
        </w:rPr>
        <w:t>of</w:t>
      </w:r>
      <w:r>
        <w:rPr>
          <w:i/>
          <w:spacing w:val="5"/>
          <w:w w:val="105"/>
          <w:sz w:val="13"/>
        </w:rPr>
        <w:t> </w:t>
      </w:r>
      <w:r>
        <w:rPr>
          <w:i/>
          <w:w w:val="105"/>
          <w:sz w:val="13"/>
        </w:rPr>
        <w:t>Conduct’</w:t>
      </w:r>
    </w:p>
    <w:p>
      <w:pPr>
        <w:spacing w:before="1"/>
        <w:ind w:left="1222" w:right="0" w:firstLine="0"/>
        <w:jc w:val="left"/>
        <w:rPr>
          <w:sz w:val="13"/>
        </w:rPr>
      </w:pPr>
      <w:r>
        <w:rPr>
          <w:sz w:val="13"/>
        </w:rPr>
        <w:t>&lt;https://</w:t>
      </w:r>
      <w:hyperlink r:id="rId218">
        <w:r>
          <w:rPr>
            <w:sz w:val="13"/>
          </w:rPr>
          <w:t>www.rmpat.tas.gov.au/practice_directions</w:t>
        </w:r>
      </w:hyperlink>
      <w:r>
        <w:rPr>
          <w:sz w:val="13"/>
        </w:rPr>
        <w:t>&gt;.</w:t>
      </w:r>
    </w:p>
    <w:p>
      <w:pPr>
        <w:pStyle w:val="ListParagraph"/>
        <w:numPr>
          <w:ilvl w:val="0"/>
          <w:numId w:val="137"/>
        </w:numPr>
        <w:tabs>
          <w:tab w:pos="1222" w:val="left" w:leader="none"/>
          <w:tab w:pos="1223" w:val="left" w:leader="none"/>
        </w:tabs>
        <w:spacing w:line="240" w:lineRule="auto" w:before="2" w:after="0"/>
        <w:ind w:left="1222" w:right="1856" w:hanging="794"/>
        <w:jc w:val="left"/>
        <w:rPr>
          <w:sz w:val="13"/>
        </w:rPr>
      </w:pPr>
      <w:r>
        <w:rPr>
          <w:w w:val="105"/>
          <w:sz w:val="13"/>
        </w:rPr>
        <w:t>Ibid; Resource Management and Planning Appeal Tribunal, </w:t>
      </w:r>
      <w:r>
        <w:rPr>
          <w:i/>
          <w:w w:val="105"/>
          <w:sz w:val="13"/>
        </w:rPr>
        <w:t>Practice Direction No </w:t>
      </w:r>
      <w:r>
        <w:rPr>
          <w:i/>
          <w:spacing w:val="-3"/>
          <w:w w:val="105"/>
          <w:sz w:val="13"/>
        </w:rPr>
        <w:t>12: </w:t>
      </w:r>
      <w:r>
        <w:rPr>
          <w:i/>
          <w:spacing w:val="2"/>
          <w:w w:val="105"/>
          <w:sz w:val="13"/>
        </w:rPr>
        <w:t>Expert </w:t>
      </w:r>
      <w:r>
        <w:rPr>
          <w:i/>
          <w:w w:val="105"/>
          <w:sz w:val="13"/>
        </w:rPr>
        <w:t>Witnesses </w:t>
      </w:r>
      <w:r>
        <w:rPr>
          <w:spacing w:val="2"/>
          <w:w w:val="105"/>
          <w:sz w:val="13"/>
        </w:rPr>
        <w:t>&lt;https://</w:t>
      </w:r>
      <w:hyperlink r:id="rId187">
        <w:r>
          <w:rPr>
            <w:spacing w:val="2"/>
            <w:w w:val="105"/>
            <w:sz w:val="13"/>
          </w:rPr>
          <w:t>www.rmpat.tas.gov.au/</w:t>
        </w:r>
      </w:hyperlink>
      <w:r>
        <w:rPr>
          <w:spacing w:val="2"/>
          <w:w w:val="105"/>
          <w:sz w:val="13"/>
        </w:rPr>
        <w:t> </w:t>
      </w:r>
      <w:r>
        <w:rPr>
          <w:w w:val="105"/>
          <w:sz w:val="13"/>
        </w:rPr>
        <w:t>practice_directions&gt;.</w:t>
      </w:r>
    </w:p>
    <w:p>
      <w:pPr>
        <w:pStyle w:val="ListParagraph"/>
        <w:numPr>
          <w:ilvl w:val="0"/>
          <w:numId w:val="137"/>
        </w:numPr>
        <w:tabs>
          <w:tab w:pos="1222" w:val="left" w:leader="none"/>
          <w:tab w:pos="1223" w:val="left" w:leader="none"/>
        </w:tabs>
        <w:spacing w:line="240" w:lineRule="auto" w:before="2" w:after="0"/>
        <w:ind w:left="1222" w:right="0" w:hanging="794"/>
        <w:jc w:val="left"/>
        <w:rPr>
          <w:i/>
          <w:sz w:val="13"/>
        </w:rPr>
      </w:pPr>
      <w:r>
        <w:rPr>
          <w:w w:val="105"/>
          <w:sz w:val="13"/>
        </w:rPr>
        <w:t>Resource</w:t>
      </w:r>
      <w:r>
        <w:rPr>
          <w:spacing w:val="5"/>
          <w:w w:val="105"/>
          <w:sz w:val="13"/>
        </w:rPr>
        <w:t> </w:t>
      </w:r>
      <w:r>
        <w:rPr>
          <w:w w:val="105"/>
          <w:sz w:val="13"/>
        </w:rPr>
        <w:t>Management</w:t>
      </w:r>
      <w:r>
        <w:rPr>
          <w:spacing w:val="5"/>
          <w:w w:val="105"/>
          <w:sz w:val="13"/>
        </w:rPr>
        <w:t> </w:t>
      </w:r>
      <w:r>
        <w:rPr>
          <w:w w:val="105"/>
          <w:sz w:val="13"/>
        </w:rPr>
        <w:t>and</w:t>
      </w:r>
      <w:r>
        <w:rPr>
          <w:spacing w:val="5"/>
          <w:w w:val="105"/>
          <w:sz w:val="13"/>
        </w:rPr>
        <w:t> </w:t>
      </w:r>
      <w:r>
        <w:rPr>
          <w:w w:val="105"/>
          <w:sz w:val="13"/>
        </w:rPr>
        <w:t>Planning</w:t>
      </w:r>
      <w:r>
        <w:rPr>
          <w:spacing w:val="6"/>
          <w:w w:val="105"/>
          <w:sz w:val="13"/>
        </w:rPr>
        <w:t> </w:t>
      </w:r>
      <w:r>
        <w:rPr>
          <w:w w:val="105"/>
          <w:sz w:val="13"/>
        </w:rPr>
        <w:t>Appeal</w:t>
      </w:r>
      <w:r>
        <w:rPr>
          <w:spacing w:val="5"/>
          <w:w w:val="105"/>
          <w:sz w:val="13"/>
        </w:rPr>
        <w:t> </w:t>
      </w:r>
      <w:r>
        <w:rPr>
          <w:w w:val="105"/>
          <w:sz w:val="13"/>
        </w:rPr>
        <w:t>Tribunal,</w:t>
      </w:r>
      <w:r>
        <w:rPr>
          <w:spacing w:val="5"/>
          <w:w w:val="105"/>
          <w:sz w:val="13"/>
        </w:rPr>
        <w:t> </w:t>
      </w:r>
      <w:r>
        <w:rPr>
          <w:i/>
          <w:w w:val="105"/>
          <w:sz w:val="13"/>
        </w:rPr>
        <w:t>Practice</w:t>
      </w:r>
      <w:r>
        <w:rPr>
          <w:i/>
          <w:spacing w:val="6"/>
          <w:w w:val="105"/>
          <w:sz w:val="13"/>
        </w:rPr>
        <w:t> </w:t>
      </w:r>
      <w:r>
        <w:rPr>
          <w:i/>
          <w:w w:val="105"/>
          <w:sz w:val="13"/>
        </w:rPr>
        <w:t>Direction</w:t>
      </w:r>
      <w:r>
        <w:rPr>
          <w:i/>
          <w:spacing w:val="5"/>
          <w:w w:val="105"/>
          <w:sz w:val="13"/>
        </w:rPr>
        <w:t> </w:t>
      </w:r>
      <w:r>
        <w:rPr>
          <w:i/>
          <w:w w:val="105"/>
          <w:sz w:val="13"/>
        </w:rPr>
        <w:t>No</w:t>
      </w:r>
      <w:r>
        <w:rPr>
          <w:i/>
          <w:spacing w:val="5"/>
          <w:w w:val="105"/>
          <w:sz w:val="13"/>
        </w:rPr>
        <w:t> </w:t>
      </w:r>
      <w:r>
        <w:rPr>
          <w:i/>
          <w:w w:val="105"/>
          <w:sz w:val="13"/>
        </w:rPr>
        <w:t>12A:</w:t>
      </w:r>
      <w:r>
        <w:rPr>
          <w:i/>
          <w:spacing w:val="6"/>
          <w:w w:val="105"/>
          <w:sz w:val="13"/>
        </w:rPr>
        <w:t> </w:t>
      </w:r>
      <w:r>
        <w:rPr>
          <w:i/>
          <w:spacing w:val="2"/>
          <w:w w:val="105"/>
          <w:sz w:val="13"/>
        </w:rPr>
        <w:t>Expert</w:t>
      </w:r>
      <w:r>
        <w:rPr>
          <w:i/>
          <w:spacing w:val="5"/>
          <w:w w:val="105"/>
          <w:sz w:val="13"/>
        </w:rPr>
        <w:t> </w:t>
      </w:r>
      <w:r>
        <w:rPr>
          <w:i/>
          <w:w w:val="105"/>
          <w:sz w:val="13"/>
        </w:rPr>
        <w:t>Witness</w:t>
      </w:r>
      <w:r>
        <w:rPr>
          <w:i/>
          <w:spacing w:val="5"/>
          <w:w w:val="105"/>
          <w:sz w:val="13"/>
        </w:rPr>
        <w:t> </w:t>
      </w:r>
      <w:r>
        <w:rPr>
          <w:i/>
          <w:w w:val="105"/>
          <w:sz w:val="13"/>
        </w:rPr>
        <w:t>Code</w:t>
      </w:r>
      <w:r>
        <w:rPr>
          <w:i/>
          <w:spacing w:val="6"/>
          <w:w w:val="105"/>
          <w:sz w:val="13"/>
        </w:rPr>
        <w:t> </w:t>
      </w:r>
      <w:r>
        <w:rPr>
          <w:i/>
          <w:w w:val="105"/>
          <w:sz w:val="13"/>
        </w:rPr>
        <w:t>of</w:t>
      </w:r>
      <w:r>
        <w:rPr>
          <w:i/>
          <w:spacing w:val="5"/>
          <w:w w:val="105"/>
          <w:sz w:val="13"/>
        </w:rPr>
        <w:t> </w:t>
      </w:r>
      <w:r>
        <w:rPr>
          <w:i/>
          <w:w w:val="105"/>
          <w:sz w:val="13"/>
        </w:rPr>
        <w:t>Conduct</w:t>
      </w:r>
    </w:p>
    <w:p>
      <w:pPr>
        <w:spacing w:before="2"/>
        <w:ind w:left="1222" w:right="1796" w:firstLine="0"/>
        <w:jc w:val="left"/>
        <w:rPr>
          <w:sz w:val="13"/>
        </w:rPr>
      </w:pPr>
      <w:r>
        <w:rPr>
          <w:w w:val="105"/>
          <w:sz w:val="13"/>
        </w:rPr>
        <w:t>&lt;https://</w:t>
      </w:r>
      <w:hyperlink r:id="rId218">
        <w:r>
          <w:rPr>
            <w:w w:val="105"/>
            <w:sz w:val="13"/>
          </w:rPr>
          <w:t>www.rmpat.tas.gov.au/practice_directions</w:t>
        </w:r>
      </w:hyperlink>
      <w:r>
        <w:rPr>
          <w:w w:val="105"/>
          <w:sz w:val="13"/>
        </w:rPr>
        <w:t>&gt;; Resource Management and Planning Appeal Tribunal, </w:t>
      </w:r>
      <w:r>
        <w:rPr>
          <w:i/>
          <w:w w:val="105"/>
          <w:sz w:val="13"/>
        </w:rPr>
        <w:t>Practice Direction No 12: </w:t>
      </w:r>
      <w:r>
        <w:rPr>
          <w:i/>
          <w:w w:val="105"/>
          <w:sz w:val="13"/>
        </w:rPr>
        <w:t>Expert Witnesses </w:t>
      </w:r>
      <w:r>
        <w:rPr>
          <w:w w:val="105"/>
          <w:sz w:val="13"/>
        </w:rPr>
        <w:t>&lt;https://</w:t>
      </w:r>
      <w:hyperlink r:id="rId218">
        <w:r>
          <w:rPr>
            <w:w w:val="105"/>
            <w:sz w:val="13"/>
          </w:rPr>
          <w:t>www.rmpat.tas.gov.au/practice_directions</w:t>
        </w:r>
      </w:hyperlink>
      <w:r>
        <w:rPr>
          <w:w w:val="105"/>
          <w:sz w:val="13"/>
        </w:rPr>
        <w:t>&gt;.</w:t>
      </w:r>
    </w:p>
    <w:p>
      <w:pPr>
        <w:pStyle w:val="ListParagraph"/>
        <w:numPr>
          <w:ilvl w:val="0"/>
          <w:numId w:val="137"/>
        </w:numPr>
        <w:tabs>
          <w:tab w:pos="1222" w:val="left" w:leader="none"/>
          <w:tab w:pos="1223" w:val="left" w:leader="none"/>
        </w:tabs>
        <w:spacing w:line="240" w:lineRule="auto" w:before="2" w:after="0"/>
        <w:ind w:left="1222" w:right="1594" w:hanging="794"/>
        <w:jc w:val="left"/>
        <w:rPr>
          <w:sz w:val="13"/>
        </w:rPr>
      </w:pPr>
      <w:r>
        <w:rPr>
          <w:w w:val="105"/>
          <w:sz w:val="13"/>
        </w:rPr>
        <w:t>Submissions </w:t>
      </w:r>
      <w:r>
        <w:rPr>
          <w:spacing w:val="-4"/>
          <w:w w:val="105"/>
          <w:sz w:val="13"/>
        </w:rPr>
        <w:t>12  </w:t>
      </w:r>
      <w:r>
        <w:rPr>
          <w:spacing w:val="3"/>
          <w:w w:val="105"/>
          <w:sz w:val="13"/>
        </w:rPr>
        <w:t>(Dr </w:t>
      </w:r>
      <w:r>
        <w:rPr>
          <w:w w:val="105"/>
          <w:sz w:val="13"/>
        </w:rPr>
        <w:t>Gregory Moore </w:t>
      </w:r>
      <w:r>
        <w:rPr>
          <w:spacing w:val="2"/>
          <w:w w:val="105"/>
          <w:sz w:val="13"/>
        </w:rPr>
        <w:t>OAM), </w:t>
      </w:r>
      <w:r>
        <w:rPr>
          <w:w w:val="105"/>
          <w:sz w:val="13"/>
        </w:rPr>
        <w:t>25 (City of Boroondara); Consultations 2 </w:t>
      </w:r>
      <w:r>
        <w:rPr>
          <w:spacing w:val="3"/>
          <w:w w:val="105"/>
          <w:sz w:val="13"/>
        </w:rPr>
        <w:t>(Dr </w:t>
      </w:r>
      <w:r>
        <w:rPr>
          <w:w w:val="105"/>
          <w:sz w:val="13"/>
        </w:rPr>
        <w:t>Gregory Moore </w:t>
      </w:r>
      <w:r>
        <w:rPr>
          <w:spacing w:val="2"/>
          <w:w w:val="105"/>
          <w:sz w:val="13"/>
        </w:rPr>
        <w:t>OAM), </w:t>
      </w:r>
      <w:r>
        <w:rPr>
          <w:w w:val="105"/>
          <w:sz w:val="13"/>
        </w:rPr>
        <w:t>10 </w:t>
      </w:r>
      <w:r>
        <w:rPr>
          <w:spacing w:val="2"/>
          <w:w w:val="105"/>
          <w:sz w:val="13"/>
        </w:rPr>
        <w:t>(Baw </w:t>
      </w:r>
      <w:r>
        <w:rPr>
          <w:w w:val="105"/>
          <w:sz w:val="13"/>
        </w:rPr>
        <w:t>Baw Shire Council), </w:t>
      </w:r>
      <w:r>
        <w:rPr>
          <w:spacing w:val="30"/>
          <w:w w:val="105"/>
          <w:sz w:val="13"/>
        </w:rPr>
        <w:t> </w:t>
      </w:r>
      <w:r>
        <w:rPr>
          <w:spacing w:val="-4"/>
          <w:w w:val="105"/>
          <w:sz w:val="13"/>
        </w:rPr>
        <w:t>12 </w:t>
      </w:r>
      <w:r>
        <w:rPr>
          <w:w w:val="105"/>
          <w:sz w:val="13"/>
        </w:rPr>
        <w:t>(City of Port</w:t>
      </w:r>
      <w:r>
        <w:rPr>
          <w:spacing w:val="-5"/>
          <w:w w:val="105"/>
          <w:sz w:val="13"/>
        </w:rPr>
        <w:t> </w:t>
      </w:r>
      <w:r>
        <w:rPr>
          <w:w w:val="105"/>
          <w:sz w:val="13"/>
        </w:rPr>
        <w:t>Phillip).</w:t>
      </w:r>
    </w:p>
    <w:p>
      <w:pPr>
        <w:spacing w:after="0" w:line="240" w:lineRule="auto"/>
        <w:jc w:val="left"/>
        <w:rPr>
          <w:sz w:val="13"/>
        </w:rPr>
        <w:sectPr>
          <w:type w:val="continuous"/>
          <w:pgSz w:w="11910" w:h="16840"/>
          <w:pgMar w:top="300" w:bottom="280" w:left="0" w:right="0"/>
          <w:cols w:num="2" w:equalWidth="0">
            <w:col w:w="1120" w:space="40"/>
            <w:col w:w="10750"/>
          </w:cols>
        </w:sectPr>
      </w:pPr>
    </w:p>
    <w:p>
      <w:pPr>
        <w:pStyle w:val="BodyText"/>
        <w:rPr>
          <w:sz w:val="20"/>
        </w:rPr>
      </w:pPr>
    </w:p>
    <w:p>
      <w:pPr>
        <w:pStyle w:val="BodyText"/>
        <w:spacing w:before="11"/>
        <w:rPr>
          <w:sz w:val="18"/>
        </w:rPr>
      </w:pPr>
    </w:p>
    <w:p>
      <w:pPr>
        <w:spacing w:line="254" w:lineRule="auto" w:before="91"/>
        <w:ind w:left="2834" w:right="1558" w:firstLine="0"/>
        <w:jc w:val="left"/>
        <w:rPr>
          <w:sz w:val="11"/>
        </w:rPr>
      </w:pPr>
      <w:r>
        <w:rPr>
          <w:w w:val="105"/>
          <w:sz w:val="20"/>
        </w:rPr>
        <w:t>tree are </w:t>
      </w:r>
      <w:r>
        <w:rPr>
          <w:spacing w:val="-3"/>
          <w:w w:val="105"/>
          <w:sz w:val="20"/>
        </w:rPr>
        <w:t>found </w:t>
      </w:r>
      <w:r>
        <w:rPr>
          <w:w w:val="105"/>
          <w:sz w:val="20"/>
        </w:rPr>
        <w:t>in the vicinity of the damaged structure. For </w:t>
      </w:r>
      <w:r>
        <w:rPr>
          <w:spacing w:val="-3"/>
          <w:w w:val="105"/>
          <w:sz w:val="20"/>
        </w:rPr>
        <w:t>far </w:t>
      </w:r>
      <w:r>
        <w:rPr>
          <w:w w:val="105"/>
          <w:sz w:val="20"/>
        </w:rPr>
        <w:t>too long, lazy consultants </w:t>
      </w:r>
      <w:r>
        <w:rPr>
          <w:spacing w:val="-3"/>
          <w:w w:val="105"/>
          <w:sz w:val="20"/>
        </w:rPr>
        <w:t>have </w:t>
      </w:r>
      <w:r>
        <w:rPr>
          <w:w w:val="105"/>
          <w:sz w:val="20"/>
        </w:rPr>
        <w:t>got away with asserting that trees are causing problems without providing </w:t>
      </w:r>
      <w:r>
        <w:rPr>
          <w:spacing w:val="-4"/>
          <w:w w:val="105"/>
          <w:sz w:val="20"/>
        </w:rPr>
        <w:t>evidence.</w:t>
      </w:r>
      <w:r>
        <w:rPr>
          <w:spacing w:val="-4"/>
          <w:w w:val="105"/>
          <w:position w:val="7"/>
          <w:sz w:val="11"/>
        </w:rPr>
        <w:t>196</w:t>
      </w:r>
    </w:p>
    <w:p>
      <w:pPr>
        <w:pStyle w:val="ListParagraph"/>
        <w:numPr>
          <w:ilvl w:val="1"/>
          <w:numId w:val="133"/>
        </w:numPr>
        <w:tabs>
          <w:tab w:pos="2381" w:val="left" w:leader="none"/>
          <w:tab w:pos="2382" w:val="left" w:leader="none"/>
        </w:tabs>
        <w:spacing w:line="240" w:lineRule="auto" w:before="115" w:after="0"/>
        <w:ind w:left="2381" w:right="0" w:hanging="794"/>
        <w:jc w:val="left"/>
        <w:rPr>
          <w:sz w:val="21"/>
        </w:rPr>
      </w:pPr>
      <w:r>
        <w:rPr>
          <w:w w:val="105"/>
          <w:sz w:val="21"/>
        </w:rPr>
        <w:t>The </w:t>
      </w:r>
      <w:r>
        <w:rPr>
          <w:spacing w:val="-3"/>
          <w:w w:val="105"/>
          <w:sz w:val="21"/>
        </w:rPr>
        <w:t>City </w:t>
      </w:r>
      <w:r>
        <w:rPr>
          <w:w w:val="105"/>
          <w:sz w:val="21"/>
        </w:rPr>
        <w:t>of </w:t>
      </w:r>
      <w:r>
        <w:rPr>
          <w:spacing w:val="-3"/>
          <w:w w:val="105"/>
          <w:sz w:val="21"/>
        </w:rPr>
        <w:t>Boroondara</w:t>
      </w:r>
      <w:r>
        <w:rPr>
          <w:spacing w:val="25"/>
          <w:w w:val="105"/>
          <w:sz w:val="21"/>
        </w:rPr>
        <w:t> </w:t>
      </w:r>
      <w:r>
        <w:rPr>
          <w:w w:val="105"/>
          <w:sz w:val="21"/>
        </w:rPr>
        <w:t>agreed:</w:t>
      </w:r>
    </w:p>
    <w:p>
      <w:pPr>
        <w:spacing w:line="254" w:lineRule="auto" w:before="133"/>
        <w:ind w:left="2834" w:right="1935" w:firstLine="0"/>
        <w:jc w:val="both"/>
        <w:rPr>
          <w:sz w:val="11"/>
        </w:rPr>
      </w:pPr>
      <w:r>
        <w:rPr>
          <w:sz w:val="20"/>
        </w:rPr>
        <w:t>Legislation should be </w:t>
      </w:r>
      <w:r>
        <w:rPr>
          <w:spacing w:val="-3"/>
          <w:sz w:val="20"/>
        </w:rPr>
        <w:t>prefaced </w:t>
      </w:r>
      <w:r>
        <w:rPr>
          <w:sz w:val="20"/>
        </w:rPr>
        <w:t>by the principle that the party seeking the removal of  the tree must be able to establish an actual and real impact of the </w:t>
      </w:r>
      <w:r>
        <w:rPr>
          <w:spacing w:val="-3"/>
          <w:sz w:val="20"/>
        </w:rPr>
        <w:t>tree, </w:t>
      </w:r>
      <w:r>
        <w:rPr>
          <w:sz w:val="20"/>
        </w:rPr>
        <w:t>rather than a perceived or </w:t>
      </w:r>
      <w:r>
        <w:rPr>
          <w:spacing w:val="-3"/>
          <w:sz w:val="20"/>
        </w:rPr>
        <w:t>fanciful </w:t>
      </w:r>
      <w:r>
        <w:rPr>
          <w:sz w:val="20"/>
        </w:rPr>
        <w:t>impact. In </w:t>
      </w:r>
      <w:r>
        <w:rPr>
          <w:spacing w:val="-4"/>
          <w:sz w:val="20"/>
        </w:rPr>
        <w:t>Council’s </w:t>
      </w:r>
      <w:r>
        <w:rPr>
          <w:sz w:val="20"/>
        </w:rPr>
        <w:t>experience, perceived (and often </w:t>
      </w:r>
      <w:r>
        <w:rPr>
          <w:spacing w:val="-2"/>
          <w:sz w:val="20"/>
        </w:rPr>
        <w:t>irrationally </w:t>
      </w:r>
      <w:r>
        <w:rPr>
          <w:sz w:val="20"/>
        </w:rPr>
        <w:t>perceived)</w:t>
      </w:r>
      <w:r>
        <w:rPr>
          <w:spacing w:val="10"/>
          <w:sz w:val="20"/>
        </w:rPr>
        <w:t> </w:t>
      </w:r>
      <w:r>
        <w:rPr>
          <w:sz w:val="20"/>
        </w:rPr>
        <w:t>impacts</w:t>
      </w:r>
      <w:r>
        <w:rPr>
          <w:spacing w:val="10"/>
          <w:sz w:val="20"/>
        </w:rPr>
        <w:t> </w:t>
      </w:r>
      <w:r>
        <w:rPr>
          <w:sz w:val="20"/>
        </w:rPr>
        <w:t>of</w:t>
      </w:r>
      <w:r>
        <w:rPr>
          <w:spacing w:val="10"/>
          <w:sz w:val="20"/>
        </w:rPr>
        <w:t> </w:t>
      </w:r>
      <w:r>
        <w:rPr>
          <w:sz w:val="20"/>
        </w:rPr>
        <w:t>trees</w:t>
      </w:r>
      <w:r>
        <w:rPr>
          <w:spacing w:val="11"/>
          <w:sz w:val="20"/>
        </w:rPr>
        <w:t> </w:t>
      </w:r>
      <w:r>
        <w:rPr>
          <w:sz w:val="20"/>
        </w:rPr>
        <w:t>are</w:t>
      </w:r>
      <w:r>
        <w:rPr>
          <w:spacing w:val="10"/>
          <w:sz w:val="20"/>
        </w:rPr>
        <w:t> </w:t>
      </w:r>
      <w:r>
        <w:rPr>
          <w:sz w:val="20"/>
        </w:rPr>
        <w:t>difficult,</w:t>
      </w:r>
      <w:r>
        <w:rPr>
          <w:spacing w:val="10"/>
          <w:sz w:val="20"/>
        </w:rPr>
        <w:t> </w:t>
      </w:r>
      <w:r>
        <w:rPr>
          <w:sz w:val="20"/>
        </w:rPr>
        <w:t>if</w:t>
      </w:r>
      <w:r>
        <w:rPr>
          <w:spacing w:val="10"/>
          <w:sz w:val="20"/>
        </w:rPr>
        <w:t> </w:t>
      </w:r>
      <w:r>
        <w:rPr>
          <w:sz w:val="20"/>
        </w:rPr>
        <w:t>not</w:t>
      </w:r>
      <w:r>
        <w:rPr>
          <w:spacing w:val="11"/>
          <w:sz w:val="20"/>
        </w:rPr>
        <w:t> </w:t>
      </w:r>
      <w:r>
        <w:rPr>
          <w:sz w:val="20"/>
        </w:rPr>
        <w:t>impossible,</w:t>
      </w:r>
      <w:r>
        <w:rPr>
          <w:spacing w:val="10"/>
          <w:sz w:val="20"/>
        </w:rPr>
        <w:t> </w:t>
      </w:r>
      <w:r>
        <w:rPr>
          <w:sz w:val="20"/>
        </w:rPr>
        <w:t>to</w:t>
      </w:r>
      <w:r>
        <w:rPr>
          <w:spacing w:val="10"/>
          <w:sz w:val="20"/>
        </w:rPr>
        <w:t> </w:t>
      </w:r>
      <w:r>
        <w:rPr>
          <w:spacing w:val="-3"/>
          <w:sz w:val="20"/>
        </w:rPr>
        <w:t>assess.</w:t>
      </w:r>
      <w:r>
        <w:rPr>
          <w:spacing w:val="-3"/>
          <w:position w:val="7"/>
          <w:sz w:val="11"/>
        </w:rPr>
        <w:t>197</w:t>
      </w:r>
    </w:p>
    <w:p>
      <w:pPr>
        <w:pStyle w:val="ListParagraph"/>
        <w:numPr>
          <w:ilvl w:val="1"/>
          <w:numId w:val="133"/>
        </w:numPr>
        <w:tabs>
          <w:tab w:pos="2381" w:val="left" w:leader="none"/>
          <w:tab w:pos="2382" w:val="left" w:leader="none"/>
        </w:tabs>
        <w:spacing w:line="242" w:lineRule="auto" w:before="115" w:after="0"/>
        <w:ind w:left="2381" w:right="1981" w:hanging="794"/>
        <w:jc w:val="left"/>
        <w:rPr>
          <w:sz w:val="12"/>
        </w:rPr>
      </w:pPr>
      <w:r>
        <w:rPr>
          <w:w w:val="105"/>
          <w:sz w:val="21"/>
        </w:rPr>
        <w:t>The </w:t>
      </w:r>
      <w:r>
        <w:rPr>
          <w:spacing w:val="-3"/>
          <w:w w:val="105"/>
          <w:sz w:val="21"/>
        </w:rPr>
        <w:t>City </w:t>
      </w:r>
      <w:r>
        <w:rPr>
          <w:w w:val="105"/>
          <w:sz w:val="21"/>
        </w:rPr>
        <w:t>of Port </w:t>
      </w:r>
      <w:r>
        <w:rPr>
          <w:spacing w:val="-3"/>
          <w:w w:val="105"/>
          <w:sz w:val="21"/>
        </w:rPr>
        <w:t>Phillip </w:t>
      </w:r>
      <w:r>
        <w:rPr>
          <w:w w:val="105"/>
          <w:sz w:val="21"/>
        </w:rPr>
        <w:t>and Baw Baw </w:t>
      </w:r>
      <w:r>
        <w:rPr>
          <w:spacing w:val="-3"/>
          <w:w w:val="105"/>
          <w:sz w:val="21"/>
        </w:rPr>
        <w:t>Shire </w:t>
      </w:r>
      <w:r>
        <w:rPr>
          <w:spacing w:val="-4"/>
          <w:w w:val="105"/>
          <w:sz w:val="21"/>
        </w:rPr>
        <w:t>Council </w:t>
      </w:r>
      <w:r>
        <w:rPr>
          <w:spacing w:val="-3"/>
          <w:w w:val="105"/>
          <w:sz w:val="21"/>
        </w:rPr>
        <w:t>commented that </w:t>
      </w:r>
      <w:r>
        <w:rPr>
          <w:w w:val="105"/>
          <w:sz w:val="21"/>
        </w:rPr>
        <w:t>assessment and expert advice </w:t>
      </w:r>
      <w:r>
        <w:rPr>
          <w:spacing w:val="-3"/>
          <w:w w:val="105"/>
          <w:sz w:val="21"/>
        </w:rPr>
        <w:t>from </w:t>
      </w:r>
      <w:r>
        <w:rPr>
          <w:w w:val="105"/>
          <w:sz w:val="21"/>
        </w:rPr>
        <w:t>an </w:t>
      </w:r>
      <w:r>
        <w:rPr>
          <w:spacing w:val="-3"/>
          <w:w w:val="105"/>
          <w:sz w:val="21"/>
        </w:rPr>
        <w:t>appropriately </w:t>
      </w:r>
      <w:r>
        <w:rPr>
          <w:w w:val="105"/>
          <w:sz w:val="21"/>
        </w:rPr>
        <w:t>qualified arborist would assist the decision- </w:t>
      </w:r>
      <w:r>
        <w:rPr>
          <w:spacing w:val="-3"/>
          <w:w w:val="105"/>
          <w:sz w:val="21"/>
        </w:rPr>
        <w:t>making </w:t>
      </w:r>
      <w:r>
        <w:rPr>
          <w:spacing w:val="-4"/>
          <w:w w:val="105"/>
          <w:sz w:val="21"/>
        </w:rPr>
        <w:t>process.</w:t>
      </w:r>
      <w:r>
        <w:rPr>
          <w:spacing w:val="-4"/>
          <w:w w:val="105"/>
          <w:position w:val="7"/>
          <w:sz w:val="12"/>
        </w:rPr>
        <w:t>198 </w:t>
      </w:r>
      <w:r>
        <w:rPr>
          <w:w w:val="105"/>
          <w:sz w:val="21"/>
        </w:rPr>
        <w:t>Baw Baw </w:t>
      </w:r>
      <w:r>
        <w:rPr>
          <w:spacing w:val="-3"/>
          <w:w w:val="105"/>
          <w:sz w:val="21"/>
        </w:rPr>
        <w:t>Shire </w:t>
      </w:r>
      <w:r>
        <w:rPr>
          <w:spacing w:val="-4"/>
          <w:w w:val="105"/>
          <w:sz w:val="21"/>
        </w:rPr>
        <w:t>Council </w:t>
      </w:r>
      <w:r>
        <w:rPr>
          <w:w w:val="105"/>
          <w:sz w:val="21"/>
        </w:rPr>
        <w:t>suggested </w:t>
      </w:r>
      <w:r>
        <w:rPr>
          <w:spacing w:val="-3"/>
          <w:w w:val="105"/>
          <w:sz w:val="21"/>
        </w:rPr>
        <w:t>that </w:t>
      </w:r>
      <w:r>
        <w:rPr>
          <w:w w:val="105"/>
          <w:sz w:val="21"/>
        </w:rPr>
        <w:t>expert advice </w:t>
      </w:r>
      <w:r>
        <w:rPr>
          <w:spacing w:val="-3"/>
          <w:w w:val="105"/>
          <w:sz w:val="21"/>
        </w:rPr>
        <w:t>from </w:t>
      </w:r>
      <w:r>
        <w:rPr>
          <w:w w:val="105"/>
          <w:sz w:val="21"/>
        </w:rPr>
        <w:t>other suitably</w:t>
      </w:r>
      <w:r>
        <w:rPr>
          <w:spacing w:val="-14"/>
          <w:w w:val="105"/>
          <w:sz w:val="21"/>
        </w:rPr>
        <w:t> </w:t>
      </w:r>
      <w:r>
        <w:rPr>
          <w:w w:val="105"/>
          <w:sz w:val="21"/>
        </w:rPr>
        <w:t>qualified</w:t>
      </w:r>
      <w:r>
        <w:rPr>
          <w:spacing w:val="-13"/>
          <w:w w:val="105"/>
          <w:sz w:val="21"/>
        </w:rPr>
        <w:t> </w:t>
      </w:r>
      <w:r>
        <w:rPr>
          <w:spacing w:val="-3"/>
          <w:w w:val="105"/>
          <w:sz w:val="21"/>
        </w:rPr>
        <w:t>individuals,</w:t>
      </w:r>
      <w:r>
        <w:rPr>
          <w:spacing w:val="-13"/>
          <w:w w:val="105"/>
          <w:sz w:val="21"/>
        </w:rPr>
        <w:t> </w:t>
      </w:r>
      <w:r>
        <w:rPr>
          <w:spacing w:val="-3"/>
          <w:w w:val="105"/>
          <w:sz w:val="21"/>
        </w:rPr>
        <w:t>such</w:t>
      </w:r>
      <w:r>
        <w:rPr>
          <w:spacing w:val="-13"/>
          <w:w w:val="105"/>
          <w:sz w:val="21"/>
        </w:rPr>
        <w:t> </w:t>
      </w:r>
      <w:r>
        <w:rPr>
          <w:w w:val="105"/>
          <w:sz w:val="21"/>
        </w:rPr>
        <w:t>as</w:t>
      </w:r>
      <w:r>
        <w:rPr>
          <w:spacing w:val="-13"/>
          <w:w w:val="105"/>
          <w:sz w:val="21"/>
        </w:rPr>
        <w:t> </w:t>
      </w:r>
      <w:r>
        <w:rPr>
          <w:spacing w:val="-3"/>
          <w:w w:val="105"/>
          <w:sz w:val="21"/>
        </w:rPr>
        <w:t>environmental</w:t>
      </w:r>
      <w:r>
        <w:rPr>
          <w:spacing w:val="-13"/>
          <w:w w:val="105"/>
          <w:sz w:val="21"/>
        </w:rPr>
        <w:t> </w:t>
      </w:r>
      <w:r>
        <w:rPr>
          <w:w w:val="105"/>
          <w:sz w:val="21"/>
        </w:rPr>
        <w:t>scientists</w:t>
      </w:r>
      <w:r>
        <w:rPr>
          <w:spacing w:val="-13"/>
          <w:w w:val="105"/>
          <w:sz w:val="21"/>
        </w:rPr>
        <w:t> </w:t>
      </w:r>
      <w:r>
        <w:rPr>
          <w:w w:val="105"/>
          <w:sz w:val="21"/>
        </w:rPr>
        <w:t>and</w:t>
      </w:r>
      <w:r>
        <w:rPr>
          <w:spacing w:val="-13"/>
          <w:w w:val="105"/>
          <w:sz w:val="21"/>
        </w:rPr>
        <w:t> </w:t>
      </w:r>
      <w:r>
        <w:rPr>
          <w:w w:val="105"/>
          <w:sz w:val="21"/>
        </w:rPr>
        <w:t>botanists,</w:t>
      </w:r>
      <w:r>
        <w:rPr>
          <w:spacing w:val="-13"/>
          <w:w w:val="105"/>
          <w:sz w:val="21"/>
        </w:rPr>
        <w:t> </w:t>
      </w:r>
      <w:r>
        <w:rPr>
          <w:w w:val="105"/>
          <w:sz w:val="21"/>
        </w:rPr>
        <w:t>would</w:t>
      </w:r>
      <w:r>
        <w:rPr>
          <w:spacing w:val="-14"/>
          <w:w w:val="105"/>
          <w:sz w:val="21"/>
        </w:rPr>
        <w:t> </w:t>
      </w:r>
      <w:r>
        <w:rPr>
          <w:w w:val="105"/>
          <w:sz w:val="21"/>
        </w:rPr>
        <w:t>be </w:t>
      </w:r>
      <w:r>
        <w:rPr>
          <w:spacing w:val="-4"/>
          <w:w w:val="105"/>
          <w:sz w:val="21"/>
        </w:rPr>
        <w:t>appropriate.</w:t>
      </w:r>
      <w:r>
        <w:rPr>
          <w:spacing w:val="-4"/>
          <w:w w:val="105"/>
          <w:position w:val="7"/>
          <w:sz w:val="12"/>
        </w:rPr>
        <w:t>199</w:t>
      </w:r>
    </w:p>
    <w:p>
      <w:pPr>
        <w:pStyle w:val="ListParagraph"/>
        <w:numPr>
          <w:ilvl w:val="1"/>
          <w:numId w:val="133"/>
        </w:numPr>
        <w:tabs>
          <w:tab w:pos="2380" w:val="left" w:leader="none"/>
          <w:tab w:pos="2381" w:val="left" w:leader="none"/>
        </w:tabs>
        <w:spacing w:line="242" w:lineRule="auto" w:before="126" w:after="0"/>
        <w:ind w:left="2381" w:right="1852" w:hanging="794"/>
        <w:jc w:val="left"/>
        <w:rPr>
          <w:sz w:val="12"/>
        </w:rPr>
      </w:pPr>
      <w:r>
        <w:rPr>
          <w:sz w:val="21"/>
        </w:rPr>
        <w:t>Other community responses supported specialist medical evidence or pathology testing </w:t>
      </w:r>
      <w:r>
        <w:rPr>
          <w:spacing w:val="-3"/>
          <w:sz w:val="21"/>
        </w:rPr>
        <w:t>for claims relating to future</w:t>
      </w:r>
      <w:r>
        <w:rPr>
          <w:spacing w:val="13"/>
          <w:sz w:val="21"/>
        </w:rPr>
        <w:t> </w:t>
      </w:r>
      <w:r>
        <w:rPr>
          <w:sz w:val="21"/>
        </w:rPr>
        <w:t>harm.</w:t>
      </w:r>
      <w:r>
        <w:rPr>
          <w:position w:val="7"/>
          <w:sz w:val="12"/>
        </w:rPr>
        <w:t>200</w:t>
      </w:r>
    </w:p>
    <w:p>
      <w:pPr>
        <w:pStyle w:val="BodyText"/>
        <w:spacing w:before="2"/>
        <w:rPr>
          <w:sz w:val="20"/>
        </w:rPr>
      </w:pPr>
    </w:p>
    <w:p>
      <w:pPr>
        <w:pStyle w:val="Heading5"/>
      </w:pPr>
      <w:r>
        <w:rPr>
          <w:w w:val="115"/>
        </w:rPr>
        <w:t>Qualifications of arborists</w:t>
      </w:r>
    </w:p>
    <w:p>
      <w:pPr>
        <w:pStyle w:val="ListParagraph"/>
        <w:numPr>
          <w:ilvl w:val="1"/>
          <w:numId w:val="133"/>
        </w:numPr>
        <w:tabs>
          <w:tab w:pos="2380" w:val="left" w:leader="none"/>
          <w:tab w:pos="2381" w:val="left" w:leader="none"/>
        </w:tabs>
        <w:spacing w:line="242" w:lineRule="auto" w:before="138" w:after="0"/>
        <w:ind w:left="2381" w:right="1585" w:hanging="794"/>
        <w:jc w:val="left"/>
        <w:rPr>
          <w:sz w:val="12"/>
        </w:rPr>
      </w:pPr>
      <w:r>
        <w:rPr>
          <w:spacing w:val="-3"/>
          <w:w w:val="105"/>
          <w:sz w:val="21"/>
        </w:rPr>
        <w:t>Community </w:t>
      </w:r>
      <w:r>
        <w:rPr>
          <w:w w:val="105"/>
          <w:sz w:val="21"/>
        </w:rPr>
        <w:t>members overwhelmingly supported an approach </w:t>
      </w:r>
      <w:r>
        <w:rPr>
          <w:spacing w:val="-3"/>
          <w:w w:val="105"/>
          <w:sz w:val="21"/>
        </w:rPr>
        <w:t>that </w:t>
      </w:r>
      <w:r>
        <w:rPr>
          <w:w w:val="105"/>
          <w:sz w:val="21"/>
        </w:rPr>
        <w:t>would </w:t>
      </w:r>
      <w:r>
        <w:rPr>
          <w:spacing w:val="-3"/>
          <w:w w:val="105"/>
          <w:sz w:val="21"/>
        </w:rPr>
        <w:t>require minimum </w:t>
      </w:r>
      <w:r>
        <w:rPr>
          <w:spacing w:val="-2"/>
          <w:w w:val="105"/>
          <w:sz w:val="21"/>
        </w:rPr>
        <w:t>qualification </w:t>
      </w:r>
      <w:r>
        <w:rPr>
          <w:spacing w:val="-3"/>
          <w:w w:val="105"/>
          <w:sz w:val="21"/>
        </w:rPr>
        <w:t>levels for </w:t>
      </w:r>
      <w:r>
        <w:rPr>
          <w:w w:val="105"/>
          <w:sz w:val="21"/>
        </w:rPr>
        <w:t>arborists who provide evidence </w:t>
      </w:r>
      <w:r>
        <w:rPr>
          <w:spacing w:val="-3"/>
          <w:w w:val="105"/>
          <w:sz w:val="21"/>
        </w:rPr>
        <w:t>for </w:t>
      </w:r>
      <w:r>
        <w:rPr>
          <w:w w:val="105"/>
          <w:sz w:val="21"/>
        </w:rPr>
        <w:t>matters </w:t>
      </w:r>
      <w:r>
        <w:rPr>
          <w:spacing w:val="-3"/>
          <w:w w:val="105"/>
          <w:sz w:val="21"/>
        </w:rPr>
        <w:t>initiated </w:t>
      </w:r>
      <w:r>
        <w:rPr>
          <w:w w:val="105"/>
          <w:sz w:val="21"/>
        </w:rPr>
        <w:t>under the new Act. In </w:t>
      </w:r>
      <w:r>
        <w:rPr>
          <w:spacing w:val="-3"/>
          <w:w w:val="105"/>
          <w:sz w:val="21"/>
        </w:rPr>
        <w:t>particular, </w:t>
      </w:r>
      <w:r>
        <w:rPr>
          <w:w w:val="105"/>
          <w:sz w:val="21"/>
        </w:rPr>
        <w:t>a </w:t>
      </w:r>
      <w:r>
        <w:rPr>
          <w:spacing w:val="-3"/>
          <w:w w:val="105"/>
          <w:sz w:val="21"/>
        </w:rPr>
        <w:t>minimum </w:t>
      </w:r>
      <w:r>
        <w:rPr>
          <w:w w:val="105"/>
          <w:sz w:val="21"/>
        </w:rPr>
        <w:t>AQF Level 5 </w:t>
      </w:r>
      <w:r>
        <w:rPr>
          <w:spacing w:val="-2"/>
          <w:w w:val="105"/>
          <w:sz w:val="21"/>
        </w:rPr>
        <w:t>qualification </w:t>
      </w:r>
      <w:r>
        <w:rPr>
          <w:w w:val="105"/>
          <w:sz w:val="21"/>
        </w:rPr>
        <w:t>with </w:t>
      </w:r>
      <w:r>
        <w:rPr>
          <w:spacing w:val="-3"/>
          <w:w w:val="105"/>
          <w:sz w:val="21"/>
        </w:rPr>
        <w:t>additional </w:t>
      </w:r>
      <w:r>
        <w:rPr>
          <w:w w:val="105"/>
          <w:sz w:val="21"/>
        </w:rPr>
        <w:t>practical</w:t>
      </w:r>
      <w:r>
        <w:rPr>
          <w:spacing w:val="-10"/>
          <w:w w:val="105"/>
          <w:sz w:val="21"/>
        </w:rPr>
        <w:t> </w:t>
      </w:r>
      <w:r>
        <w:rPr>
          <w:w w:val="105"/>
          <w:sz w:val="21"/>
        </w:rPr>
        <w:t>experience</w:t>
      </w:r>
      <w:r>
        <w:rPr>
          <w:spacing w:val="-10"/>
          <w:w w:val="105"/>
          <w:sz w:val="21"/>
        </w:rPr>
        <w:t> </w:t>
      </w:r>
      <w:r>
        <w:rPr>
          <w:w w:val="105"/>
          <w:sz w:val="21"/>
        </w:rPr>
        <w:t>was</w:t>
      </w:r>
      <w:r>
        <w:rPr>
          <w:spacing w:val="-10"/>
          <w:w w:val="105"/>
          <w:sz w:val="21"/>
        </w:rPr>
        <w:t> </w:t>
      </w:r>
      <w:r>
        <w:rPr>
          <w:w w:val="105"/>
          <w:sz w:val="21"/>
        </w:rPr>
        <w:t>supported.</w:t>
      </w:r>
      <w:r>
        <w:rPr>
          <w:w w:val="105"/>
          <w:position w:val="7"/>
          <w:sz w:val="12"/>
        </w:rPr>
        <w:t>201</w:t>
      </w:r>
      <w:r>
        <w:rPr>
          <w:spacing w:val="12"/>
          <w:w w:val="105"/>
          <w:position w:val="7"/>
          <w:sz w:val="12"/>
        </w:rPr>
        <w:t> </w:t>
      </w:r>
      <w:r>
        <w:rPr>
          <w:spacing w:val="-4"/>
          <w:w w:val="105"/>
          <w:sz w:val="21"/>
        </w:rPr>
        <w:t>However,</w:t>
      </w:r>
      <w:r>
        <w:rPr>
          <w:spacing w:val="-10"/>
          <w:w w:val="105"/>
          <w:sz w:val="21"/>
        </w:rPr>
        <w:t> </w:t>
      </w:r>
      <w:r>
        <w:rPr>
          <w:w w:val="105"/>
          <w:sz w:val="21"/>
        </w:rPr>
        <w:t>one</w:t>
      </w:r>
      <w:r>
        <w:rPr>
          <w:spacing w:val="-10"/>
          <w:w w:val="105"/>
          <w:sz w:val="21"/>
        </w:rPr>
        <w:t> </w:t>
      </w:r>
      <w:r>
        <w:rPr>
          <w:spacing w:val="-3"/>
          <w:w w:val="105"/>
          <w:sz w:val="21"/>
        </w:rPr>
        <w:t>submission</w:t>
      </w:r>
      <w:r>
        <w:rPr>
          <w:spacing w:val="-10"/>
          <w:w w:val="105"/>
          <w:sz w:val="21"/>
        </w:rPr>
        <w:t> </w:t>
      </w:r>
      <w:r>
        <w:rPr>
          <w:spacing w:val="-3"/>
          <w:w w:val="105"/>
          <w:sz w:val="21"/>
        </w:rPr>
        <w:t>noted</w:t>
      </w:r>
      <w:r>
        <w:rPr>
          <w:spacing w:val="-10"/>
          <w:w w:val="105"/>
          <w:sz w:val="21"/>
        </w:rPr>
        <w:t> </w:t>
      </w:r>
      <w:r>
        <w:rPr>
          <w:spacing w:val="-3"/>
          <w:w w:val="105"/>
          <w:sz w:val="21"/>
        </w:rPr>
        <w:t>that</w:t>
      </w:r>
      <w:r>
        <w:rPr>
          <w:spacing w:val="-10"/>
          <w:w w:val="105"/>
          <w:sz w:val="21"/>
        </w:rPr>
        <w:t> </w:t>
      </w:r>
      <w:r>
        <w:rPr>
          <w:w w:val="105"/>
          <w:sz w:val="21"/>
        </w:rPr>
        <w:t>a</w:t>
      </w:r>
      <w:r>
        <w:rPr>
          <w:spacing w:val="-10"/>
          <w:w w:val="105"/>
          <w:sz w:val="21"/>
        </w:rPr>
        <w:t> </w:t>
      </w:r>
      <w:r>
        <w:rPr>
          <w:w w:val="105"/>
          <w:sz w:val="21"/>
        </w:rPr>
        <w:t>new</w:t>
      </w:r>
      <w:r>
        <w:rPr>
          <w:spacing w:val="-10"/>
          <w:w w:val="105"/>
          <w:sz w:val="21"/>
        </w:rPr>
        <w:t> </w:t>
      </w:r>
      <w:r>
        <w:rPr>
          <w:w w:val="105"/>
          <w:sz w:val="21"/>
        </w:rPr>
        <w:t>scheme should </w:t>
      </w:r>
      <w:r>
        <w:rPr>
          <w:spacing w:val="-2"/>
          <w:w w:val="105"/>
          <w:sz w:val="21"/>
        </w:rPr>
        <w:t>not </w:t>
      </w:r>
      <w:r>
        <w:rPr>
          <w:w w:val="105"/>
          <w:sz w:val="21"/>
        </w:rPr>
        <w:t>attempt </w:t>
      </w:r>
      <w:r>
        <w:rPr>
          <w:spacing w:val="-3"/>
          <w:w w:val="105"/>
          <w:sz w:val="21"/>
        </w:rPr>
        <w:t>to ‘codify </w:t>
      </w:r>
      <w:r>
        <w:rPr>
          <w:w w:val="105"/>
          <w:sz w:val="21"/>
        </w:rPr>
        <w:t>the role of arborists as the </w:t>
      </w:r>
      <w:r>
        <w:rPr>
          <w:spacing w:val="-3"/>
          <w:w w:val="105"/>
          <w:sz w:val="21"/>
        </w:rPr>
        <w:t>admissibility </w:t>
      </w:r>
      <w:r>
        <w:rPr>
          <w:w w:val="105"/>
          <w:sz w:val="21"/>
        </w:rPr>
        <w:t>of evidence would be a matter </w:t>
      </w:r>
      <w:r>
        <w:rPr>
          <w:spacing w:val="-3"/>
          <w:w w:val="105"/>
          <w:sz w:val="21"/>
        </w:rPr>
        <w:t>for </w:t>
      </w:r>
      <w:r>
        <w:rPr>
          <w:w w:val="105"/>
          <w:sz w:val="21"/>
        </w:rPr>
        <w:t>the decision-making body </w:t>
      </w:r>
      <w:r>
        <w:rPr>
          <w:spacing w:val="-3"/>
          <w:w w:val="105"/>
          <w:sz w:val="21"/>
        </w:rPr>
        <w:t>to</w:t>
      </w:r>
      <w:r>
        <w:rPr>
          <w:spacing w:val="37"/>
          <w:w w:val="105"/>
          <w:sz w:val="21"/>
        </w:rPr>
        <w:t> </w:t>
      </w:r>
      <w:r>
        <w:rPr>
          <w:spacing w:val="-3"/>
          <w:w w:val="105"/>
          <w:sz w:val="21"/>
        </w:rPr>
        <w:t>consider’.</w:t>
      </w:r>
      <w:r>
        <w:rPr>
          <w:spacing w:val="-3"/>
          <w:w w:val="105"/>
          <w:position w:val="7"/>
          <w:sz w:val="12"/>
        </w:rPr>
        <w:t>202</w:t>
      </w:r>
    </w:p>
    <w:p>
      <w:pPr>
        <w:pStyle w:val="ListParagraph"/>
        <w:numPr>
          <w:ilvl w:val="1"/>
          <w:numId w:val="133"/>
        </w:numPr>
        <w:tabs>
          <w:tab w:pos="2381" w:val="left" w:leader="none"/>
          <w:tab w:pos="2382" w:val="left" w:leader="none"/>
        </w:tabs>
        <w:spacing w:line="240" w:lineRule="auto" w:before="126" w:after="0"/>
        <w:ind w:left="2381" w:right="0" w:hanging="794"/>
        <w:jc w:val="left"/>
        <w:rPr>
          <w:sz w:val="21"/>
        </w:rPr>
      </w:pPr>
      <w:r>
        <w:rPr>
          <w:w w:val="105"/>
          <w:sz w:val="21"/>
        </w:rPr>
        <w:t>Arborist Ben </w:t>
      </w:r>
      <w:r>
        <w:rPr>
          <w:spacing w:val="-3"/>
          <w:w w:val="105"/>
          <w:sz w:val="21"/>
        </w:rPr>
        <w:t>Kenyon </w:t>
      </w:r>
      <w:r>
        <w:rPr>
          <w:w w:val="105"/>
          <w:sz w:val="21"/>
        </w:rPr>
        <w:t>explained</w:t>
      </w:r>
      <w:r>
        <w:rPr>
          <w:spacing w:val="22"/>
          <w:w w:val="105"/>
          <w:sz w:val="21"/>
        </w:rPr>
        <w:t> </w:t>
      </w:r>
      <w:r>
        <w:rPr>
          <w:w w:val="105"/>
          <w:sz w:val="21"/>
        </w:rPr>
        <w:t>that:</w:t>
      </w:r>
    </w:p>
    <w:p>
      <w:pPr>
        <w:spacing w:line="254" w:lineRule="auto" w:before="133"/>
        <w:ind w:left="2834" w:right="1902" w:firstLine="0"/>
        <w:jc w:val="left"/>
        <w:rPr>
          <w:sz w:val="11"/>
        </w:rPr>
      </w:pPr>
      <w:r>
        <w:rPr>
          <w:sz w:val="20"/>
        </w:rPr>
        <w:t>The guidelines set out in AS </w:t>
      </w:r>
      <w:r>
        <w:rPr>
          <w:spacing w:val="-3"/>
          <w:sz w:val="20"/>
        </w:rPr>
        <w:t>4970-2009  </w:t>
      </w:r>
      <w:r>
        <w:rPr>
          <w:sz w:val="20"/>
        </w:rPr>
        <w:t>Protection of trees on development sites should  be followed. The standard specifies that a suitably qualified person is one that has an    AQF Level 5 in arboriculture as the</w:t>
      </w:r>
      <w:r>
        <w:rPr>
          <w:spacing w:val="17"/>
          <w:sz w:val="20"/>
        </w:rPr>
        <w:t> </w:t>
      </w:r>
      <w:r>
        <w:rPr>
          <w:sz w:val="20"/>
        </w:rPr>
        <w:t>minimum.</w:t>
      </w:r>
      <w:r>
        <w:rPr>
          <w:position w:val="7"/>
          <w:sz w:val="11"/>
        </w:rPr>
        <w:t>203</w:t>
      </w:r>
    </w:p>
    <w:p>
      <w:pPr>
        <w:pStyle w:val="ListParagraph"/>
        <w:numPr>
          <w:ilvl w:val="1"/>
          <w:numId w:val="133"/>
        </w:numPr>
        <w:tabs>
          <w:tab w:pos="2380" w:val="left" w:leader="none"/>
          <w:tab w:pos="2381" w:val="left" w:leader="none"/>
        </w:tabs>
        <w:spacing w:line="240" w:lineRule="auto" w:before="115" w:after="0"/>
        <w:ind w:left="2381" w:right="0" w:hanging="794"/>
        <w:jc w:val="left"/>
        <w:rPr>
          <w:sz w:val="21"/>
        </w:rPr>
      </w:pPr>
      <w:r>
        <w:rPr>
          <w:w w:val="105"/>
          <w:sz w:val="21"/>
        </w:rPr>
        <w:t>Dr Gregory Moore OAM supported </w:t>
      </w:r>
      <w:r>
        <w:rPr>
          <w:spacing w:val="-3"/>
          <w:w w:val="105"/>
          <w:sz w:val="21"/>
        </w:rPr>
        <w:t>such </w:t>
      </w:r>
      <w:r>
        <w:rPr>
          <w:w w:val="105"/>
          <w:sz w:val="21"/>
        </w:rPr>
        <w:t>an</w:t>
      </w:r>
      <w:r>
        <w:rPr>
          <w:spacing w:val="37"/>
          <w:w w:val="105"/>
          <w:sz w:val="21"/>
        </w:rPr>
        <w:t> </w:t>
      </w:r>
      <w:r>
        <w:rPr>
          <w:w w:val="105"/>
          <w:sz w:val="21"/>
        </w:rPr>
        <w:t>approach:</w:t>
      </w:r>
    </w:p>
    <w:p>
      <w:pPr>
        <w:spacing w:line="254" w:lineRule="auto" w:before="133"/>
        <w:ind w:left="2834" w:right="1621" w:firstLine="0"/>
        <w:jc w:val="both"/>
        <w:rPr>
          <w:sz w:val="11"/>
        </w:rPr>
      </w:pPr>
      <w:r>
        <w:rPr>
          <w:sz w:val="20"/>
        </w:rPr>
        <w:t>In Victoria, there is a very good argument that it should be higher such as a minimum of level 5. The reason for this is that there are several hundred trained/educated arborists in Victoria at level 5 or above, but this is not the case in other states.</w:t>
      </w:r>
      <w:r>
        <w:rPr>
          <w:position w:val="7"/>
          <w:sz w:val="11"/>
        </w:rPr>
        <w:t>204</w:t>
      </w:r>
    </w:p>
    <w:p>
      <w:pPr>
        <w:pStyle w:val="ListParagraph"/>
        <w:numPr>
          <w:ilvl w:val="1"/>
          <w:numId w:val="133"/>
        </w:numPr>
        <w:tabs>
          <w:tab w:pos="2381" w:val="left" w:leader="none"/>
          <w:tab w:pos="2382" w:val="left" w:leader="none"/>
        </w:tabs>
        <w:spacing w:line="242" w:lineRule="auto" w:before="114" w:after="0"/>
        <w:ind w:left="2381" w:right="1954" w:hanging="794"/>
        <w:jc w:val="left"/>
        <w:rPr>
          <w:sz w:val="21"/>
        </w:rPr>
      </w:pPr>
      <w:r>
        <w:rPr>
          <w:sz w:val="21"/>
        </w:rPr>
        <w:t>Arborist Robert Mineo explained </w:t>
      </w:r>
      <w:r>
        <w:rPr>
          <w:spacing w:val="-3"/>
          <w:sz w:val="21"/>
        </w:rPr>
        <w:t>that arboricultural qualifications </w:t>
      </w:r>
      <w:r>
        <w:rPr>
          <w:sz w:val="21"/>
        </w:rPr>
        <w:t>under the </w:t>
      </w:r>
      <w:r>
        <w:rPr>
          <w:spacing w:val="-3"/>
          <w:sz w:val="21"/>
        </w:rPr>
        <w:t>Australian </w:t>
      </w:r>
      <w:r>
        <w:rPr>
          <w:sz w:val="21"/>
        </w:rPr>
        <w:t>Qualification </w:t>
      </w:r>
      <w:r>
        <w:rPr>
          <w:spacing w:val="-3"/>
          <w:sz w:val="21"/>
        </w:rPr>
        <w:t>Framework have </w:t>
      </w:r>
      <w:r>
        <w:rPr>
          <w:sz w:val="21"/>
        </w:rPr>
        <w:t>undergone some </w:t>
      </w:r>
      <w:r>
        <w:rPr>
          <w:spacing w:val="-3"/>
          <w:sz w:val="21"/>
        </w:rPr>
        <w:t>changes. </w:t>
      </w:r>
      <w:r>
        <w:rPr>
          <w:sz w:val="21"/>
        </w:rPr>
        <w:t>Mr Mineo</w:t>
      </w:r>
      <w:r>
        <w:rPr>
          <w:spacing w:val="-5"/>
          <w:sz w:val="21"/>
        </w:rPr>
        <w:t> </w:t>
      </w:r>
      <w:r>
        <w:rPr>
          <w:sz w:val="21"/>
        </w:rPr>
        <w:t>stated:</w:t>
      </w:r>
    </w:p>
    <w:p>
      <w:pPr>
        <w:spacing w:line="254" w:lineRule="auto" w:before="132"/>
        <w:ind w:left="2834" w:right="1627" w:firstLine="0"/>
        <w:jc w:val="left"/>
        <w:rPr>
          <w:sz w:val="11"/>
        </w:rPr>
      </w:pPr>
      <w:r>
        <w:rPr>
          <w:w w:val="105"/>
          <w:sz w:val="20"/>
        </w:rPr>
        <w:t>Many experienced arborists are qualified with what used to be a Level IV arborists’ qualification (advanced certificate). This was described as the </w:t>
      </w:r>
      <w:r>
        <w:rPr>
          <w:spacing w:val="-4"/>
          <w:w w:val="105"/>
          <w:sz w:val="20"/>
        </w:rPr>
        <w:t>‘old </w:t>
      </w:r>
      <w:r>
        <w:rPr>
          <w:w w:val="105"/>
          <w:sz w:val="20"/>
        </w:rPr>
        <w:t>school diploma’ and it is no longer offered. The arborist qualification regime changed in </w:t>
      </w:r>
      <w:r>
        <w:rPr>
          <w:spacing w:val="-3"/>
          <w:w w:val="105"/>
          <w:sz w:val="20"/>
        </w:rPr>
        <w:t>2009–10. </w:t>
      </w:r>
      <w:r>
        <w:rPr>
          <w:w w:val="105"/>
          <w:sz w:val="20"/>
        </w:rPr>
        <w:t>Under the </w:t>
      </w:r>
      <w:r>
        <w:rPr>
          <w:spacing w:val="-3"/>
          <w:w w:val="105"/>
          <w:sz w:val="20"/>
        </w:rPr>
        <w:t>current </w:t>
      </w:r>
      <w:r>
        <w:rPr>
          <w:w w:val="105"/>
          <w:sz w:val="20"/>
        </w:rPr>
        <w:t>qualification framework, a </w:t>
      </w:r>
      <w:r>
        <w:rPr>
          <w:spacing w:val="-3"/>
          <w:w w:val="105"/>
          <w:sz w:val="20"/>
        </w:rPr>
        <w:t>full </w:t>
      </w:r>
      <w:r>
        <w:rPr>
          <w:w w:val="105"/>
          <w:sz w:val="20"/>
        </w:rPr>
        <w:t>tree assessment qualification is </w:t>
      </w:r>
      <w:r>
        <w:rPr>
          <w:spacing w:val="-3"/>
          <w:w w:val="105"/>
          <w:sz w:val="20"/>
        </w:rPr>
        <w:t>usually </w:t>
      </w:r>
      <w:r>
        <w:rPr>
          <w:w w:val="105"/>
          <w:sz w:val="20"/>
        </w:rPr>
        <w:t>at Level V (diploma) but lesser elements of tree assessment, mostly to determine safely working around trees, is undertaken in Level 3.</w:t>
      </w:r>
      <w:r>
        <w:rPr>
          <w:w w:val="105"/>
          <w:position w:val="7"/>
          <w:sz w:val="11"/>
        </w:rPr>
        <w:t>205</w:t>
      </w:r>
    </w:p>
    <w:p>
      <w:pPr>
        <w:pStyle w:val="BodyText"/>
        <w:rPr>
          <w:sz w:val="20"/>
        </w:rPr>
      </w:pPr>
    </w:p>
    <w:p>
      <w:pPr>
        <w:pStyle w:val="BodyText"/>
        <w:rPr>
          <w:sz w:val="20"/>
        </w:rPr>
      </w:pPr>
    </w:p>
    <w:p>
      <w:pPr>
        <w:pStyle w:val="BodyText"/>
        <w:spacing w:before="5"/>
      </w:pPr>
      <w:r>
        <w:rPr/>
        <w:pict>
          <v:line style="position:absolute;mso-position-horizontal-relative:page;mso-position-vertical-relative:paragraph;z-index:8096;mso-wrap-distance-left:0;mso-wrap-distance-right:0" from="79.370102pt,15.535202pt" to="515.905102pt,15.535202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38"/>
        </w:numPr>
        <w:tabs>
          <w:tab w:pos="2380" w:val="left" w:leader="none"/>
          <w:tab w:pos="2382" w:val="left" w:leader="none"/>
        </w:tabs>
        <w:spacing w:line="240" w:lineRule="auto" w:before="48" w:after="0"/>
        <w:ind w:left="2381" w:right="0" w:hanging="794"/>
        <w:jc w:val="left"/>
        <w:rPr>
          <w:sz w:val="13"/>
        </w:rPr>
      </w:pPr>
      <w:r>
        <w:rPr>
          <w:w w:val="105"/>
          <w:sz w:val="13"/>
        </w:rPr>
        <w:t>Submission </w:t>
      </w:r>
      <w:r>
        <w:rPr>
          <w:spacing w:val="-4"/>
          <w:w w:val="105"/>
          <w:sz w:val="13"/>
        </w:rPr>
        <w:t>12 </w:t>
      </w:r>
      <w:r>
        <w:rPr>
          <w:spacing w:val="3"/>
          <w:w w:val="105"/>
          <w:sz w:val="13"/>
        </w:rPr>
        <w:t>(Dr </w:t>
      </w:r>
      <w:r>
        <w:rPr>
          <w:w w:val="105"/>
          <w:sz w:val="13"/>
        </w:rPr>
        <w:t>Gregory Moore</w:t>
      </w:r>
      <w:r>
        <w:rPr>
          <w:spacing w:val="-3"/>
          <w:w w:val="105"/>
          <w:sz w:val="13"/>
        </w:rPr>
        <w:t> </w:t>
      </w:r>
      <w:r>
        <w:rPr>
          <w:spacing w:val="2"/>
          <w:w w:val="105"/>
          <w:sz w:val="13"/>
        </w:rPr>
        <w:t>OAM).</w:t>
      </w:r>
    </w:p>
    <w:p>
      <w:pPr>
        <w:pStyle w:val="ListParagraph"/>
        <w:numPr>
          <w:ilvl w:val="0"/>
          <w:numId w:val="138"/>
        </w:numPr>
        <w:tabs>
          <w:tab w:pos="2380" w:val="left" w:leader="none"/>
          <w:tab w:pos="2382" w:val="left" w:leader="none"/>
        </w:tabs>
        <w:spacing w:line="240" w:lineRule="auto" w:before="1" w:after="0"/>
        <w:ind w:left="2381" w:right="0" w:hanging="794"/>
        <w:jc w:val="left"/>
        <w:rPr>
          <w:sz w:val="13"/>
        </w:rPr>
      </w:pPr>
      <w:r>
        <w:rPr>
          <w:w w:val="105"/>
          <w:sz w:val="13"/>
        </w:rPr>
        <w:t>Submission 25 (City of</w:t>
      </w:r>
      <w:r>
        <w:rPr>
          <w:spacing w:val="18"/>
          <w:w w:val="105"/>
          <w:sz w:val="13"/>
        </w:rPr>
        <w:t> </w:t>
      </w:r>
      <w:r>
        <w:rPr>
          <w:w w:val="105"/>
          <w:sz w:val="13"/>
        </w:rPr>
        <w:t>Boroondara).</w:t>
      </w:r>
    </w:p>
    <w:p>
      <w:pPr>
        <w:pStyle w:val="ListParagraph"/>
        <w:numPr>
          <w:ilvl w:val="0"/>
          <w:numId w:val="138"/>
        </w:numPr>
        <w:tabs>
          <w:tab w:pos="2380" w:val="left" w:leader="none"/>
          <w:tab w:pos="2382" w:val="left" w:leader="none"/>
        </w:tabs>
        <w:spacing w:line="240" w:lineRule="auto" w:before="2" w:after="0"/>
        <w:ind w:left="2381" w:right="0" w:hanging="794"/>
        <w:jc w:val="left"/>
        <w:rPr>
          <w:sz w:val="13"/>
        </w:rPr>
      </w:pPr>
      <w:r>
        <w:rPr>
          <w:w w:val="105"/>
          <w:sz w:val="13"/>
        </w:rPr>
        <w:t>Consultations 10 </w:t>
      </w:r>
      <w:r>
        <w:rPr>
          <w:spacing w:val="2"/>
          <w:w w:val="105"/>
          <w:sz w:val="13"/>
        </w:rPr>
        <w:t>(Baw </w:t>
      </w:r>
      <w:r>
        <w:rPr>
          <w:w w:val="105"/>
          <w:sz w:val="13"/>
        </w:rPr>
        <w:t>Baw Shire Council); </w:t>
      </w:r>
      <w:r>
        <w:rPr>
          <w:spacing w:val="-4"/>
          <w:w w:val="105"/>
          <w:sz w:val="13"/>
        </w:rPr>
        <w:t>12 </w:t>
      </w:r>
      <w:r>
        <w:rPr>
          <w:w w:val="105"/>
          <w:sz w:val="13"/>
        </w:rPr>
        <w:t>(City of Port</w:t>
      </w:r>
      <w:r>
        <w:rPr>
          <w:spacing w:val="24"/>
          <w:w w:val="105"/>
          <w:sz w:val="13"/>
        </w:rPr>
        <w:t> </w:t>
      </w:r>
      <w:r>
        <w:rPr>
          <w:w w:val="105"/>
          <w:sz w:val="13"/>
        </w:rPr>
        <w:t>Phillip).</w:t>
      </w:r>
    </w:p>
    <w:p>
      <w:pPr>
        <w:pStyle w:val="ListParagraph"/>
        <w:numPr>
          <w:ilvl w:val="0"/>
          <w:numId w:val="138"/>
        </w:numPr>
        <w:tabs>
          <w:tab w:pos="2381" w:val="left" w:leader="none"/>
          <w:tab w:pos="2382" w:val="left" w:leader="none"/>
        </w:tabs>
        <w:spacing w:line="240" w:lineRule="auto" w:before="1"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138"/>
        </w:numPr>
        <w:tabs>
          <w:tab w:pos="2381" w:val="left" w:leader="none"/>
          <w:tab w:pos="2382" w:val="left" w:leader="none"/>
        </w:tabs>
        <w:spacing w:line="240" w:lineRule="auto" w:before="1" w:after="0"/>
        <w:ind w:left="2381" w:right="0" w:hanging="794"/>
        <w:jc w:val="left"/>
        <w:rPr>
          <w:sz w:val="13"/>
        </w:rPr>
      </w:pPr>
      <w:r>
        <w:rPr>
          <w:w w:val="105"/>
          <w:sz w:val="13"/>
        </w:rPr>
        <w:t>Submission</w:t>
      </w:r>
      <w:r>
        <w:rPr>
          <w:spacing w:val="6"/>
          <w:w w:val="105"/>
          <w:sz w:val="13"/>
        </w:rPr>
        <w:t> </w:t>
      </w:r>
      <w:r>
        <w:rPr>
          <w:spacing w:val="-4"/>
          <w:w w:val="105"/>
          <w:sz w:val="13"/>
        </w:rPr>
        <w:t>12</w:t>
      </w:r>
      <w:r>
        <w:rPr>
          <w:spacing w:val="6"/>
          <w:w w:val="105"/>
          <w:sz w:val="13"/>
        </w:rPr>
        <w:t> </w:t>
      </w:r>
      <w:r>
        <w:rPr>
          <w:spacing w:val="3"/>
          <w:w w:val="105"/>
          <w:sz w:val="13"/>
        </w:rPr>
        <w:t>(Dr</w:t>
      </w:r>
      <w:r>
        <w:rPr>
          <w:spacing w:val="6"/>
          <w:w w:val="105"/>
          <w:sz w:val="13"/>
        </w:rPr>
        <w:t> </w:t>
      </w:r>
      <w:r>
        <w:rPr>
          <w:w w:val="105"/>
          <w:sz w:val="13"/>
        </w:rPr>
        <w:t>Gregory</w:t>
      </w:r>
      <w:r>
        <w:rPr>
          <w:spacing w:val="7"/>
          <w:w w:val="105"/>
          <w:sz w:val="13"/>
        </w:rPr>
        <w:t> </w:t>
      </w:r>
      <w:r>
        <w:rPr>
          <w:w w:val="105"/>
          <w:sz w:val="13"/>
        </w:rPr>
        <w:t>Moore</w:t>
      </w:r>
      <w:r>
        <w:rPr>
          <w:spacing w:val="6"/>
          <w:w w:val="105"/>
          <w:sz w:val="13"/>
        </w:rPr>
        <w:t> </w:t>
      </w:r>
      <w:r>
        <w:rPr>
          <w:spacing w:val="2"/>
          <w:w w:val="105"/>
          <w:sz w:val="13"/>
        </w:rPr>
        <w:t>OAM);</w:t>
      </w:r>
      <w:r>
        <w:rPr>
          <w:spacing w:val="6"/>
          <w:w w:val="105"/>
          <w:sz w:val="13"/>
        </w:rPr>
        <w:t> </w:t>
      </w:r>
      <w:r>
        <w:rPr>
          <w:w w:val="105"/>
          <w:sz w:val="13"/>
        </w:rPr>
        <w:t>Consultation</w:t>
      </w:r>
      <w:r>
        <w:rPr>
          <w:spacing w:val="7"/>
          <w:w w:val="105"/>
          <w:sz w:val="13"/>
        </w:rPr>
        <w:t> </w:t>
      </w:r>
      <w:r>
        <w:rPr>
          <w:w w:val="105"/>
          <w:sz w:val="13"/>
        </w:rPr>
        <w:t>8</w:t>
      </w:r>
      <w:r>
        <w:rPr>
          <w:spacing w:val="6"/>
          <w:w w:val="105"/>
          <w:sz w:val="13"/>
        </w:rPr>
        <w:t> </w:t>
      </w:r>
      <w:r>
        <w:rPr>
          <w:w w:val="105"/>
          <w:sz w:val="13"/>
        </w:rPr>
        <w:t>(City</w:t>
      </w:r>
      <w:r>
        <w:rPr>
          <w:spacing w:val="6"/>
          <w:w w:val="105"/>
          <w:sz w:val="13"/>
        </w:rPr>
        <w:t> </w:t>
      </w:r>
      <w:r>
        <w:rPr>
          <w:w w:val="105"/>
          <w:sz w:val="13"/>
        </w:rPr>
        <w:t>of</w:t>
      </w:r>
      <w:r>
        <w:rPr>
          <w:spacing w:val="6"/>
          <w:w w:val="105"/>
          <w:sz w:val="13"/>
        </w:rPr>
        <w:t> </w:t>
      </w:r>
      <w:r>
        <w:rPr>
          <w:w w:val="105"/>
          <w:sz w:val="13"/>
        </w:rPr>
        <w:t>Boroondara),</w:t>
      </w:r>
      <w:r>
        <w:rPr>
          <w:spacing w:val="7"/>
          <w:w w:val="105"/>
          <w:sz w:val="13"/>
        </w:rPr>
        <w:t> </w:t>
      </w:r>
      <w:r>
        <w:rPr>
          <w:spacing w:val="-4"/>
          <w:w w:val="105"/>
          <w:sz w:val="13"/>
        </w:rPr>
        <w:t>12</w:t>
      </w:r>
      <w:r>
        <w:rPr>
          <w:spacing w:val="6"/>
          <w:w w:val="105"/>
          <w:sz w:val="13"/>
        </w:rPr>
        <w:t> </w:t>
      </w:r>
      <w:r>
        <w:rPr>
          <w:w w:val="105"/>
          <w:sz w:val="13"/>
        </w:rPr>
        <w:t>(City</w:t>
      </w:r>
      <w:r>
        <w:rPr>
          <w:spacing w:val="6"/>
          <w:w w:val="105"/>
          <w:sz w:val="13"/>
        </w:rPr>
        <w:t> </w:t>
      </w:r>
      <w:r>
        <w:rPr>
          <w:w w:val="105"/>
          <w:sz w:val="13"/>
        </w:rPr>
        <w:t>of</w:t>
      </w:r>
      <w:r>
        <w:rPr>
          <w:spacing w:val="7"/>
          <w:w w:val="105"/>
          <w:sz w:val="13"/>
        </w:rPr>
        <w:t> </w:t>
      </w:r>
      <w:r>
        <w:rPr>
          <w:w w:val="105"/>
          <w:sz w:val="13"/>
        </w:rPr>
        <w:t>Port</w:t>
      </w:r>
      <w:r>
        <w:rPr>
          <w:spacing w:val="6"/>
          <w:w w:val="105"/>
          <w:sz w:val="13"/>
        </w:rPr>
        <w:t> </w:t>
      </w:r>
      <w:r>
        <w:rPr>
          <w:w w:val="105"/>
          <w:sz w:val="13"/>
        </w:rPr>
        <w:t>Phillip).</w:t>
      </w:r>
    </w:p>
    <w:p>
      <w:pPr>
        <w:pStyle w:val="ListParagraph"/>
        <w:numPr>
          <w:ilvl w:val="0"/>
          <w:numId w:val="138"/>
        </w:numPr>
        <w:tabs>
          <w:tab w:pos="2381" w:val="left" w:leader="none"/>
          <w:tab w:pos="2382" w:val="left" w:leader="none"/>
        </w:tabs>
        <w:spacing w:line="240" w:lineRule="auto" w:before="2" w:after="0"/>
        <w:ind w:left="2381" w:right="38" w:hanging="794"/>
        <w:jc w:val="both"/>
        <w:rPr>
          <w:sz w:val="13"/>
        </w:rPr>
      </w:pPr>
      <w:r>
        <w:rPr>
          <w:w w:val="105"/>
          <w:sz w:val="13"/>
        </w:rPr>
        <w:t>Submissions 2 </w:t>
      </w:r>
      <w:r>
        <w:rPr>
          <w:spacing w:val="2"/>
          <w:w w:val="105"/>
          <w:sz w:val="13"/>
        </w:rPr>
        <w:t>(Name </w:t>
      </w:r>
      <w:r>
        <w:rPr>
          <w:w w:val="105"/>
          <w:sz w:val="13"/>
        </w:rPr>
        <w:t>withheld), 4 </w:t>
      </w:r>
      <w:r>
        <w:rPr>
          <w:spacing w:val="2"/>
          <w:w w:val="105"/>
          <w:sz w:val="13"/>
        </w:rPr>
        <w:t>(Name </w:t>
      </w:r>
      <w:r>
        <w:rPr>
          <w:w w:val="105"/>
          <w:sz w:val="13"/>
        </w:rPr>
        <w:t>withheld), 7 </w:t>
      </w:r>
      <w:r>
        <w:rPr>
          <w:spacing w:val="2"/>
          <w:w w:val="105"/>
          <w:sz w:val="13"/>
        </w:rPr>
        <w:t>(Ben </w:t>
      </w:r>
      <w:r>
        <w:rPr>
          <w:w w:val="105"/>
          <w:sz w:val="13"/>
        </w:rPr>
        <w:t>Kenyon), 9 </w:t>
      </w:r>
      <w:r>
        <w:rPr>
          <w:spacing w:val="3"/>
          <w:w w:val="105"/>
          <w:sz w:val="13"/>
        </w:rPr>
        <w:t>(Dr </w:t>
      </w:r>
      <w:r>
        <w:rPr>
          <w:w w:val="105"/>
          <w:sz w:val="13"/>
        </w:rPr>
        <w:t>Karen Smith), </w:t>
      </w:r>
      <w:r>
        <w:rPr>
          <w:spacing w:val="-4"/>
          <w:w w:val="105"/>
          <w:sz w:val="13"/>
        </w:rPr>
        <w:t>12 </w:t>
      </w:r>
      <w:r>
        <w:rPr>
          <w:spacing w:val="3"/>
          <w:w w:val="105"/>
          <w:sz w:val="13"/>
        </w:rPr>
        <w:t>(Dr </w:t>
      </w:r>
      <w:r>
        <w:rPr>
          <w:w w:val="105"/>
          <w:sz w:val="13"/>
        </w:rPr>
        <w:t>Gregory Moore </w:t>
      </w:r>
      <w:r>
        <w:rPr>
          <w:spacing w:val="2"/>
          <w:w w:val="105"/>
          <w:sz w:val="13"/>
        </w:rPr>
        <w:t>OAM); </w:t>
      </w:r>
      <w:r>
        <w:rPr>
          <w:w w:val="105"/>
          <w:sz w:val="13"/>
        </w:rPr>
        <w:t>Consultations 4 (Participants in facilitated discussion at </w:t>
      </w:r>
      <w:r>
        <w:rPr>
          <w:spacing w:val="4"/>
          <w:w w:val="105"/>
          <w:sz w:val="13"/>
        </w:rPr>
        <w:t>VTIO </w:t>
      </w:r>
      <w:r>
        <w:rPr>
          <w:w w:val="105"/>
          <w:sz w:val="13"/>
        </w:rPr>
        <w:t>ArborCamp2018), 6 </w:t>
      </w:r>
      <w:r>
        <w:rPr>
          <w:spacing w:val="2"/>
          <w:w w:val="105"/>
          <w:sz w:val="13"/>
        </w:rPr>
        <w:t>(Ben </w:t>
      </w:r>
      <w:r>
        <w:rPr>
          <w:w w:val="105"/>
          <w:sz w:val="13"/>
        </w:rPr>
        <w:t>Kenyon), 8 (City of Boroondara),    9 (Nillumbik Shire</w:t>
      </w:r>
      <w:r>
        <w:rPr>
          <w:spacing w:val="14"/>
          <w:w w:val="105"/>
          <w:sz w:val="13"/>
        </w:rPr>
        <w:t> </w:t>
      </w:r>
      <w:r>
        <w:rPr>
          <w:w w:val="105"/>
          <w:sz w:val="13"/>
        </w:rPr>
        <w:t>Council).</w:t>
      </w:r>
    </w:p>
    <w:p>
      <w:pPr>
        <w:pStyle w:val="ListParagraph"/>
        <w:numPr>
          <w:ilvl w:val="0"/>
          <w:numId w:val="138"/>
        </w:numPr>
        <w:tabs>
          <w:tab w:pos="2381" w:val="left" w:leader="none"/>
          <w:tab w:pos="2382" w:val="left" w:leader="none"/>
        </w:tabs>
        <w:spacing w:line="240" w:lineRule="auto" w:before="4" w:after="0"/>
        <w:ind w:left="2381" w:right="0" w:hanging="794"/>
        <w:jc w:val="left"/>
        <w:rPr>
          <w:sz w:val="13"/>
        </w:rPr>
      </w:pPr>
      <w:r>
        <w:rPr>
          <w:w w:val="105"/>
          <w:sz w:val="13"/>
        </w:rPr>
        <w:t>Submission 21 (Pointon Partners</w:t>
      </w:r>
      <w:r>
        <w:rPr>
          <w:spacing w:val="17"/>
          <w:w w:val="105"/>
          <w:sz w:val="13"/>
        </w:rPr>
        <w:t> </w:t>
      </w:r>
      <w:r>
        <w:rPr>
          <w:spacing w:val="2"/>
          <w:w w:val="105"/>
          <w:sz w:val="13"/>
        </w:rPr>
        <w:t>Lawyers).</w:t>
      </w:r>
    </w:p>
    <w:p>
      <w:pPr>
        <w:pStyle w:val="ListParagraph"/>
        <w:numPr>
          <w:ilvl w:val="0"/>
          <w:numId w:val="138"/>
        </w:numPr>
        <w:tabs>
          <w:tab w:pos="2381" w:val="left" w:leader="none"/>
          <w:tab w:pos="2382" w:val="left" w:leader="none"/>
        </w:tabs>
        <w:spacing w:line="240" w:lineRule="auto" w:before="1" w:after="0"/>
        <w:ind w:left="2381" w:right="0" w:hanging="794"/>
        <w:jc w:val="left"/>
        <w:rPr>
          <w:sz w:val="13"/>
        </w:rPr>
      </w:pPr>
      <w:r>
        <w:rPr>
          <w:w w:val="105"/>
          <w:sz w:val="13"/>
        </w:rPr>
        <w:t>Submission 7 </w:t>
      </w:r>
      <w:r>
        <w:rPr>
          <w:spacing w:val="2"/>
          <w:w w:val="105"/>
          <w:sz w:val="13"/>
        </w:rPr>
        <w:t>(Ben</w:t>
      </w:r>
      <w:r>
        <w:rPr>
          <w:spacing w:val="13"/>
          <w:w w:val="105"/>
          <w:sz w:val="13"/>
        </w:rPr>
        <w:t> </w:t>
      </w:r>
      <w:r>
        <w:rPr>
          <w:w w:val="105"/>
          <w:sz w:val="13"/>
        </w:rPr>
        <w:t>Kenyon).</w:t>
      </w:r>
    </w:p>
    <w:p>
      <w:pPr>
        <w:pStyle w:val="ListParagraph"/>
        <w:numPr>
          <w:ilvl w:val="0"/>
          <w:numId w:val="138"/>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4"/>
          <w:w w:val="105"/>
          <w:sz w:val="13"/>
        </w:rPr>
        <w:t>12 </w:t>
      </w:r>
      <w:r>
        <w:rPr>
          <w:spacing w:val="3"/>
          <w:w w:val="105"/>
          <w:sz w:val="13"/>
        </w:rPr>
        <w:t>(Dr </w:t>
      </w:r>
      <w:r>
        <w:rPr>
          <w:w w:val="105"/>
          <w:sz w:val="13"/>
        </w:rPr>
        <w:t>Gregory Moore</w:t>
      </w:r>
      <w:r>
        <w:rPr>
          <w:spacing w:val="-3"/>
          <w:w w:val="105"/>
          <w:sz w:val="13"/>
        </w:rPr>
        <w:t> </w:t>
      </w:r>
      <w:r>
        <w:rPr>
          <w:spacing w:val="2"/>
          <w:w w:val="105"/>
          <w:sz w:val="13"/>
        </w:rPr>
        <w:t>OAM).</w:t>
      </w:r>
    </w:p>
    <w:p>
      <w:pPr>
        <w:pStyle w:val="ListParagraph"/>
        <w:numPr>
          <w:ilvl w:val="0"/>
          <w:numId w:val="138"/>
        </w:numPr>
        <w:tabs>
          <w:tab w:pos="2381" w:val="left" w:leader="none"/>
          <w:tab w:pos="2382" w:val="left" w:leader="none"/>
        </w:tabs>
        <w:spacing w:line="240" w:lineRule="auto" w:before="2" w:after="0"/>
        <w:ind w:left="2381" w:right="0" w:hanging="794"/>
        <w:jc w:val="left"/>
        <w:rPr>
          <w:sz w:val="13"/>
        </w:rPr>
      </w:pPr>
      <w:r>
        <w:rPr>
          <w:w w:val="105"/>
          <w:sz w:val="13"/>
        </w:rPr>
        <w:t>Consultation </w:t>
      </w:r>
      <w:r>
        <w:rPr>
          <w:spacing w:val="-3"/>
          <w:w w:val="105"/>
          <w:sz w:val="13"/>
        </w:rPr>
        <w:t>14 </w:t>
      </w:r>
      <w:r>
        <w:rPr>
          <w:spacing w:val="2"/>
          <w:w w:val="105"/>
          <w:sz w:val="13"/>
        </w:rPr>
        <w:t>(Robert</w:t>
      </w:r>
      <w:r>
        <w:rPr>
          <w:spacing w:val="16"/>
          <w:w w:val="105"/>
          <w:sz w:val="13"/>
        </w:rPr>
        <w:t> </w:t>
      </w:r>
      <w:r>
        <w:rPr>
          <w:spacing w:val="2"/>
          <w:w w:val="105"/>
          <w:sz w:val="13"/>
        </w:rPr>
        <w:t>Mineo).</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6"/>
        <w:rPr>
          <w:sz w:val="27"/>
        </w:rPr>
      </w:pPr>
    </w:p>
    <w:p>
      <w:pPr>
        <w:spacing w:before="0"/>
        <w:ind w:left="1587" w:right="0" w:firstLine="0"/>
        <w:jc w:val="left"/>
        <w:rPr>
          <w:b/>
          <w:sz w:val="24"/>
        </w:rPr>
      </w:pPr>
      <w:r>
        <w:rPr>
          <w:b/>
          <w:color w:val="658464"/>
          <w:w w:val="110"/>
          <w:sz w:val="24"/>
        </w:rPr>
        <w:t>185</w:t>
      </w:r>
    </w:p>
    <w:p>
      <w:pPr>
        <w:spacing w:after="0"/>
        <w:jc w:val="left"/>
        <w:rPr>
          <w:sz w:val="24"/>
        </w:rPr>
        <w:sectPr>
          <w:type w:val="continuous"/>
          <w:pgSz w:w="11910" w:h="16840"/>
          <w:pgMar w:top="300" w:bottom="280" w:left="0" w:right="0"/>
          <w:cols w:num="2" w:equalWidth="0">
            <w:col w:w="9211" w:space="116"/>
            <w:col w:w="2583"/>
          </w:cols>
        </w:sectPr>
      </w:pPr>
    </w:p>
    <w:p>
      <w:pPr>
        <w:pStyle w:val="BodyText"/>
        <w:spacing w:before="9"/>
        <w:rPr>
          <w:b/>
          <w:sz w:val="22"/>
        </w:rPr>
      </w:pPr>
    </w:p>
    <w:p>
      <w:pPr>
        <w:pStyle w:val="ListParagraph"/>
        <w:numPr>
          <w:ilvl w:val="1"/>
          <w:numId w:val="133"/>
        </w:numPr>
        <w:tabs>
          <w:tab w:pos="2381" w:val="left" w:leader="none"/>
          <w:tab w:pos="2382" w:val="left" w:leader="none"/>
        </w:tabs>
        <w:spacing w:line="240" w:lineRule="auto" w:before="92" w:after="0"/>
        <w:ind w:left="2381" w:right="0" w:hanging="794"/>
        <w:jc w:val="left"/>
        <w:rPr>
          <w:sz w:val="21"/>
        </w:rPr>
      </w:pPr>
      <w:r>
        <w:rPr>
          <w:spacing w:val="-4"/>
          <w:w w:val="105"/>
          <w:sz w:val="21"/>
        </w:rPr>
        <w:t>ENSPEC, </w:t>
      </w:r>
      <w:r>
        <w:rPr>
          <w:w w:val="105"/>
          <w:sz w:val="21"/>
        </w:rPr>
        <w:t>an </w:t>
      </w:r>
      <w:r>
        <w:rPr>
          <w:spacing w:val="-3"/>
          <w:w w:val="105"/>
          <w:sz w:val="21"/>
        </w:rPr>
        <w:t>arboricultural consulting </w:t>
      </w:r>
      <w:r>
        <w:rPr>
          <w:w w:val="105"/>
          <w:sz w:val="21"/>
        </w:rPr>
        <w:t>firm,</w:t>
      </w:r>
      <w:r>
        <w:rPr>
          <w:spacing w:val="35"/>
          <w:w w:val="105"/>
          <w:sz w:val="21"/>
        </w:rPr>
        <w:t> </w:t>
      </w:r>
      <w:r>
        <w:rPr>
          <w:w w:val="105"/>
          <w:sz w:val="21"/>
        </w:rPr>
        <w:t>advised:</w:t>
      </w:r>
    </w:p>
    <w:p>
      <w:pPr>
        <w:spacing w:line="254" w:lineRule="auto" w:before="133"/>
        <w:ind w:left="2834" w:right="1933" w:firstLine="0"/>
        <w:jc w:val="left"/>
        <w:rPr>
          <w:sz w:val="20"/>
        </w:rPr>
      </w:pPr>
      <w:r>
        <w:rPr>
          <w:sz w:val="20"/>
        </w:rPr>
        <w:t>Arboriculture is a specialist skillset and knowledge base that is still relatively new and evolving. Many people, both lay persons and other professions,  believe  they  </w:t>
      </w:r>
      <w:r>
        <w:rPr>
          <w:spacing w:val="-3"/>
          <w:sz w:val="20"/>
        </w:rPr>
        <w:t>“know trees” </w:t>
      </w:r>
      <w:r>
        <w:rPr>
          <w:sz w:val="20"/>
        </w:rPr>
        <w:t>without having the </w:t>
      </w:r>
      <w:r>
        <w:rPr>
          <w:spacing w:val="-3"/>
          <w:sz w:val="20"/>
        </w:rPr>
        <w:t>training </w:t>
      </w:r>
      <w:r>
        <w:rPr>
          <w:sz w:val="20"/>
        </w:rPr>
        <w:t>and experience of an arborist. Expertise must be demonstrated through formal </w:t>
      </w:r>
      <w:r>
        <w:rPr>
          <w:spacing w:val="-3"/>
          <w:sz w:val="20"/>
        </w:rPr>
        <w:t>training,  </w:t>
      </w:r>
      <w:r>
        <w:rPr>
          <w:sz w:val="20"/>
        </w:rPr>
        <w:t>experience and ongoing updating of knowledge    in </w:t>
      </w:r>
      <w:r>
        <w:rPr>
          <w:spacing w:val="-3"/>
          <w:sz w:val="20"/>
        </w:rPr>
        <w:t>arboriculture, </w:t>
      </w:r>
      <w:r>
        <w:rPr>
          <w:sz w:val="20"/>
        </w:rPr>
        <w:t>and not, as is often </w:t>
      </w:r>
      <w:r>
        <w:rPr>
          <w:spacing w:val="-3"/>
          <w:sz w:val="20"/>
        </w:rPr>
        <w:t>found </w:t>
      </w:r>
      <w:r>
        <w:rPr>
          <w:sz w:val="20"/>
        </w:rPr>
        <w:t>in practice, from </w:t>
      </w:r>
      <w:r>
        <w:rPr>
          <w:spacing w:val="-3"/>
          <w:sz w:val="20"/>
        </w:rPr>
        <w:t>related </w:t>
      </w:r>
      <w:r>
        <w:rPr>
          <w:sz w:val="20"/>
        </w:rPr>
        <w:t>disciplines such as landscape architecture or horticulture, or </w:t>
      </w:r>
      <w:r>
        <w:rPr>
          <w:spacing w:val="-3"/>
          <w:sz w:val="20"/>
        </w:rPr>
        <w:t>outdated</w:t>
      </w:r>
      <w:r>
        <w:rPr>
          <w:spacing w:val="15"/>
          <w:sz w:val="20"/>
        </w:rPr>
        <w:t> </w:t>
      </w:r>
      <w:r>
        <w:rPr>
          <w:spacing w:val="-3"/>
          <w:sz w:val="20"/>
        </w:rPr>
        <w:t>training.</w:t>
      </w:r>
    </w:p>
    <w:p>
      <w:pPr>
        <w:spacing w:line="254" w:lineRule="auto" w:before="127"/>
        <w:ind w:left="2834" w:right="1562" w:firstLine="0"/>
        <w:jc w:val="left"/>
        <w:rPr>
          <w:sz w:val="11"/>
        </w:rPr>
      </w:pPr>
      <w:r>
        <w:rPr>
          <w:w w:val="105"/>
          <w:sz w:val="20"/>
        </w:rPr>
        <w:t>The arboricultural </w:t>
      </w:r>
      <w:r>
        <w:rPr>
          <w:spacing w:val="-3"/>
          <w:w w:val="105"/>
          <w:sz w:val="20"/>
        </w:rPr>
        <w:t>training </w:t>
      </w:r>
      <w:r>
        <w:rPr>
          <w:w w:val="105"/>
          <w:sz w:val="20"/>
        </w:rPr>
        <w:t>packages under the </w:t>
      </w:r>
      <w:r>
        <w:rPr>
          <w:spacing w:val="-3"/>
          <w:w w:val="105"/>
          <w:sz w:val="20"/>
        </w:rPr>
        <w:t>Australian </w:t>
      </w:r>
      <w:r>
        <w:rPr>
          <w:w w:val="105"/>
          <w:sz w:val="20"/>
        </w:rPr>
        <w:t>Qualifications Framework </w:t>
      </w:r>
      <w:r>
        <w:rPr>
          <w:spacing w:val="-3"/>
          <w:w w:val="105"/>
          <w:sz w:val="20"/>
        </w:rPr>
        <w:t>have </w:t>
      </w:r>
      <w:r>
        <w:rPr>
          <w:w w:val="105"/>
          <w:sz w:val="20"/>
        </w:rPr>
        <w:t>been updated regularly and substantially since first </w:t>
      </w:r>
      <w:r>
        <w:rPr>
          <w:spacing w:val="-3"/>
          <w:w w:val="105"/>
          <w:sz w:val="20"/>
        </w:rPr>
        <w:t>introduced. </w:t>
      </w:r>
      <w:r>
        <w:rPr>
          <w:w w:val="105"/>
          <w:sz w:val="20"/>
        </w:rPr>
        <w:t>Practitioners who were qualified under the earlier versions, or even before the </w:t>
      </w:r>
      <w:r>
        <w:rPr>
          <w:spacing w:val="-6"/>
          <w:w w:val="105"/>
          <w:sz w:val="20"/>
        </w:rPr>
        <w:t>AQF, </w:t>
      </w:r>
      <w:r>
        <w:rPr>
          <w:w w:val="105"/>
          <w:sz w:val="20"/>
        </w:rPr>
        <w:t>and </w:t>
      </w:r>
      <w:r>
        <w:rPr>
          <w:spacing w:val="-3"/>
          <w:w w:val="105"/>
          <w:sz w:val="20"/>
        </w:rPr>
        <w:t>have </w:t>
      </w:r>
      <w:r>
        <w:rPr>
          <w:w w:val="105"/>
          <w:sz w:val="20"/>
        </w:rPr>
        <w:t>not updated their qualifications, are out of </w:t>
      </w:r>
      <w:r>
        <w:rPr>
          <w:spacing w:val="-3"/>
          <w:w w:val="105"/>
          <w:sz w:val="20"/>
        </w:rPr>
        <w:t>date. Further, </w:t>
      </w:r>
      <w:r>
        <w:rPr>
          <w:w w:val="105"/>
          <w:sz w:val="20"/>
        </w:rPr>
        <w:t>the AQF is structured in such a way that persons with a qualification below AQF Level 5 would not be expected to provide consultancy or expert witness testimony.</w:t>
      </w:r>
      <w:r>
        <w:rPr>
          <w:w w:val="105"/>
          <w:position w:val="7"/>
          <w:sz w:val="11"/>
        </w:rPr>
        <w:t>206</w:t>
      </w:r>
    </w:p>
    <w:p>
      <w:pPr>
        <w:pStyle w:val="ListParagraph"/>
        <w:numPr>
          <w:ilvl w:val="1"/>
          <w:numId w:val="133"/>
        </w:numPr>
        <w:tabs>
          <w:tab w:pos="2380" w:val="left" w:leader="none"/>
          <w:tab w:pos="2381" w:val="left" w:leader="none"/>
        </w:tabs>
        <w:spacing w:line="242" w:lineRule="auto" w:before="118" w:after="0"/>
        <w:ind w:left="2381" w:right="1608" w:hanging="794"/>
        <w:jc w:val="left"/>
        <w:rPr>
          <w:sz w:val="12"/>
        </w:rPr>
      </w:pPr>
      <w:r>
        <w:rPr>
          <w:spacing w:val="-5"/>
          <w:w w:val="105"/>
          <w:sz w:val="21"/>
        </w:rPr>
        <w:t>VCAT </w:t>
      </w:r>
      <w:r>
        <w:rPr>
          <w:w w:val="105"/>
          <w:sz w:val="21"/>
        </w:rPr>
        <w:t>was supportive of the need </w:t>
      </w:r>
      <w:r>
        <w:rPr>
          <w:spacing w:val="-3"/>
          <w:w w:val="105"/>
          <w:sz w:val="21"/>
        </w:rPr>
        <w:t>for </w:t>
      </w:r>
      <w:r>
        <w:rPr>
          <w:w w:val="105"/>
          <w:sz w:val="21"/>
        </w:rPr>
        <w:t>experts </w:t>
      </w:r>
      <w:r>
        <w:rPr>
          <w:spacing w:val="-3"/>
          <w:w w:val="105"/>
          <w:sz w:val="21"/>
        </w:rPr>
        <w:t>to </w:t>
      </w:r>
      <w:r>
        <w:rPr>
          <w:w w:val="105"/>
          <w:sz w:val="21"/>
        </w:rPr>
        <w:t>provide assistance </w:t>
      </w:r>
      <w:r>
        <w:rPr>
          <w:spacing w:val="-3"/>
          <w:w w:val="105"/>
          <w:sz w:val="21"/>
        </w:rPr>
        <w:t>during </w:t>
      </w:r>
      <w:r>
        <w:rPr>
          <w:w w:val="105"/>
          <w:sz w:val="21"/>
        </w:rPr>
        <w:t>tree </w:t>
      </w:r>
      <w:r>
        <w:rPr>
          <w:spacing w:val="-3"/>
          <w:w w:val="105"/>
          <w:sz w:val="21"/>
        </w:rPr>
        <w:t>dispute hearings.</w:t>
      </w:r>
      <w:r>
        <w:rPr>
          <w:spacing w:val="-7"/>
          <w:w w:val="105"/>
          <w:sz w:val="21"/>
        </w:rPr>
        <w:t> </w:t>
      </w:r>
      <w:r>
        <w:rPr>
          <w:spacing w:val="-5"/>
          <w:w w:val="105"/>
          <w:sz w:val="21"/>
        </w:rPr>
        <w:t>VCAT</w:t>
      </w:r>
      <w:r>
        <w:rPr>
          <w:spacing w:val="-6"/>
          <w:w w:val="105"/>
          <w:sz w:val="21"/>
        </w:rPr>
        <w:t> </w:t>
      </w:r>
      <w:r>
        <w:rPr>
          <w:w w:val="105"/>
          <w:sz w:val="21"/>
        </w:rPr>
        <w:t>suggested</w:t>
      </w:r>
      <w:r>
        <w:rPr>
          <w:spacing w:val="-6"/>
          <w:w w:val="105"/>
          <w:sz w:val="21"/>
        </w:rPr>
        <w:t> </w:t>
      </w:r>
      <w:r>
        <w:rPr>
          <w:w w:val="105"/>
          <w:sz w:val="21"/>
        </w:rPr>
        <w:t>experts</w:t>
      </w:r>
      <w:r>
        <w:rPr>
          <w:spacing w:val="-6"/>
          <w:w w:val="105"/>
          <w:sz w:val="21"/>
        </w:rPr>
        <w:t> </w:t>
      </w:r>
      <w:r>
        <w:rPr>
          <w:w w:val="105"/>
          <w:sz w:val="21"/>
        </w:rPr>
        <w:t>should</w:t>
      </w:r>
      <w:r>
        <w:rPr>
          <w:spacing w:val="-6"/>
          <w:w w:val="105"/>
          <w:sz w:val="21"/>
        </w:rPr>
        <w:t> </w:t>
      </w:r>
      <w:r>
        <w:rPr>
          <w:w w:val="105"/>
          <w:sz w:val="21"/>
        </w:rPr>
        <w:t>be</w:t>
      </w:r>
      <w:r>
        <w:rPr>
          <w:spacing w:val="-6"/>
          <w:w w:val="105"/>
          <w:sz w:val="21"/>
        </w:rPr>
        <w:t> </w:t>
      </w:r>
      <w:r>
        <w:rPr>
          <w:w w:val="105"/>
          <w:sz w:val="21"/>
        </w:rPr>
        <w:t>suitably</w:t>
      </w:r>
      <w:r>
        <w:rPr>
          <w:spacing w:val="-6"/>
          <w:w w:val="105"/>
          <w:sz w:val="21"/>
        </w:rPr>
        <w:t> </w:t>
      </w:r>
      <w:r>
        <w:rPr>
          <w:w w:val="105"/>
          <w:sz w:val="21"/>
        </w:rPr>
        <w:t>qualified</w:t>
      </w:r>
      <w:r>
        <w:rPr>
          <w:spacing w:val="-7"/>
          <w:w w:val="105"/>
          <w:sz w:val="21"/>
        </w:rPr>
        <w:t> </w:t>
      </w:r>
      <w:r>
        <w:rPr>
          <w:w w:val="105"/>
          <w:sz w:val="21"/>
        </w:rPr>
        <w:t>and</w:t>
      </w:r>
      <w:r>
        <w:rPr>
          <w:spacing w:val="-6"/>
          <w:w w:val="105"/>
          <w:sz w:val="21"/>
        </w:rPr>
        <w:t> </w:t>
      </w:r>
      <w:r>
        <w:rPr>
          <w:w w:val="105"/>
          <w:sz w:val="21"/>
        </w:rPr>
        <w:t>experienced,</w:t>
      </w:r>
      <w:r>
        <w:rPr>
          <w:spacing w:val="-6"/>
          <w:w w:val="105"/>
          <w:sz w:val="21"/>
        </w:rPr>
        <w:t> </w:t>
      </w:r>
      <w:r>
        <w:rPr>
          <w:w w:val="105"/>
          <w:sz w:val="21"/>
        </w:rPr>
        <w:t>but</w:t>
      </w:r>
      <w:r>
        <w:rPr>
          <w:spacing w:val="-6"/>
          <w:w w:val="105"/>
          <w:sz w:val="21"/>
        </w:rPr>
        <w:t> </w:t>
      </w:r>
      <w:r>
        <w:rPr>
          <w:w w:val="105"/>
          <w:sz w:val="21"/>
        </w:rPr>
        <w:t>it</w:t>
      </w:r>
      <w:r>
        <w:rPr>
          <w:spacing w:val="-6"/>
          <w:w w:val="105"/>
          <w:sz w:val="21"/>
        </w:rPr>
        <w:t> </w:t>
      </w:r>
      <w:r>
        <w:rPr>
          <w:w w:val="105"/>
          <w:sz w:val="21"/>
        </w:rPr>
        <w:t>did </w:t>
      </w:r>
      <w:r>
        <w:rPr>
          <w:spacing w:val="-2"/>
          <w:w w:val="105"/>
          <w:sz w:val="21"/>
        </w:rPr>
        <w:t>not </w:t>
      </w:r>
      <w:r>
        <w:rPr>
          <w:w w:val="105"/>
          <w:sz w:val="21"/>
        </w:rPr>
        <w:t>support </w:t>
      </w:r>
      <w:r>
        <w:rPr>
          <w:spacing w:val="-3"/>
          <w:w w:val="105"/>
          <w:sz w:val="21"/>
        </w:rPr>
        <w:t>enshrining minimum </w:t>
      </w:r>
      <w:r>
        <w:rPr>
          <w:spacing w:val="-2"/>
          <w:w w:val="105"/>
          <w:sz w:val="21"/>
        </w:rPr>
        <w:t>qualification </w:t>
      </w:r>
      <w:r>
        <w:rPr>
          <w:spacing w:val="-3"/>
          <w:w w:val="105"/>
          <w:sz w:val="21"/>
        </w:rPr>
        <w:t>levels </w:t>
      </w:r>
      <w:r>
        <w:rPr>
          <w:w w:val="105"/>
          <w:sz w:val="21"/>
        </w:rPr>
        <w:t>and experience in the new Act. </w:t>
      </w:r>
      <w:r>
        <w:rPr>
          <w:spacing w:val="-5"/>
          <w:w w:val="105"/>
          <w:sz w:val="21"/>
        </w:rPr>
        <w:t>VCAT </w:t>
      </w:r>
      <w:r>
        <w:rPr>
          <w:spacing w:val="-3"/>
          <w:w w:val="105"/>
          <w:sz w:val="21"/>
        </w:rPr>
        <w:t>noted that qualifications are </w:t>
      </w:r>
      <w:r>
        <w:rPr>
          <w:w w:val="105"/>
          <w:sz w:val="21"/>
        </w:rPr>
        <w:t>subject </w:t>
      </w:r>
      <w:r>
        <w:rPr>
          <w:spacing w:val="-3"/>
          <w:w w:val="105"/>
          <w:sz w:val="21"/>
        </w:rPr>
        <w:t>to change </w:t>
      </w:r>
      <w:r>
        <w:rPr>
          <w:w w:val="105"/>
          <w:sz w:val="21"/>
        </w:rPr>
        <w:t>over</w:t>
      </w:r>
      <w:r>
        <w:rPr>
          <w:spacing w:val="2"/>
          <w:w w:val="105"/>
          <w:sz w:val="21"/>
        </w:rPr>
        <w:t> </w:t>
      </w:r>
      <w:r>
        <w:rPr>
          <w:w w:val="105"/>
          <w:sz w:val="21"/>
        </w:rPr>
        <w:t>time.</w:t>
      </w:r>
      <w:r>
        <w:rPr>
          <w:w w:val="105"/>
          <w:position w:val="7"/>
          <w:sz w:val="12"/>
        </w:rPr>
        <w:t>207</w:t>
      </w:r>
    </w:p>
    <w:p>
      <w:pPr>
        <w:pStyle w:val="ListParagraph"/>
        <w:numPr>
          <w:ilvl w:val="1"/>
          <w:numId w:val="133"/>
        </w:numPr>
        <w:tabs>
          <w:tab w:pos="2381" w:val="left" w:leader="none"/>
          <w:tab w:pos="2382" w:val="left" w:leader="none"/>
        </w:tabs>
        <w:spacing w:line="242" w:lineRule="auto" w:before="124" w:after="0"/>
        <w:ind w:left="2381" w:right="1836" w:hanging="794"/>
        <w:jc w:val="left"/>
        <w:rPr>
          <w:sz w:val="12"/>
        </w:rPr>
      </w:pPr>
      <w:r>
        <w:rPr>
          <w:spacing w:val="-4"/>
          <w:w w:val="105"/>
          <w:sz w:val="21"/>
        </w:rPr>
        <w:t>QCAT </w:t>
      </w:r>
      <w:r>
        <w:rPr>
          <w:spacing w:val="-3"/>
          <w:w w:val="105"/>
          <w:sz w:val="21"/>
        </w:rPr>
        <w:t>informed </w:t>
      </w:r>
      <w:r>
        <w:rPr>
          <w:w w:val="105"/>
          <w:sz w:val="21"/>
        </w:rPr>
        <w:t>the </w:t>
      </w:r>
      <w:r>
        <w:rPr>
          <w:spacing w:val="-3"/>
          <w:w w:val="105"/>
          <w:sz w:val="21"/>
        </w:rPr>
        <w:t>Commission that </w:t>
      </w:r>
      <w:r>
        <w:rPr>
          <w:w w:val="105"/>
          <w:sz w:val="21"/>
        </w:rPr>
        <w:t>the </w:t>
      </w:r>
      <w:r>
        <w:rPr>
          <w:spacing w:val="-2"/>
          <w:w w:val="105"/>
          <w:sz w:val="21"/>
        </w:rPr>
        <w:t>qualification </w:t>
      </w:r>
      <w:r>
        <w:rPr>
          <w:w w:val="105"/>
          <w:sz w:val="21"/>
        </w:rPr>
        <w:t>of an arborist is a </w:t>
      </w:r>
      <w:r>
        <w:rPr>
          <w:spacing w:val="-3"/>
          <w:w w:val="105"/>
          <w:sz w:val="21"/>
        </w:rPr>
        <w:t>relevant consideration </w:t>
      </w:r>
      <w:r>
        <w:rPr>
          <w:w w:val="105"/>
          <w:sz w:val="21"/>
        </w:rPr>
        <w:t>when </w:t>
      </w:r>
      <w:r>
        <w:rPr>
          <w:spacing w:val="-3"/>
          <w:w w:val="105"/>
          <w:sz w:val="21"/>
        </w:rPr>
        <w:t>determining </w:t>
      </w:r>
      <w:r>
        <w:rPr>
          <w:w w:val="105"/>
          <w:sz w:val="21"/>
        </w:rPr>
        <w:t>the </w:t>
      </w:r>
      <w:r>
        <w:rPr>
          <w:spacing w:val="-3"/>
          <w:w w:val="105"/>
          <w:sz w:val="21"/>
        </w:rPr>
        <w:t>weight </w:t>
      </w:r>
      <w:r>
        <w:rPr>
          <w:w w:val="105"/>
          <w:sz w:val="21"/>
        </w:rPr>
        <w:t>given </w:t>
      </w:r>
      <w:r>
        <w:rPr>
          <w:spacing w:val="-3"/>
          <w:w w:val="105"/>
          <w:sz w:val="21"/>
        </w:rPr>
        <w:t>to </w:t>
      </w:r>
      <w:r>
        <w:rPr>
          <w:w w:val="105"/>
          <w:sz w:val="21"/>
        </w:rPr>
        <w:t>evidence </w:t>
      </w:r>
      <w:r>
        <w:rPr>
          <w:spacing w:val="-2"/>
          <w:w w:val="105"/>
          <w:sz w:val="21"/>
        </w:rPr>
        <w:t>submitted </w:t>
      </w:r>
      <w:r>
        <w:rPr>
          <w:w w:val="105"/>
          <w:sz w:val="21"/>
        </w:rPr>
        <w:t>on behalf of a party.</w:t>
      </w:r>
      <w:r>
        <w:rPr>
          <w:w w:val="105"/>
          <w:position w:val="7"/>
          <w:sz w:val="12"/>
        </w:rPr>
        <w:t>208</w:t>
      </w:r>
    </w:p>
    <w:p>
      <w:pPr>
        <w:pStyle w:val="BodyText"/>
        <w:spacing w:before="4"/>
        <w:rPr>
          <w:sz w:val="20"/>
        </w:rPr>
      </w:pPr>
    </w:p>
    <w:p>
      <w:pPr>
        <w:pStyle w:val="Heading5"/>
      </w:pPr>
      <w:r>
        <w:rPr>
          <w:w w:val="115"/>
        </w:rPr>
        <w:t>Duty to the Court</w:t>
      </w:r>
    </w:p>
    <w:p>
      <w:pPr>
        <w:pStyle w:val="ListParagraph"/>
        <w:numPr>
          <w:ilvl w:val="1"/>
          <w:numId w:val="133"/>
        </w:numPr>
        <w:tabs>
          <w:tab w:pos="2380" w:val="left" w:leader="none"/>
          <w:tab w:pos="2381" w:val="left" w:leader="none"/>
        </w:tabs>
        <w:spacing w:line="242" w:lineRule="auto" w:before="137" w:after="0"/>
        <w:ind w:left="2381" w:right="1712" w:hanging="794"/>
        <w:jc w:val="left"/>
        <w:rPr>
          <w:sz w:val="12"/>
        </w:rPr>
      </w:pPr>
      <w:r>
        <w:rPr>
          <w:sz w:val="21"/>
        </w:rPr>
        <w:t>A </w:t>
      </w:r>
      <w:r>
        <w:rPr>
          <w:spacing w:val="-2"/>
          <w:sz w:val="21"/>
        </w:rPr>
        <w:t>common </w:t>
      </w:r>
      <w:r>
        <w:rPr>
          <w:sz w:val="21"/>
        </w:rPr>
        <w:t>theme </w:t>
      </w:r>
      <w:r>
        <w:rPr>
          <w:spacing w:val="-2"/>
          <w:sz w:val="21"/>
        </w:rPr>
        <w:t>raised </w:t>
      </w:r>
      <w:r>
        <w:rPr>
          <w:sz w:val="21"/>
        </w:rPr>
        <w:t>in </w:t>
      </w:r>
      <w:r>
        <w:rPr>
          <w:spacing w:val="-3"/>
          <w:sz w:val="21"/>
        </w:rPr>
        <w:t>submissions </w:t>
      </w:r>
      <w:r>
        <w:rPr>
          <w:sz w:val="21"/>
        </w:rPr>
        <w:t>and </w:t>
      </w:r>
      <w:r>
        <w:rPr>
          <w:spacing w:val="-3"/>
          <w:sz w:val="21"/>
        </w:rPr>
        <w:t>consultations </w:t>
      </w:r>
      <w:r>
        <w:rPr>
          <w:sz w:val="21"/>
        </w:rPr>
        <w:t>was the need </w:t>
      </w:r>
      <w:r>
        <w:rPr>
          <w:spacing w:val="-3"/>
          <w:sz w:val="21"/>
        </w:rPr>
        <w:t>for </w:t>
      </w:r>
      <w:r>
        <w:rPr>
          <w:sz w:val="21"/>
        </w:rPr>
        <w:t>independent and</w:t>
      </w:r>
      <w:r>
        <w:rPr>
          <w:spacing w:val="19"/>
          <w:sz w:val="21"/>
        </w:rPr>
        <w:t> </w:t>
      </w:r>
      <w:r>
        <w:rPr>
          <w:sz w:val="21"/>
        </w:rPr>
        <w:t>impartial</w:t>
      </w:r>
      <w:r>
        <w:rPr>
          <w:spacing w:val="20"/>
          <w:sz w:val="21"/>
        </w:rPr>
        <w:t> </w:t>
      </w:r>
      <w:r>
        <w:rPr>
          <w:spacing w:val="-3"/>
          <w:sz w:val="21"/>
        </w:rPr>
        <w:t>arboricultural</w:t>
      </w:r>
      <w:r>
        <w:rPr>
          <w:spacing w:val="19"/>
          <w:sz w:val="21"/>
        </w:rPr>
        <w:t> </w:t>
      </w:r>
      <w:r>
        <w:rPr>
          <w:sz w:val="21"/>
        </w:rPr>
        <w:t>assessment</w:t>
      </w:r>
      <w:r>
        <w:rPr>
          <w:spacing w:val="20"/>
          <w:sz w:val="21"/>
        </w:rPr>
        <w:t> </w:t>
      </w:r>
      <w:r>
        <w:rPr>
          <w:spacing w:val="-3"/>
          <w:sz w:val="21"/>
        </w:rPr>
        <w:t>to</w:t>
      </w:r>
      <w:r>
        <w:rPr>
          <w:spacing w:val="20"/>
          <w:sz w:val="21"/>
        </w:rPr>
        <w:t> </w:t>
      </w:r>
      <w:r>
        <w:rPr>
          <w:sz w:val="21"/>
        </w:rPr>
        <w:t>guide</w:t>
      </w:r>
      <w:r>
        <w:rPr>
          <w:spacing w:val="19"/>
          <w:sz w:val="21"/>
        </w:rPr>
        <w:t> </w:t>
      </w:r>
      <w:r>
        <w:rPr>
          <w:sz w:val="21"/>
        </w:rPr>
        <w:t>decision</w:t>
      </w:r>
      <w:r>
        <w:rPr>
          <w:spacing w:val="20"/>
          <w:sz w:val="21"/>
        </w:rPr>
        <w:t> </w:t>
      </w:r>
      <w:r>
        <w:rPr>
          <w:spacing w:val="-3"/>
          <w:sz w:val="21"/>
        </w:rPr>
        <w:t>making</w:t>
      </w:r>
      <w:r>
        <w:rPr>
          <w:spacing w:val="19"/>
          <w:sz w:val="21"/>
        </w:rPr>
        <w:t> </w:t>
      </w:r>
      <w:r>
        <w:rPr>
          <w:sz w:val="21"/>
        </w:rPr>
        <w:t>under</w:t>
      </w:r>
      <w:r>
        <w:rPr>
          <w:spacing w:val="20"/>
          <w:sz w:val="21"/>
        </w:rPr>
        <w:t> </w:t>
      </w:r>
      <w:r>
        <w:rPr>
          <w:sz w:val="21"/>
        </w:rPr>
        <w:t>a</w:t>
      </w:r>
      <w:r>
        <w:rPr>
          <w:spacing w:val="20"/>
          <w:sz w:val="21"/>
        </w:rPr>
        <w:t> </w:t>
      </w:r>
      <w:r>
        <w:rPr>
          <w:sz w:val="21"/>
        </w:rPr>
        <w:t>new</w:t>
      </w:r>
      <w:r>
        <w:rPr>
          <w:spacing w:val="19"/>
          <w:sz w:val="21"/>
        </w:rPr>
        <w:t> </w:t>
      </w:r>
      <w:r>
        <w:rPr>
          <w:sz w:val="21"/>
        </w:rPr>
        <w:t>Act.</w:t>
      </w:r>
      <w:r>
        <w:rPr>
          <w:position w:val="7"/>
          <w:sz w:val="12"/>
        </w:rPr>
        <w:t>209</w:t>
      </w:r>
    </w:p>
    <w:p>
      <w:pPr>
        <w:pStyle w:val="BodyText"/>
        <w:spacing w:line="242" w:lineRule="auto" w:before="3"/>
        <w:ind w:left="2381" w:right="1636"/>
        <w:rPr>
          <w:sz w:val="12"/>
        </w:rPr>
      </w:pPr>
      <w:r>
        <w:rPr/>
        <w:t>At present, it is claimed, people shop around for arborists to support their case for tree removal or retention, rather than seeking impartial advice.</w:t>
      </w:r>
      <w:r>
        <w:rPr>
          <w:position w:val="7"/>
          <w:sz w:val="12"/>
        </w:rPr>
        <w:t>210</w:t>
      </w:r>
    </w:p>
    <w:p>
      <w:pPr>
        <w:pStyle w:val="ListParagraph"/>
        <w:numPr>
          <w:ilvl w:val="1"/>
          <w:numId w:val="133"/>
        </w:numPr>
        <w:tabs>
          <w:tab w:pos="2381" w:val="left" w:leader="none"/>
          <w:tab w:pos="2382" w:val="left" w:leader="none"/>
        </w:tabs>
        <w:spacing w:line="242" w:lineRule="auto" w:before="122" w:after="0"/>
        <w:ind w:left="2381" w:right="1970" w:hanging="794"/>
        <w:jc w:val="left"/>
        <w:rPr>
          <w:sz w:val="21"/>
        </w:rPr>
      </w:pPr>
      <w:r>
        <w:rPr>
          <w:w w:val="105"/>
          <w:sz w:val="21"/>
        </w:rPr>
        <w:t>The </w:t>
      </w:r>
      <w:r>
        <w:rPr>
          <w:spacing w:val="-3"/>
          <w:w w:val="105"/>
          <w:sz w:val="21"/>
        </w:rPr>
        <w:t>City </w:t>
      </w:r>
      <w:r>
        <w:rPr>
          <w:w w:val="105"/>
          <w:sz w:val="21"/>
        </w:rPr>
        <w:t>of </w:t>
      </w:r>
      <w:r>
        <w:rPr>
          <w:spacing w:val="-3"/>
          <w:w w:val="105"/>
          <w:sz w:val="21"/>
        </w:rPr>
        <w:t>Boroondara noted that ‘it </w:t>
      </w:r>
      <w:r>
        <w:rPr>
          <w:w w:val="105"/>
          <w:sz w:val="21"/>
        </w:rPr>
        <w:t>is </w:t>
      </w:r>
      <w:r>
        <w:rPr>
          <w:spacing w:val="-4"/>
          <w:w w:val="105"/>
          <w:sz w:val="21"/>
        </w:rPr>
        <w:t>Council’s </w:t>
      </w:r>
      <w:r>
        <w:rPr>
          <w:w w:val="105"/>
          <w:sz w:val="21"/>
        </w:rPr>
        <w:t>experience </w:t>
      </w:r>
      <w:r>
        <w:rPr>
          <w:spacing w:val="-3"/>
          <w:w w:val="105"/>
          <w:sz w:val="21"/>
        </w:rPr>
        <w:t>that </w:t>
      </w:r>
      <w:r>
        <w:rPr>
          <w:w w:val="105"/>
          <w:sz w:val="21"/>
        </w:rPr>
        <w:t>people seeking </w:t>
      </w:r>
      <w:r>
        <w:rPr>
          <w:spacing w:val="-3"/>
          <w:w w:val="105"/>
          <w:sz w:val="21"/>
        </w:rPr>
        <w:t>to remove</w:t>
      </w:r>
      <w:r>
        <w:rPr>
          <w:spacing w:val="-5"/>
          <w:w w:val="105"/>
          <w:sz w:val="21"/>
        </w:rPr>
        <w:t> </w:t>
      </w:r>
      <w:r>
        <w:rPr>
          <w:w w:val="105"/>
          <w:sz w:val="21"/>
        </w:rPr>
        <w:t>trees</w:t>
      </w:r>
      <w:r>
        <w:rPr>
          <w:spacing w:val="-5"/>
          <w:w w:val="105"/>
          <w:sz w:val="21"/>
        </w:rPr>
        <w:t> </w:t>
      </w:r>
      <w:r>
        <w:rPr>
          <w:spacing w:val="-3"/>
          <w:w w:val="105"/>
          <w:sz w:val="21"/>
        </w:rPr>
        <w:t>will</w:t>
      </w:r>
      <w:r>
        <w:rPr>
          <w:spacing w:val="-4"/>
          <w:w w:val="105"/>
          <w:sz w:val="21"/>
        </w:rPr>
        <w:t> </w:t>
      </w:r>
      <w:r>
        <w:rPr>
          <w:w w:val="105"/>
          <w:sz w:val="21"/>
        </w:rPr>
        <w:t>often</w:t>
      </w:r>
      <w:r>
        <w:rPr>
          <w:spacing w:val="-5"/>
          <w:w w:val="105"/>
          <w:sz w:val="21"/>
        </w:rPr>
        <w:t> </w:t>
      </w:r>
      <w:r>
        <w:rPr>
          <w:w w:val="105"/>
          <w:sz w:val="21"/>
        </w:rPr>
        <w:t>be</w:t>
      </w:r>
      <w:r>
        <w:rPr>
          <w:spacing w:val="-4"/>
          <w:w w:val="105"/>
          <w:sz w:val="21"/>
        </w:rPr>
        <w:t> </w:t>
      </w:r>
      <w:r>
        <w:rPr>
          <w:w w:val="105"/>
          <w:sz w:val="21"/>
        </w:rPr>
        <w:t>able</w:t>
      </w:r>
      <w:r>
        <w:rPr>
          <w:spacing w:val="-5"/>
          <w:w w:val="105"/>
          <w:sz w:val="21"/>
        </w:rPr>
        <w:t> </w:t>
      </w:r>
      <w:r>
        <w:rPr>
          <w:spacing w:val="-3"/>
          <w:w w:val="105"/>
          <w:sz w:val="21"/>
        </w:rPr>
        <w:t>to</w:t>
      </w:r>
      <w:r>
        <w:rPr>
          <w:spacing w:val="-4"/>
          <w:w w:val="105"/>
          <w:sz w:val="21"/>
        </w:rPr>
        <w:t> </w:t>
      </w:r>
      <w:r>
        <w:rPr>
          <w:w w:val="105"/>
          <w:sz w:val="21"/>
        </w:rPr>
        <w:t>find</w:t>
      </w:r>
      <w:r>
        <w:rPr>
          <w:spacing w:val="-5"/>
          <w:w w:val="105"/>
          <w:sz w:val="21"/>
        </w:rPr>
        <w:t> </w:t>
      </w:r>
      <w:r>
        <w:rPr>
          <w:w w:val="105"/>
          <w:sz w:val="21"/>
        </w:rPr>
        <w:t>an</w:t>
      </w:r>
      <w:r>
        <w:rPr>
          <w:spacing w:val="-4"/>
          <w:w w:val="105"/>
          <w:sz w:val="21"/>
        </w:rPr>
        <w:t> </w:t>
      </w:r>
      <w:r>
        <w:rPr>
          <w:w w:val="105"/>
          <w:sz w:val="21"/>
        </w:rPr>
        <w:t>expert</w:t>
      </w:r>
      <w:r>
        <w:rPr>
          <w:spacing w:val="-5"/>
          <w:w w:val="105"/>
          <w:sz w:val="21"/>
        </w:rPr>
        <w:t> </w:t>
      </w:r>
      <w:r>
        <w:rPr>
          <w:w w:val="105"/>
          <w:sz w:val="21"/>
        </w:rPr>
        <w:t>who</w:t>
      </w:r>
      <w:r>
        <w:rPr>
          <w:spacing w:val="-4"/>
          <w:w w:val="105"/>
          <w:sz w:val="21"/>
        </w:rPr>
        <w:t> </w:t>
      </w:r>
      <w:r>
        <w:rPr>
          <w:spacing w:val="-3"/>
          <w:w w:val="105"/>
          <w:sz w:val="21"/>
        </w:rPr>
        <w:t>will</w:t>
      </w:r>
      <w:r>
        <w:rPr>
          <w:spacing w:val="-5"/>
          <w:w w:val="105"/>
          <w:sz w:val="21"/>
        </w:rPr>
        <w:t> </w:t>
      </w:r>
      <w:r>
        <w:rPr>
          <w:w w:val="105"/>
          <w:sz w:val="21"/>
        </w:rPr>
        <w:t>support</w:t>
      </w:r>
      <w:r>
        <w:rPr>
          <w:spacing w:val="-4"/>
          <w:w w:val="105"/>
          <w:sz w:val="21"/>
        </w:rPr>
        <w:t> </w:t>
      </w:r>
      <w:r>
        <w:rPr>
          <w:w w:val="105"/>
          <w:sz w:val="21"/>
        </w:rPr>
        <w:t>their</w:t>
      </w:r>
      <w:r>
        <w:rPr>
          <w:spacing w:val="-5"/>
          <w:w w:val="105"/>
          <w:sz w:val="21"/>
        </w:rPr>
        <w:t> application’.</w:t>
      </w:r>
      <w:r>
        <w:rPr>
          <w:spacing w:val="-5"/>
          <w:w w:val="105"/>
          <w:position w:val="7"/>
          <w:sz w:val="12"/>
        </w:rPr>
        <w:t>211</w:t>
      </w:r>
      <w:r>
        <w:rPr>
          <w:spacing w:val="-5"/>
          <w:w w:val="105"/>
          <w:sz w:val="12"/>
        </w:rPr>
        <w:t> </w:t>
      </w:r>
      <w:r>
        <w:rPr>
          <w:spacing w:val="-3"/>
          <w:w w:val="105"/>
          <w:sz w:val="21"/>
        </w:rPr>
        <w:t>ENSPEC </w:t>
      </w:r>
      <w:r>
        <w:rPr>
          <w:w w:val="105"/>
          <w:sz w:val="21"/>
        </w:rPr>
        <w:t>stated</w:t>
      </w:r>
      <w:r>
        <w:rPr>
          <w:spacing w:val="13"/>
          <w:w w:val="105"/>
          <w:sz w:val="21"/>
        </w:rPr>
        <w:t> </w:t>
      </w:r>
      <w:r>
        <w:rPr>
          <w:w w:val="105"/>
          <w:sz w:val="21"/>
        </w:rPr>
        <w:t>that:</w:t>
      </w:r>
    </w:p>
    <w:p>
      <w:pPr>
        <w:spacing w:line="254" w:lineRule="auto" w:before="133"/>
        <w:ind w:left="2834" w:right="1810" w:firstLine="0"/>
        <w:jc w:val="left"/>
        <w:rPr>
          <w:sz w:val="11"/>
        </w:rPr>
      </w:pPr>
      <w:r>
        <w:rPr>
          <w:sz w:val="20"/>
        </w:rPr>
        <w:t>Unfortunately, arboriculture is an unregulated profession, meaning that there is a wide variation in the quality of training, experience and up-to-date knowledge amongst practitioners. There is also no professional recourse to address unethical behaviour as there is in licensed professions. There are also many practitioners that provide both consultancy/advice and undertake practical tree work, leading to a potential conflict of interest in providing impartiality. Establishing impartiality of expertise will be crucial to good outcomes. </w:t>
      </w:r>
      <w:r>
        <w:rPr>
          <w:position w:val="7"/>
          <w:sz w:val="11"/>
        </w:rPr>
        <w:t>212</w:t>
      </w:r>
    </w:p>
    <w:p>
      <w:pPr>
        <w:pStyle w:val="ListParagraph"/>
        <w:numPr>
          <w:ilvl w:val="1"/>
          <w:numId w:val="133"/>
        </w:numPr>
        <w:tabs>
          <w:tab w:pos="2380" w:val="left" w:leader="none"/>
          <w:tab w:pos="2381" w:val="left" w:leader="none"/>
        </w:tabs>
        <w:spacing w:line="242" w:lineRule="auto" w:before="119" w:after="0"/>
        <w:ind w:left="2381" w:right="1699" w:hanging="794"/>
        <w:jc w:val="left"/>
        <w:rPr>
          <w:sz w:val="12"/>
        </w:rPr>
      </w:pPr>
      <w:r>
        <w:rPr>
          <w:w w:val="105"/>
          <w:sz w:val="21"/>
        </w:rPr>
        <w:t>Dr</w:t>
      </w:r>
      <w:r>
        <w:rPr>
          <w:spacing w:val="-7"/>
          <w:w w:val="105"/>
          <w:sz w:val="21"/>
        </w:rPr>
        <w:t> </w:t>
      </w:r>
      <w:r>
        <w:rPr>
          <w:w w:val="105"/>
          <w:sz w:val="21"/>
        </w:rPr>
        <w:t>Gregory</w:t>
      </w:r>
      <w:r>
        <w:rPr>
          <w:spacing w:val="-7"/>
          <w:w w:val="105"/>
          <w:sz w:val="21"/>
        </w:rPr>
        <w:t> </w:t>
      </w:r>
      <w:r>
        <w:rPr>
          <w:w w:val="105"/>
          <w:sz w:val="21"/>
        </w:rPr>
        <w:t>Moore</w:t>
      </w:r>
      <w:r>
        <w:rPr>
          <w:spacing w:val="-6"/>
          <w:w w:val="105"/>
          <w:sz w:val="21"/>
        </w:rPr>
        <w:t> </w:t>
      </w:r>
      <w:r>
        <w:rPr>
          <w:w w:val="105"/>
          <w:sz w:val="21"/>
        </w:rPr>
        <w:t>OAM</w:t>
      </w:r>
      <w:r>
        <w:rPr>
          <w:spacing w:val="-7"/>
          <w:w w:val="105"/>
          <w:sz w:val="21"/>
        </w:rPr>
        <w:t> </w:t>
      </w:r>
      <w:r>
        <w:rPr>
          <w:w w:val="105"/>
          <w:sz w:val="21"/>
        </w:rPr>
        <w:t>suggested</w:t>
      </w:r>
      <w:r>
        <w:rPr>
          <w:spacing w:val="-6"/>
          <w:w w:val="105"/>
          <w:sz w:val="21"/>
        </w:rPr>
        <w:t> </w:t>
      </w:r>
      <w:r>
        <w:rPr>
          <w:spacing w:val="-3"/>
          <w:w w:val="105"/>
          <w:sz w:val="21"/>
        </w:rPr>
        <w:t>that</w:t>
      </w:r>
      <w:r>
        <w:rPr>
          <w:spacing w:val="-7"/>
          <w:w w:val="105"/>
          <w:sz w:val="21"/>
        </w:rPr>
        <w:t> </w:t>
      </w:r>
      <w:r>
        <w:rPr>
          <w:w w:val="105"/>
          <w:sz w:val="21"/>
        </w:rPr>
        <w:t>‘expert</w:t>
      </w:r>
      <w:r>
        <w:rPr>
          <w:spacing w:val="-6"/>
          <w:w w:val="105"/>
          <w:sz w:val="21"/>
        </w:rPr>
        <w:t> </w:t>
      </w:r>
      <w:r>
        <w:rPr>
          <w:w w:val="105"/>
          <w:sz w:val="21"/>
        </w:rPr>
        <w:t>witnesses</w:t>
      </w:r>
      <w:r>
        <w:rPr>
          <w:spacing w:val="-7"/>
          <w:w w:val="105"/>
          <w:sz w:val="21"/>
        </w:rPr>
        <w:t> </w:t>
      </w:r>
      <w:r>
        <w:rPr>
          <w:w w:val="105"/>
          <w:sz w:val="21"/>
        </w:rPr>
        <w:t>should</w:t>
      </w:r>
      <w:r>
        <w:rPr>
          <w:spacing w:val="-6"/>
          <w:w w:val="105"/>
          <w:sz w:val="21"/>
        </w:rPr>
        <w:t> </w:t>
      </w:r>
      <w:r>
        <w:rPr>
          <w:w w:val="105"/>
          <w:sz w:val="21"/>
        </w:rPr>
        <w:t>be</w:t>
      </w:r>
      <w:r>
        <w:rPr>
          <w:spacing w:val="-7"/>
          <w:w w:val="105"/>
          <w:sz w:val="21"/>
        </w:rPr>
        <w:t> </w:t>
      </w:r>
      <w:r>
        <w:rPr>
          <w:w w:val="105"/>
          <w:sz w:val="21"/>
        </w:rPr>
        <w:t>experts</w:t>
      </w:r>
      <w:r>
        <w:rPr>
          <w:spacing w:val="-6"/>
          <w:w w:val="105"/>
          <w:sz w:val="21"/>
        </w:rPr>
        <w:t> </w:t>
      </w:r>
      <w:r>
        <w:rPr>
          <w:w w:val="105"/>
          <w:sz w:val="21"/>
        </w:rPr>
        <w:t>of</w:t>
      </w:r>
      <w:r>
        <w:rPr>
          <w:spacing w:val="-7"/>
          <w:w w:val="105"/>
          <w:sz w:val="21"/>
        </w:rPr>
        <w:t> </w:t>
      </w:r>
      <w:r>
        <w:rPr>
          <w:w w:val="105"/>
          <w:sz w:val="21"/>
        </w:rPr>
        <w:t>the</w:t>
      </w:r>
      <w:r>
        <w:rPr>
          <w:spacing w:val="-6"/>
          <w:w w:val="105"/>
          <w:sz w:val="21"/>
        </w:rPr>
        <w:t> </w:t>
      </w:r>
      <w:r>
        <w:rPr>
          <w:w w:val="105"/>
          <w:sz w:val="21"/>
        </w:rPr>
        <w:t>court </w:t>
      </w:r>
      <w:r>
        <w:rPr>
          <w:spacing w:val="-2"/>
          <w:w w:val="105"/>
          <w:sz w:val="21"/>
        </w:rPr>
        <w:t>not </w:t>
      </w:r>
      <w:r>
        <w:rPr>
          <w:w w:val="105"/>
          <w:sz w:val="21"/>
        </w:rPr>
        <w:t>of either of the </w:t>
      </w:r>
      <w:r>
        <w:rPr>
          <w:spacing w:val="-4"/>
          <w:w w:val="105"/>
          <w:sz w:val="21"/>
        </w:rPr>
        <w:t>parties’.</w:t>
      </w:r>
      <w:r>
        <w:rPr>
          <w:spacing w:val="-4"/>
          <w:w w:val="105"/>
          <w:position w:val="7"/>
          <w:sz w:val="12"/>
        </w:rPr>
        <w:t>213 </w:t>
      </w:r>
      <w:r>
        <w:rPr>
          <w:w w:val="105"/>
          <w:sz w:val="21"/>
        </w:rPr>
        <w:t>One community member stated </w:t>
      </w:r>
      <w:r>
        <w:rPr>
          <w:spacing w:val="-3"/>
          <w:w w:val="105"/>
          <w:sz w:val="21"/>
        </w:rPr>
        <w:t>that </w:t>
      </w:r>
      <w:r>
        <w:rPr>
          <w:w w:val="105"/>
          <w:sz w:val="21"/>
        </w:rPr>
        <w:t>experts under new laws should ‘be bound by an </w:t>
      </w:r>
      <w:r>
        <w:rPr>
          <w:spacing w:val="-3"/>
          <w:w w:val="105"/>
          <w:sz w:val="21"/>
        </w:rPr>
        <w:t>appropriate Code </w:t>
      </w:r>
      <w:r>
        <w:rPr>
          <w:w w:val="105"/>
          <w:sz w:val="21"/>
        </w:rPr>
        <w:t>of </w:t>
      </w:r>
      <w:r>
        <w:rPr>
          <w:spacing w:val="-3"/>
          <w:w w:val="105"/>
          <w:sz w:val="21"/>
        </w:rPr>
        <w:t>Conduct </w:t>
      </w:r>
      <w:r>
        <w:rPr>
          <w:w w:val="105"/>
          <w:sz w:val="21"/>
        </w:rPr>
        <w:t>and be independent </w:t>
      </w:r>
      <w:r>
        <w:rPr>
          <w:spacing w:val="-3"/>
          <w:w w:val="105"/>
          <w:sz w:val="21"/>
        </w:rPr>
        <w:t>from </w:t>
      </w:r>
      <w:r>
        <w:rPr>
          <w:w w:val="105"/>
          <w:sz w:val="21"/>
        </w:rPr>
        <w:t>either</w:t>
      </w:r>
      <w:r>
        <w:rPr>
          <w:spacing w:val="5"/>
          <w:w w:val="105"/>
          <w:sz w:val="21"/>
        </w:rPr>
        <w:t> </w:t>
      </w:r>
      <w:r>
        <w:rPr>
          <w:spacing w:val="-4"/>
          <w:w w:val="105"/>
          <w:sz w:val="21"/>
        </w:rPr>
        <w:t>neighbour’.</w:t>
      </w:r>
      <w:r>
        <w:rPr>
          <w:spacing w:val="-4"/>
          <w:w w:val="105"/>
          <w:position w:val="7"/>
          <w:sz w:val="12"/>
        </w:rPr>
        <w:t>214</w:t>
      </w:r>
    </w:p>
    <w:p>
      <w:pPr>
        <w:pStyle w:val="ListParagraph"/>
        <w:numPr>
          <w:ilvl w:val="1"/>
          <w:numId w:val="133"/>
        </w:numPr>
        <w:tabs>
          <w:tab w:pos="2381" w:val="left" w:leader="none"/>
          <w:tab w:pos="2382" w:val="left" w:leader="none"/>
        </w:tabs>
        <w:spacing w:line="242" w:lineRule="auto" w:before="124" w:after="0"/>
        <w:ind w:left="2381" w:right="1855" w:hanging="794"/>
        <w:jc w:val="left"/>
        <w:rPr>
          <w:sz w:val="21"/>
        </w:rPr>
      </w:pPr>
      <w:r>
        <w:rPr>
          <w:w w:val="105"/>
          <w:sz w:val="21"/>
        </w:rPr>
        <w:t>Some respondents </w:t>
      </w:r>
      <w:r>
        <w:rPr>
          <w:spacing w:val="-3"/>
          <w:w w:val="105"/>
          <w:sz w:val="21"/>
        </w:rPr>
        <w:t>preferred </w:t>
      </w:r>
      <w:r>
        <w:rPr>
          <w:w w:val="105"/>
          <w:sz w:val="21"/>
        </w:rPr>
        <w:t>the approach of </w:t>
      </w:r>
      <w:r>
        <w:rPr>
          <w:spacing w:val="-3"/>
          <w:w w:val="105"/>
          <w:sz w:val="21"/>
        </w:rPr>
        <w:t>appointing </w:t>
      </w:r>
      <w:r>
        <w:rPr>
          <w:w w:val="105"/>
          <w:sz w:val="21"/>
        </w:rPr>
        <w:t>one independent expert </w:t>
      </w:r>
      <w:r>
        <w:rPr>
          <w:spacing w:val="-3"/>
          <w:w w:val="105"/>
          <w:sz w:val="21"/>
        </w:rPr>
        <w:t>to </w:t>
      </w:r>
      <w:r>
        <w:rPr>
          <w:w w:val="105"/>
          <w:sz w:val="21"/>
        </w:rPr>
        <w:t>guide</w:t>
      </w:r>
      <w:r>
        <w:rPr>
          <w:spacing w:val="-10"/>
          <w:w w:val="105"/>
          <w:sz w:val="21"/>
        </w:rPr>
        <w:t> </w:t>
      </w:r>
      <w:r>
        <w:rPr>
          <w:w w:val="105"/>
          <w:sz w:val="21"/>
        </w:rPr>
        <w:t>the</w:t>
      </w:r>
      <w:r>
        <w:rPr>
          <w:spacing w:val="-10"/>
          <w:w w:val="105"/>
          <w:sz w:val="21"/>
        </w:rPr>
        <w:t> </w:t>
      </w:r>
      <w:r>
        <w:rPr>
          <w:w w:val="105"/>
          <w:sz w:val="21"/>
        </w:rPr>
        <w:t>tree</w:t>
      </w:r>
      <w:r>
        <w:rPr>
          <w:spacing w:val="-9"/>
          <w:w w:val="105"/>
          <w:sz w:val="21"/>
        </w:rPr>
        <w:t> </w:t>
      </w:r>
      <w:r>
        <w:rPr>
          <w:spacing w:val="-3"/>
          <w:w w:val="105"/>
          <w:sz w:val="21"/>
        </w:rPr>
        <w:t>dispute</w:t>
      </w:r>
      <w:r>
        <w:rPr>
          <w:spacing w:val="-10"/>
          <w:w w:val="105"/>
          <w:sz w:val="21"/>
        </w:rPr>
        <w:t> </w:t>
      </w:r>
      <w:r>
        <w:rPr>
          <w:spacing w:val="-3"/>
          <w:w w:val="105"/>
          <w:sz w:val="21"/>
        </w:rPr>
        <w:t>hearing.</w:t>
      </w:r>
      <w:r>
        <w:rPr>
          <w:spacing w:val="-10"/>
          <w:w w:val="105"/>
          <w:sz w:val="21"/>
        </w:rPr>
        <w:t> </w:t>
      </w:r>
      <w:r>
        <w:rPr>
          <w:w w:val="105"/>
          <w:sz w:val="21"/>
        </w:rPr>
        <w:t>Professor</w:t>
      </w:r>
      <w:r>
        <w:rPr>
          <w:spacing w:val="-9"/>
          <w:w w:val="105"/>
          <w:sz w:val="21"/>
        </w:rPr>
        <w:t> </w:t>
      </w:r>
      <w:r>
        <w:rPr>
          <w:spacing w:val="-3"/>
          <w:w w:val="105"/>
          <w:sz w:val="21"/>
        </w:rPr>
        <w:t>Phillip</w:t>
      </w:r>
      <w:r>
        <w:rPr>
          <w:spacing w:val="-10"/>
          <w:w w:val="105"/>
          <w:sz w:val="21"/>
        </w:rPr>
        <w:t> </w:t>
      </w:r>
      <w:r>
        <w:rPr>
          <w:spacing w:val="-3"/>
          <w:w w:val="105"/>
          <w:sz w:val="21"/>
        </w:rPr>
        <w:t>Hamilton</w:t>
      </w:r>
      <w:r>
        <w:rPr>
          <w:spacing w:val="-10"/>
          <w:w w:val="105"/>
          <w:sz w:val="21"/>
        </w:rPr>
        <w:t> </w:t>
      </w:r>
      <w:r>
        <w:rPr>
          <w:w w:val="105"/>
          <w:sz w:val="21"/>
        </w:rPr>
        <w:t>stated,</w:t>
      </w:r>
      <w:r>
        <w:rPr>
          <w:spacing w:val="-9"/>
          <w:w w:val="105"/>
          <w:sz w:val="21"/>
        </w:rPr>
        <w:t> </w:t>
      </w:r>
      <w:r>
        <w:rPr>
          <w:w w:val="105"/>
          <w:sz w:val="21"/>
        </w:rPr>
        <w:t>‘One</w:t>
      </w:r>
      <w:r>
        <w:rPr>
          <w:spacing w:val="-10"/>
          <w:w w:val="105"/>
          <w:sz w:val="21"/>
        </w:rPr>
        <w:t> </w:t>
      </w:r>
      <w:r>
        <w:rPr>
          <w:w w:val="105"/>
          <w:sz w:val="21"/>
        </w:rPr>
        <w:t>expert</w:t>
      </w:r>
      <w:r>
        <w:rPr>
          <w:spacing w:val="-10"/>
          <w:w w:val="105"/>
          <w:sz w:val="21"/>
        </w:rPr>
        <w:t> </w:t>
      </w:r>
      <w:r>
        <w:rPr>
          <w:w w:val="105"/>
          <w:sz w:val="21"/>
        </w:rPr>
        <w:t>should</w:t>
      </w:r>
      <w:r>
        <w:rPr>
          <w:spacing w:val="-9"/>
          <w:w w:val="105"/>
          <w:sz w:val="21"/>
        </w:rPr>
        <w:t> </w:t>
      </w:r>
      <w:r>
        <w:rPr>
          <w:w w:val="105"/>
          <w:sz w:val="21"/>
        </w:rPr>
        <w:t>be </w:t>
      </w:r>
      <w:r>
        <w:rPr>
          <w:spacing w:val="-3"/>
          <w:w w:val="105"/>
          <w:sz w:val="21"/>
        </w:rPr>
        <w:t>appointed </w:t>
      </w:r>
      <w:r>
        <w:rPr>
          <w:w w:val="105"/>
          <w:sz w:val="21"/>
        </w:rPr>
        <w:t>in each </w:t>
      </w:r>
      <w:r>
        <w:rPr>
          <w:spacing w:val="-3"/>
          <w:w w:val="105"/>
          <w:sz w:val="21"/>
        </w:rPr>
        <w:t>case. </w:t>
      </w:r>
      <w:r>
        <w:rPr>
          <w:w w:val="105"/>
          <w:sz w:val="21"/>
        </w:rPr>
        <w:t>Otherwise there </w:t>
      </w:r>
      <w:r>
        <w:rPr>
          <w:spacing w:val="-3"/>
          <w:w w:val="105"/>
          <w:sz w:val="21"/>
        </w:rPr>
        <w:t>will </w:t>
      </w:r>
      <w:r>
        <w:rPr>
          <w:w w:val="105"/>
          <w:sz w:val="21"/>
        </w:rPr>
        <w:t>be a </w:t>
      </w:r>
      <w:r>
        <w:rPr>
          <w:spacing w:val="-3"/>
          <w:w w:val="105"/>
          <w:sz w:val="21"/>
        </w:rPr>
        <w:t>dispute </w:t>
      </w:r>
      <w:r>
        <w:rPr>
          <w:w w:val="105"/>
          <w:sz w:val="21"/>
        </w:rPr>
        <w:t>as </w:t>
      </w:r>
      <w:r>
        <w:rPr>
          <w:spacing w:val="-3"/>
          <w:w w:val="105"/>
          <w:sz w:val="21"/>
        </w:rPr>
        <w:t>to </w:t>
      </w:r>
      <w:r>
        <w:rPr>
          <w:w w:val="105"/>
          <w:sz w:val="21"/>
        </w:rPr>
        <w:t>the expert report.</w:t>
      </w:r>
      <w:r>
        <w:rPr>
          <w:spacing w:val="-30"/>
          <w:w w:val="105"/>
          <w:sz w:val="21"/>
        </w:rPr>
        <w:t> </w:t>
      </w:r>
      <w:r>
        <w:rPr>
          <w:spacing w:val="-3"/>
          <w:w w:val="105"/>
          <w:sz w:val="21"/>
        </w:rPr>
        <w:t>We</w:t>
      </w:r>
    </w:p>
    <w:p>
      <w:pPr>
        <w:pStyle w:val="BodyText"/>
        <w:spacing w:before="12"/>
      </w:pPr>
      <w:r>
        <w:rPr/>
        <w:pict>
          <v:line style="position:absolute;mso-position-horizontal-relative:page;mso-position-vertical-relative:paragraph;z-index:8120;mso-wrap-distance-left:0;mso-wrap-distance-right:0" from="79.370102pt,15.870815pt" to="515.905102pt,15.87081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spacing w:before="4"/>
        <w:rPr>
          <w:sz w:val="29"/>
        </w:rPr>
      </w:pPr>
    </w:p>
    <w:p>
      <w:pPr>
        <w:spacing w:before="0"/>
        <w:ind w:left="720" w:right="0" w:firstLine="0"/>
        <w:jc w:val="left"/>
        <w:rPr>
          <w:b/>
          <w:sz w:val="24"/>
        </w:rPr>
      </w:pPr>
      <w:r>
        <w:rPr>
          <w:b/>
          <w:color w:val="658464"/>
          <w:spacing w:val="-2"/>
          <w:w w:val="110"/>
          <w:sz w:val="24"/>
        </w:rPr>
        <w:t>186</w:t>
      </w:r>
    </w:p>
    <w:p>
      <w:pPr>
        <w:pStyle w:val="ListParagraph"/>
        <w:numPr>
          <w:ilvl w:val="0"/>
          <w:numId w:val="138"/>
        </w:numPr>
        <w:tabs>
          <w:tab w:pos="1224" w:val="left" w:leader="none"/>
          <w:tab w:pos="1225" w:val="left" w:leader="none"/>
        </w:tabs>
        <w:spacing w:line="240" w:lineRule="auto" w:before="48" w:after="0"/>
        <w:ind w:left="1224" w:right="0" w:hanging="793"/>
        <w:jc w:val="left"/>
        <w:rPr>
          <w:sz w:val="13"/>
        </w:rPr>
      </w:pPr>
      <w:r>
        <w:rPr>
          <w:w w:val="108"/>
          <w:sz w:val="13"/>
        </w:rPr>
        <w:br w:type="column"/>
      </w:r>
      <w:r>
        <w:rPr>
          <w:w w:val="105"/>
          <w:sz w:val="13"/>
        </w:rPr>
        <w:t>Submission 18</w:t>
      </w:r>
      <w:r>
        <w:rPr>
          <w:spacing w:val="9"/>
          <w:w w:val="105"/>
          <w:sz w:val="13"/>
        </w:rPr>
        <w:t> </w:t>
      </w:r>
      <w:r>
        <w:rPr>
          <w:w w:val="105"/>
          <w:sz w:val="13"/>
        </w:rPr>
        <w:t>(ENSPEC).</w:t>
      </w:r>
    </w:p>
    <w:p>
      <w:pPr>
        <w:pStyle w:val="ListParagraph"/>
        <w:numPr>
          <w:ilvl w:val="0"/>
          <w:numId w:val="138"/>
        </w:numPr>
        <w:tabs>
          <w:tab w:pos="1224" w:val="left" w:leader="none"/>
          <w:tab w:pos="1225" w:val="left" w:leader="none"/>
        </w:tabs>
        <w:spacing w:line="240" w:lineRule="auto" w:before="1" w:after="0"/>
        <w:ind w:left="1224" w:right="0" w:hanging="793"/>
        <w:jc w:val="left"/>
        <w:rPr>
          <w:sz w:val="13"/>
        </w:rPr>
      </w:pPr>
      <w:r>
        <w:rPr>
          <w:w w:val="105"/>
          <w:sz w:val="13"/>
        </w:rPr>
        <w:t>Supplementary Consultation 1 (Victorian Civil and Administrative</w:t>
      </w:r>
      <w:r>
        <w:rPr>
          <w:spacing w:val="2"/>
          <w:w w:val="105"/>
          <w:sz w:val="13"/>
        </w:rPr>
        <w:t> </w:t>
      </w:r>
      <w:r>
        <w:rPr>
          <w:w w:val="105"/>
          <w:sz w:val="13"/>
        </w:rPr>
        <w:t>Tribunal).</w:t>
      </w:r>
    </w:p>
    <w:p>
      <w:pPr>
        <w:pStyle w:val="ListParagraph"/>
        <w:numPr>
          <w:ilvl w:val="0"/>
          <w:numId w:val="138"/>
        </w:numPr>
        <w:tabs>
          <w:tab w:pos="1224" w:val="left" w:leader="none"/>
          <w:tab w:pos="1225" w:val="left" w:leader="none"/>
        </w:tabs>
        <w:spacing w:line="240" w:lineRule="auto" w:before="2" w:after="0"/>
        <w:ind w:left="1224" w:right="0" w:hanging="793"/>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138"/>
        </w:numPr>
        <w:tabs>
          <w:tab w:pos="1224" w:val="left" w:leader="none"/>
          <w:tab w:pos="1225" w:val="left" w:leader="none"/>
        </w:tabs>
        <w:spacing w:line="240" w:lineRule="auto" w:before="1" w:after="0"/>
        <w:ind w:left="1224" w:right="3137" w:hanging="793"/>
        <w:jc w:val="left"/>
        <w:rPr>
          <w:sz w:val="13"/>
        </w:rPr>
      </w:pPr>
      <w:r>
        <w:rPr>
          <w:w w:val="105"/>
          <w:sz w:val="13"/>
        </w:rPr>
        <w:t>Submissions 10 (Professor Phillip Hamilton), </w:t>
      </w:r>
      <w:r>
        <w:rPr>
          <w:spacing w:val="-4"/>
          <w:w w:val="105"/>
          <w:sz w:val="13"/>
        </w:rPr>
        <w:t>12 </w:t>
      </w:r>
      <w:r>
        <w:rPr>
          <w:spacing w:val="3"/>
          <w:w w:val="105"/>
          <w:sz w:val="13"/>
        </w:rPr>
        <w:t>(Dr </w:t>
      </w:r>
      <w:r>
        <w:rPr>
          <w:w w:val="105"/>
          <w:sz w:val="13"/>
        </w:rPr>
        <w:t>Gregory Moore </w:t>
      </w:r>
      <w:r>
        <w:rPr>
          <w:spacing w:val="2"/>
          <w:w w:val="105"/>
          <w:sz w:val="13"/>
        </w:rPr>
        <w:t>OAM), </w:t>
      </w:r>
      <w:r>
        <w:rPr>
          <w:w w:val="105"/>
          <w:sz w:val="13"/>
        </w:rPr>
        <w:t>18 (ENSPEC), 25 (City of Boroondara); Consultations</w:t>
      </w:r>
      <w:r>
        <w:rPr>
          <w:spacing w:val="6"/>
          <w:w w:val="105"/>
          <w:sz w:val="13"/>
        </w:rPr>
        <w:t> </w:t>
      </w:r>
      <w:r>
        <w:rPr>
          <w:w w:val="105"/>
          <w:sz w:val="13"/>
        </w:rPr>
        <w:t>4</w:t>
      </w:r>
      <w:r>
        <w:rPr>
          <w:spacing w:val="7"/>
          <w:w w:val="105"/>
          <w:sz w:val="13"/>
        </w:rPr>
        <w:t> </w:t>
      </w:r>
      <w:r>
        <w:rPr>
          <w:w w:val="105"/>
          <w:sz w:val="13"/>
        </w:rPr>
        <w:t>(Participants</w:t>
      </w:r>
      <w:r>
        <w:rPr>
          <w:spacing w:val="6"/>
          <w:w w:val="105"/>
          <w:sz w:val="13"/>
        </w:rPr>
        <w:t> </w:t>
      </w:r>
      <w:r>
        <w:rPr>
          <w:w w:val="105"/>
          <w:sz w:val="13"/>
        </w:rPr>
        <w:t>in</w:t>
      </w:r>
      <w:r>
        <w:rPr>
          <w:spacing w:val="7"/>
          <w:w w:val="105"/>
          <w:sz w:val="13"/>
        </w:rPr>
        <w:t> </w:t>
      </w:r>
      <w:r>
        <w:rPr>
          <w:w w:val="105"/>
          <w:sz w:val="13"/>
        </w:rPr>
        <w:t>facilitated</w:t>
      </w:r>
      <w:r>
        <w:rPr>
          <w:spacing w:val="6"/>
          <w:w w:val="105"/>
          <w:sz w:val="13"/>
        </w:rPr>
        <w:t> </w:t>
      </w:r>
      <w:r>
        <w:rPr>
          <w:w w:val="105"/>
          <w:sz w:val="13"/>
        </w:rPr>
        <w:t>discussion</w:t>
      </w:r>
      <w:r>
        <w:rPr>
          <w:spacing w:val="7"/>
          <w:w w:val="105"/>
          <w:sz w:val="13"/>
        </w:rPr>
        <w:t> </w:t>
      </w:r>
      <w:r>
        <w:rPr>
          <w:w w:val="105"/>
          <w:sz w:val="13"/>
        </w:rPr>
        <w:t>at</w:t>
      </w:r>
      <w:r>
        <w:rPr>
          <w:spacing w:val="6"/>
          <w:w w:val="105"/>
          <w:sz w:val="13"/>
        </w:rPr>
        <w:t> </w:t>
      </w:r>
      <w:r>
        <w:rPr>
          <w:spacing w:val="4"/>
          <w:w w:val="105"/>
          <w:sz w:val="13"/>
        </w:rPr>
        <w:t>VTIO</w:t>
      </w:r>
      <w:r>
        <w:rPr>
          <w:spacing w:val="7"/>
          <w:w w:val="105"/>
          <w:sz w:val="13"/>
        </w:rPr>
        <w:t> </w:t>
      </w:r>
      <w:r>
        <w:rPr>
          <w:w w:val="105"/>
          <w:sz w:val="13"/>
        </w:rPr>
        <w:t>ArborCamp2018),</w:t>
      </w:r>
      <w:r>
        <w:rPr>
          <w:spacing w:val="6"/>
          <w:w w:val="105"/>
          <w:sz w:val="13"/>
        </w:rPr>
        <w:t> </w:t>
      </w:r>
      <w:r>
        <w:rPr>
          <w:spacing w:val="-4"/>
          <w:w w:val="105"/>
          <w:sz w:val="13"/>
        </w:rPr>
        <w:t>12</w:t>
      </w:r>
      <w:r>
        <w:rPr>
          <w:spacing w:val="7"/>
          <w:w w:val="105"/>
          <w:sz w:val="13"/>
        </w:rPr>
        <w:t> </w:t>
      </w:r>
      <w:r>
        <w:rPr>
          <w:w w:val="105"/>
          <w:sz w:val="13"/>
        </w:rPr>
        <w:t>(City</w:t>
      </w:r>
      <w:r>
        <w:rPr>
          <w:spacing w:val="6"/>
          <w:w w:val="105"/>
          <w:sz w:val="13"/>
        </w:rPr>
        <w:t> </w:t>
      </w:r>
      <w:r>
        <w:rPr>
          <w:w w:val="105"/>
          <w:sz w:val="13"/>
        </w:rPr>
        <w:t>of</w:t>
      </w:r>
      <w:r>
        <w:rPr>
          <w:spacing w:val="7"/>
          <w:w w:val="105"/>
          <w:sz w:val="13"/>
        </w:rPr>
        <w:t> </w:t>
      </w:r>
      <w:r>
        <w:rPr>
          <w:w w:val="105"/>
          <w:sz w:val="13"/>
        </w:rPr>
        <w:t>Port</w:t>
      </w:r>
      <w:r>
        <w:rPr>
          <w:spacing w:val="6"/>
          <w:w w:val="105"/>
          <w:sz w:val="13"/>
        </w:rPr>
        <w:t> </w:t>
      </w:r>
      <w:r>
        <w:rPr>
          <w:w w:val="105"/>
          <w:sz w:val="13"/>
        </w:rPr>
        <w:t>Phillip).</w:t>
      </w:r>
    </w:p>
    <w:p>
      <w:pPr>
        <w:pStyle w:val="ListParagraph"/>
        <w:numPr>
          <w:ilvl w:val="0"/>
          <w:numId w:val="138"/>
        </w:numPr>
        <w:tabs>
          <w:tab w:pos="1224" w:val="left" w:leader="none"/>
          <w:tab w:pos="1225" w:val="left" w:leader="none"/>
        </w:tabs>
        <w:spacing w:line="240" w:lineRule="auto" w:before="3" w:after="0"/>
        <w:ind w:left="1224" w:right="0" w:hanging="793"/>
        <w:jc w:val="left"/>
        <w:rPr>
          <w:sz w:val="13"/>
        </w:rPr>
      </w:pPr>
      <w:r>
        <w:rPr>
          <w:w w:val="105"/>
          <w:sz w:val="13"/>
        </w:rPr>
        <w:t>Submission </w:t>
      </w:r>
      <w:r>
        <w:rPr>
          <w:spacing w:val="-4"/>
          <w:w w:val="105"/>
          <w:sz w:val="13"/>
        </w:rPr>
        <w:t>12 </w:t>
      </w:r>
      <w:r>
        <w:rPr>
          <w:spacing w:val="3"/>
          <w:w w:val="105"/>
          <w:sz w:val="13"/>
        </w:rPr>
        <w:t>(Dr </w:t>
      </w:r>
      <w:r>
        <w:rPr>
          <w:w w:val="105"/>
          <w:sz w:val="13"/>
        </w:rPr>
        <w:t>Gregory Moore </w:t>
      </w:r>
      <w:r>
        <w:rPr>
          <w:spacing w:val="2"/>
          <w:w w:val="105"/>
          <w:sz w:val="13"/>
        </w:rPr>
        <w:t>OAM); </w:t>
      </w:r>
      <w:r>
        <w:rPr>
          <w:w w:val="105"/>
          <w:sz w:val="13"/>
        </w:rPr>
        <w:t>Consultation 8 (City of</w:t>
      </w:r>
      <w:r>
        <w:rPr>
          <w:spacing w:val="21"/>
          <w:w w:val="105"/>
          <w:sz w:val="13"/>
        </w:rPr>
        <w:t> </w:t>
      </w:r>
      <w:r>
        <w:rPr>
          <w:w w:val="105"/>
          <w:sz w:val="13"/>
        </w:rPr>
        <w:t>Boroondara).</w:t>
      </w:r>
    </w:p>
    <w:p>
      <w:pPr>
        <w:pStyle w:val="ListParagraph"/>
        <w:numPr>
          <w:ilvl w:val="0"/>
          <w:numId w:val="138"/>
        </w:numPr>
        <w:tabs>
          <w:tab w:pos="1224" w:val="left" w:leader="none"/>
          <w:tab w:pos="1225" w:val="left" w:leader="none"/>
        </w:tabs>
        <w:spacing w:line="240" w:lineRule="auto" w:before="1" w:after="0"/>
        <w:ind w:left="1224" w:right="0" w:hanging="793"/>
        <w:jc w:val="left"/>
        <w:rPr>
          <w:sz w:val="13"/>
        </w:rPr>
      </w:pPr>
      <w:r>
        <w:rPr>
          <w:w w:val="105"/>
          <w:sz w:val="13"/>
        </w:rPr>
        <w:t>Submission 25 (City of</w:t>
      </w:r>
      <w:r>
        <w:rPr>
          <w:spacing w:val="18"/>
          <w:w w:val="105"/>
          <w:sz w:val="13"/>
        </w:rPr>
        <w:t> </w:t>
      </w:r>
      <w:r>
        <w:rPr>
          <w:w w:val="105"/>
          <w:sz w:val="13"/>
        </w:rPr>
        <w:t>Boroondara).</w:t>
      </w:r>
    </w:p>
    <w:p>
      <w:pPr>
        <w:pStyle w:val="ListParagraph"/>
        <w:numPr>
          <w:ilvl w:val="0"/>
          <w:numId w:val="138"/>
        </w:numPr>
        <w:tabs>
          <w:tab w:pos="1224" w:val="left" w:leader="none"/>
          <w:tab w:pos="1225" w:val="left" w:leader="none"/>
        </w:tabs>
        <w:spacing w:line="240" w:lineRule="auto" w:before="1" w:after="0"/>
        <w:ind w:left="1224" w:right="0" w:hanging="793"/>
        <w:jc w:val="left"/>
        <w:rPr>
          <w:sz w:val="13"/>
        </w:rPr>
      </w:pPr>
      <w:r>
        <w:rPr>
          <w:w w:val="105"/>
          <w:sz w:val="13"/>
        </w:rPr>
        <w:t>Submission 18</w:t>
      </w:r>
      <w:r>
        <w:rPr>
          <w:spacing w:val="9"/>
          <w:w w:val="105"/>
          <w:sz w:val="13"/>
        </w:rPr>
        <w:t> </w:t>
      </w:r>
      <w:r>
        <w:rPr>
          <w:w w:val="105"/>
          <w:sz w:val="13"/>
        </w:rPr>
        <w:t>(ENSPEC).</w:t>
      </w:r>
    </w:p>
    <w:p>
      <w:pPr>
        <w:pStyle w:val="ListParagraph"/>
        <w:numPr>
          <w:ilvl w:val="0"/>
          <w:numId w:val="138"/>
        </w:numPr>
        <w:tabs>
          <w:tab w:pos="1224" w:val="left" w:leader="none"/>
          <w:tab w:pos="1225" w:val="left" w:leader="none"/>
        </w:tabs>
        <w:spacing w:line="240" w:lineRule="auto" w:before="2" w:after="0"/>
        <w:ind w:left="1224" w:right="0" w:hanging="793"/>
        <w:jc w:val="left"/>
        <w:rPr>
          <w:sz w:val="13"/>
        </w:rPr>
      </w:pPr>
      <w:r>
        <w:rPr>
          <w:w w:val="105"/>
          <w:sz w:val="13"/>
        </w:rPr>
        <w:t>Submission </w:t>
      </w:r>
      <w:r>
        <w:rPr>
          <w:spacing w:val="-4"/>
          <w:w w:val="105"/>
          <w:sz w:val="13"/>
        </w:rPr>
        <w:t>12 </w:t>
      </w:r>
      <w:r>
        <w:rPr>
          <w:spacing w:val="3"/>
          <w:w w:val="105"/>
          <w:sz w:val="13"/>
        </w:rPr>
        <w:t>(Dr </w:t>
      </w:r>
      <w:r>
        <w:rPr>
          <w:w w:val="105"/>
          <w:sz w:val="13"/>
        </w:rPr>
        <w:t>Gregory Moore</w:t>
      </w:r>
      <w:r>
        <w:rPr>
          <w:spacing w:val="-3"/>
          <w:w w:val="105"/>
          <w:sz w:val="13"/>
        </w:rPr>
        <w:t> </w:t>
      </w:r>
      <w:r>
        <w:rPr>
          <w:spacing w:val="2"/>
          <w:w w:val="105"/>
          <w:sz w:val="13"/>
        </w:rPr>
        <w:t>OAM).</w:t>
      </w:r>
    </w:p>
    <w:p>
      <w:pPr>
        <w:pStyle w:val="ListParagraph"/>
        <w:numPr>
          <w:ilvl w:val="0"/>
          <w:numId w:val="138"/>
        </w:numPr>
        <w:tabs>
          <w:tab w:pos="1224" w:val="left" w:leader="none"/>
          <w:tab w:pos="1225" w:val="left" w:leader="none"/>
        </w:tabs>
        <w:spacing w:line="240" w:lineRule="auto" w:before="1" w:after="0"/>
        <w:ind w:left="1224" w:right="0" w:hanging="793"/>
        <w:jc w:val="left"/>
        <w:rPr>
          <w:sz w:val="13"/>
        </w:rPr>
      </w:pPr>
      <w:r>
        <w:rPr>
          <w:w w:val="105"/>
          <w:sz w:val="13"/>
        </w:rPr>
        <w:t>Confidential</w:t>
      </w:r>
      <w:r>
        <w:rPr>
          <w:spacing w:val="4"/>
          <w:w w:val="105"/>
          <w:sz w:val="13"/>
        </w:rPr>
        <w:t> </w:t>
      </w:r>
      <w:r>
        <w:rPr>
          <w:w w:val="105"/>
          <w:sz w:val="13"/>
        </w:rPr>
        <w:t>submission.</w:t>
      </w:r>
    </w:p>
    <w:p>
      <w:pPr>
        <w:spacing w:after="0" w:line="240" w:lineRule="auto"/>
        <w:jc w:val="left"/>
        <w:rPr>
          <w:sz w:val="13"/>
        </w:rPr>
        <w:sectPr>
          <w:type w:val="continuous"/>
          <w:pgSz w:w="11910" w:h="16840"/>
          <w:pgMar w:top="300" w:bottom="280" w:left="0" w:right="0"/>
          <w:cols w:num="2" w:equalWidth="0">
            <w:col w:w="1117" w:space="40"/>
            <w:col w:w="10753"/>
          </w:cols>
        </w:sectPr>
      </w:pPr>
    </w:p>
    <w:p>
      <w:pPr>
        <w:pStyle w:val="BodyText"/>
        <w:rPr>
          <w:sz w:val="20"/>
        </w:rPr>
      </w:pPr>
    </w:p>
    <w:p>
      <w:pPr>
        <w:pStyle w:val="BodyText"/>
        <w:spacing w:before="9"/>
        <w:rPr>
          <w:sz w:val="18"/>
        </w:rPr>
      </w:pPr>
    </w:p>
    <w:p>
      <w:pPr>
        <w:pStyle w:val="BodyText"/>
        <w:spacing w:line="242" w:lineRule="auto" w:before="91"/>
        <w:ind w:left="2381" w:right="1791" w:hanging="1"/>
        <w:rPr>
          <w:sz w:val="12"/>
        </w:rPr>
      </w:pPr>
      <w:bookmarkStart w:name="The Commission’s conclusions—expert evid" w:id="209"/>
      <w:bookmarkEnd w:id="209"/>
      <w:r>
        <w:rPr/>
      </w:r>
      <w:bookmarkStart w:name="_bookmark99" w:id="210"/>
      <w:bookmarkEnd w:id="210"/>
      <w:r>
        <w:rPr/>
      </w:r>
      <w:r>
        <w:rPr>
          <w:spacing w:val="-3"/>
          <w:w w:val="105"/>
        </w:rPr>
        <w:t>want to achieve quick </w:t>
      </w:r>
      <w:r>
        <w:rPr>
          <w:w w:val="105"/>
        </w:rPr>
        <w:t>results at </w:t>
      </w:r>
      <w:r>
        <w:rPr>
          <w:spacing w:val="-3"/>
          <w:w w:val="105"/>
        </w:rPr>
        <w:t>minimal </w:t>
      </w:r>
      <w:r>
        <w:rPr>
          <w:spacing w:val="-5"/>
          <w:w w:val="105"/>
        </w:rPr>
        <w:t>cost.’</w:t>
      </w:r>
      <w:r>
        <w:rPr>
          <w:spacing w:val="-5"/>
          <w:w w:val="105"/>
          <w:position w:val="7"/>
          <w:sz w:val="12"/>
        </w:rPr>
        <w:t>215 </w:t>
      </w:r>
      <w:r>
        <w:rPr>
          <w:w w:val="105"/>
        </w:rPr>
        <w:t>The </w:t>
      </w:r>
      <w:r>
        <w:rPr>
          <w:spacing w:val="-3"/>
          <w:w w:val="105"/>
        </w:rPr>
        <w:t>City </w:t>
      </w:r>
      <w:r>
        <w:rPr>
          <w:w w:val="105"/>
        </w:rPr>
        <w:t>of </w:t>
      </w:r>
      <w:r>
        <w:rPr>
          <w:spacing w:val="-3"/>
          <w:w w:val="105"/>
        </w:rPr>
        <w:t>Boroondara </w:t>
      </w:r>
      <w:r>
        <w:rPr>
          <w:w w:val="105"/>
        </w:rPr>
        <w:t>supported an approach </w:t>
      </w:r>
      <w:r>
        <w:rPr>
          <w:spacing w:val="-3"/>
          <w:w w:val="105"/>
        </w:rPr>
        <w:t>that </w:t>
      </w:r>
      <w:r>
        <w:rPr>
          <w:w w:val="105"/>
        </w:rPr>
        <w:t>would enable the </w:t>
      </w:r>
      <w:r>
        <w:rPr>
          <w:spacing w:val="-5"/>
          <w:w w:val="105"/>
        </w:rPr>
        <w:t>Tribunal </w:t>
      </w:r>
      <w:r>
        <w:rPr>
          <w:spacing w:val="-3"/>
          <w:w w:val="105"/>
        </w:rPr>
        <w:t>to </w:t>
      </w:r>
      <w:r>
        <w:rPr>
          <w:w w:val="105"/>
        </w:rPr>
        <w:t>appoint an independent expert </w:t>
      </w:r>
      <w:r>
        <w:rPr>
          <w:spacing w:val="-3"/>
          <w:w w:val="105"/>
        </w:rPr>
        <w:t>rather than </w:t>
      </w:r>
      <w:r>
        <w:rPr>
          <w:w w:val="105"/>
        </w:rPr>
        <w:t>the expert being </w:t>
      </w:r>
      <w:r>
        <w:rPr>
          <w:spacing w:val="-3"/>
          <w:w w:val="105"/>
        </w:rPr>
        <w:t>appointed </w:t>
      </w:r>
      <w:r>
        <w:rPr>
          <w:w w:val="105"/>
        </w:rPr>
        <w:t>by the </w:t>
      </w:r>
      <w:r>
        <w:rPr>
          <w:spacing w:val="-3"/>
          <w:w w:val="105"/>
        </w:rPr>
        <w:t>party.</w:t>
      </w:r>
      <w:r>
        <w:rPr>
          <w:spacing w:val="-3"/>
          <w:w w:val="105"/>
          <w:position w:val="7"/>
          <w:sz w:val="12"/>
        </w:rPr>
        <w:t>216</w:t>
      </w:r>
    </w:p>
    <w:p>
      <w:pPr>
        <w:pStyle w:val="ListParagraph"/>
        <w:numPr>
          <w:ilvl w:val="1"/>
          <w:numId w:val="133"/>
        </w:numPr>
        <w:tabs>
          <w:tab w:pos="2381" w:val="left" w:leader="none"/>
          <w:tab w:pos="2382" w:val="left" w:leader="none"/>
        </w:tabs>
        <w:spacing w:line="242" w:lineRule="auto" w:before="124" w:after="0"/>
        <w:ind w:left="2381" w:right="1772" w:hanging="794"/>
        <w:jc w:val="left"/>
        <w:rPr>
          <w:sz w:val="12"/>
        </w:rPr>
      </w:pPr>
      <w:r>
        <w:rPr>
          <w:spacing w:val="-3"/>
          <w:sz w:val="21"/>
        </w:rPr>
        <w:t>Nillumbik Shire </w:t>
      </w:r>
      <w:r>
        <w:rPr>
          <w:spacing w:val="-4"/>
          <w:sz w:val="21"/>
        </w:rPr>
        <w:t>Council </w:t>
      </w:r>
      <w:r>
        <w:rPr>
          <w:sz w:val="21"/>
        </w:rPr>
        <w:t>endorsed </w:t>
      </w:r>
      <w:r>
        <w:rPr>
          <w:spacing w:val="-5"/>
          <w:sz w:val="21"/>
        </w:rPr>
        <w:t>QCAT’s </w:t>
      </w:r>
      <w:r>
        <w:rPr>
          <w:sz w:val="21"/>
        </w:rPr>
        <w:t>use of independent  tree  assessors  by  stating </w:t>
      </w:r>
      <w:r>
        <w:rPr>
          <w:spacing w:val="-3"/>
          <w:sz w:val="21"/>
        </w:rPr>
        <w:t>that </w:t>
      </w:r>
      <w:r>
        <w:rPr>
          <w:sz w:val="21"/>
        </w:rPr>
        <w:t>‘this is a </w:t>
      </w:r>
      <w:r>
        <w:rPr>
          <w:spacing w:val="-3"/>
          <w:sz w:val="21"/>
        </w:rPr>
        <w:t>sensible </w:t>
      </w:r>
      <w:r>
        <w:rPr>
          <w:sz w:val="21"/>
        </w:rPr>
        <w:t>approach and </w:t>
      </w:r>
      <w:r>
        <w:rPr>
          <w:spacing w:val="-3"/>
          <w:sz w:val="21"/>
        </w:rPr>
        <w:t>could facilitate  </w:t>
      </w:r>
      <w:r>
        <w:rPr>
          <w:sz w:val="21"/>
        </w:rPr>
        <w:t>better  </w:t>
      </w:r>
      <w:r>
        <w:rPr>
          <w:spacing w:val="-4"/>
          <w:sz w:val="21"/>
        </w:rPr>
        <w:t>outcomes’.</w:t>
      </w:r>
      <w:r>
        <w:rPr>
          <w:spacing w:val="-4"/>
          <w:position w:val="7"/>
          <w:sz w:val="12"/>
        </w:rPr>
        <w:t>217  </w:t>
      </w:r>
      <w:r>
        <w:rPr>
          <w:spacing w:val="-4"/>
          <w:sz w:val="21"/>
        </w:rPr>
        <w:t>Nillumbik </w:t>
      </w:r>
      <w:r>
        <w:rPr>
          <w:sz w:val="21"/>
        </w:rPr>
        <w:t>suggested </w:t>
      </w:r>
      <w:r>
        <w:rPr>
          <w:spacing w:val="-3"/>
          <w:sz w:val="21"/>
        </w:rPr>
        <w:t>that </w:t>
      </w:r>
      <w:r>
        <w:rPr>
          <w:sz w:val="21"/>
        </w:rPr>
        <w:t>if parties </w:t>
      </w:r>
      <w:r>
        <w:rPr>
          <w:spacing w:val="-3"/>
          <w:sz w:val="21"/>
        </w:rPr>
        <w:t>are </w:t>
      </w:r>
      <w:r>
        <w:rPr>
          <w:sz w:val="21"/>
        </w:rPr>
        <w:t>each </w:t>
      </w:r>
      <w:r>
        <w:rPr>
          <w:spacing w:val="-3"/>
          <w:sz w:val="21"/>
        </w:rPr>
        <w:t>responsible for </w:t>
      </w:r>
      <w:r>
        <w:rPr>
          <w:sz w:val="21"/>
        </w:rPr>
        <w:t>50 per </w:t>
      </w:r>
      <w:r>
        <w:rPr>
          <w:spacing w:val="-3"/>
          <w:sz w:val="21"/>
        </w:rPr>
        <w:t>cent  </w:t>
      </w:r>
      <w:r>
        <w:rPr>
          <w:sz w:val="21"/>
        </w:rPr>
        <w:t>of this cost it would </w:t>
      </w:r>
      <w:r>
        <w:rPr>
          <w:spacing w:val="-3"/>
          <w:sz w:val="21"/>
        </w:rPr>
        <w:t>encourage </w:t>
      </w:r>
      <w:r>
        <w:rPr>
          <w:sz w:val="21"/>
        </w:rPr>
        <w:t>them </w:t>
      </w:r>
      <w:r>
        <w:rPr>
          <w:spacing w:val="-3"/>
          <w:sz w:val="21"/>
        </w:rPr>
        <w:t>to </w:t>
      </w:r>
      <w:r>
        <w:rPr>
          <w:sz w:val="21"/>
        </w:rPr>
        <w:t>be more </w:t>
      </w:r>
      <w:r>
        <w:rPr>
          <w:spacing w:val="-3"/>
          <w:sz w:val="21"/>
        </w:rPr>
        <w:t>reasonable </w:t>
      </w:r>
      <w:r>
        <w:rPr>
          <w:sz w:val="21"/>
        </w:rPr>
        <w:t>about  resolving  the  </w:t>
      </w:r>
      <w:r>
        <w:rPr>
          <w:spacing w:val="-3"/>
          <w:sz w:val="21"/>
        </w:rPr>
        <w:t>dispute.</w:t>
      </w:r>
      <w:r>
        <w:rPr>
          <w:spacing w:val="-3"/>
          <w:position w:val="7"/>
          <w:sz w:val="12"/>
        </w:rPr>
        <w:t>218  </w:t>
      </w:r>
      <w:r>
        <w:rPr>
          <w:sz w:val="21"/>
        </w:rPr>
        <w:t>It  further observed </w:t>
      </w:r>
      <w:r>
        <w:rPr>
          <w:spacing w:val="-3"/>
          <w:sz w:val="21"/>
        </w:rPr>
        <w:t>that sharing </w:t>
      </w:r>
      <w:r>
        <w:rPr>
          <w:sz w:val="21"/>
        </w:rPr>
        <w:t>this cost </w:t>
      </w:r>
      <w:r>
        <w:rPr>
          <w:spacing w:val="-5"/>
          <w:sz w:val="21"/>
        </w:rPr>
        <w:t>‘may </w:t>
      </w:r>
      <w:r>
        <w:rPr>
          <w:sz w:val="21"/>
        </w:rPr>
        <w:t>also </w:t>
      </w:r>
      <w:r>
        <w:rPr>
          <w:spacing w:val="-3"/>
          <w:sz w:val="21"/>
        </w:rPr>
        <w:t>discourage </w:t>
      </w:r>
      <w:r>
        <w:rPr>
          <w:sz w:val="21"/>
        </w:rPr>
        <w:t>vindictive neighbours </w:t>
      </w:r>
      <w:r>
        <w:rPr>
          <w:spacing w:val="-3"/>
          <w:sz w:val="21"/>
        </w:rPr>
        <w:t>from bringing unmeritorious </w:t>
      </w:r>
      <w:r>
        <w:rPr>
          <w:spacing w:val="-5"/>
          <w:sz w:val="21"/>
        </w:rPr>
        <w:t>claims’.</w:t>
      </w:r>
      <w:r>
        <w:rPr>
          <w:spacing w:val="-5"/>
          <w:position w:val="7"/>
          <w:sz w:val="12"/>
        </w:rPr>
        <w:t>219 </w:t>
      </w:r>
      <w:r>
        <w:rPr>
          <w:sz w:val="21"/>
        </w:rPr>
        <w:t>Arborist Robert Mineo supported the </w:t>
      </w:r>
      <w:r>
        <w:rPr>
          <w:spacing w:val="-3"/>
          <w:sz w:val="21"/>
        </w:rPr>
        <w:t>appointment </w:t>
      </w:r>
      <w:r>
        <w:rPr>
          <w:sz w:val="21"/>
        </w:rPr>
        <w:t>of an independent tree assessor and </w:t>
      </w:r>
      <w:r>
        <w:rPr>
          <w:spacing w:val="-3"/>
          <w:sz w:val="21"/>
        </w:rPr>
        <w:t>noted that requiring </w:t>
      </w:r>
      <w:r>
        <w:rPr>
          <w:sz w:val="21"/>
        </w:rPr>
        <w:t>the costs </w:t>
      </w:r>
      <w:r>
        <w:rPr>
          <w:spacing w:val="-3"/>
          <w:sz w:val="21"/>
        </w:rPr>
        <w:t>to </w:t>
      </w:r>
      <w:r>
        <w:rPr>
          <w:sz w:val="21"/>
        </w:rPr>
        <w:t>be </w:t>
      </w:r>
      <w:r>
        <w:rPr>
          <w:spacing w:val="-3"/>
          <w:sz w:val="21"/>
        </w:rPr>
        <w:t>shared equally could </w:t>
      </w:r>
      <w:r>
        <w:rPr>
          <w:sz w:val="21"/>
        </w:rPr>
        <w:t>save</w:t>
      </w:r>
      <w:r>
        <w:rPr>
          <w:spacing w:val="10"/>
          <w:sz w:val="21"/>
        </w:rPr>
        <w:t> </w:t>
      </w:r>
      <w:r>
        <w:rPr>
          <w:sz w:val="21"/>
        </w:rPr>
        <w:t>each</w:t>
      </w:r>
      <w:r>
        <w:rPr>
          <w:spacing w:val="10"/>
          <w:sz w:val="21"/>
        </w:rPr>
        <w:t> </w:t>
      </w:r>
      <w:r>
        <w:rPr>
          <w:sz w:val="21"/>
        </w:rPr>
        <w:t>party</w:t>
      </w:r>
      <w:r>
        <w:rPr>
          <w:spacing w:val="10"/>
          <w:sz w:val="21"/>
        </w:rPr>
        <w:t> </w:t>
      </w:r>
      <w:r>
        <w:rPr>
          <w:sz w:val="21"/>
        </w:rPr>
        <w:t>the</w:t>
      </w:r>
      <w:r>
        <w:rPr>
          <w:spacing w:val="11"/>
          <w:sz w:val="21"/>
        </w:rPr>
        <w:t> </w:t>
      </w:r>
      <w:r>
        <w:rPr>
          <w:spacing w:val="-3"/>
          <w:sz w:val="21"/>
        </w:rPr>
        <w:t>total</w:t>
      </w:r>
      <w:r>
        <w:rPr>
          <w:spacing w:val="10"/>
          <w:sz w:val="21"/>
        </w:rPr>
        <w:t> </w:t>
      </w:r>
      <w:r>
        <w:rPr>
          <w:sz w:val="21"/>
        </w:rPr>
        <w:t>cost</w:t>
      </w:r>
      <w:r>
        <w:rPr>
          <w:spacing w:val="10"/>
          <w:sz w:val="21"/>
        </w:rPr>
        <w:t> </w:t>
      </w:r>
      <w:r>
        <w:rPr>
          <w:sz w:val="21"/>
        </w:rPr>
        <w:t>of</w:t>
      </w:r>
      <w:r>
        <w:rPr>
          <w:spacing w:val="11"/>
          <w:sz w:val="21"/>
        </w:rPr>
        <w:t> </w:t>
      </w:r>
      <w:r>
        <w:rPr>
          <w:spacing w:val="-3"/>
          <w:sz w:val="21"/>
        </w:rPr>
        <w:t>engaging</w:t>
      </w:r>
      <w:r>
        <w:rPr>
          <w:spacing w:val="10"/>
          <w:sz w:val="21"/>
        </w:rPr>
        <w:t> </w:t>
      </w:r>
      <w:r>
        <w:rPr>
          <w:sz w:val="21"/>
        </w:rPr>
        <w:t>an</w:t>
      </w:r>
      <w:r>
        <w:rPr>
          <w:spacing w:val="10"/>
          <w:sz w:val="21"/>
        </w:rPr>
        <w:t> </w:t>
      </w:r>
      <w:r>
        <w:rPr>
          <w:sz w:val="21"/>
        </w:rPr>
        <w:t>arborist.</w:t>
      </w:r>
      <w:r>
        <w:rPr>
          <w:position w:val="7"/>
          <w:sz w:val="12"/>
        </w:rPr>
        <w:t>220</w:t>
      </w:r>
    </w:p>
    <w:p>
      <w:pPr>
        <w:pStyle w:val="BodyText"/>
        <w:spacing w:before="9"/>
        <w:rPr>
          <w:sz w:val="20"/>
        </w:rPr>
      </w:pPr>
    </w:p>
    <w:p>
      <w:pPr>
        <w:pStyle w:val="Heading5"/>
      </w:pPr>
      <w:r>
        <w:rPr>
          <w:w w:val="115"/>
        </w:rPr>
        <w:t>The quality of expert reports</w:t>
      </w:r>
    </w:p>
    <w:p>
      <w:pPr>
        <w:pStyle w:val="ListParagraph"/>
        <w:numPr>
          <w:ilvl w:val="1"/>
          <w:numId w:val="133"/>
        </w:numPr>
        <w:tabs>
          <w:tab w:pos="2381" w:val="left" w:leader="none"/>
          <w:tab w:pos="2382" w:val="left" w:leader="none"/>
        </w:tabs>
        <w:spacing w:line="242" w:lineRule="auto" w:before="137" w:after="0"/>
        <w:ind w:left="2381" w:right="1681" w:hanging="794"/>
        <w:jc w:val="left"/>
        <w:rPr>
          <w:sz w:val="12"/>
        </w:rPr>
      </w:pPr>
      <w:r>
        <w:rPr>
          <w:w w:val="105"/>
          <w:sz w:val="21"/>
        </w:rPr>
        <w:t>There was general </w:t>
      </w:r>
      <w:r>
        <w:rPr>
          <w:spacing w:val="-2"/>
          <w:w w:val="105"/>
          <w:sz w:val="21"/>
        </w:rPr>
        <w:t>agreement </w:t>
      </w:r>
      <w:r>
        <w:rPr>
          <w:w w:val="105"/>
          <w:sz w:val="21"/>
        </w:rPr>
        <w:t>amongst arborists, </w:t>
      </w:r>
      <w:r>
        <w:rPr>
          <w:spacing w:val="-3"/>
          <w:w w:val="105"/>
          <w:sz w:val="21"/>
        </w:rPr>
        <w:t>councils, </w:t>
      </w:r>
      <w:r>
        <w:rPr>
          <w:spacing w:val="-5"/>
          <w:w w:val="105"/>
          <w:sz w:val="21"/>
        </w:rPr>
        <w:t>VCAT </w:t>
      </w:r>
      <w:r>
        <w:rPr>
          <w:w w:val="105"/>
          <w:sz w:val="21"/>
        </w:rPr>
        <w:t>and </w:t>
      </w:r>
      <w:r>
        <w:rPr>
          <w:spacing w:val="-4"/>
          <w:w w:val="105"/>
          <w:sz w:val="21"/>
        </w:rPr>
        <w:t>QCAT </w:t>
      </w:r>
      <w:r>
        <w:rPr>
          <w:spacing w:val="-3"/>
          <w:w w:val="105"/>
          <w:sz w:val="21"/>
        </w:rPr>
        <w:t>that </w:t>
      </w:r>
      <w:r>
        <w:rPr>
          <w:w w:val="105"/>
          <w:sz w:val="21"/>
        </w:rPr>
        <w:t>the quality of </w:t>
      </w:r>
      <w:r>
        <w:rPr>
          <w:spacing w:val="-3"/>
          <w:w w:val="105"/>
          <w:sz w:val="21"/>
        </w:rPr>
        <w:t>arboricultural </w:t>
      </w:r>
      <w:r>
        <w:rPr>
          <w:w w:val="105"/>
          <w:sz w:val="21"/>
        </w:rPr>
        <w:t>reporting can vary.</w:t>
      </w:r>
      <w:r>
        <w:rPr>
          <w:w w:val="105"/>
          <w:position w:val="7"/>
          <w:sz w:val="12"/>
        </w:rPr>
        <w:t>221 </w:t>
      </w:r>
      <w:r>
        <w:rPr>
          <w:spacing w:val="-3"/>
          <w:w w:val="105"/>
          <w:sz w:val="21"/>
        </w:rPr>
        <w:t>Boroondara </w:t>
      </w:r>
      <w:r>
        <w:rPr>
          <w:w w:val="105"/>
          <w:sz w:val="21"/>
        </w:rPr>
        <w:t>and Baw Baw </w:t>
      </w:r>
      <w:r>
        <w:rPr>
          <w:spacing w:val="-4"/>
          <w:w w:val="105"/>
          <w:sz w:val="21"/>
        </w:rPr>
        <w:t>Councils </w:t>
      </w:r>
      <w:r>
        <w:rPr>
          <w:w w:val="105"/>
          <w:sz w:val="21"/>
        </w:rPr>
        <w:t>explained</w:t>
      </w:r>
      <w:r>
        <w:rPr>
          <w:spacing w:val="-10"/>
          <w:w w:val="105"/>
          <w:sz w:val="21"/>
        </w:rPr>
        <w:t> </w:t>
      </w:r>
      <w:r>
        <w:rPr>
          <w:spacing w:val="-3"/>
          <w:w w:val="105"/>
          <w:sz w:val="21"/>
        </w:rPr>
        <w:t>that</w:t>
      </w:r>
      <w:r>
        <w:rPr>
          <w:spacing w:val="-10"/>
          <w:w w:val="105"/>
          <w:sz w:val="21"/>
        </w:rPr>
        <w:t> </w:t>
      </w:r>
      <w:r>
        <w:rPr>
          <w:w w:val="105"/>
          <w:sz w:val="21"/>
        </w:rPr>
        <w:t>a</w:t>
      </w:r>
      <w:r>
        <w:rPr>
          <w:spacing w:val="-9"/>
          <w:w w:val="105"/>
          <w:sz w:val="21"/>
        </w:rPr>
        <w:t> </w:t>
      </w:r>
      <w:r>
        <w:rPr>
          <w:spacing w:val="-4"/>
          <w:w w:val="105"/>
          <w:sz w:val="21"/>
        </w:rPr>
        <w:t>key</w:t>
      </w:r>
      <w:r>
        <w:rPr>
          <w:spacing w:val="-10"/>
          <w:w w:val="105"/>
          <w:sz w:val="21"/>
        </w:rPr>
        <w:t> </w:t>
      </w:r>
      <w:r>
        <w:rPr>
          <w:w w:val="105"/>
          <w:sz w:val="21"/>
        </w:rPr>
        <w:t>issue</w:t>
      </w:r>
      <w:r>
        <w:rPr>
          <w:spacing w:val="-9"/>
          <w:w w:val="105"/>
          <w:sz w:val="21"/>
        </w:rPr>
        <w:t> </w:t>
      </w:r>
      <w:r>
        <w:rPr>
          <w:w w:val="105"/>
          <w:sz w:val="21"/>
        </w:rPr>
        <w:t>with</w:t>
      </w:r>
      <w:r>
        <w:rPr>
          <w:spacing w:val="-10"/>
          <w:w w:val="105"/>
          <w:sz w:val="21"/>
        </w:rPr>
        <w:t> </w:t>
      </w:r>
      <w:r>
        <w:rPr>
          <w:w w:val="105"/>
          <w:sz w:val="21"/>
        </w:rPr>
        <w:t>reports</w:t>
      </w:r>
      <w:r>
        <w:rPr>
          <w:spacing w:val="-9"/>
          <w:w w:val="105"/>
          <w:sz w:val="21"/>
        </w:rPr>
        <w:t> </w:t>
      </w:r>
      <w:r>
        <w:rPr>
          <w:w w:val="105"/>
          <w:sz w:val="21"/>
        </w:rPr>
        <w:t>is</w:t>
      </w:r>
      <w:r>
        <w:rPr>
          <w:spacing w:val="-10"/>
          <w:w w:val="105"/>
          <w:sz w:val="21"/>
        </w:rPr>
        <w:t> </w:t>
      </w:r>
      <w:r>
        <w:rPr>
          <w:w w:val="105"/>
          <w:sz w:val="21"/>
        </w:rPr>
        <w:t>a</w:t>
      </w:r>
      <w:r>
        <w:rPr>
          <w:spacing w:val="-9"/>
          <w:w w:val="105"/>
          <w:sz w:val="21"/>
        </w:rPr>
        <w:t> </w:t>
      </w:r>
      <w:r>
        <w:rPr>
          <w:spacing w:val="-4"/>
          <w:w w:val="105"/>
          <w:sz w:val="21"/>
        </w:rPr>
        <w:t>failure</w:t>
      </w:r>
      <w:r>
        <w:rPr>
          <w:spacing w:val="-10"/>
          <w:w w:val="105"/>
          <w:sz w:val="21"/>
        </w:rPr>
        <w:t> </w:t>
      </w:r>
      <w:r>
        <w:rPr>
          <w:spacing w:val="-3"/>
          <w:w w:val="105"/>
          <w:sz w:val="21"/>
        </w:rPr>
        <w:t>to</w:t>
      </w:r>
      <w:r>
        <w:rPr>
          <w:spacing w:val="-9"/>
          <w:w w:val="105"/>
          <w:sz w:val="21"/>
        </w:rPr>
        <w:t> </w:t>
      </w:r>
      <w:r>
        <w:rPr>
          <w:spacing w:val="-3"/>
          <w:w w:val="105"/>
          <w:sz w:val="21"/>
        </w:rPr>
        <w:t>complete</w:t>
      </w:r>
      <w:r>
        <w:rPr>
          <w:spacing w:val="-10"/>
          <w:w w:val="105"/>
          <w:sz w:val="21"/>
        </w:rPr>
        <w:t> </w:t>
      </w:r>
      <w:r>
        <w:rPr>
          <w:w w:val="105"/>
          <w:sz w:val="21"/>
        </w:rPr>
        <w:t>an</w:t>
      </w:r>
      <w:r>
        <w:rPr>
          <w:spacing w:val="-9"/>
          <w:w w:val="105"/>
          <w:sz w:val="21"/>
        </w:rPr>
        <w:t> </w:t>
      </w:r>
      <w:r>
        <w:rPr>
          <w:w w:val="105"/>
          <w:sz w:val="21"/>
        </w:rPr>
        <w:t>industry-recognised</w:t>
      </w:r>
      <w:r>
        <w:rPr>
          <w:spacing w:val="-10"/>
          <w:w w:val="105"/>
          <w:sz w:val="21"/>
        </w:rPr>
        <w:t> </w:t>
      </w:r>
      <w:r>
        <w:rPr>
          <w:w w:val="105"/>
          <w:sz w:val="21"/>
        </w:rPr>
        <w:t>risk assessment as part of their </w:t>
      </w:r>
      <w:r>
        <w:rPr>
          <w:spacing w:val="-3"/>
          <w:w w:val="105"/>
          <w:sz w:val="21"/>
        </w:rPr>
        <w:t>overall </w:t>
      </w:r>
      <w:r>
        <w:rPr>
          <w:w w:val="105"/>
          <w:sz w:val="21"/>
        </w:rPr>
        <w:t>assessment of the</w:t>
      </w:r>
      <w:r>
        <w:rPr>
          <w:spacing w:val="22"/>
          <w:w w:val="105"/>
          <w:sz w:val="21"/>
        </w:rPr>
        <w:t> </w:t>
      </w:r>
      <w:r>
        <w:rPr>
          <w:w w:val="105"/>
          <w:sz w:val="21"/>
        </w:rPr>
        <w:t>tree.</w:t>
      </w:r>
      <w:r>
        <w:rPr>
          <w:w w:val="105"/>
          <w:position w:val="7"/>
          <w:sz w:val="12"/>
        </w:rPr>
        <w:t>222</w:t>
      </w:r>
    </w:p>
    <w:p>
      <w:pPr>
        <w:pStyle w:val="ListParagraph"/>
        <w:numPr>
          <w:ilvl w:val="1"/>
          <w:numId w:val="133"/>
        </w:numPr>
        <w:tabs>
          <w:tab w:pos="2381" w:val="left" w:leader="none"/>
          <w:tab w:pos="2382" w:val="left" w:leader="none"/>
        </w:tabs>
        <w:spacing w:line="242" w:lineRule="auto" w:before="125" w:after="0"/>
        <w:ind w:left="2381" w:right="1728" w:hanging="794"/>
        <w:jc w:val="left"/>
        <w:rPr>
          <w:sz w:val="21"/>
        </w:rPr>
      </w:pPr>
      <w:r>
        <w:rPr>
          <w:spacing w:val="-8"/>
          <w:sz w:val="21"/>
        </w:rPr>
        <w:t>To </w:t>
      </w:r>
      <w:r>
        <w:rPr>
          <w:spacing w:val="-4"/>
          <w:sz w:val="21"/>
        </w:rPr>
        <w:t>address this </w:t>
      </w:r>
      <w:r>
        <w:rPr>
          <w:spacing w:val="-5"/>
          <w:sz w:val="21"/>
        </w:rPr>
        <w:t>issue, </w:t>
      </w:r>
      <w:r>
        <w:rPr>
          <w:spacing w:val="-3"/>
          <w:sz w:val="21"/>
        </w:rPr>
        <w:t>some arborists </w:t>
      </w:r>
      <w:r>
        <w:rPr>
          <w:spacing w:val="-5"/>
          <w:sz w:val="21"/>
        </w:rPr>
        <w:t>favoured </w:t>
      </w:r>
      <w:r>
        <w:rPr>
          <w:sz w:val="21"/>
        </w:rPr>
        <w:t>a  </w:t>
      </w:r>
      <w:r>
        <w:rPr>
          <w:spacing w:val="-5"/>
          <w:sz w:val="21"/>
        </w:rPr>
        <w:t>template  </w:t>
      </w:r>
      <w:r>
        <w:rPr>
          <w:spacing w:val="-4"/>
          <w:sz w:val="21"/>
        </w:rPr>
        <w:t>for  </w:t>
      </w:r>
      <w:r>
        <w:rPr>
          <w:spacing w:val="-3"/>
          <w:sz w:val="21"/>
        </w:rPr>
        <w:t>report  </w:t>
      </w:r>
      <w:r>
        <w:rPr>
          <w:spacing w:val="-4"/>
          <w:sz w:val="21"/>
        </w:rPr>
        <w:t>writing  </w:t>
      </w:r>
      <w:r>
        <w:rPr>
          <w:sz w:val="21"/>
        </w:rPr>
        <w:t>or  </w:t>
      </w:r>
      <w:r>
        <w:rPr>
          <w:spacing w:val="-3"/>
          <w:sz w:val="21"/>
        </w:rPr>
        <w:t>report </w:t>
      </w:r>
      <w:r>
        <w:rPr>
          <w:spacing w:val="-4"/>
          <w:sz w:val="21"/>
        </w:rPr>
        <w:t>writing guidelines. </w:t>
      </w:r>
      <w:r>
        <w:rPr>
          <w:spacing w:val="-3"/>
          <w:sz w:val="21"/>
        </w:rPr>
        <w:t>Arborists at </w:t>
      </w:r>
      <w:r>
        <w:rPr>
          <w:spacing w:val="-4"/>
          <w:sz w:val="21"/>
        </w:rPr>
        <w:t>ArborCamp agreed that </w:t>
      </w:r>
      <w:r>
        <w:rPr>
          <w:spacing w:val="-3"/>
          <w:sz w:val="21"/>
        </w:rPr>
        <w:t>the </w:t>
      </w:r>
      <w:r>
        <w:rPr>
          <w:spacing w:val="-6"/>
          <w:sz w:val="21"/>
        </w:rPr>
        <w:t>Council </w:t>
      </w:r>
      <w:r>
        <w:rPr>
          <w:spacing w:val="-5"/>
          <w:sz w:val="21"/>
        </w:rPr>
        <w:t>Arboriculture Victoria’s Arboricultural</w:t>
      </w:r>
      <w:r>
        <w:rPr>
          <w:spacing w:val="17"/>
          <w:sz w:val="21"/>
        </w:rPr>
        <w:t> </w:t>
      </w:r>
      <w:r>
        <w:rPr>
          <w:spacing w:val="-4"/>
          <w:sz w:val="21"/>
        </w:rPr>
        <w:t>Reporting</w:t>
      </w:r>
      <w:r>
        <w:rPr>
          <w:spacing w:val="17"/>
          <w:sz w:val="21"/>
        </w:rPr>
        <w:t> </w:t>
      </w:r>
      <w:r>
        <w:rPr>
          <w:spacing w:val="-4"/>
          <w:sz w:val="21"/>
        </w:rPr>
        <w:t>Guidelines</w:t>
      </w:r>
      <w:r>
        <w:rPr>
          <w:spacing w:val="17"/>
          <w:sz w:val="21"/>
        </w:rPr>
        <w:t> </w:t>
      </w:r>
      <w:r>
        <w:rPr>
          <w:spacing w:val="-4"/>
          <w:sz w:val="21"/>
        </w:rPr>
        <w:t>are</w:t>
      </w:r>
      <w:r>
        <w:rPr>
          <w:spacing w:val="17"/>
          <w:sz w:val="21"/>
        </w:rPr>
        <w:t> </w:t>
      </w:r>
      <w:r>
        <w:rPr>
          <w:spacing w:val="-4"/>
          <w:sz w:val="21"/>
        </w:rPr>
        <w:t>useful.</w:t>
      </w:r>
      <w:r>
        <w:rPr>
          <w:spacing w:val="-4"/>
          <w:position w:val="7"/>
          <w:sz w:val="12"/>
        </w:rPr>
        <w:t>223</w:t>
      </w:r>
      <w:r>
        <w:rPr>
          <w:spacing w:val="17"/>
          <w:position w:val="7"/>
          <w:sz w:val="12"/>
        </w:rPr>
        <w:t> </w:t>
      </w:r>
      <w:r>
        <w:rPr>
          <w:spacing w:val="-3"/>
          <w:sz w:val="21"/>
        </w:rPr>
        <w:t>Arborist</w:t>
      </w:r>
      <w:r>
        <w:rPr>
          <w:spacing w:val="17"/>
          <w:sz w:val="21"/>
        </w:rPr>
        <w:t> </w:t>
      </w:r>
      <w:r>
        <w:rPr>
          <w:spacing w:val="-3"/>
          <w:sz w:val="21"/>
        </w:rPr>
        <w:t>Robert</w:t>
      </w:r>
      <w:r>
        <w:rPr>
          <w:spacing w:val="17"/>
          <w:sz w:val="21"/>
        </w:rPr>
        <w:t> </w:t>
      </w:r>
      <w:r>
        <w:rPr>
          <w:spacing w:val="-3"/>
          <w:sz w:val="21"/>
        </w:rPr>
        <w:t>Mineo</w:t>
      </w:r>
      <w:r>
        <w:rPr>
          <w:spacing w:val="18"/>
          <w:sz w:val="21"/>
        </w:rPr>
        <w:t> </w:t>
      </w:r>
      <w:r>
        <w:rPr>
          <w:spacing w:val="-3"/>
          <w:sz w:val="21"/>
        </w:rPr>
        <w:t>added</w:t>
      </w:r>
      <w:r>
        <w:rPr>
          <w:spacing w:val="17"/>
          <w:sz w:val="21"/>
        </w:rPr>
        <w:t> </w:t>
      </w:r>
      <w:r>
        <w:rPr>
          <w:spacing w:val="-4"/>
          <w:sz w:val="21"/>
        </w:rPr>
        <w:t>that:</w:t>
      </w:r>
    </w:p>
    <w:p>
      <w:pPr>
        <w:spacing w:line="254" w:lineRule="auto" w:before="133"/>
        <w:ind w:left="2834" w:right="1674" w:firstLine="0"/>
        <w:jc w:val="left"/>
        <w:rPr>
          <w:sz w:val="11"/>
        </w:rPr>
      </w:pPr>
      <w:r>
        <w:rPr>
          <w:w w:val="105"/>
          <w:sz w:val="20"/>
        </w:rPr>
        <w:t>It would be wise for arborists to </w:t>
      </w:r>
      <w:r>
        <w:rPr>
          <w:spacing w:val="-3"/>
          <w:w w:val="105"/>
          <w:sz w:val="20"/>
        </w:rPr>
        <w:t>have </w:t>
      </w:r>
      <w:r>
        <w:rPr>
          <w:w w:val="105"/>
          <w:sz w:val="20"/>
        </w:rPr>
        <w:t>a </w:t>
      </w:r>
      <w:r>
        <w:rPr>
          <w:spacing w:val="-3"/>
          <w:w w:val="105"/>
          <w:sz w:val="20"/>
        </w:rPr>
        <w:t>template </w:t>
      </w:r>
      <w:r>
        <w:rPr>
          <w:w w:val="105"/>
          <w:sz w:val="20"/>
        </w:rPr>
        <w:t>for reporting writing. This would </w:t>
      </w:r>
      <w:r>
        <w:rPr>
          <w:spacing w:val="-3"/>
          <w:w w:val="105"/>
          <w:sz w:val="20"/>
        </w:rPr>
        <w:t>encourage </w:t>
      </w:r>
      <w:r>
        <w:rPr>
          <w:w w:val="105"/>
          <w:sz w:val="20"/>
        </w:rPr>
        <w:t>arborists to adhere to the same benchmark, and for the decision-making body to receive unified reports. A report writing </w:t>
      </w:r>
      <w:r>
        <w:rPr>
          <w:spacing w:val="-3"/>
          <w:w w:val="105"/>
          <w:sz w:val="20"/>
        </w:rPr>
        <w:t>template </w:t>
      </w:r>
      <w:r>
        <w:rPr>
          <w:w w:val="105"/>
          <w:sz w:val="20"/>
        </w:rPr>
        <w:t>would also </w:t>
      </w:r>
      <w:r>
        <w:rPr>
          <w:spacing w:val="-3"/>
          <w:w w:val="105"/>
          <w:sz w:val="20"/>
        </w:rPr>
        <w:t>make </w:t>
      </w:r>
      <w:r>
        <w:rPr>
          <w:w w:val="105"/>
          <w:sz w:val="20"/>
        </w:rPr>
        <w:t>it easier for arborists to supply </w:t>
      </w:r>
      <w:r>
        <w:rPr>
          <w:spacing w:val="-3"/>
          <w:w w:val="105"/>
          <w:sz w:val="20"/>
        </w:rPr>
        <w:t>information </w:t>
      </w:r>
      <w:r>
        <w:rPr>
          <w:w w:val="105"/>
          <w:sz w:val="20"/>
        </w:rPr>
        <w:t>and for decisionmakers to consider information.</w:t>
      </w:r>
      <w:r>
        <w:rPr>
          <w:w w:val="105"/>
          <w:position w:val="7"/>
          <w:sz w:val="11"/>
        </w:rPr>
        <w:t>224</w:t>
      </w:r>
    </w:p>
    <w:p>
      <w:pPr>
        <w:pStyle w:val="BodyText"/>
        <w:spacing w:before="2"/>
      </w:pPr>
    </w:p>
    <w:p>
      <w:pPr>
        <w:pStyle w:val="Heading4"/>
      </w:pPr>
      <w:r>
        <w:rPr>
          <w:color w:val="658464"/>
          <w:w w:val="110"/>
        </w:rPr>
        <w:t>The Commission’s conclusions—expert evidence</w:t>
      </w:r>
    </w:p>
    <w:p>
      <w:pPr>
        <w:pStyle w:val="Heading5"/>
        <w:spacing w:before="280"/>
      </w:pPr>
      <w:r>
        <w:rPr>
          <w:w w:val="115"/>
        </w:rPr>
        <w:t>Evidence-based decision making</w:t>
      </w:r>
    </w:p>
    <w:p>
      <w:pPr>
        <w:pStyle w:val="ListParagraph"/>
        <w:numPr>
          <w:ilvl w:val="1"/>
          <w:numId w:val="133"/>
        </w:numPr>
        <w:tabs>
          <w:tab w:pos="2380" w:val="left" w:leader="none"/>
          <w:tab w:pos="2381" w:val="left" w:leader="none"/>
        </w:tabs>
        <w:spacing w:line="242" w:lineRule="auto" w:before="137" w:after="0"/>
        <w:ind w:left="2381" w:right="1854" w:hanging="794"/>
        <w:jc w:val="left"/>
        <w:rPr>
          <w:sz w:val="21"/>
        </w:rPr>
      </w:pPr>
      <w:r>
        <w:rPr>
          <w:w w:val="105"/>
          <w:sz w:val="21"/>
        </w:rPr>
        <w:t>The</w:t>
      </w:r>
      <w:r>
        <w:rPr>
          <w:spacing w:val="-6"/>
          <w:w w:val="105"/>
          <w:sz w:val="21"/>
        </w:rPr>
        <w:t> </w:t>
      </w:r>
      <w:r>
        <w:rPr>
          <w:w w:val="105"/>
          <w:sz w:val="21"/>
        </w:rPr>
        <w:t>new</w:t>
      </w:r>
      <w:r>
        <w:rPr>
          <w:spacing w:val="-5"/>
          <w:w w:val="105"/>
          <w:sz w:val="21"/>
        </w:rPr>
        <w:t> </w:t>
      </w:r>
      <w:r>
        <w:rPr>
          <w:w w:val="105"/>
          <w:sz w:val="21"/>
        </w:rPr>
        <w:t>Act</w:t>
      </w:r>
      <w:r>
        <w:rPr>
          <w:spacing w:val="-6"/>
          <w:w w:val="105"/>
          <w:sz w:val="21"/>
        </w:rPr>
        <w:t> </w:t>
      </w:r>
      <w:r>
        <w:rPr>
          <w:w w:val="105"/>
          <w:sz w:val="21"/>
        </w:rPr>
        <w:t>should</w:t>
      </w:r>
      <w:r>
        <w:rPr>
          <w:spacing w:val="-5"/>
          <w:w w:val="105"/>
          <w:sz w:val="21"/>
        </w:rPr>
        <w:t> </w:t>
      </w:r>
      <w:r>
        <w:rPr>
          <w:w w:val="105"/>
          <w:sz w:val="21"/>
        </w:rPr>
        <w:t>be</w:t>
      </w:r>
      <w:r>
        <w:rPr>
          <w:spacing w:val="-5"/>
          <w:w w:val="105"/>
          <w:sz w:val="21"/>
        </w:rPr>
        <w:t> </w:t>
      </w:r>
      <w:r>
        <w:rPr>
          <w:spacing w:val="-3"/>
          <w:w w:val="105"/>
          <w:sz w:val="21"/>
        </w:rPr>
        <w:t>underpinned</w:t>
      </w:r>
      <w:r>
        <w:rPr>
          <w:spacing w:val="-6"/>
          <w:w w:val="105"/>
          <w:sz w:val="21"/>
        </w:rPr>
        <w:t> </w:t>
      </w:r>
      <w:r>
        <w:rPr>
          <w:w w:val="105"/>
          <w:sz w:val="21"/>
        </w:rPr>
        <w:t>by</w:t>
      </w:r>
      <w:r>
        <w:rPr>
          <w:spacing w:val="-5"/>
          <w:w w:val="105"/>
          <w:sz w:val="21"/>
        </w:rPr>
        <w:t> </w:t>
      </w:r>
      <w:r>
        <w:rPr>
          <w:w w:val="105"/>
          <w:sz w:val="21"/>
        </w:rPr>
        <w:t>evidence-based</w:t>
      </w:r>
      <w:r>
        <w:rPr>
          <w:spacing w:val="-6"/>
          <w:w w:val="105"/>
          <w:sz w:val="21"/>
        </w:rPr>
        <w:t> </w:t>
      </w:r>
      <w:r>
        <w:rPr>
          <w:w w:val="105"/>
          <w:sz w:val="21"/>
        </w:rPr>
        <w:t>decision</w:t>
      </w:r>
      <w:r>
        <w:rPr>
          <w:spacing w:val="-5"/>
          <w:w w:val="105"/>
          <w:sz w:val="21"/>
        </w:rPr>
        <w:t> </w:t>
      </w:r>
      <w:r>
        <w:rPr>
          <w:spacing w:val="-3"/>
          <w:w w:val="105"/>
          <w:sz w:val="21"/>
        </w:rPr>
        <w:t>making,</w:t>
      </w:r>
      <w:r>
        <w:rPr>
          <w:spacing w:val="-5"/>
          <w:w w:val="105"/>
          <w:sz w:val="21"/>
        </w:rPr>
        <w:t> </w:t>
      </w:r>
      <w:r>
        <w:rPr>
          <w:w w:val="105"/>
          <w:sz w:val="21"/>
        </w:rPr>
        <w:t>supported</w:t>
      </w:r>
      <w:r>
        <w:rPr>
          <w:spacing w:val="-6"/>
          <w:w w:val="105"/>
          <w:sz w:val="21"/>
        </w:rPr>
        <w:t> </w:t>
      </w:r>
      <w:r>
        <w:rPr>
          <w:w w:val="105"/>
          <w:sz w:val="21"/>
        </w:rPr>
        <w:t>by </w:t>
      </w:r>
      <w:r>
        <w:rPr>
          <w:spacing w:val="-3"/>
          <w:w w:val="105"/>
          <w:sz w:val="21"/>
        </w:rPr>
        <w:t>arboricultural </w:t>
      </w:r>
      <w:r>
        <w:rPr>
          <w:w w:val="105"/>
          <w:sz w:val="21"/>
        </w:rPr>
        <w:t>(and </w:t>
      </w:r>
      <w:r>
        <w:rPr>
          <w:spacing w:val="-3"/>
          <w:w w:val="105"/>
          <w:sz w:val="21"/>
        </w:rPr>
        <w:t>other) </w:t>
      </w:r>
      <w:r>
        <w:rPr>
          <w:w w:val="105"/>
          <w:sz w:val="21"/>
        </w:rPr>
        <w:t>expert </w:t>
      </w:r>
      <w:r>
        <w:rPr>
          <w:spacing w:val="-3"/>
          <w:w w:val="105"/>
          <w:sz w:val="21"/>
        </w:rPr>
        <w:t>evidence. </w:t>
      </w:r>
      <w:r>
        <w:rPr>
          <w:w w:val="105"/>
          <w:sz w:val="21"/>
        </w:rPr>
        <w:t>Expert evidence </w:t>
      </w:r>
      <w:r>
        <w:rPr>
          <w:spacing w:val="-3"/>
          <w:w w:val="105"/>
          <w:sz w:val="21"/>
        </w:rPr>
        <w:t>will </w:t>
      </w:r>
      <w:r>
        <w:rPr>
          <w:w w:val="105"/>
          <w:sz w:val="21"/>
        </w:rPr>
        <w:t>assist </w:t>
      </w:r>
      <w:r>
        <w:rPr>
          <w:spacing w:val="-5"/>
          <w:w w:val="105"/>
          <w:sz w:val="21"/>
        </w:rPr>
        <w:t>VCAT </w:t>
      </w:r>
      <w:r>
        <w:rPr>
          <w:spacing w:val="-3"/>
          <w:w w:val="105"/>
          <w:sz w:val="21"/>
        </w:rPr>
        <w:t>to ensure that</w:t>
      </w:r>
      <w:r>
        <w:rPr>
          <w:spacing w:val="-5"/>
          <w:w w:val="105"/>
          <w:sz w:val="21"/>
        </w:rPr>
        <w:t> </w:t>
      </w:r>
      <w:r>
        <w:rPr>
          <w:w w:val="105"/>
          <w:sz w:val="21"/>
        </w:rPr>
        <w:t>the</w:t>
      </w:r>
      <w:r>
        <w:rPr>
          <w:spacing w:val="-4"/>
          <w:w w:val="105"/>
          <w:sz w:val="21"/>
        </w:rPr>
        <w:t> </w:t>
      </w:r>
      <w:r>
        <w:rPr>
          <w:w w:val="105"/>
          <w:sz w:val="21"/>
        </w:rPr>
        <w:t>tree</w:t>
      </w:r>
      <w:r>
        <w:rPr>
          <w:spacing w:val="-4"/>
          <w:w w:val="105"/>
          <w:sz w:val="21"/>
        </w:rPr>
        <w:t> </w:t>
      </w:r>
      <w:r>
        <w:rPr>
          <w:w w:val="105"/>
          <w:sz w:val="21"/>
        </w:rPr>
        <w:t>is</w:t>
      </w:r>
      <w:r>
        <w:rPr>
          <w:spacing w:val="-5"/>
          <w:w w:val="105"/>
          <w:sz w:val="21"/>
        </w:rPr>
        <w:t> </w:t>
      </w:r>
      <w:r>
        <w:rPr>
          <w:w w:val="105"/>
          <w:sz w:val="21"/>
        </w:rPr>
        <w:t>the</w:t>
      </w:r>
      <w:r>
        <w:rPr>
          <w:spacing w:val="-4"/>
          <w:w w:val="105"/>
          <w:sz w:val="21"/>
        </w:rPr>
        <w:t> </w:t>
      </w:r>
      <w:r>
        <w:rPr>
          <w:spacing w:val="-3"/>
          <w:w w:val="105"/>
          <w:sz w:val="21"/>
        </w:rPr>
        <w:t>real</w:t>
      </w:r>
      <w:r>
        <w:rPr>
          <w:spacing w:val="-4"/>
          <w:w w:val="105"/>
          <w:sz w:val="21"/>
        </w:rPr>
        <w:t> </w:t>
      </w:r>
      <w:r>
        <w:rPr>
          <w:w w:val="105"/>
          <w:sz w:val="21"/>
        </w:rPr>
        <w:t>and</w:t>
      </w:r>
      <w:r>
        <w:rPr>
          <w:spacing w:val="-5"/>
          <w:w w:val="105"/>
          <w:sz w:val="21"/>
        </w:rPr>
        <w:t> </w:t>
      </w:r>
      <w:r>
        <w:rPr>
          <w:w w:val="105"/>
          <w:sz w:val="21"/>
        </w:rPr>
        <w:t>actual</w:t>
      </w:r>
      <w:r>
        <w:rPr>
          <w:spacing w:val="-4"/>
          <w:w w:val="105"/>
          <w:sz w:val="21"/>
        </w:rPr>
        <w:t> </w:t>
      </w:r>
      <w:r>
        <w:rPr>
          <w:w w:val="105"/>
          <w:sz w:val="21"/>
        </w:rPr>
        <w:t>cause</w:t>
      </w:r>
      <w:r>
        <w:rPr>
          <w:spacing w:val="-4"/>
          <w:w w:val="105"/>
          <w:sz w:val="21"/>
        </w:rPr>
        <w:t> </w:t>
      </w:r>
      <w:r>
        <w:rPr>
          <w:w w:val="105"/>
          <w:sz w:val="21"/>
        </w:rPr>
        <w:t>of</w:t>
      </w:r>
      <w:r>
        <w:rPr>
          <w:spacing w:val="-5"/>
          <w:w w:val="105"/>
          <w:sz w:val="21"/>
        </w:rPr>
        <w:t> </w:t>
      </w:r>
      <w:r>
        <w:rPr>
          <w:w w:val="105"/>
          <w:sz w:val="21"/>
        </w:rPr>
        <w:t>the</w:t>
      </w:r>
      <w:r>
        <w:rPr>
          <w:spacing w:val="-4"/>
          <w:w w:val="105"/>
          <w:sz w:val="21"/>
        </w:rPr>
        <w:t> </w:t>
      </w:r>
      <w:r>
        <w:rPr>
          <w:w w:val="105"/>
          <w:sz w:val="21"/>
        </w:rPr>
        <w:t>damage</w:t>
      </w:r>
      <w:r>
        <w:rPr>
          <w:spacing w:val="-4"/>
          <w:w w:val="105"/>
          <w:sz w:val="21"/>
        </w:rPr>
        <w:t> </w:t>
      </w:r>
      <w:r>
        <w:rPr>
          <w:w w:val="105"/>
          <w:sz w:val="21"/>
        </w:rPr>
        <w:t>or</w:t>
      </w:r>
      <w:r>
        <w:rPr>
          <w:spacing w:val="-4"/>
          <w:w w:val="105"/>
          <w:sz w:val="21"/>
        </w:rPr>
        <w:t> </w:t>
      </w:r>
      <w:r>
        <w:rPr>
          <w:spacing w:val="-3"/>
          <w:w w:val="105"/>
          <w:sz w:val="21"/>
        </w:rPr>
        <w:t>harm</w:t>
      </w:r>
      <w:r>
        <w:rPr>
          <w:spacing w:val="-5"/>
          <w:w w:val="105"/>
          <w:sz w:val="21"/>
        </w:rPr>
        <w:t> </w:t>
      </w:r>
      <w:r>
        <w:rPr>
          <w:spacing w:val="-3"/>
          <w:w w:val="105"/>
          <w:sz w:val="21"/>
        </w:rPr>
        <w:t>that</w:t>
      </w:r>
      <w:r>
        <w:rPr>
          <w:spacing w:val="-4"/>
          <w:w w:val="105"/>
          <w:sz w:val="21"/>
        </w:rPr>
        <w:t> </w:t>
      </w:r>
      <w:r>
        <w:rPr>
          <w:spacing w:val="-2"/>
          <w:w w:val="105"/>
          <w:sz w:val="21"/>
        </w:rPr>
        <w:t>has</w:t>
      </w:r>
      <w:r>
        <w:rPr>
          <w:spacing w:val="-4"/>
          <w:w w:val="105"/>
          <w:sz w:val="21"/>
        </w:rPr>
        <w:t> </w:t>
      </w:r>
      <w:r>
        <w:rPr>
          <w:spacing w:val="-3"/>
          <w:w w:val="105"/>
          <w:sz w:val="21"/>
        </w:rPr>
        <w:t>occurred</w:t>
      </w:r>
      <w:r>
        <w:rPr>
          <w:spacing w:val="-5"/>
          <w:w w:val="105"/>
          <w:sz w:val="21"/>
        </w:rPr>
        <w:t> </w:t>
      </w:r>
      <w:r>
        <w:rPr>
          <w:w w:val="105"/>
          <w:sz w:val="21"/>
        </w:rPr>
        <w:t>or</w:t>
      </w:r>
      <w:r>
        <w:rPr>
          <w:spacing w:val="-4"/>
          <w:w w:val="105"/>
          <w:sz w:val="21"/>
        </w:rPr>
        <w:t> </w:t>
      </w:r>
      <w:r>
        <w:rPr>
          <w:w w:val="105"/>
          <w:sz w:val="21"/>
        </w:rPr>
        <w:t>is</w:t>
      </w:r>
    </w:p>
    <w:p>
      <w:pPr>
        <w:pStyle w:val="BodyText"/>
        <w:spacing w:line="242" w:lineRule="auto" w:before="3"/>
        <w:ind w:left="2380" w:right="1636"/>
      </w:pPr>
      <w:r>
        <w:rPr/>
        <w:t>likely to occur in the next 12 months. Expert assistance will also help VCAT to incorporate practical and durable solutions in its orders.</w:t>
      </w:r>
    </w:p>
    <w:p>
      <w:pPr>
        <w:pStyle w:val="ListParagraph"/>
        <w:numPr>
          <w:ilvl w:val="1"/>
          <w:numId w:val="133"/>
        </w:numPr>
        <w:tabs>
          <w:tab w:pos="2380" w:val="left" w:leader="none"/>
          <w:tab w:pos="2381" w:val="left" w:leader="none"/>
        </w:tabs>
        <w:spacing w:line="242" w:lineRule="auto" w:before="123" w:after="0"/>
        <w:ind w:left="2381" w:right="1628" w:hanging="794"/>
        <w:jc w:val="left"/>
        <w:rPr>
          <w:sz w:val="21"/>
        </w:rPr>
      </w:pPr>
      <w:r>
        <w:rPr>
          <w:w w:val="105"/>
          <w:sz w:val="21"/>
        </w:rPr>
        <w:t>The </w:t>
      </w:r>
      <w:r>
        <w:rPr>
          <w:spacing w:val="-3"/>
          <w:w w:val="105"/>
          <w:sz w:val="21"/>
        </w:rPr>
        <w:t>recommendations </w:t>
      </w:r>
      <w:r>
        <w:rPr>
          <w:w w:val="105"/>
          <w:sz w:val="21"/>
        </w:rPr>
        <w:t>in </w:t>
      </w:r>
      <w:r>
        <w:rPr>
          <w:spacing w:val="-4"/>
          <w:w w:val="105"/>
          <w:sz w:val="21"/>
        </w:rPr>
        <w:t>Chapter </w:t>
      </w:r>
      <w:r>
        <w:rPr>
          <w:w w:val="105"/>
          <w:sz w:val="21"/>
        </w:rPr>
        <w:t>7 support the use of </w:t>
      </w:r>
      <w:r>
        <w:rPr>
          <w:spacing w:val="-5"/>
          <w:w w:val="105"/>
          <w:sz w:val="21"/>
        </w:rPr>
        <w:t>VCAT </w:t>
      </w:r>
      <w:r>
        <w:rPr>
          <w:w w:val="105"/>
          <w:sz w:val="21"/>
        </w:rPr>
        <w:t>members with </w:t>
      </w:r>
      <w:r>
        <w:rPr>
          <w:spacing w:val="-3"/>
          <w:w w:val="105"/>
          <w:sz w:val="21"/>
        </w:rPr>
        <w:t>arboricultural </w:t>
      </w:r>
      <w:r>
        <w:rPr>
          <w:w w:val="105"/>
          <w:sz w:val="21"/>
        </w:rPr>
        <w:t>expertise or the use of independent tree assessors in </w:t>
      </w:r>
      <w:r>
        <w:rPr>
          <w:spacing w:val="-3"/>
          <w:w w:val="105"/>
          <w:sz w:val="21"/>
        </w:rPr>
        <w:t>hearings </w:t>
      </w:r>
      <w:r>
        <w:rPr>
          <w:w w:val="105"/>
          <w:sz w:val="21"/>
        </w:rPr>
        <w:t>under the new Act. This </w:t>
      </w:r>
      <w:r>
        <w:rPr>
          <w:spacing w:val="-3"/>
          <w:w w:val="105"/>
          <w:sz w:val="21"/>
        </w:rPr>
        <w:t>means that </w:t>
      </w:r>
      <w:r>
        <w:rPr>
          <w:w w:val="105"/>
          <w:sz w:val="21"/>
        </w:rPr>
        <w:t>parties </w:t>
      </w:r>
      <w:r>
        <w:rPr>
          <w:spacing w:val="-3"/>
          <w:w w:val="105"/>
          <w:sz w:val="21"/>
        </w:rPr>
        <w:t>may </w:t>
      </w:r>
      <w:r>
        <w:rPr>
          <w:spacing w:val="-2"/>
          <w:w w:val="105"/>
          <w:sz w:val="21"/>
        </w:rPr>
        <w:t>not </w:t>
      </w:r>
      <w:r>
        <w:rPr>
          <w:w w:val="105"/>
          <w:sz w:val="21"/>
        </w:rPr>
        <w:t>need </w:t>
      </w:r>
      <w:r>
        <w:rPr>
          <w:spacing w:val="-3"/>
          <w:w w:val="105"/>
          <w:sz w:val="21"/>
        </w:rPr>
        <w:t>to retain </w:t>
      </w:r>
      <w:r>
        <w:rPr>
          <w:w w:val="105"/>
          <w:sz w:val="21"/>
        </w:rPr>
        <w:t>experts </w:t>
      </w:r>
      <w:r>
        <w:rPr>
          <w:spacing w:val="-3"/>
          <w:w w:val="105"/>
          <w:sz w:val="21"/>
        </w:rPr>
        <w:t>to </w:t>
      </w:r>
      <w:r>
        <w:rPr>
          <w:w w:val="105"/>
          <w:sz w:val="21"/>
        </w:rPr>
        <w:t>provide evidence </w:t>
      </w:r>
      <w:r>
        <w:rPr>
          <w:spacing w:val="-3"/>
          <w:w w:val="105"/>
          <w:sz w:val="21"/>
        </w:rPr>
        <w:t>to </w:t>
      </w:r>
      <w:r>
        <w:rPr>
          <w:spacing w:val="-8"/>
          <w:w w:val="105"/>
          <w:sz w:val="21"/>
        </w:rPr>
        <w:t>VCAT. </w:t>
      </w:r>
      <w:r>
        <w:rPr>
          <w:w w:val="105"/>
          <w:sz w:val="21"/>
        </w:rPr>
        <w:t>It </w:t>
      </w:r>
      <w:r>
        <w:rPr>
          <w:spacing w:val="-3"/>
          <w:w w:val="105"/>
          <w:sz w:val="21"/>
        </w:rPr>
        <w:t>will </w:t>
      </w:r>
      <w:r>
        <w:rPr>
          <w:w w:val="105"/>
          <w:sz w:val="21"/>
        </w:rPr>
        <w:t>also help </w:t>
      </w:r>
      <w:r>
        <w:rPr>
          <w:spacing w:val="-3"/>
          <w:w w:val="105"/>
          <w:sz w:val="21"/>
        </w:rPr>
        <w:t>to reduce </w:t>
      </w:r>
      <w:r>
        <w:rPr>
          <w:w w:val="105"/>
          <w:sz w:val="21"/>
        </w:rPr>
        <w:t>the cost of expert </w:t>
      </w:r>
      <w:r>
        <w:rPr>
          <w:spacing w:val="-3"/>
          <w:w w:val="105"/>
          <w:sz w:val="21"/>
        </w:rPr>
        <w:t>evidence. </w:t>
      </w:r>
      <w:r>
        <w:rPr>
          <w:spacing w:val="-4"/>
          <w:w w:val="105"/>
          <w:sz w:val="21"/>
        </w:rPr>
        <w:t>However, </w:t>
      </w:r>
      <w:r>
        <w:rPr>
          <w:w w:val="105"/>
          <w:sz w:val="21"/>
        </w:rPr>
        <w:t>the </w:t>
      </w:r>
      <w:r>
        <w:rPr>
          <w:spacing w:val="-3"/>
          <w:w w:val="105"/>
          <w:sz w:val="21"/>
        </w:rPr>
        <w:t>Commission </w:t>
      </w:r>
      <w:r>
        <w:rPr>
          <w:w w:val="105"/>
          <w:sz w:val="21"/>
        </w:rPr>
        <w:t>acknowledges </w:t>
      </w:r>
      <w:r>
        <w:rPr>
          <w:spacing w:val="-3"/>
          <w:w w:val="105"/>
          <w:sz w:val="21"/>
        </w:rPr>
        <w:t>that </w:t>
      </w:r>
      <w:r>
        <w:rPr>
          <w:w w:val="105"/>
          <w:sz w:val="21"/>
        </w:rPr>
        <w:t>tree </w:t>
      </w:r>
      <w:r>
        <w:rPr>
          <w:spacing w:val="-3"/>
          <w:w w:val="105"/>
          <w:sz w:val="21"/>
        </w:rPr>
        <w:t>disputes </w:t>
      </w:r>
      <w:r>
        <w:rPr>
          <w:w w:val="105"/>
          <w:sz w:val="21"/>
        </w:rPr>
        <w:t>can be </w:t>
      </w:r>
      <w:r>
        <w:rPr>
          <w:spacing w:val="-3"/>
          <w:w w:val="105"/>
          <w:sz w:val="21"/>
        </w:rPr>
        <w:t>highly </w:t>
      </w:r>
      <w:r>
        <w:rPr>
          <w:w w:val="105"/>
          <w:sz w:val="21"/>
        </w:rPr>
        <w:t>emotive and </w:t>
      </w:r>
      <w:r>
        <w:rPr>
          <w:spacing w:val="-3"/>
          <w:w w:val="105"/>
          <w:sz w:val="21"/>
        </w:rPr>
        <w:t>contentious </w:t>
      </w:r>
      <w:r>
        <w:rPr>
          <w:w w:val="105"/>
          <w:sz w:val="21"/>
        </w:rPr>
        <w:t>and </w:t>
      </w:r>
      <w:r>
        <w:rPr>
          <w:spacing w:val="-3"/>
          <w:w w:val="105"/>
          <w:sz w:val="21"/>
        </w:rPr>
        <w:t>that </w:t>
      </w:r>
      <w:r>
        <w:rPr>
          <w:w w:val="105"/>
          <w:sz w:val="21"/>
        </w:rPr>
        <w:t>parties </w:t>
      </w:r>
      <w:r>
        <w:rPr>
          <w:spacing w:val="-3"/>
          <w:w w:val="105"/>
          <w:sz w:val="21"/>
        </w:rPr>
        <w:t>will </w:t>
      </w:r>
      <w:r>
        <w:rPr>
          <w:w w:val="105"/>
          <w:sz w:val="21"/>
        </w:rPr>
        <w:t>sometimes </w:t>
      </w:r>
      <w:r>
        <w:rPr>
          <w:spacing w:val="-3"/>
          <w:w w:val="105"/>
          <w:sz w:val="21"/>
        </w:rPr>
        <w:t>want </w:t>
      </w:r>
      <w:r>
        <w:rPr>
          <w:w w:val="105"/>
          <w:sz w:val="21"/>
        </w:rPr>
        <w:t>their own experts </w:t>
      </w:r>
      <w:r>
        <w:rPr>
          <w:spacing w:val="-3"/>
          <w:w w:val="105"/>
          <w:sz w:val="21"/>
        </w:rPr>
        <w:t>to </w:t>
      </w:r>
      <w:r>
        <w:rPr>
          <w:w w:val="105"/>
          <w:sz w:val="21"/>
        </w:rPr>
        <w:t>assist them </w:t>
      </w:r>
      <w:r>
        <w:rPr>
          <w:spacing w:val="-3"/>
          <w:w w:val="105"/>
          <w:sz w:val="21"/>
        </w:rPr>
        <w:t>during </w:t>
      </w:r>
      <w:r>
        <w:rPr>
          <w:w w:val="105"/>
          <w:sz w:val="21"/>
        </w:rPr>
        <w:t>a </w:t>
      </w:r>
      <w:r>
        <w:rPr>
          <w:spacing w:val="-3"/>
          <w:w w:val="105"/>
          <w:sz w:val="21"/>
        </w:rPr>
        <w:t>hearing. </w:t>
      </w:r>
      <w:r>
        <w:rPr>
          <w:w w:val="105"/>
          <w:sz w:val="21"/>
        </w:rPr>
        <w:t>Parties </w:t>
      </w:r>
      <w:r>
        <w:rPr>
          <w:spacing w:val="-3"/>
          <w:w w:val="105"/>
          <w:sz w:val="21"/>
        </w:rPr>
        <w:t>that </w:t>
      </w:r>
      <w:r>
        <w:rPr>
          <w:w w:val="105"/>
          <w:sz w:val="21"/>
        </w:rPr>
        <w:t>provide expert evidence </w:t>
      </w:r>
      <w:r>
        <w:rPr>
          <w:spacing w:val="-3"/>
          <w:w w:val="105"/>
          <w:sz w:val="21"/>
        </w:rPr>
        <w:t>to </w:t>
      </w:r>
      <w:r>
        <w:rPr>
          <w:spacing w:val="-5"/>
          <w:w w:val="105"/>
          <w:sz w:val="21"/>
        </w:rPr>
        <w:t>VCAT </w:t>
      </w:r>
      <w:r>
        <w:rPr>
          <w:w w:val="105"/>
          <w:sz w:val="21"/>
        </w:rPr>
        <w:t>in a tree </w:t>
      </w:r>
      <w:r>
        <w:rPr>
          <w:spacing w:val="-3"/>
          <w:w w:val="105"/>
          <w:sz w:val="21"/>
        </w:rPr>
        <w:t>dispute including any </w:t>
      </w:r>
      <w:r>
        <w:rPr>
          <w:w w:val="105"/>
          <w:sz w:val="21"/>
        </w:rPr>
        <w:t>independent tree assessors should be </w:t>
      </w:r>
      <w:r>
        <w:rPr>
          <w:spacing w:val="-3"/>
          <w:w w:val="105"/>
          <w:sz w:val="21"/>
        </w:rPr>
        <w:t>required to </w:t>
      </w:r>
      <w:r>
        <w:rPr>
          <w:w w:val="105"/>
          <w:sz w:val="21"/>
        </w:rPr>
        <w:t>meet certain evidentiary </w:t>
      </w:r>
      <w:r>
        <w:rPr>
          <w:spacing w:val="-3"/>
          <w:w w:val="105"/>
          <w:sz w:val="21"/>
        </w:rPr>
        <w:t>requirements </w:t>
      </w:r>
      <w:r>
        <w:rPr>
          <w:w w:val="105"/>
          <w:sz w:val="21"/>
        </w:rPr>
        <w:t>as discussed</w:t>
      </w:r>
      <w:r>
        <w:rPr>
          <w:spacing w:val="15"/>
          <w:w w:val="105"/>
          <w:sz w:val="21"/>
        </w:rPr>
        <w:t> </w:t>
      </w:r>
      <w:r>
        <w:rPr>
          <w:spacing w:val="-3"/>
          <w:w w:val="105"/>
          <w:sz w:val="21"/>
        </w:rPr>
        <w:t>below.</w:t>
      </w:r>
    </w:p>
    <w:p>
      <w:pPr>
        <w:pStyle w:val="BodyText"/>
        <w:rPr>
          <w:sz w:val="20"/>
        </w:rPr>
      </w:pPr>
    </w:p>
    <w:p>
      <w:pPr>
        <w:pStyle w:val="BodyText"/>
        <w:spacing w:before="5"/>
        <w:rPr>
          <w:sz w:val="22"/>
        </w:rPr>
      </w:pPr>
      <w:r>
        <w:rPr/>
        <w:pict>
          <v:line style="position:absolute;mso-position-horizontal-relative:page;mso-position-vertical-relative:paragraph;z-index:8144;mso-wrap-distance-left:0;mso-wrap-distance-right:0" from="79.370003pt,16.151608pt" to="515.905003pt,16.15160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39"/>
        </w:numPr>
        <w:tabs>
          <w:tab w:pos="2380" w:val="left" w:leader="none"/>
          <w:tab w:pos="2382" w:val="left" w:leader="none"/>
        </w:tabs>
        <w:spacing w:line="240" w:lineRule="auto" w:before="48" w:after="0"/>
        <w:ind w:left="2381" w:right="0" w:hanging="794"/>
        <w:jc w:val="left"/>
        <w:rPr>
          <w:sz w:val="13"/>
        </w:rPr>
      </w:pPr>
      <w:r>
        <w:rPr>
          <w:w w:val="105"/>
          <w:sz w:val="13"/>
        </w:rPr>
        <w:t>Submission 10 (Professor Phillip</w:t>
      </w:r>
      <w:r>
        <w:rPr>
          <w:spacing w:val="18"/>
          <w:w w:val="105"/>
          <w:sz w:val="13"/>
        </w:rPr>
        <w:t> </w:t>
      </w:r>
      <w:r>
        <w:rPr>
          <w:w w:val="105"/>
          <w:sz w:val="13"/>
        </w:rPr>
        <w:t>Hamilton).</w:t>
      </w:r>
    </w:p>
    <w:p>
      <w:pPr>
        <w:pStyle w:val="ListParagraph"/>
        <w:numPr>
          <w:ilvl w:val="0"/>
          <w:numId w:val="139"/>
        </w:numPr>
        <w:tabs>
          <w:tab w:pos="2380" w:val="left" w:leader="none"/>
          <w:tab w:pos="2382" w:val="left" w:leader="none"/>
        </w:tabs>
        <w:spacing w:line="240" w:lineRule="auto" w:before="1" w:after="0"/>
        <w:ind w:left="2381" w:right="0" w:hanging="794"/>
        <w:jc w:val="left"/>
        <w:rPr>
          <w:sz w:val="13"/>
        </w:rPr>
      </w:pPr>
      <w:r>
        <w:rPr>
          <w:w w:val="105"/>
          <w:sz w:val="13"/>
        </w:rPr>
        <w:t>Consultation 8 (City of</w:t>
      </w:r>
      <w:r>
        <w:rPr>
          <w:spacing w:val="19"/>
          <w:w w:val="105"/>
          <w:sz w:val="13"/>
        </w:rPr>
        <w:t> </w:t>
      </w:r>
      <w:r>
        <w:rPr>
          <w:w w:val="105"/>
          <w:sz w:val="13"/>
        </w:rPr>
        <w:t>Boroondara).</w:t>
      </w:r>
    </w:p>
    <w:p>
      <w:pPr>
        <w:pStyle w:val="ListParagraph"/>
        <w:numPr>
          <w:ilvl w:val="0"/>
          <w:numId w:val="139"/>
        </w:numPr>
        <w:tabs>
          <w:tab w:pos="2380" w:val="left" w:leader="none"/>
          <w:tab w:pos="2382" w:val="left" w:leader="none"/>
        </w:tabs>
        <w:spacing w:line="240" w:lineRule="auto" w:before="2" w:after="0"/>
        <w:ind w:left="2381" w:right="0" w:hanging="794"/>
        <w:jc w:val="left"/>
        <w:rPr>
          <w:sz w:val="13"/>
        </w:rPr>
      </w:pPr>
      <w:r>
        <w:rPr>
          <w:w w:val="105"/>
          <w:sz w:val="13"/>
        </w:rPr>
        <w:t>Consultation 9 (Nillumbik Shire</w:t>
      </w:r>
      <w:r>
        <w:rPr>
          <w:spacing w:val="19"/>
          <w:w w:val="105"/>
          <w:sz w:val="13"/>
        </w:rPr>
        <w:t> </w:t>
      </w:r>
      <w:r>
        <w:rPr>
          <w:w w:val="105"/>
          <w:sz w:val="13"/>
        </w:rPr>
        <w:t>Council).</w:t>
      </w:r>
    </w:p>
    <w:p>
      <w:pPr>
        <w:pStyle w:val="ListParagraph"/>
        <w:numPr>
          <w:ilvl w:val="0"/>
          <w:numId w:val="139"/>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39"/>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39"/>
        </w:numPr>
        <w:tabs>
          <w:tab w:pos="2380" w:val="left" w:leader="none"/>
          <w:tab w:pos="2382" w:val="left" w:leader="none"/>
        </w:tabs>
        <w:spacing w:line="240" w:lineRule="auto" w:before="2" w:after="0"/>
        <w:ind w:left="2381" w:right="0" w:hanging="794"/>
        <w:jc w:val="left"/>
        <w:rPr>
          <w:sz w:val="13"/>
        </w:rPr>
      </w:pPr>
      <w:r>
        <w:rPr>
          <w:w w:val="105"/>
          <w:sz w:val="13"/>
        </w:rPr>
        <w:t>Consultation </w:t>
      </w:r>
      <w:r>
        <w:rPr>
          <w:spacing w:val="-3"/>
          <w:w w:val="105"/>
          <w:sz w:val="13"/>
        </w:rPr>
        <w:t>14 </w:t>
      </w:r>
      <w:r>
        <w:rPr>
          <w:spacing w:val="2"/>
          <w:w w:val="105"/>
          <w:sz w:val="13"/>
        </w:rPr>
        <w:t>(Robert</w:t>
      </w:r>
      <w:r>
        <w:rPr>
          <w:spacing w:val="16"/>
          <w:w w:val="105"/>
          <w:sz w:val="13"/>
        </w:rPr>
        <w:t> </w:t>
      </w:r>
      <w:r>
        <w:rPr>
          <w:spacing w:val="2"/>
          <w:w w:val="105"/>
          <w:sz w:val="13"/>
        </w:rPr>
        <w:t>Mineo).</w:t>
      </w:r>
    </w:p>
    <w:p>
      <w:pPr>
        <w:pStyle w:val="ListParagraph"/>
        <w:numPr>
          <w:ilvl w:val="0"/>
          <w:numId w:val="139"/>
        </w:numPr>
        <w:tabs>
          <w:tab w:pos="2381" w:val="left" w:leader="none"/>
          <w:tab w:pos="2382" w:val="left" w:leader="none"/>
        </w:tabs>
        <w:spacing w:line="240" w:lineRule="auto" w:before="1" w:after="0"/>
        <w:ind w:left="2381" w:right="0" w:hanging="794"/>
        <w:jc w:val="left"/>
        <w:rPr>
          <w:sz w:val="13"/>
        </w:rPr>
      </w:pPr>
      <w:r>
        <w:rPr>
          <w:w w:val="105"/>
          <w:sz w:val="13"/>
        </w:rPr>
        <w:t>Consultations 4 (Participants in facilitated discussion at </w:t>
      </w:r>
      <w:r>
        <w:rPr>
          <w:spacing w:val="4"/>
          <w:w w:val="105"/>
          <w:sz w:val="13"/>
        </w:rPr>
        <w:t>VTIO </w:t>
      </w:r>
      <w:r>
        <w:rPr>
          <w:w w:val="105"/>
          <w:sz w:val="13"/>
        </w:rPr>
        <w:t>ArborCamp2018), 5 (Victorian Civil and Administrative Tribunal), 8 (City of Boroondara),</w:t>
      </w:r>
      <w:r>
        <w:rPr>
          <w:spacing w:val="5"/>
          <w:w w:val="105"/>
          <w:sz w:val="13"/>
        </w:rPr>
        <w:t> </w:t>
      </w:r>
      <w:r>
        <w:rPr>
          <w:w w:val="105"/>
          <w:sz w:val="13"/>
        </w:rPr>
        <w:t>10</w:t>
      </w:r>
      <w:r>
        <w:rPr>
          <w:spacing w:val="4"/>
          <w:w w:val="105"/>
          <w:sz w:val="13"/>
        </w:rPr>
        <w:t> </w:t>
      </w:r>
      <w:r>
        <w:rPr>
          <w:spacing w:val="2"/>
          <w:w w:val="105"/>
          <w:sz w:val="13"/>
        </w:rPr>
        <w:t>(Baw</w:t>
      </w:r>
      <w:r>
        <w:rPr>
          <w:spacing w:val="5"/>
          <w:w w:val="105"/>
          <w:sz w:val="13"/>
        </w:rPr>
        <w:t> </w:t>
      </w:r>
      <w:r>
        <w:rPr>
          <w:w w:val="105"/>
          <w:sz w:val="13"/>
        </w:rPr>
        <w:t>Baw</w:t>
      </w:r>
      <w:r>
        <w:rPr>
          <w:spacing w:val="5"/>
          <w:w w:val="105"/>
          <w:sz w:val="13"/>
        </w:rPr>
        <w:t> </w:t>
      </w:r>
      <w:r>
        <w:rPr>
          <w:w w:val="105"/>
          <w:sz w:val="13"/>
        </w:rPr>
        <w:t>Shire</w:t>
      </w:r>
      <w:r>
        <w:rPr>
          <w:spacing w:val="5"/>
          <w:w w:val="105"/>
          <w:sz w:val="13"/>
        </w:rPr>
        <w:t> </w:t>
      </w:r>
      <w:r>
        <w:rPr>
          <w:w w:val="105"/>
          <w:sz w:val="13"/>
        </w:rPr>
        <w:t>Council),</w:t>
      </w:r>
      <w:r>
        <w:rPr>
          <w:spacing w:val="5"/>
          <w:w w:val="105"/>
          <w:sz w:val="13"/>
        </w:rPr>
        <w:t> </w:t>
      </w:r>
      <w:r>
        <w:rPr>
          <w:spacing w:val="-3"/>
          <w:w w:val="105"/>
          <w:sz w:val="13"/>
        </w:rPr>
        <w:t>14</w:t>
      </w:r>
      <w:r>
        <w:rPr>
          <w:spacing w:val="5"/>
          <w:w w:val="105"/>
          <w:sz w:val="13"/>
        </w:rPr>
        <w:t> </w:t>
      </w:r>
      <w:r>
        <w:rPr>
          <w:spacing w:val="2"/>
          <w:w w:val="105"/>
          <w:sz w:val="13"/>
        </w:rPr>
        <w:t>(Robert</w:t>
      </w:r>
      <w:r>
        <w:rPr>
          <w:spacing w:val="5"/>
          <w:w w:val="105"/>
          <w:sz w:val="13"/>
        </w:rPr>
        <w:t> </w:t>
      </w:r>
      <w:r>
        <w:rPr>
          <w:spacing w:val="2"/>
          <w:w w:val="105"/>
          <w:sz w:val="13"/>
        </w:rPr>
        <w:t>Mineo),</w:t>
      </w:r>
      <w:r>
        <w:rPr>
          <w:spacing w:val="5"/>
          <w:w w:val="105"/>
          <w:sz w:val="13"/>
        </w:rPr>
        <w:t> </w:t>
      </w:r>
      <w:r>
        <w:rPr>
          <w:spacing w:val="-3"/>
          <w:w w:val="105"/>
          <w:sz w:val="13"/>
        </w:rPr>
        <w:t>15</w:t>
      </w:r>
      <w:r>
        <w:rPr>
          <w:spacing w:val="5"/>
          <w:w w:val="105"/>
          <w:sz w:val="13"/>
        </w:rPr>
        <w:t> </w:t>
      </w:r>
      <w:r>
        <w:rPr>
          <w:w w:val="105"/>
          <w:sz w:val="13"/>
        </w:rPr>
        <w:t>(Queensland</w:t>
      </w:r>
      <w:r>
        <w:rPr>
          <w:spacing w:val="5"/>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5"/>
          <w:w w:val="105"/>
          <w:sz w:val="13"/>
        </w:rPr>
        <w:t> </w:t>
      </w:r>
      <w:r>
        <w:rPr>
          <w:w w:val="105"/>
          <w:sz w:val="13"/>
        </w:rPr>
        <w:t>Tribunal).</w:t>
      </w:r>
    </w:p>
    <w:p>
      <w:pPr>
        <w:pStyle w:val="ListParagraph"/>
        <w:numPr>
          <w:ilvl w:val="0"/>
          <w:numId w:val="139"/>
        </w:numPr>
        <w:tabs>
          <w:tab w:pos="2381" w:val="left" w:leader="none"/>
          <w:tab w:pos="2382" w:val="left" w:leader="none"/>
        </w:tabs>
        <w:spacing w:line="240" w:lineRule="auto" w:before="3" w:after="0"/>
        <w:ind w:left="2381" w:right="0" w:hanging="794"/>
        <w:jc w:val="left"/>
        <w:rPr>
          <w:sz w:val="13"/>
        </w:rPr>
      </w:pPr>
      <w:r>
        <w:rPr>
          <w:w w:val="105"/>
          <w:sz w:val="13"/>
        </w:rPr>
        <w:t>Consultations</w:t>
      </w:r>
      <w:r>
        <w:rPr>
          <w:spacing w:val="4"/>
          <w:w w:val="105"/>
          <w:sz w:val="13"/>
        </w:rPr>
        <w:t> </w:t>
      </w:r>
      <w:r>
        <w:rPr>
          <w:w w:val="105"/>
          <w:sz w:val="13"/>
        </w:rPr>
        <w:t>8</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r>
        <w:rPr>
          <w:spacing w:val="5"/>
          <w:w w:val="105"/>
          <w:sz w:val="13"/>
        </w:rPr>
        <w:t> </w:t>
      </w:r>
      <w:r>
        <w:rPr>
          <w:w w:val="105"/>
          <w:sz w:val="13"/>
        </w:rPr>
        <w:t>10</w:t>
      </w:r>
      <w:r>
        <w:rPr>
          <w:spacing w:val="5"/>
          <w:w w:val="105"/>
          <w:sz w:val="13"/>
        </w:rPr>
        <w:t> </w:t>
      </w:r>
      <w:r>
        <w:rPr>
          <w:spacing w:val="2"/>
          <w:w w:val="105"/>
          <w:sz w:val="13"/>
        </w:rPr>
        <w:t>(Baw</w:t>
      </w:r>
      <w:r>
        <w:rPr>
          <w:spacing w:val="5"/>
          <w:w w:val="105"/>
          <w:sz w:val="13"/>
        </w:rPr>
        <w:t> </w:t>
      </w:r>
      <w:r>
        <w:rPr>
          <w:w w:val="105"/>
          <w:sz w:val="13"/>
        </w:rPr>
        <w:t>Baw</w:t>
      </w:r>
      <w:r>
        <w:rPr>
          <w:spacing w:val="5"/>
          <w:w w:val="105"/>
          <w:sz w:val="13"/>
        </w:rPr>
        <w:t> </w:t>
      </w:r>
      <w:r>
        <w:rPr>
          <w:w w:val="105"/>
          <w:sz w:val="13"/>
        </w:rPr>
        <w:t>Shire</w:t>
      </w:r>
      <w:r>
        <w:rPr>
          <w:spacing w:val="5"/>
          <w:w w:val="105"/>
          <w:sz w:val="13"/>
        </w:rPr>
        <w:t> </w:t>
      </w:r>
      <w:r>
        <w:rPr>
          <w:w w:val="105"/>
          <w:sz w:val="13"/>
        </w:rPr>
        <w:t>Council).</w:t>
      </w:r>
    </w:p>
    <w:p>
      <w:pPr>
        <w:pStyle w:val="ListParagraph"/>
        <w:numPr>
          <w:ilvl w:val="0"/>
          <w:numId w:val="139"/>
        </w:numPr>
        <w:tabs>
          <w:tab w:pos="2381" w:val="left" w:leader="none"/>
          <w:tab w:pos="2382" w:val="left" w:leader="none"/>
        </w:tabs>
        <w:spacing w:line="240" w:lineRule="auto" w:before="1" w:after="0"/>
        <w:ind w:left="2381" w:right="55" w:hanging="794"/>
        <w:jc w:val="left"/>
        <w:rPr>
          <w:sz w:val="13"/>
        </w:rPr>
      </w:pPr>
      <w:r>
        <w:rPr>
          <w:w w:val="105"/>
          <w:sz w:val="13"/>
        </w:rPr>
        <w:t>Consultation 4 (Participants in facilitated discussion at </w:t>
      </w:r>
      <w:r>
        <w:rPr>
          <w:spacing w:val="4"/>
          <w:w w:val="105"/>
          <w:sz w:val="13"/>
        </w:rPr>
        <w:t>VTIO </w:t>
      </w:r>
      <w:r>
        <w:rPr>
          <w:w w:val="105"/>
          <w:sz w:val="13"/>
        </w:rPr>
        <w:t>ArborCamp2018). See also Council Arboriculture Victoria, </w:t>
      </w:r>
      <w:r>
        <w:rPr>
          <w:i/>
          <w:w w:val="105"/>
          <w:sz w:val="13"/>
        </w:rPr>
        <w:t>Arboricultural </w:t>
      </w:r>
      <w:r>
        <w:rPr>
          <w:i/>
          <w:w w:val="105"/>
          <w:sz w:val="13"/>
        </w:rPr>
        <w:t>Reporting Guidelines for Developments </w:t>
      </w:r>
      <w:r>
        <w:rPr>
          <w:w w:val="105"/>
          <w:sz w:val="13"/>
        </w:rPr>
        <w:t>(Version 2.0, November </w:t>
      </w:r>
      <w:r>
        <w:rPr>
          <w:spacing w:val="2"/>
          <w:w w:val="105"/>
          <w:sz w:val="13"/>
        </w:rPr>
        <w:t>2009) &lt;https://</w:t>
      </w:r>
      <w:hyperlink r:id="rId219">
        <w:r>
          <w:rPr>
            <w:spacing w:val="2"/>
            <w:w w:val="105"/>
            <w:sz w:val="13"/>
          </w:rPr>
          <w:t>www.councilarboriculturevictoria.com.au/wp-content/</w:t>
        </w:r>
      </w:hyperlink>
      <w:r>
        <w:rPr>
          <w:spacing w:val="2"/>
          <w:w w:val="105"/>
          <w:sz w:val="13"/>
        </w:rPr>
        <w:t> </w:t>
      </w:r>
      <w:r>
        <w:rPr>
          <w:w w:val="105"/>
          <w:sz w:val="13"/>
        </w:rPr>
        <w:t>uploads/2016/04/Arboricultural-Reporting-Guidelines-for-developments-Version-2.0-2009.pdf&gt;</w:t>
      </w:r>
    </w:p>
    <w:p>
      <w:pPr>
        <w:pStyle w:val="ListParagraph"/>
        <w:numPr>
          <w:ilvl w:val="0"/>
          <w:numId w:val="139"/>
        </w:numPr>
        <w:tabs>
          <w:tab w:pos="2381" w:val="left" w:leader="none"/>
          <w:tab w:pos="2382" w:val="left" w:leader="none"/>
        </w:tabs>
        <w:spacing w:line="240" w:lineRule="auto" w:before="4" w:after="0"/>
        <w:ind w:left="2381" w:right="0" w:hanging="794"/>
        <w:jc w:val="left"/>
        <w:rPr>
          <w:sz w:val="13"/>
        </w:rPr>
      </w:pPr>
      <w:r>
        <w:rPr>
          <w:w w:val="105"/>
          <w:sz w:val="13"/>
        </w:rPr>
        <w:t>Consultation </w:t>
      </w:r>
      <w:r>
        <w:rPr>
          <w:spacing w:val="-3"/>
          <w:w w:val="105"/>
          <w:sz w:val="13"/>
        </w:rPr>
        <w:t>14 </w:t>
      </w:r>
      <w:r>
        <w:rPr>
          <w:spacing w:val="2"/>
          <w:w w:val="105"/>
          <w:sz w:val="13"/>
        </w:rPr>
        <w:t>(Robert</w:t>
      </w:r>
      <w:r>
        <w:rPr>
          <w:spacing w:val="16"/>
          <w:w w:val="105"/>
          <w:sz w:val="13"/>
        </w:rPr>
        <w:t> </w:t>
      </w:r>
      <w:r>
        <w:rPr>
          <w:spacing w:val="2"/>
          <w:w w:val="105"/>
          <w:sz w:val="13"/>
        </w:rPr>
        <w:t>Mineo).</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8"/>
        <w:rPr>
          <w:sz w:val="40"/>
        </w:rPr>
      </w:pPr>
    </w:p>
    <w:p>
      <w:pPr>
        <w:spacing w:before="0"/>
        <w:ind w:left="772" w:right="574" w:firstLine="0"/>
        <w:jc w:val="center"/>
        <w:rPr>
          <w:b/>
          <w:sz w:val="24"/>
        </w:rPr>
      </w:pPr>
      <w:r>
        <w:rPr>
          <w:b/>
          <w:color w:val="658464"/>
          <w:w w:val="110"/>
          <w:sz w:val="24"/>
        </w:rPr>
        <w:t>187</w:t>
      </w:r>
    </w:p>
    <w:p>
      <w:pPr>
        <w:spacing w:after="0"/>
        <w:jc w:val="center"/>
        <w:rPr>
          <w:sz w:val="24"/>
        </w:rPr>
        <w:sectPr>
          <w:type w:val="continuous"/>
          <w:pgSz w:w="11910" w:h="16840"/>
          <w:pgMar w:top="300" w:bottom="280" w:left="0" w:right="0"/>
          <w:cols w:num="2" w:equalWidth="0">
            <w:col w:w="10081" w:space="40"/>
            <w:col w:w="1789"/>
          </w:cols>
        </w:sectPr>
      </w:pPr>
    </w:p>
    <w:p>
      <w:pPr>
        <w:pStyle w:val="BodyText"/>
        <w:spacing w:before="11"/>
        <w:rPr>
          <w:b/>
        </w:rPr>
      </w:pPr>
    </w:p>
    <w:p>
      <w:pPr>
        <w:spacing w:before="96"/>
        <w:ind w:left="1587" w:right="0" w:firstLine="0"/>
        <w:jc w:val="left"/>
        <w:rPr>
          <w:b/>
          <w:sz w:val="24"/>
        </w:rPr>
      </w:pPr>
      <w:bookmarkStart w:name="_bookmark100" w:id="211"/>
      <w:bookmarkEnd w:id="211"/>
      <w:r>
        <w:rPr/>
      </w:r>
      <w:r>
        <w:rPr>
          <w:b/>
          <w:w w:val="110"/>
          <w:sz w:val="24"/>
        </w:rPr>
        <w:t>Minimum qualification requirements</w:t>
      </w:r>
    </w:p>
    <w:p>
      <w:pPr>
        <w:pStyle w:val="ListParagraph"/>
        <w:numPr>
          <w:ilvl w:val="1"/>
          <w:numId w:val="133"/>
        </w:numPr>
        <w:tabs>
          <w:tab w:pos="2381" w:val="left" w:leader="none"/>
          <w:tab w:pos="2382" w:val="left" w:leader="none"/>
        </w:tabs>
        <w:spacing w:line="240" w:lineRule="auto" w:before="137" w:after="0"/>
        <w:ind w:left="2381" w:right="0" w:hanging="794"/>
        <w:jc w:val="left"/>
        <w:rPr>
          <w:sz w:val="21"/>
        </w:rPr>
      </w:pPr>
      <w:r>
        <w:rPr>
          <w:w w:val="105"/>
          <w:sz w:val="21"/>
        </w:rPr>
        <w:t>The Act should specify </w:t>
      </w:r>
      <w:r>
        <w:rPr>
          <w:spacing w:val="-3"/>
          <w:w w:val="105"/>
          <w:sz w:val="21"/>
        </w:rPr>
        <w:t>minimum </w:t>
      </w:r>
      <w:r>
        <w:rPr>
          <w:spacing w:val="-2"/>
          <w:w w:val="105"/>
          <w:sz w:val="21"/>
        </w:rPr>
        <w:t>qualification </w:t>
      </w:r>
      <w:r>
        <w:rPr>
          <w:spacing w:val="-3"/>
          <w:w w:val="105"/>
          <w:sz w:val="21"/>
        </w:rPr>
        <w:t>requirements for </w:t>
      </w:r>
      <w:r>
        <w:rPr>
          <w:w w:val="105"/>
          <w:sz w:val="21"/>
        </w:rPr>
        <w:t>expert roles in</w:t>
      </w:r>
      <w:r>
        <w:rPr>
          <w:spacing w:val="49"/>
          <w:w w:val="105"/>
          <w:sz w:val="21"/>
        </w:rPr>
        <w:t> </w:t>
      </w:r>
      <w:r>
        <w:rPr>
          <w:spacing w:val="-8"/>
          <w:w w:val="105"/>
          <w:sz w:val="21"/>
        </w:rPr>
        <w:t>VCAT.</w:t>
      </w:r>
    </w:p>
    <w:p>
      <w:pPr>
        <w:pStyle w:val="ListParagraph"/>
        <w:numPr>
          <w:ilvl w:val="1"/>
          <w:numId w:val="133"/>
        </w:numPr>
        <w:tabs>
          <w:tab w:pos="2380" w:val="left" w:leader="none"/>
          <w:tab w:pos="2381" w:val="left" w:leader="none"/>
        </w:tabs>
        <w:spacing w:line="242" w:lineRule="auto" w:before="124" w:after="0"/>
        <w:ind w:left="2381" w:right="1785" w:hanging="794"/>
        <w:jc w:val="left"/>
        <w:rPr>
          <w:sz w:val="21"/>
        </w:rPr>
      </w:pPr>
      <w:r>
        <w:rPr>
          <w:spacing w:val="-3"/>
          <w:sz w:val="21"/>
        </w:rPr>
        <w:t>Requiring minimum </w:t>
      </w:r>
      <w:r>
        <w:rPr>
          <w:spacing w:val="-2"/>
          <w:sz w:val="21"/>
        </w:rPr>
        <w:t>qualification </w:t>
      </w:r>
      <w:r>
        <w:rPr>
          <w:spacing w:val="-3"/>
          <w:sz w:val="21"/>
        </w:rPr>
        <w:t>levels  will  </w:t>
      </w:r>
      <w:r>
        <w:rPr>
          <w:sz w:val="21"/>
        </w:rPr>
        <w:t>help </w:t>
      </w:r>
      <w:r>
        <w:rPr>
          <w:spacing w:val="-3"/>
          <w:sz w:val="21"/>
        </w:rPr>
        <w:t>ensure</w:t>
      </w:r>
      <w:r>
        <w:rPr>
          <w:spacing w:val="41"/>
          <w:sz w:val="21"/>
        </w:rPr>
        <w:t> </w:t>
      </w:r>
      <w:r>
        <w:rPr>
          <w:sz w:val="21"/>
        </w:rPr>
        <w:t>trees </w:t>
      </w:r>
      <w:r>
        <w:rPr>
          <w:spacing w:val="-3"/>
          <w:sz w:val="21"/>
        </w:rPr>
        <w:t>are  appropriately  </w:t>
      </w:r>
      <w:r>
        <w:rPr>
          <w:sz w:val="21"/>
        </w:rPr>
        <w:t>assessed in </w:t>
      </w:r>
      <w:r>
        <w:rPr>
          <w:spacing w:val="-3"/>
          <w:sz w:val="21"/>
        </w:rPr>
        <w:t>line </w:t>
      </w:r>
      <w:r>
        <w:rPr>
          <w:sz w:val="21"/>
        </w:rPr>
        <w:t>with industry-approved risk assessment methods.</w:t>
      </w:r>
      <w:r>
        <w:rPr>
          <w:position w:val="7"/>
          <w:sz w:val="12"/>
        </w:rPr>
        <w:t>225 </w:t>
      </w:r>
      <w:r>
        <w:rPr>
          <w:sz w:val="21"/>
        </w:rPr>
        <w:t>This is of primary importance </w:t>
      </w:r>
      <w:r>
        <w:rPr>
          <w:spacing w:val="-3"/>
          <w:sz w:val="21"/>
        </w:rPr>
        <w:t>for </w:t>
      </w:r>
      <w:r>
        <w:rPr>
          <w:sz w:val="21"/>
        </w:rPr>
        <w:t>a scheme </w:t>
      </w:r>
      <w:r>
        <w:rPr>
          <w:spacing w:val="-3"/>
          <w:sz w:val="21"/>
        </w:rPr>
        <w:t>that will consider </w:t>
      </w:r>
      <w:r>
        <w:rPr>
          <w:sz w:val="21"/>
        </w:rPr>
        <w:t>whether trees </w:t>
      </w:r>
      <w:r>
        <w:rPr>
          <w:spacing w:val="-3"/>
          <w:sz w:val="21"/>
        </w:rPr>
        <w:t>have </w:t>
      </w:r>
      <w:r>
        <w:rPr>
          <w:sz w:val="21"/>
        </w:rPr>
        <w:t>caused damage or </w:t>
      </w:r>
      <w:r>
        <w:rPr>
          <w:spacing w:val="-3"/>
          <w:sz w:val="21"/>
        </w:rPr>
        <w:t>may </w:t>
      </w:r>
      <w:r>
        <w:rPr>
          <w:sz w:val="21"/>
        </w:rPr>
        <w:t>cause </w:t>
      </w:r>
      <w:r>
        <w:rPr>
          <w:spacing w:val="-3"/>
          <w:sz w:val="21"/>
        </w:rPr>
        <w:t>future </w:t>
      </w:r>
      <w:r>
        <w:rPr>
          <w:sz w:val="21"/>
        </w:rPr>
        <w:t>damage or</w:t>
      </w:r>
      <w:r>
        <w:rPr>
          <w:spacing w:val="16"/>
          <w:sz w:val="21"/>
        </w:rPr>
        <w:t> </w:t>
      </w:r>
      <w:r>
        <w:rPr>
          <w:spacing w:val="-3"/>
          <w:sz w:val="21"/>
        </w:rPr>
        <w:t>harm.</w:t>
      </w:r>
    </w:p>
    <w:p>
      <w:pPr>
        <w:pStyle w:val="ListParagraph"/>
        <w:numPr>
          <w:ilvl w:val="1"/>
          <w:numId w:val="133"/>
        </w:numPr>
        <w:tabs>
          <w:tab w:pos="2380" w:val="left" w:leader="none"/>
          <w:tab w:pos="2381" w:val="left" w:leader="none"/>
        </w:tabs>
        <w:spacing w:line="242" w:lineRule="auto" w:before="124" w:after="0"/>
        <w:ind w:left="2380" w:right="1707" w:hanging="793"/>
        <w:jc w:val="left"/>
        <w:rPr>
          <w:sz w:val="21"/>
        </w:rPr>
      </w:pPr>
      <w:r>
        <w:rPr>
          <w:w w:val="105"/>
          <w:sz w:val="21"/>
        </w:rPr>
        <w:t>Arborists </w:t>
      </w:r>
      <w:r>
        <w:rPr>
          <w:spacing w:val="-3"/>
          <w:w w:val="105"/>
          <w:sz w:val="21"/>
        </w:rPr>
        <w:t>trained to </w:t>
      </w:r>
      <w:r>
        <w:rPr>
          <w:w w:val="105"/>
          <w:sz w:val="21"/>
        </w:rPr>
        <w:t>AQF Level 5 </w:t>
      </w:r>
      <w:r>
        <w:rPr>
          <w:spacing w:val="-3"/>
          <w:w w:val="105"/>
          <w:sz w:val="21"/>
        </w:rPr>
        <w:t>have relevant </w:t>
      </w:r>
      <w:r>
        <w:rPr>
          <w:w w:val="105"/>
          <w:sz w:val="21"/>
        </w:rPr>
        <w:t>expertise in </w:t>
      </w:r>
      <w:r>
        <w:rPr>
          <w:spacing w:val="-3"/>
          <w:w w:val="105"/>
          <w:sz w:val="21"/>
        </w:rPr>
        <w:t>using </w:t>
      </w:r>
      <w:r>
        <w:rPr>
          <w:w w:val="105"/>
          <w:sz w:val="21"/>
        </w:rPr>
        <w:t>industry-approved risk assessment tools </w:t>
      </w:r>
      <w:r>
        <w:rPr>
          <w:spacing w:val="-3"/>
          <w:w w:val="105"/>
          <w:sz w:val="21"/>
        </w:rPr>
        <w:t>to </w:t>
      </w:r>
      <w:r>
        <w:rPr>
          <w:w w:val="105"/>
          <w:sz w:val="21"/>
        </w:rPr>
        <w:t>properly </w:t>
      </w:r>
      <w:r>
        <w:rPr>
          <w:spacing w:val="-3"/>
          <w:w w:val="105"/>
          <w:sz w:val="21"/>
        </w:rPr>
        <w:t>determine </w:t>
      </w:r>
      <w:r>
        <w:rPr>
          <w:w w:val="105"/>
          <w:sz w:val="21"/>
        </w:rPr>
        <w:t>whether the tree </w:t>
      </w:r>
      <w:r>
        <w:rPr>
          <w:spacing w:val="-3"/>
          <w:w w:val="105"/>
          <w:sz w:val="21"/>
        </w:rPr>
        <w:t>may </w:t>
      </w:r>
      <w:r>
        <w:rPr>
          <w:spacing w:val="-4"/>
          <w:w w:val="105"/>
          <w:sz w:val="21"/>
        </w:rPr>
        <w:t>fail </w:t>
      </w:r>
      <w:r>
        <w:rPr>
          <w:w w:val="105"/>
          <w:sz w:val="21"/>
        </w:rPr>
        <w:t>and cause damage or harm.</w:t>
      </w:r>
      <w:r>
        <w:rPr>
          <w:w w:val="105"/>
          <w:position w:val="7"/>
          <w:sz w:val="12"/>
        </w:rPr>
        <w:t>226 </w:t>
      </w:r>
      <w:r>
        <w:rPr>
          <w:w w:val="105"/>
          <w:sz w:val="21"/>
        </w:rPr>
        <w:t>The </w:t>
      </w:r>
      <w:r>
        <w:rPr>
          <w:spacing w:val="-3"/>
          <w:w w:val="105"/>
          <w:sz w:val="21"/>
        </w:rPr>
        <w:t>City </w:t>
      </w:r>
      <w:r>
        <w:rPr>
          <w:w w:val="105"/>
          <w:sz w:val="21"/>
        </w:rPr>
        <w:t>of </w:t>
      </w:r>
      <w:r>
        <w:rPr>
          <w:spacing w:val="-3"/>
          <w:w w:val="105"/>
          <w:sz w:val="21"/>
        </w:rPr>
        <w:t>Boroondara </w:t>
      </w:r>
      <w:r>
        <w:rPr>
          <w:w w:val="105"/>
          <w:sz w:val="21"/>
        </w:rPr>
        <w:t>identified the </w:t>
      </w:r>
      <w:r>
        <w:rPr>
          <w:spacing w:val="-3"/>
          <w:w w:val="105"/>
          <w:sz w:val="21"/>
        </w:rPr>
        <w:t>following </w:t>
      </w:r>
      <w:r>
        <w:rPr>
          <w:w w:val="105"/>
          <w:sz w:val="21"/>
        </w:rPr>
        <w:t>risk assessment methodologies and</w:t>
      </w:r>
      <w:r>
        <w:rPr>
          <w:spacing w:val="-7"/>
          <w:w w:val="105"/>
          <w:sz w:val="21"/>
        </w:rPr>
        <w:t> </w:t>
      </w:r>
      <w:r>
        <w:rPr>
          <w:w w:val="105"/>
          <w:sz w:val="21"/>
        </w:rPr>
        <w:t>explained</w:t>
      </w:r>
      <w:r>
        <w:rPr>
          <w:spacing w:val="-6"/>
          <w:w w:val="105"/>
          <w:sz w:val="21"/>
        </w:rPr>
        <w:t> </w:t>
      </w:r>
      <w:r>
        <w:rPr>
          <w:spacing w:val="-3"/>
          <w:w w:val="105"/>
          <w:sz w:val="21"/>
        </w:rPr>
        <w:t>that</w:t>
      </w:r>
      <w:r>
        <w:rPr>
          <w:spacing w:val="-6"/>
          <w:w w:val="105"/>
          <w:sz w:val="21"/>
        </w:rPr>
        <w:t> </w:t>
      </w:r>
      <w:r>
        <w:rPr>
          <w:w w:val="105"/>
          <w:sz w:val="21"/>
        </w:rPr>
        <w:t>one</w:t>
      </w:r>
      <w:r>
        <w:rPr>
          <w:spacing w:val="-6"/>
          <w:w w:val="105"/>
          <w:sz w:val="21"/>
        </w:rPr>
        <w:t> </w:t>
      </w:r>
      <w:r>
        <w:rPr>
          <w:w w:val="105"/>
          <w:sz w:val="21"/>
        </w:rPr>
        <w:t>or</w:t>
      </w:r>
      <w:r>
        <w:rPr>
          <w:spacing w:val="-6"/>
          <w:w w:val="105"/>
          <w:sz w:val="21"/>
        </w:rPr>
        <w:t> </w:t>
      </w:r>
      <w:r>
        <w:rPr>
          <w:w w:val="105"/>
          <w:sz w:val="21"/>
        </w:rPr>
        <w:t>more</w:t>
      </w:r>
      <w:r>
        <w:rPr>
          <w:spacing w:val="-6"/>
          <w:w w:val="105"/>
          <w:sz w:val="21"/>
        </w:rPr>
        <w:t> </w:t>
      </w:r>
      <w:r>
        <w:rPr>
          <w:w w:val="105"/>
          <w:sz w:val="21"/>
        </w:rPr>
        <w:t>of</w:t>
      </w:r>
      <w:r>
        <w:rPr>
          <w:spacing w:val="-7"/>
          <w:w w:val="105"/>
          <w:sz w:val="21"/>
        </w:rPr>
        <w:t> </w:t>
      </w:r>
      <w:r>
        <w:rPr>
          <w:w w:val="105"/>
          <w:sz w:val="21"/>
        </w:rPr>
        <w:t>these</w:t>
      </w:r>
      <w:r>
        <w:rPr>
          <w:spacing w:val="-6"/>
          <w:w w:val="105"/>
          <w:sz w:val="21"/>
        </w:rPr>
        <w:t> </w:t>
      </w:r>
      <w:r>
        <w:rPr>
          <w:w w:val="105"/>
          <w:sz w:val="21"/>
        </w:rPr>
        <w:t>assessments</w:t>
      </w:r>
      <w:r>
        <w:rPr>
          <w:spacing w:val="-6"/>
          <w:w w:val="105"/>
          <w:sz w:val="21"/>
        </w:rPr>
        <w:t> </w:t>
      </w:r>
      <w:r>
        <w:rPr>
          <w:spacing w:val="-3"/>
          <w:w w:val="105"/>
          <w:sz w:val="21"/>
        </w:rPr>
        <w:t>form</w:t>
      </w:r>
      <w:r>
        <w:rPr>
          <w:spacing w:val="-6"/>
          <w:w w:val="105"/>
          <w:sz w:val="21"/>
        </w:rPr>
        <w:t> </w:t>
      </w:r>
      <w:r>
        <w:rPr>
          <w:w w:val="105"/>
          <w:sz w:val="21"/>
        </w:rPr>
        <w:t>part</w:t>
      </w:r>
      <w:r>
        <w:rPr>
          <w:spacing w:val="-6"/>
          <w:w w:val="105"/>
          <w:sz w:val="21"/>
        </w:rPr>
        <w:t> </w:t>
      </w:r>
      <w:r>
        <w:rPr>
          <w:w w:val="105"/>
          <w:sz w:val="21"/>
        </w:rPr>
        <w:t>of</w:t>
      </w:r>
      <w:r>
        <w:rPr>
          <w:spacing w:val="-6"/>
          <w:w w:val="105"/>
          <w:sz w:val="21"/>
        </w:rPr>
        <w:t> </w:t>
      </w:r>
      <w:r>
        <w:rPr>
          <w:w w:val="105"/>
          <w:sz w:val="21"/>
        </w:rPr>
        <w:t>the</w:t>
      </w:r>
      <w:r>
        <w:rPr>
          <w:spacing w:val="-7"/>
          <w:w w:val="105"/>
          <w:sz w:val="21"/>
        </w:rPr>
        <w:t> </w:t>
      </w:r>
      <w:r>
        <w:rPr>
          <w:spacing w:val="-3"/>
          <w:w w:val="105"/>
          <w:sz w:val="21"/>
        </w:rPr>
        <w:t>regular</w:t>
      </w:r>
      <w:r>
        <w:rPr>
          <w:spacing w:val="-6"/>
          <w:w w:val="105"/>
          <w:sz w:val="21"/>
        </w:rPr>
        <w:t> </w:t>
      </w:r>
      <w:r>
        <w:rPr>
          <w:spacing w:val="-3"/>
          <w:w w:val="105"/>
          <w:sz w:val="21"/>
        </w:rPr>
        <w:t>training</w:t>
      </w:r>
      <w:r>
        <w:rPr>
          <w:spacing w:val="-6"/>
          <w:w w:val="105"/>
          <w:sz w:val="21"/>
        </w:rPr>
        <w:t> </w:t>
      </w:r>
      <w:r>
        <w:rPr>
          <w:w w:val="105"/>
          <w:sz w:val="21"/>
        </w:rPr>
        <w:t>of an AQF Level 5</w:t>
      </w:r>
      <w:r>
        <w:rPr>
          <w:spacing w:val="20"/>
          <w:w w:val="105"/>
          <w:sz w:val="21"/>
        </w:rPr>
        <w:t> </w:t>
      </w:r>
      <w:r>
        <w:rPr>
          <w:w w:val="105"/>
          <w:sz w:val="21"/>
        </w:rPr>
        <w:t>arborist:</w:t>
      </w:r>
    </w:p>
    <w:p>
      <w:pPr>
        <w:pStyle w:val="ListParagraph"/>
        <w:numPr>
          <w:ilvl w:val="2"/>
          <w:numId w:val="133"/>
        </w:numPr>
        <w:tabs>
          <w:tab w:pos="2721" w:val="left" w:leader="none"/>
          <w:tab w:pos="2722" w:val="left" w:leader="none"/>
        </w:tabs>
        <w:spacing w:line="242" w:lineRule="auto" w:before="126" w:after="0"/>
        <w:ind w:left="2721" w:right="1856" w:hanging="340"/>
        <w:jc w:val="left"/>
        <w:rPr>
          <w:sz w:val="12"/>
        </w:rPr>
      </w:pPr>
      <w:r>
        <w:rPr>
          <w:w w:val="105"/>
          <w:sz w:val="21"/>
        </w:rPr>
        <w:t>Quantified </w:t>
      </w:r>
      <w:r>
        <w:rPr>
          <w:spacing w:val="-5"/>
          <w:w w:val="105"/>
          <w:sz w:val="21"/>
        </w:rPr>
        <w:t>Tree </w:t>
      </w:r>
      <w:r>
        <w:rPr>
          <w:w w:val="105"/>
          <w:sz w:val="21"/>
        </w:rPr>
        <w:t>Risk Assessment (QTRA) —a </w:t>
      </w:r>
      <w:r>
        <w:rPr>
          <w:spacing w:val="-3"/>
          <w:w w:val="105"/>
          <w:sz w:val="21"/>
        </w:rPr>
        <w:t>United </w:t>
      </w:r>
      <w:r>
        <w:rPr>
          <w:w w:val="105"/>
          <w:sz w:val="21"/>
        </w:rPr>
        <w:t>Kingdom system with</w:t>
      </w:r>
      <w:r>
        <w:rPr>
          <w:spacing w:val="-36"/>
          <w:w w:val="105"/>
          <w:sz w:val="21"/>
        </w:rPr>
        <w:t> </w:t>
      </w:r>
      <w:r>
        <w:rPr>
          <w:w w:val="105"/>
          <w:sz w:val="21"/>
        </w:rPr>
        <w:t>two-day courses offered in</w:t>
      </w:r>
      <w:r>
        <w:rPr>
          <w:spacing w:val="15"/>
          <w:w w:val="105"/>
          <w:sz w:val="21"/>
        </w:rPr>
        <w:t> </w:t>
      </w:r>
      <w:r>
        <w:rPr>
          <w:spacing w:val="-3"/>
          <w:w w:val="105"/>
          <w:sz w:val="21"/>
        </w:rPr>
        <w:t>Australia</w:t>
      </w:r>
      <w:r>
        <w:rPr>
          <w:spacing w:val="-3"/>
          <w:w w:val="105"/>
          <w:position w:val="7"/>
          <w:sz w:val="12"/>
        </w:rPr>
        <w:t>227</w:t>
      </w:r>
    </w:p>
    <w:p>
      <w:pPr>
        <w:pStyle w:val="ListParagraph"/>
        <w:numPr>
          <w:ilvl w:val="2"/>
          <w:numId w:val="133"/>
        </w:numPr>
        <w:tabs>
          <w:tab w:pos="2721" w:val="left" w:leader="none"/>
          <w:tab w:pos="2722" w:val="left" w:leader="none"/>
        </w:tabs>
        <w:spacing w:line="242" w:lineRule="auto" w:before="87" w:after="0"/>
        <w:ind w:left="2721" w:right="1993" w:hanging="340"/>
        <w:jc w:val="left"/>
        <w:rPr>
          <w:sz w:val="12"/>
        </w:rPr>
      </w:pPr>
      <w:r>
        <w:rPr>
          <w:spacing w:val="-5"/>
          <w:w w:val="105"/>
          <w:sz w:val="21"/>
        </w:rPr>
        <w:t>Tree</w:t>
      </w:r>
      <w:r>
        <w:rPr>
          <w:spacing w:val="-10"/>
          <w:w w:val="105"/>
          <w:sz w:val="21"/>
        </w:rPr>
        <w:t> </w:t>
      </w:r>
      <w:r>
        <w:rPr>
          <w:w w:val="105"/>
          <w:sz w:val="21"/>
        </w:rPr>
        <w:t>Risk</w:t>
      </w:r>
      <w:r>
        <w:rPr>
          <w:spacing w:val="-9"/>
          <w:w w:val="105"/>
          <w:sz w:val="21"/>
        </w:rPr>
        <w:t> </w:t>
      </w:r>
      <w:r>
        <w:rPr>
          <w:w w:val="105"/>
          <w:sz w:val="21"/>
        </w:rPr>
        <w:t>Assessment</w:t>
      </w:r>
      <w:r>
        <w:rPr>
          <w:spacing w:val="-9"/>
          <w:w w:val="105"/>
          <w:sz w:val="21"/>
        </w:rPr>
        <w:t> </w:t>
      </w:r>
      <w:r>
        <w:rPr>
          <w:w w:val="105"/>
          <w:sz w:val="21"/>
        </w:rPr>
        <w:t>Qualification</w:t>
      </w:r>
      <w:r>
        <w:rPr>
          <w:spacing w:val="-9"/>
          <w:w w:val="105"/>
          <w:sz w:val="21"/>
        </w:rPr>
        <w:t> </w:t>
      </w:r>
      <w:r>
        <w:rPr>
          <w:spacing w:val="3"/>
          <w:w w:val="105"/>
          <w:sz w:val="21"/>
        </w:rPr>
        <w:t>(TRAQ)—a</w:t>
      </w:r>
      <w:r>
        <w:rPr>
          <w:spacing w:val="-9"/>
          <w:w w:val="105"/>
          <w:sz w:val="21"/>
        </w:rPr>
        <w:t> </w:t>
      </w:r>
      <w:r>
        <w:rPr>
          <w:spacing w:val="-3"/>
          <w:w w:val="105"/>
          <w:sz w:val="21"/>
        </w:rPr>
        <w:t>United</w:t>
      </w:r>
      <w:r>
        <w:rPr>
          <w:spacing w:val="-10"/>
          <w:w w:val="105"/>
          <w:sz w:val="21"/>
        </w:rPr>
        <w:t> </w:t>
      </w:r>
      <w:r>
        <w:rPr>
          <w:spacing w:val="-3"/>
          <w:w w:val="105"/>
          <w:sz w:val="21"/>
        </w:rPr>
        <w:t>States</w:t>
      </w:r>
      <w:r>
        <w:rPr>
          <w:spacing w:val="-9"/>
          <w:w w:val="105"/>
          <w:sz w:val="21"/>
        </w:rPr>
        <w:t> </w:t>
      </w:r>
      <w:r>
        <w:rPr>
          <w:w w:val="105"/>
          <w:sz w:val="21"/>
        </w:rPr>
        <w:t>system</w:t>
      </w:r>
      <w:r>
        <w:rPr>
          <w:spacing w:val="-9"/>
          <w:w w:val="105"/>
          <w:sz w:val="21"/>
        </w:rPr>
        <w:t> </w:t>
      </w:r>
      <w:r>
        <w:rPr>
          <w:w w:val="105"/>
          <w:sz w:val="21"/>
        </w:rPr>
        <w:t>with</w:t>
      </w:r>
      <w:r>
        <w:rPr>
          <w:spacing w:val="-9"/>
          <w:w w:val="105"/>
          <w:sz w:val="21"/>
        </w:rPr>
        <w:t> </w:t>
      </w:r>
      <w:r>
        <w:rPr>
          <w:w w:val="105"/>
          <w:sz w:val="21"/>
        </w:rPr>
        <w:t>two-day courses </w:t>
      </w:r>
      <w:r>
        <w:rPr>
          <w:spacing w:val="-3"/>
          <w:w w:val="105"/>
          <w:sz w:val="21"/>
        </w:rPr>
        <w:t>followed </w:t>
      </w:r>
      <w:r>
        <w:rPr>
          <w:w w:val="105"/>
          <w:sz w:val="21"/>
        </w:rPr>
        <w:t>by a </w:t>
      </w:r>
      <w:r>
        <w:rPr>
          <w:spacing w:val="-3"/>
          <w:w w:val="105"/>
          <w:sz w:val="21"/>
        </w:rPr>
        <w:t>half-day </w:t>
      </w:r>
      <w:r>
        <w:rPr>
          <w:w w:val="105"/>
          <w:sz w:val="21"/>
        </w:rPr>
        <w:t>assessment offered in</w:t>
      </w:r>
      <w:r>
        <w:rPr>
          <w:spacing w:val="28"/>
          <w:w w:val="105"/>
          <w:sz w:val="21"/>
        </w:rPr>
        <w:t> </w:t>
      </w:r>
      <w:r>
        <w:rPr>
          <w:spacing w:val="-3"/>
          <w:w w:val="105"/>
          <w:sz w:val="21"/>
        </w:rPr>
        <w:t>Australia</w:t>
      </w:r>
      <w:r>
        <w:rPr>
          <w:spacing w:val="-3"/>
          <w:w w:val="105"/>
          <w:position w:val="7"/>
          <w:sz w:val="12"/>
        </w:rPr>
        <w:t>228</w:t>
      </w:r>
    </w:p>
    <w:p>
      <w:pPr>
        <w:pStyle w:val="ListParagraph"/>
        <w:numPr>
          <w:ilvl w:val="2"/>
          <w:numId w:val="133"/>
        </w:numPr>
        <w:tabs>
          <w:tab w:pos="2721" w:val="left" w:leader="none"/>
          <w:tab w:pos="2722" w:val="left" w:leader="none"/>
        </w:tabs>
        <w:spacing w:line="240" w:lineRule="auto" w:before="87" w:after="0"/>
        <w:ind w:left="2721" w:right="0" w:hanging="340"/>
        <w:jc w:val="left"/>
        <w:rPr>
          <w:sz w:val="12"/>
        </w:rPr>
      </w:pPr>
      <w:r>
        <w:rPr>
          <w:w w:val="105"/>
          <w:sz w:val="21"/>
        </w:rPr>
        <w:t>the </w:t>
      </w:r>
      <w:r>
        <w:rPr>
          <w:spacing w:val="-3"/>
          <w:w w:val="105"/>
          <w:sz w:val="21"/>
        </w:rPr>
        <w:t>Matheny </w:t>
      </w:r>
      <w:r>
        <w:rPr>
          <w:w w:val="105"/>
          <w:sz w:val="21"/>
        </w:rPr>
        <w:t>&amp; </w:t>
      </w:r>
      <w:r>
        <w:rPr>
          <w:spacing w:val="-5"/>
          <w:w w:val="105"/>
          <w:sz w:val="21"/>
        </w:rPr>
        <w:t>Clarke</w:t>
      </w:r>
      <w:r>
        <w:rPr>
          <w:spacing w:val="24"/>
          <w:w w:val="105"/>
          <w:sz w:val="21"/>
        </w:rPr>
        <w:t> </w:t>
      </w:r>
      <w:r>
        <w:rPr>
          <w:w w:val="105"/>
          <w:sz w:val="21"/>
        </w:rPr>
        <w:t>method.</w:t>
      </w:r>
      <w:r>
        <w:rPr>
          <w:w w:val="105"/>
          <w:position w:val="7"/>
          <w:sz w:val="12"/>
        </w:rPr>
        <w:t>229</w:t>
      </w:r>
    </w:p>
    <w:p>
      <w:pPr>
        <w:pStyle w:val="ListParagraph"/>
        <w:numPr>
          <w:ilvl w:val="1"/>
          <w:numId w:val="133"/>
        </w:numPr>
        <w:tabs>
          <w:tab w:pos="2381" w:val="left" w:leader="none"/>
          <w:tab w:pos="2382" w:val="left" w:leader="none"/>
        </w:tabs>
        <w:spacing w:line="242" w:lineRule="auto" w:before="89" w:after="0"/>
        <w:ind w:left="2381" w:right="1587" w:hanging="794"/>
        <w:jc w:val="left"/>
        <w:rPr>
          <w:sz w:val="12"/>
        </w:rPr>
      </w:pPr>
      <w:r>
        <w:rPr>
          <w:sz w:val="21"/>
        </w:rPr>
        <w:t>The </w:t>
      </w:r>
      <w:r>
        <w:rPr>
          <w:spacing w:val="-3"/>
          <w:sz w:val="21"/>
        </w:rPr>
        <w:t>Commission </w:t>
      </w:r>
      <w:r>
        <w:rPr>
          <w:spacing w:val="-2"/>
          <w:sz w:val="21"/>
        </w:rPr>
        <w:t>has </w:t>
      </w:r>
      <w:r>
        <w:rPr>
          <w:spacing w:val="-3"/>
          <w:sz w:val="21"/>
        </w:rPr>
        <w:t>considered  </w:t>
      </w:r>
      <w:r>
        <w:rPr>
          <w:sz w:val="21"/>
        </w:rPr>
        <w:t>the  course  </w:t>
      </w:r>
      <w:r>
        <w:rPr>
          <w:spacing w:val="-3"/>
          <w:sz w:val="21"/>
        </w:rPr>
        <w:t>requirements  </w:t>
      </w:r>
      <w:r>
        <w:rPr>
          <w:sz w:val="21"/>
        </w:rPr>
        <w:t>of  a  </w:t>
      </w:r>
      <w:r>
        <w:rPr>
          <w:spacing w:val="-3"/>
          <w:sz w:val="21"/>
        </w:rPr>
        <w:t>diploma  </w:t>
      </w:r>
      <w:r>
        <w:rPr>
          <w:sz w:val="21"/>
        </w:rPr>
        <w:t>in  </w:t>
      </w:r>
      <w:r>
        <w:rPr>
          <w:spacing w:val="-3"/>
          <w:sz w:val="21"/>
        </w:rPr>
        <w:t>Arboriculture </w:t>
      </w:r>
      <w:r>
        <w:rPr>
          <w:sz w:val="21"/>
        </w:rPr>
        <w:t>and </w:t>
      </w:r>
      <w:r>
        <w:rPr>
          <w:spacing w:val="-3"/>
          <w:sz w:val="21"/>
        </w:rPr>
        <w:t>notes  that  </w:t>
      </w:r>
      <w:r>
        <w:rPr>
          <w:sz w:val="21"/>
        </w:rPr>
        <w:t>an </w:t>
      </w:r>
      <w:r>
        <w:rPr>
          <w:spacing w:val="-3"/>
          <w:sz w:val="21"/>
        </w:rPr>
        <w:t>additional</w:t>
      </w:r>
      <w:r>
        <w:rPr>
          <w:spacing w:val="41"/>
          <w:sz w:val="21"/>
        </w:rPr>
        <w:t> </w:t>
      </w:r>
      <w:r>
        <w:rPr>
          <w:sz w:val="21"/>
        </w:rPr>
        <w:t>tree assessment method, the Visual </w:t>
      </w:r>
      <w:r>
        <w:rPr>
          <w:spacing w:val="-5"/>
          <w:sz w:val="21"/>
        </w:rPr>
        <w:t>Tree  </w:t>
      </w:r>
      <w:r>
        <w:rPr>
          <w:sz w:val="21"/>
        </w:rPr>
        <w:t>Assessment (VTA),    is </w:t>
      </w:r>
      <w:r>
        <w:rPr>
          <w:spacing w:val="-2"/>
          <w:sz w:val="21"/>
        </w:rPr>
        <w:t>listed </w:t>
      </w:r>
      <w:r>
        <w:rPr>
          <w:sz w:val="21"/>
        </w:rPr>
        <w:t>as </w:t>
      </w:r>
      <w:r>
        <w:rPr>
          <w:spacing w:val="-3"/>
          <w:sz w:val="21"/>
        </w:rPr>
        <w:t>required </w:t>
      </w:r>
      <w:r>
        <w:rPr>
          <w:sz w:val="21"/>
        </w:rPr>
        <w:t>knowledge.</w:t>
      </w:r>
      <w:r>
        <w:rPr>
          <w:position w:val="7"/>
          <w:sz w:val="12"/>
        </w:rPr>
        <w:t>230 </w:t>
      </w:r>
      <w:r>
        <w:rPr>
          <w:spacing w:val="-3"/>
          <w:sz w:val="21"/>
        </w:rPr>
        <w:t>ENSPEC relies </w:t>
      </w:r>
      <w:r>
        <w:rPr>
          <w:sz w:val="21"/>
        </w:rPr>
        <w:t>on the VTA ‘to inspect and assess trees in order</w:t>
      </w:r>
      <w:r>
        <w:rPr>
          <w:spacing w:val="12"/>
          <w:sz w:val="21"/>
        </w:rPr>
        <w:t> </w:t>
      </w:r>
      <w:r>
        <w:rPr>
          <w:spacing w:val="-3"/>
          <w:sz w:val="21"/>
        </w:rPr>
        <w:t>to</w:t>
      </w:r>
      <w:r>
        <w:rPr>
          <w:spacing w:val="12"/>
          <w:sz w:val="21"/>
        </w:rPr>
        <w:t> </w:t>
      </w:r>
      <w:r>
        <w:rPr>
          <w:sz w:val="21"/>
        </w:rPr>
        <w:t>identity</w:t>
      </w:r>
      <w:r>
        <w:rPr>
          <w:spacing w:val="12"/>
          <w:sz w:val="21"/>
        </w:rPr>
        <w:t> </w:t>
      </w:r>
      <w:r>
        <w:rPr>
          <w:spacing w:val="-3"/>
          <w:sz w:val="21"/>
        </w:rPr>
        <w:t>any</w:t>
      </w:r>
      <w:r>
        <w:rPr>
          <w:spacing w:val="13"/>
          <w:sz w:val="21"/>
        </w:rPr>
        <w:t> </w:t>
      </w:r>
      <w:r>
        <w:rPr>
          <w:sz w:val="21"/>
        </w:rPr>
        <w:t>defects</w:t>
      </w:r>
      <w:r>
        <w:rPr>
          <w:spacing w:val="12"/>
          <w:sz w:val="21"/>
        </w:rPr>
        <w:t> </w:t>
      </w:r>
      <w:r>
        <w:rPr>
          <w:sz w:val="21"/>
        </w:rPr>
        <w:t>or</w:t>
      </w:r>
      <w:r>
        <w:rPr>
          <w:spacing w:val="12"/>
          <w:sz w:val="21"/>
        </w:rPr>
        <w:t> </w:t>
      </w:r>
      <w:r>
        <w:rPr>
          <w:spacing w:val="-2"/>
          <w:sz w:val="21"/>
        </w:rPr>
        <w:t>problems</w:t>
      </w:r>
      <w:r>
        <w:rPr>
          <w:spacing w:val="13"/>
          <w:sz w:val="21"/>
        </w:rPr>
        <w:t> </w:t>
      </w:r>
      <w:r>
        <w:rPr>
          <w:spacing w:val="-3"/>
          <w:sz w:val="21"/>
        </w:rPr>
        <w:t>that</w:t>
      </w:r>
      <w:r>
        <w:rPr>
          <w:spacing w:val="12"/>
          <w:sz w:val="21"/>
        </w:rPr>
        <w:t> </w:t>
      </w:r>
      <w:r>
        <w:rPr>
          <w:spacing w:val="-3"/>
          <w:sz w:val="21"/>
        </w:rPr>
        <w:t>may</w:t>
      </w:r>
      <w:r>
        <w:rPr>
          <w:spacing w:val="12"/>
          <w:sz w:val="21"/>
        </w:rPr>
        <w:t> </w:t>
      </w:r>
      <w:r>
        <w:rPr>
          <w:sz w:val="21"/>
        </w:rPr>
        <w:t>lead</w:t>
      </w:r>
      <w:r>
        <w:rPr>
          <w:spacing w:val="13"/>
          <w:sz w:val="21"/>
        </w:rPr>
        <w:t> </w:t>
      </w:r>
      <w:r>
        <w:rPr>
          <w:spacing w:val="-3"/>
          <w:sz w:val="21"/>
        </w:rPr>
        <w:t>to</w:t>
      </w:r>
      <w:r>
        <w:rPr>
          <w:spacing w:val="12"/>
          <w:sz w:val="21"/>
        </w:rPr>
        <w:t> </w:t>
      </w:r>
      <w:r>
        <w:rPr>
          <w:sz w:val="21"/>
        </w:rPr>
        <w:t>structural</w:t>
      </w:r>
      <w:r>
        <w:rPr>
          <w:spacing w:val="12"/>
          <w:sz w:val="21"/>
        </w:rPr>
        <w:t> </w:t>
      </w:r>
      <w:r>
        <w:rPr>
          <w:sz w:val="21"/>
        </w:rPr>
        <w:t>instability</w:t>
      </w:r>
      <w:r>
        <w:rPr>
          <w:spacing w:val="13"/>
          <w:sz w:val="21"/>
        </w:rPr>
        <w:t> </w:t>
      </w:r>
      <w:r>
        <w:rPr>
          <w:sz w:val="21"/>
        </w:rPr>
        <w:t>or</w:t>
      </w:r>
      <w:r>
        <w:rPr>
          <w:spacing w:val="12"/>
          <w:sz w:val="21"/>
        </w:rPr>
        <w:t> </w:t>
      </w:r>
      <w:r>
        <w:rPr>
          <w:spacing w:val="-5"/>
          <w:sz w:val="21"/>
        </w:rPr>
        <w:t>failure’.</w:t>
      </w:r>
      <w:r>
        <w:rPr>
          <w:spacing w:val="-5"/>
          <w:position w:val="7"/>
          <w:sz w:val="12"/>
        </w:rPr>
        <w:t>231</w:t>
      </w:r>
    </w:p>
    <w:p>
      <w:pPr>
        <w:pStyle w:val="ListParagraph"/>
        <w:numPr>
          <w:ilvl w:val="1"/>
          <w:numId w:val="133"/>
        </w:numPr>
        <w:tabs>
          <w:tab w:pos="2380" w:val="left" w:leader="none"/>
          <w:tab w:pos="2381" w:val="left" w:leader="none"/>
        </w:tabs>
        <w:spacing w:line="242" w:lineRule="auto" w:before="124" w:after="0"/>
        <w:ind w:left="2381" w:right="1953" w:hanging="794"/>
        <w:jc w:val="left"/>
        <w:rPr>
          <w:sz w:val="12"/>
        </w:rPr>
      </w:pPr>
      <w:r>
        <w:rPr>
          <w:sz w:val="21"/>
        </w:rPr>
        <w:t>Independent expert evidence provided </w:t>
      </w:r>
      <w:r>
        <w:rPr>
          <w:spacing w:val="-3"/>
          <w:sz w:val="21"/>
        </w:rPr>
        <w:t>to </w:t>
      </w:r>
      <w:r>
        <w:rPr>
          <w:spacing w:val="-5"/>
          <w:sz w:val="21"/>
        </w:rPr>
        <w:t>VCAT </w:t>
      </w:r>
      <w:r>
        <w:rPr>
          <w:sz w:val="21"/>
        </w:rPr>
        <w:t>about the </w:t>
      </w:r>
      <w:r>
        <w:rPr>
          <w:spacing w:val="-3"/>
          <w:sz w:val="21"/>
        </w:rPr>
        <w:t>health </w:t>
      </w:r>
      <w:r>
        <w:rPr>
          <w:sz w:val="21"/>
        </w:rPr>
        <w:t>of the tree and </w:t>
      </w:r>
      <w:r>
        <w:rPr>
          <w:spacing w:val="-3"/>
          <w:sz w:val="21"/>
        </w:rPr>
        <w:t>likelihood </w:t>
      </w:r>
      <w:r>
        <w:rPr>
          <w:sz w:val="21"/>
        </w:rPr>
        <w:t>of risk should be provided by those at a </w:t>
      </w:r>
      <w:r>
        <w:rPr>
          <w:spacing w:val="-3"/>
          <w:sz w:val="21"/>
        </w:rPr>
        <w:t>minimum </w:t>
      </w:r>
      <w:r>
        <w:rPr>
          <w:sz w:val="21"/>
        </w:rPr>
        <w:t>AQF Level 5 or </w:t>
      </w:r>
      <w:r>
        <w:rPr>
          <w:spacing w:val="-3"/>
          <w:sz w:val="21"/>
        </w:rPr>
        <w:t>equivalent </w:t>
      </w:r>
      <w:r>
        <w:rPr>
          <w:sz w:val="21"/>
        </w:rPr>
        <w:t>with at least two years of practical experience. This is </w:t>
      </w:r>
      <w:r>
        <w:rPr>
          <w:spacing w:val="-3"/>
          <w:sz w:val="21"/>
        </w:rPr>
        <w:t>reasonable </w:t>
      </w:r>
      <w:r>
        <w:rPr>
          <w:sz w:val="21"/>
        </w:rPr>
        <w:t>given </w:t>
      </w:r>
      <w:r>
        <w:rPr>
          <w:spacing w:val="-3"/>
          <w:sz w:val="21"/>
        </w:rPr>
        <w:t>that </w:t>
      </w:r>
      <w:r>
        <w:rPr>
          <w:sz w:val="21"/>
        </w:rPr>
        <w:t>Victoria is home</w:t>
      </w:r>
      <w:r>
        <w:rPr>
          <w:spacing w:val="18"/>
          <w:sz w:val="21"/>
        </w:rPr>
        <w:t> </w:t>
      </w:r>
      <w:r>
        <w:rPr>
          <w:spacing w:val="-3"/>
          <w:sz w:val="21"/>
        </w:rPr>
        <w:t>to</w:t>
      </w:r>
      <w:r>
        <w:rPr>
          <w:spacing w:val="18"/>
          <w:sz w:val="21"/>
        </w:rPr>
        <w:t> </w:t>
      </w:r>
      <w:r>
        <w:rPr>
          <w:spacing w:val="-3"/>
          <w:sz w:val="21"/>
        </w:rPr>
        <w:t>‘several</w:t>
      </w:r>
      <w:r>
        <w:rPr>
          <w:spacing w:val="18"/>
          <w:sz w:val="21"/>
        </w:rPr>
        <w:t> </w:t>
      </w:r>
      <w:r>
        <w:rPr>
          <w:spacing w:val="-3"/>
          <w:sz w:val="21"/>
        </w:rPr>
        <w:t>hundred</w:t>
      </w:r>
      <w:r>
        <w:rPr>
          <w:spacing w:val="18"/>
          <w:sz w:val="21"/>
        </w:rPr>
        <w:t> </w:t>
      </w:r>
      <w:r>
        <w:rPr>
          <w:sz w:val="21"/>
        </w:rPr>
        <w:t>trained/educated</w:t>
      </w:r>
      <w:r>
        <w:rPr>
          <w:spacing w:val="18"/>
          <w:sz w:val="21"/>
        </w:rPr>
        <w:t> </w:t>
      </w:r>
      <w:r>
        <w:rPr>
          <w:sz w:val="21"/>
        </w:rPr>
        <w:t>arborists</w:t>
      </w:r>
      <w:r>
        <w:rPr>
          <w:spacing w:val="18"/>
          <w:sz w:val="21"/>
        </w:rPr>
        <w:t> </w:t>
      </w:r>
      <w:r>
        <w:rPr>
          <w:sz w:val="21"/>
        </w:rPr>
        <w:t>in</w:t>
      </w:r>
      <w:r>
        <w:rPr>
          <w:spacing w:val="18"/>
          <w:sz w:val="21"/>
        </w:rPr>
        <w:t> </w:t>
      </w:r>
      <w:r>
        <w:rPr>
          <w:sz w:val="21"/>
        </w:rPr>
        <w:t>Victoria</w:t>
      </w:r>
      <w:r>
        <w:rPr>
          <w:spacing w:val="18"/>
          <w:sz w:val="21"/>
        </w:rPr>
        <w:t> </w:t>
      </w:r>
      <w:r>
        <w:rPr>
          <w:sz w:val="21"/>
        </w:rPr>
        <w:t>at</w:t>
      </w:r>
      <w:r>
        <w:rPr>
          <w:spacing w:val="18"/>
          <w:sz w:val="21"/>
        </w:rPr>
        <w:t> </w:t>
      </w:r>
      <w:r>
        <w:rPr>
          <w:sz w:val="21"/>
        </w:rPr>
        <w:t>level</w:t>
      </w:r>
      <w:r>
        <w:rPr>
          <w:spacing w:val="18"/>
          <w:sz w:val="21"/>
        </w:rPr>
        <w:t> </w:t>
      </w:r>
      <w:r>
        <w:rPr>
          <w:sz w:val="21"/>
        </w:rPr>
        <w:t>5</w:t>
      </w:r>
      <w:r>
        <w:rPr>
          <w:spacing w:val="18"/>
          <w:sz w:val="21"/>
        </w:rPr>
        <w:t> </w:t>
      </w:r>
      <w:r>
        <w:rPr>
          <w:sz w:val="21"/>
        </w:rPr>
        <w:t>or</w:t>
      </w:r>
      <w:r>
        <w:rPr>
          <w:spacing w:val="18"/>
          <w:sz w:val="21"/>
        </w:rPr>
        <w:t> </w:t>
      </w:r>
      <w:r>
        <w:rPr>
          <w:spacing w:val="-4"/>
          <w:sz w:val="21"/>
        </w:rPr>
        <w:t>above’.</w:t>
      </w:r>
      <w:r>
        <w:rPr>
          <w:spacing w:val="-4"/>
          <w:position w:val="7"/>
          <w:sz w:val="12"/>
        </w:rPr>
        <w:t>232</w:t>
      </w:r>
    </w:p>
    <w:p>
      <w:pPr>
        <w:pStyle w:val="ListParagraph"/>
        <w:numPr>
          <w:ilvl w:val="1"/>
          <w:numId w:val="133"/>
        </w:numPr>
        <w:tabs>
          <w:tab w:pos="2380" w:val="left" w:leader="none"/>
          <w:tab w:pos="2381" w:val="left" w:leader="none"/>
        </w:tabs>
        <w:spacing w:line="242" w:lineRule="auto" w:before="125" w:after="0"/>
        <w:ind w:left="2380" w:right="1690" w:hanging="793"/>
        <w:jc w:val="left"/>
        <w:rPr>
          <w:sz w:val="21"/>
        </w:rPr>
      </w:pPr>
      <w:r>
        <w:rPr>
          <w:w w:val="105"/>
          <w:sz w:val="21"/>
        </w:rPr>
        <w:t>This</w:t>
      </w:r>
      <w:r>
        <w:rPr>
          <w:spacing w:val="-7"/>
          <w:w w:val="105"/>
          <w:sz w:val="21"/>
        </w:rPr>
        <w:t> </w:t>
      </w:r>
      <w:r>
        <w:rPr>
          <w:spacing w:val="-3"/>
          <w:w w:val="105"/>
          <w:sz w:val="21"/>
        </w:rPr>
        <w:t>requirement</w:t>
      </w:r>
      <w:r>
        <w:rPr>
          <w:spacing w:val="-6"/>
          <w:w w:val="105"/>
          <w:sz w:val="21"/>
        </w:rPr>
        <w:t> </w:t>
      </w:r>
      <w:r>
        <w:rPr>
          <w:spacing w:val="-3"/>
          <w:w w:val="105"/>
          <w:sz w:val="21"/>
        </w:rPr>
        <w:t>will</w:t>
      </w:r>
      <w:r>
        <w:rPr>
          <w:spacing w:val="-7"/>
          <w:w w:val="105"/>
          <w:sz w:val="21"/>
        </w:rPr>
        <w:t> </w:t>
      </w:r>
      <w:r>
        <w:rPr>
          <w:w w:val="105"/>
          <w:sz w:val="21"/>
        </w:rPr>
        <w:t>also</w:t>
      </w:r>
      <w:r>
        <w:rPr>
          <w:spacing w:val="-7"/>
          <w:w w:val="105"/>
          <w:sz w:val="21"/>
        </w:rPr>
        <w:t> </w:t>
      </w:r>
      <w:r>
        <w:rPr>
          <w:w w:val="105"/>
          <w:sz w:val="21"/>
        </w:rPr>
        <w:t>act</w:t>
      </w:r>
      <w:r>
        <w:rPr>
          <w:spacing w:val="-6"/>
          <w:w w:val="105"/>
          <w:sz w:val="21"/>
        </w:rPr>
        <w:t> </w:t>
      </w:r>
      <w:r>
        <w:rPr>
          <w:w w:val="105"/>
          <w:sz w:val="21"/>
        </w:rPr>
        <w:t>as</w:t>
      </w:r>
      <w:r>
        <w:rPr>
          <w:spacing w:val="-7"/>
          <w:w w:val="105"/>
          <w:sz w:val="21"/>
        </w:rPr>
        <w:t> </w:t>
      </w:r>
      <w:r>
        <w:rPr>
          <w:w w:val="105"/>
          <w:sz w:val="21"/>
        </w:rPr>
        <w:t>a</w:t>
      </w:r>
      <w:r>
        <w:rPr>
          <w:spacing w:val="-6"/>
          <w:w w:val="105"/>
          <w:sz w:val="21"/>
        </w:rPr>
        <w:t> </w:t>
      </w:r>
      <w:r>
        <w:rPr>
          <w:spacing w:val="-3"/>
          <w:w w:val="105"/>
          <w:sz w:val="21"/>
        </w:rPr>
        <w:t>reference</w:t>
      </w:r>
      <w:r>
        <w:rPr>
          <w:spacing w:val="-7"/>
          <w:w w:val="105"/>
          <w:sz w:val="21"/>
        </w:rPr>
        <w:t> </w:t>
      </w:r>
      <w:r>
        <w:rPr>
          <w:w w:val="105"/>
          <w:sz w:val="21"/>
        </w:rPr>
        <w:t>point</w:t>
      </w:r>
      <w:r>
        <w:rPr>
          <w:spacing w:val="-6"/>
          <w:w w:val="105"/>
          <w:sz w:val="21"/>
        </w:rPr>
        <w:t> </w:t>
      </w:r>
      <w:r>
        <w:rPr>
          <w:spacing w:val="-3"/>
          <w:w w:val="105"/>
          <w:sz w:val="21"/>
        </w:rPr>
        <w:t>for</w:t>
      </w:r>
      <w:r>
        <w:rPr>
          <w:spacing w:val="-7"/>
          <w:w w:val="105"/>
          <w:sz w:val="21"/>
        </w:rPr>
        <w:t> </w:t>
      </w:r>
      <w:r>
        <w:rPr>
          <w:w w:val="105"/>
          <w:sz w:val="21"/>
        </w:rPr>
        <w:t>people</w:t>
      </w:r>
      <w:r>
        <w:rPr>
          <w:spacing w:val="-6"/>
          <w:w w:val="105"/>
          <w:sz w:val="21"/>
        </w:rPr>
        <w:t> </w:t>
      </w:r>
      <w:r>
        <w:rPr>
          <w:w w:val="105"/>
          <w:sz w:val="21"/>
        </w:rPr>
        <w:t>in</w:t>
      </w:r>
      <w:r>
        <w:rPr>
          <w:spacing w:val="-7"/>
          <w:w w:val="105"/>
          <w:sz w:val="21"/>
        </w:rPr>
        <w:t> </w:t>
      </w:r>
      <w:r>
        <w:rPr>
          <w:w w:val="105"/>
          <w:sz w:val="21"/>
        </w:rPr>
        <w:t>the</w:t>
      </w:r>
      <w:r>
        <w:rPr>
          <w:spacing w:val="-6"/>
          <w:w w:val="105"/>
          <w:sz w:val="21"/>
        </w:rPr>
        <w:t> </w:t>
      </w:r>
      <w:r>
        <w:rPr>
          <w:w w:val="105"/>
          <w:sz w:val="21"/>
        </w:rPr>
        <w:t>community</w:t>
      </w:r>
      <w:r>
        <w:rPr>
          <w:spacing w:val="-7"/>
          <w:w w:val="105"/>
          <w:sz w:val="21"/>
        </w:rPr>
        <w:t> </w:t>
      </w:r>
      <w:r>
        <w:rPr>
          <w:w w:val="105"/>
          <w:sz w:val="21"/>
        </w:rPr>
        <w:t>who</w:t>
      </w:r>
      <w:r>
        <w:rPr>
          <w:spacing w:val="-6"/>
          <w:w w:val="105"/>
          <w:sz w:val="21"/>
        </w:rPr>
        <w:t> </w:t>
      </w:r>
      <w:r>
        <w:rPr>
          <w:w w:val="105"/>
          <w:sz w:val="21"/>
        </w:rPr>
        <w:t>wish </w:t>
      </w:r>
      <w:r>
        <w:rPr>
          <w:spacing w:val="-3"/>
          <w:w w:val="105"/>
          <w:sz w:val="21"/>
        </w:rPr>
        <w:t>to </w:t>
      </w:r>
      <w:r>
        <w:rPr>
          <w:w w:val="105"/>
          <w:sz w:val="21"/>
        </w:rPr>
        <w:t>obtain their own expert advice outside </w:t>
      </w:r>
      <w:r>
        <w:rPr>
          <w:spacing w:val="-8"/>
          <w:w w:val="105"/>
          <w:sz w:val="21"/>
        </w:rPr>
        <w:t>VCAT. </w:t>
      </w:r>
      <w:r>
        <w:rPr>
          <w:w w:val="105"/>
          <w:sz w:val="21"/>
        </w:rPr>
        <w:t>See </w:t>
      </w:r>
      <w:r>
        <w:rPr>
          <w:spacing w:val="-4"/>
          <w:w w:val="105"/>
          <w:sz w:val="21"/>
        </w:rPr>
        <w:t>Chapter </w:t>
      </w:r>
      <w:r>
        <w:rPr>
          <w:spacing w:val="-9"/>
          <w:w w:val="105"/>
          <w:sz w:val="21"/>
        </w:rPr>
        <w:t>12 </w:t>
      </w:r>
      <w:r>
        <w:rPr>
          <w:spacing w:val="-3"/>
          <w:w w:val="105"/>
          <w:sz w:val="21"/>
        </w:rPr>
        <w:t>for recommendations </w:t>
      </w:r>
      <w:r>
        <w:rPr>
          <w:w w:val="105"/>
          <w:sz w:val="21"/>
        </w:rPr>
        <w:t>about </w:t>
      </w:r>
      <w:r>
        <w:rPr>
          <w:spacing w:val="-3"/>
          <w:w w:val="105"/>
          <w:sz w:val="21"/>
        </w:rPr>
        <w:t>providing </w:t>
      </w:r>
      <w:r>
        <w:rPr>
          <w:w w:val="105"/>
          <w:sz w:val="21"/>
        </w:rPr>
        <w:t>the community with </w:t>
      </w:r>
      <w:r>
        <w:rPr>
          <w:spacing w:val="-3"/>
          <w:w w:val="105"/>
          <w:sz w:val="21"/>
        </w:rPr>
        <w:t>information </w:t>
      </w:r>
      <w:r>
        <w:rPr>
          <w:w w:val="105"/>
          <w:sz w:val="21"/>
        </w:rPr>
        <w:t>about what </w:t>
      </w:r>
      <w:r>
        <w:rPr>
          <w:spacing w:val="-3"/>
          <w:w w:val="105"/>
          <w:sz w:val="21"/>
        </w:rPr>
        <w:t>to </w:t>
      </w:r>
      <w:r>
        <w:rPr>
          <w:w w:val="105"/>
          <w:sz w:val="21"/>
        </w:rPr>
        <w:t>look </w:t>
      </w:r>
      <w:r>
        <w:rPr>
          <w:spacing w:val="-3"/>
          <w:w w:val="105"/>
          <w:sz w:val="21"/>
        </w:rPr>
        <w:t>for </w:t>
      </w:r>
      <w:r>
        <w:rPr>
          <w:w w:val="105"/>
          <w:sz w:val="21"/>
        </w:rPr>
        <w:t>when </w:t>
      </w:r>
      <w:r>
        <w:rPr>
          <w:spacing w:val="-3"/>
          <w:w w:val="105"/>
          <w:sz w:val="21"/>
        </w:rPr>
        <w:t>hiring </w:t>
      </w:r>
      <w:r>
        <w:rPr>
          <w:w w:val="105"/>
          <w:sz w:val="21"/>
        </w:rPr>
        <w:t>an arborist.</w:t>
      </w:r>
    </w:p>
    <w:p>
      <w:pPr>
        <w:pStyle w:val="ListParagraph"/>
        <w:numPr>
          <w:ilvl w:val="1"/>
          <w:numId w:val="133"/>
        </w:numPr>
        <w:tabs>
          <w:tab w:pos="2380" w:val="left" w:leader="none"/>
          <w:tab w:pos="2381" w:val="left" w:leader="none"/>
        </w:tabs>
        <w:spacing w:line="242" w:lineRule="auto" w:before="124" w:after="0"/>
        <w:ind w:left="2380" w:right="1954" w:hanging="793"/>
        <w:jc w:val="left"/>
        <w:rPr>
          <w:sz w:val="21"/>
        </w:rPr>
      </w:pPr>
      <w:r>
        <w:rPr>
          <w:spacing w:val="-3"/>
          <w:w w:val="105"/>
          <w:sz w:val="21"/>
        </w:rPr>
        <w:t>Enabling </w:t>
      </w:r>
      <w:r>
        <w:rPr>
          <w:w w:val="105"/>
          <w:sz w:val="21"/>
        </w:rPr>
        <w:t>arborists </w:t>
      </w:r>
      <w:r>
        <w:rPr>
          <w:spacing w:val="-3"/>
          <w:w w:val="105"/>
          <w:sz w:val="21"/>
        </w:rPr>
        <w:t>to </w:t>
      </w:r>
      <w:r>
        <w:rPr>
          <w:w w:val="105"/>
          <w:sz w:val="21"/>
        </w:rPr>
        <w:t>provide evidence with a </w:t>
      </w:r>
      <w:r>
        <w:rPr>
          <w:spacing w:val="-2"/>
          <w:w w:val="105"/>
          <w:sz w:val="21"/>
        </w:rPr>
        <w:t>qualification </w:t>
      </w:r>
      <w:r>
        <w:rPr>
          <w:spacing w:val="-3"/>
          <w:w w:val="105"/>
          <w:sz w:val="21"/>
        </w:rPr>
        <w:t>that </w:t>
      </w:r>
      <w:r>
        <w:rPr>
          <w:w w:val="105"/>
          <w:sz w:val="21"/>
        </w:rPr>
        <w:t>is </w:t>
      </w:r>
      <w:r>
        <w:rPr>
          <w:spacing w:val="-3"/>
          <w:w w:val="105"/>
          <w:sz w:val="21"/>
        </w:rPr>
        <w:t>equivalent to </w:t>
      </w:r>
      <w:r>
        <w:rPr>
          <w:w w:val="105"/>
          <w:sz w:val="21"/>
        </w:rPr>
        <w:t>an AQF Level 5 </w:t>
      </w:r>
      <w:r>
        <w:rPr>
          <w:spacing w:val="-3"/>
          <w:w w:val="105"/>
          <w:sz w:val="21"/>
        </w:rPr>
        <w:t>will </w:t>
      </w:r>
      <w:r>
        <w:rPr>
          <w:w w:val="105"/>
          <w:sz w:val="21"/>
        </w:rPr>
        <w:t>help </w:t>
      </w:r>
      <w:r>
        <w:rPr>
          <w:spacing w:val="-3"/>
          <w:w w:val="105"/>
          <w:sz w:val="21"/>
        </w:rPr>
        <w:t>to account for any changes to </w:t>
      </w:r>
      <w:r>
        <w:rPr>
          <w:w w:val="105"/>
          <w:sz w:val="21"/>
        </w:rPr>
        <w:t>arborist </w:t>
      </w:r>
      <w:r>
        <w:rPr>
          <w:spacing w:val="-3"/>
          <w:w w:val="105"/>
          <w:sz w:val="21"/>
        </w:rPr>
        <w:t>qualifications </w:t>
      </w:r>
      <w:r>
        <w:rPr>
          <w:w w:val="105"/>
          <w:sz w:val="21"/>
        </w:rPr>
        <w:t>over </w:t>
      </w:r>
      <w:r>
        <w:rPr>
          <w:spacing w:val="-3"/>
          <w:w w:val="105"/>
          <w:sz w:val="21"/>
        </w:rPr>
        <w:t>time, </w:t>
      </w:r>
      <w:r>
        <w:rPr>
          <w:w w:val="105"/>
          <w:sz w:val="21"/>
        </w:rPr>
        <w:t>as identified by </w:t>
      </w:r>
      <w:r>
        <w:rPr>
          <w:spacing w:val="-5"/>
          <w:w w:val="105"/>
          <w:sz w:val="21"/>
        </w:rPr>
        <w:t>VCAT.</w:t>
      </w:r>
      <w:r>
        <w:rPr>
          <w:spacing w:val="-5"/>
          <w:w w:val="105"/>
          <w:position w:val="7"/>
          <w:sz w:val="12"/>
        </w:rPr>
        <w:t>233 </w:t>
      </w:r>
      <w:r>
        <w:rPr>
          <w:w w:val="105"/>
          <w:sz w:val="21"/>
        </w:rPr>
        <w:t>The </w:t>
      </w:r>
      <w:r>
        <w:rPr>
          <w:spacing w:val="-3"/>
          <w:w w:val="105"/>
          <w:sz w:val="21"/>
        </w:rPr>
        <w:t>Commission </w:t>
      </w:r>
      <w:r>
        <w:rPr>
          <w:w w:val="105"/>
          <w:sz w:val="21"/>
        </w:rPr>
        <w:t>is </w:t>
      </w:r>
      <w:r>
        <w:rPr>
          <w:spacing w:val="-3"/>
          <w:w w:val="105"/>
          <w:sz w:val="21"/>
        </w:rPr>
        <w:t>aware that </w:t>
      </w:r>
      <w:r>
        <w:rPr>
          <w:w w:val="105"/>
          <w:sz w:val="21"/>
        </w:rPr>
        <w:t>a review of existing arborist </w:t>
      </w:r>
      <w:r>
        <w:rPr>
          <w:spacing w:val="-3"/>
          <w:w w:val="105"/>
          <w:sz w:val="21"/>
        </w:rPr>
        <w:t>qualifications </w:t>
      </w:r>
      <w:r>
        <w:rPr>
          <w:w w:val="105"/>
          <w:sz w:val="21"/>
        </w:rPr>
        <w:t>is </w:t>
      </w:r>
      <w:r>
        <w:rPr>
          <w:spacing w:val="-3"/>
          <w:w w:val="105"/>
          <w:sz w:val="21"/>
        </w:rPr>
        <w:t>currently </w:t>
      </w:r>
      <w:r>
        <w:rPr>
          <w:w w:val="105"/>
          <w:sz w:val="21"/>
        </w:rPr>
        <w:t>being undertaken.</w:t>
      </w:r>
      <w:r>
        <w:rPr>
          <w:w w:val="105"/>
          <w:position w:val="7"/>
          <w:sz w:val="12"/>
        </w:rPr>
        <w:t>234 </w:t>
      </w:r>
      <w:r>
        <w:rPr>
          <w:w w:val="105"/>
          <w:sz w:val="21"/>
        </w:rPr>
        <w:t>Any </w:t>
      </w:r>
      <w:r>
        <w:rPr>
          <w:spacing w:val="-3"/>
          <w:w w:val="105"/>
          <w:sz w:val="21"/>
        </w:rPr>
        <w:t>changes will enhance </w:t>
      </w:r>
      <w:r>
        <w:rPr>
          <w:w w:val="105"/>
          <w:sz w:val="21"/>
        </w:rPr>
        <w:t>the</w:t>
      </w:r>
      <w:r>
        <w:rPr>
          <w:spacing w:val="-12"/>
          <w:w w:val="105"/>
          <w:sz w:val="21"/>
        </w:rPr>
        <w:t> </w:t>
      </w:r>
      <w:r>
        <w:rPr>
          <w:spacing w:val="-3"/>
          <w:w w:val="105"/>
          <w:sz w:val="21"/>
        </w:rPr>
        <w:t>provision</w:t>
      </w:r>
    </w:p>
    <w:p>
      <w:pPr>
        <w:pStyle w:val="BodyText"/>
        <w:spacing w:line="242" w:lineRule="auto" w:before="4"/>
        <w:ind w:left="2381" w:right="1810"/>
        <w:jc w:val="both"/>
      </w:pPr>
      <w:r>
        <w:rPr/>
        <w:t>of expert arboricultural evidence at tree dispute hearings. It follows that changes to the arborist qualification framework will need to be taken into account in implementing the recommendations in this chapter.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r>
        <w:rPr/>
        <w:pict>
          <v:line style="position:absolute;mso-position-horizontal-relative:page;mso-position-vertical-relative:paragraph;z-index:8168;mso-wrap-distance-left:0;mso-wrap-distance-right:0" from="79.370102pt,13.841077pt" to="515.905102pt,13.84107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7"/>
        </w:rPr>
      </w:pPr>
    </w:p>
    <w:p>
      <w:pPr>
        <w:spacing w:before="0"/>
        <w:ind w:left="720" w:right="0" w:firstLine="0"/>
        <w:jc w:val="left"/>
        <w:rPr>
          <w:b/>
          <w:sz w:val="24"/>
        </w:rPr>
      </w:pPr>
      <w:r>
        <w:rPr>
          <w:b/>
          <w:color w:val="658464"/>
          <w:w w:val="105"/>
          <w:sz w:val="24"/>
        </w:rPr>
        <w:t>188</w:t>
      </w:r>
    </w:p>
    <w:p>
      <w:pPr>
        <w:pStyle w:val="ListParagraph"/>
        <w:numPr>
          <w:ilvl w:val="0"/>
          <w:numId w:val="139"/>
        </w:numPr>
        <w:tabs>
          <w:tab w:pos="1222" w:val="left" w:leader="none"/>
          <w:tab w:pos="1224" w:val="left" w:leader="none"/>
        </w:tabs>
        <w:spacing w:line="240" w:lineRule="auto" w:before="48" w:after="0"/>
        <w:ind w:left="1223" w:right="1957" w:hanging="794"/>
        <w:jc w:val="left"/>
        <w:rPr>
          <w:sz w:val="13"/>
        </w:rPr>
      </w:pPr>
      <w:r>
        <w:rPr>
          <w:w w:val="108"/>
          <w:sz w:val="13"/>
        </w:rPr>
        <w:br w:type="column"/>
      </w:r>
      <w:r>
        <w:rPr>
          <w:w w:val="105"/>
          <w:sz w:val="13"/>
        </w:rPr>
        <w:t>Submissions 2 </w:t>
      </w:r>
      <w:r>
        <w:rPr>
          <w:spacing w:val="2"/>
          <w:w w:val="105"/>
          <w:sz w:val="13"/>
        </w:rPr>
        <w:t>(Name </w:t>
      </w:r>
      <w:r>
        <w:rPr>
          <w:w w:val="105"/>
          <w:sz w:val="13"/>
        </w:rPr>
        <w:t>withheld), 4 </w:t>
      </w:r>
      <w:r>
        <w:rPr>
          <w:spacing w:val="2"/>
          <w:w w:val="105"/>
          <w:sz w:val="13"/>
        </w:rPr>
        <w:t>(Name </w:t>
      </w:r>
      <w:r>
        <w:rPr>
          <w:w w:val="105"/>
          <w:sz w:val="13"/>
        </w:rPr>
        <w:t>withheld), 7 </w:t>
      </w:r>
      <w:r>
        <w:rPr>
          <w:spacing w:val="2"/>
          <w:w w:val="105"/>
          <w:sz w:val="13"/>
        </w:rPr>
        <w:t>(Ben </w:t>
      </w:r>
      <w:r>
        <w:rPr>
          <w:w w:val="105"/>
          <w:sz w:val="13"/>
        </w:rPr>
        <w:t>Kenyon), 9 </w:t>
      </w:r>
      <w:r>
        <w:rPr>
          <w:spacing w:val="3"/>
          <w:w w:val="105"/>
          <w:sz w:val="13"/>
        </w:rPr>
        <w:t>(Dr </w:t>
      </w:r>
      <w:r>
        <w:rPr>
          <w:w w:val="105"/>
          <w:sz w:val="13"/>
        </w:rPr>
        <w:t>Karen Smith), </w:t>
      </w:r>
      <w:r>
        <w:rPr>
          <w:spacing w:val="-4"/>
          <w:w w:val="105"/>
          <w:sz w:val="13"/>
        </w:rPr>
        <w:t>12  </w:t>
      </w:r>
      <w:r>
        <w:rPr>
          <w:spacing w:val="3"/>
          <w:w w:val="105"/>
          <w:sz w:val="13"/>
        </w:rPr>
        <w:t>(Dr </w:t>
      </w:r>
      <w:r>
        <w:rPr>
          <w:w w:val="105"/>
          <w:sz w:val="13"/>
        </w:rPr>
        <w:t>Gregory Moore </w:t>
      </w:r>
      <w:r>
        <w:rPr>
          <w:spacing w:val="2"/>
          <w:w w:val="105"/>
          <w:sz w:val="13"/>
        </w:rPr>
        <w:t>OAM); </w:t>
      </w:r>
      <w:r>
        <w:rPr>
          <w:w w:val="105"/>
          <w:sz w:val="13"/>
        </w:rPr>
        <w:t>Consultations    4</w:t>
      </w:r>
      <w:r>
        <w:rPr>
          <w:spacing w:val="8"/>
          <w:w w:val="105"/>
          <w:sz w:val="13"/>
        </w:rPr>
        <w:t> </w:t>
      </w:r>
      <w:r>
        <w:rPr>
          <w:w w:val="105"/>
          <w:sz w:val="13"/>
        </w:rPr>
        <w:t>(Participants</w:t>
      </w:r>
      <w:r>
        <w:rPr>
          <w:spacing w:val="9"/>
          <w:w w:val="105"/>
          <w:sz w:val="13"/>
        </w:rPr>
        <w:t> </w:t>
      </w:r>
      <w:r>
        <w:rPr>
          <w:w w:val="105"/>
          <w:sz w:val="13"/>
        </w:rPr>
        <w:t>in</w:t>
      </w:r>
      <w:r>
        <w:rPr>
          <w:spacing w:val="9"/>
          <w:w w:val="105"/>
          <w:sz w:val="13"/>
        </w:rPr>
        <w:t> </w:t>
      </w:r>
      <w:r>
        <w:rPr>
          <w:w w:val="105"/>
          <w:sz w:val="13"/>
        </w:rPr>
        <w:t>facilitated</w:t>
      </w:r>
      <w:r>
        <w:rPr>
          <w:spacing w:val="9"/>
          <w:w w:val="105"/>
          <w:sz w:val="13"/>
        </w:rPr>
        <w:t> </w:t>
      </w:r>
      <w:r>
        <w:rPr>
          <w:w w:val="105"/>
          <w:sz w:val="13"/>
        </w:rPr>
        <w:t>discussion</w:t>
      </w:r>
      <w:r>
        <w:rPr>
          <w:spacing w:val="9"/>
          <w:w w:val="105"/>
          <w:sz w:val="13"/>
        </w:rPr>
        <w:t> </w:t>
      </w:r>
      <w:r>
        <w:rPr>
          <w:w w:val="105"/>
          <w:sz w:val="13"/>
        </w:rPr>
        <w:t>at</w:t>
      </w:r>
      <w:r>
        <w:rPr>
          <w:spacing w:val="8"/>
          <w:w w:val="105"/>
          <w:sz w:val="13"/>
        </w:rPr>
        <w:t> </w:t>
      </w:r>
      <w:r>
        <w:rPr>
          <w:spacing w:val="4"/>
          <w:w w:val="105"/>
          <w:sz w:val="13"/>
        </w:rPr>
        <w:t>VTIO</w:t>
      </w:r>
      <w:r>
        <w:rPr>
          <w:spacing w:val="9"/>
          <w:w w:val="105"/>
          <w:sz w:val="13"/>
        </w:rPr>
        <w:t> </w:t>
      </w:r>
      <w:r>
        <w:rPr>
          <w:w w:val="105"/>
          <w:sz w:val="13"/>
        </w:rPr>
        <w:t>ArborCamp2018),</w:t>
      </w:r>
      <w:r>
        <w:rPr>
          <w:spacing w:val="9"/>
          <w:w w:val="105"/>
          <w:sz w:val="13"/>
        </w:rPr>
        <w:t> </w:t>
      </w:r>
      <w:r>
        <w:rPr>
          <w:w w:val="105"/>
          <w:sz w:val="13"/>
        </w:rPr>
        <w:t>6</w:t>
      </w:r>
      <w:r>
        <w:rPr>
          <w:spacing w:val="9"/>
          <w:w w:val="105"/>
          <w:sz w:val="13"/>
        </w:rPr>
        <w:t> </w:t>
      </w:r>
      <w:r>
        <w:rPr>
          <w:spacing w:val="2"/>
          <w:w w:val="105"/>
          <w:sz w:val="13"/>
        </w:rPr>
        <w:t>(Ben</w:t>
      </w:r>
      <w:r>
        <w:rPr>
          <w:spacing w:val="9"/>
          <w:w w:val="105"/>
          <w:sz w:val="13"/>
        </w:rPr>
        <w:t> </w:t>
      </w:r>
      <w:r>
        <w:rPr>
          <w:w w:val="105"/>
          <w:sz w:val="13"/>
        </w:rPr>
        <w:t>Kenyon),</w:t>
      </w:r>
      <w:r>
        <w:rPr>
          <w:spacing w:val="8"/>
          <w:w w:val="105"/>
          <w:sz w:val="13"/>
        </w:rPr>
        <w:t> </w:t>
      </w:r>
      <w:r>
        <w:rPr>
          <w:w w:val="105"/>
          <w:sz w:val="13"/>
        </w:rPr>
        <w:t>8</w:t>
      </w:r>
      <w:r>
        <w:rPr>
          <w:spacing w:val="9"/>
          <w:w w:val="105"/>
          <w:sz w:val="13"/>
        </w:rPr>
        <w:t> </w:t>
      </w:r>
      <w:r>
        <w:rPr>
          <w:w w:val="105"/>
          <w:sz w:val="13"/>
        </w:rPr>
        <w:t>(City</w:t>
      </w:r>
      <w:r>
        <w:rPr>
          <w:spacing w:val="9"/>
          <w:w w:val="105"/>
          <w:sz w:val="13"/>
        </w:rPr>
        <w:t> </w:t>
      </w:r>
      <w:r>
        <w:rPr>
          <w:w w:val="105"/>
          <w:sz w:val="13"/>
        </w:rPr>
        <w:t>of</w:t>
      </w:r>
      <w:r>
        <w:rPr>
          <w:spacing w:val="9"/>
          <w:w w:val="105"/>
          <w:sz w:val="13"/>
        </w:rPr>
        <w:t> </w:t>
      </w:r>
      <w:r>
        <w:rPr>
          <w:w w:val="105"/>
          <w:sz w:val="13"/>
        </w:rPr>
        <w:t>Boroondara),</w:t>
      </w:r>
      <w:r>
        <w:rPr>
          <w:spacing w:val="9"/>
          <w:w w:val="105"/>
          <w:sz w:val="13"/>
        </w:rPr>
        <w:t> </w:t>
      </w:r>
      <w:r>
        <w:rPr>
          <w:w w:val="105"/>
          <w:sz w:val="13"/>
        </w:rPr>
        <w:t>9</w:t>
      </w:r>
      <w:r>
        <w:rPr>
          <w:spacing w:val="8"/>
          <w:w w:val="105"/>
          <w:sz w:val="13"/>
        </w:rPr>
        <w:t> </w:t>
      </w:r>
      <w:r>
        <w:rPr>
          <w:w w:val="105"/>
          <w:sz w:val="13"/>
        </w:rPr>
        <w:t>(Nillumbik</w:t>
      </w:r>
      <w:r>
        <w:rPr>
          <w:spacing w:val="9"/>
          <w:w w:val="105"/>
          <w:sz w:val="13"/>
        </w:rPr>
        <w:t> </w:t>
      </w:r>
      <w:r>
        <w:rPr>
          <w:w w:val="105"/>
          <w:sz w:val="13"/>
        </w:rPr>
        <w:t>Shire</w:t>
      </w:r>
      <w:r>
        <w:rPr>
          <w:spacing w:val="9"/>
          <w:w w:val="105"/>
          <w:sz w:val="13"/>
        </w:rPr>
        <w:t> </w:t>
      </w:r>
      <w:r>
        <w:rPr>
          <w:w w:val="105"/>
          <w:sz w:val="13"/>
        </w:rPr>
        <w:t>Council).</w:t>
      </w:r>
    </w:p>
    <w:p>
      <w:pPr>
        <w:pStyle w:val="ListParagraph"/>
        <w:numPr>
          <w:ilvl w:val="0"/>
          <w:numId w:val="139"/>
        </w:numPr>
        <w:tabs>
          <w:tab w:pos="1222" w:val="left" w:leader="none"/>
          <w:tab w:pos="1224" w:val="left" w:leader="none"/>
        </w:tabs>
        <w:spacing w:line="240" w:lineRule="auto" w:before="3" w:after="0"/>
        <w:ind w:left="1223" w:right="0" w:hanging="794"/>
        <w:jc w:val="left"/>
        <w:rPr>
          <w:sz w:val="13"/>
        </w:rPr>
      </w:pPr>
      <w:r>
        <w:rPr>
          <w:w w:val="105"/>
          <w:sz w:val="13"/>
        </w:rPr>
        <w:t>Consultation 8 (City of</w:t>
      </w:r>
      <w:r>
        <w:rPr>
          <w:spacing w:val="18"/>
          <w:w w:val="105"/>
          <w:sz w:val="13"/>
        </w:rPr>
        <w:t> </w:t>
      </w:r>
      <w:r>
        <w:rPr>
          <w:w w:val="105"/>
          <w:sz w:val="13"/>
        </w:rPr>
        <w:t>Boroondara).</w:t>
      </w:r>
    </w:p>
    <w:p>
      <w:pPr>
        <w:pStyle w:val="ListParagraph"/>
        <w:numPr>
          <w:ilvl w:val="0"/>
          <w:numId w:val="139"/>
        </w:numPr>
        <w:tabs>
          <w:tab w:pos="1222" w:val="left" w:leader="none"/>
          <w:tab w:pos="1224" w:val="left" w:leader="none"/>
        </w:tabs>
        <w:spacing w:line="240" w:lineRule="auto" w:before="1" w:after="0"/>
        <w:ind w:left="1223" w:right="1743" w:hanging="794"/>
        <w:jc w:val="left"/>
        <w:rPr>
          <w:sz w:val="13"/>
        </w:rPr>
      </w:pPr>
      <w:r>
        <w:rPr>
          <w:w w:val="105"/>
          <w:sz w:val="13"/>
        </w:rPr>
        <w:t>See Quantified Tree Risk Assessment, </w:t>
      </w:r>
      <w:r>
        <w:rPr>
          <w:i/>
          <w:w w:val="105"/>
          <w:sz w:val="13"/>
        </w:rPr>
        <w:t>Training in Quantified Tree Risk Assessment </w:t>
      </w:r>
      <w:r>
        <w:rPr>
          <w:w w:val="105"/>
          <w:sz w:val="13"/>
        </w:rPr>
        <w:t>(Web Page, 2019) </w:t>
      </w:r>
      <w:r>
        <w:rPr>
          <w:spacing w:val="2"/>
          <w:w w:val="105"/>
          <w:sz w:val="13"/>
        </w:rPr>
        <w:t>&lt;https://</w:t>
      </w:r>
      <w:hyperlink r:id="rId220">
        <w:r>
          <w:rPr>
            <w:spacing w:val="2"/>
            <w:w w:val="105"/>
            <w:sz w:val="13"/>
          </w:rPr>
          <w:t>www.qtra.co.uk/cms/index.</w:t>
        </w:r>
      </w:hyperlink>
      <w:r>
        <w:rPr>
          <w:spacing w:val="2"/>
          <w:w w:val="105"/>
          <w:sz w:val="13"/>
        </w:rPr>
        <w:t> </w:t>
      </w:r>
      <w:r>
        <w:rPr>
          <w:w w:val="105"/>
          <w:sz w:val="13"/>
        </w:rPr>
        <w:t>php?section=124&gt;.</w:t>
      </w:r>
    </w:p>
    <w:p>
      <w:pPr>
        <w:pStyle w:val="ListParagraph"/>
        <w:numPr>
          <w:ilvl w:val="0"/>
          <w:numId w:val="139"/>
        </w:numPr>
        <w:tabs>
          <w:tab w:pos="1222" w:val="left" w:leader="none"/>
          <w:tab w:pos="1224" w:val="left" w:leader="none"/>
        </w:tabs>
        <w:spacing w:line="240" w:lineRule="auto" w:before="3" w:after="0"/>
        <w:ind w:left="1223" w:right="1882" w:hanging="794"/>
        <w:jc w:val="left"/>
        <w:rPr>
          <w:sz w:val="13"/>
        </w:rPr>
      </w:pPr>
      <w:r>
        <w:rPr>
          <w:w w:val="105"/>
          <w:sz w:val="13"/>
        </w:rPr>
        <w:t>See International Society of Arboriculture, </w:t>
      </w:r>
      <w:r>
        <w:rPr>
          <w:i/>
          <w:w w:val="105"/>
          <w:sz w:val="13"/>
        </w:rPr>
        <w:t>Credentials </w:t>
      </w:r>
      <w:r>
        <w:rPr>
          <w:w w:val="105"/>
          <w:sz w:val="13"/>
        </w:rPr>
        <w:t>(Web Page) &lt;https://</w:t>
      </w:r>
      <w:hyperlink r:id="rId221">
        <w:r>
          <w:rPr>
            <w:w w:val="105"/>
            <w:sz w:val="13"/>
          </w:rPr>
          <w:t>www.isa-arbor.com/Credentials/ISA-Tree-Risk-Assessment-</w:t>
        </w:r>
      </w:hyperlink>
      <w:r>
        <w:rPr>
          <w:w w:val="105"/>
          <w:sz w:val="13"/>
        </w:rPr>
        <w:t> Qualification&gt;.</w:t>
      </w:r>
    </w:p>
    <w:p>
      <w:pPr>
        <w:pStyle w:val="ListParagraph"/>
        <w:numPr>
          <w:ilvl w:val="0"/>
          <w:numId w:val="139"/>
        </w:numPr>
        <w:tabs>
          <w:tab w:pos="1222" w:val="left" w:leader="none"/>
          <w:tab w:pos="1224" w:val="left" w:leader="none"/>
        </w:tabs>
        <w:spacing w:line="240" w:lineRule="auto" w:before="2" w:after="0"/>
        <w:ind w:left="1223" w:right="1811" w:hanging="794"/>
        <w:jc w:val="left"/>
        <w:rPr>
          <w:sz w:val="13"/>
        </w:rPr>
      </w:pPr>
      <w:r>
        <w:rPr>
          <w:w w:val="105"/>
          <w:sz w:val="13"/>
        </w:rPr>
        <w:t>See Nelda </w:t>
      </w:r>
      <w:r>
        <w:rPr>
          <w:spacing w:val="-6"/>
          <w:w w:val="105"/>
          <w:sz w:val="13"/>
        </w:rPr>
        <w:t>P. </w:t>
      </w:r>
      <w:r>
        <w:rPr>
          <w:w w:val="105"/>
          <w:sz w:val="13"/>
        </w:rPr>
        <w:t>Matheny &amp; James R. Clark, </w:t>
      </w:r>
      <w:r>
        <w:rPr>
          <w:i/>
          <w:w w:val="105"/>
          <w:sz w:val="13"/>
        </w:rPr>
        <w:t>A Photographic Guide to the Evaluation of Hazard Trees in Urban Areas </w:t>
      </w:r>
      <w:r>
        <w:rPr>
          <w:w w:val="105"/>
          <w:sz w:val="13"/>
        </w:rPr>
        <w:t>(International Society of Arboriculture, 1 December</w:t>
      </w:r>
      <w:r>
        <w:rPr>
          <w:spacing w:val="13"/>
          <w:w w:val="105"/>
          <w:sz w:val="13"/>
        </w:rPr>
        <w:t> </w:t>
      </w:r>
      <w:r>
        <w:rPr>
          <w:w w:val="105"/>
          <w:sz w:val="13"/>
        </w:rPr>
        <w:t>1993).</w:t>
      </w:r>
    </w:p>
    <w:p>
      <w:pPr>
        <w:pStyle w:val="ListParagraph"/>
        <w:numPr>
          <w:ilvl w:val="0"/>
          <w:numId w:val="139"/>
        </w:numPr>
        <w:tabs>
          <w:tab w:pos="1222" w:val="left" w:leader="none"/>
          <w:tab w:pos="1224" w:val="left" w:leader="none"/>
        </w:tabs>
        <w:spacing w:line="240" w:lineRule="auto" w:before="3" w:after="0"/>
        <w:ind w:left="1223" w:right="1657" w:hanging="794"/>
        <w:jc w:val="left"/>
        <w:rPr>
          <w:sz w:val="13"/>
        </w:rPr>
      </w:pPr>
      <w:r>
        <w:rPr>
          <w:w w:val="105"/>
          <w:sz w:val="13"/>
        </w:rPr>
        <w:t>National Register of Vocational Education and Training </w:t>
      </w:r>
      <w:r>
        <w:rPr>
          <w:spacing w:val="4"/>
          <w:w w:val="105"/>
          <w:sz w:val="13"/>
        </w:rPr>
        <w:t>(VET) </w:t>
      </w:r>
      <w:r>
        <w:rPr>
          <w:w w:val="105"/>
          <w:sz w:val="13"/>
        </w:rPr>
        <w:t>in Australia, </w:t>
      </w:r>
      <w:r>
        <w:rPr>
          <w:i/>
          <w:w w:val="105"/>
          <w:sz w:val="13"/>
        </w:rPr>
        <w:t>Unit of Competency Details: AHCARB501A—Examine and </w:t>
      </w:r>
      <w:r>
        <w:rPr>
          <w:i/>
          <w:spacing w:val="2"/>
          <w:w w:val="105"/>
          <w:sz w:val="13"/>
        </w:rPr>
        <w:t>Assess </w:t>
      </w:r>
      <w:r>
        <w:rPr>
          <w:i/>
          <w:w w:val="105"/>
          <w:sz w:val="13"/>
        </w:rPr>
        <w:t>Trees </w:t>
      </w:r>
      <w:r>
        <w:rPr>
          <w:w w:val="105"/>
          <w:sz w:val="13"/>
        </w:rPr>
        <w:t>(Release 2) (Database entry, 21 December 2017)</w:t>
      </w:r>
      <w:r>
        <w:rPr>
          <w:spacing w:val="28"/>
          <w:w w:val="105"/>
          <w:sz w:val="13"/>
        </w:rPr>
        <w:t> </w:t>
      </w:r>
      <w:r>
        <w:rPr>
          <w:spacing w:val="2"/>
          <w:w w:val="105"/>
          <w:sz w:val="13"/>
        </w:rPr>
        <w:t>&lt;https://training.gov.au/Training/Details/AHCARB601&gt;.</w:t>
      </w:r>
    </w:p>
    <w:p>
      <w:pPr>
        <w:pStyle w:val="ListParagraph"/>
        <w:numPr>
          <w:ilvl w:val="0"/>
          <w:numId w:val="139"/>
        </w:numPr>
        <w:tabs>
          <w:tab w:pos="1222" w:val="left" w:leader="none"/>
          <w:tab w:pos="1224" w:val="left" w:leader="none"/>
        </w:tabs>
        <w:spacing w:line="240" w:lineRule="auto" w:before="3" w:after="0"/>
        <w:ind w:left="1223" w:right="2775" w:hanging="794"/>
        <w:jc w:val="left"/>
        <w:rPr>
          <w:sz w:val="13"/>
        </w:rPr>
      </w:pPr>
      <w:r>
        <w:rPr>
          <w:w w:val="105"/>
          <w:sz w:val="13"/>
        </w:rPr>
        <w:t>ENSPEC, ‘Visual and Hazard Tree Assessments’, </w:t>
      </w:r>
      <w:r>
        <w:rPr>
          <w:i/>
          <w:w w:val="105"/>
          <w:sz w:val="13"/>
        </w:rPr>
        <w:t>Consultancy </w:t>
      </w:r>
      <w:r>
        <w:rPr>
          <w:w w:val="105"/>
          <w:sz w:val="13"/>
        </w:rPr>
        <w:t>(Web Page, 2019) </w:t>
      </w:r>
      <w:r>
        <w:rPr>
          <w:spacing w:val="2"/>
          <w:w w:val="105"/>
          <w:sz w:val="13"/>
        </w:rPr>
        <w:t>&lt;</w:t>
      </w:r>
      <w:hyperlink r:id="rId222">
        <w:r>
          <w:rPr>
            <w:spacing w:val="2"/>
            <w:w w:val="105"/>
            <w:sz w:val="13"/>
          </w:rPr>
          <w:t>http://www.enspec.com/Consultancy/</w:t>
        </w:r>
      </w:hyperlink>
      <w:r>
        <w:rPr>
          <w:spacing w:val="2"/>
          <w:w w:val="105"/>
          <w:sz w:val="13"/>
        </w:rPr>
        <w:t> </w:t>
      </w:r>
      <w:r>
        <w:rPr>
          <w:w w:val="105"/>
          <w:sz w:val="13"/>
        </w:rPr>
        <w:t>VisualTreeAssessments.aspx&gt;.</w:t>
      </w:r>
    </w:p>
    <w:p>
      <w:pPr>
        <w:pStyle w:val="ListParagraph"/>
        <w:numPr>
          <w:ilvl w:val="0"/>
          <w:numId w:val="139"/>
        </w:numPr>
        <w:tabs>
          <w:tab w:pos="1222" w:val="left" w:leader="none"/>
          <w:tab w:pos="1224" w:val="left" w:leader="none"/>
        </w:tabs>
        <w:spacing w:line="240" w:lineRule="auto" w:before="2" w:after="0"/>
        <w:ind w:left="1223" w:right="0" w:hanging="794"/>
        <w:jc w:val="left"/>
        <w:rPr>
          <w:sz w:val="13"/>
        </w:rPr>
      </w:pPr>
      <w:r>
        <w:rPr>
          <w:w w:val="105"/>
          <w:sz w:val="13"/>
        </w:rPr>
        <w:t>Submission </w:t>
      </w:r>
      <w:r>
        <w:rPr>
          <w:spacing w:val="-4"/>
          <w:w w:val="105"/>
          <w:sz w:val="13"/>
        </w:rPr>
        <w:t>12 </w:t>
      </w:r>
      <w:r>
        <w:rPr>
          <w:spacing w:val="3"/>
          <w:w w:val="105"/>
          <w:sz w:val="13"/>
        </w:rPr>
        <w:t>(Dr </w:t>
      </w:r>
      <w:r>
        <w:rPr>
          <w:w w:val="105"/>
          <w:sz w:val="13"/>
        </w:rPr>
        <w:t>Gregory Moore</w:t>
      </w:r>
      <w:r>
        <w:rPr>
          <w:spacing w:val="-3"/>
          <w:w w:val="105"/>
          <w:sz w:val="13"/>
        </w:rPr>
        <w:t> </w:t>
      </w:r>
      <w:r>
        <w:rPr>
          <w:spacing w:val="2"/>
          <w:w w:val="105"/>
          <w:sz w:val="13"/>
        </w:rPr>
        <w:t>OAM).</w:t>
      </w:r>
    </w:p>
    <w:p>
      <w:pPr>
        <w:pStyle w:val="ListParagraph"/>
        <w:numPr>
          <w:ilvl w:val="0"/>
          <w:numId w:val="139"/>
        </w:numPr>
        <w:tabs>
          <w:tab w:pos="1222" w:val="left" w:leader="none"/>
          <w:tab w:pos="1224" w:val="left" w:leader="none"/>
        </w:tabs>
        <w:spacing w:line="240" w:lineRule="auto" w:before="2" w:after="0"/>
        <w:ind w:left="1223" w:right="0" w:hanging="794"/>
        <w:jc w:val="left"/>
        <w:rPr>
          <w:sz w:val="13"/>
        </w:rPr>
      </w:pPr>
      <w:r>
        <w:rPr>
          <w:w w:val="105"/>
          <w:sz w:val="13"/>
        </w:rPr>
        <w:t>Supplementary Consultation 1 (Victorian Civil and Administrative</w:t>
      </w:r>
      <w:r>
        <w:rPr>
          <w:spacing w:val="2"/>
          <w:w w:val="105"/>
          <w:sz w:val="13"/>
        </w:rPr>
        <w:t> </w:t>
      </w:r>
      <w:r>
        <w:rPr>
          <w:w w:val="105"/>
          <w:sz w:val="13"/>
        </w:rPr>
        <w:t>Tribunal).</w:t>
      </w:r>
    </w:p>
    <w:p>
      <w:pPr>
        <w:pStyle w:val="ListParagraph"/>
        <w:numPr>
          <w:ilvl w:val="0"/>
          <w:numId w:val="139"/>
        </w:numPr>
        <w:tabs>
          <w:tab w:pos="1222" w:val="left" w:leader="none"/>
          <w:tab w:pos="1224" w:val="left" w:leader="none"/>
        </w:tabs>
        <w:spacing w:line="240" w:lineRule="auto" w:before="1" w:after="0"/>
        <w:ind w:left="1223" w:right="0" w:hanging="794"/>
        <w:jc w:val="left"/>
        <w:rPr>
          <w:sz w:val="13"/>
        </w:rPr>
      </w:pPr>
      <w:r>
        <w:rPr>
          <w:w w:val="105"/>
          <w:sz w:val="13"/>
        </w:rPr>
        <w:t>Skills</w:t>
      </w:r>
      <w:r>
        <w:rPr>
          <w:spacing w:val="5"/>
          <w:w w:val="105"/>
          <w:sz w:val="13"/>
        </w:rPr>
        <w:t> </w:t>
      </w:r>
      <w:r>
        <w:rPr>
          <w:w w:val="105"/>
          <w:sz w:val="13"/>
        </w:rPr>
        <w:t>Impact,</w:t>
      </w:r>
      <w:r>
        <w:rPr>
          <w:spacing w:val="6"/>
          <w:w w:val="105"/>
          <w:sz w:val="13"/>
        </w:rPr>
        <w:t> </w:t>
      </w:r>
      <w:r>
        <w:rPr>
          <w:i/>
          <w:w w:val="105"/>
          <w:sz w:val="13"/>
        </w:rPr>
        <w:t>Amenity</w:t>
      </w:r>
      <w:r>
        <w:rPr>
          <w:i/>
          <w:spacing w:val="6"/>
          <w:w w:val="105"/>
          <w:sz w:val="13"/>
        </w:rPr>
        <w:t> </w:t>
      </w:r>
      <w:r>
        <w:rPr>
          <w:i/>
          <w:w w:val="105"/>
          <w:sz w:val="13"/>
        </w:rPr>
        <w:t>Horticulture,</w:t>
      </w:r>
      <w:r>
        <w:rPr>
          <w:i/>
          <w:spacing w:val="6"/>
          <w:w w:val="105"/>
          <w:sz w:val="13"/>
        </w:rPr>
        <w:t> </w:t>
      </w:r>
      <w:r>
        <w:rPr>
          <w:i/>
          <w:w w:val="105"/>
          <w:sz w:val="13"/>
        </w:rPr>
        <w:t>Landscaping,</w:t>
      </w:r>
      <w:r>
        <w:rPr>
          <w:i/>
          <w:spacing w:val="6"/>
          <w:w w:val="105"/>
          <w:sz w:val="13"/>
        </w:rPr>
        <w:t> </w:t>
      </w:r>
      <w:r>
        <w:rPr>
          <w:i/>
          <w:w w:val="105"/>
          <w:sz w:val="13"/>
        </w:rPr>
        <w:t>Conservation</w:t>
      </w:r>
      <w:r>
        <w:rPr>
          <w:i/>
          <w:spacing w:val="6"/>
          <w:w w:val="105"/>
          <w:sz w:val="13"/>
        </w:rPr>
        <w:t> </w:t>
      </w:r>
      <w:r>
        <w:rPr>
          <w:i/>
          <w:w w:val="105"/>
          <w:sz w:val="13"/>
        </w:rPr>
        <w:t>&amp;</w:t>
      </w:r>
      <w:r>
        <w:rPr>
          <w:i/>
          <w:spacing w:val="6"/>
          <w:w w:val="105"/>
          <w:sz w:val="13"/>
        </w:rPr>
        <w:t> </w:t>
      </w:r>
      <w:r>
        <w:rPr>
          <w:i/>
          <w:w w:val="105"/>
          <w:sz w:val="13"/>
        </w:rPr>
        <w:t>Land</w:t>
      </w:r>
      <w:r>
        <w:rPr>
          <w:i/>
          <w:spacing w:val="6"/>
          <w:w w:val="105"/>
          <w:sz w:val="13"/>
        </w:rPr>
        <w:t> </w:t>
      </w:r>
      <w:r>
        <w:rPr>
          <w:i/>
          <w:w w:val="105"/>
          <w:sz w:val="13"/>
        </w:rPr>
        <w:t>Management</w:t>
      </w:r>
      <w:r>
        <w:rPr>
          <w:i/>
          <w:spacing w:val="6"/>
          <w:w w:val="105"/>
          <w:sz w:val="13"/>
        </w:rPr>
        <w:t> </w:t>
      </w:r>
      <w:r>
        <w:rPr>
          <w:i/>
          <w:w w:val="105"/>
          <w:sz w:val="13"/>
        </w:rPr>
        <w:t>Industry</w:t>
      </w:r>
      <w:r>
        <w:rPr>
          <w:i/>
          <w:spacing w:val="6"/>
          <w:w w:val="105"/>
          <w:sz w:val="13"/>
        </w:rPr>
        <w:t> </w:t>
      </w:r>
      <w:r>
        <w:rPr>
          <w:i/>
          <w:w w:val="105"/>
          <w:sz w:val="13"/>
        </w:rPr>
        <w:t>Reference</w:t>
      </w:r>
      <w:r>
        <w:rPr>
          <w:i/>
          <w:spacing w:val="6"/>
          <w:w w:val="105"/>
          <w:sz w:val="13"/>
        </w:rPr>
        <w:t> </w:t>
      </w:r>
      <w:r>
        <w:rPr>
          <w:i/>
          <w:w w:val="105"/>
          <w:sz w:val="13"/>
        </w:rPr>
        <w:t>Committee</w:t>
      </w:r>
      <w:r>
        <w:rPr>
          <w:i/>
          <w:spacing w:val="6"/>
          <w:w w:val="105"/>
          <w:sz w:val="13"/>
        </w:rPr>
        <w:t> </w:t>
      </w:r>
      <w:r>
        <w:rPr>
          <w:w w:val="105"/>
          <w:sz w:val="13"/>
        </w:rPr>
        <w:t>(Web</w:t>
      </w:r>
      <w:r>
        <w:rPr>
          <w:spacing w:val="5"/>
          <w:w w:val="105"/>
          <w:sz w:val="13"/>
        </w:rPr>
        <w:t> </w:t>
      </w:r>
      <w:r>
        <w:rPr>
          <w:w w:val="105"/>
          <w:sz w:val="13"/>
        </w:rPr>
        <w:t>Page,</w:t>
      </w:r>
      <w:r>
        <w:rPr>
          <w:spacing w:val="6"/>
          <w:w w:val="105"/>
          <w:sz w:val="13"/>
        </w:rPr>
        <w:t> </w:t>
      </w:r>
      <w:r>
        <w:rPr>
          <w:w w:val="105"/>
          <w:sz w:val="13"/>
        </w:rPr>
        <w:t>2019)</w:t>
      </w:r>
    </w:p>
    <w:p>
      <w:pPr>
        <w:spacing w:before="1"/>
        <w:ind w:left="1223" w:right="0" w:firstLine="0"/>
        <w:jc w:val="left"/>
        <w:rPr>
          <w:sz w:val="13"/>
        </w:rPr>
      </w:pPr>
      <w:r>
        <w:rPr>
          <w:sz w:val="13"/>
        </w:rPr>
        <w:t>&lt;https://</w:t>
      </w:r>
      <w:hyperlink r:id="rId223">
        <w:r>
          <w:rPr>
            <w:sz w:val="13"/>
          </w:rPr>
          <w:t>www.skillsimpact.com.au/horticulture-conservation-and-land-management/training-package-projects/arboriculture-project/</w:t>
        </w:r>
      </w:hyperlink>
      <w:r>
        <w:rPr>
          <w:sz w:val="13"/>
        </w:rPr>
        <w:t>&gt;.</w:t>
      </w:r>
    </w:p>
    <w:p>
      <w:pPr>
        <w:spacing w:after="0"/>
        <w:jc w:val="left"/>
        <w:rPr>
          <w:sz w:val="13"/>
        </w:rPr>
        <w:sectPr>
          <w:type w:val="continuous"/>
          <w:pgSz w:w="11910" w:h="16840"/>
          <w:pgMar w:top="300" w:bottom="280" w:left="0" w:right="0"/>
          <w:cols w:num="2" w:equalWidth="0">
            <w:col w:w="1119" w:space="40"/>
            <w:col w:w="10751"/>
          </w:cols>
        </w:sectPr>
      </w:pPr>
    </w:p>
    <w:p>
      <w:pPr>
        <w:pStyle w:val="BodyText"/>
        <w:rPr>
          <w:sz w:val="20"/>
        </w:rPr>
      </w:pPr>
    </w:p>
    <w:p>
      <w:pPr>
        <w:pStyle w:val="BodyText"/>
        <w:spacing w:before="8" w:after="1"/>
        <w:rPr>
          <w:sz w:val="29"/>
        </w:rPr>
      </w:pPr>
    </w:p>
    <w:p>
      <w:pPr>
        <w:pStyle w:val="BodyText"/>
        <w:ind w:left="1222"/>
        <w:rPr>
          <w:sz w:val="20"/>
        </w:rPr>
      </w:pPr>
      <w:r>
        <w:rPr>
          <w:sz w:val="20"/>
        </w:rPr>
        <w:pict>
          <v:group style="width:479.1pt;height:109.4pt;mso-position-horizontal-relative:char;mso-position-vertical-relative:line" coordorigin="0,0" coordsize="9582,2188">
            <v:rect style="position:absolute;left:340;top:0;width:8731;height:2188" filled="true" fillcolor="#dbe0dd" stroked="false">
              <v:fill type="solid"/>
            </v:rect>
            <v:line style="position:absolute" from="0,747" to="9581,747" stroked="true" strokeweight="2.5pt" strokecolor="#ffffff">
              <v:stroke dashstyle="solid"/>
            </v:line>
            <v:shape style="position:absolute;left:340;top:771;width:8731;height:1416" type="#_x0000_t202" filled="true" fillcolor="#dbe0dd" stroked="false">
              <v:textbox inset="0,0,0,0">
                <w:txbxContent>
                  <w:p>
                    <w:pPr>
                      <w:tabs>
                        <w:tab w:pos="793" w:val="left" w:leader="none"/>
                      </w:tabs>
                      <w:spacing w:line="242" w:lineRule="auto" w:before="208"/>
                      <w:ind w:left="793" w:right="299" w:hanging="567"/>
                      <w:jc w:val="left"/>
                      <w:rPr>
                        <w:sz w:val="21"/>
                      </w:rPr>
                    </w:pPr>
                    <w:bookmarkStart w:name="_bookmark101" w:id="212"/>
                    <w:bookmarkEnd w:id="212"/>
                    <w:r>
                      <w:rPr/>
                    </w:r>
                    <w:r>
                      <w:rPr>
                        <w:b/>
                        <w:w w:val="115"/>
                        <w:sz w:val="21"/>
                      </w:rPr>
                      <w:t>26</w:t>
                      <w:tab/>
                    </w:r>
                    <w:r>
                      <w:rPr>
                        <w:w w:val="115"/>
                        <w:sz w:val="21"/>
                      </w:rPr>
                      <w:t>The Act should require that arborists who provide evidence to the Victorian Civil and Administrative </w:t>
                    </w:r>
                    <w:r>
                      <w:rPr>
                        <w:spacing w:val="-4"/>
                        <w:w w:val="115"/>
                        <w:sz w:val="21"/>
                      </w:rPr>
                      <w:t>Tribunal </w:t>
                    </w:r>
                    <w:r>
                      <w:rPr>
                        <w:w w:val="115"/>
                        <w:sz w:val="21"/>
                      </w:rPr>
                      <w:t>hold a </w:t>
                    </w:r>
                    <w:r>
                      <w:rPr>
                        <w:spacing w:val="-3"/>
                        <w:w w:val="115"/>
                        <w:sz w:val="21"/>
                      </w:rPr>
                      <w:t>relevant </w:t>
                    </w:r>
                    <w:r>
                      <w:rPr>
                        <w:w w:val="115"/>
                        <w:sz w:val="21"/>
                      </w:rPr>
                      <w:t>arboricultural qualification of </w:t>
                    </w:r>
                    <w:r>
                      <w:rPr>
                        <w:spacing w:val="-3"/>
                        <w:w w:val="115"/>
                        <w:sz w:val="21"/>
                      </w:rPr>
                      <w:t>minimum</w:t>
                    </w:r>
                    <w:r>
                      <w:rPr>
                        <w:spacing w:val="-9"/>
                        <w:w w:val="115"/>
                        <w:sz w:val="21"/>
                      </w:rPr>
                      <w:t> </w:t>
                    </w:r>
                    <w:r>
                      <w:rPr>
                        <w:w w:val="115"/>
                        <w:sz w:val="21"/>
                      </w:rPr>
                      <w:t>Australian</w:t>
                    </w:r>
                    <w:r>
                      <w:rPr>
                        <w:spacing w:val="-9"/>
                        <w:w w:val="115"/>
                        <w:sz w:val="21"/>
                      </w:rPr>
                      <w:t> </w:t>
                    </w:r>
                    <w:r>
                      <w:rPr>
                        <w:w w:val="115"/>
                        <w:sz w:val="21"/>
                      </w:rPr>
                      <w:t>Qualifications</w:t>
                    </w:r>
                    <w:r>
                      <w:rPr>
                        <w:spacing w:val="-9"/>
                        <w:w w:val="115"/>
                        <w:sz w:val="21"/>
                      </w:rPr>
                      <w:t> </w:t>
                    </w:r>
                    <w:r>
                      <w:rPr>
                        <w:w w:val="115"/>
                        <w:sz w:val="21"/>
                      </w:rPr>
                      <w:t>Framework</w:t>
                    </w:r>
                    <w:r>
                      <w:rPr>
                        <w:spacing w:val="-9"/>
                        <w:w w:val="115"/>
                        <w:sz w:val="21"/>
                      </w:rPr>
                      <w:t> </w:t>
                    </w:r>
                    <w:r>
                      <w:rPr>
                        <w:w w:val="115"/>
                        <w:sz w:val="21"/>
                      </w:rPr>
                      <w:t>(AQF)</w:t>
                    </w:r>
                    <w:r>
                      <w:rPr>
                        <w:spacing w:val="-9"/>
                        <w:w w:val="115"/>
                        <w:sz w:val="21"/>
                      </w:rPr>
                      <w:t> </w:t>
                    </w:r>
                    <w:r>
                      <w:rPr>
                        <w:w w:val="115"/>
                        <w:sz w:val="21"/>
                      </w:rPr>
                      <w:t>Level</w:t>
                    </w:r>
                    <w:r>
                      <w:rPr>
                        <w:spacing w:val="-9"/>
                        <w:w w:val="115"/>
                        <w:sz w:val="21"/>
                      </w:rPr>
                      <w:t> </w:t>
                    </w:r>
                    <w:r>
                      <w:rPr>
                        <w:w w:val="115"/>
                        <w:sz w:val="21"/>
                      </w:rPr>
                      <w:t>5</w:t>
                    </w:r>
                    <w:r>
                      <w:rPr>
                        <w:spacing w:val="-9"/>
                        <w:w w:val="115"/>
                        <w:sz w:val="21"/>
                      </w:rPr>
                      <w:t> </w:t>
                    </w:r>
                    <w:r>
                      <w:rPr>
                        <w:w w:val="115"/>
                        <w:sz w:val="21"/>
                      </w:rPr>
                      <w:t>or</w:t>
                    </w:r>
                    <w:r>
                      <w:rPr>
                        <w:spacing w:val="-9"/>
                        <w:w w:val="115"/>
                        <w:sz w:val="21"/>
                      </w:rPr>
                      <w:t> </w:t>
                    </w:r>
                    <w:r>
                      <w:rPr>
                        <w:w w:val="115"/>
                        <w:sz w:val="21"/>
                      </w:rPr>
                      <w:t>equivalent</w:t>
                    </w:r>
                    <w:r>
                      <w:rPr>
                        <w:spacing w:val="-9"/>
                        <w:w w:val="115"/>
                        <w:sz w:val="21"/>
                      </w:rPr>
                      <w:t> </w:t>
                    </w:r>
                    <w:r>
                      <w:rPr>
                        <w:w w:val="115"/>
                        <w:sz w:val="21"/>
                      </w:rPr>
                      <w:t>and </w:t>
                    </w:r>
                    <w:r>
                      <w:rPr>
                        <w:spacing w:val="-3"/>
                        <w:w w:val="115"/>
                        <w:sz w:val="21"/>
                      </w:rPr>
                      <w:t>have </w:t>
                    </w:r>
                    <w:r>
                      <w:rPr>
                        <w:w w:val="115"/>
                        <w:sz w:val="21"/>
                      </w:rPr>
                      <w:t>at least two years practical experience.</w:t>
                    </w:r>
                  </w:p>
                </w:txbxContent>
              </v:textbox>
              <v:fill type="solid"/>
              <w10:wrap type="none"/>
            </v:shape>
            <v:shape style="position:absolute;left:340;top:0;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w:t>
                    </w:r>
                  </w:p>
                </w:txbxContent>
              </v:textbox>
              <v:fill type="solid"/>
              <w10:wrap type="none"/>
            </v:shape>
          </v:group>
        </w:pict>
      </w:r>
      <w:r>
        <w:rPr>
          <w:sz w:val="20"/>
        </w:rPr>
      </w:r>
    </w:p>
    <w:p>
      <w:pPr>
        <w:pStyle w:val="BodyText"/>
        <w:spacing w:before="7"/>
      </w:pPr>
    </w:p>
    <w:p>
      <w:pPr>
        <w:pStyle w:val="Heading5"/>
        <w:spacing w:before="96"/>
      </w:pPr>
      <w:r>
        <w:rPr>
          <w:w w:val="115"/>
        </w:rPr>
        <w:t>Expert’s duty to VCAT</w:t>
      </w:r>
    </w:p>
    <w:p>
      <w:pPr>
        <w:pStyle w:val="ListParagraph"/>
        <w:numPr>
          <w:ilvl w:val="1"/>
          <w:numId w:val="133"/>
        </w:numPr>
        <w:tabs>
          <w:tab w:pos="2381" w:val="left" w:leader="none"/>
          <w:tab w:pos="2382" w:val="left" w:leader="none"/>
        </w:tabs>
        <w:spacing w:line="242" w:lineRule="auto" w:before="137" w:after="0"/>
        <w:ind w:left="2381" w:right="1659" w:hanging="794"/>
        <w:jc w:val="left"/>
        <w:rPr>
          <w:sz w:val="21"/>
        </w:rPr>
      </w:pPr>
      <w:r>
        <w:rPr>
          <w:spacing w:val="-5"/>
          <w:sz w:val="21"/>
        </w:rPr>
        <w:t>VCAT </w:t>
      </w:r>
      <w:r>
        <w:rPr>
          <w:sz w:val="21"/>
        </w:rPr>
        <w:t>should </w:t>
      </w:r>
      <w:r>
        <w:rPr>
          <w:spacing w:val="-3"/>
          <w:sz w:val="21"/>
        </w:rPr>
        <w:t>remind </w:t>
      </w:r>
      <w:r>
        <w:rPr>
          <w:sz w:val="21"/>
        </w:rPr>
        <w:t>the parties and experts in the tree </w:t>
      </w:r>
      <w:r>
        <w:rPr>
          <w:spacing w:val="-3"/>
          <w:sz w:val="21"/>
        </w:rPr>
        <w:t>disputes  hearing  </w:t>
      </w:r>
      <w:r>
        <w:rPr>
          <w:sz w:val="21"/>
        </w:rPr>
        <w:t>about the duties  of expert witnesses </w:t>
      </w:r>
      <w:r>
        <w:rPr>
          <w:spacing w:val="-3"/>
          <w:sz w:val="21"/>
        </w:rPr>
        <w:t>to </w:t>
      </w:r>
      <w:r>
        <w:rPr>
          <w:sz w:val="21"/>
        </w:rPr>
        <w:t>the</w:t>
      </w:r>
      <w:r>
        <w:rPr>
          <w:spacing w:val="46"/>
          <w:sz w:val="21"/>
        </w:rPr>
        <w:t> </w:t>
      </w:r>
      <w:r>
        <w:rPr>
          <w:spacing w:val="-4"/>
          <w:sz w:val="21"/>
        </w:rPr>
        <w:t>Tribunal:</w:t>
      </w:r>
    </w:p>
    <w:p>
      <w:pPr>
        <w:pStyle w:val="ListParagraph"/>
        <w:numPr>
          <w:ilvl w:val="2"/>
          <w:numId w:val="133"/>
        </w:numPr>
        <w:tabs>
          <w:tab w:pos="2721" w:val="left" w:leader="none"/>
          <w:tab w:pos="2722" w:val="left" w:leader="none"/>
        </w:tabs>
        <w:spacing w:line="242" w:lineRule="auto" w:before="122" w:after="0"/>
        <w:ind w:left="2721" w:right="1586" w:hanging="340"/>
        <w:jc w:val="left"/>
        <w:rPr>
          <w:sz w:val="21"/>
        </w:rPr>
      </w:pPr>
      <w:r>
        <w:rPr>
          <w:w w:val="105"/>
          <w:sz w:val="21"/>
        </w:rPr>
        <w:t>An expert witness </w:t>
      </w:r>
      <w:r>
        <w:rPr>
          <w:spacing w:val="-2"/>
          <w:w w:val="105"/>
          <w:sz w:val="21"/>
        </w:rPr>
        <w:t>has </w:t>
      </w:r>
      <w:r>
        <w:rPr>
          <w:w w:val="105"/>
          <w:sz w:val="21"/>
        </w:rPr>
        <w:t>a </w:t>
      </w:r>
      <w:r>
        <w:rPr>
          <w:spacing w:val="-3"/>
          <w:w w:val="105"/>
          <w:sz w:val="21"/>
        </w:rPr>
        <w:t>paramount </w:t>
      </w:r>
      <w:r>
        <w:rPr>
          <w:w w:val="105"/>
          <w:sz w:val="21"/>
        </w:rPr>
        <w:t>duty </w:t>
      </w:r>
      <w:r>
        <w:rPr>
          <w:spacing w:val="-3"/>
          <w:w w:val="105"/>
          <w:sz w:val="21"/>
        </w:rPr>
        <w:t>to </w:t>
      </w:r>
      <w:r>
        <w:rPr>
          <w:w w:val="105"/>
          <w:sz w:val="21"/>
        </w:rPr>
        <w:t>the </w:t>
      </w:r>
      <w:r>
        <w:rPr>
          <w:spacing w:val="-5"/>
          <w:w w:val="105"/>
          <w:sz w:val="21"/>
        </w:rPr>
        <w:t>Tribunal </w:t>
      </w:r>
      <w:r>
        <w:rPr>
          <w:w w:val="105"/>
          <w:sz w:val="21"/>
        </w:rPr>
        <w:t>and </w:t>
      </w:r>
      <w:r>
        <w:rPr>
          <w:spacing w:val="-2"/>
          <w:w w:val="105"/>
          <w:sz w:val="21"/>
        </w:rPr>
        <w:t>not </w:t>
      </w:r>
      <w:r>
        <w:rPr>
          <w:spacing w:val="-3"/>
          <w:w w:val="105"/>
          <w:sz w:val="21"/>
        </w:rPr>
        <w:t>to </w:t>
      </w:r>
      <w:r>
        <w:rPr>
          <w:w w:val="105"/>
          <w:sz w:val="21"/>
        </w:rPr>
        <w:t>the party </w:t>
      </w:r>
      <w:r>
        <w:rPr>
          <w:spacing w:val="-3"/>
          <w:w w:val="105"/>
          <w:sz w:val="21"/>
        </w:rPr>
        <w:t>retaining </w:t>
      </w:r>
      <w:r>
        <w:rPr>
          <w:w w:val="105"/>
          <w:sz w:val="21"/>
        </w:rPr>
        <w:t>the</w:t>
      </w:r>
      <w:r>
        <w:rPr>
          <w:spacing w:val="5"/>
          <w:w w:val="105"/>
          <w:sz w:val="21"/>
        </w:rPr>
        <w:t> </w:t>
      </w:r>
      <w:r>
        <w:rPr>
          <w:w w:val="105"/>
          <w:sz w:val="21"/>
        </w:rPr>
        <w:t>expert.</w:t>
      </w:r>
    </w:p>
    <w:p>
      <w:pPr>
        <w:pStyle w:val="ListParagraph"/>
        <w:numPr>
          <w:ilvl w:val="2"/>
          <w:numId w:val="133"/>
        </w:numPr>
        <w:tabs>
          <w:tab w:pos="2721" w:val="left" w:leader="none"/>
          <w:tab w:pos="2722" w:val="left" w:leader="none"/>
        </w:tabs>
        <w:spacing w:line="242" w:lineRule="auto" w:before="88" w:after="0"/>
        <w:ind w:left="2721" w:right="1717" w:hanging="340"/>
        <w:jc w:val="left"/>
        <w:rPr>
          <w:sz w:val="21"/>
        </w:rPr>
      </w:pPr>
      <w:r>
        <w:rPr>
          <w:sz w:val="21"/>
        </w:rPr>
        <w:t>An expert witness </w:t>
      </w:r>
      <w:r>
        <w:rPr>
          <w:spacing w:val="-2"/>
          <w:sz w:val="21"/>
        </w:rPr>
        <w:t>has </w:t>
      </w:r>
      <w:r>
        <w:rPr>
          <w:sz w:val="21"/>
        </w:rPr>
        <w:t>an </w:t>
      </w:r>
      <w:r>
        <w:rPr>
          <w:spacing w:val="-3"/>
          <w:sz w:val="21"/>
        </w:rPr>
        <w:t>overriding </w:t>
      </w:r>
      <w:r>
        <w:rPr>
          <w:sz w:val="21"/>
        </w:rPr>
        <w:t>duty </w:t>
      </w:r>
      <w:r>
        <w:rPr>
          <w:spacing w:val="-3"/>
          <w:sz w:val="21"/>
        </w:rPr>
        <w:t>to </w:t>
      </w:r>
      <w:r>
        <w:rPr>
          <w:sz w:val="21"/>
        </w:rPr>
        <w:t>assist the </w:t>
      </w:r>
      <w:r>
        <w:rPr>
          <w:spacing w:val="-5"/>
          <w:sz w:val="21"/>
        </w:rPr>
        <w:t>Tribunal </w:t>
      </w:r>
      <w:r>
        <w:rPr>
          <w:sz w:val="21"/>
        </w:rPr>
        <w:t>on matters </w:t>
      </w:r>
      <w:r>
        <w:rPr>
          <w:spacing w:val="-3"/>
          <w:sz w:val="21"/>
        </w:rPr>
        <w:t>relevant to </w:t>
      </w:r>
      <w:r>
        <w:rPr>
          <w:sz w:val="21"/>
        </w:rPr>
        <w:t>the expert’s</w:t>
      </w:r>
      <w:r>
        <w:rPr>
          <w:spacing w:val="16"/>
          <w:sz w:val="21"/>
        </w:rPr>
        <w:t> </w:t>
      </w:r>
      <w:r>
        <w:rPr>
          <w:sz w:val="21"/>
        </w:rPr>
        <w:t>expertise.</w:t>
      </w:r>
    </w:p>
    <w:p>
      <w:pPr>
        <w:pStyle w:val="ListParagraph"/>
        <w:numPr>
          <w:ilvl w:val="2"/>
          <w:numId w:val="133"/>
        </w:numPr>
        <w:tabs>
          <w:tab w:pos="2721" w:val="left" w:leader="none"/>
          <w:tab w:pos="2722" w:val="left" w:leader="none"/>
        </w:tabs>
        <w:spacing w:line="240" w:lineRule="auto" w:before="87" w:after="0"/>
        <w:ind w:left="2721" w:right="0" w:hanging="340"/>
        <w:jc w:val="left"/>
        <w:rPr>
          <w:sz w:val="12"/>
        </w:rPr>
      </w:pPr>
      <w:r>
        <w:rPr>
          <w:w w:val="105"/>
          <w:sz w:val="21"/>
        </w:rPr>
        <w:t>An expert witness is </w:t>
      </w:r>
      <w:r>
        <w:rPr>
          <w:spacing w:val="-2"/>
          <w:w w:val="105"/>
          <w:sz w:val="21"/>
        </w:rPr>
        <w:t>not </w:t>
      </w:r>
      <w:r>
        <w:rPr>
          <w:w w:val="105"/>
          <w:sz w:val="21"/>
        </w:rPr>
        <w:t>an advocate </w:t>
      </w:r>
      <w:r>
        <w:rPr>
          <w:spacing w:val="-3"/>
          <w:w w:val="105"/>
          <w:sz w:val="21"/>
        </w:rPr>
        <w:t>for </w:t>
      </w:r>
      <w:r>
        <w:rPr>
          <w:w w:val="105"/>
          <w:sz w:val="21"/>
        </w:rPr>
        <w:t>a party </w:t>
      </w:r>
      <w:r>
        <w:rPr>
          <w:spacing w:val="-3"/>
          <w:w w:val="105"/>
          <w:sz w:val="21"/>
        </w:rPr>
        <w:t>to </w:t>
      </w:r>
      <w:r>
        <w:rPr>
          <w:w w:val="105"/>
          <w:sz w:val="21"/>
        </w:rPr>
        <w:t>a</w:t>
      </w:r>
      <w:r>
        <w:rPr>
          <w:spacing w:val="7"/>
          <w:w w:val="105"/>
          <w:sz w:val="21"/>
        </w:rPr>
        <w:t> </w:t>
      </w:r>
      <w:r>
        <w:rPr>
          <w:w w:val="105"/>
          <w:sz w:val="21"/>
        </w:rPr>
        <w:t>proceeding.</w:t>
      </w:r>
      <w:r>
        <w:rPr>
          <w:w w:val="105"/>
          <w:position w:val="7"/>
          <w:sz w:val="12"/>
        </w:rPr>
        <w:t>235</w:t>
      </w:r>
    </w:p>
    <w:p>
      <w:pPr>
        <w:pStyle w:val="ListParagraph"/>
        <w:numPr>
          <w:ilvl w:val="1"/>
          <w:numId w:val="133"/>
        </w:numPr>
        <w:tabs>
          <w:tab w:pos="2381" w:val="left" w:leader="none"/>
          <w:tab w:pos="2382" w:val="left" w:leader="none"/>
        </w:tabs>
        <w:spacing w:line="242" w:lineRule="auto" w:before="88" w:after="0"/>
        <w:ind w:left="2381" w:right="1978" w:hanging="794"/>
        <w:jc w:val="left"/>
        <w:rPr>
          <w:sz w:val="21"/>
        </w:rPr>
      </w:pPr>
      <w:r>
        <w:rPr>
          <w:w w:val="105"/>
          <w:sz w:val="21"/>
        </w:rPr>
        <w:t>These</w:t>
      </w:r>
      <w:r>
        <w:rPr>
          <w:spacing w:val="-8"/>
          <w:w w:val="105"/>
          <w:sz w:val="21"/>
        </w:rPr>
        <w:t> </w:t>
      </w:r>
      <w:r>
        <w:rPr>
          <w:w w:val="105"/>
          <w:sz w:val="21"/>
        </w:rPr>
        <w:t>duties,</w:t>
      </w:r>
      <w:r>
        <w:rPr>
          <w:spacing w:val="-8"/>
          <w:w w:val="105"/>
          <w:sz w:val="21"/>
        </w:rPr>
        <w:t> </w:t>
      </w:r>
      <w:r>
        <w:rPr>
          <w:spacing w:val="-3"/>
          <w:w w:val="105"/>
          <w:sz w:val="21"/>
        </w:rPr>
        <w:t>outlined</w:t>
      </w:r>
      <w:r>
        <w:rPr>
          <w:spacing w:val="-9"/>
          <w:w w:val="105"/>
          <w:sz w:val="21"/>
        </w:rPr>
        <w:t> </w:t>
      </w:r>
      <w:r>
        <w:rPr>
          <w:w w:val="105"/>
          <w:sz w:val="21"/>
        </w:rPr>
        <w:t>in</w:t>
      </w:r>
      <w:r>
        <w:rPr>
          <w:spacing w:val="-8"/>
          <w:w w:val="105"/>
          <w:sz w:val="21"/>
        </w:rPr>
        <w:t> </w:t>
      </w:r>
      <w:r>
        <w:rPr>
          <w:w w:val="105"/>
          <w:sz w:val="21"/>
        </w:rPr>
        <w:t>a</w:t>
      </w:r>
      <w:r>
        <w:rPr>
          <w:spacing w:val="-8"/>
          <w:w w:val="105"/>
          <w:sz w:val="21"/>
        </w:rPr>
        <w:t> </w:t>
      </w:r>
      <w:r>
        <w:rPr>
          <w:spacing w:val="-5"/>
          <w:w w:val="105"/>
          <w:sz w:val="21"/>
        </w:rPr>
        <w:t>Tribunal</w:t>
      </w:r>
      <w:r>
        <w:rPr>
          <w:spacing w:val="-8"/>
          <w:w w:val="105"/>
          <w:sz w:val="21"/>
        </w:rPr>
        <w:t> </w:t>
      </w:r>
      <w:r>
        <w:rPr>
          <w:w w:val="105"/>
          <w:sz w:val="21"/>
        </w:rPr>
        <w:t>practice</w:t>
      </w:r>
      <w:r>
        <w:rPr>
          <w:spacing w:val="-8"/>
          <w:w w:val="105"/>
          <w:sz w:val="21"/>
        </w:rPr>
        <w:t> </w:t>
      </w:r>
      <w:r>
        <w:rPr>
          <w:spacing w:val="-4"/>
          <w:w w:val="105"/>
          <w:sz w:val="21"/>
        </w:rPr>
        <w:t>note,</w:t>
      </w:r>
      <w:r>
        <w:rPr>
          <w:spacing w:val="-8"/>
          <w:w w:val="105"/>
          <w:sz w:val="21"/>
        </w:rPr>
        <w:t> </w:t>
      </w:r>
      <w:r>
        <w:rPr>
          <w:w w:val="105"/>
          <w:sz w:val="21"/>
        </w:rPr>
        <w:t>should</w:t>
      </w:r>
      <w:r>
        <w:rPr>
          <w:spacing w:val="-8"/>
          <w:w w:val="105"/>
          <w:sz w:val="21"/>
        </w:rPr>
        <w:t> </w:t>
      </w:r>
      <w:r>
        <w:rPr>
          <w:w w:val="105"/>
          <w:sz w:val="21"/>
        </w:rPr>
        <w:t>be</w:t>
      </w:r>
      <w:r>
        <w:rPr>
          <w:spacing w:val="-8"/>
          <w:w w:val="105"/>
          <w:sz w:val="21"/>
        </w:rPr>
        <w:t> </w:t>
      </w:r>
      <w:r>
        <w:rPr>
          <w:spacing w:val="-3"/>
          <w:w w:val="105"/>
          <w:sz w:val="21"/>
        </w:rPr>
        <w:t>referred</w:t>
      </w:r>
      <w:r>
        <w:rPr>
          <w:spacing w:val="-8"/>
          <w:w w:val="105"/>
          <w:sz w:val="21"/>
        </w:rPr>
        <w:t> </w:t>
      </w:r>
      <w:r>
        <w:rPr>
          <w:spacing w:val="-3"/>
          <w:w w:val="105"/>
          <w:sz w:val="21"/>
        </w:rPr>
        <w:t>to</w:t>
      </w:r>
      <w:r>
        <w:rPr>
          <w:spacing w:val="-8"/>
          <w:w w:val="105"/>
          <w:sz w:val="21"/>
        </w:rPr>
        <w:t> </w:t>
      </w:r>
      <w:r>
        <w:rPr>
          <w:w w:val="105"/>
          <w:sz w:val="21"/>
        </w:rPr>
        <w:t>in</w:t>
      </w:r>
      <w:r>
        <w:rPr>
          <w:spacing w:val="-8"/>
          <w:w w:val="105"/>
          <w:sz w:val="21"/>
        </w:rPr>
        <w:t> </w:t>
      </w:r>
      <w:r>
        <w:rPr>
          <w:w w:val="105"/>
          <w:sz w:val="21"/>
        </w:rPr>
        <w:t>the</w:t>
      </w:r>
      <w:r>
        <w:rPr>
          <w:spacing w:val="-8"/>
          <w:w w:val="105"/>
          <w:sz w:val="21"/>
        </w:rPr>
        <w:t> </w:t>
      </w:r>
      <w:r>
        <w:rPr>
          <w:w w:val="105"/>
          <w:sz w:val="21"/>
        </w:rPr>
        <w:t>detailed </w:t>
      </w:r>
      <w:r>
        <w:rPr>
          <w:spacing w:val="-3"/>
          <w:w w:val="105"/>
          <w:sz w:val="21"/>
        </w:rPr>
        <w:t>information</w:t>
      </w:r>
      <w:r>
        <w:rPr>
          <w:spacing w:val="6"/>
          <w:w w:val="105"/>
          <w:sz w:val="21"/>
        </w:rPr>
        <w:t> </w:t>
      </w:r>
      <w:r>
        <w:rPr>
          <w:w w:val="105"/>
          <w:sz w:val="21"/>
        </w:rPr>
        <w:t>guide</w:t>
      </w:r>
      <w:r>
        <w:rPr>
          <w:spacing w:val="6"/>
          <w:w w:val="105"/>
          <w:sz w:val="21"/>
        </w:rPr>
        <w:t> </w:t>
      </w:r>
      <w:r>
        <w:rPr>
          <w:spacing w:val="-3"/>
          <w:w w:val="105"/>
          <w:sz w:val="21"/>
        </w:rPr>
        <w:t>that</w:t>
      </w:r>
      <w:r>
        <w:rPr>
          <w:spacing w:val="6"/>
          <w:w w:val="105"/>
          <w:sz w:val="21"/>
        </w:rPr>
        <w:t> </w:t>
      </w:r>
      <w:r>
        <w:rPr>
          <w:spacing w:val="-5"/>
          <w:w w:val="105"/>
          <w:sz w:val="21"/>
        </w:rPr>
        <w:t>VCAT</w:t>
      </w:r>
      <w:r>
        <w:rPr>
          <w:spacing w:val="6"/>
          <w:w w:val="105"/>
          <w:sz w:val="21"/>
        </w:rPr>
        <w:t> </w:t>
      </w:r>
      <w:r>
        <w:rPr>
          <w:w w:val="105"/>
          <w:sz w:val="21"/>
        </w:rPr>
        <w:t>should</w:t>
      </w:r>
      <w:r>
        <w:rPr>
          <w:spacing w:val="6"/>
          <w:w w:val="105"/>
          <w:sz w:val="21"/>
        </w:rPr>
        <w:t> </w:t>
      </w:r>
      <w:r>
        <w:rPr>
          <w:spacing w:val="-3"/>
          <w:w w:val="105"/>
          <w:sz w:val="21"/>
        </w:rPr>
        <w:t>produce</w:t>
      </w:r>
      <w:r>
        <w:rPr>
          <w:spacing w:val="6"/>
          <w:w w:val="105"/>
          <w:sz w:val="21"/>
        </w:rPr>
        <w:t> </w:t>
      </w:r>
      <w:r>
        <w:rPr>
          <w:w w:val="105"/>
          <w:sz w:val="21"/>
        </w:rPr>
        <w:t>on</w:t>
      </w:r>
      <w:r>
        <w:rPr>
          <w:spacing w:val="6"/>
          <w:w w:val="105"/>
          <w:sz w:val="21"/>
        </w:rPr>
        <w:t> </w:t>
      </w:r>
      <w:r>
        <w:rPr>
          <w:w w:val="105"/>
          <w:sz w:val="21"/>
        </w:rPr>
        <w:t>the</w:t>
      </w:r>
      <w:r>
        <w:rPr>
          <w:spacing w:val="6"/>
          <w:w w:val="105"/>
          <w:sz w:val="21"/>
        </w:rPr>
        <w:t> </w:t>
      </w:r>
      <w:r>
        <w:rPr>
          <w:w w:val="105"/>
          <w:sz w:val="21"/>
        </w:rPr>
        <w:t>new</w:t>
      </w:r>
      <w:r>
        <w:rPr>
          <w:spacing w:val="6"/>
          <w:w w:val="105"/>
          <w:sz w:val="21"/>
        </w:rPr>
        <w:t> </w:t>
      </w:r>
      <w:r>
        <w:rPr>
          <w:w w:val="105"/>
          <w:sz w:val="21"/>
        </w:rPr>
        <w:t>Act.</w:t>
      </w:r>
      <w:r>
        <w:rPr>
          <w:spacing w:val="6"/>
          <w:w w:val="105"/>
          <w:sz w:val="21"/>
        </w:rPr>
        <w:t> </w:t>
      </w:r>
      <w:r>
        <w:rPr>
          <w:w w:val="105"/>
          <w:sz w:val="21"/>
        </w:rPr>
        <w:t>See</w:t>
      </w:r>
      <w:r>
        <w:rPr>
          <w:spacing w:val="6"/>
          <w:w w:val="105"/>
          <w:sz w:val="21"/>
        </w:rPr>
        <w:t> </w:t>
      </w:r>
      <w:r>
        <w:rPr>
          <w:spacing w:val="-4"/>
          <w:w w:val="105"/>
          <w:sz w:val="21"/>
        </w:rPr>
        <w:t>Chapter</w:t>
      </w:r>
      <w:r>
        <w:rPr>
          <w:spacing w:val="6"/>
          <w:w w:val="105"/>
          <w:sz w:val="21"/>
        </w:rPr>
        <w:t> </w:t>
      </w:r>
      <w:r>
        <w:rPr>
          <w:spacing w:val="-9"/>
          <w:w w:val="105"/>
          <w:sz w:val="21"/>
        </w:rPr>
        <w:t>12.</w:t>
      </w:r>
    </w:p>
    <w:p>
      <w:pPr>
        <w:pStyle w:val="BodyText"/>
        <w:spacing w:before="3"/>
        <w:rPr>
          <w:sz w:val="20"/>
        </w:rPr>
      </w:pPr>
    </w:p>
    <w:p>
      <w:pPr>
        <w:pStyle w:val="Heading5"/>
      </w:pPr>
      <w:r>
        <w:rPr>
          <w:w w:val="110"/>
        </w:rPr>
        <w:t>Concurrent evidence</w:t>
      </w:r>
    </w:p>
    <w:p>
      <w:pPr>
        <w:pStyle w:val="ListParagraph"/>
        <w:numPr>
          <w:ilvl w:val="1"/>
          <w:numId w:val="133"/>
        </w:numPr>
        <w:tabs>
          <w:tab w:pos="2380" w:val="left" w:leader="none"/>
          <w:tab w:pos="2381" w:val="left" w:leader="none"/>
        </w:tabs>
        <w:spacing w:line="242" w:lineRule="auto" w:before="138" w:after="0"/>
        <w:ind w:left="2381" w:right="1751" w:hanging="794"/>
        <w:jc w:val="left"/>
        <w:rPr>
          <w:sz w:val="21"/>
        </w:rPr>
      </w:pPr>
      <w:r>
        <w:rPr>
          <w:sz w:val="21"/>
        </w:rPr>
        <w:t>In </w:t>
      </w:r>
      <w:r>
        <w:rPr>
          <w:spacing w:val="-3"/>
          <w:sz w:val="21"/>
        </w:rPr>
        <w:t>situations </w:t>
      </w:r>
      <w:r>
        <w:rPr>
          <w:sz w:val="21"/>
        </w:rPr>
        <w:t>where both parties decide </w:t>
      </w:r>
      <w:r>
        <w:rPr>
          <w:spacing w:val="-3"/>
          <w:sz w:val="21"/>
        </w:rPr>
        <w:t>to bring </w:t>
      </w:r>
      <w:r>
        <w:rPr>
          <w:sz w:val="21"/>
        </w:rPr>
        <w:t>their own arborists </w:t>
      </w:r>
      <w:r>
        <w:rPr>
          <w:spacing w:val="-3"/>
          <w:sz w:val="21"/>
        </w:rPr>
        <w:t>to </w:t>
      </w:r>
      <w:r>
        <w:rPr>
          <w:spacing w:val="-5"/>
          <w:sz w:val="21"/>
        </w:rPr>
        <w:t>VCAT </w:t>
      </w:r>
      <w:r>
        <w:rPr>
          <w:sz w:val="21"/>
        </w:rPr>
        <w:t>tree </w:t>
      </w:r>
      <w:r>
        <w:rPr>
          <w:spacing w:val="-3"/>
          <w:sz w:val="21"/>
        </w:rPr>
        <w:t>dispute hearings, </w:t>
      </w:r>
      <w:r>
        <w:rPr>
          <w:sz w:val="21"/>
        </w:rPr>
        <w:t>the </w:t>
      </w:r>
      <w:r>
        <w:rPr>
          <w:spacing w:val="-3"/>
          <w:sz w:val="21"/>
        </w:rPr>
        <w:t>provision </w:t>
      </w:r>
      <w:r>
        <w:rPr>
          <w:sz w:val="21"/>
        </w:rPr>
        <w:t>of a </w:t>
      </w:r>
      <w:r>
        <w:rPr>
          <w:spacing w:val="-3"/>
          <w:sz w:val="21"/>
        </w:rPr>
        <w:t>joint </w:t>
      </w:r>
      <w:r>
        <w:rPr>
          <w:sz w:val="21"/>
        </w:rPr>
        <w:t>report or </w:t>
      </w:r>
      <w:r>
        <w:rPr>
          <w:spacing w:val="-3"/>
          <w:sz w:val="21"/>
        </w:rPr>
        <w:t>concurrent </w:t>
      </w:r>
      <w:r>
        <w:rPr>
          <w:sz w:val="21"/>
        </w:rPr>
        <w:t>evidence  would  be  </w:t>
      </w:r>
      <w:r>
        <w:rPr>
          <w:spacing w:val="-3"/>
          <w:sz w:val="21"/>
        </w:rPr>
        <w:t>appropriate. </w:t>
      </w:r>
      <w:r>
        <w:rPr>
          <w:spacing w:val="-5"/>
          <w:sz w:val="21"/>
        </w:rPr>
        <w:t>VCAT </w:t>
      </w:r>
      <w:r>
        <w:rPr>
          <w:sz w:val="21"/>
        </w:rPr>
        <w:t>is able </w:t>
      </w:r>
      <w:r>
        <w:rPr>
          <w:spacing w:val="-3"/>
          <w:sz w:val="21"/>
        </w:rPr>
        <w:t>to  </w:t>
      </w:r>
      <w:r>
        <w:rPr>
          <w:sz w:val="21"/>
        </w:rPr>
        <w:t>direct experts </w:t>
      </w:r>
      <w:r>
        <w:rPr>
          <w:spacing w:val="-3"/>
          <w:sz w:val="21"/>
        </w:rPr>
        <w:t>to</w:t>
      </w:r>
      <w:r>
        <w:rPr>
          <w:spacing w:val="41"/>
          <w:sz w:val="21"/>
        </w:rPr>
        <w:t> </w:t>
      </w:r>
      <w:r>
        <w:rPr>
          <w:sz w:val="21"/>
        </w:rPr>
        <w:t>provide the </w:t>
      </w:r>
      <w:r>
        <w:rPr>
          <w:spacing w:val="-5"/>
          <w:sz w:val="21"/>
        </w:rPr>
        <w:t>Tribunal  </w:t>
      </w:r>
      <w:r>
        <w:rPr>
          <w:sz w:val="21"/>
        </w:rPr>
        <w:t>with a </w:t>
      </w:r>
      <w:r>
        <w:rPr>
          <w:spacing w:val="-3"/>
          <w:sz w:val="21"/>
        </w:rPr>
        <w:t>joint  </w:t>
      </w:r>
      <w:r>
        <w:rPr>
          <w:sz w:val="21"/>
        </w:rPr>
        <w:t>report, or </w:t>
      </w:r>
      <w:r>
        <w:rPr>
          <w:spacing w:val="-3"/>
          <w:sz w:val="21"/>
        </w:rPr>
        <w:t>require </w:t>
      </w:r>
      <w:r>
        <w:rPr>
          <w:sz w:val="21"/>
        </w:rPr>
        <w:t>experts </w:t>
      </w:r>
      <w:r>
        <w:rPr>
          <w:spacing w:val="-3"/>
          <w:sz w:val="21"/>
        </w:rPr>
        <w:t>to </w:t>
      </w:r>
      <w:r>
        <w:rPr>
          <w:sz w:val="21"/>
        </w:rPr>
        <w:t>provide evidence </w:t>
      </w:r>
      <w:r>
        <w:rPr>
          <w:spacing w:val="-4"/>
          <w:sz w:val="21"/>
        </w:rPr>
        <w:t>concurrently. </w:t>
      </w:r>
      <w:r>
        <w:rPr>
          <w:position w:val="7"/>
          <w:sz w:val="12"/>
        </w:rPr>
        <w:t>236 </w:t>
      </w:r>
      <w:r>
        <w:rPr>
          <w:sz w:val="21"/>
        </w:rPr>
        <w:t>The </w:t>
      </w:r>
      <w:r>
        <w:rPr>
          <w:spacing w:val="-3"/>
          <w:sz w:val="21"/>
        </w:rPr>
        <w:t>provision </w:t>
      </w:r>
      <w:r>
        <w:rPr>
          <w:sz w:val="21"/>
        </w:rPr>
        <w:t>of </w:t>
      </w:r>
      <w:r>
        <w:rPr>
          <w:spacing w:val="-3"/>
          <w:sz w:val="21"/>
        </w:rPr>
        <w:t>joint </w:t>
      </w:r>
      <w:r>
        <w:rPr>
          <w:sz w:val="21"/>
        </w:rPr>
        <w:t>evidence would assist </w:t>
      </w:r>
      <w:r>
        <w:rPr>
          <w:spacing w:val="-5"/>
          <w:sz w:val="21"/>
        </w:rPr>
        <w:t>VCAT</w:t>
      </w:r>
      <w:r>
        <w:rPr>
          <w:spacing w:val="8"/>
          <w:sz w:val="21"/>
        </w:rPr>
        <w:t> </w:t>
      </w:r>
      <w:r>
        <w:rPr>
          <w:sz w:val="21"/>
        </w:rPr>
        <w:t>to:</w:t>
      </w:r>
    </w:p>
    <w:p>
      <w:pPr>
        <w:pStyle w:val="ListParagraph"/>
        <w:numPr>
          <w:ilvl w:val="2"/>
          <w:numId w:val="133"/>
        </w:numPr>
        <w:tabs>
          <w:tab w:pos="2721" w:val="left" w:leader="none"/>
          <w:tab w:pos="2722" w:val="left" w:leader="none"/>
        </w:tabs>
        <w:spacing w:line="240" w:lineRule="auto" w:before="125" w:after="0"/>
        <w:ind w:left="2721" w:right="0" w:hanging="340"/>
        <w:jc w:val="left"/>
        <w:rPr>
          <w:sz w:val="21"/>
        </w:rPr>
      </w:pPr>
      <w:r>
        <w:rPr>
          <w:spacing w:val="-3"/>
          <w:sz w:val="21"/>
        </w:rPr>
        <w:t>narrow </w:t>
      </w:r>
      <w:r>
        <w:rPr>
          <w:sz w:val="21"/>
        </w:rPr>
        <w:t>the issues in</w:t>
      </w:r>
      <w:r>
        <w:rPr>
          <w:spacing w:val="36"/>
          <w:sz w:val="21"/>
        </w:rPr>
        <w:t> </w:t>
      </w:r>
      <w:r>
        <w:rPr>
          <w:spacing w:val="-3"/>
          <w:sz w:val="21"/>
        </w:rPr>
        <w:t>dispute</w:t>
      </w:r>
    </w:p>
    <w:p>
      <w:pPr>
        <w:pStyle w:val="ListParagraph"/>
        <w:numPr>
          <w:ilvl w:val="2"/>
          <w:numId w:val="133"/>
        </w:numPr>
        <w:tabs>
          <w:tab w:pos="2721" w:val="left" w:leader="none"/>
          <w:tab w:pos="2722" w:val="left" w:leader="none"/>
        </w:tabs>
        <w:spacing w:line="240" w:lineRule="auto" w:before="89" w:after="0"/>
        <w:ind w:left="2721" w:right="0" w:hanging="340"/>
        <w:jc w:val="left"/>
        <w:rPr>
          <w:sz w:val="21"/>
        </w:rPr>
      </w:pPr>
      <w:r>
        <w:rPr>
          <w:sz w:val="21"/>
        </w:rPr>
        <w:t>resolve the matter more quickly and</w:t>
      </w:r>
      <w:r>
        <w:rPr>
          <w:spacing w:val="1"/>
          <w:sz w:val="21"/>
        </w:rPr>
        <w:t> </w:t>
      </w:r>
      <w:r>
        <w:rPr>
          <w:sz w:val="21"/>
        </w:rPr>
        <w:t>efficiently</w:t>
      </w:r>
    </w:p>
    <w:p>
      <w:pPr>
        <w:pStyle w:val="ListParagraph"/>
        <w:numPr>
          <w:ilvl w:val="2"/>
          <w:numId w:val="133"/>
        </w:numPr>
        <w:tabs>
          <w:tab w:pos="2721" w:val="left" w:leader="none"/>
          <w:tab w:pos="2722" w:val="left" w:leader="none"/>
        </w:tabs>
        <w:spacing w:line="240" w:lineRule="auto" w:before="89" w:after="0"/>
        <w:ind w:left="2721" w:right="0" w:hanging="340"/>
        <w:jc w:val="left"/>
        <w:rPr>
          <w:sz w:val="21"/>
        </w:rPr>
      </w:pPr>
      <w:r>
        <w:rPr>
          <w:sz w:val="21"/>
        </w:rPr>
        <w:t>assist</w:t>
      </w:r>
      <w:r>
        <w:rPr>
          <w:spacing w:val="8"/>
          <w:sz w:val="21"/>
        </w:rPr>
        <w:t> </w:t>
      </w:r>
      <w:r>
        <w:rPr>
          <w:sz w:val="21"/>
        </w:rPr>
        <w:t>the</w:t>
      </w:r>
      <w:r>
        <w:rPr>
          <w:spacing w:val="9"/>
          <w:sz w:val="21"/>
        </w:rPr>
        <w:t> </w:t>
      </w:r>
      <w:r>
        <w:rPr>
          <w:sz w:val="21"/>
        </w:rPr>
        <w:t>parties</w:t>
      </w:r>
      <w:r>
        <w:rPr>
          <w:spacing w:val="9"/>
          <w:sz w:val="21"/>
        </w:rPr>
        <w:t> </w:t>
      </w:r>
      <w:r>
        <w:rPr>
          <w:spacing w:val="-3"/>
          <w:sz w:val="21"/>
        </w:rPr>
        <w:t>to</w:t>
      </w:r>
      <w:r>
        <w:rPr>
          <w:spacing w:val="9"/>
          <w:sz w:val="21"/>
        </w:rPr>
        <w:t> </w:t>
      </w:r>
      <w:r>
        <w:rPr>
          <w:spacing w:val="-3"/>
          <w:sz w:val="21"/>
        </w:rPr>
        <w:t>accept</w:t>
      </w:r>
      <w:r>
        <w:rPr>
          <w:spacing w:val="9"/>
          <w:sz w:val="21"/>
        </w:rPr>
        <w:t> </w:t>
      </w:r>
      <w:r>
        <w:rPr>
          <w:sz w:val="21"/>
        </w:rPr>
        <w:t>the</w:t>
      </w:r>
      <w:r>
        <w:rPr>
          <w:spacing w:val="9"/>
          <w:sz w:val="21"/>
        </w:rPr>
        <w:t> </w:t>
      </w:r>
      <w:r>
        <w:rPr>
          <w:sz w:val="21"/>
        </w:rPr>
        <w:t>final</w:t>
      </w:r>
      <w:r>
        <w:rPr>
          <w:spacing w:val="9"/>
          <w:sz w:val="21"/>
        </w:rPr>
        <w:t> </w:t>
      </w:r>
      <w:r>
        <w:rPr>
          <w:sz w:val="21"/>
        </w:rPr>
        <w:t>decision</w:t>
      </w:r>
      <w:r>
        <w:rPr>
          <w:spacing w:val="9"/>
          <w:sz w:val="21"/>
        </w:rPr>
        <w:t> </w:t>
      </w:r>
      <w:r>
        <w:rPr>
          <w:sz w:val="21"/>
        </w:rPr>
        <w:t>in</w:t>
      </w:r>
      <w:r>
        <w:rPr>
          <w:spacing w:val="9"/>
          <w:sz w:val="21"/>
        </w:rPr>
        <w:t> </w:t>
      </w:r>
      <w:r>
        <w:rPr>
          <w:sz w:val="21"/>
        </w:rPr>
        <w:t>the</w:t>
      </w:r>
      <w:r>
        <w:rPr>
          <w:spacing w:val="9"/>
          <w:sz w:val="21"/>
        </w:rPr>
        <w:t> </w:t>
      </w:r>
      <w:r>
        <w:rPr>
          <w:spacing w:val="-3"/>
          <w:sz w:val="21"/>
        </w:rPr>
        <w:t>hearing.</w:t>
      </w:r>
    </w:p>
    <w:p>
      <w:pPr>
        <w:pStyle w:val="ListParagraph"/>
        <w:numPr>
          <w:ilvl w:val="1"/>
          <w:numId w:val="133"/>
        </w:numPr>
        <w:tabs>
          <w:tab w:pos="2381" w:val="left" w:leader="none"/>
          <w:tab w:pos="2382" w:val="left" w:leader="none"/>
        </w:tabs>
        <w:spacing w:line="242" w:lineRule="auto" w:before="88" w:after="0"/>
        <w:ind w:left="2381" w:right="2156" w:hanging="794"/>
        <w:jc w:val="left"/>
        <w:rPr>
          <w:sz w:val="21"/>
        </w:rPr>
      </w:pPr>
      <w:r>
        <w:rPr>
          <w:sz w:val="21"/>
        </w:rPr>
        <w:t>This approach would also help </w:t>
      </w:r>
      <w:r>
        <w:rPr>
          <w:spacing w:val="-3"/>
          <w:sz w:val="21"/>
        </w:rPr>
        <w:t>to reduce </w:t>
      </w:r>
      <w:r>
        <w:rPr>
          <w:sz w:val="21"/>
        </w:rPr>
        <w:t>the </w:t>
      </w:r>
      <w:r>
        <w:rPr>
          <w:spacing w:val="-3"/>
          <w:sz w:val="21"/>
        </w:rPr>
        <w:t>incentive for </w:t>
      </w:r>
      <w:r>
        <w:rPr>
          <w:sz w:val="21"/>
        </w:rPr>
        <w:t>parties </w:t>
      </w:r>
      <w:r>
        <w:rPr>
          <w:spacing w:val="-3"/>
          <w:sz w:val="21"/>
        </w:rPr>
        <w:t>to hire </w:t>
      </w:r>
      <w:r>
        <w:rPr>
          <w:sz w:val="21"/>
        </w:rPr>
        <w:t>arborists </w:t>
      </w:r>
      <w:r>
        <w:rPr>
          <w:spacing w:val="-3"/>
          <w:sz w:val="21"/>
        </w:rPr>
        <w:t>to </w:t>
      </w:r>
      <w:r>
        <w:rPr>
          <w:sz w:val="21"/>
        </w:rPr>
        <w:t>simply advocate on their</w:t>
      </w:r>
      <w:r>
        <w:rPr>
          <w:spacing w:val="33"/>
          <w:sz w:val="21"/>
        </w:rPr>
        <w:t> </w:t>
      </w:r>
      <w:r>
        <w:rPr>
          <w:spacing w:val="-4"/>
          <w:sz w:val="21"/>
        </w:rPr>
        <w:t>behalf.</w:t>
      </w:r>
    </w:p>
    <w:p>
      <w:pPr>
        <w:pStyle w:val="ListParagraph"/>
        <w:numPr>
          <w:ilvl w:val="1"/>
          <w:numId w:val="133"/>
        </w:numPr>
        <w:tabs>
          <w:tab w:pos="2381" w:val="left" w:leader="none"/>
          <w:tab w:pos="2382" w:val="left" w:leader="none"/>
        </w:tabs>
        <w:spacing w:line="242" w:lineRule="auto" w:before="123" w:after="0"/>
        <w:ind w:left="2381" w:right="1799" w:hanging="794"/>
        <w:jc w:val="left"/>
        <w:rPr>
          <w:sz w:val="12"/>
        </w:rPr>
      </w:pPr>
      <w:r>
        <w:rPr>
          <w:w w:val="105"/>
          <w:sz w:val="21"/>
        </w:rPr>
        <w:t>One arborist provided the example of three arborists jointly </w:t>
      </w:r>
      <w:r>
        <w:rPr>
          <w:spacing w:val="-3"/>
          <w:w w:val="105"/>
          <w:sz w:val="21"/>
        </w:rPr>
        <w:t>conferring </w:t>
      </w:r>
      <w:r>
        <w:rPr>
          <w:w w:val="105"/>
          <w:sz w:val="21"/>
        </w:rPr>
        <w:t>in a </w:t>
      </w:r>
      <w:r>
        <w:rPr>
          <w:spacing w:val="-3"/>
          <w:w w:val="105"/>
          <w:sz w:val="21"/>
        </w:rPr>
        <w:t>coronial </w:t>
      </w:r>
      <w:r>
        <w:rPr>
          <w:spacing w:val="-4"/>
          <w:w w:val="105"/>
          <w:sz w:val="21"/>
        </w:rPr>
        <w:t>matter.</w:t>
      </w:r>
      <w:r>
        <w:rPr>
          <w:spacing w:val="-8"/>
          <w:w w:val="105"/>
          <w:sz w:val="21"/>
        </w:rPr>
        <w:t> </w:t>
      </w:r>
      <w:r>
        <w:rPr>
          <w:w w:val="105"/>
          <w:sz w:val="21"/>
        </w:rPr>
        <w:t>It</w:t>
      </w:r>
      <w:r>
        <w:rPr>
          <w:spacing w:val="-8"/>
          <w:w w:val="105"/>
          <w:sz w:val="21"/>
        </w:rPr>
        <w:t> </w:t>
      </w:r>
      <w:r>
        <w:rPr>
          <w:w w:val="105"/>
          <w:sz w:val="21"/>
        </w:rPr>
        <w:t>was</w:t>
      </w:r>
      <w:r>
        <w:rPr>
          <w:spacing w:val="-8"/>
          <w:w w:val="105"/>
          <w:sz w:val="21"/>
        </w:rPr>
        <w:t> </w:t>
      </w:r>
      <w:r>
        <w:rPr>
          <w:w w:val="105"/>
          <w:sz w:val="21"/>
        </w:rPr>
        <w:t>suggested</w:t>
      </w:r>
      <w:r>
        <w:rPr>
          <w:spacing w:val="-8"/>
          <w:w w:val="105"/>
          <w:sz w:val="21"/>
        </w:rPr>
        <w:t> </w:t>
      </w:r>
      <w:r>
        <w:rPr>
          <w:spacing w:val="-3"/>
          <w:w w:val="105"/>
          <w:sz w:val="21"/>
        </w:rPr>
        <w:t>that</w:t>
      </w:r>
      <w:r>
        <w:rPr>
          <w:spacing w:val="-8"/>
          <w:w w:val="105"/>
          <w:sz w:val="21"/>
        </w:rPr>
        <w:t> </w:t>
      </w:r>
      <w:r>
        <w:rPr>
          <w:w w:val="105"/>
          <w:sz w:val="21"/>
        </w:rPr>
        <w:t>this</w:t>
      </w:r>
      <w:r>
        <w:rPr>
          <w:spacing w:val="-8"/>
          <w:w w:val="105"/>
          <w:sz w:val="21"/>
        </w:rPr>
        <w:t> </w:t>
      </w:r>
      <w:r>
        <w:rPr>
          <w:w w:val="105"/>
          <w:sz w:val="21"/>
        </w:rPr>
        <w:t>process</w:t>
      </w:r>
      <w:r>
        <w:rPr>
          <w:spacing w:val="-8"/>
          <w:w w:val="105"/>
          <w:sz w:val="21"/>
        </w:rPr>
        <w:t> </w:t>
      </w:r>
      <w:r>
        <w:rPr>
          <w:w w:val="105"/>
          <w:sz w:val="21"/>
        </w:rPr>
        <w:t>took</w:t>
      </w:r>
      <w:r>
        <w:rPr>
          <w:spacing w:val="-8"/>
          <w:w w:val="105"/>
          <w:sz w:val="21"/>
        </w:rPr>
        <w:t> </w:t>
      </w:r>
      <w:r>
        <w:rPr>
          <w:spacing w:val="-3"/>
          <w:w w:val="105"/>
          <w:sz w:val="21"/>
        </w:rPr>
        <w:t>approximately</w:t>
      </w:r>
      <w:r>
        <w:rPr>
          <w:spacing w:val="-8"/>
          <w:w w:val="105"/>
          <w:sz w:val="21"/>
        </w:rPr>
        <w:t> </w:t>
      </w:r>
      <w:r>
        <w:rPr>
          <w:w w:val="105"/>
          <w:sz w:val="21"/>
        </w:rPr>
        <w:t>two</w:t>
      </w:r>
      <w:r>
        <w:rPr>
          <w:spacing w:val="-7"/>
          <w:w w:val="105"/>
          <w:sz w:val="21"/>
        </w:rPr>
        <w:t> </w:t>
      </w:r>
      <w:r>
        <w:rPr>
          <w:w w:val="105"/>
          <w:sz w:val="21"/>
        </w:rPr>
        <w:t>hours</w:t>
      </w:r>
      <w:r>
        <w:rPr>
          <w:spacing w:val="-8"/>
          <w:w w:val="105"/>
          <w:sz w:val="21"/>
        </w:rPr>
        <w:t> </w:t>
      </w:r>
      <w:r>
        <w:rPr>
          <w:w w:val="105"/>
          <w:sz w:val="21"/>
        </w:rPr>
        <w:t>whereas</w:t>
      </w:r>
      <w:r>
        <w:rPr>
          <w:spacing w:val="-8"/>
          <w:w w:val="105"/>
          <w:sz w:val="21"/>
        </w:rPr>
        <w:t> </w:t>
      </w:r>
      <w:r>
        <w:rPr>
          <w:w w:val="105"/>
          <w:sz w:val="21"/>
        </w:rPr>
        <w:t>it</w:t>
      </w:r>
      <w:r>
        <w:rPr>
          <w:spacing w:val="-8"/>
          <w:w w:val="105"/>
          <w:sz w:val="21"/>
        </w:rPr>
        <w:t> </w:t>
      </w:r>
      <w:r>
        <w:rPr>
          <w:w w:val="105"/>
          <w:sz w:val="21"/>
        </w:rPr>
        <w:t>was </w:t>
      </w:r>
      <w:r>
        <w:rPr>
          <w:spacing w:val="-2"/>
          <w:w w:val="105"/>
          <w:sz w:val="21"/>
        </w:rPr>
        <w:t>estimated </w:t>
      </w:r>
      <w:r>
        <w:rPr>
          <w:spacing w:val="-3"/>
          <w:w w:val="105"/>
          <w:sz w:val="21"/>
        </w:rPr>
        <w:t>that </w:t>
      </w:r>
      <w:r>
        <w:rPr>
          <w:w w:val="105"/>
          <w:sz w:val="21"/>
        </w:rPr>
        <w:t>it </w:t>
      </w:r>
      <w:r>
        <w:rPr>
          <w:spacing w:val="-3"/>
          <w:w w:val="105"/>
          <w:sz w:val="21"/>
        </w:rPr>
        <w:t>may have taken </w:t>
      </w:r>
      <w:r>
        <w:rPr>
          <w:w w:val="105"/>
          <w:sz w:val="21"/>
        </w:rPr>
        <w:t>two days </w:t>
      </w:r>
      <w:r>
        <w:rPr>
          <w:spacing w:val="-3"/>
          <w:w w:val="105"/>
          <w:sz w:val="21"/>
        </w:rPr>
        <w:t>for </w:t>
      </w:r>
      <w:r>
        <w:rPr>
          <w:w w:val="105"/>
          <w:sz w:val="21"/>
        </w:rPr>
        <w:t>the arborists </w:t>
      </w:r>
      <w:r>
        <w:rPr>
          <w:spacing w:val="-3"/>
          <w:w w:val="105"/>
          <w:sz w:val="21"/>
        </w:rPr>
        <w:t>to </w:t>
      </w:r>
      <w:r>
        <w:rPr>
          <w:w w:val="105"/>
          <w:sz w:val="21"/>
        </w:rPr>
        <w:t>provide their evidence </w:t>
      </w:r>
      <w:r>
        <w:rPr>
          <w:spacing w:val="-3"/>
          <w:w w:val="105"/>
          <w:sz w:val="21"/>
        </w:rPr>
        <w:t>individually.</w:t>
      </w:r>
      <w:r>
        <w:rPr>
          <w:spacing w:val="-3"/>
          <w:w w:val="105"/>
          <w:position w:val="7"/>
          <w:sz w:val="12"/>
        </w:rPr>
        <w:t>237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r>
        <w:rPr/>
        <w:pict>
          <v:line style="position:absolute;mso-position-horizontal-relative:page;mso-position-vertical-relative:paragraph;z-index:8264;mso-wrap-distance-left:0;mso-wrap-distance-right:0" from="79.370102pt,20.452591pt" to="515.905102pt,20.452591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40"/>
        </w:numPr>
        <w:tabs>
          <w:tab w:pos="2380" w:val="left" w:leader="none"/>
          <w:tab w:pos="2382" w:val="left" w:leader="none"/>
        </w:tabs>
        <w:spacing w:line="240" w:lineRule="auto" w:before="48" w:after="0"/>
        <w:ind w:left="2381" w:right="406" w:hanging="794"/>
        <w:jc w:val="left"/>
        <w:rPr>
          <w:sz w:val="13"/>
        </w:rPr>
      </w:pPr>
      <w:r>
        <w:rPr>
          <w:i/>
          <w:w w:val="105"/>
          <w:sz w:val="13"/>
        </w:rPr>
        <w:t>Victorian </w:t>
      </w:r>
      <w:r>
        <w:rPr>
          <w:w w:val="105"/>
          <w:sz w:val="13"/>
        </w:rPr>
        <w:t>Civil and Administrative Tribunal, </w:t>
      </w:r>
      <w:r>
        <w:rPr>
          <w:i/>
          <w:w w:val="105"/>
          <w:sz w:val="13"/>
        </w:rPr>
        <w:t>Practice Note PNVCAT2: </w:t>
      </w:r>
      <w:r>
        <w:rPr>
          <w:i/>
          <w:spacing w:val="2"/>
          <w:w w:val="105"/>
          <w:sz w:val="13"/>
        </w:rPr>
        <w:t>Expert </w:t>
      </w:r>
      <w:r>
        <w:rPr>
          <w:i/>
          <w:w w:val="105"/>
          <w:sz w:val="13"/>
        </w:rPr>
        <w:t>Evidence, </w:t>
      </w:r>
      <w:r>
        <w:rPr>
          <w:w w:val="105"/>
          <w:sz w:val="13"/>
        </w:rPr>
        <w:t>1 October 2014, 3; see also </w:t>
      </w:r>
      <w:r>
        <w:rPr>
          <w:i/>
          <w:w w:val="105"/>
          <w:sz w:val="13"/>
        </w:rPr>
        <w:t>Victorian Civil and </w:t>
      </w:r>
      <w:r>
        <w:rPr>
          <w:i/>
          <w:w w:val="105"/>
          <w:sz w:val="13"/>
        </w:rPr>
        <w:t>Administrative Tribunal Act 1998 </w:t>
      </w:r>
      <w:r>
        <w:rPr>
          <w:spacing w:val="2"/>
          <w:w w:val="105"/>
          <w:sz w:val="13"/>
        </w:rPr>
        <w:t>(Vic) </w:t>
      </w:r>
      <w:r>
        <w:rPr>
          <w:w w:val="105"/>
          <w:sz w:val="13"/>
        </w:rPr>
        <w:t>sch</w:t>
      </w:r>
      <w:r>
        <w:rPr>
          <w:spacing w:val="25"/>
          <w:w w:val="105"/>
          <w:sz w:val="13"/>
        </w:rPr>
        <w:t> </w:t>
      </w:r>
      <w:r>
        <w:rPr>
          <w:w w:val="105"/>
          <w:sz w:val="13"/>
        </w:rPr>
        <w:t>3.</w:t>
      </w:r>
    </w:p>
    <w:p>
      <w:pPr>
        <w:pStyle w:val="ListParagraph"/>
        <w:numPr>
          <w:ilvl w:val="0"/>
          <w:numId w:val="140"/>
        </w:numPr>
        <w:tabs>
          <w:tab w:pos="2381" w:val="left" w:leader="none"/>
          <w:tab w:pos="2382" w:val="left" w:leader="none"/>
        </w:tabs>
        <w:spacing w:line="240" w:lineRule="auto" w:before="3" w:after="0"/>
        <w:ind w:left="2381" w:right="0" w:hanging="794"/>
        <w:jc w:val="left"/>
        <w:rPr>
          <w:sz w:val="13"/>
        </w:rPr>
      </w:pPr>
      <w:r>
        <w:rPr>
          <w:i/>
          <w:w w:val="105"/>
          <w:sz w:val="13"/>
        </w:rPr>
        <w:t>Victorian Civil and Administrative Tribunal 1998 </w:t>
      </w:r>
      <w:r>
        <w:rPr>
          <w:spacing w:val="2"/>
          <w:w w:val="105"/>
          <w:sz w:val="13"/>
        </w:rPr>
        <w:t>(Vic) </w:t>
      </w:r>
      <w:r>
        <w:rPr>
          <w:w w:val="105"/>
          <w:sz w:val="13"/>
        </w:rPr>
        <w:t>sch 3; see also Victorian Civil and Administrative Tribunal (VCAT), </w:t>
      </w:r>
      <w:r>
        <w:rPr>
          <w:i/>
          <w:w w:val="105"/>
          <w:sz w:val="13"/>
        </w:rPr>
        <w:t>VCAT Practice Note </w:t>
      </w:r>
      <w:r>
        <w:rPr>
          <w:i/>
          <w:w w:val="105"/>
          <w:sz w:val="13"/>
        </w:rPr>
        <w:t>PNVCAT2: </w:t>
      </w:r>
      <w:r>
        <w:rPr>
          <w:i/>
          <w:spacing w:val="2"/>
          <w:w w:val="105"/>
          <w:sz w:val="13"/>
        </w:rPr>
        <w:t>Expert </w:t>
      </w:r>
      <w:r>
        <w:rPr>
          <w:i/>
          <w:w w:val="105"/>
          <w:sz w:val="13"/>
        </w:rPr>
        <w:t>Evidence, </w:t>
      </w:r>
      <w:r>
        <w:rPr>
          <w:w w:val="105"/>
          <w:sz w:val="13"/>
        </w:rPr>
        <w:t>1 October 2014,</w:t>
      </w:r>
      <w:r>
        <w:rPr>
          <w:spacing w:val="27"/>
          <w:w w:val="105"/>
          <w:sz w:val="13"/>
        </w:rPr>
        <w:t> </w:t>
      </w:r>
      <w:r>
        <w:rPr>
          <w:w w:val="105"/>
          <w:sz w:val="13"/>
        </w:rPr>
        <w:t>6.</w:t>
      </w:r>
    </w:p>
    <w:p>
      <w:pPr>
        <w:pStyle w:val="ListParagraph"/>
        <w:numPr>
          <w:ilvl w:val="0"/>
          <w:numId w:val="140"/>
        </w:numPr>
        <w:tabs>
          <w:tab w:pos="2381" w:val="left" w:leader="none"/>
          <w:tab w:pos="2382" w:val="left" w:leader="none"/>
        </w:tabs>
        <w:spacing w:line="240" w:lineRule="auto" w:before="2" w:after="0"/>
        <w:ind w:left="2381" w:right="0" w:hanging="794"/>
        <w:jc w:val="left"/>
        <w:rPr>
          <w:sz w:val="13"/>
        </w:rPr>
      </w:pPr>
      <w:r>
        <w:rPr>
          <w:w w:val="105"/>
          <w:sz w:val="13"/>
        </w:rPr>
        <w:t>Consultation 4 (Participants in facilitated discussion at </w:t>
      </w:r>
      <w:r>
        <w:rPr>
          <w:spacing w:val="4"/>
          <w:w w:val="105"/>
          <w:sz w:val="13"/>
        </w:rPr>
        <w:t>VTIO</w:t>
      </w:r>
      <w:r>
        <w:rPr>
          <w:spacing w:val="5"/>
          <w:w w:val="105"/>
          <w:sz w:val="13"/>
        </w:rPr>
        <w:t> </w:t>
      </w:r>
      <w:r>
        <w:rPr>
          <w:w w:val="105"/>
          <w:sz w:val="13"/>
        </w:rPr>
        <w:t>ArborCamp2018).</w:t>
      </w:r>
    </w:p>
    <w:p>
      <w:pPr>
        <w:pStyle w:val="BodyText"/>
        <w:rPr>
          <w:sz w:val="28"/>
        </w:rPr>
      </w:pPr>
      <w:r>
        <w:rPr/>
        <w:br w:type="column"/>
      </w:r>
      <w:r>
        <w:rPr>
          <w:sz w:val="28"/>
        </w:rPr>
      </w:r>
    </w:p>
    <w:p>
      <w:pPr>
        <w:spacing w:before="241"/>
        <w:ind w:left="627" w:right="574" w:firstLine="0"/>
        <w:jc w:val="center"/>
        <w:rPr>
          <w:b/>
          <w:sz w:val="24"/>
        </w:rPr>
      </w:pPr>
      <w:r>
        <w:rPr>
          <w:b/>
          <w:color w:val="658464"/>
          <w:w w:val="110"/>
          <w:sz w:val="24"/>
        </w:rPr>
        <w:t>189</w:t>
      </w:r>
    </w:p>
    <w:p>
      <w:pPr>
        <w:spacing w:after="0"/>
        <w:jc w:val="center"/>
        <w:rPr>
          <w:sz w:val="24"/>
        </w:rPr>
        <w:sectPr>
          <w:type w:val="continuous"/>
          <w:pgSz w:w="11910" w:h="16840"/>
          <w:pgMar w:top="300" w:bottom="280" w:left="0" w:right="0"/>
          <w:cols w:num="2" w:equalWidth="0">
            <w:col w:w="10225" w:space="40"/>
            <w:col w:w="1645"/>
          </w:cols>
        </w:sectPr>
      </w:pPr>
    </w:p>
    <w:p>
      <w:pPr>
        <w:pStyle w:val="BodyText"/>
        <w:spacing w:before="11"/>
        <w:rPr>
          <w:b/>
        </w:rPr>
      </w:pPr>
    </w:p>
    <w:p>
      <w:pPr>
        <w:spacing w:before="96"/>
        <w:ind w:left="1587" w:right="0" w:firstLine="0"/>
        <w:jc w:val="left"/>
        <w:rPr>
          <w:b/>
          <w:sz w:val="24"/>
        </w:rPr>
      </w:pPr>
      <w:bookmarkStart w:name="_bookmark102" w:id="213"/>
      <w:bookmarkEnd w:id="213"/>
      <w:r>
        <w:rPr/>
      </w:r>
      <w:r>
        <w:rPr>
          <w:b/>
          <w:w w:val="115"/>
          <w:sz w:val="24"/>
        </w:rPr>
        <w:t>Guidelines for written reports</w:t>
      </w:r>
    </w:p>
    <w:p>
      <w:pPr>
        <w:pStyle w:val="ListParagraph"/>
        <w:numPr>
          <w:ilvl w:val="1"/>
          <w:numId w:val="133"/>
        </w:numPr>
        <w:tabs>
          <w:tab w:pos="2380" w:val="left" w:leader="none"/>
          <w:tab w:pos="2381" w:val="left" w:leader="none"/>
        </w:tabs>
        <w:spacing w:line="242" w:lineRule="auto" w:before="137" w:after="0"/>
        <w:ind w:left="2381" w:right="1601" w:hanging="794"/>
        <w:jc w:val="left"/>
        <w:rPr>
          <w:sz w:val="12"/>
        </w:rPr>
      </w:pPr>
      <w:r>
        <w:rPr>
          <w:sz w:val="21"/>
        </w:rPr>
        <w:t>In </w:t>
      </w:r>
      <w:r>
        <w:rPr>
          <w:spacing w:val="-3"/>
          <w:sz w:val="21"/>
        </w:rPr>
        <w:t>accordance </w:t>
      </w:r>
      <w:r>
        <w:rPr>
          <w:sz w:val="21"/>
        </w:rPr>
        <w:t>with existing </w:t>
      </w:r>
      <w:r>
        <w:rPr>
          <w:spacing w:val="-5"/>
          <w:sz w:val="21"/>
        </w:rPr>
        <w:t>VCAT </w:t>
      </w:r>
      <w:r>
        <w:rPr>
          <w:spacing w:val="-3"/>
          <w:sz w:val="21"/>
        </w:rPr>
        <w:t>procedure, </w:t>
      </w:r>
      <w:r>
        <w:rPr>
          <w:sz w:val="21"/>
        </w:rPr>
        <w:t>experts engaged by the </w:t>
      </w:r>
      <w:r>
        <w:rPr>
          <w:spacing w:val="-5"/>
          <w:sz w:val="21"/>
        </w:rPr>
        <w:t>Tribunal </w:t>
      </w:r>
      <w:r>
        <w:rPr>
          <w:sz w:val="21"/>
        </w:rPr>
        <w:t>or by  the parties </w:t>
      </w:r>
      <w:r>
        <w:rPr>
          <w:spacing w:val="-3"/>
          <w:sz w:val="21"/>
        </w:rPr>
        <w:t>to </w:t>
      </w:r>
      <w:r>
        <w:rPr>
          <w:sz w:val="21"/>
        </w:rPr>
        <w:t>the </w:t>
      </w:r>
      <w:r>
        <w:rPr>
          <w:spacing w:val="-3"/>
          <w:sz w:val="21"/>
        </w:rPr>
        <w:t>dispute </w:t>
      </w:r>
      <w:r>
        <w:rPr>
          <w:sz w:val="21"/>
        </w:rPr>
        <w:t>should </w:t>
      </w:r>
      <w:r>
        <w:rPr>
          <w:spacing w:val="-3"/>
          <w:sz w:val="21"/>
        </w:rPr>
        <w:t>submit  </w:t>
      </w:r>
      <w:r>
        <w:rPr>
          <w:sz w:val="21"/>
        </w:rPr>
        <w:t>a written report </w:t>
      </w:r>
      <w:r>
        <w:rPr>
          <w:spacing w:val="-3"/>
          <w:sz w:val="21"/>
        </w:rPr>
        <w:t>adhering</w:t>
      </w:r>
      <w:r>
        <w:rPr>
          <w:spacing w:val="41"/>
          <w:sz w:val="21"/>
        </w:rPr>
        <w:t> </w:t>
      </w:r>
      <w:r>
        <w:rPr>
          <w:spacing w:val="-3"/>
          <w:sz w:val="21"/>
        </w:rPr>
        <w:t>to  </w:t>
      </w:r>
      <w:r>
        <w:rPr>
          <w:sz w:val="21"/>
        </w:rPr>
        <w:t>the </w:t>
      </w:r>
      <w:r>
        <w:rPr>
          <w:spacing w:val="-3"/>
          <w:sz w:val="21"/>
        </w:rPr>
        <w:t>requirements  </w:t>
      </w:r>
      <w:r>
        <w:rPr>
          <w:sz w:val="21"/>
        </w:rPr>
        <w:t>set out in </w:t>
      </w:r>
      <w:r>
        <w:rPr>
          <w:spacing w:val="-3"/>
          <w:sz w:val="21"/>
        </w:rPr>
        <w:t>clause </w:t>
      </w:r>
      <w:r>
        <w:rPr>
          <w:spacing w:val="-12"/>
          <w:sz w:val="21"/>
        </w:rPr>
        <w:t>11 </w:t>
      </w:r>
      <w:r>
        <w:rPr>
          <w:sz w:val="21"/>
        </w:rPr>
        <w:t>of </w:t>
      </w:r>
      <w:r>
        <w:rPr>
          <w:spacing w:val="-6"/>
          <w:sz w:val="21"/>
        </w:rPr>
        <w:t>VCAT’s </w:t>
      </w:r>
      <w:r>
        <w:rPr>
          <w:sz w:val="21"/>
        </w:rPr>
        <w:t>Practice Note</w:t>
      </w:r>
      <w:r>
        <w:rPr>
          <w:spacing w:val="-26"/>
          <w:sz w:val="21"/>
        </w:rPr>
        <w:t> </w:t>
      </w:r>
      <w:r>
        <w:rPr>
          <w:sz w:val="21"/>
        </w:rPr>
        <w:t>PNVCAT2.</w:t>
      </w:r>
      <w:r>
        <w:rPr>
          <w:position w:val="7"/>
          <w:sz w:val="12"/>
        </w:rPr>
        <w:t>238</w:t>
      </w:r>
    </w:p>
    <w:p>
      <w:pPr>
        <w:pStyle w:val="ListParagraph"/>
        <w:numPr>
          <w:ilvl w:val="1"/>
          <w:numId w:val="133"/>
        </w:numPr>
        <w:tabs>
          <w:tab w:pos="2380" w:val="left" w:leader="none"/>
          <w:tab w:pos="2381" w:val="left" w:leader="none"/>
        </w:tabs>
        <w:spacing w:line="242" w:lineRule="auto" w:before="123" w:after="0"/>
        <w:ind w:left="2381" w:right="1680" w:hanging="794"/>
        <w:jc w:val="left"/>
        <w:rPr>
          <w:sz w:val="21"/>
        </w:rPr>
      </w:pPr>
      <w:r>
        <w:rPr>
          <w:spacing w:val="-3"/>
          <w:w w:val="105"/>
          <w:sz w:val="21"/>
        </w:rPr>
        <w:t>Additional requirements </w:t>
      </w:r>
      <w:r>
        <w:rPr>
          <w:w w:val="105"/>
          <w:sz w:val="21"/>
        </w:rPr>
        <w:t>should apply </w:t>
      </w:r>
      <w:r>
        <w:rPr>
          <w:spacing w:val="-3"/>
          <w:w w:val="105"/>
          <w:sz w:val="21"/>
        </w:rPr>
        <w:t>to </w:t>
      </w:r>
      <w:r>
        <w:rPr>
          <w:w w:val="105"/>
          <w:sz w:val="21"/>
        </w:rPr>
        <w:t>written reports </w:t>
      </w:r>
      <w:r>
        <w:rPr>
          <w:spacing w:val="-3"/>
          <w:w w:val="105"/>
          <w:sz w:val="21"/>
        </w:rPr>
        <w:t>from </w:t>
      </w:r>
      <w:r>
        <w:rPr>
          <w:w w:val="105"/>
          <w:sz w:val="21"/>
        </w:rPr>
        <w:t>arborists, given </w:t>
      </w:r>
      <w:r>
        <w:rPr>
          <w:spacing w:val="-3"/>
          <w:w w:val="105"/>
          <w:sz w:val="21"/>
        </w:rPr>
        <w:t>that </w:t>
      </w:r>
      <w:r>
        <w:rPr>
          <w:w w:val="105"/>
          <w:sz w:val="21"/>
        </w:rPr>
        <w:t>the quality of </w:t>
      </w:r>
      <w:r>
        <w:rPr>
          <w:spacing w:val="-3"/>
          <w:w w:val="105"/>
          <w:sz w:val="21"/>
        </w:rPr>
        <w:t>arboricultural </w:t>
      </w:r>
      <w:r>
        <w:rPr>
          <w:w w:val="105"/>
          <w:sz w:val="21"/>
        </w:rPr>
        <w:t>reporting can </w:t>
      </w:r>
      <w:r>
        <w:rPr>
          <w:spacing w:val="-3"/>
          <w:w w:val="105"/>
          <w:sz w:val="21"/>
        </w:rPr>
        <w:t>vary. </w:t>
      </w:r>
      <w:r>
        <w:rPr>
          <w:w w:val="105"/>
          <w:sz w:val="21"/>
        </w:rPr>
        <w:t>The </w:t>
      </w:r>
      <w:r>
        <w:rPr>
          <w:spacing w:val="-3"/>
          <w:w w:val="105"/>
          <w:sz w:val="21"/>
        </w:rPr>
        <w:t>Commission </w:t>
      </w:r>
      <w:r>
        <w:rPr>
          <w:spacing w:val="-2"/>
          <w:w w:val="105"/>
          <w:sz w:val="21"/>
        </w:rPr>
        <w:t>has </w:t>
      </w:r>
      <w:r>
        <w:rPr>
          <w:w w:val="105"/>
          <w:sz w:val="21"/>
        </w:rPr>
        <w:t>identified </w:t>
      </w:r>
      <w:r>
        <w:rPr>
          <w:spacing w:val="-3"/>
          <w:w w:val="105"/>
          <w:sz w:val="21"/>
        </w:rPr>
        <w:t>additional requirements from </w:t>
      </w:r>
      <w:r>
        <w:rPr>
          <w:w w:val="105"/>
          <w:sz w:val="21"/>
        </w:rPr>
        <w:t>the </w:t>
      </w:r>
      <w:r>
        <w:rPr>
          <w:spacing w:val="-4"/>
          <w:w w:val="105"/>
          <w:sz w:val="21"/>
        </w:rPr>
        <w:t>Council </w:t>
      </w:r>
      <w:r>
        <w:rPr>
          <w:spacing w:val="-3"/>
          <w:w w:val="105"/>
          <w:sz w:val="21"/>
        </w:rPr>
        <w:t>Arboriculture </w:t>
      </w:r>
      <w:r>
        <w:rPr>
          <w:w w:val="105"/>
          <w:sz w:val="21"/>
        </w:rPr>
        <w:t>Victoria, </w:t>
      </w:r>
      <w:r>
        <w:rPr>
          <w:spacing w:val="-3"/>
          <w:w w:val="105"/>
          <w:sz w:val="21"/>
        </w:rPr>
        <w:t>Arboricultural </w:t>
      </w:r>
      <w:r>
        <w:rPr>
          <w:w w:val="105"/>
          <w:sz w:val="21"/>
        </w:rPr>
        <w:t>Reporting </w:t>
      </w:r>
      <w:r>
        <w:rPr>
          <w:spacing w:val="-3"/>
          <w:w w:val="105"/>
          <w:sz w:val="21"/>
        </w:rPr>
        <w:t>Guidelines for </w:t>
      </w:r>
      <w:r>
        <w:rPr>
          <w:w w:val="105"/>
          <w:sz w:val="21"/>
        </w:rPr>
        <w:t>Development.</w:t>
      </w:r>
      <w:r>
        <w:rPr>
          <w:w w:val="105"/>
          <w:position w:val="7"/>
          <w:sz w:val="12"/>
        </w:rPr>
        <w:t>239 </w:t>
      </w:r>
      <w:r>
        <w:rPr>
          <w:w w:val="105"/>
          <w:sz w:val="21"/>
        </w:rPr>
        <w:t>They</w:t>
      </w:r>
      <w:r>
        <w:rPr>
          <w:spacing w:val="12"/>
          <w:w w:val="105"/>
          <w:sz w:val="21"/>
        </w:rPr>
        <w:t> </w:t>
      </w:r>
      <w:r>
        <w:rPr>
          <w:w w:val="105"/>
          <w:sz w:val="21"/>
        </w:rPr>
        <w:t>are:</w:t>
      </w:r>
    </w:p>
    <w:p>
      <w:pPr>
        <w:pStyle w:val="ListParagraph"/>
        <w:numPr>
          <w:ilvl w:val="2"/>
          <w:numId w:val="133"/>
        </w:numPr>
        <w:tabs>
          <w:tab w:pos="2721" w:val="left" w:leader="none"/>
          <w:tab w:pos="2722" w:val="left" w:leader="none"/>
        </w:tabs>
        <w:spacing w:line="242" w:lineRule="auto" w:before="125" w:after="0"/>
        <w:ind w:left="2721" w:right="2102" w:hanging="340"/>
        <w:jc w:val="left"/>
        <w:rPr>
          <w:sz w:val="21"/>
        </w:rPr>
      </w:pPr>
      <w:r>
        <w:rPr>
          <w:w w:val="105"/>
          <w:sz w:val="21"/>
        </w:rPr>
        <w:t>a</w:t>
      </w:r>
      <w:r>
        <w:rPr>
          <w:spacing w:val="-12"/>
          <w:w w:val="105"/>
          <w:sz w:val="21"/>
        </w:rPr>
        <w:t> </w:t>
      </w:r>
      <w:r>
        <w:rPr>
          <w:spacing w:val="-3"/>
          <w:w w:val="105"/>
          <w:sz w:val="21"/>
        </w:rPr>
        <w:t>requirement</w:t>
      </w:r>
      <w:r>
        <w:rPr>
          <w:spacing w:val="-12"/>
          <w:w w:val="105"/>
          <w:sz w:val="21"/>
        </w:rPr>
        <w:t> </w:t>
      </w:r>
      <w:r>
        <w:rPr>
          <w:spacing w:val="-3"/>
          <w:w w:val="105"/>
          <w:sz w:val="21"/>
        </w:rPr>
        <w:t>that</w:t>
      </w:r>
      <w:r>
        <w:rPr>
          <w:spacing w:val="-11"/>
          <w:w w:val="105"/>
          <w:sz w:val="21"/>
        </w:rPr>
        <w:t> </w:t>
      </w:r>
      <w:r>
        <w:rPr>
          <w:w w:val="105"/>
          <w:sz w:val="21"/>
        </w:rPr>
        <w:t>the</w:t>
      </w:r>
      <w:r>
        <w:rPr>
          <w:spacing w:val="-12"/>
          <w:w w:val="105"/>
          <w:sz w:val="21"/>
        </w:rPr>
        <w:t> </w:t>
      </w:r>
      <w:r>
        <w:rPr>
          <w:w w:val="105"/>
          <w:sz w:val="21"/>
        </w:rPr>
        <w:t>on-site</w:t>
      </w:r>
      <w:r>
        <w:rPr>
          <w:spacing w:val="-12"/>
          <w:w w:val="105"/>
          <w:sz w:val="21"/>
        </w:rPr>
        <w:t> </w:t>
      </w:r>
      <w:r>
        <w:rPr>
          <w:w w:val="105"/>
          <w:sz w:val="21"/>
        </w:rPr>
        <w:t>assessment</w:t>
      </w:r>
      <w:r>
        <w:rPr>
          <w:spacing w:val="-11"/>
          <w:w w:val="105"/>
          <w:sz w:val="21"/>
        </w:rPr>
        <w:t> </w:t>
      </w:r>
      <w:r>
        <w:rPr>
          <w:spacing w:val="-2"/>
          <w:w w:val="105"/>
          <w:sz w:val="21"/>
        </w:rPr>
        <w:t>has</w:t>
      </w:r>
      <w:r>
        <w:rPr>
          <w:spacing w:val="-12"/>
          <w:w w:val="105"/>
          <w:sz w:val="21"/>
        </w:rPr>
        <w:t> </w:t>
      </w:r>
      <w:r>
        <w:rPr>
          <w:w w:val="105"/>
          <w:sz w:val="21"/>
        </w:rPr>
        <w:t>been</w:t>
      </w:r>
      <w:r>
        <w:rPr>
          <w:spacing w:val="-12"/>
          <w:w w:val="105"/>
          <w:sz w:val="21"/>
        </w:rPr>
        <w:t> </w:t>
      </w:r>
      <w:r>
        <w:rPr>
          <w:w w:val="105"/>
          <w:sz w:val="21"/>
        </w:rPr>
        <w:t>undertaken</w:t>
      </w:r>
      <w:r>
        <w:rPr>
          <w:spacing w:val="-11"/>
          <w:w w:val="105"/>
          <w:sz w:val="21"/>
        </w:rPr>
        <w:t> </w:t>
      </w:r>
      <w:r>
        <w:rPr>
          <w:spacing w:val="-3"/>
          <w:w w:val="105"/>
          <w:sz w:val="21"/>
        </w:rPr>
        <w:t>within</w:t>
      </w:r>
      <w:r>
        <w:rPr>
          <w:spacing w:val="-12"/>
          <w:w w:val="105"/>
          <w:sz w:val="21"/>
        </w:rPr>
        <w:t> </w:t>
      </w:r>
      <w:r>
        <w:rPr>
          <w:w w:val="105"/>
          <w:sz w:val="21"/>
        </w:rPr>
        <w:t>the</w:t>
      </w:r>
      <w:r>
        <w:rPr>
          <w:spacing w:val="-12"/>
          <w:w w:val="105"/>
          <w:sz w:val="21"/>
        </w:rPr>
        <w:t> </w:t>
      </w:r>
      <w:r>
        <w:rPr>
          <w:w w:val="105"/>
          <w:sz w:val="21"/>
        </w:rPr>
        <w:t>three </w:t>
      </w:r>
      <w:r>
        <w:rPr>
          <w:spacing w:val="-3"/>
          <w:w w:val="105"/>
          <w:sz w:val="21"/>
        </w:rPr>
        <w:t>months preceding </w:t>
      </w:r>
      <w:r>
        <w:rPr>
          <w:w w:val="105"/>
          <w:sz w:val="21"/>
        </w:rPr>
        <w:t>the</w:t>
      </w:r>
      <w:r>
        <w:rPr>
          <w:spacing w:val="22"/>
          <w:w w:val="105"/>
          <w:sz w:val="21"/>
        </w:rPr>
        <w:t> </w:t>
      </w:r>
      <w:r>
        <w:rPr>
          <w:spacing w:val="-3"/>
          <w:w w:val="105"/>
          <w:sz w:val="21"/>
        </w:rPr>
        <w:t>hearing</w:t>
      </w:r>
    </w:p>
    <w:p>
      <w:pPr>
        <w:pStyle w:val="ListParagraph"/>
        <w:numPr>
          <w:ilvl w:val="2"/>
          <w:numId w:val="133"/>
        </w:numPr>
        <w:tabs>
          <w:tab w:pos="2721" w:val="left" w:leader="none"/>
          <w:tab w:pos="2722" w:val="left" w:leader="none"/>
        </w:tabs>
        <w:spacing w:line="242" w:lineRule="auto" w:before="87" w:after="0"/>
        <w:ind w:left="2721" w:right="1666" w:hanging="340"/>
        <w:jc w:val="left"/>
        <w:rPr>
          <w:sz w:val="21"/>
        </w:rPr>
      </w:pPr>
      <w:r>
        <w:rPr>
          <w:w w:val="105"/>
          <w:sz w:val="21"/>
        </w:rPr>
        <w:t>a</w:t>
      </w:r>
      <w:r>
        <w:rPr>
          <w:spacing w:val="-9"/>
          <w:w w:val="105"/>
          <w:sz w:val="21"/>
        </w:rPr>
        <w:t> </w:t>
      </w:r>
      <w:r>
        <w:rPr>
          <w:w w:val="105"/>
          <w:sz w:val="21"/>
        </w:rPr>
        <w:t>detailed</w:t>
      </w:r>
      <w:r>
        <w:rPr>
          <w:spacing w:val="-8"/>
          <w:w w:val="105"/>
          <w:sz w:val="21"/>
        </w:rPr>
        <w:t> </w:t>
      </w:r>
      <w:r>
        <w:rPr>
          <w:w w:val="105"/>
          <w:sz w:val="21"/>
        </w:rPr>
        <w:t>description</w:t>
      </w:r>
      <w:r>
        <w:rPr>
          <w:spacing w:val="-9"/>
          <w:w w:val="105"/>
          <w:sz w:val="21"/>
        </w:rPr>
        <w:t> </w:t>
      </w:r>
      <w:r>
        <w:rPr>
          <w:w w:val="105"/>
          <w:sz w:val="21"/>
        </w:rPr>
        <w:t>of</w:t>
      </w:r>
      <w:r>
        <w:rPr>
          <w:spacing w:val="-8"/>
          <w:w w:val="105"/>
          <w:sz w:val="21"/>
        </w:rPr>
        <w:t> </w:t>
      </w:r>
      <w:r>
        <w:rPr>
          <w:w w:val="105"/>
          <w:sz w:val="21"/>
        </w:rPr>
        <w:t>the</w:t>
      </w:r>
      <w:r>
        <w:rPr>
          <w:spacing w:val="-9"/>
          <w:w w:val="105"/>
          <w:sz w:val="21"/>
        </w:rPr>
        <w:t> </w:t>
      </w:r>
      <w:r>
        <w:rPr>
          <w:w w:val="105"/>
          <w:sz w:val="21"/>
        </w:rPr>
        <w:t>assessment</w:t>
      </w:r>
      <w:r>
        <w:rPr>
          <w:spacing w:val="-8"/>
          <w:w w:val="105"/>
          <w:sz w:val="21"/>
        </w:rPr>
        <w:t> </w:t>
      </w:r>
      <w:r>
        <w:rPr>
          <w:w w:val="105"/>
          <w:sz w:val="21"/>
        </w:rPr>
        <w:t>methodology</w:t>
      </w:r>
      <w:r>
        <w:rPr>
          <w:spacing w:val="-9"/>
          <w:w w:val="105"/>
          <w:sz w:val="21"/>
        </w:rPr>
        <w:t> </w:t>
      </w:r>
      <w:r>
        <w:rPr>
          <w:spacing w:val="-3"/>
          <w:w w:val="105"/>
          <w:sz w:val="21"/>
        </w:rPr>
        <w:t>relied</w:t>
      </w:r>
      <w:r>
        <w:rPr>
          <w:spacing w:val="-8"/>
          <w:w w:val="105"/>
          <w:sz w:val="21"/>
        </w:rPr>
        <w:t> </w:t>
      </w:r>
      <w:r>
        <w:rPr>
          <w:spacing w:val="-3"/>
          <w:w w:val="105"/>
          <w:sz w:val="21"/>
        </w:rPr>
        <w:t>on,</w:t>
      </w:r>
      <w:r>
        <w:rPr>
          <w:spacing w:val="-8"/>
          <w:w w:val="105"/>
          <w:sz w:val="21"/>
        </w:rPr>
        <w:t> </w:t>
      </w:r>
      <w:r>
        <w:rPr>
          <w:spacing w:val="-3"/>
          <w:w w:val="105"/>
          <w:sz w:val="21"/>
        </w:rPr>
        <w:t>including</w:t>
      </w:r>
      <w:r>
        <w:rPr>
          <w:spacing w:val="-9"/>
          <w:w w:val="105"/>
          <w:sz w:val="21"/>
        </w:rPr>
        <w:t> </w:t>
      </w:r>
      <w:r>
        <w:rPr>
          <w:w w:val="105"/>
          <w:sz w:val="21"/>
        </w:rPr>
        <w:t>the</w:t>
      </w:r>
      <w:r>
        <w:rPr>
          <w:spacing w:val="-8"/>
          <w:w w:val="105"/>
          <w:sz w:val="21"/>
        </w:rPr>
        <w:t> </w:t>
      </w:r>
      <w:r>
        <w:rPr>
          <w:spacing w:val="-3"/>
          <w:w w:val="105"/>
          <w:sz w:val="21"/>
        </w:rPr>
        <w:t>date</w:t>
      </w:r>
      <w:r>
        <w:rPr>
          <w:spacing w:val="-9"/>
          <w:w w:val="105"/>
          <w:sz w:val="21"/>
        </w:rPr>
        <w:t> </w:t>
      </w:r>
      <w:r>
        <w:rPr>
          <w:w w:val="105"/>
          <w:sz w:val="21"/>
        </w:rPr>
        <w:t>of the tree inspection and </w:t>
      </w:r>
      <w:r>
        <w:rPr>
          <w:spacing w:val="-3"/>
          <w:w w:val="105"/>
          <w:sz w:val="21"/>
        </w:rPr>
        <w:t>any limitations </w:t>
      </w:r>
      <w:r>
        <w:rPr>
          <w:w w:val="105"/>
          <w:sz w:val="21"/>
        </w:rPr>
        <w:t>of the</w:t>
      </w:r>
      <w:r>
        <w:rPr>
          <w:spacing w:val="27"/>
          <w:w w:val="105"/>
          <w:sz w:val="21"/>
        </w:rPr>
        <w:t> </w:t>
      </w:r>
      <w:r>
        <w:rPr>
          <w:w w:val="105"/>
          <w:sz w:val="21"/>
        </w:rPr>
        <w:t>assessment</w:t>
      </w:r>
    </w:p>
    <w:p>
      <w:pPr>
        <w:pStyle w:val="ListParagraph"/>
        <w:numPr>
          <w:ilvl w:val="2"/>
          <w:numId w:val="133"/>
        </w:numPr>
        <w:tabs>
          <w:tab w:pos="2721" w:val="left" w:leader="none"/>
          <w:tab w:pos="2722" w:val="left" w:leader="none"/>
        </w:tabs>
        <w:spacing w:line="242" w:lineRule="auto" w:before="87" w:after="0"/>
        <w:ind w:left="2721" w:right="2212" w:hanging="340"/>
        <w:jc w:val="left"/>
        <w:rPr>
          <w:sz w:val="12"/>
        </w:rPr>
      </w:pPr>
      <w:r>
        <w:rPr>
          <w:w w:val="105"/>
          <w:sz w:val="21"/>
        </w:rPr>
        <w:t>a</w:t>
      </w:r>
      <w:r>
        <w:rPr>
          <w:spacing w:val="-8"/>
          <w:w w:val="105"/>
          <w:sz w:val="21"/>
        </w:rPr>
        <w:t> </w:t>
      </w:r>
      <w:r>
        <w:rPr>
          <w:spacing w:val="-3"/>
          <w:w w:val="105"/>
          <w:sz w:val="21"/>
        </w:rPr>
        <w:t>record</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w w:val="105"/>
          <w:sz w:val="21"/>
        </w:rPr>
        <w:t>expert’s</w:t>
      </w:r>
      <w:r>
        <w:rPr>
          <w:spacing w:val="-7"/>
          <w:w w:val="105"/>
          <w:sz w:val="21"/>
        </w:rPr>
        <w:t> </w:t>
      </w:r>
      <w:r>
        <w:rPr>
          <w:w w:val="105"/>
          <w:sz w:val="21"/>
        </w:rPr>
        <w:t>observation</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spacing w:val="-3"/>
          <w:w w:val="105"/>
          <w:sz w:val="21"/>
        </w:rPr>
        <w:t>tree,</w:t>
      </w:r>
      <w:r>
        <w:rPr>
          <w:spacing w:val="-8"/>
          <w:w w:val="105"/>
          <w:sz w:val="21"/>
        </w:rPr>
        <w:t> </w:t>
      </w:r>
      <w:r>
        <w:rPr>
          <w:spacing w:val="-3"/>
          <w:w w:val="105"/>
          <w:sz w:val="21"/>
        </w:rPr>
        <w:t>providing</w:t>
      </w:r>
      <w:r>
        <w:rPr>
          <w:spacing w:val="-7"/>
          <w:w w:val="105"/>
          <w:sz w:val="21"/>
        </w:rPr>
        <w:t> </w:t>
      </w:r>
      <w:r>
        <w:rPr>
          <w:w w:val="105"/>
          <w:sz w:val="21"/>
        </w:rPr>
        <w:t>an</w:t>
      </w:r>
      <w:r>
        <w:rPr>
          <w:spacing w:val="-8"/>
          <w:w w:val="105"/>
          <w:sz w:val="21"/>
        </w:rPr>
        <w:t> </w:t>
      </w:r>
      <w:r>
        <w:rPr>
          <w:w w:val="105"/>
          <w:sz w:val="21"/>
        </w:rPr>
        <w:t>assessment</w:t>
      </w:r>
      <w:r>
        <w:rPr>
          <w:spacing w:val="-8"/>
          <w:w w:val="105"/>
          <w:sz w:val="21"/>
        </w:rPr>
        <w:t> </w:t>
      </w:r>
      <w:r>
        <w:rPr>
          <w:w w:val="105"/>
          <w:sz w:val="21"/>
        </w:rPr>
        <w:t>of</w:t>
      </w:r>
      <w:r>
        <w:rPr>
          <w:spacing w:val="-8"/>
          <w:w w:val="105"/>
          <w:sz w:val="21"/>
        </w:rPr>
        <w:t> </w:t>
      </w:r>
      <w:r>
        <w:rPr>
          <w:w w:val="105"/>
          <w:sz w:val="21"/>
        </w:rPr>
        <w:t>the categories </w:t>
      </w:r>
      <w:r>
        <w:rPr>
          <w:spacing w:val="-3"/>
          <w:w w:val="105"/>
          <w:sz w:val="21"/>
        </w:rPr>
        <w:t>for </w:t>
      </w:r>
      <w:r>
        <w:rPr>
          <w:w w:val="105"/>
          <w:sz w:val="21"/>
        </w:rPr>
        <w:t>the </w:t>
      </w:r>
      <w:r>
        <w:rPr>
          <w:spacing w:val="-4"/>
          <w:w w:val="105"/>
          <w:sz w:val="21"/>
        </w:rPr>
        <w:t>tree’s </w:t>
      </w:r>
      <w:r>
        <w:rPr>
          <w:spacing w:val="-3"/>
          <w:w w:val="105"/>
          <w:sz w:val="21"/>
        </w:rPr>
        <w:t>health, condition, form </w:t>
      </w:r>
      <w:r>
        <w:rPr>
          <w:w w:val="105"/>
          <w:sz w:val="21"/>
        </w:rPr>
        <w:t>and</w:t>
      </w:r>
      <w:r>
        <w:rPr>
          <w:spacing w:val="35"/>
          <w:w w:val="105"/>
          <w:sz w:val="21"/>
        </w:rPr>
        <w:t> </w:t>
      </w:r>
      <w:r>
        <w:rPr>
          <w:w w:val="105"/>
          <w:sz w:val="21"/>
        </w:rPr>
        <w:t>structure</w:t>
      </w:r>
      <w:r>
        <w:rPr>
          <w:w w:val="105"/>
          <w:position w:val="7"/>
          <w:sz w:val="12"/>
        </w:rPr>
        <w:t>240</w:t>
      </w:r>
    </w:p>
    <w:p>
      <w:pPr>
        <w:pStyle w:val="ListParagraph"/>
        <w:numPr>
          <w:ilvl w:val="2"/>
          <w:numId w:val="133"/>
        </w:numPr>
        <w:tabs>
          <w:tab w:pos="2721" w:val="left" w:leader="none"/>
          <w:tab w:pos="2722" w:val="left" w:leader="none"/>
        </w:tabs>
        <w:spacing w:line="240" w:lineRule="auto" w:before="87" w:after="0"/>
        <w:ind w:left="2721" w:right="0" w:hanging="340"/>
        <w:jc w:val="left"/>
        <w:rPr>
          <w:sz w:val="21"/>
        </w:rPr>
      </w:pPr>
      <w:r>
        <w:rPr>
          <w:w w:val="105"/>
          <w:sz w:val="21"/>
        </w:rPr>
        <w:t>a </w:t>
      </w:r>
      <w:r>
        <w:rPr>
          <w:spacing w:val="-3"/>
          <w:w w:val="105"/>
          <w:sz w:val="21"/>
        </w:rPr>
        <w:t>photograph </w:t>
      </w:r>
      <w:r>
        <w:rPr>
          <w:w w:val="105"/>
          <w:sz w:val="21"/>
        </w:rPr>
        <w:t>supporting observations and </w:t>
      </w:r>
      <w:r>
        <w:rPr>
          <w:spacing w:val="-3"/>
          <w:w w:val="105"/>
          <w:sz w:val="21"/>
        </w:rPr>
        <w:t>highlighting </w:t>
      </w:r>
      <w:r>
        <w:rPr>
          <w:w w:val="105"/>
          <w:sz w:val="21"/>
        </w:rPr>
        <w:t>points of</w:t>
      </w:r>
      <w:r>
        <w:rPr>
          <w:spacing w:val="39"/>
          <w:w w:val="105"/>
          <w:sz w:val="21"/>
        </w:rPr>
        <w:t> </w:t>
      </w:r>
      <w:r>
        <w:rPr>
          <w:spacing w:val="-3"/>
          <w:w w:val="105"/>
          <w:sz w:val="21"/>
        </w:rPr>
        <w:t>interest</w:t>
      </w:r>
    </w:p>
    <w:p>
      <w:pPr>
        <w:pStyle w:val="ListParagraph"/>
        <w:numPr>
          <w:ilvl w:val="2"/>
          <w:numId w:val="133"/>
        </w:numPr>
        <w:tabs>
          <w:tab w:pos="2721" w:val="left" w:leader="none"/>
          <w:tab w:pos="2722" w:val="left" w:leader="none"/>
        </w:tabs>
        <w:spacing w:line="240" w:lineRule="auto" w:before="89" w:after="0"/>
        <w:ind w:left="2721" w:right="0" w:hanging="340"/>
        <w:jc w:val="left"/>
        <w:rPr>
          <w:sz w:val="21"/>
        </w:rPr>
      </w:pPr>
      <w:r>
        <w:rPr>
          <w:w w:val="105"/>
          <w:sz w:val="21"/>
        </w:rPr>
        <w:t>details of the local </w:t>
      </w:r>
      <w:r>
        <w:rPr>
          <w:spacing w:val="-3"/>
          <w:w w:val="105"/>
          <w:sz w:val="21"/>
        </w:rPr>
        <w:t>planning </w:t>
      </w:r>
      <w:r>
        <w:rPr>
          <w:w w:val="105"/>
          <w:sz w:val="21"/>
        </w:rPr>
        <w:t>scheme </w:t>
      </w:r>
      <w:r>
        <w:rPr>
          <w:spacing w:val="-3"/>
          <w:w w:val="105"/>
          <w:sz w:val="21"/>
        </w:rPr>
        <w:t>overlays </w:t>
      </w:r>
      <w:r>
        <w:rPr>
          <w:w w:val="105"/>
          <w:sz w:val="21"/>
        </w:rPr>
        <w:t>and local laws applying </w:t>
      </w:r>
      <w:r>
        <w:rPr>
          <w:spacing w:val="-3"/>
          <w:w w:val="105"/>
          <w:sz w:val="21"/>
        </w:rPr>
        <w:t>to </w:t>
      </w:r>
      <w:r>
        <w:rPr>
          <w:w w:val="105"/>
          <w:sz w:val="21"/>
        </w:rPr>
        <w:t>the</w:t>
      </w:r>
      <w:r>
        <w:rPr>
          <w:spacing w:val="37"/>
          <w:w w:val="105"/>
          <w:sz w:val="21"/>
        </w:rPr>
        <w:t> </w:t>
      </w:r>
      <w:r>
        <w:rPr>
          <w:w w:val="105"/>
          <w:sz w:val="21"/>
        </w:rPr>
        <w:t>tree</w:t>
      </w:r>
    </w:p>
    <w:p>
      <w:pPr>
        <w:pStyle w:val="ListParagraph"/>
        <w:numPr>
          <w:ilvl w:val="2"/>
          <w:numId w:val="133"/>
        </w:numPr>
        <w:tabs>
          <w:tab w:pos="2721" w:val="left" w:leader="none"/>
          <w:tab w:pos="2722" w:val="left" w:leader="none"/>
        </w:tabs>
        <w:spacing w:line="242" w:lineRule="auto" w:before="89" w:after="0"/>
        <w:ind w:left="2721" w:right="2255" w:hanging="340"/>
        <w:jc w:val="left"/>
        <w:rPr>
          <w:sz w:val="21"/>
        </w:rPr>
      </w:pPr>
      <w:r>
        <w:rPr>
          <w:sz w:val="21"/>
        </w:rPr>
        <w:t>a statement of whether the tree is </w:t>
      </w:r>
      <w:r>
        <w:rPr>
          <w:spacing w:val="-3"/>
          <w:sz w:val="21"/>
        </w:rPr>
        <w:t>remnant, indigenous, native, exotic </w:t>
      </w:r>
      <w:r>
        <w:rPr>
          <w:sz w:val="21"/>
        </w:rPr>
        <w:t>or weed species</w:t>
      </w:r>
    </w:p>
    <w:p>
      <w:pPr>
        <w:pStyle w:val="ListParagraph"/>
        <w:numPr>
          <w:ilvl w:val="2"/>
          <w:numId w:val="133"/>
        </w:numPr>
        <w:tabs>
          <w:tab w:pos="2721" w:val="left" w:leader="none"/>
          <w:tab w:pos="2722" w:val="left" w:leader="none"/>
        </w:tabs>
        <w:spacing w:line="242" w:lineRule="auto" w:before="87" w:after="0"/>
        <w:ind w:left="2721" w:right="2281" w:hanging="340"/>
        <w:jc w:val="left"/>
        <w:rPr>
          <w:sz w:val="12"/>
        </w:rPr>
      </w:pPr>
      <w:r>
        <w:rPr>
          <w:sz w:val="21"/>
        </w:rPr>
        <w:t>a statement of the </w:t>
      </w:r>
      <w:r>
        <w:rPr>
          <w:spacing w:val="-3"/>
          <w:sz w:val="21"/>
        </w:rPr>
        <w:t>retention value </w:t>
      </w:r>
      <w:r>
        <w:rPr>
          <w:sz w:val="21"/>
        </w:rPr>
        <w:t>of trees based on the objectives of the local </w:t>
      </w:r>
      <w:r>
        <w:rPr>
          <w:spacing w:val="-3"/>
          <w:sz w:val="21"/>
        </w:rPr>
        <w:t>planning </w:t>
      </w:r>
      <w:r>
        <w:rPr>
          <w:sz w:val="21"/>
        </w:rPr>
        <w:t>scheme or the local</w:t>
      </w:r>
      <w:r>
        <w:rPr>
          <w:spacing w:val="3"/>
          <w:sz w:val="21"/>
        </w:rPr>
        <w:t> </w:t>
      </w:r>
      <w:r>
        <w:rPr>
          <w:spacing w:val="-4"/>
          <w:sz w:val="21"/>
        </w:rPr>
        <w:t>law.</w:t>
      </w:r>
      <w:r>
        <w:rPr>
          <w:spacing w:val="-4"/>
          <w:position w:val="7"/>
          <w:sz w:val="12"/>
        </w:rPr>
        <w:t>241</w:t>
      </w:r>
    </w:p>
    <w:p>
      <w:pPr>
        <w:pStyle w:val="ListParagraph"/>
        <w:numPr>
          <w:ilvl w:val="1"/>
          <w:numId w:val="133"/>
        </w:numPr>
        <w:tabs>
          <w:tab w:pos="2380" w:val="left" w:leader="none"/>
          <w:tab w:pos="2381" w:val="left" w:leader="none"/>
        </w:tabs>
        <w:spacing w:line="242" w:lineRule="auto" w:before="87" w:after="0"/>
        <w:ind w:left="2381" w:right="1649" w:hanging="794"/>
        <w:jc w:val="left"/>
        <w:rPr>
          <w:sz w:val="21"/>
        </w:rPr>
      </w:pPr>
      <w:r>
        <w:rPr>
          <w:spacing w:val="-4"/>
          <w:w w:val="105"/>
          <w:sz w:val="21"/>
        </w:rPr>
        <w:t>Claims </w:t>
      </w:r>
      <w:r>
        <w:rPr>
          <w:spacing w:val="-3"/>
          <w:w w:val="105"/>
          <w:sz w:val="21"/>
        </w:rPr>
        <w:t>relating to future harm may </w:t>
      </w:r>
      <w:r>
        <w:rPr>
          <w:w w:val="105"/>
          <w:sz w:val="21"/>
        </w:rPr>
        <w:t>encompass risks of </w:t>
      </w:r>
      <w:r>
        <w:rPr>
          <w:spacing w:val="-3"/>
          <w:w w:val="105"/>
          <w:sz w:val="21"/>
        </w:rPr>
        <w:t>slipping </w:t>
      </w:r>
      <w:r>
        <w:rPr>
          <w:w w:val="105"/>
          <w:sz w:val="21"/>
        </w:rPr>
        <w:t>and </w:t>
      </w:r>
      <w:r>
        <w:rPr>
          <w:spacing w:val="-4"/>
          <w:w w:val="105"/>
          <w:sz w:val="21"/>
        </w:rPr>
        <w:t>falling </w:t>
      </w:r>
      <w:r>
        <w:rPr>
          <w:w w:val="105"/>
          <w:sz w:val="21"/>
        </w:rPr>
        <w:t>over leaf </w:t>
      </w:r>
      <w:r>
        <w:rPr>
          <w:spacing w:val="-3"/>
          <w:w w:val="105"/>
          <w:sz w:val="21"/>
        </w:rPr>
        <w:t>litter,</w:t>
      </w:r>
      <w:r>
        <w:rPr>
          <w:spacing w:val="-3"/>
          <w:w w:val="105"/>
          <w:position w:val="7"/>
          <w:sz w:val="12"/>
        </w:rPr>
        <w:t>242</w:t>
      </w:r>
      <w:r>
        <w:rPr>
          <w:spacing w:val="2"/>
          <w:w w:val="105"/>
          <w:position w:val="7"/>
          <w:sz w:val="12"/>
        </w:rPr>
        <w:t> </w:t>
      </w:r>
      <w:r>
        <w:rPr>
          <w:w w:val="105"/>
          <w:sz w:val="21"/>
        </w:rPr>
        <w:t>pollen</w:t>
      </w:r>
      <w:r>
        <w:rPr>
          <w:spacing w:val="-19"/>
          <w:w w:val="105"/>
          <w:sz w:val="21"/>
        </w:rPr>
        <w:t> </w:t>
      </w:r>
      <w:r>
        <w:rPr>
          <w:w w:val="105"/>
          <w:sz w:val="21"/>
        </w:rPr>
        <w:t>allergies</w:t>
      </w:r>
      <w:r>
        <w:rPr>
          <w:w w:val="105"/>
          <w:position w:val="7"/>
          <w:sz w:val="12"/>
        </w:rPr>
        <w:t>243</w:t>
      </w:r>
      <w:r>
        <w:rPr>
          <w:spacing w:val="3"/>
          <w:w w:val="105"/>
          <w:position w:val="7"/>
          <w:sz w:val="12"/>
        </w:rPr>
        <w:t> </w:t>
      </w:r>
      <w:r>
        <w:rPr>
          <w:w w:val="105"/>
          <w:sz w:val="21"/>
        </w:rPr>
        <w:t>and</w:t>
      </w:r>
      <w:r>
        <w:rPr>
          <w:spacing w:val="-19"/>
          <w:w w:val="105"/>
          <w:sz w:val="21"/>
        </w:rPr>
        <w:t> </w:t>
      </w:r>
      <w:r>
        <w:rPr>
          <w:w w:val="105"/>
          <w:sz w:val="21"/>
        </w:rPr>
        <w:t>psychological</w:t>
      </w:r>
      <w:r>
        <w:rPr>
          <w:spacing w:val="-20"/>
          <w:w w:val="105"/>
          <w:sz w:val="21"/>
        </w:rPr>
        <w:t> </w:t>
      </w:r>
      <w:r>
        <w:rPr>
          <w:w w:val="105"/>
          <w:sz w:val="21"/>
        </w:rPr>
        <w:t>distress.</w:t>
      </w:r>
      <w:r>
        <w:rPr>
          <w:w w:val="105"/>
          <w:position w:val="7"/>
          <w:sz w:val="12"/>
        </w:rPr>
        <w:t>244</w:t>
      </w:r>
      <w:r>
        <w:rPr>
          <w:spacing w:val="3"/>
          <w:w w:val="105"/>
          <w:position w:val="7"/>
          <w:sz w:val="12"/>
        </w:rPr>
        <w:t> </w:t>
      </w:r>
      <w:r>
        <w:rPr>
          <w:w w:val="105"/>
          <w:sz w:val="21"/>
        </w:rPr>
        <w:t>Specialist</w:t>
      </w:r>
      <w:r>
        <w:rPr>
          <w:spacing w:val="-19"/>
          <w:w w:val="105"/>
          <w:sz w:val="21"/>
        </w:rPr>
        <w:t> </w:t>
      </w:r>
      <w:r>
        <w:rPr>
          <w:w w:val="105"/>
          <w:sz w:val="21"/>
        </w:rPr>
        <w:t>medical</w:t>
      </w:r>
      <w:r>
        <w:rPr>
          <w:spacing w:val="-19"/>
          <w:w w:val="105"/>
          <w:sz w:val="21"/>
        </w:rPr>
        <w:t> </w:t>
      </w:r>
      <w:r>
        <w:rPr>
          <w:w w:val="105"/>
          <w:sz w:val="21"/>
        </w:rPr>
        <w:t>evidence</w:t>
      </w:r>
      <w:r>
        <w:rPr>
          <w:spacing w:val="-20"/>
          <w:w w:val="105"/>
          <w:sz w:val="21"/>
        </w:rPr>
        <w:t> </w:t>
      </w:r>
      <w:r>
        <w:rPr>
          <w:w w:val="105"/>
          <w:sz w:val="21"/>
        </w:rPr>
        <w:t>and/or testing </w:t>
      </w:r>
      <w:r>
        <w:rPr>
          <w:spacing w:val="-3"/>
          <w:w w:val="105"/>
          <w:sz w:val="21"/>
        </w:rPr>
        <w:t>demonstrating </w:t>
      </w:r>
      <w:r>
        <w:rPr>
          <w:w w:val="105"/>
          <w:sz w:val="21"/>
        </w:rPr>
        <w:t>a causal </w:t>
      </w:r>
      <w:r>
        <w:rPr>
          <w:spacing w:val="-3"/>
          <w:w w:val="105"/>
          <w:sz w:val="21"/>
        </w:rPr>
        <w:t>link </w:t>
      </w:r>
      <w:r>
        <w:rPr>
          <w:w w:val="105"/>
          <w:sz w:val="21"/>
        </w:rPr>
        <w:t>between the tree and the medical </w:t>
      </w:r>
      <w:r>
        <w:rPr>
          <w:spacing w:val="-3"/>
          <w:w w:val="105"/>
          <w:sz w:val="21"/>
        </w:rPr>
        <w:t>condition </w:t>
      </w:r>
      <w:r>
        <w:rPr>
          <w:w w:val="105"/>
          <w:sz w:val="21"/>
        </w:rPr>
        <w:t>should be </w:t>
      </w:r>
      <w:r>
        <w:rPr>
          <w:spacing w:val="-3"/>
          <w:w w:val="105"/>
          <w:sz w:val="21"/>
        </w:rPr>
        <w:t>required. </w:t>
      </w:r>
      <w:r>
        <w:rPr>
          <w:w w:val="105"/>
          <w:sz w:val="21"/>
        </w:rPr>
        <w:t>This view was supported by one community member and a number of </w:t>
      </w:r>
      <w:r>
        <w:rPr>
          <w:spacing w:val="-2"/>
          <w:w w:val="105"/>
          <w:sz w:val="21"/>
        </w:rPr>
        <w:t>councils.</w:t>
      </w:r>
      <w:r>
        <w:rPr>
          <w:spacing w:val="-2"/>
          <w:w w:val="105"/>
          <w:position w:val="7"/>
          <w:sz w:val="12"/>
        </w:rPr>
        <w:t>245 </w:t>
      </w:r>
      <w:r>
        <w:rPr>
          <w:spacing w:val="-5"/>
          <w:w w:val="105"/>
          <w:sz w:val="21"/>
        </w:rPr>
        <w:t>VCAT </w:t>
      </w:r>
      <w:r>
        <w:rPr>
          <w:w w:val="105"/>
          <w:sz w:val="21"/>
        </w:rPr>
        <w:t>should develop a specific Practice Note about this</w:t>
      </w:r>
      <w:r>
        <w:rPr>
          <w:spacing w:val="2"/>
          <w:w w:val="105"/>
          <w:sz w:val="21"/>
        </w:rPr>
        <w:t> </w:t>
      </w:r>
      <w:r>
        <w:rPr>
          <w:spacing w:val="-3"/>
          <w:w w:val="105"/>
          <w:sz w:val="21"/>
        </w:rPr>
        <w:t>requirement.</w:t>
      </w:r>
    </w:p>
    <w:p>
      <w:pPr>
        <w:pStyle w:val="ListParagraph"/>
        <w:numPr>
          <w:ilvl w:val="1"/>
          <w:numId w:val="133"/>
        </w:numPr>
        <w:tabs>
          <w:tab w:pos="2380" w:val="left" w:leader="none"/>
          <w:tab w:pos="2381" w:val="left" w:leader="none"/>
        </w:tabs>
        <w:spacing w:line="242" w:lineRule="auto" w:before="126" w:after="0"/>
        <w:ind w:left="2380" w:right="1778" w:hanging="793"/>
        <w:jc w:val="left"/>
        <w:rPr>
          <w:sz w:val="21"/>
        </w:rPr>
      </w:pPr>
      <w:r>
        <w:rPr>
          <w:sz w:val="21"/>
        </w:rPr>
        <w:t>Where an application is made based on injury said </w:t>
      </w:r>
      <w:r>
        <w:rPr>
          <w:spacing w:val="-3"/>
          <w:sz w:val="21"/>
        </w:rPr>
        <w:t>to  </w:t>
      </w:r>
      <w:r>
        <w:rPr>
          <w:sz w:val="21"/>
        </w:rPr>
        <w:t>arise </w:t>
      </w:r>
      <w:r>
        <w:rPr>
          <w:spacing w:val="-3"/>
          <w:sz w:val="21"/>
        </w:rPr>
        <w:t>from</w:t>
      </w:r>
      <w:r>
        <w:rPr>
          <w:spacing w:val="41"/>
          <w:sz w:val="21"/>
        </w:rPr>
        <w:t> </w:t>
      </w:r>
      <w:r>
        <w:rPr>
          <w:sz w:val="21"/>
        </w:rPr>
        <w:t>a medical </w:t>
      </w:r>
      <w:r>
        <w:rPr>
          <w:spacing w:val="-3"/>
          <w:sz w:val="21"/>
        </w:rPr>
        <w:t>condition,      </w:t>
      </w:r>
      <w:r>
        <w:rPr>
          <w:sz w:val="21"/>
        </w:rPr>
        <w:t>the NSWLEC gives supplementary standard directions </w:t>
      </w:r>
      <w:r>
        <w:rPr>
          <w:spacing w:val="-3"/>
          <w:sz w:val="21"/>
        </w:rPr>
        <w:t>requiring </w:t>
      </w:r>
      <w:r>
        <w:rPr>
          <w:sz w:val="21"/>
        </w:rPr>
        <w:t>applicants </w:t>
      </w:r>
      <w:r>
        <w:rPr>
          <w:spacing w:val="-3"/>
          <w:sz w:val="21"/>
        </w:rPr>
        <w:t>to </w:t>
      </w:r>
      <w:r>
        <w:rPr>
          <w:sz w:val="21"/>
        </w:rPr>
        <w:t>‘to provide properly qualified medical or scientific evidence of a </w:t>
      </w:r>
      <w:r>
        <w:rPr>
          <w:spacing w:val="-3"/>
          <w:sz w:val="21"/>
        </w:rPr>
        <w:t>link </w:t>
      </w:r>
      <w:r>
        <w:rPr>
          <w:sz w:val="21"/>
        </w:rPr>
        <w:t>between the injury and the </w:t>
      </w:r>
      <w:r>
        <w:rPr>
          <w:spacing w:val="-3"/>
          <w:sz w:val="21"/>
        </w:rPr>
        <w:t>trees’.</w:t>
      </w:r>
      <w:r>
        <w:rPr>
          <w:spacing w:val="-3"/>
          <w:position w:val="7"/>
          <w:sz w:val="12"/>
        </w:rPr>
        <w:t>246 </w:t>
      </w:r>
      <w:r>
        <w:rPr>
          <w:sz w:val="21"/>
        </w:rPr>
        <w:t>This approach is a good guide </w:t>
      </w:r>
      <w:r>
        <w:rPr>
          <w:spacing w:val="-3"/>
          <w:sz w:val="21"/>
        </w:rPr>
        <w:t>for</w:t>
      </w:r>
      <w:r>
        <w:rPr>
          <w:spacing w:val="11"/>
          <w:sz w:val="21"/>
        </w:rPr>
        <w:t> </w:t>
      </w:r>
      <w:r>
        <w:rPr>
          <w:sz w:val="21"/>
        </w:rPr>
        <w:t>Victoria.</w:t>
      </w:r>
    </w:p>
    <w:p>
      <w:pPr>
        <w:pStyle w:val="ListParagraph"/>
        <w:numPr>
          <w:ilvl w:val="1"/>
          <w:numId w:val="133"/>
        </w:numPr>
        <w:tabs>
          <w:tab w:pos="2381" w:val="left" w:leader="none"/>
          <w:tab w:pos="2382" w:val="left" w:leader="none"/>
        </w:tabs>
        <w:spacing w:line="242" w:lineRule="auto" w:before="124" w:after="0"/>
        <w:ind w:left="2381" w:right="1635" w:hanging="794"/>
        <w:jc w:val="left"/>
        <w:rPr>
          <w:sz w:val="21"/>
        </w:rPr>
      </w:pPr>
      <w:r>
        <w:rPr>
          <w:sz w:val="21"/>
        </w:rPr>
        <w:t>Other experts who </w:t>
      </w:r>
      <w:r>
        <w:rPr>
          <w:spacing w:val="-3"/>
          <w:sz w:val="21"/>
        </w:rPr>
        <w:t>may </w:t>
      </w:r>
      <w:r>
        <w:rPr>
          <w:sz w:val="21"/>
        </w:rPr>
        <w:t>be </w:t>
      </w:r>
      <w:r>
        <w:rPr>
          <w:spacing w:val="-3"/>
          <w:sz w:val="21"/>
        </w:rPr>
        <w:t>relied </w:t>
      </w:r>
      <w:r>
        <w:rPr>
          <w:sz w:val="21"/>
        </w:rPr>
        <w:t>upon by the </w:t>
      </w:r>
      <w:r>
        <w:rPr>
          <w:spacing w:val="-5"/>
          <w:sz w:val="21"/>
        </w:rPr>
        <w:t>Tribunal, </w:t>
      </w:r>
      <w:r>
        <w:rPr>
          <w:spacing w:val="-3"/>
          <w:sz w:val="21"/>
        </w:rPr>
        <w:t>such  </w:t>
      </w:r>
      <w:r>
        <w:rPr>
          <w:sz w:val="21"/>
        </w:rPr>
        <w:t>as  </w:t>
      </w:r>
      <w:r>
        <w:rPr>
          <w:spacing w:val="-3"/>
          <w:sz w:val="21"/>
        </w:rPr>
        <w:t>building  </w:t>
      </w:r>
      <w:r>
        <w:rPr>
          <w:sz w:val="21"/>
        </w:rPr>
        <w:t>surveyors, engineers and plumbers, </w:t>
      </w:r>
      <w:r>
        <w:rPr>
          <w:spacing w:val="-3"/>
          <w:sz w:val="21"/>
        </w:rPr>
        <w:t>will </w:t>
      </w:r>
      <w:r>
        <w:rPr>
          <w:sz w:val="21"/>
        </w:rPr>
        <w:t>also need </w:t>
      </w:r>
      <w:r>
        <w:rPr>
          <w:spacing w:val="-3"/>
          <w:sz w:val="21"/>
        </w:rPr>
        <w:t>to adhere to </w:t>
      </w:r>
      <w:r>
        <w:rPr>
          <w:sz w:val="21"/>
        </w:rPr>
        <w:t>the </w:t>
      </w:r>
      <w:r>
        <w:rPr>
          <w:spacing w:val="-3"/>
          <w:sz w:val="21"/>
        </w:rPr>
        <w:t>procedures </w:t>
      </w:r>
      <w:r>
        <w:rPr>
          <w:spacing w:val="-5"/>
          <w:sz w:val="21"/>
        </w:rPr>
        <w:t>VCAT </w:t>
      </w:r>
      <w:r>
        <w:rPr>
          <w:spacing w:val="-2"/>
          <w:sz w:val="21"/>
        </w:rPr>
        <w:t>has </w:t>
      </w:r>
      <w:r>
        <w:rPr>
          <w:sz w:val="21"/>
        </w:rPr>
        <w:t>in </w:t>
      </w:r>
      <w:r>
        <w:rPr>
          <w:spacing w:val="-3"/>
          <w:sz w:val="21"/>
        </w:rPr>
        <w:t>place for </w:t>
      </w:r>
      <w:r>
        <w:rPr>
          <w:sz w:val="21"/>
        </w:rPr>
        <w:t>expert</w:t>
      </w:r>
      <w:r>
        <w:rPr>
          <w:spacing w:val="8"/>
          <w:sz w:val="21"/>
        </w:rPr>
        <w:t> </w:t>
      </w:r>
      <w:r>
        <w:rPr>
          <w:spacing w:val="-3"/>
          <w:sz w:val="21"/>
        </w:rPr>
        <w:t>evidence.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2"/>
        </w:rPr>
      </w:pPr>
      <w:r>
        <w:rPr/>
        <w:pict>
          <v:line style="position:absolute;mso-position-horizontal-relative:page;mso-position-vertical-relative:paragraph;z-index:8288;mso-wrap-distance-left:0;mso-wrap-distance-right:0" from="79.370102pt,10.378628pt" to="515.905102pt,10.37862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spacing w:before="176"/>
        <w:ind w:left="720" w:right="0" w:firstLine="0"/>
        <w:jc w:val="left"/>
        <w:rPr>
          <w:b/>
          <w:sz w:val="24"/>
        </w:rPr>
      </w:pPr>
      <w:r>
        <w:rPr>
          <w:b/>
          <w:color w:val="658464"/>
          <w:spacing w:val="-2"/>
          <w:w w:val="110"/>
          <w:sz w:val="24"/>
        </w:rPr>
        <w:t>190</w:t>
      </w:r>
    </w:p>
    <w:p>
      <w:pPr>
        <w:pStyle w:val="ListParagraph"/>
        <w:numPr>
          <w:ilvl w:val="0"/>
          <w:numId w:val="140"/>
        </w:numPr>
        <w:tabs>
          <w:tab w:pos="1224" w:val="left" w:leader="none"/>
          <w:tab w:pos="1225" w:val="left" w:leader="none"/>
        </w:tabs>
        <w:spacing w:line="240" w:lineRule="auto" w:before="48" w:after="0"/>
        <w:ind w:left="1224" w:right="0" w:hanging="793"/>
        <w:jc w:val="left"/>
        <w:rPr>
          <w:sz w:val="13"/>
        </w:rPr>
      </w:pPr>
      <w:r>
        <w:rPr>
          <w:spacing w:val="3"/>
          <w:w w:val="107"/>
          <w:sz w:val="13"/>
        </w:rPr>
        <w:br w:type="column"/>
      </w:r>
      <w:r>
        <w:rPr>
          <w:w w:val="105"/>
          <w:sz w:val="13"/>
        </w:rPr>
        <w:t>Victorian</w:t>
      </w:r>
      <w:r>
        <w:rPr>
          <w:spacing w:val="4"/>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5"/>
          <w:w w:val="105"/>
          <w:sz w:val="13"/>
        </w:rPr>
        <w:t> </w:t>
      </w:r>
      <w:r>
        <w:rPr>
          <w:w w:val="105"/>
          <w:sz w:val="13"/>
        </w:rPr>
        <w:t>Tribunal,</w:t>
      </w:r>
      <w:r>
        <w:rPr>
          <w:spacing w:val="5"/>
          <w:w w:val="105"/>
          <w:sz w:val="13"/>
        </w:rPr>
        <w:t> </w:t>
      </w:r>
      <w:r>
        <w:rPr>
          <w:i/>
          <w:w w:val="105"/>
          <w:sz w:val="13"/>
        </w:rPr>
        <w:t>Practice</w:t>
      </w:r>
      <w:r>
        <w:rPr>
          <w:i/>
          <w:spacing w:val="5"/>
          <w:w w:val="105"/>
          <w:sz w:val="13"/>
        </w:rPr>
        <w:t> </w:t>
      </w:r>
      <w:r>
        <w:rPr>
          <w:i/>
          <w:w w:val="105"/>
          <w:sz w:val="13"/>
        </w:rPr>
        <w:t>Note</w:t>
      </w:r>
      <w:r>
        <w:rPr>
          <w:i/>
          <w:spacing w:val="5"/>
          <w:w w:val="105"/>
          <w:sz w:val="13"/>
        </w:rPr>
        <w:t> </w:t>
      </w:r>
      <w:r>
        <w:rPr>
          <w:i/>
          <w:w w:val="105"/>
          <w:sz w:val="13"/>
        </w:rPr>
        <w:t>PNVCAT2:</w:t>
      </w:r>
      <w:r>
        <w:rPr>
          <w:i/>
          <w:spacing w:val="5"/>
          <w:w w:val="105"/>
          <w:sz w:val="13"/>
        </w:rPr>
        <w:t> </w:t>
      </w:r>
      <w:r>
        <w:rPr>
          <w:i/>
          <w:spacing w:val="2"/>
          <w:w w:val="105"/>
          <w:sz w:val="13"/>
        </w:rPr>
        <w:t>Expert</w:t>
      </w:r>
      <w:r>
        <w:rPr>
          <w:i/>
          <w:spacing w:val="4"/>
          <w:w w:val="105"/>
          <w:sz w:val="13"/>
        </w:rPr>
        <w:t> </w:t>
      </w:r>
      <w:r>
        <w:rPr>
          <w:i/>
          <w:w w:val="105"/>
          <w:sz w:val="13"/>
        </w:rPr>
        <w:t>Evidence,</w:t>
      </w:r>
      <w:r>
        <w:rPr>
          <w:i/>
          <w:spacing w:val="5"/>
          <w:w w:val="105"/>
          <w:sz w:val="13"/>
        </w:rPr>
        <w:t> </w:t>
      </w:r>
      <w:r>
        <w:rPr>
          <w:w w:val="105"/>
          <w:sz w:val="13"/>
        </w:rPr>
        <w:t>1</w:t>
      </w:r>
      <w:r>
        <w:rPr>
          <w:spacing w:val="5"/>
          <w:w w:val="105"/>
          <w:sz w:val="13"/>
        </w:rPr>
        <w:t> </w:t>
      </w:r>
      <w:r>
        <w:rPr>
          <w:w w:val="105"/>
          <w:sz w:val="13"/>
        </w:rPr>
        <w:t>October</w:t>
      </w:r>
      <w:r>
        <w:rPr>
          <w:spacing w:val="5"/>
          <w:w w:val="105"/>
          <w:sz w:val="13"/>
        </w:rPr>
        <w:t> </w:t>
      </w:r>
      <w:r>
        <w:rPr>
          <w:w w:val="105"/>
          <w:sz w:val="13"/>
        </w:rPr>
        <w:t>2014.</w:t>
      </w:r>
    </w:p>
    <w:p>
      <w:pPr>
        <w:pStyle w:val="ListParagraph"/>
        <w:numPr>
          <w:ilvl w:val="0"/>
          <w:numId w:val="140"/>
        </w:numPr>
        <w:tabs>
          <w:tab w:pos="1224" w:val="left" w:leader="none"/>
          <w:tab w:pos="1225" w:val="left" w:leader="none"/>
        </w:tabs>
        <w:spacing w:line="240" w:lineRule="auto" w:before="1" w:after="0"/>
        <w:ind w:left="1224" w:right="0" w:hanging="793"/>
        <w:jc w:val="left"/>
        <w:rPr>
          <w:sz w:val="13"/>
        </w:rPr>
      </w:pPr>
      <w:r>
        <w:rPr>
          <w:w w:val="105"/>
          <w:sz w:val="13"/>
        </w:rPr>
        <w:t>Council</w:t>
      </w:r>
      <w:r>
        <w:rPr>
          <w:spacing w:val="5"/>
          <w:w w:val="105"/>
          <w:sz w:val="13"/>
        </w:rPr>
        <w:t> </w:t>
      </w:r>
      <w:r>
        <w:rPr>
          <w:w w:val="105"/>
          <w:sz w:val="13"/>
        </w:rPr>
        <w:t>Arboriculture</w:t>
      </w:r>
      <w:r>
        <w:rPr>
          <w:spacing w:val="6"/>
          <w:w w:val="105"/>
          <w:sz w:val="13"/>
        </w:rPr>
        <w:t> </w:t>
      </w:r>
      <w:r>
        <w:rPr>
          <w:w w:val="105"/>
          <w:sz w:val="13"/>
        </w:rPr>
        <w:t>Victoria,</w:t>
      </w:r>
      <w:r>
        <w:rPr>
          <w:spacing w:val="5"/>
          <w:w w:val="105"/>
          <w:sz w:val="13"/>
        </w:rPr>
        <w:t> </w:t>
      </w:r>
      <w:r>
        <w:rPr>
          <w:i/>
          <w:w w:val="105"/>
          <w:sz w:val="13"/>
        </w:rPr>
        <w:t>Arboricultural</w:t>
      </w:r>
      <w:r>
        <w:rPr>
          <w:i/>
          <w:spacing w:val="6"/>
          <w:w w:val="105"/>
          <w:sz w:val="13"/>
        </w:rPr>
        <w:t> </w:t>
      </w:r>
      <w:r>
        <w:rPr>
          <w:i/>
          <w:w w:val="105"/>
          <w:sz w:val="13"/>
        </w:rPr>
        <w:t>Reporting</w:t>
      </w:r>
      <w:r>
        <w:rPr>
          <w:i/>
          <w:spacing w:val="5"/>
          <w:w w:val="105"/>
          <w:sz w:val="13"/>
        </w:rPr>
        <w:t> </w:t>
      </w:r>
      <w:r>
        <w:rPr>
          <w:i/>
          <w:w w:val="105"/>
          <w:sz w:val="13"/>
        </w:rPr>
        <w:t>Guidelines</w:t>
      </w:r>
      <w:r>
        <w:rPr>
          <w:i/>
          <w:spacing w:val="6"/>
          <w:w w:val="105"/>
          <w:sz w:val="13"/>
        </w:rPr>
        <w:t> </w:t>
      </w:r>
      <w:r>
        <w:rPr>
          <w:i/>
          <w:w w:val="105"/>
          <w:sz w:val="13"/>
        </w:rPr>
        <w:t>for</w:t>
      </w:r>
      <w:r>
        <w:rPr>
          <w:i/>
          <w:spacing w:val="6"/>
          <w:w w:val="105"/>
          <w:sz w:val="13"/>
        </w:rPr>
        <w:t> </w:t>
      </w:r>
      <w:r>
        <w:rPr>
          <w:i/>
          <w:w w:val="105"/>
          <w:sz w:val="13"/>
        </w:rPr>
        <w:t>Developments</w:t>
      </w:r>
      <w:r>
        <w:rPr>
          <w:i/>
          <w:spacing w:val="5"/>
          <w:w w:val="105"/>
          <w:sz w:val="13"/>
        </w:rPr>
        <w:t> </w:t>
      </w:r>
      <w:r>
        <w:rPr>
          <w:w w:val="105"/>
          <w:sz w:val="13"/>
        </w:rPr>
        <w:t>(Version</w:t>
      </w:r>
      <w:r>
        <w:rPr>
          <w:spacing w:val="6"/>
          <w:w w:val="105"/>
          <w:sz w:val="13"/>
        </w:rPr>
        <w:t> </w:t>
      </w:r>
      <w:r>
        <w:rPr>
          <w:w w:val="105"/>
          <w:sz w:val="13"/>
        </w:rPr>
        <w:t>2.0,</w:t>
      </w:r>
      <w:r>
        <w:rPr>
          <w:spacing w:val="5"/>
          <w:w w:val="105"/>
          <w:sz w:val="13"/>
        </w:rPr>
        <w:t> </w:t>
      </w:r>
      <w:r>
        <w:rPr>
          <w:w w:val="105"/>
          <w:sz w:val="13"/>
        </w:rPr>
        <w:t>November</w:t>
      </w:r>
      <w:r>
        <w:rPr>
          <w:spacing w:val="6"/>
          <w:w w:val="105"/>
          <w:sz w:val="13"/>
        </w:rPr>
        <w:t> </w:t>
      </w:r>
      <w:r>
        <w:rPr>
          <w:spacing w:val="2"/>
          <w:w w:val="105"/>
          <w:sz w:val="13"/>
        </w:rPr>
        <w:t>2009).</w:t>
      </w:r>
    </w:p>
    <w:p>
      <w:pPr>
        <w:pStyle w:val="ListParagraph"/>
        <w:numPr>
          <w:ilvl w:val="0"/>
          <w:numId w:val="140"/>
        </w:numPr>
        <w:tabs>
          <w:tab w:pos="1224" w:val="left" w:leader="none"/>
          <w:tab w:pos="1225" w:val="left" w:leader="none"/>
        </w:tabs>
        <w:spacing w:line="240" w:lineRule="auto" w:before="2" w:after="0"/>
        <w:ind w:left="1224" w:right="1740" w:hanging="793"/>
        <w:jc w:val="left"/>
        <w:rPr>
          <w:sz w:val="13"/>
        </w:rPr>
      </w:pPr>
      <w:r>
        <w:rPr>
          <w:w w:val="105"/>
          <w:sz w:val="13"/>
        </w:rPr>
        <w:t>The categories must be explained in the report (ie good, fair, poor etc) and the descriptors listed in the appendix at the end of the </w:t>
      </w:r>
      <w:r>
        <w:rPr>
          <w:spacing w:val="2"/>
          <w:w w:val="105"/>
          <w:sz w:val="13"/>
        </w:rPr>
        <w:t>report: </w:t>
      </w:r>
      <w:r>
        <w:rPr>
          <w:w w:val="105"/>
          <w:sz w:val="13"/>
        </w:rPr>
        <w:t>Ibid</w:t>
      </w:r>
      <w:r>
        <w:rPr>
          <w:spacing w:val="4"/>
          <w:w w:val="105"/>
          <w:sz w:val="13"/>
        </w:rPr>
        <w:t> </w:t>
      </w:r>
      <w:r>
        <w:rPr>
          <w:w w:val="105"/>
          <w:sz w:val="13"/>
        </w:rPr>
        <w:t>2.</w:t>
      </w:r>
    </w:p>
    <w:p>
      <w:pPr>
        <w:pStyle w:val="ListParagraph"/>
        <w:numPr>
          <w:ilvl w:val="0"/>
          <w:numId w:val="140"/>
        </w:numPr>
        <w:tabs>
          <w:tab w:pos="1224" w:val="left" w:leader="none"/>
          <w:tab w:pos="1225" w:val="left" w:leader="none"/>
        </w:tabs>
        <w:spacing w:line="240" w:lineRule="auto" w:before="2" w:after="0"/>
        <w:ind w:left="1224" w:right="0" w:hanging="793"/>
        <w:jc w:val="left"/>
        <w:rPr>
          <w:sz w:val="13"/>
        </w:rPr>
      </w:pPr>
      <w:r>
        <w:rPr>
          <w:spacing w:val="2"/>
          <w:sz w:val="13"/>
        </w:rPr>
        <w:t>As</w:t>
      </w:r>
      <w:r>
        <w:rPr>
          <w:spacing w:val="9"/>
          <w:sz w:val="13"/>
        </w:rPr>
        <w:t> </w:t>
      </w:r>
      <w:r>
        <w:rPr>
          <w:sz w:val="13"/>
        </w:rPr>
        <w:t>a</w:t>
      </w:r>
      <w:r>
        <w:rPr>
          <w:spacing w:val="9"/>
          <w:sz w:val="13"/>
        </w:rPr>
        <w:t> </w:t>
      </w:r>
      <w:r>
        <w:rPr>
          <w:sz w:val="13"/>
        </w:rPr>
        <w:t>guide,</w:t>
      </w:r>
      <w:r>
        <w:rPr>
          <w:spacing w:val="10"/>
          <w:sz w:val="13"/>
        </w:rPr>
        <w:t> </w:t>
      </w:r>
      <w:r>
        <w:rPr>
          <w:sz w:val="13"/>
        </w:rPr>
        <w:t>trees</w:t>
      </w:r>
      <w:r>
        <w:rPr>
          <w:spacing w:val="9"/>
          <w:sz w:val="13"/>
        </w:rPr>
        <w:t> </w:t>
      </w:r>
      <w:r>
        <w:rPr>
          <w:sz w:val="13"/>
        </w:rPr>
        <w:t>that</w:t>
      </w:r>
      <w:r>
        <w:rPr>
          <w:spacing w:val="10"/>
          <w:sz w:val="13"/>
        </w:rPr>
        <w:t> </w:t>
      </w:r>
      <w:r>
        <w:rPr>
          <w:sz w:val="13"/>
        </w:rPr>
        <w:t>have</w:t>
      </w:r>
      <w:r>
        <w:rPr>
          <w:spacing w:val="9"/>
          <w:sz w:val="13"/>
        </w:rPr>
        <w:t> </w:t>
      </w:r>
      <w:r>
        <w:rPr>
          <w:sz w:val="13"/>
        </w:rPr>
        <w:t>‘high’</w:t>
      </w:r>
      <w:r>
        <w:rPr>
          <w:spacing w:val="10"/>
          <w:sz w:val="13"/>
        </w:rPr>
        <w:t> </w:t>
      </w:r>
      <w:r>
        <w:rPr>
          <w:sz w:val="13"/>
        </w:rPr>
        <w:t>value</w:t>
      </w:r>
      <w:r>
        <w:rPr>
          <w:spacing w:val="9"/>
          <w:sz w:val="13"/>
        </w:rPr>
        <w:t> </w:t>
      </w:r>
      <w:r>
        <w:rPr>
          <w:sz w:val="13"/>
        </w:rPr>
        <w:t>should</w:t>
      </w:r>
      <w:r>
        <w:rPr>
          <w:spacing w:val="10"/>
          <w:sz w:val="13"/>
        </w:rPr>
        <w:t> </w:t>
      </w:r>
      <w:r>
        <w:rPr>
          <w:sz w:val="13"/>
        </w:rPr>
        <w:t>be</w:t>
      </w:r>
      <w:r>
        <w:rPr>
          <w:spacing w:val="9"/>
          <w:sz w:val="13"/>
        </w:rPr>
        <w:t> </w:t>
      </w:r>
      <w:r>
        <w:rPr>
          <w:sz w:val="13"/>
        </w:rPr>
        <w:t>retained</w:t>
      </w:r>
      <w:r>
        <w:rPr>
          <w:spacing w:val="10"/>
          <w:sz w:val="13"/>
        </w:rPr>
        <w:t> </w:t>
      </w:r>
      <w:r>
        <w:rPr>
          <w:sz w:val="13"/>
        </w:rPr>
        <w:t>and</w:t>
      </w:r>
      <w:r>
        <w:rPr>
          <w:spacing w:val="9"/>
          <w:sz w:val="13"/>
        </w:rPr>
        <w:t> </w:t>
      </w:r>
      <w:r>
        <w:rPr>
          <w:sz w:val="13"/>
        </w:rPr>
        <w:t>trees</w:t>
      </w:r>
      <w:r>
        <w:rPr>
          <w:spacing w:val="10"/>
          <w:sz w:val="13"/>
        </w:rPr>
        <w:t> </w:t>
      </w:r>
      <w:r>
        <w:rPr>
          <w:sz w:val="13"/>
        </w:rPr>
        <w:t>that</w:t>
      </w:r>
      <w:r>
        <w:rPr>
          <w:spacing w:val="9"/>
          <w:sz w:val="13"/>
        </w:rPr>
        <w:t> </w:t>
      </w:r>
      <w:r>
        <w:rPr>
          <w:sz w:val="13"/>
        </w:rPr>
        <w:t>have</w:t>
      </w:r>
      <w:r>
        <w:rPr>
          <w:spacing w:val="10"/>
          <w:sz w:val="13"/>
        </w:rPr>
        <w:t> </w:t>
      </w:r>
      <w:r>
        <w:rPr>
          <w:sz w:val="13"/>
        </w:rPr>
        <w:t>‘low’</w:t>
      </w:r>
      <w:r>
        <w:rPr>
          <w:spacing w:val="9"/>
          <w:sz w:val="13"/>
        </w:rPr>
        <w:t> </w:t>
      </w:r>
      <w:r>
        <w:rPr>
          <w:sz w:val="13"/>
        </w:rPr>
        <w:t>value</w:t>
      </w:r>
      <w:r>
        <w:rPr>
          <w:spacing w:val="9"/>
          <w:sz w:val="13"/>
        </w:rPr>
        <w:t> </w:t>
      </w:r>
      <w:r>
        <w:rPr>
          <w:sz w:val="13"/>
        </w:rPr>
        <w:t>may</w:t>
      </w:r>
      <w:r>
        <w:rPr>
          <w:spacing w:val="10"/>
          <w:sz w:val="13"/>
        </w:rPr>
        <w:t> </w:t>
      </w:r>
      <w:r>
        <w:rPr>
          <w:sz w:val="13"/>
        </w:rPr>
        <w:t>be</w:t>
      </w:r>
      <w:r>
        <w:rPr>
          <w:spacing w:val="9"/>
          <w:sz w:val="13"/>
        </w:rPr>
        <w:t> </w:t>
      </w:r>
      <w:r>
        <w:rPr>
          <w:sz w:val="13"/>
        </w:rPr>
        <w:t>unsuitable</w:t>
      </w:r>
      <w:r>
        <w:rPr>
          <w:spacing w:val="10"/>
          <w:sz w:val="13"/>
        </w:rPr>
        <w:t> </w:t>
      </w:r>
      <w:r>
        <w:rPr>
          <w:sz w:val="13"/>
        </w:rPr>
        <w:t>for</w:t>
      </w:r>
      <w:r>
        <w:rPr>
          <w:spacing w:val="9"/>
          <w:sz w:val="13"/>
        </w:rPr>
        <w:t> </w:t>
      </w:r>
      <w:r>
        <w:rPr>
          <w:sz w:val="13"/>
        </w:rPr>
        <w:t>retention:</w:t>
      </w:r>
      <w:r>
        <w:rPr>
          <w:spacing w:val="10"/>
          <w:sz w:val="13"/>
        </w:rPr>
        <w:t> </w:t>
      </w:r>
      <w:r>
        <w:rPr>
          <w:sz w:val="13"/>
        </w:rPr>
        <w:t>Ibid</w:t>
      </w:r>
      <w:r>
        <w:rPr>
          <w:spacing w:val="9"/>
          <w:sz w:val="13"/>
        </w:rPr>
        <w:t> </w:t>
      </w:r>
      <w:r>
        <w:rPr>
          <w:sz w:val="13"/>
        </w:rPr>
        <w:t>3.</w:t>
      </w:r>
    </w:p>
    <w:p>
      <w:pPr>
        <w:pStyle w:val="ListParagraph"/>
        <w:numPr>
          <w:ilvl w:val="0"/>
          <w:numId w:val="140"/>
        </w:numPr>
        <w:tabs>
          <w:tab w:pos="1224" w:val="left" w:leader="none"/>
          <w:tab w:pos="1225" w:val="left" w:leader="none"/>
        </w:tabs>
        <w:spacing w:line="240" w:lineRule="auto" w:before="2" w:after="0"/>
        <w:ind w:left="1224" w:right="0" w:hanging="793"/>
        <w:jc w:val="left"/>
        <w:rPr>
          <w:sz w:val="13"/>
        </w:rPr>
      </w:pPr>
      <w:r>
        <w:rPr>
          <w:w w:val="105"/>
          <w:sz w:val="13"/>
        </w:rPr>
        <w:t>Consultation </w:t>
      </w:r>
      <w:r>
        <w:rPr>
          <w:spacing w:val="-4"/>
          <w:w w:val="105"/>
          <w:sz w:val="13"/>
        </w:rPr>
        <w:t>12 </w:t>
      </w:r>
      <w:r>
        <w:rPr>
          <w:w w:val="105"/>
          <w:sz w:val="13"/>
        </w:rPr>
        <w:t>(City of Port Phillip).</w:t>
      </w:r>
    </w:p>
    <w:p>
      <w:pPr>
        <w:pStyle w:val="ListParagraph"/>
        <w:numPr>
          <w:ilvl w:val="0"/>
          <w:numId w:val="140"/>
        </w:numPr>
        <w:tabs>
          <w:tab w:pos="1224" w:val="left" w:leader="none"/>
          <w:tab w:pos="1225" w:val="left" w:leader="none"/>
        </w:tabs>
        <w:spacing w:line="240" w:lineRule="auto" w:before="1" w:after="0"/>
        <w:ind w:left="431" w:right="1699" w:firstLine="0"/>
        <w:jc w:val="left"/>
        <w:rPr>
          <w:sz w:val="13"/>
        </w:rPr>
      </w:pPr>
      <w:r>
        <w:rPr>
          <w:w w:val="105"/>
          <w:sz w:val="13"/>
        </w:rPr>
        <w:t>Submission 9 </w:t>
      </w:r>
      <w:r>
        <w:rPr>
          <w:spacing w:val="3"/>
          <w:w w:val="105"/>
          <w:sz w:val="13"/>
        </w:rPr>
        <w:t>(Dr </w:t>
      </w:r>
      <w:r>
        <w:rPr>
          <w:w w:val="105"/>
          <w:sz w:val="13"/>
        </w:rPr>
        <w:t>Karen Smith); Consultations 6 </w:t>
      </w:r>
      <w:r>
        <w:rPr>
          <w:spacing w:val="2"/>
          <w:w w:val="105"/>
          <w:sz w:val="13"/>
        </w:rPr>
        <w:t>(Ben </w:t>
      </w:r>
      <w:r>
        <w:rPr>
          <w:w w:val="105"/>
          <w:sz w:val="13"/>
        </w:rPr>
        <w:t>Kenyon), 8 (City of Boroondara), 9 (Nillumbik Shire Council), </w:t>
      </w:r>
      <w:r>
        <w:rPr>
          <w:spacing w:val="-4"/>
          <w:w w:val="105"/>
          <w:sz w:val="13"/>
        </w:rPr>
        <w:t>12  </w:t>
      </w:r>
      <w:r>
        <w:rPr>
          <w:w w:val="105"/>
          <w:sz w:val="13"/>
        </w:rPr>
        <w:t>(City of Port Phillip).</w:t>
      </w:r>
      <w:r>
        <w:rPr>
          <w:spacing w:val="30"/>
          <w:w w:val="105"/>
          <w:sz w:val="13"/>
        </w:rPr>
        <w:t> </w:t>
      </w:r>
      <w:r>
        <w:rPr>
          <w:w w:val="105"/>
          <w:sz w:val="13"/>
        </w:rPr>
        <w:t>244</w:t>
        <w:tab/>
        <w:t>Consultations</w:t>
      </w:r>
      <w:r>
        <w:rPr>
          <w:spacing w:val="8"/>
          <w:w w:val="105"/>
          <w:sz w:val="13"/>
        </w:rPr>
        <w:t> </w:t>
      </w:r>
      <w:r>
        <w:rPr>
          <w:w w:val="105"/>
          <w:sz w:val="13"/>
        </w:rPr>
        <w:t>8</w:t>
      </w:r>
      <w:r>
        <w:rPr>
          <w:spacing w:val="9"/>
          <w:w w:val="105"/>
          <w:sz w:val="13"/>
        </w:rPr>
        <w:t> </w:t>
      </w:r>
      <w:r>
        <w:rPr>
          <w:w w:val="105"/>
          <w:sz w:val="13"/>
        </w:rPr>
        <w:t>(City</w:t>
      </w:r>
      <w:r>
        <w:rPr>
          <w:spacing w:val="9"/>
          <w:w w:val="105"/>
          <w:sz w:val="13"/>
        </w:rPr>
        <w:t> </w:t>
      </w:r>
      <w:r>
        <w:rPr>
          <w:w w:val="105"/>
          <w:sz w:val="13"/>
        </w:rPr>
        <w:t>of</w:t>
      </w:r>
      <w:r>
        <w:rPr>
          <w:spacing w:val="8"/>
          <w:w w:val="105"/>
          <w:sz w:val="13"/>
        </w:rPr>
        <w:t> </w:t>
      </w:r>
      <w:r>
        <w:rPr>
          <w:w w:val="105"/>
          <w:sz w:val="13"/>
        </w:rPr>
        <w:t>Boroondara),</w:t>
      </w:r>
      <w:r>
        <w:rPr>
          <w:spacing w:val="9"/>
          <w:w w:val="105"/>
          <w:sz w:val="13"/>
        </w:rPr>
        <w:t> </w:t>
      </w:r>
      <w:r>
        <w:rPr>
          <w:spacing w:val="-4"/>
          <w:w w:val="105"/>
          <w:sz w:val="13"/>
        </w:rPr>
        <w:t>12</w:t>
      </w:r>
      <w:r>
        <w:rPr>
          <w:spacing w:val="9"/>
          <w:w w:val="105"/>
          <w:sz w:val="13"/>
        </w:rPr>
        <w:t> </w:t>
      </w:r>
      <w:r>
        <w:rPr>
          <w:w w:val="105"/>
          <w:sz w:val="13"/>
        </w:rPr>
        <w:t>(City</w:t>
      </w:r>
      <w:r>
        <w:rPr>
          <w:spacing w:val="8"/>
          <w:w w:val="105"/>
          <w:sz w:val="13"/>
        </w:rPr>
        <w:t> </w:t>
      </w:r>
      <w:r>
        <w:rPr>
          <w:w w:val="105"/>
          <w:sz w:val="13"/>
        </w:rPr>
        <w:t>of</w:t>
      </w:r>
      <w:r>
        <w:rPr>
          <w:spacing w:val="9"/>
          <w:w w:val="105"/>
          <w:sz w:val="13"/>
        </w:rPr>
        <w:t> </w:t>
      </w:r>
      <w:r>
        <w:rPr>
          <w:w w:val="105"/>
          <w:sz w:val="13"/>
        </w:rPr>
        <w:t>Port</w:t>
      </w:r>
      <w:r>
        <w:rPr>
          <w:spacing w:val="9"/>
          <w:w w:val="105"/>
          <w:sz w:val="13"/>
        </w:rPr>
        <w:t> </w:t>
      </w:r>
      <w:r>
        <w:rPr>
          <w:w w:val="105"/>
          <w:sz w:val="13"/>
        </w:rPr>
        <w:t>Phillip).</w:t>
      </w:r>
      <w:r>
        <w:rPr>
          <w:spacing w:val="8"/>
          <w:w w:val="105"/>
          <w:sz w:val="13"/>
        </w:rPr>
        <w:t> </w:t>
      </w:r>
      <w:r>
        <w:rPr>
          <w:spacing w:val="2"/>
          <w:w w:val="105"/>
          <w:sz w:val="13"/>
        </w:rPr>
        <w:t>As</w:t>
      </w:r>
      <w:r>
        <w:rPr>
          <w:spacing w:val="9"/>
          <w:w w:val="105"/>
          <w:sz w:val="13"/>
        </w:rPr>
        <w:t> </w:t>
      </w:r>
      <w:r>
        <w:rPr>
          <w:w w:val="105"/>
          <w:sz w:val="13"/>
        </w:rPr>
        <w:t>discussed</w:t>
      </w:r>
      <w:r>
        <w:rPr>
          <w:spacing w:val="9"/>
          <w:w w:val="105"/>
          <w:sz w:val="13"/>
        </w:rPr>
        <w:t> </w:t>
      </w:r>
      <w:r>
        <w:rPr>
          <w:w w:val="105"/>
          <w:sz w:val="13"/>
        </w:rPr>
        <w:t>in</w:t>
      </w:r>
      <w:r>
        <w:rPr>
          <w:spacing w:val="8"/>
          <w:w w:val="105"/>
          <w:sz w:val="13"/>
        </w:rPr>
        <w:t> </w:t>
      </w:r>
      <w:r>
        <w:rPr>
          <w:w w:val="105"/>
          <w:sz w:val="13"/>
        </w:rPr>
        <w:t>Ch</w:t>
      </w:r>
      <w:r>
        <w:rPr>
          <w:spacing w:val="9"/>
          <w:w w:val="105"/>
          <w:sz w:val="13"/>
        </w:rPr>
        <w:t> </w:t>
      </w:r>
      <w:r>
        <w:rPr>
          <w:w w:val="105"/>
          <w:sz w:val="13"/>
        </w:rPr>
        <w:t>5,</w:t>
      </w:r>
      <w:r>
        <w:rPr>
          <w:spacing w:val="9"/>
          <w:w w:val="105"/>
          <w:sz w:val="13"/>
        </w:rPr>
        <w:t> </w:t>
      </w:r>
      <w:r>
        <w:rPr>
          <w:w w:val="105"/>
          <w:sz w:val="13"/>
        </w:rPr>
        <w:t>the</w:t>
      </w:r>
      <w:r>
        <w:rPr>
          <w:spacing w:val="8"/>
          <w:w w:val="105"/>
          <w:sz w:val="13"/>
        </w:rPr>
        <w:t> </w:t>
      </w:r>
      <w:r>
        <w:rPr>
          <w:w w:val="105"/>
          <w:sz w:val="13"/>
        </w:rPr>
        <w:t>Commission</w:t>
      </w:r>
      <w:r>
        <w:rPr>
          <w:spacing w:val="9"/>
          <w:w w:val="105"/>
          <w:sz w:val="13"/>
        </w:rPr>
        <w:t> </w:t>
      </w:r>
      <w:r>
        <w:rPr>
          <w:w w:val="105"/>
          <w:sz w:val="13"/>
        </w:rPr>
        <w:t>is</w:t>
      </w:r>
      <w:r>
        <w:rPr>
          <w:spacing w:val="9"/>
          <w:w w:val="105"/>
          <w:sz w:val="13"/>
        </w:rPr>
        <w:t> </w:t>
      </w:r>
      <w:r>
        <w:rPr>
          <w:w w:val="105"/>
          <w:sz w:val="13"/>
        </w:rPr>
        <w:t>not</w:t>
      </w:r>
      <w:r>
        <w:rPr>
          <w:spacing w:val="9"/>
          <w:w w:val="105"/>
          <w:sz w:val="13"/>
        </w:rPr>
        <w:t> </w:t>
      </w:r>
      <w:r>
        <w:rPr>
          <w:w w:val="105"/>
          <w:sz w:val="13"/>
        </w:rPr>
        <w:t>recommending</w:t>
      </w:r>
      <w:r>
        <w:rPr>
          <w:spacing w:val="8"/>
          <w:w w:val="105"/>
          <w:sz w:val="13"/>
        </w:rPr>
        <w:t> </w:t>
      </w:r>
      <w:r>
        <w:rPr>
          <w:w w:val="105"/>
          <w:sz w:val="13"/>
        </w:rPr>
        <w:t>a</w:t>
      </w:r>
      <w:r>
        <w:rPr>
          <w:spacing w:val="9"/>
          <w:w w:val="105"/>
          <w:sz w:val="13"/>
        </w:rPr>
        <w:t> </w:t>
      </w:r>
      <w:r>
        <w:rPr>
          <w:w w:val="105"/>
          <w:sz w:val="13"/>
        </w:rPr>
        <w:t>compensation</w:t>
      </w:r>
    </w:p>
    <w:p>
      <w:pPr>
        <w:spacing w:before="3"/>
        <w:ind w:left="1224" w:right="0" w:firstLine="0"/>
        <w:jc w:val="left"/>
        <w:rPr>
          <w:sz w:val="13"/>
        </w:rPr>
      </w:pPr>
      <w:r>
        <w:rPr>
          <w:w w:val="105"/>
          <w:sz w:val="13"/>
        </w:rPr>
        <w:t>scheme for personal injury under the new Act,</w:t>
      </w:r>
    </w:p>
    <w:p>
      <w:pPr>
        <w:tabs>
          <w:tab w:pos="1224" w:val="left" w:leader="none"/>
        </w:tabs>
        <w:spacing w:before="1"/>
        <w:ind w:left="431" w:right="0" w:firstLine="0"/>
        <w:jc w:val="left"/>
        <w:rPr>
          <w:sz w:val="13"/>
        </w:rPr>
      </w:pPr>
      <w:r>
        <w:rPr>
          <w:w w:val="105"/>
          <w:sz w:val="13"/>
        </w:rPr>
        <w:t>245</w:t>
        <w:tab/>
        <w:t>Submission</w:t>
      </w:r>
      <w:r>
        <w:rPr>
          <w:spacing w:val="5"/>
          <w:w w:val="105"/>
          <w:sz w:val="13"/>
        </w:rPr>
        <w:t> </w:t>
      </w:r>
      <w:r>
        <w:rPr>
          <w:w w:val="105"/>
          <w:sz w:val="13"/>
        </w:rPr>
        <w:t>9</w:t>
      </w:r>
      <w:r>
        <w:rPr>
          <w:spacing w:val="5"/>
          <w:w w:val="105"/>
          <w:sz w:val="13"/>
        </w:rPr>
        <w:t> </w:t>
      </w:r>
      <w:r>
        <w:rPr>
          <w:spacing w:val="3"/>
          <w:w w:val="105"/>
          <w:sz w:val="13"/>
        </w:rPr>
        <w:t>(Dr</w:t>
      </w:r>
      <w:r>
        <w:rPr>
          <w:spacing w:val="6"/>
          <w:w w:val="105"/>
          <w:sz w:val="13"/>
        </w:rPr>
        <w:t> </w:t>
      </w:r>
      <w:r>
        <w:rPr>
          <w:w w:val="105"/>
          <w:sz w:val="13"/>
        </w:rPr>
        <w:t>Karen</w:t>
      </w:r>
      <w:r>
        <w:rPr>
          <w:spacing w:val="5"/>
          <w:w w:val="105"/>
          <w:sz w:val="13"/>
        </w:rPr>
        <w:t> </w:t>
      </w:r>
      <w:r>
        <w:rPr>
          <w:w w:val="105"/>
          <w:sz w:val="13"/>
        </w:rPr>
        <w:t>Smith);</w:t>
      </w:r>
      <w:r>
        <w:rPr>
          <w:spacing w:val="5"/>
          <w:w w:val="105"/>
          <w:sz w:val="13"/>
        </w:rPr>
        <w:t> </w:t>
      </w:r>
      <w:r>
        <w:rPr>
          <w:w w:val="105"/>
          <w:sz w:val="13"/>
        </w:rPr>
        <w:t>Consultations</w:t>
      </w:r>
      <w:r>
        <w:rPr>
          <w:spacing w:val="6"/>
          <w:w w:val="105"/>
          <w:sz w:val="13"/>
        </w:rPr>
        <w:t> </w:t>
      </w:r>
      <w:r>
        <w:rPr>
          <w:w w:val="105"/>
          <w:sz w:val="13"/>
        </w:rPr>
        <w:t>8</w:t>
      </w:r>
      <w:r>
        <w:rPr>
          <w:spacing w:val="5"/>
          <w:w w:val="105"/>
          <w:sz w:val="13"/>
        </w:rPr>
        <w:t> </w:t>
      </w:r>
      <w:r>
        <w:rPr>
          <w:w w:val="105"/>
          <w:sz w:val="13"/>
        </w:rPr>
        <w:t>(City</w:t>
      </w:r>
      <w:r>
        <w:rPr>
          <w:spacing w:val="6"/>
          <w:w w:val="105"/>
          <w:sz w:val="13"/>
        </w:rPr>
        <w:t> </w:t>
      </w:r>
      <w:r>
        <w:rPr>
          <w:w w:val="105"/>
          <w:sz w:val="13"/>
        </w:rPr>
        <w:t>of</w:t>
      </w:r>
      <w:r>
        <w:rPr>
          <w:spacing w:val="5"/>
          <w:w w:val="105"/>
          <w:sz w:val="13"/>
        </w:rPr>
        <w:t> </w:t>
      </w:r>
      <w:r>
        <w:rPr>
          <w:w w:val="105"/>
          <w:sz w:val="13"/>
        </w:rPr>
        <w:t>Boroondara),</w:t>
      </w:r>
      <w:r>
        <w:rPr>
          <w:spacing w:val="5"/>
          <w:w w:val="105"/>
          <w:sz w:val="13"/>
        </w:rPr>
        <w:t> </w:t>
      </w:r>
      <w:r>
        <w:rPr>
          <w:w w:val="105"/>
          <w:sz w:val="13"/>
        </w:rPr>
        <w:t>9</w:t>
      </w:r>
      <w:r>
        <w:rPr>
          <w:spacing w:val="6"/>
          <w:w w:val="105"/>
          <w:sz w:val="13"/>
        </w:rPr>
        <w:t> </w:t>
      </w:r>
      <w:r>
        <w:rPr>
          <w:w w:val="105"/>
          <w:sz w:val="13"/>
        </w:rPr>
        <w:t>(Nillumbik</w:t>
      </w:r>
      <w:r>
        <w:rPr>
          <w:spacing w:val="5"/>
          <w:w w:val="105"/>
          <w:sz w:val="13"/>
        </w:rPr>
        <w:t> </w:t>
      </w:r>
      <w:r>
        <w:rPr>
          <w:w w:val="105"/>
          <w:sz w:val="13"/>
        </w:rPr>
        <w:t>Shire</w:t>
      </w:r>
      <w:r>
        <w:rPr>
          <w:spacing w:val="5"/>
          <w:w w:val="105"/>
          <w:sz w:val="13"/>
        </w:rPr>
        <w:t> </w:t>
      </w:r>
      <w:r>
        <w:rPr>
          <w:w w:val="105"/>
          <w:sz w:val="13"/>
        </w:rPr>
        <w:t>Council),</w:t>
      </w:r>
      <w:r>
        <w:rPr>
          <w:spacing w:val="6"/>
          <w:w w:val="105"/>
          <w:sz w:val="13"/>
        </w:rPr>
        <w:t> </w:t>
      </w:r>
      <w:r>
        <w:rPr>
          <w:spacing w:val="-4"/>
          <w:w w:val="105"/>
          <w:sz w:val="13"/>
        </w:rPr>
        <w:t>12</w:t>
      </w:r>
      <w:r>
        <w:rPr>
          <w:spacing w:val="5"/>
          <w:w w:val="105"/>
          <w:sz w:val="13"/>
        </w:rPr>
        <w:t> </w:t>
      </w:r>
      <w:r>
        <w:rPr>
          <w:w w:val="105"/>
          <w:sz w:val="13"/>
        </w:rPr>
        <w:t>(City</w:t>
      </w:r>
      <w:r>
        <w:rPr>
          <w:spacing w:val="6"/>
          <w:w w:val="105"/>
          <w:sz w:val="13"/>
        </w:rPr>
        <w:t> </w:t>
      </w:r>
      <w:r>
        <w:rPr>
          <w:w w:val="105"/>
          <w:sz w:val="13"/>
        </w:rPr>
        <w:t>of</w:t>
      </w:r>
      <w:r>
        <w:rPr>
          <w:spacing w:val="5"/>
          <w:w w:val="105"/>
          <w:sz w:val="13"/>
        </w:rPr>
        <w:t> </w:t>
      </w:r>
      <w:r>
        <w:rPr>
          <w:w w:val="105"/>
          <w:sz w:val="13"/>
        </w:rPr>
        <w:t>Port</w:t>
      </w:r>
      <w:r>
        <w:rPr>
          <w:spacing w:val="5"/>
          <w:w w:val="105"/>
          <w:sz w:val="13"/>
        </w:rPr>
        <w:t> </w:t>
      </w:r>
      <w:r>
        <w:rPr>
          <w:w w:val="105"/>
          <w:sz w:val="13"/>
        </w:rPr>
        <w:t>Phillip).</w:t>
      </w:r>
    </w:p>
    <w:p>
      <w:pPr>
        <w:tabs>
          <w:tab w:pos="1224" w:val="left" w:leader="none"/>
        </w:tabs>
        <w:spacing w:before="1"/>
        <w:ind w:left="431" w:right="0" w:firstLine="0"/>
        <w:jc w:val="left"/>
        <w:rPr>
          <w:sz w:val="13"/>
        </w:rPr>
      </w:pPr>
      <w:r>
        <w:rPr>
          <w:w w:val="105"/>
          <w:sz w:val="13"/>
        </w:rPr>
        <w:t>246</w:t>
        <w:tab/>
        <w:t>Land</w:t>
      </w:r>
      <w:r>
        <w:rPr>
          <w:spacing w:val="5"/>
          <w:w w:val="105"/>
          <w:sz w:val="13"/>
        </w:rPr>
        <w:t> </w:t>
      </w:r>
      <w:r>
        <w:rPr>
          <w:w w:val="105"/>
          <w:sz w:val="13"/>
        </w:rPr>
        <w:t>and</w:t>
      </w:r>
      <w:r>
        <w:rPr>
          <w:spacing w:val="5"/>
          <w:w w:val="105"/>
          <w:sz w:val="13"/>
        </w:rPr>
        <w:t> </w:t>
      </w:r>
      <w:r>
        <w:rPr>
          <w:w w:val="105"/>
          <w:sz w:val="13"/>
        </w:rPr>
        <w:t>Environment</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6"/>
          <w:w w:val="105"/>
          <w:sz w:val="13"/>
        </w:rPr>
        <w:t> </w:t>
      </w:r>
      <w:r>
        <w:rPr>
          <w:w w:val="105"/>
          <w:sz w:val="13"/>
        </w:rPr>
        <w:t>Wales</w:t>
      </w:r>
      <w:r>
        <w:rPr>
          <w:spacing w:val="5"/>
          <w:w w:val="105"/>
          <w:sz w:val="13"/>
        </w:rPr>
        <w:t> </w:t>
      </w:r>
      <w:r>
        <w:rPr>
          <w:spacing w:val="2"/>
          <w:w w:val="105"/>
          <w:sz w:val="13"/>
        </w:rPr>
        <w:t>(NSWLEC),</w:t>
      </w:r>
      <w:r>
        <w:rPr>
          <w:spacing w:val="5"/>
          <w:w w:val="105"/>
          <w:sz w:val="13"/>
        </w:rPr>
        <w:t> </w:t>
      </w:r>
      <w:r>
        <w:rPr>
          <w:i/>
          <w:w w:val="105"/>
          <w:sz w:val="13"/>
        </w:rPr>
        <w:t>Practice</w:t>
      </w:r>
      <w:r>
        <w:rPr>
          <w:i/>
          <w:spacing w:val="5"/>
          <w:w w:val="105"/>
          <w:sz w:val="13"/>
        </w:rPr>
        <w:t> </w:t>
      </w:r>
      <w:r>
        <w:rPr>
          <w:i/>
          <w:w w:val="105"/>
          <w:sz w:val="13"/>
        </w:rPr>
        <w:t>Note</w:t>
      </w:r>
      <w:r>
        <w:rPr>
          <w:i/>
          <w:spacing w:val="5"/>
          <w:w w:val="105"/>
          <w:sz w:val="13"/>
        </w:rPr>
        <w:t> </w:t>
      </w:r>
      <w:r>
        <w:rPr>
          <w:i/>
          <w:w w:val="105"/>
          <w:sz w:val="13"/>
        </w:rPr>
        <w:t>Class</w:t>
      </w:r>
      <w:r>
        <w:rPr>
          <w:i/>
          <w:spacing w:val="5"/>
          <w:w w:val="105"/>
          <w:sz w:val="13"/>
        </w:rPr>
        <w:t> </w:t>
      </w:r>
      <w:r>
        <w:rPr>
          <w:i/>
          <w:w w:val="105"/>
          <w:sz w:val="13"/>
        </w:rPr>
        <w:t>2:</w:t>
      </w:r>
      <w:r>
        <w:rPr>
          <w:i/>
          <w:spacing w:val="6"/>
          <w:w w:val="105"/>
          <w:sz w:val="13"/>
        </w:rPr>
        <w:t> </w:t>
      </w:r>
      <w:r>
        <w:rPr>
          <w:i/>
          <w:w w:val="105"/>
          <w:sz w:val="13"/>
        </w:rPr>
        <w:t>Tree</w:t>
      </w:r>
      <w:r>
        <w:rPr>
          <w:i/>
          <w:spacing w:val="5"/>
          <w:w w:val="105"/>
          <w:sz w:val="13"/>
        </w:rPr>
        <w:t> </w:t>
      </w:r>
      <w:r>
        <w:rPr>
          <w:i/>
          <w:w w:val="105"/>
          <w:sz w:val="13"/>
        </w:rPr>
        <w:t>Applications</w:t>
      </w:r>
      <w:r>
        <w:rPr>
          <w:w w:val="105"/>
          <w:sz w:val="13"/>
        </w:rPr>
        <w:t>,</w:t>
      </w:r>
      <w:r>
        <w:rPr>
          <w:spacing w:val="5"/>
          <w:w w:val="105"/>
          <w:sz w:val="13"/>
        </w:rPr>
        <w:t> </w:t>
      </w:r>
      <w:r>
        <w:rPr>
          <w:w w:val="105"/>
          <w:sz w:val="13"/>
        </w:rPr>
        <w:t>1</w:t>
      </w:r>
      <w:r>
        <w:rPr>
          <w:spacing w:val="5"/>
          <w:w w:val="105"/>
          <w:sz w:val="13"/>
        </w:rPr>
        <w:t> </w:t>
      </w:r>
      <w:r>
        <w:rPr>
          <w:w w:val="105"/>
          <w:sz w:val="13"/>
        </w:rPr>
        <w:t>December</w:t>
      </w:r>
      <w:r>
        <w:rPr>
          <w:spacing w:val="5"/>
          <w:w w:val="105"/>
          <w:sz w:val="13"/>
        </w:rPr>
        <w:t> </w:t>
      </w:r>
      <w:r>
        <w:rPr>
          <w:w w:val="105"/>
          <w:sz w:val="13"/>
        </w:rPr>
        <w:t>2018,</w:t>
      </w:r>
      <w:r>
        <w:rPr>
          <w:spacing w:val="5"/>
          <w:w w:val="105"/>
          <w:sz w:val="13"/>
        </w:rPr>
        <w:t> </w:t>
      </w:r>
      <w:r>
        <w:rPr>
          <w:w w:val="105"/>
          <w:sz w:val="13"/>
        </w:rPr>
        <w:t>sch</w:t>
      </w:r>
      <w:r>
        <w:rPr>
          <w:spacing w:val="5"/>
          <w:w w:val="105"/>
          <w:sz w:val="13"/>
        </w:rPr>
        <w:t> </w:t>
      </w:r>
      <w:r>
        <w:rPr>
          <w:w w:val="105"/>
          <w:sz w:val="13"/>
        </w:rPr>
        <w:t>B.</w:t>
      </w:r>
    </w:p>
    <w:p>
      <w:pPr>
        <w:spacing w:after="0"/>
        <w:jc w:val="left"/>
        <w:rPr>
          <w:sz w:val="13"/>
        </w:rPr>
        <w:sectPr>
          <w:type w:val="continuous"/>
          <w:pgSz w:w="11910" w:h="16840"/>
          <w:pgMar w:top="300" w:bottom="280" w:left="0" w:right="0"/>
          <w:cols w:num="2" w:equalWidth="0">
            <w:col w:w="1117" w:space="40"/>
            <w:col w:w="10753"/>
          </w:cols>
        </w:sectPr>
      </w:pPr>
    </w:p>
    <w:p>
      <w:pPr>
        <w:pStyle w:val="BodyText"/>
        <w:rPr>
          <w:sz w:val="20"/>
        </w:rPr>
      </w:pPr>
    </w:p>
    <w:p>
      <w:pPr>
        <w:pStyle w:val="BodyText"/>
        <w:rPr>
          <w:sz w:val="20"/>
        </w:rPr>
      </w:pPr>
    </w:p>
    <w:p>
      <w:pPr>
        <w:pStyle w:val="BodyText"/>
        <w:spacing w:before="3"/>
        <w:rPr>
          <w:sz w:val="15"/>
        </w:rPr>
      </w:pPr>
    </w:p>
    <w:p>
      <w:pPr>
        <w:spacing w:before="94"/>
        <w:ind w:left="1814" w:right="0" w:firstLine="0"/>
        <w:jc w:val="left"/>
        <w:rPr>
          <w:b/>
          <w:sz w:val="32"/>
        </w:rPr>
      </w:pPr>
      <w:r>
        <w:rPr/>
        <w:pict>
          <v:group style="position:absolute;margin-left:62.362202pt;margin-top:-3.404124pt;width:479.1pt;height:378.4pt;mso-position-horizontal-relative:page;mso-position-vertical-relative:paragraph;z-index:-448744" coordorigin="1247,-68" coordsize="9582,7568">
            <v:rect style="position:absolute;left:1587;top:-69;width:8731;height:7568" filled="true" fillcolor="#dbe0dd" stroked="false">
              <v:fill type="solid"/>
            </v:rect>
            <v:line style="position:absolute" from="1247,679" to="10828,679" stroked="true" strokeweight="2.5pt" strokecolor="#ffffff">
              <v:stroke dashstyle="solid"/>
            </v:line>
            <w10:wrap type="none"/>
          </v:group>
        </w:pict>
      </w:r>
      <w:r>
        <w:rPr>
          <w:b/>
          <w:color w:val="658464"/>
          <w:w w:val="110"/>
          <w:sz w:val="32"/>
        </w:rPr>
        <w:t>Recommendations</w:t>
      </w:r>
    </w:p>
    <w:p>
      <w:pPr>
        <w:pStyle w:val="BodyText"/>
        <w:spacing w:before="1"/>
        <w:rPr>
          <w:b/>
          <w:sz w:val="35"/>
        </w:rPr>
      </w:pPr>
    </w:p>
    <w:p>
      <w:pPr>
        <w:pStyle w:val="ListParagraph"/>
        <w:numPr>
          <w:ilvl w:val="0"/>
          <w:numId w:val="141"/>
        </w:numPr>
        <w:tabs>
          <w:tab w:pos="2382" w:val="left" w:leader="none"/>
        </w:tabs>
        <w:spacing w:line="242" w:lineRule="auto" w:before="0" w:after="0"/>
        <w:ind w:left="2381" w:right="2224" w:hanging="567"/>
        <w:jc w:val="both"/>
        <w:rPr>
          <w:sz w:val="21"/>
        </w:rPr>
      </w:pPr>
      <w:r>
        <w:rPr>
          <w:w w:val="115"/>
          <w:sz w:val="21"/>
        </w:rPr>
        <w:t>The</w:t>
      </w:r>
      <w:r>
        <w:rPr>
          <w:spacing w:val="-7"/>
          <w:w w:val="115"/>
          <w:sz w:val="21"/>
        </w:rPr>
        <w:t> </w:t>
      </w:r>
      <w:r>
        <w:rPr>
          <w:w w:val="115"/>
          <w:sz w:val="21"/>
        </w:rPr>
        <w:t>Victorian</w:t>
      </w:r>
      <w:r>
        <w:rPr>
          <w:spacing w:val="-7"/>
          <w:w w:val="115"/>
          <w:sz w:val="21"/>
        </w:rPr>
        <w:t> </w:t>
      </w:r>
      <w:r>
        <w:rPr>
          <w:w w:val="115"/>
          <w:sz w:val="21"/>
        </w:rPr>
        <w:t>Civil</w:t>
      </w:r>
      <w:r>
        <w:rPr>
          <w:spacing w:val="-7"/>
          <w:w w:val="115"/>
          <w:sz w:val="21"/>
        </w:rPr>
        <w:t> </w:t>
      </w:r>
      <w:r>
        <w:rPr>
          <w:w w:val="115"/>
          <w:sz w:val="21"/>
        </w:rPr>
        <w:t>and</w:t>
      </w:r>
      <w:r>
        <w:rPr>
          <w:spacing w:val="-6"/>
          <w:w w:val="115"/>
          <w:sz w:val="21"/>
        </w:rPr>
        <w:t> </w:t>
      </w:r>
      <w:r>
        <w:rPr>
          <w:w w:val="115"/>
          <w:sz w:val="21"/>
        </w:rPr>
        <w:t>Administrative</w:t>
      </w:r>
      <w:r>
        <w:rPr>
          <w:spacing w:val="-7"/>
          <w:w w:val="115"/>
          <w:sz w:val="21"/>
        </w:rPr>
        <w:t> </w:t>
      </w:r>
      <w:r>
        <w:rPr>
          <w:spacing w:val="-4"/>
          <w:w w:val="115"/>
          <w:sz w:val="21"/>
        </w:rPr>
        <w:t>Tribunal</w:t>
      </w:r>
      <w:r>
        <w:rPr>
          <w:spacing w:val="-7"/>
          <w:w w:val="115"/>
          <w:sz w:val="21"/>
        </w:rPr>
        <w:t> </w:t>
      </w:r>
      <w:r>
        <w:rPr>
          <w:w w:val="115"/>
          <w:sz w:val="21"/>
        </w:rPr>
        <w:t>should</w:t>
      </w:r>
      <w:r>
        <w:rPr>
          <w:spacing w:val="-6"/>
          <w:w w:val="115"/>
          <w:sz w:val="21"/>
        </w:rPr>
        <w:t> </w:t>
      </w:r>
      <w:r>
        <w:rPr>
          <w:w w:val="115"/>
          <w:sz w:val="21"/>
        </w:rPr>
        <w:t>direct</w:t>
      </w:r>
      <w:r>
        <w:rPr>
          <w:spacing w:val="-7"/>
          <w:w w:val="115"/>
          <w:sz w:val="21"/>
        </w:rPr>
        <w:t> </w:t>
      </w:r>
      <w:r>
        <w:rPr>
          <w:w w:val="115"/>
          <w:sz w:val="21"/>
        </w:rPr>
        <w:t>experts</w:t>
      </w:r>
      <w:r>
        <w:rPr>
          <w:spacing w:val="-7"/>
          <w:w w:val="115"/>
          <w:sz w:val="21"/>
        </w:rPr>
        <w:t> </w:t>
      </w:r>
      <w:r>
        <w:rPr>
          <w:w w:val="115"/>
          <w:sz w:val="21"/>
        </w:rPr>
        <w:t>in</w:t>
      </w:r>
      <w:r>
        <w:rPr>
          <w:spacing w:val="-7"/>
          <w:w w:val="115"/>
          <w:sz w:val="21"/>
        </w:rPr>
        <w:t> </w:t>
      </w:r>
      <w:r>
        <w:rPr>
          <w:w w:val="115"/>
          <w:sz w:val="21"/>
        </w:rPr>
        <w:t>tree dispute</w:t>
      </w:r>
      <w:r>
        <w:rPr>
          <w:spacing w:val="-12"/>
          <w:w w:val="115"/>
          <w:sz w:val="21"/>
        </w:rPr>
        <w:t> </w:t>
      </w:r>
      <w:r>
        <w:rPr>
          <w:w w:val="115"/>
          <w:sz w:val="21"/>
        </w:rPr>
        <w:t>matters</w:t>
      </w:r>
      <w:r>
        <w:rPr>
          <w:spacing w:val="-12"/>
          <w:w w:val="115"/>
          <w:sz w:val="21"/>
        </w:rPr>
        <w:t> </w:t>
      </w:r>
      <w:r>
        <w:rPr>
          <w:w w:val="115"/>
          <w:sz w:val="21"/>
        </w:rPr>
        <w:t>to</w:t>
      </w:r>
      <w:r>
        <w:rPr>
          <w:spacing w:val="-12"/>
          <w:w w:val="115"/>
          <w:sz w:val="21"/>
        </w:rPr>
        <w:t> </w:t>
      </w:r>
      <w:r>
        <w:rPr>
          <w:w w:val="115"/>
          <w:sz w:val="21"/>
        </w:rPr>
        <w:t>comply</w:t>
      </w:r>
      <w:r>
        <w:rPr>
          <w:spacing w:val="-12"/>
          <w:w w:val="115"/>
          <w:sz w:val="21"/>
        </w:rPr>
        <w:t> </w:t>
      </w:r>
      <w:r>
        <w:rPr>
          <w:w w:val="115"/>
          <w:sz w:val="21"/>
        </w:rPr>
        <w:t>with</w:t>
      </w:r>
      <w:r>
        <w:rPr>
          <w:spacing w:val="-11"/>
          <w:w w:val="115"/>
          <w:sz w:val="21"/>
        </w:rPr>
        <w:t> </w:t>
      </w:r>
      <w:r>
        <w:rPr>
          <w:w w:val="115"/>
          <w:sz w:val="21"/>
        </w:rPr>
        <w:t>clause</w:t>
      </w:r>
      <w:r>
        <w:rPr>
          <w:spacing w:val="-12"/>
          <w:w w:val="115"/>
          <w:sz w:val="21"/>
        </w:rPr>
        <w:t> </w:t>
      </w:r>
      <w:r>
        <w:rPr>
          <w:spacing w:val="-10"/>
          <w:w w:val="115"/>
          <w:sz w:val="21"/>
        </w:rPr>
        <w:t>11</w:t>
      </w:r>
      <w:r>
        <w:rPr>
          <w:spacing w:val="-12"/>
          <w:w w:val="115"/>
          <w:sz w:val="21"/>
        </w:rPr>
        <w:t> </w:t>
      </w:r>
      <w:r>
        <w:rPr>
          <w:w w:val="115"/>
          <w:sz w:val="21"/>
        </w:rPr>
        <w:t>of</w:t>
      </w:r>
      <w:r>
        <w:rPr>
          <w:spacing w:val="-12"/>
          <w:w w:val="115"/>
          <w:sz w:val="21"/>
        </w:rPr>
        <w:t> </w:t>
      </w:r>
      <w:r>
        <w:rPr>
          <w:w w:val="115"/>
          <w:sz w:val="21"/>
        </w:rPr>
        <w:t>Practice</w:t>
      </w:r>
      <w:r>
        <w:rPr>
          <w:spacing w:val="-11"/>
          <w:w w:val="115"/>
          <w:sz w:val="21"/>
        </w:rPr>
        <w:t> </w:t>
      </w:r>
      <w:r>
        <w:rPr>
          <w:w w:val="115"/>
          <w:sz w:val="21"/>
        </w:rPr>
        <w:t>Note</w:t>
      </w:r>
      <w:r>
        <w:rPr>
          <w:spacing w:val="-12"/>
          <w:w w:val="115"/>
          <w:sz w:val="21"/>
        </w:rPr>
        <w:t> </w:t>
      </w:r>
      <w:r>
        <w:rPr>
          <w:w w:val="115"/>
          <w:sz w:val="21"/>
        </w:rPr>
        <w:t>PNVCAT2:</w:t>
      </w:r>
      <w:r>
        <w:rPr>
          <w:spacing w:val="-12"/>
          <w:w w:val="115"/>
          <w:sz w:val="21"/>
        </w:rPr>
        <w:t> </w:t>
      </w:r>
      <w:r>
        <w:rPr>
          <w:w w:val="115"/>
          <w:sz w:val="21"/>
        </w:rPr>
        <w:t>Expert Evidence, 1 October </w:t>
      </w:r>
      <w:r>
        <w:rPr>
          <w:spacing w:val="-6"/>
          <w:w w:val="115"/>
          <w:sz w:val="21"/>
        </w:rPr>
        <w:t>2014 </w:t>
      </w:r>
      <w:r>
        <w:rPr>
          <w:w w:val="115"/>
          <w:sz w:val="21"/>
        </w:rPr>
        <w:t>with the </w:t>
      </w:r>
      <w:r>
        <w:rPr>
          <w:spacing w:val="-2"/>
          <w:w w:val="115"/>
          <w:sz w:val="21"/>
        </w:rPr>
        <w:t>following </w:t>
      </w:r>
      <w:r>
        <w:rPr>
          <w:w w:val="115"/>
          <w:sz w:val="21"/>
        </w:rPr>
        <w:t>additional</w:t>
      </w:r>
      <w:r>
        <w:rPr>
          <w:spacing w:val="-13"/>
          <w:w w:val="115"/>
          <w:sz w:val="21"/>
        </w:rPr>
        <w:t> </w:t>
      </w:r>
      <w:r>
        <w:rPr>
          <w:w w:val="115"/>
          <w:sz w:val="21"/>
        </w:rPr>
        <w:t>requirements:</w:t>
      </w:r>
    </w:p>
    <w:p>
      <w:pPr>
        <w:pStyle w:val="ListParagraph"/>
        <w:numPr>
          <w:ilvl w:val="1"/>
          <w:numId w:val="141"/>
        </w:numPr>
        <w:tabs>
          <w:tab w:pos="2948" w:val="left" w:leader="none"/>
          <w:tab w:pos="2949" w:val="left" w:leader="none"/>
        </w:tabs>
        <w:spacing w:line="242" w:lineRule="auto" w:before="123" w:after="0"/>
        <w:ind w:left="2948" w:right="2034" w:hanging="567"/>
        <w:jc w:val="left"/>
        <w:rPr>
          <w:sz w:val="21"/>
        </w:rPr>
      </w:pPr>
      <w:r>
        <w:rPr>
          <w:w w:val="115"/>
          <w:sz w:val="21"/>
        </w:rPr>
        <w:t>a</w:t>
      </w:r>
      <w:r>
        <w:rPr>
          <w:spacing w:val="-12"/>
          <w:w w:val="115"/>
          <w:sz w:val="21"/>
        </w:rPr>
        <w:t> </w:t>
      </w:r>
      <w:r>
        <w:rPr>
          <w:w w:val="115"/>
          <w:sz w:val="21"/>
        </w:rPr>
        <w:t>requirement</w:t>
      </w:r>
      <w:r>
        <w:rPr>
          <w:spacing w:val="-11"/>
          <w:w w:val="115"/>
          <w:sz w:val="21"/>
        </w:rPr>
        <w:t> </w:t>
      </w:r>
      <w:r>
        <w:rPr>
          <w:w w:val="115"/>
          <w:sz w:val="21"/>
        </w:rPr>
        <w:t>that</w:t>
      </w:r>
      <w:r>
        <w:rPr>
          <w:spacing w:val="-11"/>
          <w:w w:val="115"/>
          <w:sz w:val="21"/>
        </w:rPr>
        <w:t> </w:t>
      </w:r>
      <w:r>
        <w:rPr>
          <w:w w:val="115"/>
          <w:sz w:val="21"/>
        </w:rPr>
        <w:t>the</w:t>
      </w:r>
      <w:r>
        <w:rPr>
          <w:spacing w:val="-11"/>
          <w:w w:val="115"/>
          <w:sz w:val="21"/>
        </w:rPr>
        <w:t> </w:t>
      </w:r>
      <w:r>
        <w:rPr>
          <w:w w:val="115"/>
          <w:sz w:val="21"/>
        </w:rPr>
        <w:t>on-site</w:t>
      </w:r>
      <w:r>
        <w:rPr>
          <w:spacing w:val="-11"/>
          <w:w w:val="115"/>
          <w:sz w:val="21"/>
        </w:rPr>
        <w:t> </w:t>
      </w:r>
      <w:r>
        <w:rPr>
          <w:w w:val="115"/>
          <w:sz w:val="21"/>
        </w:rPr>
        <w:t>assessment</w:t>
      </w:r>
      <w:r>
        <w:rPr>
          <w:spacing w:val="-11"/>
          <w:w w:val="115"/>
          <w:sz w:val="21"/>
        </w:rPr>
        <w:t> </w:t>
      </w:r>
      <w:r>
        <w:rPr>
          <w:w w:val="115"/>
          <w:sz w:val="21"/>
        </w:rPr>
        <w:t>has</w:t>
      </w:r>
      <w:r>
        <w:rPr>
          <w:spacing w:val="-11"/>
          <w:w w:val="115"/>
          <w:sz w:val="21"/>
        </w:rPr>
        <w:t> </w:t>
      </w:r>
      <w:r>
        <w:rPr>
          <w:w w:val="115"/>
          <w:sz w:val="21"/>
        </w:rPr>
        <w:t>been</w:t>
      </w:r>
      <w:r>
        <w:rPr>
          <w:spacing w:val="-11"/>
          <w:w w:val="115"/>
          <w:sz w:val="21"/>
        </w:rPr>
        <w:t> </w:t>
      </w:r>
      <w:r>
        <w:rPr>
          <w:w w:val="115"/>
          <w:sz w:val="21"/>
        </w:rPr>
        <w:t>undertaken</w:t>
      </w:r>
      <w:r>
        <w:rPr>
          <w:spacing w:val="-11"/>
          <w:w w:val="115"/>
          <w:sz w:val="21"/>
        </w:rPr>
        <w:t> </w:t>
      </w:r>
      <w:r>
        <w:rPr>
          <w:w w:val="115"/>
          <w:sz w:val="21"/>
        </w:rPr>
        <w:t>during the three months leading up to the</w:t>
      </w:r>
      <w:r>
        <w:rPr>
          <w:spacing w:val="2"/>
          <w:w w:val="115"/>
          <w:sz w:val="21"/>
        </w:rPr>
        <w:t> </w:t>
      </w:r>
      <w:r>
        <w:rPr>
          <w:w w:val="115"/>
          <w:sz w:val="21"/>
        </w:rPr>
        <w:t>hearing</w:t>
      </w:r>
    </w:p>
    <w:p>
      <w:pPr>
        <w:pStyle w:val="ListParagraph"/>
        <w:numPr>
          <w:ilvl w:val="1"/>
          <w:numId w:val="141"/>
        </w:numPr>
        <w:tabs>
          <w:tab w:pos="2949" w:val="left" w:leader="none"/>
        </w:tabs>
        <w:spacing w:line="242" w:lineRule="auto" w:before="122" w:after="0"/>
        <w:ind w:left="2948" w:right="2457" w:hanging="567"/>
        <w:jc w:val="both"/>
        <w:rPr>
          <w:sz w:val="21"/>
        </w:rPr>
      </w:pPr>
      <w:r>
        <w:rPr>
          <w:w w:val="115"/>
          <w:sz w:val="21"/>
        </w:rPr>
        <w:t>a</w:t>
      </w:r>
      <w:r>
        <w:rPr>
          <w:spacing w:val="-11"/>
          <w:w w:val="115"/>
          <w:sz w:val="21"/>
        </w:rPr>
        <w:t> </w:t>
      </w:r>
      <w:r>
        <w:rPr>
          <w:w w:val="115"/>
          <w:sz w:val="21"/>
        </w:rPr>
        <w:t>detailed</w:t>
      </w:r>
      <w:r>
        <w:rPr>
          <w:spacing w:val="-10"/>
          <w:w w:val="115"/>
          <w:sz w:val="21"/>
        </w:rPr>
        <w:t> </w:t>
      </w:r>
      <w:r>
        <w:rPr>
          <w:w w:val="115"/>
          <w:sz w:val="21"/>
        </w:rPr>
        <w:t>description</w:t>
      </w:r>
      <w:r>
        <w:rPr>
          <w:spacing w:val="-10"/>
          <w:w w:val="115"/>
          <w:sz w:val="21"/>
        </w:rPr>
        <w:t> </w:t>
      </w:r>
      <w:r>
        <w:rPr>
          <w:w w:val="115"/>
          <w:sz w:val="21"/>
        </w:rPr>
        <w:t>of</w:t>
      </w:r>
      <w:r>
        <w:rPr>
          <w:spacing w:val="-10"/>
          <w:w w:val="115"/>
          <w:sz w:val="21"/>
        </w:rPr>
        <w:t> </w:t>
      </w:r>
      <w:r>
        <w:rPr>
          <w:w w:val="115"/>
          <w:sz w:val="21"/>
        </w:rPr>
        <w:t>the</w:t>
      </w:r>
      <w:r>
        <w:rPr>
          <w:spacing w:val="-11"/>
          <w:w w:val="115"/>
          <w:sz w:val="21"/>
        </w:rPr>
        <w:t> </w:t>
      </w:r>
      <w:r>
        <w:rPr>
          <w:w w:val="115"/>
          <w:sz w:val="21"/>
        </w:rPr>
        <w:t>assessment</w:t>
      </w:r>
      <w:r>
        <w:rPr>
          <w:spacing w:val="-10"/>
          <w:w w:val="115"/>
          <w:sz w:val="21"/>
        </w:rPr>
        <w:t> </w:t>
      </w:r>
      <w:r>
        <w:rPr>
          <w:w w:val="115"/>
          <w:sz w:val="21"/>
        </w:rPr>
        <w:t>methodology</w:t>
      </w:r>
      <w:r>
        <w:rPr>
          <w:spacing w:val="-10"/>
          <w:w w:val="115"/>
          <w:sz w:val="21"/>
        </w:rPr>
        <w:t> </w:t>
      </w:r>
      <w:r>
        <w:rPr>
          <w:w w:val="115"/>
          <w:sz w:val="21"/>
        </w:rPr>
        <w:t>relied</w:t>
      </w:r>
      <w:r>
        <w:rPr>
          <w:spacing w:val="-10"/>
          <w:w w:val="115"/>
          <w:sz w:val="21"/>
        </w:rPr>
        <w:t> </w:t>
      </w:r>
      <w:r>
        <w:rPr>
          <w:w w:val="115"/>
          <w:sz w:val="21"/>
        </w:rPr>
        <w:t>upon, including the date of the tree inspection and </w:t>
      </w:r>
      <w:r>
        <w:rPr>
          <w:spacing w:val="-2"/>
          <w:w w:val="115"/>
          <w:sz w:val="21"/>
        </w:rPr>
        <w:t>any </w:t>
      </w:r>
      <w:r>
        <w:rPr>
          <w:w w:val="115"/>
          <w:sz w:val="21"/>
        </w:rPr>
        <w:t>limitations of the assessment</w:t>
      </w:r>
    </w:p>
    <w:p>
      <w:pPr>
        <w:pStyle w:val="ListParagraph"/>
        <w:numPr>
          <w:ilvl w:val="1"/>
          <w:numId w:val="141"/>
        </w:numPr>
        <w:tabs>
          <w:tab w:pos="2948" w:val="left" w:leader="none"/>
          <w:tab w:pos="2949" w:val="left" w:leader="none"/>
        </w:tabs>
        <w:spacing w:line="242" w:lineRule="auto" w:before="124" w:after="0"/>
        <w:ind w:left="2948" w:right="1889" w:hanging="567"/>
        <w:jc w:val="left"/>
        <w:rPr>
          <w:sz w:val="21"/>
        </w:rPr>
      </w:pPr>
      <w:r>
        <w:rPr>
          <w:w w:val="115"/>
          <w:sz w:val="21"/>
        </w:rPr>
        <w:t>a</w:t>
      </w:r>
      <w:r>
        <w:rPr>
          <w:spacing w:val="-10"/>
          <w:w w:val="115"/>
          <w:sz w:val="21"/>
        </w:rPr>
        <w:t> </w:t>
      </w:r>
      <w:r>
        <w:rPr>
          <w:w w:val="115"/>
          <w:sz w:val="21"/>
        </w:rPr>
        <w:t>record</w:t>
      </w:r>
      <w:r>
        <w:rPr>
          <w:spacing w:val="-10"/>
          <w:w w:val="115"/>
          <w:sz w:val="21"/>
        </w:rPr>
        <w:t> </w:t>
      </w:r>
      <w:r>
        <w:rPr>
          <w:w w:val="115"/>
          <w:sz w:val="21"/>
        </w:rPr>
        <w:t>of</w:t>
      </w:r>
      <w:r>
        <w:rPr>
          <w:spacing w:val="-10"/>
          <w:w w:val="115"/>
          <w:sz w:val="21"/>
        </w:rPr>
        <w:t> </w:t>
      </w:r>
      <w:r>
        <w:rPr>
          <w:w w:val="115"/>
          <w:sz w:val="21"/>
        </w:rPr>
        <w:t>the</w:t>
      </w:r>
      <w:r>
        <w:rPr>
          <w:spacing w:val="-10"/>
          <w:w w:val="115"/>
          <w:sz w:val="21"/>
        </w:rPr>
        <w:t> </w:t>
      </w:r>
      <w:r>
        <w:rPr>
          <w:w w:val="115"/>
          <w:sz w:val="21"/>
        </w:rPr>
        <w:t>expert’s</w:t>
      </w:r>
      <w:r>
        <w:rPr>
          <w:spacing w:val="-10"/>
          <w:w w:val="115"/>
          <w:sz w:val="21"/>
        </w:rPr>
        <w:t> </w:t>
      </w:r>
      <w:r>
        <w:rPr>
          <w:w w:val="115"/>
          <w:sz w:val="21"/>
        </w:rPr>
        <w:t>observation</w:t>
      </w:r>
      <w:r>
        <w:rPr>
          <w:spacing w:val="-10"/>
          <w:w w:val="115"/>
          <w:sz w:val="21"/>
        </w:rPr>
        <w:t> </w:t>
      </w:r>
      <w:r>
        <w:rPr>
          <w:w w:val="115"/>
          <w:sz w:val="21"/>
        </w:rPr>
        <w:t>of</w:t>
      </w:r>
      <w:r>
        <w:rPr>
          <w:spacing w:val="-10"/>
          <w:w w:val="115"/>
          <w:sz w:val="21"/>
        </w:rPr>
        <w:t> </w:t>
      </w:r>
      <w:r>
        <w:rPr>
          <w:w w:val="115"/>
          <w:sz w:val="21"/>
        </w:rPr>
        <w:t>the</w:t>
      </w:r>
      <w:r>
        <w:rPr>
          <w:spacing w:val="-10"/>
          <w:w w:val="115"/>
          <w:sz w:val="21"/>
        </w:rPr>
        <w:t> </w:t>
      </w:r>
      <w:r>
        <w:rPr>
          <w:w w:val="115"/>
          <w:sz w:val="21"/>
        </w:rPr>
        <w:t>tree,</w:t>
      </w:r>
      <w:r>
        <w:rPr>
          <w:spacing w:val="-10"/>
          <w:w w:val="115"/>
          <w:sz w:val="21"/>
        </w:rPr>
        <w:t> </w:t>
      </w:r>
      <w:r>
        <w:rPr>
          <w:w w:val="115"/>
          <w:sz w:val="21"/>
        </w:rPr>
        <w:t>providing</w:t>
      </w:r>
      <w:r>
        <w:rPr>
          <w:spacing w:val="-10"/>
          <w:w w:val="115"/>
          <w:sz w:val="21"/>
        </w:rPr>
        <w:t> </w:t>
      </w:r>
      <w:r>
        <w:rPr>
          <w:w w:val="115"/>
          <w:sz w:val="21"/>
        </w:rPr>
        <w:t>an</w:t>
      </w:r>
      <w:r>
        <w:rPr>
          <w:spacing w:val="-10"/>
          <w:w w:val="115"/>
          <w:sz w:val="21"/>
        </w:rPr>
        <w:t> </w:t>
      </w:r>
      <w:r>
        <w:rPr>
          <w:w w:val="115"/>
          <w:sz w:val="21"/>
        </w:rPr>
        <w:t>assessment of</w:t>
      </w:r>
      <w:r>
        <w:rPr>
          <w:spacing w:val="-5"/>
          <w:w w:val="115"/>
          <w:sz w:val="21"/>
        </w:rPr>
        <w:t> </w:t>
      </w:r>
      <w:r>
        <w:rPr>
          <w:w w:val="115"/>
          <w:sz w:val="21"/>
        </w:rPr>
        <w:t>the</w:t>
      </w:r>
      <w:r>
        <w:rPr>
          <w:spacing w:val="-5"/>
          <w:w w:val="115"/>
          <w:sz w:val="21"/>
        </w:rPr>
        <w:t> </w:t>
      </w:r>
      <w:r>
        <w:rPr>
          <w:w w:val="115"/>
          <w:sz w:val="21"/>
        </w:rPr>
        <w:t>categories</w:t>
      </w:r>
      <w:r>
        <w:rPr>
          <w:spacing w:val="-5"/>
          <w:w w:val="115"/>
          <w:sz w:val="21"/>
        </w:rPr>
        <w:t> </w:t>
      </w:r>
      <w:r>
        <w:rPr>
          <w:w w:val="115"/>
          <w:sz w:val="21"/>
        </w:rPr>
        <w:t>for</w:t>
      </w:r>
      <w:r>
        <w:rPr>
          <w:spacing w:val="-5"/>
          <w:w w:val="115"/>
          <w:sz w:val="21"/>
        </w:rPr>
        <w:t> </w:t>
      </w:r>
      <w:r>
        <w:rPr>
          <w:w w:val="115"/>
          <w:sz w:val="21"/>
        </w:rPr>
        <w:t>the</w:t>
      </w:r>
      <w:r>
        <w:rPr>
          <w:spacing w:val="-4"/>
          <w:w w:val="115"/>
          <w:sz w:val="21"/>
        </w:rPr>
        <w:t> </w:t>
      </w:r>
      <w:r>
        <w:rPr>
          <w:w w:val="115"/>
          <w:sz w:val="21"/>
        </w:rPr>
        <w:t>tree’s</w:t>
      </w:r>
      <w:r>
        <w:rPr>
          <w:spacing w:val="-5"/>
          <w:w w:val="115"/>
          <w:sz w:val="21"/>
        </w:rPr>
        <w:t> </w:t>
      </w:r>
      <w:r>
        <w:rPr>
          <w:w w:val="115"/>
          <w:sz w:val="21"/>
        </w:rPr>
        <w:t>health,</w:t>
      </w:r>
      <w:r>
        <w:rPr>
          <w:spacing w:val="-5"/>
          <w:w w:val="115"/>
          <w:sz w:val="21"/>
        </w:rPr>
        <w:t> </w:t>
      </w:r>
      <w:r>
        <w:rPr>
          <w:w w:val="115"/>
          <w:sz w:val="21"/>
        </w:rPr>
        <w:t>condition,</w:t>
      </w:r>
      <w:r>
        <w:rPr>
          <w:spacing w:val="-5"/>
          <w:w w:val="115"/>
          <w:sz w:val="21"/>
        </w:rPr>
        <w:t> </w:t>
      </w:r>
      <w:r>
        <w:rPr>
          <w:w w:val="115"/>
          <w:sz w:val="21"/>
        </w:rPr>
        <w:t>form</w:t>
      </w:r>
      <w:r>
        <w:rPr>
          <w:spacing w:val="-4"/>
          <w:w w:val="115"/>
          <w:sz w:val="21"/>
        </w:rPr>
        <w:t> </w:t>
      </w:r>
      <w:r>
        <w:rPr>
          <w:w w:val="115"/>
          <w:sz w:val="21"/>
        </w:rPr>
        <w:t>and</w:t>
      </w:r>
      <w:r>
        <w:rPr>
          <w:spacing w:val="-5"/>
          <w:w w:val="115"/>
          <w:sz w:val="21"/>
        </w:rPr>
        <w:t> </w:t>
      </w:r>
      <w:r>
        <w:rPr>
          <w:w w:val="115"/>
          <w:sz w:val="21"/>
        </w:rPr>
        <w:t>structure</w:t>
      </w:r>
    </w:p>
    <w:p>
      <w:pPr>
        <w:pStyle w:val="ListParagraph"/>
        <w:numPr>
          <w:ilvl w:val="1"/>
          <w:numId w:val="141"/>
        </w:numPr>
        <w:tabs>
          <w:tab w:pos="2948" w:val="left" w:leader="none"/>
          <w:tab w:pos="2949" w:val="left" w:leader="none"/>
        </w:tabs>
        <w:spacing w:line="242" w:lineRule="auto" w:before="122" w:after="0"/>
        <w:ind w:left="2948" w:right="2587" w:hanging="567"/>
        <w:jc w:val="left"/>
        <w:rPr>
          <w:sz w:val="21"/>
        </w:rPr>
      </w:pPr>
      <w:r>
        <w:rPr>
          <w:w w:val="115"/>
          <w:sz w:val="21"/>
        </w:rPr>
        <w:t>a photograph supporting observations and </w:t>
      </w:r>
      <w:r>
        <w:rPr>
          <w:spacing w:val="-3"/>
          <w:w w:val="115"/>
          <w:sz w:val="21"/>
        </w:rPr>
        <w:t>highlighting </w:t>
      </w:r>
      <w:r>
        <w:rPr>
          <w:w w:val="115"/>
          <w:sz w:val="21"/>
        </w:rPr>
        <w:t>points of interest</w:t>
      </w:r>
    </w:p>
    <w:p>
      <w:pPr>
        <w:pStyle w:val="ListParagraph"/>
        <w:numPr>
          <w:ilvl w:val="1"/>
          <w:numId w:val="141"/>
        </w:numPr>
        <w:tabs>
          <w:tab w:pos="2948" w:val="left" w:leader="none"/>
          <w:tab w:pos="2949" w:val="left" w:leader="none"/>
        </w:tabs>
        <w:spacing w:line="242" w:lineRule="auto" w:before="122" w:after="0"/>
        <w:ind w:left="2948" w:right="2035" w:hanging="567"/>
        <w:jc w:val="left"/>
        <w:rPr>
          <w:sz w:val="21"/>
        </w:rPr>
      </w:pPr>
      <w:r>
        <w:rPr>
          <w:w w:val="115"/>
          <w:sz w:val="21"/>
        </w:rPr>
        <w:t>details</w:t>
      </w:r>
      <w:r>
        <w:rPr>
          <w:spacing w:val="-7"/>
          <w:w w:val="115"/>
          <w:sz w:val="21"/>
        </w:rPr>
        <w:t> </w:t>
      </w:r>
      <w:r>
        <w:rPr>
          <w:w w:val="115"/>
          <w:sz w:val="21"/>
        </w:rPr>
        <w:t>of</w:t>
      </w:r>
      <w:r>
        <w:rPr>
          <w:spacing w:val="-6"/>
          <w:w w:val="115"/>
          <w:sz w:val="21"/>
        </w:rPr>
        <w:t> </w:t>
      </w:r>
      <w:r>
        <w:rPr>
          <w:w w:val="115"/>
          <w:sz w:val="21"/>
        </w:rPr>
        <w:t>the</w:t>
      </w:r>
      <w:r>
        <w:rPr>
          <w:spacing w:val="-6"/>
          <w:w w:val="115"/>
          <w:sz w:val="21"/>
        </w:rPr>
        <w:t> </w:t>
      </w:r>
      <w:r>
        <w:rPr>
          <w:w w:val="115"/>
          <w:sz w:val="21"/>
        </w:rPr>
        <w:t>local</w:t>
      </w:r>
      <w:r>
        <w:rPr>
          <w:spacing w:val="-6"/>
          <w:w w:val="115"/>
          <w:sz w:val="21"/>
        </w:rPr>
        <w:t> </w:t>
      </w:r>
      <w:r>
        <w:rPr>
          <w:w w:val="115"/>
          <w:sz w:val="21"/>
        </w:rPr>
        <w:t>planning</w:t>
      </w:r>
      <w:r>
        <w:rPr>
          <w:spacing w:val="-6"/>
          <w:w w:val="115"/>
          <w:sz w:val="21"/>
        </w:rPr>
        <w:t> </w:t>
      </w:r>
      <w:r>
        <w:rPr>
          <w:w w:val="115"/>
          <w:sz w:val="21"/>
        </w:rPr>
        <w:t>scheme</w:t>
      </w:r>
      <w:r>
        <w:rPr>
          <w:spacing w:val="-6"/>
          <w:w w:val="115"/>
          <w:sz w:val="21"/>
        </w:rPr>
        <w:t> </w:t>
      </w:r>
      <w:r>
        <w:rPr>
          <w:w w:val="115"/>
          <w:sz w:val="21"/>
        </w:rPr>
        <w:t>overlays</w:t>
      </w:r>
      <w:r>
        <w:rPr>
          <w:spacing w:val="-6"/>
          <w:w w:val="115"/>
          <w:sz w:val="21"/>
        </w:rPr>
        <w:t> </w:t>
      </w:r>
      <w:r>
        <w:rPr>
          <w:w w:val="115"/>
          <w:sz w:val="21"/>
        </w:rPr>
        <w:t>and</w:t>
      </w:r>
      <w:r>
        <w:rPr>
          <w:spacing w:val="-6"/>
          <w:w w:val="115"/>
          <w:sz w:val="21"/>
        </w:rPr>
        <w:t> </w:t>
      </w:r>
      <w:r>
        <w:rPr>
          <w:w w:val="115"/>
          <w:sz w:val="21"/>
        </w:rPr>
        <w:t>local</w:t>
      </w:r>
      <w:r>
        <w:rPr>
          <w:spacing w:val="-6"/>
          <w:w w:val="115"/>
          <w:sz w:val="21"/>
        </w:rPr>
        <w:t> </w:t>
      </w:r>
      <w:r>
        <w:rPr>
          <w:w w:val="115"/>
          <w:sz w:val="21"/>
        </w:rPr>
        <w:t>laws</w:t>
      </w:r>
      <w:r>
        <w:rPr>
          <w:spacing w:val="-6"/>
          <w:w w:val="115"/>
          <w:sz w:val="21"/>
        </w:rPr>
        <w:t> </w:t>
      </w:r>
      <w:r>
        <w:rPr>
          <w:w w:val="115"/>
          <w:sz w:val="21"/>
        </w:rPr>
        <w:t>applying</w:t>
      </w:r>
      <w:r>
        <w:rPr>
          <w:spacing w:val="-6"/>
          <w:w w:val="115"/>
          <w:sz w:val="21"/>
        </w:rPr>
        <w:t> </w:t>
      </w:r>
      <w:r>
        <w:rPr>
          <w:w w:val="115"/>
          <w:sz w:val="21"/>
        </w:rPr>
        <w:t>to the tree</w:t>
      </w:r>
    </w:p>
    <w:p>
      <w:pPr>
        <w:pStyle w:val="ListParagraph"/>
        <w:numPr>
          <w:ilvl w:val="1"/>
          <w:numId w:val="141"/>
        </w:numPr>
        <w:tabs>
          <w:tab w:pos="2948" w:val="left" w:leader="none"/>
          <w:tab w:pos="2949" w:val="left" w:leader="none"/>
        </w:tabs>
        <w:spacing w:line="242" w:lineRule="auto" w:before="123" w:after="0"/>
        <w:ind w:left="2948" w:right="2383" w:hanging="567"/>
        <w:jc w:val="left"/>
        <w:rPr>
          <w:sz w:val="21"/>
        </w:rPr>
      </w:pPr>
      <w:r>
        <w:rPr>
          <w:w w:val="115"/>
          <w:sz w:val="21"/>
        </w:rPr>
        <w:t>information</w:t>
      </w:r>
      <w:r>
        <w:rPr>
          <w:spacing w:val="-8"/>
          <w:w w:val="115"/>
          <w:sz w:val="21"/>
        </w:rPr>
        <w:t> </w:t>
      </w:r>
      <w:r>
        <w:rPr>
          <w:w w:val="115"/>
          <w:sz w:val="21"/>
        </w:rPr>
        <w:t>about</w:t>
      </w:r>
      <w:r>
        <w:rPr>
          <w:spacing w:val="-8"/>
          <w:w w:val="115"/>
          <w:sz w:val="21"/>
        </w:rPr>
        <w:t> </w:t>
      </w:r>
      <w:r>
        <w:rPr>
          <w:w w:val="115"/>
          <w:sz w:val="21"/>
        </w:rPr>
        <w:t>whether</w:t>
      </w:r>
      <w:r>
        <w:rPr>
          <w:spacing w:val="-8"/>
          <w:w w:val="115"/>
          <w:sz w:val="21"/>
        </w:rPr>
        <w:t> </w:t>
      </w:r>
      <w:r>
        <w:rPr>
          <w:w w:val="115"/>
          <w:sz w:val="21"/>
        </w:rPr>
        <w:t>the</w:t>
      </w:r>
      <w:r>
        <w:rPr>
          <w:spacing w:val="-7"/>
          <w:w w:val="115"/>
          <w:sz w:val="21"/>
        </w:rPr>
        <w:t> </w:t>
      </w:r>
      <w:r>
        <w:rPr>
          <w:w w:val="115"/>
          <w:sz w:val="21"/>
        </w:rPr>
        <w:t>tree</w:t>
      </w:r>
      <w:r>
        <w:rPr>
          <w:spacing w:val="-8"/>
          <w:w w:val="115"/>
          <w:sz w:val="21"/>
        </w:rPr>
        <w:t> </w:t>
      </w:r>
      <w:r>
        <w:rPr>
          <w:w w:val="115"/>
          <w:sz w:val="21"/>
        </w:rPr>
        <w:t>is</w:t>
      </w:r>
      <w:r>
        <w:rPr>
          <w:spacing w:val="-8"/>
          <w:w w:val="115"/>
          <w:sz w:val="21"/>
        </w:rPr>
        <w:t> </w:t>
      </w:r>
      <w:r>
        <w:rPr>
          <w:w w:val="115"/>
          <w:sz w:val="21"/>
        </w:rPr>
        <w:t>remnant,</w:t>
      </w:r>
      <w:r>
        <w:rPr>
          <w:spacing w:val="-7"/>
          <w:w w:val="115"/>
          <w:sz w:val="21"/>
        </w:rPr>
        <w:t> </w:t>
      </w:r>
      <w:r>
        <w:rPr>
          <w:w w:val="115"/>
          <w:sz w:val="21"/>
        </w:rPr>
        <w:t>indigenous,</w:t>
      </w:r>
      <w:r>
        <w:rPr>
          <w:spacing w:val="-8"/>
          <w:w w:val="115"/>
          <w:sz w:val="21"/>
        </w:rPr>
        <w:t> </w:t>
      </w:r>
      <w:r>
        <w:rPr>
          <w:w w:val="115"/>
          <w:sz w:val="21"/>
        </w:rPr>
        <w:t>native, exotic or weed species</w:t>
      </w:r>
    </w:p>
    <w:p>
      <w:pPr>
        <w:pStyle w:val="ListParagraph"/>
        <w:numPr>
          <w:ilvl w:val="1"/>
          <w:numId w:val="141"/>
        </w:numPr>
        <w:tabs>
          <w:tab w:pos="2948" w:val="left" w:leader="none"/>
          <w:tab w:pos="2949" w:val="left" w:leader="none"/>
        </w:tabs>
        <w:spacing w:line="242" w:lineRule="auto" w:before="122" w:after="0"/>
        <w:ind w:left="2948" w:right="2811" w:hanging="567"/>
        <w:jc w:val="left"/>
        <w:rPr>
          <w:sz w:val="21"/>
        </w:rPr>
      </w:pPr>
      <w:r>
        <w:rPr>
          <w:w w:val="115"/>
          <w:sz w:val="21"/>
        </w:rPr>
        <w:t>information</w:t>
      </w:r>
      <w:r>
        <w:rPr>
          <w:spacing w:val="-6"/>
          <w:w w:val="115"/>
          <w:sz w:val="21"/>
        </w:rPr>
        <w:t> </w:t>
      </w:r>
      <w:r>
        <w:rPr>
          <w:w w:val="115"/>
          <w:sz w:val="21"/>
        </w:rPr>
        <w:t>about</w:t>
      </w:r>
      <w:r>
        <w:rPr>
          <w:spacing w:val="-5"/>
          <w:w w:val="115"/>
          <w:sz w:val="21"/>
        </w:rPr>
        <w:t> </w:t>
      </w:r>
      <w:r>
        <w:rPr>
          <w:w w:val="115"/>
          <w:sz w:val="21"/>
        </w:rPr>
        <w:t>the</w:t>
      </w:r>
      <w:r>
        <w:rPr>
          <w:spacing w:val="-5"/>
          <w:w w:val="115"/>
          <w:sz w:val="21"/>
        </w:rPr>
        <w:t> </w:t>
      </w:r>
      <w:r>
        <w:rPr>
          <w:w w:val="115"/>
          <w:sz w:val="21"/>
        </w:rPr>
        <w:t>retention</w:t>
      </w:r>
      <w:r>
        <w:rPr>
          <w:spacing w:val="-5"/>
          <w:w w:val="115"/>
          <w:sz w:val="21"/>
        </w:rPr>
        <w:t> </w:t>
      </w:r>
      <w:r>
        <w:rPr>
          <w:w w:val="115"/>
          <w:sz w:val="21"/>
        </w:rPr>
        <w:t>value</w:t>
      </w:r>
      <w:r>
        <w:rPr>
          <w:spacing w:val="-5"/>
          <w:w w:val="115"/>
          <w:sz w:val="21"/>
        </w:rPr>
        <w:t> </w:t>
      </w:r>
      <w:r>
        <w:rPr>
          <w:w w:val="115"/>
          <w:sz w:val="21"/>
        </w:rPr>
        <w:t>of</w:t>
      </w:r>
      <w:r>
        <w:rPr>
          <w:spacing w:val="-5"/>
          <w:w w:val="115"/>
          <w:sz w:val="21"/>
        </w:rPr>
        <w:t> </w:t>
      </w:r>
      <w:r>
        <w:rPr>
          <w:w w:val="115"/>
          <w:sz w:val="21"/>
        </w:rPr>
        <w:t>the</w:t>
      </w:r>
      <w:r>
        <w:rPr>
          <w:spacing w:val="-6"/>
          <w:w w:val="115"/>
          <w:sz w:val="21"/>
        </w:rPr>
        <w:t> </w:t>
      </w:r>
      <w:r>
        <w:rPr>
          <w:w w:val="115"/>
          <w:sz w:val="21"/>
        </w:rPr>
        <w:t>tree</w:t>
      </w:r>
      <w:r>
        <w:rPr>
          <w:spacing w:val="-5"/>
          <w:w w:val="115"/>
          <w:sz w:val="21"/>
        </w:rPr>
        <w:t> </w:t>
      </w:r>
      <w:r>
        <w:rPr>
          <w:w w:val="115"/>
          <w:sz w:val="21"/>
        </w:rPr>
        <w:t>based</w:t>
      </w:r>
      <w:r>
        <w:rPr>
          <w:spacing w:val="-5"/>
          <w:w w:val="115"/>
          <w:sz w:val="21"/>
        </w:rPr>
        <w:t> </w:t>
      </w:r>
      <w:r>
        <w:rPr>
          <w:w w:val="115"/>
          <w:sz w:val="21"/>
        </w:rPr>
        <w:t>on</w:t>
      </w:r>
      <w:r>
        <w:rPr>
          <w:spacing w:val="-5"/>
          <w:w w:val="115"/>
          <w:sz w:val="21"/>
        </w:rPr>
        <w:t> </w:t>
      </w:r>
      <w:r>
        <w:rPr>
          <w:w w:val="115"/>
          <w:sz w:val="21"/>
        </w:rPr>
        <w:t>the objectives of the local planning scheme or the local</w:t>
      </w:r>
      <w:r>
        <w:rPr>
          <w:spacing w:val="-18"/>
          <w:w w:val="115"/>
          <w:sz w:val="21"/>
        </w:rPr>
        <w:t> </w:t>
      </w:r>
      <w:r>
        <w:rPr>
          <w:spacing w:val="-4"/>
          <w:w w:val="115"/>
          <w:sz w:val="21"/>
        </w:rPr>
        <w:t>law.</w:t>
      </w:r>
    </w:p>
    <w:p>
      <w:pPr>
        <w:pStyle w:val="ListParagraph"/>
        <w:numPr>
          <w:ilvl w:val="0"/>
          <w:numId w:val="141"/>
        </w:numPr>
        <w:tabs>
          <w:tab w:pos="2382" w:val="left" w:leader="none"/>
        </w:tabs>
        <w:spacing w:line="242" w:lineRule="auto" w:before="122" w:after="0"/>
        <w:ind w:left="2381" w:right="1963" w:hanging="567"/>
        <w:jc w:val="both"/>
        <w:rPr>
          <w:sz w:val="21"/>
        </w:rPr>
      </w:pPr>
      <w:r>
        <w:rPr>
          <w:w w:val="115"/>
          <w:sz w:val="21"/>
        </w:rPr>
        <w:t>The</w:t>
      </w:r>
      <w:r>
        <w:rPr>
          <w:spacing w:val="-9"/>
          <w:w w:val="115"/>
          <w:sz w:val="21"/>
        </w:rPr>
        <w:t> </w:t>
      </w:r>
      <w:r>
        <w:rPr>
          <w:w w:val="115"/>
          <w:sz w:val="21"/>
        </w:rPr>
        <w:t>Victorian</w:t>
      </w:r>
      <w:r>
        <w:rPr>
          <w:spacing w:val="-9"/>
          <w:w w:val="115"/>
          <w:sz w:val="21"/>
        </w:rPr>
        <w:t> </w:t>
      </w:r>
      <w:r>
        <w:rPr>
          <w:w w:val="115"/>
          <w:sz w:val="21"/>
        </w:rPr>
        <w:t>Civil</w:t>
      </w:r>
      <w:r>
        <w:rPr>
          <w:spacing w:val="-9"/>
          <w:w w:val="115"/>
          <w:sz w:val="21"/>
        </w:rPr>
        <w:t> </w:t>
      </w:r>
      <w:r>
        <w:rPr>
          <w:w w:val="115"/>
          <w:sz w:val="21"/>
        </w:rPr>
        <w:t>and</w:t>
      </w:r>
      <w:r>
        <w:rPr>
          <w:spacing w:val="-9"/>
          <w:w w:val="115"/>
          <w:sz w:val="21"/>
        </w:rPr>
        <w:t> </w:t>
      </w:r>
      <w:r>
        <w:rPr>
          <w:w w:val="115"/>
          <w:sz w:val="21"/>
        </w:rPr>
        <w:t>Administrative</w:t>
      </w:r>
      <w:r>
        <w:rPr>
          <w:spacing w:val="-9"/>
          <w:w w:val="115"/>
          <w:sz w:val="21"/>
        </w:rPr>
        <w:t> </w:t>
      </w:r>
      <w:r>
        <w:rPr>
          <w:spacing w:val="-4"/>
          <w:w w:val="115"/>
          <w:sz w:val="21"/>
        </w:rPr>
        <w:t>Tribunal</w:t>
      </w:r>
      <w:r>
        <w:rPr>
          <w:spacing w:val="-9"/>
          <w:w w:val="115"/>
          <w:sz w:val="21"/>
        </w:rPr>
        <w:t> </w:t>
      </w:r>
      <w:r>
        <w:rPr>
          <w:w w:val="115"/>
          <w:sz w:val="21"/>
        </w:rPr>
        <w:t>should</w:t>
      </w:r>
      <w:r>
        <w:rPr>
          <w:spacing w:val="-9"/>
          <w:w w:val="115"/>
          <w:sz w:val="21"/>
        </w:rPr>
        <w:t> </w:t>
      </w:r>
      <w:r>
        <w:rPr>
          <w:w w:val="115"/>
          <w:sz w:val="21"/>
        </w:rPr>
        <w:t>develop</w:t>
      </w:r>
      <w:r>
        <w:rPr>
          <w:spacing w:val="-9"/>
          <w:w w:val="115"/>
          <w:sz w:val="21"/>
        </w:rPr>
        <w:t> </w:t>
      </w:r>
      <w:r>
        <w:rPr>
          <w:w w:val="115"/>
          <w:sz w:val="21"/>
        </w:rPr>
        <w:t>a</w:t>
      </w:r>
      <w:r>
        <w:rPr>
          <w:spacing w:val="-9"/>
          <w:w w:val="115"/>
          <w:sz w:val="21"/>
        </w:rPr>
        <w:t> </w:t>
      </w:r>
      <w:r>
        <w:rPr>
          <w:w w:val="115"/>
          <w:sz w:val="21"/>
        </w:rPr>
        <w:t>Practice</w:t>
      </w:r>
      <w:r>
        <w:rPr>
          <w:spacing w:val="-9"/>
          <w:w w:val="115"/>
          <w:sz w:val="21"/>
        </w:rPr>
        <w:t> </w:t>
      </w:r>
      <w:r>
        <w:rPr>
          <w:w w:val="115"/>
          <w:sz w:val="21"/>
        </w:rPr>
        <w:t>Note about the requirement for a causal </w:t>
      </w:r>
      <w:r>
        <w:rPr>
          <w:spacing w:val="-3"/>
          <w:w w:val="115"/>
          <w:sz w:val="21"/>
        </w:rPr>
        <w:t>link </w:t>
      </w:r>
      <w:r>
        <w:rPr>
          <w:w w:val="115"/>
          <w:sz w:val="21"/>
        </w:rPr>
        <w:t>between the tree and </w:t>
      </w:r>
      <w:r>
        <w:rPr>
          <w:spacing w:val="-2"/>
          <w:w w:val="115"/>
          <w:sz w:val="21"/>
        </w:rPr>
        <w:t>any </w:t>
      </w:r>
      <w:r>
        <w:rPr>
          <w:w w:val="115"/>
          <w:sz w:val="21"/>
        </w:rPr>
        <w:t>harm, such as a medical condition, that is the subject of an</w:t>
      </w:r>
      <w:r>
        <w:rPr>
          <w:spacing w:val="-11"/>
          <w:w w:val="115"/>
          <w:sz w:val="21"/>
        </w:rPr>
        <w:t> </w:t>
      </w:r>
      <w:r>
        <w:rPr>
          <w:w w:val="115"/>
          <w:sz w:val="21"/>
        </w:rPr>
        <w:t>application.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before="96"/>
        <w:ind w:left="0" w:right="597" w:firstLine="0"/>
        <w:jc w:val="right"/>
        <w:rPr>
          <w:b/>
          <w:sz w:val="24"/>
        </w:rPr>
      </w:pPr>
      <w:r>
        <w:rPr>
          <w:b/>
          <w:color w:val="658464"/>
          <w:w w:val="105"/>
          <w:sz w:val="24"/>
        </w:rPr>
        <w:t>191</w:t>
      </w:r>
    </w:p>
    <w:p>
      <w:pPr>
        <w:spacing w:after="0"/>
        <w:jc w:val="right"/>
        <w:rPr>
          <w:sz w:val="24"/>
        </w:rPr>
        <w:sectPr>
          <w:pgSz w:w="11910" w:h="16840"/>
          <w:pgMar w:header="808" w:footer="0" w:top="1360" w:bottom="280" w:left="0" w:right="0"/>
        </w:sectPr>
      </w:pPr>
    </w:p>
    <w:p>
      <w:pPr>
        <w:pStyle w:val="BodyText"/>
        <w:rPr>
          <w:b/>
          <w:sz w:val="20"/>
        </w:rPr>
      </w:pPr>
      <w:r>
        <w:rPr/>
        <w:pict>
          <v:rect style="position:absolute;margin-left:79.370003pt;margin-top:0pt;width:515.906000pt;height:841.890015pt;mso-position-horizontal-relative:page;mso-position-vertical-relative:page;z-index:10384" filled="true" fillcolor="#ecefee" stroked="false">
            <v:fill type="solid"/>
            <w10:wrap type="none"/>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6"/>
        </w:rPr>
      </w:pPr>
    </w:p>
    <w:p>
      <w:pPr>
        <w:spacing w:before="96"/>
        <w:ind w:left="720" w:right="0" w:firstLine="0"/>
        <w:jc w:val="left"/>
        <w:rPr>
          <w:b/>
          <w:sz w:val="24"/>
        </w:rPr>
      </w:pPr>
      <w:r>
        <w:rPr>
          <w:b/>
          <w:color w:val="658464"/>
          <w:w w:val="110"/>
          <w:sz w:val="24"/>
        </w:rPr>
        <w:t>192</w:t>
      </w:r>
    </w:p>
    <w:p>
      <w:pPr>
        <w:spacing w:after="0"/>
        <w:jc w:val="left"/>
        <w:rPr>
          <w:sz w:val="24"/>
        </w:rPr>
        <w:sectPr>
          <w:headerReference w:type="even" r:id="rId224"/>
          <w:pgSz w:w="11910" w:h="16840"/>
          <w:pgMar w:header="0" w:footer="0" w:top="158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448648" filled="true" fillcolor="#ecefee" stroked="false">
            <v:fill type="solid"/>
            <w10:wrap type="none"/>
          </v:rect>
        </w:pict>
      </w:r>
      <w:bookmarkStart w:name="9. Orders, appeals and enforcement in ne" w:id="214"/>
      <w:bookmarkEnd w:id="214"/>
      <w:r>
        <w:rPr/>
      </w:r>
      <w:r>
        <w:rPr>
          <w:b/>
          <w:color w:val="FFFFFF"/>
          <w:w w:val="122"/>
          <w:sz w:val="48"/>
          <w:shd w:fill="658464" w:color="auto" w:val="clear"/>
        </w:rPr>
        <w:t> </w:t>
      </w:r>
      <w:r>
        <w:rPr>
          <w:b/>
          <w:color w:val="FFFFFF"/>
          <w:spacing w:val="41"/>
          <w:sz w:val="48"/>
          <w:shd w:fill="658464" w:color="auto" w:val="clear"/>
        </w:rPr>
        <w:t> </w:t>
      </w:r>
      <w:r>
        <w:rPr>
          <w:b/>
          <w:color w:val="FFFFFF"/>
          <w:w w:val="105"/>
          <w:sz w:val="48"/>
          <w:shd w:fill="658464" w:color="auto" w:val="clear"/>
        </w:rPr>
        <w:t>9</w:t>
      </w:r>
      <w:r>
        <w:rPr>
          <w:b/>
          <w:color w:val="FFFFFF"/>
          <w:sz w:val="48"/>
          <w:shd w:fill="658464"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3"/>
        </w:rPr>
      </w:pPr>
      <w:r>
        <w:rPr/>
        <w:pict>
          <v:shape style="position:absolute;margin-left:0pt;margin-top:9.523869pt;width:430.9pt;height:52pt;mso-position-horizontal-relative:page;mso-position-vertical-relative:paragraph;z-index:8360;mso-wrap-distance-left:0;mso-wrap-distance-right:0" type="#_x0000_t202" filled="true" fillcolor="#ffffff" stroked="false">
            <v:textbox inset="0,0,0,0">
              <w:txbxContent>
                <w:p>
                  <w:pPr>
                    <w:spacing w:line="1040" w:lineRule="exact" w:before="0"/>
                    <w:ind w:left="1587" w:right="0" w:firstLine="0"/>
                    <w:jc w:val="left"/>
                    <w:rPr>
                      <w:b/>
                      <w:sz w:val="96"/>
                    </w:rPr>
                  </w:pPr>
                  <w:r>
                    <w:rPr>
                      <w:b/>
                      <w:color w:val="658464"/>
                      <w:spacing w:val="-20"/>
                      <w:w w:val="110"/>
                      <w:sz w:val="96"/>
                    </w:rPr>
                    <w:t>Orders,</w:t>
                  </w:r>
                  <w:r>
                    <w:rPr>
                      <w:b/>
                      <w:color w:val="658464"/>
                      <w:spacing w:val="59"/>
                      <w:w w:val="110"/>
                      <w:sz w:val="96"/>
                    </w:rPr>
                    <w:t> </w:t>
                  </w:r>
                  <w:r>
                    <w:rPr>
                      <w:b/>
                      <w:color w:val="658464"/>
                      <w:spacing w:val="-22"/>
                      <w:w w:val="110"/>
                      <w:sz w:val="96"/>
                    </w:rPr>
                    <w:t>appeals</w:t>
                  </w:r>
                </w:p>
              </w:txbxContent>
            </v:textbox>
            <v:fill type="solid"/>
            <w10:wrap type="topAndBottom"/>
          </v:shape>
        </w:pict>
      </w:r>
    </w:p>
    <w:p>
      <w:pPr>
        <w:pStyle w:val="BodyText"/>
        <w:spacing w:before="3"/>
        <w:rPr>
          <w:b/>
          <w:sz w:val="5"/>
        </w:rPr>
      </w:pPr>
    </w:p>
    <w:p>
      <w:pPr>
        <w:pStyle w:val="BodyText"/>
        <w:rPr>
          <w:sz w:val="20"/>
        </w:rPr>
      </w:pPr>
      <w:r>
        <w:rPr>
          <w:sz w:val="20"/>
        </w:rPr>
        <w:pict>
          <v:shape style="width:462.55pt;height:52pt;mso-position-horizontal-relative:char;mso-position-vertical-relative:line" type="#_x0000_t202" filled="true" fillcolor="#ffffff" stroked="false">
            <w10:anchorlock/>
            <v:textbox inset="0,0,0,0">
              <w:txbxContent>
                <w:p>
                  <w:pPr>
                    <w:spacing w:line="1040" w:lineRule="exact" w:before="0"/>
                    <w:ind w:left="1587" w:right="0" w:firstLine="0"/>
                    <w:jc w:val="left"/>
                    <w:rPr>
                      <w:b/>
                      <w:sz w:val="96"/>
                    </w:rPr>
                  </w:pPr>
                  <w:r>
                    <w:rPr>
                      <w:b/>
                      <w:color w:val="658464"/>
                      <w:spacing w:val="-18"/>
                      <w:w w:val="115"/>
                      <w:sz w:val="96"/>
                    </w:rPr>
                    <w:t>and</w:t>
                  </w:r>
                  <w:r>
                    <w:rPr>
                      <w:b/>
                      <w:color w:val="658464"/>
                      <w:spacing w:val="-94"/>
                      <w:w w:val="115"/>
                      <w:sz w:val="96"/>
                    </w:rPr>
                    <w:t> </w:t>
                  </w:r>
                  <w:r>
                    <w:rPr>
                      <w:b/>
                      <w:color w:val="658464"/>
                      <w:spacing w:val="-27"/>
                      <w:w w:val="115"/>
                      <w:sz w:val="96"/>
                    </w:rPr>
                    <w:t>enforcement</w:t>
                  </w:r>
                </w:p>
              </w:txbxContent>
            </v:textbox>
            <v:fill type="solid"/>
          </v:shape>
        </w:pict>
      </w:r>
      <w:r>
        <w:rPr>
          <w:sz w:val="20"/>
        </w:rPr>
      </w:r>
    </w:p>
    <w:p>
      <w:pPr>
        <w:tabs>
          <w:tab w:pos="1587" w:val="left" w:leader="none"/>
          <w:tab w:pos="9665" w:val="left" w:leader="none"/>
        </w:tabs>
        <w:spacing w:line="230" w:lineRule="auto" w:before="58"/>
        <w:ind w:left="1587" w:right="2238" w:hanging="1588"/>
        <w:jc w:val="left"/>
        <w:rPr>
          <w:b/>
          <w:sz w:val="96"/>
        </w:rPr>
      </w:pPr>
      <w:r>
        <w:rPr/>
        <w:pict>
          <v:rect style="position:absolute;margin-left:0pt;margin-top:58.805973pt;width:373.26pt;height:52pt;mso-position-horizontal-relative:page;mso-position-vertical-relative:paragraph;z-index:-448624" filled="true" fillcolor="#ffffff" stroked="false">
            <v:fill type="solid"/>
            <w10:wrap type="none"/>
          </v:rect>
        </w:pict>
      </w:r>
      <w:r>
        <w:rPr>
          <w:b/>
          <w:color w:val="658464"/>
          <w:w w:val="122"/>
          <w:sz w:val="96"/>
          <w:shd w:fill="FFFFFF" w:color="auto" w:val="clear"/>
        </w:rPr>
        <w:t> </w:t>
      </w:r>
      <w:r>
        <w:rPr>
          <w:b/>
          <w:color w:val="658464"/>
          <w:sz w:val="96"/>
          <w:shd w:fill="FFFFFF" w:color="auto" w:val="clear"/>
        </w:rPr>
        <w:tab/>
      </w:r>
      <w:r>
        <w:rPr>
          <w:b/>
          <w:color w:val="658464"/>
          <w:spacing w:val="-16"/>
          <w:w w:val="115"/>
          <w:sz w:val="96"/>
          <w:shd w:fill="FFFFFF" w:color="auto" w:val="clear"/>
        </w:rPr>
        <w:t>in</w:t>
      </w:r>
      <w:r>
        <w:rPr>
          <w:b/>
          <w:color w:val="658464"/>
          <w:spacing w:val="-59"/>
          <w:w w:val="115"/>
          <w:sz w:val="96"/>
          <w:shd w:fill="FFFFFF" w:color="auto" w:val="clear"/>
        </w:rPr>
        <w:t> </w:t>
      </w:r>
      <w:r>
        <w:rPr>
          <w:b/>
          <w:color w:val="658464"/>
          <w:spacing w:val="-25"/>
          <w:w w:val="115"/>
          <w:sz w:val="96"/>
          <w:shd w:fill="FFFFFF" w:color="auto" w:val="clear"/>
        </w:rPr>
        <w:t>neighbourhood</w:t>
      </w:r>
      <w:r>
        <w:rPr>
          <w:b/>
          <w:color w:val="658464"/>
          <w:sz w:val="96"/>
          <w:shd w:fill="FFFFFF" w:color="auto" w:val="clear"/>
        </w:rPr>
        <w:tab/>
      </w:r>
      <w:r>
        <w:rPr>
          <w:b/>
          <w:color w:val="658464"/>
          <w:sz w:val="96"/>
        </w:rPr>
        <w:t> </w:t>
      </w:r>
      <w:r>
        <w:rPr>
          <w:b/>
          <w:color w:val="658464"/>
          <w:spacing w:val="-18"/>
          <w:w w:val="115"/>
          <w:sz w:val="96"/>
        </w:rPr>
        <w:t>tree</w:t>
      </w:r>
      <w:r>
        <w:rPr>
          <w:b/>
          <w:color w:val="658464"/>
          <w:spacing w:val="-25"/>
          <w:w w:val="115"/>
          <w:sz w:val="96"/>
        </w:rPr>
        <w:t> </w:t>
      </w:r>
      <w:r>
        <w:rPr>
          <w:b/>
          <w:color w:val="658464"/>
          <w:spacing w:val="-24"/>
          <w:w w:val="115"/>
          <w:sz w:val="96"/>
        </w:rPr>
        <w:t>disputes</w:t>
      </w:r>
    </w:p>
    <w:p>
      <w:pPr>
        <w:pStyle w:val="BodyText"/>
        <w:rPr>
          <w:b/>
          <w:sz w:val="20"/>
        </w:rPr>
      </w:pPr>
    </w:p>
    <w:p>
      <w:pPr>
        <w:pStyle w:val="BodyText"/>
        <w:rPr>
          <w:b/>
          <w:sz w:val="20"/>
        </w:rPr>
      </w:pPr>
    </w:p>
    <w:p>
      <w:pPr>
        <w:pStyle w:val="BodyText"/>
        <w:rPr>
          <w:b/>
          <w:sz w:val="20"/>
        </w:rPr>
      </w:pPr>
    </w:p>
    <w:p>
      <w:pPr>
        <w:pStyle w:val="BodyText"/>
        <w:spacing w:before="8"/>
        <w:rPr>
          <w:b/>
          <w:sz w:val="12"/>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6243"/>
      </w:tblGrid>
      <w:tr>
        <w:trPr>
          <w:trHeight w:val="335" w:hRule="atLeast"/>
        </w:trPr>
        <w:tc>
          <w:tcPr>
            <w:tcW w:w="510" w:type="dxa"/>
            <w:tcBorders>
              <w:bottom w:val="single" w:sz="18" w:space="0" w:color="FFFFFF"/>
            </w:tcBorders>
            <w:shd w:val="clear" w:color="auto" w:fill="ECEFEE"/>
          </w:tcPr>
          <w:p>
            <w:pPr>
              <w:pStyle w:val="TableParagraph"/>
              <w:spacing w:line="289" w:lineRule="exact"/>
              <w:rPr>
                <w:b/>
                <w:sz w:val="24"/>
              </w:rPr>
            </w:pPr>
            <w:hyperlink w:history="true" w:anchor="_bookmark103">
              <w:r>
                <w:rPr>
                  <w:b/>
                  <w:w w:val="110"/>
                  <w:sz w:val="24"/>
                </w:rPr>
                <w:t>194</w:t>
              </w:r>
            </w:hyperlink>
          </w:p>
        </w:tc>
        <w:tc>
          <w:tcPr>
            <w:tcW w:w="6243" w:type="dxa"/>
            <w:shd w:val="clear" w:color="auto" w:fill="ECEFEE"/>
          </w:tcPr>
          <w:p>
            <w:pPr>
              <w:pStyle w:val="TableParagraph"/>
              <w:spacing w:line="289" w:lineRule="exact"/>
              <w:ind w:left="57"/>
              <w:rPr>
                <w:b/>
                <w:sz w:val="24"/>
              </w:rPr>
            </w:pPr>
            <w:hyperlink w:history="true" w:anchor="_bookmark103">
              <w:r>
                <w:rPr>
                  <w:b/>
                  <w:w w:val="110"/>
                  <w:sz w:val="24"/>
                </w:rPr>
                <w:t>Introduction</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9"/>
              <w:rPr>
                <w:b/>
                <w:sz w:val="24"/>
              </w:rPr>
            </w:pPr>
            <w:hyperlink w:history="true" w:anchor="_bookmark103">
              <w:r>
                <w:rPr>
                  <w:b/>
                  <w:w w:val="110"/>
                  <w:sz w:val="24"/>
                </w:rPr>
                <w:t>194</w:t>
              </w:r>
            </w:hyperlink>
          </w:p>
        </w:tc>
        <w:tc>
          <w:tcPr>
            <w:tcW w:w="6243" w:type="dxa"/>
            <w:shd w:val="clear" w:color="auto" w:fill="ECEFEE"/>
          </w:tcPr>
          <w:p>
            <w:pPr>
              <w:pStyle w:val="TableParagraph"/>
              <w:spacing w:before="89"/>
              <w:ind w:left="57"/>
              <w:rPr>
                <w:b/>
                <w:sz w:val="24"/>
              </w:rPr>
            </w:pPr>
            <w:hyperlink w:history="true" w:anchor="_bookmark103">
              <w:r>
                <w:rPr>
                  <w:b/>
                  <w:w w:val="110"/>
                  <w:sz w:val="24"/>
                </w:rPr>
                <w:t>Other jurisdictions—orders available</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04">
              <w:r>
                <w:rPr>
                  <w:b/>
                  <w:w w:val="110"/>
                  <w:sz w:val="24"/>
                </w:rPr>
                <w:t>196</w:t>
              </w:r>
            </w:hyperlink>
          </w:p>
        </w:tc>
        <w:tc>
          <w:tcPr>
            <w:tcW w:w="6243" w:type="dxa"/>
            <w:shd w:val="clear" w:color="auto" w:fill="ECEFEE"/>
          </w:tcPr>
          <w:p>
            <w:pPr>
              <w:pStyle w:val="TableParagraph"/>
              <w:spacing w:before="88"/>
              <w:ind w:left="57"/>
              <w:rPr>
                <w:b/>
                <w:sz w:val="24"/>
              </w:rPr>
            </w:pPr>
            <w:hyperlink w:history="true" w:anchor="_bookmark104">
              <w:r>
                <w:rPr>
                  <w:b/>
                  <w:w w:val="115"/>
                  <w:sz w:val="24"/>
                </w:rPr>
                <w:t>Community responses—orders available</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05">
              <w:r>
                <w:rPr>
                  <w:b/>
                  <w:w w:val="110"/>
                  <w:sz w:val="24"/>
                </w:rPr>
                <w:t>197</w:t>
              </w:r>
            </w:hyperlink>
          </w:p>
        </w:tc>
        <w:tc>
          <w:tcPr>
            <w:tcW w:w="6243" w:type="dxa"/>
            <w:shd w:val="clear" w:color="auto" w:fill="ECEFEE"/>
          </w:tcPr>
          <w:p>
            <w:pPr>
              <w:pStyle w:val="TableParagraph"/>
              <w:spacing w:before="88"/>
              <w:ind w:left="57"/>
              <w:rPr>
                <w:b/>
                <w:sz w:val="24"/>
              </w:rPr>
            </w:pPr>
            <w:hyperlink w:history="true" w:anchor="_bookmark105">
              <w:r>
                <w:rPr>
                  <w:b/>
                  <w:w w:val="110"/>
                  <w:sz w:val="24"/>
                </w:rPr>
                <w:t>The Commission’s conclusions—orders available</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09">
              <w:r>
                <w:rPr>
                  <w:b/>
                  <w:w w:val="110"/>
                  <w:sz w:val="24"/>
                </w:rPr>
                <w:t>201</w:t>
              </w:r>
            </w:hyperlink>
          </w:p>
        </w:tc>
        <w:tc>
          <w:tcPr>
            <w:tcW w:w="6243" w:type="dxa"/>
            <w:shd w:val="clear" w:color="auto" w:fill="ECEFEE"/>
          </w:tcPr>
          <w:p>
            <w:pPr>
              <w:pStyle w:val="TableParagraph"/>
              <w:spacing w:before="88"/>
              <w:ind w:left="57"/>
              <w:rPr>
                <w:b/>
                <w:sz w:val="24"/>
              </w:rPr>
            </w:pPr>
            <w:hyperlink w:history="true" w:anchor="_bookmark109">
              <w:r>
                <w:rPr>
                  <w:b/>
                  <w:w w:val="115"/>
                  <w:sz w:val="24"/>
                </w:rPr>
                <w:t>Appeals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10">
              <w:r>
                <w:rPr>
                  <w:b/>
                  <w:w w:val="110"/>
                  <w:sz w:val="24"/>
                </w:rPr>
                <w:t>203</w:t>
              </w:r>
            </w:hyperlink>
          </w:p>
        </w:tc>
        <w:tc>
          <w:tcPr>
            <w:tcW w:w="6243" w:type="dxa"/>
            <w:shd w:val="clear" w:color="auto" w:fill="ECEFEE"/>
          </w:tcPr>
          <w:p>
            <w:pPr>
              <w:pStyle w:val="TableParagraph"/>
              <w:spacing w:before="88"/>
              <w:ind w:left="57"/>
              <w:rPr>
                <w:b/>
                <w:sz w:val="24"/>
              </w:rPr>
            </w:pPr>
            <w:hyperlink w:history="true" w:anchor="_bookmark110">
              <w:r>
                <w:rPr>
                  <w:b/>
                  <w:w w:val="110"/>
                  <w:sz w:val="24"/>
                </w:rPr>
                <w:t>Other jurisdictions—appeals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11">
              <w:r>
                <w:rPr>
                  <w:b/>
                  <w:w w:val="110"/>
                  <w:sz w:val="24"/>
                </w:rPr>
                <w:t>204</w:t>
              </w:r>
            </w:hyperlink>
          </w:p>
        </w:tc>
        <w:tc>
          <w:tcPr>
            <w:tcW w:w="6243" w:type="dxa"/>
            <w:shd w:val="clear" w:color="auto" w:fill="ECEFEE"/>
          </w:tcPr>
          <w:p>
            <w:pPr>
              <w:pStyle w:val="TableParagraph"/>
              <w:spacing w:before="88"/>
              <w:ind w:left="57"/>
              <w:rPr>
                <w:b/>
                <w:sz w:val="24"/>
              </w:rPr>
            </w:pPr>
            <w:hyperlink w:history="true" w:anchor="_bookmark111">
              <w:r>
                <w:rPr>
                  <w:b/>
                  <w:w w:val="115"/>
                  <w:sz w:val="24"/>
                </w:rPr>
                <w:t>Community responses—appeals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12">
              <w:r>
                <w:rPr>
                  <w:b/>
                  <w:w w:val="110"/>
                  <w:sz w:val="24"/>
                </w:rPr>
                <w:t>205</w:t>
              </w:r>
            </w:hyperlink>
          </w:p>
        </w:tc>
        <w:tc>
          <w:tcPr>
            <w:tcW w:w="6243" w:type="dxa"/>
            <w:shd w:val="clear" w:color="auto" w:fill="ECEFEE"/>
          </w:tcPr>
          <w:p>
            <w:pPr>
              <w:pStyle w:val="TableParagraph"/>
              <w:spacing w:before="88"/>
              <w:ind w:left="57"/>
              <w:rPr>
                <w:b/>
                <w:sz w:val="24"/>
              </w:rPr>
            </w:pPr>
            <w:hyperlink w:history="true" w:anchor="_bookmark112">
              <w:r>
                <w:rPr>
                  <w:b/>
                  <w:w w:val="110"/>
                  <w:sz w:val="24"/>
                </w:rPr>
                <w:t>The Commission’s conclusions—appeals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13">
              <w:r>
                <w:rPr>
                  <w:b/>
                  <w:w w:val="110"/>
                  <w:sz w:val="24"/>
                </w:rPr>
                <w:t>207</w:t>
              </w:r>
            </w:hyperlink>
          </w:p>
        </w:tc>
        <w:tc>
          <w:tcPr>
            <w:tcW w:w="6243" w:type="dxa"/>
            <w:shd w:val="clear" w:color="auto" w:fill="ECEFEE"/>
          </w:tcPr>
          <w:p>
            <w:pPr>
              <w:pStyle w:val="TableParagraph"/>
              <w:spacing w:before="88"/>
              <w:ind w:left="57"/>
              <w:rPr>
                <w:b/>
                <w:sz w:val="24"/>
              </w:rPr>
            </w:pPr>
            <w:hyperlink w:history="true" w:anchor="_bookmark113">
              <w:r>
                <w:rPr>
                  <w:b/>
                  <w:w w:val="115"/>
                  <w:sz w:val="24"/>
                </w:rPr>
                <w:t>Enforcement of orders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14">
              <w:r>
                <w:rPr>
                  <w:b/>
                  <w:w w:val="110"/>
                  <w:sz w:val="24"/>
                </w:rPr>
                <w:t>210</w:t>
              </w:r>
            </w:hyperlink>
          </w:p>
        </w:tc>
        <w:tc>
          <w:tcPr>
            <w:tcW w:w="6243" w:type="dxa"/>
            <w:shd w:val="clear" w:color="auto" w:fill="ECEFEE"/>
          </w:tcPr>
          <w:p>
            <w:pPr>
              <w:pStyle w:val="TableParagraph"/>
              <w:spacing w:before="88"/>
              <w:ind w:left="57"/>
              <w:rPr>
                <w:b/>
                <w:sz w:val="24"/>
              </w:rPr>
            </w:pPr>
            <w:hyperlink w:history="true" w:anchor="_bookmark114">
              <w:r>
                <w:rPr>
                  <w:b/>
                  <w:w w:val="115"/>
                  <w:sz w:val="24"/>
                </w:rPr>
                <w:t>Other jurisdictions—enforcement of orders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15">
              <w:r>
                <w:rPr>
                  <w:b/>
                  <w:w w:val="110"/>
                  <w:sz w:val="24"/>
                </w:rPr>
                <w:t>212</w:t>
              </w:r>
            </w:hyperlink>
          </w:p>
        </w:tc>
        <w:tc>
          <w:tcPr>
            <w:tcW w:w="6243" w:type="dxa"/>
            <w:shd w:val="clear" w:color="auto" w:fill="ECEFEE"/>
          </w:tcPr>
          <w:p>
            <w:pPr>
              <w:pStyle w:val="TableParagraph"/>
              <w:spacing w:before="88"/>
              <w:ind w:left="57"/>
              <w:rPr>
                <w:b/>
                <w:sz w:val="24"/>
              </w:rPr>
            </w:pPr>
            <w:hyperlink w:history="true" w:anchor="_bookmark115">
              <w:r>
                <w:rPr>
                  <w:b/>
                  <w:w w:val="115"/>
                  <w:sz w:val="24"/>
                </w:rPr>
                <w:t>Community responses—enforcement of orders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16">
              <w:r>
                <w:rPr>
                  <w:b/>
                  <w:w w:val="110"/>
                  <w:sz w:val="24"/>
                </w:rPr>
                <w:t>213</w:t>
              </w:r>
            </w:hyperlink>
          </w:p>
        </w:tc>
        <w:tc>
          <w:tcPr>
            <w:tcW w:w="6243" w:type="dxa"/>
            <w:shd w:val="clear" w:color="auto" w:fill="ECEFEE"/>
          </w:tcPr>
          <w:p>
            <w:pPr>
              <w:pStyle w:val="TableParagraph"/>
              <w:spacing w:before="88"/>
              <w:ind w:left="57"/>
              <w:rPr>
                <w:b/>
                <w:sz w:val="24"/>
              </w:rPr>
            </w:pPr>
            <w:hyperlink w:history="true" w:anchor="_bookmark116">
              <w:r>
                <w:rPr>
                  <w:b/>
                  <w:w w:val="115"/>
                  <w:sz w:val="24"/>
                </w:rPr>
                <w:t>The</w:t>
              </w:r>
              <w:r>
                <w:rPr>
                  <w:b/>
                  <w:spacing w:val="-34"/>
                  <w:w w:val="115"/>
                  <w:sz w:val="24"/>
                </w:rPr>
                <w:t> </w:t>
              </w:r>
              <w:r>
                <w:rPr>
                  <w:b/>
                  <w:w w:val="115"/>
                  <w:sz w:val="24"/>
                </w:rPr>
                <w:t>Commission’s</w:t>
              </w:r>
              <w:r>
                <w:rPr>
                  <w:b/>
                  <w:spacing w:val="-33"/>
                  <w:w w:val="115"/>
                  <w:sz w:val="24"/>
                </w:rPr>
                <w:t> </w:t>
              </w:r>
              <w:r>
                <w:rPr>
                  <w:b/>
                  <w:w w:val="115"/>
                  <w:sz w:val="24"/>
                </w:rPr>
                <w:t>conclusions—enforcement</w:t>
              </w:r>
              <w:r>
                <w:rPr>
                  <w:b/>
                  <w:spacing w:val="-33"/>
                  <w:w w:val="115"/>
                  <w:sz w:val="24"/>
                </w:rPr>
                <w:t> </w:t>
              </w:r>
              <w:r>
                <w:rPr>
                  <w:b/>
                  <w:w w:val="115"/>
                  <w:sz w:val="24"/>
                </w:rPr>
                <w:t>of</w:t>
              </w:r>
              <w:r>
                <w:rPr>
                  <w:b/>
                  <w:spacing w:val="-33"/>
                  <w:w w:val="115"/>
                  <w:sz w:val="24"/>
                </w:rPr>
                <w:t> </w:t>
              </w:r>
              <w:r>
                <w:rPr>
                  <w:b/>
                  <w:w w:val="115"/>
                  <w:sz w:val="24"/>
                </w:rPr>
                <w:t>orders</w:t>
              </w:r>
            </w:hyperlink>
          </w:p>
        </w:tc>
      </w:tr>
    </w:tbl>
    <w:p>
      <w:pPr>
        <w:spacing w:after="0"/>
        <w:rPr>
          <w:sz w:val="24"/>
        </w:rPr>
        <w:sectPr>
          <w:headerReference w:type="default" r:id="rId225"/>
          <w:headerReference w:type="even" r:id="rId226"/>
          <w:pgSz w:w="11910" w:h="16840"/>
          <w:pgMar w:header="0" w:footer="0" w:top="720" w:bottom="280" w:left="0" w:right="0"/>
        </w:sectPr>
      </w:pPr>
    </w:p>
    <w:p>
      <w:pPr>
        <w:pStyle w:val="BodyText"/>
        <w:spacing w:before="10"/>
        <w:rPr>
          <w:b/>
          <w:sz w:val="18"/>
        </w:rPr>
      </w:pPr>
    </w:p>
    <w:p>
      <w:pPr>
        <w:pStyle w:val="ListParagraph"/>
        <w:numPr>
          <w:ilvl w:val="0"/>
          <w:numId w:val="16"/>
        </w:numPr>
        <w:tabs>
          <w:tab w:pos="1247" w:val="left" w:leader="none"/>
          <w:tab w:pos="1248" w:val="left" w:leader="none"/>
        </w:tabs>
        <w:spacing w:line="232" w:lineRule="auto" w:before="106" w:after="0"/>
        <w:ind w:left="1247" w:right="3302" w:hanging="681"/>
        <w:jc w:val="left"/>
        <w:rPr>
          <w:b/>
          <w:sz w:val="44"/>
        </w:rPr>
      </w:pPr>
      <w:bookmarkStart w:name="Introduction" w:id="215"/>
      <w:bookmarkEnd w:id="215"/>
      <w:r>
        <w:rPr/>
      </w:r>
      <w:bookmarkStart w:name="Other jurisdictions—orders available" w:id="216"/>
      <w:bookmarkEnd w:id="216"/>
      <w:r>
        <w:rPr/>
      </w:r>
      <w:bookmarkStart w:name="_bookmark103" w:id="217"/>
      <w:bookmarkEnd w:id="217"/>
      <w:r>
        <w:rPr/>
      </w:r>
      <w:bookmarkStart w:name="_bookmark103" w:id="218"/>
      <w:bookmarkEnd w:id="218"/>
      <w:r>
        <w:rPr>
          <w:b/>
          <w:color w:val="658464"/>
          <w:w w:val="115"/>
          <w:sz w:val="44"/>
        </w:rPr>
        <w:t>O</w:t>
      </w:r>
      <w:r>
        <w:rPr>
          <w:b/>
          <w:color w:val="658464"/>
          <w:w w:val="115"/>
          <w:sz w:val="44"/>
        </w:rPr>
        <w:t>rders,</w:t>
      </w:r>
      <w:r>
        <w:rPr>
          <w:b/>
          <w:color w:val="658464"/>
          <w:spacing w:val="-38"/>
          <w:w w:val="115"/>
          <w:sz w:val="44"/>
        </w:rPr>
        <w:t> </w:t>
      </w:r>
      <w:r>
        <w:rPr>
          <w:b/>
          <w:color w:val="658464"/>
          <w:w w:val="115"/>
          <w:sz w:val="44"/>
        </w:rPr>
        <w:t>appeals</w:t>
      </w:r>
      <w:r>
        <w:rPr>
          <w:b/>
          <w:color w:val="658464"/>
          <w:spacing w:val="-37"/>
          <w:w w:val="115"/>
          <w:sz w:val="44"/>
        </w:rPr>
        <w:t> </w:t>
      </w:r>
      <w:r>
        <w:rPr>
          <w:b/>
          <w:color w:val="658464"/>
          <w:w w:val="115"/>
          <w:sz w:val="44"/>
        </w:rPr>
        <w:t>and</w:t>
      </w:r>
      <w:r>
        <w:rPr>
          <w:b/>
          <w:color w:val="658464"/>
          <w:spacing w:val="-38"/>
          <w:w w:val="115"/>
          <w:sz w:val="44"/>
        </w:rPr>
        <w:t> </w:t>
      </w:r>
      <w:r>
        <w:rPr>
          <w:b/>
          <w:color w:val="658464"/>
          <w:spacing w:val="-4"/>
          <w:w w:val="115"/>
          <w:sz w:val="44"/>
        </w:rPr>
        <w:t>enforcement</w:t>
      </w:r>
      <w:r>
        <w:rPr>
          <w:b/>
          <w:color w:val="658464"/>
          <w:spacing w:val="-37"/>
          <w:w w:val="115"/>
          <w:sz w:val="44"/>
        </w:rPr>
        <w:t> </w:t>
      </w:r>
      <w:r>
        <w:rPr>
          <w:b/>
          <w:color w:val="658464"/>
          <w:spacing w:val="-3"/>
          <w:w w:val="115"/>
          <w:sz w:val="44"/>
        </w:rPr>
        <w:t>in neighbourhood </w:t>
      </w:r>
      <w:r>
        <w:rPr>
          <w:b/>
          <w:color w:val="658464"/>
          <w:w w:val="115"/>
          <w:sz w:val="44"/>
        </w:rPr>
        <w:t>tree</w:t>
      </w:r>
      <w:r>
        <w:rPr>
          <w:b/>
          <w:color w:val="658464"/>
          <w:spacing w:val="4"/>
          <w:w w:val="115"/>
          <w:sz w:val="44"/>
        </w:rPr>
        <w:t> </w:t>
      </w:r>
      <w:r>
        <w:rPr>
          <w:b/>
          <w:color w:val="658464"/>
          <w:spacing w:val="-3"/>
          <w:w w:val="115"/>
          <w:sz w:val="44"/>
        </w:rPr>
        <w:t>disputes</w:t>
      </w:r>
    </w:p>
    <w:p>
      <w:pPr>
        <w:pStyle w:val="BodyText"/>
        <w:rPr>
          <w:b/>
          <w:sz w:val="52"/>
        </w:rPr>
      </w:pPr>
    </w:p>
    <w:p>
      <w:pPr>
        <w:pStyle w:val="BodyText"/>
        <w:rPr>
          <w:b/>
          <w:sz w:val="52"/>
        </w:rPr>
      </w:pPr>
    </w:p>
    <w:p>
      <w:pPr>
        <w:pStyle w:val="BodyText"/>
        <w:rPr>
          <w:b/>
          <w:sz w:val="52"/>
        </w:rPr>
      </w:pPr>
    </w:p>
    <w:p>
      <w:pPr>
        <w:pStyle w:val="BodyText"/>
        <w:spacing w:before="5"/>
        <w:rPr>
          <w:b/>
          <w:sz w:val="57"/>
        </w:rPr>
      </w:pPr>
    </w:p>
    <w:p>
      <w:pPr>
        <w:spacing w:before="1"/>
        <w:ind w:left="1587" w:right="0" w:firstLine="0"/>
        <w:jc w:val="left"/>
        <w:rPr>
          <w:b/>
          <w:sz w:val="28"/>
        </w:rPr>
      </w:pPr>
      <w:r>
        <w:rPr>
          <w:b/>
          <w:color w:val="658464"/>
          <w:w w:val="110"/>
          <w:sz w:val="28"/>
        </w:rPr>
        <w:t>Introduction</w:t>
      </w:r>
    </w:p>
    <w:p>
      <w:pPr>
        <w:pStyle w:val="ListParagraph"/>
        <w:numPr>
          <w:ilvl w:val="1"/>
          <w:numId w:val="16"/>
        </w:numPr>
        <w:tabs>
          <w:tab w:pos="2381" w:val="left" w:leader="none"/>
          <w:tab w:pos="2382" w:val="left" w:leader="none"/>
        </w:tabs>
        <w:spacing w:line="242" w:lineRule="auto" w:before="155" w:after="0"/>
        <w:ind w:left="2381" w:right="1752" w:hanging="794"/>
        <w:jc w:val="left"/>
        <w:rPr>
          <w:sz w:val="21"/>
        </w:rPr>
      </w:pPr>
      <w:r>
        <w:rPr>
          <w:w w:val="105"/>
          <w:sz w:val="21"/>
        </w:rPr>
        <w:t>The new Act should </w:t>
      </w:r>
      <w:r>
        <w:rPr>
          <w:spacing w:val="-3"/>
          <w:w w:val="105"/>
          <w:sz w:val="21"/>
        </w:rPr>
        <w:t>allow for </w:t>
      </w:r>
      <w:r>
        <w:rPr>
          <w:spacing w:val="-4"/>
          <w:w w:val="105"/>
          <w:sz w:val="21"/>
        </w:rPr>
        <w:t>timely, </w:t>
      </w:r>
      <w:r>
        <w:rPr>
          <w:w w:val="105"/>
          <w:sz w:val="21"/>
        </w:rPr>
        <w:t>practical and effective remedies </w:t>
      </w:r>
      <w:r>
        <w:rPr>
          <w:spacing w:val="-3"/>
          <w:w w:val="105"/>
          <w:sz w:val="21"/>
        </w:rPr>
        <w:t>for </w:t>
      </w:r>
      <w:r>
        <w:rPr>
          <w:w w:val="105"/>
          <w:sz w:val="21"/>
        </w:rPr>
        <w:t>tree </w:t>
      </w:r>
      <w:r>
        <w:rPr>
          <w:spacing w:val="-3"/>
          <w:w w:val="105"/>
          <w:sz w:val="21"/>
        </w:rPr>
        <w:t>disputes. </w:t>
      </w:r>
      <w:r>
        <w:rPr>
          <w:w w:val="105"/>
          <w:sz w:val="21"/>
        </w:rPr>
        <w:t>This section considers the types of order </w:t>
      </w:r>
      <w:r>
        <w:rPr>
          <w:spacing w:val="-3"/>
          <w:w w:val="105"/>
          <w:sz w:val="21"/>
        </w:rPr>
        <w:t>available </w:t>
      </w:r>
      <w:r>
        <w:rPr>
          <w:w w:val="105"/>
          <w:sz w:val="21"/>
        </w:rPr>
        <w:t>in interstate Acts and community responses. The </w:t>
      </w:r>
      <w:r>
        <w:rPr>
          <w:spacing w:val="-4"/>
          <w:w w:val="105"/>
          <w:sz w:val="21"/>
        </w:rPr>
        <w:t>Commission’s </w:t>
      </w:r>
      <w:r>
        <w:rPr>
          <w:spacing w:val="-3"/>
          <w:w w:val="105"/>
          <w:sz w:val="21"/>
        </w:rPr>
        <w:t>recommendations </w:t>
      </w:r>
      <w:r>
        <w:rPr>
          <w:w w:val="105"/>
          <w:sz w:val="21"/>
        </w:rPr>
        <w:t>respond </w:t>
      </w:r>
      <w:r>
        <w:rPr>
          <w:spacing w:val="-3"/>
          <w:w w:val="105"/>
          <w:sz w:val="21"/>
        </w:rPr>
        <w:t>to </w:t>
      </w:r>
      <w:r>
        <w:rPr>
          <w:w w:val="105"/>
          <w:sz w:val="21"/>
        </w:rPr>
        <w:t>some of the </w:t>
      </w:r>
      <w:r>
        <w:rPr>
          <w:spacing w:val="-3"/>
          <w:w w:val="105"/>
          <w:sz w:val="21"/>
        </w:rPr>
        <w:t>limitations </w:t>
      </w:r>
      <w:r>
        <w:rPr>
          <w:w w:val="105"/>
          <w:sz w:val="21"/>
        </w:rPr>
        <w:t>with the </w:t>
      </w:r>
      <w:r>
        <w:rPr>
          <w:spacing w:val="-2"/>
          <w:w w:val="105"/>
          <w:sz w:val="21"/>
        </w:rPr>
        <w:t>common </w:t>
      </w:r>
      <w:r>
        <w:rPr>
          <w:w w:val="105"/>
          <w:sz w:val="21"/>
        </w:rPr>
        <w:t>law remedies of </w:t>
      </w:r>
      <w:r>
        <w:rPr>
          <w:spacing w:val="-3"/>
          <w:w w:val="105"/>
          <w:sz w:val="21"/>
        </w:rPr>
        <w:t>negligence, nuisance </w:t>
      </w:r>
      <w:r>
        <w:rPr>
          <w:w w:val="105"/>
          <w:sz w:val="21"/>
        </w:rPr>
        <w:t>and trespass. They </w:t>
      </w:r>
      <w:r>
        <w:rPr>
          <w:spacing w:val="-3"/>
          <w:w w:val="105"/>
          <w:sz w:val="21"/>
        </w:rPr>
        <w:t>aim to </w:t>
      </w:r>
      <w:r>
        <w:rPr>
          <w:w w:val="105"/>
          <w:sz w:val="21"/>
        </w:rPr>
        <w:t>provide </w:t>
      </w:r>
      <w:r>
        <w:rPr>
          <w:spacing w:val="-3"/>
          <w:w w:val="105"/>
          <w:sz w:val="21"/>
        </w:rPr>
        <w:t>greater </w:t>
      </w:r>
      <w:r>
        <w:rPr>
          <w:w w:val="105"/>
          <w:sz w:val="21"/>
        </w:rPr>
        <w:t>clarity about the </w:t>
      </w:r>
      <w:r>
        <w:rPr>
          <w:spacing w:val="-3"/>
          <w:w w:val="105"/>
          <w:sz w:val="21"/>
        </w:rPr>
        <w:t>range </w:t>
      </w:r>
      <w:r>
        <w:rPr>
          <w:w w:val="105"/>
          <w:sz w:val="21"/>
        </w:rPr>
        <w:t>of </w:t>
      </w:r>
      <w:r>
        <w:rPr>
          <w:spacing w:val="-4"/>
          <w:w w:val="105"/>
          <w:sz w:val="21"/>
        </w:rPr>
        <w:t>likely </w:t>
      </w:r>
      <w:r>
        <w:rPr>
          <w:spacing w:val="-3"/>
          <w:w w:val="105"/>
          <w:sz w:val="21"/>
        </w:rPr>
        <w:t>outcomes </w:t>
      </w:r>
      <w:r>
        <w:rPr>
          <w:w w:val="105"/>
          <w:sz w:val="21"/>
        </w:rPr>
        <w:t>if matters proceed </w:t>
      </w:r>
      <w:r>
        <w:rPr>
          <w:spacing w:val="-3"/>
          <w:w w:val="105"/>
          <w:sz w:val="21"/>
        </w:rPr>
        <w:t>to hearing </w:t>
      </w:r>
      <w:r>
        <w:rPr>
          <w:w w:val="105"/>
          <w:sz w:val="21"/>
        </w:rPr>
        <w:t>at</w:t>
      </w:r>
      <w:r>
        <w:rPr>
          <w:spacing w:val="-10"/>
          <w:w w:val="105"/>
          <w:sz w:val="21"/>
        </w:rPr>
        <w:t> </w:t>
      </w:r>
      <w:r>
        <w:rPr>
          <w:spacing w:val="-8"/>
          <w:w w:val="105"/>
          <w:sz w:val="21"/>
        </w:rPr>
        <w:t>VCAT.</w:t>
      </w:r>
    </w:p>
    <w:p>
      <w:pPr>
        <w:pStyle w:val="ListParagraph"/>
        <w:numPr>
          <w:ilvl w:val="1"/>
          <w:numId w:val="16"/>
        </w:numPr>
        <w:tabs>
          <w:tab w:pos="2380" w:val="left" w:leader="none"/>
          <w:tab w:pos="2381" w:val="left" w:leader="none"/>
        </w:tabs>
        <w:spacing w:line="240" w:lineRule="auto" w:before="125" w:after="0"/>
        <w:ind w:left="2381" w:right="0" w:hanging="794"/>
        <w:jc w:val="left"/>
        <w:rPr>
          <w:sz w:val="21"/>
        </w:rPr>
      </w:pPr>
      <w:r>
        <w:rPr>
          <w:sz w:val="21"/>
        </w:rPr>
        <w:t>This </w:t>
      </w:r>
      <w:r>
        <w:rPr>
          <w:spacing w:val="-3"/>
          <w:sz w:val="21"/>
        </w:rPr>
        <w:t>chapter</w:t>
      </w:r>
      <w:r>
        <w:rPr>
          <w:spacing w:val="16"/>
          <w:sz w:val="21"/>
        </w:rPr>
        <w:t> </w:t>
      </w:r>
      <w:r>
        <w:rPr>
          <w:sz w:val="21"/>
        </w:rPr>
        <w:t>considers:</w:t>
      </w:r>
    </w:p>
    <w:p>
      <w:pPr>
        <w:pStyle w:val="ListParagraph"/>
        <w:numPr>
          <w:ilvl w:val="2"/>
          <w:numId w:val="16"/>
        </w:numPr>
        <w:tabs>
          <w:tab w:pos="2721" w:val="left" w:leader="none"/>
          <w:tab w:pos="2722" w:val="left" w:leader="none"/>
        </w:tabs>
        <w:spacing w:line="242" w:lineRule="auto" w:before="124" w:after="0"/>
        <w:ind w:left="2721" w:right="1816" w:hanging="340"/>
        <w:jc w:val="left"/>
        <w:rPr>
          <w:sz w:val="21"/>
        </w:rPr>
      </w:pPr>
      <w:r>
        <w:rPr>
          <w:w w:val="105"/>
          <w:sz w:val="21"/>
        </w:rPr>
        <w:t>the</w:t>
      </w:r>
      <w:r>
        <w:rPr>
          <w:spacing w:val="-6"/>
          <w:w w:val="105"/>
          <w:sz w:val="21"/>
        </w:rPr>
        <w:t> </w:t>
      </w:r>
      <w:r>
        <w:rPr>
          <w:w w:val="105"/>
          <w:sz w:val="21"/>
        </w:rPr>
        <w:t>types</w:t>
      </w:r>
      <w:r>
        <w:rPr>
          <w:spacing w:val="-5"/>
          <w:w w:val="105"/>
          <w:sz w:val="21"/>
        </w:rPr>
        <w:t> </w:t>
      </w:r>
      <w:r>
        <w:rPr>
          <w:w w:val="105"/>
          <w:sz w:val="21"/>
        </w:rPr>
        <w:t>of</w:t>
      </w:r>
      <w:r>
        <w:rPr>
          <w:spacing w:val="-5"/>
          <w:w w:val="105"/>
          <w:sz w:val="21"/>
        </w:rPr>
        <w:t> </w:t>
      </w:r>
      <w:r>
        <w:rPr>
          <w:w w:val="105"/>
          <w:sz w:val="21"/>
        </w:rPr>
        <w:t>order</w:t>
      </w:r>
      <w:r>
        <w:rPr>
          <w:spacing w:val="-5"/>
          <w:w w:val="105"/>
          <w:sz w:val="21"/>
        </w:rPr>
        <w:t> </w:t>
      </w:r>
      <w:r>
        <w:rPr>
          <w:spacing w:val="-3"/>
          <w:w w:val="105"/>
          <w:sz w:val="21"/>
        </w:rPr>
        <w:t>that</w:t>
      </w:r>
      <w:r>
        <w:rPr>
          <w:spacing w:val="-6"/>
          <w:w w:val="105"/>
          <w:sz w:val="21"/>
        </w:rPr>
        <w:t> </w:t>
      </w:r>
      <w:r>
        <w:rPr>
          <w:w w:val="105"/>
          <w:sz w:val="21"/>
        </w:rPr>
        <w:t>the</w:t>
      </w:r>
      <w:r>
        <w:rPr>
          <w:spacing w:val="-5"/>
          <w:w w:val="105"/>
          <w:sz w:val="21"/>
        </w:rPr>
        <w:t> </w:t>
      </w:r>
      <w:r>
        <w:rPr>
          <w:w w:val="105"/>
          <w:sz w:val="21"/>
        </w:rPr>
        <w:t>Victorian</w:t>
      </w:r>
      <w:r>
        <w:rPr>
          <w:spacing w:val="-5"/>
          <w:w w:val="105"/>
          <w:sz w:val="21"/>
        </w:rPr>
        <w:t> </w:t>
      </w:r>
      <w:r>
        <w:rPr>
          <w:spacing w:val="-3"/>
          <w:w w:val="105"/>
          <w:sz w:val="21"/>
        </w:rPr>
        <w:t>Civil</w:t>
      </w:r>
      <w:r>
        <w:rPr>
          <w:spacing w:val="-5"/>
          <w:w w:val="105"/>
          <w:sz w:val="21"/>
        </w:rPr>
        <w:t> </w:t>
      </w:r>
      <w:r>
        <w:rPr>
          <w:w w:val="105"/>
          <w:sz w:val="21"/>
        </w:rPr>
        <w:t>and</w:t>
      </w:r>
      <w:r>
        <w:rPr>
          <w:spacing w:val="-6"/>
          <w:w w:val="105"/>
          <w:sz w:val="21"/>
        </w:rPr>
        <w:t> </w:t>
      </w:r>
      <w:r>
        <w:rPr>
          <w:spacing w:val="-3"/>
          <w:w w:val="105"/>
          <w:sz w:val="21"/>
        </w:rPr>
        <w:t>Administrative</w:t>
      </w:r>
      <w:r>
        <w:rPr>
          <w:spacing w:val="-5"/>
          <w:w w:val="105"/>
          <w:sz w:val="21"/>
        </w:rPr>
        <w:t> Tribunal </w:t>
      </w:r>
      <w:r>
        <w:rPr>
          <w:w w:val="105"/>
          <w:sz w:val="21"/>
        </w:rPr>
        <w:t>(VCAT)</w:t>
      </w:r>
      <w:r>
        <w:rPr>
          <w:spacing w:val="-5"/>
          <w:w w:val="105"/>
          <w:sz w:val="21"/>
        </w:rPr>
        <w:t> </w:t>
      </w:r>
      <w:r>
        <w:rPr>
          <w:w w:val="105"/>
          <w:sz w:val="21"/>
        </w:rPr>
        <w:t>should be able </w:t>
      </w:r>
      <w:r>
        <w:rPr>
          <w:spacing w:val="-3"/>
          <w:w w:val="105"/>
          <w:sz w:val="21"/>
        </w:rPr>
        <w:t>to </w:t>
      </w:r>
      <w:r>
        <w:rPr>
          <w:spacing w:val="-4"/>
          <w:w w:val="105"/>
          <w:sz w:val="21"/>
        </w:rPr>
        <w:t>make </w:t>
      </w:r>
      <w:r>
        <w:rPr>
          <w:w w:val="105"/>
          <w:sz w:val="21"/>
        </w:rPr>
        <w:t>under the new</w:t>
      </w:r>
      <w:r>
        <w:rPr>
          <w:spacing w:val="42"/>
          <w:w w:val="105"/>
          <w:sz w:val="21"/>
        </w:rPr>
        <w:t> </w:t>
      </w:r>
      <w:r>
        <w:rPr>
          <w:w w:val="105"/>
          <w:sz w:val="21"/>
        </w:rPr>
        <w:t>Act</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z w:val="21"/>
        </w:rPr>
        <w:t>rights</w:t>
      </w:r>
      <w:r>
        <w:rPr>
          <w:spacing w:val="8"/>
          <w:sz w:val="21"/>
        </w:rPr>
        <w:t> </w:t>
      </w:r>
      <w:r>
        <w:rPr>
          <w:spacing w:val="-3"/>
          <w:sz w:val="21"/>
        </w:rPr>
        <w:t>to</w:t>
      </w:r>
      <w:r>
        <w:rPr>
          <w:spacing w:val="9"/>
          <w:sz w:val="21"/>
        </w:rPr>
        <w:t> </w:t>
      </w:r>
      <w:r>
        <w:rPr>
          <w:sz w:val="21"/>
        </w:rPr>
        <w:t>seek</w:t>
      </w:r>
      <w:r>
        <w:rPr>
          <w:spacing w:val="9"/>
          <w:sz w:val="21"/>
        </w:rPr>
        <w:t> </w:t>
      </w:r>
      <w:r>
        <w:rPr>
          <w:sz w:val="21"/>
        </w:rPr>
        <w:t>an</w:t>
      </w:r>
      <w:r>
        <w:rPr>
          <w:spacing w:val="8"/>
          <w:sz w:val="21"/>
        </w:rPr>
        <w:t> </w:t>
      </w:r>
      <w:r>
        <w:rPr>
          <w:sz w:val="21"/>
        </w:rPr>
        <w:t>appeal</w:t>
      </w:r>
      <w:r>
        <w:rPr>
          <w:spacing w:val="9"/>
          <w:sz w:val="21"/>
        </w:rPr>
        <w:t> </w:t>
      </w:r>
      <w:r>
        <w:rPr>
          <w:sz w:val="21"/>
        </w:rPr>
        <w:t>or</w:t>
      </w:r>
      <w:r>
        <w:rPr>
          <w:spacing w:val="9"/>
          <w:sz w:val="21"/>
        </w:rPr>
        <w:t> </w:t>
      </w:r>
      <w:r>
        <w:rPr>
          <w:sz w:val="21"/>
        </w:rPr>
        <w:t>a</w:t>
      </w:r>
      <w:r>
        <w:rPr>
          <w:spacing w:val="9"/>
          <w:sz w:val="21"/>
        </w:rPr>
        <w:t> </w:t>
      </w:r>
      <w:r>
        <w:rPr>
          <w:spacing w:val="-3"/>
          <w:sz w:val="21"/>
        </w:rPr>
        <w:t>variation</w:t>
      </w:r>
      <w:r>
        <w:rPr>
          <w:spacing w:val="8"/>
          <w:sz w:val="21"/>
        </w:rPr>
        <w:t> </w:t>
      </w:r>
      <w:r>
        <w:rPr>
          <w:sz w:val="21"/>
        </w:rPr>
        <w:t>of</w:t>
      </w:r>
      <w:r>
        <w:rPr>
          <w:spacing w:val="9"/>
          <w:sz w:val="21"/>
        </w:rPr>
        <w:t> </w:t>
      </w:r>
      <w:r>
        <w:rPr>
          <w:sz w:val="21"/>
        </w:rPr>
        <w:t>orders</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how orders should be</w:t>
      </w:r>
      <w:r>
        <w:rPr>
          <w:spacing w:val="20"/>
          <w:w w:val="105"/>
          <w:sz w:val="21"/>
        </w:rPr>
        <w:t> </w:t>
      </w:r>
      <w:r>
        <w:rPr>
          <w:spacing w:val="-3"/>
          <w:w w:val="105"/>
          <w:sz w:val="21"/>
        </w:rPr>
        <w:t>enforced.</w:t>
      </w:r>
    </w:p>
    <w:p>
      <w:pPr>
        <w:pStyle w:val="BodyText"/>
        <w:rPr>
          <w:sz w:val="19"/>
        </w:rPr>
      </w:pPr>
    </w:p>
    <w:p>
      <w:pPr>
        <w:spacing w:before="0"/>
        <w:ind w:left="1587" w:right="0" w:firstLine="0"/>
        <w:jc w:val="left"/>
        <w:rPr>
          <w:b/>
          <w:sz w:val="28"/>
        </w:rPr>
      </w:pPr>
      <w:r>
        <w:rPr>
          <w:b/>
          <w:color w:val="658464"/>
          <w:w w:val="110"/>
          <w:sz w:val="28"/>
        </w:rPr>
        <w:t>Other jurisdictions—orders available</w:t>
      </w:r>
    </w:p>
    <w:p>
      <w:pPr>
        <w:pStyle w:val="Heading5"/>
        <w:spacing w:before="279"/>
      </w:pPr>
      <w:r>
        <w:rPr>
          <w:w w:val="115"/>
        </w:rPr>
        <w:t>New South Wales</w:t>
      </w:r>
    </w:p>
    <w:p>
      <w:pPr>
        <w:pStyle w:val="ListParagraph"/>
        <w:numPr>
          <w:ilvl w:val="1"/>
          <w:numId w:val="16"/>
        </w:numPr>
        <w:tabs>
          <w:tab w:pos="2381" w:val="left" w:leader="none"/>
          <w:tab w:pos="2382" w:val="left" w:leader="none"/>
        </w:tabs>
        <w:spacing w:line="242" w:lineRule="auto" w:before="138" w:after="0"/>
        <w:ind w:left="2381" w:right="1816" w:hanging="794"/>
        <w:jc w:val="left"/>
        <w:rPr>
          <w:sz w:val="21"/>
        </w:rPr>
      </w:pPr>
      <w:r>
        <w:rPr>
          <w:w w:val="105"/>
          <w:sz w:val="21"/>
        </w:rPr>
        <w:t>Section 9 of the </w:t>
      </w:r>
      <w:r>
        <w:rPr>
          <w:i/>
          <w:spacing w:val="-4"/>
          <w:w w:val="105"/>
          <w:sz w:val="21"/>
        </w:rPr>
        <w:t>Trees </w:t>
      </w:r>
      <w:r>
        <w:rPr>
          <w:i/>
          <w:w w:val="105"/>
          <w:sz w:val="21"/>
        </w:rPr>
        <w:t>(Disputes Between Neighbours) Act 2006 </w:t>
      </w:r>
      <w:r>
        <w:rPr>
          <w:spacing w:val="2"/>
          <w:w w:val="105"/>
          <w:sz w:val="21"/>
        </w:rPr>
        <w:t>(NSW) </w:t>
      </w:r>
      <w:r>
        <w:rPr>
          <w:w w:val="105"/>
          <w:sz w:val="21"/>
        </w:rPr>
        <w:t>(the NSW Act) sets out the types of orders </w:t>
      </w:r>
      <w:r>
        <w:rPr>
          <w:spacing w:val="-3"/>
          <w:w w:val="105"/>
          <w:sz w:val="21"/>
        </w:rPr>
        <w:t>that </w:t>
      </w:r>
      <w:r>
        <w:rPr>
          <w:w w:val="105"/>
          <w:sz w:val="21"/>
        </w:rPr>
        <w:t>the Land and </w:t>
      </w:r>
      <w:r>
        <w:rPr>
          <w:spacing w:val="-3"/>
          <w:w w:val="105"/>
          <w:sz w:val="21"/>
        </w:rPr>
        <w:t>Environment Court </w:t>
      </w:r>
      <w:r>
        <w:rPr>
          <w:w w:val="105"/>
          <w:sz w:val="21"/>
        </w:rPr>
        <w:t>of New South </w:t>
      </w:r>
      <w:r>
        <w:rPr>
          <w:spacing w:val="-3"/>
          <w:w w:val="105"/>
          <w:sz w:val="21"/>
        </w:rPr>
        <w:t>Wales </w:t>
      </w:r>
      <w:r>
        <w:rPr>
          <w:w w:val="105"/>
          <w:sz w:val="21"/>
        </w:rPr>
        <w:t>(NSWLEC) can </w:t>
      </w:r>
      <w:r>
        <w:rPr>
          <w:spacing w:val="-4"/>
          <w:w w:val="105"/>
          <w:sz w:val="21"/>
        </w:rPr>
        <w:t>make </w:t>
      </w:r>
      <w:r>
        <w:rPr>
          <w:w w:val="105"/>
          <w:sz w:val="21"/>
        </w:rPr>
        <w:t>in tree </w:t>
      </w:r>
      <w:r>
        <w:rPr>
          <w:spacing w:val="-3"/>
          <w:w w:val="105"/>
          <w:sz w:val="21"/>
        </w:rPr>
        <w:t>disputes. </w:t>
      </w:r>
      <w:r>
        <w:rPr>
          <w:w w:val="105"/>
          <w:sz w:val="21"/>
        </w:rPr>
        <w:t>The NSWLEC </w:t>
      </w:r>
      <w:r>
        <w:rPr>
          <w:spacing w:val="-2"/>
          <w:w w:val="105"/>
          <w:sz w:val="21"/>
        </w:rPr>
        <w:t>has </w:t>
      </w:r>
      <w:r>
        <w:rPr>
          <w:w w:val="105"/>
          <w:sz w:val="21"/>
        </w:rPr>
        <w:t>broad jurisdiction </w:t>
      </w:r>
      <w:r>
        <w:rPr>
          <w:spacing w:val="-3"/>
          <w:w w:val="105"/>
          <w:sz w:val="21"/>
        </w:rPr>
        <w:t>to </w:t>
      </w:r>
      <w:r>
        <w:rPr>
          <w:spacing w:val="-4"/>
          <w:w w:val="105"/>
          <w:sz w:val="21"/>
        </w:rPr>
        <w:t>make ‘such </w:t>
      </w:r>
      <w:r>
        <w:rPr>
          <w:w w:val="105"/>
          <w:sz w:val="21"/>
        </w:rPr>
        <w:t>orders as it thinks fit </w:t>
      </w:r>
      <w:r>
        <w:rPr>
          <w:spacing w:val="-3"/>
          <w:w w:val="105"/>
          <w:sz w:val="21"/>
        </w:rPr>
        <w:t>to remedy, restrain </w:t>
      </w:r>
      <w:r>
        <w:rPr>
          <w:w w:val="105"/>
          <w:sz w:val="21"/>
        </w:rPr>
        <w:t>or </w:t>
      </w:r>
      <w:r>
        <w:rPr>
          <w:spacing w:val="-3"/>
          <w:w w:val="105"/>
          <w:sz w:val="21"/>
        </w:rPr>
        <w:t>prevent </w:t>
      </w:r>
      <w:r>
        <w:rPr>
          <w:w w:val="105"/>
          <w:sz w:val="21"/>
        </w:rPr>
        <w:t>damage </w:t>
      </w:r>
      <w:r>
        <w:rPr>
          <w:spacing w:val="-3"/>
          <w:w w:val="105"/>
          <w:sz w:val="21"/>
        </w:rPr>
        <w:t>to </w:t>
      </w:r>
      <w:r>
        <w:rPr>
          <w:w w:val="105"/>
          <w:sz w:val="21"/>
        </w:rPr>
        <w:t>property, or </w:t>
      </w:r>
      <w:r>
        <w:rPr>
          <w:spacing w:val="-3"/>
          <w:w w:val="105"/>
          <w:sz w:val="21"/>
        </w:rPr>
        <w:t>to prevent </w:t>
      </w:r>
      <w:r>
        <w:rPr>
          <w:w w:val="105"/>
          <w:sz w:val="21"/>
        </w:rPr>
        <w:t>injury</w:t>
      </w:r>
      <w:r>
        <w:rPr>
          <w:spacing w:val="-8"/>
          <w:w w:val="105"/>
          <w:sz w:val="21"/>
        </w:rPr>
        <w:t> </w:t>
      </w:r>
      <w:r>
        <w:rPr>
          <w:spacing w:val="-3"/>
          <w:w w:val="105"/>
          <w:sz w:val="21"/>
        </w:rPr>
        <w:t>to</w:t>
      </w:r>
      <w:r>
        <w:rPr>
          <w:spacing w:val="-7"/>
          <w:w w:val="105"/>
          <w:sz w:val="21"/>
        </w:rPr>
        <w:t> </w:t>
      </w:r>
      <w:r>
        <w:rPr>
          <w:spacing w:val="-3"/>
          <w:w w:val="105"/>
          <w:sz w:val="21"/>
        </w:rPr>
        <w:t>any</w:t>
      </w:r>
      <w:r>
        <w:rPr>
          <w:spacing w:val="-8"/>
          <w:w w:val="105"/>
          <w:sz w:val="21"/>
        </w:rPr>
        <w:t> </w:t>
      </w:r>
      <w:r>
        <w:rPr>
          <w:w w:val="105"/>
          <w:sz w:val="21"/>
        </w:rPr>
        <w:t>person’</w:t>
      </w:r>
      <w:r>
        <w:rPr>
          <w:spacing w:val="-7"/>
          <w:w w:val="105"/>
          <w:sz w:val="21"/>
        </w:rPr>
        <w:t> </w:t>
      </w:r>
      <w:r>
        <w:rPr>
          <w:w w:val="105"/>
          <w:sz w:val="21"/>
        </w:rPr>
        <w:t>and</w:t>
      </w:r>
      <w:r>
        <w:rPr>
          <w:spacing w:val="-8"/>
          <w:w w:val="105"/>
          <w:sz w:val="21"/>
        </w:rPr>
        <w:t> </w:t>
      </w:r>
      <w:r>
        <w:rPr>
          <w:w w:val="105"/>
          <w:sz w:val="21"/>
        </w:rPr>
        <w:t>is</w:t>
      </w:r>
      <w:r>
        <w:rPr>
          <w:spacing w:val="-7"/>
          <w:w w:val="105"/>
          <w:sz w:val="21"/>
        </w:rPr>
        <w:t> </w:t>
      </w:r>
      <w:r>
        <w:rPr>
          <w:spacing w:val="-2"/>
          <w:w w:val="105"/>
          <w:sz w:val="21"/>
        </w:rPr>
        <w:t>not</w:t>
      </w:r>
      <w:r>
        <w:rPr>
          <w:spacing w:val="-8"/>
          <w:w w:val="105"/>
          <w:sz w:val="21"/>
        </w:rPr>
        <w:t> </w:t>
      </w:r>
      <w:r>
        <w:rPr>
          <w:spacing w:val="-3"/>
          <w:w w:val="105"/>
          <w:sz w:val="21"/>
        </w:rPr>
        <w:t>limited</w:t>
      </w:r>
      <w:r>
        <w:rPr>
          <w:spacing w:val="-7"/>
          <w:w w:val="105"/>
          <w:sz w:val="21"/>
        </w:rPr>
        <w:t> </w:t>
      </w:r>
      <w:r>
        <w:rPr>
          <w:spacing w:val="-3"/>
          <w:w w:val="105"/>
          <w:sz w:val="21"/>
        </w:rPr>
        <w:t>to</w:t>
      </w:r>
      <w:r>
        <w:rPr>
          <w:spacing w:val="-8"/>
          <w:w w:val="105"/>
          <w:sz w:val="21"/>
        </w:rPr>
        <w:t> </w:t>
      </w:r>
      <w:r>
        <w:rPr>
          <w:spacing w:val="-3"/>
          <w:w w:val="105"/>
          <w:sz w:val="21"/>
        </w:rPr>
        <w:t>making</w:t>
      </w:r>
      <w:r>
        <w:rPr>
          <w:spacing w:val="-7"/>
          <w:w w:val="105"/>
          <w:sz w:val="21"/>
        </w:rPr>
        <w:t> </w:t>
      </w:r>
      <w:r>
        <w:rPr>
          <w:w w:val="105"/>
          <w:sz w:val="21"/>
        </w:rPr>
        <w:t>orders</w:t>
      </w:r>
      <w:r>
        <w:rPr>
          <w:spacing w:val="-8"/>
          <w:w w:val="105"/>
          <w:sz w:val="21"/>
        </w:rPr>
        <w:t> </w:t>
      </w:r>
      <w:r>
        <w:rPr>
          <w:w w:val="105"/>
          <w:sz w:val="21"/>
        </w:rPr>
        <w:t>requested</w:t>
      </w:r>
      <w:r>
        <w:rPr>
          <w:spacing w:val="-7"/>
          <w:w w:val="105"/>
          <w:sz w:val="21"/>
        </w:rPr>
        <w:t> </w:t>
      </w:r>
      <w:r>
        <w:rPr>
          <w:w w:val="105"/>
          <w:sz w:val="21"/>
        </w:rPr>
        <w:t>by</w:t>
      </w:r>
      <w:r>
        <w:rPr>
          <w:spacing w:val="-7"/>
          <w:w w:val="105"/>
          <w:sz w:val="21"/>
        </w:rPr>
        <w:t> </w:t>
      </w:r>
      <w:r>
        <w:rPr>
          <w:w w:val="105"/>
          <w:sz w:val="21"/>
        </w:rPr>
        <w:t>the</w:t>
      </w:r>
      <w:r>
        <w:rPr>
          <w:spacing w:val="-8"/>
          <w:w w:val="105"/>
          <w:sz w:val="21"/>
        </w:rPr>
        <w:t> </w:t>
      </w:r>
      <w:r>
        <w:rPr>
          <w:w w:val="105"/>
          <w:sz w:val="21"/>
        </w:rPr>
        <w:t>parties</w:t>
      </w:r>
      <w:r>
        <w:rPr>
          <w:spacing w:val="-7"/>
          <w:w w:val="105"/>
          <w:sz w:val="21"/>
        </w:rPr>
        <w:t> </w:t>
      </w:r>
      <w:r>
        <w:rPr>
          <w:spacing w:val="-3"/>
          <w:w w:val="105"/>
          <w:sz w:val="21"/>
        </w:rPr>
        <w:t>to</w:t>
      </w:r>
      <w:r>
        <w:rPr>
          <w:spacing w:val="-8"/>
          <w:w w:val="105"/>
          <w:sz w:val="21"/>
        </w:rPr>
        <w:t> </w:t>
      </w:r>
      <w:r>
        <w:rPr>
          <w:w w:val="105"/>
          <w:sz w:val="21"/>
        </w:rPr>
        <w:t>the </w:t>
      </w:r>
      <w:r>
        <w:rPr>
          <w:spacing w:val="-5"/>
          <w:w w:val="105"/>
          <w:sz w:val="21"/>
        </w:rPr>
        <w:t>dispute.</w:t>
      </w:r>
      <w:r>
        <w:rPr>
          <w:spacing w:val="-5"/>
          <w:w w:val="105"/>
          <w:position w:val="7"/>
          <w:sz w:val="12"/>
        </w:rPr>
        <w:t>1</w:t>
      </w:r>
    </w:p>
    <w:p>
      <w:pPr>
        <w:pStyle w:val="ListParagraph"/>
        <w:numPr>
          <w:ilvl w:val="1"/>
          <w:numId w:val="16"/>
        </w:numPr>
        <w:tabs>
          <w:tab w:pos="2381" w:val="left" w:leader="none"/>
          <w:tab w:pos="2382" w:val="left" w:leader="none"/>
        </w:tabs>
        <w:spacing w:line="240" w:lineRule="auto" w:before="126" w:after="0"/>
        <w:ind w:left="2381" w:right="0" w:hanging="794"/>
        <w:jc w:val="left"/>
        <w:rPr>
          <w:sz w:val="21"/>
        </w:rPr>
      </w:pPr>
      <w:r>
        <w:rPr>
          <w:w w:val="105"/>
          <w:sz w:val="21"/>
        </w:rPr>
        <w:t>The NSWLEC </w:t>
      </w:r>
      <w:r>
        <w:rPr>
          <w:spacing w:val="-3"/>
          <w:w w:val="105"/>
          <w:sz w:val="21"/>
        </w:rPr>
        <w:t>may </w:t>
      </w:r>
      <w:r>
        <w:rPr>
          <w:spacing w:val="-4"/>
          <w:w w:val="105"/>
          <w:sz w:val="21"/>
        </w:rPr>
        <w:t>make </w:t>
      </w:r>
      <w:r>
        <w:rPr>
          <w:w w:val="105"/>
          <w:sz w:val="21"/>
        </w:rPr>
        <w:t>orders</w:t>
      </w:r>
      <w:r>
        <w:rPr>
          <w:spacing w:val="33"/>
          <w:w w:val="105"/>
          <w:sz w:val="21"/>
        </w:rPr>
        <w:t> </w:t>
      </w:r>
      <w:r>
        <w:rPr>
          <w:w w:val="105"/>
          <w:sz w:val="21"/>
        </w:rPr>
        <w:t>that:</w:t>
      </w:r>
    </w:p>
    <w:p>
      <w:pPr>
        <w:pStyle w:val="ListParagraph"/>
        <w:numPr>
          <w:ilvl w:val="2"/>
          <w:numId w:val="16"/>
        </w:numPr>
        <w:tabs>
          <w:tab w:pos="2721" w:val="left" w:leader="none"/>
          <w:tab w:pos="2722" w:val="left" w:leader="none"/>
        </w:tabs>
        <w:spacing w:line="242" w:lineRule="auto" w:before="124" w:after="0"/>
        <w:ind w:left="2721" w:right="2100" w:hanging="340"/>
        <w:jc w:val="left"/>
        <w:rPr>
          <w:sz w:val="21"/>
        </w:rPr>
      </w:pPr>
      <w:r>
        <w:rPr>
          <w:spacing w:val="-3"/>
          <w:sz w:val="21"/>
        </w:rPr>
        <w:t>require </w:t>
      </w:r>
      <w:r>
        <w:rPr>
          <w:sz w:val="21"/>
        </w:rPr>
        <w:t>specified action </w:t>
      </w:r>
      <w:r>
        <w:rPr>
          <w:spacing w:val="-3"/>
          <w:sz w:val="21"/>
        </w:rPr>
        <w:t>to </w:t>
      </w:r>
      <w:r>
        <w:rPr>
          <w:sz w:val="21"/>
        </w:rPr>
        <w:t>be </w:t>
      </w:r>
      <w:r>
        <w:rPr>
          <w:spacing w:val="-3"/>
          <w:sz w:val="21"/>
        </w:rPr>
        <w:t>taken to </w:t>
      </w:r>
      <w:r>
        <w:rPr>
          <w:sz w:val="21"/>
        </w:rPr>
        <w:t>remedy damage </w:t>
      </w:r>
      <w:r>
        <w:rPr>
          <w:spacing w:val="-3"/>
          <w:sz w:val="21"/>
        </w:rPr>
        <w:t>to </w:t>
      </w:r>
      <w:r>
        <w:rPr>
          <w:sz w:val="21"/>
        </w:rPr>
        <w:t>property or </w:t>
      </w:r>
      <w:r>
        <w:rPr>
          <w:spacing w:val="-3"/>
          <w:sz w:val="21"/>
        </w:rPr>
        <w:t>restrain </w:t>
      </w:r>
      <w:r>
        <w:rPr>
          <w:sz w:val="21"/>
        </w:rPr>
        <w:t>or </w:t>
      </w:r>
      <w:r>
        <w:rPr>
          <w:spacing w:val="-3"/>
          <w:sz w:val="21"/>
        </w:rPr>
        <w:t>prevent </w:t>
      </w:r>
      <w:r>
        <w:rPr>
          <w:sz w:val="21"/>
        </w:rPr>
        <w:t>damage or </w:t>
      </w:r>
      <w:r>
        <w:rPr>
          <w:spacing w:val="-3"/>
          <w:sz w:val="21"/>
        </w:rPr>
        <w:t>future </w:t>
      </w:r>
      <w:r>
        <w:rPr>
          <w:sz w:val="21"/>
        </w:rPr>
        <w:t>damage </w:t>
      </w:r>
      <w:r>
        <w:rPr>
          <w:spacing w:val="-3"/>
          <w:sz w:val="21"/>
        </w:rPr>
        <w:t>to</w:t>
      </w:r>
      <w:r>
        <w:rPr>
          <w:spacing w:val="19"/>
          <w:sz w:val="21"/>
        </w:rPr>
        <w:t> </w:t>
      </w:r>
      <w:r>
        <w:rPr>
          <w:sz w:val="21"/>
        </w:rPr>
        <w:t>property</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pacing w:val="-3"/>
          <w:sz w:val="21"/>
        </w:rPr>
        <w:t>require</w:t>
      </w:r>
      <w:r>
        <w:rPr>
          <w:spacing w:val="9"/>
          <w:sz w:val="21"/>
        </w:rPr>
        <w:t> </w:t>
      </w:r>
      <w:r>
        <w:rPr>
          <w:sz w:val="21"/>
        </w:rPr>
        <w:t>specified</w:t>
      </w:r>
      <w:r>
        <w:rPr>
          <w:spacing w:val="10"/>
          <w:sz w:val="21"/>
        </w:rPr>
        <w:t> </w:t>
      </w:r>
      <w:r>
        <w:rPr>
          <w:sz w:val="21"/>
        </w:rPr>
        <w:t>action</w:t>
      </w:r>
      <w:r>
        <w:rPr>
          <w:spacing w:val="9"/>
          <w:sz w:val="21"/>
        </w:rPr>
        <w:t> </w:t>
      </w:r>
      <w:r>
        <w:rPr>
          <w:spacing w:val="-3"/>
          <w:sz w:val="21"/>
        </w:rPr>
        <w:t>to</w:t>
      </w:r>
      <w:r>
        <w:rPr>
          <w:spacing w:val="10"/>
          <w:sz w:val="21"/>
        </w:rPr>
        <w:t> </w:t>
      </w:r>
      <w:r>
        <w:rPr>
          <w:sz w:val="21"/>
        </w:rPr>
        <w:t>be</w:t>
      </w:r>
      <w:r>
        <w:rPr>
          <w:spacing w:val="9"/>
          <w:sz w:val="21"/>
        </w:rPr>
        <w:t> </w:t>
      </w:r>
      <w:r>
        <w:rPr>
          <w:spacing w:val="-3"/>
          <w:sz w:val="21"/>
        </w:rPr>
        <w:t>taken</w:t>
      </w:r>
      <w:r>
        <w:rPr>
          <w:spacing w:val="10"/>
          <w:sz w:val="21"/>
        </w:rPr>
        <w:t> </w:t>
      </w:r>
      <w:r>
        <w:rPr>
          <w:spacing w:val="-3"/>
          <w:sz w:val="21"/>
        </w:rPr>
        <w:t>to</w:t>
      </w:r>
      <w:r>
        <w:rPr>
          <w:spacing w:val="9"/>
          <w:sz w:val="21"/>
        </w:rPr>
        <w:t> </w:t>
      </w:r>
      <w:r>
        <w:rPr>
          <w:spacing w:val="-3"/>
          <w:sz w:val="21"/>
        </w:rPr>
        <w:t>prevent</w:t>
      </w:r>
      <w:r>
        <w:rPr>
          <w:spacing w:val="10"/>
          <w:sz w:val="21"/>
        </w:rPr>
        <w:t> </w:t>
      </w:r>
      <w:r>
        <w:rPr>
          <w:sz w:val="21"/>
        </w:rPr>
        <w:t>injury</w:t>
      </w:r>
      <w:r>
        <w:rPr>
          <w:spacing w:val="10"/>
          <w:sz w:val="21"/>
        </w:rPr>
        <w:t> </w:t>
      </w:r>
      <w:r>
        <w:rPr>
          <w:spacing w:val="-3"/>
          <w:sz w:val="21"/>
        </w:rPr>
        <w:t>to</w:t>
      </w:r>
      <w:r>
        <w:rPr>
          <w:spacing w:val="9"/>
          <w:sz w:val="21"/>
        </w:rPr>
        <w:t> </w:t>
      </w:r>
      <w:r>
        <w:rPr>
          <w:spacing w:val="-3"/>
          <w:sz w:val="21"/>
        </w:rPr>
        <w:t>any</w:t>
      </w:r>
      <w:r>
        <w:rPr>
          <w:spacing w:val="10"/>
          <w:sz w:val="21"/>
        </w:rPr>
        <w:t> </w:t>
      </w:r>
      <w:r>
        <w:rPr>
          <w:sz w:val="21"/>
        </w:rPr>
        <w:t>person</w:t>
      </w:r>
    </w:p>
    <w:p>
      <w:pPr>
        <w:pStyle w:val="ListParagraph"/>
        <w:numPr>
          <w:ilvl w:val="2"/>
          <w:numId w:val="16"/>
        </w:numPr>
        <w:tabs>
          <w:tab w:pos="2721" w:val="left" w:leader="none"/>
          <w:tab w:pos="2722" w:val="left" w:leader="none"/>
        </w:tabs>
        <w:spacing w:line="242" w:lineRule="auto" w:before="89" w:after="0"/>
        <w:ind w:left="2721" w:right="1626" w:hanging="340"/>
        <w:jc w:val="left"/>
        <w:rPr>
          <w:sz w:val="21"/>
        </w:rPr>
      </w:pPr>
      <w:r>
        <w:rPr>
          <w:sz w:val="21"/>
        </w:rPr>
        <w:t>authorise the </w:t>
      </w:r>
      <w:r>
        <w:rPr>
          <w:spacing w:val="-3"/>
          <w:sz w:val="21"/>
        </w:rPr>
        <w:t>applicant to take </w:t>
      </w:r>
      <w:r>
        <w:rPr>
          <w:sz w:val="21"/>
        </w:rPr>
        <w:t>specified action </w:t>
      </w:r>
      <w:r>
        <w:rPr>
          <w:spacing w:val="-3"/>
          <w:sz w:val="21"/>
        </w:rPr>
        <w:t>to remedy, restrain  </w:t>
      </w:r>
      <w:r>
        <w:rPr>
          <w:sz w:val="21"/>
        </w:rPr>
        <w:t>or </w:t>
      </w:r>
      <w:r>
        <w:rPr>
          <w:spacing w:val="-3"/>
          <w:sz w:val="21"/>
        </w:rPr>
        <w:t>prevent</w:t>
      </w:r>
      <w:r>
        <w:rPr>
          <w:spacing w:val="41"/>
          <w:sz w:val="21"/>
        </w:rPr>
        <w:t> </w:t>
      </w:r>
      <w:r>
        <w:rPr>
          <w:sz w:val="21"/>
        </w:rPr>
        <w:t>damage or </w:t>
      </w:r>
      <w:r>
        <w:rPr>
          <w:spacing w:val="-3"/>
          <w:sz w:val="21"/>
        </w:rPr>
        <w:t>future </w:t>
      </w:r>
      <w:r>
        <w:rPr>
          <w:sz w:val="21"/>
        </w:rPr>
        <w:t>damage </w:t>
      </w:r>
      <w:r>
        <w:rPr>
          <w:spacing w:val="-3"/>
          <w:sz w:val="21"/>
        </w:rPr>
        <w:t>to</w:t>
      </w:r>
      <w:r>
        <w:rPr>
          <w:spacing w:val="37"/>
          <w:sz w:val="21"/>
        </w:rPr>
        <w:t> </w:t>
      </w:r>
      <w:r>
        <w:rPr>
          <w:sz w:val="21"/>
        </w:rPr>
        <w:t>property</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z w:val="21"/>
        </w:rPr>
        <w:t>authorise</w:t>
      </w:r>
      <w:r>
        <w:rPr>
          <w:spacing w:val="10"/>
          <w:sz w:val="21"/>
        </w:rPr>
        <w:t> </w:t>
      </w:r>
      <w:r>
        <w:rPr>
          <w:sz w:val="21"/>
        </w:rPr>
        <w:t>the</w:t>
      </w:r>
      <w:r>
        <w:rPr>
          <w:spacing w:val="10"/>
          <w:sz w:val="21"/>
        </w:rPr>
        <w:t> </w:t>
      </w:r>
      <w:r>
        <w:rPr>
          <w:spacing w:val="-3"/>
          <w:sz w:val="21"/>
        </w:rPr>
        <w:t>applicant</w:t>
      </w:r>
      <w:r>
        <w:rPr>
          <w:spacing w:val="11"/>
          <w:sz w:val="21"/>
        </w:rPr>
        <w:t> </w:t>
      </w:r>
      <w:r>
        <w:rPr>
          <w:spacing w:val="-3"/>
          <w:sz w:val="21"/>
        </w:rPr>
        <w:t>to</w:t>
      </w:r>
      <w:r>
        <w:rPr>
          <w:spacing w:val="10"/>
          <w:sz w:val="21"/>
        </w:rPr>
        <w:t> </w:t>
      </w:r>
      <w:r>
        <w:rPr>
          <w:spacing w:val="-3"/>
          <w:sz w:val="21"/>
        </w:rPr>
        <w:t>take</w:t>
      </w:r>
      <w:r>
        <w:rPr>
          <w:spacing w:val="10"/>
          <w:sz w:val="21"/>
        </w:rPr>
        <w:t> </w:t>
      </w:r>
      <w:r>
        <w:rPr>
          <w:sz w:val="21"/>
        </w:rPr>
        <w:t>specified</w:t>
      </w:r>
      <w:r>
        <w:rPr>
          <w:spacing w:val="11"/>
          <w:sz w:val="21"/>
        </w:rPr>
        <w:t> </w:t>
      </w:r>
      <w:r>
        <w:rPr>
          <w:sz w:val="21"/>
        </w:rPr>
        <w:t>action</w:t>
      </w:r>
      <w:r>
        <w:rPr>
          <w:spacing w:val="10"/>
          <w:sz w:val="21"/>
        </w:rPr>
        <w:t> </w:t>
      </w:r>
      <w:r>
        <w:rPr>
          <w:spacing w:val="-3"/>
          <w:sz w:val="21"/>
        </w:rPr>
        <w:t>to</w:t>
      </w:r>
      <w:r>
        <w:rPr>
          <w:spacing w:val="10"/>
          <w:sz w:val="21"/>
        </w:rPr>
        <w:t> </w:t>
      </w:r>
      <w:r>
        <w:rPr>
          <w:spacing w:val="-3"/>
          <w:sz w:val="21"/>
        </w:rPr>
        <w:t>prevent</w:t>
      </w:r>
      <w:r>
        <w:rPr>
          <w:spacing w:val="11"/>
          <w:sz w:val="21"/>
        </w:rPr>
        <w:t> </w:t>
      </w:r>
      <w:r>
        <w:rPr>
          <w:sz w:val="21"/>
        </w:rPr>
        <w:t>injury</w:t>
      </w:r>
      <w:r>
        <w:rPr>
          <w:spacing w:val="10"/>
          <w:sz w:val="21"/>
        </w:rPr>
        <w:t> </w:t>
      </w:r>
      <w:r>
        <w:rPr>
          <w:spacing w:val="-3"/>
          <w:sz w:val="21"/>
        </w:rPr>
        <w:t>to</w:t>
      </w:r>
      <w:r>
        <w:rPr>
          <w:spacing w:val="11"/>
          <w:sz w:val="21"/>
        </w:rPr>
        <w:t> </w:t>
      </w:r>
      <w:r>
        <w:rPr>
          <w:spacing w:val="-3"/>
          <w:sz w:val="21"/>
        </w:rPr>
        <w:t>any</w:t>
      </w:r>
      <w:r>
        <w:rPr>
          <w:spacing w:val="10"/>
          <w:sz w:val="21"/>
        </w:rPr>
        <w:t> </w:t>
      </w:r>
      <w:r>
        <w:rPr>
          <w:sz w:val="21"/>
        </w:rPr>
        <w:t>person</w:t>
      </w:r>
    </w:p>
    <w:p>
      <w:pPr>
        <w:pStyle w:val="ListParagraph"/>
        <w:numPr>
          <w:ilvl w:val="2"/>
          <w:numId w:val="16"/>
        </w:numPr>
        <w:tabs>
          <w:tab w:pos="2721" w:val="left" w:leader="none"/>
          <w:tab w:pos="2722" w:val="left" w:leader="none"/>
        </w:tabs>
        <w:spacing w:line="242" w:lineRule="auto" w:before="89" w:after="0"/>
        <w:ind w:left="2721" w:right="2172" w:hanging="340"/>
        <w:jc w:val="left"/>
        <w:rPr>
          <w:sz w:val="21"/>
        </w:rPr>
      </w:pPr>
      <w:r>
        <w:rPr>
          <w:spacing w:val="-3"/>
          <w:sz w:val="21"/>
        </w:rPr>
        <w:t>require </w:t>
      </w:r>
      <w:r>
        <w:rPr>
          <w:sz w:val="21"/>
        </w:rPr>
        <w:t>a party </w:t>
      </w:r>
      <w:r>
        <w:rPr>
          <w:spacing w:val="-3"/>
          <w:sz w:val="21"/>
        </w:rPr>
        <w:t>to </w:t>
      </w:r>
      <w:r>
        <w:rPr>
          <w:spacing w:val="-4"/>
          <w:sz w:val="21"/>
        </w:rPr>
        <w:t>make </w:t>
      </w:r>
      <w:r>
        <w:rPr>
          <w:sz w:val="21"/>
        </w:rPr>
        <w:t>an application </w:t>
      </w:r>
      <w:r>
        <w:rPr>
          <w:spacing w:val="-3"/>
          <w:sz w:val="21"/>
        </w:rPr>
        <w:t>to </w:t>
      </w:r>
      <w:r>
        <w:rPr>
          <w:sz w:val="21"/>
        </w:rPr>
        <w:t>obtain </w:t>
      </w:r>
      <w:r>
        <w:rPr>
          <w:spacing w:val="-3"/>
          <w:sz w:val="21"/>
        </w:rPr>
        <w:t>consent </w:t>
      </w:r>
      <w:r>
        <w:rPr>
          <w:sz w:val="21"/>
        </w:rPr>
        <w:t>or authorisation </w:t>
      </w:r>
      <w:r>
        <w:rPr>
          <w:spacing w:val="-3"/>
          <w:sz w:val="21"/>
        </w:rPr>
        <w:t>that </w:t>
      </w:r>
      <w:r>
        <w:rPr>
          <w:sz w:val="21"/>
        </w:rPr>
        <w:t>is </w:t>
      </w:r>
      <w:r>
        <w:rPr>
          <w:spacing w:val="-3"/>
          <w:sz w:val="21"/>
        </w:rPr>
        <w:t>required </w:t>
      </w:r>
      <w:r>
        <w:rPr>
          <w:sz w:val="21"/>
        </w:rPr>
        <w:t>under </w:t>
      </w:r>
      <w:r>
        <w:rPr>
          <w:spacing w:val="-3"/>
          <w:sz w:val="21"/>
        </w:rPr>
        <w:t>another</w:t>
      </w:r>
      <w:r>
        <w:rPr>
          <w:spacing w:val="29"/>
          <w:sz w:val="21"/>
        </w:rPr>
        <w:t> </w:t>
      </w:r>
      <w:r>
        <w:rPr>
          <w:sz w:val="21"/>
        </w:rPr>
        <w:t>Act</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w w:val="105"/>
          <w:sz w:val="21"/>
        </w:rPr>
        <w:t>authorise the entry </w:t>
      </w:r>
      <w:r>
        <w:rPr>
          <w:spacing w:val="-3"/>
          <w:w w:val="105"/>
          <w:sz w:val="21"/>
        </w:rPr>
        <w:t>onto land for </w:t>
      </w:r>
      <w:r>
        <w:rPr>
          <w:w w:val="105"/>
          <w:sz w:val="21"/>
        </w:rPr>
        <w:t>the purposes of carrying out an</w:t>
      </w:r>
      <w:r>
        <w:rPr>
          <w:spacing w:val="46"/>
          <w:w w:val="105"/>
          <w:sz w:val="21"/>
        </w:rPr>
        <w:t> </w:t>
      </w:r>
      <w:r>
        <w:rPr>
          <w:spacing w:val="-4"/>
          <w:w w:val="105"/>
          <w:sz w:val="21"/>
        </w:rPr>
        <w:t>order</w:t>
      </w:r>
      <w:r>
        <w:rPr>
          <w:spacing w:val="-4"/>
          <w:w w:val="105"/>
          <w:position w:val="7"/>
          <w:sz w:val="12"/>
        </w:rPr>
        <w:t>2</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w w:val="105"/>
          <w:sz w:val="21"/>
        </w:rPr>
        <w:t>require </w:t>
      </w:r>
      <w:r>
        <w:rPr>
          <w:w w:val="105"/>
          <w:sz w:val="21"/>
        </w:rPr>
        <w:t>the payment of costs </w:t>
      </w:r>
      <w:r>
        <w:rPr>
          <w:spacing w:val="-3"/>
          <w:w w:val="105"/>
          <w:sz w:val="21"/>
        </w:rPr>
        <w:t>for </w:t>
      </w:r>
      <w:r>
        <w:rPr>
          <w:w w:val="105"/>
          <w:sz w:val="21"/>
        </w:rPr>
        <w:t>works specified in an</w:t>
      </w:r>
      <w:r>
        <w:rPr>
          <w:spacing w:val="43"/>
          <w:w w:val="105"/>
          <w:sz w:val="21"/>
        </w:rPr>
        <w:t> </w:t>
      </w:r>
      <w:r>
        <w:rPr>
          <w:w w:val="105"/>
          <w:sz w:val="21"/>
        </w:rPr>
        <w:t>order</w:t>
      </w:r>
    </w:p>
    <w:p>
      <w:pPr>
        <w:pStyle w:val="BodyText"/>
        <w:spacing w:before="2"/>
        <w:rPr>
          <w:sz w:val="9"/>
        </w:rPr>
      </w:pPr>
      <w:r>
        <w:rPr/>
        <w:pict>
          <v:line style="position:absolute;mso-position-horizontal-relative:page;mso-position-vertical-relative:paragraph;z-index:8456;mso-wrap-distance-left:0;mso-wrap-distance-right:0" from="79.370102pt,8.058236pt" to="515.905102pt,8.058236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spacing w:before="7"/>
      </w:pPr>
    </w:p>
    <w:p>
      <w:pPr>
        <w:spacing w:before="0"/>
        <w:ind w:left="720" w:right="0" w:firstLine="0"/>
        <w:jc w:val="left"/>
        <w:rPr>
          <w:b/>
          <w:sz w:val="24"/>
        </w:rPr>
      </w:pPr>
      <w:r>
        <w:rPr>
          <w:b/>
          <w:color w:val="658464"/>
          <w:spacing w:val="-2"/>
          <w:w w:val="110"/>
          <w:sz w:val="24"/>
        </w:rPr>
        <w:t>194</w:t>
      </w:r>
    </w:p>
    <w:p>
      <w:pPr>
        <w:pStyle w:val="ListParagraph"/>
        <w:numPr>
          <w:ilvl w:val="0"/>
          <w:numId w:val="142"/>
        </w:numPr>
        <w:tabs>
          <w:tab w:pos="1225" w:val="left" w:leader="none"/>
          <w:tab w:pos="1226" w:val="left" w:leader="none"/>
        </w:tabs>
        <w:spacing w:line="240" w:lineRule="auto" w:before="48" w:after="0"/>
        <w:ind w:left="1225" w:right="1918" w:hanging="794"/>
        <w:jc w:val="left"/>
        <w:rPr>
          <w:sz w:val="13"/>
        </w:rPr>
      </w:pPr>
      <w:r>
        <w:rPr>
          <w:i/>
          <w:spacing w:val="-5"/>
          <w:w w:val="102"/>
          <w:sz w:val="13"/>
        </w:rPr>
        <w:br w:type="column"/>
      </w:r>
      <w:r>
        <w:rPr>
          <w:i/>
          <w:w w:val="105"/>
          <w:sz w:val="13"/>
        </w:rPr>
        <w:t>Trees (Disputes Between Neighbours) Act 2006 </w:t>
      </w:r>
      <w:r>
        <w:rPr>
          <w:spacing w:val="3"/>
          <w:w w:val="105"/>
          <w:sz w:val="13"/>
        </w:rPr>
        <w:t>(NSW) </w:t>
      </w:r>
      <w:r>
        <w:rPr>
          <w:w w:val="105"/>
          <w:sz w:val="13"/>
        </w:rPr>
        <w:t>s </w:t>
      </w:r>
      <w:r>
        <w:rPr>
          <w:spacing w:val="2"/>
          <w:w w:val="105"/>
          <w:sz w:val="13"/>
        </w:rPr>
        <w:t>9(1); </w:t>
      </w:r>
      <w:r>
        <w:rPr>
          <w:w w:val="105"/>
          <w:sz w:val="13"/>
        </w:rPr>
        <w:t>Department of Justice and Attorney General </w:t>
      </w:r>
      <w:r>
        <w:rPr>
          <w:spacing w:val="3"/>
          <w:w w:val="105"/>
          <w:sz w:val="13"/>
        </w:rPr>
        <w:t>(NSW), </w:t>
      </w:r>
      <w:r>
        <w:rPr>
          <w:i/>
          <w:w w:val="105"/>
          <w:sz w:val="13"/>
        </w:rPr>
        <w:t>Review of the Trees </w:t>
      </w:r>
      <w:r>
        <w:rPr>
          <w:i/>
          <w:w w:val="105"/>
          <w:sz w:val="13"/>
        </w:rPr>
        <w:t>(Disputes Between Neighbours) Act 2006 </w:t>
      </w:r>
      <w:r>
        <w:rPr>
          <w:spacing w:val="3"/>
          <w:w w:val="105"/>
          <w:sz w:val="13"/>
        </w:rPr>
        <w:t>(NSW) </w:t>
      </w:r>
      <w:r>
        <w:rPr>
          <w:spacing w:val="2"/>
          <w:w w:val="105"/>
          <w:sz w:val="13"/>
        </w:rPr>
        <w:t>(Report, 2009)</w:t>
      </w:r>
      <w:r>
        <w:rPr>
          <w:spacing w:val="3"/>
          <w:w w:val="105"/>
          <w:sz w:val="13"/>
        </w:rPr>
        <w:t> </w:t>
      </w:r>
      <w:r>
        <w:rPr>
          <w:w w:val="105"/>
          <w:sz w:val="13"/>
        </w:rPr>
        <w:t>8.</w:t>
      </w:r>
    </w:p>
    <w:p>
      <w:pPr>
        <w:pStyle w:val="ListParagraph"/>
        <w:numPr>
          <w:ilvl w:val="0"/>
          <w:numId w:val="142"/>
        </w:numPr>
        <w:tabs>
          <w:tab w:pos="1225" w:val="left" w:leader="none"/>
          <w:tab w:pos="1226" w:val="left" w:leader="none"/>
        </w:tabs>
        <w:spacing w:line="240" w:lineRule="auto" w:before="3" w:after="0"/>
        <w:ind w:left="1225" w:right="0" w:hanging="794"/>
        <w:jc w:val="left"/>
        <w:rPr>
          <w:sz w:val="13"/>
        </w:rPr>
      </w:pPr>
      <w:r>
        <w:rPr>
          <w:w w:val="105"/>
          <w:sz w:val="13"/>
        </w:rPr>
        <w:t>This</w:t>
      </w:r>
      <w:r>
        <w:rPr>
          <w:spacing w:val="4"/>
          <w:w w:val="105"/>
          <w:sz w:val="13"/>
        </w:rPr>
        <w:t> </w:t>
      </w:r>
      <w:r>
        <w:rPr>
          <w:w w:val="105"/>
          <w:sz w:val="13"/>
        </w:rPr>
        <w:t>includes</w:t>
      </w:r>
      <w:r>
        <w:rPr>
          <w:spacing w:val="5"/>
          <w:w w:val="105"/>
          <w:sz w:val="13"/>
        </w:rPr>
        <w:t> </w:t>
      </w:r>
      <w:r>
        <w:rPr>
          <w:w w:val="105"/>
          <w:sz w:val="13"/>
        </w:rPr>
        <w:t>entry</w:t>
      </w:r>
      <w:r>
        <w:rPr>
          <w:spacing w:val="5"/>
          <w:w w:val="105"/>
          <w:sz w:val="13"/>
        </w:rPr>
        <w:t> </w:t>
      </w:r>
      <w:r>
        <w:rPr>
          <w:w w:val="105"/>
          <w:sz w:val="13"/>
        </w:rPr>
        <w:t>onto</w:t>
      </w:r>
      <w:r>
        <w:rPr>
          <w:spacing w:val="5"/>
          <w:w w:val="105"/>
          <w:sz w:val="13"/>
        </w:rPr>
        <w:t> </w:t>
      </w:r>
      <w:r>
        <w:rPr>
          <w:w w:val="105"/>
          <w:sz w:val="13"/>
        </w:rPr>
        <w:t>land</w:t>
      </w:r>
      <w:r>
        <w:rPr>
          <w:spacing w:val="5"/>
          <w:w w:val="105"/>
          <w:sz w:val="13"/>
        </w:rPr>
        <w:t> </w:t>
      </w:r>
      <w:r>
        <w:rPr>
          <w:w w:val="105"/>
          <w:sz w:val="13"/>
        </w:rPr>
        <w:t>for</w:t>
      </w:r>
      <w:r>
        <w:rPr>
          <w:spacing w:val="5"/>
          <w:w w:val="105"/>
          <w:sz w:val="13"/>
        </w:rPr>
        <w:t> </w:t>
      </w:r>
      <w:r>
        <w:rPr>
          <w:w w:val="105"/>
          <w:sz w:val="13"/>
        </w:rPr>
        <w:t>the</w:t>
      </w:r>
      <w:r>
        <w:rPr>
          <w:spacing w:val="5"/>
          <w:w w:val="105"/>
          <w:sz w:val="13"/>
        </w:rPr>
        <w:t> </w:t>
      </w:r>
      <w:r>
        <w:rPr>
          <w:w w:val="105"/>
          <w:sz w:val="13"/>
        </w:rPr>
        <w:t>purposes</w:t>
      </w:r>
      <w:r>
        <w:rPr>
          <w:spacing w:val="5"/>
          <w:w w:val="105"/>
          <w:sz w:val="13"/>
        </w:rPr>
        <w:t> </w:t>
      </w:r>
      <w:r>
        <w:rPr>
          <w:w w:val="105"/>
          <w:sz w:val="13"/>
        </w:rPr>
        <w:t>of</w:t>
      </w:r>
      <w:r>
        <w:rPr>
          <w:spacing w:val="4"/>
          <w:w w:val="105"/>
          <w:sz w:val="13"/>
        </w:rPr>
        <w:t> </w:t>
      </w:r>
      <w:r>
        <w:rPr>
          <w:w w:val="105"/>
          <w:sz w:val="13"/>
        </w:rPr>
        <w:t>obtaining</w:t>
      </w:r>
      <w:r>
        <w:rPr>
          <w:spacing w:val="5"/>
          <w:w w:val="105"/>
          <w:sz w:val="13"/>
        </w:rPr>
        <w:t> </w:t>
      </w:r>
      <w:r>
        <w:rPr>
          <w:w w:val="105"/>
          <w:sz w:val="13"/>
        </w:rPr>
        <w:t>quotations</w:t>
      </w:r>
      <w:r>
        <w:rPr>
          <w:spacing w:val="5"/>
          <w:w w:val="105"/>
          <w:sz w:val="13"/>
        </w:rPr>
        <w:t> </w:t>
      </w:r>
      <w:r>
        <w:rPr>
          <w:w w:val="105"/>
          <w:sz w:val="13"/>
        </w:rPr>
        <w:t>for</w:t>
      </w:r>
      <w:r>
        <w:rPr>
          <w:spacing w:val="5"/>
          <w:w w:val="105"/>
          <w:sz w:val="13"/>
        </w:rPr>
        <w:t> </w:t>
      </w:r>
      <w:r>
        <w:rPr>
          <w:w w:val="105"/>
          <w:sz w:val="13"/>
        </w:rPr>
        <w:t>the</w:t>
      </w:r>
      <w:r>
        <w:rPr>
          <w:spacing w:val="5"/>
          <w:w w:val="105"/>
          <w:sz w:val="13"/>
        </w:rPr>
        <w:t> </w:t>
      </w:r>
      <w:r>
        <w:rPr>
          <w:w w:val="105"/>
          <w:sz w:val="13"/>
        </w:rPr>
        <w:t>carrying</w:t>
      </w:r>
      <w:r>
        <w:rPr>
          <w:spacing w:val="5"/>
          <w:w w:val="105"/>
          <w:sz w:val="13"/>
        </w:rPr>
        <w:t> </w:t>
      </w:r>
      <w:r>
        <w:rPr>
          <w:w w:val="105"/>
          <w:sz w:val="13"/>
        </w:rPr>
        <w:t>out</w:t>
      </w:r>
      <w:r>
        <w:rPr>
          <w:spacing w:val="5"/>
          <w:w w:val="105"/>
          <w:sz w:val="13"/>
        </w:rPr>
        <w:t> </w:t>
      </w:r>
      <w:r>
        <w:rPr>
          <w:w w:val="105"/>
          <w:sz w:val="13"/>
        </w:rPr>
        <w:t>of</w:t>
      </w:r>
      <w:r>
        <w:rPr>
          <w:spacing w:val="5"/>
          <w:w w:val="105"/>
          <w:sz w:val="13"/>
        </w:rPr>
        <w:t> </w:t>
      </w:r>
      <w:r>
        <w:rPr>
          <w:w w:val="105"/>
          <w:sz w:val="13"/>
        </w:rPr>
        <w:t>work</w:t>
      </w:r>
      <w:r>
        <w:rPr>
          <w:spacing w:val="4"/>
          <w:w w:val="105"/>
          <w:sz w:val="13"/>
        </w:rPr>
        <w:t> </w:t>
      </w:r>
      <w:r>
        <w:rPr>
          <w:w w:val="105"/>
          <w:sz w:val="13"/>
        </w:rPr>
        <w:t>on</w:t>
      </w:r>
      <w:r>
        <w:rPr>
          <w:spacing w:val="5"/>
          <w:w w:val="105"/>
          <w:sz w:val="13"/>
        </w:rPr>
        <w:t> </w:t>
      </w:r>
      <w:r>
        <w:rPr>
          <w:w w:val="105"/>
          <w:sz w:val="13"/>
        </w:rPr>
        <w:t>the</w:t>
      </w:r>
      <w:r>
        <w:rPr>
          <w:spacing w:val="5"/>
          <w:w w:val="105"/>
          <w:sz w:val="13"/>
        </w:rPr>
        <w:t> </w:t>
      </w:r>
      <w:r>
        <w:rPr>
          <w:w w:val="105"/>
          <w:sz w:val="13"/>
        </w:rPr>
        <w:t>land.</w:t>
      </w:r>
    </w:p>
    <w:p>
      <w:pPr>
        <w:spacing w:after="0" w:line="240" w:lineRule="auto"/>
        <w:jc w:val="left"/>
        <w:rPr>
          <w:sz w:val="13"/>
        </w:rPr>
        <w:sectPr>
          <w:type w:val="continuous"/>
          <w:pgSz w:w="11910" w:h="16840"/>
          <w:pgMar w:top="300" w:bottom="280" w:left="0" w:right="0"/>
          <w:cols w:num="2" w:equalWidth="0">
            <w:col w:w="1116" w:space="40"/>
            <w:col w:w="10754"/>
          </w:cols>
        </w:sectPr>
      </w:pPr>
    </w:p>
    <w:p>
      <w:pPr>
        <w:pStyle w:val="BodyText"/>
        <w:rPr>
          <w:sz w:val="20"/>
        </w:rPr>
      </w:pPr>
    </w:p>
    <w:p>
      <w:pPr>
        <w:pStyle w:val="BodyText"/>
        <w:spacing w:before="9"/>
        <w:rPr>
          <w:sz w:val="18"/>
        </w:rPr>
      </w:pPr>
    </w:p>
    <w:p>
      <w:pPr>
        <w:pStyle w:val="ListParagraph"/>
        <w:numPr>
          <w:ilvl w:val="1"/>
          <w:numId w:val="142"/>
        </w:numPr>
        <w:tabs>
          <w:tab w:pos="2721" w:val="left" w:leader="none"/>
          <w:tab w:pos="2722" w:val="left" w:leader="none"/>
        </w:tabs>
        <w:spacing w:line="240" w:lineRule="auto" w:before="91" w:after="0"/>
        <w:ind w:left="2721" w:right="0" w:hanging="340"/>
        <w:jc w:val="left"/>
        <w:rPr>
          <w:sz w:val="21"/>
        </w:rPr>
      </w:pPr>
      <w:r>
        <w:rPr>
          <w:spacing w:val="-3"/>
          <w:w w:val="105"/>
          <w:sz w:val="21"/>
        </w:rPr>
        <w:t>require </w:t>
      </w:r>
      <w:r>
        <w:rPr>
          <w:w w:val="105"/>
          <w:sz w:val="21"/>
        </w:rPr>
        <w:t>the payment of compensation </w:t>
      </w:r>
      <w:r>
        <w:rPr>
          <w:spacing w:val="-3"/>
          <w:w w:val="105"/>
          <w:sz w:val="21"/>
        </w:rPr>
        <w:t>for </w:t>
      </w:r>
      <w:r>
        <w:rPr>
          <w:w w:val="105"/>
          <w:sz w:val="21"/>
        </w:rPr>
        <w:t>property</w:t>
      </w:r>
      <w:r>
        <w:rPr>
          <w:spacing w:val="33"/>
          <w:w w:val="105"/>
          <w:sz w:val="21"/>
        </w:rPr>
        <w:t> </w:t>
      </w:r>
      <w:r>
        <w:rPr>
          <w:w w:val="105"/>
          <w:sz w:val="21"/>
        </w:rPr>
        <w:t>damage</w:t>
      </w:r>
    </w:p>
    <w:p>
      <w:pPr>
        <w:pStyle w:val="ListParagraph"/>
        <w:numPr>
          <w:ilvl w:val="1"/>
          <w:numId w:val="142"/>
        </w:numPr>
        <w:tabs>
          <w:tab w:pos="2721" w:val="left" w:leader="none"/>
          <w:tab w:pos="2722" w:val="left" w:leader="none"/>
        </w:tabs>
        <w:spacing w:line="242" w:lineRule="auto" w:before="89" w:after="0"/>
        <w:ind w:left="2721" w:right="1881" w:hanging="340"/>
        <w:jc w:val="left"/>
        <w:rPr>
          <w:sz w:val="12"/>
        </w:rPr>
      </w:pPr>
      <w:r>
        <w:rPr>
          <w:spacing w:val="-3"/>
          <w:sz w:val="21"/>
        </w:rPr>
        <w:t>require </w:t>
      </w:r>
      <w:r>
        <w:rPr>
          <w:sz w:val="21"/>
        </w:rPr>
        <w:t>a </w:t>
      </w:r>
      <w:r>
        <w:rPr>
          <w:spacing w:val="-3"/>
          <w:sz w:val="21"/>
        </w:rPr>
        <w:t>replacement </w:t>
      </w:r>
      <w:r>
        <w:rPr>
          <w:sz w:val="21"/>
        </w:rPr>
        <w:t>tree </w:t>
      </w:r>
      <w:r>
        <w:rPr>
          <w:spacing w:val="-3"/>
          <w:sz w:val="21"/>
        </w:rPr>
        <w:t>to </w:t>
      </w:r>
      <w:r>
        <w:rPr>
          <w:sz w:val="21"/>
        </w:rPr>
        <w:t>be </w:t>
      </w:r>
      <w:r>
        <w:rPr>
          <w:spacing w:val="-3"/>
          <w:sz w:val="21"/>
        </w:rPr>
        <w:t>planted </w:t>
      </w:r>
      <w:r>
        <w:rPr>
          <w:sz w:val="21"/>
        </w:rPr>
        <w:t>and specify </w:t>
      </w:r>
      <w:r>
        <w:rPr>
          <w:spacing w:val="-3"/>
          <w:sz w:val="21"/>
        </w:rPr>
        <w:t>that </w:t>
      </w:r>
      <w:r>
        <w:rPr>
          <w:sz w:val="21"/>
        </w:rPr>
        <w:t>the new tree is </w:t>
      </w:r>
      <w:r>
        <w:rPr>
          <w:spacing w:val="-3"/>
          <w:sz w:val="21"/>
        </w:rPr>
        <w:t>to </w:t>
      </w:r>
      <w:r>
        <w:rPr>
          <w:sz w:val="21"/>
        </w:rPr>
        <w:t>be of a </w:t>
      </w:r>
      <w:r>
        <w:rPr>
          <w:spacing w:val="-3"/>
          <w:sz w:val="21"/>
        </w:rPr>
        <w:t>mature</w:t>
      </w:r>
      <w:r>
        <w:rPr>
          <w:spacing w:val="8"/>
          <w:sz w:val="21"/>
        </w:rPr>
        <w:t> </w:t>
      </w:r>
      <w:r>
        <w:rPr>
          <w:sz w:val="21"/>
        </w:rPr>
        <w:t>growth.</w:t>
      </w:r>
      <w:r>
        <w:rPr>
          <w:position w:val="7"/>
          <w:sz w:val="12"/>
        </w:rPr>
        <w:t>3</w:t>
      </w:r>
    </w:p>
    <w:p>
      <w:pPr>
        <w:pStyle w:val="ListParagraph"/>
        <w:numPr>
          <w:ilvl w:val="1"/>
          <w:numId w:val="16"/>
        </w:numPr>
        <w:tabs>
          <w:tab w:pos="2380" w:val="left" w:leader="none"/>
          <w:tab w:pos="2381" w:val="left" w:leader="none"/>
        </w:tabs>
        <w:spacing w:line="242" w:lineRule="auto" w:before="87" w:after="0"/>
        <w:ind w:left="2380" w:right="1881" w:hanging="793"/>
        <w:jc w:val="both"/>
        <w:rPr>
          <w:sz w:val="21"/>
        </w:rPr>
      </w:pPr>
      <w:r>
        <w:rPr>
          <w:w w:val="105"/>
          <w:sz w:val="21"/>
        </w:rPr>
        <w:t>It</w:t>
      </w:r>
      <w:r>
        <w:rPr>
          <w:spacing w:val="-5"/>
          <w:w w:val="105"/>
          <w:sz w:val="21"/>
        </w:rPr>
        <w:t> </w:t>
      </w:r>
      <w:r>
        <w:rPr>
          <w:w w:val="105"/>
          <w:sz w:val="21"/>
        </w:rPr>
        <w:t>is</w:t>
      </w:r>
      <w:r>
        <w:rPr>
          <w:spacing w:val="-4"/>
          <w:w w:val="105"/>
          <w:sz w:val="21"/>
        </w:rPr>
        <w:t> </w:t>
      </w:r>
      <w:r>
        <w:rPr>
          <w:spacing w:val="-2"/>
          <w:w w:val="105"/>
          <w:sz w:val="21"/>
        </w:rPr>
        <w:t>common</w:t>
      </w:r>
      <w:r>
        <w:rPr>
          <w:spacing w:val="-5"/>
          <w:w w:val="105"/>
          <w:sz w:val="21"/>
        </w:rPr>
        <w:t> </w:t>
      </w:r>
      <w:r>
        <w:rPr>
          <w:spacing w:val="-3"/>
          <w:w w:val="105"/>
          <w:sz w:val="21"/>
        </w:rPr>
        <w:t>for</w:t>
      </w:r>
      <w:r>
        <w:rPr>
          <w:spacing w:val="-4"/>
          <w:w w:val="105"/>
          <w:sz w:val="21"/>
        </w:rPr>
        <w:t> </w:t>
      </w:r>
      <w:r>
        <w:rPr>
          <w:w w:val="105"/>
          <w:sz w:val="21"/>
        </w:rPr>
        <w:t>the</w:t>
      </w:r>
      <w:r>
        <w:rPr>
          <w:spacing w:val="-4"/>
          <w:w w:val="105"/>
          <w:sz w:val="21"/>
        </w:rPr>
        <w:t> </w:t>
      </w:r>
      <w:r>
        <w:rPr>
          <w:w w:val="105"/>
          <w:sz w:val="21"/>
        </w:rPr>
        <w:t>NSWLEC</w:t>
      </w:r>
      <w:r>
        <w:rPr>
          <w:spacing w:val="-5"/>
          <w:w w:val="105"/>
          <w:sz w:val="21"/>
        </w:rPr>
        <w:t> </w:t>
      </w:r>
      <w:r>
        <w:rPr>
          <w:spacing w:val="-3"/>
          <w:w w:val="105"/>
          <w:sz w:val="21"/>
        </w:rPr>
        <w:t>to</w:t>
      </w:r>
      <w:r>
        <w:rPr>
          <w:spacing w:val="-4"/>
          <w:w w:val="105"/>
          <w:sz w:val="21"/>
        </w:rPr>
        <w:t> </w:t>
      </w:r>
      <w:r>
        <w:rPr>
          <w:w w:val="105"/>
          <w:sz w:val="21"/>
        </w:rPr>
        <w:t>adjust</w:t>
      </w:r>
      <w:r>
        <w:rPr>
          <w:spacing w:val="-4"/>
          <w:w w:val="105"/>
          <w:sz w:val="21"/>
        </w:rPr>
        <w:t> </w:t>
      </w:r>
      <w:r>
        <w:rPr>
          <w:w w:val="105"/>
          <w:sz w:val="21"/>
        </w:rPr>
        <w:t>or</w:t>
      </w:r>
      <w:r>
        <w:rPr>
          <w:spacing w:val="-5"/>
          <w:w w:val="105"/>
          <w:sz w:val="21"/>
        </w:rPr>
        <w:t> </w:t>
      </w:r>
      <w:r>
        <w:rPr>
          <w:spacing w:val="-3"/>
          <w:w w:val="105"/>
          <w:sz w:val="21"/>
        </w:rPr>
        <w:t>deviate</w:t>
      </w:r>
      <w:r>
        <w:rPr>
          <w:spacing w:val="-4"/>
          <w:w w:val="105"/>
          <w:sz w:val="21"/>
        </w:rPr>
        <w:t> </w:t>
      </w:r>
      <w:r>
        <w:rPr>
          <w:spacing w:val="-3"/>
          <w:w w:val="105"/>
          <w:sz w:val="21"/>
        </w:rPr>
        <w:t>from</w:t>
      </w:r>
      <w:r>
        <w:rPr>
          <w:spacing w:val="-5"/>
          <w:w w:val="105"/>
          <w:sz w:val="21"/>
        </w:rPr>
        <w:t> </w:t>
      </w:r>
      <w:r>
        <w:rPr>
          <w:w w:val="105"/>
          <w:sz w:val="21"/>
        </w:rPr>
        <w:t>the</w:t>
      </w:r>
      <w:r>
        <w:rPr>
          <w:spacing w:val="-4"/>
          <w:w w:val="105"/>
          <w:sz w:val="21"/>
        </w:rPr>
        <w:t> </w:t>
      </w:r>
      <w:r>
        <w:rPr>
          <w:w w:val="105"/>
          <w:sz w:val="21"/>
        </w:rPr>
        <w:t>order</w:t>
      </w:r>
      <w:r>
        <w:rPr>
          <w:spacing w:val="-4"/>
          <w:w w:val="105"/>
          <w:sz w:val="21"/>
        </w:rPr>
        <w:t> </w:t>
      </w:r>
      <w:r>
        <w:rPr>
          <w:spacing w:val="-3"/>
          <w:w w:val="105"/>
          <w:sz w:val="21"/>
        </w:rPr>
        <w:t>that</w:t>
      </w:r>
      <w:r>
        <w:rPr>
          <w:spacing w:val="-5"/>
          <w:w w:val="105"/>
          <w:sz w:val="21"/>
        </w:rPr>
        <w:t> </w:t>
      </w:r>
      <w:r>
        <w:rPr>
          <w:w w:val="105"/>
          <w:sz w:val="21"/>
        </w:rPr>
        <w:t>the</w:t>
      </w:r>
      <w:r>
        <w:rPr>
          <w:spacing w:val="-4"/>
          <w:w w:val="105"/>
          <w:sz w:val="21"/>
        </w:rPr>
        <w:t> </w:t>
      </w:r>
      <w:r>
        <w:rPr>
          <w:w w:val="105"/>
          <w:sz w:val="21"/>
        </w:rPr>
        <w:t>parties</w:t>
      </w:r>
      <w:r>
        <w:rPr>
          <w:spacing w:val="-4"/>
          <w:w w:val="105"/>
          <w:sz w:val="21"/>
        </w:rPr>
        <w:t> </w:t>
      </w:r>
      <w:r>
        <w:rPr>
          <w:w w:val="105"/>
          <w:sz w:val="21"/>
        </w:rPr>
        <w:t>seek. For </w:t>
      </w:r>
      <w:r>
        <w:rPr>
          <w:spacing w:val="-3"/>
          <w:w w:val="105"/>
          <w:sz w:val="21"/>
        </w:rPr>
        <w:t>example, instead </w:t>
      </w:r>
      <w:r>
        <w:rPr>
          <w:w w:val="105"/>
          <w:sz w:val="21"/>
        </w:rPr>
        <w:t>of </w:t>
      </w:r>
      <w:r>
        <w:rPr>
          <w:spacing w:val="-3"/>
          <w:w w:val="105"/>
          <w:sz w:val="21"/>
        </w:rPr>
        <w:t>ordering </w:t>
      </w:r>
      <w:r>
        <w:rPr>
          <w:w w:val="105"/>
          <w:sz w:val="21"/>
        </w:rPr>
        <w:t>the </w:t>
      </w:r>
      <w:r>
        <w:rPr>
          <w:spacing w:val="-3"/>
          <w:w w:val="105"/>
          <w:sz w:val="21"/>
        </w:rPr>
        <w:t>removal </w:t>
      </w:r>
      <w:r>
        <w:rPr>
          <w:w w:val="105"/>
          <w:sz w:val="21"/>
        </w:rPr>
        <w:t>of the </w:t>
      </w:r>
      <w:r>
        <w:rPr>
          <w:spacing w:val="-3"/>
          <w:w w:val="105"/>
          <w:sz w:val="21"/>
        </w:rPr>
        <w:t>tree, </w:t>
      </w:r>
      <w:r>
        <w:rPr>
          <w:w w:val="105"/>
          <w:sz w:val="21"/>
        </w:rPr>
        <w:t>the </w:t>
      </w:r>
      <w:r>
        <w:rPr>
          <w:spacing w:val="-3"/>
          <w:w w:val="105"/>
          <w:sz w:val="21"/>
        </w:rPr>
        <w:t>Court may </w:t>
      </w:r>
      <w:r>
        <w:rPr>
          <w:w w:val="105"/>
          <w:sz w:val="21"/>
        </w:rPr>
        <w:t>order ongoing </w:t>
      </w:r>
      <w:r>
        <w:rPr>
          <w:spacing w:val="-3"/>
          <w:w w:val="105"/>
          <w:sz w:val="21"/>
        </w:rPr>
        <w:t>pruning </w:t>
      </w:r>
      <w:r>
        <w:rPr>
          <w:w w:val="105"/>
          <w:sz w:val="21"/>
        </w:rPr>
        <w:t>of </w:t>
      </w:r>
      <w:r>
        <w:rPr>
          <w:spacing w:val="-3"/>
          <w:w w:val="105"/>
          <w:sz w:val="21"/>
        </w:rPr>
        <w:t>overhanging</w:t>
      </w:r>
      <w:r>
        <w:rPr>
          <w:spacing w:val="20"/>
          <w:w w:val="105"/>
          <w:sz w:val="21"/>
        </w:rPr>
        <w:t> </w:t>
      </w:r>
      <w:r>
        <w:rPr>
          <w:spacing w:val="-3"/>
          <w:w w:val="105"/>
          <w:sz w:val="21"/>
        </w:rPr>
        <w:t>branches.</w:t>
      </w:r>
      <w:r>
        <w:rPr>
          <w:spacing w:val="-3"/>
          <w:w w:val="105"/>
          <w:position w:val="7"/>
          <w:sz w:val="12"/>
        </w:rPr>
        <w:t>4</w:t>
      </w:r>
    </w:p>
    <w:p>
      <w:pPr>
        <w:pStyle w:val="ListParagraph"/>
        <w:numPr>
          <w:ilvl w:val="1"/>
          <w:numId w:val="16"/>
        </w:numPr>
        <w:tabs>
          <w:tab w:pos="2380" w:val="left" w:leader="none"/>
          <w:tab w:pos="2381" w:val="left" w:leader="none"/>
        </w:tabs>
        <w:spacing w:line="242" w:lineRule="auto" w:before="124" w:after="0"/>
        <w:ind w:left="2381" w:right="1654" w:hanging="794"/>
        <w:jc w:val="left"/>
        <w:rPr>
          <w:sz w:val="21"/>
        </w:rPr>
      </w:pPr>
      <w:r>
        <w:rPr>
          <w:w w:val="105"/>
          <w:sz w:val="21"/>
        </w:rPr>
        <w:t>Applications </w:t>
      </w:r>
      <w:r>
        <w:rPr>
          <w:spacing w:val="-3"/>
          <w:w w:val="105"/>
          <w:sz w:val="21"/>
        </w:rPr>
        <w:t>for </w:t>
      </w:r>
      <w:r>
        <w:rPr>
          <w:w w:val="105"/>
          <w:sz w:val="21"/>
        </w:rPr>
        <w:t>an </w:t>
      </w:r>
      <w:r>
        <w:rPr>
          <w:spacing w:val="-3"/>
          <w:w w:val="105"/>
          <w:sz w:val="21"/>
        </w:rPr>
        <w:t>award </w:t>
      </w:r>
      <w:r>
        <w:rPr>
          <w:w w:val="105"/>
          <w:sz w:val="21"/>
        </w:rPr>
        <w:t>of legal costs </w:t>
      </w:r>
      <w:r>
        <w:rPr>
          <w:spacing w:val="-3"/>
          <w:w w:val="105"/>
          <w:sz w:val="21"/>
        </w:rPr>
        <w:t>are usually sought </w:t>
      </w:r>
      <w:r>
        <w:rPr>
          <w:w w:val="105"/>
          <w:sz w:val="21"/>
        </w:rPr>
        <w:t>by the </w:t>
      </w:r>
      <w:r>
        <w:rPr>
          <w:spacing w:val="-3"/>
          <w:w w:val="105"/>
          <w:sz w:val="21"/>
        </w:rPr>
        <w:t>successful </w:t>
      </w:r>
      <w:r>
        <w:rPr>
          <w:w w:val="105"/>
          <w:sz w:val="21"/>
        </w:rPr>
        <w:t>party in the NSWLEC and </w:t>
      </w:r>
      <w:r>
        <w:rPr>
          <w:spacing w:val="-3"/>
          <w:w w:val="105"/>
          <w:sz w:val="21"/>
        </w:rPr>
        <w:t>are heard </w:t>
      </w:r>
      <w:r>
        <w:rPr>
          <w:w w:val="105"/>
          <w:sz w:val="21"/>
        </w:rPr>
        <w:t>by judges. </w:t>
      </w:r>
      <w:r>
        <w:rPr>
          <w:spacing w:val="-3"/>
          <w:w w:val="105"/>
          <w:sz w:val="21"/>
        </w:rPr>
        <w:t>Commissioners </w:t>
      </w:r>
      <w:r>
        <w:rPr>
          <w:w w:val="105"/>
          <w:sz w:val="21"/>
        </w:rPr>
        <w:t>who hear tree </w:t>
      </w:r>
      <w:r>
        <w:rPr>
          <w:spacing w:val="-3"/>
          <w:w w:val="105"/>
          <w:sz w:val="21"/>
        </w:rPr>
        <w:t>disputes cannot </w:t>
      </w:r>
      <w:r>
        <w:rPr>
          <w:spacing w:val="-4"/>
          <w:w w:val="105"/>
          <w:sz w:val="21"/>
        </w:rPr>
        <w:t>make </w:t>
      </w:r>
      <w:r>
        <w:rPr>
          <w:w w:val="105"/>
          <w:sz w:val="21"/>
        </w:rPr>
        <w:t>orders </w:t>
      </w:r>
      <w:r>
        <w:rPr>
          <w:spacing w:val="-3"/>
          <w:w w:val="105"/>
          <w:sz w:val="21"/>
        </w:rPr>
        <w:t>for </w:t>
      </w:r>
      <w:r>
        <w:rPr>
          <w:w w:val="105"/>
          <w:sz w:val="21"/>
        </w:rPr>
        <w:t>legal costs.</w:t>
      </w:r>
      <w:r>
        <w:rPr>
          <w:w w:val="105"/>
          <w:position w:val="7"/>
          <w:sz w:val="12"/>
        </w:rPr>
        <w:t>5 </w:t>
      </w:r>
      <w:r>
        <w:rPr>
          <w:w w:val="105"/>
          <w:sz w:val="21"/>
        </w:rPr>
        <w:t>The NSWLEC power </w:t>
      </w:r>
      <w:r>
        <w:rPr>
          <w:spacing w:val="-3"/>
          <w:w w:val="105"/>
          <w:sz w:val="21"/>
        </w:rPr>
        <w:t>to award </w:t>
      </w:r>
      <w:r>
        <w:rPr>
          <w:w w:val="105"/>
          <w:sz w:val="21"/>
        </w:rPr>
        <w:t>costs is </w:t>
      </w:r>
      <w:r>
        <w:rPr>
          <w:spacing w:val="-3"/>
          <w:w w:val="105"/>
          <w:sz w:val="21"/>
        </w:rPr>
        <w:t>similar to </w:t>
      </w:r>
      <w:r>
        <w:rPr>
          <w:w w:val="105"/>
          <w:sz w:val="21"/>
        </w:rPr>
        <w:t>those of </w:t>
      </w:r>
      <w:r>
        <w:rPr>
          <w:spacing w:val="-6"/>
          <w:w w:val="105"/>
          <w:sz w:val="21"/>
        </w:rPr>
        <w:t>RMPAT </w:t>
      </w:r>
      <w:r>
        <w:rPr>
          <w:w w:val="105"/>
          <w:sz w:val="21"/>
        </w:rPr>
        <w:t>and </w:t>
      </w:r>
      <w:r>
        <w:rPr>
          <w:spacing w:val="-6"/>
          <w:w w:val="105"/>
          <w:sz w:val="21"/>
        </w:rPr>
        <w:t>QCAT,</w:t>
      </w:r>
      <w:r>
        <w:rPr>
          <w:spacing w:val="-6"/>
          <w:w w:val="105"/>
          <w:position w:val="7"/>
          <w:sz w:val="12"/>
        </w:rPr>
        <w:t>6 </w:t>
      </w:r>
      <w:r>
        <w:rPr>
          <w:w w:val="105"/>
          <w:sz w:val="21"/>
        </w:rPr>
        <w:t>in </w:t>
      </w:r>
      <w:r>
        <w:rPr>
          <w:spacing w:val="-3"/>
          <w:w w:val="105"/>
          <w:sz w:val="21"/>
        </w:rPr>
        <w:t>that </w:t>
      </w:r>
      <w:r>
        <w:rPr>
          <w:w w:val="105"/>
          <w:sz w:val="21"/>
        </w:rPr>
        <w:t>the NSWLEC </w:t>
      </w:r>
      <w:r>
        <w:rPr>
          <w:spacing w:val="-3"/>
          <w:w w:val="105"/>
          <w:sz w:val="21"/>
        </w:rPr>
        <w:t>may </w:t>
      </w:r>
      <w:r>
        <w:rPr>
          <w:spacing w:val="-2"/>
          <w:w w:val="105"/>
          <w:sz w:val="21"/>
        </w:rPr>
        <w:t>not </w:t>
      </w:r>
      <w:r>
        <w:rPr>
          <w:w w:val="105"/>
          <w:sz w:val="21"/>
        </w:rPr>
        <w:t>order payment </w:t>
      </w:r>
      <w:r>
        <w:rPr>
          <w:spacing w:val="-3"/>
          <w:w w:val="105"/>
          <w:sz w:val="21"/>
        </w:rPr>
        <w:t>for </w:t>
      </w:r>
      <w:r>
        <w:rPr>
          <w:w w:val="105"/>
          <w:sz w:val="21"/>
        </w:rPr>
        <w:t>costs unless the </w:t>
      </w:r>
      <w:r>
        <w:rPr>
          <w:spacing w:val="-3"/>
          <w:w w:val="105"/>
          <w:sz w:val="21"/>
        </w:rPr>
        <w:t>Court </w:t>
      </w:r>
      <w:r>
        <w:rPr>
          <w:w w:val="105"/>
          <w:sz w:val="21"/>
        </w:rPr>
        <w:t>considers</w:t>
      </w:r>
      <w:r>
        <w:rPr>
          <w:spacing w:val="-6"/>
          <w:w w:val="105"/>
          <w:sz w:val="21"/>
        </w:rPr>
        <w:t> </w:t>
      </w:r>
      <w:r>
        <w:rPr>
          <w:spacing w:val="-3"/>
          <w:w w:val="105"/>
          <w:sz w:val="21"/>
        </w:rPr>
        <w:t>that</w:t>
      </w:r>
      <w:r>
        <w:rPr>
          <w:spacing w:val="-5"/>
          <w:w w:val="105"/>
          <w:sz w:val="21"/>
        </w:rPr>
        <w:t> </w:t>
      </w:r>
      <w:r>
        <w:rPr>
          <w:w w:val="105"/>
          <w:sz w:val="21"/>
        </w:rPr>
        <w:t>an</w:t>
      </w:r>
      <w:r>
        <w:rPr>
          <w:spacing w:val="-5"/>
          <w:w w:val="105"/>
          <w:sz w:val="21"/>
        </w:rPr>
        <w:t> </w:t>
      </w:r>
      <w:r>
        <w:rPr>
          <w:w w:val="105"/>
          <w:sz w:val="21"/>
        </w:rPr>
        <w:t>order</w:t>
      </w:r>
      <w:r>
        <w:rPr>
          <w:spacing w:val="-5"/>
          <w:w w:val="105"/>
          <w:sz w:val="21"/>
        </w:rPr>
        <w:t> </w:t>
      </w:r>
      <w:r>
        <w:rPr>
          <w:spacing w:val="-3"/>
          <w:w w:val="105"/>
          <w:sz w:val="21"/>
        </w:rPr>
        <w:t>for</w:t>
      </w:r>
      <w:r>
        <w:rPr>
          <w:spacing w:val="-5"/>
          <w:w w:val="105"/>
          <w:sz w:val="21"/>
        </w:rPr>
        <w:t> </w:t>
      </w:r>
      <w:r>
        <w:rPr>
          <w:w w:val="105"/>
          <w:sz w:val="21"/>
        </w:rPr>
        <w:t>the</w:t>
      </w:r>
      <w:r>
        <w:rPr>
          <w:spacing w:val="-6"/>
          <w:w w:val="105"/>
          <w:sz w:val="21"/>
        </w:rPr>
        <w:t> </w:t>
      </w:r>
      <w:r>
        <w:rPr>
          <w:w w:val="105"/>
          <w:sz w:val="21"/>
        </w:rPr>
        <w:t>whole</w:t>
      </w:r>
      <w:r>
        <w:rPr>
          <w:spacing w:val="-5"/>
          <w:w w:val="105"/>
          <w:sz w:val="21"/>
        </w:rPr>
        <w:t> </w:t>
      </w:r>
      <w:r>
        <w:rPr>
          <w:w w:val="105"/>
          <w:sz w:val="21"/>
        </w:rPr>
        <w:t>or</w:t>
      </w:r>
      <w:r>
        <w:rPr>
          <w:spacing w:val="-5"/>
          <w:w w:val="105"/>
          <w:sz w:val="21"/>
        </w:rPr>
        <w:t> </w:t>
      </w:r>
      <w:r>
        <w:rPr>
          <w:spacing w:val="-3"/>
          <w:w w:val="105"/>
          <w:sz w:val="21"/>
        </w:rPr>
        <w:t>any</w:t>
      </w:r>
      <w:r>
        <w:rPr>
          <w:spacing w:val="-5"/>
          <w:w w:val="105"/>
          <w:sz w:val="21"/>
        </w:rPr>
        <w:t> </w:t>
      </w:r>
      <w:r>
        <w:rPr>
          <w:w w:val="105"/>
          <w:sz w:val="21"/>
        </w:rPr>
        <w:t>part</w:t>
      </w:r>
      <w:r>
        <w:rPr>
          <w:spacing w:val="-5"/>
          <w:w w:val="105"/>
          <w:sz w:val="21"/>
        </w:rPr>
        <w:t> </w:t>
      </w:r>
      <w:r>
        <w:rPr>
          <w:w w:val="105"/>
          <w:sz w:val="21"/>
        </w:rPr>
        <w:t>of</w:t>
      </w:r>
      <w:r>
        <w:rPr>
          <w:spacing w:val="-5"/>
          <w:w w:val="105"/>
          <w:sz w:val="21"/>
        </w:rPr>
        <w:t> </w:t>
      </w:r>
      <w:r>
        <w:rPr>
          <w:w w:val="105"/>
          <w:sz w:val="21"/>
        </w:rPr>
        <w:t>the</w:t>
      </w:r>
      <w:r>
        <w:rPr>
          <w:spacing w:val="-6"/>
          <w:w w:val="105"/>
          <w:sz w:val="21"/>
        </w:rPr>
        <w:t> </w:t>
      </w:r>
      <w:r>
        <w:rPr>
          <w:w w:val="105"/>
          <w:sz w:val="21"/>
        </w:rPr>
        <w:t>costs</w:t>
      </w:r>
      <w:r>
        <w:rPr>
          <w:spacing w:val="-5"/>
          <w:w w:val="105"/>
          <w:sz w:val="21"/>
        </w:rPr>
        <w:t> </w:t>
      </w:r>
      <w:r>
        <w:rPr>
          <w:w w:val="105"/>
          <w:sz w:val="21"/>
        </w:rPr>
        <w:t>is</w:t>
      </w:r>
      <w:r>
        <w:rPr>
          <w:spacing w:val="-5"/>
          <w:w w:val="105"/>
          <w:sz w:val="21"/>
        </w:rPr>
        <w:t> </w:t>
      </w:r>
      <w:r>
        <w:rPr>
          <w:spacing w:val="-4"/>
          <w:w w:val="105"/>
          <w:sz w:val="21"/>
        </w:rPr>
        <w:t>fair</w:t>
      </w:r>
      <w:r>
        <w:rPr>
          <w:spacing w:val="-5"/>
          <w:w w:val="105"/>
          <w:sz w:val="21"/>
        </w:rPr>
        <w:t> </w:t>
      </w:r>
      <w:r>
        <w:rPr>
          <w:w w:val="105"/>
          <w:sz w:val="21"/>
        </w:rPr>
        <w:t>and</w:t>
      </w:r>
      <w:r>
        <w:rPr>
          <w:spacing w:val="-5"/>
          <w:w w:val="105"/>
          <w:sz w:val="21"/>
        </w:rPr>
        <w:t> </w:t>
      </w:r>
      <w:r>
        <w:rPr>
          <w:spacing w:val="-3"/>
          <w:w w:val="105"/>
          <w:sz w:val="21"/>
        </w:rPr>
        <w:t>reasonable</w:t>
      </w:r>
      <w:r>
        <w:rPr>
          <w:spacing w:val="-5"/>
          <w:w w:val="105"/>
          <w:sz w:val="21"/>
        </w:rPr>
        <w:t> </w:t>
      </w:r>
      <w:r>
        <w:rPr>
          <w:w w:val="105"/>
          <w:sz w:val="21"/>
        </w:rPr>
        <w:t>in</w:t>
      </w:r>
      <w:r>
        <w:rPr>
          <w:spacing w:val="-6"/>
          <w:w w:val="105"/>
          <w:sz w:val="21"/>
        </w:rPr>
        <w:t> </w:t>
      </w:r>
      <w:r>
        <w:rPr>
          <w:w w:val="105"/>
          <w:sz w:val="21"/>
        </w:rPr>
        <w:t>the </w:t>
      </w:r>
      <w:r>
        <w:rPr>
          <w:spacing w:val="-3"/>
          <w:w w:val="105"/>
          <w:sz w:val="21"/>
        </w:rPr>
        <w:t>circumstances </w:t>
      </w:r>
      <w:r>
        <w:rPr>
          <w:w w:val="105"/>
          <w:sz w:val="21"/>
        </w:rPr>
        <w:t>[of each </w:t>
      </w:r>
      <w:r>
        <w:rPr>
          <w:spacing w:val="-3"/>
          <w:w w:val="105"/>
          <w:sz w:val="21"/>
        </w:rPr>
        <w:t>individual</w:t>
      </w:r>
      <w:r>
        <w:rPr>
          <w:spacing w:val="22"/>
          <w:w w:val="105"/>
          <w:sz w:val="21"/>
        </w:rPr>
        <w:t> </w:t>
      </w:r>
      <w:r>
        <w:rPr>
          <w:w w:val="105"/>
          <w:sz w:val="21"/>
        </w:rPr>
        <w:t>case].</w:t>
      </w:r>
      <w:r>
        <w:rPr>
          <w:w w:val="105"/>
          <w:position w:val="7"/>
          <w:sz w:val="12"/>
        </w:rPr>
        <w:t>7</w:t>
      </w:r>
    </w:p>
    <w:p>
      <w:pPr>
        <w:pStyle w:val="BodyText"/>
        <w:spacing w:before="7"/>
        <w:rPr>
          <w:sz w:val="20"/>
        </w:rPr>
      </w:pPr>
    </w:p>
    <w:p>
      <w:pPr>
        <w:pStyle w:val="Heading5"/>
      </w:pPr>
      <w:r>
        <w:rPr>
          <w:w w:val="115"/>
        </w:rPr>
        <w:t>Queensland</w:t>
      </w:r>
    </w:p>
    <w:p>
      <w:pPr>
        <w:pStyle w:val="ListParagraph"/>
        <w:numPr>
          <w:ilvl w:val="1"/>
          <w:numId w:val="16"/>
        </w:numPr>
        <w:tabs>
          <w:tab w:pos="2380" w:val="left" w:leader="none"/>
          <w:tab w:pos="2381" w:val="left" w:leader="none"/>
        </w:tabs>
        <w:spacing w:line="242" w:lineRule="auto" w:before="137" w:after="0"/>
        <w:ind w:left="2381" w:right="2170" w:hanging="794"/>
        <w:jc w:val="left"/>
        <w:rPr>
          <w:sz w:val="21"/>
        </w:rPr>
      </w:pPr>
      <w:r>
        <w:rPr>
          <w:sz w:val="21"/>
        </w:rPr>
        <w:t>The </w:t>
      </w:r>
      <w:r>
        <w:rPr>
          <w:spacing w:val="-3"/>
          <w:sz w:val="21"/>
        </w:rPr>
        <w:t>Queensland Civil </w:t>
      </w:r>
      <w:r>
        <w:rPr>
          <w:sz w:val="21"/>
        </w:rPr>
        <w:t>and </w:t>
      </w:r>
      <w:r>
        <w:rPr>
          <w:spacing w:val="-3"/>
          <w:sz w:val="21"/>
        </w:rPr>
        <w:t>Administrative </w:t>
      </w:r>
      <w:r>
        <w:rPr>
          <w:spacing w:val="-5"/>
          <w:sz w:val="21"/>
        </w:rPr>
        <w:t>Tribunal </w:t>
      </w:r>
      <w:r>
        <w:rPr>
          <w:spacing w:val="-3"/>
          <w:sz w:val="21"/>
        </w:rPr>
        <w:t>may </w:t>
      </w:r>
      <w:r>
        <w:rPr>
          <w:spacing w:val="-4"/>
          <w:sz w:val="21"/>
        </w:rPr>
        <w:t>make </w:t>
      </w:r>
      <w:r>
        <w:rPr>
          <w:spacing w:val="-3"/>
          <w:sz w:val="21"/>
        </w:rPr>
        <w:t>any </w:t>
      </w:r>
      <w:r>
        <w:rPr>
          <w:sz w:val="21"/>
        </w:rPr>
        <w:t>order it considers necessary </w:t>
      </w:r>
      <w:r>
        <w:rPr>
          <w:spacing w:val="-3"/>
          <w:sz w:val="21"/>
        </w:rPr>
        <w:t>to  prevent  </w:t>
      </w:r>
      <w:r>
        <w:rPr>
          <w:sz w:val="21"/>
        </w:rPr>
        <w:t>serious injury or </w:t>
      </w:r>
      <w:r>
        <w:rPr>
          <w:spacing w:val="-3"/>
          <w:sz w:val="21"/>
        </w:rPr>
        <w:t>prevent,</w:t>
      </w:r>
      <w:r>
        <w:rPr>
          <w:spacing w:val="41"/>
          <w:sz w:val="21"/>
        </w:rPr>
        <w:t> </w:t>
      </w:r>
      <w:r>
        <w:rPr>
          <w:sz w:val="21"/>
        </w:rPr>
        <w:t>remedy or </w:t>
      </w:r>
      <w:r>
        <w:rPr>
          <w:spacing w:val="-3"/>
          <w:sz w:val="21"/>
        </w:rPr>
        <w:t>restrain  </w:t>
      </w:r>
      <w:r>
        <w:rPr>
          <w:sz w:val="21"/>
        </w:rPr>
        <w:t>serious damage  </w:t>
      </w:r>
      <w:r>
        <w:rPr>
          <w:spacing w:val="-3"/>
          <w:sz w:val="21"/>
        </w:rPr>
        <w:t>to </w:t>
      </w:r>
      <w:r>
        <w:rPr>
          <w:sz w:val="21"/>
        </w:rPr>
        <w:t>property or </w:t>
      </w:r>
      <w:r>
        <w:rPr>
          <w:spacing w:val="-3"/>
          <w:sz w:val="21"/>
        </w:rPr>
        <w:t>substantial, </w:t>
      </w:r>
      <w:r>
        <w:rPr>
          <w:sz w:val="21"/>
        </w:rPr>
        <w:t>ongoing and </w:t>
      </w:r>
      <w:r>
        <w:rPr>
          <w:spacing w:val="-3"/>
          <w:sz w:val="21"/>
        </w:rPr>
        <w:t>unreasonable interference </w:t>
      </w:r>
      <w:r>
        <w:rPr>
          <w:sz w:val="21"/>
        </w:rPr>
        <w:t>with the use and </w:t>
      </w:r>
      <w:r>
        <w:rPr>
          <w:spacing w:val="-2"/>
          <w:sz w:val="21"/>
        </w:rPr>
        <w:t>enjoyment </w:t>
      </w:r>
      <w:r>
        <w:rPr>
          <w:sz w:val="21"/>
        </w:rPr>
        <w:t>of the </w:t>
      </w:r>
      <w:r>
        <w:rPr>
          <w:spacing w:val="-3"/>
          <w:sz w:val="21"/>
        </w:rPr>
        <w:t>neighbour’s</w:t>
      </w:r>
      <w:r>
        <w:rPr>
          <w:spacing w:val="40"/>
          <w:sz w:val="21"/>
        </w:rPr>
        <w:t> </w:t>
      </w:r>
      <w:r>
        <w:rPr>
          <w:spacing w:val="-3"/>
          <w:sz w:val="21"/>
        </w:rPr>
        <w:t>land.</w:t>
      </w:r>
      <w:r>
        <w:rPr>
          <w:spacing w:val="-3"/>
          <w:position w:val="7"/>
          <w:sz w:val="12"/>
        </w:rPr>
        <w:t>8</w:t>
      </w:r>
    </w:p>
    <w:p>
      <w:pPr>
        <w:pStyle w:val="ListParagraph"/>
        <w:numPr>
          <w:ilvl w:val="1"/>
          <w:numId w:val="16"/>
        </w:numPr>
        <w:tabs>
          <w:tab w:pos="2381" w:val="left" w:leader="none"/>
          <w:tab w:pos="2382" w:val="left" w:leader="none"/>
        </w:tabs>
        <w:spacing w:line="242" w:lineRule="auto" w:before="125" w:after="0"/>
        <w:ind w:left="2381" w:right="2002" w:hanging="794"/>
        <w:jc w:val="left"/>
        <w:rPr>
          <w:sz w:val="21"/>
        </w:rPr>
      </w:pPr>
      <w:r>
        <w:rPr>
          <w:w w:val="105"/>
          <w:sz w:val="21"/>
        </w:rPr>
        <w:t>The </w:t>
      </w:r>
      <w:r>
        <w:rPr>
          <w:spacing w:val="-3"/>
          <w:w w:val="105"/>
          <w:sz w:val="21"/>
        </w:rPr>
        <w:t>range </w:t>
      </w:r>
      <w:r>
        <w:rPr>
          <w:w w:val="105"/>
          <w:sz w:val="21"/>
        </w:rPr>
        <w:t>of orders </w:t>
      </w:r>
      <w:r>
        <w:rPr>
          <w:spacing w:val="-3"/>
          <w:w w:val="105"/>
          <w:sz w:val="21"/>
        </w:rPr>
        <w:t>are similar to </w:t>
      </w:r>
      <w:r>
        <w:rPr>
          <w:w w:val="105"/>
          <w:sz w:val="21"/>
        </w:rPr>
        <w:t>those in New South </w:t>
      </w:r>
      <w:r>
        <w:rPr>
          <w:spacing w:val="-3"/>
          <w:w w:val="105"/>
          <w:sz w:val="21"/>
        </w:rPr>
        <w:t>Wales, </w:t>
      </w:r>
      <w:r>
        <w:rPr>
          <w:w w:val="105"/>
          <w:sz w:val="21"/>
        </w:rPr>
        <w:t>but the </w:t>
      </w:r>
      <w:r>
        <w:rPr>
          <w:spacing w:val="-3"/>
          <w:w w:val="105"/>
          <w:sz w:val="21"/>
        </w:rPr>
        <w:t>Queensland </w:t>
      </w:r>
      <w:r>
        <w:rPr>
          <w:w w:val="105"/>
          <w:sz w:val="21"/>
        </w:rPr>
        <w:t>Act </w:t>
      </w:r>
      <w:r>
        <w:rPr>
          <w:spacing w:val="-3"/>
          <w:w w:val="105"/>
          <w:sz w:val="21"/>
        </w:rPr>
        <w:t>additionally </w:t>
      </w:r>
      <w:r>
        <w:rPr>
          <w:w w:val="105"/>
          <w:sz w:val="21"/>
        </w:rPr>
        <w:t>provides </w:t>
      </w:r>
      <w:r>
        <w:rPr>
          <w:spacing w:val="-3"/>
          <w:w w:val="105"/>
          <w:sz w:val="21"/>
        </w:rPr>
        <w:t>that </w:t>
      </w:r>
      <w:r>
        <w:rPr>
          <w:w w:val="105"/>
          <w:sz w:val="21"/>
        </w:rPr>
        <w:t>orders</w:t>
      </w:r>
      <w:r>
        <w:rPr>
          <w:spacing w:val="23"/>
          <w:w w:val="105"/>
          <w:sz w:val="21"/>
        </w:rPr>
        <w:t> </w:t>
      </w:r>
      <w:r>
        <w:rPr>
          <w:w w:val="105"/>
          <w:sz w:val="21"/>
        </w:rPr>
        <w:t>may:</w:t>
      </w:r>
    </w:p>
    <w:p>
      <w:pPr>
        <w:pStyle w:val="ListParagraph"/>
        <w:numPr>
          <w:ilvl w:val="2"/>
          <w:numId w:val="16"/>
        </w:numPr>
        <w:tabs>
          <w:tab w:pos="2721" w:val="left" w:leader="none"/>
          <w:tab w:pos="2722" w:val="left" w:leader="none"/>
        </w:tabs>
        <w:spacing w:line="240" w:lineRule="auto" w:before="122" w:after="0"/>
        <w:ind w:left="2721" w:right="0" w:hanging="340"/>
        <w:jc w:val="left"/>
        <w:rPr>
          <w:sz w:val="21"/>
        </w:rPr>
      </w:pPr>
      <w:r>
        <w:rPr>
          <w:spacing w:val="-3"/>
          <w:sz w:val="21"/>
        </w:rPr>
        <w:t>require</w:t>
      </w:r>
      <w:r>
        <w:rPr>
          <w:spacing w:val="9"/>
          <w:sz w:val="21"/>
        </w:rPr>
        <w:t> </w:t>
      </w:r>
      <w:r>
        <w:rPr>
          <w:sz w:val="21"/>
        </w:rPr>
        <w:t>the</w:t>
      </w:r>
      <w:r>
        <w:rPr>
          <w:spacing w:val="9"/>
          <w:sz w:val="21"/>
        </w:rPr>
        <w:t> </w:t>
      </w:r>
      <w:r>
        <w:rPr>
          <w:sz w:val="21"/>
        </w:rPr>
        <w:t>production</w:t>
      </w:r>
      <w:r>
        <w:rPr>
          <w:spacing w:val="10"/>
          <w:sz w:val="21"/>
        </w:rPr>
        <w:t> </w:t>
      </w:r>
      <w:r>
        <w:rPr>
          <w:sz w:val="21"/>
        </w:rPr>
        <w:t>of</w:t>
      </w:r>
      <w:r>
        <w:rPr>
          <w:spacing w:val="9"/>
          <w:sz w:val="21"/>
        </w:rPr>
        <w:t> </w:t>
      </w:r>
      <w:r>
        <w:rPr>
          <w:sz w:val="21"/>
        </w:rPr>
        <w:t>a</w:t>
      </w:r>
      <w:r>
        <w:rPr>
          <w:spacing w:val="10"/>
          <w:sz w:val="21"/>
        </w:rPr>
        <w:t> </w:t>
      </w:r>
      <w:r>
        <w:rPr>
          <w:sz w:val="21"/>
        </w:rPr>
        <w:t>report</w:t>
      </w:r>
      <w:r>
        <w:rPr>
          <w:spacing w:val="9"/>
          <w:sz w:val="21"/>
        </w:rPr>
        <w:t> </w:t>
      </w:r>
      <w:r>
        <w:rPr>
          <w:sz w:val="21"/>
        </w:rPr>
        <w:t>by</w:t>
      </w:r>
      <w:r>
        <w:rPr>
          <w:spacing w:val="10"/>
          <w:sz w:val="21"/>
        </w:rPr>
        <w:t> </w:t>
      </w:r>
      <w:r>
        <w:rPr>
          <w:sz w:val="21"/>
        </w:rPr>
        <w:t>an</w:t>
      </w:r>
      <w:r>
        <w:rPr>
          <w:spacing w:val="9"/>
          <w:sz w:val="21"/>
        </w:rPr>
        <w:t> </w:t>
      </w:r>
      <w:r>
        <w:rPr>
          <w:spacing w:val="-3"/>
          <w:sz w:val="21"/>
        </w:rPr>
        <w:t>appropriately</w:t>
      </w:r>
      <w:r>
        <w:rPr>
          <w:spacing w:val="10"/>
          <w:sz w:val="21"/>
        </w:rPr>
        <w:t> </w:t>
      </w:r>
      <w:r>
        <w:rPr>
          <w:sz w:val="21"/>
        </w:rPr>
        <w:t>qualified</w:t>
      </w:r>
      <w:r>
        <w:rPr>
          <w:spacing w:val="9"/>
          <w:sz w:val="21"/>
        </w:rPr>
        <w:t> </w:t>
      </w:r>
      <w:r>
        <w:rPr>
          <w:sz w:val="21"/>
        </w:rPr>
        <w:t>arborist</w:t>
      </w:r>
    </w:p>
    <w:p>
      <w:pPr>
        <w:pStyle w:val="ListParagraph"/>
        <w:numPr>
          <w:ilvl w:val="2"/>
          <w:numId w:val="16"/>
        </w:numPr>
        <w:tabs>
          <w:tab w:pos="2721" w:val="left" w:leader="none"/>
          <w:tab w:pos="2722" w:val="left" w:leader="none"/>
        </w:tabs>
        <w:spacing w:line="242" w:lineRule="auto" w:before="89" w:after="0"/>
        <w:ind w:left="2721" w:right="2073" w:hanging="340"/>
        <w:jc w:val="left"/>
        <w:rPr>
          <w:sz w:val="21"/>
        </w:rPr>
      </w:pPr>
      <w:r>
        <w:rPr>
          <w:spacing w:val="-3"/>
          <w:sz w:val="21"/>
        </w:rPr>
        <w:t>require that </w:t>
      </w:r>
      <w:r>
        <w:rPr>
          <w:sz w:val="21"/>
        </w:rPr>
        <w:t>a survey be undertaken </w:t>
      </w:r>
      <w:r>
        <w:rPr>
          <w:spacing w:val="-3"/>
          <w:sz w:val="21"/>
        </w:rPr>
        <w:t>to </w:t>
      </w:r>
      <w:r>
        <w:rPr>
          <w:sz w:val="21"/>
        </w:rPr>
        <w:t>clarify the </w:t>
      </w:r>
      <w:r>
        <w:rPr>
          <w:spacing w:val="-4"/>
          <w:sz w:val="21"/>
        </w:rPr>
        <w:t>tree’s </w:t>
      </w:r>
      <w:r>
        <w:rPr>
          <w:sz w:val="21"/>
        </w:rPr>
        <w:t>location in </w:t>
      </w:r>
      <w:r>
        <w:rPr>
          <w:spacing w:val="-3"/>
          <w:sz w:val="21"/>
        </w:rPr>
        <w:t>relation to </w:t>
      </w:r>
      <w:r>
        <w:rPr>
          <w:sz w:val="21"/>
        </w:rPr>
        <w:t>the </w:t>
      </w:r>
      <w:r>
        <w:rPr>
          <w:spacing w:val="-2"/>
          <w:sz w:val="21"/>
        </w:rPr>
        <w:t>common</w:t>
      </w:r>
      <w:r>
        <w:rPr>
          <w:spacing w:val="8"/>
          <w:sz w:val="21"/>
        </w:rPr>
        <w:t> </w:t>
      </w:r>
      <w:r>
        <w:rPr>
          <w:spacing w:val="-3"/>
          <w:sz w:val="21"/>
        </w:rPr>
        <w:t>boundary.</w:t>
      </w:r>
      <w:r>
        <w:rPr>
          <w:spacing w:val="-3"/>
          <w:position w:val="7"/>
          <w:sz w:val="12"/>
        </w:rPr>
        <w:t>9</w:t>
      </w:r>
    </w:p>
    <w:p>
      <w:pPr>
        <w:pStyle w:val="ListParagraph"/>
        <w:numPr>
          <w:ilvl w:val="1"/>
          <w:numId w:val="16"/>
        </w:numPr>
        <w:tabs>
          <w:tab w:pos="2380" w:val="left" w:leader="none"/>
          <w:tab w:pos="2381" w:val="left" w:leader="none"/>
        </w:tabs>
        <w:spacing w:line="242" w:lineRule="auto" w:before="87" w:after="0"/>
        <w:ind w:left="2380" w:right="1855" w:hanging="793"/>
        <w:jc w:val="left"/>
        <w:rPr>
          <w:sz w:val="21"/>
        </w:rPr>
      </w:pPr>
      <w:r>
        <w:rPr>
          <w:w w:val="105"/>
          <w:sz w:val="21"/>
        </w:rPr>
        <w:t>Where an affected </w:t>
      </w:r>
      <w:r>
        <w:rPr>
          <w:spacing w:val="-3"/>
          <w:w w:val="105"/>
          <w:sz w:val="21"/>
        </w:rPr>
        <w:t>neighbour’s </w:t>
      </w:r>
      <w:r>
        <w:rPr>
          <w:w w:val="105"/>
          <w:sz w:val="21"/>
        </w:rPr>
        <w:t>application </w:t>
      </w:r>
      <w:r>
        <w:rPr>
          <w:spacing w:val="-3"/>
          <w:w w:val="105"/>
          <w:sz w:val="21"/>
        </w:rPr>
        <w:t>relates to </w:t>
      </w:r>
      <w:r>
        <w:rPr>
          <w:w w:val="105"/>
          <w:sz w:val="21"/>
        </w:rPr>
        <w:t>a tree </w:t>
      </w:r>
      <w:r>
        <w:rPr>
          <w:spacing w:val="-3"/>
          <w:w w:val="105"/>
          <w:sz w:val="21"/>
        </w:rPr>
        <w:t>that </w:t>
      </w:r>
      <w:r>
        <w:rPr>
          <w:spacing w:val="-2"/>
          <w:w w:val="105"/>
          <w:sz w:val="21"/>
        </w:rPr>
        <w:t>has </w:t>
      </w:r>
      <w:r>
        <w:rPr>
          <w:w w:val="105"/>
          <w:sz w:val="21"/>
        </w:rPr>
        <w:t>been </w:t>
      </w:r>
      <w:r>
        <w:rPr>
          <w:spacing w:val="-3"/>
          <w:w w:val="105"/>
          <w:sz w:val="21"/>
        </w:rPr>
        <w:t>completely </w:t>
      </w:r>
      <w:r>
        <w:rPr>
          <w:w w:val="105"/>
          <w:sz w:val="21"/>
        </w:rPr>
        <w:t>removed after </w:t>
      </w:r>
      <w:r>
        <w:rPr>
          <w:spacing w:val="-3"/>
          <w:w w:val="105"/>
          <w:sz w:val="21"/>
        </w:rPr>
        <w:t>causing damage, </w:t>
      </w:r>
      <w:r>
        <w:rPr>
          <w:spacing w:val="-4"/>
          <w:w w:val="105"/>
          <w:sz w:val="21"/>
        </w:rPr>
        <w:t>QCAT </w:t>
      </w:r>
      <w:r>
        <w:rPr>
          <w:w w:val="105"/>
          <w:sz w:val="21"/>
        </w:rPr>
        <w:t>can </w:t>
      </w:r>
      <w:r>
        <w:rPr>
          <w:spacing w:val="-4"/>
          <w:w w:val="105"/>
          <w:sz w:val="21"/>
        </w:rPr>
        <w:t>make </w:t>
      </w:r>
      <w:r>
        <w:rPr>
          <w:w w:val="105"/>
          <w:sz w:val="21"/>
        </w:rPr>
        <w:t>an order about the removed </w:t>
      </w:r>
      <w:r>
        <w:rPr>
          <w:spacing w:val="-3"/>
          <w:w w:val="105"/>
          <w:sz w:val="21"/>
        </w:rPr>
        <w:t>tree, for </w:t>
      </w:r>
      <w:r>
        <w:rPr>
          <w:w w:val="105"/>
          <w:sz w:val="21"/>
        </w:rPr>
        <w:t>example</w:t>
      </w:r>
      <w:r>
        <w:rPr>
          <w:spacing w:val="-13"/>
          <w:w w:val="105"/>
          <w:sz w:val="21"/>
        </w:rPr>
        <w:t> </w:t>
      </w:r>
      <w:r>
        <w:rPr>
          <w:spacing w:val="-3"/>
          <w:w w:val="105"/>
          <w:sz w:val="21"/>
        </w:rPr>
        <w:t>to</w:t>
      </w:r>
      <w:r>
        <w:rPr>
          <w:spacing w:val="-12"/>
          <w:w w:val="105"/>
          <w:sz w:val="21"/>
        </w:rPr>
        <w:t> </w:t>
      </w:r>
      <w:r>
        <w:rPr>
          <w:spacing w:val="-2"/>
          <w:w w:val="105"/>
          <w:sz w:val="21"/>
        </w:rPr>
        <w:t>pay</w:t>
      </w:r>
      <w:r>
        <w:rPr>
          <w:spacing w:val="-12"/>
          <w:w w:val="105"/>
          <w:sz w:val="21"/>
        </w:rPr>
        <w:t> </w:t>
      </w:r>
      <w:r>
        <w:rPr>
          <w:w w:val="105"/>
          <w:sz w:val="21"/>
        </w:rPr>
        <w:t>compensation</w:t>
      </w:r>
      <w:r>
        <w:rPr>
          <w:spacing w:val="-12"/>
          <w:w w:val="105"/>
          <w:sz w:val="21"/>
        </w:rPr>
        <w:t> </w:t>
      </w:r>
      <w:r>
        <w:rPr>
          <w:w w:val="105"/>
          <w:sz w:val="21"/>
        </w:rPr>
        <w:t>or</w:t>
      </w:r>
      <w:r>
        <w:rPr>
          <w:spacing w:val="-12"/>
          <w:w w:val="105"/>
          <w:sz w:val="21"/>
        </w:rPr>
        <w:t> </w:t>
      </w:r>
      <w:r>
        <w:rPr>
          <w:spacing w:val="-3"/>
          <w:w w:val="105"/>
          <w:sz w:val="21"/>
        </w:rPr>
        <w:t>repair</w:t>
      </w:r>
      <w:r>
        <w:rPr>
          <w:spacing w:val="-12"/>
          <w:w w:val="105"/>
          <w:sz w:val="21"/>
        </w:rPr>
        <w:t> </w:t>
      </w:r>
      <w:r>
        <w:rPr>
          <w:w w:val="105"/>
          <w:sz w:val="21"/>
        </w:rPr>
        <w:t>costs,</w:t>
      </w:r>
      <w:r>
        <w:rPr>
          <w:spacing w:val="-12"/>
          <w:w w:val="105"/>
          <w:sz w:val="21"/>
        </w:rPr>
        <w:t> </w:t>
      </w:r>
      <w:r>
        <w:rPr>
          <w:w w:val="105"/>
          <w:sz w:val="21"/>
        </w:rPr>
        <w:t>provided</w:t>
      </w:r>
      <w:r>
        <w:rPr>
          <w:spacing w:val="-12"/>
          <w:w w:val="105"/>
          <w:sz w:val="21"/>
        </w:rPr>
        <w:t> </w:t>
      </w:r>
      <w:r>
        <w:rPr>
          <w:w w:val="105"/>
          <w:sz w:val="21"/>
        </w:rPr>
        <w:t>the</w:t>
      </w:r>
      <w:r>
        <w:rPr>
          <w:spacing w:val="-12"/>
          <w:w w:val="105"/>
          <w:sz w:val="21"/>
        </w:rPr>
        <w:t> </w:t>
      </w:r>
      <w:r>
        <w:rPr>
          <w:w w:val="105"/>
          <w:sz w:val="21"/>
        </w:rPr>
        <w:t>tree</w:t>
      </w:r>
      <w:r>
        <w:rPr>
          <w:spacing w:val="-12"/>
          <w:w w:val="105"/>
          <w:sz w:val="21"/>
        </w:rPr>
        <w:t> </w:t>
      </w:r>
      <w:r>
        <w:rPr>
          <w:w w:val="105"/>
          <w:sz w:val="21"/>
        </w:rPr>
        <w:t>owner</w:t>
      </w:r>
      <w:r>
        <w:rPr>
          <w:spacing w:val="-12"/>
          <w:w w:val="105"/>
          <w:sz w:val="21"/>
        </w:rPr>
        <w:t> </w:t>
      </w:r>
      <w:r>
        <w:rPr>
          <w:w w:val="105"/>
          <w:sz w:val="21"/>
        </w:rPr>
        <w:t>did</w:t>
      </w:r>
      <w:r>
        <w:rPr>
          <w:spacing w:val="-12"/>
          <w:w w:val="105"/>
          <w:sz w:val="21"/>
        </w:rPr>
        <w:t> </w:t>
      </w:r>
      <w:r>
        <w:rPr>
          <w:spacing w:val="-2"/>
          <w:w w:val="105"/>
          <w:sz w:val="21"/>
        </w:rPr>
        <w:t>not</w:t>
      </w:r>
      <w:r>
        <w:rPr>
          <w:spacing w:val="-12"/>
          <w:w w:val="105"/>
          <w:sz w:val="21"/>
        </w:rPr>
        <w:t> </w:t>
      </w:r>
      <w:r>
        <w:rPr>
          <w:w w:val="105"/>
          <w:sz w:val="21"/>
        </w:rPr>
        <w:t>sell</w:t>
      </w:r>
      <w:r>
        <w:rPr>
          <w:spacing w:val="-12"/>
          <w:w w:val="105"/>
          <w:sz w:val="21"/>
        </w:rPr>
        <w:t> </w:t>
      </w:r>
      <w:r>
        <w:rPr>
          <w:w w:val="105"/>
          <w:sz w:val="21"/>
        </w:rPr>
        <w:t>their </w:t>
      </w:r>
      <w:r>
        <w:rPr>
          <w:spacing w:val="-3"/>
          <w:w w:val="105"/>
          <w:sz w:val="21"/>
        </w:rPr>
        <w:t>land </w:t>
      </w:r>
      <w:r>
        <w:rPr>
          <w:w w:val="105"/>
          <w:sz w:val="21"/>
        </w:rPr>
        <w:t>in the</w:t>
      </w:r>
      <w:r>
        <w:rPr>
          <w:spacing w:val="19"/>
          <w:w w:val="105"/>
          <w:sz w:val="21"/>
        </w:rPr>
        <w:t> </w:t>
      </w:r>
      <w:r>
        <w:rPr>
          <w:spacing w:val="-5"/>
          <w:w w:val="105"/>
          <w:sz w:val="21"/>
        </w:rPr>
        <w:t>meantime.</w:t>
      </w:r>
      <w:r>
        <w:rPr>
          <w:spacing w:val="-5"/>
          <w:w w:val="105"/>
          <w:position w:val="7"/>
          <w:sz w:val="12"/>
        </w:rPr>
        <w:t>10</w:t>
      </w:r>
    </w:p>
    <w:p>
      <w:pPr>
        <w:pStyle w:val="ListParagraph"/>
        <w:numPr>
          <w:ilvl w:val="1"/>
          <w:numId w:val="16"/>
        </w:numPr>
        <w:tabs>
          <w:tab w:pos="2380" w:val="left" w:leader="none"/>
          <w:tab w:pos="2381" w:val="left" w:leader="none"/>
        </w:tabs>
        <w:spacing w:line="242" w:lineRule="auto" w:before="124" w:after="0"/>
        <w:ind w:left="2381" w:right="1818" w:hanging="794"/>
        <w:jc w:val="left"/>
        <w:rPr>
          <w:sz w:val="21"/>
        </w:rPr>
      </w:pPr>
      <w:r>
        <w:rPr>
          <w:w w:val="105"/>
          <w:sz w:val="21"/>
        </w:rPr>
        <w:t>If </w:t>
      </w:r>
      <w:r>
        <w:rPr>
          <w:spacing w:val="-4"/>
          <w:w w:val="105"/>
          <w:sz w:val="21"/>
        </w:rPr>
        <w:t>QCAT </w:t>
      </w:r>
      <w:r>
        <w:rPr>
          <w:spacing w:val="-3"/>
          <w:w w:val="105"/>
          <w:sz w:val="21"/>
        </w:rPr>
        <w:t>makes </w:t>
      </w:r>
      <w:r>
        <w:rPr>
          <w:w w:val="105"/>
          <w:sz w:val="21"/>
        </w:rPr>
        <w:t>an order </w:t>
      </w:r>
      <w:r>
        <w:rPr>
          <w:spacing w:val="-3"/>
          <w:w w:val="105"/>
          <w:sz w:val="21"/>
        </w:rPr>
        <w:t>for </w:t>
      </w:r>
      <w:r>
        <w:rPr>
          <w:w w:val="105"/>
          <w:sz w:val="21"/>
        </w:rPr>
        <w:t>the destruction or </w:t>
      </w:r>
      <w:r>
        <w:rPr>
          <w:spacing w:val="-3"/>
          <w:w w:val="105"/>
          <w:sz w:val="21"/>
        </w:rPr>
        <w:t>removal </w:t>
      </w:r>
      <w:r>
        <w:rPr>
          <w:w w:val="105"/>
          <w:sz w:val="21"/>
        </w:rPr>
        <w:t>of a </w:t>
      </w:r>
      <w:r>
        <w:rPr>
          <w:spacing w:val="-3"/>
          <w:w w:val="105"/>
          <w:sz w:val="21"/>
        </w:rPr>
        <w:t>tree, </w:t>
      </w:r>
      <w:r>
        <w:rPr>
          <w:w w:val="105"/>
          <w:sz w:val="21"/>
        </w:rPr>
        <w:t>it can also </w:t>
      </w:r>
      <w:r>
        <w:rPr>
          <w:spacing w:val="-4"/>
          <w:w w:val="105"/>
          <w:sz w:val="21"/>
        </w:rPr>
        <w:t>make </w:t>
      </w:r>
      <w:r>
        <w:rPr>
          <w:w w:val="105"/>
          <w:sz w:val="21"/>
        </w:rPr>
        <w:t>an order</w:t>
      </w:r>
      <w:r>
        <w:rPr>
          <w:spacing w:val="-5"/>
          <w:w w:val="105"/>
          <w:sz w:val="21"/>
        </w:rPr>
        <w:t> </w:t>
      </w:r>
      <w:r>
        <w:rPr>
          <w:spacing w:val="-3"/>
          <w:w w:val="105"/>
          <w:sz w:val="21"/>
        </w:rPr>
        <w:t>for</w:t>
      </w:r>
      <w:r>
        <w:rPr>
          <w:spacing w:val="-5"/>
          <w:w w:val="105"/>
          <w:sz w:val="21"/>
        </w:rPr>
        <w:t> </w:t>
      </w:r>
      <w:r>
        <w:rPr>
          <w:w w:val="105"/>
          <w:sz w:val="21"/>
        </w:rPr>
        <w:t>the</w:t>
      </w:r>
      <w:r>
        <w:rPr>
          <w:spacing w:val="-5"/>
          <w:w w:val="105"/>
          <w:sz w:val="21"/>
        </w:rPr>
        <w:t> </w:t>
      </w:r>
      <w:r>
        <w:rPr>
          <w:w w:val="105"/>
          <w:sz w:val="21"/>
        </w:rPr>
        <w:t>tree</w:t>
      </w:r>
      <w:r>
        <w:rPr>
          <w:spacing w:val="-5"/>
          <w:w w:val="105"/>
          <w:sz w:val="21"/>
        </w:rPr>
        <w:t> </w:t>
      </w:r>
      <w:r>
        <w:rPr>
          <w:spacing w:val="-3"/>
          <w:w w:val="105"/>
          <w:sz w:val="21"/>
        </w:rPr>
        <w:t>to</w:t>
      </w:r>
      <w:r>
        <w:rPr>
          <w:spacing w:val="-5"/>
          <w:w w:val="105"/>
          <w:sz w:val="21"/>
        </w:rPr>
        <w:t> </w:t>
      </w:r>
      <w:r>
        <w:rPr>
          <w:w w:val="105"/>
          <w:sz w:val="21"/>
        </w:rPr>
        <w:t>be</w:t>
      </w:r>
      <w:r>
        <w:rPr>
          <w:spacing w:val="-5"/>
          <w:w w:val="105"/>
          <w:sz w:val="21"/>
        </w:rPr>
        <w:t> </w:t>
      </w:r>
      <w:r>
        <w:rPr>
          <w:spacing w:val="-3"/>
          <w:w w:val="105"/>
          <w:sz w:val="21"/>
        </w:rPr>
        <w:t>replaced</w:t>
      </w:r>
      <w:r>
        <w:rPr>
          <w:spacing w:val="-5"/>
          <w:w w:val="105"/>
          <w:sz w:val="21"/>
        </w:rPr>
        <w:t> </w:t>
      </w:r>
      <w:r>
        <w:rPr>
          <w:w w:val="105"/>
          <w:sz w:val="21"/>
        </w:rPr>
        <w:t>with</w:t>
      </w:r>
      <w:r>
        <w:rPr>
          <w:spacing w:val="-5"/>
          <w:w w:val="105"/>
          <w:sz w:val="21"/>
        </w:rPr>
        <w:t> </w:t>
      </w:r>
      <w:r>
        <w:rPr>
          <w:w w:val="105"/>
          <w:sz w:val="21"/>
        </w:rPr>
        <w:t>one</w:t>
      </w:r>
      <w:r>
        <w:rPr>
          <w:spacing w:val="-5"/>
          <w:w w:val="105"/>
          <w:sz w:val="21"/>
        </w:rPr>
        <w:t> </w:t>
      </w:r>
      <w:r>
        <w:rPr>
          <w:spacing w:val="-3"/>
          <w:w w:val="105"/>
          <w:sz w:val="21"/>
        </w:rPr>
        <w:t>that</w:t>
      </w:r>
      <w:r>
        <w:rPr>
          <w:spacing w:val="-4"/>
          <w:w w:val="105"/>
          <w:sz w:val="21"/>
        </w:rPr>
        <w:t> </w:t>
      </w:r>
      <w:r>
        <w:rPr>
          <w:w w:val="105"/>
          <w:sz w:val="21"/>
        </w:rPr>
        <w:t>is</w:t>
      </w:r>
      <w:r>
        <w:rPr>
          <w:spacing w:val="-5"/>
          <w:w w:val="105"/>
          <w:sz w:val="21"/>
        </w:rPr>
        <w:t> </w:t>
      </w:r>
      <w:r>
        <w:rPr>
          <w:w w:val="105"/>
          <w:sz w:val="21"/>
        </w:rPr>
        <w:t>more</w:t>
      </w:r>
      <w:r>
        <w:rPr>
          <w:spacing w:val="-5"/>
          <w:w w:val="105"/>
          <w:sz w:val="21"/>
        </w:rPr>
        <w:t> </w:t>
      </w:r>
      <w:r>
        <w:rPr>
          <w:spacing w:val="-3"/>
          <w:w w:val="105"/>
          <w:sz w:val="21"/>
        </w:rPr>
        <w:t>appropriate</w:t>
      </w:r>
      <w:r>
        <w:rPr>
          <w:spacing w:val="-5"/>
          <w:w w:val="105"/>
          <w:sz w:val="21"/>
        </w:rPr>
        <w:t> </w:t>
      </w:r>
      <w:r>
        <w:rPr>
          <w:spacing w:val="-3"/>
          <w:w w:val="105"/>
          <w:sz w:val="21"/>
        </w:rPr>
        <w:t>to</w:t>
      </w:r>
      <w:r>
        <w:rPr>
          <w:spacing w:val="-5"/>
          <w:w w:val="105"/>
          <w:sz w:val="21"/>
        </w:rPr>
        <w:t> </w:t>
      </w:r>
      <w:r>
        <w:rPr>
          <w:w w:val="105"/>
          <w:sz w:val="21"/>
        </w:rPr>
        <w:t>the</w:t>
      </w:r>
      <w:r>
        <w:rPr>
          <w:spacing w:val="-5"/>
          <w:w w:val="105"/>
          <w:sz w:val="21"/>
        </w:rPr>
        <w:t> </w:t>
      </w:r>
      <w:r>
        <w:rPr>
          <w:spacing w:val="-3"/>
          <w:w w:val="105"/>
          <w:sz w:val="21"/>
        </w:rPr>
        <w:t>surroundings, </w:t>
      </w:r>
      <w:r>
        <w:rPr>
          <w:w w:val="105"/>
          <w:sz w:val="21"/>
        </w:rPr>
        <w:t>or of a </w:t>
      </w:r>
      <w:r>
        <w:rPr>
          <w:spacing w:val="-3"/>
          <w:w w:val="105"/>
          <w:sz w:val="21"/>
        </w:rPr>
        <w:t>different </w:t>
      </w:r>
      <w:r>
        <w:rPr>
          <w:spacing w:val="-4"/>
          <w:w w:val="105"/>
          <w:sz w:val="21"/>
        </w:rPr>
        <w:t>maturity, </w:t>
      </w:r>
      <w:r>
        <w:rPr>
          <w:w w:val="105"/>
          <w:sz w:val="21"/>
        </w:rPr>
        <w:t>or </w:t>
      </w:r>
      <w:r>
        <w:rPr>
          <w:spacing w:val="-3"/>
          <w:w w:val="105"/>
          <w:sz w:val="21"/>
        </w:rPr>
        <w:t>to </w:t>
      </w:r>
      <w:r>
        <w:rPr>
          <w:w w:val="105"/>
          <w:sz w:val="21"/>
        </w:rPr>
        <w:t>be </w:t>
      </w:r>
      <w:r>
        <w:rPr>
          <w:spacing w:val="-2"/>
          <w:w w:val="105"/>
          <w:sz w:val="21"/>
        </w:rPr>
        <w:t>placed </w:t>
      </w:r>
      <w:r>
        <w:rPr>
          <w:w w:val="105"/>
          <w:sz w:val="21"/>
        </w:rPr>
        <w:t>in a more </w:t>
      </w:r>
      <w:r>
        <w:rPr>
          <w:spacing w:val="-3"/>
          <w:w w:val="105"/>
          <w:sz w:val="21"/>
        </w:rPr>
        <w:t>appropriate</w:t>
      </w:r>
      <w:r>
        <w:rPr>
          <w:spacing w:val="4"/>
          <w:w w:val="105"/>
          <w:sz w:val="21"/>
        </w:rPr>
        <w:t> </w:t>
      </w:r>
      <w:r>
        <w:rPr>
          <w:spacing w:val="-6"/>
          <w:w w:val="105"/>
          <w:sz w:val="21"/>
        </w:rPr>
        <w:t>location.</w:t>
      </w:r>
      <w:r>
        <w:rPr>
          <w:spacing w:val="-6"/>
          <w:w w:val="105"/>
          <w:position w:val="7"/>
          <w:sz w:val="12"/>
        </w:rPr>
        <w:t>11</w:t>
      </w:r>
    </w:p>
    <w:p>
      <w:pPr>
        <w:pStyle w:val="ListParagraph"/>
        <w:numPr>
          <w:ilvl w:val="1"/>
          <w:numId w:val="16"/>
        </w:numPr>
        <w:tabs>
          <w:tab w:pos="2380" w:val="left" w:leader="none"/>
          <w:tab w:pos="2381" w:val="left" w:leader="none"/>
        </w:tabs>
        <w:spacing w:line="242" w:lineRule="auto" w:before="123" w:after="0"/>
        <w:ind w:left="2380" w:right="1597" w:hanging="793"/>
        <w:jc w:val="left"/>
        <w:rPr>
          <w:sz w:val="21"/>
        </w:rPr>
      </w:pPr>
      <w:r>
        <w:rPr>
          <w:sz w:val="21"/>
        </w:rPr>
        <w:t>The </w:t>
      </w:r>
      <w:r>
        <w:rPr>
          <w:spacing w:val="-3"/>
          <w:sz w:val="21"/>
        </w:rPr>
        <w:t>Queensland </w:t>
      </w:r>
      <w:r>
        <w:rPr>
          <w:sz w:val="21"/>
        </w:rPr>
        <w:t>Act provides </w:t>
      </w:r>
      <w:r>
        <w:rPr>
          <w:spacing w:val="-3"/>
          <w:sz w:val="21"/>
        </w:rPr>
        <w:t>that </w:t>
      </w:r>
      <w:r>
        <w:rPr>
          <w:sz w:val="21"/>
        </w:rPr>
        <w:t>a </w:t>
      </w:r>
      <w:r>
        <w:rPr>
          <w:spacing w:val="-3"/>
          <w:sz w:val="21"/>
        </w:rPr>
        <w:t>living </w:t>
      </w:r>
      <w:r>
        <w:rPr>
          <w:sz w:val="21"/>
        </w:rPr>
        <w:t>tree should </w:t>
      </w:r>
      <w:r>
        <w:rPr>
          <w:spacing w:val="-2"/>
          <w:sz w:val="21"/>
        </w:rPr>
        <w:t>not </w:t>
      </w:r>
      <w:r>
        <w:rPr>
          <w:sz w:val="21"/>
        </w:rPr>
        <w:t>be removed or destroyed unless the issue </w:t>
      </w:r>
      <w:r>
        <w:rPr>
          <w:spacing w:val="-3"/>
          <w:sz w:val="21"/>
        </w:rPr>
        <w:t>relating to </w:t>
      </w:r>
      <w:r>
        <w:rPr>
          <w:sz w:val="21"/>
        </w:rPr>
        <w:t>the tree </w:t>
      </w:r>
      <w:r>
        <w:rPr>
          <w:spacing w:val="-3"/>
          <w:sz w:val="21"/>
        </w:rPr>
        <w:t>cannot </w:t>
      </w:r>
      <w:r>
        <w:rPr>
          <w:sz w:val="21"/>
        </w:rPr>
        <w:t>otherwise be satisfactorily</w:t>
      </w:r>
      <w:r>
        <w:rPr>
          <w:spacing w:val="-21"/>
          <w:sz w:val="21"/>
        </w:rPr>
        <w:t> </w:t>
      </w:r>
      <w:r>
        <w:rPr>
          <w:spacing w:val="-5"/>
          <w:sz w:val="21"/>
        </w:rPr>
        <w:t>resolved.</w:t>
      </w:r>
      <w:r>
        <w:rPr>
          <w:spacing w:val="-5"/>
          <w:position w:val="7"/>
          <w:sz w:val="12"/>
        </w:rPr>
        <w:t>12</w:t>
      </w:r>
    </w:p>
    <w:p>
      <w:pPr>
        <w:pStyle w:val="ListParagraph"/>
        <w:numPr>
          <w:ilvl w:val="1"/>
          <w:numId w:val="16"/>
        </w:numPr>
        <w:tabs>
          <w:tab w:pos="2381" w:val="left" w:leader="none"/>
          <w:tab w:pos="2382" w:val="left" w:leader="none"/>
        </w:tabs>
        <w:spacing w:line="242" w:lineRule="auto" w:before="122" w:after="0"/>
        <w:ind w:left="2381" w:right="1763" w:hanging="794"/>
        <w:jc w:val="left"/>
        <w:rPr>
          <w:sz w:val="21"/>
        </w:rPr>
      </w:pPr>
      <w:r>
        <w:rPr>
          <w:w w:val="105"/>
          <w:sz w:val="21"/>
        </w:rPr>
        <w:t>In </w:t>
      </w:r>
      <w:r>
        <w:rPr>
          <w:spacing w:val="-4"/>
          <w:w w:val="105"/>
          <w:sz w:val="21"/>
        </w:rPr>
        <w:t>QCAT </w:t>
      </w:r>
      <w:r>
        <w:rPr>
          <w:w w:val="105"/>
          <w:sz w:val="21"/>
        </w:rPr>
        <w:t>each party is expected </w:t>
      </w:r>
      <w:r>
        <w:rPr>
          <w:spacing w:val="-3"/>
          <w:w w:val="105"/>
          <w:sz w:val="21"/>
        </w:rPr>
        <w:t>to </w:t>
      </w:r>
      <w:r>
        <w:rPr>
          <w:w w:val="105"/>
          <w:sz w:val="21"/>
        </w:rPr>
        <w:t>bear their own costs of </w:t>
      </w:r>
      <w:r>
        <w:rPr>
          <w:spacing w:val="-3"/>
          <w:w w:val="105"/>
          <w:sz w:val="21"/>
        </w:rPr>
        <w:t>proceeding. </w:t>
      </w:r>
      <w:r>
        <w:rPr>
          <w:w w:val="105"/>
          <w:sz w:val="21"/>
        </w:rPr>
        <w:t>The </w:t>
      </w:r>
      <w:r>
        <w:rPr>
          <w:spacing w:val="-5"/>
          <w:w w:val="105"/>
          <w:sz w:val="21"/>
        </w:rPr>
        <w:t>Tribunal </w:t>
      </w:r>
      <w:r>
        <w:rPr>
          <w:spacing w:val="-3"/>
          <w:w w:val="105"/>
          <w:sz w:val="21"/>
        </w:rPr>
        <w:t>may </w:t>
      </w:r>
      <w:r>
        <w:rPr>
          <w:w w:val="105"/>
          <w:sz w:val="21"/>
        </w:rPr>
        <w:t>order costs if it is in the </w:t>
      </w:r>
      <w:r>
        <w:rPr>
          <w:spacing w:val="-3"/>
          <w:w w:val="105"/>
          <w:sz w:val="21"/>
        </w:rPr>
        <w:t>interest </w:t>
      </w:r>
      <w:r>
        <w:rPr>
          <w:w w:val="105"/>
          <w:sz w:val="21"/>
        </w:rPr>
        <w:t>of </w:t>
      </w:r>
      <w:r>
        <w:rPr>
          <w:spacing w:val="-3"/>
          <w:w w:val="105"/>
          <w:sz w:val="21"/>
        </w:rPr>
        <w:t>justice to </w:t>
      </w:r>
      <w:r>
        <w:rPr>
          <w:w w:val="105"/>
          <w:sz w:val="21"/>
        </w:rPr>
        <w:t>do</w:t>
      </w:r>
      <w:r>
        <w:rPr>
          <w:spacing w:val="5"/>
          <w:w w:val="105"/>
          <w:sz w:val="21"/>
        </w:rPr>
        <w:t> </w:t>
      </w:r>
      <w:r>
        <w:rPr>
          <w:spacing w:val="-8"/>
          <w:w w:val="105"/>
          <w:sz w:val="21"/>
        </w:rPr>
        <w:t>so.</w:t>
      </w:r>
      <w:r>
        <w:rPr>
          <w:spacing w:val="-8"/>
          <w:w w:val="105"/>
          <w:position w:val="7"/>
          <w:sz w:val="12"/>
        </w:rPr>
        <w:t>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r>
        <w:rPr/>
        <w:pict>
          <v:line style="position:absolute;mso-position-horizontal-relative:page;mso-position-vertical-relative:paragraph;z-index:8480;mso-wrap-distance-left:0;mso-wrap-distance-right:0" from="79.370102pt,18.79775pt" to="515.905102pt,18.79775pt" stroked="true" strokeweight="1pt" strokecolor="#c9d2cb">
            <v:stroke dashstyle="solid"/>
            <w10:wrap type="topAndBottom"/>
          </v:line>
        </w:pict>
      </w:r>
    </w:p>
    <w:p>
      <w:pPr>
        <w:pStyle w:val="BodyText"/>
        <w:spacing w:before="8"/>
        <w:rPr>
          <w:sz w:val="5"/>
        </w:rPr>
      </w:pPr>
    </w:p>
    <w:p>
      <w:pPr>
        <w:spacing w:after="0"/>
        <w:rPr>
          <w:sz w:val="5"/>
        </w:rPr>
        <w:sectPr>
          <w:headerReference w:type="default" r:id="rId227"/>
          <w:headerReference w:type="even" r:id="rId228"/>
          <w:pgSz w:w="11910" w:h="16840"/>
          <w:pgMar w:header="808" w:footer="0" w:top="1360" w:bottom="280" w:left="0" w:right="0"/>
        </w:sectPr>
      </w:pPr>
    </w:p>
    <w:p>
      <w:pPr>
        <w:pStyle w:val="ListParagraph"/>
        <w:numPr>
          <w:ilvl w:val="0"/>
          <w:numId w:val="142"/>
        </w:numPr>
        <w:tabs>
          <w:tab w:pos="2380" w:val="left" w:leader="none"/>
          <w:tab w:pos="2382" w:val="left" w:leader="none"/>
        </w:tabs>
        <w:spacing w:line="240" w:lineRule="auto" w:before="48" w:after="0"/>
        <w:ind w:left="2381" w:right="0" w:hanging="794"/>
        <w:jc w:val="left"/>
        <w:rPr>
          <w:sz w:val="13"/>
        </w:rPr>
      </w:pPr>
      <w:r>
        <w:rPr>
          <w:i/>
          <w:w w:val="105"/>
          <w:sz w:val="13"/>
        </w:rPr>
        <w:t>Trees (Disputes Between Neighbours) Act 2006 </w:t>
      </w:r>
      <w:r>
        <w:rPr>
          <w:spacing w:val="3"/>
          <w:w w:val="105"/>
          <w:sz w:val="13"/>
        </w:rPr>
        <w:t>(NSW) </w:t>
      </w:r>
      <w:r>
        <w:rPr>
          <w:w w:val="105"/>
          <w:sz w:val="13"/>
        </w:rPr>
        <w:t>s</w:t>
      </w:r>
      <w:r>
        <w:rPr>
          <w:spacing w:val="5"/>
          <w:w w:val="105"/>
          <w:sz w:val="13"/>
        </w:rPr>
        <w:t> </w:t>
      </w:r>
      <w:r>
        <w:rPr>
          <w:spacing w:val="3"/>
          <w:w w:val="105"/>
          <w:sz w:val="13"/>
        </w:rPr>
        <w:t>9(2).</w:t>
      </w:r>
    </w:p>
    <w:p>
      <w:pPr>
        <w:pStyle w:val="ListParagraph"/>
        <w:numPr>
          <w:ilvl w:val="0"/>
          <w:numId w:val="142"/>
        </w:numPr>
        <w:tabs>
          <w:tab w:pos="2380" w:val="left" w:leader="none"/>
          <w:tab w:pos="2382" w:val="left" w:leader="none"/>
        </w:tabs>
        <w:spacing w:line="240" w:lineRule="auto" w:before="1"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3"/>
          <w:w w:val="105"/>
          <w:sz w:val="13"/>
        </w:rPr>
        <w:t> </w:t>
      </w:r>
      <w:r>
        <w:rPr>
          <w:w w:val="105"/>
          <w:sz w:val="13"/>
        </w:rPr>
        <w:t>Wales).</w:t>
      </w:r>
    </w:p>
    <w:p>
      <w:pPr>
        <w:pStyle w:val="ListParagraph"/>
        <w:numPr>
          <w:ilvl w:val="0"/>
          <w:numId w:val="142"/>
        </w:numPr>
        <w:tabs>
          <w:tab w:pos="2380" w:val="left" w:leader="none"/>
          <w:tab w:pos="2382" w:val="left" w:leader="none"/>
        </w:tabs>
        <w:spacing w:line="240" w:lineRule="auto" w:before="2" w:after="0"/>
        <w:ind w:left="2381" w:right="123" w:hanging="794"/>
        <w:jc w:val="left"/>
        <w:rPr>
          <w:sz w:val="13"/>
        </w:rPr>
      </w:pPr>
      <w:r>
        <w:rPr>
          <w:sz w:val="13"/>
        </w:rPr>
        <w:t>Ibid. An order of a court of tribunal stipulating that legal costs be paid by one </w:t>
      </w:r>
      <w:r>
        <w:rPr>
          <w:spacing w:val="2"/>
          <w:sz w:val="13"/>
        </w:rPr>
        <w:t>party </w:t>
      </w:r>
      <w:r>
        <w:rPr>
          <w:sz w:val="13"/>
        </w:rPr>
        <w:t>to another. Also known as </w:t>
      </w:r>
      <w:r>
        <w:rPr>
          <w:spacing w:val="2"/>
          <w:sz w:val="13"/>
        </w:rPr>
        <w:t>‘party–party’ </w:t>
      </w:r>
      <w:r>
        <w:rPr>
          <w:sz w:val="13"/>
        </w:rPr>
        <w:t>costs. These          costs are ‘either the amounts lawyers charge  their  clients  for  providing  legal  services  or  amounts  recoverable  by  the  successful  </w:t>
      </w:r>
      <w:r>
        <w:rPr>
          <w:spacing w:val="2"/>
          <w:sz w:val="13"/>
        </w:rPr>
        <w:t>party </w:t>
      </w:r>
      <w:r>
        <w:rPr>
          <w:sz w:val="13"/>
        </w:rPr>
        <w:t>for the</w:t>
      </w:r>
      <w:r>
        <w:rPr>
          <w:spacing w:val="20"/>
          <w:sz w:val="13"/>
        </w:rPr>
        <w:t> </w:t>
      </w:r>
      <w:r>
        <w:rPr>
          <w:sz w:val="13"/>
        </w:rPr>
        <w:t>work</w:t>
      </w:r>
      <w:r>
        <w:rPr>
          <w:spacing w:val="21"/>
          <w:sz w:val="13"/>
        </w:rPr>
        <w:t> </w:t>
      </w:r>
      <w:r>
        <w:rPr>
          <w:sz w:val="13"/>
        </w:rPr>
        <w:t>done</w:t>
      </w:r>
      <w:r>
        <w:rPr>
          <w:spacing w:val="21"/>
          <w:sz w:val="13"/>
        </w:rPr>
        <w:t> </w:t>
      </w:r>
      <w:r>
        <w:rPr>
          <w:sz w:val="13"/>
        </w:rPr>
        <w:t>by</w:t>
      </w:r>
      <w:r>
        <w:rPr>
          <w:spacing w:val="21"/>
          <w:sz w:val="13"/>
        </w:rPr>
        <w:t> </w:t>
      </w:r>
      <w:r>
        <w:rPr>
          <w:sz w:val="13"/>
        </w:rPr>
        <w:t>their</w:t>
      </w:r>
      <w:r>
        <w:rPr>
          <w:spacing w:val="21"/>
          <w:sz w:val="13"/>
        </w:rPr>
        <w:t> </w:t>
      </w:r>
      <w:r>
        <w:rPr>
          <w:sz w:val="13"/>
        </w:rPr>
        <w:t>lawyers</w:t>
      </w:r>
      <w:r>
        <w:rPr>
          <w:spacing w:val="21"/>
          <w:sz w:val="13"/>
        </w:rPr>
        <w:t> </w:t>
      </w:r>
      <w:r>
        <w:rPr>
          <w:sz w:val="13"/>
        </w:rPr>
        <w:t>in</w:t>
      </w:r>
      <w:r>
        <w:rPr>
          <w:spacing w:val="21"/>
          <w:sz w:val="13"/>
        </w:rPr>
        <w:t> </w:t>
      </w:r>
      <w:r>
        <w:rPr>
          <w:sz w:val="13"/>
        </w:rPr>
        <w:t>legal</w:t>
      </w:r>
      <w:r>
        <w:rPr>
          <w:spacing w:val="21"/>
          <w:sz w:val="13"/>
        </w:rPr>
        <w:t> </w:t>
      </w:r>
      <w:r>
        <w:rPr>
          <w:sz w:val="13"/>
        </w:rPr>
        <w:t>proceedings.</w:t>
      </w:r>
      <w:r>
        <w:rPr>
          <w:spacing w:val="21"/>
          <w:sz w:val="13"/>
        </w:rPr>
        <w:t> </w:t>
      </w:r>
      <w:r>
        <w:rPr>
          <w:sz w:val="13"/>
        </w:rPr>
        <w:t>Legal</w:t>
      </w:r>
      <w:r>
        <w:rPr>
          <w:spacing w:val="21"/>
          <w:sz w:val="13"/>
        </w:rPr>
        <w:t> </w:t>
      </w:r>
      <w:r>
        <w:rPr>
          <w:sz w:val="13"/>
        </w:rPr>
        <w:t>costs</w:t>
      </w:r>
      <w:r>
        <w:rPr>
          <w:spacing w:val="21"/>
          <w:sz w:val="13"/>
        </w:rPr>
        <w:t> </w:t>
      </w:r>
      <w:r>
        <w:rPr>
          <w:sz w:val="13"/>
        </w:rPr>
        <w:t>include</w:t>
      </w:r>
      <w:r>
        <w:rPr>
          <w:spacing w:val="21"/>
          <w:sz w:val="13"/>
        </w:rPr>
        <w:t> </w:t>
      </w:r>
      <w:r>
        <w:rPr>
          <w:sz w:val="13"/>
        </w:rPr>
        <w:t>charges</w:t>
      </w:r>
      <w:r>
        <w:rPr>
          <w:spacing w:val="21"/>
          <w:sz w:val="13"/>
        </w:rPr>
        <w:t> </w:t>
      </w:r>
      <w:r>
        <w:rPr>
          <w:sz w:val="13"/>
        </w:rPr>
        <w:t>for</w:t>
      </w:r>
      <w:r>
        <w:rPr>
          <w:spacing w:val="21"/>
          <w:sz w:val="13"/>
        </w:rPr>
        <w:t> </w:t>
      </w:r>
      <w:r>
        <w:rPr>
          <w:sz w:val="13"/>
        </w:rPr>
        <w:t>the</w:t>
      </w:r>
      <w:r>
        <w:rPr>
          <w:spacing w:val="20"/>
          <w:sz w:val="13"/>
        </w:rPr>
        <w:t> </w:t>
      </w:r>
      <w:r>
        <w:rPr>
          <w:sz w:val="13"/>
        </w:rPr>
        <w:t>lawyers’</w:t>
      </w:r>
      <w:r>
        <w:rPr>
          <w:spacing w:val="21"/>
          <w:sz w:val="13"/>
        </w:rPr>
        <w:t> </w:t>
      </w:r>
      <w:r>
        <w:rPr>
          <w:sz w:val="13"/>
        </w:rPr>
        <w:t>services</w:t>
      </w:r>
      <w:r>
        <w:rPr>
          <w:spacing w:val="21"/>
          <w:sz w:val="13"/>
        </w:rPr>
        <w:t> </w:t>
      </w:r>
      <w:r>
        <w:rPr>
          <w:sz w:val="13"/>
        </w:rPr>
        <w:t>and</w:t>
      </w:r>
      <w:r>
        <w:rPr>
          <w:spacing w:val="21"/>
          <w:sz w:val="13"/>
        </w:rPr>
        <w:t> </w:t>
      </w:r>
      <w:r>
        <w:rPr>
          <w:sz w:val="13"/>
        </w:rPr>
        <w:t>disbursements,</w:t>
      </w:r>
      <w:r>
        <w:rPr>
          <w:spacing w:val="21"/>
          <w:sz w:val="13"/>
        </w:rPr>
        <w:t> </w:t>
      </w:r>
      <w:r>
        <w:rPr>
          <w:sz w:val="13"/>
        </w:rPr>
        <w:t>including</w:t>
      </w:r>
    </w:p>
    <w:p>
      <w:pPr>
        <w:spacing w:before="4"/>
        <w:ind w:left="2381" w:right="0" w:firstLine="0"/>
        <w:jc w:val="left"/>
        <w:rPr>
          <w:sz w:val="13"/>
        </w:rPr>
      </w:pPr>
      <w:r>
        <w:rPr>
          <w:w w:val="105"/>
          <w:sz w:val="13"/>
        </w:rPr>
        <w:t>barristers’ fees, doctors’ reports and the reasonable costs of court recordings and transcripts’. Parties can also agree that one party will pay the other parties’ costs to settle their dispute: Supreme Court of Victoria, </w:t>
      </w:r>
      <w:r>
        <w:rPr>
          <w:i/>
          <w:w w:val="105"/>
          <w:sz w:val="13"/>
        </w:rPr>
        <w:t>Costs Court </w:t>
      </w:r>
      <w:r>
        <w:rPr>
          <w:w w:val="105"/>
          <w:sz w:val="13"/>
        </w:rPr>
        <w:t>(Web Page, 2019) &lt;https://</w:t>
      </w:r>
      <w:hyperlink r:id="rId229">
        <w:r>
          <w:rPr>
            <w:w w:val="105"/>
            <w:sz w:val="13"/>
          </w:rPr>
          <w:t>www.supremecourt.vic.</w:t>
        </w:r>
      </w:hyperlink>
      <w:r>
        <w:rPr>
          <w:w w:val="105"/>
          <w:sz w:val="13"/>
        </w:rPr>
        <w:t> gov.au/law-and-practice/areas-of-the-court/costs-court&gt;.</w:t>
      </w:r>
    </w:p>
    <w:p>
      <w:pPr>
        <w:pStyle w:val="ListParagraph"/>
        <w:numPr>
          <w:ilvl w:val="0"/>
          <w:numId w:val="142"/>
        </w:numPr>
        <w:tabs>
          <w:tab w:pos="2380" w:val="left" w:leader="none"/>
          <w:tab w:pos="2382" w:val="left" w:leader="none"/>
        </w:tabs>
        <w:spacing w:line="240" w:lineRule="auto" w:before="4" w:after="0"/>
        <w:ind w:left="2381" w:right="0" w:hanging="794"/>
        <w:jc w:val="left"/>
        <w:rPr>
          <w:sz w:val="13"/>
        </w:rPr>
      </w:pPr>
      <w:r>
        <w:rPr>
          <w:w w:val="105"/>
          <w:sz w:val="13"/>
        </w:rPr>
        <w:t>See discussion</w:t>
      </w:r>
      <w:r>
        <w:rPr>
          <w:spacing w:val="9"/>
          <w:w w:val="105"/>
          <w:sz w:val="13"/>
        </w:rPr>
        <w:t> </w:t>
      </w:r>
      <w:r>
        <w:rPr>
          <w:w w:val="105"/>
          <w:sz w:val="13"/>
        </w:rPr>
        <w:t>below.</w:t>
      </w:r>
    </w:p>
    <w:p>
      <w:pPr>
        <w:pStyle w:val="ListParagraph"/>
        <w:numPr>
          <w:ilvl w:val="0"/>
          <w:numId w:val="142"/>
        </w:numPr>
        <w:tabs>
          <w:tab w:pos="2380" w:val="left" w:leader="none"/>
          <w:tab w:pos="2382" w:val="left" w:leader="none"/>
        </w:tabs>
        <w:spacing w:line="240" w:lineRule="auto" w:before="1" w:after="0"/>
        <w:ind w:left="2381" w:right="0" w:hanging="794"/>
        <w:jc w:val="left"/>
        <w:rPr>
          <w:sz w:val="13"/>
        </w:rPr>
      </w:pPr>
      <w:r>
        <w:rPr>
          <w:i/>
          <w:w w:val="105"/>
          <w:sz w:val="13"/>
        </w:rPr>
        <w:t>Land and Environment Court Rules 2007 </w:t>
      </w:r>
      <w:r>
        <w:rPr>
          <w:spacing w:val="3"/>
          <w:w w:val="105"/>
          <w:sz w:val="13"/>
        </w:rPr>
        <w:t>(NSW) </w:t>
      </w:r>
      <w:r>
        <w:rPr>
          <w:w w:val="105"/>
          <w:sz w:val="13"/>
        </w:rPr>
        <w:t>cl</w:t>
      </w:r>
      <w:r>
        <w:rPr>
          <w:spacing w:val="4"/>
          <w:w w:val="105"/>
          <w:sz w:val="13"/>
        </w:rPr>
        <w:t> </w:t>
      </w:r>
      <w:r>
        <w:rPr>
          <w:w w:val="105"/>
          <w:sz w:val="13"/>
        </w:rPr>
        <w:t>3.7(2).</w:t>
      </w:r>
    </w:p>
    <w:p>
      <w:pPr>
        <w:pStyle w:val="ListParagraph"/>
        <w:numPr>
          <w:ilvl w:val="0"/>
          <w:numId w:val="142"/>
        </w:numPr>
        <w:tabs>
          <w:tab w:pos="2380" w:val="left" w:leader="none"/>
          <w:tab w:pos="2382" w:val="left" w:leader="none"/>
        </w:tabs>
        <w:spacing w:line="240" w:lineRule="auto" w:before="1" w:after="0"/>
        <w:ind w:left="1587" w:right="3720" w:firstLine="0"/>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 66.</w:t>
      </w:r>
      <w:r>
        <w:rPr>
          <w:spacing w:val="30"/>
          <w:w w:val="105"/>
          <w:sz w:val="13"/>
        </w:rPr>
        <w:t> </w:t>
      </w:r>
      <w:r>
        <w:rPr>
          <w:w w:val="105"/>
          <w:sz w:val="13"/>
        </w:rPr>
        <w:t>9</w:t>
        <w:tab/>
        <w:t>Ibid s </w:t>
      </w:r>
      <w:r>
        <w:rPr>
          <w:spacing w:val="4"/>
          <w:w w:val="105"/>
          <w:sz w:val="13"/>
        </w:rPr>
        <w:t>66(5)(b),</w:t>
      </w:r>
      <w:r>
        <w:rPr>
          <w:spacing w:val="13"/>
          <w:w w:val="105"/>
          <w:sz w:val="13"/>
        </w:rPr>
        <w:t> </w:t>
      </w:r>
      <w:r>
        <w:rPr>
          <w:spacing w:val="3"/>
          <w:w w:val="105"/>
          <w:sz w:val="13"/>
        </w:rPr>
        <w:t>(g).</w:t>
      </w:r>
    </w:p>
    <w:p>
      <w:pPr>
        <w:pStyle w:val="ListParagraph"/>
        <w:numPr>
          <w:ilvl w:val="0"/>
          <w:numId w:val="143"/>
        </w:numPr>
        <w:tabs>
          <w:tab w:pos="2380" w:val="left" w:leader="none"/>
          <w:tab w:pos="2382" w:val="left" w:leader="none"/>
        </w:tabs>
        <w:spacing w:line="240" w:lineRule="auto" w:before="3" w:after="0"/>
        <w:ind w:left="2381" w:right="0" w:hanging="794"/>
        <w:jc w:val="left"/>
        <w:rPr>
          <w:sz w:val="13"/>
        </w:rPr>
      </w:pPr>
      <w:r>
        <w:rPr>
          <w:sz w:val="13"/>
        </w:rPr>
        <w:t>Ibid  s</w:t>
      </w:r>
      <w:r>
        <w:rPr>
          <w:spacing w:val="13"/>
          <w:sz w:val="13"/>
        </w:rPr>
        <w:t> </w:t>
      </w:r>
      <w:r>
        <w:rPr>
          <w:sz w:val="13"/>
        </w:rPr>
        <w:t>68.</w:t>
      </w:r>
    </w:p>
    <w:p>
      <w:pPr>
        <w:pStyle w:val="ListParagraph"/>
        <w:numPr>
          <w:ilvl w:val="0"/>
          <w:numId w:val="143"/>
        </w:numPr>
        <w:tabs>
          <w:tab w:pos="2381" w:val="left" w:leader="none"/>
          <w:tab w:pos="2382" w:val="left" w:leader="none"/>
        </w:tabs>
        <w:spacing w:line="240" w:lineRule="auto" w:before="1" w:after="0"/>
        <w:ind w:left="2381" w:right="0" w:hanging="794"/>
        <w:jc w:val="left"/>
        <w:rPr>
          <w:sz w:val="13"/>
        </w:rPr>
      </w:pPr>
      <w:r>
        <w:rPr>
          <w:sz w:val="13"/>
        </w:rPr>
        <w:t>Ibid  s</w:t>
      </w:r>
      <w:r>
        <w:rPr>
          <w:spacing w:val="6"/>
          <w:sz w:val="13"/>
        </w:rPr>
        <w:t> </w:t>
      </w:r>
      <w:r>
        <w:rPr>
          <w:sz w:val="13"/>
        </w:rPr>
        <w:t>69.</w:t>
      </w:r>
    </w:p>
    <w:p>
      <w:pPr>
        <w:pStyle w:val="ListParagraph"/>
        <w:numPr>
          <w:ilvl w:val="0"/>
          <w:numId w:val="143"/>
        </w:numPr>
        <w:tabs>
          <w:tab w:pos="2381" w:val="left" w:leader="none"/>
          <w:tab w:pos="2382" w:val="left" w:leader="none"/>
        </w:tabs>
        <w:spacing w:line="240" w:lineRule="auto" w:before="2" w:after="0"/>
        <w:ind w:left="2381" w:right="0" w:hanging="794"/>
        <w:jc w:val="left"/>
        <w:rPr>
          <w:sz w:val="13"/>
        </w:rPr>
      </w:pPr>
      <w:r>
        <w:rPr>
          <w:sz w:val="13"/>
        </w:rPr>
        <w:t>Ibid  s</w:t>
      </w:r>
      <w:r>
        <w:rPr>
          <w:spacing w:val="6"/>
          <w:sz w:val="13"/>
        </w:rPr>
        <w:t> </w:t>
      </w:r>
      <w:r>
        <w:rPr>
          <w:sz w:val="13"/>
        </w:rPr>
        <w:t>72.</w:t>
      </w:r>
    </w:p>
    <w:p>
      <w:pPr>
        <w:pStyle w:val="ListParagraph"/>
        <w:numPr>
          <w:ilvl w:val="0"/>
          <w:numId w:val="143"/>
        </w:numPr>
        <w:tabs>
          <w:tab w:pos="2381" w:val="left" w:leader="none"/>
          <w:tab w:pos="2382" w:val="left" w:leader="none"/>
        </w:tabs>
        <w:spacing w:line="240" w:lineRule="auto" w:before="1" w:after="0"/>
        <w:ind w:left="2381" w:right="0" w:hanging="794"/>
        <w:jc w:val="left"/>
        <w:rPr>
          <w:sz w:val="13"/>
        </w:rPr>
      </w:pPr>
      <w:r>
        <w:rPr>
          <w:i/>
          <w:w w:val="105"/>
          <w:sz w:val="13"/>
        </w:rPr>
        <w:t>Queensland</w:t>
      </w:r>
      <w:r>
        <w:rPr>
          <w:i/>
          <w:spacing w:val="4"/>
          <w:w w:val="105"/>
          <w:sz w:val="13"/>
        </w:rPr>
        <w:t> </w:t>
      </w:r>
      <w:r>
        <w:rPr>
          <w:i/>
          <w:w w:val="105"/>
          <w:sz w:val="13"/>
        </w:rPr>
        <w:t>Civil</w:t>
      </w:r>
      <w:r>
        <w:rPr>
          <w:i/>
          <w:spacing w:val="5"/>
          <w:w w:val="105"/>
          <w:sz w:val="13"/>
        </w:rPr>
        <w:t> </w:t>
      </w:r>
      <w:r>
        <w:rPr>
          <w:i/>
          <w:w w:val="105"/>
          <w:sz w:val="13"/>
        </w:rPr>
        <w:t>and</w:t>
      </w:r>
      <w:r>
        <w:rPr>
          <w:i/>
          <w:spacing w:val="5"/>
          <w:w w:val="105"/>
          <w:sz w:val="13"/>
        </w:rPr>
        <w:t> </w:t>
      </w:r>
      <w:r>
        <w:rPr>
          <w:i/>
          <w:w w:val="105"/>
          <w:sz w:val="13"/>
        </w:rPr>
        <w:t>Administrative</w:t>
      </w:r>
      <w:r>
        <w:rPr>
          <w:i/>
          <w:spacing w:val="5"/>
          <w:w w:val="105"/>
          <w:sz w:val="13"/>
        </w:rPr>
        <w:t> </w:t>
      </w:r>
      <w:r>
        <w:rPr>
          <w:i/>
          <w:w w:val="105"/>
          <w:sz w:val="13"/>
        </w:rPr>
        <w:t>Tribunal</w:t>
      </w:r>
      <w:r>
        <w:rPr>
          <w:i/>
          <w:spacing w:val="5"/>
          <w:w w:val="105"/>
          <w:sz w:val="13"/>
        </w:rPr>
        <w:t> </w:t>
      </w:r>
      <w:r>
        <w:rPr>
          <w:i/>
          <w:w w:val="105"/>
          <w:sz w:val="13"/>
        </w:rPr>
        <w:t>Act</w:t>
      </w:r>
      <w:r>
        <w:rPr>
          <w:i/>
          <w:spacing w:val="5"/>
          <w:w w:val="105"/>
          <w:sz w:val="13"/>
        </w:rPr>
        <w:t> </w:t>
      </w:r>
      <w:r>
        <w:rPr>
          <w:i/>
          <w:w w:val="105"/>
          <w:sz w:val="13"/>
        </w:rPr>
        <w:t>2009</w:t>
      </w:r>
      <w:r>
        <w:rPr>
          <w:i/>
          <w:spacing w:val="5"/>
          <w:w w:val="105"/>
          <w:sz w:val="13"/>
        </w:rPr>
        <w:t> </w:t>
      </w:r>
      <w:r>
        <w:rPr>
          <w:spacing w:val="2"/>
          <w:w w:val="105"/>
          <w:sz w:val="13"/>
        </w:rPr>
        <w:t>(Qld)</w:t>
      </w:r>
      <w:r>
        <w:rPr>
          <w:spacing w:val="5"/>
          <w:w w:val="105"/>
          <w:sz w:val="13"/>
        </w:rPr>
        <w:t> </w:t>
      </w:r>
      <w:r>
        <w:rPr>
          <w:w w:val="105"/>
          <w:sz w:val="13"/>
        </w:rPr>
        <w:t>s</w:t>
      </w:r>
      <w:r>
        <w:rPr>
          <w:spacing w:val="5"/>
          <w:w w:val="105"/>
          <w:sz w:val="13"/>
        </w:rPr>
        <w:t> </w:t>
      </w:r>
      <w:r>
        <w:rPr>
          <w:spacing w:val="-4"/>
          <w:w w:val="105"/>
          <w:sz w:val="13"/>
        </w:rPr>
        <w:t>101,102</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3"/>
        </w:rPr>
      </w:pPr>
    </w:p>
    <w:p>
      <w:pPr>
        <w:spacing w:before="1"/>
        <w:ind w:left="590" w:right="575" w:firstLine="0"/>
        <w:jc w:val="center"/>
        <w:rPr>
          <w:b/>
          <w:sz w:val="24"/>
        </w:rPr>
      </w:pPr>
      <w:r>
        <w:rPr>
          <w:b/>
          <w:color w:val="658464"/>
          <w:w w:val="110"/>
          <w:sz w:val="24"/>
        </w:rPr>
        <w:t>195</w:t>
      </w:r>
    </w:p>
    <w:p>
      <w:pPr>
        <w:spacing w:after="0"/>
        <w:jc w:val="center"/>
        <w:rPr>
          <w:sz w:val="24"/>
        </w:rPr>
        <w:sectPr>
          <w:type w:val="continuous"/>
          <w:pgSz w:w="11910" w:h="16840"/>
          <w:pgMar w:top="300" w:bottom="280" w:left="0" w:right="0"/>
          <w:cols w:num="2" w:equalWidth="0">
            <w:col w:w="10263" w:space="40"/>
            <w:col w:w="1607"/>
          </w:cols>
        </w:sectPr>
      </w:pPr>
    </w:p>
    <w:p>
      <w:pPr>
        <w:pStyle w:val="BodyText"/>
        <w:spacing w:before="11"/>
        <w:rPr>
          <w:b/>
        </w:rPr>
      </w:pPr>
    </w:p>
    <w:p>
      <w:pPr>
        <w:spacing w:before="96"/>
        <w:ind w:left="1587" w:right="0" w:firstLine="0"/>
        <w:jc w:val="left"/>
        <w:rPr>
          <w:b/>
          <w:sz w:val="24"/>
        </w:rPr>
      </w:pPr>
      <w:bookmarkStart w:name="Community responses—orders available" w:id="219"/>
      <w:bookmarkEnd w:id="219"/>
      <w:r>
        <w:rPr/>
      </w:r>
      <w:bookmarkStart w:name="_bookmark104" w:id="220"/>
      <w:bookmarkEnd w:id="220"/>
      <w:r>
        <w:rPr/>
      </w:r>
      <w:r>
        <w:rPr>
          <w:b/>
          <w:w w:val="110"/>
          <w:sz w:val="24"/>
        </w:rPr>
        <w:t>Tasmania</w:t>
      </w:r>
    </w:p>
    <w:p>
      <w:pPr>
        <w:pStyle w:val="ListParagraph"/>
        <w:numPr>
          <w:ilvl w:val="1"/>
          <w:numId w:val="16"/>
        </w:numPr>
        <w:tabs>
          <w:tab w:pos="2381" w:val="left" w:leader="none"/>
          <w:tab w:pos="2382" w:val="left" w:leader="none"/>
        </w:tabs>
        <w:spacing w:line="242" w:lineRule="auto" w:before="137" w:after="0"/>
        <w:ind w:left="2381" w:right="1654" w:hanging="794"/>
        <w:jc w:val="left"/>
        <w:rPr>
          <w:sz w:val="21"/>
        </w:rPr>
      </w:pPr>
      <w:r>
        <w:rPr>
          <w:w w:val="105"/>
          <w:sz w:val="21"/>
        </w:rPr>
        <w:t>The </w:t>
      </w:r>
      <w:r>
        <w:rPr>
          <w:spacing w:val="-3"/>
          <w:w w:val="105"/>
          <w:sz w:val="21"/>
        </w:rPr>
        <w:t>Resource Management </w:t>
      </w:r>
      <w:r>
        <w:rPr>
          <w:w w:val="105"/>
          <w:sz w:val="21"/>
        </w:rPr>
        <w:t>and </w:t>
      </w:r>
      <w:r>
        <w:rPr>
          <w:spacing w:val="-3"/>
          <w:w w:val="105"/>
          <w:sz w:val="21"/>
        </w:rPr>
        <w:t>Planning </w:t>
      </w:r>
      <w:r>
        <w:rPr>
          <w:w w:val="105"/>
          <w:sz w:val="21"/>
        </w:rPr>
        <w:t>Appeal </w:t>
      </w:r>
      <w:r>
        <w:rPr>
          <w:spacing w:val="-5"/>
          <w:w w:val="105"/>
          <w:sz w:val="21"/>
        </w:rPr>
        <w:t>Tribunal </w:t>
      </w:r>
      <w:r>
        <w:rPr>
          <w:spacing w:val="-3"/>
          <w:w w:val="105"/>
          <w:sz w:val="21"/>
        </w:rPr>
        <w:t>(RMPAT) may </w:t>
      </w:r>
      <w:r>
        <w:rPr>
          <w:spacing w:val="-4"/>
          <w:w w:val="105"/>
          <w:sz w:val="21"/>
        </w:rPr>
        <w:t>make </w:t>
      </w:r>
      <w:r>
        <w:rPr>
          <w:w w:val="105"/>
          <w:sz w:val="21"/>
        </w:rPr>
        <w:t>the orders it considers </w:t>
      </w:r>
      <w:r>
        <w:rPr>
          <w:spacing w:val="-3"/>
          <w:w w:val="105"/>
          <w:sz w:val="21"/>
        </w:rPr>
        <w:t>appropriate to prevent, restrain </w:t>
      </w:r>
      <w:r>
        <w:rPr>
          <w:w w:val="105"/>
          <w:sz w:val="21"/>
        </w:rPr>
        <w:t>or </w:t>
      </w:r>
      <w:r>
        <w:rPr>
          <w:spacing w:val="-3"/>
          <w:w w:val="105"/>
          <w:sz w:val="21"/>
        </w:rPr>
        <w:t>reduce </w:t>
      </w:r>
      <w:r>
        <w:rPr>
          <w:w w:val="105"/>
          <w:sz w:val="21"/>
        </w:rPr>
        <w:t>the </w:t>
      </w:r>
      <w:r>
        <w:rPr>
          <w:spacing w:val="-3"/>
          <w:w w:val="105"/>
          <w:sz w:val="21"/>
        </w:rPr>
        <w:t>likelihood </w:t>
      </w:r>
      <w:r>
        <w:rPr>
          <w:w w:val="105"/>
          <w:sz w:val="21"/>
        </w:rPr>
        <w:t>of serious injury </w:t>
      </w:r>
      <w:r>
        <w:rPr>
          <w:spacing w:val="-3"/>
          <w:w w:val="105"/>
          <w:sz w:val="21"/>
        </w:rPr>
        <w:t>to </w:t>
      </w:r>
      <w:r>
        <w:rPr>
          <w:w w:val="105"/>
          <w:sz w:val="21"/>
        </w:rPr>
        <w:t>a person or serious damage </w:t>
      </w:r>
      <w:r>
        <w:rPr>
          <w:spacing w:val="-3"/>
          <w:w w:val="105"/>
          <w:sz w:val="21"/>
        </w:rPr>
        <w:t>to </w:t>
      </w:r>
      <w:r>
        <w:rPr>
          <w:w w:val="105"/>
          <w:sz w:val="21"/>
        </w:rPr>
        <w:t>a </w:t>
      </w:r>
      <w:r>
        <w:rPr>
          <w:spacing w:val="-3"/>
          <w:w w:val="105"/>
          <w:sz w:val="21"/>
        </w:rPr>
        <w:t>person’s land </w:t>
      </w:r>
      <w:r>
        <w:rPr>
          <w:w w:val="105"/>
          <w:sz w:val="21"/>
        </w:rPr>
        <w:t>or </w:t>
      </w:r>
      <w:r>
        <w:rPr>
          <w:spacing w:val="-3"/>
          <w:w w:val="105"/>
          <w:sz w:val="21"/>
        </w:rPr>
        <w:t>any </w:t>
      </w:r>
      <w:r>
        <w:rPr>
          <w:w w:val="105"/>
          <w:sz w:val="21"/>
        </w:rPr>
        <w:t>property. It </w:t>
      </w:r>
      <w:r>
        <w:rPr>
          <w:spacing w:val="-3"/>
          <w:w w:val="105"/>
          <w:sz w:val="21"/>
        </w:rPr>
        <w:t>may </w:t>
      </w:r>
      <w:r>
        <w:rPr>
          <w:w w:val="105"/>
          <w:sz w:val="21"/>
        </w:rPr>
        <w:t>also </w:t>
      </w:r>
      <w:r>
        <w:rPr>
          <w:spacing w:val="-4"/>
          <w:w w:val="105"/>
          <w:sz w:val="21"/>
        </w:rPr>
        <w:t>make </w:t>
      </w:r>
      <w:r>
        <w:rPr>
          <w:w w:val="105"/>
          <w:sz w:val="21"/>
        </w:rPr>
        <w:t>orders </w:t>
      </w:r>
      <w:r>
        <w:rPr>
          <w:spacing w:val="-3"/>
          <w:w w:val="105"/>
          <w:sz w:val="21"/>
        </w:rPr>
        <w:t>to ensure </w:t>
      </w:r>
      <w:r>
        <w:rPr>
          <w:w w:val="105"/>
          <w:sz w:val="21"/>
        </w:rPr>
        <w:t>a </w:t>
      </w:r>
      <w:r>
        <w:rPr>
          <w:spacing w:val="-3"/>
          <w:w w:val="105"/>
          <w:sz w:val="21"/>
        </w:rPr>
        <w:t>branch </w:t>
      </w:r>
      <w:r>
        <w:rPr>
          <w:w w:val="105"/>
          <w:sz w:val="21"/>
        </w:rPr>
        <w:t>does </w:t>
      </w:r>
      <w:r>
        <w:rPr>
          <w:spacing w:val="-2"/>
          <w:w w:val="105"/>
          <w:sz w:val="21"/>
        </w:rPr>
        <w:t>not </w:t>
      </w:r>
      <w:r>
        <w:rPr>
          <w:spacing w:val="-3"/>
          <w:w w:val="105"/>
          <w:sz w:val="21"/>
        </w:rPr>
        <w:t>overhang another person’s </w:t>
      </w:r>
      <w:r>
        <w:rPr>
          <w:spacing w:val="-5"/>
          <w:w w:val="105"/>
          <w:sz w:val="21"/>
        </w:rPr>
        <w:t>land</w:t>
      </w:r>
      <w:r>
        <w:rPr>
          <w:spacing w:val="-5"/>
          <w:w w:val="105"/>
          <w:position w:val="7"/>
          <w:sz w:val="12"/>
        </w:rPr>
        <w:t>14 </w:t>
      </w:r>
      <w:r>
        <w:rPr>
          <w:w w:val="105"/>
          <w:sz w:val="21"/>
        </w:rPr>
        <w:t>and </w:t>
      </w:r>
      <w:r>
        <w:rPr>
          <w:spacing w:val="-4"/>
          <w:w w:val="105"/>
          <w:sz w:val="21"/>
        </w:rPr>
        <w:t>make </w:t>
      </w:r>
      <w:r>
        <w:rPr>
          <w:w w:val="105"/>
          <w:sz w:val="21"/>
        </w:rPr>
        <w:t>orders </w:t>
      </w:r>
      <w:r>
        <w:rPr>
          <w:spacing w:val="-3"/>
          <w:w w:val="105"/>
          <w:sz w:val="21"/>
        </w:rPr>
        <w:t>to prevent, restrain </w:t>
      </w:r>
      <w:r>
        <w:rPr>
          <w:w w:val="105"/>
          <w:sz w:val="21"/>
        </w:rPr>
        <w:t>or </w:t>
      </w:r>
      <w:r>
        <w:rPr>
          <w:spacing w:val="-3"/>
          <w:w w:val="105"/>
          <w:sz w:val="21"/>
        </w:rPr>
        <w:t>reduce substantial, </w:t>
      </w:r>
      <w:r>
        <w:rPr>
          <w:w w:val="105"/>
          <w:sz w:val="21"/>
        </w:rPr>
        <w:t>ongoing and </w:t>
      </w:r>
      <w:r>
        <w:rPr>
          <w:spacing w:val="-3"/>
          <w:w w:val="105"/>
          <w:sz w:val="21"/>
        </w:rPr>
        <w:t>unreasonable interference </w:t>
      </w:r>
      <w:r>
        <w:rPr>
          <w:w w:val="105"/>
          <w:sz w:val="21"/>
        </w:rPr>
        <w:t>with a </w:t>
      </w:r>
      <w:r>
        <w:rPr>
          <w:spacing w:val="-3"/>
          <w:w w:val="105"/>
          <w:sz w:val="21"/>
        </w:rPr>
        <w:t>person’s </w:t>
      </w:r>
      <w:r>
        <w:rPr>
          <w:w w:val="105"/>
          <w:sz w:val="21"/>
        </w:rPr>
        <w:t>use and </w:t>
      </w:r>
      <w:r>
        <w:rPr>
          <w:spacing w:val="-2"/>
          <w:w w:val="105"/>
          <w:sz w:val="21"/>
        </w:rPr>
        <w:t>enjoyment </w:t>
      </w:r>
      <w:r>
        <w:rPr>
          <w:w w:val="105"/>
          <w:sz w:val="21"/>
        </w:rPr>
        <w:t>of </w:t>
      </w:r>
      <w:r>
        <w:rPr>
          <w:spacing w:val="-3"/>
          <w:w w:val="105"/>
          <w:sz w:val="21"/>
        </w:rPr>
        <w:t>land </w:t>
      </w:r>
      <w:r>
        <w:rPr>
          <w:w w:val="105"/>
          <w:sz w:val="21"/>
        </w:rPr>
        <w:t>caused by a</w:t>
      </w:r>
      <w:r>
        <w:rPr>
          <w:spacing w:val="39"/>
          <w:w w:val="105"/>
          <w:sz w:val="21"/>
        </w:rPr>
        <w:t> </w:t>
      </w:r>
      <w:r>
        <w:rPr>
          <w:spacing w:val="-6"/>
          <w:w w:val="105"/>
          <w:sz w:val="21"/>
        </w:rPr>
        <w:t>plant.</w:t>
      </w:r>
      <w:r>
        <w:rPr>
          <w:spacing w:val="-6"/>
          <w:w w:val="105"/>
          <w:position w:val="7"/>
          <w:sz w:val="12"/>
        </w:rPr>
        <w:t>15</w:t>
      </w:r>
    </w:p>
    <w:p>
      <w:pPr>
        <w:pStyle w:val="ListParagraph"/>
        <w:numPr>
          <w:ilvl w:val="1"/>
          <w:numId w:val="16"/>
        </w:numPr>
        <w:tabs>
          <w:tab w:pos="2380" w:val="left" w:leader="none"/>
          <w:tab w:pos="2382" w:val="left" w:leader="none"/>
        </w:tabs>
        <w:spacing w:line="242" w:lineRule="auto" w:before="127" w:after="0"/>
        <w:ind w:left="2381" w:right="1488" w:hanging="794"/>
        <w:jc w:val="left"/>
        <w:rPr>
          <w:sz w:val="21"/>
        </w:rPr>
      </w:pPr>
      <w:r>
        <w:rPr>
          <w:spacing w:val="-3"/>
          <w:sz w:val="21"/>
        </w:rPr>
        <w:t>Orders </w:t>
      </w:r>
      <w:r>
        <w:rPr>
          <w:spacing w:val="-4"/>
          <w:sz w:val="21"/>
        </w:rPr>
        <w:t>under </w:t>
      </w:r>
      <w:r>
        <w:rPr>
          <w:spacing w:val="-3"/>
          <w:sz w:val="21"/>
        </w:rPr>
        <w:t>the </w:t>
      </w:r>
      <w:r>
        <w:rPr>
          <w:spacing w:val="-6"/>
          <w:sz w:val="21"/>
        </w:rPr>
        <w:t>Tasmanian </w:t>
      </w:r>
      <w:r>
        <w:rPr>
          <w:sz w:val="21"/>
        </w:rPr>
        <w:t>Act </w:t>
      </w:r>
      <w:r>
        <w:rPr>
          <w:spacing w:val="-4"/>
          <w:sz w:val="21"/>
        </w:rPr>
        <w:t>largely </w:t>
      </w:r>
      <w:r>
        <w:rPr>
          <w:spacing w:val="-5"/>
          <w:sz w:val="21"/>
        </w:rPr>
        <w:t>mirror </w:t>
      </w:r>
      <w:r>
        <w:rPr>
          <w:spacing w:val="-3"/>
          <w:sz w:val="21"/>
        </w:rPr>
        <w:t>those </w:t>
      </w:r>
      <w:r>
        <w:rPr>
          <w:spacing w:val="-4"/>
          <w:sz w:val="21"/>
        </w:rPr>
        <w:t>that </w:t>
      </w:r>
      <w:r>
        <w:rPr>
          <w:spacing w:val="-6"/>
          <w:sz w:val="21"/>
        </w:rPr>
        <w:t>QCAT </w:t>
      </w:r>
      <w:r>
        <w:rPr>
          <w:spacing w:val="-4"/>
          <w:sz w:val="21"/>
        </w:rPr>
        <w:t>may  </w:t>
      </w:r>
      <w:r>
        <w:rPr>
          <w:spacing w:val="-5"/>
          <w:sz w:val="21"/>
        </w:rPr>
        <w:t>make  </w:t>
      </w:r>
      <w:r>
        <w:rPr>
          <w:spacing w:val="-4"/>
          <w:sz w:val="21"/>
        </w:rPr>
        <w:t>under  </w:t>
      </w:r>
      <w:r>
        <w:rPr>
          <w:spacing w:val="-3"/>
          <w:sz w:val="21"/>
        </w:rPr>
        <w:t>the </w:t>
      </w:r>
      <w:r>
        <w:rPr>
          <w:spacing w:val="-5"/>
          <w:sz w:val="21"/>
        </w:rPr>
        <w:t>Queensland </w:t>
      </w:r>
      <w:r>
        <w:rPr>
          <w:spacing w:val="-7"/>
          <w:sz w:val="21"/>
        </w:rPr>
        <w:t>Act.</w:t>
      </w:r>
      <w:r>
        <w:rPr>
          <w:spacing w:val="-7"/>
          <w:position w:val="7"/>
          <w:sz w:val="12"/>
        </w:rPr>
        <w:t>16 </w:t>
      </w:r>
      <w:r>
        <w:rPr>
          <w:spacing w:val="-2"/>
          <w:sz w:val="21"/>
        </w:rPr>
        <w:t>The </w:t>
      </w:r>
      <w:r>
        <w:rPr>
          <w:spacing w:val="-6"/>
          <w:sz w:val="21"/>
        </w:rPr>
        <w:t>Tasmanian </w:t>
      </w:r>
      <w:r>
        <w:rPr>
          <w:sz w:val="21"/>
        </w:rPr>
        <w:t>Act </w:t>
      </w:r>
      <w:r>
        <w:rPr>
          <w:spacing w:val="-4"/>
          <w:sz w:val="21"/>
        </w:rPr>
        <w:t>provides </w:t>
      </w:r>
      <w:r>
        <w:rPr>
          <w:spacing w:val="-3"/>
          <w:sz w:val="21"/>
        </w:rPr>
        <w:t>an </w:t>
      </w:r>
      <w:r>
        <w:rPr>
          <w:spacing w:val="-4"/>
          <w:sz w:val="21"/>
        </w:rPr>
        <w:t>order </w:t>
      </w:r>
      <w:r>
        <w:rPr>
          <w:spacing w:val="-3"/>
          <w:sz w:val="21"/>
        </w:rPr>
        <w:t>is  </w:t>
      </w:r>
      <w:r>
        <w:rPr>
          <w:spacing w:val="-4"/>
          <w:sz w:val="21"/>
        </w:rPr>
        <w:t>not  to  </w:t>
      </w:r>
      <w:r>
        <w:rPr>
          <w:sz w:val="21"/>
        </w:rPr>
        <w:t>be  </w:t>
      </w:r>
      <w:r>
        <w:rPr>
          <w:spacing w:val="-3"/>
          <w:sz w:val="21"/>
        </w:rPr>
        <w:t>made  </w:t>
      </w:r>
      <w:r>
        <w:rPr>
          <w:spacing w:val="-5"/>
          <w:sz w:val="21"/>
        </w:rPr>
        <w:t>requiring  </w:t>
      </w:r>
      <w:r>
        <w:rPr>
          <w:spacing w:val="-3"/>
          <w:sz w:val="21"/>
        </w:rPr>
        <w:t>the </w:t>
      </w:r>
      <w:r>
        <w:rPr>
          <w:spacing w:val="-5"/>
          <w:sz w:val="21"/>
        </w:rPr>
        <w:t>removal </w:t>
      </w:r>
      <w:r>
        <w:rPr>
          <w:sz w:val="21"/>
        </w:rPr>
        <w:t>or </w:t>
      </w:r>
      <w:r>
        <w:rPr>
          <w:spacing w:val="-3"/>
          <w:sz w:val="21"/>
        </w:rPr>
        <w:t>destruction of </w:t>
      </w:r>
      <w:r>
        <w:rPr>
          <w:sz w:val="21"/>
        </w:rPr>
        <w:t>a </w:t>
      </w:r>
      <w:r>
        <w:rPr>
          <w:spacing w:val="-4"/>
          <w:sz w:val="21"/>
        </w:rPr>
        <w:t>living </w:t>
      </w:r>
      <w:r>
        <w:rPr>
          <w:spacing w:val="-5"/>
          <w:sz w:val="21"/>
        </w:rPr>
        <w:t>plant </w:t>
      </w:r>
      <w:r>
        <w:rPr>
          <w:spacing w:val="-4"/>
          <w:sz w:val="21"/>
        </w:rPr>
        <w:t>to which </w:t>
      </w:r>
      <w:r>
        <w:rPr>
          <w:spacing w:val="-3"/>
          <w:sz w:val="21"/>
        </w:rPr>
        <w:t>the  </w:t>
      </w:r>
      <w:r>
        <w:rPr>
          <w:spacing w:val="-4"/>
          <w:sz w:val="21"/>
        </w:rPr>
        <w:t>order  </w:t>
      </w:r>
      <w:r>
        <w:rPr>
          <w:spacing w:val="-5"/>
          <w:sz w:val="21"/>
        </w:rPr>
        <w:t>relates  </w:t>
      </w:r>
      <w:r>
        <w:rPr>
          <w:spacing w:val="-4"/>
          <w:sz w:val="21"/>
        </w:rPr>
        <w:t>unless  </w:t>
      </w:r>
      <w:r>
        <w:rPr>
          <w:spacing w:val="-3"/>
          <w:sz w:val="21"/>
        </w:rPr>
        <w:t>the  </w:t>
      </w:r>
      <w:r>
        <w:rPr>
          <w:spacing w:val="-6"/>
          <w:sz w:val="21"/>
        </w:rPr>
        <w:t>Tribunal  </w:t>
      </w:r>
      <w:r>
        <w:rPr>
          <w:spacing w:val="-3"/>
          <w:sz w:val="21"/>
        </w:rPr>
        <w:t>is satisfied</w:t>
      </w:r>
      <w:r>
        <w:rPr>
          <w:spacing w:val="23"/>
          <w:sz w:val="21"/>
        </w:rPr>
        <w:t> </w:t>
      </w:r>
      <w:r>
        <w:rPr>
          <w:spacing w:val="-4"/>
          <w:sz w:val="21"/>
        </w:rPr>
        <w:t>that</w:t>
      </w:r>
      <w:r>
        <w:rPr>
          <w:spacing w:val="24"/>
          <w:sz w:val="21"/>
        </w:rPr>
        <w:t> </w:t>
      </w:r>
      <w:r>
        <w:rPr>
          <w:spacing w:val="-3"/>
          <w:sz w:val="21"/>
        </w:rPr>
        <w:t>the</w:t>
      </w:r>
      <w:r>
        <w:rPr>
          <w:spacing w:val="23"/>
          <w:sz w:val="21"/>
        </w:rPr>
        <w:t> </w:t>
      </w:r>
      <w:r>
        <w:rPr>
          <w:spacing w:val="-4"/>
          <w:sz w:val="21"/>
        </w:rPr>
        <w:t>purpose</w:t>
      </w:r>
      <w:r>
        <w:rPr>
          <w:spacing w:val="24"/>
          <w:sz w:val="21"/>
        </w:rPr>
        <w:t> </w:t>
      </w:r>
      <w:r>
        <w:rPr>
          <w:spacing w:val="-4"/>
          <w:sz w:val="21"/>
        </w:rPr>
        <w:t>for</w:t>
      </w:r>
      <w:r>
        <w:rPr>
          <w:spacing w:val="23"/>
          <w:sz w:val="21"/>
        </w:rPr>
        <w:t> </w:t>
      </w:r>
      <w:r>
        <w:rPr>
          <w:spacing w:val="-4"/>
          <w:sz w:val="21"/>
        </w:rPr>
        <w:t>which</w:t>
      </w:r>
      <w:r>
        <w:rPr>
          <w:spacing w:val="24"/>
          <w:sz w:val="21"/>
        </w:rPr>
        <w:t> </w:t>
      </w:r>
      <w:r>
        <w:rPr>
          <w:spacing w:val="-3"/>
          <w:sz w:val="21"/>
        </w:rPr>
        <w:t>the</w:t>
      </w:r>
      <w:r>
        <w:rPr>
          <w:spacing w:val="23"/>
          <w:sz w:val="21"/>
        </w:rPr>
        <w:t> </w:t>
      </w:r>
      <w:r>
        <w:rPr>
          <w:spacing w:val="-4"/>
          <w:sz w:val="21"/>
        </w:rPr>
        <w:t>application</w:t>
      </w:r>
      <w:r>
        <w:rPr>
          <w:spacing w:val="24"/>
          <w:sz w:val="21"/>
        </w:rPr>
        <w:t> </w:t>
      </w:r>
      <w:r>
        <w:rPr>
          <w:spacing w:val="-3"/>
          <w:sz w:val="21"/>
        </w:rPr>
        <w:t>was</w:t>
      </w:r>
      <w:r>
        <w:rPr>
          <w:spacing w:val="23"/>
          <w:sz w:val="21"/>
        </w:rPr>
        <w:t> </w:t>
      </w:r>
      <w:r>
        <w:rPr>
          <w:spacing w:val="-4"/>
          <w:sz w:val="21"/>
        </w:rPr>
        <w:t>sought</w:t>
      </w:r>
      <w:r>
        <w:rPr>
          <w:spacing w:val="24"/>
          <w:sz w:val="21"/>
        </w:rPr>
        <w:t> </w:t>
      </w:r>
      <w:r>
        <w:rPr>
          <w:spacing w:val="-4"/>
          <w:sz w:val="21"/>
        </w:rPr>
        <w:t>could</w:t>
      </w:r>
      <w:r>
        <w:rPr>
          <w:spacing w:val="24"/>
          <w:sz w:val="21"/>
        </w:rPr>
        <w:t> </w:t>
      </w:r>
      <w:r>
        <w:rPr>
          <w:spacing w:val="-4"/>
          <w:sz w:val="21"/>
        </w:rPr>
        <w:t>not</w:t>
      </w:r>
      <w:r>
        <w:rPr>
          <w:spacing w:val="23"/>
          <w:sz w:val="21"/>
        </w:rPr>
        <w:t> </w:t>
      </w:r>
      <w:r>
        <w:rPr>
          <w:spacing w:val="-3"/>
          <w:sz w:val="21"/>
        </w:rPr>
        <w:t>otherwise</w:t>
      </w:r>
      <w:r>
        <w:rPr>
          <w:spacing w:val="24"/>
          <w:sz w:val="21"/>
        </w:rPr>
        <w:t> </w:t>
      </w:r>
      <w:r>
        <w:rPr>
          <w:sz w:val="21"/>
        </w:rPr>
        <w:t>be</w:t>
      </w:r>
      <w:r>
        <w:rPr>
          <w:spacing w:val="23"/>
          <w:sz w:val="21"/>
        </w:rPr>
        <w:t> </w:t>
      </w:r>
      <w:r>
        <w:rPr>
          <w:spacing w:val="-9"/>
          <w:sz w:val="21"/>
        </w:rPr>
        <w:t>met.</w:t>
      </w:r>
      <w:r>
        <w:rPr>
          <w:spacing w:val="-9"/>
          <w:position w:val="7"/>
          <w:sz w:val="12"/>
        </w:rPr>
        <w:t>17</w:t>
      </w:r>
    </w:p>
    <w:p>
      <w:pPr>
        <w:pStyle w:val="ListParagraph"/>
        <w:numPr>
          <w:ilvl w:val="1"/>
          <w:numId w:val="16"/>
        </w:numPr>
        <w:tabs>
          <w:tab w:pos="2380" w:val="left" w:leader="none"/>
          <w:tab w:pos="2381" w:val="left" w:leader="none"/>
        </w:tabs>
        <w:spacing w:line="242" w:lineRule="auto" w:before="124" w:after="0"/>
        <w:ind w:left="2381" w:right="1842" w:hanging="794"/>
        <w:jc w:val="left"/>
        <w:rPr>
          <w:sz w:val="21"/>
        </w:rPr>
      </w:pPr>
      <w:r>
        <w:rPr>
          <w:sz w:val="21"/>
        </w:rPr>
        <w:t>In </w:t>
      </w:r>
      <w:r>
        <w:rPr>
          <w:spacing w:val="-6"/>
          <w:sz w:val="21"/>
        </w:rPr>
        <w:t>RMPAT </w:t>
      </w:r>
      <w:r>
        <w:rPr>
          <w:sz w:val="21"/>
        </w:rPr>
        <w:t>each party is </w:t>
      </w:r>
      <w:r>
        <w:rPr>
          <w:spacing w:val="-3"/>
          <w:sz w:val="21"/>
        </w:rPr>
        <w:t>to </w:t>
      </w:r>
      <w:r>
        <w:rPr>
          <w:spacing w:val="-2"/>
          <w:sz w:val="21"/>
        </w:rPr>
        <w:t>pay </w:t>
      </w:r>
      <w:r>
        <w:rPr>
          <w:sz w:val="21"/>
        </w:rPr>
        <w:t>its own costs. The </w:t>
      </w:r>
      <w:r>
        <w:rPr>
          <w:spacing w:val="-5"/>
          <w:sz w:val="21"/>
        </w:rPr>
        <w:t>Tribunal </w:t>
      </w:r>
      <w:r>
        <w:rPr>
          <w:spacing w:val="-3"/>
          <w:sz w:val="21"/>
        </w:rPr>
        <w:t>may </w:t>
      </w:r>
      <w:r>
        <w:rPr>
          <w:sz w:val="21"/>
        </w:rPr>
        <w:t>order costs if it considers </w:t>
      </w:r>
      <w:r>
        <w:rPr>
          <w:spacing w:val="-3"/>
          <w:sz w:val="21"/>
        </w:rPr>
        <w:t>that </w:t>
      </w:r>
      <w:r>
        <w:rPr>
          <w:sz w:val="21"/>
        </w:rPr>
        <w:t>it is </w:t>
      </w:r>
      <w:r>
        <w:rPr>
          <w:spacing w:val="-4"/>
          <w:sz w:val="21"/>
        </w:rPr>
        <w:t>fair </w:t>
      </w:r>
      <w:r>
        <w:rPr>
          <w:sz w:val="21"/>
        </w:rPr>
        <w:t>and </w:t>
      </w:r>
      <w:r>
        <w:rPr>
          <w:spacing w:val="-3"/>
          <w:sz w:val="21"/>
        </w:rPr>
        <w:t>reasonable to </w:t>
      </w:r>
      <w:r>
        <w:rPr>
          <w:sz w:val="21"/>
        </w:rPr>
        <w:t>do</w:t>
      </w:r>
      <w:r>
        <w:rPr>
          <w:spacing w:val="42"/>
          <w:sz w:val="21"/>
        </w:rPr>
        <w:t> </w:t>
      </w:r>
      <w:r>
        <w:rPr>
          <w:spacing w:val="-7"/>
          <w:sz w:val="21"/>
        </w:rPr>
        <w:t>so.</w:t>
      </w:r>
      <w:r>
        <w:rPr>
          <w:spacing w:val="-7"/>
          <w:position w:val="7"/>
          <w:sz w:val="12"/>
        </w:rPr>
        <w:t>18</w:t>
      </w:r>
    </w:p>
    <w:p>
      <w:pPr>
        <w:pStyle w:val="BodyText"/>
        <w:spacing w:before="9"/>
      </w:pPr>
    </w:p>
    <w:p>
      <w:pPr>
        <w:pStyle w:val="Heading4"/>
      </w:pPr>
      <w:r>
        <w:rPr>
          <w:color w:val="658464"/>
          <w:w w:val="115"/>
        </w:rPr>
        <w:t>Community responses—orders available</w:t>
      </w:r>
    </w:p>
    <w:p>
      <w:pPr>
        <w:pStyle w:val="ListParagraph"/>
        <w:numPr>
          <w:ilvl w:val="1"/>
          <w:numId w:val="16"/>
        </w:numPr>
        <w:tabs>
          <w:tab w:pos="2381" w:val="left" w:leader="none"/>
          <w:tab w:pos="2382" w:val="left" w:leader="none"/>
        </w:tabs>
        <w:spacing w:line="242" w:lineRule="auto" w:before="155" w:after="0"/>
        <w:ind w:left="2381" w:right="1508" w:hanging="794"/>
        <w:jc w:val="left"/>
        <w:rPr>
          <w:sz w:val="21"/>
        </w:rPr>
      </w:pPr>
      <w:r>
        <w:rPr>
          <w:w w:val="105"/>
          <w:sz w:val="21"/>
        </w:rPr>
        <w:t>The</w:t>
      </w:r>
      <w:r>
        <w:rPr>
          <w:spacing w:val="-8"/>
          <w:w w:val="105"/>
          <w:sz w:val="21"/>
        </w:rPr>
        <w:t> </w:t>
      </w:r>
      <w:r>
        <w:rPr>
          <w:spacing w:val="-3"/>
          <w:w w:val="105"/>
          <w:sz w:val="21"/>
        </w:rPr>
        <w:t>Commission</w:t>
      </w:r>
      <w:r>
        <w:rPr>
          <w:spacing w:val="-8"/>
          <w:w w:val="105"/>
          <w:sz w:val="21"/>
        </w:rPr>
        <w:t> </w:t>
      </w:r>
      <w:r>
        <w:rPr>
          <w:w w:val="105"/>
          <w:sz w:val="21"/>
        </w:rPr>
        <w:t>received</w:t>
      </w:r>
      <w:r>
        <w:rPr>
          <w:spacing w:val="-8"/>
          <w:w w:val="105"/>
          <w:sz w:val="21"/>
        </w:rPr>
        <w:t> </w:t>
      </w:r>
      <w:r>
        <w:rPr>
          <w:w w:val="105"/>
          <w:sz w:val="21"/>
        </w:rPr>
        <w:t>a</w:t>
      </w:r>
      <w:r>
        <w:rPr>
          <w:spacing w:val="-8"/>
          <w:w w:val="105"/>
          <w:sz w:val="21"/>
        </w:rPr>
        <w:t> </w:t>
      </w:r>
      <w:r>
        <w:rPr>
          <w:w w:val="105"/>
          <w:sz w:val="21"/>
        </w:rPr>
        <w:t>number</w:t>
      </w:r>
      <w:r>
        <w:rPr>
          <w:spacing w:val="-8"/>
          <w:w w:val="105"/>
          <w:sz w:val="21"/>
        </w:rPr>
        <w:t> </w:t>
      </w:r>
      <w:r>
        <w:rPr>
          <w:w w:val="105"/>
          <w:sz w:val="21"/>
        </w:rPr>
        <w:t>of</w:t>
      </w:r>
      <w:r>
        <w:rPr>
          <w:spacing w:val="-8"/>
          <w:w w:val="105"/>
          <w:sz w:val="21"/>
        </w:rPr>
        <w:t> </w:t>
      </w:r>
      <w:r>
        <w:rPr>
          <w:w w:val="105"/>
          <w:sz w:val="21"/>
        </w:rPr>
        <w:t>suggestions</w:t>
      </w:r>
      <w:r>
        <w:rPr>
          <w:spacing w:val="-8"/>
          <w:w w:val="105"/>
          <w:sz w:val="21"/>
        </w:rPr>
        <w:t> </w:t>
      </w:r>
      <w:r>
        <w:rPr>
          <w:w w:val="105"/>
          <w:sz w:val="21"/>
        </w:rPr>
        <w:t>in</w:t>
      </w:r>
      <w:r>
        <w:rPr>
          <w:spacing w:val="-8"/>
          <w:w w:val="105"/>
          <w:sz w:val="21"/>
        </w:rPr>
        <w:t> </w:t>
      </w:r>
      <w:r>
        <w:rPr>
          <w:w w:val="105"/>
          <w:sz w:val="21"/>
        </w:rPr>
        <w:t>response</w:t>
      </w:r>
      <w:r>
        <w:rPr>
          <w:spacing w:val="-8"/>
          <w:w w:val="105"/>
          <w:sz w:val="21"/>
        </w:rPr>
        <w:t> </w:t>
      </w:r>
      <w:r>
        <w:rPr>
          <w:spacing w:val="-3"/>
          <w:w w:val="105"/>
          <w:sz w:val="21"/>
        </w:rPr>
        <w:t>to</w:t>
      </w:r>
      <w:r>
        <w:rPr>
          <w:spacing w:val="-8"/>
          <w:w w:val="105"/>
          <w:sz w:val="21"/>
        </w:rPr>
        <w:t> </w:t>
      </w:r>
      <w:r>
        <w:rPr>
          <w:w w:val="105"/>
          <w:sz w:val="21"/>
        </w:rPr>
        <w:t>the</w:t>
      </w:r>
      <w:r>
        <w:rPr>
          <w:spacing w:val="-8"/>
          <w:w w:val="105"/>
          <w:sz w:val="21"/>
        </w:rPr>
        <w:t> </w:t>
      </w:r>
      <w:r>
        <w:rPr>
          <w:w w:val="105"/>
          <w:sz w:val="21"/>
        </w:rPr>
        <w:t>question</w:t>
      </w:r>
      <w:r>
        <w:rPr>
          <w:spacing w:val="-8"/>
          <w:w w:val="105"/>
          <w:sz w:val="21"/>
        </w:rPr>
        <w:t> </w:t>
      </w:r>
      <w:r>
        <w:rPr>
          <w:w w:val="105"/>
          <w:sz w:val="21"/>
        </w:rPr>
        <w:t>about</w:t>
      </w:r>
      <w:r>
        <w:rPr>
          <w:spacing w:val="-8"/>
          <w:w w:val="105"/>
          <w:sz w:val="21"/>
        </w:rPr>
        <w:t> </w:t>
      </w:r>
      <w:r>
        <w:rPr>
          <w:w w:val="105"/>
          <w:sz w:val="21"/>
        </w:rPr>
        <w:t>what types of orders should be </w:t>
      </w:r>
      <w:r>
        <w:rPr>
          <w:spacing w:val="-3"/>
          <w:w w:val="105"/>
          <w:sz w:val="21"/>
        </w:rPr>
        <w:t>available </w:t>
      </w:r>
      <w:r>
        <w:rPr>
          <w:w w:val="105"/>
          <w:sz w:val="21"/>
        </w:rPr>
        <w:t>under a new </w:t>
      </w:r>
      <w:r>
        <w:rPr>
          <w:spacing w:val="-5"/>
          <w:w w:val="105"/>
          <w:sz w:val="21"/>
        </w:rPr>
        <w:t>Act.</w:t>
      </w:r>
      <w:r>
        <w:rPr>
          <w:spacing w:val="-5"/>
          <w:w w:val="105"/>
          <w:position w:val="7"/>
          <w:sz w:val="12"/>
        </w:rPr>
        <w:t>19 </w:t>
      </w:r>
      <w:r>
        <w:rPr>
          <w:w w:val="105"/>
          <w:sz w:val="21"/>
        </w:rPr>
        <w:t>Suggestions </w:t>
      </w:r>
      <w:r>
        <w:rPr>
          <w:spacing w:val="-3"/>
          <w:w w:val="105"/>
          <w:sz w:val="21"/>
        </w:rPr>
        <w:t>included that </w:t>
      </w:r>
      <w:r>
        <w:rPr>
          <w:w w:val="105"/>
          <w:sz w:val="21"/>
        </w:rPr>
        <w:t>orders should provide</w:t>
      </w:r>
      <w:r>
        <w:rPr>
          <w:spacing w:val="10"/>
          <w:w w:val="105"/>
          <w:sz w:val="21"/>
        </w:rPr>
        <w:t> </w:t>
      </w:r>
      <w:r>
        <w:rPr>
          <w:spacing w:val="-3"/>
          <w:w w:val="105"/>
          <w:sz w:val="21"/>
        </w:rPr>
        <w:t>for:</w:t>
      </w:r>
    </w:p>
    <w:p>
      <w:pPr>
        <w:pStyle w:val="ListParagraph"/>
        <w:numPr>
          <w:ilvl w:val="2"/>
          <w:numId w:val="16"/>
        </w:numPr>
        <w:tabs>
          <w:tab w:pos="2721" w:val="left" w:leader="none"/>
          <w:tab w:pos="2722" w:val="left" w:leader="none"/>
        </w:tabs>
        <w:spacing w:line="240" w:lineRule="auto" w:before="124" w:after="0"/>
        <w:ind w:left="2721" w:right="0" w:hanging="340"/>
        <w:jc w:val="left"/>
        <w:rPr>
          <w:sz w:val="21"/>
        </w:rPr>
      </w:pPr>
      <w:r>
        <w:rPr>
          <w:spacing w:val="-3"/>
          <w:w w:val="105"/>
          <w:sz w:val="21"/>
        </w:rPr>
        <w:t>pruning </w:t>
      </w:r>
      <w:r>
        <w:rPr>
          <w:w w:val="105"/>
          <w:sz w:val="21"/>
        </w:rPr>
        <w:t>or other </w:t>
      </w:r>
      <w:r>
        <w:rPr>
          <w:spacing w:val="-3"/>
          <w:w w:val="105"/>
          <w:sz w:val="21"/>
        </w:rPr>
        <w:t>maintenance </w:t>
      </w:r>
      <w:r>
        <w:rPr>
          <w:w w:val="105"/>
          <w:sz w:val="21"/>
        </w:rPr>
        <w:t>of the</w:t>
      </w:r>
      <w:r>
        <w:rPr>
          <w:spacing w:val="35"/>
          <w:w w:val="105"/>
          <w:sz w:val="21"/>
        </w:rPr>
        <w:t> </w:t>
      </w:r>
      <w:r>
        <w:rPr>
          <w:w w:val="105"/>
          <w:sz w:val="21"/>
        </w:rPr>
        <w:t>tree</w:t>
      </w:r>
      <w:r>
        <w:rPr>
          <w:w w:val="105"/>
          <w:position w:val="7"/>
          <w:sz w:val="12"/>
        </w:rPr>
        <w:t>20</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pacing w:val="-3"/>
          <w:w w:val="105"/>
          <w:sz w:val="21"/>
        </w:rPr>
        <w:t>removal </w:t>
      </w:r>
      <w:r>
        <w:rPr>
          <w:w w:val="105"/>
          <w:sz w:val="21"/>
        </w:rPr>
        <w:t>of the</w:t>
      </w:r>
      <w:r>
        <w:rPr>
          <w:spacing w:val="18"/>
          <w:w w:val="105"/>
          <w:sz w:val="21"/>
        </w:rPr>
        <w:t> </w:t>
      </w:r>
      <w:r>
        <w:rPr>
          <w:spacing w:val="-3"/>
          <w:w w:val="105"/>
          <w:sz w:val="21"/>
        </w:rPr>
        <w:t>tree</w:t>
      </w:r>
      <w:r>
        <w:rPr>
          <w:spacing w:val="-3"/>
          <w:w w:val="105"/>
          <w:position w:val="7"/>
          <w:sz w:val="12"/>
        </w:rPr>
        <w:t>21</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w w:val="105"/>
          <w:sz w:val="21"/>
        </w:rPr>
        <w:t>installation </w:t>
      </w:r>
      <w:r>
        <w:rPr>
          <w:w w:val="105"/>
          <w:sz w:val="21"/>
        </w:rPr>
        <w:t>of root</w:t>
      </w:r>
      <w:r>
        <w:rPr>
          <w:spacing w:val="18"/>
          <w:w w:val="105"/>
          <w:sz w:val="21"/>
        </w:rPr>
        <w:t> </w:t>
      </w:r>
      <w:r>
        <w:rPr>
          <w:w w:val="105"/>
          <w:sz w:val="21"/>
        </w:rPr>
        <w:t>barriers</w:t>
      </w:r>
      <w:r>
        <w:rPr>
          <w:w w:val="105"/>
          <w:position w:val="7"/>
          <w:sz w:val="12"/>
        </w:rPr>
        <w:t>22</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recovery of costs </w:t>
      </w:r>
      <w:r>
        <w:rPr>
          <w:spacing w:val="-3"/>
          <w:w w:val="105"/>
          <w:sz w:val="21"/>
        </w:rPr>
        <w:t>for </w:t>
      </w:r>
      <w:r>
        <w:rPr>
          <w:w w:val="105"/>
          <w:sz w:val="21"/>
        </w:rPr>
        <w:t>ongoing tree</w:t>
      </w:r>
      <w:r>
        <w:rPr>
          <w:spacing w:val="31"/>
          <w:w w:val="105"/>
          <w:sz w:val="21"/>
        </w:rPr>
        <w:t> </w:t>
      </w:r>
      <w:r>
        <w:rPr>
          <w:spacing w:val="-3"/>
          <w:w w:val="105"/>
          <w:sz w:val="21"/>
        </w:rPr>
        <w:t>maintenance</w:t>
      </w:r>
      <w:r>
        <w:rPr>
          <w:spacing w:val="-3"/>
          <w:w w:val="105"/>
          <w:position w:val="7"/>
          <w:sz w:val="12"/>
        </w:rPr>
        <w:t>23</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w w:val="105"/>
          <w:sz w:val="21"/>
        </w:rPr>
        <w:t>orders </w:t>
      </w:r>
      <w:r>
        <w:rPr>
          <w:spacing w:val="-3"/>
          <w:w w:val="105"/>
          <w:sz w:val="21"/>
        </w:rPr>
        <w:t>that mirrored </w:t>
      </w:r>
      <w:r>
        <w:rPr>
          <w:w w:val="105"/>
          <w:sz w:val="21"/>
        </w:rPr>
        <w:t>the NSW</w:t>
      </w:r>
      <w:r>
        <w:rPr>
          <w:spacing w:val="31"/>
          <w:w w:val="105"/>
          <w:sz w:val="21"/>
        </w:rPr>
        <w:t> </w:t>
      </w:r>
      <w:r>
        <w:rPr>
          <w:spacing w:val="-3"/>
          <w:w w:val="105"/>
          <w:sz w:val="21"/>
        </w:rPr>
        <w:t>approach</w:t>
      </w:r>
      <w:r>
        <w:rPr>
          <w:spacing w:val="-3"/>
          <w:w w:val="105"/>
          <w:position w:val="7"/>
          <w:sz w:val="12"/>
        </w:rPr>
        <w:t>24</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the </w:t>
      </w:r>
      <w:r>
        <w:rPr>
          <w:spacing w:val="-3"/>
          <w:w w:val="105"/>
          <w:sz w:val="21"/>
        </w:rPr>
        <w:t>replacement planting </w:t>
      </w:r>
      <w:r>
        <w:rPr>
          <w:w w:val="105"/>
          <w:sz w:val="21"/>
        </w:rPr>
        <w:t>of</w:t>
      </w:r>
      <w:r>
        <w:rPr>
          <w:spacing w:val="26"/>
          <w:w w:val="105"/>
          <w:sz w:val="21"/>
        </w:rPr>
        <w:t> </w:t>
      </w:r>
      <w:r>
        <w:rPr>
          <w:w w:val="105"/>
          <w:sz w:val="21"/>
        </w:rPr>
        <w:t>trees.</w:t>
      </w:r>
      <w:r>
        <w:rPr>
          <w:w w:val="105"/>
          <w:position w:val="7"/>
          <w:sz w:val="12"/>
        </w:rPr>
        <w:t>25</w:t>
      </w:r>
    </w:p>
    <w:p>
      <w:pPr>
        <w:pStyle w:val="ListParagraph"/>
        <w:numPr>
          <w:ilvl w:val="1"/>
          <w:numId w:val="16"/>
        </w:numPr>
        <w:tabs>
          <w:tab w:pos="2380" w:val="left" w:leader="none"/>
          <w:tab w:pos="2381" w:val="left" w:leader="none"/>
        </w:tabs>
        <w:spacing w:line="242" w:lineRule="auto" w:before="89" w:after="0"/>
        <w:ind w:left="2381" w:right="1708" w:hanging="794"/>
        <w:jc w:val="left"/>
        <w:rPr>
          <w:sz w:val="21"/>
        </w:rPr>
      </w:pPr>
      <w:r>
        <w:rPr>
          <w:w w:val="105"/>
          <w:sz w:val="21"/>
        </w:rPr>
        <w:t>Some community members </w:t>
      </w:r>
      <w:r>
        <w:rPr>
          <w:spacing w:val="-3"/>
          <w:w w:val="105"/>
          <w:sz w:val="21"/>
        </w:rPr>
        <w:t>were </w:t>
      </w:r>
      <w:r>
        <w:rPr>
          <w:w w:val="105"/>
          <w:sz w:val="21"/>
        </w:rPr>
        <w:t>cautious about trees being removed too </w:t>
      </w:r>
      <w:r>
        <w:rPr>
          <w:spacing w:val="-3"/>
          <w:w w:val="105"/>
          <w:sz w:val="21"/>
        </w:rPr>
        <w:t>readily </w:t>
      </w:r>
      <w:r>
        <w:rPr>
          <w:w w:val="105"/>
          <w:sz w:val="21"/>
        </w:rPr>
        <w:t>and </w:t>
      </w:r>
      <w:r>
        <w:rPr>
          <w:spacing w:val="-3"/>
          <w:w w:val="105"/>
          <w:sz w:val="21"/>
        </w:rPr>
        <w:t>thought</w:t>
      </w:r>
      <w:r>
        <w:rPr>
          <w:spacing w:val="-7"/>
          <w:w w:val="105"/>
          <w:sz w:val="21"/>
        </w:rPr>
        <w:t> </w:t>
      </w:r>
      <w:r>
        <w:rPr>
          <w:w w:val="105"/>
          <w:sz w:val="21"/>
        </w:rPr>
        <w:t>other</w:t>
      </w:r>
      <w:r>
        <w:rPr>
          <w:spacing w:val="-7"/>
          <w:w w:val="105"/>
          <w:sz w:val="21"/>
        </w:rPr>
        <w:t> </w:t>
      </w:r>
      <w:r>
        <w:rPr>
          <w:w w:val="105"/>
          <w:sz w:val="21"/>
        </w:rPr>
        <w:t>remedies</w:t>
      </w:r>
      <w:r>
        <w:rPr>
          <w:spacing w:val="-7"/>
          <w:w w:val="105"/>
          <w:sz w:val="21"/>
        </w:rPr>
        <w:t> </w:t>
      </w:r>
      <w:r>
        <w:rPr>
          <w:w w:val="105"/>
          <w:sz w:val="21"/>
        </w:rPr>
        <w:t>should</w:t>
      </w:r>
      <w:r>
        <w:rPr>
          <w:spacing w:val="-7"/>
          <w:w w:val="105"/>
          <w:sz w:val="21"/>
        </w:rPr>
        <w:t> </w:t>
      </w:r>
      <w:r>
        <w:rPr>
          <w:w w:val="105"/>
          <w:sz w:val="21"/>
        </w:rPr>
        <w:t>be</w:t>
      </w:r>
      <w:r>
        <w:rPr>
          <w:spacing w:val="-7"/>
          <w:w w:val="105"/>
          <w:sz w:val="21"/>
        </w:rPr>
        <w:t> </w:t>
      </w:r>
      <w:r>
        <w:rPr>
          <w:w w:val="105"/>
          <w:sz w:val="21"/>
        </w:rPr>
        <w:t>explored</w:t>
      </w:r>
      <w:r>
        <w:rPr>
          <w:spacing w:val="-7"/>
          <w:w w:val="105"/>
          <w:sz w:val="21"/>
        </w:rPr>
        <w:t> </w:t>
      </w:r>
      <w:r>
        <w:rPr>
          <w:w w:val="105"/>
          <w:sz w:val="21"/>
        </w:rPr>
        <w:t>first.</w:t>
      </w:r>
      <w:r>
        <w:rPr>
          <w:w w:val="105"/>
          <w:position w:val="7"/>
          <w:sz w:val="12"/>
        </w:rPr>
        <w:t>26</w:t>
      </w:r>
      <w:r>
        <w:rPr>
          <w:spacing w:val="16"/>
          <w:w w:val="105"/>
          <w:position w:val="7"/>
          <w:sz w:val="12"/>
        </w:rPr>
        <w:t> </w:t>
      </w:r>
      <w:r>
        <w:rPr>
          <w:w w:val="105"/>
          <w:sz w:val="21"/>
        </w:rPr>
        <w:t>For</w:t>
      </w:r>
      <w:r>
        <w:rPr>
          <w:spacing w:val="-7"/>
          <w:w w:val="105"/>
          <w:sz w:val="21"/>
        </w:rPr>
        <w:t> </w:t>
      </w:r>
      <w:r>
        <w:rPr>
          <w:spacing w:val="-3"/>
          <w:w w:val="105"/>
          <w:sz w:val="21"/>
        </w:rPr>
        <w:t>example,</w:t>
      </w:r>
      <w:r>
        <w:rPr>
          <w:spacing w:val="-7"/>
          <w:w w:val="105"/>
          <w:sz w:val="21"/>
        </w:rPr>
        <w:t> </w:t>
      </w:r>
      <w:r>
        <w:rPr>
          <w:w w:val="105"/>
          <w:sz w:val="21"/>
        </w:rPr>
        <w:t>Dr</w:t>
      </w:r>
      <w:r>
        <w:rPr>
          <w:spacing w:val="-7"/>
          <w:w w:val="105"/>
          <w:sz w:val="21"/>
        </w:rPr>
        <w:t> </w:t>
      </w:r>
      <w:r>
        <w:rPr>
          <w:w w:val="105"/>
          <w:sz w:val="21"/>
        </w:rPr>
        <w:t>Gregory</w:t>
      </w:r>
      <w:r>
        <w:rPr>
          <w:spacing w:val="-7"/>
          <w:w w:val="105"/>
          <w:sz w:val="21"/>
        </w:rPr>
        <w:t> </w:t>
      </w:r>
      <w:r>
        <w:rPr>
          <w:w w:val="105"/>
          <w:sz w:val="21"/>
        </w:rPr>
        <w:t>Moore</w:t>
      </w:r>
      <w:r>
        <w:rPr>
          <w:spacing w:val="-7"/>
          <w:w w:val="105"/>
          <w:sz w:val="21"/>
        </w:rPr>
        <w:t> </w:t>
      </w:r>
      <w:r>
        <w:rPr>
          <w:w w:val="105"/>
          <w:sz w:val="21"/>
        </w:rPr>
        <w:t>OAM stated </w:t>
      </w:r>
      <w:r>
        <w:rPr>
          <w:spacing w:val="-4"/>
          <w:w w:val="105"/>
          <w:sz w:val="21"/>
        </w:rPr>
        <w:t>‘removing </w:t>
      </w:r>
      <w:r>
        <w:rPr>
          <w:w w:val="105"/>
          <w:sz w:val="21"/>
        </w:rPr>
        <w:t>a tree can also cause </w:t>
      </w:r>
      <w:r>
        <w:rPr>
          <w:spacing w:val="-3"/>
          <w:w w:val="105"/>
          <w:sz w:val="21"/>
        </w:rPr>
        <w:t>future </w:t>
      </w:r>
      <w:r>
        <w:rPr>
          <w:w w:val="105"/>
          <w:sz w:val="21"/>
        </w:rPr>
        <w:t>structural issues </w:t>
      </w:r>
      <w:r>
        <w:rPr>
          <w:spacing w:val="-3"/>
          <w:w w:val="105"/>
          <w:sz w:val="21"/>
        </w:rPr>
        <w:t>for </w:t>
      </w:r>
      <w:r>
        <w:rPr>
          <w:w w:val="105"/>
          <w:sz w:val="21"/>
        </w:rPr>
        <w:t>properties’ and </w:t>
      </w:r>
      <w:r>
        <w:rPr>
          <w:spacing w:val="-4"/>
          <w:w w:val="105"/>
          <w:sz w:val="21"/>
        </w:rPr>
        <w:t>‘can </w:t>
      </w:r>
      <w:r>
        <w:rPr>
          <w:w w:val="105"/>
          <w:sz w:val="21"/>
        </w:rPr>
        <w:t>lead </w:t>
      </w:r>
      <w:r>
        <w:rPr>
          <w:spacing w:val="-3"/>
          <w:w w:val="105"/>
          <w:sz w:val="21"/>
        </w:rPr>
        <w:t>to </w:t>
      </w:r>
      <w:r>
        <w:rPr>
          <w:w w:val="105"/>
          <w:sz w:val="21"/>
        </w:rPr>
        <w:t>wind damage </w:t>
      </w:r>
      <w:r>
        <w:rPr>
          <w:spacing w:val="-3"/>
          <w:w w:val="105"/>
          <w:sz w:val="21"/>
        </w:rPr>
        <w:t>to </w:t>
      </w:r>
      <w:r>
        <w:rPr>
          <w:w w:val="105"/>
          <w:sz w:val="21"/>
        </w:rPr>
        <w:t>roof tiles and </w:t>
      </w:r>
      <w:r>
        <w:rPr>
          <w:spacing w:val="-3"/>
          <w:w w:val="105"/>
          <w:sz w:val="21"/>
        </w:rPr>
        <w:t>structures’.</w:t>
      </w:r>
      <w:r>
        <w:rPr>
          <w:spacing w:val="-3"/>
          <w:w w:val="105"/>
          <w:position w:val="7"/>
          <w:sz w:val="12"/>
        </w:rPr>
        <w:t>27 </w:t>
      </w:r>
      <w:r>
        <w:rPr>
          <w:w w:val="105"/>
          <w:sz w:val="21"/>
        </w:rPr>
        <w:t>Arborist Robert Mineo advised </w:t>
      </w:r>
      <w:r>
        <w:rPr>
          <w:spacing w:val="-3"/>
          <w:w w:val="105"/>
          <w:sz w:val="21"/>
        </w:rPr>
        <w:t>that </w:t>
      </w:r>
      <w:r>
        <w:rPr>
          <w:w w:val="105"/>
          <w:sz w:val="21"/>
        </w:rPr>
        <w:t>the </w:t>
      </w:r>
      <w:r>
        <w:rPr>
          <w:spacing w:val="-3"/>
          <w:w w:val="105"/>
          <w:sz w:val="21"/>
        </w:rPr>
        <w:t>removal </w:t>
      </w:r>
      <w:r>
        <w:rPr>
          <w:w w:val="105"/>
          <w:sz w:val="21"/>
        </w:rPr>
        <w:t>of a </w:t>
      </w:r>
      <w:r>
        <w:rPr>
          <w:spacing w:val="-3"/>
          <w:w w:val="105"/>
          <w:sz w:val="21"/>
        </w:rPr>
        <w:t>significant </w:t>
      </w:r>
      <w:r>
        <w:rPr>
          <w:w w:val="105"/>
          <w:sz w:val="21"/>
        </w:rPr>
        <w:t>number of </w:t>
      </w:r>
      <w:r>
        <w:rPr>
          <w:spacing w:val="-3"/>
          <w:w w:val="105"/>
          <w:sz w:val="21"/>
        </w:rPr>
        <w:t>branches </w:t>
      </w:r>
      <w:r>
        <w:rPr>
          <w:w w:val="105"/>
          <w:sz w:val="21"/>
        </w:rPr>
        <w:t>can lead </w:t>
      </w:r>
      <w:r>
        <w:rPr>
          <w:spacing w:val="-3"/>
          <w:w w:val="105"/>
          <w:sz w:val="21"/>
        </w:rPr>
        <w:t>to </w:t>
      </w:r>
      <w:r>
        <w:rPr>
          <w:w w:val="105"/>
          <w:sz w:val="21"/>
        </w:rPr>
        <w:t>the growth of </w:t>
      </w:r>
      <w:r>
        <w:rPr>
          <w:spacing w:val="-2"/>
          <w:w w:val="105"/>
          <w:sz w:val="21"/>
        </w:rPr>
        <w:t>‘emergency </w:t>
      </w:r>
      <w:r>
        <w:rPr>
          <w:spacing w:val="-3"/>
          <w:w w:val="105"/>
          <w:sz w:val="21"/>
        </w:rPr>
        <w:t>branches’ </w:t>
      </w:r>
      <w:r>
        <w:rPr>
          <w:w w:val="105"/>
          <w:sz w:val="21"/>
        </w:rPr>
        <w:t>which </w:t>
      </w:r>
      <w:r>
        <w:rPr>
          <w:spacing w:val="-3"/>
          <w:w w:val="105"/>
          <w:sz w:val="21"/>
        </w:rPr>
        <w:t>are </w:t>
      </w:r>
      <w:r>
        <w:rPr>
          <w:w w:val="105"/>
          <w:sz w:val="21"/>
        </w:rPr>
        <w:t>more prone </w:t>
      </w:r>
      <w:r>
        <w:rPr>
          <w:spacing w:val="-3"/>
          <w:w w:val="105"/>
          <w:sz w:val="21"/>
        </w:rPr>
        <w:t>to</w:t>
      </w:r>
      <w:r>
        <w:rPr>
          <w:spacing w:val="34"/>
          <w:w w:val="105"/>
          <w:sz w:val="21"/>
        </w:rPr>
        <w:t> </w:t>
      </w:r>
      <w:r>
        <w:rPr>
          <w:spacing w:val="-3"/>
          <w:w w:val="105"/>
          <w:sz w:val="21"/>
        </w:rPr>
        <w:t>failure.</w:t>
      </w:r>
      <w:r>
        <w:rPr>
          <w:spacing w:val="-3"/>
          <w:w w:val="105"/>
          <w:position w:val="7"/>
          <w:sz w:val="12"/>
        </w:rPr>
        <w:t>28</w:t>
      </w:r>
    </w:p>
    <w:p>
      <w:pPr>
        <w:pStyle w:val="ListParagraph"/>
        <w:numPr>
          <w:ilvl w:val="1"/>
          <w:numId w:val="16"/>
        </w:numPr>
        <w:tabs>
          <w:tab w:pos="2381" w:val="left" w:leader="none"/>
          <w:tab w:pos="2382" w:val="left" w:leader="none"/>
        </w:tabs>
        <w:spacing w:line="242" w:lineRule="auto" w:before="126" w:after="0"/>
        <w:ind w:left="2381" w:right="1673" w:hanging="794"/>
        <w:jc w:val="left"/>
        <w:rPr>
          <w:sz w:val="21"/>
        </w:rPr>
      </w:pPr>
      <w:r>
        <w:rPr>
          <w:w w:val="105"/>
          <w:sz w:val="21"/>
        </w:rPr>
        <w:t>Baw Baw </w:t>
      </w:r>
      <w:r>
        <w:rPr>
          <w:spacing w:val="-3"/>
          <w:w w:val="105"/>
          <w:sz w:val="21"/>
        </w:rPr>
        <w:t>Shire </w:t>
      </w:r>
      <w:r>
        <w:rPr>
          <w:spacing w:val="-4"/>
          <w:w w:val="105"/>
          <w:sz w:val="21"/>
        </w:rPr>
        <w:t>Council </w:t>
      </w:r>
      <w:r>
        <w:rPr>
          <w:w w:val="105"/>
          <w:sz w:val="21"/>
        </w:rPr>
        <w:t>identified </w:t>
      </w:r>
      <w:r>
        <w:rPr>
          <w:spacing w:val="-3"/>
          <w:w w:val="105"/>
          <w:sz w:val="21"/>
        </w:rPr>
        <w:t>that </w:t>
      </w:r>
      <w:r>
        <w:rPr>
          <w:w w:val="105"/>
          <w:sz w:val="21"/>
        </w:rPr>
        <w:t>one of the </w:t>
      </w:r>
      <w:r>
        <w:rPr>
          <w:spacing w:val="-3"/>
          <w:w w:val="105"/>
          <w:sz w:val="21"/>
        </w:rPr>
        <w:t>aims </w:t>
      </w:r>
      <w:r>
        <w:rPr>
          <w:w w:val="105"/>
          <w:sz w:val="21"/>
        </w:rPr>
        <w:t>of a new Act should be </w:t>
      </w:r>
      <w:r>
        <w:rPr>
          <w:spacing w:val="-3"/>
          <w:w w:val="105"/>
          <w:sz w:val="21"/>
        </w:rPr>
        <w:t>to require </w:t>
      </w:r>
      <w:r>
        <w:rPr>
          <w:w w:val="105"/>
          <w:sz w:val="21"/>
        </w:rPr>
        <w:t>the</w:t>
      </w:r>
      <w:r>
        <w:rPr>
          <w:spacing w:val="-7"/>
          <w:w w:val="105"/>
          <w:sz w:val="21"/>
        </w:rPr>
        <w:t> </w:t>
      </w:r>
      <w:r>
        <w:rPr>
          <w:spacing w:val="-3"/>
          <w:w w:val="105"/>
          <w:sz w:val="21"/>
        </w:rPr>
        <w:t>replanting</w:t>
      </w:r>
      <w:r>
        <w:rPr>
          <w:spacing w:val="-6"/>
          <w:w w:val="105"/>
          <w:sz w:val="21"/>
        </w:rPr>
        <w:t> </w:t>
      </w:r>
      <w:r>
        <w:rPr>
          <w:w w:val="105"/>
          <w:sz w:val="21"/>
        </w:rPr>
        <w:t>of</w:t>
      </w:r>
      <w:r>
        <w:rPr>
          <w:spacing w:val="-7"/>
          <w:w w:val="105"/>
          <w:sz w:val="21"/>
        </w:rPr>
        <w:t> </w:t>
      </w:r>
      <w:r>
        <w:rPr>
          <w:w w:val="105"/>
          <w:sz w:val="21"/>
        </w:rPr>
        <w:t>suitable</w:t>
      </w:r>
      <w:r>
        <w:rPr>
          <w:spacing w:val="-6"/>
          <w:w w:val="105"/>
          <w:sz w:val="21"/>
        </w:rPr>
        <w:t> </w:t>
      </w:r>
      <w:r>
        <w:rPr>
          <w:w w:val="105"/>
          <w:sz w:val="21"/>
        </w:rPr>
        <w:t>species</w:t>
      </w:r>
      <w:r>
        <w:rPr>
          <w:spacing w:val="-7"/>
          <w:w w:val="105"/>
          <w:sz w:val="21"/>
        </w:rPr>
        <w:t> </w:t>
      </w:r>
      <w:r>
        <w:rPr>
          <w:w w:val="105"/>
          <w:sz w:val="21"/>
        </w:rPr>
        <w:t>in</w:t>
      </w:r>
      <w:r>
        <w:rPr>
          <w:spacing w:val="-6"/>
          <w:w w:val="105"/>
          <w:sz w:val="21"/>
        </w:rPr>
        <w:t> </w:t>
      </w:r>
      <w:r>
        <w:rPr>
          <w:w w:val="105"/>
          <w:sz w:val="21"/>
        </w:rPr>
        <w:t>the</w:t>
      </w:r>
      <w:r>
        <w:rPr>
          <w:spacing w:val="-7"/>
          <w:w w:val="105"/>
          <w:sz w:val="21"/>
        </w:rPr>
        <w:t> </w:t>
      </w:r>
      <w:r>
        <w:rPr>
          <w:w w:val="105"/>
          <w:sz w:val="21"/>
        </w:rPr>
        <w:t>same</w:t>
      </w:r>
      <w:r>
        <w:rPr>
          <w:spacing w:val="-6"/>
          <w:w w:val="105"/>
          <w:sz w:val="21"/>
        </w:rPr>
        <w:t> </w:t>
      </w:r>
      <w:r>
        <w:rPr>
          <w:w w:val="105"/>
          <w:sz w:val="21"/>
        </w:rPr>
        <w:t>location</w:t>
      </w:r>
      <w:r>
        <w:rPr>
          <w:spacing w:val="-7"/>
          <w:w w:val="105"/>
          <w:sz w:val="21"/>
        </w:rPr>
        <w:t> </w:t>
      </w:r>
      <w:r>
        <w:rPr>
          <w:w w:val="105"/>
          <w:sz w:val="21"/>
        </w:rPr>
        <w:t>in</w:t>
      </w:r>
      <w:r>
        <w:rPr>
          <w:spacing w:val="-6"/>
          <w:w w:val="105"/>
          <w:sz w:val="21"/>
        </w:rPr>
        <w:t> </w:t>
      </w:r>
      <w:r>
        <w:rPr>
          <w:w w:val="105"/>
          <w:sz w:val="21"/>
        </w:rPr>
        <w:t>order</w:t>
      </w:r>
      <w:r>
        <w:rPr>
          <w:spacing w:val="-7"/>
          <w:w w:val="105"/>
          <w:sz w:val="21"/>
        </w:rPr>
        <w:t> </w:t>
      </w:r>
      <w:r>
        <w:rPr>
          <w:spacing w:val="-3"/>
          <w:w w:val="105"/>
          <w:sz w:val="21"/>
        </w:rPr>
        <w:t>to</w:t>
      </w:r>
      <w:r>
        <w:rPr>
          <w:spacing w:val="-6"/>
          <w:w w:val="105"/>
          <w:sz w:val="21"/>
        </w:rPr>
        <w:t> </w:t>
      </w:r>
      <w:r>
        <w:rPr>
          <w:spacing w:val="-3"/>
          <w:w w:val="105"/>
          <w:sz w:val="21"/>
        </w:rPr>
        <w:t>discourage</w:t>
      </w:r>
      <w:r>
        <w:rPr>
          <w:spacing w:val="-7"/>
          <w:w w:val="105"/>
          <w:sz w:val="21"/>
        </w:rPr>
        <w:t> </w:t>
      </w:r>
      <w:r>
        <w:rPr>
          <w:w w:val="105"/>
          <w:sz w:val="21"/>
        </w:rPr>
        <w:t>people</w:t>
      </w:r>
      <w:r>
        <w:rPr>
          <w:spacing w:val="-6"/>
          <w:w w:val="105"/>
          <w:sz w:val="21"/>
        </w:rPr>
        <w:t> </w:t>
      </w:r>
      <w:r>
        <w:rPr>
          <w:w w:val="105"/>
          <w:sz w:val="21"/>
        </w:rPr>
        <w:t>who simply </w:t>
      </w:r>
      <w:r>
        <w:rPr>
          <w:spacing w:val="-3"/>
          <w:w w:val="105"/>
          <w:sz w:val="21"/>
        </w:rPr>
        <w:t>want </w:t>
      </w:r>
      <w:r>
        <w:rPr>
          <w:w w:val="105"/>
          <w:sz w:val="21"/>
        </w:rPr>
        <w:t>a tree removed even if it is </w:t>
      </w:r>
      <w:r>
        <w:rPr>
          <w:spacing w:val="-2"/>
          <w:w w:val="105"/>
          <w:sz w:val="21"/>
        </w:rPr>
        <w:t>not </w:t>
      </w:r>
      <w:r>
        <w:rPr>
          <w:spacing w:val="-3"/>
          <w:w w:val="105"/>
          <w:sz w:val="21"/>
        </w:rPr>
        <w:t>causing </w:t>
      </w:r>
      <w:r>
        <w:rPr>
          <w:w w:val="105"/>
          <w:sz w:val="21"/>
        </w:rPr>
        <w:t>damage or harm.</w:t>
      </w:r>
      <w:r>
        <w:rPr>
          <w:w w:val="105"/>
          <w:position w:val="7"/>
          <w:sz w:val="12"/>
        </w:rPr>
        <w:t>29 </w:t>
      </w:r>
      <w:r>
        <w:rPr>
          <w:w w:val="105"/>
          <w:sz w:val="21"/>
        </w:rPr>
        <w:t>Under Baw </w:t>
      </w:r>
      <w:r>
        <w:rPr>
          <w:spacing w:val="-3"/>
          <w:w w:val="105"/>
          <w:sz w:val="21"/>
        </w:rPr>
        <w:t>Baw’s Planning Scheme, </w:t>
      </w:r>
      <w:r>
        <w:rPr>
          <w:w w:val="105"/>
          <w:sz w:val="21"/>
        </w:rPr>
        <w:t>the </w:t>
      </w:r>
      <w:r>
        <w:rPr>
          <w:spacing w:val="-3"/>
          <w:w w:val="105"/>
          <w:sz w:val="21"/>
        </w:rPr>
        <w:t>council </w:t>
      </w:r>
      <w:r>
        <w:rPr>
          <w:w w:val="105"/>
          <w:sz w:val="21"/>
        </w:rPr>
        <w:t>must </w:t>
      </w:r>
      <w:r>
        <w:rPr>
          <w:spacing w:val="-3"/>
          <w:w w:val="105"/>
          <w:sz w:val="21"/>
        </w:rPr>
        <w:t>consider </w:t>
      </w:r>
      <w:r>
        <w:rPr>
          <w:w w:val="105"/>
          <w:sz w:val="21"/>
        </w:rPr>
        <w:t>the </w:t>
      </w:r>
      <w:r>
        <w:rPr>
          <w:spacing w:val="-3"/>
          <w:w w:val="105"/>
          <w:sz w:val="21"/>
        </w:rPr>
        <w:t>future </w:t>
      </w:r>
      <w:r>
        <w:rPr>
          <w:w w:val="105"/>
          <w:sz w:val="21"/>
        </w:rPr>
        <w:t>development of the </w:t>
      </w:r>
      <w:r>
        <w:rPr>
          <w:spacing w:val="-3"/>
          <w:w w:val="105"/>
          <w:sz w:val="21"/>
        </w:rPr>
        <w:t>land </w:t>
      </w:r>
      <w:r>
        <w:rPr>
          <w:w w:val="105"/>
          <w:sz w:val="21"/>
        </w:rPr>
        <w:t>and whether</w:t>
      </w:r>
      <w:r>
        <w:rPr>
          <w:spacing w:val="-6"/>
          <w:w w:val="105"/>
          <w:sz w:val="21"/>
        </w:rPr>
        <w:t> </w:t>
      </w:r>
      <w:r>
        <w:rPr>
          <w:spacing w:val="-3"/>
          <w:w w:val="105"/>
          <w:sz w:val="21"/>
        </w:rPr>
        <w:t>planting,</w:t>
      </w:r>
      <w:r>
        <w:rPr>
          <w:spacing w:val="-6"/>
          <w:w w:val="105"/>
          <w:sz w:val="21"/>
        </w:rPr>
        <w:t> </w:t>
      </w:r>
      <w:r>
        <w:rPr>
          <w:spacing w:val="-3"/>
          <w:w w:val="105"/>
          <w:sz w:val="21"/>
        </w:rPr>
        <w:t>replanting</w:t>
      </w:r>
      <w:r>
        <w:rPr>
          <w:spacing w:val="-6"/>
          <w:w w:val="105"/>
          <w:sz w:val="21"/>
        </w:rPr>
        <w:t> </w:t>
      </w:r>
      <w:r>
        <w:rPr>
          <w:w w:val="105"/>
          <w:sz w:val="21"/>
        </w:rPr>
        <w:t>or</w:t>
      </w:r>
      <w:r>
        <w:rPr>
          <w:spacing w:val="-6"/>
          <w:w w:val="105"/>
          <w:sz w:val="21"/>
        </w:rPr>
        <w:t> </w:t>
      </w:r>
      <w:r>
        <w:rPr>
          <w:w w:val="105"/>
          <w:sz w:val="21"/>
        </w:rPr>
        <w:t>other</w:t>
      </w:r>
      <w:r>
        <w:rPr>
          <w:spacing w:val="-5"/>
          <w:w w:val="105"/>
          <w:sz w:val="21"/>
        </w:rPr>
        <w:t> </w:t>
      </w:r>
      <w:r>
        <w:rPr>
          <w:spacing w:val="-3"/>
          <w:w w:val="105"/>
          <w:sz w:val="21"/>
        </w:rPr>
        <w:t>treatment</w:t>
      </w:r>
      <w:r>
        <w:rPr>
          <w:spacing w:val="-6"/>
          <w:w w:val="105"/>
          <w:sz w:val="21"/>
        </w:rPr>
        <w:t> </w:t>
      </w:r>
      <w:r>
        <w:rPr>
          <w:w w:val="105"/>
          <w:sz w:val="21"/>
        </w:rPr>
        <w:t>should</w:t>
      </w:r>
      <w:r>
        <w:rPr>
          <w:spacing w:val="-6"/>
          <w:w w:val="105"/>
          <w:sz w:val="21"/>
        </w:rPr>
        <w:t> </w:t>
      </w:r>
      <w:r>
        <w:rPr>
          <w:w w:val="105"/>
          <w:sz w:val="21"/>
        </w:rPr>
        <w:t>be</w:t>
      </w:r>
      <w:r>
        <w:rPr>
          <w:spacing w:val="-6"/>
          <w:w w:val="105"/>
          <w:sz w:val="21"/>
        </w:rPr>
        <w:t> </w:t>
      </w:r>
      <w:r>
        <w:rPr>
          <w:w w:val="105"/>
          <w:sz w:val="21"/>
        </w:rPr>
        <w:t>undertaken</w:t>
      </w:r>
      <w:r>
        <w:rPr>
          <w:spacing w:val="-5"/>
          <w:w w:val="105"/>
          <w:sz w:val="21"/>
        </w:rPr>
        <w:t> </w:t>
      </w:r>
      <w:r>
        <w:rPr>
          <w:w w:val="105"/>
          <w:sz w:val="21"/>
        </w:rPr>
        <w:t>on</w:t>
      </w:r>
      <w:r>
        <w:rPr>
          <w:spacing w:val="-6"/>
          <w:w w:val="105"/>
          <w:sz w:val="21"/>
        </w:rPr>
        <w:t> </w:t>
      </w:r>
      <w:r>
        <w:rPr>
          <w:spacing w:val="-3"/>
          <w:w w:val="105"/>
          <w:sz w:val="21"/>
        </w:rPr>
        <w:t>any</w:t>
      </w:r>
      <w:r>
        <w:rPr>
          <w:spacing w:val="-6"/>
          <w:w w:val="105"/>
          <w:sz w:val="21"/>
        </w:rPr>
        <w:t> </w:t>
      </w:r>
      <w:r>
        <w:rPr>
          <w:w w:val="105"/>
          <w:sz w:val="21"/>
        </w:rPr>
        <w:t>part</w:t>
      </w:r>
      <w:r>
        <w:rPr>
          <w:spacing w:val="-6"/>
          <w:w w:val="105"/>
          <w:sz w:val="21"/>
        </w:rPr>
        <w:t> </w:t>
      </w:r>
      <w:r>
        <w:rPr>
          <w:w w:val="105"/>
          <w:sz w:val="21"/>
        </w:rPr>
        <w:t>of</w:t>
      </w:r>
      <w:r>
        <w:rPr>
          <w:spacing w:val="-5"/>
          <w:w w:val="105"/>
          <w:sz w:val="21"/>
        </w:rPr>
        <w:t> </w:t>
      </w:r>
      <w:r>
        <w:rPr>
          <w:w w:val="105"/>
          <w:sz w:val="21"/>
        </w:rPr>
        <w:t>the </w:t>
      </w:r>
      <w:r>
        <w:rPr>
          <w:spacing w:val="-3"/>
          <w:w w:val="105"/>
          <w:sz w:val="21"/>
        </w:rPr>
        <w:t>land </w:t>
      </w:r>
      <w:r>
        <w:rPr>
          <w:w w:val="105"/>
          <w:sz w:val="21"/>
        </w:rPr>
        <w:t>prior </w:t>
      </w:r>
      <w:r>
        <w:rPr>
          <w:spacing w:val="-3"/>
          <w:w w:val="105"/>
          <w:sz w:val="21"/>
        </w:rPr>
        <w:t>to determining </w:t>
      </w:r>
      <w:r>
        <w:rPr>
          <w:w w:val="105"/>
          <w:sz w:val="21"/>
        </w:rPr>
        <w:t>an application </w:t>
      </w:r>
      <w:r>
        <w:rPr>
          <w:spacing w:val="-3"/>
          <w:w w:val="105"/>
          <w:sz w:val="21"/>
        </w:rPr>
        <w:t>that may result </w:t>
      </w:r>
      <w:r>
        <w:rPr>
          <w:w w:val="105"/>
          <w:sz w:val="21"/>
        </w:rPr>
        <w:t>in </w:t>
      </w:r>
      <w:r>
        <w:rPr>
          <w:spacing w:val="-3"/>
          <w:w w:val="105"/>
          <w:sz w:val="21"/>
        </w:rPr>
        <w:t>interference </w:t>
      </w:r>
      <w:r>
        <w:rPr>
          <w:w w:val="105"/>
          <w:sz w:val="21"/>
        </w:rPr>
        <w:t>with vegetation under schedule 3 of the </w:t>
      </w:r>
      <w:r>
        <w:rPr>
          <w:spacing w:val="-3"/>
          <w:w w:val="105"/>
          <w:sz w:val="21"/>
        </w:rPr>
        <w:t>Significant </w:t>
      </w:r>
      <w:r>
        <w:rPr>
          <w:w w:val="105"/>
          <w:sz w:val="21"/>
        </w:rPr>
        <w:t>Landscape</w:t>
      </w:r>
      <w:r>
        <w:rPr>
          <w:spacing w:val="34"/>
          <w:w w:val="105"/>
          <w:sz w:val="21"/>
        </w:rPr>
        <w:t> </w:t>
      </w:r>
      <w:r>
        <w:rPr>
          <w:spacing w:val="-3"/>
          <w:w w:val="105"/>
          <w:sz w:val="21"/>
        </w:rPr>
        <w:t>Overlay.</w:t>
      </w:r>
      <w:r>
        <w:rPr>
          <w:spacing w:val="-3"/>
          <w:w w:val="105"/>
          <w:position w:val="7"/>
          <w:sz w:val="12"/>
        </w:rPr>
        <w:t>30</w:t>
      </w:r>
    </w:p>
    <w:p>
      <w:pPr>
        <w:pStyle w:val="BodyText"/>
        <w:spacing w:before="3"/>
        <w:rPr>
          <w:sz w:val="9"/>
        </w:rPr>
      </w:pPr>
      <w:r>
        <w:rPr/>
        <w:pict>
          <v:line style="position:absolute;mso-position-horizontal-relative:page;mso-position-vertical-relative:paragraph;z-index:8504;mso-wrap-distance-left:0;mso-wrap-distance-right:0" from="79.370102pt,8.12397pt" to="522.520102pt,8.1239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35"/>
        </w:rPr>
      </w:pPr>
    </w:p>
    <w:p>
      <w:pPr>
        <w:spacing w:before="0"/>
        <w:ind w:left="720" w:right="0" w:firstLine="0"/>
        <w:jc w:val="left"/>
        <w:rPr>
          <w:b/>
          <w:sz w:val="24"/>
        </w:rPr>
      </w:pPr>
      <w:r>
        <w:rPr>
          <w:b/>
          <w:color w:val="658464"/>
          <w:w w:val="105"/>
          <w:sz w:val="24"/>
        </w:rPr>
        <w:t>196</w:t>
      </w:r>
    </w:p>
    <w:p>
      <w:pPr>
        <w:pStyle w:val="ListParagraph"/>
        <w:numPr>
          <w:ilvl w:val="0"/>
          <w:numId w:val="143"/>
        </w:numPr>
        <w:tabs>
          <w:tab w:pos="1226" w:val="left" w:leader="none"/>
          <w:tab w:pos="1227" w:val="left" w:leader="none"/>
        </w:tabs>
        <w:spacing w:line="240" w:lineRule="auto" w:before="48" w:after="0"/>
        <w:ind w:left="432" w:right="5883" w:firstLine="0"/>
        <w:jc w:val="left"/>
        <w:rPr>
          <w:sz w:val="13"/>
        </w:rPr>
      </w:pPr>
      <w:r>
        <w:rPr>
          <w:i/>
          <w:spacing w:val="3"/>
          <w:w w:val="103"/>
          <w:sz w:val="13"/>
        </w:rPr>
        <w:br w:type="column"/>
      </w:r>
      <w:r>
        <w:rPr>
          <w:i/>
          <w:w w:val="105"/>
          <w:sz w:val="13"/>
        </w:rPr>
        <w:t>Neighbourhood Disputes About Plants Act </w:t>
      </w:r>
      <w:r>
        <w:rPr>
          <w:i/>
          <w:spacing w:val="-4"/>
          <w:w w:val="105"/>
          <w:sz w:val="13"/>
        </w:rPr>
        <w:t>2017 </w:t>
      </w:r>
      <w:r>
        <w:rPr>
          <w:w w:val="105"/>
          <w:sz w:val="13"/>
        </w:rPr>
        <w:t>(Tas) s </w:t>
      </w:r>
      <w:r>
        <w:rPr>
          <w:spacing w:val="3"/>
          <w:w w:val="105"/>
          <w:sz w:val="13"/>
        </w:rPr>
        <w:t>33(2)(a), </w:t>
      </w:r>
      <w:r>
        <w:rPr>
          <w:spacing w:val="-3"/>
          <w:w w:val="105"/>
          <w:sz w:val="13"/>
        </w:rPr>
        <w:t>15</w:t>
        <w:tab/>
      </w:r>
      <w:r>
        <w:rPr>
          <w:w w:val="105"/>
          <w:sz w:val="13"/>
        </w:rPr>
        <w:t>Ibid s</w:t>
      </w:r>
      <w:r>
        <w:rPr>
          <w:spacing w:val="8"/>
          <w:w w:val="105"/>
          <w:sz w:val="13"/>
        </w:rPr>
        <w:t> </w:t>
      </w:r>
      <w:r>
        <w:rPr>
          <w:spacing w:val="3"/>
          <w:w w:val="105"/>
          <w:sz w:val="13"/>
        </w:rPr>
        <w:t>33(2)(d).</w:t>
      </w:r>
    </w:p>
    <w:p>
      <w:pPr>
        <w:tabs>
          <w:tab w:pos="1226" w:val="left" w:leader="none"/>
        </w:tabs>
        <w:spacing w:before="3"/>
        <w:ind w:left="432" w:right="0" w:firstLine="0"/>
        <w:jc w:val="left"/>
        <w:rPr>
          <w:sz w:val="13"/>
        </w:rPr>
      </w:pPr>
      <w:r>
        <w:rPr>
          <w:w w:val="105"/>
          <w:sz w:val="13"/>
        </w:rPr>
        <w:t>16</w:t>
        <w:tab/>
        <w:t>Ibid s</w:t>
      </w:r>
      <w:r>
        <w:rPr>
          <w:spacing w:val="9"/>
          <w:w w:val="105"/>
          <w:sz w:val="13"/>
        </w:rPr>
        <w:t> </w:t>
      </w:r>
      <w:r>
        <w:rPr>
          <w:spacing w:val="3"/>
          <w:w w:val="105"/>
          <w:sz w:val="13"/>
        </w:rPr>
        <w:t>33(6).</w:t>
      </w:r>
    </w:p>
    <w:p>
      <w:pPr>
        <w:tabs>
          <w:tab w:pos="1226" w:val="left" w:leader="none"/>
        </w:tabs>
        <w:spacing w:before="1"/>
        <w:ind w:left="432" w:right="0" w:firstLine="0"/>
        <w:jc w:val="left"/>
        <w:rPr>
          <w:sz w:val="13"/>
        </w:rPr>
      </w:pPr>
      <w:r>
        <w:rPr>
          <w:spacing w:val="-4"/>
          <w:w w:val="105"/>
          <w:sz w:val="13"/>
        </w:rPr>
        <w:t>17</w:t>
        <w:tab/>
      </w:r>
      <w:r>
        <w:rPr>
          <w:w w:val="105"/>
          <w:sz w:val="13"/>
        </w:rPr>
        <w:t>Ibid s</w:t>
      </w:r>
      <w:r>
        <w:rPr>
          <w:spacing w:val="5"/>
          <w:w w:val="105"/>
          <w:sz w:val="13"/>
        </w:rPr>
        <w:t> </w:t>
      </w:r>
      <w:r>
        <w:rPr>
          <w:spacing w:val="3"/>
          <w:w w:val="105"/>
          <w:sz w:val="13"/>
        </w:rPr>
        <w:t>33(5).</w:t>
      </w:r>
    </w:p>
    <w:p>
      <w:pPr>
        <w:pStyle w:val="ListParagraph"/>
        <w:numPr>
          <w:ilvl w:val="0"/>
          <w:numId w:val="144"/>
        </w:numPr>
        <w:tabs>
          <w:tab w:pos="1226" w:val="left" w:leader="none"/>
          <w:tab w:pos="1227" w:val="left" w:leader="none"/>
        </w:tabs>
        <w:spacing w:line="240" w:lineRule="auto" w:before="1" w:after="0"/>
        <w:ind w:left="1226" w:right="0" w:hanging="794"/>
        <w:jc w:val="left"/>
        <w:rPr>
          <w:sz w:val="13"/>
        </w:rPr>
      </w:pPr>
      <w:r>
        <w:rPr>
          <w:i/>
          <w:w w:val="105"/>
          <w:sz w:val="13"/>
        </w:rPr>
        <w:t>Resource</w:t>
      </w:r>
      <w:r>
        <w:rPr>
          <w:i/>
          <w:spacing w:val="4"/>
          <w:w w:val="105"/>
          <w:sz w:val="13"/>
        </w:rPr>
        <w:t> </w:t>
      </w:r>
      <w:r>
        <w:rPr>
          <w:i/>
          <w:w w:val="105"/>
          <w:sz w:val="13"/>
        </w:rPr>
        <w:t>Management</w:t>
      </w:r>
      <w:r>
        <w:rPr>
          <w:i/>
          <w:spacing w:val="5"/>
          <w:w w:val="105"/>
          <w:sz w:val="13"/>
        </w:rPr>
        <w:t> </w:t>
      </w:r>
      <w:r>
        <w:rPr>
          <w:i/>
          <w:w w:val="105"/>
          <w:sz w:val="13"/>
        </w:rPr>
        <w:t>and</w:t>
      </w:r>
      <w:r>
        <w:rPr>
          <w:i/>
          <w:spacing w:val="5"/>
          <w:w w:val="105"/>
          <w:sz w:val="13"/>
        </w:rPr>
        <w:t> </w:t>
      </w:r>
      <w:r>
        <w:rPr>
          <w:i/>
          <w:w w:val="105"/>
          <w:sz w:val="13"/>
        </w:rPr>
        <w:t>Planning</w:t>
      </w:r>
      <w:r>
        <w:rPr>
          <w:i/>
          <w:spacing w:val="4"/>
          <w:w w:val="105"/>
          <w:sz w:val="13"/>
        </w:rPr>
        <w:t> </w:t>
      </w:r>
      <w:r>
        <w:rPr>
          <w:i/>
          <w:w w:val="105"/>
          <w:sz w:val="13"/>
        </w:rPr>
        <w:t>Appeal</w:t>
      </w:r>
      <w:r>
        <w:rPr>
          <w:i/>
          <w:spacing w:val="5"/>
          <w:w w:val="105"/>
          <w:sz w:val="13"/>
        </w:rPr>
        <w:t> </w:t>
      </w:r>
      <w:r>
        <w:rPr>
          <w:i/>
          <w:w w:val="105"/>
          <w:sz w:val="13"/>
        </w:rPr>
        <w:t>Tribunal</w:t>
      </w:r>
      <w:r>
        <w:rPr>
          <w:i/>
          <w:spacing w:val="5"/>
          <w:w w:val="105"/>
          <w:sz w:val="13"/>
        </w:rPr>
        <w:t> </w:t>
      </w:r>
      <w:r>
        <w:rPr>
          <w:i/>
          <w:w w:val="105"/>
          <w:sz w:val="13"/>
        </w:rPr>
        <w:t>Act</w:t>
      </w:r>
      <w:r>
        <w:rPr>
          <w:i/>
          <w:spacing w:val="5"/>
          <w:w w:val="105"/>
          <w:sz w:val="13"/>
        </w:rPr>
        <w:t> </w:t>
      </w:r>
      <w:r>
        <w:rPr>
          <w:i/>
          <w:w w:val="105"/>
          <w:sz w:val="13"/>
        </w:rPr>
        <w:t>1993</w:t>
      </w:r>
      <w:r>
        <w:rPr>
          <w:i/>
          <w:spacing w:val="4"/>
          <w:w w:val="105"/>
          <w:sz w:val="13"/>
        </w:rPr>
        <w:t> </w:t>
      </w:r>
      <w:r>
        <w:rPr>
          <w:w w:val="105"/>
          <w:sz w:val="13"/>
        </w:rPr>
        <w:t>(Tas)</w:t>
      </w:r>
      <w:r>
        <w:rPr>
          <w:spacing w:val="5"/>
          <w:w w:val="105"/>
          <w:sz w:val="13"/>
        </w:rPr>
        <w:t> </w:t>
      </w:r>
      <w:r>
        <w:rPr>
          <w:w w:val="105"/>
          <w:sz w:val="13"/>
        </w:rPr>
        <w:t>s</w:t>
      </w:r>
      <w:r>
        <w:rPr>
          <w:spacing w:val="5"/>
          <w:w w:val="105"/>
          <w:sz w:val="13"/>
        </w:rPr>
        <w:t> </w:t>
      </w:r>
      <w:r>
        <w:rPr>
          <w:w w:val="105"/>
          <w:sz w:val="13"/>
        </w:rPr>
        <w:t>28.</w:t>
      </w:r>
    </w:p>
    <w:p>
      <w:pPr>
        <w:pStyle w:val="ListParagraph"/>
        <w:numPr>
          <w:ilvl w:val="0"/>
          <w:numId w:val="144"/>
        </w:numPr>
        <w:tabs>
          <w:tab w:pos="1226" w:val="left" w:leader="none"/>
          <w:tab w:pos="1227" w:val="left" w:leader="none"/>
        </w:tabs>
        <w:spacing w:line="240" w:lineRule="auto" w:before="2" w:after="0"/>
        <w:ind w:left="1226" w:right="0" w:hanging="794"/>
        <w:jc w:val="left"/>
        <w:rPr>
          <w:sz w:val="13"/>
        </w:rPr>
      </w:pPr>
      <w:r>
        <w:rPr>
          <w:w w:val="105"/>
          <w:sz w:val="13"/>
        </w:rPr>
        <w:t>Submissions</w:t>
      </w:r>
      <w:r>
        <w:rPr>
          <w:spacing w:val="4"/>
          <w:w w:val="105"/>
          <w:sz w:val="13"/>
        </w:rPr>
        <w:t> </w:t>
      </w:r>
      <w:r>
        <w:rPr>
          <w:w w:val="105"/>
          <w:sz w:val="13"/>
        </w:rPr>
        <w:t>2</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4</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7</w:t>
      </w:r>
      <w:r>
        <w:rPr>
          <w:spacing w:val="5"/>
          <w:w w:val="105"/>
          <w:sz w:val="13"/>
        </w:rPr>
        <w:t> </w:t>
      </w:r>
      <w:r>
        <w:rPr>
          <w:spacing w:val="2"/>
          <w:w w:val="105"/>
          <w:sz w:val="13"/>
        </w:rPr>
        <w:t>(Ben</w:t>
      </w:r>
      <w:r>
        <w:rPr>
          <w:spacing w:val="5"/>
          <w:w w:val="105"/>
          <w:sz w:val="13"/>
        </w:rPr>
        <w:t> </w:t>
      </w:r>
      <w:r>
        <w:rPr>
          <w:w w:val="105"/>
          <w:sz w:val="13"/>
        </w:rPr>
        <w:t>Kenyon),</w:t>
      </w:r>
      <w:r>
        <w:rPr>
          <w:spacing w:val="5"/>
          <w:w w:val="105"/>
          <w:sz w:val="13"/>
        </w:rPr>
        <w:t> </w:t>
      </w:r>
      <w:r>
        <w:rPr>
          <w:w w:val="105"/>
          <w:sz w:val="13"/>
        </w:rPr>
        <w:t>9</w:t>
      </w:r>
      <w:r>
        <w:rPr>
          <w:spacing w:val="5"/>
          <w:w w:val="105"/>
          <w:sz w:val="13"/>
        </w:rPr>
        <w:t> </w:t>
      </w:r>
      <w:r>
        <w:rPr>
          <w:spacing w:val="3"/>
          <w:w w:val="105"/>
          <w:sz w:val="13"/>
        </w:rPr>
        <w:t>(Dr</w:t>
      </w:r>
      <w:r>
        <w:rPr>
          <w:spacing w:val="5"/>
          <w:w w:val="105"/>
          <w:sz w:val="13"/>
        </w:rPr>
        <w:t> </w:t>
      </w:r>
      <w:r>
        <w:rPr>
          <w:w w:val="105"/>
          <w:sz w:val="13"/>
        </w:rPr>
        <w:t>Karen</w:t>
      </w:r>
      <w:r>
        <w:rPr>
          <w:spacing w:val="5"/>
          <w:w w:val="105"/>
          <w:sz w:val="13"/>
        </w:rPr>
        <w:t> </w:t>
      </w:r>
      <w:r>
        <w:rPr>
          <w:w w:val="105"/>
          <w:sz w:val="13"/>
        </w:rPr>
        <w:t>Smith),</w:t>
      </w:r>
      <w:r>
        <w:rPr>
          <w:spacing w:val="5"/>
          <w:w w:val="105"/>
          <w:sz w:val="13"/>
        </w:rPr>
        <w:t> </w:t>
      </w:r>
      <w:r>
        <w:rPr>
          <w:spacing w:val="-3"/>
          <w:w w:val="105"/>
          <w:sz w:val="13"/>
        </w:rPr>
        <w:t>19</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20</w:t>
      </w:r>
      <w:r>
        <w:rPr>
          <w:spacing w:val="5"/>
          <w:w w:val="105"/>
          <w:sz w:val="13"/>
        </w:rPr>
        <w:t> </w:t>
      </w:r>
      <w:r>
        <w:rPr>
          <w:spacing w:val="2"/>
          <w:w w:val="105"/>
          <w:sz w:val="13"/>
        </w:rPr>
        <w:t>(Name</w:t>
      </w:r>
      <w:r>
        <w:rPr>
          <w:spacing w:val="5"/>
          <w:w w:val="105"/>
          <w:sz w:val="13"/>
        </w:rPr>
        <w:t> </w:t>
      </w:r>
      <w:r>
        <w:rPr>
          <w:w w:val="105"/>
          <w:sz w:val="13"/>
        </w:rPr>
        <w:t>withheld),</w:t>
      </w:r>
    </w:p>
    <w:p>
      <w:pPr>
        <w:spacing w:before="1"/>
        <w:ind w:left="1226" w:right="1494" w:firstLine="0"/>
        <w:jc w:val="left"/>
        <w:rPr>
          <w:sz w:val="13"/>
        </w:rPr>
      </w:pPr>
      <w:r>
        <w:rPr>
          <w:w w:val="105"/>
          <w:sz w:val="13"/>
        </w:rPr>
        <w:t>21 (Pointon Partners Lawyers), 25 (City of Boroondara), 29 (David Galwey); Consultations 2 (Dr Gregory Moore OAM), 10 (Baw Baw Shire Council), 11 (Land and Environment Court of New South Wales).</w:t>
      </w:r>
    </w:p>
    <w:p>
      <w:pPr>
        <w:pStyle w:val="ListParagraph"/>
        <w:numPr>
          <w:ilvl w:val="0"/>
          <w:numId w:val="144"/>
        </w:numPr>
        <w:tabs>
          <w:tab w:pos="1226" w:val="left" w:leader="none"/>
          <w:tab w:pos="1227" w:val="left" w:leader="none"/>
        </w:tabs>
        <w:spacing w:line="240" w:lineRule="auto" w:before="3" w:after="0"/>
        <w:ind w:left="1226" w:right="0" w:hanging="794"/>
        <w:jc w:val="left"/>
        <w:rPr>
          <w:sz w:val="13"/>
        </w:rPr>
      </w:pPr>
      <w:r>
        <w:rPr>
          <w:w w:val="105"/>
          <w:sz w:val="13"/>
        </w:rPr>
        <w:t>Submissions</w:t>
      </w:r>
      <w:r>
        <w:rPr>
          <w:spacing w:val="4"/>
          <w:w w:val="105"/>
          <w:sz w:val="13"/>
        </w:rPr>
        <w:t> </w:t>
      </w:r>
      <w:r>
        <w:rPr>
          <w:w w:val="105"/>
          <w:sz w:val="13"/>
        </w:rPr>
        <w:t>2</w:t>
      </w:r>
      <w:r>
        <w:rPr>
          <w:spacing w:val="5"/>
          <w:w w:val="105"/>
          <w:sz w:val="13"/>
        </w:rPr>
        <w:t> </w:t>
      </w:r>
      <w:r>
        <w:rPr>
          <w:spacing w:val="2"/>
          <w:w w:val="105"/>
          <w:sz w:val="13"/>
        </w:rPr>
        <w:t>(Name</w:t>
      </w:r>
      <w:r>
        <w:rPr>
          <w:spacing w:val="5"/>
          <w:w w:val="105"/>
          <w:sz w:val="13"/>
        </w:rPr>
        <w:t> </w:t>
      </w:r>
      <w:r>
        <w:rPr>
          <w:w w:val="105"/>
          <w:sz w:val="13"/>
        </w:rPr>
        <w:t>withheld),</w:t>
      </w:r>
      <w:r>
        <w:rPr>
          <w:spacing w:val="4"/>
          <w:w w:val="105"/>
          <w:sz w:val="13"/>
        </w:rPr>
        <w:t> </w:t>
      </w:r>
      <w:r>
        <w:rPr>
          <w:w w:val="105"/>
          <w:sz w:val="13"/>
        </w:rPr>
        <w:t>4</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7</w:t>
      </w:r>
      <w:r>
        <w:rPr>
          <w:spacing w:val="4"/>
          <w:w w:val="105"/>
          <w:sz w:val="13"/>
        </w:rPr>
        <w:t> </w:t>
      </w:r>
      <w:r>
        <w:rPr>
          <w:spacing w:val="2"/>
          <w:w w:val="105"/>
          <w:sz w:val="13"/>
        </w:rPr>
        <w:t>(Ben</w:t>
      </w:r>
      <w:r>
        <w:rPr>
          <w:spacing w:val="5"/>
          <w:w w:val="105"/>
          <w:sz w:val="13"/>
        </w:rPr>
        <w:t> </w:t>
      </w:r>
      <w:r>
        <w:rPr>
          <w:w w:val="105"/>
          <w:sz w:val="13"/>
        </w:rPr>
        <w:t>Kenyon),</w:t>
      </w:r>
      <w:r>
        <w:rPr>
          <w:spacing w:val="5"/>
          <w:w w:val="105"/>
          <w:sz w:val="13"/>
        </w:rPr>
        <w:t> </w:t>
      </w:r>
      <w:r>
        <w:rPr>
          <w:w w:val="105"/>
          <w:sz w:val="13"/>
        </w:rPr>
        <w:t>9</w:t>
      </w:r>
      <w:r>
        <w:rPr>
          <w:spacing w:val="5"/>
          <w:w w:val="105"/>
          <w:sz w:val="13"/>
        </w:rPr>
        <w:t> </w:t>
      </w:r>
      <w:r>
        <w:rPr>
          <w:spacing w:val="3"/>
          <w:w w:val="105"/>
          <w:sz w:val="13"/>
        </w:rPr>
        <w:t>(Dr</w:t>
      </w:r>
      <w:r>
        <w:rPr>
          <w:spacing w:val="4"/>
          <w:w w:val="105"/>
          <w:sz w:val="13"/>
        </w:rPr>
        <w:t> </w:t>
      </w:r>
      <w:r>
        <w:rPr>
          <w:w w:val="105"/>
          <w:sz w:val="13"/>
        </w:rPr>
        <w:t>Karen</w:t>
      </w:r>
      <w:r>
        <w:rPr>
          <w:spacing w:val="5"/>
          <w:w w:val="105"/>
          <w:sz w:val="13"/>
        </w:rPr>
        <w:t> </w:t>
      </w:r>
      <w:r>
        <w:rPr>
          <w:w w:val="105"/>
          <w:sz w:val="13"/>
        </w:rPr>
        <w:t>Smith),</w:t>
      </w:r>
      <w:r>
        <w:rPr>
          <w:spacing w:val="5"/>
          <w:w w:val="105"/>
          <w:sz w:val="13"/>
        </w:rPr>
        <w:t> </w:t>
      </w:r>
      <w:r>
        <w:rPr>
          <w:spacing w:val="-3"/>
          <w:w w:val="105"/>
          <w:sz w:val="13"/>
        </w:rPr>
        <w:t>19</w:t>
      </w:r>
      <w:r>
        <w:rPr>
          <w:spacing w:val="5"/>
          <w:w w:val="105"/>
          <w:sz w:val="13"/>
        </w:rPr>
        <w:t> </w:t>
      </w:r>
      <w:r>
        <w:rPr>
          <w:spacing w:val="2"/>
          <w:w w:val="105"/>
          <w:sz w:val="13"/>
        </w:rPr>
        <w:t>(Name</w:t>
      </w:r>
      <w:r>
        <w:rPr>
          <w:spacing w:val="4"/>
          <w:w w:val="105"/>
          <w:sz w:val="13"/>
        </w:rPr>
        <w:t> </w:t>
      </w:r>
      <w:r>
        <w:rPr>
          <w:w w:val="105"/>
          <w:sz w:val="13"/>
        </w:rPr>
        <w:t>withheld),</w:t>
      </w:r>
      <w:r>
        <w:rPr>
          <w:spacing w:val="5"/>
          <w:w w:val="105"/>
          <w:sz w:val="13"/>
        </w:rPr>
        <w:t> </w:t>
      </w:r>
      <w:r>
        <w:rPr>
          <w:w w:val="105"/>
          <w:sz w:val="13"/>
        </w:rPr>
        <w:t>21</w:t>
      </w:r>
      <w:r>
        <w:rPr>
          <w:spacing w:val="5"/>
          <w:w w:val="105"/>
          <w:sz w:val="13"/>
        </w:rPr>
        <w:t> </w:t>
      </w:r>
      <w:r>
        <w:rPr>
          <w:w w:val="105"/>
          <w:sz w:val="13"/>
        </w:rPr>
        <w:t>(Pointon</w:t>
      </w:r>
      <w:r>
        <w:rPr>
          <w:spacing w:val="5"/>
          <w:w w:val="105"/>
          <w:sz w:val="13"/>
        </w:rPr>
        <w:t> </w:t>
      </w:r>
      <w:r>
        <w:rPr>
          <w:w w:val="105"/>
          <w:sz w:val="13"/>
        </w:rPr>
        <w:t>Partners</w:t>
      </w:r>
      <w:r>
        <w:rPr>
          <w:spacing w:val="4"/>
          <w:w w:val="105"/>
          <w:sz w:val="13"/>
        </w:rPr>
        <w:t> </w:t>
      </w:r>
      <w:r>
        <w:rPr>
          <w:spacing w:val="2"/>
          <w:w w:val="105"/>
          <w:sz w:val="13"/>
        </w:rPr>
        <w:t>Lawyers).</w:t>
      </w:r>
    </w:p>
    <w:p>
      <w:pPr>
        <w:pStyle w:val="ListParagraph"/>
        <w:numPr>
          <w:ilvl w:val="0"/>
          <w:numId w:val="144"/>
        </w:numPr>
        <w:tabs>
          <w:tab w:pos="1226" w:val="left" w:leader="none"/>
          <w:tab w:pos="1227" w:val="left" w:leader="none"/>
        </w:tabs>
        <w:spacing w:line="240" w:lineRule="auto" w:before="1" w:after="0"/>
        <w:ind w:left="1226" w:right="0" w:hanging="794"/>
        <w:jc w:val="left"/>
        <w:rPr>
          <w:sz w:val="13"/>
        </w:rPr>
      </w:pPr>
      <w:r>
        <w:rPr>
          <w:w w:val="105"/>
          <w:sz w:val="13"/>
        </w:rPr>
        <w:t>Submissions</w:t>
      </w:r>
      <w:r>
        <w:rPr>
          <w:spacing w:val="4"/>
          <w:w w:val="105"/>
          <w:sz w:val="13"/>
        </w:rPr>
        <w:t> </w:t>
      </w:r>
      <w:r>
        <w:rPr>
          <w:w w:val="105"/>
          <w:sz w:val="13"/>
        </w:rPr>
        <w:t>2</w:t>
      </w:r>
      <w:r>
        <w:rPr>
          <w:spacing w:val="5"/>
          <w:w w:val="105"/>
          <w:sz w:val="13"/>
        </w:rPr>
        <w:t> </w:t>
      </w:r>
      <w:r>
        <w:rPr>
          <w:spacing w:val="2"/>
          <w:w w:val="105"/>
          <w:sz w:val="13"/>
        </w:rPr>
        <w:t>(Name</w:t>
      </w:r>
      <w:r>
        <w:rPr>
          <w:spacing w:val="4"/>
          <w:w w:val="105"/>
          <w:sz w:val="13"/>
        </w:rPr>
        <w:t> </w:t>
      </w:r>
      <w:r>
        <w:rPr>
          <w:w w:val="105"/>
          <w:sz w:val="13"/>
        </w:rPr>
        <w:t>withheld),</w:t>
      </w:r>
      <w:r>
        <w:rPr>
          <w:spacing w:val="5"/>
          <w:w w:val="105"/>
          <w:sz w:val="13"/>
        </w:rPr>
        <w:t> </w:t>
      </w:r>
      <w:r>
        <w:rPr>
          <w:w w:val="105"/>
          <w:sz w:val="13"/>
        </w:rPr>
        <w:t>9</w:t>
      </w:r>
      <w:r>
        <w:rPr>
          <w:spacing w:val="4"/>
          <w:w w:val="105"/>
          <w:sz w:val="13"/>
        </w:rPr>
        <w:t> </w:t>
      </w:r>
      <w:r>
        <w:rPr>
          <w:spacing w:val="3"/>
          <w:w w:val="105"/>
          <w:sz w:val="13"/>
        </w:rPr>
        <w:t>(Dr</w:t>
      </w:r>
      <w:r>
        <w:rPr>
          <w:spacing w:val="5"/>
          <w:w w:val="105"/>
          <w:sz w:val="13"/>
        </w:rPr>
        <w:t> </w:t>
      </w:r>
      <w:r>
        <w:rPr>
          <w:w w:val="105"/>
          <w:sz w:val="13"/>
        </w:rPr>
        <w:t>Karen</w:t>
      </w:r>
      <w:r>
        <w:rPr>
          <w:spacing w:val="4"/>
          <w:w w:val="105"/>
          <w:sz w:val="13"/>
        </w:rPr>
        <w:t> </w:t>
      </w:r>
      <w:r>
        <w:rPr>
          <w:w w:val="105"/>
          <w:sz w:val="13"/>
        </w:rPr>
        <w:t>Smith),</w:t>
      </w:r>
      <w:r>
        <w:rPr>
          <w:spacing w:val="5"/>
          <w:w w:val="105"/>
          <w:sz w:val="13"/>
        </w:rPr>
        <w:t> </w:t>
      </w:r>
      <w:r>
        <w:rPr>
          <w:spacing w:val="-3"/>
          <w:w w:val="105"/>
          <w:sz w:val="13"/>
        </w:rPr>
        <w:t>19</w:t>
      </w:r>
      <w:r>
        <w:rPr>
          <w:spacing w:val="5"/>
          <w:w w:val="105"/>
          <w:sz w:val="13"/>
        </w:rPr>
        <w:t> </w:t>
      </w:r>
      <w:r>
        <w:rPr>
          <w:spacing w:val="2"/>
          <w:w w:val="105"/>
          <w:sz w:val="13"/>
        </w:rPr>
        <w:t>(Name</w:t>
      </w:r>
      <w:r>
        <w:rPr>
          <w:spacing w:val="4"/>
          <w:w w:val="105"/>
          <w:sz w:val="13"/>
        </w:rPr>
        <w:t> </w:t>
      </w:r>
      <w:r>
        <w:rPr>
          <w:w w:val="105"/>
          <w:sz w:val="13"/>
        </w:rPr>
        <w:t>withheld),</w:t>
      </w:r>
      <w:r>
        <w:rPr>
          <w:spacing w:val="5"/>
          <w:w w:val="105"/>
          <w:sz w:val="13"/>
        </w:rPr>
        <w:t> </w:t>
      </w:r>
      <w:r>
        <w:rPr>
          <w:w w:val="105"/>
          <w:sz w:val="13"/>
        </w:rPr>
        <w:t>21</w:t>
      </w:r>
      <w:r>
        <w:rPr>
          <w:spacing w:val="4"/>
          <w:w w:val="105"/>
          <w:sz w:val="13"/>
        </w:rPr>
        <w:t> </w:t>
      </w:r>
      <w:r>
        <w:rPr>
          <w:w w:val="105"/>
          <w:sz w:val="13"/>
        </w:rPr>
        <w:t>(Pointon</w:t>
      </w:r>
      <w:r>
        <w:rPr>
          <w:spacing w:val="5"/>
          <w:w w:val="105"/>
          <w:sz w:val="13"/>
        </w:rPr>
        <w:t> </w:t>
      </w:r>
      <w:r>
        <w:rPr>
          <w:w w:val="105"/>
          <w:sz w:val="13"/>
        </w:rPr>
        <w:t>Partners</w:t>
      </w:r>
      <w:r>
        <w:rPr>
          <w:spacing w:val="4"/>
          <w:w w:val="105"/>
          <w:sz w:val="13"/>
        </w:rPr>
        <w:t> </w:t>
      </w:r>
      <w:r>
        <w:rPr>
          <w:spacing w:val="2"/>
          <w:w w:val="105"/>
          <w:sz w:val="13"/>
        </w:rPr>
        <w:t>Lawyers).</w:t>
      </w:r>
    </w:p>
    <w:p>
      <w:pPr>
        <w:pStyle w:val="ListParagraph"/>
        <w:numPr>
          <w:ilvl w:val="0"/>
          <w:numId w:val="144"/>
        </w:numPr>
        <w:tabs>
          <w:tab w:pos="1226" w:val="left" w:leader="none"/>
          <w:tab w:pos="1227" w:val="left" w:leader="none"/>
        </w:tabs>
        <w:spacing w:line="240" w:lineRule="auto" w:before="1" w:after="0"/>
        <w:ind w:left="1226" w:right="0" w:hanging="794"/>
        <w:jc w:val="left"/>
        <w:rPr>
          <w:sz w:val="13"/>
        </w:rPr>
      </w:pPr>
      <w:r>
        <w:rPr>
          <w:w w:val="105"/>
          <w:sz w:val="13"/>
        </w:rPr>
        <w:t>Submissions</w:t>
      </w:r>
      <w:r>
        <w:rPr>
          <w:spacing w:val="4"/>
          <w:w w:val="105"/>
          <w:sz w:val="13"/>
        </w:rPr>
        <w:t> </w:t>
      </w:r>
      <w:r>
        <w:rPr>
          <w:w w:val="105"/>
          <w:sz w:val="13"/>
        </w:rPr>
        <w:t>4</w:t>
      </w:r>
      <w:r>
        <w:rPr>
          <w:spacing w:val="5"/>
          <w:w w:val="105"/>
          <w:sz w:val="13"/>
        </w:rPr>
        <w:t> </w:t>
      </w:r>
      <w:r>
        <w:rPr>
          <w:spacing w:val="2"/>
          <w:w w:val="105"/>
          <w:sz w:val="13"/>
        </w:rPr>
        <w:t>(Name</w:t>
      </w:r>
      <w:r>
        <w:rPr>
          <w:spacing w:val="4"/>
          <w:w w:val="105"/>
          <w:sz w:val="13"/>
        </w:rPr>
        <w:t> </w:t>
      </w:r>
      <w:r>
        <w:rPr>
          <w:w w:val="105"/>
          <w:sz w:val="13"/>
        </w:rPr>
        <w:t>withheld),</w:t>
      </w:r>
      <w:r>
        <w:rPr>
          <w:spacing w:val="5"/>
          <w:w w:val="105"/>
          <w:sz w:val="13"/>
        </w:rPr>
        <w:t> </w:t>
      </w:r>
      <w:r>
        <w:rPr>
          <w:w w:val="105"/>
          <w:sz w:val="13"/>
        </w:rPr>
        <w:t>21</w:t>
      </w:r>
      <w:r>
        <w:rPr>
          <w:spacing w:val="5"/>
          <w:w w:val="105"/>
          <w:sz w:val="13"/>
        </w:rPr>
        <w:t> </w:t>
      </w:r>
      <w:r>
        <w:rPr>
          <w:w w:val="105"/>
          <w:sz w:val="13"/>
        </w:rPr>
        <w:t>(Pointon</w:t>
      </w:r>
      <w:r>
        <w:rPr>
          <w:spacing w:val="4"/>
          <w:w w:val="105"/>
          <w:sz w:val="13"/>
        </w:rPr>
        <w:t> </w:t>
      </w:r>
      <w:r>
        <w:rPr>
          <w:w w:val="105"/>
          <w:sz w:val="13"/>
        </w:rPr>
        <w:t>Partners</w:t>
      </w:r>
      <w:r>
        <w:rPr>
          <w:spacing w:val="5"/>
          <w:w w:val="105"/>
          <w:sz w:val="13"/>
        </w:rPr>
        <w:t> </w:t>
      </w:r>
      <w:r>
        <w:rPr>
          <w:spacing w:val="2"/>
          <w:w w:val="105"/>
          <w:sz w:val="13"/>
        </w:rPr>
        <w:t>Lawyers),</w:t>
      </w:r>
      <w:r>
        <w:rPr>
          <w:spacing w:val="5"/>
          <w:w w:val="105"/>
          <w:sz w:val="13"/>
        </w:rPr>
        <w:t> </w:t>
      </w:r>
      <w:r>
        <w:rPr>
          <w:w w:val="105"/>
          <w:sz w:val="13"/>
        </w:rPr>
        <w:t>25</w:t>
      </w:r>
      <w:r>
        <w:rPr>
          <w:spacing w:val="4"/>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p>
    <w:p>
      <w:pPr>
        <w:pStyle w:val="ListParagraph"/>
        <w:numPr>
          <w:ilvl w:val="0"/>
          <w:numId w:val="144"/>
        </w:numPr>
        <w:tabs>
          <w:tab w:pos="1226" w:val="left" w:leader="none"/>
          <w:tab w:pos="1227" w:val="left" w:leader="none"/>
        </w:tabs>
        <w:spacing w:line="240" w:lineRule="auto" w:before="2" w:after="0"/>
        <w:ind w:left="1226" w:right="0" w:hanging="794"/>
        <w:jc w:val="left"/>
        <w:rPr>
          <w:sz w:val="13"/>
        </w:rPr>
      </w:pPr>
      <w:r>
        <w:rPr>
          <w:w w:val="105"/>
          <w:sz w:val="13"/>
        </w:rPr>
        <w:t>Submission 7 </w:t>
      </w:r>
      <w:r>
        <w:rPr>
          <w:spacing w:val="2"/>
          <w:w w:val="105"/>
          <w:sz w:val="13"/>
        </w:rPr>
        <w:t>(Ben</w:t>
      </w:r>
      <w:r>
        <w:rPr>
          <w:spacing w:val="13"/>
          <w:w w:val="105"/>
          <w:sz w:val="13"/>
        </w:rPr>
        <w:t> </w:t>
      </w:r>
      <w:r>
        <w:rPr>
          <w:w w:val="105"/>
          <w:sz w:val="13"/>
        </w:rPr>
        <w:t>Kenyon).</w:t>
      </w:r>
    </w:p>
    <w:p>
      <w:pPr>
        <w:pStyle w:val="ListParagraph"/>
        <w:numPr>
          <w:ilvl w:val="0"/>
          <w:numId w:val="144"/>
        </w:numPr>
        <w:tabs>
          <w:tab w:pos="1226" w:val="left" w:leader="none"/>
          <w:tab w:pos="1227" w:val="left" w:leader="none"/>
        </w:tabs>
        <w:spacing w:line="240" w:lineRule="auto" w:before="1" w:after="0"/>
        <w:ind w:left="1226" w:right="0" w:hanging="794"/>
        <w:jc w:val="left"/>
        <w:rPr>
          <w:sz w:val="13"/>
        </w:rPr>
      </w:pPr>
      <w:r>
        <w:rPr>
          <w:w w:val="105"/>
          <w:sz w:val="13"/>
        </w:rPr>
        <w:t>Submissions 20 </w:t>
      </w:r>
      <w:r>
        <w:rPr>
          <w:spacing w:val="2"/>
          <w:w w:val="105"/>
          <w:sz w:val="13"/>
        </w:rPr>
        <w:t>(Name </w:t>
      </w:r>
      <w:r>
        <w:rPr>
          <w:w w:val="105"/>
          <w:sz w:val="13"/>
        </w:rPr>
        <w:t>withheld); Confidential</w:t>
      </w:r>
      <w:r>
        <w:rPr>
          <w:spacing w:val="21"/>
          <w:w w:val="105"/>
          <w:sz w:val="13"/>
        </w:rPr>
        <w:t> </w:t>
      </w:r>
      <w:r>
        <w:rPr>
          <w:w w:val="105"/>
          <w:sz w:val="13"/>
        </w:rPr>
        <w:t>submission.</w:t>
      </w:r>
    </w:p>
    <w:p>
      <w:pPr>
        <w:pStyle w:val="ListParagraph"/>
        <w:numPr>
          <w:ilvl w:val="0"/>
          <w:numId w:val="144"/>
        </w:numPr>
        <w:tabs>
          <w:tab w:pos="1226" w:val="left" w:leader="none"/>
          <w:tab w:pos="1227" w:val="left" w:leader="none"/>
        </w:tabs>
        <w:spacing w:line="240" w:lineRule="auto" w:before="1" w:after="0"/>
        <w:ind w:left="1226" w:right="0" w:hanging="793"/>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144"/>
        </w:numPr>
        <w:tabs>
          <w:tab w:pos="1226" w:val="left" w:leader="none"/>
          <w:tab w:pos="1227" w:val="left" w:leader="none"/>
        </w:tabs>
        <w:spacing w:line="240" w:lineRule="auto" w:before="2" w:after="0"/>
        <w:ind w:left="1226" w:right="0" w:hanging="793"/>
        <w:jc w:val="left"/>
        <w:rPr>
          <w:sz w:val="13"/>
        </w:rPr>
      </w:pPr>
      <w:r>
        <w:rPr>
          <w:w w:val="105"/>
          <w:sz w:val="13"/>
        </w:rPr>
        <w:t>Submission</w:t>
      </w:r>
      <w:r>
        <w:rPr>
          <w:spacing w:val="5"/>
          <w:w w:val="105"/>
          <w:sz w:val="13"/>
        </w:rPr>
        <w:t> </w:t>
      </w:r>
      <w:r>
        <w:rPr>
          <w:w w:val="105"/>
          <w:sz w:val="13"/>
        </w:rPr>
        <w:t>25</w:t>
      </w:r>
      <w:r>
        <w:rPr>
          <w:spacing w:val="5"/>
          <w:w w:val="105"/>
          <w:sz w:val="13"/>
        </w:rPr>
        <w:t> </w:t>
      </w:r>
      <w:r>
        <w:rPr>
          <w:w w:val="105"/>
          <w:sz w:val="13"/>
        </w:rPr>
        <w:t>(City</w:t>
      </w:r>
      <w:r>
        <w:rPr>
          <w:spacing w:val="5"/>
          <w:w w:val="105"/>
          <w:sz w:val="13"/>
        </w:rPr>
        <w:t> </w:t>
      </w:r>
      <w:r>
        <w:rPr>
          <w:w w:val="105"/>
          <w:sz w:val="13"/>
        </w:rPr>
        <w:t>of</w:t>
      </w:r>
      <w:r>
        <w:rPr>
          <w:spacing w:val="6"/>
          <w:w w:val="105"/>
          <w:sz w:val="13"/>
        </w:rPr>
        <w:t> </w:t>
      </w:r>
      <w:r>
        <w:rPr>
          <w:w w:val="105"/>
          <w:sz w:val="13"/>
        </w:rPr>
        <w:t>Boroondara);</w:t>
      </w:r>
      <w:r>
        <w:rPr>
          <w:spacing w:val="5"/>
          <w:w w:val="105"/>
          <w:sz w:val="13"/>
        </w:rPr>
        <w:t> </w:t>
      </w:r>
      <w:r>
        <w:rPr>
          <w:w w:val="105"/>
          <w:sz w:val="13"/>
        </w:rPr>
        <w:t>Consultations</w:t>
      </w:r>
      <w:r>
        <w:rPr>
          <w:spacing w:val="5"/>
          <w:w w:val="105"/>
          <w:sz w:val="13"/>
        </w:rPr>
        <w:t> </w:t>
      </w:r>
      <w:r>
        <w:rPr>
          <w:w w:val="105"/>
          <w:sz w:val="13"/>
        </w:rPr>
        <w:t>2</w:t>
      </w:r>
      <w:r>
        <w:rPr>
          <w:spacing w:val="5"/>
          <w:w w:val="105"/>
          <w:sz w:val="13"/>
        </w:rPr>
        <w:t> </w:t>
      </w:r>
      <w:r>
        <w:rPr>
          <w:spacing w:val="3"/>
          <w:w w:val="105"/>
          <w:sz w:val="13"/>
        </w:rPr>
        <w:t>(Dr</w:t>
      </w:r>
      <w:r>
        <w:rPr>
          <w:spacing w:val="6"/>
          <w:w w:val="105"/>
          <w:sz w:val="13"/>
        </w:rPr>
        <w:t> </w:t>
      </w:r>
      <w:r>
        <w:rPr>
          <w:w w:val="105"/>
          <w:sz w:val="13"/>
        </w:rPr>
        <w:t>Gregory</w:t>
      </w:r>
      <w:r>
        <w:rPr>
          <w:spacing w:val="5"/>
          <w:w w:val="105"/>
          <w:sz w:val="13"/>
        </w:rPr>
        <w:t> </w:t>
      </w:r>
      <w:r>
        <w:rPr>
          <w:w w:val="105"/>
          <w:sz w:val="13"/>
        </w:rPr>
        <w:t>Moore</w:t>
      </w:r>
      <w:r>
        <w:rPr>
          <w:spacing w:val="5"/>
          <w:w w:val="105"/>
          <w:sz w:val="13"/>
        </w:rPr>
        <w:t> </w:t>
      </w:r>
      <w:r>
        <w:rPr>
          <w:spacing w:val="2"/>
          <w:w w:val="105"/>
          <w:sz w:val="13"/>
        </w:rPr>
        <w:t>OAM),</w:t>
      </w:r>
      <w:r>
        <w:rPr>
          <w:spacing w:val="6"/>
          <w:w w:val="105"/>
          <w:sz w:val="13"/>
        </w:rPr>
        <w:t> </w:t>
      </w:r>
      <w:r>
        <w:rPr>
          <w:w w:val="105"/>
          <w:sz w:val="13"/>
        </w:rPr>
        <w:t>9</w:t>
      </w:r>
      <w:r>
        <w:rPr>
          <w:spacing w:val="5"/>
          <w:w w:val="105"/>
          <w:sz w:val="13"/>
        </w:rPr>
        <w:t> </w:t>
      </w:r>
      <w:r>
        <w:rPr>
          <w:w w:val="105"/>
          <w:sz w:val="13"/>
        </w:rPr>
        <w:t>(Nillumbik</w:t>
      </w:r>
      <w:r>
        <w:rPr>
          <w:spacing w:val="5"/>
          <w:w w:val="105"/>
          <w:sz w:val="13"/>
        </w:rPr>
        <w:t> </w:t>
      </w:r>
      <w:r>
        <w:rPr>
          <w:w w:val="105"/>
          <w:sz w:val="13"/>
        </w:rPr>
        <w:t>Shire</w:t>
      </w:r>
      <w:r>
        <w:rPr>
          <w:spacing w:val="5"/>
          <w:w w:val="105"/>
          <w:sz w:val="13"/>
        </w:rPr>
        <w:t> </w:t>
      </w:r>
      <w:r>
        <w:rPr>
          <w:w w:val="105"/>
          <w:sz w:val="13"/>
        </w:rPr>
        <w:t>Council).</w:t>
      </w:r>
    </w:p>
    <w:p>
      <w:pPr>
        <w:pStyle w:val="ListParagraph"/>
        <w:numPr>
          <w:ilvl w:val="0"/>
          <w:numId w:val="144"/>
        </w:numPr>
        <w:tabs>
          <w:tab w:pos="1226" w:val="left" w:leader="none"/>
          <w:tab w:pos="1227" w:val="left" w:leader="none"/>
        </w:tabs>
        <w:spacing w:line="240" w:lineRule="auto" w:before="1" w:after="0"/>
        <w:ind w:left="1226" w:right="0" w:hanging="793"/>
        <w:jc w:val="left"/>
        <w:rPr>
          <w:sz w:val="13"/>
        </w:rPr>
      </w:pPr>
      <w:r>
        <w:rPr>
          <w:w w:val="105"/>
          <w:sz w:val="13"/>
        </w:rPr>
        <w:t>Consultation 2 </w:t>
      </w:r>
      <w:r>
        <w:rPr>
          <w:spacing w:val="3"/>
          <w:w w:val="105"/>
          <w:sz w:val="13"/>
        </w:rPr>
        <w:t>(Dr </w:t>
      </w:r>
      <w:r>
        <w:rPr>
          <w:w w:val="105"/>
          <w:sz w:val="13"/>
        </w:rPr>
        <w:t>Gregory Moore</w:t>
      </w:r>
      <w:r>
        <w:rPr>
          <w:spacing w:val="20"/>
          <w:w w:val="105"/>
          <w:sz w:val="13"/>
        </w:rPr>
        <w:t> </w:t>
      </w:r>
      <w:r>
        <w:rPr>
          <w:spacing w:val="2"/>
          <w:w w:val="105"/>
          <w:sz w:val="13"/>
        </w:rPr>
        <w:t>OAM).</w:t>
      </w:r>
    </w:p>
    <w:p>
      <w:pPr>
        <w:pStyle w:val="ListParagraph"/>
        <w:numPr>
          <w:ilvl w:val="0"/>
          <w:numId w:val="144"/>
        </w:numPr>
        <w:tabs>
          <w:tab w:pos="1226" w:val="left" w:leader="none"/>
          <w:tab w:pos="1227" w:val="left" w:leader="none"/>
        </w:tabs>
        <w:spacing w:line="240" w:lineRule="auto" w:before="1" w:after="0"/>
        <w:ind w:left="1226" w:right="0" w:hanging="793"/>
        <w:jc w:val="left"/>
        <w:rPr>
          <w:sz w:val="13"/>
        </w:rPr>
      </w:pPr>
      <w:r>
        <w:rPr>
          <w:w w:val="105"/>
          <w:sz w:val="13"/>
        </w:rPr>
        <w:t>Consultation </w:t>
      </w:r>
      <w:r>
        <w:rPr>
          <w:spacing w:val="-3"/>
          <w:w w:val="105"/>
          <w:sz w:val="13"/>
        </w:rPr>
        <w:t>14 </w:t>
      </w:r>
      <w:r>
        <w:rPr>
          <w:spacing w:val="2"/>
          <w:w w:val="105"/>
          <w:sz w:val="13"/>
        </w:rPr>
        <w:t>(Robert</w:t>
      </w:r>
      <w:r>
        <w:rPr>
          <w:spacing w:val="16"/>
          <w:w w:val="105"/>
          <w:sz w:val="13"/>
        </w:rPr>
        <w:t> </w:t>
      </w:r>
      <w:r>
        <w:rPr>
          <w:spacing w:val="2"/>
          <w:w w:val="105"/>
          <w:sz w:val="13"/>
        </w:rPr>
        <w:t>Mineo).</w:t>
      </w:r>
    </w:p>
    <w:p>
      <w:pPr>
        <w:pStyle w:val="ListParagraph"/>
        <w:numPr>
          <w:ilvl w:val="0"/>
          <w:numId w:val="144"/>
        </w:numPr>
        <w:tabs>
          <w:tab w:pos="1226" w:val="left" w:leader="none"/>
          <w:tab w:pos="1227" w:val="left" w:leader="none"/>
        </w:tabs>
        <w:spacing w:line="240" w:lineRule="auto" w:before="2" w:after="0"/>
        <w:ind w:left="1226" w:right="0" w:hanging="793"/>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144"/>
        </w:numPr>
        <w:tabs>
          <w:tab w:pos="1226" w:val="left" w:leader="none"/>
          <w:tab w:pos="1227" w:val="left" w:leader="none"/>
        </w:tabs>
        <w:spacing w:line="240" w:lineRule="auto" w:before="1" w:after="0"/>
        <w:ind w:left="1226" w:right="0" w:hanging="793"/>
        <w:jc w:val="left"/>
        <w:rPr>
          <w:sz w:val="13"/>
        </w:rPr>
      </w:pPr>
      <w:r>
        <w:rPr>
          <w:w w:val="105"/>
          <w:sz w:val="13"/>
        </w:rPr>
        <w:t>Baw</w:t>
      </w:r>
      <w:r>
        <w:rPr>
          <w:spacing w:val="5"/>
          <w:w w:val="105"/>
          <w:sz w:val="13"/>
        </w:rPr>
        <w:t> </w:t>
      </w:r>
      <w:r>
        <w:rPr>
          <w:w w:val="105"/>
          <w:sz w:val="13"/>
        </w:rPr>
        <w:t>Baw</w:t>
      </w:r>
      <w:r>
        <w:rPr>
          <w:spacing w:val="5"/>
          <w:w w:val="105"/>
          <w:sz w:val="13"/>
        </w:rPr>
        <w:t> </w:t>
      </w:r>
      <w:r>
        <w:rPr>
          <w:w w:val="105"/>
          <w:sz w:val="13"/>
        </w:rPr>
        <w:t>Shire</w:t>
      </w:r>
      <w:r>
        <w:rPr>
          <w:spacing w:val="5"/>
          <w:w w:val="105"/>
          <w:sz w:val="13"/>
        </w:rPr>
        <w:t> </w:t>
      </w:r>
      <w:r>
        <w:rPr>
          <w:w w:val="105"/>
          <w:sz w:val="13"/>
        </w:rPr>
        <w:t>Council,</w:t>
      </w:r>
      <w:r>
        <w:rPr>
          <w:spacing w:val="5"/>
          <w:w w:val="105"/>
          <w:sz w:val="13"/>
        </w:rPr>
        <w:t> </w:t>
      </w:r>
      <w:r>
        <w:rPr>
          <w:i/>
          <w:w w:val="105"/>
          <w:sz w:val="13"/>
        </w:rPr>
        <w:t>Baw</w:t>
      </w:r>
      <w:r>
        <w:rPr>
          <w:i/>
          <w:spacing w:val="5"/>
          <w:w w:val="105"/>
          <w:sz w:val="13"/>
        </w:rPr>
        <w:t> </w:t>
      </w:r>
      <w:r>
        <w:rPr>
          <w:i/>
          <w:w w:val="105"/>
          <w:sz w:val="13"/>
        </w:rPr>
        <w:t>Baw</w:t>
      </w:r>
      <w:r>
        <w:rPr>
          <w:i/>
          <w:spacing w:val="5"/>
          <w:w w:val="105"/>
          <w:sz w:val="13"/>
        </w:rPr>
        <w:t> </w:t>
      </w:r>
      <w:r>
        <w:rPr>
          <w:i/>
          <w:w w:val="105"/>
          <w:sz w:val="13"/>
        </w:rPr>
        <w:t>Planning</w:t>
      </w:r>
      <w:r>
        <w:rPr>
          <w:i/>
          <w:spacing w:val="6"/>
          <w:w w:val="105"/>
          <w:sz w:val="13"/>
        </w:rPr>
        <w:t> </w:t>
      </w:r>
      <w:r>
        <w:rPr>
          <w:i/>
          <w:w w:val="105"/>
          <w:sz w:val="13"/>
        </w:rPr>
        <w:t>Scheme</w:t>
      </w:r>
      <w:r>
        <w:rPr>
          <w:i/>
          <w:spacing w:val="5"/>
          <w:w w:val="105"/>
          <w:sz w:val="13"/>
        </w:rPr>
        <w:t> </w:t>
      </w:r>
      <w:r>
        <w:rPr>
          <w:w w:val="105"/>
          <w:sz w:val="13"/>
        </w:rPr>
        <w:t>(3</w:t>
      </w:r>
      <w:r>
        <w:rPr>
          <w:spacing w:val="5"/>
          <w:w w:val="105"/>
          <w:sz w:val="13"/>
        </w:rPr>
        <w:t> </w:t>
      </w:r>
      <w:r>
        <w:rPr>
          <w:w w:val="105"/>
          <w:sz w:val="13"/>
        </w:rPr>
        <w:t>May</w:t>
      </w:r>
      <w:r>
        <w:rPr>
          <w:spacing w:val="5"/>
          <w:w w:val="105"/>
          <w:sz w:val="13"/>
        </w:rPr>
        <w:t> </w:t>
      </w:r>
      <w:r>
        <w:rPr>
          <w:w w:val="105"/>
          <w:sz w:val="13"/>
        </w:rPr>
        <w:t>2019)</w:t>
      </w:r>
      <w:r>
        <w:rPr>
          <w:spacing w:val="5"/>
          <w:w w:val="105"/>
          <w:sz w:val="13"/>
        </w:rPr>
        <w:t> </w:t>
      </w:r>
      <w:r>
        <w:rPr>
          <w:w w:val="105"/>
          <w:sz w:val="13"/>
        </w:rPr>
        <w:t>cl</w:t>
      </w:r>
      <w:r>
        <w:rPr>
          <w:spacing w:val="5"/>
          <w:w w:val="105"/>
          <w:sz w:val="13"/>
        </w:rPr>
        <w:t> </w:t>
      </w:r>
      <w:r>
        <w:rPr>
          <w:w w:val="105"/>
          <w:sz w:val="13"/>
        </w:rPr>
        <w:t>42.03</w:t>
      </w:r>
      <w:r>
        <w:rPr>
          <w:spacing w:val="6"/>
          <w:w w:val="105"/>
          <w:sz w:val="13"/>
        </w:rPr>
        <w:t> </w:t>
      </w:r>
      <w:r>
        <w:rPr>
          <w:w w:val="105"/>
          <w:sz w:val="13"/>
        </w:rPr>
        <w:t>sch</w:t>
      </w:r>
      <w:r>
        <w:rPr>
          <w:spacing w:val="5"/>
          <w:w w:val="105"/>
          <w:sz w:val="13"/>
        </w:rPr>
        <w:t> </w:t>
      </w:r>
      <w:r>
        <w:rPr>
          <w:w w:val="105"/>
          <w:sz w:val="13"/>
        </w:rPr>
        <w:t>3,</w:t>
      </w:r>
      <w:r>
        <w:rPr>
          <w:spacing w:val="5"/>
          <w:w w:val="105"/>
          <w:sz w:val="13"/>
        </w:rPr>
        <w:t> </w:t>
      </w:r>
      <w:r>
        <w:rPr>
          <w:w w:val="105"/>
          <w:sz w:val="13"/>
        </w:rPr>
        <w:t>4.0</w:t>
      </w:r>
      <w:r>
        <w:rPr>
          <w:spacing w:val="5"/>
          <w:w w:val="105"/>
          <w:sz w:val="13"/>
        </w:rPr>
        <w:t> </w:t>
      </w:r>
      <w:r>
        <w:rPr>
          <w:w w:val="105"/>
          <w:sz w:val="13"/>
        </w:rPr>
        <w:t>Decision</w:t>
      </w:r>
      <w:r>
        <w:rPr>
          <w:spacing w:val="5"/>
          <w:w w:val="105"/>
          <w:sz w:val="13"/>
        </w:rPr>
        <w:t> </w:t>
      </w:r>
      <w:r>
        <w:rPr>
          <w:w w:val="105"/>
          <w:sz w:val="13"/>
        </w:rPr>
        <w:t>guidelines.</w:t>
      </w:r>
    </w:p>
    <w:p>
      <w:pPr>
        <w:spacing w:after="0" w:line="240" w:lineRule="auto"/>
        <w:jc w:val="left"/>
        <w:rPr>
          <w:sz w:val="13"/>
        </w:rPr>
        <w:sectPr>
          <w:type w:val="continuous"/>
          <w:pgSz w:w="11910" w:h="16840"/>
          <w:pgMar w:top="300" w:bottom="280" w:left="0" w:right="0"/>
          <w:cols w:num="2" w:equalWidth="0">
            <w:col w:w="1115" w:space="40"/>
            <w:col w:w="10755"/>
          </w:cols>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584" w:hanging="794"/>
        <w:jc w:val="left"/>
        <w:rPr>
          <w:sz w:val="21"/>
        </w:rPr>
      </w:pPr>
      <w:bookmarkStart w:name="The Commission’s conclusions—orders avai" w:id="221"/>
      <w:bookmarkEnd w:id="221"/>
      <w:r>
        <w:rPr/>
      </w:r>
      <w:bookmarkStart w:name="_bookmark105" w:id="222"/>
      <w:bookmarkEnd w:id="222"/>
      <w:r>
        <w:rPr/>
      </w:r>
      <w:bookmarkStart w:name="_bookmark105" w:id="223"/>
      <w:bookmarkEnd w:id="223"/>
      <w:r>
        <w:rPr>
          <w:sz w:val="21"/>
        </w:rPr>
        <w:t>T</w:t>
      </w:r>
      <w:r>
        <w:rPr>
          <w:sz w:val="21"/>
        </w:rPr>
        <w:t>he </w:t>
      </w:r>
      <w:r>
        <w:rPr>
          <w:spacing w:val="-3"/>
          <w:sz w:val="21"/>
        </w:rPr>
        <w:t>City </w:t>
      </w:r>
      <w:r>
        <w:rPr>
          <w:sz w:val="21"/>
        </w:rPr>
        <w:t>of </w:t>
      </w:r>
      <w:r>
        <w:rPr>
          <w:spacing w:val="-3"/>
          <w:sz w:val="21"/>
        </w:rPr>
        <w:t>Boroondara </w:t>
      </w:r>
      <w:r>
        <w:rPr>
          <w:sz w:val="21"/>
        </w:rPr>
        <w:t>advised </w:t>
      </w:r>
      <w:r>
        <w:rPr>
          <w:spacing w:val="-3"/>
          <w:sz w:val="21"/>
        </w:rPr>
        <w:t>that </w:t>
      </w:r>
      <w:r>
        <w:rPr>
          <w:sz w:val="21"/>
        </w:rPr>
        <w:t>it  </w:t>
      </w:r>
      <w:r>
        <w:rPr>
          <w:spacing w:val="-3"/>
          <w:sz w:val="21"/>
        </w:rPr>
        <w:t>may  require  </w:t>
      </w:r>
      <w:r>
        <w:rPr>
          <w:sz w:val="21"/>
        </w:rPr>
        <w:t>a  </w:t>
      </w:r>
      <w:r>
        <w:rPr>
          <w:spacing w:val="-3"/>
          <w:sz w:val="21"/>
        </w:rPr>
        <w:t>replacement  </w:t>
      </w:r>
      <w:r>
        <w:rPr>
          <w:sz w:val="21"/>
        </w:rPr>
        <w:t>tree  </w:t>
      </w:r>
      <w:r>
        <w:rPr>
          <w:spacing w:val="-3"/>
          <w:sz w:val="21"/>
        </w:rPr>
        <w:t>to  </w:t>
      </w:r>
      <w:r>
        <w:rPr>
          <w:sz w:val="21"/>
        </w:rPr>
        <w:t>be  </w:t>
      </w:r>
      <w:r>
        <w:rPr>
          <w:spacing w:val="-3"/>
          <w:sz w:val="21"/>
        </w:rPr>
        <w:t>planted </w:t>
      </w:r>
      <w:r>
        <w:rPr>
          <w:sz w:val="21"/>
        </w:rPr>
        <w:t>where residents </w:t>
      </w:r>
      <w:r>
        <w:rPr>
          <w:spacing w:val="-3"/>
          <w:sz w:val="21"/>
        </w:rPr>
        <w:t>illegally remove, damage, kill </w:t>
      </w:r>
      <w:r>
        <w:rPr>
          <w:sz w:val="21"/>
        </w:rPr>
        <w:t>or destroy protected trees without a permit under its local </w:t>
      </w:r>
      <w:r>
        <w:rPr>
          <w:spacing w:val="-4"/>
          <w:sz w:val="21"/>
        </w:rPr>
        <w:t>law.</w:t>
      </w:r>
      <w:r>
        <w:rPr>
          <w:spacing w:val="-4"/>
          <w:position w:val="7"/>
          <w:sz w:val="12"/>
        </w:rPr>
        <w:t>31 </w:t>
      </w:r>
      <w:r>
        <w:rPr>
          <w:sz w:val="21"/>
        </w:rPr>
        <w:t>A fine </w:t>
      </w:r>
      <w:r>
        <w:rPr>
          <w:spacing w:val="-3"/>
          <w:sz w:val="21"/>
        </w:rPr>
        <w:t>may </w:t>
      </w:r>
      <w:r>
        <w:rPr>
          <w:sz w:val="21"/>
        </w:rPr>
        <w:t>also be issued under local </w:t>
      </w:r>
      <w:r>
        <w:rPr>
          <w:spacing w:val="-5"/>
          <w:sz w:val="21"/>
        </w:rPr>
        <w:t>law. </w:t>
      </w:r>
      <w:r>
        <w:rPr>
          <w:spacing w:val="-3"/>
          <w:sz w:val="21"/>
        </w:rPr>
        <w:t>Replacement planting may include planting </w:t>
      </w:r>
      <w:r>
        <w:rPr>
          <w:sz w:val="21"/>
        </w:rPr>
        <w:t>an established tree of a particular species and in the same position on the </w:t>
      </w:r>
      <w:r>
        <w:rPr>
          <w:spacing w:val="-3"/>
          <w:sz w:val="21"/>
        </w:rPr>
        <w:t>site to neutralise potential </w:t>
      </w:r>
      <w:r>
        <w:rPr>
          <w:sz w:val="21"/>
        </w:rPr>
        <w:t>advantage  </w:t>
      </w:r>
      <w:r>
        <w:rPr>
          <w:spacing w:val="-3"/>
          <w:sz w:val="21"/>
        </w:rPr>
        <w:t>gained  from  illegal  </w:t>
      </w:r>
      <w:r>
        <w:rPr>
          <w:sz w:val="21"/>
        </w:rPr>
        <w:t>tree  works  and  </w:t>
      </w:r>
      <w:r>
        <w:rPr>
          <w:spacing w:val="-3"/>
          <w:sz w:val="21"/>
        </w:rPr>
        <w:t>to  ensure  that </w:t>
      </w:r>
      <w:r>
        <w:rPr>
          <w:sz w:val="21"/>
        </w:rPr>
        <w:t>the</w:t>
      </w:r>
      <w:r>
        <w:rPr>
          <w:spacing w:val="9"/>
          <w:sz w:val="21"/>
        </w:rPr>
        <w:t> </w:t>
      </w:r>
      <w:r>
        <w:rPr>
          <w:sz w:val="21"/>
        </w:rPr>
        <w:t>benefits</w:t>
      </w:r>
      <w:r>
        <w:rPr>
          <w:spacing w:val="10"/>
          <w:sz w:val="21"/>
        </w:rPr>
        <w:t> </w:t>
      </w:r>
      <w:r>
        <w:rPr>
          <w:sz w:val="21"/>
        </w:rPr>
        <w:t>of</w:t>
      </w:r>
      <w:r>
        <w:rPr>
          <w:spacing w:val="9"/>
          <w:sz w:val="21"/>
        </w:rPr>
        <w:t> </w:t>
      </w:r>
      <w:r>
        <w:rPr>
          <w:sz w:val="21"/>
        </w:rPr>
        <w:t>the</w:t>
      </w:r>
      <w:r>
        <w:rPr>
          <w:spacing w:val="10"/>
          <w:sz w:val="21"/>
        </w:rPr>
        <w:t> </w:t>
      </w:r>
      <w:r>
        <w:rPr>
          <w:sz w:val="21"/>
        </w:rPr>
        <w:t>removed</w:t>
      </w:r>
      <w:r>
        <w:rPr>
          <w:spacing w:val="10"/>
          <w:sz w:val="21"/>
        </w:rPr>
        <w:t> </w:t>
      </w:r>
      <w:r>
        <w:rPr>
          <w:sz w:val="21"/>
        </w:rPr>
        <w:t>tree</w:t>
      </w:r>
      <w:r>
        <w:rPr>
          <w:spacing w:val="9"/>
          <w:sz w:val="21"/>
        </w:rPr>
        <w:t> </w:t>
      </w:r>
      <w:r>
        <w:rPr>
          <w:spacing w:val="-3"/>
          <w:sz w:val="21"/>
        </w:rPr>
        <w:t>are</w:t>
      </w:r>
      <w:r>
        <w:rPr>
          <w:spacing w:val="10"/>
          <w:sz w:val="21"/>
        </w:rPr>
        <w:t> </w:t>
      </w:r>
      <w:r>
        <w:rPr>
          <w:spacing w:val="-3"/>
          <w:sz w:val="21"/>
        </w:rPr>
        <w:t>restored</w:t>
      </w:r>
      <w:r>
        <w:rPr>
          <w:spacing w:val="10"/>
          <w:sz w:val="21"/>
        </w:rPr>
        <w:t> </w:t>
      </w:r>
      <w:r>
        <w:rPr>
          <w:sz w:val="21"/>
        </w:rPr>
        <w:t>in</w:t>
      </w:r>
      <w:r>
        <w:rPr>
          <w:spacing w:val="9"/>
          <w:sz w:val="21"/>
        </w:rPr>
        <w:t> </w:t>
      </w:r>
      <w:r>
        <w:rPr>
          <w:sz w:val="21"/>
        </w:rPr>
        <w:t>the</w:t>
      </w:r>
      <w:r>
        <w:rPr>
          <w:spacing w:val="10"/>
          <w:sz w:val="21"/>
        </w:rPr>
        <w:t> </w:t>
      </w:r>
      <w:r>
        <w:rPr>
          <w:sz w:val="21"/>
        </w:rPr>
        <w:t>longer</w:t>
      </w:r>
      <w:r>
        <w:rPr>
          <w:spacing w:val="10"/>
          <w:sz w:val="21"/>
        </w:rPr>
        <w:t> </w:t>
      </w:r>
      <w:r>
        <w:rPr>
          <w:spacing w:val="-3"/>
          <w:sz w:val="21"/>
        </w:rPr>
        <w:t>term.</w:t>
      </w:r>
      <w:r>
        <w:rPr>
          <w:spacing w:val="-3"/>
          <w:position w:val="7"/>
          <w:sz w:val="12"/>
        </w:rPr>
        <w:t>32</w:t>
      </w:r>
    </w:p>
    <w:p>
      <w:pPr>
        <w:pStyle w:val="ListParagraph"/>
        <w:numPr>
          <w:ilvl w:val="1"/>
          <w:numId w:val="16"/>
        </w:numPr>
        <w:tabs>
          <w:tab w:pos="2380" w:val="left" w:leader="none"/>
          <w:tab w:pos="2381" w:val="left" w:leader="none"/>
        </w:tabs>
        <w:spacing w:line="242" w:lineRule="auto" w:before="127" w:after="0"/>
        <w:ind w:left="2381" w:right="1610" w:hanging="794"/>
        <w:jc w:val="left"/>
        <w:rPr>
          <w:sz w:val="21"/>
        </w:rPr>
      </w:pPr>
      <w:r>
        <w:rPr>
          <w:w w:val="105"/>
          <w:sz w:val="21"/>
        </w:rPr>
        <w:t>One</w:t>
      </w:r>
      <w:r>
        <w:rPr>
          <w:spacing w:val="-10"/>
          <w:w w:val="105"/>
          <w:sz w:val="21"/>
        </w:rPr>
        <w:t> </w:t>
      </w:r>
      <w:r>
        <w:rPr>
          <w:spacing w:val="-3"/>
          <w:w w:val="105"/>
          <w:sz w:val="21"/>
        </w:rPr>
        <w:t>submission</w:t>
      </w:r>
      <w:r>
        <w:rPr>
          <w:spacing w:val="-10"/>
          <w:w w:val="105"/>
          <w:sz w:val="21"/>
        </w:rPr>
        <w:t> </w:t>
      </w:r>
      <w:r>
        <w:rPr>
          <w:w w:val="105"/>
          <w:sz w:val="21"/>
        </w:rPr>
        <w:t>proposed</w:t>
      </w:r>
      <w:r>
        <w:rPr>
          <w:spacing w:val="-9"/>
          <w:w w:val="105"/>
          <w:sz w:val="21"/>
        </w:rPr>
        <w:t> </w:t>
      </w:r>
      <w:r>
        <w:rPr>
          <w:spacing w:val="-3"/>
          <w:w w:val="105"/>
          <w:sz w:val="21"/>
        </w:rPr>
        <w:t>that</w:t>
      </w:r>
      <w:r>
        <w:rPr>
          <w:spacing w:val="-10"/>
          <w:w w:val="105"/>
          <w:sz w:val="21"/>
        </w:rPr>
        <w:t> </w:t>
      </w:r>
      <w:r>
        <w:rPr>
          <w:w w:val="105"/>
          <w:sz w:val="21"/>
        </w:rPr>
        <w:t>the</w:t>
      </w:r>
      <w:r>
        <w:rPr>
          <w:spacing w:val="-10"/>
          <w:w w:val="105"/>
          <w:sz w:val="21"/>
        </w:rPr>
        <w:t> </w:t>
      </w:r>
      <w:r>
        <w:rPr>
          <w:w w:val="105"/>
          <w:sz w:val="21"/>
        </w:rPr>
        <w:t>remedies</w:t>
      </w:r>
      <w:r>
        <w:rPr>
          <w:spacing w:val="-9"/>
          <w:w w:val="105"/>
          <w:sz w:val="21"/>
        </w:rPr>
        <w:t> </w:t>
      </w:r>
      <w:r>
        <w:rPr>
          <w:spacing w:val="-3"/>
          <w:w w:val="105"/>
          <w:sz w:val="21"/>
        </w:rPr>
        <w:t>available</w:t>
      </w:r>
      <w:r>
        <w:rPr>
          <w:spacing w:val="-10"/>
          <w:w w:val="105"/>
          <w:sz w:val="21"/>
        </w:rPr>
        <w:t> </w:t>
      </w:r>
      <w:r>
        <w:rPr>
          <w:spacing w:val="-3"/>
          <w:w w:val="105"/>
          <w:sz w:val="21"/>
        </w:rPr>
        <w:t>to</w:t>
      </w:r>
      <w:r>
        <w:rPr>
          <w:spacing w:val="-10"/>
          <w:w w:val="105"/>
          <w:sz w:val="21"/>
        </w:rPr>
        <w:t> </w:t>
      </w:r>
      <w:r>
        <w:rPr>
          <w:w w:val="105"/>
          <w:sz w:val="21"/>
        </w:rPr>
        <w:t>the</w:t>
      </w:r>
      <w:r>
        <w:rPr>
          <w:spacing w:val="-9"/>
          <w:w w:val="105"/>
          <w:sz w:val="21"/>
        </w:rPr>
        <w:t> </w:t>
      </w:r>
      <w:r>
        <w:rPr>
          <w:w w:val="105"/>
          <w:sz w:val="21"/>
        </w:rPr>
        <w:t>decision-making</w:t>
      </w:r>
      <w:r>
        <w:rPr>
          <w:spacing w:val="-10"/>
          <w:w w:val="105"/>
          <w:sz w:val="21"/>
        </w:rPr>
        <w:t> </w:t>
      </w:r>
      <w:r>
        <w:rPr>
          <w:w w:val="105"/>
          <w:sz w:val="21"/>
        </w:rPr>
        <w:t>body</w:t>
      </w:r>
      <w:r>
        <w:rPr>
          <w:spacing w:val="-10"/>
          <w:w w:val="105"/>
          <w:sz w:val="21"/>
        </w:rPr>
        <w:t> </w:t>
      </w:r>
      <w:r>
        <w:rPr>
          <w:w w:val="105"/>
          <w:sz w:val="21"/>
        </w:rPr>
        <w:t>should </w:t>
      </w:r>
      <w:r>
        <w:rPr>
          <w:spacing w:val="-2"/>
          <w:w w:val="105"/>
          <w:sz w:val="21"/>
        </w:rPr>
        <w:t>not </w:t>
      </w:r>
      <w:r>
        <w:rPr>
          <w:w w:val="105"/>
          <w:sz w:val="21"/>
        </w:rPr>
        <w:t>be </w:t>
      </w:r>
      <w:r>
        <w:rPr>
          <w:spacing w:val="-3"/>
          <w:w w:val="105"/>
          <w:sz w:val="21"/>
        </w:rPr>
        <w:t>limited to </w:t>
      </w:r>
      <w:r>
        <w:rPr>
          <w:w w:val="105"/>
          <w:sz w:val="21"/>
        </w:rPr>
        <w:t>those requested by an affected</w:t>
      </w:r>
      <w:r>
        <w:rPr>
          <w:spacing w:val="43"/>
          <w:w w:val="105"/>
          <w:sz w:val="21"/>
        </w:rPr>
        <w:t> </w:t>
      </w:r>
      <w:r>
        <w:rPr>
          <w:spacing w:val="-4"/>
          <w:w w:val="105"/>
          <w:sz w:val="21"/>
        </w:rPr>
        <w:t>neighbour.</w:t>
      </w:r>
      <w:r>
        <w:rPr>
          <w:spacing w:val="-4"/>
          <w:w w:val="105"/>
          <w:position w:val="7"/>
          <w:sz w:val="12"/>
        </w:rPr>
        <w:t>33</w:t>
      </w:r>
    </w:p>
    <w:p>
      <w:pPr>
        <w:pStyle w:val="ListParagraph"/>
        <w:numPr>
          <w:ilvl w:val="1"/>
          <w:numId w:val="16"/>
        </w:numPr>
        <w:tabs>
          <w:tab w:pos="2381" w:val="left" w:leader="none"/>
          <w:tab w:pos="2382" w:val="left" w:leader="none"/>
        </w:tabs>
        <w:spacing w:line="242" w:lineRule="auto" w:before="122" w:after="0"/>
        <w:ind w:left="2381" w:right="1638" w:hanging="794"/>
        <w:jc w:val="left"/>
        <w:rPr>
          <w:sz w:val="21"/>
        </w:rPr>
      </w:pPr>
      <w:r>
        <w:rPr>
          <w:w w:val="105"/>
          <w:sz w:val="21"/>
        </w:rPr>
        <w:t>Baw Baw </w:t>
      </w:r>
      <w:r>
        <w:rPr>
          <w:spacing w:val="-3"/>
          <w:w w:val="105"/>
          <w:sz w:val="21"/>
        </w:rPr>
        <w:t>Shire </w:t>
      </w:r>
      <w:r>
        <w:rPr>
          <w:spacing w:val="-4"/>
          <w:w w:val="105"/>
          <w:sz w:val="21"/>
        </w:rPr>
        <w:t>Council </w:t>
      </w:r>
      <w:r>
        <w:rPr>
          <w:w w:val="105"/>
          <w:sz w:val="21"/>
        </w:rPr>
        <w:t>stated </w:t>
      </w:r>
      <w:r>
        <w:rPr>
          <w:spacing w:val="-3"/>
          <w:w w:val="105"/>
          <w:sz w:val="21"/>
        </w:rPr>
        <w:t>that any </w:t>
      </w:r>
      <w:r>
        <w:rPr>
          <w:w w:val="105"/>
          <w:sz w:val="21"/>
        </w:rPr>
        <w:t>new </w:t>
      </w:r>
      <w:r>
        <w:rPr>
          <w:spacing w:val="-3"/>
          <w:w w:val="105"/>
          <w:sz w:val="21"/>
        </w:rPr>
        <w:t>adjudicating </w:t>
      </w:r>
      <w:r>
        <w:rPr>
          <w:w w:val="105"/>
          <w:sz w:val="21"/>
        </w:rPr>
        <w:t>body should </w:t>
      </w:r>
      <w:r>
        <w:rPr>
          <w:spacing w:val="-3"/>
          <w:w w:val="105"/>
          <w:sz w:val="21"/>
        </w:rPr>
        <w:t>have </w:t>
      </w:r>
      <w:r>
        <w:rPr>
          <w:w w:val="105"/>
          <w:sz w:val="21"/>
        </w:rPr>
        <w:t>the power </w:t>
      </w:r>
      <w:r>
        <w:rPr>
          <w:spacing w:val="-3"/>
          <w:w w:val="105"/>
          <w:sz w:val="21"/>
        </w:rPr>
        <w:t>to award </w:t>
      </w:r>
      <w:r>
        <w:rPr>
          <w:w w:val="105"/>
          <w:sz w:val="21"/>
        </w:rPr>
        <w:t>legal costs </w:t>
      </w:r>
      <w:r>
        <w:rPr>
          <w:spacing w:val="-3"/>
          <w:w w:val="105"/>
          <w:sz w:val="21"/>
        </w:rPr>
        <w:t>for </w:t>
      </w:r>
      <w:r>
        <w:rPr>
          <w:w w:val="105"/>
          <w:sz w:val="21"/>
        </w:rPr>
        <w:t>vexatious or </w:t>
      </w:r>
      <w:r>
        <w:rPr>
          <w:spacing w:val="-3"/>
          <w:w w:val="105"/>
          <w:sz w:val="21"/>
        </w:rPr>
        <w:t>unmeritorious </w:t>
      </w:r>
      <w:r>
        <w:rPr>
          <w:w w:val="105"/>
          <w:sz w:val="21"/>
        </w:rPr>
        <w:t>matters.</w:t>
      </w:r>
      <w:r>
        <w:rPr>
          <w:w w:val="105"/>
          <w:position w:val="7"/>
          <w:sz w:val="12"/>
        </w:rPr>
        <w:t>34 </w:t>
      </w:r>
      <w:r>
        <w:rPr>
          <w:spacing w:val="-4"/>
          <w:w w:val="105"/>
          <w:sz w:val="21"/>
        </w:rPr>
        <w:t>However, </w:t>
      </w:r>
      <w:r>
        <w:rPr>
          <w:w w:val="105"/>
          <w:sz w:val="21"/>
        </w:rPr>
        <w:t>Barwon </w:t>
      </w:r>
      <w:r>
        <w:rPr>
          <w:spacing w:val="-3"/>
          <w:w w:val="105"/>
          <w:sz w:val="21"/>
        </w:rPr>
        <w:t>Community </w:t>
      </w:r>
      <w:r>
        <w:rPr>
          <w:w w:val="105"/>
          <w:sz w:val="21"/>
        </w:rPr>
        <w:t>Legal</w:t>
      </w:r>
      <w:r>
        <w:rPr>
          <w:spacing w:val="-7"/>
          <w:w w:val="105"/>
          <w:sz w:val="21"/>
        </w:rPr>
        <w:t> </w:t>
      </w:r>
      <w:r>
        <w:rPr>
          <w:w w:val="105"/>
          <w:sz w:val="21"/>
        </w:rPr>
        <w:t>Service</w:t>
      </w:r>
      <w:r>
        <w:rPr>
          <w:spacing w:val="-7"/>
          <w:w w:val="105"/>
          <w:sz w:val="21"/>
        </w:rPr>
        <w:t> </w:t>
      </w:r>
      <w:r>
        <w:rPr>
          <w:w w:val="105"/>
          <w:sz w:val="21"/>
        </w:rPr>
        <w:t>suggested</w:t>
      </w:r>
      <w:r>
        <w:rPr>
          <w:spacing w:val="-7"/>
          <w:w w:val="105"/>
          <w:sz w:val="21"/>
        </w:rPr>
        <w:t> </w:t>
      </w:r>
      <w:r>
        <w:rPr>
          <w:spacing w:val="-3"/>
          <w:w w:val="105"/>
          <w:sz w:val="21"/>
        </w:rPr>
        <w:t>that</w:t>
      </w:r>
      <w:r>
        <w:rPr>
          <w:spacing w:val="-7"/>
          <w:w w:val="105"/>
          <w:sz w:val="21"/>
        </w:rPr>
        <w:t> </w:t>
      </w:r>
      <w:r>
        <w:rPr>
          <w:w w:val="105"/>
          <w:sz w:val="21"/>
        </w:rPr>
        <w:t>costs</w:t>
      </w:r>
      <w:r>
        <w:rPr>
          <w:spacing w:val="-7"/>
          <w:w w:val="105"/>
          <w:sz w:val="21"/>
        </w:rPr>
        <w:t> </w:t>
      </w:r>
      <w:r>
        <w:rPr>
          <w:w w:val="105"/>
          <w:sz w:val="21"/>
        </w:rPr>
        <w:t>should</w:t>
      </w:r>
      <w:r>
        <w:rPr>
          <w:spacing w:val="-7"/>
          <w:w w:val="105"/>
          <w:sz w:val="21"/>
        </w:rPr>
        <w:t> </w:t>
      </w:r>
      <w:r>
        <w:rPr>
          <w:spacing w:val="-2"/>
          <w:w w:val="105"/>
          <w:sz w:val="21"/>
        </w:rPr>
        <w:t>not</w:t>
      </w:r>
      <w:r>
        <w:rPr>
          <w:spacing w:val="-6"/>
          <w:w w:val="105"/>
          <w:sz w:val="21"/>
        </w:rPr>
        <w:t> </w:t>
      </w:r>
      <w:r>
        <w:rPr>
          <w:w w:val="105"/>
          <w:sz w:val="21"/>
        </w:rPr>
        <w:t>be</w:t>
      </w:r>
      <w:r>
        <w:rPr>
          <w:spacing w:val="-7"/>
          <w:w w:val="105"/>
          <w:sz w:val="21"/>
        </w:rPr>
        <w:t> </w:t>
      </w:r>
      <w:r>
        <w:rPr>
          <w:w w:val="105"/>
          <w:sz w:val="21"/>
        </w:rPr>
        <w:t>awarded</w:t>
      </w:r>
      <w:r>
        <w:rPr>
          <w:spacing w:val="-7"/>
          <w:w w:val="105"/>
          <w:sz w:val="21"/>
        </w:rPr>
        <w:t> </w:t>
      </w:r>
      <w:r>
        <w:rPr>
          <w:w w:val="105"/>
          <w:sz w:val="21"/>
        </w:rPr>
        <w:t>where</w:t>
      </w:r>
      <w:r>
        <w:rPr>
          <w:spacing w:val="-7"/>
          <w:w w:val="105"/>
          <w:sz w:val="21"/>
        </w:rPr>
        <w:t> </w:t>
      </w:r>
      <w:r>
        <w:rPr>
          <w:w w:val="105"/>
          <w:sz w:val="21"/>
        </w:rPr>
        <w:t>one</w:t>
      </w:r>
      <w:r>
        <w:rPr>
          <w:spacing w:val="-7"/>
          <w:w w:val="105"/>
          <w:sz w:val="21"/>
        </w:rPr>
        <w:t> </w:t>
      </w:r>
      <w:r>
        <w:rPr>
          <w:w w:val="105"/>
          <w:sz w:val="21"/>
        </w:rPr>
        <w:t>or</w:t>
      </w:r>
      <w:r>
        <w:rPr>
          <w:spacing w:val="-7"/>
          <w:w w:val="105"/>
          <w:sz w:val="21"/>
        </w:rPr>
        <w:t> </w:t>
      </w:r>
      <w:r>
        <w:rPr>
          <w:w w:val="105"/>
          <w:sz w:val="21"/>
        </w:rPr>
        <w:t>both</w:t>
      </w:r>
      <w:r>
        <w:rPr>
          <w:spacing w:val="-6"/>
          <w:w w:val="105"/>
          <w:sz w:val="21"/>
        </w:rPr>
        <w:t> </w:t>
      </w:r>
      <w:r>
        <w:rPr>
          <w:w w:val="105"/>
          <w:sz w:val="21"/>
        </w:rPr>
        <w:t>parties</w:t>
      </w:r>
      <w:r>
        <w:rPr>
          <w:spacing w:val="-7"/>
          <w:w w:val="105"/>
          <w:sz w:val="21"/>
        </w:rPr>
        <w:t> </w:t>
      </w:r>
      <w:r>
        <w:rPr>
          <w:spacing w:val="-3"/>
          <w:w w:val="105"/>
          <w:sz w:val="21"/>
        </w:rPr>
        <w:t>may </w:t>
      </w:r>
      <w:r>
        <w:rPr>
          <w:w w:val="105"/>
          <w:sz w:val="21"/>
        </w:rPr>
        <w:t>be of lower socio-economic</w:t>
      </w:r>
      <w:r>
        <w:rPr>
          <w:spacing w:val="21"/>
          <w:w w:val="105"/>
          <w:sz w:val="21"/>
        </w:rPr>
        <w:t> </w:t>
      </w:r>
      <w:r>
        <w:rPr>
          <w:spacing w:val="-3"/>
          <w:w w:val="105"/>
          <w:sz w:val="21"/>
        </w:rPr>
        <w:t>backgrounds.</w:t>
      </w:r>
      <w:r>
        <w:rPr>
          <w:spacing w:val="-3"/>
          <w:w w:val="105"/>
          <w:position w:val="7"/>
          <w:sz w:val="12"/>
        </w:rPr>
        <w:t>35</w:t>
      </w:r>
    </w:p>
    <w:p>
      <w:pPr>
        <w:pStyle w:val="ListParagraph"/>
        <w:numPr>
          <w:ilvl w:val="1"/>
          <w:numId w:val="16"/>
        </w:numPr>
        <w:tabs>
          <w:tab w:pos="2381" w:val="left" w:leader="none"/>
          <w:tab w:pos="2382" w:val="left" w:leader="none"/>
        </w:tabs>
        <w:spacing w:line="242" w:lineRule="auto" w:before="125" w:after="0"/>
        <w:ind w:left="2381" w:right="1880" w:hanging="794"/>
        <w:jc w:val="left"/>
        <w:rPr>
          <w:sz w:val="21"/>
        </w:rPr>
      </w:pPr>
      <w:r>
        <w:rPr>
          <w:w w:val="105"/>
          <w:sz w:val="21"/>
        </w:rPr>
        <w:t>The NSWLEC reported </w:t>
      </w:r>
      <w:r>
        <w:rPr>
          <w:spacing w:val="-3"/>
          <w:w w:val="105"/>
          <w:sz w:val="21"/>
        </w:rPr>
        <w:t>that </w:t>
      </w:r>
      <w:r>
        <w:rPr>
          <w:w w:val="105"/>
          <w:sz w:val="21"/>
        </w:rPr>
        <w:t>the types of orders set out in the NSW Act </w:t>
      </w:r>
      <w:r>
        <w:rPr>
          <w:spacing w:val="-3"/>
          <w:w w:val="105"/>
          <w:sz w:val="21"/>
        </w:rPr>
        <w:t>are </w:t>
      </w:r>
      <w:r>
        <w:rPr>
          <w:w w:val="105"/>
          <w:sz w:val="21"/>
        </w:rPr>
        <w:t>sufficient </w:t>
      </w:r>
      <w:r>
        <w:rPr>
          <w:spacing w:val="-3"/>
          <w:w w:val="105"/>
          <w:sz w:val="21"/>
        </w:rPr>
        <w:t>for</w:t>
      </w:r>
      <w:r>
        <w:rPr>
          <w:spacing w:val="-4"/>
          <w:w w:val="105"/>
          <w:sz w:val="21"/>
        </w:rPr>
        <w:t> </w:t>
      </w:r>
      <w:r>
        <w:rPr>
          <w:w w:val="105"/>
          <w:sz w:val="21"/>
        </w:rPr>
        <w:t>the</w:t>
      </w:r>
      <w:r>
        <w:rPr>
          <w:spacing w:val="-4"/>
          <w:w w:val="105"/>
          <w:sz w:val="21"/>
        </w:rPr>
        <w:t> </w:t>
      </w:r>
      <w:r>
        <w:rPr>
          <w:spacing w:val="-3"/>
          <w:w w:val="105"/>
          <w:sz w:val="21"/>
        </w:rPr>
        <w:t>Court’s</w:t>
      </w:r>
      <w:r>
        <w:rPr>
          <w:spacing w:val="-4"/>
          <w:w w:val="105"/>
          <w:sz w:val="21"/>
        </w:rPr>
        <w:t> </w:t>
      </w:r>
      <w:r>
        <w:rPr>
          <w:w w:val="105"/>
          <w:sz w:val="21"/>
        </w:rPr>
        <w:t>purposes</w:t>
      </w:r>
      <w:r>
        <w:rPr>
          <w:spacing w:val="-4"/>
          <w:w w:val="105"/>
          <w:sz w:val="21"/>
        </w:rPr>
        <w:t> </w:t>
      </w:r>
      <w:r>
        <w:rPr>
          <w:w w:val="105"/>
          <w:sz w:val="21"/>
        </w:rPr>
        <w:t>and</w:t>
      </w:r>
      <w:r>
        <w:rPr>
          <w:spacing w:val="-3"/>
          <w:w w:val="105"/>
          <w:sz w:val="21"/>
        </w:rPr>
        <w:t> that</w:t>
      </w:r>
      <w:r>
        <w:rPr>
          <w:spacing w:val="-4"/>
          <w:w w:val="105"/>
          <w:sz w:val="21"/>
        </w:rPr>
        <w:t> </w:t>
      </w:r>
      <w:r>
        <w:rPr>
          <w:w w:val="105"/>
          <w:sz w:val="21"/>
        </w:rPr>
        <w:t>tree</w:t>
      </w:r>
      <w:r>
        <w:rPr>
          <w:spacing w:val="-4"/>
          <w:w w:val="105"/>
          <w:sz w:val="21"/>
        </w:rPr>
        <w:t> </w:t>
      </w:r>
      <w:r>
        <w:rPr>
          <w:spacing w:val="-3"/>
          <w:w w:val="105"/>
          <w:sz w:val="21"/>
        </w:rPr>
        <w:t>pruning</w:t>
      </w:r>
      <w:r>
        <w:rPr>
          <w:spacing w:val="-4"/>
          <w:w w:val="105"/>
          <w:sz w:val="21"/>
        </w:rPr>
        <w:t> </w:t>
      </w:r>
      <w:r>
        <w:rPr>
          <w:w w:val="105"/>
          <w:sz w:val="21"/>
        </w:rPr>
        <w:t>is</w:t>
      </w:r>
      <w:r>
        <w:rPr>
          <w:spacing w:val="-3"/>
          <w:w w:val="105"/>
          <w:sz w:val="21"/>
        </w:rPr>
        <w:t> </w:t>
      </w:r>
      <w:r>
        <w:rPr>
          <w:w w:val="105"/>
          <w:sz w:val="21"/>
        </w:rPr>
        <w:t>the</w:t>
      </w:r>
      <w:r>
        <w:rPr>
          <w:spacing w:val="-4"/>
          <w:w w:val="105"/>
          <w:sz w:val="21"/>
        </w:rPr>
        <w:t> </w:t>
      </w:r>
      <w:r>
        <w:rPr>
          <w:w w:val="105"/>
          <w:sz w:val="21"/>
        </w:rPr>
        <w:t>most</w:t>
      </w:r>
      <w:r>
        <w:rPr>
          <w:spacing w:val="-4"/>
          <w:w w:val="105"/>
          <w:sz w:val="21"/>
        </w:rPr>
        <w:t> </w:t>
      </w:r>
      <w:r>
        <w:rPr>
          <w:spacing w:val="-2"/>
          <w:w w:val="105"/>
          <w:sz w:val="21"/>
        </w:rPr>
        <w:t>common</w:t>
      </w:r>
      <w:r>
        <w:rPr>
          <w:spacing w:val="-4"/>
          <w:w w:val="105"/>
          <w:sz w:val="21"/>
        </w:rPr>
        <w:t> </w:t>
      </w:r>
      <w:r>
        <w:rPr>
          <w:w w:val="105"/>
          <w:sz w:val="21"/>
        </w:rPr>
        <w:t>order</w:t>
      </w:r>
      <w:r>
        <w:rPr>
          <w:spacing w:val="-4"/>
          <w:w w:val="105"/>
          <w:sz w:val="21"/>
        </w:rPr>
        <w:t> </w:t>
      </w:r>
      <w:r>
        <w:rPr>
          <w:w w:val="105"/>
          <w:sz w:val="21"/>
        </w:rPr>
        <w:t>made</w:t>
      </w:r>
      <w:r>
        <w:rPr>
          <w:spacing w:val="-3"/>
          <w:w w:val="105"/>
          <w:sz w:val="21"/>
        </w:rPr>
        <w:t> </w:t>
      </w:r>
      <w:r>
        <w:rPr>
          <w:w w:val="105"/>
          <w:sz w:val="21"/>
        </w:rPr>
        <w:t>by</w:t>
      </w:r>
      <w:r>
        <w:rPr>
          <w:spacing w:val="-4"/>
          <w:w w:val="105"/>
          <w:sz w:val="21"/>
        </w:rPr>
        <w:t> </w:t>
      </w:r>
      <w:r>
        <w:rPr>
          <w:w w:val="105"/>
          <w:sz w:val="21"/>
        </w:rPr>
        <w:t>the Court.</w:t>
      </w:r>
      <w:r>
        <w:rPr>
          <w:w w:val="105"/>
          <w:position w:val="7"/>
          <w:sz w:val="12"/>
        </w:rPr>
        <w:t>36</w:t>
      </w:r>
    </w:p>
    <w:p>
      <w:pPr>
        <w:pStyle w:val="BodyText"/>
        <w:spacing w:before="10"/>
      </w:pPr>
    </w:p>
    <w:p>
      <w:pPr>
        <w:pStyle w:val="Heading4"/>
      </w:pPr>
      <w:r>
        <w:rPr>
          <w:color w:val="658464"/>
          <w:w w:val="110"/>
        </w:rPr>
        <w:t>The Commission’s conclusions—orders available</w:t>
      </w:r>
    </w:p>
    <w:p>
      <w:pPr>
        <w:pStyle w:val="ListParagraph"/>
        <w:numPr>
          <w:ilvl w:val="1"/>
          <w:numId w:val="16"/>
        </w:numPr>
        <w:tabs>
          <w:tab w:pos="2381" w:val="left" w:leader="none"/>
          <w:tab w:pos="2382" w:val="left" w:leader="none"/>
        </w:tabs>
        <w:spacing w:line="242" w:lineRule="auto" w:before="155" w:after="0"/>
        <w:ind w:left="2381" w:right="1735" w:hanging="794"/>
        <w:jc w:val="left"/>
        <w:rPr>
          <w:sz w:val="21"/>
        </w:rPr>
      </w:pPr>
      <w:r>
        <w:rPr>
          <w:spacing w:val="-4"/>
          <w:sz w:val="21"/>
        </w:rPr>
        <w:t>Chapter </w:t>
      </w:r>
      <w:r>
        <w:rPr>
          <w:sz w:val="21"/>
        </w:rPr>
        <w:t>3 identified some of the </w:t>
      </w:r>
      <w:r>
        <w:rPr>
          <w:spacing w:val="-3"/>
          <w:sz w:val="21"/>
        </w:rPr>
        <w:t>limitations </w:t>
      </w:r>
      <w:r>
        <w:rPr>
          <w:sz w:val="21"/>
        </w:rPr>
        <w:t>of the remedies </w:t>
      </w:r>
      <w:r>
        <w:rPr>
          <w:spacing w:val="-3"/>
          <w:sz w:val="21"/>
        </w:rPr>
        <w:t>available for nuisance, negligence </w:t>
      </w:r>
      <w:r>
        <w:rPr>
          <w:sz w:val="21"/>
        </w:rPr>
        <w:t>and trespass at </w:t>
      </w:r>
      <w:r>
        <w:rPr>
          <w:spacing w:val="-2"/>
          <w:sz w:val="21"/>
        </w:rPr>
        <w:t>common  </w:t>
      </w:r>
      <w:r>
        <w:rPr>
          <w:sz w:val="21"/>
        </w:rPr>
        <w:t>law when applied </w:t>
      </w:r>
      <w:r>
        <w:rPr>
          <w:spacing w:val="-3"/>
          <w:sz w:val="21"/>
        </w:rPr>
        <w:t>to  </w:t>
      </w:r>
      <w:r>
        <w:rPr>
          <w:sz w:val="21"/>
        </w:rPr>
        <w:t>tree </w:t>
      </w:r>
      <w:r>
        <w:rPr>
          <w:spacing w:val="-3"/>
          <w:sz w:val="21"/>
        </w:rPr>
        <w:t>disputes.  </w:t>
      </w:r>
      <w:r>
        <w:rPr>
          <w:sz w:val="21"/>
        </w:rPr>
        <w:t>These </w:t>
      </w:r>
      <w:r>
        <w:rPr>
          <w:spacing w:val="-2"/>
          <w:sz w:val="21"/>
        </w:rPr>
        <w:t>common</w:t>
      </w:r>
      <w:r>
        <w:rPr>
          <w:spacing w:val="43"/>
          <w:sz w:val="21"/>
        </w:rPr>
        <w:t> </w:t>
      </w:r>
      <w:r>
        <w:rPr>
          <w:sz w:val="21"/>
        </w:rPr>
        <w:t>law remedies </w:t>
      </w:r>
      <w:r>
        <w:rPr>
          <w:spacing w:val="-3"/>
          <w:sz w:val="21"/>
        </w:rPr>
        <w:t>generally </w:t>
      </w:r>
      <w:r>
        <w:rPr>
          <w:sz w:val="21"/>
        </w:rPr>
        <w:t>only react </w:t>
      </w:r>
      <w:r>
        <w:rPr>
          <w:spacing w:val="-3"/>
          <w:sz w:val="21"/>
        </w:rPr>
        <w:t>to interference, </w:t>
      </w:r>
      <w:r>
        <w:rPr>
          <w:sz w:val="21"/>
        </w:rPr>
        <w:t>damage or trespass </w:t>
      </w:r>
      <w:r>
        <w:rPr>
          <w:spacing w:val="-3"/>
          <w:sz w:val="21"/>
        </w:rPr>
        <w:t>to land </w:t>
      </w:r>
      <w:r>
        <w:rPr>
          <w:sz w:val="21"/>
        </w:rPr>
        <w:t>after it </w:t>
      </w:r>
      <w:r>
        <w:rPr>
          <w:spacing w:val="-2"/>
          <w:sz w:val="21"/>
        </w:rPr>
        <w:t>has </w:t>
      </w:r>
      <w:r>
        <w:rPr>
          <w:spacing w:val="-3"/>
          <w:sz w:val="21"/>
        </w:rPr>
        <w:t>occurred. </w:t>
      </w:r>
      <w:r>
        <w:rPr>
          <w:sz w:val="21"/>
        </w:rPr>
        <w:t>They also </w:t>
      </w:r>
      <w:r>
        <w:rPr>
          <w:spacing w:val="-3"/>
          <w:sz w:val="21"/>
        </w:rPr>
        <w:t>focus </w:t>
      </w:r>
      <w:r>
        <w:rPr>
          <w:sz w:val="21"/>
        </w:rPr>
        <w:t>solely on the civil aspects of the </w:t>
      </w:r>
      <w:r>
        <w:rPr>
          <w:spacing w:val="-3"/>
          <w:sz w:val="21"/>
        </w:rPr>
        <w:t>dispute </w:t>
      </w:r>
      <w:r>
        <w:rPr>
          <w:sz w:val="21"/>
        </w:rPr>
        <w:t>and do </w:t>
      </w:r>
      <w:r>
        <w:rPr>
          <w:spacing w:val="-2"/>
          <w:sz w:val="21"/>
        </w:rPr>
        <w:t>not </w:t>
      </w:r>
      <w:r>
        <w:rPr>
          <w:sz w:val="21"/>
        </w:rPr>
        <w:t>necessarily </w:t>
      </w:r>
      <w:r>
        <w:rPr>
          <w:spacing w:val="-3"/>
          <w:sz w:val="21"/>
        </w:rPr>
        <w:t>take </w:t>
      </w:r>
      <w:r>
        <w:rPr>
          <w:spacing w:val="-4"/>
          <w:sz w:val="21"/>
        </w:rPr>
        <w:t>into </w:t>
      </w:r>
      <w:r>
        <w:rPr>
          <w:spacing w:val="-3"/>
          <w:sz w:val="21"/>
        </w:rPr>
        <w:t>consideration </w:t>
      </w:r>
      <w:r>
        <w:rPr>
          <w:sz w:val="21"/>
        </w:rPr>
        <w:t>the broader role of trees in the</w:t>
      </w:r>
      <w:r>
        <w:rPr>
          <w:spacing w:val="-16"/>
          <w:sz w:val="21"/>
        </w:rPr>
        <w:t> </w:t>
      </w:r>
      <w:r>
        <w:rPr>
          <w:spacing w:val="-4"/>
          <w:sz w:val="21"/>
        </w:rPr>
        <w:t>community.</w:t>
      </w:r>
    </w:p>
    <w:p>
      <w:pPr>
        <w:pStyle w:val="ListParagraph"/>
        <w:numPr>
          <w:ilvl w:val="1"/>
          <w:numId w:val="16"/>
        </w:numPr>
        <w:tabs>
          <w:tab w:pos="2380" w:val="left" w:leader="none"/>
          <w:tab w:pos="2381" w:val="left" w:leader="none"/>
        </w:tabs>
        <w:spacing w:line="242" w:lineRule="auto" w:before="125" w:after="0"/>
        <w:ind w:left="2381" w:right="1695" w:hanging="794"/>
        <w:jc w:val="left"/>
        <w:rPr>
          <w:sz w:val="21"/>
        </w:rPr>
      </w:pPr>
      <w:r>
        <w:rPr>
          <w:w w:val="105"/>
          <w:sz w:val="21"/>
        </w:rPr>
        <w:t>The new Act should give the decision-making body broad </w:t>
      </w:r>
      <w:r>
        <w:rPr>
          <w:spacing w:val="-3"/>
          <w:w w:val="105"/>
          <w:sz w:val="21"/>
        </w:rPr>
        <w:t>discretion to remedy, restrain </w:t>
      </w:r>
      <w:r>
        <w:rPr>
          <w:w w:val="105"/>
          <w:sz w:val="21"/>
        </w:rPr>
        <w:t>or </w:t>
      </w:r>
      <w:r>
        <w:rPr>
          <w:spacing w:val="-3"/>
          <w:w w:val="105"/>
          <w:sz w:val="21"/>
        </w:rPr>
        <w:t>prevent </w:t>
      </w:r>
      <w:r>
        <w:rPr>
          <w:w w:val="105"/>
          <w:sz w:val="21"/>
        </w:rPr>
        <w:t>damage </w:t>
      </w:r>
      <w:r>
        <w:rPr>
          <w:spacing w:val="-3"/>
          <w:w w:val="105"/>
          <w:sz w:val="21"/>
        </w:rPr>
        <w:t>to </w:t>
      </w:r>
      <w:r>
        <w:rPr>
          <w:w w:val="105"/>
          <w:sz w:val="21"/>
        </w:rPr>
        <w:t>property or </w:t>
      </w:r>
      <w:r>
        <w:rPr>
          <w:spacing w:val="-3"/>
          <w:w w:val="105"/>
          <w:sz w:val="21"/>
        </w:rPr>
        <w:t>prevent harm to </w:t>
      </w:r>
      <w:r>
        <w:rPr>
          <w:w w:val="105"/>
          <w:sz w:val="21"/>
        </w:rPr>
        <w:t>a person on </w:t>
      </w:r>
      <w:r>
        <w:rPr>
          <w:spacing w:val="-3"/>
          <w:w w:val="105"/>
          <w:sz w:val="21"/>
        </w:rPr>
        <w:t>adjoining land. </w:t>
      </w:r>
      <w:r>
        <w:rPr>
          <w:w w:val="105"/>
          <w:sz w:val="21"/>
        </w:rPr>
        <w:t>The list of remedies suggested by the community </w:t>
      </w:r>
      <w:r>
        <w:rPr>
          <w:spacing w:val="-3"/>
          <w:w w:val="105"/>
          <w:sz w:val="21"/>
        </w:rPr>
        <w:t>aligns </w:t>
      </w:r>
      <w:r>
        <w:rPr>
          <w:w w:val="105"/>
          <w:sz w:val="21"/>
        </w:rPr>
        <w:t>with the remedies </w:t>
      </w:r>
      <w:r>
        <w:rPr>
          <w:spacing w:val="-3"/>
          <w:w w:val="105"/>
          <w:sz w:val="21"/>
        </w:rPr>
        <w:t>that are available </w:t>
      </w:r>
      <w:r>
        <w:rPr>
          <w:w w:val="105"/>
          <w:sz w:val="21"/>
        </w:rPr>
        <w:t>under the NSW Act. The </w:t>
      </w:r>
      <w:r>
        <w:rPr>
          <w:spacing w:val="-3"/>
          <w:w w:val="105"/>
          <w:sz w:val="21"/>
        </w:rPr>
        <w:t>Commission </w:t>
      </w:r>
      <w:r>
        <w:rPr>
          <w:w w:val="105"/>
          <w:sz w:val="21"/>
        </w:rPr>
        <w:t>is of the view </w:t>
      </w:r>
      <w:r>
        <w:rPr>
          <w:spacing w:val="-3"/>
          <w:w w:val="105"/>
          <w:sz w:val="21"/>
        </w:rPr>
        <w:t>that </w:t>
      </w:r>
      <w:r>
        <w:rPr>
          <w:w w:val="105"/>
          <w:sz w:val="21"/>
        </w:rPr>
        <w:t>the </w:t>
      </w:r>
      <w:r>
        <w:rPr>
          <w:spacing w:val="-3"/>
          <w:w w:val="105"/>
          <w:sz w:val="21"/>
        </w:rPr>
        <w:t>range </w:t>
      </w:r>
      <w:r>
        <w:rPr>
          <w:w w:val="105"/>
          <w:sz w:val="21"/>
        </w:rPr>
        <w:t>of orders provided </w:t>
      </w:r>
      <w:r>
        <w:rPr>
          <w:spacing w:val="-3"/>
          <w:w w:val="105"/>
          <w:sz w:val="21"/>
        </w:rPr>
        <w:t>for </w:t>
      </w:r>
      <w:r>
        <w:rPr>
          <w:w w:val="105"/>
          <w:sz w:val="21"/>
        </w:rPr>
        <w:t>in the NSW Act would be </w:t>
      </w:r>
      <w:r>
        <w:rPr>
          <w:spacing w:val="-3"/>
          <w:w w:val="105"/>
          <w:sz w:val="21"/>
        </w:rPr>
        <w:t>appropriate </w:t>
      </w:r>
      <w:r>
        <w:rPr>
          <w:w w:val="105"/>
          <w:sz w:val="21"/>
        </w:rPr>
        <w:t>in</w:t>
      </w:r>
      <w:r>
        <w:rPr>
          <w:spacing w:val="33"/>
          <w:w w:val="105"/>
          <w:sz w:val="21"/>
        </w:rPr>
        <w:t> </w:t>
      </w:r>
      <w:r>
        <w:rPr>
          <w:w w:val="105"/>
          <w:sz w:val="21"/>
        </w:rPr>
        <w:t>Victoria.</w:t>
      </w:r>
    </w:p>
    <w:p>
      <w:pPr>
        <w:pStyle w:val="BodyText"/>
        <w:spacing w:before="6"/>
        <w:rPr>
          <w:sz w:val="20"/>
        </w:rPr>
      </w:pPr>
    </w:p>
    <w:p>
      <w:pPr>
        <w:pStyle w:val="Heading5"/>
      </w:pPr>
      <w:r>
        <w:rPr>
          <w:w w:val="115"/>
        </w:rPr>
        <w:t>Access to a neighbour’s land</w:t>
      </w:r>
    </w:p>
    <w:p>
      <w:pPr>
        <w:pStyle w:val="ListParagraph"/>
        <w:numPr>
          <w:ilvl w:val="1"/>
          <w:numId w:val="16"/>
        </w:numPr>
        <w:tabs>
          <w:tab w:pos="2381" w:val="left" w:leader="none"/>
          <w:tab w:pos="2382" w:val="left" w:leader="none"/>
        </w:tabs>
        <w:spacing w:line="242" w:lineRule="auto" w:before="138" w:after="0"/>
        <w:ind w:left="2381" w:right="1725" w:hanging="794"/>
        <w:jc w:val="left"/>
        <w:rPr>
          <w:sz w:val="21"/>
        </w:rPr>
      </w:pPr>
      <w:r>
        <w:rPr>
          <w:sz w:val="21"/>
        </w:rPr>
        <w:t>The new Act should </w:t>
      </w:r>
      <w:r>
        <w:rPr>
          <w:spacing w:val="-3"/>
          <w:sz w:val="21"/>
        </w:rPr>
        <w:t>allow for </w:t>
      </w:r>
      <w:r>
        <w:rPr>
          <w:spacing w:val="-2"/>
          <w:sz w:val="21"/>
        </w:rPr>
        <w:t>access </w:t>
      </w:r>
      <w:r>
        <w:rPr>
          <w:spacing w:val="-3"/>
          <w:sz w:val="21"/>
        </w:rPr>
        <w:t>to land to </w:t>
      </w:r>
      <w:r>
        <w:rPr>
          <w:sz w:val="21"/>
        </w:rPr>
        <w:t>carry out orders or </w:t>
      </w:r>
      <w:r>
        <w:rPr>
          <w:spacing w:val="-3"/>
          <w:sz w:val="21"/>
        </w:rPr>
        <w:t>to  </w:t>
      </w:r>
      <w:r>
        <w:rPr>
          <w:sz w:val="21"/>
        </w:rPr>
        <w:t>obtain a </w:t>
      </w:r>
      <w:r>
        <w:rPr>
          <w:spacing w:val="-3"/>
          <w:sz w:val="21"/>
        </w:rPr>
        <w:t>quote</w:t>
      </w:r>
      <w:r>
        <w:rPr>
          <w:spacing w:val="41"/>
          <w:sz w:val="21"/>
        </w:rPr>
        <w:t> </w:t>
      </w:r>
      <w:r>
        <w:rPr>
          <w:spacing w:val="-3"/>
          <w:sz w:val="21"/>
        </w:rPr>
        <w:t>to </w:t>
      </w:r>
      <w:r>
        <w:rPr>
          <w:sz w:val="21"/>
        </w:rPr>
        <w:t>carry out works </w:t>
      </w:r>
      <w:r>
        <w:rPr>
          <w:spacing w:val="-3"/>
          <w:sz w:val="21"/>
        </w:rPr>
        <w:t>to </w:t>
      </w:r>
      <w:r>
        <w:rPr>
          <w:sz w:val="21"/>
        </w:rPr>
        <w:t>the tree </w:t>
      </w:r>
      <w:r>
        <w:rPr>
          <w:spacing w:val="-3"/>
          <w:sz w:val="21"/>
        </w:rPr>
        <w:t>that </w:t>
      </w:r>
      <w:r>
        <w:rPr>
          <w:sz w:val="21"/>
        </w:rPr>
        <w:t>is the subject of an </w:t>
      </w:r>
      <w:r>
        <w:rPr>
          <w:spacing w:val="-4"/>
          <w:sz w:val="21"/>
        </w:rPr>
        <w:t>order. </w:t>
      </w:r>
      <w:r>
        <w:rPr>
          <w:sz w:val="21"/>
        </w:rPr>
        <w:t>This </w:t>
      </w:r>
      <w:r>
        <w:rPr>
          <w:spacing w:val="-3"/>
          <w:sz w:val="21"/>
        </w:rPr>
        <w:t>will </w:t>
      </w:r>
      <w:r>
        <w:rPr>
          <w:sz w:val="21"/>
        </w:rPr>
        <w:t>also </w:t>
      </w:r>
      <w:r>
        <w:rPr>
          <w:spacing w:val="-3"/>
          <w:sz w:val="21"/>
        </w:rPr>
        <w:t>ensure that </w:t>
      </w:r>
      <w:r>
        <w:rPr>
          <w:sz w:val="21"/>
        </w:rPr>
        <w:t>the problem can be properly assessed </w:t>
      </w:r>
      <w:r>
        <w:rPr>
          <w:spacing w:val="-3"/>
          <w:sz w:val="21"/>
        </w:rPr>
        <w:t>from </w:t>
      </w:r>
      <w:r>
        <w:rPr>
          <w:sz w:val="21"/>
        </w:rPr>
        <w:t>both properties and </w:t>
      </w:r>
      <w:r>
        <w:rPr>
          <w:spacing w:val="-3"/>
          <w:sz w:val="21"/>
        </w:rPr>
        <w:t>that </w:t>
      </w:r>
      <w:r>
        <w:rPr>
          <w:sz w:val="21"/>
        </w:rPr>
        <w:t>tree works can also be carried out in the most effective </w:t>
      </w:r>
      <w:r>
        <w:rPr>
          <w:spacing w:val="-3"/>
          <w:sz w:val="21"/>
        </w:rPr>
        <w:t>way  </w:t>
      </w:r>
      <w:r>
        <w:rPr>
          <w:sz w:val="21"/>
        </w:rPr>
        <w:t>and in </w:t>
      </w:r>
      <w:r>
        <w:rPr>
          <w:spacing w:val="-3"/>
          <w:sz w:val="21"/>
        </w:rPr>
        <w:t>accordance</w:t>
      </w:r>
      <w:r>
        <w:rPr>
          <w:spacing w:val="41"/>
          <w:sz w:val="21"/>
        </w:rPr>
        <w:t> </w:t>
      </w:r>
      <w:r>
        <w:rPr>
          <w:sz w:val="21"/>
        </w:rPr>
        <w:t>with the </w:t>
      </w:r>
      <w:r>
        <w:rPr>
          <w:spacing w:val="-3"/>
          <w:sz w:val="21"/>
        </w:rPr>
        <w:t>Australian  Standards.</w:t>
      </w:r>
      <w:r>
        <w:rPr>
          <w:spacing w:val="-3"/>
          <w:position w:val="7"/>
          <w:sz w:val="12"/>
        </w:rPr>
        <w:t>37       </w:t>
      </w:r>
      <w:r>
        <w:rPr>
          <w:spacing w:val="-3"/>
          <w:sz w:val="12"/>
        </w:rPr>
        <w:t> </w:t>
      </w:r>
      <w:r>
        <w:rPr>
          <w:sz w:val="21"/>
        </w:rPr>
        <w:t>It is </w:t>
      </w:r>
      <w:r>
        <w:rPr>
          <w:spacing w:val="-2"/>
          <w:sz w:val="21"/>
        </w:rPr>
        <w:t>common </w:t>
      </w:r>
      <w:r>
        <w:rPr>
          <w:spacing w:val="-3"/>
          <w:sz w:val="21"/>
        </w:rPr>
        <w:t>for </w:t>
      </w:r>
      <w:r>
        <w:rPr>
          <w:sz w:val="21"/>
        </w:rPr>
        <w:t>the NSWLEC </w:t>
      </w:r>
      <w:r>
        <w:rPr>
          <w:spacing w:val="-3"/>
          <w:sz w:val="21"/>
        </w:rPr>
        <w:t>to </w:t>
      </w:r>
      <w:r>
        <w:rPr>
          <w:sz w:val="21"/>
        </w:rPr>
        <w:t>order </w:t>
      </w:r>
      <w:r>
        <w:rPr>
          <w:spacing w:val="-2"/>
          <w:sz w:val="21"/>
        </w:rPr>
        <w:t>access </w:t>
      </w:r>
      <w:r>
        <w:rPr>
          <w:spacing w:val="-3"/>
          <w:sz w:val="21"/>
        </w:rPr>
        <w:t>to </w:t>
      </w:r>
      <w:r>
        <w:rPr>
          <w:sz w:val="21"/>
        </w:rPr>
        <w:t>an </w:t>
      </w:r>
      <w:r>
        <w:rPr>
          <w:spacing w:val="-3"/>
          <w:sz w:val="21"/>
        </w:rPr>
        <w:t>applicant’s </w:t>
      </w:r>
      <w:r>
        <w:rPr>
          <w:sz w:val="21"/>
        </w:rPr>
        <w:t>property  (affected </w:t>
      </w:r>
      <w:r>
        <w:rPr>
          <w:spacing w:val="-3"/>
          <w:sz w:val="21"/>
        </w:rPr>
        <w:t>neighbour) to </w:t>
      </w:r>
      <w:r>
        <w:rPr>
          <w:sz w:val="21"/>
        </w:rPr>
        <w:t>permit effective </w:t>
      </w:r>
      <w:r>
        <w:rPr>
          <w:spacing w:val="-3"/>
          <w:sz w:val="21"/>
        </w:rPr>
        <w:t>pruning </w:t>
      </w:r>
      <w:r>
        <w:rPr>
          <w:sz w:val="21"/>
        </w:rPr>
        <w:t>or other tree works.</w:t>
      </w:r>
      <w:r>
        <w:rPr>
          <w:position w:val="7"/>
          <w:sz w:val="12"/>
        </w:rPr>
        <w:t>38 </w:t>
      </w:r>
      <w:r>
        <w:rPr>
          <w:sz w:val="21"/>
        </w:rPr>
        <w:t>The </w:t>
      </w:r>
      <w:r>
        <w:rPr>
          <w:spacing w:val="-3"/>
          <w:sz w:val="21"/>
        </w:rPr>
        <w:t>Commission notes that </w:t>
      </w:r>
      <w:r>
        <w:rPr>
          <w:sz w:val="21"/>
        </w:rPr>
        <w:t>other Victorian Acts </w:t>
      </w:r>
      <w:r>
        <w:rPr>
          <w:spacing w:val="-3"/>
          <w:sz w:val="21"/>
        </w:rPr>
        <w:t>allow </w:t>
      </w:r>
      <w:r>
        <w:rPr>
          <w:sz w:val="21"/>
        </w:rPr>
        <w:t>entry </w:t>
      </w:r>
      <w:r>
        <w:rPr>
          <w:spacing w:val="-3"/>
          <w:sz w:val="21"/>
        </w:rPr>
        <w:t>onto neighbouring land </w:t>
      </w:r>
      <w:r>
        <w:rPr>
          <w:sz w:val="21"/>
        </w:rPr>
        <w:t>in </w:t>
      </w:r>
      <w:r>
        <w:rPr>
          <w:spacing w:val="-3"/>
          <w:sz w:val="21"/>
        </w:rPr>
        <w:t>similar circumstances.</w:t>
      </w:r>
      <w:r>
        <w:rPr>
          <w:spacing w:val="11"/>
          <w:sz w:val="21"/>
        </w:rPr>
        <w:t> </w:t>
      </w:r>
      <w:r>
        <w:rPr>
          <w:sz w:val="21"/>
        </w:rPr>
        <w:t>For</w:t>
      </w:r>
    </w:p>
    <w:p>
      <w:pPr>
        <w:pStyle w:val="BodyText"/>
        <w:spacing w:line="242" w:lineRule="auto" w:before="7"/>
        <w:ind w:left="2381" w:right="1558"/>
      </w:pPr>
      <w:r>
        <w:rPr>
          <w:w w:val="105"/>
        </w:rPr>
        <w:t>example, under section 33 of the </w:t>
      </w:r>
      <w:r>
        <w:rPr>
          <w:i/>
          <w:w w:val="105"/>
        </w:rPr>
        <w:t>Fences Act 1968 </w:t>
      </w:r>
      <w:r>
        <w:rPr>
          <w:w w:val="105"/>
        </w:rPr>
        <w:t>(Vic), an owner of land can be granted authority to enter adjoining land to carry out fencing works.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r>
        <w:rPr/>
        <w:pict>
          <v:line style="position:absolute;mso-position-horizontal-relative:page;mso-position-vertical-relative:paragraph;z-index:8528;mso-wrap-distance-left:0;mso-wrap-distance-right:0" from="79.370102pt,15.379301pt" to="515.905102pt,15.379301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44"/>
        </w:numPr>
        <w:tabs>
          <w:tab w:pos="2380" w:val="left" w:leader="none"/>
          <w:tab w:pos="2382" w:val="left" w:leader="none"/>
        </w:tabs>
        <w:spacing w:line="240" w:lineRule="auto" w:before="48" w:after="0"/>
        <w:ind w:left="2381" w:right="0" w:hanging="794"/>
        <w:jc w:val="left"/>
        <w:rPr>
          <w:sz w:val="13"/>
        </w:rPr>
      </w:pPr>
      <w:r>
        <w:rPr>
          <w:w w:val="105"/>
          <w:sz w:val="13"/>
        </w:rPr>
        <w:t>Consultation</w:t>
      </w:r>
      <w:r>
        <w:rPr>
          <w:spacing w:val="5"/>
          <w:w w:val="105"/>
          <w:sz w:val="13"/>
        </w:rPr>
        <w:t> </w:t>
      </w:r>
      <w:r>
        <w:rPr>
          <w:w w:val="105"/>
          <w:sz w:val="13"/>
        </w:rPr>
        <w:t>8</w:t>
      </w:r>
      <w:r>
        <w:rPr>
          <w:spacing w:val="5"/>
          <w:w w:val="105"/>
          <w:sz w:val="13"/>
        </w:rPr>
        <w:t> </w:t>
      </w:r>
      <w:r>
        <w:rPr>
          <w:w w:val="105"/>
          <w:sz w:val="13"/>
        </w:rPr>
        <w:t>(City</w:t>
      </w:r>
      <w:r>
        <w:rPr>
          <w:spacing w:val="6"/>
          <w:w w:val="105"/>
          <w:sz w:val="13"/>
        </w:rPr>
        <w:t> </w:t>
      </w:r>
      <w:r>
        <w:rPr>
          <w:w w:val="105"/>
          <w:sz w:val="13"/>
        </w:rPr>
        <w:t>of</w:t>
      </w:r>
      <w:r>
        <w:rPr>
          <w:spacing w:val="5"/>
          <w:w w:val="105"/>
          <w:sz w:val="13"/>
        </w:rPr>
        <w:t> </w:t>
      </w:r>
      <w:r>
        <w:rPr>
          <w:w w:val="105"/>
          <w:sz w:val="13"/>
        </w:rPr>
        <w:t>Boroondara);</w:t>
      </w:r>
      <w:r>
        <w:rPr>
          <w:spacing w:val="6"/>
          <w:w w:val="105"/>
          <w:sz w:val="13"/>
        </w:rPr>
        <w:t> </w:t>
      </w:r>
      <w:r>
        <w:rPr>
          <w:w w:val="105"/>
          <w:sz w:val="13"/>
        </w:rPr>
        <w:t>see</w:t>
      </w:r>
      <w:r>
        <w:rPr>
          <w:spacing w:val="5"/>
          <w:w w:val="105"/>
          <w:sz w:val="13"/>
        </w:rPr>
        <w:t> </w:t>
      </w:r>
      <w:r>
        <w:rPr>
          <w:w w:val="105"/>
          <w:sz w:val="13"/>
        </w:rPr>
        <w:t>also</w:t>
      </w:r>
      <w:r>
        <w:rPr>
          <w:spacing w:val="6"/>
          <w:w w:val="105"/>
          <w:sz w:val="13"/>
        </w:rPr>
        <w:t> </w:t>
      </w:r>
      <w:r>
        <w:rPr>
          <w:i/>
          <w:w w:val="105"/>
          <w:sz w:val="13"/>
        </w:rPr>
        <w:t>Tree</w:t>
      </w:r>
      <w:r>
        <w:rPr>
          <w:i/>
          <w:spacing w:val="5"/>
          <w:w w:val="105"/>
          <w:sz w:val="13"/>
        </w:rPr>
        <w:t> </w:t>
      </w:r>
      <w:r>
        <w:rPr>
          <w:i/>
          <w:w w:val="105"/>
          <w:sz w:val="13"/>
        </w:rPr>
        <w:t>Protection</w:t>
      </w:r>
      <w:r>
        <w:rPr>
          <w:i/>
          <w:spacing w:val="6"/>
          <w:w w:val="105"/>
          <w:sz w:val="13"/>
        </w:rPr>
        <w:t> </w:t>
      </w:r>
      <w:r>
        <w:rPr>
          <w:i/>
          <w:w w:val="105"/>
          <w:sz w:val="13"/>
        </w:rPr>
        <w:t>Local</w:t>
      </w:r>
      <w:r>
        <w:rPr>
          <w:i/>
          <w:spacing w:val="5"/>
          <w:w w:val="105"/>
          <w:sz w:val="13"/>
        </w:rPr>
        <w:t> </w:t>
      </w:r>
      <w:r>
        <w:rPr>
          <w:i/>
          <w:w w:val="105"/>
          <w:sz w:val="13"/>
        </w:rPr>
        <w:t>Law</w:t>
      </w:r>
      <w:r>
        <w:rPr>
          <w:i/>
          <w:spacing w:val="6"/>
          <w:w w:val="105"/>
          <w:sz w:val="13"/>
        </w:rPr>
        <w:t> </w:t>
      </w:r>
      <w:r>
        <w:rPr>
          <w:i/>
          <w:spacing w:val="-3"/>
          <w:w w:val="105"/>
          <w:sz w:val="13"/>
        </w:rPr>
        <w:t>2016</w:t>
      </w:r>
      <w:r>
        <w:rPr>
          <w:i/>
          <w:spacing w:val="5"/>
          <w:w w:val="105"/>
          <w:sz w:val="13"/>
        </w:rPr>
        <w:t> </w:t>
      </w:r>
      <w:r>
        <w:rPr>
          <w:w w:val="105"/>
          <w:sz w:val="13"/>
        </w:rPr>
        <w:t>(City</w:t>
      </w:r>
      <w:r>
        <w:rPr>
          <w:spacing w:val="5"/>
          <w:w w:val="105"/>
          <w:sz w:val="13"/>
        </w:rPr>
        <w:t> </w:t>
      </w:r>
      <w:r>
        <w:rPr>
          <w:w w:val="105"/>
          <w:sz w:val="13"/>
        </w:rPr>
        <w:t>of</w:t>
      </w:r>
      <w:r>
        <w:rPr>
          <w:spacing w:val="6"/>
          <w:w w:val="105"/>
          <w:sz w:val="13"/>
        </w:rPr>
        <w:t> </w:t>
      </w:r>
      <w:r>
        <w:rPr>
          <w:w w:val="105"/>
          <w:sz w:val="13"/>
        </w:rPr>
        <w:t>Boroondara).</w:t>
      </w:r>
    </w:p>
    <w:p>
      <w:pPr>
        <w:pStyle w:val="ListParagraph"/>
        <w:numPr>
          <w:ilvl w:val="0"/>
          <w:numId w:val="144"/>
        </w:numPr>
        <w:tabs>
          <w:tab w:pos="2380" w:val="left" w:leader="none"/>
          <w:tab w:pos="2382" w:val="left" w:leader="none"/>
        </w:tabs>
        <w:spacing w:line="240" w:lineRule="auto" w:before="1" w:after="0"/>
        <w:ind w:left="2381" w:right="0" w:hanging="794"/>
        <w:jc w:val="left"/>
        <w:rPr>
          <w:sz w:val="13"/>
        </w:rPr>
      </w:pPr>
      <w:r>
        <w:rPr>
          <w:w w:val="105"/>
          <w:sz w:val="13"/>
        </w:rPr>
        <w:t>Consultation 8 (City of</w:t>
      </w:r>
      <w:r>
        <w:rPr>
          <w:spacing w:val="19"/>
          <w:w w:val="105"/>
          <w:sz w:val="13"/>
        </w:rPr>
        <w:t> </w:t>
      </w:r>
      <w:r>
        <w:rPr>
          <w:w w:val="105"/>
          <w:sz w:val="13"/>
        </w:rPr>
        <w:t>Boroondara).</w:t>
      </w:r>
    </w:p>
    <w:p>
      <w:pPr>
        <w:pStyle w:val="ListParagraph"/>
        <w:numPr>
          <w:ilvl w:val="0"/>
          <w:numId w:val="144"/>
        </w:numPr>
        <w:tabs>
          <w:tab w:pos="2380" w:val="left" w:leader="none"/>
          <w:tab w:pos="2382" w:val="left" w:leader="none"/>
        </w:tabs>
        <w:spacing w:line="240" w:lineRule="auto" w:before="2" w:after="0"/>
        <w:ind w:left="2381" w:right="0" w:hanging="794"/>
        <w:jc w:val="left"/>
        <w:rPr>
          <w:sz w:val="13"/>
        </w:rPr>
      </w:pPr>
      <w:r>
        <w:rPr>
          <w:w w:val="105"/>
          <w:sz w:val="13"/>
        </w:rPr>
        <w:t>Submission 20 </w:t>
      </w:r>
      <w:r>
        <w:rPr>
          <w:spacing w:val="2"/>
          <w:w w:val="105"/>
          <w:sz w:val="13"/>
        </w:rPr>
        <w:t>(Name</w:t>
      </w:r>
      <w:r>
        <w:rPr>
          <w:spacing w:val="13"/>
          <w:w w:val="105"/>
          <w:sz w:val="13"/>
        </w:rPr>
        <w:t> </w:t>
      </w:r>
      <w:r>
        <w:rPr>
          <w:w w:val="105"/>
          <w:sz w:val="13"/>
        </w:rPr>
        <w:t>withheld).</w:t>
      </w:r>
    </w:p>
    <w:p>
      <w:pPr>
        <w:pStyle w:val="ListParagraph"/>
        <w:numPr>
          <w:ilvl w:val="0"/>
          <w:numId w:val="144"/>
        </w:numPr>
        <w:tabs>
          <w:tab w:pos="2381" w:val="left" w:leader="none"/>
          <w:tab w:pos="2382" w:val="left" w:leader="none"/>
        </w:tabs>
        <w:spacing w:line="240" w:lineRule="auto" w:before="1"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144"/>
        </w:numPr>
        <w:tabs>
          <w:tab w:pos="2381" w:val="left" w:leader="none"/>
          <w:tab w:pos="2382" w:val="left" w:leader="none"/>
        </w:tabs>
        <w:spacing w:line="240" w:lineRule="auto" w:before="1" w:after="0"/>
        <w:ind w:left="2381" w:right="0" w:hanging="794"/>
        <w:jc w:val="left"/>
        <w:rPr>
          <w:sz w:val="13"/>
        </w:rPr>
      </w:pPr>
      <w:r>
        <w:rPr>
          <w:w w:val="105"/>
          <w:sz w:val="13"/>
        </w:rPr>
        <w:t>Submission 31 </w:t>
      </w:r>
      <w:r>
        <w:rPr>
          <w:spacing w:val="2"/>
          <w:w w:val="105"/>
          <w:sz w:val="13"/>
        </w:rPr>
        <w:t>(Barwon </w:t>
      </w:r>
      <w:r>
        <w:rPr>
          <w:w w:val="105"/>
          <w:sz w:val="13"/>
        </w:rPr>
        <w:t>Community Legal</w:t>
      </w:r>
      <w:r>
        <w:rPr>
          <w:spacing w:val="21"/>
          <w:w w:val="105"/>
          <w:sz w:val="13"/>
        </w:rPr>
        <w:t> </w:t>
      </w:r>
      <w:r>
        <w:rPr>
          <w:spacing w:val="2"/>
          <w:w w:val="105"/>
          <w:sz w:val="13"/>
        </w:rPr>
        <w:t>Service).</w:t>
      </w:r>
    </w:p>
    <w:p>
      <w:pPr>
        <w:pStyle w:val="ListParagraph"/>
        <w:numPr>
          <w:ilvl w:val="0"/>
          <w:numId w:val="144"/>
        </w:numPr>
        <w:tabs>
          <w:tab w:pos="2381" w:val="left" w:leader="none"/>
          <w:tab w:pos="2382" w:val="left" w:leader="none"/>
        </w:tabs>
        <w:spacing w:line="240" w:lineRule="auto" w:before="2"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3"/>
          <w:w w:val="105"/>
          <w:sz w:val="13"/>
        </w:rPr>
        <w:t> </w:t>
      </w:r>
      <w:r>
        <w:rPr>
          <w:w w:val="105"/>
          <w:sz w:val="13"/>
        </w:rPr>
        <w:t>Wales).</w:t>
      </w:r>
    </w:p>
    <w:p>
      <w:pPr>
        <w:pStyle w:val="ListParagraph"/>
        <w:numPr>
          <w:ilvl w:val="0"/>
          <w:numId w:val="144"/>
        </w:numPr>
        <w:tabs>
          <w:tab w:pos="2381" w:val="left" w:leader="none"/>
          <w:tab w:pos="2382" w:val="left" w:leader="none"/>
        </w:tabs>
        <w:spacing w:line="240" w:lineRule="auto" w:before="1" w:after="0"/>
        <w:ind w:left="2381" w:right="0" w:hanging="794"/>
        <w:jc w:val="left"/>
        <w:rPr>
          <w:sz w:val="13"/>
        </w:rPr>
      </w:pPr>
      <w:r>
        <w:rPr>
          <w:w w:val="105"/>
          <w:sz w:val="13"/>
        </w:rPr>
        <w:t>Standards</w:t>
      </w:r>
      <w:r>
        <w:rPr>
          <w:spacing w:val="9"/>
          <w:w w:val="105"/>
          <w:sz w:val="13"/>
        </w:rPr>
        <w:t> </w:t>
      </w:r>
      <w:r>
        <w:rPr>
          <w:w w:val="105"/>
          <w:sz w:val="13"/>
        </w:rPr>
        <w:t>Australia,</w:t>
      </w:r>
      <w:r>
        <w:rPr>
          <w:spacing w:val="9"/>
          <w:w w:val="105"/>
          <w:sz w:val="13"/>
        </w:rPr>
        <w:t> </w:t>
      </w:r>
      <w:r>
        <w:rPr>
          <w:i/>
          <w:w w:val="105"/>
          <w:sz w:val="13"/>
        </w:rPr>
        <w:t>Pruning</w:t>
      </w:r>
      <w:r>
        <w:rPr>
          <w:i/>
          <w:spacing w:val="9"/>
          <w:w w:val="105"/>
          <w:sz w:val="13"/>
        </w:rPr>
        <w:t> </w:t>
      </w:r>
      <w:r>
        <w:rPr>
          <w:i/>
          <w:w w:val="105"/>
          <w:sz w:val="13"/>
        </w:rPr>
        <w:t>of</w:t>
      </w:r>
      <w:r>
        <w:rPr>
          <w:i/>
          <w:spacing w:val="9"/>
          <w:w w:val="105"/>
          <w:sz w:val="13"/>
        </w:rPr>
        <w:t> </w:t>
      </w:r>
      <w:r>
        <w:rPr>
          <w:i/>
          <w:w w:val="105"/>
          <w:sz w:val="13"/>
        </w:rPr>
        <w:t>Amenity</w:t>
      </w:r>
      <w:r>
        <w:rPr>
          <w:i/>
          <w:spacing w:val="9"/>
          <w:w w:val="105"/>
          <w:sz w:val="13"/>
        </w:rPr>
        <w:t> </w:t>
      </w:r>
      <w:r>
        <w:rPr>
          <w:i/>
          <w:w w:val="105"/>
          <w:sz w:val="13"/>
        </w:rPr>
        <w:t>Trees</w:t>
      </w:r>
      <w:r>
        <w:rPr>
          <w:i/>
          <w:spacing w:val="9"/>
          <w:w w:val="105"/>
          <w:sz w:val="13"/>
        </w:rPr>
        <w:t> </w:t>
      </w:r>
      <w:r>
        <w:rPr>
          <w:spacing w:val="2"/>
          <w:w w:val="105"/>
          <w:sz w:val="13"/>
        </w:rPr>
        <w:t>(AS</w:t>
      </w:r>
      <w:r>
        <w:rPr>
          <w:spacing w:val="9"/>
          <w:w w:val="105"/>
          <w:sz w:val="13"/>
        </w:rPr>
        <w:t> </w:t>
      </w:r>
      <w:r>
        <w:rPr>
          <w:w w:val="105"/>
          <w:sz w:val="13"/>
        </w:rPr>
        <w:t>4373-2007)</w:t>
      </w:r>
      <w:r>
        <w:rPr>
          <w:spacing w:val="9"/>
          <w:w w:val="105"/>
          <w:sz w:val="13"/>
        </w:rPr>
        <w:t> </w:t>
      </w:r>
      <w:r>
        <w:rPr>
          <w:w w:val="105"/>
          <w:sz w:val="13"/>
        </w:rPr>
        <w:t>(Sydney,</w:t>
      </w:r>
      <w:r>
        <w:rPr>
          <w:spacing w:val="9"/>
          <w:w w:val="105"/>
          <w:sz w:val="13"/>
        </w:rPr>
        <w:t> </w:t>
      </w:r>
      <w:r>
        <w:rPr>
          <w:w w:val="105"/>
          <w:sz w:val="13"/>
        </w:rPr>
        <w:t>NSW:</w:t>
      </w:r>
      <w:r>
        <w:rPr>
          <w:spacing w:val="9"/>
          <w:w w:val="105"/>
          <w:sz w:val="13"/>
        </w:rPr>
        <w:t> </w:t>
      </w:r>
      <w:r>
        <w:rPr>
          <w:w w:val="105"/>
          <w:sz w:val="13"/>
        </w:rPr>
        <w:t>Standards</w:t>
      </w:r>
      <w:r>
        <w:rPr>
          <w:spacing w:val="9"/>
          <w:w w:val="105"/>
          <w:sz w:val="13"/>
        </w:rPr>
        <w:t> </w:t>
      </w:r>
      <w:r>
        <w:rPr>
          <w:w w:val="105"/>
          <w:sz w:val="13"/>
        </w:rPr>
        <w:t>Australia,</w:t>
      </w:r>
      <w:r>
        <w:rPr>
          <w:spacing w:val="10"/>
          <w:w w:val="105"/>
          <w:sz w:val="13"/>
        </w:rPr>
        <w:t> </w:t>
      </w:r>
      <w:r>
        <w:rPr>
          <w:w w:val="105"/>
          <w:sz w:val="13"/>
        </w:rPr>
        <w:t>2007);</w:t>
      </w:r>
      <w:r>
        <w:rPr>
          <w:spacing w:val="9"/>
          <w:w w:val="105"/>
          <w:sz w:val="13"/>
        </w:rPr>
        <w:t> </w:t>
      </w:r>
      <w:r>
        <w:rPr>
          <w:w w:val="105"/>
          <w:sz w:val="13"/>
        </w:rPr>
        <w:t>see</w:t>
      </w:r>
      <w:r>
        <w:rPr>
          <w:spacing w:val="9"/>
          <w:w w:val="105"/>
          <w:sz w:val="13"/>
        </w:rPr>
        <w:t> </w:t>
      </w:r>
      <w:r>
        <w:rPr>
          <w:w w:val="105"/>
          <w:sz w:val="13"/>
        </w:rPr>
        <w:t>also</w:t>
      </w:r>
      <w:r>
        <w:rPr>
          <w:spacing w:val="9"/>
          <w:w w:val="105"/>
          <w:sz w:val="13"/>
        </w:rPr>
        <w:t> </w:t>
      </w:r>
      <w:r>
        <w:rPr>
          <w:w w:val="105"/>
          <w:sz w:val="13"/>
        </w:rPr>
        <w:t>Standards</w:t>
      </w:r>
      <w:r>
        <w:rPr>
          <w:spacing w:val="9"/>
          <w:w w:val="105"/>
          <w:sz w:val="13"/>
        </w:rPr>
        <w:t> </w:t>
      </w:r>
      <w:r>
        <w:rPr>
          <w:w w:val="105"/>
          <w:sz w:val="13"/>
        </w:rPr>
        <w:t>Australia,</w:t>
      </w:r>
    </w:p>
    <w:p>
      <w:pPr>
        <w:spacing w:before="1"/>
        <w:ind w:left="2381" w:right="0" w:firstLine="0"/>
        <w:jc w:val="left"/>
        <w:rPr>
          <w:sz w:val="13"/>
        </w:rPr>
      </w:pPr>
      <w:r>
        <w:rPr>
          <w:i/>
          <w:w w:val="105"/>
          <w:sz w:val="13"/>
        </w:rPr>
        <w:t>Protection of Trees on Development Sites </w:t>
      </w:r>
      <w:r>
        <w:rPr>
          <w:w w:val="105"/>
          <w:sz w:val="13"/>
        </w:rPr>
        <w:t>(AS4970-2009) (Sydney, NSW: Standards Australia, 2009).</w:t>
      </w:r>
    </w:p>
    <w:p>
      <w:pPr>
        <w:pStyle w:val="ListParagraph"/>
        <w:numPr>
          <w:ilvl w:val="0"/>
          <w:numId w:val="144"/>
        </w:numPr>
        <w:tabs>
          <w:tab w:pos="2381" w:val="left" w:leader="none"/>
          <w:tab w:pos="2382" w:val="left" w:leader="none"/>
        </w:tabs>
        <w:spacing w:line="240" w:lineRule="auto" w:before="2" w:after="0"/>
        <w:ind w:left="2381" w:right="0" w:hanging="794"/>
        <w:jc w:val="left"/>
        <w:rPr>
          <w:sz w:val="13"/>
        </w:rPr>
      </w:pPr>
      <w:r>
        <w:rPr>
          <w:w w:val="105"/>
          <w:sz w:val="13"/>
        </w:rPr>
        <w:t>Land</w:t>
      </w:r>
      <w:r>
        <w:rPr>
          <w:spacing w:val="9"/>
          <w:w w:val="105"/>
          <w:sz w:val="13"/>
        </w:rPr>
        <w:t> </w:t>
      </w:r>
      <w:r>
        <w:rPr>
          <w:w w:val="105"/>
          <w:sz w:val="13"/>
        </w:rPr>
        <w:t>and</w:t>
      </w:r>
      <w:r>
        <w:rPr>
          <w:spacing w:val="10"/>
          <w:w w:val="105"/>
          <w:sz w:val="13"/>
        </w:rPr>
        <w:t> </w:t>
      </w:r>
      <w:r>
        <w:rPr>
          <w:w w:val="105"/>
          <w:sz w:val="13"/>
        </w:rPr>
        <w:t>Environment</w:t>
      </w:r>
      <w:r>
        <w:rPr>
          <w:spacing w:val="9"/>
          <w:w w:val="105"/>
          <w:sz w:val="13"/>
        </w:rPr>
        <w:t> </w:t>
      </w:r>
      <w:r>
        <w:rPr>
          <w:w w:val="105"/>
          <w:sz w:val="13"/>
        </w:rPr>
        <w:t>Court</w:t>
      </w:r>
      <w:r>
        <w:rPr>
          <w:spacing w:val="10"/>
          <w:w w:val="105"/>
          <w:sz w:val="13"/>
        </w:rPr>
        <w:t> </w:t>
      </w:r>
      <w:r>
        <w:rPr>
          <w:w w:val="105"/>
          <w:sz w:val="13"/>
        </w:rPr>
        <w:t>of</w:t>
      </w:r>
      <w:r>
        <w:rPr>
          <w:spacing w:val="9"/>
          <w:w w:val="105"/>
          <w:sz w:val="13"/>
        </w:rPr>
        <w:t> </w:t>
      </w:r>
      <w:r>
        <w:rPr>
          <w:w w:val="105"/>
          <w:sz w:val="13"/>
        </w:rPr>
        <w:t>New</w:t>
      </w:r>
      <w:r>
        <w:rPr>
          <w:spacing w:val="10"/>
          <w:w w:val="105"/>
          <w:sz w:val="13"/>
        </w:rPr>
        <w:t> </w:t>
      </w:r>
      <w:r>
        <w:rPr>
          <w:w w:val="105"/>
          <w:sz w:val="13"/>
        </w:rPr>
        <w:t>South</w:t>
      </w:r>
      <w:r>
        <w:rPr>
          <w:spacing w:val="9"/>
          <w:w w:val="105"/>
          <w:sz w:val="13"/>
        </w:rPr>
        <w:t> </w:t>
      </w:r>
      <w:r>
        <w:rPr>
          <w:w w:val="105"/>
          <w:sz w:val="13"/>
        </w:rPr>
        <w:t>Wales,</w:t>
      </w:r>
      <w:r>
        <w:rPr>
          <w:spacing w:val="10"/>
          <w:w w:val="105"/>
          <w:sz w:val="13"/>
        </w:rPr>
        <w:t> </w:t>
      </w:r>
      <w:r>
        <w:rPr>
          <w:i/>
          <w:w w:val="105"/>
          <w:sz w:val="13"/>
        </w:rPr>
        <w:t>Annotated</w:t>
      </w:r>
      <w:r>
        <w:rPr>
          <w:i/>
          <w:spacing w:val="9"/>
          <w:w w:val="105"/>
          <w:sz w:val="13"/>
        </w:rPr>
        <w:t> </w:t>
      </w:r>
      <w:r>
        <w:rPr>
          <w:i/>
          <w:w w:val="105"/>
          <w:sz w:val="13"/>
        </w:rPr>
        <w:t>Trees</w:t>
      </w:r>
      <w:r>
        <w:rPr>
          <w:i/>
          <w:spacing w:val="10"/>
          <w:w w:val="105"/>
          <w:sz w:val="13"/>
        </w:rPr>
        <w:t> </w:t>
      </w:r>
      <w:r>
        <w:rPr>
          <w:i/>
          <w:w w:val="105"/>
          <w:sz w:val="13"/>
        </w:rPr>
        <w:t>(Disputes</w:t>
      </w:r>
      <w:r>
        <w:rPr>
          <w:i/>
          <w:spacing w:val="9"/>
          <w:w w:val="105"/>
          <w:sz w:val="13"/>
        </w:rPr>
        <w:t> </w:t>
      </w:r>
      <w:r>
        <w:rPr>
          <w:i/>
          <w:w w:val="105"/>
          <w:sz w:val="13"/>
        </w:rPr>
        <w:t>Between</w:t>
      </w:r>
      <w:r>
        <w:rPr>
          <w:i/>
          <w:spacing w:val="10"/>
          <w:w w:val="105"/>
          <w:sz w:val="13"/>
        </w:rPr>
        <w:t> </w:t>
      </w:r>
      <w:r>
        <w:rPr>
          <w:i/>
          <w:w w:val="105"/>
          <w:sz w:val="13"/>
        </w:rPr>
        <w:t>Neighbours)</w:t>
      </w:r>
      <w:r>
        <w:rPr>
          <w:i/>
          <w:spacing w:val="9"/>
          <w:w w:val="105"/>
          <w:sz w:val="13"/>
        </w:rPr>
        <w:t> </w:t>
      </w:r>
      <w:r>
        <w:rPr>
          <w:i/>
          <w:w w:val="105"/>
          <w:sz w:val="13"/>
        </w:rPr>
        <w:t>Act</w:t>
      </w:r>
      <w:r>
        <w:rPr>
          <w:i/>
          <w:spacing w:val="10"/>
          <w:w w:val="105"/>
          <w:sz w:val="13"/>
        </w:rPr>
        <w:t> </w:t>
      </w:r>
      <w:r>
        <w:rPr>
          <w:i/>
          <w:w w:val="105"/>
          <w:sz w:val="13"/>
        </w:rPr>
        <w:t>2006</w:t>
      </w:r>
      <w:r>
        <w:rPr>
          <w:i/>
          <w:spacing w:val="9"/>
          <w:w w:val="105"/>
          <w:sz w:val="13"/>
        </w:rPr>
        <w:t> </w:t>
      </w:r>
      <w:r>
        <w:rPr>
          <w:spacing w:val="-3"/>
          <w:w w:val="105"/>
          <w:sz w:val="13"/>
        </w:rPr>
        <w:t>(14</w:t>
      </w:r>
      <w:r>
        <w:rPr>
          <w:spacing w:val="10"/>
          <w:w w:val="105"/>
          <w:sz w:val="13"/>
        </w:rPr>
        <w:t> </w:t>
      </w:r>
      <w:r>
        <w:rPr>
          <w:w w:val="105"/>
          <w:sz w:val="13"/>
        </w:rPr>
        <w:t>January</w:t>
      </w:r>
      <w:r>
        <w:rPr>
          <w:spacing w:val="9"/>
          <w:w w:val="105"/>
          <w:sz w:val="13"/>
        </w:rPr>
        <w:t> </w:t>
      </w:r>
      <w:r>
        <w:rPr>
          <w:w w:val="105"/>
          <w:sz w:val="13"/>
        </w:rPr>
        <w:t>2013)</w:t>
      </w:r>
      <w:r>
        <w:rPr>
          <w:spacing w:val="10"/>
          <w:w w:val="105"/>
          <w:sz w:val="13"/>
        </w:rPr>
        <w:t> </w:t>
      </w:r>
      <w:r>
        <w:rPr>
          <w:w w:val="105"/>
          <w:sz w:val="13"/>
        </w:rPr>
        <w:t>16.</w:t>
      </w:r>
    </w:p>
    <w:p>
      <w:pPr>
        <w:pStyle w:val="BodyText"/>
        <w:rPr>
          <w:sz w:val="28"/>
        </w:rPr>
      </w:pPr>
      <w:r>
        <w:rPr/>
        <w:br w:type="column"/>
      </w:r>
      <w:r>
        <w:rPr>
          <w:sz w:val="28"/>
        </w:rPr>
      </w:r>
    </w:p>
    <w:p>
      <w:pPr>
        <w:pStyle w:val="BodyText"/>
        <w:rPr>
          <w:sz w:val="28"/>
        </w:rPr>
      </w:pPr>
    </w:p>
    <w:p>
      <w:pPr>
        <w:pStyle w:val="BodyText"/>
        <w:rPr>
          <w:sz w:val="28"/>
        </w:rPr>
      </w:pPr>
    </w:p>
    <w:p>
      <w:pPr>
        <w:spacing w:before="198"/>
        <w:ind w:left="879" w:right="0" w:firstLine="0"/>
        <w:jc w:val="left"/>
        <w:rPr>
          <w:b/>
          <w:sz w:val="24"/>
        </w:rPr>
      </w:pPr>
      <w:r>
        <w:rPr>
          <w:b/>
          <w:color w:val="658464"/>
          <w:w w:val="110"/>
          <w:sz w:val="24"/>
        </w:rPr>
        <w:t>197</w:t>
      </w:r>
    </w:p>
    <w:p>
      <w:pPr>
        <w:spacing w:after="0"/>
        <w:jc w:val="left"/>
        <w:rPr>
          <w:sz w:val="24"/>
        </w:rPr>
        <w:sectPr>
          <w:type w:val="continuous"/>
          <w:pgSz w:w="11910" w:h="16840"/>
          <w:pgMar w:top="300" w:bottom="280" w:left="0" w:right="0"/>
          <w:cols w:num="2" w:equalWidth="0">
            <w:col w:w="9999" w:space="40"/>
            <w:col w:w="1871"/>
          </w:cols>
        </w:sectPr>
      </w:pPr>
    </w:p>
    <w:p>
      <w:pPr>
        <w:pStyle w:val="BodyText"/>
        <w:spacing w:before="11"/>
        <w:rPr>
          <w:b/>
        </w:rPr>
      </w:pPr>
    </w:p>
    <w:p>
      <w:pPr>
        <w:spacing w:before="96"/>
        <w:ind w:left="1587" w:right="0" w:firstLine="0"/>
        <w:jc w:val="left"/>
        <w:rPr>
          <w:b/>
          <w:sz w:val="24"/>
        </w:rPr>
      </w:pPr>
      <w:bookmarkStart w:name="_bookmark106" w:id="224"/>
      <w:bookmarkEnd w:id="224"/>
      <w:r>
        <w:rPr/>
      </w:r>
      <w:r>
        <w:rPr>
          <w:b/>
          <w:w w:val="110"/>
          <w:sz w:val="24"/>
        </w:rPr>
        <w:t>Planting a replacement tree</w:t>
      </w:r>
    </w:p>
    <w:p>
      <w:pPr>
        <w:pStyle w:val="ListParagraph"/>
        <w:numPr>
          <w:ilvl w:val="1"/>
          <w:numId w:val="16"/>
        </w:numPr>
        <w:tabs>
          <w:tab w:pos="2380" w:val="left" w:leader="none"/>
          <w:tab w:pos="2381" w:val="left" w:leader="none"/>
        </w:tabs>
        <w:spacing w:line="242" w:lineRule="auto" w:before="137" w:after="0"/>
        <w:ind w:left="2381" w:right="1798" w:hanging="794"/>
        <w:jc w:val="left"/>
        <w:rPr>
          <w:sz w:val="21"/>
        </w:rPr>
      </w:pPr>
      <w:r>
        <w:rPr>
          <w:sz w:val="21"/>
        </w:rPr>
        <w:t>The new Act should specifically </w:t>
      </w:r>
      <w:r>
        <w:rPr>
          <w:spacing w:val="-3"/>
          <w:sz w:val="21"/>
        </w:rPr>
        <w:t>include </w:t>
      </w:r>
      <w:r>
        <w:rPr>
          <w:sz w:val="21"/>
        </w:rPr>
        <w:t>the power </w:t>
      </w:r>
      <w:r>
        <w:rPr>
          <w:spacing w:val="-3"/>
          <w:sz w:val="21"/>
        </w:rPr>
        <w:t>to </w:t>
      </w:r>
      <w:r>
        <w:rPr>
          <w:sz w:val="21"/>
        </w:rPr>
        <w:t>order </w:t>
      </w:r>
      <w:r>
        <w:rPr>
          <w:spacing w:val="-3"/>
          <w:sz w:val="21"/>
        </w:rPr>
        <w:t>that </w:t>
      </w:r>
      <w:r>
        <w:rPr>
          <w:sz w:val="21"/>
        </w:rPr>
        <w:t>a </w:t>
      </w:r>
      <w:r>
        <w:rPr>
          <w:spacing w:val="-3"/>
          <w:sz w:val="21"/>
        </w:rPr>
        <w:t>replacement </w:t>
      </w:r>
      <w:r>
        <w:rPr>
          <w:sz w:val="21"/>
        </w:rPr>
        <w:t>tree is </w:t>
      </w:r>
      <w:r>
        <w:rPr>
          <w:spacing w:val="-3"/>
          <w:sz w:val="21"/>
        </w:rPr>
        <w:t>planted </w:t>
      </w:r>
      <w:r>
        <w:rPr>
          <w:sz w:val="21"/>
        </w:rPr>
        <w:t>if </w:t>
      </w:r>
      <w:r>
        <w:rPr>
          <w:spacing w:val="-5"/>
          <w:sz w:val="21"/>
        </w:rPr>
        <w:t>VCAT </w:t>
      </w:r>
      <w:r>
        <w:rPr>
          <w:sz w:val="21"/>
        </w:rPr>
        <w:t>considers </w:t>
      </w:r>
      <w:r>
        <w:rPr>
          <w:spacing w:val="-3"/>
          <w:sz w:val="21"/>
        </w:rPr>
        <w:t>that </w:t>
      </w:r>
      <w:r>
        <w:rPr>
          <w:sz w:val="21"/>
        </w:rPr>
        <w:t>this is </w:t>
      </w:r>
      <w:r>
        <w:rPr>
          <w:spacing w:val="-3"/>
          <w:sz w:val="21"/>
        </w:rPr>
        <w:t>appropriate </w:t>
      </w:r>
      <w:r>
        <w:rPr>
          <w:sz w:val="21"/>
        </w:rPr>
        <w:t>in the </w:t>
      </w:r>
      <w:r>
        <w:rPr>
          <w:spacing w:val="-3"/>
          <w:sz w:val="21"/>
        </w:rPr>
        <w:t>circumstances. Replacement planting </w:t>
      </w:r>
      <w:r>
        <w:rPr>
          <w:sz w:val="21"/>
        </w:rPr>
        <w:t>is an approach </w:t>
      </w:r>
      <w:r>
        <w:rPr>
          <w:spacing w:val="-3"/>
          <w:sz w:val="21"/>
        </w:rPr>
        <w:t>that </w:t>
      </w:r>
      <w:r>
        <w:rPr>
          <w:sz w:val="21"/>
        </w:rPr>
        <w:t>received widespread support </w:t>
      </w:r>
      <w:r>
        <w:rPr>
          <w:spacing w:val="-3"/>
          <w:sz w:val="21"/>
        </w:rPr>
        <w:t>from councils </w:t>
      </w:r>
      <w:r>
        <w:rPr>
          <w:sz w:val="21"/>
        </w:rPr>
        <w:t>and community members </w:t>
      </w:r>
      <w:r>
        <w:rPr>
          <w:spacing w:val="-3"/>
          <w:sz w:val="21"/>
        </w:rPr>
        <w:t>involved </w:t>
      </w:r>
      <w:r>
        <w:rPr>
          <w:sz w:val="21"/>
        </w:rPr>
        <w:t>in this</w:t>
      </w:r>
      <w:r>
        <w:rPr>
          <w:spacing w:val="37"/>
          <w:sz w:val="21"/>
        </w:rPr>
        <w:t> </w:t>
      </w:r>
      <w:r>
        <w:rPr>
          <w:spacing w:val="-3"/>
          <w:sz w:val="21"/>
        </w:rPr>
        <w:t>inquiry.</w:t>
      </w:r>
      <w:r>
        <w:rPr>
          <w:spacing w:val="-3"/>
          <w:position w:val="7"/>
          <w:sz w:val="12"/>
        </w:rPr>
        <w:t>39</w:t>
      </w:r>
    </w:p>
    <w:p>
      <w:pPr>
        <w:pStyle w:val="ListParagraph"/>
        <w:numPr>
          <w:ilvl w:val="1"/>
          <w:numId w:val="16"/>
        </w:numPr>
        <w:tabs>
          <w:tab w:pos="2380" w:val="left" w:leader="none"/>
          <w:tab w:pos="2381" w:val="left" w:leader="none"/>
        </w:tabs>
        <w:spacing w:line="242" w:lineRule="auto" w:before="125" w:after="0"/>
        <w:ind w:left="2381" w:right="1698" w:hanging="794"/>
        <w:jc w:val="left"/>
        <w:rPr>
          <w:sz w:val="21"/>
        </w:rPr>
      </w:pPr>
      <w:r>
        <w:rPr>
          <w:spacing w:val="-3"/>
          <w:w w:val="105"/>
          <w:sz w:val="21"/>
        </w:rPr>
        <w:t>Replacement planting </w:t>
      </w:r>
      <w:r>
        <w:rPr>
          <w:w w:val="105"/>
          <w:sz w:val="21"/>
        </w:rPr>
        <w:t>is a </w:t>
      </w:r>
      <w:r>
        <w:rPr>
          <w:spacing w:val="-4"/>
          <w:w w:val="105"/>
          <w:sz w:val="21"/>
        </w:rPr>
        <w:t>feature </w:t>
      </w:r>
      <w:r>
        <w:rPr>
          <w:w w:val="105"/>
          <w:sz w:val="21"/>
        </w:rPr>
        <w:t>of the NSW and </w:t>
      </w:r>
      <w:r>
        <w:rPr>
          <w:spacing w:val="-3"/>
          <w:w w:val="105"/>
          <w:sz w:val="21"/>
        </w:rPr>
        <w:t>Queensland </w:t>
      </w:r>
      <w:r>
        <w:rPr>
          <w:w w:val="105"/>
          <w:sz w:val="21"/>
        </w:rPr>
        <w:t>Acts.</w:t>
      </w:r>
      <w:r>
        <w:rPr>
          <w:w w:val="105"/>
          <w:position w:val="7"/>
          <w:sz w:val="12"/>
        </w:rPr>
        <w:t>40 </w:t>
      </w:r>
      <w:r>
        <w:rPr>
          <w:spacing w:val="-3"/>
          <w:w w:val="105"/>
          <w:sz w:val="21"/>
        </w:rPr>
        <w:t>Replacement planting</w:t>
      </w:r>
      <w:r>
        <w:rPr>
          <w:spacing w:val="-8"/>
          <w:w w:val="105"/>
          <w:sz w:val="21"/>
        </w:rPr>
        <w:t> </w:t>
      </w:r>
      <w:r>
        <w:rPr>
          <w:w w:val="105"/>
          <w:sz w:val="21"/>
        </w:rPr>
        <w:t>can</w:t>
      </w:r>
      <w:r>
        <w:rPr>
          <w:spacing w:val="-8"/>
          <w:w w:val="105"/>
          <w:sz w:val="21"/>
        </w:rPr>
        <w:t> </w:t>
      </w:r>
      <w:r>
        <w:rPr>
          <w:w w:val="105"/>
          <w:sz w:val="21"/>
        </w:rPr>
        <w:t>be</w:t>
      </w:r>
      <w:r>
        <w:rPr>
          <w:spacing w:val="-8"/>
          <w:w w:val="105"/>
          <w:sz w:val="21"/>
        </w:rPr>
        <w:t> </w:t>
      </w:r>
      <w:r>
        <w:rPr>
          <w:spacing w:val="-3"/>
          <w:w w:val="105"/>
          <w:sz w:val="21"/>
        </w:rPr>
        <w:t>required</w:t>
      </w:r>
      <w:r>
        <w:rPr>
          <w:spacing w:val="-8"/>
          <w:w w:val="105"/>
          <w:sz w:val="21"/>
        </w:rPr>
        <w:t> </w:t>
      </w:r>
      <w:r>
        <w:rPr>
          <w:w w:val="105"/>
          <w:sz w:val="21"/>
        </w:rPr>
        <w:t>under</w:t>
      </w:r>
      <w:r>
        <w:rPr>
          <w:spacing w:val="-7"/>
          <w:w w:val="105"/>
          <w:sz w:val="21"/>
        </w:rPr>
        <w:t> </w:t>
      </w:r>
      <w:r>
        <w:rPr>
          <w:w w:val="105"/>
          <w:sz w:val="21"/>
        </w:rPr>
        <w:t>Victorian</w:t>
      </w:r>
      <w:r>
        <w:rPr>
          <w:spacing w:val="-8"/>
          <w:w w:val="105"/>
          <w:sz w:val="21"/>
        </w:rPr>
        <w:t> </w:t>
      </w:r>
      <w:r>
        <w:rPr>
          <w:spacing w:val="-3"/>
          <w:w w:val="105"/>
          <w:sz w:val="21"/>
        </w:rPr>
        <w:t>planning</w:t>
      </w:r>
      <w:r>
        <w:rPr>
          <w:spacing w:val="-8"/>
          <w:w w:val="105"/>
          <w:sz w:val="21"/>
        </w:rPr>
        <w:t> </w:t>
      </w:r>
      <w:r>
        <w:rPr>
          <w:w w:val="105"/>
          <w:sz w:val="21"/>
        </w:rPr>
        <w:t>permits</w:t>
      </w:r>
      <w:r>
        <w:rPr>
          <w:spacing w:val="-8"/>
          <w:w w:val="105"/>
          <w:sz w:val="21"/>
        </w:rPr>
        <w:t> </w:t>
      </w:r>
      <w:r>
        <w:rPr>
          <w:w w:val="105"/>
          <w:sz w:val="21"/>
        </w:rPr>
        <w:t>as</w:t>
      </w:r>
      <w:r>
        <w:rPr>
          <w:spacing w:val="-8"/>
          <w:w w:val="105"/>
          <w:sz w:val="21"/>
        </w:rPr>
        <w:t> </w:t>
      </w:r>
      <w:r>
        <w:rPr>
          <w:spacing w:val="-3"/>
          <w:w w:val="105"/>
          <w:sz w:val="21"/>
        </w:rPr>
        <w:t>well</w:t>
      </w:r>
      <w:r>
        <w:rPr>
          <w:spacing w:val="-7"/>
          <w:w w:val="105"/>
          <w:sz w:val="21"/>
        </w:rPr>
        <w:t> </w:t>
      </w:r>
      <w:r>
        <w:rPr>
          <w:w w:val="105"/>
          <w:sz w:val="21"/>
        </w:rPr>
        <w:t>as</w:t>
      </w:r>
      <w:r>
        <w:rPr>
          <w:spacing w:val="-8"/>
          <w:w w:val="105"/>
          <w:sz w:val="21"/>
        </w:rPr>
        <w:t> </w:t>
      </w:r>
      <w:r>
        <w:rPr>
          <w:w w:val="105"/>
          <w:sz w:val="21"/>
        </w:rPr>
        <w:t>local</w:t>
      </w:r>
      <w:r>
        <w:rPr>
          <w:spacing w:val="-8"/>
          <w:w w:val="105"/>
          <w:sz w:val="21"/>
        </w:rPr>
        <w:t> </w:t>
      </w:r>
      <w:r>
        <w:rPr>
          <w:w w:val="105"/>
          <w:sz w:val="21"/>
        </w:rPr>
        <w:t>tree</w:t>
      </w:r>
      <w:r>
        <w:rPr>
          <w:spacing w:val="-8"/>
          <w:w w:val="105"/>
          <w:sz w:val="21"/>
        </w:rPr>
        <w:t> </w:t>
      </w:r>
      <w:r>
        <w:rPr>
          <w:w w:val="105"/>
          <w:sz w:val="21"/>
        </w:rPr>
        <w:t>protection laws. The </w:t>
      </w:r>
      <w:r>
        <w:rPr>
          <w:spacing w:val="-3"/>
          <w:w w:val="105"/>
          <w:sz w:val="21"/>
        </w:rPr>
        <w:t>City </w:t>
      </w:r>
      <w:r>
        <w:rPr>
          <w:w w:val="105"/>
          <w:sz w:val="21"/>
        </w:rPr>
        <w:t>of Port </w:t>
      </w:r>
      <w:r>
        <w:rPr>
          <w:spacing w:val="-3"/>
          <w:w w:val="105"/>
          <w:sz w:val="21"/>
        </w:rPr>
        <w:t>Phillip </w:t>
      </w:r>
      <w:r>
        <w:rPr>
          <w:w w:val="105"/>
          <w:sz w:val="21"/>
        </w:rPr>
        <w:t>and the </w:t>
      </w:r>
      <w:r>
        <w:rPr>
          <w:spacing w:val="-3"/>
          <w:w w:val="105"/>
          <w:sz w:val="21"/>
        </w:rPr>
        <w:t>City </w:t>
      </w:r>
      <w:r>
        <w:rPr>
          <w:w w:val="105"/>
          <w:sz w:val="21"/>
        </w:rPr>
        <w:t>of </w:t>
      </w:r>
      <w:r>
        <w:rPr>
          <w:spacing w:val="-3"/>
          <w:w w:val="105"/>
          <w:sz w:val="21"/>
        </w:rPr>
        <w:t>Boroondara </w:t>
      </w:r>
      <w:r>
        <w:rPr>
          <w:w w:val="105"/>
          <w:sz w:val="21"/>
        </w:rPr>
        <w:t>often order </w:t>
      </w:r>
      <w:r>
        <w:rPr>
          <w:spacing w:val="-3"/>
          <w:w w:val="105"/>
          <w:sz w:val="21"/>
        </w:rPr>
        <w:t>replacement planting.</w:t>
      </w:r>
      <w:r>
        <w:rPr>
          <w:spacing w:val="-3"/>
          <w:w w:val="105"/>
          <w:position w:val="7"/>
          <w:sz w:val="12"/>
        </w:rPr>
        <w:t>41 </w:t>
      </w:r>
      <w:r>
        <w:rPr>
          <w:w w:val="105"/>
          <w:sz w:val="21"/>
        </w:rPr>
        <w:t>Heritage Victoria also advised </w:t>
      </w:r>
      <w:r>
        <w:rPr>
          <w:spacing w:val="-3"/>
          <w:w w:val="105"/>
          <w:sz w:val="21"/>
        </w:rPr>
        <w:t>that </w:t>
      </w:r>
      <w:r>
        <w:rPr>
          <w:w w:val="105"/>
          <w:sz w:val="21"/>
        </w:rPr>
        <w:t>it </w:t>
      </w:r>
      <w:r>
        <w:rPr>
          <w:spacing w:val="-3"/>
          <w:w w:val="105"/>
          <w:sz w:val="21"/>
        </w:rPr>
        <w:t>will generally require replanting </w:t>
      </w:r>
      <w:r>
        <w:rPr>
          <w:w w:val="105"/>
          <w:sz w:val="21"/>
        </w:rPr>
        <w:t>or </w:t>
      </w:r>
      <w:r>
        <w:rPr>
          <w:spacing w:val="-3"/>
          <w:w w:val="105"/>
          <w:sz w:val="21"/>
        </w:rPr>
        <w:t>replacement </w:t>
      </w:r>
      <w:r>
        <w:rPr>
          <w:w w:val="105"/>
          <w:sz w:val="21"/>
        </w:rPr>
        <w:t>of a heritage-listed tree </w:t>
      </w:r>
      <w:r>
        <w:rPr>
          <w:spacing w:val="-3"/>
          <w:w w:val="105"/>
          <w:sz w:val="21"/>
        </w:rPr>
        <w:t>that </w:t>
      </w:r>
      <w:r>
        <w:rPr>
          <w:spacing w:val="-2"/>
          <w:w w:val="105"/>
          <w:sz w:val="21"/>
        </w:rPr>
        <w:t>has </w:t>
      </w:r>
      <w:r>
        <w:rPr>
          <w:w w:val="105"/>
          <w:sz w:val="21"/>
        </w:rPr>
        <w:t>been</w:t>
      </w:r>
      <w:r>
        <w:rPr>
          <w:spacing w:val="30"/>
          <w:w w:val="105"/>
          <w:sz w:val="21"/>
        </w:rPr>
        <w:t> </w:t>
      </w:r>
      <w:r>
        <w:rPr>
          <w:w w:val="105"/>
          <w:sz w:val="21"/>
        </w:rPr>
        <w:t>removed.</w:t>
      </w:r>
      <w:r>
        <w:rPr>
          <w:w w:val="105"/>
          <w:position w:val="7"/>
          <w:sz w:val="12"/>
        </w:rPr>
        <w:t>42</w:t>
      </w:r>
    </w:p>
    <w:p>
      <w:pPr>
        <w:pStyle w:val="ListParagraph"/>
        <w:numPr>
          <w:ilvl w:val="1"/>
          <w:numId w:val="16"/>
        </w:numPr>
        <w:tabs>
          <w:tab w:pos="2380" w:val="left" w:leader="none"/>
          <w:tab w:pos="2381" w:val="left" w:leader="none"/>
        </w:tabs>
        <w:spacing w:line="242" w:lineRule="auto" w:before="125" w:after="0"/>
        <w:ind w:left="2380" w:right="1694" w:hanging="793"/>
        <w:jc w:val="left"/>
        <w:rPr>
          <w:sz w:val="21"/>
        </w:rPr>
      </w:pPr>
      <w:r>
        <w:rPr>
          <w:spacing w:val="-3"/>
          <w:sz w:val="21"/>
        </w:rPr>
        <w:t>Replacement </w:t>
      </w:r>
      <w:r>
        <w:rPr>
          <w:sz w:val="21"/>
        </w:rPr>
        <w:t>tree </w:t>
      </w:r>
      <w:r>
        <w:rPr>
          <w:spacing w:val="-3"/>
          <w:sz w:val="21"/>
        </w:rPr>
        <w:t>planting may </w:t>
      </w:r>
      <w:r>
        <w:rPr>
          <w:sz w:val="21"/>
        </w:rPr>
        <w:t>help </w:t>
      </w:r>
      <w:r>
        <w:rPr>
          <w:spacing w:val="-3"/>
          <w:sz w:val="21"/>
        </w:rPr>
        <w:t>to ensure that any environmental </w:t>
      </w:r>
      <w:r>
        <w:rPr>
          <w:sz w:val="21"/>
        </w:rPr>
        <w:t>and social benefits lost </w:t>
      </w:r>
      <w:r>
        <w:rPr>
          <w:spacing w:val="-3"/>
          <w:sz w:val="21"/>
        </w:rPr>
        <w:t>from </w:t>
      </w:r>
      <w:r>
        <w:rPr>
          <w:sz w:val="21"/>
        </w:rPr>
        <w:t>the </w:t>
      </w:r>
      <w:r>
        <w:rPr>
          <w:spacing w:val="-4"/>
          <w:sz w:val="21"/>
        </w:rPr>
        <w:t>tree’s </w:t>
      </w:r>
      <w:r>
        <w:rPr>
          <w:spacing w:val="-3"/>
          <w:sz w:val="21"/>
        </w:rPr>
        <w:t>removal are restored, although </w:t>
      </w:r>
      <w:r>
        <w:rPr>
          <w:sz w:val="21"/>
        </w:rPr>
        <w:t>the </w:t>
      </w:r>
      <w:r>
        <w:rPr>
          <w:spacing w:val="-3"/>
          <w:sz w:val="21"/>
        </w:rPr>
        <w:t>Commission notes </w:t>
      </w:r>
      <w:r>
        <w:rPr>
          <w:sz w:val="21"/>
        </w:rPr>
        <w:t>the caution expressed by </w:t>
      </w:r>
      <w:r>
        <w:rPr>
          <w:spacing w:val="-3"/>
          <w:sz w:val="21"/>
        </w:rPr>
        <w:t>ENSPEC</w:t>
      </w:r>
      <w:r>
        <w:rPr>
          <w:spacing w:val="25"/>
          <w:sz w:val="21"/>
        </w:rPr>
        <w:t> </w:t>
      </w:r>
      <w:r>
        <w:rPr>
          <w:sz w:val="21"/>
        </w:rPr>
        <w:t>that:</w:t>
      </w:r>
    </w:p>
    <w:p>
      <w:pPr>
        <w:spacing w:line="254" w:lineRule="auto" w:before="133"/>
        <w:ind w:left="2834" w:right="1636" w:firstLine="0"/>
        <w:jc w:val="left"/>
        <w:rPr>
          <w:sz w:val="11"/>
        </w:rPr>
      </w:pPr>
      <w:r>
        <w:rPr>
          <w:spacing w:val="-3"/>
          <w:w w:val="105"/>
          <w:sz w:val="20"/>
        </w:rPr>
        <w:t>planting </w:t>
      </w:r>
      <w:r>
        <w:rPr>
          <w:w w:val="105"/>
          <w:sz w:val="20"/>
        </w:rPr>
        <w:t>a new tree is not a replacement of the loss of a </w:t>
      </w:r>
      <w:r>
        <w:rPr>
          <w:spacing w:val="-3"/>
          <w:w w:val="105"/>
          <w:sz w:val="20"/>
        </w:rPr>
        <w:t>mature tree, </w:t>
      </w:r>
      <w:r>
        <w:rPr>
          <w:w w:val="105"/>
          <w:sz w:val="20"/>
        </w:rPr>
        <w:t>even if it is replaced</w:t>
      </w:r>
      <w:r>
        <w:rPr>
          <w:spacing w:val="-9"/>
          <w:w w:val="105"/>
          <w:sz w:val="20"/>
        </w:rPr>
        <w:t> </w:t>
      </w:r>
      <w:r>
        <w:rPr>
          <w:w w:val="105"/>
          <w:sz w:val="20"/>
        </w:rPr>
        <w:t>by</w:t>
      </w:r>
      <w:r>
        <w:rPr>
          <w:spacing w:val="-9"/>
          <w:w w:val="105"/>
          <w:sz w:val="20"/>
        </w:rPr>
        <w:t> </w:t>
      </w:r>
      <w:r>
        <w:rPr>
          <w:w w:val="105"/>
          <w:sz w:val="20"/>
        </w:rPr>
        <w:t>the</w:t>
      </w:r>
      <w:r>
        <w:rPr>
          <w:spacing w:val="-9"/>
          <w:w w:val="105"/>
          <w:sz w:val="20"/>
        </w:rPr>
        <w:t> </w:t>
      </w:r>
      <w:r>
        <w:rPr>
          <w:w w:val="105"/>
          <w:sz w:val="20"/>
        </w:rPr>
        <w:t>same</w:t>
      </w:r>
      <w:r>
        <w:rPr>
          <w:spacing w:val="-9"/>
          <w:w w:val="105"/>
          <w:sz w:val="20"/>
        </w:rPr>
        <w:t> </w:t>
      </w:r>
      <w:r>
        <w:rPr>
          <w:w w:val="105"/>
          <w:sz w:val="20"/>
        </w:rPr>
        <w:t>species,</w:t>
      </w:r>
      <w:r>
        <w:rPr>
          <w:spacing w:val="-9"/>
          <w:w w:val="105"/>
          <w:sz w:val="20"/>
        </w:rPr>
        <w:t> </w:t>
      </w:r>
      <w:r>
        <w:rPr>
          <w:w w:val="105"/>
          <w:sz w:val="20"/>
        </w:rPr>
        <w:t>as</w:t>
      </w:r>
      <w:r>
        <w:rPr>
          <w:spacing w:val="-9"/>
          <w:w w:val="105"/>
          <w:sz w:val="20"/>
        </w:rPr>
        <w:t> </w:t>
      </w:r>
      <w:r>
        <w:rPr>
          <w:w w:val="105"/>
          <w:sz w:val="20"/>
        </w:rPr>
        <w:t>the</w:t>
      </w:r>
      <w:r>
        <w:rPr>
          <w:spacing w:val="-9"/>
          <w:w w:val="105"/>
          <w:sz w:val="20"/>
        </w:rPr>
        <w:t> </w:t>
      </w:r>
      <w:r>
        <w:rPr>
          <w:w w:val="105"/>
          <w:sz w:val="20"/>
        </w:rPr>
        <w:t>decades</w:t>
      </w:r>
      <w:r>
        <w:rPr>
          <w:spacing w:val="-9"/>
          <w:w w:val="105"/>
          <w:sz w:val="20"/>
        </w:rPr>
        <w:t> </w:t>
      </w:r>
      <w:r>
        <w:rPr>
          <w:w w:val="105"/>
          <w:sz w:val="20"/>
        </w:rPr>
        <w:t>of</w:t>
      </w:r>
      <w:r>
        <w:rPr>
          <w:spacing w:val="-8"/>
          <w:w w:val="105"/>
          <w:sz w:val="20"/>
        </w:rPr>
        <w:t> </w:t>
      </w:r>
      <w:r>
        <w:rPr>
          <w:w w:val="105"/>
          <w:sz w:val="20"/>
        </w:rPr>
        <w:t>growth</w:t>
      </w:r>
      <w:r>
        <w:rPr>
          <w:spacing w:val="-9"/>
          <w:w w:val="105"/>
          <w:sz w:val="20"/>
        </w:rPr>
        <w:t> </w:t>
      </w:r>
      <w:r>
        <w:rPr>
          <w:spacing w:val="-2"/>
          <w:w w:val="105"/>
          <w:sz w:val="20"/>
        </w:rPr>
        <w:t>required</w:t>
      </w:r>
      <w:r>
        <w:rPr>
          <w:spacing w:val="-9"/>
          <w:w w:val="105"/>
          <w:sz w:val="20"/>
        </w:rPr>
        <w:t> </w:t>
      </w:r>
      <w:r>
        <w:rPr>
          <w:w w:val="105"/>
          <w:sz w:val="20"/>
        </w:rPr>
        <w:t>to</w:t>
      </w:r>
      <w:r>
        <w:rPr>
          <w:spacing w:val="-9"/>
          <w:w w:val="105"/>
          <w:sz w:val="20"/>
        </w:rPr>
        <w:t> </w:t>
      </w:r>
      <w:r>
        <w:rPr>
          <w:w w:val="105"/>
          <w:sz w:val="20"/>
        </w:rPr>
        <w:t>develop</w:t>
      </w:r>
      <w:r>
        <w:rPr>
          <w:spacing w:val="-9"/>
          <w:w w:val="105"/>
          <w:sz w:val="20"/>
        </w:rPr>
        <w:t> </w:t>
      </w:r>
      <w:r>
        <w:rPr>
          <w:w w:val="105"/>
          <w:sz w:val="20"/>
        </w:rPr>
        <w:t>to</w:t>
      </w:r>
      <w:r>
        <w:rPr>
          <w:spacing w:val="-9"/>
          <w:w w:val="105"/>
          <w:sz w:val="20"/>
        </w:rPr>
        <w:t> </w:t>
      </w:r>
      <w:r>
        <w:rPr>
          <w:w w:val="105"/>
          <w:sz w:val="20"/>
        </w:rPr>
        <w:t>maturity are lost. It is therefore necessary to </w:t>
      </w:r>
      <w:r>
        <w:rPr>
          <w:spacing w:val="-3"/>
          <w:w w:val="105"/>
          <w:sz w:val="20"/>
        </w:rPr>
        <w:t>prevent </w:t>
      </w:r>
      <w:r>
        <w:rPr>
          <w:w w:val="105"/>
          <w:sz w:val="20"/>
        </w:rPr>
        <w:t>the removal of </w:t>
      </w:r>
      <w:r>
        <w:rPr>
          <w:spacing w:val="-3"/>
          <w:w w:val="105"/>
          <w:sz w:val="20"/>
        </w:rPr>
        <w:t>mature </w:t>
      </w:r>
      <w:r>
        <w:rPr>
          <w:w w:val="105"/>
          <w:sz w:val="20"/>
        </w:rPr>
        <w:t>trees without solid justification.</w:t>
      </w:r>
      <w:r>
        <w:rPr>
          <w:w w:val="105"/>
          <w:position w:val="7"/>
          <w:sz w:val="11"/>
        </w:rPr>
        <w:t>43</w:t>
      </w:r>
    </w:p>
    <w:p>
      <w:pPr>
        <w:pStyle w:val="ListParagraph"/>
        <w:numPr>
          <w:ilvl w:val="1"/>
          <w:numId w:val="16"/>
        </w:numPr>
        <w:tabs>
          <w:tab w:pos="2381" w:val="left" w:leader="none"/>
          <w:tab w:pos="2382" w:val="left" w:leader="none"/>
        </w:tabs>
        <w:spacing w:line="242" w:lineRule="auto" w:before="115" w:after="0"/>
        <w:ind w:left="2381" w:right="1690" w:hanging="794"/>
        <w:jc w:val="left"/>
        <w:rPr>
          <w:sz w:val="21"/>
        </w:rPr>
      </w:pPr>
      <w:r>
        <w:rPr>
          <w:w w:val="105"/>
          <w:sz w:val="21"/>
        </w:rPr>
        <w:t>It </w:t>
      </w:r>
      <w:r>
        <w:rPr>
          <w:spacing w:val="-3"/>
          <w:w w:val="105"/>
          <w:sz w:val="21"/>
        </w:rPr>
        <w:t>may </w:t>
      </w:r>
      <w:r>
        <w:rPr>
          <w:w w:val="105"/>
          <w:sz w:val="21"/>
        </w:rPr>
        <w:t>also deter people </w:t>
      </w:r>
      <w:r>
        <w:rPr>
          <w:spacing w:val="-3"/>
          <w:w w:val="105"/>
          <w:sz w:val="21"/>
        </w:rPr>
        <w:t>from illegally removing </w:t>
      </w:r>
      <w:r>
        <w:rPr>
          <w:w w:val="105"/>
          <w:sz w:val="21"/>
        </w:rPr>
        <w:t>vegetation, </w:t>
      </w:r>
      <w:r>
        <w:rPr>
          <w:spacing w:val="-3"/>
          <w:w w:val="105"/>
          <w:sz w:val="21"/>
        </w:rPr>
        <w:t>for example, </w:t>
      </w:r>
      <w:r>
        <w:rPr>
          <w:w w:val="105"/>
          <w:sz w:val="21"/>
        </w:rPr>
        <w:t>in </w:t>
      </w:r>
      <w:r>
        <w:rPr>
          <w:spacing w:val="-3"/>
          <w:w w:val="105"/>
          <w:sz w:val="21"/>
        </w:rPr>
        <w:t>breach </w:t>
      </w:r>
      <w:r>
        <w:rPr>
          <w:w w:val="105"/>
          <w:sz w:val="21"/>
        </w:rPr>
        <w:t>of a local law or </w:t>
      </w:r>
      <w:r>
        <w:rPr>
          <w:spacing w:val="-3"/>
          <w:w w:val="105"/>
          <w:sz w:val="21"/>
        </w:rPr>
        <w:t>planning </w:t>
      </w:r>
      <w:r>
        <w:rPr>
          <w:w w:val="105"/>
          <w:sz w:val="21"/>
        </w:rPr>
        <w:t>scheme </w:t>
      </w:r>
      <w:r>
        <w:rPr>
          <w:spacing w:val="-3"/>
          <w:w w:val="105"/>
          <w:sz w:val="21"/>
        </w:rPr>
        <w:t>regulation, </w:t>
      </w:r>
      <w:r>
        <w:rPr>
          <w:w w:val="105"/>
          <w:sz w:val="21"/>
        </w:rPr>
        <w:t>or deter </w:t>
      </w:r>
      <w:r>
        <w:rPr>
          <w:spacing w:val="-3"/>
          <w:w w:val="105"/>
          <w:sz w:val="21"/>
        </w:rPr>
        <w:t>applications </w:t>
      </w:r>
      <w:r>
        <w:rPr>
          <w:w w:val="105"/>
          <w:sz w:val="21"/>
        </w:rPr>
        <w:t>made simply because a </w:t>
      </w:r>
      <w:r>
        <w:rPr>
          <w:spacing w:val="-3"/>
          <w:w w:val="105"/>
          <w:sz w:val="21"/>
        </w:rPr>
        <w:t>neighbour </w:t>
      </w:r>
      <w:r>
        <w:rPr>
          <w:spacing w:val="-2"/>
          <w:w w:val="105"/>
          <w:sz w:val="21"/>
        </w:rPr>
        <w:t>has </w:t>
      </w:r>
      <w:r>
        <w:rPr>
          <w:spacing w:val="-3"/>
          <w:w w:val="105"/>
          <w:sz w:val="21"/>
        </w:rPr>
        <w:t>unreasonable </w:t>
      </w:r>
      <w:r>
        <w:rPr>
          <w:w w:val="105"/>
          <w:sz w:val="21"/>
        </w:rPr>
        <w:t>expectations about </w:t>
      </w:r>
      <w:r>
        <w:rPr>
          <w:spacing w:val="-3"/>
          <w:w w:val="105"/>
          <w:sz w:val="21"/>
        </w:rPr>
        <w:t>living </w:t>
      </w:r>
      <w:r>
        <w:rPr>
          <w:w w:val="105"/>
          <w:sz w:val="21"/>
        </w:rPr>
        <w:t>near vegetation. A </w:t>
      </w:r>
      <w:r>
        <w:rPr>
          <w:spacing w:val="-3"/>
          <w:w w:val="105"/>
          <w:sz w:val="21"/>
        </w:rPr>
        <w:t>neighbour may </w:t>
      </w:r>
      <w:r>
        <w:rPr>
          <w:w w:val="105"/>
          <w:sz w:val="21"/>
        </w:rPr>
        <w:t>be less </w:t>
      </w:r>
      <w:r>
        <w:rPr>
          <w:spacing w:val="-4"/>
          <w:w w:val="105"/>
          <w:sz w:val="21"/>
        </w:rPr>
        <w:t>likely </w:t>
      </w:r>
      <w:r>
        <w:rPr>
          <w:spacing w:val="-3"/>
          <w:w w:val="105"/>
          <w:sz w:val="21"/>
        </w:rPr>
        <w:t>to </w:t>
      </w:r>
      <w:r>
        <w:rPr>
          <w:w w:val="105"/>
          <w:sz w:val="21"/>
        </w:rPr>
        <w:t>seek the </w:t>
      </w:r>
      <w:r>
        <w:rPr>
          <w:spacing w:val="-3"/>
          <w:w w:val="105"/>
          <w:sz w:val="21"/>
        </w:rPr>
        <w:t>removal </w:t>
      </w:r>
      <w:r>
        <w:rPr>
          <w:w w:val="105"/>
          <w:sz w:val="21"/>
        </w:rPr>
        <w:t>of a tree simply because they do </w:t>
      </w:r>
      <w:r>
        <w:rPr>
          <w:spacing w:val="-2"/>
          <w:w w:val="105"/>
          <w:sz w:val="21"/>
        </w:rPr>
        <w:t>not </w:t>
      </w:r>
      <w:r>
        <w:rPr>
          <w:spacing w:val="-4"/>
          <w:w w:val="105"/>
          <w:sz w:val="21"/>
        </w:rPr>
        <w:t>like </w:t>
      </w:r>
      <w:r>
        <w:rPr>
          <w:w w:val="105"/>
          <w:sz w:val="21"/>
        </w:rPr>
        <w:t>it or </w:t>
      </w:r>
      <w:r>
        <w:rPr>
          <w:spacing w:val="-3"/>
          <w:w w:val="105"/>
          <w:sz w:val="21"/>
        </w:rPr>
        <w:t>to think </w:t>
      </w:r>
      <w:r>
        <w:rPr>
          <w:w w:val="105"/>
          <w:sz w:val="21"/>
        </w:rPr>
        <w:t>twice about </w:t>
      </w:r>
      <w:r>
        <w:rPr>
          <w:spacing w:val="-3"/>
          <w:w w:val="105"/>
          <w:sz w:val="21"/>
        </w:rPr>
        <w:t>removing </w:t>
      </w:r>
      <w:r>
        <w:rPr>
          <w:w w:val="105"/>
          <w:sz w:val="21"/>
        </w:rPr>
        <w:t>it </w:t>
      </w:r>
      <w:r>
        <w:rPr>
          <w:spacing w:val="-3"/>
          <w:w w:val="105"/>
          <w:sz w:val="21"/>
        </w:rPr>
        <w:t>illegally </w:t>
      </w:r>
      <w:r>
        <w:rPr>
          <w:w w:val="105"/>
          <w:sz w:val="21"/>
        </w:rPr>
        <w:t>if </w:t>
      </w:r>
      <w:r>
        <w:rPr>
          <w:spacing w:val="-3"/>
          <w:w w:val="105"/>
          <w:sz w:val="21"/>
        </w:rPr>
        <w:t>another </w:t>
      </w:r>
      <w:r>
        <w:rPr>
          <w:w w:val="105"/>
          <w:sz w:val="21"/>
        </w:rPr>
        <w:t>tree is ordered </w:t>
      </w:r>
      <w:r>
        <w:rPr>
          <w:spacing w:val="-3"/>
          <w:w w:val="105"/>
          <w:sz w:val="21"/>
        </w:rPr>
        <w:t>to </w:t>
      </w:r>
      <w:r>
        <w:rPr>
          <w:w w:val="105"/>
          <w:sz w:val="21"/>
        </w:rPr>
        <w:t>be </w:t>
      </w:r>
      <w:r>
        <w:rPr>
          <w:spacing w:val="-3"/>
          <w:w w:val="105"/>
          <w:sz w:val="21"/>
        </w:rPr>
        <w:t>planted </w:t>
      </w:r>
      <w:r>
        <w:rPr>
          <w:w w:val="105"/>
          <w:sz w:val="21"/>
        </w:rPr>
        <w:t>in its</w:t>
      </w:r>
      <w:r>
        <w:rPr>
          <w:spacing w:val="-2"/>
          <w:w w:val="105"/>
          <w:sz w:val="21"/>
        </w:rPr>
        <w:t> </w:t>
      </w:r>
      <w:r>
        <w:rPr>
          <w:spacing w:val="-3"/>
          <w:w w:val="105"/>
          <w:sz w:val="21"/>
        </w:rPr>
        <w:t>place.</w:t>
      </w:r>
    </w:p>
    <w:p>
      <w:pPr>
        <w:pStyle w:val="BodyText"/>
        <w:spacing w:before="6"/>
        <w:rPr>
          <w:sz w:val="20"/>
        </w:rPr>
      </w:pPr>
    </w:p>
    <w:p>
      <w:pPr>
        <w:pStyle w:val="Heading5"/>
      </w:pPr>
      <w:r>
        <w:rPr>
          <w:w w:val="115"/>
        </w:rPr>
        <w:t>Ongoing maintenance orders</w:t>
      </w:r>
    </w:p>
    <w:p>
      <w:pPr>
        <w:pStyle w:val="ListParagraph"/>
        <w:numPr>
          <w:ilvl w:val="1"/>
          <w:numId w:val="16"/>
        </w:numPr>
        <w:tabs>
          <w:tab w:pos="2381" w:val="left" w:leader="none"/>
          <w:tab w:pos="2382" w:val="left" w:leader="none"/>
        </w:tabs>
        <w:spacing w:line="242" w:lineRule="auto" w:before="138" w:after="0"/>
        <w:ind w:left="2381" w:right="1625" w:hanging="794"/>
        <w:jc w:val="left"/>
        <w:rPr>
          <w:sz w:val="21"/>
        </w:rPr>
      </w:pPr>
      <w:r>
        <w:rPr>
          <w:w w:val="105"/>
          <w:sz w:val="21"/>
        </w:rPr>
        <w:t>The new Act should </w:t>
      </w:r>
      <w:r>
        <w:rPr>
          <w:spacing w:val="-3"/>
          <w:w w:val="105"/>
          <w:sz w:val="21"/>
        </w:rPr>
        <w:t>allow for </w:t>
      </w:r>
      <w:r>
        <w:rPr>
          <w:w w:val="105"/>
          <w:sz w:val="21"/>
        </w:rPr>
        <w:t>ongoing </w:t>
      </w:r>
      <w:r>
        <w:rPr>
          <w:spacing w:val="-3"/>
          <w:w w:val="105"/>
          <w:sz w:val="21"/>
        </w:rPr>
        <w:t>maintenance </w:t>
      </w:r>
      <w:r>
        <w:rPr>
          <w:w w:val="105"/>
          <w:sz w:val="21"/>
        </w:rPr>
        <w:t>orders if </w:t>
      </w:r>
      <w:r>
        <w:rPr>
          <w:spacing w:val="-5"/>
          <w:w w:val="105"/>
          <w:sz w:val="21"/>
        </w:rPr>
        <w:t>VCAT </w:t>
      </w:r>
      <w:r>
        <w:rPr>
          <w:spacing w:val="-3"/>
          <w:w w:val="105"/>
          <w:sz w:val="21"/>
        </w:rPr>
        <w:t>determines that </w:t>
      </w:r>
      <w:r>
        <w:rPr>
          <w:w w:val="105"/>
          <w:sz w:val="21"/>
        </w:rPr>
        <w:t>this is </w:t>
      </w:r>
      <w:r>
        <w:rPr>
          <w:spacing w:val="-3"/>
          <w:w w:val="105"/>
          <w:sz w:val="21"/>
        </w:rPr>
        <w:t>appropriate </w:t>
      </w:r>
      <w:r>
        <w:rPr>
          <w:w w:val="105"/>
          <w:sz w:val="21"/>
        </w:rPr>
        <w:t>in the </w:t>
      </w:r>
      <w:r>
        <w:rPr>
          <w:spacing w:val="-3"/>
          <w:w w:val="105"/>
          <w:sz w:val="21"/>
        </w:rPr>
        <w:t>circumstances. </w:t>
      </w:r>
      <w:r>
        <w:rPr>
          <w:spacing w:val="-5"/>
          <w:w w:val="105"/>
          <w:sz w:val="21"/>
        </w:rPr>
        <w:t>VCAT </w:t>
      </w:r>
      <w:r>
        <w:rPr>
          <w:w w:val="105"/>
          <w:sz w:val="21"/>
        </w:rPr>
        <w:t>told the </w:t>
      </w:r>
      <w:r>
        <w:rPr>
          <w:spacing w:val="-3"/>
          <w:w w:val="105"/>
          <w:sz w:val="21"/>
        </w:rPr>
        <w:t>Commission that </w:t>
      </w:r>
      <w:r>
        <w:rPr>
          <w:w w:val="105"/>
          <w:sz w:val="21"/>
        </w:rPr>
        <w:t>it is </w:t>
      </w:r>
      <w:r>
        <w:rPr>
          <w:spacing w:val="-3"/>
          <w:w w:val="105"/>
          <w:sz w:val="21"/>
        </w:rPr>
        <w:t>rare for </w:t>
      </w:r>
      <w:r>
        <w:rPr>
          <w:w w:val="105"/>
          <w:sz w:val="21"/>
        </w:rPr>
        <w:t>it </w:t>
      </w:r>
      <w:r>
        <w:rPr>
          <w:spacing w:val="-3"/>
          <w:w w:val="105"/>
          <w:sz w:val="21"/>
        </w:rPr>
        <w:t>to </w:t>
      </w:r>
      <w:r>
        <w:rPr>
          <w:spacing w:val="-4"/>
          <w:w w:val="105"/>
          <w:sz w:val="21"/>
        </w:rPr>
        <w:t>make </w:t>
      </w:r>
      <w:r>
        <w:rPr>
          <w:w w:val="105"/>
          <w:sz w:val="21"/>
        </w:rPr>
        <w:t>an order with ongoing </w:t>
      </w:r>
      <w:r>
        <w:rPr>
          <w:spacing w:val="-3"/>
          <w:w w:val="105"/>
          <w:sz w:val="21"/>
        </w:rPr>
        <w:t>obligations </w:t>
      </w:r>
      <w:r>
        <w:rPr>
          <w:w w:val="105"/>
          <w:sz w:val="21"/>
        </w:rPr>
        <w:t>when </w:t>
      </w:r>
      <w:r>
        <w:rPr>
          <w:spacing w:val="-3"/>
          <w:w w:val="105"/>
          <w:sz w:val="21"/>
        </w:rPr>
        <w:t>exercising original </w:t>
      </w:r>
      <w:r>
        <w:rPr>
          <w:w w:val="105"/>
          <w:sz w:val="21"/>
        </w:rPr>
        <w:t>jurisdiction.</w:t>
      </w:r>
      <w:r>
        <w:rPr>
          <w:w w:val="105"/>
          <w:position w:val="7"/>
          <w:sz w:val="12"/>
        </w:rPr>
        <w:t>44 </w:t>
      </w:r>
      <w:r>
        <w:rPr>
          <w:spacing w:val="-5"/>
          <w:w w:val="105"/>
          <w:sz w:val="21"/>
        </w:rPr>
        <w:t>VCAT </w:t>
      </w:r>
      <w:r>
        <w:rPr>
          <w:w w:val="105"/>
          <w:sz w:val="21"/>
        </w:rPr>
        <w:t>stated  </w:t>
      </w:r>
      <w:r>
        <w:rPr>
          <w:spacing w:val="-3"/>
          <w:w w:val="105"/>
          <w:sz w:val="21"/>
        </w:rPr>
        <w:t>that any requirement for </w:t>
      </w:r>
      <w:r>
        <w:rPr>
          <w:w w:val="105"/>
          <w:sz w:val="21"/>
        </w:rPr>
        <w:t>it </w:t>
      </w:r>
      <w:r>
        <w:rPr>
          <w:spacing w:val="-3"/>
          <w:w w:val="105"/>
          <w:sz w:val="21"/>
        </w:rPr>
        <w:t>to monitor </w:t>
      </w:r>
      <w:r>
        <w:rPr>
          <w:w w:val="105"/>
          <w:sz w:val="21"/>
        </w:rPr>
        <w:t>or </w:t>
      </w:r>
      <w:r>
        <w:rPr>
          <w:spacing w:val="-3"/>
          <w:w w:val="105"/>
          <w:sz w:val="21"/>
        </w:rPr>
        <w:t>follow </w:t>
      </w:r>
      <w:r>
        <w:rPr>
          <w:w w:val="105"/>
          <w:sz w:val="21"/>
        </w:rPr>
        <w:t>up on orders would </w:t>
      </w:r>
      <w:r>
        <w:rPr>
          <w:spacing w:val="-2"/>
          <w:w w:val="105"/>
          <w:sz w:val="21"/>
        </w:rPr>
        <w:t>not </w:t>
      </w:r>
      <w:r>
        <w:rPr>
          <w:w w:val="105"/>
          <w:sz w:val="21"/>
        </w:rPr>
        <w:t>be </w:t>
      </w:r>
      <w:r>
        <w:rPr>
          <w:spacing w:val="-3"/>
          <w:w w:val="105"/>
          <w:sz w:val="21"/>
        </w:rPr>
        <w:t>appropriate.</w:t>
      </w:r>
      <w:r>
        <w:rPr>
          <w:spacing w:val="-3"/>
          <w:w w:val="105"/>
          <w:position w:val="7"/>
          <w:sz w:val="12"/>
        </w:rPr>
        <w:t>45</w:t>
      </w:r>
      <w:r>
        <w:rPr>
          <w:spacing w:val="-3"/>
          <w:w w:val="105"/>
          <w:sz w:val="12"/>
        </w:rPr>
        <w:t> </w:t>
      </w:r>
      <w:r>
        <w:rPr>
          <w:spacing w:val="-4"/>
          <w:w w:val="105"/>
          <w:sz w:val="21"/>
        </w:rPr>
        <w:t>However, </w:t>
      </w:r>
      <w:r>
        <w:rPr>
          <w:w w:val="105"/>
          <w:sz w:val="21"/>
        </w:rPr>
        <w:t>the </w:t>
      </w:r>
      <w:r>
        <w:rPr>
          <w:spacing w:val="-3"/>
          <w:w w:val="105"/>
          <w:sz w:val="21"/>
        </w:rPr>
        <w:t>Commission </w:t>
      </w:r>
      <w:r>
        <w:rPr>
          <w:w w:val="105"/>
          <w:sz w:val="21"/>
        </w:rPr>
        <w:t>is of the view </w:t>
      </w:r>
      <w:r>
        <w:rPr>
          <w:spacing w:val="-3"/>
          <w:w w:val="105"/>
          <w:sz w:val="21"/>
        </w:rPr>
        <w:t>that </w:t>
      </w:r>
      <w:r>
        <w:rPr>
          <w:w w:val="105"/>
          <w:sz w:val="21"/>
        </w:rPr>
        <w:t>an ongoing order </w:t>
      </w:r>
      <w:r>
        <w:rPr>
          <w:spacing w:val="-3"/>
          <w:w w:val="105"/>
          <w:sz w:val="21"/>
        </w:rPr>
        <w:t>may </w:t>
      </w:r>
      <w:r>
        <w:rPr>
          <w:w w:val="105"/>
          <w:sz w:val="21"/>
        </w:rPr>
        <w:t>be </w:t>
      </w:r>
      <w:r>
        <w:rPr>
          <w:spacing w:val="-3"/>
          <w:w w:val="105"/>
          <w:sz w:val="21"/>
        </w:rPr>
        <w:t>appropriate </w:t>
      </w:r>
      <w:r>
        <w:rPr>
          <w:w w:val="105"/>
          <w:sz w:val="21"/>
        </w:rPr>
        <w:t>in certain </w:t>
      </w:r>
      <w:r>
        <w:rPr>
          <w:spacing w:val="-3"/>
          <w:w w:val="105"/>
          <w:sz w:val="21"/>
        </w:rPr>
        <w:t>circumstances </w:t>
      </w:r>
      <w:r>
        <w:rPr>
          <w:w w:val="105"/>
          <w:sz w:val="21"/>
        </w:rPr>
        <w:t>in a tree </w:t>
      </w:r>
      <w:r>
        <w:rPr>
          <w:spacing w:val="-3"/>
          <w:w w:val="105"/>
          <w:sz w:val="21"/>
        </w:rPr>
        <w:t>dispute, such </w:t>
      </w:r>
      <w:r>
        <w:rPr>
          <w:w w:val="105"/>
          <w:sz w:val="21"/>
        </w:rPr>
        <w:t>as where the tree needs </w:t>
      </w:r>
      <w:r>
        <w:rPr>
          <w:spacing w:val="-3"/>
          <w:w w:val="105"/>
          <w:sz w:val="21"/>
        </w:rPr>
        <w:t>to </w:t>
      </w:r>
      <w:r>
        <w:rPr>
          <w:w w:val="105"/>
          <w:sz w:val="21"/>
        </w:rPr>
        <w:t>be pruned or inspected at </w:t>
      </w:r>
      <w:r>
        <w:rPr>
          <w:spacing w:val="-3"/>
          <w:w w:val="105"/>
          <w:sz w:val="21"/>
        </w:rPr>
        <w:t>regular</w:t>
      </w:r>
      <w:r>
        <w:rPr>
          <w:spacing w:val="14"/>
          <w:w w:val="105"/>
          <w:sz w:val="21"/>
        </w:rPr>
        <w:t> </w:t>
      </w:r>
      <w:r>
        <w:rPr>
          <w:w w:val="105"/>
          <w:sz w:val="21"/>
        </w:rPr>
        <w:t>intervals.</w:t>
      </w:r>
    </w:p>
    <w:p>
      <w:pPr>
        <w:pStyle w:val="ListParagraph"/>
        <w:numPr>
          <w:ilvl w:val="1"/>
          <w:numId w:val="16"/>
        </w:numPr>
        <w:tabs>
          <w:tab w:pos="2380" w:val="left" w:leader="none"/>
          <w:tab w:pos="2381" w:val="left" w:leader="none"/>
        </w:tabs>
        <w:spacing w:line="242" w:lineRule="auto" w:before="127" w:after="0"/>
        <w:ind w:left="2381" w:right="2016" w:hanging="794"/>
        <w:jc w:val="left"/>
        <w:rPr>
          <w:sz w:val="21"/>
        </w:rPr>
      </w:pPr>
      <w:r>
        <w:rPr>
          <w:w w:val="105"/>
          <w:sz w:val="21"/>
        </w:rPr>
        <w:t>Ongoing </w:t>
      </w:r>
      <w:r>
        <w:rPr>
          <w:spacing w:val="-3"/>
          <w:w w:val="105"/>
          <w:sz w:val="21"/>
        </w:rPr>
        <w:t>maintenance </w:t>
      </w:r>
      <w:r>
        <w:rPr>
          <w:w w:val="105"/>
          <w:sz w:val="21"/>
        </w:rPr>
        <w:t>orders can be made under the interstate Acts.</w:t>
      </w:r>
      <w:r>
        <w:rPr>
          <w:w w:val="105"/>
          <w:position w:val="7"/>
          <w:sz w:val="12"/>
        </w:rPr>
        <w:t>46 </w:t>
      </w:r>
      <w:r>
        <w:rPr>
          <w:w w:val="105"/>
          <w:sz w:val="21"/>
        </w:rPr>
        <w:t>These orders often </w:t>
      </w:r>
      <w:r>
        <w:rPr>
          <w:spacing w:val="-3"/>
          <w:w w:val="105"/>
          <w:sz w:val="21"/>
        </w:rPr>
        <w:t>require maintenance </w:t>
      </w:r>
      <w:r>
        <w:rPr>
          <w:w w:val="105"/>
          <w:sz w:val="21"/>
        </w:rPr>
        <w:t>at specified </w:t>
      </w:r>
      <w:r>
        <w:rPr>
          <w:spacing w:val="-2"/>
          <w:w w:val="105"/>
          <w:sz w:val="21"/>
        </w:rPr>
        <w:t>intervals </w:t>
      </w:r>
      <w:r>
        <w:rPr>
          <w:spacing w:val="-3"/>
          <w:w w:val="105"/>
          <w:sz w:val="21"/>
        </w:rPr>
        <w:t>to prevent future disputes.</w:t>
      </w:r>
      <w:r>
        <w:rPr>
          <w:spacing w:val="-3"/>
          <w:w w:val="105"/>
          <w:position w:val="7"/>
          <w:sz w:val="12"/>
        </w:rPr>
        <w:t>47 </w:t>
      </w:r>
      <w:r>
        <w:rPr>
          <w:spacing w:val="-3"/>
          <w:w w:val="105"/>
          <w:sz w:val="21"/>
        </w:rPr>
        <w:t>Ongoing maintenance </w:t>
      </w:r>
      <w:r>
        <w:rPr>
          <w:w w:val="105"/>
          <w:sz w:val="21"/>
        </w:rPr>
        <w:t>orders </w:t>
      </w:r>
      <w:r>
        <w:rPr>
          <w:spacing w:val="-3"/>
          <w:w w:val="105"/>
          <w:sz w:val="21"/>
        </w:rPr>
        <w:t>were </w:t>
      </w:r>
      <w:r>
        <w:rPr>
          <w:w w:val="105"/>
          <w:sz w:val="21"/>
        </w:rPr>
        <w:t>supported by a number of community</w:t>
      </w:r>
      <w:r>
        <w:rPr>
          <w:spacing w:val="-4"/>
          <w:w w:val="105"/>
          <w:sz w:val="21"/>
        </w:rPr>
        <w:t> </w:t>
      </w:r>
      <w:r>
        <w:rPr>
          <w:w w:val="105"/>
          <w:sz w:val="21"/>
        </w:rPr>
        <w:t>members.</w:t>
      </w:r>
      <w:r>
        <w:rPr>
          <w:w w:val="105"/>
          <w:position w:val="7"/>
          <w:sz w:val="12"/>
        </w:rPr>
        <w:t>48</w:t>
      </w:r>
    </w:p>
    <w:p>
      <w:pPr>
        <w:pStyle w:val="ListParagraph"/>
        <w:numPr>
          <w:ilvl w:val="1"/>
          <w:numId w:val="16"/>
        </w:numPr>
        <w:tabs>
          <w:tab w:pos="2381" w:val="left" w:leader="none"/>
          <w:tab w:pos="2382" w:val="left" w:leader="none"/>
        </w:tabs>
        <w:spacing w:line="242" w:lineRule="auto" w:before="123" w:after="0"/>
        <w:ind w:left="2381" w:right="1718" w:hanging="794"/>
        <w:jc w:val="left"/>
        <w:rPr>
          <w:sz w:val="21"/>
        </w:rPr>
      </w:pPr>
      <w:r>
        <w:rPr/>
        <w:pict>
          <v:line style="position:absolute;mso-position-horizontal-relative:page;mso-position-vertical-relative:paragraph;z-index:8552;mso-wrap-distance-left:0;mso-wrap-distance-right:0" from="79.370102pt,62.633755pt" to="515.905102pt,62.633755pt" stroked="true" strokeweight="1pt" strokecolor="#c9d2cb">
            <v:stroke dashstyle="solid"/>
            <w10:wrap type="topAndBottom"/>
          </v:line>
        </w:pict>
      </w:r>
      <w:r>
        <w:rPr>
          <w:w w:val="105"/>
          <w:sz w:val="21"/>
        </w:rPr>
        <w:t>In New South </w:t>
      </w:r>
      <w:r>
        <w:rPr>
          <w:spacing w:val="-3"/>
          <w:w w:val="105"/>
          <w:sz w:val="21"/>
        </w:rPr>
        <w:t>Wales, for example, </w:t>
      </w:r>
      <w:r>
        <w:rPr>
          <w:w w:val="105"/>
          <w:sz w:val="21"/>
        </w:rPr>
        <w:t>the </w:t>
      </w:r>
      <w:r>
        <w:rPr>
          <w:spacing w:val="-3"/>
          <w:w w:val="105"/>
          <w:sz w:val="21"/>
        </w:rPr>
        <w:t>Commission </w:t>
      </w:r>
      <w:r>
        <w:rPr>
          <w:w w:val="105"/>
          <w:sz w:val="21"/>
        </w:rPr>
        <w:t>was told </w:t>
      </w:r>
      <w:r>
        <w:rPr>
          <w:spacing w:val="-3"/>
          <w:w w:val="105"/>
          <w:sz w:val="21"/>
        </w:rPr>
        <w:t>that </w:t>
      </w:r>
      <w:r>
        <w:rPr>
          <w:w w:val="105"/>
          <w:sz w:val="21"/>
        </w:rPr>
        <w:t>orders made </w:t>
      </w:r>
      <w:r>
        <w:rPr>
          <w:spacing w:val="-3"/>
          <w:w w:val="105"/>
          <w:sz w:val="21"/>
        </w:rPr>
        <w:t>for </w:t>
      </w:r>
      <w:r>
        <w:rPr>
          <w:w w:val="105"/>
          <w:sz w:val="21"/>
        </w:rPr>
        <w:t>ongoing </w:t>
      </w:r>
      <w:r>
        <w:rPr>
          <w:spacing w:val="-3"/>
          <w:w w:val="105"/>
          <w:sz w:val="21"/>
        </w:rPr>
        <w:t>maintenance </w:t>
      </w:r>
      <w:r>
        <w:rPr>
          <w:w w:val="105"/>
          <w:sz w:val="21"/>
        </w:rPr>
        <w:t>they </w:t>
      </w:r>
      <w:r>
        <w:rPr>
          <w:spacing w:val="-3"/>
          <w:w w:val="105"/>
          <w:sz w:val="21"/>
        </w:rPr>
        <w:t>are </w:t>
      </w:r>
      <w:r>
        <w:rPr>
          <w:w w:val="105"/>
          <w:sz w:val="21"/>
        </w:rPr>
        <w:t>typically </w:t>
      </w:r>
      <w:r>
        <w:rPr>
          <w:spacing w:val="-3"/>
          <w:w w:val="105"/>
          <w:sz w:val="21"/>
        </w:rPr>
        <w:t>for </w:t>
      </w:r>
      <w:r>
        <w:rPr>
          <w:w w:val="105"/>
          <w:sz w:val="21"/>
        </w:rPr>
        <w:t>periods of </w:t>
      </w:r>
      <w:r>
        <w:rPr>
          <w:spacing w:val="-9"/>
          <w:w w:val="105"/>
          <w:sz w:val="21"/>
        </w:rPr>
        <w:t>12 </w:t>
      </w:r>
      <w:r>
        <w:rPr>
          <w:spacing w:val="-3"/>
          <w:w w:val="105"/>
          <w:sz w:val="21"/>
        </w:rPr>
        <w:t>to </w:t>
      </w:r>
      <w:r>
        <w:rPr>
          <w:spacing w:val="-6"/>
          <w:w w:val="105"/>
          <w:sz w:val="21"/>
        </w:rPr>
        <w:t>18 </w:t>
      </w:r>
      <w:r>
        <w:rPr>
          <w:w w:val="105"/>
          <w:sz w:val="21"/>
        </w:rPr>
        <w:t>months.</w:t>
      </w:r>
      <w:r>
        <w:rPr>
          <w:w w:val="105"/>
          <w:position w:val="7"/>
          <w:sz w:val="12"/>
        </w:rPr>
        <w:t>49 </w:t>
      </w:r>
      <w:r>
        <w:rPr>
          <w:w w:val="105"/>
          <w:sz w:val="21"/>
        </w:rPr>
        <w:t>The NSWLEC advised </w:t>
      </w:r>
      <w:r>
        <w:rPr>
          <w:spacing w:val="-3"/>
          <w:w w:val="105"/>
          <w:sz w:val="21"/>
        </w:rPr>
        <w:t>that </w:t>
      </w:r>
      <w:r>
        <w:rPr>
          <w:w w:val="105"/>
          <w:sz w:val="21"/>
        </w:rPr>
        <w:t>ongoing </w:t>
      </w:r>
      <w:r>
        <w:rPr>
          <w:spacing w:val="-3"/>
          <w:w w:val="105"/>
          <w:sz w:val="21"/>
        </w:rPr>
        <w:t>maintenance </w:t>
      </w:r>
      <w:r>
        <w:rPr>
          <w:w w:val="105"/>
          <w:sz w:val="21"/>
        </w:rPr>
        <w:t>orders </w:t>
      </w:r>
      <w:r>
        <w:rPr>
          <w:spacing w:val="-3"/>
          <w:w w:val="105"/>
          <w:sz w:val="21"/>
        </w:rPr>
        <w:t>are </w:t>
      </w:r>
      <w:r>
        <w:rPr>
          <w:w w:val="105"/>
          <w:sz w:val="21"/>
        </w:rPr>
        <w:t>less </w:t>
      </w:r>
      <w:r>
        <w:rPr>
          <w:spacing w:val="-4"/>
          <w:w w:val="105"/>
          <w:sz w:val="21"/>
        </w:rPr>
        <w:t>likely </w:t>
      </w:r>
      <w:r>
        <w:rPr>
          <w:spacing w:val="-3"/>
          <w:w w:val="105"/>
          <w:sz w:val="21"/>
        </w:rPr>
        <w:t>for claims relating to </w:t>
      </w:r>
      <w:r>
        <w:rPr>
          <w:w w:val="105"/>
          <w:sz w:val="21"/>
        </w:rPr>
        <w:t>damage and </w:t>
      </w:r>
      <w:r>
        <w:rPr>
          <w:spacing w:val="-3"/>
          <w:w w:val="105"/>
          <w:sz w:val="21"/>
        </w:rPr>
        <w:t>harm. </w:t>
      </w:r>
      <w:r>
        <w:rPr>
          <w:spacing w:val="-4"/>
          <w:w w:val="105"/>
          <w:sz w:val="21"/>
        </w:rPr>
        <w:t>Claims </w:t>
      </w:r>
      <w:r>
        <w:rPr>
          <w:w w:val="105"/>
          <w:sz w:val="21"/>
        </w:rPr>
        <w:t>based on the obstruction of </w:t>
      </w:r>
      <w:r>
        <w:rPr>
          <w:spacing w:val="-4"/>
          <w:w w:val="105"/>
          <w:sz w:val="21"/>
        </w:rPr>
        <w:t>sunlight </w:t>
      </w:r>
      <w:r>
        <w:rPr>
          <w:w w:val="105"/>
          <w:sz w:val="21"/>
        </w:rPr>
        <w:t>and views caused by </w:t>
      </w:r>
      <w:r>
        <w:rPr>
          <w:spacing w:val="-3"/>
          <w:w w:val="105"/>
          <w:sz w:val="21"/>
        </w:rPr>
        <w:t>high</w:t>
      </w:r>
      <w:r>
        <w:rPr>
          <w:spacing w:val="2"/>
          <w:w w:val="105"/>
          <w:sz w:val="21"/>
        </w:rPr>
        <w:t> </w:t>
      </w:r>
      <w:r>
        <w:rPr>
          <w:w w:val="105"/>
          <w:sz w:val="21"/>
        </w:rPr>
        <w:t>hedges</w: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49"/>
        <w:ind w:left="720" w:right="0" w:firstLine="0"/>
        <w:jc w:val="left"/>
        <w:rPr>
          <w:b/>
          <w:sz w:val="24"/>
        </w:rPr>
      </w:pPr>
      <w:r>
        <w:rPr>
          <w:b/>
          <w:color w:val="658464"/>
          <w:w w:val="105"/>
          <w:sz w:val="24"/>
        </w:rPr>
        <w:t>198</w:t>
      </w:r>
    </w:p>
    <w:p>
      <w:pPr>
        <w:pStyle w:val="ListParagraph"/>
        <w:numPr>
          <w:ilvl w:val="0"/>
          <w:numId w:val="144"/>
        </w:numPr>
        <w:tabs>
          <w:tab w:pos="1226" w:val="left" w:leader="none"/>
          <w:tab w:pos="1227" w:val="left" w:leader="none"/>
        </w:tabs>
        <w:spacing w:line="240" w:lineRule="auto" w:before="48" w:after="0"/>
        <w:ind w:left="1226" w:right="1729" w:hanging="794"/>
        <w:jc w:val="left"/>
        <w:rPr>
          <w:sz w:val="13"/>
        </w:rPr>
      </w:pPr>
      <w:r>
        <w:rPr>
          <w:w w:val="108"/>
          <w:sz w:val="13"/>
        </w:rPr>
        <w:br w:type="column"/>
      </w:r>
      <w:r>
        <w:rPr>
          <w:w w:val="105"/>
          <w:sz w:val="13"/>
        </w:rPr>
        <w:t>Submissions 1 </w:t>
      </w:r>
      <w:r>
        <w:rPr>
          <w:spacing w:val="2"/>
          <w:w w:val="105"/>
          <w:sz w:val="13"/>
        </w:rPr>
        <w:t>(Ian </w:t>
      </w:r>
      <w:r>
        <w:rPr>
          <w:w w:val="105"/>
          <w:sz w:val="13"/>
        </w:rPr>
        <w:t>Collier), 5 </w:t>
      </w:r>
      <w:r>
        <w:rPr>
          <w:spacing w:val="2"/>
          <w:w w:val="105"/>
          <w:sz w:val="13"/>
        </w:rPr>
        <w:t>(Name </w:t>
      </w:r>
      <w:r>
        <w:rPr>
          <w:w w:val="105"/>
          <w:sz w:val="13"/>
        </w:rPr>
        <w:t>withheld), 22 </w:t>
      </w:r>
      <w:r>
        <w:rPr>
          <w:spacing w:val="2"/>
          <w:w w:val="105"/>
          <w:sz w:val="13"/>
        </w:rPr>
        <w:t>(Name </w:t>
      </w:r>
      <w:r>
        <w:rPr>
          <w:w w:val="105"/>
          <w:sz w:val="13"/>
        </w:rPr>
        <w:t>withheld), 24 </w:t>
      </w:r>
      <w:r>
        <w:rPr>
          <w:spacing w:val="2"/>
          <w:w w:val="105"/>
          <w:sz w:val="13"/>
        </w:rPr>
        <w:t>(Name </w:t>
      </w:r>
      <w:r>
        <w:rPr>
          <w:w w:val="105"/>
          <w:sz w:val="13"/>
        </w:rPr>
        <w:t>withheld); Consultations 4 (Participants in facilitated discussion at </w:t>
      </w:r>
      <w:r>
        <w:rPr>
          <w:spacing w:val="4"/>
          <w:w w:val="105"/>
          <w:sz w:val="13"/>
        </w:rPr>
        <w:t>VTIO </w:t>
      </w:r>
      <w:r>
        <w:rPr>
          <w:w w:val="105"/>
          <w:sz w:val="13"/>
        </w:rPr>
        <w:t>ArborCamp2018), 8 (City of Boroondara), 10 </w:t>
      </w:r>
      <w:r>
        <w:rPr>
          <w:spacing w:val="2"/>
          <w:w w:val="105"/>
          <w:sz w:val="13"/>
        </w:rPr>
        <w:t>(Baw </w:t>
      </w:r>
      <w:r>
        <w:rPr>
          <w:w w:val="105"/>
          <w:sz w:val="13"/>
        </w:rPr>
        <w:t>Baw Shire Council), </w:t>
      </w:r>
      <w:r>
        <w:rPr>
          <w:spacing w:val="-6"/>
          <w:w w:val="105"/>
          <w:sz w:val="13"/>
        </w:rPr>
        <w:t>11 </w:t>
      </w:r>
      <w:r>
        <w:rPr>
          <w:spacing w:val="2"/>
          <w:w w:val="105"/>
          <w:sz w:val="13"/>
        </w:rPr>
        <w:t>(Land </w:t>
      </w:r>
      <w:r>
        <w:rPr>
          <w:w w:val="105"/>
          <w:sz w:val="13"/>
        </w:rPr>
        <w:t>and Environment Court of New South Wales), </w:t>
      </w:r>
      <w:r>
        <w:rPr>
          <w:spacing w:val="-4"/>
          <w:w w:val="105"/>
          <w:sz w:val="13"/>
        </w:rPr>
        <w:t>12 </w:t>
      </w:r>
      <w:r>
        <w:rPr>
          <w:w w:val="105"/>
          <w:sz w:val="13"/>
        </w:rPr>
        <w:t>(City of Port Phillip); Survey Respondents </w:t>
      </w:r>
      <w:r>
        <w:rPr>
          <w:spacing w:val="-3"/>
          <w:w w:val="105"/>
          <w:sz w:val="13"/>
        </w:rPr>
        <w:t>1, </w:t>
      </w:r>
      <w:r>
        <w:rPr>
          <w:w w:val="105"/>
          <w:sz w:val="13"/>
        </w:rPr>
        <w:t>3, 18, 20, </w:t>
      </w:r>
      <w:r>
        <w:rPr>
          <w:spacing w:val="-5"/>
          <w:w w:val="105"/>
          <w:sz w:val="13"/>
        </w:rPr>
        <w:t>27, 51, </w:t>
      </w:r>
      <w:r>
        <w:rPr>
          <w:w w:val="105"/>
          <w:sz w:val="13"/>
        </w:rPr>
        <w:t>52, 59, 76, 93, 109, </w:t>
      </w:r>
      <w:r>
        <w:rPr>
          <w:spacing w:val="-7"/>
          <w:w w:val="105"/>
          <w:sz w:val="13"/>
        </w:rPr>
        <w:t>111,</w:t>
      </w:r>
      <w:r>
        <w:rPr>
          <w:spacing w:val="4"/>
          <w:w w:val="105"/>
          <w:sz w:val="13"/>
        </w:rPr>
        <w:t> </w:t>
      </w:r>
      <w:r>
        <w:rPr>
          <w:w w:val="105"/>
          <w:sz w:val="13"/>
        </w:rPr>
        <w:t>123.</w:t>
      </w:r>
    </w:p>
    <w:p>
      <w:pPr>
        <w:pStyle w:val="ListParagraph"/>
        <w:numPr>
          <w:ilvl w:val="0"/>
          <w:numId w:val="144"/>
        </w:numPr>
        <w:tabs>
          <w:tab w:pos="1226" w:val="left" w:leader="none"/>
          <w:tab w:pos="1227" w:val="left" w:leader="none"/>
        </w:tabs>
        <w:spacing w:line="240" w:lineRule="auto" w:before="4" w:after="0"/>
        <w:ind w:left="1226" w:right="0" w:hanging="794"/>
        <w:jc w:val="left"/>
        <w:rPr>
          <w:sz w:val="13"/>
        </w:rPr>
      </w:pPr>
      <w:r>
        <w:rPr>
          <w:i/>
          <w:w w:val="105"/>
          <w:sz w:val="13"/>
        </w:rPr>
        <w:t>Trees</w:t>
      </w:r>
      <w:r>
        <w:rPr>
          <w:i/>
          <w:spacing w:val="6"/>
          <w:w w:val="105"/>
          <w:sz w:val="13"/>
        </w:rPr>
        <w:t> </w:t>
      </w:r>
      <w:r>
        <w:rPr>
          <w:i/>
          <w:w w:val="105"/>
          <w:sz w:val="13"/>
        </w:rPr>
        <w:t>(Disputes</w:t>
      </w:r>
      <w:r>
        <w:rPr>
          <w:i/>
          <w:spacing w:val="6"/>
          <w:w w:val="105"/>
          <w:sz w:val="13"/>
        </w:rPr>
        <w:t> </w:t>
      </w:r>
      <w:r>
        <w:rPr>
          <w:i/>
          <w:w w:val="105"/>
          <w:sz w:val="13"/>
        </w:rPr>
        <w:t>Between</w:t>
      </w:r>
      <w:r>
        <w:rPr>
          <w:i/>
          <w:spacing w:val="6"/>
          <w:w w:val="105"/>
          <w:sz w:val="13"/>
        </w:rPr>
        <w:t> </w:t>
      </w:r>
      <w:r>
        <w:rPr>
          <w:i/>
          <w:w w:val="105"/>
          <w:sz w:val="13"/>
        </w:rPr>
        <w:t>Neighbours)</w:t>
      </w:r>
      <w:r>
        <w:rPr>
          <w:i/>
          <w:spacing w:val="6"/>
          <w:w w:val="105"/>
          <w:sz w:val="13"/>
        </w:rPr>
        <w:t> </w:t>
      </w:r>
      <w:r>
        <w:rPr>
          <w:i/>
          <w:w w:val="105"/>
          <w:sz w:val="13"/>
        </w:rPr>
        <w:t>Act</w:t>
      </w:r>
      <w:r>
        <w:rPr>
          <w:i/>
          <w:spacing w:val="6"/>
          <w:w w:val="105"/>
          <w:sz w:val="13"/>
        </w:rPr>
        <w:t> </w:t>
      </w:r>
      <w:r>
        <w:rPr>
          <w:i/>
          <w:w w:val="105"/>
          <w:sz w:val="13"/>
        </w:rPr>
        <w:t>2006</w:t>
      </w:r>
      <w:r>
        <w:rPr>
          <w:i/>
          <w:spacing w:val="6"/>
          <w:w w:val="105"/>
          <w:sz w:val="13"/>
        </w:rPr>
        <w:t> </w:t>
      </w:r>
      <w:r>
        <w:rPr>
          <w:spacing w:val="3"/>
          <w:w w:val="105"/>
          <w:sz w:val="13"/>
        </w:rPr>
        <w:t>(NSW)</w:t>
      </w:r>
      <w:r>
        <w:rPr>
          <w:spacing w:val="6"/>
          <w:w w:val="105"/>
          <w:sz w:val="13"/>
        </w:rPr>
        <w:t> </w:t>
      </w:r>
      <w:r>
        <w:rPr>
          <w:w w:val="105"/>
          <w:sz w:val="13"/>
        </w:rPr>
        <w:t>s</w:t>
      </w:r>
      <w:r>
        <w:rPr>
          <w:spacing w:val="6"/>
          <w:w w:val="105"/>
          <w:sz w:val="13"/>
        </w:rPr>
        <w:t> </w:t>
      </w:r>
      <w:r>
        <w:rPr>
          <w:spacing w:val="4"/>
          <w:w w:val="105"/>
          <w:sz w:val="13"/>
        </w:rPr>
        <w:t>9(2)(j);</w:t>
      </w:r>
      <w:r>
        <w:rPr>
          <w:spacing w:val="6"/>
          <w:w w:val="105"/>
          <w:sz w:val="13"/>
        </w:rPr>
        <w:t> </w:t>
      </w:r>
      <w:r>
        <w:rPr>
          <w:i/>
          <w:w w:val="105"/>
          <w:sz w:val="13"/>
        </w:rPr>
        <w:t>Neighbourhood</w:t>
      </w:r>
      <w:r>
        <w:rPr>
          <w:i/>
          <w:spacing w:val="6"/>
          <w:w w:val="105"/>
          <w:sz w:val="13"/>
        </w:rPr>
        <w:t> </w:t>
      </w:r>
      <w:r>
        <w:rPr>
          <w:i/>
          <w:w w:val="105"/>
          <w:sz w:val="13"/>
        </w:rPr>
        <w:t>Disputes</w:t>
      </w:r>
      <w:r>
        <w:rPr>
          <w:i/>
          <w:spacing w:val="6"/>
          <w:w w:val="105"/>
          <w:sz w:val="13"/>
        </w:rPr>
        <w:t> </w:t>
      </w:r>
      <w:r>
        <w:rPr>
          <w:i/>
          <w:w w:val="105"/>
          <w:sz w:val="13"/>
        </w:rPr>
        <w:t>(Dividing</w:t>
      </w:r>
      <w:r>
        <w:rPr>
          <w:i/>
          <w:spacing w:val="6"/>
          <w:w w:val="105"/>
          <w:sz w:val="13"/>
        </w:rPr>
        <w:t> </w:t>
      </w:r>
      <w:r>
        <w:rPr>
          <w:i/>
          <w:w w:val="105"/>
          <w:sz w:val="13"/>
        </w:rPr>
        <w:t>Fences</w:t>
      </w:r>
      <w:r>
        <w:rPr>
          <w:i/>
          <w:spacing w:val="6"/>
          <w:w w:val="105"/>
          <w:sz w:val="13"/>
        </w:rPr>
        <w:t> </w:t>
      </w:r>
      <w:r>
        <w:rPr>
          <w:i/>
          <w:w w:val="105"/>
          <w:sz w:val="13"/>
        </w:rPr>
        <w:t>and</w:t>
      </w:r>
      <w:r>
        <w:rPr>
          <w:i/>
          <w:spacing w:val="6"/>
          <w:w w:val="105"/>
          <w:sz w:val="13"/>
        </w:rPr>
        <w:t> </w:t>
      </w:r>
      <w:r>
        <w:rPr>
          <w:i/>
          <w:w w:val="105"/>
          <w:sz w:val="13"/>
        </w:rPr>
        <w:t>Trees)</w:t>
      </w:r>
      <w:r>
        <w:rPr>
          <w:i/>
          <w:spacing w:val="6"/>
          <w:w w:val="105"/>
          <w:sz w:val="13"/>
        </w:rPr>
        <w:t> </w:t>
      </w:r>
      <w:r>
        <w:rPr>
          <w:i/>
          <w:w w:val="105"/>
          <w:sz w:val="13"/>
        </w:rPr>
        <w:t>Act</w:t>
      </w:r>
      <w:r>
        <w:rPr>
          <w:i/>
          <w:spacing w:val="6"/>
          <w:w w:val="105"/>
          <w:sz w:val="13"/>
        </w:rPr>
        <w:t> </w:t>
      </w:r>
      <w:r>
        <w:rPr>
          <w:i/>
          <w:spacing w:val="-4"/>
          <w:w w:val="105"/>
          <w:sz w:val="13"/>
        </w:rPr>
        <w:t>2011</w:t>
      </w:r>
      <w:r>
        <w:rPr>
          <w:i/>
          <w:spacing w:val="6"/>
          <w:w w:val="105"/>
          <w:sz w:val="13"/>
        </w:rPr>
        <w:t> </w:t>
      </w:r>
      <w:r>
        <w:rPr>
          <w:spacing w:val="2"/>
          <w:w w:val="105"/>
          <w:sz w:val="13"/>
        </w:rPr>
        <w:t>(Qld)</w:t>
      </w:r>
      <w:r>
        <w:rPr>
          <w:spacing w:val="6"/>
          <w:w w:val="105"/>
          <w:sz w:val="13"/>
        </w:rPr>
        <w:t> </w:t>
      </w:r>
      <w:r>
        <w:rPr>
          <w:w w:val="105"/>
          <w:sz w:val="13"/>
        </w:rPr>
        <w:t>s</w:t>
      </w:r>
      <w:r>
        <w:rPr>
          <w:spacing w:val="6"/>
          <w:w w:val="105"/>
          <w:sz w:val="13"/>
        </w:rPr>
        <w:t> </w:t>
      </w:r>
      <w:r>
        <w:rPr>
          <w:w w:val="105"/>
          <w:sz w:val="13"/>
        </w:rPr>
        <w:t>69.</w:t>
      </w:r>
    </w:p>
    <w:p>
      <w:pPr>
        <w:pStyle w:val="ListParagraph"/>
        <w:numPr>
          <w:ilvl w:val="0"/>
          <w:numId w:val="144"/>
        </w:numPr>
        <w:tabs>
          <w:tab w:pos="1226" w:val="left" w:leader="none"/>
          <w:tab w:pos="1227" w:val="left" w:leader="none"/>
        </w:tabs>
        <w:spacing w:line="240" w:lineRule="auto" w:before="1" w:after="0"/>
        <w:ind w:left="1226" w:right="0" w:hanging="794"/>
        <w:jc w:val="left"/>
        <w:rPr>
          <w:sz w:val="13"/>
        </w:rPr>
      </w:pPr>
      <w:r>
        <w:rPr>
          <w:w w:val="105"/>
          <w:sz w:val="13"/>
        </w:rPr>
        <w:t>Consultations 8 (City of Boroondara), </w:t>
      </w:r>
      <w:r>
        <w:rPr>
          <w:spacing w:val="-4"/>
          <w:w w:val="105"/>
          <w:sz w:val="13"/>
        </w:rPr>
        <w:t>12 </w:t>
      </w:r>
      <w:r>
        <w:rPr>
          <w:w w:val="105"/>
          <w:sz w:val="13"/>
        </w:rPr>
        <w:t>(City of Port</w:t>
      </w:r>
      <w:r>
        <w:rPr>
          <w:spacing w:val="20"/>
          <w:w w:val="105"/>
          <w:sz w:val="13"/>
        </w:rPr>
        <w:t> </w:t>
      </w:r>
      <w:r>
        <w:rPr>
          <w:w w:val="105"/>
          <w:sz w:val="13"/>
        </w:rPr>
        <w:t>Phillip).</w:t>
      </w:r>
    </w:p>
    <w:p>
      <w:pPr>
        <w:pStyle w:val="ListParagraph"/>
        <w:numPr>
          <w:ilvl w:val="0"/>
          <w:numId w:val="144"/>
        </w:numPr>
        <w:tabs>
          <w:tab w:pos="1226" w:val="left" w:leader="none"/>
          <w:tab w:pos="1227" w:val="left" w:leader="none"/>
        </w:tabs>
        <w:spacing w:line="240" w:lineRule="auto" w:before="2" w:after="0"/>
        <w:ind w:left="1226" w:right="0" w:hanging="794"/>
        <w:jc w:val="left"/>
        <w:rPr>
          <w:sz w:val="13"/>
        </w:rPr>
      </w:pPr>
      <w:r>
        <w:rPr>
          <w:w w:val="105"/>
          <w:sz w:val="13"/>
        </w:rPr>
        <w:t>Consultation 16 (Heritage</w:t>
      </w:r>
      <w:r>
        <w:rPr>
          <w:spacing w:val="14"/>
          <w:w w:val="105"/>
          <w:sz w:val="13"/>
        </w:rPr>
        <w:t> </w:t>
      </w:r>
      <w:r>
        <w:rPr>
          <w:w w:val="105"/>
          <w:sz w:val="13"/>
        </w:rPr>
        <w:t>Victoria).</w:t>
      </w:r>
    </w:p>
    <w:p>
      <w:pPr>
        <w:pStyle w:val="ListParagraph"/>
        <w:numPr>
          <w:ilvl w:val="0"/>
          <w:numId w:val="144"/>
        </w:numPr>
        <w:tabs>
          <w:tab w:pos="1226" w:val="left" w:leader="none"/>
          <w:tab w:pos="1227" w:val="left" w:leader="none"/>
        </w:tabs>
        <w:spacing w:line="240" w:lineRule="auto" w:before="1" w:after="0"/>
        <w:ind w:left="1226" w:right="0" w:hanging="794"/>
        <w:jc w:val="left"/>
        <w:rPr>
          <w:sz w:val="13"/>
        </w:rPr>
      </w:pPr>
      <w:r>
        <w:rPr>
          <w:w w:val="105"/>
          <w:sz w:val="13"/>
        </w:rPr>
        <w:t>Submission 18</w:t>
      </w:r>
      <w:r>
        <w:rPr>
          <w:spacing w:val="9"/>
          <w:w w:val="105"/>
          <w:sz w:val="13"/>
        </w:rPr>
        <w:t> </w:t>
      </w:r>
      <w:r>
        <w:rPr>
          <w:w w:val="105"/>
          <w:sz w:val="13"/>
        </w:rPr>
        <w:t>(ENSPEC).</w:t>
      </w:r>
    </w:p>
    <w:p>
      <w:pPr>
        <w:pStyle w:val="ListParagraph"/>
        <w:numPr>
          <w:ilvl w:val="0"/>
          <w:numId w:val="144"/>
        </w:numPr>
        <w:tabs>
          <w:tab w:pos="1226" w:val="left" w:leader="none"/>
          <w:tab w:pos="1227" w:val="left" w:leader="none"/>
        </w:tabs>
        <w:spacing w:line="240" w:lineRule="auto" w:before="1" w:after="0"/>
        <w:ind w:left="1226" w:right="1619" w:hanging="794"/>
        <w:jc w:val="left"/>
        <w:rPr>
          <w:sz w:val="13"/>
        </w:rPr>
      </w:pPr>
      <w:r>
        <w:rPr>
          <w:w w:val="105"/>
          <w:sz w:val="13"/>
        </w:rPr>
        <w:t>Original jurisdiction means VCAT is the first instance decision maker under the Act. See Victorian Civil and Administrative Tribunal</w:t>
      </w:r>
      <w:r>
        <w:rPr>
          <w:i/>
          <w:w w:val="105"/>
          <w:sz w:val="13"/>
        </w:rPr>
        <w:t>,   </w:t>
      </w:r>
      <w:r>
        <w:rPr>
          <w:i/>
          <w:w w:val="105"/>
          <w:sz w:val="13"/>
        </w:rPr>
        <w:t>Application to VCAT to Make an Original Jurisdiction Decision </w:t>
      </w:r>
      <w:r>
        <w:rPr>
          <w:w w:val="105"/>
          <w:sz w:val="13"/>
        </w:rPr>
        <w:t>(Web Page) </w:t>
      </w:r>
      <w:r>
        <w:rPr>
          <w:spacing w:val="2"/>
          <w:w w:val="105"/>
          <w:sz w:val="13"/>
        </w:rPr>
        <w:t>&lt;https://</w:t>
      </w:r>
      <w:hyperlink r:id="rId230">
        <w:r>
          <w:rPr>
            <w:spacing w:val="2"/>
            <w:w w:val="105"/>
            <w:sz w:val="13"/>
          </w:rPr>
          <w:t>www.vcat.vic.gov.au/case-types/review-and-regulation/</w:t>
        </w:r>
      </w:hyperlink>
      <w:r>
        <w:rPr>
          <w:spacing w:val="2"/>
          <w:w w:val="105"/>
          <w:sz w:val="13"/>
        </w:rPr>
        <w:t> </w:t>
      </w:r>
      <w:r>
        <w:rPr>
          <w:w w:val="105"/>
          <w:sz w:val="13"/>
        </w:rPr>
        <w:t>application-to-vcat-to-make-an-original-jurisdiction-decision&gt;.</w:t>
      </w:r>
    </w:p>
    <w:p>
      <w:pPr>
        <w:pStyle w:val="ListParagraph"/>
        <w:numPr>
          <w:ilvl w:val="0"/>
          <w:numId w:val="144"/>
        </w:numPr>
        <w:tabs>
          <w:tab w:pos="1226" w:val="left" w:leader="none"/>
          <w:tab w:pos="1227" w:val="left" w:leader="none"/>
        </w:tabs>
        <w:spacing w:line="240" w:lineRule="auto" w:before="4" w:after="0"/>
        <w:ind w:left="1226" w:right="0" w:hanging="794"/>
        <w:jc w:val="left"/>
        <w:rPr>
          <w:sz w:val="13"/>
        </w:rPr>
      </w:pPr>
      <w:r>
        <w:rPr>
          <w:w w:val="105"/>
          <w:sz w:val="13"/>
        </w:rPr>
        <w:t>Supplementary Consultation 1 (Victorian Civil and Administrative</w:t>
      </w:r>
      <w:r>
        <w:rPr>
          <w:spacing w:val="2"/>
          <w:w w:val="105"/>
          <w:sz w:val="13"/>
        </w:rPr>
        <w:t> </w:t>
      </w:r>
      <w:r>
        <w:rPr>
          <w:w w:val="105"/>
          <w:sz w:val="13"/>
        </w:rPr>
        <w:t>Tribunal).</w:t>
      </w:r>
    </w:p>
    <w:p>
      <w:pPr>
        <w:pStyle w:val="ListParagraph"/>
        <w:numPr>
          <w:ilvl w:val="0"/>
          <w:numId w:val="144"/>
        </w:numPr>
        <w:tabs>
          <w:tab w:pos="1226" w:val="left" w:leader="none"/>
          <w:tab w:pos="1227" w:val="left" w:leader="none"/>
        </w:tabs>
        <w:spacing w:line="240" w:lineRule="auto" w:before="2" w:after="0"/>
        <w:ind w:left="1226" w:right="1664" w:hanging="794"/>
        <w:jc w:val="left"/>
        <w:rPr>
          <w:sz w:val="13"/>
        </w:rPr>
      </w:pPr>
      <w:r>
        <w:rPr>
          <w:i/>
          <w:w w:val="105"/>
          <w:sz w:val="13"/>
        </w:rPr>
        <w:t>Trees (Disputes Between Neighbours) Act 2006 </w:t>
      </w:r>
      <w:r>
        <w:rPr>
          <w:spacing w:val="3"/>
          <w:w w:val="105"/>
          <w:sz w:val="13"/>
        </w:rPr>
        <w:t>(NSW) </w:t>
      </w:r>
      <w:r>
        <w:rPr>
          <w:w w:val="105"/>
          <w:sz w:val="13"/>
        </w:rPr>
        <w:t>s </w:t>
      </w:r>
      <w:r>
        <w:rPr>
          <w:spacing w:val="2"/>
          <w:w w:val="105"/>
          <w:sz w:val="13"/>
        </w:rPr>
        <w:t>9; </w:t>
      </w:r>
      <w:r>
        <w:rPr>
          <w:i/>
          <w:w w:val="105"/>
          <w:sz w:val="13"/>
        </w:rPr>
        <w:t>Neighbourhood Disputes (Dividing Fences and Trees) Act </w:t>
      </w:r>
      <w:r>
        <w:rPr>
          <w:i/>
          <w:spacing w:val="-4"/>
          <w:w w:val="105"/>
          <w:sz w:val="13"/>
        </w:rPr>
        <w:t>2011  </w:t>
      </w:r>
      <w:r>
        <w:rPr>
          <w:spacing w:val="2"/>
          <w:w w:val="105"/>
          <w:sz w:val="13"/>
        </w:rPr>
        <w:t>(Qld) </w:t>
      </w:r>
      <w:r>
        <w:rPr>
          <w:w w:val="105"/>
          <w:sz w:val="13"/>
        </w:rPr>
        <w:t>s </w:t>
      </w:r>
      <w:r>
        <w:rPr>
          <w:spacing w:val="3"/>
          <w:w w:val="105"/>
          <w:sz w:val="13"/>
        </w:rPr>
        <w:t>66(5)        (a); </w:t>
      </w:r>
      <w:r>
        <w:rPr>
          <w:i/>
          <w:w w:val="105"/>
          <w:sz w:val="13"/>
        </w:rPr>
        <w:t>Neighbourhood Disputes About Plants Act </w:t>
      </w:r>
      <w:r>
        <w:rPr>
          <w:i/>
          <w:spacing w:val="-4"/>
          <w:w w:val="105"/>
          <w:sz w:val="13"/>
        </w:rPr>
        <w:t>2017  </w:t>
      </w:r>
      <w:r>
        <w:rPr>
          <w:w w:val="105"/>
          <w:sz w:val="13"/>
        </w:rPr>
        <w:t>(Tas) s </w:t>
      </w:r>
      <w:r>
        <w:rPr>
          <w:spacing w:val="4"/>
          <w:w w:val="105"/>
          <w:sz w:val="13"/>
        </w:rPr>
        <w:t>33(6)(a). </w:t>
      </w:r>
      <w:r>
        <w:rPr>
          <w:w w:val="105"/>
          <w:sz w:val="13"/>
        </w:rPr>
        <w:t>See, eg, </w:t>
      </w:r>
      <w:r>
        <w:rPr>
          <w:i/>
          <w:w w:val="105"/>
          <w:sz w:val="13"/>
        </w:rPr>
        <w:t>Urquhart v Hayman </w:t>
      </w:r>
      <w:r>
        <w:rPr>
          <w:i/>
          <w:spacing w:val="3"/>
          <w:w w:val="105"/>
          <w:sz w:val="13"/>
        </w:rPr>
        <w:t>(No </w:t>
      </w:r>
      <w:r>
        <w:rPr>
          <w:i/>
          <w:w w:val="105"/>
          <w:sz w:val="13"/>
        </w:rPr>
        <w:t>2) </w:t>
      </w:r>
      <w:r>
        <w:rPr>
          <w:w w:val="105"/>
          <w:sz w:val="13"/>
        </w:rPr>
        <w:t>[2012] NSWLEC 269; in this case    the respondent was ordered to have the roots of the trees pruned to the boundary between the applicant’s </w:t>
      </w:r>
      <w:r>
        <w:rPr>
          <w:spacing w:val="2"/>
          <w:w w:val="105"/>
          <w:sz w:val="13"/>
        </w:rPr>
        <w:t>property </w:t>
      </w:r>
      <w:r>
        <w:rPr>
          <w:w w:val="105"/>
          <w:sz w:val="13"/>
        </w:rPr>
        <w:t>and the respondent’s </w:t>
      </w:r>
      <w:r>
        <w:rPr>
          <w:spacing w:val="2"/>
          <w:w w:val="105"/>
          <w:sz w:val="13"/>
        </w:rPr>
        <w:t>property </w:t>
      </w:r>
      <w:r>
        <w:rPr>
          <w:w w:val="105"/>
          <w:sz w:val="13"/>
        </w:rPr>
        <w:t>at intervals of not less than every </w:t>
      </w:r>
      <w:r>
        <w:rPr>
          <w:spacing w:val="-4"/>
          <w:w w:val="105"/>
          <w:sz w:val="13"/>
        </w:rPr>
        <w:t>12 </w:t>
      </w:r>
      <w:r>
        <w:rPr>
          <w:w w:val="105"/>
          <w:sz w:val="13"/>
        </w:rPr>
        <w:t>months. See also </w:t>
      </w:r>
      <w:r>
        <w:rPr>
          <w:i/>
          <w:w w:val="105"/>
          <w:sz w:val="13"/>
        </w:rPr>
        <w:t>Adamski v </w:t>
      </w:r>
      <w:r>
        <w:rPr>
          <w:i/>
          <w:spacing w:val="2"/>
          <w:w w:val="105"/>
          <w:sz w:val="13"/>
        </w:rPr>
        <w:t>Betty </w:t>
      </w:r>
      <w:r>
        <w:rPr>
          <w:w w:val="105"/>
          <w:sz w:val="13"/>
        </w:rPr>
        <w:t>[2007] NSWLEC 200 (maintenance de-coning of a Bunya </w:t>
      </w:r>
      <w:r>
        <w:rPr>
          <w:spacing w:val="2"/>
          <w:w w:val="105"/>
          <w:sz w:val="13"/>
        </w:rPr>
        <w:t>pine); </w:t>
      </w:r>
      <w:r>
        <w:rPr>
          <w:i/>
          <w:w w:val="105"/>
          <w:sz w:val="13"/>
        </w:rPr>
        <w:t>Sahyoun v Jessop </w:t>
      </w:r>
      <w:r>
        <w:rPr>
          <w:spacing w:val="2"/>
          <w:w w:val="105"/>
          <w:sz w:val="13"/>
        </w:rPr>
        <w:t>[2009] </w:t>
      </w:r>
      <w:r>
        <w:rPr>
          <w:w w:val="105"/>
          <w:sz w:val="13"/>
        </w:rPr>
        <w:t>NSWLEC </w:t>
      </w:r>
      <w:r>
        <w:rPr>
          <w:spacing w:val="-5"/>
          <w:w w:val="105"/>
          <w:sz w:val="13"/>
        </w:rPr>
        <w:t>1313 </w:t>
      </w:r>
      <w:r>
        <w:rPr>
          <w:w w:val="105"/>
          <w:sz w:val="13"/>
        </w:rPr>
        <w:t>(periodic removal of</w:t>
      </w:r>
      <w:r>
        <w:rPr>
          <w:spacing w:val="25"/>
          <w:w w:val="105"/>
          <w:sz w:val="13"/>
        </w:rPr>
        <w:t> </w:t>
      </w:r>
      <w:r>
        <w:rPr>
          <w:spacing w:val="2"/>
          <w:w w:val="105"/>
          <w:sz w:val="13"/>
        </w:rPr>
        <w:t>deadwood).</w:t>
      </w:r>
    </w:p>
    <w:p>
      <w:pPr>
        <w:pStyle w:val="ListParagraph"/>
        <w:numPr>
          <w:ilvl w:val="0"/>
          <w:numId w:val="144"/>
        </w:numPr>
        <w:tabs>
          <w:tab w:pos="1226" w:val="left" w:leader="none"/>
          <w:tab w:pos="1227" w:val="left" w:leader="none"/>
        </w:tabs>
        <w:spacing w:line="240" w:lineRule="auto" w:before="6" w:after="0"/>
        <w:ind w:left="1226" w:right="0" w:hanging="794"/>
        <w:jc w:val="left"/>
        <w:rPr>
          <w:sz w:val="13"/>
        </w:rPr>
      </w:pPr>
      <w:r>
        <w:rPr>
          <w:w w:val="105"/>
          <w:sz w:val="13"/>
        </w:rPr>
        <w:t>See,</w:t>
      </w:r>
      <w:r>
        <w:rPr>
          <w:spacing w:val="5"/>
          <w:w w:val="105"/>
          <w:sz w:val="13"/>
        </w:rPr>
        <w:t> </w:t>
      </w:r>
      <w:r>
        <w:rPr>
          <w:w w:val="105"/>
          <w:sz w:val="13"/>
        </w:rPr>
        <w:t>eg,</w:t>
      </w:r>
      <w:r>
        <w:rPr>
          <w:spacing w:val="5"/>
          <w:w w:val="105"/>
          <w:sz w:val="13"/>
        </w:rPr>
        <w:t> </w:t>
      </w:r>
      <w:r>
        <w:rPr>
          <w:w w:val="105"/>
          <w:sz w:val="13"/>
        </w:rPr>
        <w:t>Queensland</w:t>
      </w:r>
      <w:r>
        <w:rPr>
          <w:spacing w:val="5"/>
          <w:w w:val="105"/>
          <w:sz w:val="13"/>
        </w:rPr>
        <w:t> </w:t>
      </w:r>
      <w:r>
        <w:rPr>
          <w:w w:val="105"/>
          <w:sz w:val="13"/>
        </w:rPr>
        <w:t>Civil</w:t>
      </w:r>
      <w:r>
        <w:rPr>
          <w:spacing w:val="6"/>
          <w:w w:val="105"/>
          <w:sz w:val="13"/>
        </w:rPr>
        <w:t> </w:t>
      </w:r>
      <w:r>
        <w:rPr>
          <w:w w:val="105"/>
          <w:sz w:val="13"/>
        </w:rPr>
        <w:t>and</w:t>
      </w:r>
      <w:r>
        <w:rPr>
          <w:spacing w:val="5"/>
          <w:w w:val="105"/>
          <w:sz w:val="13"/>
        </w:rPr>
        <w:t> </w:t>
      </w:r>
      <w:r>
        <w:rPr>
          <w:w w:val="105"/>
          <w:sz w:val="13"/>
        </w:rPr>
        <w:t>Administrative</w:t>
      </w:r>
      <w:r>
        <w:rPr>
          <w:spacing w:val="5"/>
          <w:w w:val="105"/>
          <w:sz w:val="13"/>
        </w:rPr>
        <w:t> </w:t>
      </w:r>
      <w:r>
        <w:rPr>
          <w:w w:val="105"/>
          <w:sz w:val="13"/>
        </w:rPr>
        <w:t>Tribunal,</w:t>
      </w:r>
      <w:r>
        <w:rPr>
          <w:spacing w:val="5"/>
          <w:w w:val="105"/>
          <w:sz w:val="13"/>
        </w:rPr>
        <w:t> </w:t>
      </w:r>
      <w:r>
        <w:rPr>
          <w:i/>
          <w:w w:val="105"/>
          <w:sz w:val="13"/>
        </w:rPr>
        <w:t>Frequently</w:t>
      </w:r>
      <w:r>
        <w:rPr>
          <w:i/>
          <w:spacing w:val="6"/>
          <w:w w:val="105"/>
          <w:sz w:val="13"/>
        </w:rPr>
        <w:t> </w:t>
      </w:r>
      <w:r>
        <w:rPr>
          <w:i/>
          <w:w w:val="105"/>
          <w:sz w:val="13"/>
        </w:rPr>
        <w:t>Asked</w:t>
      </w:r>
      <w:r>
        <w:rPr>
          <w:i/>
          <w:spacing w:val="5"/>
          <w:w w:val="105"/>
          <w:sz w:val="13"/>
        </w:rPr>
        <w:t> </w:t>
      </w:r>
      <w:r>
        <w:rPr>
          <w:i/>
          <w:w w:val="105"/>
          <w:sz w:val="13"/>
        </w:rPr>
        <w:t>Questions—Tree</w:t>
      </w:r>
      <w:r>
        <w:rPr>
          <w:i/>
          <w:spacing w:val="5"/>
          <w:w w:val="105"/>
          <w:sz w:val="13"/>
        </w:rPr>
        <w:t> </w:t>
      </w:r>
      <w:r>
        <w:rPr>
          <w:i/>
          <w:w w:val="105"/>
          <w:sz w:val="13"/>
        </w:rPr>
        <w:t>Disputes</w:t>
      </w:r>
      <w:r>
        <w:rPr>
          <w:i/>
          <w:spacing w:val="5"/>
          <w:w w:val="105"/>
          <w:sz w:val="13"/>
        </w:rPr>
        <w:t> </w:t>
      </w:r>
      <w:r>
        <w:rPr>
          <w:w w:val="105"/>
          <w:sz w:val="13"/>
        </w:rPr>
        <w:t>(Web</w:t>
      </w:r>
      <w:r>
        <w:rPr>
          <w:spacing w:val="6"/>
          <w:w w:val="105"/>
          <w:sz w:val="13"/>
        </w:rPr>
        <w:t> </w:t>
      </w:r>
      <w:r>
        <w:rPr>
          <w:w w:val="105"/>
          <w:sz w:val="13"/>
        </w:rPr>
        <w:t>Page,</w:t>
      </w:r>
      <w:r>
        <w:rPr>
          <w:spacing w:val="5"/>
          <w:w w:val="105"/>
          <w:sz w:val="13"/>
        </w:rPr>
        <w:t> </w:t>
      </w:r>
      <w:r>
        <w:rPr>
          <w:w w:val="105"/>
          <w:sz w:val="13"/>
        </w:rPr>
        <w:t>21</w:t>
      </w:r>
      <w:r>
        <w:rPr>
          <w:spacing w:val="5"/>
          <w:w w:val="105"/>
          <w:sz w:val="13"/>
        </w:rPr>
        <w:t> </w:t>
      </w:r>
      <w:r>
        <w:rPr>
          <w:w w:val="105"/>
          <w:sz w:val="13"/>
        </w:rPr>
        <w:t>February</w:t>
      </w:r>
      <w:r>
        <w:rPr>
          <w:spacing w:val="5"/>
          <w:w w:val="105"/>
          <w:sz w:val="13"/>
        </w:rPr>
        <w:t> </w:t>
      </w:r>
      <w:r>
        <w:rPr>
          <w:w w:val="105"/>
          <w:sz w:val="13"/>
        </w:rPr>
        <w:t>2019)</w:t>
      </w:r>
    </w:p>
    <w:p>
      <w:pPr>
        <w:spacing w:before="2"/>
        <w:ind w:left="1226" w:right="0" w:firstLine="0"/>
        <w:jc w:val="left"/>
        <w:rPr>
          <w:sz w:val="13"/>
        </w:rPr>
      </w:pPr>
      <w:r>
        <w:rPr>
          <w:sz w:val="13"/>
        </w:rPr>
        <w:t>&lt;https://</w:t>
      </w:r>
      <w:hyperlink r:id="rId231">
        <w:r>
          <w:rPr>
            <w:sz w:val="13"/>
          </w:rPr>
          <w:t>www.qcat.qld.gov.au/matter-types/tree-disputes/faq-tree-disputes</w:t>
        </w:r>
      </w:hyperlink>
      <w:r>
        <w:rPr>
          <w:sz w:val="13"/>
        </w:rPr>
        <w:t>&gt;.</w:t>
      </w:r>
    </w:p>
    <w:p>
      <w:pPr>
        <w:pStyle w:val="ListParagraph"/>
        <w:numPr>
          <w:ilvl w:val="0"/>
          <w:numId w:val="144"/>
        </w:numPr>
        <w:tabs>
          <w:tab w:pos="1226" w:val="left" w:leader="none"/>
          <w:tab w:pos="1227" w:val="left" w:leader="none"/>
        </w:tabs>
        <w:spacing w:line="240" w:lineRule="auto" w:before="1" w:after="0"/>
        <w:ind w:left="1226" w:right="0" w:hanging="794"/>
        <w:jc w:val="left"/>
        <w:rPr>
          <w:sz w:val="13"/>
        </w:rPr>
      </w:pPr>
      <w:r>
        <w:rPr>
          <w:w w:val="105"/>
          <w:sz w:val="13"/>
        </w:rPr>
        <w:t>Submissions</w:t>
      </w:r>
      <w:r>
        <w:rPr>
          <w:spacing w:val="4"/>
          <w:w w:val="105"/>
          <w:sz w:val="13"/>
        </w:rPr>
        <w:t> </w:t>
      </w:r>
      <w:r>
        <w:rPr>
          <w:w w:val="105"/>
          <w:sz w:val="13"/>
        </w:rPr>
        <w:t>2</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4</w:t>
      </w:r>
      <w:r>
        <w:rPr>
          <w:spacing w:val="4"/>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7</w:t>
      </w:r>
      <w:r>
        <w:rPr>
          <w:spacing w:val="5"/>
          <w:w w:val="105"/>
          <w:sz w:val="13"/>
        </w:rPr>
        <w:t> </w:t>
      </w:r>
      <w:r>
        <w:rPr>
          <w:spacing w:val="2"/>
          <w:w w:val="105"/>
          <w:sz w:val="13"/>
        </w:rPr>
        <w:t>(Ben</w:t>
      </w:r>
      <w:r>
        <w:rPr>
          <w:spacing w:val="5"/>
          <w:w w:val="105"/>
          <w:sz w:val="13"/>
        </w:rPr>
        <w:t> </w:t>
      </w:r>
      <w:r>
        <w:rPr>
          <w:w w:val="105"/>
          <w:sz w:val="13"/>
        </w:rPr>
        <w:t>Kenyon),</w:t>
      </w:r>
      <w:r>
        <w:rPr>
          <w:spacing w:val="4"/>
          <w:w w:val="105"/>
          <w:sz w:val="13"/>
        </w:rPr>
        <w:t> </w:t>
      </w:r>
      <w:r>
        <w:rPr>
          <w:w w:val="105"/>
          <w:sz w:val="13"/>
        </w:rPr>
        <w:t>9</w:t>
      </w:r>
      <w:r>
        <w:rPr>
          <w:spacing w:val="5"/>
          <w:w w:val="105"/>
          <w:sz w:val="13"/>
        </w:rPr>
        <w:t> </w:t>
      </w:r>
      <w:r>
        <w:rPr>
          <w:spacing w:val="3"/>
          <w:w w:val="105"/>
          <w:sz w:val="13"/>
        </w:rPr>
        <w:t>(Dr</w:t>
      </w:r>
      <w:r>
        <w:rPr>
          <w:spacing w:val="5"/>
          <w:w w:val="105"/>
          <w:sz w:val="13"/>
        </w:rPr>
        <w:t> </w:t>
      </w:r>
      <w:r>
        <w:rPr>
          <w:w w:val="105"/>
          <w:sz w:val="13"/>
        </w:rPr>
        <w:t>Karen</w:t>
      </w:r>
      <w:r>
        <w:rPr>
          <w:spacing w:val="5"/>
          <w:w w:val="105"/>
          <w:sz w:val="13"/>
        </w:rPr>
        <w:t> </w:t>
      </w:r>
      <w:r>
        <w:rPr>
          <w:w w:val="105"/>
          <w:sz w:val="13"/>
        </w:rPr>
        <w:t>Smith),</w:t>
      </w:r>
      <w:r>
        <w:rPr>
          <w:spacing w:val="5"/>
          <w:w w:val="105"/>
          <w:sz w:val="13"/>
        </w:rPr>
        <w:t> </w:t>
      </w:r>
      <w:r>
        <w:rPr>
          <w:w w:val="105"/>
          <w:sz w:val="13"/>
        </w:rPr>
        <w:t>20</w:t>
      </w:r>
      <w:r>
        <w:rPr>
          <w:spacing w:val="4"/>
          <w:w w:val="105"/>
          <w:sz w:val="13"/>
        </w:rPr>
        <w:t> </w:t>
      </w:r>
      <w:r>
        <w:rPr>
          <w:spacing w:val="2"/>
          <w:w w:val="105"/>
          <w:sz w:val="13"/>
        </w:rPr>
        <w:t>(Name</w:t>
      </w:r>
      <w:r>
        <w:rPr>
          <w:spacing w:val="5"/>
          <w:w w:val="105"/>
          <w:sz w:val="13"/>
        </w:rPr>
        <w:t> </w:t>
      </w:r>
      <w:r>
        <w:rPr>
          <w:w w:val="105"/>
          <w:sz w:val="13"/>
        </w:rPr>
        <w:t>withheld).</w:t>
      </w:r>
    </w:p>
    <w:p>
      <w:pPr>
        <w:pStyle w:val="ListParagraph"/>
        <w:numPr>
          <w:ilvl w:val="0"/>
          <w:numId w:val="144"/>
        </w:numPr>
        <w:tabs>
          <w:tab w:pos="1226" w:val="left" w:leader="none"/>
          <w:tab w:pos="1227" w:val="left" w:leader="none"/>
        </w:tabs>
        <w:spacing w:line="240" w:lineRule="auto" w:before="1" w:after="0"/>
        <w:ind w:left="1226"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spacing w:after="0" w:line="240" w:lineRule="auto"/>
        <w:jc w:val="left"/>
        <w:rPr>
          <w:sz w:val="13"/>
        </w:rPr>
        <w:sectPr>
          <w:type w:val="continuous"/>
          <w:pgSz w:w="11910" w:h="16840"/>
          <w:pgMar w:top="300" w:bottom="280" w:left="0" w:right="0"/>
          <w:cols w:num="2" w:equalWidth="0">
            <w:col w:w="1115" w:space="40"/>
            <w:col w:w="10755"/>
          </w:cols>
        </w:sectPr>
      </w:pPr>
    </w:p>
    <w:p>
      <w:pPr>
        <w:pStyle w:val="BodyText"/>
        <w:rPr>
          <w:sz w:val="20"/>
        </w:rPr>
      </w:pPr>
    </w:p>
    <w:p>
      <w:pPr>
        <w:pStyle w:val="BodyText"/>
        <w:spacing w:before="9"/>
        <w:rPr>
          <w:sz w:val="18"/>
        </w:rPr>
      </w:pPr>
    </w:p>
    <w:p>
      <w:pPr>
        <w:pStyle w:val="BodyText"/>
        <w:spacing w:line="242" w:lineRule="auto" w:before="91"/>
        <w:ind w:left="2381" w:right="1746"/>
      </w:pPr>
      <w:bookmarkStart w:name="_bookmark107" w:id="225"/>
      <w:bookmarkEnd w:id="225"/>
      <w:r>
        <w:rPr/>
      </w:r>
      <w:r>
        <w:rPr>
          <w:spacing w:val="-3"/>
          <w:w w:val="105"/>
        </w:rPr>
        <w:t>are </w:t>
      </w:r>
      <w:r>
        <w:rPr>
          <w:w w:val="105"/>
        </w:rPr>
        <w:t>more </w:t>
      </w:r>
      <w:r>
        <w:rPr>
          <w:spacing w:val="-3"/>
          <w:w w:val="105"/>
        </w:rPr>
        <w:t>suited to </w:t>
      </w:r>
      <w:r>
        <w:rPr>
          <w:w w:val="105"/>
        </w:rPr>
        <w:t>ongoing orders.</w:t>
      </w:r>
      <w:r>
        <w:rPr>
          <w:w w:val="105"/>
          <w:position w:val="7"/>
          <w:sz w:val="12"/>
        </w:rPr>
        <w:t>50 </w:t>
      </w:r>
      <w:r>
        <w:rPr>
          <w:w w:val="105"/>
        </w:rPr>
        <w:t>The NSW Act allows </w:t>
      </w:r>
      <w:r>
        <w:rPr>
          <w:spacing w:val="-3"/>
          <w:w w:val="105"/>
        </w:rPr>
        <w:t>maintenance </w:t>
      </w:r>
      <w:r>
        <w:rPr>
          <w:w w:val="105"/>
        </w:rPr>
        <w:t>orders </w:t>
      </w:r>
      <w:r>
        <w:rPr>
          <w:spacing w:val="-3"/>
          <w:w w:val="105"/>
        </w:rPr>
        <w:t>to bind </w:t>
      </w:r>
      <w:r>
        <w:rPr>
          <w:w w:val="105"/>
        </w:rPr>
        <w:t>successors in </w:t>
      </w:r>
      <w:r>
        <w:rPr>
          <w:spacing w:val="-3"/>
          <w:w w:val="105"/>
        </w:rPr>
        <w:t>title, </w:t>
      </w:r>
      <w:r>
        <w:rPr>
          <w:w w:val="105"/>
        </w:rPr>
        <w:t>provided the affected </w:t>
      </w:r>
      <w:r>
        <w:rPr>
          <w:spacing w:val="-3"/>
          <w:w w:val="105"/>
        </w:rPr>
        <w:t>neighbour </w:t>
      </w:r>
      <w:r>
        <w:rPr>
          <w:w w:val="105"/>
        </w:rPr>
        <w:t>or the </w:t>
      </w:r>
      <w:r>
        <w:rPr>
          <w:spacing w:val="-3"/>
          <w:w w:val="105"/>
        </w:rPr>
        <w:t>immediate successor </w:t>
      </w:r>
      <w:r>
        <w:rPr>
          <w:w w:val="105"/>
        </w:rPr>
        <w:t>in </w:t>
      </w:r>
      <w:r>
        <w:rPr>
          <w:spacing w:val="-3"/>
          <w:w w:val="105"/>
        </w:rPr>
        <w:t>title </w:t>
      </w:r>
      <w:r>
        <w:rPr>
          <w:w w:val="105"/>
        </w:rPr>
        <w:t>of the affected </w:t>
      </w:r>
      <w:r>
        <w:rPr>
          <w:spacing w:val="-3"/>
          <w:w w:val="105"/>
        </w:rPr>
        <w:t>neighbour </w:t>
      </w:r>
      <w:r>
        <w:rPr>
          <w:w w:val="105"/>
        </w:rPr>
        <w:t>gives a </w:t>
      </w:r>
      <w:r>
        <w:rPr>
          <w:spacing w:val="-3"/>
          <w:w w:val="105"/>
        </w:rPr>
        <w:t>copy </w:t>
      </w:r>
      <w:r>
        <w:rPr>
          <w:w w:val="105"/>
        </w:rPr>
        <w:t>of the order </w:t>
      </w:r>
      <w:r>
        <w:rPr>
          <w:spacing w:val="-3"/>
          <w:w w:val="105"/>
        </w:rPr>
        <w:t>to </w:t>
      </w:r>
      <w:r>
        <w:rPr>
          <w:w w:val="105"/>
        </w:rPr>
        <w:t>the new tree </w:t>
      </w:r>
      <w:r>
        <w:rPr>
          <w:spacing w:val="-5"/>
          <w:w w:val="105"/>
        </w:rPr>
        <w:t>owner.</w:t>
      </w:r>
      <w:r>
        <w:rPr>
          <w:spacing w:val="-5"/>
          <w:w w:val="105"/>
          <w:position w:val="7"/>
          <w:sz w:val="12"/>
        </w:rPr>
        <w:t>51 </w:t>
      </w:r>
      <w:r>
        <w:rPr>
          <w:w w:val="105"/>
        </w:rPr>
        <w:t>Only the </w:t>
      </w:r>
      <w:r>
        <w:rPr>
          <w:spacing w:val="-3"/>
          <w:w w:val="105"/>
        </w:rPr>
        <w:t>immediate</w:t>
      </w:r>
      <w:r>
        <w:rPr>
          <w:spacing w:val="-8"/>
          <w:w w:val="105"/>
        </w:rPr>
        <w:t> </w:t>
      </w:r>
      <w:r>
        <w:rPr>
          <w:spacing w:val="-3"/>
          <w:w w:val="105"/>
        </w:rPr>
        <w:t>successor</w:t>
      </w:r>
      <w:r>
        <w:rPr>
          <w:spacing w:val="-7"/>
          <w:w w:val="105"/>
        </w:rPr>
        <w:t> </w:t>
      </w:r>
      <w:r>
        <w:rPr>
          <w:w w:val="105"/>
        </w:rPr>
        <w:t>in</w:t>
      </w:r>
      <w:r>
        <w:rPr>
          <w:spacing w:val="-7"/>
          <w:w w:val="105"/>
        </w:rPr>
        <w:t> </w:t>
      </w:r>
      <w:r>
        <w:rPr>
          <w:w w:val="105"/>
        </w:rPr>
        <w:t>title</w:t>
      </w:r>
      <w:r>
        <w:rPr>
          <w:spacing w:val="-8"/>
          <w:w w:val="105"/>
        </w:rPr>
        <w:t> </w:t>
      </w:r>
      <w:r>
        <w:rPr>
          <w:spacing w:val="-3"/>
          <w:w w:val="105"/>
        </w:rPr>
        <w:t>to</w:t>
      </w:r>
      <w:r>
        <w:rPr>
          <w:spacing w:val="-7"/>
          <w:w w:val="105"/>
        </w:rPr>
        <w:t> </w:t>
      </w:r>
      <w:r>
        <w:rPr>
          <w:w w:val="105"/>
        </w:rPr>
        <w:t>the</w:t>
      </w:r>
      <w:r>
        <w:rPr>
          <w:spacing w:val="-7"/>
          <w:w w:val="105"/>
        </w:rPr>
        <w:t> </w:t>
      </w:r>
      <w:r>
        <w:rPr>
          <w:spacing w:val="-3"/>
          <w:w w:val="105"/>
        </w:rPr>
        <w:t>applicant</w:t>
      </w:r>
      <w:r>
        <w:rPr>
          <w:spacing w:val="-7"/>
          <w:w w:val="105"/>
        </w:rPr>
        <w:t> </w:t>
      </w:r>
      <w:r>
        <w:rPr>
          <w:w w:val="105"/>
        </w:rPr>
        <w:t>is</w:t>
      </w:r>
      <w:r>
        <w:rPr>
          <w:spacing w:val="-8"/>
          <w:w w:val="105"/>
        </w:rPr>
        <w:t> </w:t>
      </w:r>
      <w:r>
        <w:rPr>
          <w:w w:val="105"/>
        </w:rPr>
        <w:t>entitled</w:t>
      </w:r>
      <w:r>
        <w:rPr>
          <w:spacing w:val="-7"/>
          <w:w w:val="105"/>
        </w:rPr>
        <w:t> </w:t>
      </w:r>
      <w:r>
        <w:rPr>
          <w:spacing w:val="-3"/>
          <w:w w:val="105"/>
        </w:rPr>
        <w:t>to</w:t>
      </w:r>
      <w:r>
        <w:rPr>
          <w:spacing w:val="-7"/>
          <w:w w:val="105"/>
        </w:rPr>
        <w:t> </w:t>
      </w:r>
      <w:r>
        <w:rPr>
          <w:w w:val="105"/>
        </w:rPr>
        <w:t>benefit</w:t>
      </w:r>
      <w:r>
        <w:rPr>
          <w:spacing w:val="-7"/>
          <w:w w:val="105"/>
        </w:rPr>
        <w:t> </w:t>
      </w:r>
      <w:r>
        <w:rPr>
          <w:spacing w:val="-3"/>
          <w:w w:val="105"/>
        </w:rPr>
        <w:t>from</w:t>
      </w:r>
      <w:r>
        <w:rPr>
          <w:spacing w:val="-8"/>
          <w:w w:val="105"/>
        </w:rPr>
        <w:t> </w:t>
      </w:r>
      <w:r>
        <w:rPr>
          <w:w w:val="105"/>
        </w:rPr>
        <w:t>the</w:t>
      </w:r>
      <w:r>
        <w:rPr>
          <w:spacing w:val="-7"/>
          <w:w w:val="105"/>
        </w:rPr>
        <w:t> </w:t>
      </w:r>
      <w:r>
        <w:rPr>
          <w:spacing w:val="-3"/>
          <w:w w:val="105"/>
        </w:rPr>
        <w:t>original</w:t>
      </w:r>
      <w:r>
        <w:rPr>
          <w:spacing w:val="-7"/>
          <w:w w:val="105"/>
        </w:rPr>
        <w:t> </w:t>
      </w:r>
      <w:r>
        <w:rPr>
          <w:spacing w:val="-4"/>
          <w:w w:val="105"/>
        </w:rPr>
        <w:t>order. </w:t>
      </w:r>
      <w:r>
        <w:rPr>
          <w:w w:val="105"/>
          <w:position w:val="7"/>
          <w:sz w:val="12"/>
        </w:rPr>
        <w:t>52</w:t>
      </w:r>
      <w:r>
        <w:rPr>
          <w:w w:val="105"/>
        </w:rPr>
        <w:t>The issue of new </w:t>
      </w:r>
      <w:r>
        <w:rPr>
          <w:spacing w:val="-3"/>
          <w:w w:val="105"/>
        </w:rPr>
        <w:t>purchasers </w:t>
      </w:r>
      <w:r>
        <w:rPr>
          <w:w w:val="105"/>
        </w:rPr>
        <w:t>of </w:t>
      </w:r>
      <w:r>
        <w:rPr>
          <w:spacing w:val="-3"/>
          <w:w w:val="105"/>
        </w:rPr>
        <w:t>land </w:t>
      </w:r>
      <w:r>
        <w:rPr>
          <w:w w:val="105"/>
        </w:rPr>
        <w:t>is discussed further in </w:t>
      </w:r>
      <w:r>
        <w:rPr>
          <w:spacing w:val="-4"/>
          <w:w w:val="105"/>
        </w:rPr>
        <w:t>Chapter</w:t>
      </w:r>
      <w:r>
        <w:rPr>
          <w:spacing w:val="-3"/>
          <w:w w:val="105"/>
        </w:rPr>
        <w:t> </w:t>
      </w:r>
      <w:r>
        <w:rPr>
          <w:spacing w:val="-13"/>
          <w:w w:val="105"/>
        </w:rPr>
        <w:t>11.</w:t>
      </w:r>
    </w:p>
    <w:p>
      <w:pPr>
        <w:pStyle w:val="ListParagraph"/>
        <w:numPr>
          <w:ilvl w:val="1"/>
          <w:numId w:val="16"/>
        </w:numPr>
        <w:tabs>
          <w:tab w:pos="2381" w:val="left" w:leader="none"/>
          <w:tab w:pos="2382" w:val="left" w:leader="none"/>
        </w:tabs>
        <w:spacing w:line="242" w:lineRule="auto" w:before="126" w:after="0"/>
        <w:ind w:left="2381" w:right="1697" w:hanging="794"/>
        <w:jc w:val="left"/>
        <w:rPr>
          <w:sz w:val="21"/>
        </w:rPr>
      </w:pPr>
      <w:r>
        <w:rPr>
          <w:spacing w:val="-4"/>
          <w:w w:val="105"/>
          <w:sz w:val="21"/>
        </w:rPr>
        <w:t>QCAT </w:t>
      </w:r>
      <w:r>
        <w:rPr>
          <w:w w:val="105"/>
          <w:sz w:val="21"/>
        </w:rPr>
        <w:t>advised </w:t>
      </w:r>
      <w:r>
        <w:rPr>
          <w:spacing w:val="-3"/>
          <w:w w:val="105"/>
          <w:sz w:val="21"/>
        </w:rPr>
        <w:t>that many </w:t>
      </w:r>
      <w:r>
        <w:rPr>
          <w:w w:val="105"/>
          <w:sz w:val="21"/>
        </w:rPr>
        <w:t>of the orders it </w:t>
      </w:r>
      <w:r>
        <w:rPr>
          <w:spacing w:val="-3"/>
          <w:w w:val="105"/>
          <w:sz w:val="21"/>
        </w:rPr>
        <w:t>makes </w:t>
      </w:r>
      <w:r>
        <w:rPr>
          <w:w w:val="105"/>
          <w:sz w:val="21"/>
        </w:rPr>
        <w:t>do </w:t>
      </w:r>
      <w:r>
        <w:rPr>
          <w:spacing w:val="-2"/>
          <w:w w:val="105"/>
          <w:sz w:val="21"/>
        </w:rPr>
        <w:t>not </w:t>
      </w:r>
      <w:r>
        <w:rPr>
          <w:spacing w:val="-3"/>
          <w:w w:val="105"/>
          <w:sz w:val="21"/>
        </w:rPr>
        <w:t>place </w:t>
      </w:r>
      <w:r>
        <w:rPr>
          <w:w w:val="105"/>
          <w:sz w:val="21"/>
        </w:rPr>
        <w:t>ongoing </w:t>
      </w:r>
      <w:r>
        <w:rPr>
          <w:spacing w:val="-3"/>
          <w:w w:val="105"/>
          <w:sz w:val="21"/>
        </w:rPr>
        <w:t>obligations </w:t>
      </w:r>
      <w:r>
        <w:rPr>
          <w:w w:val="105"/>
          <w:sz w:val="21"/>
        </w:rPr>
        <w:t>on tree owners. </w:t>
      </w:r>
      <w:r>
        <w:rPr>
          <w:spacing w:val="-4"/>
          <w:w w:val="105"/>
          <w:sz w:val="21"/>
        </w:rPr>
        <w:t>However, </w:t>
      </w:r>
      <w:r>
        <w:rPr>
          <w:w w:val="105"/>
          <w:sz w:val="21"/>
        </w:rPr>
        <w:t>when ongoing orders </w:t>
      </w:r>
      <w:r>
        <w:rPr>
          <w:spacing w:val="-3"/>
          <w:w w:val="105"/>
          <w:sz w:val="21"/>
        </w:rPr>
        <w:t>are </w:t>
      </w:r>
      <w:r>
        <w:rPr>
          <w:w w:val="105"/>
          <w:sz w:val="21"/>
        </w:rPr>
        <w:t>made </w:t>
      </w:r>
      <w:r>
        <w:rPr>
          <w:spacing w:val="-3"/>
          <w:w w:val="105"/>
          <w:sz w:val="21"/>
        </w:rPr>
        <w:t>(for example, for annual </w:t>
      </w:r>
      <w:r>
        <w:rPr>
          <w:w w:val="105"/>
          <w:sz w:val="21"/>
        </w:rPr>
        <w:t>pruning), they </w:t>
      </w:r>
      <w:r>
        <w:rPr>
          <w:spacing w:val="-3"/>
          <w:w w:val="105"/>
          <w:sz w:val="21"/>
        </w:rPr>
        <w:t>will remain </w:t>
      </w:r>
      <w:r>
        <w:rPr>
          <w:w w:val="105"/>
          <w:sz w:val="21"/>
        </w:rPr>
        <w:t>active </w:t>
      </w:r>
      <w:r>
        <w:rPr>
          <w:spacing w:val="-3"/>
          <w:w w:val="105"/>
          <w:sz w:val="21"/>
        </w:rPr>
        <w:t>for </w:t>
      </w:r>
      <w:r>
        <w:rPr>
          <w:spacing w:val="-6"/>
          <w:w w:val="105"/>
          <w:sz w:val="21"/>
        </w:rPr>
        <w:t>10 </w:t>
      </w:r>
      <w:r>
        <w:rPr>
          <w:w w:val="105"/>
          <w:sz w:val="21"/>
        </w:rPr>
        <w:t>years unless otherwise specified.</w:t>
      </w:r>
      <w:r>
        <w:rPr>
          <w:w w:val="105"/>
          <w:position w:val="7"/>
          <w:sz w:val="12"/>
        </w:rPr>
        <w:t>53 </w:t>
      </w:r>
      <w:r>
        <w:rPr>
          <w:spacing w:val="-3"/>
          <w:w w:val="105"/>
          <w:sz w:val="21"/>
        </w:rPr>
        <w:t>Likewise, </w:t>
      </w:r>
      <w:r>
        <w:rPr>
          <w:w w:val="105"/>
          <w:sz w:val="21"/>
        </w:rPr>
        <w:t>in </w:t>
      </w:r>
      <w:r>
        <w:rPr>
          <w:spacing w:val="-5"/>
          <w:w w:val="105"/>
          <w:sz w:val="21"/>
        </w:rPr>
        <w:t>Tasmania, </w:t>
      </w:r>
      <w:r>
        <w:rPr>
          <w:w w:val="105"/>
          <w:sz w:val="21"/>
        </w:rPr>
        <w:t>an order lapses after a period of </w:t>
      </w:r>
      <w:r>
        <w:rPr>
          <w:spacing w:val="-6"/>
          <w:w w:val="105"/>
          <w:sz w:val="21"/>
        </w:rPr>
        <w:t>10 </w:t>
      </w:r>
      <w:r>
        <w:rPr>
          <w:w w:val="105"/>
          <w:sz w:val="21"/>
        </w:rPr>
        <w:t>years </w:t>
      </w:r>
      <w:r>
        <w:rPr>
          <w:spacing w:val="-3"/>
          <w:w w:val="105"/>
          <w:sz w:val="21"/>
        </w:rPr>
        <w:t>from </w:t>
      </w:r>
      <w:r>
        <w:rPr>
          <w:w w:val="105"/>
          <w:sz w:val="21"/>
        </w:rPr>
        <w:t>the </w:t>
      </w:r>
      <w:r>
        <w:rPr>
          <w:spacing w:val="-3"/>
          <w:w w:val="105"/>
          <w:sz w:val="21"/>
        </w:rPr>
        <w:t>day </w:t>
      </w:r>
      <w:r>
        <w:rPr>
          <w:w w:val="105"/>
          <w:sz w:val="21"/>
        </w:rPr>
        <w:t>on which it was made unless the order expressly states</w:t>
      </w:r>
      <w:r>
        <w:rPr>
          <w:spacing w:val="12"/>
          <w:w w:val="105"/>
          <w:sz w:val="21"/>
        </w:rPr>
        <w:t> </w:t>
      </w:r>
      <w:r>
        <w:rPr>
          <w:w w:val="105"/>
          <w:sz w:val="21"/>
        </w:rPr>
        <w:t>otherwise.</w:t>
      </w:r>
      <w:r>
        <w:rPr>
          <w:w w:val="105"/>
          <w:position w:val="7"/>
          <w:sz w:val="12"/>
        </w:rPr>
        <w:t>54</w:t>
      </w:r>
    </w:p>
    <w:p>
      <w:pPr>
        <w:pStyle w:val="ListParagraph"/>
        <w:numPr>
          <w:ilvl w:val="1"/>
          <w:numId w:val="16"/>
        </w:numPr>
        <w:tabs>
          <w:tab w:pos="2381" w:val="left" w:leader="none"/>
          <w:tab w:pos="2382" w:val="left" w:leader="none"/>
        </w:tabs>
        <w:spacing w:line="242" w:lineRule="auto" w:before="125" w:after="0"/>
        <w:ind w:left="2381" w:right="1757" w:hanging="794"/>
        <w:jc w:val="left"/>
        <w:rPr>
          <w:sz w:val="21"/>
        </w:rPr>
      </w:pPr>
      <w:r>
        <w:rPr>
          <w:w w:val="105"/>
          <w:sz w:val="21"/>
        </w:rPr>
        <w:t>DSCV provides an example of ongoing </w:t>
      </w:r>
      <w:r>
        <w:rPr>
          <w:spacing w:val="-3"/>
          <w:w w:val="105"/>
          <w:sz w:val="21"/>
        </w:rPr>
        <w:t>maintenance featuring </w:t>
      </w:r>
      <w:r>
        <w:rPr>
          <w:w w:val="105"/>
          <w:sz w:val="21"/>
        </w:rPr>
        <w:t>in a mediation </w:t>
      </w:r>
      <w:r>
        <w:rPr>
          <w:spacing w:val="-2"/>
          <w:w w:val="105"/>
          <w:sz w:val="21"/>
        </w:rPr>
        <w:t>agreement </w:t>
      </w:r>
      <w:r>
        <w:rPr>
          <w:w w:val="105"/>
          <w:sz w:val="21"/>
        </w:rPr>
        <w:t>on its </w:t>
      </w:r>
      <w:r>
        <w:rPr>
          <w:spacing w:val="-3"/>
          <w:w w:val="105"/>
          <w:sz w:val="21"/>
        </w:rPr>
        <w:t>website.</w:t>
      </w:r>
      <w:r>
        <w:rPr>
          <w:spacing w:val="-3"/>
          <w:w w:val="105"/>
          <w:position w:val="7"/>
          <w:sz w:val="12"/>
        </w:rPr>
        <w:t>55 </w:t>
      </w:r>
      <w:r>
        <w:rPr>
          <w:w w:val="105"/>
          <w:sz w:val="21"/>
        </w:rPr>
        <w:t>In the </w:t>
      </w:r>
      <w:r>
        <w:rPr>
          <w:spacing w:val="-3"/>
          <w:w w:val="105"/>
          <w:sz w:val="21"/>
        </w:rPr>
        <w:t>example, </w:t>
      </w:r>
      <w:r>
        <w:rPr>
          <w:w w:val="105"/>
          <w:sz w:val="21"/>
        </w:rPr>
        <w:t>a mediated </w:t>
      </w:r>
      <w:r>
        <w:rPr>
          <w:spacing w:val="-2"/>
          <w:w w:val="105"/>
          <w:sz w:val="21"/>
        </w:rPr>
        <w:t>agreement </w:t>
      </w:r>
      <w:r>
        <w:rPr>
          <w:w w:val="105"/>
          <w:sz w:val="21"/>
        </w:rPr>
        <w:t>provided </w:t>
      </w:r>
      <w:r>
        <w:rPr>
          <w:spacing w:val="-3"/>
          <w:w w:val="105"/>
          <w:sz w:val="21"/>
        </w:rPr>
        <w:t>that </w:t>
      </w:r>
      <w:r>
        <w:rPr>
          <w:w w:val="105"/>
          <w:sz w:val="21"/>
        </w:rPr>
        <w:t>the affected </w:t>
      </w:r>
      <w:r>
        <w:rPr>
          <w:spacing w:val="-3"/>
          <w:w w:val="105"/>
          <w:sz w:val="21"/>
        </w:rPr>
        <w:t>neighbour </w:t>
      </w:r>
      <w:r>
        <w:rPr>
          <w:w w:val="105"/>
          <w:sz w:val="21"/>
        </w:rPr>
        <w:t>would be </w:t>
      </w:r>
      <w:r>
        <w:rPr>
          <w:spacing w:val="-3"/>
          <w:w w:val="105"/>
          <w:sz w:val="21"/>
        </w:rPr>
        <w:t>responsible for pruning </w:t>
      </w:r>
      <w:r>
        <w:rPr>
          <w:w w:val="105"/>
          <w:sz w:val="21"/>
        </w:rPr>
        <w:t>back the </w:t>
      </w:r>
      <w:r>
        <w:rPr>
          <w:spacing w:val="-3"/>
          <w:w w:val="105"/>
          <w:sz w:val="21"/>
        </w:rPr>
        <w:t>overhanging branches </w:t>
      </w:r>
      <w:r>
        <w:rPr>
          <w:w w:val="105"/>
          <w:sz w:val="21"/>
        </w:rPr>
        <w:t>on a day- to-day basis, but the parties agreed </w:t>
      </w:r>
      <w:r>
        <w:rPr>
          <w:spacing w:val="-3"/>
          <w:w w:val="105"/>
          <w:sz w:val="21"/>
        </w:rPr>
        <w:t>that </w:t>
      </w:r>
      <w:r>
        <w:rPr>
          <w:w w:val="105"/>
          <w:sz w:val="21"/>
        </w:rPr>
        <w:t>the trees would be </w:t>
      </w:r>
      <w:r>
        <w:rPr>
          <w:spacing w:val="-3"/>
          <w:w w:val="105"/>
          <w:sz w:val="21"/>
        </w:rPr>
        <w:t>maintained annually </w:t>
      </w:r>
      <w:r>
        <w:rPr>
          <w:w w:val="105"/>
          <w:sz w:val="21"/>
        </w:rPr>
        <w:t>by a </w:t>
      </w:r>
      <w:r>
        <w:rPr>
          <w:spacing w:val="-3"/>
          <w:w w:val="105"/>
          <w:sz w:val="21"/>
        </w:rPr>
        <w:t>professional </w:t>
      </w:r>
      <w:r>
        <w:rPr>
          <w:w w:val="105"/>
          <w:sz w:val="21"/>
        </w:rPr>
        <w:t>with the costs </w:t>
      </w:r>
      <w:r>
        <w:rPr>
          <w:spacing w:val="-3"/>
          <w:w w:val="105"/>
          <w:sz w:val="21"/>
        </w:rPr>
        <w:t>to </w:t>
      </w:r>
      <w:r>
        <w:rPr>
          <w:w w:val="105"/>
          <w:sz w:val="21"/>
        </w:rPr>
        <w:t>be </w:t>
      </w:r>
      <w:r>
        <w:rPr>
          <w:spacing w:val="-3"/>
          <w:w w:val="105"/>
          <w:sz w:val="21"/>
        </w:rPr>
        <w:t>split </w:t>
      </w:r>
      <w:r>
        <w:rPr>
          <w:w w:val="105"/>
          <w:sz w:val="21"/>
        </w:rPr>
        <w:t>between</w:t>
      </w:r>
      <w:r>
        <w:rPr>
          <w:spacing w:val="41"/>
          <w:w w:val="105"/>
          <w:sz w:val="21"/>
        </w:rPr>
        <w:t> </w:t>
      </w:r>
      <w:r>
        <w:rPr>
          <w:w w:val="105"/>
          <w:sz w:val="21"/>
        </w:rPr>
        <w:t>them.</w:t>
      </w:r>
      <w:r>
        <w:rPr>
          <w:w w:val="105"/>
          <w:position w:val="7"/>
          <w:sz w:val="12"/>
        </w:rPr>
        <w:t>56</w:t>
      </w:r>
    </w:p>
    <w:p>
      <w:pPr>
        <w:pStyle w:val="ListParagraph"/>
        <w:numPr>
          <w:ilvl w:val="1"/>
          <w:numId w:val="16"/>
        </w:numPr>
        <w:tabs>
          <w:tab w:pos="2381" w:val="left" w:leader="none"/>
        </w:tabs>
        <w:spacing w:line="242" w:lineRule="auto" w:before="126" w:after="0"/>
        <w:ind w:left="2381" w:right="2140" w:hanging="794"/>
        <w:jc w:val="both"/>
        <w:rPr>
          <w:sz w:val="21"/>
        </w:rPr>
      </w:pPr>
      <w:r>
        <w:rPr>
          <w:w w:val="105"/>
          <w:sz w:val="21"/>
        </w:rPr>
        <w:t>The </w:t>
      </w:r>
      <w:r>
        <w:rPr>
          <w:spacing w:val="-3"/>
          <w:w w:val="105"/>
          <w:sz w:val="21"/>
        </w:rPr>
        <w:t>Commission </w:t>
      </w:r>
      <w:r>
        <w:rPr>
          <w:w w:val="105"/>
          <w:sz w:val="21"/>
        </w:rPr>
        <w:t>does </w:t>
      </w:r>
      <w:r>
        <w:rPr>
          <w:spacing w:val="-2"/>
          <w:w w:val="105"/>
          <w:sz w:val="21"/>
        </w:rPr>
        <w:t>not </w:t>
      </w:r>
      <w:r>
        <w:rPr>
          <w:w w:val="105"/>
          <w:sz w:val="21"/>
        </w:rPr>
        <w:t>support </w:t>
      </w:r>
      <w:r>
        <w:rPr>
          <w:spacing w:val="-3"/>
          <w:w w:val="105"/>
          <w:sz w:val="21"/>
        </w:rPr>
        <w:t>limiting </w:t>
      </w:r>
      <w:r>
        <w:rPr>
          <w:w w:val="105"/>
          <w:sz w:val="21"/>
        </w:rPr>
        <w:t>the </w:t>
      </w:r>
      <w:r>
        <w:rPr>
          <w:spacing w:val="-3"/>
          <w:w w:val="105"/>
          <w:sz w:val="21"/>
        </w:rPr>
        <w:t>duration </w:t>
      </w:r>
      <w:r>
        <w:rPr>
          <w:w w:val="105"/>
          <w:sz w:val="21"/>
        </w:rPr>
        <w:t>of orders in the new Act as occurs</w:t>
      </w:r>
      <w:r>
        <w:rPr>
          <w:spacing w:val="-6"/>
          <w:w w:val="105"/>
          <w:sz w:val="21"/>
        </w:rPr>
        <w:t> </w:t>
      </w:r>
      <w:r>
        <w:rPr>
          <w:w w:val="105"/>
          <w:sz w:val="21"/>
        </w:rPr>
        <w:t>in</w:t>
      </w:r>
      <w:r>
        <w:rPr>
          <w:spacing w:val="-6"/>
          <w:w w:val="105"/>
          <w:sz w:val="21"/>
        </w:rPr>
        <w:t> </w:t>
      </w:r>
      <w:r>
        <w:rPr>
          <w:spacing w:val="-5"/>
          <w:w w:val="105"/>
          <w:sz w:val="21"/>
        </w:rPr>
        <w:t>Tasmania</w:t>
      </w:r>
      <w:r>
        <w:rPr>
          <w:spacing w:val="-6"/>
          <w:w w:val="105"/>
          <w:sz w:val="21"/>
        </w:rPr>
        <w:t> </w:t>
      </w:r>
      <w:r>
        <w:rPr>
          <w:w w:val="105"/>
          <w:sz w:val="21"/>
        </w:rPr>
        <w:t>and</w:t>
      </w:r>
      <w:r>
        <w:rPr>
          <w:spacing w:val="-6"/>
          <w:w w:val="105"/>
          <w:sz w:val="21"/>
        </w:rPr>
        <w:t> </w:t>
      </w:r>
      <w:r>
        <w:rPr>
          <w:spacing w:val="-3"/>
          <w:w w:val="105"/>
          <w:sz w:val="21"/>
        </w:rPr>
        <w:t>Queensland.</w:t>
      </w:r>
      <w:r>
        <w:rPr>
          <w:spacing w:val="-6"/>
          <w:w w:val="105"/>
          <w:sz w:val="21"/>
        </w:rPr>
        <w:t> </w:t>
      </w:r>
      <w:r>
        <w:rPr>
          <w:w w:val="105"/>
          <w:sz w:val="21"/>
        </w:rPr>
        <w:t>Instead</w:t>
      </w:r>
      <w:r>
        <w:rPr>
          <w:spacing w:val="-5"/>
          <w:w w:val="105"/>
          <w:sz w:val="21"/>
        </w:rPr>
        <w:t> </w:t>
      </w:r>
      <w:r>
        <w:rPr>
          <w:w w:val="105"/>
          <w:sz w:val="21"/>
        </w:rPr>
        <w:t>the</w:t>
      </w:r>
      <w:r>
        <w:rPr>
          <w:spacing w:val="-6"/>
          <w:w w:val="105"/>
          <w:sz w:val="21"/>
        </w:rPr>
        <w:t> </w:t>
      </w:r>
      <w:r>
        <w:rPr>
          <w:spacing w:val="-3"/>
          <w:w w:val="105"/>
          <w:sz w:val="21"/>
        </w:rPr>
        <w:t>duration</w:t>
      </w:r>
      <w:r>
        <w:rPr>
          <w:spacing w:val="-6"/>
          <w:w w:val="105"/>
          <w:sz w:val="21"/>
        </w:rPr>
        <w:t> </w:t>
      </w:r>
      <w:r>
        <w:rPr>
          <w:w w:val="105"/>
          <w:sz w:val="21"/>
        </w:rPr>
        <w:t>of</w:t>
      </w:r>
      <w:r>
        <w:rPr>
          <w:spacing w:val="-6"/>
          <w:w w:val="105"/>
          <w:sz w:val="21"/>
        </w:rPr>
        <w:t> </w:t>
      </w:r>
      <w:r>
        <w:rPr>
          <w:w w:val="105"/>
          <w:sz w:val="21"/>
        </w:rPr>
        <w:t>orders</w:t>
      </w:r>
      <w:r>
        <w:rPr>
          <w:spacing w:val="-6"/>
          <w:w w:val="105"/>
          <w:sz w:val="21"/>
        </w:rPr>
        <w:t> </w:t>
      </w:r>
      <w:r>
        <w:rPr>
          <w:w w:val="105"/>
          <w:sz w:val="21"/>
        </w:rPr>
        <w:t>should</w:t>
      </w:r>
      <w:r>
        <w:rPr>
          <w:spacing w:val="-6"/>
          <w:w w:val="105"/>
          <w:sz w:val="21"/>
        </w:rPr>
        <w:t> </w:t>
      </w:r>
      <w:r>
        <w:rPr>
          <w:w w:val="105"/>
          <w:sz w:val="21"/>
        </w:rPr>
        <w:t>be</w:t>
      </w:r>
      <w:r>
        <w:rPr>
          <w:spacing w:val="-5"/>
          <w:w w:val="105"/>
          <w:sz w:val="21"/>
        </w:rPr>
        <w:t> </w:t>
      </w:r>
      <w:r>
        <w:rPr>
          <w:w w:val="105"/>
          <w:sz w:val="21"/>
        </w:rPr>
        <w:t>left</w:t>
      </w:r>
      <w:r>
        <w:rPr>
          <w:spacing w:val="-6"/>
          <w:w w:val="105"/>
          <w:sz w:val="21"/>
        </w:rPr>
        <w:t> </w:t>
      </w:r>
      <w:r>
        <w:rPr>
          <w:spacing w:val="-3"/>
          <w:w w:val="105"/>
          <w:sz w:val="21"/>
        </w:rPr>
        <w:t>to </w:t>
      </w:r>
      <w:r>
        <w:rPr>
          <w:spacing w:val="-6"/>
          <w:w w:val="105"/>
          <w:sz w:val="21"/>
        </w:rPr>
        <w:t>VCAT’s </w:t>
      </w:r>
      <w:r>
        <w:rPr>
          <w:spacing w:val="-3"/>
          <w:w w:val="105"/>
          <w:sz w:val="21"/>
        </w:rPr>
        <w:t>discretion </w:t>
      </w:r>
      <w:r>
        <w:rPr>
          <w:w w:val="105"/>
          <w:sz w:val="21"/>
        </w:rPr>
        <w:t>or otherwise apply </w:t>
      </w:r>
      <w:r>
        <w:rPr>
          <w:spacing w:val="-3"/>
          <w:w w:val="105"/>
          <w:sz w:val="21"/>
        </w:rPr>
        <w:t>indefinitely until</w:t>
      </w:r>
      <w:r>
        <w:rPr>
          <w:spacing w:val="39"/>
          <w:w w:val="105"/>
          <w:sz w:val="21"/>
        </w:rPr>
        <w:t> </w:t>
      </w:r>
      <w:r>
        <w:rPr>
          <w:spacing w:val="-4"/>
          <w:w w:val="105"/>
          <w:sz w:val="21"/>
        </w:rPr>
        <w:t>revoked.</w:t>
      </w:r>
    </w:p>
    <w:p>
      <w:pPr>
        <w:pStyle w:val="BodyText"/>
        <w:spacing w:before="4"/>
        <w:rPr>
          <w:sz w:val="20"/>
        </w:rPr>
      </w:pPr>
    </w:p>
    <w:p>
      <w:pPr>
        <w:pStyle w:val="Heading5"/>
      </w:pPr>
      <w:r>
        <w:rPr>
          <w:w w:val="115"/>
        </w:rPr>
        <w:t>Australian Standards and arborist qualifications</w:t>
      </w:r>
    </w:p>
    <w:p>
      <w:pPr>
        <w:pStyle w:val="ListParagraph"/>
        <w:numPr>
          <w:ilvl w:val="1"/>
          <w:numId w:val="16"/>
        </w:numPr>
        <w:tabs>
          <w:tab w:pos="2381" w:val="left" w:leader="none"/>
          <w:tab w:pos="2382" w:val="left" w:leader="none"/>
        </w:tabs>
        <w:spacing w:line="242" w:lineRule="auto" w:before="137" w:after="0"/>
        <w:ind w:left="2381" w:right="1773" w:hanging="794"/>
        <w:jc w:val="left"/>
        <w:rPr>
          <w:sz w:val="21"/>
        </w:rPr>
      </w:pPr>
      <w:r>
        <w:rPr>
          <w:spacing w:val="-3"/>
          <w:w w:val="105"/>
          <w:sz w:val="21"/>
        </w:rPr>
        <w:t>Work</w:t>
      </w:r>
      <w:r>
        <w:rPr>
          <w:spacing w:val="-5"/>
          <w:w w:val="105"/>
          <w:sz w:val="21"/>
        </w:rPr>
        <w:t> </w:t>
      </w:r>
      <w:r>
        <w:rPr>
          <w:w w:val="105"/>
          <w:sz w:val="21"/>
        </w:rPr>
        <w:t>carried</w:t>
      </w:r>
      <w:r>
        <w:rPr>
          <w:spacing w:val="-5"/>
          <w:w w:val="105"/>
          <w:sz w:val="21"/>
        </w:rPr>
        <w:t> </w:t>
      </w:r>
      <w:r>
        <w:rPr>
          <w:w w:val="105"/>
          <w:sz w:val="21"/>
        </w:rPr>
        <w:t>out</w:t>
      </w:r>
      <w:r>
        <w:rPr>
          <w:spacing w:val="-5"/>
          <w:w w:val="105"/>
          <w:sz w:val="21"/>
        </w:rPr>
        <w:t> </w:t>
      </w:r>
      <w:r>
        <w:rPr>
          <w:spacing w:val="-3"/>
          <w:w w:val="105"/>
          <w:sz w:val="21"/>
        </w:rPr>
        <w:t>pursuant</w:t>
      </w:r>
      <w:r>
        <w:rPr>
          <w:spacing w:val="-5"/>
          <w:w w:val="105"/>
          <w:sz w:val="21"/>
        </w:rPr>
        <w:t> </w:t>
      </w:r>
      <w:r>
        <w:rPr>
          <w:spacing w:val="-3"/>
          <w:w w:val="105"/>
          <w:sz w:val="21"/>
        </w:rPr>
        <w:t>to</w:t>
      </w:r>
      <w:r>
        <w:rPr>
          <w:spacing w:val="-5"/>
          <w:w w:val="105"/>
          <w:sz w:val="21"/>
        </w:rPr>
        <w:t> </w:t>
      </w:r>
      <w:r>
        <w:rPr>
          <w:w w:val="105"/>
          <w:sz w:val="21"/>
        </w:rPr>
        <w:t>orders</w:t>
      </w:r>
      <w:r>
        <w:rPr>
          <w:spacing w:val="-5"/>
          <w:w w:val="105"/>
          <w:sz w:val="21"/>
        </w:rPr>
        <w:t> </w:t>
      </w:r>
      <w:r>
        <w:rPr>
          <w:w w:val="105"/>
          <w:sz w:val="21"/>
        </w:rPr>
        <w:t>made</w:t>
      </w:r>
      <w:r>
        <w:rPr>
          <w:spacing w:val="-5"/>
          <w:w w:val="105"/>
          <w:sz w:val="21"/>
        </w:rPr>
        <w:t> </w:t>
      </w:r>
      <w:r>
        <w:rPr>
          <w:w w:val="105"/>
          <w:sz w:val="21"/>
        </w:rPr>
        <w:t>under</w:t>
      </w:r>
      <w:r>
        <w:rPr>
          <w:spacing w:val="-5"/>
          <w:w w:val="105"/>
          <w:sz w:val="21"/>
        </w:rPr>
        <w:t> </w:t>
      </w:r>
      <w:r>
        <w:rPr>
          <w:w w:val="105"/>
          <w:sz w:val="21"/>
        </w:rPr>
        <w:t>the</w:t>
      </w:r>
      <w:r>
        <w:rPr>
          <w:spacing w:val="-5"/>
          <w:w w:val="105"/>
          <w:sz w:val="21"/>
        </w:rPr>
        <w:t> </w:t>
      </w:r>
      <w:r>
        <w:rPr>
          <w:w w:val="105"/>
          <w:sz w:val="21"/>
        </w:rPr>
        <w:t>Act</w:t>
      </w:r>
      <w:r>
        <w:rPr>
          <w:spacing w:val="-5"/>
          <w:w w:val="105"/>
          <w:sz w:val="21"/>
        </w:rPr>
        <w:t> </w:t>
      </w:r>
      <w:r>
        <w:rPr>
          <w:w w:val="105"/>
          <w:sz w:val="21"/>
        </w:rPr>
        <w:t>should</w:t>
      </w:r>
      <w:r>
        <w:rPr>
          <w:spacing w:val="-5"/>
          <w:w w:val="105"/>
          <w:sz w:val="21"/>
        </w:rPr>
        <w:t> </w:t>
      </w:r>
      <w:r>
        <w:rPr>
          <w:w w:val="105"/>
          <w:sz w:val="21"/>
        </w:rPr>
        <w:t>be</w:t>
      </w:r>
      <w:r>
        <w:rPr>
          <w:spacing w:val="-5"/>
          <w:w w:val="105"/>
          <w:sz w:val="21"/>
        </w:rPr>
        <w:t> </w:t>
      </w:r>
      <w:r>
        <w:rPr>
          <w:w w:val="105"/>
          <w:sz w:val="21"/>
        </w:rPr>
        <w:t>made</w:t>
      </w:r>
      <w:r>
        <w:rPr>
          <w:spacing w:val="-5"/>
          <w:w w:val="105"/>
          <w:sz w:val="21"/>
        </w:rPr>
        <w:t> </w:t>
      </w:r>
      <w:r>
        <w:rPr>
          <w:w w:val="105"/>
          <w:sz w:val="21"/>
        </w:rPr>
        <w:t>in</w:t>
      </w:r>
      <w:r>
        <w:rPr>
          <w:spacing w:val="-5"/>
          <w:w w:val="105"/>
          <w:sz w:val="21"/>
        </w:rPr>
        <w:t> </w:t>
      </w:r>
      <w:r>
        <w:rPr>
          <w:spacing w:val="-3"/>
          <w:w w:val="105"/>
          <w:sz w:val="21"/>
        </w:rPr>
        <w:t>accordance </w:t>
      </w:r>
      <w:r>
        <w:rPr>
          <w:w w:val="105"/>
          <w:sz w:val="21"/>
        </w:rPr>
        <w:t>with the </w:t>
      </w:r>
      <w:r>
        <w:rPr>
          <w:spacing w:val="-3"/>
          <w:w w:val="105"/>
          <w:sz w:val="21"/>
        </w:rPr>
        <w:t>Australian Standards Pruning </w:t>
      </w:r>
      <w:r>
        <w:rPr>
          <w:w w:val="105"/>
          <w:sz w:val="21"/>
        </w:rPr>
        <w:t>of Amenity </w:t>
      </w:r>
      <w:r>
        <w:rPr>
          <w:spacing w:val="-4"/>
          <w:w w:val="105"/>
          <w:sz w:val="21"/>
        </w:rPr>
        <w:t>Trees</w:t>
      </w:r>
      <w:r>
        <w:rPr>
          <w:spacing w:val="-4"/>
          <w:w w:val="105"/>
          <w:position w:val="7"/>
          <w:sz w:val="12"/>
        </w:rPr>
        <w:t>57 </w:t>
      </w:r>
      <w:r>
        <w:rPr>
          <w:w w:val="105"/>
          <w:sz w:val="21"/>
        </w:rPr>
        <w:t>and Protection of </w:t>
      </w:r>
      <w:r>
        <w:rPr>
          <w:spacing w:val="-4"/>
          <w:w w:val="105"/>
          <w:sz w:val="21"/>
        </w:rPr>
        <w:t>Trees </w:t>
      </w:r>
      <w:r>
        <w:rPr>
          <w:w w:val="105"/>
          <w:sz w:val="21"/>
        </w:rPr>
        <w:t>on Development Sites</w:t>
      </w:r>
      <w:r>
        <w:rPr>
          <w:w w:val="105"/>
          <w:position w:val="7"/>
          <w:sz w:val="12"/>
        </w:rPr>
        <w:t>58 </w:t>
      </w:r>
      <w:r>
        <w:rPr>
          <w:w w:val="105"/>
          <w:sz w:val="21"/>
        </w:rPr>
        <w:t>and carried out by a suitably qualified</w:t>
      </w:r>
      <w:r>
        <w:rPr>
          <w:spacing w:val="-2"/>
          <w:w w:val="105"/>
          <w:sz w:val="21"/>
        </w:rPr>
        <w:t> </w:t>
      </w:r>
      <w:r>
        <w:rPr>
          <w:w w:val="105"/>
          <w:sz w:val="21"/>
        </w:rPr>
        <w:t>arborist.</w:t>
      </w:r>
    </w:p>
    <w:p>
      <w:pPr>
        <w:pStyle w:val="ListParagraph"/>
        <w:numPr>
          <w:ilvl w:val="1"/>
          <w:numId w:val="16"/>
        </w:numPr>
        <w:tabs>
          <w:tab w:pos="2381" w:val="left" w:leader="none"/>
          <w:tab w:pos="2382" w:val="left" w:leader="none"/>
        </w:tabs>
        <w:spacing w:line="242" w:lineRule="auto" w:before="123" w:after="0"/>
        <w:ind w:left="2381" w:right="1609" w:hanging="794"/>
        <w:jc w:val="left"/>
        <w:rPr>
          <w:sz w:val="21"/>
        </w:rPr>
      </w:pPr>
      <w:r>
        <w:rPr>
          <w:w w:val="105"/>
          <w:sz w:val="21"/>
        </w:rPr>
        <w:t>The </w:t>
      </w:r>
      <w:r>
        <w:rPr>
          <w:spacing w:val="-3"/>
          <w:w w:val="105"/>
          <w:sz w:val="21"/>
        </w:rPr>
        <w:t>Commission </w:t>
      </w:r>
      <w:r>
        <w:rPr>
          <w:w w:val="105"/>
          <w:sz w:val="21"/>
        </w:rPr>
        <w:t>is of the view </w:t>
      </w:r>
      <w:r>
        <w:rPr>
          <w:spacing w:val="-3"/>
          <w:w w:val="105"/>
          <w:sz w:val="21"/>
        </w:rPr>
        <w:t>that incorporating </w:t>
      </w:r>
      <w:r>
        <w:rPr>
          <w:w w:val="105"/>
          <w:sz w:val="21"/>
        </w:rPr>
        <w:t>the </w:t>
      </w:r>
      <w:r>
        <w:rPr>
          <w:spacing w:val="-3"/>
          <w:w w:val="105"/>
          <w:sz w:val="21"/>
        </w:rPr>
        <w:t>Australian Standards </w:t>
      </w:r>
      <w:r>
        <w:rPr>
          <w:spacing w:val="-4"/>
          <w:w w:val="105"/>
          <w:sz w:val="21"/>
        </w:rPr>
        <w:t>into </w:t>
      </w:r>
      <w:r>
        <w:rPr>
          <w:w w:val="105"/>
          <w:sz w:val="21"/>
        </w:rPr>
        <w:t>tree works ordered by the </w:t>
      </w:r>
      <w:r>
        <w:rPr>
          <w:spacing w:val="-5"/>
          <w:w w:val="105"/>
          <w:sz w:val="21"/>
        </w:rPr>
        <w:t>Tribunal </w:t>
      </w:r>
      <w:r>
        <w:rPr>
          <w:spacing w:val="-3"/>
          <w:w w:val="105"/>
          <w:sz w:val="21"/>
        </w:rPr>
        <w:t>will ensure that </w:t>
      </w:r>
      <w:r>
        <w:rPr>
          <w:w w:val="105"/>
          <w:sz w:val="21"/>
        </w:rPr>
        <w:t>those tree works </w:t>
      </w:r>
      <w:r>
        <w:rPr>
          <w:spacing w:val="-3"/>
          <w:w w:val="105"/>
          <w:sz w:val="21"/>
        </w:rPr>
        <w:t>are </w:t>
      </w:r>
      <w:r>
        <w:rPr>
          <w:w w:val="105"/>
          <w:sz w:val="21"/>
        </w:rPr>
        <w:t>more </w:t>
      </w:r>
      <w:r>
        <w:rPr>
          <w:spacing w:val="-4"/>
          <w:w w:val="105"/>
          <w:sz w:val="21"/>
        </w:rPr>
        <w:t>likely </w:t>
      </w:r>
      <w:r>
        <w:rPr>
          <w:spacing w:val="-3"/>
          <w:w w:val="105"/>
          <w:sz w:val="21"/>
        </w:rPr>
        <w:t>to </w:t>
      </w:r>
      <w:r>
        <w:rPr>
          <w:w w:val="105"/>
          <w:sz w:val="21"/>
        </w:rPr>
        <w:t>be effective and less </w:t>
      </w:r>
      <w:r>
        <w:rPr>
          <w:spacing w:val="-4"/>
          <w:w w:val="105"/>
          <w:sz w:val="21"/>
        </w:rPr>
        <w:t>likely </w:t>
      </w:r>
      <w:r>
        <w:rPr>
          <w:spacing w:val="-3"/>
          <w:w w:val="105"/>
          <w:sz w:val="21"/>
        </w:rPr>
        <w:t>to </w:t>
      </w:r>
      <w:r>
        <w:rPr>
          <w:w w:val="105"/>
          <w:sz w:val="21"/>
        </w:rPr>
        <w:t>damage the </w:t>
      </w:r>
      <w:r>
        <w:rPr>
          <w:spacing w:val="-3"/>
          <w:w w:val="105"/>
          <w:sz w:val="21"/>
        </w:rPr>
        <w:t>tree, thereby reducing </w:t>
      </w:r>
      <w:r>
        <w:rPr>
          <w:w w:val="105"/>
          <w:sz w:val="21"/>
        </w:rPr>
        <w:t>the </w:t>
      </w:r>
      <w:r>
        <w:rPr>
          <w:spacing w:val="-3"/>
          <w:w w:val="105"/>
          <w:sz w:val="21"/>
        </w:rPr>
        <w:t>likelihood </w:t>
      </w:r>
      <w:r>
        <w:rPr>
          <w:w w:val="105"/>
          <w:sz w:val="21"/>
        </w:rPr>
        <w:t>of </w:t>
      </w:r>
      <w:r>
        <w:rPr>
          <w:spacing w:val="-3"/>
          <w:w w:val="105"/>
          <w:sz w:val="21"/>
        </w:rPr>
        <w:t>future problems.  </w:t>
      </w:r>
      <w:r>
        <w:rPr>
          <w:w w:val="105"/>
          <w:sz w:val="21"/>
        </w:rPr>
        <w:t>The new Act should </w:t>
      </w:r>
      <w:r>
        <w:rPr>
          <w:spacing w:val="-3"/>
          <w:w w:val="105"/>
          <w:sz w:val="21"/>
        </w:rPr>
        <w:t>refer to </w:t>
      </w:r>
      <w:r>
        <w:rPr>
          <w:w w:val="105"/>
          <w:sz w:val="21"/>
        </w:rPr>
        <w:t>the </w:t>
      </w:r>
      <w:r>
        <w:rPr>
          <w:spacing w:val="-3"/>
          <w:w w:val="105"/>
          <w:sz w:val="21"/>
        </w:rPr>
        <w:t>Australian Standards generally rather than </w:t>
      </w:r>
      <w:r>
        <w:rPr>
          <w:w w:val="105"/>
          <w:sz w:val="21"/>
        </w:rPr>
        <w:t>list them specifically because the </w:t>
      </w:r>
      <w:r>
        <w:rPr>
          <w:spacing w:val="-3"/>
          <w:w w:val="105"/>
          <w:sz w:val="21"/>
        </w:rPr>
        <w:t>relevant </w:t>
      </w:r>
      <w:r>
        <w:rPr>
          <w:w w:val="105"/>
          <w:sz w:val="21"/>
        </w:rPr>
        <w:t>standards </w:t>
      </w:r>
      <w:r>
        <w:rPr>
          <w:spacing w:val="-3"/>
          <w:w w:val="105"/>
          <w:sz w:val="21"/>
        </w:rPr>
        <w:t>may change </w:t>
      </w:r>
      <w:r>
        <w:rPr>
          <w:w w:val="105"/>
          <w:sz w:val="21"/>
        </w:rPr>
        <w:t>over</w:t>
      </w:r>
      <w:r>
        <w:rPr>
          <w:spacing w:val="25"/>
          <w:w w:val="105"/>
          <w:sz w:val="21"/>
        </w:rPr>
        <w:t> </w:t>
      </w:r>
      <w:r>
        <w:rPr>
          <w:spacing w:val="-3"/>
          <w:w w:val="105"/>
          <w:sz w:val="21"/>
        </w:rPr>
        <w:t>time.</w:t>
      </w:r>
    </w:p>
    <w:p>
      <w:pPr>
        <w:pStyle w:val="ListParagraph"/>
        <w:numPr>
          <w:ilvl w:val="1"/>
          <w:numId w:val="16"/>
        </w:numPr>
        <w:tabs>
          <w:tab w:pos="2381" w:val="left" w:leader="none"/>
          <w:tab w:pos="2382" w:val="left" w:leader="none"/>
        </w:tabs>
        <w:spacing w:line="242" w:lineRule="auto" w:before="126" w:after="0"/>
        <w:ind w:left="2381" w:right="1703" w:hanging="794"/>
        <w:jc w:val="left"/>
        <w:rPr>
          <w:sz w:val="21"/>
        </w:rPr>
      </w:pPr>
      <w:r>
        <w:rPr>
          <w:w w:val="105"/>
          <w:sz w:val="21"/>
        </w:rPr>
        <w:t>Some </w:t>
      </w:r>
      <w:r>
        <w:rPr>
          <w:spacing w:val="-3"/>
          <w:w w:val="105"/>
          <w:sz w:val="21"/>
        </w:rPr>
        <w:t>councils </w:t>
      </w:r>
      <w:r>
        <w:rPr>
          <w:w w:val="105"/>
          <w:sz w:val="21"/>
        </w:rPr>
        <w:t>advise community members </w:t>
      </w:r>
      <w:r>
        <w:rPr>
          <w:spacing w:val="-3"/>
          <w:w w:val="105"/>
          <w:sz w:val="21"/>
        </w:rPr>
        <w:t>to </w:t>
      </w:r>
      <w:r>
        <w:rPr>
          <w:w w:val="105"/>
          <w:sz w:val="21"/>
        </w:rPr>
        <w:t>prune in </w:t>
      </w:r>
      <w:r>
        <w:rPr>
          <w:spacing w:val="-3"/>
          <w:w w:val="105"/>
          <w:sz w:val="21"/>
        </w:rPr>
        <w:t>accordance </w:t>
      </w:r>
      <w:r>
        <w:rPr>
          <w:w w:val="105"/>
          <w:sz w:val="21"/>
        </w:rPr>
        <w:t>with the </w:t>
      </w:r>
      <w:r>
        <w:rPr>
          <w:spacing w:val="-3"/>
          <w:w w:val="105"/>
          <w:sz w:val="21"/>
        </w:rPr>
        <w:t>Standards </w:t>
      </w:r>
      <w:r>
        <w:rPr>
          <w:w w:val="105"/>
          <w:sz w:val="21"/>
        </w:rPr>
        <w:t>and </w:t>
      </w:r>
      <w:r>
        <w:rPr>
          <w:spacing w:val="-3"/>
          <w:w w:val="105"/>
          <w:sz w:val="21"/>
        </w:rPr>
        <w:t>that </w:t>
      </w:r>
      <w:r>
        <w:rPr>
          <w:spacing w:val="-4"/>
          <w:w w:val="105"/>
          <w:sz w:val="21"/>
        </w:rPr>
        <w:t>failure </w:t>
      </w:r>
      <w:r>
        <w:rPr>
          <w:spacing w:val="-3"/>
          <w:w w:val="105"/>
          <w:sz w:val="21"/>
        </w:rPr>
        <w:t>to </w:t>
      </w:r>
      <w:r>
        <w:rPr>
          <w:w w:val="105"/>
          <w:sz w:val="21"/>
        </w:rPr>
        <w:t>do so </w:t>
      </w:r>
      <w:r>
        <w:rPr>
          <w:spacing w:val="-3"/>
          <w:w w:val="105"/>
          <w:sz w:val="21"/>
        </w:rPr>
        <w:t>may result </w:t>
      </w:r>
      <w:r>
        <w:rPr>
          <w:w w:val="105"/>
          <w:sz w:val="21"/>
        </w:rPr>
        <w:t>in damage </w:t>
      </w:r>
      <w:r>
        <w:rPr>
          <w:spacing w:val="-3"/>
          <w:w w:val="105"/>
          <w:sz w:val="21"/>
        </w:rPr>
        <w:t>to </w:t>
      </w:r>
      <w:r>
        <w:rPr>
          <w:w w:val="105"/>
          <w:sz w:val="21"/>
        </w:rPr>
        <w:t>the </w:t>
      </w:r>
      <w:r>
        <w:rPr>
          <w:spacing w:val="-3"/>
          <w:w w:val="105"/>
          <w:sz w:val="21"/>
        </w:rPr>
        <w:t>tree. </w:t>
      </w:r>
      <w:r>
        <w:rPr>
          <w:w w:val="105"/>
          <w:sz w:val="21"/>
        </w:rPr>
        <w:t>It was suggested </w:t>
      </w:r>
      <w:r>
        <w:rPr>
          <w:spacing w:val="-3"/>
          <w:w w:val="105"/>
          <w:sz w:val="21"/>
        </w:rPr>
        <w:t>that </w:t>
      </w:r>
      <w:r>
        <w:rPr>
          <w:w w:val="105"/>
          <w:sz w:val="21"/>
        </w:rPr>
        <w:t>the best </w:t>
      </w:r>
      <w:r>
        <w:rPr>
          <w:spacing w:val="-3"/>
          <w:w w:val="105"/>
          <w:sz w:val="21"/>
        </w:rPr>
        <w:t>way to </w:t>
      </w:r>
      <w:r>
        <w:rPr>
          <w:w w:val="105"/>
          <w:sz w:val="21"/>
        </w:rPr>
        <w:t>satisfy the </w:t>
      </w:r>
      <w:r>
        <w:rPr>
          <w:spacing w:val="-3"/>
          <w:w w:val="105"/>
          <w:sz w:val="21"/>
        </w:rPr>
        <w:t>Standards </w:t>
      </w:r>
      <w:r>
        <w:rPr>
          <w:w w:val="105"/>
          <w:sz w:val="21"/>
        </w:rPr>
        <w:t>is </w:t>
      </w:r>
      <w:r>
        <w:rPr>
          <w:spacing w:val="-3"/>
          <w:w w:val="105"/>
          <w:sz w:val="21"/>
        </w:rPr>
        <w:t>to hire </w:t>
      </w:r>
      <w:r>
        <w:rPr>
          <w:w w:val="105"/>
          <w:sz w:val="21"/>
        </w:rPr>
        <w:t>an arborist.</w:t>
      </w:r>
      <w:r>
        <w:rPr>
          <w:w w:val="105"/>
          <w:position w:val="7"/>
          <w:sz w:val="12"/>
        </w:rPr>
        <w:t>59 </w:t>
      </w:r>
      <w:r>
        <w:rPr>
          <w:spacing w:val="-5"/>
          <w:w w:val="105"/>
          <w:sz w:val="21"/>
        </w:rPr>
        <w:t>VCAT </w:t>
      </w:r>
      <w:r>
        <w:rPr>
          <w:w w:val="105"/>
          <w:sz w:val="21"/>
        </w:rPr>
        <w:t>was supportive of </w:t>
      </w:r>
      <w:r>
        <w:rPr>
          <w:spacing w:val="-3"/>
          <w:w w:val="105"/>
          <w:sz w:val="21"/>
        </w:rPr>
        <w:t>any </w:t>
      </w:r>
      <w:r>
        <w:rPr>
          <w:w w:val="105"/>
          <w:sz w:val="21"/>
        </w:rPr>
        <w:t>works ordered under a new Act </w:t>
      </w:r>
      <w:r>
        <w:rPr>
          <w:spacing w:val="-3"/>
          <w:w w:val="105"/>
          <w:sz w:val="21"/>
        </w:rPr>
        <w:t>to </w:t>
      </w:r>
      <w:r>
        <w:rPr>
          <w:w w:val="105"/>
          <w:sz w:val="21"/>
        </w:rPr>
        <w:t>be carried out by a person with </w:t>
      </w:r>
      <w:r>
        <w:rPr>
          <w:spacing w:val="-3"/>
          <w:w w:val="105"/>
          <w:sz w:val="21"/>
        </w:rPr>
        <w:t>relevant</w:t>
      </w:r>
      <w:r>
        <w:rPr>
          <w:spacing w:val="-13"/>
          <w:w w:val="105"/>
          <w:sz w:val="21"/>
        </w:rPr>
        <w:t> </w:t>
      </w:r>
      <w:r>
        <w:rPr>
          <w:w w:val="105"/>
          <w:sz w:val="21"/>
        </w:rPr>
        <w:t>expertise.</w:t>
      </w:r>
      <w:r>
        <w:rPr>
          <w:w w:val="105"/>
          <w:position w:val="7"/>
          <w:sz w:val="12"/>
        </w:rPr>
        <w:t>60</w:t>
      </w:r>
    </w:p>
    <w:p>
      <w:pPr>
        <w:pStyle w:val="ListParagraph"/>
        <w:numPr>
          <w:ilvl w:val="1"/>
          <w:numId w:val="16"/>
        </w:numPr>
        <w:tabs>
          <w:tab w:pos="2380" w:val="left" w:leader="none"/>
          <w:tab w:pos="2381" w:val="left" w:leader="none"/>
        </w:tabs>
        <w:spacing w:line="242" w:lineRule="auto" w:before="124" w:after="0"/>
        <w:ind w:left="2380" w:right="1720" w:hanging="793"/>
        <w:jc w:val="left"/>
        <w:rPr>
          <w:sz w:val="21"/>
        </w:rPr>
      </w:pPr>
      <w:r>
        <w:rPr>
          <w:w w:val="105"/>
          <w:sz w:val="21"/>
        </w:rPr>
        <w:t>A suitably qualified arborist is </w:t>
      </w:r>
      <w:r>
        <w:rPr>
          <w:spacing w:val="-4"/>
          <w:w w:val="105"/>
          <w:sz w:val="21"/>
        </w:rPr>
        <w:t>likely </w:t>
      </w:r>
      <w:r>
        <w:rPr>
          <w:spacing w:val="-3"/>
          <w:w w:val="105"/>
          <w:sz w:val="21"/>
        </w:rPr>
        <w:t>to </w:t>
      </w:r>
      <w:r>
        <w:rPr>
          <w:w w:val="105"/>
          <w:sz w:val="21"/>
        </w:rPr>
        <w:t>hold a </w:t>
      </w:r>
      <w:r>
        <w:rPr>
          <w:spacing w:val="-2"/>
          <w:w w:val="105"/>
          <w:sz w:val="21"/>
        </w:rPr>
        <w:t>qualification </w:t>
      </w:r>
      <w:r>
        <w:rPr>
          <w:spacing w:val="-3"/>
          <w:w w:val="105"/>
          <w:sz w:val="21"/>
        </w:rPr>
        <w:t>equivalent to </w:t>
      </w:r>
      <w:r>
        <w:rPr>
          <w:w w:val="105"/>
          <w:sz w:val="21"/>
        </w:rPr>
        <w:t>Level 3 of the </w:t>
      </w:r>
      <w:r>
        <w:rPr>
          <w:spacing w:val="-3"/>
          <w:w w:val="105"/>
          <w:sz w:val="21"/>
        </w:rPr>
        <w:t>Australian </w:t>
      </w:r>
      <w:r>
        <w:rPr>
          <w:w w:val="105"/>
          <w:sz w:val="21"/>
        </w:rPr>
        <w:t>Qualification </w:t>
      </w:r>
      <w:r>
        <w:rPr>
          <w:spacing w:val="-3"/>
          <w:w w:val="105"/>
          <w:sz w:val="21"/>
        </w:rPr>
        <w:t>Framework </w:t>
      </w:r>
      <w:r>
        <w:rPr>
          <w:w w:val="105"/>
          <w:sz w:val="21"/>
        </w:rPr>
        <w:t>(AQF),</w:t>
      </w:r>
      <w:r>
        <w:rPr>
          <w:w w:val="105"/>
          <w:position w:val="7"/>
          <w:sz w:val="12"/>
        </w:rPr>
        <w:t>61 </w:t>
      </w:r>
      <w:r>
        <w:rPr>
          <w:spacing w:val="-3"/>
          <w:w w:val="105"/>
          <w:sz w:val="21"/>
        </w:rPr>
        <w:t>to </w:t>
      </w:r>
      <w:r>
        <w:rPr>
          <w:w w:val="105"/>
          <w:sz w:val="21"/>
        </w:rPr>
        <w:t>prune or </w:t>
      </w:r>
      <w:r>
        <w:rPr>
          <w:spacing w:val="-3"/>
          <w:w w:val="105"/>
          <w:sz w:val="21"/>
        </w:rPr>
        <w:t>remove </w:t>
      </w:r>
      <w:r>
        <w:rPr>
          <w:w w:val="105"/>
          <w:sz w:val="21"/>
        </w:rPr>
        <w:t>a </w:t>
      </w:r>
      <w:r>
        <w:rPr>
          <w:spacing w:val="-3"/>
          <w:w w:val="105"/>
          <w:sz w:val="21"/>
        </w:rPr>
        <w:t>tree, </w:t>
      </w:r>
      <w:r>
        <w:rPr>
          <w:w w:val="105"/>
          <w:sz w:val="21"/>
        </w:rPr>
        <w:t>or a </w:t>
      </w:r>
      <w:r>
        <w:rPr>
          <w:spacing w:val="-2"/>
          <w:w w:val="105"/>
          <w:sz w:val="21"/>
        </w:rPr>
        <w:t>qualification </w:t>
      </w:r>
      <w:r>
        <w:rPr>
          <w:w w:val="105"/>
          <w:sz w:val="21"/>
        </w:rPr>
        <w:t>of</w:t>
      </w:r>
      <w:r>
        <w:rPr>
          <w:spacing w:val="-10"/>
          <w:w w:val="105"/>
          <w:sz w:val="21"/>
        </w:rPr>
        <w:t> </w:t>
      </w:r>
      <w:r>
        <w:rPr>
          <w:w w:val="105"/>
          <w:sz w:val="21"/>
        </w:rPr>
        <w:t>AQF</w:t>
      </w:r>
      <w:r>
        <w:rPr>
          <w:spacing w:val="-10"/>
          <w:w w:val="105"/>
          <w:sz w:val="21"/>
        </w:rPr>
        <w:t> </w:t>
      </w:r>
      <w:r>
        <w:rPr>
          <w:w w:val="105"/>
          <w:sz w:val="21"/>
        </w:rPr>
        <w:t>Level</w:t>
      </w:r>
      <w:r>
        <w:rPr>
          <w:spacing w:val="-9"/>
          <w:w w:val="105"/>
          <w:sz w:val="21"/>
        </w:rPr>
        <w:t> </w:t>
      </w:r>
      <w:r>
        <w:rPr>
          <w:w w:val="105"/>
          <w:sz w:val="21"/>
        </w:rPr>
        <w:t>5</w:t>
      </w:r>
      <w:r>
        <w:rPr>
          <w:spacing w:val="-10"/>
          <w:w w:val="105"/>
          <w:sz w:val="21"/>
        </w:rPr>
        <w:t> </w:t>
      </w:r>
      <w:r>
        <w:rPr>
          <w:spacing w:val="-3"/>
          <w:w w:val="105"/>
          <w:sz w:val="21"/>
        </w:rPr>
        <w:t>for</w:t>
      </w:r>
      <w:r>
        <w:rPr>
          <w:spacing w:val="-10"/>
          <w:w w:val="105"/>
          <w:sz w:val="21"/>
        </w:rPr>
        <w:t> </w:t>
      </w:r>
      <w:r>
        <w:rPr>
          <w:w w:val="105"/>
          <w:sz w:val="21"/>
        </w:rPr>
        <w:t>more</w:t>
      </w:r>
      <w:r>
        <w:rPr>
          <w:spacing w:val="-9"/>
          <w:w w:val="105"/>
          <w:sz w:val="21"/>
        </w:rPr>
        <w:t> </w:t>
      </w:r>
      <w:r>
        <w:rPr>
          <w:w w:val="105"/>
          <w:sz w:val="21"/>
        </w:rPr>
        <w:t>complex</w:t>
      </w:r>
      <w:r>
        <w:rPr>
          <w:spacing w:val="-10"/>
          <w:w w:val="105"/>
          <w:sz w:val="21"/>
        </w:rPr>
        <w:t> </w:t>
      </w:r>
      <w:r>
        <w:rPr>
          <w:w w:val="105"/>
          <w:sz w:val="21"/>
        </w:rPr>
        <w:t>tree</w:t>
      </w:r>
      <w:r>
        <w:rPr>
          <w:spacing w:val="-9"/>
          <w:w w:val="105"/>
          <w:sz w:val="21"/>
        </w:rPr>
        <w:t> </w:t>
      </w:r>
      <w:r>
        <w:rPr>
          <w:w w:val="105"/>
          <w:sz w:val="21"/>
        </w:rPr>
        <w:t>issues</w:t>
      </w:r>
      <w:r>
        <w:rPr>
          <w:spacing w:val="-10"/>
          <w:w w:val="105"/>
          <w:sz w:val="21"/>
        </w:rPr>
        <w:t> </w:t>
      </w:r>
      <w:r>
        <w:rPr>
          <w:spacing w:val="-3"/>
          <w:w w:val="105"/>
          <w:sz w:val="21"/>
        </w:rPr>
        <w:t>involving</w:t>
      </w:r>
      <w:r>
        <w:rPr>
          <w:spacing w:val="-10"/>
          <w:w w:val="105"/>
          <w:sz w:val="21"/>
        </w:rPr>
        <w:t> </w:t>
      </w:r>
      <w:r>
        <w:rPr>
          <w:w w:val="105"/>
          <w:sz w:val="21"/>
        </w:rPr>
        <w:t>an</w:t>
      </w:r>
      <w:r>
        <w:rPr>
          <w:spacing w:val="-9"/>
          <w:w w:val="105"/>
          <w:sz w:val="21"/>
        </w:rPr>
        <w:t> </w:t>
      </w:r>
      <w:r>
        <w:rPr>
          <w:w w:val="105"/>
          <w:sz w:val="21"/>
        </w:rPr>
        <w:t>assessment</w:t>
      </w:r>
      <w:r>
        <w:rPr>
          <w:spacing w:val="-10"/>
          <w:w w:val="105"/>
          <w:sz w:val="21"/>
        </w:rPr>
        <w:t> </w:t>
      </w:r>
      <w:r>
        <w:rPr>
          <w:w w:val="105"/>
          <w:sz w:val="21"/>
        </w:rPr>
        <w:t>of</w:t>
      </w:r>
      <w:r>
        <w:rPr>
          <w:spacing w:val="-10"/>
          <w:w w:val="105"/>
          <w:sz w:val="21"/>
        </w:rPr>
        <w:t> </w:t>
      </w:r>
      <w:r>
        <w:rPr>
          <w:w w:val="105"/>
          <w:sz w:val="21"/>
        </w:rPr>
        <w:t>whether</w:t>
      </w:r>
      <w:r>
        <w:rPr>
          <w:spacing w:val="-9"/>
          <w:w w:val="105"/>
          <w:sz w:val="21"/>
        </w:rPr>
        <w:t> </w:t>
      </w:r>
      <w:r>
        <w:rPr>
          <w:w w:val="105"/>
          <w:sz w:val="21"/>
        </w:rPr>
        <w:t>the</w:t>
      </w:r>
      <w:r>
        <w:rPr>
          <w:spacing w:val="-10"/>
          <w:w w:val="105"/>
          <w:sz w:val="21"/>
        </w:rPr>
        <w:t> </w:t>
      </w:r>
      <w:r>
        <w:rPr>
          <w:w w:val="105"/>
          <w:sz w:val="21"/>
        </w:rPr>
        <w:t>tree </w:t>
      </w:r>
      <w:r>
        <w:rPr>
          <w:spacing w:val="-3"/>
          <w:w w:val="105"/>
          <w:sz w:val="21"/>
        </w:rPr>
        <w:t>may </w:t>
      </w:r>
      <w:r>
        <w:rPr>
          <w:spacing w:val="-4"/>
          <w:w w:val="105"/>
          <w:sz w:val="21"/>
        </w:rPr>
        <w:t>fail. </w:t>
      </w:r>
      <w:r>
        <w:rPr>
          <w:w w:val="105"/>
          <w:sz w:val="21"/>
        </w:rPr>
        <w:t>AQF Level 5 arborists </w:t>
      </w:r>
      <w:r>
        <w:rPr>
          <w:spacing w:val="-3"/>
          <w:w w:val="105"/>
          <w:sz w:val="21"/>
        </w:rPr>
        <w:t>are trained to </w:t>
      </w:r>
      <w:r>
        <w:rPr>
          <w:w w:val="105"/>
          <w:sz w:val="21"/>
        </w:rPr>
        <w:t>draft expert</w:t>
      </w:r>
      <w:r>
        <w:rPr>
          <w:spacing w:val="41"/>
          <w:w w:val="105"/>
          <w:sz w:val="21"/>
        </w:rPr>
        <w:t> </w:t>
      </w:r>
      <w:r>
        <w:rPr>
          <w:w w:val="105"/>
          <w:sz w:val="21"/>
        </w:rPr>
        <w:t>reports.</w:t>
      </w:r>
      <w:r>
        <w:rPr>
          <w:w w:val="105"/>
          <w:position w:val="7"/>
          <w:sz w:val="12"/>
        </w:rPr>
        <w:t>62</w:t>
      </w:r>
    </w:p>
    <w:p>
      <w:pPr>
        <w:pStyle w:val="ListParagraph"/>
        <w:numPr>
          <w:ilvl w:val="1"/>
          <w:numId w:val="16"/>
        </w:numPr>
        <w:tabs>
          <w:tab w:pos="2381" w:val="left" w:leader="none"/>
          <w:tab w:pos="2382" w:val="left" w:leader="none"/>
        </w:tabs>
        <w:spacing w:line="242" w:lineRule="auto" w:before="125" w:after="0"/>
        <w:ind w:left="2381" w:right="1937" w:hanging="794"/>
        <w:jc w:val="left"/>
        <w:rPr>
          <w:sz w:val="21"/>
        </w:rPr>
      </w:pPr>
      <w:r>
        <w:rPr>
          <w:sz w:val="21"/>
        </w:rPr>
        <w:t>The NSWLEC typically </w:t>
      </w:r>
      <w:r>
        <w:rPr>
          <w:spacing w:val="-3"/>
          <w:sz w:val="21"/>
        </w:rPr>
        <w:t>requires </w:t>
      </w:r>
      <w:r>
        <w:rPr>
          <w:sz w:val="21"/>
        </w:rPr>
        <w:t>orders </w:t>
      </w:r>
      <w:r>
        <w:rPr>
          <w:spacing w:val="-3"/>
          <w:sz w:val="21"/>
        </w:rPr>
        <w:t>for pruning </w:t>
      </w:r>
      <w:r>
        <w:rPr>
          <w:sz w:val="21"/>
        </w:rPr>
        <w:t>or tree </w:t>
      </w:r>
      <w:r>
        <w:rPr>
          <w:spacing w:val="-3"/>
          <w:sz w:val="21"/>
        </w:rPr>
        <w:t>removal to  </w:t>
      </w:r>
      <w:r>
        <w:rPr>
          <w:sz w:val="21"/>
        </w:rPr>
        <w:t>be undertaken by  an AQF Level 3 arborist with </w:t>
      </w:r>
      <w:r>
        <w:rPr>
          <w:spacing w:val="-3"/>
          <w:sz w:val="21"/>
        </w:rPr>
        <w:t>appropriate </w:t>
      </w:r>
      <w:r>
        <w:rPr>
          <w:spacing w:val="-4"/>
          <w:sz w:val="21"/>
        </w:rPr>
        <w:t>insurance </w:t>
      </w:r>
      <w:r>
        <w:rPr>
          <w:spacing w:val="-3"/>
          <w:sz w:val="21"/>
        </w:rPr>
        <w:t>cover </w:t>
      </w:r>
      <w:r>
        <w:rPr>
          <w:sz w:val="21"/>
        </w:rPr>
        <w:t>and in </w:t>
      </w:r>
      <w:r>
        <w:rPr>
          <w:spacing w:val="-3"/>
          <w:sz w:val="21"/>
        </w:rPr>
        <w:t>compliance </w:t>
      </w:r>
      <w:r>
        <w:rPr>
          <w:sz w:val="21"/>
        </w:rPr>
        <w:t>with</w:t>
      </w:r>
      <w:r>
        <w:rPr>
          <w:spacing w:val="33"/>
          <w:sz w:val="21"/>
        </w:rPr>
        <w:t> </w:t>
      </w:r>
      <w:r>
        <w:rPr>
          <w:sz w:val="21"/>
        </w:rPr>
        <w:t>the</w:t>
      </w:r>
    </w:p>
    <w:p>
      <w:pPr>
        <w:pStyle w:val="BodyText"/>
        <w:spacing w:before="2"/>
        <w:rPr>
          <w:sz w:val="20"/>
        </w:rPr>
      </w:pPr>
      <w:r>
        <w:rPr/>
        <w:pict>
          <v:line style="position:absolute;mso-position-horizontal-relative:page;mso-position-vertical-relative:paragraph;z-index:8576;mso-wrap-distance-left:0;mso-wrap-distance-right:0" from="79.370003pt,14.794133pt" to="515.905003pt,14.79413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44"/>
        </w:numPr>
        <w:tabs>
          <w:tab w:pos="2380" w:val="left" w:leader="none"/>
          <w:tab w:pos="2382" w:val="left" w:leader="none"/>
        </w:tabs>
        <w:spacing w:line="240" w:lineRule="auto" w:before="48"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144"/>
        </w:numPr>
        <w:tabs>
          <w:tab w:pos="2381" w:val="left" w:leader="none"/>
          <w:tab w:pos="2382" w:val="left" w:leader="none"/>
        </w:tabs>
        <w:spacing w:line="240" w:lineRule="auto" w:before="1" w:after="0"/>
        <w:ind w:left="2381" w:right="0" w:hanging="794"/>
        <w:jc w:val="left"/>
        <w:rPr>
          <w:sz w:val="13"/>
        </w:rPr>
      </w:pPr>
      <w:r>
        <w:rPr>
          <w:i/>
          <w:w w:val="105"/>
          <w:sz w:val="13"/>
        </w:rPr>
        <w:t>Trees (Disputes Between Neighbours) Act 2006 </w:t>
      </w:r>
      <w:r>
        <w:rPr>
          <w:spacing w:val="3"/>
          <w:w w:val="105"/>
          <w:sz w:val="13"/>
        </w:rPr>
        <w:t>(NSW) </w:t>
      </w:r>
      <w:r>
        <w:rPr>
          <w:w w:val="105"/>
          <w:sz w:val="13"/>
        </w:rPr>
        <w:t>s</w:t>
      </w:r>
      <w:r>
        <w:rPr>
          <w:spacing w:val="5"/>
          <w:w w:val="105"/>
          <w:sz w:val="13"/>
        </w:rPr>
        <w:t> </w:t>
      </w:r>
      <w:r>
        <w:rPr>
          <w:spacing w:val="2"/>
          <w:w w:val="105"/>
          <w:sz w:val="13"/>
        </w:rPr>
        <w:t>16(2).</w:t>
      </w:r>
    </w:p>
    <w:p>
      <w:pPr>
        <w:pStyle w:val="ListParagraph"/>
        <w:numPr>
          <w:ilvl w:val="0"/>
          <w:numId w:val="144"/>
        </w:numPr>
        <w:tabs>
          <w:tab w:pos="2381" w:val="left" w:leader="none"/>
          <w:tab w:pos="2382" w:val="left" w:leader="none"/>
        </w:tabs>
        <w:spacing w:line="240" w:lineRule="auto" w:before="2" w:after="0"/>
        <w:ind w:left="2381" w:right="0" w:hanging="794"/>
        <w:jc w:val="left"/>
        <w:rPr>
          <w:sz w:val="13"/>
        </w:rPr>
      </w:pPr>
      <w:r>
        <w:rPr>
          <w:w w:val="105"/>
          <w:sz w:val="13"/>
        </w:rPr>
        <w:t>Ibid s</w:t>
      </w:r>
      <w:r>
        <w:rPr>
          <w:spacing w:val="9"/>
          <w:w w:val="105"/>
          <w:sz w:val="13"/>
        </w:rPr>
        <w:t> </w:t>
      </w:r>
      <w:r>
        <w:rPr>
          <w:w w:val="105"/>
          <w:sz w:val="13"/>
        </w:rPr>
        <w:t>16A.</w:t>
      </w:r>
    </w:p>
    <w:p>
      <w:pPr>
        <w:pStyle w:val="ListParagraph"/>
        <w:numPr>
          <w:ilvl w:val="0"/>
          <w:numId w:val="144"/>
        </w:numPr>
        <w:tabs>
          <w:tab w:pos="2381" w:val="left" w:leader="none"/>
          <w:tab w:pos="2382" w:val="left" w:leader="none"/>
        </w:tabs>
        <w:spacing w:line="240" w:lineRule="auto" w:before="1" w:after="0"/>
        <w:ind w:left="2381" w:right="0" w:hanging="794"/>
        <w:jc w:val="left"/>
        <w:rPr>
          <w:sz w:val="13"/>
        </w:rPr>
      </w:pPr>
      <w:r>
        <w:rPr>
          <w:w w:val="105"/>
          <w:sz w:val="13"/>
        </w:rPr>
        <w:t>Consultation</w:t>
      </w:r>
      <w:r>
        <w:rPr>
          <w:spacing w:val="9"/>
          <w:w w:val="105"/>
          <w:sz w:val="13"/>
        </w:rPr>
        <w:t> </w:t>
      </w:r>
      <w:r>
        <w:rPr>
          <w:spacing w:val="-3"/>
          <w:w w:val="105"/>
          <w:sz w:val="13"/>
        </w:rPr>
        <w:t>15</w:t>
      </w:r>
      <w:r>
        <w:rPr>
          <w:spacing w:val="9"/>
          <w:w w:val="105"/>
          <w:sz w:val="13"/>
        </w:rPr>
        <w:t> </w:t>
      </w:r>
      <w:r>
        <w:rPr>
          <w:w w:val="105"/>
          <w:sz w:val="13"/>
        </w:rPr>
        <w:t>(Queensland</w:t>
      </w:r>
      <w:r>
        <w:rPr>
          <w:spacing w:val="10"/>
          <w:w w:val="105"/>
          <w:sz w:val="13"/>
        </w:rPr>
        <w:t> </w:t>
      </w:r>
      <w:r>
        <w:rPr>
          <w:w w:val="105"/>
          <w:sz w:val="13"/>
        </w:rPr>
        <w:t>Civil</w:t>
      </w:r>
      <w:r>
        <w:rPr>
          <w:spacing w:val="9"/>
          <w:w w:val="105"/>
          <w:sz w:val="13"/>
        </w:rPr>
        <w:t> </w:t>
      </w:r>
      <w:r>
        <w:rPr>
          <w:w w:val="105"/>
          <w:sz w:val="13"/>
        </w:rPr>
        <w:t>and</w:t>
      </w:r>
      <w:r>
        <w:rPr>
          <w:spacing w:val="9"/>
          <w:w w:val="105"/>
          <w:sz w:val="13"/>
        </w:rPr>
        <w:t> </w:t>
      </w:r>
      <w:r>
        <w:rPr>
          <w:w w:val="105"/>
          <w:sz w:val="13"/>
        </w:rPr>
        <w:t>Administrative</w:t>
      </w:r>
      <w:r>
        <w:rPr>
          <w:spacing w:val="10"/>
          <w:w w:val="105"/>
          <w:sz w:val="13"/>
        </w:rPr>
        <w:t> </w:t>
      </w:r>
      <w:r>
        <w:rPr>
          <w:w w:val="105"/>
          <w:sz w:val="13"/>
        </w:rPr>
        <w:t>Tribunal);</w:t>
      </w:r>
      <w:r>
        <w:rPr>
          <w:spacing w:val="9"/>
          <w:w w:val="105"/>
          <w:sz w:val="13"/>
        </w:rPr>
        <w:t> </w:t>
      </w:r>
      <w:r>
        <w:rPr>
          <w:i/>
          <w:w w:val="105"/>
          <w:sz w:val="13"/>
        </w:rPr>
        <w:t>Neighbourhood</w:t>
      </w:r>
      <w:r>
        <w:rPr>
          <w:i/>
          <w:spacing w:val="9"/>
          <w:w w:val="105"/>
          <w:sz w:val="13"/>
        </w:rPr>
        <w:t> </w:t>
      </w:r>
      <w:r>
        <w:rPr>
          <w:i/>
          <w:w w:val="105"/>
          <w:sz w:val="13"/>
        </w:rPr>
        <w:t>Disputes</w:t>
      </w:r>
      <w:r>
        <w:rPr>
          <w:i/>
          <w:spacing w:val="10"/>
          <w:w w:val="105"/>
          <w:sz w:val="13"/>
        </w:rPr>
        <w:t> </w:t>
      </w:r>
      <w:r>
        <w:rPr>
          <w:i/>
          <w:w w:val="105"/>
          <w:sz w:val="13"/>
        </w:rPr>
        <w:t>(Dividing</w:t>
      </w:r>
      <w:r>
        <w:rPr>
          <w:i/>
          <w:spacing w:val="9"/>
          <w:w w:val="105"/>
          <w:sz w:val="13"/>
        </w:rPr>
        <w:t> </w:t>
      </w:r>
      <w:r>
        <w:rPr>
          <w:i/>
          <w:w w:val="105"/>
          <w:sz w:val="13"/>
        </w:rPr>
        <w:t>Fences</w:t>
      </w:r>
      <w:r>
        <w:rPr>
          <w:i/>
          <w:spacing w:val="9"/>
          <w:w w:val="105"/>
          <w:sz w:val="13"/>
        </w:rPr>
        <w:t> </w:t>
      </w:r>
      <w:r>
        <w:rPr>
          <w:i/>
          <w:w w:val="105"/>
          <w:sz w:val="13"/>
        </w:rPr>
        <w:t>and</w:t>
      </w:r>
      <w:r>
        <w:rPr>
          <w:i/>
          <w:spacing w:val="10"/>
          <w:w w:val="105"/>
          <w:sz w:val="13"/>
        </w:rPr>
        <w:t> </w:t>
      </w:r>
      <w:r>
        <w:rPr>
          <w:i/>
          <w:w w:val="105"/>
          <w:sz w:val="13"/>
        </w:rPr>
        <w:t>Trees)</w:t>
      </w:r>
      <w:r>
        <w:rPr>
          <w:i/>
          <w:spacing w:val="9"/>
          <w:w w:val="105"/>
          <w:sz w:val="13"/>
        </w:rPr>
        <w:t> </w:t>
      </w:r>
      <w:r>
        <w:rPr>
          <w:i/>
          <w:w w:val="105"/>
          <w:sz w:val="13"/>
        </w:rPr>
        <w:t>Act</w:t>
      </w:r>
      <w:r>
        <w:rPr>
          <w:i/>
          <w:spacing w:val="10"/>
          <w:w w:val="105"/>
          <w:sz w:val="13"/>
        </w:rPr>
        <w:t> </w:t>
      </w:r>
      <w:r>
        <w:rPr>
          <w:i/>
          <w:spacing w:val="-4"/>
          <w:w w:val="105"/>
          <w:sz w:val="13"/>
        </w:rPr>
        <w:t>2011</w:t>
      </w:r>
      <w:r>
        <w:rPr>
          <w:i/>
          <w:spacing w:val="9"/>
          <w:w w:val="105"/>
          <w:sz w:val="13"/>
        </w:rPr>
        <w:t> </w:t>
      </w:r>
      <w:r>
        <w:rPr>
          <w:spacing w:val="2"/>
          <w:w w:val="105"/>
          <w:sz w:val="13"/>
        </w:rPr>
        <w:t>(Qld)</w:t>
      </w:r>
      <w:r>
        <w:rPr>
          <w:spacing w:val="9"/>
          <w:w w:val="105"/>
          <w:sz w:val="13"/>
        </w:rPr>
        <w:t> </w:t>
      </w:r>
      <w:r>
        <w:rPr>
          <w:w w:val="105"/>
          <w:sz w:val="13"/>
        </w:rPr>
        <w:t>s</w:t>
      </w:r>
      <w:r>
        <w:rPr>
          <w:spacing w:val="10"/>
          <w:w w:val="105"/>
          <w:sz w:val="13"/>
        </w:rPr>
        <w:t> </w:t>
      </w:r>
      <w:r>
        <w:rPr>
          <w:w w:val="105"/>
          <w:sz w:val="13"/>
        </w:rPr>
        <w:t>78(1).</w:t>
      </w:r>
    </w:p>
    <w:p>
      <w:pPr>
        <w:pStyle w:val="ListParagraph"/>
        <w:numPr>
          <w:ilvl w:val="0"/>
          <w:numId w:val="144"/>
        </w:numPr>
        <w:tabs>
          <w:tab w:pos="2381" w:val="left" w:leader="none"/>
          <w:tab w:pos="2382" w:val="left" w:leader="none"/>
        </w:tabs>
        <w:spacing w:line="240" w:lineRule="auto" w:before="1" w:after="0"/>
        <w:ind w:left="2381" w:right="0" w:hanging="794"/>
        <w:jc w:val="left"/>
        <w:rPr>
          <w:sz w:val="13"/>
        </w:rPr>
      </w:pPr>
      <w:r>
        <w:rPr>
          <w:i/>
          <w:w w:val="105"/>
          <w:sz w:val="13"/>
        </w:rPr>
        <w:t>Neighbourhood Disputes About Plants Act </w:t>
      </w:r>
      <w:r>
        <w:rPr>
          <w:i/>
          <w:spacing w:val="-4"/>
          <w:w w:val="105"/>
          <w:sz w:val="13"/>
        </w:rPr>
        <w:t>2017 </w:t>
      </w:r>
      <w:r>
        <w:rPr>
          <w:w w:val="105"/>
          <w:sz w:val="13"/>
        </w:rPr>
        <w:t>(Tas) s</w:t>
      </w:r>
      <w:r>
        <w:rPr>
          <w:spacing w:val="17"/>
          <w:w w:val="105"/>
          <w:sz w:val="13"/>
        </w:rPr>
        <w:t> </w:t>
      </w:r>
      <w:r>
        <w:rPr>
          <w:w w:val="105"/>
          <w:sz w:val="13"/>
        </w:rPr>
        <w:t>35.</w:t>
      </w:r>
    </w:p>
    <w:p>
      <w:pPr>
        <w:pStyle w:val="ListParagraph"/>
        <w:numPr>
          <w:ilvl w:val="0"/>
          <w:numId w:val="144"/>
        </w:numPr>
        <w:tabs>
          <w:tab w:pos="2381" w:val="left" w:leader="none"/>
          <w:tab w:pos="2382" w:val="left" w:leader="none"/>
        </w:tabs>
        <w:spacing w:line="240" w:lineRule="auto" w:before="2" w:after="0"/>
        <w:ind w:left="2381" w:right="106" w:hanging="794"/>
        <w:jc w:val="left"/>
        <w:rPr>
          <w:sz w:val="13"/>
        </w:rPr>
      </w:pPr>
      <w:r>
        <w:rPr>
          <w:w w:val="105"/>
          <w:sz w:val="13"/>
        </w:rPr>
        <w:t>Dispute Settlement Centre of Victoria, </w:t>
      </w:r>
      <w:r>
        <w:rPr>
          <w:i/>
          <w:w w:val="105"/>
          <w:sz w:val="13"/>
        </w:rPr>
        <w:t>Case Study—Tree Dispute </w:t>
      </w:r>
      <w:r>
        <w:rPr>
          <w:w w:val="105"/>
          <w:sz w:val="13"/>
        </w:rPr>
        <w:t>(Web Page, 3 June 2019) &lt;https://</w:t>
      </w:r>
      <w:hyperlink r:id="rId232">
        <w:r>
          <w:rPr>
            <w:w w:val="105"/>
            <w:sz w:val="13"/>
          </w:rPr>
          <w:t>www.disputes.vic.gov.au/information-</w:t>
        </w:r>
      </w:hyperlink>
      <w:r>
        <w:rPr>
          <w:w w:val="105"/>
          <w:sz w:val="13"/>
        </w:rPr>
        <w:t> and-advicetrees/case-study-tree-dispute&gt;.</w:t>
      </w:r>
    </w:p>
    <w:p>
      <w:pPr>
        <w:pStyle w:val="ListParagraph"/>
        <w:numPr>
          <w:ilvl w:val="0"/>
          <w:numId w:val="144"/>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144"/>
        </w:numPr>
        <w:tabs>
          <w:tab w:pos="2381" w:val="left" w:leader="none"/>
          <w:tab w:pos="2382" w:val="left" w:leader="none"/>
        </w:tabs>
        <w:spacing w:line="240" w:lineRule="auto" w:before="2" w:after="0"/>
        <w:ind w:left="2381" w:right="74" w:hanging="794"/>
        <w:jc w:val="left"/>
        <w:rPr>
          <w:sz w:val="13"/>
        </w:rPr>
      </w:pPr>
      <w:r>
        <w:rPr>
          <w:w w:val="105"/>
          <w:sz w:val="13"/>
        </w:rPr>
        <w:t>Standards Australia, </w:t>
      </w:r>
      <w:r>
        <w:rPr>
          <w:i/>
          <w:w w:val="105"/>
          <w:sz w:val="13"/>
        </w:rPr>
        <w:t>Pruning of Amenity Trees </w:t>
      </w:r>
      <w:r>
        <w:rPr>
          <w:spacing w:val="2"/>
          <w:w w:val="105"/>
          <w:sz w:val="13"/>
        </w:rPr>
        <w:t>(AS </w:t>
      </w:r>
      <w:r>
        <w:rPr>
          <w:w w:val="105"/>
          <w:sz w:val="13"/>
        </w:rPr>
        <w:t>4373-2007) (Sydney, NSW: Standards Australia, 2007) </w:t>
      </w:r>
      <w:r>
        <w:rPr>
          <w:spacing w:val="3"/>
          <w:w w:val="105"/>
          <w:sz w:val="13"/>
        </w:rPr>
        <w:t>[4]. </w:t>
      </w:r>
      <w:r>
        <w:rPr>
          <w:w w:val="105"/>
          <w:sz w:val="13"/>
        </w:rPr>
        <w:t>The objective of the standard     is to ‘provide arborists, tree workers, government departments, </w:t>
      </w:r>
      <w:r>
        <w:rPr>
          <w:spacing w:val="2"/>
          <w:w w:val="105"/>
          <w:sz w:val="13"/>
        </w:rPr>
        <w:t>property </w:t>
      </w:r>
      <w:r>
        <w:rPr>
          <w:w w:val="105"/>
          <w:sz w:val="13"/>
        </w:rPr>
        <w:t>owners, and contractors with a guide defining uniform tree</w:t>
      </w:r>
      <w:r>
        <w:rPr>
          <w:spacing w:val="30"/>
          <w:w w:val="105"/>
          <w:sz w:val="13"/>
        </w:rPr>
        <w:t> </w:t>
      </w:r>
      <w:r>
        <w:rPr>
          <w:w w:val="105"/>
          <w:sz w:val="13"/>
        </w:rPr>
        <w:t>pruning</w:t>
      </w:r>
      <w:r>
        <w:rPr>
          <w:spacing w:val="4"/>
          <w:w w:val="105"/>
          <w:sz w:val="13"/>
        </w:rPr>
        <w:t> </w:t>
      </w:r>
      <w:r>
        <w:rPr>
          <w:w w:val="105"/>
          <w:sz w:val="13"/>
        </w:rPr>
        <w:t>procedures</w:t>
      </w:r>
      <w:r>
        <w:rPr>
          <w:spacing w:val="5"/>
          <w:w w:val="105"/>
          <w:sz w:val="13"/>
        </w:rPr>
        <w:t> </w:t>
      </w:r>
      <w:r>
        <w:rPr>
          <w:w w:val="105"/>
          <w:sz w:val="13"/>
        </w:rPr>
        <w:t>and</w:t>
      </w:r>
      <w:r>
        <w:rPr>
          <w:spacing w:val="4"/>
          <w:w w:val="105"/>
          <w:sz w:val="13"/>
        </w:rPr>
        <w:t> </w:t>
      </w:r>
      <w:r>
        <w:rPr>
          <w:w w:val="105"/>
          <w:sz w:val="13"/>
        </w:rPr>
        <w:t>practices</w:t>
      </w:r>
      <w:r>
        <w:rPr>
          <w:spacing w:val="5"/>
          <w:w w:val="105"/>
          <w:sz w:val="13"/>
        </w:rPr>
        <w:t> </w:t>
      </w:r>
      <w:r>
        <w:rPr>
          <w:w w:val="105"/>
          <w:sz w:val="13"/>
        </w:rPr>
        <w:t>in</w:t>
      </w:r>
      <w:r>
        <w:rPr>
          <w:spacing w:val="4"/>
          <w:w w:val="105"/>
          <w:sz w:val="13"/>
        </w:rPr>
        <w:t> </w:t>
      </w:r>
      <w:r>
        <w:rPr>
          <w:w w:val="105"/>
          <w:sz w:val="13"/>
        </w:rPr>
        <w:t>order</w:t>
      </w:r>
      <w:r>
        <w:rPr>
          <w:spacing w:val="5"/>
          <w:w w:val="105"/>
          <w:sz w:val="13"/>
        </w:rPr>
        <w:t> </w:t>
      </w:r>
      <w:r>
        <w:rPr>
          <w:w w:val="105"/>
          <w:sz w:val="13"/>
        </w:rPr>
        <w:t>to</w:t>
      </w:r>
      <w:r>
        <w:rPr>
          <w:spacing w:val="4"/>
          <w:w w:val="105"/>
          <w:sz w:val="13"/>
        </w:rPr>
        <w:t> </w:t>
      </w:r>
      <w:r>
        <w:rPr>
          <w:w w:val="105"/>
          <w:sz w:val="13"/>
        </w:rPr>
        <w:t>minimize</w:t>
      </w:r>
      <w:r>
        <w:rPr>
          <w:spacing w:val="5"/>
          <w:w w:val="105"/>
          <w:sz w:val="13"/>
        </w:rPr>
        <w:t> </w:t>
      </w:r>
      <w:r>
        <w:rPr>
          <w:w w:val="105"/>
          <w:sz w:val="13"/>
        </w:rPr>
        <w:t>the</w:t>
      </w:r>
      <w:r>
        <w:rPr>
          <w:spacing w:val="4"/>
          <w:w w:val="105"/>
          <w:sz w:val="13"/>
        </w:rPr>
        <w:t> </w:t>
      </w:r>
      <w:r>
        <w:rPr>
          <w:w w:val="105"/>
          <w:sz w:val="13"/>
        </w:rPr>
        <w:t>adverse</w:t>
      </w:r>
      <w:r>
        <w:rPr>
          <w:spacing w:val="5"/>
          <w:w w:val="105"/>
          <w:sz w:val="13"/>
        </w:rPr>
        <w:t> </w:t>
      </w:r>
      <w:r>
        <w:rPr>
          <w:w w:val="105"/>
          <w:sz w:val="13"/>
        </w:rPr>
        <w:t>or</w:t>
      </w:r>
      <w:r>
        <w:rPr>
          <w:spacing w:val="4"/>
          <w:w w:val="105"/>
          <w:sz w:val="13"/>
        </w:rPr>
        <w:t> </w:t>
      </w:r>
      <w:r>
        <w:rPr>
          <w:w w:val="105"/>
          <w:sz w:val="13"/>
        </w:rPr>
        <w:t>negative</w:t>
      </w:r>
      <w:r>
        <w:rPr>
          <w:spacing w:val="5"/>
          <w:w w:val="105"/>
          <w:sz w:val="13"/>
        </w:rPr>
        <w:t> </w:t>
      </w:r>
      <w:r>
        <w:rPr>
          <w:w w:val="105"/>
          <w:sz w:val="13"/>
        </w:rPr>
        <w:t>impact</w:t>
      </w:r>
      <w:r>
        <w:rPr>
          <w:spacing w:val="4"/>
          <w:w w:val="105"/>
          <w:sz w:val="13"/>
        </w:rPr>
        <w:t> </w:t>
      </w:r>
      <w:r>
        <w:rPr>
          <w:w w:val="105"/>
          <w:sz w:val="13"/>
        </w:rPr>
        <w:t>of</w:t>
      </w:r>
      <w:r>
        <w:rPr>
          <w:spacing w:val="5"/>
          <w:w w:val="105"/>
          <w:sz w:val="13"/>
        </w:rPr>
        <w:t> </w:t>
      </w:r>
      <w:r>
        <w:rPr>
          <w:w w:val="105"/>
          <w:sz w:val="13"/>
        </w:rPr>
        <w:t>pruning</w:t>
      </w:r>
      <w:r>
        <w:rPr>
          <w:spacing w:val="4"/>
          <w:w w:val="105"/>
          <w:sz w:val="13"/>
        </w:rPr>
        <w:t> </w:t>
      </w:r>
      <w:r>
        <w:rPr>
          <w:w w:val="105"/>
          <w:sz w:val="13"/>
        </w:rPr>
        <w:t>on</w:t>
      </w:r>
      <w:r>
        <w:rPr>
          <w:spacing w:val="5"/>
          <w:w w:val="105"/>
          <w:sz w:val="13"/>
        </w:rPr>
        <w:t> </w:t>
      </w:r>
      <w:r>
        <w:rPr>
          <w:w w:val="105"/>
          <w:sz w:val="13"/>
        </w:rPr>
        <w:t>trees’.</w:t>
      </w:r>
    </w:p>
    <w:p>
      <w:pPr>
        <w:pStyle w:val="ListParagraph"/>
        <w:numPr>
          <w:ilvl w:val="0"/>
          <w:numId w:val="144"/>
        </w:numPr>
        <w:tabs>
          <w:tab w:pos="2381" w:val="left" w:leader="none"/>
          <w:tab w:pos="2382" w:val="left" w:leader="none"/>
        </w:tabs>
        <w:spacing w:line="240" w:lineRule="auto" w:before="4" w:after="0"/>
        <w:ind w:left="2381" w:right="336" w:hanging="794"/>
        <w:jc w:val="left"/>
        <w:rPr>
          <w:sz w:val="13"/>
        </w:rPr>
      </w:pPr>
      <w:r>
        <w:rPr>
          <w:w w:val="105"/>
          <w:sz w:val="13"/>
        </w:rPr>
        <w:t>See also Standards Australia, </w:t>
      </w:r>
      <w:r>
        <w:rPr>
          <w:i/>
          <w:w w:val="105"/>
          <w:sz w:val="13"/>
        </w:rPr>
        <w:t>Protection of Trees on Development Sites </w:t>
      </w:r>
      <w:r>
        <w:rPr>
          <w:spacing w:val="2"/>
          <w:w w:val="105"/>
          <w:sz w:val="13"/>
        </w:rPr>
        <w:t>(AS4970-2009) </w:t>
      </w:r>
      <w:r>
        <w:rPr>
          <w:w w:val="105"/>
          <w:sz w:val="13"/>
        </w:rPr>
        <w:t>(Sydney, NSW: Standards Australia, </w:t>
      </w:r>
      <w:r>
        <w:rPr>
          <w:spacing w:val="2"/>
          <w:w w:val="105"/>
          <w:sz w:val="13"/>
        </w:rPr>
        <w:t>2009). </w:t>
      </w:r>
      <w:r>
        <w:rPr>
          <w:w w:val="105"/>
          <w:sz w:val="13"/>
        </w:rPr>
        <w:t>The objective</w:t>
      </w:r>
      <w:r>
        <w:rPr>
          <w:spacing w:val="4"/>
          <w:w w:val="105"/>
          <w:sz w:val="13"/>
        </w:rPr>
        <w:t> </w:t>
      </w:r>
      <w:r>
        <w:rPr>
          <w:w w:val="105"/>
          <w:sz w:val="13"/>
        </w:rPr>
        <w:t>of</w:t>
      </w:r>
      <w:r>
        <w:rPr>
          <w:spacing w:val="4"/>
          <w:w w:val="105"/>
          <w:sz w:val="13"/>
        </w:rPr>
        <w:t> </w:t>
      </w:r>
      <w:r>
        <w:rPr>
          <w:w w:val="105"/>
          <w:sz w:val="13"/>
        </w:rPr>
        <w:t>this</w:t>
      </w:r>
      <w:r>
        <w:rPr>
          <w:spacing w:val="4"/>
          <w:w w:val="105"/>
          <w:sz w:val="13"/>
        </w:rPr>
        <w:t> </w:t>
      </w:r>
      <w:r>
        <w:rPr>
          <w:w w:val="105"/>
          <w:sz w:val="13"/>
        </w:rPr>
        <w:t>standard</w:t>
      </w:r>
      <w:r>
        <w:rPr>
          <w:spacing w:val="5"/>
          <w:w w:val="105"/>
          <w:sz w:val="13"/>
        </w:rPr>
        <w:t> </w:t>
      </w:r>
      <w:r>
        <w:rPr>
          <w:w w:val="105"/>
          <w:sz w:val="13"/>
        </w:rPr>
        <w:t>is</w:t>
      </w:r>
      <w:r>
        <w:rPr>
          <w:spacing w:val="4"/>
          <w:w w:val="105"/>
          <w:sz w:val="13"/>
        </w:rPr>
        <w:t> </w:t>
      </w:r>
      <w:r>
        <w:rPr>
          <w:w w:val="105"/>
          <w:sz w:val="13"/>
        </w:rPr>
        <w:t>to</w:t>
      </w:r>
      <w:r>
        <w:rPr>
          <w:spacing w:val="4"/>
          <w:w w:val="105"/>
          <w:sz w:val="13"/>
        </w:rPr>
        <w:t> </w:t>
      </w:r>
      <w:r>
        <w:rPr>
          <w:w w:val="105"/>
          <w:sz w:val="13"/>
        </w:rPr>
        <w:t>‘provide</w:t>
      </w:r>
      <w:r>
        <w:rPr>
          <w:spacing w:val="5"/>
          <w:w w:val="105"/>
          <w:sz w:val="13"/>
        </w:rPr>
        <w:t> </w:t>
      </w:r>
      <w:r>
        <w:rPr>
          <w:w w:val="105"/>
          <w:sz w:val="13"/>
        </w:rPr>
        <w:t>guidance</w:t>
      </w:r>
      <w:r>
        <w:rPr>
          <w:spacing w:val="4"/>
          <w:w w:val="105"/>
          <w:sz w:val="13"/>
        </w:rPr>
        <w:t> </w:t>
      </w:r>
      <w:r>
        <w:rPr>
          <w:w w:val="105"/>
          <w:sz w:val="13"/>
        </w:rPr>
        <w:t>on</w:t>
      </w:r>
      <w:r>
        <w:rPr>
          <w:spacing w:val="4"/>
          <w:w w:val="105"/>
          <w:sz w:val="13"/>
        </w:rPr>
        <w:t> </w:t>
      </w:r>
      <w:r>
        <w:rPr>
          <w:w w:val="105"/>
          <w:sz w:val="13"/>
        </w:rPr>
        <w:t>the</w:t>
      </w:r>
      <w:r>
        <w:rPr>
          <w:spacing w:val="5"/>
          <w:w w:val="105"/>
          <w:sz w:val="13"/>
        </w:rPr>
        <w:t> </w:t>
      </w:r>
      <w:r>
        <w:rPr>
          <w:w w:val="105"/>
          <w:sz w:val="13"/>
        </w:rPr>
        <w:t>principles</w:t>
      </w:r>
      <w:r>
        <w:rPr>
          <w:spacing w:val="4"/>
          <w:w w:val="105"/>
          <w:sz w:val="13"/>
        </w:rPr>
        <w:t> </w:t>
      </w:r>
      <w:r>
        <w:rPr>
          <w:w w:val="105"/>
          <w:sz w:val="13"/>
        </w:rPr>
        <w:t>for</w:t>
      </w:r>
      <w:r>
        <w:rPr>
          <w:spacing w:val="4"/>
          <w:w w:val="105"/>
          <w:sz w:val="13"/>
        </w:rPr>
        <w:t> </w:t>
      </w:r>
      <w:r>
        <w:rPr>
          <w:w w:val="105"/>
          <w:sz w:val="13"/>
        </w:rPr>
        <w:t>protecting</w:t>
      </w:r>
      <w:r>
        <w:rPr>
          <w:spacing w:val="4"/>
          <w:w w:val="105"/>
          <w:sz w:val="13"/>
        </w:rPr>
        <w:t> </w:t>
      </w:r>
      <w:r>
        <w:rPr>
          <w:w w:val="105"/>
          <w:sz w:val="13"/>
        </w:rPr>
        <w:t>trees</w:t>
      </w:r>
      <w:r>
        <w:rPr>
          <w:spacing w:val="5"/>
          <w:w w:val="105"/>
          <w:sz w:val="13"/>
        </w:rPr>
        <w:t> </w:t>
      </w:r>
      <w:r>
        <w:rPr>
          <w:w w:val="105"/>
          <w:sz w:val="13"/>
        </w:rPr>
        <w:t>on</w:t>
      </w:r>
      <w:r>
        <w:rPr>
          <w:spacing w:val="4"/>
          <w:w w:val="105"/>
          <w:sz w:val="13"/>
        </w:rPr>
        <w:t> </w:t>
      </w:r>
      <w:r>
        <w:rPr>
          <w:w w:val="105"/>
          <w:sz w:val="13"/>
        </w:rPr>
        <w:t>land</w:t>
      </w:r>
      <w:r>
        <w:rPr>
          <w:spacing w:val="4"/>
          <w:w w:val="105"/>
          <w:sz w:val="13"/>
        </w:rPr>
        <w:t> </w:t>
      </w:r>
      <w:r>
        <w:rPr>
          <w:w w:val="105"/>
          <w:sz w:val="13"/>
        </w:rPr>
        <w:t>subject</w:t>
      </w:r>
      <w:r>
        <w:rPr>
          <w:spacing w:val="5"/>
          <w:w w:val="105"/>
          <w:sz w:val="13"/>
        </w:rPr>
        <w:t> </w:t>
      </w:r>
      <w:r>
        <w:rPr>
          <w:w w:val="105"/>
          <w:sz w:val="13"/>
        </w:rPr>
        <w:t>to</w:t>
      </w:r>
      <w:r>
        <w:rPr>
          <w:spacing w:val="4"/>
          <w:w w:val="105"/>
          <w:sz w:val="13"/>
        </w:rPr>
        <w:t> </w:t>
      </w:r>
      <w:r>
        <w:rPr>
          <w:w w:val="105"/>
          <w:sz w:val="13"/>
        </w:rPr>
        <w:t>development’.</w:t>
      </w:r>
    </w:p>
    <w:p>
      <w:pPr>
        <w:pStyle w:val="ListParagraph"/>
        <w:numPr>
          <w:ilvl w:val="0"/>
          <w:numId w:val="144"/>
        </w:numPr>
        <w:tabs>
          <w:tab w:pos="2381" w:val="left" w:leader="none"/>
          <w:tab w:pos="2382" w:val="left" w:leader="none"/>
        </w:tabs>
        <w:spacing w:line="240" w:lineRule="auto" w:before="2" w:after="0"/>
        <w:ind w:left="2381" w:right="0" w:hanging="794"/>
        <w:jc w:val="left"/>
        <w:rPr>
          <w:sz w:val="13"/>
        </w:rPr>
      </w:pPr>
      <w:r>
        <w:rPr>
          <w:w w:val="105"/>
          <w:sz w:val="13"/>
        </w:rPr>
        <w:t>Consultations 8 (City of Boroondara), </w:t>
      </w:r>
      <w:r>
        <w:rPr>
          <w:spacing w:val="-4"/>
          <w:w w:val="105"/>
          <w:sz w:val="13"/>
        </w:rPr>
        <w:t>12 </w:t>
      </w:r>
      <w:r>
        <w:rPr>
          <w:w w:val="105"/>
          <w:sz w:val="13"/>
        </w:rPr>
        <w:t>(City of Port</w:t>
      </w:r>
      <w:r>
        <w:rPr>
          <w:spacing w:val="21"/>
          <w:w w:val="105"/>
          <w:sz w:val="13"/>
        </w:rPr>
        <w:t> </w:t>
      </w:r>
      <w:r>
        <w:rPr>
          <w:w w:val="105"/>
          <w:sz w:val="13"/>
        </w:rPr>
        <w:t>Phillip).</w:t>
      </w:r>
    </w:p>
    <w:p>
      <w:pPr>
        <w:pStyle w:val="ListParagraph"/>
        <w:numPr>
          <w:ilvl w:val="0"/>
          <w:numId w:val="144"/>
        </w:numPr>
        <w:tabs>
          <w:tab w:pos="2381" w:val="left" w:leader="none"/>
          <w:tab w:pos="2382" w:val="left" w:leader="none"/>
        </w:tabs>
        <w:spacing w:line="240" w:lineRule="auto" w:before="2" w:after="0"/>
        <w:ind w:left="2381" w:right="0" w:hanging="794"/>
        <w:jc w:val="left"/>
        <w:rPr>
          <w:sz w:val="13"/>
        </w:rPr>
      </w:pPr>
      <w:r>
        <w:rPr>
          <w:w w:val="105"/>
          <w:sz w:val="13"/>
        </w:rPr>
        <w:t>Supplementary Consultation 1 (Victorian Civil and Administrative</w:t>
      </w:r>
      <w:r>
        <w:rPr>
          <w:spacing w:val="2"/>
          <w:w w:val="105"/>
          <w:sz w:val="13"/>
        </w:rPr>
        <w:t> </w:t>
      </w:r>
      <w:r>
        <w:rPr>
          <w:w w:val="105"/>
          <w:sz w:val="13"/>
        </w:rPr>
        <w:t>Tribunal).</w:t>
      </w:r>
    </w:p>
    <w:p>
      <w:pPr>
        <w:pStyle w:val="ListParagraph"/>
        <w:numPr>
          <w:ilvl w:val="0"/>
          <w:numId w:val="144"/>
        </w:numPr>
        <w:tabs>
          <w:tab w:pos="2381" w:val="left" w:leader="none"/>
          <w:tab w:pos="2382" w:val="left" w:leader="none"/>
        </w:tabs>
        <w:spacing w:line="240" w:lineRule="auto" w:before="1" w:after="0"/>
        <w:ind w:left="2381" w:right="586" w:hanging="794"/>
        <w:jc w:val="left"/>
        <w:rPr>
          <w:sz w:val="13"/>
        </w:rPr>
      </w:pPr>
      <w:r>
        <w:rPr>
          <w:w w:val="105"/>
          <w:sz w:val="13"/>
        </w:rPr>
        <w:t>The Australian Qualifications Framework </w:t>
      </w:r>
      <w:r>
        <w:rPr>
          <w:spacing w:val="2"/>
          <w:w w:val="105"/>
          <w:sz w:val="13"/>
        </w:rPr>
        <w:t>(AQF) </w:t>
      </w:r>
      <w:r>
        <w:rPr>
          <w:w w:val="105"/>
          <w:sz w:val="13"/>
        </w:rPr>
        <w:t>is the agreed policy of Commonwealth, state and territory ministers for regulated qualifications</w:t>
      </w:r>
      <w:r>
        <w:rPr>
          <w:spacing w:val="6"/>
          <w:w w:val="105"/>
          <w:sz w:val="13"/>
        </w:rPr>
        <w:t> </w:t>
      </w:r>
      <w:r>
        <w:rPr>
          <w:w w:val="105"/>
          <w:sz w:val="13"/>
        </w:rPr>
        <w:t>in</w:t>
      </w:r>
      <w:r>
        <w:rPr>
          <w:spacing w:val="7"/>
          <w:w w:val="105"/>
          <w:sz w:val="13"/>
        </w:rPr>
        <w:t> </w:t>
      </w:r>
      <w:r>
        <w:rPr>
          <w:w w:val="105"/>
          <w:sz w:val="13"/>
        </w:rPr>
        <w:t>the</w:t>
      </w:r>
      <w:r>
        <w:rPr>
          <w:spacing w:val="7"/>
          <w:w w:val="105"/>
          <w:sz w:val="13"/>
        </w:rPr>
        <w:t> </w:t>
      </w:r>
      <w:r>
        <w:rPr>
          <w:w w:val="105"/>
          <w:sz w:val="13"/>
        </w:rPr>
        <w:t>Australian</w:t>
      </w:r>
      <w:r>
        <w:rPr>
          <w:spacing w:val="6"/>
          <w:w w:val="105"/>
          <w:sz w:val="13"/>
        </w:rPr>
        <w:t> </w:t>
      </w:r>
      <w:r>
        <w:rPr>
          <w:w w:val="105"/>
          <w:sz w:val="13"/>
        </w:rPr>
        <w:t>education</w:t>
      </w:r>
      <w:r>
        <w:rPr>
          <w:spacing w:val="7"/>
          <w:w w:val="105"/>
          <w:sz w:val="13"/>
        </w:rPr>
        <w:t> </w:t>
      </w:r>
      <w:r>
        <w:rPr>
          <w:w w:val="105"/>
          <w:sz w:val="13"/>
        </w:rPr>
        <w:t>and</w:t>
      </w:r>
      <w:r>
        <w:rPr>
          <w:spacing w:val="7"/>
          <w:w w:val="105"/>
          <w:sz w:val="13"/>
        </w:rPr>
        <w:t> </w:t>
      </w:r>
      <w:r>
        <w:rPr>
          <w:w w:val="105"/>
          <w:sz w:val="13"/>
        </w:rPr>
        <w:t>training</w:t>
      </w:r>
      <w:r>
        <w:rPr>
          <w:spacing w:val="7"/>
          <w:w w:val="105"/>
          <w:sz w:val="13"/>
        </w:rPr>
        <w:t> </w:t>
      </w:r>
      <w:r>
        <w:rPr>
          <w:w w:val="105"/>
          <w:sz w:val="13"/>
        </w:rPr>
        <w:t>system:</w:t>
      </w:r>
      <w:r>
        <w:rPr>
          <w:spacing w:val="6"/>
          <w:w w:val="105"/>
          <w:sz w:val="13"/>
        </w:rPr>
        <w:t> </w:t>
      </w:r>
      <w:r>
        <w:rPr>
          <w:w w:val="105"/>
          <w:sz w:val="13"/>
        </w:rPr>
        <w:t>Australian</w:t>
      </w:r>
      <w:r>
        <w:rPr>
          <w:spacing w:val="7"/>
          <w:w w:val="105"/>
          <w:sz w:val="13"/>
        </w:rPr>
        <w:t> </w:t>
      </w:r>
      <w:r>
        <w:rPr>
          <w:w w:val="105"/>
          <w:sz w:val="13"/>
        </w:rPr>
        <w:t>Qualifications</w:t>
      </w:r>
      <w:r>
        <w:rPr>
          <w:spacing w:val="7"/>
          <w:w w:val="105"/>
          <w:sz w:val="13"/>
        </w:rPr>
        <w:t> </w:t>
      </w:r>
      <w:r>
        <w:rPr>
          <w:w w:val="105"/>
          <w:sz w:val="13"/>
        </w:rPr>
        <w:t>Framework,</w:t>
      </w:r>
      <w:r>
        <w:rPr>
          <w:spacing w:val="6"/>
          <w:w w:val="105"/>
          <w:sz w:val="13"/>
        </w:rPr>
        <w:t> </w:t>
      </w:r>
      <w:r>
        <w:rPr>
          <w:i/>
          <w:w w:val="105"/>
          <w:sz w:val="13"/>
        </w:rPr>
        <w:t>What</w:t>
      </w:r>
      <w:r>
        <w:rPr>
          <w:i/>
          <w:spacing w:val="7"/>
          <w:w w:val="105"/>
          <w:sz w:val="13"/>
        </w:rPr>
        <w:t> </w:t>
      </w:r>
      <w:r>
        <w:rPr>
          <w:i/>
          <w:w w:val="105"/>
          <w:sz w:val="13"/>
        </w:rPr>
        <w:t>is</w:t>
      </w:r>
      <w:r>
        <w:rPr>
          <w:i/>
          <w:spacing w:val="7"/>
          <w:w w:val="105"/>
          <w:sz w:val="13"/>
        </w:rPr>
        <w:t> </w:t>
      </w:r>
      <w:r>
        <w:rPr>
          <w:i/>
          <w:w w:val="105"/>
          <w:sz w:val="13"/>
        </w:rPr>
        <w:t>the</w:t>
      </w:r>
      <w:r>
        <w:rPr>
          <w:i/>
          <w:spacing w:val="7"/>
          <w:w w:val="105"/>
          <w:sz w:val="13"/>
        </w:rPr>
        <w:t> </w:t>
      </w:r>
      <w:r>
        <w:rPr>
          <w:i/>
          <w:w w:val="105"/>
          <w:sz w:val="13"/>
        </w:rPr>
        <w:t>AQF?</w:t>
      </w:r>
      <w:r>
        <w:rPr>
          <w:i/>
          <w:spacing w:val="6"/>
          <w:w w:val="105"/>
          <w:sz w:val="13"/>
        </w:rPr>
        <w:t> </w:t>
      </w:r>
      <w:r>
        <w:rPr>
          <w:w w:val="105"/>
          <w:sz w:val="13"/>
        </w:rPr>
        <w:t>(Web</w:t>
      </w:r>
      <w:r>
        <w:rPr>
          <w:spacing w:val="7"/>
          <w:w w:val="105"/>
          <w:sz w:val="13"/>
        </w:rPr>
        <w:t> </w:t>
      </w:r>
      <w:r>
        <w:rPr>
          <w:w w:val="105"/>
          <w:sz w:val="13"/>
        </w:rPr>
        <w:t>Page)</w:t>
      </w:r>
    </w:p>
    <w:p>
      <w:pPr>
        <w:spacing w:before="3"/>
        <w:ind w:left="2381" w:right="0" w:firstLine="0"/>
        <w:jc w:val="left"/>
        <w:rPr>
          <w:sz w:val="13"/>
        </w:rPr>
      </w:pPr>
      <w:r>
        <w:rPr>
          <w:w w:val="105"/>
          <w:sz w:val="13"/>
        </w:rPr>
        <w:t>&lt;</w:t>
      </w:r>
      <w:hyperlink r:id="rId46">
        <w:r>
          <w:rPr>
            <w:w w:val="105"/>
            <w:sz w:val="13"/>
          </w:rPr>
          <w:t>www.aqf.edu.au/what-is-the-aqf</w:t>
        </w:r>
      </w:hyperlink>
      <w:r>
        <w:rPr>
          <w:w w:val="105"/>
          <w:sz w:val="13"/>
        </w:rPr>
        <w:t>&gt;.</w:t>
      </w:r>
    </w:p>
    <w:p>
      <w:pPr>
        <w:pStyle w:val="ListParagraph"/>
        <w:numPr>
          <w:ilvl w:val="0"/>
          <w:numId w:val="144"/>
        </w:numPr>
        <w:tabs>
          <w:tab w:pos="2381" w:val="left" w:leader="none"/>
          <w:tab w:pos="2382" w:val="left" w:leader="none"/>
        </w:tabs>
        <w:spacing w:line="240" w:lineRule="auto" w:before="1"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Robert</w:t>
      </w:r>
      <w:r>
        <w:rPr>
          <w:spacing w:val="4"/>
          <w:w w:val="105"/>
          <w:sz w:val="13"/>
        </w:rPr>
        <w:t> </w:t>
      </w:r>
      <w:r>
        <w:rPr>
          <w:w w:val="105"/>
          <w:sz w:val="13"/>
        </w:rPr>
        <w:t>Mineo</w:t>
      </w:r>
      <w:r>
        <w:rPr>
          <w:spacing w:val="5"/>
          <w:w w:val="105"/>
          <w:sz w:val="13"/>
        </w:rPr>
        <w:t> </w:t>
      </w:r>
      <w:r>
        <w:rPr>
          <w:w w:val="105"/>
          <w:sz w:val="13"/>
        </w:rPr>
        <w:t>to</w:t>
      </w:r>
      <w:r>
        <w:rPr>
          <w:spacing w:val="5"/>
          <w:w w:val="105"/>
          <w:sz w:val="13"/>
        </w:rPr>
        <w:t> </w:t>
      </w:r>
      <w:r>
        <w:rPr>
          <w:w w:val="105"/>
          <w:sz w:val="13"/>
        </w:rPr>
        <w:t>the</w:t>
      </w:r>
      <w:r>
        <w:rPr>
          <w:spacing w:val="4"/>
          <w:w w:val="105"/>
          <w:sz w:val="13"/>
        </w:rPr>
        <w:t> </w:t>
      </w:r>
      <w:r>
        <w:rPr>
          <w:w w:val="105"/>
          <w:sz w:val="13"/>
        </w:rPr>
        <w:t>Commission,</w:t>
      </w:r>
      <w:r>
        <w:rPr>
          <w:spacing w:val="5"/>
          <w:w w:val="105"/>
          <w:sz w:val="13"/>
        </w:rPr>
        <w:t> </w:t>
      </w:r>
      <w:r>
        <w:rPr>
          <w:w w:val="105"/>
          <w:sz w:val="13"/>
        </w:rPr>
        <w:t>20</w:t>
      </w:r>
      <w:r>
        <w:rPr>
          <w:spacing w:val="5"/>
          <w:w w:val="105"/>
          <w:sz w:val="13"/>
        </w:rPr>
        <w:t> </w:t>
      </w:r>
      <w:r>
        <w:rPr>
          <w:w w:val="105"/>
          <w:sz w:val="13"/>
        </w:rPr>
        <w:t>March</w:t>
      </w:r>
      <w:r>
        <w:rPr>
          <w:spacing w:val="4"/>
          <w:w w:val="105"/>
          <w:sz w:val="13"/>
        </w:rPr>
        <w:t> </w:t>
      </w:r>
      <w:r>
        <w:rPr>
          <w:w w:val="105"/>
          <w:sz w:val="13"/>
        </w:rPr>
        <w:t>2019.</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35"/>
        </w:rPr>
      </w:pPr>
    </w:p>
    <w:p>
      <w:pPr>
        <w:spacing w:before="0"/>
        <w:ind w:left="536" w:right="573" w:firstLine="0"/>
        <w:jc w:val="center"/>
        <w:rPr>
          <w:b/>
          <w:sz w:val="24"/>
        </w:rPr>
      </w:pPr>
      <w:r>
        <w:rPr>
          <w:b/>
          <w:color w:val="658464"/>
          <w:w w:val="110"/>
          <w:sz w:val="24"/>
        </w:rPr>
        <w:t>199</w:t>
      </w:r>
    </w:p>
    <w:p>
      <w:pPr>
        <w:spacing w:after="0"/>
        <w:jc w:val="center"/>
        <w:rPr>
          <w:sz w:val="24"/>
        </w:rPr>
        <w:sectPr>
          <w:type w:val="continuous"/>
          <w:pgSz w:w="11910" w:h="16840"/>
          <w:pgMar w:top="300" w:bottom="280" w:left="0" w:right="0"/>
          <w:cols w:num="2" w:equalWidth="0">
            <w:col w:w="10318" w:space="40"/>
            <w:col w:w="1552"/>
          </w:cols>
        </w:sectPr>
      </w:pPr>
    </w:p>
    <w:p>
      <w:pPr>
        <w:pStyle w:val="BodyText"/>
        <w:spacing w:before="9"/>
        <w:rPr>
          <w:b/>
          <w:sz w:val="22"/>
        </w:rPr>
      </w:pPr>
    </w:p>
    <w:p>
      <w:pPr>
        <w:pStyle w:val="BodyText"/>
        <w:spacing w:line="242" w:lineRule="auto" w:before="92"/>
        <w:ind w:left="2381" w:right="1933"/>
        <w:rPr>
          <w:sz w:val="12"/>
        </w:rPr>
      </w:pPr>
      <w:bookmarkStart w:name="_bookmark108" w:id="226"/>
      <w:bookmarkEnd w:id="226"/>
      <w:r>
        <w:rPr/>
      </w:r>
      <w:r>
        <w:rPr>
          <w:spacing w:val="-3"/>
        </w:rPr>
        <w:t>Australian Standard Pruning  </w:t>
      </w:r>
      <w:r>
        <w:rPr/>
        <w:t>of Amenity </w:t>
      </w:r>
      <w:r>
        <w:rPr>
          <w:spacing w:val="-4"/>
        </w:rPr>
        <w:t>Trees.</w:t>
      </w:r>
      <w:r>
        <w:rPr>
          <w:spacing w:val="-4"/>
          <w:position w:val="7"/>
          <w:sz w:val="12"/>
        </w:rPr>
        <w:t>63</w:t>
      </w:r>
      <w:r>
        <w:rPr>
          <w:spacing w:val="19"/>
          <w:position w:val="7"/>
          <w:sz w:val="12"/>
        </w:rPr>
        <w:t> </w:t>
      </w:r>
      <w:r>
        <w:rPr>
          <w:spacing w:val="-4"/>
        </w:rPr>
        <w:t>QCAT  </w:t>
      </w:r>
      <w:r>
        <w:rPr>
          <w:spacing w:val="-3"/>
        </w:rPr>
        <w:t>noted  that  </w:t>
      </w:r>
      <w:r>
        <w:rPr/>
        <w:t>orders made </w:t>
      </w:r>
      <w:r>
        <w:rPr>
          <w:spacing w:val="-3"/>
        </w:rPr>
        <w:t>pursuant  to </w:t>
      </w:r>
      <w:r>
        <w:rPr/>
        <w:t>the </w:t>
      </w:r>
      <w:r>
        <w:rPr>
          <w:spacing w:val="-3"/>
        </w:rPr>
        <w:t>Queensland </w:t>
      </w:r>
      <w:r>
        <w:rPr/>
        <w:t>Act </w:t>
      </w:r>
      <w:r>
        <w:rPr>
          <w:spacing w:val="-3"/>
        </w:rPr>
        <w:t>will usually </w:t>
      </w:r>
      <w:r>
        <w:rPr/>
        <w:t>specify </w:t>
      </w:r>
      <w:r>
        <w:rPr>
          <w:spacing w:val="-3"/>
        </w:rPr>
        <w:t>that </w:t>
      </w:r>
      <w:r>
        <w:rPr/>
        <w:t>tree works </w:t>
      </w:r>
      <w:r>
        <w:rPr>
          <w:spacing w:val="-3"/>
        </w:rPr>
        <w:t>are to </w:t>
      </w:r>
      <w:r>
        <w:rPr/>
        <w:t>be conducted by an </w:t>
      </w:r>
      <w:r>
        <w:rPr>
          <w:spacing w:val="-3"/>
        </w:rPr>
        <w:t>appropriately </w:t>
      </w:r>
      <w:r>
        <w:rPr/>
        <w:t>qualified</w:t>
      </w:r>
      <w:r>
        <w:rPr>
          <w:spacing w:val="20"/>
        </w:rPr>
        <w:t> </w:t>
      </w:r>
      <w:r>
        <w:rPr/>
        <w:t>arborist.</w:t>
      </w:r>
      <w:r>
        <w:rPr>
          <w:position w:val="7"/>
          <w:sz w:val="12"/>
        </w:rPr>
        <w:t>64</w:t>
      </w:r>
    </w:p>
    <w:p>
      <w:pPr>
        <w:pStyle w:val="ListParagraph"/>
        <w:numPr>
          <w:ilvl w:val="1"/>
          <w:numId w:val="16"/>
        </w:numPr>
        <w:tabs>
          <w:tab w:pos="2381" w:val="left" w:leader="none"/>
          <w:tab w:pos="2382" w:val="left" w:leader="none"/>
        </w:tabs>
        <w:spacing w:line="242" w:lineRule="auto" w:before="123" w:after="0"/>
        <w:ind w:left="2381" w:right="1499" w:hanging="794"/>
        <w:jc w:val="left"/>
        <w:rPr>
          <w:sz w:val="21"/>
        </w:rPr>
      </w:pPr>
      <w:r>
        <w:rPr>
          <w:w w:val="105"/>
          <w:sz w:val="21"/>
        </w:rPr>
        <w:t>The </w:t>
      </w:r>
      <w:r>
        <w:rPr>
          <w:spacing w:val="-2"/>
          <w:w w:val="105"/>
          <w:sz w:val="21"/>
        </w:rPr>
        <w:t>qualification </w:t>
      </w:r>
      <w:r>
        <w:rPr>
          <w:w w:val="105"/>
          <w:sz w:val="21"/>
        </w:rPr>
        <w:t>level should be </w:t>
      </w:r>
      <w:r>
        <w:rPr>
          <w:spacing w:val="-3"/>
          <w:w w:val="105"/>
          <w:sz w:val="21"/>
        </w:rPr>
        <w:t>determined </w:t>
      </w:r>
      <w:r>
        <w:rPr>
          <w:w w:val="105"/>
          <w:sz w:val="21"/>
        </w:rPr>
        <w:t>by </w:t>
      </w:r>
      <w:r>
        <w:rPr>
          <w:spacing w:val="-5"/>
          <w:w w:val="105"/>
          <w:sz w:val="21"/>
        </w:rPr>
        <w:t>VCAT </w:t>
      </w:r>
      <w:r>
        <w:rPr>
          <w:w w:val="105"/>
          <w:sz w:val="21"/>
        </w:rPr>
        <w:t>depending on the </w:t>
      </w:r>
      <w:r>
        <w:rPr>
          <w:spacing w:val="-3"/>
          <w:w w:val="105"/>
          <w:sz w:val="21"/>
        </w:rPr>
        <w:t>circumstances </w:t>
      </w:r>
      <w:r>
        <w:rPr>
          <w:w w:val="105"/>
          <w:sz w:val="21"/>
        </w:rPr>
        <w:t>of the case and the work </w:t>
      </w:r>
      <w:r>
        <w:rPr>
          <w:spacing w:val="-3"/>
          <w:w w:val="105"/>
          <w:sz w:val="21"/>
        </w:rPr>
        <w:t>that </w:t>
      </w:r>
      <w:r>
        <w:rPr>
          <w:w w:val="105"/>
          <w:sz w:val="21"/>
        </w:rPr>
        <w:t>needs </w:t>
      </w:r>
      <w:r>
        <w:rPr>
          <w:spacing w:val="-3"/>
          <w:w w:val="105"/>
          <w:sz w:val="21"/>
        </w:rPr>
        <w:t>to </w:t>
      </w:r>
      <w:r>
        <w:rPr>
          <w:w w:val="105"/>
          <w:sz w:val="21"/>
        </w:rPr>
        <w:t>be </w:t>
      </w:r>
      <w:r>
        <w:rPr>
          <w:spacing w:val="-3"/>
          <w:w w:val="105"/>
          <w:sz w:val="21"/>
        </w:rPr>
        <w:t>done. </w:t>
      </w:r>
      <w:r>
        <w:rPr>
          <w:w w:val="105"/>
          <w:sz w:val="21"/>
        </w:rPr>
        <w:t>The </w:t>
      </w:r>
      <w:r>
        <w:rPr>
          <w:spacing w:val="-3"/>
          <w:w w:val="105"/>
          <w:sz w:val="21"/>
        </w:rPr>
        <w:t>Commission </w:t>
      </w:r>
      <w:r>
        <w:rPr>
          <w:w w:val="105"/>
          <w:sz w:val="21"/>
        </w:rPr>
        <w:t>is of the view </w:t>
      </w:r>
      <w:r>
        <w:rPr>
          <w:spacing w:val="-3"/>
          <w:w w:val="105"/>
          <w:sz w:val="21"/>
        </w:rPr>
        <w:t>that requiring </w:t>
      </w:r>
      <w:r>
        <w:rPr>
          <w:w w:val="105"/>
          <w:sz w:val="21"/>
        </w:rPr>
        <w:t>work </w:t>
      </w:r>
      <w:r>
        <w:rPr>
          <w:spacing w:val="-3"/>
          <w:w w:val="105"/>
          <w:sz w:val="21"/>
        </w:rPr>
        <w:t>to </w:t>
      </w:r>
      <w:r>
        <w:rPr>
          <w:w w:val="105"/>
          <w:sz w:val="21"/>
        </w:rPr>
        <w:t>be carried out by a suitably qualified arborist </w:t>
      </w:r>
      <w:r>
        <w:rPr>
          <w:spacing w:val="-3"/>
          <w:w w:val="105"/>
          <w:sz w:val="21"/>
        </w:rPr>
        <w:t>will </w:t>
      </w:r>
      <w:r>
        <w:rPr>
          <w:w w:val="105"/>
          <w:sz w:val="21"/>
        </w:rPr>
        <w:t>also educate and guide the community more </w:t>
      </w:r>
      <w:r>
        <w:rPr>
          <w:spacing w:val="-3"/>
          <w:w w:val="105"/>
          <w:sz w:val="21"/>
        </w:rPr>
        <w:t>generally </w:t>
      </w:r>
      <w:r>
        <w:rPr>
          <w:w w:val="105"/>
          <w:sz w:val="21"/>
        </w:rPr>
        <w:t>about arborists’ </w:t>
      </w:r>
      <w:r>
        <w:rPr>
          <w:spacing w:val="-3"/>
          <w:w w:val="105"/>
          <w:sz w:val="21"/>
        </w:rPr>
        <w:t>qualifications </w:t>
      </w:r>
      <w:r>
        <w:rPr>
          <w:w w:val="105"/>
          <w:sz w:val="21"/>
        </w:rPr>
        <w:t>and practice</w:t>
      </w:r>
      <w:r>
        <w:rPr>
          <w:spacing w:val="-1"/>
          <w:w w:val="105"/>
          <w:sz w:val="21"/>
        </w:rPr>
        <w:t> </w:t>
      </w:r>
      <w:r>
        <w:rPr>
          <w:spacing w:val="-3"/>
          <w:w w:val="105"/>
          <w:sz w:val="21"/>
        </w:rPr>
        <w:t>standards.</w:t>
      </w:r>
    </w:p>
    <w:p>
      <w:pPr>
        <w:pStyle w:val="BodyText"/>
        <w:spacing w:before="5"/>
        <w:rPr>
          <w:sz w:val="20"/>
        </w:rPr>
      </w:pPr>
    </w:p>
    <w:p>
      <w:pPr>
        <w:pStyle w:val="Heading5"/>
      </w:pPr>
      <w:r>
        <w:rPr>
          <w:w w:val="110"/>
        </w:rPr>
        <w:t>Not recommended: </w:t>
      </w:r>
      <w:r>
        <w:rPr>
          <w:spacing w:val="-4"/>
          <w:w w:val="110"/>
        </w:rPr>
        <w:t>Tree </w:t>
      </w:r>
      <w:r>
        <w:rPr>
          <w:w w:val="110"/>
        </w:rPr>
        <w:t>removal as a last</w:t>
      </w:r>
      <w:r>
        <w:rPr>
          <w:spacing w:val="53"/>
          <w:w w:val="110"/>
        </w:rPr>
        <w:t> </w:t>
      </w:r>
      <w:r>
        <w:rPr>
          <w:w w:val="110"/>
        </w:rPr>
        <w:t>resort</w:t>
      </w:r>
    </w:p>
    <w:p>
      <w:pPr>
        <w:pStyle w:val="ListParagraph"/>
        <w:numPr>
          <w:ilvl w:val="1"/>
          <w:numId w:val="16"/>
        </w:numPr>
        <w:tabs>
          <w:tab w:pos="2380" w:val="left" w:leader="none"/>
          <w:tab w:pos="2381" w:val="left" w:leader="none"/>
        </w:tabs>
        <w:spacing w:line="242" w:lineRule="auto" w:before="137" w:after="0"/>
        <w:ind w:left="2381" w:right="1788" w:hanging="794"/>
        <w:jc w:val="left"/>
        <w:rPr>
          <w:sz w:val="21"/>
        </w:rPr>
      </w:pPr>
      <w:r>
        <w:rPr>
          <w:w w:val="105"/>
          <w:sz w:val="21"/>
        </w:rPr>
        <w:t>The </w:t>
      </w:r>
      <w:r>
        <w:rPr>
          <w:spacing w:val="-3"/>
          <w:w w:val="105"/>
          <w:sz w:val="21"/>
        </w:rPr>
        <w:t>recommendations </w:t>
      </w:r>
      <w:r>
        <w:rPr>
          <w:w w:val="105"/>
          <w:sz w:val="21"/>
        </w:rPr>
        <w:t>in this report should avoid the need </w:t>
      </w:r>
      <w:r>
        <w:rPr>
          <w:spacing w:val="-3"/>
          <w:w w:val="105"/>
          <w:sz w:val="21"/>
        </w:rPr>
        <w:t>for </w:t>
      </w:r>
      <w:r>
        <w:rPr>
          <w:w w:val="105"/>
          <w:sz w:val="21"/>
        </w:rPr>
        <w:t>the Act </w:t>
      </w:r>
      <w:r>
        <w:rPr>
          <w:spacing w:val="-3"/>
          <w:w w:val="105"/>
          <w:sz w:val="21"/>
        </w:rPr>
        <w:t>to </w:t>
      </w:r>
      <w:r>
        <w:rPr>
          <w:w w:val="105"/>
          <w:sz w:val="21"/>
        </w:rPr>
        <w:t>specify </w:t>
      </w:r>
      <w:r>
        <w:rPr>
          <w:spacing w:val="-3"/>
          <w:w w:val="105"/>
          <w:sz w:val="21"/>
        </w:rPr>
        <w:t>that </w:t>
      </w:r>
      <w:r>
        <w:rPr>
          <w:w w:val="105"/>
          <w:sz w:val="21"/>
        </w:rPr>
        <w:t>tree </w:t>
      </w:r>
      <w:r>
        <w:rPr>
          <w:spacing w:val="-3"/>
          <w:w w:val="105"/>
          <w:sz w:val="21"/>
        </w:rPr>
        <w:t>removal </w:t>
      </w:r>
      <w:r>
        <w:rPr>
          <w:w w:val="105"/>
          <w:sz w:val="21"/>
        </w:rPr>
        <w:t>should be ordered as a last resort. In </w:t>
      </w:r>
      <w:r>
        <w:rPr>
          <w:spacing w:val="-3"/>
          <w:w w:val="105"/>
          <w:sz w:val="21"/>
        </w:rPr>
        <w:t>Chapters </w:t>
      </w:r>
      <w:r>
        <w:rPr>
          <w:w w:val="105"/>
          <w:sz w:val="21"/>
        </w:rPr>
        <w:t>7 and 8 the </w:t>
      </w:r>
      <w:r>
        <w:rPr>
          <w:spacing w:val="-3"/>
          <w:w w:val="105"/>
          <w:sz w:val="21"/>
        </w:rPr>
        <w:t>Commission </w:t>
      </w:r>
      <w:r>
        <w:rPr>
          <w:w w:val="105"/>
          <w:sz w:val="21"/>
        </w:rPr>
        <w:t>emphasises</w:t>
      </w:r>
      <w:r>
        <w:rPr>
          <w:spacing w:val="-7"/>
          <w:w w:val="105"/>
          <w:sz w:val="21"/>
        </w:rPr>
        <w:t> </w:t>
      </w:r>
      <w:r>
        <w:rPr>
          <w:spacing w:val="-3"/>
          <w:w w:val="105"/>
          <w:sz w:val="21"/>
        </w:rPr>
        <w:t>that</w:t>
      </w:r>
      <w:r>
        <w:rPr>
          <w:spacing w:val="-6"/>
          <w:w w:val="105"/>
          <w:sz w:val="21"/>
        </w:rPr>
        <w:t> </w:t>
      </w:r>
      <w:r>
        <w:rPr>
          <w:w w:val="105"/>
          <w:sz w:val="21"/>
        </w:rPr>
        <w:t>the</w:t>
      </w:r>
      <w:r>
        <w:rPr>
          <w:spacing w:val="-6"/>
          <w:w w:val="105"/>
          <w:sz w:val="21"/>
        </w:rPr>
        <w:t> </w:t>
      </w:r>
      <w:r>
        <w:rPr>
          <w:w w:val="105"/>
          <w:sz w:val="21"/>
        </w:rPr>
        <w:t>new</w:t>
      </w:r>
      <w:r>
        <w:rPr>
          <w:spacing w:val="-6"/>
          <w:w w:val="105"/>
          <w:sz w:val="21"/>
        </w:rPr>
        <w:t> </w:t>
      </w:r>
      <w:r>
        <w:rPr>
          <w:w w:val="105"/>
          <w:sz w:val="21"/>
        </w:rPr>
        <w:t>Act</w:t>
      </w:r>
      <w:r>
        <w:rPr>
          <w:spacing w:val="-7"/>
          <w:w w:val="105"/>
          <w:sz w:val="21"/>
        </w:rPr>
        <w:t> </w:t>
      </w:r>
      <w:r>
        <w:rPr>
          <w:w w:val="105"/>
          <w:sz w:val="21"/>
        </w:rPr>
        <w:t>should</w:t>
      </w:r>
      <w:r>
        <w:rPr>
          <w:spacing w:val="-6"/>
          <w:w w:val="105"/>
          <w:sz w:val="21"/>
        </w:rPr>
        <w:t> </w:t>
      </w:r>
      <w:r>
        <w:rPr>
          <w:w w:val="105"/>
          <w:sz w:val="21"/>
        </w:rPr>
        <w:t>be</w:t>
      </w:r>
      <w:r>
        <w:rPr>
          <w:spacing w:val="-6"/>
          <w:w w:val="105"/>
          <w:sz w:val="21"/>
        </w:rPr>
        <w:t> </w:t>
      </w:r>
      <w:r>
        <w:rPr>
          <w:spacing w:val="-3"/>
          <w:w w:val="105"/>
          <w:sz w:val="21"/>
        </w:rPr>
        <w:t>underpinned</w:t>
      </w:r>
      <w:r>
        <w:rPr>
          <w:spacing w:val="-6"/>
          <w:w w:val="105"/>
          <w:sz w:val="21"/>
        </w:rPr>
        <w:t> </w:t>
      </w:r>
      <w:r>
        <w:rPr>
          <w:w w:val="105"/>
          <w:sz w:val="21"/>
        </w:rPr>
        <w:t>by</w:t>
      </w:r>
      <w:r>
        <w:rPr>
          <w:spacing w:val="-7"/>
          <w:w w:val="105"/>
          <w:sz w:val="21"/>
        </w:rPr>
        <w:t> </w:t>
      </w:r>
      <w:r>
        <w:rPr>
          <w:w w:val="105"/>
          <w:sz w:val="21"/>
        </w:rPr>
        <w:t>a</w:t>
      </w:r>
      <w:r>
        <w:rPr>
          <w:spacing w:val="-6"/>
          <w:w w:val="105"/>
          <w:sz w:val="21"/>
        </w:rPr>
        <w:t> </w:t>
      </w:r>
      <w:r>
        <w:rPr>
          <w:spacing w:val="-3"/>
          <w:w w:val="105"/>
          <w:sz w:val="21"/>
        </w:rPr>
        <w:t>requirement</w:t>
      </w:r>
      <w:r>
        <w:rPr>
          <w:spacing w:val="-6"/>
          <w:w w:val="105"/>
          <w:sz w:val="21"/>
        </w:rPr>
        <w:t> </w:t>
      </w:r>
      <w:r>
        <w:rPr>
          <w:spacing w:val="-3"/>
          <w:w w:val="105"/>
          <w:sz w:val="21"/>
        </w:rPr>
        <w:t>for</w:t>
      </w:r>
      <w:r>
        <w:rPr>
          <w:spacing w:val="-6"/>
          <w:w w:val="105"/>
          <w:sz w:val="21"/>
        </w:rPr>
        <w:t> </w:t>
      </w:r>
      <w:r>
        <w:rPr>
          <w:spacing w:val="-3"/>
          <w:w w:val="105"/>
          <w:sz w:val="21"/>
        </w:rPr>
        <w:t>arboricultural </w:t>
      </w:r>
      <w:r>
        <w:rPr>
          <w:w w:val="105"/>
          <w:sz w:val="21"/>
        </w:rPr>
        <w:t>evidence </w:t>
      </w:r>
      <w:r>
        <w:rPr>
          <w:spacing w:val="-3"/>
          <w:w w:val="105"/>
          <w:sz w:val="21"/>
        </w:rPr>
        <w:t>that </w:t>
      </w:r>
      <w:r>
        <w:rPr>
          <w:w w:val="105"/>
          <w:sz w:val="21"/>
        </w:rPr>
        <w:t>shows </w:t>
      </w:r>
      <w:r>
        <w:rPr>
          <w:spacing w:val="-3"/>
          <w:w w:val="105"/>
          <w:sz w:val="21"/>
        </w:rPr>
        <w:t>that </w:t>
      </w:r>
      <w:r>
        <w:rPr>
          <w:w w:val="105"/>
          <w:sz w:val="21"/>
        </w:rPr>
        <w:t>the tree is the </w:t>
      </w:r>
      <w:r>
        <w:rPr>
          <w:spacing w:val="-3"/>
          <w:w w:val="105"/>
          <w:sz w:val="21"/>
        </w:rPr>
        <w:t>real </w:t>
      </w:r>
      <w:r>
        <w:rPr>
          <w:w w:val="105"/>
          <w:sz w:val="21"/>
        </w:rPr>
        <w:t>and actual cause of damage or </w:t>
      </w:r>
      <w:r>
        <w:rPr>
          <w:spacing w:val="-3"/>
          <w:w w:val="105"/>
          <w:sz w:val="21"/>
        </w:rPr>
        <w:t>harm that </w:t>
      </w:r>
      <w:r>
        <w:rPr>
          <w:spacing w:val="-2"/>
          <w:w w:val="105"/>
          <w:sz w:val="21"/>
        </w:rPr>
        <w:t>has </w:t>
      </w:r>
      <w:r>
        <w:rPr>
          <w:spacing w:val="-3"/>
          <w:w w:val="105"/>
          <w:sz w:val="21"/>
        </w:rPr>
        <w:t>occurred </w:t>
      </w:r>
      <w:r>
        <w:rPr>
          <w:w w:val="105"/>
          <w:sz w:val="21"/>
        </w:rPr>
        <w:t>or is </w:t>
      </w:r>
      <w:r>
        <w:rPr>
          <w:spacing w:val="-4"/>
          <w:w w:val="105"/>
          <w:sz w:val="21"/>
        </w:rPr>
        <w:t>likely </w:t>
      </w:r>
      <w:r>
        <w:rPr>
          <w:spacing w:val="-3"/>
          <w:w w:val="105"/>
          <w:sz w:val="21"/>
        </w:rPr>
        <w:t>to occur </w:t>
      </w:r>
      <w:r>
        <w:rPr>
          <w:w w:val="105"/>
          <w:sz w:val="21"/>
        </w:rPr>
        <w:t>in the next </w:t>
      </w:r>
      <w:r>
        <w:rPr>
          <w:spacing w:val="-9"/>
          <w:w w:val="105"/>
          <w:sz w:val="21"/>
        </w:rPr>
        <w:t>12 </w:t>
      </w:r>
      <w:r>
        <w:rPr>
          <w:spacing w:val="-3"/>
          <w:w w:val="105"/>
          <w:sz w:val="21"/>
        </w:rPr>
        <w:t>months. </w:t>
      </w:r>
      <w:r>
        <w:rPr>
          <w:w w:val="105"/>
          <w:sz w:val="21"/>
        </w:rPr>
        <w:t>The decision-making </w:t>
      </w:r>
      <w:r>
        <w:rPr>
          <w:spacing w:val="-3"/>
          <w:w w:val="105"/>
          <w:sz w:val="21"/>
        </w:rPr>
        <w:t>principles </w:t>
      </w:r>
      <w:r>
        <w:rPr>
          <w:w w:val="105"/>
          <w:sz w:val="21"/>
        </w:rPr>
        <w:t>in </w:t>
      </w:r>
      <w:r>
        <w:rPr>
          <w:spacing w:val="-4"/>
          <w:w w:val="105"/>
          <w:sz w:val="21"/>
        </w:rPr>
        <w:t>Chapter </w:t>
      </w:r>
      <w:r>
        <w:rPr>
          <w:w w:val="105"/>
          <w:sz w:val="21"/>
        </w:rPr>
        <w:t>8 also </w:t>
      </w:r>
      <w:r>
        <w:rPr>
          <w:spacing w:val="-3"/>
          <w:w w:val="105"/>
          <w:sz w:val="21"/>
        </w:rPr>
        <w:t>require consideration </w:t>
      </w:r>
      <w:r>
        <w:rPr>
          <w:w w:val="105"/>
          <w:sz w:val="21"/>
        </w:rPr>
        <w:t>of a wide </w:t>
      </w:r>
      <w:r>
        <w:rPr>
          <w:spacing w:val="-3"/>
          <w:w w:val="105"/>
          <w:sz w:val="21"/>
        </w:rPr>
        <w:t>range </w:t>
      </w:r>
      <w:r>
        <w:rPr>
          <w:w w:val="105"/>
          <w:sz w:val="21"/>
        </w:rPr>
        <w:t>of factors </w:t>
      </w:r>
      <w:r>
        <w:rPr>
          <w:spacing w:val="-3"/>
          <w:w w:val="105"/>
          <w:sz w:val="21"/>
        </w:rPr>
        <w:t>that recognise </w:t>
      </w:r>
      <w:r>
        <w:rPr>
          <w:w w:val="105"/>
          <w:sz w:val="21"/>
        </w:rPr>
        <w:t>the </w:t>
      </w:r>
      <w:r>
        <w:rPr>
          <w:spacing w:val="-3"/>
          <w:w w:val="105"/>
          <w:sz w:val="21"/>
        </w:rPr>
        <w:t>contribution </w:t>
      </w:r>
      <w:r>
        <w:rPr>
          <w:w w:val="105"/>
          <w:sz w:val="21"/>
        </w:rPr>
        <w:t>of the tree </w:t>
      </w:r>
      <w:r>
        <w:rPr>
          <w:spacing w:val="-3"/>
          <w:w w:val="105"/>
          <w:sz w:val="21"/>
        </w:rPr>
        <w:t>to amenity, </w:t>
      </w:r>
      <w:r>
        <w:rPr>
          <w:w w:val="105"/>
          <w:sz w:val="21"/>
        </w:rPr>
        <w:t>local eco-systems and </w:t>
      </w:r>
      <w:r>
        <w:rPr>
          <w:spacing w:val="-3"/>
          <w:w w:val="105"/>
          <w:sz w:val="21"/>
        </w:rPr>
        <w:t>biodiversity, </w:t>
      </w:r>
      <w:r>
        <w:rPr>
          <w:w w:val="105"/>
          <w:sz w:val="21"/>
        </w:rPr>
        <w:t>and its </w:t>
      </w:r>
      <w:r>
        <w:rPr>
          <w:spacing w:val="-3"/>
          <w:w w:val="105"/>
          <w:sz w:val="21"/>
        </w:rPr>
        <w:t>social, cultural</w:t>
      </w:r>
      <w:r>
        <w:rPr>
          <w:spacing w:val="-7"/>
          <w:w w:val="105"/>
          <w:sz w:val="21"/>
        </w:rPr>
        <w:t> </w:t>
      </w:r>
      <w:r>
        <w:rPr>
          <w:w w:val="105"/>
          <w:sz w:val="21"/>
        </w:rPr>
        <w:t>and</w:t>
      </w:r>
      <w:r>
        <w:rPr>
          <w:spacing w:val="-7"/>
          <w:w w:val="105"/>
          <w:sz w:val="21"/>
        </w:rPr>
        <w:t> </w:t>
      </w:r>
      <w:r>
        <w:rPr>
          <w:w w:val="105"/>
          <w:sz w:val="21"/>
        </w:rPr>
        <w:t>scientific</w:t>
      </w:r>
      <w:r>
        <w:rPr>
          <w:spacing w:val="-7"/>
          <w:w w:val="105"/>
          <w:sz w:val="21"/>
        </w:rPr>
        <w:t> </w:t>
      </w:r>
      <w:r>
        <w:rPr>
          <w:spacing w:val="-4"/>
          <w:w w:val="105"/>
          <w:sz w:val="21"/>
        </w:rPr>
        <w:t>value.</w:t>
      </w:r>
      <w:r>
        <w:rPr>
          <w:spacing w:val="-7"/>
          <w:w w:val="105"/>
          <w:sz w:val="21"/>
        </w:rPr>
        <w:t> </w:t>
      </w:r>
      <w:r>
        <w:rPr>
          <w:w w:val="105"/>
          <w:sz w:val="21"/>
        </w:rPr>
        <w:t>The</w:t>
      </w:r>
      <w:r>
        <w:rPr>
          <w:spacing w:val="-7"/>
          <w:w w:val="105"/>
          <w:sz w:val="21"/>
        </w:rPr>
        <w:t> </w:t>
      </w:r>
      <w:r>
        <w:rPr>
          <w:spacing w:val="-3"/>
          <w:w w:val="105"/>
          <w:sz w:val="21"/>
        </w:rPr>
        <w:t>combined</w:t>
      </w:r>
      <w:r>
        <w:rPr>
          <w:spacing w:val="-7"/>
          <w:w w:val="105"/>
          <w:sz w:val="21"/>
        </w:rPr>
        <w:t> </w:t>
      </w:r>
      <w:r>
        <w:rPr>
          <w:w w:val="105"/>
          <w:sz w:val="21"/>
        </w:rPr>
        <w:t>effect</w:t>
      </w:r>
      <w:r>
        <w:rPr>
          <w:spacing w:val="-7"/>
          <w:w w:val="105"/>
          <w:sz w:val="21"/>
        </w:rPr>
        <w:t> </w:t>
      </w:r>
      <w:r>
        <w:rPr>
          <w:w w:val="105"/>
          <w:sz w:val="21"/>
        </w:rPr>
        <w:t>of</w:t>
      </w:r>
      <w:r>
        <w:rPr>
          <w:spacing w:val="-7"/>
          <w:w w:val="105"/>
          <w:sz w:val="21"/>
        </w:rPr>
        <w:t> </w:t>
      </w:r>
      <w:r>
        <w:rPr>
          <w:w w:val="105"/>
          <w:sz w:val="21"/>
        </w:rPr>
        <w:t>these</w:t>
      </w:r>
      <w:r>
        <w:rPr>
          <w:spacing w:val="-7"/>
          <w:w w:val="105"/>
          <w:sz w:val="21"/>
        </w:rPr>
        <w:t> </w:t>
      </w:r>
      <w:r>
        <w:rPr>
          <w:spacing w:val="-3"/>
          <w:w w:val="105"/>
          <w:sz w:val="21"/>
        </w:rPr>
        <w:t>recommendations</w:t>
      </w:r>
      <w:r>
        <w:rPr>
          <w:spacing w:val="-6"/>
          <w:w w:val="105"/>
          <w:sz w:val="21"/>
        </w:rPr>
        <w:t> </w:t>
      </w:r>
      <w:r>
        <w:rPr>
          <w:w w:val="105"/>
          <w:sz w:val="21"/>
        </w:rPr>
        <w:t>is</w:t>
      </w:r>
      <w:r>
        <w:rPr>
          <w:spacing w:val="-7"/>
          <w:w w:val="105"/>
          <w:sz w:val="21"/>
        </w:rPr>
        <w:t> </w:t>
      </w:r>
      <w:r>
        <w:rPr>
          <w:spacing w:val="-3"/>
          <w:w w:val="105"/>
          <w:sz w:val="21"/>
        </w:rPr>
        <w:t>that</w:t>
      </w:r>
      <w:r>
        <w:rPr>
          <w:spacing w:val="-7"/>
          <w:w w:val="105"/>
          <w:sz w:val="21"/>
        </w:rPr>
        <w:t> </w:t>
      </w:r>
      <w:r>
        <w:rPr>
          <w:w w:val="105"/>
          <w:sz w:val="21"/>
        </w:rPr>
        <w:t>tree </w:t>
      </w:r>
      <w:r>
        <w:rPr>
          <w:spacing w:val="-3"/>
          <w:w w:val="105"/>
          <w:sz w:val="21"/>
        </w:rPr>
        <w:t>removal </w:t>
      </w:r>
      <w:r>
        <w:rPr>
          <w:w w:val="105"/>
          <w:sz w:val="21"/>
        </w:rPr>
        <w:t>is only </w:t>
      </w:r>
      <w:r>
        <w:rPr>
          <w:spacing w:val="-4"/>
          <w:w w:val="105"/>
          <w:sz w:val="21"/>
        </w:rPr>
        <w:t>likely </w:t>
      </w:r>
      <w:r>
        <w:rPr>
          <w:spacing w:val="-3"/>
          <w:w w:val="105"/>
          <w:sz w:val="21"/>
        </w:rPr>
        <w:t>to occur </w:t>
      </w:r>
      <w:r>
        <w:rPr>
          <w:w w:val="105"/>
          <w:sz w:val="21"/>
        </w:rPr>
        <w:t>as a last</w:t>
      </w:r>
      <w:r>
        <w:rPr>
          <w:spacing w:val="49"/>
          <w:w w:val="105"/>
          <w:sz w:val="21"/>
        </w:rPr>
        <w:t> </w:t>
      </w:r>
      <w:r>
        <w:rPr>
          <w:w w:val="105"/>
          <w:sz w:val="21"/>
        </w:rPr>
        <w:t>resort.</w:t>
      </w:r>
    </w:p>
    <w:p>
      <w:pPr>
        <w:pStyle w:val="BodyText"/>
        <w:spacing w:before="11"/>
        <w:rPr>
          <w:sz w:val="20"/>
        </w:rPr>
      </w:pPr>
    </w:p>
    <w:p>
      <w:pPr>
        <w:pStyle w:val="Heading5"/>
      </w:pPr>
      <w:r>
        <w:rPr>
          <w:w w:val="115"/>
        </w:rPr>
        <w:t>Legal costs</w:t>
      </w:r>
    </w:p>
    <w:p>
      <w:pPr>
        <w:pStyle w:val="ListParagraph"/>
        <w:numPr>
          <w:ilvl w:val="1"/>
          <w:numId w:val="16"/>
        </w:numPr>
        <w:tabs>
          <w:tab w:pos="2381" w:val="left" w:leader="none"/>
          <w:tab w:pos="2382" w:val="left" w:leader="none"/>
        </w:tabs>
        <w:spacing w:line="242" w:lineRule="auto" w:before="137" w:after="0"/>
        <w:ind w:left="2381" w:right="1731" w:hanging="794"/>
        <w:jc w:val="left"/>
        <w:rPr>
          <w:sz w:val="21"/>
        </w:rPr>
      </w:pPr>
      <w:r>
        <w:rPr>
          <w:sz w:val="21"/>
        </w:rPr>
        <w:t>Parties </w:t>
      </w:r>
      <w:r>
        <w:rPr>
          <w:spacing w:val="-3"/>
          <w:sz w:val="21"/>
        </w:rPr>
        <w:t>are </w:t>
      </w:r>
      <w:r>
        <w:rPr>
          <w:sz w:val="21"/>
        </w:rPr>
        <w:t>expected </w:t>
      </w:r>
      <w:r>
        <w:rPr>
          <w:spacing w:val="-3"/>
          <w:sz w:val="21"/>
        </w:rPr>
        <w:t>to </w:t>
      </w:r>
      <w:r>
        <w:rPr>
          <w:sz w:val="21"/>
        </w:rPr>
        <w:t>bear their own legal costs in </w:t>
      </w:r>
      <w:r>
        <w:rPr>
          <w:spacing w:val="-6"/>
          <w:sz w:val="21"/>
        </w:rPr>
        <w:t>VCAT.</w:t>
      </w:r>
      <w:r>
        <w:rPr>
          <w:spacing w:val="-6"/>
          <w:position w:val="7"/>
          <w:sz w:val="12"/>
        </w:rPr>
        <w:t>65 </w:t>
      </w:r>
      <w:r>
        <w:rPr>
          <w:spacing w:val="-4"/>
          <w:sz w:val="21"/>
        </w:rPr>
        <w:t>However, </w:t>
      </w:r>
      <w:r>
        <w:rPr>
          <w:spacing w:val="-5"/>
          <w:sz w:val="21"/>
        </w:rPr>
        <w:t>VCAT  </w:t>
      </w:r>
      <w:r>
        <w:rPr>
          <w:spacing w:val="-3"/>
          <w:sz w:val="21"/>
        </w:rPr>
        <w:t>may  </w:t>
      </w:r>
      <w:r>
        <w:rPr>
          <w:sz w:val="21"/>
        </w:rPr>
        <w:t>order  legal costs in certain </w:t>
      </w:r>
      <w:r>
        <w:rPr>
          <w:spacing w:val="-3"/>
          <w:sz w:val="21"/>
        </w:rPr>
        <w:t>circumstances such </w:t>
      </w:r>
      <w:r>
        <w:rPr>
          <w:sz w:val="21"/>
        </w:rPr>
        <w:t>as where the matter was </w:t>
      </w:r>
      <w:r>
        <w:rPr>
          <w:spacing w:val="-3"/>
          <w:sz w:val="21"/>
        </w:rPr>
        <w:t>brought  </w:t>
      </w:r>
      <w:r>
        <w:rPr>
          <w:sz w:val="21"/>
        </w:rPr>
        <w:t>without merit  or </w:t>
      </w:r>
      <w:r>
        <w:rPr>
          <w:spacing w:val="-3"/>
          <w:sz w:val="21"/>
        </w:rPr>
        <w:t>to harass, annoy </w:t>
      </w:r>
      <w:r>
        <w:rPr>
          <w:sz w:val="21"/>
        </w:rPr>
        <w:t>or distress someone, or is </w:t>
      </w:r>
      <w:r>
        <w:rPr>
          <w:spacing w:val="-2"/>
          <w:sz w:val="21"/>
        </w:rPr>
        <w:t>not </w:t>
      </w:r>
      <w:r>
        <w:rPr>
          <w:spacing w:val="-3"/>
          <w:sz w:val="21"/>
        </w:rPr>
        <w:t>well </w:t>
      </w:r>
      <w:r>
        <w:rPr>
          <w:sz w:val="21"/>
        </w:rPr>
        <w:t>supported in fact or</w:t>
      </w:r>
      <w:r>
        <w:rPr>
          <w:spacing w:val="-13"/>
          <w:sz w:val="21"/>
        </w:rPr>
        <w:t> </w:t>
      </w:r>
      <w:r>
        <w:rPr>
          <w:spacing w:val="-3"/>
          <w:sz w:val="21"/>
        </w:rPr>
        <w:t>law.</w:t>
      </w:r>
      <w:r>
        <w:rPr>
          <w:spacing w:val="-3"/>
          <w:position w:val="7"/>
          <w:sz w:val="12"/>
        </w:rPr>
        <w:t>66</w:t>
      </w:r>
    </w:p>
    <w:p>
      <w:pPr>
        <w:pStyle w:val="ListParagraph"/>
        <w:numPr>
          <w:ilvl w:val="1"/>
          <w:numId w:val="16"/>
        </w:numPr>
        <w:tabs>
          <w:tab w:pos="2381" w:val="left" w:leader="none"/>
          <w:tab w:pos="2382" w:val="left" w:leader="none"/>
        </w:tabs>
        <w:spacing w:line="242" w:lineRule="auto" w:before="123" w:after="0"/>
        <w:ind w:left="2381" w:right="1572" w:hanging="794"/>
        <w:jc w:val="left"/>
        <w:rPr>
          <w:sz w:val="21"/>
        </w:rPr>
      </w:pPr>
      <w:r>
        <w:rPr>
          <w:sz w:val="21"/>
        </w:rPr>
        <w:t>It </w:t>
      </w:r>
      <w:r>
        <w:rPr>
          <w:spacing w:val="-3"/>
          <w:sz w:val="21"/>
        </w:rPr>
        <w:t>may </w:t>
      </w:r>
      <w:r>
        <w:rPr>
          <w:sz w:val="21"/>
        </w:rPr>
        <w:t>be </w:t>
      </w:r>
      <w:r>
        <w:rPr>
          <w:spacing w:val="-3"/>
          <w:sz w:val="21"/>
        </w:rPr>
        <w:t>appropriate for </w:t>
      </w:r>
      <w:r>
        <w:rPr>
          <w:spacing w:val="-5"/>
          <w:sz w:val="21"/>
        </w:rPr>
        <w:t>VCAT </w:t>
      </w:r>
      <w:r>
        <w:rPr>
          <w:spacing w:val="-3"/>
          <w:sz w:val="21"/>
        </w:rPr>
        <w:t>to exercise </w:t>
      </w:r>
      <w:r>
        <w:rPr>
          <w:sz w:val="21"/>
        </w:rPr>
        <w:t>this power where a tree </w:t>
      </w:r>
      <w:r>
        <w:rPr>
          <w:spacing w:val="-3"/>
          <w:sz w:val="21"/>
        </w:rPr>
        <w:t>dispute </w:t>
      </w:r>
      <w:r>
        <w:rPr>
          <w:sz w:val="21"/>
        </w:rPr>
        <w:t>is </w:t>
      </w:r>
      <w:r>
        <w:rPr>
          <w:spacing w:val="-3"/>
          <w:sz w:val="21"/>
        </w:rPr>
        <w:t>initiated </w:t>
      </w:r>
      <w:r>
        <w:rPr>
          <w:sz w:val="21"/>
        </w:rPr>
        <w:t>by a </w:t>
      </w:r>
      <w:r>
        <w:rPr>
          <w:spacing w:val="-3"/>
          <w:sz w:val="21"/>
        </w:rPr>
        <w:t>neighbour</w:t>
      </w:r>
      <w:r>
        <w:rPr>
          <w:spacing w:val="9"/>
          <w:sz w:val="21"/>
        </w:rPr>
        <w:t> </w:t>
      </w:r>
      <w:r>
        <w:rPr>
          <w:spacing w:val="-3"/>
          <w:sz w:val="21"/>
        </w:rPr>
        <w:t>purely</w:t>
      </w:r>
      <w:r>
        <w:rPr>
          <w:spacing w:val="10"/>
          <w:sz w:val="21"/>
        </w:rPr>
        <w:t> </w:t>
      </w:r>
      <w:r>
        <w:rPr>
          <w:spacing w:val="-3"/>
          <w:sz w:val="21"/>
        </w:rPr>
        <w:t>to</w:t>
      </w:r>
      <w:r>
        <w:rPr>
          <w:spacing w:val="9"/>
          <w:sz w:val="21"/>
        </w:rPr>
        <w:t> </w:t>
      </w:r>
      <w:r>
        <w:rPr>
          <w:spacing w:val="-3"/>
          <w:sz w:val="21"/>
        </w:rPr>
        <w:t>annoy</w:t>
      </w:r>
      <w:r>
        <w:rPr>
          <w:spacing w:val="10"/>
          <w:sz w:val="21"/>
        </w:rPr>
        <w:t> </w:t>
      </w:r>
      <w:r>
        <w:rPr>
          <w:sz w:val="21"/>
        </w:rPr>
        <w:t>or</w:t>
      </w:r>
      <w:r>
        <w:rPr>
          <w:spacing w:val="9"/>
          <w:sz w:val="21"/>
        </w:rPr>
        <w:t> </w:t>
      </w:r>
      <w:r>
        <w:rPr>
          <w:sz w:val="21"/>
        </w:rPr>
        <w:t>distress</w:t>
      </w:r>
      <w:r>
        <w:rPr>
          <w:spacing w:val="10"/>
          <w:sz w:val="21"/>
        </w:rPr>
        <w:t> </w:t>
      </w:r>
      <w:r>
        <w:rPr>
          <w:sz w:val="21"/>
        </w:rPr>
        <w:t>the</w:t>
      </w:r>
      <w:r>
        <w:rPr>
          <w:spacing w:val="10"/>
          <w:sz w:val="21"/>
        </w:rPr>
        <w:t> </w:t>
      </w:r>
      <w:r>
        <w:rPr>
          <w:sz w:val="21"/>
        </w:rPr>
        <w:t>tree</w:t>
      </w:r>
      <w:r>
        <w:rPr>
          <w:spacing w:val="9"/>
          <w:sz w:val="21"/>
        </w:rPr>
        <w:t> </w:t>
      </w:r>
      <w:r>
        <w:rPr>
          <w:spacing w:val="-4"/>
          <w:sz w:val="21"/>
        </w:rPr>
        <w:t>owner.</w:t>
      </w:r>
    </w:p>
    <w:p>
      <w:pPr>
        <w:pStyle w:val="BodyText"/>
        <w:spacing w:before="5"/>
        <w:rPr>
          <w:sz w:val="14"/>
        </w:rPr>
      </w:pPr>
      <w:r>
        <w:rPr/>
        <w:pict>
          <v:group style="position:absolute;margin-left:62.362202pt;margin-top:10.779638pt;width:479.1pt;height:281.4pt;mso-position-horizontal-relative:page;mso-position-vertical-relative:paragraph;z-index:8648;mso-wrap-distance-left:0;mso-wrap-distance-right:0" coordorigin="1247,216" coordsize="9582,5628">
            <v:rect style="position:absolute;left:1587;top:215;width:8731;height:5628" filled="true" fillcolor="#dbe0dd" stroked="false">
              <v:fill type="solid"/>
            </v:rect>
            <v:line style="position:absolute" from="1247,962" to="10828,962" stroked="true" strokeweight="2.5pt" strokecolor="#ffffff">
              <v:stroke dashstyle="solid"/>
            </v:line>
            <v:shape style="position:absolute;left:1587;top:987;width:8731;height:4856" type="#_x0000_t202" filled="true" fillcolor="#dbe0dd" stroked="false">
              <v:textbox inset="0,0,0,0">
                <w:txbxContent>
                  <w:p>
                    <w:pPr>
                      <w:numPr>
                        <w:ilvl w:val="0"/>
                        <w:numId w:val="145"/>
                      </w:numPr>
                      <w:tabs>
                        <w:tab w:pos="793" w:val="left" w:leader="none"/>
                        <w:tab w:pos="794" w:val="left" w:leader="none"/>
                      </w:tabs>
                      <w:spacing w:line="242" w:lineRule="auto" w:before="208"/>
                      <w:ind w:left="793" w:right="325" w:hanging="567"/>
                      <w:jc w:val="left"/>
                      <w:rPr>
                        <w:sz w:val="21"/>
                      </w:rPr>
                    </w:pPr>
                    <w:r>
                      <w:rPr>
                        <w:w w:val="115"/>
                        <w:sz w:val="21"/>
                      </w:rPr>
                      <w:t>The</w:t>
                    </w:r>
                    <w:r>
                      <w:rPr>
                        <w:spacing w:val="-8"/>
                        <w:w w:val="115"/>
                        <w:sz w:val="21"/>
                      </w:rPr>
                      <w:t> </w:t>
                    </w:r>
                    <w:r>
                      <w:rPr>
                        <w:w w:val="115"/>
                        <w:sz w:val="21"/>
                      </w:rPr>
                      <w:t>Act</w:t>
                    </w:r>
                    <w:r>
                      <w:rPr>
                        <w:spacing w:val="-8"/>
                        <w:w w:val="115"/>
                        <w:sz w:val="21"/>
                      </w:rPr>
                      <w:t> </w:t>
                    </w:r>
                    <w:r>
                      <w:rPr>
                        <w:w w:val="115"/>
                        <w:sz w:val="21"/>
                      </w:rPr>
                      <w:t>should</w:t>
                    </w:r>
                    <w:r>
                      <w:rPr>
                        <w:spacing w:val="-7"/>
                        <w:w w:val="115"/>
                        <w:sz w:val="21"/>
                      </w:rPr>
                      <w:t> </w:t>
                    </w:r>
                    <w:r>
                      <w:rPr>
                        <w:w w:val="115"/>
                        <w:sz w:val="21"/>
                      </w:rPr>
                      <w:t>provide</w:t>
                    </w:r>
                    <w:r>
                      <w:rPr>
                        <w:spacing w:val="-8"/>
                        <w:w w:val="115"/>
                        <w:sz w:val="21"/>
                      </w:rPr>
                      <w:t> </w:t>
                    </w:r>
                    <w:r>
                      <w:rPr>
                        <w:w w:val="115"/>
                        <w:sz w:val="21"/>
                      </w:rPr>
                      <w:t>the</w:t>
                    </w:r>
                    <w:r>
                      <w:rPr>
                        <w:spacing w:val="-7"/>
                        <w:w w:val="115"/>
                        <w:sz w:val="21"/>
                      </w:rPr>
                      <w:t> </w:t>
                    </w:r>
                    <w:r>
                      <w:rPr>
                        <w:w w:val="115"/>
                        <w:sz w:val="21"/>
                      </w:rPr>
                      <w:t>decision</w:t>
                    </w:r>
                    <w:r>
                      <w:rPr>
                        <w:spacing w:val="-8"/>
                        <w:w w:val="115"/>
                        <w:sz w:val="21"/>
                      </w:rPr>
                      <w:t> </w:t>
                    </w:r>
                    <w:r>
                      <w:rPr>
                        <w:spacing w:val="-3"/>
                        <w:w w:val="115"/>
                        <w:sz w:val="21"/>
                      </w:rPr>
                      <w:t>maker</w:t>
                    </w:r>
                    <w:r>
                      <w:rPr>
                        <w:spacing w:val="-7"/>
                        <w:w w:val="115"/>
                        <w:sz w:val="21"/>
                      </w:rPr>
                      <w:t> </w:t>
                    </w:r>
                    <w:r>
                      <w:rPr>
                        <w:w w:val="115"/>
                        <w:sz w:val="21"/>
                      </w:rPr>
                      <w:t>with</w:t>
                    </w:r>
                    <w:r>
                      <w:rPr>
                        <w:spacing w:val="-8"/>
                        <w:w w:val="115"/>
                        <w:sz w:val="21"/>
                      </w:rPr>
                      <w:t> </w:t>
                    </w:r>
                    <w:r>
                      <w:rPr>
                        <w:w w:val="115"/>
                        <w:sz w:val="21"/>
                      </w:rPr>
                      <w:t>broad</w:t>
                    </w:r>
                    <w:r>
                      <w:rPr>
                        <w:spacing w:val="-8"/>
                        <w:w w:val="115"/>
                        <w:sz w:val="21"/>
                      </w:rPr>
                      <w:t> </w:t>
                    </w:r>
                    <w:r>
                      <w:rPr>
                        <w:w w:val="115"/>
                        <w:sz w:val="21"/>
                      </w:rPr>
                      <w:t>discretion</w:t>
                    </w:r>
                    <w:r>
                      <w:rPr>
                        <w:spacing w:val="-7"/>
                        <w:w w:val="115"/>
                        <w:sz w:val="21"/>
                      </w:rPr>
                      <w:t> </w:t>
                    </w:r>
                    <w:r>
                      <w:rPr>
                        <w:w w:val="115"/>
                        <w:sz w:val="21"/>
                      </w:rPr>
                      <w:t>to</w:t>
                    </w:r>
                    <w:r>
                      <w:rPr>
                        <w:spacing w:val="-8"/>
                        <w:w w:val="115"/>
                        <w:sz w:val="21"/>
                      </w:rPr>
                      <w:t> </w:t>
                    </w:r>
                    <w:r>
                      <w:rPr>
                        <w:spacing w:val="-3"/>
                        <w:w w:val="115"/>
                        <w:sz w:val="21"/>
                      </w:rPr>
                      <w:t>make</w:t>
                    </w:r>
                    <w:r>
                      <w:rPr>
                        <w:spacing w:val="-7"/>
                        <w:w w:val="115"/>
                        <w:sz w:val="21"/>
                      </w:rPr>
                      <w:t> </w:t>
                    </w:r>
                    <w:r>
                      <w:rPr>
                        <w:w w:val="115"/>
                        <w:sz w:val="21"/>
                      </w:rPr>
                      <w:t>such orders as it considers appropriate,</w:t>
                    </w:r>
                    <w:r>
                      <w:rPr>
                        <w:spacing w:val="-2"/>
                        <w:w w:val="115"/>
                        <w:sz w:val="21"/>
                      </w:rPr>
                      <w:t> </w:t>
                    </w:r>
                    <w:r>
                      <w:rPr>
                        <w:w w:val="115"/>
                        <w:sz w:val="21"/>
                      </w:rPr>
                      <w:t>including:</w:t>
                    </w:r>
                  </w:p>
                  <w:p>
                    <w:pPr>
                      <w:numPr>
                        <w:ilvl w:val="1"/>
                        <w:numId w:val="145"/>
                      </w:numPr>
                      <w:tabs>
                        <w:tab w:pos="1360" w:val="left" w:leader="none"/>
                        <w:tab w:pos="1361" w:val="left" w:leader="none"/>
                      </w:tabs>
                      <w:spacing w:before="122"/>
                      <w:ind w:left="1360" w:right="0" w:hanging="567"/>
                      <w:jc w:val="left"/>
                      <w:rPr>
                        <w:sz w:val="21"/>
                      </w:rPr>
                    </w:pPr>
                    <w:r>
                      <w:rPr>
                        <w:w w:val="115"/>
                        <w:sz w:val="21"/>
                      </w:rPr>
                      <w:t>requiring the taking of specified</w:t>
                    </w:r>
                    <w:r>
                      <w:rPr>
                        <w:spacing w:val="4"/>
                        <w:w w:val="115"/>
                        <w:sz w:val="21"/>
                      </w:rPr>
                      <w:t> </w:t>
                    </w:r>
                    <w:r>
                      <w:rPr>
                        <w:w w:val="115"/>
                        <w:sz w:val="21"/>
                      </w:rPr>
                      <w:t>action</w:t>
                    </w:r>
                  </w:p>
                  <w:p>
                    <w:pPr>
                      <w:numPr>
                        <w:ilvl w:val="1"/>
                        <w:numId w:val="145"/>
                      </w:numPr>
                      <w:tabs>
                        <w:tab w:pos="1360" w:val="left" w:leader="none"/>
                        <w:tab w:pos="1361" w:val="left" w:leader="none"/>
                      </w:tabs>
                      <w:spacing w:line="242" w:lineRule="auto" w:before="124"/>
                      <w:ind w:left="1360" w:right="604" w:hanging="567"/>
                      <w:jc w:val="left"/>
                      <w:rPr>
                        <w:sz w:val="21"/>
                      </w:rPr>
                    </w:pPr>
                    <w:r>
                      <w:rPr>
                        <w:w w:val="115"/>
                        <w:sz w:val="21"/>
                      </w:rPr>
                      <w:t>enabling entry to land for the purposes of carrying out an order or to obtain a quote for carrying out the tree</w:t>
                    </w:r>
                    <w:r>
                      <w:rPr>
                        <w:spacing w:val="3"/>
                        <w:w w:val="115"/>
                        <w:sz w:val="21"/>
                      </w:rPr>
                      <w:t> </w:t>
                    </w:r>
                    <w:r>
                      <w:rPr>
                        <w:w w:val="115"/>
                        <w:sz w:val="21"/>
                      </w:rPr>
                      <w:t>works</w:t>
                    </w:r>
                  </w:p>
                  <w:p>
                    <w:pPr>
                      <w:numPr>
                        <w:ilvl w:val="1"/>
                        <w:numId w:val="145"/>
                      </w:numPr>
                      <w:tabs>
                        <w:tab w:pos="1360" w:val="left" w:leader="none"/>
                        <w:tab w:pos="1361" w:val="left" w:leader="none"/>
                      </w:tabs>
                      <w:spacing w:before="122"/>
                      <w:ind w:left="1360" w:right="0" w:hanging="567"/>
                      <w:jc w:val="left"/>
                      <w:rPr>
                        <w:sz w:val="21"/>
                      </w:rPr>
                    </w:pPr>
                    <w:r>
                      <w:rPr>
                        <w:w w:val="115"/>
                        <w:sz w:val="21"/>
                      </w:rPr>
                      <w:t>requiring the payment of the costs of tree</w:t>
                    </w:r>
                    <w:r>
                      <w:rPr>
                        <w:spacing w:val="-3"/>
                        <w:w w:val="115"/>
                        <w:sz w:val="21"/>
                      </w:rPr>
                      <w:t> </w:t>
                    </w:r>
                    <w:r>
                      <w:rPr>
                        <w:w w:val="115"/>
                        <w:sz w:val="21"/>
                      </w:rPr>
                      <w:t>works</w:t>
                    </w:r>
                  </w:p>
                  <w:p>
                    <w:pPr>
                      <w:numPr>
                        <w:ilvl w:val="1"/>
                        <w:numId w:val="145"/>
                      </w:numPr>
                      <w:tabs>
                        <w:tab w:pos="1360" w:val="left" w:leader="none"/>
                        <w:tab w:pos="1361" w:val="left" w:leader="none"/>
                      </w:tabs>
                      <w:spacing w:before="124"/>
                      <w:ind w:left="1360" w:right="0" w:hanging="567"/>
                      <w:jc w:val="left"/>
                      <w:rPr>
                        <w:sz w:val="21"/>
                      </w:rPr>
                    </w:pPr>
                    <w:r>
                      <w:rPr>
                        <w:w w:val="115"/>
                        <w:sz w:val="21"/>
                      </w:rPr>
                      <w:t>requiring the payment of compensation for property</w:t>
                    </w:r>
                    <w:r>
                      <w:rPr>
                        <w:spacing w:val="-4"/>
                        <w:w w:val="115"/>
                        <w:sz w:val="21"/>
                      </w:rPr>
                      <w:t> </w:t>
                    </w:r>
                    <w:r>
                      <w:rPr>
                        <w:w w:val="115"/>
                        <w:sz w:val="21"/>
                      </w:rPr>
                      <w:t>damage</w:t>
                    </w:r>
                  </w:p>
                  <w:p>
                    <w:pPr>
                      <w:numPr>
                        <w:ilvl w:val="1"/>
                        <w:numId w:val="145"/>
                      </w:numPr>
                      <w:tabs>
                        <w:tab w:pos="1360" w:val="left" w:leader="none"/>
                        <w:tab w:pos="1361" w:val="left" w:leader="none"/>
                      </w:tabs>
                      <w:spacing w:line="242" w:lineRule="auto" w:before="124"/>
                      <w:ind w:left="1360" w:right="329" w:hanging="567"/>
                      <w:jc w:val="left"/>
                      <w:rPr>
                        <w:sz w:val="21"/>
                      </w:rPr>
                    </w:pPr>
                    <w:r>
                      <w:rPr>
                        <w:w w:val="115"/>
                        <w:sz w:val="21"/>
                      </w:rPr>
                      <w:t>requiring</w:t>
                    </w:r>
                    <w:r>
                      <w:rPr>
                        <w:spacing w:val="-5"/>
                        <w:w w:val="115"/>
                        <w:sz w:val="21"/>
                      </w:rPr>
                      <w:t> </w:t>
                    </w:r>
                    <w:r>
                      <w:rPr>
                        <w:w w:val="115"/>
                        <w:sz w:val="21"/>
                      </w:rPr>
                      <w:t>a</w:t>
                    </w:r>
                    <w:r>
                      <w:rPr>
                        <w:spacing w:val="-5"/>
                        <w:w w:val="115"/>
                        <w:sz w:val="21"/>
                      </w:rPr>
                      <w:t> </w:t>
                    </w:r>
                    <w:r>
                      <w:rPr>
                        <w:w w:val="115"/>
                        <w:sz w:val="21"/>
                      </w:rPr>
                      <w:t>replacement</w:t>
                    </w:r>
                    <w:r>
                      <w:rPr>
                        <w:spacing w:val="-5"/>
                        <w:w w:val="115"/>
                        <w:sz w:val="21"/>
                      </w:rPr>
                      <w:t> </w:t>
                    </w:r>
                    <w:r>
                      <w:rPr>
                        <w:w w:val="115"/>
                        <w:sz w:val="21"/>
                      </w:rPr>
                      <w:t>tree</w:t>
                    </w:r>
                    <w:r>
                      <w:rPr>
                        <w:spacing w:val="-4"/>
                        <w:w w:val="115"/>
                        <w:sz w:val="21"/>
                      </w:rPr>
                      <w:t> </w:t>
                    </w:r>
                    <w:r>
                      <w:rPr>
                        <w:w w:val="115"/>
                        <w:sz w:val="21"/>
                      </w:rPr>
                      <w:t>to</w:t>
                    </w:r>
                    <w:r>
                      <w:rPr>
                        <w:spacing w:val="-5"/>
                        <w:w w:val="115"/>
                        <w:sz w:val="21"/>
                      </w:rPr>
                      <w:t> </w:t>
                    </w:r>
                    <w:r>
                      <w:rPr>
                        <w:w w:val="115"/>
                        <w:sz w:val="21"/>
                      </w:rPr>
                      <w:t>be</w:t>
                    </w:r>
                    <w:r>
                      <w:rPr>
                        <w:spacing w:val="-5"/>
                        <w:w w:val="115"/>
                        <w:sz w:val="21"/>
                      </w:rPr>
                      <w:t> </w:t>
                    </w:r>
                    <w:r>
                      <w:rPr>
                        <w:w w:val="115"/>
                        <w:sz w:val="21"/>
                      </w:rPr>
                      <w:t>planted</w:t>
                    </w:r>
                    <w:r>
                      <w:rPr>
                        <w:spacing w:val="-5"/>
                        <w:w w:val="115"/>
                        <w:sz w:val="21"/>
                      </w:rPr>
                      <w:t> </w:t>
                    </w:r>
                    <w:r>
                      <w:rPr>
                        <w:w w:val="115"/>
                        <w:sz w:val="21"/>
                      </w:rPr>
                      <w:t>in</w:t>
                    </w:r>
                    <w:r>
                      <w:rPr>
                        <w:spacing w:val="-4"/>
                        <w:w w:val="115"/>
                        <w:sz w:val="21"/>
                      </w:rPr>
                      <w:t> </w:t>
                    </w:r>
                    <w:r>
                      <w:rPr>
                        <w:w w:val="115"/>
                        <w:sz w:val="21"/>
                      </w:rPr>
                      <w:t>a</w:t>
                    </w:r>
                    <w:r>
                      <w:rPr>
                        <w:spacing w:val="-5"/>
                        <w:w w:val="115"/>
                        <w:sz w:val="21"/>
                      </w:rPr>
                      <w:t> </w:t>
                    </w:r>
                    <w:r>
                      <w:rPr>
                        <w:w w:val="115"/>
                        <w:sz w:val="21"/>
                      </w:rPr>
                      <w:t>specified</w:t>
                    </w:r>
                    <w:r>
                      <w:rPr>
                        <w:spacing w:val="-5"/>
                        <w:w w:val="115"/>
                        <w:sz w:val="21"/>
                      </w:rPr>
                      <w:t> </w:t>
                    </w:r>
                    <w:r>
                      <w:rPr>
                        <w:w w:val="115"/>
                        <w:sz w:val="21"/>
                      </w:rPr>
                      <w:t>location</w:t>
                    </w:r>
                    <w:r>
                      <w:rPr>
                        <w:spacing w:val="-4"/>
                        <w:w w:val="115"/>
                        <w:sz w:val="21"/>
                      </w:rPr>
                      <w:t> </w:t>
                    </w:r>
                    <w:r>
                      <w:rPr>
                        <w:w w:val="115"/>
                        <w:sz w:val="21"/>
                      </w:rPr>
                      <w:t>and</w:t>
                    </w:r>
                    <w:r>
                      <w:rPr>
                        <w:spacing w:val="-5"/>
                        <w:w w:val="115"/>
                        <w:sz w:val="21"/>
                      </w:rPr>
                      <w:t> </w:t>
                    </w:r>
                    <w:r>
                      <w:rPr>
                        <w:w w:val="115"/>
                        <w:sz w:val="21"/>
                      </w:rPr>
                      <w:t>to be</w:t>
                    </w:r>
                    <w:r>
                      <w:rPr>
                        <w:spacing w:val="-4"/>
                        <w:w w:val="115"/>
                        <w:sz w:val="21"/>
                      </w:rPr>
                      <w:t> </w:t>
                    </w:r>
                    <w:r>
                      <w:rPr>
                        <w:w w:val="115"/>
                        <w:sz w:val="21"/>
                      </w:rPr>
                      <w:t>maintained</w:t>
                    </w:r>
                    <w:r>
                      <w:rPr>
                        <w:spacing w:val="-4"/>
                        <w:w w:val="115"/>
                        <w:sz w:val="21"/>
                      </w:rPr>
                      <w:t> </w:t>
                    </w:r>
                    <w:r>
                      <w:rPr>
                        <w:w w:val="115"/>
                        <w:sz w:val="21"/>
                      </w:rPr>
                      <w:t>to</w:t>
                    </w:r>
                    <w:r>
                      <w:rPr>
                        <w:spacing w:val="-3"/>
                        <w:w w:val="115"/>
                        <w:sz w:val="21"/>
                      </w:rPr>
                      <w:t> </w:t>
                    </w:r>
                    <w:r>
                      <w:rPr>
                        <w:w w:val="115"/>
                        <w:sz w:val="21"/>
                      </w:rPr>
                      <w:t>mature</w:t>
                    </w:r>
                    <w:r>
                      <w:rPr>
                        <w:spacing w:val="-4"/>
                        <w:w w:val="115"/>
                        <w:sz w:val="21"/>
                      </w:rPr>
                      <w:t> </w:t>
                    </w:r>
                    <w:r>
                      <w:rPr>
                        <w:w w:val="115"/>
                        <w:sz w:val="21"/>
                      </w:rPr>
                      <w:t>growth</w:t>
                    </w:r>
                    <w:r>
                      <w:rPr>
                        <w:spacing w:val="-4"/>
                        <w:w w:val="115"/>
                        <w:sz w:val="21"/>
                      </w:rPr>
                      <w:t> </w:t>
                    </w:r>
                    <w:r>
                      <w:rPr>
                        <w:w w:val="115"/>
                        <w:sz w:val="21"/>
                      </w:rPr>
                      <w:t>if</w:t>
                    </w:r>
                    <w:r>
                      <w:rPr>
                        <w:spacing w:val="-3"/>
                        <w:w w:val="115"/>
                        <w:sz w:val="21"/>
                      </w:rPr>
                      <w:t> </w:t>
                    </w:r>
                    <w:r>
                      <w:rPr>
                        <w:w w:val="115"/>
                        <w:sz w:val="21"/>
                      </w:rPr>
                      <w:t>a</w:t>
                    </w:r>
                    <w:r>
                      <w:rPr>
                        <w:spacing w:val="-4"/>
                        <w:w w:val="115"/>
                        <w:sz w:val="21"/>
                      </w:rPr>
                      <w:t> </w:t>
                    </w:r>
                    <w:r>
                      <w:rPr>
                        <w:w w:val="115"/>
                        <w:sz w:val="21"/>
                      </w:rPr>
                      <w:t>tree</w:t>
                    </w:r>
                    <w:r>
                      <w:rPr>
                        <w:spacing w:val="-4"/>
                        <w:w w:val="115"/>
                        <w:sz w:val="21"/>
                      </w:rPr>
                      <w:t> </w:t>
                    </w:r>
                    <w:r>
                      <w:rPr>
                        <w:w w:val="115"/>
                        <w:sz w:val="21"/>
                      </w:rPr>
                      <w:t>is</w:t>
                    </w:r>
                    <w:r>
                      <w:rPr>
                        <w:spacing w:val="-3"/>
                        <w:w w:val="115"/>
                        <w:sz w:val="21"/>
                      </w:rPr>
                      <w:t> </w:t>
                    </w:r>
                    <w:r>
                      <w:rPr>
                        <w:w w:val="115"/>
                        <w:sz w:val="21"/>
                      </w:rPr>
                      <w:t>ordered</w:t>
                    </w:r>
                    <w:r>
                      <w:rPr>
                        <w:spacing w:val="-4"/>
                        <w:w w:val="115"/>
                        <w:sz w:val="21"/>
                      </w:rPr>
                      <w:t> </w:t>
                    </w:r>
                    <w:r>
                      <w:rPr>
                        <w:w w:val="115"/>
                        <w:sz w:val="21"/>
                      </w:rPr>
                      <w:t>to</w:t>
                    </w:r>
                    <w:r>
                      <w:rPr>
                        <w:spacing w:val="-4"/>
                        <w:w w:val="115"/>
                        <w:sz w:val="21"/>
                      </w:rPr>
                      <w:t> </w:t>
                    </w:r>
                    <w:r>
                      <w:rPr>
                        <w:w w:val="115"/>
                        <w:sz w:val="21"/>
                      </w:rPr>
                      <w:t>be</w:t>
                    </w:r>
                    <w:r>
                      <w:rPr>
                        <w:spacing w:val="-3"/>
                        <w:w w:val="115"/>
                        <w:sz w:val="21"/>
                      </w:rPr>
                      <w:t> </w:t>
                    </w:r>
                    <w:r>
                      <w:rPr>
                        <w:w w:val="115"/>
                        <w:sz w:val="21"/>
                      </w:rPr>
                      <w:t>removed,</w:t>
                    </w:r>
                    <w:r>
                      <w:rPr>
                        <w:spacing w:val="-4"/>
                        <w:w w:val="115"/>
                        <w:sz w:val="21"/>
                      </w:rPr>
                      <w:t> </w:t>
                    </w:r>
                    <w:r>
                      <w:rPr>
                        <w:w w:val="115"/>
                        <w:sz w:val="21"/>
                      </w:rPr>
                      <w:t>or</w:t>
                    </w:r>
                  </w:p>
                  <w:p>
                    <w:pPr>
                      <w:numPr>
                        <w:ilvl w:val="1"/>
                        <w:numId w:val="145"/>
                      </w:numPr>
                      <w:tabs>
                        <w:tab w:pos="1360" w:val="left" w:leader="none"/>
                        <w:tab w:pos="1361" w:val="left" w:leader="none"/>
                      </w:tabs>
                      <w:spacing w:before="122"/>
                      <w:ind w:left="1360" w:right="0" w:hanging="567"/>
                      <w:jc w:val="left"/>
                      <w:rPr>
                        <w:sz w:val="21"/>
                      </w:rPr>
                    </w:pPr>
                    <w:r>
                      <w:rPr>
                        <w:w w:val="115"/>
                        <w:sz w:val="21"/>
                      </w:rPr>
                      <w:t>requiring ongoing maintenance for a specified time</w:t>
                    </w:r>
                    <w:r>
                      <w:rPr>
                        <w:spacing w:val="-1"/>
                        <w:w w:val="115"/>
                        <w:sz w:val="21"/>
                      </w:rPr>
                      <w:t> </w:t>
                    </w:r>
                    <w:r>
                      <w:rPr>
                        <w:w w:val="115"/>
                        <w:sz w:val="21"/>
                      </w:rPr>
                      <w:t>period.</w:t>
                    </w:r>
                  </w:p>
                  <w:p>
                    <w:pPr>
                      <w:numPr>
                        <w:ilvl w:val="0"/>
                        <w:numId w:val="145"/>
                      </w:numPr>
                      <w:tabs>
                        <w:tab w:pos="793" w:val="left" w:leader="none"/>
                        <w:tab w:pos="794" w:val="left" w:leader="none"/>
                      </w:tabs>
                      <w:spacing w:line="242" w:lineRule="auto" w:before="124"/>
                      <w:ind w:left="793" w:right="403" w:hanging="567"/>
                      <w:jc w:val="left"/>
                      <w:rPr>
                        <w:sz w:val="21"/>
                      </w:rPr>
                    </w:pPr>
                    <w:r>
                      <w:rPr>
                        <w:w w:val="115"/>
                        <w:sz w:val="21"/>
                      </w:rPr>
                      <w:t>The Act should require that work that is carried out pursuant to orders complies</w:t>
                    </w:r>
                    <w:r>
                      <w:rPr>
                        <w:spacing w:val="-8"/>
                        <w:w w:val="115"/>
                        <w:sz w:val="21"/>
                      </w:rPr>
                      <w:t> </w:t>
                    </w:r>
                    <w:r>
                      <w:rPr>
                        <w:w w:val="115"/>
                        <w:sz w:val="21"/>
                      </w:rPr>
                      <w:t>with</w:t>
                    </w:r>
                    <w:r>
                      <w:rPr>
                        <w:spacing w:val="-8"/>
                        <w:w w:val="115"/>
                        <w:sz w:val="21"/>
                      </w:rPr>
                      <w:t> </w:t>
                    </w:r>
                    <w:r>
                      <w:rPr>
                        <w:w w:val="115"/>
                        <w:sz w:val="21"/>
                      </w:rPr>
                      <w:t>the</w:t>
                    </w:r>
                    <w:r>
                      <w:rPr>
                        <w:spacing w:val="-7"/>
                        <w:w w:val="115"/>
                        <w:sz w:val="21"/>
                      </w:rPr>
                      <w:t> </w:t>
                    </w:r>
                    <w:r>
                      <w:rPr>
                        <w:spacing w:val="-3"/>
                        <w:w w:val="115"/>
                        <w:sz w:val="21"/>
                      </w:rPr>
                      <w:t>relevant</w:t>
                    </w:r>
                    <w:r>
                      <w:rPr>
                        <w:spacing w:val="-8"/>
                        <w:w w:val="115"/>
                        <w:sz w:val="21"/>
                      </w:rPr>
                      <w:t> </w:t>
                    </w:r>
                    <w:r>
                      <w:rPr>
                        <w:w w:val="115"/>
                        <w:sz w:val="21"/>
                      </w:rPr>
                      <w:t>Australian</w:t>
                    </w:r>
                    <w:r>
                      <w:rPr>
                        <w:spacing w:val="-7"/>
                        <w:w w:val="115"/>
                        <w:sz w:val="21"/>
                      </w:rPr>
                      <w:t> </w:t>
                    </w:r>
                    <w:r>
                      <w:rPr>
                        <w:w w:val="115"/>
                        <w:sz w:val="21"/>
                      </w:rPr>
                      <w:t>Standards</w:t>
                    </w:r>
                    <w:r>
                      <w:rPr>
                        <w:spacing w:val="-8"/>
                        <w:w w:val="115"/>
                        <w:sz w:val="21"/>
                      </w:rPr>
                      <w:t> </w:t>
                    </w:r>
                    <w:r>
                      <w:rPr>
                        <w:w w:val="115"/>
                        <w:sz w:val="21"/>
                      </w:rPr>
                      <w:t>and</w:t>
                    </w:r>
                    <w:r>
                      <w:rPr>
                        <w:spacing w:val="-7"/>
                        <w:w w:val="115"/>
                        <w:sz w:val="21"/>
                      </w:rPr>
                      <w:t> </w:t>
                    </w:r>
                    <w:r>
                      <w:rPr>
                        <w:w w:val="115"/>
                        <w:sz w:val="21"/>
                      </w:rPr>
                      <w:t>undertaken</w:t>
                    </w:r>
                    <w:r>
                      <w:rPr>
                        <w:spacing w:val="-8"/>
                        <w:w w:val="115"/>
                        <w:sz w:val="21"/>
                      </w:rPr>
                      <w:t> </w:t>
                    </w:r>
                    <w:r>
                      <w:rPr>
                        <w:w w:val="115"/>
                        <w:sz w:val="21"/>
                      </w:rPr>
                      <w:t>by</w:t>
                    </w:r>
                    <w:r>
                      <w:rPr>
                        <w:spacing w:val="-7"/>
                        <w:w w:val="115"/>
                        <w:sz w:val="21"/>
                      </w:rPr>
                      <w:t> </w:t>
                    </w:r>
                    <w:r>
                      <w:rPr>
                        <w:w w:val="115"/>
                        <w:sz w:val="21"/>
                      </w:rPr>
                      <w:t>a</w:t>
                    </w:r>
                    <w:r>
                      <w:rPr>
                        <w:spacing w:val="-8"/>
                        <w:w w:val="115"/>
                        <w:sz w:val="21"/>
                      </w:rPr>
                      <w:t> </w:t>
                    </w:r>
                    <w:r>
                      <w:rPr>
                        <w:w w:val="115"/>
                        <w:sz w:val="21"/>
                      </w:rPr>
                      <w:t>suitably qualified arborist as determined by the Victorian Civil and Administrative </w:t>
                    </w:r>
                    <w:r>
                      <w:rPr>
                        <w:spacing w:val="-4"/>
                        <w:w w:val="115"/>
                        <w:sz w:val="21"/>
                      </w:rPr>
                      <w:t>Tribunal.</w:t>
                    </w:r>
                  </w:p>
                </w:txbxContent>
              </v:textbox>
              <v:fill type="solid"/>
              <w10:wrap type="none"/>
            </v:shape>
            <v:shape style="position:absolute;left:1587;top:215;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Recommendations</w:t>
                    </w:r>
                  </w:p>
                </w:txbxContent>
              </v:textbox>
              <v:fill type="solid"/>
              <w10:wrap type="none"/>
            </v:shape>
            <w10:wrap type="topAndBottom"/>
          </v:group>
        </w:pict>
      </w:r>
      <w:r>
        <w:rPr/>
        <w:pict>
          <v:line style="position:absolute;mso-position-horizontal-relative:page;mso-position-vertical-relative:paragraph;z-index:8672;mso-wrap-distance-left:0;mso-wrap-distance-right:0" from="79.370102pt,302.082825pt" to="520.157102pt,302.082825pt" stroked="true" strokeweight="1pt" strokecolor="#c9d2cb">
            <v:stroke dashstyle="solid"/>
            <w10:wrap type="topAndBottom"/>
          </v:line>
        </w:pict>
      </w:r>
    </w:p>
    <w:p>
      <w:pPr>
        <w:pStyle w:val="BodyText"/>
        <w:spacing w:before="11"/>
        <w:rPr>
          <w:sz w:val="9"/>
        </w:rPr>
      </w:pP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spacing w:before="220"/>
        <w:ind w:left="720" w:right="0" w:firstLine="0"/>
        <w:jc w:val="left"/>
        <w:rPr>
          <w:b/>
          <w:sz w:val="24"/>
        </w:rPr>
      </w:pPr>
      <w:r>
        <w:rPr>
          <w:b/>
          <w:color w:val="658464"/>
          <w:w w:val="110"/>
          <w:sz w:val="24"/>
        </w:rPr>
        <w:t>200</w:t>
      </w:r>
    </w:p>
    <w:p>
      <w:pPr>
        <w:pStyle w:val="ListParagraph"/>
        <w:numPr>
          <w:ilvl w:val="0"/>
          <w:numId w:val="144"/>
        </w:numPr>
        <w:tabs>
          <w:tab w:pos="1215" w:val="left" w:leader="none"/>
          <w:tab w:pos="1216" w:val="left" w:leader="none"/>
        </w:tabs>
        <w:spacing w:line="240" w:lineRule="auto" w:before="48" w:after="0"/>
        <w:ind w:left="1215" w:right="0" w:hanging="794"/>
        <w:jc w:val="left"/>
        <w:rPr>
          <w:sz w:val="13"/>
        </w:rPr>
      </w:pPr>
      <w:r>
        <w:rPr>
          <w:spacing w:val="4"/>
          <w:w w:val="105"/>
          <w:sz w:val="13"/>
        </w:rPr>
        <w:br w:type="column"/>
      </w:r>
      <w:r>
        <w:rPr>
          <w:w w:val="105"/>
          <w:sz w:val="13"/>
        </w:rPr>
        <w:t>Land</w:t>
      </w:r>
      <w:r>
        <w:rPr>
          <w:spacing w:val="6"/>
          <w:w w:val="105"/>
          <w:sz w:val="13"/>
        </w:rPr>
        <w:t> </w:t>
      </w:r>
      <w:r>
        <w:rPr>
          <w:w w:val="105"/>
          <w:sz w:val="13"/>
        </w:rPr>
        <w:t>and</w:t>
      </w:r>
      <w:r>
        <w:rPr>
          <w:spacing w:val="6"/>
          <w:w w:val="105"/>
          <w:sz w:val="13"/>
        </w:rPr>
        <w:t> </w:t>
      </w:r>
      <w:r>
        <w:rPr>
          <w:w w:val="105"/>
          <w:sz w:val="13"/>
        </w:rPr>
        <w:t>Environment</w:t>
      </w:r>
      <w:r>
        <w:rPr>
          <w:spacing w:val="6"/>
          <w:w w:val="105"/>
          <w:sz w:val="13"/>
        </w:rPr>
        <w:t> </w:t>
      </w:r>
      <w:r>
        <w:rPr>
          <w:w w:val="105"/>
          <w:sz w:val="13"/>
        </w:rPr>
        <w:t>Court</w:t>
      </w:r>
      <w:r>
        <w:rPr>
          <w:spacing w:val="6"/>
          <w:w w:val="105"/>
          <w:sz w:val="13"/>
        </w:rPr>
        <w:t> </w:t>
      </w:r>
      <w:r>
        <w:rPr>
          <w:w w:val="105"/>
          <w:sz w:val="13"/>
        </w:rPr>
        <w:t>of</w:t>
      </w:r>
      <w:r>
        <w:rPr>
          <w:spacing w:val="6"/>
          <w:w w:val="105"/>
          <w:sz w:val="13"/>
        </w:rPr>
        <w:t> </w:t>
      </w:r>
      <w:r>
        <w:rPr>
          <w:w w:val="105"/>
          <w:sz w:val="13"/>
        </w:rPr>
        <w:t>New</w:t>
      </w:r>
      <w:r>
        <w:rPr>
          <w:spacing w:val="6"/>
          <w:w w:val="105"/>
          <w:sz w:val="13"/>
        </w:rPr>
        <w:t> </w:t>
      </w:r>
      <w:r>
        <w:rPr>
          <w:w w:val="105"/>
          <w:sz w:val="13"/>
        </w:rPr>
        <w:t>South</w:t>
      </w:r>
      <w:r>
        <w:rPr>
          <w:spacing w:val="7"/>
          <w:w w:val="105"/>
          <w:sz w:val="13"/>
        </w:rPr>
        <w:t> </w:t>
      </w:r>
      <w:r>
        <w:rPr>
          <w:w w:val="105"/>
          <w:sz w:val="13"/>
        </w:rPr>
        <w:t>Wales,</w:t>
      </w:r>
      <w:r>
        <w:rPr>
          <w:spacing w:val="6"/>
          <w:w w:val="105"/>
          <w:sz w:val="13"/>
        </w:rPr>
        <w:t> </w:t>
      </w:r>
      <w:r>
        <w:rPr>
          <w:i/>
          <w:w w:val="105"/>
          <w:sz w:val="13"/>
        </w:rPr>
        <w:t>Annotated</w:t>
      </w:r>
      <w:r>
        <w:rPr>
          <w:i/>
          <w:spacing w:val="6"/>
          <w:w w:val="105"/>
          <w:sz w:val="13"/>
        </w:rPr>
        <w:t> </w:t>
      </w:r>
      <w:r>
        <w:rPr>
          <w:i/>
          <w:w w:val="105"/>
          <w:sz w:val="13"/>
        </w:rPr>
        <w:t>Trees</w:t>
      </w:r>
      <w:r>
        <w:rPr>
          <w:i/>
          <w:spacing w:val="6"/>
          <w:w w:val="105"/>
          <w:sz w:val="13"/>
        </w:rPr>
        <w:t> </w:t>
      </w:r>
      <w:r>
        <w:rPr>
          <w:i/>
          <w:w w:val="105"/>
          <w:sz w:val="13"/>
        </w:rPr>
        <w:t>(Disputes</w:t>
      </w:r>
      <w:r>
        <w:rPr>
          <w:i/>
          <w:spacing w:val="6"/>
          <w:w w:val="105"/>
          <w:sz w:val="13"/>
        </w:rPr>
        <w:t> </w:t>
      </w:r>
      <w:r>
        <w:rPr>
          <w:i/>
          <w:w w:val="105"/>
          <w:sz w:val="13"/>
        </w:rPr>
        <w:t>Between</w:t>
      </w:r>
      <w:r>
        <w:rPr>
          <w:i/>
          <w:spacing w:val="6"/>
          <w:w w:val="105"/>
          <w:sz w:val="13"/>
        </w:rPr>
        <w:t> </w:t>
      </w:r>
      <w:r>
        <w:rPr>
          <w:i/>
          <w:w w:val="105"/>
          <w:sz w:val="13"/>
        </w:rPr>
        <w:t>Neighbours)</w:t>
      </w:r>
      <w:r>
        <w:rPr>
          <w:i/>
          <w:spacing w:val="6"/>
          <w:w w:val="105"/>
          <w:sz w:val="13"/>
        </w:rPr>
        <w:t> </w:t>
      </w:r>
      <w:r>
        <w:rPr>
          <w:i/>
          <w:w w:val="105"/>
          <w:sz w:val="13"/>
        </w:rPr>
        <w:t>Act</w:t>
      </w:r>
      <w:r>
        <w:rPr>
          <w:i/>
          <w:spacing w:val="7"/>
          <w:w w:val="105"/>
          <w:sz w:val="13"/>
        </w:rPr>
        <w:t> </w:t>
      </w:r>
      <w:r>
        <w:rPr>
          <w:i/>
          <w:w w:val="105"/>
          <w:sz w:val="13"/>
        </w:rPr>
        <w:t>2006</w:t>
      </w:r>
      <w:r>
        <w:rPr>
          <w:i/>
          <w:spacing w:val="6"/>
          <w:w w:val="105"/>
          <w:sz w:val="13"/>
        </w:rPr>
        <w:t> </w:t>
      </w:r>
      <w:r>
        <w:rPr>
          <w:spacing w:val="-3"/>
          <w:w w:val="105"/>
          <w:sz w:val="13"/>
        </w:rPr>
        <w:t>(14</w:t>
      </w:r>
      <w:r>
        <w:rPr>
          <w:spacing w:val="6"/>
          <w:w w:val="105"/>
          <w:sz w:val="13"/>
        </w:rPr>
        <w:t> </w:t>
      </w:r>
      <w:r>
        <w:rPr>
          <w:w w:val="105"/>
          <w:sz w:val="13"/>
        </w:rPr>
        <w:t>January</w:t>
      </w:r>
      <w:r>
        <w:rPr>
          <w:spacing w:val="6"/>
          <w:w w:val="105"/>
          <w:sz w:val="13"/>
        </w:rPr>
        <w:t> </w:t>
      </w:r>
      <w:r>
        <w:rPr>
          <w:w w:val="105"/>
          <w:sz w:val="13"/>
        </w:rPr>
        <w:t>2013)</w:t>
      </w:r>
      <w:r>
        <w:rPr>
          <w:spacing w:val="6"/>
          <w:w w:val="105"/>
          <w:sz w:val="13"/>
        </w:rPr>
        <w:t> </w:t>
      </w:r>
      <w:r>
        <w:rPr>
          <w:w w:val="105"/>
          <w:sz w:val="13"/>
        </w:rPr>
        <w:t>14–15.</w:t>
      </w:r>
    </w:p>
    <w:p>
      <w:pPr>
        <w:pStyle w:val="ListParagraph"/>
        <w:numPr>
          <w:ilvl w:val="0"/>
          <w:numId w:val="144"/>
        </w:numPr>
        <w:tabs>
          <w:tab w:pos="1215" w:val="left" w:leader="none"/>
          <w:tab w:pos="1216" w:val="left" w:leader="none"/>
        </w:tabs>
        <w:spacing w:line="240" w:lineRule="auto" w:before="1" w:after="0"/>
        <w:ind w:left="1215" w:right="0" w:hanging="794"/>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144"/>
        </w:numPr>
        <w:tabs>
          <w:tab w:pos="1215" w:val="left" w:leader="none"/>
          <w:tab w:pos="1216" w:val="left" w:leader="none"/>
        </w:tabs>
        <w:spacing w:line="240" w:lineRule="auto" w:before="2" w:after="0"/>
        <w:ind w:left="1215" w:right="0" w:hanging="794"/>
        <w:jc w:val="left"/>
        <w:rPr>
          <w:sz w:val="13"/>
        </w:rPr>
      </w:pPr>
      <w:r>
        <w:rPr>
          <w:i/>
          <w:sz w:val="13"/>
        </w:rPr>
        <w:t>Victorian</w:t>
      </w:r>
      <w:r>
        <w:rPr>
          <w:i/>
          <w:spacing w:val="7"/>
          <w:sz w:val="13"/>
        </w:rPr>
        <w:t> </w:t>
      </w:r>
      <w:r>
        <w:rPr>
          <w:i/>
          <w:sz w:val="13"/>
        </w:rPr>
        <w:t>Civil</w:t>
      </w:r>
      <w:r>
        <w:rPr>
          <w:i/>
          <w:spacing w:val="7"/>
          <w:sz w:val="13"/>
        </w:rPr>
        <w:t> </w:t>
      </w:r>
      <w:r>
        <w:rPr>
          <w:i/>
          <w:sz w:val="13"/>
        </w:rPr>
        <w:t>and</w:t>
      </w:r>
      <w:r>
        <w:rPr>
          <w:i/>
          <w:spacing w:val="7"/>
          <w:sz w:val="13"/>
        </w:rPr>
        <w:t> </w:t>
      </w:r>
      <w:r>
        <w:rPr>
          <w:i/>
          <w:sz w:val="13"/>
        </w:rPr>
        <w:t>Administrative</w:t>
      </w:r>
      <w:r>
        <w:rPr>
          <w:i/>
          <w:spacing w:val="7"/>
          <w:sz w:val="13"/>
        </w:rPr>
        <w:t> </w:t>
      </w:r>
      <w:r>
        <w:rPr>
          <w:i/>
          <w:sz w:val="13"/>
        </w:rPr>
        <w:t>Tribunal</w:t>
      </w:r>
      <w:r>
        <w:rPr>
          <w:i/>
          <w:spacing w:val="7"/>
          <w:sz w:val="13"/>
        </w:rPr>
        <w:t> </w:t>
      </w:r>
      <w:r>
        <w:rPr>
          <w:i/>
          <w:sz w:val="13"/>
        </w:rPr>
        <w:t>Act</w:t>
      </w:r>
      <w:r>
        <w:rPr>
          <w:i/>
          <w:spacing w:val="7"/>
          <w:sz w:val="13"/>
        </w:rPr>
        <w:t> </w:t>
      </w:r>
      <w:r>
        <w:rPr>
          <w:i/>
          <w:sz w:val="13"/>
        </w:rPr>
        <w:t>1998</w:t>
      </w:r>
      <w:r>
        <w:rPr>
          <w:i/>
          <w:spacing w:val="7"/>
          <w:sz w:val="13"/>
        </w:rPr>
        <w:t> </w:t>
      </w:r>
      <w:r>
        <w:rPr>
          <w:spacing w:val="2"/>
          <w:sz w:val="13"/>
        </w:rPr>
        <w:t>(Vic)</w:t>
      </w:r>
      <w:r>
        <w:rPr>
          <w:spacing w:val="7"/>
          <w:sz w:val="13"/>
        </w:rPr>
        <w:t> </w:t>
      </w:r>
      <w:r>
        <w:rPr>
          <w:sz w:val="13"/>
        </w:rPr>
        <w:t>s</w:t>
      </w:r>
      <w:r>
        <w:rPr>
          <w:spacing w:val="7"/>
          <w:sz w:val="13"/>
        </w:rPr>
        <w:t> </w:t>
      </w:r>
      <w:r>
        <w:rPr>
          <w:sz w:val="13"/>
        </w:rPr>
        <w:t>109(1).</w:t>
      </w:r>
    </w:p>
    <w:p>
      <w:pPr>
        <w:pStyle w:val="ListParagraph"/>
        <w:numPr>
          <w:ilvl w:val="0"/>
          <w:numId w:val="144"/>
        </w:numPr>
        <w:tabs>
          <w:tab w:pos="1215" w:val="left" w:leader="none"/>
          <w:tab w:pos="1216" w:val="left" w:leader="none"/>
        </w:tabs>
        <w:spacing w:line="240" w:lineRule="auto" w:before="1" w:after="0"/>
        <w:ind w:left="1215" w:right="1685" w:hanging="794"/>
        <w:jc w:val="left"/>
        <w:rPr>
          <w:sz w:val="13"/>
        </w:rPr>
      </w:pPr>
      <w:r>
        <w:rPr>
          <w:w w:val="105"/>
          <w:sz w:val="13"/>
        </w:rPr>
        <w:t>For a full list of circumstances in which VCAT can award costs, see </w:t>
      </w:r>
      <w:r>
        <w:rPr>
          <w:i/>
          <w:w w:val="105"/>
          <w:sz w:val="13"/>
        </w:rPr>
        <w:t>Victorian Civil and Administrative Tribunal Act 1998 </w:t>
      </w:r>
      <w:r>
        <w:rPr>
          <w:spacing w:val="2"/>
          <w:w w:val="105"/>
          <w:sz w:val="13"/>
        </w:rPr>
        <w:t>(Vic) </w:t>
      </w:r>
      <w:r>
        <w:rPr>
          <w:w w:val="105"/>
          <w:sz w:val="13"/>
        </w:rPr>
        <w:t>s </w:t>
      </w:r>
      <w:r>
        <w:rPr>
          <w:spacing w:val="3"/>
          <w:w w:val="105"/>
          <w:sz w:val="13"/>
        </w:rPr>
        <w:t>109(3); </w:t>
      </w:r>
      <w:r>
        <w:rPr>
          <w:i/>
          <w:w w:val="105"/>
          <w:sz w:val="13"/>
        </w:rPr>
        <w:t>Victorian Civil and Administrative Tribunal, Who Pays for My Legal Costs? </w:t>
      </w:r>
      <w:r>
        <w:rPr>
          <w:w w:val="105"/>
          <w:sz w:val="13"/>
        </w:rPr>
        <w:t>(Web Page) &lt;</w:t>
      </w:r>
      <w:hyperlink r:id="rId233">
        <w:r>
          <w:rPr>
            <w:w w:val="105"/>
            <w:sz w:val="13"/>
          </w:rPr>
          <w:t>https://www.vcat.vic.gov.au/steps-to-resolve-your-</w:t>
        </w:r>
      </w:hyperlink>
      <w:hyperlink r:id="rId233">
        <w:r>
          <w:rPr>
            <w:w w:val="105"/>
            <w:sz w:val="13"/>
          </w:rPr>
          <w:t> </w:t>
        </w:r>
        <w:r>
          <w:rPr>
            <w:spacing w:val="2"/>
            <w:w w:val="105"/>
            <w:sz w:val="13"/>
          </w:rPr>
          <w:t>case/on-hearing-day/who-pays-for-my-legal-costs</w:t>
        </w:r>
      </w:hyperlink>
      <w:r>
        <w:rPr>
          <w:spacing w:val="2"/>
          <w:w w:val="105"/>
          <w:sz w:val="13"/>
        </w:rPr>
        <w:t>&gt;.</w:t>
      </w:r>
    </w:p>
    <w:p>
      <w:pPr>
        <w:spacing w:after="0" w:line="240" w:lineRule="auto"/>
        <w:jc w:val="left"/>
        <w:rPr>
          <w:sz w:val="13"/>
        </w:rPr>
        <w:sectPr>
          <w:type w:val="continuous"/>
          <w:pgSz w:w="11910" w:h="16840"/>
          <w:pgMar w:top="300" w:bottom="280" w:left="0" w:right="0"/>
          <w:cols w:num="2" w:equalWidth="0">
            <w:col w:w="1126" w:space="40"/>
            <w:col w:w="10744"/>
          </w:cols>
        </w:sectPr>
      </w:pPr>
    </w:p>
    <w:p>
      <w:pPr>
        <w:pStyle w:val="BodyText"/>
        <w:rPr>
          <w:sz w:val="20"/>
        </w:rPr>
      </w:pPr>
    </w:p>
    <w:p>
      <w:pPr>
        <w:pStyle w:val="BodyText"/>
        <w:spacing w:before="11"/>
        <w:rPr>
          <w:sz w:val="17"/>
        </w:rPr>
      </w:pPr>
    </w:p>
    <w:p>
      <w:pPr>
        <w:pStyle w:val="Heading5"/>
        <w:spacing w:before="96"/>
      </w:pPr>
      <w:bookmarkStart w:name="Appeals" w:id="227"/>
      <w:bookmarkEnd w:id="227"/>
      <w:r>
        <w:rPr>
          <w:b w:val="0"/>
        </w:rPr>
      </w:r>
      <w:bookmarkStart w:name="_bookmark109" w:id="228"/>
      <w:bookmarkEnd w:id="228"/>
      <w:r>
        <w:rPr>
          <w:b w:val="0"/>
        </w:rPr>
      </w:r>
      <w:r>
        <w:rPr>
          <w:w w:val="115"/>
        </w:rPr>
        <w:t>Notification of orders</w:t>
      </w:r>
    </w:p>
    <w:p>
      <w:pPr>
        <w:pStyle w:val="ListParagraph"/>
        <w:numPr>
          <w:ilvl w:val="1"/>
          <w:numId w:val="16"/>
        </w:numPr>
        <w:tabs>
          <w:tab w:pos="2380" w:val="left" w:leader="none"/>
          <w:tab w:pos="2381" w:val="left" w:leader="none"/>
        </w:tabs>
        <w:spacing w:line="242" w:lineRule="auto" w:before="137" w:after="0"/>
        <w:ind w:left="2381" w:right="1644" w:hanging="794"/>
        <w:jc w:val="left"/>
        <w:rPr>
          <w:sz w:val="21"/>
        </w:rPr>
      </w:pPr>
      <w:r>
        <w:rPr>
          <w:spacing w:val="-5"/>
          <w:w w:val="105"/>
          <w:sz w:val="21"/>
        </w:rPr>
        <w:t>VCAT </w:t>
      </w:r>
      <w:r>
        <w:rPr>
          <w:w w:val="105"/>
          <w:sz w:val="21"/>
        </w:rPr>
        <w:t>should </w:t>
      </w:r>
      <w:r>
        <w:rPr>
          <w:spacing w:val="-3"/>
          <w:w w:val="105"/>
          <w:sz w:val="21"/>
        </w:rPr>
        <w:t>ensure that any </w:t>
      </w:r>
      <w:r>
        <w:rPr>
          <w:w w:val="105"/>
          <w:sz w:val="21"/>
        </w:rPr>
        <w:t>party who appeared in the </w:t>
      </w:r>
      <w:r>
        <w:rPr>
          <w:spacing w:val="-3"/>
          <w:w w:val="105"/>
          <w:sz w:val="21"/>
        </w:rPr>
        <w:t>proceeding </w:t>
      </w:r>
      <w:r>
        <w:rPr>
          <w:w w:val="105"/>
          <w:sz w:val="21"/>
        </w:rPr>
        <w:t>should be provided with</w:t>
      </w:r>
      <w:r>
        <w:rPr>
          <w:spacing w:val="-3"/>
          <w:w w:val="105"/>
          <w:sz w:val="21"/>
        </w:rPr>
        <w:t> </w:t>
      </w:r>
      <w:r>
        <w:rPr>
          <w:w w:val="105"/>
          <w:sz w:val="21"/>
        </w:rPr>
        <w:t>a</w:t>
      </w:r>
      <w:r>
        <w:rPr>
          <w:spacing w:val="-3"/>
          <w:w w:val="105"/>
          <w:sz w:val="21"/>
        </w:rPr>
        <w:t> copy </w:t>
      </w:r>
      <w:r>
        <w:rPr>
          <w:w w:val="105"/>
          <w:sz w:val="21"/>
        </w:rPr>
        <w:t>of</w:t>
      </w:r>
      <w:r>
        <w:rPr>
          <w:spacing w:val="-3"/>
          <w:w w:val="105"/>
          <w:sz w:val="21"/>
        </w:rPr>
        <w:t> </w:t>
      </w:r>
      <w:r>
        <w:rPr>
          <w:w w:val="105"/>
          <w:sz w:val="21"/>
        </w:rPr>
        <w:t>the</w:t>
      </w:r>
      <w:r>
        <w:rPr>
          <w:spacing w:val="-3"/>
          <w:w w:val="105"/>
          <w:sz w:val="21"/>
        </w:rPr>
        <w:t> </w:t>
      </w:r>
      <w:r>
        <w:rPr>
          <w:w w:val="105"/>
          <w:sz w:val="21"/>
        </w:rPr>
        <w:t>order</w:t>
      </w:r>
      <w:r>
        <w:rPr>
          <w:spacing w:val="-2"/>
          <w:w w:val="105"/>
          <w:sz w:val="21"/>
        </w:rPr>
        <w:t> </w:t>
      </w:r>
      <w:r>
        <w:rPr>
          <w:w w:val="105"/>
          <w:sz w:val="21"/>
        </w:rPr>
        <w:t>under</w:t>
      </w:r>
      <w:r>
        <w:rPr>
          <w:spacing w:val="-3"/>
          <w:w w:val="105"/>
          <w:sz w:val="21"/>
        </w:rPr>
        <w:t> </w:t>
      </w:r>
      <w:r>
        <w:rPr>
          <w:w w:val="105"/>
          <w:sz w:val="21"/>
        </w:rPr>
        <w:t>the</w:t>
      </w:r>
      <w:r>
        <w:rPr>
          <w:spacing w:val="-3"/>
          <w:w w:val="105"/>
          <w:sz w:val="21"/>
        </w:rPr>
        <w:t> </w:t>
      </w:r>
      <w:r>
        <w:rPr>
          <w:w w:val="105"/>
          <w:sz w:val="21"/>
        </w:rPr>
        <w:t>new</w:t>
      </w:r>
      <w:r>
        <w:rPr>
          <w:spacing w:val="-3"/>
          <w:w w:val="105"/>
          <w:sz w:val="21"/>
        </w:rPr>
        <w:t> </w:t>
      </w:r>
      <w:r>
        <w:rPr>
          <w:w w:val="105"/>
          <w:sz w:val="21"/>
        </w:rPr>
        <w:t>Act.</w:t>
      </w:r>
      <w:r>
        <w:rPr>
          <w:spacing w:val="-3"/>
          <w:w w:val="105"/>
          <w:sz w:val="21"/>
        </w:rPr>
        <w:t> </w:t>
      </w:r>
      <w:r>
        <w:rPr>
          <w:w w:val="105"/>
          <w:sz w:val="21"/>
        </w:rPr>
        <w:t>Any</w:t>
      </w:r>
      <w:r>
        <w:rPr>
          <w:spacing w:val="-3"/>
          <w:w w:val="105"/>
          <w:sz w:val="21"/>
        </w:rPr>
        <w:t> </w:t>
      </w:r>
      <w:r>
        <w:rPr>
          <w:w w:val="105"/>
          <w:sz w:val="21"/>
        </w:rPr>
        <w:t>party</w:t>
      </w:r>
      <w:r>
        <w:rPr>
          <w:spacing w:val="-2"/>
          <w:w w:val="105"/>
          <w:sz w:val="21"/>
        </w:rPr>
        <w:t> </w:t>
      </w:r>
      <w:r>
        <w:rPr>
          <w:w w:val="105"/>
          <w:sz w:val="21"/>
        </w:rPr>
        <w:t>who</w:t>
      </w:r>
      <w:r>
        <w:rPr>
          <w:spacing w:val="-3"/>
          <w:w w:val="105"/>
          <w:sz w:val="21"/>
        </w:rPr>
        <w:t> </w:t>
      </w:r>
      <w:r>
        <w:rPr>
          <w:w w:val="105"/>
          <w:sz w:val="21"/>
        </w:rPr>
        <w:t>would</w:t>
      </w:r>
      <w:r>
        <w:rPr>
          <w:spacing w:val="-3"/>
          <w:w w:val="105"/>
          <w:sz w:val="21"/>
        </w:rPr>
        <w:t> </w:t>
      </w:r>
      <w:r>
        <w:rPr>
          <w:w w:val="105"/>
          <w:sz w:val="21"/>
        </w:rPr>
        <w:t>otherwise</w:t>
      </w:r>
      <w:r>
        <w:rPr>
          <w:spacing w:val="-3"/>
          <w:w w:val="105"/>
          <w:sz w:val="21"/>
        </w:rPr>
        <w:t> </w:t>
      </w:r>
      <w:r>
        <w:rPr>
          <w:w w:val="105"/>
          <w:sz w:val="21"/>
        </w:rPr>
        <w:t>be</w:t>
      </w:r>
      <w:r>
        <w:rPr>
          <w:spacing w:val="-3"/>
          <w:w w:val="105"/>
          <w:sz w:val="21"/>
        </w:rPr>
        <w:t> required </w:t>
      </w:r>
      <w:r>
        <w:rPr>
          <w:w w:val="105"/>
          <w:sz w:val="21"/>
        </w:rPr>
        <w:t>under other laws </w:t>
      </w:r>
      <w:r>
        <w:rPr>
          <w:spacing w:val="-3"/>
          <w:w w:val="105"/>
          <w:sz w:val="21"/>
        </w:rPr>
        <w:t>to </w:t>
      </w:r>
      <w:r>
        <w:rPr>
          <w:w w:val="105"/>
          <w:sz w:val="21"/>
        </w:rPr>
        <w:t>provide </w:t>
      </w:r>
      <w:r>
        <w:rPr>
          <w:spacing w:val="-3"/>
          <w:w w:val="105"/>
          <w:sz w:val="21"/>
        </w:rPr>
        <w:t>consent </w:t>
      </w:r>
      <w:r>
        <w:rPr>
          <w:w w:val="105"/>
          <w:sz w:val="21"/>
        </w:rPr>
        <w:t>or authorisation </w:t>
      </w:r>
      <w:r>
        <w:rPr>
          <w:spacing w:val="-3"/>
          <w:w w:val="105"/>
          <w:sz w:val="21"/>
        </w:rPr>
        <w:t>for </w:t>
      </w:r>
      <w:r>
        <w:rPr>
          <w:w w:val="105"/>
          <w:sz w:val="21"/>
        </w:rPr>
        <w:t>tree works should also be notified</w:t>
      </w:r>
      <w:r>
        <w:rPr>
          <w:spacing w:val="-10"/>
          <w:w w:val="105"/>
          <w:sz w:val="21"/>
        </w:rPr>
        <w:t> </w:t>
      </w:r>
      <w:r>
        <w:rPr>
          <w:w w:val="105"/>
          <w:sz w:val="21"/>
        </w:rPr>
        <w:t>of</w:t>
      </w:r>
      <w:r>
        <w:rPr>
          <w:spacing w:val="-9"/>
          <w:w w:val="105"/>
          <w:sz w:val="21"/>
        </w:rPr>
        <w:t> </w:t>
      </w:r>
      <w:r>
        <w:rPr>
          <w:w w:val="105"/>
          <w:sz w:val="21"/>
        </w:rPr>
        <w:t>an</w:t>
      </w:r>
      <w:r>
        <w:rPr>
          <w:spacing w:val="-9"/>
          <w:w w:val="105"/>
          <w:sz w:val="21"/>
        </w:rPr>
        <w:t> </w:t>
      </w:r>
      <w:r>
        <w:rPr>
          <w:w w:val="105"/>
          <w:sz w:val="21"/>
        </w:rPr>
        <w:t>order</w:t>
      </w:r>
      <w:r>
        <w:rPr>
          <w:spacing w:val="-9"/>
          <w:w w:val="105"/>
          <w:sz w:val="21"/>
        </w:rPr>
        <w:t> </w:t>
      </w:r>
      <w:r>
        <w:rPr>
          <w:w w:val="105"/>
          <w:sz w:val="21"/>
        </w:rPr>
        <w:t>regardless</w:t>
      </w:r>
      <w:r>
        <w:rPr>
          <w:spacing w:val="-9"/>
          <w:w w:val="105"/>
          <w:sz w:val="21"/>
        </w:rPr>
        <w:t> </w:t>
      </w:r>
      <w:r>
        <w:rPr>
          <w:w w:val="105"/>
          <w:sz w:val="21"/>
        </w:rPr>
        <w:t>of</w:t>
      </w:r>
      <w:r>
        <w:rPr>
          <w:spacing w:val="-10"/>
          <w:w w:val="105"/>
          <w:sz w:val="21"/>
        </w:rPr>
        <w:t> </w:t>
      </w:r>
      <w:r>
        <w:rPr>
          <w:w w:val="105"/>
          <w:sz w:val="21"/>
        </w:rPr>
        <w:t>whether</w:t>
      </w:r>
      <w:r>
        <w:rPr>
          <w:spacing w:val="-9"/>
          <w:w w:val="105"/>
          <w:sz w:val="21"/>
        </w:rPr>
        <w:t> </w:t>
      </w:r>
      <w:r>
        <w:rPr>
          <w:w w:val="105"/>
          <w:sz w:val="21"/>
        </w:rPr>
        <w:t>they</w:t>
      </w:r>
      <w:r>
        <w:rPr>
          <w:spacing w:val="-9"/>
          <w:w w:val="105"/>
          <w:sz w:val="21"/>
        </w:rPr>
        <w:t> </w:t>
      </w:r>
      <w:r>
        <w:rPr>
          <w:w w:val="105"/>
          <w:sz w:val="21"/>
        </w:rPr>
        <w:t>attend</w:t>
      </w:r>
      <w:r>
        <w:rPr>
          <w:spacing w:val="-9"/>
          <w:w w:val="105"/>
          <w:sz w:val="21"/>
        </w:rPr>
        <w:t> </w:t>
      </w:r>
      <w:r>
        <w:rPr>
          <w:w w:val="105"/>
          <w:sz w:val="21"/>
        </w:rPr>
        <w:t>the</w:t>
      </w:r>
      <w:r>
        <w:rPr>
          <w:spacing w:val="-9"/>
          <w:w w:val="105"/>
          <w:sz w:val="21"/>
        </w:rPr>
        <w:t> </w:t>
      </w:r>
      <w:r>
        <w:rPr>
          <w:spacing w:val="-3"/>
          <w:w w:val="105"/>
          <w:sz w:val="21"/>
        </w:rPr>
        <w:t>hearing.</w:t>
      </w:r>
      <w:r>
        <w:rPr>
          <w:spacing w:val="-9"/>
          <w:w w:val="105"/>
          <w:sz w:val="21"/>
        </w:rPr>
        <w:t> </w:t>
      </w:r>
      <w:r>
        <w:rPr>
          <w:w w:val="105"/>
          <w:sz w:val="21"/>
        </w:rPr>
        <w:t>This</w:t>
      </w:r>
      <w:r>
        <w:rPr>
          <w:spacing w:val="-10"/>
          <w:w w:val="105"/>
          <w:sz w:val="21"/>
        </w:rPr>
        <w:t> </w:t>
      </w:r>
      <w:r>
        <w:rPr>
          <w:spacing w:val="-3"/>
          <w:w w:val="105"/>
          <w:sz w:val="21"/>
        </w:rPr>
        <w:t>recommendation aligns </w:t>
      </w:r>
      <w:r>
        <w:rPr>
          <w:w w:val="105"/>
          <w:sz w:val="21"/>
        </w:rPr>
        <w:t>with those in </w:t>
      </w:r>
      <w:r>
        <w:rPr>
          <w:spacing w:val="-4"/>
          <w:w w:val="105"/>
          <w:sz w:val="21"/>
        </w:rPr>
        <w:t>Chapter </w:t>
      </w:r>
      <w:r>
        <w:rPr>
          <w:w w:val="105"/>
          <w:sz w:val="21"/>
        </w:rPr>
        <w:t>5 about </w:t>
      </w:r>
      <w:r>
        <w:rPr>
          <w:spacing w:val="-3"/>
          <w:w w:val="105"/>
          <w:sz w:val="21"/>
        </w:rPr>
        <w:t>notice </w:t>
      </w:r>
      <w:r>
        <w:rPr>
          <w:w w:val="105"/>
          <w:sz w:val="21"/>
        </w:rPr>
        <w:t>of an application under the new Act. It also mirrors interstate</w:t>
      </w:r>
      <w:r>
        <w:rPr>
          <w:spacing w:val="8"/>
          <w:w w:val="105"/>
          <w:sz w:val="21"/>
        </w:rPr>
        <w:t> </w:t>
      </w:r>
      <w:r>
        <w:rPr>
          <w:spacing w:val="-3"/>
          <w:w w:val="105"/>
          <w:sz w:val="21"/>
        </w:rPr>
        <w:t>requirements.</w:t>
      </w:r>
    </w:p>
    <w:p>
      <w:pPr>
        <w:pStyle w:val="ListParagraph"/>
        <w:numPr>
          <w:ilvl w:val="1"/>
          <w:numId w:val="16"/>
        </w:numPr>
        <w:tabs>
          <w:tab w:pos="2380" w:val="left" w:leader="none"/>
          <w:tab w:pos="2381" w:val="left" w:leader="none"/>
        </w:tabs>
        <w:spacing w:line="242" w:lineRule="auto" w:before="126" w:after="0"/>
        <w:ind w:left="2380" w:right="2002" w:hanging="793"/>
        <w:jc w:val="left"/>
        <w:rPr>
          <w:sz w:val="21"/>
        </w:rPr>
      </w:pPr>
      <w:r>
        <w:rPr>
          <w:w w:val="105"/>
          <w:sz w:val="21"/>
        </w:rPr>
        <w:t>The NSWLEC must provide a </w:t>
      </w:r>
      <w:r>
        <w:rPr>
          <w:spacing w:val="-3"/>
          <w:w w:val="105"/>
          <w:sz w:val="21"/>
        </w:rPr>
        <w:t>copy </w:t>
      </w:r>
      <w:r>
        <w:rPr>
          <w:w w:val="105"/>
          <w:sz w:val="21"/>
        </w:rPr>
        <w:t>of </w:t>
      </w:r>
      <w:r>
        <w:rPr>
          <w:spacing w:val="-3"/>
          <w:w w:val="105"/>
          <w:sz w:val="21"/>
        </w:rPr>
        <w:t>any </w:t>
      </w:r>
      <w:r>
        <w:rPr>
          <w:w w:val="105"/>
          <w:sz w:val="21"/>
        </w:rPr>
        <w:t>order it </w:t>
      </w:r>
      <w:r>
        <w:rPr>
          <w:spacing w:val="-3"/>
          <w:w w:val="105"/>
          <w:sz w:val="21"/>
        </w:rPr>
        <w:t>makes to </w:t>
      </w:r>
      <w:r>
        <w:rPr>
          <w:w w:val="105"/>
          <w:sz w:val="21"/>
        </w:rPr>
        <w:t>the </w:t>
      </w:r>
      <w:r>
        <w:rPr>
          <w:spacing w:val="-3"/>
          <w:w w:val="105"/>
          <w:sz w:val="21"/>
        </w:rPr>
        <w:t>council </w:t>
      </w:r>
      <w:r>
        <w:rPr>
          <w:w w:val="105"/>
          <w:sz w:val="21"/>
        </w:rPr>
        <w:t>of the local </w:t>
      </w:r>
      <w:r>
        <w:rPr>
          <w:spacing w:val="-3"/>
          <w:w w:val="105"/>
          <w:sz w:val="21"/>
        </w:rPr>
        <w:t>government area </w:t>
      </w:r>
      <w:r>
        <w:rPr>
          <w:w w:val="105"/>
          <w:sz w:val="21"/>
        </w:rPr>
        <w:t>on which the tree is </w:t>
      </w:r>
      <w:r>
        <w:rPr>
          <w:spacing w:val="-3"/>
          <w:w w:val="105"/>
          <w:sz w:val="21"/>
        </w:rPr>
        <w:t>situated, </w:t>
      </w:r>
      <w:r>
        <w:rPr>
          <w:w w:val="105"/>
          <w:sz w:val="21"/>
        </w:rPr>
        <w:t>regardless of whether the local </w:t>
      </w:r>
      <w:r>
        <w:rPr>
          <w:spacing w:val="-3"/>
          <w:w w:val="105"/>
          <w:sz w:val="21"/>
        </w:rPr>
        <w:t>council</w:t>
      </w:r>
      <w:r>
        <w:rPr>
          <w:spacing w:val="-4"/>
          <w:w w:val="105"/>
          <w:sz w:val="21"/>
        </w:rPr>
        <w:t> </w:t>
      </w:r>
      <w:r>
        <w:rPr>
          <w:w w:val="105"/>
          <w:sz w:val="21"/>
        </w:rPr>
        <w:t>appeared</w:t>
      </w:r>
      <w:r>
        <w:rPr>
          <w:spacing w:val="-3"/>
          <w:w w:val="105"/>
          <w:sz w:val="21"/>
        </w:rPr>
        <w:t> </w:t>
      </w:r>
      <w:r>
        <w:rPr>
          <w:w w:val="105"/>
          <w:sz w:val="21"/>
        </w:rPr>
        <w:t>in</w:t>
      </w:r>
      <w:r>
        <w:rPr>
          <w:spacing w:val="-3"/>
          <w:w w:val="105"/>
          <w:sz w:val="21"/>
        </w:rPr>
        <w:t> </w:t>
      </w:r>
      <w:r>
        <w:rPr>
          <w:w w:val="105"/>
          <w:sz w:val="21"/>
        </w:rPr>
        <w:t>the</w:t>
      </w:r>
      <w:r>
        <w:rPr>
          <w:spacing w:val="-4"/>
          <w:w w:val="105"/>
          <w:sz w:val="21"/>
        </w:rPr>
        <w:t> </w:t>
      </w:r>
      <w:r>
        <w:rPr>
          <w:spacing w:val="-3"/>
          <w:w w:val="105"/>
          <w:sz w:val="21"/>
        </w:rPr>
        <w:t>hearing, </w:t>
      </w:r>
      <w:r>
        <w:rPr>
          <w:w w:val="105"/>
          <w:sz w:val="21"/>
        </w:rPr>
        <w:t>and</w:t>
      </w:r>
      <w:r>
        <w:rPr>
          <w:spacing w:val="-3"/>
          <w:w w:val="105"/>
          <w:sz w:val="21"/>
        </w:rPr>
        <w:t> </w:t>
      </w:r>
      <w:r>
        <w:rPr>
          <w:w w:val="105"/>
          <w:sz w:val="21"/>
        </w:rPr>
        <w:t>also</w:t>
      </w:r>
      <w:r>
        <w:rPr>
          <w:spacing w:val="-3"/>
          <w:w w:val="105"/>
          <w:sz w:val="21"/>
        </w:rPr>
        <w:t> to</w:t>
      </w:r>
      <w:r>
        <w:rPr>
          <w:spacing w:val="-4"/>
          <w:w w:val="105"/>
          <w:sz w:val="21"/>
        </w:rPr>
        <w:t> </w:t>
      </w:r>
      <w:r>
        <w:rPr>
          <w:w w:val="105"/>
          <w:sz w:val="21"/>
        </w:rPr>
        <w:t>the</w:t>
      </w:r>
      <w:r>
        <w:rPr>
          <w:spacing w:val="-3"/>
          <w:w w:val="105"/>
          <w:sz w:val="21"/>
        </w:rPr>
        <w:t> </w:t>
      </w:r>
      <w:r>
        <w:rPr>
          <w:w w:val="105"/>
          <w:sz w:val="21"/>
        </w:rPr>
        <w:t>Heritage</w:t>
      </w:r>
      <w:r>
        <w:rPr>
          <w:spacing w:val="-3"/>
          <w:w w:val="105"/>
          <w:sz w:val="21"/>
        </w:rPr>
        <w:t> </w:t>
      </w:r>
      <w:r>
        <w:rPr>
          <w:spacing w:val="-4"/>
          <w:w w:val="105"/>
          <w:sz w:val="21"/>
        </w:rPr>
        <w:t>Council</w:t>
      </w:r>
      <w:r>
        <w:rPr>
          <w:spacing w:val="-3"/>
          <w:w w:val="105"/>
          <w:sz w:val="21"/>
        </w:rPr>
        <w:t> </w:t>
      </w:r>
      <w:r>
        <w:rPr>
          <w:w w:val="105"/>
          <w:sz w:val="21"/>
        </w:rPr>
        <w:t>if</w:t>
      </w:r>
      <w:r>
        <w:rPr>
          <w:spacing w:val="-4"/>
          <w:w w:val="105"/>
          <w:sz w:val="21"/>
        </w:rPr>
        <w:t> </w:t>
      </w:r>
      <w:r>
        <w:rPr>
          <w:w w:val="105"/>
          <w:sz w:val="21"/>
        </w:rPr>
        <w:t>it</w:t>
      </w:r>
      <w:r>
        <w:rPr>
          <w:spacing w:val="-3"/>
          <w:w w:val="105"/>
          <w:sz w:val="21"/>
        </w:rPr>
        <w:t> </w:t>
      </w:r>
      <w:r>
        <w:rPr>
          <w:w w:val="105"/>
          <w:sz w:val="21"/>
        </w:rPr>
        <w:t>appeared</w:t>
      </w:r>
      <w:r>
        <w:rPr>
          <w:spacing w:val="-3"/>
          <w:w w:val="105"/>
          <w:sz w:val="21"/>
        </w:rPr>
        <w:t> </w:t>
      </w:r>
      <w:r>
        <w:rPr>
          <w:w w:val="105"/>
          <w:sz w:val="21"/>
        </w:rPr>
        <w:t>in</w:t>
      </w:r>
      <w:r>
        <w:rPr>
          <w:spacing w:val="-4"/>
          <w:w w:val="105"/>
          <w:sz w:val="21"/>
        </w:rPr>
        <w:t> </w:t>
      </w:r>
      <w:r>
        <w:rPr>
          <w:w w:val="105"/>
          <w:sz w:val="21"/>
        </w:rPr>
        <w:t>the</w:t>
      </w:r>
    </w:p>
    <w:p>
      <w:pPr>
        <w:pStyle w:val="BodyText"/>
        <w:spacing w:line="242" w:lineRule="auto" w:before="4"/>
        <w:ind w:left="2381" w:right="1558" w:hanging="1"/>
        <w:rPr>
          <w:sz w:val="12"/>
        </w:rPr>
      </w:pPr>
      <w:r>
        <w:rPr>
          <w:w w:val="105"/>
        </w:rPr>
        <w:t>proceedings.</w:t>
      </w:r>
      <w:r>
        <w:rPr>
          <w:w w:val="105"/>
          <w:position w:val="7"/>
          <w:sz w:val="12"/>
        </w:rPr>
        <w:t>67 </w:t>
      </w:r>
      <w:r>
        <w:rPr>
          <w:w w:val="105"/>
        </w:rPr>
        <w:t>The same </w:t>
      </w:r>
      <w:r>
        <w:rPr>
          <w:spacing w:val="-3"/>
          <w:w w:val="105"/>
        </w:rPr>
        <w:t>requirement </w:t>
      </w:r>
      <w:r>
        <w:rPr>
          <w:w w:val="105"/>
        </w:rPr>
        <w:t>applies in </w:t>
      </w:r>
      <w:r>
        <w:rPr>
          <w:spacing w:val="-5"/>
          <w:w w:val="105"/>
        </w:rPr>
        <w:t>QCAT.</w:t>
      </w:r>
      <w:r>
        <w:rPr>
          <w:spacing w:val="-5"/>
          <w:w w:val="105"/>
          <w:position w:val="7"/>
          <w:sz w:val="12"/>
        </w:rPr>
        <w:t>68 </w:t>
      </w:r>
      <w:r>
        <w:rPr>
          <w:w w:val="105"/>
        </w:rPr>
        <w:t>In </w:t>
      </w:r>
      <w:r>
        <w:rPr>
          <w:spacing w:val="-5"/>
          <w:w w:val="105"/>
        </w:rPr>
        <w:t>Tasmania </w:t>
      </w:r>
      <w:r>
        <w:rPr>
          <w:spacing w:val="-6"/>
          <w:w w:val="105"/>
        </w:rPr>
        <w:t>RMPAT </w:t>
      </w:r>
      <w:r>
        <w:rPr>
          <w:spacing w:val="-3"/>
          <w:w w:val="105"/>
        </w:rPr>
        <w:t>will </w:t>
      </w:r>
      <w:r>
        <w:rPr>
          <w:w w:val="105"/>
        </w:rPr>
        <w:t>provide a </w:t>
      </w:r>
      <w:r>
        <w:rPr>
          <w:spacing w:val="-3"/>
          <w:w w:val="105"/>
        </w:rPr>
        <w:t>copy </w:t>
      </w:r>
      <w:r>
        <w:rPr>
          <w:w w:val="105"/>
        </w:rPr>
        <w:t>of the order made </w:t>
      </w:r>
      <w:r>
        <w:rPr>
          <w:spacing w:val="-3"/>
          <w:w w:val="105"/>
        </w:rPr>
        <w:t>to </w:t>
      </w:r>
      <w:r>
        <w:rPr>
          <w:w w:val="105"/>
        </w:rPr>
        <w:t>the </w:t>
      </w:r>
      <w:r>
        <w:rPr>
          <w:spacing w:val="-3"/>
          <w:w w:val="105"/>
        </w:rPr>
        <w:t>council </w:t>
      </w:r>
      <w:r>
        <w:rPr>
          <w:w w:val="105"/>
        </w:rPr>
        <w:t>in </w:t>
      </w:r>
      <w:r>
        <w:rPr>
          <w:spacing w:val="-3"/>
          <w:w w:val="105"/>
        </w:rPr>
        <w:t>relation to </w:t>
      </w:r>
      <w:r>
        <w:rPr>
          <w:w w:val="105"/>
        </w:rPr>
        <w:t>the </w:t>
      </w:r>
      <w:r>
        <w:rPr>
          <w:spacing w:val="-3"/>
          <w:w w:val="105"/>
        </w:rPr>
        <w:t>land </w:t>
      </w:r>
      <w:r>
        <w:rPr>
          <w:w w:val="105"/>
        </w:rPr>
        <w:t>on which the tree is </w:t>
      </w:r>
      <w:r>
        <w:rPr>
          <w:spacing w:val="-3"/>
          <w:w w:val="105"/>
        </w:rPr>
        <w:t>situated </w:t>
      </w:r>
      <w:r>
        <w:rPr>
          <w:w w:val="105"/>
        </w:rPr>
        <w:t>and </w:t>
      </w:r>
      <w:r>
        <w:rPr>
          <w:spacing w:val="-3"/>
          <w:w w:val="105"/>
        </w:rPr>
        <w:t>any government </w:t>
      </w:r>
      <w:r>
        <w:rPr>
          <w:w w:val="105"/>
        </w:rPr>
        <w:t>body or party who appeared in the </w:t>
      </w:r>
      <w:r>
        <w:rPr>
          <w:spacing w:val="-3"/>
          <w:w w:val="105"/>
        </w:rPr>
        <w:t>proceedings.</w:t>
      </w:r>
      <w:r>
        <w:rPr>
          <w:spacing w:val="-3"/>
          <w:w w:val="105"/>
          <w:position w:val="7"/>
          <w:sz w:val="12"/>
        </w:rPr>
        <w:t>69</w:t>
      </w:r>
    </w:p>
    <w:p>
      <w:pPr>
        <w:pStyle w:val="ListParagraph"/>
        <w:numPr>
          <w:ilvl w:val="1"/>
          <w:numId w:val="16"/>
        </w:numPr>
        <w:tabs>
          <w:tab w:pos="2381" w:val="left" w:leader="none"/>
          <w:tab w:pos="2382" w:val="left" w:leader="none"/>
        </w:tabs>
        <w:spacing w:line="242" w:lineRule="auto" w:before="123" w:after="0"/>
        <w:ind w:left="2381" w:right="2132" w:hanging="794"/>
        <w:jc w:val="left"/>
        <w:rPr>
          <w:sz w:val="21"/>
        </w:rPr>
      </w:pPr>
      <w:r>
        <w:rPr>
          <w:spacing w:val="-3"/>
          <w:w w:val="105"/>
          <w:sz w:val="21"/>
        </w:rPr>
        <w:t>Nillumbik Shire </w:t>
      </w:r>
      <w:r>
        <w:rPr>
          <w:spacing w:val="-4"/>
          <w:w w:val="105"/>
          <w:sz w:val="21"/>
        </w:rPr>
        <w:t>Council </w:t>
      </w:r>
      <w:r>
        <w:rPr>
          <w:w w:val="105"/>
          <w:sz w:val="21"/>
        </w:rPr>
        <w:t>stated </w:t>
      </w:r>
      <w:r>
        <w:rPr>
          <w:spacing w:val="-3"/>
          <w:w w:val="105"/>
          <w:sz w:val="21"/>
        </w:rPr>
        <w:t>that </w:t>
      </w:r>
      <w:r>
        <w:rPr>
          <w:w w:val="105"/>
          <w:sz w:val="21"/>
        </w:rPr>
        <w:t>if a new statutory scheme </w:t>
      </w:r>
      <w:r>
        <w:rPr>
          <w:spacing w:val="-3"/>
          <w:w w:val="105"/>
          <w:sz w:val="21"/>
        </w:rPr>
        <w:t>were to </w:t>
      </w:r>
      <w:r>
        <w:rPr>
          <w:w w:val="105"/>
          <w:sz w:val="21"/>
        </w:rPr>
        <w:t>be adopted in Victoria, then it would </w:t>
      </w:r>
      <w:r>
        <w:rPr>
          <w:spacing w:val="-3"/>
          <w:w w:val="105"/>
          <w:sz w:val="21"/>
        </w:rPr>
        <w:t>want to </w:t>
      </w:r>
      <w:r>
        <w:rPr>
          <w:w w:val="105"/>
          <w:sz w:val="21"/>
        </w:rPr>
        <w:t>be notified of </w:t>
      </w:r>
      <w:r>
        <w:rPr>
          <w:spacing w:val="-3"/>
          <w:w w:val="105"/>
          <w:sz w:val="21"/>
        </w:rPr>
        <w:t>any </w:t>
      </w:r>
      <w:r>
        <w:rPr>
          <w:w w:val="105"/>
          <w:sz w:val="21"/>
        </w:rPr>
        <w:t>orders made as the </w:t>
      </w:r>
      <w:r>
        <w:rPr>
          <w:spacing w:val="-3"/>
          <w:w w:val="105"/>
          <w:sz w:val="21"/>
        </w:rPr>
        <w:t>relevant </w:t>
      </w:r>
      <w:r>
        <w:rPr>
          <w:w w:val="105"/>
          <w:sz w:val="21"/>
        </w:rPr>
        <w:t>local </w:t>
      </w:r>
      <w:r>
        <w:rPr>
          <w:spacing w:val="-4"/>
          <w:w w:val="105"/>
          <w:sz w:val="21"/>
        </w:rPr>
        <w:t>council.</w:t>
      </w:r>
      <w:r>
        <w:rPr>
          <w:spacing w:val="-4"/>
          <w:w w:val="105"/>
          <w:position w:val="7"/>
          <w:sz w:val="12"/>
        </w:rPr>
        <w:t>70</w:t>
      </w:r>
    </w:p>
    <w:p>
      <w:pPr>
        <w:pStyle w:val="BodyText"/>
        <w:spacing w:before="3"/>
        <w:rPr>
          <w:sz w:val="19"/>
        </w:rPr>
      </w:pPr>
      <w:r>
        <w:rPr/>
        <w:pict>
          <v:group style="position:absolute;margin-left:62.362202pt;margin-top:13.739805pt;width:479.1pt;height:96.4pt;mso-position-horizontal-relative:page;mso-position-vertical-relative:paragraph;z-index:8744;mso-wrap-distance-left:0;mso-wrap-distance-right:0" coordorigin="1247,275" coordsize="9582,1928">
            <v:rect style="position:absolute;left:1587;top:274;width:8731;height:1928" filled="true" fillcolor="#dbe0dd" stroked="false">
              <v:fill type="solid"/>
            </v:rect>
            <v:line style="position:absolute" from="1247,1022" to="10828,1022" stroked="true" strokeweight="2.5pt" strokecolor="#ffffff">
              <v:stroke dashstyle="solid"/>
            </v:line>
            <v:shape style="position:absolute;left:1587;top:1046;width:8731;height:1156" type="#_x0000_t202" filled="true" fillcolor="#dbe0dd" stroked="false">
              <v:textbox inset="0,0,0,0">
                <w:txbxContent>
                  <w:p>
                    <w:pPr>
                      <w:spacing w:line="242" w:lineRule="auto" w:before="208"/>
                      <w:ind w:left="793" w:right="932" w:hanging="567"/>
                      <w:jc w:val="both"/>
                      <w:rPr>
                        <w:sz w:val="21"/>
                      </w:rPr>
                    </w:pPr>
                    <w:r>
                      <w:rPr>
                        <w:b/>
                        <w:spacing w:val="-3"/>
                        <w:w w:val="115"/>
                        <w:sz w:val="21"/>
                      </w:rPr>
                      <w:t>31 </w:t>
                    </w:r>
                    <w:r>
                      <w:rPr>
                        <w:w w:val="115"/>
                        <w:sz w:val="21"/>
                      </w:rPr>
                      <w:t>The Act should require the Victorian Civil and Administrative </w:t>
                    </w:r>
                    <w:r>
                      <w:rPr>
                        <w:spacing w:val="-4"/>
                        <w:w w:val="115"/>
                        <w:sz w:val="21"/>
                      </w:rPr>
                      <w:t>Tribunal </w:t>
                    </w:r>
                    <w:r>
                      <w:rPr>
                        <w:w w:val="115"/>
                        <w:sz w:val="21"/>
                      </w:rPr>
                      <w:t>to provide a copy of </w:t>
                    </w:r>
                    <w:r>
                      <w:rPr>
                        <w:spacing w:val="-2"/>
                        <w:w w:val="115"/>
                        <w:sz w:val="21"/>
                      </w:rPr>
                      <w:t>any </w:t>
                    </w:r>
                    <w:r>
                      <w:rPr>
                        <w:w w:val="115"/>
                        <w:sz w:val="21"/>
                      </w:rPr>
                      <w:t>orders made to </w:t>
                    </w:r>
                    <w:r>
                      <w:rPr>
                        <w:spacing w:val="-2"/>
                        <w:w w:val="115"/>
                        <w:sz w:val="21"/>
                      </w:rPr>
                      <w:t>any </w:t>
                    </w:r>
                    <w:r>
                      <w:rPr>
                        <w:spacing w:val="-3"/>
                        <w:w w:val="115"/>
                        <w:sz w:val="21"/>
                      </w:rPr>
                      <w:t>relevant </w:t>
                    </w:r>
                    <w:r>
                      <w:rPr>
                        <w:w w:val="115"/>
                        <w:sz w:val="21"/>
                      </w:rPr>
                      <w:t>authority who </w:t>
                    </w:r>
                    <w:r>
                      <w:rPr>
                        <w:spacing w:val="-3"/>
                        <w:w w:val="115"/>
                        <w:sz w:val="21"/>
                      </w:rPr>
                      <w:t>would </w:t>
                    </w:r>
                    <w:r>
                      <w:rPr>
                        <w:w w:val="115"/>
                        <w:sz w:val="21"/>
                      </w:rPr>
                      <w:t>otherwise be required to authorise or consent to works on the tree.</w:t>
                    </w:r>
                  </w:p>
                </w:txbxContent>
              </v:textbox>
              <v:fill type="solid"/>
              <w10:wrap type="none"/>
            </v:shape>
            <v:shape style="position:absolute;left:1587;top:274;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w:t>
                    </w:r>
                  </w:p>
                </w:txbxContent>
              </v:textbox>
              <v:fill type="solid"/>
              <w10:wrap type="none"/>
            </v:shape>
            <w10:wrap type="topAndBottom"/>
          </v:group>
        </w:pict>
      </w:r>
    </w:p>
    <w:p>
      <w:pPr>
        <w:pStyle w:val="BodyText"/>
        <w:rPr>
          <w:sz w:val="20"/>
        </w:rPr>
      </w:pPr>
    </w:p>
    <w:p>
      <w:pPr>
        <w:pStyle w:val="Heading4"/>
        <w:spacing w:before="272"/>
      </w:pPr>
      <w:r>
        <w:rPr>
          <w:color w:val="658464"/>
          <w:w w:val="115"/>
        </w:rPr>
        <w:t>Appeals</w:t>
      </w:r>
    </w:p>
    <w:p>
      <w:pPr>
        <w:pStyle w:val="ListParagraph"/>
        <w:numPr>
          <w:ilvl w:val="1"/>
          <w:numId w:val="16"/>
        </w:numPr>
        <w:tabs>
          <w:tab w:pos="2381" w:val="left" w:leader="none"/>
          <w:tab w:pos="2382" w:val="left" w:leader="none"/>
        </w:tabs>
        <w:spacing w:line="242" w:lineRule="auto" w:before="155" w:after="0"/>
        <w:ind w:left="2381" w:right="1866" w:hanging="794"/>
        <w:jc w:val="left"/>
        <w:rPr>
          <w:sz w:val="21"/>
        </w:rPr>
      </w:pPr>
      <w:r>
        <w:rPr>
          <w:sz w:val="21"/>
        </w:rPr>
        <w:t>An appeal is an application </w:t>
      </w:r>
      <w:r>
        <w:rPr>
          <w:spacing w:val="-3"/>
          <w:sz w:val="21"/>
        </w:rPr>
        <w:t>to  </w:t>
      </w:r>
      <w:r>
        <w:rPr>
          <w:sz w:val="21"/>
        </w:rPr>
        <w:t>a court with jurisdiction </w:t>
      </w:r>
      <w:r>
        <w:rPr>
          <w:spacing w:val="-3"/>
          <w:sz w:val="21"/>
        </w:rPr>
        <w:t>to</w:t>
      </w:r>
      <w:r>
        <w:rPr>
          <w:spacing w:val="41"/>
          <w:sz w:val="21"/>
        </w:rPr>
        <w:t> </w:t>
      </w:r>
      <w:r>
        <w:rPr>
          <w:sz w:val="21"/>
        </w:rPr>
        <w:t>hear an appeal (also known     as </w:t>
      </w:r>
      <w:r>
        <w:rPr>
          <w:spacing w:val="-4"/>
          <w:sz w:val="21"/>
        </w:rPr>
        <w:t>‘appellate </w:t>
      </w:r>
      <w:r>
        <w:rPr>
          <w:sz w:val="21"/>
        </w:rPr>
        <w:t>jurisdiction’) on the </w:t>
      </w:r>
      <w:r>
        <w:rPr>
          <w:spacing w:val="-3"/>
          <w:sz w:val="21"/>
        </w:rPr>
        <w:t>ground that </w:t>
      </w:r>
      <w:r>
        <w:rPr>
          <w:sz w:val="21"/>
        </w:rPr>
        <w:t>there </w:t>
      </w:r>
      <w:r>
        <w:rPr>
          <w:spacing w:val="-2"/>
          <w:sz w:val="21"/>
        </w:rPr>
        <w:t>has </w:t>
      </w:r>
      <w:r>
        <w:rPr>
          <w:sz w:val="21"/>
        </w:rPr>
        <w:t>been an error in the </w:t>
      </w:r>
      <w:r>
        <w:rPr>
          <w:spacing w:val="-3"/>
          <w:sz w:val="21"/>
        </w:rPr>
        <w:t>original decision.</w:t>
      </w:r>
      <w:r>
        <w:rPr>
          <w:spacing w:val="-3"/>
          <w:position w:val="7"/>
          <w:sz w:val="12"/>
        </w:rPr>
        <w:t>71 </w:t>
      </w:r>
      <w:r>
        <w:rPr>
          <w:sz w:val="21"/>
        </w:rPr>
        <w:t>Where the decision </w:t>
      </w:r>
      <w:r>
        <w:rPr>
          <w:spacing w:val="-2"/>
          <w:sz w:val="21"/>
        </w:rPr>
        <w:t>has </w:t>
      </w:r>
      <w:r>
        <w:rPr>
          <w:sz w:val="21"/>
        </w:rPr>
        <w:t>been made by a lower court in the first </w:t>
      </w:r>
      <w:r>
        <w:rPr>
          <w:spacing w:val="-3"/>
          <w:sz w:val="21"/>
        </w:rPr>
        <w:t>instance, </w:t>
      </w:r>
      <w:r>
        <w:rPr>
          <w:sz w:val="21"/>
        </w:rPr>
        <w:t>an appeal must be made </w:t>
      </w:r>
      <w:r>
        <w:rPr>
          <w:spacing w:val="-3"/>
          <w:sz w:val="21"/>
        </w:rPr>
        <w:t>to  </w:t>
      </w:r>
      <w:r>
        <w:rPr>
          <w:sz w:val="21"/>
        </w:rPr>
        <w:t>a </w:t>
      </w:r>
      <w:r>
        <w:rPr>
          <w:spacing w:val="-3"/>
          <w:sz w:val="21"/>
        </w:rPr>
        <w:t>higher</w:t>
      </w:r>
      <w:r>
        <w:rPr>
          <w:spacing w:val="41"/>
          <w:sz w:val="21"/>
        </w:rPr>
        <w:t> </w:t>
      </w:r>
      <w:r>
        <w:rPr>
          <w:sz w:val="21"/>
        </w:rPr>
        <w:t>court. Where the decision </w:t>
      </w:r>
      <w:r>
        <w:rPr>
          <w:spacing w:val="-2"/>
          <w:sz w:val="21"/>
        </w:rPr>
        <w:t>has  </w:t>
      </w:r>
      <w:r>
        <w:rPr>
          <w:sz w:val="21"/>
        </w:rPr>
        <w:t>been made by </w:t>
      </w:r>
      <w:r>
        <w:rPr>
          <w:spacing w:val="-5"/>
          <w:sz w:val="21"/>
        </w:rPr>
        <w:t>VCAT      </w:t>
      </w:r>
      <w:r>
        <w:rPr>
          <w:sz w:val="21"/>
        </w:rPr>
        <w:t>in the first </w:t>
      </w:r>
      <w:r>
        <w:rPr>
          <w:spacing w:val="-3"/>
          <w:sz w:val="21"/>
        </w:rPr>
        <w:t>instance, </w:t>
      </w:r>
      <w:r>
        <w:rPr>
          <w:sz w:val="21"/>
        </w:rPr>
        <w:t>an appeal must be made </w:t>
      </w:r>
      <w:r>
        <w:rPr>
          <w:spacing w:val="-3"/>
          <w:sz w:val="21"/>
        </w:rPr>
        <w:t>to </w:t>
      </w:r>
      <w:r>
        <w:rPr>
          <w:sz w:val="21"/>
        </w:rPr>
        <w:t>the </w:t>
      </w:r>
      <w:r>
        <w:rPr>
          <w:spacing w:val="-3"/>
          <w:sz w:val="21"/>
        </w:rPr>
        <w:t>Supreme Court </w:t>
      </w:r>
      <w:r>
        <w:rPr>
          <w:sz w:val="21"/>
        </w:rPr>
        <w:t>of </w:t>
      </w:r>
      <w:r>
        <w:rPr>
          <w:spacing w:val="-3"/>
          <w:sz w:val="21"/>
        </w:rPr>
        <w:t>Victoria.</w:t>
      </w:r>
      <w:r>
        <w:rPr>
          <w:spacing w:val="-3"/>
          <w:position w:val="7"/>
          <w:sz w:val="12"/>
        </w:rPr>
        <w:t>72  </w:t>
      </w:r>
      <w:r>
        <w:rPr>
          <w:sz w:val="21"/>
        </w:rPr>
        <w:t>An  appeal </w:t>
      </w:r>
      <w:r>
        <w:rPr>
          <w:spacing w:val="-3"/>
          <w:sz w:val="21"/>
        </w:rPr>
        <w:t>may </w:t>
      </w:r>
      <w:r>
        <w:rPr>
          <w:sz w:val="21"/>
        </w:rPr>
        <w:t>be as of </w:t>
      </w:r>
      <w:r>
        <w:rPr>
          <w:spacing w:val="-3"/>
          <w:sz w:val="21"/>
        </w:rPr>
        <w:t>right </w:t>
      </w:r>
      <w:r>
        <w:rPr>
          <w:sz w:val="21"/>
        </w:rPr>
        <w:t>or by </w:t>
      </w:r>
      <w:r>
        <w:rPr>
          <w:spacing w:val="-4"/>
          <w:sz w:val="21"/>
        </w:rPr>
        <w:t>leave.  </w:t>
      </w:r>
      <w:r>
        <w:rPr>
          <w:sz w:val="21"/>
        </w:rPr>
        <w:t>An appeal as of </w:t>
      </w:r>
      <w:r>
        <w:rPr>
          <w:spacing w:val="-3"/>
          <w:sz w:val="21"/>
        </w:rPr>
        <w:t>right  means  that  </w:t>
      </w:r>
      <w:r>
        <w:rPr>
          <w:sz w:val="21"/>
        </w:rPr>
        <w:t>the appeal can  be</w:t>
      </w:r>
      <w:r>
        <w:rPr>
          <w:spacing w:val="15"/>
          <w:sz w:val="21"/>
        </w:rPr>
        <w:t> </w:t>
      </w:r>
      <w:r>
        <w:rPr>
          <w:sz w:val="21"/>
        </w:rPr>
        <w:t>pursued</w:t>
      </w:r>
      <w:r>
        <w:rPr>
          <w:spacing w:val="15"/>
          <w:sz w:val="21"/>
        </w:rPr>
        <w:t> </w:t>
      </w:r>
      <w:r>
        <w:rPr>
          <w:sz w:val="21"/>
        </w:rPr>
        <w:t>without</w:t>
      </w:r>
      <w:r>
        <w:rPr>
          <w:spacing w:val="16"/>
          <w:sz w:val="21"/>
        </w:rPr>
        <w:t> </w:t>
      </w:r>
      <w:r>
        <w:rPr>
          <w:sz w:val="21"/>
        </w:rPr>
        <w:t>the</w:t>
      </w:r>
      <w:r>
        <w:rPr>
          <w:spacing w:val="15"/>
          <w:sz w:val="21"/>
        </w:rPr>
        <w:t> </w:t>
      </w:r>
      <w:r>
        <w:rPr>
          <w:sz w:val="21"/>
        </w:rPr>
        <w:t>need</w:t>
      </w:r>
      <w:r>
        <w:rPr>
          <w:spacing w:val="16"/>
          <w:sz w:val="21"/>
        </w:rPr>
        <w:t> </w:t>
      </w:r>
      <w:r>
        <w:rPr>
          <w:spacing w:val="-3"/>
          <w:sz w:val="21"/>
        </w:rPr>
        <w:t>to</w:t>
      </w:r>
      <w:r>
        <w:rPr>
          <w:spacing w:val="15"/>
          <w:sz w:val="21"/>
        </w:rPr>
        <w:t> </w:t>
      </w:r>
      <w:r>
        <w:rPr>
          <w:sz w:val="21"/>
        </w:rPr>
        <w:t>obtain</w:t>
      </w:r>
      <w:r>
        <w:rPr>
          <w:spacing w:val="15"/>
          <w:sz w:val="21"/>
        </w:rPr>
        <w:t> </w:t>
      </w:r>
      <w:r>
        <w:rPr>
          <w:spacing w:val="-3"/>
          <w:sz w:val="21"/>
        </w:rPr>
        <w:t>leave</w:t>
      </w:r>
      <w:r>
        <w:rPr>
          <w:spacing w:val="16"/>
          <w:sz w:val="21"/>
        </w:rPr>
        <w:t> </w:t>
      </w:r>
      <w:r>
        <w:rPr>
          <w:sz w:val="21"/>
        </w:rPr>
        <w:t>(or</w:t>
      </w:r>
      <w:r>
        <w:rPr>
          <w:spacing w:val="15"/>
          <w:sz w:val="21"/>
        </w:rPr>
        <w:t> </w:t>
      </w:r>
      <w:r>
        <w:rPr>
          <w:sz w:val="21"/>
        </w:rPr>
        <w:t>permission)</w:t>
      </w:r>
      <w:r>
        <w:rPr>
          <w:spacing w:val="15"/>
          <w:sz w:val="21"/>
        </w:rPr>
        <w:t> </w:t>
      </w:r>
      <w:r>
        <w:rPr>
          <w:sz w:val="21"/>
        </w:rPr>
        <w:t>of</w:t>
      </w:r>
      <w:r>
        <w:rPr>
          <w:spacing w:val="16"/>
          <w:sz w:val="21"/>
        </w:rPr>
        <w:t> </w:t>
      </w:r>
      <w:r>
        <w:rPr>
          <w:sz w:val="21"/>
        </w:rPr>
        <w:t>the</w:t>
      </w:r>
      <w:r>
        <w:rPr>
          <w:spacing w:val="15"/>
          <w:sz w:val="21"/>
        </w:rPr>
        <w:t> </w:t>
      </w:r>
      <w:r>
        <w:rPr>
          <w:spacing w:val="-3"/>
          <w:sz w:val="21"/>
        </w:rPr>
        <w:t>appellate</w:t>
      </w:r>
      <w:r>
        <w:rPr>
          <w:spacing w:val="16"/>
          <w:sz w:val="21"/>
        </w:rPr>
        <w:t> </w:t>
      </w:r>
      <w:r>
        <w:rPr>
          <w:sz w:val="21"/>
        </w:rPr>
        <w:t>court.</w:t>
      </w:r>
      <w:r>
        <w:rPr>
          <w:spacing w:val="15"/>
          <w:sz w:val="21"/>
        </w:rPr>
        <w:t> </w:t>
      </w:r>
      <w:r>
        <w:rPr>
          <w:sz w:val="21"/>
        </w:rPr>
        <w:t>For</w:t>
      </w:r>
    </w:p>
    <w:p>
      <w:pPr>
        <w:pStyle w:val="BodyText"/>
        <w:spacing w:line="242" w:lineRule="auto" w:before="7"/>
        <w:ind w:left="2381" w:right="1636"/>
        <w:rPr>
          <w:sz w:val="12"/>
        </w:rPr>
      </w:pPr>
      <w:r>
        <w:rPr>
          <w:w w:val="105"/>
        </w:rPr>
        <w:t>appeals by </w:t>
      </w:r>
      <w:r>
        <w:rPr>
          <w:spacing w:val="-4"/>
          <w:w w:val="105"/>
        </w:rPr>
        <w:t>leave, </w:t>
      </w:r>
      <w:r>
        <w:rPr>
          <w:w w:val="105"/>
        </w:rPr>
        <w:t>the </w:t>
      </w:r>
      <w:r>
        <w:rPr>
          <w:spacing w:val="-3"/>
          <w:w w:val="105"/>
        </w:rPr>
        <w:t>appellate </w:t>
      </w:r>
      <w:r>
        <w:rPr>
          <w:w w:val="105"/>
        </w:rPr>
        <w:t>court must </w:t>
      </w:r>
      <w:r>
        <w:rPr>
          <w:spacing w:val="-3"/>
          <w:w w:val="105"/>
        </w:rPr>
        <w:t>grant </w:t>
      </w:r>
      <w:r>
        <w:rPr>
          <w:w w:val="105"/>
        </w:rPr>
        <w:t>permission </w:t>
      </w:r>
      <w:r>
        <w:rPr>
          <w:spacing w:val="-3"/>
          <w:w w:val="105"/>
        </w:rPr>
        <w:t>to </w:t>
      </w:r>
      <w:r>
        <w:rPr>
          <w:w w:val="105"/>
        </w:rPr>
        <w:t>a party </w:t>
      </w:r>
      <w:r>
        <w:rPr>
          <w:spacing w:val="-3"/>
          <w:w w:val="105"/>
        </w:rPr>
        <w:t>wishing to pursue </w:t>
      </w:r>
      <w:r>
        <w:rPr>
          <w:w w:val="105"/>
        </w:rPr>
        <w:t>the </w:t>
      </w:r>
      <w:r>
        <w:rPr>
          <w:spacing w:val="-3"/>
          <w:w w:val="105"/>
        </w:rPr>
        <w:t>appeal.</w:t>
      </w:r>
      <w:r>
        <w:rPr>
          <w:spacing w:val="-3"/>
          <w:w w:val="105"/>
          <w:position w:val="7"/>
          <w:sz w:val="12"/>
        </w:rPr>
        <w:t>73</w:t>
      </w:r>
    </w:p>
    <w:p>
      <w:pPr>
        <w:pStyle w:val="BodyText"/>
        <w:spacing w:before="3"/>
        <w:rPr>
          <w:sz w:val="20"/>
        </w:rPr>
      </w:pPr>
    </w:p>
    <w:p>
      <w:pPr>
        <w:pStyle w:val="Heading5"/>
      </w:pPr>
      <w:r>
        <w:rPr>
          <w:w w:val="115"/>
        </w:rPr>
        <w:t>Appealing VCAT orders</w:t>
      </w:r>
    </w:p>
    <w:p>
      <w:pPr>
        <w:pStyle w:val="ListParagraph"/>
        <w:numPr>
          <w:ilvl w:val="1"/>
          <w:numId w:val="16"/>
        </w:numPr>
        <w:tabs>
          <w:tab w:pos="2381" w:val="left" w:leader="none"/>
          <w:tab w:pos="2382" w:val="left" w:leader="none"/>
        </w:tabs>
        <w:spacing w:line="242" w:lineRule="auto" w:before="137" w:after="0"/>
        <w:ind w:left="2381" w:right="1750" w:hanging="794"/>
        <w:jc w:val="left"/>
        <w:rPr>
          <w:sz w:val="21"/>
        </w:rPr>
      </w:pPr>
      <w:r>
        <w:rPr>
          <w:w w:val="105"/>
          <w:sz w:val="21"/>
        </w:rPr>
        <w:t>The </w:t>
      </w:r>
      <w:r>
        <w:rPr>
          <w:spacing w:val="-5"/>
          <w:w w:val="105"/>
          <w:sz w:val="21"/>
        </w:rPr>
        <w:t>VCAT </w:t>
      </w:r>
      <w:r>
        <w:rPr>
          <w:w w:val="105"/>
          <w:sz w:val="21"/>
        </w:rPr>
        <w:t>Act provides </w:t>
      </w:r>
      <w:r>
        <w:rPr>
          <w:spacing w:val="-3"/>
          <w:w w:val="105"/>
          <w:sz w:val="21"/>
        </w:rPr>
        <w:t>for </w:t>
      </w:r>
      <w:r>
        <w:rPr>
          <w:w w:val="105"/>
          <w:sz w:val="21"/>
        </w:rPr>
        <w:t>only a </w:t>
      </w:r>
      <w:r>
        <w:rPr>
          <w:spacing w:val="-3"/>
          <w:w w:val="105"/>
          <w:sz w:val="21"/>
        </w:rPr>
        <w:t>limited right to </w:t>
      </w:r>
      <w:r>
        <w:rPr>
          <w:spacing w:val="-4"/>
          <w:w w:val="105"/>
          <w:sz w:val="21"/>
        </w:rPr>
        <w:t>appeal.</w:t>
      </w:r>
      <w:r>
        <w:rPr>
          <w:spacing w:val="-4"/>
          <w:w w:val="105"/>
          <w:position w:val="7"/>
          <w:sz w:val="12"/>
        </w:rPr>
        <w:t>74 </w:t>
      </w:r>
      <w:r>
        <w:rPr>
          <w:w w:val="105"/>
          <w:sz w:val="21"/>
        </w:rPr>
        <w:t>Most </w:t>
      </w:r>
      <w:r>
        <w:rPr>
          <w:spacing w:val="-5"/>
          <w:w w:val="105"/>
          <w:sz w:val="21"/>
        </w:rPr>
        <w:t>VCAT </w:t>
      </w:r>
      <w:r>
        <w:rPr>
          <w:w w:val="105"/>
          <w:sz w:val="21"/>
        </w:rPr>
        <w:t>decisions </w:t>
      </w:r>
      <w:r>
        <w:rPr>
          <w:spacing w:val="-3"/>
          <w:w w:val="105"/>
          <w:sz w:val="21"/>
        </w:rPr>
        <w:t>are </w:t>
      </w:r>
      <w:r>
        <w:rPr>
          <w:w w:val="105"/>
          <w:sz w:val="21"/>
        </w:rPr>
        <w:t>final and </w:t>
      </w:r>
      <w:r>
        <w:rPr>
          <w:spacing w:val="-4"/>
          <w:w w:val="105"/>
          <w:sz w:val="21"/>
        </w:rPr>
        <w:t>binding.</w:t>
      </w:r>
      <w:r>
        <w:rPr>
          <w:spacing w:val="-4"/>
          <w:w w:val="105"/>
          <w:position w:val="7"/>
          <w:sz w:val="12"/>
        </w:rPr>
        <w:t>75 </w:t>
      </w:r>
      <w:r>
        <w:rPr>
          <w:w w:val="105"/>
          <w:sz w:val="21"/>
        </w:rPr>
        <w:t>The </w:t>
      </w:r>
      <w:r>
        <w:rPr>
          <w:spacing w:val="-3"/>
          <w:w w:val="105"/>
          <w:sz w:val="21"/>
        </w:rPr>
        <w:t>limit </w:t>
      </w:r>
      <w:r>
        <w:rPr>
          <w:w w:val="105"/>
          <w:sz w:val="21"/>
        </w:rPr>
        <w:t>on appeals in </w:t>
      </w:r>
      <w:r>
        <w:rPr>
          <w:spacing w:val="-5"/>
          <w:w w:val="105"/>
          <w:sz w:val="21"/>
        </w:rPr>
        <w:t>VCAT </w:t>
      </w:r>
      <w:r>
        <w:rPr>
          <w:w w:val="105"/>
          <w:sz w:val="21"/>
        </w:rPr>
        <w:t>is designed </w:t>
      </w:r>
      <w:r>
        <w:rPr>
          <w:spacing w:val="-3"/>
          <w:w w:val="105"/>
          <w:sz w:val="21"/>
        </w:rPr>
        <w:t>to </w:t>
      </w:r>
      <w:r>
        <w:rPr>
          <w:w w:val="105"/>
          <w:sz w:val="21"/>
        </w:rPr>
        <w:t>provide certainty and clarity once </w:t>
      </w:r>
      <w:r>
        <w:rPr>
          <w:spacing w:val="-5"/>
          <w:w w:val="105"/>
          <w:sz w:val="21"/>
        </w:rPr>
        <w:t>VCAT </w:t>
      </w:r>
      <w:r>
        <w:rPr>
          <w:spacing w:val="-3"/>
          <w:w w:val="105"/>
          <w:sz w:val="21"/>
        </w:rPr>
        <w:t>makes </w:t>
      </w:r>
      <w:r>
        <w:rPr>
          <w:w w:val="105"/>
          <w:sz w:val="21"/>
        </w:rPr>
        <w:t>a</w:t>
      </w:r>
      <w:r>
        <w:rPr>
          <w:spacing w:val="31"/>
          <w:w w:val="105"/>
          <w:sz w:val="21"/>
        </w:rPr>
        <w:t> </w:t>
      </w:r>
      <w:r>
        <w:rPr>
          <w:spacing w:val="-4"/>
          <w:w w:val="105"/>
          <w:sz w:val="21"/>
        </w:rPr>
        <w:t>determination.</w:t>
      </w:r>
      <w:r>
        <w:rPr>
          <w:spacing w:val="-4"/>
          <w:w w:val="105"/>
          <w:position w:val="7"/>
          <w:sz w:val="12"/>
        </w:rPr>
        <w:t>76</w:t>
      </w: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8768;mso-wrap-distance-left:0;mso-wrap-distance-right:0" from="79.370102pt,10.261514pt" to="515.905102pt,10.26151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44"/>
        </w:numPr>
        <w:tabs>
          <w:tab w:pos="2381" w:val="left" w:leader="none"/>
          <w:tab w:pos="2382" w:val="left" w:leader="none"/>
        </w:tabs>
        <w:spacing w:line="240" w:lineRule="auto" w:before="48" w:after="0"/>
        <w:ind w:left="2381" w:right="0" w:hanging="794"/>
        <w:jc w:val="left"/>
        <w:rPr>
          <w:sz w:val="13"/>
        </w:rPr>
      </w:pPr>
      <w:r>
        <w:rPr>
          <w:i/>
          <w:w w:val="105"/>
          <w:sz w:val="13"/>
        </w:rPr>
        <w:t>Trees (Disputes Between Neighbours) Act 2006 </w:t>
      </w:r>
      <w:r>
        <w:rPr>
          <w:spacing w:val="3"/>
          <w:w w:val="105"/>
          <w:sz w:val="13"/>
        </w:rPr>
        <w:t>(NSW) </w:t>
      </w:r>
      <w:r>
        <w:rPr>
          <w:w w:val="105"/>
          <w:sz w:val="13"/>
        </w:rPr>
        <w:t>s</w:t>
      </w:r>
      <w:r>
        <w:rPr>
          <w:spacing w:val="5"/>
          <w:w w:val="105"/>
          <w:sz w:val="13"/>
        </w:rPr>
        <w:t> </w:t>
      </w:r>
      <w:r>
        <w:rPr>
          <w:w w:val="105"/>
          <w:sz w:val="13"/>
        </w:rPr>
        <w:t>14.</w:t>
      </w:r>
    </w:p>
    <w:p>
      <w:pPr>
        <w:pStyle w:val="ListParagraph"/>
        <w:numPr>
          <w:ilvl w:val="0"/>
          <w:numId w:val="144"/>
        </w:numPr>
        <w:tabs>
          <w:tab w:pos="2381" w:val="left" w:leader="none"/>
          <w:tab w:pos="2382" w:val="left" w:leader="none"/>
        </w:tabs>
        <w:spacing w:line="240" w:lineRule="auto" w:before="1" w:after="0"/>
        <w:ind w:left="2381"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5"/>
          <w:w w:val="105"/>
          <w:sz w:val="13"/>
        </w:rPr>
        <w:t> </w:t>
      </w:r>
      <w:r>
        <w:rPr>
          <w:w w:val="105"/>
          <w:sz w:val="13"/>
        </w:rPr>
        <w:t>76.</w:t>
      </w:r>
    </w:p>
    <w:p>
      <w:pPr>
        <w:pStyle w:val="ListParagraph"/>
        <w:numPr>
          <w:ilvl w:val="0"/>
          <w:numId w:val="144"/>
        </w:numPr>
        <w:tabs>
          <w:tab w:pos="2381" w:val="left" w:leader="none"/>
          <w:tab w:pos="2382" w:val="left" w:leader="none"/>
        </w:tabs>
        <w:spacing w:line="240" w:lineRule="auto" w:before="2" w:after="0"/>
        <w:ind w:left="2381" w:right="0" w:hanging="794"/>
        <w:jc w:val="left"/>
        <w:rPr>
          <w:sz w:val="13"/>
        </w:rPr>
      </w:pPr>
      <w:r>
        <w:rPr>
          <w:i/>
          <w:w w:val="105"/>
          <w:sz w:val="13"/>
        </w:rPr>
        <w:t>Neighbourhood Disputes About Plants Act </w:t>
      </w:r>
      <w:r>
        <w:rPr>
          <w:i/>
          <w:spacing w:val="-4"/>
          <w:w w:val="105"/>
          <w:sz w:val="13"/>
        </w:rPr>
        <w:t>2017 </w:t>
      </w:r>
      <w:r>
        <w:rPr>
          <w:w w:val="105"/>
          <w:sz w:val="13"/>
        </w:rPr>
        <w:t>(Tas) s</w:t>
      </w:r>
      <w:r>
        <w:rPr>
          <w:spacing w:val="17"/>
          <w:w w:val="105"/>
          <w:sz w:val="13"/>
        </w:rPr>
        <w:t> </w:t>
      </w:r>
      <w:r>
        <w:rPr>
          <w:spacing w:val="3"/>
          <w:w w:val="105"/>
          <w:sz w:val="13"/>
        </w:rPr>
        <w:t>34(3).</w:t>
      </w:r>
    </w:p>
    <w:p>
      <w:pPr>
        <w:pStyle w:val="ListParagraph"/>
        <w:numPr>
          <w:ilvl w:val="0"/>
          <w:numId w:val="144"/>
        </w:numPr>
        <w:tabs>
          <w:tab w:pos="2381" w:val="left" w:leader="none"/>
          <w:tab w:pos="2382" w:val="left" w:leader="none"/>
        </w:tabs>
        <w:spacing w:line="240" w:lineRule="auto" w:before="1" w:after="0"/>
        <w:ind w:left="2381" w:right="0" w:hanging="794"/>
        <w:jc w:val="left"/>
        <w:rPr>
          <w:sz w:val="13"/>
        </w:rPr>
      </w:pPr>
      <w:r>
        <w:rPr>
          <w:w w:val="105"/>
          <w:sz w:val="13"/>
        </w:rPr>
        <w:t>Consultation 9 (Nilumbik Shire</w:t>
      </w:r>
      <w:r>
        <w:rPr>
          <w:spacing w:val="19"/>
          <w:w w:val="105"/>
          <w:sz w:val="13"/>
        </w:rPr>
        <w:t> </w:t>
      </w:r>
      <w:r>
        <w:rPr>
          <w:w w:val="105"/>
          <w:sz w:val="13"/>
        </w:rPr>
        <w:t>Council).</w:t>
      </w:r>
    </w:p>
    <w:p>
      <w:pPr>
        <w:pStyle w:val="ListParagraph"/>
        <w:numPr>
          <w:ilvl w:val="0"/>
          <w:numId w:val="144"/>
        </w:numPr>
        <w:tabs>
          <w:tab w:pos="2381" w:val="left" w:leader="none"/>
          <w:tab w:pos="2382" w:val="left" w:leader="none"/>
        </w:tabs>
        <w:spacing w:line="240" w:lineRule="auto" w:before="1" w:after="0"/>
        <w:ind w:left="2381" w:right="0" w:hanging="794"/>
        <w:jc w:val="left"/>
        <w:rPr>
          <w:sz w:val="13"/>
        </w:rPr>
      </w:pPr>
      <w:r>
        <w:rPr>
          <w:sz w:val="13"/>
        </w:rPr>
        <w:t>Peter</w:t>
      </w:r>
      <w:r>
        <w:rPr>
          <w:spacing w:val="11"/>
          <w:sz w:val="13"/>
        </w:rPr>
        <w:t> </w:t>
      </w:r>
      <w:r>
        <w:rPr>
          <w:sz w:val="13"/>
        </w:rPr>
        <w:t>Butt</w:t>
      </w:r>
      <w:r>
        <w:rPr>
          <w:spacing w:val="12"/>
          <w:sz w:val="13"/>
        </w:rPr>
        <w:t> </w:t>
      </w:r>
      <w:r>
        <w:rPr>
          <w:spacing w:val="2"/>
          <w:sz w:val="13"/>
        </w:rPr>
        <w:t>(ed),</w:t>
      </w:r>
      <w:r>
        <w:rPr>
          <w:spacing w:val="11"/>
          <w:sz w:val="13"/>
        </w:rPr>
        <w:t> </w:t>
      </w:r>
      <w:r>
        <w:rPr>
          <w:i/>
          <w:sz w:val="13"/>
        </w:rPr>
        <w:t>Butterworths’</w:t>
      </w:r>
      <w:r>
        <w:rPr>
          <w:i/>
          <w:spacing w:val="12"/>
          <w:sz w:val="13"/>
        </w:rPr>
        <w:t> </w:t>
      </w:r>
      <w:r>
        <w:rPr>
          <w:i/>
          <w:sz w:val="13"/>
        </w:rPr>
        <w:t>Concise</w:t>
      </w:r>
      <w:r>
        <w:rPr>
          <w:i/>
          <w:spacing w:val="11"/>
          <w:sz w:val="13"/>
        </w:rPr>
        <w:t> </w:t>
      </w:r>
      <w:r>
        <w:rPr>
          <w:i/>
          <w:sz w:val="13"/>
        </w:rPr>
        <w:t>Australian</w:t>
      </w:r>
      <w:r>
        <w:rPr>
          <w:i/>
          <w:spacing w:val="12"/>
          <w:sz w:val="13"/>
        </w:rPr>
        <w:t> </w:t>
      </w:r>
      <w:r>
        <w:rPr>
          <w:i/>
          <w:sz w:val="13"/>
        </w:rPr>
        <w:t>Legal</w:t>
      </w:r>
      <w:r>
        <w:rPr>
          <w:i/>
          <w:spacing w:val="11"/>
          <w:sz w:val="13"/>
        </w:rPr>
        <w:t> </w:t>
      </w:r>
      <w:r>
        <w:rPr>
          <w:i/>
          <w:sz w:val="13"/>
        </w:rPr>
        <w:t>Dictionary</w:t>
      </w:r>
      <w:r>
        <w:rPr>
          <w:i/>
          <w:spacing w:val="12"/>
          <w:sz w:val="13"/>
        </w:rPr>
        <w:t> </w:t>
      </w:r>
      <w:r>
        <w:rPr>
          <w:spacing w:val="2"/>
          <w:sz w:val="13"/>
        </w:rPr>
        <w:t>(LexisNexis/Butterworths,</w:t>
      </w:r>
      <w:r>
        <w:rPr>
          <w:spacing w:val="11"/>
          <w:sz w:val="13"/>
        </w:rPr>
        <w:t> </w:t>
      </w:r>
      <w:r>
        <w:rPr>
          <w:sz w:val="13"/>
        </w:rPr>
        <w:t>3rd</w:t>
      </w:r>
      <w:r>
        <w:rPr>
          <w:spacing w:val="12"/>
          <w:sz w:val="13"/>
        </w:rPr>
        <w:t> </w:t>
      </w:r>
      <w:r>
        <w:rPr>
          <w:sz w:val="13"/>
        </w:rPr>
        <w:t>ed,</w:t>
      </w:r>
      <w:r>
        <w:rPr>
          <w:spacing w:val="11"/>
          <w:sz w:val="13"/>
        </w:rPr>
        <w:t> </w:t>
      </w:r>
      <w:r>
        <w:rPr>
          <w:spacing w:val="2"/>
          <w:sz w:val="13"/>
        </w:rPr>
        <w:t>2004)</w:t>
      </w:r>
      <w:r>
        <w:rPr>
          <w:spacing w:val="12"/>
          <w:sz w:val="13"/>
        </w:rPr>
        <w:t> </w:t>
      </w:r>
      <w:r>
        <w:rPr>
          <w:sz w:val="13"/>
        </w:rPr>
        <w:t>‘appeal’.</w:t>
      </w:r>
    </w:p>
    <w:p>
      <w:pPr>
        <w:pStyle w:val="ListParagraph"/>
        <w:numPr>
          <w:ilvl w:val="0"/>
          <w:numId w:val="144"/>
        </w:numPr>
        <w:tabs>
          <w:tab w:pos="2381" w:val="left" w:leader="none"/>
          <w:tab w:pos="2382" w:val="left" w:leader="none"/>
        </w:tabs>
        <w:spacing w:line="240" w:lineRule="auto" w:before="2" w:after="0"/>
        <w:ind w:left="2381" w:right="0" w:hanging="794"/>
        <w:jc w:val="left"/>
        <w:rPr>
          <w:sz w:val="13"/>
        </w:rPr>
      </w:pPr>
      <w:r>
        <w:rPr>
          <w:i/>
          <w:w w:val="105"/>
          <w:sz w:val="13"/>
        </w:rPr>
        <w:t>Victorian</w:t>
      </w:r>
      <w:r>
        <w:rPr>
          <w:i/>
          <w:spacing w:val="4"/>
          <w:w w:val="105"/>
          <w:sz w:val="13"/>
        </w:rPr>
        <w:t> </w:t>
      </w:r>
      <w:r>
        <w:rPr>
          <w:i/>
          <w:w w:val="105"/>
          <w:sz w:val="13"/>
        </w:rPr>
        <w:t>Civil</w:t>
      </w:r>
      <w:r>
        <w:rPr>
          <w:i/>
          <w:spacing w:val="5"/>
          <w:w w:val="105"/>
          <w:sz w:val="13"/>
        </w:rPr>
        <w:t> </w:t>
      </w:r>
      <w:r>
        <w:rPr>
          <w:i/>
          <w:w w:val="105"/>
          <w:sz w:val="13"/>
        </w:rPr>
        <w:t>and</w:t>
      </w:r>
      <w:r>
        <w:rPr>
          <w:i/>
          <w:spacing w:val="5"/>
          <w:w w:val="105"/>
          <w:sz w:val="13"/>
        </w:rPr>
        <w:t> </w:t>
      </w:r>
      <w:r>
        <w:rPr>
          <w:i/>
          <w:w w:val="105"/>
          <w:sz w:val="13"/>
        </w:rPr>
        <w:t>Administrative</w:t>
      </w:r>
      <w:r>
        <w:rPr>
          <w:i/>
          <w:spacing w:val="4"/>
          <w:w w:val="105"/>
          <w:sz w:val="13"/>
        </w:rPr>
        <w:t> </w:t>
      </w:r>
      <w:r>
        <w:rPr>
          <w:i/>
          <w:w w:val="105"/>
          <w:sz w:val="13"/>
        </w:rPr>
        <w:t>Tribunal</w:t>
      </w:r>
      <w:r>
        <w:rPr>
          <w:i/>
          <w:spacing w:val="5"/>
          <w:w w:val="105"/>
          <w:sz w:val="13"/>
        </w:rPr>
        <w:t> </w:t>
      </w:r>
      <w:r>
        <w:rPr>
          <w:i/>
          <w:w w:val="105"/>
          <w:sz w:val="13"/>
        </w:rPr>
        <w:t>Act</w:t>
      </w:r>
      <w:r>
        <w:rPr>
          <w:i/>
          <w:spacing w:val="5"/>
          <w:w w:val="105"/>
          <w:sz w:val="13"/>
        </w:rPr>
        <w:t> </w:t>
      </w:r>
      <w:r>
        <w:rPr>
          <w:i/>
          <w:w w:val="105"/>
          <w:sz w:val="13"/>
        </w:rPr>
        <w:t>1998</w:t>
      </w:r>
      <w:r>
        <w:rPr>
          <w:i/>
          <w:spacing w:val="4"/>
          <w:w w:val="105"/>
          <w:sz w:val="13"/>
        </w:rPr>
        <w:t> </w:t>
      </w:r>
      <w:r>
        <w:rPr>
          <w:spacing w:val="2"/>
          <w:w w:val="105"/>
          <w:sz w:val="13"/>
        </w:rPr>
        <w:t>(Vic)</w:t>
      </w:r>
      <w:r>
        <w:rPr>
          <w:spacing w:val="5"/>
          <w:w w:val="105"/>
          <w:sz w:val="13"/>
        </w:rPr>
        <w:t> </w:t>
      </w:r>
      <w:r>
        <w:rPr>
          <w:w w:val="105"/>
          <w:sz w:val="13"/>
        </w:rPr>
        <w:t>s</w:t>
      </w:r>
      <w:r>
        <w:rPr>
          <w:spacing w:val="5"/>
          <w:w w:val="105"/>
          <w:sz w:val="13"/>
        </w:rPr>
        <w:t> </w:t>
      </w:r>
      <w:r>
        <w:rPr>
          <w:w w:val="105"/>
          <w:sz w:val="13"/>
        </w:rPr>
        <w:t>148.</w:t>
      </w:r>
    </w:p>
    <w:p>
      <w:pPr>
        <w:pStyle w:val="ListParagraph"/>
        <w:numPr>
          <w:ilvl w:val="0"/>
          <w:numId w:val="144"/>
        </w:numPr>
        <w:tabs>
          <w:tab w:pos="2381" w:val="left" w:leader="none"/>
          <w:tab w:pos="2382" w:val="left" w:leader="none"/>
        </w:tabs>
        <w:spacing w:line="240" w:lineRule="auto" w:before="1" w:after="0"/>
        <w:ind w:left="2381" w:right="0" w:hanging="794"/>
        <w:jc w:val="left"/>
        <w:rPr>
          <w:sz w:val="13"/>
        </w:rPr>
      </w:pPr>
      <w:r>
        <w:rPr>
          <w:sz w:val="13"/>
        </w:rPr>
        <w:t>Peter</w:t>
      </w:r>
      <w:r>
        <w:rPr>
          <w:spacing w:val="13"/>
          <w:sz w:val="13"/>
        </w:rPr>
        <w:t> </w:t>
      </w:r>
      <w:r>
        <w:rPr>
          <w:sz w:val="13"/>
        </w:rPr>
        <w:t>Butt</w:t>
      </w:r>
      <w:r>
        <w:rPr>
          <w:spacing w:val="13"/>
          <w:sz w:val="13"/>
        </w:rPr>
        <w:t> </w:t>
      </w:r>
      <w:r>
        <w:rPr>
          <w:spacing w:val="2"/>
          <w:sz w:val="13"/>
        </w:rPr>
        <w:t>(ed),</w:t>
      </w:r>
      <w:r>
        <w:rPr>
          <w:spacing w:val="14"/>
          <w:sz w:val="13"/>
        </w:rPr>
        <w:t> </w:t>
      </w:r>
      <w:r>
        <w:rPr>
          <w:i/>
          <w:sz w:val="13"/>
        </w:rPr>
        <w:t>Butterworths’</w:t>
      </w:r>
      <w:r>
        <w:rPr>
          <w:i/>
          <w:spacing w:val="13"/>
          <w:sz w:val="13"/>
        </w:rPr>
        <w:t> </w:t>
      </w:r>
      <w:r>
        <w:rPr>
          <w:i/>
          <w:sz w:val="13"/>
        </w:rPr>
        <w:t>Concise</w:t>
      </w:r>
      <w:r>
        <w:rPr>
          <w:i/>
          <w:spacing w:val="14"/>
          <w:sz w:val="13"/>
        </w:rPr>
        <w:t> </w:t>
      </w:r>
      <w:r>
        <w:rPr>
          <w:i/>
          <w:sz w:val="13"/>
        </w:rPr>
        <w:t>Australian</w:t>
      </w:r>
      <w:r>
        <w:rPr>
          <w:i/>
          <w:spacing w:val="13"/>
          <w:sz w:val="13"/>
        </w:rPr>
        <w:t> </w:t>
      </w:r>
      <w:r>
        <w:rPr>
          <w:i/>
          <w:sz w:val="13"/>
        </w:rPr>
        <w:t>Legal</w:t>
      </w:r>
      <w:r>
        <w:rPr>
          <w:i/>
          <w:spacing w:val="14"/>
          <w:sz w:val="13"/>
        </w:rPr>
        <w:t> </w:t>
      </w:r>
      <w:r>
        <w:rPr>
          <w:i/>
          <w:sz w:val="13"/>
        </w:rPr>
        <w:t>Dictionary</w:t>
      </w:r>
      <w:r>
        <w:rPr>
          <w:i/>
          <w:spacing w:val="13"/>
          <w:sz w:val="13"/>
        </w:rPr>
        <w:t> </w:t>
      </w:r>
      <w:r>
        <w:rPr>
          <w:spacing w:val="2"/>
          <w:sz w:val="13"/>
        </w:rPr>
        <w:t>(LexisNexis/Butterworths,</w:t>
      </w:r>
      <w:r>
        <w:rPr>
          <w:spacing w:val="13"/>
          <w:sz w:val="13"/>
        </w:rPr>
        <w:t> </w:t>
      </w:r>
      <w:r>
        <w:rPr>
          <w:sz w:val="13"/>
        </w:rPr>
        <w:t>3rd</w:t>
      </w:r>
      <w:r>
        <w:rPr>
          <w:spacing w:val="14"/>
          <w:sz w:val="13"/>
        </w:rPr>
        <w:t> </w:t>
      </w:r>
      <w:r>
        <w:rPr>
          <w:sz w:val="13"/>
        </w:rPr>
        <w:t>ed,</w:t>
      </w:r>
      <w:r>
        <w:rPr>
          <w:spacing w:val="13"/>
          <w:sz w:val="13"/>
        </w:rPr>
        <w:t> </w:t>
      </w:r>
      <w:r>
        <w:rPr>
          <w:spacing w:val="2"/>
          <w:sz w:val="13"/>
        </w:rPr>
        <w:t>2004)</w:t>
      </w:r>
      <w:r>
        <w:rPr>
          <w:spacing w:val="14"/>
          <w:sz w:val="13"/>
        </w:rPr>
        <w:t> </w:t>
      </w:r>
      <w:r>
        <w:rPr>
          <w:sz w:val="13"/>
        </w:rPr>
        <w:t>‘appeal</w:t>
      </w:r>
      <w:r>
        <w:rPr>
          <w:spacing w:val="13"/>
          <w:sz w:val="13"/>
        </w:rPr>
        <w:t> </w:t>
      </w:r>
      <w:r>
        <w:rPr>
          <w:sz w:val="13"/>
        </w:rPr>
        <w:t>by</w:t>
      </w:r>
      <w:r>
        <w:rPr>
          <w:spacing w:val="14"/>
          <w:sz w:val="13"/>
        </w:rPr>
        <w:t> </w:t>
      </w:r>
      <w:r>
        <w:rPr>
          <w:sz w:val="13"/>
        </w:rPr>
        <w:t>leave’.</w:t>
      </w:r>
    </w:p>
    <w:p>
      <w:pPr>
        <w:pStyle w:val="ListParagraph"/>
        <w:numPr>
          <w:ilvl w:val="0"/>
          <w:numId w:val="144"/>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4"/>
          <w:w w:val="105"/>
          <w:sz w:val="13"/>
        </w:rPr>
        <w:t> </w:t>
      </w:r>
      <w:r>
        <w:rPr>
          <w:w w:val="105"/>
          <w:sz w:val="13"/>
        </w:rPr>
        <w:t>generally</w:t>
      </w:r>
      <w:r>
        <w:rPr>
          <w:spacing w:val="5"/>
          <w:w w:val="105"/>
          <w:sz w:val="13"/>
        </w:rPr>
        <w:t> </w:t>
      </w:r>
      <w:r>
        <w:rPr>
          <w:i/>
          <w:w w:val="105"/>
          <w:sz w:val="13"/>
        </w:rPr>
        <w:t>Victorian</w:t>
      </w:r>
      <w:r>
        <w:rPr>
          <w:i/>
          <w:spacing w:val="5"/>
          <w:w w:val="105"/>
          <w:sz w:val="13"/>
        </w:rPr>
        <w:t> </w:t>
      </w:r>
      <w:r>
        <w:rPr>
          <w:i/>
          <w:w w:val="105"/>
          <w:sz w:val="13"/>
        </w:rPr>
        <w:t>Civil</w:t>
      </w:r>
      <w:r>
        <w:rPr>
          <w:i/>
          <w:spacing w:val="4"/>
          <w:w w:val="105"/>
          <w:sz w:val="13"/>
        </w:rPr>
        <w:t> </w:t>
      </w:r>
      <w:r>
        <w:rPr>
          <w:i/>
          <w:w w:val="105"/>
          <w:sz w:val="13"/>
        </w:rPr>
        <w:t>and</w:t>
      </w:r>
      <w:r>
        <w:rPr>
          <w:i/>
          <w:spacing w:val="5"/>
          <w:w w:val="105"/>
          <w:sz w:val="13"/>
        </w:rPr>
        <w:t> </w:t>
      </w:r>
      <w:r>
        <w:rPr>
          <w:i/>
          <w:w w:val="105"/>
          <w:sz w:val="13"/>
        </w:rPr>
        <w:t>Administrative</w:t>
      </w:r>
      <w:r>
        <w:rPr>
          <w:i/>
          <w:spacing w:val="5"/>
          <w:w w:val="105"/>
          <w:sz w:val="13"/>
        </w:rPr>
        <w:t> </w:t>
      </w:r>
      <w:r>
        <w:rPr>
          <w:i/>
          <w:w w:val="105"/>
          <w:sz w:val="13"/>
        </w:rPr>
        <w:t>Tribunal</w:t>
      </w:r>
      <w:r>
        <w:rPr>
          <w:i/>
          <w:spacing w:val="4"/>
          <w:w w:val="105"/>
          <w:sz w:val="13"/>
        </w:rPr>
        <w:t> </w:t>
      </w:r>
      <w:r>
        <w:rPr>
          <w:i/>
          <w:w w:val="105"/>
          <w:sz w:val="13"/>
        </w:rPr>
        <w:t>Act</w:t>
      </w:r>
      <w:r>
        <w:rPr>
          <w:i/>
          <w:spacing w:val="5"/>
          <w:w w:val="105"/>
          <w:sz w:val="13"/>
        </w:rPr>
        <w:t> </w:t>
      </w:r>
      <w:r>
        <w:rPr>
          <w:i/>
          <w:w w:val="105"/>
          <w:sz w:val="13"/>
        </w:rPr>
        <w:t>1998</w:t>
      </w:r>
      <w:r>
        <w:rPr>
          <w:i/>
          <w:spacing w:val="5"/>
          <w:w w:val="105"/>
          <w:sz w:val="13"/>
        </w:rPr>
        <w:t> </w:t>
      </w:r>
      <w:r>
        <w:rPr>
          <w:spacing w:val="2"/>
          <w:w w:val="105"/>
          <w:sz w:val="13"/>
        </w:rPr>
        <w:t>(Vic)</w:t>
      </w:r>
      <w:r>
        <w:rPr>
          <w:spacing w:val="4"/>
          <w:w w:val="105"/>
          <w:sz w:val="13"/>
        </w:rPr>
        <w:t> </w:t>
      </w:r>
      <w:r>
        <w:rPr>
          <w:w w:val="105"/>
          <w:sz w:val="13"/>
        </w:rPr>
        <w:t>pt</w:t>
      </w:r>
      <w:r>
        <w:rPr>
          <w:spacing w:val="5"/>
          <w:w w:val="105"/>
          <w:sz w:val="13"/>
        </w:rPr>
        <w:t> </w:t>
      </w:r>
      <w:r>
        <w:rPr>
          <w:w w:val="105"/>
          <w:sz w:val="13"/>
        </w:rPr>
        <w:t>5.</w:t>
      </w:r>
    </w:p>
    <w:p>
      <w:pPr>
        <w:pStyle w:val="ListParagraph"/>
        <w:numPr>
          <w:ilvl w:val="0"/>
          <w:numId w:val="144"/>
        </w:numPr>
        <w:tabs>
          <w:tab w:pos="2381" w:val="left" w:leader="none"/>
          <w:tab w:pos="2382" w:val="left" w:leader="none"/>
        </w:tabs>
        <w:spacing w:line="240" w:lineRule="auto" w:before="2" w:after="0"/>
        <w:ind w:left="2381" w:right="0" w:hanging="794"/>
        <w:jc w:val="left"/>
        <w:rPr>
          <w:sz w:val="13"/>
        </w:rPr>
      </w:pPr>
      <w:r>
        <w:rPr>
          <w:w w:val="105"/>
          <w:sz w:val="13"/>
        </w:rPr>
        <w:t>Victorian Civil and Administrative Tribunal, </w:t>
      </w:r>
      <w:r>
        <w:rPr>
          <w:i/>
          <w:w w:val="105"/>
          <w:sz w:val="13"/>
        </w:rPr>
        <w:t>Annual </w:t>
      </w:r>
      <w:r>
        <w:rPr>
          <w:i/>
          <w:spacing w:val="2"/>
          <w:w w:val="105"/>
          <w:sz w:val="13"/>
        </w:rPr>
        <w:t>Report </w:t>
      </w:r>
      <w:r>
        <w:rPr>
          <w:i/>
          <w:spacing w:val="-4"/>
          <w:w w:val="105"/>
          <w:sz w:val="13"/>
        </w:rPr>
        <w:t>2017–18 </w:t>
      </w:r>
      <w:r>
        <w:rPr>
          <w:spacing w:val="2"/>
          <w:w w:val="105"/>
          <w:sz w:val="13"/>
        </w:rPr>
        <w:t>(Report, </w:t>
      </w:r>
      <w:r>
        <w:rPr>
          <w:w w:val="105"/>
          <w:sz w:val="13"/>
        </w:rPr>
        <w:t>2018) 10; see also Victorian Civil and Administrative Tribunal, </w:t>
      </w:r>
      <w:r>
        <w:rPr>
          <w:i/>
          <w:w w:val="105"/>
          <w:sz w:val="13"/>
        </w:rPr>
        <w:t>Appeal a VCAT Decision </w:t>
      </w:r>
      <w:r>
        <w:rPr>
          <w:w w:val="105"/>
          <w:sz w:val="13"/>
        </w:rPr>
        <w:t>(Web Page) &lt;https://</w:t>
      </w:r>
      <w:hyperlink r:id="rId234">
        <w:r>
          <w:rPr>
            <w:w w:val="105"/>
            <w:sz w:val="13"/>
          </w:rPr>
          <w:t>www.vcat.vic.gov.au/steps-to-resolve-your-case/what-to-expect-after-the-final-hearing/</w:t>
        </w:r>
      </w:hyperlink>
      <w:r>
        <w:rPr>
          <w:w w:val="105"/>
          <w:sz w:val="13"/>
        </w:rPr>
        <w:t> appeal-a-vcat-decision&gt;.</w:t>
      </w:r>
    </w:p>
    <w:p>
      <w:pPr>
        <w:pStyle w:val="ListParagraph"/>
        <w:numPr>
          <w:ilvl w:val="0"/>
          <w:numId w:val="144"/>
        </w:numPr>
        <w:tabs>
          <w:tab w:pos="2381" w:val="left" w:leader="none"/>
          <w:tab w:pos="2382" w:val="left" w:leader="none"/>
        </w:tabs>
        <w:spacing w:line="240" w:lineRule="auto" w:before="4" w:after="0"/>
        <w:ind w:left="2381" w:right="0" w:hanging="794"/>
        <w:jc w:val="left"/>
        <w:rPr>
          <w:sz w:val="13"/>
        </w:rPr>
      </w:pPr>
      <w:r>
        <w:rPr>
          <w:w w:val="105"/>
          <w:sz w:val="13"/>
        </w:rPr>
        <w:t>Victorian Civil and Administrative Tribunal, </w:t>
      </w:r>
      <w:r>
        <w:rPr>
          <w:i/>
          <w:w w:val="105"/>
          <w:sz w:val="13"/>
        </w:rPr>
        <w:t>Annual </w:t>
      </w:r>
      <w:r>
        <w:rPr>
          <w:i/>
          <w:spacing w:val="2"/>
          <w:w w:val="105"/>
          <w:sz w:val="13"/>
        </w:rPr>
        <w:t>Report </w:t>
      </w:r>
      <w:r>
        <w:rPr>
          <w:i/>
          <w:spacing w:val="-4"/>
          <w:w w:val="105"/>
          <w:sz w:val="13"/>
        </w:rPr>
        <w:t>2017–18 </w:t>
      </w:r>
      <w:r>
        <w:rPr>
          <w:spacing w:val="2"/>
          <w:w w:val="105"/>
          <w:sz w:val="13"/>
        </w:rPr>
        <w:t>(Report, </w:t>
      </w:r>
      <w:r>
        <w:rPr>
          <w:w w:val="105"/>
          <w:sz w:val="13"/>
        </w:rPr>
        <w:t>2018)</w:t>
      </w:r>
      <w:r>
        <w:rPr>
          <w:spacing w:val="21"/>
          <w:w w:val="105"/>
          <w:sz w:val="13"/>
        </w:rPr>
        <w:t> </w:t>
      </w:r>
      <w:r>
        <w:rPr>
          <w:w w:val="105"/>
          <w:sz w:val="13"/>
        </w:rPr>
        <w:t>10.</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6"/>
        <w:rPr>
          <w:sz w:val="27"/>
        </w:rPr>
      </w:pPr>
    </w:p>
    <w:p>
      <w:pPr>
        <w:spacing w:before="0"/>
        <w:ind w:left="684" w:right="575" w:firstLine="0"/>
        <w:jc w:val="center"/>
        <w:rPr>
          <w:b/>
          <w:sz w:val="24"/>
        </w:rPr>
      </w:pPr>
      <w:r>
        <w:rPr>
          <w:b/>
          <w:color w:val="658464"/>
          <w:w w:val="110"/>
          <w:sz w:val="24"/>
        </w:rPr>
        <w:t>201</w:t>
      </w:r>
    </w:p>
    <w:p>
      <w:pPr>
        <w:spacing w:after="0"/>
        <w:jc w:val="center"/>
        <w:rPr>
          <w:sz w:val="24"/>
        </w:rPr>
        <w:sectPr>
          <w:type w:val="continuous"/>
          <w:pgSz w:w="11910" w:h="16840"/>
          <w:pgMar w:top="300" w:bottom="280" w:left="0" w:right="0"/>
          <w:cols w:num="2" w:equalWidth="0">
            <w:col w:w="10169" w:space="40"/>
            <w:col w:w="1701"/>
          </w:cols>
        </w:sectPr>
      </w:pPr>
    </w:p>
    <w:p>
      <w:pPr>
        <w:pStyle w:val="BodyText"/>
        <w:spacing w:before="2"/>
        <w:rPr>
          <w:b/>
          <w:sz w:val="22"/>
        </w:rPr>
      </w:pPr>
    </w:p>
    <w:p>
      <w:pPr>
        <w:pStyle w:val="Heading7"/>
        <w:spacing w:before="97"/>
      </w:pPr>
      <w:r>
        <w:rPr>
          <w:w w:val="115"/>
        </w:rPr>
        <w:t>Appeal on a question of law</w:t>
      </w:r>
    </w:p>
    <w:p>
      <w:pPr>
        <w:pStyle w:val="ListParagraph"/>
        <w:numPr>
          <w:ilvl w:val="1"/>
          <w:numId w:val="16"/>
        </w:numPr>
        <w:tabs>
          <w:tab w:pos="2380" w:val="left" w:leader="none"/>
          <w:tab w:pos="2381" w:val="left" w:leader="none"/>
        </w:tabs>
        <w:spacing w:line="242" w:lineRule="auto" w:before="142" w:after="0"/>
        <w:ind w:left="2381" w:right="1843" w:hanging="794"/>
        <w:jc w:val="left"/>
        <w:rPr>
          <w:sz w:val="21"/>
        </w:rPr>
      </w:pPr>
      <w:r>
        <w:rPr>
          <w:w w:val="105"/>
          <w:sz w:val="21"/>
        </w:rPr>
        <w:t>Appeals of </w:t>
      </w:r>
      <w:r>
        <w:rPr>
          <w:spacing w:val="-5"/>
          <w:w w:val="105"/>
          <w:sz w:val="21"/>
        </w:rPr>
        <w:t>VCAT </w:t>
      </w:r>
      <w:r>
        <w:rPr>
          <w:w w:val="105"/>
          <w:sz w:val="21"/>
        </w:rPr>
        <w:t>decisions </w:t>
      </w:r>
      <w:r>
        <w:rPr>
          <w:spacing w:val="-3"/>
          <w:w w:val="105"/>
          <w:sz w:val="21"/>
        </w:rPr>
        <w:t>are limited to </w:t>
      </w:r>
      <w:r>
        <w:rPr>
          <w:w w:val="105"/>
          <w:sz w:val="21"/>
        </w:rPr>
        <w:t>questions of law and </w:t>
      </w:r>
      <w:r>
        <w:rPr>
          <w:spacing w:val="-3"/>
          <w:w w:val="105"/>
          <w:sz w:val="21"/>
        </w:rPr>
        <w:t>determined </w:t>
      </w:r>
      <w:r>
        <w:rPr>
          <w:w w:val="105"/>
          <w:sz w:val="21"/>
        </w:rPr>
        <w:t>by a court with </w:t>
      </w:r>
      <w:r>
        <w:rPr>
          <w:spacing w:val="-4"/>
          <w:w w:val="105"/>
          <w:sz w:val="21"/>
        </w:rPr>
        <w:t>leave.</w:t>
      </w:r>
      <w:r>
        <w:rPr>
          <w:spacing w:val="-4"/>
          <w:w w:val="105"/>
          <w:position w:val="7"/>
          <w:sz w:val="12"/>
        </w:rPr>
        <w:t>77 </w:t>
      </w:r>
      <w:r>
        <w:rPr>
          <w:w w:val="105"/>
          <w:sz w:val="21"/>
        </w:rPr>
        <w:t>An appeal on a question of law is made where a party believes </w:t>
      </w:r>
      <w:r>
        <w:rPr>
          <w:spacing w:val="-3"/>
          <w:w w:val="105"/>
          <w:sz w:val="21"/>
        </w:rPr>
        <w:t>that </w:t>
      </w:r>
      <w:r>
        <w:rPr>
          <w:spacing w:val="-5"/>
          <w:w w:val="105"/>
          <w:sz w:val="21"/>
        </w:rPr>
        <w:t>VCAT </w:t>
      </w:r>
      <w:r>
        <w:rPr>
          <w:w w:val="105"/>
          <w:sz w:val="21"/>
        </w:rPr>
        <w:t>made a </w:t>
      </w:r>
      <w:r>
        <w:rPr>
          <w:spacing w:val="-3"/>
          <w:w w:val="105"/>
          <w:sz w:val="21"/>
        </w:rPr>
        <w:t>mistake </w:t>
      </w:r>
      <w:r>
        <w:rPr>
          <w:w w:val="105"/>
          <w:sz w:val="21"/>
        </w:rPr>
        <w:t>in the </w:t>
      </w:r>
      <w:r>
        <w:rPr>
          <w:spacing w:val="-3"/>
          <w:w w:val="105"/>
          <w:sz w:val="21"/>
        </w:rPr>
        <w:t>way </w:t>
      </w:r>
      <w:r>
        <w:rPr>
          <w:w w:val="105"/>
          <w:sz w:val="21"/>
        </w:rPr>
        <w:t>it applied the </w:t>
      </w:r>
      <w:r>
        <w:rPr>
          <w:spacing w:val="-5"/>
          <w:w w:val="105"/>
          <w:sz w:val="21"/>
        </w:rPr>
        <w:t>law.</w:t>
      </w:r>
      <w:r>
        <w:rPr>
          <w:spacing w:val="-5"/>
          <w:w w:val="105"/>
          <w:position w:val="7"/>
          <w:sz w:val="12"/>
        </w:rPr>
        <w:t>78 </w:t>
      </w:r>
      <w:r>
        <w:rPr>
          <w:w w:val="105"/>
          <w:sz w:val="21"/>
        </w:rPr>
        <w:t>In order </w:t>
      </w:r>
      <w:r>
        <w:rPr>
          <w:spacing w:val="-3"/>
          <w:w w:val="105"/>
          <w:sz w:val="21"/>
        </w:rPr>
        <w:t>to </w:t>
      </w:r>
      <w:r>
        <w:rPr>
          <w:w w:val="105"/>
          <w:sz w:val="21"/>
        </w:rPr>
        <w:t>appeal on a question of </w:t>
      </w:r>
      <w:r>
        <w:rPr>
          <w:spacing w:val="-5"/>
          <w:w w:val="105"/>
          <w:sz w:val="21"/>
        </w:rPr>
        <w:t>law, </w:t>
      </w:r>
      <w:r>
        <w:rPr>
          <w:w w:val="105"/>
          <w:sz w:val="21"/>
        </w:rPr>
        <w:t>a person needs </w:t>
      </w:r>
      <w:r>
        <w:rPr>
          <w:spacing w:val="-3"/>
          <w:w w:val="105"/>
          <w:sz w:val="21"/>
        </w:rPr>
        <w:t>to </w:t>
      </w:r>
      <w:r>
        <w:rPr>
          <w:w w:val="105"/>
          <w:sz w:val="21"/>
        </w:rPr>
        <w:t>seek </w:t>
      </w:r>
      <w:r>
        <w:rPr>
          <w:spacing w:val="-3"/>
          <w:w w:val="105"/>
          <w:sz w:val="21"/>
        </w:rPr>
        <w:t>leave </w:t>
      </w:r>
      <w:r>
        <w:rPr>
          <w:w w:val="105"/>
          <w:sz w:val="21"/>
        </w:rPr>
        <w:t>of the </w:t>
      </w:r>
      <w:r>
        <w:rPr>
          <w:spacing w:val="-3"/>
          <w:w w:val="105"/>
          <w:sz w:val="21"/>
        </w:rPr>
        <w:t>Court </w:t>
      </w:r>
      <w:r>
        <w:rPr>
          <w:w w:val="105"/>
          <w:sz w:val="21"/>
        </w:rPr>
        <w:t>of Appeal of the </w:t>
      </w:r>
      <w:r>
        <w:rPr>
          <w:spacing w:val="-3"/>
          <w:w w:val="105"/>
          <w:sz w:val="21"/>
        </w:rPr>
        <w:t>Supreme Court </w:t>
      </w:r>
      <w:r>
        <w:rPr>
          <w:w w:val="105"/>
          <w:sz w:val="21"/>
        </w:rPr>
        <w:t>of Victoria, if the </w:t>
      </w:r>
      <w:r>
        <w:rPr>
          <w:spacing w:val="-5"/>
          <w:w w:val="105"/>
          <w:sz w:val="21"/>
        </w:rPr>
        <w:t>VCAT </w:t>
      </w:r>
      <w:r>
        <w:rPr>
          <w:w w:val="105"/>
          <w:sz w:val="21"/>
        </w:rPr>
        <w:t>decision was made by the </w:t>
      </w:r>
      <w:r>
        <w:rPr>
          <w:spacing w:val="-3"/>
          <w:w w:val="105"/>
          <w:sz w:val="21"/>
        </w:rPr>
        <w:t>president </w:t>
      </w:r>
      <w:r>
        <w:rPr>
          <w:w w:val="105"/>
          <w:sz w:val="21"/>
        </w:rPr>
        <w:t>or the vice </w:t>
      </w:r>
      <w:r>
        <w:rPr>
          <w:spacing w:val="-3"/>
          <w:w w:val="105"/>
          <w:sz w:val="21"/>
        </w:rPr>
        <w:t>president</w:t>
      </w:r>
      <w:r>
        <w:rPr>
          <w:spacing w:val="-3"/>
          <w:w w:val="105"/>
          <w:position w:val="7"/>
          <w:sz w:val="12"/>
        </w:rPr>
        <w:t>79 </w:t>
      </w:r>
      <w:r>
        <w:rPr>
          <w:w w:val="105"/>
          <w:sz w:val="21"/>
        </w:rPr>
        <w:t>of </w:t>
      </w:r>
      <w:r>
        <w:rPr>
          <w:spacing w:val="-5"/>
          <w:w w:val="105"/>
          <w:sz w:val="21"/>
        </w:rPr>
        <w:t>VCAT </w:t>
      </w:r>
      <w:r>
        <w:rPr>
          <w:w w:val="105"/>
          <w:sz w:val="21"/>
        </w:rPr>
        <w:t>(even if other</w:t>
      </w:r>
      <w:r>
        <w:rPr>
          <w:spacing w:val="-7"/>
          <w:w w:val="105"/>
          <w:sz w:val="21"/>
        </w:rPr>
        <w:t> </w:t>
      </w:r>
      <w:r>
        <w:rPr>
          <w:w w:val="105"/>
          <w:sz w:val="21"/>
        </w:rPr>
        <w:t>members</w:t>
      </w:r>
      <w:r>
        <w:rPr>
          <w:spacing w:val="-6"/>
          <w:w w:val="105"/>
          <w:sz w:val="21"/>
        </w:rPr>
        <w:t> </w:t>
      </w:r>
      <w:r>
        <w:rPr>
          <w:w w:val="105"/>
          <w:sz w:val="21"/>
        </w:rPr>
        <w:t>also</w:t>
      </w:r>
      <w:r>
        <w:rPr>
          <w:spacing w:val="-6"/>
          <w:w w:val="105"/>
          <w:sz w:val="21"/>
        </w:rPr>
        <w:t> </w:t>
      </w:r>
      <w:r>
        <w:rPr>
          <w:spacing w:val="-3"/>
          <w:w w:val="105"/>
          <w:sz w:val="21"/>
        </w:rPr>
        <w:t>heard</w:t>
      </w:r>
      <w:r>
        <w:rPr>
          <w:spacing w:val="-6"/>
          <w:w w:val="105"/>
          <w:sz w:val="21"/>
        </w:rPr>
        <w:t> </w:t>
      </w:r>
      <w:r>
        <w:rPr>
          <w:w w:val="105"/>
          <w:sz w:val="21"/>
        </w:rPr>
        <w:t>the</w:t>
      </w:r>
      <w:r>
        <w:rPr>
          <w:spacing w:val="-7"/>
          <w:w w:val="105"/>
          <w:sz w:val="21"/>
        </w:rPr>
        <w:t> </w:t>
      </w:r>
      <w:r>
        <w:rPr>
          <w:w w:val="105"/>
          <w:sz w:val="21"/>
        </w:rPr>
        <w:t>matter),</w:t>
      </w:r>
      <w:r>
        <w:rPr>
          <w:w w:val="105"/>
          <w:position w:val="7"/>
          <w:sz w:val="12"/>
        </w:rPr>
        <w:t>80</w:t>
      </w:r>
      <w:r>
        <w:rPr>
          <w:spacing w:val="17"/>
          <w:w w:val="105"/>
          <w:position w:val="7"/>
          <w:sz w:val="12"/>
        </w:rPr>
        <w:t> </w:t>
      </w:r>
      <w:r>
        <w:rPr>
          <w:w w:val="105"/>
          <w:sz w:val="21"/>
        </w:rPr>
        <w:t>or</w:t>
      </w:r>
      <w:r>
        <w:rPr>
          <w:spacing w:val="-6"/>
          <w:w w:val="105"/>
          <w:sz w:val="21"/>
        </w:rPr>
        <w:t> </w:t>
      </w:r>
      <w:r>
        <w:rPr>
          <w:w w:val="105"/>
          <w:sz w:val="21"/>
        </w:rPr>
        <w:t>of</w:t>
      </w:r>
      <w:r>
        <w:rPr>
          <w:spacing w:val="-6"/>
          <w:w w:val="105"/>
          <w:sz w:val="21"/>
        </w:rPr>
        <w:t> </w:t>
      </w:r>
      <w:r>
        <w:rPr>
          <w:w w:val="105"/>
          <w:sz w:val="21"/>
        </w:rPr>
        <w:t>the</w:t>
      </w:r>
      <w:r>
        <w:rPr>
          <w:spacing w:val="-7"/>
          <w:w w:val="105"/>
          <w:sz w:val="21"/>
        </w:rPr>
        <w:t> </w:t>
      </w:r>
      <w:r>
        <w:rPr>
          <w:spacing w:val="-5"/>
          <w:w w:val="105"/>
          <w:sz w:val="21"/>
        </w:rPr>
        <w:t>Trial</w:t>
      </w:r>
      <w:r>
        <w:rPr>
          <w:spacing w:val="-6"/>
          <w:w w:val="105"/>
          <w:sz w:val="21"/>
        </w:rPr>
        <w:t> </w:t>
      </w:r>
      <w:r>
        <w:rPr>
          <w:w w:val="105"/>
          <w:sz w:val="21"/>
        </w:rPr>
        <w:t>Division</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spacing w:val="-3"/>
          <w:w w:val="105"/>
          <w:sz w:val="21"/>
        </w:rPr>
        <w:t>Supreme</w:t>
      </w:r>
      <w:r>
        <w:rPr>
          <w:spacing w:val="-7"/>
          <w:w w:val="105"/>
          <w:sz w:val="21"/>
        </w:rPr>
        <w:t> </w:t>
      </w:r>
      <w:r>
        <w:rPr>
          <w:spacing w:val="-3"/>
          <w:w w:val="105"/>
          <w:sz w:val="21"/>
        </w:rPr>
        <w:t>Court</w:t>
      </w:r>
      <w:r>
        <w:rPr>
          <w:spacing w:val="-6"/>
          <w:w w:val="105"/>
          <w:sz w:val="21"/>
        </w:rPr>
        <w:t> </w:t>
      </w:r>
      <w:r>
        <w:rPr>
          <w:w w:val="105"/>
          <w:sz w:val="21"/>
        </w:rPr>
        <w:t>if the</w:t>
      </w:r>
      <w:r>
        <w:rPr>
          <w:spacing w:val="-7"/>
          <w:w w:val="105"/>
          <w:sz w:val="21"/>
        </w:rPr>
        <w:t> </w:t>
      </w:r>
      <w:r>
        <w:rPr>
          <w:w w:val="105"/>
          <w:sz w:val="21"/>
        </w:rPr>
        <w:t>decision</w:t>
      </w:r>
      <w:r>
        <w:rPr>
          <w:spacing w:val="-6"/>
          <w:w w:val="105"/>
          <w:sz w:val="21"/>
        </w:rPr>
        <w:t> </w:t>
      </w:r>
      <w:r>
        <w:rPr>
          <w:w w:val="105"/>
          <w:sz w:val="21"/>
        </w:rPr>
        <w:t>was</w:t>
      </w:r>
      <w:r>
        <w:rPr>
          <w:spacing w:val="-7"/>
          <w:w w:val="105"/>
          <w:sz w:val="21"/>
        </w:rPr>
        <w:t> </w:t>
      </w:r>
      <w:r>
        <w:rPr>
          <w:w w:val="105"/>
          <w:sz w:val="21"/>
        </w:rPr>
        <w:t>made</w:t>
      </w:r>
      <w:r>
        <w:rPr>
          <w:spacing w:val="-6"/>
          <w:w w:val="105"/>
          <w:sz w:val="21"/>
        </w:rPr>
        <w:t> </w:t>
      </w:r>
      <w:r>
        <w:rPr>
          <w:w w:val="105"/>
          <w:sz w:val="21"/>
        </w:rPr>
        <w:t>by</w:t>
      </w:r>
      <w:r>
        <w:rPr>
          <w:spacing w:val="-7"/>
          <w:w w:val="105"/>
          <w:sz w:val="21"/>
        </w:rPr>
        <w:t> </w:t>
      </w:r>
      <w:r>
        <w:rPr>
          <w:w w:val="105"/>
          <w:sz w:val="21"/>
        </w:rPr>
        <w:t>a</w:t>
      </w:r>
      <w:r>
        <w:rPr>
          <w:spacing w:val="-6"/>
          <w:w w:val="105"/>
          <w:sz w:val="21"/>
        </w:rPr>
        <w:t> </w:t>
      </w:r>
      <w:r>
        <w:rPr>
          <w:spacing w:val="-5"/>
          <w:w w:val="105"/>
          <w:sz w:val="21"/>
        </w:rPr>
        <w:t>VCAT</w:t>
      </w:r>
      <w:r>
        <w:rPr>
          <w:spacing w:val="-7"/>
          <w:w w:val="105"/>
          <w:sz w:val="21"/>
        </w:rPr>
        <w:t> </w:t>
      </w:r>
      <w:r>
        <w:rPr>
          <w:w w:val="105"/>
          <w:sz w:val="21"/>
        </w:rPr>
        <w:t>member</w:t>
      </w:r>
      <w:r>
        <w:rPr>
          <w:spacing w:val="-6"/>
          <w:w w:val="105"/>
          <w:sz w:val="21"/>
        </w:rPr>
        <w:t> </w:t>
      </w:r>
      <w:r>
        <w:rPr>
          <w:w w:val="105"/>
          <w:sz w:val="21"/>
        </w:rPr>
        <w:t>other</w:t>
      </w:r>
      <w:r>
        <w:rPr>
          <w:spacing w:val="-6"/>
          <w:w w:val="105"/>
          <w:sz w:val="21"/>
        </w:rPr>
        <w:t> </w:t>
      </w:r>
      <w:r>
        <w:rPr>
          <w:spacing w:val="-3"/>
          <w:w w:val="105"/>
          <w:sz w:val="21"/>
        </w:rPr>
        <w:t>than</w:t>
      </w:r>
      <w:r>
        <w:rPr>
          <w:spacing w:val="-7"/>
          <w:w w:val="105"/>
          <w:sz w:val="21"/>
        </w:rPr>
        <w:t> </w:t>
      </w:r>
      <w:r>
        <w:rPr>
          <w:w w:val="105"/>
          <w:sz w:val="21"/>
        </w:rPr>
        <w:t>the</w:t>
      </w:r>
      <w:r>
        <w:rPr>
          <w:spacing w:val="-6"/>
          <w:w w:val="105"/>
          <w:sz w:val="21"/>
        </w:rPr>
        <w:t> </w:t>
      </w:r>
      <w:r>
        <w:rPr>
          <w:spacing w:val="-3"/>
          <w:w w:val="105"/>
          <w:sz w:val="21"/>
        </w:rPr>
        <w:t>president</w:t>
      </w:r>
      <w:r>
        <w:rPr>
          <w:spacing w:val="-7"/>
          <w:w w:val="105"/>
          <w:sz w:val="21"/>
        </w:rPr>
        <w:t> </w:t>
      </w:r>
      <w:r>
        <w:rPr>
          <w:w w:val="105"/>
          <w:sz w:val="21"/>
        </w:rPr>
        <w:t>or</w:t>
      </w:r>
      <w:r>
        <w:rPr>
          <w:spacing w:val="-6"/>
          <w:w w:val="105"/>
          <w:sz w:val="21"/>
        </w:rPr>
        <w:t> </w:t>
      </w:r>
      <w:r>
        <w:rPr>
          <w:w w:val="105"/>
          <w:sz w:val="21"/>
        </w:rPr>
        <w:t>vice</w:t>
      </w:r>
      <w:r>
        <w:rPr>
          <w:spacing w:val="-7"/>
          <w:w w:val="105"/>
          <w:sz w:val="21"/>
        </w:rPr>
        <w:t> </w:t>
      </w:r>
      <w:r>
        <w:rPr>
          <w:w w:val="105"/>
          <w:sz w:val="21"/>
        </w:rPr>
        <w:t>president.</w:t>
      </w:r>
      <w:r>
        <w:rPr>
          <w:w w:val="105"/>
          <w:position w:val="7"/>
          <w:sz w:val="12"/>
        </w:rPr>
        <w:t>81</w:t>
      </w:r>
    </w:p>
    <w:p>
      <w:pPr>
        <w:pStyle w:val="ListParagraph"/>
        <w:numPr>
          <w:ilvl w:val="1"/>
          <w:numId w:val="16"/>
        </w:numPr>
        <w:tabs>
          <w:tab w:pos="2380" w:val="left" w:leader="none"/>
          <w:tab w:pos="2382" w:val="left" w:leader="none"/>
        </w:tabs>
        <w:spacing w:line="242" w:lineRule="auto" w:before="128" w:after="0"/>
        <w:ind w:left="2381" w:right="1867" w:hanging="794"/>
        <w:jc w:val="left"/>
        <w:rPr>
          <w:sz w:val="21"/>
        </w:rPr>
      </w:pPr>
      <w:r>
        <w:rPr>
          <w:w w:val="105"/>
          <w:sz w:val="21"/>
        </w:rPr>
        <w:t>An application seeking </w:t>
      </w:r>
      <w:r>
        <w:rPr>
          <w:spacing w:val="-3"/>
          <w:w w:val="105"/>
          <w:sz w:val="21"/>
        </w:rPr>
        <w:t>leave to </w:t>
      </w:r>
      <w:r>
        <w:rPr>
          <w:w w:val="105"/>
          <w:sz w:val="21"/>
        </w:rPr>
        <w:t>appeal must be made no </w:t>
      </w:r>
      <w:r>
        <w:rPr>
          <w:spacing w:val="-3"/>
          <w:w w:val="105"/>
          <w:sz w:val="21"/>
        </w:rPr>
        <w:t>later than 28 </w:t>
      </w:r>
      <w:r>
        <w:rPr>
          <w:w w:val="105"/>
          <w:sz w:val="21"/>
        </w:rPr>
        <w:t>days after </w:t>
      </w:r>
      <w:r>
        <w:rPr>
          <w:spacing w:val="-5"/>
          <w:w w:val="105"/>
          <w:sz w:val="21"/>
        </w:rPr>
        <w:t>VCAT </w:t>
      </w:r>
      <w:r>
        <w:rPr>
          <w:spacing w:val="-3"/>
          <w:w w:val="105"/>
          <w:sz w:val="21"/>
        </w:rPr>
        <w:t>makes </w:t>
      </w:r>
      <w:r>
        <w:rPr>
          <w:w w:val="105"/>
          <w:sz w:val="21"/>
        </w:rPr>
        <w:t>an order and in </w:t>
      </w:r>
      <w:r>
        <w:rPr>
          <w:spacing w:val="-3"/>
          <w:w w:val="105"/>
          <w:sz w:val="21"/>
        </w:rPr>
        <w:t>accordance </w:t>
      </w:r>
      <w:r>
        <w:rPr>
          <w:w w:val="105"/>
          <w:sz w:val="21"/>
        </w:rPr>
        <w:t>with the rules of the </w:t>
      </w:r>
      <w:r>
        <w:rPr>
          <w:spacing w:val="-3"/>
          <w:w w:val="105"/>
          <w:sz w:val="21"/>
        </w:rPr>
        <w:t>Supreme</w:t>
      </w:r>
      <w:r>
        <w:rPr>
          <w:spacing w:val="35"/>
          <w:w w:val="105"/>
          <w:sz w:val="21"/>
        </w:rPr>
        <w:t> </w:t>
      </w:r>
      <w:r>
        <w:rPr>
          <w:w w:val="105"/>
          <w:sz w:val="21"/>
        </w:rPr>
        <w:t>Court.</w:t>
      </w:r>
      <w:r>
        <w:rPr>
          <w:w w:val="105"/>
          <w:position w:val="7"/>
          <w:sz w:val="12"/>
        </w:rPr>
        <w:t>82</w:t>
      </w:r>
    </w:p>
    <w:p>
      <w:pPr>
        <w:pStyle w:val="ListParagraph"/>
        <w:numPr>
          <w:ilvl w:val="1"/>
          <w:numId w:val="16"/>
        </w:numPr>
        <w:tabs>
          <w:tab w:pos="2380" w:val="left" w:leader="none"/>
          <w:tab w:pos="2381" w:val="left" w:leader="none"/>
        </w:tabs>
        <w:spacing w:line="242" w:lineRule="auto" w:before="122" w:after="0"/>
        <w:ind w:left="2380" w:right="1715" w:hanging="793"/>
        <w:jc w:val="left"/>
        <w:rPr>
          <w:sz w:val="21"/>
        </w:rPr>
      </w:pPr>
      <w:r>
        <w:rPr>
          <w:w w:val="105"/>
          <w:sz w:val="21"/>
        </w:rPr>
        <w:t>The</w:t>
      </w:r>
      <w:r>
        <w:rPr>
          <w:spacing w:val="-5"/>
          <w:w w:val="105"/>
          <w:sz w:val="21"/>
        </w:rPr>
        <w:t> </w:t>
      </w:r>
      <w:r>
        <w:rPr>
          <w:spacing w:val="-3"/>
          <w:w w:val="105"/>
          <w:sz w:val="21"/>
        </w:rPr>
        <w:t>Court</w:t>
      </w:r>
      <w:r>
        <w:rPr>
          <w:spacing w:val="-4"/>
          <w:w w:val="105"/>
          <w:sz w:val="21"/>
        </w:rPr>
        <w:t> </w:t>
      </w:r>
      <w:r>
        <w:rPr>
          <w:w w:val="105"/>
          <w:sz w:val="21"/>
        </w:rPr>
        <w:t>of</w:t>
      </w:r>
      <w:r>
        <w:rPr>
          <w:spacing w:val="-4"/>
          <w:w w:val="105"/>
          <w:sz w:val="21"/>
        </w:rPr>
        <w:t> </w:t>
      </w:r>
      <w:r>
        <w:rPr>
          <w:w w:val="105"/>
          <w:sz w:val="21"/>
        </w:rPr>
        <w:t>Appeal</w:t>
      </w:r>
      <w:r>
        <w:rPr>
          <w:spacing w:val="-4"/>
          <w:w w:val="105"/>
          <w:sz w:val="21"/>
        </w:rPr>
        <w:t> </w:t>
      </w:r>
      <w:r>
        <w:rPr>
          <w:w w:val="105"/>
          <w:sz w:val="21"/>
        </w:rPr>
        <w:t>or</w:t>
      </w:r>
      <w:r>
        <w:rPr>
          <w:spacing w:val="-4"/>
          <w:w w:val="105"/>
          <w:sz w:val="21"/>
        </w:rPr>
        <w:t> </w:t>
      </w:r>
      <w:r>
        <w:rPr>
          <w:w w:val="105"/>
          <w:sz w:val="21"/>
        </w:rPr>
        <w:t>the</w:t>
      </w:r>
      <w:r>
        <w:rPr>
          <w:spacing w:val="-4"/>
          <w:w w:val="105"/>
          <w:sz w:val="21"/>
        </w:rPr>
        <w:t> </w:t>
      </w:r>
      <w:r>
        <w:rPr>
          <w:spacing w:val="-5"/>
          <w:w w:val="105"/>
          <w:sz w:val="21"/>
        </w:rPr>
        <w:t>Trial</w:t>
      </w:r>
      <w:r>
        <w:rPr>
          <w:spacing w:val="-4"/>
          <w:w w:val="105"/>
          <w:sz w:val="21"/>
        </w:rPr>
        <w:t> </w:t>
      </w:r>
      <w:r>
        <w:rPr>
          <w:w w:val="105"/>
          <w:sz w:val="21"/>
        </w:rPr>
        <w:t>Division</w:t>
      </w:r>
      <w:r>
        <w:rPr>
          <w:spacing w:val="-4"/>
          <w:w w:val="105"/>
          <w:sz w:val="21"/>
        </w:rPr>
        <w:t> </w:t>
      </w:r>
      <w:r>
        <w:rPr>
          <w:spacing w:val="-3"/>
          <w:w w:val="105"/>
          <w:sz w:val="21"/>
        </w:rPr>
        <w:t>may</w:t>
      </w:r>
      <w:r>
        <w:rPr>
          <w:spacing w:val="-4"/>
          <w:w w:val="105"/>
          <w:sz w:val="21"/>
        </w:rPr>
        <w:t> make </w:t>
      </w:r>
      <w:r>
        <w:rPr>
          <w:w w:val="105"/>
          <w:sz w:val="21"/>
        </w:rPr>
        <w:t>an</w:t>
      </w:r>
      <w:r>
        <w:rPr>
          <w:spacing w:val="-4"/>
          <w:w w:val="105"/>
          <w:sz w:val="21"/>
        </w:rPr>
        <w:t> </w:t>
      </w:r>
      <w:r>
        <w:rPr>
          <w:w w:val="105"/>
          <w:sz w:val="21"/>
        </w:rPr>
        <w:t>order</w:t>
      </w:r>
      <w:r>
        <w:rPr>
          <w:spacing w:val="-4"/>
          <w:w w:val="105"/>
          <w:sz w:val="21"/>
        </w:rPr>
        <w:t> </w:t>
      </w:r>
      <w:r>
        <w:rPr>
          <w:w w:val="105"/>
          <w:sz w:val="21"/>
        </w:rPr>
        <w:t>affirming,</w:t>
      </w:r>
      <w:r>
        <w:rPr>
          <w:spacing w:val="-4"/>
          <w:w w:val="105"/>
          <w:sz w:val="21"/>
        </w:rPr>
        <w:t> </w:t>
      </w:r>
      <w:r>
        <w:rPr>
          <w:w w:val="105"/>
          <w:sz w:val="21"/>
        </w:rPr>
        <w:t>varying</w:t>
      </w:r>
      <w:r>
        <w:rPr>
          <w:spacing w:val="-4"/>
          <w:w w:val="105"/>
          <w:sz w:val="21"/>
        </w:rPr>
        <w:t> </w:t>
      </w:r>
      <w:r>
        <w:rPr>
          <w:w w:val="105"/>
          <w:sz w:val="21"/>
        </w:rPr>
        <w:t>or</w:t>
      </w:r>
      <w:r>
        <w:rPr>
          <w:spacing w:val="-4"/>
          <w:w w:val="105"/>
          <w:sz w:val="21"/>
        </w:rPr>
        <w:t> </w:t>
      </w:r>
      <w:r>
        <w:rPr>
          <w:w w:val="105"/>
          <w:sz w:val="21"/>
        </w:rPr>
        <w:t>setting aside: the order of the </w:t>
      </w:r>
      <w:r>
        <w:rPr>
          <w:spacing w:val="-4"/>
          <w:w w:val="105"/>
          <w:sz w:val="21"/>
        </w:rPr>
        <w:t>Tribunal; </w:t>
      </w:r>
      <w:r>
        <w:rPr>
          <w:w w:val="105"/>
          <w:sz w:val="21"/>
        </w:rPr>
        <w:t>an order </w:t>
      </w:r>
      <w:r>
        <w:rPr>
          <w:spacing w:val="-3"/>
          <w:w w:val="105"/>
          <w:sz w:val="21"/>
        </w:rPr>
        <w:t>that </w:t>
      </w:r>
      <w:r>
        <w:rPr>
          <w:w w:val="105"/>
          <w:sz w:val="21"/>
        </w:rPr>
        <w:t>the </w:t>
      </w:r>
      <w:r>
        <w:rPr>
          <w:spacing w:val="-5"/>
          <w:w w:val="105"/>
          <w:sz w:val="21"/>
        </w:rPr>
        <w:t>Tribunal </w:t>
      </w:r>
      <w:r>
        <w:rPr>
          <w:spacing w:val="-3"/>
          <w:w w:val="105"/>
          <w:sz w:val="21"/>
        </w:rPr>
        <w:t>could have </w:t>
      </w:r>
      <w:r>
        <w:rPr>
          <w:w w:val="105"/>
          <w:sz w:val="21"/>
        </w:rPr>
        <w:t>made in the proceeding; an order </w:t>
      </w:r>
      <w:r>
        <w:rPr>
          <w:spacing w:val="-3"/>
          <w:w w:val="105"/>
          <w:sz w:val="21"/>
        </w:rPr>
        <w:t>remitting </w:t>
      </w:r>
      <w:r>
        <w:rPr>
          <w:w w:val="105"/>
          <w:sz w:val="21"/>
        </w:rPr>
        <w:t>the </w:t>
      </w:r>
      <w:r>
        <w:rPr>
          <w:spacing w:val="-3"/>
          <w:w w:val="105"/>
          <w:sz w:val="21"/>
        </w:rPr>
        <w:t>proceeding to </w:t>
      </w:r>
      <w:r>
        <w:rPr>
          <w:w w:val="105"/>
          <w:sz w:val="21"/>
        </w:rPr>
        <w:t>be </w:t>
      </w:r>
      <w:r>
        <w:rPr>
          <w:spacing w:val="-3"/>
          <w:w w:val="105"/>
          <w:sz w:val="21"/>
        </w:rPr>
        <w:t>heard </w:t>
      </w:r>
      <w:r>
        <w:rPr>
          <w:w w:val="105"/>
          <w:sz w:val="21"/>
        </w:rPr>
        <w:t>and decided </w:t>
      </w:r>
      <w:r>
        <w:rPr>
          <w:spacing w:val="-3"/>
          <w:w w:val="105"/>
          <w:sz w:val="21"/>
        </w:rPr>
        <w:t>again, </w:t>
      </w:r>
      <w:r>
        <w:rPr>
          <w:w w:val="105"/>
          <w:sz w:val="21"/>
        </w:rPr>
        <w:t>either with or without the </w:t>
      </w:r>
      <w:r>
        <w:rPr>
          <w:spacing w:val="-3"/>
          <w:w w:val="105"/>
          <w:sz w:val="21"/>
        </w:rPr>
        <w:t>hearing </w:t>
      </w:r>
      <w:r>
        <w:rPr>
          <w:w w:val="105"/>
          <w:sz w:val="21"/>
        </w:rPr>
        <w:t>of further </w:t>
      </w:r>
      <w:r>
        <w:rPr>
          <w:spacing w:val="-3"/>
          <w:w w:val="105"/>
          <w:sz w:val="21"/>
        </w:rPr>
        <w:t>evidence, </w:t>
      </w:r>
      <w:r>
        <w:rPr>
          <w:w w:val="105"/>
          <w:sz w:val="21"/>
        </w:rPr>
        <w:t>by the </w:t>
      </w:r>
      <w:r>
        <w:rPr>
          <w:spacing w:val="-5"/>
          <w:w w:val="105"/>
          <w:sz w:val="21"/>
        </w:rPr>
        <w:t>Tribunal </w:t>
      </w:r>
      <w:r>
        <w:rPr>
          <w:w w:val="105"/>
          <w:sz w:val="21"/>
        </w:rPr>
        <w:t>in </w:t>
      </w:r>
      <w:r>
        <w:rPr>
          <w:spacing w:val="-3"/>
          <w:w w:val="105"/>
          <w:sz w:val="21"/>
        </w:rPr>
        <w:t>accordance </w:t>
      </w:r>
      <w:r>
        <w:rPr>
          <w:w w:val="105"/>
          <w:sz w:val="21"/>
        </w:rPr>
        <w:t>with the directions of the </w:t>
      </w:r>
      <w:r>
        <w:rPr>
          <w:spacing w:val="-2"/>
          <w:w w:val="105"/>
          <w:sz w:val="21"/>
        </w:rPr>
        <w:t>Court; </w:t>
      </w:r>
      <w:r>
        <w:rPr>
          <w:w w:val="105"/>
          <w:sz w:val="21"/>
        </w:rPr>
        <w:t>or </w:t>
      </w:r>
      <w:r>
        <w:rPr>
          <w:spacing w:val="-3"/>
          <w:w w:val="105"/>
          <w:sz w:val="21"/>
        </w:rPr>
        <w:t>any </w:t>
      </w:r>
      <w:r>
        <w:rPr>
          <w:w w:val="105"/>
          <w:sz w:val="21"/>
        </w:rPr>
        <w:t>other order the </w:t>
      </w:r>
      <w:r>
        <w:rPr>
          <w:spacing w:val="-3"/>
          <w:w w:val="105"/>
          <w:sz w:val="21"/>
        </w:rPr>
        <w:t>Court </w:t>
      </w:r>
      <w:r>
        <w:rPr>
          <w:w w:val="105"/>
          <w:sz w:val="21"/>
        </w:rPr>
        <w:t>thinks</w:t>
      </w:r>
      <w:r>
        <w:rPr>
          <w:spacing w:val="33"/>
          <w:w w:val="105"/>
          <w:sz w:val="21"/>
        </w:rPr>
        <w:t> </w:t>
      </w:r>
      <w:r>
        <w:rPr>
          <w:spacing w:val="-3"/>
          <w:w w:val="105"/>
          <w:sz w:val="21"/>
        </w:rPr>
        <w:t>appropriate.</w:t>
      </w:r>
      <w:r>
        <w:rPr>
          <w:spacing w:val="-3"/>
          <w:w w:val="105"/>
          <w:position w:val="7"/>
          <w:sz w:val="12"/>
        </w:rPr>
        <w:t>83</w:t>
      </w:r>
    </w:p>
    <w:p>
      <w:pPr>
        <w:pStyle w:val="ListParagraph"/>
        <w:numPr>
          <w:ilvl w:val="1"/>
          <w:numId w:val="16"/>
        </w:numPr>
        <w:tabs>
          <w:tab w:pos="2380" w:val="left" w:leader="none"/>
          <w:tab w:pos="2381" w:val="left" w:leader="none"/>
        </w:tabs>
        <w:spacing w:line="242" w:lineRule="auto" w:before="126" w:after="0"/>
        <w:ind w:left="2381" w:right="1843" w:hanging="794"/>
        <w:jc w:val="left"/>
        <w:rPr>
          <w:sz w:val="21"/>
        </w:rPr>
      </w:pPr>
      <w:r>
        <w:rPr>
          <w:sz w:val="21"/>
        </w:rPr>
        <w:t>In the </w:t>
      </w:r>
      <w:r>
        <w:rPr>
          <w:spacing w:val="-10"/>
          <w:sz w:val="21"/>
        </w:rPr>
        <w:t>2017–18 </w:t>
      </w:r>
      <w:r>
        <w:rPr>
          <w:spacing w:val="-3"/>
          <w:sz w:val="21"/>
        </w:rPr>
        <w:t>financial </w:t>
      </w:r>
      <w:r>
        <w:rPr>
          <w:spacing w:val="-5"/>
          <w:sz w:val="21"/>
        </w:rPr>
        <w:t>year, </w:t>
      </w:r>
      <w:r>
        <w:rPr>
          <w:sz w:val="21"/>
        </w:rPr>
        <w:t>the </w:t>
      </w:r>
      <w:r>
        <w:rPr>
          <w:spacing w:val="-3"/>
          <w:sz w:val="21"/>
        </w:rPr>
        <w:t>total </w:t>
      </w:r>
      <w:r>
        <w:rPr>
          <w:sz w:val="21"/>
        </w:rPr>
        <w:t>number of appeals  lodged  </w:t>
      </w:r>
      <w:r>
        <w:rPr>
          <w:spacing w:val="-3"/>
          <w:sz w:val="21"/>
        </w:rPr>
        <w:t>from  </w:t>
      </w:r>
      <w:r>
        <w:rPr>
          <w:spacing w:val="-5"/>
          <w:sz w:val="21"/>
        </w:rPr>
        <w:t>VCAT  </w:t>
      </w:r>
      <w:r>
        <w:rPr>
          <w:sz w:val="21"/>
        </w:rPr>
        <w:t>was  </w:t>
      </w:r>
      <w:r>
        <w:rPr>
          <w:spacing w:val="-4"/>
          <w:sz w:val="21"/>
        </w:rPr>
        <w:t>82. </w:t>
      </w:r>
      <w:r>
        <w:rPr>
          <w:sz w:val="21"/>
        </w:rPr>
        <w:t>Only </w:t>
      </w:r>
      <w:r>
        <w:rPr>
          <w:spacing w:val="-3"/>
          <w:sz w:val="21"/>
        </w:rPr>
        <w:t>nine </w:t>
      </w:r>
      <w:r>
        <w:rPr>
          <w:sz w:val="21"/>
        </w:rPr>
        <w:t>applicants </w:t>
      </w:r>
      <w:r>
        <w:rPr>
          <w:spacing w:val="-3"/>
          <w:sz w:val="21"/>
        </w:rPr>
        <w:t>were granted leave to </w:t>
      </w:r>
      <w:r>
        <w:rPr>
          <w:sz w:val="21"/>
        </w:rPr>
        <w:t>appeal </w:t>
      </w:r>
      <w:r>
        <w:rPr>
          <w:spacing w:val="-3"/>
          <w:sz w:val="21"/>
        </w:rPr>
        <w:t>to </w:t>
      </w:r>
      <w:r>
        <w:rPr>
          <w:sz w:val="21"/>
        </w:rPr>
        <w:t>the </w:t>
      </w:r>
      <w:r>
        <w:rPr>
          <w:spacing w:val="-3"/>
          <w:sz w:val="21"/>
        </w:rPr>
        <w:t>Supreme Court </w:t>
      </w:r>
      <w:r>
        <w:rPr>
          <w:sz w:val="21"/>
        </w:rPr>
        <w:t>of Victoria. Of </w:t>
      </w:r>
      <w:r>
        <w:rPr>
          <w:spacing w:val="-3"/>
          <w:sz w:val="21"/>
        </w:rPr>
        <w:t>these, four </w:t>
      </w:r>
      <w:r>
        <w:rPr>
          <w:sz w:val="21"/>
        </w:rPr>
        <w:t>appeals </w:t>
      </w:r>
      <w:r>
        <w:rPr>
          <w:spacing w:val="-3"/>
          <w:sz w:val="21"/>
        </w:rPr>
        <w:t>were </w:t>
      </w:r>
      <w:r>
        <w:rPr>
          <w:sz w:val="21"/>
        </w:rPr>
        <w:t>dismissed and five appeals </w:t>
      </w:r>
      <w:r>
        <w:rPr>
          <w:spacing w:val="-3"/>
          <w:sz w:val="21"/>
        </w:rPr>
        <w:t>were</w:t>
      </w:r>
      <w:r>
        <w:rPr>
          <w:spacing w:val="-26"/>
          <w:sz w:val="21"/>
        </w:rPr>
        <w:t> </w:t>
      </w:r>
      <w:r>
        <w:rPr>
          <w:sz w:val="21"/>
        </w:rPr>
        <w:t>upheld.</w:t>
      </w:r>
      <w:r>
        <w:rPr>
          <w:position w:val="7"/>
          <w:sz w:val="12"/>
        </w:rPr>
        <w:t>84</w:t>
      </w:r>
    </w:p>
    <w:p>
      <w:pPr>
        <w:pStyle w:val="Heading7"/>
        <w:spacing w:before="153"/>
      </w:pPr>
      <w:r>
        <w:rPr>
          <w:w w:val="115"/>
        </w:rPr>
        <w:t>Reopening an order</w:t>
      </w:r>
    </w:p>
    <w:p>
      <w:pPr>
        <w:pStyle w:val="ListParagraph"/>
        <w:numPr>
          <w:ilvl w:val="1"/>
          <w:numId w:val="16"/>
        </w:numPr>
        <w:tabs>
          <w:tab w:pos="2381" w:val="left" w:leader="none"/>
        </w:tabs>
        <w:spacing w:line="242" w:lineRule="auto" w:before="143" w:after="0"/>
        <w:ind w:left="2381" w:right="1934" w:hanging="794"/>
        <w:jc w:val="both"/>
        <w:rPr>
          <w:sz w:val="21"/>
        </w:rPr>
      </w:pPr>
      <w:r>
        <w:rPr>
          <w:spacing w:val="-5"/>
          <w:w w:val="105"/>
          <w:sz w:val="21"/>
        </w:rPr>
        <w:t>VCAT </w:t>
      </w:r>
      <w:r>
        <w:rPr>
          <w:spacing w:val="-3"/>
          <w:w w:val="105"/>
          <w:sz w:val="21"/>
        </w:rPr>
        <w:t>may </w:t>
      </w:r>
      <w:r>
        <w:rPr>
          <w:w w:val="105"/>
          <w:sz w:val="21"/>
        </w:rPr>
        <w:t>reopen an order on substantive </w:t>
      </w:r>
      <w:r>
        <w:rPr>
          <w:spacing w:val="-3"/>
          <w:w w:val="105"/>
          <w:sz w:val="21"/>
        </w:rPr>
        <w:t>grounds </w:t>
      </w:r>
      <w:r>
        <w:rPr>
          <w:w w:val="105"/>
          <w:sz w:val="21"/>
        </w:rPr>
        <w:t>in </w:t>
      </w:r>
      <w:r>
        <w:rPr>
          <w:spacing w:val="-3"/>
          <w:w w:val="105"/>
          <w:sz w:val="21"/>
        </w:rPr>
        <w:t>limited circumstances </w:t>
      </w:r>
      <w:r>
        <w:rPr>
          <w:w w:val="105"/>
          <w:sz w:val="21"/>
        </w:rPr>
        <w:t>under the </w:t>
      </w:r>
      <w:r>
        <w:rPr>
          <w:spacing w:val="-5"/>
          <w:w w:val="105"/>
          <w:sz w:val="21"/>
        </w:rPr>
        <w:t>VCAT </w:t>
      </w:r>
      <w:r>
        <w:rPr>
          <w:w w:val="105"/>
          <w:sz w:val="21"/>
        </w:rPr>
        <w:t>Act.</w:t>
      </w:r>
      <w:r>
        <w:rPr>
          <w:w w:val="105"/>
          <w:position w:val="7"/>
          <w:sz w:val="12"/>
        </w:rPr>
        <w:t>85 </w:t>
      </w:r>
      <w:r>
        <w:rPr>
          <w:w w:val="105"/>
          <w:sz w:val="21"/>
        </w:rPr>
        <w:t>If a matter is reopened on substantive </w:t>
      </w:r>
      <w:r>
        <w:rPr>
          <w:spacing w:val="-3"/>
          <w:w w:val="105"/>
          <w:sz w:val="21"/>
        </w:rPr>
        <w:t>grounds, </w:t>
      </w:r>
      <w:r>
        <w:rPr>
          <w:spacing w:val="-5"/>
          <w:w w:val="105"/>
          <w:sz w:val="21"/>
        </w:rPr>
        <w:t>VCAT </w:t>
      </w:r>
      <w:r>
        <w:rPr>
          <w:spacing w:val="-3"/>
          <w:w w:val="105"/>
          <w:sz w:val="21"/>
        </w:rPr>
        <w:t>may </w:t>
      </w:r>
      <w:r>
        <w:rPr>
          <w:spacing w:val="-4"/>
          <w:w w:val="105"/>
          <w:sz w:val="21"/>
        </w:rPr>
        <w:t>make </w:t>
      </w:r>
      <w:r>
        <w:rPr>
          <w:w w:val="105"/>
          <w:sz w:val="21"/>
        </w:rPr>
        <w:t>an order </w:t>
      </w:r>
      <w:r>
        <w:rPr>
          <w:spacing w:val="-3"/>
          <w:w w:val="105"/>
          <w:sz w:val="21"/>
        </w:rPr>
        <w:t>that revokes </w:t>
      </w:r>
      <w:r>
        <w:rPr>
          <w:w w:val="105"/>
          <w:sz w:val="21"/>
        </w:rPr>
        <w:t>or varies the </w:t>
      </w:r>
      <w:r>
        <w:rPr>
          <w:spacing w:val="-3"/>
          <w:w w:val="105"/>
          <w:sz w:val="21"/>
        </w:rPr>
        <w:t>original</w:t>
      </w:r>
      <w:r>
        <w:rPr>
          <w:spacing w:val="32"/>
          <w:w w:val="105"/>
          <w:sz w:val="21"/>
        </w:rPr>
        <w:t> </w:t>
      </w:r>
      <w:r>
        <w:rPr>
          <w:spacing w:val="-3"/>
          <w:w w:val="105"/>
          <w:sz w:val="21"/>
        </w:rPr>
        <w:t>order.</w:t>
      </w:r>
      <w:r>
        <w:rPr>
          <w:spacing w:val="-3"/>
          <w:w w:val="105"/>
          <w:position w:val="7"/>
          <w:sz w:val="12"/>
        </w:rPr>
        <w:t>86</w:t>
      </w:r>
    </w:p>
    <w:p>
      <w:pPr>
        <w:pStyle w:val="ListParagraph"/>
        <w:numPr>
          <w:ilvl w:val="1"/>
          <w:numId w:val="16"/>
        </w:numPr>
        <w:tabs>
          <w:tab w:pos="2380" w:val="left" w:leader="none"/>
          <w:tab w:pos="2382" w:val="left" w:leader="none"/>
        </w:tabs>
        <w:spacing w:line="242" w:lineRule="auto" w:before="123" w:after="0"/>
        <w:ind w:left="2381" w:right="2061" w:hanging="794"/>
        <w:jc w:val="left"/>
        <w:rPr>
          <w:sz w:val="21"/>
        </w:rPr>
      </w:pPr>
      <w:r>
        <w:rPr>
          <w:sz w:val="21"/>
        </w:rPr>
        <w:t>The </w:t>
      </w:r>
      <w:r>
        <w:rPr>
          <w:spacing w:val="-5"/>
          <w:sz w:val="21"/>
        </w:rPr>
        <w:t>VCAT  </w:t>
      </w:r>
      <w:r>
        <w:rPr>
          <w:sz w:val="21"/>
        </w:rPr>
        <w:t>Act allows </w:t>
      </w:r>
      <w:r>
        <w:rPr>
          <w:spacing w:val="-5"/>
          <w:sz w:val="21"/>
        </w:rPr>
        <w:t>VCAT  </w:t>
      </w:r>
      <w:r>
        <w:rPr>
          <w:spacing w:val="-3"/>
          <w:sz w:val="21"/>
        </w:rPr>
        <w:t>to  </w:t>
      </w:r>
      <w:r>
        <w:rPr>
          <w:sz w:val="21"/>
        </w:rPr>
        <w:t>reopen an Order where a ‘person in respect of whom   an</w:t>
      </w:r>
      <w:r>
        <w:rPr>
          <w:spacing w:val="20"/>
          <w:sz w:val="21"/>
        </w:rPr>
        <w:t> </w:t>
      </w:r>
      <w:r>
        <w:rPr>
          <w:sz w:val="21"/>
        </w:rPr>
        <w:t>order</w:t>
      </w:r>
      <w:r>
        <w:rPr>
          <w:spacing w:val="20"/>
          <w:sz w:val="21"/>
        </w:rPr>
        <w:t> </w:t>
      </w:r>
      <w:r>
        <w:rPr>
          <w:sz w:val="21"/>
        </w:rPr>
        <w:t>is</w:t>
      </w:r>
      <w:r>
        <w:rPr>
          <w:spacing w:val="20"/>
          <w:sz w:val="21"/>
        </w:rPr>
        <w:t> </w:t>
      </w:r>
      <w:r>
        <w:rPr>
          <w:sz w:val="21"/>
        </w:rPr>
        <w:t>made’</w:t>
      </w:r>
      <w:r>
        <w:rPr>
          <w:spacing w:val="20"/>
          <w:sz w:val="21"/>
        </w:rPr>
        <w:t> </w:t>
      </w:r>
      <w:r>
        <w:rPr>
          <w:sz w:val="21"/>
        </w:rPr>
        <w:t>did</w:t>
      </w:r>
      <w:r>
        <w:rPr>
          <w:spacing w:val="21"/>
          <w:sz w:val="21"/>
        </w:rPr>
        <w:t> </w:t>
      </w:r>
      <w:r>
        <w:rPr>
          <w:spacing w:val="-2"/>
          <w:sz w:val="21"/>
        </w:rPr>
        <w:t>not</w:t>
      </w:r>
      <w:r>
        <w:rPr>
          <w:spacing w:val="20"/>
          <w:sz w:val="21"/>
        </w:rPr>
        <w:t> </w:t>
      </w:r>
      <w:r>
        <w:rPr>
          <w:sz w:val="21"/>
        </w:rPr>
        <w:t>attend</w:t>
      </w:r>
      <w:r>
        <w:rPr>
          <w:spacing w:val="20"/>
          <w:sz w:val="21"/>
        </w:rPr>
        <w:t> </w:t>
      </w:r>
      <w:r>
        <w:rPr>
          <w:sz w:val="21"/>
        </w:rPr>
        <w:t>or</w:t>
      </w:r>
      <w:r>
        <w:rPr>
          <w:spacing w:val="20"/>
          <w:sz w:val="21"/>
        </w:rPr>
        <w:t> </w:t>
      </w:r>
      <w:r>
        <w:rPr>
          <w:sz w:val="21"/>
        </w:rPr>
        <w:t>was</w:t>
      </w:r>
      <w:r>
        <w:rPr>
          <w:spacing w:val="21"/>
          <w:sz w:val="21"/>
        </w:rPr>
        <w:t> </w:t>
      </w:r>
      <w:r>
        <w:rPr>
          <w:spacing w:val="-2"/>
          <w:sz w:val="21"/>
        </w:rPr>
        <w:t>not</w:t>
      </w:r>
      <w:r>
        <w:rPr>
          <w:spacing w:val="20"/>
          <w:sz w:val="21"/>
        </w:rPr>
        <w:t> </w:t>
      </w:r>
      <w:r>
        <w:rPr>
          <w:spacing w:val="-3"/>
          <w:sz w:val="21"/>
        </w:rPr>
        <w:t>represented</w:t>
      </w:r>
      <w:r>
        <w:rPr>
          <w:spacing w:val="20"/>
          <w:sz w:val="21"/>
        </w:rPr>
        <w:t> </w:t>
      </w:r>
      <w:r>
        <w:rPr>
          <w:sz w:val="21"/>
        </w:rPr>
        <w:t>at</w:t>
      </w:r>
      <w:r>
        <w:rPr>
          <w:spacing w:val="20"/>
          <w:sz w:val="21"/>
        </w:rPr>
        <w:t> </w:t>
      </w:r>
      <w:r>
        <w:rPr>
          <w:sz w:val="21"/>
        </w:rPr>
        <w:t>the</w:t>
      </w:r>
      <w:r>
        <w:rPr>
          <w:spacing w:val="20"/>
          <w:sz w:val="21"/>
        </w:rPr>
        <w:t> </w:t>
      </w:r>
      <w:r>
        <w:rPr>
          <w:spacing w:val="-3"/>
          <w:sz w:val="21"/>
        </w:rPr>
        <w:t>hearing.</w:t>
      </w:r>
      <w:r>
        <w:rPr>
          <w:spacing w:val="-3"/>
          <w:position w:val="7"/>
          <w:sz w:val="12"/>
        </w:rPr>
        <w:t>87</w:t>
      </w:r>
      <w:r>
        <w:rPr>
          <w:spacing w:val="19"/>
          <w:position w:val="7"/>
          <w:sz w:val="12"/>
        </w:rPr>
        <w:t> </w:t>
      </w:r>
      <w:r>
        <w:rPr>
          <w:sz w:val="21"/>
        </w:rPr>
        <w:t>In</w:t>
      </w:r>
      <w:r>
        <w:rPr>
          <w:spacing w:val="20"/>
          <w:sz w:val="21"/>
        </w:rPr>
        <w:t> </w:t>
      </w:r>
      <w:r>
        <w:rPr>
          <w:spacing w:val="-3"/>
          <w:sz w:val="21"/>
        </w:rPr>
        <w:t>deciding</w:t>
      </w:r>
    </w:p>
    <w:p>
      <w:pPr>
        <w:pStyle w:val="BodyText"/>
        <w:spacing w:line="242" w:lineRule="auto" w:before="2"/>
        <w:ind w:left="2381" w:right="1699"/>
        <w:jc w:val="both"/>
        <w:rPr>
          <w:sz w:val="12"/>
        </w:rPr>
      </w:pPr>
      <w:r>
        <w:rPr>
          <w:w w:val="105"/>
        </w:rPr>
        <w:t>whether </w:t>
      </w:r>
      <w:r>
        <w:rPr>
          <w:spacing w:val="-3"/>
          <w:w w:val="105"/>
        </w:rPr>
        <w:t>to </w:t>
      </w:r>
      <w:r>
        <w:rPr>
          <w:w w:val="105"/>
        </w:rPr>
        <w:t>reopen an </w:t>
      </w:r>
      <w:r>
        <w:rPr>
          <w:spacing w:val="-4"/>
          <w:w w:val="105"/>
        </w:rPr>
        <w:t>order, </w:t>
      </w:r>
      <w:r>
        <w:rPr>
          <w:spacing w:val="-5"/>
          <w:w w:val="105"/>
        </w:rPr>
        <w:t>VCAT </w:t>
      </w:r>
      <w:r>
        <w:rPr>
          <w:spacing w:val="-3"/>
          <w:w w:val="105"/>
        </w:rPr>
        <w:t>may consider </w:t>
      </w:r>
      <w:r>
        <w:rPr>
          <w:w w:val="105"/>
        </w:rPr>
        <w:t>whether the </w:t>
      </w:r>
      <w:r>
        <w:rPr>
          <w:spacing w:val="-3"/>
          <w:w w:val="105"/>
        </w:rPr>
        <w:t>applicant </w:t>
      </w:r>
      <w:r>
        <w:rPr>
          <w:spacing w:val="-2"/>
          <w:w w:val="105"/>
        </w:rPr>
        <w:t>had </w:t>
      </w:r>
      <w:r>
        <w:rPr>
          <w:w w:val="105"/>
        </w:rPr>
        <w:t>a </w:t>
      </w:r>
      <w:r>
        <w:rPr>
          <w:spacing w:val="-3"/>
          <w:w w:val="105"/>
        </w:rPr>
        <w:t>reasonable excuse for </w:t>
      </w:r>
      <w:r>
        <w:rPr>
          <w:spacing w:val="-2"/>
          <w:w w:val="105"/>
        </w:rPr>
        <w:t>not </w:t>
      </w:r>
      <w:r>
        <w:rPr>
          <w:spacing w:val="-3"/>
          <w:w w:val="105"/>
        </w:rPr>
        <w:t>attending </w:t>
      </w:r>
      <w:r>
        <w:rPr>
          <w:w w:val="105"/>
        </w:rPr>
        <w:t>or being </w:t>
      </w:r>
      <w:r>
        <w:rPr>
          <w:spacing w:val="-3"/>
          <w:w w:val="105"/>
        </w:rPr>
        <w:t>represented </w:t>
      </w:r>
      <w:r>
        <w:rPr>
          <w:w w:val="105"/>
        </w:rPr>
        <w:t>at the </w:t>
      </w:r>
      <w:r>
        <w:rPr>
          <w:spacing w:val="-3"/>
          <w:w w:val="105"/>
        </w:rPr>
        <w:t>hearing </w:t>
      </w:r>
      <w:r>
        <w:rPr>
          <w:w w:val="105"/>
        </w:rPr>
        <w:t>and </w:t>
      </w:r>
      <w:r>
        <w:rPr>
          <w:spacing w:val="-3"/>
          <w:w w:val="105"/>
        </w:rPr>
        <w:t>that </w:t>
      </w:r>
      <w:r>
        <w:rPr>
          <w:w w:val="105"/>
        </w:rPr>
        <w:t>it is </w:t>
      </w:r>
      <w:r>
        <w:rPr>
          <w:spacing w:val="-3"/>
          <w:w w:val="105"/>
        </w:rPr>
        <w:t>appropriate to </w:t>
      </w:r>
      <w:r>
        <w:rPr>
          <w:w w:val="105"/>
        </w:rPr>
        <w:t>conduct a re-hearing.</w:t>
      </w:r>
      <w:r>
        <w:rPr>
          <w:w w:val="105"/>
          <w:position w:val="7"/>
          <w:sz w:val="12"/>
        </w:rPr>
        <w:t>88</w:t>
      </w:r>
    </w:p>
    <w:p>
      <w:pPr>
        <w:pStyle w:val="ListParagraph"/>
        <w:numPr>
          <w:ilvl w:val="1"/>
          <w:numId w:val="16"/>
        </w:numPr>
        <w:tabs>
          <w:tab w:pos="2438" w:val="left" w:leader="none"/>
          <w:tab w:pos="2439" w:val="left" w:leader="none"/>
        </w:tabs>
        <w:spacing w:line="242" w:lineRule="auto" w:before="124" w:after="0"/>
        <w:ind w:left="2381" w:right="1822" w:hanging="794"/>
        <w:jc w:val="left"/>
        <w:rPr>
          <w:sz w:val="21"/>
        </w:rPr>
      </w:pPr>
      <w:r>
        <w:rPr/>
        <w:tab/>
      </w:r>
      <w:r>
        <w:rPr>
          <w:w w:val="105"/>
          <w:sz w:val="21"/>
        </w:rPr>
        <w:t>If an application </w:t>
      </w:r>
      <w:r>
        <w:rPr>
          <w:spacing w:val="-3"/>
          <w:w w:val="105"/>
          <w:sz w:val="21"/>
        </w:rPr>
        <w:t>to </w:t>
      </w:r>
      <w:r>
        <w:rPr>
          <w:w w:val="105"/>
          <w:sz w:val="21"/>
        </w:rPr>
        <w:t>reopen a matter is </w:t>
      </w:r>
      <w:r>
        <w:rPr>
          <w:spacing w:val="-3"/>
          <w:w w:val="105"/>
          <w:sz w:val="21"/>
        </w:rPr>
        <w:t>successful, </w:t>
      </w:r>
      <w:r>
        <w:rPr>
          <w:w w:val="105"/>
          <w:sz w:val="21"/>
        </w:rPr>
        <w:t>the </w:t>
      </w:r>
      <w:r>
        <w:rPr>
          <w:spacing w:val="-3"/>
          <w:w w:val="105"/>
          <w:sz w:val="21"/>
        </w:rPr>
        <w:t>original </w:t>
      </w:r>
      <w:r>
        <w:rPr>
          <w:w w:val="105"/>
          <w:sz w:val="21"/>
        </w:rPr>
        <w:t>order is suspended </w:t>
      </w:r>
      <w:r>
        <w:rPr>
          <w:spacing w:val="-3"/>
          <w:w w:val="105"/>
          <w:sz w:val="21"/>
        </w:rPr>
        <w:t>until </w:t>
      </w:r>
      <w:r>
        <w:rPr>
          <w:w w:val="105"/>
          <w:sz w:val="21"/>
        </w:rPr>
        <w:t>the </w:t>
      </w:r>
      <w:r>
        <w:rPr>
          <w:spacing w:val="-3"/>
          <w:w w:val="105"/>
          <w:sz w:val="21"/>
        </w:rPr>
        <w:t>subsequent hearing takes place.</w:t>
      </w:r>
      <w:r>
        <w:rPr>
          <w:spacing w:val="-3"/>
          <w:w w:val="105"/>
          <w:position w:val="7"/>
          <w:sz w:val="12"/>
        </w:rPr>
        <w:t>89 </w:t>
      </w:r>
      <w:r>
        <w:rPr>
          <w:w w:val="105"/>
          <w:sz w:val="21"/>
        </w:rPr>
        <w:t>These </w:t>
      </w:r>
      <w:r>
        <w:rPr>
          <w:spacing w:val="-3"/>
          <w:w w:val="105"/>
          <w:sz w:val="21"/>
        </w:rPr>
        <w:t>hearings are </w:t>
      </w:r>
      <w:r>
        <w:rPr>
          <w:w w:val="105"/>
          <w:sz w:val="21"/>
        </w:rPr>
        <w:t>conducted </w:t>
      </w:r>
      <w:r>
        <w:rPr>
          <w:spacing w:val="-3"/>
          <w:w w:val="105"/>
          <w:sz w:val="21"/>
        </w:rPr>
        <w:t>internally within </w:t>
      </w:r>
      <w:r>
        <w:rPr>
          <w:spacing w:val="-5"/>
          <w:w w:val="105"/>
          <w:sz w:val="21"/>
        </w:rPr>
        <w:t>VCAT </w:t>
      </w:r>
      <w:r>
        <w:rPr>
          <w:w w:val="105"/>
          <w:sz w:val="21"/>
        </w:rPr>
        <w:t>and </w:t>
      </w:r>
      <w:r>
        <w:rPr>
          <w:spacing w:val="-2"/>
          <w:w w:val="105"/>
          <w:sz w:val="21"/>
        </w:rPr>
        <w:t>not </w:t>
      </w:r>
      <w:r>
        <w:rPr>
          <w:w w:val="105"/>
          <w:sz w:val="21"/>
        </w:rPr>
        <w:t>by a court. If the application is </w:t>
      </w:r>
      <w:r>
        <w:rPr>
          <w:spacing w:val="-3"/>
          <w:w w:val="105"/>
          <w:sz w:val="21"/>
        </w:rPr>
        <w:t>unsuccessful, </w:t>
      </w:r>
      <w:r>
        <w:rPr>
          <w:w w:val="105"/>
          <w:sz w:val="21"/>
        </w:rPr>
        <w:t>the </w:t>
      </w:r>
      <w:r>
        <w:rPr>
          <w:spacing w:val="-3"/>
          <w:w w:val="105"/>
          <w:sz w:val="21"/>
        </w:rPr>
        <w:t>original </w:t>
      </w:r>
      <w:r>
        <w:rPr>
          <w:w w:val="105"/>
          <w:sz w:val="21"/>
        </w:rPr>
        <w:t>order </w:t>
      </w:r>
      <w:r>
        <w:rPr>
          <w:spacing w:val="-3"/>
          <w:w w:val="105"/>
          <w:sz w:val="21"/>
        </w:rPr>
        <w:t>remains </w:t>
      </w:r>
      <w:r>
        <w:rPr>
          <w:w w:val="105"/>
          <w:sz w:val="21"/>
        </w:rPr>
        <w:t>in </w:t>
      </w:r>
      <w:r>
        <w:rPr>
          <w:spacing w:val="-3"/>
          <w:w w:val="105"/>
          <w:sz w:val="21"/>
        </w:rPr>
        <w:t>place.</w:t>
      </w:r>
      <w:r>
        <w:rPr>
          <w:spacing w:val="-3"/>
          <w:w w:val="105"/>
          <w:position w:val="7"/>
          <w:sz w:val="12"/>
        </w:rPr>
        <w:t>90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r>
        <w:rPr/>
        <w:pict>
          <v:line style="position:absolute;mso-position-horizontal-relative:page;mso-position-vertical-relative:paragraph;z-index:8792;mso-wrap-distance-left:0;mso-wrap-distance-right:0" from="79.370102pt,14.294729pt" to="515.905102pt,14.294729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05"/>
        <w:ind w:left="720" w:right="0" w:firstLine="0"/>
        <w:jc w:val="left"/>
        <w:rPr>
          <w:b/>
          <w:sz w:val="24"/>
        </w:rPr>
      </w:pPr>
      <w:r>
        <w:rPr>
          <w:b/>
          <w:color w:val="658464"/>
          <w:w w:val="105"/>
          <w:sz w:val="24"/>
        </w:rPr>
        <w:t>202</w:t>
      </w:r>
    </w:p>
    <w:p>
      <w:pPr>
        <w:pStyle w:val="ListParagraph"/>
        <w:numPr>
          <w:ilvl w:val="0"/>
          <w:numId w:val="144"/>
        </w:numPr>
        <w:tabs>
          <w:tab w:pos="1223" w:val="left" w:leader="none"/>
          <w:tab w:pos="1224" w:val="left" w:leader="none"/>
        </w:tabs>
        <w:spacing w:line="240" w:lineRule="auto" w:before="48" w:after="0"/>
        <w:ind w:left="1223" w:right="0" w:hanging="794"/>
        <w:jc w:val="left"/>
        <w:rPr>
          <w:sz w:val="13"/>
        </w:rPr>
      </w:pPr>
      <w:r>
        <w:rPr>
          <w:i/>
          <w:spacing w:val="3"/>
          <w:w w:val="107"/>
          <w:sz w:val="13"/>
        </w:rPr>
        <w:br w:type="column"/>
      </w:r>
      <w:r>
        <w:rPr>
          <w:i/>
          <w:sz w:val="13"/>
        </w:rPr>
        <w:t>Victorian</w:t>
      </w:r>
      <w:r>
        <w:rPr>
          <w:i/>
          <w:spacing w:val="7"/>
          <w:sz w:val="13"/>
        </w:rPr>
        <w:t> </w:t>
      </w:r>
      <w:r>
        <w:rPr>
          <w:i/>
          <w:sz w:val="13"/>
        </w:rPr>
        <w:t>Civil</w:t>
      </w:r>
      <w:r>
        <w:rPr>
          <w:i/>
          <w:spacing w:val="7"/>
          <w:sz w:val="13"/>
        </w:rPr>
        <w:t> </w:t>
      </w:r>
      <w:r>
        <w:rPr>
          <w:i/>
          <w:sz w:val="13"/>
        </w:rPr>
        <w:t>and</w:t>
      </w:r>
      <w:r>
        <w:rPr>
          <w:i/>
          <w:spacing w:val="7"/>
          <w:sz w:val="13"/>
        </w:rPr>
        <w:t> </w:t>
      </w:r>
      <w:r>
        <w:rPr>
          <w:i/>
          <w:sz w:val="13"/>
        </w:rPr>
        <w:t>Administrative</w:t>
      </w:r>
      <w:r>
        <w:rPr>
          <w:i/>
          <w:spacing w:val="7"/>
          <w:sz w:val="13"/>
        </w:rPr>
        <w:t> </w:t>
      </w:r>
      <w:r>
        <w:rPr>
          <w:i/>
          <w:sz w:val="13"/>
        </w:rPr>
        <w:t>Tribunal</w:t>
      </w:r>
      <w:r>
        <w:rPr>
          <w:i/>
          <w:spacing w:val="7"/>
          <w:sz w:val="13"/>
        </w:rPr>
        <w:t> </w:t>
      </w:r>
      <w:r>
        <w:rPr>
          <w:i/>
          <w:sz w:val="13"/>
        </w:rPr>
        <w:t>Act</w:t>
      </w:r>
      <w:r>
        <w:rPr>
          <w:i/>
          <w:spacing w:val="7"/>
          <w:sz w:val="13"/>
        </w:rPr>
        <w:t> </w:t>
      </w:r>
      <w:r>
        <w:rPr>
          <w:i/>
          <w:sz w:val="13"/>
        </w:rPr>
        <w:t>1998</w:t>
      </w:r>
      <w:r>
        <w:rPr>
          <w:i/>
          <w:spacing w:val="7"/>
          <w:sz w:val="13"/>
        </w:rPr>
        <w:t> </w:t>
      </w:r>
      <w:r>
        <w:rPr>
          <w:spacing w:val="2"/>
          <w:sz w:val="13"/>
        </w:rPr>
        <w:t>(Vic)</w:t>
      </w:r>
      <w:r>
        <w:rPr>
          <w:spacing w:val="7"/>
          <w:sz w:val="13"/>
        </w:rPr>
        <w:t> </w:t>
      </w:r>
      <w:r>
        <w:rPr>
          <w:sz w:val="13"/>
        </w:rPr>
        <w:t>s</w:t>
      </w:r>
      <w:r>
        <w:rPr>
          <w:spacing w:val="7"/>
          <w:sz w:val="13"/>
        </w:rPr>
        <w:t> </w:t>
      </w:r>
      <w:r>
        <w:rPr>
          <w:spacing w:val="2"/>
          <w:sz w:val="13"/>
        </w:rPr>
        <w:t>148(1)(a).</w:t>
      </w:r>
    </w:p>
    <w:p>
      <w:pPr>
        <w:pStyle w:val="ListParagraph"/>
        <w:numPr>
          <w:ilvl w:val="0"/>
          <w:numId w:val="144"/>
        </w:numPr>
        <w:tabs>
          <w:tab w:pos="1223" w:val="left" w:leader="none"/>
          <w:tab w:pos="1224" w:val="left" w:leader="none"/>
        </w:tabs>
        <w:spacing w:line="240" w:lineRule="auto" w:before="1" w:after="0"/>
        <w:ind w:left="1223" w:right="1950" w:hanging="794"/>
        <w:jc w:val="both"/>
        <w:rPr>
          <w:sz w:val="13"/>
        </w:rPr>
      </w:pPr>
      <w:r>
        <w:rPr>
          <w:sz w:val="13"/>
        </w:rPr>
        <w:t>A question of law, also known as a ‘legal error’, is </w:t>
      </w:r>
      <w:r>
        <w:rPr>
          <w:spacing w:val="-3"/>
          <w:sz w:val="13"/>
        </w:rPr>
        <w:t>‘a  </w:t>
      </w:r>
      <w:r>
        <w:rPr>
          <w:sz w:val="13"/>
        </w:rPr>
        <w:t>question to be resolved by applying legal principles, rather than by determining a      factual situation; an issue involving the application or interpretation of a law and reserved for a judge’: Peter Butt </w:t>
      </w:r>
      <w:r>
        <w:rPr>
          <w:spacing w:val="2"/>
          <w:sz w:val="13"/>
        </w:rPr>
        <w:t>(ed), </w:t>
      </w:r>
      <w:r>
        <w:rPr>
          <w:i/>
          <w:sz w:val="13"/>
        </w:rPr>
        <w:t>Butterworths’      </w:t>
      </w:r>
      <w:r>
        <w:rPr>
          <w:i/>
          <w:sz w:val="13"/>
        </w:rPr>
        <w:t>Concise</w:t>
      </w:r>
      <w:r>
        <w:rPr>
          <w:i/>
          <w:spacing w:val="9"/>
          <w:sz w:val="13"/>
        </w:rPr>
        <w:t> </w:t>
      </w:r>
      <w:r>
        <w:rPr>
          <w:i/>
          <w:sz w:val="13"/>
        </w:rPr>
        <w:t>Australian</w:t>
      </w:r>
      <w:r>
        <w:rPr>
          <w:i/>
          <w:spacing w:val="9"/>
          <w:sz w:val="13"/>
        </w:rPr>
        <w:t> </w:t>
      </w:r>
      <w:r>
        <w:rPr>
          <w:i/>
          <w:sz w:val="13"/>
        </w:rPr>
        <w:t>Legal</w:t>
      </w:r>
      <w:r>
        <w:rPr>
          <w:i/>
          <w:spacing w:val="9"/>
          <w:sz w:val="13"/>
        </w:rPr>
        <w:t> </w:t>
      </w:r>
      <w:r>
        <w:rPr>
          <w:i/>
          <w:sz w:val="13"/>
        </w:rPr>
        <w:t>Dictionary</w:t>
      </w:r>
      <w:r>
        <w:rPr>
          <w:i/>
          <w:spacing w:val="9"/>
          <w:sz w:val="13"/>
        </w:rPr>
        <w:t> </w:t>
      </w:r>
      <w:r>
        <w:rPr>
          <w:spacing w:val="2"/>
          <w:sz w:val="13"/>
        </w:rPr>
        <w:t>(LexisNexis/Butterworths,</w:t>
      </w:r>
      <w:r>
        <w:rPr>
          <w:spacing w:val="9"/>
          <w:sz w:val="13"/>
        </w:rPr>
        <w:t> </w:t>
      </w:r>
      <w:r>
        <w:rPr>
          <w:sz w:val="13"/>
        </w:rPr>
        <w:t>3rd</w:t>
      </w:r>
      <w:r>
        <w:rPr>
          <w:spacing w:val="9"/>
          <w:sz w:val="13"/>
        </w:rPr>
        <w:t> </w:t>
      </w:r>
      <w:r>
        <w:rPr>
          <w:sz w:val="13"/>
        </w:rPr>
        <w:t>ed,</w:t>
      </w:r>
      <w:r>
        <w:rPr>
          <w:spacing w:val="9"/>
          <w:sz w:val="13"/>
        </w:rPr>
        <w:t> </w:t>
      </w:r>
      <w:r>
        <w:rPr>
          <w:spacing w:val="2"/>
          <w:sz w:val="13"/>
        </w:rPr>
        <w:t>2004)</w:t>
      </w:r>
      <w:r>
        <w:rPr>
          <w:spacing w:val="9"/>
          <w:sz w:val="13"/>
        </w:rPr>
        <w:t> </w:t>
      </w:r>
      <w:r>
        <w:rPr>
          <w:sz w:val="13"/>
        </w:rPr>
        <w:t>‘question</w:t>
      </w:r>
      <w:r>
        <w:rPr>
          <w:spacing w:val="9"/>
          <w:sz w:val="13"/>
        </w:rPr>
        <w:t> </w:t>
      </w:r>
      <w:r>
        <w:rPr>
          <w:sz w:val="13"/>
        </w:rPr>
        <w:t>of</w:t>
      </w:r>
      <w:r>
        <w:rPr>
          <w:spacing w:val="9"/>
          <w:sz w:val="13"/>
        </w:rPr>
        <w:t> </w:t>
      </w:r>
      <w:r>
        <w:rPr>
          <w:sz w:val="13"/>
        </w:rPr>
        <w:t>law’.</w:t>
      </w:r>
    </w:p>
    <w:p>
      <w:pPr>
        <w:pStyle w:val="ListParagraph"/>
        <w:numPr>
          <w:ilvl w:val="0"/>
          <w:numId w:val="144"/>
        </w:numPr>
        <w:tabs>
          <w:tab w:pos="1223" w:val="left" w:leader="none"/>
          <w:tab w:pos="1224" w:val="left" w:leader="none"/>
        </w:tabs>
        <w:spacing w:line="240" w:lineRule="auto" w:before="4" w:after="0"/>
        <w:ind w:left="1223" w:right="2069" w:hanging="794"/>
        <w:jc w:val="left"/>
        <w:rPr>
          <w:sz w:val="13"/>
        </w:rPr>
      </w:pPr>
      <w:r>
        <w:rPr>
          <w:sz w:val="13"/>
        </w:rPr>
        <w:t>The president of VCAT is a judge of the Supreme Court; vice-presidents of VCAT are judges of the County Court: </w:t>
      </w:r>
      <w:r>
        <w:rPr>
          <w:i/>
          <w:sz w:val="13"/>
        </w:rPr>
        <w:t>Victorian Civil and </w:t>
      </w:r>
      <w:r>
        <w:rPr>
          <w:i/>
          <w:sz w:val="13"/>
        </w:rPr>
        <w:t>Administrative</w:t>
      </w:r>
      <w:r>
        <w:rPr>
          <w:i/>
          <w:spacing w:val="7"/>
          <w:sz w:val="13"/>
        </w:rPr>
        <w:t> </w:t>
      </w:r>
      <w:r>
        <w:rPr>
          <w:i/>
          <w:sz w:val="13"/>
        </w:rPr>
        <w:t>Tribunal</w:t>
      </w:r>
      <w:r>
        <w:rPr>
          <w:i/>
          <w:spacing w:val="7"/>
          <w:sz w:val="13"/>
        </w:rPr>
        <w:t> </w:t>
      </w:r>
      <w:r>
        <w:rPr>
          <w:i/>
          <w:sz w:val="13"/>
        </w:rPr>
        <w:t>Act</w:t>
      </w:r>
      <w:r>
        <w:rPr>
          <w:i/>
          <w:spacing w:val="7"/>
          <w:sz w:val="13"/>
        </w:rPr>
        <w:t> </w:t>
      </w:r>
      <w:r>
        <w:rPr>
          <w:i/>
          <w:sz w:val="13"/>
        </w:rPr>
        <w:t>1998</w:t>
      </w:r>
      <w:r>
        <w:rPr>
          <w:i/>
          <w:spacing w:val="7"/>
          <w:sz w:val="13"/>
        </w:rPr>
        <w:t> </w:t>
      </w:r>
      <w:r>
        <w:rPr>
          <w:spacing w:val="2"/>
          <w:sz w:val="13"/>
        </w:rPr>
        <w:t>(Vic)</w:t>
      </w:r>
      <w:r>
        <w:rPr>
          <w:spacing w:val="7"/>
          <w:sz w:val="13"/>
        </w:rPr>
        <w:t> </w:t>
      </w:r>
      <w:r>
        <w:rPr>
          <w:sz w:val="13"/>
        </w:rPr>
        <w:t>ss</w:t>
      </w:r>
      <w:r>
        <w:rPr>
          <w:spacing w:val="7"/>
          <w:sz w:val="13"/>
        </w:rPr>
        <w:t> </w:t>
      </w:r>
      <w:r>
        <w:rPr>
          <w:sz w:val="13"/>
        </w:rPr>
        <w:t>10(1);</w:t>
      </w:r>
      <w:r>
        <w:rPr>
          <w:spacing w:val="7"/>
          <w:sz w:val="13"/>
        </w:rPr>
        <w:t> </w:t>
      </w:r>
      <w:r>
        <w:rPr>
          <w:sz w:val="13"/>
        </w:rPr>
        <w:t>11(2).</w:t>
      </w:r>
    </w:p>
    <w:p>
      <w:pPr>
        <w:pStyle w:val="ListParagraph"/>
        <w:numPr>
          <w:ilvl w:val="0"/>
          <w:numId w:val="144"/>
        </w:numPr>
        <w:tabs>
          <w:tab w:pos="1223" w:val="left" w:leader="none"/>
          <w:tab w:pos="1224" w:val="left" w:leader="none"/>
        </w:tabs>
        <w:spacing w:line="240" w:lineRule="auto" w:before="3" w:after="0"/>
        <w:ind w:left="429" w:right="5631" w:firstLine="0"/>
        <w:jc w:val="left"/>
        <w:rPr>
          <w:sz w:val="13"/>
        </w:rPr>
      </w:pPr>
      <w:r>
        <w:rPr>
          <w:i/>
          <w:sz w:val="13"/>
        </w:rPr>
        <w:t>Victorian Civil and Administrative Tribunal  Act  1998  </w:t>
      </w:r>
      <w:r>
        <w:rPr>
          <w:spacing w:val="2"/>
          <w:sz w:val="13"/>
        </w:rPr>
        <w:t>(Vic) </w:t>
      </w:r>
      <w:r>
        <w:rPr>
          <w:sz w:val="13"/>
        </w:rPr>
        <w:t>s  </w:t>
      </w:r>
      <w:r>
        <w:rPr>
          <w:spacing w:val="2"/>
          <w:sz w:val="13"/>
        </w:rPr>
        <w:t>148(1)(a). </w:t>
      </w:r>
      <w:r>
        <w:rPr>
          <w:sz w:val="13"/>
        </w:rPr>
        <w:t>81</w:t>
        <w:tab/>
        <w:t>Ibid s</w:t>
      </w:r>
      <w:r>
        <w:rPr>
          <w:spacing w:val="12"/>
          <w:sz w:val="13"/>
        </w:rPr>
        <w:t> </w:t>
      </w:r>
      <w:r>
        <w:rPr>
          <w:spacing w:val="2"/>
          <w:sz w:val="13"/>
        </w:rPr>
        <w:t>148(1)(b).</w:t>
      </w:r>
    </w:p>
    <w:p>
      <w:pPr>
        <w:pStyle w:val="ListParagraph"/>
        <w:numPr>
          <w:ilvl w:val="0"/>
          <w:numId w:val="146"/>
        </w:numPr>
        <w:tabs>
          <w:tab w:pos="1223" w:val="left" w:leader="none"/>
          <w:tab w:pos="1224" w:val="left" w:leader="none"/>
        </w:tabs>
        <w:spacing w:line="240" w:lineRule="auto" w:before="3" w:after="0"/>
        <w:ind w:left="1223" w:right="1682" w:hanging="794"/>
        <w:jc w:val="left"/>
        <w:rPr>
          <w:sz w:val="13"/>
        </w:rPr>
      </w:pPr>
      <w:r>
        <w:rPr>
          <w:w w:val="105"/>
          <w:sz w:val="13"/>
        </w:rPr>
        <w:t>Ibid s </w:t>
      </w:r>
      <w:r>
        <w:rPr>
          <w:spacing w:val="2"/>
          <w:w w:val="105"/>
          <w:sz w:val="13"/>
        </w:rPr>
        <w:t>148(2); </w:t>
      </w:r>
      <w:r>
        <w:rPr>
          <w:i/>
          <w:w w:val="105"/>
          <w:sz w:val="13"/>
        </w:rPr>
        <w:t>Supreme Court (Miscellaneous Civil Proceedings) Rules </w:t>
      </w:r>
      <w:r>
        <w:rPr>
          <w:i/>
          <w:spacing w:val="-3"/>
          <w:w w:val="105"/>
          <w:sz w:val="13"/>
        </w:rPr>
        <w:t>2018 </w:t>
      </w:r>
      <w:r>
        <w:rPr>
          <w:spacing w:val="2"/>
          <w:w w:val="105"/>
          <w:sz w:val="13"/>
        </w:rPr>
        <w:t>(Vic) </w:t>
      </w:r>
      <w:r>
        <w:rPr>
          <w:w w:val="105"/>
          <w:sz w:val="13"/>
        </w:rPr>
        <w:t>ord </w:t>
      </w:r>
      <w:r>
        <w:rPr>
          <w:spacing w:val="2"/>
          <w:w w:val="105"/>
          <w:sz w:val="13"/>
        </w:rPr>
        <w:t>4; </w:t>
      </w:r>
      <w:r>
        <w:rPr>
          <w:i/>
          <w:w w:val="105"/>
          <w:sz w:val="13"/>
        </w:rPr>
        <w:t>Supreme Court (General Civil Procedure) Rules </w:t>
      </w:r>
      <w:r>
        <w:rPr>
          <w:i/>
          <w:spacing w:val="-3"/>
          <w:w w:val="105"/>
          <w:sz w:val="13"/>
        </w:rPr>
        <w:t>2015 </w:t>
      </w:r>
      <w:r>
        <w:rPr>
          <w:spacing w:val="2"/>
          <w:w w:val="105"/>
          <w:sz w:val="13"/>
        </w:rPr>
        <w:t>(Vic) </w:t>
      </w:r>
      <w:r>
        <w:rPr>
          <w:w w:val="105"/>
          <w:sz w:val="13"/>
        </w:rPr>
        <w:t>ord </w:t>
      </w:r>
      <w:r>
        <w:rPr>
          <w:spacing w:val="2"/>
          <w:w w:val="105"/>
          <w:sz w:val="13"/>
        </w:rPr>
        <w:t>64. </w:t>
      </w:r>
      <w:r>
        <w:rPr>
          <w:w w:val="105"/>
          <w:sz w:val="13"/>
        </w:rPr>
        <w:t>See also order 64.19 of the </w:t>
      </w:r>
      <w:r>
        <w:rPr>
          <w:i/>
          <w:w w:val="105"/>
          <w:sz w:val="13"/>
        </w:rPr>
        <w:t>Supreme Court (General Civil Procedure) Rules </w:t>
      </w:r>
      <w:r>
        <w:rPr>
          <w:i/>
          <w:spacing w:val="-3"/>
          <w:w w:val="105"/>
          <w:sz w:val="13"/>
        </w:rPr>
        <w:t>2015 </w:t>
      </w:r>
      <w:r>
        <w:rPr>
          <w:spacing w:val="2"/>
          <w:w w:val="105"/>
          <w:sz w:val="13"/>
        </w:rPr>
        <w:t>(Vic), </w:t>
      </w:r>
      <w:r>
        <w:rPr>
          <w:w w:val="105"/>
          <w:sz w:val="13"/>
        </w:rPr>
        <w:t>which permits the Court of Appeal constituted</w:t>
      </w:r>
      <w:r>
        <w:rPr>
          <w:spacing w:val="4"/>
          <w:w w:val="105"/>
          <w:sz w:val="13"/>
        </w:rPr>
        <w:t> </w:t>
      </w:r>
      <w:r>
        <w:rPr>
          <w:w w:val="105"/>
          <w:sz w:val="13"/>
        </w:rPr>
        <w:t>by</w:t>
      </w:r>
      <w:r>
        <w:rPr>
          <w:spacing w:val="5"/>
          <w:w w:val="105"/>
          <w:sz w:val="13"/>
        </w:rPr>
        <w:t> </w:t>
      </w:r>
      <w:r>
        <w:rPr>
          <w:w w:val="105"/>
          <w:sz w:val="13"/>
        </w:rPr>
        <w:t>two</w:t>
      </w:r>
      <w:r>
        <w:rPr>
          <w:spacing w:val="4"/>
          <w:w w:val="105"/>
          <w:sz w:val="13"/>
        </w:rPr>
        <w:t> </w:t>
      </w:r>
      <w:r>
        <w:rPr>
          <w:w w:val="105"/>
          <w:sz w:val="13"/>
        </w:rPr>
        <w:t>or</w:t>
      </w:r>
      <w:r>
        <w:rPr>
          <w:spacing w:val="5"/>
          <w:w w:val="105"/>
          <w:sz w:val="13"/>
        </w:rPr>
        <w:t> </w:t>
      </w:r>
      <w:r>
        <w:rPr>
          <w:w w:val="105"/>
          <w:sz w:val="13"/>
        </w:rPr>
        <w:t>more</w:t>
      </w:r>
      <w:r>
        <w:rPr>
          <w:spacing w:val="4"/>
          <w:w w:val="105"/>
          <w:sz w:val="13"/>
        </w:rPr>
        <w:t> </w:t>
      </w:r>
      <w:r>
        <w:rPr>
          <w:w w:val="105"/>
          <w:sz w:val="13"/>
        </w:rPr>
        <w:t>judges</w:t>
      </w:r>
      <w:r>
        <w:rPr>
          <w:spacing w:val="5"/>
          <w:w w:val="105"/>
          <w:sz w:val="13"/>
        </w:rPr>
        <w:t> </w:t>
      </w:r>
      <w:r>
        <w:rPr>
          <w:w w:val="105"/>
          <w:sz w:val="13"/>
        </w:rPr>
        <w:t>to</w:t>
      </w:r>
      <w:r>
        <w:rPr>
          <w:spacing w:val="5"/>
          <w:w w:val="105"/>
          <w:sz w:val="13"/>
        </w:rPr>
        <w:t> </w:t>
      </w:r>
      <w:r>
        <w:rPr>
          <w:w w:val="105"/>
          <w:sz w:val="13"/>
        </w:rPr>
        <w:t>treat</w:t>
      </w:r>
      <w:r>
        <w:rPr>
          <w:spacing w:val="4"/>
          <w:w w:val="105"/>
          <w:sz w:val="13"/>
        </w:rPr>
        <w:t> </w:t>
      </w:r>
      <w:r>
        <w:rPr>
          <w:w w:val="105"/>
          <w:sz w:val="13"/>
        </w:rPr>
        <w:t>an</w:t>
      </w:r>
      <w:r>
        <w:rPr>
          <w:spacing w:val="5"/>
          <w:w w:val="105"/>
          <w:sz w:val="13"/>
        </w:rPr>
        <w:t> </w:t>
      </w:r>
      <w:r>
        <w:rPr>
          <w:w w:val="105"/>
          <w:sz w:val="13"/>
        </w:rPr>
        <w:t>application</w:t>
      </w:r>
      <w:r>
        <w:rPr>
          <w:spacing w:val="4"/>
          <w:w w:val="105"/>
          <w:sz w:val="13"/>
        </w:rPr>
        <w:t> </w:t>
      </w:r>
      <w:r>
        <w:rPr>
          <w:w w:val="105"/>
          <w:sz w:val="13"/>
        </w:rPr>
        <w:t>for</w:t>
      </w:r>
      <w:r>
        <w:rPr>
          <w:spacing w:val="5"/>
          <w:w w:val="105"/>
          <w:sz w:val="13"/>
        </w:rPr>
        <w:t> </w:t>
      </w:r>
      <w:r>
        <w:rPr>
          <w:w w:val="105"/>
          <w:sz w:val="13"/>
        </w:rPr>
        <w:t>leave</w:t>
      </w:r>
      <w:r>
        <w:rPr>
          <w:spacing w:val="5"/>
          <w:w w:val="105"/>
          <w:sz w:val="13"/>
        </w:rPr>
        <w:t> </w:t>
      </w:r>
      <w:r>
        <w:rPr>
          <w:w w:val="105"/>
          <w:sz w:val="13"/>
        </w:rPr>
        <w:t>to</w:t>
      </w:r>
      <w:r>
        <w:rPr>
          <w:spacing w:val="4"/>
          <w:w w:val="105"/>
          <w:sz w:val="13"/>
        </w:rPr>
        <w:t> </w:t>
      </w:r>
      <w:r>
        <w:rPr>
          <w:w w:val="105"/>
          <w:sz w:val="13"/>
        </w:rPr>
        <w:t>appeal</w:t>
      </w:r>
      <w:r>
        <w:rPr>
          <w:spacing w:val="5"/>
          <w:w w:val="105"/>
          <w:sz w:val="13"/>
        </w:rPr>
        <w:t> </w:t>
      </w:r>
      <w:r>
        <w:rPr>
          <w:w w:val="105"/>
          <w:sz w:val="13"/>
        </w:rPr>
        <w:t>as</w:t>
      </w:r>
      <w:r>
        <w:rPr>
          <w:spacing w:val="4"/>
          <w:w w:val="105"/>
          <w:sz w:val="13"/>
        </w:rPr>
        <w:t> </w:t>
      </w:r>
      <w:r>
        <w:rPr>
          <w:w w:val="105"/>
          <w:sz w:val="13"/>
        </w:rPr>
        <w:t>the</w:t>
      </w:r>
      <w:r>
        <w:rPr>
          <w:spacing w:val="5"/>
          <w:w w:val="105"/>
          <w:sz w:val="13"/>
        </w:rPr>
        <w:t> </w:t>
      </w:r>
      <w:r>
        <w:rPr>
          <w:w w:val="105"/>
          <w:sz w:val="13"/>
        </w:rPr>
        <w:t>hearing</w:t>
      </w:r>
      <w:r>
        <w:rPr>
          <w:spacing w:val="4"/>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appeal.</w:t>
      </w:r>
    </w:p>
    <w:p>
      <w:pPr>
        <w:pStyle w:val="ListParagraph"/>
        <w:numPr>
          <w:ilvl w:val="0"/>
          <w:numId w:val="146"/>
        </w:numPr>
        <w:tabs>
          <w:tab w:pos="1223" w:val="left" w:leader="none"/>
          <w:tab w:pos="1224" w:val="left" w:leader="none"/>
        </w:tabs>
        <w:spacing w:line="240" w:lineRule="auto" w:before="4" w:after="0"/>
        <w:ind w:left="1223" w:right="0" w:hanging="794"/>
        <w:jc w:val="left"/>
        <w:rPr>
          <w:sz w:val="13"/>
        </w:rPr>
      </w:pPr>
      <w:r>
        <w:rPr>
          <w:i/>
          <w:sz w:val="13"/>
        </w:rPr>
        <w:t>Victorian</w:t>
      </w:r>
      <w:r>
        <w:rPr>
          <w:i/>
          <w:spacing w:val="7"/>
          <w:sz w:val="13"/>
        </w:rPr>
        <w:t> </w:t>
      </w:r>
      <w:r>
        <w:rPr>
          <w:i/>
          <w:sz w:val="13"/>
        </w:rPr>
        <w:t>Civil</w:t>
      </w:r>
      <w:r>
        <w:rPr>
          <w:i/>
          <w:spacing w:val="7"/>
          <w:sz w:val="13"/>
        </w:rPr>
        <w:t> </w:t>
      </w:r>
      <w:r>
        <w:rPr>
          <w:i/>
          <w:sz w:val="13"/>
        </w:rPr>
        <w:t>and</w:t>
      </w:r>
      <w:r>
        <w:rPr>
          <w:i/>
          <w:spacing w:val="7"/>
          <w:sz w:val="13"/>
        </w:rPr>
        <w:t> </w:t>
      </w:r>
      <w:r>
        <w:rPr>
          <w:i/>
          <w:sz w:val="13"/>
        </w:rPr>
        <w:t>Administrative</w:t>
      </w:r>
      <w:r>
        <w:rPr>
          <w:i/>
          <w:spacing w:val="7"/>
          <w:sz w:val="13"/>
        </w:rPr>
        <w:t> </w:t>
      </w:r>
      <w:r>
        <w:rPr>
          <w:i/>
          <w:sz w:val="13"/>
        </w:rPr>
        <w:t>Tribunal</w:t>
      </w:r>
      <w:r>
        <w:rPr>
          <w:i/>
          <w:spacing w:val="7"/>
          <w:sz w:val="13"/>
        </w:rPr>
        <w:t> </w:t>
      </w:r>
      <w:r>
        <w:rPr>
          <w:i/>
          <w:sz w:val="13"/>
        </w:rPr>
        <w:t>Act</w:t>
      </w:r>
      <w:r>
        <w:rPr>
          <w:i/>
          <w:spacing w:val="7"/>
          <w:sz w:val="13"/>
        </w:rPr>
        <w:t> </w:t>
      </w:r>
      <w:r>
        <w:rPr>
          <w:i/>
          <w:sz w:val="13"/>
        </w:rPr>
        <w:t>1998</w:t>
      </w:r>
      <w:r>
        <w:rPr>
          <w:i/>
          <w:spacing w:val="7"/>
          <w:sz w:val="13"/>
        </w:rPr>
        <w:t> </w:t>
      </w:r>
      <w:r>
        <w:rPr>
          <w:spacing w:val="2"/>
          <w:sz w:val="13"/>
        </w:rPr>
        <w:t>(Vic)</w:t>
      </w:r>
      <w:r>
        <w:rPr>
          <w:spacing w:val="7"/>
          <w:sz w:val="13"/>
        </w:rPr>
        <w:t> </w:t>
      </w:r>
      <w:r>
        <w:rPr>
          <w:sz w:val="13"/>
        </w:rPr>
        <w:t>s</w:t>
      </w:r>
      <w:r>
        <w:rPr>
          <w:spacing w:val="7"/>
          <w:sz w:val="13"/>
        </w:rPr>
        <w:t> </w:t>
      </w:r>
      <w:r>
        <w:rPr>
          <w:spacing w:val="4"/>
          <w:sz w:val="13"/>
        </w:rPr>
        <w:t>148(7)(a)–(d).</w:t>
      </w:r>
    </w:p>
    <w:p>
      <w:pPr>
        <w:pStyle w:val="ListParagraph"/>
        <w:numPr>
          <w:ilvl w:val="0"/>
          <w:numId w:val="146"/>
        </w:numPr>
        <w:tabs>
          <w:tab w:pos="1223" w:val="left" w:leader="none"/>
          <w:tab w:pos="1224" w:val="left" w:leader="none"/>
        </w:tabs>
        <w:spacing w:line="240" w:lineRule="auto" w:before="1" w:after="0"/>
        <w:ind w:left="1223" w:right="0" w:hanging="794"/>
        <w:jc w:val="left"/>
        <w:rPr>
          <w:sz w:val="13"/>
        </w:rPr>
      </w:pPr>
      <w:r>
        <w:rPr>
          <w:w w:val="105"/>
          <w:sz w:val="13"/>
        </w:rPr>
        <w:t>Victorian</w:t>
      </w:r>
      <w:r>
        <w:rPr>
          <w:spacing w:val="4"/>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5"/>
          <w:w w:val="105"/>
          <w:sz w:val="13"/>
        </w:rPr>
        <w:t> </w:t>
      </w:r>
      <w:r>
        <w:rPr>
          <w:w w:val="105"/>
          <w:sz w:val="13"/>
        </w:rPr>
        <w:t>Tribunal,</w:t>
      </w:r>
      <w:r>
        <w:rPr>
          <w:spacing w:val="5"/>
          <w:w w:val="105"/>
          <w:sz w:val="13"/>
        </w:rPr>
        <w:t> </w:t>
      </w:r>
      <w:r>
        <w:rPr>
          <w:i/>
          <w:w w:val="105"/>
          <w:sz w:val="13"/>
        </w:rPr>
        <w:t>Annual</w:t>
      </w:r>
      <w:r>
        <w:rPr>
          <w:i/>
          <w:spacing w:val="5"/>
          <w:w w:val="105"/>
          <w:sz w:val="13"/>
        </w:rPr>
        <w:t> </w:t>
      </w:r>
      <w:r>
        <w:rPr>
          <w:i/>
          <w:spacing w:val="2"/>
          <w:w w:val="105"/>
          <w:sz w:val="13"/>
        </w:rPr>
        <w:t>Report</w:t>
      </w:r>
      <w:r>
        <w:rPr>
          <w:i/>
          <w:spacing w:val="4"/>
          <w:w w:val="105"/>
          <w:sz w:val="13"/>
        </w:rPr>
        <w:t> </w:t>
      </w:r>
      <w:r>
        <w:rPr>
          <w:i/>
          <w:spacing w:val="-3"/>
          <w:w w:val="105"/>
          <w:sz w:val="13"/>
        </w:rPr>
        <w:t>2017–2018</w:t>
      </w:r>
      <w:r>
        <w:rPr>
          <w:i/>
          <w:spacing w:val="5"/>
          <w:w w:val="105"/>
          <w:sz w:val="13"/>
        </w:rPr>
        <w:t> </w:t>
      </w:r>
      <w:r>
        <w:rPr>
          <w:spacing w:val="2"/>
          <w:w w:val="105"/>
          <w:sz w:val="13"/>
        </w:rPr>
        <w:t>(Report,</w:t>
      </w:r>
      <w:r>
        <w:rPr>
          <w:spacing w:val="5"/>
          <w:w w:val="105"/>
          <w:sz w:val="13"/>
        </w:rPr>
        <w:t> </w:t>
      </w:r>
      <w:r>
        <w:rPr>
          <w:w w:val="105"/>
          <w:sz w:val="13"/>
        </w:rPr>
        <w:t>2018)</w:t>
      </w:r>
      <w:r>
        <w:rPr>
          <w:spacing w:val="5"/>
          <w:w w:val="105"/>
          <w:sz w:val="13"/>
        </w:rPr>
        <w:t> </w:t>
      </w:r>
      <w:r>
        <w:rPr>
          <w:w w:val="105"/>
          <w:sz w:val="13"/>
        </w:rPr>
        <w:t>82.</w:t>
      </w:r>
    </w:p>
    <w:p>
      <w:pPr>
        <w:pStyle w:val="ListParagraph"/>
        <w:numPr>
          <w:ilvl w:val="0"/>
          <w:numId w:val="146"/>
        </w:numPr>
        <w:tabs>
          <w:tab w:pos="1223" w:val="left" w:leader="none"/>
          <w:tab w:pos="1224" w:val="left" w:leader="none"/>
        </w:tabs>
        <w:spacing w:line="240" w:lineRule="auto" w:before="1" w:after="0"/>
        <w:ind w:left="429" w:right="5947" w:firstLine="0"/>
        <w:jc w:val="left"/>
        <w:rPr>
          <w:sz w:val="13"/>
        </w:rPr>
      </w:pPr>
      <w:r>
        <w:rPr>
          <w:i/>
          <w:w w:val="105"/>
          <w:sz w:val="13"/>
        </w:rPr>
        <w:t>Victorian Civil and Administrative Tribunal Act 1998 </w:t>
      </w:r>
      <w:r>
        <w:rPr>
          <w:spacing w:val="2"/>
          <w:w w:val="105"/>
          <w:sz w:val="13"/>
        </w:rPr>
        <w:t>(Vic) </w:t>
      </w:r>
      <w:r>
        <w:rPr>
          <w:w w:val="105"/>
          <w:sz w:val="13"/>
        </w:rPr>
        <w:t>s 120. 86</w:t>
        <w:tab/>
        <w:t>Ibid s</w:t>
      </w:r>
      <w:r>
        <w:rPr>
          <w:spacing w:val="8"/>
          <w:w w:val="105"/>
          <w:sz w:val="13"/>
        </w:rPr>
        <w:t> </w:t>
      </w:r>
      <w:r>
        <w:rPr>
          <w:spacing w:val="3"/>
          <w:w w:val="105"/>
          <w:sz w:val="13"/>
        </w:rPr>
        <w:t>120(4)(b).</w:t>
      </w:r>
    </w:p>
    <w:p>
      <w:pPr>
        <w:pStyle w:val="ListParagraph"/>
        <w:numPr>
          <w:ilvl w:val="0"/>
          <w:numId w:val="147"/>
        </w:numPr>
        <w:tabs>
          <w:tab w:pos="1223" w:val="left" w:leader="none"/>
          <w:tab w:pos="1224" w:val="left" w:leader="none"/>
        </w:tabs>
        <w:spacing w:line="240" w:lineRule="auto" w:before="3" w:after="0"/>
        <w:ind w:left="1223" w:right="1624" w:hanging="794"/>
        <w:jc w:val="left"/>
        <w:rPr>
          <w:sz w:val="13"/>
        </w:rPr>
      </w:pPr>
      <w:r>
        <w:rPr>
          <w:w w:val="105"/>
          <w:sz w:val="13"/>
        </w:rPr>
        <w:t>Ibid s 120(1). A person seeking to reopen an order must apply and obtain the leave of VCAT within </w:t>
      </w:r>
      <w:r>
        <w:rPr>
          <w:spacing w:val="-3"/>
          <w:w w:val="105"/>
          <w:sz w:val="13"/>
        </w:rPr>
        <w:t>14 </w:t>
      </w:r>
      <w:r>
        <w:rPr>
          <w:w w:val="105"/>
          <w:sz w:val="13"/>
        </w:rPr>
        <w:t>days after they become aware of the order:</w:t>
      </w:r>
      <w:r>
        <w:rPr>
          <w:spacing w:val="4"/>
          <w:w w:val="105"/>
          <w:sz w:val="13"/>
        </w:rPr>
        <w:t> </w:t>
      </w:r>
      <w:r>
        <w:rPr>
          <w:i/>
          <w:w w:val="105"/>
          <w:sz w:val="13"/>
        </w:rPr>
        <w:t>Victorian</w:t>
      </w:r>
      <w:r>
        <w:rPr>
          <w:i/>
          <w:spacing w:val="5"/>
          <w:w w:val="105"/>
          <w:sz w:val="13"/>
        </w:rPr>
        <w:t> </w:t>
      </w:r>
      <w:r>
        <w:rPr>
          <w:i/>
          <w:w w:val="105"/>
          <w:sz w:val="13"/>
        </w:rPr>
        <w:t>Civil</w:t>
      </w:r>
      <w:r>
        <w:rPr>
          <w:i/>
          <w:spacing w:val="5"/>
          <w:w w:val="105"/>
          <w:sz w:val="13"/>
        </w:rPr>
        <w:t> </w:t>
      </w:r>
      <w:r>
        <w:rPr>
          <w:i/>
          <w:w w:val="105"/>
          <w:sz w:val="13"/>
        </w:rPr>
        <w:t>and</w:t>
      </w:r>
      <w:r>
        <w:rPr>
          <w:i/>
          <w:spacing w:val="4"/>
          <w:w w:val="105"/>
          <w:sz w:val="13"/>
        </w:rPr>
        <w:t> </w:t>
      </w:r>
      <w:r>
        <w:rPr>
          <w:i/>
          <w:w w:val="105"/>
          <w:sz w:val="13"/>
        </w:rPr>
        <w:t>Administrative</w:t>
      </w:r>
      <w:r>
        <w:rPr>
          <w:i/>
          <w:spacing w:val="5"/>
          <w:w w:val="105"/>
          <w:sz w:val="13"/>
        </w:rPr>
        <w:t> </w:t>
      </w:r>
      <w:r>
        <w:rPr>
          <w:i/>
          <w:w w:val="105"/>
          <w:sz w:val="13"/>
        </w:rPr>
        <w:t>Tribunal</w:t>
      </w:r>
      <w:r>
        <w:rPr>
          <w:i/>
          <w:spacing w:val="5"/>
          <w:w w:val="105"/>
          <w:sz w:val="13"/>
        </w:rPr>
        <w:t> </w:t>
      </w:r>
      <w:r>
        <w:rPr>
          <w:i/>
          <w:w w:val="105"/>
          <w:sz w:val="13"/>
        </w:rPr>
        <w:t>Rules</w:t>
      </w:r>
      <w:r>
        <w:rPr>
          <w:i/>
          <w:spacing w:val="5"/>
          <w:w w:val="105"/>
          <w:sz w:val="13"/>
        </w:rPr>
        <w:t> </w:t>
      </w:r>
      <w:r>
        <w:rPr>
          <w:i/>
          <w:spacing w:val="-3"/>
          <w:w w:val="105"/>
          <w:sz w:val="13"/>
        </w:rPr>
        <w:t>2018</w:t>
      </w:r>
      <w:r>
        <w:rPr>
          <w:i/>
          <w:spacing w:val="4"/>
          <w:w w:val="105"/>
          <w:sz w:val="13"/>
        </w:rPr>
        <w:t> </w:t>
      </w:r>
      <w:r>
        <w:rPr>
          <w:spacing w:val="2"/>
          <w:w w:val="105"/>
          <w:sz w:val="13"/>
        </w:rPr>
        <w:t>(Vic)</w:t>
      </w:r>
      <w:r>
        <w:rPr>
          <w:spacing w:val="5"/>
          <w:w w:val="105"/>
          <w:sz w:val="13"/>
        </w:rPr>
        <w:t> </w:t>
      </w:r>
      <w:r>
        <w:rPr>
          <w:w w:val="105"/>
          <w:sz w:val="13"/>
        </w:rPr>
        <w:t>reg</w:t>
      </w:r>
      <w:r>
        <w:rPr>
          <w:spacing w:val="5"/>
          <w:w w:val="105"/>
          <w:sz w:val="13"/>
        </w:rPr>
        <w:t> </w:t>
      </w:r>
      <w:r>
        <w:rPr>
          <w:w w:val="105"/>
          <w:sz w:val="13"/>
        </w:rPr>
        <w:t>4.24(1).</w:t>
      </w:r>
    </w:p>
    <w:p>
      <w:pPr>
        <w:pStyle w:val="ListParagraph"/>
        <w:numPr>
          <w:ilvl w:val="0"/>
          <w:numId w:val="147"/>
        </w:numPr>
        <w:tabs>
          <w:tab w:pos="1223" w:val="left" w:leader="none"/>
          <w:tab w:pos="1224" w:val="left" w:leader="none"/>
        </w:tabs>
        <w:spacing w:line="240" w:lineRule="auto" w:before="3" w:after="0"/>
        <w:ind w:left="1223" w:right="1585" w:hanging="794"/>
        <w:jc w:val="left"/>
        <w:rPr>
          <w:sz w:val="13"/>
        </w:rPr>
      </w:pPr>
      <w:r>
        <w:rPr>
          <w:sz w:val="13"/>
        </w:rPr>
        <w:t>VCAT must also consider whether the applicant had a reasonable case to argue in relation to the subject matter of the order as well as any     prejudice that may be caused to another </w:t>
      </w:r>
      <w:r>
        <w:rPr>
          <w:spacing w:val="2"/>
          <w:sz w:val="13"/>
        </w:rPr>
        <w:t>party </w:t>
      </w:r>
      <w:r>
        <w:rPr>
          <w:sz w:val="13"/>
        </w:rPr>
        <w:t>if the application is heard and determined: See </w:t>
      </w:r>
      <w:r>
        <w:rPr>
          <w:i/>
          <w:sz w:val="13"/>
        </w:rPr>
        <w:t>Victorian Civil and Administrative Tribunal Act         </w:t>
      </w:r>
      <w:r>
        <w:rPr>
          <w:i/>
          <w:sz w:val="13"/>
        </w:rPr>
        <w:t>1998 </w:t>
      </w:r>
      <w:r>
        <w:rPr>
          <w:spacing w:val="2"/>
          <w:sz w:val="13"/>
        </w:rPr>
        <w:t>(Vic) </w:t>
      </w:r>
      <w:r>
        <w:rPr>
          <w:sz w:val="13"/>
        </w:rPr>
        <w:t>ss </w:t>
      </w:r>
      <w:r>
        <w:rPr>
          <w:spacing w:val="3"/>
          <w:sz w:val="13"/>
        </w:rPr>
        <w:t>120(4)(a)(i), </w:t>
      </w:r>
      <w:r>
        <w:rPr>
          <w:spacing w:val="2"/>
          <w:sz w:val="13"/>
        </w:rPr>
        <w:t>(ii),</w:t>
      </w:r>
      <w:r>
        <w:rPr>
          <w:spacing w:val="27"/>
          <w:sz w:val="13"/>
        </w:rPr>
        <w:t> </w:t>
      </w:r>
      <w:r>
        <w:rPr>
          <w:sz w:val="13"/>
        </w:rPr>
        <w:t>120(4A).</w:t>
      </w:r>
    </w:p>
    <w:p>
      <w:pPr>
        <w:pStyle w:val="ListParagraph"/>
        <w:numPr>
          <w:ilvl w:val="0"/>
          <w:numId w:val="147"/>
        </w:numPr>
        <w:tabs>
          <w:tab w:pos="1223" w:val="left" w:leader="none"/>
          <w:tab w:pos="1224" w:val="left" w:leader="none"/>
        </w:tabs>
        <w:spacing w:line="240" w:lineRule="auto" w:before="4" w:after="0"/>
        <w:ind w:left="1223" w:right="1774" w:hanging="794"/>
        <w:jc w:val="left"/>
        <w:rPr>
          <w:sz w:val="13"/>
        </w:rPr>
      </w:pPr>
      <w:r>
        <w:rPr>
          <w:w w:val="105"/>
          <w:sz w:val="13"/>
        </w:rPr>
        <w:t>Victorian Civil and Administrative Tribunal, ‘Application to Reopen An Order (Application for Review Section 120)’, </w:t>
      </w:r>
      <w:r>
        <w:rPr>
          <w:i/>
          <w:w w:val="105"/>
          <w:sz w:val="13"/>
        </w:rPr>
        <w:t>Forms, Guides and </w:t>
      </w:r>
      <w:r>
        <w:rPr>
          <w:i/>
          <w:w w:val="105"/>
          <w:sz w:val="13"/>
        </w:rPr>
        <w:t>Resources </w:t>
      </w:r>
      <w:r>
        <w:rPr>
          <w:w w:val="105"/>
          <w:sz w:val="13"/>
        </w:rPr>
        <w:t>(Online Form, 26 July 2016) 1 &lt;https://</w:t>
      </w:r>
      <w:hyperlink r:id="rId235">
        <w:r>
          <w:rPr>
            <w:w w:val="105"/>
            <w:sz w:val="13"/>
          </w:rPr>
          <w:t>www.vcat.vic.gov.au/resources/application-to-reopen-an-order-application-for-review-</w:t>
        </w:r>
      </w:hyperlink>
      <w:r>
        <w:rPr>
          <w:w w:val="105"/>
          <w:sz w:val="13"/>
        </w:rPr>
        <w:t> section-120&gt;.</w:t>
      </w:r>
    </w:p>
    <w:p>
      <w:pPr>
        <w:pStyle w:val="ListParagraph"/>
        <w:numPr>
          <w:ilvl w:val="0"/>
          <w:numId w:val="147"/>
        </w:numPr>
        <w:tabs>
          <w:tab w:pos="1223" w:val="left" w:leader="none"/>
          <w:tab w:pos="1224" w:val="left" w:leader="none"/>
        </w:tabs>
        <w:spacing w:line="240" w:lineRule="auto" w:before="4" w:after="0"/>
        <w:ind w:left="1223" w:right="0" w:hanging="794"/>
        <w:jc w:val="left"/>
        <w:rPr>
          <w:sz w:val="13"/>
        </w:rPr>
      </w:pPr>
      <w:r>
        <w:rPr>
          <w:sz w:val="13"/>
        </w:rPr>
        <w:t>Ibid.</w:t>
      </w:r>
    </w:p>
    <w:p>
      <w:pPr>
        <w:spacing w:after="0" w:line="240" w:lineRule="auto"/>
        <w:jc w:val="left"/>
        <w:rPr>
          <w:sz w:val="13"/>
        </w:rPr>
        <w:sectPr>
          <w:type w:val="continuous"/>
          <w:pgSz w:w="11910" w:h="16840"/>
          <w:pgMar w:top="300" w:bottom="280" w:left="0" w:right="0"/>
          <w:cols w:num="2" w:equalWidth="0">
            <w:col w:w="1118" w:space="40"/>
            <w:col w:w="10752"/>
          </w:cols>
        </w:sectPr>
      </w:pPr>
    </w:p>
    <w:p>
      <w:pPr>
        <w:pStyle w:val="BodyText"/>
        <w:rPr>
          <w:sz w:val="20"/>
        </w:rPr>
      </w:pPr>
    </w:p>
    <w:p>
      <w:pPr>
        <w:pStyle w:val="BodyText"/>
        <w:spacing w:before="2"/>
        <w:rPr>
          <w:sz w:val="18"/>
        </w:rPr>
      </w:pPr>
    </w:p>
    <w:p>
      <w:pPr>
        <w:pStyle w:val="Heading7"/>
        <w:spacing w:before="96"/>
      </w:pPr>
      <w:bookmarkStart w:name="Other jurisdictions—appeals" w:id="229"/>
      <w:bookmarkEnd w:id="229"/>
      <w:r>
        <w:rPr/>
      </w:r>
      <w:bookmarkStart w:name="_bookmark110" w:id="230"/>
      <w:bookmarkEnd w:id="230"/>
      <w:r>
        <w:rPr/>
      </w:r>
      <w:r>
        <w:rPr>
          <w:w w:val="115"/>
        </w:rPr>
        <w:t>Re-hearing</w:t>
      </w:r>
    </w:p>
    <w:p>
      <w:pPr>
        <w:pStyle w:val="ListParagraph"/>
        <w:numPr>
          <w:ilvl w:val="1"/>
          <w:numId w:val="16"/>
        </w:numPr>
        <w:tabs>
          <w:tab w:pos="2381" w:val="left" w:leader="none"/>
          <w:tab w:pos="2382" w:val="left" w:leader="none"/>
        </w:tabs>
        <w:spacing w:line="242" w:lineRule="auto" w:before="143" w:after="0"/>
        <w:ind w:left="2381" w:right="1748" w:hanging="794"/>
        <w:jc w:val="left"/>
        <w:rPr>
          <w:sz w:val="21"/>
        </w:rPr>
      </w:pPr>
      <w:r>
        <w:rPr>
          <w:w w:val="105"/>
          <w:sz w:val="21"/>
        </w:rPr>
        <w:t>Some </w:t>
      </w:r>
      <w:r>
        <w:rPr>
          <w:spacing w:val="-3"/>
          <w:w w:val="105"/>
          <w:sz w:val="21"/>
        </w:rPr>
        <w:t>enabling </w:t>
      </w:r>
      <w:r>
        <w:rPr>
          <w:w w:val="105"/>
          <w:sz w:val="21"/>
        </w:rPr>
        <w:t>statutes also </w:t>
      </w:r>
      <w:r>
        <w:rPr>
          <w:spacing w:val="-3"/>
          <w:w w:val="105"/>
          <w:sz w:val="21"/>
        </w:rPr>
        <w:t>allow </w:t>
      </w:r>
      <w:r>
        <w:rPr>
          <w:w w:val="105"/>
          <w:sz w:val="21"/>
        </w:rPr>
        <w:t>a person </w:t>
      </w:r>
      <w:r>
        <w:rPr>
          <w:spacing w:val="-3"/>
          <w:w w:val="105"/>
          <w:sz w:val="21"/>
        </w:rPr>
        <w:t>to </w:t>
      </w:r>
      <w:r>
        <w:rPr>
          <w:w w:val="105"/>
          <w:sz w:val="21"/>
        </w:rPr>
        <w:t>apply </w:t>
      </w:r>
      <w:r>
        <w:rPr>
          <w:spacing w:val="-3"/>
          <w:w w:val="105"/>
          <w:sz w:val="21"/>
        </w:rPr>
        <w:t>for </w:t>
      </w:r>
      <w:r>
        <w:rPr>
          <w:w w:val="105"/>
          <w:sz w:val="21"/>
        </w:rPr>
        <w:t>a </w:t>
      </w:r>
      <w:r>
        <w:rPr>
          <w:spacing w:val="-3"/>
          <w:w w:val="105"/>
          <w:sz w:val="21"/>
        </w:rPr>
        <w:t>rehearing</w:t>
      </w:r>
      <w:r>
        <w:rPr>
          <w:spacing w:val="-3"/>
          <w:w w:val="105"/>
          <w:position w:val="7"/>
          <w:sz w:val="12"/>
        </w:rPr>
        <w:t>91 </w:t>
      </w:r>
      <w:r>
        <w:rPr>
          <w:w w:val="105"/>
          <w:sz w:val="21"/>
        </w:rPr>
        <w:t>in </w:t>
      </w:r>
      <w:r>
        <w:rPr>
          <w:spacing w:val="-8"/>
          <w:w w:val="105"/>
          <w:sz w:val="21"/>
        </w:rPr>
        <w:t>VCAT. </w:t>
      </w:r>
      <w:r>
        <w:rPr>
          <w:w w:val="105"/>
          <w:sz w:val="21"/>
        </w:rPr>
        <w:t>Re- </w:t>
      </w:r>
      <w:r>
        <w:rPr>
          <w:spacing w:val="-3"/>
          <w:w w:val="105"/>
          <w:sz w:val="21"/>
        </w:rPr>
        <w:t>hearings</w:t>
      </w:r>
      <w:r>
        <w:rPr>
          <w:spacing w:val="-7"/>
          <w:w w:val="105"/>
          <w:sz w:val="21"/>
        </w:rPr>
        <w:t> </w:t>
      </w:r>
      <w:r>
        <w:rPr>
          <w:spacing w:val="-3"/>
          <w:w w:val="105"/>
          <w:sz w:val="21"/>
        </w:rPr>
        <w:t>are</w:t>
      </w:r>
      <w:r>
        <w:rPr>
          <w:spacing w:val="-7"/>
          <w:w w:val="105"/>
          <w:sz w:val="21"/>
        </w:rPr>
        <w:t> </w:t>
      </w:r>
      <w:r>
        <w:rPr>
          <w:spacing w:val="-3"/>
          <w:w w:val="105"/>
          <w:sz w:val="21"/>
        </w:rPr>
        <w:t>generally</w:t>
      </w:r>
      <w:r>
        <w:rPr>
          <w:spacing w:val="-6"/>
          <w:w w:val="105"/>
          <w:sz w:val="21"/>
        </w:rPr>
        <w:t> </w:t>
      </w:r>
      <w:r>
        <w:rPr>
          <w:spacing w:val="-3"/>
          <w:w w:val="105"/>
          <w:sz w:val="21"/>
        </w:rPr>
        <w:t>limited</w:t>
      </w:r>
      <w:r>
        <w:rPr>
          <w:spacing w:val="-7"/>
          <w:w w:val="105"/>
          <w:sz w:val="21"/>
        </w:rPr>
        <w:t> </w:t>
      </w:r>
      <w:r>
        <w:rPr>
          <w:spacing w:val="-3"/>
          <w:w w:val="105"/>
          <w:sz w:val="21"/>
        </w:rPr>
        <w:t>to</w:t>
      </w:r>
      <w:r>
        <w:rPr>
          <w:spacing w:val="-6"/>
          <w:w w:val="105"/>
          <w:sz w:val="21"/>
        </w:rPr>
        <w:t> </w:t>
      </w:r>
      <w:r>
        <w:rPr>
          <w:w w:val="105"/>
          <w:sz w:val="21"/>
        </w:rPr>
        <w:t>matters</w:t>
      </w:r>
      <w:r>
        <w:rPr>
          <w:spacing w:val="-7"/>
          <w:w w:val="105"/>
          <w:sz w:val="21"/>
        </w:rPr>
        <w:t> </w:t>
      </w:r>
      <w:r>
        <w:rPr>
          <w:spacing w:val="-3"/>
          <w:w w:val="105"/>
          <w:sz w:val="21"/>
        </w:rPr>
        <w:t>that</w:t>
      </w:r>
      <w:r>
        <w:rPr>
          <w:spacing w:val="-7"/>
          <w:w w:val="105"/>
          <w:sz w:val="21"/>
        </w:rPr>
        <w:t> </w:t>
      </w:r>
      <w:r>
        <w:rPr>
          <w:spacing w:val="-3"/>
          <w:w w:val="105"/>
          <w:sz w:val="21"/>
        </w:rPr>
        <w:t>involve</w:t>
      </w:r>
      <w:r>
        <w:rPr>
          <w:spacing w:val="-6"/>
          <w:w w:val="105"/>
          <w:sz w:val="21"/>
        </w:rPr>
        <w:t> </w:t>
      </w:r>
      <w:r>
        <w:rPr>
          <w:spacing w:val="-3"/>
          <w:w w:val="105"/>
          <w:sz w:val="21"/>
        </w:rPr>
        <w:t>human</w:t>
      </w:r>
      <w:r>
        <w:rPr>
          <w:spacing w:val="-7"/>
          <w:w w:val="105"/>
          <w:sz w:val="21"/>
        </w:rPr>
        <w:t> </w:t>
      </w:r>
      <w:r>
        <w:rPr>
          <w:w w:val="105"/>
          <w:sz w:val="21"/>
        </w:rPr>
        <w:t>rights</w:t>
      </w:r>
      <w:r>
        <w:rPr>
          <w:spacing w:val="-6"/>
          <w:w w:val="105"/>
          <w:sz w:val="21"/>
        </w:rPr>
        <w:t> </w:t>
      </w:r>
      <w:r>
        <w:rPr>
          <w:w w:val="105"/>
          <w:sz w:val="21"/>
        </w:rPr>
        <w:t>matters,</w:t>
      </w:r>
      <w:r>
        <w:rPr>
          <w:spacing w:val="-7"/>
          <w:w w:val="105"/>
          <w:sz w:val="21"/>
        </w:rPr>
        <w:t> </w:t>
      </w:r>
      <w:r>
        <w:rPr>
          <w:spacing w:val="-3"/>
          <w:w w:val="105"/>
          <w:sz w:val="21"/>
        </w:rPr>
        <w:t>for</w:t>
      </w:r>
      <w:r>
        <w:rPr>
          <w:spacing w:val="-7"/>
          <w:w w:val="105"/>
          <w:sz w:val="21"/>
        </w:rPr>
        <w:t> </w:t>
      </w:r>
      <w:r>
        <w:rPr>
          <w:spacing w:val="-3"/>
          <w:w w:val="105"/>
          <w:sz w:val="21"/>
        </w:rPr>
        <w:t>example, </w:t>
      </w:r>
      <w:r>
        <w:rPr>
          <w:w w:val="105"/>
          <w:sz w:val="21"/>
        </w:rPr>
        <w:t>a </w:t>
      </w:r>
      <w:r>
        <w:rPr>
          <w:spacing w:val="-3"/>
          <w:w w:val="105"/>
          <w:sz w:val="21"/>
        </w:rPr>
        <w:t>Guardianship </w:t>
      </w:r>
      <w:r>
        <w:rPr>
          <w:w w:val="105"/>
          <w:sz w:val="21"/>
        </w:rPr>
        <w:t>and </w:t>
      </w:r>
      <w:r>
        <w:rPr>
          <w:spacing w:val="-3"/>
          <w:w w:val="105"/>
          <w:sz w:val="21"/>
        </w:rPr>
        <w:t>Administration case.</w:t>
      </w:r>
      <w:r>
        <w:rPr>
          <w:spacing w:val="-3"/>
          <w:w w:val="105"/>
          <w:position w:val="7"/>
          <w:sz w:val="12"/>
        </w:rPr>
        <w:t>92 </w:t>
      </w:r>
      <w:r>
        <w:rPr>
          <w:w w:val="105"/>
          <w:sz w:val="21"/>
        </w:rPr>
        <w:t>These re-hearings </w:t>
      </w:r>
      <w:r>
        <w:rPr>
          <w:spacing w:val="-3"/>
          <w:w w:val="105"/>
          <w:sz w:val="21"/>
        </w:rPr>
        <w:t>are </w:t>
      </w:r>
      <w:r>
        <w:rPr>
          <w:w w:val="105"/>
          <w:sz w:val="21"/>
        </w:rPr>
        <w:t>conducted </w:t>
      </w:r>
      <w:r>
        <w:rPr>
          <w:spacing w:val="-3"/>
          <w:w w:val="105"/>
          <w:sz w:val="21"/>
        </w:rPr>
        <w:t>within </w:t>
      </w:r>
      <w:r>
        <w:rPr>
          <w:spacing w:val="-5"/>
          <w:w w:val="105"/>
          <w:sz w:val="21"/>
        </w:rPr>
        <w:t>VCAT </w:t>
      </w:r>
      <w:r>
        <w:rPr>
          <w:w w:val="105"/>
          <w:sz w:val="21"/>
        </w:rPr>
        <w:t>and </w:t>
      </w:r>
      <w:r>
        <w:rPr>
          <w:spacing w:val="-2"/>
          <w:w w:val="105"/>
          <w:sz w:val="21"/>
        </w:rPr>
        <w:t>not </w:t>
      </w:r>
      <w:r>
        <w:rPr>
          <w:w w:val="105"/>
          <w:sz w:val="21"/>
        </w:rPr>
        <w:t>by a</w:t>
      </w:r>
      <w:r>
        <w:rPr>
          <w:spacing w:val="24"/>
          <w:w w:val="105"/>
          <w:sz w:val="21"/>
        </w:rPr>
        <w:t> </w:t>
      </w:r>
      <w:r>
        <w:rPr>
          <w:spacing w:val="-3"/>
          <w:w w:val="105"/>
          <w:sz w:val="21"/>
        </w:rPr>
        <w:t>court.</w:t>
      </w:r>
      <w:r>
        <w:rPr>
          <w:spacing w:val="-3"/>
          <w:w w:val="105"/>
          <w:position w:val="7"/>
          <w:sz w:val="12"/>
        </w:rPr>
        <w:t>93</w:t>
      </w:r>
    </w:p>
    <w:p>
      <w:pPr>
        <w:pStyle w:val="BodyText"/>
        <w:spacing w:before="11"/>
      </w:pPr>
    </w:p>
    <w:p>
      <w:pPr>
        <w:pStyle w:val="Heading4"/>
        <w:spacing w:before="1"/>
      </w:pPr>
      <w:r>
        <w:rPr>
          <w:color w:val="658464"/>
          <w:w w:val="110"/>
        </w:rPr>
        <w:t>Other jurisdictions—appeals</w:t>
      </w:r>
    </w:p>
    <w:p>
      <w:pPr>
        <w:pStyle w:val="Heading5"/>
        <w:spacing w:before="279"/>
      </w:pPr>
      <w:r>
        <w:rPr>
          <w:w w:val="115"/>
        </w:rPr>
        <w:t>New South Wales</w:t>
      </w:r>
    </w:p>
    <w:p>
      <w:pPr>
        <w:pStyle w:val="ListParagraph"/>
        <w:numPr>
          <w:ilvl w:val="1"/>
          <w:numId w:val="16"/>
        </w:numPr>
        <w:tabs>
          <w:tab w:pos="2382" w:val="left" w:leader="none"/>
        </w:tabs>
        <w:spacing w:line="242" w:lineRule="auto" w:before="138" w:after="0"/>
        <w:ind w:left="2381" w:right="1734" w:hanging="794"/>
        <w:jc w:val="both"/>
        <w:rPr>
          <w:sz w:val="21"/>
        </w:rPr>
      </w:pPr>
      <w:r>
        <w:rPr>
          <w:w w:val="105"/>
          <w:sz w:val="21"/>
        </w:rPr>
        <w:t>The</w:t>
      </w:r>
      <w:r>
        <w:rPr>
          <w:spacing w:val="-6"/>
          <w:w w:val="105"/>
          <w:sz w:val="21"/>
        </w:rPr>
        <w:t> </w:t>
      </w:r>
      <w:r>
        <w:rPr>
          <w:w w:val="105"/>
          <w:sz w:val="21"/>
        </w:rPr>
        <w:t>appeal</w:t>
      </w:r>
      <w:r>
        <w:rPr>
          <w:spacing w:val="-5"/>
          <w:w w:val="105"/>
          <w:sz w:val="21"/>
        </w:rPr>
        <w:t> </w:t>
      </w:r>
      <w:r>
        <w:rPr>
          <w:w w:val="105"/>
          <w:sz w:val="21"/>
        </w:rPr>
        <w:t>of</w:t>
      </w:r>
      <w:r>
        <w:rPr>
          <w:spacing w:val="-5"/>
          <w:w w:val="105"/>
          <w:sz w:val="21"/>
        </w:rPr>
        <w:t> </w:t>
      </w:r>
      <w:r>
        <w:rPr>
          <w:w w:val="105"/>
          <w:sz w:val="21"/>
        </w:rPr>
        <w:t>tree</w:t>
      </w:r>
      <w:r>
        <w:rPr>
          <w:spacing w:val="-5"/>
          <w:w w:val="105"/>
          <w:sz w:val="21"/>
        </w:rPr>
        <w:t> </w:t>
      </w:r>
      <w:r>
        <w:rPr>
          <w:spacing w:val="-3"/>
          <w:w w:val="105"/>
          <w:sz w:val="21"/>
        </w:rPr>
        <w:t>disputes</w:t>
      </w:r>
      <w:r>
        <w:rPr>
          <w:spacing w:val="-6"/>
          <w:w w:val="105"/>
          <w:sz w:val="21"/>
        </w:rPr>
        <w:t> </w:t>
      </w:r>
      <w:r>
        <w:rPr>
          <w:spacing w:val="-3"/>
          <w:w w:val="105"/>
          <w:sz w:val="21"/>
        </w:rPr>
        <w:t>determined</w:t>
      </w:r>
      <w:r>
        <w:rPr>
          <w:spacing w:val="-5"/>
          <w:w w:val="105"/>
          <w:sz w:val="21"/>
        </w:rPr>
        <w:t> </w:t>
      </w:r>
      <w:r>
        <w:rPr>
          <w:w w:val="105"/>
          <w:sz w:val="21"/>
        </w:rPr>
        <w:t>under</w:t>
      </w:r>
      <w:r>
        <w:rPr>
          <w:spacing w:val="-5"/>
          <w:w w:val="105"/>
          <w:sz w:val="21"/>
        </w:rPr>
        <w:t> </w:t>
      </w:r>
      <w:r>
        <w:rPr>
          <w:w w:val="105"/>
          <w:sz w:val="21"/>
        </w:rPr>
        <w:t>the</w:t>
      </w:r>
      <w:r>
        <w:rPr>
          <w:spacing w:val="-5"/>
          <w:w w:val="105"/>
          <w:sz w:val="21"/>
        </w:rPr>
        <w:t> </w:t>
      </w:r>
      <w:r>
        <w:rPr>
          <w:w w:val="105"/>
          <w:sz w:val="21"/>
        </w:rPr>
        <w:t>NSW</w:t>
      </w:r>
      <w:r>
        <w:rPr>
          <w:spacing w:val="-5"/>
          <w:w w:val="105"/>
          <w:sz w:val="21"/>
        </w:rPr>
        <w:t> </w:t>
      </w:r>
      <w:r>
        <w:rPr>
          <w:w w:val="105"/>
          <w:sz w:val="21"/>
        </w:rPr>
        <w:t>Act</w:t>
      </w:r>
      <w:r>
        <w:rPr>
          <w:spacing w:val="-6"/>
          <w:w w:val="105"/>
          <w:sz w:val="21"/>
        </w:rPr>
        <w:t> </w:t>
      </w:r>
      <w:r>
        <w:rPr>
          <w:w w:val="105"/>
          <w:sz w:val="21"/>
        </w:rPr>
        <w:t>is</w:t>
      </w:r>
      <w:r>
        <w:rPr>
          <w:spacing w:val="-5"/>
          <w:w w:val="105"/>
          <w:sz w:val="21"/>
        </w:rPr>
        <w:t> </w:t>
      </w:r>
      <w:r>
        <w:rPr>
          <w:w w:val="105"/>
          <w:sz w:val="21"/>
        </w:rPr>
        <w:t>governed</w:t>
      </w:r>
      <w:r>
        <w:rPr>
          <w:spacing w:val="-5"/>
          <w:w w:val="105"/>
          <w:sz w:val="21"/>
        </w:rPr>
        <w:t> </w:t>
      </w:r>
      <w:r>
        <w:rPr>
          <w:w w:val="105"/>
          <w:sz w:val="21"/>
        </w:rPr>
        <w:t>by</w:t>
      </w:r>
      <w:r>
        <w:rPr>
          <w:spacing w:val="-5"/>
          <w:w w:val="105"/>
          <w:sz w:val="21"/>
        </w:rPr>
        <w:t> </w:t>
      </w:r>
      <w:r>
        <w:rPr>
          <w:w w:val="105"/>
          <w:sz w:val="21"/>
        </w:rPr>
        <w:t>the</w:t>
      </w:r>
      <w:r>
        <w:rPr>
          <w:spacing w:val="-6"/>
          <w:w w:val="105"/>
          <w:sz w:val="21"/>
        </w:rPr>
        <w:t> </w:t>
      </w:r>
      <w:r>
        <w:rPr>
          <w:i/>
          <w:w w:val="105"/>
          <w:sz w:val="21"/>
        </w:rPr>
        <w:t>Land</w:t>
      </w:r>
      <w:r>
        <w:rPr>
          <w:i/>
          <w:spacing w:val="-5"/>
          <w:w w:val="105"/>
          <w:sz w:val="21"/>
        </w:rPr>
        <w:t> </w:t>
      </w:r>
      <w:r>
        <w:rPr>
          <w:i/>
          <w:w w:val="105"/>
          <w:sz w:val="21"/>
        </w:rPr>
        <w:t>and </w:t>
      </w:r>
      <w:r>
        <w:rPr>
          <w:i/>
          <w:spacing w:val="-3"/>
          <w:w w:val="105"/>
          <w:sz w:val="21"/>
        </w:rPr>
        <w:t>Environment </w:t>
      </w:r>
      <w:r>
        <w:rPr>
          <w:i/>
          <w:w w:val="105"/>
          <w:sz w:val="21"/>
        </w:rPr>
        <w:t>Court Act </w:t>
      </w:r>
      <w:r>
        <w:rPr>
          <w:i/>
          <w:spacing w:val="-9"/>
          <w:w w:val="105"/>
          <w:sz w:val="21"/>
        </w:rPr>
        <w:t>1979 </w:t>
      </w:r>
      <w:r>
        <w:rPr>
          <w:spacing w:val="2"/>
          <w:w w:val="105"/>
          <w:sz w:val="21"/>
        </w:rPr>
        <w:t>(NSW), </w:t>
      </w:r>
      <w:r>
        <w:rPr>
          <w:w w:val="105"/>
          <w:sz w:val="21"/>
        </w:rPr>
        <w:t>the Act </w:t>
      </w:r>
      <w:r>
        <w:rPr>
          <w:spacing w:val="-3"/>
          <w:w w:val="105"/>
          <w:sz w:val="21"/>
        </w:rPr>
        <w:t>governing </w:t>
      </w:r>
      <w:r>
        <w:rPr>
          <w:w w:val="105"/>
          <w:sz w:val="21"/>
        </w:rPr>
        <w:t>the Land and </w:t>
      </w:r>
      <w:r>
        <w:rPr>
          <w:spacing w:val="-3"/>
          <w:w w:val="105"/>
          <w:sz w:val="21"/>
        </w:rPr>
        <w:t>Environment Court </w:t>
      </w:r>
      <w:r>
        <w:rPr>
          <w:w w:val="105"/>
          <w:sz w:val="21"/>
        </w:rPr>
        <w:t>of New South </w:t>
      </w:r>
      <w:r>
        <w:rPr>
          <w:spacing w:val="-3"/>
          <w:w w:val="105"/>
          <w:sz w:val="21"/>
        </w:rPr>
        <w:t>Wales</w:t>
      </w:r>
      <w:r>
        <w:rPr>
          <w:spacing w:val="22"/>
          <w:w w:val="105"/>
          <w:sz w:val="21"/>
        </w:rPr>
        <w:t> </w:t>
      </w:r>
      <w:r>
        <w:rPr>
          <w:w w:val="105"/>
          <w:sz w:val="21"/>
        </w:rPr>
        <w:t>(NSWLEC).</w:t>
      </w:r>
    </w:p>
    <w:p>
      <w:pPr>
        <w:pStyle w:val="ListParagraph"/>
        <w:numPr>
          <w:ilvl w:val="1"/>
          <w:numId w:val="16"/>
        </w:numPr>
        <w:tabs>
          <w:tab w:pos="2381" w:val="left" w:leader="none"/>
          <w:tab w:pos="2382" w:val="left" w:leader="none"/>
        </w:tabs>
        <w:spacing w:line="242" w:lineRule="auto" w:before="123" w:after="0"/>
        <w:ind w:left="2381" w:right="1889" w:hanging="794"/>
        <w:jc w:val="left"/>
        <w:rPr>
          <w:sz w:val="21"/>
        </w:rPr>
      </w:pPr>
      <w:r>
        <w:rPr>
          <w:sz w:val="21"/>
        </w:rPr>
        <w:t>The NSWLEC is a superior court.</w:t>
      </w:r>
      <w:r>
        <w:rPr>
          <w:position w:val="7"/>
          <w:sz w:val="12"/>
        </w:rPr>
        <w:t>94 </w:t>
      </w:r>
      <w:r>
        <w:rPr>
          <w:sz w:val="21"/>
        </w:rPr>
        <w:t>An appeal of a tree </w:t>
      </w:r>
      <w:r>
        <w:rPr>
          <w:spacing w:val="-3"/>
          <w:sz w:val="21"/>
        </w:rPr>
        <w:t>dispute  </w:t>
      </w:r>
      <w:r>
        <w:rPr>
          <w:sz w:val="21"/>
        </w:rPr>
        <w:t>order made by NSWLEC  can be made on a question of law </w:t>
      </w:r>
      <w:r>
        <w:rPr>
          <w:spacing w:val="-4"/>
          <w:sz w:val="21"/>
        </w:rPr>
        <w:t>only.</w:t>
      </w:r>
      <w:r>
        <w:rPr>
          <w:spacing w:val="-4"/>
          <w:position w:val="7"/>
          <w:sz w:val="12"/>
        </w:rPr>
        <w:t>95 </w:t>
      </w:r>
      <w:r>
        <w:rPr>
          <w:sz w:val="21"/>
        </w:rPr>
        <w:t>If the appeal is </w:t>
      </w:r>
      <w:r>
        <w:rPr>
          <w:spacing w:val="-3"/>
          <w:sz w:val="21"/>
        </w:rPr>
        <w:t>against </w:t>
      </w:r>
      <w:r>
        <w:rPr>
          <w:sz w:val="21"/>
        </w:rPr>
        <w:t>a decision of a </w:t>
      </w:r>
      <w:r>
        <w:rPr>
          <w:spacing w:val="-3"/>
          <w:sz w:val="21"/>
        </w:rPr>
        <w:t>commissioner </w:t>
      </w:r>
      <w:r>
        <w:rPr>
          <w:sz w:val="21"/>
        </w:rPr>
        <w:t>of the NSWLEC, it is </w:t>
      </w:r>
      <w:r>
        <w:rPr>
          <w:spacing w:val="-3"/>
          <w:sz w:val="21"/>
        </w:rPr>
        <w:t>determined </w:t>
      </w:r>
      <w:r>
        <w:rPr>
          <w:sz w:val="21"/>
        </w:rPr>
        <w:t>by a  judge  in  the  NSWLEC.</w:t>
      </w:r>
      <w:r>
        <w:rPr>
          <w:position w:val="7"/>
          <w:sz w:val="12"/>
        </w:rPr>
        <w:t>96  </w:t>
      </w:r>
      <w:r>
        <w:rPr>
          <w:sz w:val="21"/>
        </w:rPr>
        <w:t>If  the appeal is </w:t>
      </w:r>
      <w:r>
        <w:rPr>
          <w:spacing w:val="-3"/>
          <w:sz w:val="21"/>
        </w:rPr>
        <w:t>against </w:t>
      </w:r>
      <w:r>
        <w:rPr>
          <w:sz w:val="21"/>
        </w:rPr>
        <w:t>a decision of a judge of the NSWLEC, it is </w:t>
      </w:r>
      <w:r>
        <w:rPr>
          <w:spacing w:val="-3"/>
          <w:sz w:val="21"/>
        </w:rPr>
        <w:t>heard </w:t>
      </w:r>
      <w:r>
        <w:rPr>
          <w:sz w:val="21"/>
        </w:rPr>
        <w:t>by the NSW </w:t>
      </w:r>
      <w:r>
        <w:rPr>
          <w:spacing w:val="-3"/>
          <w:sz w:val="21"/>
        </w:rPr>
        <w:t>Court </w:t>
      </w:r>
      <w:r>
        <w:rPr>
          <w:sz w:val="21"/>
        </w:rPr>
        <w:t>of </w:t>
      </w:r>
      <w:r>
        <w:rPr>
          <w:spacing w:val="-3"/>
          <w:sz w:val="21"/>
        </w:rPr>
        <w:t>Appeal.</w:t>
      </w:r>
      <w:r>
        <w:rPr>
          <w:spacing w:val="-3"/>
          <w:position w:val="7"/>
          <w:sz w:val="12"/>
        </w:rPr>
        <w:t>97</w:t>
      </w:r>
    </w:p>
    <w:p>
      <w:pPr>
        <w:pStyle w:val="ListParagraph"/>
        <w:numPr>
          <w:ilvl w:val="1"/>
          <w:numId w:val="16"/>
        </w:numPr>
        <w:tabs>
          <w:tab w:pos="2381" w:val="left" w:leader="none"/>
          <w:tab w:pos="2382" w:val="left" w:leader="none"/>
        </w:tabs>
        <w:spacing w:line="242" w:lineRule="auto" w:before="125" w:after="0"/>
        <w:ind w:left="2381" w:right="1946" w:hanging="794"/>
        <w:jc w:val="left"/>
        <w:rPr>
          <w:sz w:val="21"/>
        </w:rPr>
      </w:pPr>
      <w:r>
        <w:rPr>
          <w:w w:val="105"/>
          <w:sz w:val="21"/>
        </w:rPr>
        <w:t>For tree </w:t>
      </w:r>
      <w:r>
        <w:rPr>
          <w:spacing w:val="-3"/>
          <w:w w:val="105"/>
          <w:sz w:val="21"/>
        </w:rPr>
        <w:t>disputes, </w:t>
      </w:r>
      <w:r>
        <w:rPr>
          <w:w w:val="105"/>
          <w:sz w:val="21"/>
        </w:rPr>
        <w:t>an appeal </w:t>
      </w:r>
      <w:r>
        <w:rPr>
          <w:spacing w:val="-3"/>
          <w:w w:val="105"/>
          <w:sz w:val="21"/>
        </w:rPr>
        <w:t>will </w:t>
      </w:r>
      <w:r>
        <w:rPr>
          <w:w w:val="105"/>
          <w:sz w:val="21"/>
        </w:rPr>
        <w:t>be in the </w:t>
      </w:r>
      <w:r>
        <w:rPr>
          <w:spacing w:val="-3"/>
          <w:w w:val="105"/>
          <w:sz w:val="21"/>
        </w:rPr>
        <w:t>form </w:t>
      </w:r>
      <w:r>
        <w:rPr>
          <w:w w:val="105"/>
          <w:sz w:val="21"/>
        </w:rPr>
        <w:t>of a </w:t>
      </w:r>
      <w:r>
        <w:rPr>
          <w:spacing w:val="-3"/>
          <w:w w:val="105"/>
          <w:sz w:val="21"/>
        </w:rPr>
        <w:t>rehearing </w:t>
      </w:r>
      <w:r>
        <w:rPr>
          <w:w w:val="105"/>
          <w:sz w:val="21"/>
        </w:rPr>
        <w:t>and ‘fresh evidence or evidence</w:t>
      </w:r>
      <w:r>
        <w:rPr>
          <w:spacing w:val="-5"/>
          <w:w w:val="105"/>
          <w:sz w:val="21"/>
        </w:rPr>
        <w:t> </w:t>
      </w:r>
      <w:r>
        <w:rPr>
          <w:w w:val="105"/>
          <w:sz w:val="21"/>
        </w:rPr>
        <w:t>in</w:t>
      </w:r>
      <w:r>
        <w:rPr>
          <w:spacing w:val="-5"/>
          <w:w w:val="105"/>
          <w:sz w:val="21"/>
        </w:rPr>
        <w:t> </w:t>
      </w:r>
      <w:r>
        <w:rPr>
          <w:w w:val="105"/>
          <w:sz w:val="21"/>
        </w:rPr>
        <w:t>addition</w:t>
      </w:r>
      <w:r>
        <w:rPr>
          <w:spacing w:val="-5"/>
          <w:w w:val="105"/>
          <w:sz w:val="21"/>
        </w:rPr>
        <w:t> </w:t>
      </w:r>
      <w:r>
        <w:rPr>
          <w:spacing w:val="-4"/>
          <w:w w:val="105"/>
          <w:sz w:val="21"/>
        </w:rPr>
        <w:t>to,</w:t>
      </w:r>
      <w:r>
        <w:rPr>
          <w:spacing w:val="-5"/>
          <w:w w:val="105"/>
          <w:sz w:val="21"/>
        </w:rPr>
        <w:t> </w:t>
      </w:r>
      <w:r>
        <w:rPr>
          <w:w w:val="105"/>
          <w:sz w:val="21"/>
        </w:rPr>
        <w:t>or</w:t>
      </w:r>
      <w:r>
        <w:rPr>
          <w:spacing w:val="-5"/>
          <w:w w:val="105"/>
          <w:sz w:val="21"/>
        </w:rPr>
        <w:t> </w:t>
      </w:r>
      <w:r>
        <w:rPr>
          <w:w w:val="105"/>
          <w:sz w:val="21"/>
        </w:rPr>
        <w:t>in</w:t>
      </w:r>
      <w:r>
        <w:rPr>
          <w:spacing w:val="-5"/>
          <w:w w:val="105"/>
          <w:sz w:val="21"/>
        </w:rPr>
        <w:t> </w:t>
      </w:r>
      <w:r>
        <w:rPr>
          <w:spacing w:val="-3"/>
          <w:w w:val="105"/>
          <w:sz w:val="21"/>
        </w:rPr>
        <w:t>substitution</w:t>
      </w:r>
      <w:r>
        <w:rPr>
          <w:spacing w:val="-5"/>
          <w:w w:val="105"/>
          <w:sz w:val="21"/>
        </w:rPr>
        <w:t> </w:t>
      </w:r>
      <w:r>
        <w:rPr>
          <w:spacing w:val="-6"/>
          <w:w w:val="105"/>
          <w:sz w:val="21"/>
        </w:rPr>
        <w:t>for,</w:t>
      </w:r>
      <w:r>
        <w:rPr>
          <w:spacing w:val="-5"/>
          <w:w w:val="105"/>
          <w:sz w:val="21"/>
        </w:rPr>
        <w:t> </w:t>
      </w:r>
      <w:r>
        <w:rPr>
          <w:w w:val="105"/>
          <w:sz w:val="21"/>
        </w:rPr>
        <w:t>the</w:t>
      </w:r>
      <w:r>
        <w:rPr>
          <w:spacing w:val="-5"/>
          <w:w w:val="105"/>
          <w:sz w:val="21"/>
        </w:rPr>
        <w:t> </w:t>
      </w:r>
      <w:r>
        <w:rPr>
          <w:w w:val="105"/>
          <w:sz w:val="21"/>
        </w:rPr>
        <w:t>evidence</w:t>
      </w:r>
      <w:r>
        <w:rPr>
          <w:spacing w:val="-5"/>
          <w:w w:val="105"/>
          <w:sz w:val="21"/>
        </w:rPr>
        <w:t> </w:t>
      </w:r>
      <w:r>
        <w:rPr>
          <w:w w:val="105"/>
          <w:sz w:val="21"/>
        </w:rPr>
        <w:t>given</w:t>
      </w:r>
      <w:r>
        <w:rPr>
          <w:spacing w:val="-5"/>
          <w:w w:val="105"/>
          <w:sz w:val="21"/>
        </w:rPr>
        <w:t> </w:t>
      </w:r>
      <w:r>
        <w:rPr>
          <w:w w:val="105"/>
          <w:sz w:val="21"/>
        </w:rPr>
        <w:t>on</w:t>
      </w:r>
      <w:r>
        <w:rPr>
          <w:spacing w:val="-5"/>
          <w:w w:val="105"/>
          <w:sz w:val="21"/>
        </w:rPr>
        <w:t> </w:t>
      </w:r>
      <w:r>
        <w:rPr>
          <w:w w:val="105"/>
          <w:sz w:val="21"/>
        </w:rPr>
        <w:t>the</w:t>
      </w:r>
      <w:r>
        <w:rPr>
          <w:spacing w:val="-5"/>
          <w:w w:val="105"/>
          <w:sz w:val="21"/>
        </w:rPr>
        <w:t> </w:t>
      </w:r>
      <w:r>
        <w:rPr>
          <w:spacing w:val="-3"/>
          <w:w w:val="105"/>
          <w:sz w:val="21"/>
        </w:rPr>
        <w:t>making</w:t>
      </w:r>
      <w:r>
        <w:rPr>
          <w:spacing w:val="-5"/>
          <w:w w:val="105"/>
          <w:sz w:val="21"/>
        </w:rPr>
        <w:t> </w:t>
      </w:r>
      <w:r>
        <w:rPr>
          <w:w w:val="105"/>
          <w:sz w:val="21"/>
        </w:rPr>
        <w:t>of</w:t>
      </w:r>
      <w:r>
        <w:rPr>
          <w:spacing w:val="-5"/>
          <w:w w:val="105"/>
          <w:sz w:val="21"/>
        </w:rPr>
        <w:t> </w:t>
      </w:r>
      <w:r>
        <w:rPr>
          <w:w w:val="105"/>
          <w:sz w:val="21"/>
        </w:rPr>
        <w:t>the decision </w:t>
      </w:r>
      <w:r>
        <w:rPr>
          <w:spacing w:val="-3"/>
          <w:w w:val="105"/>
          <w:sz w:val="21"/>
        </w:rPr>
        <w:t>may </w:t>
      </w:r>
      <w:r>
        <w:rPr>
          <w:w w:val="105"/>
          <w:sz w:val="21"/>
        </w:rPr>
        <w:t>be given on the</w:t>
      </w:r>
      <w:r>
        <w:rPr>
          <w:spacing w:val="33"/>
          <w:w w:val="105"/>
          <w:sz w:val="21"/>
        </w:rPr>
        <w:t> </w:t>
      </w:r>
      <w:r>
        <w:rPr>
          <w:spacing w:val="-4"/>
          <w:w w:val="105"/>
          <w:sz w:val="21"/>
        </w:rPr>
        <w:t>appeal’.</w:t>
      </w:r>
      <w:r>
        <w:rPr>
          <w:spacing w:val="-4"/>
          <w:w w:val="105"/>
          <w:position w:val="7"/>
          <w:sz w:val="12"/>
        </w:rPr>
        <w:t>98</w:t>
      </w:r>
    </w:p>
    <w:p>
      <w:pPr>
        <w:pStyle w:val="BodyText"/>
        <w:spacing w:before="4"/>
        <w:rPr>
          <w:sz w:val="20"/>
        </w:rPr>
      </w:pPr>
    </w:p>
    <w:p>
      <w:pPr>
        <w:pStyle w:val="Heading5"/>
      </w:pPr>
      <w:r>
        <w:rPr>
          <w:w w:val="115"/>
        </w:rPr>
        <w:t>Queensland</w:t>
      </w:r>
    </w:p>
    <w:p>
      <w:pPr>
        <w:pStyle w:val="ListParagraph"/>
        <w:numPr>
          <w:ilvl w:val="1"/>
          <w:numId w:val="16"/>
        </w:numPr>
        <w:tabs>
          <w:tab w:pos="2381" w:val="left" w:leader="none"/>
          <w:tab w:pos="2382" w:val="left" w:leader="none"/>
        </w:tabs>
        <w:spacing w:line="242" w:lineRule="auto" w:before="138" w:after="0"/>
        <w:ind w:left="2381" w:right="2009" w:hanging="794"/>
        <w:jc w:val="left"/>
        <w:rPr>
          <w:sz w:val="21"/>
        </w:rPr>
      </w:pPr>
      <w:r>
        <w:rPr>
          <w:sz w:val="21"/>
        </w:rPr>
        <w:t>The appeal of tree </w:t>
      </w:r>
      <w:r>
        <w:rPr>
          <w:spacing w:val="-3"/>
          <w:sz w:val="21"/>
        </w:rPr>
        <w:t>disputes determined </w:t>
      </w:r>
      <w:r>
        <w:rPr>
          <w:sz w:val="21"/>
        </w:rPr>
        <w:t>under the </w:t>
      </w:r>
      <w:r>
        <w:rPr>
          <w:spacing w:val="-3"/>
          <w:sz w:val="21"/>
        </w:rPr>
        <w:t>Queensland </w:t>
      </w:r>
      <w:r>
        <w:rPr>
          <w:sz w:val="21"/>
        </w:rPr>
        <w:t>Act is governed by the </w:t>
      </w:r>
      <w:r>
        <w:rPr>
          <w:spacing w:val="-3"/>
          <w:sz w:val="21"/>
        </w:rPr>
        <w:t>Queensland Civil </w:t>
      </w:r>
      <w:r>
        <w:rPr>
          <w:sz w:val="21"/>
        </w:rPr>
        <w:t>and </w:t>
      </w:r>
      <w:r>
        <w:rPr>
          <w:spacing w:val="-3"/>
          <w:sz w:val="21"/>
        </w:rPr>
        <w:t>Administrative </w:t>
      </w:r>
      <w:r>
        <w:rPr>
          <w:spacing w:val="-5"/>
          <w:sz w:val="21"/>
        </w:rPr>
        <w:t>Tribunal </w:t>
      </w:r>
      <w:r>
        <w:rPr>
          <w:sz w:val="21"/>
        </w:rPr>
        <w:t>Act 2009</w:t>
      </w:r>
      <w:r>
        <w:rPr>
          <w:spacing w:val="13"/>
          <w:sz w:val="21"/>
        </w:rPr>
        <w:t> </w:t>
      </w:r>
      <w:r>
        <w:rPr>
          <w:sz w:val="21"/>
        </w:rPr>
        <w:t>(Qld).</w:t>
      </w:r>
    </w:p>
    <w:p>
      <w:pPr>
        <w:pStyle w:val="ListParagraph"/>
        <w:numPr>
          <w:ilvl w:val="1"/>
          <w:numId w:val="16"/>
        </w:numPr>
        <w:tabs>
          <w:tab w:pos="2381" w:val="left" w:leader="none"/>
          <w:tab w:pos="2382" w:val="left" w:leader="none"/>
        </w:tabs>
        <w:spacing w:line="242" w:lineRule="auto" w:before="122" w:after="0"/>
        <w:ind w:left="2381" w:right="1814" w:hanging="794"/>
        <w:jc w:val="left"/>
        <w:rPr>
          <w:sz w:val="21"/>
        </w:rPr>
      </w:pPr>
      <w:r>
        <w:rPr>
          <w:w w:val="105"/>
          <w:sz w:val="21"/>
        </w:rPr>
        <w:t>As </w:t>
      </w:r>
      <w:r>
        <w:rPr>
          <w:spacing w:val="-3"/>
          <w:w w:val="105"/>
          <w:sz w:val="21"/>
        </w:rPr>
        <w:t>noted </w:t>
      </w:r>
      <w:r>
        <w:rPr>
          <w:w w:val="105"/>
          <w:sz w:val="21"/>
        </w:rPr>
        <w:t>in </w:t>
      </w:r>
      <w:r>
        <w:rPr>
          <w:spacing w:val="-4"/>
          <w:w w:val="105"/>
          <w:sz w:val="21"/>
        </w:rPr>
        <w:t>Chapter </w:t>
      </w:r>
      <w:r>
        <w:rPr>
          <w:w w:val="105"/>
          <w:sz w:val="21"/>
        </w:rPr>
        <w:t>7 </w:t>
      </w:r>
      <w:r>
        <w:rPr>
          <w:spacing w:val="-4"/>
          <w:w w:val="105"/>
          <w:sz w:val="21"/>
        </w:rPr>
        <w:t>QCAT </w:t>
      </w:r>
      <w:r>
        <w:rPr>
          <w:w w:val="105"/>
          <w:sz w:val="21"/>
        </w:rPr>
        <w:t>is a </w:t>
      </w:r>
      <w:r>
        <w:rPr>
          <w:spacing w:val="-3"/>
          <w:w w:val="105"/>
          <w:sz w:val="21"/>
        </w:rPr>
        <w:t>‘court </w:t>
      </w:r>
      <w:r>
        <w:rPr>
          <w:w w:val="105"/>
          <w:sz w:val="21"/>
        </w:rPr>
        <w:t>of record’</w:t>
      </w:r>
      <w:r>
        <w:rPr>
          <w:w w:val="105"/>
          <w:position w:val="7"/>
          <w:sz w:val="12"/>
        </w:rPr>
        <w:t>99 </w:t>
      </w:r>
      <w:r>
        <w:rPr>
          <w:w w:val="105"/>
          <w:sz w:val="21"/>
        </w:rPr>
        <w:t>(or a </w:t>
      </w:r>
      <w:r>
        <w:rPr>
          <w:spacing w:val="-3"/>
          <w:w w:val="105"/>
          <w:sz w:val="21"/>
        </w:rPr>
        <w:t>‘court </w:t>
      </w:r>
      <w:r>
        <w:rPr>
          <w:w w:val="105"/>
          <w:sz w:val="21"/>
        </w:rPr>
        <w:t>of the State’)</w:t>
      </w:r>
      <w:r>
        <w:rPr>
          <w:w w:val="105"/>
          <w:position w:val="7"/>
          <w:sz w:val="12"/>
        </w:rPr>
        <w:t>100 </w:t>
      </w:r>
      <w:r>
        <w:rPr>
          <w:spacing w:val="-3"/>
          <w:w w:val="105"/>
          <w:sz w:val="21"/>
        </w:rPr>
        <w:t>‘capable </w:t>
      </w:r>
      <w:r>
        <w:rPr>
          <w:w w:val="105"/>
          <w:sz w:val="21"/>
        </w:rPr>
        <w:t>of being </w:t>
      </w:r>
      <w:r>
        <w:rPr>
          <w:spacing w:val="-3"/>
          <w:w w:val="105"/>
          <w:sz w:val="21"/>
        </w:rPr>
        <w:t>invested </w:t>
      </w:r>
      <w:r>
        <w:rPr>
          <w:w w:val="105"/>
          <w:sz w:val="21"/>
        </w:rPr>
        <w:t>with the </w:t>
      </w:r>
      <w:r>
        <w:rPr>
          <w:spacing w:val="-3"/>
          <w:w w:val="105"/>
          <w:sz w:val="21"/>
        </w:rPr>
        <w:t>judicial </w:t>
      </w:r>
      <w:r>
        <w:rPr>
          <w:w w:val="105"/>
          <w:sz w:val="21"/>
        </w:rPr>
        <w:t>power of the </w:t>
      </w:r>
      <w:r>
        <w:rPr>
          <w:spacing w:val="-6"/>
          <w:w w:val="105"/>
          <w:sz w:val="21"/>
        </w:rPr>
        <w:t>Commonwealth’.</w:t>
      </w:r>
      <w:r>
        <w:rPr>
          <w:spacing w:val="-6"/>
          <w:w w:val="105"/>
          <w:position w:val="7"/>
          <w:sz w:val="12"/>
        </w:rPr>
        <w:t>101 </w:t>
      </w:r>
      <w:r>
        <w:rPr>
          <w:spacing w:val="-4"/>
          <w:w w:val="105"/>
          <w:sz w:val="21"/>
        </w:rPr>
        <w:t>Unlike </w:t>
      </w:r>
      <w:r>
        <w:rPr>
          <w:spacing w:val="-8"/>
          <w:w w:val="105"/>
          <w:sz w:val="21"/>
        </w:rPr>
        <w:t>VCAT, </w:t>
      </w:r>
      <w:r>
        <w:rPr>
          <w:spacing w:val="-4"/>
          <w:w w:val="105"/>
          <w:sz w:val="21"/>
        </w:rPr>
        <w:t>QCAT </w:t>
      </w:r>
      <w:r>
        <w:rPr>
          <w:spacing w:val="-2"/>
          <w:w w:val="105"/>
          <w:sz w:val="21"/>
        </w:rPr>
        <w:t>has </w:t>
      </w:r>
      <w:r>
        <w:rPr>
          <w:w w:val="105"/>
          <w:sz w:val="21"/>
        </w:rPr>
        <w:t>an </w:t>
      </w:r>
      <w:r>
        <w:rPr>
          <w:spacing w:val="-3"/>
          <w:w w:val="105"/>
          <w:sz w:val="21"/>
        </w:rPr>
        <w:t>internal </w:t>
      </w:r>
      <w:r>
        <w:rPr>
          <w:w w:val="105"/>
          <w:sz w:val="21"/>
        </w:rPr>
        <w:t>Appeal </w:t>
      </w:r>
      <w:r>
        <w:rPr>
          <w:spacing w:val="-5"/>
          <w:w w:val="105"/>
          <w:sz w:val="21"/>
        </w:rPr>
        <w:t>Tribunal. </w:t>
      </w:r>
      <w:r>
        <w:rPr>
          <w:w w:val="105"/>
          <w:sz w:val="21"/>
        </w:rPr>
        <w:t>A person can appeal the decision of a </w:t>
      </w:r>
      <w:r>
        <w:rPr>
          <w:spacing w:val="-4"/>
          <w:w w:val="105"/>
          <w:sz w:val="21"/>
        </w:rPr>
        <w:t>QCAT </w:t>
      </w:r>
      <w:r>
        <w:rPr>
          <w:w w:val="105"/>
          <w:sz w:val="21"/>
        </w:rPr>
        <w:t>member on a question of </w:t>
      </w:r>
      <w:r>
        <w:rPr>
          <w:spacing w:val="-5"/>
          <w:w w:val="105"/>
          <w:sz w:val="21"/>
        </w:rPr>
        <w:t>law, </w:t>
      </w:r>
      <w:r>
        <w:rPr>
          <w:w w:val="105"/>
          <w:sz w:val="21"/>
        </w:rPr>
        <w:t>fact or </w:t>
      </w:r>
      <w:r>
        <w:rPr>
          <w:spacing w:val="-3"/>
          <w:w w:val="105"/>
          <w:sz w:val="21"/>
        </w:rPr>
        <w:t>combination </w:t>
      </w:r>
      <w:r>
        <w:rPr>
          <w:w w:val="105"/>
          <w:sz w:val="21"/>
        </w:rPr>
        <w:t>of law and fact in certain</w:t>
      </w:r>
      <w:r>
        <w:rPr>
          <w:spacing w:val="19"/>
          <w:w w:val="105"/>
          <w:sz w:val="21"/>
        </w:rPr>
        <w:t> </w:t>
      </w:r>
      <w:r>
        <w:rPr>
          <w:spacing w:val="-4"/>
          <w:w w:val="105"/>
          <w:sz w:val="21"/>
        </w:rPr>
        <w:t>circumstances.</w:t>
      </w:r>
      <w:r>
        <w:rPr>
          <w:spacing w:val="-4"/>
          <w:w w:val="105"/>
          <w:position w:val="7"/>
          <w:sz w:val="12"/>
        </w:rPr>
        <w:t>102</w:t>
      </w:r>
    </w:p>
    <w:p>
      <w:pPr>
        <w:pStyle w:val="BodyText"/>
        <w:spacing w:line="242" w:lineRule="auto" w:before="4"/>
        <w:ind w:left="2381" w:right="1662" w:hanging="1"/>
        <w:rPr>
          <w:sz w:val="12"/>
        </w:rPr>
      </w:pPr>
      <w:r>
        <w:rPr>
          <w:w w:val="105"/>
        </w:rPr>
        <w:t>A person must seek </w:t>
      </w:r>
      <w:r>
        <w:rPr>
          <w:spacing w:val="-3"/>
          <w:w w:val="105"/>
        </w:rPr>
        <w:t>leave </w:t>
      </w:r>
      <w:r>
        <w:rPr>
          <w:w w:val="105"/>
        </w:rPr>
        <w:t>of the Appeal </w:t>
      </w:r>
      <w:r>
        <w:rPr>
          <w:spacing w:val="-5"/>
          <w:w w:val="105"/>
        </w:rPr>
        <w:t>Tribunal </w:t>
      </w:r>
      <w:r>
        <w:rPr>
          <w:spacing w:val="-3"/>
          <w:w w:val="105"/>
        </w:rPr>
        <w:t>to </w:t>
      </w:r>
      <w:r>
        <w:rPr>
          <w:w w:val="105"/>
        </w:rPr>
        <w:t>appeal a </w:t>
      </w:r>
      <w:r>
        <w:rPr>
          <w:spacing w:val="-4"/>
          <w:w w:val="105"/>
        </w:rPr>
        <w:t>decision.</w:t>
      </w:r>
      <w:r>
        <w:rPr>
          <w:spacing w:val="-4"/>
          <w:w w:val="105"/>
          <w:position w:val="7"/>
          <w:sz w:val="12"/>
        </w:rPr>
        <w:t>103 </w:t>
      </w:r>
      <w:r>
        <w:rPr>
          <w:w w:val="105"/>
        </w:rPr>
        <w:t>A person  seeking </w:t>
      </w:r>
      <w:r>
        <w:rPr>
          <w:spacing w:val="-3"/>
          <w:w w:val="105"/>
        </w:rPr>
        <w:t>leave </w:t>
      </w:r>
      <w:r>
        <w:rPr>
          <w:w w:val="105"/>
        </w:rPr>
        <w:t>needs </w:t>
      </w:r>
      <w:r>
        <w:rPr>
          <w:spacing w:val="-3"/>
          <w:w w:val="105"/>
        </w:rPr>
        <w:t>to </w:t>
      </w:r>
      <w:r>
        <w:rPr>
          <w:w w:val="105"/>
        </w:rPr>
        <w:t>show </w:t>
      </w:r>
      <w:r>
        <w:rPr>
          <w:spacing w:val="-3"/>
          <w:w w:val="105"/>
        </w:rPr>
        <w:t>that </w:t>
      </w:r>
      <w:r>
        <w:rPr>
          <w:w w:val="105"/>
        </w:rPr>
        <w:t>‘there is a </w:t>
      </w:r>
      <w:r>
        <w:rPr>
          <w:spacing w:val="-3"/>
          <w:w w:val="105"/>
        </w:rPr>
        <w:t>reasonable argument </w:t>
      </w:r>
      <w:r>
        <w:rPr>
          <w:w w:val="105"/>
        </w:rPr>
        <w:t>the </w:t>
      </w:r>
      <w:r>
        <w:rPr>
          <w:spacing w:val="-4"/>
          <w:w w:val="105"/>
        </w:rPr>
        <w:t>QCAT </w:t>
      </w:r>
      <w:r>
        <w:rPr>
          <w:w w:val="105"/>
        </w:rPr>
        <w:t>decision was </w:t>
      </w:r>
      <w:r>
        <w:rPr>
          <w:spacing w:val="-2"/>
          <w:w w:val="105"/>
        </w:rPr>
        <w:t>wrong, </w:t>
      </w:r>
      <w:r>
        <w:rPr>
          <w:spacing w:val="-3"/>
          <w:w w:val="105"/>
        </w:rPr>
        <w:t>for example, </w:t>
      </w:r>
      <w:r>
        <w:rPr>
          <w:w w:val="105"/>
        </w:rPr>
        <w:t>if the </w:t>
      </w:r>
      <w:r>
        <w:rPr>
          <w:spacing w:val="-3"/>
          <w:w w:val="105"/>
        </w:rPr>
        <w:t>tribunal </w:t>
      </w:r>
      <w:r>
        <w:rPr>
          <w:w w:val="105"/>
        </w:rPr>
        <w:t>applied the wrong legal test and/or there </w:t>
      </w:r>
      <w:r>
        <w:rPr>
          <w:spacing w:val="-2"/>
          <w:w w:val="105"/>
        </w:rPr>
        <w:t>has </w:t>
      </w:r>
      <w:r>
        <w:rPr>
          <w:w w:val="105"/>
        </w:rPr>
        <w:t>been a </w:t>
      </w:r>
      <w:r>
        <w:rPr>
          <w:spacing w:val="-3"/>
          <w:w w:val="105"/>
        </w:rPr>
        <w:t>substantial injustice </w:t>
      </w:r>
      <w:r>
        <w:rPr>
          <w:w w:val="105"/>
        </w:rPr>
        <w:t>and an appeal is necessary </w:t>
      </w:r>
      <w:r>
        <w:rPr>
          <w:spacing w:val="-3"/>
          <w:w w:val="105"/>
        </w:rPr>
        <w:t>to </w:t>
      </w:r>
      <w:r>
        <w:rPr>
          <w:w w:val="105"/>
        </w:rPr>
        <w:t>correct the</w:t>
      </w:r>
      <w:r>
        <w:rPr>
          <w:spacing w:val="25"/>
          <w:w w:val="105"/>
        </w:rPr>
        <w:t> </w:t>
      </w:r>
      <w:r>
        <w:rPr>
          <w:spacing w:val="-5"/>
          <w:w w:val="105"/>
        </w:rPr>
        <w:t>decision’.</w:t>
      </w:r>
      <w:r>
        <w:rPr>
          <w:spacing w:val="-5"/>
          <w:w w:val="105"/>
          <w:position w:val="7"/>
          <w:sz w:val="12"/>
        </w:rPr>
        <w:t>104</w:t>
      </w:r>
    </w:p>
    <w:p>
      <w:pPr>
        <w:pStyle w:val="BodyText"/>
        <w:rPr>
          <w:sz w:val="20"/>
        </w:rPr>
      </w:pPr>
    </w:p>
    <w:p>
      <w:pPr>
        <w:pStyle w:val="BodyText"/>
        <w:rPr>
          <w:sz w:val="20"/>
        </w:rPr>
      </w:pPr>
    </w:p>
    <w:p>
      <w:pPr>
        <w:pStyle w:val="BodyText"/>
      </w:pPr>
      <w:r>
        <w:rPr/>
        <w:pict>
          <v:line style="position:absolute;mso-position-horizontal-relative:page;mso-position-vertical-relative:paragraph;z-index:8816;mso-wrap-distance-left:0;mso-wrap-distance-right:0" from="79.370102pt,15.297595pt" to="515.905102pt,15.29759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47"/>
        </w:numPr>
        <w:tabs>
          <w:tab w:pos="2380" w:val="left" w:leader="none"/>
          <w:tab w:pos="2382" w:val="left" w:leader="none"/>
        </w:tabs>
        <w:spacing w:line="240" w:lineRule="auto" w:before="48" w:after="0"/>
        <w:ind w:left="2381" w:right="6" w:hanging="794"/>
        <w:jc w:val="both"/>
        <w:rPr>
          <w:sz w:val="13"/>
        </w:rPr>
      </w:pPr>
      <w:r>
        <w:rPr>
          <w:w w:val="105"/>
          <w:sz w:val="13"/>
        </w:rPr>
        <w:t>Rehearings are a form of appeal which allows a case to be reopened and determined on both issues of fact and law. New material that was</w:t>
      </w:r>
      <w:r>
        <w:rPr>
          <w:spacing w:val="30"/>
          <w:w w:val="105"/>
          <w:sz w:val="13"/>
        </w:rPr>
        <w:t> </w:t>
      </w:r>
      <w:r>
        <w:rPr>
          <w:w w:val="105"/>
          <w:sz w:val="13"/>
        </w:rPr>
        <w:t>not produced in the original hearing may also be considered: Peter Butt </w:t>
      </w:r>
      <w:r>
        <w:rPr>
          <w:spacing w:val="2"/>
          <w:w w:val="105"/>
          <w:sz w:val="13"/>
        </w:rPr>
        <w:t>(ed), </w:t>
      </w:r>
      <w:r>
        <w:rPr>
          <w:i/>
          <w:w w:val="105"/>
          <w:sz w:val="13"/>
        </w:rPr>
        <w:t>Butterworths’ Concise Australian Legal Dictionary </w:t>
      </w:r>
      <w:r>
        <w:rPr>
          <w:spacing w:val="2"/>
          <w:w w:val="105"/>
          <w:sz w:val="13"/>
        </w:rPr>
        <w:t>(Lexis </w:t>
      </w:r>
      <w:r>
        <w:rPr>
          <w:spacing w:val="3"/>
          <w:w w:val="105"/>
          <w:sz w:val="13"/>
        </w:rPr>
        <w:t>Nexis/ </w:t>
      </w:r>
      <w:r>
        <w:rPr>
          <w:w w:val="105"/>
          <w:sz w:val="13"/>
        </w:rPr>
        <w:t>Butterworths, 3rd ed, </w:t>
      </w:r>
      <w:r>
        <w:rPr>
          <w:spacing w:val="2"/>
          <w:w w:val="105"/>
          <w:sz w:val="13"/>
        </w:rPr>
        <w:t>2004)</w:t>
      </w:r>
      <w:r>
        <w:rPr>
          <w:spacing w:val="18"/>
          <w:w w:val="105"/>
          <w:sz w:val="13"/>
        </w:rPr>
        <w:t> </w:t>
      </w:r>
      <w:r>
        <w:rPr>
          <w:w w:val="105"/>
          <w:sz w:val="13"/>
        </w:rPr>
        <w:t>‘re-hearing’.</w:t>
      </w:r>
    </w:p>
    <w:p>
      <w:pPr>
        <w:pStyle w:val="ListParagraph"/>
        <w:numPr>
          <w:ilvl w:val="0"/>
          <w:numId w:val="147"/>
        </w:numPr>
        <w:tabs>
          <w:tab w:pos="2380" w:val="left" w:leader="none"/>
          <w:tab w:pos="2382" w:val="left" w:leader="none"/>
        </w:tabs>
        <w:spacing w:line="240" w:lineRule="auto" w:before="4" w:after="0"/>
        <w:ind w:left="2381" w:right="14" w:hanging="794"/>
        <w:jc w:val="both"/>
        <w:rPr>
          <w:sz w:val="13"/>
        </w:rPr>
      </w:pPr>
      <w:r>
        <w:rPr>
          <w:w w:val="105"/>
          <w:sz w:val="13"/>
        </w:rPr>
        <w:t>In limited circumstances it is possible to apply for a re-hearing of a Guardianship and Administration case, Power of Attorney case, Disability Act case or Medical Treatment Planning and Decisions Act case. </w:t>
      </w:r>
      <w:r>
        <w:rPr>
          <w:i/>
          <w:w w:val="105"/>
          <w:sz w:val="13"/>
        </w:rPr>
        <w:t>Guardianship and Administration Act 1986 </w:t>
      </w:r>
      <w:r>
        <w:rPr>
          <w:spacing w:val="2"/>
          <w:w w:val="105"/>
          <w:sz w:val="13"/>
        </w:rPr>
        <w:t>(Vic), </w:t>
      </w:r>
      <w:r>
        <w:rPr>
          <w:w w:val="105"/>
          <w:sz w:val="13"/>
        </w:rPr>
        <w:t>s 60A; </w:t>
      </w:r>
      <w:r>
        <w:rPr>
          <w:i/>
          <w:w w:val="105"/>
          <w:sz w:val="13"/>
        </w:rPr>
        <w:t>Disability Act 2006 </w:t>
      </w:r>
      <w:r>
        <w:rPr>
          <w:spacing w:val="2"/>
          <w:w w:val="105"/>
          <w:sz w:val="13"/>
        </w:rPr>
        <w:t>(Vic) </w:t>
      </w:r>
      <w:r>
        <w:rPr>
          <w:w w:val="105"/>
          <w:sz w:val="13"/>
        </w:rPr>
        <w:t>s </w:t>
      </w:r>
      <w:r>
        <w:rPr>
          <w:spacing w:val="-3"/>
          <w:w w:val="105"/>
          <w:sz w:val="13"/>
        </w:rPr>
        <w:t>197; </w:t>
      </w:r>
      <w:r>
        <w:rPr>
          <w:i/>
          <w:w w:val="105"/>
          <w:sz w:val="13"/>
        </w:rPr>
        <w:t>Powers of Attorney Act </w:t>
      </w:r>
      <w:r>
        <w:rPr>
          <w:i/>
          <w:spacing w:val="-3"/>
          <w:w w:val="105"/>
          <w:sz w:val="13"/>
        </w:rPr>
        <w:t>2014 </w:t>
      </w:r>
      <w:r>
        <w:rPr>
          <w:spacing w:val="2"/>
          <w:w w:val="105"/>
          <w:sz w:val="13"/>
        </w:rPr>
        <w:t>(Vic) </w:t>
      </w:r>
      <w:r>
        <w:rPr>
          <w:w w:val="105"/>
          <w:sz w:val="13"/>
        </w:rPr>
        <w:t>divs </w:t>
      </w:r>
      <w:r>
        <w:rPr>
          <w:spacing w:val="3"/>
          <w:w w:val="105"/>
          <w:sz w:val="13"/>
        </w:rPr>
        <w:t>4–5; </w:t>
      </w:r>
      <w:r>
        <w:rPr>
          <w:i/>
          <w:w w:val="105"/>
          <w:sz w:val="13"/>
        </w:rPr>
        <w:t>Medical Treatment Planning and Decisions Act </w:t>
      </w:r>
      <w:r>
        <w:rPr>
          <w:i/>
          <w:spacing w:val="-3"/>
          <w:w w:val="105"/>
          <w:sz w:val="13"/>
        </w:rPr>
        <w:t>2016 </w:t>
      </w:r>
      <w:r>
        <w:rPr>
          <w:spacing w:val="2"/>
          <w:w w:val="105"/>
          <w:sz w:val="13"/>
        </w:rPr>
        <w:t>(Vic) </w:t>
      </w:r>
      <w:r>
        <w:rPr>
          <w:w w:val="105"/>
          <w:sz w:val="13"/>
        </w:rPr>
        <w:t>s</w:t>
      </w:r>
      <w:r>
        <w:rPr>
          <w:spacing w:val="29"/>
          <w:w w:val="105"/>
          <w:sz w:val="13"/>
        </w:rPr>
        <w:t> </w:t>
      </w:r>
      <w:r>
        <w:rPr>
          <w:spacing w:val="2"/>
          <w:w w:val="105"/>
          <w:sz w:val="13"/>
        </w:rPr>
        <w:t>88.</w:t>
      </w:r>
    </w:p>
    <w:p>
      <w:pPr>
        <w:pStyle w:val="ListParagraph"/>
        <w:numPr>
          <w:ilvl w:val="0"/>
          <w:numId w:val="147"/>
        </w:numPr>
        <w:tabs>
          <w:tab w:pos="2380" w:val="left" w:leader="none"/>
          <w:tab w:pos="2382" w:val="left" w:leader="none"/>
        </w:tabs>
        <w:spacing w:line="240" w:lineRule="auto" w:before="4" w:after="0"/>
        <w:ind w:left="2381" w:right="0" w:hanging="794"/>
        <w:jc w:val="left"/>
        <w:rPr>
          <w:i/>
          <w:sz w:val="13"/>
        </w:rPr>
      </w:pPr>
      <w:r>
        <w:rPr>
          <w:i/>
          <w:w w:val="105"/>
          <w:sz w:val="13"/>
        </w:rPr>
        <w:t>Guardianship</w:t>
      </w:r>
      <w:r>
        <w:rPr>
          <w:i/>
          <w:spacing w:val="8"/>
          <w:w w:val="105"/>
          <w:sz w:val="13"/>
        </w:rPr>
        <w:t> </w:t>
      </w:r>
      <w:r>
        <w:rPr>
          <w:i/>
          <w:w w:val="105"/>
          <w:sz w:val="13"/>
        </w:rPr>
        <w:t>and</w:t>
      </w:r>
      <w:r>
        <w:rPr>
          <w:i/>
          <w:spacing w:val="9"/>
          <w:w w:val="105"/>
          <w:sz w:val="13"/>
        </w:rPr>
        <w:t> </w:t>
      </w:r>
      <w:r>
        <w:rPr>
          <w:i/>
          <w:w w:val="105"/>
          <w:sz w:val="13"/>
        </w:rPr>
        <w:t>Administration</w:t>
      </w:r>
      <w:r>
        <w:rPr>
          <w:i/>
          <w:spacing w:val="9"/>
          <w:w w:val="105"/>
          <w:sz w:val="13"/>
        </w:rPr>
        <w:t> </w:t>
      </w:r>
      <w:r>
        <w:rPr>
          <w:i/>
          <w:w w:val="105"/>
          <w:sz w:val="13"/>
        </w:rPr>
        <w:t>Act</w:t>
      </w:r>
      <w:r>
        <w:rPr>
          <w:i/>
          <w:spacing w:val="9"/>
          <w:w w:val="105"/>
          <w:sz w:val="13"/>
        </w:rPr>
        <w:t> </w:t>
      </w:r>
      <w:r>
        <w:rPr>
          <w:i/>
          <w:w w:val="105"/>
          <w:sz w:val="13"/>
        </w:rPr>
        <w:t>1986</w:t>
      </w:r>
      <w:r>
        <w:rPr>
          <w:i/>
          <w:spacing w:val="8"/>
          <w:w w:val="105"/>
          <w:sz w:val="13"/>
        </w:rPr>
        <w:t> </w:t>
      </w:r>
      <w:r>
        <w:rPr>
          <w:spacing w:val="2"/>
          <w:w w:val="105"/>
          <w:sz w:val="13"/>
        </w:rPr>
        <w:t>(Vic),</w:t>
      </w:r>
      <w:r>
        <w:rPr>
          <w:spacing w:val="9"/>
          <w:w w:val="105"/>
          <w:sz w:val="13"/>
        </w:rPr>
        <w:t> </w:t>
      </w:r>
      <w:r>
        <w:rPr>
          <w:w w:val="105"/>
          <w:sz w:val="13"/>
        </w:rPr>
        <w:t>s</w:t>
      </w:r>
      <w:r>
        <w:rPr>
          <w:spacing w:val="9"/>
          <w:w w:val="105"/>
          <w:sz w:val="13"/>
        </w:rPr>
        <w:t> </w:t>
      </w:r>
      <w:r>
        <w:rPr>
          <w:w w:val="105"/>
          <w:sz w:val="13"/>
        </w:rPr>
        <w:t>60C;</w:t>
      </w:r>
      <w:r>
        <w:rPr>
          <w:spacing w:val="9"/>
          <w:w w:val="105"/>
          <w:sz w:val="13"/>
        </w:rPr>
        <w:t> </w:t>
      </w:r>
      <w:r>
        <w:rPr>
          <w:i/>
          <w:w w:val="105"/>
          <w:sz w:val="13"/>
        </w:rPr>
        <w:t>Medical</w:t>
      </w:r>
      <w:r>
        <w:rPr>
          <w:i/>
          <w:spacing w:val="9"/>
          <w:w w:val="105"/>
          <w:sz w:val="13"/>
        </w:rPr>
        <w:t> </w:t>
      </w:r>
      <w:r>
        <w:rPr>
          <w:i/>
          <w:w w:val="105"/>
          <w:sz w:val="13"/>
        </w:rPr>
        <w:t>Treatment</w:t>
      </w:r>
      <w:r>
        <w:rPr>
          <w:i/>
          <w:spacing w:val="8"/>
          <w:w w:val="105"/>
          <w:sz w:val="13"/>
        </w:rPr>
        <w:t> </w:t>
      </w:r>
      <w:r>
        <w:rPr>
          <w:i/>
          <w:w w:val="105"/>
          <w:sz w:val="13"/>
        </w:rPr>
        <w:t>Planning</w:t>
      </w:r>
      <w:r>
        <w:rPr>
          <w:i/>
          <w:spacing w:val="9"/>
          <w:w w:val="105"/>
          <w:sz w:val="13"/>
        </w:rPr>
        <w:t> </w:t>
      </w:r>
      <w:r>
        <w:rPr>
          <w:i/>
          <w:w w:val="105"/>
          <w:sz w:val="13"/>
        </w:rPr>
        <w:t>and</w:t>
      </w:r>
      <w:r>
        <w:rPr>
          <w:i/>
          <w:spacing w:val="9"/>
          <w:w w:val="105"/>
          <w:sz w:val="13"/>
        </w:rPr>
        <w:t> </w:t>
      </w:r>
      <w:r>
        <w:rPr>
          <w:i/>
          <w:w w:val="105"/>
          <w:sz w:val="13"/>
        </w:rPr>
        <w:t>Decisions</w:t>
      </w:r>
      <w:r>
        <w:rPr>
          <w:i/>
          <w:spacing w:val="9"/>
          <w:w w:val="105"/>
          <w:sz w:val="13"/>
        </w:rPr>
        <w:t> </w:t>
      </w:r>
      <w:r>
        <w:rPr>
          <w:i/>
          <w:w w:val="105"/>
          <w:sz w:val="13"/>
        </w:rPr>
        <w:t>Act</w:t>
      </w:r>
      <w:r>
        <w:rPr>
          <w:i/>
          <w:spacing w:val="8"/>
          <w:w w:val="105"/>
          <w:sz w:val="13"/>
        </w:rPr>
        <w:t> </w:t>
      </w:r>
      <w:r>
        <w:rPr>
          <w:i/>
          <w:spacing w:val="-3"/>
          <w:w w:val="105"/>
          <w:sz w:val="13"/>
        </w:rPr>
        <w:t>2016</w:t>
      </w:r>
      <w:r>
        <w:rPr>
          <w:i/>
          <w:spacing w:val="9"/>
          <w:w w:val="105"/>
          <w:sz w:val="13"/>
        </w:rPr>
        <w:t> </w:t>
      </w:r>
      <w:r>
        <w:rPr>
          <w:spacing w:val="2"/>
          <w:w w:val="105"/>
          <w:sz w:val="13"/>
        </w:rPr>
        <w:t>(Vic)</w:t>
      </w:r>
      <w:r>
        <w:rPr>
          <w:spacing w:val="9"/>
          <w:w w:val="105"/>
          <w:sz w:val="13"/>
        </w:rPr>
        <w:t> </w:t>
      </w:r>
      <w:r>
        <w:rPr>
          <w:w w:val="105"/>
          <w:sz w:val="13"/>
        </w:rPr>
        <w:t>s</w:t>
      </w:r>
      <w:r>
        <w:rPr>
          <w:spacing w:val="9"/>
          <w:w w:val="105"/>
          <w:sz w:val="13"/>
        </w:rPr>
        <w:t> </w:t>
      </w:r>
      <w:r>
        <w:rPr>
          <w:spacing w:val="2"/>
          <w:w w:val="105"/>
          <w:sz w:val="13"/>
        </w:rPr>
        <w:t>89;</w:t>
      </w:r>
      <w:r>
        <w:rPr>
          <w:spacing w:val="9"/>
          <w:w w:val="105"/>
          <w:sz w:val="13"/>
        </w:rPr>
        <w:t> </w:t>
      </w:r>
      <w:r>
        <w:rPr>
          <w:i/>
          <w:w w:val="105"/>
          <w:sz w:val="13"/>
        </w:rPr>
        <w:t>Disability</w:t>
      </w:r>
      <w:r>
        <w:rPr>
          <w:i/>
          <w:spacing w:val="8"/>
          <w:w w:val="105"/>
          <w:sz w:val="13"/>
        </w:rPr>
        <w:t> </w:t>
      </w:r>
      <w:r>
        <w:rPr>
          <w:i/>
          <w:w w:val="105"/>
          <w:sz w:val="13"/>
        </w:rPr>
        <w:t>Act</w:t>
      </w:r>
      <w:r>
        <w:rPr>
          <w:i/>
          <w:spacing w:val="9"/>
          <w:w w:val="105"/>
          <w:sz w:val="13"/>
        </w:rPr>
        <w:t> </w:t>
      </w:r>
      <w:r>
        <w:rPr>
          <w:i/>
          <w:w w:val="105"/>
          <w:sz w:val="13"/>
        </w:rPr>
        <w:t>2006</w:t>
      </w:r>
    </w:p>
    <w:p>
      <w:pPr>
        <w:spacing w:before="1"/>
        <w:ind w:left="2381" w:right="0" w:firstLine="0"/>
        <w:jc w:val="left"/>
        <w:rPr>
          <w:sz w:val="13"/>
        </w:rPr>
      </w:pPr>
      <w:r>
        <w:rPr>
          <w:w w:val="105"/>
          <w:sz w:val="13"/>
        </w:rPr>
        <w:t>(Vic) s 198; </w:t>
      </w:r>
      <w:r>
        <w:rPr>
          <w:i/>
          <w:w w:val="105"/>
          <w:sz w:val="13"/>
        </w:rPr>
        <w:t>Powers of Attorney Act 2014 </w:t>
      </w:r>
      <w:r>
        <w:rPr>
          <w:w w:val="105"/>
          <w:sz w:val="13"/>
        </w:rPr>
        <w:t>(Vic) ss 127, 129.</w:t>
      </w:r>
    </w:p>
    <w:p>
      <w:pPr>
        <w:pStyle w:val="ListParagraph"/>
        <w:numPr>
          <w:ilvl w:val="0"/>
          <w:numId w:val="147"/>
        </w:numPr>
        <w:tabs>
          <w:tab w:pos="2380" w:val="left" w:leader="none"/>
          <w:tab w:pos="2382" w:val="left" w:leader="none"/>
        </w:tabs>
        <w:spacing w:line="240" w:lineRule="auto" w:before="2" w:after="0"/>
        <w:ind w:left="1587" w:right="4970" w:firstLine="0"/>
        <w:jc w:val="left"/>
        <w:rPr>
          <w:sz w:val="13"/>
        </w:rPr>
      </w:pPr>
      <w:r>
        <w:rPr>
          <w:i/>
          <w:w w:val="105"/>
          <w:sz w:val="13"/>
        </w:rPr>
        <w:t>Land and Environment Court Act </w:t>
      </w:r>
      <w:r>
        <w:rPr>
          <w:i/>
          <w:spacing w:val="-3"/>
          <w:w w:val="105"/>
          <w:sz w:val="13"/>
        </w:rPr>
        <w:t>1979 </w:t>
      </w:r>
      <w:r>
        <w:rPr>
          <w:spacing w:val="3"/>
          <w:w w:val="105"/>
          <w:sz w:val="13"/>
        </w:rPr>
        <w:t>(NSW) </w:t>
      </w:r>
      <w:r>
        <w:rPr>
          <w:w w:val="105"/>
          <w:sz w:val="13"/>
        </w:rPr>
        <w:t>s 5(1). 95</w:t>
        <w:tab/>
        <w:t>Ibid ss 56A(1),</w:t>
      </w:r>
      <w:r>
        <w:rPr>
          <w:spacing w:val="14"/>
          <w:w w:val="105"/>
          <w:sz w:val="13"/>
        </w:rPr>
        <w:t> </w:t>
      </w:r>
      <w:r>
        <w:rPr>
          <w:w w:val="105"/>
          <w:sz w:val="13"/>
        </w:rPr>
        <w:t>57(1).</w:t>
      </w:r>
    </w:p>
    <w:p>
      <w:pPr>
        <w:tabs>
          <w:tab w:pos="2381" w:val="left" w:leader="none"/>
        </w:tabs>
        <w:spacing w:before="2"/>
        <w:ind w:left="1587" w:right="5011" w:hanging="1"/>
        <w:jc w:val="left"/>
        <w:rPr>
          <w:sz w:val="13"/>
        </w:rPr>
      </w:pPr>
      <w:r>
        <w:rPr>
          <w:sz w:val="13"/>
        </w:rPr>
        <w:t>96</w:t>
        <w:tab/>
        <w:t>Ibid s 56A(1). See, eg, </w:t>
      </w:r>
      <w:r>
        <w:rPr>
          <w:i/>
          <w:sz w:val="13"/>
        </w:rPr>
        <w:t>Li v Fang </w:t>
      </w:r>
      <w:r>
        <w:rPr>
          <w:sz w:val="13"/>
        </w:rPr>
        <w:t>[2018] NSWLEC 33.     97</w:t>
        <w:tab/>
        <w:t>Ibid ss 57(1),</w:t>
      </w:r>
      <w:r>
        <w:rPr>
          <w:spacing w:val="20"/>
          <w:sz w:val="13"/>
        </w:rPr>
        <w:t> </w:t>
      </w:r>
      <w:r>
        <w:rPr>
          <w:spacing w:val="5"/>
          <w:sz w:val="13"/>
        </w:rPr>
        <w:t>57(4)(a)–(b).</w:t>
      </w:r>
    </w:p>
    <w:p>
      <w:pPr>
        <w:tabs>
          <w:tab w:pos="2381" w:val="left" w:leader="none"/>
        </w:tabs>
        <w:spacing w:before="3"/>
        <w:ind w:left="1587" w:right="0" w:firstLine="0"/>
        <w:jc w:val="left"/>
        <w:rPr>
          <w:sz w:val="13"/>
        </w:rPr>
      </w:pPr>
      <w:r>
        <w:rPr>
          <w:w w:val="105"/>
          <w:sz w:val="13"/>
        </w:rPr>
        <w:t>98</w:t>
        <w:tab/>
        <w:t>Ibid s</w:t>
      </w:r>
      <w:r>
        <w:rPr>
          <w:spacing w:val="9"/>
          <w:w w:val="105"/>
          <w:sz w:val="13"/>
        </w:rPr>
        <w:t> </w:t>
      </w:r>
      <w:r>
        <w:rPr>
          <w:spacing w:val="3"/>
          <w:w w:val="105"/>
          <w:sz w:val="13"/>
        </w:rPr>
        <w:t>39(3).</w:t>
      </w:r>
    </w:p>
    <w:p>
      <w:pPr>
        <w:pStyle w:val="ListParagraph"/>
        <w:numPr>
          <w:ilvl w:val="0"/>
          <w:numId w:val="148"/>
        </w:numPr>
        <w:tabs>
          <w:tab w:pos="2381" w:val="left" w:leader="none"/>
          <w:tab w:pos="2382" w:val="left" w:leader="none"/>
        </w:tabs>
        <w:spacing w:line="240" w:lineRule="auto" w:before="1" w:after="0"/>
        <w:ind w:left="2381" w:right="0" w:hanging="794"/>
        <w:jc w:val="left"/>
        <w:rPr>
          <w:sz w:val="13"/>
        </w:rPr>
      </w:pPr>
      <w:r>
        <w:rPr>
          <w:i/>
          <w:w w:val="105"/>
          <w:sz w:val="13"/>
        </w:rPr>
        <w:t>Queensland</w:t>
      </w:r>
      <w:r>
        <w:rPr>
          <w:i/>
          <w:spacing w:val="4"/>
          <w:w w:val="105"/>
          <w:sz w:val="13"/>
        </w:rPr>
        <w:t> </w:t>
      </w:r>
      <w:r>
        <w:rPr>
          <w:i/>
          <w:w w:val="105"/>
          <w:sz w:val="13"/>
        </w:rPr>
        <w:t>Civil</w:t>
      </w:r>
      <w:r>
        <w:rPr>
          <w:i/>
          <w:spacing w:val="5"/>
          <w:w w:val="105"/>
          <w:sz w:val="13"/>
        </w:rPr>
        <w:t> </w:t>
      </w:r>
      <w:r>
        <w:rPr>
          <w:i/>
          <w:w w:val="105"/>
          <w:sz w:val="13"/>
        </w:rPr>
        <w:t>and</w:t>
      </w:r>
      <w:r>
        <w:rPr>
          <w:i/>
          <w:spacing w:val="5"/>
          <w:w w:val="105"/>
          <w:sz w:val="13"/>
        </w:rPr>
        <w:t> </w:t>
      </w:r>
      <w:r>
        <w:rPr>
          <w:i/>
          <w:w w:val="105"/>
          <w:sz w:val="13"/>
        </w:rPr>
        <w:t>Administrative</w:t>
      </w:r>
      <w:r>
        <w:rPr>
          <w:i/>
          <w:spacing w:val="5"/>
          <w:w w:val="105"/>
          <w:sz w:val="13"/>
        </w:rPr>
        <w:t> </w:t>
      </w:r>
      <w:r>
        <w:rPr>
          <w:i/>
          <w:w w:val="105"/>
          <w:sz w:val="13"/>
        </w:rPr>
        <w:t>Tribunal</w:t>
      </w:r>
      <w:r>
        <w:rPr>
          <w:i/>
          <w:spacing w:val="5"/>
          <w:w w:val="105"/>
          <w:sz w:val="13"/>
        </w:rPr>
        <w:t> </w:t>
      </w:r>
      <w:r>
        <w:rPr>
          <w:i/>
          <w:w w:val="105"/>
          <w:sz w:val="13"/>
        </w:rPr>
        <w:t>Act</w:t>
      </w:r>
      <w:r>
        <w:rPr>
          <w:i/>
          <w:spacing w:val="5"/>
          <w:w w:val="105"/>
          <w:sz w:val="13"/>
        </w:rPr>
        <w:t> </w:t>
      </w:r>
      <w:r>
        <w:rPr>
          <w:i/>
          <w:w w:val="105"/>
          <w:sz w:val="13"/>
        </w:rPr>
        <w:t>2009</w:t>
      </w:r>
      <w:r>
        <w:rPr>
          <w:i/>
          <w:spacing w:val="5"/>
          <w:w w:val="105"/>
          <w:sz w:val="13"/>
        </w:rPr>
        <w:t> </w:t>
      </w:r>
      <w:r>
        <w:rPr>
          <w:spacing w:val="2"/>
          <w:w w:val="105"/>
          <w:sz w:val="13"/>
        </w:rPr>
        <w:t>(Qld)</w:t>
      </w:r>
      <w:r>
        <w:rPr>
          <w:spacing w:val="4"/>
          <w:w w:val="105"/>
          <w:sz w:val="13"/>
        </w:rPr>
        <w:t> </w:t>
      </w:r>
      <w:r>
        <w:rPr>
          <w:w w:val="105"/>
          <w:sz w:val="13"/>
        </w:rPr>
        <w:t>s</w:t>
      </w:r>
      <w:r>
        <w:rPr>
          <w:spacing w:val="5"/>
          <w:w w:val="105"/>
          <w:sz w:val="13"/>
        </w:rPr>
        <w:t> </w:t>
      </w:r>
      <w:r>
        <w:rPr>
          <w:w w:val="105"/>
          <w:sz w:val="13"/>
        </w:rPr>
        <w:t>164.</w:t>
      </w:r>
    </w:p>
    <w:p>
      <w:pPr>
        <w:pStyle w:val="ListParagraph"/>
        <w:numPr>
          <w:ilvl w:val="0"/>
          <w:numId w:val="148"/>
        </w:numPr>
        <w:tabs>
          <w:tab w:pos="2381" w:val="left" w:leader="none"/>
          <w:tab w:pos="2382" w:val="left" w:leader="none"/>
        </w:tabs>
        <w:spacing w:line="240" w:lineRule="auto" w:before="2" w:after="0"/>
        <w:ind w:left="2381" w:right="218" w:hanging="794"/>
        <w:jc w:val="left"/>
        <w:rPr>
          <w:sz w:val="13"/>
        </w:rPr>
      </w:pPr>
      <w:r>
        <w:rPr>
          <w:w w:val="105"/>
          <w:sz w:val="13"/>
        </w:rPr>
        <w:t>Within the meaning of section 77(iii) of the </w:t>
      </w:r>
      <w:r>
        <w:rPr>
          <w:i/>
          <w:w w:val="105"/>
          <w:sz w:val="13"/>
        </w:rPr>
        <w:t>Australian Constitution: Owen v Menzies </w:t>
      </w:r>
      <w:r>
        <w:rPr>
          <w:w w:val="105"/>
          <w:sz w:val="13"/>
        </w:rPr>
        <w:t>(2012) 293 </w:t>
      </w:r>
      <w:r>
        <w:rPr>
          <w:spacing w:val="2"/>
          <w:w w:val="105"/>
          <w:sz w:val="13"/>
        </w:rPr>
        <w:t>ALR </w:t>
      </w:r>
      <w:r>
        <w:rPr>
          <w:spacing w:val="-3"/>
          <w:w w:val="105"/>
          <w:sz w:val="13"/>
        </w:rPr>
        <w:t>571. </w:t>
      </w:r>
      <w:r>
        <w:rPr>
          <w:w w:val="105"/>
          <w:sz w:val="13"/>
        </w:rPr>
        <w:t>See also </w:t>
      </w:r>
      <w:r>
        <w:rPr>
          <w:i/>
          <w:w w:val="105"/>
          <w:sz w:val="13"/>
        </w:rPr>
        <w:t>Queensland Civil and </w:t>
      </w:r>
      <w:r>
        <w:rPr>
          <w:i/>
          <w:w w:val="105"/>
          <w:sz w:val="13"/>
        </w:rPr>
        <w:t>Administrative Tribunal Act 2009 </w:t>
      </w:r>
      <w:r>
        <w:rPr>
          <w:spacing w:val="2"/>
          <w:w w:val="105"/>
          <w:sz w:val="13"/>
        </w:rPr>
        <w:t>(Qld) </w:t>
      </w:r>
      <w:r>
        <w:rPr>
          <w:w w:val="105"/>
          <w:sz w:val="13"/>
        </w:rPr>
        <w:t>s</w:t>
      </w:r>
      <w:r>
        <w:rPr>
          <w:spacing w:val="26"/>
          <w:w w:val="105"/>
          <w:sz w:val="13"/>
        </w:rPr>
        <w:t> </w:t>
      </w:r>
      <w:r>
        <w:rPr>
          <w:w w:val="105"/>
          <w:sz w:val="13"/>
        </w:rPr>
        <w:t>164.</w:t>
      </w:r>
    </w:p>
    <w:p>
      <w:pPr>
        <w:pStyle w:val="ListParagraph"/>
        <w:numPr>
          <w:ilvl w:val="0"/>
          <w:numId w:val="148"/>
        </w:numPr>
        <w:tabs>
          <w:tab w:pos="2381" w:val="left" w:leader="none"/>
          <w:tab w:pos="2382" w:val="left" w:leader="none"/>
        </w:tabs>
        <w:spacing w:line="240" w:lineRule="auto" w:before="2" w:after="0"/>
        <w:ind w:left="2381" w:right="0" w:hanging="794"/>
        <w:jc w:val="left"/>
        <w:rPr>
          <w:sz w:val="13"/>
        </w:rPr>
      </w:pPr>
      <w:r>
        <w:rPr>
          <w:w w:val="105"/>
          <w:sz w:val="13"/>
        </w:rPr>
        <w:t>Pamela</w:t>
      </w:r>
      <w:r>
        <w:rPr>
          <w:spacing w:val="5"/>
          <w:w w:val="105"/>
          <w:sz w:val="13"/>
        </w:rPr>
        <w:t> </w:t>
      </w:r>
      <w:r>
        <w:rPr>
          <w:w w:val="105"/>
          <w:sz w:val="13"/>
        </w:rPr>
        <w:t>O’Connor,</w:t>
      </w:r>
      <w:r>
        <w:rPr>
          <w:spacing w:val="5"/>
          <w:w w:val="105"/>
          <w:sz w:val="13"/>
        </w:rPr>
        <w:t> </w:t>
      </w:r>
      <w:r>
        <w:rPr>
          <w:i/>
          <w:w w:val="105"/>
          <w:sz w:val="13"/>
        </w:rPr>
        <w:t>Tribunal</w:t>
      </w:r>
      <w:r>
        <w:rPr>
          <w:i/>
          <w:spacing w:val="5"/>
          <w:w w:val="105"/>
          <w:sz w:val="13"/>
        </w:rPr>
        <w:t> </w:t>
      </w:r>
      <w:r>
        <w:rPr>
          <w:i/>
          <w:w w:val="105"/>
          <w:sz w:val="13"/>
        </w:rPr>
        <w:t>Independence</w:t>
      </w:r>
      <w:r>
        <w:rPr>
          <w:i/>
          <w:spacing w:val="5"/>
          <w:w w:val="105"/>
          <w:sz w:val="13"/>
        </w:rPr>
        <w:t> </w:t>
      </w:r>
      <w:r>
        <w:rPr>
          <w:spacing w:val="2"/>
          <w:w w:val="105"/>
          <w:sz w:val="13"/>
        </w:rPr>
        <w:t>(The</w:t>
      </w:r>
      <w:r>
        <w:rPr>
          <w:spacing w:val="5"/>
          <w:w w:val="105"/>
          <w:sz w:val="13"/>
        </w:rPr>
        <w:t> </w:t>
      </w:r>
      <w:r>
        <w:rPr>
          <w:w w:val="105"/>
          <w:sz w:val="13"/>
        </w:rPr>
        <w:t>Australasian</w:t>
      </w:r>
      <w:r>
        <w:rPr>
          <w:spacing w:val="5"/>
          <w:w w:val="105"/>
          <w:sz w:val="13"/>
        </w:rPr>
        <w:t> </w:t>
      </w:r>
      <w:r>
        <w:rPr>
          <w:w w:val="105"/>
          <w:sz w:val="13"/>
        </w:rPr>
        <w:t>Institute</w:t>
      </w:r>
      <w:r>
        <w:rPr>
          <w:spacing w:val="5"/>
          <w:w w:val="105"/>
          <w:sz w:val="13"/>
        </w:rPr>
        <w:t> </w:t>
      </w:r>
      <w:r>
        <w:rPr>
          <w:w w:val="105"/>
          <w:sz w:val="13"/>
        </w:rPr>
        <w:t>of</w:t>
      </w:r>
      <w:r>
        <w:rPr>
          <w:spacing w:val="6"/>
          <w:w w:val="105"/>
          <w:sz w:val="13"/>
        </w:rPr>
        <w:t> </w:t>
      </w:r>
      <w:r>
        <w:rPr>
          <w:w w:val="105"/>
          <w:sz w:val="13"/>
        </w:rPr>
        <w:t>Judicial</w:t>
      </w:r>
      <w:r>
        <w:rPr>
          <w:spacing w:val="5"/>
          <w:w w:val="105"/>
          <w:sz w:val="13"/>
        </w:rPr>
        <w:t> </w:t>
      </w:r>
      <w:r>
        <w:rPr>
          <w:w w:val="105"/>
          <w:sz w:val="13"/>
        </w:rPr>
        <w:t>Administration</w:t>
      </w:r>
      <w:r>
        <w:rPr>
          <w:spacing w:val="5"/>
          <w:w w:val="105"/>
          <w:sz w:val="13"/>
        </w:rPr>
        <w:t> </w:t>
      </w:r>
      <w:r>
        <w:rPr>
          <w:w w:val="105"/>
          <w:sz w:val="13"/>
        </w:rPr>
        <w:t>Incorporated,</w:t>
      </w:r>
      <w:r>
        <w:rPr>
          <w:spacing w:val="5"/>
          <w:w w:val="105"/>
          <w:sz w:val="13"/>
        </w:rPr>
        <w:t> </w:t>
      </w:r>
      <w:r>
        <w:rPr>
          <w:w w:val="105"/>
          <w:sz w:val="13"/>
        </w:rPr>
        <w:t>2013)</w:t>
      </w:r>
      <w:r>
        <w:rPr>
          <w:spacing w:val="5"/>
          <w:w w:val="105"/>
          <w:sz w:val="13"/>
        </w:rPr>
        <w:t> </w:t>
      </w:r>
      <w:r>
        <w:rPr>
          <w:w w:val="105"/>
          <w:sz w:val="13"/>
        </w:rPr>
        <w:t>3</w:t>
      </w:r>
      <w:r>
        <w:rPr>
          <w:spacing w:val="5"/>
          <w:w w:val="105"/>
          <w:sz w:val="13"/>
        </w:rPr>
        <w:t> </w:t>
      </w:r>
      <w:r>
        <w:rPr>
          <w:w w:val="105"/>
          <w:sz w:val="13"/>
        </w:rPr>
        <w:t>n</w:t>
      </w:r>
      <w:r>
        <w:rPr>
          <w:spacing w:val="5"/>
          <w:w w:val="105"/>
          <w:sz w:val="13"/>
        </w:rPr>
        <w:t> </w:t>
      </w:r>
      <w:r>
        <w:rPr>
          <w:w w:val="105"/>
          <w:sz w:val="13"/>
        </w:rPr>
        <w:t>[19].</w:t>
      </w:r>
    </w:p>
    <w:p>
      <w:pPr>
        <w:pStyle w:val="ListParagraph"/>
        <w:numPr>
          <w:ilvl w:val="0"/>
          <w:numId w:val="148"/>
        </w:numPr>
        <w:tabs>
          <w:tab w:pos="2381" w:val="left" w:leader="none"/>
          <w:tab w:pos="2382" w:val="left" w:leader="none"/>
        </w:tabs>
        <w:spacing w:line="240" w:lineRule="auto" w:before="2" w:after="0"/>
        <w:ind w:left="2381" w:right="15" w:hanging="794"/>
        <w:jc w:val="left"/>
        <w:rPr>
          <w:sz w:val="13"/>
        </w:rPr>
      </w:pPr>
      <w:r>
        <w:rPr>
          <w:i/>
          <w:w w:val="105"/>
          <w:sz w:val="13"/>
        </w:rPr>
        <w:t>Queensland Civil and Administrative Tribunal Act 2009 </w:t>
      </w:r>
      <w:r>
        <w:rPr>
          <w:spacing w:val="2"/>
          <w:w w:val="105"/>
          <w:sz w:val="13"/>
        </w:rPr>
        <w:t>(Qld) </w:t>
      </w:r>
      <w:r>
        <w:rPr>
          <w:w w:val="105"/>
          <w:sz w:val="13"/>
        </w:rPr>
        <w:t>ss 146, </w:t>
      </w:r>
      <w:r>
        <w:rPr>
          <w:spacing w:val="-3"/>
          <w:w w:val="105"/>
          <w:sz w:val="13"/>
        </w:rPr>
        <w:t>147;  </w:t>
      </w:r>
      <w:r>
        <w:rPr>
          <w:w w:val="105"/>
          <w:sz w:val="13"/>
        </w:rPr>
        <w:t>Queensland Civil and Administrative Tribunal, </w:t>
      </w:r>
      <w:r>
        <w:rPr>
          <w:i/>
          <w:w w:val="105"/>
          <w:sz w:val="13"/>
        </w:rPr>
        <w:t>Decision About a</w:t>
      </w:r>
      <w:r>
        <w:rPr>
          <w:i/>
          <w:spacing w:val="30"/>
          <w:w w:val="105"/>
          <w:sz w:val="13"/>
        </w:rPr>
        <w:t> </w:t>
      </w:r>
      <w:r>
        <w:rPr>
          <w:i/>
          <w:w w:val="105"/>
          <w:sz w:val="13"/>
        </w:rPr>
        <w:t>Minor Civil Dispute </w:t>
      </w:r>
      <w:r>
        <w:rPr>
          <w:w w:val="105"/>
          <w:sz w:val="13"/>
        </w:rPr>
        <w:t>(Web Page, </w:t>
      </w:r>
      <w:r>
        <w:rPr>
          <w:spacing w:val="-3"/>
          <w:w w:val="105"/>
          <w:sz w:val="13"/>
        </w:rPr>
        <w:t>15 </w:t>
      </w:r>
      <w:r>
        <w:rPr>
          <w:w w:val="105"/>
          <w:sz w:val="13"/>
        </w:rPr>
        <w:t>February 2019) </w:t>
      </w:r>
      <w:r>
        <w:rPr>
          <w:spacing w:val="2"/>
          <w:w w:val="105"/>
          <w:sz w:val="13"/>
        </w:rPr>
        <w:t>&lt;https://</w:t>
      </w:r>
      <w:hyperlink r:id="rId236">
        <w:r>
          <w:rPr>
            <w:spacing w:val="2"/>
            <w:w w:val="105"/>
            <w:sz w:val="13"/>
          </w:rPr>
          <w:t>www.qcat.qld.gov.au/qcat-decisions/appealing-a-qcat-decision/decision-about-</w:t>
        </w:r>
      </w:hyperlink>
      <w:r>
        <w:rPr>
          <w:spacing w:val="2"/>
          <w:w w:val="105"/>
          <w:sz w:val="13"/>
        </w:rPr>
        <w:t> </w:t>
      </w:r>
      <w:r>
        <w:rPr>
          <w:w w:val="105"/>
          <w:sz w:val="13"/>
        </w:rPr>
        <w:t>a-minor-civil-dispute&gt;.</w:t>
      </w:r>
    </w:p>
    <w:p>
      <w:pPr>
        <w:pStyle w:val="ListParagraph"/>
        <w:numPr>
          <w:ilvl w:val="0"/>
          <w:numId w:val="148"/>
        </w:numPr>
        <w:tabs>
          <w:tab w:pos="2381" w:val="left" w:leader="none"/>
          <w:tab w:pos="2382" w:val="left" w:leader="none"/>
        </w:tabs>
        <w:spacing w:line="240" w:lineRule="auto" w:before="4" w:after="0"/>
        <w:ind w:left="2381" w:right="0" w:hanging="794"/>
        <w:jc w:val="left"/>
        <w:rPr>
          <w:sz w:val="13"/>
        </w:rPr>
      </w:pPr>
      <w:r>
        <w:rPr>
          <w:i/>
          <w:w w:val="105"/>
          <w:sz w:val="13"/>
        </w:rPr>
        <w:t>Queensland Civil and Administrative Tribunal Act 2009 </w:t>
      </w:r>
      <w:r>
        <w:rPr>
          <w:spacing w:val="2"/>
          <w:w w:val="105"/>
          <w:sz w:val="13"/>
        </w:rPr>
        <w:t>(Qld) </w:t>
      </w:r>
      <w:r>
        <w:rPr>
          <w:w w:val="105"/>
          <w:sz w:val="13"/>
        </w:rPr>
        <w:t>s 142(3); Queensland Civil and Administrative Tribunal, </w:t>
      </w:r>
      <w:r>
        <w:rPr>
          <w:i/>
          <w:w w:val="105"/>
          <w:sz w:val="13"/>
        </w:rPr>
        <w:t>Decision About a Minor </w:t>
      </w:r>
      <w:r>
        <w:rPr>
          <w:i/>
          <w:w w:val="105"/>
          <w:sz w:val="13"/>
        </w:rPr>
        <w:t>Civil Dispute </w:t>
      </w:r>
      <w:r>
        <w:rPr>
          <w:w w:val="105"/>
          <w:sz w:val="13"/>
        </w:rPr>
        <w:t>(Web Page,15 February 2019) </w:t>
      </w:r>
      <w:r>
        <w:rPr>
          <w:spacing w:val="2"/>
          <w:w w:val="105"/>
          <w:sz w:val="13"/>
        </w:rPr>
        <w:t>&lt;https://</w:t>
      </w:r>
      <w:hyperlink r:id="rId237">
        <w:r>
          <w:rPr>
            <w:spacing w:val="2"/>
            <w:w w:val="105"/>
            <w:sz w:val="13"/>
          </w:rPr>
          <w:t>www.qcat.qld.gov.au/qcat-decisions/appealing-a-qcat-decision/decision-about-a-</w:t>
        </w:r>
      </w:hyperlink>
      <w:r>
        <w:rPr>
          <w:spacing w:val="2"/>
          <w:w w:val="105"/>
          <w:sz w:val="13"/>
        </w:rPr>
        <w:t> </w:t>
      </w:r>
      <w:r>
        <w:rPr>
          <w:w w:val="105"/>
          <w:sz w:val="13"/>
        </w:rPr>
        <w:t>minor-civil-dispute&gt;.</w:t>
      </w:r>
    </w:p>
    <w:p>
      <w:pPr>
        <w:pStyle w:val="ListParagraph"/>
        <w:numPr>
          <w:ilvl w:val="0"/>
          <w:numId w:val="148"/>
        </w:numPr>
        <w:tabs>
          <w:tab w:pos="2381" w:val="left" w:leader="none"/>
          <w:tab w:pos="2382" w:val="left" w:leader="none"/>
        </w:tabs>
        <w:spacing w:line="240" w:lineRule="auto" w:before="4" w:after="0"/>
        <w:ind w:left="2381" w:right="65" w:hanging="794"/>
        <w:jc w:val="both"/>
        <w:rPr>
          <w:sz w:val="13"/>
        </w:rPr>
      </w:pPr>
      <w:r>
        <w:rPr>
          <w:w w:val="105"/>
          <w:sz w:val="13"/>
        </w:rPr>
        <w:t>Queensland Civil and Administrative Tribunal, </w:t>
      </w:r>
      <w:r>
        <w:rPr>
          <w:i/>
          <w:w w:val="105"/>
          <w:sz w:val="13"/>
        </w:rPr>
        <w:t>Minor Civil Disputes—Appeals </w:t>
      </w:r>
      <w:r>
        <w:rPr>
          <w:spacing w:val="2"/>
          <w:w w:val="105"/>
          <w:sz w:val="13"/>
        </w:rPr>
        <w:t>(Factsheet, </w:t>
      </w:r>
      <w:r>
        <w:rPr>
          <w:w w:val="105"/>
          <w:sz w:val="13"/>
        </w:rPr>
        <w:t>version 3, May 2017) 1 </w:t>
      </w:r>
      <w:hyperlink r:id="rId238">
        <w:r>
          <w:rPr>
            <w:w w:val="105"/>
            <w:sz w:val="13"/>
          </w:rPr>
          <w:t>https://www.qcat.qld.gov.</w:t>
        </w:r>
      </w:hyperlink>
      <w:hyperlink r:id="rId238">
        <w:r>
          <w:rPr>
            <w:w w:val="105"/>
            <w:sz w:val="13"/>
          </w:rPr>
          <w:t> au/qcat-decisions/appeals-in-minor-civil-disputes</w:t>
        </w:r>
      </w:hyperlink>
      <w:r>
        <w:rPr>
          <w:w w:val="105"/>
          <w:sz w:val="13"/>
        </w:rPr>
        <w:t>; </w:t>
      </w:r>
      <w:r>
        <w:rPr>
          <w:i/>
          <w:w w:val="105"/>
          <w:sz w:val="13"/>
        </w:rPr>
        <w:t>Queensland Civil and Administrative Tribunal Act 2009 </w:t>
      </w:r>
      <w:r>
        <w:rPr>
          <w:spacing w:val="2"/>
          <w:w w:val="105"/>
          <w:sz w:val="13"/>
        </w:rPr>
        <w:t>(Qld) </w:t>
      </w:r>
      <w:r>
        <w:rPr>
          <w:w w:val="105"/>
          <w:sz w:val="13"/>
        </w:rPr>
        <w:t>sch 3 </w:t>
      </w:r>
      <w:r>
        <w:rPr>
          <w:spacing w:val="2"/>
          <w:w w:val="105"/>
          <w:sz w:val="13"/>
        </w:rPr>
        <w:t>Dictionary </w:t>
      </w:r>
      <w:r>
        <w:rPr>
          <w:w w:val="105"/>
          <w:sz w:val="13"/>
        </w:rPr>
        <w:t>‘reopening ground’.</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183"/>
        <w:ind w:left="510" w:right="545" w:firstLine="0"/>
        <w:jc w:val="center"/>
        <w:rPr>
          <w:b/>
          <w:sz w:val="24"/>
        </w:rPr>
      </w:pPr>
      <w:r>
        <w:rPr>
          <w:b/>
          <w:color w:val="658464"/>
          <w:w w:val="110"/>
          <w:sz w:val="24"/>
        </w:rPr>
        <w:t>203</w:t>
      </w:r>
    </w:p>
    <w:p>
      <w:pPr>
        <w:spacing w:after="0"/>
        <w:jc w:val="center"/>
        <w:rPr>
          <w:sz w:val="24"/>
        </w:rPr>
        <w:sectPr>
          <w:type w:val="continuous"/>
          <w:pgSz w:w="11910" w:h="16840"/>
          <w:pgMar w:top="300" w:bottom="280" w:left="0" w:right="0"/>
          <w:cols w:num="2" w:equalWidth="0">
            <w:col w:w="10316" w:space="40"/>
            <w:col w:w="1554"/>
          </w:cols>
        </w:sectPr>
      </w:pPr>
    </w:p>
    <w:p>
      <w:pPr>
        <w:pStyle w:val="BodyText"/>
        <w:spacing w:before="9"/>
        <w:rPr>
          <w:b/>
          <w:sz w:val="22"/>
        </w:rPr>
      </w:pPr>
    </w:p>
    <w:p>
      <w:pPr>
        <w:pStyle w:val="ListParagraph"/>
        <w:numPr>
          <w:ilvl w:val="1"/>
          <w:numId w:val="16"/>
        </w:numPr>
        <w:tabs>
          <w:tab w:pos="2380" w:val="left" w:leader="none"/>
          <w:tab w:pos="2381" w:val="left" w:leader="none"/>
        </w:tabs>
        <w:spacing w:line="242" w:lineRule="auto" w:before="92" w:after="0"/>
        <w:ind w:left="2381" w:right="1777" w:hanging="794"/>
        <w:jc w:val="left"/>
        <w:rPr>
          <w:sz w:val="21"/>
        </w:rPr>
      </w:pPr>
      <w:bookmarkStart w:name="Community responses—appeals" w:id="231"/>
      <w:bookmarkEnd w:id="231"/>
      <w:r>
        <w:rPr/>
      </w:r>
      <w:bookmarkStart w:name="_bookmark111" w:id="232"/>
      <w:bookmarkEnd w:id="232"/>
      <w:r>
        <w:rPr/>
      </w:r>
      <w:bookmarkStart w:name="_bookmark111" w:id="233"/>
      <w:bookmarkEnd w:id="233"/>
      <w:r>
        <w:rPr>
          <w:w w:val="105"/>
          <w:sz w:val="21"/>
        </w:rPr>
        <w:t>I</w:t>
      </w:r>
      <w:r>
        <w:rPr>
          <w:w w:val="105"/>
          <w:sz w:val="21"/>
        </w:rPr>
        <w:t>f </w:t>
      </w:r>
      <w:r>
        <w:rPr>
          <w:spacing w:val="-3"/>
          <w:w w:val="105"/>
          <w:sz w:val="21"/>
        </w:rPr>
        <w:t>leave </w:t>
      </w:r>
      <w:r>
        <w:rPr>
          <w:w w:val="105"/>
          <w:sz w:val="21"/>
        </w:rPr>
        <w:t>is </w:t>
      </w:r>
      <w:r>
        <w:rPr>
          <w:spacing w:val="-3"/>
          <w:w w:val="105"/>
          <w:sz w:val="21"/>
        </w:rPr>
        <w:t>granted, </w:t>
      </w:r>
      <w:r>
        <w:rPr>
          <w:w w:val="105"/>
          <w:sz w:val="21"/>
        </w:rPr>
        <w:t>then the appeal </w:t>
      </w:r>
      <w:r>
        <w:rPr>
          <w:spacing w:val="-3"/>
          <w:w w:val="105"/>
          <w:sz w:val="21"/>
        </w:rPr>
        <w:t>will </w:t>
      </w:r>
      <w:r>
        <w:rPr>
          <w:w w:val="105"/>
          <w:sz w:val="21"/>
        </w:rPr>
        <w:t>be decided by </w:t>
      </w:r>
      <w:r>
        <w:rPr>
          <w:spacing w:val="-3"/>
          <w:w w:val="105"/>
          <w:sz w:val="21"/>
        </w:rPr>
        <w:t>way </w:t>
      </w:r>
      <w:r>
        <w:rPr>
          <w:w w:val="105"/>
          <w:sz w:val="21"/>
        </w:rPr>
        <w:t>of a </w:t>
      </w:r>
      <w:r>
        <w:rPr>
          <w:spacing w:val="-3"/>
          <w:w w:val="105"/>
          <w:sz w:val="21"/>
        </w:rPr>
        <w:t>rehearing </w:t>
      </w:r>
      <w:r>
        <w:rPr>
          <w:w w:val="105"/>
          <w:sz w:val="21"/>
        </w:rPr>
        <w:t>in which the </w:t>
      </w:r>
      <w:r>
        <w:rPr>
          <w:spacing w:val="-3"/>
          <w:w w:val="105"/>
          <w:sz w:val="21"/>
        </w:rPr>
        <w:t>original information </w:t>
      </w:r>
      <w:r>
        <w:rPr>
          <w:w w:val="105"/>
          <w:sz w:val="21"/>
        </w:rPr>
        <w:t>and evidence </w:t>
      </w:r>
      <w:r>
        <w:rPr>
          <w:spacing w:val="-3"/>
          <w:w w:val="105"/>
          <w:sz w:val="21"/>
        </w:rPr>
        <w:t>are presented </w:t>
      </w:r>
      <w:r>
        <w:rPr>
          <w:spacing w:val="-5"/>
          <w:w w:val="105"/>
          <w:sz w:val="21"/>
        </w:rPr>
        <w:t>again.</w:t>
      </w:r>
      <w:r>
        <w:rPr>
          <w:spacing w:val="-5"/>
          <w:w w:val="105"/>
          <w:position w:val="7"/>
          <w:sz w:val="12"/>
        </w:rPr>
        <w:t>105 </w:t>
      </w:r>
      <w:r>
        <w:rPr>
          <w:w w:val="105"/>
          <w:sz w:val="21"/>
        </w:rPr>
        <w:t>New </w:t>
      </w:r>
      <w:r>
        <w:rPr>
          <w:spacing w:val="-3"/>
          <w:w w:val="105"/>
          <w:sz w:val="21"/>
        </w:rPr>
        <w:t>information </w:t>
      </w:r>
      <w:r>
        <w:rPr>
          <w:w w:val="105"/>
          <w:sz w:val="21"/>
        </w:rPr>
        <w:t>and evidence can also be </w:t>
      </w:r>
      <w:r>
        <w:rPr>
          <w:spacing w:val="-3"/>
          <w:w w:val="105"/>
          <w:sz w:val="21"/>
        </w:rPr>
        <w:t>presented </w:t>
      </w:r>
      <w:r>
        <w:rPr>
          <w:w w:val="105"/>
          <w:sz w:val="21"/>
        </w:rPr>
        <w:t>with</w:t>
      </w:r>
      <w:r>
        <w:rPr>
          <w:spacing w:val="28"/>
          <w:w w:val="105"/>
          <w:sz w:val="21"/>
        </w:rPr>
        <w:t> </w:t>
      </w:r>
      <w:r>
        <w:rPr>
          <w:spacing w:val="-5"/>
          <w:w w:val="105"/>
          <w:sz w:val="21"/>
        </w:rPr>
        <w:t>leave.</w:t>
      </w:r>
      <w:r>
        <w:rPr>
          <w:spacing w:val="-5"/>
          <w:w w:val="105"/>
          <w:position w:val="7"/>
          <w:sz w:val="12"/>
        </w:rPr>
        <w:t>106</w:t>
      </w:r>
    </w:p>
    <w:p>
      <w:pPr>
        <w:pStyle w:val="ListParagraph"/>
        <w:numPr>
          <w:ilvl w:val="1"/>
          <w:numId w:val="16"/>
        </w:numPr>
        <w:tabs>
          <w:tab w:pos="2380" w:val="left" w:leader="none"/>
          <w:tab w:pos="2382" w:val="left" w:leader="none"/>
        </w:tabs>
        <w:spacing w:line="242" w:lineRule="auto" w:before="123" w:after="0"/>
        <w:ind w:left="2381" w:right="1666" w:hanging="794"/>
        <w:jc w:val="left"/>
        <w:rPr>
          <w:sz w:val="21"/>
        </w:rPr>
      </w:pPr>
      <w:r>
        <w:rPr>
          <w:spacing w:val="-4"/>
          <w:w w:val="105"/>
          <w:sz w:val="21"/>
        </w:rPr>
        <w:t>However, </w:t>
      </w:r>
      <w:r>
        <w:rPr>
          <w:w w:val="105"/>
          <w:sz w:val="21"/>
        </w:rPr>
        <w:t>if the </w:t>
      </w:r>
      <w:r>
        <w:rPr>
          <w:spacing w:val="-3"/>
          <w:w w:val="105"/>
          <w:sz w:val="21"/>
        </w:rPr>
        <w:t>original </w:t>
      </w:r>
      <w:r>
        <w:rPr>
          <w:spacing w:val="-4"/>
          <w:w w:val="105"/>
          <w:sz w:val="21"/>
        </w:rPr>
        <w:t>QCAT </w:t>
      </w:r>
      <w:r>
        <w:rPr>
          <w:w w:val="105"/>
          <w:sz w:val="21"/>
        </w:rPr>
        <w:t>decision was made by a judge sitting in </w:t>
      </w:r>
      <w:r>
        <w:rPr>
          <w:spacing w:val="-4"/>
          <w:w w:val="105"/>
          <w:sz w:val="21"/>
        </w:rPr>
        <w:t>QCAT </w:t>
      </w:r>
      <w:r>
        <w:rPr>
          <w:w w:val="105"/>
          <w:sz w:val="21"/>
        </w:rPr>
        <w:t>then a party </w:t>
      </w:r>
      <w:r>
        <w:rPr>
          <w:spacing w:val="-3"/>
          <w:w w:val="105"/>
          <w:sz w:val="21"/>
        </w:rPr>
        <w:t>may </w:t>
      </w:r>
      <w:r>
        <w:rPr>
          <w:w w:val="105"/>
          <w:sz w:val="21"/>
        </w:rPr>
        <w:t>appeal the decision </w:t>
      </w:r>
      <w:r>
        <w:rPr>
          <w:spacing w:val="-3"/>
          <w:w w:val="105"/>
          <w:sz w:val="21"/>
        </w:rPr>
        <w:t>to </w:t>
      </w:r>
      <w:r>
        <w:rPr>
          <w:w w:val="105"/>
          <w:sz w:val="21"/>
        </w:rPr>
        <w:t>the </w:t>
      </w:r>
      <w:r>
        <w:rPr>
          <w:spacing w:val="-3"/>
          <w:w w:val="105"/>
          <w:sz w:val="21"/>
        </w:rPr>
        <w:t>Queensland Court </w:t>
      </w:r>
      <w:r>
        <w:rPr>
          <w:w w:val="105"/>
          <w:sz w:val="21"/>
        </w:rPr>
        <w:t>of </w:t>
      </w:r>
      <w:r>
        <w:rPr>
          <w:spacing w:val="-4"/>
          <w:w w:val="105"/>
          <w:sz w:val="21"/>
        </w:rPr>
        <w:t>Appeal.</w:t>
      </w:r>
      <w:r>
        <w:rPr>
          <w:spacing w:val="-4"/>
          <w:w w:val="105"/>
          <w:position w:val="7"/>
          <w:sz w:val="12"/>
        </w:rPr>
        <w:t>107 </w:t>
      </w:r>
      <w:r>
        <w:rPr>
          <w:w w:val="105"/>
          <w:sz w:val="21"/>
        </w:rPr>
        <w:t>Appeals on a</w:t>
      </w:r>
      <w:r>
        <w:rPr>
          <w:spacing w:val="32"/>
          <w:w w:val="105"/>
          <w:sz w:val="21"/>
        </w:rPr>
        <w:t> </w:t>
      </w:r>
      <w:r>
        <w:rPr>
          <w:w w:val="105"/>
          <w:sz w:val="21"/>
        </w:rPr>
        <w:t>question</w:t>
      </w:r>
    </w:p>
    <w:p>
      <w:pPr>
        <w:pStyle w:val="BodyText"/>
        <w:spacing w:line="242" w:lineRule="auto" w:before="2"/>
        <w:ind w:left="2381" w:right="1742" w:hanging="1"/>
        <w:rPr>
          <w:sz w:val="12"/>
        </w:rPr>
      </w:pPr>
      <w:r>
        <w:rPr>
          <w:w w:val="105"/>
        </w:rPr>
        <w:t>of law only are as of right.</w:t>
      </w:r>
      <w:r>
        <w:rPr>
          <w:w w:val="105"/>
          <w:position w:val="7"/>
          <w:sz w:val="12"/>
        </w:rPr>
        <w:t>108 </w:t>
      </w:r>
      <w:r>
        <w:rPr>
          <w:w w:val="105"/>
        </w:rPr>
        <w:t>Appeals on questions of fact or mixed fact and law require leave of the Court.</w:t>
      </w:r>
      <w:r>
        <w:rPr>
          <w:w w:val="105"/>
          <w:position w:val="7"/>
          <w:sz w:val="12"/>
        </w:rPr>
        <w:t>109</w:t>
      </w:r>
    </w:p>
    <w:p>
      <w:pPr>
        <w:pStyle w:val="ListParagraph"/>
        <w:numPr>
          <w:ilvl w:val="1"/>
          <w:numId w:val="16"/>
        </w:numPr>
        <w:tabs>
          <w:tab w:pos="2380" w:val="left" w:leader="none"/>
          <w:tab w:pos="2382" w:val="left" w:leader="none"/>
        </w:tabs>
        <w:spacing w:line="242" w:lineRule="auto" w:before="122" w:after="0"/>
        <w:ind w:left="2381" w:right="1764" w:hanging="794"/>
        <w:jc w:val="left"/>
        <w:rPr>
          <w:sz w:val="21"/>
        </w:rPr>
      </w:pPr>
      <w:r>
        <w:rPr>
          <w:w w:val="105"/>
          <w:sz w:val="21"/>
        </w:rPr>
        <w:t>A person </w:t>
      </w:r>
      <w:r>
        <w:rPr>
          <w:spacing w:val="-3"/>
          <w:w w:val="105"/>
          <w:sz w:val="21"/>
        </w:rPr>
        <w:t>may </w:t>
      </w:r>
      <w:r>
        <w:rPr>
          <w:w w:val="105"/>
          <w:sz w:val="21"/>
        </w:rPr>
        <w:t>also apply </w:t>
      </w:r>
      <w:r>
        <w:rPr>
          <w:spacing w:val="-3"/>
          <w:w w:val="105"/>
          <w:sz w:val="21"/>
        </w:rPr>
        <w:t>for </w:t>
      </w:r>
      <w:r>
        <w:rPr>
          <w:spacing w:val="-4"/>
          <w:w w:val="105"/>
          <w:sz w:val="21"/>
        </w:rPr>
        <w:t>QCAT </w:t>
      </w:r>
      <w:r>
        <w:rPr>
          <w:spacing w:val="-3"/>
          <w:w w:val="105"/>
          <w:sz w:val="21"/>
        </w:rPr>
        <w:t>to </w:t>
      </w:r>
      <w:r>
        <w:rPr>
          <w:w w:val="105"/>
          <w:sz w:val="21"/>
        </w:rPr>
        <w:t>reopen a matter if they did </w:t>
      </w:r>
      <w:r>
        <w:rPr>
          <w:spacing w:val="-2"/>
          <w:w w:val="105"/>
          <w:sz w:val="21"/>
        </w:rPr>
        <w:t>not </w:t>
      </w:r>
      <w:r>
        <w:rPr>
          <w:w w:val="105"/>
          <w:sz w:val="21"/>
        </w:rPr>
        <w:t>attend the </w:t>
      </w:r>
      <w:r>
        <w:rPr>
          <w:spacing w:val="-3"/>
          <w:w w:val="105"/>
          <w:sz w:val="21"/>
        </w:rPr>
        <w:t>hearing </w:t>
      </w:r>
      <w:r>
        <w:rPr>
          <w:w w:val="105"/>
          <w:sz w:val="21"/>
        </w:rPr>
        <w:t>or if they would suffer </w:t>
      </w:r>
      <w:r>
        <w:rPr>
          <w:spacing w:val="-3"/>
          <w:w w:val="105"/>
          <w:sz w:val="21"/>
        </w:rPr>
        <w:t>substantial injustice </w:t>
      </w:r>
      <w:r>
        <w:rPr>
          <w:w w:val="105"/>
          <w:sz w:val="21"/>
        </w:rPr>
        <w:t>if the matter </w:t>
      </w:r>
      <w:r>
        <w:rPr>
          <w:spacing w:val="-3"/>
          <w:w w:val="105"/>
          <w:sz w:val="21"/>
        </w:rPr>
        <w:t>were </w:t>
      </w:r>
      <w:r>
        <w:rPr>
          <w:spacing w:val="-2"/>
          <w:w w:val="105"/>
          <w:sz w:val="21"/>
        </w:rPr>
        <w:t>not </w:t>
      </w:r>
      <w:r>
        <w:rPr>
          <w:w w:val="105"/>
          <w:sz w:val="21"/>
        </w:rPr>
        <w:t>reopened due </w:t>
      </w:r>
      <w:r>
        <w:rPr>
          <w:spacing w:val="-3"/>
          <w:w w:val="105"/>
          <w:sz w:val="21"/>
        </w:rPr>
        <w:t>to </w:t>
      </w:r>
      <w:r>
        <w:rPr>
          <w:w w:val="105"/>
          <w:sz w:val="21"/>
        </w:rPr>
        <w:t>the </w:t>
      </w:r>
      <w:r>
        <w:rPr>
          <w:spacing w:val="-3"/>
          <w:w w:val="105"/>
          <w:sz w:val="21"/>
        </w:rPr>
        <w:t>availability </w:t>
      </w:r>
      <w:r>
        <w:rPr>
          <w:w w:val="105"/>
          <w:sz w:val="21"/>
        </w:rPr>
        <w:t>of </w:t>
      </w:r>
      <w:r>
        <w:rPr>
          <w:spacing w:val="-3"/>
          <w:w w:val="105"/>
          <w:sz w:val="21"/>
        </w:rPr>
        <w:t>significant </w:t>
      </w:r>
      <w:r>
        <w:rPr>
          <w:w w:val="105"/>
          <w:sz w:val="21"/>
        </w:rPr>
        <w:t>new evidence </w:t>
      </w:r>
      <w:r>
        <w:rPr>
          <w:spacing w:val="-3"/>
          <w:w w:val="105"/>
          <w:sz w:val="21"/>
        </w:rPr>
        <w:t>since </w:t>
      </w:r>
      <w:r>
        <w:rPr>
          <w:w w:val="105"/>
          <w:sz w:val="21"/>
        </w:rPr>
        <w:t>the </w:t>
      </w:r>
      <w:r>
        <w:rPr>
          <w:spacing w:val="-3"/>
          <w:w w:val="105"/>
          <w:sz w:val="21"/>
        </w:rPr>
        <w:t>original </w:t>
      </w:r>
      <w:r>
        <w:rPr>
          <w:spacing w:val="-5"/>
          <w:w w:val="105"/>
          <w:sz w:val="21"/>
        </w:rPr>
        <w:t>hearing.</w:t>
      </w:r>
      <w:r>
        <w:rPr>
          <w:spacing w:val="-5"/>
          <w:w w:val="105"/>
          <w:position w:val="7"/>
          <w:sz w:val="12"/>
        </w:rPr>
        <w:t>110 </w:t>
      </w:r>
      <w:r>
        <w:rPr>
          <w:w w:val="105"/>
          <w:sz w:val="21"/>
        </w:rPr>
        <w:t>The </w:t>
      </w:r>
      <w:r>
        <w:rPr>
          <w:spacing w:val="-3"/>
          <w:w w:val="105"/>
          <w:sz w:val="21"/>
        </w:rPr>
        <w:t>hearing will </w:t>
      </w:r>
      <w:r>
        <w:rPr>
          <w:w w:val="105"/>
          <w:sz w:val="21"/>
        </w:rPr>
        <w:t>be conducted in </w:t>
      </w:r>
      <w:r>
        <w:rPr>
          <w:spacing w:val="-4"/>
          <w:w w:val="105"/>
          <w:sz w:val="21"/>
        </w:rPr>
        <w:t>QCAT </w:t>
      </w:r>
      <w:r>
        <w:rPr>
          <w:w w:val="105"/>
          <w:sz w:val="21"/>
        </w:rPr>
        <w:t>as a new </w:t>
      </w:r>
      <w:r>
        <w:rPr>
          <w:spacing w:val="-3"/>
          <w:w w:val="105"/>
          <w:sz w:val="21"/>
        </w:rPr>
        <w:t>hearing </w:t>
      </w:r>
      <w:r>
        <w:rPr>
          <w:w w:val="105"/>
          <w:sz w:val="21"/>
        </w:rPr>
        <w:t>on its</w:t>
      </w:r>
      <w:r>
        <w:rPr>
          <w:spacing w:val="4"/>
          <w:w w:val="105"/>
          <w:sz w:val="21"/>
        </w:rPr>
        <w:t> </w:t>
      </w:r>
      <w:r>
        <w:rPr>
          <w:spacing w:val="-6"/>
          <w:w w:val="105"/>
          <w:sz w:val="21"/>
        </w:rPr>
        <w:t>merits.</w:t>
      </w:r>
      <w:r>
        <w:rPr>
          <w:spacing w:val="-6"/>
          <w:w w:val="105"/>
          <w:position w:val="7"/>
          <w:sz w:val="12"/>
        </w:rPr>
        <w:t>111</w:t>
      </w:r>
    </w:p>
    <w:p>
      <w:pPr>
        <w:pStyle w:val="BodyText"/>
        <w:spacing w:before="5"/>
        <w:rPr>
          <w:sz w:val="20"/>
        </w:rPr>
      </w:pPr>
    </w:p>
    <w:p>
      <w:pPr>
        <w:pStyle w:val="Heading5"/>
      </w:pPr>
      <w:r>
        <w:rPr>
          <w:w w:val="110"/>
        </w:rPr>
        <w:t>Tasmania</w:t>
      </w:r>
    </w:p>
    <w:p>
      <w:pPr>
        <w:pStyle w:val="ListParagraph"/>
        <w:numPr>
          <w:ilvl w:val="1"/>
          <w:numId w:val="16"/>
        </w:numPr>
        <w:tabs>
          <w:tab w:pos="2381" w:val="left" w:leader="none"/>
          <w:tab w:pos="2382" w:val="left" w:leader="none"/>
        </w:tabs>
        <w:spacing w:line="242" w:lineRule="auto" w:before="138" w:after="0"/>
        <w:ind w:left="2381" w:right="1833" w:hanging="794"/>
        <w:jc w:val="left"/>
        <w:rPr>
          <w:sz w:val="21"/>
        </w:rPr>
      </w:pPr>
      <w:r>
        <w:rPr>
          <w:w w:val="105"/>
          <w:sz w:val="21"/>
        </w:rPr>
        <w:t>The appeal of tree </w:t>
      </w:r>
      <w:r>
        <w:rPr>
          <w:spacing w:val="-3"/>
          <w:w w:val="105"/>
          <w:sz w:val="21"/>
        </w:rPr>
        <w:t>disputes determined </w:t>
      </w:r>
      <w:r>
        <w:rPr>
          <w:w w:val="105"/>
          <w:sz w:val="21"/>
        </w:rPr>
        <w:t>under the </w:t>
      </w:r>
      <w:r>
        <w:rPr>
          <w:spacing w:val="-4"/>
          <w:w w:val="105"/>
          <w:sz w:val="21"/>
        </w:rPr>
        <w:t>Tasmanian </w:t>
      </w:r>
      <w:r>
        <w:rPr>
          <w:w w:val="105"/>
          <w:sz w:val="21"/>
        </w:rPr>
        <w:t>Act is governed by the </w:t>
      </w:r>
      <w:r>
        <w:rPr>
          <w:i/>
          <w:spacing w:val="-3"/>
          <w:w w:val="105"/>
          <w:sz w:val="21"/>
        </w:rPr>
        <w:t>Resource </w:t>
      </w:r>
      <w:r>
        <w:rPr>
          <w:i/>
          <w:w w:val="105"/>
          <w:sz w:val="21"/>
        </w:rPr>
        <w:t>Management and </w:t>
      </w:r>
      <w:r>
        <w:rPr>
          <w:i/>
          <w:spacing w:val="-3"/>
          <w:w w:val="105"/>
          <w:sz w:val="21"/>
        </w:rPr>
        <w:t>Planning </w:t>
      </w:r>
      <w:r>
        <w:rPr>
          <w:i/>
          <w:w w:val="105"/>
          <w:sz w:val="21"/>
        </w:rPr>
        <w:t>Appeal </w:t>
      </w:r>
      <w:r>
        <w:rPr>
          <w:i/>
          <w:spacing w:val="-4"/>
          <w:w w:val="105"/>
          <w:sz w:val="21"/>
        </w:rPr>
        <w:t>Tribunal </w:t>
      </w:r>
      <w:r>
        <w:rPr>
          <w:i/>
          <w:w w:val="105"/>
          <w:sz w:val="21"/>
        </w:rPr>
        <w:t>Act </w:t>
      </w:r>
      <w:r>
        <w:rPr>
          <w:i/>
          <w:spacing w:val="-6"/>
          <w:w w:val="105"/>
          <w:sz w:val="21"/>
        </w:rPr>
        <w:t>1993 </w:t>
      </w:r>
      <w:r>
        <w:rPr>
          <w:spacing w:val="-2"/>
          <w:w w:val="105"/>
          <w:sz w:val="21"/>
        </w:rPr>
        <w:t>(Tas), </w:t>
      </w:r>
      <w:r>
        <w:rPr>
          <w:w w:val="105"/>
          <w:sz w:val="21"/>
        </w:rPr>
        <w:t>the Act </w:t>
      </w:r>
      <w:r>
        <w:rPr>
          <w:spacing w:val="-3"/>
          <w:w w:val="105"/>
          <w:sz w:val="21"/>
        </w:rPr>
        <w:t>governing </w:t>
      </w:r>
      <w:r>
        <w:rPr>
          <w:w w:val="105"/>
          <w:sz w:val="21"/>
        </w:rPr>
        <w:t>the </w:t>
      </w:r>
      <w:r>
        <w:rPr>
          <w:spacing w:val="-3"/>
          <w:w w:val="105"/>
          <w:sz w:val="21"/>
        </w:rPr>
        <w:t>Resource Management </w:t>
      </w:r>
      <w:r>
        <w:rPr>
          <w:w w:val="105"/>
          <w:sz w:val="21"/>
        </w:rPr>
        <w:t>and </w:t>
      </w:r>
      <w:r>
        <w:rPr>
          <w:spacing w:val="-3"/>
          <w:w w:val="105"/>
          <w:sz w:val="21"/>
        </w:rPr>
        <w:t>Planning </w:t>
      </w:r>
      <w:r>
        <w:rPr>
          <w:w w:val="105"/>
          <w:sz w:val="21"/>
        </w:rPr>
        <w:t>Appeal </w:t>
      </w:r>
      <w:r>
        <w:rPr>
          <w:spacing w:val="-5"/>
          <w:w w:val="105"/>
          <w:sz w:val="21"/>
        </w:rPr>
        <w:t>Tribunal</w:t>
      </w:r>
      <w:r>
        <w:rPr>
          <w:spacing w:val="36"/>
          <w:w w:val="105"/>
          <w:sz w:val="21"/>
        </w:rPr>
        <w:t> </w:t>
      </w:r>
      <w:r>
        <w:rPr>
          <w:w w:val="105"/>
          <w:sz w:val="21"/>
        </w:rPr>
        <w:t>(RMPAT).</w:t>
      </w:r>
    </w:p>
    <w:p>
      <w:pPr>
        <w:pStyle w:val="ListParagraph"/>
        <w:numPr>
          <w:ilvl w:val="1"/>
          <w:numId w:val="16"/>
        </w:numPr>
        <w:tabs>
          <w:tab w:pos="2381" w:val="left" w:leader="none"/>
          <w:tab w:pos="2382" w:val="left" w:leader="none"/>
        </w:tabs>
        <w:spacing w:line="242" w:lineRule="auto" w:before="123" w:after="0"/>
        <w:ind w:left="2381" w:right="1719" w:hanging="794"/>
        <w:jc w:val="left"/>
        <w:rPr>
          <w:sz w:val="21"/>
        </w:rPr>
      </w:pPr>
      <w:r>
        <w:rPr>
          <w:w w:val="105"/>
          <w:sz w:val="21"/>
        </w:rPr>
        <w:t>Any decision of </w:t>
      </w:r>
      <w:r>
        <w:rPr>
          <w:spacing w:val="-6"/>
          <w:w w:val="105"/>
          <w:sz w:val="21"/>
        </w:rPr>
        <w:t>RMPAT </w:t>
      </w:r>
      <w:r>
        <w:rPr>
          <w:spacing w:val="-3"/>
          <w:w w:val="105"/>
          <w:sz w:val="21"/>
        </w:rPr>
        <w:t>may </w:t>
      </w:r>
      <w:r>
        <w:rPr>
          <w:w w:val="105"/>
          <w:sz w:val="21"/>
        </w:rPr>
        <w:t>be appealed as of </w:t>
      </w:r>
      <w:r>
        <w:rPr>
          <w:spacing w:val="-3"/>
          <w:w w:val="105"/>
          <w:sz w:val="21"/>
        </w:rPr>
        <w:t>right to </w:t>
      </w:r>
      <w:r>
        <w:rPr>
          <w:w w:val="105"/>
          <w:sz w:val="21"/>
        </w:rPr>
        <w:t>the </w:t>
      </w:r>
      <w:r>
        <w:rPr>
          <w:spacing w:val="-4"/>
          <w:w w:val="105"/>
          <w:sz w:val="21"/>
        </w:rPr>
        <w:t>Tasmanian </w:t>
      </w:r>
      <w:r>
        <w:rPr>
          <w:spacing w:val="-3"/>
          <w:w w:val="105"/>
          <w:sz w:val="21"/>
        </w:rPr>
        <w:t>Supreme Court </w:t>
      </w:r>
      <w:r>
        <w:rPr>
          <w:w w:val="105"/>
          <w:sz w:val="21"/>
        </w:rPr>
        <w:t>on questions of</w:t>
      </w:r>
      <w:r>
        <w:rPr>
          <w:spacing w:val="10"/>
          <w:w w:val="105"/>
          <w:sz w:val="21"/>
        </w:rPr>
        <w:t> </w:t>
      </w:r>
      <w:r>
        <w:rPr>
          <w:spacing w:val="-8"/>
          <w:w w:val="105"/>
          <w:sz w:val="21"/>
        </w:rPr>
        <w:t>law.</w:t>
      </w:r>
      <w:r>
        <w:rPr>
          <w:spacing w:val="-8"/>
          <w:w w:val="105"/>
          <w:position w:val="7"/>
          <w:sz w:val="12"/>
        </w:rPr>
        <w:t>112</w:t>
      </w:r>
    </w:p>
    <w:p>
      <w:pPr>
        <w:pStyle w:val="ListParagraph"/>
        <w:numPr>
          <w:ilvl w:val="1"/>
          <w:numId w:val="16"/>
        </w:numPr>
        <w:tabs>
          <w:tab w:pos="2381" w:val="left" w:leader="none"/>
          <w:tab w:pos="2382" w:val="left" w:leader="none"/>
        </w:tabs>
        <w:spacing w:line="242" w:lineRule="auto" w:before="122" w:after="0"/>
        <w:ind w:left="2381" w:right="1584" w:hanging="794"/>
        <w:jc w:val="left"/>
        <w:rPr>
          <w:sz w:val="21"/>
        </w:rPr>
      </w:pPr>
      <w:r>
        <w:rPr>
          <w:sz w:val="21"/>
        </w:rPr>
        <w:t>The </w:t>
      </w:r>
      <w:r>
        <w:rPr>
          <w:spacing w:val="-4"/>
          <w:sz w:val="21"/>
        </w:rPr>
        <w:t>Tasmanian </w:t>
      </w:r>
      <w:r>
        <w:rPr>
          <w:spacing w:val="-3"/>
          <w:sz w:val="21"/>
        </w:rPr>
        <w:t>Supreme Court </w:t>
      </w:r>
      <w:r>
        <w:rPr>
          <w:sz w:val="21"/>
        </w:rPr>
        <w:t>can </w:t>
      </w:r>
      <w:r>
        <w:rPr>
          <w:spacing w:val="-4"/>
          <w:sz w:val="21"/>
        </w:rPr>
        <w:t>make </w:t>
      </w:r>
      <w:r>
        <w:rPr>
          <w:spacing w:val="-3"/>
          <w:sz w:val="21"/>
        </w:rPr>
        <w:t>any </w:t>
      </w:r>
      <w:r>
        <w:rPr>
          <w:sz w:val="21"/>
        </w:rPr>
        <w:t>orders it  considers  </w:t>
      </w:r>
      <w:r>
        <w:rPr>
          <w:spacing w:val="-3"/>
          <w:sz w:val="21"/>
        </w:rPr>
        <w:t>appropriate,  including </w:t>
      </w:r>
      <w:r>
        <w:rPr>
          <w:sz w:val="21"/>
        </w:rPr>
        <w:t>orders affirming or setting aside the </w:t>
      </w:r>
      <w:r>
        <w:rPr>
          <w:spacing w:val="-3"/>
          <w:sz w:val="21"/>
        </w:rPr>
        <w:t>original </w:t>
      </w:r>
      <w:r>
        <w:rPr>
          <w:spacing w:val="-6"/>
          <w:sz w:val="21"/>
        </w:rPr>
        <w:t>RMPAT </w:t>
      </w:r>
      <w:r>
        <w:rPr>
          <w:sz w:val="21"/>
        </w:rPr>
        <w:t>decision; </w:t>
      </w:r>
      <w:r>
        <w:rPr>
          <w:spacing w:val="-3"/>
          <w:sz w:val="21"/>
        </w:rPr>
        <w:t>substituting  </w:t>
      </w:r>
      <w:r>
        <w:rPr>
          <w:sz w:val="21"/>
        </w:rPr>
        <w:t>its own decision  </w:t>
      </w:r>
      <w:r>
        <w:rPr>
          <w:spacing w:val="-3"/>
          <w:sz w:val="21"/>
        </w:rPr>
        <w:t>for </w:t>
      </w:r>
      <w:r>
        <w:rPr>
          <w:sz w:val="21"/>
        </w:rPr>
        <w:t>the </w:t>
      </w:r>
      <w:r>
        <w:rPr>
          <w:spacing w:val="-3"/>
          <w:sz w:val="21"/>
        </w:rPr>
        <w:t>original </w:t>
      </w:r>
      <w:r>
        <w:rPr>
          <w:spacing w:val="-6"/>
          <w:sz w:val="21"/>
        </w:rPr>
        <w:t>RMPAT </w:t>
      </w:r>
      <w:r>
        <w:rPr>
          <w:sz w:val="21"/>
        </w:rPr>
        <w:t>decision; or </w:t>
      </w:r>
      <w:r>
        <w:rPr>
          <w:spacing w:val="-3"/>
          <w:sz w:val="21"/>
        </w:rPr>
        <w:t>remitting </w:t>
      </w:r>
      <w:r>
        <w:rPr>
          <w:sz w:val="21"/>
        </w:rPr>
        <w:t>the matter </w:t>
      </w:r>
      <w:r>
        <w:rPr>
          <w:spacing w:val="-3"/>
          <w:sz w:val="21"/>
        </w:rPr>
        <w:t>to </w:t>
      </w:r>
      <w:r>
        <w:rPr>
          <w:spacing w:val="-6"/>
          <w:sz w:val="21"/>
        </w:rPr>
        <w:t>RMPAT </w:t>
      </w:r>
      <w:r>
        <w:rPr>
          <w:spacing w:val="-3"/>
          <w:sz w:val="21"/>
        </w:rPr>
        <w:t>for reconsideration </w:t>
      </w:r>
      <w:r>
        <w:rPr>
          <w:sz w:val="21"/>
        </w:rPr>
        <w:t>in </w:t>
      </w:r>
      <w:r>
        <w:rPr>
          <w:spacing w:val="-3"/>
          <w:sz w:val="21"/>
        </w:rPr>
        <w:t>accordance </w:t>
      </w:r>
      <w:r>
        <w:rPr>
          <w:sz w:val="21"/>
        </w:rPr>
        <w:t>with </w:t>
      </w:r>
      <w:r>
        <w:rPr>
          <w:spacing w:val="-3"/>
          <w:sz w:val="21"/>
        </w:rPr>
        <w:t>any</w:t>
      </w:r>
      <w:r>
        <w:rPr>
          <w:spacing w:val="30"/>
          <w:sz w:val="21"/>
        </w:rPr>
        <w:t> </w:t>
      </w:r>
      <w:r>
        <w:rPr>
          <w:spacing w:val="-5"/>
          <w:sz w:val="21"/>
        </w:rPr>
        <w:t>directions.</w:t>
      </w:r>
      <w:r>
        <w:rPr>
          <w:spacing w:val="-5"/>
          <w:position w:val="7"/>
          <w:sz w:val="12"/>
        </w:rPr>
        <w:t>113</w:t>
      </w:r>
    </w:p>
    <w:p>
      <w:pPr>
        <w:pStyle w:val="BodyText"/>
        <w:spacing w:before="11"/>
      </w:pPr>
    </w:p>
    <w:p>
      <w:pPr>
        <w:pStyle w:val="Heading4"/>
        <w:spacing w:before="1"/>
      </w:pPr>
      <w:r>
        <w:rPr>
          <w:color w:val="658464"/>
          <w:w w:val="115"/>
        </w:rPr>
        <w:t>Community responses—appeals</w:t>
      </w:r>
    </w:p>
    <w:p>
      <w:pPr>
        <w:pStyle w:val="ListParagraph"/>
        <w:numPr>
          <w:ilvl w:val="1"/>
          <w:numId w:val="16"/>
        </w:numPr>
        <w:tabs>
          <w:tab w:pos="2380" w:val="left" w:leader="none"/>
          <w:tab w:pos="2381" w:val="left" w:leader="none"/>
        </w:tabs>
        <w:spacing w:line="242" w:lineRule="auto" w:before="154" w:after="0"/>
        <w:ind w:left="2381" w:right="1586" w:hanging="794"/>
        <w:jc w:val="left"/>
        <w:rPr>
          <w:sz w:val="21"/>
        </w:rPr>
      </w:pPr>
      <w:r>
        <w:rPr>
          <w:spacing w:val="-3"/>
          <w:w w:val="105"/>
          <w:sz w:val="21"/>
        </w:rPr>
        <w:t>Community </w:t>
      </w:r>
      <w:r>
        <w:rPr>
          <w:w w:val="105"/>
          <w:sz w:val="21"/>
        </w:rPr>
        <w:t>responses about the </w:t>
      </w:r>
      <w:r>
        <w:rPr>
          <w:spacing w:val="-3"/>
          <w:w w:val="105"/>
          <w:sz w:val="21"/>
        </w:rPr>
        <w:t>grounds </w:t>
      </w:r>
      <w:r>
        <w:rPr>
          <w:w w:val="105"/>
          <w:sz w:val="21"/>
        </w:rPr>
        <w:t>and scope of appeals of orders made under a new Act </w:t>
      </w:r>
      <w:r>
        <w:rPr>
          <w:spacing w:val="-3"/>
          <w:w w:val="105"/>
          <w:sz w:val="21"/>
        </w:rPr>
        <w:t>were </w:t>
      </w:r>
      <w:r>
        <w:rPr>
          <w:spacing w:val="-2"/>
          <w:w w:val="105"/>
          <w:sz w:val="21"/>
        </w:rPr>
        <w:t>not </w:t>
      </w:r>
      <w:r>
        <w:rPr>
          <w:spacing w:val="-3"/>
          <w:w w:val="105"/>
          <w:sz w:val="21"/>
        </w:rPr>
        <w:t>sought </w:t>
      </w:r>
      <w:r>
        <w:rPr>
          <w:w w:val="105"/>
          <w:sz w:val="21"/>
        </w:rPr>
        <w:t>in the </w:t>
      </w:r>
      <w:r>
        <w:rPr>
          <w:spacing w:val="-3"/>
          <w:w w:val="105"/>
          <w:sz w:val="21"/>
        </w:rPr>
        <w:t>consultation </w:t>
      </w:r>
      <w:r>
        <w:rPr>
          <w:spacing w:val="-4"/>
          <w:w w:val="105"/>
          <w:sz w:val="21"/>
        </w:rPr>
        <w:t>paper. However, </w:t>
      </w:r>
      <w:r>
        <w:rPr>
          <w:w w:val="105"/>
          <w:sz w:val="21"/>
        </w:rPr>
        <w:t>some respondents provided views on this</w:t>
      </w:r>
      <w:r>
        <w:rPr>
          <w:spacing w:val="15"/>
          <w:w w:val="105"/>
          <w:sz w:val="21"/>
        </w:rPr>
        <w:t> </w:t>
      </w:r>
      <w:r>
        <w:rPr>
          <w:spacing w:val="-3"/>
          <w:w w:val="105"/>
          <w:sz w:val="21"/>
        </w:rPr>
        <w:t>topic.</w:t>
      </w:r>
    </w:p>
    <w:p>
      <w:pPr>
        <w:pStyle w:val="ListParagraph"/>
        <w:numPr>
          <w:ilvl w:val="1"/>
          <w:numId w:val="16"/>
        </w:numPr>
        <w:tabs>
          <w:tab w:pos="2380" w:val="left" w:leader="none"/>
          <w:tab w:pos="2381" w:val="left" w:leader="none"/>
        </w:tabs>
        <w:spacing w:line="242" w:lineRule="auto" w:before="124" w:after="0"/>
        <w:ind w:left="2380" w:right="2156" w:hanging="793"/>
        <w:jc w:val="left"/>
        <w:rPr>
          <w:sz w:val="21"/>
        </w:rPr>
      </w:pPr>
      <w:r>
        <w:rPr>
          <w:w w:val="105"/>
          <w:sz w:val="21"/>
        </w:rPr>
        <w:t>One suggestion was </w:t>
      </w:r>
      <w:r>
        <w:rPr>
          <w:spacing w:val="-3"/>
          <w:w w:val="105"/>
          <w:sz w:val="21"/>
        </w:rPr>
        <w:t>that </w:t>
      </w:r>
      <w:r>
        <w:rPr>
          <w:w w:val="105"/>
          <w:sz w:val="21"/>
        </w:rPr>
        <w:t>matters should start in </w:t>
      </w:r>
      <w:r>
        <w:rPr>
          <w:spacing w:val="-5"/>
          <w:w w:val="105"/>
          <w:sz w:val="21"/>
        </w:rPr>
        <w:t>VCAT </w:t>
      </w:r>
      <w:r>
        <w:rPr>
          <w:w w:val="105"/>
          <w:sz w:val="21"/>
        </w:rPr>
        <w:t>and then be appealed </w:t>
      </w:r>
      <w:r>
        <w:rPr>
          <w:spacing w:val="-3"/>
          <w:w w:val="105"/>
          <w:sz w:val="21"/>
        </w:rPr>
        <w:t>to </w:t>
      </w:r>
      <w:r>
        <w:rPr>
          <w:w w:val="105"/>
          <w:sz w:val="21"/>
        </w:rPr>
        <w:t>the </w:t>
      </w:r>
      <w:r>
        <w:rPr>
          <w:spacing w:val="-3"/>
          <w:w w:val="105"/>
          <w:sz w:val="21"/>
        </w:rPr>
        <w:t>Magistrates’ Court </w:t>
      </w:r>
      <w:r>
        <w:rPr>
          <w:w w:val="105"/>
          <w:sz w:val="21"/>
        </w:rPr>
        <w:t>of</w:t>
      </w:r>
      <w:r>
        <w:rPr>
          <w:spacing w:val="23"/>
          <w:w w:val="105"/>
          <w:sz w:val="21"/>
        </w:rPr>
        <w:t> </w:t>
      </w:r>
      <w:r>
        <w:rPr>
          <w:spacing w:val="-4"/>
          <w:w w:val="105"/>
          <w:sz w:val="21"/>
        </w:rPr>
        <w:t>Victoria.</w:t>
      </w:r>
      <w:r>
        <w:rPr>
          <w:spacing w:val="-4"/>
          <w:w w:val="105"/>
          <w:position w:val="7"/>
          <w:sz w:val="12"/>
        </w:rPr>
        <w:t>114</w:t>
      </w:r>
    </w:p>
    <w:p>
      <w:pPr>
        <w:pStyle w:val="ListParagraph"/>
        <w:numPr>
          <w:ilvl w:val="1"/>
          <w:numId w:val="16"/>
        </w:numPr>
        <w:tabs>
          <w:tab w:pos="2380" w:val="left" w:leader="none"/>
          <w:tab w:pos="2381" w:val="left" w:leader="none"/>
        </w:tabs>
        <w:spacing w:line="242" w:lineRule="auto" w:before="122" w:after="0"/>
        <w:ind w:left="2381" w:right="1880" w:hanging="794"/>
        <w:jc w:val="left"/>
        <w:rPr>
          <w:sz w:val="21"/>
        </w:rPr>
      </w:pPr>
      <w:r>
        <w:rPr>
          <w:w w:val="105"/>
          <w:sz w:val="21"/>
        </w:rPr>
        <w:t>The NSWLEC also provided </w:t>
      </w:r>
      <w:r>
        <w:rPr>
          <w:spacing w:val="-4"/>
          <w:w w:val="105"/>
          <w:sz w:val="21"/>
        </w:rPr>
        <w:t>insight into </w:t>
      </w:r>
      <w:r>
        <w:rPr>
          <w:w w:val="105"/>
          <w:sz w:val="21"/>
        </w:rPr>
        <w:t>its appeals processes. The </w:t>
      </w:r>
      <w:r>
        <w:rPr>
          <w:spacing w:val="-3"/>
          <w:w w:val="105"/>
          <w:sz w:val="21"/>
        </w:rPr>
        <w:t>Court </w:t>
      </w:r>
      <w:r>
        <w:rPr>
          <w:w w:val="105"/>
          <w:sz w:val="21"/>
        </w:rPr>
        <w:t>considers it important </w:t>
      </w:r>
      <w:r>
        <w:rPr>
          <w:spacing w:val="-3"/>
          <w:w w:val="105"/>
          <w:sz w:val="21"/>
        </w:rPr>
        <w:t>to </w:t>
      </w:r>
      <w:r>
        <w:rPr>
          <w:w w:val="105"/>
          <w:sz w:val="21"/>
        </w:rPr>
        <w:t>confine </w:t>
      </w:r>
      <w:r>
        <w:rPr>
          <w:spacing w:val="-3"/>
          <w:w w:val="105"/>
          <w:sz w:val="21"/>
        </w:rPr>
        <w:t>all </w:t>
      </w:r>
      <w:r>
        <w:rPr>
          <w:w w:val="105"/>
          <w:sz w:val="21"/>
        </w:rPr>
        <w:t>appeals </w:t>
      </w:r>
      <w:r>
        <w:rPr>
          <w:spacing w:val="-3"/>
          <w:w w:val="105"/>
          <w:sz w:val="21"/>
        </w:rPr>
        <w:t>to </w:t>
      </w:r>
      <w:r>
        <w:rPr>
          <w:w w:val="105"/>
          <w:sz w:val="21"/>
        </w:rPr>
        <w:t>questions of law because a broader </w:t>
      </w:r>
      <w:r>
        <w:rPr>
          <w:spacing w:val="-3"/>
          <w:w w:val="105"/>
          <w:sz w:val="21"/>
        </w:rPr>
        <w:t>right </w:t>
      </w:r>
      <w:r>
        <w:rPr>
          <w:w w:val="105"/>
          <w:sz w:val="21"/>
        </w:rPr>
        <w:t>of appeal </w:t>
      </w:r>
      <w:r>
        <w:rPr>
          <w:spacing w:val="-3"/>
          <w:w w:val="105"/>
          <w:sz w:val="21"/>
        </w:rPr>
        <w:t>may raise </w:t>
      </w:r>
      <w:r>
        <w:rPr>
          <w:w w:val="105"/>
          <w:sz w:val="21"/>
        </w:rPr>
        <w:t>complex legal issues </w:t>
      </w:r>
      <w:r>
        <w:rPr>
          <w:spacing w:val="-3"/>
          <w:w w:val="105"/>
          <w:sz w:val="21"/>
        </w:rPr>
        <w:t>related to </w:t>
      </w:r>
      <w:r>
        <w:rPr>
          <w:w w:val="105"/>
          <w:sz w:val="21"/>
        </w:rPr>
        <w:t>the legal doctrines of </w:t>
      </w:r>
      <w:r>
        <w:rPr>
          <w:spacing w:val="-4"/>
          <w:w w:val="105"/>
          <w:sz w:val="21"/>
        </w:rPr>
        <w:t>estoppel</w:t>
      </w:r>
      <w:r>
        <w:rPr>
          <w:spacing w:val="-4"/>
          <w:w w:val="105"/>
          <w:position w:val="7"/>
          <w:sz w:val="12"/>
        </w:rPr>
        <w:t>115 </w:t>
      </w:r>
      <w:r>
        <w:rPr>
          <w:w w:val="105"/>
          <w:sz w:val="21"/>
        </w:rPr>
        <w:t>and res </w:t>
      </w:r>
      <w:r>
        <w:rPr>
          <w:spacing w:val="-3"/>
          <w:w w:val="105"/>
          <w:sz w:val="21"/>
        </w:rPr>
        <w:t>judicata, </w:t>
      </w:r>
      <w:r>
        <w:rPr>
          <w:w w:val="105"/>
          <w:sz w:val="21"/>
        </w:rPr>
        <w:t>a legal </w:t>
      </w:r>
      <w:r>
        <w:rPr>
          <w:spacing w:val="-3"/>
          <w:w w:val="105"/>
          <w:sz w:val="21"/>
        </w:rPr>
        <w:t>principle that </w:t>
      </w:r>
      <w:r>
        <w:rPr>
          <w:spacing w:val="-2"/>
          <w:w w:val="105"/>
          <w:sz w:val="21"/>
        </w:rPr>
        <w:t>prevents </w:t>
      </w:r>
      <w:r>
        <w:rPr>
          <w:w w:val="105"/>
          <w:sz w:val="21"/>
        </w:rPr>
        <w:t>a party </w:t>
      </w:r>
      <w:r>
        <w:rPr>
          <w:spacing w:val="-3"/>
          <w:w w:val="105"/>
          <w:sz w:val="21"/>
        </w:rPr>
        <w:t>from </w:t>
      </w:r>
      <w:r>
        <w:rPr>
          <w:w w:val="105"/>
          <w:sz w:val="21"/>
        </w:rPr>
        <w:t>re-litigating an issue or a </w:t>
      </w:r>
      <w:r>
        <w:rPr>
          <w:spacing w:val="-3"/>
          <w:w w:val="105"/>
          <w:sz w:val="21"/>
        </w:rPr>
        <w:t>defence </w:t>
      </w:r>
      <w:r>
        <w:rPr>
          <w:w w:val="105"/>
          <w:sz w:val="21"/>
        </w:rPr>
        <w:t>which </w:t>
      </w:r>
      <w:r>
        <w:rPr>
          <w:spacing w:val="-2"/>
          <w:w w:val="105"/>
          <w:sz w:val="21"/>
        </w:rPr>
        <w:t>has </w:t>
      </w:r>
      <w:r>
        <w:rPr>
          <w:spacing w:val="-3"/>
          <w:w w:val="105"/>
          <w:sz w:val="21"/>
        </w:rPr>
        <w:t>already </w:t>
      </w:r>
      <w:r>
        <w:rPr>
          <w:w w:val="105"/>
          <w:sz w:val="21"/>
        </w:rPr>
        <w:t>been </w:t>
      </w:r>
      <w:r>
        <w:rPr>
          <w:spacing w:val="-5"/>
          <w:w w:val="105"/>
          <w:sz w:val="21"/>
        </w:rPr>
        <w:t>determined.</w:t>
      </w:r>
      <w:r>
        <w:rPr>
          <w:spacing w:val="-5"/>
          <w:w w:val="105"/>
          <w:position w:val="7"/>
          <w:sz w:val="12"/>
        </w:rPr>
        <w:t>116 </w:t>
      </w:r>
      <w:r>
        <w:rPr>
          <w:w w:val="105"/>
          <w:sz w:val="21"/>
        </w:rPr>
        <w:t>By </w:t>
      </w:r>
      <w:r>
        <w:rPr>
          <w:spacing w:val="-3"/>
          <w:w w:val="105"/>
          <w:sz w:val="21"/>
        </w:rPr>
        <w:t>confining </w:t>
      </w:r>
      <w:r>
        <w:rPr>
          <w:w w:val="105"/>
          <w:sz w:val="21"/>
        </w:rPr>
        <w:t>an appeal </w:t>
      </w:r>
      <w:r>
        <w:rPr>
          <w:spacing w:val="-3"/>
          <w:w w:val="105"/>
          <w:sz w:val="21"/>
        </w:rPr>
        <w:t>to </w:t>
      </w:r>
      <w:r>
        <w:rPr>
          <w:w w:val="105"/>
          <w:sz w:val="21"/>
        </w:rPr>
        <w:t>a question of </w:t>
      </w:r>
      <w:r>
        <w:rPr>
          <w:spacing w:val="-5"/>
          <w:w w:val="105"/>
          <w:sz w:val="21"/>
        </w:rPr>
        <w:t>law, </w:t>
      </w:r>
      <w:r>
        <w:rPr>
          <w:w w:val="105"/>
          <w:sz w:val="21"/>
        </w:rPr>
        <w:t>the </w:t>
      </w:r>
      <w:r>
        <w:rPr>
          <w:spacing w:val="-3"/>
          <w:w w:val="105"/>
          <w:sz w:val="21"/>
        </w:rPr>
        <w:t>Court </w:t>
      </w:r>
      <w:r>
        <w:rPr>
          <w:w w:val="105"/>
          <w:sz w:val="21"/>
        </w:rPr>
        <w:t>is able </w:t>
      </w:r>
      <w:r>
        <w:rPr>
          <w:spacing w:val="-3"/>
          <w:w w:val="105"/>
          <w:sz w:val="21"/>
        </w:rPr>
        <w:t>to </w:t>
      </w:r>
      <w:r>
        <w:rPr>
          <w:w w:val="105"/>
          <w:sz w:val="21"/>
        </w:rPr>
        <w:t>provide certainty </w:t>
      </w:r>
      <w:r>
        <w:rPr>
          <w:spacing w:val="-3"/>
          <w:w w:val="105"/>
          <w:sz w:val="21"/>
        </w:rPr>
        <w:t>to </w:t>
      </w:r>
      <w:r>
        <w:rPr>
          <w:w w:val="105"/>
          <w:sz w:val="21"/>
        </w:rPr>
        <w:t>parties about the </w:t>
      </w:r>
      <w:r>
        <w:rPr>
          <w:spacing w:val="-3"/>
          <w:w w:val="105"/>
          <w:sz w:val="21"/>
        </w:rPr>
        <w:t>outcome </w:t>
      </w:r>
      <w:r>
        <w:rPr>
          <w:w w:val="105"/>
          <w:sz w:val="21"/>
        </w:rPr>
        <w:t>of its</w:t>
      </w:r>
      <w:r>
        <w:rPr>
          <w:spacing w:val="5"/>
          <w:w w:val="105"/>
          <w:sz w:val="21"/>
        </w:rPr>
        <w:t> </w:t>
      </w:r>
      <w:r>
        <w:rPr>
          <w:spacing w:val="-3"/>
          <w:w w:val="105"/>
          <w:sz w:val="21"/>
        </w:rPr>
        <w:t>decisions.</w:t>
      </w:r>
    </w:p>
    <w:p>
      <w:pPr>
        <w:pStyle w:val="BodyText"/>
        <w:spacing w:before="1"/>
        <w:rPr>
          <w:sz w:val="9"/>
        </w:rPr>
      </w:pPr>
      <w:r>
        <w:rPr/>
        <w:pict>
          <v:line style="position:absolute;mso-position-horizontal-relative:page;mso-position-vertical-relative:paragraph;z-index:8840;mso-wrap-distance-left:0;mso-wrap-distance-right:0" from="79.370102pt,8.024714pt" to="515.905102pt,8.02471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05"/>
        <w:ind w:left="720" w:right="0" w:firstLine="0"/>
        <w:jc w:val="left"/>
        <w:rPr>
          <w:b/>
          <w:sz w:val="24"/>
        </w:rPr>
      </w:pPr>
      <w:r>
        <w:rPr>
          <w:b/>
          <w:color w:val="658464"/>
          <w:w w:val="110"/>
          <w:sz w:val="24"/>
        </w:rPr>
        <w:t>204</w:t>
      </w:r>
    </w:p>
    <w:p>
      <w:pPr>
        <w:pStyle w:val="ListParagraph"/>
        <w:numPr>
          <w:ilvl w:val="0"/>
          <w:numId w:val="148"/>
        </w:numPr>
        <w:tabs>
          <w:tab w:pos="1216" w:val="left" w:leader="none"/>
          <w:tab w:pos="1217" w:val="left" w:leader="none"/>
        </w:tabs>
        <w:spacing w:line="240" w:lineRule="auto" w:before="48" w:after="0"/>
        <w:ind w:left="1216" w:right="1681" w:hanging="794"/>
        <w:jc w:val="left"/>
        <w:rPr>
          <w:sz w:val="13"/>
        </w:rPr>
      </w:pPr>
      <w:r>
        <w:rPr>
          <w:i/>
          <w:spacing w:val="3"/>
          <w:w w:val="108"/>
          <w:sz w:val="13"/>
        </w:rPr>
        <w:br w:type="column"/>
      </w:r>
      <w:r>
        <w:rPr>
          <w:i/>
          <w:w w:val="105"/>
          <w:sz w:val="13"/>
        </w:rPr>
        <w:t>Queensland Civil and Administrative Tribunal Act 2009 </w:t>
      </w:r>
      <w:r>
        <w:rPr>
          <w:spacing w:val="2"/>
          <w:w w:val="105"/>
          <w:sz w:val="13"/>
        </w:rPr>
        <w:t>(Qld) </w:t>
      </w:r>
      <w:r>
        <w:rPr>
          <w:w w:val="105"/>
          <w:sz w:val="13"/>
        </w:rPr>
        <w:t>s 147(2). For appeals concerning a question of fact or mixed law and fact, the appeal is decided by way of</w:t>
      </w:r>
      <w:r>
        <w:rPr>
          <w:spacing w:val="27"/>
          <w:w w:val="105"/>
          <w:sz w:val="13"/>
        </w:rPr>
        <w:t> </w:t>
      </w:r>
      <w:r>
        <w:rPr>
          <w:w w:val="105"/>
          <w:sz w:val="13"/>
        </w:rPr>
        <w:t>rehearing.</w:t>
      </w:r>
    </w:p>
    <w:p>
      <w:pPr>
        <w:pStyle w:val="ListParagraph"/>
        <w:numPr>
          <w:ilvl w:val="0"/>
          <w:numId w:val="148"/>
        </w:numPr>
        <w:tabs>
          <w:tab w:pos="1216" w:val="left" w:leader="none"/>
          <w:tab w:pos="1217" w:val="left" w:leader="none"/>
        </w:tabs>
        <w:spacing w:line="240" w:lineRule="auto" w:before="3" w:after="0"/>
        <w:ind w:left="1216" w:right="1637" w:hanging="794"/>
        <w:jc w:val="left"/>
        <w:rPr>
          <w:sz w:val="13"/>
        </w:rPr>
      </w:pPr>
      <w:r>
        <w:rPr>
          <w:i/>
          <w:sz w:val="13"/>
        </w:rPr>
        <w:t>Queensland Civil and Administrative Tribunal Act 2009 </w:t>
      </w:r>
      <w:r>
        <w:rPr>
          <w:spacing w:val="2"/>
          <w:sz w:val="13"/>
        </w:rPr>
        <w:t>(Qld) </w:t>
      </w:r>
      <w:r>
        <w:rPr>
          <w:sz w:val="13"/>
        </w:rPr>
        <w:t>s 147(2). In </w:t>
      </w:r>
      <w:r>
        <w:rPr>
          <w:i/>
          <w:sz w:val="13"/>
        </w:rPr>
        <w:t>Bailey  v  Sullivan  </w:t>
      </w:r>
      <w:r>
        <w:rPr>
          <w:sz w:val="13"/>
        </w:rPr>
        <w:t>[2017]  QCATA  86  Member  Hughes  explains,  </w:t>
      </w:r>
      <w:r>
        <w:rPr>
          <w:spacing w:val="2"/>
          <w:sz w:val="13"/>
        </w:rPr>
        <w:t>‘The </w:t>
      </w:r>
      <w:r>
        <w:rPr>
          <w:sz w:val="13"/>
        </w:rPr>
        <w:t>Appeal Tribunal will only accept fresh evidence if it was not reasonably available at the time the  proceeding  was  heard  and  determined. Ordinarily, an applicant for leave to adduce fresh evidence must satisfy three tests.  Could  the  parties  have  obtained  the  evidence  with reasonable diligence for use at the trial? If allowed, would the evidence probably have an important impact on the result of the case? Is the   evidence</w:t>
      </w:r>
      <w:r>
        <w:rPr>
          <w:spacing w:val="9"/>
          <w:sz w:val="13"/>
        </w:rPr>
        <w:t> </w:t>
      </w:r>
      <w:r>
        <w:rPr>
          <w:sz w:val="13"/>
        </w:rPr>
        <w:t>credible?’:</w:t>
      </w:r>
      <w:r>
        <w:rPr>
          <w:spacing w:val="9"/>
          <w:sz w:val="13"/>
        </w:rPr>
        <w:t> </w:t>
      </w:r>
      <w:r>
        <w:rPr>
          <w:sz w:val="13"/>
        </w:rPr>
        <w:t>[19],</w:t>
      </w:r>
      <w:r>
        <w:rPr>
          <w:spacing w:val="10"/>
          <w:sz w:val="13"/>
        </w:rPr>
        <w:t> </w:t>
      </w:r>
      <w:r>
        <w:rPr>
          <w:sz w:val="13"/>
        </w:rPr>
        <w:t>citing</w:t>
      </w:r>
      <w:r>
        <w:rPr>
          <w:spacing w:val="9"/>
          <w:sz w:val="13"/>
        </w:rPr>
        <w:t> </w:t>
      </w:r>
      <w:r>
        <w:rPr>
          <w:i/>
          <w:sz w:val="13"/>
        </w:rPr>
        <w:t>Clarke</w:t>
      </w:r>
      <w:r>
        <w:rPr>
          <w:i/>
          <w:spacing w:val="9"/>
          <w:sz w:val="13"/>
        </w:rPr>
        <w:t> </w:t>
      </w:r>
      <w:r>
        <w:rPr>
          <w:i/>
          <w:sz w:val="13"/>
        </w:rPr>
        <w:t>v</w:t>
      </w:r>
      <w:r>
        <w:rPr>
          <w:i/>
          <w:spacing w:val="10"/>
          <w:sz w:val="13"/>
        </w:rPr>
        <w:t> </w:t>
      </w:r>
      <w:r>
        <w:rPr>
          <w:i/>
          <w:sz w:val="13"/>
        </w:rPr>
        <w:t>Japan</w:t>
      </w:r>
      <w:r>
        <w:rPr>
          <w:i/>
          <w:spacing w:val="9"/>
          <w:sz w:val="13"/>
        </w:rPr>
        <w:t> </w:t>
      </w:r>
      <w:r>
        <w:rPr>
          <w:i/>
          <w:sz w:val="13"/>
        </w:rPr>
        <w:t>Machines</w:t>
      </w:r>
      <w:r>
        <w:rPr>
          <w:i/>
          <w:spacing w:val="9"/>
          <w:sz w:val="13"/>
        </w:rPr>
        <w:t> </w:t>
      </w:r>
      <w:r>
        <w:rPr>
          <w:i/>
          <w:sz w:val="13"/>
        </w:rPr>
        <w:t>(Australia)</w:t>
      </w:r>
      <w:r>
        <w:rPr>
          <w:i/>
          <w:spacing w:val="10"/>
          <w:sz w:val="13"/>
        </w:rPr>
        <w:t> </w:t>
      </w:r>
      <w:r>
        <w:rPr>
          <w:i/>
          <w:spacing w:val="3"/>
          <w:sz w:val="13"/>
        </w:rPr>
        <w:t>Pty</w:t>
      </w:r>
      <w:r>
        <w:rPr>
          <w:i/>
          <w:spacing w:val="9"/>
          <w:sz w:val="13"/>
        </w:rPr>
        <w:t> </w:t>
      </w:r>
      <w:r>
        <w:rPr>
          <w:i/>
          <w:sz w:val="13"/>
        </w:rPr>
        <w:t>Ltd</w:t>
      </w:r>
      <w:r>
        <w:rPr>
          <w:i/>
          <w:spacing w:val="9"/>
          <w:sz w:val="13"/>
        </w:rPr>
        <w:t> </w:t>
      </w:r>
      <w:r>
        <w:rPr>
          <w:sz w:val="13"/>
        </w:rPr>
        <w:t>[1984]</w:t>
      </w:r>
      <w:r>
        <w:rPr>
          <w:spacing w:val="10"/>
          <w:sz w:val="13"/>
        </w:rPr>
        <w:t> </w:t>
      </w:r>
      <w:r>
        <w:rPr>
          <w:sz w:val="13"/>
        </w:rPr>
        <w:t>1</w:t>
      </w:r>
      <w:r>
        <w:rPr>
          <w:spacing w:val="9"/>
          <w:sz w:val="13"/>
        </w:rPr>
        <w:t> </w:t>
      </w:r>
      <w:r>
        <w:rPr>
          <w:sz w:val="13"/>
        </w:rPr>
        <w:t>Qd</w:t>
      </w:r>
      <w:r>
        <w:rPr>
          <w:spacing w:val="9"/>
          <w:sz w:val="13"/>
        </w:rPr>
        <w:t> </w:t>
      </w:r>
      <w:r>
        <w:rPr>
          <w:sz w:val="13"/>
        </w:rPr>
        <w:t>R</w:t>
      </w:r>
      <w:r>
        <w:rPr>
          <w:spacing w:val="10"/>
          <w:sz w:val="13"/>
        </w:rPr>
        <w:t> </w:t>
      </w:r>
      <w:r>
        <w:rPr>
          <w:spacing w:val="2"/>
          <w:sz w:val="13"/>
        </w:rPr>
        <w:t>404,</w:t>
      </w:r>
      <w:r>
        <w:rPr>
          <w:spacing w:val="9"/>
          <w:sz w:val="13"/>
        </w:rPr>
        <w:t> </w:t>
      </w:r>
      <w:r>
        <w:rPr>
          <w:spacing w:val="2"/>
          <w:sz w:val="13"/>
        </w:rPr>
        <w:t>408.</w:t>
      </w:r>
    </w:p>
    <w:p>
      <w:pPr>
        <w:pStyle w:val="ListParagraph"/>
        <w:numPr>
          <w:ilvl w:val="0"/>
          <w:numId w:val="148"/>
        </w:numPr>
        <w:tabs>
          <w:tab w:pos="1216" w:val="left" w:leader="none"/>
          <w:tab w:pos="1217" w:val="left" w:leader="none"/>
        </w:tabs>
        <w:spacing w:line="240" w:lineRule="auto" w:before="6" w:after="0"/>
        <w:ind w:left="422" w:right="5576" w:firstLine="0"/>
        <w:jc w:val="left"/>
        <w:rPr>
          <w:sz w:val="13"/>
        </w:rPr>
      </w:pPr>
      <w:r>
        <w:rPr>
          <w:i/>
          <w:sz w:val="13"/>
        </w:rPr>
        <w:t>Queensland Civil and Administrative Tribunal Act 2009  </w:t>
      </w:r>
      <w:r>
        <w:rPr>
          <w:spacing w:val="2"/>
          <w:sz w:val="13"/>
        </w:rPr>
        <w:t>(Qld)  </w:t>
      </w:r>
      <w:r>
        <w:rPr>
          <w:sz w:val="13"/>
        </w:rPr>
        <w:t>s  149(2). 108</w:t>
        <w:tab/>
        <w:t>Ibid s</w:t>
      </w:r>
      <w:r>
        <w:rPr>
          <w:spacing w:val="12"/>
          <w:sz w:val="13"/>
        </w:rPr>
        <w:t> </w:t>
      </w:r>
      <w:r>
        <w:rPr>
          <w:spacing w:val="4"/>
          <w:sz w:val="13"/>
        </w:rPr>
        <w:t>149(3)(a)–(b).</w:t>
      </w:r>
    </w:p>
    <w:p>
      <w:pPr>
        <w:tabs>
          <w:tab w:pos="1216" w:val="left" w:leader="none"/>
        </w:tabs>
        <w:spacing w:before="3"/>
        <w:ind w:left="422" w:right="0" w:firstLine="0"/>
        <w:jc w:val="left"/>
        <w:rPr>
          <w:sz w:val="13"/>
        </w:rPr>
      </w:pPr>
      <w:r>
        <w:rPr>
          <w:sz w:val="13"/>
        </w:rPr>
        <w:t>109</w:t>
        <w:tab/>
        <w:t>Ibid s</w:t>
      </w:r>
      <w:r>
        <w:rPr>
          <w:spacing w:val="12"/>
          <w:sz w:val="13"/>
        </w:rPr>
        <w:t> </w:t>
      </w:r>
      <w:r>
        <w:rPr>
          <w:spacing w:val="3"/>
          <w:sz w:val="13"/>
        </w:rPr>
        <w:t>149(3)(b).</w:t>
      </w:r>
    </w:p>
    <w:p>
      <w:pPr>
        <w:tabs>
          <w:tab w:pos="1216" w:val="left" w:leader="none"/>
        </w:tabs>
        <w:spacing w:before="1"/>
        <w:ind w:left="422" w:right="6861" w:firstLine="0"/>
        <w:jc w:val="left"/>
        <w:rPr>
          <w:sz w:val="13"/>
        </w:rPr>
      </w:pPr>
      <w:r>
        <w:rPr>
          <w:spacing w:val="-5"/>
          <w:w w:val="105"/>
          <w:sz w:val="13"/>
        </w:rPr>
        <w:t>110</w:t>
        <w:tab/>
      </w:r>
      <w:r>
        <w:rPr>
          <w:w w:val="105"/>
          <w:sz w:val="13"/>
        </w:rPr>
        <w:t>Ibid div 7; sch 3 </w:t>
      </w:r>
      <w:r>
        <w:rPr>
          <w:spacing w:val="2"/>
          <w:w w:val="105"/>
          <w:sz w:val="13"/>
        </w:rPr>
        <w:t>Dictionary </w:t>
      </w:r>
      <w:r>
        <w:rPr>
          <w:w w:val="105"/>
          <w:sz w:val="13"/>
        </w:rPr>
        <w:t>‘reopening ground’. </w:t>
      </w:r>
      <w:r>
        <w:rPr>
          <w:spacing w:val="-8"/>
          <w:w w:val="105"/>
          <w:sz w:val="13"/>
        </w:rPr>
        <w:t>111</w:t>
        <w:tab/>
      </w:r>
      <w:r>
        <w:rPr>
          <w:w w:val="105"/>
          <w:sz w:val="13"/>
        </w:rPr>
        <w:t>Ibid s</w:t>
      </w:r>
      <w:r>
        <w:rPr>
          <w:spacing w:val="9"/>
          <w:w w:val="105"/>
          <w:sz w:val="13"/>
        </w:rPr>
        <w:t> </w:t>
      </w:r>
      <w:r>
        <w:rPr>
          <w:spacing w:val="2"/>
          <w:w w:val="105"/>
          <w:sz w:val="13"/>
        </w:rPr>
        <w:t>140(2).</w:t>
      </w:r>
    </w:p>
    <w:p>
      <w:pPr>
        <w:pStyle w:val="ListParagraph"/>
        <w:numPr>
          <w:ilvl w:val="0"/>
          <w:numId w:val="149"/>
        </w:numPr>
        <w:tabs>
          <w:tab w:pos="1216" w:val="left" w:leader="none"/>
          <w:tab w:pos="1217" w:val="left" w:leader="none"/>
        </w:tabs>
        <w:spacing w:line="240" w:lineRule="auto" w:before="3" w:after="0"/>
        <w:ind w:left="1216" w:right="1635" w:hanging="794"/>
        <w:jc w:val="left"/>
        <w:rPr>
          <w:sz w:val="13"/>
        </w:rPr>
      </w:pPr>
      <w:r>
        <w:rPr>
          <w:i/>
          <w:sz w:val="13"/>
        </w:rPr>
        <w:t>Resource Management  and  Planning  Appeal  Tribunal  Act  1993  </w:t>
      </w:r>
      <w:r>
        <w:rPr>
          <w:sz w:val="13"/>
        </w:rPr>
        <w:t>(Tas)  s  25(1).  See  also  Justice  Alan  Blow,  Chief  Justice  of  Tasmania, ‘Planning, Environment and Heritage Litigation and Legislation in Tasmania’  (Speech,  Australasian  Conference  of  Planning  and  Environment Courts</w:t>
      </w:r>
      <w:r>
        <w:rPr>
          <w:spacing w:val="12"/>
          <w:sz w:val="13"/>
        </w:rPr>
        <w:t> </w:t>
      </w:r>
      <w:r>
        <w:rPr>
          <w:sz w:val="13"/>
        </w:rPr>
        <w:t>and</w:t>
      </w:r>
      <w:r>
        <w:rPr>
          <w:spacing w:val="12"/>
          <w:sz w:val="13"/>
        </w:rPr>
        <w:t> </w:t>
      </w:r>
      <w:r>
        <w:rPr>
          <w:sz w:val="13"/>
        </w:rPr>
        <w:t>Tribunals,</w:t>
      </w:r>
      <w:r>
        <w:rPr>
          <w:spacing w:val="12"/>
          <w:sz w:val="13"/>
        </w:rPr>
        <w:t> </w:t>
      </w:r>
      <w:r>
        <w:rPr>
          <w:sz w:val="13"/>
        </w:rPr>
        <w:t>5</w:t>
      </w:r>
      <w:r>
        <w:rPr>
          <w:spacing w:val="12"/>
          <w:sz w:val="13"/>
        </w:rPr>
        <w:t> </w:t>
      </w:r>
      <w:r>
        <w:rPr>
          <w:sz w:val="13"/>
        </w:rPr>
        <w:t>March</w:t>
      </w:r>
      <w:r>
        <w:rPr>
          <w:spacing w:val="12"/>
          <w:sz w:val="13"/>
        </w:rPr>
        <w:t> </w:t>
      </w:r>
      <w:r>
        <w:rPr>
          <w:sz w:val="13"/>
        </w:rPr>
        <w:t>2014)</w:t>
      </w:r>
      <w:r>
        <w:rPr>
          <w:spacing w:val="12"/>
          <w:sz w:val="13"/>
        </w:rPr>
        <w:t> </w:t>
      </w:r>
      <w:r>
        <w:rPr>
          <w:sz w:val="13"/>
        </w:rPr>
        <w:t>&lt;</w:t>
      </w:r>
      <w:r>
        <w:rPr>
          <w:spacing w:val="12"/>
          <w:sz w:val="13"/>
        </w:rPr>
        <w:t> </w:t>
      </w:r>
      <w:hyperlink r:id="rId239">
        <w:r>
          <w:rPr>
            <w:sz w:val="13"/>
          </w:rPr>
          <w:t>https://www.supremecourt.tas.gov.au/publications/speeches-articles/</w:t>
        </w:r>
      </w:hyperlink>
      <w:r>
        <w:rPr>
          <w:sz w:val="13"/>
        </w:rPr>
        <w:t>&gt;.</w:t>
      </w:r>
    </w:p>
    <w:p>
      <w:pPr>
        <w:pStyle w:val="ListParagraph"/>
        <w:numPr>
          <w:ilvl w:val="0"/>
          <w:numId w:val="149"/>
        </w:numPr>
        <w:tabs>
          <w:tab w:pos="1215" w:val="left" w:leader="none"/>
          <w:tab w:pos="1217" w:val="left" w:leader="none"/>
        </w:tabs>
        <w:spacing w:line="240" w:lineRule="auto" w:before="4" w:after="0"/>
        <w:ind w:left="1216" w:right="0" w:hanging="794"/>
        <w:jc w:val="left"/>
        <w:rPr>
          <w:sz w:val="13"/>
        </w:rPr>
      </w:pPr>
      <w:r>
        <w:rPr>
          <w:i/>
          <w:w w:val="105"/>
          <w:sz w:val="13"/>
        </w:rPr>
        <w:t>Resource</w:t>
      </w:r>
      <w:r>
        <w:rPr>
          <w:i/>
          <w:spacing w:val="4"/>
          <w:w w:val="105"/>
          <w:sz w:val="13"/>
        </w:rPr>
        <w:t> </w:t>
      </w:r>
      <w:r>
        <w:rPr>
          <w:i/>
          <w:w w:val="105"/>
          <w:sz w:val="13"/>
        </w:rPr>
        <w:t>Management</w:t>
      </w:r>
      <w:r>
        <w:rPr>
          <w:i/>
          <w:spacing w:val="5"/>
          <w:w w:val="105"/>
          <w:sz w:val="13"/>
        </w:rPr>
        <w:t> </w:t>
      </w:r>
      <w:r>
        <w:rPr>
          <w:i/>
          <w:w w:val="105"/>
          <w:sz w:val="13"/>
        </w:rPr>
        <w:t>and</w:t>
      </w:r>
      <w:r>
        <w:rPr>
          <w:i/>
          <w:spacing w:val="4"/>
          <w:w w:val="105"/>
          <w:sz w:val="13"/>
        </w:rPr>
        <w:t> </w:t>
      </w:r>
      <w:r>
        <w:rPr>
          <w:i/>
          <w:w w:val="105"/>
          <w:sz w:val="13"/>
        </w:rPr>
        <w:t>Planning</w:t>
      </w:r>
      <w:r>
        <w:rPr>
          <w:i/>
          <w:spacing w:val="5"/>
          <w:w w:val="105"/>
          <w:sz w:val="13"/>
        </w:rPr>
        <w:t> </w:t>
      </w:r>
      <w:r>
        <w:rPr>
          <w:i/>
          <w:w w:val="105"/>
          <w:sz w:val="13"/>
        </w:rPr>
        <w:t>Appeal</w:t>
      </w:r>
      <w:r>
        <w:rPr>
          <w:i/>
          <w:spacing w:val="5"/>
          <w:w w:val="105"/>
          <w:sz w:val="13"/>
        </w:rPr>
        <w:t> </w:t>
      </w:r>
      <w:r>
        <w:rPr>
          <w:i/>
          <w:w w:val="105"/>
          <w:sz w:val="13"/>
        </w:rPr>
        <w:t>Tribunal</w:t>
      </w:r>
      <w:r>
        <w:rPr>
          <w:i/>
          <w:spacing w:val="4"/>
          <w:w w:val="105"/>
          <w:sz w:val="13"/>
        </w:rPr>
        <w:t> </w:t>
      </w:r>
      <w:r>
        <w:rPr>
          <w:i/>
          <w:w w:val="105"/>
          <w:sz w:val="13"/>
        </w:rPr>
        <w:t>Act</w:t>
      </w:r>
      <w:r>
        <w:rPr>
          <w:i/>
          <w:spacing w:val="5"/>
          <w:w w:val="105"/>
          <w:sz w:val="13"/>
        </w:rPr>
        <w:t> </w:t>
      </w:r>
      <w:r>
        <w:rPr>
          <w:i/>
          <w:w w:val="105"/>
          <w:sz w:val="13"/>
        </w:rPr>
        <w:t>1993</w:t>
      </w:r>
      <w:r>
        <w:rPr>
          <w:i/>
          <w:spacing w:val="4"/>
          <w:w w:val="105"/>
          <w:sz w:val="13"/>
        </w:rPr>
        <w:t> </w:t>
      </w:r>
      <w:r>
        <w:rPr>
          <w:w w:val="105"/>
          <w:sz w:val="13"/>
        </w:rPr>
        <w:t>(Tas)</w:t>
      </w:r>
      <w:r>
        <w:rPr>
          <w:spacing w:val="5"/>
          <w:w w:val="105"/>
          <w:sz w:val="13"/>
        </w:rPr>
        <w:t> </w:t>
      </w:r>
      <w:r>
        <w:rPr>
          <w:w w:val="105"/>
          <w:sz w:val="13"/>
        </w:rPr>
        <w:t>ss</w:t>
      </w:r>
      <w:r>
        <w:rPr>
          <w:spacing w:val="5"/>
          <w:w w:val="105"/>
          <w:sz w:val="13"/>
        </w:rPr>
        <w:t> </w:t>
      </w:r>
      <w:r>
        <w:rPr>
          <w:spacing w:val="2"/>
          <w:w w:val="105"/>
          <w:sz w:val="13"/>
        </w:rPr>
        <w:t>25(5),</w:t>
      </w:r>
      <w:r>
        <w:rPr>
          <w:spacing w:val="4"/>
          <w:w w:val="105"/>
          <w:sz w:val="13"/>
        </w:rPr>
        <w:t> </w:t>
      </w:r>
      <w:r>
        <w:rPr>
          <w:spacing w:val="5"/>
          <w:w w:val="105"/>
          <w:sz w:val="13"/>
        </w:rPr>
        <w:t>25(6)(a)–(b).</w:t>
      </w:r>
    </w:p>
    <w:p>
      <w:pPr>
        <w:pStyle w:val="ListParagraph"/>
        <w:numPr>
          <w:ilvl w:val="0"/>
          <w:numId w:val="149"/>
        </w:numPr>
        <w:tabs>
          <w:tab w:pos="1215" w:val="left" w:leader="none"/>
          <w:tab w:pos="1216" w:val="left" w:leader="none"/>
        </w:tabs>
        <w:spacing w:line="240" w:lineRule="auto" w:before="1" w:after="0"/>
        <w:ind w:left="1215" w:right="0" w:hanging="793"/>
        <w:jc w:val="left"/>
        <w:rPr>
          <w:sz w:val="13"/>
        </w:rPr>
      </w:pPr>
      <w:r>
        <w:rPr>
          <w:w w:val="105"/>
          <w:sz w:val="13"/>
        </w:rPr>
        <w:t>Confidential</w:t>
      </w:r>
      <w:r>
        <w:rPr>
          <w:spacing w:val="4"/>
          <w:w w:val="105"/>
          <w:sz w:val="13"/>
        </w:rPr>
        <w:t> </w:t>
      </w:r>
      <w:r>
        <w:rPr>
          <w:w w:val="105"/>
          <w:sz w:val="13"/>
        </w:rPr>
        <w:t>submission.</w:t>
      </w:r>
    </w:p>
    <w:p>
      <w:pPr>
        <w:pStyle w:val="ListParagraph"/>
        <w:numPr>
          <w:ilvl w:val="0"/>
          <w:numId w:val="149"/>
        </w:numPr>
        <w:tabs>
          <w:tab w:pos="1215" w:val="left" w:leader="none"/>
          <w:tab w:pos="1216" w:val="left" w:leader="none"/>
        </w:tabs>
        <w:spacing w:line="240" w:lineRule="auto" w:before="2" w:after="0"/>
        <w:ind w:left="1215" w:right="1692" w:hanging="793"/>
        <w:jc w:val="left"/>
        <w:rPr>
          <w:sz w:val="13"/>
        </w:rPr>
      </w:pPr>
      <w:r>
        <w:rPr>
          <w:sz w:val="13"/>
        </w:rPr>
        <w:t>The doctrine of estoppel ‘is designed to protect a </w:t>
      </w:r>
      <w:r>
        <w:rPr>
          <w:spacing w:val="2"/>
          <w:sz w:val="13"/>
        </w:rPr>
        <w:t>party </w:t>
      </w:r>
      <w:r>
        <w:rPr>
          <w:sz w:val="13"/>
        </w:rPr>
        <w:t>from the detriment which would flow from that party’s change of position  if  the assumption or execution that led to it were to be rendered groundless by another’: Peter Butt </w:t>
      </w:r>
      <w:r>
        <w:rPr>
          <w:spacing w:val="2"/>
          <w:sz w:val="13"/>
        </w:rPr>
        <w:t>(ed), </w:t>
      </w:r>
      <w:r>
        <w:rPr>
          <w:i/>
          <w:sz w:val="13"/>
        </w:rPr>
        <w:t>Butterworths’ Concise Australian Legal </w:t>
      </w:r>
      <w:r>
        <w:rPr>
          <w:i/>
          <w:sz w:val="13"/>
        </w:rPr>
        <w:t>Dictionary </w:t>
      </w:r>
      <w:r>
        <w:rPr>
          <w:spacing w:val="2"/>
          <w:sz w:val="13"/>
        </w:rPr>
        <w:t>(LexisNexis/Butterworths, </w:t>
      </w:r>
      <w:r>
        <w:rPr>
          <w:sz w:val="13"/>
        </w:rPr>
        <w:t>3rd ed, </w:t>
      </w:r>
      <w:r>
        <w:rPr>
          <w:spacing w:val="2"/>
          <w:sz w:val="13"/>
        </w:rPr>
        <w:t>2004)</w:t>
      </w:r>
      <w:r>
        <w:rPr>
          <w:spacing w:val="33"/>
          <w:sz w:val="13"/>
        </w:rPr>
        <w:t> </w:t>
      </w:r>
      <w:r>
        <w:rPr>
          <w:sz w:val="13"/>
        </w:rPr>
        <w:t>‘estoppel’.</w:t>
      </w:r>
    </w:p>
    <w:p>
      <w:pPr>
        <w:pStyle w:val="ListParagraph"/>
        <w:numPr>
          <w:ilvl w:val="0"/>
          <w:numId w:val="149"/>
        </w:numPr>
        <w:tabs>
          <w:tab w:pos="1215" w:val="left" w:leader="none"/>
          <w:tab w:pos="1216" w:val="left" w:leader="none"/>
        </w:tabs>
        <w:spacing w:line="240" w:lineRule="auto" w:before="4" w:after="0"/>
        <w:ind w:left="1215" w:right="1888" w:hanging="793"/>
        <w:jc w:val="left"/>
        <w:rPr>
          <w:sz w:val="13"/>
        </w:rPr>
      </w:pPr>
      <w:r>
        <w:rPr>
          <w:sz w:val="13"/>
        </w:rPr>
        <w:t>Consultation </w:t>
      </w:r>
      <w:r>
        <w:rPr>
          <w:spacing w:val="-6"/>
          <w:sz w:val="13"/>
        </w:rPr>
        <w:t>11 </w:t>
      </w:r>
      <w:r>
        <w:rPr>
          <w:spacing w:val="2"/>
          <w:sz w:val="13"/>
        </w:rPr>
        <w:t>(Land </w:t>
      </w:r>
      <w:r>
        <w:rPr>
          <w:sz w:val="13"/>
        </w:rPr>
        <w:t>and Environment Court of New South Wales). Res judicata is ‘the rule that if a dispute is  judged  by  a  court  of competent jurisdiction, the judgment of the court is final and conclusive as to the rights and duties of the parties involved. Res judicata constitutes an absolute bar to a subsequent suit for the same cause of action’: Peter Butt </w:t>
      </w:r>
      <w:r>
        <w:rPr>
          <w:spacing w:val="2"/>
          <w:sz w:val="13"/>
        </w:rPr>
        <w:t>(ed), </w:t>
      </w:r>
      <w:r>
        <w:rPr>
          <w:i/>
          <w:sz w:val="13"/>
        </w:rPr>
        <w:t>Butterworths’ Concise Australian  Legal </w:t>
      </w:r>
      <w:r>
        <w:rPr>
          <w:i/>
          <w:sz w:val="13"/>
        </w:rPr>
        <w:t>Dictionary </w:t>
      </w:r>
      <w:r>
        <w:rPr>
          <w:spacing w:val="2"/>
          <w:sz w:val="13"/>
        </w:rPr>
        <w:t>(LexisNexis/Butterworths, </w:t>
      </w:r>
      <w:r>
        <w:rPr>
          <w:sz w:val="13"/>
        </w:rPr>
        <w:t>3rd ed, </w:t>
      </w:r>
      <w:r>
        <w:rPr>
          <w:spacing w:val="2"/>
          <w:sz w:val="13"/>
        </w:rPr>
        <w:t>2004) </w:t>
      </w:r>
      <w:r>
        <w:rPr>
          <w:sz w:val="13"/>
        </w:rPr>
        <w:t>‘res</w:t>
      </w:r>
      <w:r>
        <w:rPr>
          <w:spacing w:val="9"/>
          <w:sz w:val="13"/>
        </w:rPr>
        <w:t> </w:t>
      </w:r>
      <w:r>
        <w:rPr>
          <w:sz w:val="13"/>
        </w:rPr>
        <w:t>judicata’.</w:t>
      </w:r>
    </w:p>
    <w:p>
      <w:pPr>
        <w:spacing w:after="0" w:line="240" w:lineRule="auto"/>
        <w:jc w:val="left"/>
        <w:rPr>
          <w:sz w:val="13"/>
        </w:rPr>
        <w:sectPr>
          <w:type w:val="continuous"/>
          <w:pgSz w:w="11910" w:h="16840"/>
          <w:pgMar w:top="300" w:bottom="280" w:left="0" w:right="0"/>
          <w:cols w:num="2" w:equalWidth="0">
            <w:col w:w="1125" w:space="40"/>
            <w:col w:w="10745"/>
          </w:cols>
        </w:sectPr>
      </w:pPr>
    </w:p>
    <w:p>
      <w:pPr>
        <w:pStyle w:val="BodyText"/>
        <w:rPr>
          <w:sz w:val="20"/>
        </w:rPr>
      </w:pPr>
    </w:p>
    <w:p>
      <w:pPr>
        <w:pStyle w:val="BodyText"/>
        <w:spacing w:before="9"/>
        <w:rPr>
          <w:sz w:val="18"/>
        </w:rPr>
      </w:pPr>
    </w:p>
    <w:p>
      <w:pPr>
        <w:pStyle w:val="ListParagraph"/>
        <w:numPr>
          <w:ilvl w:val="1"/>
          <w:numId w:val="16"/>
        </w:numPr>
        <w:tabs>
          <w:tab w:pos="2380" w:val="left" w:leader="none"/>
          <w:tab w:pos="2381" w:val="left" w:leader="none"/>
        </w:tabs>
        <w:spacing w:line="242" w:lineRule="auto" w:before="91" w:after="0"/>
        <w:ind w:left="2381" w:right="1774" w:hanging="794"/>
        <w:jc w:val="left"/>
        <w:rPr>
          <w:sz w:val="21"/>
        </w:rPr>
      </w:pPr>
      <w:bookmarkStart w:name="The Commission’s conclusions—appeals" w:id="234"/>
      <w:bookmarkEnd w:id="234"/>
      <w:r>
        <w:rPr/>
      </w:r>
      <w:bookmarkStart w:name="_bookmark112" w:id="235"/>
      <w:bookmarkEnd w:id="235"/>
      <w:r>
        <w:rPr/>
      </w:r>
      <w:bookmarkStart w:name="_bookmark112" w:id="236"/>
      <w:bookmarkEnd w:id="236"/>
      <w:r>
        <w:rPr>
          <w:w w:val="105"/>
          <w:sz w:val="21"/>
        </w:rPr>
        <w:t>T</w:t>
      </w:r>
      <w:r>
        <w:rPr>
          <w:w w:val="105"/>
          <w:sz w:val="21"/>
        </w:rPr>
        <w:t>he NSWLEC </w:t>
      </w:r>
      <w:r>
        <w:rPr>
          <w:spacing w:val="-3"/>
          <w:w w:val="105"/>
          <w:sz w:val="21"/>
        </w:rPr>
        <w:t>noted that </w:t>
      </w:r>
      <w:r>
        <w:rPr>
          <w:w w:val="105"/>
          <w:sz w:val="21"/>
        </w:rPr>
        <w:t>the subject matter of a tree </w:t>
      </w:r>
      <w:r>
        <w:rPr>
          <w:spacing w:val="-3"/>
          <w:w w:val="105"/>
          <w:sz w:val="21"/>
        </w:rPr>
        <w:t>dispute that </w:t>
      </w:r>
      <w:r>
        <w:rPr>
          <w:spacing w:val="-2"/>
          <w:w w:val="105"/>
          <w:sz w:val="21"/>
        </w:rPr>
        <w:t>has </w:t>
      </w:r>
      <w:r>
        <w:rPr>
          <w:spacing w:val="-3"/>
          <w:w w:val="105"/>
          <w:sz w:val="21"/>
        </w:rPr>
        <w:t>already </w:t>
      </w:r>
      <w:r>
        <w:rPr>
          <w:w w:val="105"/>
          <w:sz w:val="21"/>
        </w:rPr>
        <w:t>been </w:t>
      </w:r>
      <w:r>
        <w:rPr>
          <w:spacing w:val="-3"/>
          <w:w w:val="105"/>
          <w:sz w:val="21"/>
        </w:rPr>
        <w:t>determined </w:t>
      </w:r>
      <w:r>
        <w:rPr>
          <w:w w:val="105"/>
          <w:sz w:val="21"/>
        </w:rPr>
        <w:t>by the </w:t>
      </w:r>
      <w:r>
        <w:rPr>
          <w:spacing w:val="-3"/>
          <w:w w:val="105"/>
          <w:sz w:val="21"/>
        </w:rPr>
        <w:t>Court cannot </w:t>
      </w:r>
      <w:r>
        <w:rPr>
          <w:w w:val="105"/>
          <w:sz w:val="21"/>
        </w:rPr>
        <w:t>be the subject of a new application </w:t>
      </w:r>
      <w:r>
        <w:rPr>
          <w:spacing w:val="-3"/>
          <w:w w:val="105"/>
          <w:sz w:val="21"/>
        </w:rPr>
        <w:t>to </w:t>
      </w:r>
      <w:r>
        <w:rPr>
          <w:w w:val="105"/>
          <w:sz w:val="21"/>
        </w:rPr>
        <w:t>the </w:t>
      </w:r>
      <w:r>
        <w:rPr>
          <w:spacing w:val="-3"/>
          <w:w w:val="105"/>
          <w:sz w:val="21"/>
        </w:rPr>
        <w:t>Court </w:t>
      </w:r>
      <w:r>
        <w:rPr>
          <w:w w:val="105"/>
          <w:sz w:val="21"/>
        </w:rPr>
        <w:t>unless there is a </w:t>
      </w:r>
      <w:r>
        <w:rPr>
          <w:spacing w:val="-3"/>
          <w:w w:val="105"/>
          <w:sz w:val="21"/>
        </w:rPr>
        <w:t>change </w:t>
      </w:r>
      <w:r>
        <w:rPr>
          <w:w w:val="105"/>
          <w:sz w:val="21"/>
        </w:rPr>
        <w:t>in </w:t>
      </w:r>
      <w:r>
        <w:rPr>
          <w:spacing w:val="-3"/>
          <w:w w:val="105"/>
          <w:sz w:val="21"/>
        </w:rPr>
        <w:t>circumstances </w:t>
      </w:r>
      <w:r>
        <w:rPr>
          <w:w w:val="105"/>
          <w:sz w:val="21"/>
        </w:rPr>
        <w:t>or </w:t>
      </w:r>
      <w:r>
        <w:rPr>
          <w:spacing w:val="-3"/>
          <w:w w:val="105"/>
          <w:sz w:val="21"/>
        </w:rPr>
        <w:t>fresh </w:t>
      </w:r>
      <w:r>
        <w:rPr>
          <w:w w:val="105"/>
          <w:sz w:val="21"/>
        </w:rPr>
        <w:t>evidence is </w:t>
      </w:r>
      <w:r>
        <w:rPr>
          <w:spacing w:val="-3"/>
          <w:w w:val="105"/>
          <w:sz w:val="21"/>
        </w:rPr>
        <w:t>presented. </w:t>
      </w:r>
      <w:r>
        <w:rPr>
          <w:w w:val="105"/>
          <w:sz w:val="21"/>
        </w:rPr>
        <w:t>It was suggested </w:t>
      </w:r>
      <w:r>
        <w:rPr>
          <w:spacing w:val="-3"/>
          <w:w w:val="105"/>
          <w:sz w:val="21"/>
        </w:rPr>
        <w:t>that </w:t>
      </w:r>
      <w:r>
        <w:rPr>
          <w:w w:val="105"/>
          <w:sz w:val="21"/>
        </w:rPr>
        <w:t>this</w:t>
      </w:r>
      <w:r>
        <w:rPr>
          <w:spacing w:val="-11"/>
          <w:w w:val="105"/>
          <w:sz w:val="21"/>
        </w:rPr>
        <w:t> </w:t>
      </w:r>
      <w:r>
        <w:rPr>
          <w:spacing w:val="-2"/>
          <w:w w:val="105"/>
          <w:sz w:val="21"/>
        </w:rPr>
        <w:t>prevents</w:t>
      </w:r>
      <w:r>
        <w:rPr>
          <w:spacing w:val="-10"/>
          <w:w w:val="105"/>
          <w:sz w:val="21"/>
        </w:rPr>
        <w:t> </w:t>
      </w:r>
      <w:r>
        <w:rPr>
          <w:w w:val="105"/>
          <w:sz w:val="21"/>
        </w:rPr>
        <w:t>parties</w:t>
      </w:r>
      <w:r>
        <w:rPr>
          <w:spacing w:val="-11"/>
          <w:w w:val="105"/>
          <w:sz w:val="21"/>
        </w:rPr>
        <w:t> </w:t>
      </w:r>
      <w:r>
        <w:rPr>
          <w:spacing w:val="-3"/>
          <w:w w:val="105"/>
          <w:sz w:val="21"/>
        </w:rPr>
        <w:t>from</w:t>
      </w:r>
      <w:r>
        <w:rPr>
          <w:spacing w:val="-10"/>
          <w:w w:val="105"/>
          <w:sz w:val="21"/>
        </w:rPr>
        <w:t> </w:t>
      </w:r>
      <w:r>
        <w:rPr>
          <w:w w:val="105"/>
          <w:sz w:val="21"/>
        </w:rPr>
        <w:t>seeking</w:t>
      </w:r>
      <w:r>
        <w:rPr>
          <w:spacing w:val="-11"/>
          <w:w w:val="105"/>
          <w:sz w:val="21"/>
        </w:rPr>
        <w:t> </w:t>
      </w:r>
      <w:r>
        <w:rPr>
          <w:spacing w:val="-3"/>
          <w:w w:val="105"/>
          <w:sz w:val="21"/>
        </w:rPr>
        <w:t>to</w:t>
      </w:r>
      <w:r>
        <w:rPr>
          <w:spacing w:val="-10"/>
          <w:w w:val="105"/>
          <w:sz w:val="21"/>
        </w:rPr>
        <w:t> </w:t>
      </w:r>
      <w:r>
        <w:rPr>
          <w:spacing w:val="-3"/>
          <w:w w:val="105"/>
          <w:sz w:val="21"/>
        </w:rPr>
        <w:t>have</w:t>
      </w:r>
      <w:r>
        <w:rPr>
          <w:spacing w:val="-11"/>
          <w:w w:val="105"/>
          <w:sz w:val="21"/>
        </w:rPr>
        <w:t> </w:t>
      </w:r>
      <w:r>
        <w:rPr>
          <w:w w:val="105"/>
          <w:sz w:val="21"/>
        </w:rPr>
        <w:t>the</w:t>
      </w:r>
      <w:r>
        <w:rPr>
          <w:spacing w:val="-10"/>
          <w:w w:val="105"/>
          <w:sz w:val="21"/>
        </w:rPr>
        <w:t> </w:t>
      </w:r>
      <w:r>
        <w:rPr>
          <w:w w:val="105"/>
          <w:sz w:val="21"/>
        </w:rPr>
        <w:t>matter</w:t>
      </w:r>
      <w:r>
        <w:rPr>
          <w:spacing w:val="-11"/>
          <w:w w:val="105"/>
          <w:sz w:val="21"/>
        </w:rPr>
        <w:t> </w:t>
      </w:r>
      <w:r>
        <w:rPr>
          <w:w w:val="105"/>
          <w:sz w:val="21"/>
        </w:rPr>
        <w:t>re-heard</w:t>
      </w:r>
      <w:r>
        <w:rPr>
          <w:spacing w:val="-10"/>
          <w:w w:val="105"/>
          <w:sz w:val="21"/>
        </w:rPr>
        <w:t> </w:t>
      </w:r>
      <w:r>
        <w:rPr>
          <w:spacing w:val="-3"/>
          <w:w w:val="105"/>
          <w:sz w:val="21"/>
        </w:rPr>
        <w:t>before</w:t>
      </w:r>
      <w:r>
        <w:rPr>
          <w:spacing w:val="-11"/>
          <w:w w:val="105"/>
          <w:sz w:val="21"/>
        </w:rPr>
        <w:t> </w:t>
      </w:r>
      <w:r>
        <w:rPr>
          <w:w w:val="105"/>
          <w:sz w:val="21"/>
        </w:rPr>
        <w:t>a</w:t>
      </w:r>
      <w:r>
        <w:rPr>
          <w:spacing w:val="-10"/>
          <w:w w:val="105"/>
          <w:sz w:val="21"/>
        </w:rPr>
        <w:t> </w:t>
      </w:r>
      <w:r>
        <w:rPr>
          <w:w w:val="105"/>
          <w:sz w:val="21"/>
        </w:rPr>
        <w:t>more</w:t>
      </w:r>
      <w:r>
        <w:rPr>
          <w:spacing w:val="-10"/>
          <w:w w:val="105"/>
          <w:sz w:val="21"/>
        </w:rPr>
        <w:t> </w:t>
      </w:r>
      <w:r>
        <w:rPr>
          <w:spacing w:val="-3"/>
          <w:w w:val="105"/>
          <w:sz w:val="21"/>
        </w:rPr>
        <w:t>favourable </w:t>
      </w:r>
      <w:r>
        <w:rPr>
          <w:spacing w:val="-4"/>
          <w:w w:val="105"/>
          <w:sz w:val="21"/>
        </w:rPr>
        <w:t>commissioner.</w:t>
      </w:r>
      <w:r>
        <w:rPr>
          <w:spacing w:val="-18"/>
          <w:w w:val="105"/>
          <w:sz w:val="21"/>
        </w:rPr>
        <w:t> </w:t>
      </w:r>
      <w:r>
        <w:rPr>
          <w:spacing w:val="-6"/>
          <w:w w:val="105"/>
          <w:position w:val="7"/>
          <w:sz w:val="12"/>
        </w:rPr>
        <w:t>117</w:t>
      </w:r>
    </w:p>
    <w:p>
      <w:pPr>
        <w:pStyle w:val="BodyText"/>
        <w:spacing w:before="1"/>
        <w:rPr>
          <w:sz w:val="22"/>
        </w:rPr>
      </w:pPr>
    </w:p>
    <w:p>
      <w:pPr>
        <w:pStyle w:val="Heading4"/>
      </w:pPr>
      <w:r>
        <w:rPr>
          <w:color w:val="658464"/>
          <w:w w:val="110"/>
        </w:rPr>
        <w:t>The Commission’s conclusions—appeals</w:t>
      </w:r>
    </w:p>
    <w:p>
      <w:pPr>
        <w:pStyle w:val="ListParagraph"/>
        <w:numPr>
          <w:ilvl w:val="1"/>
          <w:numId w:val="16"/>
        </w:numPr>
        <w:tabs>
          <w:tab w:pos="2381" w:val="left" w:leader="none"/>
          <w:tab w:pos="2382" w:val="left" w:leader="none"/>
        </w:tabs>
        <w:spacing w:line="242" w:lineRule="auto" w:before="155" w:after="0"/>
        <w:ind w:left="2381" w:right="1821" w:hanging="794"/>
        <w:jc w:val="left"/>
        <w:rPr>
          <w:sz w:val="21"/>
        </w:rPr>
      </w:pPr>
      <w:r>
        <w:rPr>
          <w:spacing w:val="-8"/>
          <w:sz w:val="21"/>
        </w:rPr>
        <w:t>VCAT, </w:t>
      </w:r>
      <w:r>
        <w:rPr>
          <w:spacing w:val="-4"/>
          <w:sz w:val="21"/>
        </w:rPr>
        <w:t>like </w:t>
      </w:r>
      <w:r>
        <w:rPr>
          <w:sz w:val="21"/>
        </w:rPr>
        <w:t>other </w:t>
      </w:r>
      <w:r>
        <w:rPr>
          <w:spacing w:val="-3"/>
          <w:sz w:val="21"/>
        </w:rPr>
        <w:t>tribunals that  </w:t>
      </w:r>
      <w:r>
        <w:rPr>
          <w:sz w:val="21"/>
        </w:rPr>
        <w:t>derive  their  powers  </w:t>
      </w:r>
      <w:r>
        <w:rPr>
          <w:spacing w:val="-3"/>
          <w:sz w:val="21"/>
        </w:rPr>
        <w:t>from  enabling  </w:t>
      </w:r>
      <w:r>
        <w:rPr>
          <w:sz w:val="21"/>
        </w:rPr>
        <w:t>statutes,  is  </w:t>
      </w:r>
      <w:r>
        <w:rPr>
          <w:spacing w:val="-3"/>
          <w:sz w:val="21"/>
        </w:rPr>
        <w:t>intended to </w:t>
      </w:r>
      <w:r>
        <w:rPr>
          <w:sz w:val="21"/>
        </w:rPr>
        <w:t>be a </w:t>
      </w:r>
      <w:r>
        <w:rPr>
          <w:spacing w:val="-3"/>
          <w:sz w:val="21"/>
        </w:rPr>
        <w:t>forum that </w:t>
      </w:r>
      <w:r>
        <w:rPr>
          <w:sz w:val="21"/>
        </w:rPr>
        <w:t>provides </w:t>
      </w:r>
      <w:r>
        <w:rPr>
          <w:spacing w:val="-3"/>
          <w:sz w:val="21"/>
        </w:rPr>
        <w:t>for </w:t>
      </w:r>
      <w:r>
        <w:rPr>
          <w:sz w:val="21"/>
        </w:rPr>
        <w:t>the final resolution of matters. Rights of appeal </w:t>
      </w:r>
      <w:r>
        <w:rPr>
          <w:spacing w:val="-3"/>
          <w:sz w:val="21"/>
        </w:rPr>
        <w:t>are thus </w:t>
      </w:r>
      <w:r>
        <w:rPr>
          <w:sz w:val="21"/>
        </w:rPr>
        <w:t>often </w:t>
      </w:r>
      <w:r>
        <w:rPr>
          <w:spacing w:val="-3"/>
          <w:sz w:val="21"/>
        </w:rPr>
        <w:t>limited to </w:t>
      </w:r>
      <w:r>
        <w:rPr>
          <w:sz w:val="21"/>
        </w:rPr>
        <w:t>questions of law in a court with </w:t>
      </w:r>
      <w:r>
        <w:rPr>
          <w:spacing w:val="-3"/>
          <w:sz w:val="21"/>
        </w:rPr>
        <w:t>appellate</w:t>
      </w:r>
      <w:r>
        <w:rPr>
          <w:spacing w:val="32"/>
          <w:sz w:val="21"/>
        </w:rPr>
        <w:t> </w:t>
      </w:r>
      <w:r>
        <w:rPr>
          <w:sz w:val="21"/>
        </w:rPr>
        <w:t>jurisdiction.</w:t>
      </w:r>
    </w:p>
    <w:p>
      <w:pPr>
        <w:pStyle w:val="ListParagraph"/>
        <w:numPr>
          <w:ilvl w:val="1"/>
          <w:numId w:val="16"/>
        </w:numPr>
        <w:tabs>
          <w:tab w:pos="2381" w:val="left" w:leader="none"/>
          <w:tab w:pos="2382" w:val="left" w:leader="none"/>
        </w:tabs>
        <w:spacing w:line="242" w:lineRule="auto" w:before="123" w:after="0"/>
        <w:ind w:left="2381" w:right="1820" w:hanging="794"/>
        <w:jc w:val="left"/>
        <w:rPr>
          <w:sz w:val="21"/>
        </w:rPr>
      </w:pPr>
      <w:r>
        <w:rPr>
          <w:spacing w:val="-4"/>
          <w:w w:val="105"/>
          <w:sz w:val="21"/>
        </w:rPr>
        <w:t>Chapter </w:t>
      </w:r>
      <w:r>
        <w:rPr>
          <w:w w:val="105"/>
          <w:sz w:val="21"/>
        </w:rPr>
        <w:t>7 </w:t>
      </w:r>
      <w:r>
        <w:rPr>
          <w:spacing w:val="-3"/>
          <w:w w:val="105"/>
          <w:sz w:val="21"/>
        </w:rPr>
        <w:t>recommends that </w:t>
      </w:r>
      <w:r>
        <w:rPr>
          <w:spacing w:val="-5"/>
          <w:w w:val="105"/>
          <w:sz w:val="21"/>
        </w:rPr>
        <w:t>VCAT </w:t>
      </w:r>
      <w:r>
        <w:rPr>
          <w:w w:val="105"/>
          <w:sz w:val="21"/>
        </w:rPr>
        <w:t>be given </w:t>
      </w:r>
      <w:r>
        <w:rPr>
          <w:spacing w:val="-3"/>
          <w:w w:val="105"/>
          <w:sz w:val="21"/>
        </w:rPr>
        <w:t>original </w:t>
      </w:r>
      <w:r>
        <w:rPr>
          <w:w w:val="105"/>
          <w:sz w:val="21"/>
        </w:rPr>
        <w:t>jurisdiction and </w:t>
      </w:r>
      <w:r>
        <w:rPr>
          <w:spacing w:val="-2"/>
          <w:w w:val="105"/>
          <w:sz w:val="21"/>
        </w:rPr>
        <w:t>not </w:t>
      </w:r>
      <w:r>
        <w:rPr>
          <w:spacing w:val="-3"/>
          <w:w w:val="105"/>
          <w:sz w:val="21"/>
        </w:rPr>
        <w:t>exclusive </w:t>
      </w:r>
      <w:r>
        <w:rPr>
          <w:w w:val="105"/>
          <w:sz w:val="21"/>
        </w:rPr>
        <w:t>jurisdiction </w:t>
      </w:r>
      <w:r>
        <w:rPr>
          <w:spacing w:val="-3"/>
          <w:w w:val="105"/>
          <w:sz w:val="21"/>
        </w:rPr>
        <w:t>to </w:t>
      </w:r>
      <w:r>
        <w:rPr>
          <w:w w:val="105"/>
          <w:sz w:val="21"/>
        </w:rPr>
        <w:t>hear and </w:t>
      </w:r>
      <w:r>
        <w:rPr>
          <w:spacing w:val="-3"/>
          <w:w w:val="105"/>
          <w:sz w:val="21"/>
        </w:rPr>
        <w:t>determine </w:t>
      </w:r>
      <w:r>
        <w:rPr>
          <w:w w:val="105"/>
          <w:sz w:val="21"/>
        </w:rPr>
        <w:t>neighbourhood tree </w:t>
      </w:r>
      <w:r>
        <w:rPr>
          <w:spacing w:val="-3"/>
          <w:w w:val="105"/>
          <w:sz w:val="21"/>
        </w:rPr>
        <w:t>disputes </w:t>
      </w:r>
      <w:r>
        <w:rPr>
          <w:w w:val="105"/>
          <w:sz w:val="21"/>
        </w:rPr>
        <w:t>under the new </w:t>
      </w:r>
      <w:r>
        <w:rPr>
          <w:spacing w:val="-6"/>
          <w:w w:val="105"/>
          <w:sz w:val="21"/>
        </w:rPr>
        <w:t>Act.</w:t>
      </w:r>
      <w:r>
        <w:rPr>
          <w:spacing w:val="-6"/>
          <w:w w:val="105"/>
          <w:position w:val="7"/>
          <w:sz w:val="12"/>
        </w:rPr>
        <w:t>118</w:t>
      </w:r>
      <w:r>
        <w:rPr>
          <w:spacing w:val="-6"/>
          <w:w w:val="105"/>
          <w:sz w:val="12"/>
        </w:rPr>
        <w:t> </w:t>
      </w:r>
      <w:r>
        <w:rPr>
          <w:w w:val="105"/>
          <w:sz w:val="21"/>
        </w:rPr>
        <w:t>This </w:t>
      </w:r>
      <w:r>
        <w:rPr>
          <w:spacing w:val="-3"/>
          <w:w w:val="105"/>
          <w:sz w:val="21"/>
        </w:rPr>
        <w:t>means that </w:t>
      </w:r>
      <w:r>
        <w:rPr>
          <w:spacing w:val="-6"/>
          <w:w w:val="105"/>
          <w:sz w:val="21"/>
        </w:rPr>
        <w:t>VCAT’s </w:t>
      </w:r>
      <w:r>
        <w:rPr>
          <w:w w:val="105"/>
          <w:sz w:val="21"/>
        </w:rPr>
        <w:t>rights </w:t>
      </w:r>
      <w:r>
        <w:rPr>
          <w:spacing w:val="-3"/>
          <w:w w:val="105"/>
          <w:sz w:val="21"/>
        </w:rPr>
        <w:t>to </w:t>
      </w:r>
      <w:r>
        <w:rPr>
          <w:w w:val="105"/>
          <w:sz w:val="21"/>
        </w:rPr>
        <w:t>review a decision would be </w:t>
      </w:r>
      <w:r>
        <w:rPr>
          <w:spacing w:val="-3"/>
          <w:w w:val="105"/>
          <w:sz w:val="21"/>
        </w:rPr>
        <w:t>limited to </w:t>
      </w:r>
      <w:r>
        <w:rPr>
          <w:w w:val="105"/>
          <w:sz w:val="21"/>
        </w:rPr>
        <w:t>an appeal on a question of law </w:t>
      </w:r>
      <w:r>
        <w:rPr>
          <w:spacing w:val="-3"/>
          <w:w w:val="105"/>
          <w:sz w:val="21"/>
        </w:rPr>
        <w:t>to </w:t>
      </w:r>
      <w:r>
        <w:rPr>
          <w:w w:val="105"/>
          <w:sz w:val="21"/>
        </w:rPr>
        <w:t>the </w:t>
      </w:r>
      <w:r>
        <w:rPr>
          <w:spacing w:val="-3"/>
          <w:w w:val="105"/>
          <w:sz w:val="21"/>
        </w:rPr>
        <w:t>Supreme Court </w:t>
      </w:r>
      <w:r>
        <w:rPr>
          <w:w w:val="105"/>
          <w:sz w:val="21"/>
        </w:rPr>
        <w:t>and the re-opening of an order on substantive </w:t>
      </w:r>
      <w:r>
        <w:rPr>
          <w:spacing w:val="-3"/>
          <w:w w:val="105"/>
          <w:sz w:val="21"/>
        </w:rPr>
        <w:t>grounds </w:t>
      </w:r>
      <w:r>
        <w:rPr>
          <w:w w:val="105"/>
          <w:sz w:val="21"/>
        </w:rPr>
        <w:t>in the interests of </w:t>
      </w:r>
      <w:r>
        <w:rPr>
          <w:spacing w:val="-3"/>
          <w:w w:val="105"/>
          <w:sz w:val="21"/>
        </w:rPr>
        <w:t>fairness </w:t>
      </w:r>
      <w:r>
        <w:rPr>
          <w:w w:val="105"/>
          <w:sz w:val="21"/>
        </w:rPr>
        <w:t>as provided </w:t>
      </w:r>
      <w:r>
        <w:rPr>
          <w:spacing w:val="-3"/>
          <w:w w:val="105"/>
          <w:sz w:val="21"/>
        </w:rPr>
        <w:t>for </w:t>
      </w:r>
      <w:r>
        <w:rPr>
          <w:w w:val="105"/>
          <w:sz w:val="21"/>
        </w:rPr>
        <w:t>in the </w:t>
      </w:r>
      <w:r>
        <w:rPr>
          <w:spacing w:val="-5"/>
          <w:w w:val="105"/>
          <w:sz w:val="21"/>
        </w:rPr>
        <w:t>VCAT </w:t>
      </w:r>
      <w:r>
        <w:rPr>
          <w:w w:val="105"/>
          <w:sz w:val="21"/>
        </w:rPr>
        <w:t>Act, where a person did </w:t>
      </w:r>
      <w:r>
        <w:rPr>
          <w:spacing w:val="-2"/>
          <w:w w:val="105"/>
          <w:sz w:val="21"/>
        </w:rPr>
        <w:t>not </w:t>
      </w:r>
      <w:r>
        <w:rPr>
          <w:w w:val="105"/>
          <w:sz w:val="21"/>
        </w:rPr>
        <w:t>attend or was </w:t>
      </w:r>
      <w:r>
        <w:rPr>
          <w:spacing w:val="-2"/>
          <w:w w:val="105"/>
          <w:sz w:val="21"/>
        </w:rPr>
        <w:t>not </w:t>
      </w:r>
      <w:r>
        <w:rPr>
          <w:spacing w:val="-3"/>
          <w:w w:val="105"/>
          <w:sz w:val="21"/>
        </w:rPr>
        <w:t>represented </w:t>
      </w:r>
      <w:r>
        <w:rPr>
          <w:w w:val="105"/>
          <w:sz w:val="21"/>
        </w:rPr>
        <w:t>at the </w:t>
      </w:r>
      <w:r>
        <w:rPr>
          <w:spacing w:val="-6"/>
          <w:w w:val="105"/>
          <w:sz w:val="21"/>
        </w:rPr>
        <w:t>hearing.</w:t>
      </w:r>
      <w:r>
        <w:rPr>
          <w:spacing w:val="-6"/>
          <w:w w:val="105"/>
          <w:position w:val="7"/>
          <w:sz w:val="12"/>
        </w:rPr>
        <w:t>119 </w:t>
      </w:r>
      <w:r>
        <w:rPr>
          <w:w w:val="105"/>
          <w:sz w:val="21"/>
        </w:rPr>
        <w:t>The </w:t>
      </w:r>
      <w:r>
        <w:rPr>
          <w:spacing w:val="-3"/>
          <w:w w:val="105"/>
          <w:sz w:val="21"/>
        </w:rPr>
        <w:t>Commission </w:t>
      </w:r>
      <w:r>
        <w:rPr>
          <w:w w:val="105"/>
          <w:sz w:val="21"/>
        </w:rPr>
        <w:t>is of the view </w:t>
      </w:r>
      <w:r>
        <w:rPr>
          <w:spacing w:val="-3"/>
          <w:w w:val="105"/>
          <w:sz w:val="21"/>
        </w:rPr>
        <w:t>that </w:t>
      </w:r>
      <w:r>
        <w:rPr>
          <w:w w:val="105"/>
          <w:sz w:val="21"/>
        </w:rPr>
        <w:t>these</w:t>
      </w:r>
      <w:r>
        <w:rPr>
          <w:spacing w:val="-6"/>
          <w:w w:val="105"/>
          <w:sz w:val="21"/>
        </w:rPr>
        <w:t> </w:t>
      </w:r>
      <w:r>
        <w:rPr>
          <w:w w:val="105"/>
          <w:sz w:val="21"/>
        </w:rPr>
        <w:t>existing</w:t>
      </w:r>
      <w:r>
        <w:rPr>
          <w:spacing w:val="-5"/>
          <w:w w:val="105"/>
          <w:sz w:val="21"/>
        </w:rPr>
        <w:t> </w:t>
      </w:r>
      <w:r>
        <w:rPr>
          <w:w w:val="105"/>
          <w:sz w:val="21"/>
        </w:rPr>
        <w:t>appeal</w:t>
      </w:r>
      <w:r>
        <w:rPr>
          <w:spacing w:val="-5"/>
          <w:w w:val="105"/>
          <w:sz w:val="21"/>
        </w:rPr>
        <w:t> </w:t>
      </w:r>
      <w:r>
        <w:rPr>
          <w:w w:val="105"/>
          <w:sz w:val="21"/>
        </w:rPr>
        <w:t>processes</w:t>
      </w:r>
      <w:r>
        <w:rPr>
          <w:spacing w:val="-5"/>
          <w:w w:val="105"/>
          <w:sz w:val="21"/>
        </w:rPr>
        <w:t> </w:t>
      </w:r>
      <w:r>
        <w:rPr>
          <w:spacing w:val="-3"/>
          <w:w w:val="105"/>
          <w:sz w:val="21"/>
        </w:rPr>
        <w:t>are</w:t>
      </w:r>
      <w:r>
        <w:rPr>
          <w:spacing w:val="-6"/>
          <w:w w:val="105"/>
          <w:sz w:val="21"/>
        </w:rPr>
        <w:t> </w:t>
      </w:r>
      <w:r>
        <w:rPr>
          <w:spacing w:val="-3"/>
          <w:w w:val="105"/>
          <w:sz w:val="21"/>
        </w:rPr>
        <w:t>appropriate</w:t>
      </w:r>
      <w:r>
        <w:rPr>
          <w:spacing w:val="-5"/>
          <w:w w:val="105"/>
          <w:sz w:val="21"/>
        </w:rPr>
        <w:t> </w:t>
      </w:r>
      <w:r>
        <w:rPr>
          <w:spacing w:val="-3"/>
          <w:w w:val="105"/>
          <w:sz w:val="21"/>
        </w:rPr>
        <w:t>for</w:t>
      </w:r>
      <w:r>
        <w:rPr>
          <w:spacing w:val="-5"/>
          <w:w w:val="105"/>
          <w:sz w:val="21"/>
        </w:rPr>
        <w:t> </w:t>
      </w:r>
      <w:r>
        <w:rPr>
          <w:w w:val="105"/>
          <w:sz w:val="21"/>
        </w:rPr>
        <w:t>tree</w:t>
      </w:r>
      <w:r>
        <w:rPr>
          <w:spacing w:val="-5"/>
          <w:w w:val="105"/>
          <w:sz w:val="21"/>
        </w:rPr>
        <w:t> </w:t>
      </w:r>
      <w:r>
        <w:rPr>
          <w:spacing w:val="-3"/>
          <w:w w:val="105"/>
          <w:sz w:val="21"/>
        </w:rPr>
        <w:t>disputes</w:t>
      </w:r>
      <w:r>
        <w:rPr>
          <w:spacing w:val="-6"/>
          <w:w w:val="105"/>
          <w:sz w:val="21"/>
        </w:rPr>
        <w:t> </w:t>
      </w:r>
      <w:r>
        <w:rPr>
          <w:w w:val="105"/>
          <w:sz w:val="21"/>
        </w:rPr>
        <w:t>under</w:t>
      </w:r>
      <w:r>
        <w:rPr>
          <w:spacing w:val="-5"/>
          <w:w w:val="105"/>
          <w:sz w:val="21"/>
        </w:rPr>
        <w:t> </w:t>
      </w:r>
      <w:r>
        <w:rPr>
          <w:w w:val="105"/>
          <w:sz w:val="21"/>
        </w:rPr>
        <w:t>the</w:t>
      </w:r>
      <w:r>
        <w:rPr>
          <w:spacing w:val="-5"/>
          <w:w w:val="105"/>
          <w:sz w:val="21"/>
        </w:rPr>
        <w:t> </w:t>
      </w:r>
      <w:r>
        <w:rPr>
          <w:w w:val="105"/>
          <w:sz w:val="21"/>
        </w:rPr>
        <w:t>new</w:t>
      </w:r>
      <w:r>
        <w:rPr>
          <w:spacing w:val="-5"/>
          <w:w w:val="105"/>
          <w:sz w:val="21"/>
        </w:rPr>
        <w:t> </w:t>
      </w:r>
      <w:r>
        <w:rPr>
          <w:w w:val="105"/>
          <w:sz w:val="21"/>
        </w:rPr>
        <w:t>Act.</w:t>
      </w:r>
    </w:p>
    <w:p>
      <w:pPr>
        <w:pStyle w:val="ListParagraph"/>
        <w:numPr>
          <w:ilvl w:val="1"/>
          <w:numId w:val="16"/>
        </w:numPr>
        <w:tabs>
          <w:tab w:pos="2380" w:val="left" w:leader="none"/>
          <w:tab w:pos="2381" w:val="left" w:leader="none"/>
        </w:tabs>
        <w:spacing w:line="242" w:lineRule="auto" w:before="128" w:after="0"/>
        <w:ind w:left="2380" w:right="1605" w:hanging="793"/>
        <w:jc w:val="left"/>
        <w:rPr>
          <w:sz w:val="21"/>
        </w:rPr>
      </w:pPr>
      <w:r>
        <w:rPr>
          <w:w w:val="105"/>
          <w:sz w:val="21"/>
        </w:rPr>
        <w:t>The costs of </w:t>
      </w:r>
      <w:r>
        <w:rPr>
          <w:spacing w:val="-3"/>
          <w:w w:val="105"/>
          <w:sz w:val="21"/>
        </w:rPr>
        <w:t>commencing </w:t>
      </w:r>
      <w:r>
        <w:rPr>
          <w:w w:val="105"/>
          <w:sz w:val="21"/>
        </w:rPr>
        <w:t>an appeal in the </w:t>
      </w:r>
      <w:r>
        <w:rPr>
          <w:spacing w:val="-3"/>
          <w:w w:val="105"/>
          <w:sz w:val="21"/>
        </w:rPr>
        <w:t>Supreme Court may </w:t>
      </w:r>
      <w:r>
        <w:rPr>
          <w:w w:val="105"/>
          <w:sz w:val="21"/>
        </w:rPr>
        <w:t>be </w:t>
      </w:r>
      <w:r>
        <w:rPr>
          <w:spacing w:val="-3"/>
          <w:w w:val="105"/>
          <w:sz w:val="21"/>
        </w:rPr>
        <w:t>prohibitive, </w:t>
      </w:r>
      <w:r>
        <w:rPr>
          <w:w w:val="105"/>
          <w:sz w:val="21"/>
        </w:rPr>
        <w:t>and there is</w:t>
      </w:r>
      <w:r>
        <w:rPr>
          <w:spacing w:val="-7"/>
          <w:w w:val="105"/>
          <w:sz w:val="21"/>
        </w:rPr>
        <w:t> </w:t>
      </w:r>
      <w:r>
        <w:rPr>
          <w:w w:val="105"/>
          <w:sz w:val="21"/>
        </w:rPr>
        <w:t>a</w:t>
      </w:r>
      <w:r>
        <w:rPr>
          <w:spacing w:val="-7"/>
          <w:w w:val="105"/>
          <w:sz w:val="21"/>
        </w:rPr>
        <w:t> </w:t>
      </w:r>
      <w:r>
        <w:rPr>
          <w:spacing w:val="-3"/>
          <w:w w:val="105"/>
          <w:sz w:val="21"/>
        </w:rPr>
        <w:t>high</w:t>
      </w:r>
      <w:r>
        <w:rPr>
          <w:spacing w:val="-7"/>
          <w:w w:val="105"/>
          <w:sz w:val="21"/>
        </w:rPr>
        <w:t> </w:t>
      </w:r>
      <w:r>
        <w:rPr>
          <w:w w:val="105"/>
          <w:sz w:val="21"/>
        </w:rPr>
        <w:t>level</w:t>
      </w:r>
      <w:r>
        <w:rPr>
          <w:spacing w:val="-6"/>
          <w:w w:val="105"/>
          <w:sz w:val="21"/>
        </w:rPr>
        <w:t> </w:t>
      </w:r>
      <w:r>
        <w:rPr>
          <w:w w:val="105"/>
          <w:sz w:val="21"/>
        </w:rPr>
        <w:t>of</w:t>
      </w:r>
      <w:r>
        <w:rPr>
          <w:spacing w:val="-7"/>
          <w:w w:val="105"/>
          <w:sz w:val="21"/>
        </w:rPr>
        <w:t> </w:t>
      </w:r>
      <w:r>
        <w:rPr>
          <w:spacing w:val="-3"/>
          <w:w w:val="105"/>
          <w:sz w:val="21"/>
        </w:rPr>
        <w:t>formality</w:t>
      </w:r>
      <w:r>
        <w:rPr>
          <w:spacing w:val="-7"/>
          <w:w w:val="105"/>
          <w:sz w:val="21"/>
        </w:rPr>
        <w:t> </w:t>
      </w:r>
      <w:r>
        <w:rPr>
          <w:w w:val="105"/>
          <w:sz w:val="21"/>
        </w:rPr>
        <w:t>and</w:t>
      </w:r>
      <w:r>
        <w:rPr>
          <w:spacing w:val="-7"/>
          <w:w w:val="105"/>
          <w:sz w:val="21"/>
        </w:rPr>
        <w:t> </w:t>
      </w:r>
      <w:r>
        <w:rPr>
          <w:w w:val="105"/>
          <w:sz w:val="21"/>
        </w:rPr>
        <w:t>complexity</w:t>
      </w:r>
      <w:r>
        <w:rPr>
          <w:spacing w:val="-7"/>
          <w:w w:val="105"/>
          <w:sz w:val="21"/>
        </w:rPr>
        <w:t> </w:t>
      </w:r>
      <w:r>
        <w:rPr>
          <w:w w:val="105"/>
          <w:sz w:val="21"/>
        </w:rPr>
        <w:t>in</w:t>
      </w:r>
      <w:r>
        <w:rPr>
          <w:spacing w:val="-6"/>
          <w:w w:val="105"/>
          <w:sz w:val="21"/>
        </w:rPr>
        <w:t> </w:t>
      </w:r>
      <w:r>
        <w:rPr>
          <w:w w:val="105"/>
          <w:sz w:val="21"/>
        </w:rPr>
        <w:t>its</w:t>
      </w:r>
      <w:r>
        <w:rPr>
          <w:spacing w:val="-7"/>
          <w:w w:val="105"/>
          <w:sz w:val="21"/>
        </w:rPr>
        <w:t> </w:t>
      </w:r>
      <w:r>
        <w:rPr>
          <w:w w:val="105"/>
          <w:sz w:val="21"/>
        </w:rPr>
        <w:t>processes,</w:t>
      </w:r>
      <w:r>
        <w:rPr>
          <w:spacing w:val="-7"/>
          <w:w w:val="105"/>
          <w:sz w:val="21"/>
        </w:rPr>
        <w:t> </w:t>
      </w:r>
      <w:r>
        <w:rPr>
          <w:w w:val="105"/>
          <w:sz w:val="21"/>
        </w:rPr>
        <w:t>which</w:t>
      </w:r>
      <w:r>
        <w:rPr>
          <w:spacing w:val="-7"/>
          <w:w w:val="105"/>
          <w:sz w:val="21"/>
        </w:rPr>
        <w:t> </w:t>
      </w:r>
      <w:r>
        <w:rPr>
          <w:w w:val="105"/>
          <w:sz w:val="21"/>
        </w:rPr>
        <w:t>is</w:t>
      </w:r>
      <w:r>
        <w:rPr>
          <w:spacing w:val="-6"/>
          <w:w w:val="105"/>
          <w:sz w:val="21"/>
        </w:rPr>
        <w:t> </w:t>
      </w:r>
      <w:r>
        <w:rPr>
          <w:w w:val="105"/>
          <w:sz w:val="21"/>
        </w:rPr>
        <w:t>at</w:t>
      </w:r>
      <w:r>
        <w:rPr>
          <w:spacing w:val="-7"/>
          <w:w w:val="105"/>
          <w:sz w:val="21"/>
        </w:rPr>
        <w:t> </w:t>
      </w:r>
      <w:r>
        <w:rPr>
          <w:w w:val="105"/>
          <w:sz w:val="21"/>
        </w:rPr>
        <w:t>odds</w:t>
      </w:r>
      <w:r>
        <w:rPr>
          <w:spacing w:val="-7"/>
          <w:w w:val="105"/>
          <w:sz w:val="21"/>
        </w:rPr>
        <w:t> </w:t>
      </w:r>
      <w:r>
        <w:rPr>
          <w:w w:val="105"/>
          <w:sz w:val="21"/>
        </w:rPr>
        <w:t>with</w:t>
      </w:r>
      <w:r>
        <w:rPr>
          <w:spacing w:val="-7"/>
          <w:w w:val="105"/>
          <w:sz w:val="21"/>
        </w:rPr>
        <w:t> </w:t>
      </w:r>
      <w:r>
        <w:rPr>
          <w:w w:val="105"/>
          <w:sz w:val="21"/>
        </w:rPr>
        <w:t>the</w:t>
      </w:r>
      <w:r>
        <w:rPr>
          <w:spacing w:val="-6"/>
          <w:w w:val="105"/>
          <w:sz w:val="21"/>
        </w:rPr>
        <w:t> </w:t>
      </w:r>
      <w:r>
        <w:rPr>
          <w:w w:val="105"/>
          <w:sz w:val="21"/>
        </w:rPr>
        <w:t>policy objectives of the new Act. </w:t>
      </w:r>
      <w:r>
        <w:rPr>
          <w:spacing w:val="-4"/>
          <w:w w:val="105"/>
          <w:sz w:val="21"/>
        </w:rPr>
        <w:t>However, </w:t>
      </w:r>
      <w:r>
        <w:rPr>
          <w:w w:val="105"/>
          <w:sz w:val="21"/>
        </w:rPr>
        <w:t>on </w:t>
      </w:r>
      <w:r>
        <w:rPr>
          <w:spacing w:val="-3"/>
          <w:w w:val="105"/>
          <w:sz w:val="21"/>
        </w:rPr>
        <w:t>balance </w:t>
      </w:r>
      <w:r>
        <w:rPr>
          <w:w w:val="105"/>
          <w:sz w:val="21"/>
        </w:rPr>
        <w:t>it is more important </w:t>
      </w:r>
      <w:r>
        <w:rPr>
          <w:spacing w:val="-3"/>
          <w:w w:val="105"/>
          <w:sz w:val="21"/>
        </w:rPr>
        <w:t>to </w:t>
      </w:r>
      <w:r>
        <w:rPr>
          <w:w w:val="105"/>
          <w:sz w:val="21"/>
        </w:rPr>
        <w:t>provide </w:t>
      </w:r>
      <w:r>
        <w:rPr>
          <w:spacing w:val="-3"/>
          <w:w w:val="105"/>
          <w:sz w:val="21"/>
        </w:rPr>
        <w:t>for </w:t>
      </w:r>
      <w:r>
        <w:rPr>
          <w:w w:val="105"/>
          <w:sz w:val="21"/>
        </w:rPr>
        <w:t>the resolution of party–party tree </w:t>
      </w:r>
      <w:r>
        <w:rPr>
          <w:spacing w:val="-3"/>
          <w:w w:val="105"/>
          <w:sz w:val="21"/>
        </w:rPr>
        <w:t>disputes </w:t>
      </w:r>
      <w:r>
        <w:rPr>
          <w:w w:val="105"/>
          <w:sz w:val="21"/>
        </w:rPr>
        <w:t>in a final and timely </w:t>
      </w:r>
      <w:r>
        <w:rPr>
          <w:spacing w:val="-5"/>
          <w:w w:val="105"/>
          <w:sz w:val="21"/>
        </w:rPr>
        <w:t>manner. </w:t>
      </w:r>
      <w:r>
        <w:rPr>
          <w:w w:val="105"/>
          <w:sz w:val="21"/>
        </w:rPr>
        <w:t>The</w:t>
      </w:r>
      <w:r>
        <w:rPr>
          <w:spacing w:val="-26"/>
          <w:w w:val="105"/>
          <w:sz w:val="21"/>
        </w:rPr>
        <w:t> </w:t>
      </w:r>
      <w:r>
        <w:rPr>
          <w:spacing w:val="-3"/>
          <w:w w:val="105"/>
          <w:sz w:val="21"/>
        </w:rPr>
        <w:t>Commission</w:t>
      </w:r>
    </w:p>
    <w:p>
      <w:pPr>
        <w:pStyle w:val="BodyText"/>
        <w:spacing w:line="242" w:lineRule="auto" w:before="4"/>
        <w:ind w:left="2380" w:right="1636"/>
        <w:rPr>
          <w:sz w:val="12"/>
        </w:rPr>
      </w:pPr>
      <w:r>
        <w:rPr>
          <w:w w:val="105"/>
        </w:rPr>
        <w:t>also </w:t>
      </w:r>
      <w:r>
        <w:rPr>
          <w:spacing w:val="-3"/>
          <w:w w:val="105"/>
        </w:rPr>
        <w:t>notes that </w:t>
      </w:r>
      <w:r>
        <w:rPr>
          <w:w w:val="105"/>
        </w:rPr>
        <w:t>appeal processes at </w:t>
      </w:r>
      <w:r>
        <w:rPr>
          <w:spacing w:val="-5"/>
          <w:w w:val="105"/>
        </w:rPr>
        <w:t>VCAT </w:t>
      </w:r>
      <w:r>
        <w:rPr>
          <w:spacing w:val="-3"/>
          <w:w w:val="105"/>
        </w:rPr>
        <w:t>were recently considered </w:t>
      </w:r>
      <w:r>
        <w:rPr>
          <w:w w:val="105"/>
        </w:rPr>
        <w:t>in the </w:t>
      </w:r>
      <w:r>
        <w:rPr>
          <w:spacing w:val="-7"/>
          <w:w w:val="105"/>
        </w:rPr>
        <w:t>2016 </w:t>
      </w:r>
      <w:r>
        <w:rPr>
          <w:i/>
          <w:w w:val="105"/>
        </w:rPr>
        <w:t>Access to </w:t>
      </w:r>
      <w:r>
        <w:rPr>
          <w:i/>
          <w:spacing w:val="-3"/>
          <w:w w:val="105"/>
        </w:rPr>
        <w:t>Justice </w:t>
      </w:r>
      <w:r>
        <w:rPr>
          <w:w w:val="105"/>
        </w:rPr>
        <w:t>Review which </w:t>
      </w:r>
      <w:r>
        <w:rPr>
          <w:spacing w:val="-3"/>
          <w:w w:val="105"/>
        </w:rPr>
        <w:t>concluded that ‘it </w:t>
      </w:r>
      <w:r>
        <w:rPr>
          <w:w w:val="105"/>
        </w:rPr>
        <w:t>is </w:t>
      </w:r>
      <w:r>
        <w:rPr>
          <w:spacing w:val="-3"/>
          <w:w w:val="105"/>
        </w:rPr>
        <w:t>preferable </w:t>
      </w:r>
      <w:r>
        <w:rPr>
          <w:spacing w:val="-2"/>
          <w:w w:val="105"/>
        </w:rPr>
        <w:t>not </w:t>
      </w:r>
      <w:r>
        <w:rPr>
          <w:spacing w:val="-3"/>
          <w:w w:val="105"/>
        </w:rPr>
        <w:t>to introduce </w:t>
      </w:r>
      <w:r>
        <w:rPr>
          <w:w w:val="105"/>
        </w:rPr>
        <w:t>an </w:t>
      </w:r>
      <w:r>
        <w:rPr>
          <w:spacing w:val="-3"/>
          <w:w w:val="105"/>
        </w:rPr>
        <w:t>internal </w:t>
      </w:r>
      <w:r>
        <w:rPr>
          <w:w w:val="105"/>
        </w:rPr>
        <w:t>appeal </w:t>
      </w:r>
      <w:r>
        <w:rPr>
          <w:spacing w:val="-3"/>
          <w:w w:val="105"/>
        </w:rPr>
        <w:t>mechanism </w:t>
      </w:r>
      <w:r>
        <w:rPr>
          <w:w w:val="105"/>
        </w:rPr>
        <w:t>in </w:t>
      </w:r>
      <w:r>
        <w:rPr>
          <w:spacing w:val="-8"/>
          <w:w w:val="105"/>
        </w:rPr>
        <w:t>VCAT’.</w:t>
      </w:r>
      <w:r>
        <w:rPr>
          <w:spacing w:val="-8"/>
          <w:w w:val="105"/>
          <w:position w:val="7"/>
          <w:sz w:val="12"/>
        </w:rPr>
        <w:t>120</w:t>
      </w:r>
    </w:p>
    <w:p>
      <w:pPr>
        <w:pStyle w:val="BodyText"/>
        <w:spacing w:before="4"/>
        <w:rPr>
          <w:sz w:val="20"/>
        </w:rPr>
      </w:pPr>
    </w:p>
    <w:p>
      <w:pPr>
        <w:pStyle w:val="Heading5"/>
      </w:pPr>
      <w:r>
        <w:rPr>
          <w:w w:val="115"/>
        </w:rPr>
        <w:t>Varying or revoking an order</w:t>
      </w:r>
    </w:p>
    <w:p>
      <w:pPr>
        <w:pStyle w:val="ListParagraph"/>
        <w:numPr>
          <w:ilvl w:val="1"/>
          <w:numId w:val="16"/>
        </w:numPr>
        <w:tabs>
          <w:tab w:pos="2380" w:val="left" w:leader="none"/>
          <w:tab w:pos="2381" w:val="left" w:leader="none"/>
        </w:tabs>
        <w:spacing w:line="242" w:lineRule="auto" w:before="137" w:after="0"/>
        <w:ind w:left="2381" w:right="1958" w:hanging="794"/>
        <w:jc w:val="left"/>
        <w:rPr>
          <w:sz w:val="21"/>
        </w:rPr>
      </w:pPr>
      <w:r>
        <w:rPr>
          <w:spacing w:val="-4"/>
          <w:sz w:val="21"/>
        </w:rPr>
        <w:t>Trees </w:t>
      </w:r>
      <w:r>
        <w:rPr>
          <w:spacing w:val="-3"/>
          <w:sz w:val="21"/>
        </w:rPr>
        <w:t>are </w:t>
      </w:r>
      <w:r>
        <w:rPr>
          <w:sz w:val="21"/>
        </w:rPr>
        <w:t>dynamic </w:t>
      </w:r>
      <w:r>
        <w:rPr>
          <w:spacing w:val="-3"/>
          <w:sz w:val="21"/>
        </w:rPr>
        <w:t>living organisms </w:t>
      </w:r>
      <w:r>
        <w:rPr>
          <w:sz w:val="21"/>
        </w:rPr>
        <w:t>and </w:t>
      </w:r>
      <w:r>
        <w:rPr>
          <w:spacing w:val="-3"/>
          <w:sz w:val="21"/>
        </w:rPr>
        <w:t>therefore circumstances relating to </w:t>
      </w:r>
      <w:r>
        <w:rPr>
          <w:sz w:val="21"/>
        </w:rPr>
        <w:t>the trees in </w:t>
      </w:r>
      <w:r>
        <w:rPr>
          <w:spacing w:val="-3"/>
          <w:sz w:val="21"/>
        </w:rPr>
        <w:t>dispute </w:t>
      </w:r>
      <w:r>
        <w:rPr>
          <w:sz w:val="21"/>
        </w:rPr>
        <w:t>can</w:t>
      </w:r>
      <w:r>
        <w:rPr>
          <w:spacing w:val="20"/>
          <w:sz w:val="21"/>
        </w:rPr>
        <w:t> </w:t>
      </w:r>
      <w:r>
        <w:rPr>
          <w:spacing w:val="-3"/>
          <w:sz w:val="21"/>
        </w:rPr>
        <w:t>change.</w:t>
      </w:r>
    </w:p>
    <w:p>
      <w:pPr>
        <w:pStyle w:val="ListParagraph"/>
        <w:numPr>
          <w:ilvl w:val="1"/>
          <w:numId w:val="16"/>
        </w:numPr>
        <w:tabs>
          <w:tab w:pos="2380" w:val="left" w:leader="none"/>
          <w:tab w:pos="2381" w:val="left" w:leader="none"/>
        </w:tabs>
        <w:spacing w:line="242" w:lineRule="auto" w:before="122" w:after="0"/>
        <w:ind w:left="2381" w:right="2257" w:hanging="794"/>
        <w:jc w:val="left"/>
        <w:rPr>
          <w:sz w:val="21"/>
        </w:rPr>
      </w:pPr>
      <w:r>
        <w:rPr>
          <w:w w:val="105"/>
          <w:sz w:val="21"/>
        </w:rPr>
        <w:t>In New South </w:t>
      </w:r>
      <w:r>
        <w:rPr>
          <w:spacing w:val="-3"/>
          <w:w w:val="105"/>
          <w:sz w:val="21"/>
        </w:rPr>
        <w:t>Wales, </w:t>
      </w:r>
      <w:r>
        <w:rPr>
          <w:w w:val="105"/>
          <w:sz w:val="21"/>
        </w:rPr>
        <w:t>Senior </w:t>
      </w:r>
      <w:r>
        <w:rPr>
          <w:spacing w:val="-3"/>
          <w:w w:val="105"/>
          <w:sz w:val="21"/>
        </w:rPr>
        <w:t>Commissioner </w:t>
      </w:r>
      <w:r>
        <w:rPr>
          <w:w w:val="105"/>
          <w:sz w:val="21"/>
        </w:rPr>
        <w:t>Moore and Acting </w:t>
      </w:r>
      <w:r>
        <w:rPr>
          <w:spacing w:val="-3"/>
          <w:w w:val="105"/>
          <w:sz w:val="21"/>
        </w:rPr>
        <w:t>Commissioner </w:t>
      </w:r>
      <w:r>
        <w:rPr>
          <w:w w:val="105"/>
          <w:sz w:val="21"/>
        </w:rPr>
        <w:t>Thyer explained:</w:t>
      </w:r>
    </w:p>
    <w:p>
      <w:pPr>
        <w:spacing w:line="254" w:lineRule="auto" w:before="132"/>
        <w:ind w:left="2834" w:right="1865" w:firstLine="0"/>
        <w:jc w:val="left"/>
        <w:rPr>
          <w:sz w:val="11"/>
        </w:rPr>
      </w:pPr>
      <w:r>
        <w:rPr>
          <w:spacing w:val="-4"/>
          <w:w w:val="105"/>
          <w:sz w:val="20"/>
        </w:rPr>
        <w:t>Trees, </w:t>
      </w:r>
      <w:r>
        <w:rPr>
          <w:w w:val="105"/>
          <w:sz w:val="20"/>
        </w:rPr>
        <w:t>whether living or dead, are evolving, </w:t>
      </w:r>
      <w:r>
        <w:rPr>
          <w:spacing w:val="-3"/>
          <w:w w:val="105"/>
          <w:sz w:val="20"/>
        </w:rPr>
        <w:t>changing </w:t>
      </w:r>
      <w:r>
        <w:rPr>
          <w:w w:val="105"/>
          <w:sz w:val="20"/>
        </w:rPr>
        <w:t>dynamic structures. Living trees may </w:t>
      </w:r>
      <w:r>
        <w:rPr>
          <w:spacing w:val="-4"/>
          <w:w w:val="105"/>
          <w:sz w:val="20"/>
        </w:rPr>
        <w:t>grow, flower, </w:t>
      </w:r>
      <w:r>
        <w:rPr>
          <w:w w:val="105"/>
          <w:sz w:val="20"/>
        </w:rPr>
        <w:t>fruit or react to </w:t>
      </w:r>
      <w:r>
        <w:rPr>
          <w:spacing w:val="-3"/>
          <w:w w:val="105"/>
          <w:sz w:val="20"/>
        </w:rPr>
        <w:t>climatic </w:t>
      </w:r>
      <w:r>
        <w:rPr>
          <w:w w:val="105"/>
          <w:sz w:val="20"/>
        </w:rPr>
        <w:t>changes such as </w:t>
      </w:r>
      <w:r>
        <w:rPr>
          <w:spacing w:val="-3"/>
          <w:w w:val="105"/>
          <w:sz w:val="20"/>
        </w:rPr>
        <w:t>drought… </w:t>
      </w:r>
      <w:r>
        <w:rPr>
          <w:w w:val="105"/>
          <w:sz w:val="20"/>
        </w:rPr>
        <w:t>They are also subject to the </w:t>
      </w:r>
      <w:r>
        <w:rPr>
          <w:spacing w:val="-3"/>
          <w:w w:val="105"/>
          <w:sz w:val="20"/>
        </w:rPr>
        <w:t>influence, malignant </w:t>
      </w:r>
      <w:r>
        <w:rPr>
          <w:w w:val="105"/>
          <w:sz w:val="20"/>
        </w:rPr>
        <w:t>or benign depending on the species and the circumstances, of all </w:t>
      </w:r>
      <w:r>
        <w:rPr>
          <w:spacing w:val="-3"/>
          <w:w w:val="105"/>
          <w:sz w:val="20"/>
        </w:rPr>
        <w:t>four </w:t>
      </w:r>
      <w:r>
        <w:rPr>
          <w:w w:val="105"/>
          <w:sz w:val="20"/>
        </w:rPr>
        <w:t>of the ancient elements – earth, </w:t>
      </w:r>
      <w:r>
        <w:rPr>
          <w:spacing w:val="-5"/>
          <w:w w:val="105"/>
          <w:sz w:val="20"/>
        </w:rPr>
        <w:t>air, </w:t>
      </w:r>
      <w:r>
        <w:rPr>
          <w:w w:val="105"/>
          <w:sz w:val="20"/>
        </w:rPr>
        <w:t>fire or </w:t>
      </w:r>
      <w:r>
        <w:rPr>
          <w:spacing w:val="-6"/>
          <w:w w:val="105"/>
          <w:sz w:val="20"/>
        </w:rPr>
        <w:t>water.</w:t>
      </w:r>
      <w:r>
        <w:rPr>
          <w:spacing w:val="-6"/>
          <w:w w:val="105"/>
          <w:position w:val="7"/>
          <w:sz w:val="11"/>
        </w:rPr>
        <w:t>121</w:t>
      </w:r>
    </w:p>
    <w:p>
      <w:pPr>
        <w:pStyle w:val="ListParagraph"/>
        <w:numPr>
          <w:ilvl w:val="1"/>
          <w:numId w:val="16"/>
        </w:numPr>
        <w:tabs>
          <w:tab w:pos="2380" w:val="left" w:leader="none"/>
          <w:tab w:pos="2381" w:val="left" w:leader="none"/>
        </w:tabs>
        <w:spacing w:line="242" w:lineRule="auto" w:before="115" w:after="0"/>
        <w:ind w:left="2381" w:right="1603" w:hanging="794"/>
        <w:jc w:val="left"/>
        <w:rPr>
          <w:sz w:val="21"/>
        </w:rPr>
      </w:pPr>
      <w:r>
        <w:rPr>
          <w:sz w:val="21"/>
        </w:rPr>
        <w:t>Arborists advised </w:t>
      </w:r>
      <w:r>
        <w:rPr>
          <w:spacing w:val="-3"/>
          <w:sz w:val="21"/>
        </w:rPr>
        <w:t>that </w:t>
      </w:r>
      <w:r>
        <w:rPr>
          <w:sz w:val="21"/>
        </w:rPr>
        <w:t>predictions about how trees </w:t>
      </w:r>
      <w:r>
        <w:rPr>
          <w:spacing w:val="-3"/>
          <w:sz w:val="21"/>
        </w:rPr>
        <w:t>will </w:t>
      </w:r>
      <w:r>
        <w:rPr>
          <w:sz w:val="21"/>
        </w:rPr>
        <w:t>live and </w:t>
      </w:r>
      <w:r>
        <w:rPr>
          <w:spacing w:val="-3"/>
          <w:sz w:val="21"/>
        </w:rPr>
        <w:t>grow are </w:t>
      </w:r>
      <w:r>
        <w:rPr>
          <w:spacing w:val="-2"/>
          <w:sz w:val="21"/>
        </w:rPr>
        <w:t>not </w:t>
      </w:r>
      <w:r>
        <w:rPr>
          <w:sz w:val="21"/>
        </w:rPr>
        <w:t>necessarily precise because of the </w:t>
      </w:r>
      <w:r>
        <w:rPr>
          <w:spacing w:val="-3"/>
          <w:sz w:val="21"/>
        </w:rPr>
        <w:t>variations </w:t>
      </w:r>
      <w:r>
        <w:rPr>
          <w:sz w:val="21"/>
        </w:rPr>
        <w:t>in </w:t>
      </w:r>
      <w:r>
        <w:rPr>
          <w:spacing w:val="-3"/>
          <w:sz w:val="21"/>
        </w:rPr>
        <w:t>arboricultural </w:t>
      </w:r>
      <w:r>
        <w:rPr>
          <w:sz w:val="21"/>
        </w:rPr>
        <w:t>assessments and dynamic </w:t>
      </w:r>
      <w:r>
        <w:rPr>
          <w:spacing w:val="-3"/>
          <w:sz w:val="21"/>
        </w:rPr>
        <w:t>environmental </w:t>
      </w:r>
      <w:r>
        <w:rPr>
          <w:spacing w:val="-4"/>
          <w:sz w:val="21"/>
        </w:rPr>
        <w:t>factors.</w:t>
      </w:r>
      <w:r>
        <w:rPr>
          <w:spacing w:val="-4"/>
          <w:position w:val="7"/>
          <w:sz w:val="12"/>
        </w:rPr>
        <w:t>122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4"/>
        </w:rPr>
      </w:pPr>
      <w:r>
        <w:rPr/>
        <w:pict>
          <v:line style="position:absolute;mso-position-horizontal-relative:page;mso-position-vertical-relative:paragraph;z-index:8864;mso-wrap-distance-left:0;mso-wrap-distance-right:0" from="79.370102pt,11.060114pt" to="515.905102pt,11.06011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49"/>
        </w:numPr>
        <w:tabs>
          <w:tab w:pos="2380" w:val="left" w:leader="none"/>
          <w:tab w:pos="2382" w:val="left" w:leader="none"/>
        </w:tabs>
        <w:spacing w:line="240" w:lineRule="auto" w:before="48" w:after="0"/>
        <w:ind w:left="2381" w:right="0" w:hanging="794"/>
        <w:jc w:val="left"/>
        <w:rPr>
          <w:sz w:val="13"/>
        </w:rPr>
      </w:pPr>
      <w:r>
        <w:rPr>
          <w:w w:val="105"/>
          <w:sz w:val="13"/>
        </w:rPr>
        <w:t>The</w:t>
      </w:r>
      <w:r>
        <w:rPr>
          <w:spacing w:val="9"/>
          <w:w w:val="105"/>
          <w:sz w:val="13"/>
        </w:rPr>
        <w:t> </w:t>
      </w:r>
      <w:r>
        <w:rPr>
          <w:w w:val="105"/>
          <w:sz w:val="13"/>
        </w:rPr>
        <w:t>Court</w:t>
      </w:r>
      <w:r>
        <w:rPr>
          <w:spacing w:val="9"/>
          <w:w w:val="105"/>
          <w:sz w:val="13"/>
        </w:rPr>
        <w:t> </w:t>
      </w:r>
      <w:r>
        <w:rPr>
          <w:w w:val="105"/>
          <w:sz w:val="13"/>
        </w:rPr>
        <w:t>compared</w:t>
      </w:r>
      <w:r>
        <w:rPr>
          <w:spacing w:val="9"/>
          <w:w w:val="105"/>
          <w:sz w:val="13"/>
        </w:rPr>
        <w:t> </w:t>
      </w:r>
      <w:r>
        <w:rPr>
          <w:w w:val="105"/>
          <w:sz w:val="13"/>
        </w:rPr>
        <w:t>the</w:t>
      </w:r>
      <w:r>
        <w:rPr>
          <w:spacing w:val="9"/>
          <w:w w:val="105"/>
          <w:sz w:val="13"/>
        </w:rPr>
        <w:t> </w:t>
      </w:r>
      <w:r>
        <w:rPr>
          <w:w w:val="105"/>
          <w:sz w:val="13"/>
        </w:rPr>
        <w:t>outcomes</w:t>
      </w:r>
      <w:r>
        <w:rPr>
          <w:spacing w:val="9"/>
          <w:w w:val="105"/>
          <w:sz w:val="13"/>
        </w:rPr>
        <w:t> </w:t>
      </w:r>
      <w:r>
        <w:rPr>
          <w:w w:val="105"/>
          <w:sz w:val="13"/>
        </w:rPr>
        <w:t>in</w:t>
      </w:r>
      <w:r>
        <w:rPr>
          <w:spacing w:val="9"/>
          <w:w w:val="105"/>
          <w:sz w:val="13"/>
        </w:rPr>
        <w:t> </w:t>
      </w:r>
      <w:r>
        <w:rPr>
          <w:w w:val="105"/>
          <w:sz w:val="13"/>
        </w:rPr>
        <w:t>two</w:t>
      </w:r>
      <w:r>
        <w:rPr>
          <w:spacing w:val="9"/>
          <w:w w:val="105"/>
          <w:sz w:val="13"/>
        </w:rPr>
        <w:t> </w:t>
      </w:r>
      <w:r>
        <w:rPr>
          <w:w w:val="105"/>
          <w:sz w:val="13"/>
        </w:rPr>
        <w:t>cases:</w:t>
      </w:r>
      <w:r>
        <w:rPr>
          <w:spacing w:val="9"/>
          <w:w w:val="105"/>
          <w:sz w:val="13"/>
        </w:rPr>
        <w:t> </w:t>
      </w:r>
      <w:r>
        <w:rPr>
          <w:i/>
          <w:w w:val="105"/>
          <w:sz w:val="13"/>
        </w:rPr>
        <w:t>Zangari</w:t>
      </w:r>
      <w:r>
        <w:rPr>
          <w:i/>
          <w:spacing w:val="9"/>
          <w:w w:val="105"/>
          <w:sz w:val="13"/>
        </w:rPr>
        <w:t> </w:t>
      </w:r>
      <w:r>
        <w:rPr>
          <w:i/>
          <w:w w:val="105"/>
          <w:sz w:val="13"/>
        </w:rPr>
        <w:t>v</w:t>
      </w:r>
      <w:r>
        <w:rPr>
          <w:i/>
          <w:spacing w:val="10"/>
          <w:w w:val="105"/>
          <w:sz w:val="13"/>
        </w:rPr>
        <w:t> </w:t>
      </w:r>
      <w:r>
        <w:rPr>
          <w:i/>
          <w:w w:val="105"/>
          <w:sz w:val="13"/>
        </w:rPr>
        <w:t>Miller</w:t>
      </w:r>
      <w:r>
        <w:rPr>
          <w:i/>
          <w:spacing w:val="9"/>
          <w:w w:val="105"/>
          <w:sz w:val="13"/>
        </w:rPr>
        <w:t> </w:t>
      </w:r>
      <w:r>
        <w:rPr>
          <w:i/>
          <w:spacing w:val="3"/>
          <w:w w:val="105"/>
          <w:sz w:val="13"/>
        </w:rPr>
        <w:t>(No</w:t>
      </w:r>
      <w:r>
        <w:rPr>
          <w:i/>
          <w:spacing w:val="9"/>
          <w:w w:val="105"/>
          <w:sz w:val="13"/>
        </w:rPr>
        <w:t> </w:t>
      </w:r>
      <w:r>
        <w:rPr>
          <w:i/>
          <w:w w:val="105"/>
          <w:sz w:val="13"/>
        </w:rPr>
        <w:t>2)</w:t>
      </w:r>
      <w:r>
        <w:rPr>
          <w:i/>
          <w:spacing w:val="9"/>
          <w:w w:val="105"/>
          <w:sz w:val="13"/>
        </w:rPr>
        <w:t> </w:t>
      </w:r>
      <w:r>
        <w:rPr>
          <w:w w:val="105"/>
          <w:sz w:val="13"/>
        </w:rPr>
        <w:t>[2010]</w:t>
      </w:r>
      <w:r>
        <w:rPr>
          <w:spacing w:val="9"/>
          <w:w w:val="105"/>
          <w:sz w:val="13"/>
        </w:rPr>
        <w:t> </w:t>
      </w:r>
      <w:r>
        <w:rPr>
          <w:w w:val="105"/>
          <w:sz w:val="13"/>
        </w:rPr>
        <w:t>NSWLEC</w:t>
      </w:r>
      <w:r>
        <w:rPr>
          <w:spacing w:val="9"/>
          <w:w w:val="105"/>
          <w:sz w:val="13"/>
        </w:rPr>
        <w:t> </w:t>
      </w:r>
      <w:r>
        <w:rPr>
          <w:w w:val="105"/>
          <w:sz w:val="13"/>
        </w:rPr>
        <w:t>1093</w:t>
      </w:r>
      <w:r>
        <w:rPr>
          <w:spacing w:val="9"/>
          <w:w w:val="105"/>
          <w:sz w:val="13"/>
        </w:rPr>
        <w:t> </w:t>
      </w:r>
      <w:r>
        <w:rPr>
          <w:w w:val="105"/>
          <w:sz w:val="13"/>
        </w:rPr>
        <w:t>and</w:t>
      </w:r>
      <w:r>
        <w:rPr>
          <w:spacing w:val="9"/>
          <w:w w:val="105"/>
          <w:sz w:val="13"/>
        </w:rPr>
        <w:t> </w:t>
      </w:r>
      <w:r>
        <w:rPr>
          <w:i/>
          <w:w w:val="105"/>
          <w:sz w:val="13"/>
        </w:rPr>
        <w:t>Hinde</w:t>
      </w:r>
      <w:r>
        <w:rPr>
          <w:i/>
          <w:spacing w:val="9"/>
          <w:w w:val="105"/>
          <w:sz w:val="13"/>
        </w:rPr>
        <w:t> </w:t>
      </w:r>
      <w:r>
        <w:rPr>
          <w:i/>
          <w:w w:val="105"/>
          <w:sz w:val="13"/>
        </w:rPr>
        <w:t>v</w:t>
      </w:r>
      <w:r>
        <w:rPr>
          <w:i/>
          <w:spacing w:val="9"/>
          <w:w w:val="105"/>
          <w:sz w:val="13"/>
        </w:rPr>
        <w:t> </w:t>
      </w:r>
      <w:r>
        <w:rPr>
          <w:i/>
          <w:w w:val="105"/>
          <w:sz w:val="13"/>
        </w:rPr>
        <w:t>Anderson</w:t>
      </w:r>
      <w:r>
        <w:rPr>
          <w:i/>
          <w:spacing w:val="9"/>
          <w:w w:val="105"/>
          <w:sz w:val="13"/>
        </w:rPr>
        <w:t> </w:t>
      </w:r>
      <w:r>
        <w:rPr>
          <w:spacing w:val="2"/>
          <w:w w:val="105"/>
          <w:sz w:val="13"/>
        </w:rPr>
        <w:t>[2009]</w:t>
      </w:r>
      <w:r>
        <w:rPr>
          <w:spacing w:val="10"/>
          <w:w w:val="105"/>
          <w:sz w:val="13"/>
        </w:rPr>
        <w:t> </w:t>
      </w:r>
      <w:r>
        <w:rPr>
          <w:w w:val="105"/>
          <w:sz w:val="13"/>
        </w:rPr>
        <w:t>NSWLEC</w:t>
      </w:r>
      <w:r>
        <w:rPr>
          <w:spacing w:val="9"/>
          <w:w w:val="105"/>
          <w:sz w:val="13"/>
        </w:rPr>
        <w:t> </w:t>
      </w:r>
      <w:r>
        <w:rPr>
          <w:w w:val="105"/>
          <w:sz w:val="13"/>
        </w:rPr>
        <w:t>1148.</w:t>
      </w:r>
    </w:p>
    <w:p>
      <w:pPr>
        <w:spacing w:before="1"/>
        <w:ind w:left="2381" w:right="27" w:firstLine="0"/>
        <w:jc w:val="left"/>
        <w:rPr>
          <w:sz w:val="13"/>
        </w:rPr>
      </w:pPr>
      <w:r>
        <w:rPr>
          <w:sz w:val="13"/>
        </w:rPr>
        <w:t>In </w:t>
      </w:r>
      <w:r>
        <w:rPr>
          <w:i/>
          <w:sz w:val="13"/>
        </w:rPr>
        <w:t>Zangari v Miller  </w:t>
      </w:r>
      <w:r>
        <w:rPr>
          <w:i/>
          <w:spacing w:val="3"/>
          <w:sz w:val="13"/>
        </w:rPr>
        <w:t>(No  </w:t>
      </w:r>
      <w:r>
        <w:rPr>
          <w:i/>
          <w:sz w:val="13"/>
        </w:rPr>
        <w:t>2)</w:t>
      </w:r>
      <w:r>
        <w:rPr>
          <w:sz w:val="13"/>
        </w:rPr>
        <w:t>,  the  application  was  dismissed  because  further  evidence  from  excavation  works,  which  were  not  carried  out  in the first instance, did not present a change in circumstances or new evidence, as the evidence was  available  at  the  time  of  the  original application: </w:t>
      </w:r>
      <w:r>
        <w:rPr>
          <w:spacing w:val="5"/>
          <w:sz w:val="13"/>
        </w:rPr>
        <w:t>[3]–[5]. </w:t>
      </w:r>
      <w:r>
        <w:rPr>
          <w:sz w:val="13"/>
        </w:rPr>
        <w:t>In </w:t>
      </w:r>
      <w:r>
        <w:rPr>
          <w:i/>
          <w:sz w:val="13"/>
        </w:rPr>
        <w:t>Hinde v Anderson, </w:t>
      </w:r>
      <w:r>
        <w:rPr>
          <w:sz w:val="13"/>
        </w:rPr>
        <w:t>where the applicant alleged the tree had caused damage subsequent to the original decision, the application for a new hearing was allowed because the Court considered there was scope to consider on substantive grounds these new circumstances and whether fresh evidence had  become  available:  </w:t>
      </w:r>
      <w:r>
        <w:rPr>
          <w:spacing w:val="2"/>
          <w:sz w:val="13"/>
        </w:rPr>
        <w:t>[39].  </w:t>
      </w:r>
      <w:r>
        <w:rPr>
          <w:sz w:val="13"/>
        </w:rPr>
        <w:t>In  the  proceeding  case,  </w:t>
      </w:r>
      <w:r>
        <w:rPr>
          <w:i/>
          <w:sz w:val="13"/>
        </w:rPr>
        <w:t>Hinde  v  Anderson  </w:t>
      </w:r>
      <w:r>
        <w:rPr>
          <w:i/>
          <w:spacing w:val="3"/>
          <w:sz w:val="13"/>
        </w:rPr>
        <w:t>(No  </w:t>
      </w:r>
      <w:r>
        <w:rPr>
          <w:i/>
          <w:sz w:val="13"/>
        </w:rPr>
        <w:t>2)  </w:t>
      </w:r>
      <w:r>
        <w:rPr>
          <w:spacing w:val="2"/>
          <w:sz w:val="13"/>
        </w:rPr>
        <w:t>[2009]  </w:t>
      </w:r>
      <w:r>
        <w:rPr>
          <w:sz w:val="13"/>
        </w:rPr>
        <w:t>NSWLEC 1258,</w:t>
      </w:r>
      <w:r>
        <w:rPr>
          <w:spacing w:val="9"/>
          <w:sz w:val="13"/>
        </w:rPr>
        <w:t> </w:t>
      </w:r>
      <w:r>
        <w:rPr>
          <w:sz w:val="13"/>
        </w:rPr>
        <w:t>the</w:t>
      </w:r>
      <w:r>
        <w:rPr>
          <w:spacing w:val="10"/>
          <w:sz w:val="13"/>
        </w:rPr>
        <w:t> </w:t>
      </w:r>
      <w:r>
        <w:rPr>
          <w:sz w:val="13"/>
        </w:rPr>
        <w:t>application</w:t>
      </w:r>
      <w:r>
        <w:rPr>
          <w:spacing w:val="10"/>
          <w:sz w:val="13"/>
        </w:rPr>
        <w:t> </w:t>
      </w:r>
      <w:r>
        <w:rPr>
          <w:sz w:val="13"/>
        </w:rPr>
        <w:t>was</w:t>
      </w:r>
      <w:r>
        <w:rPr>
          <w:spacing w:val="10"/>
          <w:sz w:val="13"/>
        </w:rPr>
        <w:t> </w:t>
      </w:r>
      <w:r>
        <w:rPr>
          <w:sz w:val="13"/>
        </w:rPr>
        <w:t>considered</w:t>
      </w:r>
      <w:r>
        <w:rPr>
          <w:spacing w:val="10"/>
          <w:sz w:val="13"/>
        </w:rPr>
        <w:t> </w:t>
      </w:r>
      <w:r>
        <w:rPr>
          <w:sz w:val="13"/>
        </w:rPr>
        <w:t>on</w:t>
      </w:r>
      <w:r>
        <w:rPr>
          <w:spacing w:val="10"/>
          <w:sz w:val="13"/>
        </w:rPr>
        <w:t> </w:t>
      </w:r>
      <w:r>
        <w:rPr>
          <w:sz w:val="13"/>
        </w:rPr>
        <w:t>substantive</w:t>
      </w:r>
      <w:r>
        <w:rPr>
          <w:spacing w:val="9"/>
          <w:sz w:val="13"/>
        </w:rPr>
        <w:t> </w:t>
      </w:r>
      <w:r>
        <w:rPr>
          <w:sz w:val="13"/>
        </w:rPr>
        <w:t>grounds</w:t>
      </w:r>
      <w:r>
        <w:rPr>
          <w:spacing w:val="10"/>
          <w:sz w:val="13"/>
        </w:rPr>
        <w:t> </w:t>
      </w:r>
      <w:r>
        <w:rPr>
          <w:sz w:val="13"/>
        </w:rPr>
        <w:t>but</w:t>
      </w:r>
      <w:r>
        <w:rPr>
          <w:spacing w:val="10"/>
          <w:sz w:val="13"/>
        </w:rPr>
        <w:t> </w:t>
      </w:r>
      <w:r>
        <w:rPr>
          <w:sz w:val="13"/>
        </w:rPr>
        <w:t>dismissed</w:t>
      </w:r>
      <w:r>
        <w:rPr>
          <w:spacing w:val="10"/>
          <w:sz w:val="13"/>
        </w:rPr>
        <w:t> </w:t>
      </w:r>
      <w:r>
        <w:rPr>
          <w:sz w:val="13"/>
        </w:rPr>
        <w:t>due</w:t>
      </w:r>
      <w:r>
        <w:rPr>
          <w:spacing w:val="10"/>
          <w:sz w:val="13"/>
        </w:rPr>
        <w:t> </w:t>
      </w:r>
      <w:r>
        <w:rPr>
          <w:sz w:val="13"/>
        </w:rPr>
        <w:t>to</w:t>
      </w:r>
      <w:r>
        <w:rPr>
          <w:spacing w:val="10"/>
          <w:sz w:val="13"/>
        </w:rPr>
        <w:t> </w:t>
      </w:r>
      <w:r>
        <w:rPr>
          <w:sz w:val="13"/>
        </w:rPr>
        <w:t>a</w:t>
      </w:r>
      <w:r>
        <w:rPr>
          <w:spacing w:val="9"/>
          <w:sz w:val="13"/>
        </w:rPr>
        <w:t> </w:t>
      </w:r>
      <w:r>
        <w:rPr>
          <w:sz w:val="13"/>
        </w:rPr>
        <w:t>lack</w:t>
      </w:r>
      <w:r>
        <w:rPr>
          <w:spacing w:val="10"/>
          <w:sz w:val="13"/>
        </w:rPr>
        <w:t> </w:t>
      </w:r>
      <w:r>
        <w:rPr>
          <w:sz w:val="13"/>
        </w:rPr>
        <w:t>of</w:t>
      </w:r>
      <w:r>
        <w:rPr>
          <w:spacing w:val="10"/>
          <w:sz w:val="13"/>
        </w:rPr>
        <w:t> </w:t>
      </w:r>
      <w:r>
        <w:rPr>
          <w:sz w:val="13"/>
        </w:rPr>
        <w:t>evidence</w:t>
      </w:r>
      <w:r>
        <w:rPr>
          <w:spacing w:val="10"/>
          <w:sz w:val="13"/>
        </w:rPr>
        <w:t> </w:t>
      </w:r>
      <w:r>
        <w:rPr>
          <w:sz w:val="13"/>
        </w:rPr>
        <w:t>[15].</w:t>
      </w:r>
    </w:p>
    <w:p>
      <w:pPr>
        <w:pStyle w:val="ListParagraph"/>
        <w:numPr>
          <w:ilvl w:val="0"/>
          <w:numId w:val="149"/>
        </w:numPr>
        <w:tabs>
          <w:tab w:pos="2380" w:val="left" w:leader="none"/>
          <w:tab w:pos="2382" w:val="left" w:leader="none"/>
        </w:tabs>
        <w:spacing w:line="240" w:lineRule="auto" w:before="8" w:after="0"/>
        <w:ind w:left="2381" w:right="16" w:hanging="794"/>
        <w:jc w:val="left"/>
        <w:rPr>
          <w:sz w:val="13"/>
        </w:rPr>
      </w:pPr>
      <w:r>
        <w:rPr>
          <w:sz w:val="13"/>
        </w:rPr>
        <w:t>Original jurisdiction means VCAT is the  first  instance  decision  maker  under  the  Act.  VCAT  has  original  jurisdiction  under  </w:t>
      </w:r>
      <w:r>
        <w:rPr>
          <w:spacing w:val="2"/>
          <w:sz w:val="13"/>
        </w:rPr>
        <w:t>Acts  </w:t>
      </w:r>
      <w:r>
        <w:rPr>
          <w:sz w:val="13"/>
        </w:rPr>
        <w:t>such  as  the </w:t>
      </w:r>
      <w:r>
        <w:rPr>
          <w:i/>
          <w:sz w:val="13"/>
        </w:rPr>
        <w:t>Local  Government  Act  1989  </w:t>
      </w:r>
      <w:r>
        <w:rPr>
          <w:spacing w:val="2"/>
          <w:sz w:val="13"/>
        </w:rPr>
        <w:t>(Vic)  </w:t>
      </w:r>
      <w:r>
        <w:rPr>
          <w:sz w:val="13"/>
        </w:rPr>
        <w:t>and  the  </w:t>
      </w:r>
      <w:r>
        <w:rPr>
          <w:i/>
          <w:spacing w:val="2"/>
          <w:sz w:val="13"/>
        </w:rPr>
        <w:t>Owners  </w:t>
      </w:r>
      <w:r>
        <w:rPr>
          <w:i/>
          <w:sz w:val="13"/>
        </w:rPr>
        <w:t>Corporations  Act  2006  </w:t>
      </w:r>
      <w:r>
        <w:rPr>
          <w:spacing w:val="2"/>
          <w:sz w:val="13"/>
        </w:rPr>
        <w:t>(Vic).  </w:t>
      </w:r>
      <w:r>
        <w:rPr>
          <w:sz w:val="13"/>
        </w:rPr>
        <w:t>See  Victorian  Civil  and  Administrative  Tribunal</w:t>
      </w:r>
      <w:r>
        <w:rPr>
          <w:i/>
          <w:sz w:val="13"/>
        </w:rPr>
        <w:t>,  Application </w:t>
      </w:r>
      <w:r>
        <w:rPr>
          <w:i/>
          <w:sz w:val="13"/>
        </w:rPr>
        <w:t>to VCAT to Make an Original Jurisdiction Decision </w:t>
      </w:r>
      <w:r>
        <w:rPr>
          <w:sz w:val="13"/>
        </w:rPr>
        <w:t>(Web Page) </w:t>
      </w:r>
      <w:r>
        <w:rPr>
          <w:spacing w:val="2"/>
          <w:sz w:val="13"/>
        </w:rPr>
        <w:t>&lt;https://</w:t>
      </w:r>
      <w:hyperlink r:id="rId240">
        <w:r>
          <w:rPr>
            <w:spacing w:val="2"/>
            <w:sz w:val="13"/>
          </w:rPr>
          <w:t>www.vcat.vic.gov.au/case-types/review-and-regulation/application-</w:t>
        </w:r>
      </w:hyperlink>
      <w:r>
        <w:rPr>
          <w:spacing w:val="2"/>
          <w:sz w:val="13"/>
        </w:rPr>
        <w:t> </w:t>
      </w:r>
      <w:r>
        <w:rPr>
          <w:sz w:val="13"/>
        </w:rPr>
        <w:t>to-vcat-to-make-an-original-jurisdiction-decision&gt;.</w:t>
      </w:r>
    </w:p>
    <w:p>
      <w:pPr>
        <w:pStyle w:val="ListParagraph"/>
        <w:numPr>
          <w:ilvl w:val="0"/>
          <w:numId w:val="149"/>
        </w:numPr>
        <w:tabs>
          <w:tab w:pos="2381" w:val="left" w:leader="none"/>
          <w:tab w:pos="2382" w:val="left" w:leader="none"/>
        </w:tabs>
        <w:spacing w:line="240" w:lineRule="auto" w:before="6" w:after="0"/>
        <w:ind w:left="2381" w:right="0" w:hanging="794"/>
        <w:jc w:val="left"/>
        <w:rPr>
          <w:sz w:val="13"/>
        </w:rPr>
      </w:pPr>
      <w:r>
        <w:rPr>
          <w:i/>
          <w:w w:val="105"/>
          <w:sz w:val="13"/>
        </w:rPr>
        <w:t>Victorian</w:t>
      </w:r>
      <w:r>
        <w:rPr>
          <w:i/>
          <w:spacing w:val="4"/>
          <w:w w:val="105"/>
          <w:sz w:val="13"/>
        </w:rPr>
        <w:t> </w:t>
      </w:r>
      <w:r>
        <w:rPr>
          <w:i/>
          <w:w w:val="105"/>
          <w:sz w:val="13"/>
        </w:rPr>
        <w:t>Civil</w:t>
      </w:r>
      <w:r>
        <w:rPr>
          <w:i/>
          <w:spacing w:val="5"/>
          <w:w w:val="105"/>
          <w:sz w:val="13"/>
        </w:rPr>
        <w:t> </w:t>
      </w:r>
      <w:r>
        <w:rPr>
          <w:i/>
          <w:w w:val="105"/>
          <w:sz w:val="13"/>
        </w:rPr>
        <w:t>and</w:t>
      </w:r>
      <w:r>
        <w:rPr>
          <w:i/>
          <w:spacing w:val="5"/>
          <w:w w:val="105"/>
          <w:sz w:val="13"/>
        </w:rPr>
        <w:t> </w:t>
      </w:r>
      <w:r>
        <w:rPr>
          <w:i/>
          <w:w w:val="105"/>
          <w:sz w:val="13"/>
        </w:rPr>
        <w:t>Administrative</w:t>
      </w:r>
      <w:r>
        <w:rPr>
          <w:i/>
          <w:spacing w:val="5"/>
          <w:w w:val="105"/>
          <w:sz w:val="13"/>
        </w:rPr>
        <w:t> </w:t>
      </w:r>
      <w:r>
        <w:rPr>
          <w:i/>
          <w:w w:val="105"/>
          <w:sz w:val="13"/>
        </w:rPr>
        <w:t>Tribunal</w:t>
      </w:r>
      <w:r>
        <w:rPr>
          <w:i/>
          <w:spacing w:val="4"/>
          <w:w w:val="105"/>
          <w:sz w:val="13"/>
        </w:rPr>
        <w:t> </w:t>
      </w:r>
      <w:r>
        <w:rPr>
          <w:i/>
          <w:w w:val="105"/>
          <w:sz w:val="13"/>
        </w:rPr>
        <w:t>Act</w:t>
      </w:r>
      <w:r>
        <w:rPr>
          <w:i/>
          <w:spacing w:val="5"/>
          <w:w w:val="105"/>
          <w:sz w:val="13"/>
        </w:rPr>
        <w:t> </w:t>
      </w:r>
      <w:r>
        <w:rPr>
          <w:i/>
          <w:w w:val="105"/>
          <w:sz w:val="13"/>
        </w:rPr>
        <w:t>1998</w:t>
      </w:r>
      <w:r>
        <w:rPr>
          <w:i/>
          <w:spacing w:val="5"/>
          <w:w w:val="105"/>
          <w:sz w:val="13"/>
        </w:rPr>
        <w:t> </w:t>
      </w:r>
      <w:r>
        <w:rPr>
          <w:spacing w:val="2"/>
          <w:w w:val="105"/>
          <w:sz w:val="13"/>
        </w:rPr>
        <w:t>(Vic)</w:t>
      </w:r>
      <w:r>
        <w:rPr>
          <w:spacing w:val="5"/>
          <w:w w:val="105"/>
          <w:sz w:val="13"/>
        </w:rPr>
        <w:t> </w:t>
      </w:r>
      <w:r>
        <w:rPr>
          <w:w w:val="105"/>
          <w:sz w:val="13"/>
        </w:rPr>
        <w:t>ss</w:t>
      </w:r>
      <w:r>
        <w:rPr>
          <w:spacing w:val="4"/>
          <w:w w:val="105"/>
          <w:sz w:val="13"/>
        </w:rPr>
        <w:t> </w:t>
      </w:r>
      <w:r>
        <w:rPr>
          <w:w w:val="105"/>
          <w:sz w:val="13"/>
        </w:rPr>
        <w:t>120,</w:t>
      </w:r>
      <w:r>
        <w:rPr>
          <w:spacing w:val="5"/>
          <w:w w:val="105"/>
          <w:sz w:val="13"/>
        </w:rPr>
        <w:t> </w:t>
      </w:r>
      <w:r>
        <w:rPr>
          <w:w w:val="105"/>
          <w:sz w:val="13"/>
        </w:rPr>
        <w:t>148(1).</w:t>
      </w:r>
    </w:p>
    <w:p>
      <w:pPr>
        <w:pStyle w:val="ListParagraph"/>
        <w:numPr>
          <w:ilvl w:val="0"/>
          <w:numId w:val="149"/>
        </w:numPr>
        <w:tabs>
          <w:tab w:pos="2381" w:val="left" w:leader="none"/>
          <w:tab w:pos="2382" w:val="left" w:leader="none"/>
        </w:tabs>
        <w:spacing w:line="240" w:lineRule="auto" w:before="1" w:after="0"/>
        <w:ind w:left="2381" w:right="0" w:hanging="794"/>
        <w:jc w:val="left"/>
        <w:rPr>
          <w:i/>
          <w:sz w:val="13"/>
        </w:rPr>
      </w:pPr>
      <w:r>
        <w:rPr>
          <w:w w:val="105"/>
          <w:sz w:val="13"/>
        </w:rPr>
        <w:t>Department</w:t>
      </w:r>
      <w:r>
        <w:rPr>
          <w:spacing w:val="5"/>
          <w:w w:val="105"/>
          <w:sz w:val="13"/>
        </w:rPr>
        <w:t> </w:t>
      </w:r>
      <w:r>
        <w:rPr>
          <w:w w:val="105"/>
          <w:sz w:val="13"/>
        </w:rPr>
        <w:t>of</w:t>
      </w:r>
      <w:r>
        <w:rPr>
          <w:spacing w:val="6"/>
          <w:w w:val="105"/>
          <w:sz w:val="13"/>
        </w:rPr>
        <w:t> </w:t>
      </w:r>
      <w:r>
        <w:rPr>
          <w:w w:val="105"/>
          <w:sz w:val="13"/>
        </w:rPr>
        <w:t>Justice</w:t>
      </w:r>
      <w:r>
        <w:rPr>
          <w:spacing w:val="5"/>
          <w:w w:val="105"/>
          <w:sz w:val="13"/>
        </w:rPr>
        <w:t> </w:t>
      </w:r>
      <w:r>
        <w:rPr>
          <w:w w:val="105"/>
          <w:sz w:val="13"/>
        </w:rPr>
        <w:t>and</w:t>
      </w:r>
      <w:r>
        <w:rPr>
          <w:spacing w:val="6"/>
          <w:w w:val="105"/>
          <w:sz w:val="13"/>
        </w:rPr>
        <w:t> </w:t>
      </w:r>
      <w:r>
        <w:rPr>
          <w:w w:val="105"/>
          <w:sz w:val="13"/>
        </w:rPr>
        <w:t>Regulation</w:t>
      </w:r>
      <w:r>
        <w:rPr>
          <w:spacing w:val="6"/>
          <w:w w:val="105"/>
          <w:sz w:val="13"/>
        </w:rPr>
        <w:t> </w:t>
      </w:r>
      <w:r>
        <w:rPr>
          <w:spacing w:val="2"/>
          <w:w w:val="105"/>
          <w:sz w:val="13"/>
        </w:rPr>
        <w:t>(Vic),</w:t>
      </w:r>
      <w:r>
        <w:rPr>
          <w:spacing w:val="5"/>
          <w:w w:val="105"/>
          <w:sz w:val="13"/>
        </w:rPr>
        <w:t> </w:t>
      </w:r>
      <w:r>
        <w:rPr>
          <w:i/>
          <w:w w:val="105"/>
          <w:sz w:val="13"/>
        </w:rPr>
        <w:t>Access</w:t>
      </w:r>
      <w:r>
        <w:rPr>
          <w:i/>
          <w:spacing w:val="6"/>
          <w:w w:val="105"/>
          <w:sz w:val="13"/>
        </w:rPr>
        <w:t> </w:t>
      </w:r>
      <w:r>
        <w:rPr>
          <w:i/>
          <w:w w:val="105"/>
          <w:sz w:val="13"/>
        </w:rPr>
        <w:t>to</w:t>
      </w:r>
      <w:r>
        <w:rPr>
          <w:i/>
          <w:spacing w:val="5"/>
          <w:w w:val="105"/>
          <w:sz w:val="13"/>
        </w:rPr>
        <w:t> </w:t>
      </w:r>
      <w:r>
        <w:rPr>
          <w:i/>
          <w:w w:val="105"/>
          <w:sz w:val="13"/>
        </w:rPr>
        <w:t>Justice</w:t>
      </w:r>
      <w:r>
        <w:rPr>
          <w:i/>
          <w:spacing w:val="6"/>
          <w:w w:val="105"/>
          <w:sz w:val="13"/>
        </w:rPr>
        <w:t> </w:t>
      </w:r>
      <w:r>
        <w:rPr>
          <w:i/>
          <w:w w:val="105"/>
          <w:sz w:val="13"/>
        </w:rPr>
        <w:t>Review</w:t>
      </w:r>
      <w:r>
        <w:rPr>
          <w:i/>
          <w:spacing w:val="6"/>
          <w:w w:val="105"/>
          <w:sz w:val="13"/>
        </w:rPr>
        <w:t> </w:t>
      </w:r>
      <w:r>
        <w:rPr>
          <w:i/>
          <w:spacing w:val="2"/>
          <w:w w:val="105"/>
          <w:sz w:val="13"/>
        </w:rPr>
        <w:t>Report</w:t>
      </w:r>
      <w:r>
        <w:rPr>
          <w:i/>
          <w:spacing w:val="5"/>
          <w:w w:val="105"/>
          <w:sz w:val="13"/>
        </w:rPr>
        <w:t> </w:t>
      </w:r>
      <w:r>
        <w:rPr>
          <w:i/>
          <w:w w:val="105"/>
          <w:sz w:val="13"/>
        </w:rPr>
        <w:t>and</w:t>
      </w:r>
      <w:r>
        <w:rPr>
          <w:i/>
          <w:spacing w:val="6"/>
          <w:w w:val="105"/>
          <w:sz w:val="13"/>
        </w:rPr>
        <w:t> </w:t>
      </w:r>
      <w:r>
        <w:rPr>
          <w:i/>
          <w:w w:val="105"/>
          <w:sz w:val="13"/>
        </w:rPr>
        <w:t>Recommendations</w:t>
      </w:r>
      <w:r>
        <w:rPr>
          <w:i/>
          <w:spacing w:val="7"/>
          <w:w w:val="105"/>
          <w:sz w:val="13"/>
        </w:rPr>
        <w:t> </w:t>
      </w:r>
      <w:r>
        <w:rPr>
          <w:w w:val="105"/>
          <w:sz w:val="13"/>
        </w:rPr>
        <w:t>(2016)</w:t>
      </w:r>
      <w:r>
        <w:rPr>
          <w:spacing w:val="5"/>
          <w:w w:val="105"/>
          <w:sz w:val="13"/>
        </w:rPr>
        <w:t> </w:t>
      </w:r>
      <w:r>
        <w:rPr>
          <w:w w:val="105"/>
          <w:sz w:val="13"/>
        </w:rPr>
        <w:t>vol</w:t>
      </w:r>
      <w:r>
        <w:rPr>
          <w:spacing w:val="6"/>
          <w:w w:val="105"/>
          <w:sz w:val="13"/>
        </w:rPr>
        <w:t> </w:t>
      </w:r>
      <w:r>
        <w:rPr>
          <w:w w:val="105"/>
          <w:sz w:val="13"/>
        </w:rPr>
        <w:t>1</w:t>
      </w:r>
      <w:r>
        <w:rPr>
          <w:spacing w:val="5"/>
          <w:w w:val="105"/>
          <w:sz w:val="13"/>
        </w:rPr>
        <w:t> </w:t>
      </w:r>
      <w:r>
        <w:rPr>
          <w:w w:val="105"/>
          <w:sz w:val="13"/>
        </w:rPr>
        <w:t>[4.3.7</w:t>
      </w:r>
      <w:r>
        <w:rPr>
          <w:i/>
          <w:w w:val="105"/>
          <w:sz w:val="13"/>
        </w:rPr>
        <w:t>].</w:t>
      </w:r>
    </w:p>
    <w:p>
      <w:pPr>
        <w:pStyle w:val="ListParagraph"/>
        <w:numPr>
          <w:ilvl w:val="0"/>
          <w:numId w:val="149"/>
        </w:numPr>
        <w:tabs>
          <w:tab w:pos="2381" w:val="left" w:leader="none"/>
          <w:tab w:pos="2382" w:val="left" w:leader="none"/>
        </w:tabs>
        <w:spacing w:line="240" w:lineRule="auto" w:before="1" w:after="0"/>
        <w:ind w:left="2381" w:right="0" w:hanging="794"/>
        <w:jc w:val="left"/>
        <w:rPr>
          <w:sz w:val="13"/>
        </w:rPr>
      </w:pPr>
      <w:r>
        <w:rPr>
          <w:i/>
          <w:w w:val="105"/>
          <w:sz w:val="13"/>
        </w:rPr>
        <w:t>Hinde v Anderson </w:t>
      </w:r>
      <w:r>
        <w:rPr>
          <w:spacing w:val="2"/>
          <w:w w:val="105"/>
          <w:sz w:val="13"/>
        </w:rPr>
        <w:t>[2009] </w:t>
      </w:r>
      <w:r>
        <w:rPr>
          <w:w w:val="105"/>
          <w:sz w:val="13"/>
        </w:rPr>
        <w:t>NSWLEC </w:t>
      </w:r>
      <w:r>
        <w:rPr>
          <w:spacing w:val="-3"/>
          <w:w w:val="105"/>
          <w:sz w:val="13"/>
        </w:rPr>
        <w:t>1148</w:t>
      </w:r>
      <w:r>
        <w:rPr>
          <w:spacing w:val="-1"/>
          <w:w w:val="105"/>
          <w:sz w:val="13"/>
        </w:rPr>
        <w:t> </w:t>
      </w:r>
      <w:r>
        <w:rPr>
          <w:spacing w:val="3"/>
          <w:w w:val="105"/>
          <w:sz w:val="13"/>
        </w:rPr>
        <w:t>[1]–[2].</w:t>
      </w:r>
    </w:p>
    <w:p>
      <w:pPr>
        <w:pStyle w:val="ListParagraph"/>
        <w:numPr>
          <w:ilvl w:val="0"/>
          <w:numId w:val="149"/>
        </w:numPr>
        <w:tabs>
          <w:tab w:pos="2381" w:val="left" w:leader="none"/>
          <w:tab w:pos="2382" w:val="left" w:leader="none"/>
        </w:tabs>
        <w:spacing w:line="240" w:lineRule="auto" w:before="2" w:after="0"/>
        <w:ind w:left="2381" w:right="0" w:hanging="794"/>
        <w:jc w:val="left"/>
        <w:rPr>
          <w:sz w:val="13"/>
        </w:rPr>
      </w:pPr>
      <w:r>
        <w:rPr>
          <w:w w:val="105"/>
          <w:sz w:val="13"/>
        </w:rPr>
        <w:t>Consultations</w:t>
      </w:r>
      <w:r>
        <w:rPr>
          <w:spacing w:val="6"/>
          <w:w w:val="105"/>
          <w:sz w:val="13"/>
        </w:rPr>
        <w:t> </w:t>
      </w:r>
      <w:r>
        <w:rPr>
          <w:w w:val="105"/>
          <w:sz w:val="13"/>
        </w:rPr>
        <w:t>2</w:t>
      </w:r>
      <w:r>
        <w:rPr>
          <w:spacing w:val="6"/>
          <w:w w:val="105"/>
          <w:sz w:val="13"/>
        </w:rPr>
        <w:t> </w:t>
      </w:r>
      <w:r>
        <w:rPr>
          <w:spacing w:val="3"/>
          <w:w w:val="105"/>
          <w:sz w:val="13"/>
        </w:rPr>
        <w:t>(Dr</w:t>
      </w:r>
      <w:r>
        <w:rPr>
          <w:spacing w:val="6"/>
          <w:w w:val="105"/>
          <w:sz w:val="13"/>
        </w:rPr>
        <w:t> </w:t>
      </w:r>
      <w:r>
        <w:rPr>
          <w:w w:val="105"/>
          <w:sz w:val="13"/>
        </w:rPr>
        <w:t>Gregory</w:t>
      </w:r>
      <w:r>
        <w:rPr>
          <w:spacing w:val="6"/>
          <w:w w:val="105"/>
          <w:sz w:val="13"/>
        </w:rPr>
        <w:t> </w:t>
      </w:r>
      <w:r>
        <w:rPr>
          <w:w w:val="105"/>
          <w:sz w:val="13"/>
        </w:rPr>
        <w:t>Moore</w:t>
      </w:r>
      <w:r>
        <w:rPr>
          <w:spacing w:val="6"/>
          <w:w w:val="105"/>
          <w:sz w:val="13"/>
        </w:rPr>
        <w:t> </w:t>
      </w:r>
      <w:r>
        <w:rPr>
          <w:spacing w:val="2"/>
          <w:w w:val="105"/>
          <w:sz w:val="13"/>
        </w:rPr>
        <w:t>OAM),</w:t>
      </w:r>
      <w:r>
        <w:rPr>
          <w:spacing w:val="6"/>
          <w:w w:val="105"/>
          <w:sz w:val="13"/>
        </w:rPr>
        <w:t> </w:t>
      </w:r>
      <w:r>
        <w:rPr>
          <w:w w:val="105"/>
          <w:sz w:val="13"/>
        </w:rPr>
        <w:t>4</w:t>
      </w:r>
      <w:r>
        <w:rPr>
          <w:spacing w:val="6"/>
          <w:w w:val="105"/>
          <w:sz w:val="13"/>
        </w:rPr>
        <w:t> </w:t>
      </w:r>
      <w:r>
        <w:rPr>
          <w:w w:val="105"/>
          <w:sz w:val="13"/>
        </w:rPr>
        <w:t>(Participants</w:t>
      </w:r>
      <w:r>
        <w:rPr>
          <w:spacing w:val="6"/>
          <w:w w:val="105"/>
          <w:sz w:val="13"/>
        </w:rPr>
        <w:t> </w:t>
      </w:r>
      <w:r>
        <w:rPr>
          <w:w w:val="105"/>
          <w:sz w:val="13"/>
        </w:rPr>
        <w:t>in</w:t>
      </w:r>
      <w:r>
        <w:rPr>
          <w:spacing w:val="6"/>
          <w:w w:val="105"/>
          <w:sz w:val="13"/>
        </w:rPr>
        <w:t> </w:t>
      </w:r>
      <w:r>
        <w:rPr>
          <w:w w:val="105"/>
          <w:sz w:val="13"/>
        </w:rPr>
        <w:t>facilitated</w:t>
      </w:r>
      <w:r>
        <w:rPr>
          <w:spacing w:val="7"/>
          <w:w w:val="105"/>
          <w:sz w:val="13"/>
        </w:rPr>
        <w:t> </w:t>
      </w:r>
      <w:r>
        <w:rPr>
          <w:w w:val="105"/>
          <w:sz w:val="13"/>
        </w:rPr>
        <w:t>discussion</w:t>
      </w:r>
      <w:r>
        <w:rPr>
          <w:spacing w:val="6"/>
          <w:w w:val="105"/>
          <w:sz w:val="13"/>
        </w:rPr>
        <w:t> </w:t>
      </w:r>
      <w:r>
        <w:rPr>
          <w:w w:val="105"/>
          <w:sz w:val="13"/>
        </w:rPr>
        <w:t>at</w:t>
      </w:r>
      <w:r>
        <w:rPr>
          <w:spacing w:val="6"/>
          <w:w w:val="105"/>
          <w:sz w:val="13"/>
        </w:rPr>
        <w:t> </w:t>
      </w:r>
      <w:r>
        <w:rPr>
          <w:spacing w:val="4"/>
          <w:w w:val="105"/>
          <w:sz w:val="13"/>
        </w:rPr>
        <w:t>VTIO</w:t>
      </w:r>
      <w:r>
        <w:rPr>
          <w:spacing w:val="6"/>
          <w:w w:val="105"/>
          <w:sz w:val="13"/>
        </w:rPr>
        <w:t> </w:t>
      </w:r>
      <w:r>
        <w:rPr>
          <w:w w:val="105"/>
          <w:sz w:val="13"/>
        </w:rPr>
        <w:t>ArborCamp2018),</w:t>
      </w:r>
      <w:r>
        <w:rPr>
          <w:spacing w:val="6"/>
          <w:w w:val="105"/>
          <w:sz w:val="13"/>
        </w:rPr>
        <w:t> </w:t>
      </w:r>
      <w:r>
        <w:rPr>
          <w:spacing w:val="-3"/>
          <w:w w:val="105"/>
          <w:sz w:val="13"/>
        </w:rPr>
        <w:t>14</w:t>
      </w:r>
      <w:r>
        <w:rPr>
          <w:spacing w:val="6"/>
          <w:w w:val="105"/>
          <w:sz w:val="13"/>
        </w:rPr>
        <w:t> </w:t>
      </w:r>
      <w:r>
        <w:rPr>
          <w:spacing w:val="2"/>
          <w:w w:val="105"/>
          <w:sz w:val="13"/>
        </w:rPr>
        <w:t>(Robert</w:t>
      </w:r>
      <w:r>
        <w:rPr>
          <w:spacing w:val="6"/>
          <w:w w:val="105"/>
          <w:sz w:val="13"/>
        </w:rPr>
        <w:t> </w:t>
      </w:r>
      <w:r>
        <w:rPr>
          <w:spacing w:val="2"/>
          <w:w w:val="105"/>
          <w:sz w:val="13"/>
        </w:rPr>
        <w:t>Mineo).</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38"/>
        </w:rPr>
      </w:pPr>
    </w:p>
    <w:p>
      <w:pPr>
        <w:spacing w:before="0"/>
        <w:ind w:left="553" w:right="573" w:firstLine="0"/>
        <w:jc w:val="center"/>
        <w:rPr>
          <w:b/>
          <w:sz w:val="24"/>
        </w:rPr>
      </w:pPr>
      <w:r>
        <w:rPr>
          <w:b/>
          <w:color w:val="658464"/>
          <w:w w:val="110"/>
          <w:sz w:val="24"/>
        </w:rPr>
        <w:t>205</w:t>
      </w:r>
    </w:p>
    <w:p>
      <w:pPr>
        <w:spacing w:after="0"/>
        <w:jc w:val="center"/>
        <w:rPr>
          <w:sz w:val="24"/>
        </w:rPr>
        <w:sectPr>
          <w:type w:val="continuous"/>
          <w:pgSz w:w="11910" w:h="16840"/>
          <w:pgMar w:top="300" w:bottom="280" w:left="0" w:right="0"/>
          <w:cols w:num="2" w:equalWidth="0">
            <w:col w:w="10300" w:space="40"/>
            <w:col w:w="1570"/>
          </w:cols>
        </w:sectPr>
      </w:pPr>
    </w:p>
    <w:p>
      <w:pPr>
        <w:pStyle w:val="BodyText"/>
        <w:spacing w:before="9"/>
        <w:rPr>
          <w:b/>
          <w:sz w:val="22"/>
        </w:rPr>
      </w:pPr>
    </w:p>
    <w:p>
      <w:pPr>
        <w:pStyle w:val="ListParagraph"/>
        <w:numPr>
          <w:ilvl w:val="1"/>
          <w:numId w:val="16"/>
        </w:numPr>
        <w:tabs>
          <w:tab w:pos="2381" w:val="left" w:leader="none"/>
          <w:tab w:pos="2382" w:val="left" w:leader="none"/>
        </w:tabs>
        <w:spacing w:line="242" w:lineRule="auto" w:before="92" w:after="0"/>
        <w:ind w:left="2381" w:right="1683" w:hanging="794"/>
        <w:jc w:val="left"/>
        <w:rPr>
          <w:sz w:val="21"/>
        </w:rPr>
      </w:pPr>
      <w:r>
        <w:rPr>
          <w:w w:val="105"/>
          <w:sz w:val="21"/>
        </w:rPr>
        <w:t>As tree </w:t>
      </w:r>
      <w:r>
        <w:rPr>
          <w:spacing w:val="-2"/>
          <w:w w:val="105"/>
          <w:sz w:val="21"/>
        </w:rPr>
        <w:t>problems </w:t>
      </w:r>
      <w:r>
        <w:rPr>
          <w:w w:val="105"/>
          <w:sz w:val="21"/>
        </w:rPr>
        <w:t>can also </w:t>
      </w:r>
      <w:r>
        <w:rPr>
          <w:spacing w:val="-3"/>
          <w:w w:val="105"/>
          <w:sz w:val="21"/>
        </w:rPr>
        <w:t>change </w:t>
      </w:r>
      <w:r>
        <w:rPr>
          <w:w w:val="105"/>
          <w:sz w:val="21"/>
        </w:rPr>
        <w:t>over </w:t>
      </w:r>
      <w:r>
        <w:rPr>
          <w:spacing w:val="-3"/>
          <w:w w:val="105"/>
          <w:sz w:val="21"/>
        </w:rPr>
        <w:t>time, </w:t>
      </w:r>
      <w:r>
        <w:rPr>
          <w:w w:val="105"/>
          <w:sz w:val="21"/>
        </w:rPr>
        <w:t>an order </w:t>
      </w:r>
      <w:r>
        <w:rPr>
          <w:spacing w:val="-3"/>
          <w:w w:val="105"/>
          <w:sz w:val="21"/>
        </w:rPr>
        <w:t>may </w:t>
      </w:r>
      <w:r>
        <w:rPr>
          <w:w w:val="105"/>
          <w:sz w:val="21"/>
        </w:rPr>
        <w:t>no longer </w:t>
      </w:r>
      <w:r>
        <w:rPr>
          <w:spacing w:val="-3"/>
          <w:w w:val="105"/>
          <w:sz w:val="21"/>
        </w:rPr>
        <w:t>accommodate </w:t>
      </w:r>
      <w:r>
        <w:rPr>
          <w:w w:val="105"/>
          <w:sz w:val="21"/>
        </w:rPr>
        <w:t>the </w:t>
      </w:r>
      <w:r>
        <w:rPr>
          <w:spacing w:val="-3"/>
          <w:w w:val="105"/>
          <w:sz w:val="21"/>
        </w:rPr>
        <w:t>original problem, </w:t>
      </w:r>
      <w:r>
        <w:rPr>
          <w:w w:val="105"/>
          <w:sz w:val="21"/>
        </w:rPr>
        <w:t>or </w:t>
      </w:r>
      <w:r>
        <w:rPr>
          <w:spacing w:val="-3"/>
          <w:w w:val="105"/>
          <w:sz w:val="21"/>
        </w:rPr>
        <w:t>may </w:t>
      </w:r>
      <w:r>
        <w:rPr>
          <w:w w:val="105"/>
          <w:sz w:val="21"/>
        </w:rPr>
        <w:t>no longer be able </w:t>
      </w:r>
      <w:r>
        <w:rPr>
          <w:spacing w:val="-3"/>
          <w:w w:val="105"/>
          <w:sz w:val="21"/>
        </w:rPr>
        <w:t>to </w:t>
      </w:r>
      <w:r>
        <w:rPr>
          <w:w w:val="105"/>
          <w:sz w:val="21"/>
        </w:rPr>
        <w:t>be </w:t>
      </w:r>
      <w:r>
        <w:rPr>
          <w:spacing w:val="-3"/>
          <w:w w:val="105"/>
          <w:sz w:val="21"/>
        </w:rPr>
        <w:t>complied with, through </w:t>
      </w:r>
      <w:r>
        <w:rPr>
          <w:w w:val="105"/>
          <w:sz w:val="21"/>
        </w:rPr>
        <w:t>no </w:t>
      </w:r>
      <w:r>
        <w:rPr>
          <w:spacing w:val="-3"/>
          <w:w w:val="105"/>
          <w:sz w:val="21"/>
        </w:rPr>
        <w:t>fault </w:t>
      </w:r>
      <w:r>
        <w:rPr>
          <w:w w:val="105"/>
          <w:sz w:val="21"/>
        </w:rPr>
        <w:t>of the parties. For </w:t>
      </w:r>
      <w:r>
        <w:rPr>
          <w:spacing w:val="-3"/>
          <w:w w:val="105"/>
          <w:sz w:val="21"/>
        </w:rPr>
        <w:t>example, </w:t>
      </w:r>
      <w:r>
        <w:rPr>
          <w:w w:val="105"/>
          <w:sz w:val="21"/>
        </w:rPr>
        <w:t>an order </w:t>
      </w:r>
      <w:r>
        <w:rPr>
          <w:spacing w:val="-3"/>
          <w:w w:val="105"/>
          <w:sz w:val="21"/>
        </w:rPr>
        <w:t>may </w:t>
      </w:r>
      <w:r>
        <w:rPr>
          <w:w w:val="105"/>
          <w:sz w:val="21"/>
        </w:rPr>
        <w:t>specify </w:t>
      </w:r>
      <w:r>
        <w:rPr>
          <w:spacing w:val="-3"/>
          <w:w w:val="105"/>
          <w:sz w:val="21"/>
        </w:rPr>
        <w:t>that </w:t>
      </w:r>
      <w:r>
        <w:rPr>
          <w:w w:val="105"/>
          <w:sz w:val="21"/>
        </w:rPr>
        <w:t>the </w:t>
      </w:r>
      <w:r>
        <w:rPr>
          <w:spacing w:val="-3"/>
          <w:w w:val="105"/>
          <w:sz w:val="21"/>
        </w:rPr>
        <w:t>branches </w:t>
      </w:r>
      <w:r>
        <w:rPr>
          <w:w w:val="105"/>
          <w:sz w:val="21"/>
        </w:rPr>
        <w:t>of a tree </w:t>
      </w:r>
      <w:r>
        <w:rPr>
          <w:spacing w:val="-3"/>
          <w:w w:val="105"/>
          <w:sz w:val="21"/>
        </w:rPr>
        <w:t>are to </w:t>
      </w:r>
      <w:r>
        <w:rPr>
          <w:w w:val="105"/>
          <w:sz w:val="21"/>
        </w:rPr>
        <w:t>be pruned in</w:t>
      </w:r>
      <w:r>
        <w:rPr>
          <w:spacing w:val="-9"/>
          <w:w w:val="105"/>
          <w:sz w:val="21"/>
        </w:rPr>
        <w:t> </w:t>
      </w:r>
      <w:r>
        <w:rPr>
          <w:w w:val="105"/>
          <w:sz w:val="21"/>
        </w:rPr>
        <w:t>a</w:t>
      </w:r>
      <w:r>
        <w:rPr>
          <w:spacing w:val="-9"/>
          <w:w w:val="105"/>
          <w:sz w:val="21"/>
        </w:rPr>
        <w:t> </w:t>
      </w:r>
      <w:r>
        <w:rPr>
          <w:w w:val="105"/>
          <w:sz w:val="21"/>
        </w:rPr>
        <w:t>certain</w:t>
      </w:r>
      <w:r>
        <w:rPr>
          <w:spacing w:val="-9"/>
          <w:w w:val="105"/>
          <w:sz w:val="21"/>
        </w:rPr>
        <w:t> </w:t>
      </w:r>
      <w:r>
        <w:rPr>
          <w:spacing w:val="-5"/>
          <w:w w:val="105"/>
          <w:sz w:val="21"/>
        </w:rPr>
        <w:t>manner.</w:t>
      </w:r>
      <w:r>
        <w:rPr>
          <w:spacing w:val="-8"/>
          <w:w w:val="105"/>
          <w:sz w:val="21"/>
        </w:rPr>
        <w:t> </w:t>
      </w:r>
      <w:r>
        <w:rPr>
          <w:w w:val="105"/>
          <w:sz w:val="21"/>
        </w:rPr>
        <w:t>This</w:t>
      </w:r>
      <w:r>
        <w:rPr>
          <w:spacing w:val="-9"/>
          <w:w w:val="105"/>
          <w:sz w:val="21"/>
        </w:rPr>
        <w:t> </w:t>
      </w:r>
      <w:r>
        <w:rPr>
          <w:spacing w:val="-3"/>
          <w:w w:val="105"/>
          <w:sz w:val="21"/>
        </w:rPr>
        <w:t>may</w:t>
      </w:r>
      <w:r>
        <w:rPr>
          <w:spacing w:val="-9"/>
          <w:w w:val="105"/>
          <w:sz w:val="21"/>
        </w:rPr>
        <w:t> </w:t>
      </w:r>
      <w:r>
        <w:rPr>
          <w:spacing w:val="-2"/>
          <w:w w:val="105"/>
          <w:sz w:val="21"/>
        </w:rPr>
        <w:t>not</w:t>
      </w:r>
      <w:r>
        <w:rPr>
          <w:spacing w:val="-9"/>
          <w:w w:val="105"/>
          <w:sz w:val="21"/>
        </w:rPr>
        <w:t> </w:t>
      </w:r>
      <w:r>
        <w:rPr>
          <w:w w:val="105"/>
          <w:sz w:val="21"/>
        </w:rPr>
        <w:t>be</w:t>
      </w:r>
      <w:r>
        <w:rPr>
          <w:spacing w:val="-8"/>
          <w:w w:val="105"/>
          <w:sz w:val="21"/>
        </w:rPr>
        <w:t> </w:t>
      </w:r>
      <w:r>
        <w:rPr>
          <w:w w:val="105"/>
          <w:sz w:val="21"/>
        </w:rPr>
        <w:t>possible</w:t>
      </w:r>
      <w:r>
        <w:rPr>
          <w:spacing w:val="-9"/>
          <w:w w:val="105"/>
          <w:sz w:val="21"/>
        </w:rPr>
        <w:t> </w:t>
      </w:r>
      <w:r>
        <w:rPr>
          <w:w w:val="105"/>
          <w:sz w:val="21"/>
        </w:rPr>
        <w:t>where</w:t>
      </w:r>
      <w:r>
        <w:rPr>
          <w:spacing w:val="-9"/>
          <w:w w:val="105"/>
          <w:sz w:val="21"/>
        </w:rPr>
        <w:t> </w:t>
      </w:r>
      <w:r>
        <w:rPr>
          <w:spacing w:val="-3"/>
          <w:w w:val="105"/>
          <w:sz w:val="21"/>
        </w:rPr>
        <w:t>weather</w:t>
      </w:r>
      <w:r>
        <w:rPr>
          <w:spacing w:val="-9"/>
          <w:w w:val="105"/>
          <w:sz w:val="21"/>
        </w:rPr>
        <w:t> </w:t>
      </w:r>
      <w:r>
        <w:rPr>
          <w:w w:val="105"/>
          <w:sz w:val="21"/>
        </w:rPr>
        <w:t>events</w:t>
      </w:r>
      <w:r>
        <w:rPr>
          <w:spacing w:val="-8"/>
          <w:w w:val="105"/>
          <w:sz w:val="21"/>
        </w:rPr>
        <w:t> </w:t>
      </w:r>
      <w:r>
        <w:rPr>
          <w:w w:val="105"/>
          <w:sz w:val="21"/>
        </w:rPr>
        <w:t>permanently</w:t>
      </w:r>
      <w:r>
        <w:rPr>
          <w:spacing w:val="-9"/>
          <w:w w:val="105"/>
          <w:sz w:val="21"/>
        </w:rPr>
        <w:t> </w:t>
      </w:r>
      <w:r>
        <w:rPr>
          <w:spacing w:val="-3"/>
          <w:w w:val="105"/>
          <w:sz w:val="21"/>
        </w:rPr>
        <w:t>change </w:t>
      </w:r>
      <w:r>
        <w:rPr>
          <w:w w:val="105"/>
          <w:sz w:val="21"/>
        </w:rPr>
        <w:t>the </w:t>
      </w:r>
      <w:r>
        <w:rPr>
          <w:spacing w:val="-3"/>
          <w:w w:val="105"/>
          <w:sz w:val="21"/>
        </w:rPr>
        <w:t>character </w:t>
      </w:r>
      <w:r>
        <w:rPr>
          <w:w w:val="105"/>
          <w:sz w:val="21"/>
        </w:rPr>
        <w:t>of the </w:t>
      </w:r>
      <w:r>
        <w:rPr>
          <w:spacing w:val="-3"/>
          <w:w w:val="105"/>
          <w:sz w:val="21"/>
        </w:rPr>
        <w:t>tree. </w:t>
      </w:r>
      <w:r>
        <w:rPr>
          <w:w w:val="105"/>
          <w:sz w:val="21"/>
        </w:rPr>
        <w:t>As a tree </w:t>
      </w:r>
      <w:r>
        <w:rPr>
          <w:spacing w:val="-3"/>
          <w:w w:val="105"/>
          <w:sz w:val="21"/>
        </w:rPr>
        <w:t>changes </w:t>
      </w:r>
      <w:r>
        <w:rPr>
          <w:w w:val="105"/>
          <w:sz w:val="21"/>
        </w:rPr>
        <w:t>with </w:t>
      </w:r>
      <w:r>
        <w:rPr>
          <w:spacing w:val="-3"/>
          <w:w w:val="105"/>
          <w:sz w:val="21"/>
        </w:rPr>
        <w:t>age, </w:t>
      </w:r>
      <w:r>
        <w:rPr>
          <w:w w:val="105"/>
          <w:sz w:val="21"/>
        </w:rPr>
        <w:t>it </w:t>
      </w:r>
      <w:r>
        <w:rPr>
          <w:spacing w:val="-3"/>
          <w:w w:val="105"/>
          <w:sz w:val="21"/>
        </w:rPr>
        <w:t>may </w:t>
      </w:r>
      <w:r>
        <w:rPr>
          <w:w w:val="105"/>
          <w:sz w:val="21"/>
        </w:rPr>
        <w:t>become necessary </w:t>
      </w:r>
      <w:r>
        <w:rPr>
          <w:spacing w:val="-3"/>
          <w:w w:val="105"/>
          <w:sz w:val="21"/>
        </w:rPr>
        <w:t>to enter </w:t>
      </w:r>
      <w:r>
        <w:rPr>
          <w:w w:val="105"/>
          <w:sz w:val="21"/>
        </w:rPr>
        <w:t>a </w:t>
      </w:r>
      <w:r>
        <w:rPr>
          <w:spacing w:val="-3"/>
          <w:w w:val="105"/>
          <w:sz w:val="21"/>
        </w:rPr>
        <w:t>neighbour’s land </w:t>
      </w:r>
      <w:r>
        <w:rPr>
          <w:w w:val="105"/>
          <w:sz w:val="21"/>
        </w:rPr>
        <w:t>in order </w:t>
      </w:r>
      <w:r>
        <w:rPr>
          <w:spacing w:val="-3"/>
          <w:w w:val="105"/>
          <w:sz w:val="21"/>
        </w:rPr>
        <w:t>to </w:t>
      </w:r>
      <w:r>
        <w:rPr>
          <w:w w:val="105"/>
          <w:sz w:val="21"/>
        </w:rPr>
        <w:t>prune it and this </w:t>
      </w:r>
      <w:r>
        <w:rPr>
          <w:spacing w:val="-3"/>
          <w:w w:val="105"/>
          <w:sz w:val="21"/>
        </w:rPr>
        <w:t>may </w:t>
      </w:r>
      <w:r>
        <w:rPr>
          <w:spacing w:val="-2"/>
          <w:w w:val="105"/>
          <w:sz w:val="21"/>
        </w:rPr>
        <w:t>not </w:t>
      </w:r>
      <w:r>
        <w:rPr>
          <w:w w:val="105"/>
          <w:sz w:val="21"/>
        </w:rPr>
        <w:t>be </w:t>
      </w:r>
      <w:r>
        <w:rPr>
          <w:spacing w:val="-3"/>
          <w:w w:val="105"/>
          <w:sz w:val="21"/>
        </w:rPr>
        <w:t>accommodated </w:t>
      </w:r>
      <w:r>
        <w:rPr>
          <w:w w:val="105"/>
          <w:sz w:val="21"/>
        </w:rPr>
        <w:t>in an </w:t>
      </w:r>
      <w:r>
        <w:rPr>
          <w:spacing w:val="-3"/>
          <w:w w:val="105"/>
          <w:sz w:val="21"/>
        </w:rPr>
        <w:t>original </w:t>
      </w:r>
      <w:r>
        <w:rPr>
          <w:spacing w:val="-7"/>
          <w:w w:val="105"/>
          <w:sz w:val="21"/>
        </w:rPr>
        <w:t>order.</w:t>
      </w:r>
    </w:p>
    <w:p>
      <w:pPr>
        <w:pStyle w:val="ListParagraph"/>
        <w:numPr>
          <w:ilvl w:val="1"/>
          <w:numId w:val="16"/>
        </w:numPr>
        <w:tabs>
          <w:tab w:pos="2380" w:val="left" w:leader="none"/>
          <w:tab w:pos="2381" w:val="left" w:leader="none"/>
        </w:tabs>
        <w:spacing w:line="242" w:lineRule="auto" w:before="127" w:after="0"/>
        <w:ind w:left="2381" w:right="1612" w:hanging="794"/>
        <w:jc w:val="left"/>
        <w:rPr>
          <w:sz w:val="21"/>
        </w:rPr>
      </w:pPr>
      <w:r>
        <w:rPr>
          <w:w w:val="105"/>
          <w:sz w:val="21"/>
        </w:rPr>
        <w:t>The new Act should provide </w:t>
      </w:r>
      <w:r>
        <w:rPr>
          <w:spacing w:val="-5"/>
          <w:w w:val="105"/>
          <w:sz w:val="21"/>
        </w:rPr>
        <w:t>VCAT </w:t>
      </w:r>
      <w:r>
        <w:rPr>
          <w:w w:val="105"/>
          <w:sz w:val="21"/>
        </w:rPr>
        <w:t>with the power on application by the tree owner or affected </w:t>
      </w:r>
      <w:r>
        <w:rPr>
          <w:spacing w:val="-3"/>
          <w:w w:val="105"/>
          <w:sz w:val="21"/>
        </w:rPr>
        <w:t>neighbour </w:t>
      </w:r>
      <w:r>
        <w:rPr>
          <w:w w:val="105"/>
          <w:sz w:val="21"/>
        </w:rPr>
        <w:t>(or </w:t>
      </w:r>
      <w:r>
        <w:rPr>
          <w:spacing w:val="-3"/>
          <w:w w:val="105"/>
          <w:sz w:val="21"/>
        </w:rPr>
        <w:t>immediate </w:t>
      </w:r>
      <w:r>
        <w:rPr>
          <w:w w:val="105"/>
          <w:sz w:val="21"/>
        </w:rPr>
        <w:t>successors in </w:t>
      </w:r>
      <w:r>
        <w:rPr>
          <w:spacing w:val="-4"/>
          <w:w w:val="105"/>
          <w:sz w:val="21"/>
        </w:rPr>
        <w:t>title</w:t>
      </w:r>
      <w:r>
        <w:rPr>
          <w:spacing w:val="-4"/>
          <w:w w:val="105"/>
          <w:position w:val="7"/>
          <w:sz w:val="12"/>
        </w:rPr>
        <w:t>123</w:t>
      </w:r>
      <w:r>
        <w:rPr>
          <w:spacing w:val="-4"/>
          <w:w w:val="105"/>
          <w:sz w:val="21"/>
        </w:rPr>
        <w:t>) </w:t>
      </w:r>
      <w:r>
        <w:rPr>
          <w:spacing w:val="-3"/>
          <w:w w:val="105"/>
          <w:sz w:val="21"/>
        </w:rPr>
        <w:t>to </w:t>
      </w:r>
      <w:r>
        <w:rPr>
          <w:w w:val="105"/>
          <w:sz w:val="21"/>
        </w:rPr>
        <w:t>vary or </w:t>
      </w:r>
      <w:r>
        <w:rPr>
          <w:spacing w:val="-4"/>
          <w:w w:val="105"/>
          <w:sz w:val="21"/>
        </w:rPr>
        <w:t>revoke </w:t>
      </w:r>
      <w:r>
        <w:rPr>
          <w:w w:val="105"/>
          <w:sz w:val="21"/>
        </w:rPr>
        <w:t>an </w:t>
      </w:r>
      <w:r>
        <w:rPr>
          <w:spacing w:val="-4"/>
          <w:w w:val="105"/>
          <w:sz w:val="21"/>
        </w:rPr>
        <w:t>order. </w:t>
      </w:r>
      <w:r>
        <w:rPr>
          <w:w w:val="105"/>
          <w:sz w:val="21"/>
        </w:rPr>
        <w:t>This </w:t>
      </w:r>
      <w:r>
        <w:rPr>
          <w:spacing w:val="-3"/>
          <w:w w:val="105"/>
          <w:sz w:val="21"/>
        </w:rPr>
        <w:t>may </w:t>
      </w:r>
      <w:r>
        <w:rPr>
          <w:w w:val="105"/>
          <w:sz w:val="21"/>
        </w:rPr>
        <w:t>be necessary if </w:t>
      </w:r>
      <w:r>
        <w:rPr>
          <w:spacing w:val="-5"/>
          <w:w w:val="105"/>
          <w:sz w:val="21"/>
        </w:rPr>
        <w:t>VCAT </w:t>
      </w:r>
      <w:r>
        <w:rPr>
          <w:w w:val="105"/>
          <w:sz w:val="21"/>
        </w:rPr>
        <w:t>is satisfied </w:t>
      </w:r>
      <w:r>
        <w:rPr>
          <w:spacing w:val="-3"/>
          <w:w w:val="105"/>
          <w:sz w:val="21"/>
        </w:rPr>
        <w:t>that </w:t>
      </w:r>
      <w:r>
        <w:rPr>
          <w:w w:val="105"/>
          <w:sz w:val="21"/>
        </w:rPr>
        <w:t>the </w:t>
      </w:r>
      <w:r>
        <w:rPr>
          <w:spacing w:val="-3"/>
          <w:w w:val="105"/>
          <w:sz w:val="21"/>
        </w:rPr>
        <w:t>original circumstances that </w:t>
      </w:r>
      <w:r>
        <w:rPr>
          <w:w w:val="105"/>
          <w:sz w:val="21"/>
        </w:rPr>
        <w:t>caused the damage or </w:t>
      </w:r>
      <w:r>
        <w:rPr>
          <w:spacing w:val="-3"/>
          <w:w w:val="105"/>
          <w:sz w:val="21"/>
        </w:rPr>
        <w:t>harm have changed, </w:t>
      </w:r>
      <w:r>
        <w:rPr>
          <w:w w:val="105"/>
          <w:sz w:val="21"/>
        </w:rPr>
        <w:t>and </w:t>
      </w:r>
      <w:r>
        <w:rPr>
          <w:spacing w:val="-3"/>
          <w:w w:val="105"/>
          <w:sz w:val="21"/>
        </w:rPr>
        <w:t>that </w:t>
      </w:r>
      <w:r>
        <w:rPr>
          <w:w w:val="105"/>
          <w:sz w:val="21"/>
        </w:rPr>
        <w:t>the new </w:t>
      </w:r>
      <w:r>
        <w:rPr>
          <w:spacing w:val="-3"/>
          <w:w w:val="105"/>
          <w:sz w:val="21"/>
        </w:rPr>
        <w:t>circumstances are </w:t>
      </w:r>
      <w:r>
        <w:rPr>
          <w:spacing w:val="-2"/>
          <w:w w:val="105"/>
          <w:sz w:val="21"/>
        </w:rPr>
        <w:t>not </w:t>
      </w:r>
      <w:r>
        <w:rPr>
          <w:spacing w:val="-3"/>
          <w:w w:val="105"/>
          <w:sz w:val="21"/>
        </w:rPr>
        <w:t>accommodated </w:t>
      </w:r>
      <w:r>
        <w:rPr>
          <w:w w:val="105"/>
          <w:sz w:val="21"/>
        </w:rPr>
        <w:t>in the </w:t>
      </w:r>
      <w:r>
        <w:rPr>
          <w:spacing w:val="-3"/>
          <w:w w:val="105"/>
          <w:sz w:val="21"/>
        </w:rPr>
        <w:t>original </w:t>
      </w:r>
      <w:r>
        <w:rPr>
          <w:spacing w:val="-4"/>
          <w:w w:val="105"/>
          <w:sz w:val="21"/>
        </w:rPr>
        <w:t>order. </w:t>
      </w:r>
      <w:r>
        <w:rPr>
          <w:spacing w:val="-5"/>
          <w:w w:val="105"/>
          <w:sz w:val="21"/>
        </w:rPr>
        <w:t>VCAT </w:t>
      </w:r>
      <w:r>
        <w:rPr>
          <w:w w:val="105"/>
          <w:sz w:val="21"/>
        </w:rPr>
        <w:t>should be </w:t>
      </w:r>
      <w:r>
        <w:rPr>
          <w:spacing w:val="-2"/>
          <w:w w:val="105"/>
          <w:sz w:val="21"/>
        </w:rPr>
        <w:t>empowered </w:t>
      </w:r>
      <w:r>
        <w:rPr>
          <w:spacing w:val="-3"/>
          <w:w w:val="105"/>
          <w:sz w:val="21"/>
        </w:rPr>
        <w:t>to </w:t>
      </w:r>
      <w:r>
        <w:rPr>
          <w:w w:val="105"/>
          <w:sz w:val="21"/>
        </w:rPr>
        <w:t>vary the </w:t>
      </w:r>
      <w:r>
        <w:rPr>
          <w:spacing w:val="-3"/>
          <w:w w:val="105"/>
          <w:sz w:val="21"/>
        </w:rPr>
        <w:t>original </w:t>
      </w:r>
      <w:r>
        <w:rPr>
          <w:w w:val="105"/>
          <w:sz w:val="21"/>
        </w:rPr>
        <w:t>order by </w:t>
      </w:r>
      <w:r>
        <w:rPr>
          <w:spacing w:val="-3"/>
          <w:w w:val="105"/>
          <w:sz w:val="21"/>
        </w:rPr>
        <w:t>altering  </w:t>
      </w:r>
      <w:r>
        <w:rPr>
          <w:w w:val="105"/>
          <w:sz w:val="21"/>
        </w:rPr>
        <w:t>the </w:t>
      </w:r>
      <w:r>
        <w:rPr>
          <w:spacing w:val="-3"/>
          <w:w w:val="105"/>
          <w:sz w:val="21"/>
        </w:rPr>
        <w:t>terms </w:t>
      </w:r>
      <w:r>
        <w:rPr>
          <w:w w:val="105"/>
          <w:sz w:val="21"/>
        </w:rPr>
        <w:t>of the order or by </w:t>
      </w:r>
      <w:r>
        <w:rPr>
          <w:spacing w:val="-3"/>
          <w:w w:val="105"/>
          <w:sz w:val="21"/>
        </w:rPr>
        <w:t>substituting any </w:t>
      </w:r>
      <w:r>
        <w:rPr>
          <w:w w:val="105"/>
          <w:sz w:val="21"/>
        </w:rPr>
        <w:t>other </w:t>
      </w:r>
      <w:r>
        <w:rPr>
          <w:spacing w:val="-4"/>
          <w:w w:val="105"/>
          <w:sz w:val="21"/>
        </w:rPr>
        <w:t>order. </w:t>
      </w:r>
      <w:r>
        <w:rPr>
          <w:spacing w:val="-5"/>
          <w:w w:val="105"/>
          <w:sz w:val="21"/>
        </w:rPr>
        <w:t>VCAT </w:t>
      </w:r>
      <w:r>
        <w:rPr>
          <w:spacing w:val="-3"/>
          <w:w w:val="105"/>
          <w:sz w:val="21"/>
        </w:rPr>
        <w:t>may </w:t>
      </w:r>
      <w:r>
        <w:rPr>
          <w:w w:val="105"/>
          <w:sz w:val="21"/>
        </w:rPr>
        <w:t>also need </w:t>
      </w:r>
      <w:r>
        <w:rPr>
          <w:spacing w:val="-3"/>
          <w:w w:val="105"/>
          <w:sz w:val="21"/>
        </w:rPr>
        <w:t>to </w:t>
      </w:r>
      <w:r>
        <w:rPr>
          <w:spacing w:val="-4"/>
          <w:w w:val="105"/>
          <w:sz w:val="21"/>
        </w:rPr>
        <w:t>revoke </w:t>
      </w:r>
      <w:r>
        <w:rPr>
          <w:w w:val="105"/>
          <w:sz w:val="21"/>
        </w:rPr>
        <w:t>an</w:t>
      </w:r>
      <w:r>
        <w:rPr>
          <w:spacing w:val="-10"/>
          <w:w w:val="105"/>
          <w:sz w:val="21"/>
        </w:rPr>
        <w:t> </w:t>
      </w:r>
      <w:r>
        <w:rPr>
          <w:w w:val="105"/>
          <w:sz w:val="21"/>
        </w:rPr>
        <w:t>order</w:t>
      </w:r>
      <w:r>
        <w:rPr>
          <w:spacing w:val="-10"/>
          <w:w w:val="105"/>
          <w:sz w:val="21"/>
        </w:rPr>
        <w:t> </w:t>
      </w:r>
      <w:r>
        <w:rPr>
          <w:w w:val="105"/>
          <w:sz w:val="21"/>
        </w:rPr>
        <w:t>where</w:t>
      </w:r>
      <w:r>
        <w:rPr>
          <w:spacing w:val="-10"/>
          <w:w w:val="105"/>
          <w:sz w:val="21"/>
        </w:rPr>
        <w:t> </w:t>
      </w:r>
      <w:r>
        <w:rPr>
          <w:w w:val="105"/>
          <w:sz w:val="21"/>
        </w:rPr>
        <w:t>it</w:t>
      </w:r>
      <w:r>
        <w:rPr>
          <w:spacing w:val="-9"/>
          <w:w w:val="105"/>
          <w:sz w:val="21"/>
        </w:rPr>
        <w:t> </w:t>
      </w:r>
      <w:r>
        <w:rPr>
          <w:w w:val="105"/>
          <w:sz w:val="21"/>
        </w:rPr>
        <w:t>is</w:t>
      </w:r>
      <w:r>
        <w:rPr>
          <w:spacing w:val="-10"/>
          <w:w w:val="105"/>
          <w:sz w:val="21"/>
        </w:rPr>
        <w:t> </w:t>
      </w:r>
      <w:r>
        <w:rPr>
          <w:w w:val="105"/>
          <w:sz w:val="21"/>
        </w:rPr>
        <w:t>no</w:t>
      </w:r>
      <w:r>
        <w:rPr>
          <w:spacing w:val="-10"/>
          <w:w w:val="105"/>
          <w:sz w:val="21"/>
        </w:rPr>
        <w:t> </w:t>
      </w:r>
      <w:r>
        <w:rPr>
          <w:w w:val="105"/>
          <w:sz w:val="21"/>
        </w:rPr>
        <w:t>longer</w:t>
      </w:r>
      <w:r>
        <w:rPr>
          <w:spacing w:val="-10"/>
          <w:w w:val="105"/>
          <w:sz w:val="21"/>
        </w:rPr>
        <w:t> </w:t>
      </w:r>
      <w:r>
        <w:rPr>
          <w:spacing w:val="-3"/>
          <w:w w:val="105"/>
          <w:sz w:val="21"/>
        </w:rPr>
        <w:t>relevant</w:t>
      </w:r>
      <w:r>
        <w:rPr>
          <w:spacing w:val="-9"/>
          <w:w w:val="105"/>
          <w:sz w:val="21"/>
        </w:rPr>
        <w:t> </w:t>
      </w:r>
      <w:r>
        <w:rPr>
          <w:w w:val="105"/>
          <w:sz w:val="21"/>
        </w:rPr>
        <w:t>in</w:t>
      </w:r>
      <w:r>
        <w:rPr>
          <w:spacing w:val="-10"/>
          <w:w w:val="105"/>
          <w:sz w:val="21"/>
        </w:rPr>
        <w:t> </w:t>
      </w:r>
      <w:r>
        <w:rPr>
          <w:w w:val="105"/>
          <w:sz w:val="21"/>
        </w:rPr>
        <w:t>the</w:t>
      </w:r>
      <w:r>
        <w:rPr>
          <w:spacing w:val="-10"/>
          <w:w w:val="105"/>
          <w:sz w:val="21"/>
        </w:rPr>
        <w:t> </w:t>
      </w:r>
      <w:r>
        <w:rPr>
          <w:w w:val="105"/>
          <w:sz w:val="21"/>
        </w:rPr>
        <w:t>circumstances—for</w:t>
      </w:r>
      <w:r>
        <w:rPr>
          <w:spacing w:val="-9"/>
          <w:w w:val="105"/>
          <w:sz w:val="21"/>
        </w:rPr>
        <w:t> </w:t>
      </w:r>
      <w:r>
        <w:rPr>
          <w:spacing w:val="-3"/>
          <w:w w:val="105"/>
          <w:sz w:val="21"/>
        </w:rPr>
        <w:t>example,</w:t>
      </w:r>
      <w:r>
        <w:rPr>
          <w:spacing w:val="-10"/>
          <w:w w:val="105"/>
          <w:sz w:val="21"/>
        </w:rPr>
        <w:t> </w:t>
      </w:r>
      <w:r>
        <w:rPr>
          <w:w w:val="105"/>
          <w:sz w:val="21"/>
        </w:rPr>
        <w:t>where</w:t>
      </w:r>
      <w:r>
        <w:rPr>
          <w:spacing w:val="-10"/>
          <w:w w:val="105"/>
          <w:sz w:val="21"/>
        </w:rPr>
        <w:t> </w:t>
      </w:r>
      <w:r>
        <w:rPr>
          <w:w w:val="105"/>
          <w:sz w:val="21"/>
        </w:rPr>
        <w:t>there</w:t>
      </w:r>
      <w:r>
        <w:rPr>
          <w:spacing w:val="-10"/>
          <w:w w:val="105"/>
          <w:sz w:val="21"/>
        </w:rPr>
        <w:t> </w:t>
      </w:r>
      <w:r>
        <w:rPr>
          <w:w w:val="105"/>
          <w:sz w:val="21"/>
        </w:rPr>
        <w:t>is an</w:t>
      </w:r>
      <w:r>
        <w:rPr>
          <w:spacing w:val="-6"/>
          <w:w w:val="105"/>
          <w:sz w:val="21"/>
        </w:rPr>
        <w:t> </w:t>
      </w:r>
      <w:r>
        <w:rPr>
          <w:w w:val="105"/>
          <w:sz w:val="21"/>
        </w:rPr>
        <w:t>order</w:t>
      </w:r>
      <w:r>
        <w:rPr>
          <w:spacing w:val="-6"/>
          <w:w w:val="105"/>
          <w:sz w:val="21"/>
        </w:rPr>
        <w:t> </w:t>
      </w:r>
      <w:r>
        <w:rPr>
          <w:spacing w:val="-3"/>
          <w:w w:val="105"/>
          <w:sz w:val="21"/>
        </w:rPr>
        <w:t>for</w:t>
      </w:r>
      <w:r>
        <w:rPr>
          <w:spacing w:val="-6"/>
          <w:w w:val="105"/>
          <w:sz w:val="21"/>
        </w:rPr>
        <w:t> </w:t>
      </w:r>
      <w:r>
        <w:rPr>
          <w:spacing w:val="-3"/>
          <w:w w:val="105"/>
          <w:sz w:val="21"/>
        </w:rPr>
        <w:t>ongoing</w:t>
      </w:r>
      <w:r>
        <w:rPr>
          <w:spacing w:val="-6"/>
          <w:w w:val="105"/>
          <w:sz w:val="21"/>
        </w:rPr>
        <w:t> </w:t>
      </w:r>
      <w:r>
        <w:rPr>
          <w:spacing w:val="-3"/>
          <w:w w:val="105"/>
          <w:sz w:val="21"/>
        </w:rPr>
        <w:t>maintenance</w:t>
      </w:r>
      <w:r>
        <w:rPr>
          <w:spacing w:val="-6"/>
          <w:w w:val="105"/>
          <w:sz w:val="21"/>
        </w:rPr>
        <w:t> </w:t>
      </w:r>
      <w:r>
        <w:rPr>
          <w:w w:val="105"/>
          <w:sz w:val="21"/>
        </w:rPr>
        <w:t>of</w:t>
      </w:r>
      <w:r>
        <w:rPr>
          <w:spacing w:val="-6"/>
          <w:w w:val="105"/>
          <w:sz w:val="21"/>
        </w:rPr>
        <w:t> </w:t>
      </w:r>
      <w:r>
        <w:rPr>
          <w:w w:val="105"/>
          <w:sz w:val="21"/>
        </w:rPr>
        <w:t>a</w:t>
      </w:r>
      <w:r>
        <w:rPr>
          <w:spacing w:val="-6"/>
          <w:w w:val="105"/>
          <w:sz w:val="21"/>
        </w:rPr>
        <w:t> </w:t>
      </w:r>
      <w:r>
        <w:rPr>
          <w:w w:val="105"/>
          <w:sz w:val="21"/>
        </w:rPr>
        <w:t>tree</w:t>
      </w:r>
      <w:r>
        <w:rPr>
          <w:spacing w:val="-6"/>
          <w:w w:val="105"/>
          <w:sz w:val="21"/>
        </w:rPr>
        <w:t> </w:t>
      </w:r>
      <w:r>
        <w:rPr>
          <w:w w:val="105"/>
          <w:sz w:val="21"/>
        </w:rPr>
        <w:t>but</w:t>
      </w:r>
      <w:r>
        <w:rPr>
          <w:spacing w:val="-6"/>
          <w:w w:val="105"/>
          <w:sz w:val="21"/>
        </w:rPr>
        <w:t> </w:t>
      </w:r>
      <w:r>
        <w:rPr>
          <w:w w:val="105"/>
          <w:sz w:val="21"/>
        </w:rPr>
        <w:t>the</w:t>
      </w:r>
      <w:r>
        <w:rPr>
          <w:spacing w:val="-6"/>
          <w:w w:val="105"/>
          <w:sz w:val="21"/>
        </w:rPr>
        <w:t> </w:t>
      </w:r>
      <w:r>
        <w:rPr>
          <w:w w:val="105"/>
          <w:sz w:val="21"/>
        </w:rPr>
        <w:t>tree</w:t>
      </w:r>
      <w:r>
        <w:rPr>
          <w:spacing w:val="-5"/>
          <w:w w:val="105"/>
          <w:sz w:val="21"/>
        </w:rPr>
        <w:t> </w:t>
      </w:r>
      <w:r>
        <w:rPr>
          <w:w w:val="105"/>
          <w:sz w:val="21"/>
        </w:rPr>
        <w:t>owner</w:t>
      </w:r>
      <w:r>
        <w:rPr>
          <w:spacing w:val="-6"/>
          <w:w w:val="105"/>
          <w:sz w:val="21"/>
        </w:rPr>
        <w:t> </w:t>
      </w:r>
      <w:r>
        <w:rPr>
          <w:w w:val="105"/>
          <w:sz w:val="21"/>
        </w:rPr>
        <w:t>(or</w:t>
      </w:r>
      <w:r>
        <w:rPr>
          <w:spacing w:val="-6"/>
          <w:w w:val="105"/>
          <w:sz w:val="21"/>
        </w:rPr>
        <w:t> </w:t>
      </w:r>
      <w:r>
        <w:rPr>
          <w:w w:val="105"/>
          <w:sz w:val="21"/>
        </w:rPr>
        <w:t>their</w:t>
      </w:r>
      <w:r>
        <w:rPr>
          <w:spacing w:val="-6"/>
          <w:w w:val="105"/>
          <w:sz w:val="21"/>
        </w:rPr>
        <w:t> </w:t>
      </w:r>
      <w:r>
        <w:rPr>
          <w:spacing w:val="-3"/>
          <w:w w:val="105"/>
          <w:sz w:val="21"/>
        </w:rPr>
        <w:t>successor</w:t>
      </w:r>
      <w:r>
        <w:rPr>
          <w:spacing w:val="-6"/>
          <w:w w:val="105"/>
          <w:sz w:val="21"/>
        </w:rPr>
        <w:t> </w:t>
      </w:r>
      <w:r>
        <w:rPr>
          <w:w w:val="105"/>
          <w:sz w:val="21"/>
        </w:rPr>
        <w:t>in</w:t>
      </w:r>
      <w:r>
        <w:rPr>
          <w:spacing w:val="-6"/>
          <w:w w:val="105"/>
          <w:sz w:val="21"/>
        </w:rPr>
        <w:t> </w:t>
      </w:r>
      <w:r>
        <w:rPr>
          <w:w w:val="105"/>
          <w:sz w:val="21"/>
        </w:rPr>
        <w:t>title) </w:t>
      </w:r>
      <w:r>
        <w:rPr>
          <w:spacing w:val="-3"/>
          <w:w w:val="105"/>
          <w:sz w:val="21"/>
        </w:rPr>
        <w:t>subsequently </w:t>
      </w:r>
      <w:r>
        <w:rPr>
          <w:w w:val="105"/>
          <w:sz w:val="21"/>
        </w:rPr>
        <w:t>decides </w:t>
      </w:r>
      <w:r>
        <w:rPr>
          <w:spacing w:val="-3"/>
          <w:w w:val="105"/>
          <w:sz w:val="21"/>
        </w:rPr>
        <w:t>to remove </w:t>
      </w:r>
      <w:r>
        <w:rPr>
          <w:w w:val="105"/>
          <w:sz w:val="21"/>
        </w:rPr>
        <w:t>the </w:t>
      </w:r>
      <w:r>
        <w:rPr>
          <w:spacing w:val="-3"/>
          <w:w w:val="105"/>
          <w:sz w:val="21"/>
        </w:rPr>
        <w:t>tree. </w:t>
      </w:r>
      <w:r>
        <w:rPr>
          <w:w w:val="105"/>
          <w:sz w:val="21"/>
        </w:rPr>
        <w:t>The tree owner </w:t>
      </w:r>
      <w:r>
        <w:rPr>
          <w:spacing w:val="-3"/>
          <w:w w:val="105"/>
          <w:sz w:val="21"/>
        </w:rPr>
        <w:t>may want to </w:t>
      </w:r>
      <w:r>
        <w:rPr>
          <w:spacing w:val="-4"/>
          <w:w w:val="105"/>
          <w:sz w:val="21"/>
        </w:rPr>
        <w:t>revoke </w:t>
      </w:r>
      <w:r>
        <w:rPr>
          <w:w w:val="105"/>
          <w:sz w:val="21"/>
        </w:rPr>
        <w:t>the order </w:t>
      </w:r>
      <w:r>
        <w:rPr>
          <w:spacing w:val="-3"/>
          <w:w w:val="105"/>
          <w:sz w:val="21"/>
        </w:rPr>
        <w:t>to</w:t>
      </w:r>
      <w:r>
        <w:rPr>
          <w:spacing w:val="-6"/>
          <w:w w:val="105"/>
          <w:sz w:val="21"/>
        </w:rPr>
        <w:t> </w:t>
      </w:r>
      <w:r>
        <w:rPr>
          <w:spacing w:val="-3"/>
          <w:w w:val="105"/>
          <w:sz w:val="21"/>
        </w:rPr>
        <w:t>formally</w:t>
      </w:r>
      <w:r>
        <w:rPr>
          <w:spacing w:val="-5"/>
          <w:w w:val="105"/>
          <w:sz w:val="21"/>
        </w:rPr>
        <w:t> </w:t>
      </w:r>
      <w:r>
        <w:rPr>
          <w:spacing w:val="-3"/>
          <w:w w:val="105"/>
          <w:sz w:val="21"/>
        </w:rPr>
        <w:t>remove</w:t>
      </w:r>
      <w:r>
        <w:rPr>
          <w:spacing w:val="-5"/>
          <w:w w:val="105"/>
          <w:sz w:val="21"/>
        </w:rPr>
        <w:t> </w:t>
      </w:r>
      <w:r>
        <w:rPr>
          <w:w w:val="105"/>
          <w:sz w:val="21"/>
        </w:rPr>
        <w:t>the</w:t>
      </w:r>
      <w:r>
        <w:rPr>
          <w:spacing w:val="-5"/>
          <w:w w:val="105"/>
          <w:sz w:val="21"/>
        </w:rPr>
        <w:t> </w:t>
      </w:r>
      <w:r>
        <w:rPr>
          <w:w w:val="105"/>
          <w:sz w:val="21"/>
        </w:rPr>
        <w:t>payment</w:t>
      </w:r>
      <w:r>
        <w:rPr>
          <w:spacing w:val="-5"/>
          <w:w w:val="105"/>
          <w:sz w:val="21"/>
        </w:rPr>
        <w:t> </w:t>
      </w:r>
      <w:r>
        <w:rPr>
          <w:spacing w:val="-3"/>
          <w:w w:val="105"/>
          <w:sz w:val="21"/>
        </w:rPr>
        <w:t>obligation.</w:t>
      </w:r>
      <w:r>
        <w:rPr>
          <w:spacing w:val="-5"/>
          <w:w w:val="105"/>
          <w:sz w:val="21"/>
        </w:rPr>
        <w:t> </w:t>
      </w:r>
      <w:r>
        <w:rPr>
          <w:spacing w:val="-3"/>
          <w:w w:val="105"/>
          <w:sz w:val="21"/>
        </w:rPr>
        <w:t>Alternatively,</w:t>
      </w:r>
      <w:r>
        <w:rPr>
          <w:spacing w:val="-5"/>
          <w:w w:val="105"/>
          <w:sz w:val="21"/>
        </w:rPr>
        <w:t> </w:t>
      </w:r>
      <w:r>
        <w:rPr>
          <w:w w:val="105"/>
          <w:sz w:val="21"/>
        </w:rPr>
        <w:t>a</w:t>
      </w:r>
      <w:r>
        <w:rPr>
          <w:spacing w:val="-5"/>
          <w:w w:val="105"/>
          <w:sz w:val="21"/>
        </w:rPr>
        <w:t> </w:t>
      </w:r>
      <w:r>
        <w:rPr>
          <w:w w:val="105"/>
          <w:sz w:val="21"/>
        </w:rPr>
        <w:t>vendor</w:t>
      </w:r>
      <w:r>
        <w:rPr>
          <w:spacing w:val="-5"/>
          <w:w w:val="105"/>
          <w:sz w:val="21"/>
        </w:rPr>
        <w:t> </w:t>
      </w:r>
      <w:r>
        <w:rPr>
          <w:spacing w:val="-3"/>
          <w:w w:val="105"/>
          <w:sz w:val="21"/>
        </w:rPr>
        <w:t>may</w:t>
      </w:r>
      <w:r>
        <w:rPr>
          <w:spacing w:val="-5"/>
          <w:w w:val="105"/>
          <w:sz w:val="21"/>
        </w:rPr>
        <w:t> </w:t>
      </w:r>
      <w:r>
        <w:rPr>
          <w:spacing w:val="-3"/>
          <w:w w:val="105"/>
          <w:sz w:val="21"/>
        </w:rPr>
        <w:t>want</w:t>
      </w:r>
      <w:r>
        <w:rPr>
          <w:spacing w:val="-5"/>
          <w:w w:val="105"/>
          <w:sz w:val="21"/>
        </w:rPr>
        <w:t> </w:t>
      </w:r>
      <w:r>
        <w:rPr>
          <w:spacing w:val="-3"/>
          <w:w w:val="105"/>
          <w:sz w:val="21"/>
        </w:rPr>
        <w:t>to</w:t>
      </w:r>
      <w:r>
        <w:rPr>
          <w:spacing w:val="-5"/>
          <w:w w:val="105"/>
          <w:sz w:val="21"/>
        </w:rPr>
        <w:t> </w:t>
      </w:r>
      <w:r>
        <w:rPr>
          <w:spacing w:val="-4"/>
          <w:w w:val="105"/>
          <w:sz w:val="21"/>
        </w:rPr>
        <w:t>revoke</w:t>
      </w:r>
      <w:r>
        <w:rPr>
          <w:spacing w:val="-5"/>
          <w:w w:val="105"/>
          <w:sz w:val="21"/>
        </w:rPr>
        <w:t> </w:t>
      </w:r>
      <w:r>
        <w:rPr>
          <w:w w:val="105"/>
          <w:sz w:val="21"/>
        </w:rPr>
        <w:t>an order </w:t>
      </w:r>
      <w:r>
        <w:rPr>
          <w:spacing w:val="-3"/>
          <w:w w:val="105"/>
          <w:sz w:val="21"/>
        </w:rPr>
        <w:t>for </w:t>
      </w:r>
      <w:r>
        <w:rPr>
          <w:w w:val="105"/>
          <w:sz w:val="21"/>
        </w:rPr>
        <w:t>ongoing </w:t>
      </w:r>
      <w:r>
        <w:rPr>
          <w:spacing w:val="-3"/>
          <w:w w:val="105"/>
          <w:sz w:val="21"/>
        </w:rPr>
        <w:t>maintenance to ensure clear </w:t>
      </w:r>
      <w:r>
        <w:rPr>
          <w:w w:val="105"/>
          <w:sz w:val="21"/>
        </w:rPr>
        <w:t>title </w:t>
      </w:r>
      <w:r>
        <w:rPr>
          <w:spacing w:val="-3"/>
          <w:w w:val="105"/>
          <w:sz w:val="21"/>
        </w:rPr>
        <w:t>before </w:t>
      </w:r>
      <w:r>
        <w:rPr>
          <w:w w:val="105"/>
          <w:sz w:val="21"/>
        </w:rPr>
        <w:t>the sale of a</w:t>
      </w:r>
      <w:r>
        <w:rPr>
          <w:spacing w:val="10"/>
          <w:w w:val="105"/>
          <w:sz w:val="21"/>
        </w:rPr>
        <w:t> </w:t>
      </w:r>
      <w:r>
        <w:rPr>
          <w:w w:val="105"/>
          <w:sz w:val="21"/>
        </w:rPr>
        <w:t>property.</w:t>
      </w:r>
    </w:p>
    <w:p>
      <w:pPr>
        <w:pStyle w:val="ListParagraph"/>
        <w:numPr>
          <w:ilvl w:val="1"/>
          <w:numId w:val="16"/>
        </w:numPr>
        <w:tabs>
          <w:tab w:pos="2380" w:val="left" w:leader="none"/>
          <w:tab w:pos="2382" w:val="left" w:leader="none"/>
        </w:tabs>
        <w:spacing w:line="242" w:lineRule="auto" w:before="132" w:after="0"/>
        <w:ind w:left="2381" w:right="1632" w:hanging="794"/>
        <w:jc w:val="left"/>
        <w:rPr>
          <w:sz w:val="21"/>
        </w:rPr>
      </w:pPr>
      <w:r>
        <w:rPr>
          <w:w w:val="105"/>
          <w:sz w:val="21"/>
        </w:rPr>
        <w:t>These powers should be specified in the new Act </w:t>
      </w:r>
      <w:r>
        <w:rPr>
          <w:spacing w:val="-3"/>
          <w:w w:val="105"/>
          <w:sz w:val="21"/>
        </w:rPr>
        <w:t>rather than relying </w:t>
      </w:r>
      <w:r>
        <w:rPr>
          <w:w w:val="105"/>
          <w:sz w:val="21"/>
        </w:rPr>
        <w:t>on s </w:t>
      </w:r>
      <w:r>
        <w:rPr>
          <w:spacing w:val="-5"/>
          <w:w w:val="105"/>
          <w:sz w:val="21"/>
        </w:rPr>
        <w:t>51(2) </w:t>
      </w:r>
      <w:r>
        <w:rPr>
          <w:w w:val="105"/>
          <w:sz w:val="21"/>
        </w:rPr>
        <w:t>of the </w:t>
      </w:r>
      <w:r>
        <w:rPr>
          <w:spacing w:val="-5"/>
          <w:w w:val="105"/>
          <w:sz w:val="21"/>
        </w:rPr>
        <w:t>VCAT </w:t>
      </w:r>
      <w:r>
        <w:rPr>
          <w:w w:val="105"/>
          <w:sz w:val="21"/>
        </w:rPr>
        <w:t>Act. This </w:t>
      </w:r>
      <w:r>
        <w:rPr>
          <w:spacing w:val="-3"/>
          <w:w w:val="105"/>
          <w:sz w:val="21"/>
        </w:rPr>
        <w:t>provision outlines </w:t>
      </w:r>
      <w:r>
        <w:rPr>
          <w:spacing w:val="-6"/>
          <w:w w:val="105"/>
          <w:sz w:val="21"/>
        </w:rPr>
        <w:t>VCAT’s </w:t>
      </w:r>
      <w:r>
        <w:rPr>
          <w:w w:val="105"/>
          <w:sz w:val="21"/>
        </w:rPr>
        <w:t>powers when </w:t>
      </w:r>
      <w:r>
        <w:rPr>
          <w:spacing w:val="-3"/>
          <w:w w:val="105"/>
          <w:sz w:val="21"/>
        </w:rPr>
        <w:t>reviewing </w:t>
      </w:r>
      <w:r>
        <w:rPr>
          <w:w w:val="105"/>
          <w:sz w:val="21"/>
        </w:rPr>
        <w:t>a decision and </w:t>
      </w:r>
      <w:r>
        <w:rPr>
          <w:spacing w:val="-3"/>
          <w:w w:val="105"/>
          <w:sz w:val="21"/>
        </w:rPr>
        <w:t>will </w:t>
      </w:r>
      <w:r>
        <w:rPr>
          <w:spacing w:val="-2"/>
          <w:w w:val="105"/>
          <w:sz w:val="21"/>
        </w:rPr>
        <w:t>not </w:t>
      </w:r>
      <w:r>
        <w:rPr>
          <w:spacing w:val="-3"/>
          <w:w w:val="105"/>
          <w:sz w:val="21"/>
        </w:rPr>
        <w:t>generally </w:t>
      </w:r>
      <w:r>
        <w:rPr>
          <w:w w:val="105"/>
          <w:sz w:val="21"/>
        </w:rPr>
        <w:t>be applicable </w:t>
      </w:r>
      <w:r>
        <w:rPr>
          <w:spacing w:val="-3"/>
          <w:w w:val="105"/>
          <w:sz w:val="21"/>
        </w:rPr>
        <w:t>to </w:t>
      </w:r>
      <w:r>
        <w:rPr>
          <w:w w:val="105"/>
          <w:sz w:val="21"/>
        </w:rPr>
        <w:t>a </w:t>
      </w:r>
      <w:r>
        <w:rPr>
          <w:spacing w:val="-3"/>
          <w:w w:val="105"/>
          <w:sz w:val="21"/>
        </w:rPr>
        <w:t>situation </w:t>
      </w:r>
      <w:r>
        <w:rPr>
          <w:w w:val="105"/>
          <w:sz w:val="21"/>
        </w:rPr>
        <w:t>where the </w:t>
      </w:r>
      <w:r>
        <w:rPr>
          <w:spacing w:val="-5"/>
          <w:w w:val="105"/>
          <w:sz w:val="21"/>
        </w:rPr>
        <w:t>VCAT </w:t>
      </w:r>
      <w:r>
        <w:rPr>
          <w:w w:val="105"/>
          <w:sz w:val="21"/>
        </w:rPr>
        <w:t>decision </w:t>
      </w:r>
      <w:r>
        <w:rPr>
          <w:spacing w:val="-4"/>
          <w:w w:val="105"/>
          <w:sz w:val="21"/>
        </w:rPr>
        <w:t>maker </w:t>
      </w:r>
      <w:r>
        <w:rPr>
          <w:w w:val="105"/>
          <w:sz w:val="21"/>
        </w:rPr>
        <w:t>is </w:t>
      </w:r>
      <w:r>
        <w:rPr>
          <w:spacing w:val="-3"/>
          <w:w w:val="105"/>
          <w:sz w:val="21"/>
        </w:rPr>
        <w:t>exercising original </w:t>
      </w:r>
      <w:r>
        <w:rPr>
          <w:spacing w:val="-4"/>
          <w:w w:val="105"/>
          <w:sz w:val="21"/>
        </w:rPr>
        <w:t>jurisdiction.</w:t>
      </w:r>
      <w:r>
        <w:rPr>
          <w:spacing w:val="-4"/>
          <w:w w:val="105"/>
          <w:position w:val="7"/>
          <w:sz w:val="12"/>
        </w:rPr>
        <w:t>124 </w:t>
      </w:r>
      <w:r>
        <w:rPr>
          <w:w w:val="105"/>
          <w:sz w:val="21"/>
        </w:rPr>
        <w:t>This is </w:t>
      </w:r>
      <w:r>
        <w:rPr>
          <w:spacing w:val="-3"/>
          <w:w w:val="105"/>
          <w:sz w:val="21"/>
        </w:rPr>
        <w:t>similar to </w:t>
      </w:r>
      <w:r>
        <w:rPr>
          <w:w w:val="105"/>
          <w:sz w:val="21"/>
        </w:rPr>
        <w:t>the approach in the </w:t>
      </w:r>
      <w:r>
        <w:rPr>
          <w:spacing w:val="-4"/>
          <w:w w:val="105"/>
          <w:sz w:val="21"/>
        </w:rPr>
        <w:t>Tasmanian </w:t>
      </w:r>
      <w:r>
        <w:rPr>
          <w:w w:val="105"/>
          <w:sz w:val="21"/>
        </w:rPr>
        <w:t>Act, which provides </w:t>
      </w:r>
      <w:r>
        <w:rPr>
          <w:spacing w:val="-3"/>
          <w:w w:val="105"/>
          <w:sz w:val="21"/>
        </w:rPr>
        <w:t>that </w:t>
      </w:r>
      <w:r>
        <w:rPr>
          <w:w w:val="105"/>
          <w:sz w:val="21"/>
        </w:rPr>
        <w:t>either party </w:t>
      </w:r>
      <w:r>
        <w:rPr>
          <w:spacing w:val="-3"/>
          <w:w w:val="105"/>
          <w:sz w:val="21"/>
        </w:rPr>
        <w:t>to </w:t>
      </w:r>
      <w:r>
        <w:rPr>
          <w:w w:val="105"/>
          <w:sz w:val="21"/>
        </w:rPr>
        <w:t>a tree </w:t>
      </w:r>
      <w:r>
        <w:rPr>
          <w:spacing w:val="-3"/>
          <w:w w:val="105"/>
          <w:sz w:val="21"/>
        </w:rPr>
        <w:t>dispute may </w:t>
      </w:r>
      <w:r>
        <w:rPr>
          <w:w w:val="105"/>
          <w:sz w:val="21"/>
        </w:rPr>
        <w:t>apply </w:t>
      </w:r>
      <w:r>
        <w:rPr>
          <w:spacing w:val="-3"/>
          <w:w w:val="105"/>
          <w:sz w:val="21"/>
        </w:rPr>
        <w:t>to </w:t>
      </w:r>
      <w:r>
        <w:rPr>
          <w:spacing w:val="-6"/>
          <w:w w:val="105"/>
          <w:sz w:val="21"/>
        </w:rPr>
        <w:t>RMPAT </w:t>
      </w:r>
      <w:r>
        <w:rPr>
          <w:spacing w:val="-3"/>
          <w:w w:val="105"/>
          <w:sz w:val="21"/>
        </w:rPr>
        <w:t>for </w:t>
      </w:r>
      <w:r>
        <w:rPr>
          <w:w w:val="105"/>
          <w:sz w:val="21"/>
        </w:rPr>
        <w:t>a </w:t>
      </w:r>
      <w:r>
        <w:rPr>
          <w:spacing w:val="-3"/>
          <w:w w:val="105"/>
          <w:sz w:val="21"/>
        </w:rPr>
        <w:t>variation </w:t>
      </w:r>
      <w:r>
        <w:rPr>
          <w:w w:val="105"/>
          <w:sz w:val="21"/>
        </w:rPr>
        <w:t>or revocation of an </w:t>
      </w:r>
      <w:r>
        <w:rPr>
          <w:spacing w:val="-6"/>
          <w:w w:val="105"/>
          <w:sz w:val="21"/>
        </w:rPr>
        <w:t>order.</w:t>
      </w:r>
      <w:r>
        <w:rPr>
          <w:spacing w:val="-6"/>
          <w:w w:val="105"/>
          <w:position w:val="7"/>
          <w:sz w:val="12"/>
        </w:rPr>
        <w:t>125</w:t>
      </w:r>
    </w:p>
    <w:p>
      <w:pPr>
        <w:pStyle w:val="ListParagraph"/>
        <w:numPr>
          <w:ilvl w:val="1"/>
          <w:numId w:val="16"/>
        </w:numPr>
        <w:tabs>
          <w:tab w:pos="2380" w:val="left" w:leader="none"/>
          <w:tab w:pos="2381" w:val="left" w:leader="none"/>
        </w:tabs>
        <w:spacing w:line="242" w:lineRule="auto" w:before="127" w:after="0"/>
        <w:ind w:left="2380" w:right="1598" w:hanging="793"/>
        <w:jc w:val="left"/>
        <w:rPr>
          <w:sz w:val="21"/>
        </w:rPr>
      </w:pPr>
      <w:r>
        <w:rPr>
          <w:w w:val="105"/>
          <w:sz w:val="21"/>
        </w:rPr>
        <w:t>The </w:t>
      </w:r>
      <w:r>
        <w:rPr>
          <w:spacing w:val="-3"/>
          <w:w w:val="105"/>
          <w:sz w:val="21"/>
        </w:rPr>
        <w:t>Queensland </w:t>
      </w:r>
      <w:r>
        <w:rPr>
          <w:w w:val="105"/>
          <w:sz w:val="21"/>
        </w:rPr>
        <w:t>Act provides </w:t>
      </w:r>
      <w:r>
        <w:rPr>
          <w:spacing w:val="-3"/>
          <w:w w:val="105"/>
          <w:sz w:val="21"/>
        </w:rPr>
        <w:t>that </w:t>
      </w:r>
      <w:r>
        <w:rPr>
          <w:spacing w:val="-4"/>
          <w:w w:val="105"/>
          <w:sz w:val="21"/>
        </w:rPr>
        <w:t>QCAT </w:t>
      </w:r>
      <w:r>
        <w:rPr>
          <w:spacing w:val="-3"/>
          <w:w w:val="105"/>
          <w:sz w:val="21"/>
        </w:rPr>
        <w:t>may </w:t>
      </w:r>
      <w:r>
        <w:rPr>
          <w:spacing w:val="-4"/>
          <w:w w:val="105"/>
          <w:sz w:val="21"/>
        </w:rPr>
        <w:t>revoke </w:t>
      </w:r>
      <w:r>
        <w:rPr>
          <w:w w:val="105"/>
          <w:sz w:val="21"/>
        </w:rPr>
        <w:t>an order by its own motion but does </w:t>
      </w:r>
      <w:r>
        <w:rPr>
          <w:spacing w:val="-2"/>
          <w:w w:val="105"/>
          <w:sz w:val="21"/>
        </w:rPr>
        <w:t>not </w:t>
      </w:r>
      <w:r>
        <w:rPr>
          <w:w w:val="105"/>
          <w:sz w:val="21"/>
        </w:rPr>
        <w:t>provide </w:t>
      </w:r>
      <w:r>
        <w:rPr>
          <w:spacing w:val="-4"/>
          <w:w w:val="105"/>
          <w:sz w:val="21"/>
        </w:rPr>
        <w:t>QCAT </w:t>
      </w:r>
      <w:r>
        <w:rPr>
          <w:w w:val="105"/>
          <w:sz w:val="21"/>
        </w:rPr>
        <w:t>with the </w:t>
      </w:r>
      <w:r>
        <w:rPr>
          <w:spacing w:val="-3"/>
          <w:w w:val="105"/>
          <w:sz w:val="21"/>
        </w:rPr>
        <w:t>right to </w:t>
      </w:r>
      <w:r>
        <w:rPr>
          <w:w w:val="105"/>
          <w:sz w:val="21"/>
        </w:rPr>
        <w:t>vary an </w:t>
      </w:r>
      <w:r>
        <w:rPr>
          <w:spacing w:val="-4"/>
          <w:w w:val="105"/>
          <w:sz w:val="21"/>
        </w:rPr>
        <w:t>order. However, </w:t>
      </w:r>
      <w:r>
        <w:rPr>
          <w:w w:val="105"/>
          <w:sz w:val="21"/>
        </w:rPr>
        <w:t>the </w:t>
      </w:r>
      <w:r>
        <w:rPr>
          <w:spacing w:val="-3"/>
          <w:w w:val="105"/>
          <w:sz w:val="21"/>
        </w:rPr>
        <w:t>Queensland </w:t>
      </w:r>
      <w:r>
        <w:rPr>
          <w:w w:val="105"/>
          <w:sz w:val="21"/>
        </w:rPr>
        <w:t>Act provides </w:t>
      </w:r>
      <w:r>
        <w:rPr>
          <w:spacing w:val="-4"/>
          <w:w w:val="105"/>
          <w:sz w:val="21"/>
        </w:rPr>
        <w:t>QCAT </w:t>
      </w:r>
      <w:r>
        <w:rPr>
          <w:w w:val="105"/>
          <w:sz w:val="21"/>
        </w:rPr>
        <w:t>with the power </w:t>
      </w:r>
      <w:r>
        <w:rPr>
          <w:spacing w:val="-3"/>
          <w:w w:val="105"/>
          <w:sz w:val="21"/>
        </w:rPr>
        <w:t>to </w:t>
      </w:r>
      <w:r>
        <w:rPr>
          <w:w w:val="105"/>
          <w:sz w:val="21"/>
        </w:rPr>
        <w:t>renew its orders where the order </w:t>
      </w:r>
      <w:r>
        <w:rPr>
          <w:spacing w:val="-3"/>
          <w:w w:val="105"/>
          <w:sz w:val="21"/>
        </w:rPr>
        <w:t>cannot </w:t>
      </w:r>
      <w:r>
        <w:rPr>
          <w:w w:val="105"/>
          <w:sz w:val="21"/>
        </w:rPr>
        <w:t>be </w:t>
      </w:r>
      <w:r>
        <w:rPr>
          <w:spacing w:val="-3"/>
          <w:w w:val="105"/>
          <w:sz w:val="21"/>
        </w:rPr>
        <w:t>complied </w:t>
      </w:r>
      <w:r>
        <w:rPr>
          <w:w w:val="105"/>
          <w:sz w:val="21"/>
        </w:rPr>
        <w:t>with </w:t>
      </w:r>
      <w:r>
        <w:rPr>
          <w:spacing w:val="-3"/>
          <w:w w:val="105"/>
          <w:sz w:val="21"/>
        </w:rPr>
        <w:t>due to </w:t>
      </w:r>
      <w:r>
        <w:rPr>
          <w:w w:val="105"/>
          <w:sz w:val="21"/>
        </w:rPr>
        <w:t>difficulties with </w:t>
      </w:r>
      <w:r>
        <w:rPr>
          <w:spacing w:val="-3"/>
          <w:w w:val="105"/>
          <w:sz w:val="21"/>
        </w:rPr>
        <w:t>‘interpreting, implementing </w:t>
      </w:r>
      <w:r>
        <w:rPr>
          <w:w w:val="105"/>
          <w:sz w:val="21"/>
        </w:rPr>
        <w:t>or </w:t>
      </w:r>
      <w:r>
        <w:rPr>
          <w:spacing w:val="-3"/>
          <w:w w:val="105"/>
          <w:sz w:val="21"/>
        </w:rPr>
        <w:t>enforcing’ </w:t>
      </w:r>
      <w:r>
        <w:rPr>
          <w:w w:val="105"/>
          <w:sz w:val="21"/>
        </w:rPr>
        <w:t>the </w:t>
      </w:r>
      <w:r>
        <w:rPr>
          <w:spacing w:val="-6"/>
          <w:w w:val="105"/>
          <w:sz w:val="21"/>
        </w:rPr>
        <w:t>order.</w:t>
      </w:r>
      <w:r>
        <w:rPr>
          <w:spacing w:val="-6"/>
          <w:w w:val="105"/>
          <w:position w:val="7"/>
          <w:sz w:val="12"/>
        </w:rPr>
        <w:t>126 </w:t>
      </w:r>
      <w:r>
        <w:rPr>
          <w:w w:val="105"/>
          <w:sz w:val="21"/>
        </w:rPr>
        <w:t>The effect of</w:t>
      </w:r>
    </w:p>
    <w:p>
      <w:pPr>
        <w:pStyle w:val="BodyText"/>
        <w:spacing w:line="242" w:lineRule="auto" w:before="4"/>
        <w:ind w:left="2381" w:right="1933"/>
        <w:rPr>
          <w:sz w:val="12"/>
        </w:rPr>
      </w:pPr>
      <w:r>
        <w:rPr/>
        <w:t>this </w:t>
      </w:r>
      <w:r>
        <w:rPr>
          <w:spacing w:val="-3"/>
        </w:rPr>
        <w:t>provision </w:t>
      </w:r>
      <w:r>
        <w:rPr/>
        <w:t>is </w:t>
      </w:r>
      <w:r>
        <w:rPr>
          <w:spacing w:val="-3"/>
        </w:rPr>
        <w:t>similar to  that  </w:t>
      </w:r>
      <w:r>
        <w:rPr/>
        <w:t>proposed by the </w:t>
      </w:r>
      <w:r>
        <w:rPr>
          <w:spacing w:val="-3"/>
        </w:rPr>
        <w:t>Commission</w:t>
      </w:r>
      <w:r>
        <w:rPr>
          <w:spacing w:val="41"/>
        </w:rPr>
        <w:t> </w:t>
      </w:r>
      <w:r>
        <w:rPr/>
        <w:t>and in the </w:t>
      </w:r>
      <w:r>
        <w:rPr>
          <w:spacing w:val="-4"/>
        </w:rPr>
        <w:t>Tasmanian  </w:t>
      </w:r>
      <w:r>
        <w:rPr/>
        <w:t>Act— </w:t>
      </w:r>
      <w:r>
        <w:rPr>
          <w:spacing w:val="-3"/>
        </w:rPr>
        <w:t>for  example,  </w:t>
      </w:r>
      <w:r>
        <w:rPr/>
        <w:t>there </w:t>
      </w:r>
      <w:r>
        <w:rPr>
          <w:spacing w:val="-3"/>
        </w:rPr>
        <w:t>may</w:t>
      </w:r>
      <w:r>
        <w:rPr>
          <w:spacing w:val="41"/>
        </w:rPr>
        <w:t> </w:t>
      </w:r>
      <w:r>
        <w:rPr/>
        <w:t>be difficulties </w:t>
      </w:r>
      <w:r>
        <w:rPr>
          <w:spacing w:val="-3"/>
        </w:rPr>
        <w:t>interpreting  </w:t>
      </w:r>
      <w:r>
        <w:rPr/>
        <w:t>the </w:t>
      </w:r>
      <w:r>
        <w:rPr>
          <w:spacing w:val="-3"/>
        </w:rPr>
        <w:t>way  </w:t>
      </w:r>
      <w:r>
        <w:rPr/>
        <w:t>in which the tree is ordered   </w:t>
      </w:r>
      <w:r>
        <w:rPr>
          <w:spacing w:val="-3"/>
        </w:rPr>
        <w:t>to </w:t>
      </w:r>
      <w:r>
        <w:rPr/>
        <w:t>be </w:t>
      </w:r>
      <w:r>
        <w:rPr>
          <w:spacing w:val="-5"/>
        </w:rPr>
        <w:t>pruned.</w:t>
      </w:r>
      <w:r>
        <w:rPr>
          <w:spacing w:val="-5"/>
          <w:position w:val="7"/>
          <w:sz w:val="12"/>
        </w:rPr>
        <w:t>127 </w:t>
      </w:r>
      <w:r>
        <w:rPr/>
        <w:t>A party can apply </w:t>
      </w:r>
      <w:r>
        <w:rPr>
          <w:spacing w:val="-3"/>
        </w:rPr>
        <w:t>for </w:t>
      </w:r>
      <w:r>
        <w:rPr/>
        <w:t>a </w:t>
      </w:r>
      <w:r>
        <w:rPr>
          <w:spacing w:val="-3"/>
        </w:rPr>
        <w:t>renewal  </w:t>
      </w:r>
      <w:r>
        <w:rPr/>
        <w:t>of an order and </w:t>
      </w:r>
      <w:r>
        <w:rPr>
          <w:spacing w:val="-4"/>
        </w:rPr>
        <w:t>‘QCAT  </w:t>
      </w:r>
      <w:r>
        <w:rPr>
          <w:spacing w:val="-3"/>
        </w:rPr>
        <w:t>may  </w:t>
      </w:r>
      <w:r>
        <w:rPr>
          <w:spacing w:val="-4"/>
        </w:rPr>
        <w:t>make  </w:t>
      </w:r>
      <w:r>
        <w:rPr/>
        <w:t>the  same decision or </w:t>
      </w:r>
      <w:r>
        <w:rPr>
          <w:spacing w:val="-3"/>
        </w:rPr>
        <w:t>another </w:t>
      </w:r>
      <w:r>
        <w:rPr/>
        <w:t>decision </w:t>
      </w:r>
      <w:r>
        <w:rPr>
          <w:spacing w:val="-3"/>
        </w:rPr>
        <w:t>that could have </w:t>
      </w:r>
      <w:r>
        <w:rPr/>
        <w:t>been made when the </w:t>
      </w:r>
      <w:r>
        <w:rPr>
          <w:spacing w:val="-3"/>
        </w:rPr>
        <w:t>proceeding </w:t>
      </w:r>
      <w:r>
        <w:rPr/>
        <w:t>was </w:t>
      </w:r>
      <w:r>
        <w:rPr>
          <w:spacing w:val="-3"/>
        </w:rPr>
        <w:t>originally </w:t>
      </w:r>
      <w:r>
        <w:rPr/>
        <w:t>decided. That decision is then </w:t>
      </w:r>
      <w:r>
        <w:rPr>
          <w:spacing w:val="-3"/>
        </w:rPr>
        <w:t>enforceable </w:t>
      </w:r>
      <w:r>
        <w:rPr/>
        <w:t>as a final  decision  of  </w:t>
      </w:r>
      <w:r>
        <w:rPr>
          <w:spacing w:val="-7"/>
        </w:rPr>
        <w:t>QCAT.’</w:t>
      </w:r>
      <w:r>
        <w:rPr>
          <w:spacing w:val="-7"/>
          <w:position w:val="7"/>
          <w:sz w:val="12"/>
        </w:rPr>
        <w:t>128  </w:t>
      </w:r>
      <w:r>
        <w:rPr/>
        <w:t>An order</w:t>
      </w:r>
      <w:r>
        <w:rPr>
          <w:spacing w:val="9"/>
        </w:rPr>
        <w:t> </w:t>
      </w:r>
      <w:r>
        <w:rPr/>
        <w:t>can</w:t>
      </w:r>
      <w:r>
        <w:rPr>
          <w:spacing w:val="9"/>
        </w:rPr>
        <w:t> </w:t>
      </w:r>
      <w:r>
        <w:rPr/>
        <w:t>only</w:t>
      </w:r>
      <w:r>
        <w:rPr>
          <w:spacing w:val="9"/>
        </w:rPr>
        <w:t> </w:t>
      </w:r>
      <w:r>
        <w:rPr/>
        <w:t>be</w:t>
      </w:r>
      <w:r>
        <w:rPr>
          <w:spacing w:val="9"/>
        </w:rPr>
        <w:t> </w:t>
      </w:r>
      <w:r>
        <w:rPr/>
        <w:t>reviewed</w:t>
      </w:r>
      <w:r>
        <w:rPr>
          <w:spacing w:val="9"/>
        </w:rPr>
        <w:t> </w:t>
      </w:r>
      <w:r>
        <w:rPr/>
        <w:t>once</w:t>
      </w:r>
      <w:r>
        <w:rPr>
          <w:spacing w:val="9"/>
        </w:rPr>
        <w:t> </w:t>
      </w:r>
      <w:r>
        <w:rPr/>
        <w:t>under</w:t>
      </w:r>
      <w:r>
        <w:rPr>
          <w:spacing w:val="10"/>
        </w:rPr>
        <w:t> </w:t>
      </w:r>
      <w:r>
        <w:rPr/>
        <w:t>this</w:t>
      </w:r>
      <w:r>
        <w:rPr>
          <w:spacing w:val="9"/>
        </w:rPr>
        <w:t> </w:t>
      </w:r>
      <w:r>
        <w:rPr>
          <w:spacing w:val="-4"/>
        </w:rPr>
        <w:t>division.</w:t>
      </w:r>
      <w:r>
        <w:rPr>
          <w:spacing w:val="-4"/>
          <w:position w:val="7"/>
          <w:sz w:val="12"/>
        </w:rPr>
        <w:t>129</w:t>
      </w:r>
    </w:p>
    <w:p>
      <w:pPr>
        <w:pStyle w:val="ListParagraph"/>
        <w:numPr>
          <w:ilvl w:val="1"/>
          <w:numId w:val="16"/>
        </w:numPr>
        <w:tabs>
          <w:tab w:pos="2380" w:val="left" w:leader="none"/>
          <w:tab w:pos="2382" w:val="left" w:leader="none"/>
        </w:tabs>
        <w:spacing w:line="242" w:lineRule="auto" w:before="127" w:after="0"/>
        <w:ind w:left="2381" w:right="2095" w:hanging="794"/>
        <w:jc w:val="left"/>
        <w:rPr>
          <w:sz w:val="21"/>
        </w:rPr>
      </w:pPr>
      <w:r>
        <w:rPr>
          <w:sz w:val="21"/>
        </w:rPr>
        <w:t>It is important </w:t>
      </w:r>
      <w:r>
        <w:rPr>
          <w:spacing w:val="-3"/>
          <w:sz w:val="21"/>
        </w:rPr>
        <w:t>to limit </w:t>
      </w:r>
      <w:r>
        <w:rPr>
          <w:sz w:val="21"/>
        </w:rPr>
        <w:t>the number of times a party </w:t>
      </w:r>
      <w:r>
        <w:rPr>
          <w:spacing w:val="-3"/>
          <w:sz w:val="21"/>
        </w:rPr>
        <w:t>may </w:t>
      </w:r>
      <w:r>
        <w:rPr>
          <w:sz w:val="21"/>
        </w:rPr>
        <w:t>seek </w:t>
      </w:r>
      <w:r>
        <w:rPr>
          <w:spacing w:val="-3"/>
          <w:sz w:val="21"/>
        </w:rPr>
        <w:t>to  have  </w:t>
      </w:r>
      <w:r>
        <w:rPr>
          <w:sz w:val="21"/>
        </w:rPr>
        <w:t>an order varied or</w:t>
      </w:r>
      <w:r>
        <w:rPr>
          <w:spacing w:val="16"/>
          <w:sz w:val="21"/>
        </w:rPr>
        <w:t> </w:t>
      </w:r>
      <w:r>
        <w:rPr>
          <w:spacing w:val="-3"/>
          <w:sz w:val="21"/>
        </w:rPr>
        <w:t>revoked</w:t>
      </w:r>
      <w:r>
        <w:rPr>
          <w:spacing w:val="17"/>
          <w:sz w:val="21"/>
        </w:rPr>
        <w:t> </w:t>
      </w:r>
      <w:r>
        <w:rPr>
          <w:sz w:val="21"/>
        </w:rPr>
        <w:t>under</w:t>
      </w:r>
      <w:r>
        <w:rPr>
          <w:spacing w:val="16"/>
          <w:sz w:val="21"/>
        </w:rPr>
        <w:t> </w:t>
      </w:r>
      <w:r>
        <w:rPr>
          <w:sz w:val="21"/>
        </w:rPr>
        <w:t>the</w:t>
      </w:r>
      <w:r>
        <w:rPr>
          <w:spacing w:val="17"/>
          <w:sz w:val="21"/>
        </w:rPr>
        <w:t> </w:t>
      </w:r>
      <w:r>
        <w:rPr>
          <w:sz w:val="21"/>
        </w:rPr>
        <w:t>new</w:t>
      </w:r>
      <w:r>
        <w:rPr>
          <w:spacing w:val="17"/>
          <w:sz w:val="21"/>
        </w:rPr>
        <w:t> </w:t>
      </w:r>
      <w:r>
        <w:rPr>
          <w:sz w:val="21"/>
        </w:rPr>
        <w:t>Act</w:t>
      </w:r>
      <w:r>
        <w:rPr>
          <w:spacing w:val="16"/>
          <w:sz w:val="21"/>
        </w:rPr>
        <w:t> </w:t>
      </w:r>
      <w:r>
        <w:rPr>
          <w:spacing w:val="-3"/>
          <w:sz w:val="21"/>
        </w:rPr>
        <w:t>to</w:t>
      </w:r>
      <w:r>
        <w:rPr>
          <w:spacing w:val="17"/>
          <w:sz w:val="21"/>
        </w:rPr>
        <w:t> </w:t>
      </w:r>
      <w:r>
        <w:rPr>
          <w:sz w:val="21"/>
        </w:rPr>
        <w:t>one</w:t>
      </w:r>
      <w:r>
        <w:rPr>
          <w:spacing w:val="16"/>
          <w:sz w:val="21"/>
        </w:rPr>
        <w:t> </w:t>
      </w:r>
      <w:r>
        <w:rPr>
          <w:sz w:val="21"/>
        </w:rPr>
        <w:t>application</w:t>
      </w:r>
      <w:r>
        <w:rPr>
          <w:spacing w:val="17"/>
          <w:sz w:val="21"/>
        </w:rPr>
        <w:t> </w:t>
      </w:r>
      <w:r>
        <w:rPr>
          <w:sz w:val="21"/>
        </w:rPr>
        <w:t>per</w:t>
      </w:r>
      <w:r>
        <w:rPr>
          <w:spacing w:val="17"/>
          <w:sz w:val="21"/>
        </w:rPr>
        <w:t> </w:t>
      </w:r>
      <w:r>
        <w:rPr>
          <w:spacing w:val="-5"/>
          <w:sz w:val="21"/>
        </w:rPr>
        <w:t>year.</w:t>
      </w:r>
      <w:r>
        <w:rPr>
          <w:spacing w:val="16"/>
          <w:sz w:val="21"/>
        </w:rPr>
        <w:t> </w:t>
      </w:r>
      <w:r>
        <w:rPr>
          <w:sz w:val="21"/>
        </w:rPr>
        <w:t>This</w:t>
      </w:r>
      <w:r>
        <w:rPr>
          <w:spacing w:val="17"/>
          <w:sz w:val="21"/>
        </w:rPr>
        <w:t> </w:t>
      </w:r>
      <w:r>
        <w:rPr>
          <w:sz w:val="21"/>
        </w:rPr>
        <w:t>is</w:t>
      </w:r>
      <w:r>
        <w:rPr>
          <w:spacing w:val="16"/>
          <w:sz w:val="21"/>
        </w:rPr>
        <w:t> </w:t>
      </w:r>
      <w:r>
        <w:rPr>
          <w:spacing w:val="-3"/>
          <w:sz w:val="21"/>
        </w:rPr>
        <w:t>consistent</w:t>
      </w:r>
      <w:r>
        <w:rPr>
          <w:spacing w:val="17"/>
          <w:sz w:val="21"/>
        </w:rPr>
        <w:t> </w:t>
      </w:r>
      <w:r>
        <w:rPr>
          <w:sz w:val="21"/>
        </w:rPr>
        <w:t>with</w:t>
      </w:r>
      <w:r>
        <w:rPr>
          <w:spacing w:val="17"/>
          <w:sz w:val="21"/>
        </w:rPr>
        <w:t> </w:t>
      </w:r>
      <w:r>
        <w:rPr>
          <w:sz w:val="21"/>
        </w:rPr>
        <w:t>the</w:t>
      </w:r>
    </w:p>
    <w:p>
      <w:pPr>
        <w:pStyle w:val="BodyText"/>
        <w:spacing w:line="242" w:lineRule="auto" w:before="2"/>
        <w:ind w:left="2381" w:right="1750"/>
        <w:jc w:val="both"/>
      </w:pPr>
      <w:r>
        <w:rPr>
          <w:spacing w:val="-4"/>
          <w:w w:val="105"/>
        </w:rPr>
        <w:t>Commission’s </w:t>
      </w:r>
      <w:r>
        <w:rPr>
          <w:spacing w:val="-3"/>
          <w:w w:val="105"/>
        </w:rPr>
        <w:t>recommendation concerning </w:t>
      </w:r>
      <w:r>
        <w:rPr>
          <w:w w:val="105"/>
        </w:rPr>
        <w:t>damage or </w:t>
      </w:r>
      <w:r>
        <w:rPr>
          <w:spacing w:val="-3"/>
          <w:w w:val="105"/>
        </w:rPr>
        <w:t>harm anticipated to occur within </w:t>
      </w:r>
      <w:r>
        <w:rPr>
          <w:w w:val="105"/>
        </w:rPr>
        <w:t>the </w:t>
      </w:r>
      <w:r>
        <w:rPr>
          <w:spacing w:val="-3"/>
          <w:w w:val="105"/>
        </w:rPr>
        <w:t>following </w:t>
      </w:r>
      <w:r>
        <w:rPr>
          <w:spacing w:val="-9"/>
          <w:w w:val="105"/>
        </w:rPr>
        <w:t>12 </w:t>
      </w:r>
      <w:r>
        <w:rPr>
          <w:spacing w:val="-4"/>
          <w:w w:val="105"/>
        </w:rPr>
        <w:t>months.</w:t>
      </w:r>
      <w:r>
        <w:rPr>
          <w:spacing w:val="-4"/>
          <w:w w:val="105"/>
          <w:position w:val="7"/>
          <w:sz w:val="12"/>
        </w:rPr>
        <w:t>130 </w:t>
      </w:r>
      <w:r>
        <w:rPr>
          <w:w w:val="105"/>
        </w:rPr>
        <w:t>This </w:t>
      </w:r>
      <w:r>
        <w:rPr>
          <w:spacing w:val="-3"/>
          <w:w w:val="105"/>
        </w:rPr>
        <w:t>requirement </w:t>
      </w:r>
      <w:r>
        <w:rPr>
          <w:w w:val="105"/>
        </w:rPr>
        <w:t>should </w:t>
      </w:r>
      <w:r>
        <w:rPr>
          <w:spacing w:val="-3"/>
          <w:w w:val="105"/>
        </w:rPr>
        <w:t>limit </w:t>
      </w:r>
      <w:r>
        <w:rPr>
          <w:w w:val="105"/>
        </w:rPr>
        <w:t>opportunities </w:t>
      </w:r>
      <w:r>
        <w:rPr>
          <w:spacing w:val="-3"/>
          <w:w w:val="105"/>
        </w:rPr>
        <w:t>for </w:t>
      </w:r>
      <w:r>
        <w:rPr>
          <w:w w:val="105"/>
        </w:rPr>
        <w:t>the matter </w:t>
      </w:r>
      <w:r>
        <w:rPr>
          <w:spacing w:val="-3"/>
          <w:w w:val="105"/>
        </w:rPr>
        <w:t>to </w:t>
      </w:r>
      <w:r>
        <w:rPr>
          <w:w w:val="105"/>
        </w:rPr>
        <w:t>be repeatedly </w:t>
      </w:r>
      <w:r>
        <w:rPr>
          <w:spacing w:val="-3"/>
          <w:w w:val="105"/>
        </w:rPr>
        <w:t>revisited </w:t>
      </w:r>
      <w:r>
        <w:rPr>
          <w:w w:val="105"/>
        </w:rPr>
        <w:t>at </w:t>
      </w:r>
      <w:r>
        <w:rPr>
          <w:spacing w:val="-8"/>
          <w:w w:val="105"/>
        </w:rPr>
        <w:t>VCAT.</w:t>
      </w:r>
    </w:p>
    <w:p>
      <w:pPr>
        <w:pStyle w:val="ListParagraph"/>
        <w:numPr>
          <w:ilvl w:val="1"/>
          <w:numId w:val="16"/>
        </w:numPr>
        <w:tabs>
          <w:tab w:pos="2380" w:val="left" w:leader="none"/>
          <w:tab w:pos="2382" w:val="left" w:leader="none"/>
        </w:tabs>
        <w:spacing w:line="242" w:lineRule="auto" w:before="123" w:after="0"/>
        <w:ind w:left="2381" w:right="1611" w:hanging="794"/>
        <w:jc w:val="left"/>
        <w:rPr>
          <w:sz w:val="21"/>
        </w:rPr>
      </w:pPr>
      <w:r>
        <w:rPr>
          <w:w w:val="105"/>
          <w:sz w:val="21"/>
        </w:rPr>
        <w:t>The </w:t>
      </w:r>
      <w:r>
        <w:rPr>
          <w:spacing w:val="-3"/>
          <w:w w:val="105"/>
          <w:sz w:val="21"/>
        </w:rPr>
        <w:t>applicant </w:t>
      </w:r>
      <w:r>
        <w:rPr>
          <w:w w:val="105"/>
          <w:sz w:val="21"/>
        </w:rPr>
        <w:t>would </w:t>
      </w:r>
      <w:r>
        <w:rPr>
          <w:spacing w:val="-3"/>
          <w:w w:val="105"/>
          <w:sz w:val="21"/>
        </w:rPr>
        <w:t>have to </w:t>
      </w:r>
      <w:r>
        <w:rPr>
          <w:w w:val="105"/>
          <w:sz w:val="21"/>
        </w:rPr>
        <w:t>provide </w:t>
      </w:r>
      <w:r>
        <w:rPr>
          <w:spacing w:val="-3"/>
          <w:w w:val="105"/>
          <w:sz w:val="21"/>
        </w:rPr>
        <w:t>notice to </w:t>
      </w:r>
      <w:r>
        <w:rPr>
          <w:w w:val="105"/>
          <w:sz w:val="21"/>
        </w:rPr>
        <w:t>the </w:t>
      </w:r>
      <w:r>
        <w:rPr>
          <w:spacing w:val="-3"/>
          <w:w w:val="105"/>
          <w:sz w:val="21"/>
        </w:rPr>
        <w:t>original </w:t>
      </w:r>
      <w:r>
        <w:rPr>
          <w:w w:val="105"/>
          <w:sz w:val="21"/>
        </w:rPr>
        <w:t>parties </w:t>
      </w:r>
      <w:r>
        <w:rPr>
          <w:spacing w:val="-3"/>
          <w:w w:val="105"/>
          <w:sz w:val="21"/>
        </w:rPr>
        <w:t>to </w:t>
      </w:r>
      <w:r>
        <w:rPr>
          <w:w w:val="105"/>
          <w:sz w:val="21"/>
        </w:rPr>
        <w:t>the </w:t>
      </w:r>
      <w:r>
        <w:rPr>
          <w:spacing w:val="-3"/>
          <w:w w:val="105"/>
          <w:sz w:val="21"/>
        </w:rPr>
        <w:t>dispute </w:t>
      </w:r>
      <w:r>
        <w:rPr>
          <w:w w:val="105"/>
          <w:sz w:val="21"/>
        </w:rPr>
        <w:t>as </w:t>
      </w:r>
      <w:r>
        <w:rPr>
          <w:spacing w:val="-3"/>
          <w:w w:val="105"/>
          <w:sz w:val="21"/>
        </w:rPr>
        <w:t>well </w:t>
      </w:r>
      <w:r>
        <w:rPr>
          <w:w w:val="105"/>
          <w:sz w:val="21"/>
        </w:rPr>
        <w:t>as </w:t>
      </w:r>
      <w:r>
        <w:rPr>
          <w:spacing w:val="-3"/>
          <w:w w:val="105"/>
          <w:sz w:val="21"/>
        </w:rPr>
        <w:t>any </w:t>
      </w:r>
      <w:r>
        <w:rPr>
          <w:w w:val="105"/>
          <w:sz w:val="21"/>
        </w:rPr>
        <w:t>other </w:t>
      </w:r>
      <w:r>
        <w:rPr>
          <w:spacing w:val="-3"/>
          <w:w w:val="105"/>
          <w:sz w:val="21"/>
        </w:rPr>
        <w:t>interested </w:t>
      </w:r>
      <w:r>
        <w:rPr>
          <w:w w:val="105"/>
          <w:sz w:val="21"/>
        </w:rPr>
        <w:t>parties </w:t>
      </w:r>
      <w:r>
        <w:rPr>
          <w:spacing w:val="-3"/>
          <w:w w:val="105"/>
          <w:sz w:val="21"/>
        </w:rPr>
        <w:t>that were </w:t>
      </w:r>
      <w:r>
        <w:rPr>
          <w:w w:val="105"/>
          <w:sz w:val="21"/>
        </w:rPr>
        <w:t>given </w:t>
      </w:r>
      <w:r>
        <w:rPr>
          <w:spacing w:val="-3"/>
          <w:w w:val="105"/>
          <w:sz w:val="21"/>
        </w:rPr>
        <w:t>notice </w:t>
      </w:r>
      <w:r>
        <w:rPr>
          <w:w w:val="105"/>
          <w:sz w:val="21"/>
        </w:rPr>
        <w:t>of the </w:t>
      </w:r>
      <w:r>
        <w:rPr>
          <w:spacing w:val="-3"/>
          <w:w w:val="105"/>
          <w:sz w:val="21"/>
        </w:rPr>
        <w:t>original application. </w:t>
      </w:r>
      <w:r>
        <w:rPr>
          <w:w w:val="105"/>
          <w:sz w:val="21"/>
        </w:rPr>
        <w:t>Successors in title </w:t>
      </w:r>
      <w:r>
        <w:rPr>
          <w:spacing w:val="-3"/>
          <w:w w:val="105"/>
          <w:sz w:val="21"/>
        </w:rPr>
        <w:t>may </w:t>
      </w:r>
      <w:r>
        <w:rPr>
          <w:w w:val="105"/>
          <w:sz w:val="21"/>
        </w:rPr>
        <w:t>also need </w:t>
      </w:r>
      <w:r>
        <w:rPr>
          <w:spacing w:val="-3"/>
          <w:w w:val="105"/>
          <w:sz w:val="21"/>
        </w:rPr>
        <w:t>to </w:t>
      </w:r>
      <w:r>
        <w:rPr>
          <w:w w:val="105"/>
          <w:sz w:val="21"/>
        </w:rPr>
        <w:t>be notified if either of the </w:t>
      </w:r>
      <w:r>
        <w:rPr>
          <w:spacing w:val="-3"/>
          <w:w w:val="105"/>
          <w:sz w:val="21"/>
        </w:rPr>
        <w:t>original </w:t>
      </w:r>
      <w:r>
        <w:rPr>
          <w:w w:val="105"/>
          <w:sz w:val="21"/>
        </w:rPr>
        <w:t>parties sold the</w:t>
      </w:r>
      <w:r>
        <w:rPr>
          <w:spacing w:val="-1"/>
          <w:w w:val="105"/>
          <w:sz w:val="21"/>
        </w:rPr>
        <w:t> </w:t>
      </w:r>
      <w:r>
        <w:rPr>
          <w:spacing w:val="-3"/>
          <w:w w:val="105"/>
          <w:sz w:val="21"/>
        </w:rPr>
        <w:t>land.</w:t>
      </w:r>
    </w:p>
    <w:p>
      <w:pPr>
        <w:pStyle w:val="BodyText"/>
        <w:rPr>
          <w:sz w:val="20"/>
        </w:rPr>
      </w:pPr>
    </w:p>
    <w:p>
      <w:pPr>
        <w:pStyle w:val="BodyText"/>
        <w:rPr>
          <w:sz w:val="20"/>
        </w:rPr>
      </w:pPr>
    </w:p>
    <w:p>
      <w:pPr>
        <w:pStyle w:val="BodyText"/>
        <w:spacing w:before="3"/>
        <w:rPr>
          <w:sz w:val="19"/>
        </w:rPr>
      </w:pPr>
      <w:r>
        <w:rPr/>
        <w:pict>
          <v:line style="position:absolute;mso-position-horizontal-relative:page;mso-position-vertical-relative:paragraph;z-index:8888;mso-wrap-distance-left:0;mso-wrap-distance-right:0" from="79.370102pt,14.222724pt" to="515.905102pt,14.22272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27"/>
        </w:rPr>
      </w:pPr>
    </w:p>
    <w:p>
      <w:pPr>
        <w:spacing w:before="0"/>
        <w:ind w:left="720" w:right="0" w:firstLine="0"/>
        <w:jc w:val="left"/>
        <w:rPr>
          <w:b/>
          <w:sz w:val="24"/>
        </w:rPr>
      </w:pPr>
      <w:r>
        <w:rPr>
          <w:b/>
          <w:color w:val="658464"/>
          <w:w w:val="110"/>
          <w:sz w:val="24"/>
        </w:rPr>
        <w:t>206</w:t>
      </w:r>
    </w:p>
    <w:p>
      <w:pPr>
        <w:pStyle w:val="ListParagraph"/>
        <w:numPr>
          <w:ilvl w:val="0"/>
          <w:numId w:val="149"/>
        </w:numPr>
        <w:tabs>
          <w:tab w:pos="1216" w:val="left" w:leader="none"/>
          <w:tab w:pos="1217" w:val="left" w:leader="none"/>
        </w:tabs>
        <w:spacing w:line="240" w:lineRule="auto" w:before="48" w:after="0"/>
        <w:ind w:left="1216" w:right="0" w:hanging="793"/>
        <w:jc w:val="left"/>
        <w:rPr>
          <w:sz w:val="13"/>
        </w:rPr>
      </w:pPr>
      <w:r>
        <w:rPr>
          <w:w w:val="108"/>
          <w:sz w:val="13"/>
        </w:rPr>
        <w:br w:type="column"/>
      </w:r>
      <w:r>
        <w:rPr>
          <w:w w:val="105"/>
          <w:sz w:val="13"/>
        </w:rPr>
        <w:t>Successors in title are discussed in Ch</w:t>
      </w:r>
      <w:r>
        <w:rPr>
          <w:spacing w:val="1"/>
          <w:w w:val="105"/>
          <w:sz w:val="13"/>
        </w:rPr>
        <w:t> </w:t>
      </w:r>
      <w:r>
        <w:rPr>
          <w:spacing w:val="-6"/>
          <w:w w:val="105"/>
          <w:sz w:val="13"/>
        </w:rPr>
        <w:t>11.</w:t>
      </w:r>
    </w:p>
    <w:p>
      <w:pPr>
        <w:pStyle w:val="ListParagraph"/>
        <w:numPr>
          <w:ilvl w:val="0"/>
          <w:numId w:val="149"/>
        </w:numPr>
        <w:tabs>
          <w:tab w:pos="1216" w:val="left" w:leader="none"/>
          <w:tab w:pos="1217" w:val="left" w:leader="none"/>
        </w:tabs>
        <w:spacing w:line="240" w:lineRule="auto" w:before="1" w:after="0"/>
        <w:ind w:left="1216" w:right="0" w:hanging="793"/>
        <w:jc w:val="left"/>
        <w:rPr>
          <w:sz w:val="13"/>
        </w:rPr>
      </w:pPr>
      <w:r>
        <w:rPr>
          <w:w w:val="105"/>
          <w:sz w:val="13"/>
        </w:rPr>
        <w:t>Section</w:t>
      </w:r>
      <w:r>
        <w:rPr>
          <w:spacing w:val="4"/>
          <w:w w:val="105"/>
          <w:sz w:val="13"/>
        </w:rPr>
        <w:t> </w:t>
      </w:r>
      <w:r>
        <w:rPr>
          <w:w w:val="105"/>
          <w:sz w:val="13"/>
        </w:rPr>
        <w:t>51(2)</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VCAT</w:t>
      </w:r>
      <w:r>
        <w:rPr>
          <w:spacing w:val="5"/>
          <w:w w:val="105"/>
          <w:sz w:val="13"/>
        </w:rPr>
        <w:t> </w:t>
      </w:r>
      <w:r>
        <w:rPr>
          <w:w w:val="105"/>
          <w:sz w:val="13"/>
        </w:rPr>
        <w:t>Act</w:t>
      </w:r>
      <w:r>
        <w:rPr>
          <w:spacing w:val="5"/>
          <w:w w:val="105"/>
          <w:sz w:val="13"/>
        </w:rPr>
        <w:t> </w:t>
      </w:r>
      <w:r>
        <w:rPr>
          <w:w w:val="105"/>
          <w:sz w:val="13"/>
        </w:rPr>
        <w:t>outlines</w:t>
      </w:r>
      <w:r>
        <w:rPr>
          <w:spacing w:val="5"/>
          <w:w w:val="105"/>
          <w:sz w:val="13"/>
        </w:rPr>
        <w:t> </w:t>
      </w:r>
      <w:r>
        <w:rPr>
          <w:w w:val="105"/>
          <w:sz w:val="13"/>
        </w:rPr>
        <w:t>the</w:t>
      </w:r>
      <w:r>
        <w:rPr>
          <w:spacing w:val="5"/>
          <w:w w:val="105"/>
          <w:sz w:val="13"/>
        </w:rPr>
        <w:t> </w:t>
      </w:r>
      <w:r>
        <w:rPr>
          <w:w w:val="105"/>
          <w:sz w:val="13"/>
        </w:rPr>
        <w:t>orders</w:t>
      </w:r>
      <w:r>
        <w:rPr>
          <w:spacing w:val="5"/>
          <w:w w:val="105"/>
          <w:sz w:val="13"/>
        </w:rPr>
        <w:t> </w:t>
      </w:r>
      <w:r>
        <w:rPr>
          <w:w w:val="105"/>
          <w:sz w:val="13"/>
        </w:rPr>
        <w:t>VCAT</w:t>
      </w:r>
      <w:r>
        <w:rPr>
          <w:spacing w:val="5"/>
          <w:w w:val="105"/>
          <w:sz w:val="13"/>
        </w:rPr>
        <w:t> </w:t>
      </w:r>
      <w:r>
        <w:rPr>
          <w:w w:val="105"/>
          <w:sz w:val="13"/>
        </w:rPr>
        <w:t>may</w:t>
      </w:r>
      <w:r>
        <w:rPr>
          <w:spacing w:val="5"/>
          <w:w w:val="105"/>
          <w:sz w:val="13"/>
        </w:rPr>
        <w:t> </w:t>
      </w:r>
      <w:r>
        <w:rPr>
          <w:w w:val="105"/>
          <w:sz w:val="13"/>
        </w:rPr>
        <w:t>make</w:t>
      </w:r>
      <w:r>
        <w:rPr>
          <w:spacing w:val="5"/>
          <w:w w:val="105"/>
          <w:sz w:val="13"/>
        </w:rPr>
        <w:t> </w:t>
      </w:r>
      <w:r>
        <w:rPr>
          <w:w w:val="105"/>
          <w:sz w:val="13"/>
        </w:rPr>
        <w:t>when</w:t>
      </w:r>
      <w:r>
        <w:rPr>
          <w:spacing w:val="5"/>
          <w:w w:val="105"/>
          <w:sz w:val="13"/>
        </w:rPr>
        <w:t> </w:t>
      </w:r>
      <w:r>
        <w:rPr>
          <w:w w:val="105"/>
          <w:sz w:val="13"/>
        </w:rPr>
        <w:t>reviewing</w:t>
      </w:r>
      <w:r>
        <w:rPr>
          <w:spacing w:val="5"/>
          <w:w w:val="105"/>
          <w:sz w:val="13"/>
        </w:rPr>
        <w:t> </w:t>
      </w:r>
      <w:r>
        <w:rPr>
          <w:w w:val="105"/>
          <w:sz w:val="13"/>
        </w:rPr>
        <w:t>a</w:t>
      </w:r>
      <w:r>
        <w:rPr>
          <w:spacing w:val="5"/>
          <w:w w:val="105"/>
          <w:sz w:val="13"/>
        </w:rPr>
        <w:t> </w:t>
      </w:r>
      <w:r>
        <w:rPr>
          <w:w w:val="105"/>
          <w:sz w:val="13"/>
        </w:rPr>
        <w:t>decision.</w:t>
      </w:r>
    </w:p>
    <w:p>
      <w:pPr>
        <w:pStyle w:val="ListParagraph"/>
        <w:numPr>
          <w:ilvl w:val="0"/>
          <w:numId w:val="149"/>
        </w:numPr>
        <w:tabs>
          <w:tab w:pos="1216" w:val="left" w:leader="none"/>
          <w:tab w:pos="1217" w:val="left" w:leader="none"/>
        </w:tabs>
        <w:spacing w:line="240" w:lineRule="auto" w:before="2" w:after="0"/>
        <w:ind w:left="1217" w:right="0" w:hanging="794"/>
        <w:jc w:val="left"/>
        <w:rPr>
          <w:sz w:val="13"/>
        </w:rPr>
      </w:pPr>
      <w:r>
        <w:rPr>
          <w:i/>
          <w:w w:val="105"/>
          <w:sz w:val="13"/>
        </w:rPr>
        <w:t>Neighbourhood Disputes About Plants Act </w:t>
      </w:r>
      <w:r>
        <w:rPr>
          <w:i/>
          <w:spacing w:val="-4"/>
          <w:w w:val="105"/>
          <w:sz w:val="13"/>
        </w:rPr>
        <w:t>2017 </w:t>
      </w:r>
      <w:r>
        <w:rPr>
          <w:w w:val="105"/>
          <w:sz w:val="13"/>
        </w:rPr>
        <w:t>(Tas) ss </w:t>
      </w:r>
      <w:r>
        <w:rPr>
          <w:spacing w:val="2"/>
          <w:w w:val="105"/>
          <w:sz w:val="13"/>
        </w:rPr>
        <w:t>36(1),</w:t>
      </w:r>
      <w:r>
        <w:rPr>
          <w:spacing w:val="20"/>
          <w:w w:val="105"/>
          <w:sz w:val="13"/>
        </w:rPr>
        <w:t> </w:t>
      </w:r>
      <w:r>
        <w:rPr>
          <w:spacing w:val="3"/>
          <w:w w:val="105"/>
          <w:sz w:val="13"/>
        </w:rPr>
        <w:t>(6).</w:t>
      </w:r>
    </w:p>
    <w:p>
      <w:pPr>
        <w:pStyle w:val="ListParagraph"/>
        <w:numPr>
          <w:ilvl w:val="0"/>
          <w:numId w:val="149"/>
        </w:numPr>
        <w:tabs>
          <w:tab w:pos="1216" w:val="left" w:leader="none"/>
          <w:tab w:pos="1217" w:val="left" w:leader="none"/>
        </w:tabs>
        <w:spacing w:line="240" w:lineRule="auto" w:before="1" w:after="0"/>
        <w:ind w:left="1217" w:right="1599" w:hanging="794"/>
        <w:jc w:val="left"/>
        <w:rPr>
          <w:sz w:val="13"/>
        </w:rPr>
      </w:pPr>
      <w:r>
        <w:rPr>
          <w:i/>
          <w:w w:val="105"/>
          <w:sz w:val="13"/>
        </w:rPr>
        <w:t>Queensland Civil and Administrative Tribunal Act 2009 </w:t>
      </w:r>
      <w:r>
        <w:rPr>
          <w:spacing w:val="2"/>
          <w:w w:val="105"/>
          <w:sz w:val="13"/>
        </w:rPr>
        <w:t>(Qld) </w:t>
      </w:r>
      <w:r>
        <w:rPr>
          <w:w w:val="105"/>
          <w:sz w:val="13"/>
        </w:rPr>
        <w:t>s </w:t>
      </w:r>
      <w:r>
        <w:rPr>
          <w:spacing w:val="3"/>
          <w:w w:val="105"/>
          <w:sz w:val="13"/>
        </w:rPr>
        <w:t>133(1)(a)–(b); </w:t>
      </w:r>
      <w:r>
        <w:rPr>
          <w:i/>
          <w:w w:val="105"/>
          <w:sz w:val="13"/>
        </w:rPr>
        <w:t>Queensland Civil and Administrative Tribunal, Renewal of   </w:t>
      </w:r>
      <w:r>
        <w:rPr>
          <w:i/>
          <w:w w:val="105"/>
          <w:sz w:val="13"/>
        </w:rPr>
        <w:t>QCAT’s Final Decision </w:t>
      </w:r>
      <w:r>
        <w:rPr>
          <w:w w:val="105"/>
          <w:sz w:val="13"/>
        </w:rPr>
        <w:t>(Web Page, 26 May 2017) </w:t>
      </w:r>
      <w:r>
        <w:rPr>
          <w:spacing w:val="2"/>
          <w:w w:val="105"/>
          <w:sz w:val="13"/>
        </w:rPr>
        <w:t>&lt;https://</w:t>
      </w:r>
      <w:hyperlink r:id="rId241">
        <w:r>
          <w:rPr>
            <w:spacing w:val="2"/>
            <w:w w:val="105"/>
            <w:sz w:val="13"/>
          </w:rPr>
          <w:t>www.qcat.qld.gov.au/qcat-decisions/enforcing-a-qcat-decision/renewal-of-qcats-</w:t>
        </w:r>
      </w:hyperlink>
      <w:r>
        <w:rPr>
          <w:spacing w:val="2"/>
          <w:w w:val="105"/>
          <w:sz w:val="13"/>
        </w:rPr>
        <w:t> </w:t>
      </w:r>
      <w:r>
        <w:rPr>
          <w:w w:val="105"/>
          <w:sz w:val="13"/>
        </w:rPr>
        <w:t>final-decision&gt;.</w:t>
      </w:r>
    </w:p>
    <w:p>
      <w:pPr>
        <w:pStyle w:val="ListParagraph"/>
        <w:numPr>
          <w:ilvl w:val="0"/>
          <w:numId w:val="149"/>
        </w:numPr>
        <w:tabs>
          <w:tab w:pos="1216" w:val="left" w:leader="none"/>
          <w:tab w:pos="1217" w:val="left" w:leader="none"/>
        </w:tabs>
        <w:spacing w:line="240" w:lineRule="auto" w:before="4" w:after="0"/>
        <w:ind w:left="1217" w:right="0" w:hanging="794"/>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149"/>
        </w:numPr>
        <w:tabs>
          <w:tab w:pos="1217" w:val="left" w:leader="none"/>
          <w:tab w:pos="1218" w:val="left" w:leader="none"/>
        </w:tabs>
        <w:spacing w:line="240" w:lineRule="auto" w:before="1" w:after="0"/>
        <w:ind w:left="1217" w:right="1761" w:hanging="794"/>
        <w:jc w:val="left"/>
        <w:rPr>
          <w:sz w:val="13"/>
        </w:rPr>
      </w:pPr>
      <w:r>
        <w:rPr>
          <w:i/>
          <w:w w:val="105"/>
          <w:sz w:val="13"/>
        </w:rPr>
        <w:t>Queensland Civil and Administrative Tribunal Act 2009 </w:t>
      </w:r>
      <w:r>
        <w:rPr>
          <w:spacing w:val="2"/>
          <w:w w:val="105"/>
          <w:sz w:val="13"/>
        </w:rPr>
        <w:t>(Qld) </w:t>
      </w:r>
      <w:r>
        <w:rPr>
          <w:w w:val="105"/>
          <w:sz w:val="13"/>
        </w:rPr>
        <w:t>s 134; </w:t>
      </w:r>
      <w:r>
        <w:rPr>
          <w:i/>
          <w:w w:val="105"/>
          <w:sz w:val="13"/>
        </w:rPr>
        <w:t>Queensland Civil and Administrative Tribunal, Renewal of QCAT’s       </w:t>
      </w:r>
      <w:r>
        <w:rPr>
          <w:i/>
          <w:w w:val="105"/>
          <w:sz w:val="13"/>
        </w:rPr>
        <w:t>Final Decision </w:t>
      </w:r>
      <w:r>
        <w:rPr>
          <w:w w:val="105"/>
          <w:sz w:val="13"/>
        </w:rPr>
        <w:t>(Web Page, 26 May 2017) </w:t>
      </w:r>
      <w:r>
        <w:rPr>
          <w:spacing w:val="2"/>
          <w:w w:val="105"/>
          <w:sz w:val="13"/>
        </w:rPr>
        <w:t>&lt;https://</w:t>
      </w:r>
      <w:hyperlink r:id="rId242">
        <w:r>
          <w:rPr>
            <w:spacing w:val="2"/>
            <w:w w:val="105"/>
            <w:sz w:val="13"/>
          </w:rPr>
          <w:t>www.qcat.qld.gov.au/qcat-decisions/enforcing-a-qcat-decision/renewal-of-qcats-final-</w:t>
        </w:r>
      </w:hyperlink>
      <w:r>
        <w:rPr>
          <w:spacing w:val="2"/>
          <w:w w:val="105"/>
          <w:sz w:val="13"/>
        </w:rPr>
        <w:t> </w:t>
      </w:r>
      <w:r>
        <w:rPr>
          <w:w w:val="105"/>
          <w:sz w:val="13"/>
        </w:rPr>
        <w:t>decision&gt;.</w:t>
      </w:r>
    </w:p>
    <w:p>
      <w:pPr>
        <w:pStyle w:val="ListParagraph"/>
        <w:numPr>
          <w:ilvl w:val="0"/>
          <w:numId w:val="149"/>
        </w:numPr>
        <w:tabs>
          <w:tab w:pos="1217" w:val="left" w:leader="none"/>
          <w:tab w:pos="1218" w:val="left" w:leader="none"/>
        </w:tabs>
        <w:spacing w:line="240" w:lineRule="auto" w:before="4" w:after="0"/>
        <w:ind w:left="1217" w:right="0" w:hanging="794"/>
        <w:jc w:val="left"/>
        <w:rPr>
          <w:sz w:val="13"/>
        </w:rPr>
      </w:pPr>
      <w:r>
        <w:rPr>
          <w:i/>
          <w:w w:val="105"/>
          <w:sz w:val="13"/>
        </w:rPr>
        <w:t>Queensland</w:t>
      </w:r>
      <w:r>
        <w:rPr>
          <w:i/>
          <w:spacing w:val="4"/>
          <w:w w:val="105"/>
          <w:sz w:val="13"/>
        </w:rPr>
        <w:t> </w:t>
      </w:r>
      <w:r>
        <w:rPr>
          <w:i/>
          <w:w w:val="105"/>
          <w:sz w:val="13"/>
        </w:rPr>
        <w:t>Civil</w:t>
      </w:r>
      <w:r>
        <w:rPr>
          <w:i/>
          <w:spacing w:val="5"/>
          <w:w w:val="105"/>
          <w:sz w:val="13"/>
        </w:rPr>
        <w:t> </w:t>
      </w:r>
      <w:r>
        <w:rPr>
          <w:i/>
          <w:w w:val="105"/>
          <w:sz w:val="13"/>
        </w:rPr>
        <w:t>and</w:t>
      </w:r>
      <w:r>
        <w:rPr>
          <w:i/>
          <w:spacing w:val="5"/>
          <w:w w:val="105"/>
          <w:sz w:val="13"/>
        </w:rPr>
        <w:t> </w:t>
      </w:r>
      <w:r>
        <w:rPr>
          <w:i/>
          <w:w w:val="105"/>
          <w:sz w:val="13"/>
        </w:rPr>
        <w:t>Administrative</w:t>
      </w:r>
      <w:r>
        <w:rPr>
          <w:i/>
          <w:spacing w:val="4"/>
          <w:w w:val="105"/>
          <w:sz w:val="13"/>
        </w:rPr>
        <w:t> </w:t>
      </w:r>
      <w:r>
        <w:rPr>
          <w:i/>
          <w:w w:val="105"/>
          <w:sz w:val="13"/>
        </w:rPr>
        <w:t>Tribunal</w:t>
      </w:r>
      <w:r>
        <w:rPr>
          <w:i/>
          <w:spacing w:val="5"/>
          <w:w w:val="105"/>
          <w:sz w:val="13"/>
        </w:rPr>
        <w:t> </w:t>
      </w:r>
      <w:r>
        <w:rPr>
          <w:i/>
          <w:w w:val="105"/>
          <w:sz w:val="13"/>
        </w:rPr>
        <w:t>Act</w:t>
      </w:r>
      <w:r>
        <w:rPr>
          <w:i/>
          <w:spacing w:val="5"/>
          <w:w w:val="105"/>
          <w:sz w:val="13"/>
        </w:rPr>
        <w:t> </w:t>
      </w:r>
      <w:r>
        <w:rPr>
          <w:i/>
          <w:w w:val="105"/>
          <w:sz w:val="13"/>
        </w:rPr>
        <w:t>2009</w:t>
      </w:r>
      <w:r>
        <w:rPr>
          <w:i/>
          <w:spacing w:val="5"/>
          <w:w w:val="105"/>
          <w:sz w:val="13"/>
        </w:rPr>
        <w:t> </w:t>
      </w:r>
      <w:r>
        <w:rPr>
          <w:spacing w:val="2"/>
          <w:w w:val="105"/>
          <w:sz w:val="13"/>
        </w:rPr>
        <w:t>(Qld)</w:t>
      </w:r>
      <w:r>
        <w:rPr>
          <w:spacing w:val="4"/>
          <w:w w:val="105"/>
          <w:sz w:val="13"/>
        </w:rPr>
        <w:t> </w:t>
      </w:r>
      <w:r>
        <w:rPr>
          <w:w w:val="105"/>
          <w:sz w:val="13"/>
        </w:rPr>
        <w:t>s</w:t>
      </w:r>
      <w:r>
        <w:rPr>
          <w:spacing w:val="5"/>
          <w:w w:val="105"/>
          <w:sz w:val="13"/>
        </w:rPr>
        <w:t> </w:t>
      </w:r>
      <w:r>
        <w:rPr>
          <w:spacing w:val="2"/>
          <w:w w:val="105"/>
          <w:sz w:val="13"/>
        </w:rPr>
        <w:t>134(4).</w:t>
      </w:r>
    </w:p>
    <w:p>
      <w:pPr>
        <w:pStyle w:val="ListParagraph"/>
        <w:numPr>
          <w:ilvl w:val="0"/>
          <w:numId w:val="149"/>
        </w:numPr>
        <w:tabs>
          <w:tab w:pos="1217" w:val="left" w:leader="none"/>
          <w:tab w:pos="1218" w:val="left" w:leader="none"/>
        </w:tabs>
        <w:spacing w:line="240" w:lineRule="auto" w:before="2" w:after="0"/>
        <w:ind w:left="1217" w:right="0" w:hanging="794"/>
        <w:jc w:val="left"/>
        <w:rPr>
          <w:sz w:val="13"/>
        </w:rPr>
      </w:pPr>
      <w:r>
        <w:rPr>
          <w:w w:val="105"/>
          <w:sz w:val="13"/>
        </w:rPr>
        <w:t>See</w:t>
      </w:r>
      <w:r>
        <w:rPr>
          <w:spacing w:val="4"/>
          <w:w w:val="105"/>
          <w:sz w:val="13"/>
        </w:rPr>
        <w:t> </w:t>
      </w:r>
      <w:r>
        <w:rPr>
          <w:w w:val="105"/>
          <w:sz w:val="13"/>
        </w:rPr>
        <w:t>Ch</w:t>
      </w:r>
      <w:r>
        <w:rPr>
          <w:spacing w:val="5"/>
          <w:w w:val="105"/>
          <w:sz w:val="13"/>
        </w:rPr>
        <w:t> </w:t>
      </w:r>
      <w:r>
        <w:rPr>
          <w:w w:val="105"/>
          <w:sz w:val="13"/>
        </w:rPr>
        <w:t>5</w:t>
      </w:r>
      <w:r>
        <w:rPr>
          <w:spacing w:val="5"/>
          <w:w w:val="105"/>
          <w:sz w:val="13"/>
        </w:rPr>
        <w:t> </w:t>
      </w:r>
      <w:r>
        <w:rPr>
          <w:w w:val="105"/>
          <w:sz w:val="13"/>
        </w:rPr>
        <w:t>for</w:t>
      </w:r>
      <w:r>
        <w:rPr>
          <w:spacing w:val="5"/>
          <w:w w:val="105"/>
          <w:sz w:val="13"/>
        </w:rPr>
        <w:t> </w:t>
      </w:r>
      <w:r>
        <w:rPr>
          <w:w w:val="105"/>
          <w:sz w:val="13"/>
        </w:rPr>
        <w:t>more</w:t>
      </w:r>
      <w:r>
        <w:rPr>
          <w:spacing w:val="5"/>
          <w:w w:val="105"/>
          <w:sz w:val="13"/>
        </w:rPr>
        <w:t> </w:t>
      </w:r>
      <w:r>
        <w:rPr>
          <w:w w:val="105"/>
          <w:sz w:val="13"/>
        </w:rPr>
        <w:t>information</w:t>
      </w:r>
      <w:r>
        <w:rPr>
          <w:spacing w:val="5"/>
          <w:w w:val="105"/>
          <w:sz w:val="13"/>
        </w:rPr>
        <w:t> </w:t>
      </w:r>
      <w:r>
        <w:rPr>
          <w:w w:val="105"/>
          <w:sz w:val="13"/>
        </w:rPr>
        <w:t>about</w:t>
      </w:r>
      <w:r>
        <w:rPr>
          <w:spacing w:val="4"/>
          <w:w w:val="105"/>
          <w:sz w:val="13"/>
        </w:rPr>
        <w:t> </w:t>
      </w:r>
      <w:r>
        <w:rPr>
          <w:w w:val="105"/>
          <w:sz w:val="13"/>
        </w:rPr>
        <w:t>the</w:t>
      </w:r>
      <w:r>
        <w:rPr>
          <w:spacing w:val="5"/>
          <w:w w:val="105"/>
          <w:sz w:val="13"/>
        </w:rPr>
        <w:t> </w:t>
      </w:r>
      <w:r>
        <w:rPr>
          <w:w w:val="105"/>
          <w:sz w:val="13"/>
        </w:rPr>
        <w:t>recommended</w:t>
      </w:r>
      <w:r>
        <w:rPr>
          <w:spacing w:val="5"/>
          <w:w w:val="105"/>
          <w:sz w:val="13"/>
        </w:rPr>
        <w:t> </w:t>
      </w:r>
      <w:r>
        <w:rPr>
          <w:w w:val="105"/>
          <w:sz w:val="13"/>
        </w:rPr>
        <w:t>causes</w:t>
      </w:r>
      <w:r>
        <w:rPr>
          <w:spacing w:val="5"/>
          <w:w w:val="105"/>
          <w:sz w:val="13"/>
        </w:rPr>
        <w:t> </w:t>
      </w:r>
      <w:r>
        <w:rPr>
          <w:w w:val="105"/>
          <w:sz w:val="13"/>
        </w:rPr>
        <w:t>of</w:t>
      </w:r>
      <w:r>
        <w:rPr>
          <w:spacing w:val="5"/>
          <w:w w:val="105"/>
          <w:sz w:val="13"/>
        </w:rPr>
        <w:t> </w:t>
      </w:r>
      <w:r>
        <w:rPr>
          <w:w w:val="105"/>
          <w:sz w:val="13"/>
        </w:rPr>
        <w:t>action</w:t>
      </w:r>
      <w:r>
        <w:rPr>
          <w:spacing w:val="5"/>
          <w:w w:val="105"/>
          <w:sz w:val="13"/>
        </w:rPr>
        <w:t> </w:t>
      </w:r>
      <w:r>
        <w:rPr>
          <w:w w:val="105"/>
          <w:sz w:val="13"/>
        </w:rPr>
        <w:t>under</w:t>
      </w:r>
      <w:r>
        <w:rPr>
          <w:spacing w:val="4"/>
          <w:w w:val="105"/>
          <w:sz w:val="13"/>
        </w:rPr>
        <w:t> </w:t>
      </w:r>
      <w:r>
        <w:rPr>
          <w:w w:val="105"/>
          <w:sz w:val="13"/>
        </w:rPr>
        <w:t>the</w:t>
      </w:r>
      <w:r>
        <w:rPr>
          <w:spacing w:val="5"/>
          <w:w w:val="105"/>
          <w:sz w:val="13"/>
        </w:rPr>
        <w:t> </w:t>
      </w:r>
      <w:r>
        <w:rPr>
          <w:w w:val="105"/>
          <w:sz w:val="13"/>
        </w:rPr>
        <w:t>new</w:t>
      </w:r>
      <w:r>
        <w:rPr>
          <w:spacing w:val="5"/>
          <w:w w:val="105"/>
          <w:sz w:val="13"/>
        </w:rPr>
        <w:t> </w:t>
      </w:r>
      <w:r>
        <w:rPr>
          <w:w w:val="105"/>
          <w:sz w:val="13"/>
        </w:rPr>
        <w:t>Act.</w:t>
      </w:r>
    </w:p>
    <w:p>
      <w:pPr>
        <w:spacing w:after="0" w:line="240" w:lineRule="auto"/>
        <w:jc w:val="left"/>
        <w:rPr>
          <w:sz w:val="13"/>
        </w:rPr>
        <w:sectPr>
          <w:type w:val="continuous"/>
          <w:pgSz w:w="11910" w:h="16840"/>
          <w:pgMar w:top="300" w:bottom="280" w:left="0" w:right="0"/>
          <w:cols w:num="2" w:equalWidth="0">
            <w:col w:w="1125" w:space="40"/>
            <w:col w:w="10745"/>
          </w:cols>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2153" w:hanging="794"/>
        <w:jc w:val="left"/>
        <w:rPr>
          <w:sz w:val="21"/>
        </w:rPr>
      </w:pPr>
      <w:bookmarkStart w:name="Enforcement of orders" w:id="237"/>
      <w:bookmarkEnd w:id="237"/>
      <w:r>
        <w:rPr/>
      </w:r>
      <w:bookmarkStart w:name="_bookmark113" w:id="238"/>
      <w:bookmarkEnd w:id="238"/>
      <w:r>
        <w:rPr/>
      </w:r>
      <w:bookmarkStart w:name="_bookmark113" w:id="239"/>
      <w:bookmarkEnd w:id="239"/>
      <w:r>
        <w:rPr>
          <w:sz w:val="21"/>
        </w:rPr>
        <w:t>W</w:t>
      </w:r>
      <w:r>
        <w:rPr>
          <w:sz w:val="21"/>
        </w:rPr>
        <w:t>here </w:t>
      </w:r>
      <w:r>
        <w:rPr>
          <w:spacing w:val="-3"/>
          <w:sz w:val="21"/>
        </w:rPr>
        <w:t>circumstances change such that </w:t>
      </w:r>
      <w:r>
        <w:rPr>
          <w:sz w:val="21"/>
        </w:rPr>
        <w:t>there is an </w:t>
      </w:r>
      <w:r>
        <w:rPr>
          <w:spacing w:val="-3"/>
          <w:sz w:val="21"/>
        </w:rPr>
        <w:t>entirely </w:t>
      </w:r>
      <w:r>
        <w:rPr>
          <w:sz w:val="21"/>
        </w:rPr>
        <w:t>new set of </w:t>
      </w:r>
      <w:r>
        <w:rPr>
          <w:spacing w:val="-3"/>
          <w:sz w:val="21"/>
        </w:rPr>
        <w:t>circumstances that were </w:t>
      </w:r>
      <w:r>
        <w:rPr>
          <w:spacing w:val="-2"/>
          <w:sz w:val="21"/>
        </w:rPr>
        <w:t>not </w:t>
      </w:r>
      <w:r>
        <w:rPr>
          <w:spacing w:val="-3"/>
          <w:sz w:val="21"/>
        </w:rPr>
        <w:t>considered </w:t>
      </w:r>
      <w:r>
        <w:rPr>
          <w:sz w:val="21"/>
        </w:rPr>
        <w:t>in an </w:t>
      </w:r>
      <w:r>
        <w:rPr>
          <w:spacing w:val="-3"/>
          <w:sz w:val="21"/>
        </w:rPr>
        <w:t>original </w:t>
      </w:r>
      <w:r>
        <w:rPr>
          <w:sz w:val="21"/>
        </w:rPr>
        <w:t>application or </w:t>
      </w:r>
      <w:r>
        <w:rPr>
          <w:spacing w:val="-4"/>
          <w:sz w:val="21"/>
        </w:rPr>
        <w:t>order, </w:t>
      </w:r>
      <w:r>
        <w:rPr>
          <w:sz w:val="21"/>
        </w:rPr>
        <w:t>or where new</w:t>
      </w:r>
      <w:r>
        <w:rPr>
          <w:spacing w:val="2"/>
          <w:sz w:val="21"/>
        </w:rPr>
        <w:t> </w:t>
      </w:r>
      <w:r>
        <w:rPr>
          <w:sz w:val="21"/>
        </w:rPr>
        <w:t>evidence</w:t>
      </w:r>
    </w:p>
    <w:p>
      <w:pPr>
        <w:pStyle w:val="BodyText"/>
        <w:spacing w:line="242" w:lineRule="auto" w:before="3"/>
        <w:ind w:left="2381" w:right="1599"/>
      </w:pPr>
      <w:r>
        <w:rPr>
          <w:w w:val="105"/>
        </w:rPr>
        <w:t>becomes </w:t>
      </w:r>
      <w:r>
        <w:rPr>
          <w:spacing w:val="-3"/>
          <w:w w:val="105"/>
        </w:rPr>
        <w:t>available, </w:t>
      </w:r>
      <w:r>
        <w:rPr>
          <w:w w:val="105"/>
        </w:rPr>
        <w:t>the </w:t>
      </w:r>
      <w:r>
        <w:rPr>
          <w:spacing w:val="-3"/>
          <w:w w:val="105"/>
        </w:rPr>
        <w:t>applicant </w:t>
      </w:r>
      <w:r>
        <w:rPr>
          <w:w w:val="105"/>
        </w:rPr>
        <w:t>would need </w:t>
      </w:r>
      <w:r>
        <w:rPr>
          <w:spacing w:val="-3"/>
          <w:w w:val="105"/>
        </w:rPr>
        <w:t>to commence </w:t>
      </w:r>
      <w:r>
        <w:rPr>
          <w:w w:val="105"/>
        </w:rPr>
        <w:t>a new matter in </w:t>
      </w:r>
      <w:r>
        <w:rPr>
          <w:spacing w:val="-8"/>
          <w:w w:val="105"/>
        </w:rPr>
        <w:t>VCAT. </w:t>
      </w:r>
      <w:r>
        <w:rPr>
          <w:w w:val="105"/>
        </w:rPr>
        <w:t>A new application would be needed if there is evidence </w:t>
      </w:r>
      <w:r>
        <w:rPr>
          <w:spacing w:val="-3"/>
          <w:w w:val="105"/>
        </w:rPr>
        <w:t>that </w:t>
      </w:r>
      <w:r>
        <w:rPr>
          <w:w w:val="105"/>
        </w:rPr>
        <w:t>the </w:t>
      </w:r>
      <w:r>
        <w:rPr>
          <w:spacing w:val="-3"/>
          <w:w w:val="105"/>
        </w:rPr>
        <w:t>health </w:t>
      </w:r>
      <w:r>
        <w:rPr>
          <w:w w:val="105"/>
        </w:rPr>
        <w:t>of a tree </w:t>
      </w:r>
      <w:r>
        <w:rPr>
          <w:spacing w:val="-2"/>
          <w:w w:val="105"/>
        </w:rPr>
        <w:t>has </w:t>
      </w:r>
      <w:r>
        <w:rPr>
          <w:w w:val="105"/>
        </w:rPr>
        <w:t>declined </w:t>
      </w:r>
      <w:r>
        <w:rPr>
          <w:spacing w:val="-3"/>
          <w:w w:val="105"/>
        </w:rPr>
        <w:t>since </w:t>
      </w:r>
      <w:r>
        <w:rPr>
          <w:w w:val="105"/>
        </w:rPr>
        <w:t>the </w:t>
      </w:r>
      <w:r>
        <w:rPr>
          <w:spacing w:val="-3"/>
          <w:w w:val="105"/>
        </w:rPr>
        <w:t>original application, such that </w:t>
      </w:r>
      <w:r>
        <w:rPr>
          <w:w w:val="105"/>
        </w:rPr>
        <w:t>there is </w:t>
      </w:r>
      <w:r>
        <w:rPr>
          <w:spacing w:val="-3"/>
          <w:w w:val="105"/>
        </w:rPr>
        <w:t>greater </w:t>
      </w:r>
      <w:r>
        <w:rPr>
          <w:w w:val="105"/>
        </w:rPr>
        <w:t>support </w:t>
      </w:r>
      <w:r>
        <w:rPr>
          <w:spacing w:val="-3"/>
          <w:w w:val="105"/>
        </w:rPr>
        <w:t>for </w:t>
      </w:r>
      <w:r>
        <w:rPr>
          <w:w w:val="105"/>
        </w:rPr>
        <w:t>an </w:t>
      </w:r>
      <w:r>
        <w:rPr>
          <w:spacing w:val="-3"/>
          <w:w w:val="105"/>
        </w:rPr>
        <w:t>applicant’s claim that </w:t>
      </w:r>
      <w:r>
        <w:rPr>
          <w:w w:val="105"/>
        </w:rPr>
        <w:t>the tree </w:t>
      </w:r>
      <w:r>
        <w:rPr>
          <w:spacing w:val="-3"/>
          <w:w w:val="105"/>
        </w:rPr>
        <w:t>may </w:t>
      </w:r>
      <w:r>
        <w:rPr>
          <w:w w:val="105"/>
        </w:rPr>
        <w:t>cause damage or </w:t>
      </w:r>
      <w:r>
        <w:rPr>
          <w:spacing w:val="-3"/>
          <w:w w:val="105"/>
        </w:rPr>
        <w:t>harm. </w:t>
      </w:r>
      <w:r>
        <w:rPr>
          <w:w w:val="105"/>
        </w:rPr>
        <w:t>Another example </w:t>
      </w:r>
      <w:r>
        <w:rPr>
          <w:spacing w:val="-3"/>
          <w:w w:val="105"/>
        </w:rPr>
        <w:t>may </w:t>
      </w:r>
      <w:r>
        <w:rPr>
          <w:w w:val="105"/>
        </w:rPr>
        <w:t>be where a tree grows a new </w:t>
      </w:r>
      <w:r>
        <w:rPr>
          <w:spacing w:val="-3"/>
          <w:w w:val="105"/>
        </w:rPr>
        <w:t>branch, </w:t>
      </w:r>
      <w:r>
        <w:rPr>
          <w:spacing w:val="-2"/>
          <w:w w:val="105"/>
        </w:rPr>
        <w:t>not </w:t>
      </w:r>
      <w:r>
        <w:rPr>
          <w:spacing w:val="-3"/>
          <w:w w:val="105"/>
        </w:rPr>
        <w:t>contemplated </w:t>
      </w:r>
      <w:r>
        <w:rPr>
          <w:w w:val="105"/>
        </w:rPr>
        <w:t>in the </w:t>
      </w:r>
      <w:r>
        <w:rPr>
          <w:spacing w:val="-3"/>
          <w:w w:val="105"/>
        </w:rPr>
        <w:t>original application, </w:t>
      </w:r>
      <w:r>
        <w:rPr>
          <w:w w:val="105"/>
        </w:rPr>
        <w:t>which </w:t>
      </w:r>
      <w:r>
        <w:rPr>
          <w:spacing w:val="-3"/>
          <w:w w:val="105"/>
        </w:rPr>
        <w:t>overhangs neighbouring land </w:t>
      </w:r>
      <w:r>
        <w:rPr>
          <w:w w:val="105"/>
        </w:rPr>
        <w:t>and </w:t>
      </w:r>
      <w:r>
        <w:rPr>
          <w:spacing w:val="-3"/>
          <w:w w:val="105"/>
        </w:rPr>
        <w:t>may </w:t>
      </w:r>
      <w:r>
        <w:rPr>
          <w:w w:val="105"/>
        </w:rPr>
        <w:t>cause </w:t>
      </w:r>
      <w:r>
        <w:rPr>
          <w:spacing w:val="-3"/>
          <w:w w:val="105"/>
        </w:rPr>
        <w:t>future </w:t>
      </w:r>
      <w:r>
        <w:rPr>
          <w:w w:val="105"/>
        </w:rPr>
        <w:t>damage or </w:t>
      </w:r>
      <w:r>
        <w:rPr>
          <w:spacing w:val="-3"/>
          <w:w w:val="105"/>
        </w:rPr>
        <w:t>harm.</w:t>
      </w:r>
    </w:p>
    <w:p>
      <w:pPr>
        <w:pStyle w:val="BodyText"/>
        <w:spacing w:before="6"/>
        <w:rPr>
          <w:sz w:val="25"/>
        </w:rPr>
      </w:pPr>
    </w:p>
    <w:p>
      <w:pPr>
        <w:pStyle w:val="Heading3"/>
      </w:pPr>
      <w:r>
        <w:rPr/>
        <w:pict>
          <v:group style="position:absolute;margin-left:62.362202pt;margin-top:-3.353415pt;width:479.1pt;height:327.4pt;mso-position-horizontal-relative:page;mso-position-vertical-relative:paragraph;z-index:-448120" coordorigin="1247,-67" coordsize="9582,6548">
            <v:rect style="position:absolute;left:1587;top:-68;width:8731;height:6548" filled="true" fillcolor="#dbe0dd" stroked="false">
              <v:fill type="solid"/>
            </v:rect>
            <v:line style="position:absolute" from="1247,680" to="10828,680" stroked="true" strokeweight="2.5pt" strokecolor="#ffffff">
              <v:stroke dashstyle="solid"/>
            </v:line>
            <w10:wrap type="none"/>
          </v:group>
        </w:pict>
      </w:r>
      <w:r>
        <w:rPr>
          <w:color w:val="658464"/>
          <w:w w:val="110"/>
        </w:rPr>
        <w:t>Recommendations</w:t>
      </w:r>
    </w:p>
    <w:p>
      <w:pPr>
        <w:pStyle w:val="BodyText"/>
        <w:rPr>
          <w:b/>
          <w:sz w:val="35"/>
        </w:rPr>
      </w:pPr>
    </w:p>
    <w:p>
      <w:pPr>
        <w:pStyle w:val="ListParagraph"/>
        <w:numPr>
          <w:ilvl w:val="1"/>
          <w:numId w:val="149"/>
        </w:numPr>
        <w:tabs>
          <w:tab w:pos="2380" w:val="left" w:leader="none"/>
          <w:tab w:pos="2381" w:val="left" w:leader="none"/>
        </w:tabs>
        <w:spacing w:line="242" w:lineRule="auto" w:before="0" w:after="0"/>
        <w:ind w:left="2380" w:right="1859" w:hanging="566"/>
        <w:jc w:val="left"/>
        <w:rPr>
          <w:sz w:val="21"/>
        </w:rPr>
      </w:pPr>
      <w:r>
        <w:rPr>
          <w:w w:val="110"/>
          <w:sz w:val="21"/>
        </w:rPr>
        <w:t>Where new circumstances are not accommodated in the original </w:t>
      </w:r>
      <w:r>
        <w:rPr>
          <w:spacing w:val="-3"/>
          <w:w w:val="110"/>
          <w:sz w:val="21"/>
        </w:rPr>
        <w:t>order, </w:t>
      </w:r>
      <w:r>
        <w:rPr>
          <w:w w:val="110"/>
          <w:sz w:val="21"/>
        </w:rPr>
        <w:t>the Act should</w:t>
      </w:r>
      <w:r>
        <w:rPr>
          <w:spacing w:val="14"/>
          <w:w w:val="110"/>
          <w:sz w:val="21"/>
        </w:rPr>
        <w:t> </w:t>
      </w:r>
      <w:r>
        <w:rPr>
          <w:spacing w:val="-3"/>
          <w:w w:val="110"/>
          <w:sz w:val="21"/>
        </w:rPr>
        <w:t>allow</w:t>
      </w:r>
      <w:r>
        <w:rPr>
          <w:spacing w:val="15"/>
          <w:w w:val="110"/>
          <w:sz w:val="21"/>
        </w:rPr>
        <w:t> </w:t>
      </w:r>
      <w:r>
        <w:rPr>
          <w:w w:val="110"/>
          <w:sz w:val="21"/>
        </w:rPr>
        <w:t>the</w:t>
      </w:r>
      <w:r>
        <w:rPr>
          <w:spacing w:val="15"/>
          <w:w w:val="110"/>
          <w:sz w:val="21"/>
        </w:rPr>
        <w:t> </w:t>
      </w:r>
      <w:r>
        <w:rPr>
          <w:w w:val="110"/>
          <w:sz w:val="21"/>
        </w:rPr>
        <w:t>tree</w:t>
      </w:r>
      <w:r>
        <w:rPr>
          <w:spacing w:val="14"/>
          <w:w w:val="110"/>
          <w:sz w:val="21"/>
        </w:rPr>
        <w:t> </w:t>
      </w:r>
      <w:r>
        <w:rPr>
          <w:w w:val="110"/>
          <w:sz w:val="21"/>
        </w:rPr>
        <w:t>owner</w:t>
      </w:r>
      <w:r>
        <w:rPr>
          <w:spacing w:val="15"/>
          <w:w w:val="110"/>
          <w:sz w:val="21"/>
        </w:rPr>
        <w:t> </w:t>
      </w:r>
      <w:r>
        <w:rPr>
          <w:w w:val="110"/>
          <w:sz w:val="21"/>
        </w:rPr>
        <w:t>or</w:t>
      </w:r>
      <w:r>
        <w:rPr>
          <w:spacing w:val="15"/>
          <w:w w:val="110"/>
          <w:sz w:val="21"/>
        </w:rPr>
        <w:t> </w:t>
      </w:r>
      <w:r>
        <w:rPr>
          <w:w w:val="110"/>
          <w:sz w:val="21"/>
        </w:rPr>
        <w:t>affected</w:t>
      </w:r>
      <w:r>
        <w:rPr>
          <w:spacing w:val="15"/>
          <w:w w:val="110"/>
          <w:sz w:val="21"/>
        </w:rPr>
        <w:t> </w:t>
      </w:r>
      <w:r>
        <w:rPr>
          <w:w w:val="110"/>
          <w:sz w:val="21"/>
        </w:rPr>
        <w:t>neighbour</w:t>
      </w:r>
      <w:r>
        <w:rPr>
          <w:spacing w:val="14"/>
          <w:w w:val="110"/>
          <w:sz w:val="21"/>
        </w:rPr>
        <w:t> </w:t>
      </w:r>
      <w:r>
        <w:rPr>
          <w:w w:val="110"/>
          <w:sz w:val="21"/>
        </w:rPr>
        <w:t>or</w:t>
      </w:r>
      <w:r>
        <w:rPr>
          <w:spacing w:val="15"/>
          <w:w w:val="110"/>
          <w:sz w:val="21"/>
        </w:rPr>
        <w:t> </w:t>
      </w:r>
      <w:r>
        <w:rPr>
          <w:w w:val="110"/>
          <w:sz w:val="21"/>
        </w:rPr>
        <w:t>immediate</w:t>
      </w:r>
      <w:r>
        <w:rPr>
          <w:spacing w:val="15"/>
          <w:w w:val="110"/>
          <w:sz w:val="21"/>
        </w:rPr>
        <w:t> </w:t>
      </w:r>
      <w:r>
        <w:rPr>
          <w:w w:val="110"/>
          <w:sz w:val="21"/>
        </w:rPr>
        <w:t>successors</w:t>
      </w:r>
    </w:p>
    <w:p>
      <w:pPr>
        <w:pStyle w:val="BodyText"/>
        <w:spacing w:line="242" w:lineRule="auto" w:before="2"/>
        <w:ind w:left="2380" w:right="1636"/>
      </w:pPr>
      <w:r>
        <w:rPr>
          <w:w w:val="115"/>
        </w:rPr>
        <w:t>in title to apply to the Victorian Civil and Administrative Tribunal to vary or revoke the original order.</w:t>
      </w:r>
    </w:p>
    <w:p>
      <w:pPr>
        <w:pStyle w:val="ListParagraph"/>
        <w:numPr>
          <w:ilvl w:val="1"/>
          <w:numId w:val="149"/>
        </w:numPr>
        <w:tabs>
          <w:tab w:pos="2380" w:val="left" w:leader="none"/>
          <w:tab w:pos="2381" w:val="left" w:leader="none"/>
        </w:tabs>
        <w:spacing w:line="242" w:lineRule="auto" w:before="123" w:after="0"/>
        <w:ind w:left="2380" w:right="2232" w:hanging="567"/>
        <w:jc w:val="left"/>
        <w:rPr>
          <w:sz w:val="21"/>
        </w:rPr>
      </w:pPr>
      <w:r>
        <w:rPr>
          <w:w w:val="115"/>
          <w:sz w:val="21"/>
        </w:rPr>
        <w:t>The</w:t>
      </w:r>
      <w:r>
        <w:rPr>
          <w:spacing w:val="-7"/>
          <w:w w:val="115"/>
          <w:sz w:val="21"/>
        </w:rPr>
        <w:t> </w:t>
      </w:r>
      <w:r>
        <w:rPr>
          <w:w w:val="115"/>
          <w:sz w:val="21"/>
        </w:rPr>
        <w:t>Victorian</w:t>
      </w:r>
      <w:r>
        <w:rPr>
          <w:spacing w:val="-7"/>
          <w:w w:val="115"/>
          <w:sz w:val="21"/>
        </w:rPr>
        <w:t> </w:t>
      </w:r>
      <w:r>
        <w:rPr>
          <w:w w:val="115"/>
          <w:sz w:val="21"/>
        </w:rPr>
        <w:t>Civil</w:t>
      </w:r>
      <w:r>
        <w:rPr>
          <w:spacing w:val="-7"/>
          <w:w w:val="115"/>
          <w:sz w:val="21"/>
        </w:rPr>
        <w:t> </w:t>
      </w:r>
      <w:r>
        <w:rPr>
          <w:w w:val="115"/>
          <w:sz w:val="21"/>
        </w:rPr>
        <w:t>and</w:t>
      </w:r>
      <w:r>
        <w:rPr>
          <w:spacing w:val="-7"/>
          <w:w w:val="115"/>
          <w:sz w:val="21"/>
        </w:rPr>
        <w:t> </w:t>
      </w:r>
      <w:r>
        <w:rPr>
          <w:w w:val="115"/>
          <w:sz w:val="21"/>
        </w:rPr>
        <w:t>Administrative</w:t>
      </w:r>
      <w:r>
        <w:rPr>
          <w:spacing w:val="-7"/>
          <w:w w:val="115"/>
          <w:sz w:val="21"/>
        </w:rPr>
        <w:t> </w:t>
      </w:r>
      <w:r>
        <w:rPr>
          <w:spacing w:val="-4"/>
          <w:w w:val="115"/>
          <w:sz w:val="21"/>
        </w:rPr>
        <w:t>Tribunal’s</w:t>
      </w:r>
      <w:r>
        <w:rPr>
          <w:spacing w:val="-7"/>
          <w:w w:val="115"/>
          <w:sz w:val="21"/>
        </w:rPr>
        <w:t> </w:t>
      </w:r>
      <w:r>
        <w:rPr>
          <w:w w:val="115"/>
          <w:sz w:val="21"/>
        </w:rPr>
        <w:t>powers</w:t>
      </w:r>
      <w:r>
        <w:rPr>
          <w:spacing w:val="-7"/>
          <w:w w:val="115"/>
          <w:sz w:val="21"/>
        </w:rPr>
        <w:t> </w:t>
      </w:r>
      <w:r>
        <w:rPr>
          <w:w w:val="115"/>
          <w:sz w:val="21"/>
        </w:rPr>
        <w:t>in</w:t>
      </w:r>
      <w:r>
        <w:rPr>
          <w:spacing w:val="-6"/>
          <w:w w:val="115"/>
          <w:sz w:val="21"/>
        </w:rPr>
        <w:t> </w:t>
      </w:r>
      <w:r>
        <w:rPr>
          <w:w w:val="115"/>
          <w:sz w:val="21"/>
        </w:rPr>
        <w:t>determining</w:t>
      </w:r>
      <w:r>
        <w:rPr>
          <w:spacing w:val="-7"/>
          <w:w w:val="115"/>
          <w:sz w:val="21"/>
        </w:rPr>
        <w:t> </w:t>
      </w:r>
      <w:r>
        <w:rPr>
          <w:w w:val="115"/>
          <w:sz w:val="21"/>
        </w:rPr>
        <w:t>the application to vary or </w:t>
      </w:r>
      <w:r>
        <w:rPr>
          <w:spacing w:val="-3"/>
          <w:w w:val="115"/>
          <w:sz w:val="21"/>
        </w:rPr>
        <w:t>revoke </w:t>
      </w:r>
      <w:r>
        <w:rPr>
          <w:w w:val="115"/>
          <w:sz w:val="21"/>
        </w:rPr>
        <w:t>the order should be stated in the Act as the power to:</w:t>
      </w:r>
    </w:p>
    <w:p>
      <w:pPr>
        <w:pStyle w:val="ListParagraph"/>
        <w:numPr>
          <w:ilvl w:val="2"/>
          <w:numId w:val="149"/>
        </w:numPr>
        <w:tabs>
          <w:tab w:pos="2947" w:val="left" w:leader="none"/>
          <w:tab w:pos="2948" w:val="left" w:leader="none"/>
        </w:tabs>
        <w:spacing w:line="240" w:lineRule="auto" w:before="123" w:after="0"/>
        <w:ind w:left="2947" w:right="0" w:hanging="567"/>
        <w:jc w:val="left"/>
        <w:rPr>
          <w:sz w:val="21"/>
        </w:rPr>
      </w:pPr>
      <w:r>
        <w:rPr>
          <w:w w:val="115"/>
          <w:sz w:val="21"/>
        </w:rPr>
        <w:t>affirm the original</w:t>
      </w:r>
      <w:r>
        <w:rPr>
          <w:spacing w:val="2"/>
          <w:w w:val="115"/>
          <w:sz w:val="21"/>
        </w:rPr>
        <w:t> </w:t>
      </w:r>
      <w:r>
        <w:rPr>
          <w:w w:val="115"/>
          <w:sz w:val="21"/>
        </w:rPr>
        <w:t>order</w:t>
      </w:r>
    </w:p>
    <w:p>
      <w:pPr>
        <w:pStyle w:val="ListParagraph"/>
        <w:numPr>
          <w:ilvl w:val="2"/>
          <w:numId w:val="149"/>
        </w:numPr>
        <w:tabs>
          <w:tab w:pos="2947" w:val="left" w:leader="none"/>
          <w:tab w:pos="2948" w:val="left" w:leader="none"/>
        </w:tabs>
        <w:spacing w:line="242" w:lineRule="auto" w:before="124" w:after="0"/>
        <w:ind w:left="2947" w:right="2076" w:hanging="567"/>
        <w:jc w:val="left"/>
        <w:rPr>
          <w:sz w:val="21"/>
        </w:rPr>
      </w:pPr>
      <w:r>
        <w:rPr>
          <w:w w:val="115"/>
          <w:sz w:val="21"/>
        </w:rPr>
        <w:t>vary the original order by altering the terms of the order or by substituting</w:t>
      </w:r>
      <w:r>
        <w:rPr>
          <w:spacing w:val="-8"/>
          <w:w w:val="115"/>
          <w:sz w:val="21"/>
        </w:rPr>
        <w:t> </w:t>
      </w:r>
      <w:r>
        <w:rPr>
          <w:spacing w:val="-2"/>
          <w:w w:val="115"/>
          <w:sz w:val="21"/>
        </w:rPr>
        <w:t>any</w:t>
      </w:r>
      <w:r>
        <w:rPr>
          <w:spacing w:val="-7"/>
          <w:w w:val="115"/>
          <w:sz w:val="21"/>
        </w:rPr>
        <w:t> </w:t>
      </w:r>
      <w:r>
        <w:rPr>
          <w:w w:val="115"/>
          <w:sz w:val="21"/>
        </w:rPr>
        <w:t>other</w:t>
      </w:r>
      <w:r>
        <w:rPr>
          <w:spacing w:val="-7"/>
          <w:w w:val="115"/>
          <w:sz w:val="21"/>
        </w:rPr>
        <w:t> </w:t>
      </w:r>
      <w:r>
        <w:rPr>
          <w:w w:val="115"/>
          <w:sz w:val="21"/>
        </w:rPr>
        <w:t>order</w:t>
      </w:r>
      <w:r>
        <w:rPr>
          <w:spacing w:val="-7"/>
          <w:w w:val="115"/>
          <w:sz w:val="21"/>
        </w:rPr>
        <w:t> </w:t>
      </w:r>
      <w:r>
        <w:rPr>
          <w:w w:val="115"/>
          <w:sz w:val="21"/>
        </w:rPr>
        <w:t>that</w:t>
      </w:r>
      <w:r>
        <w:rPr>
          <w:spacing w:val="-7"/>
          <w:w w:val="115"/>
          <w:sz w:val="21"/>
        </w:rPr>
        <w:t> </w:t>
      </w:r>
      <w:r>
        <w:rPr>
          <w:w w:val="115"/>
          <w:sz w:val="21"/>
        </w:rPr>
        <w:t>the</w:t>
      </w:r>
      <w:r>
        <w:rPr>
          <w:spacing w:val="-7"/>
          <w:w w:val="115"/>
          <w:sz w:val="21"/>
        </w:rPr>
        <w:t> </w:t>
      </w:r>
      <w:r>
        <w:rPr>
          <w:w w:val="115"/>
          <w:sz w:val="21"/>
        </w:rPr>
        <w:t>Victorian</w:t>
      </w:r>
      <w:r>
        <w:rPr>
          <w:spacing w:val="-8"/>
          <w:w w:val="115"/>
          <w:sz w:val="21"/>
        </w:rPr>
        <w:t> </w:t>
      </w:r>
      <w:r>
        <w:rPr>
          <w:w w:val="115"/>
          <w:sz w:val="21"/>
        </w:rPr>
        <w:t>Civil</w:t>
      </w:r>
      <w:r>
        <w:rPr>
          <w:spacing w:val="-7"/>
          <w:w w:val="115"/>
          <w:sz w:val="21"/>
        </w:rPr>
        <w:t> </w:t>
      </w:r>
      <w:r>
        <w:rPr>
          <w:w w:val="115"/>
          <w:sz w:val="21"/>
        </w:rPr>
        <w:t>and</w:t>
      </w:r>
      <w:r>
        <w:rPr>
          <w:spacing w:val="-7"/>
          <w:w w:val="115"/>
          <w:sz w:val="21"/>
        </w:rPr>
        <w:t> </w:t>
      </w:r>
      <w:r>
        <w:rPr>
          <w:w w:val="115"/>
          <w:sz w:val="21"/>
        </w:rPr>
        <w:t>Administrative </w:t>
      </w:r>
      <w:r>
        <w:rPr>
          <w:spacing w:val="-4"/>
          <w:w w:val="115"/>
          <w:sz w:val="21"/>
        </w:rPr>
        <w:t>Tribunal </w:t>
      </w:r>
      <w:r>
        <w:rPr>
          <w:w w:val="115"/>
          <w:sz w:val="21"/>
        </w:rPr>
        <w:t>may </w:t>
      </w:r>
      <w:r>
        <w:rPr>
          <w:spacing w:val="-3"/>
          <w:w w:val="115"/>
          <w:sz w:val="21"/>
        </w:rPr>
        <w:t>make </w:t>
      </w:r>
      <w:r>
        <w:rPr>
          <w:w w:val="115"/>
          <w:sz w:val="21"/>
        </w:rPr>
        <w:t>under the new</w:t>
      </w:r>
      <w:r>
        <w:rPr>
          <w:spacing w:val="11"/>
          <w:w w:val="115"/>
          <w:sz w:val="21"/>
        </w:rPr>
        <w:t> </w:t>
      </w:r>
      <w:r>
        <w:rPr>
          <w:w w:val="115"/>
          <w:sz w:val="21"/>
        </w:rPr>
        <w:t>Act</w:t>
      </w:r>
    </w:p>
    <w:p>
      <w:pPr>
        <w:pStyle w:val="ListParagraph"/>
        <w:numPr>
          <w:ilvl w:val="2"/>
          <w:numId w:val="149"/>
        </w:numPr>
        <w:tabs>
          <w:tab w:pos="2947" w:val="left" w:leader="none"/>
          <w:tab w:pos="2948" w:val="left" w:leader="none"/>
        </w:tabs>
        <w:spacing w:line="240" w:lineRule="auto" w:before="123" w:after="0"/>
        <w:ind w:left="2947" w:right="0" w:hanging="567"/>
        <w:jc w:val="left"/>
        <w:rPr>
          <w:sz w:val="21"/>
        </w:rPr>
      </w:pPr>
      <w:r>
        <w:rPr>
          <w:spacing w:val="-3"/>
          <w:w w:val="115"/>
          <w:sz w:val="21"/>
        </w:rPr>
        <w:t>revoke </w:t>
      </w:r>
      <w:r>
        <w:rPr>
          <w:w w:val="115"/>
          <w:sz w:val="21"/>
        </w:rPr>
        <w:t>an existing</w:t>
      </w:r>
      <w:r>
        <w:rPr>
          <w:spacing w:val="5"/>
          <w:w w:val="115"/>
          <w:sz w:val="21"/>
        </w:rPr>
        <w:t> </w:t>
      </w:r>
      <w:r>
        <w:rPr>
          <w:spacing w:val="-4"/>
          <w:w w:val="115"/>
          <w:sz w:val="21"/>
        </w:rPr>
        <w:t>order.</w:t>
      </w:r>
    </w:p>
    <w:p>
      <w:pPr>
        <w:pStyle w:val="ListParagraph"/>
        <w:numPr>
          <w:ilvl w:val="1"/>
          <w:numId w:val="149"/>
        </w:numPr>
        <w:tabs>
          <w:tab w:pos="2380" w:val="left" w:leader="none"/>
          <w:tab w:pos="2381" w:val="left" w:leader="none"/>
        </w:tabs>
        <w:spacing w:line="242" w:lineRule="auto" w:before="124" w:after="0"/>
        <w:ind w:left="2380" w:right="1881" w:hanging="567"/>
        <w:jc w:val="left"/>
        <w:rPr>
          <w:sz w:val="21"/>
        </w:rPr>
      </w:pPr>
      <w:r>
        <w:rPr>
          <w:w w:val="115"/>
          <w:sz w:val="21"/>
        </w:rPr>
        <w:t>The applicant should provide notice in writing of the application to vary or </w:t>
      </w:r>
      <w:r>
        <w:rPr>
          <w:spacing w:val="-3"/>
          <w:w w:val="115"/>
          <w:sz w:val="21"/>
        </w:rPr>
        <w:t>revoke </w:t>
      </w:r>
      <w:r>
        <w:rPr>
          <w:w w:val="115"/>
          <w:sz w:val="21"/>
        </w:rPr>
        <w:t>the original order to the original parties to the dispute as well as </w:t>
      </w:r>
      <w:r>
        <w:rPr>
          <w:spacing w:val="-2"/>
          <w:w w:val="115"/>
          <w:sz w:val="21"/>
        </w:rPr>
        <w:t>any </w:t>
      </w:r>
      <w:r>
        <w:rPr>
          <w:w w:val="115"/>
          <w:sz w:val="21"/>
        </w:rPr>
        <w:t>other affected parties that were given notice of the original application or </w:t>
      </w:r>
      <w:r>
        <w:rPr>
          <w:spacing w:val="-2"/>
          <w:w w:val="115"/>
          <w:sz w:val="21"/>
        </w:rPr>
        <w:t>any </w:t>
      </w:r>
      <w:r>
        <w:rPr>
          <w:w w:val="115"/>
          <w:sz w:val="21"/>
        </w:rPr>
        <w:t>successors in </w:t>
      </w:r>
      <w:r>
        <w:rPr>
          <w:spacing w:val="-3"/>
          <w:w w:val="115"/>
          <w:sz w:val="21"/>
        </w:rPr>
        <w:t>title.</w:t>
      </w:r>
    </w:p>
    <w:p>
      <w:pPr>
        <w:pStyle w:val="ListParagraph"/>
        <w:numPr>
          <w:ilvl w:val="1"/>
          <w:numId w:val="149"/>
        </w:numPr>
        <w:tabs>
          <w:tab w:pos="2380" w:val="left" w:leader="none"/>
          <w:tab w:pos="2381" w:val="left" w:leader="none"/>
        </w:tabs>
        <w:spacing w:line="242" w:lineRule="auto" w:before="124" w:after="0"/>
        <w:ind w:left="2380" w:right="2208" w:hanging="567"/>
        <w:jc w:val="left"/>
        <w:rPr>
          <w:sz w:val="21"/>
        </w:rPr>
      </w:pPr>
      <w:r>
        <w:rPr>
          <w:w w:val="115"/>
          <w:sz w:val="21"/>
        </w:rPr>
        <w:t>The</w:t>
      </w:r>
      <w:r>
        <w:rPr>
          <w:spacing w:val="-5"/>
          <w:w w:val="115"/>
          <w:sz w:val="21"/>
        </w:rPr>
        <w:t> </w:t>
      </w:r>
      <w:r>
        <w:rPr>
          <w:w w:val="115"/>
          <w:sz w:val="21"/>
        </w:rPr>
        <w:t>Act</w:t>
      </w:r>
      <w:r>
        <w:rPr>
          <w:spacing w:val="-4"/>
          <w:w w:val="115"/>
          <w:sz w:val="21"/>
        </w:rPr>
        <w:t> </w:t>
      </w:r>
      <w:r>
        <w:rPr>
          <w:w w:val="115"/>
          <w:sz w:val="21"/>
        </w:rPr>
        <w:t>should</w:t>
      </w:r>
      <w:r>
        <w:rPr>
          <w:spacing w:val="-4"/>
          <w:w w:val="115"/>
          <w:sz w:val="21"/>
        </w:rPr>
        <w:t> </w:t>
      </w:r>
      <w:r>
        <w:rPr>
          <w:w w:val="115"/>
          <w:sz w:val="21"/>
        </w:rPr>
        <w:t>only</w:t>
      </w:r>
      <w:r>
        <w:rPr>
          <w:spacing w:val="-4"/>
          <w:w w:val="115"/>
          <w:sz w:val="21"/>
        </w:rPr>
        <w:t> </w:t>
      </w:r>
      <w:r>
        <w:rPr>
          <w:w w:val="115"/>
          <w:sz w:val="21"/>
        </w:rPr>
        <w:t>provide</w:t>
      </w:r>
      <w:r>
        <w:rPr>
          <w:spacing w:val="-4"/>
          <w:w w:val="115"/>
          <w:sz w:val="21"/>
        </w:rPr>
        <w:t> </w:t>
      </w:r>
      <w:r>
        <w:rPr>
          <w:w w:val="115"/>
          <w:sz w:val="21"/>
        </w:rPr>
        <w:t>for</w:t>
      </w:r>
      <w:r>
        <w:rPr>
          <w:spacing w:val="-4"/>
          <w:w w:val="115"/>
          <w:sz w:val="21"/>
        </w:rPr>
        <w:t> </w:t>
      </w:r>
      <w:r>
        <w:rPr>
          <w:w w:val="115"/>
          <w:sz w:val="21"/>
        </w:rPr>
        <w:t>one</w:t>
      </w:r>
      <w:r>
        <w:rPr>
          <w:spacing w:val="-4"/>
          <w:w w:val="115"/>
          <w:sz w:val="21"/>
        </w:rPr>
        <w:t> </w:t>
      </w:r>
      <w:r>
        <w:rPr>
          <w:w w:val="115"/>
          <w:sz w:val="21"/>
        </w:rPr>
        <w:t>application</w:t>
      </w:r>
      <w:r>
        <w:rPr>
          <w:spacing w:val="-4"/>
          <w:w w:val="115"/>
          <w:sz w:val="21"/>
        </w:rPr>
        <w:t> </w:t>
      </w:r>
      <w:r>
        <w:rPr>
          <w:w w:val="115"/>
          <w:sz w:val="21"/>
        </w:rPr>
        <w:t>to</w:t>
      </w:r>
      <w:r>
        <w:rPr>
          <w:spacing w:val="-4"/>
          <w:w w:val="115"/>
          <w:sz w:val="21"/>
        </w:rPr>
        <w:t> </w:t>
      </w:r>
      <w:r>
        <w:rPr>
          <w:w w:val="115"/>
          <w:sz w:val="21"/>
        </w:rPr>
        <w:t>vary</w:t>
      </w:r>
      <w:r>
        <w:rPr>
          <w:spacing w:val="-4"/>
          <w:w w:val="115"/>
          <w:sz w:val="21"/>
        </w:rPr>
        <w:t> </w:t>
      </w:r>
      <w:r>
        <w:rPr>
          <w:w w:val="115"/>
          <w:sz w:val="21"/>
        </w:rPr>
        <w:t>or</w:t>
      </w:r>
      <w:r>
        <w:rPr>
          <w:spacing w:val="-4"/>
          <w:w w:val="115"/>
          <w:sz w:val="21"/>
        </w:rPr>
        <w:t> </w:t>
      </w:r>
      <w:r>
        <w:rPr>
          <w:spacing w:val="-3"/>
          <w:w w:val="115"/>
          <w:sz w:val="21"/>
        </w:rPr>
        <w:t>revoke</w:t>
      </w:r>
      <w:r>
        <w:rPr>
          <w:spacing w:val="-4"/>
          <w:w w:val="115"/>
          <w:sz w:val="21"/>
        </w:rPr>
        <w:t> </w:t>
      </w:r>
      <w:r>
        <w:rPr>
          <w:w w:val="115"/>
          <w:sz w:val="21"/>
        </w:rPr>
        <w:t>the</w:t>
      </w:r>
      <w:r>
        <w:rPr>
          <w:spacing w:val="-4"/>
          <w:w w:val="115"/>
          <w:sz w:val="21"/>
        </w:rPr>
        <w:t> </w:t>
      </w:r>
      <w:r>
        <w:rPr>
          <w:w w:val="115"/>
          <w:sz w:val="21"/>
        </w:rPr>
        <w:t>order per </w:t>
      </w:r>
      <w:r>
        <w:rPr>
          <w:spacing w:val="-5"/>
          <w:w w:val="115"/>
          <w:sz w:val="21"/>
        </w:rPr>
        <w:t>year.</w:t>
      </w:r>
    </w:p>
    <w:p>
      <w:pPr>
        <w:pStyle w:val="BodyText"/>
        <w:rPr>
          <w:sz w:val="24"/>
        </w:rPr>
      </w:pPr>
    </w:p>
    <w:p>
      <w:pPr>
        <w:pStyle w:val="BodyText"/>
        <w:spacing w:before="5"/>
        <w:rPr>
          <w:sz w:val="27"/>
        </w:rPr>
      </w:pPr>
    </w:p>
    <w:p>
      <w:pPr>
        <w:pStyle w:val="Heading4"/>
      </w:pPr>
      <w:r>
        <w:rPr>
          <w:color w:val="658464"/>
          <w:w w:val="115"/>
        </w:rPr>
        <w:t>Enforcement of orders</w:t>
      </w:r>
    </w:p>
    <w:p>
      <w:pPr>
        <w:pStyle w:val="ListParagraph"/>
        <w:numPr>
          <w:ilvl w:val="1"/>
          <w:numId w:val="16"/>
        </w:numPr>
        <w:tabs>
          <w:tab w:pos="2381" w:val="left" w:leader="none"/>
          <w:tab w:pos="2382" w:val="left" w:leader="none"/>
        </w:tabs>
        <w:spacing w:line="242" w:lineRule="auto" w:before="155" w:after="0"/>
        <w:ind w:left="2381" w:right="2001" w:hanging="794"/>
        <w:jc w:val="left"/>
        <w:rPr>
          <w:sz w:val="21"/>
        </w:rPr>
      </w:pPr>
      <w:r>
        <w:rPr>
          <w:w w:val="105"/>
          <w:sz w:val="21"/>
        </w:rPr>
        <w:t>The</w:t>
      </w:r>
      <w:r>
        <w:rPr>
          <w:spacing w:val="-5"/>
          <w:w w:val="105"/>
          <w:sz w:val="21"/>
        </w:rPr>
        <w:t> </w:t>
      </w:r>
      <w:r>
        <w:rPr>
          <w:spacing w:val="-3"/>
          <w:w w:val="105"/>
          <w:sz w:val="21"/>
        </w:rPr>
        <w:t>consultation</w:t>
      </w:r>
      <w:r>
        <w:rPr>
          <w:spacing w:val="-4"/>
          <w:w w:val="105"/>
          <w:sz w:val="21"/>
        </w:rPr>
        <w:t> </w:t>
      </w:r>
      <w:r>
        <w:rPr>
          <w:w w:val="105"/>
          <w:sz w:val="21"/>
        </w:rPr>
        <w:t>paper</w:t>
      </w:r>
      <w:r>
        <w:rPr>
          <w:spacing w:val="-4"/>
          <w:w w:val="105"/>
          <w:sz w:val="21"/>
        </w:rPr>
        <w:t> </w:t>
      </w:r>
      <w:r>
        <w:rPr>
          <w:spacing w:val="-3"/>
          <w:w w:val="105"/>
          <w:sz w:val="21"/>
        </w:rPr>
        <w:t>asked</w:t>
      </w:r>
      <w:r>
        <w:rPr>
          <w:spacing w:val="-4"/>
          <w:w w:val="105"/>
          <w:sz w:val="21"/>
        </w:rPr>
        <w:t> </w:t>
      </w:r>
      <w:r>
        <w:rPr>
          <w:w w:val="105"/>
          <w:sz w:val="21"/>
        </w:rPr>
        <w:t>how</w:t>
      </w:r>
      <w:r>
        <w:rPr>
          <w:spacing w:val="-4"/>
          <w:w w:val="105"/>
          <w:sz w:val="21"/>
        </w:rPr>
        <w:t> </w:t>
      </w:r>
      <w:r>
        <w:rPr>
          <w:w w:val="105"/>
          <w:sz w:val="21"/>
        </w:rPr>
        <w:t>orders</w:t>
      </w:r>
      <w:r>
        <w:rPr>
          <w:spacing w:val="-4"/>
          <w:w w:val="105"/>
          <w:sz w:val="21"/>
        </w:rPr>
        <w:t> </w:t>
      </w:r>
      <w:r>
        <w:rPr>
          <w:w w:val="105"/>
          <w:sz w:val="21"/>
        </w:rPr>
        <w:t>issued</w:t>
      </w:r>
      <w:r>
        <w:rPr>
          <w:spacing w:val="-4"/>
          <w:w w:val="105"/>
          <w:sz w:val="21"/>
        </w:rPr>
        <w:t> </w:t>
      </w:r>
      <w:r>
        <w:rPr>
          <w:w w:val="105"/>
          <w:sz w:val="21"/>
        </w:rPr>
        <w:t>under</w:t>
      </w:r>
      <w:r>
        <w:rPr>
          <w:spacing w:val="-4"/>
          <w:w w:val="105"/>
          <w:sz w:val="21"/>
        </w:rPr>
        <w:t> </w:t>
      </w:r>
      <w:r>
        <w:rPr>
          <w:w w:val="105"/>
          <w:sz w:val="21"/>
        </w:rPr>
        <w:t>a</w:t>
      </w:r>
      <w:r>
        <w:rPr>
          <w:spacing w:val="-4"/>
          <w:w w:val="105"/>
          <w:sz w:val="21"/>
        </w:rPr>
        <w:t> </w:t>
      </w:r>
      <w:r>
        <w:rPr>
          <w:w w:val="105"/>
          <w:sz w:val="21"/>
        </w:rPr>
        <w:t>new</w:t>
      </w:r>
      <w:r>
        <w:rPr>
          <w:spacing w:val="-4"/>
          <w:w w:val="105"/>
          <w:sz w:val="21"/>
        </w:rPr>
        <w:t> </w:t>
      </w:r>
      <w:r>
        <w:rPr>
          <w:w w:val="105"/>
          <w:sz w:val="21"/>
        </w:rPr>
        <w:t>Act</w:t>
      </w:r>
      <w:r>
        <w:rPr>
          <w:spacing w:val="-4"/>
          <w:w w:val="105"/>
          <w:sz w:val="21"/>
        </w:rPr>
        <w:t> </w:t>
      </w:r>
      <w:r>
        <w:rPr>
          <w:w w:val="105"/>
          <w:sz w:val="21"/>
        </w:rPr>
        <w:t>should</w:t>
      </w:r>
      <w:r>
        <w:rPr>
          <w:spacing w:val="-4"/>
          <w:w w:val="105"/>
          <w:sz w:val="21"/>
        </w:rPr>
        <w:t> </w:t>
      </w:r>
      <w:r>
        <w:rPr>
          <w:w w:val="105"/>
          <w:sz w:val="21"/>
        </w:rPr>
        <w:t>be</w:t>
      </w:r>
      <w:r>
        <w:rPr>
          <w:spacing w:val="-4"/>
          <w:w w:val="105"/>
          <w:sz w:val="21"/>
        </w:rPr>
        <w:t> </w:t>
      </w:r>
      <w:r>
        <w:rPr>
          <w:spacing w:val="-3"/>
          <w:w w:val="105"/>
          <w:sz w:val="21"/>
        </w:rPr>
        <w:t>enforced </w:t>
      </w:r>
      <w:r>
        <w:rPr>
          <w:w w:val="105"/>
          <w:sz w:val="21"/>
        </w:rPr>
        <w:t>when a party </w:t>
      </w:r>
      <w:r>
        <w:rPr>
          <w:spacing w:val="-4"/>
          <w:w w:val="105"/>
          <w:sz w:val="21"/>
        </w:rPr>
        <w:t>fails </w:t>
      </w:r>
      <w:r>
        <w:rPr>
          <w:spacing w:val="-3"/>
          <w:w w:val="105"/>
          <w:sz w:val="21"/>
        </w:rPr>
        <w:t>to </w:t>
      </w:r>
      <w:r>
        <w:rPr>
          <w:w w:val="105"/>
          <w:sz w:val="21"/>
        </w:rPr>
        <w:t>comply with</w:t>
      </w:r>
      <w:r>
        <w:rPr>
          <w:spacing w:val="40"/>
          <w:w w:val="105"/>
          <w:sz w:val="21"/>
        </w:rPr>
        <w:t> </w:t>
      </w:r>
      <w:r>
        <w:rPr>
          <w:w w:val="105"/>
          <w:sz w:val="21"/>
        </w:rPr>
        <w:t>them.</w:t>
      </w:r>
    </w:p>
    <w:p>
      <w:pPr>
        <w:pStyle w:val="BodyText"/>
        <w:spacing w:before="2"/>
        <w:rPr>
          <w:sz w:val="20"/>
        </w:rPr>
      </w:pPr>
    </w:p>
    <w:p>
      <w:pPr>
        <w:pStyle w:val="Heading5"/>
        <w:spacing w:before="1"/>
      </w:pPr>
      <w:r>
        <w:rPr>
          <w:w w:val="115"/>
        </w:rPr>
        <w:t>Enforcement in VCAT</w:t>
      </w:r>
    </w:p>
    <w:p>
      <w:pPr>
        <w:pStyle w:val="ListParagraph"/>
        <w:numPr>
          <w:ilvl w:val="1"/>
          <w:numId w:val="16"/>
        </w:numPr>
        <w:tabs>
          <w:tab w:pos="2381" w:val="left" w:leader="none"/>
          <w:tab w:pos="2382" w:val="left" w:leader="none"/>
        </w:tabs>
        <w:spacing w:line="242" w:lineRule="auto" w:before="137" w:after="0"/>
        <w:ind w:left="2381" w:right="1671" w:hanging="794"/>
        <w:jc w:val="left"/>
        <w:rPr>
          <w:sz w:val="21"/>
        </w:rPr>
      </w:pPr>
      <w:r>
        <w:rPr>
          <w:w w:val="105"/>
          <w:sz w:val="21"/>
        </w:rPr>
        <w:t>The</w:t>
      </w:r>
      <w:r>
        <w:rPr>
          <w:spacing w:val="-8"/>
          <w:w w:val="105"/>
          <w:sz w:val="21"/>
        </w:rPr>
        <w:t> </w:t>
      </w:r>
      <w:r>
        <w:rPr>
          <w:w w:val="105"/>
          <w:sz w:val="21"/>
        </w:rPr>
        <w:t>options</w:t>
      </w:r>
      <w:r>
        <w:rPr>
          <w:spacing w:val="-7"/>
          <w:w w:val="105"/>
          <w:sz w:val="21"/>
        </w:rPr>
        <w:t> </w:t>
      </w:r>
      <w:r>
        <w:rPr>
          <w:spacing w:val="-3"/>
          <w:w w:val="105"/>
          <w:sz w:val="21"/>
        </w:rPr>
        <w:t>for</w:t>
      </w:r>
      <w:r>
        <w:rPr>
          <w:spacing w:val="-7"/>
          <w:w w:val="105"/>
          <w:sz w:val="21"/>
        </w:rPr>
        <w:t> </w:t>
      </w:r>
      <w:r>
        <w:rPr>
          <w:w w:val="105"/>
          <w:sz w:val="21"/>
        </w:rPr>
        <w:t>a</w:t>
      </w:r>
      <w:r>
        <w:rPr>
          <w:spacing w:val="-7"/>
          <w:w w:val="105"/>
          <w:sz w:val="21"/>
        </w:rPr>
        <w:t> </w:t>
      </w:r>
      <w:r>
        <w:rPr>
          <w:w w:val="105"/>
          <w:sz w:val="21"/>
        </w:rPr>
        <w:t>person</w:t>
      </w:r>
      <w:r>
        <w:rPr>
          <w:spacing w:val="-7"/>
          <w:w w:val="105"/>
          <w:sz w:val="21"/>
        </w:rPr>
        <w:t> </w:t>
      </w:r>
      <w:r>
        <w:rPr>
          <w:spacing w:val="-3"/>
          <w:w w:val="105"/>
          <w:sz w:val="21"/>
        </w:rPr>
        <w:t>to</w:t>
      </w:r>
      <w:r>
        <w:rPr>
          <w:spacing w:val="-7"/>
          <w:w w:val="105"/>
          <w:sz w:val="21"/>
        </w:rPr>
        <w:t> </w:t>
      </w:r>
      <w:r>
        <w:rPr>
          <w:spacing w:val="-3"/>
          <w:w w:val="105"/>
          <w:sz w:val="21"/>
        </w:rPr>
        <w:t>enforce</w:t>
      </w:r>
      <w:r>
        <w:rPr>
          <w:spacing w:val="-7"/>
          <w:w w:val="105"/>
          <w:sz w:val="21"/>
        </w:rPr>
        <w:t> </w:t>
      </w:r>
      <w:r>
        <w:rPr>
          <w:w w:val="105"/>
          <w:sz w:val="21"/>
        </w:rPr>
        <w:t>an</w:t>
      </w:r>
      <w:r>
        <w:rPr>
          <w:spacing w:val="-8"/>
          <w:w w:val="105"/>
          <w:sz w:val="21"/>
        </w:rPr>
        <w:t> </w:t>
      </w:r>
      <w:r>
        <w:rPr>
          <w:w w:val="105"/>
          <w:sz w:val="21"/>
        </w:rPr>
        <w:t>order</w:t>
      </w:r>
      <w:r>
        <w:rPr>
          <w:spacing w:val="-7"/>
          <w:w w:val="105"/>
          <w:sz w:val="21"/>
        </w:rPr>
        <w:t> </w:t>
      </w:r>
      <w:r>
        <w:rPr>
          <w:w w:val="105"/>
          <w:sz w:val="21"/>
        </w:rPr>
        <w:t>where</w:t>
      </w:r>
      <w:r>
        <w:rPr>
          <w:spacing w:val="-7"/>
          <w:w w:val="105"/>
          <w:sz w:val="21"/>
        </w:rPr>
        <w:t> </w:t>
      </w:r>
      <w:r>
        <w:rPr>
          <w:w w:val="105"/>
          <w:sz w:val="21"/>
        </w:rPr>
        <w:t>the</w:t>
      </w:r>
      <w:r>
        <w:rPr>
          <w:spacing w:val="-7"/>
          <w:w w:val="105"/>
          <w:sz w:val="21"/>
        </w:rPr>
        <w:t> </w:t>
      </w:r>
      <w:r>
        <w:rPr>
          <w:w w:val="105"/>
          <w:sz w:val="21"/>
        </w:rPr>
        <w:t>other</w:t>
      </w:r>
      <w:r>
        <w:rPr>
          <w:spacing w:val="-7"/>
          <w:w w:val="105"/>
          <w:sz w:val="21"/>
        </w:rPr>
        <w:t> </w:t>
      </w:r>
      <w:r>
        <w:rPr>
          <w:w w:val="105"/>
          <w:sz w:val="21"/>
        </w:rPr>
        <w:t>party</w:t>
      </w:r>
      <w:r>
        <w:rPr>
          <w:spacing w:val="-7"/>
          <w:w w:val="105"/>
          <w:sz w:val="21"/>
        </w:rPr>
        <w:t> </w:t>
      </w:r>
      <w:r>
        <w:rPr>
          <w:spacing w:val="-3"/>
          <w:w w:val="105"/>
          <w:sz w:val="21"/>
        </w:rPr>
        <w:t>refuses</w:t>
      </w:r>
      <w:r>
        <w:rPr>
          <w:spacing w:val="-7"/>
          <w:w w:val="105"/>
          <w:sz w:val="21"/>
        </w:rPr>
        <w:t> </w:t>
      </w:r>
      <w:r>
        <w:rPr>
          <w:spacing w:val="-3"/>
          <w:w w:val="105"/>
          <w:sz w:val="21"/>
        </w:rPr>
        <w:t>to</w:t>
      </w:r>
      <w:r>
        <w:rPr>
          <w:spacing w:val="-7"/>
          <w:w w:val="105"/>
          <w:sz w:val="21"/>
        </w:rPr>
        <w:t> </w:t>
      </w:r>
      <w:r>
        <w:rPr>
          <w:w w:val="105"/>
          <w:sz w:val="21"/>
        </w:rPr>
        <w:t>comply</w:t>
      </w:r>
      <w:r>
        <w:rPr>
          <w:spacing w:val="-8"/>
          <w:w w:val="105"/>
          <w:sz w:val="21"/>
        </w:rPr>
        <w:t> </w:t>
      </w:r>
      <w:r>
        <w:rPr>
          <w:spacing w:val="-3"/>
          <w:w w:val="105"/>
          <w:sz w:val="21"/>
        </w:rPr>
        <w:t>are </w:t>
      </w:r>
      <w:r>
        <w:rPr>
          <w:w w:val="105"/>
          <w:sz w:val="21"/>
        </w:rPr>
        <w:t>set out in the </w:t>
      </w:r>
      <w:r>
        <w:rPr>
          <w:spacing w:val="-5"/>
          <w:w w:val="105"/>
          <w:sz w:val="21"/>
        </w:rPr>
        <w:t>VCAT </w:t>
      </w:r>
      <w:r>
        <w:rPr>
          <w:w w:val="105"/>
          <w:sz w:val="21"/>
        </w:rPr>
        <w:t>Act. They</w:t>
      </w:r>
      <w:r>
        <w:rPr>
          <w:spacing w:val="41"/>
          <w:w w:val="105"/>
          <w:sz w:val="21"/>
        </w:rPr>
        <w:t> </w:t>
      </w:r>
      <w:r>
        <w:rPr>
          <w:w w:val="105"/>
          <w:sz w:val="21"/>
        </w:rPr>
        <w:t>are:</w:t>
      </w:r>
    </w:p>
    <w:p>
      <w:pPr>
        <w:pStyle w:val="ListParagraph"/>
        <w:numPr>
          <w:ilvl w:val="2"/>
          <w:numId w:val="16"/>
        </w:numPr>
        <w:tabs>
          <w:tab w:pos="2721" w:val="left" w:leader="none"/>
          <w:tab w:pos="2722" w:val="left" w:leader="none"/>
        </w:tabs>
        <w:spacing w:line="242" w:lineRule="auto" w:before="122" w:after="0"/>
        <w:ind w:left="2721" w:right="1629" w:hanging="340"/>
        <w:jc w:val="left"/>
        <w:rPr>
          <w:sz w:val="21"/>
        </w:rPr>
      </w:pPr>
      <w:r>
        <w:rPr>
          <w:spacing w:val="-3"/>
          <w:w w:val="105"/>
          <w:sz w:val="21"/>
        </w:rPr>
        <w:t>Enforcement</w:t>
      </w:r>
      <w:r>
        <w:rPr>
          <w:spacing w:val="-7"/>
          <w:w w:val="105"/>
          <w:sz w:val="21"/>
        </w:rPr>
        <w:t> </w:t>
      </w:r>
      <w:r>
        <w:rPr>
          <w:w w:val="105"/>
          <w:sz w:val="21"/>
        </w:rPr>
        <w:t>of</w:t>
      </w:r>
      <w:r>
        <w:rPr>
          <w:spacing w:val="-6"/>
          <w:w w:val="105"/>
          <w:sz w:val="21"/>
        </w:rPr>
        <w:t> </w:t>
      </w:r>
      <w:r>
        <w:rPr>
          <w:w w:val="105"/>
          <w:sz w:val="21"/>
        </w:rPr>
        <w:t>a</w:t>
      </w:r>
      <w:r>
        <w:rPr>
          <w:spacing w:val="-6"/>
          <w:w w:val="105"/>
          <w:sz w:val="21"/>
        </w:rPr>
        <w:t> </w:t>
      </w:r>
      <w:r>
        <w:rPr>
          <w:w w:val="105"/>
          <w:sz w:val="21"/>
        </w:rPr>
        <w:t>monetary</w:t>
      </w:r>
      <w:r>
        <w:rPr>
          <w:spacing w:val="-7"/>
          <w:w w:val="105"/>
          <w:sz w:val="21"/>
        </w:rPr>
        <w:t> </w:t>
      </w:r>
      <w:r>
        <w:rPr>
          <w:spacing w:val="-4"/>
          <w:w w:val="105"/>
          <w:sz w:val="21"/>
        </w:rPr>
        <w:t>order.</w:t>
      </w:r>
      <w:r>
        <w:rPr>
          <w:spacing w:val="-6"/>
          <w:w w:val="105"/>
          <w:sz w:val="21"/>
        </w:rPr>
        <w:t> </w:t>
      </w:r>
      <w:r>
        <w:rPr>
          <w:w w:val="105"/>
          <w:sz w:val="21"/>
        </w:rPr>
        <w:t>A</w:t>
      </w:r>
      <w:r>
        <w:rPr>
          <w:spacing w:val="-6"/>
          <w:w w:val="105"/>
          <w:sz w:val="21"/>
        </w:rPr>
        <w:t> </w:t>
      </w:r>
      <w:r>
        <w:rPr>
          <w:w w:val="105"/>
          <w:sz w:val="21"/>
        </w:rPr>
        <w:t>monetary</w:t>
      </w:r>
      <w:r>
        <w:rPr>
          <w:spacing w:val="-7"/>
          <w:w w:val="105"/>
          <w:sz w:val="21"/>
        </w:rPr>
        <w:t> </w:t>
      </w:r>
      <w:r>
        <w:rPr>
          <w:w w:val="105"/>
          <w:sz w:val="21"/>
        </w:rPr>
        <w:t>order</w:t>
      </w:r>
      <w:r>
        <w:rPr>
          <w:spacing w:val="-6"/>
          <w:w w:val="105"/>
          <w:sz w:val="21"/>
        </w:rPr>
        <w:t> </w:t>
      </w:r>
      <w:r>
        <w:rPr>
          <w:spacing w:val="-3"/>
          <w:w w:val="105"/>
          <w:sz w:val="21"/>
        </w:rPr>
        <w:t>requires</w:t>
      </w:r>
      <w:r>
        <w:rPr>
          <w:spacing w:val="-6"/>
          <w:w w:val="105"/>
          <w:sz w:val="21"/>
        </w:rPr>
        <w:t> </w:t>
      </w:r>
      <w:r>
        <w:rPr>
          <w:w w:val="105"/>
          <w:sz w:val="21"/>
        </w:rPr>
        <w:t>a</w:t>
      </w:r>
      <w:r>
        <w:rPr>
          <w:spacing w:val="-7"/>
          <w:w w:val="105"/>
          <w:sz w:val="21"/>
        </w:rPr>
        <w:t> </w:t>
      </w:r>
      <w:r>
        <w:rPr>
          <w:w w:val="105"/>
          <w:sz w:val="21"/>
        </w:rPr>
        <w:t>party</w:t>
      </w:r>
      <w:r>
        <w:rPr>
          <w:spacing w:val="-6"/>
          <w:w w:val="105"/>
          <w:sz w:val="21"/>
        </w:rPr>
        <w:t> </w:t>
      </w:r>
      <w:r>
        <w:rPr>
          <w:spacing w:val="-3"/>
          <w:w w:val="105"/>
          <w:sz w:val="21"/>
        </w:rPr>
        <w:t>to</w:t>
      </w:r>
      <w:r>
        <w:rPr>
          <w:spacing w:val="-6"/>
          <w:w w:val="105"/>
          <w:sz w:val="21"/>
        </w:rPr>
        <w:t> </w:t>
      </w:r>
      <w:r>
        <w:rPr>
          <w:spacing w:val="-2"/>
          <w:w w:val="105"/>
          <w:sz w:val="21"/>
        </w:rPr>
        <w:t>pay</w:t>
      </w:r>
      <w:r>
        <w:rPr>
          <w:spacing w:val="-7"/>
          <w:w w:val="105"/>
          <w:sz w:val="21"/>
        </w:rPr>
        <w:t> </w:t>
      </w:r>
      <w:r>
        <w:rPr>
          <w:w w:val="105"/>
          <w:sz w:val="21"/>
        </w:rPr>
        <w:t>money</w:t>
      </w:r>
      <w:r>
        <w:rPr>
          <w:spacing w:val="-6"/>
          <w:w w:val="105"/>
          <w:sz w:val="21"/>
        </w:rPr>
        <w:t> </w:t>
      </w:r>
      <w:r>
        <w:rPr>
          <w:spacing w:val="-3"/>
          <w:w w:val="105"/>
          <w:sz w:val="21"/>
        </w:rPr>
        <w:t>to another</w:t>
      </w:r>
      <w:r>
        <w:rPr>
          <w:spacing w:val="5"/>
          <w:w w:val="105"/>
          <w:sz w:val="21"/>
        </w:rPr>
        <w:t> </w:t>
      </w:r>
      <w:r>
        <w:rPr>
          <w:spacing w:val="-5"/>
          <w:w w:val="105"/>
          <w:sz w:val="21"/>
        </w:rPr>
        <w:t>party.</w:t>
      </w:r>
      <w:r>
        <w:rPr>
          <w:spacing w:val="-5"/>
          <w:w w:val="105"/>
          <w:position w:val="7"/>
          <w:sz w:val="12"/>
        </w:rPr>
        <w:t>131</w:t>
      </w:r>
    </w:p>
    <w:p>
      <w:pPr>
        <w:pStyle w:val="ListParagraph"/>
        <w:numPr>
          <w:ilvl w:val="2"/>
          <w:numId w:val="16"/>
        </w:numPr>
        <w:tabs>
          <w:tab w:pos="2721" w:val="left" w:leader="none"/>
          <w:tab w:pos="2722" w:val="left" w:leader="none"/>
        </w:tabs>
        <w:spacing w:line="242" w:lineRule="auto" w:before="87" w:after="0"/>
        <w:ind w:left="2721" w:right="1709" w:hanging="340"/>
        <w:jc w:val="left"/>
        <w:rPr>
          <w:sz w:val="21"/>
        </w:rPr>
      </w:pPr>
      <w:r>
        <w:rPr>
          <w:spacing w:val="-3"/>
          <w:w w:val="105"/>
          <w:sz w:val="21"/>
        </w:rPr>
        <w:t>Enforcement</w:t>
      </w:r>
      <w:r>
        <w:rPr>
          <w:spacing w:val="-8"/>
          <w:w w:val="105"/>
          <w:sz w:val="21"/>
        </w:rPr>
        <w:t> </w:t>
      </w:r>
      <w:r>
        <w:rPr>
          <w:w w:val="105"/>
          <w:sz w:val="21"/>
        </w:rPr>
        <w:t>of</w:t>
      </w:r>
      <w:r>
        <w:rPr>
          <w:spacing w:val="-8"/>
          <w:w w:val="105"/>
          <w:sz w:val="21"/>
        </w:rPr>
        <w:t> </w:t>
      </w:r>
      <w:r>
        <w:rPr>
          <w:w w:val="105"/>
          <w:sz w:val="21"/>
        </w:rPr>
        <w:t>a</w:t>
      </w:r>
      <w:r>
        <w:rPr>
          <w:spacing w:val="-8"/>
          <w:w w:val="105"/>
          <w:sz w:val="21"/>
        </w:rPr>
        <w:t> </w:t>
      </w:r>
      <w:r>
        <w:rPr>
          <w:w w:val="105"/>
          <w:sz w:val="21"/>
        </w:rPr>
        <w:t>non-monetary</w:t>
      </w:r>
      <w:r>
        <w:rPr>
          <w:spacing w:val="-7"/>
          <w:w w:val="105"/>
          <w:sz w:val="21"/>
        </w:rPr>
        <w:t> </w:t>
      </w:r>
      <w:r>
        <w:rPr>
          <w:spacing w:val="-4"/>
          <w:w w:val="105"/>
          <w:sz w:val="21"/>
        </w:rPr>
        <w:t>order.</w:t>
      </w:r>
      <w:r>
        <w:rPr>
          <w:spacing w:val="-8"/>
          <w:w w:val="105"/>
          <w:sz w:val="21"/>
        </w:rPr>
        <w:t> </w:t>
      </w:r>
      <w:r>
        <w:rPr>
          <w:w w:val="105"/>
          <w:sz w:val="21"/>
        </w:rPr>
        <w:t>A</w:t>
      </w:r>
      <w:r>
        <w:rPr>
          <w:spacing w:val="-8"/>
          <w:w w:val="105"/>
          <w:sz w:val="21"/>
        </w:rPr>
        <w:t> </w:t>
      </w:r>
      <w:r>
        <w:rPr>
          <w:w w:val="105"/>
          <w:sz w:val="21"/>
        </w:rPr>
        <w:t>non-monetary</w:t>
      </w:r>
      <w:r>
        <w:rPr>
          <w:spacing w:val="-8"/>
          <w:w w:val="105"/>
          <w:sz w:val="21"/>
        </w:rPr>
        <w:t> </w:t>
      </w:r>
      <w:r>
        <w:rPr>
          <w:w w:val="105"/>
          <w:sz w:val="21"/>
        </w:rPr>
        <w:t>order</w:t>
      </w:r>
      <w:r>
        <w:rPr>
          <w:spacing w:val="-7"/>
          <w:w w:val="105"/>
          <w:sz w:val="21"/>
        </w:rPr>
        <w:t> </w:t>
      </w:r>
      <w:r>
        <w:rPr>
          <w:w w:val="105"/>
          <w:sz w:val="21"/>
        </w:rPr>
        <w:t>is</w:t>
      </w:r>
      <w:r>
        <w:rPr>
          <w:spacing w:val="-8"/>
          <w:w w:val="105"/>
          <w:sz w:val="21"/>
        </w:rPr>
        <w:t> </w:t>
      </w:r>
      <w:r>
        <w:rPr>
          <w:spacing w:val="-3"/>
          <w:w w:val="105"/>
          <w:sz w:val="21"/>
        </w:rPr>
        <w:t>any</w:t>
      </w:r>
      <w:r>
        <w:rPr>
          <w:spacing w:val="-8"/>
          <w:w w:val="105"/>
          <w:sz w:val="21"/>
        </w:rPr>
        <w:t> </w:t>
      </w:r>
      <w:r>
        <w:rPr>
          <w:w w:val="105"/>
          <w:sz w:val="21"/>
        </w:rPr>
        <w:t>other</w:t>
      </w:r>
      <w:r>
        <w:rPr>
          <w:spacing w:val="-8"/>
          <w:w w:val="105"/>
          <w:sz w:val="21"/>
        </w:rPr>
        <w:t> </w:t>
      </w:r>
      <w:r>
        <w:rPr>
          <w:w w:val="105"/>
          <w:sz w:val="21"/>
        </w:rPr>
        <w:t>order</w:t>
      </w:r>
      <w:r>
        <w:rPr>
          <w:spacing w:val="-7"/>
          <w:w w:val="105"/>
          <w:sz w:val="21"/>
        </w:rPr>
        <w:t> </w:t>
      </w:r>
      <w:r>
        <w:rPr>
          <w:spacing w:val="-3"/>
          <w:w w:val="105"/>
          <w:sz w:val="21"/>
        </w:rPr>
        <w:t>that </w:t>
      </w:r>
      <w:r>
        <w:rPr>
          <w:w w:val="105"/>
          <w:sz w:val="21"/>
        </w:rPr>
        <w:t>does </w:t>
      </w:r>
      <w:r>
        <w:rPr>
          <w:spacing w:val="-2"/>
          <w:w w:val="105"/>
          <w:sz w:val="21"/>
        </w:rPr>
        <w:t>not </w:t>
      </w:r>
      <w:r>
        <w:rPr>
          <w:spacing w:val="-3"/>
          <w:w w:val="105"/>
          <w:sz w:val="21"/>
        </w:rPr>
        <w:t>involve </w:t>
      </w:r>
      <w:r>
        <w:rPr>
          <w:w w:val="105"/>
          <w:sz w:val="21"/>
        </w:rPr>
        <w:t>monetary</w:t>
      </w:r>
      <w:r>
        <w:rPr>
          <w:spacing w:val="24"/>
          <w:w w:val="105"/>
          <w:sz w:val="21"/>
        </w:rPr>
        <w:t> </w:t>
      </w:r>
      <w:r>
        <w:rPr>
          <w:spacing w:val="-4"/>
          <w:w w:val="105"/>
          <w:sz w:val="21"/>
        </w:rPr>
        <w:t>payments.</w:t>
      </w:r>
      <w:r>
        <w:rPr>
          <w:spacing w:val="-4"/>
          <w:w w:val="105"/>
          <w:position w:val="7"/>
          <w:sz w:val="12"/>
        </w:rPr>
        <w:t>132</w:t>
      </w:r>
    </w:p>
    <w:p>
      <w:pPr>
        <w:pStyle w:val="BodyText"/>
        <w:rPr>
          <w:sz w:val="20"/>
        </w:rPr>
      </w:pPr>
    </w:p>
    <w:p>
      <w:pPr>
        <w:pStyle w:val="BodyText"/>
        <w:rPr>
          <w:sz w:val="20"/>
        </w:rPr>
      </w:pPr>
    </w:p>
    <w:p>
      <w:pPr>
        <w:pStyle w:val="BodyText"/>
        <w:spacing w:before="10"/>
        <w:rPr>
          <w:sz w:val="20"/>
        </w:rPr>
      </w:pPr>
      <w:r>
        <w:rPr/>
        <w:pict>
          <v:line style="position:absolute;mso-position-horizontal-relative:page;mso-position-vertical-relative:paragraph;z-index:8912;mso-wrap-distance-left:0;mso-wrap-distance-right:0" from="79.370102pt,15.158514pt" to="515.905102pt,15.15851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49"/>
        </w:numPr>
        <w:tabs>
          <w:tab w:pos="2380" w:val="left" w:leader="none"/>
          <w:tab w:pos="2382" w:val="left" w:leader="none"/>
        </w:tabs>
        <w:spacing w:line="240" w:lineRule="auto" w:before="48" w:after="0"/>
        <w:ind w:left="2381" w:right="0" w:hanging="794"/>
        <w:jc w:val="left"/>
        <w:rPr>
          <w:i/>
          <w:sz w:val="13"/>
        </w:rPr>
      </w:pPr>
      <w:r>
        <w:rPr>
          <w:i/>
          <w:sz w:val="13"/>
        </w:rPr>
        <w:t>Victorian</w:t>
      </w:r>
      <w:r>
        <w:rPr>
          <w:i/>
          <w:spacing w:val="24"/>
          <w:sz w:val="13"/>
        </w:rPr>
        <w:t> </w:t>
      </w:r>
      <w:r>
        <w:rPr>
          <w:i/>
          <w:sz w:val="13"/>
        </w:rPr>
        <w:t>Civil</w:t>
      </w:r>
      <w:r>
        <w:rPr>
          <w:i/>
          <w:spacing w:val="24"/>
          <w:sz w:val="13"/>
        </w:rPr>
        <w:t> </w:t>
      </w:r>
      <w:r>
        <w:rPr>
          <w:i/>
          <w:sz w:val="13"/>
        </w:rPr>
        <w:t>and</w:t>
      </w:r>
      <w:r>
        <w:rPr>
          <w:i/>
          <w:spacing w:val="24"/>
          <w:sz w:val="13"/>
        </w:rPr>
        <w:t> </w:t>
      </w:r>
      <w:r>
        <w:rPr>
          <w:i/>
          <w:sz w:val="13"/>
        </w:rPr>
        <w:t>Administrative</w:t>
      </w:r>
      <w:r>
        <w:rPr>
          <w:i/>
          <w:spacing w:val="24"/>
          <w:sz w:val="13"/>
        </w:rPr>
        <w:t> </w:t>
      </w:r>
      <w:r>
        <w:rPr>
          <w:i/>
          <w:sz w:val="13"/>
        </w:rPr>
        <w:t>Tribunal</w:t>
      </w:r>
      <w:r>
        <w:rPr>
          <w:i/>
          <w:spacing w:val="24"/>
          <w:sz w:val="13"/>
        </w:rPr>
        <w:t> </w:t>
      </w:r>
      <w:r>
        <w:rPr>
          <w:i/>
          <w:sz w:val="13"/>
        </w:rPr>
        <w:t>1998</w:t>
      </w:r>
      <w:r>
        <w:rPr>
          <w:i/>
          <w:spacing w:val="24"/>
          <w:sz w:val="13"/>
        </w:rPr>
        <w:t> </w:t>
      </w:r>
      <w:r>
        <w:rPr>
          <w:spacing w:val="2"/>
          <w:sz w:val="13"/>
        </w:rPr>
        <w:t>(Vic)</w:t>
      </w:r>
      <w:r>
        <w:rPr>
          <w:spacing w:val="24"/>
          <w:sz w:val="13"/>
        </w:rPr>
        <w:t> </w:t>
      </w:r>
      <w:r>
        <w:rPr>
          <w:sz w:val="13"/>
        </w:rPr>
        <w:t>s</w:t>
      </w:r>
      <w:r>
        <w:rPr>
          <w:spacing w:val="24"/>
          <w:sz w:val="13"/>
        </w:rPr>
        <w:t> </w:t>
      </w:r>
      <w:r>
        <w:rPr>
          <w:spacing w:val="-4"/>
          <w:sz w:val="13"/>
        </w:rPr>
        <w:t>121;</w:t>
      </w:r>
      <w:r>
        <w:rPr>
          <w:spacing w:val="-1"/>
          <w:sz w:val="13"/>
        </w:rPr>
        <w:t> </w:t>
      </w:r>
      <w:r>
        <w:rPr>
          <w:sz w:val="13"/>
        </w:rPr>
        <w:t>see</w:t>
      </w:r>
      <w:r>
        <w:rPr>
          <w:spacing w:val="24"/>
          <w:sz w:val="13"/>
        </w:rPr>
        <w:t> </w:t>
      </w:r>
      <w:r>
        <w:rPr>
          <w:sz w:val="13"/>
        </w:rPr>
        <w:t>also</w:t>
      </w:r>
      <w:r>
        <w:rPr>
          <w:spacing w:val="24"/>
          <w:sz w:val="13"/>
        </w:rPr>
        <w:t> </w:t>
      </w:r>
      <w:r>
        <w:rPr>
          <w:sz w:val="13"/>
        </w:rPr>
        <w:t>Victorian</w:t>
      </w:r>
      <w:r>
        <w:rPr>
          <w:spacing w:val="24"/>
          <w:sz w:val="13"/>
        </w:rPr>
        <w:t> </w:t>
      </w:r>
      <w:r>
        <w:rPr>
          <w:sz w:val="13"/>
        </w:rPr>
        <w:t>Civil</w:t>
      </w:r>
      <w:r>
        <w:rPr>
          <w:spacing w:val="24"/>
          <w:sz w:val="13"/>
        </w:rPr>
        <w:t> </w:t>
      </w:r>
      <w:r>
        <w:rPr>
          <w:sz w:val="13"/>
        </w:rPr>
        <w:t>and</w:t>
      </w:r>
      <w:r>
        <w:rPr>
          <w:spacing w:val="24"/>
          <w:sz w:val="13"/>
        </w:rPr>
        <w:t> </w:t>
      </w:r>
      <w:r>
        <w:rPr>
          <w:sz w:val="13"/>
        </w:rPr>
        <w:t>Administrative</w:t>
      </w:r>
      <w:r>
        <w:rPr>
          <w:spacing w:val="24"/>
          <w:sz w:val="13"/>
        </w:rPr>
        <w:t> </w:t>
      </w:r>
      <w:r>
        <w:rPr>
          <w:sz w:val="13"/>
        </w:rPr>
        <w:t>Tribunal,</w:t>
      </w:r>
      <w:r>
        <w:rPr>
          <w:spacing w:val="24"/>
          <w:sz w:val="13"/>
        </w:rPr>
        <w:t> </w:t>
      </w:r>
      <w:r>
        <w:rPr>
          <w:i/>
          <w:sz w:val="13"/>
        </w:rPr>
        <w:t>VCAT</w:t>
      </w:r>
      <w:r>
        <w:rPr>
          <w:i/>
          <w:spacing w:val="24"/>
          <w:sz w:val="13"/>
        </w:rPr>
        <w:t> </w:t>
      </w:r>
      <w:r>
        <w:rPr>
          <w:i/>
          <w:sz w:val="13"/>
        </w:rPr>
        <w:t>Decisions</w:t>
      </w:r>
      <w:r>
        <w:rPr>
          <w:i/>
          <w:spacing w:val="24"/>
          <w:sz w:val="13"/>
        </w:rPr>
        <w:t> </w:t>
      </w:r>
      <w:r>
        <w:rPr>
          <w:i/>
          <w:sz w:val="13"/>
        </w:rPr>
        <w:t>and</w:t>
      </w:r>
      <w:r>
        <w:rPr>
          <w:i/>
          <w:spacing w:val="24"/>
          <w:sz w:val="13"/>
        </w:rPr>
        <w:t> </w:t>
      </w:r>
      <w:r>
        <w:rPr>
          <w:i/>
          <w:sz w:val="13"/>
        </w:rPr>
        <w:t>Orders</w:t>
      </w:r>
    </w:p>
    <w:p>
      <w:pPr>
        <w:spacing w:before="1"/>
        <w:ind w:left="2381" w:right="0" w:firstLine="0"/>
        <w:jc w:val="left"/>
        <w:rPr>
          <w:sz w:val="13"/>
        </w:rPr>
      </w:pPr>
      <w:r>
        <w:rPr>
          <w:sz w:val="13"/>
        </w:rPr>
        <w:t>(Web Page) &lt;https://</w:t>
      </w:r>
      <w:hyperlink r:id="rId243">
        <w:r>
          <w:rPr>
            <w:sz w:val="13"/>
          </w:rPr>
          <w:t>www.vcat.vic.gov.au/steps-to-resolve-your-case/what-to-expect-after-the-final-hearing/vcat-decisions-and-orders</w:t>
        </w:r>
      </w:hyperlink>
      <w:r>
        <w:rPr>
          <w:sz w:val="13"/>
        </w:rPr>
        <w:t>&gt;.</w:t>
      </w:r>
    </w:p>
    <w:p>
      <w:pPr>
        <w:pStyle w:val="ListParagraph"/>
        <w:numPr>
          <w:ilvl w:val="0"/>
          <w:numId w:val="149"/>
        </w:numPr>
        <w:tabs>
          <w:tab w:pos="2380" w:val="left" w:leader="none"/>
          <w:tab w:pos="2382" w:val="left" w:leader="none"/>
        </w:tabs>
        <w:spacing w:line="240" w:lineRule="auto" w:before="2" w:after="0"/>
        <w:ind w:left="2381" w:right="0" w:hanging="794"/>
        <w:jc w:val="left"/>
        <w:rPr>
          <w:i/>
          <w:sz w:val="13"/>
        </w:rPr>
      </w:pPr>
      <w:r>
        <w:rPr>
          <w:i/>
          <w:sz w:val="13"/>
        </w:rPr>
        <w:t>Victorian</w:t>
      </w:r>
      <w:r>
        <w:rPr>
          <w:i/>
          <w:spacing w:val="23"/>
          <w:sz w:val="13"/>
        </w:rPr>
        <w:t> </w:t>
      </w:r>
      <w:r>
        <w:rPr>
          <w:i/>
          <w:sz w:val="13"/>
        </w:rPr>
        <w:t>Civil</w:t>
      </w:r>
      <w:r>
        <w:rPr>
          <w:i/>
          <w:spacing w:val="24"/>
          <w:sz w:val="13"/>
        </w:rPr>
        <w:t> </w:t>
      </w:r>
      <w:r>
        <w:rPr>
          <w:i/>
          <w:sz w:val="13"/>
        </w:rPr>
        <w:t>and</w:t>
      </w:r>
      <w:r>
        <w:rPr>
          <w:i/>
          <w:spacing w:val="24"/>
          <w:sz w:val="13"/>
        </w:rPr>
        <w:t> </w:t>
      </w:r>
      <w:r>
        <w:rPr>
          <w:i/>
          <w:sz w:val="13"/>
        </w:rPr>
        <w:t>Administrative</w:t>
      </w:r>
      <w:r>
        <w:rPr>
          <w:i/>
          <w:spacing w:val="24"/>
          <w:sz w:val="13"/>
        </w:rPr>
        <w:t> </w:t>
      </w:r>
      <w:r>
        <w:rPr>
          <w:i/>
          <w:sz w:val="13"/>
        </w:rPr>
        <w:t>Tribunal</w:t>
      </w:r>
      <w:r>
        <w:rPr>
          <w:i/>
          <w:spacing w:val="24"/>
          <w:sz w:val="13"/>
        </w:rPr>
        <w:t> </w:t>
      </w:r>
      <w:r>
        <w:rPr>
          <w:i/>
          <w:sz w:val="13"/>
        </w:rPr>
        <w:t>1998</w:t>
      </w:r>
      <w:r>
        <w:rPr>
          <w:i/>
          <w:spacing w:val="23"/>
          <w:sz w:val="13"/>
        </w:rPr>
        <w:t> </w:t>
      </w:r>
      <w:r>
        <w:rPr>
          <w:spacing w:val="2"/>
          <w:sz w:val="13"/>
        </w:rPr>
        <w:t>(Vic)</w:t>
      </w:r>
      <w:r>
        <w:rPr>
          <w:spacing w:val="24"/>
          <w:sz w:val="13"/>
        </w:rPr>
        <w:t> </w:t>
      </w:r>
      <w:r>
        <w:rPr>
          <w:sz w:val="13"/>
        </w:rPr>
        <w:t>s</w:t>
      </w:r>
      <w:r>
        <w:rPr>
          <w:spacing w:val="24"/>
          <w:sz w:val="13"/>
        </w:rPr>
        <w:t> </w:t>
      </w:r>
      <w:r>
        <w:rPr>
          <w:sz w:val="13"/>
        </w:rPr>
        <w:t>122;</w:t>
      </w:r>
      <w:r>
        <w:rPr>
          <w:spacing w:val="24"/>
          <w:sz w:val="13"/>
        </w:rPr>
        <w:t> </w:t>
      </w:r>
      <w:r>
        <w:rPr>
          <w:sz w:val="13"/>
        </w:rPr>
        <w:t>see</w:t>
      </w:r>
      <w:r>
        <w:rPr>
          <w:spacing w:val="24"/>
          <w:sz w:val="13"/>
        </w:rPr>
        <w:t> </w:t>
      </w:r>
      <w:r>
        <w:rPr>
          <w:sz w:val="13"/>
        </w:rPr>
        <w:t>also</w:t>
      </w:r>
      <w:r>
        <w:rPr>
          <w:spacing w:val="23"/>
          <w:sz w:val="13"/>
        </w:rPr>
        <w:t> </w:t>
      </w:r>
      <w:r>
        <w:rPr>
          <w:sz w:val="13"/>
        </w:rPr>
        <w:t>Victorian</w:t>
      </w:r>
      <w:r>
        <w:rPr>
          <w:spacing w:val="24"/>
          <w:sz w:val="13"/>
        </w:rPr>
        <w:t> </w:t>
      </w:r>
      <w:r>
        <w:rPr>
          <w:sz w:val="13"/>
        </w:rPr>
        <w:t>Civil</w:t>
      </w:r>
      <w:r>
        <w:rPr>
          <w:spacing w:val="24"/>
          <w:sz w:val="13"/>
        </w:rPr>
        <w:t> </w:t>
      </w:r>
      <w:r>
        <w:rPr>
          <w:sz w:val="13"/>
        </w:rPr>
        <w:t>and</w:t>
      </w:r>
      <w:r>
        <w:rPr>
          <w:spacing w:val="24"/>
          <w:sz w:val="13"/>
        </w:rPr>
        <w:t> </w:t>
      </w:r>
      <w:r>
        <w:rPr>
          <w:sz w:val="13"/>
        </w:rPr>
        <w:t>Administrative</w:t>
      </w:r>
      <w:r>
        <w:rPr>
          <w:spacing w:val="24"/>
          <w:sz w:val="13"/>
        </w:rPr>
        <w:t> </w:t>
      </w:r>
      <w:r>
        <w:rPr>
          <w:sz w:val="13"/>
        </w:rPr>
        <w:t>Tribunal,</w:t>
      </w:r>
      <w:r>
        <w:rPr>
          <w:spacing w:val="23"/>
          <w:sz w:val="13"/>
        </w:rPr>
        <w:t> </w:t>
      </w:r>
      <w:r>
        <w:rPr>
          <w:i/>
          <w:sz w:val="13"/>
        </w:rPr>
        <w:t>VCAT</w:t>
      </w:r>
      <w:r>
        <w:rPr>
          <w:i/>
          <w:spacing w:val="24"/>
          <w:sz w:val="13"/>
        </w:rPr>
        <w:t> </w:t>
      </w:r>
      <w:r>
        <w:rPr>
          <w:i/>
          <w:sz w:val="13"/>
        </w:rPr>
        <w:t>Decisions</w:t>
      </w:r>
      <w:r>
        <w:rPr>
          <w:i/>
          <w:spacing w:val="24"/>
          <w:sz w:val="13"/>
        </w:rPr>
        <w:t> </w:t>
      </w:r>
      <w:r>
        <w:rPr>
          <w:i/>
          <w:sz w:val="13"/>
        </w:rPr>
        <w:t>and</w:t>
      </w:r>
      <w:r>
        <w:rPr>
          <w:i/>
          <w:spacing w:val="24"/>
          <w:sz w:val="13"/>
        </w:rPr>
        <w:t> </w:t>
      </w:r>
      <w:r>
        <w:rPr>
          <w:i/>
          <w:sz w:val="13"/>
        </w:rPr>
        <w:t>Orders</w:t>
      </w:r>
    </w:p>
    <w:p>
      <w:pPr>
        <w:spacing w:before="1"/>
        <w:ind w:left="2381" w:right="0" w:firstLine="0"/>
        <w:jc w:val="left"/>
        <w:rPr>
          <w:sz w:val="13"/>
        </w:rPr>
      </w:pPr>
      <w:r>
        <w:rPr>
          <w:sz w:val="13"/>
        </w:rPr>
        <w:t>(Web Page) &lt;https://</w:t>
      </w:r>
      <w:hyperlink r:id="rId243">
        <w:r>
          <w:rPr>
            <w:sz w:val="13"/>
          </w:rPr>
          <w:t>www.vcat.vic.gov.au/steps-to-resolve-your-case/what-to-expect-after-the-final-hearing/vcat-decisions-and-orders</w:t>
        </w:r>
      </w:hyperlink>
      <w:r>
        <w:rPr>
          <w:sz w:val="13"/>
        </w:rPr>
        <w:t>&gt;.</w:t>
      </w:r>
    </w:p>
    <w:p>
      <w:pPr>
        <w:pStyle w:val="BodyText"/>
        <w:spacing w:before="8"/>
        <w:rPr>
          <w:sz w:val="34"/>
        </w:rPr>
      </w:pPr>
      <w:r>
        <w:rPr/>
        <w:br w:type="column"/>
      </w:r>
      <w:r>
        <w:rPr>
          <w:sz w:val="34"/>
        </w:rPr>
      </w:r>
    </w:p>
    <w:p>
      <w:pPr>
        <w:spacing w:before="0"/>
        <w:ind w:left="620" w:right="577" w:firstLine="0"/>
        <w:jc w:val="center"/>
        <w:rPr>
          <w:b/>
          <w:sz w:val="24"/>
        </w:rPr>
      </w:pPr>
      <w:r>
        <w:rPr>
          <w:b/>
          <w:color w:val="658464"/>
          <w:w w:val="110"/>
          <w:sz w:val="24"/>
        </w:rPr>
        <w:t>207</w:t>
      </w:r>
    </w:p>
    <w:p>
      <w:pPr>
        <w:spacing w:after="0"/>
        <w:jc w:val="center"/>
        <w:rPr>
          <w:sz w:val="24"/>
        </w:rPr>
        <w:sectPr>
          <w:type w:val="continuous"/>
          <w:pgSz w:w="11910" w:h="16840"/>
          <w:pgMar w:top="300" w:bottom="280" w:left="0" w:right="0"/>
          <w:cols w:num="2" w:equalWidth="0">
            <w:col w:w="10232" w:space="39"/>
            <w:col w:w="1639"/>
          </w:cols>
        </w:sectPr>
      </w:pPr>
    </w:p>
    <w:p>
      <w:pPr>
        <w:pStyle w:val="BodyText"/>
        <w:spacing w:before="9"/>
        <w:rPr>
          <w:b/>
          <w:sz w:val="22"/>
        </w:rPr>
      </w:pPr>
    </w:p>
    <w:p>
      <w:pPr>
        <w:pStyle w:val="ListParagraph"/>
        <w:numPr>
          <w:ilvl w:val="0"/>
          <w:numId w:val="150"/>
        </w:numPr>
        <w:tabs>
          <w:tab w:pos="2721" w:val="left" w:leader="none"/>
          <w:tab w:pos="2722" w:val="left" w:leader="none"/>
        </w:tabs>
        <w:spacing w:line="242" w:lineRule="auto" w:before="92" w:after="0"/>
        <w:ind w:left="2721" w:right="1781" w:hanging="340"/>
        <w:jc w:val="left"/>
        <w:rPr>
          <w:sz w:val="12"/>
        </w:rPr>
      </w:pPr>
      <w:r>
        <w:rPr>
          <w:spacing w:val="-4"/>
          <w:sz w:val="21"/>
        </w:rPr>
        <w:t>Contempt </w:t>
      </w:r>
      <w:r>
        <w:rPr>
          <w:sz w:val="21"/>
        </w:rPr>
        <w:t>is a broad term </w:t>
      </w:r>
      <w:r>
        <w:rPr>
          <w:spacing w:val="-3"/>
          <w:sz w:val="21"/>
        </w:rPr>
        <w:t>for </w:t>
      </w:r>
      <w:r>
        <w:rPr>
          <w:sz w:val="21"/>
        </w:rPr>
        <w:t>a body of law </w:t>
      </w:r>
      <w:r>
        <w:rPr>
          <w:spacing w:val="-3"/>
          <w:sz w:val="21"/>
        </w:rPr>
        <w:t>that </w:t>
      </w:r>
      <w:r>
        <w:rPr>
          <w:sz w:val="21"/>
        </w:rPr>
        <w:t>seeks </w:t>
      </w:r>
      <w:r>
        <w:rPr>
          <w:spacing w:val="-3"/>
          <w:sz w:val="21"/>
        </w:rPr>
        <w:t>to prevent </w:t>
      </w:r>
      <w:r>
        <w:rPr>
          <w:sz w:val="21"/>
        </w:rPr>
        <w:t>or </w:t>
      </w:r>
      <w:r>
        <w:rPr>
          <w:spacing w:val="-3"/>
          <w:sz w:val="21"/>
        </w:rPr>
        <w:t>punish </w:t>
      </w:r>
      <w:r>
        <w:rPr>
          <w:sz w:val="21"/>
        </w:rPr>
        <w:t>conduct  </w:t>
      </w:r>
      <w:r>
        <w:rPr>
          <w:spacing w:val="-3"/>
          <w:sz w:val="21"/>
        </w:rPr>
        <w:t>that interferes </w:t>
      </w:r>
      <w:r>
        <w:rPr>
          <w:sz w:val="21"/>
        </w:rPr>
        <w:t>with the proper </w:t>
      </w:r>
      <w:r>
        <w:rPr>
          <w:spacing w:val="-3"/>
          <w:sz w:val="21"/>
        </w:rPr>
        <w:t>administration </w:t>
      </w:r>
      <w:r>
        <w:rPr>
          <w:sz w:val="21"/>
        </w:rPr>
        <w:t>of </w:t>
      </w:r>
      <w:r>
        <w:rPr>
          <w:spacing w:val="-3"/>
          <w:sz w:val="21"/>
        </w:rPr>
        <w:t>justice, including </w:t>
      </w:r>
      <w:r>
        <w:rPr>
          <w:spacing w:val="-4"/>
          <w:sz w:val="21"/>
        </w:rPr>
        <w:t>failure  </w:t>
      </w:r>
      <w:r>
        <w:rPr>
          <w:spacing w:val="-3"/>
          <w:sz w:val="21"/>
        </w:rPr>
        <w:t>to  </w:t>
      </w:r>
      <w:r>
        <w:rPr>
          <w:sz w:val="21"/>
        </w:rPr>
        <w:t>comply with a </w:t>
      </w:r>
      <w:r>
        <w:rPr>
          <w:spacing w:val="-5"/>
          <w:sz w:val="21"/>
        </w:rPr>
        <w:t>Tribunal</w:t>
      </w:r>
      <w:r>
        <w:rPr>
          <w:spacing w:val="26"/>
          <w:sz w:val="21"/>
        </w:rPr>
        <w:t> </w:t>
      </w:r>
      <w:r>
        <w:rPr>
          <w:spacing w:val="-6"/>
          <w:sz w:val="21"/>
        </w:rPr>
        <w:t>order.</w:t>
      </w:r>
      <w:r>
        <w:rPr>
          <w:spacing w:val="-6"/>
          <w:position w:val="7"/>
          <w:sz w:val="12"/>
        </w:rPr>
        <w:t>133</w:t>
      </w:r>
    </w:p>
    <w:p>
      <w:pPr>
        <w:pStyle w:val="ListParagraph"/>
        <w:numPr>
          <w:ilvl w:val="1"/>
          <w:numId w:val="16"/>
        </w:numPr>
        <w:tabs>
          <w:tab w:pos="2381" w:val="left" w:leader="none"/>
          <w:tab w:pos="2382" w:val="left" w:leader="none"/>
        </w:tabs>
        <w:spacing w:line="240" w:lineRule="auto" w:before="88" w:after="0"/>
        <w:ind w:left="2381" w:right="0" w:hanging="794"/>
        <w:jc w:val="left"/>
        <w:rPr>
          <w:sz w:val="21"/>
        </w:rPr>
      </w:pPr>
      <w:r>
        <w:rPr>
          <w:spacing w:val="-5"/>
          <w:w w:val="105"/>
          <w:sz w:val="21"/>
        </w:rPr>
        <w:t>VCAT </w:t>
      </w:r>
      <w:r>
        <w:rPr>
          <w:w w:val="105"/>
          <w:sz w:val="21"/>
        </w:rPr>
        <w:t>itself does </w:t>
      </w:r>
      <w:r>
        <w:rPr>
          <w:spacing w:val="-2"/>
          <w:w w:val="105"/>
          <w:sz w:val="21"/>
        </w:rPr>
        <w:t>not </w:t>
      </w:r>
      <w:r>
        <w:rPr>
          <w:spacing w:val="-3"/>
          <w:w w:val="105"/>
          <w:sz w:val="21"/>
        </w:rPr>
        <w:t>have </w:t>
      </w:r>
      <w:r>
        <w:rPr>
          <w:w w:val="105"/>
          <w:sz w:val="21"/>
        </w:rPr>
        <w:t>power </w:t>
      </w:r>
      <w:r>
        <w:rPr>
          <w:spacing w:val="-3"/>
          <w:w w:val="105"/>
          <w:sz w:val="21"/>
        </w:rPr>
        <w:t>to enforce </w:t>
      </w:r>
      <w:r>
        <w:rPr>
          <w:w w:val="105"/>
          <w:sz w:val="21"/>
        </w:rPr>
        <w:t>monetary or non-monetary</w:t>
      </w:r>
      <w:r>
        <w:rPr>
          <w:spacing w:val="7"/>
          <w:w w:val="105"/>
          <w:sz w:val="21"/>
        </w:rPr>
        <w:t> </w:t>
      </w:r>
      <w:r>
        <w:rPr>
          <w:spacing w:val="-4"/>
          <w:w w:val="105"/>
          <w:sz w:val="21"/>
        </w:rPr>
        <w:t>orders.</w:t>
      </w:r>
      <w:r>
        <w:rPr>
          <w:spacing w:val="-4"/>
          <w:w w:val="105"/>
          <w:position w:val="7"/>
          <w:sz w:val="12"/>
        </w:rPr>
        <w:t>134</w:t>
      </w:r>
    </w:p>
    <w:p>
      <w:pPr>
        <w:pStyle w:val="ListParagraph"/>
        <w:numPr>
          <w:ilvl w:val="1"/>
          <w:numId w:val="16"/>
        </w:numPr>
        <w:tabs>
          <w:tab w:pos="2381" w:val="left" w:leader="none"/>
          <w:tab w:pos="2382" w:val="left" w:leader="none"/>
        </w:tabs>
        <w:spacing w:line="242" w:lineRule="auto" w:before="124" w:after="0"/>
        <w:ind w:left="2381" w:right="2053" w:hanging="794"/>
        <w:jc w:val="left"/>
        <w:rPr>
          <w:sz w:val="21"/>
        </w:rPr>
      </w:pPr>
      <w:r>
        <w:rPr>
          <w:spacing w:val="-3"/>
          <w:w w:val="105"/>
          <w:sz w:val="21"/>
        </w:rPr>
        <w:t>Enforcement proceedings </w:t>
      </w:r>
      <w:r>
        <w:rPr>
          <w:w w:val="105"/>
          <w:sz w:val="21"/>
        </w:rPr>
        <w:t>in </w:t>
      </w:r>
      <w:r>
        <w:rPr>
          <w:spacing w:val="-5"/>
          <w:w w:val="105"/>
          <w:sz w:val="21"/>
        </w:rPr>
        <w:t>VCAT </w:t>
      </w:r>
      <w:r>
        <w:rPr>
          <w:spacing w:val="-3"/>
          <w:w w:val="105"/>
          <w:sz w:val="21"/>
        </w:rPr>
        <w:t>will </w:t>
      </w:r>
      <w:r>
        <w:rPr>
          <w:w w:val="105"/>
          <w:sz w:val="21"/>
        </w:rPr>
        <w:t>be more </w:t>
      </w:r>
      <w:r>
        <w:rPr>
          <w:spacing w:val="-3"/>
          <w:w w:val="105"/>
          <w:sz w:val="21"/>
        </w:rPr>
        <w:t>accessible </w:t>
      </w:r>
      <w:r>
        <w:rPr>
          <w:w w:val="105"/>
          <w:sz w:val="21"/>
        </w:rPr>
        <w:t>with the </w:t>
      </w:r>
      <w:r>
        <w:rPr>
          <w:spacing w:val="-2"/>
          <w:w w:val="105"/>
          <w:sz w:val="21"/>
        </w:rPr>
        <w:t>implementation </w:t>
      </w:r>
      <w:r>
        <w:rPr>
          <w:w w:val="105"/>
          <w:sz w:val="21"/>
        </w:rPr>
        <w:t>of Part </w:t>
      </w:r>
      <w:r>
        <w:rPr>
          <w:spacing w:val="-6"/>
          <w:w w:val="105"/>
          <w:sz w:val="21"/>
        </w:rPr>
        <w:t>10 </w:t>
      </w:r>
      <w:r>
        <w:rPr>
          <w:w w:val="105"/>
          <w:sz w:val="21"/>
        </w:rPr>
        <w:t>Division five of the </w:t>
      </w:r>
      <w:r>
        <w:rPr>
          <w:i/>
          <w:spacing w:val="-3"/>
          <w:w w:val="105"/>
          <w:sz w:val="21"/>
        </w:rPr>
        <w:t>Justice Legislation </w:t>
      </w:r>
      <w:r>
        <w:rPr>
          <w:i/>
          <w:w w:val="105"/>
          <w:sz w:val="21"/>
        </w:rPr>
        <w:t>Amendment (Access to Justice) Act </w:t>
      </w:r>
      <w:r>
        <w:rPr>
          <w:i/>
          <w:spacing w:val="-8"/>
          <w:w w:val="105"/>
          <w:sz w:val="21"/>
        </w:rPr>
        <w:t>2018 </w:t>
      </w:r>
      <w:r>
        <w:rPr>
          <w:w w:val="105"/>
          <w:sz w:val="21"/>
        </w:rPr>
        <w:t>(Vic) (the </w:t>
      </w:r>
      <w:r>
        <w:rPr>
          <w:spacing w:val="-3"/>
          <w:w w:val="105"/>
          <w:sz w:val="21"/>
        </w:rPr>
        <w:t>amending </w:t>
      </w:r>
      <w:r>
        <w:rPr>
          <w:spacing w:val="-4"/>
          <w:w w:val="105"/>
          <w:sz w:val="21"/>
        </w:rPr>
        <w:t>Act).</w:t>
      </w:r>
      <w:r>
        <w:rPr>
          <w:spacing w:val="-4"/>
          <w:w w:val="105"/>
          <w:position w:val="7"/>
          <w:sz w:val="12"/>
        </w:rPr>
        <w:t>135 </w:t>
      </w:r>
      <w:r>
        <w:rPr>
          <w:w w:val="105"/>
          <w:sz w:val="21"/>
        </w:rPr>
        <w:t>The </w:t>
      </w:r>
      <w:r>
        <w:rPr>
          <w:spacing w:val="-3"/>
          <w:w w:val="105"/>
          <w:sz w:val="21"/>
        </w:rPr>
        <w:t>amending </w:t>
      </w:r>
      <w:r>
        <w:rPr>
          <w:w w:val="105"/>
          <w:sz w:val="21"/>
        </w:rPr>
        <w:t>Act </w:t>
      </w:r>
      <w:r>
        <w:rPr>
          <w:spacing w:val="-3"/>
          <w:w w:val="105"/>
          <w:sz w:val="21"/>
        </w:rPr>
        <w:t>will alter </w:t>
      </w:r>
      <w:r>
        <w:rPr>
          <w:w w:val="105"/>
          <w:sz w:val="21"/>
        </w:rPr>
        <w:t>some of the </w:t>
      </w:r>
      <w:r>
        <w:rPr>
          <w:spacing w:val="-3"/>
          <w:w w:val="105"/>
          <w:sz w:val="21"/>
        </w:rPr>
        <w:t>procedural requirements for </w:t>
      </w:r>
      <w:r>
        <w:rPr>
          <w:w w:val="105"/>
          <w:sz w:val="21"/>
        </w:rPr>
        <w:t>the </w:t>
      </w:r>
      <w:r>
        <w:rPr>
          <w:spacing w:val="-3"/>
          <w:w w:val="105"/>
          <w:sz w:val="21"/>
        </w:rPr>
        <w:t>enforcement </w:t>
      </w:r>
      <w:r>
        <w:rPr>
          <w:w w:val="105"/>
          <w:sz w:val="21"/>
        </w:rPr>
        <w:t>of </w:t>
      </w:r>
      <w:r>
        <w:rPr>
          <w:spacing w:val="-5"/>
          <w:w w:val="105"/>
          <w:sz w:val="21"/>
        </w:rPr>
        <w:t>VCAT </w:t>
      </w:r>
      <w:r>
        <w:rPr>
          <w:spacing w:val="-4"/>
          <w:w w:val="105"/>
          <w:sz w:val="21"/>
        </w:rPr>
        <w:t>orders.</w:t>
      </w:r>
      <w:r>
        <w:rPr>
          <w:spacing w:val="-4"/>
          <w:w w:val="105"/>
          <w:position w:val="7"/>
          <w:sz w:val="12"/>
        </w:rPr>
        <w:t>136</w:t>
      </w:r>
    </w:p>
    <w:p>
      <w:pPr>
        <w:pStyle w:val="Heading7"/>
      </w:pPr>
      <w:r>
        <w:rPr>
          <w:w w:val="115"/>
        </w:rPr>
        <w:t>Enforcing monetary orders</w:t>
      </w:r>
    </w:p>
    <w:p>
      <w:pPr>
        <w:pStyle w:val="ListParagraph"/>
        <w:numPr>
          <w:ilvl w:val="1"/>
          <w:numId w:val="16"/>
        </w:numPr>
        <w:tabs>
          <w:tab w:pos="2380" w:val="left" w:leader="none"/>
          <w:tab w:pos="2381" w:val="left" w:leader="none"/>
        </w:tabs>
        <w:spacing w:line="242" w:lineRule="auto" w:before="143" w:after="0"/>
        <w:ind w:left="2381" w:right="1623" w:hanging="794"/>
        <w:jc w:val="left"/>
        <w:rPr>
          <w:sz w:val="21"/>
        </w:rPr>
      </w:pPr>
      <w:r>
        <w:rPr>
          <w:spacing w:val="-4"/>
          <w:w w:val="105"/>
          <w:sz w:val="21"/>
        </w:rPr>
        <w:t>At </w:t>
      </w:r>
      <w:r>
        <w:rPr>
          <w:w w:val="105"/>
          <w:sz w:val="21"/>
        </w:rPr>
        <w:t>present, when a person does </w:t>
      </w:r>
      <w:r>
        <w:rPr>
          <w:spacing w:val="-2"/>
          <w:w w:val="105"/>
          <w:sz w:val="21"/>
        </w:rPr>
        <w:t>not </w:t>
      </w:r>
      <w:r>
        <w:rPr>
          <w:w w:val="105"/>
          <w:sz w:val="21"/>
        </w:rPr>
        <w:t>comply with a </w:t>
      </w:r>
      <w:r>
        <w:rPr>
          <w:spacing w:val="-5"/>
          <w:w w:val="105"/>
          <w:sz w:val="21"/>
        </w:rPr>
        <w:t>VCAT </w:t>
      </w:r>
      <w:r>
        <w:rPr>
          <w:w w:val="105"/>
          <w:sz w:val="21"/>
        </w:rPr>
        <w:t>monetary </w:t>
      </w:r>
      <w:r>
        <w:rPr>
          <w:spacing w:val="-4"/>
          <w:w w:val="105"/>
          <w:sz w:val="21"/>
        </w:rPr>
        <w:t>order, </w:t>
      </w:r>
      <w:r>
        <w:rPr>
          <w:w w:val="105"/>
          <w:sz w:val="21"/>
        </w:rPr>
        <w:t>the aggrieved party can pursue the </w:t>
      </w:r>
      <w:r>
        <w:rPr>
          <w:spacing w:val="-3"/>
          <w:w w:val="105"/>
          <w:sz w:val="21"/>
        </w:rPr>
        <w:t>amount </w:t>
      </w:r>
      <w:r>
        <w:rPr>
          <w:w w:val="105"/>
          <w:sz w:val="21"/>
        </w:rPr>
        <w:t>as a </w:t>
      </w:r>
      <w:r>
        <w:rPr>
          <w:spacing w:val="-3"/>
          <w:w w:val="105"/>
          <w:sz w:val="21"/>
        </w:rPr>
        <w:t>judgment </w:t>
      </w:r>
      <w:r>
        <w:rPr>
          <w:w w:val="105"/>
          <w:sz w:val="21"/>
        </w:rPr>
        <w:t>debt in the court of </w:t>
      </w:r>
      <w:r>
        <w:rPr>
          <w:spacing w:val="-3"/>
          <w:w w:val="105"/>
          <w:sz w:val="21"/>
        </w:rPr>
        <w:t>relevant jurisdictional limit</w:t>
      </w:r>
      <w:r>
        <w:rPr>
          <w:spacing w:val="-6"/>
          <w:w w:val="105"/>
          <w:sz w:val="21"/>
        </w:rPr>
        <w:t> </w:t>
      </w:r>
      <w:r>
        <w:rPr>
          <w:w w:val="105"/>
          <w:sz w:val="21"/>
        </w:rPr>
        <w:t>by</w:t>
      </w:r>
      <w:r>
        <w:rPr>
          <w:spacing w:val="-6"/>
          <w:w w:val="105"/>
          <w:sz w:val="21"/>
        </w:rPr>
        <w:t> </w:t>
      </w:r>
      <w:r>
        <w:rPr>
          <w:spacing w:val="-3"/>
          <w:w w:val="105"/>
          <w:sz w:val="21"/>
        </w:rPr>
        <w:t>filing</w:t>
      </w:r>
      <w:r>
        <w:rPr>
          <w:spacing w:val="-6"/>
          <w:w w:val="105"/>
          <w:sz w:val="21"/>
        </w:rPr>
        <w:t> </w:t>
      </w:r>
      <w:r>
        <w:rPr>
          <w:w w:val="105"/>
          <w:sz w:val="21"/>
        </w:rPr>
        <w:t>the</w:t>
      </w:r>
      <w:r>
        <w:rPr>
          <w:spacing w:val="-5"/>
          <w:w w:val="105"/>
          <w:sz w:val="21"/>
        </w:rPr>
        <w:t> </w:t>
      </w:r>
      <w:r>
        <w:rPr>
          <w:w w:val="105"/>
          <w:sz w:val="21"/>
        </w:rPr>
        <w:t>order</w:t>
      </w:r>
      <w:r>
        <w:rPr>
          <w:spacing w:val="-6"/>
          <w:w w:val="105"/>
          <w:sz w:val="21"/>
        </w:rPr>
        <w:t> </w:t>
      </w:r>
      <w:r>
        <w:rPr>
          <w:w w:val="105"/>
          <w:sz w:val="21"/>
        </w:rPr>
        <w:t>in</w:t>
      </w:r>
      <w:r>
        <w:rPr>
          <w:spacing w:val="-6"/>
          <w:w w:val="105"/>
          <w:sz w:val="21"/>
        </w:rPr>
        <w:t> </w:t>
      </w:r>
      <w:r>
        <w:rPr>
          <w:w w:val="105"/>
          <w:sz w:val="21"/>
        </w:rPr>
        <w:t>the</w:t>
      </w:r>
      <w:r>
        <w:rPr>
          <w:spacing w:val="-5"/>
          <w:w w:val="105"/>
          <w:sz w:val="21"/>
        </w:rPr>
        <w:t> </w:t>
      </w:r>
      <w:r>
        <w:rPr>
          <w:spacing w:val="-3"/>
          <w:w w:val="105"/>
          <w:sz w:val="21"/>
        </w:rPr>
        <w:t>relevant</w:t>
      </w:r>
      <w:r>
        <w:rPr>
          <w:spacing w:val="-6"/>
          <w:w w:val="105"/>
          <w:sz w:val="21"/>
        </w:rPr>
        <w:t> </w:t>
      </w:r>
      <w:r>
        <w:rPr>
          <w:spacing w:val="-4"/>
          <w:w w:val="105"/>
          <w:sz w:val="21"/>
        </w:rPr>
        <w:t>court.</w:t>
      </w:r>
      <w:r>
        <w:rPr>
          <w:spacing w:val="-4"/>
          <w:w w:val="105"/>
          <w:position w:val="7"/>
          <w:sz w:val="12"/>
        </w:rPr>
        <w:t>137</w:t>
      </w:r>
      <w:r>
        <w:rPr>
          <w:spacing w:val="17"/>
          <w:w w:val="105"/>
          <w:position w:val="7"/>
          <w:sz w:val="12"/>
        </w:rPr>
        <w:t> </w:t>
      </w:r>
      <w:r>
        <w:rPr>
          <w:w w:val="105"/>
          <w:sz w:val="21"/>
        </w:rPr>
        <w:t>For</w:t>
      </w:r>
      <w:r>
        <w:rPr>
          <w:spacing w:val="-6"/>
          <w:w w:val="105"/>
          <w:sz w:val="21"/>
        </w:rPr>
        <w:t> </w:t>
      </w:r>
      <w:r>
        <w:rPr>
          <w:w w:val="105"/>
          <w:sz w:val="21"/>
        </w:rPr>
        <w:t>tree</w:t>
      </w:r>
      <w:r>
        <w:rPr>
          <w:spacing w:val="-5"/>
          <w:w w:val="105"/>
          <w:sz w:val="21"/>
        </w:rPr>
        <w:t> </w:t>
      </w:r>
      <w:r>
        <w:rPr>
          <w:spacing w:val="-3"/>
          <w:w w:val="105"/>
          <w:sz w:val="21"/>
        </w:rPr>
        <w:t>disputes</w:t>
      </w:r>
      <w:r>
        <w:rPr>
          <w:spacing w:val="-6"/>
          <w:w w:val="105"/>
          <w:sz w:val="21"/>
        </w:rPr>
        <w:t> </w:t>
      </w:r>
      <w:r>
        <w:rPr>
          <w:w w:val="105"/>
          <w:sz w:val="21"/>
        </w:rPr>
        <w:t>under</w:t>
      </w:r>
      <w:r>
        <w:rPr>
          <w:spacing w:val="-6"/>
          <w:w w:val="105"/>
          <w:sz w:val="21"/>
        </w:rPr>
        <w:t> </w:t>
      </w:r>
      <w:r>
        <w:rPr>
          <w:w w:val="105"/>
          <w:sz w:val="21"/>
        </w:rPr>
        <w:t>the</w:t>
      </w:r>
      <w:r>
        <w:rPr>
          <w:spacing w:val="-5"/>
          <w:w w:val="105"/>
          <w:sz w:val="21"/>
        </w:rPr>
        <w:t> </w:t>
      </w:r>
      <w:r>
        <w:rPr>
          <w:w w:val="105"/>
          <w:sz w:val="21"/>
        </w:rPr>
        <w:t>new</w:t>
      </w:r>
      <w:r>
        <w:rPr>
          <w:spacing w:val="-6"/>
          <w:w w:val="105"/>
          <w:sz w:val="21"/>
        </w:rPr>
        <w:t> </w:t>
      </w:r>
      <w:r>
        <w:rPr>
          <w:w w:val="105"/>
          <w:sz w:val="21"/>
        </w:rPr>
        <w:t>Act,</w:t>
      </w:r>
      <w:r>
        <w:rPr>
          <w:spacing w:val="-6"/>
          <w:w w:val="105"/>
          <w:sz w:val="21"/>
        </w:rPr>
        <w:t> </w:t>
      </w:r>
      <w:r>
        <w:rPr>
          <w:w w:val="105"/>
          <w:sz w:val="21"/>
        </w:rPr>
        <w:t>this</w:t>
      </w:r>
      <w:r>
        <w:rPr>
          <w:spacing w:val="-5"/>
          <w:w w:val="105"/>
          <w:sz w:val="21"/>
        </w:rPr>
        <w:t> </w:t>
      </w:r>
      <w:r>
        <w:rPr>
          <w:w w:val="105"/>
          <w:sz w:val="21"/>
        </w:rPr>
        <w:t>is mostly</w:t>
      </w:r>
      <w:r>
        <w:rPr>
          <w:spacing w:val="4"/>
          <w:w w:val="105"/>
          <w:sz w:val="21"/>
        </w:rPr>
        <w:t> </w:t>
      </w:r>
      <w:r>
        <w:rPr>
          <w:spacing w:val="-4"/>
          <w:w w:val="105"/>
          <w:sz w:val="21"/>
        </w:rPr>
        <w:t>like</w:t>
      </w:r>
      <w:r>
        <w:rPr>
          <w:spacing w:val="4"/>
          <w:w w:val="105"/>
          <w:sz w:val="21"/>
        </w:rPr>
        <w:t> </w:t>
      </w:r>
      <w:r>
        <w:rPr>
          <w:spacing w:val="-3"/>
          <w:w w:val="105"/>
          <w:sz w:val="21"/>
        </w:rPr>
        <w:t>to</w:t>
      </w:r>
      <w:r>
        <w:rPr>
          <w:spacing w:val="4"/>
          <w:w w:val="105"/>
          <w:sz w:val="21"/>
        </w:rPr>
        <w:t> </w:t>
      </w:r>
      <w:r>
        <w:rPr>
          <w:w w:val="105"/>
          <w:sz w:val="21"/>
        </w:rPr>
        <w:t>be</w:t>
      </w:r>
      <w:r>
        <w:rPr>
          <w:spacing w:val="4"/>
          <w:w w:val="105"/>
          <w:sz w:val="21"/>
        </w:rPr>
        <w:t> </w:t>
      </w:r>
      <w:r>
        <w:rPr>
          <w:w w:val="105"/>
          <w:sz w:val="21"/>
        </w:rPr>
        <w:t>the</w:t>
      </w:r>
      <w:r>
        <w:rPr>
          <w:spacing w:val="4"/>
          <w:w w:val="105"/>
          <w:sz w:val="21"/>
        </w:rPr>
        <w:t> </w:t>
      </w:r>
      <w:r>
        <w:rPr>
          <w:spacing w:val="-3"/>
          <w:w w:val="105"/>
          <w:sz w:val="21"/>
        </w:rPr>
        <w:t>Magistrates’</w:t>
      </w:r>
      <w:r>
        <w:rPr>
          <w:spacing w:val="4"/>
          <w:w w:val="105"/>
          <w:sz w:val="21"/>
        </w:rPr>
        <w:t> </w:t>
      </w:r>
      <w:r>
        <w:rPr>
          <w:spacing w:val="-3"/>
          <w:w w:val="105"/>
          <w:sz w:val="21"/>
        </w:rPr>
        <w:t>Court</w:t>
      </w:r>
      <w:r>
        <w:rPr>
          <w:spacing w:val="4"/>
          <w:w w:val="105"/>
          <w:sz w:val="21"/>
        </w:rPr>
        <w:t> </w:t>
      </w:r>
      <w:r>
        <w:rPr>
          <w:w w:val="105"/>
          <w:sz w:val="21"/>
        </w:rPr>
        <w:t>which</w:t>
      </w:r>
      <w:r>
        <w:rPr>
          <w:spacing w:val="4"/>
          <w:w w:val="105"/>
          <w:sz w:val="21"/>
        </w:rPr>
        <w:t> </w:t>
      </w:r>
      <w:r>
        <w:rPr>
          <w:spacing w:val="-2"/>
          <w:w w:val="105"/>
          <w:sz w:val="21"/>
        </w:rPr>
        <w:t>has</w:t>
      </w:r>
      <w:r>
        <w:rPr>
          <w:spacing w:val="4"/>
          <w:w w:val="105"/>
          <w:sz w:val="21"/>
        </w:rPr>
        <w:t> </w:t>
      </w:r>
      <w:r>
        <w:rPr>
          <w:w w:val="105"/>
          <w:sz w:val="21"/>
        </w:rPr>
        <w:t>a</w:t>
      </w:r>
      <w:r>
        <w:rPr>
          <w:spacing w:val="4"/>
          <w:w w:val="105"/>
          <w:sz w:val="21"/>
        </w:rPr>
        <w:t> </w:t>
      </w:r>
      <w:r>
        <w:rPr>
          <w:spacing w:val="-3"/>
          <w:w w:val="105"/>
          <w:sz w:val="21"/>
        </w:rPr>
        <w:t>jurisdictional</w:t>
      </w:r>
      <w:r>
        <w:rPr>
          <w:spacing w:val="4"/>
          <w:w w:val="105"/>
          <w:sz w:val="21"/>
        </w:rPr>
        <w:t> </w:t>
      </w:r>
      <w:r>
        <w:rPr>
          <w:spacing w:val="-3"/>
          <w:w w:val="105"/>
          <w:sz w:val="21"/>
        </w:rPr>
        <w:t>limit</w:t>
      </w:r>
      <w:r>
        <w:rPr>
          <w:spacing w:val="4"/>
          <w:w w:val="105"/>
          <w:sz w:val="21"/>
        </w:rPr>
        <w:t> </w:t>
      </w:r>
      <w:r>
        <w:rPr>
          <w:w w:val="105"/>
          <w:sz w:val="21"/>
        </w:rPr>
        <w:t>of</w:t>
      </w:r>
      <w:r>
        <w:rPr>
          <w:spacing w:val="4"/>
          <w:w w:val="105"/>
          <w:sz w:val="21"/>
        </w:rPr>
        <w:t> </w:t>
      </w:r>
      <w:r>
        <w:rPr>
          <w:spacing w:val="-5"/>
          <w:w w:val="105"/>
          <w:sz w:val="21"/>
        </w:rPr>
        <w:t>$100,000.</w:t>
      </w:r>
      <w:r>
        <w:rPr>
          <w:spacing w:val="-5"/>
          <w:w w:val="105"/>
          <w:position w:val="7"/>
          <w:sz w:val="12"/>
        </w:rPr>
        <w:t>138</w:t>
      </w:r>
    </w:p>
    <w:p>
      <w:pPr>
        <w:pStyle w:val="ListParagraph"/>
        <w:numPr>
          <w:ilvl w:val="1"/>
          <w:numId w:val="16"/>
        </w:numPr>
        <w:tabs>
          <w:tab w:pos="2381" w:val="left" w:leader="none"/>
          <w:tab w:pos="2382" w:val="left" w:leader="none"/>
        </w:tabs>
        <w:spacing w:line="242" w:lineRule="auto" w:before="125" w:after="0"/>
        <w:ind w:left="2381" w:right="1924" w:hanging="794"/>
        <w:jc w:val="left"/>
        <w:rPr>
          <w:sz w:val="21"/>
        </w:rPr>
      </w:pPr>
      <w:r>
        <w:rPr>
          <w:w w:val="105"/>
          <w:sz w:val="21"/>
        </w:rPr>
        <w:t>A person </w:t>
      </w:r>
      <w:r>
        <w:rPr>
          <w:spacing w:val="-3"/>
          <w:w w:val="105"/>
          <w:sz w:val="21"/>
        </w:rPr>
        <w:t>will </w:t>
      </w:r>
      <w:r>
        <w:rPr>
          <w:w w:val="105"/>
          <w:sz w:val="21"/>
        </w:rPr>
        <w:t>need </w:t>
      </w:r>
      <w:r>
        <w:rPr>
          <w:spacing w:val="-3"/>
          <w:w w:val="105"/>
          <w:sz w:val="21"/>
        </w:rPr>
        <w:t>to </w:t>
      </w:r>
      <w:r>
        <w:rPr>
          <w:w w:val="105"/>
          <w:sz w:val="21"/>
        </w:rPr>
        <w:t>file in the </w:t>
      </w:r>
      <w:r>
        <w:rPr>
          <w:spacing w:val="-3"/>
          <w:w w:val="105"/>
          <w:sz w:val="21"/>
        </w:rPr>
        <w:t>Magistrates’ Court </w:t>
      </w:r>
      <w:r>
        <w:rPr>
          <w:w w:val="105"/>
          <w:sz w:val="21"/>
        </w:rPr>
        <w:t>a certified true </w:t>
      </w:r>
      <w:r>
        <w:rPr>
          <w:spacing w:val="-3"/>
          <w:w w:val="105"/>
          <w:sz w:val="21"/>
        </w:rPr>
        <w:t>copy </w:t>
      </w:r>
      <w:r>
        <w:rPr>
          <w:w w:val="105"/>
          <w:sz w:val="21"/>
        </w:rPr>
        <w:t>of the </w:t>
      </w:r>
      <w:r>
        <w:rPr>
          <w:spacing w:val="-5"/>
          <w:w w:val="105"/>
          <w:sz w:val="21"/>
        </w:rPr>
        <w:t>VCAT </w:t>
      </w:r>
      <w:r>
        <w:rPr>
          <w:w w:val="105"/>
          <w:sz w:val="21"/>
        </w:rPr>
        <w:t>order and an affidavit about the </w:t>
      </w:r>
      <w:r>
        <w:rPr>
          <w:spacing w:val="-3"/>
          <w:w w:val="105"/>
          <w:sz w:val="21"/>
        </w:rPr>
        <w:t>amount </w:t>
      </w:r>
      <w:r>
        <w:rPr>
          <w:spacing w:val="-2"/>
          <w:w w:val="105"/>
          <w:sz w:val="21"/>
        </w:rPr>
        <w:t>not </w:t>
      </w:r>
      <w:r>
        <w:rPr>
          <w:spacing w:val="-3"/>
          <w:w w:val="105"/>
          <w:sz w:val="21"/>
        </w:rPr>
        <w:t>paid. </w:t>
      </w:r>
      <w:r>
        <w:rPr>
          <w:w w:val="105"/>
          <w:sz w:val="21"/>
        </w:rPr>
        <w:t>There is no fee </w:t>
      </w:r>
      <w:r>
        <w:rPr>
          <w:spacing w:val="-3"/>
          <w:w w:val="105"/>
          <w:sz w:val="21"/>
        </w:rPr>
        <w:t>for filing </w:t>
      </w:r>
      <w:r>
        <w:rPr>
          <w:w w:val="105"/>
          <w:sz w:val="21"/>
        </w:rPr>
        <w:t>an </w:t>
      </w:r>
      <w:r>
        <w:rPr>
          <w:spacing w:val="-6"/>
          <w:w w:val="105"/>
          <w:sz w:val="21"/>
        </w:rPr>
        <w:t>order.</w:t>
      </w:r>
      <w:r>
        <w:rPr>
          <w:spacing w:val="-6"/>
          <w:w w:val="105"/>
          <w:position w:val="7"/>
          <w:sz w:val="12"/>
        </w:rPr>
        <w:t>139</w:t>
      </w:r>
      <w:r>
        <w:rPr>
          <w:spacing w:val="-6"/>
          <w:w w:val="105"/>
          <w:sz w:val="12"/>
        </w:rPr>
        <w:t> </w:t>
      </w:r>
      <w:r>
        <w:rPr>
          <w:w w:val="105"/>
          <w:sz w:val="21"/>
        </w:rPr>
        <w:t>Once filed, the </w:t>
      </w:r>
      <w:r>
        <w:rPr>
          <w:spacing w:val="-5"/>
          <w:w w:val="105"/>
          <w:sz w:val="21"/>
        </w:rPr>
        <w:t>VCAT </w:t>
      </w:r>
      <w:r>
        <w:rPr>
          <w:w w:val="105"/>
          <w:sz w:val="21"/>
        </w:rPr>
        <w:t>order </w:t>
      </w:r>
      <w:r>
        <w:rPr>
          <w:spacing w:val="-3"/>
          <w:w w:val="105"/>
          <w:sz w:val="21"/>
        </w:rPr>
        <w:t>will </w:t>
      </w:r>
      <w:r>
        <w:rPr>
          <w:w w:val="105"/>
          <w:sz w:val="21"/>
        </w:rPr>
        <w:t>be </w:t>
      </w:r>
      <w:r>
        <w:rPr>
          <w:spacing w:val="-3"/>
          <w:w w:val="105"/>
          <w:sz w:val="21"/>
        </w:rPr>
        <w:t>taken to </w:t>
      </w:r>
      <w:r>
        <w:rPr>
          <w:w w:val="105"/>
          <w:sz w:val="21"/>
        </w:rPr>
        <w:t>be an order of the </w:t>
      </w:r>
      <w:r>
        <w:rPr>
          <w:spacing w:val="-3"/>
          <w:w w:val="105"/>
          <w:sz w:val="21"/>
        </w:rPr>
        <w:t>Magistrates’ Court </w:t>
      </w:r>
      <w:r>
        <w:rPr>
          <w:w w:val="105"/>
          <w:sz w:val="21"/>
        </w:rPr>
        <w:t>and </w:t>
      </w:r>
      <w:r>
        <w:rPr>
          <w:spacing w:val="-3"/>
          <w:w w:val="105"/>
          <w:sz w:val="21"/>
        </w:rPr>
        <w:t>enforced</w:t>
      </w:r>
      <w:r>
        <w:rPr>
          <w:spacing w:val="5"/>
          <w:w w:val="105"/>
          <w:sz w:val="21"/>
        </w:rPr>
        <w:t> </w:t>
      </w:r>
      <w:r>
        <w:rPr>
          <w:spacing w:val="-5"/>
          <w:w w:val="105"/>
          <w:sz w:val="21"/>
        </w:rPr>
        <w:t>accordingly.</w:t>
      </w:r>
      <w:r>
        <w:rPr>
          <w:spacing w:val="-5"/>
          <w:w w:val="105"/>
          <w:position w:val="7"/>
          <w:sz w:val="12"/>
        </w:rPr>
        <w:t>140</w:t>
      </w:r>
    </w:p>
    <w:p>
      <w:pPr>
        <w:pStyle w:val="ListParagraph"/>
        <w:numPr>
          <w:ilvl w:val="1"/>
          <w:numId w:val="16"/>
        </w:numPr>
        <w:tabs>
          <w:tab w:pos="2381" w:val="left" w:leader="none"/>
          <w:tab w:pos="2382" w:val="left" w:leader="none"/>
        </w:tabs>
        <w:spacing w:line="242" w:lineRule="auto" w:before="124" w:after="0"/>
        <w:ind w:left="2381" w:right="1696" w:hanging="794"/>
        <w:jc w:val="left"/>
        <w:rPr>
          <w:sz w:val="21"/>
        </w:rPr>
      </w:pPr>
      <w:r>
        <w:rPr>
          <w:sz w:val="21"/>
        </w:rPr>
        <w:t>When the </w:t>
      </w:r>
      <w:r>
        <w:rPr>
          <w:spacing w:val="-3"/>
          <w:sz w:val="21"/>
        </w:rPr>
        <w:t>relevant provisions </w:t>
      </w:r>
      <w:r>
        <w:rPr>
          <w:sz w:val="21"/>
        </w:rPr>
        <w:t>of the </w:t>
      </w:r>
      <w:r>
        <w:rPr>
          <w:spacing w:val="-3"/>
          <w:sz w:val="21"/>
        </w:rPr>
        <w:t>amending </w:t>
      </w:r>
      <w:r>
        <w:rPr>
          <w:sz w:val="21"/>
        </w:rPr>
        <w:t>Act come </w:t>
      </w:r>
      <w:r>
        <w:rPr>
          <w:spacing w:val="-4"/>
          <w:sz w:val="21"/>
        </w:rPr>
        <w:t>into  </w:t>
      </w:r>
      <w:r>
        <w:rPr>
          <w:spacing w:val="-3"/>
          <w:sz w:val="21"/>
        </w:rPr>
        <w:t>operation,  </w:t>
      </w:r>
      <w:r>
        <w:rPr>
          <w:sz w:val="21"/>
        </w:rPr>
        <w:t>the  aggrieved party </w:t>
      </w:r>
      <w:r>
        <w:rPr>
          <w:spacing w:val="-3"/>
          <w:sz w:val="21"/>
        </w:rPr>
        <w:t>will  </w:t>
      </w:r>
      <w:r>
        <w:rPr>
          <w:sz w:val="21"/>
        </w:rPr>
        <w:t>no longer need </w:t>
      </w:r>
      <w:r>
        <w:rPr>
          <w:spacing w:val="-3"/>
          <w:sz w:val="21"/>
        </w:rPr>
        <w:t>to</w:t>
      </w:r>
      <w:r>
        <w:rPr>
          <w:spacing w:val="41"/>
          <w:sz w:val="21"/>
        </w:rPr>
        <w:t> </w:t>
      </w:r>
      <w:r>
        <w:rPr>
          <w:spacing w:val="-3"/>
          <w:sz w:val="21"/>
        </w:rPr>
        <w:t>take  any  additional  procedural  </w:t>
      </w:r>
      <w:r>
        <w:rPr>
          <w:sz w:val="21"/>
        </w:rPr>
        <w:t>steps </w:t>
      </w:r>
      <w:r>
        <w:rPr>
          <w:spacing w:val="-3"/>
          <w:sz w:val="21"/>
        </w:rPr>
        <w:t>to  </w:t>
      </w:r>
      <w:r>
        <w:rPr>
          <w:sz w:val="21"/>
        </w:rPr>
        <w:t>file the </w:t>
      </w:r>
      <w:r>
        <w:rPr>
          <w:spacing w:val="-5"/>
          <w:sz w:val="21"/>
        </w:rPr>
        <w:t>VCAT  </w:t>
      </w:r>
      <w:r>
        <w:rPr>
          <w:sz w:val="21"/>
        </w:rPr>
        <w:t>order  in the </w:t>
      </w:r>
      <w:r>
        <w:rPr>
          <w:spacing w:val="-3"/>
          <w:sz w:val="21"/>
        </w:rPr>
        <w:t>relevant </w:t>
      </w:r>
      <w:r>
        <w:rPr>
          <w:sz w:val="21"/>
        </w:rPr>
        <w:t>court. The </w:t>
      </w:r>
      <w:r>
        <w:rPr>
          <w:spacing w:val="-5"/>
          <w:sz w:val="21"/>
        </w:rPr>
        <w:t>VCAT </w:t>
      </w:r>
      <w:r>
        <w:rPr>
          <w:sz w:val="21"/>
        </w:rPr>
        <w:t>order </w:t>
      </w:r>
      <w:r>
        <w:rPr>
          <w:spacing w:val="-3"/>
          <w:sz w:val="21"/>
        </w:rPr>
        <w:t>will </w:t>
      </w:r>
      <w:r>
        <w:rPr>
          <w:sz w:val="21"/>
        </w:rPr>
        <w:t>be </w:t>
      </w:r>
      <w:r>
        <w:rPr>
          <w:spacing w:val="-3"/>
          <w:sz w:val="21"/>
        </w:rPr>
        <w:t>automatically </w:t>
      </w:r>
      <w:r>
        <w:rPr>
          <w:sz w:val="21"/>
        </w:rPr>
        <w:t>deemed </w:t>
      </w:r>
      <w:r>
        <w:rPr>
          <w:spacing w:val="-3"/>
          <w:sz w:val="21"/>
        </w:rPr>
        <w:t>to </w:t>
      </w:r>
      <w:r>
        <w:rPr>
          <w:sz w:val="21"/>
        </w:rPr>
        <w:t>be an order of the court and </w:t>
      </w:r>
      <w:r>
        <w:rPr>
          <w:spacing w:val="-3"/>
          <w:sz w:val="21"/>
        </w:rPr>
        <w:t>enforced accordingly </w:t>
      </w:r>
      <w:r>
        <w:rPr>
          <w:sz w:val="21"/>
        </w:rPr>
        <w:t>once </w:t>
      </w:r>
      <w:r>
        <w:rPr>
          <w:spacing w:val="-3"/>
          <w:sz w:val="21"/>
        </w:rPr>
        <w:t>enforcement proceedings are </w:t>
      </w:r>
      <w:r>
        <w:rPr>
          <w:spacing w:val="-5"/>
          <w:sz w:val="21"/>
        </w:rPr>
        <w:t>commenced.</w:t>
      </w:r>
      <w:r>
        <w:rPr>
          <w:spacing w:val="-5"/>
          <w:position w:val="7"/>
          <w:sz w:val="12"/>
        </w:rPr>
        <w:t>141 </w:t>
      </w:r>
      <w:r>
        <w:rPr>
          <w:sz w:val="21"/>
        </w:rPr>
        <w:t>This </w:t>
      </w:r>
      <w:r>
        <w:rPr>
          <w:spacing w:val="-3"/>
          <w:sz w:val="21"/>
        </w:rPr>
        <w:t>is intended</w:t>
      </w:r>
      <w:r>
        <w:rPr>
          <w:spacing w:val="13"/>
          <w:sz w:val="21"/>
        </w:rPr>
        <w:t> </w:t>
      </w:r>
      <w:r>
        <w:rPr>
          <w:spacing w:val="-3"/>
          <w:sz w:val="21"/>
        </w:rPr>
        <w:t>to</w:t>
      </w:r>
      <w:r>
        <w:rPr>
          <w:spacing w:val="14"/>
          <w:sz w:val="21"/>
        </w:rPr>
        <w:t> </w:t>
      </w:r>
      <w:r>
        <w:rPr>
          <w:sz w:val="21"/>
        </w:rPr>
        <w:t>avoid</w:t>
      </w:r>
      <w:r>
        <w:rPr>
          <w:spacing w:val="14"/>
          <w:sz w:val="21"/>
        </w:rPr>
        <w:t> </w:t>
      </w:r>
      <w:r>
        <w:rPr>
          <w:spacing w:val="-3"/>
          <w:sz w:val="21"/>
        </w:rPr>
        <w:t>additional</w:t>
      </w:r>
      <w:r>
        <w:rPr>
          <w:spacing w:val="13"/>
          <w:sz w:val="21"/>
        </w:rPr>
        <w:t> </w:t>
      </w:r>
      <w:r>
        <w:rPr>
          <w:spacing w:val="-3"/>
          <w:sz w:val="21"/>
        </w:rPr>
        <w:t>procedural</w:t>
      </w:r>
      <w:r>
        <w:rPr>
          <w:spacing w:val="14"/>
          <w:sz w:val="21"/>
        </w:rPr>
        <w:t> </w:t>
      </w:r>
      <w:r>
        <w:rPr>
          <w:sz w:val="21"/>
        </w:rPr>
        <w:t>burden</w:t>
      </w:r>
      <w:r>
        <w:rPr>
          <w:spacing w:val="14"/>
          <w:sz w:val="21"/>
        </w:rPr>
        <w:t> </w:t>
      </w:r>
      <w:r>
        <w:rPr>
          <w:spacing w:val="-3"/>
          <w:sz w:val="21"/>
        </w:rPr>
        <w:t>to</w:t>
      </w:r>
      <w:r>
        <w:rPr>
          <w:spacing w:val="13"/>
          <w:sz w:val="21"/>
        </w:rPr>
        <w:t> </w:t>
      </w:r>
      <w:r>
        <w:rPr>
          <w:sz w:val="21"/>
        </w:rPr>
        <w:t>the</w:t>
      </w:r>
      <w:r>
        <w:rPr>
          <w:spacing w:val="14"/>
          <w:sz w:val="21"/>
        </w:rPr>
        <w:t> </w:t>
      </w:r>
      <w:r>
        <w:rPr>
          <w:spacing w:val="-3"/>
          <w:sz w:val="21"/>
        </w:rPr>
        <w:t>successful</w:t>
      </w:r>
      <w:r>
        <w:rPr>
          <w:spacing w:val="14"/>
          <w:sz w:val="21"/>
        </w:rPr>
        <w:t> </w:t>
      </w:r>
      <w:r>
        <w:rPr>
          <w:spacing w:val="-5"/>
          <w:sz w:val="21"/>
        </w:rPr>
        <w:t>party.</w:t>
      </w:r>
      <w:r>
        <w:rPr>
          <w:spacing w:val="-5"/>
          <w:position w:val="7"/>
          <w:sz w:val="12"/>
        </w:rPr>
        <w:t>142</w:t>
      </w:r>
    </w:p>
    <w:p>
      <w:pPr>
        <w:pStyle w:val="Heading7"/>
        <w:spacing w:before="156"/>
      </w:pPr>
      <w:r>
        <w:rPr>
          <w:w w:val="115"/>
        </w:rPr>
        <w:t>Enforcing non-monetary orders</w:t>
      </w:r>
    </w:p>
    <w:p>
      <w:pPr>
        <w:pStyle w:val="ListParagraph"/>
        <w:numPr>
          <w:ilvl w:val="1"/>
          <w:numId w:val="16"/>
        </w:numPr>
        <w:tabs>
          <w:tab w:pos="2381" w:val="left" w:leader="none"/>
          <w:tab w:pos="2382" w:val="left" w:leader="none"/>
        </w:tabs>
        <w:spacing w:line="242" w:lineRule="auto" w:before="142" w:after="0"/>
        <w:ind w:left="2381" w:right="2221" w:hanging="794"/>
        <w:jc w:val="left"/>
        <w:rPr>
          <w:sz w:val="21"/>
        </w:rPr>
      </w:pPr>
      <w:r>
        <w:rPr>
          <w:w w:val="105"/>
          <w:sz w:val="21"/>
        </w:rPr>
        <w:t>When a person does </w:t>
      </w:r>
      <w:r>
        <w:rPr>
          <w:spacing w:val="-2"/>
          <w:w w:val="105"/>
          <w:sz w:val="21"/>
        </w:rPr>
        <w:t>not </w:t>
      </w:r>
      <w:r>
        <w:rPr>
          <w:w w:val="105"/>
          <w:sz w:val="21"/>
        </w:rPr>
        <w:t>comply with a non-monetary order issued by </w:t>
      </w:r>
      <w:r>
        <w:rPr>
          <w:spacing w:val="-8"/>
          <w:w w:val="105"/>
          <w:sz w:val="21"/>
        </w:rPr>
        <w:t>VCAT, </w:t>
      </w:r>
      <w:r>
        <w:rPr>
          <w:w w:val="105"/>
          <w:sz w:val="21"/>
        </w:rPr>
        <w:t>the aggrieved</w:t>
      </w:r>
      <w:r>
        <w:rPr>
          <w:spacing w:val="-6"/>
          <w:w w:val="105"/>
          <w:sz w:val="21"/>
        </w:rPr>
        <w:t> </w:t>
      </w:r>
      <w:r>
        <w:rPr>
          <w:w w:val="105"/>
          <w:sz w:val="21"/>
        </w:rPr>
        <w:t>party</w:t>
      </w:r>
      <w:r>
        <w:rPr>
          <w:spacing w:val="-6"/>
          <w:w w:val="105"/>
          <w:sz w:val="21"/>
        </w:rPr>
        <w:t> </w:t>
      </w:r>
      <w:r>
        <w:rPr>
          <w:w w:val="105"/>
          <w:sz w:val="21"/>
        </w:rPr>
        <w:t>can</w:t>
      </w:r>
      <w:r>
        <w:rPr>
          <w:spacing w:val="-6"/>
          <w:w w:val="105"/>
          <w:sz w:val="21"/>
        </w:rPr>
        <w:t> </w:t>
      </w:r>
      <w:r>
        <w:rPr>
          <w:w w:val="105"/>
          <w:sz w:val="21"/>
        </w:rPr>
        <w:t>seek</w:t>
      </w:r>
      <w:r>
        <w:rPr>
          <w:spacing w:val="-6"/>
          <w:w w:val="105"/>
          <w:sz w:val="21"/>
        </w:rPr>
        <w:t> </w:t>
      </w:r>
      <w:r>
        <w:rPr>
          <w:spacing w:val="-3"/>
          <w:w w:val="105"/>
          <w:sz w:val="21"/>
        </w:rPr>
        <w:t>to</w:t>
      </w:r>
      <w:r>
        <w:rPr>
          <w:spacing w:val="-5"/>
          <w:w w:val="105"/>
          <w:sz w:val="21"/>
        </w:rPr>
        <w:t> </w:t>
      </w:r>
      <w:r>
        <w:rPr>
          <w:w w:val="105"/>
          <w:sz w:val="21"/>
        </w:rPr>
        <w:t>compel</w:t>
      </w:r>
      <w:r>
        <w:rPr>
          <w:spacing w:val="-6"/>
          <w:w w:val="105"/>
          <w:sz w:val="21"/>
        </w:rPr>
        <w:t> </w:t>
      </w:r>
      <w:r>
        <w:rPr>
          <w:w w:val="105"/>
          <w:sz w:val="21"/>
        </w:rPr>
        <w:t>performance</w:t>
      </w:r>
      <w:r>
        <w:rPr>
          <w:spacing w:val="-6"/>
          <w:w w:val="105"/>
          <w:sz w:val="21"/>
        </w:rPr>
        <w:t> </w:t>
      </w:r>
      <w:r>
        <w:rPr>
          <w:w w:val="105"/>
          <w:sz w:val="21"/>
        </w:rPr>
        <w:t>in</w:t>
      </w:r>
      <w:r>
        <w:rPr>
          <w:spacing w:val="-6"/>
          <w:w w:val="105"/>
          <w:sz w:val="21"/>
        </w:rPr>
        <w:t> </w:t>
      </w:r>
      <w:r>
        <w:rPr>
          <w:w w:val="105"/>
          <w:sz w:val="21"/>
        </w:rPr>
        <w:t>the</w:t>
      </w:r>
      <w:r>
        <w:rPr>
          <w:spacing w:val="-5"/>
          <w:w w:val="105"/>
          <w:sz w:val="21"/>
        </w:rPr>
        <w:t> </w:t>
      </w:r>
      <w:r>
        <w:rPr>
          <w:spacing w:val="-3"/>
          <w:w w:val="105"/>
          <w:sz w:val="21"/>
        </w:rPr>
        <w:t>Supreme</w:t>
      </w:r>
      <w:r>
        <w:rPr>
          <w:spacing w:val="-6"/>
          <w:w w:val="105"/>
          <w:sz w:val="21"/>
        </w:rPr>
        <w:t> </w:t>
      </w:r>
      <w:r>
        <w:rPr>
          <w:spacing w:val="-3"/>
          <w:w w:val="105"/>
          <w:sz w:val="21"/>
        </w:rPr>
        <w:t>Court</w:t>
      </w:r>
      <w:r>
        <w:rPr>
          <w:spacing w:val="-6"/>
          <w:w w:val="105"/>
          <w:sz w:val="21"/>
        </w:rPr>
        <w:t> </w:t>
      </w:r>
      <w:r>
        <w:rPr>
          <w:w w:val="105"/>
          <w:sz w:val="21"/>
        </w:rPr>
        <w:t>of</w:t>
      </w:r>
      <w:r>
        <w:rPr>
          <w:spacing w:val="-6"/>
          <w:w w:val="105"/>
          <w:sz w:val="21"/>
        </w:rPr>
        <w:t> </w:t>
      </w:r>
      <w:r>
        <w:rPr>
          <w:w w:val="105"/>
          <w:sz w:val="21"/>
        </w:rPr>
        <w:t>Victoria.</w:t>
      </w:r>
    </w:p>
    <w:p>
      <w:pPr>
        <w:pStyle w:val="ListParagraph"/>
        <w:numPr>
          <w:ilvl w:val="1"/>
          <w:numId w:val="16"/>
        </w:numPr>
        <w:tabs>
          <w:tab w:pos="2381" w:val="left" w:leader="none"/>
          <w:tab w:pos="2382" w:val="left" w:leader="none"/>
        </w:tabs>
        <w:spacing w:line="242" w:lineRule="auto" w:before="123" w:after="0"/>
        <w:ind w:left="2381" w:right="1697" w:hanging="794"/>
        <w:jc w:val="left"/>
        <w:rPr>
          <w:sz w:val="21"/>
        </w:rPr>
      </w:pPr>
      <w:r>
        <w:rPr>
          <w:w w:val="105"/>
          <w:sz w:val="21"/>
        </w:rPr>
        <w:t>A person who does </w:t>
      </w:r>
      <w:r>
        <w:rPr>
          <w:spacing w:val="-2"/>
          <w:w w:val="105"/>
          <w:sz w:val="21"/>
        </w:rPr>
        <w:t>not </w:t>
      </w:r>
      <w:r>
        <w:rPr>
          <w:w w:val="105"/>
          <w:sz w:val="21"/>
        </w:rPr>
        <w:t>comply with a non-monetary </w:t>
      </w:r>
      <w:r>
        <w:rPr>
          <w:spacing w:val="-5"/>
          <w:w w:val="105"/>
          <w:sz w:val="21"/>
        </w:rPr>
        <w:t>VCAT </w:t>
      </w:r>
      <w:r>
        <w:rPr>
          <w:w w:val="105"/>
          <w:sz w:val="21"/>
        </w:rPr>
        <w:t>order is guilty of an </w:t>
      </w:r>
      <w:r>
        <w:rPr>
          <w:spacing w:val="-5"/>
          <w:w w:val="105"/>
          <w:sz w:val="21"/>
        </w:rPr>
        <w:t>offence.</w:t>
      </w:r>
      <w:r>
        <w:rPr>
          <w:spacing w:val="-5"/>
          <w:w w:val="105"/>
          <w:position w:val="7"/>
          <w:sz w:val="12"/>
        </w:rPr>
        <w:t>143 </w:t>
      </w:r>
      <w:r>
        <w:rPr>
          <w:spacing w:val="-3"/>
          <w:w w:val="105"/>
          <w:sz w:val="21"/>
        </w:rPr>
        <w:t>Penalties include imprisonment</w:t>
      </w:r>
      <w:r>
        <w:rPr>
          <w:spacing w:val="-3"/>
          <w:w w:val="105"/>
          <w:position w:val="7"/>
          <w:sz w:val="12"/>
        </w:rPr>
        <w:t>144  </w:t>
      </w:r>
      <w:r>
        <w:rPr>
          <w:w w:val="105"/>
          <w:sz w:val="21"/>
        </w:rPr>
        <w:t>or a fine </w:t>
      </w:r>
      <w:r>
        <w:rPr>
          <w:spacing w:val="-3"/>
          <w:w w:val="105"/>
          <w:sz w:val="21"/>
        </w:rPr>
        <w:t>for 20 </w:t>
      </w:r>
      <w:r>
        <w:rPr>
          <w:w w:val="105"/>
          <w:sz w:val="21"/>
        </w:rPr>
        <w:t>penalty units ($3223.80) with 5 penalty units ($805.95) added </w:t>
      </w:r>
      <w:r>
        <w:rPr>
          <w:spacing w:val="-3"/>
          <w:w w:val="105"/>
          <w:sz w:val="21"/>
        </w:rPr>
        <w:t>for </w:t>
      </w:r>
      <w:r>
        <w:rPr>
          <w:w w:val="105"/>
          <w:sz w:val="21"/>
        </w:rPr>
        <w:t>each </w:t>
      </w:r>
      <w:r>
        <w:rPr>
          <w:spacing w:val="-3"/>
          <w:w w:val="105"/>
          <w:sz w:val="21"/>
        </w:rPr>
        <w:t>day </w:t>
      </w:r>
      <w:r>
        <w:rPr>
          <w:w w:val="105"/>
          <w:sz w:val="21"/>
        </w:rPr>
        <w:t>of </w:t>
      </w:r>
      <w:r>
        <w:rPr>
          <w:spacing w:val="-3"/>
          <w:w w:val="105"/>
          <w:sz w:val="21"/>
        </w:rPr>
        <w:t>non-compliance, </w:t>
      </w:r>
      <w:r>
        <w:rPr>
          <w:w w:val="105"/>
          <w:sz w:val="21"/>
        </w:rPr>
        <w:t>up </w:t>
      </w:r>
      <w:r>
        <w:rPr>
          <w:spacing w:val="-3"/>
          <w:w w:val="105"/>
          <w:sz w:val="21"/>
        </w:rPr>
        <w:t>to </w:t>
      </w:r>
      <w:r>
        <w:rPr>
          <w:w w:val="105"/>
          <w:sz w:val="21"/>
        </w:rPr>
        <w:t>a maximum of 50 penalty units ($8059.50); or both </w:t>
      </w:r>
      <w:r>
        <w:rPr>
          <w:spacing w:val="-3"/>
          <w:w w:val="105"/>
          <w:sz w:val="21"/>
        </w:rPr>
        <w:t>imprisonment </w:t>
      </w:r>
      <w:r>
        <w:rPr>
          <w:w w:val="105"/>
          <w:sz w:val="21"/>
        </w:rPr>
        <w:t>and a </w:t>
      </w:r>
      <w:r>
        <w:rPr>
          <w:spacing w:val="-5"/>
          <w:w w:val="105"/>
          <w:sz w:val="21"/>
        </w:rPr>
        <w:t>fine.</w:t>
      </w:r>
      <w:r>
        <w:rPr>
          <w:spacing w:val="-5"/>
          <w:w w:val="105"/>
          <w:position w:val="7"/>
          <w:sz w:val="12"/>
        </w:rPr>
        <w:t>145 </w:t>
      </w:r>
      <w:r>
        <w:rPr>
          <w:spacing w:val="-4"/>
          <w:w w:val="105"/>
          <w:sz w:val="21"/>
        </w:rPr>
        <w:t>Criminal </w:t>
      </w:r>
      <w:r>
        <w:rPr>
          <w:spacing w:val="-3"/>
          <w:w w:val="105"/>
          <w:sz w:val="21"/>
        </w:rPr>
        <w:t>proceedings take place </w:t>
      </w:r>
      <w:r>
        <w:rPr>
          <w:w w:val="105"/>
          <w:sz w:val="21"/>
        </w:rPr>
        <w:t>in the </w:t>
      </w:r>
      <w:r>
        <w:rPr>
          <w:spacing w:val="-3"/>
          <w:w w:val="105"/>
          <w:sz w:val="21"/>
        </w:rPr>
        <w:t>Magistrates’</w:t>
      </w:r>
      <w:r>
        <w:rPr>
          <w:spacing w:val="33"/>
          <w:w w:val="105"/>
          <w:sz w:val="21"/>
        </w:rPr>
        <w:t> </w:t>
      </w:r>
      <w:r>
        <w:rPr>
          <w:spacing w:val="-4"/>
          <w:w w:val="105"/>
          <w:sz w:val="21"/>
        </w:rPr>
        <w:t>Court.</w:t>
      </w:r>
      <w:r>
        <w:rPr>
          <w:spacing w:val="-4"/>
          <w:w w:val="105"/>
          <w:position w:val="7"/>
          <w:sz w:val="12"/>
        </w:rPr>
        <w:t>146</w:t>
      </w:r>
    </w:p>
    <w:p>
      <w:pPr>
        <w:pStyle w:val="ListParagraph"/>
        <w:numPr>
          <w:ilvl w:val="1"/>
          <w:numId w:val="16"/>
        </w:numPr>
        <w:tabs>
          <w:tab w:pos="2381" w:val="left" w:leader="none"/>
          <w:tab w:pos="2382" w:val="left" w:leader="none"/>
        </w:tabs>
        <w:spacing w:line="242" w:lineRule="auto" w:before="125" w:after="0"/>
        <w:ind w:left="2381" w:right="1617" w:hanging="794"/>
        <w:jc w:val="left"/>
        <w:rPr>
          <w:sz w:val="21"/>
        </w:rPr>
      </w:pPr>
      <w:r>
        <w:rPr>
          <w:w w:val="105"/>
          <w:sz w:val="21"/>
        </w:rPr>
        <w:t>If a person wishes </w:t>
      </w:r>
      <w:r>
        <w:rPr>
          <w:spacing w:val="-3"/>
          <w:w w:val="105"/>
          <w:sz w:val="21"/>
        </w:rPr>
        <w:t>to </w:t>
      </w:r>
      <w:r>
        <w:rPr>
          <w:w w:val="105"/>
          <w:sz w:val="21"/>
        </w:rPr>
        <w:t>compel their </w:t>
      </w:r>
      <w:r>
        <w:rPr>
          <w:spacing w:val="-3"/>
          <w:w w:val="105"/>
          <w:sz w:val="21"/>
        </w:rPr>
        <w:t>neighbour to </w:t>
      </w:r>
      <w:r>
        <w:rPr>
          <w:w w:val="105"/>
          <w:sz w:val="21"/>
        </w:rPr>
        <w:t>carry out the nonmonetary </w:t>
      </w:r>
      <w:r>
        <w:rPr>
          <w:spacing w:val="-4"/>
          <w:w w:val="105"/>
          <w:sz w:val="21"/>
        </w:rPr>
        <w:t>order, </w:t>
      </w:r>
      <w:r>
        <w:rPr>
          <w:w w:val="105"/>
          <w:sz w:val="21"/>
        </w:rPr>
        <w:t>then the matter needs </w:t>
      </w:r>
      <w:r>
        <w:rPr>
          <w:spacing w:val="-3"/>
          <w:w w:val="105"/>
          <w:sz w:val="21"/>
        </w:rPr>
        <w:t>to </w:t>
      </w:r>
      <w:r>
        <w:rPr>
          <w:w w:val="105"/>
          <w:sz w:val="21"/>
        </w:rPr>
        <w:t>be </w:t>
      </w:r>
      <w:r>
        <w:rPr>
          <w:spacing w:val="-3"/>
          <w:w w:val="105"/>
          <w:sz w:val="21"/>
        </w:rPr>
        <w:t>taken to </w:t>
      </w:r>
      <w:r>
        <w:rPr>
          <w:w w:val="105"/>
          <w:sz w:val="21"/>
        </w:rPr>
        <w:t>the </w:t>
      </w:r>
      <w:r>
        <w:rPr>
          <w:spacing w:val="-3"/>
          <w:w w:val="105"/>
          <w:sz w:val="21"/>
        </w:rPr>
        <w:t>Supreme Court for enforcement. </w:t>
      </w:r>
      <w:r>
        <w:rPr>
          <w:w w:val="105"/>
          <w:sz w:val="21"/>
        </w:rPr>
        <w:t>The aggrieved party </w:t>
      </w:r>
      <w:r>
        <w:rPr>
          <w:spacing w:val="-3"/>
          <w:w w:val="105"/>
          <w:sz w:val="21"/>
        </w:rPr>
        <w:t>will </w:t>
      </w:r>
      <w:r>
        <w:rPr>
          <w:w w:val="105"/>
          <w:sz w:val="21"/>
        </w:rPr>
        <w:t>need </w:t>
      </w:r>
      <w:r>
        <w:rPr>
          <w:spacing w:val="-3"/>
          <w:w w:val="105"/>
          <w:sz w:val="21"/>
        </w:rPr>
        <w:t>to </w:t>
      </w:r>
      <w:r>
        <w:rPr>
          <w:w w:val="105"/>
          <w:sz w:val="21"/>
        </w:rPr>
        <w:t>file a certified true </w:t>
      </w:r>
      <w:r>
        <w:rPr>
          <w:spacing w:val="-3"/>
          <w:w w:val="105"/>
          <w:sz w:val="21"/>
        </w:rPr>
        <w:t>copy </w:t>
      </w:r>
      <w:r>
        <w:rPr>
          <w:w w:val="105"/>
          <w:sz w:val="21"/>
        </w:rPr>
        <w:t>of the </w:t>
      </w:r>
      <w:r>
        <w:rPr>
          <w:spacing w:val="-5"/>
          <w:w w:val="105"/>
          <w:sz w:val="21"/>
        </w:rPr>
        <w:t>VCAT </w:t>
      </w:r>
      <w:r>
        <w:rPr>
          <w:w w:val="105"/>
          <w:sz w:val="21"/>
        </w:rPr>
        <w:t>order; an affidavit about the</w:t>
      </w:r>
      <w:r>
        <w:rPr>
          <w:spacing w:val="21"/>
          <w:w w:val="105"/>
          <w:sz w:val="21"/>
        </w:rPr>
        <w:t> </w:t>
      </w:r>
      <w:r>
        <w:rPr>
          <w:w w:val="105"/>
          <w:sz w:val="21"/>
        </w:rPr>
        <w:t>non-</w:t>
      </w:r>
    </w:p>
    <w:p>
      <w:pPr>
        <w:pStyle w:val="BodyText"/>
        <w:rPr>
          <w:sz w:val="20"/>
        </w:rPr>
      </w:pPr>
    </w:p>
    <w:p>
      <w:pPr>
        <w:pStyle w:val="BodyText"/>
        <w:rPr>
          <w:sz w:val="20"/>
        </w:rPr>
      </w:pPr>
    </w:p>
    <w:p>
      <w:pPr>
        <w:pStyle w:val="BodyText"/>
        <w:spacing w:before="6"/>
        <w:rPr>
          <w:sz w:val="23"/>
        </w:rPr>
      </w:pPr>
      <w:r>
        <w:rPr/>
        <w:pict>
          <v:line style="position:absolute;mso-position-horizontal-relative:page;mso-position-vertical-relative:paragraph;z-index:8960;mso-wrap-distance-left:0;mso-wrap-distance-right:0" from="79.370102pt,16.795853pt" to="515.905102pt,16.79585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27"/>
        <w:ind w:left="720" w:right="0" w:firstLine="0"/>
        <w:jc w:val="left"/>
        <w:rPr>
          <w:b/>
          <w:sz w:val="24"/>
        </w:rPr>
      </w:pPr>
      <w:r>
        <w:rPr>
          <w:b/>
          <w:color w:val="658464"/>
          <w:w w:val="110"/>
          <w:sz w:val="24"/>
        </w:rPr>
        <w:t>208</w:t>
      </w:r>
    </w:p>
    <w:p>
      <w:pPr>
        <w:pStyle w:val="ListParagraph"/>
        <w:numPr>
          <w:ilvl w:val="0"/>
          <w:numId w:val="149"/>
        </w:numPr>
        <w:tabs>
          <w:tab w:pos="1216" w:val="left" w:leader="none"/>
          <w:tab w:pos="1218" w:val="left" w:leader="none"/>
        </w:tabs>
        <w:spacing w:line="240" w:lineRule="auto" w:before="48" w:after="0"/>
        <w:ind w:left="1217" w:right="1615" w:hanging="794"/>
        <w:jc w:val="left"/>
        <w:rPr>
          <w:sz w:val="13"/>
        </w:rPr>
      </w:pPr>
      <w:r>
        <w:rPr>
          <w:i/>
          <w:spacing w:val="3"/>
          <w:w w:val="107"/>
          <w:sz w:val="13"/>
        </w:rPr>
        <w:br w:type="column"/>
      </w:r>
      <w:r>
        <w:rPr>
          <w:i/>
          <w:w w:val="105"/>
          <w:sz w:val="13"/>
        </w:rPr>
        <w:t>Victorian Civil and Administrative Tribunal 1998 </w:t>
      </w:r>
      <w:r>
        <w:rPr>
          <w:spacing w:val="2"/>
          <w:w w:val="105"/>
          <w:sz w:val="13"/>
        </w:rPr>
        <w:t>(Vic) </w:t>
      </w:r>
      <w:r>
        <w:rPr>
          <w:w w:val="105"/>
          <w:sz w:val="13"/>
        </w:rPr>
        <w:t>s </w:t>
      </w:r>
      <w:r>
        <w:rPr>
          <w:spacing w:val="-3"/>
          <w:w w:val="105"/>
          <w:sz w:val="13"/>
        </w:rPr>
        <w:t>137;  </w:t>
      </w:r>
      <w:r>
        <w:rPr>
          <w:w w:val="105"/>
          <w:sz w:val="13"/>
        </w:rPr>
        <w:t>see, eg, Julie R Davis, ‘Contempt in the Tribunal’, </w:t>
      </w:r>
      <w:r>
        <w:rPr>
          <w:i/>
          <w:w w:val="105"/>
          <w:sz w:val="13"/>
        </w:rPr>
        <w:t>Foley’s List </w:t>
      </w:r>
      <w:r>
        <w:rPr>
          <w:w w:val="105"/>
          <w:sz w:val="13"/>
        </w:rPr>
        <w:t>(Research Paper,      23 May 2014) </w:t>
      </w:r>
      <w:r>
        <w:rPr>
          <w:spacing w:val="2"/>
          <w:w w:val="105"/>
          <w:sz w:val="13"/>
        </w:rPr>
        <w:t>&lt;https://</w:t>
      </w:r>
      <w:hyperlink r:id="rId244">
        <w:r>
          <w:rPr>
            <w:spacing w:val="2"/>
            <w:w w:val="105"/>
            <w:sz w:val="13"/>
          </w:rPr>
          <w:t>www.foleys.com.au/mobile/CpdResources.aspx</w:t>
        </w:r>
      </w:hyperlink>
      <w:r>
        <w:rPr>
          <w:spacing w:val="2"/>
          <w:w w:val="105"/>
          <w:sz w:val="13"/>
        </w:rPr>
        <w:t>&gt;; </w:t>
      </w:r>
      <w:r>
        <w:rPr>
          <w:w w:val="105"/>
          <w:sz w:val="13"/>
        </w:rPr>
        <w:t>Peter Butt </w:t>
      </w:r>
      <w:r>
        <w:rPr>
          <w:spacing w:val="2"/>
          <w:w w:val="105"/>
          <w:sz w:val="13"/>
        </w:rPr>
        <w:t>(ed), </w:t>
      </w:r>
      <w:r>
        <w:rPr>
          <w:i/>
          <w:w w:val="105"/>
          <w:sz w:val="13"/>
        </w:rPr>
        <w:t>Butterworths’ Concise Australian Legal Dictionary </w:t>
      </w:r>
      <w:r>
        <w:rPr>
          <w:spacing w:val="2"/>
          <w:w w:val="105"/>
          <w:sz w:val="13"/>
        </w:rPr>
        <w:t>(LexisNexis/Butterworths, </w:t>
      </w:r>
      <w:r>
        <w:rPr>
          <w:w w:val="105"/>
          <w:sz w:val="13"/>
        </w:rPr>
        <w:t>3rd ed, </w:t>
      </w:r>
      <w:r>
        <w:rPr>
          <w:spacing w:val="2"/>
          <w:w w:val="105"/>
          <w:sz w:val="13"/>
        </w:rPr>
        <w:t>2004) </w:t>
      </w:r>
      <w:r>
        <w:rPr>
          <w:w w:val="105"/>
          <w:sz w:val="13"/>
        </w:rPr>
        <w:t>‘contempt of</w:t>
      </w:r>
      <w:r>
        <w:rPr>
          <w:spacing w:val="21"/>
          <w:w w:val="105"/>
          <w:sz w:val="13"/>
        </w:rPr>
        <w:t> </w:t>
      </w:r>
      <w:r>
        <w:rPr>
          <w:w w:val="105"/>
          <w:sz w:val="13"/>
        </w:rPr>
        <w:t>court’.</w:t>
      </w:r>
    </w:p>
    <w:p>
      <w:pPr>
        <w:pStyle w:val="ListParagraph"/>
        <w:numPr>
          <w:ilvl w:val="0"/>
          <w:numId w:val="149"/>
        </w:numPr>
        <w:tabs>
          <w:tab w:pos="1216" w:val="left" w:leader="none"/>
          <w:tab w:pos="1218" w:val="left" w:leader="none"/>
        </w:tabs>
        <w:spacing w:line="240" w:lineRule="auto" w:before="4" w:after="0"/>
        <w:ind w:left="1217" w:right="1777" w:hanging="794"/>
        <w:jc w:val="left"/>
        <w:rPr>
          <w:sz w:val="13"/>
        </w:rPr>
      </w:pPr>
      <w:r>
        <w:rPr>
          <w:w w:val="105"/>
          <w:sz w:val="13"/>
        </w:rPr>
        <w:t>Victorian Civil and Administrative Tribunal, </w:t>
      </w:r>
      <w:r>
        <w:rPr>
          <w:i/>
          <w:w w:val="105"/>
          <w:sz w:val="13"/>
        </w:rPr>
        <w:t>Enforcing VCAT Orders </w:t>
      </w:r>
      <w:r>
        <w:rPr>
          <w:w w:val="105"/>
          <w:sz w:val="13"/>
        </w:rPr>
        <w:t>(Web Page) &lt;https://</w:t>
      </w:r>
      <w:hyperlink r:id="rId164">
        <w:r>
          <w:rPr>
            <w:w w:val="105"/>
            <w:sz w:val="13"/>
          </w:rPr>
          <w:t>www.vcat.vic.gov.au/steps-to-resolve-your-case/</w:t>
        </w:r>
      </w:hyperlink>
      <w:r>
        <w:rPr>
          <w:w w:val="105"/>
          <w:sz w:val="13"/>
        </w:rPr>
        <w:t> what-to-expect-after-the-final-hearing/enforcing-vcat-orders&gt;.</w:t>
      </w:r>
    </w:p>
    <w:p>
      <w:pPr>
        <w:pStyle w:val="ListParagraph"/>
        <w:numPr>
          <w:ilvl w:val="0"/>
          <w:numId w:val="149"/>
        </w:numPr>
        <w:tabs>
          <w:tab w:pos="1216" w:val="left" w:leader="none"/>
          <w:tab w:pos="1218" w:val="left" w:leader="none"/>
        </w:tabs>
        <w:spacing w:line="240" w:lineRule="auto" w:before="3" w:after="0"/>
        <w:ind w:left="1217" w:right="0" w:hanging="794"/>
        <w:jc w:val="left"/>
        <w:rPr>
          <w:sz w:val="13"/>
        </w:rPr>
      </w:pPr>
      <w:r>
        <w:rPr>
          <w:w w:val="105"/>
          <w:sz w:val="13"/>
        </w:rPr>
        <w:t>See</w:t>
      </w:r>
      <w:r>
        <w:rPr>
          <w:spacing w:val="4"/>
          <w:w w:val="105"/>
          <w:sz w:val="13"/>
        </w:rPr>
        <w:t> </w:t>
      </w:r>
      <w:r>
        <w:rPr>
          <w:i/>
          <w:w w:val="105"/>
          <w:sz w:val="13"/>
        </w:rPr>
        <w:t>Justice</w:t>
      </w:r>
      <w:r>
        <w:rPr>
          <w:i/>
          <w:spacing w:val="5"/>
          <w:w w:val="105"/>
          <w:sz w:val="13"/>
        </w:rPr>
        <w:t> </w:t>
      </w:r>
      <w:r>
        <w:rPr>
          <w:i/>
          <w:w w:val="105"/>
          <w:sz w:val="13"/>
        </w:rPr>
        <w:t>Legislation</w:t>
      </w:r>
      <w:r>
        <w:rPr>
          <w:i/>
          <w:spacing w:val="5"/>
          <w:w w:val="105"/>
          <w:sz w:val="13"/>
        </w:rPr>
        <w:t> </w:t>
      </w:r>
      <w:r>
        <w:rPr>
          <w:i/>
          <w:w w:val="105"/>
          <w:sz w:val="13"/>
        </w:rPr>
        <w:t>Amendment</w:t>
      </w:r>
      <w:r>
        <w:rPr>
          <w:i/>
          <w:spacing w:val="5"/>
          <w:w w:val="105"/>
          <w:sz w:val="13"/>
        </w:rPr>
        <w:t> </w:t>
      </w:r>
      <w:r>
        <w:rPr>
          <w:i/>
          <w:w w:val="105"/>
          <w:sz w:val="13"/>
        </w:rPr>
        <w:t>(Access</w:t>
      </w:r>
      <w:r>
        <w:rPr>
          <w:i/>
          <w:spacing w:val="5"/>
          <w:w w:val="105"/>
          <w:sz w:val="13"/>
        </w:rPr>
        <w:t> </w:t>
      </w:r>
      <w:r>
        <w:rPr>
          <w:i/>
          <w:w w:val="105"/>
          <w:sz w:val="13"/>
        </w:rPr>
        <w:t>to</w:t>
      </w:r>
      <w:r>
        <w:rPr>
          <w:i/>
          <w:spacing w:val="5"/>
          <w:w w:val="105"/>
          <w:sz w:val="13"/>
        </w:rPr>
        <w:t> </w:t>
      </w:r>
      <w:r>
        <w:rPr>
          <w:i/>
          <w:w w:val="105"/>
          <w:sz w:val="13"/>
        </w:rPr>
        <w:t>Justice)</w:t>
      </w:r>
      <w:r>
        <w:rPr>
          <w:i/>
          <w:spacing w:val="5"/>
          <w:w w:val="105"/>
          <w:sz w:val="13"/>
        </w:rPr>
        <w:t> </w:t>
      </w:r>
      <w:r>
        <w:rPr>
          <w:i/>
          <w:w w:val="105"/>
          <w:sz w:val="13"/>
        </w:rPr>
        <w:t>Act</w:t>
      </w:r>
      <w:r>
        <w:rPr>
          <w:i/>
          <w:spacing w:val="5"/>
          <w:w w:val="105"/>
          <w:sz w:val="13"/>
        </w:rPr>
        <w:t> </w:t>
      </w:r>
      <w:r>
        <w:rPr>
          <w:i/>
          <w:spacing w:val="-3"/>
          <w:w w:val="105"/>
          <w:sz w:val="13"/>
        </w:rPr>
        <w:t>2018</w:t>
      </w:r>
      <w:r>
        <w:rPr>
          <w:i/>
          <w:spacing w:val="4"/>
          <w:w w:val="105"/>
          <w:sz w:val="13"/>
        </w:rPr>
        <w:t> </w:t>
      </w:r>
      <w:r>
        <w:rPr>
          <w:spacing w:val="2"/>
          <w:w w:val="105"/>
          <w:sz w:val="13"/>
        </w:rPr>
        <w:t>(Vic)</w:t>
      </w:r>
      <w:r>
        <w:rPr>
          <w:spacing w:val="5"/>
          <w:w w:val="105"/>
          <w:sz w:val="13"/>
        </w:rPr>
        <w:t> </w:t>
      </w:r>
      <w:r>
        <w:rPr>
          <w:w w:val="105"/>
          <w:sz w:val="13"/>
        </w:rPr>
        <w:t>pt</w:t>
      </w:r>
      <w:r>
        <w:rPr>
          <w:spacing w:val="5"/>
          <w:w w:val="105"/>
          <w:sz w:val="13"/>
        </w:rPr>
        <w:t> </w:t>
      </w:r>
      <w:r>
        <w:rPr>
          <w:w w:val="105"/>
          <w:sz w:val="13"/>
        </w:rPr>
        <w:t>10</w:t>
      </w:r>
      <w:r>
        <w:rPr>
          <w:spacing w:val="5"/>
          <w:w w:val="105"/>
          <w:sz w:val="13"/>
        </w:rPr>
        <w:t> </w:t>
      </w:r>
      <w:r>
        <w:rPr>
          <w:w w:val="105"/>
          <w:sz w:val="13"/>
        </w:rPr>
        <w:t>div</w:t>
      </w:r>
      <w:r>
        <w:rPr>
          <w:spacing w:val="5"/>
          <w:w w:val="105"/>
          <w:sz w:val="13"/>
        </w:rPr>
        <w:t> </w:t>
      </w:r>
      <w:r>
        <w:rPr>
          <w:w w:val="105"/>
          <w:sz w:val="13"/>
        </w:rPr>
        <w:t>5.</w:t>
      </w:r>
    </w:p>
    <w:p>
      <w:pPr>
        <w:pStyle w:val="ListParagraph"/>
        <w:numPr>
          <w:ilvl w:val="0"/>
          <w:numId w:val="149"/>
        </w:numPr>
        <w:tabs>
          <w:tab w:pos="1216" w:val="left" w:leader="none"/>
          <w:tab w:pos="1217" w:val="left" w:leader="none"/>
        </w:tabs>
        <w:spacing w:line="240" w:lineRule="auto" w:before="1" w:after="0"/>
        <w:ind w:left="1216" w:right="1741" w:hanging="793"/>
        <w:jc w:val="left"/>
        <w:rPr>
          <w:sz w:val="13"/>
        </w:rPr>
      </w:pPr>
      <w:r>
        <w:rPr>
          <w:w w:val="105"/>
          <w:sz w:val="13"/>
        </w:rPr>
        <w:t>The enforcement of orders in VCAT are in Part 10, Division 5 of the Amending Act. Part 10 comes into operation on a day or days to be proclaimed: s </w:t>
      </w:r>
      <w:r>
        <w:rPr>
          <w:spacing w:val="2"/>
          <w:w w:val="105"/>
          <w:sz w:val="13"/>
        </w:rPr>
        <w:t>2(2). </w:t>
      </w:r>
      <w:r>
        <w:rPr>
          <w:w w:val="105"/>
          <w:sz w:val="13"/>
        </w:rPr>
        <w:t>If a provision of division 5 of part 10 does not come into operation before 1 July 2020, it comes into operation on that day: s</w:t>
      </w:r>
      <w:r>
        <w:rPr>
          <w:spacing w:val="9"/>
          <w:w w:val="105"/>
          <w:sz w:val="13"/>
        </w:rPr>
        <w:t> </w:t>
      </w:r>
      <w:r>
        <w:rPr>
          <w:spacing w:val="3"/>
          <w:w w:val="105"/>
          <w:sz w:val="13"/>
        </w:rPr>
        <w:t>2(5).</w:t>
      </w:r>
    </w:p>
    <w:p>
      <w:pPr>
        <w:pStyle w:val="ListParagraph"/>
        <w:numPr>
          <w:ilvl w:val="0"/>
          <w:numId w:val="149"/>
        </w:numPr>
        <w:tabs>
          <w:tab w:pos="1216" w:val="left" w:leader="none"/>
          <w:tab w:pos="1218" w:val="left" w:leader="none"/>
        </w:tabs>
        <w:spacing w:line="240" w:lineRule="auto" w:before="4" w:after="0"/>
        <w:ind w:left="1217" w:right="0" w:hanging="794"/>
        <w:jc w:val="left"/>
        <w:rPr>
          <w:sz w:val="13"/>
        </w:rPr>
      </w:pPr>
      <w:r>
        <w:rPr>
          <w:i/>
          <w:sz w:val="13"/>
        </w:rPr>
        <w:t>Victorian</w:t>
      </w:r>
      <w:r>
        <w:rPr>
          <w:i/>
          <w:spacing w:val="7"/>
          <w:sz w:val="13"/>
        </w:rPr>
        <w:t> </w:t>
      </w:r>
      <w:r>
        <w:rPr>
          <w:i/>
          <w:sz w:val="13"/>
        </w:rPr>
        <w:t>Civil</w:t>
      </w:r>
      <w:r>
        <w:rPr>
          <w:i/>
          <w:spacing w:val="7"/>
          <w:sz w:val="13"/>
        </w:rPr>
        <w:t> </w:t>
      </w:r>
      <w:r>
        <w:rPr>
          <w:i/>
          <w:sz w:val="13"/>
        </w:rPr>
        <w:t>and</w:t>
      </w:r>
      <w:r>
        <w:rPr>
          <w:i/>
          <w:spacing w:val="7"/>
          <w:sz w:val="13"/>
        </w:rPr>
        <w:t> </w:t>
      </w:r>
      <w:r>
        <w:rPr>
          <w:i/>
          <w:sz w:val="13"/>
        </w:rPr>
        <w:t>Administrative</w:t>
      </w:r>
      <w:r>
        <w:rPr>
          <w:i/>
          <w:spacing w:val="7"/>
          <w:sz w:val="13"/>
        </w:rPr>
        <w:t> </w:t>
      </w:r>
      <w:r>
        <w:rPr>
          <w:i/>
          <w:sz w:val="13"/>
        </w:rPr>
        <w:t>Tribunal</w:t>
      </w:r>
      <w:r>
        <w:rPr>
          <w:i/>
          <w:spacing w:val="7"/>
          <w:sz w:val="13"/>
        </w:rPr>
        <w:t> </w:t>
      </w:r>
      <w:r>
        <w:rPr>
          <w:i/>
          <w:sz w:val="13"/>
        </w:rPr>
        <w:t>Act</w:t>
      </w:r>
      <w:r>
        <w:rPr>
          <w:i/>
          <w:spacing w:val="7"/>
          <w:sz w:val="13"/>
        </w:rPr>
        <w:t> </w:t>
      </w:r>
      <w:r>
        <w:rPr>
          <w:i/>
          <w:sz w:val="13"/>
        </w:rPr>
        <w:t>1998</w:t>
      </w:r>
      <w:r>
        <w:rPr>
          <w:i/>
          <w:spacing w:val="7"/>
          <w:sz w:val="13"/>
        </w:rPr>
        <w:t> </w:t>
      </w:r>
      <w:r>
        <w:rPr>
          <w:spacing w:val="2"/>
          <w:sz w:val="13"/>
        </w:rPr>
        <w:t>(Vic)</w:t>
      </w:r>
      <w:r>
        <w:rPr>
          <w:spacing w:val="7"/>
          <w:sz w:val="13"/>
        </w:rPr>
        <w:t> </w:t>
      </w:r>
      <w:r>
        <w:rPr>
          <w:sz w:val="13"/>
        </w:rPr>
        <w:t>s</w:t>
      </w:r>
      <w:r>
        <w:rPr>
          <w:spacing w:val="7"/>
          <w:sz w:val="13"/>
        </w:rPr>
        <w:t> </w:t>
      </w:r>
      <w:r>
        <w:rPr>
          <w:sz w:val="13"/>
        </w:rPr>
        <w:t>121(4).</w:t>
      </w:r>
    </w:p>
    <w:p>
      <w:pPr>
        <w:pStyle w:val="ListParagraph"/>
        <w:numPr>
          <w:ilvl w:val="0"/>
          <w:numId w:val="149"/>
        </w:numPr>
        <w:tabs>
          <w:tab w:pos="1216" w:val="left" w:leader="none"/>
          <w:tab w:pos="1218" w:val="left" w:leader="none"/>
        </w:tabs>
        <w:spacing w:line="240" w:lineRule="auto" w:before="1" w:after="0"/>
        <w:ind w:left="1217" w:right="0" w:hanging="794"/>
        <w:jc w:val="left"/>
        <w:rPr>
          <w:sz w:val="13"/>
        </w:rPr>
      </w:pPr>
      <w:r>
        <w:rPr>
          <w:w w:val="105"/>
          <w:sz w:val="13"/>
        </w:rPr>
        <w:t>‘Jurisdictional</w:t>
      </w:r>
      <w:r>
        <w:rPr>
          <w:spacing w:val="5"/>
          <w:w w:val="105"/>
          <w:sz w:val="13"/>
        </w:rPr>
        <w:t> </w:t>
      </w:r>
      <w:r>
        <w:rPr>
          <w:w w:val="105"/>
          <w:sz w:val="13"/>
        </w:rPr>
        <w:t>limit’</w:t>
      </w:r>
      <w:r>
        <w:rPr>
          <w:spacing w:val="5"/>
          <w:w w:val="105"/>
          <w:sz w:val="13"/>
        </w:rPr>
        <w:t> </w:t>
      </w:r>
      <w:r>
        <w:rPr>
          <w:w w:val="105"/>
          <w:sz w:val="13"/>
        </w:rPr>
        <w:t>in</w:t>
      </w:r>
      <w:r>
        <w:rPr>
          <w:spacing w:val="5"/>
          <w:w w:val="105"/>
          <w:sz w:val="13"/>
        </w:rPr>
        <w:t> </w:t>
      </w:r>
      <w:r>
        <w:rPr>
          <w:w w:val="105"/>
          <w:sz w:val="13"/>
        </w:rPr>
        <w:t>a</w:t>
      </w:r>
      <w:r>
        <w:rPr>
          <w:spacing w:val="5"/>
          <w:w w:val="105"/>
          <w:sz w:val="13"/>
        </w:rPr>
        <w:t> </w:t>
      </w:r>
      <w:r>
        <w:rPr>
          <w:w w:val="105"/>
          <w:sz w:val="13"/>
        </w:rPr>
        <w:t>civil</w:t>
      </w:r>
      <w:r>
        <w:rPr>
          <w:spacing w:val="5"/>
          <w:w w:val="105"/>
          <w:sz w:val="13"/>
        </w:rPr>
        <w:t> </w:t>
      </w:r>
      <w:r>
        <w:rPr>
          <w:w w:val="105"/>
          <w:sz w:val="13"/>
        </w:rPr>
        <w:t>proceeding</w:t>
      </w:r>
      <w:r>
        <w:rPr>
          <w:spacing w:val="5"/>
          <w:w w:val="105"/>
          <w:sz w:val="13"/>
        </w:rPr>
        <w:t> </w:t>
      </w:r>
      <w:r>
        <w:rPr>
          <w:w w:val="105"/>
          <w:sz w:val="13"/>
        </w:rPr>
        <w:t>means</w:t>
      </w:r>
      <w:r>
        <w:rPr>
          <w:spacing w:val="5"/>
          <w:w w:val="105"/>
          <w:sz w:val="13"/>
        </w:rPr>
        <w:t> </w:t>
      </w:r>
      <w:r>
        <w:rPr>
          <w:w w:val="105"/>
          <w:sz w:val="13"/>
        </w:rPr>
        <w:t>$100,000:</w:t>
      </w:r>
      <w:r>
        <w:rPr>
          <w:spacing w:val="5"/>
          <w:w w:val="105"/>
          <w:sz w:val="13"/>
        </w:rPr>
        <w:t> </w:t>
      </w:r>
      <w:r>
        <w:rPr>
          <w:w w:val="105"/>
          <w:sz w:val="13"/>
        </w:rPr>
        <w:t>Magistrates’</w:t>
      </w:r>
      <w:r>
        <w:rPr>
          <w:spacing w:val="5"/>
          <w:w w:val="105"/>
          <w:sz w:val="13"/>
        </w:rPr>
        <w:t> </w:t>
      </w:r>
      <w:r>
        <w:rPr>
          <w:i/>
          <w:w w:val="105"/>
          <w:sz w:val="13"/>
        </w:rPr>
        <w:t>Court</w:t>
      </w:r>
      <w:r>
        <w:rPr>
          <w:i/>
          <w:spacing w:val="5"/>
          <w:w w:val="105"/>
          <w:sz w:val="13"/>
        </w:rPr>
        <w:t> </w:t>
      </w:r>
      <w:r>
        <w:rPr>
          <w:i/>
          <w:w w:val="105"/>
          <w:sz w:val="13"/>
        </w:rPr>
        <w:t>Act</w:t>
      </w:r>
      <w:r>
        <w:rPr>
          <w:i/>
          <w:spacing w:val="5"/>
          <w:w w:val="105"/>
          <w:sz w:val="13"/>
        </w:rPr>
        <w:t> </w:t>
      </w:r>
      <w:r>
        <w:rPr>
          <w:i/>
          <w:w w:val="105"/>
          <w:sz w:val="13"/>
        </w:rPr>
        <w:t>1989</w:t>
      </w:r>
      <w:r>
        <w:rPr>
          <w:i/>
          <w:spacing w:val="5"/>
          <w:w w:val="105"/>
          <w:sz w:val="13"/>
        </w:rPr>
        <w:t> </w:t>
      </w:r>
      <w:r>
        <w:rPr>
          <w:spacing w:val="2"/>
          <w:w w:val="105"/>
          <w:sz w:val="13"/>
        </w:rPr>
        <w:t>(Vic)</w:t>
      </w:r>
      <w:r>
        <w:rPr>
          <w:spacing w:val="5"/>
          <w:w w:val="105"/>
          <w:sz w:val="13"/>
        </w:rPr>
        <w:t> </w:t>
      </w:r>
      <w:r>
        <w:rPr>
          <w:w w:val="105"/>
          <w:sz w:val="13"/>
        </w:rPr>
        <w:t>s</w:t>
      </w:r>
      <w:r>
        <w:rPr>
          <w:spacing w:val="5"/>
          <w:w w:val="105"/>
          <w:sz w:val="13"/>
        </w:rPr>
        <w:t> </w:t>
      </w:r>
      <w:r>
        <w:rPr>
          <w:w w:val="105"/>
          <w:sz w:val="13"/>
        </w:rPr>
        <w:t>3.</w:t>
      </w:r>
    </w:p>
    <w:p>
      <w:pPr>
        <w:pStyle w:val="ListParagraph"/>
        <w:numPr>
          <w:ilvl w:val="0"/>
          <w:numId w:val="149"/>
        </w:numPr>
        <w:tabs>
          <w:tab w:pos="1216" w:val="left" w:leader="none"/>
          <w:tab w:pos="1218" w:val="left" w:leader="none"/>
        </w:tabs>
        <w:spacing w:line="240" w:lineRule="auto" w:before="2" w:after="0"/>
        <w:ind w:left="423" w:right="5797" w:firstLine="0"/>
        <w:jc w:val="left"/>
        <w:rPr>
          <w:sz w:val="13"/>
        </w:rPr>
      </w:pPr>
      <w:r>
        <w:rPr>
          <w:i/>
          <w:w w:val="105"/>
          <w:sz w:val="13"/>
        </w:rPr>
        <w:t>Victorian Civil and Administrative Tribunal Act 1998 </w:t>
      </w:r>
      <w:r>
        <w:rPr>
          <w:spacing w:val="2"/>
          <w:w w:val="105"/>
          <w:sz w:val="13"/>
        </w:rPr>
        <w:t>(Vic) </w:t>
      </w:r>
      <w:r>
        <w:rPr>
          <w:w w:val="105"/>
          <w:sz w:val="13"/>
        </w:rPr>
        <w:t>s 121(2). 140</w:t>
        <w:tab/>
        <w:t>Ibid s</w:t>
      </w:r>
      <w:r>
        <w:rPr>
          <w:spacing w:val="9"/>
          <w:w w:val="105"/>
          <w:sz w:val="13"/>
        </w:rPr>
        <w:t> </w:t>
      </w:r>
      <w:r>
        <w:rPr>
          <w:spacing w:val="-4"/>
          <w:w w:val="105"/>
          <w:sz w:val="13"/>
        </w:rPr>
        <w:t>121.</w:t>
      </w:r>
    </w:p>
    <w:p>
      <w:pPr>
        <w:pStyle w:val="ListParagraph"/>
        <w:numPr>
          <w:ilvl w:val="0"/>
          <w:numId w:val="151"/>
        </w:numPr>
        <w:tabs>
          <w:tab w:pos="1216" w:val="left" w:leader="none"/>
          <w:tab w:pos="1218" w:val="left" w:leader="none"/>
        </w:tabs>
        <w:spacing w:line="240" w:lineRule="auto" w:before="2" w:after="0"/>
        <w:ind w:left="1217" w:right="0" w:hanging="794"/>
        <w:jc w:val="left"/>
        <w:rPr>
          <w:sz w:val="13"/>
        </w:rPr>
      </w:pPr>
      <w:r>
        <w:rPr>
          <w:i/>
          <w:w w:val="105"/>
          <w:sz w:val="13"/>
        </w:rPr>
        <w:t>Justice</w:t>
      </w:r>
      <w:r>
        <w:rPr>
          <w:i/>
          <w:spacing w:val="4"/>
          <w:w w:val="105"/>
          <w:sz w:val="13"/>
        </w:rPr>
        <w:t> </w:t>
      </w:r>
      <w:r>
        <w:rPr>
          <w:i/>
          <w:w w:val="105"/>
          <w:sz w:val="13"/>
        </w:rPr>
        <w:t>Legislation</w:t>
      </w:r>
      <w:r>
        <w:rPr>
          <w:i/>
          <w:spacing w:val="5"/>
          <w:w w:val="105"/>
          <w:sz w:val="13"/>
        </w:rPr>
        <w:t> </w:t>
      </w:r>
      <w:r>
        <w:rPr>
          <w:i/>
          <w:w w:val="105"/>
          <w:sz w:val="13"/>
        </w:rPr>
        <w:t>Amendment</w:t>
      </w:r>
      <w:r>
        <w:rPr>
          <w:i/>
          <w:spacing w:val="5"/>
          <w:w w:val="105"/>
          <w:sz w:val="13"/>
        </w:rPr>
        <w:t> </w:t>
      </w:r>
      <w:r>
        <w:rPr>
          <w:i/>
          <w:w w:val="105"/>
          <w:sz w:val="13"/>
        </w:rPr>
        <w:t>(Access</w:t>
      </w:r>
      <w:r>
        <w:rPr>
          <w:i/>
          <w:spacing w:val="5"/>
          <w:w w:val="105"/>
          <w:sz w:val="13"/>
        </w:rPr>
        <w:t> </w:t>
      </w:r>
      <w:r>
        <w:rPr>
          <w:i/>
          <w:w w:val="105"/>
          <w:sz w:val="13"/>
        </w:rPr>
        <w:t>to</w:t>
      </w:r>
      <w:r>
        <w:rPr>
          <w:i/>
          <w:spacing w:val="5"/>
          <w:w w:val="105"/>
          <w:sz w:val="13"/>
        </w:rPr>
        <w:t> </w:t>
      </w:r>
      <w:r>
        <w:rPr>
          <w:i/>
          <w:w w:val="105"/>
          <w:sz w:val="13"/>
        </w:rPr>
        <w:t>Justice)</w:t>
      </w:r>
      <w:r>
        <w:rPr>
          <w:i/>
          <w:spacing w:val="5"/>
          <w:w w:val="105"/>
          <w:sz w:val="13"/>
        </w:rPr>
        <w:t> </w:t>
      </w:r>
      <w:r>
        <w:rPr>
          <w:i/>
          <w:w w:val="105"/>
          <w:sz w:val="13"/>
        </w:rPr>
        <w:t>Act</w:t>
      </w:r>
      <w:r>
        <w:rPr>
          <w:i/>
          <w:spacing w:val="5"/>
          <w:w w:val="105"/>
          <w:sz w:val="13"/>
        </w:rPr>
        <w:t> </w:t>
      </w:r>
      <w:r>
        <w:rPr>
          <w:i/>
          <w:spacing w:val="-3"/>
          <w:w w:val="105"/>
          <w:sz w:val="13"/>
        </w:rPr>
        <w:t>2018</w:t>
      </w:r>
      <w:r>
        <w:rPr>
          <w:i/>
          <w:spacing w:val="5"/>
          <w:w w:val="105"/>
          <w:sz w:val="13"/>
        </w:rPr>
        <w:t> </w:t>
      </w:r>
      <w:r>
        <w:rPr>
          <w:spacing w:val="2"/>
          <w:w w:val="105"/>
          <w:sz w:val="13"/>
        </w:rPr>
        <w:t>(Vic)</w:t>
      </w:r>
      <w:r>
        <w:rPr>
          <w:spacing w:val="4"/>
          <w:w w:val="105"/>
          <w:sz w:val="13"/>
        </w:rPr>
        <w:t> </w:t>
      </w:r>
      <w:r>
        <w:rPr>
          <w:w w:val="105"/>
          <w:sz w:val="13"/>
        </w:rPr>
        <w:t>s</w:t>
      </w:r>
      <w:r>
        <w:rPr>
          <w:spacing w:val="5"/>
          <w:w w:val="105"/>
          <w:sz w:val="13"/>
        </w:rPr>
        <w:t> </w:t>
      </w:r>
      <w:r>
        <w:rPr>
          <w:w w:val="105"/>
          <w:sz w:val="13"/>
        </w:rPr>
        <w:t>68.</w:t>
      </w:r>
    </w:p>
    <w:p>
      <w:pPr>
        <w:pStyle w:val="ListParagraph"/>
        <w:numPr>
          <w:ilvl w:val="0"/>
          <w:numId w:val="151"/>
        </w:numPr>
        <w:tabs>
          <w:tab w:pos="1216" w:val="left" w:leader="none"/>
          <w:tab w:pos="1218" w:val="left" w:leader="none"/>
        </w:tabs>
        <w:spacing w:line="240" w:lineRule="auto" w:before="2" w:after="0"/>
        <w:ind w:left="1217" w:right="0" w:hanging="794"/>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Justice</w:t>
      </w:r>
      <w:r>
        <w:rPr>
          <w:spacing w:val="5"/>
          <w:w w:val="105"/>
          <w:sz w:val="13"/>
        </w:rPr>
        <w:t> </w:t>
      </w:r>
      <w:r>
        <w:rPr>
          <w:w w:val="105"/>
          <w:sz w:val="13"/>
        </w:rPr>
        <w:t>and</w:t>
      </w:r>
      <w:r>
        <w:rPr>
          <w:spacing w:val="5"/>
          <w:w w:val="105"/>
          <w:sz w:val="13"/>
        </w:rPr>
        <w:t> </w:t>
      </w:r>
      <w:r>
        <w:rPr>
          <w:w w:val="105"/>
          <w:sz w:val="13"/>
        </w:rPr>
        <w:t>Regulation</w:t>
      </w:r>
      <w:r>
        <w:rPr>
          <w:spacing w:val="5"/>
          <w:w w:val="105"/>
          <w:sz w:val="13"/>
        </w:rPr>
        <w:t> </w:t>
      </w:r>
      <w:r>
        <w:rPr>
          <w:spacing w:val="2"/>
          <w:w w:val="105"/>
          <w:sz w:val="13"/>
        </w:rPr>
        <w:t>(Vic),</w:t>
      </w:r>
      <w:r>
        <w:rPr>
          <w:spacing w:val="5"/>
          <w:w w:val="105"/>
          <w:sz w:val="13"/>
        </w:rPr>
        <w:t> </w:t>
      </w:r>
      <w:r>
        <w:rPr>
          <w:i/>
          <w:w w:val="105"/>
          <w:sz w:val="13"/>
        </w:rPr>
        <w:t>Access</w:t>
      </w:r>
      <w:r>
        <w:rPr>
          <w:i/>
          <w:spacing w:val="5"/>
          <w:w w:val="105"/>
          <w:sz w:val="13"/>
        </w:rPr>
        <w:t> </w:t>
      </w:r>
      <w:r>
        <w:rPr>
          <w:i/>
          <w:w w:val="105"/>
          <w:sz w:val="13"/>
        </w:rPr>
        <w:t>to</w:t>
      </w:r>
      <w:r>
        <w:rPr>
          <w:i/>
          <w:spacing w:val="5"/>
          <w:w w:val="105"/>
          <w:sz w:val="13"/>
        </w:rPr>
        <w:t> </w:t>
      </w:r>
      <w:r>
        <w:rPr>
          <w:i/>
          <w:w w:val="105"/>
          <w:sz w:val="13"/>
        </w:rPr>
        <w:t>Justice</w:t>
      </w:r>
      <w:r>
        <w:rPr>
          <w:i/>
          <w:spacing w:val="6"/>
          <w:w w:val="105"/>
          <w:sz w:val="13"/>
        </w:rPr>
        <w:t> </w:t>
      </w:r>
      <w:r>
        <w:rPr>
          <w:i/>
          <w:w w:val="105"/>
          <w:sz w:val="13"/>
        </w:rPr>
        <w:t>Review</w:t>
      </w:r>
      <w:r>
        <w:rPr>
          <w:i/>
          <w:spacing w:val="5"/>
          <w:w w:val="105"/>
          <w:sz w:val="13"/>
        </w:rPr>
        <w:t> </w:t>
      </w:r>
      <w:r>
        <w:rPr>
          <w:i/>
          <w:spacing w:val="2"/>
          <w:w w:val="105"/>
          <w:sz w:val="13"/>
        </w:rPr>
        <w:t>Report</w:t>
      </w:r>
      <w:r>
        <w:rPr>
          <w:i/>
          <w:spacing w:val="5"/>
          <w:w w:val="105"/>
          <w:sz w:val="13"/>
        </w:rPr>
        <w:t> </w:t>
      </w:r>
      <w:r>
        <w:rPr>
          <w:i/>
          <w:w w:val="105"/>
          <w:sz w:val="13"/>
        </w:rPr>
        <w:t>and</w:t>
      </w:r>
      <w:r>
        <w:rPr>
          <w:i/>
          <w:spacing w:val="5"/>
          <w:w w:val="105"/>
          <w:sz w:val="13"/>
        </w:rPr>
        <w:t> </w:t>
      </w:r>
      <w:r>
        <w:rPr>
          <w:i/>
          <w:w w:val="105"/>
          <w:sz w:val="13"/>
        </w:rPr>
        <w:t>Recommendations</w:t>
      </w:r>
      <w:r>
        <w:rPr>
          <w:i/>
          <w:spacing w:val="6"/>
          <w:w w:val="105"/>
          <w:sz w:val="13"/>
        </w:rPr>
        <w:t> </w:t>
      </w:r>
      <w:r>
        <w:rPr>
          <w:w w:val="105"/>
          <w:sz w:val="13"/>
        </w:rPr>
        <w:t>(2016)</w:t>
      </w:r>
      <w:r>
        <w:rPr>
          <w:spacing w:val="5"/>
          <w:w w:val="105"/>
          <w:sz w:val="13"/>
        </w:rPr>
        <w:t> </w:t>
      </w:r>
      <w:r>
        <w:rPr>
          <w:w w:val="105"/>
          <w:sz w:val="13"/>
        </w:rPr>
        <w:t>vol</w:t>
      </w:r>
      <w:r>
        <w:rPr>
          <w:spacing w:val="5"/>
          <w:w w:val="105"/>
          <w:sz w:val="13"/>
        </w:rPr>
        <w:t> </w:t>
      </w:r>
      <w:r>
        <w:rPr>
          <w:w w:val="105"/>
          <w:sz w:val="13"/>
        </w:rPr>
        <w:t>1</w:t>
      </w:r>
      <w:r>
        <w:rPr>
          <w:spacing w:val="5"/>
          <w:w w:val="105"/>
          <w:sz w:val="13"/>
        </w:rPr>
        <w:t> </w:t>
      </w:r>
      <w:r>
        <w:rPr>
          <w:w w:val="105"/>
          <w:sz w:val="13"/>
        </w:rPr>
        <w:t>288.</w:t>
      </w:r>
    </w:p>
    <w:p>
      <w:pPr>
        <w:pStyle w:val="ListParagraph"/>
        <w:numPr>
          <w:ilvl w:val="0"/>
          <w:numId w:val="151"/>
        </w:numPr>
        <w:tabs>
          <w:tab w:pos="1216" w:val="left" w:leader="none"/>
          <w:tab w:pos="1218" w:val="left" w:leader="none"/>
        </w:tabs>
        <w:spacing w:line="240" w:lineRule="auto" w:before="1" w:after="0"/>
        <w:ind w:left="1217" w:right="0" w:hanging="794"/>
        <w:jc w:val="left"/>
        <w:rPr>
          <w:sz w:val="13"/>
        </w:rPr>
      </w:pPr>
      <w:r>
        <w:rPr>
          <w:i/>
          <w:w w:val="105"/>
          <w:sz w:val="13"/>
        </w:rPr>
        <w:t>Victorian Civil and Administrative Tribunal Act 1998 </w:t>
      </w:r>
      <w:r>
        <w:rPr>
          <w:spacing w:val="2"/>
          <w:w w:val="105"/>
          <w:sz w:val="13"/>
        </w:rPr>
        <w:t>(Vic) </w:t>
      </w:r>
      <w:r>
        <w:rPr>
          <w:w w:val="105"/>
          <w:sz w:val="13"/>
        </w:rPr>
        <w:t>s</w:t>
      </w:r>
      <w:r>
        <w:rPr>
          <w:spacing w:val="8"/>
          <w:w w:val="105"/>
          <w:sz w:val="13"/>
        </w:rPr>
        <w:t> </w:t>
      </w:r>
      <w:r>
        <w:rPr>
          <w:w w:val="105"/>
          <w:sz w:val="13"/>
        </w:rPr>
        <w:t>133.</w:t>
      </w:r>
    </w:p>
    <w:p>
      <w:pPr>
        <w:pStyle w:val="ListParagraph"/>
        <w:numPr>
          <w:ilvl w:val="0"/>
          <w:numId w:val="151"/>
        </w:numPr>
        <w:tabs>
          <w:tab w:pos="1216" w:val="left" w:leader="none"/>
          <w:tab w:pos="1218" w:val="left" w:leader="none"/>
        </w:tabs>
        <w:spacing w:line="240" w:lineRule="auto" w:before="1" w:after="0"/>
        <w:ind w:left="1217" w:right="1824" w:hanging="794"/>
        <w:jc w:val="left"/>
        <w:rPr>
          <w:sz w:val="13"/>
        </w:rPr>
      </w:pPr>
      <w:r>
        <w:rPr>
          <w:sz w:val="13"/>
        </w:rPr>
        <w:t>Imprisonment is to last until compliance occurs or for three months (whichever is sooner): </w:t>
      </w:r>
      <w:r>
        <w:rPr>
          <w:i/>
          <w:sz w:val="13"/>
        </w:rPr>
        <w:t>Victorian Civil and Administrative Tribunal Act        </w:t>
      </w:r>
      <w:r>
        <w:rPr>
          <w:i/>
          <w:sz w:val="13"/>
        </w:rPr>
        <w:t>1998 </w:t>
      </w:r>
      <w:r>
        <w:rPr>
          <w:spacing w:val="2"/>
          <w:sz w:val="13"/>
        </w:rPr>
        <w:t>(Vic) </w:t>
      </w:r>
      <w:r>
        <w:rPr>
          <w:sz w:val="13"/>
        </w:rPr>
        <w:t>s</w:t>
      </w:r>
      <w:r>
        <w:rPr>
          <w:spacing w:val="16"/>
          <w:sz w:val="13"/>
        </w:rPr>
        <w:t> </w:t>
      </w:r>
      <w:r>
        <w:rPr>
          <w:sz w:val="13"/>
        </w:rPr>
        <w:t>133(1).</w:t>
      </w:r>
    </w:p>
    <w:p>
      <w:pPr>
        <w:pStyle w:val="ListParagraph"/>
        <w:numPr>
          <w:ilvl w:val="0"/>
          <w:numId w:val="151"/>
        </w:numPr>
        <w:tabs>
          <w:tab w:pos="1216" w:val="left" w:leader="none"/>
          <w:tab w:pos="1218" w:val="left" w:leader="none"/>
        </w:tabs>
        <w:spacing w:line="240" w:lineRule="auto" w:before="3" w:after="0"/>
        <w:ind w:left="1217" w:right="1774" w:hanging="794"/>
        <w:jc w:val="left"/>
        <w:rPr>
          <w:sz w:val="13"/>
        </w:rPr>
      </w:pPr>
      <w:r>
        <w:rPr>
          <w:w w:val="105"/>
          <w:sz w:val="13"/>
        </w:rPr>
        <w:t>Ibid s 133(1). The current value of a penalty unit is </w:t>
      </w:r>
      <w:r>
        <w:rPr>
          <w:spacing w:val="-5"/>
          <w:w w:val="105"/>
          <w:sz w:val="13"/>
        </w:rPr>
        <w:t>$161.19 </w:t>
      </w:r>
      <w:r>
        <w:rPr>
          <w:w w:val="105"/>
          <w:sz w:val="13"/>
        </w:rPr>
        <w:t>(as at 1 July 2018 to 30 June 2019): Victorian Government Gazette, ‘Notice</w:t>
      </w:r>
      <w:r>
        <w:rPr>
          <w:spacing w:val="30"/>
          <w:w w:val="105"/>
          <w:sz w:val="13"/>
        </w:rPr>
        <w:t> </w:t>
      </w:r>
      <w:r>
        <w:rPr>
          <w:w w:val="105"/>
          <w:sz w:val="13"/>
        </w:rPr>
        <w:t>Under Section 6, Fixing the Value of a Fee Unit and a Penalty Unit’ (GG No </w:t>
      </w:r>
      <w:r>
        <w:rPr>
          <w:spacing w:val="-3"/>
          <w:w w:val="105"/>
          <w:sz w:val="13"/>
        </w:rPr>
        <w:t>S135, </w:t>
      </w:r>
      <w:r>
        <w:rPr>
          <w:w w:val="105"/>
          <w:sz w:val="13"/>
        </w:rPr>
        <w:t>Thursday 29 March 2018) &lt;https://</w:t>
      </w:r>
      <w:hyperlink r:id="rId245">
        <w:r>
          <w:rPr>
            <w:w w:val="105"/>
            <w:sz w:val="13"/>
          </w:rPr>
          <w:t>www.dtf.vic.gov.au/</w:t>
        </w:r>
      </w:hyperlink>
      <w:r>
        <w:rPr>
          <w:w w:val="105"/>
          <w:sz w:val="13"/>
        </w:rPr>
        <w:t> financial-management-government/indexation-fees-and-penalties&gt;.</w:t>
      </w:r>
    </w:p>
    <w:p>
      <w:pPr>
        <w:pStyle w:val="ListParagraph"/>
        <w:numPr>
          <w:ilvl w:val="0"/>
          <w:numId w:val="151"/>
        </w:numPr>
        <w:tabs>
          <w:tab w:pos="1216" w:val="left" w:leader="none"/>
          <w:tab w:pos="1218" w:val="left" w:leader="none"/>
        </w:tabs>
        <w:spacing w:line="240" w:lineRule="auto" w:before="4" w:after="0"/>
        <w:ind w:left="1217" w:right="0" w:hanging="794"/>
        <w:jc w:val="left"/>
        <w:rPr>
          <w:sz w:val="13"/>
        </w:rPr>
      </w:pPr>
      <w:r>
        <w:rPr>
          <w:w w:val="105"/>
          <w:sz w:val="13"/>
        </w:rPr>
        <w:t>See, eg, </w:t>
      </w:r>
      <w:r>
        <w:rPr>
          <w:i/>
          <w:w w:val="105"/>
          <w:sz w:val="13"/>
        </w:rPr>
        <w:t>Magistrates Court Act 1989 </w:t>
      </w:r>
      <w:r>
        <w:rPr>
          <w:spacing w:val="2"/>
          <w:w w:val="105"/>
          <w:sz w:val="13"/>
        </w:rPr>
        <w:t>(Vic) </w:t>
      </w:r>
      <w:r>
        <w:rPr>
          <w:w w:val="105"/>
          <w:sz w:val="13"/>
        </w:rPr>
        <w:t>s</w:t>
      </w:r>
      <w:r>
        <w:rPr>
          <w:spacing w:val="4"/>
          <w:w w:val="105"/>
          <w:sz w:val="13"/>
        </w:rPr>
        <w:t> </w:t>
      </w:r>
      <w:r>
        <w:rPr>
          <w:w w:val="105"/>
          <w:sz w:val="13"/>
        </w:rPr>
        <w:t>25.</w:t>
      </w:r>
    </w:p>
    <w:p>
      <w:pPr>
        <w:spacing w:after="0" w:line="240" w:lineRule="auto"/>
        <w:jc w:val="left"/>
        <w:rPr>
          <w:sz w:val="13"/>
        </w:rPr>
        <w:sectPr>
          <w:type w:val="continuous"/>
          <w:pgSz w:w="11910" w:h="16840"/>
          <w:pgMar w:top="300" w:bottom="280" w:left="0" w:right="0"/>
          <w:cols w:num="2" w:equalWidth="0">
            <w:col w:w="1125" w:space="40"/>
            <w:col w:w="10745"/>
          </w:cols>
        </w:sectPr>
      </w:pPr>
    </w:p>
    <w:p>
      <w:pPr>
        <w:pStyle w:val="BodyText"/>
        <w:rPr>
          <w:sz w:val="20"/>
        </w:rPr>
      </w:pPr>
    </w:p>
    <w:p>
      <w:pPr>
        <w:pStyle w:val="BodyText"/>
        <w:spacing w:before="9"/>
        <w:rPr>
          <w:sz w:val="18"/>
        </w:rPr>
      </w:pPr>
    </w:p>
    <w:p>
      <w:pPr>
        <w:pStyle w:val="BodyText"/>
        <w:spacing w:line="242" w:lineRule="auto" w:before="91"/>
        <w:ind w:left="2381" w:right="1566"/>
        <w:rPr>
          <w:sz w:val="12"/>
        </w:rPr>
      </w:pPr>
      <w:r>
        <w:rPr>
          <w:w w:val="105"/>
        </w:rPr>
        <w:t>compliance; and a certificate from VCAT stating that the order is appropriate for filing in the Supreme Court.</w:t>
      </w:r>
      <w:r>
        <w:rPr>
          <w:w w:val="105"/>
          <w:position w:val="7"/>
          <w:sz w:val="12"/>
        </w:rPr>
        <w:t>147 </w:t>
      </w:r>
      <w:r>
        <w:rPr>
          <w:w w:val="105"/>
        </w:rPr>
        <w:t>There is no fee for filing an order.</w:t>
      </w:r>
      <w:r>
        <w:rPr>
          <w:w w:val="105"/>
          <w:position w:val="7"/>
          <w:sz w:val="12"/>
        </w:rPr>
        <w:t>148 </w:t>
      </w:r>
      <w:r>
        <w:rPr>
          <w:w w:val="105"/>
        </w:rPr>
        <w:t>Once filed, the VCAT order will be taken to be an order of the Supreme Court and enforced accordingly.</w:t>
      </w:r>
      <w:r>
        <w:rPr>
          <w:w w:val="105"/>
          <w:position w:val="7"/>
          <w:sz w:val="12"/>
        </w:rPr>
        <w:t>149</w:t>
      </w:r>
    </w:p>
    <w:p>
      <w:pPr>
        <w:pStyle w:val="ListParagraph"/>
        <w:numPr>
          <w:ilvl w:val="1"/>
          <w:numId w:val="16"/>
        </w:numPr>
        <w:tabs>
          <w:tab w:pos="2380" w:val="left" w:leader="none"/>
          <w:tab w:pos="2381" w:val="left" w:leader="none"/>
        </w:tabs>
        <w:spacing w:line="242" w:lineRule="auto" w:before="124" w:after="0"/>
        <w:ind w:left="2381" w:right="1742" w:hanging="794"/>
        <w:jc w:val="left"/>
        <w:rPr>
          <w:sz w:val="21"/>
        </w:rPr>
      </w:pPr>
      <w:r>
        <w:rPr>
          <w:w w:val="105"/>
          <w:sz w:val="21"/>
        </w:rPr>
        <w:t>The</w:t>
      </w:r>
      <w:r>
        <w:rPr>
          <w:spacing w:val="-9"/>
          <w:w w:val="105"/>
          <w:sz w:val="21"/>
        </w:rPr>
        <w:t> </w:t>
      </w:r>
      <w:r>
        <w:rPr>
          <w:i/>
          <w:w w:val="105"/>
          <w:sz w:val="21"/>
        </w:rPr>
        <w:t>Access</w:t>
      </w:r>
      <w:r>
        <w:rPr>
          <w:i/>
          <w:spacing w:val="-9"/>
          <w:w w:val="105"/>
          <w:sz w:val="21"/>
        </w:rPr>
        <w:t> </w:t>
      </w:r>
      <w:r>
        <w:rPr>
          <w:i/>
          <w:w w:val="105"/>
          <w:sz w:val="21"/>
        </w:rPr>
        <w:t>to</w:t>
      </w:r>
      <w:r>
        <w:rPr>
          <w:i/>
          <w:spacing w:val="-9"/>
          <w:w w:val="105"/>
          <w:sz w:val="21"/>
        </w:rPr>
        <w:t> </w:t>
      </w:r>
      <w:r>
        <w:rPr>
          <w:i/>
          <w:spacing w:val="-3"/>
          <w:w w:val="105"/>
          <w:sz w:val="21"/>
        </w:rPr>
        <w:t>Justice</w:t>
      </w:r>
      <w:r>
        <w:rPr>
          <w:i/>
          <w:spacing w:val="-9"/>
          <w:w w:val="105"/>
          <w:sz w:val="21"/>
        </w:rPr>
        <w:t> </w:t>
      </w:r>
      <w:r>
        <w:rPr>
          <w:w w:val="105"/>
          <w:sz w:val="21"/>
        </w:rPr>
        <w:t>Review</w:t>
      </w:r>
      <w:r>
        <w:rPr>
          <w:spacing w:val="-9"/>
          <w:w w:val="105"/>
          <w:sz w:val="21"/>
        </w:rPr>
        <w:t> </w:t>
      </w:r>
      <w:r>
        <w:rPr>
          <w:w w:val="105"/>
          <w:sz w:val="21"/>
        </w:rPr>
        <w:t>recommended</w:t>
      </w:r>
      <w:r>
        <w:rPr>
          <w:spacing w:val="-8"/>
          <w:w w:val="105"/>
          <w:sz w:val="21"/>
        </w:rPr>
        <w:t> </w:t>
      </w:r>
      <w:r>
        <w:rPr>
          <w:spacing w:val="-3"/>
          <w:w w:val="105"/>
          <w:sz w:val="21"/>
        </w:rPr>
        <w:t>that</w:t>
      </w:r>
      <w:r>
        <w:rPr>
          <w:spacing w:val="-9"/>
          <w:w w:val="105"/>
          <w:sz w:val="21"/>
        </w:rPr>
        <w:t> </w:t>
      </w:r>
      <w:r>
        <w:rPr>
          <w:w w:val="105"/>
          <w:sz w:val="21"/>
        </w:rPr>
        <w:t>this</w:t>
      </w:r>
      <w:r>
        <w:rPr>
          <w:spacing w:val="-9"/>
          <w:w w:val="105"/>
          <w:sz w:val="21"/>
        </w:rPr>
        <w:t> </w:t>
      </w:r>
      <w:r>
        <w:rPr>
          <w:w w:val="105"/>
          <w:sz w:val="21"/>
        </w:rPr>
        <w:t>process</w:t>
      </w:r>
      <w:r>
        <w:rPr>
          <w:spacing w:val="-9"/>
          <w:w w:val="105"/>
          <w:sz w:val="21"/>
        </w:rPr>
        <w:t> </w:t>
      </w:r>
      <w:r>
        <w:rPr>
          <w:w w:val="105"/>
          <w:sz w:val="21"/>
        </w:rPr>
        <w:t>should</w:t>
      </w:r>
      <w:r>
        <w:rPr>
          <w:spacing w:val="-9"/>
          <w:w w:val="105"/>
          <w:sz w:val="21"/>
        </w:rPr>
        <w:t> </w:t>
      </w:r>
      <w:r>
        <w:rPr>
          <w:w w:val="105"/>
          <w:sz w:val="21"/>
        </w:rPr>
        <w:t>be</w:t>
      </w:r>
      <w:r>
        <w:rPr>
          <w:spacing w:val="-8"/>
          <w:w w:val="105"/>
          <w:sz w:val="21"/>
        </w:rPr>
        <w:t> </w:t>
      </w:r>
      <w:r>
        <w:rPr>
          <w:w w:val="105"/>
          <w:sz w:val="21"/>
        </w:rPr>
        <w:t>repealed</w:t>
      </w:r>
      <w:r>
        <w:rPr>
          <w:spacing w:val="-9"/>
          <w:w w:val="105"/>
          <w:sz w:val="21"/>
        </w:rPr>
        <w:t> </w:t>
      </w:r>
      <w:r>
        <w:rPr>
          <w:w w:val="105"/>
          <w:sz w:val="21"/>
        </w:rPr>
        <w:t>so</w:t>
      </w:r>
      <w:r>
        <w:rPr>
          <w:spacing w:val="-9"/>
          <w:w w:val="105"/>
          <w:sz w:val="21"/>
        </w:rPr>
        <w:t> </w:t>
      </w:r>
      <w:r>
        <w:rPr>
          <w:spacing w:val="-3"/>
          <w:w w:val="105"/>
          <w:sz w:val="21"/>
        </w:rPr>
        <w:t>that </w:t>
      </w:r>
      <w:r>
        <w:rPr>
          <w:w w:val="105"/>
          <w:sz w:val="21"/>
        </w:rPr>
        <w:t>parties </w:t>
      </w:r>
      <w:r>
        <w:rPr>
          <w:spacing w:val="-3"/>
          <w:w w:val="105"/>
          <w:sz w:val="21"/>
        </w:rPr>
        <w:t>are </w:t>
      </w:r>
      <w:r>
        <w:rPr>
          <w:spacing w:val="-2"/>
          <w:w w:val="105"/>
          <w:sz w:val="21"/>
        </w:rPr>
        <w:t>not </w:t>
      </w:r>
      <w:r>
        <w:rPr>
          <w:w w:val="105"/>
          <w:sz w:val="21"/>
        </w:rPr>
        <w:t>directed </w:t>
      </w:r>
      <w:r>
        <w:rPr>
          <w:spacing w:val="-3"/>
          <w:w w:val="105"/>
          <w:sz w:val="21"/>
        </w:rPr>
        <w:t>to </w:t>
      </w:r>
      <w:r>
        <w:rPr>
          <w:w w:val="105"/>
          <w:sz w:val="21"/>
        </w:rPr>
        <w:t>the </w:t>
      </w:r>
      <w:r>
        <w:rPr>
          <w:spacing w:val="-3"/>
          <w:w w:val="105"/>
          <w:sz w:val="21"/>
        </w:rPr>
        <w:t>Supreme Court to </w:t>
      </w:r>
      <w:r>
        <w:rPr>
          <w:w w:val="105"/>
          <w:sz w:val="21"/>
        </w:rPr>
        <w:t>seek </w:t>
      </w:r>
      <w:r>
        <w:rPr>
          <w:spacing w:val="-3"/>
          <w:w w:val="105"/>
          <w:sz w:val="21"/>
        </w:rPr>
        <w:t>enforcement </w:t>
      </w:r>
      <w:r>
        <w:rPr>
          <w:w w:val="105"/>
          <w:sz w:val="21"/>
        </w:rPr>
        <w:t>of a non-monetary </w:t>
      </w:r>
      <w:r>
        <w:rPr>
          <w:spacing w:val="-4"/>
          <w:w w:val="105"/>
          <w:sz w:val="21"/>
        </w:rPr>
        <w:t>order.</w:t>
      </w:r>
      <w:r>
        <w:rPr>
          <w:spacing w:val="-10"/>
          <w:w w:val="105"/>
          <w:sz w:val="21"/>
        </w:rPr>
        <w:t> </w:t>
      </w:r>
      <w:r>
        <w:rPr>
          <w:spacing w:val="-3"/>
          <w:w w:val="105"/>
          <w:sz w:val="21"/>
        </w:rPr>
        <w:t>Instead,</w:t>
      </w:r>
      <w:r>
        <w:rPr>
          <w:spacing w:val="-9"/>
          <w:w w:val="105"/>
          <w:sz w:val="21"/>
        </w:rPr>
        <w:t> </w:t>
      </w:r>
      <w:r>
        <w:rPr>
          <w:w w:val="105"/>
          <w:sz w:val="21"/>
        </w:rPr>
        <w:t>the</w:t>
      </w:r>
      <w:r>
        <w:rPr>
          <w:spacing w:val="-9"/>
          <w:w w:val="105"/>
          <w:sz w:val="21"/>
        </w:rPr>
        <w:t> </w:t>
      </w:r>
      <w:r>
        <w:rPr>
          <w:spacing w:val="-3"/>
          <w:w w:val="105"/>
          <w:sz w:val="21"/>
        </w:rPr>
        <w:t>Access</w:t>
      </w:r>
      <w:r>
        <w:rPr>
          <w:spacing w:val="-10"/>
          <w:w w:val="105"/>
          <w:sz w:val="21"/>
        </w:rPr>
        <w:t> </w:t>
      </w:r>
      <w:r>
        <w:rPr>
          <w:spacing w:val="-3"/>
          <w:w w:val="105"/>
          <w:sz w:val="21"/>
        </w:rPr>
        <w:t>to</w:t>
      </w:r>
      <w:r>
        <w:rPr>
          <w:spacing w:val="-9"/>
          <w:w w:val="105"/>
          <w:sz w:val="21"/>
        </w:rPr>
        <w:t> </w:t>
      </w:r>
      <w:r>
        <w:rPr>
          <w:w w:val="105"/>
          <w:sz w:val="21"/>
        </w:rPr>
        <w:t>Justice</w:t>
      </w:r>
      <w:r>
        <w:rPr>
          <w:spacing w:val="-9"/>
          <w:w w:val="105"/>
          <w:sz w:val="21"/>
        </w:rPr>
        <w:t> </w:t>
      </w:r>
      <w:r>
        <w:rPr>
          <w:w w:val="105"/>
          <w:sz w:val="21"/>
        </w:rPr>
        <w:t>Review</w:t>
      </w:r>
      <w:r>
        <w:rPr>
          <w:spacing w:val="-9"/>
          <w:w w:val="105"/>
          <w:sz w:val="21"/>
        </w:rPr>
        <w:t> </w:t>
      </w:r>
      <w:r>
        <w:rPr>
          <w:w w:val="105"/>
          <w:sz w:val="21"/>
        </w:rPr>
        <w:t>recommended</w:t>
      </w:r>
      <w:r>
        <w:rPr>
          <w:spacing w:val="-10"/>
          <w:w w:val="105"/>
          <w:sz w:val="21"/>
        </w:rPr>
        <w:t> </w:t>
      </w:r>
      <w:r>
        <w:rPr>
          <w:spacing w:val="-3"/>
          <w:w w:val="105"/>
          <w:sz w:val="21"/>
        </w:rPr>
        <w:t>that</w:t>
      </w:r>
      <w:r>
        <w:rPr>
          <w:spacing w:val="-9"/>
          <w:w w:val="105"/>
          <w:sz w:val="21"/>
        </w:rPr>
        <w:t> </w:t>
      </w:r>
      <w:r>
        <w:rPr>
          <w:w w:val="105"/>
          <w:sz w:val="21"/>
        </w:rPr>
        <w:t>non-monetary</w:t>
      </w:r>
      <w:r>
        <w:rPr>
          <w:spacing w:val="-9"/>
          <w:w w:val="105"/>
          <w:sz w:val="21"/>
        </w:rPr>
        <w:t> </w:t>
      </w:r>
      <w:r>
        <w:rPr>
          <w:w w:val="105"/>
          <w:sz w:val="21"/>
        </w:rPr>
        <w:t>orders</w:t>
      </w:r>
      <w:r>
        <w:rPr>
          <w:spacing w:val="-9"/>
          <w:w w:val="105"/>
          <w:sz w:val="21"/>
        </w:rPr>
        <w:t> </w:t>
      </w:r>
      <w:r>
        <w:rPr>
          <w:w w:val="105"/>
          <w:sz w:val="21"/>
        </w:rPr>
        <w:t>of </w:t>
      </w:r>
      <w:r>
        <w:rPr>
          <w:spacing w:val="-5"/>
          <w:w w:val="105"/>
          <w:sz w:val="21"/>
        </w:rPr>
        <w:t>VCAT </w:t>
      </w:r>
      <w:r>
        <w:rPr>
          <w:spacing w:val="-3"/>
          <w:w w:val="105"/>
          <w:sz w:val="21"/>
        </w:rPr>
        <w:t>‘should </w:t>
      </w:r>
      <w:r>
        <w:rPr>
          <w:w w:val="105"/>
          <w:sz w:val="21"/>
        </w:rPr>
        <w:t>be </w:t>
      </w:r>
      <w:r>
        <w:rPr>
          <w:spacing w:val="-3"/>
          <w:w w:val="105"/>
          <w:sz w:val="21"/>
        </w:rPr>
        <w:t>enforced, </w:t>
      </w:r>
      <w:r>
        <w:rPr>
          <w:w w:val="105"/>
          <w:sz w:val="21"/>
        </w:rPr>
        <w:t>in </w:t>
      </w:r>
      <w:r>
        <w:rPr>
          <w:spacing w:val="-3"/>
          <w:w w:val="105"/>
          <w:sz w:val="21"/>
        </w:rPr>
        <w:t>exceptional circumstances, using </w:t>
      </w:r>
      <w:r>
        <w:rPr>
          <w:spacing w:val="-6"/>
          <w:w w:val="105"/>
          <w:sz w:val="21"/>
        </w:rPr>
        <w:t>VCAT’s </w:t>
      </w:r>
      <w:r>
        <w:rPr>
          <w:w w:val="105"/>
          <w:sz w:val="21"/>
        </w:rPr>
        <w:t>existing </w:t>
      </w:r>
      <w:r>
        <w:rPr>
          <w:spacing w:val="-3"/>
          <w:w w:val="105"/>
          <w:sz w:val="21"/>
        </w:rPr>
        <w:t>contempt </w:t>
      </w:r>
      <w:r>
        <w:rPr>
          <w:spacing w:val="-6"/>
          <w:w w:val="105"/>
          <w:sz w:val="21"/>
        </w:rPr>
        <w:t>powers’.</w:t>
      </w:r>
      <w:r>
        <w:rPr>
          <w:spacing w:val="-6"/>
          <w:w w:val="105"/>
          <w:position w:val="7"/>
          <w:sz w:val="12"/>
        </w:rPr>
        <w:t>150</w:t>
      </w:r>
    </w:p>
    <w:p>
      <w:pPr>
        <w:pStyle w:val="ListParagraph"/>
        <w:numPr>
          <w:ilvl w:val="1"/>
          <w:numId w:val="16"/>
        </w:numPr>
        <w:tabs>
          <w:tab w:pos="2381" w:val="left" w:leader="none"/>
          <w:tab w:pos="2382" w:val="left" w:leader="none"/>
        </w:tabs>
        <w:spacing w:line="242" w:lineRule="auto" w:before="125" w:after="0"/>
        <w:ind w:left="2381" w:right="1662" w:hanging="794"/>
        <w:jc w:val="left"/>
        <w:rPr>
          <w:sz w:val="21"/>
        </w:rPr>
      </w:pPr>
      <w:r>
        <w:rPr>
          <w:w w:val="105"/>
          <w:sz w:val="21"/>
        </w:rPr>
        <w:t>The </w:t>
      </w:r>
      <w:r>
        <w:rPr>
          <w:spacing w:val="-3"/>
          <w:w w:val="105"/>
          <w:sz w:val="21"/>
        </w:rPr>
        <w:t>amending </w:t>
      </w:r>
      <w:r>
        <w:rPr>
          <w:w w:val="105"/>
          <w:sz w:val="21"/>
        </w:rPr>
        <w:t>Act does </w:t>
      </w:r>
      <w:r>
        <w:rPr>
          <w:spacing w:val="-2"/>
          <w:w w:val="105"/>
          <w:sz w:val="21"/>
        </w:rPr>
        <w:t>not </w:t>
      </w:r>
      <w:r>
        <w:rPr>
          <w:spacing w:val="-3"/>
          <w:w w:val="105"/>
          <w:sz w:val="21"/>
        </w:rPr>
        <w:t>implement </w:t>
      </w:r>
      <w:r>
        <w:rPr>
          <w:w w:val="105"/>
          <w:sz w:val="21"/>
        </w:rPr>
        <w:t>this </w:t>
      </w:r>
      <w:r>
        <w:rPr>
          <w:spacing w:val="-3"/>
          <w:w w:val="105"/>
          <w:sz w:val="21"/>
        </w:rPr>
        <w:t>recommendation </w:t>
      </w:r>
      <w:r>
        <w:rPr>
          <w:w w:val="105"/>
          <w:sz w:val="21"/>
        </w:rPr>
        <w:t>but </w:t>
      </w:r>
      <w:r>
        <w:rPr>
          <w:spacing w:val="-3"/>
          <w:w w:val="105"/>
          <w:sz w:val="21"/>
        </w:rPr>
        <w:t>will </w:t>
      </w:r>
      <w:r>
        <w:rPr>
          <w:spacing w:val="-4"/>
          <w:w w:val="105"/>
          <w:sz w:val="21"/>
        </w:rPr>
        <w:t>make </w:t>
      </w:r>
      <w:r>
        <w:rPr>
          <w:w w:val="105"/>
          <w:sz w:val="21"/>
        </w:rPr>
        <w:t>it </w:t>
      </w:r>
      <w:r>
        <w:rPr>
          <w:spacing w:val="-2"/>
          <w:w w:val="105"/>
          <w:sz w:val="21"/>
        </w:rPr>
        <w:t>easier </w:t>
      </w:r>
      <w:r>
        <w:rPr>
          <w:spacing w:val="-3"/>
          <w:w w:val="105"/>
          <w:sz w:val="21"/>
        </w:rPr>
        <w:t>for </w:t>
      </w:r>
      <w:r>
        <w:rPr>
          <w:w w:val="105"/>
          <w:sz w:val="21"/>
        </w:rPr>
        <w:t>a party </w:t>
      </w:r>
      <w:r>
        <w:rPr>
          <w:spacing w:val="-3"/>
          <w:w w:val="105"/>
          <w:sz w:val="21"/>
        </w:rPr>
        <w:t>to </w:t>
      </w:r>
      <w:r>
        <w:rPr>
          <w:w w:val="105"/>
          <w:sz w:val="21"/>
        </w:rPr>
        <w:t>pursue </w:t>
      </w:r>
      <w:r>
        <w:rPr>
          <w:spacing w:val="-3"/>
          <w:w w:val="105"/>
          <w:sz w:val="21"/>
        </w:rPr>
        <w:t>enforcement </w:t>
      </w:r>
      <w:r>
        <w:rPr>
          <w:w w:val="105"/>
          <w:sz w:val="21"/>
        </w:rPr>
        <w:t>by </w:t>
      </w:r>
      <w:r>
        <w:rPr>
          <w:spacing w:val="-3"/>
          <w:w w:val="105"/>
          <w:sz w:val="21"/>
        </w:rPr>
        <w:t>removing </w:t>
      </w:r>
      <w:r>
        <w:rPr>
          <w:w w:val="105"/>
          <w:sz w:val="21"/>
        </w:rPr>
        <w:t>some of the existing </w:t>
      </w:r>
      <w:r>
        <w:rPr>
          <w:spacing w:val="-3"/>
          <w:w w:val="105"/>
          <w:sz w:val="21"/>
        </w:rPr>
        <w:t>procedural </w:t>
      </w:r>
      <w:r>
        <w:rPr>
          <w:spacing w:val="-5"/>
          <w:w w:val="105"/>
          <w:sz w:val="21"/>
        </w:rPr>
        <w:t>burdens.</w:t>
      </w:r>
      <w:r>
        <w:rPr>
          <w:spacing w:val="-5"/>
          <w:w w:val="105"/>
          <w:position w:val="7"/>
          <w:sz w:val="12"/>
        </w:rPr>
        <w:t>151 </w:t>
      </w:r>
      <w:r>
        <w:rPr>
          <w:w w:val="105"/>
          <w:sz w:val="21"/>
        </w:rPr>
        <w:t>As is the case with monetary orders, the </w:t>
      </w:r>
      <w:r>
        <w:rPr>
          <w:spacing w:val="-3"/>
          <w:w w:val="105"/>
          <w:sz w:val="21"/>
        </w:rPr>
        <w:t>amending </w:t>
      </w:r>
      <w:r>
        <w:rPr>
          <w:w w:val="105"/>
          <w:sz w:val="21"/>
        </w:rPr>
        <w:t>Act </w:t>
      </w:r>
      <w:r>
        <w:rPr>
          <w:spacing w:val="-3"/>
          <w:w w:val="105"/>
          <w:sz w:val="21"/>
        </w:rPr>
        <w:t>will </w:t>
      </w:r>
      <w:r>
        <w:rPr>
          <w:w w:val="105"/>
          <w:sz w:val="21"/>
        </w:rPr>
        <w:t>no longer </w:t>
      </w:r>
      <w:r>
        <w:rPr>
          <w:spacing w:val="-3"/>
          <w:w w:val="105"/>
          <w:sz w:val="21"/>
        </w:rPr>
        <w:t>require </w:t>
      </w:r>
      <w:r>
        <w:rPr>
          <w:w w:val="105"/>
          <w:sz w:val="21"/>
        </w:rPr>
        <w:t>the aggrieved party </w:t>
      </w:r>
      <w:r>
        <w:rPr>
          <w:spacing w:val="-3"/>
          <w:w w:val="105"/>
          <w:sz w:val="21"/>
        </w:rPr>
        <w:t>to take any additional procedural </w:t>
      </w:r>
      <w:r>
        <w:rPr>
          <w:w w:val="105"/>
          <w:sz w:val="21"/>
        </w:rPr>
        <w:t>steps </w:t>
      </w:r>
      <w:r>
        <w:rPr>
          <w:spacing w:val="-3"/>
          <w:w w:val="105"/>
          <w:sz w:val="21"/>
        </w:rPr>
        <w:t>to </w:t>
      </w:r>
      <w:r>
        <w:rPr>
          <w:w w:val="105"/>
          <w:sz w:val="21"/>
        </w:rPr>
        <w:t>file the </w:t>
      </w:r>
      <w:r>
        <w:rPr>
          <w:spacing w:val="-5"/>
          <w:w w:val="105"/>
          <w:sz w:val="21"/>
        </w:rPr>
        <w:t>VCAT </w:t>
      </w:r>
      <w:r>
        <w:rPr>
          <w:w w:val="105"/>
          <w:sz w:val="21"/>
        </w:rPr>
        <w:t>order and other documents in the </w:t>
      </w:r>
      <w:r>
        <w:rPr>
          <w:spacing w:val="-3"/>
          <w:w w:val="105"/>
          <w:sz w:val="21"/>
        </w:rPr>
        <w:t>Supreme Court. Instead, </w:t>
      </w:r>
      <w:r>
        <w:rPr>
          <w:w w:val="105"/>
          <w:sz w:val="21"/>
        </w:rPr>
        <w:t>the </w:t>
      </w:r>
      <w:r>
        <w:rPr>
          <w:spacing w:val="-5"/>
          <w:w w:val="105"/>
          <w:sz w:val="21"/>
        </w:rPr>
        <w:t>VCAT </w:t>
      </w:r>
      <w:r>
        <w:rPr>
          <w:w w:val="105"/>
          <w:sz w:val="21"/>
        </w:rPr>
        <w:t>order </w:t>
      </w:r>
      <w:r>
        <w:rPr>
          <w:spacing w:val="-3"/>
          <w:w w:val="105"/>
          <w:sz w:val="21"/>
        </w:rPr>
        <w:t>will </w:t>
      </w:r>
      <w:r>
        <w:rPr>
          <w:w w:val="105"/>
          <w:sz w:val="21"/>
        </w:rPr>
        <w:t>be </w:t>
      </w:r>
      <w:r>
        <w:rPr>
          <w:spacing w:val="-3"/>
          <w:w w:val="105"/>
          <w:sz w:val="21"/>
        </w:rPr>
        <w:t>automatically </w:t>
      </w:r>
      <w:r>
        <w:rPr>
          <w:w w:val="105"/>
          <w:sz w:val="21"/>
        </w:rPr>
        <w:t>deemed </w:t>
      </w:r>
      <w:r>
        <w:rPr>
          <w:spacing w:val="-3"/>
          <w:w w:val="105"/>
          <w:sz w:val="21"/>
        </w:rPr>
        <w:t>to </w:t>
      </w:r>
      <w:r>
        <w:rPr>
          <w:w w:val="105"/>
          <w:sz w:val="21"/>
        </w:rPr>
        <w:t>be an order of the </w:t>
      </w:r>
      <w:r>
        <w:rPr>
          <w:spacing w:val="-3"/>
          <w:w w:val="105"/>
          <w:sz w:val="21"/>
        </w:rPr>
        <w:t>Supreme Court </w:t>
      </w:r>
      <w:r>
        <w:rPr>
          <w:w w:val="105"/>
          <w:sz w:val="21"/>
        </w:rPr>
        <w:t>and can be </w:t>
      </w:r>
      <w:r>
        <w:rPr>
          <w:spacing w:val="-3"/>
          <w:w w:val="105"/>
          <w:sz w:val="21"/>
        </w:rPr>
        <w:t>enforced</w:t>
      </w:r>
      <w:r>
        <w:rPr>
          <w:spacing w:val="3"/>
          <w:w w:val="105"/>
          <w:sz w:val="21"/>
        </w:rPr>
        <w:t> </w:t>
      </w:r>
      <w:r>
        <w:rPr>
          <w:spacing w:val="-5"/>
          <w:w w:val="105"/>
          <w:sz w:val="21"/>
        </w:rPr>
        <w:t>accordingly.</w:t>
      </w:r>
      <w:r>
        <w:rPr>
          <w:spacing w:val="-5"/>
          <w:w w:val="105"/>
          <w:position w:val="7"/>
          <w:sz w:val="12"/>
        </w:rPr>
        <w:t>152</w:t>
      </w:r>
    </w:p>
    <w:p>
      <w:pPr>
        <w:pStyle w:val="ListParagraph"/>
        <w:numPr>
          <w:ilvl w:val="1"/>
          <w:numId w:val="16"/>
        </w:numPr>
        <w:tabs>
          <w:tab w:pos="2380" w:val="left" w:leader="none"/>
          <w:tab w:pos="2381" w:val="left" w:leader="none"/>
        </w:tabs>
        <w:spacing w:line="242" w:lineRule="auto" w:before="127" w:after="0"/>
        <w:ind w:left="2380" w:right="1653" w:hanging="793"/>
        <w:jc w:val="left"/>
        <w:rPr>
          <w:sz w:val="21"/>
        </w:rPr>
      </w:pPr>
      <w:r>
        <w:rPr>
          <w:w w:val="105"/>
          <w:sz w:val="21"/>
        </w:rPr>
        <w:t>An </w:t>
      </w:r>
      <w:r>
        <w:rPr>
          <w:spacing w:val="-3"/>
          <w:w w:val="105"/>
          <w:sz w:val="21"/>
        </w:rPr>
        <w:t>enabling </w:t>
      </w:r>
      <w:r>
        <w:rPr>
          <w:w w:val="105"/>
          <w:sz w:val="21"/>
        </w:rPr>
        <w:t>Act </w:t>
      </w:r>
      <w:r>
        <w:rPr>
          <w:spacing w:val="-3"/>
          <w:w w:val="105"/>
          <w:sz w:val="21"/>
        </w:rPr>
        <w:t>may </w:t>
      </w:r>
      <w:r>
        <w:rPr>
          <w:w w:val="105"/>
          <w:sz w:val="21"/>
        </w:rPr>
        <w:t>also </w:t>
      </w:r>
      <w:r>
        <w:rPr>
          <w:spacing w:val="-3"/>
          <w:w w:val="105"/>
          <w:sz w:val="21"/>
        </w:rPr>
        <w:t>contain separate enforcement mechanisms. </w:t>
      </w:r>
      <w:r>
        <w:rPr>
          <w:w w:val="105"/>
          <w:sz w:val="21"/>
        </w:rPr>
        <w:t>For </w:t>
      </w:r>
      <w:r>
        <w:rPr>
          <w:spacing w:val="-3"/>
          <w:w w:val="105"/>
          <w:sz w:val="21"/>
        </w:rPr>
        <w:t>example,  </w:t>
      </w:r>
      <w:r>
        <w:rPr>
          <w:w w:val="105"/>
          <w:sz w:val="21"/>
        </w:rPr>
        <w:t>under the </w:t>
      </w:r>
      <w:r>
        <w:rPr>
          <w:i/>
          <w:spacing w:val="-3"/>
          <w:w w:val="105"/>
          <w:sz w:val="21"/>
        </w:rPr>
        <w:t>Planning </w:t>
      </w:r>
      <w:r>
        <w:rPr>
          <w:i/>
          <w:w w:val="105"/>
          <w:sz w:val="21"/>
        </w:rPr>
        <w:t>and </w:t>
      </w:r>
      <w:r>
        <w:rPr>
          <w:i/>
          <w:spacing w:val="-3"/>
          <w:w w:val="105"/>
          <w:sz w:val="21"/>
        </w:rPr>
        <w:t>Environment </w:t>
      </w:r>
      <w:r>
        <w:rPr>
          <w:i/>
          <w:w w:val="105"/>
          <w:sz w:val="21"/>
        </w:rPr>
        <w:t>Act </w:t>
      </w:r>
      <w:r>
        <w:rPr>
          <w:i/>
          <w:spacing w:val="-6"/>
          <w:w w:val="105"/>
          <w:sz w:val="21"/>
        </w:rPr>
        <w:t>1987 </w:t>
      </w:r>
      <w:r>
        <w:rPr>
          <w:w w:val="105"/>
          <w:sz w:val="21"/>
        </w:rPr>
        <w:t>(Vic), if a party </w:t>
      </w:r>
      <w:r>
        <w:rPr>
          <w:spacing w:val="-4"/>
          <w:w w:val="105"/>
          <w:sz w:val="21"/>
        </w:rPr>
        <w:t>fails </w:t>
      </w:r>
      <w:r>
        <w:rPr>
          <w:spacing w:val="-3"/>
          <w:w w:val="105"/>
          <w:sz w:val="21"/>
        </w:rPr>
        <w:t>to </w:t>
      </w:r>
      <w:r>
        <w:rPr>
          <w:w w:val="105"/>
          <w:sz w:val="21"/>
        </w:rPr>
        <w:t>carry out </w:t>
      </w:r>
      <w:r>
        <w:rPr>
          <w:spacing w:val="-3"/>
          <w:w w:val="105"/>
          <w:sz w:val="21"/>
        </w:rPr>
        <w:t>any </w:t>
      </w:r>
      <w:r>
        <w:rPr>
          <w:w w:val="105"/>
          <w:sz w:val="21"/>
        </w:rPr>
        <w:t>work specified in an </w:t>
      </w:r>
      <w:r>
        <w:rPr>
          <w:spacing w:val="-3"/>
          <w:w w:val="105"/>
          <w:sz w:val="21"/>
        </w:rPr>
        <w:t>enforcement </w:t>
      </w:r>
      <w:r>
        <w:rPr>
          <w:w w:val="105"/>
          <w:sz w:val="21"/>
        </w:rPr>
        <w:t>or </w:t>
      </w:r>
      <w:r>
        <w:rPr>
          <w:spacing w:val="-3"/>
          <w:w w:val="105"/>
          <w:sz w:val="21"/>
        </w:rPr>
        <w:t>interim enforcement </w:t>
      </w:r>
      <w:r>
        <w:rPr>
          <w:w w:val="105"/>
          <w:sz w:val="21"/>
        </w:rPr>
        <w:t>order issued by </w:t>
      </w:r>
      <w:r>
        <w:rPr>
          <w:spacing w:val="-5"/>
          <w:w w:val="105"/>
          <w:sz w:val="21"/>
        </w:rPr>
        <w:t>VCAT </w:t>
      </w:r>
      <w:r>
        <w:rPr>
          <w:w w:val="105"/>
          <w:sz w:val="21"/>
        </w:rPr>
        <w:t>under the Act, then a local </w:t>
      </w:r>
      <w:r>
        <w:rPr>
          <w:spacing w:val="-3"/>
          <w:w w:val="105"/>
          <w:sz w:val="21"/>
        </w:rPr>
        <w:t>council </w:t>
      </w:r>
      <w:r>
        <w:rPr>
          <w:spacing w:val="-6"/>
          <w:w w:val="105"/>
          <w:sz w:val="21"/>
        </w:rPr>
        <w:t>or, </w:t>
      </w:r>
      <w:r>
        <w:rPr>
          <w:w w:val="105"/>
          <w:sz w:val="21"/>
        </w:rPr>
        <w:t>with the </w:t>
      </w:r>
      <w:r>
        <w:rPr>
          <w:spacing w:val="-3"/>
          <w:w w:val="105"/>
          <w:sz w:val="21"/>
        </w:rPr>
        <w:t>consent </w:t>
      </w:r>
      <w:r>
        <w:rPr>
          <w:w w:val="105"/>
          <w:sz w:val="21"/>
        </w:rPr>
        <w:t>of </w:t>
      </w:r>
      <w:r>
        <w:rPr>
          <w:spacing w:val="-8"/>
          <w:w w:val="105"/>
          <w:sz w:val="21"/>
        </w:rPr>
        <w:t>VCAT, </w:t>
      </w:r>
      <w:r>
        <w:rPr>
          <w:spacing w:val="-3"/>
          <w:w w:val="105"/>
          <w:sz w:val="21"/>
        </w:rPr>
        <w:t>any </w:t>
      </w:r>
      <w:r>
        <w:rPr>
          <w:w w:val="105"/>
          <w:sz w:val="21"/>
        </w:rPr>
        <w:t>other party, </w:t>
      </w:r>
      <w:r>
        <w:rPr>
          <w:spacing w:val="-3"/>
          <w:w w:val="105"/>
          <w:sz w:val="21"/>
        </w:rPr>
        <w:t>may </w:t>
      </w:r>
      <w:r>
        <w:rPr>
          <w:w w:val="105"/>
          <w:sz w:val="21"/>
        </w:rPr>
        <w:t>carry out those works</w:t>
      </w:r>
      <w:r>
        <w:rPr>
          <w:spacing w:val="-7"/>
          <w:w w:val="105"/>
          <w:sz w:val="21"/>
        </w:rPr>
        <w:t> </w:t>
      </w:r>
      <w:r>
        <w:rPr>
          <w:w w:val="105"/>
          <w:sz w:val="21"/>
        </w:rPr>
        <w:t>themselves.</w:t>
      </w:r>
      <w:r>
        <w:rPr>
          <w:spacing w:val="-7"/>
          <w:w w:val="105"/>
          <w:sz w:val="21"/>
        </w:rPr>
        <w:t> </w:t>
      </w:r>
      <w:r>
        <w:rPr>
          <w:w w:val="105"/>
          <w:sz w:val="21"/>
        </w:rPr>
        <w:t>Any</w:t>
      </w:r>
      <w:r>
        <w:rPr>
          <w:spacing w:val="-7"/>
          <w:w w:val="105"/>
          <w:sz w:val="21"/>
        </w:rPr>
        <w:t> </w:t>
      </w:r>
      <w:r>
        <w:rPr>
          <w:w w:val="105"/>
          <w:sz w:val="21"/>
        </w:rPr>
        <w:t>costs</w:t>
      </w:r>
      <w:r>
        <w:rPr>
          <w:spacing w:val="-6"/>
          <w:w w:val="105"/>
          <w:sz w:val="21"/>
        </w:rPr>
        <w:t> </w:t>
      </w:r>
      <w:r>
        <w:rPr>
          <w:spacing w:val="-3"/>
          <w:w w:val="105"/>
          <w:sz w:val="21"/>
        </w:rPr>
        <w:t>incurred</w:t>
      </w:r>
      <w:r>
        <w:rPr>
          <w:spacing w:val="-7"/>
          <w:w w:val="105"/>
          <w:sz w:val="21"/>
        </w:rPr>
        <w:t> </w:t>
      </w:r>
      <w:r>
        <w:rPr>
          <w:w w:val="105"/>
          <w:sz w:val="21"/>
        </w:rPr>
        <w:t>as</w:t>
      </w:r>
      <w:r>
        <w:rPr>
          <w:spacing w:val="-7"/>
          <w:w w:val="105"/>
          <w:sz w:val="21"/>
        </w:rPr>
        <w:t> </w:t>
      </w:r>
      <w:r>
        <w:rPr>
          <w:w w:val="105"/>
          <w:sz w:val="21"/>
        </w:rPr>
        <w:t>a</w:t>
      </w:r>
      <w:r>
        <w:rPr>
          <w:spacing w:val="-7"/>
          <w:w w:val="105"/>
          <w:sz w:val="21"/>
        </w:rPr>
        <w:t> </w:t>
      </w:r>
      <w:r>
        <w:rPr>
          <w:spacing w:val="-3"/>
          <w:w w:val="105"/>
          <w:sz w:val="21"/>
        </w:rPr>
        <w:t>result</w:t>
      </w:r>
      <w:r>
        <w:rPr>
          <w:spacing w:val="-6"/>
          <w:w w:val="105"/>
          <w:sz w:val="21"/>
        </w:rPr>
        <w:t> </w:t>
      </w:r>
      <w:r>
        <w:rPr>
          <w:w w:val="105"/>
          <w:sz w:val="21"/>
        </w:rPr>
        <w:t>of</w:t>
      </w:r>
      <w:r>
        <w:rPr>
          <w:spacing w:val="-7"/>
          <w:w w:val="105"/>
          <w:sz w:val="21"/>
        </w:rPr>
        <w:t> </w:t>
      </w:r>
      <w:r>
        <w:rPr>
          <w:w w:val="105"/>
          <w:sz w:val="21"/>
        </w:rPr>
        <w:t>carrying</w:t>
      </w:r>
      <w:r>
        <w:rPr>
          <w:spacing w:val="-7"/>
          <w:w w:val="105"/>
          <w:sz w:val="21"/>
        </w:rPr>
        <w:t> </w:t>
      </w:r>
      <w:r>
        <w:rPr>
          <w:w w:val="105"/>
          <w:sz w:val="21"/>
        </w:rPr>
        <w:t>out</w:t>
      </w:r>
      <w:r>
        <w:rPr>
          <w:spacing w:val="-6"/>
          <w:w w:val="105"/>
          <w:sz w:val="21"/>
        </w:rPr>
        <w:t> </w:t>
      </w:r>
      <w:r>
        <w:rPr>
          <w:w w:val="105"/>
          <w:sz w:val="21"/>
        </w:rPr>
        <w:t>these</w:t>
      </w:r>
      <w:r>
        <w:rPr>
          <w:spacing w:val="-7"/>
          <w:w w:val="105"/>
          <w:sz w:val="21"/>
        </w:rPr>
        <w:t> </w:t>
      </w:r>
      <w:r>
        <w:rPr>
          <w:w w:val="105"/>
          <w:sz w:val="21"/>
        </w:rPr>
        <w:t>works</w:t>
      </w:r>
      <w:r>
        <w:rPr>
          <w:spacing w:val="-7"/>
          <w:w w:val="105"/>
          <w:sz w:val="21"/>
        </w:rPr>
        <w:t> </w:t>
      </w:r>
      <w:r>
        <w:rPr>
          <w:spacing w:val="-3"/>
          <w:w w:val="105"/>
          <w:sz w:val="21"/>
        </w:rPr>
        <w:t>may</w:t>
      </w:r>
      <w:r>
        <w:rPr>
          <w:spacing w:val="-7"/>
          <w:w w:val="105"/>
          <w:sz w:val="21"/>
        </w:rPr>
        <w:t> </w:t>
      </w:r>
      <w:r>
        <w:rPr>
          <w:w w:val="105"/>
          <w:sz w:val="21"/>
        </w:rPr>
        <w:t>then</w:t>
      </w:r>
      <w:r>
        <w:rPr>
          <w:spacing w:val="-6"/>
          <w:w w:val="105"/>
          <w:sz w:val="21"/>
        </w:rPr>
        <w:t> </w:t>
      </w:r>
      <w:r>
        <w:rPr>
          <w:w w:val="105"/>
          <w:sz w:val="21"/>
        </w:rPr>
        <w:t>be </w:t>
      </w:r>
      <w:r>
        <w:rPr>
          <w:spacing w:val="-3"/>
          <w:w w:val="105"/>
          <w:sz w:val="21"/>
        </w:rPr>
        <w:t>recovered from </w:t>
      </w:r>
      <w:r>
        <w:rPr>
          <w:w w:val="105"/>
          <w:sz w:val="21"/>
        </w:rPr>
        <w:t>the </w:t>
      </w:r>
      <w:r>
        <w:rPr>
          <w:spacing w:val="-3"/>
          <w:w w:val="105"/>
          <w:sz w:val="21"/>
        </w:rPr>
        <w:t>defaulting </w:t>
      </w:r>
      <w:r>
        <w:rPr>
          <w:w w:val="105"/>
          <w:sz w:val="21"/>
        </w:rPr>
        <w:t>party in the </w:t>
      </w:r>
      <w:r>
        <w:rPr>
          <w:spacing w:val="-3"/>
          <w:w w:val="105"/>
          <w:sz w:val="21"/>
        </w:rPr>
        <w:t>relevant </w:t>
      </w:r>
      <w:r>
        <w:rPr>
          <w:w w:val="105"/>
          <w:sz w:val="21"/>
        </w:rPr>
        <w:t>court as a</w:t>
      </w:r>
      <w:r>
        <w:rPr>
          <w:spacing w:val="47"/>
          <w:w w:val="105"/>
          <w:sz w:val="21"/>
        </w:rPr>
        <w:t> </w:t>
      </w:r>
      <w:r>
        <w:rPr>
          <w:spacing w:val="-5"/>
          <w:w w:val="105"/>
          <w:sz w:val="21"/>
        </w:rPr>
        <w:t>debt.</w:t>
      </w:r>
      <w:r>
        <w:rPr>
          <w:spacing w:val="-5"/>
          <w:w w:val="105"/>
          <w:position w:val="7"/>
          <w:sz w:val="12"/>
        </w:rPr>
        <w:t>153</w:t>
      </w:r>
    </w:p>
    <w:p>
      <w:pPr>
        <w:pStyle w:val="Heading7"/>
        <w:spacing w:before="157"/>
      </w:pPr>
      <w:r>
        <w:rPr>
          <w:w w:val="115"/>
        </w:rPr>
        <w:t>Contempt</w:t>
      </w:r>
    </w:p>
    <w:p>
      <w:pPr>
        <w:pStyle w:val="ListParagraph"/>
        <w:numPr>
          <w:ilvl w:val="1"/>
          <w:numId w:val="16"/>
        </w:numPr>
        <w:tabs>
          <w:tab w:pos="2380" w:val="left" w:leader="none"/>
          <w:tab w:pos="2381" w:val="left" w:leader="none"/>
        </w:tabs>
        <w:spacing w:line="240" w:lineRule="auto" w:before="142" w:after="0"/>
        <w:ind w:left="2381" w:right="0" w:hanging="794"/>
        <w:jc w:val="left"/>
        <w:rPr>
          <w:sz w:val="21"/>
        </w:rPr>
      </w:pPr>
      <w:r>
        <w:rPr>
          <w:w w:val="105"/>
          <w:sz w:val="21"/>
        </w:rPr>
        <w:t>In</w:t>
      </w:r>
      <w:r>
        <w:rPr>
          <w:spacing w:val="4"/>
          <w:w w:val="105"/>
          <w:sz w:val="21"/>
        </w:rPr>
        <w:t> </w:t>
      </w:r>
      <w:r>
        <w:rPr>
          <w:spacing w:val="-3"/>
          <w:w w:val="105"/>
          <w:sz w:val="21"/>
        </w:rPr>
        <w:t>limited</w:t>
      </w:r>
      <w:r>
        <w:rPr>
          <w:spacing w:val="4"/>
          <w:w w:val="105"/>
          <w:sz w:val="21"/>
        </w:rPr>
        <w:t> </w:t>
      </w:r>
      <w:r>
        <w:rPr>
          <w:spacing w:val="-3"/>
          <w:w w:val="105"/>
          <w:sz w:val="21"/>
        </w:rPr>
        <w:t>circumstances,</w:t>
      </w:r>
      <w:r>
        <w:rPr>
          <w:spacing w:val="5"/>
          <w:w w:val="105"/>
          <w:sz w:val="21"/>
        </w:rPr>
        <w:t> </w:t>
      </w:r>
      <w:r>
        <w:rPr>
          <w:spacing w:val="-6"/>
          <w:w w:val="105"/>
          <w:sz w:val="21"/>
        </w:rPr>
        <w:t>VCAT’s</w:t>
      </w:r>
      <w:r>
        <w:rPr>
          <w:spacing w:val="4"/>
          <w:w w:val="105"/>
          <w:sz w:val="21"/>
        </w:rPr>
        <w:t> </w:t>
      </w:r>
      <w:r>
        <w:rPr>
          <w:spacing w:val="-3"/>
          <w:w w:val="105"/>
          <w:sz w:val="21"/>
        </w:rPr>
        <w:t>contempt</w:t>
      </w:r>
      <w:r>
        <w:rPr>
          <w:spacing w:val="4"/>
          <w:w w:val="105"/>
          <w:sz w:val="21"/>
        </w:rPr>
        <w:t> </w:t>
      </w:r>
      <w:r>
        <w:rPr>
          <w:w w:val="105"/>
          <w:sz w:val="21"/>
        </w:rPr>
        <w:t>powers</w:t>
      </w:r>
      <w:r>
        <w:rPr>
          <w:spacing w:val="5"/>
          <w:w w:val="105"/>
          <w:sz w:val="21"/>
        </w:rPr>
        <w:t> </w:t>
      </w:r>
      <w:r>
        <w:rPr>
          <w:w w:val="105"/>
          <w:sz w:val="21"/>
        </w:rPr>
        <w:t>can</w:t>
      </w:r>
      <w:r>
        <w:rPr>
          <w:spacing w:val="4"/>
          <w:w w:val="105"/>
          <w:sz w:val="21"/>
        </w:rPr>
        <w:t> </w:t>
      </w:r>
      <w:r>
        <w:rPr>
          <w:w w:val="105"/>
          <w:sz w:val="21"/>
        </w:rPr>
        <w:t>be</w:t>
      </w:r>
      <w:r>
        <w:rPr>
          <w:spacing w:val="5"/>
          <w:w w:val="105"/>
          <w:sz w:val="21"/>
        </w:rPr>
        <w:t> </w:t>
      </w:r>
      <w:r>
        <w:rPr>
          <w:w w:val="105"/>
          <w:sz w:val="21"/>
        </w:rPr>
        <w:t>used</w:t>
      </w:r>
      <w:r>
        <w:rPr>
          <w:spacing w:val="4"/>
          <w:w w:val="105"/>
          <w:sz w:val="21"/>
        </w:rPr>
        <w:t> </w:t>
      </w:r>
      <w:r>
        <w:rPr>
          <w:spacing w:val="-3"/>
          <w:w w:val="105"/>
          <w:sz w:val="21"/>
        </w:rPr>
        <w:t>to</w:t>
      </w:r>
      <w:r>
        <w:rPr>
          <w:spacing w:val="4"/>
          <w:w w:val="105"/>
          <w:sz w:val="21"/>
        </w:rPr>
        <w:t> </w:t>
      </w:r>
      <w:r>
        <w:rPr>
          <w:spacing w:val="-3"/>
          <w:w w:val="105"/>
          <w:sz w:val="21"/>
        </w:rPr>
        <w:t>enforce</w:t>
      </w:r>
      <w:r>
        <w:rPr>
          <w:spacing w:val="5"/>
          <w:w w:val="105"/>
          <w:sz w:val="21"/>
        </w:rPr>
        <w:t> </w:t>
      </w:r>
      <w:r>
        <w:rPr>
          <w:w w:val="105"/>
          <w:sz w:val="21"/>
        </w:rPr>
        <w:t>an</w:t>
      </w:r>
      <w:r>
        <w:rPr>
          <w:spacing w:val="4"/>
          <w:w w:val="105"/>
          <w:sz w:val="21"/>
        </w:rPr>
        <w:t> </w:t>
      </w:r>
      <w:r>
        <w:rPr>
          <w:spacing w:val="-6"/>
          <w:w w:val="105"/>
          <w:sz w:val="21"/>
        </w:rPr>
        <w:t>order.</w:t>
      </w:r>
      <w:r>
        <w:rPr>
          <w:spacing w:val="-6"/>
          <w:w w:val="105"/>
          <w:position w:val="7"/>
          <w:sz w:val="12"/>
        </w:rPr>
        <w:t>154</w:t>
      </w:r>
    </w:p>
    <w:p>
      <w:pPr>
        <w:pStyle w:val="BodyText"/>
        <w:spacing w:before="4"/>
        <w:ind w:left="2381"/>
      </w:pPr>
      <w:r>
        <w:rPr>
          <w:w w:val="105"/>
        </w:rPr>
        <w:t>VCAT’s contempt power reflects:</w:t>
      </w:r>
    </w:p>
    <w:p>
      <w:pPr>
        <w:spacing w:line="254" w:lineRule="auto" w:before="133"/>
        <w:ind w:left="2834" w:right="1604" w:firstLine="0"/>
        <w:jc w:val="left"/>
        <w:rPr>
          <w:sz w:val="11"/>
        </w:rPr>
      </w:pPr>
      <w:r>
        <w:rPr>
          <w:w w:val="105"/>
          <w:sz w:val="20"/>
        </w:rPr>
        <w:t>the importance of </w:t>
      </w:r>
      <w:r>
        <w:rPr>
          <w:spacing w:val="-3"/>
          <w:w w:val="105"/>
          <w:sz w:val="20"/>
        </w:rPr>
        <w:t>compliance </w:t>
      </w:r>
      <w:r>
        <w:rPr>
          <w:w w:val="105"/>
          <w:sz w:val="20"/>
        </w:rPr>
        <w:t>with </w:t>
      </w:r>
      <w:r>
        <w:rPr>
          <w:spacing w:val="-4"/>
          <w:w w:val="105"/>
          <w:sz w:val="20"/>
        </w:rPr>
        <w:t>Tribunal </w:t>
      </w:r>
      <w:r>
        <w:rPr>
          <w:w w:val="105"/>
          <w:sz w:val="20"/>
        </w:rPr>
        <w:t>Orders and the importance of preserving the authority and standing of the </w:t>
      </w:r>
      <w:r>
        <w:rPr>
          <w:spacing w:val="-4"/>
          <w:w w:val="105"/>
          <w:sz w:val="20"/>
        </w:rPr>
        <w:t>Tribunal. However, </w:t>
      </w:r>
      <w:r>
        <w:rPr>
          <w:w w:val="105"/>
          <w:sz w:val="20"/>
        </w:rPr>
        <w:t>the power should be exercised cautiously</w:t>
      </w:r>
      <w:r>
        <w:rPr>
          <w:spacing w:val="-7"/>
          <w:w w:val="105"/>
          <w:sz w:val="20"/>
        </w:rPr>
        <w:t> </w:t>
      </w:r>
      <w:r>
        <w:rPr>
          <w:w w:val="105"/>
          <w:sz w:val="20"/>
        </w:rPr>
        <w:t>and</w:t>
      </w:r>
      <w:r>
        <w:rPr>
          <w:spacing w:val="-7"/>
          <w:w w:val="105"/>
          <w:sz w:val="20"/>
        </w:rPr>
        <w:t> </w:t>
      </w:r>
      <w:r>
        <w:rPr>
          <w:w w:val="105"/>
          <w:sz w:val="20"/>
        </w:rPr>
        <w:t>should</w:t>
      </w:r>
      <w:r>
        <w:rPr>
          <w:spacing w:val="-7"/>
          <w:w w:val="105"/>
          <w:sz w:val="20"/>
        </w:rPr>
        <w:t> </w:t>
      </w:r>
      <w:r>
        <w:rPr>
          <w:w w:val="105"/>
          <w:sz w:val="20"/>
        </w:rPr>
        <w:t>not</w:t>
      </w:r>
      <w:r>
        <w:rPr>
          <w:spacing w:val="-6"/>
          <w:w w:val="105"/>
          <w:sz w:val="20"/>
        </w:rPr>
        <w:t> </w:t>
      </w:r>
      <w:r>
        <w:rPr>
          <w:w w:val="105"/>
          <w:sz w:val="20"/>
        </w:rPr>
        <w:t>be</w:t>
      </w:r>
      <w:r>
        <w:rPr>
          <w:spacing w:val="-7"/>
          <w:w w:val="105"/>
          <w:sz w:val="20"/>
        </w:rPr>
        <w:t> </w:t>
      </w:r>
      <w:r>
        <w:rPr>
          <w:w w:val="105"/>
          <w:sz w:val="20"/>
        </w:rPr>
        <w:t>used</w:t>
      </w:r>
      <w:r>
        <w:rPr>
          <w:spacing w:val="-7"/>
          <w:w w:val="105"/>
          <w:sz w:val="20"/>
        </w:rPr>
        <w:t> </w:t>
      </w:r>
      <w:r>
        <w:rPr>
          <w:w w:val="105"/>
          <w:sz w:val="20"/>
        </w:rPr>
        <w:t>unless</w:t>
      </w:r>
      <w:r>
        <w:rPr>
          <w:spacing w:val="-7"/>
          <w:w w:val="105"/>
          <w:sz w:val="20"/>
        </w:rPr>
        <w:t> </w:t>
      </w:r>
      <w:r>
        <w:rPr>
          <w:w w:val="105"/>
          <w:sz w:val="20"/>
        </w:rPr>
        <w:t>there</w:t>
      </w:r>
      <w:r>
        <w:rPr>
          <w:spacing w:val="-6"/>
          <w:w w:val="105"/>
          <w:sz w:val="20"/>
        </w:rPr>
        <w:t> </w:t>
      </w:r>
      <w:r>
        <w:rPr>
          <w:w w:val="105"/>
          <w:sz w:val="20"/>
        </w:rPr>
        <w:t>is</w:t>
      </w:r>
      <w:r>
        <w:rPr>
          <w:spacing w:val="-7"/>
          <w:w w:val="105"/>
          <w:sz w:val="20"/>
        </w:rPr>
        <w:t> </w:t>
      </w:r>
      <w:r>
        <w:rPr>
          <w:w w:val="105"/>
          <w:sz w:val="20"/>
        </w:rPr>
        <w:t>no</w:t>
      </w:r>
      <w:r>
        <w:rPr>
          <w:spacing w:val="-7"/>
          <w:w w:val="105"/>
          <w:sz w:val="20"/>
        </w:rPr>
        <w:t> </w:t>
      </w:r>
      <w:r>
        <w:rPr>
          <w:w w:val="105"/>
          <w:sz w:val="20"/>
        </w:rPr>
        <w:t>other</w:t>
      </w:r>
      <w:r>
        <w:rPr>
          <w:spacing w:val="-7"/>
          <w:w w:val="105"/>
          <w:sz w:val="20"/>
        </w:rPr>
        <w:t> </w:t>
      </w:r>
      <w:r>
        <w:rPr>
          <w:w w:val="105"/>
          <w:sz w:val="20"/>
        </w:rPr>
        <w:t>effective</w:t>
      </w:r>
      <w:r>
        <w:rPr>
          <w:spacing w:val="-6"/>
          <w:w w:val="105"/>
          <w:sz w:val="20"/>
        </w:rPr>
        <w:t> </w:t>
      </w:r>
      <w:r>
        <w:rPr>
          <w:w w:val="105"/>
          <w:sz w:val="20"/>
        </w:rPr>
        <w:t>way</w:t>
      </w:r>
      <w:r>
        <w:rPr>
          <w:spacing w:val="-7"/>
          <w:w w:val="105"/>
          <w:sz w:val="20"/>
        </w:rPr>
        <w:t> </w:t>
      </w:r>
      <w:r>
        <w:rPr>
          <w:w w:val="105"/>
          <w:sz w:val="20"/>
        </w:rPr>
        <w:t>of</w:t>
      </w:r>
      <w:r>
        <w:rPr>
          <w:spacing w:val="-7"/>
          <w:w w:val="105"/>
          <w:sz w:val="20"/>
        </w:rPr>
        <w:t> </w:t>
      </w:r>
      <w:r>
        <w:rPr>
          <w:spacing w:val="-3"/>
          <w:w w:val="105"/>
          <w:sz w:val="20"/>
        </w:rPr>
        <w:t>enforcing</w:t>
      </w:r>
      <w:r>
        <w:rPr>
          <w:spacing w:val="-7"/>
          <w:w w:val="105"/>
          <w:sz w:val="20"/>
        </w:rPr>
        <w:t> </w:t>
      </w:r>
      <w:r>
        <w:rPr>
          <w:w w:val="105"/>
          <w:sz w:val="20"/>
        </w:rPr>
        <w:t>the </w:t>
      </w:r>
      <w:r>
        <w:rPr>
          <w:spacing w:val="-4"/>
          <w:w w:val="105"/>
          <w:sz w:val="20"/>
        </w:rPr>
        <w:t>Tribunal’s</w:t>
      </w:r>
      <w:r>
        <w:rPr>
          <w:spacing w:val="5"/>
          <w:w w:val="105"/>
          <w:sz w:val="20"/>
        </w:rPr>
        <w:t> </w:t>
      </w:r>
      <w:r>
        <w:rPr>
          <w:spacing w:val="-5"/>
          <w:w w:val="105"/>
          <w:sz w:val="20"/>
        </w:rPr>
        <w:t>Order.</w:t>
      </w:r>
      <w:r>
        <w:rPr>
          <w:spacing w:val="-5"/>
          <w:w w:val="105"/>
          <w:position w:val="7"/>
          <w:sz w:val="11"/>
        </w:rPr>
        <w:t>155</w:t>
      </w:r>
    </w:p>
    <w:p>
      <w:pPr>
        <w:pStyle w:val="ListParagraph"/>
        <w:numPr>
          <w:ilvl w:val="1"/>
          <w:numId w:val="16"/>
        </w:numPr>
        <w:tabs>
          <w:tab w:pos="2380" w:val="left" w:leader="none"/>
          <w:tab w:pos="2381" w:val="left" w:leader="none"/>
        </w:tabs>
        <w:spacing w:line="242" w:lineRule="auto" w:before="116" w:after="0"/>
        <w:ind w:left="2381" w:right="1660" w:hanging="794"/>
        <w:jc w:val="left"/>
        <w:rPr>
          <w:sz w:val="21"/>
        </w:rPr>
      </w:pPr>
      <w:r>
        <w:rPr>
          <w:w w:val="105"/>
          <w:sz w:val="21"/>
        </w:rPr>
        <w:t>When a person is </w:t>
      </w:r>
      <w:r>
        <w:rPr>
          <w:spacing w:val="-3"/>
          <w:w w:val="105"/>
          <w:sz w:val="21"/>
        </w:rPr>
        <w:t>found </w:t>
      </w:r>
      <w:r>
        <w:rPr>
          <w:w w:val="105"/>
          <w:sz w:val="21"/>
        </w:rPr>
        <w:t>guilty of </w:t>
      </w:r>
      <w:r>
        <w:rPr>
          <w:spacing w:val="-3"/>
          <w:w w:val="105"/>
          <w:sz w:val="21"/>
        </w:rPr>
        <w:t>contempt, </w:t>
      </w:r>
      <w:r>
        <w:rPr>
          <w:spacing w:val="-5"/>
          <w:w w:val="105"/>
          <w:sz w:val="21"/>
        </w:rPr>
        <w:t>VCAT </w:t>
      </w:r>
      <w:r>
        <w:rPr>
          <w:w w:val="105"/>
          <w:sz w:val="21"/>
        </w:rPr>
        <w:t>can order </w:t>
      </w:r>
      <w:r>
        <w:rPr>
          <w:spacing w:val="-3"/>
          <w:w w:val="105"/>
          <w:sz w:val="21"/>
        </w:rPr>
        <w:t>imprisonment, </w:t>
      </w:r>
      <w:r>
        <w:rPr>
          <w:w w:val="105"/>
          <w:sz w:val="21"/>
        </w:rPr>
        <w:t>a fine or </w:t>
      </w:r>
      <w:r>
        <w:rPr>
          <w:spacing w:val="-5"/>
          <w:w w:val="105"/>
          <w:sz w:val="21"/>
        </w:rPr>
        <w:t>both.</w:t>
      </w:r>
      <w:r>
        <w:rPr>
          <w:spacing w:val="-5"/>
          <w:w w:val="105"/>
          <w:position w:val="7"/>
          <w:sz w:val="12"/>
        </w:rPr>
        <w:t>156 </w:t>
      </w:r>
      <w:r>
        <w:rPr>
          <w:w w:val="105"/>
          <w:sz w:val="21"/>
        </w:rPr>
        <w:t>The</w:t>
      </w:r>
      <w:r>
        <w:rPr>
          <w:spacing w:val="-3"/>
          <w:w w:val="105"/>
          <w:sz w:val="21"/>
        </w:rPr>
        <w:t> </w:t>
      </w:r>
      <w:r>
        <w:rPr>
          <w:w w:val="105"/>
          <w:sz w:val="21"/>
        </w:rPr>
        <w:t>prison</w:t>
      </w:r>
      <w:r>
        <w:rPr>
          <w:spacing w:val="-4"/>
          <w:w w:val="105"/>
          <w:sz w:val="21"/>
        </w:rPr>
        <w:t> </w:t>
      </w:r>
      <w:r>
        <w:rPr>
          <w:w w:val="105"/>
          <w:sz w:val="21"/>
        </w:rPr>
        <w:t>term</w:t>
      </w:r>
      <w:r>
        <w:rPr>
          <w:spacing w:val="-3"/>
          <w:w w:val="105"/>
          <w:sz w:val="21"/>
        </w:rPr>
        <w:t> </w:t>
      </w:r>
      <w:r>
        <w:rPr>
          <w:w w:val="105"/>
          <w:sz w:val="21"/>
        </w:rPr>
        <w:t>is</w:t>
      </w:r>
      <w:r>
        <w:rPr>
          <w:spacing w:val="-4"/>
          <w:w w:val="105"/>
          <w:sz w:val="21"/>
        </w:rPr>
        <w:t> </w:t>
      </w:r>
      <w:r>
        <w:rPr>
          <w:spacing w:val="-3"/>
          <w:w w:val="105"/>
          <w:sz w:val="21"/>
        </w:rPr>
        <w:t>to </w:t>
      </w:r>
      <w:r>
        <w:rPr>
          <w:w w:val="105"/>
          <w:sz w:val="21"/>
        </w:rPr>
        <w:t>be</w:t>
      </w:r>
      <w:r>
        <w:rPr>
          <w:spacing w:val="-4"/>
          <w:w w:val="105"/>
          <w:sz w:val="21"/>
        </w:rPr>
        <w:t> </w:t>
      </w:r>
      <w:r>
        <w:rPr>
          <w:spacing w:val="-2"/>
          <w:w w:val="105"/>
          <w:sz w:val="21"/>
        </w:rPr>
        <w:t>not</w:t>
      </w:r>
      <w:r>
        <w:rPr>
          <w:spacing w:val="-3"/>
          <w:w w:val="105"/>
          <w:sz w:val="21"/>
        </w:rPr>
        <w:t> </w:t>
      </w:r>
      <w:r>
        <w:rPr>
          <w:w w:val="105"/>
          <w:sz w:val="21"/>
        </w:rPr>
        <w:t>more</w:t>
      </w:r>
      <w:r>
        <w:rPr>
          <w:spacing w:val="-4"/>
          <w:w w:val="105"/>
          <w:sz w:val="21"/>
        </w:rPr>
        <w:t> </w:t>
      </w:r>
      <w:r>
        <w:rPr>
          <w:spacing w:val="-3"/>
          <w:w w:val="105"/>
          <w:sz w:val="21"/>
        </w:rPr>
        <w:t>than </w:t>
      </w:r>
      <w:r>
        <w:rPr>
          <w:w w:val="105"/>
          <w:sz w:val="21"/>
        </w:rPr>
        <w:t>five</w:t>
      </w:r>
      <w:r>
        <w:rPr>
          <w:spacing w:val="-4"/>
          <w:w w:val="105"/>
          <w:sz w:val="21"/>
        </w:rPr>
        <w:t> </w:t>
      </w:r>
      <w:r>
        <w:rPr>
          <w:w w:val="105"/>
          <w:sz w:val="21"/>
        </w:rPr>
        <w:t>years.</w:t>
      </w:r>
      <w:r>
        <w:rPr>
          <w:spacing w:val="-3"/>
          <w:w w:val="105"/>
          <w:sz w:val="21"/>
        </w:rPr>
        <w:t> </w:t>
      </w:r>
      <w:r>
        <w:rPr>
          <w:w w:val="105"/>
          <w:sz w:val="21"/>
        </w:rPr>
        <w:t>The</w:t>
      </w:r>
      <w:r>
        <w:rPr>
          <w:spacing w:val="-4"/>
          <w:w w:val="105"/>
          <w:sz w:val="21"/>
        </w:rPr>
        <w:t> </w:t>
      </w:r>
      <w:r>
        <w:rPr>
          <w:w w:val="105"/>
          <w:sz w:val="21"/>
        </w:rPr>
        <w:t>fine</w:t>
      </w:r>
      <w:r>
        <w:rPr>
          <w:spacing w:val="-3"/>
          <w:w w:val="105"/>
          <w:sz w:val="21"/>
        </w:rPr>
        <w:t> </w:t>
      </w:r>
      <w:r>
        <w:rPr>
          <w:w w:val="105"/>
          <w:sz w:val="21"/>
        </w:rPr>
        <w:t>is</w:t>
      </w:r>
      <w:r>
        <w:rPr>
          <w:spacing w:val="-4"/>
          <w:w w:val="105"/>
          <w:sz w:val="21"/>
        </w:rPr>
        <w:t> </w:t>
      </w:r>
      <w:r>
        <w:rPr>
          <w:spacing w:val="-3"/>
          <w:w w:val="105"/>
          <w:sz w:val="21"/>
        </w:rPr>
        <w:t>to </w:t>
      </w:r>
      <w:r>
        <w:rPr>
          <w:w w:val="105"/>
          <w:sz w:val="21"/>
        </w:rPr>
        <w:t>be</w:t>
      </w:r>
      <w:r>
        <w:rPr>
          <w:spacing w:val="-4"/>
          <w:w w:val="105"/>
          <w:sz w:val="21"/>
        </w:rPr>
        <w:t> </w:t>
      </w:r>
      <w:r>
        <w:rPr>
          <w:spacing w:val="-2"/>
          <w:w w:val="105"/>
          <w:sz w:val="21"/>
        </w:rPr>
        <w:t>not</w:t>
      </w:r>
      <w:r>
        <w:rPr>
          <w:spacing w:val="-3"/>
          <w:w w:val="105"/>
          <w:sz w:val="21"/>
        </w:rPr>
        <w:t> </w:t>
      </w:r>
      <w:r>
        <w:rPr>
          <w:w w:val="105"/>
          <w:sz w:val="21"/>
        </w:rPr>
        <w:t>more</w:t>
      </w:r>
      <w:r>
        <w:rPr>
          <w:spacing w:val="-4"/>
          <w:w w:val="105"/>
          <w:sz w:val="21"/>
        </w:rPr>
        <w:t> </w:t>
      </w:r>
      <w:r>
        <w:rPr>
          <w:spacing w:val="-3"/>
          <w:w w:val="105"/>
          <w:sz w:val="21"/>
        </w:rPr>
        <w:t>than </w:t>
      </w:r>
      <w:r>
        <w:rPr>
          <w:w w:val="105"/>
          <w:sz w:val="21"/>
        </w:rPr>
        <w:t>an </w:t>
      </w:r>
      <w:r>
        <w:rPr>
          <w:spacing w:val="-3"/>
          <w:w w:val="105"/>
          <w:sz w:val="21"/>
        </w:rPr>
        <w:t>amount that </w:t>
      </w:r>
      <w:r>
        <w:rPr>
          <w:w w:val="105"/>
          <w:sz w:val="21"/>
        </w:rPr>
        <w:t>is 1000 times the </w:t>
      </w:r>
      <w:r>
        <w:rPr>
          <w:spacing w:val="-3"/>
          <w:w w:val="105"/>
          <w:sz w:val="21"/>
        </w:rPr>
        <w:t>value </w:t>
      </w:r>
      <w:r>
        <w:rPr>
          <w:w w:val="105"/>
          <w:sz w:val="21"/>
        </w:rPr>
        <w:t>of a penalty </w:t>
      </w:r>
      <w:r>
        <w:rPr>
          <w:spacing w:val="-3"/>
          <w:w w:val="105"/>
          <w:sz w:val="21"/>
        </w:rPr>
        <w:t>unit </w:t>
      </w:r>
      <w:r>
        <w:rPr>
          <w:spacing w:val="-8"/>
          <w:w w:val="105"/>
          <w:sz w:val="21"/>
        </w:rPr>
        <w:t>($161,190).</w:t>
      </w:r>
      <w:r>
        <w:rPr>
          <w:spacing w:val="-8"/>
          <w:w w:val="105"/>
          <w:position w:val="7"/>
          <w:sz w:val="12"/>
        </w:rPr>
        <w:t>157 </w:t>
      </w:r>
      <w:r>
        <w:rPr>
          <w:w w:val="105"/>
          <w:sz w:val="21"/>
        </w:rPr>
        <w:t>An example</w:t>
      </w:r>
      <w:r>
        <w:rPr>
          <w:spacing w:val="48"/>
          <w:w w:val="105"/>
          <w:sz w:val="21"/>
        </w:rPr>
        <w:t> </w:t>
      </w:r>
      <w:r>
        <w:rPr>
          <w:w w:val="105"/>
          <w:sz w:val="21"/>
        </w:rPr>
        <w:t>of</w:t>
      </w:r>
    </w:p>
    <w:p>
      <w:pPr>
        <w:spacing w:line="242" w:lineRule="auto" w:before="3"/>
        <w:ind w:left="2381" w:right="1809" w:firstLine="0"/>
        <w:jc w:val="both"/>
        <w:rPr>
          <w:sz w:val="12"/>
        </w:rPr>
      </w:pPr>
      <w:r>
        <w:rPr>
          <w:w w:val="105"/>
          <w:sz w:val="21"/>
        </w:rPr>
        <w:t>a </w:t>
      </w:r>
      <w:r>
        <w:rPr>
          <w:spacing w:val="-3"/>
          <w:w w:val="105"/>
          <w:sz w:val="21"/>
        </w:rPr>
        <w:t>finding </w:t>
      </w:r>
      <w:r>
        <w:rPr>
          <w:w w:val="105"/>
          <w:sz w:val="21"/>
        </w:rPr>
        <w:t>of </w:t>
      </w:r>
      <w:r>
        <w:rPr>
          <w:spacing w:val="-3"/>
          <w:w w:val="105"/>
          <w:sz w:val="21"/>
        </w:rPr>
        <w:t>contempt </w:t>
      </w:r>
      <w:r>
        <w:rPr>
          <w:w w:val="105"/>
          <w:sz w:val="21"/>
        </w:rPr>
        <w:t>in </w:t>
      </w:r>
      <w:r>
        <w:rPr>
          <w:spacing w:val="-5"/>
          <w:w w:val="105"/>
          <w:sz w:val="21"/>
        </w:rPr>
        <w:t>VCAT </w:t>
      </w:r>
      <w:r>
        <w:rPr>
          <w:w w:val="105"/>
          <w:sz w:val="21"/>
        </w:rPr>
        <w:t>can be </w:t>
      </w:r>
      <w:r>
        <w:rPr>
          <w:spacing w:val="-3"/>
          <w:w w:val="105"/>
          <w:sz w:val="21"/>
        </w:rPr>
        <w:t>found </w:t>
      </w:r>
      <w:r>
        <w:rPr>
          <w:w w:val="105"/>
          <w:sz w:val="21"/>
        </w:rPr>
        <w:t>in the case of </w:t>
      </w:r>
      <w:r>
        <w:rPr>
          <w:i/>
          <w:spacing w:val="-3"/>
          <w:w w:val="105"/>
          <w:sz w:val="21"/>
        </w:rPr>
        <w:t>Kanter </w:t>
      </w:r>
      <w:r>
        <w:rPr>
          <w:i/>
          <w:w w:val="105"/>
          <w:sz w:val="21"/>
        </w:rPr>
        <w:t>v </w:t>
      </w:r>
      <w:r>
        <w:rPr>
          <w:i/>
          <w:spacing w:val="-3"/>
          <w:w w:val="105"/>
          <w:sz w:val="21"/>
        </w:rPr>
        <w:t>Milroy </w:t>
      </w:r>
      <w:r>
        <w:rPr>
          <w:i/>
          <w:w w:val="105"/>
          <w:sz w:val="21"/>
        </w:rPr>
        <w:t>Investments </w:t>
      </w:r>
      <w:r>
        <w:rPr>
          <w:i/>
          <w:spacing w:val="-3"/>
          <w:w w:val="105"/>
          <w:sz w:val="21"/>
        </w:rPr>
        <w:t>Australia </w:t>
      </w:r>
      <w:r>
        <w:rPr>
          <w:i/>
          <w:spacing w:val="3"/>
          <w:w w:val="105"/>
          <w:sz w:val="21"/>
        </w:rPr>
        <w:t>Pty </w:t>
      </w:r>
      <w:r>
        <w:rPr>
          <w:i/>
          <w:spacing w:val="-4"/>
          <w:w w:val="105"/>
          <w:sz w:val="21"/>
        </w:rPr>
        <w:t>Ltd </w:t>
      </w:r>
      <w:r>
        <w:rPr>
          <w:i/>
          <w:w w:val="105"/>
          <w:sz w:val="21"/>
        </w:rPr>
        <w:t>(Owners Corporations)</w:t>
      </w:r>
      <w:r>
        <w:rPr>
          <w:w w:val="105"/>
          <w:position w:val="7"/>
          <w:sz w:val="12"/>
        </w:rPr>
        <w:t>158 </w:t>
      </w:r>
      <w:r>
        <w:rPr>
          <w:w w:val="105"/>
          <w:sz w:val="21"/>
        </w:rPr>
        <w:t>where the respondent was fined </w:t>
      </w:r>
      <w:r>
        <w:rPr>
          <w:spacing w:val="-4"/>
          <w:w w:val="105"/>
          <w:sz w:val="21"/>
        </w:rPr>
        <w:t>$10,000 </w:t>
      </w:r>
      <w:r>
        <w:rPr>
          <w:spacing w:val="-3"/>
          <w:w w:val="105"/>
          <w:sz w:val="21"/>
        </w:rPr>
        <w:t>for </w:t>
      </w:r>
      <w:r>
        <w:rPr>
          <w:spacing w:val="-4"/>
          <w:w w:val="105"/>
          <w:sz w:val="21"/>
        </w:rPr>
        <w:t>failing </w:t>
      </w:r>
      <w:r>
        <w:rPr>
          <w:spacing w:val="-3"/>
          <w:w w:val="105"/>
          <w:sz w:val="21"/>
        </w:rPr>
        <w:t>to </w:t>
      </w:r>
      <w:r>
        <w:rPr>
          <w:w w:val="105"/>
          <w:sz w:val="21"/>
        </w:rPr>
        <w:t>comply with </w:t>
      </w:r>
      <w:r>
        <w:rPr>
          <w:spacing w:val="-3"/>
          <w:w w:val="105"/>
          <w:sz w:val="21"/>
        </w:rPr>
        <w:t>previously </w:t>
      </w:r>
      <w:r>
        <w:rPr>
          <w:w w:val="105"/>
          <w:sz w:val="21"/>
        </w:rPr>
        <w:t>issued </w:t>
      </w:r>
      <w:r>
        <w:rPr>
          <w:spacing w:val="-5"/>
          <w:w w:val="105"/>
          <w:sz w:val="21"/>
        </w:rPr>
        <w:t>VCAT </w:t>
      </w:r>
      <w:r>
        <w:rPr>
          <w:spacing w:val="-4"/>
          <w:w w:val="105"/>
          <w:sz w:val="21"/>
        </w:rPr>
        <w:t>orders.</w:t>
      </w:r>
      <w:r>
        <w:rPr>
          <w:spacing w:val="-4"/>
          <w:w w:val="105"/>
          <w:position w:val="7"/>
          <w:sz w:val="12"/>
        </w:rPr>
        <w:t>159 </w:t>
      </w:r>
      <w:r>
        <w:rPr>
          <w:spacing w:val="-5"/>
          <w:w w:val="105"/>
          <w:sz w:val="21"/>
        </w:rPr>
        <w:t>VCAT </w:t>
      </w:r>
      <w:r>
        <w:rPr>
          <w:w w:val="105"/>
          <w:sz w:val="21"/>
        </w:rPr>
        <w:t>told the </w:t>
      </w:r>
      <w:r>
        <w:rPr>
          <w:spacing w:val="-3"/>
          <w:w w:val="105"/>
          <w:sz w:val="21"/>
        </w:rPr>
        <w:t>Commission that proceedings for contempt </w:t>
      </w:r>
      <w:r>
        <w:rPr>
          <w:w w:val="105"/>
          <w:sz w:val="21"/>
        </w:rPr>
        <w:t>can be </w:t>
      </w:r>
      <w:r>
        <w:rPr>
          <w:spacing w:val="-3"/>
          <w:w w:val="105"/>
          <w:sz w:val="21"/>
        </w:rPr>
        <w:t>lengthy </w:t>
      </w:r>
      <w:r>
        <w:rPr>
          <w:w w:val="105"/>
          <w:sz w:val="21"/>
        </w:rPr>
        <w:t>and </w:t>
      </w:r>
      <w:r>
        <w:rPr>
          <w:spacing w:val="-4"/>
          <w:w w:val="105"/>
          <w:sz w:val="21"/>
        </w:rPr>
        <w:t>complex.</w:t>
      </w:r>
      <w:r>
        <w:rPr>
          <w:spacing w:val="-4"/>
          <w:w w:val="105"/>
          <w:position w:val="7"/>
          <w:sz w:val="12"/>
        </w:rPr>
        <w:t>160</w:t>
      </w:r>
    </w:p>
    <w:p>
      <w:pPr>
        <w:pStyle w:val="BodyText"/>
        <w:rPr>
          <w:sz w:val="20"/>
        </w:rPr>
      </w:pPr>
    </w:p>
    <w:p>
      <w:pPr>
        <w:pStyle w:val="BodyText"/>
        <w:spacing w:before="9"/>
        <w:rPr>
          <w:sz w:val="27"/>
        </w:rPr>
      </w:pPr>
      <w:r>
        <w:rPr/>
        <w:pict>
          <v:line style="position:absolute;mso-position-horizontal-relative:page;mso-position-vertical-relative:paragraph;z-index:8984;mso-wrap-distance-left:0;mso-wrap-distance-right:0" from="79.370003pt,19.382067pt" to="515.905003pt,19.38206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51"/>
        </w:numPr>
        <w:tabs>
          <w:tab w:pos="2381" w:val="left" w:leader="none"/>
          <w:tab w:pos="2382" w:val="left" w:leader="none"/>
        </w:tabs>
        <w:spacing w:line="240" w:lineRule="auto" w:before="48" w:after="0"/>
        <w:ind w:left="1587" w:right="4189" w:firstLine="0"/>
        <w:jc w:val="left"/>
        <w:rPr>
          <w:sz w:val="13"/>
        </w:rPr>
      </w:pPr>
      <w:r>
        <w:rPr>
          <w:i/>
          <w:sz w:val="13"/>
        </w:rPr>
        <w:t>Victorian Civil and Administrative Tribunal Act 1998  </w:t>
      </w:r>
      <w:r>
        <w:rPr>
          <w:spacing w:val="2"/>
          <w:sz w:val="13"/>
        </w:rPr>
        <w:t>(Vic) </w:t>
      </w:r>
      <w:r>
        <w:rPr>
          <w:sz w:val="13"/>
        </w:rPr>
        <w:t>s  122(1). 148</w:t>
        <w:tab/>
        <w:t>Ibid s</w:t>
      </w:r>
      <w:r>
        <w:rPr>
          <w:spacing w:val="12"/>
          <w:sz w:val="13"/>
        </w:rPr>
        <w:t> </w:t>
      </w:r>
      <w:r>
        <w:rPr>
          <w:sz w:val="13"/>
        </w:rPr>
        <w:t>122(2).</w:t>
      </w:r>
    </w:p>
    <w:p>
      <w:pPr>
        <w:pStyle w:val="ListParagraph"/>
        <w:numPr>
          <w:ilvl w:val="0"/>
          <w:numId w:val="152"/>
        </w:numPr>
        <w:tabs>
          <w:tab w:pos="2381" w:val="left" w:leader="none"/>
          <w:tab w:pos="2382" w:val="left" w:leader="none"/>
        </w:tabs>
        <w:spacing w:line="240" w:lineRule="auto" w:before="3" w:after="0"/>
        <w:ind w:left="2381" w:right="167" w:hanging="794"/>
        <w:jc w:val="left"/>
        <w:rPr>
          <w:sz w:val="13"/>
        </w:rPr>
      </w:pPr>
      <w:r>
        <w:rPr>
          <w:w w:val="105"/>
          <w:sz w:val="13"/>
        </w:rPr>
        <w:t>Ibid s 122(3). A </w:t>
      </w:r>
      <w:r>
        <w:rPr>
          <w:spacing w:val="2"/>
          <w:w w:val="105"/>
          <w:sz w:val="13"/>
        </w:rPr>
        <w:t>non-monetary </w:t>
      </w:r>
      <w:r>
        <w:rPr>
          <w:w w:val="105"/>
          <w:sz w:val="13"/>
        </w:rPr>
        <w:t>order is commonly enforced in the Supreme Court by proceedings for contempt of court: </w:t>
      </w:r>
      <w:r>
        <w:rPr>
          <w:i/>
          <w:w w:val="105"/>
          <w:sz w:val="13"/>
        </w:rPr>
        <w:t>Access to       </w:t>
      </w:r>
      <w:r>
        <w:rPr>
          <w:i/>
          <w:w w:val="105"/>
          <w:sz w:val="13"/>
        </w:rPr>
        <w:t>Justice Review </w:t>
      </w:r>
      <w:r>
        <w:rPr>
          <w:i/>
          <w:spacing w:val="2"/>
          <w:w w:val="105"/>
          <w:sz w:val="13"/>
        </w:rPr>
        <w:t>Report </w:t>
      </w:r>
      <w:r>
        <w:rPr>
          <w:i/>
          <w:w w:val="105"/>
          <w:sz w:val="13"/>
        </w:rPr>
        <w:t>and Recommendations </w:t>
      </w:r>
      <w:r>
        <w:rPr>
          <w:w w:val="105"/>
          <w:sz w:val="13"/>
        </w:rPr>
        <w:t>(2016) vol </w:t>
      </w:r>
      <w:r>
        <w:rPr>
          <w:spacing w:val="-3"/>
          <w:w w:val="105"/>
          <w:sz w:val="13"/>
        </w:rPr>
        <w:t>1,  </w:t>
      </w:r>
      <w:r>
        <w:rPr>
          <w:w w:val="105"/>
          <w:sz w:val="13"/>
        </w:rPr>
        <w:t>254. A person found to be in contempt will face a fine, imprisonment or       both. Imprisonment may be appropriate as </w:t>
      </w:r>
      <w:r>
        <w:rPr>
          <w:spacing w:val="-3"/>
          <w:w w:val="105"/>
          <w:sz w:val="13"/>
        </w:rPr>
        <w:t>‘a </w:t>
      </w:r>
      <w:r>
        <w:rPr>
          <w:w w:val="105"/>
          <w:sz w:val="13"/>
        </w:rPr>
        <w:t>coercive sanction, to compel compliance with the order, disregard of which constituted the contempt’:</w:t>
      </w:r>
      <w:r>
        <w:rPr>
          <w:spacing w:val="8"/>
          <w:w w:val="105"/>
          <w:sz w:val="13"/>
        </w:rPr>
        <w:t> </w:t>
      </w:r>
      <w:r>
        <w:rPr>
          <w:w w:val="105"/>
          <w:sz w:val="13"/>
        </w:rPr>
        <w:t>Judicial</w:t>
      </w:r>
      <w:r>
        <w:rPr>
          <w:spacing w:val="9"/>
          <w:w w:val="105"/>
          <w:sz w:val="13"/>
        </w:rPr>
        <w:t> </w:t>
      </w:r>
      <w:r>
        <w:rPr>
          <w:w w:val="105"/>
          <w:sz w:val="13"/>
        </w:rPr>
        <w:t>College</w:t>
      </w:r>
      <w:r>
        <w:rPr>
          <w:spacing w:val="8"/>
          <w:w w:val="105"/>
          <w:sz w:val="13"/>
        </w:rPr>
        <w:t> </w:t>
      </w:r>
      <w:r>
        <w:rPr>
          <w:w w:val="105"/>
          <w:sz w:val="13"/>
        </w:rPr>
        <w:t>of</w:t>
      </w:r>
      <w:r>
        <w:rPr>
          <w:spacing w:val="9"/>
          <w:w w:val="105"/>
          <w:sz w:val="13"/>
        </w:rPr>
        <w:t> </w:t>
      </w:r>
      <w:r>
        <w:rPr>
          <w:w w:val="105"/>
          <w:sz w:val="13"/>
        </w:rPr>
        <w:t>Victoria,</w:t>
      </w:r>
      <w:r>
        <w:rPr>
          <w:spacing w:val="8"/>
          <w:w w:val="105"/>
          <w:sz w:val="13"/>
        </w:rPr>
        <w:t> </w:t>
      </w:r>
      <w:r>
        <w:rPr>
          <w:w w:val="105"/>
          <w:sz w:val="13"/>
        </w:rPr>
        <w:t>‘8.7</w:t>
      </w:r>
      <w:r>
        <w:rPr>
          <w:spacing w:val="9"/>
          <w:w w:val="105"/>
          <w:sz w:val="13"/>
        </w:rPr>
        <w:t> </w:t>
      </w:r>
      <w:r>
        <w:rPr>
          <w:w w:val="105"/>
          <w:sz w:val="13"/>
        </w:rPr>
        <w:t>Sentencing</w:t>
      </w:r>
      <w:r>
        <w:rPr>
          <w:spacing w:val="8"/>
          <w:w w:val="105"/>
          <w:sz w:val="13"/>
        </w:rPr>
        <w:t> </w:t>
      </w:r>
      <w:r>
        <w:rPr>
          <w:w w:val="105"/>
          <w:sz w:val="13"/>
        </w:rPr>
        <w:t>in</w:t>
      </w:r>
      <w:r>
        <w:rPr>
          <w:spacing w:val="9"/>
          <w:w w:val="105"/>
          <w:sz w:val="13"/>
        </w:rPr>
        <w:t> </w:t>
      </w:r>
      <w:r>
        <w:rPr>
          <w:w w:val="105"/>
          <w:sz w:val="13"/>
        </w:rPr>
        <w:t>Contempt</w:t>
      </w:r>
      <w:r>
        <w:rPr>
          <w:spacing w:val="9"/>
          <w:w w:val="105"/>
          <w:sz w:val="13"/>
        </w:rPr>
        <w:t> </w:t>
      </w:r>
      <w:r>
        <w:rPr>
          <w:w w:val="105"/>
          <w:sz w:val="13"/>
        </w:rPr>
        <w:t>Cases’,</w:t>
      </w:r>
      <w:r>
        <w:rPr>
          <w:spacing w:val="8"/>
          <w:w w:val="105"/>
          <w:sz w:val="13"/>
        </w:rPr>
        <w:t> </w:t>
      </w:r>
      <w:r>
        <w:rPr>
          <w:i/>
          <w:w w:val="105"/>
          <w:sz w:val="13"/>
        </w:rPr>
        <w:t>Victorian</w:t>
      </w:r>
      <w:r>
        <w:rPr>
          <w:i/>
          <w:spacing w:val="9"/>
          <w:w w:val="105"/>
          <w:sz w:val="13"/>
        </w:rPr>
        <w:t> </w:t>
      </w:r>
      <w:r>
        <w:rPr>
          <w:i/>
          <w:w w:val="105"/>
          <w:sz w:val="13"/>
        </w:rPr>
        <w:t>Criminal</w:t>
      </w:r>
      <w:r>
        <w:rPr>
          <w:i/>
          <w:spacing w:val="8"/>
          <w:w w:val="105"/>
          <w:sz w:val="13"/>
        </w:rPr>
        <w:t> </w:t>
      </w:r>
      <w:r>
        <w:rPr>
          <w:i/>
          <w:w w:val="105"/>
          <w:sz w:val="13"/>
        </w:rPr>
        <w:t>Proceedings</w:t>
      </w:r>
      <w:r>
        <w:rPr>
          <w:i/>
          <w:spacing w:val="9"/>
          <w:w w:val="105"/>
          <w:sz w:val="13"/>
        </w:rPr>
        <w:t> </w:t>
      </w:r>
      <w:r>
        <w:rPr>
          <w:i/>
          <w:w w:val="105"/>
          <w:sz w:val="13"/>
        </w:rPr>
        <w:t>Manual</w:t>
      </w:r>
      <w:r>
        <w:rPr>
          <w:i/>
          <w:spacing w:val="8"/>
          <w:w w:val="105"/>
          <w:sz w:val="13"/>
        </w:rPr>
        <w:t> </w:t>
      </w:r>
      <w:r>
        <w:rPr>
          <w:w w:val="105"/>
          <w:sz w:val="13"/>
        </w:rPr>
        <w:t>(26</w:t>
      </w:r>
      <w:r>
        <w:rPr>
          <w:spacing w:val="9"/>
          <w:w w:val="105"/>
          <w:sz w:val="13"/>
        </w:rPr>
        <w:t> </w:t>
      </w:r>
      <w:r>
        <w:rPr>
          <w:w w:val="105"/>
          <w:sz w:val="13"/>
        </w:rPr>
        <w:t>February</w:t>
      </w:r>
      <w:r>
        <w:rPr>
          <w:spacing w:val="9"/>
          <w:w w:val="105"/>
          <w:sz w:val="13"/>
        </w:rPr>
        <w:t> </w:t>
      </w:r>
      <w:r>
        <w:rPr>
          <w:w w:val="105"/>
          <w:sz w:val="13"/>
        </w:rPr>
        <w:t>2018)</w:t>
      </w:r>
    </w:p>
    <w:p>
      <w:pPr>
        <w:spacing w:before="5"/>
        <w:ind w:left="2381" w:right="0" w:firstLine="0"/>
        <w:jc w:val="left"/>
        <w:rPr>
          <w:sz w:val="13"/>
        </w:rPr>
      </w:pPr>
      <w:r>
        <w:rPr>
          <w:w w:val="105"/>
          <w:sz w:val="13"/>
        </w:rPr>
        <w:t>&lt;</w:t>
      </w:r>
      <w:hyperlink r:id="rId246">
        <w:r>
          <w:rPr>
            <w:w w:val="105"/>
            <w:sz w:val="13"/>
          </w:rPr>
          <w:t>http://www.judicialcollege.vic.edu.au/eManuals/VCPM/index.htm#48747.htm</w:t>
        </w:r>
      </w:hyperlink>
      <w:r>
        <w:rPr>
          <w:w w:val="105"/>
          <w:sz w:val="13"/>
        </w:rPr>
        <w:t>&gt;.</w:t>
      </w:r>
    </w:p>
    <w:p>
      <w:pPr>
        <w:pStyle w:val="ListParagraph"/>
        <w:numPr>
          <w:ilvl w:val="0"/>
          <w:numId w:val="152"/>
        </w:numPr>
        <w:tabs>
          <w:tab w:pos="2381" w:val="left" w:leader="none"/>
          <w:tab w:pos="2382" w:val="left" w:leader="none"/>
        </w:tabs>
        <w:spacing w:line="240" w:lineRule="auto" w:before="1" w:after="0"/>
        <w:ind w:left="2381" w:right="0" w:hanging="794"/>
        <w:jc w:val="left"/>
        <w:rPr>
          <w:sz w:val="13"/>
        </w:rPr>
      </w:pPr>
      <w:r>
        <w:rPr>
          <w:w w:val="105"/>
          <w:sz w:val="13"/>
        </w:rPr>
        <w:t>Department</w:t>
      </w:r>
      <w:r>
        <w:rPr>
          <w:spacing w:val="5"/>
          <w:w w:val="105"/>
          <w:sz w:val="13"/>
        </w:rPr>
        <w:t> </w:t>
      </w:r>
      <w:r>
        <w:rPr>
          <w:w w:val="105"/>
          <w:sz w:val="13"/>
        </w:rPr>
        <w:t>of</w:t>
      </w:r>
      <w:r>
        <w:rPr>
          <w:spacing w:val="6"/>
          <w:w w:val="105"/>
          <w:sz w:val="13"/>
        </w:rPr>
        <w:t> </w:t>
      </w:r>
      <w:r>
        <w:rPr>
          <w:w w:val="105"/>
          <w:sz w:val="13"/>
        </w:rPr>
        <w:t>Justice</w:t>
      </w:r>
      <w:r>
        <w:rPr>
          <w:spacing w:val="6"/>
          <w:w w:val="105"/>
          <w:sz w:val="13"/>
        </w:rPr>
        <w:t> </w:t>
      </w:r>
      <w:r>
        <w:rPr>
          <w:w w:val="105"/>
          <w:sz w:val="13"/>
        </w:rPr>
        <w:t>and</w:t>
      </w:r>
      <w:r>
        <w:rPr>
          <w:spacing w:val="5"/>
          <w:w w:val="105"/>
          <w:sz w:val="13"/>
        </w:rPr>
        <w:t> </w:t>
      </w:r>
      <w:r>
        <w:rPr>
          <w:w w:val="105"/>
          <w:sz w:val="13"/>
        </w:rPr>
        <w:t>Regulation</w:t>
      </w:r>
      <w:r>
        <w:rPr>
          <w:spacing w:val="6"/>
          <w:w w:val="105"/>
          <w:sz w:val="13"/>
        </w:rPr>
        <w:t> </w:t>
      </w:r>
      <w:r>
        <w:rPr>
          <w:spacing w:val="2"/>
          <w:w w:val="105"/>
          <w:sz w:val="13"/>
        </w:rPr>
        <w:t>(Vic),</w:t>
      </w:r>
      <w:r>
        <w:rPr>
          <w:spacing w:val="6"/>
          <w:w w:val="105"/>
          <w:sz w:val="13"/>
        </w:rPr>
        <w:t> </w:t>
      </w:r>
      <w:r>
        <w:rPr>
          <w:i/>
          <w:w w:val="105"/>
          <w:sz w:val="13"/>
        </w:rPr>
        <w:t>Access</w:t>
      </w:r>
      <w:r>
        <w:rPr>
          <w:i/>
          <w:spacing w:val="5"/>
          <w:w w:val="105"/>
          <w:sz w:val="13"/>
        </w:rPr>
        <w:t> </w:t>
      </w:r>
      <w:r>
        <w:rPr>
          <w:i/>
          <w:w w:val="105"/>
          <w:sz w:val="13"/>
        </w:rPr>
        <w:t>to</w:t>
      </w:r>
      <w:r>
        <w:rPr>
          <w:i/>
          <w:spacing w:val="6"/>
          <w:w w:val="105"/>
          <w:sz w:val="13"/>
        </w:rPr>
        <w:t> </w:t>
      </w:r>
      <w:r>
        <w:rPr>
          <w:i/>
          <w:w w:val="105"/>
          <w:sz w:val="13"/>
        </w:rPr>
        <w:t>Justice</w:t>
      </w:r>
      <w:r>
        <w:rPr>
          <w:i/>
          <w:spacing w:val="5"/>
          <w:w w:val="105"/>
          <w:sz w:val="13"/>
        </w:rPr>
        <w:t> </w:t>
      </w:r>
      <w:r>
        <w:rPr>
          <w:i/>
          <w:w w:val="105"/>
          <w:sz w:val="13"/>
        </w:rPr>
        <w:t>Review</w:t>
      </w:r>
      <w:r>
        <w:rPr>
          <w:i/>
          <w:spacing w:val="6"/>
          <w:w w:val="105"/>
          <w:sz w:val="13"/>
        </w:rPr>
        <w:t> </w:t>
      </w:r>
      <w:r>
        <w:rPr>
          <w:i/>
          <w:spacing w:val="2"/>
          <w:w w:val="105"/>
          <w:sz w:val="13"/>
        </w:rPr>
        <w:t>Report</w:t>
      </w:r>
      <w:r>
        <w:rPr>
          <w:i/>
          <w:spacing w:val="6"/>
          <w:w w:val="105"/>
          <w:sz w:val="13"/>
        </w:rPr>
        <w:t> </w:t>
      </w:r>
      <w:r>
        <w:rPr>
          <w:i/>
          <w:w w:val="105"/>
          <w:sz w:val="13"/>
        </w:rPr>
        <w:t>and</w:t>
      </w:r>
      <w:r>
        <w:rPr>
          <w:i/>
          <w:spacing w:val="5"/>
          <w:w w:val="105"/>
          <w:sz w:val="13"/>
        </w:rPr>
        <w:t> </w:t>
      </w:r>
      <w:r>
        <w:rPr>
          <w:i/>
          <w:w w:val="105"/>
          <w:sz w:val="13"/>
        </w:rPr>
        <w:t>Recommendations</w:t>
      </w:r>
      <w:r>
        <w:rPr>
          <w:i/>
          <w:spacing w:val="7"/>
          <w:w w:val="105"/>
          <w:sz w:val="13"/>
        </w:rPr>
        <w:t> </w:t>
      </w:r>
      <w:r>
        <w:rPr>
          <w:w w:val="105"/>
          <w:sz w:val="13"/>
        </w:rPr>
        <w:t>(2016)</w:t>
      </w:r>
      <w:r>
        <w:rPr>
          <w:spacing w:val="6"/>
          <w:w w:val="105"/>
          <w:sz w:val="13"/>
        </w:rPr>
        <w:t> </w:t>
      </w:r>
      <w:r>
        <w:rPr>
          <w:w w:val="105"/>
          <w:sz w:val="13"/>
        </w:rPr>
        <w:t>vol</w:t>
      </w:r>
      <w:r>
        <w:rPr>
          <w:spacing w:val="6"/>
          <w:w w:val="105"/>
          <w:sz w:val="13"/>
        </w:rPr>
        <w:t> </w:t>
      </w:r>
      <w:r>
        <w:rPr>
          <w:spacing w:val="-3"/>
          <w:w w:val="105"/>
          <w:sz w:val="13"/>
        </w:rPr>
        <w:t>1,</w:t>
      </w:r>
      <w:r>
        <w:rPr>
          <w:spacing w:val="5"/>
          <w:w w:val="105"/>
          <w:sz w:val="13"/>
        </w:rPr>
        <w:t> </w:t>
      </w:r>
      <w:r>
        <w:rPr>
          <w:w w:val="105"/>
          <w:sz w:val="13"/>
        </w:rPr>
        <w:t>288.</w:t>
      </w:r>
    </w:p>
    <w:p>
      <w:pPr>
        <w:pStyle w:val="ListParagraph"/>
        <w:numPr>
          <w:ilvl w:val="0"/>
          <w:numId w:val="152"/>
        </w:numPr>
        <w:tabs>
          <w:tab w:pos="2381" w:val="left" w:leader="none"/>
          <w:tab w:pos="2382" w:val="left" w:leader="none"/>
        </w:tabs>
        <w:spacing w:line="240" w:lineRule="auto" w:before="2" w:after="0"/>
        <w:ind w:left="2381" w:right="0" w:hanging="794"/>
        <w:jc w:val="left"/>
        <w:rPr>
          <w:sz w:val="13"/>
        </w:rPr>
      </w:pPr>
      <w:r>
        <w:rPr>
          <w:i/>
          <w:w w:val="105"/>
          <w:sz w:val="13"/>
        </w:rPr>
        <w:t>Justice</w:t>
      </w:r>
      <w:r>
        <w:rPr>
          <w:i/>
          <w:spacing w:val="4"/>
          <w:w w:val="105"/>
          <w:sz w:val="13"/>
        </w:rPr>
        <w:t> </w:t>
      </w:r>
      <w:r>
        <w:rPr>
          <w:i/>
          <w:w w:val="105"/>
          <w:sz w:val="13"/>
        </w:rPr>
        <w:t>Legislation</w:t>
      </w:r>
      <w:r>
        <w:rPr>
          <w:i/>
          <w:spacing w:val="5"/>
          <w:w w:val="105"/>
          <w:sz w:val="13"/>
        </w:rPr>
        <w:t> </w:t>
      </w:r>
      <w:r>
        <w:rPr>
          <w:i/>
          <w:w w:val="105"/>
          <w:sz w:val="13"/>
        </w:rPr>
        <w:t>Amendment</w:t>
      </w:r>
      <w:r>
        <w:rPr>
          <w:i/>
          <w:spacing w:val="5"/>
          <w:w w:val="105"/>
          <w:sz w:val="13"/>
        </w:rPr>
        <w:t> </w:t>
      </w:r>
      <w:r>
        <w:rPr>
          <w:i/>
          <w:w w:val="105"/>
          <w:sz w:val="13"/>
        </w:rPr>
        <w:t>(Access</w:t>
      </w:r>
      <w:r>
        <w:rPr>
          <w:i/>
          <w:spacing w:val="5"/>
          <w:w w:val="105"/>
          <w:sz w:val="13"/>
        </w:rPr>
        <w:t> </w:t>
      </w:r>
      <w:r>
        <w:rPr>
          <w:i/>
          <w:w w:val="105"/>
          <w:sz w:val="13"/>
        </w:rPr>
        <w:t>to</w:t>
      </w:r>
      <w:r>
        <w:rPr>
          <w:i/>
          <w:spacing w:val="5"/>
          <w:w w:val="105"/>
          <w:sz w:val="13"/>
        </w:rPr>
        <w:t> </w:t>
      </w:r>
      <w:r>
        <w:rPr>
          <w:i/>
          <w:w w:val="105"/>
          <w:sz w:val="13"/>
        </w:rPr>
        <w:t>Justice)</w:t>
      </w:r>
      <w:r>
        <w:rPr>
          <w:i/>
          <w:spacing w:val="5"/>
          <w:w w:val="105"/>
          <w:sz w:val="13"/>
        </w:rPr>
        <w:t> </w:t>
      </w:r>
      <w:r>
        <w:rPr>
          <w:i/>
          <w:w w:val="105"/>
          <w:sz w:val="13"/>
        </w:rPr>
        <w:t>Act</w:t>
      </w:r>
      <w:r>
        <w:rPr>
          <w:i/>
          <w:spacing w:val="5"/>
          <w:w w:val="105"/>
          <w:sz w:val="13"/>
        </w:rPr>
        <w:t> </w:t>
      </w:r>
      <w:r>
        <w:rPr>
          <w:i/>
          <w:spacing w:val="-3"/>
          <w:w w:val="105"/>
          <w:sz w:val="13"/>
        </w:rPr>
        <w:t>2018</w:t>
      </w:r>
      <w:r>
        <w:rPr>
          <w:i/>
          <w:spacing w:val="5"/>
          <w:w w:val="105"/>
          <w:sz w:val="13"/>
        </w:rPr>
        <w:t> </w:t>
      </w:r>
      <w:r>
        <w:rPr>
          <w:spacing w:val="2"/>
          <w:w w:val="105"/>
          <w:sz w:val="13"/>
        </w:rPr>
        <w:t>(Vic)</w:t>
      </w:r>
      <w:r>
        <w:rPr>
          <w:spacing w:val="5"/>
          <w:w w:val="105"/>
          <w:sz w:val="13"/>
        </w:rPr>
        <w:t> </w:t>
      </w:r>
      <w:r>
        <w:rPr>
          <w:w w:val="105"/>
          <w:sz w:val="13"/>
        </w:rPr>
        <w:t>s</w:t>
      </w:r>
      <w:r>
        <w:rPr>
          <w:spacing w:val="5"/>
          <w:w w:val="105"/>
          <w:sz w:val="13"/>
        </w:rPr>
        <w:t> </w:t>
      </w:r>
      <w:r>
        <w:rPr>
          <w:w w:val="105"/>
          <w:sz w:val="13"/>
        </w:rPr>
        <w:t>69.</w:t>
      </w:r>
    </w:p>
    <w:p>
      <w:pPr>
        <w:pStyle w:val="ListParagraph"/>
        <w:numPr>
          <w:ilvl w:val="0"/>
          <w:numId w:val="152"/>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z w:val="13"/>
        </w:rPr>
        <w:t>69.</w:t>
      </w:r>
    </w:p>
    <w:p>
      <w:pPr>
        <w:pStyle w:val="ListParagraph"/>
        <w:numPr>
          <w:ilvl w:val="0"/>
          <w:numId w:val="152"/>
        </w:numPr>
        <w:tabs>
          <w:tab w:pos="2381" w:val="left" w:leader="none"/>
          <w:tab w:pos="2382" w:val="left" w:leader="none"/>
        </w:tabs>
        <w:spacing w:line="240" w:lineRule="auto" w:before="1" w:after="0"/>
        <w:ind w:left="2381" w:right="0" w:hanging="794"/>
        <w:jc w:val="left"/>
        <w:rPr>
          <w:sz w:val="13"/>
        </w:rPr>
      </w:pPr>
      <w:r>
        <w:rPr>
          <w:i/>
          <w:w w:val="105"/>
          <w:sz w:val="13"/>
        </w:rPr>
        <w:t>Planning and Environment Act 1987 </w:t>
      </w:r>
      <w:r>
        <w:rPr>
          <w:spacing w:val="2"/>
          <w:w w:val="105"/>
          <w:sz w:val="13"/>
        </w:rPr>
        <w:t>(Vic) </w:t>
      </w:r>
      <w:r>
        <w:rPr>
          <w:w w:val="105"/>
          <w:sz w:val="13"/>
        </w:rPr>
        <w:t>s</w:t>
      </w:r>
      <w:r>
        <w:rPr>
          <w:spacing w:val="30"/>
          <w:w w:val="105"/>
          <w:sz w:val="13"/>
        </w:rPr>
        <w:t> </w:t>
      </w:r>
      <w:r>
        <w:rPr>
          <w:w w:val="105"/>
          <w:sz w:val="13"/>
        </w:rPr>
        <w:t>123.</w:t>
      </w:r>
    </w:p>
    <w:p>
      <w:pPr>
        <w:pStyle w:val="ListParagraph"/>
        <w:numPr>
          <w:ilvl w:val="0"/>
          <w:numId w:val="152"/>
        </w:numPr>
        <w:tabs>
          <w:tab w:pos="2381" w:val="left" w:leader="none"/>
          <w:tab w:pos="2382" w:val="left" w:leader="none"/>
        </w:tabs>
        <w:spacing w:line="240" w:lineRule="auto" w:before="2" w:after="0"/>
        <w:ind w:left="2381" w:right="0" w:hanging="794"/>
        <w:jc w:val="left"/>
        <w:rPr>
          <w:sz w:val="13"/>
        </w:rPr>
      </w:pPr>
      <w:r>
        <w:rPr>
          <w:sz w:val="13"/>
        </w:rPr>
        <w:t>A person is guilty of contempt  of  the  Tribunal  if  they  insult  a  member  of  the  Tribunal  while  that  member  is  performing  functions  as member; insult, obstruct or hinder a person attending a hearing before the Tribunal; misbehave at a hearing before the Tribunal; interrupt a    hearing before the Tribunal; obstruct or hinder a person from complying with an order of the Tribunal or a summons to attend the Tribunal;              do any other </w:t>
      </w:r>
      <w:r>
        <w:rPr>
          <w:spacing w:val="2"/>
          <w:sz w:val="13"/>
        </w:rPr>
        <w:t>act </w:t>
      </w:r>
      <w:r>
        <w:rPr>
          <w:sz w:val="13"/>
        </w:rPr>
        <w:t>that would, if the Tribunal were the Supreme Court, constitute contempt of  that  Court:  </w:t>
      </w:r>
      <w:r>
        <w:rPr>
          <w:i/>
          <w:sz w:val="13"/>
        </w:rPr>
        <w:t>Victorian  Civil  and  Administrative </w:t>
      </w:r>
      <w:r>
        <w:rPr>
          <w:i/>
          <w:sz w:val="13"/>
        </w:rPr>
        <w:t>Tribunal Act 1998 </w:t>
      </w:r>
      <w:r>
        <w:rPr>
          <w:spacing w:val="2"/>
          <w:sz w:val="13"/>
        </w:rPr>
        <w:t>(Vic) </w:t>
      </w:r>
      <w:r>
        <w:rPr>
          <w:sz w:val="13"/>
        </w:rPr>
        <w:t>s 137(1).</w:t>
      </w:r>
    </w:p>
    <w:p>
      <w:pPr>
        <w:pStyle w:val="ListParagraph"/>
        <w:numPr>
          <w:ilvl w:val="0"/>
          <w:numId w:val="152"/>
        </w:numPr>
        <w:tabs>
          <w:tab w:pos="2381" w:val="left" w:leader="none"/>
          <w:tab w:pos="2382" w:val="left" w:leader="none"/>
        </w:tabs>
        <w:spacing w:line="240" w:lineRule="auto" w:before="6" w:after="0"/>
        <w:ind w:left="2381" w:right="0" w:hanging="794"/>
        <w:jc w:val="left"/>
        <w:rPr>
          <w:sz w:val="13"/>
        </w:rPr>
      </w:pPr>
      <w:r>
        <w:rPr>
          <w:i/>
          <w:w w:val="105"/>
          <w:sz w:val="13"/>
        </w:rPr>
        <w:t>Kanter</w:t>
      </w:r>
      <w:r>
        <w:rPr>
          <w:i/>
          <w:spacing w:val="4"/>
          <w:w w:val="105"/>
          <w:sz w:val="13"/>
        </w:rPr>
        <w:t> </w:t>
      </w:r>
      <w:r>
        <w:rPr>
          <w:i/>
          <w:w w:val="105"/>
          <w:sz w:val="13"/>
        </w:rPr>
        <w:t>v</w:t>
      </w:r>
      <w:r>
        <w:rPr>
          <w:i/>
          <w:spacing w:val="5"/>
          <w:w w:val="105"/>
          <w:sz w:val="13"/>
        </w:rPr>
        <w:t> </w:t>
      </w:r>
      <w:r>
        <w:rPr>
          <w:i/>
          <w:w w:val="105"/>
          <w:sz w:val="13"/>
        </w:rPr>
        <w:t>Milroy</w:t>
      </w:r>
      <w:r>
        <w:rPr>
          <w:i/>
          <w:spacing w:val="5"/>
          <w:w w:val="105"/>
          <w:sz w:val="13"/>
        </w:rPr>
        <w:t> </w:t>
      </w:r>
      <w:r>
        <w:rPr>
          <w:i/>
          <w:w w:val="105"/>
          <w:sz w:val="13"/>
        </w:rPr>
        <w:t>Investments</w:t>
      </w:r>
      <w:r>
        <w:rPr>
          <w:i/>
          <w:spacing w:val="5"/>
          <w:w w:val="105"/>
          <w:sz w:val="13"/>
        </w:rPr>
        <w:t> </w:t>
      </w:r>
      <w:r>
        <w:rPr>
          <w:i/>
          <w:w w:val="105"/>
          <w:sz w:val="13"/>
        </w:rPr>
        <w:t>Australia</w:t>
      </w:r>
      <w:r>
        <w:rPr>
          <w:i/>
          <w:spacing w:val="4"/>
          <w:w w:val="105"/>
          <w:sz w:val="13"/>
        </w:rPr>
        <w:t> </w:t>
      </w:r>
      <w:r>
        <w:rPr>
          <w:i/>
          <w:spacing w:val="3"/>
          <w:w w:val="105"/>
          <w:sz w:val="13"/>
        </w:rPr>
        <w:t>Pty</w:t>
      </w:r>
      <w:r>
        <w:rPr>
          <w:i/>
          <w:spacing w:val="5"/>
          <w:w w:val="105"/>
          <w:sz w:val="13"/>
        </w:rPr>
        <w:t> </w:t>
      </w:r>
      <w:r>
        <w:rPr>
          <w:i/>
          <w:w w:val="105"/>
          <w:sz w:val="13"/>
        </w:rPr>
        <w:t>Ltd</w:t>
      </w:r>
      <w:r>
        <w:rPr>
          <w:i/>
          <w:spacing w:val="5"/>
          <w:w w:val="105"/>
          <w:sz w:val="13"/>
        </w:rPr>
        <w:t> </w:t>
      </w:r>
      <w:r>
        <w:rPr>
          <w:spacing w:val="2"/>
          <w:w w:val="105"/>
          <w:sz w:val="13"/>
        </w:rPr>
        <w:t>(Owners</w:t>
      </w:r>
      <w:r>
        <w:rPr>
          <w:spacing w:val="5"/>
          <w:w w:val="105"/>
          <w:sz w:val="13"/>
        </w:rPr>
        <w:t> </w:t>
      </w:r>
      <w:r>
        <w:rPr>
          <w:w w:val="105"/>
          <w:sz w:val="13"/>
        </w:rPr>
        <w:t>Corporations)</w:t>
      </w:r>
      <w:r>
        <w:rPr>
          <w:spacing w:val="4"/>
          <w:w w:val="105"/>
          <w:sz w:val="13"/>
        </w:rPr>
        <w:t> </w:t>
      </w:r>
      <w:r>
        <w:rPr>
          <w:w w:val="105"/>
          <w:sz w:val="13"/>
        </w:rPr>
        <w:t>[2015]</w:t>
      </w:r>
      <w:r>
        <w:rPr>
          <w:spacing w:val="5"/>
          <w:w w:val="105"/>
          <w:sz w:val="13"/>
        </w:rPr>
        <w:t> </w:t>
      </w:r>
      <w:r>
        <w:rPr>
          <w:w w:val="105"/>
          <w:sz w:val="13"/>
        </w:rPr>
        <w:t>VCAT</w:t>
      </w:r>
      <w:r>
        <w:rPr>
          <w:spacing w:val="5"/>
          <w:w w:val="105"/>
          <w:sz w:val="13"/>
        </w:rPr>
        <w:t> </w:t>
      </w:r>
      <w:r>
        <w:rPr>
          <w:w w:val="105"/>
          <w:sz w:val="13"/>
        </w:rPr>
        <w:t>90</w:t>
      </w:r>
      <w:r>
        <w:rPr>
          <w:spacing w:val="5"/>
          <w:w w:val="105"/>
          <w:sz w:val="13"/>
        </w:rPr>
        <w:t> </w:t>
      </w:r>
      <w:r>
        <w:rPr>
          <w:w w:val="105"/>
          <w:sz w:val="13"/>
        </w:rPr>
        <w:t>[222].</w:t>
      </w:r>
    </w:p>
    <w:p>
      <w:pPr>
        <w:pStyle w:val="ListParagraph"/>
        <w:numPr>
          <w:ilvl w:val="0"/>
          <w:numId w:val="152"/>
        </w:numPr>
        <w:tabs>
          <w:tab w:pos="2381" w:val="left" w:leader="none"/>
          <w:tab w:pos="2382" w:val="left" w:leader="none"/>
        </w:tabs>
        <w:spacing w:line="240" w:lineRule="auto" w:before="2" w:after="0"/>
        <w:ind w:left="2381" w:right="0" w:hanging="793"/>
        <w:jc w:val="left"/>
        <w:rPr>
          <w:sz w:val="13"/>
        </w:rPr>
      </w:pPr>
      <w:r>
        <w:rPr>
          <w:i/>
          <w:w w:val="105"/>
          <w:sz w:val="13"/>
        </w:rPr>
        <w:t>Victorian</w:t>
      </w:r>
      <w:r>
        <w:rPr>
          <w:i/>
          <w:spacing w:val="4"/>
          <w:w w:val="105"/>
          <w:sz w:val="13"/>
        </w:rPr>
        <w:t> </w:t>
      </w:r>
      <w:r>
        <w:rPr>
          <w:i/>
          <w:w w:val="105"/>
          <w:sz w:val="13"/>
        </w:rPr>
        <w:t>Civil</w:t>
      </w:r>
      <w:r>
        <w:rPr>
          <w:i/>
          <w:spacing w:val="5"/>
          <w:w w:val="105"/>
          <w:sz w:val="13"/>
        </w:rPr>
        <w:t> </w:t>
      </w:r>
      <w:r>
        <w:rPr>
          <w:i/>
          <w:w w:val="105"/>
          <w:sz w:val="13"/>
        </w:rPr>
        <w:t>and</w:t>
      </w:r>
      <w:r>
        <w:rPr>
          <w:i/>
          <w:spacing w:val="5"/>
          <w:w w:val="105"/>
          <w:sz w:val="13"/>
        </w:rPr>
        <w:t> </w:t>
      </w:r>
      <w:r>
        <w:rPr>
          <w:i/>
          <w:w w:val="105"/>
          <w:sz w:val="13"/>
        </w:rPr>
        <w:t>Administrative</w:t>
      </w:r>
      <w:r>
        <w:rPr>
          <w:i/>
          <w:spacing w:val="4"/>
          <w:w w:val="105"/>
          <w:sz w:val="13"/>
        </w:rPr>
        <w:t> </w:t>
      </w:r>
      <w:r>
        <w:rPr>
          <w:i/>
          <w:w w:val="105"/>
          <w:sz w:val="13"/>
        </w:rPr>
        <w:t>Tribunal</w:t>
      </w:r>
      <w:r>
        <w:rPr>
          <w:i/>
          <w:spacing w:val="5"/>
          <w:w w:val="105"/>
          <w:sz w:val="13"/>
        </w:rPr>
        <w:t> </w:t>
      </w:r>
      <w:r>
        <w:rPr>
          <w:i/>
          <w:w w:val="105"/>
          <w:sz w:val="13"/>
        </w:rPr>
        <w:t>Act</w:t>
      </w:r>
      <w:r>
        <w:rPr>
          <w:i/>
          <w:spacing w:val="5"/>
          <w:w w:val="105"/>
          <w:sz w:val="13"/>
        </w:rPr>
        <w:t> </w:t>
      </w:r>
      <w:r>
        <w:rPr>
          <w:i/>
          <w:w w:val="105"/>
          <w:sz w:val="13"/>
        </w:rPr>
        <w:t>1998</w:t>
      </w:r>
      <w:r>
        <w:rPr>
          <w:i/>
          <w:spacing w:val="4"/>
          <w:w w:val="105"/>
          <w:sz w:val="13"/>
        </w:rPr>
        <w:t> </w:t>
      </w:r>
      <w:r>
        <w:rPr>
          <w:spacing w:val="2"/>
          <w:w w:val="105"/>
          <w:sz w:val="13"/>
        </w:rPr>
        <w:t>(Vic)</w:t>
      </w:r>
      <w:r>
        <w:rPr>
          <w:spacing w:val="5"/>
          <w:w w:val="105"/>
          <w:sz w:val="13"/>
        </w:rPr>
        <w:t> </w:t>
      </w:r>
      <w:r>
        <w:rPr>
          <w:w w:val="105"/>
          <w:sz w:val="13"/>
        </w:rPr>
        <w:t>ss</w:t>
      </w:r>
      <w:r>
        <w:rPr>
          <w:spacing w:val="5"/>
          <w:w w:val="105"/>
          <w:sz w:val="13"/>
        </w:rPr>
        <w:t> </w:t>
      </w:r>
      <w:r>
        <w:rPr>
          <w:w w:val="105"/>
          <w:sz w:val="13"/>
        </w:rPr>
        <w:t>137(1),</w:t>
      </w:r>
      <w:r>
        <w:rPr>
          <w:spacing w:val="4"/>
          <w:w w:val="105"/>
          <w:sz w:val="13"/>
        </w:rPr>
        <w:t> </w:t>
      </w:r>
      <w:r>
        <w:rPr>
          <w:w w:val="105"/>
          <w:sz w:val="13"/>
        </w:rPr>
        <w:t>137(5).</w:t>
      </w:r>
    </w:p>
    <w:p>
      <w:pPr>
        <w:pStyle w:val="ListParagraph"/>
        <w:numPr>
          <w:ilvl w:val="0"/>
          <w:numId w:val="152"/>
        </w:numPr>
        <w:tabs>
          <w:tab w:pos="2381" w:val="left" w:leader="none"/>
          <w:tab w:pos="2382" w:val="left" w:leader="none"/>
        </w:tabs>
        <w:spacing w:line="240" w:lineRule="auto" w:before="1" w:after="0"/>
        <w:ind w:left="2381" w:right="155" w:hanging="793"/>
        <w:jc w:val="both"/>
        <w:rPr>
          <w:sz w:val="13"/>
        </w:rPr>
      </w:pPr>
      <w:r>
        <w:rPr>
          <w:w w:val="105"/>
          <w:sz w:val="13"/>
        </w:rPr>
        <w:t>Ibid s </w:t>
      </w:r>
      <w:r>
        <w:rPr>
          <w:spacing w:val="2"/>
          <w:w w:val="105"/>
          <w:sz w:val="13"/>
        </w:rPr>
        <w:t>137(5)(a). </w:t>
      </w:r>
      <w:r>
        <w:rPr>
          <w:w w:val="105"/>
          <w:sz w:val="13"/>
        </w:rPr>
        <w:t>The current value of a penalty unit is </w:t>
      </w:r>
      <w:r>
        <w:rPr>
          <w:spacing w:val="-5"/>
          <w:w w:val="105"/>
          <w:sz w:val="13"/>
        </w:rPr>
        <w:t>$161.19 </w:t>
      </w:r>
      <w:r>
        <w:rPr>
          <w:w w:val="105"/>
          <w:sz w:val="13"/>
        </w:rPr>
        <w:t>(as at 1 July 2018 to 30 June 2019): Victorian Government Gazette, ‘Notice Under Section 6, Fixing the Value of a Fee Unit and a Penalty Unit’ (GG No </w:t>
      </w:r>
      <w:r>
        <w:rPr>
          <w:spacing w:val="-3"/>
          <w:w w:val="105"/>
          <w:sz w:val="13"/>
        </w:rPr>
        <w:t>S135, </w:t>
      </w:r>
      <w:r>
        <w:rPr>
          <w:w w:val="105"/>
          <w:sz w:val="13"/>
        </w:rPr>
        <w:t>Thursday 29 March 2018) &lt;https://</w:t>
      </w:r>
      <w:hyperlink r:id="rId245">
        <w:r>
          <w:rPr>
            <w:w w:val="105"/>
            <w:sz w:val="13"/>
          </w:rPr>
          <w:t>www.dtf.vic.gov.au/</w:t>
        </w:r>
      </w:hyperlink>
      <w:r>
        <w:rPr>
          <w:w w:val="105"/>
          <w:sz w:val="13"/>
        </w:rPr>
        <w:t> financial-management-government/indexation-fees-and-penalties&gt;.</w:t>
      </w:r>
    </w:p>
    <w:p>
      <w:pPr>
        <w:tabs>
          <w:tab w:pos="2381" w:val="left" w:leader="none"/>
        </w:tabs>
        <w:spacing w:before="4"/>
        <w:ind w:left="1588" w:right="0" w:firstLine="0"/>
        <w:jc w:val="left"/>
        <w:rPr>
          <w:sz w:val="13"/>
        </w:rPr>
      </w:pPr>
      <w:r>
        <w:rPr>
          <w:w w:val="105"/>
          <w:sz w:val="13"/>
        </w:rPr>
        <w:t>158</w:t>
        <w:tab/>
        <w:t>[2015] VCAT</w:t>
      </w:r>
      <w:r>
        <w:rPr>
          <w:spacing w:val="9"/>
          <w:w w:val="105"/>
          <w:sz w:val="13"/>
        </w:rPr>
        <w:t> </w:t>
      </w:r>
      <w:r>
        <w:rPr>
          <w:w w:val="105"/>
          <w:sz w:val="13"/>
        </w:rPr>
        <w:t>90.</w:t>
      </w:r>
    </w:p>
    <w:p>
      <w:pPr>
        <w:tabs>
          <w:tab w:pos="2381" w:val="left" w:leader="none"/>
        </w:tabs>
        <w:spacing w:before="1"/>
        <w:ind w:left="1588" w:right="0" w:firstLine="0"/>
        <w:jc w:val="left"/>
        <w:rPr>
          <w:sz w:val="13"/>
        </w:rPr>
      </w:pPr>
      <w:r>
        <w:rPr>
          <w:spacing w:val="-3"/>
          <w:w w:val="105"/>
          <w:sz w:val="13"/>
        </w:rPr>
        <w:t>159</w:t>
        <w:tab/>
      </w:r>
      <w:r>
        <w:rPr>
          <w:i/>
          <w:w w:val="105"/>
          <w:sz w:val="13"/>
        </w:rPr>
        <w:t>Kanter</w:t>
      </w:r>
      <w:r>
        <w:rPr>
          <w:i/>
          <w:spacing w:val="4"/>
          <w:w w:val="105"/>
          <w:sz w:val="13"/>
        </w:rPr>
        <w:t> </w:t>
      </w:r>
      <w:r>
        <w:rPr>
          <w:i/>
          <w:w w:val="105"/>
          <w:sz w:val="13"/>
        </w:rPr>
        <w:t>v</w:t>
      </w:r>
      <w:r>
        <w:rPr>
          <w:i/>
          <w:spacing w:val="5"/>
          <w:w w:val="105"/>
          <w:sz w:val="13"/>
        </w:rPr>
        <w:t> </w:t>
      </w:r>
      <w:r>
        <w:rPr>
          <w:i/>
          <w:w w:val="105"/>
          <w:sz w:val="13"/>
        </w:rPr>
        <w:t>Milroy</w:t>
      </w:r>
      <w:r>
        <w:rPr>
          <w:i/>
          <w:spacing w:val="5"/>
          <w:w w:val="105"/>
          <w:sz w:val="13"/>
        </w:rPr>
        <w:t> </w:t>
      </w:r>
      <w:r>
        <w:rPr>
          <w:i/>
          <w:w w:val="105"/>
          <w:sz w:val="13"/>
        </w:rPr>
        <w:t>Investments</w:t>
      </w:r>
      <w:r>
        <w:rPr>
          <w:i/>
          <w:spacing w:val="4"/>
          <w:w w:val="105"/>
          <w:sz w:val="13"/>
        </w:rPr>
        <w:t> </w:t>
      </w:r>
      <w:r>
        <w:rPr>
          <w:i/>
          <w:w w:val="105"/>
          <w:sz w:val="13"/>
        </w:rPr>
        <w:t>Australia</w:t>
      </w:r>
      <w:r>
        <w:rPr>
          <w:i/>
          <w:spacing w:val="5"/>
          <w:w w:val="105"/>
          <w:sz w:val="13"/>
        </w:rPr>
        <w:t> </w:t>
      </w:r>
      <w:r>
        <w:rPr>
          <w:i/>
          <w:spacing w:val="3"/>
          <w:w w:val="105"/>
          <w:sz w:val="13"/>
        </w:rPr>
        <w:t>Pty</w:t>
      </w:r>
      <w:r>
        <w:rPr>
          <w:i/>
          <w:spacing w:val="5"/>
          <w:w w:val="105"/>
          <w:sz w:val="13"/>
        </w:rPr>
        <w:t> </w:t>
      </w:r>
      <w:r>
        <w:rPr>
          <w:i/>
          <w:w w:val="105"/>
          <w:sz w:val="13"/>
        </w:rPr>
        <w:t>Ltd</w:t>
      </w:r>
      <w:r>
        <w:rPr>
          <w:i/>
          <w:spacing w:val="4"/>
          <w:w w:val="105"/>
          <w:sz w:val="13"/>
        </w:rPr>
        <w:t> </w:t>
      </w:r>
      <w:r>
        <w:rPr>
          <w:spacing w:val="2"/>
          <w:w w:val="105"/>
          <w:sz w:val="13"/>
        </w:rPr>
        <w:t>(Owners</w:t>
      </w:r>
      <w:r>
        <w:rPr>
          <w:spacing w:val="5"/>
          <w:w w:val="105"/>
          <w:sz w:val="13"/>
        </w:rPr>
        <w:t> </w:t>
      </w:r>
      <w:r>
        <w:rPr>
          <w:w w:val="105"/>
          <w:sz w:val="13"/>
        </w:rPr>
        <w:t>Corporations)</w:t>
      </w:r>
      <w:r>
        <w:rPr>
          <w:spacing w:val="5"/>
          <w:w w:val="105"/>
          <w:sz w:val="13"/>
        </w:rPr>
        <w:t> </w:t>
      </w:r>
      <w:r>
        <w:rPr>
          <w:w w:val="105"/>
          <w:sz w:val="13"/>
        </w:rPr>
        <w:t>[2015]</w:t>
      </w:r>
      <w:r>
        <w:rPr>
          <w:spacing w:val="5"/>
          <w:w w:val="105"/>
          <w:sz w:val="13"/>
        </w:rPr>
        <w:t> </w:t>
      </w:r>
      <w:r>
        <w:rPr>
          <w:w w:val="105"/>
          <w:sz w:val="13"/>
        </w:rPr>
        <w:t>VCAT</w:t>
      </w:r>
      <w:r>
        <w:rPr>
          <w:spacing w:val="4"/>
          <w:w w:val="105"/>
          <w:sz w:val="13"/>
        </w:rPr>
        <w:t> </w:t>
      </w:r>
      <w:r>
        <w:rPr>
          <w:w w:val="105"/>
          <w:sz w:val="13"/>
        </w:rPr>
        <w:t>90</w:t>
      </w:r>
      <w:r>
        <w:rPr>
          <w:spacing w:val="5"/>
          <w:w w:val="105"/>
          <w:sz w:val="13"/>
        </w:rPr>
        <w:t> </w:t>
      </w:r>
      <w:r>
        <w:rPr>
          <w:spacing w:val="3"/>
          <w:w w:val="105"/>
          <w:sz w:val="13"/>
        </w:rPr>
        <w:t>[268],</w:t>
      </w:r>
      <w:r>
        <w:rPr>
          <w:spacing w:val="5"/>
          <w:w w:val="105"/>
          <w:sz w:val="13"/>
        </w:rPr>
        <w:t> </w:t>
      </w:r>
      <w:r>
        <w:rPr>
          <w:w w:val="105"/>
          <w:sz w:val="13"/>
        </w:rPr>
        <w:t>[274].</w:t>
      </w:r>
    </w:p>
    <w:p>
      <w:pPr>
        <w:tabs>
          <w:tab w:pos="2381" w:val="left" w:leader="none"/>
        </w:tabs>
        <w:spacing w:before="2"/>
        <w:ind w:left="1588" w:right="0" w:firstLine="0"/>
        <w:jc w:val="left"/>
        <w:rPr>
          <w:sz w:val="13"/>
        </w:rPr>
      </w:pPr>
      <w:r>
        <w:rPr>
          <w:w w:val="105"/>
          <w:sz w:val="13"/>
        </w:rPr>
        <w:t>160</w:t>
        <w:tab/>
        <w:t>Supplementary Consultation 1 (Victorian Civil and Administrative</w:t>
      </w:r>
      <w:r>
        <w:rPr>
          <w:spacing w:val="2"/>
          <w:w w:val="105"/>
          <w:sz w:val="13"/>
        </w:rPr>
        <w:t> </w:t>
      </w:r>
      <w:r>
        <w:rPr>
          <w:w w:val="105"/>
          <w:sz w:val="13"/>
        </w:rPr>
        <w:t>Tribunal).</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05"/>
        <w:ind w:left="554" w:right="573" w:firstLine="0"/>
        <w:jc w:val="center"/>
        <w:rPr>
          <w:b/>
          <w:sz w:val="24"/>
        </w:rPr>
      </w:pPr>
      <w:r>
        <w:rPr>
          <w:b/>
          <w:color w:val="658464"/>
          <w:w w:val="110"/>
          <w:sz w:val="24"/>
        </w:rPr>
        <w:t>209</w:t>
      </w:r>
    </w:p>
    <w:p>
      <w:pPr>
        <w:spacing w:after="0"/>
        <w:jc w:val="center"/>
        <w:rPr>
          <w:sz w:val="24"/>
        </w:rPr>
        <w:sectPr>
          <w:type w:val="continuous"/>
          <w:pgSz w:w="11910" w:h="16840"/>
          <w:pgMar w:top="300" w:bottom="280" w:left="0" w:right="0"/>
          <w:cols w:num="2" w:equalWidth="0">
            <w:col w:w="10300" w:space="40"/>
            <w:col w:w="1570"/>
          </w:cols>
        </w:sectPr>
      </w:pPr>
    </w:p>
    <w:p>
      <w:pPr>
        <w:pStyle w:val="BodyText"/>
        <w:spacing w:before="9"/>
        <w:rPr>
          <w:b/>
          <w:sz w:val="22"/>
        </w:rPr>
      </w:pPr>
    </w:p>
    <w:p>
      <w:pPr>
        <w:pStyle w:val="ListParagraph"/>
        <w:numPr>
          <w:ilvl w:val="1"/>
          <w:numId w:val="16"/>
        </w:numPr>
        <w:tabs>
          <w:tab w:pos="2380" w:val="left" w:leader="none"/>
          <w:tab w:pos="2381" w:val="left" w:leader="none"/>
        </w:tabs>
        <w:spacing w:line="242" w:lineRule="auto" w:before="92" w:after="0"/>
        <w:ind w:left="2381" w:right="1593" w:hanging="794"/>
        <w:jc w:val="left"/>
        <w:rPr>
          <w:sz w:val="21"/>
        </w:rPr>
      </w:pPr>
      <w:bookmarkStart w:name="Other jurisdictions—enforcement of order" w:id="240"/>
      <w:bookmarkEnd w:id="240"/>
      <w:r>
        <w:rPr/>
      </w:r>
      <w:bookmarkStart w:name="_bookmark114" w:id="241"/>
      <w:bookmarkEnd w:id="241"/>
      <w:r>
        <w:rPr/>
      </w:r>
      <w:bookmarkStart w:name="_bookmark114" w:id="242"/>
      <w:bookmarkEnd w:id="242"/>
      <w:r>
        <w:rPr>
          <w:w w:val="105"/>
          <w:sz w:val="21"/>
        </w:rPr>
        <w:t>T</w:t>
      </w:r>
      <w:r>
        <w:rPr>
          <w:w w:val="105"/>
          <w:sz w:val="21"/>
        </w:rPr>
        <w:t>he </w:t>
      </w:r>
      <w:r>
        <w:rPr>
          <w:spacing w:val="-3"/>
          <w:w w:val="105"/>
          <w:sz w:val="21"/>
        </w:rPr>
        <w:t>amending </w:t>
      </w:r>
      <w:r>
        <w:rPr>
          <w:w w:val="105"/>
          <w:sz w:val="21"/>
        </w:rPr>
        <w:t>Act </w:t>
      </w:r>
      <w:r>
        <w:rPr>
          <w:spacing w:val="-3"/>
          <w:w w:val="105"/>
          <w:sz w:val="21"/>
        </w:rPr>
        <w:t>will </w:t>
      </w:r>
      <w:r>
        <w:rPr>
          <w:w w:val="105"/>
          <w:sz w:val="21"/>
        </w:rPr>
        <w:t>broaden </w:t>
      </w:r>
      <w:r>
        <w:rPr>
          <w:spacing w:val="-6"/>
          <w:w w:val="105"/>
          <w:sz w:val="21"/>
        </w:rPr>
        <w:t>VCAT’s </w:t>
      </w:r>
      <w:r>
        <w:rPr>
          <w:spacing w:val="-3"/>
          <w:w w:val="105"/>
          <w:sz w:val="21"/>
        </w:rPr>
        <w:t>contempt </w:t>
      </w:r>
      <w:r>
        <w:rPr>
          <w:w w:val="105"/>
          <w:sz w:val="21"/>
        </w:rPr>
        <w:t>powers. Once the amendments come </w:t>
      </w:r>
      <w:r>
        <w:rPr>
          <w:spacing w:val="-4"/>
          <w:w w:val="105"/>
          <w:sz w:val="21"/>
        </w:rPr>
        <w:t>into </w:t>
      </w:r>
      <w:r>
        <w:rPr>
          <w:spacing w:val="-3"/>
          <w:w w:val="105"/>
          <w:sz w:val="21"/>
        </w:rPr>
        <w:t>operation, </w:t>
      </w:r>
      <w:r>
        <w:rPr>
          <w:spacing w:val="-5"/>
          <w:w w:val="105"/>
          <w:sz w:val="21"/>
        </w:rPr>
        <w:t>VCAT </w:t>
      </w:r>
      <w:r>
        <w:rPr>
          <w:spacing w:val="-3"/>
          <w:w w:val="105"/>
          <w:sz w:val="21"/>
        </w:rPr>
        <w:t>will </w:t>
      </w:r>
      <w:r>
        <w:rPr>
          <w:w w:val="105"/>
          <w:sz w:val="21"/>
        </w:rPr>
        <w:t>be able </w:t>
      </w:r>
      <w:r>
        <w:rPr>
          <w:spacing w:val="-3"/>
          <w:w w:val="105"/>
          <w:sz w:val="21"/>
        </w:rPr>
        <w:t>to </w:t>
      </w:r>
      <w:r>
        <w:rPr>
          <w:w w:val="105"/>
          <w:sz w:val="21"/>
        </w:rPr>
        <w:t>hold a person guilty of </w:t>
      </w:r>
      <w:r>
        <w:rPr>
          <w:spacing w:val="-3"/>
          <w:w w:val="105"/>
          <w:sz w:val="21"/>
        </w:rPr>
        <w:t>contempt </w:t>
      </w:r>
      <w:r>
        <w:rPr>
          <w:w w:val="105"/>
          <w:sz w:val="21"/>
        </w:rPr>
        <w:t>where they </w:t>
      </w:r>
      <w:r>
        <w:rPr>
          <w:spacing w:val="-4"/>
          <w:w w:val="105"/>
          <w:sz w:val="21"/>
        </w:rPr>
        <w:t>fail </w:t>
      </w:r>
      <w:r>
        <w:rPr>
          <w:spacing w:val="-3"/>
          <w:w w:val="105"/>
          <w:sz w:val="21"/>
        </w:rPr>
        <w:t>to </w:t>
      </w:r>
      <w:r>
        <w:rPr>
          <w:w w:val="105"/>
          <w:sz w:val="21"/>
        </w:rPr>
        <w:t>comply</w:t>
      </w:r>
      <w:r>
        <w:rPr>
          <w:spacing w:val="-5"/>
          <w:w w:val="105"/>
          <w:sz w:val="21"/>
        </w:rPr>
        <w:t> </w:t>
      </w:r>
      <w:r>
        <w:rPr>
          <w:w w:val="105"/>
          <w:sz w:val="21"/>
        </w:rPr>
        <w:t>with</w:t>
      </w:r>
      <w:r>
        <w:rPr>
          <w:spacing w:val="-4"/>
          <w:w w:val="105"/>
          <w:sz w:val="21"/>
        </w:rPr>
        <w:t> </w:t>
      </w:r>
      <w:r>
        <w:rPr>
          <w:w w:val="105"/>
          <w:sz w:val="21"/>
        </w:rPr>
        <w:t>an</w:t>
      </w:r>
      <w:r>
        <w:rPr>
          <w:spacing w:val="-5"/>
          <w:w w:val="105"/>
          <w:sz w:val="21"/>
        </w:rPr>
        <w:t> </w:t>
      </w:r>
      <w:r>
        <w:rPr>
          <w:w w:val="105"/>
          <w:sz w:val="21"/>
        </w:rPr>
        <w:t>order</w:t>
      </w:r>
      <w:r>
        <w:rPr>
          <w:spacing w:val="-4"/>
          <w:w w:val="105"/>
          <w:sz w:val="21"/>
        </w:rPr>
        <w:t> ‘in</w:t>
      </w:r>
      <w:r>
        <w:rPr>
          <w:spacing w:val="-5"/>
          <w:w w:val="105"/>
          <w:sz w:val="21"/>
        </w:rPr>
        <w:t> </w:t>
      </w:r>
      <w:r>
        <w:rPr>
          <w:spacing w:val="-3"/>
          <w:w w:val="105"/>
          <w:sz w:val="21"/>
        </w:rPr>
        <w:t>circumstances</w:t>
      </w:r>
      <w:r>
        <w:rPr>
          <w:spacing w:val="-4"/>
          <w:w w:val="105"/>
          <w:sz w:val="21"/>
        </w:rPr>
        <w:t> </w:t>
      </w:r>
      <w:r>
        <w:rPr>
          <w:spacing w:val="-3"/>
          <w:w w:val="105"/>
          <w:sz w:val="21"/>
        </w:rPr>
        <w:t>where,</w:t>
      </w:r>
      <w:r>
        <w:rPr>
          <w:spacing w:val="-5"/>
          <w:w w:val="105"/>
          <w:sz w:val="21"/>
        </w:rPr>
        <w:t> </w:t>
      </w:r>
      <w:r>
        <w:rPr>
          <w:w w:val="105"/>
          <w:sz w:val="21"/>
        </w:rPr>
        <w:t>if</w:t>
      </w:r>
      <w:r>
        <w:rPr>
          <w:spacing w:val="-4"/>
          <w:w w:val="105"/>
          <w:sz w:val="21"/>
        </w:rPr>
        <w:t> </w:t>
      </w:r>
      <w:r>
        <w:rPr>
          <w:w w:val="105"/>
          <w:sz w:val="21"/>
        </w:rPr>
        <w:t>the</w:t>
      </w:r>
      <w:r>
        <w:rPr>
          <w:spacing w:val="-5"/>
          <w:w w:val="105"/>
          <w:sz w:val="21"/>
        </w:rPr>
        <w:t> </w:t>
      </w:r>
      <w:r>
        <w:rPr>
          <w:w w:val="105"/>
          <w:sz w:val="21"/>
        </w:rPr>
        <w:t>Order</w:t>
      </w:r>
      <w:r>
        <w:rPr>
          <w:spacing w:val="-4"/>
          <w:w w:val="105"/>
          <w:sz w:val="21"/>
        </w:rPr>
        <w:t> </w:t>
      </w:r>
      <w:r>
        <w:rPr>
          <w:spacing w:val="-3"/>
          <w:w w:val="105"/>
          <w:sz w:val="21"/>
        </w:rPr>
        <w:t>were</w:t>
      </w:r>
      <w:r>
        <w:rPr>
          <w:spacing w:val="-5"/>
          <w:w w:val="105"/>
          <w:sz w:val="21"/>
        </w:rPr>
        <w:t> </w:t>
      </w:r>
      <w:r>
        <w:rPr>
          <w:w w:val="105"/>
          <w:sz w:val="21"/>
        </w:rPr>
        <w:t>an</w:t>
      </w:r>
      <w:r>
        <w:rPr>
          <w:spacing w:val="-4"/>
          <w:w w:val="105"/>
          <w:sz w:val="21"/>
        </w:rPr>
        <w:t> </w:t>
      </w:r>
      <w:r>
        <w:rPr>
          <w:w w:val="105"/>
          <w:sz w:val="21"/>
        </w:rPr>
        <w:t>Order</w:t>
      </w:r>
      <w:r>
        <w:rPr>
          <w:spacing w:val="-5"/>
          <w:w w:val="105"/>
          <w:sz w:val="21"/>
        </w:rPr>
        <w:t> </w:t>
      </w:r>
      <w:r>
        <w:rPr>
          <w:w w:val="105"/>
          <w:sz w:val="21"/>
        </w:rPr>
        <w:t>of</w:t>
      </w:r>
      <w:r>
        <w:rPr>
          <w:spacing w:val="-4"/>
          <w:w w:val="105"/>
          <w:sz w:val="21"/>
        </w:rPr>
        <w:t> </w:t>
      </w:r>
      <w:r>
        <w:rPr>
          <w:w w:val="105"/>
          <w:sz w:val="21"/>
        </w:rPr>
        <w:t>the</w:t>
      </w:r>
      <w:r>
        <w:rPr>
          <w:spacing w:val="-5"/>
          <w:w w:val="105"/>
          <w:sz w:val="21"/>
        </w:rPr>
        <w:t> </w:t>
      </w:r>
      <w:r>
        <w:rPr>
          <w:spacing w:val="-3"/>
          <w:w w:val="105"/>
          <w:sz w:val="21"/>
        </w:rPr>
        <w:t>Supreme Court, </w:t>
      </w:r>
      <w:r>
        <w:rPr>
          <w:w w:val="105"/>
          <w:sz w:val="21"/>
        </w:rPr>
        <w:t>the </w:t>
      </w:r>
      <w:r>
        <w:rPr>
          <w:spacing w:val="-4"/>
          <w:w w:val="105"/>
          <w:sz w:val="21"/>
        </w:rPr>
        <w:t>failure </w:t>
      </w:r>
      <w:r>
        <w:rPr>
          <w:w w:val="105"/>
          <w:sz w:val="21"/>
        </w:rPr>
        <w:t>would </w:t>
      </w:r>
      <w:r>
        <w:rPr>
          <w:spacing w:val="-3"/>
          <w:w w:val="105"/>
          <w:sz w:val="21"/>
        </w:rPr>
        <w:t>constitute contempt </w:t>
      </w:r>
      <w:r>
        <w:rPr>
          <w:w w:val="105"/>
          <w:sz w:val="21"/>
        </w:rPr>
        <w:t>of </w:t>
      </w:r>
      <w:r>
        <w:rPr>
          <w:spacing w:val="-3"/>
          <w:w w:val="105"/>
          <w:sz w:val="21"/>
        </w:rPr>
        <w:t>that</w:t>
      </w:r>
      <w:r>
        <w:rPr>
          <w:spacing w:val="10"/>
          <w:w w:val="105"/>
          <w:sz w:val="21"/>
        </w:rPr>
        <w:t> </w:t>
      </w:r>
      <w:r>
        <w:rPr>
          <w:spacing w:val="-7"/>
          <w:w w:val="105"/>
          <w:sz w:val="21"/>
        </w:rPr>
        <w:t>Court’.</w:t>
      </w:r>
      <w:r>
        <w:rPr>
          <w:spacing w:val="-7"/>
          <w:w w:val="105"/>
          <w:position w:val="7"/>
          <w:sz w:val="12"/>
        </w:rPr>
        <w:t>161</w:t>
      </w:r>
    </w:p>
    <w:p>
      <w:pPr>
        <w:pStyle w:val="Heading7"/>
        <w:spacing w:before="155"/>
      </w:pPr>
      <w:r>
        <w:rPr>
          <w:w w:val="115"/>
        </w:rPr>
        <w:t>Reopening an order</w:t>
      </w:r>
    </w:p>
    <w:p>
      <w:pPr>
        <w:pStyle w:val="ListParagraph"/>
        <w:numPr>
          <w:ilvl w:val="1"/>
          <w:numId w:val="16"/>
        </w:numPr>
        <w:tabs>
          <w:tab w:pos="2382" w:val="left" w:leader="none"/>
        </w:tabs>
        <w:spacing w:line="242" w:lineRule="auto" w:before="142" w:after="0"/>
        <w:ind w:left="2381" w:right="1789" w:hanging="794"/>
        <w:jc w:val="both"/>
        <w:rPr>
          <w:sz w:val="21"/>
        </w:rPr>
      </w:pPr>
      <w:r>
        <w:rPr>
          <w:sz w:val="21"/>
        </w:rPr>
        <w:t>As discussed </w:t>
      </w:r>
      <w:r>
        <w:rPr>
          <w:spacing w:val="-3"/>
          <w:sz w:val="21"/>
        </w:rPr>
        <w:t>earlier </w:t>
      </w:r>
      <w:r>
        <w:rPr>
          <w:sz w:val="21"/>
        </w:rPr>
        <w:t>in the context of appeals, </w:t>
      </w:r>
      <w:r>
        <w:rPr>
          <w:spacing w:val="-5"/>
          <w:sz w:val="21"/>
        </w:rPr>
        <w:t>VCAT </w:t>
      </w:r>
      <w:r>
        <w:rPr>
          <w:sz w:val="21"/>
        </w:rPr>
        <w:t>can reopen a matter on substantive </w:t>
      </w:r>
      <w:r>
        <w:rPr>
          <w:spacing w:val="-3"/>
          <w:sz w:val="21"/>
        </w:rPr>
        <w:t>grounds </w:t>
      </w:r>
      <w:r>
        <w:rPr>
          <w:sz w:val="21"/>
        </w:rPr>
        <w:t>when a party did </w:t>
      </w:r>
      <w:r>
        <w:rPr>
          <w:spacing w:val="-2"/>
          <w:sz w:val="21"/>
        </w:rPr>
        <w:t>not </w:t>
      </w:r>
      <w:r>
        <w:rPr>
          <w:sz w:val="21"/>
        </w:rPr>
        <w:t>appear or was </w:t>
      </w:r>
      <w:r>
        <w:rPr>
          <w:spacing w:val="-2"/>
          <w:sz w:val="21"/>
        </w:rPr>
        <w:t>not </w:t>
      </w:r>
      <w:r>
        <w:rPr>
          <w:spacing w:val="-3"/>
          <w:sz w:val="21"/>
        </w:rPr>
        <w:t>represented </w:t>
      </w:r>
      <w:r>
        <w:rPr>
          <w:sz w:val="21"/>
        </w:rPr>
        <w:t>at the time of the </w:t>
      </w:r>
      <w:r>
        <w:rPr>
          <w:spacing w:val="-3"/>
          <w:sz w:val="21"/>
        </w:rPr>
        <w:t>hearing  </w:t>
      </w:r>
      <w:r>
        <w:rPr>
          <w:sz w:val="21"/>
        </w:rPr>
        <w:t>and </w:t>
      </w:r>
      <w:r>
        <w:rPr>
          <w:spacing w:val="-3"/>
          <w:sz w:val="21"/>
        </w:rPr>
        <w:t>making </w:t>
      </w:r>
      <w:r>
        <w:rPr>
          <w:sz w:val="21"/>
        </w:rPr>
        <w:t>of an</w:t>
      </w:r>
      <w:r>
        <w:rPr>
          <w:spacing w:val="39"/>
          <w:sz w:val="21"/>
        </w:rPr>
        <w:t> </w:t>
      </w:r>
      <w:r>
        <w:rPr>
          <w:spacing w:val="-6"/>
          <w:sz w:val="21"/>
        </w:rPr>
        <w:t>order.</w:t>
      </w:r>
      <w:r>
        <w:rPr>
          <w:spacing w:val="-6"/>
          <w:position w:val="7"/>
          <w:sz w:val="12"/>
        </w:rPr>
        <w:t>162</w:t>
      </w:r>
    </w:p>
    <w:p>
      <w:pPr>
        <w:pStyle w:val="ListParagraph"/>
        <w:numPr>
          <w:ilvl w:val="1"/>
          <w:numId w:val="16"/>
        </w:numPr>
        <w:tabs>
          <w:tab w:pos="2380" w:val="left" w:leader="none"/>
          <w:tab w:pos="2381" w:val="left" w:leader="none"/>
        </w:tabs>
        <w:spacing w:line="242" w:lineRule="auto" w:before="123" w:after="0"/>
        <w:ind w:left="2381" w:right="1705" w:hanging="794"/>
        <w:jc w:val="left"/>
        <w:rPr>
          <w:sz w:val="21"/>
        </w:rPr>
      </w:pPr>
      <w:r>
        <w:rPr>
          <w:w w:val="105"/>
          <w:sz w:val="21"/>
        </w:rPr>
        <w:t>The</w:t>
      </w:r>
      <w:r>
        <w:rPr>
          <w:spacing w:val="-6"/>
          <w:w w:val="105"/>
          <w:sz w:val="21"/>
        </w:rPr>
        <w:t> </w:t>
      </w:r>
      <w:r>
        <w:rPr>
          <w:i/>
          <w:w w:val="105"/>
          <w:sz w:val="21"/>
        </w:rPr>
        <w:t>Access</w:t>
      </w:r>
      <w:r>
        <w:rPr>
          <w:i/>
          <w:spacing w:val="-5"/>
          <w:w w:val="105"/>
          <w:sz w:val="21"/>
        </w:rPr>
        <w:t> </w:t>
      </w:r>
      <w:r>
        <w:rPr>
          <w:i/>
          <w:w w:val="105"/>
          <w:sz w:val="21"/>
        </w:rPr>
        <w:t>to</w:t>
      </w:r>
      <w:r>
        <w:rPr>
          <w:i/>
          <w:spacing w:val="-5"/>
          <w:w w:val="105"/>
          <w:sz w:val="21"/>
        </w:rPr>
        <w:t> </w:t>
      </w:r>
      <w:r>
        <w:rPr>
          <w:i/>
          <w:spacing w:val="-3"/>
          <w:w w:val="105"/>
          <w:sz w:val="21"/>
        </w:rPr>
        <w:t>Justice</w:t>
      </w:r>
      <w:r>
        <w:rPr>
          <w:i/>
          <w:spacing w:val="-6"/>
          <w:w w:val="105"/>
          <w:sz w:val="21"/>
        </w:rPr>
        <w:t> </w:t>
      </w:r>
      <w:r>
        <w:rPr>
          <w:w w:val="105"/>
          <w:sz w:val="21"/>
        </w:rPr>
        <w:t>Review</w:t>
      </w:r>
      <w:r>
        <w:rPr>
          <w:spacing w:val="-5"/>
          <w:w w:val="105"/>
          <w:sz w:val="21"/>
        </w:rPr>
        <w:t> </w:t>
      </w:r>
      <w:r>
        <w:rPr>
          <w:w w:val="105"/>
          <w:sz w:val="21"/>
        </w:rPr>
        <w:t>recommended</w:t>
      </w:r>
      <w:r>
        <w:rPr>
          <w:spacing w:val="-5"/>
          <w:w w:val="105"/>
          <w:sz w:val="21"/>
        </w:rPr>
        <w:t> </w:t>
      </w:r>
      <w:r>
        <w:rPr>
          <w:spacing w:val="-3"/>
          <w:w w:val="105"/>
          <w:sz w:val="21"/>
        </w:rPr>
        <w:t>that</w:t>
      </w:r>
      <w:r>
        <w:rPr>
          <w:spacing w:val="-5"/>
          <w:w w:val="105"/>
          <w:sz w:val="21"/>
        </w:rPr>
        <w:t> </w:t>
      </w:r>
      <w:r>
        <w:rPr>
          <w:spacing w:val="-6"/>
          <w:w w:val="105"/>
          <w:sz w:val="21"/>
        </w:rPr>
        <w:t>VCAT’s </w:t>
      </w:r>
      <w:r>
        <w:rPr>
          <w:w w:val="105"/>
          <w:sz w:val="21"/>
        </w:rPr>
        <w:t>powers</w:t>
      </w:r>
      <w:r>
        <w:rPr>
          <w:spacing w:val="-5"/>
          <w:w w:val="105"/>
          <w:sz w:val="21"/>
        </w:rPr>
        <w:t> </w:t>
      </w:r>
      <w:r>
        <w:rPr>
          <w:spacing w:val="-3"/>
          <w:w w:val="105"/>
          <w:sz w:val="21"/>
        </w:rPr>
        <w:t>to</w:t>
      </w:r>
      <w:r>
        <w:rPr>
          <w:spacing w:val="-5"/>
          <w:w w:val="105"/>
          <w:sz w:val="21"/>
        </w:rPr>
        <w:t> </w:t>
      </w:r>
      <w:r>
        <w:rPr>
          <w:w w:val="105"/>
          <w:sz w:val="21"/>
        </w:rPr>
        <w:t>reopen</w:t>
      </w:r>
      <w:r>
        <w:rPr>
          <w:spacing w:val="-5"/>
          <w:w w:val="105"/>
          <w:sz w:val="21"/>
        </w:rPr>
        <w:t> </w:t>
      </w:r>
      <w:r>
        <w:rPr>
          <w:w w:val="105"/>
          <w:sz w:val="21"/>
        </w:rPr>
        <w:t>orders</w:t>
      </w:r>
      <w:r>
        <w:rPr>
          <w:spacing w:val="-6"/>
          <w:w w:val="105"/>
          <w:sz w:val="21"/>
        </w:rPr>
        <w:t> </w:t>
      </w:r>
      <w:r>
        <w:rPr>
          <w:w w:val="105"/>
          <w:sz w:val="21"/>
        </w:rPr>
        <w:t>should be expanded </w:t>
      </w:r>
      <w:r>
        <w:rPr>
          <w:spacing w:val="-3"/>
          <w:w w:val="105"/>
          <w:sz w:val="21"/>
        </w:rPr>
        <w:t>for enforcement reasons. </w:t>
      </w:r>
      <w:r>
        <w:rPr>
          <w:w w:val="105"/>
          <w:sz w:val="21"/>
        </w:rPr>
        <w:t>The review</w:t>
      </w:r>
      <w:r>
        <w:rPr>
          <w:spacing w:val="26"/>
          <w:w w:val="105"/>
          <w:sz w:val="21"/>
        </w:rPr>
        <w:t> </w:t>
      </w:r>
      <w:r>
        <w:rPr>
          <w:w w:val="105"/>
          <w:sz w:val="21"/>
        </w:rPr>
        <w:t>recommended:</w:t>
      </w:r>
    </w:p>
    <w:p>
      <w:pPr>
        <w:spacing w:line="254" w:lineRule="auto" w:before="132"/>
        <w:ind w:left="2834" w:right="1554" w:firstLine="0"/>
        <w:jc w:val="left"/>
        <w:rPr>
          <w:sz w:val="11"/>
        </w:rPr>
      </w:pPr>
      <w:r>
        <w:rPr>
          <w:w w:val="105"/>
          <w:sz w:val="20"/>
        </w:rPr>
        <w:t>The VCAT Act should be amended to enable VCAT to reopen or renew a proceeding where there has been a problem with enforcement, similar to section 133 of the </w:t>
      </w:r>
      <w:r>
        <w:rPr>
          <w:i/>
          <w:w w:val="105"/>
          <w:sz w:val="20"/>
        </w:rPr>
        <w:t>Queensland Civil and Administrative Tribunal Act 2009 </w:t>
      </w:r>
      <w:r>
        <w:rPr>
          <w:w w:val="105"/>
          <w:sz w:val="20"/>
        </w:rPr>
        <w:t>(Qld). This would provide an easy way to convert a non-monetary order to a monetary order where there has not been compliance with the former.</w:t>
      </w:r>
      <w:r>
        <w:rPr>
          <w:w w:val="105"/>
          <w:position w:val="7"/>
          <w:sz w:val="11"/>
        </w:rPr>
        <w:t>163</w:t>
      </w:r>
    </w:p>
    <w:p>
      <w:pPr>
        <w:pStyle w:val="ListParagraph"/>
        <w:numPr>
          <w:ilvl w:val="1"/>
          <w:numId w:val="16"/>
        </w:numPr>
        <w:tabs>
          <w:tab w:pos="2381" w:val="left" w:leader="none"/>
          <w:tab w:pos="2382" w:val="left" w:leader="none"/>
        </w:tabs>
        <w:spacing w:line="242" w:lineRule="auto" w:before="117" w:after="0"/>
        <w:ind w:left="2381" w:right="1593" w:hanging="794"/>
        <w:jc w:val="left"/>
        <w:rPr>
          <w:sz w:val="21"/>
        </w:rPr>
      </w:pPr>
      <w:r>
        <w:rPr>
          <w:w w:val="105"/>
          <w:sz w:val="21"/>
        </w:rPr>
        <w:t>Once the </w:t>
      </w:r>
      <w:r>
        <w:rPr>
          <w:spacing w:val="-3"/>
          <w:w w:val="105"/>
          <w:sz w:val="21"/>
        </w:rPr>
        <w:t>relevant provisions </w:t>
      </w:r>
      <w:r>
        <w:rPr>
          <w:w w:val="105"/>
          <w:sz w:val="21"/>
        </w:rPr>
        <w:t>of the </w:t>
      </w:r>
      <w:r>
        <w:rPr>
          <w:spacing w:val="-3"/>
          <w:w w:val="105"/>
          <w:sz w:val="21"/>
        </w:rPr>
        <w:t>amending </w:t>
      </w:r>
      <w:r>
        <w:rPr>
          <w:w w:val="105"/>
          <w:sz w:val="21"/>
        </w:rPr>
        <w:t>Act come </w:t>
      </w:r>
      <w:r>
        <w:rPr>
          <w:spacing w:val="-4"/>
          <w:w w:val="105"/>
          <w:sz w:val="21"/>
        </w:rPr>
        <w:t>into </w:t>
      </w:r>
      <w:r>
        <w:rPr>
          <w:w w:val="105"/>
          <w:sz w:val="21"/>
        </w:rPr>
        <w:t>operation </w:t>
      </w:r>
      <w:r>
        <w:rPr>
          <w:spacing w:val="-7"/>
          <w:w w:val="105"/>
          <w:sz w:val="21"/>
        </w:rPr>
        <w:t>‘a </w:t>
      </w:r>
      <w:r>
        <w:rPr>
          <w:w w:val="105"/>
          <w:sz w:val="21"/>
        </w:rPr>
        <w:t>person in whose </w:t>
      </w:r>
      <w:r>
        <w:rPr>
          <w:spacing w:val="-3"/>
          <w:w w:val="105"/>
          <w:sz w:val="21"/>
        </w:rPr>
        <w:t>favour </w:t>
      </w:r>
      <w:r>
        <w:rPr>
          <w:w w:val="105"/>
          <w:sz w:val="21"/>
        </w:rPr>
        <w:t>an order of the </w:t>
      </w:r>
      <w:r>
        <w:rPr>
          <w:spacing w:val="-5"/>
          <w:w w:val="105"/>
          <w:sz w:val="21"/>
        </w:rPr>
        <w:t>Tribunal </w:t>
      </w:r>
      <w:r>
        <w:rPr>
          <w:w w:val="105"/>
          <w:sz w:val="21"/>
        </w:rPr>
        <w:t>is made </w:t>
      </w:r>
      <w:r>
        <w:rPr>
          <w:spacing w:val="-3"/>
          <w:w w:val="105"/>
          <w:sz w:val="21"/>
        </w:rPr>
        <w:t>may </w:t>
      </w:r>
      <w:r>
        <w:rPr>
          <w:w w:val="105"/>
          <w:sz w:val="21"/>
        </w:rPr>
        <w:t>apply </w:t>
      </w:r>
      <w:r>
        <w:rPr>
          <w:spacing w:val="-3"/>
          <w:w w:val="105"/>
          <w:sz w:val="21"/>
        </w:rPr>
        <w:t>to </w:t>
      </w:r>
      <w:r>
        <w:rPr>
          <w:w w:val="105"/>
          <w:sz w:val="21"/>
        </w:rPr>
        <w:t>the </w:t>
      </w:r>
      <w:r>
        <w:rPr>
          <w:spacing w:val="-5"/>
          <w:w w:val="105"/>
          <w:sz w:val="21"/>
        </w:rPr>
        <w:t>Tribunal </w:t>
      </w:r>
      <w:r>
        <w:rPr>
          <w:spacing w:val="-3"/>
          <w:w w:val="105"/>
          <w:sz w:val="21"/>
        </w:rPr>
        <w:t>for </w:t>
      </w:r>
      <w:r>
        <w:rPr>
          <w:w w:val="105"/>
          <w:sz w:val="21"/>
        </w:rPr>
        <w:t>review of the order </w:t>
      </w:r>
      <w:r>
        <w:rPr>
          <w:spacing w:val="-3"/>
          <w:w w:val="105"/>
          <w:sz w:val="21"/>
        </w:rPr>
        <w:t>to </w:t>
      </w:r>
      <w:r>
        <w:rPr>
          <w:w w:val="105"/>
          <w:sz w:val="21"/>
        </w:rPr>
        <w:t>remedy a problem with </w:t>
      </w:r>
      <w:r>
        <w:rPr>
          <w:spacing w:val="-3"/>
          <w:w w:val="105"/>
          <w:sz w:val="21"/>
        </w:rPr>
        <w:t>enforcing </w:t>
      </w:r>
      <w:r>
        <w:rPr>
          <w:w w:val="105"/>
          <w:sz w:val="21"/>
        </w:rPr>
        <w:t>or </w:t>
      </w:r>
      <w:r>
        <w:rPr>
          <w:spacing w:val="-3"/>
          <w:w w:val="105"/>
          <w:sz w:val="21"/>
        </w:rPr>
        <w:t>complying </w:t>
      </w:r>
      <w:r>
        <w:rPr>
          <w:w w:val="105"/>
          <w:sz w:val="21"/>
        </w:rPr>
        <w:t>with the </w:t>
      </w:r>
      <w:r>
        <w:rPr>
          <w:spacing w:val="-5"/>
          <w:w w:val="105"/>
          <w:sz w:val="21"/>
        </w:rPr>
        <w:t>order’.</w:t>
      </w:r>
      <w:r>
        <w:rPr>
          <w:spacing w:val="-5"/>
          <w:w w:val="105"/>
          <w:position w:val="7"/>
          <w:sz w:val="12"/>
        </w:rPr>
        <w:t>164 </w:t>
      </w:r>
      <w:r>
        <w:rPr>
          <w:w w:val="105"/>
          <w:sz w:val="21"/>
        </w:rPr>
        <w:t>The </w:t>
      </w:r>
      <w:r>
        <w:rPr>
          <w:spacing w:val="-5"/>
          <w:w w:val="105"/>
          <w:sz w:val="21"/>
        </w:rPr>
        <w:t>Tribunal</w:t>
      </w:r>
      <w:r>
        <w:rPr>
          <w:spacing w:val="9"/>
          <w:w w:val="105"/>
          <w:sz w:val="21"/>
        </w:rPr>
        <w:t> </w:t>
      </w:r>
      <w:r>
        <w:rPr>
          <w:w w:val="105"/>
          <w:sz w:val="21"/>
        </w:rPr>
        <w:t>must</w:t>
      </w:r>
    </w:p>
    <w:p>
      <w:pPr>
        <w:pStyle w:val="BodyText"/>
        <w:spacing w:line="242" w:lineRule="auto" w:before="3"/>
        <w:ind w:left="2381" w:right="1810"/>
        <w:rPr>
          <w:sz w:val="12"/>
        </w:rPr>
      </w:pPr>
      <w:r>
        <w:rPr/>
        <w:t>be satisfied </w:t>
      </w:r>
      <w:r>
        <w:rPr>
          <w:spacing w:val="-3"/>
        </w:rPr>
        <w:t>that </w:t>
      </w:r>
      <w:r>
        <w:rPr/>
        <w:t>there </w:t>
      </w:r>
      <w:r>
        <w:rPr>
          <w:spacing w:val="-3"/>
        </w:rPr>
        <w:t>are  </w:t>
      </w:r>
      <w:r>
        <w:rPr>
          <w:spacing w:val="-2"/>
        </w:rPr>
        <w:t>problems  </w:t>
      </w:r>
      <w:r>
        <w:rPr/>
        <w:t>with </w:t>
      </w:r>
      <w:r>
        <w:rPr>
          <w:spacing w:val="-3"/>
        </w:rPr>
        <w:t>enforcing  </w:t>
      </w:r>
      <w:r>
        <w:rPr/>
        <w:t>or </w:t>
      </w:r>
      <w:r>
        <w:rPr>
          <w:spacing w:val="-3"/>
        </w:rPr>
        <w:t>complying  </w:t>
      </w:r>
      <w:r>
        <w:rPr/>
        <w:t>with the order and </w:t>
      </w:r>
      <w:r>
        <w:rPr>
          <w:spacing w:val="-3"/>
        </w:rPr>
        <w:t>that  </w:t>
      </w:r>
      <w:r>
        <w:rPr/>
        <w:t>it</w:t>
      </w:r>
      <w:r>
        <w:rPr>
          <w:spacing w:val="11"/>
        </w:rPr>
        <w:t> </w:t>
      </w:r>
      <w:r>
        <w:rPr/>
        <w:t>is</w:t>
      </w:r>
      <w:r>
        <w:rPr>
          <w:spacing w:val="11"/>
        </w:rPr>
        <w:t> </w:t>
      </w:r>
      <w:r>
        <w:rPr>
          <w:spacing w:val="-3"/>
        </w:rPr>
        <w:t>therefore</w:t>
      </w:r>
      <w:r>
        <w:rPr>
          <w:spacing w:val="11"/>
        </w:rPr>
        <w:t> </w:t>
      </w:r>
      <w:r>
        <w:rPr>
          <w:spacing w:val="-3"/>
        </w:rPr>
        <w:t>appropriate</w:t>
      </w:r>
      <w:r>
        <w:rPr>
          <w:spacing w:val="11"/>
        </w:rPr>
        <w:t> </w:t>
      </w:r>
      <w:r>
        <w:rPr>
          <w:spacing w:val="-3"/>
        </w:rPr>
        <w:t>to</w:t>
      </w:r>
      <w:r>
        <w:rPr>
          <w:spacing w:val="11"/>
        </w:rPr>
        <w:t> </w:t>
      </w:r>
      <w:r>
        <w:rPr>
          <w:spacing w:val="-3"/>
        </w:rPr>
        <w:t>vary,</w:t>
      </w:r>
      <w:r>
        <w:rPr>
          <w:spacing w:val="12"/>
        </w:rPr>
        <w:t> </w:t>
      </w:r>
      <w:r>
        <w:rPr>
          <w:spacing w:val="-4"/>
        </w:rPr>
        <w:t>revoke</w:t>
      </w:r>
      <w:r>
        <w:rPr>
          <w:spacing w:val="11"/>
        </w:rPr>
        <w:t> </w:t>
      </w:r>
      <w:r>
        <w:rPr/>
        <w:t>or</w:t>
      </w:r>
      <w:r>
        <w:rPr>
          <w:spacing w:val="11"/>
        </w:rPr>
        <w:t> </w:t>
      </w:r>
      <w:r>
        <w:rPr>
          <w:spacing w:val="-4"/>
        </w:rPr>
        <w:t>make</w:t>
      </w:r>
      <w:r>
        <w:rPr>
          <w:spacing w:val="11"/>
        </w:rPr>
        <w:t> </w:t>
      </w:r>
      <w:r>
        <w:rPr>
          <w:spacing w:val="-3"/>
        </w:rPr>
        <w:t>any</w:t>
      </w:r>
      <w:r>
        <w:rPr>
          <w:spacing w:val="11"/>
        </w:rPr>
        <w:t> </w:t>
      </w:r>
      <w:r>
        <w:rPr/>
        <w:t>other</w:t>
      </w:r>
      <w:r>
        <w:rPr>
          <w:spacing w:val="12"/>
        </w:rPr>
        <w:t> </w:t>
      </w:r>
      <w:r>
        <w:rPr>
          <w:spacing w:val="-6"/>
        </w:rPr>
        <w:t>order.</w:t>
      </w:r>
      <w:r>
        <w:rPr>
          <w:spacing w:val="-6"/>
          <w:position w:val="7"/>
          <w:sz w:val="12"/>
        </w:rPr>
        <w:t>165</w:t>
      </w:r>
    </w:p>
    <w:p>
      <w:pPr>
        <w:pStyle w:val="BodyText"/>
        <w:spacing w:before="9"/>
      </w:pPr>
    </w:p>
    <w:p>
      <w:pPr>
        <w:pStyle w:val="Heading4"/>
      </w:pPr>
      <w:r>
        <w:rPr>
          <w:color w:val="658464"/>
          <w:w w:val="115"/>
        </w:rPr>
        <w:t>Other jurisdictions—enforcement of orders</w:t>
      </w:r>
    </w:p>
    <w:p>
      <w:pPr>
        <w:pStyle w:val="Heading5"/>
        <w:spacing w:before="280"/>
      </w:pPr>
      <w:r>
        <w:rPr>
          <w:w w:val="115"/>
        </w:rPr>
        <w:t>New South Wales</w:t>
      </w:r>
    </w:p>
    <w:p>
      <w:pPr>
        <w:pStyle w:val="ListParagraph"/>
        <w:numPr>
          <w:ilvl w:val="1"/>
          <w:numId w:val="16"/>
        </w:numPr>
        <w:tabs>
          <w:tab w:pos="2381" w:val="left" w:leader="none"/>
        </w:tabs>
        <w:spacing w:line="242" w:lineRule="auto" w:before="137" w:after="0"/>
        <w:ind w:left="2381" w:right="1861" w:hanging="794"/>
        <w:jc w:val="both"/>
        <w:rPr>
          <w:sz w:val="21"/>
        </w:rPr>
      </w:pPr>
      <w:r>
        <w:rPr>
          <w:sz w:val="21"/>
        </w:rPr>
        <w:t>The NSW Act states </w:t>
      </w:r>
      <w:r>
        <w:rPr>
          <w:spacing w:val="-3"/>
          <w:sz w:val="21"/>
        </w:rPr>
        <w:t>that </w:t>
      </w:r>
      <w:r>
        <w:rPr>
          <w:spacing w:val="-4"/>
          <w:sz w:val="21"/>
        </w:rPr>
        <w:t>failure  </w:t>
      </w:r>
      <w:r>
        <w:rPr>
          <w:spacing w:val="-3"/>
          <w:sz w:val="21"/>
        </w:rPr>
        <w:t>to  </w:t>
      </w:r>
      <w:r>
        <w:rPr>
          <w:sz w:val="21"/>
        </w:rPr>
        <w:t>comply with an order is an </w:t>
      </w:r>
      <w:r>
        <w:rPr>
          <w:spacing w:val="-3"/>
          <w:sz w:val="21"/>
        </w:rPr>
        <w:t>offence</w:t>
      </w:r>
      <w:r>
        <w:rPr>
          <w:spacing w:val="41"/>
          <w:sz w:val="21"/>
        </w:rPr>
        <w:t> </w:t>
      </w:r>
      <w:r>
        <w:rPr>
          <w:sz w:val="21"/>
        </w:rPr>
        <w:t>with a maximum  of 1000 penalty </w:t>
      </w:r>
      <w:r>
        <w:rPr>
          <w:spacing w:val="-4"/>
          <w:sz w:val="21"/>
        </w:rPr>
        <w:t>units.</w:t>
      </w:r>
      <w:r>
        <w:rPr>
          <w:spacing w:val="-4"/>
          <w:position w:val="7"/>
          <w:sz w:val="12"/>
        </w:rPr>
        <w:t>166 </w:t>
      </w:r>
      <w:r>
        <w:rPr>
          <w:sz w:val="21"/>
        </w:rPr>
        <w:t>This </w:t>
      </w:r>
      <w:r>
        <w:rPr>
          <w:spacing w:val="-3"/>
          <w:sz w:val="21"/>
        </w:rPr>
        <w:t>equates to </w:t>
      </w:r>
      <w:r>
        <w:rPr>
          <w:sz w:val="21"/>
        </w:rPr>
        <w:t>a maximum of </w:t>
      </w:r>
      <w:r>
        <w:rPr>
          <w:spacing w:val="-7"/>
          <w:sz w:val="21"/>
        </w:rPr>
        <w:t>$110,000.</w:t>
      </w:r>
      <w:r>
        <w:rPr>
          <w:spacing w:val="-7"/>
          <w:position w:val="7"/>
          <w:sz w:val="12"/>
        </w:rPr>
        <w:t>167 </w:t>
      </w:r>
      <w:r>
        <w:rPr>
          <w:sz w:val="21"/>
        </w:rPr>
        <w:t>Prosecution of this </w:t>
      </w:r>
      <w:r>
        <w:rPr>
          <w:spacing w:val="-3"/>
          <w:sz w:val="21"/>
        </w:rPr>
        <w:t>offence takes place </w:t>
      </w:r>
      <w:r>
        <w:rPr>
          <w:sz w:val="21"/>
        </w:rPr>
        <w:t>in the summary jurisdiction of the</w:t>
      </w:r>
      <w:r>
        <w:rPr>
          <w:spacing w:val="-15"/>
          <w:sz w:val="21"/>
        </w:rPr>
        <w:t> </w:t>
      </w:r>
      <w:r>
        <w:rPr>
          <w:spacing w:val="-4"/>
          <w:sz w:val="21"/>
        </w:rPr>
        <w:t>NSWLEC.</w:t>
      </w:r>
      <w:r>
        <w:rPr>
          <w:spacing w:val="-4"/>
          <w:position w:val="7"/>
          <w:sz w:val="12"/>
        </w:rPr>
        <w:t>168</w:t>
      </w:r>
    </w:p>
    <w:p>
      <w:pPr>
        <w:pStyle w:val="ListParagraph"/>
        <w:numPr>
          <w:ilvl w:val="1"/>
          <w:numId w:val="16"/>
        </w:numPr>
        <w:tabs>
          <w:tab w:pos="2380" w:val="left" w:leader="none"/>
          <w:tab w:pos="2381" w:val="left" w:leader="none"/>
        </w:tabs>
        <w:spacing w:line="240" w:lineRule="auto" w:before="124" w:after="0"/>
        <w:ind w:left="2380" w:right="0" w:hanging="793"/>
        <w:jc w:val="left"/>
        <w:rPr>
          <w:sz w:val="21"/>
        </w:rPr>
      </w:pPr>
      <w:r>
        <w:rPr>
          <w:w w:val="105"/>
          <w:sz w:val="21"/>
        </w:rPr>
        <w:t>The NSW Act also provides an </w:t>
      </w:r>
      <w:r>
        <w:rPr>
          <w:spacing w:val="-3"/>
          <w:w w:val="105"/>
          <w:sz w:val="21"/>
        </w:rPr>
        <w:t>enforcement mechanism through </w:t>
      </w:r>
      <w:r>
        <w:rPr>
          <w:w w:val="105"/>
          <w:sz w:val="21"/>
        </w:rPr>
        <w:t>local</w:t>
      </w:r>
      <w:r>
        <w:rPr>
          <w:spacing w:val="48"/>
          <w:w w:val="105"/>
          <w:sz w:val="21"/>
        </w:rPr>
        <w:t> </w:t>
      </w:r>
      <w:r>
        <w:rPr>
          <w:spacing w:val="-3"/>
          <w:w w:val="105"/>
          <w:sz w:val="21"/>
        </w:rPr>
        <w:t>government.</w:t>
      </w:r>
    </w:p>
    <w:p>
      <w:pPr>
        <w:pStyle w:val="BodyText"/>
        <w:spacing w:line="242" w:lineRule="auto" w:before="3"/>
        <w:ind w:left="2380" w:right="1692"/>
        <w:rPr>
          <w:sz w:val="12"/>
        </w:rPr>
      </w:pPr>
      <w:r>
        <w:rPr>
          <w:w w:val="105"/>
        </w:rPr>
        <w:t>On the request of the affected </w:t>
      </w:r>
      <w:r>
        <w:rPr>
          <w:spacing w:val="-4"/>
          <w:w w:val="105"/>
        </w:rPr>
        <w:t>neighbour, </w:t>
      </w:r>
      <w:r>
        <w:rPr>
          <w:w w:val="105"/>
        </w:rPr>
        <w:t>the local </w:t>
      </w:r>
      <w:r>
        <w:rPr>
          <w:spacing w:val="-3"/>
          <w:w w:val="105"/>
        </w:rPr>
        <w:t>council may </w:t>
      </w:r>
      <w:r>
        <w:rPr>
          <w:w w:val="105"/>
        </w:rPr>
        <w:t>also </w:t>
      </w:r>
      <w:r>
        <w:rPr>
          <w:spacing w:val="-3"/>
          <w:w w:val="105"/>
        </w:rPr>
        <w:t>arrange for </w:t>
      </w:r>
      <w:r>
        <w:rPr>
          <w:w w:val="105"/>
        </w:rPr>
        <w:t>an authorised</w:t>
      </w:r>
      <w:r>
        <w:rPr>
          <w:spacing w:val="-11"/>
          <w:w w:val="105"/>
        </w:rPr>
        <w:t> </w:t>
      </w:r>
      <w:r>
        <w:rPr>
          <w:w w:val="105"/>
        </w:rPr>
        <w:t>person</w:t>
      </w:r>
      <w:r>
        <w:rPr>
          <w:spacing w:val="-10"/>
          <w:w w:val="105"/>
        </w:rPr>
        <w:t> </w:t>
      </w:r>
      <w:r>
        <w:rPr>
          <w:spacing w:val="-3"/>
          <w:w w:val="105"/>
        </w:rPr>
        <w:t>to</w:t>
      </w:r>
      <w:r>
        <w:rPr>
          <w:spacing w:val="-10"/>
          <w:w w:val="105"/>
        </w:rPr>
        <w:t> </w:t>
      </w:r>
      <w:r>
        <w:rPr>
          <w:spacing w:val="-3"/>
          <w:w w:val="105"/>
        </w:rPr>
        <w:t>enter</w:t>
      </w:r>
      <w:r>
        <w:rPr>
          <w:spacing w:val="-11"/>
          <w:w w:val="105"/>
        </w:rPr>
        <w:t> </w:t>
      </w:r>
      <w:r>
        <w:rPr>
          <w:w w:val="105"/>
        </w:rPr>
        <w:t>the</w:t>
      </w:r>
      <w:r>
        <w:rPr>
          <w:spacing w:val="-10"/>
          <w:w w:val="105"/>
        </w:rPr>
        <w:t> </w:t>
      </w:r>
      <w:r>
        <w:rPr>
          <w:w w:val="105"/>
        </w:rPr>
        <w:t>tree</w:t>
      </w:r>
      <w:r>
        <w:rPr>
          <w:spacing w:val="-10"/>
          <w:w w:val="105"/>
        </w:rPr>
        <w:t> </w:t>
      </w:r>
      <w:r>
        <w:rPr>
          <w:spacing w:val="-3"/>
          <w:w w:val="105"/>
        </w:rPr>
        <w:t>owner’s</w:t>
      </w:r>
      <w:r>
        <w:rPr>
          <w:spacing w:val="-10"/>
          <w:w w:val="105"/>
        </w:rPr>
        <w:t> </w:t>
      </w:r>
      <w:r>
        <w:rPr>
          <w:spacing w:val="-3"/>
          <w:w w:val="105"/>
        </w:rPr>
        <w:t>land</w:t>
      </w:r>
      <w:r>
        <w:rPr>
          <w:spacing w:val="-11"/>
          <w:w w:val="105"/>
        </w:rPr>
        <w:t> </w:t>
      </w:r>
      <w:r>
        <w:rPr>
          <w:spacing w:val="-3"/>
          <w:w w:val="105"/>
        </w:rPr>
        <w:t>to</w:t>
      </w:r>
      <w:r>
        <w:rPr>
          <w:spacing w:val="-10"/>
          <w:w w:val="105"/>
        </w:rPr>
        <w:t> </w:t>
      </w:r>
      <w:r>
        <w:rPr>
          <w:w w:val="105"/>
        </w:rPr>
        <w:t>ascertain</w:t>
      </w:r>
      <w:r>
        <w:rPr>
          <w:spacing w:val="-10"/>
          <w:w w:val="105"/>
        </w:rPr>
        <w:t> </w:t>
      </w:r>
      <w:r>
        <w:rPr>
          <w:w w:val="105"/>
        </w:rPr>
        <w:t>whether</w:t>
      </w:r>
      <w:r>
        <w:rPr>
          <w:spacing w:val="-10"/>
          <w:w w:val="105"/>
        </w:rPr>
        <w:t> </w:t>
      </w:r>
      <w:r>
        <w:rPr>
          <w:spacing w:val="-3"/>
          <w:w w:val="105"/>
        </w:rPr>
        <w:t>any</w:t>
      </w:r>
      <w:r>
        <w:rPr>
          <w:spacing w:val="-11"/>
          <w:w w:val="105"/>
        </w:rPr>
        <w:t> </w:t>
      </w:r>
      <w:r>
        <w:rPr>
          <w:w w:val="105"/>
        </w:rPr>
        <w:t>orders</w:t>
      </w:r>
      <w:r>
        <w:rPr>
          <w:spacing w:val="-10"/>
          <w:w w:val="105"/>
        </w:rPr>
        <w:t> </w:t>
      </w:r>
      <w:r>
        <w:rPr>
          <w:spacing w:val="-3"/>
          <w:w w:val="105"/>
        </w:rPr>
        <w:t>relating to </w:t>
      </w:r>
      <w:r>
        <w:rPr>
          <w:w w:val="105"/>
        </w:rPr>
        <w:t>tree works </w:t>
      </w:r>
      <w:r>
        <w:rPr>
          <w:spacing w:val="-3"/>
          <w:w w:val="105"/>
        </w:rPr>
        <w:t>have </w:t>
      </w:r>
      <w:r>
        <w:rPr>
          <w:w w:val="105"/>
        </w:rPr>
        <w:t>been carried out and if not, </w:t>
      </w:r>
      <w:r>
        <w:rPr>
          <w:spacing w:val="-3"/>
          <w:w w:val="105"/>
        </w:rPr>
        <w:t>arrange for </w:t>
      </w:r>
      <w:r>
        <w:rPr>
          <w:w w:val="105"/>
        </w:rPr>
        <w:t>the works </w:t>
      </w:r>
      <w:r>
        <w:rPr>
          <w:spacing w:val="-3"/>
          <w:w w:val="105"/>
        </w:rPr>
        <w:t>to </w:t>
      </w:r>
      <w:r>
        <w:rPr>
          <w:w w:val="105"/>
        </w:rPr>
        <w:t>be carried </w:t>
      </w:r>
      <w:r>
        <w:rPr>
          <w:spacing w:val="-5"/>
          <w:w w:val="105"/>
        </w:rPr>
        <w:t>out.</w:t>
      </w:r>
      <w:r>
        <w:rPr>
          <w:spacing w:val="-5"/>
          <w:w w:val="105"/>
          <w:position w:val="7"/>
          <w:sz w:val="12"/>
        </w:rPr>
        <w:t>169   </w:t>
      </w:r>
      <w:r>
        <w:rPr>
          <w:w w:val="105"/>
        </w:rPr>
        <w:t>The local </w:t>
      </w:r>
      <w:r>
        <w:rPr>
          <w:spacing w:val="-3"/>
          <w:w w:val="105"/>
        </w:rPr>
        <w:t>council </w:t>
      </w:r>
      <w:r>
        <w:rPr>
          <w:w w:val="105"/>
        </w:rPr>
        <w:t>can </w:t>
      </w:r>
      <w:r>
        <w:rPr>
          <w:spacing w:val="-3"/>
          <w:w w:val="105"/>
        </w:rPr>
        <w:t>bring </w:t>
      </w:r>
      <w:r>
        <w:rPr>
          <w:w w:val="105"/>
        </w:rPr>
        <w:t>legal action </w:t>
      </w:r>
      <w:r>
        <w:rPr>
          <w:spacing w:val="-3"/>
          <w:w w:val="105"/>
        </w:rPr>
        <w:t>to recoup any </w:t>
      </w:r>
      <w:r>
        <w:rPr>
          <w:w w:val="105"/>
        </w:rPr>
        <w:t>costs </w:t>
      </w:r>
      <w:r>
        <w:rPr>
          <w:spacing w:val="-3"/>
          <w:w w:val="105"/>
        </w:rPr>
        <w:t>incurred </w:t>
      </w:r>
      <w:r>
        <w:rPr>
          <w:w w:val="105"/>
        </w:rPr>
        <w:t>in carrying out the </w:t>
      </w:r>
      <w:r>
        <w:rPr>
          <w:spacing w:val="-4"/>
          <w:w w:val="105"/>
        </w:rPr>
        <w:t>order. </w:t>
      </w:r>
      <w:r>
        <w:rPr>
          <w:w w:val="105"/>
        </w:rPr>
        <w:t>A </w:t>
      </w:r>
      <w:r>
        <w:rPr>
          <w:spacing w:val="-2"/>
          <w:w w:val="105"/>
        </w:rPr>
        <w:t>judgement </w:t>
      </w:r>
      <w:r>
        <w:rPr>
          <w:w w:val="105"/>
        </w:rPr>
        <w:t>debt can be </w:t>
      </w:r>
      <w:r>
        <w:rPr>
          <w:spacing w:val="-3"/>
          <w:w w:val="105"/>
        </w:rPr>
        <w:t>registered </w:t>
      </w:r>
      <w:r>
        <w:rPr>
          <w:w w:val="105"/>
        </w:rPr>
        <w:t>as a </w:t>
      </w:r>
      <w:r>
        <w:rPr>
          <w:spacing w:val="-3"/>
          <w:w w:val="105"/>
        </w:rPr>
        <w:t>charge </w:t>
      </w:r>
      <w:r>
        <w:rPr>
          <w:w w:val="105"/>
        </w:rPr>
        <w:t>on the tree </w:t>
      </w:r>
      <w:r>
        <w:rPr>
          <w:spacing w:val="-3"/>
          <w:w w:val="105"/>
        </w:rPr>
        <w:t>owner’s </w:t>
      </w:r>
      <w:r>
        <w:rPr>
          <w:spacing w:val="-6"/>
          <w:w w:val="105"/>
        </w:rPr>
        <w:t>land.</w:t>
      </w:r>
      <w:r>
        <w:rPr>
          <w:spacing w:val="-6"/>
          <w:w w:val="105"/>
          <w:position w:val="7"/>
          <w:sz w:val="12"/>
        </w:rPr>
        <w:t>170 </w:t>
      </w:r>
      <w:r>
        <w:rPr>
          <w:spacing w:val="-3"/>
          <w:w w:val="105"/>
        </w:rPr>
        <w:t>During </w:t>
      </w:r>
      <w:r>
        <w:rPr>
          <w:w w:val="105"/>
        </w:rPr>
        <w:t>the statutory review of the NSW Act it was </w:t>
      </w:r>
      <w:r>
        <w:rPr>
          <w:spacing w:val="-3"/>
          <w:w w:val="105"/>
        </w:rPr>
        <w:t>found that </w:t>
      </w:r>
      <w:r>
        <w:rPr>
          <w:w w:val="105"/>
        </w:rPr>
        <w:t>local </w:t>
      </w:r>
      <w:r>
        <w:rPr>
          <w:spacing w:val="-3"/>
          <w:w w:val="105"/>
        </w:rPr>
        <w:t>councils usually </w:t>
      </w:r>
      <w:r>
        <w:rPr>
          <w:w w:val="105"/>
        </w:rPr>
        <w:t>do </w:t>
      </w:r>
      <w:r>
        <w:rPr>
          <w:spacing w:val="-2"/>
          <w:w w:val="105"/>
        </w:rPr>
        <w:t>not </w:t>
      </w:r>
      <w:r>
        <w:rPr>
          <w:w w:val="105"/>
        </w:rPr>
        <w:t>agree </w:t>
      </w:r>
      <w:r>
        <w:rPr>
          <w:spacing w:val="-3"/>
          <w:w w:val="105"/>
        </w:rPr>
        <w:t>to enforce </w:t>
      </w:r>
      <w:r>
        <w:rPr>
          <w:w w:val="105"/>
        </w:rPr>
        <w:t>orders on the request of</w:t>
      </w:r>
      <w:r>
        <w:rPr>
          <w:spacing w:val="45"/>
          <w:w w:val="105"/>
        </w:rPr>
        <w:t> </w:t>
      </w:r>
      <w:r>
        <w:rPr>
          <w:spacing w:val="-4"/>
          <w:w w:val="105"/>
        </w:rPr>
        <w:t>neighbours.</w:t>
      </w:r>
      <w:r>
        <w:rPr>
          <w:spacing w:val="-4"/>
          <w:w w:val="105"/>
          <w:position w:val="7"/>
          <w:sz w:val="12"/>
        </w:rPr>
        <w:t>171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9008;mso-wrap-distance-left:0;mso-wrap-distance-right:0" from="79.370102pt,10.180334pt" to="515.905102pt,10.18033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22"/>
        </w:rPr>
      </w:pPr>
    </w:p>
    <w:p>
      <w:pPr>
        <w:spacing w:before="0"/>
        <w:ind w:left="720" w:right="0" w:firstLine="0"/>
        <w:jc w:val="left"/>
        <w:rPr>
          <w:b/>
          <w:sz w:val="24"/>
        </w:rPr>
      </w:pPr>
      <w:r>
        <w:rPr>
          <w:b/>
          <w:color w:val="658464"/>
          <w:spacing w:val="-5"/>
          <w:w w:val="110"/>
          <w:sz w:val="24"/>
        </w:rPr>
        <w:t>210</w:t>
      </w:r>
    </w:p>
    <w:p>
      <w:pPr>
        <w:pStyle w:val="ListParagraph"/>
        <w:numPr>
          <w:ilvl w:val="0"/>
          <w:numId w:val="153"/>
        </w:numPr>
        <w:tabs>
          <w:tab w:pos="1233" w:val="left" w:leader="none"/>
          <w:tab w:pos="1234" w:val="left" w:leader="none"/>
        </w:tabs>
        <w:spacing w:line="240" w:lineRule="auto" w:before="48" w:after="0"/>
        <w:ind w:left="1233" w:right="0" w:hanging="793"/>
        <w:jc w:val="left"/>
        <w:rPr>
          <w:sz w:val="13"/>
        </w:rPr>
      </w:pPr>
      <w:r>
        <w:rPr>
          <w:i/>
          <w:spacing w:val="1"/>
          <w:w w:val="104"/>
          <w:sz w:val="13"/>
        </w:rPr>
        <w:br w:type="column"/>
      </w:r>
      <w:r>
        <w:rPr>
          <w:i/>
          <w:w w:val="105"/>
          <w:sz w:val="13"/>
        </w:rPr>
        <w:t>Justice</w:t>
      </w:r>
      <w:r>
        <w:rPr>
          <w:i/>
          <w:spacing w:val="4"/>
          <w:w w:val="105"/>
          <w:sz w:val="13"/>
        </w:rPr>
        <w:t> </w:t>
      </w:r>
      <w:r>
        <w:rPr>
          <w:i/>
          <w:w w:val="105"/>
          <w:sz w:val="13"/>
        </w:rPr>
        <w:t>Legislation</w:t>
      </w:r>
      <w:r>
        <w:rPr>
          <w:i/>
          <w:spacing w:val="5"/>
          <w:w w:val="105"/>
          <w:sz w:val="13"/>
        </w:rPr>
        <w:t> </w:t>
      </w:r>
      <w:r>
        <w:rPr>
          <w:i/>
          <w:w w:val="105"/>
          <w:sz w:val="13"/>
        </w:rPr>
        <w:t>Amendment</w:t>
      </w:r>
      <w:r>
        <w:rPr>
          <w:i/>
          <w:spacing w:val="5"/>
          <w:w w:val="105"/>
          <w:sz w:val="13"/>
        </w:rPr>
        <w:t> </w:t>
      </w:r>
      <w:r>
        <w:rPr>
          <w:i/>
          <w:w w:val="105"/>
          <w:sz w:val="13"/>
        </w:rPr>
        <w:t>(Access</w:t>
      </w:r>
      <w:r>
        <w:rPr>
          <w:i/>
          <w:spacing w:val="5"/>
          <w:w w:val="105"/>
          <w:sz w:val="13"/>
        </w:rPr>
        <w:t> </w:t>
      </w:r>
      <w:r>
        <w:rPr>
          <w:i/>
          <w:w w:val="105"/>
          <w:sz w:val="13"/>
        </w:rPr>
        <w:t>to</w:t>
      </w:r>
      <w:r>
        <w:rPr>
          <w:i/>
          <w:spacing w:val="4"/>
          <w:w w:val="105"/>
          <w:sz w:val="13"/>
        </w:rPr>
        <w:t> </w:t>
      </w:r>
      <w:r>
        <w:rPr>
          <w:i/>
          <w:w w:val="105"/>
          <w:sz w:val="13"/>
        </w:rPr>
        <w:t>Justice)</w:t>
      </w:r>
      <w:r>
        <w:rPr>
          <w:i/>
          <w:spacing w:val="5"/>
          <w:w w:val="105"/>
          <w:sz w:val="13"/>
        </w:rPr>
        <w:t> </w:t>
      </w:r>
      <w:r>
        <w:rPr>
          <w:i/>
          <w:w w:val="105"/>
          <w:sz w:val="13"/>
        </w:rPr>
        <w:t>Act</w:t>
      </w:r>
      <w:r>
        <w:rPr>
          <w:i/>
          <w:spacing w:val="5"/>
          <w:w w:val="105"/>
          <w:sz w:val="13"/>
        </w:rPr>
        <w:t> </w:t>
      </w:r>
      <w:r>
        <w:rPr>
          <w:i/>
          <w:spacing w:val="-3"/>
          <w:w w:val="105"/>
          <w:sz w:val="13"/>
        </w:rPr>
        <w:t>2018</w:t>
      </w:r>
      <w:r>
        <w:rPr>
          <w:i/>
          <w:spacing w:val="5"/>
          <w:w w:val="105"/>
          <w:sz w:val="13"/>
        </w:rPr>
        <w:t> </w:t>
      </w:r>
      <w:r>
        <w:rPr>
          <w:spacing w:val="2"/>
          <w:w w:val="105"/>
          <w:sz w:val="13"/>
        </w:rPr>
        <w:t>(Vic)</w:t>
      </w:r>
      <w:r>
        <w:rPr>
          <w:spacing w:val="5"/>
          <w:w w:val="105"/>
          <w:sz w:val="13"/>
        </w:rPr>
        <w:t> </w:t>
      </w:r>
      <w:r>
        <w:rPr>
          <w:w w:val="105"/>
          <w:sz w:val="13"/>
        </w:rPr>
        <w:t>s</w:t>
      </w:r>
      <w:r>
        <w:rPr>
          <w:spacing w:val="4"/>
          <w:w w:val="105"/>
          <w:sz w:val="13"/>
        </w:rPr>
        <w:t> </w:t>
      </w:r>
      <w:r>
        <w:rPr>
          <w:spacing w:val="2"/>
          <w:w w:val="105"/>
          <w:sz w:val="13"/>
        </w:rPr>
        <w:t>70(1)(ea).</w:t>
      </w:r>
    </w:p>
    <w:p>
      <w:pPr>
        <w:pStyle w:val="ListParagraph"/>
        <w:numPr>
          <w:ilvl w:val="0"/>
          <w:numId w:val="153"/>
        </w:numPr>
        <w:tabs>
          <w:tab w:pos="1233" w:val="left" w:leader="none"/>
          <w:tab w:pos="1234" w:val="left" w:leader="none"/>
        </w:tabs>
        <w:spacing w:line="240" w:lineRule="auto" w:before="1" w:after="0"/>
        <w:ind w:left="1233" w:right="0" w:hanging="793"/>
        <w:jc w:val="left"/>
        <w:rPr>
          <w:sz w:val="13"/>
        </w:rPr>
      </w:pPr>
      <w:r>
        <w:rPr>
          <w:i/>
          <w:sz w:val="13"/>
        </w:rPr>
        <w:t>Victorian</w:t>
      </w:r>
      <w:r>
        <w:rPr>
          <w:i/>
          <w:spacing w:val="7"/>
          <w:sz w:val="13"/>
        </w:rPr>
        <w:t> </w:t>
      </w:r>
      <w:r>
        <w:rPr>
          <w:i/>
          <w:sz w:val="13"/>
        </w:rPr>
        <w:t>Civil</w:t>
      </w:r>
      <w:r>
        <w:rPr>
          <w:i/>
          <w:spacing w:val="7"/>
          <w:sz w:val="13"/>
        </w:rPr>
        <w:t> </w:t>
      </w:r>
      <w:r>
        <w:rPr>
          <w:i/>
          <w:sz w:val="13"/>
        </w:rPr>
        <w:t>and</w:t>
      </w:r>
      <w:r>
        <w:rPr>
          <w:i/>
          <w:spacing w:val="7"/>
          <w:sz w:val="13"/>
        </w:rPr>
        <w:t> </w:t>
      </w:r>
      <w:r>
        <w:rPr>
          <w:i/>
          <w:sz w:val="13"/>
        </w:rPr>
        <w:t>Administrative</w:t>
      </w:r>
      <w:r>
        <w:rPr>
          <w:i/>
          <w:spacing w:val="7"/>
          <w:sz w:val="13"/>
        </w:rPr>
        <w:t> </w:t>
      </w:r>
      <w:r>
        <w:rPr>
          <w:i/>
          <w:sz w:val="13"/>
        </w:rPr>
        <w:t>Tribunal</w:t>
      </w:r>
      <w:r>
        <w:rPr>
          <w:i/>
          <w:spacing w:val="7"/>
          <w:sz w:val="13"/>
        </w:rPr>
        <w:t> </w:t>
      </w:r>
      <w:r>
        <w:rPr>
          <w:i/>
          <w:sz w:val="13"/>
        </w:rPr>
        <w:t>Act</w:t>
      </w:r>
      <w:r>
        <w:rPr>
          <w:i/>
          <w:spacing w:val="7"/>
          <w:sz w:val="13"/>
        </w:rPr>
        <w:t> </w:t>
      </w:r>
      <w:r>
        <w:rPr>
          <w:i/>
          <w:sz w:val="13"/>
        </w:rPr>
        <w:t>1998</w:t>
      </w:r>
      <w:r>
        <w:rPr>
          <w:i/>
          <w:spacing w:val="7"/>
          <w:sz w:val="13"/>
        </w:rPr>
        <w:t> </w:t>
      </w:r>
      <w:r>
        <w:rPr>
          <w:spacing w:val="2"/>
          <w:sz w:val="13"/>
        </w:rPr>
        <w:t>(Vic)</w:t>
      </w:r>
      <w:r>
        <w:rPr>
          <w:spacing w:val="7"/>
          <w:sz w:val="13"/>
        </w:rPr>
        <w:t> </w:t>
      </w:r>
      <w:r>
        <w:rPr>
          <w:sz w:val="13"/>
        </w:rPr>
        <w:t>s</w:t>
      </w:r>
      <w:r>
        <w:rPr>
          <w:spacing w:val="7"/>
          <w:sz w:val="13"/>
        </w:rPr>
        <w:t> </w:t>
      </w:r>
      <w:r>
        <w:rPr>
          <w:sz w:val="13"/>
        </w:rPr>
        <w:t>120(1).</w:t>
      </w:r>
    </w:p>
    <w:p>
      <w:pPr>
        <w:pStyle w:val="ListParagraph"/>
        <w:numPr>
          <w:ilvl w:val="0"/>
          <w:numId w:val="153"/>
        </w:numPr>
        <w:tabs>
          <w:tab w:pos="1233" w:val="left" w:leader="none"/>
          <w:tab w:pos="1234" w:val="left" w:leader="none"/>
        </w:tabs>
        <w:spacing w:line="240" w:lineRule="auto" w:before="2" w:after="0"/>
        <w:ind w:left="440" w:right="1590" w:firstLine="0"/>
        <w:jc w:val="left"/>
        <w:rPr>
          <w:sz w:val="13"/>
        </w:rPr>
      </w:pPr>
      <w:r>
        <w:rPr>
          <w:w w:val="105"/>
          <w:sz w:val="13"/>
        </w:rPr>
        <w:t>Department of Justice and Regulation </w:t>
      </w:r>
      <w:r>
        <w:rPr>
          <w:spacing w:val="2"/>
          <w:w w:val="105"/>
          <w:sz w:val="13"/>
        </w:rPr>
        <w:t>(Vic), </w:t>
      </w:r>
      <w:r>
        <w:rPr>
          <w:i/>
          <w:w w:val="105"/>
          <w:sz w:val="13"/>
        </w:rPr>
        <w:t>Access to Justice Review </w:t>
      </w:r>
      <w:r>
        <w:rPr>
          <w:i/>
          <w:spacing w:val="2"/>
          <w:w w:val="105"/>
          <w:sz w:val="13"/>
        </w:rPr>
        <w:t>Report </w:t>
      </w:r>
      <w:r>
        <w:rPr>
          <w:i/>
          <w:w w:val="105"/>
          <w:sz w:val="13"/>
        </w:rPr>
        <w:t>and Recommendations </w:t>
      </w:r>
      <w:r>
        <w:rPr>
          <w:w w:val="105"/>
          <w:sz w:val="13"/>
        </w:rPr>
        <w:t>(2016) vol </w:t>
      </w:r>
      <w:r>
        <w:rPr>
          <w:spacing w:val="-3"/>
          <w:w w:val="105"/>
          <w:sz w:val="13"/>
        </w:rPr>
        <w:t>1, </w:t>
      </w:r>
      <w:r>
        <w:rPr>
          <w:w w:val="105"/>
          <w:sz w:val="13"/>
        </w:rPr>
        <w:t>288, Recommendation </w:t>
      </w:r>
      <w:r>
        <w:rPr>
          <w:spacing w:val="3"/>
          <w:w w:val="105"/>
          <w:sz w:val="13"/>
        </w:rPr>
        <w:t>[5]. </w:t>
      </w:r>
      <w:r>
        <w:rPr>
          <w:w w:val="105"/>
          <w:sz w:val="13"/>
        </w:rPr>
        <w:t>164</w:t>
        <w:tab/>
      </w:r>
      <w:r>
        <w:rPr>
          <w:i/>
          <w:w w:val="105"/>
          <w:sz w:val="13"/>
        </w:rPr>
        <w:t>Justice</w:t>
      </w:r>
      <w:r>
        <w:rPr>
          <w:i/>
          <w:spacing w:val="4"/>
          <w:w w:val="105"/>
          <w:sz w:val="13"/>
        </w:rPr>
        <w:t> </w:t>
      </w:r>
      <w:r>
        <w:rPr>
          <w:i/>
          <w:w w:val="105"/>
          <w:sz w:val="13"/>
        </w:rPr>
        <w:t>Legislation</w:t>
      </w:r>
      <w:r>
        <w:rPr>
          <w:i/>
          <w:spacing w:val="5"/>
          <w:w w:val="105"/>
          <w:sz w:val="13"/>
        </w:rPr>
        <w:t> </w:t>
      </w:r>
      <w:r>
        <w:rPr>
          <w:i/>
          <w:w w:val="105"/>
          <w:sz w:val="13"/>
        </w:rPr>
        <w:t>Amendment</w:t>
      </w:r>
      <w:r>
        <w:rPr>
          <w:i/>
          <w:spacing w:val="5"/>
          <w:w w:val="105"/>
          <w:sz w:val="13"/>
        </w:rPr>
        <w:t> </w:t>
      </w:r>
      <w:r>
        <w:rPr>
          <w:i/>
          <w:w w:val="105"/>
          <w:sz w:val="13"/>
        </w:rPr>
        <w:t>(Access</w:t>
      </w:r>
      <w:r>
        <w:rPr>
          <w:i/>
          <w:spacing w:val="5"/>
          <w:w w:val="105"/>
          <w:sz w:val="13"/>
        </w:rPr>
        <w:t> </w:t>
      </w:r>
      <w:r>
        <w:rPr>
          <w:i/>
          <w:w w:val="105"/>
          <w:sz w:val="13"/>
        </w:rPr>
        <w:t>to</w:t>
      </w:r>
      <w:r>
        <w:rPr>
          <w:i/>
          <w:spacing w:val="5"/>
          <w:w w:val="105"/>
          <w:sz w:val="13"/>
        </w:rPr>
        <w:t> </w:t>
      </w:r>
      <w:r>
        <w:rPr>
          <w:i/>
          <w:w w:val="105"/>
          <w:sz w:val="13"/>
        </w:rPr>
        <w:t>Justice)</w:t>
      </w:r>
      <w:r>
        <w:rPr>
          <w:i/>
          <w:spacing w:val="5"/>
          <w:w w:val="105"/>
          <w:sz w:val="13"/>
        </w:rPr>
        <w:t> </w:t>
      </w:r>
      <w:r>
        <w:rPr>
          <w:i/>
          <w:w w:val="105"/>
          <w:sz w:val="13"/>
        </w:rPr>
        <w:t>Act</w:t>
      </w:r>
      <w:r>
        <w:rPr>
          <w:i/>
          <w:spacing w:val="5"/>
          <w:w w:val="105"/>
          <w:sz w:val="13"/>
        </w:rPr>
        <w:t> </w:t>
      </w:r>
      <w:r>
        <w:rPr>
          <w:i/>
          <w:spacing w:val="-3"/>
          <w:w w:val="105"/>
          <w:sz w:val="13"/>
        </w:rPr>
        <w:t>2018</w:t>
      </w:r>
      <w:r>
        <w:rPr>
          <w:i/>
          <w:spacing w:val="5"/>
          <w:w w:val="105"/>
          <w:sz w:val="13"/>
        </w:rPr>
        <w:t> </w:t>
      </w:r>
      <w:r>
        <w:rPr>
          <w:spacing w:val="2"/>
          <w:w w:val="105"/>
          <w:sz w:val="13"/>
        </w:rPr>
        <w:t>(Vic)</w:t>
      </w:r>
      <w:r>
        <w:rPr>
          <w:spacing w:val="5"/>
          <w:w w:val="105"/>
          <w:sz w:val="13"/>
        </w:rPr>
        <w:t> </w:t>
      </w:r>
      <w:r>
        <w:rPr>
          <w:w w:val="105"/>
          <w:sz w:val="13"/>
        </w:rPr>
        <w:t>s</w:t>
      </w:r>
      <w:r>
        <w:rPr>
          <w:spacing w:val="5"/>
          <w:w w:val="105"/>
          <w:sz w:val="13"/>
        </w:rPr>
        <w:t> </w:t>
      </w:r>
      <w:r>
        <w:rPr>
          <w:w w:val="105"/>
          <w:sz w:val="13"/>
        </w:rPr>
        <w:t>67(1).</w:t>
      </w:r>
    </w:p>
    <w:p>
      <w:pPr>
        <w:tabs>
          <w:tab w:pos="1233" w:val="left" w:leader="none"/>
        </w:tabs>
        <w:spacing w:before="2"/>
        <w:ind w:left="440" w:right="0" w:firstLine="0"/>
        <w:jc w:val="left"/>
        <w:rPr>
          <w:sz w:val="13"/>
        </w:rPr>
      </w:pPr>
      <w:r>
        <w:rPr>
          <w:w w:val="105"/>
          <w:sz w:val="13"/>
        </w:rPr>
        <w:t>165</w:t>
        <w:tab/>
        <w:t>Ibid s</w:t>
      </w:r>
      <w:r>
        <w:rPr>
          <w:spacing w:val="9"/>
          <w:w w:val="105"/>
          <w:sz w:val="13"/>
        </w:rPr>
        <w:t> </w:t>
      </w:r>
      <w:r>
        <w:rPr>
          <w:spacing w:val="2"/>
          <w:w w:val="105"/>
          <w:sz w:val="13"/>
        </w:rPr>
        <w:t>67(4).</w:t>
      </w:r>
    </w:p>
    <w:p>
      <w:pPr>
        <w:pStyle w:val="ListParagraph"/>
        <w:numPr>
          <w:ilvl w:val="0"/>
          <w:numId w:val="154"/>
        </w:numPr>
        <w:tabs>
          <w:tab w:pos="1233" w:val="left" w:leader="none"/>
          <w:tab w:pos="1234" w:val="left" w:leader="none"/>
        </w:tabs>
        <w:spacing w:line="240" w:lineRule="auto" w:before="2" w:after="0"/>
        <w:ind w:left="1233" w:right="0" w:hanging="793"/>
        <w:jc w:val="left"/>
        <w:rPr>
          <w:sz w:val="13"/>
        </w:rPr>
      </w:pPr>
      <w:r>
        <w:rPr>
          <w:i/>
          <w:w w:val="105"/>
          <w:sz w:val="13"/>
        </w:rPr>
        <w:t>Trees (Disputes Between Neighbours) Act 2006 </w:t>
      </w:r>
      <w:r>
        <w:rPr>
          <w:spacing w:val="3"/>
          <w:w w:val="105"/>
          <w:sz w:val="13"/>
        </w:rPr>
        <w:t>(NSW) </w:t>
      </w:r>
      <w:r>
        <w:rPr>
          <w:w w:val="105"/>
          <w:sz w:val="13"/>
        </w:rPr>
        <w:t>s</w:t>
      </w:r>
      <w:r>
        <w:rPr>
          <w:spacing w:val="4"/>
          <w:w w:val="105"/>
          <w:sz w:val="13"/>
        </w:rPr>
        <w:t> </w:t>
      </w:r>
      <w:r>
        <w:rPr>
          <w:w w:val="105"/>
          <w:sz w:val="13"/>
        </w:rPr>
        <w:t>15(1).</w:t>
      </w:r>
    </w:p>
    <w:p>
      <w:pPr>
        <w:pStyle w:val="ListParagraph"/>
        <w:numPr>
          <w:ilvl w:val="0"/>
          <w:numId w:val="154"/>
        </w:numPr>
        <w:tabs>
          <w:tab w:pos="1233" w:val="left" w:leader="none"/>
          <w:tab w:pos="1234" w:val="left" w:leader="none"/>
        </w:tabs>
        <w:spacing w:line="240" w:lineRule="auto" w:before="1" w:after="0"/>
        <w:ind w:left="1233" w:right="1615" w:hanging="793"/>
        <w:jc w:val="left"/>
        <w:rPr>
          <w:sz w:val="13"/>
        </w:rPr>
      </w:pPr>
      <w:r>
        <w:rPr>
          <w:w w:val="105"/>
          <w:sz w:val="13"/>
        </w:rPr>
        <w:t>Land and Environment Court of New South Wales, </w:t>
      </w:r>
      <w:r>
        <w:rPr>
          <w:i/>
          <w:w w:val="105"/>
          <w:sz w:val="13"/>
        </w:rPr>
        <w:t>Enforcement </w:t>
      </w:r>
      <w:r>
        <w:rPr>
          <w:w w:val="105"/>
          <w:sz w:val="13"/>
        </w:rPr>
        <w:t>(Web Page, 2 May 2015) </w:t>
      </w:r>
      <w:r>
        <w:rPr>
          <w:spacing w:val="2"/>
          <w:w w:val="105"/>
          <w:sz w:val="13"/>
        </w:rPr>
        <w:t>&lt;</w:t>
      </w:r>
      <w:hyperlink r:id="rId116">
        <w:r>
          <w:rPr>
            <w:spacing w:val="2"/>
            <w:w w:val="105"/>
            <w:sz w:val="13"/>
          </w:rPr>
          <w:t>http://www.lec.justice.nsw.gov.au/Pages/</w:t>
        </w:r>
      </w:hyperlink>
      <w:r>
        <w:rPr>
          <w:spacing w:val="2"/>
          <w:w w:val="105"/>
          <w:sz w:val="13"/>
        </w:rPr>
        <w:t> coming_to_the_court/end_of_a_case/enforcement.aspx&gt;; </w:t>
      </w:r>
      <w:r>
        <w:rPr>
          <w:w w:val="105"/>
          <w:sz w:val="13"/>
        </w:rPr>
        <w:t>see section </w:t>
      </w:r>
      <w:r>
        <w:rPr>
          <w:spacing w:val="-4"/>
          <w:w w:val="105"/>
          <w:sz w:val="13"/>
        </w:rPr>
        <w:t>17 </w:t>
      </w:r>
      <w:r>
        <w:rPr>
          <w:w w:val="105"/>
          <w:sz w:val="13"/>
        </w:rPr>
        <w:t>of the </w:t>
      </w:r>
      <w:r>
        <w:rPr>
          <w:i/>
          <w:w w:val="105"/>
          <w:sz w:val="13"/>
        </w:rPr>
        <w:t>Crimes (Sentencing Procedure) Act 1999 </w:t>
      </w:r>
      <w:r>
        <w:rPr>
          <w:spacing w:val="3"/>
          <w:w w:val="105"/>
          <w:sz w:val="13"/>
        </w:rPr>
        <w:t>(NSW) </w:t>
      </w:r>
      <w:r>
        <w:rPr>
          <w:w w:val="105"/>
          <w:sz w:val="13"/>
        </w:rPr>
        <w:t>which provides that ‘unless the contrary intention appears, a reference in any Act or statutory rule to a number of penalty units (whether     fractional or </w:t>
      </w:r>
      <w:r>
        <w:rPr>
          <w:spacing w:val="2"/>
          <w:w w:val="105"/>
          <w:sz w:val="13"/>
        </w:rPr>
        <w:t>whole) </w:t>
      </w:r>
      <w:r>
        <w:rPr>
          <w:w w:val="105"/>
          <w:sz w:val="13"/>
        </w:rPr>
        <w:t>is taken to be a reference to an amount of money equal to the amount obtained by multiplying </w:t>
      </w:r>
      <w:r>
        <w:rPr>
          <w:spacing w:val="-5"/>
          <w:w w:val="105"/>
          <w:sz w:val="13"/>
        </w:rPr>
        <w:t>$110 </w:t>
      </w:r>
      <w:r>
        <w:rPr>
          <w:w w:val="105"/>
          <w:sz w:val="13"/>
        </w:rPr>
        <w:t>by that number of penalty</w:t>
      </w:r>
      <w:r>
        <w:rPr>
          <w:spacing w:val="4"/>
          <w:w w:val="105"/>
          <w:sz w:val="13"/>
        </w:rPr>
        <w:t> </w:t>
      </w:r>
      <w:r>
        <w:rPr>
          <w:w w:val="105"/>
          <w:sz w:val="13"/>
        </w:rPr>
        <w:t>units’.</w:t>
      </w:r>
    </w:p>
    <w:p>
      <w:pPr>
        <w:pStyle w:val="ListParagraph"/>
        <w:numPr>
          <w:ilvl w:val="0"/>
          <w:numId w:val="154"/>
        </w:numPr>
        <w:tabs>
          <w:tab w:pos="1233" w:val="left" w:leader="none"/>
          <w:tab w:pos="1234" w:val="left" w:leader="none"/>
        </w:tabs>
        <w:spacing w:line="240" w:lineRule="auto" w:before="7" w:after="0"/>
        <w:ind w:left="1233" w:right="1814" w:hanging="793"/>
        <w:jc w:val="left"/>
        <w:rPr>
          <w:sz w:val="13"/>
        </w:rPr>
      </w:pPr>
      <w:r>
        <w:rPr>
          <w:i/>
          <w:w w:val="105"/>
          <w:sz w:val="13"/>
        </w:rPr>
        <w:t>Trees (Disputes Between Neighbours) Act 2006 </w:t>
      </w:r>
      <w:r>
        <w:rPr>
          <w:spacing w:val="3"/>
          <w:w w:val="105"/>
          <w:sz w:val="13"/>
        </w:rPr>
        <w:t>(NSW) </w:t>
      </w:r>
      <w:r>
        <w:rPr>
          <w:w w:val="105"/>
          <w:sz w:val="13"/>
        </w:rPr>
        <w:t>s 15(2); </w:t>
      </w:r>
      <w:r>
        <w:rPr>
          <w:i/>
          <w:w w:val="105"/>
          <w:sz w:val="13"/>
        </w:rPr>
        <w:t>Land and Environment Court Act </w:t>
      </w:r>
      <w:r>
        <w:rPr>
          <w:i/>
          <w:spacing w:val="-3"/>
          <w:w w:val="105"/>
          <w:sz w:val="13"/>
        </w:rPr>
        <w:t>1979 </w:t>
      </w:r>
      <w:r>
        <w:rPr>
          <w:spacing w:val="3"/>
          <w:w w:val="105"/>
          <w:sz w:val="13"/>
        </w:rPr>
        <w:t>(NSW) </w:t>
      </w:r>
      <w:r>
        <w:rPr>
          <w:w w:val="105"/>
          <w:sz w:val="13"/>
        </w:rPr>
        <w:t>s </w:t>
      </w:r>
      <w:r>
        <w:rPr>
          <w:spacing w:val="-3"/>
          <w:w w:val="105"/>
          <w:sz w:val="13"/>
        </w:rPr>
        <w:t>21. </w:t>
      </w:r>
      <w:r>
        <w:rPr>
          <w:w w:val="105"/>
          <w:sz w:val="13"/>
        </w:rPr>
        <w:t>See also Land and Environment Court of New South Wales, </w:t>
      </w:r>
      <w:r>
        <w:rPr>
          <w:i/>
          <w:w w:val="105"/>
          <w:sz w:val="13"/>
        </w:rPr>
        <w:t>Practice Note Class 5: Proceedings, </w:t>
      </w:r>
      <w:r>
        <w:rPr>
          <w:w w:val="105"/>
          <w:sz w:val="13"/>
        </w:rPr>
        <w:t>29 March 2018 </w:t>
      </w:r>
      <w:r>
        <w:rPr>
          <w:spacing w:val="2"/>
          <w:w w:val="105"/>
          <w:sz w:val="13"/>
        </w:rPr>
        <w:t>&lt;</w:t>
      </w:r>
      <w:hyperlink r:id="rId116">
        <w:r>
          <w:rPr>
            <w:spacing w:val="2"/>
            <w:w w:val="105"/>
            <w:sz w:val="13"/>
          </w:rPr>
          <w:t>http://www.lec.justice.nsw.gov.au/Pages/</w:t>
        </w:r>
      </w:hyperlink>
      <w:r>
        <w:rPr>
          <w:spacing w:val="2"/>
          <w:w w:val="105"/>
          <w:sz w:val="13"/>
        </w:rPr>
        <w:t> </w:t>
      </w:r>
      <w:r>
        <w:rPr>
          <w:w w:val="105"/>
          <w:sz w:val="13"/>
        </w:rPr>
        <w:t>practice_procedure/practice_notes.aspx&gt;. Enforcement of a </w:t>
      </w:r>
      <w:r>
        <w:rPr>
          <w:spacing w:val="2"/>
          <w:w w:val="105"/>
          <w:sz w:val="13"/>
        </w:rPr>
        <w:t>non-monetary </w:t>
      </w:r>
      <w:r>
        <w:rPr>
          <w:w w:val="105"/>
          <w:sz w:val="13"/>
        </w:rPr>
        <w:t>order may also be pursued based on the </w:t>
      </w:r>
      <w:r>
        <w:rPr>
          <w:i/>
          <w:w w:val="105"/>
          <w:sz w:val="13"/>
        </w:rPr>
        <w:t>Uniform Civil </w:t>
      </w:r>
      <w:r>
        <w:rPr>
          <w:i/>
          <w:w w:val="105"/>
          <w:sz w:val="13"/>
        </w:rPr>
        <w:t>Procedure</w:t>
      </w:r>
      <w:r>
        <w:rPr>
          <w:i/>
          <w:spacing w:val="5"/>
          <w:w w:val="105"/>
          <w:sz w:val="13"/>
        </w:rPr>
        <w:t> </w:t>
      </w:r>
      <w:r>
        <w:rPr>
          <w:i/>
          <w:w w:val="105"/>
          <w:sz w:val="13"/>
        </w:rPr>
        <w:t>Rules</w:t>
      </w:r>
      <w:r>
        <w:rPr>
          <w:i/>
          <w:spacing w:val="5"/>
          <w:w w:val="105"/>
          <w:sz w:val="13"/>
        </w:rPr>
        <w:t> </w:t>
      </w:r>
      <w:r>
        <w:rPr>
          <w:i/>
          <w:w w:val="105"/>
          <w:sz w:val="13"/>
        </w:rPr>
        <w:t>2005</w:t>
      </w:r>
      <w:r>
        <w:rPr>
          <w:i/>
          <w:spacing w:val="5"/>
          <w:w w:val="105"/>
          <w:sz w:val="13"/>
        </w:rPr>
        <w:t> </w:t>
      </w:r>
      <w:r>
        <w:rPr>
          <w:spacing w:val="3"/>
          <w:w w:val="105"/>
          <w:sz w:val="13"/>
        </w:rPr>
        <w:t>(NSW)</w:t>
      </w:r>
      <w:r>
        <w:rPr>
          <w:spacing w:val="5"/>
          <w:w w:val="105"/>
          <w:sz w:val="13"/>
        </w:rPr>
        <w:t> </w:t>
      </w:r>
      <w:r>
        <w:rPr>
          <w:w w:val="105"/>
          <w:sz w:val="13"/>
        </w:rPr>
        <w:t>pt</w:t>
      </w:r>
      <w:r>
        <w:rPr>
          <w:spacing w:val="5"/>
          <w:w w:val="105"/>
          <w:sz w:val="13"/>
        </w:rPr>
        <w:t> </w:t>
      </w:r>
      <w:r>
        <w:rPr>
          <w:w w:val="105"/>
          <w:sz w:val="13"/>
        </w:rPr>
        <w:t>40</w:t>
      </w:r>
      <w:r>
        <w:rPr>
          <w:spacing w:val="5"/>
          <w:w w:val="105"/>
          <w:sz w:val="13"/>
        </w:rPr>
        <w:t> </w:t>
      </w:r>
      <w:r>
        <w:rPr>
          <w:w w:val="105"/>
          <w:sz w:val="13"/>
        </w:rPr>
        <w:t>div</w:t>
      </w:r>
      <w:r>
        <w:rPr>
          <w:spacing w:val="5"/>
          <w:w w:val="105"/>
          <w:sz w:val="13"/>
        </w:rPr>
        <w:t> </w:t>
      </w:r>
      <w:r>
        <w:rPr>
          <w:w w:val="105"/>
          <w:sz w:val="13"/>
        </w:rPr>
        <w:t>2,</w:t>
      </w:r>
      <w:r>
        <w:rPr>
          <w:spacing w:val="5"/>
          <w:w w:val="105"/>
          <w:sz w:val="13"/>
        </w:rPr>
        <w:t> </w:t>
      </w:r>
      <w:r>
        <w:rPr>
          <w:w w:val="105"/>
          <w:sz w:val="13"/>
        </w:rPr>
        <w:t>which</w:t>
      </w:r>
      <w:r>
        <w:rPr>
          <w:spacing w:val="5"/>
          <w:w w:val="105"/>
          <w:sz w:val="13"/>
        </w:rPr>
        <w:t> </w:t>
      </w:r>
      <w:r>
        <w:rPr>
          <w:w w:val="105"/>
          <w:sz w:val="13"/>
        </w:rPr>
        <w:t>also</w:t>
      </w:r>
      <w:r>
        <w:rPr>
          <w:spacing w:val="5"/>
          <w:w w:val="105"/>
          <w:sz w:val="13"/>
        </w:rPr>
        <w:t> </w:t>
      </w:r>
      <w:r>
        <w:rPr>
          <w:w w:val="105"/>
          <w:sz w:val="13"/>
        </w:rPr>
        <w:t>set</w:t>
      </w:r>
      <w:r>
        <w:rPr>
          <w:spacing w:val="5"/>
          <w:w w:val="105"/>
          <w:sz w:val="13"/>
        </w:rPr>
        <w:t> </w:t>
      </w:r>
      <w:r>
        <w:rPr>
          <w:w w:val="105"/>
          <w:sz w:val="13"/>
        </w:rPr>
        <w:t>out</w:t>
      </w:r>
      <w:r>
        <w:rPr>
          <w:spacing w:val="5"/>
          <w:w w:val="105"/>
          <w:sz w:val="13"/>
        </w:rPr>
        <w:t> </w:t>
      </w:r>
      <w:r>
        <w:rPr>
          <w:w w:val="105"/>
          <w:sz w:val="13"/>
        </w:rPr>
        <w:t>criminal</w:t>
      </w:r>
      <w:r>
        <w:rPr>
          <w:spacing w:val="5"/>
          <w:w w:val="105"/>
          <w:sz w:val="13"/>
        </w:rPr>
        <w:t> </w:t>
      </w:r>
      <w:r>
        <w:rPr>
          <w:w w:val="105"/>
          <w:sz w:val="13"/>
        </w:rPr>
        <w:t>penalties</w:t>
      </w:r>
      <w:r>
        <w:rPr>
          <w:spacing w:val="5"/>
          <w:w w:val="105"/>
          <w:sz w:val="13"/>
        </w:rPr>
        <w:t> </w:t>
      </w:r>
      <w:r>
        <w:rPr>
          <w:w w:val="105"/>
          <w:sz w:val="13"/>
        </w:rPr>
        <w:t>for</w:t>
      </w:r>
      <w:r>
        <w:rPr>
          <w:spacing w:val="5"/>
          <w:w w:val="105"/>
          <w:sz w:val="13"/>
        </w:rPr>
        <w:t> </w:t>
      </w:r>
      <w:r>
        <w:rPr>
          <w:w w:val="105"/>
          <w:sz w:val="13"/>
        </w:rPr>
        <w:t>non-compliance.</w:t>
      </w:r>
    </w:p>
    <w:p>
      <w:pPr>
        <w:pStyle w:val="ListParagraph"/>
        <w:numPr>
          <w:ilvl w:val="0"/>
          <w:numId w:val="154"/>
        </w:numPr>
        <w:tabs>
          <w:tab w:pos="1233" w:val="left" w:leader="none"/>
          <w:tab w:pos="1234" w:val="left" w:leader="none"/>
        </w:tabs>
        <w:spacing w:line="240" w:lineRule="auto" w:before="5" w:after="0"/>
        <w:ind w:left="440" w:right="6145" w:firstLine="0"/>
        <w:jc w:val="left"/>
        <w:rPr>
          <w:sz w:val="13"/>
        </w:rPr>
      </w:pPr>
      <w:r>
        <w:rPr>
          <w:i/>
          <w:w w:val="105"/>
          <w:sz w:val="13"/>
        </w:rPr>
        <w:t>Trees (Disputes Between Neighbours) Act 2006 </w:t>
      </w:r>
      <w:r>
        <w:rPr>
          <w:spacing w:val="3"/>
          <w:w w:val="105"/>
          <w:sz w:val="13"/>
        </w:rPr>
        <w:t>(NSW) </w:t>
      </w:r>
      <w:r>
        <w:rPr>
          <w:w w:val="105"/>
          <w:sz w:val="13"/>
        </w:rPr>
        <w:t>s </w:t>
      </w:r>
      <w:r>
        <w:rPr>
          <w:spacing w:val="-6"/>
          <w:w w:val="105"/>
          <w:sz w:val="13"/>
        </w:rPr>
        <w:t>17. </w:t>
      </w:r>
      <w:r>
        <w:rPr>
          <w:spacing w:val="-3"/>
          <w:w w:val="105"/>
          <w:sz w:val="13"/>
        </w:rPr>
        <w:t>170</w:t>
        <w:tab/>
      </w:r>
      <w:r>
        <w:rPr>
          <w:w w:val="105"/>
          <w:sz w:val="13"/>
        </w:rPr>
        <w:t>Ibid ss </w:t>
      </w:r>
      <w:r>
        <w:rPr>
          <w:spacing w:val="2"/>
          <w:w w:val="105"/>
          <w:sz w:val="13"/>
        </w:rPr>
        <w:t>17(8),</w:t>
      </w:r>
      <w:r>
        <w:rPr>
          <w:spacing w:val="14"/>
          <w:w w:val="105"/>
          <w:sz w:val="13"/>
        </w:rPr>
        <w:t> </w:t>
      </w:r>
      <w:r>
        <w:rPr>
          <w:spacing w:val="-3"/>
          <w:w w:val="105"/>
          <w:sz w:val="13"/>
        </w:rPr>
        <w:t>17A.</w:t>
      </w:r>
    </w:p>
    <w:p>
      <w:pPr>
        <w:tabs>
          <w:tab w:pos="1233" w:val="left" w:leader="none"/>
        </w:tabs>
        <w:spacing w:before="3"/>
        <w:ind w:left="440" w:right="0" w:firstLine="0"/>
        <w:jc w:val="left"/>
        <w:rPr>
          <w:sz w:val="13"/>
        </w:rPr>
      </w:pPr>
      <w:r>
        <w:rPr>
          <w:spacing w:val="-4"/>
          <w:w w:val="105"/>
          <w:sz w:val="13"/>
        </w:rPr>
        <w:t>171</w:t>
        <w:tab/>
      </w:r>
      <w:r>
        <w:rPr>
          <w:w w:val="105"/>
          <w:sz w:val="13"/>
        </w:rPr>
        <w:t>Department</w:t>
      </w:r>
      <w:r>
        <w:rPr>
          <w:spacing w:val="5"/>
          <w:w w:val="105"/>
          <w:sz w:val="13"/>
        </w:rPr>
        <w:t> </w:t>
      </w:r>
      <w:r>
        <w:rPr>
          <w:w w:val="105"/>
          <w:sz w:val="13"/>
        </w:rPr>
        <w:t>of</w:t>
      </w:r>
      <w:r>
        <w:rPr>
          <w:spacing w:val="6"/>
          <w:w w:val="105"/>
          <w:sz w:val="13"/>
        </w:rPr>
        <w:t> </w:t>
      </w:r>
      <w:r>
        <w:rPr>
          <w:w w:val="105"/>
          <w:sz w:val="13"/>
        </w:rPr>
        <w:t>Justice</w:t>
      </w:r>
      <w:r>
        <w:rPr>
          <w:spacing w:val="6"/>
          <w:w w:val="105"/>
          <w:sz w:val="13"/>
        </w:rPr>
        <w:t> </w:t>
      </w:r>
      <w:r>
        <w:rPr>
          <w:w w:val="105"/>
          <w:sz w:val="13"/>
        </w:rPr>
        <w:t>and</w:t>
      </w:r>
      <w:r>
        <w:rPr>
          <w:spacing w:val="6"/>
          <w:w w:val="105"/>
          <w:sz w:val="13"/>
        </w:rPr>
        <w:t> </w:t>
      </w:r>
      <w:r>
        <w:rPr>
          <w:w w:val="105"/>
          <w:sz w:val="13"/>
        </w:rPr>
        <w:t>Attorney</w:t>
      </w:r>
      <w:r>
        <w:rPr>
          <w:spacing w:val="5"/>
          <w:w w:val="105"/>
          <w:sz w:val="13"/>
        </w:rPr>
        <w:t> </w:t>
      </w:r>
      <w:r>
        <w:rPr>
          <w:w w:val="105"/>
          <w:sz w:val="13"/>
        </w:rPr>
        <w:t>General</w:t>
      </w:r>
      <w:r>
        <w:rPr>
          <w:spacing w:val="6"/>
          <w:w w:val="105"/>
          <w:sz w:val="13"/>
        </w:rPr>
        <w:t> </w:t>
      </w:r>
      <w:r>
        <w:rPr>
          <w:spacing w:val="3"/>
          <w:w w:val="105"/>
          <w:sz w:val="13"/>
        </w:rPr>
        <w:t>(NSW),</w:t>
      </w:r>
      <w:r>
        <w:rPr>
          <w:spacing w:val="6"/>
          <w:w w:val="105"/>
          <w:sz w:val="13"/>
        </w:rPr>
        <w:t> </w:t>
      </w:r>
      <w:r>
        <w:rPr>
          <w:i/>
          <w:w w:val="105"/>
          <w:sz w:val="13"/>
        </w:rPr>
        <w:t>Review</w:t>
      </w:r>
      <w:r>
        <w:rPr>
          <w:i/>
          <w:spacing w:val="6"/>
          <w:w w:val="105"/>
          <w:sz w:val="13"/>
        </w:rPr>
        <w:t> </w:t>
      </w:r>
      <w:r>
        <w:rPr>
          <w:i/>
          <w:w w:val="105"/>
          <w:sz w:val="13"/>
        </w:rPr>
        <w:t>of</w:t>
      </w:r>
      <w:r>
        <w:rPr>
          <w:i/>
          <w:spacing w:val="5"/>
          <w:w w:val="105"/>
          <w:sz w:val="13"/>
        </w:rPr>
        <w:t> </w:t>
      </w:r>
      <w:r>
        <w:rPr>
          <w:i/>
          <w:w w:val="105"/>
          <w:sz w:val="13"/>
        </w:rPr>
        <w:t>the</w:t>
      </w:r>
      <w:r>
        <w:rPr>
          <w:i/>
          <w:spacing w:val="6"/>
          <w:w w:val="105"/>
          <w:sz w:val="13"/>
        </w:rPr>
        <w:t> </w:t>
      </w:r>
      <w:r>
        <w:rPr>
          <w:i/>
          <w:w w:val="105"/>
          <w:sz w:val="13"/>
        </w:rPr>
        <w:t>Trees</w:t>
      </w:r>
      <w:r>
        <w:rPr>
          <w:i/>
          <w:spacing w:val="6"/>
          <w:w w:val="105"/>
          <w:sz w:val="13"/>
        </w:rPr>
        <w:t> </w:t>
      </w:r>
      <w:r>
        <w:rPr>
          <w:i/>
          <w:w w:val="105"/>
          <w:sz w:val="13"/>
        </w:rPr>
        <w:t>(Dispute</w:t>
      </w:r>
      <w:r>
        <w:rPr>
          <w:i/>
          <w:spacing w:val="6"/>
          <w:w w:val="105"/>
          <w:sz w:val="13"/>
        </w:rPr>
        <w:t> </w:t>
      </w:r>
      <w:r>
        <w:rPr>
          <w:i/>
          <w:w w:val="105"/>
          <w:sz w:val="13"/>
        </w:rPr>
        <w:t>Between</w:t>
      </w:r>
      <w:r>
        <w:rPr>
          <w:i/>
          <w:spacing w:val="6"/>
          <w:w w:val="105"/>
          <w:sz w:val="13"/>
        </w:rPr>
        <w:t> </w:t>
      </w:r>
      <w:r>
        <w:rPr>
          <w:i/>
          <w:w w:val="105"/>
          <w:sz w:val="13"/>
        </w:rPr>
        <w:t>Neighbours)</w:t>
      </w:r>
      <w:r>
        <w:rPr>
          <w:i/>
          <w:spacing w:val="5"/>
          <w:w w:val="105"/>
          <w:sz w:val="13"/>
        </w:rPr>
        <w:t> </w:t>
      </w:r>
      <w:r>
        <w:rPr>
          <w:i/>
          <w:w w:val="105"/>
          <w:sz w:val="13"/>
        </w:rPr>
        <w:t>Act</w:t>
      </w:r>
      <w:r>
        <w:rPr>
          <w:i/>
          <w:spacing w:val="6"/>
          <w:w w:val="105"/>
          <w:sz w:val="13"/>
        </w:rPr>
        <w:t> </w:t>
      </w:r>
      <w:r>
        <w:rPr>
          <w:i/>
          <w:w w:val="105"/>
          <w:sz w:val="13"/>
        </w:rPr>
        <w:t>2006</w:t>
      </w:r>
      <w:r>
        <w:rPr>
          <w:i/>
          <w:spacing w:val="6"/>
          <w:w w:val="105"/>
          <w:sz w:val="13"/>
        </w:rPr>
        <w:t> </w:t>
      </w:r>
      <w:r>
        <w:rPr>
          <w:spacing w:val="3"/>
          <w:w w:val="105"/>
          <w:sz w:val="13"/>
        </w:rPr>
        <w:t>(NSW)</w:t>
      </w:r>
      <w:r>
        <w:rPr>
          <w:spacing w:val="6"/>
          <w:w w:val="105"/>
          <w:sz w:val="13"/>
        </w:rPr>
        <w:t> </w:t>
      </w:r>
      <w:r>
        <w:rPr>
          <w:spacing w:val="2"/>
          <w:w w:val="105"/>
          <w:sz w:val="13"/>
        </w:rPr>
        <w:t>(Report,</w:t>
      </w:r>
      <w:r>
        <w:rPr>
          <w:spacing w:val="5"/>
          <w:w w:val="105"/>
          <w:sz w:val="13"/>
        </w:rPr>
        <w:t> </w:t>
      </w:r>
      <w:r>
        <w:rPr>
          <w:spacing w:val="2"/>
          <w:w w:val="105"/>
          <w:sz w:val="13"/>
        </w:rPr>
        <w:t>2009)</w:t>
      </w:r>
      <w:r>
        <w:rPr>
          <w:spacing w:val="6"/>
          <w:w w:val="105"/>
          <w:sz w:val="13"/>
        </w:rPr>
        <w:t> </w:t>
      </w:r>
      <w:r>
        <w:rPr>
          <w:spacing w:val="-3"/>
          <w:w w:val="105"/>
          <w:sz w:val="13"/>
        </w:rPr>
        <w:t>1.</w:t>
      </w:r>
    </w:p>
    <w:p>
      <w:pPr>
        <w:spacing w:after="0"/>
        <w:jc w:val="left"/>
        <w:rPr>
          <w:sz w:val="13"/>
        </w:rPr>
        <w:sectPr>
          <w:type w:val="continuous"/>
          <w:pgSz w:w="11910" w:h="16840"/>
          <w:pgMar w:top="300" w:bottom="280" w:left="0" w:right="0"/>
          <w:cols w:num="2" w:equalWidth="0">
            <w:col w:w="1108" w:space="40"/>
            <w:col w:w="10762"/>
          </w:cols>
        </w:sectPr>
      </w:pPr>
    </w:p>
    <w:p>
      <w:pPr>
        <w:pStyle w:val="BodyText"/>
        <w:rPr>
          <w:sz w:val="20"/>
        </w:rPr>
      </w:pPr>
    </w:p>
    <w:p>
      <w:pPr>
        <w:pStyle w:val="BodyText"/>
        <w:spacing w:before="9"/>
        <w:rPr>
          <w:sz w:val="18"/>
        </w:rPr>
      </w:pPr>
    </w:p>
    <w:p>
      <w:pPr>
        <w:pStyle w:val="ListParagraph"/>
        <w:numPr>
          <w:ilvl w:val="1"/>
          <w:numId w:val="16"/>
        </w:numPr>
        <w:tabs>
          <w:tab w:pos="2382" w:val="left" w:leader="none"/>
        </w:tabs>
        <w:spacing w:line="242" w:lineRule="auto" w:before="91" w:after="0"/>
        <w:ind w:left="2381" w:right="1744" w:hanging="794"/>
        <w:jc w:val="both"/>
        <w:rPr>
          <w:sz w:val="21"/>
        </w:rPr>
      </w:pPr>
      <w:r>
        <w:rPr>
          <w:w w:val="105"/>
          <w:sz w:val="21"/>
        </w:rPr>
        <w:t>Where the NSWLEC </w:t>
      </w:r>
      <w:r>
        <w:rPr>
          <w:spacing w:val="-3"/>
          <w:w w:val="105"/>
          <w:sz w:val="21"/>
        </w:rPr>
        <w:t>makes </w:t>
      </w:r>
      <w:r>
        <w:rPr>
          <w:w w:val="105"/>
          <w:sz w:val="21"/>
        </w:rPr>
        <w:t>a monetary </w:t>
      </w:r>
      <w:r>
        <w:rPr>
          <w:spacing w:val="-4"/>
          <w:w w:val="105"/>
          <w:sz w:val="21"/>
        </w:rPr>
        <w:t>order, </w:t>
      </w:r>
      <w:r>
        <w:rPr>
          <w:spacing w:val="-3"/>
          <w:w w:val="105"/>
          <w:sz w:val="21"/>
        </w:rPr>
        <w:t>such </w:t>
      </w:r>
      <w:r>
        <w:rPr>
          <w:w w:val="105"/>
          <w:sz w:val="21"/>
        </w:rPr>
        <w:t>as </w:t>
      </w:r>
      <w:r>
        <w:rPr>
          <w:spacing w:val="-3"/>
          <w:w w:val="105"/>
          <w:sz w:val="21"/>
        </w:rPr>
        <w:t>for </w:t>
      </w:r>
      <w:r>
        <w:rPr>
          <w:w w:val="105"/>
          <w:sz w:val="21"/>
        </w:rPr>
        <w:t>the payment of compensation of the cost of works, then the order can also be </w:t>
      </w:r>
      <w:r>
        <w:rPr>
          <w:spacing w:val="-3"/>
          <w:w w:val="105"/>
          <w:sz w:val="21"/>
        </w:rPr>
        <w:t>enforced through </w:t>
      </w:r>
      <w:r>
        <w:rPr>
          <w:w w:val="105"/>
          <w:sz w:val="21"/>
        </w:rPr>
        <w:t>an action </w:t>
      </w:r>
      <w:r>
        <w:rPr>
          <w:spacing w:val="-3"/>
          <w:w w:val="105"/>
          <w:sz w:val="21"/>
        </w:rPr>
        <w:t>to recover </w:t>
      </w:r>
      <w:r>
        <w:rPr>
          <w:w w:val="105"/>
          <w:sz w:val="21"/>
        </w:rPr>
        <w:t>a debt in the Local </w:t>
      </w:r>
      <w:r>
        <w:rPr>
          <w:spacing w:val="-3"/>
          <w:w w:val="105"/>
          <w:sz w:val="21"/>
        </w:rPr>
        <w:t>Court </w:t>
      </w:r>
      <w:r>
        <w:rPr>
          <w:w w:val="105"/>
          <w:sz w:val="21"/>
        </w:rPr>
        <w:t>or District </w:t>
      </w:r>
      <w:r>
        <w:rPr>
          <w:spacing w:val="-3"/>
          <w:w w:val="105"/>
          <w:sz w:val="21"/>
        </w:rPr>
        <w:t>Court </w:t>
      </w:r>
      <w:r>
        <w:rPr>
          <w:w w:val="105"/>
          <w:sz w:val="21"/>
        </w:rPr>
        <w:t>depending on the</w:t>
      </w:r>
      <w:r>
        <w:rPr>
          <w:spacing w:val="4"/>
          <w:w w:val="105"/>
          <w:sz w:val="21"/>
        </w:rPr>
        <w:t> </w:t>
      </w:r>
      <w:r>
        <w:rPr>
          <w:spacing w:val="-5"/>
          <w:w w:val="105"/>
          <w:sz w:val="21"/>
        </w:rPr>
        <w:t>amount.</w:t>
      </w:r>
      <w:r>
        <w:rPr>
          <w:spacing w:val="-5"/>
          <w:w w:val="105"/>
          <w:position w:val="7"/>
          <w:sz w:val="12"/>
        </w:rPr>
        <w:t>172</w:t>
      </w:r>
    </w:p>
    <w:p>
      <w:pPr>
        <w:pStyle w:val="BodyText"/>
        <w:spacing w:before="4"/>
        <w:rPr>
          <w:sz w:val="20"/>
        </w:rPr>
      </w:pPr>
    </w:p>
    <w:p>
      <w:pPr>
        <w:pStyle w:val="Heading5"/>
      </w:pPr>
      <w:r>
        <w:rPr>
          <w:w w:val="115"/>
        </w:rPr>
        <w:t>Queensland</w:t>
      </w:r>
    </w:p>
    <w:p>
      <w:pPr>
        <w:pStyle w:val="ListParagraph"/>
        <w:numPr>
          <w:ilvl w:val="1"/>
          <w:numId w:val="16"/>
        </w:numPr>
        <w:tabs>
          <w:tab w:pos="2381" w:val="left" w:leader="none"/>
          <w:tab w:pos="2382" w:val="left" w:leader="none"/>
        </w:tabs>
        <w:spacing w:line="242" w:lineRule="auto" w:before="138" w:after="0"/>
        <w:ind w:left="2381" w:right="1685" w:hanging="794"/>
        <w:jc w:val="left"/>
        <w:rPr>
          <w:sz w:val="21"/>
        </w:rPr>
      </w:pPr>
      <w:r>
        <w:rPr>
          <w:w w:val="105"/>
          <w:sz w:val="21"/>
        </w:rPr>
        <w:t>The </w:t>
      </w:r>
      <w:r>
        <w:rPr>
          <w:spacing w:val="-3"/>
          <w:w w:val="105"/>
          <w:sz w:val="21"/>
        </w:rPr>
        <w:t>Queensland </w:t>
      </w:r>
      <w:r>
        <w:rPr>
          <w:w w:val="105"/>
          <w:sz w:val="21"/>
        </w:rPr>
        <w:t>Act states </w:t>
      </w:r>
      <w:r>
        <w:rPr>
          <w:spacing w:val="-3"/>
          <w:w w:val="105"/>
          <w:sz w:val="21"/>
        </w:rPr>
        <w:t>that substantial compliance </w:t>
      </w:r>
      <w:r>
        <w:rPr>
          <w:w w:val="105"/>
          <w:sz w:val="21"/>
        </w:rPr>
        <w:t>with an order </w:t>
      </w:r>
      <w:r>
        <w:rPr>
          <w:spacing w:val="-3"/>
          <w:w w:val="105"/>
          <w:sz w:val="21"/>
        </w:rPr>
        <w:t>will </w:t>
      </w:r>
      <w:r>
        <w:rPr>
          <w:w w:val="105"/>
          <w:sz w:val="21"/>
        </w:rPr>
        <w:t>be </w:t>
      </w:r>
      <w:r>
        <w:rPr>
          <w:spacing w:val="-3"/>
          <w:w w:val="105"/>
          <w:sz w:val="21"/>
        </w:rPr>
        <w:t>considered </w:t>
      </w:r>
      <w:r>
        <w:rPr>
          <w:spacing w:val="-5"/>
          <w:w w:val="105"/>
          <w:sz w:val="21"/>
        </w:rPr>
        <w:t>adequate.</w:t>
      </w:r>
      <w:r>
        <w:rPr>
          <w:spacing w:val="-5"/>
          <w:w w:val="105"/>
          <w:position w:val="7"/>
          <w:sz w:val="12"/>
        </w:rPr>
        <w:t>173 </w:t>
      </w:r>
      <w:r>
        <w:rPr>
          <w:w w:val="105"/>
          <w:sz w:val="21"/>
        </w:rPr>
        <w:t>The </w:t>
      </w:r>
      <w:r>
        <w:rPr>
          <w:spacing w:val="-3"/>
          <w:w w:val="105"/>
          <w:sz w:val="21"/>
        </w:rPr>
        <w:t>Queensland </w:t>
      </w:r>
      <w:r>
        <w:rPr>
          <w:w w:val="105"/>
          <w:sz w:val="21"/>
        </w:rPr>
        <w:t>Law </w:t>
      </w:r>
      <w:r>
        <w:rPr>
          <w:spacing w:val="-3"/>
          <w:w w:val="105"/>
          <w:sz w:val="21"/>
        </w:rPr>
        <w:t>Reform Commission </w:t>
      </w:r>
      <w:r>
        <w:rPr>
          <w:w w:val="105"/>
          <w:sz w:val="21"/>
        </w:rPr>
        <w:t>(QLRC) </w:t>
      </w:r>
      <w:r>
        <w:rPr>
          <w:spacing w:val="-3"/>
          <w:w w:val="105"/>
          <w:sz w:val="21"/>
        </w:rPr>
        <w:t>explains that </w:t>
      </w:r>
      <w:r>
        <w:rPr>
          <w:w w:val="105"/>
          <w:sz w:val="21"/>
        </w:rPr>
        <w:t>this </w:t>
      </w:r>
      <w:r>
        <w:rPr>
          <w:spacing w:val="-3"/>
          <w:w w:val="105"/>
          <w:sz w:val="21"/>
        </w:rPr>
        <w:t>provision ‘recognises that minor deviations from </w:t>
      </w:r>
      <w:r>
        <w:rPr>
          <w:w w:val="105"/>
          <w:sz w:val="21"/>
        </w:rPr>
        <w:t>precise specifications </w:t>
      </w:r>
      <w:r>
        <w:rPr>
          <w:spacing w:val="-3"/>
          <w:w w:val="105"/>
          <w:sz w:val="21"/>
        </w:rPr>
        <w:t>are </w:t>
      </w:r>
      <w:r>
        <w:rPr>
          <w:w w:val="105"/>
          <w:sz w:val="21"/>
        </w:rPr>
        <w:t>a practical reality of the sort of work </w:t>
      </w:r>
      <w:r>
        <w:rPr>
          <w:spacing w:val="-3"/>
          <w:w w:val="105"/>
          <w:sz w:val="21"/>
        </w:rPr>
        <w:t>required </w:t>
      </w:r>
      <w:r>
        <w:rPr>
          <w:w w:val="105"/>
          <w:sz w:val="21"/>
        </w:rPr>
        <w:t>by an Order’ and </w:t>
      </w:r>
      <w:r>
        <w:rPr>
          <w:spacing w:val="-3"/>
          <w:w w:val="105"/>
          <w:sz w:val="21"/>
        </w:rPr>
        <w:t>that </w:t>
      </w:r>
      <w:r>
        <w:rPr>
          <w:spacing w:val="-4"/>
          <w:w w:val="105"/>
          <w:sz w:val="21"/>
        </w:rPr>
        <w:t>QCAT </w:t>
      </w:r>
      <w:r>
        <w:rPr>
          <w:spacing w:val="-2"/>
          <w:w w:val="105"/>
          <w:sz w:val="21"/>
        </w:rPr>
        <w:t>has </w:t>
      </w:r>
      <w:r>
        <w:rPr>
          <w:w w:val="105"/>
          <w:sz w:val="21"/>
        </w:rPr>
        <w:t>recognised </w:t>
      </w:r>
      <w:r>
        <w:rPr>
          <w:spacing w:val="-3"/>
          <w:w w:val="105"/>
          <w:sz w:val="21"/>
        </w:rPr>
        <w:t>that minor variations are </w:t>
      </w:r>
      <w:r>
        <w:rPr>
          <w:spacing w:val="-4"/>
          <w:w w:val="105"/>
          <w:sz w:val="21"/>
        </w:rPr>
        <w:t>‘not </w:t>
      </w:r>
      <w:r>
        <w:rPr>
          <w:w w:val="105"/>
          <w:sz w:val="21"/>
        </w:rPr>
        <w:t>of </w:t>
      </w:r>
      <w:r>
        <w:rPr>
          <w:spacing w:val="-3"/>
          <w:w w:val="105"/>
          <w:sz w:val="21"/>
        </w:rPr>
        <w:t>such magnitude </w:t>
      </w:r>
      <w:r>
        <w:rPr>
          <w:w w:val="105"/>
          <w:sz w:val="21"/>
        </w:rPr>
        <w:t>as </w:t>
      </w:r>
      <w:r>
        <w:rPr>
          <w:spacing w:val="-3"/>
          <w:w w:val="105"/>
          <w:sz w:val="21"/>
        </w:rPr>
        <w:t>to constitute</w:t>
      </w:r>
      <w:r>
        <w:rPr>
          <w:spacing w:val="11"/>
          <w:w w:val="105"/>
          <w:sz w:val="21"/>
        </w:rPr>
        <w:t> </w:t>
      </w:r>
      <w:r>
        <w:rPr>
          <w:spacing w:val="-5"/>
          <w:w w:val="105"/>
          <w:sz w:val="21"/>
        </w:rPr>
        <w:t>noncompliance’.</w:t>
      </w:r>
      <w:r>
        <w:rPr>
          <w:spacing w:val="-5"/>
          <w:w w:val="105"/>
          <w:position w:val="7"/>
          <w:sz w:val="12"/>
        </w:rPr>
        <w:t>174</w:t>
      </w:r>
    </w:p>
    <w:p>
      <w:pPr>
        <w:pStyle w:val="ListParagraph"/>
        <w:numPr>
          <w:ilvl w:val="1"/>
          <w:numId w:val="16"/>
        </w:numPr>
        <w:tabs>
          <w:tab w:pos="2380" w:val="left" w:leader="none"/>
          <w:tab w:pos="2381" w:val="left" w:leader="none"/>
        </w:tabs>
        <w:spacing w:line="242" w:lineRule="auto" w:before="125" w:after="0"/>
        <w:ind w:left="2381" w:right="1660" w:hanging="794"/>
        <w:jc w:val="left"/>
        <w:rPr>
          <w:sz w:val="21"/>
        </w:rPr>
      </w:pPr>
      <w:r>
        <w:rPr>
          <w:spacing w:val="-4"/>
          <w:w w:val="105"/>
          <w:sz w:val="21"/>
        </w:rPr>
        <w:t>However, </w:t>
      </w:r>
      <w:r>
        <w:rPr>
          <w:w w:val="105"/>
          <w:sz w:val="21"/>
        </w:rPr>
        <w:t>if the tree owner </w:t>
      </w:r>
      <w:r>
        <w:rPr>
          <w:spacing w:val="-4"/>
          <w:w w:val="105"/>
          <w:sz w:val="21"/>
        </w:rPr>
        <w:t>fails </w:t>
      </w:r>
      <w:r>
        <w:rPr>
          <w:spacing w:val="-3"/>
          <w:w w:val="105"/>
          <w:sz w:val="21"/>
        </w:rPr>
        <w:t>to follow </w:t>
      </w:r>
      <w:r>
        <w:rPr>
          <w:w w:val="105"/>
          <w:sz w:val="21"/>
        </w:rPr>
        <w:t>an order without </w:t>
      </w:r>
      <w:r>
        <w:rPr>
          <w:spacing w:val="-3"/>
          <w:w w:val="105"/>
          <w:sz w:val="21"/>
        </w:rPr>
        <w:t>reasonable excuse, </w:t>
      </w:r>
      <w:r>
        <w:rPr>
          <w:w w:val="105"/>
          <w:sz w:val="21"/>
        </w:rPr>
        <w:t>they can be held </w:t>
      </w:r>
      <w:r>
        <w:rPr>
          <w:spacing w:val="-3"/>
          <w:w w:val="105"/>
          <w:sz w:val="21"/>
        </w:rPr>
        <w:t>liable </w:t>
      </w:r>
      <w:r>
        <w:rPr>
          <w:w w:val="105"/>
          <w:sz w:val="21"/>
        </w:rPr>
        <w:t>under the </w:t>
      </w:r>
      <w:r>
        <w:rPr>
          <w:spacing w:val="-3"/>
          <w:w w:val="105"/>
          <w:sz w:val="21"/>
        </w:rPr>
        <w:t>Queensland </w:t>
      </w:r>
      <w:r>
        <w:rPr>
          <w:w w:val="105"/>
          <w:sz w:val="21"/>
        </w:rPr>
        <w:t>Act </w:t>
      </w:r>
      <w:r>
        <w:rPr>
          <w:spacing w:val="-3"/>
          <w:w w:val="105"/>
          <w:sz w:val="21"/>
        </w:rPr>
        <w:t>for </w:t>
      </w:r>
      <w:r>
        <w:rPr>
          <w:w w:val="105"/>
          <w:sz w:val="21"/>
        </w:rPr>
        <w:t>an </w:t>
      </w:r>
      <w:r>
        <w:rPr>
          <w:spacing w:val="-3"/>
          <w:w w:val="105"/>
          <w:sz w:val="21"/>
        </w:rPr>
        <w:t>offence </w:t>
      </w:r>
      <w:r>
        <w:rPr>
          <w:w w:val="105"/>
          <w:sz w:val="21"/>
        </w:rPr>
        <w:t>with a maximum of 1000 penalty </w:t>
      </w:r>
      <w:r>
        <w:rPr>
          <w:spacing w:val="-5"/>
          <w:w w:val="105"/>
          <w:sz w:val="21"/>
        </w:rPr>
        <w:t>units.</w:t>
      </w:r>
      <w:r>
        <w:rPr>
          <w:spacing w:val="-5"/>
          <w:w w:val="105"/>
          <w:position w:val="7"/>
          <w:sz w:val="12"/>
        </w:rPr>
        <w:t>175 </w:t>
      </w:r>
      <w:r>
        <w:rPr>
          <w:w w:val="105"/>
          <w:sz w:val="21"/>
        </w:rPr>
        <w:t>This </w:t>
      </w:r>
      <w:r>
        <w:rPr>
          <w:spacing w:val="-3"/>
          <w:w w:val="105"/>
          <w:sz w:val="21"/>
        </w:rPr>
        <w:t>equates to </w:t>
      </w:r>
      <w:r>
        <w:rPr>
          <w:w w:val="105"/>
          <w:sz w:val="21"/>
        </w:rPr>
        <w:t>a maximum of</w:t>
      </w:r>
      <w:r>
        <w:rPr>
          <w:spacing w:val="27"/>
          <w:w w:val="105"/>
          <w:sz w:val="21"/>
        </w:rPr>
        <w:t> </w:t>
      </w:r>
      <w:r>
        <w:rPr>
          <w:spacing w:val="-7"/>
          <w:w w:val="105"/>
          <w:sz w:val="21"/>
        </w:rPr>
        <w:t>$130,550.</w:t>
      </w:r>
      <w:r>
        <w:rPr>
          <w:spacing w:val="-7"/>
          <w:w w:val="105"/>
          <w:position w:val="7"/>
          <w:sz w:val="12"/>
        </w:rPr>
        <w:t>176</w:t>
      </w:r>
    </w:p>
    <w:p>
      <w:pPr>
        <w:pStyle w:val="ListParagraph"/>
        <w:numPr>
          <w:ilvl w:val="1"/>
          <w:numId w:val="16"/>
        </w:numPr>
        <w:tabs>
          <w:tab w:pos="2381" w:val="left" w:leader="none"/>
          <w:tab w:pos="2382" w:val="left" w:leader="none"/>
        </w:tabs>
        <w:spacing w:line="242" w:lineRule="auto" w:before="123" w:after="0"/>
        <w:ind w:left="2381" w:right="1585" w:hanging="794"/>
        <w:jc w:val="left"/>
        <w:rPr>
          <w:sz w:val="21"/>
        </w:rPr>
      </w:pPr>
      <w:r>
        <w:rPr>
          <w:spacing w:val="-3"/>
          <w:w w:val="105"/>
          <w:sz w:val="21"/>
        </w:rPr>
        <w:t>During </w:t>
      </w:r>
      <w:r>
        <w:rPr>
          <w:w w:val="105"/>
          <w:sz w:val="21"/>
        </w:rPr>
        <w:t>its statutory review of the </w:t>
      </w:r>
      <w:r>
        <w:rPr>
          <w:spacing w:val="-3"/>
          <w:w w:val="105"/>
          <w:sz w:val="21"/>
        </w:rPr>
        <w:t>Queensland </w:t>
      </w:r>
      <w:r>
        <w:rPr>
          <w:w w:val="105"/>
          <w:sz w:val="21"/>
        </w:rPr>
        <w:t>Act, the QLRC recommended the </w:t>
      </w:r>
      <w:r>
        <w:rPr>
          <w:spacing w:val="-3"/>
          <w:w w:val="105"/>
          <w:sz w:val="21"/>
        </w:rPr>
        <w:t>removal </w:t>
      </w:r>
      <w:r>
        <w:rPr>
          <w:w w:val="105"/>
          <w:sz w:val="21"/>
        </w:rPr>
        <w:t>of the penalty under section 77 of the </w:t>
      </w:r>
      <w:r>
        <w:rPr>
          <w:spacing w:val="-3"/>
          <w:w w:val="105"/>
          <w:sz w:val="21"/>
        </w:rPr>
        <w:t>Queensland </w:t>
      </w:r>
      <w:r>
        <w:rPr>
          <w:w w:val="105"/>
          <w:sz w:val="21"/>
        </w:rPr>
        <w:t>Act </w:t>
      </w:r>
      <w:r>
        <w:rPr>
          <w:spacing w:val="-3"/>
          <w:w w:val="105"/>
          <w:sz w:val="21"/>
        </w:rPr>
        <w:t>for </w:t>
      </w:r>
      <w:r>
        <w:rPr>
          <w:spacing w:val="-4"/>
          <w:w w:val="105"/>
          <w:sz w:val="21"/>
        </w:rPr>
        <w:t>failing </w:t>
      </w:r>
      <w:r>
        <w:rPr>
          <w:spacing w:val="-3"/>
          <w:w w:val="105"/>
          <w:sz w:val="21"/>
        </w:rPr>
        <w:t>to </w:t>
      </w:r>
      <w:r>
        <w:rPr>
          <w:w w:val="105"/>
          <w:sz w:val="21"/>
        </w:rPr>
        <w:t>comply with a </w:t>
      </w:r>
      <w:r>
        <w:rPr>
          <w:spacing w:val="-4"/>
          <w:w w:val="105"/>
          <w:sz w:val="21"/>
        </w:rPr>
        <w:t>QCAT </w:t>
      </w:r>
      <w:r>
        <w:rPr>
          <w:spacing w:val="-6"/>
          <w:w w:val="105"/>
          <w:sz w:val="21"/>
        </w:rPr>
        <w:t>order.</w:t>
      </w:r>
      <w:r>
        <w:rPr>
          <w:spacing w:val="-6"/>
          <w:w w:val="105"/>
          <w:position w:val="7"/>
          <w:sz w:val="12"/>
        </w:rPr>
        <w:t>177 </w:t>
      </w:r>
      <w:r>
        <w:rPr>
          <w:w w:val="105"/>
          <w:sz w:val="21"/>
        </w:rPr>
        <w:t>The QLRC </w:t>
      </w:r>
      <w:r>
        <w:rPr>
          <w:spacing w:val="-3"/>
          <w:w w:val="105"/>
          <w:sz w:val="21"/>
        </w:rPr>
        <w:t>thought that </w:t>
      </w:r>
      <w:r>
        <w:rPr>
          <w:w w:val="105"/>
          <w:sz w:val="21"/>
        </w:rPr>
        <w:t>it was </w:t>
      </w:r>
      <w:r>
        <w:rPr>
          <w:spacing w:val="-3"/>
          <w:w w:val="105"/>
          <w:sz w:val="21"/>
        </w:rPr>
        <w:t>unclear </w:t>
      </w:r>
      <w:r>
        <w:rPr>
          <w:w w:val="105"/>
          <w:sz w:val="21"/>
        </w:rPr>
        <w:t>whether the penalty </w:t>
      </w:r>
      <w:r>
        <w:rPr>
          <w:spacing w:val="-3"/>
          <w:w w:val="105"/>
          <w:sz w:val="21"/>
        </w:rPr>
        <w:t>‘has </w:t>
      </w:r>
      <w:r>
        <w:rPr>
          <w:w w:val="105"/>
          <w:sz w:val="21"/>
        </w:rPr>
        <w:t>a </w:t>
      </w:r>
      <w:r>
        <w:rPr>
          <w:spacing w:val="-3"/>
          <w:w w:val="105"/>
          <w:sz w:val="21"/>
        </w:rPr>
        <w:t>deterrent </w:t>
      </w:r>
      <w:r>
        <w:rPr>
          <w:w w:val="105"/>
          <w:sz w:val="21"/>
        </w:rPr>
        <w:t>effect’</w:t>
      </w:r>
      <w:r>
        <w:rPr>
          <w:w w:val="105"/>
          <w:position w:val="7"/>
          <w:sz w:val="12"/>
        </w:rPr>
        <w:t>178 </w:t>
      </w:r>
      <w:r>
        <w:rPr>
          <w:w w:val="105"/>
          <w:sz w:val="21"/>
        </w:rPr>
        <w:t>and a better approach </w:t>
      </w:r>
      <w:r>
        <w:rPr>
          <w:spacing w:val="-3"/>
          <w:w w:val="105"/>
          <w:sz w:val="21"/>
        </w:rPr>
        <w:t>may </w:t>
      </w:r>
      <w:r>
        <w:rPr>
          <w:w w:val="105"/>
          <w:sz w:val="21"/>
        </w:rPr>
        <w:t>be </w:t>
      </w:r>
      <w:r>
        <w:rPr>
          <w:spacing w:val="-3"/>
          <w:w w:val="105"/>
          <w:sz w:val="21"/>
        </w:rPr>
        <w:t>to create </w:t>
      </w:r>
      <w:r>
        <w:rPr>
          <w:w w:val="105"/>
          <w:sz w:val="21"/>
        </w:rPr>
        <w:t>practical </w:t>
      </w:r>
      <w:r>
        <w:rPr>
          <w:spacing w:val="-3"/>
          <w:w w:val="105"/>
          <w:sz w:val="21"/>
        </w:rPr>
        <w:t>measures that </w:t>
      </w:r>
      <w:r>
        <w:rPr>
          <w:w w:val="105"/>
          <w:sz w:val="21"/>
        </w:rPr>
        <w:t>would give effect </w:t>
      </w:r>
      <w:r>
        <w:rPr>
          <w:spacing w:val="-3"/>
          <w:w w:val="105"/>
          <w:sz w:val="21"/>
        </w:rPr>
        <w:t>to </w:t>
      </w:r>
      <w:r>
        <w:rPr>
          <w:spacing w:val="-4"/>
          <w:w w:val="105"/>
          <w:sz w:val="21"/>
        </w:rPr>
        <w:t>orders.</w:t>
      </w:r>
      <w:r>
        <w:rPr>
          <w:spacing w:val="-4"/>
          <w:w w:val="105"/>
          <w:position w:val="7"/>
          <w:sz w:val="12"/>
        </w:rPr>
        <w:t>179 </w:t>
      </w:r>
      <w:r>
        <w:rPr>
          <w:w w:val="105"/>
          <w:sz w:val="21"/>
        </w:rPr>
        <w:t>The QLRC </w:t>
      </w:r>
      <w:r>
        <w:rPr>
          <w:spacing w:val="-3"/>
          <w:w w:val="105"/>
          <w:sz w:val="21"/>
        </w:rPr>
        <w:t>noted that </w:t>
      </w:r>
      <w:r>
        <w:rPr>
          <w:w w:val="105"/>
          <w:sz w:val="21"/>
        </w:rPr>
        <w:t>the penalty under section </w:t>
      </w:r>
      <w:r>
        <w:rPr>
          <w:spacing w:val="-10"/>
          <w:w w:val="105"/>
          <w:sz w:val="21"/>
        </w:rPr>
        <w:t>213 </w:t>
      </w:r>
      <w:r>
        <w:rPr>
          <w:w w:val="105"/>
          <w:sz w:val="21"/>
        </w:rPr>
        <w:t>of the </w:t>
      </w:r>
      <w:r>
        <w:rPr>
          <w:spacing w:val="-4"/>
          <w:w w:val="105"/>
          <w:sz w:val="21"/>
        </w:rPr>
        <w:t>QCAT </w:t>
      </w:r>
      <w:r>
        <w:rPr>
          <w:w w:val="105"/>
          <w:sz w:val="21"/>
        </w:rPr>
        <w:t>Act </w:t>
      </w:r>
      <w:r>
        <w:rPr>
          <w:spacing w:val="-6"/>
          <w:w w:val="105"/>
          <w:sz w:val="21"/>
        </w:rPr>
        <w:t>($13,055) </w:t>
      </w:r>
      <w:r>
        <w:rPr>
          <w:w w:val="105"/>
          <w:sz w:val="21"/>
        </w:rPr>
        <w:t>was ‘sufficient </w:t>
      </w:r>
      <w:r>
        <w:rPr>
          <w:spacing w:val="-3"/>
          <w:w w:val="105"/>
          <w:sz w:val="21"/>
        </w:rPr>
        <w:t>to </w:t>
      </w:r>
      <w:r>
        <w:rPr>
          <w:w w:val="105"/>
          <w:sz w:val="21"/>
        </w:rPr>
        <w:t>deal with </w:t>
      </w:r>
      <w:r>
        <w:rPr>
          <w:spacing w:val="-3"/>
          <w:w w:val="105"/>
          <w:sz w:val="21"/>
        </w:rPr>
        <w:t>contravention </w:t>
      </w:r>
      <w:r>
        <w:rPr>
          <w:w w:val="105"/>
          <w:sz w:val="21"/>
        </w:rPr>
        <w:t>of an </w:t>
      </w:r>
      <w:r>
        <w:rPr>
          <w:spacing w:val="-8"/>
          <w:w w:val="105"/>
          <w:sz w:val="21"/>
        </w:rPr>
        <w:t>order…’.</w:t>
      </w:r>
      <w:r>
        <w:rPr>
          <w:spacing w:val="-8"/>
          <w:w w:val="105"/>
          <w:position w:val="7"/>
          <w:sz w:val="12"/>
        </w:rPr>
        <w:t>180 </w:t>
      </w:r>
      <w:r>
        <w:rPr>
          <w:w w:val="105"/>
          <w:sz w:val="21"/>
        </w:rPr>
        <w:t>This </w:t>
      </w:r>
      <w:r>
        <w:rPr>
          <w:spacing w:val="-3"/>
          <w:w w:val="105"/>
          <w:sz w:val="21"/>
        </w:rPr>
        <w:t>recommendation </w:t>
      </w:r>
      <w:r>
        <w:rPr>
          <w:spacing w:val="-2"/>
          <w:w w:val="105"/>
          <w:sz w:val="21"/>
        </w:rPr>
        <w:t>has not </w:t>
      </w:r>
      <w:r>
        <w:rPr>
          <w:w w:val="105"/>
          <w:sz w:val="21"/>
        </w:rPr>
        <w:t>been</w:t>
      </w:r>
      <w:r>
        <w:rPr>
          <w:spacing w:val="19"/>
          <w:w w:val="105"/>
          <w:sz w:val="21"/>
        </w:rPr>
        <w:t> </w:t>
      </w:r>
      <w:r>
        <w:rPr>
          <w:spacing w:val="-3"/>
          <w:w w:val="105"/>
          <w:sz w:val="21"/>
        </w:rPr>
        <w:t>implemented.</w:t>
      </w:r>
    </w:p>
    <w:p>
      <w:pPr>
        <w:pStyle w:val="ListParagraph"/>
        <w:numPr>
          <w:ilvl w:val="1"/>
          <w:numId w:val="16"/>
        </w:numPr>
        <w:tabs>
          <w:tab w:pos="2381" w:val="left" w:leader="none"/>
          <w:tab w:pos="2382" w:val="left" w:leader="none"/>
        </w:tabs>
        <w:spacing w:line="242" w:lineRule="auto" w:before="128" w:after="0"/>
        <w:ind w:left="2381" w:right="1694" w:hanging="794"/>
        <w:jc w:val="left"/>
        <w:rPr>
          <w:sz w:val="21"/>
        </w:rPr>
      </w:pPr>
      <w:r>
        <w:rPr>
          <w:w w:val="105"/>
          <w:sz w:val="21"/>
        </w:rPr>
        <w:t>The QLRC also recommended a new </w:t>
      </w:r>
      <w:r>
        <w:rPr>
          <w:spacing w:val="-3"/>
          <w:w w:val="105"/>
          <w:sz w:val="21"/>
        </w:rPr>
        <w:t>provision </w:t>
      </w:r>
      <w:r>
        <w:rPr>
          <w:w w:val="105"/>
          <w:sz w:val="21"/>
        </w:rPr>
        <w:t>in the </w:t>
      </w:r>
      <w:r>
        <w:rPr>
          <w:spacing w:val="-3"/>
          <w:w w:val="105"/>
          <w:sz w:val="21"/>
        </w:rPr>
        <w:t>Queensland </w:t>
      </w:r>
      <w:r>
        <w:rPr>
          <w:w w:val="105"/>
          <w:sz w:val="21"/>
        </w:rPr>
        <w:t>Act where the</w:t>
      </w:r>
      <w:r>
        <w:rPr>
          <w:spacing w:val="-36"/>
          <w:w w:val="105"/>
          <w:sz w:val="21"/>
        </w:rPr>
        <w:t> </w:t>
      </w:r>
      <w:r>
        <w:rPr>
          <w:w w:val="105"/>
          <w:sz w:val="21"/>
        </w:rPr>
        <w:t>affected </w:t>
      </w:r>
      <w:r>
        <w:rPr>
          <w:spacing w:val="-3"/>
          <w:w w:val="105"/>
          <w:sz w:val="21"/>
        </w:rPr>
        <w:t>neighbour could </w:t>
      </w:r>
      <w:r>
        <w:rPr>
          <w:w w:val="105"/>
          <w:sz w:val="21"/>
        </w:rPr>
        <w:t>apply </w:t>
      </w:r>
      <w:r>
        <w:rPr>
          <w:spacing w:val="-3"/>
          <w:w w:val="105"/>
          <w:sz w:val="21"/>
        </w:rPr>
        <w:t>to </w:t>
      </w:r>
      <w:r>
        <w:rPr>
          <w:w w:val="105"/>
          <w:sz w:val="21"/>
        </w:rPr>
        <w:t>carry out work </w:t>
      </w:r>
      <w:r>
        <w:rPr>
          <w:spacing w:val="-3"/>
          <w:w w:val="105"/>
          <w:sz w:val="21"/>
        </w:rPr>
        <w:t>that </w:t>
      </w:r>
      <w:r>
        <w:rPr>
          <w:spacing w:val="-2"/>
          <w:w w:val="105"/>
          <w:sz w:val="21"/>
        </w:rPr>
        <w:t>had </w:t>
      </w:r>
      <w:r>
        <w:rPr>
          <w:w w:val="105"/>
          <w:sz w:val="21"/>
        </w:rPr>
        <w:t>was </w:t>
      </w:r>
      <w:r>
        <w:rPr>
          <w:spacing w:val="-2"/>
          <w:w w:val="105"/>
          <w:sz w:val="21"/>
        </w:rPr>
        <w:t>not </w:t>
      </w:r>
      <w:r>
        <w:rPr>
          <w:w w:val="105"/>
          <w:sz w:val="21"/>
        </w:rPr>
        <w:t>performed in </w:t>
      </w:r>
      <w:r>
        <w:rPr>
          <w:spacing w:val="-3"/>
          <w:w w:val="105"/>
          <w:sz w:val="21"/>
        </w:rPr>
        <w:t>accordance   </w:t>
      </w:r>
      <w:r>
        <w:rPr>
          <w:w w:val="105"/>
          <w:sz w:val="21"/>
        </w:rPr>
        <w:t>with an Order and </w:t>
      </w:r>
      <w:r>
        <w:rPr>
          <w:spacing w:val="-3"/>
          <w:w w:val="105"/>
          <w:sz w:val="21"/>
        </w:rPr>
        <w:t>recover </w:t>
      </w:r>
      <w:r>
        <w:rPr>
          <w:w w:val="105"/>
          <w:sz w:val="21"/>
        </w:rPr>
        <w:t>the </w:t>
      </w:r>
      <w:r>
        <w:rPr>
          <w:spacing w:val="-3"/>
          <w:w w:val="105"/>
          <w:sz w:val="21"/>
        </w:rPr>
        <w:t>reasonable </w:t>
      </w:r>
      <w:r>
        <w:rPr>
          <w:w w:val="105"/>
          <w:sz w:val="21"/>
        </w:rPr>
        <w:t>costs </w:t>
      </w:r>
      <w:r>
        <w:rPr>
          <w:spacing w:val="-3"/>
          <w:w w:val="105"/>
          <w:sz w:val="21"/>
        </w:rPr>
        <w:t>from </w:t>
      </w:r>
      <w:r>
        <w:rPr>
          <w:w w:val="105"/>
          <w:sz w:val="21"/>
        </w:rPr>
        <w:t>the tree owner as a </w:t>
      </w:r>
      <w:r>
        <w:rPr>
          <w:spacing w:val="-5"/>
          <w:w w:val="105"/>
          <w:sz w:val="21"/>
        </w:rPr>
        <w:t>debt.</w:t>
      </w:r>
      <w:r>
        <w:rPr>
          <w:spacing w:val="-5"/>
          <w:w w:val="105"/>
          <w:position w:val="7"/>
          <w:sz w:val="12"/>
        </w:rPr>
        <w:t>181 </w:t>
      </w:r>
      <w:r>
        <w:rPr>
          <w:w w:val="105"/>
          <w:sz w:val="21"/>
        </w:rPr>
        <w:t>The QLRC </w:t>
      </w:r>
      <w:r>
        <w:rPr>
          <w:spacing w:val="-3"/>
          <w:w w:val="105"/>
          <w:sz w:val="21"/>
        </w:rPr>
        <w:t>noted that, </w:t>
      </w:r>
      <w:r>
        <w:rPr>
          <w:w w:val="105"/>
          <w:sz w:val="21"/>
        </w:rPr>
        <w:t>in some cases, ‘the </w:t>
      </w:r>
      <w:r>
        <w:rPr>
          <w:spacing w:val="-4"/>
          <w:w w:val="105"/>
          <w:sz w:val="21"/>
        </w:rPr>
        <w:t>failure </w:t>
      </w:r>
      <w:r>
        <w:rPr>
          <w:w w:val="105"/>
          <w:sz w:val="21"/>
        </w:rPr>
        <w:t>of one party </w:t>
      </w:r>
      <w:r>
        <w:rPr>
          <w:spacing w:val="-3"/>
          <w:w w:val="105"/>
          <w:sz w:val="21"/>
        </w:rPr>
        <w:t>to </w:t>
      </w:r>
      <w:r>
        <w:rPr>
          <w:w w:val="105"/>
          <w:sz w:val="21"/>
        </w:rPr>
        <w:t>comply with an order </w:t>
      </w:r>
      <w:r>
        <w:rPr>
          <w:spacing w:val="-3"/>
          <w:w w:val="105"/>
          <w:sz w:val="21"/>
        </w:rPr>
        <w:t>may </w:t>
      </w:r>
      <w:r>
        <w:rPr>
          <w:w w:val="105"/>
          <w:sz w:val="21"/>
        </w:rPr>
        <w:t>be addressed in the </w:t>
      </w:r>
      <w:r>
        <w:rPr>
          <w:spacing w:val="-3"/>
          <w:w w:val="105"/>
          <w:sz w:val="21"/>
        </w:rPr>
        <w:t>way </w:t>
      </w:r>
      <w:r>
        <w:rPr>
          <w:w w:val="105"/>
          <w:sz w:val="21"/>
        </w:rPr>
        <w:t>the </w:t>
      </w:r>
      <w:r>
        <w:rPr>
          <w:spacing w:val="-3"/>
          <w:w w:val="105"/>
          <w:sz w:val="21"/>
        </w:rPr>
        <w:t>original </w:t>
      </w:r>
      <w:r>
        <w:rPr>
          <w:w w:val="105"/>
          <w:sz w:val="21"/>
        </w:rPr>
        <w:t>order is </w:t>
      </w:r>
      <w:r>
        <w:rPr>
          <w:spacing w:val="-6"/>
          <w:w w:val="105"/>
          <w:sz w:val="21"/>
        </w:rPr>
        <w:t>framed’.</w:t>
      </w:r>
      <w:r>
        <w:rPr>
          <w:spacing w:val="-6"/>
          <w:w w:val="105"/>
          <w:position w:val="7"/>
          <w:sz w:val="12"/>
        </w:rPr>
        <w:t>182 </w:t>
      </w:r>
      <w:r>
        <w:rPr>
          <w:w w:val="105"/>
          <w:sz w:val="21"/>
        </w:rPr>
        <w:t>These </w:t>
      </w:r>
      <w:r>
        <w:rPr>
          <w:spacing w:val="-3"/>
          <w:w w:val="105"/>
          <w:sz w:val="21"/>
        </w:rPr>
        <w:t>are </w:t>
      </w:r>
      <w:r>
        <w:rPr>
          <w:w w:val="105"/>
          <w:sz w:val="21"/>
        </w:rPr>
        <w:t>known as </w:t>
      </w:r>
      <w:r>
        <w:rPr>
          <w:spacing w:val="-4"/>
          <w:w w:val="105"/>
          <w:sz w:val="21"/>
        </w:rPr>
        <w:t>‘guillotine’ </w:t>
      </w:r>
      <w:r>
        <w:rPr>
          <w:w w:val="105"/>
          <w:sz w:val="21"/>
        </w:rPr>
        <w:t>orders</w:t>
      </w:r>
      <w:r>
        <w:rPr>
          <w:spacing w:val="-5"/>
          <w:w w:val="105"/>
          <w:sz w:val="21"/>
        </w:rPr>
        <w:t> </w:t>
      </w:r>
      <w:r>
        <w:rPr>
          <w:w w:val="105"/>
          <w:sz w:val="21"/>
        </w:rPr>
        <w:t>which</w:t>
      </w:r>
      <w:r>
        <w:rPr>
          <w:spacing w:val="-4"/>
          <w:w w:val="105"/>
          <w:sz w:val="21"/>
        </w:rPr>
        <w:t> </w:t>
      </w:r>
      <w:r>
        <w:rPr>
          <w:spacing w:val="-3"/>
          <w:w w:val="105"/>
          <w:sz w:val="21"/>
        </w:rPr>
        <w:t>‘build</w:t>
      </w:r>
      <w:r>
        <w:rPr>
          <w:spacing w:val="-5"/>
          <w:w w:val="105"/>
          <w:sz w:val="21"/>
        </w:rPr>
        <w:t> </w:t>
      </w:r>
      <w:r>
        <w:rPr>
          <w:w w:val="105"/>
          <w:sz w:val="21"/>
        </w:rPr>
        <w:t>in</w:t>
      </w:r>
      <w:r>
        <w:rPr>
          <w:spacing w:val="-4"/>
          <w:w w:val="105"/>
          <w:sz w:val="21"/>
        </w:rPr>
        <w:t> </w:t>
      </w:r>
      <w:r>
        <w:rPr>
          <w:w w:val="105"/>
          <w:sz w:val="21"/>
        </w:rPr>
        <w:t>the</w:t>
      </w:r>
      <w:r>
        <w:rPr>
          <w:spacing w:val="-4"/>
          <w:w w:val="105"/>
          <w:sz w:val="21"/>
        </w:rPr>
        <w:t> </w:t>
      </w:r>
      <w:r>
        <w:rPr>
          <w:spacing w:val="-3"/>
          <w:w w:val="105"/>
          <w:sz w:val="21"/>
        </w:rPr>
        <w:t>consequences</w:t>
      </w:r>
      <w:r>
        <w:rPr>
          <w:spacing w:val="-5"/>
          <w:w w:val="105"/>
          <w:sz w:val="21"/>
        </w:rPr>
        <w:t> </w:t>
      </w:r>
      <w:r>
        <w:rPr>
          <w:w w:val="105"/>
          <w:sz w:val="21"/>
        </w:rPr>
        <w:t>of</w:t>
      </w:r>
      <w:r>
        <w:rPr>
          <w:spacing w:val="-4"/>
          <w:w w:val="105"/>
          <w:sz w:val="21"/>
        </w:rPr>
        <w:t> </w:t>
      </w:r>
      <w:r>
        <w:rPr>
          <w:w w:val="105"/>
          <w:sz w:val="21"/>
        </w:rPr>
        <w:t>non-compliance’</w:t>
      </w:r>
      <w:r>
        <w:rPr>
          <w:spacing w:val="-5"/>
          <w:w w:val="105"/>
          <w:sz w:val="21"/>
        </w:rPr>
        <w:t> </w:t>
      </w:r>
      <w:r>
        <w:rPr>
          <w:w w:val="105"/>
          <w:sz w:val="21"/>
        </w:rPr>
        <w:t>by</w:t>
      </w:r>
      <w:r>
        <w:rPr>
          <w:spacing w:val="-4"/>
          <w:w w:val="105"/>
          <w:sz w:val="21"/>
        </w:rPr>
        <w:t> </w:t>
      </w:r>
      <w:r>
        <w:rPr>
          <w:spacing w:val="-3"/>
          <w:w w:val="105"/>
          <w:sz w:val="21"/>
        </w:rPr>
        <w:t>providing</w:t>
      </w:r>
      <w:r>
        <w:rPr>
          <w:spacing w:val="-4"/>
          <w:w w:val="105"/>
          <w:sz w:val="21"/>
        </w:rPr>
        <w:t> </w:t>
      </w:r>
      <w:r>
        <w:rPr>
          <w:spacing w:val="-3"/>
          <w:w w:val="105"/>
          <w:sz w:val="21"/>
        </w:rPr>
        <w:t>that</w:t>
      </w:r>
      <w:r>
        <w:rPr>
          <w:spacing w:val="-5"/>
          <w:w w:val="105"/>
          <w:sz w:val="21"/>
        </w:rPr>
        <w:t> </w:t>
      </w:r>
      <w:r>
        <w:rPr>
          <w:w w:val="105"/>
          <w:sz w:val="21"/>
        </w:rPr>
        <w:t>the</w:t>
      </w:r>
      <w:r>
        <w:rPr>
          <w:spacing w:val="-4"/>
          <w:w w:val="105"/>
          <w:sz w:val="21"/>
        </w:rPr>
        <w:t> </w:t>
      </w:r>
      <w:r>
        <w:rPr>
          <w:w w:val="105"/>
          <w:sz w:val="21"/>
        </w:rPr>
        <w:t>other</w:t>
      </w:r>
    </w:p>
    <w:p>
      <w:pPr>
        <w:pStyle w:val="BodyText"/>
        <w:spacing w:line="242" w:lineRule="auto" w:before="7"/>
        <w:ind w:left="2381" w:right="1558" w:hanging="1"/>
      </w:pPr>
      <w:r>
        <w:rPr>
          <w:w w:val="105"/>
        </w:rPr>
        <w:t>party can carry out the works and </w:t>
      </w:r>
      <w:r>
        <w:rPr>
          <w:spacing w:val="-3"/>
          <w:w w:val="105"/>
        </w:rPr>
        <w:t>recover </w:t>
      </w:r>
      <w:r>
        <w:rPr>
          <w:w w:val="105"/>
        </w:rPr>
        <w:t>the costs </w:t>
      </w:r>
      <w:r>
        <w:rPr>
          <w:spacing w:val="-3"/>
          <w:w w:val="105"/>
        </w:rPr>
        <w:t>from </w:t>
      </w:r>
      <w:r>
        <w:rPr>
          <w:w w:val="105"/>
        </w:rPr>
        <w:t>the </w:t>
      </w:r>
      <w:r>
        <w:rPr>
          <w:spacing w:val="-3"/>
          <w:w w:val="105"/>
        </w:rPr>
        <w:t>defaulting </w:t>
      </w:r>
      <w:r>
        <w:rPr>
          <w:spacing w:val="-4"/>
          <w:w w:val="105"/>
        </w:rPr>
        <w:t>party.</w:t>
      </w:r>
      <w:r>
        <w:rPr>
          <w:spacing w:val="-4"/>
          <w:w w:val="105"/>
          <w:position w:val="7"/>
          <w:sz w:val="12"/>
        </w:rPr>
        <w:t>183 </w:t>
      </w:r>
      <w:r>
        <w:rPr>
          <w:spacing w:val="-4"/>
          <w:w w:val="105"/>
        </w:rPr>
        <w:t>However, </w:t>
      </w:r>
      <w:r>
        <w:rPr>
          <w:spacing w:val="-3"/>
          <w:w w:val="105"/>
        </w:rPr>
        <w:t>such </w:t>
      </w:r>
      <w:r>
        <w:rPr>
          <w:w w:val="105"/>
        </w:rPr>
        <w:t>orders </w:t>
      </w:r>
      <w:r>
        <w:rPr>
          <w:spacing w:val="-3"/>
          <w:w w:val="105"/>
        </w:rPr>
        <w:t>are </w:t>
      </w:r>
      <w:r>
        <w:rPr>
          <w:spacing w:val="-2"/>
          <w:w w:val="105"/>
        </w:rPr>
        <w:t>not </w:t>
      </w:r>
      <w:r>
        <w:rPr>
          <w:spacing w:val="-3"/>
          <w:w w:val="105"/>
        </w:rPr>
        <w:t>frequently </w:t>
      </w:r>
      <w:r>
        <w:rPr>
          <w:spacing w:val="-4"/>
          <w:w w:val="105"/>
        </w:rPr>
        <w:t>used.</w:t>
      </w:r>
      <w:r>
        <w:rPr>
          <w:spacing w:val="-4"/>
          <w:w w:val="105"/>
          <w:position w:val="7"/>
          <w:sz w:val="12"/>
        </w:rPr>
        <w:t>184 </w:t>
      </w:r>
      <w:r>
        <w:rPr>
          <w:w w:val="105"/>
        </w:rPr>
        <w:t>The </w:t>
      </w:r>
      <w:r>
        <w:rPr>
          <w:spacing w:val="-4"/>
          <w:w w:val="105"/>
        </w:rPr>
        <w:t>QLRC’s </w:t>
      </w:r>
      <w:r>
        <w:rPr>
          <w:spacing w:val="-3"/>
          <w:w w:val="105"/>
        </w:rPr>
        <w:t>recommendation </w:t>
      </w:r>
      <w:r>
        <w:rPr>
          <w:spacing w:val="-2"/>
          <w:w w:val="105"/>
        </w:rPr>
        <w:t>has not </w:t>
      </w:r>
      <w:r>
        <w:rPr>
          <w:w w:val="105"/>
        </w:rPr>
        <w:t>been </w:t>
      </w:r>
      <w:r>
        <w:rPr>
          <w:spacing w:val="-3"/>
          <w:w w:val="105"/>
        </w:rPr>
        <w:t>implemented.</w:t>
      </w:r>
    </w:p>
    <w:p>
      <w:pPr>
        <w:pStyle w:val="ListParagraph"/>
        <w:numPr>
          <w:ilvl w:val="1"/>
          <w:numId w:val="16"/>
        </w:numPr>
        <w:tabs>
          <w:tab w:pos="2381" w:val="left" w:leader="none"/>
          <w:tab w:pos="2382" w:val="left" w:leader="none"/>
        </w:tabs>
        <w:spacing w:line="242" w:lineRule="auto" w:before="123" w:after="0"/>
        <w:ind w:left="2381" w:right="1930" w:hanging="794"/>
        <w:jc w:val="left"/>
        <w:rPr>
          <w:sz w:val="21"/>
        </w:rPr>
      </w:pPr>
      <w:r>
        <w:rPr>
          <w:spacing w:val="-3"/>
          <w:w w:val="105"/>
          <w:sz w:val="21"/>
        </w:rPr>
        <w:t>Like </w:t>
      </w:r>
      <w:r>
        <w:rPr>
          <w:w w:val="105"/>
          <w:sz w:val="21"/>
        </w:rPr>
        <w:t>the NSW Act, the </w:t>
      </w:r>
      <w:r>
        <w:rPr>
          <w:spacing w:val="-3"/>
          <w:w w:val="105"/>
          <w:sz w:val="21"/>
        </w:rPr>
        <w:t>Queensland </w:t>
      </w:r>
      <w:r>
        <w:rPr>
          <w:w w:val="105"/>
          <w:sz w:val="21"/>
        </w:rPr>
        <w:t>Act also provides a </w:t>
      </w:r>
      <w:r>
        <w:rPr>
          <w:spacing w:val="-3"/>
          <w:w w:val="105"/>
          <w:sz w:val="21"/>
        </w:rPr>
        <w:t>‘last </w:t>
      </w:r>
      <w:r>
        <w:rPr>
          <w:w w:val="105"/>
          <w:sz w:val="21"/>
        </w:rPr>
        <w:t>resort’ </w:t>
      </w:r>
      <w:r>
        <w:rPr>
          <w:spacing w:val="-3"/>
          <w:w w:val="105"/>
          <w:sz w:val="21"/>
        </w:rPr>
        <w:t>enforcement mechanism</w:t>
      </w:r>
      <w:r>
        <w:rPr>
          <w:spacing w:val="-5"/>
          <w:w w:val="105"/>
          <w:sz w:val="21"/>
        </w:rPr>
        <w:t> </w:t>
      </w:r>
      <w:r>
        <w:rPr>
          <w:spacing w:val="-3"/>
          <w:w w:val="105"/>
          <w:sz w:val="21"/>
        </w:rPr>
        <w:t>through</w:t>
      </w:r>
      <w:r>
        <w:rPr>
          <w:spacing w:val="-4"/>
          <w:w w:val="105"/>
          <w:sz w:val="21"/>
        </w:rPr>
        <w:t> </w:t>
      </w:r>
      <w:r>
        <w:rPr>
          <w:w w:val="105"/>
          <w:sz w:val="21"/>
        </w:rPr>
        <w:t>local</w:t>
      </w:r>
      <w:r>
        <w:rPr>
          <w:spacing w:val="-5"/>
          <w:w w:val="105"/>
          <w:sz w:val="21"/>
        </w:rPr>
        <w:t> </w:t>
      </w:r>
      <w:r>
        <w:rPr>
          <w:spacing w:val="-3"/>
          <w:w w:val="105"/>
          <w:sz w:val="21"/>
        </w:rPr>
        <w:t>councils</w:t>
      </w:r>
      <w:r>
        <w:rPr>
          <w:spacing w:val="-4"/>
          <w:w w:val="105"/>
          <w:sz w:val="21"/>
        </w:rPr>
        <w:t> </w:t>
      </w:r>
      <w:r>
        <w:rPr>
          <w:w w:val="105"/>
          <w:sz w:val="21"/>
        </w:rPr>
        <w:t>in</w:t>
      </w:r>
      <w:r>
        <w:rPr>
          <w:spacing w:val="-4"/>
          <w:w w:val="105"/>
          <w:sz w:val="21"/>
        </w:rPr>
        <w:t> </w:t>
      </w:r>
      <w:r>
        <w:rPr>
          <w:w w:val="105"/>
          <w:sz w:val="21"/>
        </w:rPr>
        <w:t>the</w:t>
      </w:r>
      <w:r>
        <w:rPr>
          <w:spacing w:val="-5"/>
          <w:w w:val="105"/>
          <w:sz w:val="21"/>
        </w:rPr>
        <w:t> </w:t>
      </w:r>
      <w:r>
        <w:rPr>
          <w:w w:val="105"/>
          <w:sz w:val="21"/>
        </w:rPr>
        <w:t>case</w:t>
      </w:r>
      <w:r>
        <w:rPr>
          <w:spacing w:val="-4"/>
          <w:w w:val="105"/>
          <w:sz w:val="21"/>
        </w:rPr>
        <w:t> </w:t>
      </w:r>
      <w:r>
        <w:rPr>
          <w:w w:val="105"/>
          <w:sz w:val="21"/>
        </w:rPr>
        <w:t>where</w:t>
      </w:r>
      <w:r>
        <w:rPr>
          <w:spacing w:val="-5"/>
          <w:w w:val="105"/>
          <w:sz w:val="21"/>
        </w:rPr>
        <w:t> </w:t>
      </w:r>
      <w:r>
        <w:rPr>
          <w:w w:val="105"/>
          <w:sz w:val="21"/>
        </w:rPr>
        <w:t>the</w:t>
      </w:r>
      <w:r>
        <w:rPr>
          <w:spacing w:val="-4"/>
          <w:w w:val="105"/>
          <w:sz w:val="21"/>
        </w:rPr>
        <w:t> </w:t>
      </w:r>
      <w:r>
        <w:rPr>
          <w:w w:val="105"/>
          <w:sz w:val="21"/>
        </w:rPr>
        <w:t>tree</w:t>
      </w:r>
      <w:r>
        <w:rPr>
          <w:spacing w:val="-4"/>
          <w:w w:val="105"/>
          <w:sz w:val="21"/>
        </w:rPr>
        <w:t> </w:t>
      </w:r>
      <w:r>
        <w:rPr>
          <w:w w:val="105"/>
          <w:sz w:val="21"/>
        </w:rPr>
        <w:t>owner</w:t>
      </w:r>
      <w:r>
        <w:rPr>
          <w:spacing w:val="-5"/>
          <w:w w:val="105"/>
          <w:sz w:val="21"/>
        </w:rPr>
        <w:t> </w:t>
      </w:r>
      <w:r>
        <w:rPr>
          <w:spacing w:val="-4"/>
          <w:w w:val="105"/>
          <w:sz w:val="21"/>
        </w:rPr>
        <w:t>fails </w:t>
      </w:r>
      <w:r>
        <w:rPr>
          <w:spacing w:val="-3"/>
          <w:w w:val="105"/>
          <w:sz w:val="21"/>
        </w:rPr>
        <w:t>to</w:t>
      </w:r>
      <w:r>
        <w:rPr>
          <w:spacing w:val="-4"/>
          <w:w w:val="105"/>
          <w:sz w:val="21"/>
        </w:rPr>
        <w:t> </w:t>
      </w:r>
      <w:r>
        <w:rPr>
          <w:w w:val="105"/>
          <w:sz w:val="21"/>
        </w:rPr>
        <w:t>carry</w:t>
      </w:r>
      <w:r>
        <w:rPr>
          <w:spacing w:val="-5"/>
          <w:w w:val="105"/>
          <w:sz w:val="21"/>
        </w:rPr>
        <w:t> </w:t>
      </w:r>
      <w:r>
        <w:rPr>
          <w:w w:val="105"/>
          <w:sz w:val="21"/>
        </w:rPr>
        <w:t>out</w:t>
      </w:r>
      <w:r>
        <w:rPr>
          <w:spacing w:val="-4"/>
          <w:w w:val="105"/>
          <w:sz w:val="21"/>
        </w:rPr>
        <w:t> </w:t>
      </w:r>
      <w:r>
        <w:rPr>
          <w:w w:val="105"/>
          <w:sz w:val="21"/>
        </w:rPr>
        <w:t>a </w:t>
      </w:r>
      <w:r>
        <w:rPr>
          <w:spacing w:val="-4"/>
          <w:w w:val="105"/>
          <w:sz w:val="21"/>
        </w:rPr>
        <w:t>QCAT order. </w:t>
      </w:r>
      <w:r>
        <w:rPr>
          <w:w w:val="105"/>
          <w:sz w:val="21"/>
        </w:rPr>
        <w:t>The affected </w:t>
      </w:r>
      <w:r>
        <w:rPr>
          <w:spacing w:val="-3"/>
          <w:w w:val="105"/>
          <w:sz w:val="21"/>
        </w:rPr>
        <w:t>neighbour </w:t>
      </w:r>
      <w:r>
        <w:rPr>
          <w:w w:val="105"/>
          <w:sz w:val="21"/>
        </w:rPr>
        <w:t>can contact their local </w:t>
      </w:r>
      <w:r>
        <w:rPr>
          <w:spacing w:val="-3"/>
          <w:w w:val="105"/>
          <w:sz w:val="21"/>
        </w:rPr>
        <w:t>council </w:t>
      </w:r>
      <w:r>
        <w:rPr>
          <w:w w:val="105"/>
          <w:sz w:val="21"/>
        </w:rPr>
        <w:t>and ask it </w:t>
      </w:r>
      <w:r>
        <w:rPr>
          <w:spacing w:val="-3"/>
          <w:w w:val="105"/>
          <w:sz w:val="21"/>
        </w:rPr>
        <w:t>to </w:t>
      </w:r>
      <w:r>
        <w:rPr>
          <w:w w:val="105"/>
          <w:sz w:val="21"/>
        </w:rPr>
        <w:t>carry out the order because the tree owner </w:t>
      </w:r>
      <w:r>
        <w:rPr>
          <w:spacing w:val="-2"/>
          <w:w w:val="105"/>
          <w:sz w:val="21"/>
        </w:rPr>
        <w:t>has </w:t>
      </w:r>
      <w:r>
        <w:rPr>
          <w:spacing w:val="-3"/>
          <w:w w:val="105"/>
          <w:sz w:val="21"/>
        </w:rPr>
        <w:t>failed to </w:t>
      </w:r>
      <w:r>
        <w:rPr>
          <w:w w:val="105"/>
          <w:sz w:val="21"/>
        </w:rPr>
        <w:t>do so. The local </w:t>
      </w:r>
      <w:r>
        <w:rPr>
          <w:spacing w:val="-3"/>
          <w:w w:val="105"/>
          <w:sz w:val="21"/>
        </w:rPr>
        <w:t>council </w:t>
      </w:r>
      <w:r>
        <w:rPr>
          <w:w w:val="105"/>
          <w:sz w:val="21"/>
        </w:rPr>
        <w:t>is under no </w:t>
      </w:r>
      <w:r>
        <w:rPr>
          <w:spacing w:val="-3"/>
          <w:w w:val="105"/>
          <w:sz w:val="21"/>
        </w:rPr>
        <w:t>obligation to follow </w:t>
      </w:r>
      <w:r>
        <w:rPr>
          <w:w w:val="105"/>
          <w:sz w:val="21"/>
        </w:rPr>
        <w:t>this </w:t>
      </w:r>
      <w:r>
        <w:rPr>
          <w:spacing w:val="-4"/>
          <w:w w:val="105"/>
          <w:sz w:val="21"/>
        </w:rPr>
        <w:t>request.</w:t>
      </w:r>
      <w:r>
        <w:rPr>
          <w:spacing w:val="-4"/>
          <w:w w:val="105"/>
          <w:position w:val="7"/>
          <w:sz w:val="12"/>
        </w:rPr>
        <w:t>185 </w:t>
      </w:r>
      <w:r>
        <w:rPr>
          <w:w w:val="105"/>
          <w:sz w:val="21"/>
        </w:rPr>
        <w:t>The QLRC reported </w:t>
      </w:r>
      <w:r>
        <w:rPr>
          <w:spacing w:val="-3"/>
          <w:w w:val="105"/>
          <w:sz w:val="21"/>
        </w:rPr>
        <w:t>that </w:t>
      </w:r>
      <w:r>
        <w:rPr>
          <w:w w:val="105"/>
          <w:sz w:val="21"/>
        </w:rPr>
        <w:t>this </w:t>
      </w:r>
      <w:r>
        <w:rPr>
          <w:spacing w:val="-3"/>
          <w:w w:val="105"/>
          <w:sz w:val="21"/>
        </w:rPr>
        <w:t>mechanism </w:t>
      </w:r>
      <w:r>
        <w:rPr>
          <w:w w:val="105"/>
          <w:sz w:val="21"/>
        </w:rPr>
        <w:t>is </w:t>
      </w:r>
      <w:r>
        <w:rPr>
          <w:spacing w:val="-2"/>
          <w:w w:val="105"/>
          <w:sz w:val="21"/>
        </w:rPr>
        <w:t>not </w:t>
      </w:r>
      <w:r>
        <w:rPr>
          <w:spacing w:val="-3"/>
          <w:w w:val="105"/>
          <w:sz w:val="21"/>
        </w:rPr>
        <w:t>frequently</w:t>
      </w:r>
      <w:r>
        <w:rPr>
          <w:spacing w:val="5"/>
          <w:w w:val="105"/>
          <w:sz w:val="21"/>
        </w:rPr>
        <w:t> </w:t>
      </w:r>
      <w:r>
        <w:rPr>
          <w:spacing w:val="-4"/>
          <w:w w:val="105"/>
          <w:sz w:val="21"/>
        </w:rPr>
        <w:t>used.</w:t>
      </w:r>
      <w:r>
        <w:rPr>
          <w:spacing w:val="-4"/>
          <w:w w:val="105"/>
          <w:position w:val="7"/>
          <w:sz w:val="12"/>
        </w:rPr>
        <w:t>186</w:t>
      </w:r>
    </w:p>
    <w:p>
      <w:pPr>
        <w:pStyle w:val="BodyText"/>
        <w:rPr>
          <w:sz w:val="20"/>
        </w:rPr>
      </w:pPr>
    </w:p>
    <w:p>
      <w:pPr>
        <w:pStyle w:val="BodyText"/>
        <w:rPr>
          <w:sz w:val="20"/>
        </w:rPr>
      </w:pPr>
    </w:p>
    <w:p>
      <w:pPr>
        <w:pStyle w:val="BodyText"/>
        <w:rPr>
          <w:sz w:val="20"/>
        </w:rPr>
      </w:pPr>
    </w:p>
    <w:p>
      <w:pPr>
        <w:pStyle w:val="BodyText"/>
        <w:spacing w:before="8"/>
        <w:rPr>
          <w:sz w:val="14"/>
        </w:rPr>
      </w:pPr>
      <w:r>
        <w:rPr/>
        <w:pict>
          <v:line style="position:absolute;mso-position-horizontal-relative:page;mso-position-vertical-relative:paragraph;z-index:9032;mso-wrap-distance-left:0;mso-wrap-distance-right:0" from="79.370102pt,11.409409pt" to="515.905102pt,11.409409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55"/>
        </w:numPr>
        <w:tabs>
          <w:tab w:pos="2381" w:val="left" w:leader="none"/>
          <w:tab w:pos="2382" w:val="left" w:leader="none"/>
        </w:tabs>
        <w:spacing w:line="240" w:lineRule="auto" w:before="48" w:after="0"/>
        <w:ind w:left="2381" w:right="338" w:hanging="794"/>
        <w:jc w:val="left"/>
        <w:rPr>
          <w:sz w:val="13"/>
        </w:rPr>
      </w:pPr>
      <w:r>
        <w:rPr>
          <w:w w:val="105"/>
          <w:sz w:val="13"/>
        </w:rPr>
        <w:t>Land and Environment Court of New South Wales, </w:t>
      </w:r>
      <w:r>
        <w:rPr>
          <w:i/>
          <w:w w:val="105"/>
          <w:sz w:val="13"/>
        </w:rPr>
        <w:t>Enforcement </w:t>
      </w:r>
      <w:r>
        <w:rPr>
          <w:w w:val="105"/>
          <w:sz w:val="13"/>
        </w:rPr>
        <w:t>(Web Page, 2 May 2015) </w:t>
      </w:r>
      <w:r>
        <w:rPr>
          <w:spacing w:val="2"/>
          <w:w w:val="105"/>
          <w:sz w:val="13"/>
        </w:rPr>
        <w:t>&lt;</w:t>
      </w:r>
      <w:hyperlink r:id="rId116">
        <w:r>
          <w:rPr>
            <w:spacing w:val="2"/>
            <w:w w:val="105"/>
            <w:sz w:val="13"/>
          </w:rPr>
          <w:t>http://www.lec.justice.nsw.gov.au/Pages/</w:t>
        </w:r>
      </w:hyperlink>
      <w:r>
        <w:rPr>
          <w:spacing w:val="2"/>
          <w:w w:val="105"/>
          <w:sz w:val="13"/>
        </w:rPr>
        <w:t> coming_to_the_court/end_of_a_case/enforcement.aspx&gt;.</w:t>
      </w:r>
    </w:p>
    <w:p>
      <w:pPr>
        <w:pStyle w:val="ListParagraph"/>
        <w:numPr>
          <w:ilvl w:val="0"/>
          <w:numId w:val="155"/>
        </w:numPr>
        <w:tabs>
          <w:tab w:pos="2381" w:val="left" w:leader="none"/>
          <w:tab w:pos="2382" w:val="left" w:leader="none"/>
        </w:tabs>
        <w:spacing w:line="240" w:lineRule="auto" w:before="3" w:after="0"/>
        <w:ind w:left="2381"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5"/>
          <w:w w:val="105"/>
          <w:sz w:val="13"/>
        </w:rPr>
        <w:t> </w:t>
      </w:r>
      <w:r>
        <w:rPr>
          <w:spacing w:val="-3"/>
          <w:w w:val="105"/>
          <w:sz w:val="13"/>
        </w:rPr>
        <w:t>91.</w:t>
      </w:r>
    </w:p>
    <w:p>
      <w:pPr>
        <w:pStyle w:val="ListParagraph"/>
        <w:numPr>
          <w:ilvl w:val="0"/>
          <w:numId w:val="155"/>
        </w:numPr>
        <w:tabs>
          <w:tab w:pos="2381" w:val="left" w:leader="none"/>
          <w:tab w:pos="2382" w:val="left" w:leader="none"/>
        </w:tabs>
        <w:spacing w:line="240" w:lineRule="auto" w:before="1" w:after="0"/>
        <w:ind w:left="2381" w:right="477" w:hanging="794"/>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 2015) [5.25] citing </w:t>
      </w:r>
      <w:r>
        <w:rPr>
          <w:i/>
          <w:w w:val="105"/>
          <w:sz w:val="13"/>
        </w:rPr>
        <w:t>Franchi v Yazdani </w:t>
      </w:r>
      <w:r>
        <w:rPr>
          <w:spacing w:val="3"/>
          <w:w w:val="105"/>
          <w:sz w:val="13"/>
        </w:rPr>
        <w:t>(No </w:t>
      </w:r>
      <w:r>
        <w:rPr>
          <w:w w:val="105"/>
          <w:sz w:val="13"/>
        </w:rPr>
        <w:t>2) [2015] QCAT</w:t>
      </w:r>
      <w:r>
        <w:rPr>
          <w:spacing w:val="2"/>
          <w:w w:val="105"/>
          <w:sz w:val="13"/>
        </w:rPr>
        <w:t> </w:t>
      </w:r>
      <w:r>
        <w:rPr>
          <w:spacing w:val="-5"/>
          <w:w w:val="105"/>
          <w:sz w:val="13"/>
        </w:rPr>
        <w:t>112, </w:t>
      </w:r>
      <w:r>
        <w:rPr>
          <w:w w:val="105"/>
          <w:sz w:val="13"/>
        </w:rPr>
        <w:t>[11].</w:t>
      </w:r>
    </w:p>
    <w:p>
      <w:pPr>
        <w:pStyle w:val="ListParagraph"/>
        <w:numPr>
          <w:ilvl w:val="0"/>
          <w:numId w:val="155"/>
        </w:numPr>
        <w:tabs>
          <w:tab w:pos="2381" w:val="left" w:leader="none"/>
          <w:tab w:pos="2382" w:val="left" w:leader="none"/>
        </w:tabs>
        <w:spacing w:line="240" w:lineRule="auto" w:before="3" w:after="0"/>
        <w:ind w:left="2381"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5"/>
          <w:w w:val="105"/>
          <w:sz w:val="13"/>
        </w:rPr>
        <w:t> </w:t>
      </w:r>
      <w:r>
        <w:rPr>
          <w:spacing w:val="-3"/>
          <w:w w:val="105"/>
          <w:sz w:val="13"/>
        </w:rPr>
        <w:t>77.</w:t>
      </w:r>
    </w:p>
    <w:p>
      <w:pPr>
        <w:pStyle w:val="ListParagraph"/>
        <w:numPr>
          <w:ilvl w:val="0"/>
          <w:numId w:val="155"/>
        </w:numPr>
        <w:tabs>
          <w:tab w:pos="2381" w:val="left" w:leader="none"/>
          <w:tab w:pos="2382" w:val="left" w:leader="none"/>
        </w:tabs>
        <w:spacing w:line="240" w:lineRule="auto" w:before="1" w:after="0"/>
        <w:ind w:left="2381" w:right="0" w:hanging="794"/>
        <w:jc w:val="left"/>
        <w:rPr>
          <w:sz w:val="13"/>
        </w:rPr>
      </w:pPr>
      <w:r>
        <w:rPr>
          <w:w w:val="105"/>
          <w:sz w:val="13"/>
        </w:rPr>
        <w:t>Queensland Government, </w:t>
      </w:r>
      <w:r>
        <w:rPr>
          <w:i/>
          <w:w w:val="105"/>
          <w:sz w:val="13"/>
        </w:rPr>
        <w:t>Sentencing Fine and Penalties for Offences </w:t>
      </w:r>
      <w:r>
        <w:rPr>
          <w:w w:val="105"/>
          <w:sz w:val="13"/>
        </w:rPr>
        <w:t>(Web Page, 5 July 2018) </w:t>
      </w:r>
      <w:r>
        <w:rPr>
          <w:spacing w:val="2"/>
          <w:w w:val="105"/>
          <w:sz w:val="13"/>
        </w:rPr>
        <w:t>&lt;</w:t>
      </w:r>
      <w:hyperlink r:id="rId247">
        <w:r>
          <w:rPr>
            <w:spacing w:val="2"/>
            <w:w w:val="105"/>
            <w:sz w:val="13"/>
          </w:rPr>
          <w:t>https://www.qld.gov.au/law/fines-and-</w:t>
        </w:r>
      </w:hyperlink>
      <w:hyperlink r:id="rId247">
        <w:r>
          <w:rPr>
            <w:spacing w:val="2"/>
            <w:w w:val="105"/>
            <w:sz w:val="13"/>
          </w:rPr>
          <w:t> </w:t>
        </w:r>
        <w:r>
          <w:rPr>
            <w:w w:val="105"/>
            <w:sz w:val="13"/>
          </w:rPr>
          <w:t>penalties/types-of-fines/sentencing-fines-and-penalties-for-offences</w:t>
        </w:r>
      </w:hyperlink>
      <w:r>
        <w:rPr>
          <w:w w:val="105"/>
          <w:sz w:val="13"/>
        </w:rPr>
        <w:t>&gt;. The penalty unit value in Queensland is $130.55 (current from 1 July 2018).</w:t>
      </w:r>
    </w:p>
    <w:p>
      <w:pPr>
        <w:pStyle w:val="ListParagraph"/>
        <w:numPr>
          <w:ilvl w:val="0"/>
          <w:numId w:val="155"/>
        </w:numPr>
        <w:tabs>
          <w:tab w:pos="2381" w:val="left" w:leader="none"/>
          <w:tab w:pos="2382" w:val="left" w:leader="none"/>
        </w:tabs>
        <w:spacing w:line="240" w:lineRule="auto" w:before="4" w:after="0"/>
        <w:ind w:left="2381" w:right="334" w:hanging="794"/>
        <w:jc w:val="left"/>
        <w:rPr>
          <w:sz w:val="13"/>
        </w:rPr>
      </w:pPr>
      <w:r>
        <w:rPr>
          <w:sz w:val="13"/>
        </w:rPr>
        <w:t>Instead it was suggested that the general penalty for non- compliance under the QCAT Act would be sufficient. </w:t>
      </w:r>
      <w:r>
        <w:rPr>
          <w:i/>
          <w:sz w:val="13"/>
        </w:rPr>
        <w:t>Queensland Civil and </w:t>
      </w:r>
      <w:r>
        <w:rPr>
          <w:i/>
          <w:sz w:val="13"/>
        </w:rPr>
        <w:t>Administrative Tribunal Act 2009 </w:t>
      </w:r>
      <w:r>
        <w:rPr>
          <w:spacing w:val="2"/>
          <w:sz w:val="13"/>
        </w:rPr>
        <w:t>(Qld) </w:t>
      </w:r>
      <w:r>
        <w:rPr>
          <w:sz w:val="13"/>
        </w:rPr>
        <w:t>s</w:t>
      </w:r>
      <w:r>
        <w:rPr>
          <w:spacing w:val="9"/>
          <w:sz w:val="13"/>
        </w:rPr>
        <w:t> </w:t>
      </w:r>
      <w:r>
        <w:rPr>
          <w:spacing w:val="-3"/>
          <w:sz w:val="13"/>
        </w:rPr>
        <w:t>213.</w:t>
      </w:r>
    </w:p>
    <w:p>
      <w:pPr>
        <w:pStyle w:val="ListParagraph"/>
        <w:numPr>
          <w:ilvl w:val="0"/>
          <w:numId w:val="155"/>
        </w:numPr>
        <w:tabs>
          <w:tab w:pos="2381" w:val="left" w:leader="none"/>
          <w:tab w:pos="2382" w:val="left" w:leader="none"/>
        </w:tabs>
        <w:spacing w:line="240" w:lineRule="auto" w:before="3" w:after="0"/>
        <w:ind w:left="2381" w:right="446" w:hanging="794"/>
        <w:jc w:val="left"/>
        <w:rPr>
          <w:sz w:val="13"/>
        </w:rPr>
      </w:pPr>
      <w:r>
        <w:rPr>
          <w:w w:val="105"/>
          <w:sz w:val="13"/>
        </w:rPr>
        <w:t>Queensland Law Reform Commission, </w:t>
      </w:r>
      <w:r>
        <w:rPr>
          <w:i/>
          <w:w w:val="105"/>
          <w:sz w:val="13"/>
        </w:rPr>
        <w:t>Review of the Neighbourhood Disputes (Dividing Fences and Trees) Act </w:t>
      </w:r>
      <w:r>
        <w:rPr>
          <w:i/>
          <w:spacing w:val="-5"/>
          <w:w w:val="105"/>
          <w:sz w:val="13"/>
        </w:rPr>
        <w:t>2011, </w:t>
      </w:r>
      <w:r>
        <w:rPr>
          <w:spacing w:val="2"/>
          <w:w w:val="105"/>
          <w:sz w:val="13"/>
        </w:rPr>
        <w:t>(Report </w:t>
      </w:r>
      <w:r>
        <w:rPr>
          <w:w w:val="105"/>
          <w:sz w:val="13"/>
        </w:rPr>
        <w:t>No 72, December (2015)</w:t>
      </w:r>
      <w:r>
        <w:rPr>
          <w:spacing w:val="8"/>
          <w:w w:val="105"/>
          <w:sz w:val="13"/>
        </w:rPr>
        <w:t> </w:t>
      </w:r>
      <w:r>
        <w:rPr>
          <w:w w:val="105"/>
          <w:sz w:val="13"/>
        </w:rPr>
        <w:t>[5.125]</w:t>
      </w:r>
    </w:p>
    <w:p>
      <w:pPr>
        <w:tabs>
          <w:tab w:pos="2381" w:val="left" w:leader="none"/>
        </w:tabs>
        <w:spacing w:before="2"/>
        <w:ind w:left="1587" w:right="0" w:firstLine="0"/>
        <w:jc w:val="left"/>
        <w:rPr>
          <w:sz w:val="13"/>
        </w:rPr>
      </w:pPr>
      <w:r>
        <w:rPr>
          <w:spacing w:val="-3"/>
          <w:w w:val="105"/>
          <w:sz w:val="13"/>
        </w:rPr>
        <w:t>179</w:t>
        <w:tab/>
      </w:r>
      <w:r>
        <w:rPr>
          <w:w w:val="105"/>
          <w:sz w:val="13"/>
        </w:rPr>
        <w:t>Ibid</w:t>
      </w:r>
      <w:r>
        <w:rPr>
          <w:spacing w:val="-8"/>
          <w:w w:val="105"/>
          <w:sz w:val="13"/>
        </w:rPr>
        <w:t> </w:t>
      </w:r>
      <w:r>
        <w:rPr>
          <w:w w:val="105"/>
          <w:sz w:val="13"/>
        </w:rPr>
        <w:t>[5.127]</w:t>
      </w:r>
    </w:p>
    <w:p>
      <w:pPr>
        <w:tabs>
          <w:tab w:pos="2381" w:val="left" w:leader="none"/>
        </w:tabs>
        <w:spacing w:before="2"/>
        <w:ind w:left="1587" w:right="0" w:firstLine="0"/>
        <w:jc w:val="left"/>
        <w:rPr>
          <w:sz w:val="13"/>
        </w:rPr>
      </w:pPr>
      <w:r>
        <w:rPr>
          <w:w w:val="105"/>
          <w:sz w:val="13"/>
        </w:rPr>
        <w:t>180</w:t>
        <w:tab/>
        <w:t>Ibid</w:t>
      </w:r>
      <w:r>
        <w:rPr>
          <w:spacing w:val="-3"/>
          <w:w w:val="105"/>
          <w:sz w:val="13"/>
        </w:rPr>
        <w:t> </w:t>
      </w:r>
      <w:r>
        <w:rPr>
          <w:w w:val="105"/>
          <w:sz w:val="13"/>
        </w:rPr>
        <w:t>[5.126]</w:t>
      </w:r>
    </w:p>
    <w:p>
      <w:pPr>
        <w:tabs>
          <w:tab w:pos="2381" w:val="left" w:leader="none"/>
        </w:tabs>
        <w:spacing w:before="1"/>
        <w:ind w:left="1587" w:right="0" w:firstLine="0"/>
        <w:jc w:val="left"/>
        <w:rPr>
          <w:sz w:val="13"/>
        </w:rPr>
      </w:pPr>
      <w:r>
        <w:rPr>
          <w:spacing w:val="-2"/>
          <w:w w:val="110"/>
          <w:sz w:val="13"/>
        </w:rPr>
        <w:t>181</w:t>
        <w:tab/>
      </w:r>
      <w:r>
        <w:rPr>
          <w:w w:val="110"/>
          <w:sz w:val="13"/>
        </w:rPr>
        <w:t>Ibid</w:t>
      </w:r>
      <w:r>
        <w:rPr>
          <w:spacing w:val="3"/>
          <w:w w:val="110"/>
          <w:sz w:val="13"/>
        </w:rPr>
        <w:t> </w:t>
      </w:r>
      <w:r>
        <w:rPr>
          <w:w w:val="110"/>
          <w:sz w:val="13"/>
        </w:rPr>
        <w:t>242.</w:t>
      </w:r>
    </w:p>
    <w:p>
      <w:pPr>
        <w:tabs>
          <w:tab w:pos="2381" w:val="left" w:leader="none"/>
        </w:tabs>
        <w:spacing w:before="1"/>
        <w:ind w:left="1587" w:right="0" w:firstLine="0"/>
        <w:jc w:val="left"/>
        <w:rPr>
          <w:sz w:val="13"/>
        </w:rPr>
      </w:pPr>
      <w:r>
        <w:rPr>
          <w:w w:val="105"/>
          <w:sz w:val="13"/>
        </w:rPr>
        <w:t>182</w:t>
        <w:tab/>
        <w:t>Ibid</w:t>
      </w:r>
      <w:r>
        <w:rPr>
          <w:spacing w:val="4"/>
          <w:w w:val="105"/>
          <w:sz w:val="13"/>
        </w:rPr>
        <w:t> </w:t>
      </w:r>
      <w:r>
        <w:rPr>
          <w:spacing w:val="3"/>
          <w:w w:val="105"/>
          <w:sz w:val="13"/>
        </w:rPr>
        <w:t>[5.68].</w:t>
      </w:r>
    </w:p>
    <w:p>
      <w:pPr>
        <w:tabs>
          <w:tab w:pos="2381" w:val="left" w:leader="none"/>
        </w:tabs>
        <w:spacing w:before="2"/>
        <w:ind w:left="1587" w:right="4822" w:hanging="1"/>
        <w:jc w:val="left"/>
        <w:rPr>
          <w:sz w:val="13"/>
        </w:rPr>
      </w:pPr>
      <w:r>
        <w:rPr>
          <w:w w:val="105"/>
          <w:sz w:val="13"/>
        </w:rPr>
        <w:t>183</w:t>
        <w:tab/>
        <w:t>Ibid </w:t>
      </w:r>
      <w:r>
        <w:rPr>
          <w:spacing w:val="2"/>
          <w:w w:val="105"/>
          <w:sz w:val="13"/>
        </w:rPr>
        <w:t>[5.68]; </w:t>
      </w:r>
      <w:r>
        <w:rPr>
          <w:w w:val="105"/>
          <w:sz w:val="13"/>
        </w:rPr>
        <w:t>see, eg, </w:t>
      </w:r>
      <w:r>
        <w:rPr>
          <w:i/>
          <w:w w:val="105"/>
          <w:sz w:val="13"/>
        </w:rPr>
        <w:t>Attwell v Oman </w:t>
      </w:r>
      <w:r>
        <w:rPr>
          <w:w w:val="105"/>
          <w:sz w:val="13"/>
        </w:rPr>
        <w:t>[2017] QCAT </w:t>
      </w:r>
      <w:r>
        <w:rPr>
          <w:spacing w:val="-4"/>
          <w:w w:val="105"/>
          <w:sz w:val="13"/>
        </w:rPr>
        <w:t>251. </w:t>
      </w:r>
      <w:r>
        <w:rPr>
          <w:w w:val="105"/>
          <w:sz w:val="13"/>
        </w:rPr>
        <w:t>184</w:t>
        <w:tab/>
        <w:t>Ibid</w:t>
      </w:r>
      <w:r>
        <w:rPr>
          <w:spacing w:val="4"/>
          <w:w w:val="105"/>
          <w:sz w:val="13"/>
        </w:rPr>
        <w:t> </w:t>
      </w:r>
      <w:r>
        <w:rPr>
          <w:spacing w:val="2"/>
          <w:w w:val="105"/>
          <w:sz w:val="13"/>
        </w:rPr>
        <w:t>[5.69].</w:t>
      </w:r>
    </w:p>
    <w:p>
      <w:pPr>
        <w:tabs>
          <w:tab w:pos="2381" w:val="left" w:leader="none"/>
        </w:tabs>
        <w:spacing w:before="2"/>
        <w:ind w:left="1587" w:right="0" w:firstLine="0"/>
        <w:jc w:val="left"/>
        <w:rPr>
          <w:sz w:val="13"/>
        </w:rPr>
      </w:pPr>
      <w:r>
        <w:rPr>
          <w:w w:val="105"/>
          <w:sz w:val="13"/>
        </w:rPr>
        <w:t>185</w:t>
        <w:tab/>
      </w: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5"/>
          <w:w w:val="105"/>
          <w:sz w:val="13"/>
        </w:rPr>
        <w:t> </w:t>
      </w:r>
      <w:r>
        <w:rPr>
          <w:spacing w:val="2"/>
          <w:w w:val="105"/>
          <w:sz w:val="13"/>
        </w:rPr>
        <w:t>88.</w:t>
      </w:r>
    </w:p>
    <w:p>
      <w:pPr>
        <w:tabs>
          <w:tab w:pos="2381" w:val="left" w:leader="none"/>
        </w:tabs>
        <w:spacing w:before="2"/>
        <w:ind w:left="2381" w:right="446" w:hanging="794"/>
        <w:jc w:val="left"/>
        <w:rPr>
          <w:sz w:val="13"/>
        </w:rPr>
      </w:pPr>
      <w:r>
        <w:rPr>
          <w:w w:val="105"/>
          <w:sz w:val="13"/>
        </w:rPr>
        <w:t>186</w:t>
        <w:tab/>
        <w:t>Queensland Law Reform Commission, </w:t>
      </w:r>
      <w:r>
        <w:rPr>
          <w:i/>
          <w:w w:val="105"/>
          <w:sz w:val="13"/>
        </w:rPr>
        <w:t>Review of the Neighbourhood Disputes (Dividing Fences and Trees) Act </w:t>
      </w:r>
      <w:r>
        <w:rPr>
          <w:i/>
          <w:spacing w:val="-5"/>
          <w:w w:val="105"/>
          <w:sz w:val="13"/>
        </w:rPr>
        <w:t>2011, </w:t>
      </w:r>
      <w:r>
        <w:rPr>
          <w:spacing w:val="2"/>
          <w:w w:val="105"/>
          <w:sz w:val="13"/>
        </w:rPr>
        <w:t>(Report </w:t>
      </w:r>
      <w:r>
        <w:rPr>
          <w:w w:val="105"/>
          <w:sz w:val="13"/>
        </w:rPr>
        <w:t>No 72, December (2015)</w:t>
      </w:r>
      <w:r>
        <w:rPr>
          <w:spacing w:val="9"/>
          <w:w w:val="105"/>
          <w:sz w:val="13"/>
        </w:rPr>
        <w:t> </w:t>
      </w:r>
      <w:r>
        <w:rPr>
          <w:w w:val="105"/>
          <w:sz w:val="13"/>
        </w:rPr>
        <w:t>[5.93].</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27"/>
        <w:ind w:left="578" w:right="570" w:firstLine="0"/>
        <w:jc w:val="center"/>
        <w:rPr>
          <w:b/>
          <w:sz w:val="24"/>
        </w:rPr>
      </w:pPr>
      <w:r>
        <w:rPr>
          <w:b/>
          <w:color w:val="658464"/>
          <w:w w:val="110"/>
          <w:sz w:val="24"/>
        </w:rPr>
        <w:t>211</w:t>
      </w:r>
    </w:p>
    <w:p>
      <w:pPr>
        <w:spacing w:after="0"/>
        <w:jc w:val="center"/>
        <w:rPr>
          <w:sz w:val="24"/>
        </w:rPr>
        <w:sectPr>
          <w:type w:val="continuous"/>
          <w:pgSz w:w="11910" w:h="16840"/>
          <w:pgMar w:top="300" w:bottom="280" w:left="0" w:right="0"/>
          <w:cols w:num="2" w:equalWidth="0">
            <w:col w:w="10270" w:space="40"/>
            <w:col w:w="1600"/>
          </w:cols>
        </w:sectPr>
      </w:pPr>
    </w:p>
    <w:p>
      <w:pPr>
        <w:pStyle w:val="BodyText"/>
        <w:spacing w:before="9"/>
        <w:rPr>
          <w:b/>
          <w:sz w:val="22"/>
        </w:rPr>
      </w:pPr>
    </w:p>
    <w:p>
      <w:pPr>
        <w:pStyle w:val="ListParagraph"/>
        <w:numPr>
          <w:ilvl w:val="1"/>
          <w:numId w:val="16"/>
        </w:numPr>
        <w:tabs>
          <w:tab w:pos="2381" w:val="left" w:leader="none"/>
          <w:tab w:pos="2382" w:val="left" w:leader="none"/>
        </w:tabs>
        <w:spacing w:line="242" w:lineRule="auto" w:before="92" w:after="0"/>
        <w:ind w:left="2381" w:right="1639" w:hanging="794"/>
        <w:jc w:val="left"/>
        <w:rPr>
          <w:sz w:val="21"/>
        </w:rPr>
      </w:pPr>
      <w:bookmarkStart w:name="Community responses—enforcement of order" w:id="243"/>
      <w:bookmarkEnd w:id="243"/>
      <w:r>
        <w:rPr/>
      </w:r>
      <w:bookmarkStart w:name="_bookmark115" w:id="244"/>
      <w:bookmarkEnd w:id="244"/>
      <w:r>
        <w:rPr/>
      </w:r>
      <w:bookmarkStart w:name="_bookmark115" w:id="245"/>
      <w:bookmarkEnd w:id="245"/>
      <w:r>
        <w:rPr>
          <w:spacing w:val="-4"/>
          <w:w w:val="105"/>
          <w:sz w:val="21"/>
        </w:rPr>
        <w:t>Q</w:t>
      </w:r>
      <w:r>
        <w:rPr>
          <w:spacing w:val="-4"/>
          <w:w w:val="105"/>
          <w:sz w:val="21"/>
        </w:rPr>
        <w:t>CAT </w:t>
      </w:r>
      <w:r>
        <w:rPr>
          <w:w w:val="105"/>
          <w:sz w:val="21"/>
        </w:rPr>
        <w:t>does </w:t>
      </w:r>
      <w:r>
        <w:rPr>
          <w:spacing w:val="-2"/>
          <w:w w:val="105"/>
          <w:sz w:val="21"/>
        </w:rPr>
        <w:t>not </w:t>
      </w:r>
      <w:r>
        <w:rPr>
          <w:spacing w:val="-3"/>
          <w:w w:val="105"/>
          <w:sz w:val="21"/>
        </w:rPr>
        <w:t>have </w:t>
      </w:r>
      <w:r>
        <w:rPr>
          <w:w w:val="105"/>
          <w:sz w:val="21"/>
        </w:rPr>
        <w:t>jurisdiction </w:t>
      </w:r>
      <w:r>
        <w:rPr>
          <w:spacing w:val="-3"/>
          <w:w w:val="105"/>
          <w:sz w:val="21"/>
        </w:rPr>
        <w:t>to enforce </w:t>
      </w:r>
      <w:r>
        <w:rPr>
          <w:w w:val="105"/>
          <w:sz w:val="21"/>
        </w:rPr>
        <w:t>its own orders when there is </w:t>
      </w:r>
      <w:r>
        <w:rPr>
          <w:spacing w:val="-3"/>
          <w:w w:val="105"/>
          <w:sz w:val="21"/>
        </w:rPr>
        <w:t>noncompliance. </w:t>
      </w:r>
      <w:r>
        <w:rPr>
          <w:w w:val="105"/>
          <w:sz w:val="21"/>
        </w:rPr>
        <w:t>A person </w:t>
      </w:r>
      <w:r>
        <w:rPr>
          <w:spacing w:val="-3"/>
          <w:w w:val="105"/>
          <w:sz w:val="21"/>
        </w:rPr>
        <w:t>wishing to enforce </w:t>
      </w:r>
      <w:r>
        <w:rPr>
          <w:w w:val="105"/>
          <w:sz w:val="21"/>
        </w:rPr>
        <w:t>a monetary order must file the </w:t>
      </w:r>
      <w:r>
        <w:rPr>
          <w:spacing w:val="-4"/>
          <w:w w:val="105"/>
          <w:sz w:val="21"/>
        </w:rPr>
        <w:t>QCAT </w:t>
      </w:r>
      <w:r>
        <w:rPr>
          <w:w w:val="105"/>
          <w:sz w:val="21"/>
        </w:rPr>
        <w:t>order and an affidavit </w:t>
      </w:r>
      <w:r>
        <w:rPr>
          <w:spacing w:val="-3"/>
          <w:w w:val="105"/>
          <w:sz w:val="21"/>
        </w:rPr>
        <w:t>confirming </w:t>
      </w:r>
      <w:r>
        <w:rPr>
          <w:w w:val="105"/>
          <w:sz w:val="21"/>
        </w:rPr>
        <w:t>non-compliance in a court of </w:t>
      </w:r>
      <w:r>
        <w:rPr>
          <w:spacing w:val="-3"/>
          <w:w w:val="105"/>
          <w:sz w:val="21"/>
        </w:rPr>
        <w:t>competent jurisdiction, usually </w:t>
      </w:r>
      <w:r>
        <w:rPr>
          <w:w w:val="105"/>
          <w:sz w:val="21"/>
        </w:rPr>
        <w:t>the </w:t>
      </w:r>
      <w:r>
        <w:rPr>
          <w:spacing w:val="-3"/>
          <w:w w:val="105"/>
          <w:sz w:val="21"/>
        </w:rPr>
        <w:t>Magistrates’ </w:t>
      </w:r>
      <w:r>
        <w:rPr>
          <w:spacing w:val="-5"/>
          <w:w w:val="105"/>
          <w:sz w:val="21"/>
        </w:rPr>
        <w:t>Court.</w:t>
      </w:r>
      <w:r>
        <w:rPr>
          <w:spacing w:val="-5"/>
          <w:w w:val="105"/>
          <w:position w:val="7"/>
          <w:sz w:val="12"/>
        </w:rPr>
        <w:t>187 </w:t>
      </w:r>
      <w:r>
        <w:rPr>
          <w:w w:val="105"/>
          <w:sz w:val="21"/>
        </w:rPr>
        <w:t>A person </w:t>
      </w:r>
      <w:r>
        <w:rPr>
          <w:spacing w:val="-3"/>
          <w:w w:val="105"/>
          <w:sz w:val="21"/>
        </w:rPr>
        <w:t>wishing to enforce </w:t>
      </w:r>
      <w:r>
        <w:rPr>
          <w:w w:val="105"/>
          <w:sz w:val="21"/>
        </w:rPr>
        <w:t>a nonmonetary order must file the </w:t>
      </w:r>
      <w:r>
        <w:rPr>
          <w:spacing w:val="-4"/>
          <w:w w:val="105"/>
          <w:sz w:val="21"/>
        </w:rPr>
        <w:t>QCAT </w:t>
      </w:r>
      <w:r>
        <w:rPr>
          <w:w w:val="105"/>
          <w:sz w:val="21"/>
        </w:rPr>
        <w:t>order and an affidavit </w:t>
      </w:r>
      <w:r>
        <w:rPr>
          <w:spacing w:val="-3"/>
          <w:w w:val="105"/>
          <w:sz w:val="21"/>
        </w:rPr>
        <w:t>confirming noncompliance </w:t>
      </w:r>
      <w:r>
        <w:rPr>
          <w:w w:val="105"/>
          <w:sz w:val="21"/>
        </w:rPr>
        <w:t>in the </w:t>
      </w:r>
      <w:r>
        <w:rPr>
          <w:spacing w:val="-3"/>
          <w:w w:val="105"/>
          <w:sz w:val="21"/>
        </w:rPr>
        <w:t>Supreme </w:t>
      </w:r>
      <w:r>
        <w:rPr>
          <w:spacing w:val="-4"/>
          <w:w w:val="105"/>
          <w:sz w:val="21"/>
        </w:rPr>
        <w:t>Court.</w:t>
      </w:r>
      <w:r>
        <w:rPr>
          <w:spacing w:val="-4"/>
          <w:w w:val="105"/>
          <w:position w:val="7"/>
          <w:sz w:val="12"/>
        </w:rPr>
        <w:t>188 </w:t>
      </w:r>
      <w:r>
        <w:rPr>
          <w:w w:val="105"/>
          <w:sz w:val="21"/>
        </w:rPr>
        <w:t>The </w:t>
      </w:r>
      <w:r>
        <w:rPr>
          <w:spacing w:val="-3"/>
          <w:w w:val="105"/>
          <w:sz w:val="21"/>
        </w:rPr>
        <w:t>Supreme Court may transfer </w:t>
      </w:r>
      <w:r>
        <w:rPr>
          <w:w w:val="105"/>
          <w:sz w:val="21"/>
        </w:rPr>
        <w:t>the application </w:t>
      </w:r>
      <w:r>
        <w:rPr>
          <w:spacing w:val="-3"/>
          <w:w w:val="105"/>
          <w:sz w:val="21"/>
        </w:rPr>
        <w:t>to </w:t>
      </w:r>
      <w:r>
        <w:rPr>
          <w:w w:val="105"/>
          <w:sz w:val="21"/>
        </w:rPr>
        <w:t>either the District </w:t>
      </w:r>
      <w:r>
        <w:rPr>
          <w:spacing w:val="-3"/>
          <w:w w:val="105"/>
          <w:sz w:val="21"/>
        </w:rPr>
        <w:t>Court </w:t>
      </w:r>
      <w:r>
        <w:rPr>
          <w:w w:val="105"/>
          <w:sz w:val="21"/>
        </w:rPr>
        <w:t>or </w:t>
      </w:r>
      <w:r>
        <w:rPr>
          <w:spacing w:val="-3"/>
          <w:w w:val="105"/>
          <w:sz w:val="21"/>
        </w:rPr>
        <w:t>Magistrates</w:t>
      </w:r>
      <w:r>
        <w:rPr>
          <w:spacing w:val="32"/>
          <w:w w:val="105"/>
          <w:sz w:val="21"/>
        </w:rPr>
        <w:t> </w:t>
      </w:r>
      <w:r>
        <w:rPr>
          <w:spacing w:val="-5"/>
          <w:w w:val="105"/>
          <w:sz w:val="21"/>
        </w:rPr>
        <w:t>Court.</w:t>
      </w:r>
      <w:r>
        <w:rPr>
          <w:spacing w:val="-5"/>
          <w:w w:val="105"/>
          <w:position w:val="7"/>
          <w:sz w:val="12"/>
        </w:rPr>
        <w:t>189</w:t>
      </w:r>
    </w:p>
    <w:p>
      <w:pPr>
        <w:pStyle w:val="BodyText"/>
        <w:spacing w:before="7"/>
        <w:rPr>
          <w:sz w:val="20"/>
        </w:rPr>
      </w:pPr>
    </w:p>
    <w:p>
      <w:pPr>
        <w:pStyle w:val="Heading5"/>
      </w:pPr>
      <w:r>
        <w:rPr>
          <w:spacing w:val="-3"/>
          <w:w w:val="110"/>
        </w:rPr>
        <w:t>Tasmania</w:t>
      </w:r>
    </w:p>
    <w:p>
      <w:pPr>
        <w:pStyle w:val="ListParagraph"/>
        <w:numPr>
          <w:ilvl w:val="1"/>
          <w:numId w:val="16"/>
        </w:numPr>
        <w:tabs>
          <w:tab w:pos="2381" w:val="left" w:leader="none"/>
          <w:tab w:pos="2382" w:val="left" w:leader="none"/>
        </w:tabs>
        <w:spacing w:line="242" w:lineRule="auto" w:before="137" w:after="0"/>
        <w:ind w:left="2381" w:right="2142" w:hanging="794"/>
        <w:jc w:val="left"/>
        <w:rPr>
          <w:sz w:val="21"/>
        </w:rPr>
      </w:pPr>
      <w:r>
        <w:rPr>
          <w:w w:val="105"/>
          <w:sz w:val="21"/>
        </w:rPr>
        <w:t>The </w:t>
      </w:r>
      <w:r>
        <w:rPr>
          <w:spacing w:val="-4"/>
          <w:w w:val="105"/>
          <w:sz w:val="21"/>
        </w:rPr>
        <w:t>Tasmanian </w:t>
      </w:r>
      <w:r>
        <w:rPr>
          <w:w w:val="105"/>
          <w:sz w:val="21"/>
        </w:rPr>
        <w:t>Act does </w:t>
      </w:r>
      <w:r>
        <w:rPr>
          <w:spacing w:val="-2"/>
          <w:w w:val="105"/>
          <w:sz w:val="21"/>
        </w:rPr>
        <w:t>not </w:t>
      </w:r>
      <w:r>
        <w:rPr>
          <w:w w:val="105"/>
          <w:sz w:val="21"/>
        </w:rPr>
        <w:t>set out penalties </w:t>
      </w:r>
      <w:r>
        <w:rPr>
          <w:spacing w:val="-3"/>
          <w:w w:val="105"/>
          <w:sz w:val="21"/>
        </w:rPr>
        <w:t>for </w:t>
      </w:r>
      <w:r>
        <w:rPr>
          <w:w w:val="105"/>
          <w:sz w:val="21"/>
        </w:rPr>
        <w:t>parties who </w:t>
      </w:r>
      <w:r>
        <w:rPr>
          <w:spacing w:val="-4"/>
          <w:w w:val="105"/>
          <w:sz w:val="21"/>
        </w:rPr>
        <w:t>fail </w:t>
      </w:r>
      <w:r>
        <w:rPr>
          <w:spacing w:val="-3"/>
          <w:w w:val="105"/>
          <w:sz w:val="21"/>
        </w:rPr>
        <w:t>to follow </w:t>
      </w:r>
      <w:r>
        <w:rPr>
          <w:spacing w:val="-6"/>
          <w:w w:val="105"/>
          <w:sz w:val="21"/>
        </w:rPr>
        <w:t>RMPAT’s </w:t>
      </w:r>
      <w:r>
        <w:rPr>
          <w:w w:val="105"/>
          <w:sz w:val="21"/>
        </w:rPr>
        <w:t>orders as the New South </w:t>
      </w:r>
      <w:r>
        <w:rPr>
          <w:spacing w:val="-3"/>
          <w:w w:val="105"/>
          <w:sz w:val="21"/>
        </w:rPr>
        <w:t>Wales </w:t>
      </w:r>
      <w:r>
        <w:rPr>
          <w:w w:val="105"/>
          <w:sz w:val="21"/>
        </w:rPr>
        <w:t>and </w:t>
      </w:r>
      <w:r>
        <w:rPr>
          <w:spacing w:val="-3"/>
          <w:w w:val="105"/>
          <w:sz w:val="21"/>
        </w:rPr>
        <w:t>Queensland </w:t>
      </w:r>
      <w:r>
        <w:rPr>
          <w:w w:val="105"/>
          <w:sz w:val="21"/>
        </w:rPr>
        <w:t>Acts</w:t>
      </w:r>
      <w:r>
        <w:rPr>
          <w:spacing w:val="44"/>
          <w:w w:val="105"/>
          <w:sz w:val="21"/>
        </w:rPr>
        <w:t> </w:t>
      </w:r>
      <w:r>
        <w:rPr>
          <w:w w:val="105"/>
          <w:sz w:val="21"/>
        </w:rPr>
        <w:t>do.</w:t>
      </w:r>
    </w:p>
    <w:p>
      <w:pPr>
        <w:pStyle w:val="ListParagraph"/>
        <w:numPr>
          <w:ilvl w:val="1"/>
          <w:numId w:val="16"/>
        </w:numPr>
        <w:tabs>
          <w:tab w:pos="2380" w:val="left" w:leader="none"/>
          <w:tab w:pos="2381" w:val="left" w:leader="none"/>
        </w:tabs>
        <w:spacing w:line="242" w:lineRule="auto" w:before="122" w:after="0"/>
        <w:ind w:left="2381" w:right="1798" w:hanging="794"/>
        <w:jc w:val="left"/>
        <w:rPr>
          <w:sz w:val="21"/>
        </w:rPr>
      </w:pPr>
      <w:r>
        <w:rPr>
          <w:spacing w:val="-6"/>
          <w:w w:val="105"/>
          <w:sz w:val="21"/>
        </w:rPr>
        <w:t>RMPAT</w:t>
      </w:r>
      <w:r>
        <w:rPr>
          <w:spacing w:val="-5"/>
          <w:w w:val="105"/>
          <w:sz w:val="21"/>
        </w:rPr>
        <w:t> </w:t>
      </w:r>
      <w:r>
        <w:rPr>
          <w:w w:val="105"/>
          <w:sz w:val="21"/>
        </w:rPr>
        <w:t>does</w:t>
      </w:r>
      <w:r>
        <w:rPr>
          <w:spacing w:val="-4"/>
          <w:w w:val="105"/>
          <w:sz w:val="21"/>
        </w:rPr>
        <w:t> </w:t>
      </w:r>
      <w:r>
        <w:rPr>
          <w:spacing w:val="-2"/>
          <w:w w:val="105"/>
          <w:sz w:val="21"/>
        </w:rPr>
        <w:t>not</w:t>
      </w:r>
      <w:r>
        <w:rPr>
          <w:spacing w:val="-4"/>
          <w:w w:val="105"/>
          <w:sz w:val="21"/>
        </w:rPr>
        <w:t> </w:t>
      </w:r>
      <w:r>
        <w:rPr>
          <w:spacing w:val="-3"/>
          <w:w w:val="105"/>
          <w:sz w:val="21"/>
        </w:rPr>
        <w:t>have</w:t>
      </w:r>
      <w:r>
        <w:rPr>
          <w:spacing w:val="-4"/>
          <w:w w:val="105"/>
          <w:sz w:val="21"/>
        </w:rPr>
        <w:t> </w:t>
      </w:r>
      <w:r>
        <w:rPr>
          <w:w w:val="105"/>
          <w:sz w:val="21"/>
        </w:rPr>
        <w:t>power</w:t>
      </w:r>
      <w:r>
        <w:rPr>
          <w:spacing w:val="-4"/>
          <w:w w:val="105"/>
          <w:sz w:val="21"/>
        </w:rPr>
        <w:t> </w:t>
      </w:r>
      <w:r>
        <w:rPr>
          <w:spacing w:val="-3"/>
          <w:w w:val="105"/>
          <w:sz w:val="21"/>
        </w:rPr>
        <w:t>to</w:t>
      </w:r>
      <w:r>
        <w:rPr>
          <w:spacing w:val="-5"/>
          <w:w w:val="105"/>
          <w:sz w:val="21"/>
        </w:rPr>
        <w:t> </w:t>
      </w:r>
      <w:r>
        <w:rPr>
          <w:spacing w:val="-3"/>
          <w:w w:val="105"/>
          <w:sz w:val="21"/>
        </w:rPr>
        <w:t>enforce</w:t>
      </w:r>
      <w:r>
        <w:rPr>
          <w:spacing w:val="-4"/>
          <w:w w:val="105"/>
          <w:sz w:val="21"/>
        </w:rPr>
        <w:t> </w:t>
      </w:r>
      <w:r>
        <w:rPr>
          <w:w w:val="105"/>
          <w:sz w:val="21"/>
        </w:rPr>
        <w:t>its</w:t>
      </w:r>
      <w:r>
        <w:rPr>
          <w:spacing w:val="-4"/>
          <w:w w:val="105"/>
          <w:sz w:val="21"/>
        </w:rPr>
        <w:t> </w:t>
      </w:r>
      <w:r>
        <w:rPr>
          <w:w w:val="105"/>
          <w:sz w:val="21"/>
        </w:rPr>
        <w:t>own</w:t>
      </w:r>
      <w:r>
        <w:rPr>
          <w:spacing w:val="-4"/>
          <w:w w:val="105"/>
          <w:sz w:val="21"/>
        </w:rPr>
        <w:t> </w:t>
      </w:r>
      <w:r>
        <w:rPr>
          <w:w w:val="105"/>
          <w:sz w:val="21"/>
        </w:rPr>
        <w:t>orders.</w:t>
      </w:r>
      <w:r>
        <w:rPr>
          <w:spacing w:val="-4"/>
          <w:w w:val="105"/>
          <w:sz w:val="21"/>
        </w:rPr>
        <w:t> </w:t>
      </w:r>
      <w:r>
        <w:rPr>
          <w:w w:val="105"/>
          <w:sz w:val="21"/>
        </w:rPr>
        <w:t>Where</w:t>
      </w:r>
      <w:r>
        <w:rPr>
          <w:spacing w:val="-4"/>
          <w:w w:val="105"/>
          <w:sz w:val="21"/>
        </w:rPr>
        <w:t> </w:t>
      </w:r>
      <w:r>
        <w:rPr>
          <w:w w:val="105"/>
          <w:sz w:val="21"/>
        </w:rPr>
        <w:t>an</w:t>
      </w:r>
      <w:r>
        <w:rPr>
          <w:spacing w:val="-5"/>
          <w:w w:val="105"/>
          <w:sz w:val="21"/>
        </w:rPr>
        <w:t> </w:t>
      </w:r>
      <w:r>
        <w:rPr>
          <w:w w:val="105"/>
          <w:sz w:val="21"/>
        </w:rPr>
        <w:t>order</w:t>
      </w:r>
      <w:r>
        <w:rPr>
          <w:spacing w:val="-4"/>
          <w:w w:val="105"/>
          <w:sz w:val="21"/>
        </w:rPr>
        <w:t> </w:t>
      </w:r>
      <w:r>
        <w:rPr>
          <w:w w:val="105"/>
          <w:sz w:val="21"/>
        </w:rPr>
        <w:t>is</w:t>
      </w:r>
      <w:r>
        <w:rPr>
          <w:spacing w:val="-4"/>
          <w:w w:val="105"/>
          <w:sz w:val="21"/>
        </w:rPr>
        <w:t> </w:t>
      </w:r>
      <w:r>
        <w:rPr>
          <w:spacing w:val="-2"/>
          <w:w w:val="105"/>
          <w:sz w:val="21"/>
        </w:rPr>
        <w:t>not</w:t>
      </w:r>
      <w:r>
        <w:rPr>
          <w:spacing w:val="-4"/>
          <w:w w:val="105"/>
          <w:sz w:val="21"/>
        </w:rPr>
        <w:t> </w:t>
      </w:r>
      <w:r>
        <w:rPr>
          <w:spacing w:val="-3"/>
          <w:w w:val="105"/>
          <w:sz w:val="21"/>
        </w:rPr>
        <w:t>complied with, </w:t>
      </w:r>
      <w:r>
        <w:rPr>
          <w:w w:val="105"/>
          <w:sz w:val="21"/>
        </w:rPr>
        <w:t>the aggrieved party </w:t>
      </w:r>
      <w:r>
        <w:rPr>
          <w:spacing w:val="-3"/>
          <w:w w:val="105"/>
          <w:sz w:val="21"/>
        </w:rPr>
        <w:t>may take </w:t>
      </w:r>
      <w:r>
        <w:rPr>
          <w:w w:val="105"/>
          <w:sz w:val="21"/>
        </w:rPr>
        <w:t>legal action </w:t>
      </w:r>
      <w:r>
        <w:rPr>
          <w:spacing w:val="-3"/>
          <w:w w:val="105"/>
          <w:sz w:val="21"/>
        </w:rPr>
        <w:t>for noncompliance </w:t>
      </w:r>
      <w:r>
        <w:rPr>
          <w:w w:val="105"/>
          <w:sz w:val="21"/>
        </w:rPr>
        <w:t>in a court of </w:t>
      </w:r>
      <w:r>
        <w:rPr>
          <w:spacing w:val="-3"/>
          <w:w w:val="105"/>
          <w:sz w:val="21"/>
        </w:rPr>
        <w:t>competent jurisdiction, such </w:t>
      </w:r>
      <w:r>
        <w:rPr>
          <w:w w:val="105"/>
          <w:sz w:val="21"/>
        </w:rPr>
        <w:t>as the </w:t>
      </w:r>
      <w:r>
        <w:rPr>
          <w:spacing w:val="-3"/>
          <w:w w:val="105"/>
          <w:sz w:val="21"/>
        </w:rPr>
        <w:t>Civil </w:t>
      </w:r>
      <w:r>
        <w:rPr>
          <w:w w:val="105"/>
          <w:sz w:val="21"/>
        </w:rPr>
        <w:t>Division of the </w:t>
      </w:r>
      <w:r>
        <w:rPr>
          <w:spacing w:val="-4"/>
          <w:w w:val="105"/>
          <w:sz w:val="21"/>
        </w:rPr>
        <w:t>Tasmanian </w:t>
      </w:r>
      <w:r>
        <w:rPr>
          <w:spacing w:val="-3"/>
          <w:w w:val="105"/>
          <w:sz w:val="21"/>
        </w:rPr>
        <w:t>Magistrates’</w:t>
      </w:r>
      <w:r>
        <w:rPr>
          <w:spacing w:val="8"/>
          <w:w w:val="105"/>
          <w:sz w:val="21"/>
        </w:rPr>
        <w:t> </w:t>
      </w:r>
      <w:r>
        <w:rPr>
          <w:spacing w:val="-4"/>
          <w:w w:val="105"/>
          <w:sz w:val="21"/>
        </w:rPr>
        <w:t>Court.</w:t>
      </w:r>
      <w:r>
        <w:rPr>
          <w:spacing w:val="-4"/>
          <w:w w:val="105"/>
          <w:position w:val="7"/>
          <w:sz w:val="12"/>
        </w:rPr>
        <w:t>190</w:t>
      </w:r>
    </w:p>
    <w:p>
      <w:pPr>
        <w:pStyle w:val="BodyText"/>
        <w:spacing w:before="11"/>
      </w:pPr>
    </w:p>
    <w:p>
      <w:pPr>
        <w:pStyle w:val="Heading4"/>
      </w:pPr>
      <w:r>
        <w:rPr>
          <w:color w:val="658464"/>
          <w:w w:val="115"/>
        </w:rPr>
        <w:t>Community responses—enforcement of orders</w:t>
      </w:r>
    </w:p>
    <w:p>
      <w:pPr>
        <w:pStyle w:val="ListParagraph"/>
        <w:numPr>
          <w:ilvl w:val="1"/>
          <w:numId w:val="16"/>
        </w:numPr>
        <w:tabs>
          <w:tab w:pos="2380" w:val="left" w:leader="none"/>
          <w:tab w:pos="2381" w:val="left" w:leader="none"/>
        </w:tabs>
        <w:spacing w:line="242" w:lineRule="auto" w:before="155" w:after="0"/>
        <w:ind w:left="2381" w:right="2116" w:hanging="794"/>
        <w:jc w:val="left"/>
        <w:rPr>
          <w:sz w:val="21"/>
        </w:rPr>
      </w:pPr>
      <w:r>
        <w:rPr>
          <w:w w:val="105"/>
          <w:sz w:val="21"/>
        </w:rPr>
        <w:t>There</w:t>
      </w:r>
      <w:r>
        <w:rPr>
          <w:spacing w:val="-4"/>
          <w:w w:val="105"/>
          <w:sz w:val="21"/>
        </w:rPr>
        <w:t> </w:t>
      </w:r>
      <w:r>
        <w:rPr>
          <w:w w:val="105"/>
          <w:sz w:val="21"/>
        </w:rPr>
        <w:t>was</w:t>
      </w:r>
      <w:r>
        <w:rPr>
          <w:spacing w:val="-4"/>
          <w:w w:val="105"/>
          <w:sz w:val="21"/>
        </w:rPr>
        <w:t> </w:t>
      </w:r>
      <w:r>
        <w:rPr>
          <w:w w:val="105"/>
          <w:sz w:val="21"/>
        </w:rPr>
        <w:t>general</w:t>
      </w:r>
      <w:r>
        <w:rPr>
          <w:spacing w:val="-4"/>
          <w:w w:val="105"/>
          <w:sz w:val="21"/>
        </w:rPr>
        <w:t> </w:t>
      </w:r>
      <w:r>
        <w:rPr>
          <w:spacing w:val="-2"/>
          <w:w w:val="105"/>
          <w:sz w:val="21"/>
        </w:rPr>
        <w:t>agreement</w:t>
      </w:r>
      <w:r>
        <w:rPr>
          <w:spacing w:val="-4"/>
          <w:w w:val="105"/>
          <w:sz w:val="21"/>
        </w:rPr>
        <w:t> </w:t>
      </w:r>
      <w:r>
        <w:rPr>
          <w:spacing w:val="-3"/>
          <w:w w:val="105"/>
          <w:sz w:val="21"/>
        </w:rPr>
        <w:t>that </w:t>
      </w:r>
      <w:r>
        <w:rPr>
          <w:w w:val="105"/>
          <w:sz w:val="21"/>
        </w:rPr>
        <w:t>orders</w:t>
      </w:r>
      <w:r>
        <w:rPr>
          <w:spacing w:val="-4"/>
          <w:w w:val="105"/>
          <w:sz w:val="21"/>
        </w:rPr>
        <w:t> </w:t>
      </w:r>
      <w:r>
        <w:rPr>
          <w:w w:val="105"/>
          <w:sz w:val="21"/>
        </w:rPr>
        <w:t>under</w:t>
      </w:r>
      <w:r>
        <w:rPr>
          <w:spacing w:val="-4"/>
          <w:w w:val="105"/>
          <w:sz w:val="21"/>
        </w:rPr>
        <w:t> </w:t>
      </w:r>
      <w:r>
        <w:rPr>
          <w:spacing w:val="-3"/>
          <w:w w:val="105"/>
          <w:sz w:val="21"/>
        </w:rPr>
        <w:t>any</w:t>
      </w:r>
      <w:r>
        <w:rPr>
          <w:spacing w:val="-4"/>
          <w:w w:val="105"/>
          <w:sz w:val="21"/>
        </w:rPr>
        <w:t> </w:t>
      </w:r>
      <w:r>
        <w:rPr>
          <w:w w:val="105"/>
          <w:sz w:val="21"/>
        </w:rPr>
        <w:t>new</w:t>
      </w:r>
      <w:r>
        <w:rPr>
          <w:spacing w:val="-4"/>
          <w:w w:val="105"/>
          <w:sz w:val="21"/>
        </w:rPr>
        <w:t> </w:t>
      </w:r>
      <w:r>
        <w:rPr>
          <w:w w:val="105"/>
          <w:sz w:val="21"/>
        </w:rPr>
        <w:t>Act</w:t>
      </w:r>
      <w:r>
        <w:rPr>
          <w:spacing w:val="-3"/>
          <w:w w:val="105"/>
          <w:sz w:val="21"/>
        </w:rPr>
        <w:t> </w:t>
      </w:r>
      <w:r>
        <w:rPr>
          <w:w w:val="105"/>
          <w:sz w:val="21"/>
        </w:rPr>
        <w:t>should</w:t>
      </w:r>
      <w:r>
        <w:rPr>
          <w:spacing w:val="-4"/>
          <w:w w:val="105"/>
          <w:sz w:val="21"/>
        </w:rPr>
        <w:t> </w:t>
      </w:r>
      <w:r>
        <w:rPr>
          <w:w w:val="105"/>
          <w:sz w:val="21"/>
        </w:rPr>
        <w:t>be</w:t>
      </w:r>
      <w:r>
        <w:rPr>
          <w:spacing w:val="-4"/>
          <w:w w:val="105"/>
          <w:sz w:val="21"/>
        </w:rPr>
        <w:t> </w:t>
      </w:r>
      <w:r>
        <w:rPr>
          <w:spacing w:val="-3"/>
          <w:w w:val="105"/>
          <w:sz w:val="21"/>
        </w:rPr>
        <w:t>binding</w:t>
      </w:r>
      <w:r>
        <w:rPr>
          <w:spacing w:val="-4"/>
          <w:w w:val="105"/>
          <w:sz w:val="21"/>
        </w:rPr>
        <w:t> </w:t>
      </w:r>
      <w:r>
        <w:rPr>
          <w:w w:val="105"/>
          <w:sz w:val="21"/>
        </w:rPr>
        <w:t>and </w:t>
      </w:r>
      <w:r>
        <w:rPr>
          <w:spacing w:val="-5"/>
          <w:w w:val="105"/>
          <w:sz w:val="21"/>
        </w:rPr>
        <w:t>enforceable.</w:t>
      </w:r>
      <w:r>
        <w:rPr>
          <w:spacing w:val="-5"/>
          <w:w w:val="105"/>
          <w:position w:val="7"/>
          <w:sz w:val="12"/>
        </w:rPr>
        <w:t>191 </w:t>
      </w:r>
      <w:r>
        <w:rPr>
          <w:w w:val="105"/>
          <w:sz w:val="21"/>
        </w:rPr>
        <w:t>Suggestions </w:t>
      </w:r>
      <w:r>
        <w:rPr>
          <w:spacing w:val="-3"/>
          <w:w w:val="105"/>
          <w:sz w:val="21"/>
        </w:rPr>
        <w:t>were </w:t>
      </w:r>
      <w:r>
        <w:rPr>
          <w:w w:val="105"/>
          <w:sz w:val="21"/>
        </w:rPr>
        <w:t>made about how orders should be</w:t>
      </w:r>
      <w:r>
        <w:rPr>
          <w:spacing w:val="17"/>
          <w:w w:val="105"/>
          <w:sz w:val="21"/>
        </w:rPr>
        <w:t> </w:t>
      </w:r>
      <w:r>
        <w:rPr>
          <w:spacing w:val="-3"/>
          <w:w w:val="105"/>
          <w:sz w:val="21"/>
        </w:rPr>
        <w:t>enforced.</w:t>
      </w:r>
    </w:p>
    <w:p>
      <w:pPr>
        <w:pStyle w:val="ListParagraph"/>
        <w:numPr>
          <w:ilvl w:val="1"/>
          <w:numId w:val="16"/>
        </w:numPr>
        <w:tabs>
          <w:tab w:pos="2381" w:val="left" w:leader="none"/>
          <w:tab w:pos="2382" w:val="left" w:leader="none"/>
        </w:tabs>
        <w:spacing w:line="242" w:lineRule="auto" w:before="122" w:after="0"/>
        <w:ind w:left="2381" w:right="1585" w:hanging="794"/>
        <w:jc w:val="left"/>
        <w:rPr>
          <w:sz w:val="21"/>
        </w:rPr>
      </w:pPr>
      <w:r>
        <w:rPr>
          <w:w w:val="105"/>
          <w:sz w:val="21"/>
        </w:rPr>
        <w:t>A</w:t>
      </w:r>
      <w:r>
        <w:rPr>
          <w:spacing w:val="-5"/>
          <w:w w:val="105"/>
          <w:sz w:val="21"/>
        </w:rPr>
        <w:t> </w:t>
      </w:r>
      <w:r>
        <w:rPr>
          <w:w w:val="105"/>
          <w:sz w:val="21"/>
        </w:rPr>
        <w:t>number</w:t>
      </w:r>
      <w:r>
        <w:rPr>
          <w:spacing w:val="-5"/>
          <w:w w:val="105"/>
          <w:sz w:val="21"/>
        </w:rPr>
        <w:t> </w:t>
      </w:r>
      <w:r>
        <w:rPr>
          <w:w w:val="105"/>
          <w:sz w:val="21"/>
        </w:rPr>
        <w:t>of</w:t>
      </w:r>
      <w:r>
        <w:rPr>
          <w:spacing w:val="-5"/>
          <w:w w:val="105"/>
          <w:sz w:val="21"/>
        </w:rPr>
        <w:t> </w:t>
      </w:r>
      <w:r>
        <w:rPr>
          <w:w w:val="105"/>
          <w:sz w:val="21"/>
        </w:rPr>
        <w:t>people</w:t>
      </w:r>
      <w:r>
        <w:rPr>
          <w:spacing w:val="-5"/>
          <w:w w:val="105"/>
          <w:sz w:val="21"/>
        </w:rPr>
        <w:t> </w:t>
      </w:r>
      <w:r>
        <w:rPr>
          <w:spacing w:val="-2"/>
          <w:w w:val="105"/>
          <w:sz w:val="21"/>
        </w:rPr>
        <w:t>submitted</w:t>
      </w:r>
      <w:r>
        <w:rPr>
          <w:spacing w:val="-4"/>
          <w:w w:val="105"/>
          <w:sz w:val="21"/>
        </w:rPr>
        <w:t> </w:t>
      </w:r>
      <w:r>
        <w:rPr>
          <w:spacing w:val="-3"/>
          <w:w w:val="105"/>
          <w:sz w:val="21"/>
        </w:rPr>
        <w:t>that</w:t>
      </w:r>
      <w:r>
        <w:rPr>
          <w:spacing w:val="-5"/>
          <w:w w:val="105"/>
          <w:sz w:val="21"/>
        </w:rPr>
        <w:t> </w:t>
      </w:r>
      <w:r>
        <w:rPr>
          <w:w w:val="105"/>
          <w:sz w:val="21"/>
        </w:rPr>
        <w:t>local</w:t>
      </w:r>
      <w:r>
        <w:rPr>
          <w:spacing w:val="-5"/>
          <w:w w:val="105"/>
          <w:sz w:val="21"/>
        </w:rPr>
        <w:t> </w:t>
      </w:r>
      <w:r>
        <w:rPr>
          <w:spacing w:val="-3"/>
          <w:w w:val="105"/>
          <w:sz w:val="21"/>
        </w:rPr>
        <w:t>councils</w:t>
      </w:r>
      <w:r>
        <w:rPr>
          <w:spacing w:val="-5"/>
          <w:w w:val="105"/>
          <w:sz w:val="21"/>
        </w:rPr>
        <w:t> </w:t>
      </w:r>
      <w:r>
        <w:rPr>
          <w:w w:val="105"/>
          <w:sz w:val="21"/>
        </w:rPr>
        <w:t>should</w:t>
      </w:r>
      <w:r>
        <w:rPr>
          <w:spacing w:val="-5"/>
          <w:w w:val="105"/>
          <w:sz w:val="21"/>
        </w:rPr>
        <w:t> </w:t>
      </w:r>
      <w:r>
        <w:rPr>
          <w:spacing w:val="-3"/>
          <w:w w:val="105"/>
          <w:sz w:val="21"/>
        </w:rPr>
        <w:t>enforce</w:t>
      </w:r>
      <w:r>
        <w:rPr>
          <w:spacing w:val="-4"/>
          <w:w w:val="105"/>
          <w:sz w:val="21"/>
        </w:rPr>
        <w:t> </w:t>
      </w:r>
      <w:r>
        <w:rPr>
          <w:w w:val="105"/>
          <w:sz w:val="21"/>
        </w:rPr>
        <w:t>orders</w:t>
      </w:r>
      <w:r>
        <w:rPr>
          <w:spacing w:val="-5"/>
          <w:w w:val="105"/>
          <w:sz w:val="21"/>
        </w:rPr>
        <w:t> </w:t>
      </w:r>
      <w:r>
        <w:rPr>
          <w:w w:val="105"/>
          <w:sz w:val="21"/>
        </w:rPr>
        <w:t>when</w:t>
      </w:r>
      <w:r>
        <w:rPr>
          <w:spacing w:val="-5"/>
          <w:w w:val="105"/>
          <w:sz w:val="21"/>
        </w:rPr>
        <w:t> </w:t>
      </w:r>
      <w:r>
        <w:rPr>
          <w:w w:val="105"/>
          <w:sz w:val="21"/>
        </w:rPr>
        <w:t>a</w:t>
      </w:r>
      <w:r>
        <w:rPr>
          <w:spacing w:val="-5"/>
          <w:w w:val="105"/>
          <w:sz w:val="21"/>
        </w:rPr>
        <w:t> </w:t>
      </w:r>
      <w:r>
        <w:rPr>
          <w:w w:val="105"/>
          <w:sz w:val="21"/>
        </w:rPr>
        <w:t>party</w:t>
      </w:r>
      <w:r>
        <w:rPr>
          <w:spacing w:val="-5"/>
          <w:w w:val="105"/>
          <w:sz w:val="21"/>
        </w:rPr>
        <w:t> </w:t>
      </w:r>
      <w:r>
        <w:rPr>
          <w:spacing w:val="-4"/>
          <w:w w:val="105"/>
          <w:sz w:val="21"/>
        </w:rPr>
        <w:t>fails </w:t>
      </w:r>
      <w:r>
        <w:rPr>
          <w:spacing w:val="-3"/>
          <w:w w:val="105"/>
          <w:sz w:val="21"/>
        </w:rPr>
        <w:t>to</w:t>
      </w:r>
      <w:r>
        <w:rPr>
          <w:spacing w:val="-4"/>
          <w:w w:val="105"/>
          <w:sz w:val="21"/>
        </w:rPr>
        <w:t> </w:t>
      </w:r>
      <w:r>
        <w:rPr>
          <w:w w:val="105"/>
          <w:sz w:val="21"/>
        </w:rPr>
        <w:t>comply</w:t>
      </w:r>
      <w:r>
        <w:rPr>
          <w:spacing w:val="-4"/>
          <w:w w:val="105"/>
          <w:sz w:val="21"/>
        </w:rPr>
        <w:t> </w:t>
      </w:r>
      <w:r>
        <w:rPr>
          <w:w w:val="105"/>
          <w:sz w:val="21"/>
        </w:rPr>
        <w:t>with</w:t>
      </w:r>
      <w:r>
        <w:rPr>
          <w:spacing w:val="-4"/>
          <w:w w:val="105"/>
          <w:sz w:val="21"/>
        </w:rPr>
        <w:t> </w:t>
      </w:r>
      <w:r>
        <w:rPr>
          <w:spacing w:val="-5"/>
          <w:w w:val="105"/>
          <w:sz w:val="21"/>
        </w:rPr>
        <w:t>them.</w:t>
      </w:r>
      <w:r>
        <w:rPr>
          <w:spacing w:val="-5"/>
          <w:w w:val="105"/>
          <w:position w:val="7"/>
          <w:sz w:val="12"/>
        </w:rPr>
        <w:t>192</w:t>
      </w:r>
      <w:r>
        <w:rPr>
          <w:spacing w:val="18"/>
          <w:w w:val="105"/>
          <w:position w:val="7"/>
          <w:sz w:val="12"/>
        </w:rPr>
        <w:t> </w:t>
      </w:r>
      <w:r>
        <w:rPr>
          <w:w w:val="105"/>
          <w:sz w:val="21"/>
        </w:rPr>
        <w:t>Others</w:t>
      </w:r>
      <w:r>
        <w:rPr>
          <w:spacing w:val="-4"/>
          <w:w w:val="105"/>
          <w:sz w:val="21"/>
        </w:rPr>
        <w:t> </w:t>
      </w:r>
      <w:r>
        <w:rPr>
          <w:w w:val="105"/>
          <w:sz w:val="21"/>
        </w:rPr>
        <w:t>argued</w:t>
      </w:r>
      <w:r>
        <w:rPr>
          <w:spacing w:val="-4"/>
          <w:w w:val="105"/>
          <w:sz w:val="21"/>
        </w:rPr>
        <w:t> </w:t>
      </w:r>
      <w:r>
        <w:rPr>
          <w:spacing w:val="-3"/>
          <w:w w:val="105"/>
          <w:sz w:val="21"/>
        </w:rPr>
        <w:t>that</w:t>
      </w:r>
      <w:r>
        <w:rPr>
          <w:spacing w:val="-4"/>
          <w:w w:val="105"/>
          <w:sz w:val="21"/>
        </w:rPr>
        <w:t> </w:t>
      </w:r>
      <w:r>
        <w:rPr>
          <w:w w:val="105"/>
          <w:sz w:val="21"/>
        </w:rPr>
        <w:t>it</w:t>
      </w:r>
      <w:r>
        <w:rPr>
          <w:spacing w:val="-4"/>
          <w:w w:val="105"/>
          <w:sz w:val="21"/>
        </w:rPr>
        <w:t> </w:t>
      </w:r>
      <w:r>
        <w:rPr>
          <w:w w:val="105"/>
          <w:sz w:val="21"/>
        </w:rPr>
        <w:t>was</w:t>
      </w:r>
      <w:r>
        <w:rPr>
          <w:spacing w:val="-4"/>
          <w:w w:val="105"/>
          <w:sz w:val="21"/>
        </w:rPr>
        <w:t> </w:t>
      </w:r>
      <w:r>
        <w:rPr>
          <w:spacing w:val="-2"/>
          <w:w w:val="105"/>
          <w:sz w:val="21"/>
        </w:rPr>
        <w:t>not</w:t>
      </w:r>
      <w:r>
        <w:rPr>
          <w:spacing w:val="-4"/>
          <w:w w:val="105"/>
          <w:sz w:val="21"/>
        </w:rPr>
        <w:t> </w:t>
      </w:r>
      <w:r>
        <w:rPr>
          <w:spacing w:val="-3"/>
          <w:w w:val="105"/>
          <w:sz w:val="21"/>
        </w:rPr>
        <w:t>appropriate</w:t>
      </w:r>
      <w:r>
        <w:rPr>
          <w:spacing w:val="-4"/>
          <w:w w:val="105"/>
          <w:sz w:val="21"/>
        </w:rPr>
        <w:t> </w:t>
      </w:r>
      <w:r>
        <w:rPr>
          <w:spacing w:val="-3"/>
          <w:w w:val="105"/>
          <w:sz w:val="21"/>
        </w:rPr>
        <w:t>for</w:t>
      </w:r>
      <w:r>
        <w:rPr>
          <w:spacing w:val="-4"/>
          <w:w w:val="105"/>
          <w:sz w:val="21"/>
        </w:rPr>
        <w:t> </w:t>
      </w:r>
      <w:r>
        <w:rPr>
          <w:w w:val="105"/>
          <w:sz w:val="21"/>
        </w:rPr>
        <w:t>local</w:t>
      </w:r>
      <w:r>
        <w:rPr>
          <w:spacing w:val="-4"/>
          <w:w w:val="105"/>
          <w:sz w:val="21"/>
        </w:rPr>
        <w:t> </w:t>
      </w:r>
      <w:r>
        <w:rPr>
          <w:spacing w:val="-3"/>
          <w:w w:val="105"/>
          <w:sz w:val="21"/>
        </w:rPr>
        <w:t>councils</w:t>
      </w:r>
      <w:r>
        <w:rPr>
          <w:spacing w:val="-4"/>
          <w:w w:val="105"/>
          <w:sz w:val="21"/>
        </w:rPr>
        <w:t> </w:t>
      </w:r>
      <w:r>
        <w:rPr>
          <w:spacing w:val="-3"/>
          <w:w w:val="105"/>
          <w:sz w:val="21"/>
        </w:rPr>
        <w:t>to</w:t>
      </w:r>
      <w:r>
        <w:rPr>
          <w:spacing w:val="-4"/>
          <w:w w:val="105"/>
          <w:sz w:val="21"/>
        </w:rPr>
        <w:t> </w:t>
      </w:r>
      <w:r>
        <w:rPr>
          <w:spacing w:val="-3"/>
          <w:w w:val="105"/>
          <w:sz w:val="21"/>
        </w:rPr>
        <w:t>play </w:t>
      </w:r>
      <w:r>
        <w:rPr>
          <w:w w:val="105"/>
          <w:sz w:val="21"/>
        </w:rPr>
        <w:t>an </w:t>
      </w:r>
      <w:r>
        <w:rPr>
          <w:spacing w:val="-3"/>
          <w:w w:val="105"/>
          <w:sz w:val="21"/>
        </w:rPr>
        <w:t>enforcement </w:t>
      </w:r>
      <w:r>
        <w:rPr>
          <w:w w:val="105"/>
          <w:sz w:val="21"/>
        </w:rPr>
        <w:t>role because of the </w:t>
      </w:r>
      <w:r>
        <w:rPr>
          <w:spacing w:val="-3"/>
          <w:w w:val="105"/>
          <w:sz w:val="21"/>
        </w:rPr>
        <w:t>private nature </w:t>
      </w:r>
      <w:r>
        <w:rPr>
          <w:w w:val="105"/>
          <w:sz w:val="21"/>
        </w:rPr>
        <w:t>of tree </w:t>
      </w:r>
      <w:r>
        <w:rPr>
          <w:spacing w:val="-3"/>
          <w:w w:val="105"/>
          <w:sz w:val="21"/>
        </w:rPr>
        <w:t>disputes </w:t>
      </w:r>
      <w:r>
        <w:rPr>
          <w:w w:val="105"/>
          <w:sz w:val="21"/>
        </w:rPr>
        <w:t>and the </w:t>
      </w:r>
      <w:r>
        <w:rPr>
          <w:spacing w:val="-3"/>
          <w:w w:val="105"/>
          <w:sz w:val="21"/>
        </w:rPr>
        <w:t>substantial council resources </w:t>
      </w:r>
      <w:r>
        <w:rPr>
          <w:w w:val="105"/>
          <w:sz w:val="21"/>
        </w:rPr>
        <w:t>this would</w:t>
      </w:r>
      <w:r>
        <w:rPr>
          <w:spacing w:val="25"/>
          <w:w w:val="105"/>
          <w:sz w:val="21"/>
        </w:rPr>
        <w:t> </w:t>
      </w:r>
      <w:r>
        <w:rPr>
          <w:spacing w:val="-5"/>
          <w:w w:val="105"/>
          <w:sz w:val="21"/>
        </w:rPr>
        <w:t>require.</w:t>
      </w:r>
      <w:r>
        <w:rPr>
          <w:spacing w:val="-5"/>
          <w:w w:val="105"/>
          <w:position w:val="7"/>
          <w:sz w:val="12"/>
        </w:rPr>
        <w:t>193</w:t>
      </w:r>
    </w:p>
    <w:p>
      <w:pPr>
        <w:pStyle w:val="ListParagraph"/>
        <w:numPr>
          <w:ilvl w:val="1"/>
          <w:numId w:val="16"/>
        </w:numPr>
        <w:tabs>
          <w:tab w:pos="2380" w:val="left" w:leader="none"/>
          <w:tab w:pos="2381" w:val="left" w:leader="none"/>
        </w:tabs>
        <w:spacing w:line="240" w:lineRule="auto" w:before="124" w:after="0"/>
        <w:ind w:left="2380" w:right="0" w:hanging="793"/>
        <w:jc w:val="left"/>
        <w:rPr>
          <w:sz w:val="21"/>
        </w:rPr>
      </w:pPr>
      <w:r>
        <w:rPr>
          <w:w w:val="105"/>
          <w:sz w:val="21"/>
        </w:rPr>
        <w:t>The </w:t>
      </w:r>
      <w:r>
        <w:rPr>
          <w:spacing w:val="-3"/>
          <w:w w:val="105"/>
          <w:sz w:val="21"/>
        </w:rPr>
        <w:t>City </w:t>
      </w:r>
      <w:r>
        <w:rPr>
          <w:w w:val="105"/>
          <w:sz w:val="21"/>
        </w:rPr>
        <w:t>of </w:t>
      </w:r>
      <w:r>
        <w:rPr>
          <w:spacing w:val="-3"/>
          <w:w w:val="105"/>
          <w:sz w:val="21"/>
        </w:rPr>
        <w:t>Boroondara</w:t>
      </w:r>
      <w:r>
        <w:rPr>
          <w:spacing w:val="24"/>
          <w:w w:val="105"/>
          <w:sz w:val="21"/>
        </w:rPr>
        <w:t> </w:t>
      </w:r>
      <w:r>
        <w:rPr>
          <w:w w:val="105"/>
          <w:sz w:val="21"/>
        </w:rPr>
        <w:t>submitted:</w:t>
      </w:r>
    </w:p>
    <w:p>
      <w:pPr>
        <w:spacing w:line="254" w:lineRule="auto" w:before="133"/>
        <w:ind w:left="2834" w:right="1810" w:firstLine="0"/>
        <w:jc w:val="left"/>
        <w:rPr>
          <w:sz w:val="11"/>
        </w:rPr>
      </w:pPr>
      <w:r>
        <w:rPr>
          <w:spacing w:val="-4"/>
          <w:sz w:val="20"/>
        </w:rPr>
        <w:t>Council </w:t>
      </w:r>
      <w:r>
        <w:rPr>
          <w:sz w:val="20"/>
        </w:rPr>
        <w:t>would not support legislation which </w:t>
      </w:r>
      <w:r>
        <w:rPr>
          <w:spacing w:val="-2"/>
          <w:sz w:val="20"/>
        </w:rPr>
        <w:t>requires </w:t>
      </w:r>
      <w:r>
        <w:rPr>
          <w:sz w:val="20"/>
        </w:rPr>
        <w:t>local government to </w:t>
      </w:r>
      <w:r>
        <w:rPr>
          <w:spacing w:val="-3"/>
          <w:sz w:val="20"/>
        </w:rPr>
        <w:t>enforce </w:t>
      </w:r>
      <w:r>
        <w:rPr>
          <w:sz w:val="20"/>
        </w:rPr>
        <w:t>Orders made by the Court/Tribunal. This would </w:t>
      </w:r>
      <w:r>
        <w:rPr>
          <w:spacing w:val="-3"/>
          <w:sz w:val="20"/>
        </w:rPr>
        <w:t>require </w:t>
      </w:r>
      <w:r>
        <w:rPr>
          <w:sz w:val="20"/>
        </w:rPr>
        <w:t>local government to </w:t>
      </w:r>
      <w:r>
        <w:rPr>
          <w:spacing w:val="-3"/>
          <w:sz w:val="20"/>
        </w:rPr>
        <w:t>enforce </w:t>
      </w:r>
      <w:r>
        <w:rPr>
          <w:sz w:val="20"/>
        </w:rPr>
        <w:t>what are essentially Court orders about civil matters. This would also </w:t>
      </w:r>
      <w:r>
        <w:rPr>
          <w:spacing w:val="-3"/>
          <w:sz w:val="20"/>
        </w:rPr>
        <w:t>have resourcing  </w:t>
      </w:r>
      <w:r>
        <w:rPr>
          <w:sz w:val="20"/>
        </w:rPr>
        <w:t>implications  for local</w:t>
      </w:r>
      <w:r>
        <w:rPr>
          <w:spacing w:val="17"/>
          <w:sz w:val="20"/>
        </w:rPr>
        <w:t> </w:t>
      </w:r>
      <w:r>
        <w:rPr>
          <w:spacing w:val="-3"/>
          <w:sz w:val="20"/>
        </w:rPr>
        <w:t>government.</w:t>
      </w:r>
      <w:r>
        <w:rPr>
          <w:spacing w:val="-3"/>
          <w:position w:val="7"/>
          <w:sz w:val="11"/>
        </w:rPr>
        <w:t>194</w:t>
      </w:r>
    </w:p>
    <w:p>
      <w:pPr>
        <w:pStyle w:val="ListParagraph"/>
        <w:numPr>
          <w:ilvl w:val="1"/>
          <w:numId w:val="16"/>
        </w:numPr>
        <w:tabs>
          <w:tab w:pos="2380" w:val="left" w:leader="none"/>
          <w:tab w:pos="2381" w:val="left" w:leader="none"/>
        </w:tabs>
        <w:spacing w:line="242" w:lineRule="auto" w:before="116" w:after="0"/>
        <w:ind w:left="2381" w:right="1919" w:hanging="794"/>
        <w:jc w:val="left"/>
        <w:rPr>
          <w:sz w:val="21"/>
        </w:rPr>
      </w:pPr>
      <w:r>
        <w:rPr>
          <w:spacing w:val="-3"/>
          <w:w w:val="105"/>
          <w:sz w:val="21"/>
        </w:rPr>
        <w:t>Nillumbik Shire </w:t>
      </w:r>
      <w:r>
        <w:rPr>
          <w:spacing w:val="-4"/>
          <w:w w:val="105"/>
          <w:sz w:val="21"/>
        </w:rPr>
        <w:t>Council </w:t>
      </w:r>
      <w:r>
        <w:rPr>
          <w:w w:val="105"/>
          <w:sz w:val="21"/>
        </w:rPr>
        <w:t>told the </w:t>
      </w:r>
      <w:r>
        <w:rPr>
          <w:spacing w:val="-3"/>
          <w:w w:val="105"/>
          <w:sz w:val="21"/>
        </w:rPr>
        <w:t>Commission that </w:t>
      </w:r>
      <w:r>
        <w:rPr>
          <w:w w:val="105"/>
          <w:sz w:val="21"/>
        </w:rPr>
        <w:t>the NSW approach of </w:t>
      </w:r>
      <w:r>
        <w:rPr>
          <w:spacing w:val="-3"/>
          <w:w w:val="105"/>
          <w:sz w:val="21"/>
        </w:rPr>
        <w:t>enforcement through</w:t>
      </w:r>
      <w:r>
        <w:rPr>
          <w:spacing w:val="-5"/>
          <w:w w:val="105"/>
          <w:sz w:val="21"/>
        </w:rPr>
        <w:t> </w:t>
      </w:r>
      <w:r>
        <w:rPr>
          <w:w w:val="105"/>
          <w:sz w:val="21"/>
        </w:rPr>
        <w:t>local</w:t>
      </w:r>
      <w:r>
        <w:rPr>
          <w:spacing w:val="-5"/>
          <w:w w:val="105"/>
          <w:sz w:val="21"/>
        </w:rPr>
        <w:t> </w:t>
      </w:r>
      <w:r>
        <w:rPr>
          <w:spacing w:val="-3"/>
          <w:w w:val="105"/>
          <w:sz w:val="21"/>
        </w:rPr>
        <w:t>councils</w:t>
      </w:r>
      <w:r>
        <w:rPr>
          <w:spacing w:val="-5"/>
          <w:w w:val="105"/>
          <w:sz w:val="21"/>
        </w:rPr>
        <w:t> </w:t>
      </w:r>
      <w:r>
        <w:rPr>
          <w:w w:val="105"/>
          <w:sz w:val="21"/>
        </w:rPr>
        <w:t>would</w:t>
      </w:r>
      <w:r>
        <w:rPr>
          <w:spacing w:val="-5"/>
          <w:w w:val="105"/>
          <w:sz w:val="21"/>
        </w:rPr>
        <w:t> </w:t>
      </w:r>
      <w:r>
        <w:rPr>
          <w:spacing w:val="-2"/>
          <w:w w:val="105"/>
          <w:sz w:val="21"/>
        </w:rPr>
        <w:t>not</w:t>
      </w:r>
      <w:r>
        <w:rPr>
          <w:spacing w:val="-4"/>
          <w:w w:val="105"/>
          <w:sz w:val="21"/>
        </w:rPr>
        <w:t> </w:t>
      </w:r>
      <w:r>
        <w:rPr>
          <w:w w:val="105"/>
          <w:sz w:val="21"/>
        </w:rPr>
        <w:t>be</w:t>
      </w:r>
      <w:r>
        <w:rPr>
          <w:spacing w:val="-5"/>
          <w:w w:val="105"/>
          <w:sz w:val="21"/>
        </w:rPr>
        <w:t> </w:t>
      </w:r>
      <w:r>
        <w:rPr>
          <w:spacing w:val="-3"/>
          <w:w w:val="105"/>
          <w:sz w:val="21"/>
        </w:rPr>
        <w:t>appropriate.</w:t>
      </w:r>
      <w:r>
        <w:rPr>
          <w:spacing w:val="-5"/>
          <w:w w:val="105"/>
          <w:sz w:val="21"/>
        </w:rPr>
        <w:t> </w:t>
      </w:r>
      <w:r>
        <w:rPr>
          <w:spacing w:val="-3"/>
          <w:w w:val="105"/>
          <w:sz w:val="21"/>
        </w:rPr>
        <w:t>Nillumbik</w:t>
      </w:r>
      <w:r>
        <w:rPr>
          <w:spacing w:val="-5"/>
          <w:w w:val="105"/>
          <w:sz w:val="21"/>
        </w:rPr>
        <w:t> </w:t>
      </w:r>
      <w:r>
        <w:rPr>
          <w:w w:val="105"/>
          <w:sz w:val="21"/>
        </w:rPr>
        <w:t>stated</w:t>
      </w:r>
      <w:r>
        <w:rPr>
          <w:spacing w:val="-5"/>
          <w:w w:val="105"/>
          <w:sz w:val="21"/>
        </w:rPr>
        <w:t> </w:t>
      </w:r>
      <w:r>
        <w:rPr>
          <w:spacing w:val="-3"/>
          <w:w w:val="105"/>
          <w:sz w:val="21"/>
        </w:rPr>
        <w:t>that</w:t>
      </w:r>
      <w:r>
        <w:rPr>
          <w:spacing w:val="-4"/>
          <w:w w:val="105"/>
          <w:sz w:val="21"/>
        </w:rPr>
        <w:t> </w:t>
      </w:r>
      <w:r>
        <w:rPr>
          <w:w w:val="105"/>
          <w:sz w:val="21"/>
        </w:rPr>
        <w:t>it</w:t>
      </w:r>
      <w:r>
        <w:rPr>
          <w:spacing w:val="-5"/>
          <w:w w:val="105"/>
          <w:sz w:val="21"/>
        </w:rPr>
        <w:t> </w:t>
      </w:r>
      <w:r>
        <w:rPr>
          <w:w w:val="105"/>
          <w:sz w:val="21"/>
        </w:rPr>
        <w:t>is</w:t>
      </w:r>
      <w:r>
        <w:rPr>
          <w:spacing w:val="-5"/>
          <w:w w:val="105"/>
          <w:sz w:val="21"/>
        </w:rPr>
        <w:t> </w:t>
      </w:r>
      <w:r>
        <w:rPr>
          <w:w w:val="105"/>
          <w:sz w:val="21"/>
        </w:rPr>
        <w:t>reluctant</w:t>
      </w:r>
      <w:r>
        <w:rPr>
          <w:spacing w:val="-5"/>
          <w:w w:val="105"/>
          <w:sz w:val="21"/>
        </w:rPr>
        <w:t> </w:t>
      </w:r>
      <w:r>
        <w:rPr>
          <w:spacing w:val="-3"/>
          <w:w w:val="105"/>
          <w:sz w:val="21"/>
        </w:rPr>
        <w:t>to </w:t>
      </w:r>
      <w:r>
        <w:rPr>
          <w:w w:val="105"/>
          <w:sz w:val="21"/>
        </w:rPr>
        <w:t>become </w:t>
      </w:r>
      <w:r>
        <w:rPr>
          <w:spacing w:val="-3"/>
          <w:w w:val="105"/>
          <w:sz w:val="21"/>
        </w:rPr>
        <w:t>involved </w:t>
      </w:r>
      <w:r>
        <w:rPr>
          <w:w w:val="105"/>
          <w:sz w:val="21"/>
        </w:rPr>
        <w:t>in </w:t>
      </w:r>
      <w:r>
        <w:rPr>
          <w:spacing w:val="-3"/>
          <w:w w:val="105"/>
          <w:sz w:val="21"/>
        </w:rPr>
        <w:t>private </w:t>
      </w:r>
      <w:r>
        <w:rPr>
          <w:w w:val="105"/>
          <w:sz w:val="21"/>
        </w:rPr>
        <w:t>civil </w:t>
      </w:r>
      <w:r>
        <w:rPr>
          <w:spacing w:val="-3"/>
          <w:w w:val="105"/>
          <w:sz w:val="21"/>
        </w:rPr>
        <w:t>disputes </w:t>
      </w:r>
      <w:r>
        <w:rPr>
          <w:w w:val="105"/>
          <w:sz w:val="21"/>
        </w:rPr>
        <w:t>between neighbours and would </w:t>
      </w:r>
      <w:r>
        <w:rPr>
          <w:spacing w:val="-2"/>
          <w:w w:val="105"/>
          <w:sz w:val="21"/>
        </w:rPr>
        <w:t>not </w:t>
      </w:r>
      <w:r>
        <w:rPr>
          <w:spacing w:val="-3"/>
          <w:w w:val="105"/>
          <w:sz w:val="21"/>
        </w:rPr>
        <w:t>have </w:t>
      </w:r>
      <w:r>
        <w:rPr>
          <w:w w:val="105"/>
          <w:sz w:val="21"/>
        </w:rPr>
        <w:t>the </w:t>
      </w:r>
      <w:r>
        <w:rPr>
          <w:spacing w:val="-3"/>
          <w:w w:val="105"/>
          <w:sz w:val="21"/>
        </w:rPr>
        <w:t>resources to </w:t>
      </w:r>
      <w:r>
        <w:rPr>
          <w:w w:val="105"/>
          <w:sz w:val="21"/>
        </w:rPr>
        <w:t>carry out an </w:t>
      </w:r>
      <w:r>
        <w:rPr>
          <w:spacing w:val="-3"/>
          <w:w w:val="105"/>
          <w:sz w:val="21"/>
        </w:rPr>
        <w:t>enforcement</w:t>
      </w:r>
      <w:r>
        <w:rPr>
          <w:spacing w:val="33"/>
          <w:w w:val="105"/>
          <w:sz w:val="21"/>
        </w:rPr>
        <w:t> </w:t>
      </w:r>
      <w:r>
        <w:rPr>
          <w:spacing w:val="-4"/>
          <w:w w:val="105"/>
          <w:sz w:val="21"/>
        </w:rPr>
        <w:t>process.</w:t>
      </w:r>
      <w:r>
        <w:rPr>
          <w:spacing w:val="-4"/>
          <w:w w:val="105"/>
          <w:position w:val="7"/>
          <w:sz w:val="12"/>
        </w:rPr>
        <w:t>195</w:t>
      </w:r>
    </w:p>
    <w:p>
      <w:pPr>
        <w:pStyle w:val="ListParagraph"/>
        <w:numPr>
          <w:ilvl w:val="1"/>
          <w:numId w:val="16"/>
        </w:numPr>
        <w:tabs>
          <w:tab w:pos="2381" w:val="left" w:leader="none"/>
          <w:tab w:pos="2382" w:val="left" w:leader="none"/>
        </w:tabs>
        <w:spacing w:line="242" w:lineRule="auto" w:before="124" w:after="0"/>
        <w:ind w:left="2381" w:right="1696" w:hanging="794"/>
        <w:jc w:val="left"/>
        <w:rPr>
          <w:sz w:val="21"/>
        </w:rPr>
      </w:pPr>
      <w:r>
        <w:rPr>
          <w:sz w:val="21"/>
        </w:rPr>
        <w:t>Baw Baw </w:t>
      </w:r>
      <w:r>
        <w:rPr>
          <w:spacing w:val="-3"/>
          <w:sz w:val="21"/>
        </w:rPr>
        <w:t>Shire </w:t>
      </w:r>
      <w:r>
        <w:rPr>
          <w:spacing w:val="-4"/>
          <w:sz w:val="21"/>
        </w:rPr>
        <w:t>Council </w:t>
      </w:r>
      <w:r>
        <w:rPr>
          <w:sz w:val="21"/>
        </w:rPr>
        <w:t>advised </w:t>
      </w:r>
      <w:r>
        <w:rPr>
          <w:spacing w:val="-3"/>
          <w:sz w:val="21"/>
        </w:rPr>
        <w:t>that enforcement </w:t>
      </w:r>
      <w:r>
        <w:rPr>
          <w:sz w:val="21"/>
        </w:rPr>
        <w:t>should </w:t>
      </w:r>
      <w:r>
        <w:rPr>
          <w:spacing w:val="-2"/>
          <w:sz w:val="21"/>
        </w:rPr>
        <w:t>not </w:t>
      </w:r>
      <w:r>
        <w:rPr>
          <w:sz w:val="21"/>
        </w:rPr>
        <w:t>be the </w:t>
      </w:r>
      <w:r>
        <w:rPr>
          <w:spacing w:val="-3"/>
          <w:sz w:val="21"/>
        </w:rPr>
        <w:t>responsibility </w:t>
      </w:r>
      <w:r>
        <w:rPr>
          <w:sz w:val="21"/>
        </w:rPr>
        <w:t>of local </w:t>
      </w:r>
      <w:r>
        <w:rPr>
          <w:spacing w:val="-3"/>
          <w:sz w:val="21"/>
        </w:rPr>
        <w:t>councils. </w:t>
      </w:r>
      <w:r>
        <w:rPr>
          <w:sz w:val="21"/>
        </w:rPr>
        <w:t>Baw Baw explained </w:t>
      </w:r>
      <w:r>
        <w:rPr>
          <w:spacing w:val="-3"/>
          <w:sz w:val="21"/>
        </w:rPr>
        <w:t>that any </w:t>
      </w:r>
      <w:r>
        <w:rPr>
          <w:sz w:val="21"/>
        </w:rPr>
        <w:t>new statutory scheme </w:t>
      </w:r>
      <w:r>
        <w:rPr>
          <w:spacing w:val="-3"/>
          <w:sz w:val="21"/>
        </w:rPr>
        <w:t>for </w:t>
      </w:r>
      <w:r>
        <w:rPr>
          <w:sz w:val="21"/>
        </w:rPr>
        <w:t>tree </w:t>
      </w:r>
      <w:r>
        <w:rPr>
          <w:spacing w:val="-3"/>
          <w:sz w:val="21"/>
        </w:rPr>
        <w:t>disputes </w:t>
      </w:r>
      <w:r>
        <w:rPr>
          <w:sz w:val="21"/>
        </w:rPr>
        <w:t>should </w:t>
      </w:r>
      <w:r>
        <w:rPr>
          <w:spacing w:val="-2"/>
          <w:sz w:val="21"/>
        </w:rPr>
        <w:t>not </w:t>
      </w:r>
      <w:r>
        <w:rPr>
          <w:spacing w:val="-3"/>
          <w:sz w:val="21"/>
        </w:rPr>
        <w:t>generate additional </w:t>
      </w:r>
      <w:r>
        <w:rPr>
          <w:sz w:val="21"/>
        </w:rPr>
        <w:t>work </w:t>
      </w:r>
      <w:r>
        <w:rPr>
          <w:spacing w:val="-3"/>
          <w:sz w:val="21"/>
        </w:rPr>
        <w:t>for </w:t>
      </w:r>
      <w:r>
        <w:rPr>
          <w:sz w:val="21"/>
        </w:rPr>
        <w:t>local </w:t>
      </w:r>
      <w:r>
        <w:rPr>
          <w:spacing w:val="-3"/>
          <w:sz w:val="21"/>
        </w:rPr>
        <w:t>councils. </w:t>
      </w:r>
      <w:r>
        <w:rPr>
          <w:sz w:val="21"/>
        </w:rPr>
        <w:t>Baw Baw also expressed </w:t>
      </w:r>
      <w:r>
        <w:rPr>
          <w:spacing w:val="-3"/>
          <w:sz w:val="21"/>
        </w:rPr>
        <w:t>significant </w:t>
      </w:r>
      <w:r>
        <w:rPr>
          <w:sz w:val="21"/>
        </w:rPr>
        <w:t>safety </w:t>
      </w:r>
      <w:r>
        <w:rPr>
          <w:spacing w:val="-3"/>
          <w:sz w:val="21"/>
        </w:rPr>
        <w:t>concerns</w:t>
      </w:r>
      <w:r>
        <w:rPr>
          <w:spacing w:val="12"/>
          <w:sz w:val="21"/>
        </w:rPr>
        <w:t> </w:t>
      </w:r>
      <w:r>
        <w:rPr>
          <w:spacing w:val="-3"/>
          <w:sz w:val="21"/>
        </w:rPr>
        <w:t>for</w:t>
      </w:r>
      <w:r>
        <w:rPr>
          <w:spacing w:val="13"/>
          <w:sz w:val="21"/>
        </w:rPr>
        <w:t> </w:t>
      </w:r>
      <w:r>
        <w:rPr>
          <w:spacing w:val="-4"/>
          <w:sz w:val="21"/>
        </w:rPr>
        <w:t>Council</w:t>
      </w:r>
      <w:r>
        <w:rPr>
          <w:spacing w:val="13"/>
          <w:sz w:val="21"/>
        </w:rPr>
        <w:t> </w:t>
      </w:r>
      <w:r>
        <w:rPr>
          <w:sz w:val="21"/>
        </w:rPr>
        <w:t>officers</w:t>
      </w:r>
      <w:r>
        <w:rPr>
          <w:spacing w:val="13"/>
          <w:sz w:val="21"/>
        </w:rPr>
        <w:t> </w:t>
      </w:r>
      <w:r>
        <w:rPr>
          <w:sz w:val="21"/>
        </w:rPr>
        <w:t>if</w:t>
      </w:r>
      <w:r>
        <w:rPr>
          <w:spacing w:val="12"/>
          <w:sz w:val="21"/>
        </w:rPr>
        <w:t> </w:t>
      </w:r>
      <w:r>
        <w:rPr>
          <w:sz w:val="21"/>
        </w:rPr>
        <w:t>they</w:t>
      </w:r>
      <w:r>
        <w:rPr>
          <w:spacing w:val="13"/>
          <w:sz w:val="21"/>
        </w:rPr>
        <w:t> </w:t>
      </w:r>
      <w:r>
        <w:rPr>
          <w:spacing w:val="-3"/>
          <w:sz w:val="21"/>
        </w:rPr>
        <w:t>were</w:t>
      </w:r>
      <w:r>
        <w:rPr>
          <w:spacing w:val="13"/>
          <w:sz w:val="21"/>
        </w:rPr>
        <w:t> </w:t>
      </w:r>
      <w:r>
        <w:rPr>
          <w:spacing w:val="-3"/>
          <w:sz w:val="21"/>
        </w:rPr>
        <w:t>required</w:t>
      </w:r>
      <w:r>
        <w:rPr>
          <w:spacing w:val="13"/>
          <w:sz w:val="21"/>
        </w:rPr>
        <w:t> </w:t>
      </w:r>
      <w:r>
        <w:rPr>
          <w:spacing w:val="-3"/>
          <w:sz w:val="21"/>
        </w:rPr>
        <w:t>to</w:t>
      </w:r>
      <w:r>
        <w:rPr>
          <w:spacing w:val="13"/>
          <w:sz w:val="21"/>
        </w:rPr>
        <w:t> </w:t>
      </w:r>
      <w:r>
        <w:rPr>
          <w:spacing w:val="-3"/>
          <w:sz w:val="21"/>
        </w:rPr>
        <w:t>enforce</w:t>
      </w:r>
      <w:r>
        <w:rPr>
          <w:spacing w:val="12"/>
          <w:sz w:val="21"/>
        </w:rPr>
        <w:t> </w:t>
      </w:r>
      <w:r>
        <w:rPr>
          <w:spacing w:val="-3"/>
          <w:sz w:val="21"/>
        </w:rPr>
        <w:t>orders.</w:t>
      </w:r>
      <w:r>
        <w:rPr>
          <w:spacing w:val="-3"/>
          <w:position w:val="7"/>
          <w:sz w:val="12"/>
        </w:rPr>
        <w:t>196</w:t>
      </w:r>
    </w:p>
    <w:p>
      <w:pPr>
        <w:pStyle w:val="ListParagraph"/>
        <w:numPr>
          <w:ilvl w:val="1"/>
          <w:numId w:val="16"/>
        </w:numPr>
        <w:tabs>
          <w:tab w:pos="2380" w:val="left" w:leader="none"/>
          <w:tab w:pos="2381" w:val="left" w:leader="none"/>
        </w:tabs>
        <w:spacing w:line="242" w:lineRule="auto" w:before="125" w:after="0"/>
        <w:ind w:left="2380" w:right="1980" w:hanging="793"/>
        <w:jc w:val="left"/>
        <w:rPr>
          <w:sz w:val="21"/>
        </w:rPr>
      </w:pPr>
      <w:r>
        <w:rPr>
          <w:w w:val="105"/>
          <w:sz w:val="21"/>
        </w:rPr>
        <w:t>The NSWLEC and </w:t>
      </w:r>
      <w:r>
        <w:rPr>
          <w:spacing w:val="-4"/>
          <w:w w:val="105"/>
          <w:sz w:val="21"/>
        </w:rPr>
        <w:t>QCAT </w:t>
      </w:r>
      <w:r>
        <w:rPr>
          <w:w w:val="105"/>
          <w:sz w:val="21"/>
        </w:rPr>
        <w:t>told the </w:t>
      </w:r>
      <w:r>
        <w:rPr>
          <w:spacing w:val="-3"/>
          <w:w w:val="105"/>
          <w:sz w:val="21"/>
        </w:rPr>
        <w:t>Commission that </w:t>
      </w:r>
      <w:r>
        <w:rPr>
          <w:w w:val="105"/>
          <w:sz w:val="21"/>
        </w:rPr>
        <w:t>they </w:t>
      </w:r>
      <w:r>
        <w:rPr>
          <w:spacing w:val="-3"/>
          <w:w w:val="105"/>
          <w:sz w:val="21"/>
        </w:rPr>
        <w:t>are </w:t>
      </w:r>
      <w:r>
        <w:rPr>
          <w:spacing w:val="-2"/>
          <w:w w:val="105"/>
          <w:sz w:val="21"/>
        </w:rPr>
        <w:t>not </w:t>
      </w:r>
      <w:r>
        <w:rPr>
          <w:spacing w:val="-3"/>
          <w:w w:val="105"/>
          <w:sz w:val="21"/>
        </w:rPr>
        <w:t>aware </w:t>
      </w:r>
      <w:r>
        <w:rPr>
          <w:w w:val="105"/>
          <w:sz w:val="21"/>
        </w:rPr>
        <w:t>of </w:t>
      </w:r>
      <w:r>
        <w:rPr>
          <w:spacing w:val="-3"/>
          <w:w w:val="105"/>
          <w:sz w:val="21"/>
        </w:rPr>
        <w:t>any </w:t>
      </w:r>
      <w:r>
        <w:rPr>
          <w:w w:val="105"/>
          <w:sz w:val="21"/>
        </w:rPr>
        <w:t>local </w:t>
      </w:r>
      <w:r>
        <w:rPr>
          <w:spacing w:val="-3"/>
          <w:w w:val="105"/>
          <w:sz w:val="21"/>
        </w:rPr>
        <w:t>councils</w:t>
      </w:r>
      <w:r>
        <w:rPr>
          <w:spacing w:val="-10"/>
          <w:w w:val="105"/>
          <w:sz w:val="21"/>
        </w:rPr>
        <w:t> </w:t>
      </w:r>
      <w:r>
        <w:rPr>
          <w:spacing w:val="-3"/>
          <w:w w:val="105"/>
          <w:sz w:val="21"/>
        </w:rPr>
        <w:t>exercising</w:t>
      </w:r>
      <w:r>
        <w:rPr>
          <w:spacing w:val="-9"/>
          <w:w w:val="105"/>
          <w:sz w:val="21"/>
        </w:rPr>
        <w:t> </w:t>
      </w:r>
      <w:r>
        <w:rPr>
          <w:w w:val="105"/>
          <w:sz w:val="21"/>
        </w:rPr>
        <w:t>their</w:t>
      </w:r>
      <w:r>
        <w:rPr>
          <w:spacing w:val="-10"/>
          <w:w w:val="105"/>
          <w:sz w:val="21"/>
        </w:rPr>
        <w:t> </w:t>
      </w:r>
      <w:r>
        <w:rPr>
          <w:spacing w:val="-3"/>
          <w:w w:val="105"/>
          <w:sz w:val="21"/>
        </w:rPr>
        <w:t>discretion</w:t>
      </w:r>
      <w:r>
        <w:rPr>
          <w:spacing w:val="-9"/>
          <w:w w:val="105"/>
          <w:sz w:val="21"/>
        </w:rPr>
        <w:t> </w:t>
      </w:r>
      <w:r>
        <w:rPr>
          <w:spacing w:val="-3"/>
          <w:w w:val="105"/>
          <w:sz w:val="21"/>
        </w:rPr>
        <w:t>to</w:t>
      </w:r>
      <w:r>
        <w:rPr>
          <w:spacing w:val="-10"/>
          <w:w w:val="105"/>
          <w:sz w:val="21"/>
        </w:rPr>
        <w:t> </w:t>
      </w:r>
      <w:r>
        <w:rPr>
          <w:spacing w:val="-3"/>
          <w:w w:val="105"/>
          <w:sz w:val="21"/>
        </w:rPr>
        <w:t>enforce</w:t>
      </w:r>
      <w:r>
        <w:rPr>
          <w:spacing w:val="-9"/>
          <w:w w:val="105"/>
          <w:sz w:val="21"/>
        </w:rPr>
        <w:t> </w:t>
      </w:r>
      <w:r>
        <w:rPr>
          <w:w w:val="105"/>
          <w:sz w:val="21"/>
        </w:rPr>
        <w:t>orders</w:t>
      </w:r>
      <w:r>
        <w:rPr>
          <w:spacing w:val="-10"/>
          <w:w w:val="105"/>
          <w:sz w:val="21"/>
        </w:rPr>
        <w:t> </w:t>
      </w:r>
      <w:r>
        <w:rPr>
          <w:w w:val="105"/>
          <w:sz w:val="21"/>
        </w:rPr>
        <w:t>despite</w:t>
      </w:r>
      <w:r>
        <w:rPr>
          <w:spacing w:val="-9"/>
          <w:w w:val="105"/>
          <w:sz w:val="21"/>
        </w:rPr>
        <w:t> </w:t>
      </w:r>
      <w:r>
        <w:rPr>
          <w:w w:val="105"/>
          <w:sz w:val="21"/>
        </w:rPr>
        <w:t>the</w:t>
      </w:r>
      <w:r>
        <w:rPr>
          <w:spacing w:val="-10"/>
          <w:w w:val="105"/>
          <w:sz w:val="21"/>
        </w:rPr>
        <w:t> </w:t>
      </w:r>
      <w:r>
        <w:rPr>
          <w:spacing w:val="-3"/>
          <w:w w:val="105"/>
          <w:sz w:val="21"/>
        </w:rPr>
        <w:t>provisions</w:t>
      </w:r>
      <w:r>
        <w:rPr>
          <w:spacing w:val="-9"/>
          <w:w w:val="105"/>
          <w:sz w:val="21"/>
        </w:rPr>
        <w:t> </w:t>
      </w:r>
      <w:r>
        <w:rPr>
          <w:w w:val="105"/>
          <w:sz w:val="21"/>
        </w:rPr>
        <w:t>in</w:t>
      </w:r>
      <w:r>
        <w:rPr>
          <w:spacing w:val="-10"/>
          <w:w w:val="105"/>
          <w:sz w:val="21"/>
        </w:rPr>
        <w:t> </w:t>
      </w:r>
      <w:r>
        <w:rPr>
          <w:w w:val="105"/>
          <w:sz w:val="21"/>
        </w:rPr>
        <w:t>the</w:t>
      </w:r>
      <w:r>
        <w:rPr>
          <w:spacing w:val="-9"/>
          <w:w w:val="105"/>
          <w:sz w:val="21"/>
        </w:rPr>
        <w:t> </w:t>
      </w:r>
      <w:r>
        <w:rPr>
          <w:w w:val="105"/>
          <w:sz w:val="21"/>
        </w:rPr>
        <w:t>NSW</w:t>
      </w:r>
    </w:p>
    <w:p>
      <w:pPr>
        <w:pStyle w:val="BodyText"/>
        <w:spacing w:before="2"/>
        <w:ind w:left="2380"/>
      </w:pPr>
      <w:r>
        <w:rPr>
          <w:w w:val="105"/>
        </w:rPr>
        <w:t>and Queensland Acts.</w:t>
      </w:r>
      <w:r>
        <w:rPr>
          <w:w w:val="105"/>
          <w:position w:val="7"/>
          <w:sz w:val="12"/>
        </w:rPr>
        <w:t>197 </w:t>
      </w:r>
      <w:r>
        <w:rPr>
          <w:w w:val="105"/>
        </w:rPr>
        <w:t>The NSWLEC further surmised that it is unclear why a local council</w:t>
      </w:r>
    </w:p>
    <w:p>
      <w:pPr>
        <w:pStyle w:val="BodyText"/>
        <w:spacing w:before="11"/>
      </w:pPr>
      <w:r>
        <w:rPr/>
        <w:pict>
          <v:line style="position:absolute;mso-position-horizontal-relative:page;mso-position-vertical-relative:paragraph;z-index:9056;mso-wrap-distance-left:0;mso-wrap-distance-right:0" from="79.370003pt,15.864563pt" to="515.905003pt,15.86456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35"/>
        </w:rPr>
      </w:pPr>
    </w:p>
    <w:p>
      <w:pPr>
        <w:spacing w:before="0"/>
        <w:ind w:left="720" w:right="0" w:firstLine="0"/>
        <w:jc w:val="left"/>
        <w:rPr>
          <w:b/>
          <w:sz w:val="24"/>
        </w:rPr>
      </w:pPr>
      <w:r>
        <w:rPr>
          <w:b/>
          <w:color w:val="658464"/>
          <w:spacing w:val="-10"/>
          <w:w w:val="110"/>
          <w:sz w:val="24"/>
        </w:rPr>
        <w:t>212</w:t>
      </w:r>
    </w:p>
    <w:p>
      <w:pPr>
        <w:pStyle w:val="ListParagraph"/>
        <w:numPr>
          <w:ilvl w:val="0"/>
          <w:numId w:val="156"/>
        </w:numPr>
        <w:tabs>
          <w:tab w:pos="1247" w:val="left" w:leader="none"/>
          <w:tab w:pos="1248" w:val="left" w:leader="none"/>
        </w:tabs>
        <w:spacing w:line="240" w:lineRule="auto" w:before="48" w:after="0"/>
        <w:ind w:left="1247" w:right="1671" w:hanging="794"/>
        <w:jc w:val="left"/>
        <w:rPr>
          <w:sz w:val="13"/>
        </w:rPr>
      </w:pPr>
      <w:r>
        <w:rPr>
          <w:i/>
          <w:spacing w:val="3"/>
          <w:w w:val="108"/>
          <w:sz w:val="13"/>
        </w:rPr>
        <w:br w:type="column"/>
      </w:r>
      <w:r>
        <w:rPr>
          <w:i/>
          <w:sz w:val="13"/>
        </w:rPr>
        <w:t>Queensland Civil  and  Administrative  Tribunal  Act  2009  </w:t>
      </w:r>
      <w:r>
        <w:rPr>
          <w:spacing w:val="2"/>
          <w:sz w:val="13"/>
        </w:rPr>
        <w:t>(Qld)  </w:t>
      </w:r>
      <w:r>
        <w:rPr>
          <w:sz w:val="13"/>
        </w:rPr>
        <w:t>s  </w:t>
      </w:r>
      <w:r>
        <w:rPr>
          <w:spacing w:val="-4"/>
          <w:sz w:val="13"/>
        </w:rPr>
        <w:t>131.  </w:t>
      </w:r>
      <w:r>
        <w:rPr>
          <w:sz w:val="13"/>
        </w:rPr>
        <w:t>The  Magistrates  Court  has  jurisdiction  to  enforce  </w:t>
      </w:r>
      <w:r>
        <w:rPr>
          <w:spacing w:val="2"/>
          <w:sz w:val="13"/>
        </w:rPr>
        <w:t>monetary  </w:t>
      </w:r>
      <w:r>
        <w:rPr>
          <w:sz w:val="13"/>
        </w:rPr>
        <w:t>orders  up to</w:t>
      </w:r>
      <w:r>
        <w:rPr>
          <w:spacing w:val="23"/>
          <w:sz w:val="13"/>
        </w:rPr>
        <w:t> </w:t>
      </w:r>
      <w:r>
        <w:rPr>
          <w:sz w:val="13"/>
        </w:rPr>
        <w:t>and</w:t>
      </w:r>
      <w:r>
        <w:rPr>
          <w:spacing w:val="24"/>
          <w:sz w:val="13"/>
        </w:rPr>
        <w:t> </w:t>
      </w:r>
      <w:r>
        <w:rPr>
          <w:sz w:val="13"/>
        </w:rPr>
        <w:t>including</w:t>
      </w:r>
      <w:r>
        <w:rPr>
          <w:spacing w:val="24"/>
          <w:sz w:val="13"/>
        </w:rPr>
        <w:t> </w:t>
      </w:r>
      <w:r>
        <w:rPr>
          <w:sz w:val="13"/>
        </w:rPr>
        <w:t>$150,000.</w:t>
      </w:r>
      <w:r>
        <w:rPr>
          <w:spacing w:val="24"/>
          <w:sz w:val="13"/>
        </w:rPr>
        <w:t> </w:t>
      </w:r>
      <w:r>
        <w:rPr>
          <w:sz w:val="13"/>
        </w:rPr>
        <w:t>For</w:t>
      </w:r>
      <w:r>
        <w:rPr>
          <w:spacing w:val="23"/>
          <w:sz w:val="13"/>
        </w:rPr>
        <w:t> </w:t>
      </w:r>
      <w:r>
        <w:rPr>
          <w:sz w:val="13"/>
        </w:rPr>
        <w:t>larger</w:t>
      </w:r>
      <w:r>
        <w:rPr>
          <w:spacing w:val="24"/>
          <w:sz w:val="13"/>
        </w:rPr>
        <w:t> </w:t>
      </w:r>
      <w:r>
        <w:rPr>
          <w:sz w:val="13"/>
        </w:rPr>
        <w:t>amounts,</w:t>
      </w:r>
      <w:r>
        <w:rPr>
          <w:spacing w:val="24"/>
          <w:sz w:val="13"/>
        </w:rPr>
        <w:t> </w:t>
      </w:r>
      <w:r>
        <w:rPr>
          <w:sz w:val="13"/>
        </w:rPr>
        <w:t>the</w:t>
      </w:r>
      <w:r>
        <w:rPr>
          <w:spacing w:val="24"/>
          <w:sz w:val="13"/>
        </w:rPr>
        <w:t> </w:t>
      </w:r>
      <w:r>
        <w:rPr>
          <w:sz w:val="13"/>
        </w:rPr>
        <w:t>QCAT</w:t>
      </w:r>
      <w:r>
        <w:rPr>
          <w:spacing w:val="23"/>
          <w:sz w:val="13"/>
        </w:rPr>
        <w:t> </w:t>
      </w:r>
      <w:r>
        <w:rPr>
          <w:sz w:val="13"/>
        </w:rPr>
        <w:t>order</w:t>
      </w:r>
      <w:r>
        <w:rPr>
          <w:spacing w:val="24"/>
          <w:sz w:val="13"/>
        </w:rPr>
        <w:t> </w:t>
      </w:r>
      <w:r>
        <w:rPr>
          <w:sz w:val="13"/>
        </w:rPr>
        <w:t>may</w:t>
      </w:r>
      <w:r>
        <w:rPr>
          <w:spacing w:val="24"/>
          <w:sz w:val="13"/>
        </w:rPr>
        <w:t> </w:t>
      </w:r>
      <w:r>
        <w:rPr>
          <w:sz w:val="13"/>
        </w:rPr>
        <w:t>need</w:t>
      </w:r>
      <w:r>
        <w:rPr>
          <w:spacing w:val="24"/>
          <w:sz w:val="13"/>
        </w:rPr>
        <w:t> </w:t>
      </w:r>
      <w:r>
        <w:rPr>
          <w:sz w:val="13"/>
        </w:rPr>
        <w:t>to</w:t>
      </w:r>
      <w:r>
        <w:rPr>
          <w:spacing w:val="23"/>
          <w:sz w:val="13"/>
        </w:rPr>
        <w:t> </w:t>
      </w:r>
      <w:r>
        <w:rPr>
          <w:sz w:val="13"/>
        </w:rPr>
        <w:t>be</w:t>
      </w:r>
      <w:r>
        <w:rPr>
          <w:spacing w:val="24"/>
          <w:sz w:val="13"/>
        </w:rPr>
        <w:t> </w:t>
      </w:r>
      <w:r>
        <w:rPr>
          <w:sz w:val="13"/>
        </w:rPr>
        <w:t>enforced</w:t>
      </w:r>
      <w:r>
        <w:rPr>
          <w:spacing w:val="24"/>
          <w:sz w:val="13"/>
        </w:rPr>
        <w:t> </w:t>
      </w:r>
      <w:r>
        <w:rPr>
          <w:sz w:val="13"/>
        </w:rPr>
        <w:t>through</w:t>
      </w:r>
      <w:r>
        <w:rPr>
          <w:spacing w:val="24"/>
          <w:sz w:val="13"/>
        </w:rPr>
        <w:t> </w:t>
      </w:r>
      <w:r>
        <w:rPr>
          <w:sz w:val="13"/>
        </w:rPr>
        <w:t>the</w:t>
      </w:r>
      <w:r>
        <w:rPr>
          <w:spacing w:val="23"/>
          <w:sz w:val="13"/>
        </w:rPr>
        <w:t> </w:t>
      </w:r>
      <w:r>
        <w:rPr>
          <w:sz w:val="13"/>
        </w:rPr>
        <w:t>District</w:t>
      </w:r>
      <w:r>
        <w:rPr>
          <w:spacing w:val="24"/>
          <w:sz w:val="13"/>
        </w:rPr>
        <w:t> </w:t>
      </w:r>
      <w:r>
        <w:rPr>
          <w:sz w:val="13"/>
        </w:rPr>
        <w:t>Court</w:t>
      </w:r>
      <w:r>
        <w:rPr>
          <w:spacing w:val="24"/>
          <w:sz w:val="13"/>
        </w:rPr>
        <w:t> </w:t>
      </w:r>
      <w:r>
        <w:rPr>
          <w:sz w:val="13"/>
        </w:rPr>
        <w:t>(from</w:t>
      </w:r>
      <w:r>
        <w:rPr>
          <w:spacing w:val="24"/>
          <w:sz w:val="13"/>
        </w:rPr>
        <w:t> </w:t>
      </w:r>
      <w:r>
        <w:rPr>
          <w:sz w:val="13"/>
        </w:rPr>
        <w:t>$150,000</w:t>
      </w:r>
      <w:r>
        <w:rPr>
          <w:spacing w:val="23"/>
          <w:sz w:val="13"/>
        </w:rPr>
        <w:t> </w:t>
      </w:r>
      <w:r>
        <w:rPr>
          <w:sz w:val="13"/>
        </w:rPr>
        <w:t>up</w:t>
      </w:r>
      <w:r>
        <w:rPr>
          <w:spacing w:val="24"/>
          <w:sz w:val="13"/>
        </w:rPr>
        <w:t> </w:t>
      </w:r>
      <w:r>
        <w:rPr>
          <w:sz w:val="13"/>
        </w:rPr>
        <w:t>to</w:t>
      </w:r>
    </w:p>
    <w:p>
      <w:pPr>
        <w:spacing w:before="3"/>
        <w:ind w:left="1247" w:right="1788" w:firstLine="0"/>
        <w:jc w:val="left"/>
        <w:rPr>
          <w:sz w:val="13"/>
        </w:rPr>
      </w:pPr>
      <w:r>
        <w:rPr>
          <w:w w:val="105"/>
          <w:sz w:val="13"/>
        </w:rPr>
        <w:t>$750,000) or the Supreme Court (more than $750,000): Queensland Civil and Administrative Tribunal, </w:t>
      </w:r>
      <w:r>
        <w:rPr>
          <w:i/>
          <w:w w:val="105"/>
          <w:sz w:val="13"/>
        </w:rPr>
        <w:t>Enforcing a QCAT Decision </w:t>
      </w:r>
      <w:r>
        <w:rPr>
          <w:w w:val="105"/>
          <w:sz w:val="13"/>
        </w:rPr>
        <w:t>(Web Page, 13 November 2018) &lt;https://</w:t>
      </w:r>
      <w:hyperlink r:id="rId248">
        <w:r>
          <w:rPr>
            <w:w w:val="105"/>
            <w:sz w:val="13"/>
          </w:rPr>
          <w:t>www.qcat.qld.gov.au/qcat-decisions/enforcing-a-qcat-decision#Non-monetary%20decisions</w:t>
        </w:r>
      </w:hyperlink>
      <w:r>
        <w:rPr>
          <w:w w:val="105"/>
          <w:sz w:val="13"/>
        </w:rPr>
        <w:t>&gt;.</w:t>
      </w:r>
    </w:p>
    <w:p>
      <w:pPr>
        <w:pStyle w:val="ListParagraph"/>
        <w:numPr>
          <w:ilvl w:val="0"/>
          <w:numId w:val="156"/>
        </w:numPr>
        <w:tabs>
          <w:tab w:pos="1247" w:val="left" w:leader="none"/>
          <w:tab w:pos="1248" w:val="left" w:leader="none"/>
        </w:tabs>
        <w:spacing w:line="240" w:lineRule="auto" w:before="2" w:after="0"/>
        <w:ind w:left="1247" w:right="1664" w:hanging="794"/>
        <w:jc w:val="left"/>
        <w:rPr>
          <w:sz w:val="13"/>
        </w:rPr>
      </w:pPr>
      <w:r>
        <w:rPr>
          <w:i/>
          <w:sz w:val="13"/>
        </w:rPr>
        <w:t>Queensland Civil and  Administrative  Tribunal  Act  2009  </w:t>
      </w:r>
      <w:r>
        <w:rPr>
          <w:spacing w:val="2"/>
          <w:sz w:val="13"/>
        </w:rPr>
        <w:t>(Qld)  </w:t>
      </w:r>
      <w:r>
        <w:rPr>
          <w:sz w:val="13"/>
        </w:rPr>
        <w:t>s  </w:t>
      </w:r>
      <w:r>
        <w:rPr>
          <w:spacing w:val="2"/>
          <w:sz w:val="13"/>
        </w:rPr>
        <w:t>132(6)(a).  Non-monetary  </w:t>
      </w:r>
      <w:r>
        <w:rPr>
          <w:sz w:val="13"/>
        </w:rPr>
        <w:t>QCAT  Orders  for  minor  civil  disputes  can  be  filed in the Magistrates’ Court: s </w:t>
      </w:r>
      <w:r>
        <w:rPr>
          <w:spacing w:val="2"/>
          <w:sz w:val="13"/>
        </w:rPr>
        <w:t>132(7)(a); </w:t>
      </w:r>
      <w:r>
        <w:rPr>
          <w:sz w:val="13"/>
        </w:rPr>
        <w:t>however tree disputes under the Queensland Act are not considered minor  civil  disputes  (cf.  fence disputes): Queensland Civil and Administrative Tribunal, </w:t>
      </w:r>
      <w:r>
        <w:rPr>
          <w:i/>
          <w:sz w:val="13"/>
        </w:rPr>
        <w:t>Minor Civil Disputes </w:t>
      </w:r>
      <w:r>
        <w:rPr>
          <w:sz w:val="13"/>
        </w:rPr>
        <w:t>(Web Page, 25 October 2018) </w:t>
      </w:r>
      <w:r>
        <w:rPr>
          <w:spacing w:val="2"/>
          <w:sz w:val="13"/>
        </w:rPr>
        <w:t>&lt;https://</w:t>
      </w:r>
      <w:hyperlink r:id="rId186">
        <w:r>
          <w:rPr>
            <w:spacing w:val="2"/>
            <w:sz w:val="13"/>
          </w:rPr>
          <w:t>www.qcat.qld.gov.au/</w:t>
        </w:r>
      </w:hyperlink>
      <w:r>
        <w:rPr>
          <w:spacing w:val="2"/>
          <w:sz w:val="13"/>
        </w:rPr>
        <w:t> </w:t>
      </w:r>
      <w:r>
        <w:rPr>
          <w:sz w:val="13"/>
        </w:rPr>
        <w:t>matter-types/minor-civil-disputes&gt;.</w:t>
      </w:r>
    </w:p>
    <w:p>
      <w:pPr>
        <w:pStyle w:val="ListParagraph"/>
        <w:numPr>
          <w:ilvl w:val="0"/>
          <w:numId w:val="156"/>
        </w:numPr>
        <w:tabs>
          <w:tab w:pos="1247" w:val="left" w:leader="none"/>
          <w:tab w:pos="1248" w:val="left" w:leader="none"/>
        </w:tabs>
        <w:spacing w:line="240" w:lineRule="auto" w:before="6" w:after="0"/>
        <w:ind w:left="1247" w:right="0" w:hanging="794"/>
        <w:jc w:val="left"/>
        <w:rPr>
          <w:sz w:val="13"/>
        </w:rPr>
      </w:pPr>
      <w:r>
        <w:rPr>
          <w:i/>
          <w:w w:val="105"/>
          <w:sz w:val="13"/>
        </w:rPr>
        <w:t>Queensland</w:t>
      </w:r>
      <w:r>
        <w:rPr>
          <w:i/>
          <w:spacing w:val="4"/>
          <w:w w:val="105"/>
          <w:sz w:val="13"/>
        </w:rPr>
        <w:t> </w:t>
      </w:r>
      <w:r>
        <w:rPr>
          <w:i/>
          <w:w w:val="105"/>
          <w:sz w:val="13"/>
        </w:rPr>
        <w:t>Civil</w:t>
      </w:r>
      <w:r>
        <w:rPr>
          <w:i/>
          <w:spacing w:val="5"/>
          <w:w w:val="105"/>
          <w:sz w:val="13"/>
        </w:rPr>
        <w:t> </w:t>
      </w:r>
      <w:r>
        <w:rPr>
          <w:i/>
          <w:w w:val="105"/>
          <w:sz w:val="13"/>
        </w:rPr>
        <w:t>and</w:t>
      </w:r>
      <w:r>
        <w:rPr>
          <w:i/>
          <w:spacing w:val="5"/>
          <w:w w:val="105"/>
          <w:sz w:val="13"/>
        </w:rPr>
        <w:t> </w:t>
      </w:r>
      <w:r>
        <w:rPr>
          <w:i/>
          <w:w w:val="105"/>
          <w:sz w:val="13"/>
        </w:rPr>
        <w:t>Administrative</w:t>
      </w:r>
      <w:r>
        <w:rPr>
          <w:i/>
          <w:spacing w:val="5"/>
          <w:w w:val="105"/>
          <w:sz w:val="13"/>
        </w:rPr>
        <w:t> </w:t>
      </w:r>
      <w:r>
        <w:rPr>
          <w:i/>
          <w:w w:val="105"/>
          <w:sz w:val="13"/>
        </w:rPr>
        <w:t>Tribunal</w:t>
      </w:r>
      <w:r>
        <w:rPr>
          <w:i/>
          <w:spacing w:val="4"/>
          <w:w w:val="105"/>
          <w:sz w:val="13"/>
        </w:rPr>
        <w:t> </w:t>
      </w:r>
      <w:r>
        <w:rPr>
          <w:i/>
          <w:w w:val="105"/>
          <w:sz w:val="13"/>
        </w:rPr>
        <w:t>Act</w:t>
      </w:r>
      <w:r>
        <w:rPr>
          <w:i/>
          <w:spacing w:val="5"/>
          <w:w w:val="105"/>
          <w:sz w:val="13"/>
        </w:rPr>
        <w:t> </w:t>
      </w:r>
      <w:r>
        <w:rPr>
          <w:i/>
          <w:w w:val="105"/>
          <w:sz w:val="13"/>
        </w:rPr>
        <w:t>2009</w:t>
      </w:r>
      <w:r>
        <w:rPr>
          <w:i/>
          <w:spacing w:val="5"/>
          <w:w w:val="105"/>
          <w:sz w:val="13"/>
        </w:rPr>
        <w:t> </w:t>
      </w:r>
      <w:r>
        <w:rPr>
          <w:spacing w:val="2"/>
          <w:w w:val="105"/>
          <w:sz w:val="13"/>
        </w:rPr>
        <w:t>(Qld)</w:t>
      </w:r>
      <w:r>
        <w:rPr>
          <w:spacing w:val="5"/>
          <w:w w:val="105"/>
          <w:sz w:val="13"/>
        </w:rPr>
        <w:t> </w:t>
      </w:r>
      <w:r>
        <w:rPr>
          <w:w w:val="105"/>
          <w:sz w:val="13"/>
        </w:rPr>
        <w:t>s</w:t>
      </w:r>
      <w:r>
        <w:rPr>
          <w:spacing w:val="4"/>
          <w:w w:val="105"/>
          <w:sz w:val="13"/>
        </w:rPr>
        <w:t> </w:t>
      </w:r>
      <w:r>
        <w:rPr>
          <w:w w:val="105"/>
          <w:sz w:val="13"/>
        </w:rPr>
        <w:t>132(5).</w:t>
      </w:r>
    </w:p>
    <w:p>
      <w:pPr>
        <w:pStyle w:val="ListParagraph"/>
        <w:numPr>
          <w:ilvl w:val="0"/>
          <w:numId w:val="156"/>
        </w:numPr>
        <w:tabs>
          <w:tab w:pos="1247" w:val="left" w:leader="none"/>
          <w:tab w:pos="1248" w:val="left" w:leader="none"/>
        </w:tabs>
        <w:spacing w:line="240" w:lineRule="auto" w:before="1" w:after="0"/>
        <w:ind w:left="1247" w:right="0" w:hanging="794"/>
        <w:jc w:val="left"/>
        <w:rPr>
          <w:sz w:val="13"/>
        </w:rPr>
      </w:pPr>
      <w:r>
        <w:rPr>
          <w:w w:val="105"/>
          <w:sz w:val="13"/>
        </w:rPr>
        <w:t>Resource</w:t>
      </w:r>
      <w:r>
        <w:rPr>
          <w:spacing w:val="5"/>
          <w:w w:val="105"/>
          <w:sz w:val="13"/>
        </w:rPr>
        <w:t> </w:t>
      </w:r>
      <w:r>
        <w:rPr>
          <w:w w:val="105"/>
          <w:sz w:val="13"/>
        </w:rPr>
        <w:t>Management</w:t>
      </w:r>
      <w:r>
        <w:rPr>
          <w:spacing w:val="6"/>
          <w:w w:val="105"/>
          <w:sz w:val="13"/>
        </w:rPr>
        <w:t> </w:t>
      </w:r>
      <w:r>
        <w:rPr>
          <w:w w:val="105"/>
          <w:sz w:val="13"/>
        </w:rPr>
        <w:t>and</w:t>
      </w:r>
      <w:r>
        <w:rPr>
          <w:spacing w:val="6"/>
          <w:w w:val="105"/>
          <w:sz w:val="13"/>
        </w:rPr>
        <w:t> </w:t>
      </w:r>
      <w:r>
        <w:rPr>
          <w:w w:val="105"/>
          <w:sz w:val="13"/>
        </w:rPr>
        <w:t>Planning</w:t>
      </w:r>
      <w:r>
        <w:rPr>
          <w:spacing w:val="6"/>
          <w:w w:val="105"/>
          <w:sz w:val="13"/>
        </w:rPr>
        <w:t> </w:t>
      </w:r>
      <w:r>
        <w:rPr>
          <w:w w:val="105"/>
          <w:sz w:val="13"/>
        </w:rPr>
        <w:t>Appeal</w:t>
      </w:r>
      <w:r>
        <w:rPr>
          <w:spacing w:val="5"/>
          <w:w w:val="105"/>
          <w:sz w:val="13"/>
        </w:rPr>
        <w:t> </w:t>
      </w:r>
      <w:r>
        <w:rPr>
          <w:w w:val="105"/>
          <w:sz w:val="13"/>
        </w:rPr>
        <w:t>Tribunal,</w:t>
      </w:r>
      <w:r>
        <w:rPr>
          <w:spacing w:val="6"/>
          <w:w w:val="105"/>
          <w:sz w:val="13"/>
        </w:rPr>
        <w:t> </w:t>
      </w:r>
      <w:r>
        <w:rPr>
          <w:i/>
          <w:w w:val="105"/>
          <w:sz w:val="13"/>
        </w:rPr>
        <w:t>Practice</w:t>
      </w:r>
      <w:r>
        <w:rPr>
          <w:i/>
          <w:spacing w:val="6"/>
          <w:w w:val="105"/>
          <w:sz w:val="13"/>
        </w:rPr>
        <w:t> </w:t>
      </w:r>
      <w:r>
        <w:rPr>
          <w:i/>
          <w:w w:val="105"/>
          <w:sz w:val="13"/>
        </w:rPr>
        <w:t>Direction</w:t>
      </w:r>
      <w:r>
        <w:rPr>
          <w:i/>
          <w:spacing w:val="6"/>
          <w:w w:val="105"/>
          <w:sz w:val="13"/>
        </w:rPr>
        <w:t> </w:t>
      </w:r>
      <w:r>
        <w:rPr>
          <w:i/>
          <w:w w:val="105"/>
          <w:sz w:val="13"/>
        </w:rPr>
        <w:t>No</w:t>
      </w:r>
      <w:r>
        <w:rPr>
          <w:i/>
          <w:spacing w:val="6"/>
          <w:w w:val="105"/>
          <w:sz w:val="13"/>
        </w:rPr>
        <w:t> </w:t>
      </w:r>
      <w:r>
        <w:rPr>
          <w:i/>
          <w:w w:val="105"/>
          <w:sz w:val="13"/>
        </w:rPr>
        <w:t>14—Civil</w:t>
      </w:r>
      <w:r>
        <w:rPr>
          <w:i/>
          <w:spacing w:val="5"/>
          <w:w w:val="105"/>
          <w:sz w:val="13"/>
        </w:rPr>
        <w:t> </w:t>
      </w:r>
      <w:r>
        <w:rPr>
          <w:i/>
          <w:w w:val="105"/>
          <w:sz w:val="13"/>
        </w:rPr>
        <w:t>Enforcement</w:t>
      </w:r>
      <w:r>
        <w:rPr>
          <w:i/>
          <w:spacing w:val="6"/>
          <w:w w:val="105"/>
          <w:sz w:val="13"/>
        </w:rPr>
        <w:t> </w:t>
      </w:r>
      <w:r>
        <w:rPr>
          <w:i/>
          <w:w w:val="105"/>
          <w:sz w:val="13"/>
        </w:rPr>
        <w:t>Proceedings</w:t>
      </w:r>
      <w:r>
        <w:rPr>
          <w:w w:val="105"/>
          <w:sz w:val="13"/>
        </w:rPr>
        <w:t>,</w:t>
      </w:r>
      <w:r>
        <w:rPr>
          <w:spacing w:val="6"/>
          <w:w w:val="105"/>
          <w:sz w:val="13"/>
        </w:rPr>
        <w:t> </w:t>
      </w:r>
      <w:r>
        <w:rPr>
          <w:w w:val="105"/>
          <w:sz w:val="13"/>
        </w:rPr>
        <w:t>amended</w:t>
      </w:r>
      <w:r>
        <w:rPr>
          <w:spacing w:val="6"/>
          <w:w w:val="105"/>
          <w:sz w:val="13"/>
        </w:rPr>
        <w:t> </w:t>
      </w:r>
      <w:r>
        <w:rPr>
          <w:w w:val="105"/>
          <w:sz w:val="13"/>
        </w:rPr>
        <w:t>1</w:t>
      </w:r>
      <w:r>
        <w:rPr>
          <w:spacing w:val="6"/>
          <w:w w:val="105"/>
          <w:sz w:val="13"/>
        </w:rPr>
        <w:t> </w:t>
      </w:r>
      <w:r>
        <w:rPr>
          <w:w w:val="105"/>
          <w:sz w:val="13"/>
        </w:rPr>
        <w:t>March</w:t>
      </w:r>
      <w:r>
        <w:rPr>
          <w:spacing w:val="5"/>
          <w:w w:val="105"/>
          <w:sz w:val="13"/>
        </w:rPr>
        <w:t> </w:t>
      </w:r>
      <w:r>
        <w:rPr>
          <w:w w:val="105"/>
          <w:sz w:val="13"/>
        </w:rPr>
        <w:t>2016)</w:t>
      </w:r>
    </w:p>
    <w:p>
      <w:pPr>
        <w:spacing w:before="1"/>
        <w:ind w:left="1247" w:right="0" w:firstLine="0"/>
        <w:jc w:val="left"/>
        <w:rPr>
          <w:sz w:val="13"/>
        </w:rPr>
      </w:pPr>
      <w:r>
        <w:rPr>
          <w:w w:val="105"/>
          <w:sz w:val="13"/>
        </w:rPr>
        <w:t>14.12 &lt;https://</w:t>
      </w:r>
      <w:hyperlink r:id="rId218">
        <w:r>
          <w:rPr>
            <w:w w:val="105"/>
            <w:sz w:val="13"/>
          </w:rPr>
          <w:t>www.rmpat.tas.gov.au/practice_directions</w:t>
        </w:r>
      </w:hyperlink>
      <w:r>
        <w:rPr>
          <w:w w:val="105"/>
          <w:sz w:val="13"/>
        </w:rPr>
        <w:t>&gt;.</w:t>
      </w:r>
    </w:p>
    <w:p>
      <w:pPr>
        <w:pStyle w:val="ListParagraph"/>
        <w:numPr>
          <w:ilvl w:val="0"/>
          <w:numId w:val="156"/>
        </w:numPr>
        <w:tabs>
          <w:tab w:pos="1247" w:val="left" w:leader="none"/>
          <w:tab w:pos="1248" w:val="left" w:leader="none"/>
        </w:tabs>
        <w:spacing w:line="240" w:lineRule="auto" w:before="2" w:after="0"/>
        <w:ind w:left="1247" w:right="2048" w:hanging="794"/>
        <w:jc w:val="left"/>
        <w:rPr>
          <w:sz w:val="13"/>
        </w:rPr>
      </w:pPr>
      <w:r>
        <w:rPr>
          <w:w w:val="105"/>
          <w:sz w:val="13"/>
        </w:rPr>
        <w:t>Submissions 5 </w:t>
      </w:r>
      <w:r>
        <w:rPr>
          <w:spacing w:val="2"/>
          <w:w w:val="105"/>
          <w:sz w:val="13"/>
        </w:rPr>
        <w:t>(Name </w:t>
      </w:r>
      <w:r>
        <w:rPr>
          <w:w w:val="105"/>
          <w:sz w:val="13"/>
        </w:rPr>
        <w:t>withheld), 6 </w:t>
      </w:r>
      <w:r>
        <w:rPr>
          <w:spacing w:val="2"/>
          <w:w w:val="105"/>
          <w:sz w:val="13"/>
        </w:rPr>
        <w:t>(Name </w:t>
      </w:r>
      <w:r>
        <w:rPr>
          <w:w w:val="105"/>
          <w:sz w:val="13"/>
        </w:rPr>
        <w:t>withheld), 7 </w:t>
      </w:r>
      <w:r>
        <w:rPr>
          <w:spacing w:val="2"/>
          <w:w w:val="105"/>
          <w:sz w:val="13"/>
        </w:rPr>
        <w:t>(Ben </w:t>
      </w:r>
      <w:r>
        <w:rPr>
          <w:w w:val="105"/>
          <w:sz w:val="13"/>
        </w:rPr>
        <w:t>Kenyon), 20 </w:t>
      </w:r>
      <w:r>
        <w:rPr>
          <w:spacing w:val="2"/>
          <w:w w:val="105"/>
          <w:sz w:val="13"/>
        </w:rPr>
        <w:t>(Name </w:t>
      </w:r>
      <w:r>
        <w:rPr>
          <w:w w:val="105"/>
          <w:sz w:val="13"/>
        </w:rPr>
        <w:t>withheld), 21 (Pointon Partners </w:t>
      </w:r>
      <w:r>
        <w:rPr>
          <w:spacing w:val="2"/>
          <w:w w:val="105"/>
          <w:sz w:val="13"/>
        </w:rPr>
        <w:t>Lawyers), </w:t>
      </w:r>
      <w:r>
        <w:rPr>
          <w:w w:val="105"/>
          <w:sz w:val="13"/>
        </w:rPr>
        <w:t>23 </w:t>
      </w:r>
      <w:r>
        <w:rPr>
          <w:spacing w:val="2"/>
          <w:w w:val="105"/>
          <w:sz w:val="13"/>
        </w:rPr>
        <w:t>(Name </w:t>
      </w:r>
      <w:r>
        <w:rPr>
          <w:w w:val="105"/>
          <w:sz w:val="13"/>
        </w:rPr>
        <w:t>withheld), 27 </w:t>
      </w:r>
      <w:r>
        <w:rPr>
          <w:spacing w:val="2"/>
          <w:w w:val="105"/>
          <w:sz w:val="13"/>
        </w:rPr>
        <w:t>(Name</w:t>
      </w:r>
      <w:r>
        <w:rPr>
          <w:spacing w:val="13"/>
          <w:w w:val="105"/>
          <w:sz w:val="13"/>
        </w:rPr>
        <w:t> </w:t>
      </w:r>
      <w:r>
        <w:rPr>
          <w:w w:val="105"/>
          <w:sz w:val="13"/>
        </w:rPr>
        <w:t>withheld).</w:t>
      </w:r>
    </w:p>
    <w:p>
      <w:pPr>
        <w:pStyle w:val="ListParagraph"/>
        <w:numPr>
          <w:ilvl w:val="0"/>
          <w:numId w:val="156"/>
        </w:numPr>
        <w:tabs>
          <w:tab w:pos="1247" w:val="left" w:leader="none"/>
          <w:tab w:pos="1248" w:val="left" w:leader="none"/>
        </w:tabs>
        <w:spacing w:line="240" w:lineRule="auto" w:before="2" w:after="0"/>
        <w:ind w:left="1247" w:right="0" w:hanging="794"/>
        <w:jc w:val="left"/>
        <w:rPr>
          <w:sz w:val="13"/>
        </w:rPr>
      </w:pPr>
      <w:r>
        <w:rPr>
          <w:w w:val="105"/>
          <w:sz w:val="13"/>
        </w:rPr>
        <w:t>Submissions</w:t>
      </w:r>
      <w:r>
        <w:rPr>
          <w:spacing w:val="4"/>
          <w:w w:val="105"/>
          <w:sz w:val="13"/>
        </w:rPr>
        <w:t> </w:t>
      </w:r>
      <w:r>
        <w:rPr>
          <w:w w:val="105"/>
          <w:sz w:val="13"/>
        </w:rPr>
        <w:t>4</w:t>
      </w:r>
      <w:r>
        <w:rPr>
          <w:spacing w:val="5"/>
          <w:w w:val="105"/>
          <w:sz w:val="13"/>
        </w:rPr>
        <w:t> </w:t>
      </w:r>
      <w:r>
        <w:rPr>
          <w:spacing w:val="2"/>
          <w:w w:val="105"/>
          <w:sz w:val="13"/>
        </w:rPr>
        <w:t>(Name</w:t>
      </w:r>
      <w:r>
        <w:rPr>
          <w:spacing w:val="5"/>
          <w:w w:val="105"/>
          <w:sz w:val="13"/>
        </w:rPr>
        <w:t> </w:t>
      </w:r>
      <w:r>
        <w:rPr>
          <w:w w:val="105"/>
          <w:sz w:val="13"/>
        </w:rPr>
        <w:t>withheld),</w:t>
      </w:r>
      <w:r>
        <w:rPr>
          <w:spacing w:val="4"/>
          <w:w w:val="105"/>
          <w:sz w:val="13"/>
        </w:rPr>
        <w:t> </w:t>
      </w:r>
      <w:r>
        <w:rPr>
          <w:w w:val="105"/>
          <w:sz w:val="13"/>
        </w:rPr>
        <w:t>5</w:t>
      </w:r>
      <w:r>
        <w:rPr>
          <w:spacing w:val="5"/>
          <w:w w:val="105"/>
          <w:sz w:val="13"/>
        </w:rPr>
        <w:t> </w:t>
      </w:r>
      <w:r>
        <w:rPr>
          <w:spacing w:val="2"/>
          <w:w w:val="105"/>
          <w:sz w:val="13"/>
        </w:rPr>
        <w:t>(Name</w:t>
      </w:r>
      <w:r>
        <w:rPr>
          <w:spacing w:val="4"/>
          <w:w w:val="105"/>
          <w:sz w:val="13"/>
        </w:rPr>
        <w:t> </w:t>
      </w:r>
      <w:r>
        <w:rPr>
          <w:w w:val="105"/>
          <w:sz w:val="13"/>
        </w:rPr>
        <w:t>withheld),</w:t>
      </w:r>
      <w:r>
        <w:rPr>
          <w:spacing w:val="5"/>
          <w:w w:val="105"/>
          <w:sz w:val="13"/>
        </w:rPr>
        <w:t> </w:t>
      </w:r>
      <w:r>
        <w:rPr>
          <w:w w:val="105"/>
          <w:sz w:val="13"/>
        </w:rPr>
        <w:t>6</w:t>
      </w:r>
      <w:r>
        <w:rPr>
          <w:spacing w:val="5"/>
          <w:w w:val="105"/>
          <w:sz w:val="13"/>
        </w:rPr>
        <w:t> </w:t>
      </w:r>
      <w:r>
        <w:rPr>
          <w:spacing w:val="2"/>
          <w:w w:val="105"/>
          <w:sz w:val="13"/>
        </w:rPr>
        <w:t>(Name</w:t>
      </w:r>
      <w:r>
        <w:rPr>
          <w:spacing w:val="4"/>
          <w:w w:val="105"/>
          <w:sz w:val="13"/>
        </w:rPr>
        <w:t> </w:t>
      </w:r>
      <w:r>
        <w:rPr>
          <w:w w:val="105"/>
          <w:sz w:val="13"/>
        </w:rPr>
        <w:t>withheld),</w:t>
      </w:r>
      <w:r>
        <w:rPr>
          <w:spacing w:val="5"/>
          <w:w w:val="105"/>
          <w:sz w:val="13"/>
        </w:rPr>
        <w:t> </w:t>
      </w:r>
      <w:r>
        <w:rPr>
          <w:w w:val="105"/>
          <w:sz w:val="13"/>
        </w:rPr>
        <w:t>7</w:t>
      </w:r>
      <w:r>
        <w:rPr>
          <w:spacing w:val="5"/>
          <w:w w:val="105"/>
          <w:sz w:val="13"/>
        </w:rPr>
        <w:t> </w:t>
      </w:r>
      <w:r>
        <w:rPr>
          <w:spacing w:val="2"/>
          <w:w w:val="105"/>
          <w:sz w:val="13"/>
        </w:rPr>
        <w:t>(Ben</w:t>
      </w:r>
      <w:r>
        <w:rPr>
          <w:spacing w:val="4"/>
          <w:w w:val="105"/>
          <w:sz w:val="13"/>
        </w:rPr>
        <w:t> </w:t>
      </w:r>
      <w:r>
        <w:rPr>
          <w:w w:val="105"/>
          <w:sz w:val="13"/>
        </w:rPr>
        <w:t>Kenyon).</w:t>
      </w:r>
    </w:p>
    <w:p>
      <w:pPr>
        <w:pStyle w:val="ListParagraph"/>
        <w:numPr>
          <w:ilvl w:val="0"/>
          <w:numId w:val="156"/>
        </w:numPr>
        <w:tabs>
          <w:tab w:pos="1247" w:val="left" w:leader="none"/>
          <w:tab w:pos="1248" w:val="left" w:leader="none"/>
        </w:tabs>
        <w:spacing w:line="240" w:lineRule="auto" w:before="2" w:after="0"/>
        <w:ind w:left="453" w:right="2257" w:firstLine="0"/>
        <w:jc w:val="left"/>
        <w:rPr>
          <w:sz w:val="13"/>
        </w:rPr>
      </w:pPr>
      <w:r>
        <w:rPr>
          <w:w w:val="105"/>
          <w:sz w:val="13"/>
        </w:rPr>
        <w:t>Submissions 2 </w:t>
      </w:r>
      <w:r>
        <w:rPr>
          <w:spacing w:val="2"/>
          <w:w w:val="105"/>
          <w:sz w:val="13"/>
        </w:rPr>
        <w:t>(Name </w:t>
      </w:r>
      <w:r>
        <w:rPr>
          <w:w w:val="105"/>
          <w:sz w:val="13"/>
        </w:rPr>
        <w:t>withheld), 25 (City of Boorondara); Consultations 9 (Nillumbik Shire Council), 10 </w:t>
      </w:r>
      <w:r>
        <w:rPr>
          <w:spacing w:val="2"/>
          <w:w w:val="105"/>
          <w:sz w:val="13"/>
        </w:rPr>
        <w:t>(Baw </w:t>
      </w:r>
      <w:r>
        <w:rPr>
          <w:w w:val="105"/>
          <w:sz w:val="13"/>
        </w:rPr>
        <w:t>Baw Shire Council). 194</w:t>
        <w:tab/>
        <w:t>Submission 25 (City of</w:t>
      </w:r>
      <w:r>
        <w:rPr>
          <w:spacing w:val="18"/>
          <w:w w:val="105"/>
          <w:sz w:val="13"/>
        </w:rPr>
        <w:t> </w:t>
      </w:r>
      <w:r>
        <w:rPr>
          <w:w w:val="105"/>
          <w:sz w:val="13"/>
        </w:rPr>
        <w:t>Boorondara).</w:t>
      </w:r>
    </w:p>
    <w:p>
      <w:pPr>
        <w:tabs>
          <w:tab w:pos="1247" w:val="left" w:leader="none"/>
        </w:tabs>
        <w:spacing w:before="2"/>
        <w:ind w:left="453" w:right="7164" w:firstLine="0"/>
        <w:jc w:val="left"/>
        <w:rPr>
          <w:sz w:val="13"/>
        </w:rPr>
      </w:pPr>
      <w:r>
        <w:rPr>
          <w:w w:val="105"/>
          <w:sz w:val="13"/>
        </w:rPr>
        <w:t>195</w:t>
        <w:tab/>
        <w:t>Consultation 9 (Nillumbik Shire Council). 196</w:t>
        <w:tab/>
        <w:t>Consultation 10 </w:t>
      </w:r>
      <w:r>
        <w:rPr>
          <w:spacing w:val="2"/>
          <w:w w:val="105"/>
          <w:sz w:val="13"/>
        </w:rPr>
        <w:t>(Baw </w:t>
      </w:r>
      <w:r>
        <w:rPr>
          <w:w w:val="105"/>
          <w:sz w:val="13"/>
        </w:rPr>
        <w:t>Baw Shire</w:t>
      </w:r>
      <w:r>
        <w:rPr>
          <w:spacing w:val="17"/>
          <w:w w:val="105"/>
          <w:sz w:val="13"/>
        </w:rPr>
        <w:t> </w:t>
      </w:r>
      <w:r>
        <w:rPr>
          <w:w w:val="105"/>
          <w:sz w:val="13"/>
        </w:rPr>
        <w:t>Council).</w:t>
      </w:r>
    </w:p>
    <w:p>
      <w:pPr>
        <w:tabs>
          <w:tab w:pos="1247" w:val="left" w:leader="none"/>
        </w:tabs>
        <w:spacing w:before="3"/>
        <w:ind w:left="453" w:right="0" w:firstLine="0"/>
        <w:jc w:val="left"/>
        <w:rPr>
          <w:sz w:val="13"/>
        </w:rPr>
      </w:pPr>
      <w:r>
        <w:rPr>
          <w:w w:val="105"/>
          <w:sz w:val="13"/>
        </w:rPr>
        <w:t>197</w:t>
        <w:tab/>
        <w:t>Consultations</w:t>
      </w:r>
      <w:r>
        <w:rPr>
          <w:spacing w:val="5"/>
          <w:w w:val="105"/>
          <w:sz w:val="13"/>
        </w:rPr>
        <w:t> </w:t>
      </w:r>
      <w:r>
        <w:rPr>
          <w:spacing w:val="-6"/>
          <w:w w:val="105"/>
          <w:sz w:val="13"/>
        </w:rPr>
        <w:t>11</w:t>
      </w:r>
      <w:r>
        <w:rPr>
          <w:spacing w:val="5"/>
          <w:w w:val="105"/>
          <w:sz w:val="13"/>
        </w:rPr>
        <w:t> </w:t>
      </w:r>
      <w:r>
        <w:rPr>
          <w:spacing w:val="2"/>
          <w:w w:val="105"/>
          <w:sz w:val="13"/>
        </w:rPr>
        <w:t>(Land</w:t>
      </w:r>
      <w:r>
        <w:rPr>
          <w:spacing w:val="5"/>
          <w:w w:val="105"/>
          <w:sz w:val="13"/>
        </w:rPr>
        <w:t> </w:t>
      </w:r>
      <w:r>
        <w:rPr>
          <w:w w:val="105"/>
          <w:sz w:val="13"/>
        </w:rPr>
        <w:t>and</w:t>
      </w:r>
      <w:r>
        <w:rPr>
          <w:spacing w:val="5"/>
          <w:w w:val="105"/>
          <w:sz w:val="13"/>
        </w:rPr>
        <w:t> </w:t>
      </w:r>
      <w:r>
        <w:rPr>
          <w:w w:val="105"/>
          <w:sz w:val="13"/>
        </w:rPr>
        <w:t>Environment</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r>
        <w:rPr>
          <w:spacing w:val="5"/>
          <w:w w:val="105"/>
          <w:sz w:val="13"/>
        </w:rPr>
        <w:t> </w:t>
      </w:r>
      <w:r>
        <w:rPr>
          <w:spacing w:val="-3"/>
          <w:w w:val="105"/>
          <w:sz w:val="13"/>
        </w:rPr>
        <w:t>15</w:t>
      </w:r>
      <w:r>
        <w:rPr>
          <w:spacing w:val="5"/>
          <w:w w:val="105"/>
          <w:sz w:val="13"/>
        </w:rPr>
        <w:t> </w:t>
      </w:r>
      <w:r>
        <w:rPr>
          <w:w w:val="105"/>
          <w:sz w:val="13"/>
        </w:rPr>
        <w:t>(Queensland</w:t>
      </w:r>
      <w:r>
        <w:rPr>
          <w:spacing w:val="5"/>
          <w:w w:val="105"/>
          <w:sz w:val="13"/>
        </w:rPr>
        <w:t> </w:t>
      </w:r>
      <w:r>
        <w:rPr>
          <w:w w:val="105"/>
          <w:sz w:val="13"/>
        </w:rPr>
        <w:t>Civil</w:t>
      </w:r>
      <w:r>
        <w:rPr>
          <w:spacing w:val="6"/>
          <w:w w:val="105"/>
          <w:sz w:val="13"/>
        </w:rPr>
        <w:t> </w:t>
      </w:r>
      <w:r>
        <w:rPr>
          <w:w w:val="105"/>
          <w:sz w:val="13"/>
        </w:rPr>
        <w:t>and</w:t>
      </w:r>
      <w:r>
        <w:rPr>
          <w:spacing w:val="5"/>
          <w:w w:val="105"/>
          <w:sz w:val="13"/>
        </w:rPr>
        <w:t> </w:t>
      </w:r>
      <w:r>
        <w:rPr>
          <w:w w:val="105"/>
          <w:sz w:val="13"/>
        </w:rPr>
        <w:t>Administrative</w:t>
      </w:r>
      <w:r>
        <w:rPr>
          <w:spacing w:val="5"/>
          <w:w w:val="105"/>
          <w:sz w:val="13"/>
        </w:rPr>
        <w:t> </w:t>
      </w:r>
      <w:r>
        <w:rPr>
          <w:w w:val="105"/>
          <w:sz w:val="13"/>
        </w:rPr>
        <w:t>Tribunal).</w:t>
      </w:r>
    </w:p>
    <w:p>
      <w:pPr>
        <w:spacing w:after="0"/>
        <w:jc w:val="left"/>
        <w:rPr>
          <w:sz w:val="13"/>
        </w:rPr>
        <w:sectPr>
          <w:type w:val="continuous"/>
          <w:pgSz w:w="11910" w:h="16840"/>
          <w:pgMar w:top="300" w:bottom="280" w:left="0" w:right="0"/>
          <w:cols w:num="2" w:equalWidth="0">
            <w:col w:w="1094" w:space="40"/>
            <w:col w:w="10776"/>
          </w:cols>
        </w:sectPr>
      </w:pPr>
    </w:p>
    <w:p>
      <w:pPr>
        <w:pStyle w:val="BodyText"/>
        <w:rPr>
          <w:sz w:val="20"/>
        </w:rPr>
      </w:pPr>
    </w:p>
    <w:p>
      <w:pPr>
        <w:pStyle w:val="BodyText"/>
        <w:spacing w:before="9"/>
        <w:rPr>
          <w:sz w:val="18"/>
        </w:rPr>
      </w:pPr>
    </w:p>
    <w:p>
      <w:pPr>
        <w:pStyle w:val="BodyText"/>
        <w:spacing w:line="242" w:lineRule="auto" w:before="91"/>
        <w:ind w:left="2381" w:right="1579"/>
        <w:rPr>
          <w:sz w:val="12"/>
        </w:rPr>
      </w:pPr>
      <w:bookmarkStart w:name="The Commission’s conclusions—enforcement" w:id="246"/>
      <w:bookmarkEnd w:id="246"/>
      <w:r>
        <w:rPr/>
      </w:r>
      <w:bookmarkStart w:name="_bookmark116" w:id="247"/>
      <w:bookmarkEnd w:id="247"/>
      <w:r>
        <w:rPr/>
      </w:r>
      <w:r>
        <w:rPr>
          <w:w w:val="105"/>
        </w:rPr>
        <w:t>would choose to enforce the orders issued by the NSWLEC as there is no obvious benefit to be gained by the local council.</w:t>
      </w:r>
      <w:r>
        <w:rPr>
          <w:w w:val="105"/>
          <w:position w:val="7"/>
          <w:sz w:val="12"/>
        </w:rPr>
        <w:t>198 </w:t>
      </w:r>
      <w:r>
        <w:rPr>
          <w:w w:val="105"/>
        </w:rPr>
        <w:t>VCAT also told the Commission that in the context of the </w:t>
      </w:r>
      <w:r>
        <w:rPr>
          <w:i/>
          <w:w w:val="105"/>
        </w:rPr>
        <w:t>Planning and Environment Act 1987 </w:t>
      </w:r>
      <w:r>
        <w:rPr>
          <w:w w:val="105"/>
        </w:rPr>
        <w:t>(Vic), local councils rarely take up the option of carrying out works that a party has failed to complete under an enforcement or interim enforcement order.</w:t>
      </w:r>
      <w:r>
        <w:rPr>
          <w:w w:val="105"/>
          <w:position w:val="7"/>
          <w:sz w:val="12"/>
        </w:rPr>
        <w:t>199</w:t>
      </w:r>
    </w:p>
    <w:p>
      <w:pPr>
        <w:pStyle w:val="ListParagraph"/>
        <w:numPr>
          <w:ilvl w:val="0"/>
          <w:numId w:val="157"/>
        </w:numPr>
        <w:tabs>
          <w:tab w:pos="2380" w:val="left" w:leader="none"/>
          <w:tab w:pos="2381" w:val="left" w:leader="none"/>
        </w:tabs>
        <w:spacing w:line="242" w:lineRule="auto" w:before="126" w:after="0"/>
        <w:ind w:left="2380" w:right="1609" w:hanging="793"/>
        <w:jc w:val="left"/>
        <w:rPr>
          <w:sz w:val="12"/>
        </w:rPr>
      </w:pPr>
      <w:r>
        <w:rPr>
          <w:w w:val="105"/>
          <w:sz w:val="21"/>
        </w:rPr>
        <w:t>Some respondents suggested </w:t>
      </w:r>
      <w:r>
        <w:rPr>
          <w:spacing w:val="-3"/>
          <w:w w:val="105"/>
          <w:sz w:val="21"/>
        </w:rPr>
        <w:t>that </w:t>
      </w:r>
      <w:r>
        <w:rPr>
          <w:w w:val="105"/>
          <w:sz w:val="21"/>
        </w:rPr>
        <w:t>orders should be </w:t>
      </w:r>
      <w:r>
        <w:rPr>
          <w:spacing w:val="-3"/>
          <w:w w:val="105"/>
          <w:sz w:val="21"/>
        </w:rPr>
        <w:t>enforced through </w:t>
      </w:r>
      <w:r>
        <w:rPr>
          <w:w w:val="105"/>
          <w:sz w:val="21"/>
        </w:rPr>
        <w:t>the existing </w:t>
      </w:r>
      <w:r>
        <w:rPr>
          <w:spacing w:val="-3"/>
          <w:w w:val="105"/>
          <w:sz w:val="21"/>
        </w:rPr>
        <w:t>enforcement</w:t>
      </w:r>
      <w:r>
        <w:rPr>
          <w:spacing w:val="-9"/>
          <w:w w:val="105"/>
          <w:sz w:val="21"/>
        </w:rPr>
        <w:t> </w:t>
      </w:r>
      <w:r>
        <w:rPr>
          <w:w w:val="105"/>
          <w:sz w:val="21"/>
        </w:rPr>
        <w:t>processes</w:t>
      </w:r>
      <w:r>
        <w:rPr>
          <w:spacing w:val="-8"/>
          <w:w w:val="105"/>
          <w:sz w:val="21"/>
        </w:rPr>
        <w:t> </w:t>
      </w:r>
      <w:r>
        <w:rPr>
          <w:w w:val="105"/>
          <w:sz w:val="21"/>
        </w:rPr>
        <w:t>in</w:t>
      </w:r>
      <w:r>
        <w:rPr>
          <w:spacing w:val="-9"/>
          <w:w w:val="105"/>
          <w:sz w:val="21"/>
        </w:rPr>
        <w:t> </w:t>
      </w:r>
      <w:r>
        <w:rPr>
          <w:w w:val="105"/>
          <w:sz w:val="21"/>
        </w:rPr>
        <w:t>the</w:t>
      </w:r>
      <w:r>
        <w:rPr>
          <w:spacing w:val="-8"/>
          <w:w w:val="105"/>
          <w:sz w:val="21"/>
        </w:rPr>
        <w:t> </w:t>
      </w:r>
      <w:r>
        <w:rPr>
          <w:w w:val="105"/>
          <w:sz w:val="21"/>
        </w:rPr>
        <w:t>court</w:t>
      </w:r>
      <w:r>
        <w:rPr>
          <w:spacing w:val="-8"/>
          <w:w w:val="105"/>
          <w:sz w:val="21"/>
        </w:rPr>
        <w:t> </w:t>
      </w:r>
      <w:r>
        <w:rPr>
          <w:w w:val="105"/>
          <w:sz w:val="21"/>
        </w:rPr>
        <w:t>or</w:t>
      </w:r>
      <w:r>
        <w:rPr>
          <w:spacing w:val="-9"/>
          <w:w w:val="105"/>
          <w:sz w:val="21"/>
        </w:rPr>
        <w:t> </w:t>
      </w:r>
      <w:r>
        <w:rPr>
          <w:spacing w:val="-3"/>
          <w:w w:val="105"/>
          <w:sz w:val="21"/>
        </w:rPr>
        <w:t>tribunal</w:t>
      </w:r>
      <w:r>
        <w:rPr>
          <w:spacing w:val="-8"/>
          <w:w w:val="105"/>
          <w:sz w:val="21"/>
        </w:rPr>
        <w:t> </w:t>
      </w:r>
      <w:r>
        <w:rPr>
          <w:spacing w:val="-3"/>
          <w:w w:val="105"/>
          <w:sz w:val="21"/>
        </w:rPr>
        <w:t>that</w:t>
      </w:r>
      <w:r>
        <w:rPr>
          <w:spacing w:val="-8"/>
          <w:w w:val="105"/>
          <w:sz w:val="21"/>
        </w:rPr>
        <w:t> </w:t>
      </w:r>
      <w:r>
        <w:rPr>
          <w:w w:val="105"/>
          <w:sz w:val="21"/>
        </w:rPr>
        <w:t>made</w:t>
      </w:r>
      <w:r>
        <w:rPr>
          <w:spacing w:val="-9"/>
          <w:w w:val="105"/>
          <w:sz w:val="21"/>
        </w:rPr>
        <w:t> </w:t>
      </w:r>
      <w:r>
        <w:rPr>
          <w:w w:val="105"/>
          <w:sz w:val="21"/>
        </w:rPr>
        <w:t>the</w:t>
      </w:r>
      <w:r>
        <w:rPr>
          <w:spacing w:val="-8"/>
          <w:w w:val="105"/>
          <w:sz w:val="21"/>
        </w:rPr>
        <w:t> </w:t>
      </w:r>
      <w:r>
        <w:rPr>
          <w:spacing w:val="-2"/>
          <w:w w:val="105"/>
          <w:sz w:val="21"/>
        </w:rPr>
        <w:t>order.</w:t>
      </w:r>
      <w:r>
        <w:rPr>
          <w:spacing w:val="-2"/>
          <w:w w:val="105"/>
          <w:position w:val="7"/>
          <w:sz w:val="12"/>
        </w:rPr>
        <w:t>200</w:t>
      </w:r>
      <w:r>
        <w:rPr>
          <w:spacing w:val="14"/>
          <w:w w:val="105"/>
          <w:position w:val="7"/>
          <w:sz w:val="12"/>
        </w:rPr>
        <w:t> </w:t>
      </w:r>
      <w:r>
        <w:rPr>
          <w:spacing w:val="-3"/>
          <w:w w:val="105"/>
          <w:sz w:val="21"/>
        </w:rPr>
        <w:t>Boroondara</w:t>
      </w:r>
      <w:r>
        <w:rPr>
          <w:spacing w:val="-8"/>
          <w:w w:val="105"/>
          <w:sz w:val="21"/>
        </w:rPr>
        <w:t> </w:t>
      </w:r>
      <w:r>
        <w:rPr>
          <w:w w:val="105"/>
          <w:sz w:val="21"/>
        </w:rPr>
        <w:t>further stated </w:t>
      </w:r>
      <w:r>
        <w:rPr>
          <w:spacing w:val="-3"/>
          <w:w w:val="105"/>
          <w:sz w:val="21"/>
        </w:rPr>
        <w:t>that </w:t>
      </w:r>
      <w:r>
        <w:rPr>
          <w:spacing w:val="-4"/>
          <w:w w:val="105"/>
          <w:sz w:val="21"/>
        </w:rPr>
        <w:t>‘continued </w:t>
      </w:r>
      <w:r>
        <w:rPr>
          <w:w w:val="105"/>
          <w:sz w:val="21"/>
        </w:rPr>
        <w:t>non-compliance should be prosecuted as a </w:t>
      </w:r>
      <w:r>
        <w:rPr>
          <w:spacing w:val="-3"/>
          <w:w w:val="105"/>
          <w:sz w:val="21"/>
        </w:rPr>
        <w:t>criminal </w:t>
      </w:r>
      <w:r>
        <w:rPr>
          <w:spacing w:val="-4"/>
          <w:w w:val="105"/>
          <w:sz w:val="21"/>
        </w:rPr>
        <w:t>offence.’</w:t>
      </w:r>
      <w:r>
        <w:rPr>
          <w:spacing w:val="-4"/>
          <w:w w:val="105"/>
          <w:position w:val="7"/>
          <w:sz w:val="12"/>
        </w:rPr>
        <w:t>201</w:t>
      </w:r>
      <w:r>
        <w:rPr>
          <w:spacing w:val="-4"/>
          <w:w w:val="105"/>
          <w:sz w:val="12"/>
        </w:rPr>
        <w:t> </w:t>
      </w:r>
      <w:r>
        <w:rPr>
          <w:w w:val="105"/>
          <w:sz w:val="21"/>
        </w:rPr>
        <w:t>Another</w:t>
      </w:r>
      <w:r>
        <w:rPr>
          <w:spacing w:val="-6"/>
          <w:w w:val="105"/>
          <w:sz w:val="21"/>
        </w:rPr>
        <w:t> </w:t>
      </w:r>
      <w:r>
        <w:rPr>
          <w:w w:val="105"/>
          <w:sz w:val="21"/>
        </w:rPr>
        <w:t>person</w:t>
      </w:r>
      <w:r>
        <w:rPr>
          <w:spacing w:val="-5"/>
          <w:w w:val="105"/>
          <w:sz w:val="21"/>
        </w:rPr>
        <w:t> </w:t>
      </w:r>
      <w:r>
        <w:rPr>
          <w:w w:val="105"/>
          <w:sz w:val="21"/>
        </w:rPr>
        <w:t>suggested</w:t>
      </w:r>
      <w:r>
        <w:rPr>
          <w:spacing w:val="-6"/>
          <w:w w:val="105"/>
          <w:sz w:val="21"/>
        </w:rPr>
        <w:t> </w:t>
      </w:r>
      <w:r>
        <w:rPr>
          <w:spacing w:val="-3"/>
          <w:w w:val="105"/>
          <w:sz w:val="21"/>
        </w:rPr>
        <w:t>that</w:t>
      </w:r>
      <w:r>
        <w:rPr>
          <w:spacing w:val="-5"/>
          <w:w w:val="105"/>
          <w:sz w:val="21"/>
        </w:rPr>
        <w:t> VCAT</w:t>
      </w:r>
      <w:r>
        <w:rPr>
          <w:spacing w:val="-6"/>
          <w:w w:val="105"/>
          <w:sz w:val="21"/>
        </w:rPr>
        <w:t> </w:t>
      </w:r>
      <w:r>
        <w:rPr>
          <w:w w:val="105"/>
          <w:sz w:val="21"/>
        </w:rPr>
        <w:t>orders</w:t>
      </w:r>
      <w:r>
        <w:rPr>
          <w:spacing w:val="-5"/>
          <w:w w:val="105"/>
          <w:sz w:val="21"/>
        </w:rPr>
        <w:t> </w:t>
      </w:r>
      <w:r>
        <w:rPr>
          <w:w w:val="105"/>
          <w:sz w:val="21"/>
        </w:rPr>
        <w:t>should</w:t>
      </w:r>
      <w:r>
        <w:rPr>
          <w:spacing w:val="-6"/>
          <w:w w:val="105"/>
          <w:sz w:val="21"/>
        </w:rPr>
        <w:t> </w:t>
      </w:r>
      <w:r>
        <w:rPr>
          <w:spacing w:val="-3"/>
          <w:w w:val="105"/>
          <w:sz w:val="21"/>
        </w:rPr>
        <w:t>have</w:t>
      </w:r>
      <w:r>
        <w:rPr>
          <w:spacing w:val="-5"/>
          <w:w w:val="105"/>
          <w:sz w:val="21"/>
        </w:rPr>
        <w:t> </w:t>
      </w:r>
      <w:r>
        <w:rPr>
          <w:w w:val="105"/>
          <w:sz w:val="21"/>
        </w:rPr>
        <w:t>the</w:t>
      </w:r>
      <w:r>
        <w:rPr>
          <w:spacing w:val="-6"/>
          <w:w w:val="105"/>
          <w:sz w:val="21"/>
        </w:rPr>
        <w:t> </w:t>
      </w:r>
      <w:r>
        <w:rPr>
          <w:w w:val="105"/>
          <w:sz w:val="21"/>
        </w:rPr>
        <w:t>same</w:t>
      </w:r>
      <w:r>
        <w:rPr>
          <w:spacing w:val="-5"/>
          <w:w w:val="105"/>
          <w:sz w:val="21"/>
        </w:rPr>
        <w:t> </w:t>
      </w:r>
      <w:r>
        <w:rPr>
          <w:w w:val="105"/>
          <w:sz w:val="21"/>
        </w:rPr>
        <w:t>status</w:t>
      </w:r>
      <w:r>
        <w:rPr>
          <w:spacing w:val="-6"/>
          <w:w w:val="105"/>
          <w:sz w:val="21"/>
        </w:rPr>
        <w:t> </w:t>
      </w:r>
      <w:r>
        <w:rPr>
          <w:w w:val="105"/>
          <w:sz w:val="21"/>
        </w:rPr>
        <w:t>as</w:t>
      </w:r>
      <w:r>
        <w:rPr>
          <w:spacing w:val="-5"/>
          <w:w w:val="105"/>
          <w:sz w:val="21"/>
        </w:rPr>
        <w:t> </w:t>
      </w:r>
      <w:r>
        <w:rPr>
          <w:w w:val="105"/>
          <w:sz w:val="21"/>
        </w:rPr>
        <w:t>orders</w:t>
      </w:r>
      <w:r>
        <w:rPr>
          <w:spacing w:val="-6"/>
          <w:w w:val="105"/>
          <w:sz w:val="21"/>
        </w:rPr>
        <w:t> </w:t>
      </w:r>
      <w:r>
        <w:rPr>
          <w:w w:val="105"/>
          <w:sz w:val="21"/>
        </w:rPr>
        <w:t>of</w:t>
      </w:r>
      <w:r>
        <w:rPr>
          <w:spacing w:val="-5"/>
          <w:w w:val="105"/>
          <w:sz w:val="21"/>
        </w:rPr>
        <w:t> </w:t>
      </w:r>
      <w:r>
        <w:rPr>
          <w:w w:val="105"/>
          <w:sz w:val="21"/>
        </w:rPr>
        <w:t>the </w:t>
      </w:r>
      <w:r>
        <w:rPr>
          <w:spacing w:val="-3"/>
          <w:w w:val="105"/>
          <w:sz w:val="21"/>
        </w:rPr>
        <w:t>Magistrates’ Court </w:t>
      </w:r>
      <w:r>
        <w:rPr>
          <w:w w:val="105"/>
          <w:sz w:val="21"/>
        </w:rPr>
        <w:t>and be </w:t>
      </w:r>
      <w:r>
        <w:rPr>
          <w:spacing w:val="-3"/>
          <w:w w:val="105"/>
          <w:sz w:val="21"/>
        </w:rPr>
        <w:t>enforced</w:t>
      </w:r>
      <w:r>
        <w:rPr>
          <w:spacing w:val="34"/>
          <w:w w:val="105"/>
          <w:sz w:val="21"/>
        </w:rPr>
        <w:t> </w:t>
      </w:r>
      <w:r>
        <w:rPr>
          <w:spacing w:val="-3"/>
          <w:w w:val="105"/>
          <w:sz w:val="21"/>
        </w:rPr>
        <w:t>accordingly.</w:t>
      </w:r>
      <w:r>
        <w:rPr>
          <w:spacing w:val="-3"/>
          <w:w w:val="105"/>
          <w:position w:val="7"/>
          <w:sz w:val="12"/>
        </w:rPr>
        <w:t>202</w:t>
      </w:r>
    </w:p>
    <w:p>
      <w:pPr>
        <w:pStyle w:val="ListParagraph"/>
        <w:numPr>
          <w:ilvl w:val="0"/>
          <w:numId w:val="157"/>
        </w:numPr>
        <w:tabs>
          <w:tab w:pos="2382" w:val="left" w:leader="none"/>
        </w:tabs>
        <w:spacing w:line="242" w:lineRule="auto" w:before="125" w:after="0"/>
        <w:ind w:left="2381" w:right="1617" w:hanging="794"/>
        <w:jc w:val="both"/>
        <w:rPr>
          <w:sz w:val="12"/>
        </w:rPr>
      </w:pPr>
      <w:r>
        <w:rPr>
          <w:sz w:val="21"/>
        </w:rPr>
        <w:t>One respondent expressed </w:t>
      </w:r>
      <w:r>
        <w:rPr>
          <w:spacing w:val="-3"/>
          <w:sz w:val="21"/>
        </w:rPr>
        <w:t>concern </w:t>
      </w:r>
      <w:r>
        <w:rPr>
          <w:sz w:val="21"/>
        </w:rPr>
        <w:t>about </w:t>
      </w:r>
      <w:r>
        <w:rPr>
          <w:spacing w:val="-6"/>
          <w:sz w:val="21"/>
        </w:rPr>
        <w:t>VCAT’s </w:t>
      </w:r>
      <w:r>
        <w:rPr>
          <w:spacing w:val="-3"/>
          <w:sz w:val="21"/>
        </w:rPr>
        <w:t>enforcement </w:t>
      </w:r>
      <w:r>
        <w:rPr>
          <w:sz w:val="21"/>
        </w:rPr>
        <w:t>powers and </w:t>
      </w:r>
      <w:r>
        <w:rPr>
          <w:spacing w:val="-3"/>
          <w:sz w:val="21"/>
        </w:rPr>
        <w:t>noted that, </w:t>
      </w:r>
      <w:r>
        <w:rPr>
          <w:sz w:val="21"/>
        </w:rPr>
        <w:t>in their </w:t>
      </w:r>
      <w:r>
        <w:rPr>
          <w:spacing w:val="-4"/>
          <w:sz w:val="21"/>
        </w:rPr>
        <w:t>view, </w:t>
      </w:r>
      <w:r>
        <w:rPr>
          <w:spacing w:val="-5"/>
          <w:sz w:val="21"/>
        </w:rPr>
        <w:t>VCAT </w:t>
      </w:r>
      <w:r>
        <w:rPr>
          <w:sz w:val="21"/>
        </w:rPr>
        <w:t>orders in other existing matters </w:t>
      </w:r>
      <w:r>
        <w:rPr>
          <w:spacing w:val="-3"/>
          <w:sz w:val="21"/>
        </w:rPr>
        <w:t>are </w:t>
      </w:r>
      <w:r>
        <w:rPr>
          <w:sz w:val="21"/>
        </w:rPr>
        <w:t>often </w:t>
      </w:r>
      <w:r>
        <w:rPr>
          <w:spacing w:val="-3"/>
          <w:sz w:val="21"/>
        </w:rPr>
        <w:t>disregarded </w:t>
      </w:r>
      <w:r>
        <w:rPr>
          <w:sz w:val="21"/>
        </w:rPr>
        <w:t>without </w:t>
      </w:r>
      <w:r>
        <w:rPr>
          <w:spacing w:val="-3"/>
          <w:sz w:val="21"/>
        </w:rPr>
        <w:t>significant repercussions </w:t>
      </w:r>
      <w:r>
        <w:rPr>
          <w:sz w:val="21"/>
        </w:rPr>
        <w:t>or recourse </w:t>
      </w:r>
      <w:r>
        <w:rPr>
          <w:spacing w:val="-3"/>
          <w:sz w:val="21"/>
        </w:rPr>
        <w:t>for </w:t>
      </w:r>
      <w:r>
        <w:rPr>
          <w:sz w:val="21"/>
        </w:rPr>
        <w:t>the affected</w:t>
      </w:r>
      <w:r>
        <w:rPr>
          <w:spacing w:val="14"/>
          <w:sz w:val="21"/>
        </w:rPr>
        <w:t> </w:t>
      </w:r>
      <w:r>
        <w:rPr>
          <w:sz w:val="21"/>
        </w:rPr>
        <w:t>party.</w:t>
      </w:r>
      <w:r>
        <w:rPr>
          <w:position w:val="7"/>
          <w:sz w:val="12"/>
        </w:rPr>
        <w:t>203</w:t>
      </w:r>
    </w:p>
    <w:p>
      <w:pPr>
        <w:pStyle w:val="ListParagraph"/>
        <w:numPr>
          <w:ilvl w:val="0"/>
          <w:numId w:val="157"/>
        </w:numPr>
        <w:tabs>
          <w:tab w:pos="2381" w:val="left" w:leader="none"/>
          <w:tab w:pos="2382" w:val="left" w:leader="none"/>
        </w:tabs>
        <w:spacing w:line="242" w:lineRule="auto" w:before="124" w:after="0"/>
        <w:ind w:left="2381" w:right="1699" w:hanging="794"/>
        <w:jc w:val="left"/>
        <w:rPr>
          <w:sz w:val="12"/>
        </w:rPr>
      </w:pPr>
      <w:r>
        <w:rPr>
          <w:spacing w:val="-5"/>
          <w:w w:val="105"/>
          <w:sz w:val="21"/>
        </w:rPr>
        <w:t>VCAT </w:t>
      </w:r>
      <w:r>
        <w:rPr>
          <w:spacing w:val="-3"/>
          <w:w w:val="105"/>
          <w:sz w:val="21"/>
        </w:rPr>
        <w:t>noted that </w:t>
      </w:r>
      <w:r>
        <w:rPr>
          <w:w w:val="105"/>
          <w:sz w:val="21"/>
        </w:rPr>
        <w:t>the </w:t>
      </w:r>
      <w:r>
        <w:rPr>
          <w:spacing w:val="-3"/>
          <w:w w:val="105"/>
          <w:sz w:val="21"/>
        </w:rPr>
        <w:t>enforcement provisions </w:t>
      </w:r>
      <w:r>
        <w:rPr>
          <w:w w:val="105"/>
          <w:sz w:val="21"/>
        </w:rPr>
        <w:t>under the </w:t>
      </w:r>
      <w:r>
        <w:rPr>
          <w:i/>
          <w:spacing w:val="-3"/>
          <w:w w:val="105"/>
          <w:sz w:val="21"/>
        </w:rPr>
        <w:t>Planning </w:t>
      </w:r>
      <w:r>
        <w:rPr>
          <w:i/>
          <w:w w:val="105"/>
          <w:sz w:val="21"/>
        </w:rPr>
        <w:t>and </w:t>
      </w:r>
      <w:r>
        <w:rPr>
          <w:i/>
          <w:spacing w:val="-3"/>
          <w:w w:val="105"/>
          <w:sz w:val="21"/>
        </w:rPr>
        <w:t>Environment </w:t>
      </w:r>
      <w:r>
        <w:rPr>
          <w:i/>
          <w:w w:val="105"/>
          <w:sz w:val="21"/>
        </w:rPr>
        <w:t>Act </w:t>
      </w:r>
      <w:r>
        <w:rPr>
          <w:i/>
          <w:spacing w:val="-6"/>
          <w:w w:val="105"/>
          <w:sz w:val="21"/>
        </w:rPr>
        <w:t>1987 </w:t>
      </w:r>
      <w:r>
        <w:rPr>
          <w:w w:val="105"/>
          <w:sz w:val="21"/>
        </w:rPr>
        <w:t>(Vic) </w:t>
      </w:r>
      <w:r>
        <w:rPr>
          <w:spacing w:val="-3"/>
          <w:w w:val="105"/>
          <w:sz w:val="21"/>
        </w:rPr>
        <w:t>could </w:t>
      </w:r>
      <w:r>
        <w:rPr>
          <w:w w:val="105"/>
          <w:sz w:val="21"/>
        </w:rPr>
        <w:t>provide a possible model </w:t>
      </w:r>
      <w:r>
        <w:rPr>
          <w:spacing w:val="-3"/>
          <w:w w:val="105"/>
          <w:sz w:val="21"/>
        </w:rPr>
        <w:t>for enforcement </w:t>
      </w:r>
      <w:r>
        <w:rPr>
          <w:w w:val="105"/>
          <w:sz w:val="21"/>
        </w:rPr>
        <w:t>under the new Act. </w:t>
      </w:r>
      <w:r>
        <w:rPr>
          <w:spacing w:val="-5"/>
          <w:w w:val="105"/>
          <w:sz w:val="21"/>
        </w:rPr>
        <w:t>VCAT </w:t>
      </w:r>
      <w:r>
        <w:rPr>
          <w:w w:val="105"/>
          <w:sz w:val="21"/>
        </w:rPr>
        <w:t>suggested </w:t>
      </w:r>
      <w:r>
        <w:rPr>
          <w:spacing w:val="-3"/>
          <w:w w:val="105"/>
          <w:sz w:val="21"/>
        </w:rPr>
        <w:t>that </w:t>
      </w:r>
      <w:r>
        <w:rPr>
          <w:w w:val="105"/>
          <w:sz w:val="21"/>
        </w:rPr>
        <w:t>a party </w:t>
      </w:r>
      <w:r>
        <w:rPr>
          <w:spacing w:val="-3"/>
          <w:w w:val="105"/>
          <w:sz w:val="21"/>
        </w:rPr>
        <w:t>could </w:t>
      </w:r>
      <w:r>
        <w:rPr>
          <w:w w:val="105"/>
          <w:sz w:val="21"/>
        </w:rPr>
        <w:t>be given the </w:t>
      </w:r>
      <w:r>
        <w:rPr>
          <w:spacing w:val="-3"/>
          <w:w w:val="105"/>
          <w:sz w:val="21"/>
        </w:rPr>
        <w:t>right to </w:t>
      </w:r>
      <w:r>
        <w:rPr>
          <w:w w:val="105"/>
          <w:sz w:val="21"/>
        </w:rPr>
        <w:t>carry out the work prescribed in an order</w:t>
      </w:r>
      <w:r>
        <w:rPr>
          <w:spacing w:val="-9"/>
          <w:w w:val="105"/>
          <w:sz w:val="21"/>
        </w:rPr>
        <w:t> </w:t>
      </w:r>
      <w:r>
        <w:rPr>
          <w:w w:val="105"/>
          <w:sz w:val="21"/>
        </w:rPr>
        <w:t>themselves</w:t>
      </w:r>
      <w:r>
        <w:rPr>
          <w:spacing w:val="-8"/>
          <w:w w:val="105"/>
          <w:sz w:val="21"/>
        </w:rPr>
        <w:t> </w:t>
      </w:r>
      <w:r>
        <w:rPr>
          <w:w w:val="105"/>
          <w:sz w:val="21"/>
        </w:rPr>
        <w:t>when</w:t>
      </w:r>
      <w:r>
        <w:rPr>
          <w:spacing w:val="-9"/>
          <w:w w:val="105"/>
          <w:sz w:val="21"/>
        </w:rPr>
        <w:t> </w:t>
      </w:r>
      <w:r>
        <w:rPr>
          <w:w w:val="105"/>
          <w:sz w:val="21"/>
        </w:rPr>
        <w:t>it</w:t>
      </w:r>
      <w:r>
        <w:rPr>
          <w:spacing w:val="-8"/>
          <w:w w:val="105"/>
          <w:sz w:val="21"/>
        </w:rPr>
        <w:t> </w:t>
      </w:r>
      <w:r>
        <w:rPr>
          <w:spacing w:val="-2"/>
          <w:w w:val="105"/>
          <w:sz w:val="21"/>
        </w:rPr>
        <w:t>has</w:t>
      </w:r>
      <w:r>
        <w:rPr>
          <w:spacing w:val="-8"/>
          <w:w w:val="105"/>
          <w:sz w:val="21"/>
        </w:rPr>
        <w:t> </w:t>
      </w:r>
      <w:r>
        <w:rPr>
          <w:spacing w:val="-2"/>
          <w:w w:val="105"/>
          <w:sz w:val="21"/>
        </w:rPr>
        <w:t>not</w:t>
      </w:r>
      <w:r>
        <w:rPr>
          <w:spacing w:val="-9"/>
          <w:w w:val="105"/>
          <w:sz w:val="21"/>
        </w:rPr>
        <w:t> </w:t>
      </w:r>
      <w:r>
        <w:rPr>
          <w:w w:val="105"/>
          <w:sz w:val="21"/>
        </w:rPr>
        <w:t>been</w:t>
      </w:r>
      <w:r>
        <w:rPr>
          <w:spacing w:val="-8"/>
          <w:w w:val="105"/>
          <w:sz w:val="21"/>
        </w:rPr>
        <w:t> </w:t>
      </w:r>
      <w:r>
        <w:rPr>
          <w:w w:val="105"/>
          <w:sz w:val="21"/>
        </w:rPr>
        <w:t>performed,</w:t>
      </w:r>
      <w:r>
        <w:rPr>
          <w:spacing w:val="-9"/>
          <w:w w:val="105"/>
          <w:sz w:val="21"/>
        </w:rPr>
        <w:t> </w:t>
      </w:r>
      <w:r>
        <w:rPr>
          <w:w w:val="105"/>
          <w:sz w:val="21"/>
        </w:rPr>
        <w:t>and</w:t>
      </w:r>
      <w:r>
        <w:rPr>
          <w:spacing w:val="-8"/>
          <w:w w:val="105"/>
          <w:sz w:val="21"/>
        </w:rPr>
        <w:t> </w:t>
      </w:r>
      <w:r>
        <w:rPr>
          <w:spacing w:val="-3"/>
          <w:w w:val="105"/>
          <w:sz w:val="21"/>
        </w:rPr>
        <w:t>to</w:t>
      </w:r>
      <w:r>
        <w:rPr>
          <w:spacing w:val="-8"/>
          <w:w w:val="105"/>
          <w:sz w:val="21"/>
        </w:rPr>
        <w:t> </w:t>
      </w:r>
      <w:r>
        <w:rPr>
          <w:spacing w:val="-3"/>
          <w:w w:val="105"/>
          <w:sz w:val="21"/>
        </w:rPr>
        <w:t>recover</w:t>
      </w:r>
      <w:r>
        <w:rPr>
          <w:spacing w:val="-9"/>
          <w:w w:val="105"/>
          <w:sz w:val="21"/>
        </w:rPr>
        <w:t> </w:t>
      </w:r>
      <w:r>
        <w:rPr>
          <w:w w:val="105"/>
          <w:sz w:val="21"/>
        </w:rPr>
        <w:t>the</w:t>
      </w:r>
      <w:r>
        <w:rPr>
          <w:spacing w:val="-8"/>
          <w:w w:val="105"/>
          <w:sz w:val="21"/>
        </w:rPr>
        <w:t> </w:t>
      </w:r>
      <w:r>
        <w:rPr>
          <w:w w:val="105"/>
          <w:sz w:val="21"/>
        </w:rPr>
        <w:t>costs</w:t>
      </w:r>
      <w:r>
        <w:rPr>
          <w:spacing w:val="-8"/>
          <w:w w:val="105"/>
          <w:sz w:val="21"/>
        </w:rPr>
        <w:t> </w:t>
      </w:r>
      <w:r>
        <w:rPr>
          <w:spacing w:val="-3"/>
          <w:w w:val="105"/>
          <w:sz w:val="21"/>
        </w:rPr>
        <w:t>incurred</w:t>
      </w:r>
      <w:r>
        <w:rPr>
          <w:spacing w:val="-9"/>
          <w:w w:val="105"/>
          <w:sz w:val="21"/>
        </w:rPr>
        <w:t> </w:t>
      </w:r>
      <w:r>
        <w:rPr>
          <w:w w:val="105"/>
          <w:sz w:val="21"/>
        </w:rPr>
        <w:t>as</w:t>
      </w:r>
      <w:r>
        <w:rPr>
          <w:spacing w:val="-8"/>
          <w:w w:val="105"/>
          <w:sz w:val="21"/>
        </w:rPr>
        <w:t> </w:t>
      </w:r>
      <w:r>
        <w:rPr>
          <w:w w:val="105"/>
          <w:sz w:val="21"/>
        </w:rPr>
        <w:t>a debt in the </w:t>
      </w:r>
      <w:r>
        <w:rPr>
          <w:spacing w:val="-3"/>
          <w:w w:val="105"/>
          <w:sz w:val="21"/>
        </w:rPr>
        <w:t>relevant</w:t>
      </w:r>
      <w:r>
        <w:rPr>
          <w:spacing w:val="20"/>
          <w:w w:val="105"/>
          <w:sz w:val="21"/>
        </w:rPr>
        <w:t> </w:t>
      </w:r>
      <w:r>
        <w:rPr>
          <w:w w:val="105"/>
          <w:sz w:val="21"/>
        </w:rPr>
        <w:t>court.</w:t>
      </w:r>
      <w:r>
        <w:rPr>
          <w:w w:val="105"/>
          <w:position w:val="7"/>
          <w:sz w:val="12"/>
        </w:rPr>
        <w:t>204</w:t>
      </w:r>
    </w:p>
    <w:p>
      <w:pPr>
        <w:pStyle w:val="ListParagraph"/>
        <w:numPr>
          <w:ilvl w:val="0"/>
          <w:numId w:val="157"/>
        </w:numPr>
        <w:tabs>
          <w:tab w:pos="2381" w:val="left" w:leader="none"/>
          <w:tab w:pos="2382" w:val="left" w:leader="none"/>
        </w:tabs>
        <w:spacing w:line="242" w:lineRule="auto" w:before="125" w:after="0"/>
        <w:ind w:left="2381" w:right="2311" w:hanging="794"/>
        <w:jc w:val="left"/>
        <w:rPr>
          <w:sz w:val="12"/>
        </w:rPr>
      </w:pPr>
      <w:r>
        <w:rPr>
          <w:w w:val="105"/>
          <w:sz w:val="21"/>
        </w:rPr>
        <w:t>Other</w:t>
      </w:r>
      <w:r>
        <w:rPr>
          <w:spacing w:val="-9"/>
          <w:w w:val="105"/>
          <w:sz w:val="21"/>
        </w:rPr>
        <w:t> </w:t>
      </w:r>
      <w:r>
        <w:rPr>
          <w:w w:val="105"/>
          <w:sz w:val="21"/>
        </w:rPr>
        <w:t>suggestions</w:t>
      </w:r>
      <w:r>
        <w:rPr>
          <w:spacing w:val="-8"/>
          <w:w w:val="105"/>
          <w:sz w:val="21"/>
        </w:rPr>
        <w:t> </w:t>
      </w:r>
      <w:r>
        <w:rPr>
          <w:spacing w:val="-3"/>
          <w:w w:val="105"/>
          <w:sz w:val="21"/>
        </w:rPr>
        <w:t>were</w:t>
      </w:r>
      <w:r>
        <w:rPr>
          <w:spacing w:val="-8"/>
          <w:w w:val="105"/>
          <w:sz w:val="21"/>
        </w:rPr>
        <w:t> </w:t>
      </w:r>
      <w:r>
        <w:rPr>
          <w:spacing w:val="-3"/>
          <w:w w:val="105"/>
          <w:sz w:val="21"/>
        </w:rPr>
        <w:t>that</w:t>
      </w:r>
      <w:r>
        <w:rPr>
          <w:spacing w:val="-8"/>
          <w:w w:val="105"/>
          <w:sz w:val="21"/>
        </w:rPr>
        <w:t> </w:t>
      </w:r>
      <w:r>
        <w:rPr>
          <w:w w:val="105"/>
          <w:sz w:val="21"/>
        </w:rPr>
        <w:t>orders</w:t>
      </w:r>
      <w:r>
        <w:rPr>
          <w:spacing w:val="-8"/>
          <w:w w:val="105"/>
          <w:sz w:val="21"/>
        </w:rPr>
        <w:t> </w:t>
      </w:r>
      <w:r>
        <w:rPr>
          <w:w w:val="105"/>
          <w:sz w:val="21"/>
        </w:rPr>
        <w:t>be</w:t>
      </w:r>
      <w:r>
        <w:rPr>
          <w:spacing w:val="-8"/>
          <w:w w:val="105"/>
          <w:sz w:val="21"/>
        </w:rPr>
        <w:t> </w:t>
      </w:r>
      <w:r>
        <w:rPr>
          <w:spacing w:val="-3"/>
          <w:w w:val="105"/>
          <w:sz w:val="21"/>
        </w:rPr>
        <w:t>enforced</w:t>
      </w:r>
      <w:r>
        <w:rPr>
          <w:spacing w:val="-8"/>
          <w:w w:val="105"/>
          <w:sz w:val="21"/>
        </w:rPr>
        <w:t> </w:t>
      </w:r>
      <w:r>
        <w:rPr>
          <w:w w:val="105"/>
          <w:sz w:val="21"/>
        </w:rPr>
        <w:t>by</w:t>
      </w:r>
      <w:r>
        <w:rPr>
          <w:spacing w:val="-8"/>
          <w:w w:val="105"/>
          <w:sz w:val="21"/>
        </w:rPr>
        <w:t> </w:t>
      </w:r>
      <w:r>
        <w:rPr>
          <w:w w:val="105"/>
          <w:sz w:val="21"/>
        </w:rPr>
        <w:t>the</w:t>
      </w:r>
      <w:r>
        <w:rPr>
          <w:spacing w:val="-8"/>
          <w:w w:val="105"/>
          <w:sz w:val="21"/>
        </w:rPr>
        <w:t> </w:t>
      </w:r>
      <w:r>
        <w:rPr>
          <w:w w:val="105"/>
          <w:sz w:val="21"/>
        </w:rPr>
        <w:t>Department</w:t>
      </w:r>
      <w:r>
        <w:rPr>
          <w:spacing w:val="-9"/>
          <w:w w:val="105"/>
          <w:sz w:val="21"/>
        </w:rPr>
        <w:t> </w:t>
      </w:r>
      <w:r>
        <w:rPr>
          <w:w w:val="105"/>
          <w:sz w:val="21"/>
        </w:rPr>
        <w:t>of</w:t>
      </w:r>
      <w:r>
        <w:rPr>
          <w:spacing w:val="-8"/>
          <w:w w:val="105"/>
          <w:sz w:val="21"/>
        </w:rPr>
        <w:t> </w:t>
      </w:r>
      <w:r>
        <w:rPr>
          <w:w w:val="105"/>
          <w:sz w:val="21"/>
        </w:rPr>
        <w:t>Justice</w:t>
      </w:r>
      <w:r>
        <w:rPr>
          <w:spacing w:val="-8"/>
          <w:w w:val="105"/>
          <w:sz w:val="21"/>
        </w:rPr>
        <w:t> </w:t>
      </w:r>
      <w:r>
        <w:rPr>
          <w:w w:val="105"/>
          <w:sz w:val="21"/>
        </w:rPr>
        <w:t>and </w:t>
      </w:r>
      <w:r>
        <w:rPr>
          <w:spacing w:val="-3"/>
          <w:w w:val="105"/>
          <w:sz w:val="21"/>
        </w:rPr>
        <w:t>Community </w:t>
      </w:r>
      <w:r>
        <w:rPr>
          <w:w w:val="105"/>
          <w:sz w:val="21"/>
        </w:rPr>
        <w:t>Safety</w:t>
      </w:r>
      <w:r>
        <w:rPr>
          <w:w w:val="105"/>
          <w:position w:val="7"/>
          <w:sz w:val="12"/>
        </w:rPr>
        <w:t>205 </w:t>
      </w:r>
      <w:r>
        <w:rPr>
          <w:w w:val="105"/>
          <w:sz w:val="21"/>
        </w:rPr>
        <w:t>or </w:t>
      </w:r>
      <w:r>
        <w:rPr>
          <w:spacing w:val="-3"/>
          <w:w w:val="105"/>
          <w:sz w:val="21"/>
        </w:rPr>
        <w:t>through ‘substantial</w:t>
      </w:r>
      <w:r>
        <w:rPr>
          <w:spacing w:val="28"/>
          <w:w w:val="105"/>
          <w:sz w:val="21"/>
        </w:rPr>
        <w:t> </w:t>
      </w:r>
      <w:r>
        <w:rPr>
          <w:spacing w:val="-3"/>
          <w:w w:val="105"/>
          <w:sz w:val="21"/>
        </w:rPr>
        <w:t>fines’.</w:t>
      </w:r>
      <w:r>
        <w:rPr>
          <w:spacing w:val="-3"/>
          <w:w w:val="105"/>
          <w:position w:val="7"/>
          <w:sz w:val="12"/>
        </w:rPr>
        <w:t>206</w:t>
      </w:r>
    </w:p>
    <w:p>
      <w:pPr>
        <w:pStyle w:val="BodyText"/>
        <w:spacing w:before="9"/>
      </w:pPr>
    </w:p>
    <w:p>
      <w:pPr>
        <w:pStyle w:val="Heading4"/>
      </w:pPr>
      <w:r>
        <w:rPr>
          <w:color w:val="658464"/>
          <w:w w:val="115"/>
        </w:rPr>
        <w:t>The Commission’s conclusions—enforcement of orders</w:t>
      </w:r>
    </w:p>
    <w:p>
      <w:pPr>
        <w:pStyle w:val="ListParagraph"/>
        <w:numPr>
          <w:ilvl w:val="0"/>
          <w:numId w:val="157"/>
        </w:numPr>
        <w:tabs>
          <w:tab w:pos="2380" w:val="left" w:leader="none"/>
          <w:tab w:pos="2381" w:val="left" w:leader="none"/>
        </w:tabs>
        <w:spacing w:line="242" w:lineRule="auto" w:before="155" w:after="0"/>
        <w:ind w:left="2381" w:right="1734" w:hanging="794"/>
        <w:jc w:val="left"/>
        <w:rPr>
          <w:sz w:val="21"/>
        </w:rPr>
      </w:pPr>
      <w:r>
        <w:rPr>
          <w:w w:val="105"/>
          <w:sz w:val="21"/>
        </w:rPr>
        <w:t>The</w:t>
      </w:r>
      <w:r>
        <w:rPr>
          <w:spacing w:val="-7"/>
          <w:w w:val="105"/>
          <w:sz w:val="21"/>
        </w:rPr>
        <w:t> </w:t>
      </w:r>
      <w:r>
        <w:rPr>
          <w:spacing w:val="-3"/>
          <w:w w:val="105"/>
          <w:sz w:val="21"/>
        </w:rPr>
        <w:t>Commission</w:t>
      </w:r>
      <w:r>
        <w:rPr>
          <w:spacing w:val="-7"/>
          <w:w w:val="105"/>
          <w:sz w:val="21"/>
        </w:rPr>
        <w:t> </w:t>
      </w:r>
      <w:r>
        <w:rPr>
          <w:w w:val="105"/>
          <w:sz w:val="21"/>
        </w:rPr>
        <w:t>acknowledges</w:t>
      </w:r>
      <w:r>
        <w:rPr>
          <w:spacing w:val="-6"/>
          <w:w w:val="105"/>
          <w:sz w:val="21"/>
        </w:rPr>
        <w:t> </w:t>
      </w:r>
      <w:r>
        <w:rPr>
          <w:spacing w:val="-3"/>
          <w:w w:val="105"/>
          <w:sz w:val="21"/>
        </w:rPr>
        <w:t>that</w:t>
      </w:r>
      <w:r>
        <w:rPr>
          <w:spacing w:val="-7"/>
          <w:w w:val="105"/>
          <w:sz w:val="21"/>
        </w:rPr>
        <w:t> </w:t>
      </w:r>
      <w:r>
        <w:rPr>
          <w:w w:val="105"/>
          <w:sz w:val="21"/>
        </w:rPr>
        <w:t>sometimes</w:t>
      </w:r>
      <w:r>
        <w:rPr>
          <w:spacing w:val="-6"/>
          <w:w w:val="105"/>
          <w:sz w:val="21"/>
        </w:rPr>
        <w:t> </w:t>
      </w:r>
      <w:r>
        <w:rPr>
          <w:w w:val="105"/>
          <w:sz w:val="21"/>
        </w:rPr>
        <w:t>a</w:t>
      </w:r>
      <w:r>
        <w:rPr>
          <w:spacing w:val="-7"/>
          <w:w w:val="105"/>
          <w:sz w:val="21"/>
        </w:rPr>
        <w:t> </w:t>
      </w:r>
      <w:r>
        <w:rPr>
          <w:w w:val="105"/>
          <w:sz w:val="21"/>
        </w:rPr>
        <w:t>party</w:t>
      </w:r>
      <w:r>
        <w:rPr>
          <w:spacing w:val="-6"/>
          <w:w w:val="105"/>
          <w:sz w:val="21"/>
        </w:rPr>
        <w:t> </w:t>
      </w:r>
      <w:r>
        <w:rPr>
          <w:spacing w:val="-3"/>
          <w:w w:val="105"/>
          <w:sz w:val="21"/>
        </w:rPr>
        <w:t>will</w:t>
      </w:r>
      <w:r>
        <w:rPr>
          <w:spacing w:val="-7"/>
          <w:w w:val="105"/>
          <w:sz w:val="21"/>
        </w:rPr>
        <w:t> </w:t>
      </w:r>
      <w:r>
        <w:rPr>
          <w:w w:val="105"/>
          <w:sz w:val="21"/>
        </w:rPr>
        <w:t>simply</w:t>
      </w:r>
      <w:r>
        <w:rPr>
          <w:spacing w:val="-7"/>
          <w:w w:val="105"/>
          <w:sz w:val="21"/>
        </w:rPr>
        <w:t> </w:t>
      </w:r>
      <w:r>
        <w:rPr>
          <w:spacing w:val="-3"/>
          <w:w w:val="105"/>
          <w:sz w:val="21"/>
        </w:rPr>
        <w:t>refuse</w:t>
      </w:r>
      <w:r>
        <w:rPr>
          <w:spacing w:val="-6"/>
          <w:w w:val="105"/>
          <w:sz w:val="21"/>
        </w:rPr>
        <w:t> </w:t>
      </w:r>
      <w:r>
        <w:rPr>
          <w:spacing w:val="-3"/>
          <w:w w:val="105"/>
          <w:sz w:val="21"/>
        </w:rPr>
        <w:t>to</w:t>
      </w:r>
      <w:r>
        <w:rPr>
          <w:spacing w:val="-7"/>
          <w:w w:val="105"/>
          <w:sz w:val="21"/>
        </w:rPr>
        <w:t> </w:t>
      </w:r>
      <w:r>
        <w:rPr>
          <w:w w:val="105"/>
          <w:sz w:val="21"/>
        </w:rPr>
        <w:t>comply</w:t>
      </w:r>
      <w:r>
        <w:rPr>
          <w:spacing w:val="-6"/>
          <w:w w:val="105"/>
          <w:sz w:val="21"/>
        </w:rPr>
        <w:t> </w:t>
      </w:r>
      <w:r>
        <w:rPr>
          <w:w w:val="105"/>
          <w:sz w:val="21"/>
        </w:rPr>
        <w:t>with a </w:t>
      </w:r>
      <w:r>
        <w:rPr>
          <w:spacing w:val="-5"/>
          <w:w w:val="105"/>
          <w:sz w:val="21"/>
        </w:rPr>
        <w:t>VCAT </w:t>
      </w:r>
      <w:r>
        <w:rPr>
          <w:w w:val="105"/>
          <w:sz w:val="21"/>
        </w:rPr>
        <w:t>order if they do </w:t>
      </w:r>
      <w:r>
        <w:rPr>
          <w:spacing w:val="-2"/>
          <w:w w:val="105"/>
          <w:sz w:val="21"/>
        </w:rPr>
        <w:t>not </w:t>
      </w:r>
      <w:r>
        <w:rPr>
          <w:w w:val="105"/>
          <w:sz w:val="21"/>
        </w:rPr>
        <w:t>agree with it. </w:t>
      </w:r>
      <w:r>
        <w:rPr>
          <w:spacing w:val="-4"/>
          <w:w w:val="105"/>
          <w:sz w:val="21"/>
        </w:rPr>
        <w:t>At </w:t>
      </w:r>
      <w:r>
        <w:rPr>
          <w:w w:val="105"/>
          <w:sz w:val="21"/>
        </w:rPr>
        <w:t>times, it </w:t>
      </w:r>
      <w:r>
        <w:rPr>
          <w:spacing w:val="-3"/>
          <w:w w:val="105"/>
          <w:sz w:val="21"/>
        </w:rPr>
        <w:t>may </w:t>
      </w:r>
      <w:r>
        <w:rPr>
          <w:w w:val="105"/>
          <w:sz w:val="21"/>
        </w:rPr>
        <w:t>be expedient </w:t>
      </w:r>
      <w:r>
        <w:rPr>
          <w:spacing w:val="-3"/>
          <w:w w:val="105"/>
          <w:sz w:val="21"/>
        </w:rPr>
        <w:t>for </w:t>
      </w:r>
      <w:r>
        <w:rPr>
          <w:w w:val="105"/>
          <w:sz w:val="21"/>
        </w:rPr>
        <w:t>a party </w:t>
      </w:r>
      <w:r>
        <w:rPr>
          <w:spacing w:val="-3"/>
          <w:w w:val="105"/>
          <w:sz w:val="21"/>
        </w:rPr>
        <w:t>to </w:t>
      </w:r>
      <w:r>
        <w:rPr>
          <w:w w:val="105"/>
          <w:sz w:val="21"/>
        </w:rPr>
        <w:t>simply </w:t>
      </w:r>
      <w:r>
        <w:rPr>
          <w:spacing w:val="-3"/>
          <w:w w:val="105"/>
          <w:sz w:val="21"/>
        </w:rPr>
        <w:t>incur </w:t>
      </w:r>
      <w:r>
        <w:rPr>
          <w:w w:val="105"/>
          <w:sz w:val="21"/>
        </w:rPr>
        <w:t>the cost of a </w:t>
      </w:r>
      <w:r>
        <w:rPr>
          <w:spacing w:val="-3"/>
          <w:w w:val="105"/>
          <w:sz w:val="21"/>
        </w:rPr>
        <w:t>fine, </w:t>
      </w:r>
      <w:r>
        <w:rPr>
          <w:w w:val="105"/>
          <w:sz w:val="21"/>
        </w:rPr>
        <w:t>especially if the fine is less </w:t>
      </w:r>
      <w:r>
        <w:rPr>
          <w:spacing w:val="-3"/>
          <w:w w:val="105"/>
          <w:sz w:val="21"/>
        </w:rPr>
        <w:t>than </w:t>
      </w:r>
      <w:r>
        <w:rPr>
          <w:w w:val="105"/>
          <w:sz w:val="21"/>
        </w:rPr>
        <w:t>the cost associated with the </w:t>
      </w:r>
      <w:r>
        <w:rPr>
          <w:spacing w:val="-4"/>
          <w:w w:val="105"/>
          <w:sz w:val="21"/>
        </w:rPr>
        <w:t>order. </w:t>
      </w:r>
      <w:r>
        <w:rPr>
          <w:w w:val="105"/>
          <w:sz w:val="21"/>
        </w:rPr>
        <w:t>As the </w:t>
      </w:r>
      <w:r>
        <w:rPr>
          <w:spacing w:val="-3"/>
          <w:w w:val="105"/>
          <w:sz w:val="21"/>
        </w:rPr>
        <w:t>Access to </w:t>
      </w:r>
      <w:r>
        <w:rPr>
          <w:w w:val="105"/>
          <w:sz w:val="21"/>
        </w:rPr>
        <w:t>Justice Review</w:t>
      </w:r>
      <w:r>
        <w:rPr>
          <w:spacing w:val="44"/>
          <w:w w:val="105"/>
          <w:sz w:val="21"/>
        </w:rPr>
        <w:t> </w:t>
      </w:r>
      <w:r>
        <w:rPr>
          <w:w w:val="105"/>
          <w:sz w:val="21"/>
        </w:rPr>
        <w:t>noted:</w:t>
      </w:r>
    </w:p>
    <w:p>
      <w:pPr>
        <w:spacing w:line="254" w:lineRule="auto" w:before="134"/>
        <w:ind w:left="2834" w:right="1558" w:firstLine="0"/>
        <w:jc w:val="left"/>
        <w:rPr>
          <w:sz w:val="11"/>
        </w:rPr>
      </w:pPr>
      <w:r>
        <w:rPr>
          <w:w w:val="105"/>
          <w:sz w:val="20"/>
        </w:rPr>
        <w:t>While most people comply with VCAT’s orders as a matter of course, there are some who disregard them. It can be difficult to compel an unwilling person to comply with an order. This challenge is not unique to VCAT.</w:t>
      </w:r>
      <w:r>
        <w:rPr>
          <w:w w:val="105"/>
          <w:position w:val="7"/>
          <w:sz w:val="11"/>
        </w:rPr>
        <w:t>207</w:t>
      </w:r>
    </w:p>
    <w:p>
      <w:pPr>
        <w:pStyle w:val="ListParagraph"/>
        <w:numPr>
          <w:ilvl w:val="0"/>
          <w:numId w:val="157"/>
        </w:numPr>
        <w:tabs>
          <w:tab w:pos="2381" w:val="left" w:leader="none"/>
          <w:tab w:pos="2382" w:val="left" w:leader="none"/>
        </w:tabs>
        <w:spacing w:line="242" w:lineRule="auto" w:before="114" w:after="0"/>
        <w:ind w:left="2381" w:right="1792" w:hanging="794"/>
        <w:jc w:val="left"/>
        <w:rPr>
          <w:i/>
          <w:sz w:val="21"/>
        </w:rPr>
      </w:pPr>
      <w:r>
        <w:rPr>
          <w:w w:val="105"/>
          <w:sz w:val="21"/>
        </w:rPr>
        <w:t>Reviewing</w:t>
      </w:r>
      <w:r>
        <w:rPr>
          <w:spacing w:val="-5"/>
          <w:w w:val="105"/>
          <w:sz w:val="21"/>
        </w:rPr>
        <w:t> </w:t>
      </w:r>
      <w:r>
        <w:rPr>
          <w:w w:val="105"/>
          <w:sz w:val="21"/>
        </w:rPr>
        <w:t>the</w:t>
      </w:r>
      <w:r>
        <w:rPr>
          <w:spacing w:val="-5"/>
          <w:w w:val="105"/>
          <w:sz w:val="21"/>
        </w:rPr>
        <w:t> </w:t>
      </w:r>
      <w:r>
        <w:rPr>
          <w:w w:val="105"/>
          <w:sz w:val="21"/>
        </w:rPr>
        <w:t>general</w:t>
      </w:r>
      <w:r>
        <w:rPr>
          <w:spacing w:val="-5"/>
          <w:w w:val="105"/>
          <w:sz w:val="21"/>
        </w:rPr>
        <w:t> </w:t>
      </w:r>
      <w:r>
        <w:rPr>
          <w:spacing w:val="-3"/>
          <w:w w:val="105"/>
          <w:sz w:val="21"/>
        </w:rPr>
        <w:t>enforcement</w:t>
      </w:r>
      <w:r>
        <w:rPr>
          <w:spacing w:val="-5"/>
          <w:w w:val="105"/>
          <w:sz w:val="21"/>
        </w:rPr>
        <w:t> </w:t>
      </w:r>
      <w:r>
        <w:rPr>
          <w:w w:val="105"/>
          <w:sz w:val="21"/>
        </w:rPr>
        <w:t>powers</w:t>
      </w:r>
      <w:r>
        <w:rPr>
          <w:spacing w:val="-4"/>
          <w:w w:val="105"/>
          <w:sz w:val="21"/>
        </w:rPr>
        <w:t> </w:t>
      </w:r>
      <w:r>
        <w:rPr>
          <w:w w:val="105"/>
          <w:sz w:val="21"/>
        </w:rPr>
        <w:t>of</w:t>
      </w:r>
      <w:r>
        <w:rPr>
          <w:spacing w:val="-5"/>
          <w:w w:val="105"/>
          <w:sz w:val="21"/>
        </w:rPr>
        <w:t> VCAT </w:t>
      </w:r>
      <w:r>
        <w:rPr>
          <w:w w:val="105"/>
          <w:sz w:val="21"/>
        </w:rPr>
        <w:t>is</w:t>
      </w:r>
      <w:r>
        <w:rPr>
          <w:spacing w:val="-5"/>
          <w:w w:val="105"/>
          <w:sz w:val="21"/>
        </w:rPr>
        <w:t> </w:t>
      </w:r>
      <w:r>
        <w:rPr>
          <w:w w:val="105"/>
          <w:sz w:val="21"/>
        </w:rPr>
        <w:t>beyond</w:t>
      </w:r>
      <w:r>
        <w:rPr>
          <w:spacing w:val="-5"/>
          <w:w w:val="105"/>
          <w:sz w:val="21"/>
        </w:rPr>
        <w:t> </w:t>
      </w:r>
      <w:r>
        <w:rPr>
          <w:w w:val="105"/>
          <w:sz w:val="21"/>
        </w:rPr>
        <w:t>the</w:t>
      </w:r>
      <w:r>
        <w:rPr>
          <w:spacing w:val="-4"/>
          <w:w w:val="105"/>
          <w:sz w:val="21"/>
        </w:rPr>
        <w:t> </w:t>
      </w:r>
      <w:r>
        <w:rPr>
          <w:w w:val="105"/>
          <w:sz w:val="21"/>
        </w:rPr>
        <w:t>scope</w:t>
      </w:r>
      <w:r>
        <w:rPr>
          <w:spacing w:val="-5"/>
          <w:w w:val="105"/>
          <w:sz w:val="21"/>
        </w:rPr>
        <w:t> </w:t>
      </w:r>
      <w:r>
        <w:rPr>
          <w:w w:val="105"/>
          <w:sz w:val="21"/>
        </w:rPr>
        <w:t>of</w:t>
      </w:r>
      <w:r>
        <w:rPr>
          <w:spacing w:val="-5"/>
          <w:w w:val="105"/>
          <w:sz w:val="21"/>
        </w:rPr>
        <w:t> </w:t>
      </w:r>
      <w:r>
        <w:rPr>
          <w:w w:val="105"/>
          <w:sz w:val="21"/>
        </w:rPr>
        <w:t>this</w:t>
      </w:r>
      <w:r>
        <w:rPr>
          <w:spacing w:val="-5"/>
          <w:w w:val="105"/>
          <w:sz w:val="21"/>
        </w:rPr>
        <w:t> </w:t>
      </w:r>
      <w:r>
        <w:rPr>
          <w:spacing w:val="-4"/>
          <w:w w:val="105"/>
          <w:sz w:val="21"/>
        </w:rPr>
        <w:t>inquiry. However, </w:t>
      </w:r>
      <w:r>
        <w:rPr>
          <w:w w:val="105"/>
          <w:sz w:val="21"/>
        </w:rPr>
        <w:t>the </w:t>
      </w:r>
      <w:r>
        <w:rPr>
          <w:spacing w:val="-3"/>
          <w:w w:val="105"/>
          <w:sz w:val="21"/>
        </w:rPr>
        <w:t>Commission </w:t>
      </w:r>
      <w:r>
        <w:rPr>
          <w:w w:val="105"/>
          <w:sz w:val="21"/>
        </w:rPr>
        <w:t>refers </w:t>
      </w:r>
      <w:r>
        <w:rPr>
          <w:spacing w:val="-3"/>
          <w:w w:val="105"/>
          <w:sz w:val="21"/>
        </w:rPr>
        <w:t>to </w:t>
      </w:r>
      <w:r>
        <w:rPr>
          <w:w w:val="105"/>
          <w:sz w:val="21"/>
        </w:rPr>
        <w:t>the </w:t>
      </w:r>
      <w:r>
        <w:rPr>
          <w:spacing w:val="-3"/>
          <w:w w:val="105"/>
          <w:sz w:val="21"/>
        </w:rPr>
        <w:t>findings </w:t>
      </w:r>
      <w:r>
        <w:rPr>
          <w:w w:val="105"/>
          <w:sz w:val="21"/>
        </w:rPr>
        <w:t>of the </w:t>
      </w:r>
      <w:r>
        <w:rPr>
          <w:i/>
          <w:w w:val="105"/>
          <w:sz w:val="21"/>
        </w:rPr>
        <w:t>Access to </w:t>
      </w:r>
      <w:r>
        <w:rPr>
          <w:i/>
          <w:spacing w:val="-3"/>
          <w:w w:val="105"/>
          <w:sz w:val="21"/>
        </w:rPr>
        <w:t>Justice </w:t>
      </w:r>
      <w:r>
        <w:rPr>
          <w:i/>
          <w:w w:val="105"/>
          <w:sz w:val="21"/>
        </w:rPr>
        <w:t>Review </w:t>
      </w:r>
      <w:r>
        <w:rPr>
          <w:w w:val="105"/>
          <w:sz w:val="21"/>
        </w:rPr>
        <w:t>which </w:t>
      </w:r>
      <w:r>
        <w:rPr>
          <w:spacing w:val="-3"/>
          <w:w w:val="105"/>
          <w:sz w:val="21"/>
        </w:rPr>
        <w:t>illustrate </w:t>
      </w:r>
      <w:r>
        <w:rPr>
          <w:w w:val="105"/>
          <w:sz w:val="21"/>
        </w:rPr>
        <w:t>the complexity of the</w:t>
      </w:r>
      <w:r>
        <w:rPr>
          <w:spacing w:val="23"/>
          <w:w w:val="105"/>
          <w:sz w:val="21"/>
        </w:rPr>
        <w:t> </w:t>
      </w:r>
      <w:r>
        <w:rPr>
          <w:w w:val="105"/>
          <w:sz w:val="21"/>
        </w:rPr>
        <w:t>issue</w:t>
      </w:r>
      <w:r>
        <w:rPr>
          <w:i/>
          <w:w w:val="105"/>
          <w:sz w:val="21"/>
        </w:rPr>
        <w:t>:</w:t>
      </w:r>
    </w:p>
    <w:p>
      <w:pPr>
        <w:spacing w:line="254" w:lineRule="auto" w:before="133"/>
        <w:ind w:left="2834" w:right="1884" w:firstLine="0"/>
        <w:jc w:val="left"/>
        <w:rPr>
          <w:sz w:val="20"/>
        </w:rPr>
      </w:pPr>
      <w:r>
        <w:rPr>
          <w:w w:val="105"/>
          <w:sz w:val="20"/>
        </w:rPr>
        <w:t>One option for reform would be to amend the </w:t>
      </w:r>
      <w:r>
        <w:rPr>
          <w:spacing w:val="-5"/>
          <w:w w:val="105"/>
          <w:sz w:val="20"/>
        </w:rPr>
        <w:t>VCAT </w:t>
      </w:r>
      <w:r>
        <w:rPr>
          <w:w w:val="105"/>
          <w:sz w:val="20"/>
        </w:rPr>
        <w:t>Act to enable </w:t>
      </w:r>
      <w:r>
        <w:rPr>
          <w:spacing w:val="-5"/>
          <w:w w:val="105"/>
          <w:sz w:val="20"/>
        </w:rPr>
        <w:t>VCAT </w:t>
      </w:r>
      <w:r>
        <w:rPr>
          <w:w w:val="105"/>
          <w:sz w:val="20"/>
        </w:rPr>
        <w:t>to </w:t>
      </w:r>
      <w:r>
        <w:rPr>
          <w:spacing w:val="-3"/>
          <w:w w:val="105"/>
          <w:sz w:val="20"/>
        </w:rPr>
        <w:t>enforce </w:t>
      </w:r>
      <w:r>
        <w:rPr>
          <w:w w:val="105"/>
          <w:sz w:val="20"/>
        </w:rPr>
        <w:t>its</w:t>
      </w:r>
      <w:r>
        <w:rPr>
          <w:spacing w:val="-7"/>
          <w:w w:val="105"/>
          <w:sz w:val="20"/>
        </w:rPr>
        <w:t> </w:t>
      </w:r>
      <w:r>
        <w:rPr>
          <w:w w:val="105"/>
          <w:sz w:val="20"/>
        </w:rPr>
        <w:t>own</w:t>
      </w:r>
      <w:r>
        <w:rPr>
          <w:spacing w:val="-7"/>
          <w:w w:val="105"/>
          <w:sz w:val="20"/>
        </w:rPr>
        <w:t> </w:t>
      </w:r>
      <w:r>
        <w:rPr>
          <w:w w:val="105"/>
          <w:sz w:val="20"/>
        </w:rPr>
        <w:t>orders,</w:t>
      </w:r>
      <w:r>
        <w:rPr>
          <w:spacing w:val="-6"/>
          <w:w w:val="105"/>
          <w:sz w:val="20"/>
        </w:rPr>
        <w:t> </w:t>
      </w:r>
      <w:r>
        <w:rPr>
          <w:w w:val="105"/>
          <w:sz w:val="20"/>
        </w:rPr>
        <w:t>both</w:t>
      </w:r>
      <w:r>
        <w:rPr>
          <w:spacing w:val="-7"/>
          <w:w w:val="105"/>
          <w:sz w:val="20"/>
        </w:rPr>
        <w:t> </w:t>
      </w:r>
      <w:r>
        <w:rPr>
          <w:w w:val="105"/>
          <w:sz w:val="20"/>
        </w:rPr>
        <w:t>monetary</w:t>
      </w:r>
      <w:r>
        <w:rPr>
          <w:spacing w:val="-6"/>
          <w:w w:val="105"/>
          <w:sz w:val="20"/>
        </w:rPr>
        <w:t> </w:t>
      </w:r>
      <w:r>
        <w:rPr>
          <w:w w:val="105"/>
          <w:sz w:val="20"/>
        </w:rPr>
        <w:t>and</w:t>
      </w:r>
      <w:r>
        <w:rPr>
          <w:spacing w:val="-7"/>
          <w:w w:val="105"/>
          <w:sz w:val="20"/>
        </w:rPr>
        <w:t> </w:t>
      </w:r>
      <w:r>
        <w:rPr>
          <w:w w:val="105"/>
          <w:sz w:val="20"/>
        </w:rPr>
        <w:t>non-monetary,</w:t>
      </w:r>
      <w:r>
        <w:rPr>
          <w:spacing w:val="-6"/>
          <w:w w:val="105"/>
          <w:sz w:val="20"/>
        </w:rPr>
        <w:t> </w:t>
      </w:r>
      <w:r>
        <w:rPr>
          <w:spacing w:val="-3"/>
          <w:w w:val="105"/>
          <w:sz w:val="20"/>
        </w:rPr>
        <w:t>similar</w:t>
      </w:r>
      <w:r>
        <w:rPr>
          <w:spacing w:val="-7"/>
          <w:w w:val="105"/>
          <w:sz w:val="20"/>
        </w:rPr>
        <w:t> </w:t>
      </w:r>
      <w:r>
        <w:rPr>
          <w:w w:val="105"/>
          <w:sz w:val="20"/>
        </w:rPr>
        <w:t>to</w:t>
      </w:r>
      <w:r>
        <w:rPr>
          <w:spacing w:val="-6"/>
          <w:w w:val="105"/>
          <w:sz w:val="20"/>
        </w:rPr>
        <w:t> </w:t>
      </w:r>
      <w:r>
        <w:rPr>
          <w:w w:val="105"/>
          <w:sz w:val="20"/>
        </w:rPr>
        <w:t>the</w:t>
      </w:r>
      <w:r>
        <w:rPr>
          <w:spacing w:val="-7"/>
          <w:w w:val="105"/>
          <w:sz w:val="20"/>
        </w:rPr>
        <w:t> </w:t>
      </w:r>
      <w:r>
        <w:rPr>
          <w:w w:val="105"/>
          <w:sz w:val="20"/>
        </w:rPr>
        <w:t>Magistrates’</w:t>
      </w:r>
      <w:r>
        <w:rPr>
          <w:spacing w:val="-6"/>
          <w:w w:val="105"/>
          <w:sz w:val="20"/>
        </w:rPr>
        <w:t> </w:t>
      </w:r>
      <w:r>
        <w:rPr>
          <w:spacing w:val="-3"/>
          <w:w w:val="105"/>
          <w:sz w:val="20"/>
        </w:rPr>
        <w:t>Court’s </w:t>
      </w:r>
      <w:r>
        <w:rPr>
          <w:w w:val="105"/>
          <w:sz w:val="20"/>
        </w:rPr>
        <w:t>powers</w:t>
      </w:r>
      <w:r>
        <w:rPr>
          <w:spacing w:val="-5"/>
          <w:w w:val="105"/>
          <w:sz w:val="20"/>
        </w:rPr>
        <w:t> </w:t>
      </w:r>
      <w:r>
        <w:rPr>
          <w:w w:val="105"/>
          <w:sz w:val="20"/>
        </w:rPr>
        <w:t>to</w:t>
      </w:r>
      <w:r>
        <w:rPr>
          <w:spacing w:val="-5"/>
          <w:w w:val="105"/>
          <w:sz w:val="20"/>
        </w:rPr>
        <w:t> </w:t>
      </w:r>
      <w:r>
        <w:rPr>
          <w:spacing w:val="-3"/>
          <w:w w:val="105"/>
          <w:sz w:val="20"/>
        </w:rPr>
        <w:t>enforce</w:t>
      </w:r>
      <w:r>
        <w:rPr>
          <w:spacing w:val="-5"/>
          <w:w w:val="105"/>
          <w:sz w:val="20"/>
        </w:rPr>
        <w:t> </w:t>
      </w:r>
      <w:r>
        <w:rPr>
          <w:w w:val="105"/>
          <w:sz w:val="20"/>
        </w:rPr>
        <w:t>its</w:t>
      </w:r>
      <w:r>
        <w:rPr>
          <w:spacing w:val="-4"/>
          <w:w w:val="105"/>
          <w:sz w:val="20"/>
        </w:rPr>
        <w:t> </w:t>
      </w:r>
      <w:r>
        <w:rPr>
          <w:w w:val="105"/>
          <w:sz w:val="20"/>
        </w:rPr>
        <w:t>orders.</w:t>
      </w:r>
      <w:r>
        <w:rPr>
          <w:spacing w:val="-5"/>
          <w:w w:val="105"/>
          <w:sz w:val="20"/>
        </w:rPr>
        <w:t> </w:t>
      </w:r>
      <w:r>
        <w:rPr>
          <w:spacing w:val="-4"/>
          <w:w w:val="105"/>
          <w:sz w:val="20"/>
        </w:rPr>
        <w:t>However,</w:t>
      </w:r>
      <w:r>
        <w:rPr>
          <w:spacing w:val="-5"/>
          <w:w w:val="105"/>
          <w:sz w:val="20"/>
        </w:rPr>
        <w:t> </w:t>
      </w:r>
      <w:r>
        <w:rPr>
          <w:w w:val="105"/>
          <w:sz w:val="20"/>
        </w:rPr>
        <w:t>this</w:t>
      </w:r>
      <w:r>
        <w:rPr>
          <w:spacing w:val="-5"/>
          <w:w w:val="105"/>
          <w:sz w:val="20"/>
        </w:rPr>
        <w:t> </w:t>
      </w:r>
      <w:r>
        <w:rPr>
          <w:w w:val="105"/>
          <w:sz w:val="20"/>
        </w:rPr>
        <w:t>would</w:t>
      </w:r>
      <w:r>
        <w:rPr>
          <w:spacing w:val="-4"/>
          <w:w w:val="105"/>
          <w:sz w:val="20"/>
        </w:rPr>
        <w:t> </w:t>
      </w:r>
      <w:r>
        <w:rPr>
          <w:spacing w:val="-3"/>
          <w:w w:val="105"/>
          <w:sz w:val="20"/>
        </w:rPr>
        <w:t>require</w:t>
      </w:r>
      <w:r>
        <w:rPr>
          <w:spacing w:val="-5"/>
          <w:w w:val="105"/>
          <w:sz w:val="20"/>
        </w:rPr>
        <w:t> VCAT </w:t>
      </w:r>
      <w:r>
        <w:rPr>
          <w:w w:val="105"/>
          <w:sz w:val="20"/>
        </w:rPr>
        <w:t>to</w:t>
      </w:r>
      <w:r>
        <w:rPr>
          <w:spacing w:val="-4"/>
          <w:w w:val="105"/>
          <w:sz w:val="20"/>
        </w:rPr>
        <w:t> </w:t>
      </w:r>
      <w:r>
        <w:rPr>
          <w:w w:val="105"/>
          <w:sz w:val="20"/>
        </w:rPr>
        <w:t>establish</w:t>
      </w:r>
      <w:r>
        <w:rPr>
          <w:spacing w:val="-5"/>
          <w:w w:val="105"/>
          <w:sz w:val="20"/>
        </w:rPr>
        <w:t> </w:t>
      </w:r>
      <w:r>
        <w:rPr>
          <w:w w:val="105"/>
          <w:sz w:val="20"/>
        </w:rPr>
        <w:t>rules</w:t>
      </w:r>
      <w:r>
        <w:rPr>
          <w:spacing w:val="-5"/>
          <w:w w:val="105"/>
          <w:sz w:val="20"/>
        </w:rPr>
        <w:t> </w:t>
      </w:r>
      <w:r>
        <w:rPr>
          <w:w w:val="105"/>
          <w:sz w:val="20"/>
        </w:rPr>
        <w:t>and</w:t>
      </w:r>
    </w:p>
    <w:p>
      <w:pPr>
        <w:spacing w:line="254" w:lineRule="auto" w:before="4"/>
        <w:ind w:left="2834" w:right="1583" w:firstLine="0"/>
        <w:jc w:val="left"/>
        <w:rPr>
          <w:sz w:val="11"/>
        </w:rPr>
      </w:pPr>
      <w:r>
        <w:rPr>
          <w:w w:val="105"/>
          <w:sz w:val="20"/>
        </w:rPr>
        <w:t>processes that reflect those used in the courts to compel payment. </w:t>
      </w:r>
      <w:r>
        <w:rPr>
          <w:spacing w:val="-3"/>
          <w:w w:val="105"/>
          <w:sz w:val="20"/>
        </w:rPr>
        <w:t>Further, </w:t>
      </w:r>
      <w:r>
        <w:rPr>
          <w:spacing w:val="-5"/>
          <w:w w:val="105"/>
          <w:sz w:val="20"/>
        </w:rPr>
        <w:t>VCAT </w:t>
      </w:r>
      <w:r>
        <w:rPr>
          <w:w w:val="105"/>
          <w:sz w:val="20"/>
        </w:rPr>
        <w:t>would </w:t>
      </w:r>
      <w:r>
        <w:rPr>
          <w:spacing w:val="-3"/>
          <w:w w:val="105"/>
          <w:sz w:val="20"/>
        </w:rPr>
        <w:t>have </w:t>
      </w:r>
      <w:r>
        <w:rPr>
          <w:w w:val="105"/>
          <w:sz w:val="20"/>
        </w:rPr>
        <w:t>to allocate the time of members and registry staff to deal with these processes, which would </w:t>
      </w:r>
      <w:r>
        <w:rPr>
          <w:spacing w:val="-3"/>
          <w:w w:val="105"/>
          <w:sz w:val="20"/>
        </w:rPr>
        <w:t>require </w:t>
      </w:r>
      <w:r>
        <w:rPr>
          <w:w w:val="105"/>
          <w:sz w:val="20"/>
        </w:rPr>
        <w:t>either more staff or redirection of resources within </w:t>
      </w:r>
      <w:r>
        <w:rPr>
          <w:spacing w:val="-7"/>
          <w:w w:val="105"/>
          <w:sz w:val="20"/>
        </w:rPr>
        <w:t>VCAT. </w:t>
      </w:r>
      <w:r>
        <w:rPr>
          <w:w w:val="105"/>
          <w:sz w:val="20"/>
        </w:rPr>
        <w:t>In addition, giving </w:t>
      </w:r>
      <w:r>
        <w:rPr>
          <w:spacing w:val="-5"/>
          <w:w w:val="105"/>
          <w:sz w:val="20"/>
        </w:rPr>
        <w:t>VCAT </w:t>
      </w:r>
      <w:r>
        <w:rPr>
          <w:w w:val="105"/>
          <w:sz w:val="20"/>
        </w:rPr>
        <w:t>power to </w:t>
      </w:r>
      <w:r>
        <w:rPr>
          <w:spacing w:val="-3"/>
          <w:w w:val="105"/>
          <w:sz w:val="20"/>
        </w:rPr>
        <w:t>enforce </w:t>
      </w:r>
      <w:r>
        <w:rPr>
          <w:w w:val="105"/>
          <w:sz w:val="20"/>
        </w:rPr>
        <w:t>its own orders would further </w:t>
      </w:r>
      <w:r>
        <w:rPr>
          <w:spacing w:val="-3"/>
          <w:w w:val="105"/>
          <w:sz w:val="20"/>
        </w:rPr>
        <w:t>fragment </w:t>
      </w:r>
      <w:r>
        <w:rPr>
          <w:w w:val="105"/>
          <w:sz w:val="20"/>
        </w:rPr>
        <w:t>the process for </w:t>
      </w:r>
      <w:r>
        <w:rPr>
          <w:spacing w:val="-3"/>
          <w:w w:val="105"/>
          <w:sz w:val="20"/>
        </w:rPr>
        <w:t>enforcement </w:t>
      </w:r>
      <w:r>
        <w:rPr>
          <w:w w:val="105"/>
          <w:sz w:val="20"/>
        </w:rPr>
        <w:t>of monetary orders, </w:t>
      </w:r>
      <w:r>
        <w:rPr>
          <w:spacing w:val="-3"/>
          <w:w w:val="105"/>
          <w:sz w:val="20"/>
        </w:rPr>
        <w:t>creating greater </w:t>
      </w:r>
      <w:r>
        <w:rPr>
          <w:spacing w:val="-2"/>
          <w:w w:val="105"/>
          <w:sz w:val="20"/>
        </w:rPr>
        <w:t>procedural </w:t>
      </w:r>
      <w:r>
        <w:rPr>
          <w:w w:val="105"/>
          <w:sz w:val="20"/>
        </w:rPr>
        <w:t>variations between Victorian jurisdictions.</w:t>
      </w:r>
      <w:r>
        <w:rPr>
          <w:w w:val="105"/>
          <w:position w:val="7"/>
          <w:sz w:val="11"/>
        </w:rPr>
        <w:t>208</w:t>
      </w:r>
    </w:p>
    <w:p>
      <w:pPr>
        <w:pStyle w:val="BodyText"/>
        <w:rPr>
          <w:sz w:val="20"/>
        </w:rPr>
      </w:pPr>
    </w:p>
    <w:p>
      <w:pPr>
        <w:pStyle w:val="BodyText"/>
        <w:rPr>
          <w:sz w:val="20"/>
        </w:rPr>
      </w:pPr>
    </w:p>
    <w:p>
      <w:pPr>
        <w:pStyle w:val="BodyText"/>
        <w:spacing w:before="10"/>
        <w:rPr>
          <w:sz w:val="13"/>
        </w:rPr>
      </w:pPr>
      <w:r>
        <w:rPr/>
        <w:pict>
          <v:line style="position:absolute;mso-position-horizontal-relative:page;mso-position-vertical-relative:paragraph;z-index:9080;mso-wrap-distance-left:0;mso-wrap-distance-right:0" from="79.370003pt,10.915085pt" to="515.905003pt,10.91508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58"/>
        </w:numPr>
        <w:tabs>
          <w:tab w:pos="2380" w:val="left" w:leader="none"/>
          <w:tab w:pos="2382" w:val="left" w:leader="none"/>
        </w:tabs>
        <w:spacing w:line="240" w:lineRule="auto" w:before="48"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4"/>
          <w:w w:val="105"/>
          <w:sz w:val="13"/>
        </w:rPr>
        <w:t> </w:t>
      </w:r>
      <w:r>
        <w:rPr>
          <w:w w:val="105"/>
          <w:sz w:val="13"/>
        </w:rPr>
        <w:t>Wales).</w:t>
      </w:r>
    </w:p>
    <w:p>
      <w:pPr>
        <w:pStyle w:val="ListParagraph"/>
        <w:numPr>
          <w:ilvl w:val="0"/>
          <w:numId w:val="158"/>
        </w:numPr>
        <w:tabs>
          <w:tab w:pos="2381" w:val="left" w:leader="none"/>
          <w:tab w:pos="2382" w:val="left" w:leader="none"/>
        </w:tabs>
        <w:spacing w:line="240" w:lineRule="auto" w:before="1" w:after="0"/>
        <w:ind w:left="2381" w:right="0" w:hanging="794"/>
        <w:jc w:val="left"/>
        <w:rPr>
          <w:sz w:val="13"/>
        </w:rPr>
      </w:pPr>
      <w:r>
        <w:rPr>
          <w:w w:val="105"/>
          <w:sz w:val="13"/>
        </w:rPr>
        <w:t>Supplementary Consultation 1 (Victorian Civil and Administrative</w:t>
      </w:r>
      <w:r>
        <w:rPr>
          <w:spacing w:val="3"/>
          <w:w w:val="105"/>
          <w:sz w:val="13"/>
        </w:rPr>
        <w:t> </w:t>
      </w:r>
      <w:r>
        <w:rPr>
          <w:w w:val="105"/>
          <w:sz w:val="13"/>
        </w:rPr>
        <w:t>Tribunal).</w:t>
      </w:r>
    </w:p>
    <w:p>
      <w:pPr>
        <w:pStyle w:val="ListParagraph"/>
        <w:numPr>
          <w:ilvl w:val="0"/>
          <w:numId w:val="158"/>
        </w:numPr>
        <w:tabs>
          <w:tab w:pos="2381" w:val="left" w:leader="none"/>
          <w:tab w:pos="2382" w:val="left" w:leader="none"/>
        </w:tabs>
        <w:spacing w:line="240" w:lineRule="auto" w:before="2" w:after="0"/>
        <w:ind w:left="2381" w:right="0" w:hanging="794"/>
        <w:jc w:val="left"/>
        <w:rPr>
          <w:sz w:val="13"/>
        </w:rPr>
      </w:pPr>
      <w:r>
        <w:rPr>
          <w:w w:val="105"/>
          <w:sz w:val="13"/>
        </w:rPr>
        <w:t>Submissions </w:t>
      </w:r>
      <w:r>
        <w:rPr>
          <w:spacing w:val="-6"/>
          <w:w w:val="105"/>
          <w:sz w:val="13"/>
        </w:rPr>
        <w:t>11 </w:t>
      </w:r>
      <w:r>
        <w:rPr>
          <w:spacing w:val="2"/>
          <w:w w:val="105"/>
          <w:sz w:val="13"/>
        </w:rPr>
        <w:t>(Name </w:t>
      </w:r>
      <w:r>
        <w:rPr>
          <w:w w:val="105"/>
          <w:sz w:val="13"/>
        </w:rPr>
        <w:t>withheld), 25 (City of</w:t>
      </w:r>
      <w:r>
        <w:rPr>
          <w:spacing w:val="13"/>
          <w:w w:val="105"/>
          <w:sz w:val="13"/>
        </w:rPr>
        <w:t> </w:t>
      </w:r>
      <w:r>
        <w:rPr>
          <w:w w:val="105"/>
          <w:sz w:val="13"/>
        </w:rPr>
        <w:t>Boorondara).</w:t>
      </w:r>
    </w:p>
    <w:p>
      <w:pPr>
        <w:pStyle w:val="ListParagraph"/>
        <w:numPr>
          <w:ilvl w:val="0"/>
          <w:numId w:val="158"/>
        </w:numPr>
        <w:tabs>
          <w:tab w:pos="2381" w:val="left" w:leader="none"/>
          <w:tab w:pos="2382" w:val="left" w:leader="none"/>
        </w:tabs>
        <w:spacing w:line="240" w:lineRule="auto" w:before="1" w:after="0"/>
        <w:ind w:left="2381" w:right="0" w:hanging="794"/>
        <w:jc w:val="left"/>
        <w:rPr>
          <w:sz w:val="13"/>
        </w:rPr>
      </w:pPr>
      <w:r>
        <w:rPr>
          <w:w w:val="105"/>
          <w:sz w:val="13"/>
        </w:rPr>
        <w:t>Submission 25 (City of</w:t>
      </w:r>
      <w:r>
        <w:rPr>
          <w:spacing w:val="19"/>
          <w:w w:val="105"/>
          <w:sz w:val="13"/>
        </w:rPr>
        <w:t> </w:t>
      </w:r>
      <w:r>
        <w:rPr>
          <w:w w:val="105"/>
          <w:sz w:val="13"/>
        </w:rPr>
        <w:t>Boorondara).</w:t>
      </w:r>
    </w:p>
    <w:p>
      <w:pPr>
        <w:pStyle w:val="ListParagraph"/>
        <w:numPr>
          <w:ilvl w:val="0"/>
          <w:numId w:val="158"/>
        </w:numPr>
        <w:tabs>
          <w:tab w:pos="2381" w:val="left" w:leader="none"/>
          <w:tab w:pos="2382" w:val="left" w:leader="none"/>
        </w:tabs>
        <w:spacing w:line="240" w:lineRule="auto" w:before="1" w:after="0"/>
        <w:ind w:left="2381" w:right="0" w:hanging="794"/>
        <w:jc w:val="left"/>
        <w:rPr>
          <w:sz w:val="13"/>
        </w:rPr>
      </w:pPr>
      <w:r>
        <w:rPr>
          <w:w w:val="105"/>
          <w:sz w:val="13"/>
        </w:rPr>
        <w:t>Submission 23 </w:t>
      </w:r>
      <w:r>
        <w:rPr>
          <w:spacing w:val="2"/>
          <w:w w:val="105"/>
          <w:sz w:val="13"/>
        </w:rPr>
        <w:t>(Name</w:t>
      </w:r>
      <w:r>
        <w:rPr>
          <w:spacing w:val="13"/>
          <w:w w:val="105"/>
          <w:sz w:val="13"/>
        </w:rPr>
        <w:t> </w:t>
      </w:r>
      <w:r>
        <w:rPr>
          <w:w w:val="105"/>
          <w:sz w:val="13"/>
        </w:rPr>
        <w:t>withheld).</w:t>
      </w:r>
    </w:p>
    <w:p>
      <w:pPr>
        <w:pStyle w:val="ListParagraph"/>
        <w:numPr>
          <w:ilvl w:val="0"/>
          <w:numId w:val="158"/>
        </w:numPr>
        <w:tabs>
          <w:tab w:pos="2381" w:val="left" w:leader="none"/>
          <w:tab w:pos="2382" w:val="left" w:leader="none"/>
        </w:tabs>
        <w:spacing w:line="240" w:lineRule="auto" w:before="2" w:after="0"/>
        <w:ind w:left="2381" w:right="0" w:hanging="794"/>
        <w:jc w:val="left"/>
        <w:rPr>
          <w:sz w:val="13"/>
        </w:rPr>
      </w:pPr>
      <w:r>
        <w:rPr>
          <w:w w:val="105"/>
          <w:sz w:val="13"/>
        </w:rPr>
        <w:t>Consultation 2 </w:t>
      </w:r>
      <w:r>
        <w:rPr>
          <w:spacing w:val="3"/>
          <w:w w:val="105"/>
          <w:sz w:val="13"/>
        </w:rPr>
        <w:t>(Dr </w:t>
      </w:r>
      <w:r>
        <w:rPr>
          <w:w w:val="105"/>
          <w:sz w:val="13"/>
        </w:rPr>
        <w:t>Gregory Moore</w:t>
      </w:r>
      <w:r>
        <w:rPr>
          <w:spacing w:val="21"/>
          <w:w w:val="105"/>
          <w:sz w:val="13"/>
        </w:rPr>
        <w:t> </w:t>
      </w:r>
      <w:r>
        <w:rPr>
          <w:spacing w:val="2"/>
          <w:w w:val="105"/>
          <w:sz w:val="13"/>
        </w:rPr>
        <w:t>OAM).</w:t>
      </w:r>
    </w:p>
    <w:p>
      <w:pPr>
        <w:pStyle w:val="ListParagraph"/>
        <w:numPr>
          <w:ilvl w:val="0"/>
          <w:numId w:val="158"/>
        </w:numPr>
        <w:tabs>
          <w:tab w:pos="2381" w:val="left" w:leader="none"/>
          <w:tab w:pos="2382" w:val="left" w:leader="none"/>
        </w:tabs>
        <w:spacing w:line="240" w:lineRule="auto" w:before="1" w:after="0"/>
        <w:ind w:left="2381" w:right="0" w:hanging="794"/>
        <w:jc w:val="left"/>
        <w:rPr>
          <w:sz w:val="13"/>
        </w:rPr>
      </w:pPr>
      <w:r>
        <w:rPr>
          <w:w w:val="105"/>
          <w:sz w:val="13"/>
        </w:rPr>
        <w:t>This</w:t>
      </w:r>
      <w:r>
        <w:rPr>
          <w:spacing w:val="4"/>
          <w:w w:val="105"/>
          <w:sz w:val="13"/>
        </w:rPr>
        <w:t> </w:t>
      </w:r>
      <w:r>
        <w:rPr>
          <w:w w:val="105"/>
          <w:sz w:val="13"/>
        </w:rPr>
        <w:t>is</w:t>
      </w:r>
      <w:r>
        <w:rPr>
          <w:spacing w:val="5"/>
          <w:w w:val="105"/>
          <w:sz w:val="13"/>
        </w:rPr>
        <w:t> </w:t>
      </w:r>
      <w:r>
        <w:rPr>
          <w:w w:val="105"/>
          <w:sz w:val="13"/>
        </w:rPr>
        <w:t>a</w:t>
      </w:r>
      <w:r>
        <w:rPr>
          <w:spacing w:val="5"/>
          <w:w w:val="105"/>
          <w:sz w:val="13"/>
        </w:rPr>
        <w:t> </w:t>
      </w:r>
      <w:r>
        <w:rPr>
          <w:w w:val="105"/>
          <w:sz w:val="13"/>
        </w:rPr>
        <w:t>similar</w:t>
      </w:r>
      <w:r>
        <w:rPr>
          <w:spacing w:val="5"/>
          <w:w w:val="105"/>
          <w:sz w:val="13"/>
        </w:rPr>
        <w:t> </w:t>
      </w:r>
      <w:r>
        <w:rPr>
          <w:w w:val="105"/>
          <w:sz w:val="13"/>
        </w:rPr>
        <w:t>approach</w:t>
      </w:r>
      <w:r>
        <w:rPr>
          <w:spacing w:val="4"/>
          <w:w w:val="105"/>
          <w:sz w:val="13"/>
        </w:rPr>
        <w:t> </w:t>
      </w:r>
      <w:r>
        <w:rPr>
          <w:w w:val="105"/>
          <w:sz w:val="13"/>
        </w:rPr>
        <w:t>to</w:t>
      </w:r>
      <w:r>
        <w:rPr>
          <w:spacing w:val="5"/>
          <w:w w:val="105"/>
          <w:sz w:val="13"/>
        </w:rPr>
        <w:t> </w:t>
      </w:r>
      <w:r>
        <w:rPr>
          <w:w w:val="105"/>
          <w:sz w:val="13"/>
        </w:rPr>
        <w:t>section</w:t>
      </w:r>
      <w:r>
        <w:rPr>
          <w:spacing w:val="5"/>
          <w:w w:val="105"/>
          <w:sz w:val="13"/>
        </w:rPr>
        <w:t> </w:t>
      </w:r>
      <w:r>
        <w:rPr>
          <w:w w:val="105"/>
          <w:sz w:val="13"/>
        </w:rPr>
        <w:t>123</w:t>
      </w:r>
      <w:r>
        <w:rPr>
          <w:spacing w:val="5"/>
          <w:w w:val="105"/>
          <w:sz w:val="13"/>
        </w:rPr>
        <w:t> </w:t>
      </w:r>
      <w:r>
        <w:rPr>
          <w:w w:val="105"/>
          <w:sz w:val="13"/>
        </w:rPr>
        <w:t>of</w:t>
      </w:r>
      <w:r>
        <w:rPr>
          <w:spacing w:val="5"/>
          <w:w w:val="105"/>
          <w:sz w:val="13"/>
        </w:rPr>
        <w:t> </w:t>
      </w:r>
      <w:r>
        <w:rPr>
          <w:w w:val="105"/>
          <w:sz w:val="13"/>
        </w:rPr>
        <w:t>the</w:t>
      </w:r>
      <w:r>
        <w:rPr>
          <w:spacing w:val="4"/>
          <w:w w:val="105"/>
          <w:sz w:val="13"/>
        </w:rPr>
        <w:t> </w:t>
      </w:r>
      <w:r>
        <w:rPr>
          <w:i/>
          <w:w w:val="105"/>
          <w:sz w:val="13"/>
        </w:rPr>
        <w:t>Planning</w:t>
      </w:r>
      <w:r>
        <w:rPr>
          <w:i/>
          <w:spacing w:val="5"/>
          <w:w w:val="105"/>
          <w:sz w:val="13"/>
        </w:rPr>
        <w:t> </w:t>
      </w:r>
      <w:r>
        <w:rPr>
          <w:i/>
          <w:w w:val="105"/>
          <w:sz w:val="13"/>
        </w:rPr>
        <w:t>and</w:t>
      </w:r>
      <w:r>
        <w:rPr>
          <w:i/>
          <w:spacing w:val="5"/>
          <w:w w:val="105"/>
          <w:sz w:val="13"/>
        </w:rPr>
        <w:t> </w:t>
      </w:r>
      <w:r>
        <w:rPr>
          <w:i/>
          <w:w w:val="105"/>
          <w:sz w:val="13"/>
        </w:rPr>
        <w:t>Environment</w:t>
      </w:r>
      <w:r>
        <w:rPr>
          <w:i/>
          <w:spacing w:val="5"/>
          <w:w w:val="105"/>
          <w:sz w:val="13"/>
        </w:rPr>
        <w:t> </w:t>
      </w:r>
      <w:r>
        <w:rPr>
          <w:i/>
          <w:w w:val="105"/>
          <w:sz w:val="13"/>
        </w:rPr>
        <w:t>Act</w:t>
      </w:r>
      <w:r>
        <w:rPr>
          <w:i/>
          <w:spacing w:val="5"/>
          <w:w w:val="105"/>
          <w:sz w:val="13"/>
        </w:rPr>
        <w:t> </w:t>
      </w:r>
      <w:r>
        <w:rPr>
          <w:i/>
          <w:w w:val="105"/>
          <w:sz w:val="13"/>
        </w:rPr>
        <w:t>1987</w:t>
      </w:r>
      <w:r>
        <w:rPr>
          <w:i/>
          <w:spacing w:val="4"/>
          <w:w w:val="105"/>
          <w:sz w:val="13"/>
        </w:rPr>
        <w:t> </w:t>
      </w:r>
      <w:r>
        <w:rPr>
          <w:spacing w:val="2"/>
          <w:w w:val="105"/>
          <w:sz w:val="13"/>
        </w:rPr>
        <w:t>(Vic).</w:t>
      </w:r>
    </w:p>
    <w:p>
      <w:pPr>
        <w:pStyle w:val="ListParagraph"/>
        <w:numPr>
          <w:ilvl w:val="0"/>
          <w:numId w:val="158"/>
        </w:numPr>
        <w:tabs>
          <w:tab w:pos="2381" w:val="left" w:leader="none"/>
          <w:tab w:pos="2382" w:val="left" w:leader="none"/>
        </w:tabs>
        <w:spacing w:line="240" w:lineRule="auto" w:before="1" w:after="0"/>
        <w:ind w:left="2381" w:right="0" w:hanging="794"/>
        <w:jc w:val="left"/>
        <w:rPr>
          <w:sz w:val="13"/>
        </w:rPr>
      </w:pPr>
      <w:r>
        <w:rPr>
          <w:w w:val="105"/>
          <w:sz w:val="13"/>
        </w:rPr>
        <w:t>Submission 27 </w:t>
      </w:r>
      <w:r>
        <w:rPr>
          <w:spacing w:val="2"/>
          <w:w w:val="105"/>
          <w:sz w:val="13"/>
        </w:rPr>
        <w:t>(Name</w:t>
      </w:r>
      <w:r>
        <w:rPr>
          <w:spacing w:val="22"/>
          <w:w w:val="105"/>
          <w:sz w:val="13"/>
        </w:rPr>
        <w:t> </w:t>
      </w:r>
      <w:r>
        <w:rPr>
          <w:w w:val="105"/>
          <w:sz w:val="13"/>
        </w:rPr>
        <w:t>withheld).</w:t>
      </w:r>
    </w:p>
    <w:p>
      <w:pPr>
        <w:pStyle w:val="ListParagraph"/>
        <w:numPr>
          <w:ilvl w:val="0"/>
          <w:numId w:val="158"/>
        </w:numPr>
        <w:tabs>
          <w:tab w:pos="2381" w:val="left" w:leader="none"/>
          <w:tab w:pos="2382" w:val="left" w:leader="none"/>
        </w:tabs>
        <w:spacing w:line="240" w:lineRule="auto" w:before="2" w:after="0"/>
        <w:ind w:left="2381" w:right="0" w:hanging="794"/>
        <w:jc w:val="left"/>
        <w:rPr>
          <w:sz w:val="13"/>
        </w:rPr>
      </w:pPr>
      <w:r>
        <w:rPr>
          <w:w w:val="105"/>
          <w:sz w:val="13"/>
        </w:rPr>
        <w:t>Submission </w:t>
      </w:r>
      <w:r>
        <w:rPr>
          <w:spacing w:val="-3"/>
          <w:w w:val="105"/>
          <w:sz w:val="13"/>
        </w:rPr>
        <w:t>19  </w:t>
      </w:r>
      <w:r>
        <w:rPr>
          <w:spacing w:val="2"/>
          <w:w w:val="105"/>
          <w:sz w:val="13"/>
        </w:rPr>
        <w:t>(Name</w:t>
      </w:r>
      <w:r>
        <w:rPr>
          <w:w w:val="105"/>
          <w:sz w:val="13"/>
        </w:rPr>
        <w:t> withheld).</w:t>
      </w:r>
    </w:p>
    <w:p>
      <w:pPr>
        <w:pStyle w:val="ListParagraph"/>
        <w:numPr>
          <w:ilvl w:val="0"/>
          <w:numId w:val="158"/>
        </w:numPr>
        <w:tabs>
          <w:tab w:pos="2381" w:val="left" w:leader="none"/>
          <w:tab w:pos="2382" w:val="left" w:leader="none"/>
        </w:tabs>
        <w:spacing w:line="240" w:lineRule="auto" w:before="1" w:after="0"/>
        <w:ind w:left="2381" w:right="0" w:hanging="794"/>
        <w:jc w:val="left"/>
        <w:rPr>
          <w:sz w:val="13"/>
        </w:rPr>
      </w:pPr>
      <w:r>
        <w:rPr>
          <w:w w:val="105"/>
          <w:sz w:val="13"/>
        </w:rPr>
        <w:t>Department</w:t>
      </w:r>
      <w:r>
        <w:rPr>
          <w:spacing w:val="7"/>
          <w:w w:val="105"/>
          <w:sz w:val="13"/>
        </w:rPr>
        <w:t> </w:t>
      </w:r>
      <w:r>
        <w:rPr>
          <w:w w:val="105"/>
          <w:sz w:val="13"/>
        </w:rPr>
        <w:t>of</w:t>
      </w:r>
      <w:r>
        <w:rPr>
          <w:spacing w:val="8"/>
          <w:w w:val="105"/>
          <w:sz w:val="13"/>
        </w:rPr>
        <w:t> </w:t>
      </w:r>
      <w:r>
        <w:rPr>
          <w:w w:val="105"/>
          <w:sz w:val="13"/>
        </w:rPr>
        <w:t>Justice</w:t>
      </w:r>
      <w:r>
        <w:rPr>
          <w:spacing w:val="8"/>
          <w:w w:val="105"/>
          <w:sz w:val="13"/>
        </w:rPr>
        <w:t> </w:t>
      </w:r>
      <w:r>
        <w:rPr>
          <w:w w:val="105"/>
          <w:sz w:val="13"/>
        </w:rPr>
        <w:t>and</w:t>
      </w:r>
      <w:r>
        <w:rPr>
          <w:spacing w:val="8"/>
          <w:w w:val="105"/>
          <w:sz w:val="13"/>
        </w:rPr>
        <w:t> </w:t>
      </w:r>
      <w:r>
        <w:rPr>
          <w:w w:val="105"/>
          <w:sz w:val="13"/>
        </w:rPr>
        <w:t>Regulation</w:t>
      </w:r>
      <w:r>
        <w:rPr>
          <w:spacing w:val="7"/>
          <w:w w:val="105"/>
          <w:sz w:val="13"/>
        </w:rPr>
        <w:t> </w:t>
      </w:r>
      <w:r>
        <w:rPr>
          <w:spacing w:val="2"/>
          <w:w w:val="105"/>
          <w:sz w:val="13"/>
        </w:rPr>
        <w:t>(Vic),</w:t>
      </w:r>
      <w:r>
        <w:rPr>
          <w:spacing w:val="8"/>
          <w:w w:val="105"/>
          <w:sz w:val="13"/>
        </w:rPr>
        <w:t> </w:t>
      </w:r>
      <w:r>
        <w:rPr>
          <w:i/>
          <w:w w:val="105"/>
          <w:sz w:val="13"/>
        </w:rPr>
        <w:t>Access</w:t>
      </w:r>
      <w:r>
        <w:rPr>
          <w:i/>
          <w:spacing w:val="8"/>
          <w:w w:val="105"/>
          <w:sz w:val="13"/>
        </w:rPr>
        <w:t> </w:t>
      </w:r>
      <w:r>
        <w:rPr>
          <w:i/>
          <w:w w:val="105"/>
          <w:sz w:val="13"/>
        </w:rPr>
        <w:t>to</w:t>
      </w:r>
      <w:r>
        <w:rPr>
          <w:i/>
          <w:spacing w:val="8"/>
          <w:w w:val="105"/>
          <w:sz w:val="13"/>
        </w:rPr>
        <w:t> </w:t>
      </w:r>
      <w:r>
        <w:rPr>
          <w:i/>
          <w:w w:val="105"/>
          <w:sz w:val="13"/>
        </w:rPr>
        <w:t>Justice</w:t>
      </w:r>
      <w:r>
        <w:rPr>
          <w:i/>
          <w:spacing w:val="7"/>
          <w:w w:val="105"/>
          <w:sz w:val="13"/>
        </w:rPr>
        <w:t> </w:t>
      </w:r>
      <w:r>
        <w:rPr>
          <w:i/>
          <w:w w:val="105"/>
          <w:sz w:val="13"/>
        </w:rPr>
        <w:t>Review</w:t>
      </w:r>
      <w:r>
        <w:rPr>
          <w:i/>
          <w:spacing w:val="8"/>
          <w:w w:val="105"/>
          <w:sz w:val="13"/>
        </w:rPr>
        <w:t> </w:t>
      </w:r>
      <w:r>
        <w:rPr>
          <w:i/>
          <w:spacing w:val="2"/>
          <w:w w:val="105"/>
          <w:sz w:val="13"/>
        </w:rPr>
        <w:t>Report</w:t>
      </w:r>
      <w:r>
        <w:rPr>
          <w:i/>
          <w:spacing w:val="8"/>
          <w:w w:val="105"/>
          <w:sz w:val="13"/>
        </w:rPr>
        <w:t> </w:t>
      </w:r>
      <w:r>
        <w:rPr>
          <w:i/>
          <w:w w:val="105"/>
          <w:sz w:val="13"/>
        </w:rPr>
        <w:t>and</w:t>
      </w:r>
      <w:r>
        <w:rPr>
          <w:i/>
          <w:spacing w:val="8"/>
          <w:w w:val="105"/>
          <w:sz w:val="13"/>
        </w:rPr>
        <w:t> </w:t>
      </w:r>
      <w:r>
        <w:rPr>
          <w:i/>
          <w:w w:val="105"/>
          <w:sz w:val="13"/>
        </w:rPr>
        <w:t>Recommendations</w:t>
      </w:r>
      <w:r>
        <w:rPr>
          <w:i/>
          <w:spacing w:val="7"/>
          <w:w w:val="105"/>
          <w:sz w:val="13"/>
        </w:rPr>
        <w:t> </w:t>
      </w:r>
      <w:r>
        <w:rPr>
          <w:w w:val="105"/>
          <w:sz w:val="13"/>
        </w:rPr>
        <w:t>(2016)</w:t>
      </w:r>
      <w:r>
        <w:rPr>
          <w:spacing w:val="8"/>
          <w:w w:val="105"/>
          <w:sz w:val="13"/>
        </w:rPr>
        <w:t> </w:t>
      </w:r>
      <w:r>
        <w:rPr>
          <w:w w:val="105"/>
          <w:sz w:val="13"/>
        </w:rPr>
        <w:t>vol</w:t>
      </w:r>
      <w:r>
        <w:rPr>
          <w:spacing w:val="8"/>
          <w:w w:val="105"/>
          <w:sz w:val="13"/>
        </w:rPr>
        <w:t> </w:t>
      </w:r>
      <w:r>
        <w:rPr>
          <w:spacing w:val="-3"/>
          <w:w w:val="105"/>
          <w:sz w:val="13"/>
        </w:rPr>
        <w:t>1,</w:t>
      </w:r>
      <w:r>
        <w:rPr>
          <w:spacing w:val="8"/>
          <w:w w:val="105"/>
          <w:sz w:val="13"/>
        </w:rPr>
        <w:t> </w:t>
      </w:r>
      <w:r>
        <w:rPr>
          <w:w w:val="105"/>
          <w:sz w:val="13"/>
        </w:rPr>
        <w:t>288.</w:t>
      </w:r>
    </w:p>
    <w:p>
      <w:pPr>
        <w:pStyle w:val="ListParagraph"/>
        <w:numPr>
          <w:ilvl w:val="0"/>
          <w:numId w:val="158"/>
        </w:numPr>
        <w:tabs>
          <w:tab w:pos="2381" w:val="left" w:leader="none"/>
          <w:tab w:pos="2382" w:val="left" w:leader="none"/>
        </w:tabs>
        <w:spacing w:line="240" w:lineRule="auto" w:before="1" w:after="0"/>
        <w:ind w:left="2381" w:right="0" w:hanging="794"/>
        <w:jc w:val="left"/>
        <w:rPr>
          <w:sz w:val="13"/>
        </w:rPr>
      </w:pPr>
      <w:r>
        <w:rPr>
          <w:w w:val="105"/>
          <w:sz w:val="13"/>
        </w:rPr>
        <w:t>Ibid vol </w:t>
      </w:r>
      <w:r>
        <w:rPr>
          <w:spacing w:val="-3"/>
          <w:w w:val="105"/>
          <w:sz w:val="13"/>
        </w:rPr>
        <w:t>1,</w:t>
      </w:r>
      <w:r>
        <w:rPr>
          <w:spacing w:val="13"/>
          <w:w w:val="105"/>
          <w:sz w:val="13"/>
        </w:rPr>
        <w:t> </w:t>
      </w:r>
      <w:r>
        <w:rPr>
          <w:w w:val="105"/>
          <w:sz w:val="13"/>
        </w:rPr>
        <w:t>288.</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spacing w:before="176"/>
        <w:ind w:left="1587" w:right="0" w:firstLine="0"/>
        <w:jc w:val="left"/>
        <w:rPr>
          <w:b/>
          <w:sz w:val="24"/>
        </w:rPr>
      </w:pPr>
      <w:r>
        <w:rPr>
          <w:b/>
          <w:color w:val="658464"/>
          <w:w w:val="110"/>
          <w:sz w:val="24"/>
        </w:rPr>
        <w:t>213</w:t>
      </w:r>
    </w:p>
    <w:p>
      <w:pPr>
        <w:spacing w:after="0"/>
        <w:jc w:val="left"/>
        <w:rPr>
          <w:sz w:val="24"/>
        </w:rPr>
        <w:sectPr>
          <w:type w:val="continuous"/>
          <w:pgSz w:w="11910" w:h="16840"/>
          <w:pgMar w:top="300" w:bottom="280" w:left="0" w:right="0"/>
          <w:cols w:num="2" w:equalWidth="0">
            <w:col w:w="9088" w:space="245"/>
            <w:col w:w="2577"/>
          </w:cols>
        </w:sectPr>
      </w:pPr>
    </w:p>
    <w:p>
      <w:pPr>
        <w:pStyle w:val="BodyText"/>
        <w:spacing w:before="8"/>
        <w:rPr>
          <w:b/>
          <w:sz w:val="22"/>
        </w:rPr>
      </w:pPr>
    </w:p>
    <w:p>
      <w:pPr>
        <w:pStyle w:val="ListParagraph"/>
        <w:numPr>
          <w:ilvl w:val="0"/>
          <w:numId w:val="157"/>
        </w:numPr>
        <w:tabs>
          <w:tab w:pos="2381" w:val="left" w:leader="none"/>
          <w:tab w:pos="2382" w:val="left" w:leader="none"/>
        </w:tabs>
        <w:spacing w:line="242" w:lineRule="auto" w:before="93" w:after="0"/>
        <w:ind w:left="2381" w:right="1695" w:hanging="794"/>
        <w:jc w:val="left"/>
        <w:rPr>
          <w:sz w:val="21"/>
        </w:rPr>
      </w:pPr>
      <w:bookmarkStart w:name="_bookmark117" w:id="248"/>
      <w:bookmarkEnd w:id="248"/>
      <w:r>
        <w:rPr/>
      </w:r>
      <w:bookmarkStart w:name="_bookmark117" w:id="249"/>
      <w:bookmarkEnd w:id="249"/>
      <w:r>
        <w:rPr>
          <w:w w:val="105"/>
          <w:sz w:val="21"/>
        </w:rPr>
        <w:t>A</w:t>
      </w:r>
      <w:r>
        <w:rPr>
          <w:w w:val="105"/>
          <w:sz w:val="21"/>
        </w:rPr>
        <w:t>mendments </w:t>
      </w:r>
      <w:r>
        <w:rPr>
          <w:spacing w:val="-3"/>
          <w:w w:val="105"/>
          <w:sz w:val="21"/>
        </w:rPr>
        <w:t>contained </w:t>
      </w:r>
      <w:r>
        <w:rPr>
          <w:w w:val="105"/>
          <w:sz w:val="21"/>
        </w:rPr>
        <w:t>in the </w:t>
      </w:r>
      <w:r>
        <w:rPr>
          <w:i/>
          <w:spacing w:val="-3"/>
          <w:w w:val="105"/>
          <w:sz w:val="21"/>
        </w:rPr>
        <w:t>Justice Legislation </w:t>
      </w:r>
      <w:r>
        <w:rPr>
          <w:i/>
          <w:w w:val="105"/>
          <w:sz w:val="21"/>
        </w:rPr>
        <w:t>Amendment (Access to Justice) Act </w:t>
      </w:r>
      <w:r>
        <w:rPr>
          <w:i/>
          <w:spacing w:val="-8"/>
          <w:w w:val="105"/>
          <w:sz w:val="21"/>
        </w:rPr>
        <w:t>2018 </w:t>
      </w:r>
      <w:r>
        <w:rPr>
          <w:w w:val="105"/>
          <w:sz w:val="21"/>
        </w:rPr>
        <w:t>(Vic) </w:t>
      </w:r>
      <w:r>
        <w:rPr>
          <w:spacing w:val="-3"/>
          <w:w w:val="105"/>
          <w:sz w:val="21"/>
        </w:rPr>
        <w:t>will </w:t>
      </w:r>
      <w:r>
        <w:rPr>
          <w:spacing w:val="-4"/>
          <w:w w:val="105"/>
          <w:sz w:val="21"/>
        </w:rPr>
        <w:t>make </w:t>
      </w:r>
      <w:r>
        <w:rPr>
          <w:w w:val="105"/>
          <w:sz w:val="21"/>
        </w:rPr>
        <w:t>it </w:t>
      </w:r>
      <w:r>
        <w:rPr>
          <w:spacing w:val="-2"/>
          <w:w w:val="105"/>
          <w:sz w:val="21"/>
        </w:rPr>
        <w:t>easier </w:t>
      </w:r>
      <w:r>
        <w:rPr>
          <w:spacing w:val="-3"/>
          <w:w w:val="105"/>
          <w:sz w:val="21"/>
        </w:rPr>
        <w:t>for </w:t>
      </w:r>
      <w:r>
        <w:rPr>
          <w:w w:val="105"/>
          <w:sz w:val="21"/>
        </w:rPr>
        <w:t>aggrieved parties </w:t>
      </w:r>
      <w:r>
        <w:rPr>
          <w:spacing w:val="-3"/>
          <w:w w:val="105"/>
          <w:sz w:val="21"/>
        </w:rPr>
        <w:t>to </w:t>
      </w:r>
      <w:r>
        <w:rPr>
          <w:w w:val="105"/>
          <w:sz w:val="21"/>
        </w:rPr>
        <w:t>pursue the </w:t>
      </w:r>
      <w:r>
        <w:rPr>
          <w:spacing w:val="-3"/>
          <w:w w:val="105"/>
          <w:sz w:val="21"/>
        </w:rPr>
        <w:t>enforcement </w:t>
      </w:r>
      <w:r>
        <w:rPr>
          <w:w w:val="105"/>
          <w:sz w:val="21"/>
        </w:rPr>
        <w:t>of both monetary</w:t>
      </w:r>
      <w:r>
        <w:rPr>
          <w:spacing w:val="-8"/>
          <w:w w:val="105"/>
          <w:sz w:val="21"/>
        </w:rPr>
        <w:t> </w:t>
      </w:r>
      <w:r>
        <w:rPr>
          <w:w w:val="105"/>
          <w:sz w:val="21"/>
        </w:rPr>
        <w:t>and</w:t>
      </w:r>
      <w:r>
        <w:rPr>
          <w:spacing w:val="-7"/>
          <w:w w:val="105"/>
          <w:sz w:val="21"/>
        </w:rPr>
        <w:t> </w:t>
      </w:r>
      <w:r>
        <w:rPr>
          <w:w w:val="105"/>
          <w:sz w:val="21"/>
        </w:rPr>
        <w:t>non-monetary</w:t>
      </w:r>
      <w:r>
        <w:rPr>
          <w:spacing w:val="-7"/>
          <w:w w:val="105"/>
          <w:sz w:val="21"/>
        </w:rPr>
        <w:t> </w:t>
      </w:r>
      <w:r>
        <w:rPr>
          <w:w w:val="105"/>
          <w:sz w:val="21"/>
        </w:rPr>
        <w:t>orders</w:t>
      </w:r>
      <w:r>
        <w:rPr>
          <w:spacing w:val="-7"/>
          <w:w w:val="105"/>
          <w:sz w:val="21"/>
        </w:rPr>
        <w:t> </w:t>
      </w:r>
      <w:r>
        <w:rPr>
          <w:w w:val="105"/>
          <w:sz w:val="21"/>
        </w:rPr>
        <w:t>with</w:t>
      </w:r>
      <w:r>
        <w:rPr>
          <w:spacing w:val="-7"/>
          <w:w w:val="105"/>
          <w:sz w:val="21"/>
        </w:rPr>
        <w:t> </w:t>
      </w:r>
      <w:r>
        <w:rPr>
          <w:w w:val="105"/>
          <w:sz w:val="21"/>
        </w:rPr>
        <w:t>respect</w:t>
      </w:r>
      <w:r>
        <w:rPr>
          <w:spacing w:val="-7"/>
          <w:w w:val="105"/>
          <w:sz w:val="21"/>
        </w:rPr>
        <w:t> </w:t>
      </w:r>
      <w:r>
        <w:rPr>
          <w:spacing w:val="-3"/>
          <w:w w:val="105"/>
          <w:sz w:val="21"/>
        </w:rPr>
        <w:t>to</w:t>
      </w:r>
      <w:r>
        <w:rPr>
          <w:spacing w:val="-7"/>
          <w:w w:val="105"/>
          <w:sz w:val="21"/>
        </w:rPr>
        <w:t> </w:t>
      </w:r>
      <w:r>
        <w:rPr>
          <w:w w:val="105"/>
          <w:sz w:val="21"/>
        </w:rPr>
        <w:t>tree</w:t>
      </w:r>
      <w:r>
        <w:rPr>
          <w:spacing w:val="-7"/>
          <w:w w:val="105"/>
          <w:sz w:val="21"/>
        </w:rPr>
        <w:t> </w:t>
      </w:r>
      <w:r>
        <w:rPr>
          <w:spacing w:val="-3"/>
          <w:w w:val="105"/>
          <w:sz w:val="21"/>
        </w:rPr>
        <w:t>disputes</w:t>
      </w:r>
      <w:r>
        <w:rPr>
          <w:spacing w:val="-7"/>
          <w:w w:val="105"/>
          <w:sz w:val="21"/>
        </w:rPr>
        <w:t> </w:t>
      </w:r>
      <w:r>
        <w:rPr>
          <w:w w:val="105"/>
          <w:sz w:val="21"/>
        </w:rPr>
        <w:t>under</w:t>
      </w:r>
      <w:r>
        <w:rPr>
          <w:spacing w:val="-7"/>
          <w:w w:val="105"/>
          <w:sz w:val="21"/>
        </w:rPr>
        <w:t> </w:t>
      </w:r>
      <w:r>
        <w:rPr>
          <w:w w:val="105"/>
          <w:sz w:val="21"/>
        </w:rPr>
        <w:t>the</w:t>
      </w:r>
      <w:r>
        <w:rPr>
          <w:spacing w:val="-7"/>
          <w:w w:val="105"/>
          <w:sz w:val="21"/>
        </w:rPr>
        <w:t> </w:t>
      </w:r>
      <w:r>
        <w:rPr>
          <w:w w:val="105"/>
          <w:sz w:val="21"/>
        </w:rPr>
        <w:t>new</w:t>
      </w:r>
      <w:r>
        <w:rPr>
          <w:spacing w:val="-7"/>
          <w:w w:val="105"/>
          <w:sz w:val="21"/>
        </w:rPr>
        <w:t> </w:t>
      </w:r>
      <w:r>
        <w:rPr>
          <w:w w:val="105"/>
          <w:sz w:val="21"/>
        </w:rPr>
        <w:t>Act.</w:t>
      </w:r>
      <w:r>
        <w:rPr>
          <w:spacing w:val="-7"/>
          <w:w w:val="105"/>
          <w:sz w:val="21"/>
        </w:rPr>
        <w:t> </w:t>
      </w:r>
      <w:r>
        <w:rPr>
          <w:w w:val="105"/>
          <w:sz w:val="21"/>
        </w:rPr>
        <w:t>An aggrieved party </w:t>
      </w:r>
      <w:r>
        <w:rPr>
          <w:spacing w:val="-3"/>
          <w:w w:val="105"/>
          <w:sz w:val="21"/>
        </w:rPr>
        <w:t>will have </w:t>
      </w:r>
      <w:r>
        <w:rPr>
          <w:w w:val="105"/>
          <w:sz w:val="21"/>
        </w:rPr>
        <w:t>the option of </w:t>
      </w:r>
      <w:r>
        <w:rPr>
          <w:spacing w:val="-3"/>
          <w:w w:val="105"/>
          <w:sz w:val="21"/>
        </w:rPr>
        <w:t>recouping any </w:t>
      </w:r>
      <w:r>
        <w:rPr>
          <w:w w:val="105"/>
          <w:sz w:val="21"/>
        </w:rPr>
        <w:t>money owed </w:t>
      </w:r>
      <w:r>
        <w:rPr>
          <w:spacing w:val="-3"/>
          <w:w w:val="105"/>
          <w:sz w:val="21"/>
        </w:rPr>
        <w:t>to </w:t>
      </w:r>
      <w:r>
        <w:rPr>
          <w:w w:val="105"/>
          <w:sz w:val="21"/>
        </w:rPr>
        <w:t>them as a</w:t>
      </w:r>
      <w:r>
        <w:rPr>
          <w:spacing w:val="2"/>
          <w:w w:val="105"/>
          <w:sz w:val="21"/>
        </w:rPr>
        <w:t> </w:t>
      </w:r>
      <w:r>
        <w:rPr>
          <w:w w:val="105"/>
          <w:sz w:val="21"/>
        </w:rPr>
        <w:t>debt</w:t>
      </w:r>
    </w:p>
    <w:p>
      <w:pPr>
        <w:pStyle w:val="BodyText"/>
        <w:spacing w:line="242" w:lineRule="auto" w:before="4"/>
        <w:ind w:left="2381" w:right="1895"/>
      </w:pPr>
      <w:r>
        <w:rPr>
          <w:w w:val="105"/>
        </w:rPr>
        <w:t>in the Magistrates’ Court, compelling performance of an action in the Supreme Court of Victoria, or applying to have their matter reopened in VCAT due to problems with compliance.</w:t>
      </w:r>
    </w:p>
    <w:p>
      <w:pPr>
        <w:pStyle w:val="ListParagraph"/>
        <w:numPr>
          <w:ilvl w:val="0"/>
          <w:numId w:val="157"/>
        </w:numPr>
        <w:tabs>
          <w:tab w:pos="2380" w:val="left" w:leader="none"/>
          <w:tab w:pos="2381" w:val="left" w:leader="none"/>
        </w:tabs>
        <w:spacing w:line="242" w:lineRule="auto" w:before="123" w:after="0"/>
        <w:ind w:left="2381" w:right="1606" w:hanging="794"/>
        <w:jc w:val="left"/>
        <w:rPr>
          <w:sz w:val="21"/>
        </w:rPr>
      </w:pPr>
      <w:r>
        <w:rPr>
          <w:w w:val="105"/>
          <w:sz w:val="21"/>
        </w:rPr>
        <w:t>The </w:t>
      </w:r>
      <w:r>
        <w:rPr>
          <w:spacing w:val="-3"/>
          <w:w w:val="105"/>
          <w:sz w:val="21"/>
        </w:rPr>
        <w:t>Commission concludes that </w:t>
      </w:r>
      <w:r>
        <w:rPr>
          <w:w w:val="105"/>
          <w:sz w:val="21"/>
        </w:rPr>
        <w:t>the </w:t>
      </w:r>
      <w:r>
        <w:rPr>
          <w:spacing w:val="-3"/>
          <w:w w:val="105"/>
          <w:sz w:val="21"/>
        </w:rPr>
        <w:t>enforcement mechanisms </w:t>
      </w:r>
      <w:r>
        <w:rPr>
          <w:w w:val="105"/>
          <w:sz w:val="21"/>
        </w:rPr>
        <w:t>under the </w:t>
      </w:r>
      <w:r>
        <w:rPr>
          <w:spacing w:val="-5"/>
          <w:w w:val="105"/>
          <w:sz w:val="21"/>
        </w:rPr>
        <w:t>VCAT </w:t>
      </w:r>
      <w:r>
        <w:rPr>
          <w:w w:val="105"/>
          <w:sz w:val="21"/>
        </w:rPr>
        <w:t>Act should be </w:t>
      </w:r>
      <w:r>
        <w:rPr>
          <w:spacing w:val="-3"/>
          <w:w w:val="105"/>
          <w:sz w:val="21"/>
        </w:rPr>
        <w:t>relied </w:t>
      </w:r>
      <w:r>
        <w:rPr>
          <w:w w:val="105"/>
          <w:sz w:val="21"/>
        </w:rPr>
        <w:t>upon and </w:t>
      </w:r>
      <w:r>
        <w:rPr>
          <w:spacing w:val="-3"/>
          <w:w w:val="105"/>
          <w:sz w:val="21"/>
        </w:rPr>
        <w:t>supplemented </w:t>
      </w:r>
      <w:r>
        <w:rPr>
          <w:w w:val="105"/>
          <w:sz w:val="21"/>
        </w:rPr>
        <w:t>by practical </w:t>
      </w:r>
      <w:r>
        <w:rPr>
          <w:spacing w:val="-3"/>
          <w:w w:val="105"/>
          <w:sz w:val="21"/>
        </w:rPr>
        <w:t>enforcement provisions </w:t>
      </w:r>
      <w:r>
        <w:rPr>
          <w:w w:val="105"/>
          <w:sz w:val="21"/>
        </w:rPr>
        <w:t>in the new</w:t>
      </w:r>
      <w:r>
        <w:rPr>
          <w:spacing w:val="-6"/>
          <w:w w:val="105"/>
          <w:sz w:val="21"/>
        </w:rPr>
        <w:t> </w:t>
      </w:r>
      <w:r>
        <w:rPr>
          <w:w w:val="105"/>
          <w:sz w:val="21"/>
        </w:rPr>
        <w:t>Act.</w:t>
      </w:r>
    </w:p>
    <w:p>
      <w:pPr>
        <w:pStyle w:val="BodyText"/>
        <w:spacing w:before="3"/>
        <w:rPr>
          <w:sz w:val="20"/>
        </w:rPr>
      </w:pPr>
    </w:p>
    <w:p>
      <w:pPr>
        <w:pStyle w:val="Heading5"/>
      </w:pPr>
      <w:r>
        <w:rPr>
          <w:w w:val="115"/>
        </w:rPr>
        <w:t>Penalties for failure to comply</w:t>
      </w:r>
    </w:p>
    <w:p>
      <w:pPr>
        <w:pStyle w:val="ListParagraph"/>
        <w:numPr>
          <w:ilvl w:val="0"/>
          <w:numId w:val="157"/>
        </w:numPr>
        <w:tabs>
          <w:tab w:pos="2381" w:val="left" w:leader="none"/>
          <w:tab w:pos="2382" w:val="left" w:leader="none"/>
        </w:tabs>
        <w:spacing w:line="242" w:lineRule="auto" w:before="137" w:after="0"/>
        <w:ind w:left="2381" w:right="1850" w:hanging="794"/>
        <w:jc w:val="left"/>
        <w:rPr>
          <w:sz w:val="21"/>
        </w:rPr>
      </w:pPr>
      <w:r>
        <w:rPr>
          <w:w w:val="105"/>
          <w:sz w:val="21"/>
        </w:rPr>
        <w:t>As</w:t>
      </w:r>
      <w:r>
        <w:rPr>
          <w:spacing w:val="-4"/>
          <w:w w:val="105"/>
          <w:sz w:val="21"/>
        </w:rPr>
        <w:t> </w:t>
      </w:r>
      <w:r>
        <w:rPr>
          <w:w w:val="105"/>
          <w:sz w:val="21"/>
        </w:rPr>
        <w:t>discussed,</w:t>
      </w:r>
      <w:r>
        <w:rPr>
          <w:spacing w:val="-4"/>
          <w:w w:val="105"/>
          <w:sz w:val="21"/>
        </w:rPr>
        <w:t> </w:t>
      </w:r>
      <w:r>
        <w:rPr>
          <w:w w:val="105"/>
          <w:sz w:val="21"/>
        </w:rPr>
        <w:t>the</w:t>
      </w:r>
      <w:r>
        <w:rPr>
          <w:spacing w:val="-3"/>
          <w:w w:val="105"/>
          <w:sz w:val="21"/>
        </w:rPr>
        <w:t> </w:t>
      </w:r>
      <w:r>
        <w:rPr>
          <w:w w:val="105"/>
          <w:sz w:val="21"/>
        </w:rPr>
        <w:t>NSW</w:t>
      </w:r>
      <w:r>
        <w:rPr>
          <w:spacing w:val="-4"/>
          <w:w w:val="105"/>
          <w:sz w:val="21"/>
        </w:rPr>
        <w:t> </w:t>
      </w:r>
      <w:r>
        <w:rPr>
          <w:w w:val="105"/>
          <w:sz w:val="21"/>
        </w:rPr>
        <w:t>and</w:t>
      </w:r>
      <w:r>
        <w:rPr>
          <w:spacing w:val="-3"/>
          <w:w w:val="105"/>
          <w:sz w:val="21"/>
        </w:rPr>
        <w:t> Queensland</w:t>
      </w:r>
      <w:r>
        <w:rPr>
          <w:spacing w:val="-4"/>
          <w:w w:val="105"/>
          <w:sz w:val="21"/>
        </w:rPr>
        <w:t> </w:t>
      </w:r>
      <w:r>
        <w:rPr>
          <w:w w:val="105"/>
          <w:sz w:val="21"/>
        </w:rPr>
        <w:t>Acts</w:t>
      </w:r>
      <w:r>
        <w:rPr>
          <w:spacing w:val="-3"/>
          <w:w w:val="105"/>
          <w:sz w:val="21"/>
        </w:rPr>
        <w:t> </w:t>
      </w:r>
      <w:r>
        <w:rPr>
          <w:w w:val="105"/>
          <w:sz w:val="21"/>
        </w:rPr>
        <w:t>both</w:t>
      </w:r>
      <w:r>
        <w:rPr>
          <w:spacing w:val="-4"/>
          <w:w w:val="105"/>
          <w:sz w:val="21"/>
        </w:rPr>
        <w:t> </w:t>
      </w:r>
      <w:r>
        <w:rPr>
          <w:w w:val="105"/>
          <w:sz w:val="21"/>
        </w:rPr>
        <w:t>provide</w:t>
      </w:r>
      <w:r>
        <w:rPr>
          <w:spacing w:val="-3"/>
          <w:w w:val="105"/>
          <w:sz w:val="21"/>
        </w:rPr>
        <w:t> for</w:t>
      </w:r>
      <w:r>
        <w:rPr>
          <w:spacing w:val="-4"/>
          <w:w w:val="105"/>
          <w:sz w:val="21"/>
        </w:rPr>
        <w:t> </w:t>
      </w:r>
      <w:r>
        <w:rPr>
          <w:w w:val="105"/>
          <w:sz w:val="21"/>
        </w:rPr>
        <w:t>fines</w:t>
      </w:r>
      <w:r>
        <w:rPr>
          <w:spacing w:val="-4"/>
          <w:w w:val="105"/>
          <w:sz w:val="21"/>
        </w:rPr>
        <w:t> </w:t>
      </w:r>
      <w:r>
        <w:rPr>
          <w:w w:val="105"/>
          <w:sz w:val="21"/>
        </w:rPr>
        <w:t>where</w:t>
      </w:r>
      <w:r>
        <w:rPr>
          <w:spacing w:val="-3"/>
          <w:w w:val="105"/>
          <w:sz w:val="21"/>
        </w:rPr>
        <w:t> </w:t>
      </w:r>
      <w:r>
        <w:rPr>
          <w:w w:val="105"/>
          <w:sz w:val="21"/>
        </w:rPr>
        <w:t>a</w:t>
      </w:r>
      <w:r>
        <w:rPr>
          <w:spacing w:val="-4"/>
          <w:w w:val="105"/>
          <w:sz w:val="21"/>
        </w:rPr>
        <w:t> </w:t>
      </w:r>
      <w:r>
        <w:rPr>
          <w:w w:val="105"/>
          <w:sz w:val="21"/>
        </w:rPr>
        <w:t>party</w:t>
      </w:r>
      <w:r>
        <w:rPr>
          <w:spacing w:val="-3"/>
          <w:w w:val="105"/>
          <w:sz w:val="21"/>
        </w:rPr>
        <w:t> </w:t>
      </w:r>
      <w:r>
        <w:rPr>
          <w:w w:val="105"/>
          <w:sz w:val="21"/>
        </w:rPr>
        <w:t>does </w:t>
      </w:r>
      <w:r>
        <w:rPr>
          <w:spacing w:val="-2"/>
          <w:w w:val="105"/>
          <w:sz w:val="21"/>
        </w:rPr>
        <w:t>not </w:t>
      </w:r>
      <w:r>
        <w:rPr>
          <w:w w:val="105"/>
          <w:sz w:val="21"/>
        </w:rPr>
        <w:t>comply with an</w:t>
      </w:r>
      <w:r>
        <w:rPr>
          <w:spacing w:val="22"/>
          <w:w w:val="105"/>
          <w:sz w:val="21"/>
        </w:rPr>
        <w:t> </w:t>
      </w:r>
      <w:r>
        <w:rPr>
          <w:spacing w:val="-4"/>
          <w:w w:val="105"/>
          <w:sz w:val="21"/>
        </w:rPr>
        <w:t>order.</w:t>
      </w:r>
    </w:p>
    <w:p>
      <w:pPr>
        <w:pStyle w:val="ListParagraph"/>
        <w:numPr>
          <w:ilvl w:val="0"/>
          <w:numId w:val="157"/>
        </w:numPr>
        <w:tabs>
          <w:tab w:pos="2380" w:val="left" w:leader="none"/>
          <w:tab w:pos="2381" w:val="left" w:leader="none"/>
        </w:tabs>
        <w:spacing w:line="242" w:lineRule="auto" w:before="123" w:after="0"/>
        <w:ind w:left="2381" w:right="1748" w:hanging="794"/>
        <w:jc w:val="left"/>
        <w:rPr>
          <w:sz w:val="21"/>
        </w:rPr>
      </w:pPr>
      <w:r>
        <w:rPr>
          <w:w w:val="105"/>
          <w:sz w:val="21"/>
        </w:rPr>
        <w:t>The </w:t>
      </w:r>
      <w:r>
        <w:rPr>
          <w:spacing w:val="-3"/>
          <w:w w:val="105"/>
          <w:sz w:val="21"/>
        </w:rPr>
        <w:t>Commission </w:t>
      </w:r>
      <w:r>
        <w:rPr>
          <w:w w:val="105"/>
          <w:sz w:val="21"/>
        </w:rPr>
        <w:t>acknowledges the comments of the QLRC about the effectiveness of the penalty </w:t>
      </w:r>
      <w:r>
        <w:rPr>
          <w:spacing w:val="-3"/>
          <w:w w:val="105"/>
          <w:sz w:val="21"/>
        </w:rPr>
        <w:t>provision </w:t>
      </w:r>
      <w:r>
        <w:rPr>
          <w:w w:val="105"/>
          <w:sz w:val="21"/>
        </w:rPr>
        <w:t>in the </w:t>
      </w:r>
      <w:r>
        <w:rPr>
          <w:spacing w:val="-3"/>
          <w:w w:val="105"/>
          <w:sz w:val="21"/>
        </w:rPr>
        <w:t>Queensland </w:t>
      </w:r>
      <w:r>
        <w:rPr>
          <w:w w:val="105"/>
          <w:sz w:val="21"/>
        </w:rPr>
        <w:t>Act. </w:t>
      </w:r>
      <w:r>
        <w:rPr>
          <w:spacing w:val="-4"/>
          <w:w w:val="105"/>
          <w:sz w:val="21"/>
        </w:rPr>
        <w:t>However, </w:t>
      </w:r>
      <w:r>
        <w:rPr>
          <w:w w:val="105"/>
          <w:sz w:val="21"/>
        </w:rPr>
        <w:t>on </w:t>
      </w:r>
      <w:r>
        <w:rPr>
          <w:spacing w:val="-3"/>
          <w:w w:val="105"/>
          <w:sz w:val="21"/>
        </w:rPr>
        <w:t>balance </w:t>
      </w:r>
      <w:r>
        <w:rPr>
          <w:w w:val="105"/>
          <w:sz w:val="21"/>
        </w:rPr>
        <w:t>it would be </w:t>
      </w:r>
      <w:r>
        <w:rPr>
          <w:spacing w:val="-3"/>
          <w:w w:val="105"/>
          <w:sz w:val="21"/>
        </w:rPr>
        <w:t>helpful to include </w:t>
      </w:r>
      <w:r>
        <w:rPr>
          <w:w w:val="105"/>
          <w:sz w:val="21"/>
        </w:rPr>
        <w:t>a maximum penalty </w:t>
      </w:r>
      <w:r>
        <w:rPr>
          <w:spacing w:val="-3"/>
          <w:w w:val="105"/>
          <w:sz w:val="21"/>
        </w:rPr>
        <w:t>provision </w:t>
      </w:r>
      <w:r>
        <w:rPr>
          <w:w w:val="105"/>
          <w:sz w:val="21"/>
        </w:rPr>
        <w:t>in the new</w:t>
      </w:r>
      <w:r>
        <w:rPr>
          <w:spacing w:val="40"/>
          <w:w w:val="105"/>
          <w:sz w:val="21"/>
        </w:rPr>
        <w:t> </w:t>
      </w:r>
      <w:r>
        <w:rPr>
          <w:w w:val="105"/>
          <w:sz w:val="21"/>
        </w:rPr>
        <w:t>Act.</w:t>
      </w:r>
    </w:p>
    <w:p>
      <w:pPr>
        <w:pStyle w:val="ListParagraph"/>
        <w:numPr>
          <w:ilvl w:val="0"/>
          <w:numId w:val="157"/>
        </w:numPr>
        <w:tabs>
          <w:tab w:pos="2380" w:val="left" w:leader="none"/>
          <w:tab w:pos="2381" w:val="left" w:leader="none"/>
        </w:tabs>
        <w:spacing w:line="242" w:lineRule="auto" w:before="123" w:after="0"/>
        <w:ind w:left="2381" w:right="2014" w:hanging="794"/>
        <w:jc w:val="left"/>
        <w:rPr>
          <w:sz w:val="21"/>
        </w:rPr>
      </w:pPr>
      <w:r>
        <w:rPr>
          <w:w w:val="105"/>
          <w:sz w:val="21"/>
        </w:rPr>
        <w:t>Existing penalties under the </w:t>
      </w:r>
      <w:r>
        <w:rPr>
          <w:spacing w:val="-5"/>
          <w:w w:val="105"/>
          <w:sz w:val="21"/>
        </w:rPr>
        <w:t>VCAT </w:t>
      </w:r>
      <w:r>
        <w:rPr>
          <w:w w:val="105"/>
          <w:sz w:val="21"/>
        </w:rPr>
        <w:t>Act,</w:t>
      </w:r>
      <w:r>
        <w:rPr>
          <w:w w:val="105"/>
          <w:position w:val="7"/>
          <w:sz w:val="12"/>
        </w:rPr>
        <w:t>209 </w:t>
      </w:r>
      <w:r>
        <w:rPr>
          <w:w w:val="105"/>
          <w:sz w:val="21"/>
        </w:rPr>
        <w:t>which would also apply </w:t>
      </w:r>
      <w:r>
        <w:rPr>
          <w:spacing w:val="-3"/>
          <w:w w:val="105"/>
          <w:sz w:val="21"/>
        </w:rPr>
        <w:t>for </w:t>
      </w:r>
      <w:r>
        <w:rPr>
          <w:w w:val="105"/>
          <w:sz w:val="21"/>
        </w:rPr>
        <w:t>non-compliance with orders under a new Act, </w:t>
      </w:r>
      <w:r>
        <w:rPr>
          <w:spacing w:val="-3"/>
          <w:w w:val="105"/>
          <w:sz w:val="21"/>
        </w:rPr>
        <w:t>are </w:t>
      </w:r>
      <w:r>
        <w:rPr>
          <w:spacing w:val="-2"/>
          <w:w w:val="105"/>
          <w:sz w:val="21"/>
        </w:rPr>
        <w:t>significantly </w:t>
      </w:r>
      <w:r>
        <w:rPr>
          <w:spacing w:val="-3"/>
          <w:w w:val="105"/>
          <w:sz w:val="21"/>
        </w:rPr>
        <w:t>smaller than </w:t>
      </w:r>
      <w:r>
        <w:rPr>
          <w:w w:val="105"/>
          <w:sz w:val="21"/>
        </w:rPr>
        <w:t>the penalty </w:t>
      </w:r>
      <w:r>
        <w:rPr>
          <w:spacing w:val="-3"/>
          <w:w w:val="105"/>
          <w:sz w:val="21"/>
        </w:rPr>
        <w:t>provisions </w:t>
      </w:r>
      <w:r>
        <w:rPr>
          <w:w w:val="105"/>
          <w:sz w:val="21"/>
        </w:rPr>
        <w:t>in interstate tree </w:t>
      </w:r>
      <w:r>
        <w:rPr>
          <w:spacing w:val="-3"/>
          <w:w w:val="105"/>
          <w:sz w:val="21"/>
        </w:rPr>
        <w:t>dispute</w:t>
      </w:r>
      <w:r>
        <w:rPr>
          <w:spacing w:val="14"/>
          <w:w w:val="105"/>
          <w:sz w:val="21"/>
        </w:rPr>
        <w:t> </w:t>
      </w:r>
      <w:r>
        <w:rPr>
          <w:w w:val="105"/>
          <w:sz w:val="21"/>
        </w:rPr>
        <w:t>Acts.</w:t>
      </w:r>
    </w:p>
    <w:p>
      <w:pPr>
        <w:pStyle w:val="ListParagraph"/>
        <w:numPr>
          <w:ilvl w:val="0"/>
          <w:numId w:val="157"/>
        </w:numPr>
        <w:tabs>
          <w:tab w:pos="2381" w:val="left" w:leader="none"/>
          <w:tab w:pos="2382" w:val="left" w:leader="none"/>
        </w:tabs>
        <w:spacing w:line="242" w:lineRule="auto" w:before="123" w:after="0"/>
        <w:ind w:left="2381" w:right="1928" w:hanging="794"/>
        <w:jc w:val="left"/>
        <w:rPr>
          <w:sz w:val="21"/>
        </w:rPr>
      </w:pPr>
      <w:r>
        <w:rPr>
          <w:w w:val="105"/>
          <w:sz w:val="21"/>
        </w:rPr>
        <w:t>On </w:t>
      </w:r>
      <w:r>
        <w:rPr>
          <w:spacing w:val="-3"/>
          <w:w w:val="105"/>
          <w:sz w:val="21"/>
        </w:rPr>
        <w:t>balance </w:t>
      </w:r>
      <w:r>
        <w:rPr>
          <w:w w:val="105"/>
          <w:sz w:val="21"/>
        </w:rPr>
        <w:t>the </w:t>
      </w:r>
      <w:r>
        <w:rPr>
          <w:spacing w:val="-3"/>
          <w:w w:val="105"/>
          <w:sz w:val="21"/>
        </w:rPr>
        <w:t>Commission </w:t>
      </w:r>
      <w:r>
        <w:rPr>
          <w:w w:val="105"/>
          <w:sz w:val="21"/>
        </w:rPr>
        <w:t>considers </w:t>
      </w:r>
      <w:r>
        <w:rPr>
          <w:spacing w:val="-3"/>
          <w:w w:val="105"/>
          <w:sz w:val="21"/>
        </w:rPr>
        <w:t>that including </w:t>
      </w:r>
      <w:r>
        <w:rPr>
          <w:w w:val="105"/>
          <w:sz w:val="21"/>
        </w:rPr>
        <w:t>a penalty </w:t>
      </w:r>
      <w:r>
        <w:rPr>
          <w:spacing w:val="-3"/>
          <w:w w:val="105"/>
          <w:sz w:val="21"/>
        </w:rPr>
        <w:t>provision </w:t>
      </w:r>
      <w:r>
        <w:rPr>
          <w:w w:val="105"/>
          <w:sz w:val="21"/>
        </w:rPr>
        <w:t>in the new Act </w:t>
      </w:r>
      <w:r>
        <w:rPr>
          <w:spacing w:val="-3"/>
          <w:w w:val="105"/>
          <w:sz w:val="21"/>
        </w:rPr>
        <w:t>will </w:t>
      </w:r>
      <w:r>
        <w:rPr>
          <w:w w:val="105"/>
          <w:sz w:val="21"/>
        </w:rPr>
        <w:t>send a </w:t>
      </w:r>
      <w:r>
        <w:rPr>
          <w:spacing w:val="-3"/>
          <w:w w:val="105"/>
          <w:sz w:val="21"/>
        </w:rPr>
        <w:t>clear </w:t>
      </w:r>
      <w:r>
        <w:rPr>
          <w:w w:val="105"/>
          <w:sz w:val="21"/>
        </w:rPr>
        <w:t>message </w:t>
      </w:r>
      <w:r>
        <w:rPr>
          <w:spacing w:val="-3"/>
          <w:w w:val="105"/>
          <w:sz w:val="21"/>
        </w:rPr>
        <w:t>to </w:t>
      </w:r>
      <w:r>
        <w:rPr>
          <w:w w:val="105"/>
          <w:sz w:val="21"/>
        </w:rPr>
        <w:t>the community about the seriousness of the </w:t>
      </w:r>
      <w:r>
        <w:rPr>
          <w:spacing w:val="-3"/>
          <w:w w:val="105"/>
          <w:sz w:val="21"/>
        </w:rPr>
        <w:t>hearing </w:t>
      </w:r>
      <w:r>
        <w:rPr>
          <w:w w:val="105"/>
          <w:sz w:val="21"/>
        </w:rPr>
        <w:t>process.</w:t>
      </w:r>
      <w:r>
        <w:rPr>
          <w:w w:val="105"/>
          <w:position w:val="7"/>
          <w:sz w:val="12"/>
        </w:rPr>
        <w:t>210</w:t>
      </w:r>
      <w:r>
        <w:rPr>
          <w:spacing w:val="13"/>
          <w:w w:val="105"/>
          <w:position w:val="7"/>
          <w:sz w:val="12"/>
        </w:rPr>
        <w:t> </w:t>
      </w:r>
      <w:r>
        <w:rPr>
          <w:w w:val="105"/>
          <w:sz w:val="21"/>
        </w:rPr>
        <w:t>It</w:t>
      </w:r>
      <w:r>
        <w:rPr>
          <w:spacing w:val="-8"/>
          <w:w w:val="105"/>
          <w:sz w:val="21"/>
        </w:rPr>
        <w:t> </w:t>
      </w:r>
      <w:r>
        <w:rPr>
          <w:spacing w:val="-3"/>
          <w:w w:val="105"/>
          <w:sz w:val="21"/>
        </w:rPr>
        <w:t>will</w:t>
      </w:r>
      <w:r>
        <w:rPr>
          <w:spacing w:val="-9"/>
          <w:w w:val="105"/>
          <w:sz w:val="21"/>
        </w:rPr>
        <w:t> </w:t>
      </w:r>
      <w:r>
        <w:rPr>
          <w:w w:val="105"/>
          <w:sz w:val="21"/>
        </w:rPr>
        <w:t>be</w:t>
      </w:r>
      <w:r>
        <w:rPr>
          <w:spacing w:val="-9"/>
          <w:w w:val="105"/>
          <w:sz w:val="21"/>
        </w:rPr>
        <w:t> </w:t>
      </w:r>
      <w:r>
        <w:rPr>
          <w:w w:val="105"/>
          <w:sz w:val="21"/>
        </w:rPr>
        <w:t>also</w:t>
      </w:r>
      <w:r>
        <w:rPr>
          <w:spacing w:val="-9"/>
          <w:w w:val="105"/>
          <w:sz w:val="21"/>
        </w:rPr>
        <w:t> </w:t>
      </w:r>
      <w:r>
        <w:rPr>
          <w:w w:val="105"/>
          <w:sz w:val="21"/>
        </w:rPr>
        <w:t>be</w:t>
      </w:r>
      <w:r>
        <w:rPr>
          <w:spacing w:val="-9"/>
          <w:w w:val="105"/>
          <w:sz w:val="21"/>
        </w:rPr>
        <w:t> </w:t>
      </w:r>
      <w:r>
        <w:rPr>
          <w:spacing w:val="-2"/>
          <w:w w:val="105"/>
          <w:sz w:val="21"/>
        </w:rPr>
        <w:t>easier</w:t>
      </w:r>
      <w:r>
        <w:rPr>
          <w:spacing w:val="-9"/>
          <w:w w:val="105"/>
          <w:sz w:val="21"/>
        </w:rPr>
        <w:t> </w:t>
      </w:r>
      <w:r>
        <w:rPr>
          <w:spacing w:val="-3"/>
          <w:w w:val="105"/>
          <w:sz w:val="21"/>
        </w:rPr>
        <w:t>for</w:t>
      </w:r>
      <w:r>
        <w:rPr>
          <w:spacing w:val="-8"/>
          <w:w w:val="105"/>
          <w:sz w:val="21"/>
        </w:rPr>
        <w:t> </w:t>
      </w:r>
      <w:r>
        <w:rPr>
          <w:w w:val="105"/>
          <w:sz w:val="21"/>
        </w:rPr>
        <w:t>the</w:t>
      </w:r>
      <w:r>
        <w:rPr>
          <w:spacing w:val="-9"/>
          <w:w w:val="105"/>
          <w:sz w:val="21"/>
        </w:rPr>
        <w:t> </w:t>
      </w:r>
      <w:r>
        <w:rPr>
          <w:w w:val="105"/>
          <w:sz w:val="21"/>
        </w:rPr>
        <w:t>community</w:t>
      </w:r>
      <w:r>
        <w:rPr>
          <w:spacing w:val="-9"/>
          <w:w w:val="105"/>
          <w:sz w:val="21"/>
        </w:rPr>
        <w:t> </w:t>
      </w:r>
      <w:r>
        <w:rPr>
          <w:spacing w:val="-3"/>
          <w:w w:val="105"/>
          <w:sz w:val="21"/>
        </w:rPr>
        <w:t>to</w:t>
      </w:r>
      <w:r>
        <w:rPr>
          <w:spacing w:val="-9"/>
          <w:w w:val="105"/>
          <w:sz w:val="21"/>
        </w:rPr>
        <w:t> </w:t>
      </w:r>
      <w:r>
        <w:rPr>
          <w:w w:val="105"/>
          <w:sz w:val="21"/>
        </w:rPr>
        <w:t>identify</w:t>
      </w:r>
      <w:r>
        <w:rPr>
          <w:spacing w:val="-9"/>
          <w:w w:val="105"/>
          <w:sz w:val="21"/>
        </w:rPr>
        <w:t> </w:t>
      </w:r>
      <w:r>
        <w:rPr>
          <w:w w:val="105"/>
          <w:sz w:val="21"/>
        </w:rPr>
        <w:t>a</w:t>
      </w:r>
      <w:r>
        <w:rPr>
          <w:spacing w:val="-8"/>
          <w:w w:val="105"/>
          <w:sz w:val="21"/>
        </w:rPr>
        <w:t> </w:t>
      </w:r>
      <w:r>
        <w:rPr>
          <w:w w:val="105"/>
          <w:sz w:val="21"/>
        </w:rPr>
        <w:t>monetary</w:t>
      </w:r>
      <w:r>
        <w:rPr>
          <w:spacing w:val="-9"/>
          <w:w w:val="105"/>
          <w:sz w:val="21"/>
        </w:rPr>
        <w:t> </w:t>
      </w:r>
      <w:r>
        <w:rPr>
          <w:w w:val="105"/>
          <w:sz w:val="21"/>
        </w:rPr>
        <w:t>penalty</w:t>
      </w:r>
      <w:r>
        <w:rPr>
          <w:spacing w:val="-9"/>
          <w:w w:val="105"/>
          <w:sz w:val="21"/>
        </w:rPr>
        <w:t> </w:t>
      </w:r>
      <w:r>
        <w:rPr>
          <w:w w:val="105"/>
          <w:sz w:val="21"/>
        </w:rPr>
        <w:t>in new Act </w:t>
      </w:r>
      <w:r>
        <w:rPr>
          <w:spacing w:val="-3"/>
          <w:w w:val="105"/>
          <w:sz w:val="21"/>
        </w:rPr>
        <w:t>than </w:t>
      </w:r>
      <w:r>
        <w:rPr>
          <w:w w:val="105"/>
          <w:sz w:val="21"/>
        </w:rPr>
        <w:t>it would be </w:t>
      </w:r>
      <w:r>
        <w:rPr>
          <w:spacing w:val="-3"/>
          <w:w w:val="105"/>
          <w:sz w:val="21"/>
        </w:rPr>
        <w:t>to determine </w:t>
      </w:r>
      <w:r>
        <w:rPr>
          <w:w w:val="105"/>
          <w:sz w:val="21"/>
        </w:rPr>
        <w:t>penalties </w:t>
      </w:r>
      <w:r>
        <w:rPr>
          <w:spacing w:val="-3"/>
          <w:w w:val="105"/>
          <w:sz w:val="21"/>
        </w:rPr>
        <w:t>for </w:t>
      </w:r>
      <w:r>
        <w:rPr>
          <w:w w:val="105"/>
          <w:sz w:val="21"/>
        </w:rPr>
        <w:t>non-compliance of orders under the </w:t>
      </w:r>
      <w:r>
        <w:rPr>
          <w:spacing w:val="-5"/>
          <w:w w:val="105"/>
          <w:sz w:val="21"/>
        </w:rPr>
        <w:t>VCAT </w:t>
      </w:r>
      <w:r>
        <w:rPr>
          <w:w w:val="105"/>
          <w:sz w:val="21"/>
        </w:rPr>
        <w:t>Act. It should also be </w:t>
      </w:r>
      <w:r>
        <w:rPr>
          <w:spacing w:val="-2"/>
          <w:w w:val="105"/>
          <w:sz w:val="21"/>
        </w:rPr>
        <w:t>easier </w:t>
      </w:r>
      <w:r>
        <w:rPr>
          <w:spacing w:val="-3"/>
          <w:w w:val="105"/>
          <w:sz w:val="21"/>
        </w:rPr>
        <w:t>to </w:t>
      </w:r>
      <w:r>
        <w:rPr>
          <w:w w:val="105"/>
          <w:sz w:val="21"/>
        </w:rPr>
        <w:t>revise and </w:t>
      </w:r>
      <w:r>
        <w:rPr>
          <w:spacing w:val="-3"/>
          <w:w w:val="105"/>
          <w:sz w:val="21"/>
        </w:rPr>
        <w:t>update </w:t>
      </w:r>
      <w:r>
        <w:rPr>
          <w:w w:val="105"/>
          <w:sz w:val="21"/>
        </w:rPr>
        <w:t>a penalty in the new Act</w:t>
      </w:r>
      <w:r>
        <w:rPr>
          <w:spacing w:val="-16"/>
          <w:w w:val="105"/>
          <w:sz w:val="21"/>
        </w:rPr>
        <w:t> </w:t>
      </w:r>
      <w:r>
        <w:rPr>
          <w:w w:val="105"/>
          <w:sz w:val="21"/>
        </w:rPr>
        <w:t>if</w:t>
      </w:r>
    </w:p>
    <w:p>
      <w:pPr>
        <w:pStyle w:val="BodyText"/>
        <w:spacing w:line="242" w:lineRule="auto" w:before="6"/>
        <w:ind w:left="2381" w:right="1558"/>
        <w:rPr>
          <w:sz w:val="12"/>
        </w:rPr>
      </w:pPr>
      <w:r>
        <w:rPr>
          <w:w w:val="105"/>
        </w:rPr>
        <w:t>needed in the </w:t>
      </w:r>
      <w:r>
        <w:rPr>
          <w:spacing w:val="-4"/>
          <w:w w:val="105"/>
        </w:rPr>
        <w:t>future. </w:t>
      </w:r>
      <w:r>
        <w:rPr>
          <w:w w:val="105"/>
        </w:rPr>
        <w:t>For the </w:t>
      </w:r>
      <w:r>
        <w:rPr>
          <w:spacing w:val="-3"/>
          <w:w w:val="105"/>
        </w:rPr>
        <w:t>sake </w:t>
      </w:r>
      <w:r>
        <w:rPr>
          <w:w w:val="105"/>
        </w:rPr>
        <w:t>of simplicity the Act should as </w:t>
      </w:r>
      <w:r>
        <w:rPr>
          <w:spacing w:val="-3"/>
          <w:w w:val="105"/>
        </w:rPr>
        <w:t>far </w:t>
      </w:r>
      <w:r>
        <w:rPr>
          <w:w w:val="105"/>
        </w:rPr>
        <w:t>as possible </w:t>
      </w:r>
      <w:r>
        <w:rPr>
          <w:spacing w:val="-3"/>
          <w:w w:val="105"/>
        </w:rPr>
        <w:t>contain </w:t>
      </w:r>
      <w:r>
        <w:rPr>
          <w:w w:val="105"/>
        </w:rPr>
        <w:t>a </w:t>
      </w:r>
      <w:r>
        <w:rPr>
          <w:spacing w:val="-3"/>
          <w:w w:val="105"/>
        </w:rPr>
        <w:t>full </w:t>
      </w:r>
      <w:r>
        <w:rPr>
          <w:w w:val="105"/>
        </w:rPr>
        <w:t>statement of rights and </w:t>
      </w:r>
      <w:r>
        <w:rPr>
          <w:spacing w:val="-3"/>
          <w:w w:val="105"/>
        </w:rPr>
        <w:t>obligations </w:t>
      </w:r>
      <w:r>
        <w:rPr>
          <w:w w:val="105"/>
        </w:rPr>
        <w:t>of parties. The </w:t>
      </w:r>
      <w:r>
        <w:rPr>
          <w:spacing w:val="-3"/>
          <w:w w:val="105"/>
        </w:rPr>
        <w:t>Commission recommends that </w:t>
      </w:r>
      <w:r>
        <w:rPr>
          <w:w w:val="105"/>
        </w:rPr>
        <w:t>the new Act disapply section </w:t>
      </w:r>
      <w:r>
        <w:rPr>
          <w:spacing w:val="-8"/>
          <w:w w:val="105"/>
        </w:rPr>
        <w:t>133 </w:t>
      </w:r>
      <w:r>
        <w:rPr>
          <w:w w:val="105"/>
        </w:rPr>
        <w:t>of the </w:t>
      </w:r>
      <w:r>
        <w:rPr>
          <w:spacing w:val="-5"/>
          <w:w w:val="105"/>
        </w:rPr>
        <w:t>VCAT </w:t>
      </w:r>
      <w:r>
        <w:rPr>
          <w:w w:val="105"/>
        </w:rPr>
        <w:t>Act and </w:t>
      </w:r>
      <w:r>
        <w:rPr>
          <w:spacing w:val="-3"/>
          <w:w w:val="105"/>
        </w:rPr>
        <w:t>include </w:t>
      </w:r>
      <w:r>
        <w:rPr>
          <w:w w:val="105"/>
        </w:rPr>
        <w:t>a specific penalty </w:t>
      </w:r>
      <w:r>
        <w:rPr>
          <w:spacing w:val="-3"/>
          <w:w w:val="105"/>
        </w:rPr>
        <w:t>provision </w:t>
      </w:r>
      <w:r>
        <w:rPr>
          <w:spacing w:val="-4"/>
          <w:w w:val="105"/>
        </w:rPr>
        <w:t>instead.</w:t>
      </w:r>
      <w:r>
        <w:rPr>
          <w:spacing w:val="-4"/>
          <w:w w:val="105"/>
          <w:position w:val="7"/>
          <w:sz w:val="12"/>
        </w:rPr>
        <w:t>211</w:t>
      </w:r>
    </w:p>
    <w:p>
      <w:pPr>
        <w:pStyle w:val="ListParagraph"/>
        <w:numPr>
          <w:ilvl w:val="0"/>
          <w:numId w:val="157"/>
        </w:numPr>
        <w:tabs>
          <w:tab w:pos="2381" w:val="left" w:leader="none"/>
          <w:tab w:pos="2382" w:val="left" w:leader="none"/>
        </w:tabs>
        <w:spacing w:line="242" w:lineRule="auto" w:before="124" w:after="0"/>
        <w:ind w:left="2381" w:right="1865" w:hanging="794"/>
        <w:jc w:val="left"/>
        <w:rPr>
          <w:sz w:val="21"/>
        </w:rPr>
      </w:pPr>
      <w:r>
        <w:rPr>
          <w:w w:val="105"/>
          <w:sz w:val="21"/>
        </w:rPr>
        <w:t>The</w:t>
      </w:r>
      <w:r>
        <w:rPr>
          <w:spacing w:val="-7"/>
          <w:w w:val="105"/>
          <w:sz w:val="21"/>
        </w:rPr>
        <w:t> </w:t>
      </w:r>
      <w:r>
        <w:rPr>
          <w:spacing w:val="-3"/>
          <w:w w:val="105"/>
          <w:sz w:val="21"/>
        </w:rPr>
        <w:t>Government</w:t>
      </w:r>
      <w:r>
        <w:rPr>
          <w:spacing w:val="-7"/>
          <w:w w:val="105"/>
          <w:sz w:val="21"/>
        </w:rPr>
        <w:t> </w:t>
      </w:r>
      <w:r>
        <w:rPr>
          <w:w w:val="105"/>
          <w:sz w:val="21"/>
        </w:rPr>
        <w:t>should</w:t>
      </w:r>
      <w:r>
        <w:rPr>
          <w:spacing w:val="-6"/>
          <w:w w:val="105"/>
          <w:sz w:val="21"/>
        </w:rPr>
        <w:t> </w:t>
      </w:r>
      <w:r>
        <w:rPr>
          <w:spacing w:val="-3"/>
          <w:w w:val="105"/>
          <w:sz w:val="21"/>
        </w:rPr>
        <w:t>determine</w:t>
      </w:r>
      <w:r>
        <w:rPr>
          <w:spacing w:val="-7"/>
          <w:w w:val="105"/>
          <w:sz w:val="21"/>
        </w:rPr>
        <w:t> </w:t>
      </w:r>
      <w:r>
        <w:rPr>
          <w:w w:val="105"/>
          <w:sz w:val="21"/>
        </w:rPr>
        <w:t>the</w:t>
      </w:r>
      <w:r>
        <w:rPr>
          <w:spacing w:val="-6"/>
          <w:w w:val="105"/>
          <w:sz w:val="21"/>
        </w:rPr>
        <w:t> </w:t>
      </w:r>
      <w:r>
        <w:rPr>
          <w:spacing w:val="-3"/>
          <w:w w:val="105"/>
          <w:sz w:val="21"/>
        </w:rPr>
        <w:t>appropriate</w:t>
      </w:r>
      <w:r>
        <w:rPr>
          <w:spacing w:val="-7"/>
          <w:w w:val="105"/>
          <w:sz w:val="21"/>
        </w:rPr>
        <w:t> </w:t>
      </w:r>
      <w:r>
        <w:rPr>
          <w:spacing w:val="-3"/>
          <w:w w:val="105"/>
          <w:sz w:val="21"/>
        </w:rPr>
        <w:t>amount</w:t>
      </w:r>
      <w:r>
        <w:rPr>
          <w:spacing w:val="-6"/>
          <w:w w:val="105"/>
          <w:sz w:val="21"/>
        </w:rPr>
        <w:t> </w:t>
      </w:r>
      <w:r>
        <w:rPr>
          <w:spacing w:val="-3"/>
          <w:w w:val="105"/>
          <w:sz w:val="21"/>
        </w:rPr>
        <w:t>for</w:t>
      </w:r>
      <w:r>
        <w:rPr>
          <w:spacing w:val="-7"/>
          <w:w w:val="105"/>
          <w:sz w:val="21"/>
        </w:rPr>
        <w:t> </w:t>
      </w:r>
      <w:r>
        <w:rPr>
          <w:w w:val="105"/>
          <w:sz w:val="21"/>
        </w:rPr>
        <w:t>the</w:t>
      </w:r>
      <w:r>
        <w:rPr>
          <w:spacing w:val="-6"/>
          <w:w w:val="105"/>
          <w:sz w:val="21"/>
        </w:rPr>
        <w:t> </w:t>
      </w:r>
      <w:r>
        <w:rPr>
          <w:w w:val="105"/>
          <w:sz w:val="21"/>
        </w:rPr>
        <w:t>penalty</w:t>
      </w:r>
      <w:r>
        <w:rPr>
          <w:spacing w:val="-7"/>
          <w:w w:val="105"/>
          <w:sz w:val="21"/>
        </w:rPr>
        <w:t> </w:t>
      </w:r>
      <w:r>
        <w:rPr>
          <w:spacing w:val="-3"/>
          <w:w w:val="105"/>
          <w:sz w:val="21"/>
        </w:rPr>
        <w:t>provision</w:t>
      </w:r>
      <w:r>
        <w:rPr>
          <w:spacing w:val="-6"/>
          <w:w w:val="105"/>
          <w:sz w:val="21"/>
        </w:rPr>
        <w:t> </w:t>
      </w:r>
      <w:r>
        <w:rPr>
          <w:w w:val="105"/>
          <w:sz w:val="21"/>
        </w:rPr>
        <w:t>in </w:t>
      </w:r>
      <w:r>
        <w:rPr>
          <w:spacing w:val="-3"/>
          <w:w w:val="105"/>
          <w:sz w:val="21"/>
        </w:rPr>
        <w:t>consultation </w:t>
      </w:r>
      <w:r>
        <w:rPr>
          <w:w w:val="105"/>
          <w:sz w:val="21"/>
        </w:rPr>
        <w:t>with</w:t>
      </w:r>
      <w:r>
        <w:rPr>
          <w:spacing w:val="14"/>
          <w:w w:val="105"/>
          <w:sz w:val="21"/>
        </w:rPr>
        <w:t> </w:t>
      </w:r>
      <w:r>
        <w:rPr>
          <w:spacing w:val="-8"/>
          <w:w w:val="105"/>
          <w:sz w:val="21"/>
        </w:rPr>
        <w:t>VCAT.</w:t>
      </w:r>
    </w:p>
    <w:p>
      <w:pPr>
        <w:pStyle w:val="BodyText"/>
        <w:spacing w:before="3"/>
        <w:rPr>
          <w:sz w:val="20"/>
        </w:rPr>
      </w:pPr>
    </w:p>
    <w:p>
      <w:pPr>
        <w:pStyle w:val="Heading5"/>
      </w:pPr>
      <w:r>
        <w:rPr>
          <w:w w:val="115"/>
        </w:rPr>
        <w:t>Councils should not enforce VCAT orders</w:t>
      </w:r>
    </w:p>
    <w:p>
      <w:pPr>
        <w:pStyle w:val="ListParagraph"/>
        <w:numPr>
          <w:ilvl w:val="0"/>
          <w:numId w:val="157"/>
        </w:numPr>
        <w:tabs>
          <w:tab w:pos="2380" w:val="left" w:leader="none"/>
          <w:tab w:pos="2381" w:val="left" w:leader="none"/>
        </w:tabs>
        <w:spacing w:line="242" w:lineRule="auto" w:before="137" w:after="0"/>
        <w:ind w:left="2381" w:right="1600" w:hanging="794"/>
        <w:jc w:val="left"/>
        <w:rPr>
          <w:sz w:val="21"/>
        </w:rPr>
      </w:pPr>
      <w:r>
        <w:rPr>
          <w:w w:val="105"/>
          <w:sz w:val="21"/>
        </w:rPr>
        <w:t>There was strong community support </w:t>
      </w:r>
      <w:r>
        <w:rPr>
          <w:spacing w:val="-3"/>
          <w:w w:val="105"/>
          <w:sz w:val="21"/>
        </w:rPr>
        <w:t>for </w:t>
      </w:r>
      <w:r>
        <w:rPr>
          <w:w w:val="105"/>
          <w:sz w:val="21"/>
        </w:rPr>
        <w:t>the </w:t>
      </w:r>
      <w:r>
        <w:rPr>
          <w:spacing w:val="-3"/>
          <w:w w:val="105"/>
          <w:sz w:val="21"/>
        </w:rPr>
        <w:t>enforcement </w:t>
      </w:r>
      <w:r>
        <w:rPr>
          <w:w w:val="105"/>
          <w:sz w:val="21"/>
        </w:rPr>
        <w:t>of tree </w:t>
      </w:r>
      <w:r>
        <w:rPr>
          <w:spacing w:val="-3"/>
          <w:w w:val="105"/>
          <w:sz w:val="21"/>
        </w:rPr>
        <w:t>dispute </w:t>
      </w:r>
      <w:r>
        <w:rPr>
          <w:w w:val="105"/>
          <w:sz w:val="21"/>
        </w:rPr>
        <w:t>orders under the new Act </w:t>
      </w:r>
      <w:r>
        <w:rPr>
          <w:spacing w:val="-3"/>
          <w:w w:val="105"/>
          <w:sz w:val="21"/>
        </w:rPr>
        <w:t>to </w:t>
      </w:r>
      <w:r>
        <w:rPr>
          <w:w w:val="105"/>
          <w:sz w:val="21"/>
        </w:rPr>
        <w:t>be undertaken by local </w:t>
      </w:r>
      <w:r>
        <w:rPr>
          <w:spacing w:val="-3"/>
          <w:w w:val="105"/>
          <w:sz w:val="21"/>
        </w:rPr>
        <w:t>councils.</w:t>
      </w:r>
      <w:r>
        <w:rPr>
          <w:spacing w:val="-3"/>
          <w:w w:val="105"/>
          <w:position w:val="7"/>
          <w:sz w:val="12"/>
        </w:rPr>
        <w:t>212 </w:t>
      </w:r>
      <w:r>
        <w:rPr>
          <w:spacing w:val="-4"/>
          <w:w w:val="105"/>
          <w:sz w:val="21"/>
        </w:rPr>
        <w:t>However, </w:t>
      </w:r>
      <w:r>
        <w:rPr>
          <w:w w:val="105"/>
          <w:sz w:val="21"/>
        </w:rPr>
        <w:t>the </w:t>
      </w:r>
      <w:r>
        <w:rPr>
          <w:spacing w:val="-3"/>
          <w:w w:val="105"/>
          <w:sz w:val="21"/>
        </w:rPr>
        <w:t>Commission </w:t>
      </w:r>
      <w:r>
        <w:rPr>
          <w:w w:val="105"/>
          <w:sz w:val="21"/>
        </w:rPr>
        <w:t>is persuaded by </w:t>
      </w:r>
      <w:r>
        <w:rPr>
          <w:spacing w:val="-3"/>
          <w:w w:val="105"/>
          <w:sz w:val="21"/>
        </w:rPr>
        <w:t>councils </w:t>
      </w:r>
      <w:r>
        <w:rPr>
          <w:w w:val="105"/>
          <w:sz w:val="21"/>
        </w:rPr>
        <w:t>and others who advised </w:t>
      </w:r>
      <w:r>
        <w:rPr>
          <w:spacing w:val="-3"/>
          <w:w w:val="105"/>
          <w:sz w:val="21"/>
        </w:rPr>
        <w:t>that such </w:t>
      </w:r>
      <w:r>
        <w:rPr>
          <w:w w:val="105"/>
          <w:sz w:val="21"/>
        </w:rPr>
        <w:t>a role would be at odds with the</w:t>
      </w:r>
      <w:r>
        <w:rPr>
          <w:spacing w:val="8"/>
          <w:w w:val="105"/>
          <w:sz w:val="21"/>
        </w:rPr>
        <w:t> </w:t>
      </w:r>
      <w:r>
        <w:rPr>
          <w:spacing w:val="-3"/>
          <w:w w:val="105"/>
          <w:sz w:val="21"/>
        </w:rPr>
        <w:t>role</w:t>
      </w:r>
    </w:p>
    <w:p>
      <w:pPr>
        <w:pStyle w:val="BodyText"/>
        <w:spacing w:line="242" w:lineRule="auto" w:before="3"/>
        <w:ind w:left="2381" w:right="1636"/>
      </w:pPr>
      <w:r>
        <w:rPr/>
        <w:t>of local councils to provide for the collective public benefit of residents. Councils are understandably reluctant to adjudicate private disputes between residents.</w:t>
      </w:r>
    </w:p>
    <w:p>
      <w:pPr>
        <w:pStyle w:val="ListParagraph"/>
        <w:numPr>
          <w:ilvl w:val="0"/>
          <w:numId w:val="157"/>
        </w:numPr>
        <w:tabs>
          <w:tab w:pos="2380" w:val="left" w:leader="none"/>
          <w:tab w:pos="2382" w:val="left" w:leader="none"/>
        </w:tabs>
        <w:spacing w:line="242" w:lineRule="auto" w:before="123" w:after="0"/>
        <w:ind w:left="2381" w:right="1695" w:hanging="794"/>
        <w:jc w:val="left"/>
        <w:rPr>
          <w:sz w:val="12"/>
        </w:rPr>
      </w:pPr>
      <w:r>
        <w:rPr>
          <w:w w:val="105"/>
          <w:sz w:val="21"/>
        </w:rPr>
        <w:t>The</w:t>
      </w:r>
      <w:r>
        <w:rPr>
          <w:spacing w:val="-7"/>
          <w:w w:val="105"/>
          <w:sz w:val="21"/>
        </w:rPr>
        <w:t> </w:t>
      </w:r>
      <w:r>
        <w:rPr>
          <w:spacing w:val="-3"/>
          <w:w w:val="105"/>
          <w:sz w:val="21"/>
        </w:rPr>
        <w:t>Commission</w:t>
      </w:r>
      <w:r>
        <w:rPr>
          <w:spacing w:val="-7"/>
          <w:w w:val="105"/>
          <w:sz w:val="21"/>
        </w:rPr>
        <w:t> </w:t>
      </w:r>
      <w:r>
        <w:rPr>
          <w:w w:val="105"/>
          <w:sz w:val="21"/>
        </w:rPr>
        <w:t>is</w:t>
      </w:r>
      <w:r>
        <w:rPr>
          <w:spacing w:val="-6"/>
          <w:w w:val="105"/>
          <w:sz w:val="21"/>
        </w:rPr>
        <w:t> </w:t>
      </w:r>
      <w:r>
        <w:rPr>
          <w:w w:val="105"/>
          <w:sz w:val="21"/>
        </w:rPr>
        <w:t>also</w:t>
      </w:r>
      <w:r>
        <w:rPr>
          <w:spacing w:val="-7"/>
          <w:w w:val="105"/>
          <w:sz w:val="21"/>
        </w:rPr>
        <w:t> </w:t>
      </w:r>
      <w:r>
        <w:rPr>
          <w:w w:val="105"/>
          <w:sz w:val="21"/>
        </w:rPr>
        <w:t>persuaded</w:t>
      </w:r>
      <w:r>
        <w:rPr>
          <w:spacing w:val="-7"/>
          <w:w w:val="105"/>
          <w:sz w:val="21"/>
        </w:rPr>
        <w:t> </w:t>
      </w:r>
      <w:r>
        <w:rPr>
          <w:w w:val="105"/>
          <w:sz w:val="21"/>
        </w:rPr>
        <w:t>by</w:t>
      </w:r>
      <w:r>
        <w:rPr>
          <w:spacing w:val="-6"/>
          <w:w w:val="105"/>
          <w:sz w:val="21"/>
        </w:rPr>
        <w:t> </w:t>
      </w:r>
      <w:r>
        <w:rPr>
          <w:spacing w:val="-3"/>
          <w:w w:val="105"/>
          <w:sz w:val="21"/>
        </w:rPr>
        <w:t>concerns</w:t>
      </w:r>
      <w:r>
        <w:rPr>
          <w:spacing w:val="-7"/>
          <w:w w:val="105"/>
          <w:sz w:val="21"/>
        </w:rPr>
        <w:t> </w:t>
      </w:r>
      <w:r>
        <w:rPr>
          <w:w w:val="105"/>
          <w:sz w:val="21"/>
        </w:rPr>
        <w:t>expressed</w:t>
      </w:r>
      <w:r>
        <w:rPr>
          <w:spacing w:val="-7"/>
          <w:w w:val="105"/>
          <w:sz w:val="21"/>
        </w:rPr>
        <w:t> </w:t>
      </w:r>
      <w:r>
        <w:rPr>
          <w:w w:val="105"/>
          <w:sz w:val="21"/>
        </w:rPr>
        <w:t>by</w:t>
      </w:r>
      <w:r>
        <w:rPr>
          <w:spacing w:val="-6"/>
          <w:w w:val="105"/>
          <w:sz w:val="21"/>
        </w:rPr>
        <w:t> </w:t>
      </w:r>
      <w:r>
        <w:rPr>
          <w:w w:val="105"/>
          <w:sz w:val="21"/>
        </w:rPr>
        <w:t>Baw</w:t>
      </w:r>
      <w:r>
        <w:rPr>
          <w:spacing w:val="-7"/>
          <w:w w:val="105"/>
          <w:sz w:val="21"/>
        </w:rPr>
        <w:t> </w:t>
      </w:r>
      <w:r>
        <w:rPr>
          <w:w w:val="105"/>
          <w:sz w:val="21"/>
        </w:rPr>
        <w:t>Baw</w:t>
      </w:r>
      <w:r>
        <w:rPr>
          <w:spacing w:val="-6"/>
          <w:w w:val="105"/>
          <w:sz w:val="21"/>
        </w:rPr>
        <w:t> </w:t>
      </w:r>
      <w:r>
        <w:rPr>
          <w:spacing w:val="-3"/>
          <w:w w:val="105"/>
          <w:sz w:val="21"/>
        </w:rPr>
        <w:t>Shire</w:t>
      </w:r>
      <w:r>
        <w:rPr>
          <w:spacing w:val="-7"/>
          <w:w w:val="105"/>
          <w:sz w:val="21"/>
        </w:rPr>
        <w:t> </w:t>
      </w:r>
      <w:r>
        <w:rPr>
          <w:spacing w:val="-3"/>
          <w:w w:val="105"/>
          <w:sz w:val="21"/>
        </w:rPr>
        <w:t>that</w:t>
      </w:r>
      <w:r>
        <w:rPr>
          <w:spacing w:val="-7"/>
          <w:w w:val="105"/>
          <w:sz w:val="21"/>
        </w:rPr>
        <w:t> </w:t>
      </w:r>
      <w:r>
        <w:rPr>
          <w:w w:val="105"/>
          <w:sz w:val="21"/>
        </w:rPr>
        <w:t>this</w:t>
      </w:r>
      <w:r>
        <w:rPr>
          <w:spacing w:val="-6"/>
          <w:w w:val="105"/>
          <w:sz w:val="21"/>
        </w:rPr>
        <w:t> </w:t>
      </w:r>
      <w:r>
        <w:rPr>
          <w:spacing w:val="-3"/>
          <w:w w:val="105"/>
          <w:sz w:val="21"/>
        </w:rPr>
        <w:t>role </w:t>
      </w:r>
      <w:r>
        <w:rPr>
          <w:w w:val="105"/>
          <w:sz w:val="21"/>
        </w:rPr>
        <w:t>would </w:t>
      </w:r>
      <w:r>
        <w:rPr>
          <w:spacing w:val="-3"/>
          <w:w w:val="105"/>
          <w:sz w:val="21"/>
        </w:rPr>
        <w:t>require significant resources </w:t>
      </w:r>
      <w:r>
        <w:rPr>
          <w:w w:val="105"/>
          <w:sz w:val="21"/>
        </w:rPr>
        <w:t>and </w:t>
      </w:r>
      <w:r>
        <w:rPr>
          <w:spacing w:val="-3"/>
          <w:w w:val="105"/>
          <w:sz w:val="21"/>
        </w:rPr>
        <w:t>may </w:t>
      </w:r>
      <w:r>
        <w:rPr>
          <w:w w:val="105"/>
          <w:sz w:val="21"/>
        </w:rPr>
        <w:t>affect the safety of </w:t>
      </w:r>
      <w:r>
        <w:rPr>
          <w:spacing w:val="-3"/>
          <w:w w:val="105"/>
          <w:sz w:val="21"/>
        </w:rPr>
        <w:t>council </w:t>
      </w:r>
      <w:r>
        <w:rPr>
          <w:w w:val="105"/>
          <w:sz w:val="21"/>
        </w:rPr>
        <w:t>staff </w:t>
      </w:r>
      <w:r>
        <w:rPr>
          <w:spacing w:val="-3"/>
          <w:w w:val="105"/>
          <w:sz w:val="21"/>
        </w:rPr>
        <w:t>tasked to enforce </w:t>
      </w:r>
      <w:r>
        <w:rPr>
          <w:w w:val="105"/>
          <w:sz w:val="21"/>
        </w:rPr>
        <w:t>orders in often emotive and </w:t>
      </w:r>
      <w:r>
        <w:rPr>
          <w:spacing w:val="-3"/>
          <w:w w:val="105"/>
          <w:sz w:val="21"/>
        </w:rPr>
        <w:t>potentially </w:t>
      </w:r>
      <w:r>
        <w:rPr>
          <w:w w:val="105"/>
          <w:sz w:val="21"/>
        </w:rPr>
        <w:t>hostile</w:t>
      </w:r>
      <w:r>
        <w:rPr>
          <w:spacing w:val="14"/>
          <w:w w:val="105"/>
          <w:sz w:val="21"/>
        </w:rPr>
        <w:t> </w:t>
      </w:r>
      <w:r>
        <w:rPr>
          <w:spacing w:val="-3"/>
          <w:w w:val="105"/>
          <w:sz w:val="21"/>
        </w:rPr>
        <w:t>circumstances.</w:t>
      </w:r>
      <w:r>
        <w:rPr>
          <w:spacing w:val="-3"/>
          <w:w w:val="105"/>
          <w:position w:val="7"/>
          <w:sz w:val="12"/>
        </w:rPr>
        <w:t>213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9104;mso-wrap-distance-left:0;mso-wrap-distance-right:0" from="79.370102pt,10.271364pt" to="515.905102pt,10.27136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spacing w:before="4"/>
        <w:rPr>
          <w:sz w:val="29"/>
        </w:rPr>
      </w:pPr>
    </w:p>
    <w:p>
      <w:pPr>
        <w:spacing w:before="0"/>
        <w:ind w:left="720" w:right="0" w:firstLine="0"/>
        <w:jc w:val="left"/>
        <w:rPr>
          <w:b/>
          <w:sz w:val="24"/>
        </w:rPr>
      </w:pPr>
      <w:r>
        <w:rPr>
          <w:b/>
          <w:color w:val="658464"/>
          <w:spacing w:val="-9"/>
          <w:w w:val="110"/>
          <w:sz w:val="24"/>
        </w:rPr>
        <w:t>214</w:t>
      </w:r>
    </w:p>
    <w:p>
      <w:pPr>
        <w:pStyle w:val="ListParagraph"/>
        <w:numPr>
          <w:ilvl w:val="0"/>
          <w:numId w:val="158"/>
        </w:numPr>
        <w:tabs>
          <w:tab w:pos="1245" w:val="left" w:leader="none"/>
          <w:tab w:pos="1246" w:val="left" w:leader="none"/>
        </w:tabs>
        <w:spacing w:line="240" w:lineRule="auto" w:before="48" w:after="0"/>
        <w:ind w:left="1245" w:right="0" w:hanging="793"/>
        <w:jc w:val="left"/>
        <w:rPr>
          <w:sz w:val="13"/>
        </w:rPr>
      </w:pPr>
      <w:r>
        <w:rPr>
          <w:spacing w:val="3"/>
          <w:w w:val="96"/>
          <w:sz w:val="13"/>
        </w:rPr>
        <w:br w:type="column"/>
      </w:r>
      <w:r>
        <w:rPr>
          <w:w w:val="105"/>
          <w:sz w:val="13"/>
        </w:rPr>
        <w:t>For</w:t>
      </w:r>
      <w:r>
        <w:rPr>
          <w:spacing w:val="5"/>
          <w:w w:val="105"/>
          <w:sz w:val="13"/>
        </w:rPr>
        <w:t> </w:t>
      </w:r>
      <w:r>
        <w:rPr>
          <w:w w:val="105"/>
          <w:sz w:val="13"/>
        </w:rPr>
        <w:t>example,</w:t>
      </w:r>
      <w:r>
        <w:rPr>
          <w:spacing w:val="5"/>
          <w:w w:val="105"/>
          <w:sz w:val="13"/>
        </w:rPr>
        <w:t> </w:t>
      </w:r>
      <w:r>
        <w:rPr>
          <w:w w:val="105"/>
          <w:sz w:val="13"/>
        </w:rPr>
        <w:t>the</w:t>
      </w:r>
      <w:r>
        <w:rPr>
          <w:spacing w:val="6"/>
          <w:w w:val="105"/>
          <w:sz w:val="13"/>
        </w:rPr>
        <w:t> </w:t>
      </w:r>
      <w:r>
        <w:rPr>
          <w:w w:val="105"/>
          <w:sz w:val="13"/>
        </w:rPr>
        <w:t>VCAT</w:t>
      </w:r>
      <w:r>
        <w:rPr>
          <w:spacing w:val="5"/>
          <w:w w:val="105"/>
          <w:sz w:val="13"/>
        </w:rPr>
        <w:t> </w:t>
      </w:r>
      <w:r>
        <w:rPr>
          <w:w w:val="105"/>
          <w:sz w:val="13"/>
        </w:rPr>
        <w:t>Act</w:t>
      </w:r>
      <w:r>
        <w:rPr>
          <w:spacing w:val="5"/>
          <w:w w:val="105"/>
          <w:sz w:val="13"/>
        </w:rPr>
        <w:t> </w:t>
      </w:r>
      <w:r>
        <w:rPr>
          <w:w w:val="105"/>
          <w:sz w:val="13"/>
        </w:rPr>
        <w:t>states</w:t>
      </w:r>
      <w:r>
        <w:rPr>
          <w:spacing w:val="6"/>
          <w:w w:val="105"/>
          <w:sz w:val="13"/>
        </w:rPr>
        <w:t> </w:t>
      </w:r>
      <w:r>
        <w:rPr>
          <w:w w:val="105"/>
          <w:sz w:val="13"/>
        </w:rPr>
        <w:t>that</w:t>
      </w:r>
      <w:r>
        <w:rPr>
          <w:spacing w:val="5"/>
          <w:w w:val="105"/>
          <w:sz w:val="13"/>
        </w:rPr>
        <w:t> </w:t>
      </w:r>
      <w:r>
        <w:rPr>
          <w:w w:val="105"/>
          <w:sz w:val="13"/>
        </w:rPr>
        <w:t>for</w:t>
      </w:r>
      <w:r>
        <w:rPr>
          <w:spacing w:val="5"/>
          <w:w w:val="105"/>
          <w:sz w:val="13"/>
        </w:rPr>
        <w:t> </w:t>
      </w:r>
      <w:r>
        <w:rPr>
          <w:w w:val="105"/>
          <w:sz w:val="13"/>
        </w:rPr>
        <w:t>non-compliance</w:t>
      </w:r>
      <w:r>
        <w:rPr>
          <w:spacing w:val="6"/>
          <w:w w:val="105"/>
          <w:sz w:val="13"/>
        </w:rPr>
        <w:t> </w:t>
      </w:r>
      <w:r>
        <w:rPr>
          <w:w w:val="105"/>
          <w:sz w:val="13"/>
        </w:rPr>
        <w:t>with</w:t>
      </w:r>
      <w:r>
        <w:rPr>
          <w:spacing w:val="5"/>
          <w:w w:val="105"/>
          <w:sz w:val="13"/>
        </w:rPr>
        <w:t> </w:t>
      </w:r>
      <w:r>
        <w:rPr>
          <w:w w:val="105"/>
          <w:sz w:val="13"/>
        </w:rPr>
        <w:t>a</w:t>
      </w:r>
      <w:r>
        <w:rPr>
          <w:spacing w:val="5"/>
          <w:w w:val="105"/>
          <w:sz w:val="13"/>
        </w:rPr>
        <w:t> </w:t>
      </w:r>
      <w:r>
        <w:rPr>
          <w:spacing w:val="2"/>
          <w:w w:val="105"/>
          <w:sz w:val="13"/>
        </w:rPr>
        <w:t>non-monetary</w:t>
      </w:r>
      <w:r>
        <w:rPr>
          <w:spacing w:val="6"/>
          <w:w w:val="105"/>
          <w:sz w:val="13"/>
        </w:rPr>
        <w:t> </w:t>
      </w:r>
      <w:r>
        <w:rPr>
          <w:w w:val="105"/>
          <w:sz w:val="13"/>
        </w:rPr>
        <w:t>order,</w:t>
      </w:r>
      <w:r>
        <w:rPr>
          <w:spacing w:val="5"/>
          <w:w w:val="105"/>
          <w:sz w:val="13"/>
        </w:rPr>
        <w:t> </w:t>
      </w:r>
      <w:r>
        <w:rPr>
          <w:w w:val="105"/>
          <w:sz w:val="13"/>
        </w:rPr>
        <w:t>a</w:t>
      </w:r>
      <w:r>
        <w:rPr>
          <w:spacing w:val="5"/>
          <w:w w:val="105"/>
          <w:sz w:val="13"/>
        </w:rPr>
        <w:t> </w:t>
      </w:r>
      <w:r>
        <w:rPr>
          <w:w w:val="105"/>
          <w:sz w:val="13"/>
        </w:rPr>
        <w:t>person</w:t>
      </w:r>
      <w:r>
        <w:rPr>
          <w:spacing w:val="6"/>
          <w:w w:val="105"/>
          <w:sz w:val="13"/>
        </w:rPr>
        <w:t> </w:t>
      </w:r>
      <w:r>
        <w:rPr>
          <w:w w:val="105"/>
          <w:sz w:val="13"/>
        </w:rPr>
        <w:t>may</w:t>
      </w:r>
      <w:r>
        <w:rPr>
          <w:spacing w:val="5"/>
          <w:w w:val="105"/>
          <w:sz w:val="13"/>
        </w:rPr>
        <w:t> </w:t>
      </w:r>
      <w:r>
        <w:rPr>
          <w:w w:val="105"/>
          <w:sz w:val="13"/>
        </w:rPr>
        <w:t>be</w:t>
      </w:r>
      <w:r>
        <w:rPr>
          <w:spacing w:val="5"/>
          <w:w w:val="105"/>
          <w:sz w:val="13"/>
        </w:rPr>
        <w:t> </w:t>
      </w:r>
      <w:r>
        <w:rPr>
          <w:w w:val="105"/>
          <w:sz w:val="13"/>
        </w:rPr>
        <w:t>fined</w:t>
      </w:r>
      <w:r>
        <w:rPr>
          <w:spacing w:val="6"/>
          <w:w w:val="105"/>
          <w:sz w:val="13"/>
        </w:rPr>
        <w:t> </w:t>
      </w:r>
      <w:r>
        <w:rPr>
          <w:w w:val="105"/>
          <w:sz w:val="13"/>
        </w:rPr>
        <w:t>$3223.80</w:t>
      </w:r>
      <w:r>
        <w:rPr>
          <w:spacing w:val="5"/>
          <w:w w:val="105"/>
          <w:sz w:val="13"/>
        </w:rPr>
        <w:t> </w:t>
      </w:r>
      <w:r>
        <w:rPr>
          <w:w w:val="105"/>
          <w:sz w:val="13"/>
        </w:rPr>
        <w:t>plus</w:t>
      </w:r>
      <w:r>
        <w:rPr>
          <w:spacing w:val="5"/>
          <w:w w:val="105"/>
          <w:sz w:val="13"/>
        </w:rPr>
        <w:t> </w:t>
      </w:r>
      <w:r>
        <w:rPr>
          <w:w w:val="105"/>
          <w:sz w:val="13"/>
        </w:rPr>
        <w:t>an</w:t>
      </w:r>
      <w:r>
        <w:rPr>
          <w:spacing w:val="6"/>
          <w:w w:val="105"/>
          <w:sz w:val="13"/>
        </w:rPr>
        <w:t> </w:t>
      </w:r>
      <w:r>
        <w:rPr>
          <w:w w:val="105"/>
          <w:sz w:val="13"/>
        </w:rPr>
        <w:t>additional</w:t>
      </w:r>
    </w:p>
    <w:p>
      <w:pPr>
        <w:spacing w:before="1"/>
        <w:ind w:left="1245" w:right="0" w:firstLine="0"/>
        <w:jc w:val="left"/>
        <w:rPr>
          <w:sz w:val="13"/>
        </w:rPr>
      </w:pPr>
      <w:r>
        <w:rPr>
          <w:w w:val="105"/>
          <w:sz w:val="13"/>
        </w:rPr>
        <w:t>$805.95 for each day of non-compliance up to a maximum of $8059.50: </w:t>
      </w:r>
      <w:r>
        <w:rPr>
          <w:i/>
          <w:w w:val="105"/>
          <w:sz w:val="13"/>
        </w:rPr>
        <w:t>Victorian Civil and Administrative Tribunal Act 1998 </w:t>
      </w:r>
      <w:r>
        <w:rPr>
          <w:w w:val="105"/>
          <w:sz w:val="13"/>
        </w:rPr>
        <w:t>(Vic)</w:t>
      </w:r>
    </w:p>
    <w:p>
      <w:pPr>
        <w:spacing w:before="2"/>
        <w:ind w:left="1245" w:right="1633" w:firstLine="0"/>
        <w:jc w:val="left"/>
        <w:rPr>
          <w:sz w:val="13"/>
        </w:rPr>
      </w:pPr>
      <w:r>
        <w:rPr>
          <w:w w:val="105"/>
          <w:sz w:val="13"/>
        </w:rPr>
        <w:t>s 133(1). The current value of a penalty unit is $161.19 (as at 1 July 2018 to 30 June 2019): Victorian Government Gazette, ‘Notice Under Section 6, Fixing the Value of a Fee Unit and a Penalty Unit’ (GG No S135, Thursday 29 March 2018) &lt;https://</w:t>
      </w:r>
      <w:hyperlink r:id="rId249">
        <w:r>
          <w:rPr>
            <w:w w:val="105"/>
            <w:sz w:val="13"/>
          </w:rPr>
          <w:t>www.dtf.vic.gov.au/financial-</w:t>
        </w:r>
      </w:hyperlink>
      <w:r>
        <w:rPr>
          <w:w w:val="105"/>
          <w:sz w:val="13"/>
        </w:rPr>
        <w:t> management-government/indexation-fees-and-penalties&gt;.</w:t>
      </w:r>
    </w:p>
    <w:p>
      <w:pPr>
        <w:pStyle w:val="ListParagraph"/>
        <w:numPr>
          <w:ilvl w:val="0"/>
          <w:numId w:val="158"/>
        </w:numPr>
        <w:tabs>
          <w:tab w:pos="1245" w:val="left" w:leader="none"/>
          <w:tab w:pos="1246" w:val="left" w:leader="none"/>
        </w:tabs>
        <w:spacing w:line="240" w:lineRule="auto" w:before="4" w:after="0"/>
        <w:ind w:left="1245" w:right="1667" w:hanging="793"/>
        <w:jc w:val="left"/>
        <w:rPr>
          <w:sz w:val="13"/>
        </w:rPr>
      </w:pPr>
      <w:r>
        <w:rPr>
          <w:w w:val="105"/>
          <w:sz w:val="13"/>
        </w:rPr>
        <w:t>VCAT noted that several enabling </w:t>
      </w:r>
      <w:r>
        <w:rPr>
          <w:spacing w:val="2"/>
          <w:w w:val="105"/>
          <w:sz w:val="13"/>
        </w:rPr>
        <w:t>Acts </w:t>
      </w:r>
      <w:r>
        <w:rPr>
          <w:w w:val="105"/>
          <w:sz w:val="13"/>
        </w:rPr>
        <w:t>contain penalty provisions for failure to comply with orders, for example, the </w:t>
      </w:r>
      <w:r>
        <w:rPr>
          <w:i/>
          <w:w w:val="105"/>
          <w:sz w:val="13"/>
        </w:rPr>
        <w:t>Motor Car Traders Act </w:t>
      </w:r>
      <w:r>
        <w:rPr>
          <w:i/>
          <w:w w:val="105"/>
          <w:sz w:val="13"/>
        </w:rPr>
        <w:t>1986</w:t>
      </w:r>
      <w:r>
        <w:rPr>
          <w:i/>
          <w:spacing w:val="5"/>
          <w:w w:val="105"/>
          <w:sz w:val="13"/>
        </w:rPr>
        <w:t> </w:t>
      </w:r>
      <w:r>
        <w:rPr>
          <w:w w:val="105"/>
          <w:sz w:val="13"/>
        </w:rPr>
        <w:t>and</w:t>
      </w:r>
      <w:r>
        <w:rPr>
          <w:spacing w:val="6"/>
          <w:w w:val="105"/>
          <w:sz w:val="13"/>
        </w:rPr>
        <w:t> </w:t>
      </w:r>
      <w:r>
        <w:rPr>
          <w:w w:val="105"/>
          <w:sz w:val="13"/>
        </w:rPr>
        <w:t>the</w:t>
      </w:r>
      <w:r>
        <w:rPr>
          <w:spacing w:val="6"/>
          <w:w w:val="105"/>
          <w:sz w:val="13"/>
        </w:rPr>
        <w:t> </w:t>
      </w:r>
      <w:r>
        <w:rPr>
          <w:i/>
          <w:spacing w:val="2"/>
          <w:w w:val="105"/>
          <w:sz w:val="13"/>
        </w:rPr>
        <w:t>Owners</w:t>
      </w:r>
      <w:r>
        <w:rPr>
          <w:i/>
          <w:spacing w:val="6"/>
          <w:w w:val="105"/>
          <w:sz w:val="13"/>
        </w:rPr>
        <w:t> </w:t>
      </w:r>
      <w:r>
        <w:rPr>
          <w:i/>
          <w:w w:val="105"/>
          <w:sz w:val="13"/>
        </w:rPr>
        <w:t>Corporations</w:t>
      </w:r>
      <w:r>
        <w:rPr>
          <w:i/>
          <w:spacing w:val="6"/>
          <w:w w:val="105"/>
          <w:sz w:val="13"/>
        </w:rPr>
        <w:t> </w:t>
      </w:r>
      <w:r>
        <w:rPr>
          <w:i/>
          <w:w w:val="105"/>
          <w:sz w:val="13"/>
        </w:rPr>
        <w:t>Act</w:t>
      </w:r>
      <w:r>
        <w:rPr>
          <w:i/>
          <w:spacing w:val="6"/>
          <w:w w:val="105"/>
          <w:sz w:val="13"/>
        </w:rPr>
        <w:t> </w:t>
      </w:r>
      <w:r>
        <w:rPr>
          <w:i/>
          <w:spacing w:val="2"/>
          <w:w w:val="105"/>
          <w:sz w:val="13"/>
        </w:rPr>
        <w:t>2006:</w:t>
      </w:r>
      <w:r>
        <w:rPr>
          <w:i/>
          <w:spacing w:val="6"/>
          <w:w w:val="105"/>
          <w:sz w:val="13"/>
        </w:rPr>
        <w:t> </w:t>
      </w:r>
      <w:r>
        <w:rPr>
          <w:w w:val="105"/>
          <w:sz w:val="13"/>
        </w:rPr>
        <w:t>Supplementary</w:t>
      </w:r>
      <w:r>
        <w:rPr>
          <w:spacing w:val="6"/>
          <w:w w:val="105"/>
          <w:sz w:val="13"/>
        </w:rPr>
        <w:t> </w:t>
      </w:r>
      <w:r>
        <w:rPr>
          <w:w w:val="105"/>
          <w:sz w:val="13"/>
        </w:rPr>
        <w:t>Consultation</w:t>
      </w:r>
      <w:r>
        <w:rPr>
          <w:spacing w:val="6"/>
          <w:w w:val="105"/>
          <w:sz w:val="13"/>
        </w:rPr>
        <w:t> </w:t>
      </w:r>
      <w:r>
        <w:rPr>
          <w:w w:val="105"/>
          <w:sz w:val="13"/>
        </w:rPr>
        <w:t>1</w:t>
      </w:r>
      <w:r>
        <w:rPr>
          <w:spacing w:val="6"/>
          <w:w w:val="105"/>
          <w:sz w:val="13"/>
        </w:rPr>
        <w:t> </w:t>
      </w:r>
      <w:r>
        <w:rPr>
          <w:spacing w:val="2"/>
          <w:w w:val="105"/>
          <w:sz w:val="13"/>
        </w:rPr>
        <w:t>(Victorian</w:t>
      </w:r>
      <w:r>
        <w:rPr>
          <w:spacing w:val="6"/>
          <w:w w:val="105"/>
          <w:sz w:val="13"/>
        </w:rPr>
        <w:t> </w:t>
      </w:r>
      <w:r>
        <w:rPr>
          <w:w w:val="105"/>
          <w:sz w:val="13"/>
        </w:rPr>
        <w:t>Civil</w:t>
      </w:r>
      <w:r>
        <w:rPr>
          <w:spacing w:val="6"/>
          <w:w w:val="105"/>
          <w:sz w:val="13"/>
        </w:rPr>
        <w:t> </w:t>
      </w:r>
      <w:r>
        <w:rPr>
          <w:w w:val="105"/>
          <w:sz w:val="13"/>
        </w:rPr>
        <w:t>and</w:t>
      </w:r>
      <w:r>
        <w:rPr>
          <w:spacing w:val="6"/>
          <w:w w:val="105"/>
          <w:sz w:val="13"/>
        </w:rPr>
        <w:t> </w:t>
      </w:r>
      <w:r>
        <w:rPr>
          <w:w w:val="105"/>
          <w:sz w:val="13"/>
        </w:rPr>
        <w:t>Administrative</w:t>
      </w:r>
      <w:r>
        <w:rPr>
          <w:spacing w:val="6"/>
          <w:w w:val="105"/>
          <w:sz w:val="13"/>
        </w:rPr>
        <w:t> </w:t>
      </w:r>
      <w:r>
        <w:rPr>
          <w:w w:val="105"/>
          <w:sz w:val="13"/>
        </w:rPr>
        <w:t>Tribunal).</w:t>
      </w:r>
    </w:p>
    <w:p>
      <w:pPr>
        <w:pStyle w:val="ListParagraph"/>
        <w:numPr>
          <w:ilvl w:val="0"/>
          <w:numId w:val="158"/>
        </w:numPr>
        <w:tabs>
          <w:tab w:pos="1245" w:val="left" w:leader="none"/>
          <w:tab w:pos="1246" w:val="left" w:leader="none"/>
        </w:tabs>
        <w:spacing w:line="240" w:lineRule="auto" w:before="2" w:after="0"/>
        <w:ind w:left="1245" w:right="0" w:hanging="793"/>
        <w:jc w:val="left"/>
        <w:rPr>
          <w:sz w:val="13"/>
        </w:rPr>
      </w:pPr>
      <w:r>
        <w:rPr>
          <w:w w:val="105"/>
          <w:sz w:val="13"/>
        </w:rPr>
        <w:t>See,</w:t>
      </w:r>
      <w:r>
        <w:rPr>
          <w:spacing w:val="4"/>
          <w:w w:val="105"/>
          <w:sz w:val="13"/>
        </w:rPr>
        <w:t> </w:t>
      </w:r>
      <w:r>
        <w:rPr>
          <w:w w:val="105"/>
          <w:sz w:val="13"/>
        </w:rPr>
        <w:t>eg,</w:t>
      </w:r>
      <w:r>
        <w:rPr>
          <w:spacing w:val="5"/>
          <w:w w:val="105"/>
          <w:sz w:val="13"/>
        </w:rPr>
        <w:t> </w:t>
      </w:r>
      <w:r>
        <w:rPr>
          <w:i/>
          <w:w w:val="105"/>
          <w:sz w:val="13"/>
        </w:rPr>
        <w:t>Victorian</w:t>
      </w:r>
      <w:r>
        <w:rPr>
          <w:i/>
          <w:spacing w:val="5"/>
          <w:w w:val="105"/>
          <w:sz w:val="13"/>
        </w:rPr>
        <w:t> </w:t>
      </w:r>
      <w:r>
        <w:rPr>
          <w:i/>
          <w:w w:val="105"/>
          <w:sz w:val="13"/>
        </w:rPr>
        <w:t>Civil</w:t>
      </w:r>
      <w:r>
        <w:rPr>
          <w:i/>
          <w:spacing w:val="5"/>
          <w:w w:val="105"/>
          <w:sz w:val="13"/>
        </w:rPr>
        <w:t> </w:t>
      </w:r>
      <w:r>
        <w:rPr>
          <w:i/>
          <w:w w:val="105"/>
          <w:sz w:val="13"/>
        </w:rPr>
        <w:t>and</w:t>
      </w:r>
      <w:r>
        <w:rPr>
          <w:i/>
          <w:spacing w:val="5"/>
          <w:w w:val="105"/>
          <w:sz w:val="13"/>
        </w:rPr>
        <w:t> </w:t>
      </w:r>
      <w:r>
        <w:rPr>
          <w:i/>
          <w:w w:val="105"/>
          <w:sz w:val="13"/>
        </w:rPr>
        <w:t>Administrative</w:t>
      </w:r>
      <w:r>
        <w:rPr>
          <w:i/>
          <w:spacing w:val="4"/>
          <w:w w:val="105"/>
          <w:sz w:val="13"/>
        </w:rPr>
        <w:t> </w:t>
      </w:r>
      <w:r>
        <w:rPr>
          <w:i/>
          <w:w w:val="105"/>
          <w:sz w:val="13"/>
        </w:rPr>
        <w:t>Tribunal</w:t>
      </w:r>
      <w:r>
        <w:rPr>
          <w:i/>
          <w:spacing w:val="5"/>
          <w:w w:val="105"/>
          <w:sz w:val="13"/>
        </w:rPr>
        <w:t> </w:t>
      </w:r>
      <w:r>
        <w:rPr>
          <w:i/>
          <w:w w:val="105"/>
          <w:sz w:val="13"/>
        </w:rPr>
        <w:t>Act</w:t>
      </w:r>
      <w:r>
        <w:rPr>
          <w:i/>
          <w:spacing w:val="5"/>
          <w:w w:val="105"/>
          <w:sz w:val="13"/>
        </w:rPr>
        <w:t> </w:t>
      </w:r>
      <w:r>
        <w:rPr>
          <w:i/>
          <w:w w:val="105"/>
          <w:sz w:val="13"/>
        </w:rPr>
        <w:t>1998</w:t>
      </w:r>
      <w:r>
        <w:rPr>
          <w:i/>
          <w:spacing w:val="5"/>
          <w:w w:val="105"/>
          <w:sz w:val="13"/>
        </w:rPr>
        <w:t> </w:t>
      </w:r>
      <w:r>
        <w:rPr>
          <w:spacing w:val="2"/>
          <w:w w:val="105"/>
          <w:sz w:val="13"/>
        </w:rPr>
        <w:t>(Vic),</w:t>
      </w:r>
      <w:r>
        <w:rPr>
          <w:spacing w:val="5"/>
          <w:w w:val="105"/>
          <w:sz w:val="13"/>
        </w:rPr>
        <w:t> </w:t>
      </w:r>
      <w:r>
        <w:rPr>
          <w:w w:val="105"/>
          <w:sz w:val="13"/>
        </w:rPr>
        <w:t>sch</w:t>
      </w:r>
      <w:r>
        <w:rPr>
          <w:spacing w:val="4"/>
          <w:w w:val="105"/>
          <w:sz w:val="13"/>
        </w:rPr>
        <w:t> </w:t>
      </w:r>
      <w:r>
        <w:rPr>
          <w:w w:val="105"/>
          <w:sz w:val="13"/>
        </w:rPr>
        <w:t>1</w:t>
      </w:r>
      <w:r>
        <w:rPr>
          <w:spacing w:val="5"/>
          <w:w w:val="105"/>
          <w:sz w:val="13"/>
        </w:rPr>
        <w:t> </w:t>
      </w:r>
      <w:r>
        <w:rPr>
          <w:w w:val="105"/>
          <w:sz w:val="13"/>
        </w:rPr>
        <w:t>cl</w:t>
      </w:r>
      <w:r>
        <w:rPr>
          <w:spacing w:val="5"/>
          <w:w w:val="105"/>
          <w:sz w:val="13"/>
        </w:rPr>
        <w:t> </w:t>
      </w:r>
      <w:r>
        <w:rPr>
          <w:w w:val="105"/>
          <w:sz w:val="13"/>
        </w:rPr>
        <w:t>77A.</w:t>
      </w:r>
    </w:p>
    <w:p>
      <w:pPr>
        <w:pStyle w:val="ListParagraph"/>
        <w:numPr>
          <w:ilvl w:val="0"/>
          <w:numId w:val="158"/>
        </w:numPr>
        <w:tabs>
          <w:tab w:pos="1245" w:val="left" w:leader="none"/>
          <w:tab w:pos="1246" w:val="left" w:leader="none"/>
        </w:tabs>
        <w:spacing w:line="240" w:lineRule="auto" w:before="2" w:after="0"/>
        <w:ind w:left="1245" w:right="0" w:hanging="793"/>
        <w:jc w:val="left"/>
        <w:rPr>
          <w:sz w:val="13"/>
        </w:rPr>
      </w:pPr>
      <w:r>
        <w:rPr>
          <w:w w:val="105"/>
          <w:sz w:val="13"/>
        </w:rPr>
        <w:t>Submissions</w:t>
      </w:r>
      <w:r>
        <w:rPr>
          <w:spacing w:val="4"/>
          <w:w w:val="105"/>
          <w:sz w:val="13"/>
        </w:rPr>
        <w:t> </w:t>
      </w:r>
      <w:r>
        <w:rPr>
          <w:w w:val="105"/>
          <w:sz w:val="13"/>
        </w:rPr>
        <w:t>4</w:t>
      </w:r>
      <w:r>
        <w:rPr>
          <w:spacing w:val="5"/>
          <w:w w:val="105"/>
          <w:sz w:val="13"/>
        </w:rPr>
        <w:t> </w:t>
      </w:r>
      <w:r>
        <w:rPr>
          <w:spacing w:val="2"/>
          <w:w w:val="105"/>
          <w:sz w:val="13"/>
        </w:rPr>
        <w:t>(Name</w:t>
      </w:r>
      <w:r>
        <w:rPr>
          <w:spacing w:val="4"/>
          <w:w w:val="105"/>
          <w:sz w:val="13"/>
        </w:rPr>
        <w:t> </w:t>
      </w:r>
      <w:r>
        <w:rPr>
          <w:w w:val="105"/>
          <w:sz w:val="13"/>
        </w:rPr>
        <w:t>withheld),</w:t>
      </w:r>
      <w:r>
        <w:rPr>
          <w:spacing w:val="5"/>
          <w:w w:val="105"/>
          <w:sz w:val="13"/>
        </w:rPr>
        <w:t> </w:t>
      </w:r>
      <w:r>
        <w:rPr>
          <w:w w:val="105"/>
          <w:sz w:val="13"/>
        </w:rPr>
        <w:t>5</w:t>
      </w:r>
      <w:r>
        <w:rPr>
          <w:spacing w:val="4"/>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6</w:t>
      </w:r>
      <w:r>
        <w:rPr>
          <w:spacing w:val="4"/>
          <w:w w:val="105"/>
          <w:sz w:val="13"/>
        </w:rPr>
        <w:t> </w:t>
      </w:r>
      <w:r>
        <w:rPr>
          <w:spacing w:val="2"/>
          <w:w w:val="105"/>
          <w:sz w:val="13"/>
        </w:rPr>
        <w:t>(Name</w:t>
      </w:r>
      <w:r>
        <w:rPr>
          <w:spacing w:val="5"/>
          <w:w w:val="105"/>
          <w:sz w:val="13"/>
        </w:rPr>
        <w:t> </w:t>
      </w:r>
      <w:r>
        <w:rPr>
          <w:w w:val="105"/>
          <w:sz w:val="13"/>
        </w:rPr>
        <w:t>withheld),</w:t>
      </w:r>
      <w:r>
        <w:rPr>
          <w:spacing w:val="4"/>
          <w:w w:val="105"/>
          <w:sz w:val="13"/>
        </w:rPr>
        <w:t> </w:t>
      </w:r>
      <w:r>
        <w:rPr>
          <w:w w:val="105"/>
          <w:sz w:val="13"/>
        </w:rPr>
        <w:t>7</w:t>
      </w:r>
      <w:r>
        <w:rPr>
          <w:spacing w:val="5"/>
          <w:w w:val="105"/>
          <w:sz w:val="13"/>
        </w:rPr>
        <w:t> </w:t>
      </w:r>
      <w:r>
        <w:rPr>
          <w:spacing w:val="2"/>
          <w:w w:val="105"/>
          <w:sz w:val="13"/>
        </w:rPr>
        <w:t>(Ben</w:t>
      </w:r>
      <w:r>
        <w:rPr>
          <w:spacing w:val="5"/>
          <w:w w:val="105"/>
          <w:sz w:val="13"/>
        </w:rPr>
        <w:t> </w:t>
      </w:r>
      <w:r>
        <w:rPr>
          <w:w w:val="105"/>
          <w:sz w:val="13"/>
        </w:rPr>
        <w:t>Kenyon),</w:t>
      </w:r>
      <w:r>
        <w:rPr>
          <w:spacing w:val="4"/>
          <w:w w:val="105"/>
          <w:sz w:val="13"/>
        </w:rPr>
        <w:t> </w:t>
      </w:r>
      <w:r>
        <w:rPr>
          <w:w w:val="105"/>
          <w:sz w:val="13"/>
        </w:rPr>
        <w:t>38</w:t>
      </w:r>
      <w:r>
        <w:rPr>
          <w:spacing w:val="5"/>
          <w:w w:val="105"/>
          <w:sz w:val="13"/>
        </w:rPr>
        <w:t> </w:t>
      </w:r>
      <w:r>
        <w:rPr>
          <w:spacing w:val="3"/>
          <w:w w:val="105"/>
          <w:sz w:val="13"/>
        </w:rPr>
        <w:t>(L.</w:t>
      </w:r>
      <w:r>
        <w:rPr>
          <w:spacing w:val="4"/>
          <w:w w:val="105"/>
          <w:sz w:val="13"/>
        </w:rPr>
        <w:t> </w:t>
      </w:r>
      <w:r>
        <w:rPr>
          <w:spacing w:val="2"/>
          <w:w w:val="105"/>
          <w:sz w:val="13"/>
        </w:rPr>
        <w:t>Barry</w:t>
      </w:r>
      <w:r>
        <w:rPr>
          <w:spacing w:val="5"/>
          <w:w w:val="105"/>
          <w:sz w:val="13"/>
        </w:rPr>
        <w:t> </w:t>
      </w:r>
      <w:r>
        <w:rPr>
          <w:w w:val="105"/>
          <w:sz w:val="13"/>
        </w:rPr>
        <w:t>Wollmer).</w:t>
      </w:r>
    </w:p>
    <w:p>
      <w:pPr>
        <w:pStyle w:val="ListParagraph"/>
        <w:numPr>
          <w:ilvl w:val="0"/>
          <w:numId w:val="158"/>
        </w:numPr>
        <w:tabs>
          <w:tab w:pos="1245" w:val="left" w:leader="none"/>
          <w:tab w:pos="1246" w:val="left" w:leader="none"/>
        </w:tabs>
        <w:spacing w:line="240" w:lineRule="auto" w:before="1" w:after="0"/>
        <w:ind w:left="1245" w:right="0" w:hanging="793"/>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spacing w:after="0" w:line="240" w:lineRule="auto"/>
        <w:jc w:val="left"/>
        <w:rPr>
          <w:sz w:val="13"/>
        </w:rPr>
        <w:sectPr>
          <w:type w:val="continuous"/>
          <w:pgSz w:w="11910" w:h="16840"/>
          <w:pgMar w:top="300" w:bottom="280" w:left="0" w:right="0"/>
          <w:cols w:num="2" w:equalWidth="0">
            <w:col w:w="1096" w:space="40"/>
            <w:col w:w="10774"/>
          </w:cols>
        </w:sectPr>
      </w:pPr>
    </w:p>
    <w:p>
      <w:pPr>
        <w:pStyle w:val="BodyText"/>
        <w:rPr>
          <w:sz w:val="20"/>
        </w:rPr>
      </w:pPr>
    </w:p>
    <w:p>
      <w:pPr>
        <w:pStyle w:val="BodyText"/>
        <w:spacing w:before="9"/>
        <w:rPr>
          <w:sz w:val="18"/>
        </w:rPr>
      </w:pPr>
    </w:p>
    <w:p>
      <w:pPr>
        <w:pStyle w:val="ListParagraph"/>
        <w:numPr>
          <w:ilvl w:val="0"/>
          <w:numId w:val="157"/>
        </w:numPr>
        <w:tabs>
          <w:tab w:pos="2381" w:val="left" w:leader="none"/>
          <w:tab w:pos="2382" w:val="left" w:leader="none"/>
        </w:tabs>
        <w:spacing w:line="242" w:lineRule="auto" w:before="91" w:after="0"/>
        <w:ind w:left="2381" w:right="1640" w:hanging="794"/>
        <w:jc w:val="left"/>
        <w:rPr>
          <w:sz w:val="21"/>
        </w:rPr>
      </w:pPr>
      <w:bookmarkStart w:name="_bookmark118" w:id="250"/>
      <w:bookmarkEnd w:id="250"/>
      <w:r>
        <w:rPr/>
      </w:r>
      <w:bookmarkStart w:name="_bookmark118" w:id="251"/>
      <w:bookmarkEnd w:id="251"/>
      <w:r>
        <w:rPr>
          <w:spacing w:val="-4"/>
          <w:w w:val="105"/>
          <w:sz w:val="21"/>
        </w:rPr>
        <w:t>F</w:t>
      </w:r>
      <w:r>
        <w:rPr>
          <w:spacing w:val="-4"/>
          <w:w w:val="105"/>
          <w:sz w:val="21"/>
        </w:rPr>
        <w:t>urther, </w:t>
      </w:r>
      <w:r>
        <w:rPr>
          <w:w w:val="105"/>
          <w:sz w:val="21"/>
        </w:rPr>
        <w:t>the </w:t>
      </w:r>
      <w:r>
        <w:rPr>
          <w:spacing w:val="-3"/>
          <w:w w:val="105"/>
          <w:sz w:val="21"/>
        </w:rPr>
        <w:t>Commission </w:t>
      </w:r>
      <w:r>
        <w:rPr>
          <w:w w:val="105"/>
          <w:sz w:val="21"/>
        </w:rPr>
        <w:t>received advice </w:t>
      </w:r>
      <w:r>
        <w:rPr>
          <w:spacing w:val="-3"/>
          <w:w w:val="105"/>
          <w:sz w:val="21"/>
        </w:rPr>
        <w:t>that </w:t>
      </w:r>
      <w:r>
        <w:rPr>
          <w:w w:val="105"/>
          <w:sz w:val="21"/>
        </w:rPr>
        <w:t>local </w:t>
      </w:r>
      <w:r>
        <w:rPr>
          <w:spacing w:val="-3"/>
          <w:w w:val="105"/>
          <w:sz w:val="21"/>
        </w:rPr>
        <w:t>councils generally refuse to enforce </w:t>
      </w:r>
      <w:r>
        <w:rPr>
          <w:w w:val="105"/>
          <w:sz w:val="21"/>
        </w:rPr>
        <w:t>orders where requested </w:t>
      </w:r>
      <w:r>
        <w:rPr>
          <w:spacing w:val="-3"/>
          <w:w w:val="105"/>
          <w:sz w:val="21"/>
        </w:rPr>
        <w:t>to </w:t>
      </w:r>
      <w:r>
        <w:rPr>
          <w:w w:val="105"/>
          <w:sz w:val="21"/>
        </w:rPr>
        <w:t>in New South </w:t>
      </w:r>
      <w:r>
        <w:rPr>
          <w:spacing w:val="-3"/>
          <w:w w:val="105"/>
          <w:sz w:val="21"/>
        </w:rPr>
        <w:t>Wales </w:t>
      </w:r>
      <w:r>
        <w:rPr>
          <w:w w:val="105"/>
          <w:sz w:val="21"/>
        </w:rPr>
        <w:t>and </w:t>
      </w:r>
      <w:r>
        <w:rPr>
          <w:spacing w:val="-3"/>
          <w:w w:val="105"/>
          <w:sz w:val="21"/>
        </w:rPr>
        <w:t>Queensland </w:t>
      </w:r>
      <w:r>
        <w:rPr>
          <w:w w:val="105"/>
          <w:sz w:val="21"/>
        </w:rPr>
        <w:t>where voluntary </w:t>
      </w:r>
      <w:r>
        <w:rPr>
          <w:spacing w:val="-3"/>
          <w:w w:val="105"/>
          <w:sz w:val="21"/>
        </w:rPr>
        <w:t>enforcement provisions </w:t>
      </w:r>
      <w:r>
        <w:rPr>
          <w:w w:val="105"/>
          <w:sz w:val="21"/>
        </w:rPr>
        <w:t>exist.</w:t>
      </w:r>
      <w:r>
        <w:rPr>
          <w:w w:val="105"/>
          <w:position w:val="7"/>
          <w:sz w:val="12"/>
        </w:rPr>
        <w:t>214</w:t>
      </w:r>
      <w:r>
        <w:rPr>
          <w:w w:val="105"/>
          <w:sz w:val="21"/>
        </w:rPr>
        <w:t>The same is also true </w:t>
      </w:r>
      <w:r>
        <w:rPr>
          <w:spacing w:val="-3"/>
          <w:w w:val="105"/>
          <w:sz w:val="21"/>
        </w:rPr>
        <w:t>for similar enforcement provisions </w:t>
      </w:r>
      <w:r>
        <w:rPr>
          <w:w w:val="105"/>
          <w:sz w:val="21"/>
        </w:rPr>
        <w:t>under the </w:t>
      </w:r>
      <w:r>
        <w:rPr>
          <w:i/>
          <w:spacing w:val="-3"/>
          <w:w w:val="105"/>
          <w:sz w:val="21"/>
        </w:rPr>
        <w:t>Planning </w:t>
      </w:r>
      <w:r>
        <w:rPr>
          <w:i/>
          <w:w w:val="105"/>
          <w:sz w:val="21"/>
        </w:rPr>
        <w:t>and </w:t>
      </w:r>
      <w:r>
        <w:rPr>
          <w:i/>
          <w:spacing w:val="-3"/>
          <w:w w:val="105"/>
          <w:sz w:val="21"/>
        </w:rPr>
        <w:t>Environment </w:t>
      </w:r>
      <w:r>
        <w:rPr>
          <w:i/>
          <w:w w:val="105"/>
          <w:sz w:val="21"/>
        </w:rPr>
        <w:t>Act </w:t>
      </w:r>
      <w:r>
        <w:rPr>
          <w:i/>
          <w:spacing w:val="-6"/>
          <w:w w:val="105"/>
          <w:sz w:val="21"/>
        </w:rPr>
        <w:t>1987 </w:t>
      </w:r>
      <w:r>
        <w:rPr>
          <w:w w:val="105"/>
          <w:sz w:val="21"/>
        </w:rPr>
        <w:t>(Vic).</w:t>
      </w:r>
      <w:r>
        <w:rPr>
          <w:w w:val="105"/>
          <w:position w:val="7"/>
          <w:sz w:val="12"/>
        </w:rPr>
        <w:t>215 </w:t>
      </w:r>
      <w:r>
        <w:rPr>
          <w:w w:val="105"/>
          <w:sz w:val="21"/>
        </w:rPr>
        <w:t>The </w:t>
      </w:r>
      <w:r>
        <w:rPr>
          <w:spacing w:val="-3"/>
          <w:w w:val="105"/>
          <w:sz w:val="21"/>
        </w:rPr>
        <w:t>Commission </w:t>
      </w:r>
      <w:r>
        <w:rPr>
          <w:w w:val="105"/>
          <w:sz w:val="21"/>
        </w:rPr>
        <w:t>can </w:t>
      </w:r>
      <w:r>
        <w:rPr>
          <w:spacing w:val="-3"/>
          <w:w w:val="105"/>
          <w:sz w:val="21"/>
        </w:rPr>
        <w:t>therefore </w:t>
      </w:r>
      <w:r>
        <w:rPr>
          <w:w w:val="105"/>
          <w:sz w:val="21"/>
        </w:rPr>
        <w:t>see little practical benefit in </w:t>
      </w:r>
      <w:r>
        <w:rPr>
          <w:spacing w:val="-3"/>
          <w:w w:val="105"/>
          <w:sz w:val="21"/>
        </w:rPr>
        <w:t>such</w:t>
      </w:r>
      <w:r>
        <w:rPr>
          <w:spacing w:val="21"/>
          <w:w w:val="105"/>
          <w:sz w:val="21"/>
        </w:rPr>
        <w:t> </w:t>
      </w:r>
      <w:r>
        <w:rPr>
          <w:spacing w:val="-3"/>
          <w:w w:val="105"/>
          <w:sz w:val="21"/>
        </w:rPr>
        <w:t>provisions.</w:t>
      </w:r>
    </w:p>
    <w:p>
      <w:pPr>
        <w:pStyle w:val="BodyText"/>
        <w:spacing w:before="6"/>
        <w:rPr>
          <w:sz w:val="20"/>
        </w:rPr>
      </w:pPr>
    </w:p>
    <w:p>
      <w:pPr>
        <w:pStyle w:val="Heading5"/>
        <w:spacing w:before="1"/>
      </w:pPr>
      <w:r>
        <w:rPr>
          <w:w w:val="115"/>
        </w:rPr>
        <w:t>Empowering the applicant to give effect to a VCAT order</w:t>
      </w:r>
    </w:p>
    <w:p>
      <w:pPr>
        <w:pStyle w:val="ListParagraph"/>
        <w:numPr>
          <w:ilvl w:val="0"/>
          <w:numId w:val="157"/>
        </w:numPr>
        <w:tabs>
          <w:tab w:pos="2381" w:val="left" w:leader="none"/>
          <w:tab w:pos="2382" w:val="left" w:leader="none"/>
        </w:tabs>
        <w:spacing w:line="242" w:lineRule="auto" w:before="137" w:after="0"/>
        <w:ind w:left="2381" w:right="1728" w:hanging="794"/>
        <w:jc w:val="left"/>
        <w:rPr>
          <w:sz w:val="12"/>
        </w:rPr>
      </w:pPr>
      <w:r>
        <w:rPr>
          <w:w w:val="105"/>
          <w:sz w:val="21"/>
        </w:rPr>
        <w:t>Rather </w:t>
      </w:r>
      <w:r>
        <w:rPr>
          <w:spacing w:val="-3"/>
          <w:w w:val="105"/>
          <w:sz w:val="21"/>
        </w:rPr>
        <w:t>than empowering council to enforce </w:t>
      </w:r>
      <w:r>
        <w:rPr>
          <w:w w:val="105"/>
          <w:sz w:val="21"/>
        </w:rPr>
        <w:t>a </w:t>
      </w:r>
      <w:r>
        <w:rPr>
          <w:spacing w:val="-5"/>
          <w:w w:val="105"/>
          <w:sz w:val="21"/>
        </w:rPr>
        <w:t>VCAT </w:t>
      </w:r>
      <w:r>
        <w:rPr>
          <w:spacing w:val="-4"/>
          <w:w w:val="105"/>
          <w:sz w:val="21"/>
        </w:rPr>
        <w:t>order, </w:t>
      </w:r>
      <w:r>
        <w:rPr>
          <w:w w:val="105"/>
          <w:sz w:val="21"/>
        </w:rPr>
        <w:t>the new Act should empower the </w:t>
      </w:r>
      <w:r>
        <w:rPr>
          <w:spacing w:val="-3"/>
          <w:w w:val="105"/>
          <w:sz w:val="21"/>
        </w:rPr>
        <w:t>applicant to </w:t>
      </w:r>
      <w:r>
        <w:rPr>
          <w:w w:val="105"/>
          <w:sz w:val="21"/>
        </w:rPr>
        <w:t>carry out tree works where a tree owner </w:t>
      </w:r>
      <w:r>
        <w:rPr>
          <w:spacing w:val="-4"/>
          <w:w w:val="105"/>
          <w:sz w:val="21"/>
        </w:rPr>
        <w:t>fails </w:t>
      </w:r>
      <w:r>
        <w:rPr>
          <w:spacing w:val="-3"/>
          <w:w w:val="105"/>
          <w:sz w:val="21"/>
        </w:rPr>
        <w:t>to </w:t>
      </w:r>
      <w:r>
        <w:rPr>
          <w:w w:val="105"/>
          <w:sz w:val="21"/>
        </w:rPr>
        <w:t>comply with an order </w:t>
      </w:r>
      <w:r>
        <w:rPr>
          <w:spacing w:val="-3"/>
          <w:w w:val="105"/>
          <w:sz w:val="21"/>
        </w:rPr>
        <w:t>within </w:t>
      </w:r>
      <w:r>
        <w:rPr>
          <w:w w:val="105"/>
          <w:sz w:val="21"/>
        </w:rPr>
        <w:t>the specified</w:t>
      </w:r>
      <w:r>
        <w:rPr>
          <w:spacing w:val="18"/>
          <w:w w:val="105"/>
          <w:sz w:val="21"/>
        </w:rPr>
        <w:t> </w:t>
      </w:r>
      <w:r>
        <w:rPr>
          <w:spacing w:val="-3"/>
          <w:w w:val="105"/>
          <w:sz w:val="21"/>
        </w:rPr>
        <w:t>time.</w:t>
      </w:r>
      <w:r>
        <w:rPr>
          <w:spacing w:val="-3"/>
          <w:w w:val="105"/>
          <w:position w:val="7"/>
          <w:sz w:val="12"/>
        </w:rPr>
        <w:t>216</w:t>
      </w:r>
    </w:p>
    <w:p>
      <w:pPr>
        <w:pStyle w:val="ListParagraph"/>
        <w:numPr>
          <w:ilvl w:val="0"/>
          <w:numId w:val="157"/>
        </w:numPr>
        <w:tabs>
          <w:tab w:pos="2381" w:val="left" w:leader="none"/>
          <w:tab w:pos="2382" w:val="left" w:leader="none"/>
        </w:tabs>
        <w:spacing w:line="242" w:lineRule="auto" w:before="123" w:after="0"/>
        <w:ind w:left="2381" w:right="1758" w:hanging="794"/>
        <w:jc w:val="left"/>
        <w:rPr>
          <w:sz w:val="21"/>
        </w:rPr>
      </w:pPr>
      <w:r>
        <w:rPr>
          <w:w w:val="105"/>
          <w:sz w:val="21"/>
        </w:rPr>
        <w:t>This approach </w:t>
      </w:r>
      <w:r>
        <w:rPr>
          <w:spacing w:val="-3"/>
          <w:w w:val="105"/>
          <w:sz w:val="21"/>
        </w:rPr>
        <w:t>aligns </w:t>
      </w:r>
      <w:r>
        <w:rPr>
          <w:w w:val="105"/>
          <w:sz w:val="21"/>
        </w:rPr>
        <w:t>with </w:t>
      </w:r>
      <w:r>
        <w:rPr>
          <w:spacing w:val="-6"/>
          <w:w w:val="105"/>
          <w:sz w:val="21"/>
        </w:rPr>
        <w:t>VCAT’s </w:t>
      </w:r>
      <w:r>
        <w:rPr>
          <w:w w:val="105"/>
          <w:sz w:val="21"/>
        </w:rPr>
        <w:t>powers under the </w:t>
      </w:r>
      <w:r>
        <w:rPr>
          <w:i/>
          <w:spacing w:val="-3"/>
          <w:w w:val="105"/>
          <w:sz w:val="21"/>
        </w:rPr>
        <w:t>Planning </w:t>
      </w:r>
      <w:r>
        <w:rPr>
          <w:i/>
          <w:w w:val="105"/>
          <w:sz w:val="21"/>
        </w:rPr>
        <w:t>and </w:t>
      </w:r>
      <w:r>
        <w:rPr>
          <w:i/>
          <w:spacing w:val="-3"/>
          <w:w w:val="105"/>
          <w:sz w:val="21"/>
        </w:rPr>
        <w:t>Environment </w:t>
      </w:r>
      <w:r>
        <w:rPr>
          <w:i/>
          <w:w w:val="105"/>
          <w:sz w:val="21"/>
        </w:rPr>
        <w:t>Act </w:t>
      </w:r>
      <w:r>
        <w:rPr>
          <w:i/>
          <w:spacing w:val="-6"/>
          <w:w w:val="105"/>
          <w:sz w:val="21"/>
        </w:rPr>
        <w:t>1987 </w:t>
      </w:r>
      <w:r>
        <w:rPr>
          <w:w w:val="105"/>
          <w:sz w:val="21"/>
        </w:rPr>
        <w:t>(Vic)</w:t>
      </w:r>
      <w:r>
        <w:rPr>
          <w:w w:val="105"/>
          <w:position w:val="7"/>
          <w:sz w:val="12"/>
        </w:rPr>
        <w:t>217 </w:t>
      </w:r>
      <w:r>
        <w:rPr>
          <w:w w:val="105"/>
          <w:sz w:val="21"/>
        </w:rPr>
        <w:t>and with the approach under the Fences Act.</w:t>
      </w:r>
      <w:r>
        <w:rPr>
          <w:w w:val="105"/>
          <w:position w:val="7"/>
          <w:sz w:val="12"/>
        </w:rPr>
        <w:t>218  </w:t>
      </w:r>
      <w:r>
        <w:rPr>
          <w:w w:val="105"/>
          <w:sz w:val="21"/>
        </w:rPr>
        <w:t>The </w:t>
      </w:r>
      <w:r>
        <w:rPr>
          <w:spacing w:val="-3"/>
          <w:w w:val="105"/>
          <w:sz w:val="21"/>
        </w:rPr>
        <w:t>Commission </w:t>
      </w:r>
      <w:r>
        <w:rPr>
          <w:w w:val="105"/>
          <w:sz w:val="21"/>
        </w:rPr>
        <w:t>agrees with the approach recommended by the </w:t>
      </w:r>
      <w:r>
        <w:rPr>
          <w:spacing w:val="-3"/>
          <w:w w:val="105"/>
          <w:sz w:val="21"/>
        </w:rPr>
        <w:t>QLRC</w:t>
      </w:r>
      <w:r>
        <w:rPr>
          <w:spacing w:val="-3"/>
          <w:w w:val="105"/>
          <w:position w:val="7"/>
          <w:sz w:val="12"/>
        </w:rPr>
        <w:t>219 </w:t>
      </w:r>
      <w:r>
        <w:rPr>
          <w:w w:val="105"/>
          <w:sz w:val="21"/>
        </w:rPr>
        <w:t>and is of the view </w:t>
      </w:r>
      <w:r>
        <w:rPr>
          <w:spacing w:val="-3"/>
          <w:w w:val="105"/>
          <w:sz w:val="21"/>
        </w:rPr>
        <w:t>that </w:t>
      </w:r>
      <w:r>
        <w:rPr>
          <w:w w:val="105"/>
          <w:sz w:val="21"/>
        </w:rPr>
        <w:t>this </w:t>
      </w:r>
      <w:r>
        <w:rPr>
          <w:spacing w:val="-3"/>
          <w:w w:val="105"/>
          <w:sz w:val="21"/>
        </w:rPr>
        <w:t>enforcement mechanism</w:t>
      </w:r>
      <w:r>
        <w:rPr>
          <w:spacing w:val="-11"/>
          <w:w w:val="105"/>
          <w:sz w:val="21"/>
        </w:rPr>
        <w:t> </w:t>
      </w:r>
      <w:r>
        <w:rPr>
          <w:spacing w:val="-3"/>
          <w:w w:val="105"/>
          <w:sz w:val="21"/>
        </w:rPr>
        <w:t>will</w:t>
      </w:r>
      <w:r>
        <w:rPr>
          <w:spacing w:val="-10"/>
          <w:w w:val="105"/>
          <w:sz w:val="21"/>
        </w:rPr>
        <w:t> </w:t>
      </w:r>
      <w:r>
        <w:rPr>
          <w:w w:val="105"/>
          <w:sz w:val="21"/>
        </w:rPr>
        <w:t>provide</w:t>
      </w:r>
      <w:r>
        <w:rPr>
          <w:spacing w:val="-10"/>
          <w:w w:val="105"/>
          <w:sz w:val="21"/>
        </w:rPr>
        <w:t> </w:t>
      </w:r>
      <w:r>
        <w:rPr>
          <w:w w:val="105"/>
          <w:sz w:val="21"/>
        </w:rPr>
        <w:t>practical</w:t>
      </w:r>
      <w:r>
        <w:rPr>
          <w:spacing w:val="-11"/>
          <w:w w:val="105"/>
          <w:sz w:val="21"/>
        </w:rPr>
        <w:t> </w:t>
      </w:r>
      <w:r>
        <w:rPr>
          <w:w w:val="105"/>
          <w:sz w:val="21"/>
        </w:rPr>
        <w:t>benefit</w:t>
      </w:r>
      <w:r>
        <w:rPr>
          <w:spacing w:val="-10"/>
          <w:w w:val="105"/>
          <w:sz w:val="21"/>
        </w:rPr>
        <w:t> </w:t>
      </w:r>
      <w:r>
        <w:rPr>
          <w:spacing w:val="-3"/>
          <w:w w:val="105"/>
          <w:sz w:val="21"/>
        </w:rPr>
        <w:t>to</w:t>
      </w:r>
      <w:r>
        <w:rPr>
          <w:spacing w:val="-10"/>
          <w:w w:val="105"/>
          <w:sz w:val="21"/>
        </w:rPr>
        <w:t> </w:t>
      </w:r>
      <w:r>
        <w:rPr>
          <w:w w:val="105"/>
          <w:sz w:val="21"/>
        </w:rPr>
        <w:t>neighbours</w:t>
      </w:r>
      <w:r>
        <w:rPr>
          <w:spacing w:val="-11"/>
          <w:w w:val="105"/>
          <w:sz w:val="21"/>
        </w:rPr>
        <w:t> </w:t>
      </w:r>
      <w:r>
        <w:rPr>
          <w:w w:val="105"/>
          <w:sz w:val="21"/>
        </w:rPr>
        <w:t>and</w:t>
      </w:r>
      <w:r>
        <w:rPr>
          <w:spacing w:val="-10"/>
          <w:w w:val="105"/>
          <w:sz w:val="21"/>
        </w:rPr>
        <w:t> </w:t>
      </w:r>
      <w:r>
        <w:rPr>
          <w:w w:val="105"/>
          <w:sz w:val="21"/>
        </w:rPr>
        <w:t>provide</w:t>
      </w:r>
      <w:r>
        <w:rPr>
          <w:spacing w:val="-10"/>
          <w:w w:val="105"/>
          <w:sz w:val="21"/>
        </w:rPr>
        <w:t> </w:t>
      </w:r>
      <w:r>
        <w:rPr>
          <w:w w:val="105"/>
          <w:sz w:val="21"/>
        </w:rPr>
        <w:t>certainty</w:t>
      </w:r>
      <w:r>
        <w:rPr>
          <w:spacing w:val="-11"/>
          <w:w w:val="105"/>
          <w:sz w:val="21"/>
        </w:rPr>
        <w:t> </w:t>
      </w:r>
      <w:r>
        <w:rPr>
          <w:w w:val="105"/>
          <w:sz w:val="21"/>
        </w:rPr>
        <w:t>about</w:t>
      </w:r>
      <w:r>
        <w:rPr>
          <w:spacing w:val="-10"/>
          <w:w w:val="105"/>
          <w:sz w:val="21"/>
        </w:rPr>
        <w:t> </w:t>
      </w:r>
      <w:r>
        <w:rPr>
          <w:w w:val="105"/>
          <w:sz w:val="21"/>
        </w:rPr>
        <w:t>the resolution of the</w:t>
      </w:r>
      <w:r>
        <w:rPr>
          <w:spacing w:val="14"/>
          <w:w w:val="105"/>
          <w:sz w:val="21"/>
        </w:rPr>
        <w:t> </w:t>
      </w:r>
      <w:r>
        <w:rPr>
          <w:spacing w:val="-3"/>
          <w:w w:val="105"/>
          <w:sz w:val="21"/>
        </w:rPr>
        <w:t>dispute.</w:t>
      </w:r>
    </w:p>
    <w:p>
      <w:pPr>
        <w:pStyle w:val="ListParagraph"/>
        <w:numPr>
          <w:ilvl w:val="0"/>
          <w:numId w:val="157"/>
        </w:numPr>
        <w:tabs>
          <w:tab w:pos="2380" w:val="left" w:leader="none"/>
          <w:tab w:pos="2381" w:val="left" w:leader="none"/>
        </w:tabs>
        <w:spacing w:line="242" w:lineRule="auto" w:before="126" w:after="0"/>
        <w:ind w:left="2381" w:right="1655" w:hanging="794"/>
        <w:jc w:val="left"/>
        <w:rPr>
          <w:sz w:val="21"/>
        </w:rPr>
      </w:pPr>
      <w:r>
        <w:rPr>
          <w:spacing w:val="-3"/>
          <w:w w:val="105"/>
          <w:sz w:val="21"/>
        </w:rPr>
        <w:t>Such</w:t>
      </w:r>
      <w:r>
        <w:rPr>
          <w:spacing w:val="-9"/>
          <w:w w:val="105"/>
          <w:sz w:val="21"/>
        </w:rPr>
        <w:t> </w:t>
      </w:r>
      <w:r>
        <w:rPr>
          <w:w w:val="105"/>
          <w:sz w:val="21"/>
        </w:rPr>
        <w:t>an</w:t>
      </w:r>
      <w:r>
        <w:rPr>
          <w:spacing w:val="-8"/>
          <w:w w:val="105"/>
          <w:sz w:val="21"/>
        </w:rPr>
        <w:t> </w:t>
      </w:r>
      <w:r>
        <w:rPr>
          <w:w w:val="105"/>
          <w:sz w:val="21"/>
        </w:rPr>
        <w:t>order</w:t>
      </w:r>
      <w:r>
        <w:rPr>
          <w:spacing w:val="-8"/>
          <w:w w:val="105"/>
          <w:sz w:val="21"/>
        </w:rPr>
        <w:t> </w:t>
      </w:r>
      <w:r>
        <w:rPr>
          <w:spacing w:val="-3"/>
          <w:w w:val="105"/>
          <w:sz w:val="21"/>
        </w:rPr>
        <w:t>may</w:t>
      </w:r>
      <w:r>
        <w:rPr>
          <w:spacing w:val="-9"/>
          <w:w w:val="105"/>
          <w:sz w:val="21"/>
        </w:rPr>
        <w:t> </w:t>
      </w:r>
      <w:r>
        <w:rPr>
          <w:w w:val="105"/>
          <w:sz w:val="21"/>
        </w:rPr>
        <w:t>be</w:t>
      </w:r>
      <w:r>
        <w:rPr>
          <w:spacing w:val="-8"/>
          <w:w w:val="105"/>
          <w:sz w:val="21"/>
        </w:rPr>
        <w:t> </w:t>
      </w:r>
      <w:r>
        <w:rPr>
          <w:w w:val="105"/>
          <w:sz w:val="21"/>
        </w:rPr>
        <w:t>necessary</w:t>
      </w:r>
      <w:r>
        <w:rPr>
          <w:spacing w:val="-8"/>
          <w:w w:val="105"/>
          <w:sz w:val="21"/>
        </w:rPr>
        <w:t> </w:t>
      </w:r>
      <w:r>
        <w:rPr>
          <w:w w:val="105"/>
          <w:sz w:val="21"/>
        </w:rPr>
        <w:t>where</w:t>
      </w:r>
      <w:r>
        <w:rPr>
          <w:spacing w:val="-8"/>
          <w:w w:val="105"/>
          <w:sz w:val="21"/>
        </w:rPr>
        <w:t> </w:t>
      </w:r>
      <w:r>
        <w:rPr>
          <w:w w:val="105"/>
          <w:sz w:val="21"/>
        </w:rPr>
        <w:t>the</w:t>
      </w:r>
      <w:r>
        <w:rPr>
          <w:spacing w:val="-9"/>
          <w:w w:val="105"/>
          <w:sz w:val="21"/>
        </w:rPr>
        <w:t> </w:t>
      </w:r>
      <w:r>
        <w:rPr>
          <w:w w:val="105"/>
          <w:sz w:val="21"/>
        </w:rPr>
        <w:t>tree</w:t>
      </w:r>
      <w:r>
        <w:rPr>
          <w:spacing w:val="-8"/>
          <w:w w:val="105"/>
          <w:sz w:val="21"/>
        </w:rPr>
        <w:t> </w:t>
      </w:r>
      <w:r>
        <w:rPr>
          <w:w w:val="105"/>
          <w:sz w:val="21"/>
        </w:rPr>
        <w:t>owner</w:t>
      </w:r>
      <w:r>
        <w:rPr>
          <w:spacing w:val="-8"/>
          <w:w w:val="105"/>
          <w:sz w:val="21"/>
        </w:rPr>
        <w:t> </w:t>
      </w:r>
      <w:r>
        <w:rPr>
          <w:spacing w:val="-2"/>
          <w:w w:val="105"/>
          <w:sz w:val="21"/>
        </w:rPr>
        <w:t>has</w:t>
      </w:r>
      <w:r>
        <w:rPr>
          <w:spacing w:val="-8"/>
          <w:w w:val="105"/>
          <w:sz w:val="21"/>
        </w:rPr>
        <w:t> </w:t>
      </w:r>
      <w:r>
        <w:rPr>
          <w:spacing w:val="-3"/>
          <w:w w:val="105"/>
          <w:sz w:val="21"/>
        </w:rPr>
        <w:t>deliberately</w:t>
      </w:r>
      <w:r>
        <w:rPr>
          <w:spacing w:val="-9"/>
          <w:w w:val="105"/>
          <w:sz w:val="21"/>
        </w:rPr>
        <w:t> </w:t>
      </w:r>
      <w:r>
        <w:rPr>
          <w:spacing w:val="-3"/>
          <w:w w:val="105"/>
          <w:sz w:val="21"/>
        </w:rPr>
        <w:t>refused</w:t>
      </w:r>
      <w:r>
        <w:rPr>
          <w:spacing w:val="-8"/>
          <w:w w:val="105"/>
          <w:sz w:val="21"/>
        </w:rPr>
        <w:t> </w:t>
      </w:r>
      <w:r>
        <w:rPr>
          <w:spacing w:val="-3"/>
          <w:w w:val="105"/>
          <w:sz w:val="21"/>
        </w:rPr>
        <w:t>to</w:t>
      </w:r>
      <w:r>
        <w:rPr>
          <w:spacing w:val="-8"/>
          <w:w w:val="105"/>
          <w:sz w:val="21"/>
        </w:rPr>
        <w:t> </w:t>
      </w:r>
      <w:r>
        <w:rPr>
          <w:w w:val="105"/>
          <w:sz w:val="21"/>
        </w:rPr>
        <w:t>comply with the order </w:t>
      </w:r>
      <w:r>
        <w:rPr>
          <w:spacing w:val="-3"/>
          <w:w w:val="105"/>
          <w:sz w:val="21"/>
        </w:rPr>
        <w:t>within </w:t>
      </w:r>
      <w:r>
        <w:rPr>
          <w:w w:val="105"/>
          <w:sz w:val="21"/>
        </w:rPr>
        <w:t>the </w:t>
      </w:r>
      <w:r>
        <w:rPr>
          <w:spacing w:val="-3"/>
          <w:w w:val="105"/>
          <w:sz w:val="21"/>
        </w:rPr>
        <w:t>required time, </w:t>
      </w:r>
      <w:r>
        <w:rPr>
          <w:w w:val="105"/>
          <w:sz w:val="21"/>
        </w:rPr>
        <w:t>or where the tree owner </w:t>
      </w:r>
      <w:r>
        <w:rPr>
          <w:spacing w:val="-2"/>
          <w:w w:val="105"/>
          <w:sz w:val="21"/>
        </w:rPr>
        <w:t>has </w:t>
      </w:r>
      <w:r>
        <w:rPr>
          <w:spacing w:val="-3"/>
          <w:w w:val="105"/>
          <w:sz w:val="21"/>
        </w:rPr>
        <w:t>failed to </w:t>
      </w:r>
      <w:r>
        <w:rPr>
          <w:w w:val="105"/>
          <w:sz w:val="21"/>
        </w:rPr>
        <w:t>comply with the order and the affected </w:t>
      </w:r>
      <w:r>
        <w:rPr>
          <w:spacing w:val="-3"/>
          <w:w w:val="105"/>
          <w:sz w:val="21"/>
        </w:rPr>
        <w:t>neighbour </w:t>
      </w:r>
      <w:r>
        <w:rPr>
          <w:w w:val="105"/>
          <w:sz w:val="21"/>
        </w:rPr>
        <w:t>is </w:t>
      </w:r>
      <w:r>
        <w:rPr>
          <w:spacing w:val="-3"/>
          <w:w w:val="105"/>
          <w:sz w:val="21"/>
        </w:rPr>
        <w:t>unable to </w:t>
      </w:r>
      <w:r>
        <w:rPr>
          <w:w w:val="105"/>
          <w:sz w:val="21"/>
        </w:rPr>
        <w:t>identify or locate the tree </w:t>
      </w:r>
      <w:r>
        <w:rPr>
          <w:spacing w:val="-4"/>
          <w:w w:val="105"/>
          <w:sz w:val="21"/>
        </w:rPr>
        <w:t>owner. </w:t>
      </w:r>
      <w:r>
        <w:rPr>
          <w:w w:val="105"/>
          <w:sz w:val="21"/>
        </w:rPr>
        <w:t>The </w:t>
      </w:r>
      <w:r>
        <w:rPr>
          <w:spacing w:val="-3"/>
          <w:w w:val="105"/>
          <w:sz w:val="21"/>
        </w:rPr>
        <w:t>reasonable </w:t>
      </w:r>
      <w:r>
        <w:rPr>
          <w:w w:val="105"/>
          <w:sz w:val="21"/>
        </w:rPr>
        <w:t>costs of carrying out tree works should be able </w:t>
      </w:r>
      <w:r>
        <w:rPr>
          <w:spacing w:val="-3"/>
          <w:w w:val="105"/>
          <w:sz w:val="21"/>
        </w:rPr>
        <w:t>to </w:t>
      </w:r>
      <w:r>
        <w:rPr>
          <w:w w:val="105"/>
          <w:sz w:val="21"/>
        </w:rPr>
        <w:t>be recouped as a debt </w:t>
      </w:r>
      <w:r>
        <w:rPr>
          <w:spacing w:val="-3"/>
          <w:w w:val="105"/>
          <w:sz w:val="21"/>
        </w:rPr>
        <w:t>against </w:t>
      </w:r>
      <w:r>
        <w:rPr>
          <w:w w:val="105"/>
          <w:sz w:val="21"/>
        </w:rPr>
        <w:t>the non-complying party in the </w:t>
      </w:r>
      <w:r>
        <w:rPr>
          <w:spacing w:val="-3"/>
          <w:w w:val="105"/>
          <w:sz w:val="21"/>
        </w:rPr>
        <w:t>relevant </w:t>
      </w:r>
      <w:r>
        <w:rPr>
          <w:w w:val="105"/>
          <w:sz w:val="21"/>
        </w:rPr>
        <w:t>court. The affected </w:t>
      </w:r>
      <w:r>
        <w:rPr>
          <w:spacing w:val="-3"/>
          <w:w w:val="105"/>
          <w:sz w:val="21"/>
        </w:rPr>
        <w:t>neighbour </w:t>
      </w:r>
      <w:r>
        <w:rPr>
          <w:w w:val="105"/>
          <w:sz w:val="21"/>
        </w:rPr>
        <w:t>would need</w:t>
      </w:r>
      <w:r>
        <w:rPr>
          <w:spacing w:val="4"/>
          <w:w w:val="105"/>
          <w:sz w:val="21"/>
        </w:rPr>
        <w:t> </w:t>
      </w:r>
      <w:r>
        <w:rPr>
          <w:spacing w:val="-3"/>
          <w:w w:val="105"/>
          <w:sz w:val="21"/>
        </w:rPr>
        <w:t>to</w:t>
      </w:r>
      <w:r>
        <w:rPr>
          <w:spacing w:val="5"/>
          <w:w w:val="105"/>
          <w:sz w:val="21"/>
        </w:rPr>
        <w:t> </w:t>
      </w:r>
      <w:r>
        <w:rPr>
          <w:spacing w:val="-4"/>
          <w:w w:val="105"/>
          <w:sz w:val="21"/>
        </w:rPr>
        <w:t>make</w:t>
      </w:r>
      <w:r>
        <w:rPr>
          <w:spacing w:val="5"/>
          <w:w w:val="105"/>
          <w:sz w:val="21"/>
        </w:rPr>
        <w:t> </w:t>
      </w:r>
      <w:r>
        <w:rPr>
          <w:w w:val="105"/>
          <w:sz w:val="21"/>
        </w:rPr>
        <w:t>a</w:t>
      </w:r>
      <w:r>
        <w:rPr>
          <w:spacing w:val="5"/>
          <w:w w:val="105"/>
          <w:sz w:val="21"/>
        </w:rPr>
        <w:t> </w:t>
      </w:r>
      <w:r>
        <w:rPr>
          <w:w w:val="105"/>
          <w:sz w:val="21"/>
        </w:rPr>
        <w:t>new</w:t>
      </w:r>
      <w:r>
        <w:rPr>
          <w:spacing w:val="4"/>
          <w:w w:val="105"/>
          <w:sz w:val="21"/>
        </w:rPr>
        <w:t> </w:t>
      </w:r>
      <w:r>
        <w:rPr>
          <w:w w:val="105"/>
          <w:sz w:val="21"/>
        </w:rPr>
        <w:t>application</w:t>
      </w:r>
      <w:r>
        <w:rPr>
          <w:spacing w:val="5"/>
          <w:w w:val="105"/>
          <w:sz w:val="21"/>
        </w:rPr>
        <w:t> </w:t>
      </w:r>
      <w:r>
        <w:rPr>
          <w:spacing w:val="-3"/>
          <w:w w:val="105"/>
          <w:sz w:val="21"/>
        </w:rPr>
        <w:t>to</w:t>
      </w:r>
      <w:r>
        <w:rPr>
          <w:spacing w:val="5"/>
          <w:w w:val="105"/>
          <w:sz w:val="21"/>
        </w:rPr>
        <w:t> </w:t>
      </w:r>
      <w:r>
        <w:rPr>
          <w:spacing w:val="-5"/>
          <w:w w:val="105"/>
          <w:sz w:val="21"/>
        </w:rPr>
        <w:t>VCAT</w:t>
      </w:r>
      <w:r>
        <w:rPr>
          <w:spacing w:val="5"/>
          <w:w w:val="105"/>
          <w:sz w:val="21"/>
        </w:rPr>
        <w:t> </w:t>
      </w:r>
      <w:r>
        <w:rPr>
          <w:spacing w:val="-3"/>
          <w:w w:val="105"/>
          <w:sz w:val="21"/>
        </w:rPr>
        <w:t>for</w:t>
      </w:r>
      <w:r>
        <w:rPr>
          <w:spacing w:val="5"/>
          <w:w w:val="105"/>
          <w:sz w:val="21"/>
        </w:rPr>
        <w:t> </w:t>
      </w:r>
      <w:r>
        <w:rPr>
          <w:w w:val="105"/>
          <w:sz w:val="21"/>
        </w:rPr>
        <w:t>this</w:t>
      </w:r>
      <w:r>
        <w:rPr>
          <w:spacing w:val="4"/>
          <w:w w:val="105"/>
          <w:sz w:val="21"/>
        </w:rPr>
        <w:t> </w:t>
      </w:r>
      <w:r>
        <w:rPr>
          <w:spacing w:val="-4"/>
          <w:w w:val="105"/>
          <w:sz w:val="21"/>
        </w:rPr>
        <w:t>order.</w:t>
      </w:r>
    </w:p>
    <w:p>
      <w:pPr>
        <w:pStyle w:val="ListParagraph"/>
        <w:numPr>
          <w:ilvl w:val="0"/>
          <w:numId w:val="157"/>
        </w:numPr>
        <w:tabs>
          <w:tab w:pos="2380" w:val="left" w:leader="none"/>
          <w:tab w:pos="2381" w:val="left" w:leader="none"/>
        </w:tabs>
        <w:spacing w:line="242" w:lineRule="auto" w:before="126" w:after="0"/>
        <w:ind w:left="2380" w:right="1613" w:hanging="793"/>
        <w:jc w:val="left"/>
        <w:rPr>
          <w:sz w:val="21"/>
        </w:rPr>
      </w:pPr>
      <w:r>
        <w:rPr>
          <w:w w:val="105"/>
          <w:sz w:val="21"/>
        </w:rPr>
        <w:t>The </w:t>
      </w:r>
      <w:r>
        <w:rPr>
          <w:spacing w:val="-3"/>
          <w:w w:val="105"/>
          <w:sz w:val="21"/>
        </w:rPr>
        <w:t>Commission </w:t>
      </w:r>
      <w:r>
        <w:rPr>
          <w:w w:val="105"/>
          <w:sz w:val="21"/>
        </w:rPr>
        <w:t>is </w:t>
      </w:r>
      <w:r>
        <w:rPr>
          <w:spacing w:val="-3"/>
          <w:w w:val="105"/>
          <w:sz w:val="21"/>
        </w:rPr>
        <w:t>mindful </w:t>
      </w:r>
      <w:r>
        <w:rPr>
          <w:w w:val="105"/>
          <w:sz w:val="21"/>
        </w:rPr>
        <w:t>of the possibility of trespass and </w:t>
      </w:r>
      <w:r>
        <w:rPr>
          <w:spacing w:val="-3"/>
          <w:w w:val="105"/>
          <w:sz w:val="21"/>
        </w:rPr>
        <w:t>recommends that any </w:t>
      </w:r>
      <w:r>
        <w:rPr>
          <w:w w:val="105"/>
          <w:sz w:val="21"/>
        </w:rPr>
        <w:t>works carried out by the affected </w:t>
      </w:r>
      <w:r>
        <w:rPr>
          <w:spacing w:val="-3"/>
          <w:w w:val="105"/>
          <w:sz w:val="21"/>
        </w:rPr>
        <w:t>neighbour pursuant to </w:t>
      </w:r>
      <w:r>
        <w:rPr>
          <w:w w:val="105"/>
          <w:sz w:val="21"/>
        </w:rPr>
        <w:t>this power should </w:t>
      </w:r>
      <w:r>
        <w:rPr>
          <w:spacing w:val="-3"/>
          <w:w w:val="105"/>
          <w:sz w:val="21"/>
        </w:rPr>
        <w:t>require </w:t>
      </w:r>
      <w:r>
        <w:rPr>
          <w:spacing w:val="-6"/>
          <w:w w:val="105"/>
          <w:sz w:val="21"/>
        </w:rPr>
        <w:t>VCAT’s </w:t>
      </w:r>
      <w:r>
        <w:rPr>
          <w:w w:val="105"/>
          <w:sz w:val="21"/>
        </w:rPr>
        <w:t>permission</w:t>
      </w:r>
      <w:r>
        <w:rPr>
          <w:spacing w:val="-6"/>
          <w:w w:val="105"/>
          <w:sz w:val="21"/>
        </w:rPr>
        <w:t> </w:t>
      </w:r>
      <w:r>
        <w:rPr>
          <w:spacing w:val="-3"/>
          <w:w w:val="105"/>
          <w:sz w:val="21"/>
        </w:rPr>
        <w:t>to</w:t>
      </w:r>
      <w:r>
        <w:rPr>
          <w:spacing w:val="-5"/>
          <w:w w:val="105"/>
          <w:sz w:val="21"/>
        </w:rPr>
        <w:t> </w:t>
      </w:r>
      <w:r>
        <w:rPr>
          <w:spacing w:val="-3"/>
          <w:w w:val="105"/>
          <w:sz w:val="21"/>
        </w:rPr>
        <w:t>enter</w:t>
      </w:r>
      <w:r>
        <w:rPr>
          <w:spacing w:val="-5"/>
          <w:w w:val="105"/>
          <w:sz w:val="21"/>
        </w:rPr>
        <w:t> </w:t>
      </w:r>
      <w:r>
        <w:rPr>
          <w:w w:val="105"/>
          <w:sz w:val="21"/>
        </w:rPr>
        <w:t>the</w:t>
      </w:r>
      <w:r>
        <w:rPr>
          <w:spacing w:val="-5"/>
          <w:w w:val="105"/>
          <w:sz w:val="21"/>
        </w:rPr>
        <w:t> </w:t>
      </w:r>
      <w:r>
        <w:rPr>
          <w:w w:val="105"/>
          <w:sz w:val="21"/>
        </w:rPr>
        <w:t>tree</w:t>
      </w:r>
      <w:r>
        <w:rPr>
          <w:spacing w:val="-5"/>
          <w:w w:val="105"/>
          <w:sz w:val="21"/>
        </w:rPr>
        <w:t> </w:t>
      </w:r>
      <w:r>
        <w:rPr>
          <w:spacing w:val="-3"/>
          <w:w w:val="105"/>
          <w:sz w:val="21"/>
        </w:rPr>
        <w:t>owner’s</w:t>
      </w:r>
      <w:r>
        <w:rPr>
          <w:spacing w:val="-5"/>
          <w:w w:val="105"/>
          <w:sz w:val="21"/>
        </w:rPr>
        <w:t> </w:t>
      </w:r>
      <w:r>
        <w:rPr>
          <w:spacing w:val="-3"/>
          <w:w w:val="105"/>
          <w:sz w:val="21"/>
        </w:rPr>
        <w:t>land.</w:t>
      </w:r>
      <w:r>
        <w:rPr>
          <w:spacing w:val="-6"/>
          <w:w w:val="105"/>
          <w:sz w:val="21"/>
        </w:rPr>
        <w:t> </w:t>
      </w:r>
      <w:r>
        <w:rPr>
          <w:spacing w:val="-3"/>
          <w:w w:val="105"/>
          <w:sz w:val="21"/>
        </w:rPr>
        <w:t>Additional</w:t>
      </w:r>
      <w:r>
        <w:rPr>
          <w:spacing w:val="-5"/>
          <w:w w:val="105"/>
          <w:sz w:val="21"/>
        </w:rPr>
        <w:t> </w:t>
      </w:r>
      <w:r>
        <w:rPr>
          <w:spacing w:val="-3"/>
          <w:w w:val="105"/>
          <w:sz w:val="21"/>
        </w:rPr>
        <w:t>safeguards</w:t>
      </w:r>
      <w:r>
        <w:rPr>
          <w:spacing w:val="-5"/>
          <w:w w:val="105"/>
          <w:sz w:val="21"/>
        </w:rPr>
        <w:t> </w:t>
      </w:r>
      <w:r>
        <w:rPr>
          <w:w w:val="105"/>
          <w:sz w:val="21"/>
        </w:rPr>
        <w:t>in</w:t>
      </w:r>
      <w:r>
        <w:rPr>
          <w:spacing w:val="-5"/>
          <w:w w:val="105"/>
          <w:sz w:val="21"/>
        </w:rPr>
        <w:t> </w:t>
      </w:r>
      <w:r>
        <w:rPr>
          <w:spacing w:val="-3"/>
          <w:w w:val="105"/>
          <w:sz w:val="21"/>
        </w:rPr>
        <w:t>line</w:t>
      </w:r>
      <w:r>
        <w:rPr>
          <w:spacing w:val="-5"/>
          <w:w w:val="105"/>
          <w:sz w:val="21"/>
        </w:rPr>
        <w:t> </w:t>
      </w:r>
      <w:r>
        <w:rPr>
          <w:w w:val="105"/>
          <w:sz w:val="21"/>
        </w:rPr>
        <w:t>with</w:t>
      </w:r>
      <w:r>
        <w:rPr>
          <w:spacing w:val="-5"/>
          <w:w w:val="105"/>
          <w:sz w:val="21"/>
        </w:rPr>
        <w:t> </w:t>
      </w:r>
      <w:r>
        <w:rPr>
          <w:w w:val="105"/>
          <w:sz w:val="21"/>
        </w:rPr>
        <w:t>the</w:t>
      </w:r>
      <w:r>
        <w:rPr>
          <w:spacing w:val="-6"/>
          <w:w w:val="105"/>
          <w:sz w:val="21"/>
        </w:rPr>
        <w:t> </w:t>
      </w:r>
      <w:r>
        <w:rPr>
          <w:w w:val="105"/>
          <w:sz w:val="21"/>
        </w:rPr>
        <w:t>approach </w:t>
      </w:r>
      <w:r>
        <w:rPr>
          <w:spacing w:val="-3"/>
          <w:w w:val="105"/>
          <w:sz w:val="21"/>
        </w:rPr>
        <w:t>taken </w:t>
      </w:r>
      <w:r>
        <w:rPr>
          <w:w w:val="105"/>
          <w:sz w:val="21"/>
        </w:rPr>
        <w:t>by the NSWLEC </w:t>
      </w:r>
      <w:r>
        <w:rPr>
          <w:spacing w:val="-3"/>
          <w:w w:val="105"/>
          <w:sz w:val="21"/>
        </w:rPr>
        <w:t>for </w:t>
      </w:r>
      <w:r>
        <w:rPr>
          <w:w w:val="105"/>
          <w:sz w:val="21"/>
        </w:rPr>
        <w:t>third-party </w:t>
      </w:r>
      <w:r>
        <w:rPr>
          <w:spacing w:val="-2"/>
          <w:w w:val="105"/>
          <w:sz w:val="21"/>
        </w:rPr>
        <w:t>access </w:t>
      </w:r>
      <w:r>
        <w:rPr>
          <w:spacing w:val="-3"/>
          <w:w w:val="105"/>
          <w:sz w:val="21"/>
        </w:rPr>
        <w:t>to adjoining land to </w:t>
      </w:r>
      <w:r>
        <w:rPr>
          <w:w w:val="105"/>
          <w:sz w:val="21"/>
        </w:rPr>
        <w:t>carry out an inspection</w:t>
      </w:r>
      <w:r>
        <w:rPr>
          <w:w w:val="105"/>
          <w:position w:val="7"/>
          <w:sz w:val="12"/>
        </w:rPr>
        <w:t>220</w:t>
      </w:r>
      <w:r>
        <w:rPr>
          <w:w w:val="105"/>
          <w:sz w:val="12"/>
        </w:rPr>
        <w:t> </w:t>
      </w:r>
      <w:r>
        <w:rPr>
          <w:spacing w:val="-3"/>
          <w:w w:val="105"/>
          <w:sz w:val="21"/>
        </w:rPr>
        <w:t>may </w:t>
      </w:r>
      <w:r>
        <w:rPr>
          <w:w w:val="105"/>
          <w:sz w:val="21"/>
        </w:rPr>
        <w:t>also be prudent,</w:t>
      </w:r>
      <w:r>
        <w:rPr>
          <w:spacing w:val="22"/>
          <w:w w:val="105"/>
          <w:sz w:val="21"/>
        </w:rPr>
        <w:t> </w:t>
      </w:r>
      <w:r>
        <w:rPr>
          <w:w w:val="105"/>
          <w:sz w:val="21"/>
        </w:rPr>
        <w:t>namely:</w:t>
      </w:r>
    </w:p>
    <w:p>
      <w:pPr>
        <w:pStyle w:val="ListParagraph"/>
        <w:numPr>
          <w:ilvl w:val="1"/>
          <w:numId w:val="157"/>
        </w:numPr>
        <w:tabs>
          <w:tab w:pos="2721" w:val="left" w:leader="none"/>
          <w:tab w:pos="2722" w:val="left" w:leader="none"/>
        </w:tabs>
        <w:spacing w:line="242" w:lineRule="auto" w:before="126" w:after="0"/>
        <w:ind w:left="2721" w:right="2121" w:hanging="340"/>
        <w:jc w:val="left"/>
        <w:rPr>
          <w:sz w:val="21"/>
        </w:rPr>
      </w:pPr>
      <w:r>
        <w:rPr>
          <w:spacing w:val="-3"/>
          <w:sz w:val="21"/>
        </w:rPr>
        <w:t>that reasonable notice </w:t>
      </w:r>
      <w:r>
        <w:rPr>
          <w:sz w:val="21"/>
        </w:rPr>
        <w:t>is given </w:t>
      </w:r>
      <w:r>
        <w:rPr>
          <w:spacing w:val="-3"/>
          <w:sz w:val="21"/>
        </w:rPr>
        <w:t>to </w:t>
      </w:r>
      <w:r>
        <w:rPr>
          <w:sz w:val="21"/>
        </w:rPr>
        <w:t>the landowner or </w:t>
      </w:r>
      <w:r>
        <w:rPr>
          <w:spacing w:val="-3"/>
          <w:sz w:val="21"/>
        </w:rPr>
        <w:t>occupier </w:t>
      </w:r>
      <w:r>
        <w:rPr>
          <w:sz w:val="21"/>
        </w:rPr>
        <w:t>whose </w:t>
      </w:r>
      <w:r>
        <w:rPr>
          <w:spacing w:val="-3"/>
          <w:sz w:val="21"/>
        </w:rPr>
        <w:t>land </w:t>
      </w:r>
      <w:r>
        <w:rPr>
          <w:sz w:val="21"/>
        </w:rPr>
        <w:t>is </w:t>
      </w:r>
      <w:r>
        <w:rPr>
          <w:spacing w:val="-3"/>
          <w:sz w:val="21"/>
        </w:rPr>
        <w:t>to </w:t>
      </w:r>
      <w:r>
        <w:rPr>
          <w:sz w:val="21"/>
        </w:rPr>
        <w:t>be accessed by the</w:t>
      </w:r>
      <w:r>
        <w:rPr>
          <w:spacing w:val="25"/>
          <w:sz w:val="21"/>
        </w:rPr>
        <w:t> </w:t>
      </w:r>
      <w:r>
        <w:rPr>
          <w:spacing w:val="-3"/>
          <w:sz w:val="21"/>
        </w:rPr>
        <w:t>applicant</w:t>
      </w:r>
    </w:p>
    <w:p>
      <w:pPr>
        <w:pStyle w:val="ListParagraph"/>
        <w:numPr>
          <w:ilvl w:val="1"/>
          <w:numId w:val="157"/>
        </w:numPr>
        <w:tabs>
          <w:tab w:pos="2721" w:val="left" w:leader="none"/>
          <w:tab w:pos="2722" w:val="left" w:leader="none"/>
        </w:tabs>
        <w:spacing w:line="240" w:lineRule="auto" w:before="87" w:after="0"/>
        <w:ind w:left="2721" w:right="0" w:hanging="340"/>
        <w:jc w:val="left"/>
        <w:rPr>
          <w:sz w:val="21"/>
        </w:rPr>
      </w:pPr>
      <w:r>
        <w:rPr>
          <w:spacing w:val="-3"/>
          <w:sz w:val="21"/>
        </w:rPr>
        <w:t>that  </w:t>
      </w:r>
      <w:r>
        <w:rPr>
          <w:spacing w:val="-2"/>
          <w:sz w:val="21"/>
        </w:rPr>
        <w:t>access  </w:t>
      </w:r>
      <w:r>
        <w:rPr>
          <w:sz w:val="21"/>
        </w:rPr>
        <w:t>only </w:t>
      </w:r>
      <w:r>
        <w:rPr>
          <w:spacing w:val="-3"/>
          <w:sz w:val="21"/>
        </w:rPr>
        <w:t>occur  </w:t>
      </w:r>
      <w:r>
        <w:rPr>
          <w:sz w:val="21"/>
        </w:rPr>
        <w:t>at a </w:t>
      </w:r>
      <w:r>
        <w:rPr>
          <w:spacing w:val="-3"/>
          <w:sz w:val="21"/>
        </w:rPr>
        <w:t>reasonable  </w:t>
      </w:r>
      <w:r>
        <w:rPr>
          <w:sz w:val="21"/>
        </w:rPr>
        <w:t>time </w:t>
      </w:r>
      <w:r>
        <w:rPr>
          <w:spacing w:val="-3"/>
          <w:sz w:val="21"/>
        </w:rPr>
        <w:t>during  </w:t>
      </w:r>
      <w:r>
        <w:rPr>
          <w:sz w:val="21"/>
        </w:rPr>
        <w:t>the</w:t>
      </w:r>
      <w:r>
        <w:rPr>
          <w:spacing w:val="6"/>
          <w:sz w:val="21"/>
        </w:rPr>
        <w:t> </w:t>
      </w:r>
      <w:r>
        <w:rPr>
          <w:spacing w:val="-3"/>
          <w:sz w:val="21"/>
        </w:rPr>
        <w:t>day</w:t>
      </w:r>
    </w:p>
    <w:p>
      <w:pPr>
        <w:pStyle w:val="ListParagraph"/>
        <w:numPr>
          <w:ilvl w:val="1"/>
          <w:numId w:val="157"/>
        </w:numPr>
        <w:tabs>
          <w:tab w:pos="2721" w:val="left" w:leader="none"/>
          <w:tab w:pos="2722" w:val="left" w:leader="none"/>
        </w:tabs>
        <w:spacing w:line="240" w:lineRule="auto" w:before="89" w:after="0"/>
        <w:ind w:left="2721" w:right="0" w:hanging="340"/>
        <w:jc w:val="left"/>
        <w:rPr>
          <w:sz w:val="21"/>
        </w:rPr>
      </w:pPr>
      <w:r>
        <w:rPr>
          <w:spacing w:val="-3"/>
          <w:w w:val="105"/>
          <w:sz w:val="21"/>
        </w:rPr>
        <w:t>any </w:t>
      </w:r>
      <w:r>
        <w:rPr>
          <w:w w:val="105"/>
          <w:sz w:val="21"/>
        </w:rPr>
        <w:t>other </w:t>
      </w:r>
      <w:r>
        <w:rPr>
          <w:spacing w:val="-3"/>
          <w:w w:val="105"/>
          <w:sz w:val="21"/>
        </w:rPr>
        <w:t>limitations that </w:t>
      </w:r>
      <w:r>
        <w:rPr>
          <w:spacing w:val="-5"/>
          <w:w w:val="105"/>
          <w:sz w:val="21"/>
        </w:rPr>
        <w:t>VCAT </w:t>
      </w:r>
      <w:r>
        <w:rPr>
          <w:w w:val="105"/>
          <w:sz w:val="21"/>
        </w:rPr>
        <w:t>considers </w:t>
      </w:r>
      <w:r>
        <w:rPr>
          <w:spacing w:val="-3"/>
          <w:w w:val="105"/>
          <w:sz w:val="21"/>
        </w:rPr>
        <w:t>are</w:t>
      </w:r>
      <w:r>
        <w:rPr>
          <w:spacing w:val="-36"/>
          <w:w w:val="105"/>
          <w:sz w:val="21"/>
        </w:rPr>
        <w:t> </w:t>
      </w:r>
      <w:r>
        <w:rPr>
          <w:spacing w:val="-3"/>
          <w:w w:val="105"/>
          <w:sz w:val="21"/>
        </w:rPr>
        <w:t>appropriate.</w:t>
      </w:r>
    </w:p>
    <w:p>
      <w:pPr>
        <w:pStyle w:val="BodyText"/>
        <w:spacing w:before="5"/>
        <w:rPr>
          <w:sz w:val="20"/>
        </w:rPr>
      </w:pPr>
      <w:r>
        <w:rPr/>
        <w:pict>
          <v:group style="position:absolute;margin-left:62.362202pt;margin-top:14.423533pt;width:479.1pt;height:83.4pt;mso-position-horizontal-relative:page;mso-position-vertical-relative:paragraph;z-index:9176;mso-wrap-distance-left:0;mso-wrap-distance-right:0" coordorigin="1247,288" coordsize="9582,1668">
            <v:rect style="position:absolute;left:1587;top:288;width:8731;height:1668" filled="true" fillcolor="#dbe0dd" stroked="false">
              <v:fill type="solid"/>
            </v:rect>
            <v:line style="position:absolute" from="1247,1035" to="10828,1035" stroked="true" strokeweight="2.5pt" strokecolor="#ffffff">
              <v:stroke dashstyle="solid"/>
            </v:line>
            <v:shape style="position:absolute;left:1587;top:1060;width:8731;height:896" type="#_x0000_t202" filled="true" fillcolor="#dbe0dd" stroked="false">
              <v:textbox inset="0,0,0,0">
                <w:txbxContent>
                  <w:p>
                    <w:pPr>
                      <w:tabs>
                        <w:tab w:pos="793" w:val="left" w:leader="none"/>
                      </w:tabs>
                      <w:spacing w:line="242" w:lineRule="auto" w:before="208"/>
                      <w:ind w:left="793" w:right="596" w:hanging="567"/>
                      <w:jc w:val="left"/>
                      <w:rPr>
                        <w:sz w:val="21"/>
                      </w:rPr>
                    </w:pPr>
                    <w:r>
                      <w:rPr>
                        <w:b/>
                        <w:w w:val="115"/>
                        <w:sz w:val="21"/>
                      </w:rPr>
                      <w:t>36</w:t>
                      <w:tab/>
                    </w:r>
                    <w:r>
                      <w:rPr>
                        <w:w w:val="115"/>
                        <w:sz w:val="21"/>
                      </w:rPr>
                      <w:t>The</w:t>
                    </w:r>
                    <w:r>
                      <w:rPr>
                        <w:spacing w:val="-7"/>
                        <w:w w:val="115"/>
                        <w:sz w:val="21"/>
                      </w:rPr>
                      <w:t> </w:t>
                    </w:r>
                    <w:r>
                      <w:rPr>
                        <w:w w:val="115"/>
                        <w:sz w:val="21"/>
                      </w:rPr>
                      <w:t>Act</w:t>
                    </w:r>
                    <w:r>
                      <w:rPr>
                        <w:spacing w:val="-7"/>
                        <w:w w:val="115"/>
                        <w:sz w:val="21"/>
                      </w:rPr>
                      <w:t> </w:t>
                    </w:r>
                    <w:r>
                      <w:rPr>
                        <w:w w:val="115"/>
                        <w:sz w:val="21"/>
                      </w:rPr>
                      <w:t>should</w:t>
                    </w:r>
                    <w:r>
                      <w:rPr>
                        <w:spacing w:val="-6"/>
                        <w:w w:val="115"/>
                        <w:sz w:val="21"/>
                      </w:rPr>
                      <w:t> </w:t>
                    </w:r>
                    <w:r>
                      <w:rPr>
                        <w:w w:val="115"/>
                        <w:sz w:val="21"/>
                      </w:rPr>
                      <w:t>include</w:t>
                    </w:r>
                    <w:r>
                      <w:rPr>
                        <w:spacing w:val="-7"/>
                        <w:w w:val="115"/>
                        <w:sz w:val="21"/>
                      </w:rPr>
                      <w:t> </w:t>
                    </w:r>
                    <w:r>
                      <w:rPr>
                        <w:w w:val="115"/>
                        <w:sz w:val="21"/>
                      </w:rPr>
                      <w:t>a</w:t>
                    </w:r>
                    <w:r>
                      <w:rPr>
                        <w:spacing w:val="-6"/>
                        <w:w w:val="115"/>
                        <w:sz w:val="21"/>
                      </w:rPr>
                      <w:t> </w:t>
                    </w:r>
                    <w:r>
                      <w:rPr>
                        <w:w w:val="115"/>
                        <w:sz w:val="21"/>
                      </w:rPr>
                      <w:t>penalty,</w:t>
                    </w:r>
                    <w:r>
                      <w:rPr>
                        <w:spacing w:val="-7"/>
                        <w:w w:val="115"/>
                        <w:sz w:val="21"/>
                      </w:rPr>
                      <w:t> </w:t>
                    </w:r>
                    <w:r>
                      <w:rPr>
                        <w:w w:val="115"/>
                        <w:sz w:val="21"/>
                      </w:rPr>
                      <w:t>to</w:t>
                    </w:r>
                    <w:r>
                      <w:rPr>
                        <w:spacing w:val="-6"/>
                        <w:w w:val="115"/>
                        <w:sz w:val="21"/>
                      </w:rPr>
                      <w:t> </w:t>
                    </w:r>
                    <w:r>
                      <w:rPr>
                        <w:w w:val="115"/>
                        <w:sz w:val="21"/>
                      </w:rPr>
                      <w:t>be</w:t>
                    </w:r>
                    <w:r>
                      <w:rPr>
                        <w:spacing w:val="-7"/>
                        <w:w w:val="115"/>
                        <w:sz w:val="21"/>
                      </w:rPr>
                      <w:t> </w:t>
                    </w:r>
                    <w:r>
                      <w:rPr>
                        <w:w w:val="115"/>
                        <w:sz w:val="21"/>
                      </w:rPr>
                      <w:t>determined</w:t>
                    </w:r>
                    <w:r>
                      <w:rPr>
                        <w:spacing w:val="-6"/>
                        <w:w w:val="115"/>
                        <w:sz w:val="21"/>
                      </w:rPr>
                      <w:t> </w:t>
                    </w:r>
                    <w:r>
                      <w:rPr>
                        <w:w w:val="115"/>
                        <w:sz w:val="21"/>
                      </w:rPr>
                      <w:t>by</w:t>
                    </w:r>
                    <w:r>
                      <w:rPr>
                        <w:spacing w:val="-7"/>
                        <w:w w:val="115"/>
                        <w:sz w:val="21"/>
                      </w:rPr>
                      <w:t> </w:t>
                    </w:r>
                    <w:r>
                      <w:rPr>
                        <w:w w:val="115"/>
                        <w:sz w:val="21"/>
                      </w:rPr>
                      <w:t>Government,</w:t>
                    </w:r>
                    <w:r>
                      <w:rPr>
                        <w:spacing w:val="-6"/>
                        <w:w w:val="115"/>
                        <w:sz w:val="21"/>
                      </w:rPr>
                      <w:t> </w:t>
                    </w:r>
                    <w:r>
                      <w:rPr>
                        <w:w w:val="115"/>
                        <w:sz w:val="21"/>
                      </w:rPr>
                      <w:t>for</w:t>
                    </w:r>
                    <w:r>
                      <w:rPr>
                        <w:spacing w:val="-7"/>
                        <w:w w:val="115"/>
                        <w:sz w:val="21"/>
                      </w:rPr>
                      <w:t> </w:t>
                    </w:r>
                    <w:r>
                      <w:rPr>
                        <w:w w:val="115"/>
                        <w:sz w:val="21"/>
                      </w:rPr>
                      <w:t>the </w:t>
                    </w:r>
                    <w:r>
                      <w:rPr>
                        <w:spacing w:val="-3"/>
                        <w:w w:val="115"/>
                        <w:sz w:val="21"/>
                      </w:rPr>
                      <w:t>failure </w:t>
                    </w:r>
                    <w:r>
                      <w:rPr>
                        <w:w w:val="115"/>
                        <w:sz w:val="21"/>
                      </w:rPr>
                      <w:t>to comply with an</w:t>
                    </w:r>
                    <w:r>
                      <w:rPr>
                        <w:spacing w:val="6"/>
                        <w:w w:val="115"/>
                        <w:sz w:val="21"/>
                      </w:rPr>
                      <w:t> </w:t>
                    </w:r>
                    <w:r>
                      <w:rPr>
                        <w:spacing w:val="-4"/>
                        <w:w w:val="115"/>
                        <w:sz w:val="21"/>
                      </w:rPr>
                      <w:t>order.</w:t>
                    </w:r>
                  </w:p>
                </w:txbxContent>
              </v:textbox>
              <v:fill type="solid"/>
              <w10:wrap type="none"/>
            </v:shape>
            <v:shape style="position:absolute;left:1587;top:288;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r>
        <w:rPr/>
        <w:pict>
          <v:line style="position:absolute;mso-position-horizontal-relative:page;mso-position-vertical-relative:paragraph;z-index:9200;mso-wrap-distance-left:0;mso-wrap-distance-right:0" from="79.370102pt,16.102743pt" to="515.905102pt,16.10274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59"/>
        </w:numPr>
        <w:tabs>
          <w:tab w:pos="2380" w:val="left" w:leader="none"/>
          <w:tab w:pos="2382" w:val="left" w:leader="none"/>
        </w:tabs>
        <w:spacing w:line="240" w:lineRule="auto" w:before="48" w:after="0"/>
        <w:ind w:left="2381" w:right="0" w:hanging="794"/>
        <w:jc w:val="left"/>
        <w:rPr>
          <w:sz w:val="13"/>
        </w:rPr>
      </w:pPr>
      <w:r>
        <w:rPr>
          <w:w w:val="105"/>
          <w:sz w:val="13"/>
        </w:rPr>
        <w:t>Note also during the NSW Act’s statutory review the NSW Department of Justice and Attorney General found that local councils usually       do not agree to enforce orders on the request of neighbours: See Department of Justice and Attorney General </w:t>
      </w:r>
      <w:r>
        <w:rPr>
          <w:spacing w:val="3"/>
          <w:w w:val="105"/>
          <w:sz w:val="13"/>
        </w:rPr>
        <w:t>(NSW), </w:t>
      </w:r>
      <w:r>
        <w:rPr>
          <w:i/>
          <w:w w:val="105"/>
          <w:sz w:val="13"/>
        </w:rPr>
        <w:t>Review of the Trees </w:t>
      </w:r>
      <w:r>
        <w:rPr>
          <w:i/>
          <w:w w:val="105"/>
          <w:sz w:val="13"/>
        </w:rPr>
        <w:t>(Disputes Between Neighbours) Act 2006 </w:t>
      </w:r>
      <w:r>
        <w:rPr>
          <w:spacing w:val="3"/>
          <w:w w:val="105"/>
          <w:sz w:val="13"/>
        </w:rPr>
        <w:t>(NSW) </w:t>
      </w:r>
      <w:r>
        <w:rPr>
          <w:spacing w:val="2"/>
          <w:w w:val="105"/>
          <w:sz w:val="13"/>
        </w:rPr>
        <w:t>(Report, 2009)</w:t>
      </w:r>
      <w:r>
        <w:rPr>
          <w:spacing w:val="3"/>
          <w:w w:val="105"/>
          <w:sz w:val="13"/>
        </w:rPr>
        <w:t> </w:t>
      </w:r>
      <w:r>
        <w:rPr>
          <w:spacing w:val="-6"/>
          <w:w w:val="105"/>
          <w:sz w:val="13"/>
        </w:rPr>
        <w:t>17.</w:t>
      </w:r>
    </w:p>
    <w:p>
      <w:pPr>
        <w:pStyle w:val="ListParagraph"/>
        <w:numPr>
          <w:ilvl w:val="0"/>
          <w:numId w:val="159"/>
        </w:numPr>
        <w:tabs>
          <w:tab w:pos="2380" w:val="left" w:leader="none"/>
          <w:tab w:pos="2382" w:val="left" w:leader="none"/>
        </w:tabs>
        <w:spacing w:line="240" w:lineRule="auto" w:before="4" w:after="0"/>
        <w:ind w:left="2381" w:right="0" w:hanging="794"/>
        <w:jc w:val="left"/>
        <w:rPr>
          <w:sz w:val="13"/>
        </w:rPr>
      </w:pPr>
      <w:r>
        <w:rPr>
          <w:w w:val="105"/>
          <w:sz w:val="13"/>
        </w:rPr>
        <w:t>Supplementary Consultation 1 (Victorian Civil and Administrative</w:t>
      </w:r>
      <w:r>
        <w:rPr>
          <w:spacing w:val="2"/>
          <w:w w:val="105"/>
          <w:sz w:val="13"/>
        </w:rPr>
        <w:t> </w:t>
      </w:r>
      <w:r>
        <w:rPr>
          <w:w w:val="105"/>
          <w:sz w:val="13"/>
        </w:rPr>
        <w:t>Tribunal).</w:t>
      </w:r>
    </w:p>
    <w:p>
      <w:pPr>
        <w:pStyle w:val="ListParagraph"/>
        <w:numPr>
          <w:ilvl w:val="0"/>
          <w:numId w:val="159"/>
        </w:numPr>
        <w:tabs>
          <w:tab w:pos="2380" w:val="left" w:leader="none"/>
          <w:tab w:pos="2382" w:val="left" w:leader="none"/>
        </w:tabs>
        <w:spacing w:line="240" w:lineRule="auto" w:before="1" w:after="0"/>
        <w:ind w:left="2381" w:right="0" w:hanging="794"/>
        <w:jc w:val="left"/>
        <w:rPr>
          <w:sz w:val="13"/>
        </w:rPr>
      </w:pPr>
      <w:r>
        <w:rPr>
          <w:w w:val="105"/>
          <w:sz w:val="13"/>
        </w:rPr>
        <w:t>See</w:t>
      </w:r>
      <w:r>
        <w:rPr>
          <w:spacing w:val="5"/>
          <w:w w:val="105"/>
          <w:sz w:val="13"/>
        </w:rPr>
        <w:t> </w:t>
      </w:r>
      <w:r>
        <w:rPr>
          <w:w w:val="105"/>
          <w:sz w:val="13"/>
        </w:rPr>
        <w:t>Ch</w:t>
      </w:r>
      <w:r>
        <w:rPr>
          <w:spacing w:val="6"/>
          <w:w w:val="105"/>
          <w:sz w:val="13"/>
        </w:rPr>
        <w:t> </w:t>
      </w:r>
      <w:r>
        <w:rPr>
          <w:spacing w:val="-6"/>
          <w:w w:val="105"/>
          <w:sz w:val="13"/>
        </w:rPr>
        <w:t>11</w:t>
      </w:r>
      <w:r>
        <w:rPr>
          <w:spacing w:val="6"/>
          <w:w w:val="105"/>
          <w:sz w:val="13"/>
        </w:rPr>
        <w:t> </w:t>
      </w:r>
      <w:r>
        <w:rPr>
          <w:w w:val="105"/>
          <w:sz w:val="13"/>
        </w:rPr>
        <w:t>for</w:t>
      </w:r>
      <w:r>
        <w:rPr>
          <w:spacing w:val="6"/>
          <w:w w:val="105"/>
          <w:sz w:val="13"/>
        </w:rPr>
        <w:t> </w:t>
      </w:r>
      <w:r>
        <w:rPr>
          <w:w w:val="105"/>
          <w:sz w:val="13"/>
        </w:rPr>
        <w:t>discussion</w:t>
      </w:r>
      <w:r>
        <w:rPr>
          <w:spacing w:val="6"/>
          <w:w w:val="105"/>
          <w:sz w:val="13"/>
        </w:rPr>
        <w:t> </w:t>
      </w:r>
      <w:r>
        <w:rPr>
          <w:w w:val="105"/>
          <w:sz w:val="13"/>
        </w:rPr>
        <w:t>of</w:t>
      </w:r>
      <w:r>
        <w:rPr>
          <w:spacing w:val="6"/>
          <w:w w:val="105"/>
          <w:sz w:val="13"/>
        </w:rPr>
        <w:t> </w:t>
      </w:r>
      <w:r>
        <w:rPr>
          <w:w w:val="105"/>
          <w:sz w:val="13"/>
        </w:rPr>
        <w:t>options</w:t>
      </w:r>
      <w:r>
        <w:rPr>
          <w:spacing w:val="6"/>
          <w:w w:val="105"/>
          <w:sz w:val="13"/>
        </w:rPr>
        <w:t> </w:t>
      </w:r>
      <w:r>
        <w:rPr>
          <w:w w:val="105"/>
          <w:sz w:val="13"/>
        </w:rPr>
        <w:t>when</w:t>
      </w:r>
      <w:r>
        <w:rPr>
          <w:spacing w:val="6"/>
          <w:w w:val="105"/>
          <w:sz w:val="13"/>
        </w:rPr>
        <w:t> </w:t>
      </w:r>
      <w:r>
        <w:rPr>
          <w:w w:val="105"/>
          <w:sz w:val="13"/>
        </w:rPr>
        <w:t>a</w:t>
      </w:r>
      <w:r>
        <w:rPr>
          <w:spacing w:val="6"/>
          <w:w w:val="105"/>
          <w:sz w:val="13"/>
        </w:rPr>
        <w:t> </w:t>
      </w:r>
      <w:r>
        <w:rPr>
          <w:w w:val="105"/>
          <w:sz w:val="13"/>
        </w:rPr>
        <w:t>purchaser</w:t>
      </w:r>
      <w:r>
        <w:rPr>
          <w:spacing w:val="6"/>
          <w:w w:val="105"/>
          <w:sz w:val="13"/>
        </w:rPr>
        <w:t> </w:t>
      </w:r>
      <w:r>
        <w:rPr>
          <w:w w:val="105"/>
          <w:sz w:val="13"/>
        </w:rPr>
        <w:t>of</w:t>
      </w:r>
      <w:r>
        <w:rPr>
          <w:spacing w:val="6"/>
          <w:w w:val="105"/>
          <w:sz w:val="13"/>
        </w:rPr>
        <w:t> </w:t>
      </w:r>
      <w:r>
        <w:rPr>
          <w:w w:val="105"/>
          <w:sz w:val="13"/>
        </w:rPr>
        <w:t>land</w:t>
      </w:r>
      <w:r>
        <w:rPr>
          <w:spacing w:val="6"/>
          <w:w w:val="105"/>
          <w:sz w:val="13"/>
        </w:rPr>
        <w:t> </w:t>
      </w:r>
      <w:r>
        <w:rPr>
          <w:w w:val="105"/>
          <w:sz w:val="13"/>
        </w:rPr>
        <w:t>is</w:t>
      </w:r>
      <w:r>
        <w:rPr>
          <w:spacing w:val="6"/>
          <w:w w:val="105"/>
          <w:sz w:val="13"/>
        </w:rPr>
        <w:t> </w:t>
      </w:r>
      <w:r>
        <w:rPr>
          <w:w w:val="105"/>
          <w:sz w:val="13"/>
        </w:rPr>
        <w:t>not</w:t>
      </w:r>
      <w:r>
        <w:rPr>
          <w:spacing w:val="6"/>
          <w:w w:val="105"/>
          <w:sz w:val="13"/>
        </w:rPr>
        <w:t> </w:t>
      </w:r>
      <w:r>
        <w:rPr>
          <w:w w:val="105"/>
          <w:sz w:val="13"/>
        </w:rPr>
        <w:t>properly</w:t>
      </w:r>
      <w:r>
        <w:rPr>
          <w:spacing w:val="6"/>
          <w:w w:val="105"/>
          <w:sz w:val="13"/>
        </w:rPr>
        <w:t> </w:t>
      </w:r>
      <w:r>
        <w:rPr>
          <w:w w:val="105"/>
          <w:sz w:val="13"/>
        </w:rPr>
        <w:t>informed</w:t>
      </w:r>
      <w:r>
        <w:rPr>
          <w:spacing w:val="6"/>
          <w:w w:val="105"/>
          <w:sz w:val="13"/>
        </w:rPr>
        <w:t> </w:t>
      </w:r>
      <w:r>
        <w:rPr>
          <w:w w:val="105"/>
          <w:sz w:val="13"/>
        </w:rPr>
        <w:t>about</w:t>
      </w:r>
      <w:r>
        <w:rPr>
          <w:spacing w:val="6"/>
          <w:w w:val="105"/>
          <w:sz w:val="13"/>
        </w:rPr>
        <w:t> </w:t>
      </w:r>
      <w:r>
        <w:rPr>
          <w:w w:val="105"/>
          <w:sz w:val="13"/>
        </w:rPr>
        <w:t>an</w:t>
      </w:r>
      <w:r>
        <w:rPr>
          <w:spacing w:val="6"/>
          <w:w w:val="105"/>
          <w:sz w:val="13"/>
        </w:rPr>
        <w:t> </w:t>
      </w:r>
      <w:r>
        <w:rPr>
          <w:w w:val="105"/>
          <w:sz w:val="13"/>
        </w:rPr>
        <w:t>existing</w:t>
      </w:r>
      <w:r>
        <w:rPr>
          <w:spacing w:val="6"/>
          <w:w w:val="105"/>
          <w:sz w:val="13"/>
        </w:rPr>
        <w:t> </w:t>
      </w:r>
      <w:r>
        <w:rPr>
          <w:w w:val="105"/>
          <w:sz w:val="13"/>
        </w:rPr>
        <w:t>action</w:t>
      </w:r>
      <w:r>
        <w:rPr>
          <w:spacing w:val="6"/>
          <w:w w:val="105"/>
          <w:sz w:val="13"/>
        </w:rPr>
        <w:t> </w:t>
      </w:r>
      <w:r>
        <w:rPr>
          <w:w w:val="105"/>
          <w:sz w:val="13"/>
        </w:rPr>
        <w:t>in</w:t>
      </w:r>
      <w:r>
        <w:rPr>
          <w:spacing w:val="6"/>
          <w:w w:val="105"/>
          <w:sz w:val="13"/>
        </w:rPr>
        <w:t> </w:t>
      </w:r>
      <w:r>
        <w:rPr>
          <w:w w:val="105"/>
          <w:sz w:val="13"/>
        </w:rPr>
        <w:t>VCAT</w:t>
      </w:r>
      <w:r>
        <w:rPr>
          <w:spacing w:val="6"/>
          <w:w w:val="105"/>
          <w:sz w:val="13"/>
        </w:rPr>
        <w:t> </w:t>
      </w:r>
      <w:r>
        <w:rPr>
          <w:w w:val="105"/>
          <w:sz w:val="13"/>
        </w:rPr>
        <w:t>or</w:t>
      </w:r>
      <w:r>
        <w:rPr>
          <w:spacing w:val="6"/>
          <w:w w:val="105"/>
          <w:sz w:val="13"/>
        </w:rPr>
        <w:t> </w:t>
      </w:r>
      <w:r>
        <w:rPr>
          <w:w w:val="105"/>
          <w:sz w:val="13"/>
        </w:rPr>
        <w:t>an</w:t>
      </w:r>
      <w:r>
        <w:rPr>
          <w:spacing w:val="6"/>
          <w:w w:val="105"/>
          <w:sz w:val="13"/>
        </w:rPr>
        <w:t> </w:t>
      </w:r>
      <w:r>
        <w:rPr>
          <w:w w:val="105"/>
          <w:sz w:val="13"/>
        </w:rPr>
        <w:t>order.</w:t>
      </w:r>
    </w:p>
    <w:p>
      <w:pPr>
        <w:pStyle w:val="ListParagraph"/>
        <w:numPr>
          <w:ilvl w:val="0"/>
          <w:numId w:val="159"/>
        </w:numPr>
        <w:tabs>
          <w:tab w:pos="2380" w:val="left" w:leader="none"/>
          <w:tab w:pos="2382" w:val="left" w:leader="none"/>
        </w:tabs>
        <w:spacing w:line="240" w:lineRule="auto" w:before="2" w:after="0"/>
        <w:ind w:left="2381" w:right="0" w:hanging="794"/>
        <w:jc w:val="left"/>
        <w:rPr>
          <w:sz w:val="13"/>
        </w:rPr>
      </w:pPr>
      <w:r>
        <w:rPr>
          <w:i/>
          <w:w w:val="105"/>
          <w:sz w:val="13"/>
        </w:rPr>
        <w:t>Planning and Environment Act 1987 </w:t>
      </w:r>
      <w:r>
        <w:rPr>
          <w:spacing w:val="2"/>
          <w:w w:val="105"/>
          <w:sz w:val="13"/>
        </w:rPr>
        <w:t>(Vic) </w:t>
      </w:r>
      <w:r>
        <w:rPr>
          <w:w w:val="105"/>
          <w:sz w:val="13"/>
        </w:rPr>
        <w:t>s</w:t>
      </w:r>
      <w:r>
        <w:rPr>
          <w:spacing w:val="30"/>
          <w:w w:val="105"/>
          <w:sz w:val="13"/>
        </w:rPr>
        <w:t> </w:t>
      </w:r>
      <w:r>
        <w:rPr>
          <w:w w:val="105"/>
          <w:sz w:val="13"/>
        </w:rPr>
        <w:t>123.</w:t>
      </w:r>
    </w:p>
    <w:p>
      <w:pPr>
        <w:pStyle w:val="ListParagraph"/>
        <w:numPr>
          <w:ilvl w:val="0"/>
          <w:numId w:val="159"/>
        </w:numPr>
        <w:tabs>
          <w:tab w:pos="2380" w:val="left" w:leader="none"/>
          <w:tab w:pos="2382" w:val="left" w:leader="none"/>
        </w:tabs>
        <w:spacing w:line="240" w:lineRule="auto" w:before="1" w:after="0"/>
        <w:ind w:left="2381" w:right="0" w:hanging="794"/>
        <w:jc w:val="left"/>
        <w:rPr>
          <w:sz w:val="13"/>
        </w:rPr>
      </w:pPr>
      <w:r>
        <w:rPr>
          <w:i/>
          <w:w w:val="105"/>
          <w:sz w:val="13"/>
        </w:rPr>
        <w:t>Fences Act 1968 </w:t>
      </w:r>
      <w:r>
        <w:rPr>
          <w:spacing w:val="2"/>
          <w:w w:val="105"/>
          <w:sz w:val="13"/>
        </w:rPr>
        <w:t>(Vic) </w:t>
      </w:r>
      <w:r>
        <w:rPr>
          <w:w w:val="105"/>
          <w:sz w:val="13"/>
        </w:rPr>
        <w:t>s </w:t>
      </w:r>
      <w:r>
        <w:rPr>
          <w:spacing w:val="2"/>
          <w:w w:val="105"/>
          <w:sz w:val="13"/>
        </w:rPr>
        <w:t>30F </w:t>
      </w:r>
      <w:r>
        <w:rPr>
          <w:w w:val="105"/>
          <w:sz w:val="13"/>
        </w:rPr>
        <w:t>and</w:t>
      </w:r>
      <w:r>
        <w:rPr>
          <w:spacing w:val="28"/>
          <w:w w:val="105"/>
          <w:sz w:val="13"/>
        </w:rPr>
        <w:t> </w:t>
      </w:r>
      <w:r>
        <w:rPr>
          <w:spacing w:val="2"/>
          <w:w w:val="105"/>
          <w:sz w:val="13"/>
        </w:rPr>
        <w:t>30I.</w:t>
      </w:r>
    </w:p>
    <w:p>
      <w:pPr>
        <w:pStyle w:val="ListParagraph"/>
        <w:numPr>
          <w:ilvl w:val="0"/>
          <w:numId w:val="159"/>
        </w:numPr>
        <w:tabs>
          <w:tab w:pos="2381" w:val="left" w:leader="none"/>
          <w:tab w:pos="2382" w:val="left" w:leader="none"/>
        </w:tabs>
        <w:spacing w:line="240" w:lineRule="auto" w:before="1" w:after="0"/>
        <w:ind w:left="2381" w:right="422" w:hanging="794"/>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 2015) Recommendation</w:t>
      </w:r>
      <w:r>
        <w:rPr>
          <w:spacing w:val="13"/>
          <w:w w:val="105"/>
          <w:sz w:val="13"/>
        </w:rPr>
        <w:t> </w:t>
      </w:r>
      <w:r>
        <w:rPr>
          <w:spacing w:val="4"/>
          <w:w w:val="105"/>
          <w:sz w:val="13"/>
        </w:rPr>
        <w:t>5-1(a)–(b).</w:t>
      </w:r>
    </w:p>
    <w:p>
      <w:pPr>
        <w:pStyle w:val="ListParagraph"/>
        <w:numPr>
          <w:ilvl w:val="0"/>
          <w:numId w:val="159"/>
        </w:numPr>
        <w:tabs>
          <w:tab w:pos="2381" w:val="left" w:leader="none"/>
          <w:tab w:pos="2382" w:val="left" w:leader="none"/>
        </w:tabs>
        <w:spacing w:line="240" w:lineRule="auto" w:before="3" w:after="0"/>
        <w:ind w:left="2381" w:right="0" w:hanging="794"/>
        <w:jc w:val="left"/>
        <w:rPr>
          <w:sz w:val="13"/>
        </w:rPr>
      </w:pPr>
      <w:r>
        <w:rPr>
          <w:w w:val="105"/>
          <w:sz w:val="13"/>
        </w:rPr>
        <w:t>Land</w:t>
      </w:r>
      <w:r>
        <w:rPr>
          <w:spacing w:val="5"/>
          <w:w w:val="105"/>
          <w:sz w:val="13"/>
        </w:rPr>
        <w:t> </w:t>
      </w:r>
      <w:r>
        <w:rPr>
          <w:w w:val="105"/>
          <w:sz w:val="13"/>
        </w:rPr>
        <w:t>and</w:t>
      </w:r>
      <w:r>
        <w:rPr>
          <w:spacing w:val="5"/>
          <w:w w:val="105"/>
          <w:sz w:val="13"/>
        </w:rPr>
        <w:t> </w:t>
      </w:r>
      <w:r>
        <w:rPr>
          <w:w w:val="105"/>
          <w:sz w:val="13"/>
        </w:rPr>
        <w:t>Environment</w:t>
      </w:r>
      <w:r>
        <w:rPr>
          <w:spacing w:val="5"/>
          <w:w w:val="105"/>
          <w:sz w:val="13"/>
        </w:rPr>
        <w:t> </w:t>
      </w:r>
      <w:r>
        <w:rPr>
          <w:w w:val="105"/>
          <w:sz w:val="13"/>
        </w:rPr>
        <w:t>Court</w:t>
      </w:r>
      <w:r>
        <w:rPr>
          <w:spacing w:val="6"/>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6"/>
          <w:w w:val="105"/>
          <w:sz w:val="13"/>
        </w:rPr>
        <w:t> </w:t>
      </w:r>
      <w:r>
        <w:rPr>
          <w:w w:val="105"/>
          <w:sz w:val="13"/>
        </w:rPr>
        <w:t>Wales,</w:t>
      </w:r>
      <w:r>
        <w:rPr>
          <w:spacing w:val="5"/>
          <w:w w:val="105"/>
          <w:sz w:val="13"/>
        </w:rPr>
        <w:t> </w:t>
      </w:r>
      <w:r>
        <w:rPr>
          <w:i/>
          <w:w w:val="105"/>
          <w:sz w:val="13"/>
        </w:rPr>
        <w:t>Practice</w:t>
      </w:r>
      <w:r>
        <w:rPr>
          <w:i/>
          <w:spacing w:val="5"/>
          <w:w w:val="105"/>
          <w:sz w:val="13"/>
        </w:rPr>
        <w:t> </w:t>
      </w:r>
      <w:r>
        <w:rPr>
          <w:i/>
          <w:w w:val="105"/>
          <w:sz w:val="13"/>
        </w:rPr>
        <w:t>Note</w:t>
      </w:r>
      <w:r>
        <w:rPr>
          <w:i/>
          <w:spacing w:val="6"/>
          <w:w w:val="105"/>
          <w:sz w:val="13"/>
        </w:rPr>
        <w:t> </w:t>
      </w:r>
      <w:r>
        <w:rPr>
          <w:i/>
          <w:w w:val="105"/>
          <w:sz w:val="13"/>
        </w:rPr>
        <w:t>Class</w:t>
      </w:r>
      <w:r>
        <w:rPr>
          <w:i/>
          <w:spacing w:val="5"/>
          <w:w w:val="105"/>
          <w:sz w:val="13"/>
        </w:rPr>
        <w:t> </w:t>
      </w:r>
      <w:r>
        <w:rPr>
          <w:i/>
          <w:w w:val="105"/>
          <w:sz w:val="13"/>
        </w:rPr>
        <w:t>2:</w:t>
      </w:r>
      <w:r>
        <w:rPr>
          <w:i/>
          <w:spacing w:val="5"/>
          <w:w w:val="105"/>
          <w:sz w:val="13"/>
        </w:rPr>
        <w:t> </w:t>
      </w:r>
      <w:r>
        <w:rPr>
          <w:i/>
          <w:w w:val="105"/>
          <w:sz w:val="13"/>
        </w:rPr>
        <w:t>Tree</w:t>
      </w:r>
      <w:r>
        <w:rPr>
          <w:i/>
          <w:spacing w:val="6"/>
          <w:w w:val="105"/>
          <w:sz w:val="13"/>
        </w:rPr>
        <w:t> </w:t>
      </w:r>
      <w:r>
        <w:rPr>
          <w:i/>
          <w:w w:val="105"/>
          <w:sz w:val="13"/>
        </w:rPr>
        <w:t>Applications</w:t>
      </w:r>
      <w:r>
        <w:rPr>
          <w:w w:val="105"/>
          <w:sz w:val="13"/>
        </w:rPr>
        <w:t>,</w:t>
      </w:r>
      <w:r>
        <w:rPr>
          <w:spacing w:val="5"/>
          <w:w w:val="105"/>
          <w:sz w:val="13"/>
        </w:rPr>
        <w:t> </w:t>
      </w:r>
      <w:r>
        <w:rPr>
          <w:w w:val="105"/>
          <w:sz w:val="13"/>
        </w:rPr>
        <w:t>1</w:t>
      </w:r>
      <w:r>
        <w:rPr>
          <w:spacing w:val="5"/>
          <w:w w:val="105"/>
          <w:sz w:val="13"/>
        </w:rPr>
        <w:t> </w:t>
      </w:r>
      <w:r>
        <w:rPr>
          <w:w w:val="105"/>
          <w:sz w:val="13"/>
        </w:rPr>
        <w:t>December</w:t>
      </w:r>
      <w:r>
        <w:rPr>
          <w:spacing w:val="6"/>
          <w:w w:val="105"/>
          <w:sz w:val="13"/>
        </w:rPr>
        <w:t> </w:t>
      </w:r>
      <w:r>
        <w:rPr>
          <w:w w:val="105"/>
          <w:sz w:val="13"/>
        </w:rPr>
        <w:t>2018,</w:t>
      </w:r>
      <w:r>
        <w:rPr>
          <w:spacing w:val="5"/>
          <w:w w:val="105"/>
          <w:sz w:val="13"/>
        </w:rPr>
        <w:t> </w:t>
      </w:r>
      <w:r>
        <w:rPr>
          <w:w w:val="105"/>
          <w:sz w:val="13"/>
        </w:rPr>
        <w:t>10</w:t>
      </w:r>
    </w:p>
    <w:p>
      <w:pPr>
        <w:spacing w:before="1"/>
        <w:ind w:left="2381" w:right="11" w:firstLine="0"/>
        <w:jc w:val="left"/>
        <w:rPr>
          <w:sz w:val="13"/>
        </w:rPr>
      </w:pPr>
      <w:r>
        <w:rPr>
          <w:sz w:val="13"/>
        </w:rPr>
        <w:t>&lt;</w:t>
      </w:r>
      <w:hyperlink r:id="rId250">
        <w:r>
          <w:rPr>
            <w:sz w:val="13"/>
          </w:rPr>
          <w:t>http://www.lec.justice.nsw.gov.au/Pages/practice_procedure/practice_notes.aspx</w:t>
        </w:r>
      </w:hyperlink>
      <w:r>
        <w:rPr>
          <w:sz w:val="13"/>
        </w:rPr>
        <w:t>&gt;; Land and Environment Court of New South Wales, </w:t>
      </w:r>
      <w:r>
        <w:rPr>
          <w:i/>
          <w:sz w:val="13"/>
        </w:rPr>
        <w:t>Schedule A. Usual Directions on the Preliminary Hearing for Tree Applications </w:t>
      </w:r>
      <w:r>
        <w:rPr>
          <w:sz w:val="13"/>
        </w:rPr>
        <w:t>(November 2018) cl 13 &lt;</w:t>
      </w:r>
      <w:hyperlink r:id="rId212">
        <w:r>
          <w:rPr>
            <w:sz w:val="13"/>
          </w:rPr>
          <w:t>http://www.lec.justice.nsw.gov.au/</w:t>
        </w:r>
      </w:hyperlink>
      <w:r>
        <w:rPr>
          <w:sz w:val="13"/>
        </w:rPr>
        <w:t> Pages/types_of_disputes/class_2/Trees-hedge-disputes-process/treedisputes_prelimhearing.aspx&gt;.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8"/>
        <w:rPr>
          <w:sz w:val="40"/>
        </w:rPr>
      </w:pPr>
    </w:p>
    <w:p>
      <w:pPr>
        <w:spacing w:before="0"/>
        <w:ind w:left="634" w:right="580" w:firstLine="0"/>
        <w:jc w:val="center"/>
        <w:rPr>
          <w:b/>
          <w:sz w:val="24"/>
        </w:rPr>
      </w:pPr>
      <w:r>
        <w:rPr>
          <w:b/>
          <w:color w:val="658464"/>
          <w:w w:val="110"/>
          <w:sz w:val="24"/>
        </w:rPr>
        <w:t>215</w:t>
      </w:r>
    </w:p>
    <w:p>
      <w:pPr>
        <w:spacing w:after="0"/>
        <w:jc w:val="center"/>
        <w:rPr>
          <w:sz w:val="24"/>
        </w:rPr>
        <w:sectPr>
          <w:type w:val="continuous"/>
          <w:pgSz w:w="11910" w:h="16840"/>
          <w:pgMar w:top="300" w:bottom="280" w:left="0" w:right="0"/>
          <w:cols w:num="2" w:equalWidth="0">
            <w:col w:w="10215" w:space="39"/>
            <w:col w:w="1656"/>
          </w:cols>
        </w:sectPr>
      </w:pPr>
    </w:p>
    <w:p>
      <w:pPr>
        <w:pStyle w:val="BodyText"/>
        <w:rPr>
          <w:b/>
          <w:sz w:val="20"/>
        </w:rPr>
      </w:pPr>
    </w:p>
    <w:p>
      <w:pPr>
        <w:pStyle w:val="BodyText"/>
        <w:rPr>
          <w:b/>
          <w:sz w:val="20"/>
        </w:rPr>
      </w:pPr>
    </w:p>
    <w:p>
      <w:pPr>
        <w:pStyle w:val="BodyText"/>
        <w:spacing w:before="10"/>
        <w:rPr>
          <w:b/>
          <w:sz w:val="24"/>
        </w:rPr>
      </w:pPr>
    </w:p>
    <w:p>
      <w:pPr>
        <w:pStyle w:val="BodyText"/>
        <w:ind w:left="1222"/>
        <w:rPr>
          <w:sz w:val="20"/>
        </w:rPr>
      </w:pPr>
      <w:r>
        <w:rPr>
          <w:sz w:val="20"/>
        </w:rPr>
        <w:pict>
          <v:group style="width:479.1pt;height:263.4pt;mso-position-horizontal-relative:char;mso-position-vertical-relative:line" coordorigin="0,0" coordsize="9582,5268">
            <v:rect style="position:absolute;left:340;top:0;width:8731;height:5268" filled="true" fillcolor="#dbe0dd" stroked="false">
              <v:fill type="solid"/>
            </v:rect>
            <v:line style="position:absolute" from="0,747" to="9581,747" stroked="true" strokeweight="2.5pt" strokecolor="#ffffff">
              <v:stroke dashstyle="solid"/>
            </v:line>
            <v:shape style="position:absolute;left:340;top:771;width:8731;height:4496" type="#_x0000_t202" filled="true" fillcolor="#dbe0dd" stroked="false">
              <v:textbox inset="0,0,0,0">
                <w:txbxContent>
                  <w:p>
                    <w:pPr>
                      <w:numPr>
                        <w:ilvl w:val="0"/>
                        <w:numId w:val="160"/>
                      </w:numPr>
                      <w:tabs>
                        <w:tab w:pos="793" w:val="left" w:leader="none"/>
                        <w:tab w:pos="794" w:val="left" w:leader="none"/>
                      </w:tabs>
                      <w:spacing w:line="242" w:lineRule="auto" w:before="208"/>
                      <w:ind w:left="793" w:right="555" w:hanging="567"/>
                      <w:jc w:val="left"/>
                      <w:rPr>
                        <w:sz w:val="21"/>
                      </w:rPr>
                    </w:pPr>
                    <w:r>
                      <w:rPr>
                        <w:w w:val="115"/>
                        <w:sz w:val="21"/>
                      </w:rPr>
                      <w:t>If</w:t>
                    </w:r>
                    <w:r>
                      <w:rPr>
                        <w:spacing w:val="-6"/>
                        <w:w w:val="115"/>
                        <w:sz w:val="21"/>
                      </w:rPr>
                      <w:t> </w:t>
                    </w:r>
                    <w:r>
                      <w:rPr>
                        <w:w w:val="115"/>
                        <w:sz w:val="21"/>
                      </w:rPr>
                      <w:t>an</w:t>
                    </w:r>
                    <w:r>
                      <w:rPr>
                        <w:spacing w:val="-5"/>
                        <w:w w:val="115"/>
                        <w:sz w:val="21"/>
                      </w:rPr>
                      <w:t> </w:t>
                    </w:r>
                    <w:r>
                      <w:rPr>
                        <w:w w:val="115"/>
                        <w:sz w:val="21"/>
                      </w:rPr>
                      <w:t>order</w:t>
                    </w:r>
                    <w:r>
                      <w:rPr>
                        <w:spacing w:val="-5"/>
                        <w:w w:val="115"/>
                        <w:sz w:val="21"/>
                      </w:rPr>
                      <w:t> </w:t>
                    </w:r>
                    <w:r>
                      <w:rPr>
                        <w:w w:val="115"/>
                        <w:sz w:val="21"/>
                      </w:rPr>
                      <w:t>has</w:t>
                    </w:r>
                    <w:r>
                      <w:rPr>
                        <w:spacing w:val="-5"/>
                        <w:w w:val="115"/>
                        <w:sz w:val="21"/>
                      </w:rPr>
                      <w:t> </w:t>
                    </w:r>
                    <w:r>
                      <w:rPr>
                        <w:w w:val="115"/>
                        <w:sz w:val="21"/>
                      </w:rPr>
                      <w:t>not</w:t>
                    </w:r>
                    <w:r>
                      <w:rPr>
                        <w:spacing w:val="-5"/>
                        <w:w w:val="115"/>
                        <w:sz w:val="21"/>
                      </w:rPr>
                      <w:t> </w:t>
                    </w:r>
                    <w:r>
                      <w:rPr>
                        <w:w w:val="115"/>
                        <w:sz w:val="21"/>
                      </w:rPr>
                      <w:t>been</w:t>
                    </w:r>
                    <w:r>
                      <w:rPr>
                        <w:spacing w:val="-5"/>
                        <w:w w:val="115"/>
                        <w:sz w:val="21"/>
                      </w:rPr>
                      <w:t> </w:t>
                    </w:r>
                    <w:r>
                      <w:rPr>
                        <w:w w:val="115"/>
                        <w:sz w:val="21"/>
                      </w:rPr>
                      <w:t>complied</w:t>
                    </w:r>
                    <w:r>
                      <w:rPr>
                        <w:spacing w:val="-5"/>
                        <w:w w:val="115"/>
                        <w:sz w:val="21"/>
                      </w:rPr>
                      <w:t> </w:t>
                    </w:r>
                    <w:r>
                      <w:rPr>
                        <w:w w:val="115"/>
                        <w:sz w:val="21"/>
                      </w:rPr>
                      <w:t>with</w:t>
                    </w:r>
                    <w:r>
                      <w:rPr>
                        <w:spacing w:val="-5"/>
                        <w:w w:val="115"/>
                        <w:sz w:val="21"/>
                      </w:rPr>
                      <w:t> </w:t>
                    </w:r>
                    <w:r>
                      <w:rPr>
                        <w:w w:val="115"/>
                        <w:sz w:val="21"/>
                      </w:rPr>
                      <w:t>by</w:t>
                    </w:r>
                    <w:r>
                      <w:rPr>
                        <w:spacing w:val="-5"/>
                        <w:w w:val="115"/>
                        <w:sz w:val="21"/>
                      </w:rPr>
                      <w:t> </w:t>
                    </w:r>
                    <w:r>
                      <w:rPr>
                        <w:w w:val="115"/>
                        <w:sz w:val="21"/>
                      </w:rPr>
                      <w:t>the</w:t>
                    </w:r>
                    <w:r>
                      <w:rPr>
                        <w:spacing w:val="-5"/>
                        <w:w w:val="115"/>
                        <w:sz w:val="21"/>
                      </w:rPr>
                      <w:t> </w:t>
                    </w:r>
                    <w:r>
                      <w:rPr>
                        <w:w w:val="115"/>
                        <w:sz w:val="21"/>
                      </w:rPr>
                      <w:t>required</w:t>
                    </w:r>
                    <w:r>
                      <w:rPr>
                        <w:spacing w:val="-5"/>
                        <w:w w:val="115"/>
                        <w:sz w:val="21"/>
                      </w:rPr>
                      <w:t> </w:t>
                    </w:r>
                    <w:r>
                      <w:rPr>
                        <w:w w:val="115"/>
                        <w:sz w:val="21"/>
                      </w:rPr>
                      <w:t>time,</w:t>
                    </w:r>
                    <w:r>
                      <w:rPr>
                        <w:spacing w:val="-5"/>
                        <w:w w:val="115"/>
                        <w:sz w:val="21"/>
                      </w:rPr>
                      <w:t> </w:t>
                    </w:r>
                    <w:r>
                      <w:rPr>
                        <w:w w:val="115"/>
                        <w:sz w:val="21"/>
                      </w:rPr>
                      <w:t>the</w:t>
                    </w:r>
                    <w:r>
                      <w:rPr>
                        <w:spacing w:val="-5"/>
                        <w:w w:val="115"/>
                        <w:sz w:val="21"/>
                      </w:rPr>
                      <w:t> </w:t>
                    </w:r>
                    <w:r>
                      <w:rPr>
                        <w:w w:val="115"/>
                        <w:sz w:val="21"/>
                      </w:rPr>
                      <w:t>Act</w:t>
                    </w:r>
                    <w:r>
                      <w:rPr>
                        <w:spacing w:val="-5"/>
                        <w:w w:val="115"/>
                        <w:sz w:val="21"/>
                      </w:rPr>
                      <w:t> </w:t>
                    </w:r>
                    <w:r>
                      <w:rPr>
                        <w:w w:val="115"/>
                        <w:sz w:val="21"/>
                      </w:rPr>
                      <w:t>should provide that a party may apply to the Victorian Civil and Administrative </w:t>
                    </w:r>
                    <w:r>
                      <w:rPr>
                        <w:spacing w:val="-4"/>
                        <w:w w:val="115"/>
                        <w:sz w:val="21"/>
                      </w:rPr>
                      <w:t>Tribunal</w:t>
                    </w:r>
                    <w:r>
                      <w:rPr>
                        <w:spacing w:val="-5"/>
                        <w:w w:val="115"/>
                        <w:sz w:val="21"/>
                      </w:rPr>
                      <w:t> </w:t>
                    </w:r>
                    <w:r>
                      <w:rPr>
                        <w:w w:val="115"/>
                        <w:sz w:val="21"/>
                      </w:rPr>
                      <w:t>to</w:t>
                    </w:r>
                    <w:r>
                      <w:rPr>
                        <w:spacing w:val="-5"/>
                        <w:w w:val="115"/>
                        <w:sz w:val="21"/>
                      </w:rPr>
                      <w:t> </w:t>
                    </w:r>
                    <w:r>
                      <w:rPr>
                        <w:w w:val="115"/>
                        <w:sz w:val="21"/>
                      </w:rPr>
                      <w:t>seek</w:t>
                    </w:r>
                    <w:r>
                      <w:rPr>
                        <w:spacing w:val="-4"/>
                        <w:w w:val="115"/>
                        <w:sz w:val="21"/>
                      </w:rPr>
                      <w:t> </w:t>
                    </w:r>
                    <w:r>
                      <w:rPr>
                        <w:w w:val="115"/>
                        <w:sz w:val="21"/>
                      </w:rPr>
                      <w:t>permission</w:t>
                    </w:r>
                    <w:r>
                      <w:rPr>
                        <w:spacing w:val="-5"/>
                        <w:w w:val="115"/>
                        <w:sz w:val="21"/>
                      </w:rPr>
                      <w:t> </w:t>
                    </w:r>
                    <w:r>
                      <w:rPr>
                        <w:w w:val="115"/>
                        <w:sz w:val="21"/>
                      </w:rPr>
                      <w:t>to</w:t>
                    </w:r>
                    <w:r>
                      <w:rPr>
                        <w:spacing w:val="-5"/>
                        <w:w w:val="115"/>
                        <w:sz w:val="21"/>
                      </w:rPr>
                      <w:t> </w:t>
                    </w:r>
                    <w:r>
                      <w:rPr>
                        <w:w w:val="115"/>
                        <w:sz w:val="21"/>
                      </w:rPr>
                      <w:t>enter</w:t>
                    </w:r>
                    <w:r>
                      <w:rPr>
                        <w:spacing w:val="-4"/>
                        <w:w w:val="115"/>
                        <w:sz w:val="21"/>
                      </w:rPr>
                      <w:t> </w:t>
                    </w:r>
                    <w:r>
                      <w:rPr>
                        <w:w w:val="115"/>
                        <w:sz w:val="21"/>
                      </w:rPr>
                      <w:t>the</w:t>
                    </w:r>
                    <w:r>
                      <w:rPr>
                        <w:spacing w:val="-5"/>
                        <w:w w:val="115"/>
                        <w:sz w:val="21"/>
                      </w:rPr>
                      <w:t> </w:t>
                    </w:r>
                    <w:r>
                      <w:rPr>
                        <w:w w:val="115"/>
                        <w:sz w:val="21"/>
                      </w:rPr>
                      <w:t>tree</w:t>
                    </w:r>
                    <w:r>
                      <w:rPr>
                        <w:spacing w:val="-5"/>
                        <w:w w:val="115"/>
                        <w:sz w:val="21"/>
                      </w:rPr>
                      <w:t> </w:t>
                    </w:r>
                    <w:r>
                      <w:rPr>
                        <w:w w:val="115"/>
                        <w:sz w:val="21"/>
                      </w:rPr>
                      <w:t>owner’s</w:t>
                    </w:r>
                    <w:r>
                      <w:rPr>
                        <w:spacing w:val="-4"/>
                        <w:w w:val="115"/>
                        <w:sz w:val="21"/>
                      </w:rPr>
                      <w:t> </w:t>
                    </w:r>
                    <w:r>
                      <w:rPr>
                        <w:w w:val="115"/>
                        <w:sz w:val="21"/>
                      </w:rPr>
                      <w:t>land</w:t>
                    </w:r>
                    <w:r>
                      <w:rPr>
                        <w:spacing w:val="-5"/>
                        <w:w w:val="115"/>
                        <w:sz w:val="21"/>
                      </w:rPr>
                      <w:t> </w:t>
                    </w:r>
                    <w:r>
                      <w:rPr>
                        <w:w w:val="115"/>
                        <w:sz w:val="21"/>
                      </w:rPr>
                      <w:t>and</w:t>
                    </w:r>
                    <w:r>
                      <w:rPr>
                        <w:spacing w:val="-5"/>
                        <w:w w:val="115"/>
                        <w:sz w:val="21"/>
                      </w:rPr>
                      <w:t> </w:t>
                    </w:r>
                    <w:r>
                      <w:rPr>
                        <w:w w:val="115"/>
                        <w:sz w:val="21"/>
                      </w:rPr>
                      <w:t>carry</w:t>
                    </w:r>
                    <w:r>
                      <w:rPr>
                        <w:spacing w:val="-4"/>
                        <w:w w:val="115"/>
                        <w:sz w:val="21"/>
                      </w:rPr>
                      <w:t> </w:t>
                    </w:r>
                    <w:r>
                      <w:rPr>
                        <w:w w:val="115"/>
                        <w:sz w:val="21"/>
                      </w:rPr>
                      <w:t>out</w:t>
                    </w:r>
                  </w:p>
                  <w:p>
                    <w:pPr>
                      <w:spacing w:line="242" w:lineRule="auto" w:before="3"/>
                      <w:ind w:left="793" w:right="0" w:firstLine="0"/>
                      <w:jc w:val="left"/>
                      <w:rPr>
                        <w:sz w:val="21"/>
                      </w:rPr>
                    </w:pPr>
                    <w:r>
                      <w:rPr>
                        <w:w w:val="115"/>
                        <w:sz w:val="21"/>
                      </w:rPr>
                      <w:t>the works specified in the order themselves. Reasonable costs incurred as a result of carrying out the order should be able to be recouped from the non- complying party as a debt in the relevant court.</w:t>
                    </w:r>
                  </w:p>
                  <w:p>
                    <w:pPr>
                      <w:numPr>
                        <w:ilvl w:val="0"/>
                        <w:numId w:val="160"/>
                      </w:numPr>
                      <w:tabs>
                        <w:tab w:pos="793" w:val="left" w:leader="none"/>
                        <w:tab w:pos="794" w:val="left" w:leader="none"/>
                      </w:tabs>
                      <w:spacing w:line="242" w:lineRule="auto" w:before="124"/>
                      <w:ind w:left="793" w:right="664" w:hanging="567"/>
                      <w:jc w:val="left"/>
                      <w:rPr>
                        <w:sz w:val="21"/>
                      </w:rPr>
                    </w:pPr>
                    <w:r>
                      <w:rPr>
                        <w:w w:val="115"/>
                        <w:sz w:val="21"/>
                      </w:rPr>
                      <w:t>The right of the affected neighbour to enter a tree owner’s land should be subject to the requirement that:</w:t>
                    </w:r>
                  </w:p>
                  <w:p>
                    <w:pPr>
                      <w:numPr>
                        <w:ilvl w:val="1"/>
                        <w:numId w:val="160"/>
                      </w:numPr>
                      <w:tabs>
                        <w:tab w:pos="1360" w:val="left" w:leader="none"/>
                        <w:tab w:pos="1361" w:val="left" w:leader="none"/>
                      </w:tabs>
                      <w:spacing w:line="242" w:lineRule="auto" w:before="122"/>
                      <w:ind w:left="1360" w:right="273" w:hanging="567"/>
                      <w:jc w:val="left"/>
                      <w:rPr>
                        <w:sz w:val="21"/>
                      </w:rPr>
                    </w:pPr>
                    <w:r>
                      <w:rPr>
                        <w:w w:val="115"/>
                        <w:sz w:val="21"/>
                      </w:rPr>
                      <w:t>reasonable</w:t>
                    </w:r>
                    <w:r>
                      <w:rPr>
                        <w:spacing w:val="-7"/>
                        <w:w w:val="115"/>
                        <w:sz w:val="21"/>
                      </w:rPr>
                      <w:t> </w:t>
                    </w:r>
                    <w:r>
                      <w:rPr>
                        <w:w w:val="115"/>
                        <w:sz w:val="21"/>
                      </w:rPr>
                      <w:t>notice</w:t>
                    </w:r>
                    <w:r>
                      <w:rPr>
                        <w:spacing w:val="-7"/>
                        <w:w w:val="115"/>
                        <w:sz w:val="21"/>
                      </w:rPr>
                      <w:t> </w:t>
                    </w:r>
                    <w:r>
                      <w:rPr>
                        <w:w w:val="115"/>
                        <w:sz w:val="21"/>
                      </w:rPr>
                      <w:t>is</w:t>
                    </w:r>
                    <w:r>
                      <w:rPr>
                        <w:spacing w:val="-7"/>
                        <w:w w:val="115"/>
                        <w:sz w:val="21"/>
                      </w:rPr>
                      <w:t> </w:t>
                    </w:r>
                    <w:r>
                      <w:rPr>
                        <w:w w:val="115"/>
                        <w:sz w:val="21"/>
                      </w:rPr>
                      <w:t>given</w:t>
                    </w:r>
                    <w:r>
                      <w:rPr>
                        <w:spacing w:val="-6"/>
                        <w:w w:val="115"/>
                        <w:sz w:val="21"/>
                      </w:rPr>
                      <w:t> </w:t>
                    </w:r>
                    <w:r>
                      <w:rPr>
                        <w:w w:val="115"/>
                        <w:sz w:val="21"/>
                      </w:rPr>
                      <w:t>to</w:t>
                    </w:r>
                    <w:r>
                      <w:rPr>
                        <w:spacing w:val="-7"/>
                        <w:w w:val="115"/>
                        <w:sz w:val="21"/>
                      </w:rPr>
                      <w:t> </w:t>
                    </w:r>
                    <w:r>
                      <w:rPr>
                        <w:w w:val="115"/>
                        <w:sz w:val="21"/>
                      </w:rPr>
                      <w:t>the</w:t>
                    </w:r>
                    <w:r>
                      <w:rPr>
                        <w:spacing w:val="-7"/>
                        <w:w w:val="115"/>
                        <w:sz w:val="21"/>
                      </w:rPr>
                      <w:t> </w:t>
                    </w:r>
                    <w:r>
                      <w:rPr>
                        <w:w w:val="115"/>
                        <w:sz w:val="21"/>
                      </w:rPr>
                      <w:t>owner</w:t>
                    </w:r>
                    <w:r>
                      <w:rPr>
                        <w:spacing w:val="-6"/>
                        <w:w w:val="115"/>
                        <w:sz w:val="21"/>
                      </w:rPr>
                      <w:t> </w:t>
                    </w:r>
                    <w:r>
                      <w:rPr>
                        <w:w w:val="115"/>
                        <w:sz w:val="21"/>
                      </w:rPr>
                      <w:t>of</w:t>
                    </w:r>
                    <w:r>
                      <w:rPr>
                        <w:spacing w:val="-7"/>
                        <w:w w:val="115"/>
                        <w:sz w:val="21"/>
                      </w:rPr>
                      <w:t> </w:t>
                    </w:r>
                    <w:r>
                      <w:rPr>
                        <w:w w:val="115"/>
                        <w:sz w:val="21"/>
                      </w:rPr>
                      <w:t>land</w:t>
                    </w:r>
                    <w:r>
                      <w:rPr>
                        <w:spacing w:val="-7"/>
                        <w:w w:val="115"/>
                        <w:sz w:val="21"/>
                      </w:rPr>
                      <w:t> </w:t>
                    </w:r>
                    <w:r>
                      <w:rPr>
                        <w:w w:val="115"/>
                        <w:sz w:val="21"/>
                      </w:rPr>
                      <w:t>or</w:t>
                    </w:r>
                    <w:r>
                      <w:rPr>
                        <w:spacing w:val="-7"/>
                        <w:w w:val="115"/>
                        <w:sz w:val="21"/>
                      </w:rPr>
                      <w:t> </w:t>
                    </w:r>
                    <w:r>
                      <w:rPr>
                        <w:w w:val="115"/>
                        <w:sz w:val="21"/>
                      </w:rPr>
                      <w:t>occupier</w:t>
                    </w:r>
                    <w:r>
                      <w:rPr>
                        <w:spacing w:val="-6"/>
                        <w:w w:val="115"/>
                        <w:sz w:val="21"/>
                      </w:rPr>
                      <w:t> </w:t>
                    </w:r>
                    <w:r>
                      <w:rPr>
                        <w:w w:val="115"/>
                        <w:sz w:val="21"/>
                      </w:rPr>
                      <w:t>whose</w:t>
                    </w:r>
                    <w:r>
                      <w:rPr>
                        <w:spacing w:val="-7"/>
                        <w:w w:val="115"/>
                        <w:sz w:val="21"/>
                      </w:rPr>
                      <w:t> </w:t>
                    </w:r>
                    <w:r>
                      <w:rPr>
                        <w:w w:val="115"/>
                        <w:sz w:val="21"/>
                      </w:rPr>
                      <w:t>land</w:t>
                    </w:r>
                    <w:r>
                      <w:rPr>
                        <w:spacing w:val="-7"/>
                        <w:w w:val="115"/>
                        <w:sz w:val="21"/>
                      </w:rPr>
                      <w:t> </w:t>
                    </w:r>
                    <w:r>
                      <w:rPr>
                        <w:w w:val="115"/>
                        <w:sz w:val="21"/>
                      </w:rPr>
                      <w:t>is to be accessed by the</w:t>
                    </w:r>
                    <w:r>
                      <w:rPr>
                        <w:spacing w:val="-1"/>
                        <w:w w:val="115"/>
                        <w:sz w:val="21"/>
                      </w:rPr>
                      <w:t> </w:t>
                    </w:r>
                    <w:r>
                      <w:rPr>
                        <w:w w:val="115"/>
                        <w:sz w:val="21"/>
                      </w:rPr>
                      <w:t>applicant</w:t>
                    </w:r>
                  </w:p>
                  <w:p>
                    <w:pPr>
                      <w:numPr>
                        <w:ilvl w:val="1"/>
                        <w:numId w:val="160"/>
                      </w:numPr>
                      <w:tabs>
                        <w:tab w:pos="1360" w:val="left" w:leader="none"/>
                        <w:tab w:pos="1361" w:val="left" w:leader="none"/>
                      </w:tabs>
                      <w:spacing w:before="122"/>
                      <w:ind w:left="1360" w:right="0" w:hanging="567"/>
                      <w:jc w:val="left"/>
                      <w:rPr>
                        <w:sz w:val="21"/>
                      </w:rPr>
                    </w:pPr>
                    <w:r>
                      <w:rPr>
                        <w:w w:val="115"/>
                        <w:sz w:val="21"/>
                      </w:rPr>
                      <w:t>access only occurs at a reasonable time during the</w:t>
                    </w:r>
                    <w:r>
                      <w:rPr>
                        <w:spacing w:val="-16"/>
                        <w:w w:val="115"/>
                        <w:sz w:val="21"/>
                      </w:rPr>
                      <w:t> </w:t>
                    </w:r>
                    <w:r>
                      <w:rPr>
                        <w:w w:val="115"/>
                        <w:sz w:val="21"/>
                      </w:rPr>
                      <w:t>day</w:t>
                    </w:r>
                  </w:p>
                  <w:p>
                    <w:pPr>
                      <w:numPr>
                        <w:ilvl w:val="1"/>
                        <w:numId w:val="160"/>
                      </w:numPr>
                      <w:tabs>
                        <w:tab w:pos="1360" w:val="left" w:leader="none"/>
                        <w:tab w:pos="1361" w:val="left" w:leader="none"/>
                      </w:tabs>
                      <w:spacing w:line="242" w:lineRule="auto" w:before="124"/>
                      <w:ind w:left="1360" w:right="411" w:hanging="567"/>
                      <w:jc w:val="left"/>
                      <w:rPr>
                        <w:sz w:val="21"/>
                      </w:rPr>
                    </w:pPr>
                    <w:r>
                      <w:rPr>
                        <w:spacing w:val="-2"/>
                        <w:w w:val="115"/>
                        <w:sz w:val="21"/>
                      </w:rPr>
                      <w:t>any </w:t>
                    </w:r>
                    <w:r>
                      <w:rPr>
                        <w:w w:val="115"/>
                        <w:sz w:val="21"/>
                      </w:rPr>
                      <w:t>other requirements that the Victorian Civil and Administrative </w:t>
                    </w:r>
                    <w:r>
                      <w:rPr>
                        <w:spacing w:val="-4"/>
                        <w:w w:val="115"/>
                        <w:sz w:val="21"/>
                      </w:rPr>
                      <w:t>Tribunal</w:t>
                    </w:r>
                    <w:r>
                      <w:rPr>
                        <w:spacing w:val="-12"/>
                        <w:w w:val="115"/>
                        <w:sz w:val="21"/>
                      </w:rPr>
                      <w:t> </w:t>
                    </w:r>
                    <w:r>
                      <w:rPr>
                        <w:w w:val="115"/>
                        <w:sz w:val="21"/>
                      </w:rPr>
                      <w:t>considers</w:t>
                    </w:r>
                    <w:r>
                      <w:rPr>
                        <w:spacing w:val="-11"/>
                        <w:w w:val="115"/>
                        <w:sz w:val="21"/>
                      </w:rPr>
                      <w:t> </w:t>
                    </w:r>
                    <w:r>
                      <w:rPr>
                        <w:w w:val="115"/>
                        <w:sz w:val="21"/>
                      </w:rPr>
                      <w:t>are</w:t>
                    </w:r>
                    <w:r>
                      <w:rPr>
                        <w:spacing w:val="-11"/>
                        <w:w w:val="115"/>
                        <w:sz w:val="21"/>
                      </w:rPr>
                      <w:t> </w:t>
                    </w:r>
                    <w:r>
                      <w:rPr>
                        <w:w w:val="115"/>
                        <w:sz w:val="21"/>
                      </w:rPr>
                      <w:t>appropriate,</w:t>
                    </w:r>
                    <w:r>
                      <w:rPr>
                        <w:spacing w:val="-12"/>
                        <w:w w:val="115"/>
                        <w:sz w:val="21"/>
                      </w:rPr>
                      <w:t> </w:t>
                    </w:r>
                    <w:r>
                      <w:rPr>
                        <w:w w:val="115"/>
                        <w:sz w:val="21"/>
                      </w:rPr>
                      <w:t>for</w:t>
                    </w:r>
                    <w:r>
                      <w:rPr>
                        <w:spacing w:val="-11"/>
                        <w:w w:val="115"/>
                        <w:sz w:val="21"/>
                      </w:rPr>
                      <w:t> </w:t>
                    </w:r>
                    <w:r>
                      <w:rPr>
                        <w:w w:val="115"/>
                        <w:sz w:val="21"/>
                      </w:rPr>
                      <w:t>example,</w:t>
                    </w:r>
                    <w:r>
                      <w:rPr>
                        <w:spacing w:val="-11"/>
                        <w:w w:val="115"/>
                        <w:sz w:val="21"/>
                      </w:rPr>
                      <w:t> </w:t>
                    </w:r>
                    <w:r>
                      <w:rPr>
                        <w:w w:val="115"/>
                        <w:sz w:val="21"/>
                      </w:rPr>
                      <w:t>that</w:t>
                    </w:r>
                    <w:r>
                      <w:rPr>
                        <w:spacing w:val="-11"/>
                        <w:w w:val="115"/>
                        <w:sz w:val="21"/>
                      </w:rPr>
                      <w:t> </w:t>
                    </w:r>
                    <w:r>
                      <w:rPr>
                        <w:spacing w:val="-3"/>
                        <w:w w:val="115"/>
                        <w:sz w:val="21"/>
                      </w:rPr>
                      <w:t>relevant</w:t>
                    </w:r>
                    <w:r>
                      <w:rPr>
                        <w:spacing w:val="-12"/>
                        <w:w w:val="115"/>
                        <w:sz w:val="21"/>
                      </w:rPr>
                      <w:t> </w:t>
                    </w:r>
                    <w:r>
                      <w:rPr>
                        <w:w w:val="115"/>
                        <w:sz w:val="21"/>
                      </w:rPr>
                      <w:t>insurance is obtained by the</w:t>
                    </w:r>
                    <w:r>
                      <w:rPr>
                        <w:spacing w:val="2"/>
                        <w:w w:val="115"/>
                        <w:sz w:val="21"/>
                      </w:rPr>
                      <w:t> </w:t>
                    </w:r>
                    <w:r>
                      <w:rPr>
                        <w:w w:val="115"/>
                        <w:sz w:val="21"/>
                      </w:rPr>
                      <w:t>applicant.</w:t>
                    </w:r>
                  </w:p>
                </w:txbxContent>
              </v:textbox>
              <v:fill type="solid"/>
              <w10:wrap type="none"/>
            </v:shape>
            <v:shape style="position:absolute;left:340;top:0;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Recommendations</w:t>
                    </w:r>
                  </w:p>
                </w:txbxContent>
              </v:textbox>
              <v:fill type="solid"/>
              <w10:wrap type="none"/>
            </v:shape>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8"/>
        </w:rPr>
      </w:pPr>
    </w:p>
    <w:p>
      <w:pPr>
        <w:spacing w:before="96"/>
        <w:ind w:left="720" w:right="0" w:firstLine="0"/>
        <w:jc w:val="left"/>
        <w:rPr>
          <w:b/>
          <w:sz w:val="24"/>
        </w:rPr>
      </w:pPr>
      <w:r>
        <w:rPr>
          <w:b/>
          <w:color w:val="658464"/>
          <w:w w:val="110"/>
          <w:sz w:val="24"/>
        </w:rPr>
        <w:t>216</w:t>
      </w:r>
    </w:p>
    <w:p>
      <w:pPr>
        <w:spacing w:after="0"/>
        <w:jc w:val="left"/>
        <w:rPr>
          <w:sz w:val="24"/>
        </w:rPr>
        <w:sectPr>
          <w:pgSz w:w="11910" w:h="16840"/>
          <w:pgMar w:header="546" w:footer="0" w:top="156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447712" filled="true" fillcolor="#ecefee" stroked="false">
            <v:fill type="solid"/>
            <w10:wrap type="none"/>
          </v:rect>
        </w:pict>
      </w:r>
      <w:bookmarkStart w:name="10. Interaction of the new Neighbourhood" w:id="252"/>
      <w:bookmarkEnd w:id="252"/>
      <w:r>
        <w:rPr/>
      </w:r>
      <w:r>
        <w:rPr>
          <w:b/>
          <w:color w:val="FFFFFF"/>
          <w:w w:val="122"/>
          <w:sz w:val="48"/>
          <w:shd w:fill="658464" w:color="auto" w:val="clear"/>
        </w:rPr>
        <w:t> </w:t>
      </w:r>
      <w:r>
        <w:rPr>
          <w:b/>
          <w:color w:val="FFFFFF"/>
          <w:spacing w:val="41"/>
          <w:sz w:val="48"/>
          <w:shd w:fill="658464" w:color="auto" w:val="clear"/>
        </w:rPr>
        <w:t> </w:t>
      </w:r>
      <w:r>
        <w:rPr>
          <w:b/>
          <w:color w:val="FFFFFF"/>
          <w:spacing w:val="-7"/>
          <w:w w:val="105"/>
          <w:sz w:val="48"/>
          <w:shd w:fill="658464" w:color="auto" w:val="clear"/>
        </w:rPr>
        <w:t>10</w:t>
      </w:r>
      <w:r>
        <w:rPr>
          <w:b/>
          <w:color w:val="FFFFFF"/>
          <w:spacing w:val="-7"/>
          <w:sz w:val="48"/>
          <w:shd w:fill="658464"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5"/>
        </w:rPr>
      </w:pPr>
    </w:p>
    <w:p>
      <w:pPr>
        <w:spacing w:line="1146" w:lineRule="exact" w:before="84"/>
        <w:ind w:left="1587" w:right="0" w:firstLine="0"/>
        <w:jc w:val="left"/>
        <w:rPr>
          <w:b/>
          <w:sz w:val="96"/>
        </w:rPr>
      </w:pPr>
      <w:r>
        <w:rPr/>
        <w:pict>
          <v:rect style="position:absolute;margin-left:0pt;margin-top:5.966142pt;width:468.193pt;height:52pt;mso-position-horizontal-relative:page;mso-position-vertical-relative:paragraph;z-index:-447688" filled="true" fillcolor="#ffffff" stroked="false">
            <v:fill type="solid"/>
            <w10:wrap type="none"/>
          </v:rect>
        </w:pict>
      </w:r>
      <w:r>
        <w:rPr>
          <w:b/>
          <w:color w:val="658464"/>
          <w:w w:val="115"/>
          <w:sz w:val="96"/>
        </w:rPr>
        <w:t>Interaction of the</w:t>
      </w:r>
    </w:p>
    <w:p>
      <w:pPr>
        <w:tabs>
          <w:tab w:pos="1587" w:val="left" w:leader="none"/>
          <w:tab w:pos="10867" w:val="left" w:leader="none"/>
        </w:tabs>
        <w:spacing w:line="1146" w:lineRule="exact" w:before="0"/>
        <w:ind w:left="0" w:right="0" w:firstLine="0"/>
        <w:jc w:val="left"/>
        <w:rPr>
          <w:b/>
          <w:sz w:val="96"/>
        </w:rPr>
      </w:pPr>
      <w:r>
        <w:rPr>
          <w:b/>
          <w:color w:val="658464"/>
          <w:w w:val="122"/>
          <w:sz w:val="96"/>
          <w:shd w:fill="FFFFFF" w:color="auto" w:val="clear"/>
        </w:rPr>
        <w:t> </w:t>
      </w:r>
      <w:r>
        <w:rPr>
          <w:b/>
          <w:color w:val="658464"/>
          <w:sz w:val="96"/>
          <w:shd w:fill="FFFFFF" w:color="auto" w:val="clear"/>
        </w:rPr>
        <w:tab/>
      </w:r>
      <w:r>
        <w:rPr>
          <w:b/>
          <w:color w:val="658464"/>
          <w:spacing w:val="-22"/>
          <w:w w:val="115"/>
          <w:sz w:val="96"/>
          <w:shd w:fill="FFFFFF" w:color="auto" w:val="clear"/>
        </w:rPr>
        <w:t>new</w:t>
      </w:r>
      <w:r>
        <w:rPr>
          <w:b/>
          <w:color w:val="658464"/>
          <w:spacing w:val="-67"/>
          <w:w w:val="115"/>
          <w:sz w:val="96"/>
          <w:shd w:fill="FFFFFF" w:color="auto" w:val="clear"/>
        </w:rPr>
        <w:t> </w:t>
      </w:r>
      <w:r>
        <w:rPr>
          <w:b/>
          <w:color w:val="658464"/>
          <w:spacing w:val="-25"/>
          <w:w w:val="115"/>
          <w:sz w:val="96"/>
          <w:shd w:fill="FFFFFF" w:color="auto" w:val="clear"/>
        </w:rPr>
        <w:t>Neighbourhood</w:t>
      </w:r>
      <w:r>
        <w:rPr>
          <w:b/>
          <w:color w:val="658464"/>
          <w:spacing w:val="-25"/>
          <w:sz w:val="96"/>
          <w:shd w:fill="FFFFFF" w:color="auto" w:val="clear"/>
        </w:rPr>
        <w:tab/>
      </w:r>
    </w:p>
    <w:p>
      <w:pPr>
        <w:pStyle w:val="BodyText"/>
        <w:rPr>
          <w:sz w:val="20"/>
        </w:rPr>
      </w:pPr>
      <w:r>
        <w:rPr>
          <w:sz w:val="20"/>
        </w:rPr>
        <w:pict>
          <v:shape style="width:467.8pt;height:52pt;mso-position-horizontal-relative:char;mso-position-vertical-relative:line" type="#_x0000_t202" filled="true" fillcolor="#ffffff" stroked="false">
            <w10:anchorlock/>
            <v:textbox inset="0,0,0,0">
              <w:txbxContent>
                <w:p>
                  <w:pPr>
                    <w:spacing w:line="1040" w:lineRule="exact" w:before="0"/>
                    <w:ind w:left="1587" w:right="0" w:firstLine="0"/>
                    <w:jc w:val="left"/>
                    <w:rPr>
                      <w:b/>
                      <w:sz w:val="96"/>
                    </w:rPr>
                  </w:pPr>
                  <w:r>
                    <w:rPr>
                      <w:b/>
                      <w:color w:val="658464"/>
                      <w:spacing w:val="-36"/>
                      <w:w w:val="110"/>
                      <w:sz w:val="96"/>
                    </w:rPr>
                    <w:t>Tree </w:t>
                  </w:r>
                  <w:r>
                    <w:rPr>
                      <w:b/>
                      <w:color w:val="658464"/>
                      <w:spacing w:val="-23"/>
                      <w:w w:val="110"/>
                      <w:sz w:val="96"/>
                    </w:rPr>
                    <w:t>Disputes</w:t>
                  </w:r>
                  <w:r>
                    <w:rPr>
                      <w:b/>
                      <w:color w:val="658464"/>
                      <w:spacing w:val="-74"/>
                      <w:w w:val="110"/>
                      <w:sz w:val="96"/>
                    </w:rPr>
                    <w:t> </w:t>
                  </w:r>
                  <w:r>
                    <w:rPr>
                      <w:b/>
                      <w:color w:val="658464"/>
                      <w:spacing w:val="-16"/>
                      <w:w w:val="110"/>
                      <w:sz w:val="96"/>
                    </w:rPr>
                    <w:t>Act</w:t>
                  </w:r>
                </w:p>
              </w:txbxContent>
            </v:textbox>
            <v:fill type="solid"/>
          </v:shape>
        </w:pict>
      </w:r>
      <w:r>
        <w:rPr>
          <w:sz w:val="20"/>
        </w:rPr>
      </w:r>
    </w:p>
    <w:p>
      <w:pPr>
        <w:pStyle w:val="BodyText"/>
        <w:spacing w:before="1"/>
        <w:rPr>
          <w:b/>
          <w:sz w:val="3"/>
        </w:rPr>
      </w:pPr>
    </w:p>
    <w:p>
      <w:pPr>
        <w:pStyle w:val="BodyText"/>
        <w:rPr>
          <w:sz w:val="20"/>
        </w:rPr>
      </w:pPr>
      <w:r>
        <w:rPr>
          <w:sz w:val="20"/>
        </w:rPr>
        <w:pict>
          <v:shape style="width:434.2pt;height:52pt;mso-position-horizontal-relative:char;mso-position-vertical-relative:line" type="#_x0000_t202" filled="true" fillcolor="#ffffff" stroked="false">
            <w10:anchorlock/>
            <v:textbox inset="0,0,0,0">
              <w:txbxContent>
                <w:p>
                  <w:pPr>
                    <w:spacing w:line="1040" w:lineRule="exact" w:before="0"/>
                    <w:ind w:left="1587" w:right="0" w:firstLine="0"/>
                    <w:jc w:val="left"/>
                    <w:rPr>
                      <w:b/>
                      <w:sz w:val="96"/>
                    </w:rPr>
                  </w:pPr>
                  <w:r>
                    <w:rPr>
                      <w:b/>
                      <w:color w:val="658464"/>
                      <w:spacing w:val="-22"/>
                      <w:w w:val="115"/>
                      <w:sz w:val="96"/>
                    </w:rPr>
                    <w:t>with other </w:t>
                  </w:r>
                  <w:r>
                    <w:rPr>
                      <w:b/>
                      <w:color w:val="658464"/>
                      <w:spacing w:val="-32"/>
                      <w:w w:val="115"/>
                      <w:sz w:val="96"/>
                    </w:rPr>
                    <w:t>laws</w:t>
                  </w:r>
                </w:p>
              </w:txbxContent>
            </v:textbox>
            <v:fill type="solid"/>
          </v:shape>
        </w:pict>
      </w:r>
      <w:r>
        <w:rPr>
          <w:sz w:val="20"/>
        </w:rPr>
      </w:r>
    </w:p>
    <w:p>
      <w:pPr>
        <w:pStyle w:val="BodyText"/>
        <w:rPr>
          <w:b/>
          <w:sz w:val="20"/>
        </w:rPr>
      </w:pPr>
    </w:p>
    <w:p>
      <w:pPr>
        <w:pStyle w:val="BodyText"/>
        <w:rPr>
          <w:b/>
          <w:sz w:val="20"/>
        </w:rPr>
      </w:pPr>
    </w:p>
    <w:p>
      <w:pPr>
        <w:pStyle w:val="BodyText"/>
        <w:rPr>
          <w:b/>
          <w:sz w:val="20"/>
        </w:rPr>
      </w:pPr>
    </w:p>
    <w:p>
      <w:pPr>
        <w:pStyle w:val="BodyText"/>
        <w:spacing w:before="2"/>
        <w:rPr>
          <w:b/>
          <w:sz w:val="18"/>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7435"/>
      </w:tblGrid>
      <w:tr>
        <w:trPr>
          <w:trHeight w:val="335" w:hRule="atLeast"/>
        </w:trPr>
        <w:tc>
          <w:tcPr>
            <w:tcW w:w="510" w:type="dxa"/>
            <w:tcBorders>
              <w:bottom w:val="single" w:sz="18" w:space="0" w:color="FFFFFF"/>
            </w:tcBorders>
            <w:shd w:val="clear" w:color="auto" w:fill="ECEFEE"/>
          </w:tcPr>
          <w:p>
            <w:pPr>
              <w:pStyle w:val="TableParagraph"/>
              <w:spacing w:line="289" w:lineRule="exact"/>
              <w:rPr>
                <w:b/>
                <w:sz w:val="24"/>
              </w:rPr>
            </w:pPr>
            <w:hyperlink w:history="true" w:anchor="_bookmark119">
              <w:r>
                <w:rPr>
                  <w:b/>
                  <w:w w:val="110"/>
                  <w:sz w:val="24"/>
                </w:rPr>
                <w:t>218</w:t>
              </w:r>
            </w:hyperlink>
          </w:p>
        </w:tc>
        <w:tc>
          <w:tcPr>
            <w:tcW w:w="7435" w:type="dxa"/>
            <w:shd w:val="clear" w:color="auto" w:fill="ECEFEE"/>
          </w:tcPr>
          <w:p>
            <w:pPr>
              <w:pStyle w:val="TableParagraph"/>
              <w:spacing w:line="289" w:lineRule="exact"/>
              <w:ind w:left="56"/>
              <w:rPr>
                <w:b/>
                <w:sz w:val="24"/>
              </w:rPr>
            </w:pPr>
            <w:hyperlink w:history="true" w:anchor="_bookmark119">
              <w:r>
                <w:rPr>
                  <w:b/>
                  <w:w w:val="110"/>
                  <w:sz w:val="24"/>
                </w:rPr>
                <w:t>Introduction</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9"/>
              <w:rPr>
                <w:b/>
                <w:sz w:val="24"/>
              </w:rPr>
            </w:pPr>
            <w:hyperlink w:history="true" w:anchor="_bookmark120">
              <w:r>
                <w:rPr>
                  <w:b/>
                  <w:w w:val="110"/>
                  <w:sz w:val="24"/>
                </w:rPr>
                <w:t>219</w:t>
              </w:r>
            </w:hyperlink>
          </w:p>
        </w:tc>
        <w:tc>
          <w:tcPr>
            <w:tcW w:w="7435" w:type="dxa"/>
            <w:shd w:val="clear" w:color="auto" w:fill="ECEFEE"/>
          </w:tcPr>
          <w:p>
            <w:pPr>
              <w:pStyle w:val="TableParagraph"/>
              <w:spacing w:before="89"/>
              <w:ind w:left="56"/>
              <w:rPr>
                <w:b/>
                <w:sz w:val="24"/>
              </w:rPr>
            </w:pPr>
            <w:hyperlink w:history="true" w:anchor="_bookmark120">
              <w:r>
                <w:rPr>
                  <w:b/>
                  <w:w w:val="115"/>
                  <w:sz w:val="24"/>
                </w:rPr>
                <w:t>The Planning and Environment Act</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21">
              <w:r>
                <w:rPr>
                  <w:b/>
                  <w:w w:val="110"/>
                  <w:sz w:val="24"/>
                </w:rPr>
                <w:t>228</w:t>
              </w:r>
            </w:hyperlink>
          </w:p>
        </w:tc>
        <w:tc>
          <w:tcPr>
            <w:tcW w:w="7435" w:type="dxa"/>
            <w:shd w:val="clear" w:color="auto" w:fill="ECEFEE"/>
          </w:tcPr>
          <w:p>
            <w:pPr>
              <w:pStyle w:val="TableParagraph"/>
              <w:spacing w:before="88"/>
              <w:ind w:left="56"/>
              <w:rPr>
                <w:b/>
                <w:sz w:val="24"/>
              </w:rPr>
            </w:pPr>
            <w:hyperlink w:history="true" w:anchor="_bookmark121">
              <w:r>
                <w:rPr>
                  <w:b/>
                  <w:w w:val="110"/>
                  <w:sz w:val="24"/>
                </w:rPr>
                <w:t>Local tree protection laws made under the Local Government Act</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22">
              <w:r>
                <w:rPr>
                  <w:b/>
                  <w:w w:val="110"/>
                  <w:sz w:val="24"/>
                </w:rPr>
                <w:t>229</w:t>
              </w:r>
            </w:hyperlink>
          </w:p>
        </w:tc>
        <w:tc>
          <w:tcPr>
            <w:tcW w:w="7435" w:type="dxa"/>
            <w:shd w:val="clear" w:color="auto" w:fill="ECEFEE"/>
          </w:tcPr>
          <w:p>
            <w:pPr>
              <w:pStyle w:val="TableParagraph"/>
              <w:spacing w:before="88"/>
              <w:ind w:left="56"/>
              <w:rPr>
                <w:b/>
                <w:sz w:val="24"/>
              </w:rPr>
            </w:pPr>
            <w:hyperlink w:history="true" w:anchor="_bookmark122">
              <w:r>
                <w:rPr>
                  <w:b/>
                  <w:w w:val="115"/>
                  <w:sz w:val="24"/>
                </w:rPr>
                <w:t>The Heritage Act</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23">
              <w:r>
                <w:rPr>
                  <w:b/>
                  <w:w w:val="110"/>
                  <w:sz w:val="24"/>
                </w:rPr>
                <w:t>230</w:t>
              </w:r>
            </w:hyperlink>
          </w:p>
        </w:tc>
        <w:tc>
          <w:tcPr>
            <w:tcW w:w="7435" w:type="dxa"/>
            <w:shd w:val="clear" w:color="auto" w:fill="ECEFEE"/>
          </w:tcPr>
          <w:p>
            <w:pPr>
              <w:pStyle w:val="TableParagraph"/>
              <w:spacing w:before="88"/>
              <w:ind w:left="56"/>
              <w:rPr>
                <w:b/>
                <w:sz w:val="24"/>
              </w:rPr>
            </w:pPr>
            <w:hyperlink w:history="true" w:anchor="_bookmark123">
              <w:r>
                <w:rPr>
                  <w:b/>
                  <w:w w:val="115"/>
                  <w:sz w:val="24"/>
                </w:rPr>
                <w:t>The Aboriginal Heritage Act</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24">
              <w:r>
                <w:rPr>
                  <w:b/>
                  <w:w w:val="110"/>
                  <w:sz w:val="24"/>
                </w:rPr>
                <w:t>231</w:t>
              </w:r>
            </w:hyperlink>
          </w:p>
        </w:tc>
        <w:tc>
          <w:tcPr>
            <w:tcW w:w="7435" w:type="dxa"/>
            <w:shd w:val="clear" w:color="auto" w:fill="ECEFEE"/>
          </w:tcPr>
          <w:p>
            <w:pPr>
              <w:pStyle w:val="TableParagraph"/>
              <w:spacing w:before="88"/>
              <w:ind w:left="56"/>
              <w:rPr>
                <w:b/>
                <w:sz w:val="24"/>
              </w:rPr>
            </w:pPr>
            <w:hyperlink w:history="true" w:anchor="_bookmark124">
              <w:r>
                <w:rPr>
                  <w:b/>
                  <w:w w:val="110"/>
                  <w:sz w:val="24"/>
                </w:rPr>
                <w:t>The Fences Act</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25">
              <w:r>
                <w:rPr>
                  <w:b/>
                  <w:w w:val="110"/>
                  <w:sz w:val="24"/>
                </w:rPr>
                <w:t>232</w:t>
              </w:r>
            </w:hyperlink>
          </w:p>
        </w:tc>
        <w:tc>
          <w:tcPr>
            <w:tcW w:w="7435" w:type="dxa"/>
            <w:shd w:val="clear" w:color="auto" w:fill="ECEFEE"/>
          </w:tcPr>
          <w:p>
            <w:pPr>
              <w:pStyle w:val="TableParagraph"/>
              <w:spacing w:before="88"/>
              <w:ind w:left="56"/>
              <w:rPr>
                <w:b/>
                <w:sz w:val="24"/>
              </w:rPr>
            </w:pPr>
            <w:hyperlink w:history="true" w:anchor="_bookmark125">
              <w:r>
                <w:rPr>
                  <w:b/>
                  <w:w w:val="115"/>
                  <w:sz w:val="24"/>
                </w:rPr>
                <w:t>The Catchment and Land Protection Act</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25">
              <w:r>
                <w:rPr>
                  <w:b/>
                  <w:w w:val="110"/>
                  <w:sz w:val="24"/>
                </w:rPr>
                <w:t>232</w:t>
              </w:r>
            </w:hyperlink>
          </w:p>
        </w:tc>
        <w:tc>
          <w:tcPr>
            <w:tcW w:w="7435" w:type="dxa"/>
            <w:shd w:val="clear" w:color="auto" w:fill="ECEFEE"/>
          </w:tcPr>
          <w:p>
            <w:pPr>
              <w:pStyle w:val="TableParagraph"/>
              <w:spacing w:before="88"/>
              <w:ind w:left="56"/>
              <w:rPr>
                <w:b/>
                <w:sz w:val="24"/>
              </w:rPr>
            </w:pPr>
            <w:hyperlink w:history="true" w:anchor="_bookmark125">
              <w:r>
                <w:rPr>
                  <w:b/>
                  <w:w w:val="110"/>
                  <w:sz w:val="24"/>
                </w:rPr>
                <w:t>Other Victorian Acts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30">
              <w:r>
                <w:rPr>
                  <w:b/>
                  <w:w w:val="110"/>
                  <w:sz w:val="24"/>
                </w:rPr>
                <w:t>237</w:t>
              </w:r>
            </w:hyperlink>
          </w:p>
        </w:tc>
        <w:tc>
          <w:tcPr>
            <w:tcW w:w="7435" w:type="dxa"/>
            <w:shd w:val="clear" w:color="auto" w:fill="ECEFEE"/>
          </w:tcPr>
          <w:p>
            <w:pPr>
              <w:pStyle w:val="TableParagraph"/>
              <w:spacing w:before="88"/>
              <w:ind w:left="57"/>
              <w:rPr>
                <w:b/>
                <w:sz w:val="24"/>
              </w:rPr>
            </w:pPr>
            <w:hyperlink w:history="true" w:anchor="_bookmark130">
              <w:r>
                <w:rPr>
                  <w:b/>
                  <w:w w:val="115"/>
                  <w:sz w:val="24"/>
                </w:rPr>
                <w:t>Community responses—interaction of laws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31">
              <w:r>
                <w:rPr>
                  <w:b/>
                  <w:w w:val="110"/>
                  <w:sz w:val="24"/>
                </w:rPr>
                <w:t>239</w:t>
              </w:r>
            </w:hyperlink>
          </w:p>
        </w:tc>
        <w:tc>
          <w:tcPr>
            <w:tcW w:w="7435" w:type="dxa"/>
            <w:shd w:val="clear" w:color="auto" w:fill="ECEFEE"/>
          </w:tcPr>
          <w:p>
            <w:pPr>
              <w:pStyle w:val="TableParagraph"/>
              <w:spacing w:before="88"/>
              <w:ind w:left="57"/>
              <w:rPr>
                <w:b/>
                <w:sz w:val="24"/>
              </w:rPr>
            </w:pPr>
            <w:hyperlink w:history="true" w:anchor="_bookmark131">
              <w:r>
                <w:rPr>
                  <w:b/>
                  <w:w w:val="115"/>
                  <w:sz w:val="24"/>
                </w:rPr>
                <w:t>Other jurisdictions</w:t>
              </w:r>
            </w:hyperlink>
            <w:r>
              <w:rPr>
                <w:b/>
                <w:w w:val="115"/>
                <w:sz w:val="24"/>
              </w:rPr>
              <w:t>—interaction of laws</w:t>
            </w:r>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32">
              <w:r>
                <w:rPr>
                  <w:b/>
                  <w:w w:val="110"/>
                  <w:sz w:val="24"/>
                </w:rPr>
                <w:t>244</w:t>
              </w:r>
            </w:hyperlink>
          </w:p>
        </w:tc>
        <w:tc>
          <w:tcPr>
            <w:tcW w:w="7435" w:type="dxa"/>
            <w:shd w:val="clear" w:color="auto" w:fill="ECEFEE"/>
          </w:tcPr>
          <w:p>
            <w:pPr>
              <w:pStyle w:val="TableParagraph"/>
              <w:spacing w:before="88"/>
              <w:ind w:left="57"/>
              <w:rPr>
                <w:b/>
                <w:sz w:val="24"/>
              </w:rPr>
            </w:pPr>
            <w:hyperlink w:history="true" w:anchor="_bookmark132">
              <w:r>
                <w:rPr>
                  <w:b/>
                  <w:w w:val="115"/>
                  <w:sz w:val="24"/>
                </w:rPr>
                <w:t>The Commission’s conclusions—interaction of laws</w:t>
              </w:r>
            </w:hyperlink>
          </w:p>
        </w:tc>
      </w:tr>
    </w:tbl>
    <w:p>
      <w:pPr>
        <w:spacing w:after="0"/>
        <w:rPr>
          <w:sz w:val="24"/>
        </w:rPr>
        <w:sectPr>
          <w:headerReference w:type="default" r:id="rId251"/>
          <w:headerReference w:type="even" r:id="rId252"/>
          <w:pgSz w:w="11910" w:h="16840"/>
          <w:pgMar w:header="0" w:footer="0" w:top="720" w:bottom="280" w:left="0" w:right="0"/>
        </w:sectPr>
      </w:pPr>
    </w:p>
    <w:p>
      <w:pPr>
        <w:pStyle w:val="BodyText"/>
        <w:spacing w:before="10"/>
        <w:rPr>
          <w:b/>
          <w:sz w:val="18"/>
        </w:rPr>
      </w:pPr>
    </w:p>
    <w:p>
      <w:pPr>
        <w:pStyle w:val="ListParagraph"/>
        <w:numPr>
          <w:ilvl w:val="0"/>
          <w:numId w:val="16"/>
        </w:numPr>
        <w:tabs>
          <w:tab w:pos="1248" w:val="left" w:leader="none"/>
        </w:tabs>
        <w:spacing w:line="232" w:lineRule="auto" w:before="106" w:after="0"/>
        <w:ind w:left="1247" w:right="2684" w:hanging="681"/>
        <w:jc w:val="left"/>
        <w:rPr>
          <w:b/>
          <w:sz w:val="44"/>
        </w:rPr>
      </w:pPr>
      <w:bookmarkStart w:name="Introduction" w:id="253"/>
      <w:bookmarkEnd w:id="253"/>
      <w:r>
        <w:rPr/>
      </w:r>
      <w:bookmarkStart w:name="_bookmark119" w:id="254"/>
      <w:bookmarkEnd w:id="254"/>
      <w:r>
        <w:rPr/>
      </w:r>
      <w:bookmarkStart w:name="_bookmark119" w:id="255"/>
      <w:bookmarkEnd w:id="255"/>
      <w:r>
        <w:rPr>
          <w:b/>
          <w:color w:val="658464"/>
          <w:spacing w:val="-3"/>
          <w:w w:val="115"/>
          <w:sz w:val="44"/>
        </w:rPr>
        <w:t>I</w:t>
      </w:r>
      <w:r>
        <w:rPr>
          <w:b/>
          <w:color w:val="658464"/>
          <w:spacing w:val="-3"/>
          <w:w w:val="115"/>
          <w:sz w:val="44"/>
        </w:rPr>
        <w:t>nteraction of </w:t>
      </w:r>
      <w:r>
        <w:rPr>
          <w:b/>
          <w:color w:val="658464"/>
          <w:w w:val="115"/>
          <w:sz w:val="44"/>
        </w:rPr>
        <w:t>the </w:t>
      </w:r>
      <w:r>
        <w:rPr>
          <w:b/>
          <w:color w:val="658464"/>
          <w:spacing w:val="-4"/>
          <w:w w:val="115"/>
          <w:sz w:val="44"/>
        </w:rPr>
        <w:t>new</w:t>
      </w:r>
      <w:r>
        <w:rPr>
          <w:b/>
          <w:color w:val="658464"/>
          <w:spacing w:val="-68"/>
          <w:w w:val="115"/>
          <w:sz w:val="44"/>
        </w:rPr>
        <w:t> </w:t>
      </w:r>
      <w:r>
        <w:rPr>
          <w:b/>
          <w:color w:val="658464"/>
          <w:spacing w:val="-3"/>
          <w:w w:val="115"/>
          <w:sz w:val="44"/>
        </w:rPr>
        <w:t>Neighbourhood </w:t>
      </w:r>
      <w:r>
        <w:rPr>
          <w:b/>
          <w:color w:val="658464"/>
          <w:spacing w:val="-9"/>
          <w:w w:val="115"/>
          <w:sz w:val="44"/>
        </w:rPr>
        <w:t>Tree </w:t>
      </w:r>
      <w:r>
        <w:rPr>
          <w:b/>
          <w:color w:val="658464"/>
          <w:w w:val="115"/>
          <w:sz w:val="44"/>
        </w:rPr>
        <w:t>Disputes Act </w:t>
      </w:r>
      <w:r>
        <w:rPr>
          <w:b/>
          <w:color w:val="658464"/>
          <w:spacing w:val="-3"/>
          <w:w w:val="115"/>
          <w:sz w:val="44"/>
        </w:rPr>
        <w:t>with other</w:t>
      </w:r>
      <w:r>
        <w:rPr>
          <w:b/>
          <w:color w:val="658464"/>
          <w:spacing w:val="3"/>
          <w:w w:val="115"/>
          <w:sz w:val="44"/>
        </w:rPr>
        <w:t> </w:t>
      </w:r>
      <w:r>
        <w:rPr>
          <w:b/>
          <w:color w:val="658464"/>
          <w:spacing w:val="-4"/>
          <w:w w:val="115"/>
          <w:sz w:val="44"/>
        </w:rPr>
        <w:t>laws</w:t>
      </w:r>
    </w:p>
    <w:p>
      <w:pPr>
        <w:pStyle w:val="BodyText"/>
        <w:rPr>
          <w:b/>
          <w:sz w:val="52"/>
        </w:rPr>
      </w:pPr>
    </w:p>
    <w:p>
      <w:pPr>
        <w:pStyle w:val="BodyText"/>
        <w:rPr>
          <w:b/>
          <w:sz w:val="52"/>
        </w:rPr>
      </w:pPr>
    </w:p>
    <w:p>
      <w:pPr>
        <w:pStyle w:val="BodyText"/>
        <w:rPr>
          <w:b/>
          <w:sz w:val="52"/>
        </w:rPr>
      </w:pPr>
    </w:p>
    <w:p>
      <w:pPr>
        <w:pStyle w:val="BodyText"/>
        <w:spacing w:before="5"/>
        <w:rPr>
          <w:b/>
          <w:sz w:val="57"/>
        </w:rPr>
      </w:pPr>
    </w:p>
    <w:p>
      <w:pPr>
        <w:spacing w:before="1"/>
        <w:ind w:left="1587" w:right="0" w:firstLine="0"/>
        <w:jc w:val="left"/>
        <w:rPr>
          <w:b/>
          <w:sz w:val="28"/>
        </w:rPr>
      </w:pPr>
      <w:r>
        <w:rPr>
          <w:b/>
          <w:color w:val="658464"/>
          <w:w w:val="110"/>
          <w:sz w:val="28"/>
        </w:rPr>
        <w:t>Introduction</w:t>
      </w:r>
    </w:p>
    <w:p>
      <w:pPr>
        <w:pStyle w:val="ListParagraph"/>
        <w:numPr>
          <w:ilvl w:val="1"/>
          <w:numId w:val="16"/>
        </w:numPr>
        <w:tabs>
          <w:tab w:pos="2381" w:val="left" w:leader="none"/>
          <w:tab w:pos="2382" w:val="left" w:leader="none"/>
        </w:tabs>
        <w:spacing w:line="242" w:lineRule="auto" w:before="155" w:after="0"/>
        <w:ind w:left="2381" w:right="1584" w:hanging="794"/>
        <w:jc w:val="left"/>
        <w:rPr>
          <w:sz w:val="21"/>
        </w:rPr>
      </w:pPr>
      <w:r>
        <w:rPr>
          <w:sz w:val="21"/>
        </w:rPr>
        <w:t>In Victoria the </w:t>
      </w:r>
      <w:r>
        <w:rPr>
          <w:spacing w:val="-3"/>
          <w:sz w:val="21"/>
        </w:rPr>
        <w:t>management </w:t>
      </w:r>
      <w:r>
        <w:rPr>
          <w:sz w:val="21"/>
        </w:rPr>
        <w:t>and </w:t>
      </w:r>
      <w:r>
        <w:rPr>
          <w:spacing w:val="-3"/>
          <w:sz w:val="21"/>
        </w:rPr>
        <w:t>removal </w:t>
      </w:r>
      <w:r>
        <w:rPr>
          <w:sz w:val="21"/>
        </w:rPr>
        <w:t>of trees on </w:t>
      </w:r>
      <w:r>
        <w:rPr>
          <w:spacing w:val="-3"/>
          <w:sz w:val="21"/>
        </w:rPr>
        <w:t>private land </w:t>
      </w:r>
      <w:r>
        <w:rPr>
          <w:sz w:val="21"/>
        </w:rPr>
        <w:t>is affected by </w:t>
      </w:r>
      <w:r>
        <w:rPr>
          <w:spacing w:val="-3"/>
          <w:sz w:val="21"/>
        </w:rPr>
        <w:t>numerous </w:t>
      </w:r>
      <w:r>
        <w:rPr>
          <w:sz w:val="21"/>
        </w:rPr>
        <w:t>laws and policies. These laws and policies </w:t>
      </w:r>
      <w:r>
        <w:rPr>
          <w:spacing w:val="-3"/>
          <w:sz w:val="21"/>
        </w:rPr>
        <w:t>may </w:t>
      </w:r>
      <w:r>
        <w:rPr>
          <w:sz w:val="21"/>
        </w:rPr>
        <w:t>be </w:t>
      </w:r>
      <w:r>
        <w:rPr>
          <w:spacing w:val="-3"/>
          <w:sz w:val="21"/>
        </w:rPr>
        <w:t>relevant to  </w:t>
      </w:r>
      <w:r>
        <w:rPr>
          <w:sz w:val="21"/>
        </w:rPr>
        <w:t>the rights and </w:t>
      </w:r>
      <w:r>
        <w:rPr>
          <w:spacing w:val="-3"/>
          <w:sz w:val="21"/>
        </w:rPr>
        <w:t>responsibilities  </w:t>
      </w:r>
      <w:r>
        <w:rPr>
          <w:sz w:val="21"/>
        </w:rPr>
        <w:t>of parties in tree </w:t>
      </w:r>
      <w:r>
        <w:rPr>
          <w:spacing w:val="-3"/>
          <w:sz w:val="21"/>
        </w:rPr>
        <w:t>disputes </w:t>
      </w:r>
      <w:r>
        <w:rPr>
          <w:sz w:val="21"/>
        </w:rPr>
        <w:t>and their </w:t>
      </w:r>
      <w:r>
        <w:rPr>
          <w:spacing w:val="-3"/>
          <w:sz w:val="21"/>
        </w:rPr>
        <w:t>relationship to </w:t>
      </w:r>
      <w:r>
        <w:rPr>
          <w:sz w:val="21"/>
        </w:rPr>
        <w:t>the new </w:t>
      </w:r>
      <w:r>
        <w:rPr>
          <w:spacing w:val="-5"/>
          <w:sz w:val="21"/>
        </w:rPr>
        <w:t>Tree </w:t>
      </w:r>
      <w:r>
        <w:rPr>
          <w:spacing w:val="-3"/>
          <w:sz w:val="21"/>
        </w:rPr>
        <w:t>Disputes </w:t>
      </w:r>
      <w:r>
        <w:rPr>
          <w:sz w:val="21"/>
        </w:rPr>
        <w:t>Act must be </w:t>
      </w:r>
      <w:r>
        <w:rPr>
          <w:spacing w:val="-3"/>
          <w:sz w:val="21"/>
        </w:rPr>
        <w:t>considered. </w:t>
      </w:r>
      <w:r>
        <w:rPr>
          <w:sz w:val="21"/>
        </w:rPr>
        <w:t>The new Act </w:t>
      </w:r>
      <w:r>
        <w:rPr>
          <w:spacing w:val="-3"/>
          <w:sz w:val="21"/>
        </w:rPr>
        <w:t>may </w:t>
      </w:r>
      <w:r>
        <w:rPr>
          <w:sz w:val="21"/>
        </w:rPr>
        <w:t>intersect with the</w:t>
      </w:r>
      <w:r>
        <w:rPr>
          <w:spacing w:val="-1"/>
          <w:sz w:val="21"/>
        </w:rPr>
        <w:t> </w:t>
      </w:r>
      <w:r>
        <w:rPr>
          <w:sz w:val="21"/>
        </w:rPr>
        <w:t>following:</w:t>
      </w:r>
    </w:p>
    <w:p>
      <w:pPr>
        <w:pStyle w:val="ListParagraph"/>
        <w:numPr>
          <w:ilvl w:val="2"/>
          <w:numId w:val="16"/>
        </w:numPr>
        <w:tabs>
          <w:tab w:pos="2721" w:val="left" w:leader="none"/>
          <w:tab w:pos="2722" w:val="left" w:leader="none"/>
        </w:tabs>
        <w:spacing w:line="240" w:lineRule="auto" w:before="124" w:after="0"/>
        <w:ind w:left="2721" w:right="0" w:hanging="340"/>
        <w:jc w:val="left"/>
        <w:rPr>
          <w:sz w:val="21"/>
        </w:rPr>
      </w:pPr>
      <w:r>
        <w:rPr>
          <w:w w:val="105"/>
          <w:sz w:val="21"/>
        </w:rPr>
        <w:t>the </w:t>
      </w:r>
      <w:r>
        <w:rPr>
          <w:i/>
          <w:spacing w:val="-3"/>
          <w:w w:val="105"/>
          <w:sz w:val="21"/>
        </w:rPr>
        <w:t>Planning </w:t>
      </w:r>
      <w:r>
        <w:rPr>
          <w:i/>
          <w:w w:val="105"/>
          <w:sz w:val="21"/>
        </w:rPr>
        <w:t>and </w:t>
      </w:r>
      <w:r>
        <w:rPr>
          <w:i/>
          <w:spacing w:val="-3"/>
          <w:w w:val="105"/>
          <w:sz w:val="21"/>
        </w:rPr>
        <w:t>Environment </w:t>
      </w:r>
      <w:r>
        <w:rPr>
          <w:i/>
          <w:w w:val="105"/>
          <w:sz w:val="21"/>
        </w:rPr>
        <w:t>Act </w:t>
      </w:r>
      <w:r>
        <w:rPr>
          <w:i/>
          <w:spacing w:val="-6"/>
          <w:w w:val="105"/>
          <w:sz w:val="21"/>
        </w:rPr>
        <w:t>1987</w:t>
      </w:r>
      <w:r>
        <w:rPr>
          <w:i/>
          <w:spacing w:val="-5"/>
          <w:w w:val="105"/>
          <w:sz w:val="21"/>
        </w:rPr>
        <w:t> </w:t>
      </w:r>
      <w:r>
        <w:rPr>
          <w:w w:val="105"/>
          <w:sz w:val="21"/>
        </w:rPr>
        <w:t>(Vic)</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local tree protection laws made under the </w:t>
      </w:r>
      <w:r>
        <w:rPr>
          <w:i/>
          <w:w w:val="105"/>
          <w:sz w:val="21"/>
        </w:rPr>
        <w:t>Local </w:t>
      </w:r>
      <w:r>
        <w:rPr>
          <w:i/>
          <w:spacing w:val="-3"/>
          <w:w w:val="105"/>
          <w:sz w:val="21"/>
        </w:rPr>
        <w:t>Government </w:t>
      </w:r>
      <w:r>
        <w:rPr>
          <w:i/>
          <w:w w:val="105"/>
          <w:sz w:val="21"/>
        </w:rPr>
        <w:t>Act </w:t>
      </w:r>
      <w:r>
        <w:rPr>
          <w:i/>
          <w:spacing w:val="-5"/>
          <w:w w:val="105"/>
          <w:sz w:val="21"/>
        </w:rPr>
        <w:t>1989</w:t>
      </w:r>
      <w:r>
        <w:rPr>
          <w:i/>
          <w:spacing w:val="-3"/>
          <w:w w:val="105"/>
          <w:sz w:val="21"/>
        </w:rPr>
        <w:t> </w:t>
      </w:r>
      <w:r>
        <w:rPr>
          <w:w w:val="105"/>
          <w:sz w:val="21"/>
        </w:rPr>
        <w:t>(Vic)</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w w:val="105"/>
          <w:sz w:val="21"/>
        </w:rPr>
        <w:t>the </w:t>
      </w:r>
      <w:r>
        <w:rPr>
          <w:i/>
          <w:w w:val="105"/>
          <w:sz w:val="21"/>
        </w:rPr>
        <w:t>Heritage Act </w:t>
      </w:r>
      <w:r>
        <w:rPr>
          <w:i/>
          <w:spacing w:val="-10"/>
          <w:w w:val="105"/>
          <w:sz w:val="21"/>
        </w:rPr>
        <w:t>2017</w:t>
      </w:r>
      <w:r>
        <w:rPr>
          <w:i/>
          <w:spacing w:val="21"/>
          <w:w w:val="105"/>
          <w:sz w:val="21"/>
        </w:rPr>
        <w:t> </w:t>
      </w:r>
      <w:r>
        <w:rPr>
          <w:w w:val="105"/>
          <w:sz w:val="21"/>
        </w:rPr>
        <w:t>(Vic)</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the </w:t>
      </w:r>
      <w:r>
        <w:rPr>
          <w:i/>
          <w:w w:val="105"/>
          <w:sz w:val="21"/>
        </w:rPr>
        <w:t>Aboriginal Heritage Act 2006</w:t>
      </w:r>
      <w:r>
        <w:rPr>
          <w:i/>
          <w:spacing w:val="25"/>
          <w:w w:val="105"/>
          <w:sz w:val="21"/>
        </w:rPr>
        <w:t> </w:t>
      </w:r>
      <w:r>
        <w:rPr>
          <w:w w:val="105"/>
          <w:sz w:val="21"/>
        </w:rPr>
        <w:t>(Vic)</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the </w:t>
      </w:r>
      <w:r>
        <w:rPr>
          <w:i/>
          <w:w w:val="105"/>
          <w:sz w:val="21"/>
        </w:rPr>
        <w:t>Fences Act </w:t>
      </w:r>
      <w:r>
        <w:rPr>
          <w:i/>
          <w:spacing w:val="-4"/>
          <w:w w:val="105"/>
          <w:sz w:val="21"/>
        </w:rPr>
        <w:t>1968</w:t>
      </w:r>
      <w:r>
        <w:rPr>
          <w:i/>
          <w:spacing w:val="21"/>
          <w:w w:val="105"/>
          <w:sz w:val="21"/>
        </w:rPr>
        <w:t> </w:t>
      </w:r>
      <w:r>
        <w:rPr>
          <w:w w:val="105"/>
          <w:sz w:val="21"/>
        </w:rPr>
        <w:t>(Vic)</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w w:val="105"/>
          <w:sz w:val="21"/>
        </w:rPr>
        <w:t>the </w:t>
      </w:r>
      <w:r>
        <w:rPr>
          <w:i/>
          <w:spacing w:val="-3"/>
          <w:w w:val="105"/>
          <w:sz w:val="21"/>
        </w:rPr>
        <w:t>Catchment </w:t>
      </w:r>
      <w:r>
        <w:rPr>
          <w:i/>
          <w:w w:val="105"/>
          <w:sz w:val="21"/>
        </w:rPr>
        <w:t>and Land Protection Act </w:t>
      </w:r>
      <w:r>
        <w:rPr>
          <w:i/>
          <w:spacing w:val="-4"/>
          <w:w w:val="105"/>
          <w:sz w:val="21"/>
        </w:rPr>
        <w:t>1994</w:t>
      </w:r>
      <w:r>
        <w:rPr>
          <w:i/>
          <w:spacing w:val="39"/>
          <w:w w:val="105"/>
          <w:sz w:val="21"/>
        </w:rPr>
        <w:t> </w:t>
      </w:r>
      <w:r>
        <w:rPr>
          <w:w w:val="105"/>
          <w:sz w:val="21"/>
        </w:rPr>
        <w:t>(Vic)</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the </w:t>
      </w:r>
      <w:r>
        <w:rPr>
          <w:i/>
          <w:w w:val="105"/>
          <w:sz w:val="21"/>
        </w:rPr>
        <w:t>Victorian </w:t>
      </w:r>
      <w:r>
        <w:rPr>
          <w:i/>
          <w:spacing w:val="-3"/>
          <w:w w:val="105"/>
          <w:sz w:val="21"/>
        </w:rPr>
        <w:t>Conservation </w:t>
      </w:r>
      <w:r>
        <w:rPr>
          <w:i/>
          <w:spacing w:val="-4"/>
          <w:w w:val="105"/>
          <w:sz w:val="21"/>
        </w:rPr>
        <w:t>Trust </w:t>
      </w:r>
      <w:r>
        <w:rPr>
          <w:i/>
          <w:w w:val="105"/>
          <w:sz w:val="21"/>
        </w:rPr>
        <w:t>Act </w:t>
      </w:r>
      <w:r>
        <w:rPr>
          <w:i/>
          <w:spacing w:val="-9"/>
          <w:w w:val="105"/>
          <w:sz w:val="21"/>
        </w:rPr>
        <w:t>1972</w:t>
      </w:r>
      <w:r>
        <w:rPr>
          <w:i/>
          <w:spacing w:val="-3"/>
          <w:w w:val="105"/>
          <w:sz w:val="21"/>
        </w:rPr>
        <w:t> </w:t>
      </w:r>
      <w:r>
        <w:rPr>
          <w:w w:val="105"/>
          <w:sz w:val="21"/>
        </w:rPr>
        <w:t>(Vic)</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the </w:t>
      </w:r>
      <w:r>
        <w:rPr>
          <w:i/>
          <w:spacing w:val="-3"/>
          <w:w w:val="105"/>
          <w:sz w:val="21"/>
        </w:rPr>
        <w:t>Conservation, </w:t>
      </w:r>
      <w:r>
        <w:rPr>
          <w:i/>
          <w:w w:val="105"/>
          <w:sz w:val="21"/>
        </w:rPr>
        <w:t>Forests and Lands Act </w:t>
      </w:r>
      <w:r>
        <w:rPr>
          <w:i/>
          <w:spacing w:val="-6"/>
          <w:w w:val="105"/>
          <w:sz w:val="21"/>
        </w:rPr>
        <w:t>1987</w:t>
      </w:r>
      <w:r>
        <w:rPr>
          <w:i/>
          <w:spacing w:val="-5"/>
          <w:w w:val="105"/>
          <w:sz w:val="21"/>
        </w:rPr>
        <w:t> </w:t>
      </w:r>
      <w:r>
        <w:rPr>
          <w:w w:val="105"/>
          <w:sz w:val="21"/>
        </w:rPr>
        <w:t>(Vic)</w:t>
      </w:r>
    </w:p>
    <w:p>
      <w:pPr>
        <w:pStyle w:val="ListParagraph"/>
        <w:numPr>
          <w:ilvl w:val="2"/>
          <w:numId w:val="16"/>
        </w:numPr>
        <w:tabs>
          <w:tab w:pos="2721" w:val="left" w:leader="none"/>
          <w:tab w:pos="2722" w:val="left" w:leader="none"/>
        </w:tabs>
        <w:spacing w:line="240" w:lineRule="auto" w:before="88" w:after="0"/>
        <w:ind w:left="2721" w:right="0" w:hanging="340"/>
        <w:jc w:val="left"/>
        <w:rPr>
          <w:i/>
          <w:sz w:val="21"/>
        </w:rPr>
      </w:pPr>
      <w:r>
        <w:rPr>
          <w:w w:val="105"/>
          <w:sz w:val="21"/>
        </w:rPr>
        <w:t>the </w:t>
      </w:r>
      <w:r>
        <w:rPr>
          <w:i/>
          <w:spacing w:val="-3"/>
          <w:w w:val="105"/>
          <w:sz w:val="21"/>
        </w:rPr>
        <w:t>Commonwealth Environment </w:t>
      </w:r>
      <w:r>
        <w:rPr>
          <w:i/>
          <w:w w:val="105"/>
          <w:sz w:val="21"/>
        </w:rPr>
        <w:t>Protection and Biodiversity </w:t>
      </w:r>
      <w:r>
        <w:rPr>
          <w:i/>
          <w:spacing w:val="-3"/>
          <w:w w:val="105"/>
          <w:sz w:val="21"/>
        </w:rPr>
        <w:t>Conservation </w:t>
      </w:r>
      <w:r>
        <w:rPr>
          <w:i/>
          <w:w w:val="105"/>
          <w:sz w:val="21"/>
        </w:rPr>
        <w:t>Act</w:t>
      </w:r>
      <w:r>
        <w:rPr>
          <w:i/>
          <w:spacing w:val="15"/>
          <w:w w:val="105"/>
          <w:sz w:val="21"/>
        </w:rPr>
        <w:t> </w:t>
      </w:r>
      <w:r>
        <w:rPr>
          <w:i/>
          <w:spacing w:val="-6"/>
          <w:w w:val="105"/>
          <w:sz w:val="21"/>
        </w:rPr>
        <w:t>1999</w:t>
      </w:r>
    </w:p>
    <w:p>
      <w:pPr>
        <w:pStyle w:val="BodyText"/>
        <w:spacing w:before="4"/>
        <w:ind w:left="2721"/>
      </w:pPr>
      <w:r>
        <w:rPr>
          <w:w w:val="105"/>
        </w:rPr>
        <w:t>(Cth)</w:t>
      </w:r>
    </w:p>
    <w:p>
      <w:pPr>
        <w:pStyle w:val="ListParagraph"/>
        <w:numPr>
          <w:ilvl w:val="1"/>
          <w:numId w:val="16"/>
        </w:numPr>
        <w:tabs>
          <w:tab w:pos="2381" w:val="left" w:leader="none"/>
          <w:tab w:pos="2382" w:val="left" w:leader="none"/>
        </w:tabs>
        <w:spacing w:line="242" w:lineRule="auto" w:before="89" w:after="0"/>
        <w:ind w:left="2381" w:right="1809" w:hanging="794"/>
        <w:jc w:val="left"/>
        <w:rPr>
          <w:sz w:val="21"/>
        </w:rPr>
      </w:pPr>
      <w:r>
        <w:rPr>
          <w:w w:val="105"/>
          <w:sz w:val="21"/>
        </w:rPr>
        <w:t>Other</w:t>
      </w:r>
      <w:r>
        <w:rPr>
          <w:spacing w:val="-6"/>
          <w:w w:val="105"/>
          <w:sz w:val="21"/>
        </w:rPr>
        <w:t> </w:t>
      </w:r>
      <w:r>
        <w:rPr>
          <w:w w:val="105"/>
          <w:sz w:val="21"/>
        </w:rPr>
        <w:t>Acts</w:t>
      </w:r>
      <w:r>
        <w:rPr>
          <w:spacing w:val="-5"/>
          <w:w w:val="105"/>
          <w:sz w:val="21"/>
        </w:rPr>
        <w:t> </w:t>
      </w:r>
      <w:r>
        <w:rPr>
          <w:w w:val="105"/>
          <w:sz w:val="21"/>
        </w:rPr>
        <w:t>also</w:t>
      </w:r>
      <w:r>
        <w:rPr>
          <w:spacing w:val="-5"/>
          <w:w w:val="105"/>
          <w:sz w:val="21"/>
        </w:rPr>
        <w:t> </w:t>
      </w:r>
      <w:r>
        <w:rPr>
          <w:spacing w:val="-3"/>
          <w:w w:val="105"/>
          <w:sz w:val="21"/>
        </w:rPr>
        <w:t>relate</w:t>
      </w:r>
      <w:r>
        <w:rPr>
          <w:spacing w:val="-5"/>
          <w:w w:val="105"/>
          <w:sz w:val="21"/>
        </w:rPr>
        <w:t> </w:t>
      </w:r>
      <w:r>
        <w:rPr>
          <w:spacing w:val="-3"/>
          <w:w w:val="105"/>
          <w:sz w:val="21"/>
        </w:rPr>
        <w:t>to</w:t>
      </w:r>
      <w:r>
        <w:rPr>
          <w:spacing w:val="-5"/>
          <w:w w:val="105"/>
          <w:sz w:val="21"/>
        </w:rPr>
        <w:t> </w:t>
      </w:r>
      <w:r>
        <w:rPr>
          <w:w w:val="105"/>
          <w:sz w:val="21"/>
        </w:rPr>
        <w:t>the</w:t>
      </w:r>
      <w:r>
        <w:rPr>
          <w:spacing w:val="-5"/>
          <w:w w:val="105"/>
          <w:sz w:val="21"/>
        </w:rPr>
        <w:t> </w:t>
      </w:r>
      <w:r>
        <w:rPr>
          <w:spacing w:val="-3"/>
          <w:w w:val="105"/>
          <w:sz w:val="21"/>
        </w:rPr>
        <w:t>management</w:t>
      </w:r>
      <w:r>
        <w:rPr>
          <w:spacing w:val="-5"/>
          <w:w w:val="105"/>
          <w:sz w:val="21"/>
        </w:rPr>
        <w:t> </w:t>
      </w:r>
      <w:r>
        <w:rPr>
          <w:w w:val="105"/>
          <w:sz w:val="21"/>
        </w:rPr>
        <w:t>of</w:t>
      </w:r>
      <w:r>
        <w:rPr>
          <w:spacing w:val="-5"/>
          <w:w w:val="105"/>
          <w:sz w:val="21"/>
        </w:rPr>
        <w:t> </w:t>
      </w:r>
      <w:r>
        <w:rPr>
          <w:w w:val="105"/>
          <w:sz w:val="21"/>
        </w:rPr>
        <w:t>vegetation</w:t>
      </w:r>
      <w:r>
        <w:rPr>
          <w:spacing w:val="-5"/>
          <w:w w:val="105"/>
          <w:sz w:val="21"/>
        </w:rPr>
        <w:t> </w:t>
      </w:r>
      <w:r>
        <w:rPr>
          <w:spacing w:val="-3"/>
          <w:w w:val="105"/>
          <w:sz w:val="21"/>
        </w:rPr>
        <w:t>for</w:t>
      </w:r>
      <w:r>
        <w:rPr>
          <w:spacing w:val="-6"/>
          <w:w w:val="105"/>
          <w:sz w:val="21"/>
        </w:rPr>
        <w:t> </w:t>
      </w:r>
      <w:r>
        <w:rPr>
          <w:w w:val="105"/>
          <w:sz w:val="21"/>
        </w:rPr>
        <w:t>fire</w:t>
      </w:r>
      <w:r>
        <w:rPr>
          <w:spacing w:val="-5"/>
          <w:w w:val="105"/>
          <w:sz w:val="21"/>
        </w:rPr>
        <w:t> </w:t>
      </w:r>
      <w:r>
        <w:rPr>
          <w:spacing w:val="-3"/>
          <w:w w:val="105"/>
          <w:sz w:val="21"/>
        </w:rPr>
        <w:t>prevention;</w:t>
      </w:r>
      <w:r>
        <w:rPr>
          <w:spacing w:val="-5"/>
          <w:w w:val="105"/>
          <w:sz w:val="21"/>
        </w:rPr>
        <w:t> </w:t>
      </w:r>
      <w:r>
        <w:rPr>
          <w:spacing w:val="-3"/>
          <w:w w:val="105"/>
          <w:sz w:val="21"/>
        </w:rPr>
        <w:t>to</w:t>
      </w:r>
      <w:r>
        <w:rPr>
          <w:spacing w:val="-5"/>
          <w:w w:val="105"/>
          <w:sz w:val="21"/>
        </w:rPr>
        <w:t> </w:t>
      </w:r>
      <w:r>
        <w:rPr>
          <w:spacing w:val="-3"/>
          <w:w w:val="105"/>
          <w:sz w:val="21"/>
        </w:rPr>
        <w:t>minimise interference </w:t>
      </w:r>
      <w:r>
        <w:rPr>
          <w:w w:val="105"/>
          <w:sz w:val="21"/>
        </w:rPr>
        <w:t>with </w:t>
      </w:r>
      <w:r>
        <w:rPr>
          <w:spacing w:val="-3"/>
          <w:w w:val="105"/>
          <w:sz w:val="21"/>
        </w:rPr>
        <w:t>powerlines </w:t>
      </w:r>
      <w:r>
        <w:rPr>
          <w:w w:val="105"/>
          <w:sz w:val="21"/>
        </w:rPr>
        <w:t>and </w:t>
      </w:r>
      <w:r>
        <w:rPr>
          <w:spacing w:val="-3"/>
          <w:w w:val="105"/>
          <w:sz w:val="21"/>
        </w:rPr>
        <w:t>to </w:t>
      </w:r>
      <w:r>
        <w:rPr>
          <w:w w:val="105"/>
          <w:sz w:val="21"/>
        </w:rPr>
        <w:t>protect </w:t>
      </w:r>
      <w:r>
        <w:rPr>
          <w:spacing w:val="-3"/>
          <w:w w:val="105"/>
          <w:sz w:val="21"/>
        </w:rPr>
        <w:t>public health </w:t>
      </w:r>
      <w:r>
        <w:rPr>
          <w:w w:val="105"/>
          <w:sz w:val="21"/>
        </w:rPr>
        <w:t>and </w:t>
      </w:r>
      <w:r>
        <w:rPr>
          <w:spacing w:val="-3"/>
          <w:w w:val="105"/>
          <w:sz w:val="21"/>
        </w:rPr>
        <w:t>wellbeing </w:t>
      </w:r>
      <w:r>
        <w:rPr>
          <w:w w:val="105"/>
          <w:sz w:val="21"/>
        </w:rPr>
        <w:t>and the </w:t>
      </w:r>
      <w:r>
        <w:rPr>
          <w:spacing w:val="-5"/>
          <w:w w:val="105"/>
          <w:sz w:val="21"/>
        </w:rPr>
        <w:t>environment.</w:t>
      </w:r>
      <w:r>
        <w:rPr>
          <w:spacing w:val="-5"/>
          <w:w w:val="105"/>
          <w:position w:val="7"/>
          <w:sz w:val="12"/>
        </w:rPr>
        <w:t>1 </w:t>
      </w:r>
      <w:r>
        <w:rPr>
          <w:w w:val="105"/>
          <w:sz w:val="21"/>
        </w:rPr>
        <w:t>These Acts </w:t>
      </w:r>
      <w:r>
        <w:rPr>
          <w:spacing w:val="-3"/>
          <w:w w:val="105"/>
          <w:sz w:val="21"/>
        </w:rPr>
        <w:t>are </w:t>
      </w:r>
      <w:r>
        <w:rPr>
          <w:w w:val="105"/>
          <w:sz w:val="21"/>
        </w:rPr>
        <w:t>less </w:t>
      </w:r>
      <w:r>
        <w:rPr>
          <w:spacing w:val="-4"/>
          <w:w w:val="105"/>
          <w:sz w:val="21"/>
        </w:rPr>
        <w:t>likely </w:t>
      </w:r>
      <w:r>
        <w:rPr>
          <w:spacing w:val="-3"/>
          <w:w w:val="105"/>
          <w:sz w:val="21"/>
        </w:rPr>
        <w:t>to </w:t>
      </w:r>
      <w:r>
        <w:rPr>
          <w:w w:val="105"/>
          <w:sz w:val="21"/>
        </w:rPr>
        <w:t>impact the new</w:t>
      </w:r>
      <w:r>
        <w:rPr>
          <w:spacing w:val="29"/>
          <w:w w:val="105"/>
          <w:sz w:val="21"/>
        </w:rPr>
        <w:t> </w:t>
      </w:r>
      <w:r>
        <w:rPr>
          <w:w w:val="105"/>
          <w:sz w:val="21"/>
        </w:rPr>
        <w:t>Act.</w:t>
      </w:r>
    </w:p>
    <w:p>
      <w:pPr>
        <w:pStyle w:val="ListParagraph"/>
        <w:numPr>
          <w:ilvl w:val="1"/>
          <w:numId w:val="16"/>
        </w:numPr>
        <w:tabs>
          <w:tab w:pos="2381" w:val="left" w:leader="none"/>
          <w:tab w:pos="2382" w:val="left" w:leader="none"/>
        </w:tabs>
        <w:spacing w:line="242" w:lineRule="auto" w:before="123" w:after="0"/>
        <w:ind w:left="2381" w:right="1600" w:hanging="794"/>
        <w:jc w:val="left"/>
        <w:rPr>
          <w:sz w:val="21"/>
        </w:rPr>
      </w:pPr>
      <w:r>
        <w:rPr>
          <w:w w:val="105"/>
          <w:sz w:val="21"/>
        </w:rPr>
        <w:t>The</w:t>
      </w:r>
      <w:r>
        <w:rPr>
          <w:spacing w:val="-7"/>
          <w:w w:val="105"/>
          <w:sz w:val="21"/>
        </w:rPr>
        <w:t> </w:t>
      </w:r>
      <w:r>
        <w:rPr>
          <w:w w:val="105"/>
          <w:sz w:val="21"/>
        </w:rPr>
        <w:t>first</w:t>
      </w:r>
      <w:r>
        <w:rPr>
          <w:spacing w:val="-6"/>
          <w:w w:val="105"/>
          <w:sz w:val="21"/>
        </w:rPr>
        <w:t> </w:t>
      </w:r>
      <w:r>
        <w:rPr>
          <w:w w:val="105"/>
          <w:sz w:val="21"/>
        </w:rPr>
        <w:t>section</w:t>
      </w:r>
      <w:r>
        <w:rPr>
          <w:spacing w:val="-6"/>
          <w:w w:val="105"/>
          <w:sz w:val="21"/>
        </w:rPr>
        <w:t> </w:t>
      </w:r>
      <w:r>
        <w:rPr>
          <w:w w:val="105"/>
          <w:sz w:val="21"/>
        </w:rPr>
        <w:t>of</w:t>
      </w:r>
      <w:r>
        <w:rPr>
          <w:spacing w:val="-7"/>
          <w:w w:val="105"/>
          <w:sz w:val="21"/>
        </w:rPr>
        <w:t> </w:t>
      </w:r>
      <w:r>
        <w:rPr>
          <w:w w:val="105"/>
          <w:sz w:val="21"/>
        </w:rPr>
        <w:t>this</w:t>
      </w:r>
      <w:r>
        <w:rPr>
          <w:spacing w:val="-6"/>
          <w:w w:val="105"/>
          <w:sz w:val="21"/>
        </w:rPr>
        <w:t> </w:t>
      </w:r>
      <w:r>
        <w:rPr>
          <w:spacing w:val="-3"/>
          <w:w w:val="105"/>
          <w:sz w:val="21"/>
        </w:rPr>
        <w:t>chapter</w:t>
      </w:r>
      <w:r>
        <w:rPr>
          <w:spacing w:val="-6"/>
          <w:w w:val="105"/>
          <w:sz w:val="21"/>
        </w:rPr>
        <w:t> </w:t>
      </w:r>
      <w:r>
        <w:rPr>
          <w:spacing w:val="-2"/>
          <w:w w:val="105"/>
          <w:sz w:val="21"/>
        </w:rPr>
        <w:t>examines</w:t>
      </w:r>
      <w:r>
        <w:rPr>
          <w:spacing w:val="-6"/>
          <w:w w:val="105"/>
          <w:sz w:val="21"/>
        </w:rPr>
        <w:t> </w:t>
      </w:r>
      <w:r>
        <w:rPr>
          <w:w w:val="105"/>
          <w:sz w:val="21"/>
        </w:rPr>
        <w:t>how</w:t>
      </w:r>
      <w:r>
        <w:rPr>
          <w:spacing w:val="-7"/>
          <w:w w:val="105"/>
          <w:sz w:val="21"/>
        </w:rPr>
        <w:t> </w:t>
      </w:r>
      <w:r>
        <w:rPr>
          <w:w w:val="105"/>
          <w:sz w:val="21"/>
        </w:rPr>
        <w:t>the</w:t>
      </w:r>
      <w:r>
        <w:rPr>
          <w:spacing w:val="-6"/>
          <w:w w:val="105"/>
          <w:sz w:val="21"/>
        </w:rPr>
        <w:t> </w:t>
      </w:r>
      <w:r>
        <w:rPr>
          <w:w w:val="105"/>
          <w:sz w:val="21"/>
        </w:rPr>
        <w:t>above</w:t>
      </w:r>
      <w:r>
        <w:rPr>
          <w:spacing w:val="-6"/>
          <w:w w:val="105"/>
          <w:sz w:val="21"/>
        </w:rPr>
        <w:t> </w:t>
      </w:r>
      <w:r>
        <w:rPr>
          <w:w w:val="105"/>
          <w:sz w:val="21"/>
        </w:rPr>
        <w:t>laws</w:t>
      </w:r>
      <w:r>
        <w:rPr>
          <w:spacing w:val="-6"/>
          <w:w w:val="105"/>
          <w:sz w:val="21"/>
        </w:rPr>
        <w:t> </w:t>
      </w:r>
      <w:r>
        <w:rPr>
          <w:w w:val="105"/>
          <w:sz w:val="21"/>
        </w:rPr>
        <w:t>operate</w:t>
      </w:r>
      <w:r>
        <w:rPr>
          <w:spacing w:val="-7"/>
          <w:w w:val="105"/>
          <w:sz w:val="21"/>
        </w:rPr>
        <w:t> </w:t>
      </w:r>
      <w:r>
        <w:rPr>
          <w:w w:val="105"/>
          <w:sz w:val="21"/>
        </w:rPr>
        <w:t>and</w:t>
      </w:r>
      <w:r>
        <w:rPr>
          <w:spacing w:val="-6"/>
          <w:w w:val="105"/>
          <w:sz w:val="21"/>
        </w:rPr>
        <w:t> </w:t>
      </w:r>
      <w:r>
        <w:rPr>
          <w:w w:val="105"/>
          <w:sz w:val="21"/>
        </w:rPr>
        <w:t>how</w:t>
      </w:r>
      <w:r>
        <w:rPr>
          <w:spacing w:val="-6"/>
          <w:w w:val="105"/>
          <w:sz w:val="21"/>
        </w:rPr>
        <w:t> </w:t>
      </w:r>
      <w:r>
        <w:rPr>
          <w:w w:val="105"/>
          <w:sz w:val="21"/>
        </w:rPr>
        <w:t>they</w:t>
      </w:r>
      <w:r>
        <w:rPr>
          <w:spacing w:val="-7"/>
          <w:w w:val="105"/>
          <w:sz w:val="21"/>
        </w:rPr>
        <w:t> </w:t>
      </w:r>
      <w:r>
        <w:rPr>
          <w:spacing w:val="-3"/>
          <w:w w:val="105"/>
          <w:sz w:val="21"/>
        </w:rPr>
        <w:t>may </w:t>
      </w:r>
      <w:r>
        <w:rPr>
          <w:w w:val="105"/>
          <w:sz w:val="21"/>
        </w:rPr>
        <w:t>intersect with the new Act. The </w:t>
      </w:r>
      <w:r>
        <w:rPr>
          <w:spacing w:val="-3"/>
          <w:w w:val="105"/>
          <w:sz w:val="21"/>
        </w:rPr>
        <w:t>chapter </w:t>
      </w:r>
      <w:r>
        <w:rPr>
          <w:w w:val="105"/>
          <w:sz w:val="21"/>
        </w:rPr>
        <w:t>then considers community responses on this issue and discusses how the interstate Acts address the </w:t>
      </w:r>
      <w:r>
        <w:rPr>
          <w:spacing w:val="-3"/>
          <w:w w:val="105"/>
          <w:sz w:val="21"/>
        </w:rPr>
        <w:t>interaction </w:t>
      </w:r>
      <w:r>
        <w:rPr>
          <w:w w:val="105"/>
          <w:sz w:val="21"/>
        </w:rPr>
        <w:t>of laws. The </w:t>
      </w:r>
      <w:r>
        <w:rPr>
          <w:spacing w:val="-3"/>
          <w:w w:val="105"/>
          <w:sz w:val="21"/>
        </w:rPr>
        <w:t>chapter concludes </w:t>
      </w:r>
      <w:r>
        <w:rPr>
          <w:w w:val="105"/>
          <w:sz w:val="21"/>
        </w:rPr>
        <w:t>with </w:t>
      </w:r>
      <w:r>
        <w:rPr>
          <w:spacing w:val="-3"/>
          <w:w w:val="105"/>
          <w:sz w:val="21"/>
        </w:rPr>
        <w:t>recommendations to ensure that </w:t>
      </w:r>
      <w:r>
        <w:rPr>
          <w:w w:val="105"/>
          <w:sz w:val="21"/>
        </w:rPr>
        <w:t>the new Act interacts with existing laws and</w:t>
      </w:r>
      <w:r>
        <w:rPr>
          <w:spacing w:val="-13"/>
          <w:w w:val="105"/>
          <w:sz w:val="21"/>
        </w:rPr>
        <w:t> </w:t>
      </w:r>
      <w:r>
        <w:rPr>
          <w:w w:val="105"/>
          <w:sz w:val="21"/>
        </w:rPr>
        <w:t>policies</w:t>
      </w:r>
      <w:r>
        <w:rPr>
          <w:spacing w:val="-12"/>
          <w:w w:val="105"/>
          <w:sz w:val="21"/>
        </w:rPr>
        <w:t> </w:t>
      </w:r>
      <w:r>
        <w:rPr>
          <w:w w:val="105"/>
          <w:sz w:val="21"/>
        </w:rPr>
        <w:t>as</w:t>
      </w:r>
      <w:r>
        <w:rPr>
          <w:spacing w:val="-12"/>
          <w:w w:val="105"/>
          <w:sz w:val="21"/>
        </w:rPr>
        <w:t> </w:t>
      </w:r>
      <w:r>
        <w:rPr>
          <w:w w:val="105"/>
          <w:sz w:val="21"/>
        </w:rPr>
        <w:t>simply</w:t>
      </w:r>
      <w:r>
        <w:rPr>
          <w:spacing w:val="-12"/>
          <w:w w:val="105"/>
          <w:sz w:val="21"/>
        </w:rPr>
        <w:t> </w:t>
      </w:r>
      <w:r>
        <w:rPr>
          <w:w w:val="105"/>
          <w:sz w:val="21"/>
        </w:rPr>
        <w:t>as</w:t>
      </w:r>
      <w:r>
        <w:rPr>
          <w:spacing w:val="-12"/>
          <w:w w:val="105"/>
          <w:sz w:val="21"/>
        </w:rPr>
        <w:t> </w:t>
      </w:r>
      <w:r>
        <w:rPr>
          <w:w w:val="105"/>
          <w:sz w:val="21"/>
        </w:rPr>
        <w:t>possible</w:t>
      </w:r>
      <w:r>
        <w:rPr>
          <w:spacing w:val="-12"/>
          <w:w w:val="105"/>
          <w:sz w:val="21"/>
        </w:rPr>
        <w:t> </w:t>
      </w:r>
      <w:r>
        <w:rPr>
          <w:w w:val="105"/>
          <w:sz w:val="21"/>
        </w:rPr>
        <w:t>and</w:t>
      </w:r>
      <w:r>
        <w:rPr>
          <w:spacing w:val="-12"/>
          <w:w w:val="105"/>
          <w:sz w:val="21"/>
        </w:rPr>
        <w:t> </w:t>
      </w:r>
      <w:r>
        <w:rPr>
          <w:w w:val="105"/>
          <w:sz w:val="21"/>
        </w:rPr>
        <w:t>causes</w:t>
      </w:r>
      <w:r>
        <w:rPr>
          <w:spacing w:val="-12"/>
          <w:w w:val="105"/>
          <w:sz w:val="21"/>
        </w:rPr>
        <w:t> </w:t>
      </w:r>
      <w:r>
        <w:rPr>
          <w:spacing w:val="-3"/>
          <w:w w:val="105"/>
          <w:sz w:val="21"/>
        </w:rPr>
        <w:t>minimal</w:t>
      </w:r>
      <w:r>
        <w:rPr>
          <w:spacing w:val="-12"/>
          <w:w w:val="105"/>
          <w:sz w:val="21"/>
        </w:rPr>
        <w:t> </w:t>
      </w:r>
      <w:r>
        <w:rPr>
          <w:spacing w:val="-3"/>
          <w:w w:val="105"/>
          <w:sz w:val="21"/>
        </w:rPr>
        <w:t>disruption</w:t>
      </w:r>
      <w:r>
        <w:rPr>
          <w:spacing w:val="-12"/>
          <w:w w:val="105"/>
          <w:sz w:val="21"/>
        </w:rPr>
        <w:t> </w:t>
      </w:r>
      <w:r>
        <w:rPr>
          <w:spacing w:val="-3"/>
          <w:w w:val="105"/>
          <w:sz w:val="21"/>
        </w:rPr>
        <w:t>to</w:t>
      </w:r>
      <w:r>
        <w:rPr>
          <w:spacing w:val="-12"/>
          <w:w w:val="105"/>
          <w:sz w:val="21"/>
        </w:rPr>
        <w:t> </w:t>
      </w:r>
      <w:r>
        <w:rPr>
          <w:w w:val="105"/>
          <w:sz w:val="21"/>
        </w:rPr>
        <w:t>existing</w:t>
      </w:r>
      <w:r>
        <w:rPr>
          <w:spacing w:val="-12"/>
          <w:w w:val="105"/>
          <w:sz w:val="21"/>
        </w:rPr>
        <w:t> </w:t>
      </w:r>
      <w:r>
        <w:rPr>
          <w:w w:val="105"/>
          <w:sz w:val="21"/>
        </w:rPr>
        <w:t>legal</w:t>
      </w:r>
      <w:r>
        <w:rPr>
          <w:spacing w:val="-12"/>
          <w:w w:val="105"/>
          <w:sz w:val="21"/>
        </w:rPr>
        <w:t> </w:t>
      </w:r>
      <w:r>
        <w:rPr>
          <w:w w:val="105"/>
          <w:sz w:val="21"/>
        </w:rPr>
        <w:t>processes and established</w:t>
      </w:r>
      <w:r>
        <w:rPr>
          <w:spacing w:val="9"/>
          <w:w w:val="105"/>
          <w:sz w:val="21"/>
        </w:rPr>
        <w:t> </w:t>
      </w:r>
      <w:r>
        <w:rPr>
          <w:spacing w:val="-2"/>
          <w:w w:val="105"/>
          <w:sz w:val="21"/>
        </w:rPr>
        <w:t>policies.</w:t>
      </w:r>
    </w:p>
    <w:p>
      <w:pPr>
        <w:pStyle w:val="ListParagraph"/>
        <w:numPr>
          <w:ilvl w:val="1"/>
          <w:numId w:val="16"/>
        </w:numPr>
        <w:tabs>
          <w:tab w:pos="2381" w:val="left" w:leader="none"/>
          <w:tab w:pos="2382" w:val="left" w:leader="none"/>
        </w:tabs>
        <w:spacing w:line="242" w:lineRule="auto" w:before="127" w:after="0"/>
        <w:ind w:left="2381" w:right="1962" w:hanging="794"/>
        <w:jc w:val="left"/>
        <w:rPr>
          <w:sz w:val="21"/>
        </w:rPr>
      </w:pPr>
      <w:r>
        <w:rPr>
          <w:w w:val="105"/>
          <w:sz w:val="21"/>
        </w:rPr>
        <w:t>A </w:t>
      </w:r>
      <w:r>
        <w:rPr>
          <w:spacing w:val="-4"/>
          <w:w w:val="105"/>
          <w:sz w:val="21"/>
        </w:rPr>
        <w:t>key </w:t>
      </w:r>
      <w:r>
        <w:rPr>
          <w:spacing w:val="-3"/>
          <w:w w:val="105"/>
          <w:sz w:val="21"/>
        </w:rPr>
        <w:t>recommendation </w:t>
      </w:r>
      <w:r>
        <w:rPr>
          <w:w w:val="105"/>
          <w:sz w:val="21"/>
        </w:rPr>
        <w:t>made in this </w:t>
      </w:r>
      <w:r>
        <w:rPr>
          <w:spacing w:val="-4"/>
          <w:w w:val="105"/>
          <w:sz w:val="21"/>
        </w:rPr>
        <w:t>Chapter </w:t>
      </w:r>
      <w:r>
        <w:rPr>
          <w:w w:val="105"/>
          <w:sz w:val="21"/>
        </w:rPr>
        <w:t>is </w:t>
      </w:r>
      <w:r>
        <w:rPr>
          <w:spacing w:val="-3"/>
          <w:w w:val="105"/>
          <w:sz w:val="21"/>
        </w:rPr>
        <w:t>amendment to </w:t>
      </w:r>
      <w:r>
        <w:rPr>
          <w:w w:val="105"/>
          <w:sz w:val="21"/>
        </w:rPr>
        <w:t>the Victoria </w:t>
      </w:r>
      <w:r>
        <w:rPr>
          <w:spacing w:val="-3"/>
          <w:w w:val="105"/>
          <w:sz w:val="21"/>
        </w:rPr>
        <w:t>Planning Provisions </w:t>
      </w:r>
      <w:r>
        <w:rPr>
          <w:w w:val="105"/>
          <w:sz w:val="21"/>
        </w:rPr>
        <w:t>(VPPs) </w:t>
      </w:r>
      <w:r>
        <w:rPr>
          <w:spacing w:val="-3"/>
          <w:w w:val="105"/>
          <w:sz w:val="21"/>
        </w:rPr>
        <w:t>to </w:t>
      </w:r>
      <w:r>
        <w:rPr>
          <w:w w:val="105"/>
          <w:sz w:val="21"/>
        </w:rPr>
        <w:t>exempt orders made under the Act </w:t>
      </w:r>
      <w:r>
        <w:rPr>
          <w:spacing w:val="-3"/>
          <w:w w:val="105"/>
          <w:sz w:val="21"/>
        </w:rPr>
        <w:t>from requirements to </w:t>
      </w:r>
      <w:r>
        <w:rPr>
          <w:w w:val="105"/>
          <w:sz w:val="21"/>
        </w:rPr>
        <w:t>obtain a</w:t>
      </w:r>
      <w:r>
        <w:rPr>
          <w:spacing w:val="-10"/>
          <w:w w:val="105"/>
          <w:sz w:val="21"/>
        </w:rPr>
        <w:t> </w:t>
      </w:r>
      <w:r>
        <w:rPr>
          <w:w w:val="105"/>
          <w:sz w:val="21"/>
        </w:rPr>
        <w:t>permit</w:t>
      </w:r>
      <w:r>
        <w:rPr>
          <w:spacing w:val="-10"/>
          <w:w w:val="105"/>
          <w:sz w:val="21"/>
        </w:rPr>
        <w:t> </w:t>
      </w:r>
      <w:r>
        <w:rPr>
          <w:spacing w:val="-3"/>
          <w:w w:val="105"/>
          <w:sz w:val="21"/>
        </w:rPr>
        <w:t>to</w:t>
      </w:r>
      <w:r>
        <w:rPr>
          <w:spacing w:val="-9"/>
          <w:w w:val="105"/>
          <w:sz w:val="21"/>
        </w:rPr>
        <w:t> </w:t>
      </w:r>
      <w:r>
        <w:rPr>
          <w:spacing w:val="-3"/>
          <w:w w:val="105"/>
          <w:sz w:val="21"/>
        </w:rPr>
        <w:t>remove,</w:t>
      </w:r>
      <w:r>
        <w:rPr>
          <w:spacing w:val="-10"/>
          <w:w w:val="105"/>
          <w:sz w:val="21"/>
        </w:rPr>
        <w:t> </w:t>
      </w:r>
      <w:r>
        <w:rPr>
          <w:w w:val="105"/>
          <w:sz w:val="21"/>
        </w:rPr>
        <w:t>destroy</w:t>
      </w:r>
      <w:r>
        <w:rPr>
          <w:spacing w:val="-9"/>
          <w:w w:val="105"/>
          <w:sz w:val="21"/>
        </w:rPr>
        <w:t> </w:t>
      </w:r>
      <w:r>
        <w:rPr>
          <w:w w:val="105"/>
          <w:sz w:val="21"/>
        </w:rPr>
        <w:t>or</w:t>
      </w:r>
      <w:r>
        <w:rPr>
          <w:spacing w:val="-10"/>
          <w:w w:val="105"/>
          <w:sz w:val="21"/>
        </w:rPr>
        <w:t> </w:t>
      </w:r>
      <w:r>
        <w:rPr>
          <w:w w:val="105"/>
          <w:sz w:val="21"/>
        </w:rPr>
        <w:t>lop</w:t>
      </w:r>
      <w:r>
        <w:rPr>
          <w:spacing w:val="-9"/>
          <w:w w:val="105"/>
          <w:sz w:val="21"/>
        </w:rPr>
        <w:t> </w:t>
      </w:r>
      <w:r>
        <w:rPr>
          <w:w w:val="105"/>
          <w:sz w:val="21"/>
        </w:rPr>
        <w:t>vegetation</w:t>
      </w:r>
      <w:r>
        <w:rPr>
          <w:spacing w:val="-10"/>
          <w:w w:val="105"/>
          <w:sz w:val="21"/>
        </w:rPr>
        <w:t> </w:t>
      </w:r>
      <w:r>
        <w:rPr>
          <w:w w:val="105"/>
          <w:sz w:val="21"/>
        </w:rPr>
        <w:t>under</w:t>
      </w:r>
      <w:r>
        <w:rPr>
          <w:spacing w:val="-9"/>
          <w:w w:val="105"/>
          <w:sz w:val="21"/>
        </w:rPr>
        <w:t> </w:t>
      </w:r>
      <w:r>
        <w:rPr>
          <w:w w:val="105"/>
          <w:sz w:val="21"/>
        </w:rPr>
        <w:t>some</w:t>
      </w:r>
      <w:r>
        <w:rPr>
          <w:spacing w:val="-10"/>
          <w:w w:val="105"/>
          <w:sz w:val="21"/>
        </w:rPr>
        <w:t> </w:t>
      </w:r>
      <w:r>
        <w:rPr>
          <w:spacing w:val="-3"/>
          <w:w w:val="105"/>
          <w:sz w:val="21"/>
        </w:rPr>
        <w:t>planning</w:t>
      </w:r>
      <w:r>
        <w:rPr>
          <w:spacing w:val="-9"/>
          <w:w w:val="105"/>
          <w:sz w:val="21"/>
        </w:rPr>
        <w:t> </w:t>
      </w:r>
      <w:r>
        <w:rPr>
          <w:spacing w:val="-3"/>
          <w:w w:val="105"/>
          <w:sz w:val="21"/>
        </w:rPr>
        <w:t>provisions.</w:t>
      </w:r>
      <w:r>
        <w:rPr>
          <w:spacing w:val="-10"/>
          <w:w w:val="105"/>
          <w:sz w:val="21"/>
        </w:rPr>
        <w:t> </w:t>
      </w:r>
      <w:r>
        <w:rPr>
          <w:w w:val="105"/>
          <w:sz w:val="21"/>
        </w:rPr>
        <w:t>Orders</w:t>
      </w:r>
    </w:p>
    <w:p>
      <w:pPr>
        <w:pStyle w:val="BodyText"/>
        <w:spacing w:line="242" w:lineRule="auto" w:before="3"/>
        <w:ind w:left="2381" w:right="1558"/>
      </w:pPr>
      <w:r>
        <w:rPr>
          <w:w w:val="105"/>
        </w:rPr>
        <w:t>made by </w:t>
      </w:r>
      <w:r>
        <w:rPr>
          <w:spacing w:val="-5"/>
          <w:w w:val="105"/>
        </w:rPr>
        <w:t>VCAT </w:t>
      </w:r>
      <w:r>
        <w:rPr>
          <w:w w:val="105"/>
        </w:rPr>
        <w:t>should override local tree protection laws. An </w:t>
      </w:r>
      <w:r>
        <w:rPr>
          <w:spacing w:val="-3"/>
          <w:w w:val="105"/>
        </w:rPr>
        <w:t>amendment to </w:t>
      </w:r>
      <w:r>
        <w:rPr>
          <w:w w:val="105"/>
        </w:rPr>
        <w:t>the Heritage Act should address a </w:t>
      </w:r>
      <w:r>
        <w:rPr>
          <w:spacing w:val="-3"/>
          <w:w w:val="105"/>
        </w:rPr>
        <w:t>situation </w:t>
      </w:r>
      <w:r>
        <w:rPr>
          <w:w w:val="105"/>
        </w:rPr>
        <w:t>of </w:t>
      </w:r>
      <w:r>
        <w:rPr>
          <w:spacing w:val="-3"/>
          <w:w w:val="105"/>
        </w:rPr>
        <w:t>imminent </w:t>
      </w:r>
      <w:r>
        <w:rPr>
          <w:w w:val="105"/>
        </w:rPr>
        <w:t>danger </w:t>
      </w:r>
      <w:r>
        <w:rPr>
          <w:spacing w:val="-3"/>
          <w:w w:val="105"/>
        </w:rPr>
        <w:t>to life </w:t>
      </w:r>
      <w:r>
        <w:rPr>
          <w:w w:val="105"/>
        </w:rPr>
        <w:t>or property by a </w:t>
      </w:r>
      <w:r>
        <w:rPr>
          <w:spacing w:val="-3"/>
          <w:w w:val="105"/>
        </w:rPr>
        <w:t>tree, </w:t>
      </w:r>
      <w:r>
        <w:rPr>
          <w:w w:val="105"/>
        </w:rPr>
        <w:t>and damage </w:t>
      </w:r>
      <w:r>
        <w:rPr>
          <w:spacing w:val="-3"/>
          <w:w w:val="105"/>
        </w:rPr>
        <w:t>to fences </w:t>
      </w:r>
      <w:r>
        <w:rPr>
          <w:w w:val="105"/>
        </w:rPr>
        <w:t>should be addressed in the new Act by an </w:t>
      </w:r>
      <w:r>
        <w:rPr>
          <w:spacing w:val="-3"/>
          <w:w w:val="105"/>
        </w:rPr>
        <w:t>amendment to </w:t>
      </w:r>
      <w:r>
        <w:rPr>
          <w:w w:val="105"/>
        </w:rPr>
        <w:t>the Fences Act. In the case of other </w:t>
      </w:r>
      <w:r>
        <w:rPr>
          <w:spacing w:val="-3"/>
          <w:w w:val="105"/>
        </w:rPr>
        <w:t>legislation </w:t>
      </w:r>
      <w:r>
        <w:rPr>
          <w:w w:val="105"/>
        </w:rPr>
        <w:t>discussed in this </w:t>
      </w:r>
      <w:r>
        <w:rPr>
          <w:spacing w:val="-5"/>
          <w:w w:val="105"/>
        </w:rPr>
        <w:t>chapter, </w:t>
      </w:r>
      <w:r>
        <w:rPr>
          <w:w w:val="105"/>
        </w:rPr>
        <w:t>the </w:t>
      </w:r>
      <w:r>
        <w:rPr>
          <w:spacing w:val="-3"/>
          <w:w w:val="105"/>
        </w:rPr>
        <w:t>Commission </w:t>
      </w:r>
      <w:r>
        <w:rPr>
          <w:w w:val="105"/>
        </w:rPr>
        <w:t>is </w:t>
      </w:r>
      <w:r>
        <w:rPr>
          <w:spacing w:val="-2"/>
          <w:w w:val="105"/>
        </w:rPr>
        <w:t>not </w:t>
      </w:r>
      <w:r>
        <w:rPr>
          <w:spacing w:val="-3"/>
          <w:w w:val="105"/>
        </w:rPr>
        <w:t>recommending </w:t>
      </w:r>
      <w:r>
        <w:rPr>
          <w:w w:val="105"/>
        </w:rPr>
        <w:t>amendments or </w:t>
      </w:r>
      <w:r>
        <w:rPr>
          <w:spacing w:val="-3"/>
          <w:w w:val="105"/>
        </w:rPr>
        <w:t>recommends </w:t>
      </w:r>
      <w:r>
        <w:rPr>
          <w:w w:val="105"/>
        </w:rPr>
        <w:t>further </w:t>
      </w:r>
      <w:r>
        <w:rPr>
          <w:spacing w:val="-3"/>
          <w:w w:val="105"/>
        </w:rPr>
        <w:t>consultation.</w:t>
      </w:r>
    </w:p>
    <w:p>
      <w:pPr>
        <w:pStyle w:val="BodyText"/>
        <w:rPr>
          <w:sz w:val="20"/>
        </w:rPr>
      </w:pPr>
    </w:p>
    <w:p>
      <w:pPr>
        <w:pStyle w:val="BodyText"/>
        <w:rPr>
          <w:sz w:val="25"/>
        </w:rPr>
      </w:pPr>
      <w:r>
        <w:rPr/>
        <w:pict>
          <v:line style="position:absolute;mso-position-horizontal-relative:page;mso-position-vertical-relative:paragraph;z-index:9392;mso-wrap-distance-left:0;mso-wrap-distance-right:0" from="79.370003pt,17.710386pt" to="515.905003pt,17.710386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spacing w:before="103"/>
        <w:ind w:left="720" w:right="0" w:firstLine="0"/>
        <w:jc w:val="left"/>
        <w:rPr>
          <w:b/>
          <w:sz w:val="24"/>
        </w:rPr>
      </w:pPr>
      <w:r>
        <w:rPr>
          <w:b/>
          <w:color w:val="658464"/>
          <w:spacing w:val="-5"/>
          <w:w w:val="110"/>
          <w:sz w:val="24"/>
        </w:rPr>
        <w:t>218</w:t>
      </w:r>
    </w:p>
    <w:p>
      <w:pPr>
        <w:tabs>
          <w:tab w:pos="1233" w:val="left" w:leader="none"/>
        </w:tabs>
        <w:spacing w:before="48"/>
        <w:ind w:left="1234" w:right="1594" w:hanging="794"/>
        <w:jc w:val="left"/>
        <w:rPr>
          <w:sz w:val="13"/>
        </w:rPr>
      </w:pPr>
      <w:r>
        <w:rPr/>
        <w:br w:type="column"/>
      </w:r>
      <w:r>
        <w:rPr>
          <w:w w:val="105"/>
          <w:sz w:val="13"/>
        </w:rPr>
        <w:t>1</w:t>
        <w:tab/>
      </w:r>
      <w:r>
        <w:rPr>
          <w:i/>
          <w:w w:val="105"/>
          <w:sz w:val="13"/>
        </w:rPr>
        <w:t>Country Fire Authority Act 1958 </w:t>
      </w:r>
      <w:r>
        <w:rPr>
          <w:spacing w:val="2"/>
          <w:w w:val="105"/>
          <w:sz w:val="13"/>
        </w:rPr>
        <w:t>(Vic); </w:t>
      </w:r>
      <w:r>
        <w:rPr>
          <w:i/>
          <w:w w:val="105"/>
          <w:sz w:val="13"/>
        </w:rPr>
        <w:t>Metropolitan Fire Brigades Act 1958 </w:t>
      </w:r>
      <w:r>
        <w:rPr>
          <w:spacing w:val="2"/>
          <w:w w:val="105"/>
          <w:sz w:val="13"/>
        </w:rPr>
        <w:t>(Vic); </w:t>
      </w:r>
      <w:r>
        <w:rPr>
          <w:i/>
          <w:w w:val="105"/>
          <w:sz w:val="13"/>
        </w:rPr>
        <w:t>Electrical Safety Act 1998 </w:t>
      </w:r>
      <w:r>
        <w:rPr>
          <w:spacing w:val="2"/>
          <w:w w:val="105"/>
          <w:sz w:val="13"/>
        </w:rPr>
        <w:t>(Vic); </w:t>
      </w:r>
      <w:r>
        <w:rPr>
          <w:i/>
          <w:w w:val="105"/>
          <w:sz w:val="13"/>
        </w:rPr>
        <w:t>Flora and Fauna Guarantee </w:t>
      </w:r>
      <w:r>
        <w:rPr>
          <w:i/>
          <w:w w:val="105"/>
          <w:sz w:val="13"/>
        </w:rPr>
        <w:t>Act</w:t>
      </w:r>
      <w:r>
        <w:rPr>
          <w:i/>
          <w:spacing w:val="7"/>
          <w:w w:val="105"/>
          <w:sz w:val="13"/>
        </w:rPr>
        <w:t> </w:t>
      </w:r>
      <w:r>
        <w:rPr>
          <w:i/>
          <w:w w:val="105"/>
          <w:sz w:val="13"/>
        </w:rPr>
        <w:t>1988</w:t>
      </w:r>
      <w:r>
        <w:rPr>
          <w:i/>
          <w:spacing w:val="7"/>
          <w:w w:val="105"/>
          <w:sz w:val="13"/>
        </w:rPr>
        <w:t> </w:t>
      </w:r>
      <w:r>
        <w:rPr>
          <w:spacing w:val="2"/>
          <w:w w:val="105"/>
          <w:sz w:val="13"/>
        </w:rPr>
        <w:t>(Vic);</w:t>
      </w:r>
      <w:r>
        <w:rPr>
          <w:spacing w:val="7"/>
          <w:w w:val="105"/>
          <w:sz w:val="13"/>
        </w:rPr>
        <w:t> </w:t>
      </w:r>
      <w:r>
        <w:rPr>
          <w:i/>
          <w:w w:val="105"/>
          <w:sz w:val="13"/>
        </w:rPr>
        <w:t>Public</w:t>
      </w:r>
      <w:r>
        <w:rPr>
          <w:i/>
          <w:spacing w:val="7"/>
          <w:w w:val="105"/>
          <w:sz w:val="13"/>
        </w:rPr>
        <w:t> </w:t>
      </w:r>
      <w:r>
        <w:rPr>
          <w:i/>
          <w:w w:val="105"/>
          <w:sz w:val="13"/>
        </w:rPr>
        <w:t>Health</w:t>
      </w:r>
      <w:r>
        <w:rPr>
          <w:i/>
          <w:spacing w:val="7"/>
          <w:w w:val="105"/>
          <w:sz w:val="13"/>
        </w:rPr>
        <w:t> </w:t>
      </w:r>
      <w:r>
        <w:rPr>
          <w:i/>
          <w:w w:val="105"/>
          <w:sz w:val="13"/>
        </w:rPr>
        <w:t>and</w:t>
      </w:r>
      <w:r>
        <w:rPr>
          <w:i/>
          <w:spacing w:val="7"/>
          <w:w w:val="105"/>
          <w:sz w:val="13"/>
        </w:rPr>
        <w:t> </w:t>
      </w:r>
      <w:r>
        <w:rPr>
          <w:i/>
          <w:w w:val="105"/>
          <w:sz w:val="13"/>
        </w:rPr>
        <w:t>Wellbeing</w:t>
      </w:r>
      <w:r>
        <w:rPr>
          <w:i/>
          <w:spacing w:val="8"/>
          <w:w w:val="105"/>
          <w:sz w:val="13"/>
        </w:rPr>
        <w:t> </w:t>
      </w:r>
      <w:r>
        <w:rPr>
          <w:i/>
          <w:w w:val="105"/>
          <w:sz w:val="13"/>
        </w:rPr>
        <w:t>Act</w:t>
      </w:r>
      <w:r>
        <w:rPr>
          <w:i/>
          <w:spacing w:val="7"/>
          <w:w w:val="105"/>
          <w:sz w:val="13"/>
        </w:rPr>
        <w:t> </w:t>
      </w:r>
      <w:r>
        <w:rPr>
          <w:i/>
          <w:w w:val="105"/>
          <w:sz w:val="13"/>
        </w:rPr>
        <w:t>2008</w:t>
      </w:r>
      <w:r>
        <w:rPr>
          <w:i/>
          <w:spacing w:val="7"/>
          <w:w w:val="105"/>
          <w:sz w:val="13"/>
        </w:rPr>
        <w:t> </w:t>
      </w:r>
      <w:r>
        <w:rPr>
          <w:spacing w:val="2"/>
          <w:w w:val="105"/>
          <w:sz w:val="13"/>
        </w:rPr>
        <w:t>(Vic);</w:t>
      </w:r>
      <w:r>
        <w:rPr>
          <w:spacing w:val="7"/>
          <w:w w:val="105"/>
          <w:sz w:val="13"/>
        </w:rPr>
        <w:t> </w:t>
      </w:r>
      <w:r>
        <w:rPr>
          <w:i/>
          <w:w w:val="105"/>
          <w:sz w:val="13"/>
        </w:rPr>
        <w:t>Road</w:t>
      </w:r>
      <w:r>
        <w:rPr>
          <w:i/>
          <w:spacing w:val="7"/>
          <w:w w:val="105"/>
          <w:sz w:val="13"/>
        </w:rPr>
        <w:t> </w:t>
      </w:r>
      <w:r>
        <w:rPr>
          <w:i/>
          <w:w w:val="105"/>
          <w:sz w:val="13"/>
        </w:rPr>
        <w:t>Management</w:t>
      </w:r>
      <w:r>
        <w:rPr>
          <w:i/>
          <w:spacing w:val="7"/>
          <w:w w:val="105"/>
          <w:sz w:val="13"/>
        </w:rPr>
        <w:t> </w:t>
      </w:r>
      <w:r>
        <w:rPr>
          <w:i/>
          <w:w w:val="105"/>
          <w:sz w:val="13"/>
        </w:rPr>
        <w:t>Act</w:t>
      </w:r>
      <w:r>
        <w:rPr>
          <w:i/>
          <w:spacing w:val="7"/>
          <w:w w:val="105"/>
          <w:sz w:val="13"/>
        </w:rPr>
        <w:t> </w:t>
      </w:r>
      <w:r>
        <w:rPr>
          <w:i/>
          <w:w w:val="105"/>
          <w:sz w:val="13"/>
        </w:rPr>
        <w:t>2004</w:t>
      </w:r>
      <w:r>
        <w:rPr>
          <w:i/>
          <w:spacing w:val="8"/>
          <w:w w:val="105"/>
          <w:sz w:val="13"/>
        </w:rPr>
        <w:t> </w:t>
      </w:r>
      <w:r>
        <w:rPr>
          <w:spacing w:val="2"/>
          <w:w w:val="105"/>
          <w:sz w:val="13"/>
        </w:rPr>
        <w:t>(Vic);</w:t>
      </w:r>
      <w:r>
        <w:rPr>
          <w:spacing w:val="7"/>
          <w:w w:val="105"/>
          <w:sz w:val="13"/>
        </w:rPr>
        <w:t> </w:t>
      </w:r>
      <w:r>
        <w:rPr>
          <w:i/>
          <w:w w:val="105"/>
          <w:sz w:val="13"/>
        </w:rPr>
        <w:t>Rail</w:t>
      </w:r>
      <w:r>
        <w:rPr>
          <w:i/>
          <w:spacing w:val="7"/>
          <w:w w:val="105"/>
          <w:sz w:val="13"/>
        </w:rPr>
        <w:t> </w:t>
      </w:r>
      <w:r>
        <w:rPr>
          <w:i/>
          <w:w w:val="105"/>
          <w:sz w:val="13"/>
        </w:rPr>
        <w:t>Management</w:t>
      </w:r>
      <w:r>
        <w:rPr>
          <w:i/>
          <w:spacing w:val="7"/>
          <w:w w:val="105"/>
          <w:sz w:val="13"/>
        </w:rPr>
        <w:t> </w:t>
      </w:r>
      <w:r>
        <w:rPr>
          <w:i/>
          <w:w w:val="105"/>
          <w:sz w:val="13"/>
        </w:rPr>
        <w:t>Act</w:t>
      </w:r>
      <w:r>
        <w:rPr>
          <w:i/>
          <w:spacing w:val="7"/>
          <w:w w:val="105"/>
          <w:sz w:val="13"/>
        </w:rPr>
        <w:t> </w:t>
      </w:r>
      <w:r>
        <w:rPr>
          <w:i/>
          <w:w w:val="105"/>
          <w:sz w:val="13"/>
        </w:rPr>
        <w:t>1996</w:t>
      </w:r>
      <w:r>
        <w:rPr>
          <w:i/>
          <w:spacing w:val="7"/>
          <w:w w:val="105"/>
          <w:sz w:val="13"/>
        </w:rPr>
        <w:t> </w:t>
      </w:r>
      <w:r>
        <w:rPr>
          <w:spacing w:val="2"/>
          <w:w w:val="105"/>
          <w:sz w:val="13"/>
        </w:rPr>
        <w:t>(Vic).</w:t>
      </w:r>
    </w:p>
    <w:p>
      <w:pPr>
        <w:spacing w:after="0"/>
        <w:jc w:val="left"/>
        <w:rPr>
          <w:sz w:val="13"/>
        </w:rPr>
        <w:sectPr>
          <w:type w:val="continuous"/>
          <w:pgSz w:w="11910" w:h="16840"/>
          <w:pgMar w:top="300" w:bottom="280" w:left="0" w:right="0"/>
          <w:cols w:num="2" w:equalWidth="0">
            <w:col w:w="1108" w:space="40"/>
            <w:col w:w="10762"/>
          </w:cols>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588" w:hanging="794"/>
        <w:jc w:val="left"/>
        <w:rPr>
          <w:sz w:val="21"/>
        </w:rPr>
      </w:pPr>
      <w:bookmarkStart w:name="The Planning and Environment Act" w:id="256"/>
      <w:bookmarkEnd w:id="256"/>
      <w:r>
        <w:rPr/>
      </w:r>
      <w:bookmarkStart w:name="_bookmark120" w:id="257"/>
      <w:bookmarkEnd w:id="257"/>
      <w:r>
        <w:rPr/>
      </w:r>
      <w:bookmarkStart w:name="_bookmark120" w:id="258"/>
      <w:bookmarkEnd w:id="258"/>
      <w:r>
        <w:rPr>
          <w:w w:val="105"/>
          <w:sz w:val="21"/>
        </w:rPr>
        <w:t>T</w:t>
      </w:r>
      <w:r>
        <w:rPr>
          <w:w w:val="105"/>
          <w:sz w:val="21"/>
        </w:rPr>
        <w:t>he </w:t>
      </w:r>
      <w:r>
        <w:rPr>
          <w:spacing w:val="-3"/>
          <w:w w:val="105"/>
          <w:sz w:val="21"/>
        </w:rPr>
        <w:t>technical content </w:t>
      </w:r>
      <w:r>
        <w:rPr>
          <w:w w:val="105"/>
          <w:sz w:val="21"/>
        </w:rPr>
        <w:t>of this </w:t>
      </w:r>
      <w:r>
        <w:rPr>
          <w:spacing w:val="-3"/>
          <w:w w:val="105"/>
          <w:sz w:val="21"/>
        </w:rPr>
        <w:t>chapter </w:t>
      </w:r>
      <w:r>
        <w:rPr>
          <w:w w:val="105"/>
          <w:sz w:val="21"/>
        </w:rPr>
        <w:t>is </w:t>
      </w:r>
      <w:r>
        <w:rPr>
          <w:spacing w:val="-3"/>
          <w:w w:val="105"/>
          <w:sz w:val="21"/>
        </w:rPr>
        <w:t>intended to </w:t>
      </w:r>
      <w:r>
        <w:rPr>
          <w:w w:val="105"/>
          <w:sz w:val="21"/>
        </w:rPr>
        <w:t>assist in </w:t>
      </w:r>
      <w:r>
        <w:rPr>
          <w:spacing w:val="-3"/>
          <w:w w:val="105"/>
          <w:sz w:val="21"/>
        </w:rPr>
        <w:t>drafting </w:t>
      </w:r>
      <w:r>
        <w:rPr>
          <w:w w:val="105"/>
          <w:sz w:val="21"/>
        </w:rPr>
        <w:t>the new Act, and </w:t>
      </w:r>
      <w:r>
        <w:rPr>
          <w:spacing w:val="-3"/>
          <w:w w:val="105"/>
          <w:sz w:val="21"/>
        </w:rPr>
        <w:t>to </w:t>
      </w:r>
      <w:r>
        <w:rPr>
          <w:w w:val="105"/>
          <w:sz w:val="21"/>
        </w:rPr>
        <w:t>explain</w:t>
      </w:r>
      <w:r>
        <w:rPr>
          <w:spacing w:val="-5"/>
          <w:w w:val="105"/>
          <w:sz w:val="21"/>
        </w:rPr>
        <w:t> </w:t>
      </w:r>
      <w:r>
        <w:rPr>
          <w:w w:val="105"/>
          <w:sz w:val="21"/>
        </w:rPr>
        <w:t>why</w:t>
      </w:r>
      <w:r>
        <w:rPr>
          <w:spacing w:val="-4"/>
          <w:w w:val="105"/>
          <w:sz w:val="21"/>
        </w:rPr>
        <w:t> </w:t>
      </w:r>
      <w:r>
        <w:rPr>
          <w:w w:val="105"/>
          <w:sz w:val="21"/>
        </w:rPr>
        <w:t>the</w:t>
      </w:r>
      <w:r>
        <w:rPr>
          <w:spacing w:val="-4"/>
          <w:w w:val="105"/>
          <w:sz w:val="21"/>
        </w:rPr>
        <w:t> </w:t>
      </w:r>
      <w:r>
        <w:rPr>
          <w:spacing w:val="-3"/>
          <w:w w:val="105"/>
          <w:sz w:val="21"/>
        </w:rPr>
        <w:t>Commission</w:t>
      </w:r>
      <w:r>
        <w:rPr>
          <w:spacing w:val="-4"/>
          <w:w w:val="105"/>
          <w:sz w:val="21"/>
        </w:rPr>
        <w:t> </w:t>
      </w:r>
      <w:r>
        <w:rPr>
          <w:spacing w:val="-3"/>
          <w:w w:val="105"/>
          <w:sz w:val="21"/>
        </w:rPr>
        <w:t>recommends</w:t>
      </w:r>
      <w:r>
        <w:rPr>
          <w:spacing w:val="-4"/>
          <w:w w:val="105"/>
          <w:sz w:val="21"/>
        </w:rPr>
        <w:t> </w:t>
      </w:r>
      <w:r>
        <w:rPr>
          <w:spacing w:val="-3"/>
          <w:w w:val="105"/>
          <w:sz w:val="21"/>
        </w:rPr>
        <w:t>that</w:t>
      </w:r>
      <w:r>
        <w:rPr>
          <w:spacing w:val="-4"/>
          <w:w w:val="105"/>
          <w:sz w:val="21"/>
        </w:rPr>
        <w:t> </w:t>
      </w:r>
      <w:r>
        <w:rPr>
          <w:w w:val="105"/>
          <w:sz w:val="21"/>
        </w:rPr>
        <w:t>the</w:t>
      </w:r>
      <w:r>
        <w:rPr>
          <w:spacing w:val="-4"/>
          <w:w w:val="105"/>
          <w:sz w:val="21"/>
        </w:rPr>
        <w:t> </w:t>
      </w:r>
      <w:r>
        <w:rPr>
          <w:w w:val="105"/>
          <w:sz w:val="21"/>
        </w:rPr>
        <w:t>new</w:t>
      </w:r>
      <w:r>
        <w:rPr>
          <w:spacing w:val="-4"/>
          <w:w w:val="105"/>
          <w:sz w:val="21"/>
        </w:rPr>
        <w:t> </w:t>
      </w:r>
      <w:r>
        <w:rPr>
          <w:w w:val="105"/>
          <w:sz w:val="21"/>
        </w:rPr>
        <w:t>Act</w:t>
      </w:r>
      <w:r>
        <w:rPr>
          <w:spacing w:val="-4"/>
          <w:w w:val="105"/>
          <w:sz w:val="21"/>
        </w:rPr>
        <w:t> </w:t>
      </w:r>
      <w:r>
        <w:rPr>
          <w:w w:val="105"/>
          <w:sz w:val="21"/>
        </w:rPr>
        <w:t>should</w:t>
      </w:r>
      <w:r>
        <w:rPr>
          <w:spacing w:val="-4"/>
          <w:w w:val="105"/>
          <w:sz w:val="21"/>
        </w:rPr>
        <w:t> </w:t>
      </w:r>
      <w:r>
        <w:rPr>
          <w:spacing w:val="-3"/>
          <w:w w:val="105"/>
          <w:sz w:val="21"/>
        </w:rPr>
        <w:t>constrain</w:t>
      </w:r>
      <w:r>
        <w:rPr>
          <w:spacing w:val="-4"/>
          <w:w w:val="105"/>
          <w:sz w:val="21"/>
        </w:rPr>
        <w:t> </w:t>
      </w:r>
      <w:r>
        <w:rPr>
          <w:w w:val="105"/>
          <w:sz w:val="21"/>
        </w:rPr>
        <w:t>existing</w:t>
      </w:r>
      <w:r>
        <w:rPr>
          <w:spacing w:val="-4"/>
          <w:w w:val="105"/>
          <w:sz w:val="21"/>
        </w:rPr>
        <w:t> </w:t>
      </w:r>
      <w:r>
        <w:rPr>
          <w:w w:val="105"/>
          <w:sz w:val="21"/>
        </w:rPr>
        <w:t>laws in some</w:t>
      </w:r>
      <w:r>
        <w:rPr>
          <w:spacing w:val="10"/>
          <w:w w:val="105"/>
          <w:sz w:val="21"/>
        </w:rPr>
        <w:t> </w:t>
      </w:r>
      <w:r>
        <w:rPr>
          <w:spacing w:val="-3"/>
          <w:w w:val="105"/>
          <w:sz w:val="21"/>
        </w:rPr>
        <w:t>situations.</w:t>
      </w:r>
    </w:p>
    <w:p>
      <w:pPr>
        <w:pStyle w:val="BodyText"/>
        <w:spacing w:before="11"/>
      </w:pPr>
    </w:p>
    <w:p>
      <w:pPr>
        <w:pStyle w:val="Heading4"/>
      </w:pPr>
      <w:r>
        <w:rPr>
          <w:color w:val="658464"/>
          <w:w w:val="115"/>
        </w:rPr>
        <w:t>The Planning and Environment Act</w:t>
      </w:r>
    </w:p>
    <w:p>
      <w:pPr>
        <w:pStyle w:val="ListParagraph"/>
        <w:numPr>
          <w:ilvl w:val="1"/>
          <w:numId w:val="16"/>
        </w:numPr>
        <w:tabs>
          <w:tab w:pos="2380" w:val="left" w:leader="none"/>
          <w:tab w:pos="2381" w:val="left" w:leader="none"/>
        </w:tabs>
        <w:spacing w:line="242" w:lineRule="auto" w:before="155" w:after="0"/>
        <w:ind w:left="2381" w:right="1856" w:hanging="794"/>
        <w:jc w:val="left"/>
        <w:rPr>
          <w:sz w:val="21"/>
        </w:rPr>
      </w:pPr>
      <w:r>
        <w:rPr>
          <w:sz w:val="21"/>
        </w:rPr>
        <w:t>The </w:t>
      </w:r>
      <w:r>
        <w:rPr>
          <w:i/>
          <w:spacing w:val="-3"/>
          <w:sz w:val="21"/>
        </w:rPr>
        <w:t>Planning </w:t>
      </w:r>
      <w:r>
        <w:rPr>
          <w:i/>
          <w:sz w:val="21"/>
        </w:rPr>
        <w:t>and </w:t>
      </w:r>
      <w:r>
        <w:rPr>
          <w:i/>
          <w:spacing w:val="-3"/>
          <w:sz w:val="21"/>
        </w:rPr>
        <w:t>Environment </w:t>
      </w:r>
      <w:r>
        <w:rPr>
          <w:i/>
          <w:sz w:val="21"/>
        </w:rPr>
        <w:t>Act  </w:t>
      </w:r>
      <w:r>
        <w:rPr>
          <w:i/>
          <w:spacing w:val="-6"/>
          <w:sz w:val="21"/>
        </w:rPr>
        <w:t>1987  </w:t>
      </w:r>
      <w:r>
        <w:rPr>
          <w:sz w:val="21"/>
        </w:rPr>
        <w:t>(Vic)  (the  </w:t>
      </w:r>
      <w:r>
        <w:rPr>
          <w:spacing w:val="4"/>
          <w:sz w:val="21"/>
        </w:rPr>
        <w:t>P&amp;E  </w:t>
      </w:r>
      <w:r>
        <w:rPr>
          <w:sz w:val="21"/>
        </w:rPr>
        <w:t>Act)  provides  the  </w:t>
      </w:r>
      <w:r>
        <w:rPr>
          <w:spacing w:val="-3"/>
          <w:sz w:val="21"/>
        </w:rPr>
        <w:t>framework for Victoria’s planning </w:t>
      </w:r>
      <w:r>
        <w:rPr>
          <w:sz w:val="21"/>
        </w:rPr>
        <w:t>system. The </w:t>
      </w:r>
      <w:r>
        <w:rPr>
          <w:spacing w:val="4"/>
          <w:sz w:val="21"/>
        </w:rPr>
        <w:t>P&amp;E </w:t>
      </w:r>
      <w:r>
        <w:rPr>
          <w:sz w:val="21"/>
        </w:rPr>
        <w:t>Act sets out objectives </w:t>
      </w:r>
      <w:r>
        <w:rPr>
          <w:spacing w:val="-3"/>
          <w:sz w:val="21"/>
        </w:rPr>
        <w:t>for planning </w:t>
      </w:r>
      <w:r>
        <w:rPr>
          <w:sz w:val="21"/>
        </w:rPr>
        <w:t>in Victoria </w:t>
      </w:r>
      <w:r>
        <w:rPr>
          <w:spacing w:val="-3"/>
          <w:sz w:val="21"/>
        </w:rPr>
        <w:t>including provision for </w:t>
      </w:r>
      <w:r>
        <w:rPr>
          <w:sz w:val="21"/>
        </w:rPr>
        <w:t>the </w:t>
      </w:r>
      <w:r>
        <w:rPr>
          <w:spacing w:val="-6"/>
          <w:sz w:val="21"/>
        </w:rPr>
        <w:t>fair, </w:t>
      </w:r>
      <w:r>
        <w:rPr>
          <w:spacing w:val="-3"/>
          <w:sz w:val="21"/>
        </w:rPr>
        <w:t>orderly, </w:t>
      </w:r>
      <w:r>
        <w:rPr>
          <w:sz w:val="21"/>
        </w:rPr>
        <w:t>economic and </w:t>
      </w:r>
      <w:r>
        <w:rPr>
          <w:spacing w:val="-3"/>
          <w:sz w:val="21"/>
        </w:rPr>
        <w:t>sustainable </w:t>
      </w:r>
      <w:r>
        <w:rPr>
          <w:sz w:val="21"/>
        </w:rPr>
        <w:t>use and</w:t>
      </w:r>
      <w:r>
        <w:rPr>
          <w:spacing w:val="20"/>
          <w:sz w:val="21"/>
        </w:rPr>
        <w:t> </w:t>
      </w:r>
      <w:r>
        <w:rPr>
          <w:sz w:val="21"/>
        </w:rPr>
        <w:t>development</w:t>
      </w:r>
    </w:p>
    <w:p>
      <w:pPr>
        <w:pStyle w:val="BodyText"/>
        <w:spacing w:line="242" w:lineRule="auto" w:before="3"/>
        <w:ind w:left="2381" w:right="1810" w:hanging="1"/>
        <w:rPr>
          <w:sz w:val="12"/>
        </w:rPr>
      </w:pPr>
      <w:r>
        <w:rPr/>
        <w:t>of </w:t>
      </w:r>
      <w:r>
        <w:rPr>
          <w:spacing w:val="-3"/>
        </w:rPr>
        <w:t>land, </w:t>
      </w:r>
      <w:r>
        <w:rPr/>
        <w:t>as </w:t>
      </w:r>
      <w:r>
        <w:rPr>
          <w:spacing w:val="-3"/>
        </w:rPr>
        <w:t>well </w:t>
      </w:r>
      <w:r>
        <w:rPr/>
        <w:t>as </w:t>
      </w:r>
      <w:r>
        <w:rPr>
          <w:spacing w:val="-3"/>
        </w:rPr>
        <w:t>provision for </w:t>
      </w:r>
      <w:r>
        <w:rPr/>
        <w:t>the protection of </w:t>
      </w:r>
      <w:r>
        <w:rPr>
          <w:spacing w:val="-3"/>
        </w:rPr>
        <w:t>natural  </w:t>
      </w:r>
      <w:r>
        <w:rPr/>
        <w:t>and man-made resources.</w:t>
      </w:r>
      <w:r>
        <w:rPr>
          <w:position w:val="7"/>
          <w:sz w:val="12"/>
        </w:rPr>
        <w:t>2</w:t>
      </w:r>
      <w:r>
        <w:rPr>
          <w:spacing w:val="27"/>
          <w:position w:val="7"/>
          <w:sz w:val="12"/>
        </w:rPr>
        <w:t> </w:t>
      </w:r>
      <w:r>
        <w:rPr/>
        <w:t>The </w:t>
      </w:r>
      <w:r>
        <w:rPr>
          <w:spacing w:val="4"/>
        </w:rPr>
        <w:t>P&amp;E </w:t>
      </w:r>
      <w:r>
        <w:rPr/>
        <w:t>Act does two </w:t>
      </w:r>
      <w:r>
        <w:rPr>
          <w:spacing w:val="-4"/>
        </w:rPr>
        <w:t>key  </w:t>
      </w:r>
      <w:r>
        <w:rPr/>
        <w:t>things: it establishes the Victoria </w:t>
      </w:r>
      <w:r>
        <w:rPr>
          <w:spacing w:val="-3"/>
        </w:rPr>
        <w:t>Planning  Provisions  </w:t>
      </w:r>
      <w:r>
        <w:rPr/>
        <w:t>(the VPPs),  and enables the </w:t>
      </w:r>
      <w:r>
        <w:rPr>
          <w:spacing w:val="-3"/>
        </w:rPr>
        <w:t>responsible </w:t>
      </w:r>
      <w:r>
        <w:rPr/>
        <w:t>authority (in most cases a council)</w:t>
      </w:r>
      <w:r>
        <w:rPr>
          <w:position w:val="7"/>
          <w:sz w:val="12"/>
        </w:rPr>
        <w:t>3 </w:t>
      </w:r>
      <w:r>
        <w:rPr>
          <w:spacing w:val="-3"/>
        </w:rPr>
        <w:t>to build </w:t>
      </w:r>
      <w:r>
        <w:rPr/>
        <w:t>its own </w:t>
      </w:r>
      <w:r>
        <w:rPr>
          <w:spacing w:val="-3"/>
        </w:rPr>
        <w:t>planning </w:t>
      </w:r>
      <w:r>
        <w:rPr/>
        <w:t>schemes </w:t>
      </w:r>
      <w:r>
        <w:rPr>
          <w:spacing w:val="-3"/>
        </w:rPr>
        <w:t>from </w:t>
      </w:r>
      <w:r>
        <w:rPr/>
        <w:t>those standard</w:t>
      </w:r>
      <w:r>
        <w:rPr>
          <w:spacing w:val="38"/>
        </w:rPr>
        <w:t> </w:t>
      </w:r>
      <w:r>
        <w:rPr>
          <w:spacing w:val="-3"/>
        </w:rPr>
        <w:t>provisions.</w:t>
      </w:r>
      <w:r>
        <w:rPr>
          <w:spacing w:val="-3"/>
          <w:position w:val="7"/>
          <w:sz w:val="12"/>
        </w:rPr>
        <w:t>4</w:t>
      </w:r>
    </w:p>
    <w:p>
      <w:pPr>
        <w:pStyle w:val="ListParagraph"/>
        <w:numPr>
          <w:ilvl w:val="1"/>
          <w:numId w:val="16"/>
        </w:numPr>
        <w:tabs>
          <w:tab w:pos="2380" w:val="left" w:leader="none"/>
          <w:tab w:pos="2382" w:val="left" w:leader="none"/>
        </w:tabs>
        <w:spacing w:line="242" w:lineRule="auto" w:before="124" w:after="0"/>
        <w:ind w:left="2381" w:right="1612" w:hanging="794"/>
        <w:jc w:val="left"/>
        <w:rPr>
          <w:sz w:val="21"/>
        </w:rPr>
      </w:pPr>
      <w:r>
        <w:rPr>
          <w:sz w:val="21"/>
        </w:rPr>
        <w:t>The VPPs </w:t>
      </w:r>
      <w:r>
        <w:rPr>
          <w:spacing w:val="-3"/>
          <w:sz w:val="21"/>
        </w:rPr>
        <w:t>are </w:t>
      </w:r>
      <w:r>
        <w:rPr>
          <w:sz w:val="21"/>
        </w:rPr>
        <w:t>a statewide </w:t>
      </w:r>
      <w:r>
        <w:rPr>
          <w:spacing w:val="-3"/>
          <w:sz w:val="21"/>
        </w:rPr>
        <w:t>reference </w:t>
      </w:r>
      <w:r>
        <w:rPr>
          <w:sz w:val="21"/>
        </w:rPr>
        <w:t>used </w:t>
      </w:r>
      <w:r>
        <w:rPr>
          <w:spacing w:val="-3"/>
          <w:sz w:val="21"/>
        </w:rPr>
        <w:t>to </w:t>
      </w:r>
      <w:r>
        <w:rPr>
          <w:sz w:val="21"/>
        </w:rPr>
        <w:t>construct a </w:t>
      </w:r>
      <w:r>
        <w:rPr>
          <w:spacing w:val="-3"/>
          <w:sz w:val="21"/>
        </w:rPr>
        <w:t>planning scheme. </w:t>
      </w:r>
      <w:r>
        <w:rPr>
          <w:sz w:val="21"/>
        </w:rPr>
        <w:t>They comprise a </w:t>
      </w:r>
      <w:r>
        <w:rPr>
          <w:spacing w:val="-3"/>
          <w:sz w:val="21"/>
        </w:rPr>
        <w:t>comprehensive </w:t>
      </w:r>
      <w:r>
        <w:rPr>
          <w:sz w:val="21"/>
        </w:rPr>
        <w:t>set of model </w:t>
      </w:r>
      <w:r>
        <w:rPr>
          <w:spacing w:val="-3"/>
          <w:sz w:val="21"/>
        </w:rPr>
        <w:t>planning provisions that may </w:t>
      </w:r>
      <w:r>
        <w:rPr>
          <w:sz w:val="21"/>
        </w:rPr>
        <w:t>be </w:t>
      </w:r>
      <w:r>
        <w:rPr>
          <w:spacing w:val="-3"/>
          <w:sz w:val="21"/>
        </w:rPr>
        <w:t>incorporated </w:t>
      </w:r>
      <w:r>
        <w:rPr>
          <w:spacing w:val="-4"/>
          <w:sz w:val="21"/>
        </w:rPr>
        <w:t>into </w:t>
      </w:r>
      <w:r>
        <w:rPr>
          <w:spacing w:val="-3"/>
          <w:sz w:val="21"/>
        </w:rPr>
        <w:t>individual planning </w:t>
      </w:r>
      <w:r>
        <w:rPr>
          <w:sz w:val="21"/>
        </w:rPr>
        <w:t>schemes in each </w:t>
      </w:r>
      <w:r>
        <w:rPr>
          <w:spacing w:val="-3"/>
          <w:sz w:val="21"/>
        </w:rPr>
        <w:t>municipality </w:t>
      </w:r>
      <w:r>
        <w:rPr>
          <w:sz w:val="21"/>
        </w:rPr>
        <w:t>across Victoria.</w:t>
      </w:r>
      <w:r>
        <w:rPr>
          <w:position w:val="7"/>
          <w:sz w:val="12"/>
        </w:rPr>
        <w:t>5 </w:t>
      </w:r>
      <w:r>
        <w:rPr>
          <w:sz w:val="21"/>
        </w:rPr>
        <w:t>VPPs </w:t>
      </w:r>
      <w:r>
        <w:rPr>
          <w:spacing w:val="-3"/>
          <w:sz w:val="21"/>
        </w:rPr>
        <w:t>ensure consistent </w:t>
      </w:r>
      <w:r>
        <w:rPr>
          <w:sz w:val="21"/>
        </w:rPr>
        <w:t>rules </w:t>
      </w:r>
      <w:r>
        <w:rPr>
          <w:spacing w:val="-3"/>
          <w:sz w:val="21"/>
        </w:rPr>
        <w:t>for planning </w:t>
      </w:r>
      <w:r>
        <w:rPr>
          <w:sz w:val="21"/>
        </w:rPr>
        <w:t>across Victoria, and consistency across local </w:t>
      </w:r>
      <w:r>
        <w:rPr>
          <w:spacing w:val="-3"/>
          <w:sz w:val="21"/>
        </w:rPr>
        <w:t>planning</w:t>
      </w:r>
      <w:r>
        <w:rPr>
          <w:spacing w:val="6"/>
          <w:sz w:val="21"/>
        </w:rPr>
        <w:t> </w:t>
      </w:r>
      <w:r>
        <w:rPr>
          <w:sz w:val="21"/>
        </w:rPr>
        <w:t>schemes.</w:t>
      </w:r>
    </w:p>
    <w:p>
      <w:pPr>
        <w:pStyle w:val="ListParagraph"/>
        <w:numPr>
          <w:ilvl w:val="1"/>
          <w:numId w:val="16"/>
        </w:numPr>
        <w:tabs>
          <w:tab w:pos="2380" w:val="left" w:leader="none"/>
          <w:tab w:pos="2381" w:val="left" w:leader="none"/>
        </w:tabs>
        <w:spacing w:line="242" w:lineRule="auto" w:before="125" w:after="0"/>
        <w:ind w:left="2380" w:right="1585" w:hanging="793"/>
        <w:jc w:val="left"/>
        <w:rPr>
          <w:sz w:val="21"/>
        </w:rPr>
      </w:pPr>
      <w:r>
        <w:rPr>
          <w:w w:val="105"/>
          <w:sz w:val="21"/>
        </w:rPr>
        <w:t>The VPPs </w:t>
      </w:r>
      <w:r>
        <w:rPr>
          <w:spacing w:val="-3"/>
          <w:w w:val="105"/>
          <w:sz w:val="21"/>
        </w:rPr>
        <w:t>outline </w:t>
      </w:r>
      <w:r>
        <w:rPr>
          <w:w w:val="105"/>
          <w:sz w:val="21"/>
        </w:rPr>
        <w:t>the purpose of a number of zones and </w:t>
      </w:r>
      <w:r>
        <w:rPr>
          <w:spacing w:val="-3"/>
          <w:w w:val="105"/>
          <w:sz w:val="21"/>
        </w:rPr>
        <w:t>overlays that councils may </w:t>
      </w:r>
      <w:r>
        <w:rPr>
          <w:spacing w:val="-4"/>
          <w:w w:val="105"/>
          <w:sz w:val="21"/>
        </w:rPr>
        <w:t>apply, </w:t>
      </w:r>
      <w:r>
        <w:rPr>
          <w:w w:val="105"/>
          <w:sz w:val="21"/>
        </w:rPr>
        <w:t>where </w:t>
      </w:r>
      <w:r>
        <w:rPr>
          <w:spacing w:val="-3"/>
          <w:w w:val="105"/>
          <w:sz w:val="21"/>
        </w:rPr>
        <w:t>appropriate, to land within </w:t>
      </w:r>
      <w:r>
        <w:rPr>
          <w:w w:val="105"/>
          <w:sz w:val="21"/>
        </w:rPr>
        <w:t>their </w:t>
      </w:r>
      <w:r>
        <w:rPr>
          <w:spacing w:val="-3"/>
          <w:w w:val="105"/>
          <w:sz w:val="21"/>
        </w:rPr>
        <w:t>municipality. </w:t>
      </w:r>
      <w:r>
        <w:rPr>
          <w:w w:val="105"/>
          <w:sz w:val="21"/>
        </w:rPr>
        <w:t>Some zones and </w:t>
      </w:r>
      <w:r>
        <w:rPr>
          <w:spacing w:val="-3"/>
          <w:w w:val="105"/>
          <w:sz w:val="21"/>
        </w:rPr>
        <w:t>overlays have </w:t>
      </w:r>
      <w:r>
        <w:rPr>
          <w:w w:val="105"/>
          <w:sz w:val="21"/>
        </w:rPr>
        <w:t>local </w:t>
      </w:r>
      <w:r>
        <w:rPr>
          <w:spacing w:val="-3"/>
          <w:w w:val="105"/>
          <w:sz w:val="21"/>
        </w:rPr>
        <w:t>content </w:t>
      </w:r>
      <w:r>
        <w:rPr>
          <w:w w:val="105"/>
          <w:sz w:val="21"/>
        </w:rPr>
        <w:t>added </w:t>
      </w:r>
      <w:r>
        <w:rPr>
          <w:spacing w:val="-3"/>
          <w:w w:val="105"/>
          <w:sz w:val="21"/>
        </w:rPr>
        <w:t>to </w:t>
      </w:r>
      <w:r>
        <w:rPr>
          <w:w w:val="105"/>
          <w:sz w:val="21"/>
        </w:rPr>
        <w:t>them as schedules, which </w:t>
      </w:r>
      <w:r>
        <w:rPr>
          <w:spacing w:val="-4"/>
          <w:w w:val="105"/>
          <w:sz w:val="21"/>
        </w:rPr>
        <w:t>‘can </w:t>
      </w:r>
      <w:r>
        <w:rPr>
          <w:w w:val="105"/>
          <w:sz w:val="21"/>
        </w:rPr>
        <w:t>be used </w:t>
      </w:r>
      <w:r>
        <w:rPr>
          <w:spacing w:val="-3"/>
          <w:w w:val="105"/>
          <w:sz w:val="21"/>
        </w:rPr>
        <w:t>to supplement </w:t>
      </w:r>
      <w:r>
        <w:rPr>
          <w:w w:val="105"/>
          <w:sz w:val="21"/>
        </w:rPr>
        <w:t>and fine-tune the basic </w:t>
      </w:r>
      <w:r>
        <w:rPr>
          <w:spacing w:val="-3"/>
          <w:w w:val="105"/>
          <w:sz w:val="21"/>
        </w:rPr>
        <w:t>provisions </w:t>
      </w:r>
      <w:r>
        <w:rPr>
          <w:w w:val="105"/>
          <w:sz w:val="21"/>
        </w:rPr>
        <w:t>of a state-standard </w:t>
      </w:r>
      <w:r>
        <w:rPr>
          <w:spacing w:val="-3"/>
          <w:w w:val="105"/>
          <w:sz w:val="21"/>
        </w:rPr>
        <w:t>clause, zone </w:t>
      </w:r>
      <w:r>
        <w:rPr>
          <w:w w:val="105"/>
          <w:sz w:val="21"/>
        </w:rPr>
        <w:t>or </w:t>
      </w:r>
      <w:r>
        <w:rPr>
          <w:spacing w:val="-3"/>
          <w:w w:val="105"/>
          <w:sz w:val="21"/>
        </w:rPr>
        <w:t>overlay </w:t>
      </w:r>
      <w:r>
        <w:rPr>
          <w:w w:val="105"/>
          <w:sz w:val="21"/>
        </w:rPr>
        <w:t>in a </w:t>
      </w:r>
      <w:r>
        <w:rPr>
          <w:spacing w:val="-3"/>
          <w:w w:val="105"/>
          <w:sz w:val="21"/>
        </w:rPr>
        <w:t>planning scheme, adapting </w:t>
      </w:r>
      <w:r>
        <w:rPr>
          <w:w w:val="105"/>
          <w:sz w:val="21"/>
        </w:rPr>
        <w:t>it </w:t>
      </w:r>
      <w:r>
        <w:rPr>
          <w:spacing w:val="-3"/>
          <w:w w:val="105"/>
          <w:sz w:val="21"/>
        </w:rPr>
        <w:t>to </w:t>
      </w:r>
      <w:r>
        <w:rPr>
          <w:w w:val="105"/>
          <w:sz w:val="21"/>
        </w:rPr>
        <w:t>local </w:t>
      </w:r>
      <w:r>
        <w:rPr>
          <w:spacing w:val="-3"/>
          <w:w w:val="105"/>
          <w:sz w:val="21"/>
        </w:rPr>
        <w:t>circumstances </w:t>
      </w:r>
      <w:r>
        <w:rPr>
          <w:w w:val="105"/>
          <w:sz w:val="21"/>
        </w:rPr>
        <w:t>and locally defined </w:t>
      </w:r>
      <w:r>
        <w:rPr>
          <w:spacing w:val="-3"/>
          <w:w w:val="105"/>
          <w:sz w:val="21"/>
        </w:rPr>
        <w:t>objectives’.</w:t>
      </w:r>
      <w:r>
        <w:rPr>
          <w:spacing w:val="-3"/>
          <w:w w:val="105"/>
          <w:position w:val="7"/>
          <w:sz w:val="12"/>
        </w:rPr>
        <w:t>6 </w:t>
      </w:r>
      <w:r>
        <w:rPr>
          <w:w w:val="105"/>
          <w:sz w:val="21"/>
        </w:rPr>
        <w:t>Specific </w:t>
      </w:r>
      <w:r>
        <w:rPr>
          <w:spacing w:val="-3"/>
          <w:w w:val="105"/>
          <w:sz w:val="21"/>
        </w:rPr>
        <w:t>provisions </w:t>
      </w:r>
      <w:r>
        <w:rPr>
          <w:w w:val="105"/>
          <w:sz w:val="21"/>
        </w:rPr>
        <w:t>of the VPPs </w:t>
      </w:r>
      <w:r>
        <w:rPr>
          <w:spacing w:val="-3"/>
          <w:w w:val="105"/>
          <w:sz w:val="21"/>
        </w:rPr>
        <w:t>control </w:t>
      </w:r>
      <w:r>
        <w:rPr>
          <w:w w:val="105"/>
          <w:sz w:val="21"/>
        </w:rPr>
        <w:t>the </w:t>
      </w:r>
      <w:r>
        <w:rPr>
          <w:spacing w:val="-3"/>
          <w:w w:val="105"/>
          <w:sz w:val="21"/>
        </w:rPr>
        <w:t>removal </w:t>
      </w:r>
      <w:r>
        <w:rPr>
          <w:w w:val="105"/>
          <w:sz w:val="21"/>
        </w:rPr>
        <w:t>of </w:t>
      </w:r>
      <w:r>
        <w:rPr>
          <w:spacing w:val="-3"/>
          <w:w w:val="105"/>
          <w:sz w:val="21"/>
        </w:rPr>
        <w:t>native</w:t>
      </w:r>
      <w:r>
        <w:rPr>
          <w:spacing w:val="30"/>
          <w:w w:val="105"/>
          <w:sz w:val="21"/>
        </w:rPr>
        <w:t> </w:t>
      </w:r>
      <w:r>
        <w:rPr>
          <w:spacing w:val="-3"/>
          <w:w w:val="105"/>
          <w:sz w:val="21"/>
        </w:rPr>
        <w:t>vegetation.</w:t>
      </w:r>
      <w:r>
        <w:rPr>
          <w:spacing w:val="-3"/>
          <w:w w:val="105"/>
          <w:position w:val="7"/>
          <w:sz w:val="12"/>
        </w:rPr>
        <w:t>7</w:t>
      </w:r>
    </w:p>
    <w:p>
      <w:pPr>
        <w:pStyle w:val="ListParagraph"/>
        <w:numPr>
          <w:ilvl w:val="1"/>
          <w:numId w:val="16"/>
        </w:numPr>
        <w:tabs>
          <w:tab w:pos="2381" w:val="left" w:leader="none"/>
          <w:tab w:pos="2382" w:val="left" w:leader="none"/>
        </w:tabs>
        <w:spacing w:line="240" w:lineRule="auto" w:before="126" w:after="0"/>
        <w:ind w:left="2381" w:right="0" w:hanging="794"/>
        <w:jc w:val="left"/>
        <w:rPr>
          <w:sz w:val="21"/>
        </w:rPr>
      </w:pPr>
      <w:r>
        <w:rPr>
          <w:w w:val="105"/>
          <w:sz w:val="21"/>
        </w:rPr>
        <w:t>The purpose of local </w:t>
      </w:r>
      <w:r>
        <w:rPr>
          <w:spacing w:val="-3"/>
          <w:w w:val="105"/>
          <w:sz w:val="21"/>
        </w:rPr>
        <w:t>planning </w:t>
      </w:r>
      <w:r>
        <w:rPr>
          <w:w w:val="105"/>
          <w:sz w:val="21"/>
        </w:rPr>
        <w:t>schemes is</w:t>
      </w:r>
      <w:r>
        <w:rPr>
          <w:spacing w:val="36"/>
          <w:w w:val="105"/>
          <w:sz w:val="21"/>
        </w:rPr>
        <w:t> </w:t>
      </w:r>
      <w:r>
        <w:rPr>
          <w:w w:val="105"/>
          <w:sz w:val="21"/>
        </w:rPr>
        <w:t>to:</w:t>
      </w:r>
    </w:p>
    <w:p>
      <w:pPr>
        <w:pStyle w:val="ListParagraph"/>
        <w:numPr>
          <w:ilvl w:val="2"/>
          <w:numId w:val="16"/>
        </w:numPr>
        <w:tabs>
          <w:tab w:pos="2721" w:val="left" w:leader="none"/>
          <w:tab w:pos="2722" w:val="left" w:leader="none"/>
        </w:tabs>
        <w:spacing w:line="242" w:lineRule="auto" w:before="124" w:after="0"/>
        <w:ind w:left="2721" w:right="1848" w:hanging="340"/>
        <w:jc w:val="left"/>
        <w:rPr>
          <w:sz w:val="21"/>
        </w:rPr>
      </w:pPr>
      <w:r>
        <w:rPr>
          <w:w w:val="105"/>
          <w:sz w:val="21"/>
        </w:rPr>
        <w:t>provide</w:t>
      </w:r>
      <w:r>
        <w:rPr>
          <w:spacing w:val="-7"/>
          <w:w w:val="105"/>
          <w:sz w:val="21"/>
        </w:rPr>
        <w:t> </w:t>
      </w:r>
      <w:r>
        <w:rPr>
          <w:w w:val="105"/>
          <w:sz w:val="21"/>
        </w:rPr>
        <w:t>a</w:t>
      </w:r>
      <w:r>
        <w:rPr>
          <w:spacing w:val="-6"/>
          <w:w w:val="105"/>
          <w:sz w:val="21"/>
        </w:rPr>
        <w:t> </w:t>
      </w:r>
      <w:r>
        <w:rPr>
          <w:spacing w:val="-3"/>
          <w:w w:val="105"/>
          <w:sz w:val="21"/>
        </w:rPr>
        <w:t>clear</w:t>
      </w:r>
      <w:r>
        <w:rPr>
          <w:spacing w:val="-6"/>
          <w:w w:val="105"/>
          <w:sz w:val="21"/>
        </w:rPr>
        <w:t> </w:t>
      </w:r>
      <w:r>
        <w:rPr>
          <w:w w:val="105"/>
          <w:sz w:val="21"/>
        </w:rPr>
        <w:t>and</w:t>
      </w:r>
      <w:r>
        <w:rPr>
          <w:spacing w:val="-6"/>
          <w:w w:val="105"/>
          <w:sz w:val="21"/>
        </w:rPr>
        <w:t> </w:t>
      </w:r>
      <w:r>
        <w:rPr>
          <w:spacing w:val="-3"/>
          <w:w w:val="105"/>
          <w:sz w:val="21"/>
        </w:rPr>
        <w:t>consistent</w:t>
      </w:r>
      <w:r>
        <w:rPr>
          <w:spacing w:val="-6"/>
          <w:w w:val="105"/>
          <w:sz w:val="21"/>
        </w:rPr>
        <w:t> </w:t>
      </w:r>
      <w:r>
        <w:rPr>
          <w:spacing w:val="-3"/>
          <w:w w:val="105"/>
          <w:sz w:val="21"/>
        </w:rPr>
        <w:t>framework</w:t>
      </w:r>
      <w:r>
        <w:rPr>
          <w:spacing w:val="-6"/>
          <w:w w:val="105"/>
          <w:sz w:val="21"/>
        </w:rPr>
        <w:t> </w:t>
      </w:r>
      <w:r>
        <w:rPr>
          <w:spacing w:val="-3"/>
          <w:w w:val="105"/>
          <w:sz w:val="21"/>
        </w:rPr>
        <w:t>within</w:t>
      </w:r>
      <w:r>
        <w:rPr>
          <w:spacing w:val="-6"/>
          <w:w w:val="105"/>
          <w:sz w:val="21"/>
        </w:rPr>
        <w:t> </w:t>
      </w:r>
      <w:r>
        <w:rPr>
          <w:w w:val="105"/>
          <w:sz w:val="21"/>
        </w:rPr>
        <w:t>which</w:t>
      </w:r>
      <w:r>
        <w:rPr>
          <w:spacing w:val="-6"/>
          <w:w w:val="105"/>
          <w:sz w:val="21"/>
        </w:rPr>
        <w:t> </w:t>
      </w:r>
      <w:r>
        <w:rPr>
          <w:w w:val="105"/>
          <w:sz w:val="21"/>
        </w:rPr>
        <w:t>decisions</w:t>
      </w:r>
      <w:r>
        <w:rPr>
          <w:spacing w:val="-6"/>
          <w:w w:val="105"/>
          <w:sz w:val="21"/>
        </w:rPr>
        <w:t> </w:t>
      </w:r>
      <w:r>
        <w:rPr>
          <w:w w:val="105"/>
          <w:sz w:val="21"/>
        </w:rPr>
        <w:t>about</w:t>
      </w:r>
      <w:r>
        <w:rPr>
          <w:spacing w:val="-6"/>
          <w:w w:val="105"/>
          <w:sz w:val="21"/>
        </w:rPr>
        <w:t> </w:t>
      </w:r>
      <w:r>
        <w:rPr>
          <w:w w:val="105"/>
          <w:sz w:val="21"/>
        </w:rPr>
        <w:t>the</w:t>
      </w:r>
      <w:r>
        <w:rPr>
          <w:spacing w:val="-6"/>
          <w:w w:val="105"/>
          <w:sz w:val="21"/>
        </w:rPr>
        <w:t> </w:t>
      </w:r>
      <w:r>
        <w:rPr>
          <w:w w:val="105"/>
          <w:sz w:val="21"/>
        </w:rPr>
        <w:t>use</w:t>
      </w:r>
      <w:r>
        <w:rPr>
          <w:spacing w:val="-6"/>
          <w:w w:val="105"/>
          <w:sz w:val="21"/>
        </w:rPr>
        <w:t> </w:t>
      </w:r>
      <w:r>
        <w:rPr>
          <w:w w:val="105"/>
          <w:sz w:val="21"/>
        </w:rPr>
        <w:t>and development of </w:t>
      </w:r>
      <w:r>
        <w:rPr>
          <w:spacing w:val="-3"/>
          <w:w w:val="105"/>
          <w:sz w:val="21"/>
        </w:rPr>
        <w:t>land </w:t>
      </w:r>
      <w:r>
        <w:rPr>
          <w:w w:val="105"/>
          <w:sz w:val="21"/>
        </w:rPr>
        <w:t>can be</w:t>
      </w:r>
      <w:r>
        <w:rPr>
          <w:spacing w:val="27"/>
          <w:w w:val="105"/>
          <w:sz w:val="21"/>
        </w:rPr>
        <w:t> </w:t>
      </w:r>
      <w:r>
        <w:rPr>
          <w:w w:val="105"/>
          <w:sz w:val="21"/>
        </w:rPr>
        <w:t>made</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w w:val="105"/>
          <w:sz w:val="21"/>
        </w:rPr>
        <w:t>express </w:t>
      </w:r>
      <w:r>
        <w:rPr>
          <w:spacing w:val="-3"/>
          <w:w w:val="105"/>
          <w:sz w:val="21"/>
        </w:rPr>
        <w:t>state, regional, </w:t>
      </w:r>
      <w:r>
        <w:rPr>
          <w:w w:val="105"/>
          <w:sz w:val="21"/>
        </w:rPr>
        <w:t>local and community expectations </w:t>
      </w:r>
      <w:r>
        <w:rPr>
          <w:spacing w:val="-3"/>
          <w:w w:val="105"/>
          <w:sz w:val="21"/>
        </w:rPr>
        <w:t>for areas </w:t>
      </w:r>
      <w:r>
        <w:rPr>
          <w:w w:val="105"/>
          <w:sz w:val="21"/>
        </w:rPr>
        <w:t>and </w:t>
      </w:r>
      <w:r>
        <w:rPr>
          <w:spacing w:val="-3"/>
          <w:w w:val="105"/>
          <w:sz w:val="21"/>
        </w:rPr>
        <w:t>land</w:t>
      </w:r>
      <w:r>
        <w:rPr>
          <w:spacing w:val="34"/>
          <w:w w:val="105"/>
          <w:sz w:val="21"/>
        </w:rPr>
        <w:t> </w:t>
      </w:r>
      <w:r>
        <w:rPr>
          <w:w w:val="105"/>
          <w:sz w:val="21"/>
        </w:rPr>
        <w:t>uses</w:t>
      </w:r>
    </w:p>
    <w:p>
      <w:pPr>
        <w:pStyle w:val="ListParagraph"/>
        <w:numPr>
          <w:ilvl w:val="2"/>
          <w:numId w:val="16"/>
        </w:numPr>
        <w:tabs>
          <w:tab w:pos="2721" w:val="left" w:leader="none"/>
          <w:tab w:pos="2722" w:val="left" w:leader="none"/>
        </w:tabs>
        <w:spacing w:line="242" w:lineRule="auto" w:before="89" w:after="0"/>
        <w:ind w:left="2721" w:right="1707" w:hanging="340"/>
        <w:jc w:val="left"/>
        <w:rPr>
          <w:sz w:val="21"/>
        </w:rPr>
      </w:pPr>
      <w:r>
        <w:rPr>
          <w:w w:val="105"/>
          <w:sz w:val="21"/>
        </w:rPr>
        <w:t>provide</w:t>
      </w:r>
      <w:r>
        <w:rPr>
          <w:spacing w:val="-7"/>
          <w:w w:val="105"/>
          <w:sz w:val="21"/>
        </w:rPr>
        <w:t> </w:t>
      </w:r>
      <w:r>
        <w:rPr>
          <w:spacing w:val="-3"/>
          <w:w w:val="105"/>
          <w:sz w:val="21"/>
        </w:rPr>
        <w:t>for</w:t>
      </w:r>
      <w:r>
        <w:rPr>
          <w:spacing w:val="-7"/>
          <w:w w:val="105"/>
          <w:sz w:val="21"/>
        </w:rPr>
        <w:t> </w:t>
      </w:r>
      <w:r>
        <w:rPr>
          <w:w w:val="105"/>
          <w:sz w:val="21"/>
        </w:rPr>
        <w:t>the</w:t>
      </w:r>
      <w:r>
        <w:rPr>
          <w:spacing w:val="-6"/>
          <w:w w:val="105"/>
          <w:sz w:val="21"/>
        </w:rPr>
        <w:t> </w:t>
      </w:r>
      <w:r>
        <w:rPr>
          <w:spacing w:val="-2"/>
          <w:w w:val="105"/>
          <w:sz w:val="21"/>
        </w:rPr>
        <w:t>implementation</w:t>
      </w:r>
      <w:r>
        <w:rPr>
          <w:spacing w:val="-7"/>
          <w:w w:val="105"/>
          <w:sz w:val="21"/>
        </w:rPr>
        <w:t> </w:t>
      </w:r>
      <w:r>
        <w:rPr>
          <w:w w:val="105"/>
          <w:sz w:val="21"/>
        </w:rPr>
        <w:t>of</w:t>
      </w:r>
      <w:r>
        <w:rPr>
          <w:spacing w:val="-7"/>
          <w:w w:val="105"/>
          <w:sz w:val="21"/>
        </w:rPr>
        <w:t> </w:t>
      </w:r>
      <w:r>
        <w:rPr>
          <w:spacing w:val="-3"/>
          <w:w w:val="105"/>
          <w:sz w:val="21"/>
        </w:rPr>
        <w:t>state,</w:t>
      </w:r>
      <w:r>
        <w:rPr>
          <w:spacing w:val="-6"/>
          <w:w w:val="105"/>
          <w:sz w:val="21"/>
        </w:rPr>
        <w:t> </w:t>
      </w:r>
      <w:r>
        <w:rPr>
          <w:spacing w:val="-3"/>
          <w:w w:val="105"/>
          <w:sz w:val="21"/>
        </w:rPr>
        <w:t>regional</w:t>
      </w:r>
      <w:r>
        <w:rPr>
          <w:spacing w:val="-7"/>
          <w:w w:val="105"/>
          <w:sz w:val="21"/>
        </w:rPr>
        <w:t> </w:t>
      </w:r>
      <w:r>
        <w:rPr>
          <w:w w:val="105"/>
          <w:sz w:val="21"/>
        </w:rPr>
        <w:t>and</w:t>
      </w:r>
      <w:r>
        <w:rPr>
          <w:spacing w:val="-7"/>
          <w:w w:val="105"/>
          <w:sz w:val="21"/>
        </w:rPr>
        <w:t> </w:t>
      </w:r>
      <w:r>
        <w:rPr>
          <w:w w:val="105"/>
          <w:sz w:val="21"/>
        </w:rPr>
        <w:t>local</w:t>
      </w:r>
      <w:r>
        <w:rPr>
          <w:spacing w:val="-6"/>
          <w:w w:val="105"/>
          <w:sz w:val="21"/>
        </w:rPr>
        <w:t> </w:t>
      </w:r>
      <w:r>
        <w:rPr>
          <w:w w:val="105"/>
          <w:sz w:val="21"/>
        </w:rPr>
        <w:t>policies</w:t>
      </w:r>
      <w:r>
        <w:rPr>
          <w:spacing w:val="-7"/>
          <w:w w:val="105"/>
          <w:sz w:val="21"/>
        </w:rPr>
        <w:t> </w:t>
      </w:r>
      <w:r>
        <w:rPr>
          <w:w w:val="105"/>
          <w:sz w:val="21"/>
        </w:rPr>
        <w:t>affecting</w:t>
      </w:r>
      <w:r>
        <w:rPr>
          <w:spacing w:val="-7"/>
          <w:w w:val="105"/>
          <w:sz w:val="21"/>
        </w:rPr>
        <w:t> </w:t>
      </w:r>
      <w:r>
        <w:rPr>
          <w:spacing w:val="-3"/>
          <w:w w:val="105"/>
          <w:sz w:val="21"/>
        </w:rPr>
        <w:t>land</w:t>
      </w:r>
      <w:r>
        <w:rPr>
          <w:spacing w:val="-6"/>
          <w:w w:val="105"/>
          <w:sz w:val="21"/>
        </w:rPr>
        <w:t> </w:t>
      </w:r>
      <w:r>
        <w:rPr>
          <w:w w:val="105"/>
          <w:sz w:val="21"/>
        </w:rPr>
        <w:t>use and</w:t>
      </w:r>
      <w:r>
        <w:rPr>
          <w:spacing w:val="5"/>
          <w:w w:val="105"/>
          <w:sz w:val="21"/>
        </w:rPr>
        <w:t> </w:t>
      </w:r>
      <w:r>
        <w:rPr>
          <w:w w:val="105"/>
          <w:sz w:val="21"/>
        </w:rPr>
        <w:t>development.</w:t>
      </w:r>
      <w:r>
        <w:rPr>
          <w:w w:val="105"/>
          <w:position w:val="7"/>
          <w:sz w:val="12"/>
        </w:rPr>
        <w:t>8</w:t>
      </w:r>
    </w:p>
    <w:p>
      <w:pPr>
        <w:pStyle w:val="ListParagraph"/>
        <w:numPr>
          <w:ilvl w:val="1"/>
          <w:numId w:val="16"/>
        </w:numPr>
        <w:tabs>
          <w:tab w:pos="2381" w:val="left" w:leader="none"/>
          <w:tab w:pos="2382" w:val="left" w:leader="none"/>
        </w:tabs>
        <w:spacing w:line="242" w:lineRule="auto" w:before="87" w:after="0"/>
        <w:ind w:left="2381" w:right="1625" w:hanging="794"/>
        <w:jc w:val="left"/>
        <w:rPr>
          <w:sz w:val="21"/>
        </w:rPr>
      </w:pPr>
      <w:r>
        <w:rPr>
          <w:spacing w:val="-3"/>
          <w:w w:val="105"/>
          <w:sz w:val="21"/>
        </w:rPr>
        <w:t>Planning </w:t>
      </w:r>
      <w:r>
        <w:rPr>
          <w:w w:val="105"/>
          <w:sz w:val="21"/>
        </w:rPr>
        <w:t>schemes </w:t>
      </w:r>
      <w:r>
        <w:rPr>
          <w:spacing w:val="-3"/>
          <w:w w:val="105"/>
          <w:sz w:val="21"/>
        </w:rPr>
        <w:t>are higher </w:t>
      </w:r>
      <w:r>
        <w:rPr>
          <w:w w:val="105"/>
          <w:sz w:val="21"/>
        </w:rPr>
        <w:t>level </w:t>
      </w:r>
      <w:r>
        <w:rPr>
          <w:spacing w:val="-3"/>
          <w:w w:val="105"/>
          <w:sz w:val="21"/>
        </w:rPr>
        <w:t>subordinate legislation. </w:t>
      </w:r>
      <w:r>
        <w:rPr>
          <w:w w:val="105"/>
          <w:sz w:val="21"/>
        </w:rPr>
        <w:t>They </w:t>
      </w:r>
      <w:r>
        <w:rPr>
          <w:spacing w:val="-3"/>
          <w:w w:val="105"/>
          <w:sz w:val="21"/>
        </w:rPr>
        <w:t>may </w:t>
      </w:r>
      <w:r>
        <w:rPr>
          <w:w w:val="105"/>
          <w:sz w:val="21"/>
        </w:rPr>
        <w:t>identify and </w:t>
      </w:r>
      <w:r>
        <w:rPr>
          <w:spacing w:val="-3"/>
          <w:w w:val="105"/>
          <w:sz w:val="21"/>
        </w:rPr>
        <w:t>manage significant </w:t>
      </w:r>
      <w:r>
        <w:rPr>
          <w:w w:val="105"/>
          <w:sz w:val="21"/>
        </w:rPr>
        <w:t>or important vegetation on </w:t>
      </w:r>
      <w:r>
        <w:rPr>
          <w:spacing w:val="-3"/>
          <w:w w:val="105"/>
          <w:sz w:val="21"/>
        </w:rPr>
        <w:t>public </w:t>
      </w:r>
      <w:r>
        <w:rPr>
          <w:w w:val="105"/>
          <w:sz w:val="21"/>
        </w:rPr>
        <w:t>and </w:t>
      </w:r>
      <w:r>
        <w:rPr>
          <w:spacing w:val="-3"/>
          <w:w w:val="105"/>
          <w:sz w:val="21"/>
        </w:rPr>
        <w:t>private </w:t>
      </w:r>
      <w:r>
        <w:rPr>
          <w:spacing w:val="-4"/>
          <w:w w:val="105"/>
          <w:sz w:val="21"/>
        </w:rPr>
        <w:t>land.</w:t>
      </w:r>
      <w:r>
        <w:rPr>
          <w:spacing w:val="-4"/>
          <w:w w:val="105"/>
          <w:position w:val="7"/>
          <w:sz w:val="12"/>
        </w:rPr>
        <w:t>9 </w:t>
      </w:r>
      <w:r>
        <w:rPr>
          <w:spacing w:val="-3"/>
          <w:w w:val="105"/>
          <w:sz w:val="21"/>
        </w:rPr>
        <w:t>Planning </w:t>
      </w:r>
      <w:r>
        <w:rPr>
          <w:w w:val="105"/>
          <w:sz w:val="21"/>
        </w:rPr>
        <w:t>schemes typically </w:t>
      </w:r>
      <w:r>
        <w:rPr>
          <w:spacing w:val="-3"/>
          <w:w w:val="105"/>
          <w:sz w:val="21"/>
        </w:rPr>
        <w:t>require </w:t>
      </w:r>
      <w:r>
        <w:rPr>
          <w:w w:val="105"/>
          <w:sz w:val="21"/>
        </w:rPr>
        <w:t>a permit </w:t>
      </w:r>
      <w:r>
        <w:rPr>
          <w:spacing w:val="-3"/>
          <w:w w:val="105"/>
          <w:sz w:val="21"/>
        </w:rPr>
        <w:t>to </w:t>
      </w:r>
      <w:r>
        <w:rPr>
          <w:w w:val="105"/>
          <w:sz w:val="21"/>
        </w:rPr>
        <w:t>be obtained </w:t>
      </w:r>
      <w:r>
        <w:rPr>
          <w:spacing w:val="-3"/>
          <w:w w:val="105"/>
          <w:sz w:val="21"/>
        </w:rPr>
        <w:t>to remove, </w:t>
      </w:r>
      <w:r>
        <w:rPr>
          <w:w w:val="105"/>
          <w:sz w:val="21"/>
        </w:rPr>
        <w:t>lop or destroy </w:t>
      </w:r>
      <w:r>
        <w:rPr>
          <w:spacing w:val="-3"/>
          <w:w w:val="105"/>
          <w:sz w:val="21"/>
        </w:rPr>
        <w:t>native </w:t>
      </w:r>
      <w:r>
        <w:rPr>
          <w:w w:val="105"/>
          <w:sz w:val="21"/>
        </w:rPr>
        <w:t>or other identified </w:t>
      </w:r>
      <w:r>
        <w:rPr>
          <w:spacing w:val="-4"/>
          <w:w w:val="105"/>
          <w:sz w:val="21"/>
        </w:rPr>
        <w:t>vegetation.</w:t>
      </w:r>
      <w:r>
        <w:rPr>
          <w:spacing w:val="-4"/>
          <w:w w:val="105"/>
          <w:position w:val="7"/>
          <w:sz w:val="12"/>
        </w:rPr>
        <w:t>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r>
        <w:rPr/>
        <w:pict>
          <v:line style="position:absolute;mso-position-horizontal-relative:page;mso-position-vertical-relative:paragraph;z-index:9416;mso-wrap-distance-left:0;mso-wrap-distance-right:0" from="79.370102pt,12.680175pt" to="515.905102pt,12.680175pt" stroked="true" strokeweight="1pt" strokecolor="#c9d2cb">
            <v:stroke dashstyle="solid"/>
            <w10:wrap type="topAndBottom"/>
          </v:line>
        </w:pict>
      </w:r>
    </w:p>
    <w:p>
      <w:pPr>
        <w:pStyle w:val="BodyText"/>
        <w:spacing w:before="8"/>
        <w:rPr>
          <w:sz w:val="5"/>
        </w:rPr>
      </w:pPr>
    </w:p>
    <w:p>
      <w:pPr>
        <w:spacing w:after="0"/>
        <w:rPr>
          <w:sz w:val="5"/>
        </w:rPr>
        <w:sectPr>
          <w:headerReference w:type="default" r:id="rId253"/>
          <w:headerReference w:type="even" r:id="rId254"/>
          <w:pgSz w:w="11910" w:h="16840"/>
          <w:pgMar w:header="808" w:footer="0" w:top="1360" w:bottom="280" w:left="0" w:right="0"/>
        </w:sectPr>
      </w:pPr>
    </w:p>
    <w:p>
      <w:pPr>
        <w:pStyle w:val="ListParagraph"/>
        <w:numPr>
          <w:ilvl w:val="0"/>
          <w:numId w:val="161"/>
        </w:numPr>
        <w:tabs>
          <w:tab w:pos="2380" w:val="left" w:leader="none"/>
          <w:tab w:pos="2382" w:val="left" w:leader="none"/>
        </w:tabs>
        <w:spacing w:line="240" w:lineRule="auto" w:before="48" w:after="0"/>
        <w:ind w:left="2381" w:right="164" w:hanging="794"/>
        <w:jc w:val="left"/>
        <w:rPr>
          <w:sz w:val="13"/>
        </w:rPr>
      </w:pPr>
      <w:r>
        <w:rPr>
          <w:i/>
          <w:w w:val="105"/>
          <w:sz w:val="13"/>
        </w:rPr>
        <w:t>Planning and Environment Act 1987 </w:t>
      </w:r>
      <w:r>
        <w:rPr>
          <w:spacing w:val="2"/>
          <w:w w:val="105"/>
          <w:sz w:val="13"/>
        </w:rPr>
        <w:t>(Vic) </w:t>
      </w:r>
      <w:r>
        <w:rPr>
          <w:w w:val="105"/>
          <w:sz w:val="13"/>
        </w:rPr>
        <w:t>s 4. The objectives of the planning framework established by the </w:t>
      </w:r>
      <w:r>
        <w:rPr>
          <w:spacing w:val="4"/>
          <w:w w:val="105"/>
          <w:sz w:val="13"/>
        </w:rPr>
        <w:t>P&amp;E </w:t>
      </w:r>
      <w:r>
        <w:rPr>
          <w:w w:val="105"/>
          <w:sz w:val="13"/>
        </w:rPr>
        <w:t>Act include enabling    land use and development planning and policy to be easily integrated with environmental, social, economic, conservation and resource management</w:t>
      </w:r>
      <w:r>
        <w:rPr>
          <w:spacing w:val="4"/>
          <w:w w:val="105"/>
          <w:sz w:val="13"/>
        </w:rPr>
        <w:t> </w:t>
      </w:r>
      <w:r>
        <w:rPr>
          <w:w w:val="105"/>
          <w:sz w:val="13"/>
        </w:rPr>
        <w:t>policies</w:t>
      </w:r>
      <w:r>
        <w:rPr>
          <w:spacing w:val="5"/>
          <w:w w:val="105"/>
          <w:sz w:val="13"/>
        </w:rPr>
        <w:t> </w:t>
      </w:r>
      <w:r>
        <w:rPr>
          <w:w w:val="105"/>
          <w:sz w:val="13"/>
        </w:rPr>
        <w:t>at</w:t>
      </w:r>
      <w:r>
        <w:rPr>
          <w:spacing w:val="5"/>
          <w:w w:val="105"/>
          <w:sz w:val="13"/>
        </w:rPr>
        <w:t> </w:t>
      </w:r>
      <w:r>
        <w:rPr>
          <w:w w:val="105"/>
          <w:sz w:val="13"/>
        </w:rPr>
        <w:t>state,</w:t>
      </w:r>
      <w:r>
        <w:rPr>
          <w:spacing w:val="4"/>
          <w:w w:val="105"/>
          <w:sz w:val="13"/>
        </w:rPr>
        <w:t> </w:t>
      </w:r>
      <w:r>
        <w:rPr>
          <w:w w:val="105"/>
          <w:sz w:val="13"/>
        </w:rPr>
        <w:t>regional</w:t>
      </w:r>
      <w:r>
        <w:rPr>
          <w:spacing w:val="5"/>
          <w:w w:val="105"/>
          <w:sz w:val="13"/>
        </w:rPr>
        <w:t> </w:t>
      </w:r>
      <w:r>
        <w:rPr>
          <w:w w:val="105"/>
          <w:sz w:val="13"/>
        </w:rPr>
        <w:t>and</w:t>
      </w:r>
      <w:r>
        <w:rPr>
          <w:spacing w:val="5"/>
          <w:w w:val="105"/>
          <w:sz w:val="13"/>
        </w:rPr>
        <w:t> </w:t>
      </w:r>
      <w:r>
        <w:rPr>
          <w:w w:val="105"/>
          <w:sz w:val="13"/>
        </w:rPr>
        <w:t>municipal</w:t>
      </w:r>
      <w:r>
        <w:rPr>
          <w:spacing w:val="4"/>
          <w:w w:val="105"/>
          <w:sz w:val="13"/>
        </w:rPr>
        <w:t> </w:t>
      </w:r>
      <w:r>
        <w:rPr>
          <w:w w:val="105"/>
          <w:sz w:val="13"/>
        </w:rPr>
        <w:t>levels:</w:t>
      </w:r>
      <w:r>
        <w:rPr>
          <w:spacing w:val="5"/>
          <w:w w:val="105"/>
          <w:sz w:val="13"/>
        </w:rPr>
        <w:t> </w:t>
      </w:r>
      <w:r>
        <w:rPr>
          <w:i/>
          <w:w w:val="105"/>
          <w:sz w:val="13"/>
        </w:rPr>
        <w:t>Planning</w:t>
      </w:r>
      <w:r>
        <w:rPr>
          <w:i/>
          <w:spacing w:val="5"/>
          <w:w w:val="105"/>
          <w:sz w:val="13"/>
        </w:rPr>
        <w:t> </w:t>
      </w:r>
      <w:r>
        <w:rPr>
          <w:i/>
          <w:w w:val="105"/>
          <w:sz w:val="13"/>
        </w:rPr>
        <w:t>and</w:t>
      </w:r>
      <w:r>
        <w:rPr>
          <w:i/>
          <w:spacing w:val="4"/>
          <w:w w:val="105"/>
          <w:sz w:val="13"/>
        </w:rPr>
        <w:t> </w:t>
      </w:r>
      <w:r>
        <w:rPr>
          <w:i/>
          <w:w w:val="105"/>
          <w:sz w:val="13"/>
        </w:rPr>
        <w:t>Environment</w:t>
      </w:r>
      <w:r>
        <w:rPr>
          <w:i/>
          <w:spacing w:val="5"/>
          <w:w w:val="105"/>
          <w:sz w:val="13"/>
        </w:rPr>
        <w:t> </w:t>
      </w:r>
      <w:r>
        <w:rPr>
          <w:i/>
          <w:w w:val="105"/>
          <w:sz w:val="13"/>
        </w:rPr>
        <w:t>Act</w:t>
      </w:r>
      <w:r>
        <w:rPr>
          <w:i/>
          <w:spacing w:val="5"/>
          <w:w w:val="105"/>
          <w:sz w:val="13"/>
        </w:rPr>
        <w:t> </w:t>
      </w:r>
      <w:r>
        <w:rPr>
          <w:i/>
          <w:w w:val="105"/>
          <w:sz w:val="13"/>
        </w:rPr>
        <w:t>1987</w:t>
      </w:r>
      <w:r>
        <w:rPr>
          <w:i/>
          <w:spacing w:val="4"/>
          <w:w w:val="105"/>
          <w:sz w:val="13"/>
        </w:rPr>
        <w:t> </w:t>
      </w:r>
      <w:r>
        <w:rPr>
          <w:spacing w:val="2"/>
          <w:w w:val="105"/>
          <w:sz w:val="13"/>
        </w:rPr>
        <w:t>(Vic)</w:t>
      </w:r>
      <w:r>
        <w:rPr>
          <w:spacing w:val="5"/>
          <w:w w:val="105"/>
          <w:sz w:val="13"/>
        </w:rPr>
        <w:t> </w:t>
      </w:r>
      <w:r>
        <w:rPr>
          <w:w w:val="105"/>
          <w:sz w:val="13"/>
        </w:rPr>
        <w:t>s</w:t>
      </w:r>
      <w:r>
        <w:rPr>
          <w:spacing w:val="5"/>
          <w:w w:val="105"/>
          <w:sz w:val="13"/>
        </w:rPr>
        <w:t> </w:t>
      </w:r>
      <w:r>
        <w:rPr>
          <w:spacing w:val="3"/>
          <w:w w:val="105"/>
          <w:sz w:val="13"/>
        </w:rPr>
        <w:t>4(2)(c).</w:t>
      </w:r>
      <w:r>
        <w:rPr>
          <w:spacing w:val="4"/>
          <w:w w:val="105"/>
          <w:sz w:val="13"/>
        </w:rPr>
        <w:t> </w:t>
      </w:r>
      <w:r>
        <w:rPr>
          <w:spacing w:val="-3"/>
          <w:w w:val="105"/>
          <w:sz w:val="13"/>
        </w:rPr>
        <w:t>To</w:t>
      </w:r>
      <w:r>
        <w:rPr>
          <w:spacing w:val="5"/>
          <w:w w:val="105"/>
          <w:sz w:val="13"/>
        </w:rPr>
        <w:t> </w:t>
      </w:r>
      <w:r>
        <w:rPr>
          <w:w w:val="105"/>
          <w:sz w:val="13"/>
        </w:rPr>
        <w:t>this</w:t>
      </w:r>
      <w:r>
        <w:rPr>
          <w:spacing w:val="5"/>
          <w:w w:val="105"/>
          <w:sz w:val="13"/>
        </w:rPr>
        <w:t> </w:t>
      </w:r>
      <w:r>
        <w:rPr>
          <w:w w:val="105"/>
          <w:sz w:val="13"/>
        </w:rPr>
        <w:t>end,</w:t>
      </w:r>
      <w:r>
        <w:rPr>
          <w:spacing w:val="4"/>
          <w:w w:val="105"/>
          <w:sz w:val="13"/>
        </w:rPr>
        <w:t> </w:t>
      </w:r>
      <w:r>
        <w:rPr>
          <w:w w:val="105"/>
          <w:sz w:val="13"/>
        </w:rPr>
        <w:t>the</w:t>
      </w:r>
      <w:r>
        <w:rPr>
          <w:spacing w:val="5"/>
          <w:w w:val="105"/>
          <w:sz w:val="13"/>
        </w:rPr>
        <w:t> </w:t>
      </w:r>
      <w:r>
        <w:rPr>
          <w:spacing w:val="2"/>
          <w:w w:val="105"/>
          <w:sz w:val="13"/>
        </w:rPr>
        <w:t>effects</w:t>
      </w:r>
    </w:p>
    <w:p>
      <w:pPr>
        <w:spacing w:before="4"/>
        <w:ind w:left="2381" w:right="0" w:firstLine="0"/>
        <w:jc w:val="left"/>
        <w:rPr>
          <w:sz w:val="13"/>
        </w:rPr>
      </w:pPr>
      <w:r>
        <w:rPr>
          <w:w w:val="105"/>
          <w:sz w:val="13"/>
        </w:rPr>
        <w:t>on the environment, as well as social and economic effects, must be considered as part of the decision-making process about the use and development of land: </w:t>
      </w:r>
      <w:r>
        <w:rPr>
          <w:i/>
          <w:w w:val="105"/>
          <w:sz w:val="13"/>
        </w:rPr>
        <w:t>Planning and Environment Act 1987 </w:t>
      </w:r>
      <w:r>
        <w:rPr>
          <w:w w:val="105"/>
          <w:sz w:val="13"/>
        </w:rPr>
        <w:t>(Vic) s 4(2)(d).</w:t>
      </w:r>
    </w:p>
    <w:p>
      <w:pPr>
        <w:pStyle w:val="ListParagraph"/>
        <w:numPr>
          <w:ilvl w:val="0"/>
          <w:numId w:val="161"/>
        </w:numPr>
        <w:tabs>
          <w:tab w:pos="2380" w:val="left" w:leader="none"/>
          <w:tab w:pos="2382" w:val="left" w:leader="none"/>
        </w:tabs>
        <w:spacing w:line="240" w:lineRule="auto" w:before="3" w:after="0"/>
        <w:ind w:left="2381" w:right="10" w:hanging="794"/>
        <w:jc w:val="left"/>
        <w:rPr>
          <w:sz w:val="13"/>
        </w:rPr>
      </w:pPr>
      <w:r>
        <w:rPr>
          <w:i/>
          <w:sz w:val="13"/>
        </w:rPr>
        <w:t>Planning and Environment Act 1987 </w:t>
      </w:r>
      <w:r>
        <w:rPr>
          <w:spacing w:val="2"/>
          <w:sz w:val="13"/>
        </w:rPr>
        <w:t>(Vic) </w:t>
      </w:r>
      <w:r>
        <w:rPr>
          <w:sz w:val="13"/>
        </w:rPr>
        <w:t>ss 13–14. The administration and enforcement of a planning scheme is the duty of a responsible authority. In most cases this will be a council but it can be  the  Minister  administering  the  Act  or  any  other  person  whom  the  planning scheme</w:t>
      </w:r>
      <w:r>
        <w:rPr>
          <w:spacing w:val="7"/>
          <w:sz w:val="13"/>
        </w:rPr>
        <w:t> </w:t>
      </w:r>
      <w:r>
        <w:rPr>
          <w:sz w:val="13"/>
        </w:rPr>
        <w:t>specifies</w:t>
      </w:r>
      <w:r>
        <w:rPr>
          <w:spacing w:val="7"/>
          <w:sz w:val="13"/>
        </w:rPr>
        <w:t> </w:t>
      </w:r>
      <w:r>
        <w:rPr>
          <w:sz w:val="13"/>
        </w:rPr>
        <w:t>as</w:t>
      </w:r>
      <w:r>
        <w:rPr>
          <w:spacing w:val="7"/>
          <w:sz w:val="13"/>
        </w:rPr>
        <w:t> </w:t>
      </w:r>
      <w:r>
        <w:rPr>
          <w:sz w:val="13"/>
        </w:rPr>
        <w:t>a</w:t>
      </w:r>
      <w:r>
        <w:rPr>
          <w:spacing w:val="7"/>
          <w:sz w:val="13"/>
        </w:rPr>
        <w:t> </w:t>
      </w:r>
      <w:r>
        <w:rPr>
          <w:sz w:val="13"/>
        </w:rPr>
        <w:t>responsible</w:t>
      </w:r>
      <w:r>
        <w:rPr>
          <w:spacing w:val="7"/>
          <w:sz w:val="13"/>
        </w:rPr>
        <w:t> </w:t>
      </w:r>
      <w:r>
        <w:rPr>
          <w:sz w:val="13"/>
        </w:rPr>
        <w:t>authority</w:t>
      </w:r>
      <w:r>
        <w:rPr>
          <w:spacing w:val="7"/>
          <w:sz w:val="13"/>
        </w:rPr>
        <w:t> </w:t>
      </w:r>
      <w:r>
        <w:rPr>
          <w:sz w:val="13"/>
        </w:rPr>
        <w:t>for</w:t>
      </w:r>
      <w:r>
        <w:rPr>
          <w:spacing w:val="7"/>
          <w:sz w:val="13"/>
        </w:rPr>
        <w:t> </w:t>
      </w:r>
      <w:r>
        <w:rPr>
          <w:sz w:val="13"/>
        </w:rPr>
        <w:t>that</w:t>
      </w:r>
      <w:r>
        <w:rPr>
          <w:spacing w:val="7"/>
          <w:sz w:val="13"/>
        </w:rPr>
        <w:t> </w:t>
      </w:r>
      <w:r>
        <w:rPr>
          <w:sz w:val="13"/>
        </w:rPr>
        <w:t>purpose.</w:t>
      </w:r>
    </w:p>
    <w:p>
      <w:pPr>
        <w:pStyle w:val="ListParagraph"/>
        <w:numPr>
          <w:ilvl w:val="0"/>
          <w:numId w:val="161"/>
        </w:numPr>
        <w:tabs>
          <w:tab w:pos="2380" w:val="left" w:leader="none"/>
          <w:tab w:pos="2382" w:val="left" w:leader="none"/>
        </w:tabs>
        <w:spacing w:line="240" w:lineRule="auto" w:before="4" w:after="0"/>
        <w:ind w:left="2381" w:right="211" w:hanging="794"/>
        <w:jc w:val="left"/>
        <w:rPr>
          <w:sz w:val="13"/>
        </w:rPr>
      </w:pPr>
      <w:r>
        <w:rPr>
          <w:w w:val="105"/>
          <w:sz w:val="13"/>
        </w:rPr>
        <w:t>Ibid pts 1A, 2; Department of Environment, Land, Water and Planning </w:t>
      </w:r>
      <w:r>
        <w:rPr>
          <w:spacing w:val="2"/>
          <w:w w:val="105"/>
          <w:sz w:val="13"/>
        </w:rPr>
        <w:t>(Vic), </w:t>
      </w:r>
      <w:r>
        <w:rPr>
          <w:i/>
          <w:w w:val="105"/>
          <w:sz w:val="13"/>
        </w:rPr>
        <w:t>A Practitioner’s Guide to Victorian Planning Schemes, </w:t>
      </w:r>
      <w:r>
        <w:rPr>
          <w:w w:val="105"/>
          <w:sz w:val="13"/>
        </w:rPr>
        <w:t>(Version </w:t>
      </w:r>
      <w:r>
        <w:rPr>
          <w:spacing w:val="-5"/>
          <w:w w:val="105"/>
          <w:sz w:val="13"/>
        </w:rPr>
        <w:t>1.1, </w:t>
      </w:r>
      <w:r>
        <w:rPr>
          <w:w w:val="105"/>
          <w:sz w:val="13"/>
        </w:rPr>
        <w:t>October 2018) </w:t>
      </w:r>
      <w:r>
        <w:rPr>
          <w:spacing w:val="3"/>
          <w:w w:val="105"/>
          <w:sz w:val="13"/>
        </w:rPr>
        <w:t>[2.2]-[2.4] </w:t>
      </w:r>
      <w:r>
        <w:rPr>
          <w:spacing w:val="2"/>
          <w:w w:val="105"/>
          <w:sz w:val="13"/>
        </w:rPr>
        <w:t>&lt;https://</w:t>
      </w:r>
      <w:hyperlink r:id="rId255">
        <w:r>
          <w:rPr>
            <w:spacing w:val="2"/>
            <w:w w:val="105"/>
            <w:sz w:val="13"/>
          </w:rPr>
          <w:t>www.planning.vic.gov.au/guide-home/a-practitioners-guide-to-victorian-planning-</w:t>
        </w:r>
      </w:hyperlink>
      <w:r>
        <w:rPr>
          <w:spacing w:val="2"/>
          <w:w w:val="105"/>
          <w:sz w:val="13"/>
        </w:rPr>
        <w:t> </w:t>
      </w:r>
      <w:r>
        <w:rPr>
          <w:w w:val="105"/>
          <w:sz w:val="13"/>
        </w:rPr>
        <w:t>schemes&gt;;</w:t>
      </w:r>
      <w:r>
        <w:rPr>
          <w:spacing w:val="5"/>
          <w:w w:val="105"/>
          <w:sz w:val="13"/>
        </w:rPr>
        <w:t> </w:t>
      </w:r>
      <w:r>
        <w:rPr>
          <w:w w:val="105"/>
          <w:sz w:val="13"/>
        </w:rPr>
        <w:t>see</w:t>
      </w:r>
      <w:r>
        <w:rPr>
          <w:spacing w:val="5"/>
          <w:w w:val="105"/>
          <w:sz w:val="13"/>
        </w:rPr>
        <w:t> </w:t>
      </w:r>
      <w:r>
        <w:rPr>
          <w:w w:val="105"/>
          <w:sz w:val="13"/>
        </w:rPr>
        <w:t>also</w:t>
      </w:r>
      <w:r>
        <w:rPr>
          <w:spacing w:val="5"/>
          <w:w w:val="105"/>
          <w:sz w:val="13"/>
        </w:rPr>
        <w:t> </w:t>
      </w:r>
      <w:r>
        <w:rPr>
          <w:w w:val="105"/>
          <w:sz w:val="13"/>
        </w:rPr>
        <w:t>Stephen</w:t>
      </w:r>
      <w:r>
        <w:rPr>
          <w:spacing w:val="5"/>
          <w:w w:val="105"/>
          <w:sz w:val="13"/>
        </w:rPr>
        <w:t> </w:t>
      </w:r>
      <w:r>
        <w:rPr>
          <w:w w:val="105"/>
          <w:sz w:val="13"/>
        </w:rPr>
        <w:t>Rowley,</w:t>
      </w:r>
      <w:r>
        <w:rPr>
          <w:spacing w:val="5"/>
          <w:w w:val="105"/>
          <w:sz w:val="13"/>
        </w:rPr>
        <w:t> </w:t>
      </w:r>
      <w:r>
        <w:rPr>
          <w:i/>
          <w:w w:val="105"/>
          <w:sz w:val="13"/>
        </w:rPr>
        <w:t>The</w:t>
      </w:r>
      <w:r>
        <w:rPr>
          <w:i/>
          <w:spacing w:val="5"/>
          <w:w w:val="105"/>
          <w:sz w:val="13"/>
        </w:rPr>
        <w:t> </w:t>
      </w:r>
      <w:r>
        <w:rPr>
          <w:i/>
          <w:w w:val="105"/>
          <w:sz w:val="13"/>
        </w:rPr>
        <w:t>Victorian</w:t>
      </w:r>
      <w:r>
        <w:rPr>
          <w:i/>
          <w:spacing w:val="5"/>
          <w:w w:val="105"/>
          <w:sz w:val="13"/>
        </w:rPr>
        <w:t> </w:t>
      </w:r>
      <w:r>
        <w:rPr>
          <w:i/>
          <w:w w:val="105"/>
          <w:sz w:val="13"/>
        </w:rPr>
        <w:t>Planning</w:t>
      </w:r>
      <w:r>
        <w:rPr>
          <w:i/>
          <w:spacing w:val="5"/>
          <w:w w:val="105"/>
          <w:sz w:val="13"/>
        </w:rPr>
        <w:t> </w:t>
      </w:r>
      <w:r>
        <w:rPr>
          <w:i/>
          <w:w w:val="105"/>
          <w:sz w:val="13"/>
        </w:rPr>
        <w:t>System:</w:t>
      </w:r>
      <w:r>
        <w:rPr>
          <w:i/>
          <w:spacing w:val="5"/>
          <w:w w:val="105"/>
          <w:sz w:val="13"/>
        </w:rPr>
        <w:t> </w:t>
      </w:r>
      <w:r>
        <w:rPr>
          <w:i/>
          <w:w w:val="105"/>
          <w:sz w:val="13"/>
        </w:rPr>
        <w:t>Practice,</w:t>
      </w:r>
      <w:r>
        <w:rPr>
          <w:i/>
          <w:spacing w:val="5"/>
          <w:w w:val="105"/>
          <w:sz w:val="13"/>
        </w:rPr>
        <w:t> </w:t>
      </w:r>
      <w:r>
        <w:rPr>
          <w:i/>
          <w:w w:val="105"/>
          <w:sz w:val="13"/>
        </w:rPr>
        <w:t>Problems</w:t>
      </w:r>
      <w:r>
        <w:rPr>
          <w:i/>
          <w:spacing w:val="6"/>
          <w:w w:val="105"/>
          <w:sz w:val="13"/>
        </w:rPr>
        <w:t> </w:t>
      </w:r>
      <w:r>
        <w:rPr>
          <w:i/>
          <w:w w:val="105"/>
          <w:sz w:val="13"/>
        </w:rPr>
        <w:t>and</w:t>
      </w:r>
      <w:r>
        <w:rPr>
          <w:i/>
          <w:spacing w:val="5"/>
          <w:w w:val="105"/>
          <w:sz w:val="13"/>
        </w:rPr>
        <w:t> </w:t>
      </w:r>
      <w:r>
        <w:rPr>
          <w:i/>
          <w:w w:val="105"/>
          <w:sz w:val="13"/>
        </w:rPr>
        <w:t>Prospects</w:t>
      </w:r>
      <w:r>
        <w:rPr>
          <w:i/>
          <w:spacing w:val="5"/>
          <w:w w:val="105"/>
          <w:sz w:val="13"/>
        </w:rPr>
        <w:t> </w:t>
      </w:r>
      <w:r>
        <w:rPr>
          <w:spacing w:val="2"/>
          <w:w w:val="105"/>
          <w:sz w:val="13"/>
        </w:rPr>
        <w:t>(The</w:t>
      </w:r>
      <w:r>
        <w:rPr>
          <w:spacing w:val="5"/>
          <w:w w:val="105"/>
          <w:sz w:val="13"/>
        </w:rPr>
        <w:t> </w:t>
      </w:r>
      <w:r>
        <w:rPr>
          <w:w w:val="105"/>
          <w:sz w:val="13"/>
        </w:rPr>
        <w:t>Federation</w:t>
      </w:r>
      <w:r>
        <w:rPr>
          <w:spacing w:val="5"/>
          <w:w w:val="105"/>
          <w:sz w:val="13"/>
        </w:rPr>
        <w:t> </w:t>
      </w:r>
      <w:r>
        <w:rPr>
          <w:w w:val="105"/>
          <w:sz w:val="13"/>
        </w:rPr>
        <w:t>Press,</w:t>
      </w:r>
      <w:r>
        <w:rPr>
          <w:spacing w:val="5"/>
          <w:w w:val="105"/>
          <w:sz w:val="13"/>
        </w:rPr>
        <w:t> </w:t>
      </w:r>
      <w:r>
        <w:rPr>
          <w:w w:val="105"/>
          <w:sz w:val="13"/>
        </w:rPr>
        <w:t>2017)</w:t>
      </w:r>
      <w:r>
        <w:rPr>
          <w:spacing w:val="5"/>
          <w:w w:val="105"/>
          <w:sz w:val="13"/>
        </w:rPr>
        <w:t> </w:t>
      </w:r>
      <w:r>
        <w:rPr>
          <w:w w:val="105"/>
          <w:sz w:val="13"/>
        </w:rPr>
        <w:t>23.</w:t>
      </w:r>
    </w:p>
    <w:p>
      <w:pPr>
        <w:pStyle w:val="ListParagraph"/>
        <w:numPr>
          <w:ilvl w:val="0"/>
          <w:numId w:val="161"/>
        </w:numPr>
        <w:tabs>
          <w:tab w:pos="2380" w:val="left" w:leader="none"/>
          <w:tab w:pos="2382" w:val="left" w:leader="none"/>
        </w:tabs>
        <w:spacing w:line="240" w:lineRule="auto" w:before="4" w:after="0"/>
        <w:ind w:left="2381" w:right="0" w:hanging="794"/>
        <w:jc w:val="left"/>
        <w:rPr>
          <w:sz w:val="13"/>
        </w:rPr>
      </w:pPr>
      <w:r>
        <w:rPr>
          <w:i/>
          <w:w w:val="105"/>
          <w:sz w:val="13"/>
        </w:rPr>
        <w:t>Planning</w:t>
      </w:r>
      <w:r>
        <w:rPr>
          <w:i/>
          <w:spacing w:val="4"/>
          <w:w w:val="105"/>
          <w:sz w:val="13"/>
        </w:rPr>
        <w:t> </w:t>
      </w:r>
      <w:r>
        <w:rPr>
          <w:i/>
          <w:w w:val="105"/>
          <w:sz w:val="13"/>
        </w:rPr>
        <w:t>and</w:t>
      </w:r>
      <w:r>
        <w:rPr>
          <w:i/>
          <w:spacing w:val="5"/>
          <w:w w:val="105"/>
          <w:sz w:val="13"/>
        </w:rPr>
        <w:t> </w:t>
      </w:r>
      <w:r>
        <w:rPr>
          <w:i/>
          <w:w w:val="105"/>
          <w:sz w:val="13"/>
        </w:rPr>
        <w:t>Environment</w:t>
      </w:r>
      <w:r>
        <w:rPr>
          <w:i/>
          <w:spacing w:val="5"/>
          <w:w w:val="105"/>
          <w:sz w:val="13"/>
        </w:rPr>
        <w:t> </w:t>
      </w:r>
      <w:r>
        <w:rPr>
          <w:i/>
          <w:w w:val="105"/>
          <w:sz w:val="13"/>
        </w:rPr>
        <w:t>Act</w:t>
      </w:r>
      <w:r>
        <w:rPr>
          <w:i/>
          <w:spacing w:val="5"/>
          <w:w w:val="105"/>
          <w:sz w:val="13"/>
        </w:rPr>
        <w:t> </w:t>
      </w:r>
      <w:r>
        <w:rPr>
          <w:i/>
          <w:w w:val="105"/>
          <w:sz w:val="13"/>
        </w:rPr>
        <w:t>1987</w:t>
      </w:r>
      <w:r>
        <w:rPr>
          <w:i/>
          <w:spacing w:val="5"/>
          <w:w w:val="105"/>
          <w:sz w:val="13"/>
        </w:rPr>
        <w:t> </w:t>
      </w:r>
      <w:r>
        <w:rPr>
          <w:spacing w:val="2"/>
          <w:w w:val="105"/>
          <w:sz w:val="13"/>
        </w:rPr>
        <w:t>(Vic)</w:t>
      </w:r>
      <w:r>
        <w:rPr>
          <w:spacing w:val="5"/>
          <w:w w:val="105"/>
          <w:sz w:val="13"/>
        </w:rPr>
        <w:t> </w:t>
      </w:r>
      <w:r>
        <w:rPr>
          <w:w w:val="105"/>
          <w:sz w:val="13"/>
        </w:rPr>
        <w:t>pt</w:t>
      </w:r>
      <w:r>
        <w:rPr>
          <w:spacing w:val="5"/>
          <w:w w:val="105"/>
          <w:sz w:val="13"/>
        </w:rPr>
        <w:t> </w:t>
      </w:r>
      <w:r>
        <w:rPr>
          <w:w w:val="105"/>
          <w:sz w:val="13"/>
        </w:rPr>
        <w:t>1A.</w:t>
      </w:r>
      <w:r>
        <w:rPr>
          <w:spacing w:val="4"/>
          <w:w w:val="105"/>
          <w:sz w:val="13"/>
        </w:rPr>
        <w:t> </w:t>
      </w:r>
      <w:r>
        <w:rPr>
          <w:w w:val="105"/>
          <w:sz w:val="13"/>
        </w:rPr>
        <w:t>These</w:t>
      </w:r>
      <w:r>
        <w:rPr>
          <w:spacing w:val="5"/>
          <w:w w:val="105"/>
          <w:sz w:val="13"/>
        </w:rPr>
        <w:t> </w:t>
      </w:r>
      <w:r>
        <w:rPr>
          <w:w w:val="105"/>
          <w:sz w:val="13"/>
        </w:rPr>
        <w:t>provisions</w:t>
      </w:r>
      <w:r>
        <w:rPr>
          <w:spacing w:val="5"/>
          <w:w w:val="105"/>
          <w:sz w:val="13"/>
        </w:rPr>
        <w:t> </w:t>
      </w:r>
      <w:r>
        <w:rPr>
          <w:w w:val="105"/>
          <w:sz w:val="13"/>
        </w:rPr>
        <w:t>are</w:t>
      </w:r>
      <w:r>
        <w:rPr>
          <w:spacing w:val="5"/>
          <w:w w:val="105"/>
          <w:sz w:val="13"/>
        </w:rPr>
        <w:t> </w:t>
      </w:r>
      <w:r>
        <w:rPr>
          <w:w w:val="105"/>
          <w:sz w:val="13"/>
        </w:rPr>
        <w:t>under</w:t>
      </w:r>
      <w:r>
        <w:rPr>
          <w:spacing w:val="5"/>
          <w:w w:val="105"/>
          <w:sz w:val="13"/>
        </w:rPr>
        <w:t> </w:t>
      </w:r>
      <w:r>
        <w:rPr>
          <w:w w:val="105"/>
          <w:sz w:val="13"/>
        </w:rPr>
        <w:t>the</w:t>
      </w:r>
      <w:r>
        <w:rPr>
          <w:spacing w:val="5"/>
          <w:w w:val="105"/>
          <w:sz w:val="13"/>
        </w:rPr>
        <w:t> </w:t>
      </w:r>
      <w:r>
        <w:rPr>
          <w:w w:val="105"/>
          <w:sz w:val="13"/>
        </w:rPr>
        <w:t>central</w:t>
      </w:r>
      <w:r>
        <w:rPr>
          <w:spacing w:val="5"/>
          <w:w w:val="105"/>
          <w:sz w:val="13"/>
        </w:rPr>
        <w:t> </w:t>
      </w:r>
      <w:r>
        <w:rPr>
          <w:w w:val="105"/>
          <w:sz w:val="13"/>
        </w:rPr>
        <w:t>control</w:t>
      </w:r>
      <w:r>
        <w:rPr>
          <w:spacing w:val="4"/>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Minister</w:t>
      </w:r>
      <w:r>
        <w:rPr>
          <w:spacing w:val="5"/>
          <w:w w:val="105"/>
          <w:sz w:val="13"/>
        </w:rPr>
        <w:t> </w:t>
      </w:r>
      <w:r>
        <w:rPr>
          <w:w w:val="105"/>
          <w:sz w:val="13"/>
        </w:rPr>
        <w:t>for</w:t>
      </w:r>
      <w:r>
        <w:rPr>
          <w:spacing w:val="5"/>
          <w:w w:val="105"/>
          <w:sz w:val="13"/>
        </w:rPr>
        <w:t> </w:t>
      </w:r>
      <w:r>
        <w:rPr>
          <w:w w:val="105"/>
          <w:sz w:val="13"/>
        </w:rPr>
        <w:t>Planning.</w:t>
      </w:r>
    </w:p>
    <w:p>
      <w:pPr>
        <w:pStyle w:val="ListParagraph"/>
        <w:numPr>
          <w:ilvl w:val="0"/>
          <w:numId w:val="161"/>
        </w:numPr>
        <w:tabs>
          <w:tab w:pos="2380" w:val="left" w:leader="none"/>
          <w:tab w:pos="2382" w:val="left" w:leader="none"/>
        </w:tabs>
        <w:spacing w:line="240" w:lineRule="auto" w:before="1" w:after="0"/>
        <w:ind w:left="2381" w:right="0" w:hanging="794"/>
        <w:jc w:val="left"/>
        <w:rPr>
          <w:sz w:val="13"/>
        </w:rPr>
      </w:pPr>
      <w:r>
        <w:rPr>
          <w:w w:val="105"/>
          <w:sz w:val="13"/>
        </w:rPr>
        <w:t>Department</w:t>
      </w:r>
      <w:r>
        <w:rPr>
          <w:spacing w:val="5"/>
          <w:w w:val="105"/>
          <w:sz w:val="13"/>
        </w:rPr>
        <w:t> </w:t>
      </w:r>
      <w:r>
        <w:rPr>
          <w:w w:val="105"/>
          <w:sz w:val="13"/>
        </w:rPr>
        <w:t>of</w:t>
      </w:r>
      <w:r>
        <w:rPr>
          <w:spacing w:val="6"/>
          <w:w w:val="105"/>
          <w:sz w:val="13"/>
        </w:rPr>
        <w:t> </w:t>
      </w:r>
      <w:r>
        <w:rPr>
          <w:w w:val="105"/>
          <w:sz w:val="13"/>
        </w:rPr>
        <w:t>Environment,</w:t>
      </w:r>
      <w:r>
        <w:rPr>
          <w:spacing w:val="6"/>
          <w:w w:val="105"/>
          <w:sz w:val="13"/>
        </w:rPr>
        <w:t> </w:t>
      </w:r>
      <w:r>
        <w:rPr>
          <w:w w:val="105"/>
          <w:sz w:val="13"/>
        </w:rPr>
        <w:t>Land,</w:t>
      </w:r>
      <w:r>
        <w:rPr>
          <w:spacing w:val="6"/>
          <w:w w:val="105"/>
          <w:sz w:val="13"/>
        </w:rPr>
        <w:t> </w:t>
      </w:r>
      <w:r>
        <w:rPr>
          <w:w w:val="105"/>
          <w:sz w:val="13"/>
        </w:rPr>
        <w:t>Water</w:t>
      </w:r>
      <w:r>
        <w:rPr>
          <w:spacing w:val="5"/>
          <w:w w:val="105"/>
          <w:sz w:val="13"/>
        </w:rPr>
        <w:t> </w:t>
      </w:r>
      <w:r>
        <w:rPr>
          <w:w w:val="105"/>
          <w:sz w:val="13"/>
        </w:rPr>
        <w:t>and</w:t>
      </w:r>
      <w:r>
        <w:rPr>
          <w:spacing w:val="6"/>
          <w:w w:val="105"/>
          <w:sz w:val="13"/>
        </w:rPr>
        <w:t> </w:t>
      </w:r>
      <w:r>
        <w:rPr>
          <w:w w:val="105"/>
          <w:sz w:val="13"/>
        </w:rPr>
        <w:t>Planning</w:t>
      </w:r>
      <w:r>
        <w:rPr>
          <w:spacing w:val="6"/>
          <w:w w:val="105"/>
          <w:sz w:val="13"/>
        </w:rPr>
        <w:t> </w:t>
      </w:r>
      <w:r>
        <w:rPr>
          <w:spacing w:val="2"/>
          <w:w w:val="105"/>
          <w:sz w:val="13"/>
        </w:rPr>
        <w:t>(Vic),</w:t>
      </w:r>
      <w:r>
        <w:rPr>
          <w:spacing w:val="6"/>
          <w:w w:val="105"/>
          <w:sz w:val="13"/>
        </w:rPr>
        <w:t> </w:t>
      </w:r>
      <w:r>
        <w:rPr>
          <w:i/>
          <w:w w:val="105"/>
          <w:sz w:val="13"/>
        </w:rPr>
        <w:t>Using</w:t>
      </w:r>
      <w:r>
        <w:rPr>
          <w:i/>
          <w:spacing w:val="5"/>
          <w:w w:val="105"/>
          <w:sz w:val="13"/>
        </w:rPr>
        <w:t> </w:t>
      </w:r>
      <w:r>
        <w:rPr>
          <w:i/>
          <w:w w:val="105"/>
          <w:sz w:val="13"/>
        </w:rPr>
        <w:t>Victoria’s</w:t>
      </w:r>
      <w:r>
        <w:rPr>
          <w:i/>
          <w:spacing w:val="6"/>
          <w:w w:val="105"/>
          <w:sz w:val="13"/>
        </w:rPr>
        <w:t> </w:t>
      </w:r>
      <w:r>
        <w:rPr>
          <w:i/>
          <w:w w:val="105"/>
          <w:sz w:val="13"/>
        </w:rPr>
        <w:t>Planning</w:t>
      </w:r>
      <w:r>
        <w:rPr>
          <w:i/>
          <w:spacing w:val="6"/>
          <w:w w:val="105"/>
          <w:sz w:val="13"/>
        </w:rPr>
        <w:t> </w:t>
      </w:r>
      <w:r>
        <w:rPr>
          <w:i/>
          <w:w w:val="105"/>
          <w:sz w:val="13"/>
        </w:rPr>
        <w:t>System</w:t>
      </w:r>
      <w:r>
        <w:rPr>
          <w:i/>
          <w:spacing w:val="6"/>
          <w:w w:val="105"/>
          <w:sz w:val="13"/>
        </w:rPr>
        <w:t> </w:t>
      </w:r>
      <w:r>
        <w:rPr>
          <w:w w:val="105"/>
          <w:sz w:val="13"/>
        </w:rPr>
        <w:t>(Guide,</w:t>
      </w:r>
      <w:r>
        <w:rPr>
          <w:spacing w:val="5"/>
          <w:w w:val="105"/>
          <w:sz w:val="13"/>
        </w:rPr>
        <w:t> </w:t>
      </w:r>
      <w:r>
        <w:rPr>
          <w:w w:val="105"/>
          <w:sz w:val="13"/>
        </w:rPr>
        <w:t>28</w:t>
      </w:r>
      <w:r>
        <w:rPr>
          <w:spacing w:val="6"/>
          <w:w w:val="105"/>
          <w:sz w:val="13"/>
        </w:rPr>
        <w:t> </w:t>
      </w:r>
      <w:r>
        <w:rPr>
          <w:w w:val="105"/>
          <w:sz w:val="13"/>
        </w:rPr>
        <w:t>May</w:t>
      </w:r>
      <w:r>
        <w:rPr>
          <w:spacing w:val="6"/>
          <w:w w:val="105"/>
          <w:sz w:val="13"/>
        </w:rPr>
        <w:t> </w:t>
      </w:r>
      <w:r>
        <w:rPr>
          <w:w w:val="105"/>
          <w:sz w:val="13"/>
        </w:rPr>
        <w:t>2015)</w:t>
      </w:r>
      <w:r>
        <w:rPr>
          <w:spacing w:val="6"/>
          <w:w w:val="105"/>
          <w:sz w:val="13"/>
        </w:rPr>
        <w:t> </w:t>
      </w:r>
      <w:r>
        <w:rPr>
          <w:w w:val="105"/>
          <w:sz w:val="13"/>
        </w:rPr>
        <w:t>[1.8.7]</w:t>
      </w:r>
    </w:p>
    <w:p>
      <w:pPr>
        <w:spacing w:before="1"/>
        <w:ind w:left="2381" w:right="269" w:firstLine="0"/>
        <w:jc w:val="left"/>
        <w:rPr>
          <w:sz w:val="13"/>
        </w:rPr>
      </w:pPr>
      <w:r>
        <w:rPr>
          <w:w w:val="105"/>
          <w:sz w:val="13"/>
        </w:rPr>
        <w:t>&lt;https://</w:t>
      </w:r>
      <w:hyperlink r:id="rId95">
        <w:r>
          <w:rPr>
            <w:w w:val="105"/>
            <w:sz w:val="13"/>
          </w:rPr>
          <w:t>www.planning.vic.gov.au/guide-home/using-victorias-planning-system</w:t>
        </w:r>
      </w:hyperlink>
      <w:r>
        <w:rPr>
          <w:w w:val="105"/>
          <w:sz w:val="13"/>
        </w:rPr>
        <w:t>&gt;; see also Department of Environment, Land, Water and Planning (Vic), </w:t>
      </w:r>
      <w:r>
        <w:rPr>
          <w:i/>
          <w:w w:val="105"/>
          <w:sz w:val="13"/>
        </w:rPr>
        <w:t>A Practitioner’s Guide to Victorian Planning Schemes </w:t>
      </w:r>
      <w:r>
        <w:rPr>
          <w:w w:val="105"/>
          <w:sz w:val="13"/>
        </w:rPr>
        <w:t>(Version 1.1, October 2018) [6.5.3].</w:t>
      </w:r>
    </w:p>
    <w:p>
      <w:pPr>
        <w:pStyle w:val="ListParagraph"/>
        <w:numPr>
          <w:ilvl w:val="0"/>
          <w:numId w:val="161"/>
        </w:numPr>
        <w:tabs>
          <w:tab w:pos="2380" w:val="left" w:leader="none"/>
          <w:tab w:pos="2382" w:val="left" w:leader="none"/>
        </w:tabs>
        <w:spacing w:line="240" w:lineRule="auto" w:before="3" w:after="0"/>
        <w:ind w:left="2381" w:right="0" w:hanging="794"/>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6"/>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6"/>
          <w:w w:val="105"/>
          <w:sz w:val="13"/>
        </w:rPr>
        <w:t> </w:t>
      </w:r>
      <w:r>
        <w:rPr>
          <w:spacing w:val="2"/>
          <w:w w:val="105"/>
          <w:sz w:val="13"/>
        </w:rPr>
        <w:t>(Vic),</w:t>
      </w:r>
      <w:r>
        <w:rPr>
          <w:spacing w:val="5"/>
          <w:w w:val="105"/>
          <w:sz w:val="13"/>
        </w:rPr>
        <w:t> </w:t>
      </w:r>
      <w:r>
        <w:rPr>
          <w:i/>
          <w:w w:val="105"/>
          <w:sz w:val="13"/>
        </w:rPr>
        <w:t>Victoria</w:t>
      </w:r>
      <w:r>
        <w:rPr>
          <w:i/>
          <w:spacing w:val="5"/>
          <w:w w:val="105"/>
          <w:sz w:val="13"/>
        </w:rPr>
        <w:t> </w:t>
      </w:r>
      <w:r>
        <w:rPr>
          <w:i/>
          <w:w w:val="105"/>
          <w:sz w:val="13"/>
        </w:rPr>
        <w:t>Planning</w:t>
      </w:r>
      <w:r>
        <w:rPr>
          <w:i/>
          <w:spacing w:val="5"/>
          <w:w w:val="105"/>
          <w:sz w:val="13"/>
        </w:rPr>
        <w:t> </w:t>
      </w:r>
      <w:r>
        <w:rPr>
          <w:i/>
          <w:w w:val="105"/>
          <w:sz w:val="13"/>
        </w:rPr>
        <w:t>Provisions</w:t>
      </w:r>
      <w:r>
        <w:rPr>
          <w:i/>
          <w:spacing w:val="6"/>
          <w:w w:val="105"/>
          <w:sz w:val="13"/>
        </w:rPr>
        <w:t> </w:t>
      </w:r>
      <w:r>
        <w:rPr>
          <w:spacing w:val="-5"/>
          <w:w w:val="105"/>
          <w:sz w:val="13"/>
        </w:rPr>
        <w:t>(11</w:t>
      </w:r>
      <w:r>
        <w:rPr>
          <w:spacing w:val="5"/>
          <w:w w:val="105"/>
          <w:sz w:val="13"/>
        </w:rPr>
        <w:t> </w:t>
      </w:r>
      <w:r>
        <w:rPr>
          <w:w w:val="105"/>
          <w:sz w:val="13"/>
        </w:rPr>
        <w:t>April</w:t>
      </w:r>
      <w:r>
        <w:rPr>
          <w:spacing w:val="5"/>
          <w:w w:val="105"/>
          <w:sz w:val="13"/>
        </w:rPr>
        <w:t> </w:t>
      </w:r>
      <w:r>
        <w:rPr>
          <w:w w:val="105"/>
          <w:sz w:val="13"/>
        </w:rPr>
        <w:t>2019),</w:t>
      </w:r>
      <w:r>
        <w:rPr>
          <w:spacing w:val="6"/>
          <w:w w:val="105"/>
          <w:sz w:val="13"/>
        </w:rPr>
        <w:t> </w:t>
      </w:r>
      <w:r>
        <w:rPr>
          <w:w w:val="105"/>
          <w:sz w:val="13"/>
        </w:rPr>
        <w:t>cl</w:t>
      </w:r>
      <w:r>
        <w:rPr>
          <w:spacing w:val="5"/>
          <w:w w:val="105"/>
          <w:sz w:val="13"/>
        </w:rPr>
        <w:t> </w:t>
      </w:r>
      <w:r>
        <w:rPr>
          <w:spacing w:val="-5"/>
          <w:w w:val="105"/>
          <w:sz w:val="13"/>
        </w:rPr>
        <w:t>52.17.</w:t>
      </w:r>
    </w:p>
    <w:p>
      <w:pPr>
        <w:pStyle w:val="ListParagraph"/>
        <w:numPr>
          <w:ilvl w:val="0"/>
          <w:numId w:val="161"/>
        </w:numPr>
        <w:tabs>
          <w:tab w:pos="2380" w:val="left" w:leader="none"/>
          <w:tab w:pos="2382" w:val="left" w:leader="none"/>
        </w:tabs>
        <w:spacing w:line="240" w:lineRule="auto" w:before="1" w:after="0"/>
        <w:ind w:left="2381" w:right="0" w:hanging="794"/>
        <w:jc w:val="left"/>
        <w:rPr>
          <w:i/>
          <w:sz w:val="13"/>
        </w:rPr>
      </w:pPr>
      <w:r>
        <w:rPr>
          <w:i/>
          <w:w w:val="105"/>
          <w:sz w:val="13"/>
        </w:rPr>
        <w:t>Planning</w:t>
      </w:r>
      <w:r>
        <w:rPr>
          <w:i/>
          <w:spacing w:val="5"/>
          <w:w w:val="105"/>
          <w:sz w:val="13"/>
        </w:rPr>
        <w:t> </w:t>
      </w:r>
      <w:r>
        <w:rPr>
          <w:i/>
          <w:w w:val="105"/>
          <w:sz w:val="13"/>
        </w:rPr>
        <w:t>and</w:t>
      </w:r>
      <w:r>
        <w:rPr>
          <w:i/>
          <w:spacing w:val="6"/>
          <w:w w:val="105"/>
          <w:sz w:val="13"/>
        </w:rPr>
        <w:t> </w:t>
      </w:r>
      <w:r>
        <w:rPr>
          <w:i/>
          <w:w w:val="105"/>
          <w:sz w:val="13"/>
        </w:rPr>
        <w:t>Environment</w:t>
      </w:r>
      <w:r>
        <w:rPr>
          <w:i/>
          <w:spacing w:val="6"/>
          <w:w w:val="105"/>
          <w:sz w:val="13"/>
        </w:rPr>
        <w:t> </w:t>
      </w:r>
      <w:r>
        <w:rPr>
          <w:i/>
          <w:w w:val="105"/>
          <w:sz w:val="13"/>
        </w:rPr>
        <w:t>Act</w:t>
      </w:r>
      <w:r>
        <w:rPr>
          <w:i/>
          <w:spacing w:val="6"/>
          <w:w w:val="105"/>
          <w:sz w:val="13"/>
        </w:rPr>
        <w:t> </w:t>
      </w:r>
      <w:r>
        <w:rPr>
          <w:i/>
          <w:w w:val="105"/>
          <w:sz w:val="13"/>
        </w:rPr>
        <w:t>1987</w:t>
      </w:r>
      <w:r>
        <w:rPr>
          <w:i/>
          <w:spacing w:val="5"/>
          <w:w w:val="105"/>
          <w:sz w:val="13"/>
        </w:rPr>
        <w:t> </w:t>
      </w:r>
      <w:r>
        <w:rPr>
          <w:spacing w:val="2"/>
          <w:w w:val="105"/>
          <w:sz w:val="13"/>
        </w:rPr>
        <w:t>(Vic)</w:t>
      </w:r>
      <w:r>
        <w:rPr>
          <w:spacing w:val="6"/>
          <w:w w:val="105"/>
          <w:sz w:val="13"/>
        </w:rPr>
        <w:t> </w:t>
      </w:r>
      <w:r>
        <w:rPr>
          <w:w w:val="105"/>
          <w:sz w:val="13"/>
        </w:rPr>
        <w:t>ss</w:t>
      </w:r>
      <w:r>
        <w:rPr>
          <w:spacing w:val="6"/>
          <w:w w:val="105"/>
          <w:sz w:val="13"/>
        </w:rPr>
        <w:t> </w:t>
      </w:r>
      <w:r>
        <w:rPr>
          <w:w w:val="105"/>
          <w:sz w:val="13"/>
        </w:rPr>
        <w:t>6–7;</w:t>
      </w:r>
      <w:r>
        <w:rPr>
          <w:spacing w:val="6"/>
          <w:w w:val="105"/>
          <w:sz w:val="13"/>
        </w:rPr>
        <w:t> </w:t>
      </w:r>
      <w:r>
        <w:rPr>
          <w:w w:val="105"/>
          <w:sz w:val="13"/>
        </w:rPr>
        <w:t>see,</w:t>
      </w:r>
      <w:r>
        <w:rPr>
          <w:spacing w:val="6"/>
          <w:w w:val="105"/>
          <w:sz w:val="13"/>
        </w:rPr>
        <w:t> </w:t>
      </w:r>
      <w:r>
        <w:rPr>
          <w:w w:val="105"/>
          <w:sz w:val="13"/>
        </w:rPr>
        <w:t>eg,</w:t>
      </w:r>
      <w:r>
        <w:rPr>
          <w:spacing w:val="5"/>
          <w:w w:val="105"/>
          <w:sz w:val="13"/>
        </w:rPr>
        <w:t> </w:t>
      </w:r>
      <w:r>
        <w:rPr>
          <w:w w:val="105"/>
          <w:sz w:val="13"/>
        </w:rPr>
        <w:t>Hume</w:t>
      </w:r>
      <w:r>
        <w:rPr>
          <w:spacing w:val="6"/>
          <w:w w:val="105"/>
          <w:sz w:val="13"/>
        </w:rPr>
        <w:t> </w:t>
      </w:r>
      <w:r>
        <w:rPr>
          <w:w w:val="105"/>
          <w:sz w:val="13"/>
        </w:rPr>
        <w:t>City</w:t>
      </w:r>
      <w:r>
        <w:rPr>
          <w:spacing w:val="6"/>
          <w:w w:val="105"/>
          <w:sz w:val="13"/>
        </w:rPr>
        <w:t> </w:t>
      </w:r>
      <w:r>
        <w:rPr>
          <w:w w:val="105"/>
          <w:sz w:val="13"/>
        </w:rPr>
        <w:t>Council,</w:t>
      </w:r>
      <w:r>
        <w:rPr>
          <w:spacing w:val="6"/>
          <w:w w:val="105"/>
          <w:sz w:val="13"/>
        </w:rPr>
        <w:t> </w:t>
      </w:r>
      <w:r>
        <w:rPr>
          <w:i/>
          <w:w w:val="105"/>
          <w:sz w:val="13"/>
        </w:rPr>
        <w:t>General</w:t>
      </w:r>
      <w:r>
        <w:rPr>
          <w:i/>
          <w:spacing w:val="5"/>
          <w:w w:val="105"/>
          <w:sz w:val="13"/>
        </w:rPr>
        <w:t> </w:t>
      </w:r>
      <w:r>
        <w:rPr>
          <w:i/>
          <w:w w:val="105"/>
          <w:sz w:val="13"/>
        </w:rPr>
        <w:t>Planning</w:t>
      </w:r>
      <w:r>
        <w:rPr>
          <w:i/>
          <w:spacing w:val="6"/>
          <w:w w:val="105"/>
          <w:sz w:val="13"/>
        </w:rPr>
        <w:t> </w:t>
      </w:r>
      <w:r>
        <w:rPr>
          <w:i/>
          <w:w w:val="105"/>
          <w:sz w:val="13"/>
        </w:rPr>
        <w:t>Information</w:t>
      </w:r>
      <w:r>
        <w:rPr>
          <w:i/>
          <w:spacing w:val="6"/>
          <w:w w:val="105"/>
          <w:sz w:val="13"/>
        </w:rPr>
        <w:t> </w:t>
      </w:r>
      <w:r>
        <w:rPr>
          <w:i/>
          <w:w w:val="105"/>
          <w:sz w:val="13"/>
        </w:rPr>
        <w:t>Fact</w:t>
      </w:r>
      <w:r>
        <w:rPr>
          <w:i/>
          <w:spacing w:val="6"/>
          <w:w w:val="105"/>
          <w:sz w:val="13"/>
        </w:rPr>
        <w:t> </w:t>
      </w:r>
      <w:r>
        <w:rPr>
          <w:i/>
          <w:w w:val="105"/>
          <w:sz w:val="13"/>
        </w:rPr>
        <w:t>Sheet</w:t>
      </w:r>
    </w:p>
    <w:p>
      <w:pPr>
        <w:spacing w:before="2"/>
        <w:ind w:left="2381" w:right="0" w:firstLine="0"/>
        <w:jc w:val="left"/>
        <w:rPr>
          <w:sz w:val="13"/>
        </w:rPr>
      </w:pPr>
      <w:r>
        <w:rPr>
          <w:w w:val="105"/>
          <w:sz w:val="13"/>
        </w:rPr>
        <w:t>&lt;https://</w:t>
      </w:r>
      <w:hyperlink r:id="rId256">
        <w:r>
          <w:rPr>
            <w:w w:val="105"/>
            <w:sz w:val="13"/>
          </w:rPr>
          <w:t>www.hume.vic.gov.au/Building_Planning/Planning/About_Planning</w:t>
        </w:r>
      </w:hyperlink>
      <w:r>
        <w:rPr>
          <w:w w:val="105"/>
          <w:sz w:val="13"/>
        </w:rPr>
        <w:t>&gt;.</w:t>
      </w:r>
    </w:p>
    <w:p>
      <w:pPr>
        <w:pStyle w:val="ListParagraph"/>
        <w:numPr>
          <w:ilvl w:val="0"/>
          <w:numId w:val="161"/>
        </w:numPr>
        <w:tabs>
          <w:tab w:pos="2381" w:val="left" w:leader="none"/>
          <w:tab w:pos="2382" w:val="left" w:leader="none"/>
        </w:tabs>
        <w:spacing w:line="240" w:lineRule="auto" w:before="1" w:after="0"/>
        <w:ind w:left="2381" w:right="0" w:hanging="794"/>
        <w:jc w:val="left"/>
        <w:rPr>
          <w:sz w:val="13"/>
        </w:rPr>
      </w:pPr>
      <w:r>
        <w:rPr>
          <w:w w:val="105"/>
          <w:sz w:val="13"/>
        </w:rPr>
        <w:t>See generally </w:t>
      </w:r>
      <w:r>
        <w:rPr>
          <w:i/>
          <w:w w:val="105"/>
          <w:sz w:val="13"/>
        </w:rPr>
        <w:t>Planning and Environment Act 1987 </w:t>
      </w:r>
      <w:r>
        <w:rPr>
          <w:spacing w:val="2"/>
          <w:w w:val="105"/>
          <w:sz w:val="13"/>
        </w:rPr>
        <w:t>(Vic) </w:t>
      </w:r>
      <w:r>
        <w:rPr>
          <w:w w:val="105"/>
          <w:sz w:val="13"/>
        </w:rPr>
        <w:t>s</w:t>
      </w:r>
      <w:r>
        <w:rPr>
          <w:spacing w:val="9"/>
          <w:w w:val="105"/>
          <w:sz w:val="13"/>
        </w:rPr>
        <w:t> </w:t>
      </w:r>
      <w:r>
        <w:rPr>
          <w:w w:val="105"/>
          <w:sz w:val="13"/>
        </w:rPr>
        <w:t>6.</w:t>
      </w:r>
    </w:p>
    <w:p>
      <w:pPr>
        <w:pStyle w:val="ListParagraph"/>
        <w:numPr>
          <w:ilvl w:val="0"/>
          <w:numId w:val="161"/>
        </w:numPr>
        <w:tabs>
          <w:tab w:pos="2381" w:val="left" w:leader="none"/>
          <w:tab w:pos="2382" w:val="left" w:leader="none"/>
        </w:tabs>
        <w:spacing w:line="240" w:lineRule="auto" w:before="1" w:after="0"/>
        <w:ind w:left="2381" w:right="0" w:hanging="794"/>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6"/>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6"/>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Victoria</w:t>
      </w:r>
      <w:r>
        <w:rPr>
          <w:i/>
          <w:spacing w:val="6"/>
          <w:w w:val="105"/>
          <w:sz w:val="13"/>
        </w:rPr>
        <w:t> </w:t>
      </w:r>
      <w:r>
        <w:rPr>
          <w:i/>
          <w:w w:val="105"/>
          <w:sz w:val="13"/>
        </w:rPr>
        <w:t>Planning</w:t>
      </w:r>
      <w:r>
        <w:rPr>
          <w:i/>
          <w:spacing w:val="5"/>
          <w:w w:val="105"/>
          <w:sz w:val="13"/>
        </w:rPr>
        <w:t> </w:t>
      </w:r>
      <w:r>
        <w:rPr>
          <w:i/>
          <w:w w:val="105"/>
          <w:sz w:val="13"/>
        </w:rPr>
        <w:t>Provisions</w:t>
      </w:r>
      <w:r>
        <w:rPr>
          <w:i/>
          <w:spacing w:val="6"/>
          <w:w w:val="105"/>
          <w:sz w:val="13"/>
        </w:rPr>
        <w:t> </w:t>
      </w:r>
      <w:r>
        <w:rPr>
          <w:spacing w:val="-5"/>
          <w:w w:val="105"/>
          <w:sz w:val="13"/>
        </w:rPr>
        <w:t>(11</w:t>
      </w:r>
      <w:r>
        <w:rPr>
          <w:spacing w:val="5"/>
          <w:w w:val="105"/>
          <w:sz w:val="13"/>
        </w:rPr>
        <w:t> </w:t>
      </w:r>
      <w:r>
        <w:rPr>
          <w:w w:val="105"/>
          <w:sz w:val="13"/>
        </w:rPr>
        <w:t>April</w:t>
      </w:r>
      <w:r>
        <w:rPr>
          <w:spacing w:val="5"/>
          <w:w w:val="105"/>
          <w:sz w:val="13"/>
        </w:rPr>
        <w:t> </w:t>
      </w:r>
      <w:r>
        <w:rPr>
          <w:w w:val="105"/>
          <w:sz w:val="13"/>
        </w:rPr>
        <w:t>2019),</w:t>
      </w:r>
      <w:r>
        <w:rPr>
          <w:spacing w:val="6"/>
          <w:w w:val="105"/>
          <w:sz w:val="13"/>
        </w:rPr>
        <w:t> </w:t>
      </w:r>
      <w:r>
        <w:rPr>
          <w:w w:val="105"/>
          <w:sz w:val="13"/>
        </w:rPr>
        <w:t>cl</w:t>
      </w:r>
      <w:r>
        <w:rPr>
          <w:spacing w:val="5"/>
          <w:w w:val="105"/>
          <w:sz w:val="13"/>
        </w:rPr>
        <w:t> </w:t>
      </w:r>
      <w:r>
        <w:rPr>
          <w:w w:val="105"/>
          <w:sz w:val="13"/>
        </w:rPr>
        <w:t>59.06.</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49"/>
        <w:ind w:left="656" w:right="579" w:firstLine="0"/>
        <w:jc w:val="center"/>
        <w:rPr>
          <w:b/>
          <w:sz w:val="24"/>
        </w:rPr>
      </w:pPr>
      <w:r>
        <w:rPr>
          <w:b/>
          <w:color w:val="658464"/>
          <w:w w:val="110"/>
          <w:sz w:val="24"/>
        </w:rPr>
        <w:t>219</w:t>
      </w:r>
    </w:p>
    <w:p>
      <w:pPr>
        <w:spacing w:after="0"/>
        <w:jc w:val="center"/>
        <w:rPr>
          <w:sz w:val="24"/>
        </w:rPr>
        <w:sectPr>
          <w:type w:val="continuous"/>
          <w:pgSz w:w="11910" w:h="16840"/>
          <w:pgMar w:top="300" w:bottom="280" w:left="0" w:right="0"/>
          <w:cols w:num="2" w:equalWidth="0">
            <w:col w:w="10193" w:space="40"/>
            <w:col w:w="1677"/>
          </w:cols>
        </w:sectPr>
      </w:pPr>
    </w:p>
    <w:p>
      <w:pPr>
        <w:pStyle w:val="BodyText"/>
        <w:spacing w:before="11"/>
        <w:rPr>
          <w:b/>
        </w:rPr>
      </w:pPr>
    </w:p>
    <w:p>
      <w:pPr>
        <w:spacing w:before="96"/>
        <w:ind w:left="1587" w:right="0" w:firstLine="0"/>
        <w:jc w:val="left"/>
        <w:rPr>
          <w:b/>
          <w:sz w:val="24"/>
        </w:rPr>
      </w:pPr>
      <w:r>
        <w:rPr>
          <w:b/>
          <w:w w:val="115"/>
          <w:sz w:val="24"/>
        </w:rPr>
        <w:t>Different policy considerations</w:t>
      </w:r>
    </w:p>
    <w:p>
      <w:pPr>
        <w:pStyle w:val="ListParagraph"/>
        <w:numPr>
          <w:ilvl w:val="1"/>
          <w:numId w:val="16"/>
        </w:numPr>
        <w:tabs>
          <w:tab w:pos="2380" w:val="left" w:leader="none"/>
          <w:tab w:pos="2381" w:val="left" w:leader="none"/>
        </w:tabs>
        <w:spacing w:line="242" w:lineRule="auto" w:before="137" w:after="0"/>
        <w:ind w:left="2381" w:right="1730" w:hanging="794"/>
        <w:jc w:val="left"/>
        <w:rPr>
          <w:sz w:val="21"/>
        </w:rPr>
      </w:pPr>
      <w:r>
        <w:rPr>
          <w:spacing w:val="-3"/>
          <w:w w:val="105"/>
          <w:sz w:val="21"/>
        </w:rPr>
        <w:t>Planning </w:t>
      </w:r>
      <w:r>
        <w:rPr>
          <w:w w:val="105"/>
          <w:sz w:val="21"/>
        </w:rPr>
        <w:t>laws </w:t>
      </w:r>
      <w:r>
        <w:rPr>
          <w:spacing w:val="-3"/>
          <w:w w:val="105"/>
          <w:sz w:val="21"/>
        </w:rPr>
        <w:t>are underpinned </w:t>
      </w:r>
      <w:r>
        <w:rPr>
          <w:w w:val="105"/>
          <w:sz w:val="21"/>
        </w:rPr>
        <w:t>by broad and complex policy </w:t>
      </w:r>
      <w:r>
        <w:rPr>
          <w:spacing w:val="-3"/>
          <w:w w:val="105"/>
          <w:sz w:val="21"/>
        </w:rPr>
        <w:t>considerations. </w:t>
      </w:r>
      <w:r>
        <w:rPr>
          <w:w w:val="105"/>
          <w:sz w:val="21"/>
        </w:rPr>
        <w:t>Section 4 of the </w:t>
      </w:r>
      <w:r>
        <w:rPr>
          <w:spacing w:val="4"/>
          <w:w w:val="105"/>
          <w:sz w:val="21"/>
        </w:rPr>
        <w:t>P&amp;E </w:t>
      </w:r>
      <w:r>
        <w:rPr>
          <w:w w:val="105"/>
          <w:sz w:val="21"/>
        </w:rPr>
        <w:t>Act lists the objectives of </w:t>
      </w:r>
      <w:r>
        <w:rPr>
          <w:spacing w:val="-3"/>
          <w:w w:val="105"/>
          <w:sz w:val="21"/>
        </w:rPr>
        <w:t>planning </w:t>
      </w:r>
      <w:r>
        <w:rPr>
          <w:w w:val="105"/>
          <w:sz w:val="21"/>
        </w:rPr>
        <w:t>law in Victoria which </w:t>
      </w:r>
      <w:r>
        <w:rPr>
          <w:spacing w:val="-3"/>
          <w:w w:val="105"/>
          <w:sz w:val="21"/>
        </w:rPr>
        <w:t>are</w:t>
      </w:r>
      <w:r>
        <w:rPr>
          <w:spacing w:val="22"/>
          <w:w w:val="105"/>
          <w:sz w:val="21"/>
        </w:rPr>
        <w:t> </w:t>
      </w:r>
      <w:r>
        <w:rPr>
          <w:w w:val="105"/>
          <w:sz w:val="21"/>
        </w:rPr>
        <w:t>to:</w:t>
      </w:r>
    </w:p>
    <w:p>
      <w:pPr>
        <w:pStyle w:val="ListParagraph"/>
        <w:numPr>
          <w:ilvl w:val="2"/>
          <w:numId w:val="16"/>
        </w:numPr>
        <w:tabs>
          <w:tab w:pos="2721" w:val="left" w:leader="none"/>
          <w:tab w:pos="2722" w:val="left" w:leader="none"/>
        </w:tabs>
        <w:spacing w:line="240" w:lineRule="auto" w:before="122" w:after="0"/>
        <w:ind w:left="2721" w:right="0" w:hanging="340"/>
        <w:jc w:val="left"/>
        <w:rPr>
          <w:sz w:val="21"/>
        </w:rPr>
      </w:pPr>
      <w:r>
        <w:rPr>
          <w:w w:val="105"/>
          <w:sz w:val="21"/>
        </w:rPr>
        <w:t>provide </w:t>
      </w:r>
      <w:r>
        <w:rPr>
          <w:spacing w:val="-3"/>
          <w:w w:val="105"/>
          <w:sz w:val="21"/>
        </w:rPr>
        <w:t>for </w:t>
      </w:r>
      <w:r>
        <w:rPr>
          <w:w w:val="105"/>
          <w:sz w:val="21"/>
        </w:rPr>
        <w:t>the </w:t>
      </w:r>
      <w:r>
        <w:rPr>
          <w:spacing w:val="-6"/>
          <w:w w:val="105"/>
          <w:sz w:val="21"/>
        </w:rPr>
        <w:t>fair, </w:t>
      </w:r>
      <w:r>
        <w:rPr>
          <w:spacing w:val="-3"/>
          <w:w w:val="105"/>
          <w:sz w:val="21"/>
        </w:rPr>
        <w:t>orderly, </w:t>
      </w:r>
      <w:r>
        <w:rPr>
          <w:w w:val="105"/>
          <w:sz w:val="21"/>
        </w:rPr>
        <w:t>economic and </w:t>
      </w:r>
      <w:r>
        <w:rPr>
          <w:spacing w:val="-3"/>
          <w:w w:val="105"/>
          <w:sz w:val="21"/>
        </w:rPr>
        <w:t>sustainable use, </w:t>
      </w:r>
      <w:r>
        <w:rPr>
          <w:w w:val="105"/>
          <w:sz w:val="21"/>
        </w:rPr>
        <w:t>and development of</w:t>
      </w:r>
      <w:r>
        <w:rPr>
          <w:spacing w:val="34"/>
          <w:w w:val="105"/>
          <w:sz w:val="21"/>
        </w:rPr>
        <w:t> </w:t>
      </w:r>
      <w:r>
        <w:rPr>
          <w:w w:val="105"/>
          <w:sz w:val="21"/>
        </w:rPr>
        <w:t>land;</w:t>
      </w:r>
    </w:p>
    <w:p>
      <w:pPr>
        <w:pStyle w:val="ListParagraph"/>
        <w:numPr>
          <w:ilvl w:val="2"/>
          <w:numId w:val="16"/>
        </w:numPr>
        <w:tabs>
          <w:tab w:pos="2721" w:val="left" w:leader="none"/>
          <w:tab w:pos="2722" w:val="left" w:leader="none"/>
        </w:tabs>
        <w:spacing w:line="242" w:lineRule="auto" w:before="89" w:after="0"/>
        <w:ind w:left="2721" w:right="1797" w:hanging="340"/>
        <w:jc w:val="left"/>
        <w:rPr>
          <w:sz w:val="21"/>
        </w:rPr>
      </w:pPr>
      <w:r>
        <w:rPr>
          <w:w w:val="105"/>
          <w:sz w:val="21"/>
        </w:rPr>
        <w:t>provide</w:t>
      </w:r>
      <w:r>
        <w:rPr>
          <w:spacing w:val="-10"/>
          <w:w w:val="105"/>
          <w:sz w:val="21"/>
        </w:rPr>
        <w:t> </w:t>
      </w:r>
      <w:r>
        <w:rPr>
          <w:spacing w:val="-3"/>
          <w:w w:val="105"/>
          <w:sz w:val="21"/>
        </w:rPr>
        <w:t>for</w:t>
      </w:r>
      <w:r>
        <w:rPr>
          <w:spacing w:val="-9"/>
          <w:w w:val="105"/>
          <w:sz w:val="21"/>
        </w:rPr>
        <w:t> </w:t>
      </w:r>
      <w:r>
        <w:rPr>
          <w:w w:val="105"/>
          <w:sz w:val="21"/>
        </w:rPr>
        <w:t>the</w:t>
      </w:r>
      <w:r>
        <w:rPr>
          <w:spacing w:val="-9"/>
          <w:w w:val="105"/>
          <w:sz w:val="21"/>
        </w:rPr>
        <w:t> </w:t>
      </w:r>
      <w:r>
        <w:rPr>
          <w:w w:val="105"/>
          <w:sz w:val="21"/>
        </w:rPr>
        <w:t>protection</w:t>
      </w:r>
      <w:r>
        <w:rPr>
          <w:spacing w:val="-10"/>
          <w:w w:val="105"/>
          <w:sz w:val="21"/>
        </w:rPr>
        <w:t> </w:t>
      </w:r>
      <w:r>
        <w:rPr>
          <w:w w:val="105"/>
          <w:sz w:val="21"/>
        </w:rPr>
        <w:t>of</w:t>
      </w:r>
      <w:r>
        <w:rPr>
          <w:spacing w:val="-9"/>
          <w:w w:val="105"/>
          <w:sz w:val="21"/>
        </w:rPr>
        <w:t> </w:t>
      </w:r>
      <w:r>
        <w:rPr>
          <w:spacing w:val="-3"/>
          <w:w w:val="105"/>
          <w:sz w:val="21"/>
        </w:rPr>
        <w:t>natural</w:t>
      </w:r>
      <w:r>
        <w:rPr>
          <w:spacing w:val="-9"/>
          <w:w w:val="105"/>
          <w:sz w:val="21"/>
        </w:rPr>
        <w:t> </w:t>
      </w:r>
      <w:r>
        <w:rPr>
          <w:w w:val="105"/>
          <w:sz w:val="21"/>
        </w:rPr>
        <w:t>and</w:t>
      </w:r>
      <w:r>
        <w:rPr>
          <w:spacing w:val="-10"/>
          <w:w w:val="105"/>
          <w:sz w:val="21"/>
        </w:rPr>
        <w:t> </w:t>
      </w:r>
      <w:r>
        <w:rPr>
          <w:w w:val="105"/>
          <w:sz w:val="21"/>
        </w:rPr>
        <w:t>man-made</w:t>
      </w:r>
      <w:r>
        <w:rPr>
          <w:spacing w:val="-9"/>
          <w:w w:val="105"/>
          <w:sz w:val="21"/>
        </w:rPr>
        <w:t> </w:t>
      </w:r>
      <w:r>
        <w:rPr>
          <w:spacing w:val="-3"/>
          <w:w w:val="105"/>
          <w:sz w:val="21"/>
        </w:rPr>
        <w:t>resources</w:t>
      </w:r>
      <w:r>
        <w:rPr>
          <w:spacing w:val="-9"/>
          <w:w w:val="105"/>
          <w:sz w:val="21"/>
        </w:rPr>
        <w:t> </w:t>
      </w:r>
      <w:r>
        <w:rPr>
          <w:w w:val="105"/>
          <w:sz w:val="21"/>
        </w:rPr>
        <w:t>and</w:t>
      </w:r>
      <w:r>
        <w:rPr>
          <w:spacing w:val="-9"/>
          <w:w w:val="105"/>
          <w:sz w:val="21"/>
        </w:rPr>
        <w:t> </w:t>
      </w:r>
      <w:r>
        <w:rPr>
          <w:w w:val="105"/>
          <w:sz w:val="21"/>
        </w:rPr>
        <w:t>the</w:t>
      </w:r>
      <w:r>
        <w:rPr>
          <w:spacing w:val="-10"/>
          <w:w w:val="105"/>
          <w:sz w:val="21"/>
        </w:rPr>
        <w:t> </w:t>
      </w:r>
      <w:r>
        <w:rPr>
          <w:spacing w:val="-3"/>
          <w:w w:val="105"/>
          <w:sz w:val="21"/>
        </w:rPr>
        <w:t>maintenance </w:t>
      </w:r>
      <w:r>
        <w:rPr>
          <w:w w:val="105"/>
          <w:sz w:val="21"/>
        </w:rPr>
        <w:t>of ecological processes and genetic</w:t>
      </w:r>
      <w:r>
        <w:rPr>
          <w:spacing w:val="18"/>
          <w:w w:val="105"/>
          <w:sz w:val="21"/>
        </w:rPr>
        <w:t> </w:t>
      </w:r>
      <w:r>
        <w:rPr>
          <w:w w:val="105"/>
          <w:sz w:val="21"/>
        </w:rPr>
        <w:t>diversity;</w:t>
      </w:r>
    </w:p>
    <w:p>
      <w:pPr>
        <w:pStyle w:val="ListParagraph"/>
        <w:numPr>
          <w:ilvl w:val="2"/>
          <w:numId w:val="16"/>
        </w:numPr>
        <w:tabs>
          <w:tab w:pos="2721" w:val="left" w:leader="none"/>
          <w:tab w:pos="2722" w:val="left" w:leader="none"/>
        </w:tabs>
        <w:spacing w:line="242" w:lineRule="auto" w:before="87" w:after="0"/>
        <w:ind w:left="2721" w:right="1744" w:hanging="340"/>
        <w:jc w:val="left"/>
        <w:rPr>
          <w:sz w:val="21"/>
        </w:rPr>
      </w:pPr>
      <w:r>
        <w:rPr>
          <w:w w:val="105"/>
          <w:sz w:val="21"/>
        </w:rPr>
        <w:t>secure</w:t>
      </w:r>
      <w:r>
        <w:rPr>
          <w:spacing w:val="-7"/>
          <w:w w:val="105"/>
          <w:sz w:val="21"/>
        </w:rPr>
        <w:t> </w:t>
      </w:r>
      <w:r>
        <w:rPr>
          <w:w w:val="105"/>
          <w:sz w:val="21"/>
        </w:rPr>
        <w:t>a</w:t>
      </w:r>
      <w:r>
        <w:rPr>
          <w:spacing w:val="-7"/>
          <w:w w:val="105"/>
          <w:sz w:val="21"/>
        </w:rPr>
        <w:t> </w:t>
      </w:r>
      <w:r>
        <w:rPr>
          <w:w w:val="105"/>
          <w:sz w:val="21"/>
        </w:rPr>
        <w:t>pleasant,</w:t>
      </w:r>
      <w:r>
        <w:rPr>
          <w:spacing w:val="-6"/>
          <w:w w:val="105"/>
          <w:sz w:val="21"/>
        </w:rPr>
        <w:t> </w:t>
      </w:r>
      <w:r>
        <w:rPr>
          <w:w w:val="105"/>
          <w:sz w:val="21"/>
        </w:rPr>
        <w:t>efficient</w:t>
      </w:r>
      <w:r>
        <w:rPr>
          <w:spacing w:val="-7"/>
          <w:w w:val="105"/>
          <w:sz w:val="21"/>
        </w:rPr>
        <w:t> </w:t>
      </w:r>
      <w:r>
        <w:rPr>
          <w:w w:val="105"/>
          <w:sz w:val="21"/>
        </w:rPr>
        <w:t>and</w:t>
      </w:r>
      <w:r>
        <w:rPr>
          <w:spacing w:val="-7"/>
          <w:w w:val="105"/>
          <w:sz w:val="21"/>
        </w:rPr>
        <w:t> </w:t>
      </w:r>
      <w:r>
        <w:rPr>
          <w:w w:val="105"/>
          <w:sz w:val="21"/>
        </w:rPr>
        <w:t>safe</w:t>
      </w:r>
      <w:r>
        <w:rPr>
          <w:spacing w:val="-6"/>
          <w:w w:val="105"/>
          <w:sz w:val="21"/>
        </w:rPr>
        <w:t> </w:t>
      </w:r>
      <w:r>
        <w:rPr>
          <w:spacing w:val="-3"/>
          <w:w w:val="105"/>
          <w:sz w:val="21"/>
        </w:rPr>
        <w:t>working,</w:t>
      </w:r>
      <w:r>
        <w:rPr>
          <w:spacing w:val="-7"/>
          <w:w w:val="105"/>
          <w:sz w:val="21"/>
        </w:rPr>
        <w:t> </w:t>
      </w:r>
      <w:r>
        <w:rPr>
          <w:spacing w:val="-3"/>
          <w:w w:val="105"/>
          <w:sz w:val="21"/>
        </w:rPr>
        <w:t>living</w:t>
      </w:r>
      <w:r>
        <w:rPr>
          <w:spacing w:val="-7"/>
          <w:w w:val="105"/>
          <w:sz w:val="21"/>
        </w:rPr>
        <w:t> </w:t>
      </w:r>
      <w:r>
        <w:rPr>
          <w:w w:val="105"/>
          <w:sz w:val="21"/>
        </w:rPr>
        <w:t>and</w:t>
      </w:r>
      <w:r>
        <w:rPr>
          <w:spacing w:val="-6"/>
          <w:w w:val="105"/>
          <w:sz w:val="21"/>
        </w:rPr>
        <w:t> </w:t>
      </w:r>
      <w:r>
        <w:rPr>
          <w:spacing w:val="-3"/>
          <w:w w:val="105"/>
          <w:sz w:val="21"/>
        </w:rPr>
        <w:t>recreational</w:t>
      </w:r>
      <w:r>
        <w:rPr>
          <w:spacing w:val="-7"/>
          <w:w w:val="105"/>
          <w:sz w:val="21"/>
        </w:rPr>
        <w:t> </w:t>
      </w:r>
      <w:r>
        <w:rPr>
          <w:spacing w:val="-3"/>
          <w:w w:val="105"/>
          <w:sz w:val="21"/>
        </w:rPr>
        <w:t>environment</w:t>
      </w:r>
      <w:r>
        <w:rPr>
          <w:spacing w:val="-7"/>
          <w:w w:val="105"/>
          <w:sz w:val="21"/>
        </w:rPr>
        <w:t> </w:t>
      </w:r>
      <w:r>
        <w:rPr>
          <w:spacing w:val="-3"/>
          <w:w w:val="105"/>
          <w:sz w:val="21"/>
        </w:rPr>
        <w:t>for all </w:t>
      </w:r>
      <w:r>
        <w:rPr>
          <w:w w:val="105"/>
          <w:sz w:val="21"/>
        </w:rPr>
        <w:t>Victorians and visitors </w:t>
      </w:r>
      <w:r>
        <w:rPr>
          <w:spacing w:val="-3"/>
          <w:w w:val="105"/>
          <w:sz w:val="21"/>
        </w:rPr>
        <w:t>to</w:t>
      </w:r>
      <w:r>
        <w:rPr>
          <w:spacing w:val="23"/>
          <w:w w:val="105"/>
          <w:sz w:val="21"/>
        </w:rPr>
        <w:t> </w:t>
      </w:r>
      <w:r>
        <w:rPr>
          <w:w w:val="105"/>
          <w:sz w:val="21"/>
        </w:rPr>
        <w:t>Victoria;</w:t>
      </w:r>
    </w:p>
    <w:p>
      <w:pPr>
        <w:pStyle w:val="ListParagraph"/>
        <w:numPr>
          <w:ilvl w:val="2"/>
          <w:numId w:val="16"/>
        </w:numPr>
        <w:tabs>
          <w:tab w:pos="2721" w:val="left" w:leader="none"/>
          <w:tab w:pos="2722" w:val="left" w:leader="none"/>
        </w:tabs>
        <w:spacing w:line="242" w:lineRule="auto" w:before="87" w:after="0"/>
        <w:ind w:left="2721" w:right="1877" w:hanging="340"/>
        <w:jc w:val="left"/>
        <w:rPr>
          <w:sz w:val="21"/>
        </w:rPr>
      </w:pPr>
      <w:r>
        <w:rPr>
          <w:sz w:val="21"/>
        </w:rPr>
        <w:t>conserve and </w:t>
      </w:r>
      <w:r>
        <w:rPr>
          <w:spacing w:val="-3"/>
          <w:sz w:val="21"/>
        </w:rPr>
        <w:t>enhance </w:t>
      </w:r>
      <w:r>
        <w:rPr>
          <w:sz w:val="21"/>
        </w:rPr>
        <w:t>those </w:t>
      </w:r>
      <w:r>
        <w:rPr>
          <w:spacing w:val="-3"/>
          <w:sz w:val="21"/>
        </w:rPr>
        <w:t>buildings, areas </w:t>
      </w:r>
      <w:r>
        <w:rPr>
          <w:sz w:val="21"/>
        </w:rPr>
        <w:t>or other </w:t>
      </w:r>
      <w:r>
        <w:rPr>
          <w:spacing w:val="-2"/>
          <w:sz w:val="21"/>
        </w:rPr>
        <w:t>places </w:t>
      </w:r>
      <w:r>
        <w:rPr>
          <w:sz w:val="21"/>
        </w:rPr>
        <w:t>which </w:t>
      </w:r>
      <w:r>
        <w:rPr>
          <w:spacing w:val="-3"/>
          <w:sz w:val="21"/>
        </w:rPr>
        <w:t>are </w:t>
      </w:r>
      <w:r>
        <w:rPr>
          <w:sz w:val="21"/>
        </w:rPr>
        <w:t>of scientific, aesthetic, </w:t>
      </w:r>
      <w:r>
        <w:rPr>
          <w:spacing w:val="-3"/>
          <w:sz w:val="21"/>
        </w:rPr>
        <w:t>architectural </w:t>
      </w:r>
      <w:r>
        <w:rPr>
          <w:sz w:val="21"/>
        </w:rPr>
        <w:t>or </w:t>
      </w:r>
      <w:r>
        <w:rPr>
          <w:spacing w:val="-3"/>
          <w:sz w:val="21"/>
        </w:rPr>
        <w:t>historical interest, </w:t>
      </w:r>
      <w:r>
        <w:rPr>
          <w:sz w:val="21"/>
        </w:rPr>
        <w:t>or otherwise of special </w:t>
      </w:r>
      <w:r>
        <w:rPr>
          <w:spacing w:val="-3"/>
          <w:sz w:val="21"/>
        </w:rPr>
        <w:t>cultural</w:t>
      </w:r>
      <w:r>
        <w:rPr>
          <w:spacing w:val="30"/>
          <w:sz w:val="21"/>
        </w:rPr>
        <w:t> </w:t>
      </w:r>
      <w:r>
        <w:rPr>
          <w:sz w:val="21"/>
        </w:rPr>
        <w:t>value;</w:t>
      </w:r>
    </w:p>
    <w:p>
      <w:pPr>
        <w:pStyle w:val="ListParagraph"/>
        <w:numPr>
          <w:ilvl w:val="2"/>
          <w:numId w:val="16"/>
        </w:numPr>
        <w:tabs>
          <w:tab w:pos="2721" w:val="left" w:leader="none"/>
          <w:tab w:pos="2722" w:val="left" w:leader="none"/>
        </w:tabs>
        <w:spacing w:line="242" w:lineRule="auto" w:before="88" w:after="0"/>
        <w:ind w:left="2721" w:right="1897" w:hanging="340"/>
        <w:jc w:val="left"/>
        <w:rPr>
          <w:sz w:val="21"/>
        </w:rPr>
      </w:pPr>
      <w:r>
        <w:rPr>
          <w:w w:val="105"/>
          <w:sz w:val="21"/>
        </w:rPr>
        <w:t>protect </w:t>
      </w:r>
      <w:r>
        <w:rPr>
          <w:spacing w:val="-3"/>
          <w:w w:val="105"/>
          <w:sz w:val="21"/>
        </w:rPr>
        <w:t>public utilities </w:t>
      </w:r>
      <w:r>
        <w:rPr>
          <w:w w:val="105"/>
          <w:sz w:val="21"/>
        </w:rPr>
        <w:t>and other assets and enable the orderly </w:t>
      </w:r>
      <w:r>
        <w:rPr>
          <w:spacing w:val="-3"/>
          <w:w w:val="105"/>
          <w:sz w:val="21"/>
        </w:rPr>
        <w:t>provision </w:t>
      </w:r>
      <w:r>
        <w:rPr>
          <w:w w:val="105"/>
          <w:sz w:val="21"/>
        </w:rPr>
        <w:t>and </w:t>
      </w:r>
      <w:r>
        <w:rPr>
          <w:spacing w:val="-3"/>
          <w:w w:val="105"/>
          <w:sz w:val="21"/>
        </w:rPr>
        <w:t>coordination</w:t>
      </w:r>
      <w:r>
        <w:rPr>
          <w:spacing w:val="-8"/>
          <w:w w:val="105"/>
          <w:sz w:val="21"/>
        </w:rPr>
        <w:t> </w:t>
      </w:r>
      <w:r>
        <w:rPr>
          <w:w w:val="105"/>
          <w:sz w:val="21"/>
        </w:rPr>
        <w:t>of</w:t>
      </w:r>
      <w:r>
        <w:rPr>
          <w:spacing w:val="-7"/>
          <w:w w:val="105"/>
          <w:sz w:val="21"/>
        </w:rPr>
        <w:t> </w:t>
      </w:r>
      <w:r>
        <w:rPr>
          <w:spacing w:val="-3"/>
          <w:w w:val="105"/>
          <w:sz w:val="21"/>
        </w:rPr>
        <w:t>public</w:t>
      </w:r>
      <w:r>
        <w:rPr>
          <w:spacing w:val="-8"/>
          <w:w w:val="105"/>
          <w:sz w:val="21"/>
        </w:rPr>
        <w:t> </w:t>
      </w:r>
      <w:r>
        <w:rPr>
          <w:spacing w:val="-3"/>
          <w:w w:val="105"/>
          <w:sz w:val="21"/>
        </w:rPr>
        <w:t>utilities</w:t>
      </w:r>
      <w:r>
        <w:rPr>
          <w:spacing w:val="-7"/>
          <w:w w:val="105"/>
          <w:sz w:val="21"/>
        </w:rPr>
        <w:t> </w:t>
      </w:r>
      <w:r>
        <w:rPr>
          <w:w w:val="105"/>
          <w:sz w:val="21"/>
        </w:rPr>
        <w:t>and</w:t>
      </w:r>
      <w:r>
        <w:rPr>
          <w:spacing w:val="-7"/>
          <w:w w:val="105"/>
          <w:sz w:val="21"/>
        </w:rPr>
        <w:t> </w:t>
      </w:r>
      <w:r>
        <w:rPr>
          <w:w w:val="105"/>
          <w:sz w:val="21"/>
        </w:rPr>
        <w:t>other</w:t>
      </w:r>
      <w:r>
        <w:rPr>
          <w:spacing w:val="-8"/>
          <w:w w:val="105"/>
          <w:sz w:val="21"/>
        </w:rPr>
        <w:t> </w:t>
      </w:r>
      <w:r>
        <w:rPr>
          <w:spacing w:val="-3"/>
          <w:w w:val="105"/>
          <w:sz w:val="21"/>
        </w:rPr>
        <w:t>facilities</w:t>
      </w:r>
      <w:r>
        <w:rPr>
          <w:spacing w:val="-7"/>
          <w:w w:val="105"/>
          <w:sz w:val="21"/>
        </w:rPr>
        <w:t> </w:t>
      </w:r>
      <w:r>
        <w:rPr>
          <w:spacing w:val="-3"/>
          <w:w w:val="105"/>
          <w:sz w:val="21"/>
        </w:rPr>
        <w:t>for</w:t>
      </w:r>
      <w:r>
        <w:rPr>
          <w:spacing w:val="-8"/>
          <w:w w:val="105"/>
          <w:sz w:val="21"/>
        </w:rPr>
        <w:t> </w:t>
      </w:r>
      <w:r>
        <w:rPr>
          <w:w w:val="105"/>
          <w:sz w:val="21"/>
        </w:rPr>
        <w:t>the</w:t>
      </w:r>
      <w:r>
        <w:rPr>
          <w:spacing w:val="-7"/>
          <w:w w:val="105"/>
          <w:sz w:val="21"/>
        </w:rPr>
        <w:t> </w:t>
      </w:r>
      <w:r>
        <w:rPr>
          <w:w w:val="105"/>
          <w:sz w:val="21"/>
        </w:rPr>
        <w:t>benefit</w:t>
      </w:r>
      <w:r>
        <w:rPr>
          <w:spacing w:val="-7"/>
          <w:w w:val="105"/>
          <w:sz w:val="21"/>
        </w:rPr>
        <w:t> </w:t>
      </w:r>
      <w:r>
        <w:rPr>
          <w:w w:val="105"/>
          <w:sz w:val="21"/>
        </w:rPr>
        <w:t>of</w:t>
      </w:r>
      <w:r>
        <w:rPr>
          <w:spacing w:val="-8"/>
          <w:w w:val="105"/>
          <w:sz w:val="21"/>
        </w:rPr>
        <w:t> </w:t>
      </w:r>
      <w:r>
        <w:rPr>
          <w:w w:val="105"/>
          <w:sz w:val="21"/>
        </w:rPr>
        <w:t>the</w:t>
      </w:r>
      <w:r>
        <w:rPr>
          <w:spacing w:val="-7"/>
          <w:w w:val="105"/>
          <w:sz w:val="21"/>
        </w:rPr>
        <w:t> </w:t>
      </w:r>
      <w:r>
        <w:rPr>
          <w:w w:val="105"/>
          <w:sz w:val="21"/>
        </w:rPr>
        <w:t>community;</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pacing w:val="-3"/>
          <w:sz w:val="21"/>
        </w:rPr>
        <w:t>facilitate</w:t>
      </w:r>
      <w:r>
        <w:rPr>
          <w:spacing w:val="9"/>
          <w:sz w:val="21"/>
        </w:rPr>
        <w:t> </w:t>
      </w:r>
      <w:r>
        <w:rPr>
          <w:sz w:val="21"/>
        </w:rPr>
        <w:t>development</w:t>
      </w:r>
      <w:r>
        <w:rPr>
          <w:spacing w:val="10"/>
          <w:sz w:val="21"/>
        </w:rPr>
        <w:t> </w:t>
      </w:r>
      <w:r>
        <w:rPr>
          <w:sz w:val="21"/>
        </w:rPr>
        <w:t>in</w:t>
      </w:r>
      <w:r>
        <w:rPr>
          <w:spacing w:val="9"/>
          <w:sz w:val="21"/>
        </w:rPr>
        <w:t> </w:t>
      </w:r>
      <w:r>
        <w:rPr>
          <w:spacing w:val="-3"/>
          <w:sz w:val="21"/>
        </w:rPr>
        <w:t>accordance</w:t>
      </w:r>
      <w:r>
        <w:rPr>
          <w:spacing w:val="10"/>
          <w:sz w:val="21"/>
        </w:rPr>
        <w:t> </w:t>
      </w:r>
      <w:r>
        <w:rPr>
          <w:sz w:val="21"/>
        </w:rPr>
        <w:t>with</w:t>
      </w:r>
      <w:r>
        <w:rPr>
          <w:spacing w:val="9"/>
          <w:sz w:val="21"/>
        </w:rPr>
        <w:t> </w:t>
      </w:r>
      <w:r>
        <w:rPr>
          <w:sz w:val="21"/>
        </w:rPr>
        <w:t>the</w:t>
      </w:r>
      <w:r>
        <w:rPr>
          <w:spacing w:val="10"/>
          <w:sz w:val="21"/>
        </w:rPr>
        <w:t> </w:t>
      </w:r>
      <w:r>
        <w:rPr>
          <w:sz w:val="21"/>
        </w:rPr>
        <w:t>objectives</w:t>
      </w:r>
      <w:r>
        <w:rPr>
          <w:spacing w:val="9"/>
          <w:sz w:val="21"/>
        </w:rPr>
        <w:t> </w:t>
      </w:r>
      <w:r>
        <w:rPr>
          <w:sz w:val="21"/>
        </w:rPr>
        <w:t>set</w:t>
      </w:r>
      <w:r>
        <w:rPr>
          <w:spacing w:val="10"/>
          <w:sz w:val="21"/>
        </w:rPr>
        <w:t> </w:t>
      </w:r>
      <w:r>
        <w:rPr>
          <w:sz w:val="21"/>
        </w:rPr>
        <w:t>out</w:t>
      </w:r>
      <w:r>
        <w:rPr>
          <w:spacing w:val="9"/>
          <w:sz w:val="21"/>
        </w:rPr>
        <w:t> </w:t>
      </w:r>
      <w:r>
        <w:rPr>
          <w:sz w:val="21"/>
        </w:rPr>
        <w:t>above;</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provide affordable </w:t>
      </w:r>
      <w:r>
        <w:rPr>
          <w:spacing w:val="-3"/>
          <w:w w:val="105"/>
          <w:sz w:val="21"/>
        </w:rPr>
        <w:t>housing </w:t>
      </w:r>
      <w:r>
        <w:rPr>
          <w:w w:val="105"/>
          <w:sz w:val="21"/>
        </w:rPr>
        <w:t>in Victoria;</w:t>
      </w:r>
      <w:r>
        <w:rPr>
          <w:spacing w:val="26"/>
          <w:w w:val="105"/>
          <w:sz w:val="21"/>
        </w:rPr>
        <w:t> </w:t>
      </w:r>
      <w:r>
        <w:rPr>
          <w:w w:val="105"/>
          <w:sz w:val="21"/>
        </w:rPr>
        <w:t>and</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pacing w:val="-3"/>
          <w:sz w:val="21"/>
        </w:rPr>
        <w:t>balance</w:t>
      </w:r>
      <w:r>
        <w:rPr>
          <w:spacing w:val="8"/>
          <w:sz w:val="21"/>
        </w:rPr>
        <w:t> </w:t>
      </w:r>
      <w:r>
        <w:rPr>
          <w:sz w:val="21"/>
        </w:rPr>
        <w:t>the</w:t>
      </w:r>
      <w:r>
        <w:rPr>
          <w:spacing w:val="9"/>
          <w:sz w:val="21"/>
        </w:rPr>
        <w:t> </w:t>
      </w:r>
      <w:r>
        <w:rPr>
          <w:sz w:val="21"/>
        </w:rPr>
        <w:t>present</w:t>
      </w:r>
      <w:r>
        <w:rPr>
          <w:spacing w:val="9"/>
          <w:sz w:val="21"/>
        </w:rPr>
        <w:t> </w:t>
      </w:r>
      <w:r>
        <w:rPr>
          <w:sz w:val="21"/>
        </w:rPr>
        <w:t>and</w:t>
      </w:r>
      <w:r>
        <w:rPr>
          <w:spacing w:val="8"/>
          <w:sz w:val="21"/>
        </w:rPr>
        <w:t> </w:t>
      </w:r>
      <w:r>
        <w:rPr>
          <w:spacing w:val="-3"/>
          <w:sz w:val="21"/>
        </w:rPr>
        <w:t>future</w:t>
      </w:r>
      <w:r>
        <w:rPr>
          <w:spacing w:val="9"/>
          <w:sz w:val="21"/>
        </w:rPr>
        <w:t> </w:t>
      </w:r>
      <w:r>
        <w:rPr>
          <w:sz w:val="21"/>
        </w:rPr>
        <w:t>interests</w:t>
      </w:r>
      <w:r>
        <w:rPr>
          <w:spacing w:val="9"/>
          <w:sz w:val="21"/>
        </w:rPr>
        <w:t> </w:t>
      </w:r>
      <w:r>
        <w:rPr>
          <w:sz w:val="21"/>
        </w:rPr>
        <w:t>of</w:t>
      </w:r>
      <w:r>
        <w:rPr>
          <w:spacing w:val="8"/>
          <w:sz w:val="21"/>
        </w:rPr>
        <w:t> </w:t>
      </w:r>
      <w:r>
        <w:rPr>
          <w:spacing w:val="-3"/>
          <w:sz w:val="21"/>
        </w:rPr>
        <w:t>all</w:t>
      </w:r>
      <w:r>
        <w:rPr>
          <w:spacing w:val="9"/>
          <w:sz w:val="21"/>
        </w:rPr>
        <w:t> </w:t>
      </w:r>
      <w:r>
        <w:rPr>
          <w:sz w:val="21"/>
        </w:rPr>
        <w:t>Victorians.</w:t>
      </w:r>
    </w:p>
    <w:p>
      <w:pPr>
        <w:pStyle w:val="ListParagraph"/>
        <w:numPr>
          <w:ilvl w:val="1"/>
          <w:numId w:val="16"/>
        </w:numPr>
        <w:tabs>
          <w:tab w:pos="2381" w:val="left" w:leader="none"/>
          <w:tab w:pos="2382" w:val="left" w:leader="none"/>
        </w:tabs>
        <w:spacing w:line="242" w:lineRule="auto" w:before="89" w:after="0"/>
        <w:ind w:left="2381" w:right="1717" w:hanging="794"/>
        <w:jc w:val="left"/>
        <w:rPr>
          <w:sz w:val="21"/>
        </w:rPr>
      </w:pPr>
      <w:r>
        <w:rPr>
          <w:w w:val="105"/>
          <w:sz w:val="21"/>
        </w:rPr>
        <w:t>The</w:t>
      </w:r>
      <w:r>
        <w:rPr>
          <w:spacing w:val="-8"/>
          <w:w w:val="105"/>
          <w:sz w:val="21"/>
        </w:rPr>
        <w:t> </w:t>
      </w:r>
      <w:r>
        <w:rPr>
          <w:spacing w:val="-3"/>
          <w:w w:val="105"/>
          <w:sz w:val="21"/>
        </w:rPr>
        <w:t>relevant</w:t>
      </w:r>
      <w:r>
        <w:rPr>
          <w:spacing w:val="-7"/>
          <w:w w:val="105"/>
          <w:sz w:val="21"/>
        </w:rPr>
        <w:t> </w:t>
      </w:r>
      <w:r>
        <w:rPr>
          <w:w w:val="105"/>
          <w:sz w:val="21"/>
        </w:rPr>
        <w:t>authority</w:t>
      </w:r>
      <w:r>
        <w:rPr>
          <w:spacing w:val="-7"/>
          <w:w w:val="105"/>
          <w:sz w:val="21"/>
        </w:rPr>
        <w:t> </w:t>
      </w:r>
      <w:r>
        <w:rPr>
          <w:w w:val="105"/>
          <w:sz w:val="21"/>
        </w:rPr>
        <w:t>must</w:t>
      </w:r>
      <w:r>
        <w:rPr>
          <w:spacing w:val="-7"/>
          <w:w w:val="105"/>
          <w:sz w:val="21"/>
        </w:rPr>
        <w:t> </w:t>
      </w:r>
      <w:r>
        <w:rPr>
          <w:spacing w:val="-4"/>
          <w:w w:val="105"/>
          <w:sz w:val="21"/>
        </w:rPr>
        <w:t>make</w:t>
      </w:r>
      <w:r>
        <w:rPr>
          <w:spacing w:val="-8"/>
          <w:w w:val="105"/>
          <w:sz w:val="21"/>
        </w:rPr>
        <w:t> </w:t>
      </w:r>
      <w:r>
        <w:rPr>
          <w:spacing w:val="-3"/>
          <w:w w:val="105"/>
          <w:sz w:val="21"/>
        </w:rPr>
        <w:t>all</w:t>
      </w:r>
      <w:r>
        <w:rPr>
          <w:spacing w:val="-7"/>
          <w:w w:val="105"/>
          <w:sz w:val="21"/>
        </w:rPr>
        <w:t> </w:t>
      </w:r>
      <w:r>
        <w:rPr>
          <w:spacing w:val="-3"/>
          <w:w w:val="105"/>
          <w:sz w:val="21"/>
        </w:rPr>
        <w:t>planning</w:t>
      </w:r>
      <w:r>
        <w:rPr>
          <w:spacing w:val="-7"/>
          <w:w w:val="105"/>
          <w:sz w:val="21"/>
        </w:rPr>
        <w:t> </w:t>
      </w:r>
      <w:r>
        <w:rPr>
          <w:spacing w:val="-3"/>
          <w:w w:val="105"/>
          <w:sz w:val="21"/>
        </w:rPr>
        <w:t>applications</w:t>
      </w:r>
      <w:r>
        <w:rPr>
          <w:spacing w:val="-7"/>
          <w:w w:val="105"/>
          <w:sz w:val="21"/>
        </w:rPr>
        <w:t> </w:t>
      </w:r>
      <w:r>
        <w:rPr>
          <w:spacing w:val="-3"/>
          <w:w w:val="105"/>
          <w:sz w:val="21"/>
        </w:rPr>
        <w:t>available</w:t>
      </w:r>
      <w:r>
        <w:rPr>
          <w:spacing w:val="-7"/>
          <w:w w:val="105"/>
          <w:sz w:val="21"/>
        </w:rPr>
        <w:t> </w:t>
      </w:r>
      <w:r>
        <w:rPr>
          <w:spacing w:val="-3"/>
          <w:w w:val="105"/>
          <w:sz w:val="21"/>
        </w:rPr>
        <w:t>for</w:t>
      </w:r>
      <w:r>
        <w:rPr>
          <w:spacing w:val="-8"/>
          <w:w w:val="105"/>
          <w:sz w:val="21"/>
        </w:rPr>
        <w:t> </w:t>
      </w:r>
      <w:r>
        <w:rPr>
          <w:w w:val="105"/>
          <w:sz w:val="21"/>
        </w:rPr>
        <w:t>inspection</w:t>
      </w:r>
      <w:r>
        <w:rPr>
          <w:spacing w:val="-7"/>
          <w:w w:val="105"/>
          <w:sz w:val="21"/>
        </w:rPr>
        <w:t> </w:t>
      </w:r>
      <w:r>
        <w:rPr>
          <w:w w:val="105"/>
          <w:sz w:val="21"/>
        </w:rPr>
        <w:t>by</w:t>
      </w:r>
      <w:r>
        <w:rPr>
          <w:spacing w:val="-7"/>
          <w:w w:val="105"/>
          <w:sz w:val="21"/>
        </w:rPr>
        <w:t> </w:t>
      </w:r>
      <w:r>
        <w:rPr>
          <w:w w:val="105"/>
          <w:sz w:val="21"/>
        </w:rPr>
        <w:t>the </w:t>
      </w:r>
      <w:r>
        <w:rPr>
          <w:spacing w:val="-5"/>
          <w:w w:val="105"/>
          <w:sz w:val="21"/>
        </w:rPr>
        <w:t>public.</w:t>
      </w:r>
      <w:r>
        <w:rPr>
          <w:spacing w:val="-5"/>
          <w:w w:val="105"/>
          <w:position w:val="7"/>
          <w:sz w:val="12"/>
        </w:rPr>
        <w:t>11</w:t>
      </w:r>
      <w:r>
        <w:rPr>
          <w:spacing w:val="-5"/>
          <w:w w:val="105"/>
          <w:sz w:val="21"/>
        </w:rPr>
        <w:t>There</w:t>
      </w:r>
      <w:r>
        <w:rPr>
          <w:spacing w:val="-13"/>
          <w:w w:val="105"/>
          <w:sz w:val="21"/>
        </w:rPr>
        <w:t> </w:t>
      </w:r>
      <w:r>
        <w:rPr>
          <w:spacing w:val="-3"/>
          <w:w w:val="105"/>
          <w:sz w:val="21"/>
        </w:rPr>
        <w:t>are</w:t>
      </w:r>
      <w:r>
        <w:rPr>
          <w:spacing w:val="-13"/>
          <w:w w:val="105"/>
          <w:sz w:val="21"/>
        </w:rPr>
        <w:t> </w:t>
      </w:r>
      <w:r>
        <w:rPr>
          <w:w w:val="105"/>
          <w:sz w:val="21"/>
        </w:rPr>
        <w:t>strict</w:t>
      </w:r>
      <w:r>
        <w:rPr>
          <w:spacing w:val="-13"/>
          <w:w w:val="105"/>
          <w:sz w:val="21"/>
        </w:rPr>
        <w:t> </w:t>
      </w:r>
      <w:r>
        <w:rPr>
          <w:spacing w:val="-3"/>
          <w:w w:val="105"/>
          <w:sz w:val="21"/>
        </w:rPr>
        <w:t>requirements</w:t>
      </w:r>
      <w:r>
        <w:rPr>
          <w:spacing w:val="-13"/>
          <w:w w:val="105"/>
          <w:sz w:val="21"/>
        </w:rPr>
        <w:t> </w:t>
      </w:r>
      <w:r>
        <w:rPr>
          <w:spacing w:val="-3"/>
          <w:w w:val="105"/>
          <w:sz w:val="21"/>
        </w:rPr>
        <w:t>to</w:t>
      </w:r>
      <w:r>
        <w:rPr>
          <w:spacing w:val="-12"/>
          <w:w w:val="105"/>
          <w:sz w:val="21"/>
        </w:rPr>
        <w:t> </w:t>
      </w:r>
      <w:r>
        <w:rPr>
          <w:w w:val="105"/>
          <w:sz w:val="21"/>
        </w:rPr>
        <w:t>advertise</w:t>
      </w:r>
      <w:r>
        <w:rPr>
          <w:spacing w:val="-13"/>
          <w:w w:val="105"/>
          <w:sz w:val="21"/>
        </w:rPr>
        <w:t> </w:t>
      </w:r>
      <w:r>
        <w:rPr>
          <w:w w:val="105"/>
          <w:sz w:val="21"/>
        </w:rPr>
        <w:t>some</w:t>
      </w:r>
      <w:r>
        <w:rPr>
          <w:spacing w:val="-13"/>
          <w:w w:val="105"/>
          <w:sz w:val="21"/>
        </w:rPr>
        <w:t> </w:t>
      </w:r>
      <w:r>
        <w:rPr>
          <w:w w:val="105"/>
          <w:sz w:val="21"/>
        </w:rPr>
        <w:t>development</w:t>
      </w:r>
      <w:r>
        <w:rPr>
          <w:spacing w:val="-13"/>
          <w:w w:val="105"/>
          <w:sz w:val="21"/>
        </w:rPr>
        <w:t> </w:t>
      </w:r>
      <w:r>
        <w:rPr>
          <w:spacing w:val="-3"/>
          <w:w w:val="105"/>
          <w:sz w:val="21"/>
        </w:rPr>
        <w:t>applications</w:t>
      </w:r>
      <w:r>
        <w:rPr>
          <w:spacing w:val="-12"/>
          <w:w w:val="105"/>
          <w:sz w:val="21"/>
        </w:rPr>
        <w:t> </w:t>
      </w:r>
      <w:r>
        <w:rPr>
          <w:w w:val="105"/>
          <w:sz w:val="21"/>
        </w:rPr>
        <w:t>where a proposal </w:t>
      </w:r>
      <w:r>
        <w:rPr>
          <w:spacing w:val="-3"/>
          <w:w w:val="105"/>
          <w:sz w:val="21"/>
        </w:rPr>
        <w:t>may </w:t>
      </w:r>
      <w:r>
        <w:rPr>
          <w:w w:val="105"/>
          <w:sz w:val="21"/>
        </w:rPr>
        <w:t>cause a </w:t>
      </w:r>
      <w:r>
        <w:rPr>
          <w:spacing w:val="-3"/>
          <w:w w:val="105"/>
          <w:sz w:val="21"/>
        </w:rPr>
        <w:t>detriment to another </w:t>
      </w:r>
      <w:r>
        <w:rPr>
          <w:w w:val="105"/>
          <w:sz w:val="21"/>
        </w:rPr>
        <w:t>party. This </w:t>
      </w:r>
      <w:r>
        <w:rPr>
          <w:spacing w:val="-3"/>
          <w:w w:val="105"/>
          <w:sz w:val="21"/>
        </w:rPr>
        <w:t>mechanism </w:t>
      </w:r>
      <w:r>
        <w:rPr>
          <w:w w:val="105"/>
          <w:sz w:val="21"/>
        </w:rPr>
        <w:t>allows an affected person </w:t>
      </w:r>
      <w:r>
        <w:rPr>
          <w:spacing w:val="-3"/>
          <w:w w:val="105"/>
          <w:sz w:val="21"/>
        </w:rPr>
        <w:t>to consider </w:t>
      </w:r>
      <w:r>
        <w:rPr>
          <w:w w:val="105"/>
          <w:sz w:val="21"/>
        </w:rPr>
        <w:t>the development proposal and its </w:t>
      </w:r>
      <w:r>
        <w:rPr>
          <w:spacing w:val="-3"/>
          <w:w w:val="105"/>
          <w:sz w:val="21"/>
        </w:rPr>
        <w:t>potential </w:t>
      </w:r>
      <w:r>
        <w:rPr>
          <w:w w:val="105"/>
          <w:sz w:val="21"/>
        </w:rPr>
        <w:t>impact on </w:t>
      </w:r>
      <w:r>
        <w:rPr>
          <w:spacing w:val="-7"/>
          <w:w w:val="105"/>
          <w:sz w:val="21"/>
        </w:rPr>
        <w:t>them.</w:t>
      </w:r>
      <w:r>
        <w:rPr>
          <w:spacing w:val="-7"/>
          <w:w w:val="105"/>
          <w:position w:val="7"/>
          <w:sz w:val="12"/>
        </w:rPr>
        <w:t>12</w:t>
      </w:r>
      <w:r>
        <w:rPr>
          <w:spacing w:val="-7"/>
          <w:w w:val="105"/>
          <w:sz w:val="12"/>
        </w:rPr>
        <w:t> </w:t>
      </w:r>
      <w:r>
        <w:rPr>
          <w:w w:val="105"/>
          <w:sz w:val="21"/>
        </w:rPr>
        <w:t>VicSmart </w:t>
      </w:r>
      <w:r>
        <w:rPr>
          <w:spacing w:val="-3"/>
          <w:w w:val="105"/>
          <w:sz w:val="21"/>
        </w:rPr>
        <w:t>applications are </w:t>
      </w:r>
      <w:r>
        <w:rPr>
          <w:spacing w:val="-2"/>
          <w:w w:val="105"/>
          <w:sz w:val="21"/>
        </w:rPr>
        <w:t>not </w:t>
      </w:r>
      <w:r>
        <w:rPr>
          <w:w w:val="105"/>
          <w:sz w:val="21"/>
        </w:rPr>
        <w:t>advertised in this</w:t>
      </w:r>
      <w:r>
        <w:rPr>
          <w:spacing w:val="36"/>
          <w:w w:val="105"/>
          <w:sz w:val="21"/>
        </w:rPr>
        <w:t> </w:t>
      </w:r>
      <w:r>
        <w:rPr>
          <w:spacing w:val="-9"/>
          <w:w w:val="105"/>
          <w:sz w:val="21"/>
        </w:rPr>
        <w:t>way.</w:t>
      </w:r>
      <w:r>
        <w:rPr>
          <w:spacing w:val="-9"/>
          <w:w w:val="105"/>
          <w:position w:val="7"/>
          <w:sz w:val="12"/>
        </w:rPr>
        <w:t>13</w:t>
      </w:r>
    </w:p>
    <w:p>
      <w:pPr>
        <w:pStyle w:val="ListParagraph"/>
        <w:numPr>
          <w:ilvl w:val="1"/>
          <w:numId w:val="16"/>
        </w:numPr>
        <w:tabs>
          <w:tab w:pos="2381" w:val="left" w:leader="none"/>
          <w:tab w:pos="2382" w:val="left" w:leader="none"/>
        </w:tabs>
        <w:spacing w:line="240" w:lineRule="auto" w:before="125" w:after="0"/>
        <w:ind w:left="2381" w:right="0" w:hanging="794"/>
        <w:jc w:val="left"/>
        <w:rPr>
          <w:sz w:val="21"/>
        </w:rPr>
      </w:pPr>
      <w:r>
        <w:rPr>
          <w:sz w:val="21"/>
        </w:rPr>
        <w:t>In</w:t>
      </w:r>
      <w:r>
        <w:rPr>
          <w:spacing w:val="9"/>
          <w:sz w:val="21"/>
        </w:rPr>
        <w:t> </w:t>
      </w:r>
      <w:r>
        <w:rPr>
          <w:spacing w:val="-3"/>
          <w:sz w:val="21"/>
        </w:rPr>
        <w:t>addition,</w:t>
      </w:r>
      <w:r>
        <w:rPr>
          <w:spacing w:val="10"/>
          <w:sz w:val="21"/>
        </w:rPr>
        <w:t> </w:t>
      </w:r>
      <w:r>
        <w:rPr>
          <w:spacing w:val="-3"/>
          <w:sz w:val="21"/>
        </w:rPr>
        <w:t>planning</w:t>
      </w:r>
      <w:r>
        <w:rPr>
          <w:spacing w:val="10"/>
          <w:sz w:val="21"/>
        </w:rPr>
        <w:t> </w:t>
      </w:r>
      <w:r>
        <w:rPr>
          <w:sz w:val="21"/>
        </w:rPr>
        <w:t>laws</w:t>
      </w:r>
      <w:r>
        <w:rPr>
          <w:spacing w:val="10"/>
          <w:sz w:val="21"/>
        </w:rPr>
        <w:t> </w:t>
      </w:r>
      <w:r>
        <w:rPr>
          <w:spacing w:val="-3"/>
          <w:sz w:val="21"/>
        </w:rPr>
        <w:t>are</w:t>
      </w:r>
      <w:r>
        <w:rPr>
          <w:spacing w:val="10"/>
          <w:sz w:val="21"/>
        </w:rPr>
        <w:t> </w:t>
      </w:r>
      <w:r>
        <w:rPr>
          <w:sz w:val="21"/>
        </w:rPr>
        <w:t>applied</w:t>
      </w:r>
      <w:r>
        <w:rPr>
          <w:spacing w:val="10"/>
          <w:sz w:val="21"/>
        </w:rPr>
        <w:t> </w:t>
      </w:r>
      <w:r>
        <w:rPr>
          <w:spacing w:val="-3"/>
          <w:sz w:val="21"/>
        </w:rPr>
        <w:t>consistently</w:t>
      </w:r>
      <w:r>
        <w:rPr>
          <w:spacing w:val="9"/>
          <w:sz w:val="21"/>
        </w:rPr>
        <w:t> </w:t>
      </w:r>
      <w:r>
        <w:rPr>
          <w:sz w:val="21"/>
        </w:rPr>
        <w:t>across</w:t>
      </w:r>
      <w:r>
        <w:rPr>
          <w:spacing w:val="10"/>
          <w:sz w:val="21"/>
        </w:rPr>
        <w:t> </w:t>
      </w:r>
      <w:r>
        <w:rPr>
          <w:sz w:val="21"/>
        </w:rPr>
        <w:t>Victoria:</w:t>
      </w:r>
    </w:p>
    <w:p>
      <w:pPr>
        <w:pStyle w:val="ListParagraph"/>
        <w:numPr>
          <w:ilvl w:val="2"/>
          <w:numId w:val="16"/>
        </w:numPr>
        <w:tabs>
          <w:tab w:pos="2721" w:val="left" w:leader="none"/>
          <w:tab w:pos="2722" w:val="left" w:leader="none"/>
        </w:tabs>
        <w:spacing w:line="240" w:lineRule="auto" w:before="124" w:after="0"/>
        <w:ind w:left="2721" w:right="0" w:hanging="340"/>
        <w:jc w:val="left"/>
        <w:rPr>
          <w:sz w:val="21"/>
        </w:rPr>
      </w:pPr>
      <w:r>
        <w:rPr>
          <w:sz w:val="21"/>
        </w:rPr>
        <w:t>The</w:t>
      </w:r>
      <w:r>
        <w:rPr>
          <w:spacing w:val="9"/>
          <w:sz w:val="21"/>
        </w:rPr>
        <w:t> </w:t>
      </w:r>
      <w:r>
        <w:rPr>
          <w:sz w:val="21"/>
        </w:rPr>
        <w:t>permit</w:t>
      </w:r>
      <w:r>
        <w:rPr>
          <w:spacing w:val="9"/>
          <w:sz w:val="21"/>
        </w:rPr>
        <w:t> </w:t>
      </w:r>
      <w:r>
        <w:rPr>
          <w:sz w:val="21"/>
        </w:rPr>
        <w:t>is</w:t>
      </w:r>
      <w:r>
        <w:rPr>
          <w:spacing w:val="10"/>
          <w:sz w:val="21"/>
        </w:rPr>
        <w:t> </w:t>
      </w:r>
      <w:r>
        <w:rPr>
          <w:sz w:val="21"/>
        </w:rPr>
        <w:t>the</w:t>
      </w:r>
      <w:r>
        <w:rPr>
          <w:spacing w:val="9"/>
          <w:sz w:val="21"/>
        </w:rPr>
        <w:t> </w:t>
      </w:r>
      <w:r>
        <w:rPr>
          <w:spacing w:val="-3"/>
          <w:sz w:val="21"/>
        </w:rPr>
        <w:t>principal</w:t>
      </w:r>
      <w:r>
        <w:rPr>
          <w:spacing w:val="10"/>
          <w:sz w:val="21"/>
        </w:rPr>
        <w:t> </w:t>
      </w:r>
      <w:r>
        <w:rPr>
          <w:spacing w:val="-3"/>
          <w:sz w:val="21"/>
        </w:rPr>
        <w:t>instrument</w:t>
      </w:r>
      <w:r>
        <w:rPr>
          <w:spacing w:val="9"/>
          <w:sz w:val="21"/>
        </w:rPr>
        <w:t> </w:t>
      </w:r>
      <w:r>
        <w:rPr>
          <w:sz w:val="21"/>
        </w:rPr>
        <w:t>of</w:t>
      </w:r>
      <w:r>
        <w:rPr>
          <w:spacing w:val="10"/>
          <w:sz w:val="21"/>
        </w:rPr>
        <w:t> </w:t>
      </w:r>
      <w:r>
        <w:rPr>
          <w:sz w:val="21"/>
        </w:rPr>
        <w:t>development</w:t>
      </w:r>
      <w:r>
        <w:rPr>
          <w:spacing w:val="9"/>
          <w:sz w:val="21"/>
        </w:rPr>
        <w:t> </w:t>
      </w:r>
      <w:r>
        <w:rPr>
          <w:spacing w:val="-3"/>
          <w:sz w:val="21"/>
        </w:rPr>
        <w:t>approval.</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Local </w:t>
      </w:r>
      <w:r>
        <w:rPr>
          <w:spacing w:val="-3"/>
          <w:w w:val="105"/>
          <w:sz w:val="21"/>
        </w:rPr>
        <w:t>variations cannot </w:t>
      </w:r>
      <w:r>
        <w:rPr>
          <w:w w:val="105"/>
          <w:sz w:val="21"/>
        </w:rPr>
        <w:t>be made </w:t>
      </w:r>
      <w:r>
        <w:rPr>
          <w:spacing w:val="-3"/>
          <w:w w:val="105"/>
          <w:sz w:val="21"/>
        </w:rPr>
        <w:t>to </w:t>
      </w:r>
      <w:r>
        <w:rPr>
          <w:w w:val="105"/>
          <w:sz w:val="21"/>
        </w:rPr>
        <w:t>the state-standard</w:t>
      </w:r>
      <w:r>
        <w:rPr>
          <w:spacing w:val="39"/>
          <w:w w:val="105"/>
          <w:sz w:val="21"/>
        </w:rPr>
        <w:t> </w:t>
      </w:r>
      <w:r>
        <w:rPr>
          <w:spacing w:val="-3"/>
          <w:w w:val="105"/>
          <w:sz w:val="21"/>
        </w:rPr>
        <w:t>provisions.</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z w:val="21"/>
        </w:rPr>
        <w:t>Local</w:t>
      </w:r>
      <w:r>
        <w:rPr>
          <w:spacing w:val="9"/>
          <w:sz w:val="21"/>
        </w:rPr>
        <w:t> </w:t>
      </w:r>
      <w:r>
        <w:rPr>
          <w:spacing w:val="-3"/>
          <w:sz w:val="21"/>
        </w:rPr>
        <w:t>provisions</w:t>
      </w:r>
      <w:r>
        <w:rPr>
          <w:spacing w:val="9"/>
          <w:sz w:val="21"/>
        </w:rPr>
        <w:t> </w:t>
      </w:r>
      <w:r>
        <w:rPr>
          <w:sz w:val="21"/>
        </w:rPr>
        <w:t>must</w:t>
      </w:r>
      <w:r>
        <w:rPr>
          <w:spacing w:val="9"/>
          <w:sz w:val="21"/>
        </w:rPr>
        <w:t> </w:t>
      </w:r>
      <w:r>
        <w:rPr>
          <w:spacing w:val="-2"/>
          <w:sz w:val="21"/>
        </w:rPr>
        <w:t>not</w:t>
      </w:r>
      <w:r>
        <w:rPr>
          <w:spacing w:val="10"/>
          <w:sz w:val="21"/>
        </w:rPr>
        <w:t> </w:t>
      </w:r>
      <w:r>
        <w:rPr>
          <w:sz w:val="21"/>
        </w:rPr>
        <w:t>conflict</w:t>
      </w:r>
      <w:r>
        <w:rPr>
          <w:spacing w:val="9"/>
          <w:sz w:val="21"/>
        </w:rPr>
        <w:t> </w:t>
      </w:r>
      <w:r>
        <w:rPr>
          <w:sz w:val="21"/>
        </w:rPr>
        <w:t>with</w:t>
      </w:r>
      <w:r>
        <w:rPr>
          <w:spacing w:val="9"/>
          <w:sz w:val="21"/>
        </w:rPr>
        <w:t> </w:t>
      </w:r>
      <w:r>
        <w:rPr>
          <w:sz w:val="21"/>
        </w:rPr>
        <w:t>the</w:t>
      </w:r>
      <w:r>
        <w:rPr>
          <w:spacing w:val="9"/>
          <w:sz w:val="21"/>
        </w:rPr>
        <w:t> </w:t>
      </w:r>
      <w:r>
        <w:rPr>
          <w:sz w:val="21"/>
        </w:rPr>
        <w:t>state</w:t>
      </w:r>
      <w:r>
        <w:rPr>
          <w:spacing w:val="10"/>
          <w:sz w:val="21"/>
        </w:rPr>
        <w:t> </w:t>
      </w:r>
      <w:r>
        <w:rPr>
          <w:spacing w:val="-3"/>
          <w:sz w:val="21"/>
        </w:rPr>
        <w:t>provisions.</w:t>
      </w:r>
    </w:p>
    <w:p>
      <w:pPr>
        <w:pStyle w:val="ListParagraph"/>
        <w:numPr>
          <w:ilvl w:val="2"/>
          <w:numId w:val="16"/>
        </w:numPr>
        <w:tabs>
          <w:tab w:pos="2721" w:val="left" w:leader="none"/>
          <w:tab w:pos="2722" w:val="left" w:leader="none"/>
        </w:tabs>
        <w:spacing w:line="242" w:lineRule="auto" w:before="88" w:after="0"/>
        <w:ind w:left="2721" w:right="1754" w:hanging="340"/>
        <w:jc w:val="left"/>
        <w:rPr>
          <w:sz w:val="21"/>
        </w:rPr>
      </w:pPr>
      <w:r>
        <w:rPr>
          <w:sz w:val="21"/>
        </w:rPr>
        <w:t>Local </w:t>
      </w:r>
      <w:r>
        <w:rPr>
          <w:spacing w:val="-3"/>
          <w:sz w:val="21"/>
        </w:rPr>
        <w:t>requirements are </w:t>
      </w:r>
      <w:r>
        <w:rPr>
          <w:sz w:val="21"/>
        </w:rPr>
        <w:t>expressed in a schedule </w:t>
      </w:r>
      <w:r>
        <w:rPr>
          <w:spacing w:val="-3"/>
          <w:sz w:val="21"/>
        </w:rPr>
        <w:t>following </w:t>
      </w:r>
      <w:r>
        <w:rPr>
          <w:sz w:val="21"/>
        </w:rPr>
        <w:t>the </w:t>
      </w:r>
      <w:r>
        <w:rPr>
          <w:spacing w:val="-3"/>
          <w:sz w:val="21"/>
        </w:rPr>
        <w:t>relevant </w:t>
      </w:r>
      <w:r>
        <w:rPr>
          <w:sz w:val="21"/>
        </w:rPr>
        <w:t>state-standard </w:t>
      </w:r>
      <w:r>
        <w:rPr>
          <w:spacing w:val="-5"/>
          <w:sz w:val="21"/>
        </w:rPr>
        <w:t>provision.</w:t>
      </w:r>
      <w:r>
        <w:rPr>
          <w:spacing w:val="-5"/>
          <w:position w:val="7"/>
          <w:sz w:val="12"/>
        </w:rPr>
        <w:t>14</w:t>
      </w:r>
    </w:p>
    <w:p>
      <w:pPr>
        <w:pStyle w:val="ListParagraph"/>
        <w:numPr>
          <w:ilvl w:val="1"/>
          <w:numId w:val="16"/>
        </w:numPr>
        <w:tabs>
          <w:tab w:pos="2381" w:val="left" w:leader="none"/>
          <w:tab w:pos="2382" w:val="left" w:leader="none"/>
        </w:tabs>
        <w:spacing w:line="242" w:lineRule="auto" w:before="87" w:after="0"/>
        <w:ind w:left="2381" w:right="2087" w:hanging="794"/>
        <w:jc w:val="left"/>
        <w:rPr>
          <w:sz w:val="21"/>
        </w:rPr>
      </w:pPr>
      <w:r>
        <w:rPr>
          <w:spacing w:val="-3"/>
          <w:sz w:val="21"/>
        </w:rPr>
        <w:t>Importantly, </w:t>
      </w:r>
      <w:r>
        <w:rPr>
          <w:sz w:val="21"/>
        </w:rPr>
        <w:t>it is very difficult </w:t>
      </w:r>
      <w:r>
        <w:rPr>
          <w:spacing w:val="-3"/>
          <w:sz w:val="21"/>
        </w:rPr>
        <w:t>to change </w:t>
      </w:r>
      <w:r>
        <w:rPr>
          <w:sz w:val="21"/>
        </w:rPr>
        <w:t>these existing policies. Any </w:t>
      </w:r>
      <w:r>
        <w:rPr>
          <w:spacing w:val="-3"/>
          <w:sz w:val="21"/>
        </w:rPr>
        <w:t>amendment to </w:t>
      </w:r>
      <w:r>
        <w:rPr>
          <w:sz w:val="21"/>
        </w:rPr>
        <w:t>a </w:t>
      </w:r>
      <w:r>
        <w:rPr>
          <w:spacing w:val="-3"/>
          <w:sz w:val="21"/>
        </w:rPr>
        <w:t>planning </w:t>
      </w:r>
      <w:r>
        <w:rPr>
          <w:sz w:val="21"/>
        </w:rPr>
        <w:t>scheme must be </w:t>
      </w:r>
      <w:r>
        <w:rPr>
          <w:spacing w:val="-3"/>
          <w:sz w:val="21"/>
        </w:rPr>
        <w:t>formally approved</w:t>
      </w:r>
      <w:r>
        <w:rPr>
          <w:spacing w:val="2"/>
          <w:sz w:val="21"/>
        </w:rPr>
        <w:t> </w:t>
      </w:r>
      <w:r>
        <w:rPr>
          <w:sz w:val="21"/>
        </w:rPr>
        <w:t>and </w:t>
      </w:r>
      <w:r>
        <w:rPr>
          <w:spacing w:val="-5"/>
          <w:sz w:val="21"/>
        </w:rPr>
        <w:t>gazetted.</w:t>
      </w:r>
      <w:r>
        <w:rPr>
          <w:spacing w:val="-5"/>
          <w:position w:val="7"/>
          <w:sz w:val="12"/>
        </w:rPr>
        <w:t>15</w:t>
      </w:r>
    </w:p>
    <w:p>
      <w:pPr>
        <w:pStyle w:val="ListParagraph"/>
        <w:numPr>
          <w:ilvl w:val="1"/>
          <w:numId w:val="16"/>
        </w:numPr>
        <w:tabs>
          <w:tab w:pos="2380" w:val="left" w:leader="none"/>
          <w:tab w:pos="2382" w:val="left" w:leader="none"/>
        </w:tabs>
        <w:spacing w:line="242" w:lineRule="auto" w:before="123" w:after="0"/>
        <w:ind w:left="2381" w:right="1729" w:hanging="794"/>
        <w:jc w:val="left"/>
        <w:rPr>
          <w:sz w:val="21"/>
        </w:rPr>
      </w:pPr>
      <w:r>
        <w:rPr>
          <w:sz w:val="21"/>
        </w:rPr>
        <w:t>These </w:t>
      </w:r>
      <w:r>
        <w:rPr>
          <w:spacing w:val="-3"/>
          <w:sz w:val="21"/>
        </w:rPr>
        <w:t>features </w:t>
      </w:r>
      <w:r>
        <w:rPr>
          <w:sz w:val="21"/>
        </w:rPr>
        <w:t>of </w:t>
      </w:r>
      <w:r>
        <w:rPr>
          <w:spacing w:val="-3"/>
          <w:sz w:val="21"/>
        </w:rPr>
        <w:t>planning </w:t>
      </w:r>
      <w:r>
        <w:rPr>
          <w:sz w:val="21"/>
        </w:rPr>
        <w:t>schemes </w:t>
      </w:r>
      <w:r>
        <w:rPr>
          <w:spacing w:val="-3"/>
          <w:sz w:val="21"/>
        </w:rPr>
        <w:t>reveal </w:t>
      </w:r>
      <w:r>
        <w:rPr>
          <w:sz w:val="21"/>
        </w:rPr>
        <w:t>the policy </w:t>
      </w:r>
      <w:r>
        <w:rPr>
          <w:spacing w:val="-3"/>
          <w:sz w:val="21"/>
        </w:rPr>
        <w:t>considerations </w:t>
      </w:r>
      <w:r>
        <w:rPr>
          <w:sz w:val="21"/>
        </w:rPr>
        <w:t>at </w:t>
      </w:r>
      <w:r>
        <w:rPr>
          <w:spacing w:val="-3"/>
          <w:sz w:val="21"/>
        </w:rPr>
        <w:t>play  that  are </w:t>
      </w:r>
      <w:r>
        <w:rPr>
          <w:sz w:val="21"/>
        </w:rPr>
        <w:t>typically broader </w:t>
      </w:r>
      <w:r>
        <w:rPr>
          <w:spacing w:val="-3"/>
          <w:sz w:val="21"/>
        </w:rPr>
        <w:t>than </w:t>
      </w:r>
      <w:r>
        <w:rPr>
          <w:sz w:val="21"/>
        </w:rPr>
        <w:t>those present in </w:t>
      </w:r>
      <w:r>
        <w:rPr>
          <w:spacing w:val="-3"/>
          <w:sz w:val="21"/>
        </w:rPr>
        <w:t>disputes </w:t>
      </w:r>
      <w:r>
        <w:rPr>
          <w:sz w:val="21"/>
        </w:rPr>
        <w:t>between </w:t>
      </w:r>
      <w:r>
        <w:rPr>
          <w:spacing w:val="-3"/>
          <w:sz w:val="21"/>
        </w:rPr>
        <w:t>adjoining  </w:t>
      </w:r>
      <w:r>
        <w:rPr>
          <w:sz w:val="21"/>
        </w:rPr>
        <w:t>neighbours  about trees. The Victorian </w:t>
      </w:r>
      <w:r>
        <w:rPr>
          <w:spacing w:val="-3"/>
          <w:sz w:val="21"/>
        </w:rPr>
        <w:t>planning framework </w:t>
      </w:r>
      <w:r>
        <w:rPr>
          <w:sz w:val="21"/>
        </w:rPr>
        <w:t>assumes and enables </w:t>
      </w:r>
      <w:r>
        <w:rPr>
          <w:spacing w:val="-3"/>
          <w:sz w:val="21"/>
        </w:rPr>
        <w:t>greater </w:t>
      </w:r>
      <w:r>
        <w:rPr>
          <w:sz w:val="21"/>
        </w:rPr>
        <w:t>community </w:t>
      </w:r>
      <w:r>
        <w:rPr>
          <w:spacing w:val="-3"/>
          <w:sz w:val="21"/>
        </w:rPr>
        <w:t>involvement </w:t>
      </w:r>
      <w:r>
        <w:rPr>
          <w:sz w:val="21"/>
        </w:rPr>
        <w:t>in everyday </w:t>
      </w:r>
      <w:r>
        <w:rPr>
          <w:spacing w:val="-3"/>
          <w:sz w:val="21"/>
        </w:rPr>
        <w:t>planning </w:t>
      </w:r>
      <w:r>
        <w:rPr>
          <w:sz w:val="21"/>
        </w:rPr>
        <w:t>decisions and in setting standard </w:t>
      </w:r>
      <w:r>
        <w:rPr>
          <w:spacing w:val="-3"/>
          <w:sz w:val="21"/>
        </w:rPr>
        <w:t>planning </w:t>
      </w:r>
      <w:r>
        <w:rPr>
          <w:sz w:val="21"/>
        </w:rPr>
        <w:t>policies </w:t>
      </w:r>
      <w:r>
        <w:rPr>
          <w:spacing w:val="-3"/>
          <w:sz w:val="21"/>
        </w:rPr>
        <w:t>that are </w:t>
      </w:r>
      <w:r>
        <w:rPr>
          <w:sz w:val="21"/>
        </w:rPr>
        <w:t>applied </w:t>
      </w:r>
      <w:r>
        <w:rPr>
          <w:spacing w:val="-3"/>
          <w:sz w:val="21"/>
        </w:rPr>
        <w:t>consistently </w:t>
      </w:r>
      <w:r>
        <w:rPr>
          <w:sz w:val="21"/>
        </w:rPr>
        <w:t>across</w:t>
      </w:r>
      <w:r>
        <w:rPr>
          <w:spacing w:val="40"/>
          <w:sz w:val="21"/>
        </w:rPr>
        <w:t> </w:t>
      </w:r>
      <w:r>
        <w:rPr>
          <w:sz w:val="21"/>
        </w:rPr>
        <w:t>Victoria.</w:t>
      </w:r>
    </w:p>
    <w:p>
      <w:pPr>
        <w:pStyle w:val="BodyText"/>
        <w:spacing w:before="5"/>
        <w:rPr>
          <w:sz w:val="20"/>
        </w:rPr>
      </w:pPr>
    </w:p>
    <w:p>
      <w:pPr>
        <w:pStyle w:val="Heading5"/>
        <w:spacing w:before="1"/>
      </w:pPr>
      <w:r>
        <w:rPr>
          <w:w w:val="110"/>
        </w:rPr>
        <w:t>Permit process</w:t>
      </w:r>
    </w:p>
    <w:p>
      <w:pPr>
        <w:pStyle w:val="ListParagraph"/>
        <w:numPr>
          <w:ilvl w:val="1"/>
          <w:numId w:val="16"/>
        </w:numPr>
        <w:tabs>
          <w:tab w:pos="2380" w:val="left" w:leader="none"/>
          <w:tab w:pos="2381" w:val="left" w:leader="none"/>
        </w:tabs>
        <w:spacing w:line="242" w:lineRule="auto" w:before="137" w:after="0"/>
        <w:ind w:left="2381" w:right="1598" w:hanging="794"/>
        <w:jc w:val="left"/>
        <w:rPr>
          <w:sz w:val="21"/>
        </w:rPr>
      </w:pPr>
      <w:r>
        <w:rPr>
          <w:w w:val="105"/>
          <w:sz w:val="21"/>
        </w:rPr>
        <w:t>The next part of this </w:t>
      </w:r>
      <w:r>
        <w:rPr>
          <w:spacing w:val="-3"/>
          <w:w w:val="105"/>
          <w:sz w:val="21"/>
        </w:rPr>
        <w:t>chapter </w:t>
      </w:r>
      <w:r>
        <w:rPr>
          <w:w w:val="105"/>
          <w:sz w:val="21"/>
        </w:rPr>
        <w:t>considers the two permit processes and the </w:t>
      </w:r>
      <w:r>
        <w:rPr>
          <w:spacing w:val="-4"/>
          <w:w w:val="105"/>
          <w:sz w:val="21"/>
        </w:rPr>
        <w:t>key </w:t>
      </w:r>
      <w:r>
        <w:rPr>
          <w:spacing w:val="-3"/>
          <w:w w:val="105"/>
          <w:sz w:val="21"/>
        </w:rPr>
        <w:t>planning mechanisms</w:t>
      </w:r>
      <w:r>
        <w:rPr>
          <w:spacing w:val="-7"/>
          <w:w w:val="105"/>
          <w:sz w:val="21"/>
        </w:rPr>
        <w:t> </w:t>
      </w:r>
      <w:r>
        <w:rPr>
          <w:spacing w:val="-3"/>
          <w:w w:val="105"/>
          <w:sz w:val="21"/>
        </w:rPr>
        <w:t>that</w:t>
      </w:r>
      <w:r>
        <w:rPr>
          <w:spacing w:val="-7"/>
          <w:w w:val="105"/>
          <w:sz w:val="21"/>
        </w:rPr>
        <w:t> </w:t>
      </w:r>
      <w:r>
        <w:rPr>
          <w:w w:val="105"/>
          <w:sz w:val="21"/>
        </w:rPr>
        <w:t>apply</w:t>
      </w:r>
      <w:r>
        <w:rPr>
          <w:spacing w:val="-7"/>
          <w:w w:val="105"/>
          <w:sz w:val="21"/>
        </w:rPr>
        <w:t> </w:t>
      </w:r>
      <w:r>
        <w:rPr>
          <w:spacing w:val="-3"/>
          <w:w w:val="105"/>
          <w:sz w:val="21"/>
        </w:rPr>
        <w:t>to</w:t>
      </w:r>
      <w:r>
        <w:rPr>
          <w:spacing w:val="-6"/>
          <w:w w:val="105"/>
          <w:sz w:val="21"/>
        </w:rPr>
        <w:t> </w:t>
      </w:r>
      <w:r>
        <w:rPr>
          <w:w w:val="105"/>
          <w:sz w:val="21"/>
        </w:rPr>
        <w:t>trees</w:t>
      </w:r>
      <w:r>
        <w:rPr>
          <w:spacing w:val="-7"/>
          <w:w w:val="105"/>
          <w:sz w:val="21"/>
        </w:rPr>
        <w:t> </w:t>
      </w:r>
      <w:r>
        <w:rPr>
          <w:w w:val="105"/>
          <w:sz w:val="21"/>
        </w:rPr>
        <w:t>on</w:t>
      </w:r>
      <w:r>
        <w:rPr>
          <w:spacing w:val="-7"/>
          <w:w w:val="105"/>
          <w:sz w:val="21"/>
        </w:rPr>
        <w:t> </w:t>
      </w:r>
      <w:r>
        <w:rPr>
          <w:spacing w:val="-3"/>
          <w:w w:val="105"/>
          <w:sz w:val="21"/>
        </w:rPr>
        <w:t>private</w:t>
      </w:r>
      <w:r>
        <w:rPr>
          <w:spacing w:val="-6"/>
          <w:w w:val="105"/>
          <w:sz w:val="21"/>
        </w:rPr>
        <w:t> </w:t>
      </w:r>
      <w:r>
        <w:rPr>
          <w:spacing w:val="-3"/>
          <w:w w:val="105"/>
          <w:sz w:val="21"/>
        </w:rPr>
        <w:t>land</w:t>
      </w:r>
      <w:r>
        <w:rPr>
          <w:spacing w:val="-7"/>
          <w:w w:val="105"/>
          <w:sz w:val="21"/>
        </w:rPr>
        <w:t> </w:t>
      </w:r>
      <w:r>
        <w:rPr>
          <w:w w:val="105"/>
          <w:sz w:val="21"/>
        </w:rPr>
        <w:t>in</w:t>
      </w:r>
      <w:r>
        <w:rPr>
          <w:spacing w:val="-7"/>
          <w:w w:val="105"/>
          <w:sz w:val="21"/>
        </w:rPr>
        <w:t> </w:t>
      </w:r>
      <w:r>
        <w:rPr>
          <w:w w:val="105"/>
          <w:sz w:val="21"/>
        </w:rPr>
        <w:t>Victoria</w:t>
      </w:r>
      <w:r>
        <w:rPr>
          <w:spacing w:val="-7"/>
          <w:w w:val="105"/>
          <w:sz w:val="21"/>
        </w:rPr>
        <w:t> </w:t>
      </w:r>
      <w:r>
        <w:rPr>
          <w:spacing w:val="-3"/>
          <w:w w:val="105"/>
          <w:sz w:val="21"/>
        </w:rPr>
        <w:t>that</w:t>
      </w:r>
      <w:r>
        <w:rPr>
          <w:spacing w:val="-6"/>
          <w:w w:val="105"/>
          <w:sz w:val="21"/>
        </w:rPr>
        <w:t> </w:t>
      </w:r>
      <w:r>
        <w:rPr>
          <w:spacing w:val="-3"/>
          <w:w w:val="105"/>
          <w:sz w:val="21"/>
        </w:rPr>
        <w:t>may</w:t>
      </w:r>
      <w:r>
        <w:rPr>
          <w:spacing w:val="-7"/>
          <w:w w:val="105"/>
          <w:sz w:val="21"/>
        </w:rPr>
        <w:t> </w:t>
      </w:r>
      <w:r>
        <w:rPr>
          <w:w w:val="105"/>
          <w:sz w:val="21"/>
        </w:rPr>
        <w:t>intersect</w:t>
      </w:r>
      <w:r>
        <w:rPr>
          <w:spacing w:val="-7"/>
          <w:w w:val="105"/>
          <w:sz w:val="21"/>
        </w:rPr>
        <w:t> </w:t>
      </w:r>
      <w:r>
        <w:rPr>
          <w:w w:val="105"/>
          <w:sz w:val="21"/>
        </w:rPr>
        <w:t>with</w:t>
      </w:r>
      <w:r>
        <w:rPr>
          <w:spacing w:val="-6"/>
          <w:w w:val="105"/>
          <w:sz w:val="21"/>
        </w:rPr>
        <w:t> </w:t>
      </w:r>
      <w:r>
        <w:rPr>
          <w:w w:val="105"/>
          <w:sz w:val="21"/>
        </w:rPr>
        <w:t>the</w:t>
      </w:r>
      <w:r>
        <w:rPr>
          <w:spacing w:val="-7"/>
          <w:w w:val="105"/>
          <w:sz w:val="21"/>
        </w:rPr>
        <w:t> </w:t>
      </w:r>
      <w:r>
        <w:rPr>
          <w:w w:val="105"/>
          <w:sz w:val="21"/>
        </w:rPr>
        <w:t>new Act. This </w:t>
      </w:r>
      <w:r>
        <w:rPr>
          <w:spacing w:val="-3"/>
          <w:w w:val="105"/>
          <w:sz w:val="21"/>
        </w:rPr>
        <w:t>may occur </w:t>
      </w:r>
      <w:r>
        <w:rPr>
          <w:w w:val="105"/>
          <w:sz w:val="21"/>
        </w:rPr>
        <w:t>in two </w:t>
      </w:r>
      <w:r>
        <w:rPr>
          <w:spacing w:val="-4"/>
          <w:w w:val="105"/>
          <w:sz w:val="21"/>
        </w:rPr>
        <w:t>key </w:t>
      </w:r>
      <w:r>
        <w:rPr>
          <w:w w:val="105"/>
          <w:sz w:val="21"/>
        </w:rPr>
        <w:t>ways:</w:t>
      </w:r>
    </w:p>
    <w:p>
      <w:pPr>
        <w:pStyle w:val="ListParagraph"/>
        <w:numPr>
          <w:ilvl w:val="2"/>
          <w:numId w:val="16"/>
        </w:numPr>
        <w:tabs>
          <w:tab w:pos="2721" w:val="left" w:leader="none"/>
          <w:tab w:pos="2722" w:val="left" w:leader="none"/>
        </w:tabs>
        <w:spacing w:line="242" w:lineRule="auto" w:before="123" w:after="0"/>
        <w:ind w:left="2721" w:right="2341" w:hanging="341"/>
        <w:jc w:val="left"/>
        <w:rPr>
          <w:sz w:val="21"/>
        </w:rPr>
      </w:pPr>
      <w:r>
        <w:rPr>
          <w:w w:val="105"/>
          <w:sz w:val="21"/>
        </w:rPr>
        <w:t>a</w:t>
      </w:r>
      <w:r>
        <w:rPr>
          <w:spacing w:val="-5"/>
          <w:w w:val="105"/>
          <w:sz w:val="21"/>
        </w:rPr>
        <w:t> </w:t>
      </w:r>
      <w:r>
        <w:rPr>
          <w:w w:val="105"/>
          <w:sz w:val="21"/>
        </w:rPr>
        <w:t>permit</w:t>
      </w:r>
      <w:r>
        <w:rPr>
          <w:spacing w:val="-4"/>
          <w:w w:val="105"/>
          <w:sz w:val="21"/>
        </w:rPr>
        <w:t> </w:t>
      </w:r>
      <w:r>
        <w:rPr>
          <w:spacing w:val="-3"/>
          <w:w w:val="105"/>
          <w:sz w:val="21"/>
        </w:rPr>
        <w:t>may</w:t>
      </w:r>
      <w:r>
        <w:rPr>
          <w:spacing w:val="-5"/>
          <w:w w:val="105"/>
          <w:sz w:val="21"/>
        </w:rPr>
        <w:t> </w:t>
      </w:r>
      <w:r>
        <w:rPr>
          <w:w w:val="105"/>
          <w:sz w:val="21"/>
        </w:rPr>
        <w:t>need</w:t>
      </w:r>
      <w:r>
        <w:rPr>
          <w:spacing w:val="-4"/>
          <w:w w:val="105"/>
          <w:sz w:val="21"/>
        </w:rPr>
        <w:t> </w:t>
      </w:r>
      <w:r>
        <w:rPr>
          <w:spacing w:val="-3"/>
          <w:w w:val="105"/>
          <w:sz w:val="21"/>
        </w:rPr>
        <w:t>to</w:t>
      </w:r>
      <w:r>
        <w:rPr>
          <w:spacing w:val="-4"/>
          <w:w w:val="105"/>
          <w:sz w:val="21"/>
        </w:rPr>
        <w:t> </w:t>
      </w:r>
      <w:r>
        <w:rPr>
          <w:w w:val="105"/>
          <w:sz w:val="21"/>
        </w:rPr>
        <w:t>be</w:t>
      </w:r>
      <w:r>
        <w:rPr>
          <w:spacing w:val="-5"/>
          <w:w w:val="105"/>
          <w:sz w:val="21"/>
        </w:rPr>
        <w:t> </w:t>
      </w:r>
      <w:r>
        <w:rPr>
          <w:w w:val="105"/>
          <w:sz w:val="21"/>
        </w:rPr>
        <w:t>obtained</w:t>
      </w:r>
      <w:r>
        <w:rPr>
          <w:spacing w:val="-4"/>
          <w:w w:val="105"/>
          <w:sz w:val="21"/>
        </w:rPr>
        <w:t> </w:t>
      </w:r>
      <w:r>
        <w:rPr>
          <w:spacing w:val="-3"/>
          <w:w w:val="105"/>
          <w:sz w:val="21"/>
        </w:rPr>
        <w:t>before</w:t>
      </w:r>
      <w:r>
        <w:rPr>
          <w:spacing w:val="-4"/>
          <w:w w:val="105"/>
          <w:sz w:val="21"/>
        </w:rPr>
        <w:t> </w:t>
      </w:r>
      <w:r>
        <w:rPr>
          <w:spacing w:val="-3"/>
          <w:w w:val="105"/>
          <w:sz w:val="21"/>
        </w:rPr>
        <w:t>any</w:t>
      </w:r>
      <w:r>
        <w:rPr>
          <w:spacing w:val="-5"/>
          <w:w w:val="105"/>
          <w:sz w:val="21"/>
        </w:rPr>
        <w:t> </w:t>
      </w:r>
      <w:r>
        <w:rPr>
          <w:w w:val="105"/>
          <w:sz w:val="21"/>
        </w:rPr>
        <w:t>works</w:t>
      </w:r>
      <w:r>
        <w:rPr>
          <w:spacing w:val="-4"/>
          <w:w w:val="105"/>
          <w:sz w:val="21"/>
        </w:rPr>
        <w:t> </w:t>
      </w:r>
      <w:r>
        <w:rPr>
          <w:w w:val="105"/>
          <w:sz w:val="21"/>
        </w:rPr>
        <w:t>can</w:t>
      </w:r>
      <w:r>
        <w:rPr>
          <w:spacing w:val="-4"/>
          <w:w w:val="105"/>
          <w:sz w:val="21"/>
        </w:rPr>
        <w:t> </w:t>
      </w:r>
      <w:r>
        <w:rPr>
          <w:w w:val="105"/>
          <w:sz w:val="21"/>
        </w:rPr>
        <w:t>be</w:t>
      </w:r>
      <w:r>
        <w:rPr>
          <w:spacing w:val="-5"/>
          <w:w w:val="105"/>
          <w:sz w:val="21"/>
        </w:rPr>
        <w:t> </w:t>
      </w:r>
      <w:r>
        <w:rPr>
          <w:w w:val="105"/>
          <w:sz w:val="21"/>
        </w:rPr>
        <w:t>carried</w:t>
      </w:r>
      <w:r>
        <w:rPr>
          <w:spacing w:val="-4"/>
          <w:w w:val="105"/>
          <w:sz w:val="21"/>
        </w:rPr>
        <w:t> </w:t>
      </w:r>
      <w:r>
        <w:rPr>
          <w:w w:val="105"/>
          <w:sz w:val="21"/>
        </w:rPr>
        <w:t>out</w:t>
      </w:r>
      <w:r>
        <w:rPr>
          <w:spacing w:val="-5"/>
          <w:w w:val="105"/>
          <w:sz w:val="21"/>
        </w:rPr>
        <w:t> </w:t>
      </w:r>
      <w:r>
        <w:rPr>
          <w:spacing w:val="-3"/>
          <w:w w:val="105"/>
          <w:sz w:val="21"/>
        </w:rPr>
        <w:t>to</w:t>
      </w:r>
      <w:r>
        <w:rPr>
          <w:spacing w:val="-4"/>
          <w:w w:val="105"/>
          <w:sz w:val="21"/>
        </w:rPr>
        <w:t> </w:t>
      </w:r>
      <w:r>
        <w:rPr>
          <w:w w:val="105"/>
          <w:sz w:val="21"/>
        </w:rPr>
        <w:t>the problem </w:t>
      </w:r>
      <w:r>
        <w:rPr>
          <w:spacing w:val="-3"/>
          <w:w w:val="105"/>
          <w:sz w:val="21"/>
        </w:rPr>
        <w:t>tree,</w:t>
      </w:r>
      <w:r>
        <w:rPr>
          <w:spacing w:val="10"/>
          <w:w w:val="105"/>
          <w:sz w:val="21"/>
        </w:rPr>
        <w:t> </w:t>
      </w:r>
      <w:r>
        <w:rPr>
          <w:w w:val="105"/>
          <w:sz w:val="21"/>
        </w:rPr>
        <w:t>or</w:t>
      </w:r>
    </w:p>
    <w:p>
      <w:pPr>
        <w:pStyle w:val="BodyText"/>
        <w:spacing w:before="3"/>
        <w:rPr>
          <w:sz w:val="18"/>
        </w:rPr>
      </w:pPr>
      <w:r>
        <w:rPr/>
        <w:pict>
          <v:line style="position:absolute;mso-position-horizontal-relative:page;mso-position-vertical-relative:paragraph;z-index:9440;mso-wrap-distance-left:0;mso-wrap-distance-right:0" from="79.370003pt,13.596705pt" to="515.905003pt,13.59670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spacing w:before="4"/>
        <w:rPr>
          <w:sz w:val="29"/>
        </w:rPr>
      </w:pPr>
    </w:p>
    <w:p>
      <w:pPr>
        <w:spacing w:before="0"/>
        <w:ind w:left="720" w:right="0" w:firstLine="0"/>
        <w:jc w:val="left"/>
        <w:rPr>
          <w:b/>
          <w:sz w:val="24"/>
        </w:rPr>
      </w:pPr>
      <w:r>
        <w:rPr>
          <w:b/>
          <w:color w:val="658464"/>
          <w:w w:val="105"/>
          <w:sz w:val="24"/>
        </w:rPr>
        <w:t>220</w:t>
      </w:r>
    </w:p>
    <w:p>
      <w:pPr>
        <w:pStyle w:val="ListParagraph"/>
        <w:numPr>
          <w:ilvl w:val="0"/>
          <w:numId w:val="161"/>
        </w:numPr>
        <w:tabs>
          <w:tab w:pos="1220" w:val="left" w:leader="none"/>
          <w:tab w:pos="1221" w:val="left" w:leader="none"/>
        </w:tabs>
        <w:spacing w:line="240" w:lineRule="auto" w:before="48" w:after="0"/>
        <w:ind w:left="1220" w:right="0" w:hanging="793"/>
        <w:jc w:val="left"/>
        <w:rPr>
          <w:sz w:val="13"/>
        </w:rPr>
      </w:pPr>
      <w:r>
        <w:rPr>
          <w:i/>
          <w:spacing w:val="2"/>
          <w:w w:val="96"/>
          <w:sz w:val="13"/>
        </w:rPr>
        <w:br w:type="column"/>
      </w:r>
      <w:r>
        <w:rPr>
          <w:i/>
          <w:w w:val="105"/>
          <w:sz w:val="13"/>
        </w:rPr>
        <w:t>Planning and Environment Act 1987 </w:t>
      </w:r>
      <w:r>
        <w:rPr>
          <w:spacing w:val="2"/>
          <w:w w:val="105"/>
          <w:sz w:val="13"/>
        </w:rPr>
        <w:t>(Vic) </w:t>
      </w:r>
      <w:r>
        <w:rPr>
          <w:w w:val="105"/>
          <w:sz w:val="13"/>
        </w:rPr>
        <w:t>s</w:t>
      </w:r>
      <w:r>
        <w:rPr>
          <w:spacing w:val="30"/>
          <w:w w:val="105"/>
          <w:sz w:val="13"/>
        </w:rPr>
        <w:t> </w:t>
      </w:r>
      <w:r>
        <w:rPr>
          <w:spacing w:val="-4"/>
          <w:w w:val="105"/>
          <w:sz w:val="13"/>
        </w:rPr>
        <w:t>51.</w:t>
      </w:r>
    </w:p>
    <w:p>
      <w:pPr>
        <w:pStyle w:val="ListParagraph"/>
        <w:numPr>
          <w:ilvl w:val="0"/>
          <w:numId w:val="161"/>
        </w:numPr>
        <w:tabs>
          <w:tab w:pos="1220" w:val="left" w:leader="none"/>
          <w:tab w:pos="1221" w:val="left" w:leader="none"/>
        </w:tabs>
        <w:spacing w:line="240" w:lineRule="auto" w:before="1" w:after="0"/>
        <w:ind w:left="1220" w:right="0" w:hanging="793"/>
        <w:jc w:val="left"/>
        <w:rPr>
          <w:sz w:val="13"/>
        </w:rPr>
      </w:pPr>
      <w:r>
        <w:rPr>
          <w:sz w:val="13"/>
        </w:rPr>
        <w:t>Ibid s</w:t>
      </w:r>
      <w:r>
        <w:rPr>
          <w:spacing w:val="12"/>
          <w:sz w:val="13"/>
        </w:rPr>
        <w:t> </w:t>
      </w:r>
      <w:r>
        <w:rPr>
          <w:sz w:val="13"/>
        </w:rPr>
        <w:t>52.</w:t>
      </w:r>
    </w:p>
    <w:p>
      <w:pPr>
        <w:pStyle w:val="ListParagraph"/>
        <w:numPr>
          <w:ilvl w:val="0"/>
          <w:numId w:val="161"/>
        </w:numPr>
        <w:tabs>
          <w:tab w:pos="1221" w:val="left" w:leader="none"/>
          <w:tab w:pos="1222" w:val="left" w:leader="none"/>
        </w:tabs>
        <w:spacing w:line="240" w:lineRule="auto" w:before="2" w:after="0"/>
        <w:ind w:left="1221" w:right="2020" w:hanging="794"/>
        <w:jc w:val="left"/>
        <w:rPr>
          <w:sz w:val="13"/>
        </w:rPr>
      </w:pPr>
      <w:r>
        <w:rPr>
          <w:w w:val="105"/>
          <w:sz w:val="13"/>
        </w:rPr>
        <w:t>VicSmart applications are not advertised because VicSmart is a streamlined assessment process for straightforward planning permit applications: Department of Environment, Land, Water and Planning </w:t>
      </w:r>
      <w:r>
        <w:rPr>
          <w:spacing w:val="2"/>
          <w:w w:val="105"/>
          <w:sz w:val="13"/>
        </w:rPr>
        <w:t>(Vic), </w:t>
      </w:r>
      <w:r>
        <w:rPr>
          <w:i/>
          <w:w w:val="105"/>
          <w:sz w:val="13"/>
        </w:rPr>
        <w:t>VicSmart—A Simpler Planning Permit Process </w:t>
      </w:r>
      <w:r>
        <w:rPr>
          <w:w w:val="105"/>
          <w:sz w:val="13"/>
        </w:rPr>
        <w:t>(Web Page,</w:t>
      </w:r>
      <w:r>
        <w:rPr>
          <w:spacing w:val="30"/>
          <w:w w:val="105"/>
          <w:sz w:val="13"/>
        </w:rPr>
        <w:t> </w:t>
      </w:r>
      <w:r>
        <w:rPr>
          <w:w w:val="105"/>
          <w:sz w:val="13"/>
        </w:rPr>
        <w:t>20 March 2019)</w:t>
      </w:r>
      <w:r>
        <w:rPr>
          <w:spacing w:val="11"/>
          <w:w w:val="105"/>
          <w:sz w:val="13"/>
        </w:rPr>
        <w:t> </w:t>
      </w:r>
      <w:r>
        <w:rPr>
          <w:spacing w:val="2"/>
          <w:w w:val="105"/>
          <w:sz w:val="13"/>
        </w:rPr>
        <w:t>&lt;https://</w:t>
      </w:r>
      <w:hyperlink r:id="rId257">
        <w:r>
          <w:rPr>
            <w:spacing w:val="2"/>
            <w:w w:val="105"/>
            <w:sz w:val="13"/>
          </w:rPr>
          <w:t>www.planning.vic.gov.au/permits-and-applications/vicsmart</w:t>
        </w:r>
      </w:hyperlink>
      <w:r>
        <w:rPr>
          <w:spacing w:val="2"/>
          <w:w w:val="105"/>
          <w:sz w:val="13"/>
        </w:rPr>
        <w:t>&gt;.</w:t>
      </w:r>
    </w:p>
    <w:p>
      <w:pPr>
        <w:pStyle w:val="ListParagraph"/>
        <w:numPr>
          <w:ilvl w:val="0"/>
          <w:numId w:val="161"/>
        </w:numPr>
        <w:tabs>
          <w:tab w:pos="1221" w:val="left" w:leader="none"/>
          <w:tab w:pos="1222" w:val="left" w:leader="none"/>
        </w:tabs>
        <w:spacing w:line="240" w:lineRule="auto" w:before="4" w:after="0"/>
        <w:ind w:left="1221" w:right="0" w:hanging="794"/>
        <w:jc w:val="left"/>
        <w:rPr>
          <w:sz w:val="13"/>
        </w:rPr>
      </w:pPr>
      <w:r>
        <w:rPr>
          <w:w w:val="105"/>
          <w:sz w:val="13"/>
        </w:rPr>
        <w:t>See,</w:t>
      </w:r>
      <w:r>
        <w:rPr>
          <w:spacing w:val="4"/>
          <w:w w:val="105"/>
          <w:sz w:val="13"/>
        </w:rPr>
        <w:t> </w:t>
      </w:r>
      <w:r>
        <w:rPr>
          <w:w w:val="105"/>
          <w:sz w:val="13"/>
        </w:rPr>
        <w:t>eg,</w:t>
      </w:r>
      <w:r>
        <w:rPr>
          <w:spacing w:val="5"/>
          <w:w w:val="105"/>
          <w:sz w:val="13"/>
        </w:rPr>
        <w:t> </w:t>
      </w: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Using</w:t>
      </w:r>
      <w:r>
        <w:rPr>
          <w:i/>
          <w:spacing w:val="5"/>
          <w:w w:val="105"/>
          <w:sz w:val="13"/>
        </w:rPr>
        <w:t> </w:t>
      </w:r>
      <w:r>
        <w:rPr>
          <w:i/>
          <w:w w:val="105"/>
          <w:sz w:val="13"/>
        </w:rPr>
        <w:t>Victoria’s</w:t>
      </w:r>
      <w:r>
        <w:rPr>
          <w:i/>
          <w:spacing w:val="5"/>
          <w:w w:val="105"/>
          <w:sz w:val="13"/>
        </w:rPr>
        <w:t> </w:t>
      </w:r>
      <w:r>
        <w:rPr>
          <w:i/>
          <w:w w:val="105"/>
          <w:sz w:val="13"/>
        </w:rPr>
        <w:t>Planning</w:t>
      </w:r>
      <w:r>
        <w:rPr>
          <w:i/>
          <w:spacing w:val="5"/>
          <w:w w:val="105"/>
          <w:sz w:val="13"/>
        </w:rPr>
        <w:t> </w:t>
      </w:r>
      <w:r>
        <w:rPr>
          <w:i/>
          <w:w w:val="105"/>
          <w:sz w:val="13"/>
        </w:rPr>
        <w:t>System</w:t>
      </w:r>
      <w:r>
        <w:rPr>
          <w:i/>
          <w:spacing w:val="5"/>
          <w:w w:val="105"/>
          <w:sz w:val="13"/>
        </w:rPr>
        <w:t> </w:t>
      </w:r>
      <w:r>
        <w:rPr>
          <w:w w:val="105"/>
          <w:sz w:val="13"/>
        </w:rPr>
        <w:t>(Guide,</w:t>
      </w:r>
      <w:r>
        <w:rPr>
          <w:spacing w:val="5"/>
          <w:w w:val="105"/>
          <w:sz w:val="13"/>
        </w:rPr>
        <w:t> </w:t>
      </w:r>
      <w:r>
        <w:rPr>
          <w:w w:val="105"/>
          <w:sz w:val="13"/>
        </w:rPr>
        <w:t>28</w:t>
      </w:r>
      <w:r>
        <w:rPr>
          <w:spacing w:val="5"/>
          <w:w w:val="105"/>
          <w:sz w:val="13"/>
        </w:rPr>
        <w:t> </w:t>
      </w:r>
      <w:r>
        <w:rPr>
          <w:w w:val="105"/>
          <w:sz w:val="13"/>
        </w:rPr>
        <w:t>May</w:t>
      </w:r>
      <w:r>
        <w:rPr>
          <w:spacing w:val="5"/>
          <w:w w:val="105"/>
          <w:sz w:val="13"/>
        </w:rPr>
        <w:t> </w:t>
      </w:r>
      <w:r>
        <w:rPr>
          <w:w w:val="105"/>
          <w:sz w:val="13"/>
        </w:rPr>
        <w:t>2015)</w:t>
      </w:r>
      <w:r>
        <w:rPr>
          <w:spacing w:val="5"/>
          <w:w w:val="105"/>
          <w:sz w:val="13"/>
        </w:rPr>
        <w:t> </w:t>
      </w:r>
      <w:r>
        <w:rPr>
          <w:w w:val="105"/>
          <w:sz w:val="13"/>
        </w:rPr>
        <w:t>2</w:t>
      </w:r>
    </w:p>
    <w:p>
      <w:pPr>
        <w:spacing w:before="1"/>
        <w:ind w:left="1221" w:right="1649" w:firstLine="0"/>
        <w:jc w:val="left"/>
        <w:rPr>
          <w:sz w:val="13"/>
        </w:rPr>
      </w:pPr>
      <w:r>
        <w:rPr>
          <w:w w:val="105"/>
          <w:sz w:val="13"/>
        </w:rPr>
        <w:t>&lt;https://</w:t>
      </w:r>
      <w:hyperlink r:id="rId95">
        <w:r>
          <w:rPr>
            <w:w w:val="105"/>
            <w:sz w:val="13"/>
          </w:rPr>
          <w:t>www.planning.vic.gov.au/guide-home/using-victorias-planning-system</w:t>
        </w:r>
      </w:hyperlink>
      <w:r>
        <w:rPr>
          <w:w w:val="105"/>
          <w:sz w:val="13"/>
        </w:rPr>
        <w:t>&gt;; see also Stephen Rowley, </w:t>
      </w:r>
      <w:r>
        <w:rPr>
          <w:i/>
          <w:w w:val="105"/>
          <w:sz w:val="13"/>
        </w:rPr>
        <w:t>The Victorian Planning System: </w:t>
      </w:r>
      <w:r>
        <w:rPr>
          <w:i/>
          <w:w w:val="105"/>
          <w:sz w:val="13"/>
        </w:rPr>
        <w:t>Practice, Problems and Prospects </w:t>
      </w:r>
      <w:r>
        <w:rPr>
          <w:w w:val="105"/>
          <w:sz w:val="13"/>
        </w:rPr>
        <w:t>(The Federation Press, 2017) 22-26, 42-44.</w:t>
      </w:r>
    </w:p>
    <w:p>
      <w:pPr>
        <w:pStyle w:val="ListParagraph"/>
        <w:numPr>
          <w:ilvl w:val="0"/>
          <w:numId w:val="161"/>
        </w:numPr>
        <w:tabs>
          <w:tab w:pos="1221" w:val="left" w:leader="none"/>
          <w:tab w:pos="1222" w:val="left" w:leader="none"/>
        </w:tabs>
        <w:spacing w:line="240" w:lineRule="auto" w:before="3" w:after="0"/>
        <w:ind w:left="1221" w:right="1726" w:hanging="794"/>
        <w:jc w:val="left"/>
        <w:rPr>
          <w:sz w:val="13"/>
        </w:rPr>
      </w:pPr>
      <w:r>
        <w:rPr>
          <w:i/>
          <w:w w:val="105"/>
          <w:sz w:val="13"/>
        </w:rPr>
        <w:t>Planning and Environment Act 1987 </w:t>
      </w:r>
      <w:r>
        <w:rPr>
          <w:spacing w:val="2"/>
          <w:w w:val="105"/>
          <w:sz w:val="13"/>
        </w:rPr>
        <w:t>(Vic) </w:t>
      </w:r>
      <w:r>
        <w:rPr>
          <w:w w:val="105"/>
          <w:sz w:val="13"/>
        </w:rPr>
        <w:t>ss 4B, </w:t>
      </w:r>
      <w:r>
        <w:rPr>
          <w:spacing w:val="2"/>
          <w:w w:val="105"/>
          <w:sz w:val="13"/>
        </w:rPr>
        <w:t>D-E, G-J; </w:t>
      </w:r>
      <w:r>
        <w:rPr>
          <w:w w:val="105"/>
          <w:sz w:val="13"/>
        </w:rPr>
        <w:t>see also Stephen Rowley</w:t>
      </w:r>
      <w:r>
        <w:rPr>
          <w:i/>
          <w:w w:val="105"/>
          <w:sz w:val="13"/>
        </w:rPr>
        <w:t>, The Victorian Planning System: Practice, Problems and </w:t>
      </w:r>
      <w:r>
        <w:rPr>
          <w:i/>
          <w:w w:val="105"/>
          <w:sz w:val="13"/>
        </w:rPr>
        <w:t>Prospects </w:t>
      </w:r>
      <w:r>
        <w:rPr>
          <w:spacing w:val="2"/>
          <w:w w:val="105"/>
          <w:sz w:val="13"/>
        </w:rPr>
        <w:t>(The </w:t>
      </w:r>
      <w:r>
        <w:rPr>
          <w:w w:val="105"/>
          <w:sz w:val="13"/>
        </w:rPr>
        <w:t>Federation Press, 2017)</w:t>
      </w:r>
      <w:r>
        <w:rPr>
          <w:spacing w:val="20"/>
          <w:w w:val="105"/>
          <w:sz w:val="13"/>
        </w:rPr>
        <w:t> </w:t>
      </w:r>
      <w:r>
        <w:rPr>
          <w:w w:val="105"/>
          <w:sz w:val="13"/>
        </w:rPr>
        <w:t>164-183.</w:t>
      </w:r>
    </w:p>
    <w:p>
      <w:pPr>
        <w:spacing w:after="0" w:line="240" w:lineRule="auto"/>
        <w:jc w:val="left"/>
        <w:rPr>
          <w:sz w:val="13"/>
        </w:rPr>
        <w:sectPr>
          <w:type w:val="continuous"/>
          <w:pgSz w:w="11910" w:h="16840"/>
          <w:pgMar w:top="300" w:bottom="280" w:left="0" w:right="0"/>
          <w:cols w:num="2" w:equalWidth="0">
            <w:col w:w="1121" w:space="40"/>
            <w:col w:w="10749"/>
          </w:cols>
        </w:sectPr>
      </w:pPr>
    </w:p>
    <w:p>
      <w:pPr>
        <w:pStyle w:val="BodyText"/>
        <w:rPr>
          <w:sz w:val="20"/>
        </w:rPr>
      </w:pPr>
    </w:p>
    <w:p>
      <w:pPr>
        <w:pStyle w:val="BodyText"/>
        <w:spacing w:before="9"/>
        <w:rPr>
          <w:sz w:val="18"/>
        </w:rPr>
      </w:pPr>
    </w:p>
    <w:p>
      <w:pPr>
        <w:pStyle w:val="ListParagraph"/>
        <w:numPr>
          <w:ilvl w:val="1"/>
          <w:numId w:val="161"/>
        </w:numPr>
        <w:tabs>
          <w:tab w:pos="2721" w:val="left" w:leader="none"/>
          <w:tab w:pos="2722" w:val="left" w:leader="none"/>
        </w:tabs>
        <w:spacing w:line="242" w:lineRule="auto" w:before="91" w:after="0"/>
        <w:ind w:left="2721" w:right="1607" w:hanging="340"/>
        <w:jc w:val="left"/>
        <w:rPr>
          <w:sz w:val="21"/>
        </w:rPr>
      </w:pPr>
      <w:r>
        <w:rPr>
          <w:w w:val="105"/>
          <w:sz w:val="21"/>
        </w:rPr>
        <w:t>an</w:t>
      </w:r>
      <w:r>
        <w:rPr>
          <w:spacing w:val="-6"/>
          <w:w w:val="105"/>
          <w:sz w:val="21"/>
        </w:rPr>
        <w:t> </w:t>
      </w:r>
      <w:r>
        <w:rPr>
          <w:w w:val="105"/>
          <w:sz w:val="21"/>
        </w:rPr>
        <w:t>existing</w:t>
      </w:r>
      <w:r>
        <w:rPr>
          <w:spacing w:val="-6"/>
          <w:w w:val="105"/>
          <w:sz w:val="21"/>
        </w:rPr>
        <w:t> </w:t>
      </w:r>
      <w:r>
        <w:rPr>
          <w:w w:val="105"/>
          <w:sz w:val="21"/>
        </w:rPr>
        <w:t>permit</w:t>
      </w:r>
      <w:r>
        <w:rPr>
          <w:spacing w:val="-6"/>
          <w:w w:val="105"/>
          <w:sz w:val="21"/>
        </w:rPr>
        <w:t> </w:t>
      </w:r>
      <w:r>
        <w:rPr>
          <w:spacing w:val="-3"/>
          <w:w w:val="105"/>
          <w:sz w:val="21"/>
        </w:rPr>
        <w:t>may</w:t>
      </w:r>
      <w:r>
        <w:rPr>
          <w:spacing w:val="-5"/>
          <w:w w:val="105"/>
          <w:sz w:val="21"/>
        </w:rPr>
        <w:t> </w:t>
      </w:r>
      <w:r>
        <w:rPr>
          <w:w w:val="105"/>
          <w:sz w:val="21"/>
        </w:rPr>
        <w:t>need</w:t>
      </w:r>
      <w:r>
        <w:rPr>
          <w:spacing w:val="-6"/>
          <w:w w:val="105"/>
          <w:sz w:val="21"/>
        </w:rPr>
        <w:t> </w:t>
      </w:r>
      <w:r>
        <w:rPr>
          <w:spacing w:val="-3"/>
          <w:w w:val="105"/>
          <w:sz w:val="21"/>
        </w:rPr>
        <w:t>to</w:t>
      </w:r>
      <w:r>
        <w:rPr>
          <w:spacing w:val="-6"/>
          <w:w w:val="105"/>
          <w:sz w:val="21"/>
        </w:rPr>
        <w:t> </w:t>
      </w:r>
      <w:r>
        <w:rPr>
          <w:w w:val="105"/>
          <w:sz w:val="21"/>
        </w:rPr>
        <w:t>be</w:t>
      </w:r>
      <w:r>
        <w:rPr>
          <w:spacing w:val="-5"/>
          <w:w w:val="105"/>
          <w:sz w:val="21"/>
        </w:rPr>
        <w:t> </w:t>
      </w:r>
      <w:r>
        <w:rPr>
          <w:w w:val="105"/>
          <w:sz w:val="21"/>
        </w:rPr>
        <w:t>amended</w:t>
      </w:r>
      <w:r>
        <w:rPr>
          <w:spacing w:val="-6"/>
          <w:w w:val="105"/>
          <w:sz w:val="21"/>
        </w:rPr>
        <w:t> </w:t>
      </w:r>
      <w:r>
        <w:rPr>
          <w:w w:val="105"/>
          <w:sz w:val="21"/>
        </w:rPr>
        <w:t>or</w:t>
      </w:r>
      <w:r>
        <w:rPr>
          <w:spacing w:val="-6"/>
          <w:w w:val="105"/>
          <w:sz w:val="21"/>
        </w:rPr>
        <w:t> </w:t>
      </w:r>
      <w:r>
        <w:rPr>
          <w:spacing w:val="-3"/>
          <w:w w:val="105"/>
          <w:sz w:val="21"/>
        </w:rPr>
        <w:t>revoked</w:t>
      </w:r>
      <w:r>
        <w:rPr>
          <w:spacing w:val="-5"/>
          <w:w w:val="105"/>
          <w:sz w:val="21"/>
        </w:rPr>
        <w:t> </w:t>
      </w:r>
      <w:r>
        <w:rPr>
          <w:w w:val="105"/>
          <w:sz w:val="21"/>
        </w:rPr>
        <w:t>so</w:t>
      </w:r>
      <w:r>
        <w:rPr>
          <w:spacing w:val="-6"/>
          <w:w w:val="105"/>
          <w:sz w:val="21"/>
        </w:rPr>
        <w:t> </w:t>
      </w:r>
      <w:r>
        <w:rPr>
          <w:spacing w:val="-3"/>
          <w:w w:val="105"/>
          <w:sz w:val="21"/>
        </w:rPr>
        <w:t>that</w:t>
      </w:r>
      <w:r>
        <w:rPr>
          <w:spacing w:val="-6"/>
          <w:w w:val="105"/>
          <w:sz w:val="21"/>
        </w:rPr>
        <w:t> </w:t>
      </w:r>
      <w:r>
        <w:rPr>
          <w:w w:val="105"/>
          <w:sz w:val="21"/>
        </w:rPr>
        <w:t>works</w:t>
      </w:r>
      <w:r>
        <w:rPr>
          <w:spacing w:val="-5"/>
          <w:w w:val="105"/>
          <w:sz w:val="21"/>
        </w:rPr>
        <w:t> </w:t>
      </w:r>
      <w:r>
        <w:rPr>
          <w:w w:val="105"/>
          <w:sz w:val="21"/>
        </w:rPr>
        <w:t>on</w:t>
      </w:r>
      <w:r>
        <w:rPr>
          <w:spacing w:val="-6"/>
          <w:w w:val="105"/>
          <w:sz w:val="21"/>
        </w:rPr>
        <w:t> </w:t>
      </w:r>
      <w:r>
        <w:rPr>
          <w:w w:val="105"/>
          <w:sz w:val="21"/>
        </w:rPr>
        <w:t>the</w:t>
      </w:r>
      <w:r>
        <w:rPr>
          <w:spacing w:val="-6"/>
          <w:w w:val="105"/>
          <w:sz w:val="21"/>
        </w:rPr>
        <w:t> </w:t>
      </w:r>
      <w:r>
        <w:rPr>
          <w:w w:val="105"/>
          <w:sz w:val="21"/>
        </w:rPr>
        <w:t>problem tree can be carried</w:t>
      </w:r>
      <w:r>
        <w:rPr>
          <w:spacing w:val="19"/>
          <w:w w:val="105"/>
          <w:sz w:val="21"/>
        </w:rPr>
        <w:t> </w:t>
      </w:r>
      <w:r>
        <w:rPr>
          <w:w w:val="105"/>
          <w:sz w:val="21"/>
        </w:rPr>
        <w:t>out.</w:t>
      </w:r>
    </w:p>
    <w:p>
      <w:pPr>
        <w:pStyle w:val="ListParagraph"/>
        <w:numPr>
          <w:ilvl w:val="1"/>
          <w:numId w:val="16"/>
        </w:numPr>
        <w:tabs>
          <w:tab w:pos="2381" w:val="left" w:leader="none"/>
          <w:tab w:pos="2382" w:val="left" w:leader="none"/>
        </w:tabs>
        <w:spacing w:line="242" w:lineRule="auto" w:before="88" w:after="0"/>
        <w:ind w:left="2381" w:right="1714" w:hanging="794"/>
        <w:jc w:val="left"/>
        <w:rPr>
          <w:sz w:val="21"/>
        </w:rPr>
      </w:pPr>
      <w:r>
        <w:rPr>
          <w:spacing w:val="-6"/>
          <w:w w:val="105"/>
          <w:sz w:val="21"/>
        </w:rPr>
        <w:t>Two </w:t>
      </w:r>
      <w:r>
        <w:rPr>
          <w:w w:val="105"/>
          <w:sz w:val="21"/>
        </w:rPr>
        <w:t>types of permit processes </w:t>
      </w:r>
      <w:r>
        <w:rPr>
          <w:spacing w:val="-3"/>
          <w:w w:val="105"/>
          <w:sz w:val="21"/>
        </w:rPr>
        <w:t>are </w:t>
      </w:r>
      <w:r>
        <w:rPr>
          <w:w w:val="105"/>
          <w:sz w:val="21"/>
        </w:rPr>
        <w:t>provided—regular and </w:t>
      </w:r>
      <w:r>
        <w:rPr>
          <w:spacing w:val="-4"/>
          <w:w w:val="105"/>
          <w:sz w:val="21"/>
        </w:rPr>
        <w:t>fast-tracked </w:t>
      </w:r>
      <w:r>
        <w:rPr>
          <w:w w:val="105"/>
          <w:sz w:val="21"/>
        </w:rPr>
        <w:t>(VicSmart). </w:t>
      </w:r>
      <w:r>
        <w:rPr>
          <w:spacing w:val="-3"/>
          <w:w w:val="105"/>
          <w:sz w:val="21"/>
        </w:rPr>
        <w:t>Determining</w:t>
      </w:r>
      <w:r>
        <w:rPr>
          <w:spacing w:val="-8"/>
          <w:w w:val="105"/>
          <w:sz w:val="21"/>
        </w:rPr>
        <w:t> </w:t>
      </w:r>
      <w:r>
        <w:rPr>
          <w:w w:val="105"/>
          <w:sz w:val="21"/>
        </w:rPr>
        <w:t>which</w:t>
      </w:r>
      <w:r>
        <w:rPr>
          <w:spacing w:val="-8"/>
          <w:w w:val="105"/>
          <w:sz w:val="21"/>
        </w:rPr>
        <w:t> </w:t>
      </w:r>
      <w:r>
        <w:rPr>
          <w:w w:val="105"/>
          <w:sz w:val="21"/>
        </w:rPr>
        <w:t>permit</w:t>
      </w:r>
      <w:r>
        <w:rPr>
          <w:spacing w:val="-8"/>
          <w:w w:val="105"/>
          <w:sz w:val="21"/>
        </w:rPr>
        <w:t> </w:t>
      </w:r>
      <w:r>
        <w:rPr>
          <w:w w:val="105"/>
          <w:sz w:val="21"/>
        </w:rPr>
        <w:t>process</w:t>
      </w:r>
      <w:r>
        <w:rPr>
          <w:spacing w:val="-8"/>
          <w:w w:val="105"/>
          <w:sz w:val="21"/>
        </w:rPr>
        <w:t> </w:t>
      </w:r>
      <w:r>
        <w:rPr>
          <w:spacing w:val="-3"/>
          <w:w w:val="105"/>
          <w:sz w:val="21"/>
        </w:rPr>
        <w:t>to</w:t>
      </w:r>
      <w:r>
        <w:rPr>
          <w:spacing w:val="-8"/>
          <w:w w:val="105"/>
          <w:sz w:val="21"/>
        </w:rPr>
        <w:t> </w:t>
      </w:r>
      <w:r>
        <w:rPr>
          <w:w w:val="105"/>
          <w:sz w:val="21"/>
        </w:rPr>
        <w:t>use</w:t>
      </w:r>
      <w:r>
        <w:rPr>
          <w:spacing w:val="-8"/>
          <w:w w:val="105"/>
          <w:sz w:val="21"/>
        </w:rPr>
        <w:t> </w:t>
      </w:r>
      <w:r>
        <w:rPr>
          <w:spacing w:val="-3"/>
          <w:w w:val="105"/>
          <w:sz w:val="21"/>
        </w:rPr>
        <w:t>will</w:t>
      </w:r>
      <w:r>
        <w:rPr>
          <w:spacing w:val="-8"/>
          <w:w w:val="105"/>
          <w:sz w:val="21"/>
        </w:rPr>
        <w:t> </w:t>
      </w:r>
      <w:r>
        <w:rPr>
          <w:w w:val="105"/>
          <w:sz w:val="21"/>
        </w:rPr>
        <w:t>depend</w:t>
      </w:r>
      <w:r>
        <w:rPr>
          <w:spacing w:val="-7"/>
          <w:w w:val="105"/>
          <w:sz w:val="21"/>
        </w:rPr>
        <w:t> </w:t>
      </w:r>
      <w:r>
        <w:rPr>
          <w:w w:val="105"/>
          <w:sz w:val="21"/>
        </w:rPr>
        <w:t>upon</w:t>
      </w:r>
      <w:r>
        <w:rPr>
          <w:spacing w:val="-8"/>
          <w:w w:val="105"/>
          <w:sz w:val="21"/>
        </w:rPr>
        <w:t> </w:t>
      </w:r>
      <w:r>
        <w:rPr>
          <w:w w:val="105"/>
          <w:sz w:val="21"/>
        </w:rPr>
        <w:t>the</w:t>
      </w:r>
      <w:r>
        <w:rPr>
          <w:spacing w:val="-8"/>
          <w:w w:val="105"/>
          <w:sz w:val="21"/>
        </w:rPr>
        <w:t> </w:t>
      </w:r>
      <w:r>
        <w:rPr>
          <w:w w:val="105"/>
          <w:sz w:val="21"/>
        </w:rPr>
        <w:t>number</w:t>
      </w:r>
      <w:r>
        <w:rPr>
          <w:spacing w:val="-8"/>
          <w:w w:val="105"/>
          <w:sz w:val="21"/>
        </w:rPr>
        <w:t> </w:t>
      </w:r>
      <w:r>
        <w:rPr>
          <w:w w:val="105"/>
          <w:sz w:val="21"/>
        </w:rPr>
        <w:t>of</w:t>
      </w:r>
      <w:r>
        <w:rPr>
          <w:spacing w:val="-8"/>
          <w:w w:val="105"/>
          <w:sz w:val="21"/>
        </w:rPr>
        <w:t> </w:t>
      </w:r>
      <w:r>
        <w:rPr>
          <w:w w:val="105"/>
          <w:sz w:val="21"/>
        </w:rPr>
        <w:t>trees</w:t>
      </w:r>
      <w:r>
        <w:rPr>
          <w:spacing w:val="-8"/>
          <w:w w:val="105"/>
          <w:sz w:val="21"/>
        </w:rPr>
        <w:t> </w:t>
      </w:r>
      <w:r>
        <w:rPr>
          <w:spacing w:val="-3"/>
          <w:w w:val="105"/>
          <w:sz w:val="21"/>
        </w:rPr>
        <w:t>involved </w:t>
      </w:r>
      <w:r>
        <w:rPr>
          <w:w w:val="105"/>
          <w:sz w:val="21"/>
        </w:rPr>
        <w:t>and</w:t>
      </w:r>
      <w:r>
        <w:rPr>
          <w:spacing w:val="-8"/>
          <w:w w:val="105"/>
          <w:sz w:val="21"/>
        </w:rPr>
        <w:t> </w:t>
      </w:r>
      <w:r>
        <w:rPr>
          <w:w w:val="105"/>
          <w:sz w:val="21"/>
        </w:rPr>
        <w:t>the</w:t>
      </w:r>
      <w:r>
        <w:rPr>
          <w:spacing w:val="-7"/>
          <w:w w:val="105"/>
          <w:sz w:val="21"/>
        </w:rPr>
        <w:t> </w:t>
      </w:r>
      <w:r>
        <w:rPr>
          <w:spacing w:val="-3"/>
          <w:w w:val="105"/>
          <w:sz w:val="21"/>
        </w:rPr>
        <w:t>nature</w:t>
      </w:r>
      <w:r>
        <w:rPr>
          <w:spacing w:val="-7"/>
          <w:w w:val="105"/>
          <w:sz w:val="21"/>
        </w:rPr>
        <w:t> </w:t>
      </w:r>
      <w:r>
        <w:rPr>
          <w:w w:val="105"/>
          <w:sz w:val="21"/>
        </w:rPr>
        <w:t>of</w:t>
      </w:r>
      <w:r>
        <w:rPr>
          <w:spacing w:val="-7"/>
          <w:w w:val="105"/>
          <w:sz w:val="21"/>
        </w:rPr>
        <w:t> </w:t>
      </w:r>
      <w:r>
        <w:rPr>
          <w:w w:val="105"/>
          <w:sz w:val="21"/>
        </w:rPr>
        <w:t>the</w:t>
      </w:r>
      <w:r>
        <w:rPr>
          <w:spacing w:val="-7"/>
          <w:w w:val="105"/>
          <w:sz w:val="21"/>
        </w:rPr>
        <w:t> </w:t>
      </w:r>
      <w:r>
        <w:rPr>
          <w:w w:val="105"/>
          <w:sz w:val="21"/>
        </w:rPr>
        <w:t>new</w:t>
      </w:r>
      <w:r>
        <w:rPr>
          <w:spacing w:val="-8"/>
          <w:w w:val="105"/>
          <w:sz w:val="21"/>
        </w:rPr>
        <w:t> </w:t>
      </w:r>
      <w:r>
        <w:rPr>
          <w:w w:val="105"/>
          <w:sz w:val="21"/>
        </w:rPr>
        <w:t>tree</w:t>
      </w:r>
      <w:r>
        <w:rPr>
          <w:spacing w:val="-7"/>
          <w:w w:val="105"/>
          <w:sz w:val="21"/>
        </w:rPr>
        <w:t> </w:t>
      </w:r>
      <w:r>
        <w:rPr>
          <w:w w:val="105"/>
          <w:sz w:val="21"/>
        </w:rPr>
        <w:t>works.</w:t>
      </w:r>
      <w:r>
        <w:rPr>
          <w:spacing w:val="-7"/>
          <w:w w:val="105"/>
          <w:sz w:val="21"/>
        </w:rPr>
        <w:t> </w:t>
      </w:r>
      <w:r>
        <w:rPr>
          <w:spacing w:val="-3"/>
          <w:w w:val="105"/>
          <w:sz w:val="21"/>
        </w:rPr>
        <w:t>Planning</w:t>
      </w:r>
      <w:r>
        <w:rPr>
          <w:spacing w:val="-7"/>
          <w:w w:val="105"/>
          <w:sz w:val="21"/>
        </w:rPr>
        <w:t> </w:t>
      </w:r>
      <w:r>
        <w:rPr>
          <w:w w:val="105"/>
          <w:sz w:val="21"/>
        </w:rPr>
        <w:t>schemes</w:t>
      </w:r>
      <w:r>
        <w:rPr>
          <w:spacing w:val="-7"/>
          <w:w w:val="105"/>
          <w:sz w:val="21"/>
        </w:rPr>
        <w:t> </w:t>
      </w:r>
      <w:r>
        <w:rPr>
          <w:spacing w:val="-3"/>
          <w:w w:val="105"/>
          <w:sz w:val="21"/>
        </w:rPr>
        <w:t>may</w:t>
      </w:r>
      <w:r>
        <w:rPr>
          <w:spacing w:val="-8"/>
          <w:w w:val="105"/>
          <w:sz w:val="21"/>
        </w:rPr>
        <w:t> </w:t>
      </w:r>
      <w:r>
        <w:rPr>
          <w:w w:val="105"/>
          <w:sz w:val="21"/>
        </w:rPr>
        <w:t>also</w:t>
      </w:r>
      <w:r>
        <w:rPr>
          <w:spacing w:val="-7"/>
          <w:w w:val="105"/>
          <w:sz w:val="21"/>
        </w:rPr>
        <w:t> </w:t>
      </w:r>
      <w:r>
        <w:rPr>
          <w:w w:val="105"/>
          <w:sz w:val="21"/>
        </w:rPr>
        <w:t>specify</w:t>
      </w:r>
      <w:r>
        <w:rPr>
          <w:spacing w:val="-7"/>
          <w:w w:val="105"/>
          <w:sz w:val="21"/>
        </w:rPr>
        <w:t> </w:t>
      </w:r>
      <w:r>
        <w:rPr>
          <w:w w:val="105"/>
          <w:sz w:val="21"/>
        </w:rPr>
        <w:t>what</w:t>
      </w:r>
      <w:r>
        <w:rPr>
          <w:spacing w:val="-7"/>
          <w:w w:val="105"/>
          <w:sz w:val="21"/>
        </w:rPr>
        <w:t> </w:t>
      </w:r>
      <w:r>
        <w:rPr>
          <w:w w:val="105"/>
          <w:sz w:val="21"/>
        </w:rPr>
        <w:t>evidence needs </w:t>
      </w:r>
      <w:r>
        <w:rPr>
          <w:spacing w:val="-3"/>
          <w:w w:val="105"/>
          <w:sz w:val="21"/>
        </w:rPr>
        <w:t>to </w:t>
      </w:r>
      <w:r>
        <w:rPr>
          <w:w w:val="105"/>
          <w:sz w:val="21"/>
        </w:rPr>
        <w:t>be provided </w:t>
      </w:r>
      <w:r>
        <w:rPr>
          <w:spacing w:val="-3"/>
          <w:w w:val="105"/>
          <w:sz w:val="21"/>
        </w:rPr>
        <w:t>to </w:t>
      </w:r>
      <w:r>
        <w:rPr>
          <w:w w:val="105"/>
          <w:sz w:val="21"/>
        </w:rPr>
        <w:t>obtain a</w:t>
      </w:r>
      <w:r>
        <w:rPr>
          <w:spacing w:val="36"/>
          <w:w w:val="105"/>
          <w:sz w:val="21"/>
        </w:rPr>
        <w:t> </w:t>
      </w:r>
      <w:r>
        <w:rPr>
          <w:w w:val="105"/>
          <w:sz w:val="21"/>
        </w:rPr>
        <w:t>permit.</w:t>
      </w:r>
    </w:p>
    <w:p>
      <w:pPr>
        <w:pStyle w:val="ListParagraph"/>
        <w:numPr>
          <w:ilvl w:val="1"/>
          <w:numId w:val="16"/>
        </w:numPr>
        <w:tabs>
          <w:tab w:pos="2381" w:val="left" w:leader="none"/>
          <w:tab w:pos="2382" w:val="left" w:leader="none"/>
        </w:tabs>
        <w:spacing w:line="242" w:lineRule="auto" w:before="124" w:after="0"/>
        <w:ind w:left="2381" w:right="1680" w:hanging="794"/>
        <w:jc w:val="left"/>
        <w:rPr>
          <w:sz w:val="21"/>
        </w:rPr>
      </w:pPr>
      <w:r>
        <w:rPr>
          <w:w w:val="105"/>
          <w:sz w:val="21"/>
        </w:rPr>
        <w:t>An application </w:t>
      </w:r>
      <w:r>
        <w:rPr>
          <w:spacing w:val="-3"/>
          <w:w w:val="105"/>
          <w:sz w:val="21"/>
        </w:rPr>
        <w:t>for </w:t>
      </w:r>
      <w:r>
        <w:rPr>
          <w:w w:val="105"/>
          <w:sz w:val="21"/>
        </w:rPr>
        <w:t>a permit is made </w:t>
      </w:r>
      <w:r>
        <w:rPr>
          <w:spacing w:val="-3"/>
          <w:w w:val="105"/>
          <w:sz w:val="21"/>
        </w:rPr>
        <w:t>to </w:t>
      </w:r>
      <w:r>
        <w:rPr>
          <w:w w:val="105"/>
          <w:sz w:val="21"/>
        </w:rPr>
        <w:t>the </w:t>
      </w:r>
      <w:r>
        <w:rPr>
          <w:spacing w:val="-3"/>
          <w:w w:val="105"/>
          <w:sz w:val="21"/>
        </w:rPr>
        <w:t>responsible authority, generally </w:t>
      </w:r>
      <w:r>
        <w:rPr>
          <w:w w:val="105"/>
          <w:sz w:val="21"/>
        </w:rPr>
        <w:t>the local </w:t>
      </w:r>
      <w:r>
        <w:rPr>
          <w:spacing w:val="-5"/>
          <w:w w:val="105"/>
          <w:sz w:val="21"/>
        </w:rPr>
        <w:t>council.</w:t>
      </w:r>
      <w:r>
        <w:rPr>
          <w:spacing w:val="-5"/>
          <w:w w:val="105"/>
          <w:position w:val="7"/>
          <w:sz w:val="12"/>
        </w:rPr>
        <w:t>16 </w:t>
      </w:r>
      <w:r>
        <w:rPr>
          <w:spacing w:val="-2"/>
          <w:w w:val="105"/>
          <w:sz w:val="21"/>
        </w:rPr>
        <w:t>Permit </w:t>
      </w:r>
      <w:r>
        <w:rPr>
          <w:spacing w:val="-3"/>
          <w:w w:val="105"/>
          <w:sz w:val="21"/>
        </w:rPr>
        <w:t>applications for overlays are generally </w:t>
      </w:r>
      <w:r>
        <w:rPr>
          <w:w w:val="105"/>
          <w:sz w:val="21"/>
        </w:rPr>
        <w:t>made by the owner of the </w:t>
      </w:r>
      <w:r>
        <w:rPr>
          <w:spacing w:val="-3"/>
          <w:w w:val="105"/>
          <w:sz w:val="21"/>
        </w:rPr>
        <w:t>land covered</w:t>
      </w:r>
      <w:r>
        <w:rPr>
          <w:spacing w:val="-7"/>
          <w:w w:val="105"/>
          <w:sz w:val="21"/>
        </w:rPr>
        <w:t> </w:t>
      </w:r>
      <w:r>
        <w:rPr>
          <w:w w:val="105"/>
          <w:sz w:val="21"/>
        </w:rPr>
        <w:t>by</w:t>
      </w:r>
      <w:r>
        <w:rPr>
          <w:spacing w:val="-6"/>
          <w:w w:val="105"/>
          <w:sz w:val="21"/>
        </w:rPr>
        <w:t> </w:t>
      </w:r>
      <w:r>
        <w:rPr>
          <w:w w:val="105"/>
          <w:sz w:val="21"/>
        </w:rPr>
        <w:t>the</w:t>
      </w:r>
      <w:r>
        <w:rPr>
          <w:spacing w:val="-7"/>
          <w:w w:val="105"/>
          <w:sz w:val="21"/>
        </w:rPr>
        <w:t> </w:t>
      </w:r>
      <w:r>
        <w:rPr>
          <w:spacing w:val="-6"/>
          <w:w w:val="105"/>
          <w:sz w:val="21"/>
        </w:rPr>
        <w:t>overlay.</w:t>
      </w:r>
      <w:r>
        <w:rPr>
          <w:spacing w:val="-6"/>
          <w:w w:val="105"/>
          <w:position w:val="7"/>
          <w:sz w:val="12"/>
        </w:rPr>
        <w:t>17  </w:t>
      </w:r>
      <w:r>
        <w:rPr>
          <w:w w:val="105"/>
          <w:sz w:val="21"/>
        </w:rPr>
        <w:t>If</w:t>
      </w:r>
      <w:r>
        <w:rPr>
          <w:spacing w:val="-6"/>
          <w:w w:val="105"/>
          <w:sz w:val="21"/>
        </w:rPr>
        <w:t> </w:t>
      </w:r>
      <w:r>
        <w:rPr>
          <w:w w:val="105"/>
          <w:sz w:val="21"/>
        </w:rPr>
        <w:t>the</w:t>
      </w:r>
      <w:r>
        <w:rPr>
          <w:spacing w:val="-7"/>
          <w:w w:val="105"/>
          <w:sz w:val="21"/>
        </w:rPr>
        <w:t> </w:t>
      </w:r>
      <w:r>
        <w:rPr>
          <w:w w:val="105"/>
          <w:sz w:val="21"/>
        </w:rPr>
        <w:t>permit</w:t>
      </w:r>
      <w:r>
        <w:rPr>
          <w:spacing w:val="-6"/>
          <w:w w:val="105"/>
          <w:sz w:val="21"/>
        </w:rPr>
        <w:t> </w:t>
      </w:r>
      <w:r>
        <w:rPr>
          <w:spacing w:val="-3"/>
          <w:w w:val="105"/>
          <w:sz w:val="21"/>
        </w:rPr>
        <w:t>applicant</w:t>
      </w:r>
      <w:r>
        <w:rPr>
          <w:spacing w:val="-7"/>
          <w:w w:val="105"/>
          <w:sz w:val="21"/>
        </w:rPr>
        <w:t> </w:t>
      </w:r>
      <w:r>
        <w:rPr>
          <w:w w:val="105"/>
          <w:sz w:val="21"/>
        </w:rPr>
        <w:t>is</w:t>
      </w:r>
      <w:r>
        <w:rPr>
          <w:spacing w:val="-6"/>
          <w:w w:val="105"/>
          <w:sz w:val="21"/>
        </w:rPr>
        <w:t> </w:t>
      </w:r>
      <w:r>
        <w:rPr>
          <w:spacing w:val="-2"/>
          <w:w w:val="105"/>
          <w:sz w:val="21"/>
        </w:rPr>
        <w:t>not</w:t>
      </w:r>
      <w:r>
        <w:rPr>
          <w:spacing w:val="-7"/>
          <w:w w:val="105"/>
          <w:sz w:val="21"/>
        </w:rPr>
        <w:t> </w:t>
      </w:r>
      <w:r>
        <w:rPr>
          <w:w w:val="105"/>
          <w:sz w:val="21"/>
        </w:rPr>
        <w:t>the</w:t>
      </w:r>
      <w:r>
        <w:rPr>
          <w:spacing w:val="-6"/>
          <w:w w:val="105"/>
          <w:sz w:val="21"/>
        </w:rPr>
        <w:t> </w:t>
      </w:r>
      <w:r>
        <w:rPr>
          <w:spacing w:val="-4"/>
          <w:w w:val="105"/>
          <w:sz w:val="21"/>
        </w:rPr>
        <w:t>owner,</w:t>
      </w:r>
      <w:r>
        <w:rPr>
          <w:spacing w:val="-6"/>
          <w:w w:val="105"/>
          <w:sz w:val="21"/>
        </w:rPr>
        <w:t> </w:t>
      </w:r>
      <w:r>
        <w:rPr>
          <w:w w:val="105"/>
          <w:sz w:val="21"/>
        </w:rPr>
        <w:t>the</w:t>
      </w:r>
      <w:r>
        <w:rPr>
          <w:spacing w:val="-7"/>
          <w:w w:val="105"/>
          <w:sz w:val="21"/>
        </w:rPr>
        <w:t> </w:t>
      </w:r>
      <w:r>
        <w:rPr>
          <w:w w:val="105"/>
          <w:sz w:val="21"/>
        </w:rPr>
        <w:t>application</w:t>
      </w:r>
      <w:r>
        <w:rPr>
          <w:spacing w:val="-6"/>
          <w:w w:val="105"/>
          <w:sz w:val="21"/>
        </w:rPr>
        <w:t> </w:t>
      </w:r>
      <w:r>
        <w:rPr>
          <w:w w:val="105"/>
          <w:sz w:val="21"/>
        </w:rPr>
        <w:t>must</w:t>
      </w:r>
      <w:r>
        <w:rPr>
          <w:spacing w:val="-7"/>
          <w:w w:val="105"/>
          <w:sz w:val="21"/>
        </w:rPr>
        <w:t> </w:t>
      </w:r>
      <w:r>
        <w:rPr>
          <w:w w:val="105"/>
          <w:sz w:val="21"/>
        </w:rPr>
        <w:t>be signed by the owner of the </w:t>
      </w:r>
      <w:r>
        <w:rPr>
          <w:spacing w:val="-3"/>
          <w:w w:val="105"/>
          <w:sz w:val="21"/>
        </w:rPr>
        <w:t>land </w:t>
      </w:r>
      <w:r>
        <w:rPr>
          <w:w w:val="105"/>
          <w:sz w:val="21"/>
        </w:rPr>
        <w:t>or </w:t>
      </w:r>
      <w:r>
        <w:rPr>
          <w:spacing w:val="-3"/>
          <w:w w:val="105"/>
          <w:sz w:val="21"/>
        </w:rPr>
        <w:t>include </w:t>
      </w:r>
      <w:r>
        <w:rPr>
          <w:w w:val="105"/>
          <w:sz w:val="21"/>
        </w:rPr>
        <w:t>a </w:t>
      </w:r>
      <w:r>
        <w:rPr>
          <w:spacing w:val="-3"/>
          <w:w w:val="105"/>
          <w:sz w:val="21"/>
        </w:rPr>
        <w:t>declaration that </w:t>
      </w:r>
      <w:r>
        <w:rPr>
          <w:w w:val="105"/>
          <w:sz w:val="21"/>
        </w:rPr>
        <w:t>the </w:t>
      </w:r>
      <w:r>
        <w:rPr>
          <w:spacing w:val="-3"/>
          <w:w w:val="105"/>
          <w:sz w:val="21"/>
        </w:rPr>
        <w:t>applicant </w:t>
      </w:r>
      <w:r>
        <w:rPr>
          <w:spacing w:val="-2"/>
          <w:w w:val="105"/>
          <w:sz w:val="21"/>
        </w:rPr>
        <w:t>has </w:t>
      </w:r>
      <w:r>
        <w:rPr>
          <w:w w:val="105"/>
          <w:sz w:val="21"/>
        </w:rPr>
        <w:t>notified the</w:t>
      </w:r>
      <w:r>
        <w:rPr>
          <w:spacing w:val="-6"/>
          <w:w w:val="105"/>
          <w:sz w:val="21"/>
        </w:rPr>
        <w:t> </w:t>
      </w:r>
      <w:r>
        <w:rPr>
          <w:w w:val="105"/>
          <w:sz w:val="21"/>
        </w:rPr>
        <w:t>owner</w:t>
      </w:r>
      <w:r>
        <w:rPr>
          <w:spacing w:val="-6"/>
          <w:w w:val="105"/>
          <w:sz w:val="21"/>
        </w:rPr>
        <w:t> </w:t>
      </w:r>
      <w:r>
        <w:rPr>
          <w:w w:val="105"/>
          <w:sz w:val="21"/>
        </w:rPr>
        <w:t>about</w:t>
      </w:r>
      <w:r>
        <w:rPr>
          <w:spacing w:val="-5"/>
          <w:w w:val="105"/>
          <w:sz w:val="21"/>
        </w:rPr>
        <w:t> </w:t>
      </w:r>
      <w:r>
        <w:rPr>
          <w:w w:val="105"/>
          <w:sz w:val="21"/>
        </w:rPr>
        <w:t>the</w:t>
      </w:r>
      <w:r>
        <w:rPr>
          <w:spacing w:val="-6"/>
          <w:w w:val="105"/>
          <w:sz w:val="21"/>
        </w:rPr>
        <w:t> </w:t>
      </w:r>
      <w:r>
        <w:rPr>
          <w:spacing w:val="-4"/>
          <w:w w:val="105"/>
          <w:sz w:val="21"/>
        </w:rPr>
        <w:t>application.</w:t>
      </w:r>
      <w:r>
        <w:rPr>
          <w:spacing w:val="-4"/>
          <w:w w:val="105"/>
          <w:position w:val="7"/>
          <w:sz w:val="12"/>
        </w:rPr>
        <w:t>18</w:t>
      </w:r>
      <w:r>
        <w:rPr>
          <w:spacing w:val="18"/>
          <w:w w:val="105"/>
          <w:position w:val="7"/>
          <w:sz w:val="12"/>
        </w:rPr>
        <w:t> </w:t>
      </w:r>
      <w:r>
        <w:rPr>
          <w:w w:val="105"/>
          <w:sz w:val="21"/>
        </w:rPr>
        <w:t>In</w:t>
      </w:r>
      <w:r>
        <w:rPr>
          <w:spacing w:val="-6"/>
          <w:w w:val="105"/>
          <w:sz w:val="21"/>
        </w:rPr>
        <w:t> </w:t>
      </w:r>
      <w:r>
        <w:rPr>
          <w:w w:val="105"/>
          <w:sz w:val="21"/>
        </w:rPr>
        <w:t>this</w:t>
      </w:r>
      <w:r>
        <w:rPr>
          <w:spacing w:val="-5"/>
          <w:w w:val="105"/>
          <w:sz w:val="21"/>
        </w:rPr>
        <w:t> way,</w:t>
      </w:r>
      <w:r>
        <w:rPr>
          <w:spacing w:val="-6"/>
          <w:w w:val="105"/>
          <w:sz w:val="21"/>
        </w:rPr>
        <w:t> </w:t>
      </w:r>
      <w:r>
        <w:rPr>
          <w:w w:val="105"/>
          <w:sz w:val="21"/>
        </w:rPr>
        <w:t>the</w:t>
      </w:r>
      <w:r>
        <w:rPr>
          <w:spacing w:val="-6"/>
          <w:w w:val="105"/>
          <w:sz w:val="21"/>
        </w:rPr>
        <w:t> </w:t>
      </w:r>
      <w:r>
        <w:rPr>
          <w:spacing w:val="4"/>
          <w:w w:val="105"/>
          <w:sz w:val="21"/>
        </w:rPr>
        <w:t>P&amp;E</w:t>
      </w:r>
      <w:r>
        <w:rPr>
          <w:spacing w:val="-5"/>
          <w:w w:val="105"/>
          <w:sz w:val="21"/>
        </w:rPr>
        <w:t> </w:t>
      </w:r>
      <w:r>
        <w:rPr>
          <w:w w:val="105"/>
          <w:sz w:val="21"/>
        </w:rPr>
        <w:t>Act</w:t>
      </w:r>
      <w:r>
        <w:rPr>
          <w:spacing w:val="-6"/>
          <w:w w:val="105"/>
          <w:sz w:val="21"/>
        </w:rPr>
        <w:t> </w:t>
      </w:r>
      <w:r>
        <w:rPr>
          <w:w w:val="105"/>
          <w:sz w:val="21"/>
        </w:rPr>
        <w:t>does</w:t>
      </w:r>
      <w:r>
        <w:rPr>
          <w:spacing w:val="-5"/>
          <w:w w:val="105"/>
          <w:sz w:val="21"/>
        </w:rPr>
        <w:t> </w:t>
      </w:r>
      <w:r>
        <w:rPr>
          <w:spacing w:val="-2"/>
          <w:w w:val="105"/>
          <w:sz w:val="21"/>
        </w:rPr>
        <w:t>not</w:t>
      </w:r>
      <w:r>
        <w:rPr>
          <w:spacing w:val="-6"/>
          <w:w w:val="105"/>
          <w:sz w:val="21"/>
        </w:rPr>
        <w:t> </w:t>
      </w:r>
      <w:r>
        <w:rPr>
          <w:w w:val="105"/>
          <w:sz w:val="21"/>
        </w:rPr>
        <w:t>restrict</w:t>
      </w:r>
      <w:r>
        <w:rPr>
          <w:spacing w:val="-5"/>
          <w:w w:val="105"/>
          <w:sz w:val="21"/>
        </w:rPr>
        <w:t> </w:t>
      </w:r>
      <w:r>
        <w:rPr>
          <w:w w:val="105"/>
          <w:sz w:val="21"/>
        </w:rPr>
        <w:t>the</w:t>
      </w:r>
      <w:r>
        <w:rPr>
          <w:spacing w:val="-6"/>
          <w:w w:val="105"/>
          <w:sz w:val="21"/>
        </w:rPr>
        <w:t> </w:t>
      </w:r>
      <w:r>
        <w:rPr>
          <w:w w:val="105"/>
          <w:sz w:val="21"/>
        </w:rPr>
        <w:t>category of persons who can apply </w:t>
      </w:r>
      <w:r>
        <w:rPr>
          <w:spacing w:val="-3"/>
          <w:w w:val="105"/>
          <w:sz w:val="21"/>
        </w:rPr>
        <w:t>for </w:t>
      </w:r>
      <w:r>
        <w:rPr>
          <w:w w:val="105"/>
          <w:sz w:val="21"/>
        </w:rPr>
        <w:t>a </w:t>
      </w:r>
      <w:r>
        <w:rPr>
          <w:spacing w:val="-3"/>
          <w:w w:val="105"/>
          <w:sz w:val="21"/>
        </w:rPr>
        <w:t>planning </w:t>
      </w:r>
      <w:r>
        <w:rPr>
          <w:w w:val="105"/>
          <w:sz w:val="21"/>
        </w:rPr>
        <w:t>permit </w:t>
      </w:r>
      <w:r>
        <w:rPr>
          <w:spacing w:val="-3"/>
          <w:w w:val="105"/>
          <w:sz w:val="21"/>
        </w:rPr>
        <w:t>to </w:t>
      </w:r>
      <w:r>
        <w:rPr>
          <w:w w:val="105"/>
          <w:sz w:val="21"/>
        </w:rPr>
        <w:t>the owner of the</w:t>
      </w:r>
      <w:r>
        <w:rPr>
          <w:spacing w:val="47"/>
          <w:w w:val="105"/>
          <w:sz w:val="21"/>
        </w:rPr>
        <w:t> </w:t>
      </w:r>
      <w:r>
        <w:rPr>
          <w:spacing w:val="-6"/>
          <w:w w:val="105"/>
          <w:sz w:val="21"/>
        </w:rPr>
        <w:t>tree.</w:t>
      </w:r>
      <w:r>
        <w:rPr>
          <w:spacing w:val="-6"/>
          <w:w w:val="105"/>
          <w:position w:val="7"/>
          <w:sz w:val="12"/>
        </w:rPr>
        <w:t>19</w:t>
      </w:r>
    </w:p>
    <w:p>
      <w:pPr>
        <w:pStyle w:val="Heading7"/>
        <w:spacing w:before="157"/>
      </w:pPr>
      <w:r>
        <w:rPr>
          <w:w w:val="115"/>
        </w:rPr>
        <w:t>Regular permit process</w:t>
      </w:r>
    </w:p>
    <w:p>
      <w:pPr>
        <w:pStyle w:val="ListParagraph"/>
        <w:numPr>
          <w:ilvl w:val="1"/>
          <w:numId w:val="16"/>
        </w:numPr>
        <w:tabs>
          <w:tab w:pos="2380" w:val="left" w:leader="none"/>
          <w:tab w:pos="2381" w:val="left" w:leader="none"/>
        </w:tabs>
        <w:spacing w:line="242" w:lineRule="auto" w:before="143" w:after="0"/>
        <w:ind w:left="2381" w:right="1933" w:hanging="794"/>
        <w:jc w:val="left"/>
        <w:rPr>
          <w:sz w:val="21"/>
        </w:rPr>
      </w:pPr>
      <w:r>
        <w:rPr>
          <w:w w:val="105"/>
          <w:sz w:val="21"/>
        </w:rPr>
        <w:t>The</w:t>
      </w:r>
      <w:r>
        <w:rPr>
          <w:spacing w:val="-7"/>
          <w:w w:val="105"/>
          <w:sz w:val="21"/>
        </w:rPr>
        <w:t> </w:t>
      </w:r>
      <w:r>
        <w:rPr>
          <w:w w:val="105"/>
          <w:sz w:val="21"/>
        </w:rPr>
        <w:t>permit</w:t>
      </w:r>
      <w:r>
        <w:rPr>
          <w:spacing w:val="-7"/>
          <w:w w:val="105"/>
          <w:sz w:val="21"/>
        </w:rPr>
        <w:t> </w:t>
      </w:r>
      <w:r>
        <w:rPr>
          <w:w w:val="105"/>
          <w:sz w:val="21"/>
        </w:rPr>
        <w:t>process</w:t>
      </w:r>
      <w:r>
        <w:rPr>
          <w:spacing w:val="-6"/>
          <w:w w:val="105"/>
          <w:sz w:val="21"/>
        </w:rPr>
        <w:t> </w:t>
      </w:r>
      <w:r>
        <w:rPr>
          <w:w w:val="105"/>
          <w:sz w:val="21"/>
        </w:rPr>
        <w:t>is</w:t>
      </w:r>
      <w:r>
        <w:rPr>
          <w:spacing w:val="-7"/>
          <w:w w:val="105"/>
          <w:sz w:val="21"/>
        </w:rPr>
        <w:t> </w:t>
      </w:r>
      <w:r>
        <w:rPr>
          <w:spacing w:val="-3"/>
          <w:w w:val="105"/>
          <w:sz w:val="21"/>
        </w:rPr>
        <w:t>outlined</w:t>
      </w:r>
      <w:r>
        <w:rPr>
          <w:spacing w:val="-7"/>
          <w:w w:val="105"/>
          <w:sz w:val="21"/>
        </w:rPr>
        <w:t> </w:t>
      </w:r>
      <w:r>
        <w:rPr>
          <w:w w:val="105"/>
          <w:sz w:val="21"/>
        </w:rPr>
        <w:t>in</w:t>
      </w:r>
      <w:r>
        <w:rPr>
          <w:spacing w:val="-6"/>
          <w:w w:val="105"/>
          <w:sz w:val="21"/>
        </w:rPr>
        <w:t> </w:t>
      </w:r>
      <w:r>
        <w:rPr>
          <w:w w:val="105"/>
          <w:sz w:val="21"/>
        </w:rPr>
        <w:t>Part</w:t>
      </w:r>
      <w:r>
        <w:rPr>
          <w:spacing w:val="-7"/>
          <w:w w:val="105"/>
          <w:sz w:val="21"/>
        </w:rPr>
        <w:t> </w:t>
      </w:r>
      <w:r>
        <w:rPr>
          <w:w w:val="105"/>
          <w:sz w:val="21"/>
        </w:rPr>
        <w:t>4</w:t>
      </w:r>
      <w:r>
        <w:rPr>
          <w:spacing w:val="-6"/>
          <w:w w:val="105"/>
          <w:sz w:val="21"/>
        </w:rPr>
        <w:t> </w:t>
      </w:r>
      <w:r>
        <w:rPr>
          <w:w w:val="105"/>
          <w:sz w:val="21"/>
        </w:rPr>
        <w:t>of</w:t>
      </w:r>
      <w:r>
        <w:rPr>
          <w:spacing w:val="-7"/>
          <w:w w:val="105"/>
          <w:sz w:val="21"/>
        </w:rPr>
        <w:t> </w:t>
      </w:r>
      <w:r>
        <w:rPr>
          <w:w w:val="105"/>
          <w:sz w:val="21"/>
        </w:rPr>
        <w:t>the</w:t>
      </w:r>
      <w:r>
        <w:rPr>
          <w:spacing w:val="-7"/>
          <w:w w:val="105"/>
          <w:sz w:val="21"/>
        </w:rPr>
        <w:t> </w:t>
      </w:r>
      <w:r>
        <w:rPr>
          <w:spacing w:val="4"/>
          <w:w w:val="105"/>
          <w:sz w:val="21"/>
        </w:rPr>
        <w:t>P&amp;E</w:t>
      </w:r>
      <w:r>
        <w:rPr>
          <w:spacing w:val="-6"/>
          <w:w w:val="105"/>
          <w:sz w:val="21"/>
        </w:rPr>
        <w:t> </w:t>
      </w:r>
      <w:r>
        <w:rPr>
          <w:w w:val="105"/>
          <w:sz w:val="21"/>
        </w:rPr>
        <w:t>Act.</w:t>
      </w:r>
      <w:r>
        <w:rPr>
          <w:spacing w:val="-7"/>
          <w:w w:val="105"/>
          <w:sz w:val="21"/>
        </w:rPr>
        <w:t> </w:t>
      </w:r>
      <w:r>
        <w:rPr>
          <w:spacing w:val="-3"/>
          <w:w w:val="105"/>
          <w:sz w:val="21"/>
        </w:rPr>
        <w:t>Key</w:t>
      </w:r>
      <w:r>
        <w:rPr>
          <w:spacing w:val="-6"/>
          <w:w w:val="105"/>
          <w:sz w:val="21"/>
        </w:rPr>
        <w:t> </w:t>
      </w:r>
      <w:r>
        <w:rPr>
          <w:w w:val="105"/>
          <w:sz w:val="21"/>
        </w:rPr>
        <w:t>components</w:t>
      </w:r>
      <w:r>
        <w:rPr>
          <w:spacing w:val="-7"/>
          <w:w w:val="105"/>
          <w:sz w:val="21"/>
        </w:rPr>
        <w:t> </w:t>
      </w:r>
      <w:r>
        <w:rPr>
          <w:w w:val="105"/>
          <w:sz w:val="21"/>
        </w:rPr>
        <w:t>of</w:t>
      </w:r>
      <w:r>
        <w:rPr>
          <w:spacing w:val="-7"/>
          <w:w w:val="105"/>
          <w:sz w:val="21"/>
        </w:rPr>
        <w:t> </w:t>
      </w:r>
      <w:r>
        <w:rPr>
          <w:w w:val="105"/>
          <w:sz w:val="21"/>
        </w:rPr>
        <w:t>the</w:t>
      </w:r>
      <w:r>
        <w:rPr>
          <w:spacing w:val="-6"/>
          <w:w w:val="105"/>
          <w:sz w:val="21"/>
        </w:rPr>
        <w:t> </w:t>
      </w:r>
      <w:r>
        <w:rPr>
          <w:w w:val="105"/>
          <w:sz w:val="21"/>
        </w:rPr>
        <w:t>permit process</w:t>
      </w:r>
      <w:r>
        <w:rPr>
          <w:spacing w:val="5"/>
          <w:w w:val="105"/>
          <w:sz w:val="21"/>
        </w:rPr>
        <w:t> </w:t>
      </w:r>
      <w:r>
        <w:rPr>
          <w:w w:val="105"/>
          <w:sz w:val="21"/>
        </w:rPr>
        <w:t>are:</w:t>
      </w:r>
    </w:p>
    <w:p>
      <w:pPr>
        <w:pStyle w:val="ListParagraph"/>
        <w:numPr>
          <w:ilvl w:val="2"/>
          <w:numId w:val="16"/>
        </w:numPr>
        <w:tabs>
          <w:tab w:pos="2721" w:val="left" w:leader="none"/>
          <w:tab w:pos="2722" w:val="left" w:leader="none"/>
        </w:tabs>
        <w:spacing w:line="240" w:lineRule="auto" w:before="122" w:after="0"/>
        <w:ind w:left="2721" w:right="0" w:hanging="340"/>
        <w:jc w:val="left"/>
        <w:rPr>
          <w:sz w:val="21"/>
        </w:rPr>
      </w:pPr>
      <w:r>
        <w:rPr>
          <w:w w:val="105"/>
          <w:sz w:val="21"/>
        </w:rPr>
        <w:t>notifying:</w:t>
      </w:r>
    </w:p>
    <w:p>
      <w:pPr>
        <w:pStyle w:val="ListParagraph"/>
        <w:numPr>
          <w:ilvl w:val="0"/>
          <w:numId w:val="162"/>
        </w:numPr>
        <w:tabs>
          <w:tab w:pos="3062" w:val="left" w:leader="none"/>
        </w:tabs>
        <w:spacing w:line="242" w:lineRule="auto" w:before="89" w:after="0"/>
        <w:ind w:left="3061" w:right="2071" w:hanging="340"/>
        <w:jc w:val="both"/>
        <w:rPr>
          <w:sz w:val="12"/>
        </w:rPr>
      </w:pPr>
      <w:r>
        <w:rPr>
          <w:sz w:val="21"/>
        </w:rPr>
        <w:t>the owners and occupiers of </w:t>
      </w:r>
      <w:r>
        <w:rPr>
          <w:spacing w:val="-3"/>
          <w:sz w:val="21"/>
        </w:rPr>
        <w:t>adjoining land to </w:t>
      </w:r>
      <w:r>
        <w:rPr>
          <w:sz w:val="21"/>
        </w:rPr>
        <w:t>which the application applies, unless the </w:t>
      </w:r>
      <w:r>
        <w:rPr>
          <w:spacing w:val="-3"/>
          <w:sz w:val="21"/>
        </w:rPr>
        <w:t>responsible </w:t>
      </w:r>
      <w:r>
        <w:rPr>
          <w:sz w:val="21"/>
        </w:rPr>
        <w:t>authority is satisfied </w:t>
      </w:r>
      <w:r>
        <w:rPr>
          <w:spacing w:val="-3"/>
          <w:sz w:val="21"/>
        </w:rPr>
        <w:t>that </w:t>
      </w:r>
      <w:r>
        <w:rPr>
          <w:sz w:val="21"/>
        </w:rPr>
        <w:t>the application </w:t>
      </w:r>
      <w:r>
        <w:rPr>
          <w:spacing w:val="-3"/>
          <w:sz w:val="21"/>
        </w:rPr>
        <w:t>will </w:t>
      </w:r>
      <w:r>
        <w:rPr>
          <w:spacing w:val="-2"/>
          <w:sz w:val="21"/>
        </w:rPr>
        <w:t>not </w:t>
      </w:r>
      <w:r>
        <w:rPr>
          <w:sz w:val="21"/>
        </w:rPr>
        <w:t>cause </w:t>
      </w:r>
      <w:r>
        <w:rPr>
          <w:spacing w:val="-3"/>
          <w:sz w:val="21"/>
        </w:rPr>
        <w:t>material detriment to any</w:t>
      </w:r>
      <w:r>
        <w:rPr>
          <w:sz w:val="21"/>
        </w:rPr>
        <w:t> person</w:t>
      </w:r>
      <w:r>
        <w:rPr>
          <w:position w:val="7"/>
          <w:sz w:val="12"/>
        </w:rPr>
        <w:t>20</w:t>
      </w:r>
    </w:p>
    <w:p>
      <w:pPr>
        <w:pStyle w:val="ListParagraph"/>
        <w:numPr>
          <w:ilvl w:val="0"/>
          <w:numId w:val="162"/>
        </w:numPr>
        <w:tabs>
          <w:tab w:pos="3062" w:val="left" w:leader="none"/>
        </w:tabs>
        <w:spacing w:line="242" w:lineRule="auto" w:before="88" w:after="0"/>
        <w:ind w:left="3061" w:right="2079" w:hanging="340"/>
        <w:jc w:val="both"/>
        <w:rPr>
          <w:sz w:val="21"/>
        </w:rPr>
      </w:pPr>
      <w:r>
        <w:rPr>
          <w:spacing w:val="-3"/>
          <w:sz w:val="21"/>
        </w:rPr>
        <w:t>any </w:t>
      </w:r>
      <w:r>
        <w:rPr>
          <w:sz w:val="21"/>
        </w:rPr>
        <w:t>other persons if the </w:t>
      </w:r>
      <w:r>
        <w:rPr>
          <w:spacing w:val="-3"/>
          <w:sz w:val="21"/>
        </w:rPr>
        <w:t>responsible </w:t>
      </w:r>
      <w:r>
        <w:rPr>
          <w:sz w:val="21"/>
        </w:rPr>
        <w:t>authority considers it </w:t>
      </w:r>
      <w:r>
        <w:rPr>
          <w:spacing w:val="-3"/>
          <w:sz w:val="21"/>
        </w:rPr>
        <w:t>may </w:t>
      </w:r>
      <w:r>
        <w:rPr>
          <w:sz w:val="21"/>
        </w:rPr>
        <w:t>cause </w:t>
      </w:r>
      <w:r>
        <w:rPr>
          <w:spacing w:val="-3"/>
          <w:sz w:val="21"/>
        </w:rPr>
        <w:t>material detriment to</w:t>
      </w:r>
      <w:r>
        <w:rPr>
          <w:spacing w:val="19"/>
          <w:sz w:val="21"/>
        </w:rPr>
        <w:t> </w:t>
      </w:r>
      <w:r>
        <w:rPr>
          <w:sz w:val="21"/>
        </w:rPr>
        <w:t>them</w:t>
      </w:r>
    </w:p>
    <w:p>
      <w:pPr>
        <w:pStyle w:val="ListParagraph"/>
        <w:numPr>
          <w:ilvl w:val="0"/>
          <w:numId w:val="162"/>
        </w:numPr>
        <w:tabs>
          <w:tab w:pos="3062" w:val="left" w:leader="none"/>
        </w:tabs>
        <w:spacing w:line="242" w:lineRule="auto" w:before="87" w:after="0"/>
        <w:ind w:left="3061" w:right="1977" w:hanging="340"/>
        <w:jc w:val="both"/>
        <w:rPr>
          <w:sz w:val="21"/>
        </w:rPr>
      </w:pPr>
      <w:r>
        <w:rPr>
          <w:sz w:val="21"/>
        </w:rPr>
        <w:t>the </w:t>
      </w:r>
      <w:r>
        <w:rPr>
          <w:spacing w:val="-3"/>
          <w:sz w:val="21"/>
        </w:rPr>
        <w:t>municipal council </w:t>
      </w:r>
      <w:r>
        <w:rPr>
          <w:sz w:val="21"/>
        </w:rPr>
        <w:t>if the application applies </w:t>
      </w:r>
      <w:r>
        <w:rPr>
          <w:spacing w:val="-3"/>
          <w:sz w:val="21"/>
        </w:rPr>
        <w:t>to </w:t>
      </w:r>
      <w:r>
        <w:rPr>
          <w:sz w:val="21"/>
        </w:rPr>
        <w:t>or </w:t>
      </w:r>
      <w:r>
        <w:rPr>
          <w:spacing w:val="-3"/>
          <w:sz w:val="21"/>
        </w:rPr>
        <w:t>may materially </w:t>
      </w:r>
      <w:r>
        <w:rPr>
          <w:sz w:val="21"/>
        </w:rPr>
        <w:t>affect </w:t>
      </w:r>
      <w:r>
        <w:rPr>
          <w:spacing w:val="-3"/>
          <w:sz w:val="21"/>
        </w:rPr>
        <w:t>land within </w:t>
      </w:r>
      <w:r>
        <w:rPr>
          <w:sz w:val="21"/>
        </w:rPr>
        <w:t>its </w:t>
      </w:r>
      <w:r>
        <w:rPr>
          <w:spacing w:val="-3"/>
          <w:sz w:val="21"/>
        </w:rPr>
        <w:t>municipal</w:t>
      </w:r>
      <w:r>
        <w:rPr>
          <w:spacing w:val="28"/>
          <w:sz w:val="21"/>
        </w:rPr>
        <w:t> </w:t>
      </w:r>
      <w:r>
        <w:rPr>
          <w:sz w:val="21"/>
        </w:rPr>
        <w:t>district</w:t>
      </w:r>
    </w:p>
    <w:p>
      <w:pPr>
        <w:pStyle w:val="ListParagraph"/>
        <w:numPr>
          <w:ilvl w:val="2"/>
          <w:numId w:val="16"/>
        </w:numPr>
        <w:tabs>
          <w:tab w:pos="2720" w:val="left" w:leader="none"/>
          <w:tab w:pos="2722" w:val="left" w:leader="none"/>
        </w:tabs>
        <w:spacing w:line="242" w:lineRule="auto" w:before="87" w:after="0"/>
        <w:ind w:left="2721" w:right="1808" w:hanging="341"/>
        <w:jc w:val="left"/>
        <w:rPr>
          <w:sz w:val="21"/>
        </w:rPr>
      </w:pPr>
      <w:r>
        <w:rPr>
          <w:spacing w:val="-3"/>
          <w:sz w:val="21"/>
        </w:rPr>
        <w:t>allowing </w:t>
      </w:r>
      <w:r>
        <w:rPr>
          <w:sz w:val="21"/>
        </w:rPr>
        <w:t>members of the </w:t>
      </w:r>
      <w:r>
        <w:rPr>
          <w:spacing w:val="-3"/>
          <w:sz w:val="21"/>
        </w:rPr>
        <w:t>public to </w:t>
      </w:r>
      <w:r>
        <w:rPr>
          <w:sz w:val="21"/>
        </w:rPr>
        <w:t>inspect the permit application prior </w:t>
      </w:r>
      <w:r>
        <w:rPr>
          <w:spacing w:val="-3"/>
          <w:sz w:val="21"/>
        </w:rPr>
        <w:t>to determination </w:t>
      </w:r>
      <w:r>
        <w:rPr>
          <w:sz w:val="21"/>
        </w:rPr>
        <w:t>of the application by either the </w:t>
      </w:r>
      <w:r>
        <w:rPr>
          <w:spacing w:val="-3"/>
          <w:sz w:val="21"/>
        </w:rPr>
        <w:t>responsible authority, </w:t>
      </w:r>
      <w:r>
        <w:rPr>
          <w:sz w:val="21"/>
        </w:rPr>
        <w:t>or the Victorian </w:t>
      </w:r>
      <w:r>
        <w:rPr>
          <w:spacing w:val="-3"/>
          <w:sz w:val="21"/>
        </w:rPr>
        <w:t>Civil </w:t>
      </w:r>
      <w:r>
        <w:rPr>
          <w:sz w:val="21"/>
        </w:rPr>
        <w:t>and </w:t>
      </w:r>
      <w:r>
        <w:rPr>
          <w:spacing w:val="-3"/>
          <w:sz w:val="21"/>
        </w:rPr>
        <w:t>Administrative </w:t>
      </w:r>
      <w:r>
        <w:rPr>
          <w:spacing w:val="-5"/>
          <w:sz w:val="21"/>
        </w:rPr>
        <w:t>Tribunal </w:t>
      </w:r>
      <w:r>
        <w:rPr>
          <w:sz w:val="21"/>
        </w:rPr>
        <w:t>(VCAT) on</w:t>
      </w:r>
      <w:r>
        <w:rPr>
          <w:spacing w:val="35"/>
          <w:sz w:val="21"/>
        </w:rPr>
        <w:t> </w:t>
      </w:r>
      <w:r>
        <w:rPr>
          <w:spacing w:val="-5"/>
          <w:sz w:val="21"/>
        </w:rPr>
        <w:t>review21</w:t>
      </w:r>
    </w:p>
    <w:p>
      <w:pPr>
        <w:pStyle w:val="ListParagraph"/>
        <w:numPr>
          <w:ilvl w:val="2"/>
          <w:numId w:val="16"/>
        </w:numPr>
        <w:tabs>
          <w:tab w:pos="2720" w:val="left" w:leader="none"/>
          <w:tab w:pos="2722" w:val="left" w:leader="none"/>
        </w:tabs>
        <w:spacing w:line="242" w:lineRule="auto" w:before="89" w:after="0"/>
        <w:ind w:left="2721" w:right="2751" w:hanging="341"/>
        <w:jc w:val="left"/>
        <w:rPr>
          <w:sz w:val="21"/>
        </w:rPr>
      </w:pPr>
      <w:r>
        <w:rPr>
          <w:spacing w:val="-3"/>
          <w:w w:val="105"/>
          <w:sz w:val="21"/>
        </w:rPr>
        <w:t>allowing any </w:t>
      </w:r>
      <w:r>
        <w:rPr>
          <w:w w:val="105"/>
          <w:sz w:val="21"/>
        </w:rPr>
        <w:t>affected person </w:t>
      </w:r>
      <w:r>
        <w:rPr>
          <w:spacing w:val="-3"/>
          <w:w w:val="105"/>
          <w:sz w:val="21"/>
        </w:rPr>
        <w:t>to </w:t>
      </w:r>
      <w:r>
        <w:rPr>
          <w:w w:val="105"/>
          <w:sz w:val="21"/>
        </w:rPr>
        <w:t>object in writing </w:t>
      </w:r>
      <w:r>
        <w:rPr>
          <w:spacing w:val="-3"/>
          <w:w w:val="105"/>
          <w:sz w:val="21"/>
        </w:rPr>
        <w:t>to </w:t>
      </w:r>
      <w:r>
        <w:rPr>
          <w:w w:val="105"/>
          <w:sz w:val="21"/>
        </w:rPr>
        <w:t>a </w:t>
      </w:r>
      <w:r>
        <w:rPr>
          <w:spacing w:val="-3"/>
          <w:w w:val="105"/>
          <w:sz w:val="21"/>
        </w:rPr>
        <w:t>grant </w:t>
      </w:r>
      <w:r>
        <w:rPr>
          <w:w w:val="105"/>
          <w:sz w:val="21"/>
        </w:rPr>
        <w:t>of the permit application.</w:t>
      </w:r>
      <w:r>
        <w:rPr>
          <w:w w:val="105"/>
          <w:position w:val="7"/>
          <w:sz w:val="12"/>
        </w:rPr>
        <w:t>22</w:t>
      </w:r>
    </w:p>
    <w:p>
      <w:pPr>
        <w:pStyle w:val="ListParagraph"/>
        <w:numPr>
          <w:ilvl w:val="1"/>
          <w:numId w:val="16"/>
        </w:numPr>
        <w:tabs>
          <w:tab w:pos="2380" w:val="left" w:leader="none"/>
          <w:tab w:pos="2382" w:val="left" w:leader="none"/>
        </w:tabs>
        <w:spacing w:line="242" w:lineRule="auto" w:before="87" w:after="0"/>
        <w:ind w:left="2381" w:right="2214" w:hanging="794"/>
        <w:jc w:val="left"/>
        <w:rPr>
          <w:sz w:val="21"/>
        </w:rPr>
      </w:pPr>
      <w:r>
        <w:rPr>
          <w:sz w:val="21"/>
        </w:rPr>
        <w:t>In </w:t>
      </w:r>
      <w:r>
        <w:rPr>
          <w:spacing w:val="-2"/>
          <w:sz w:val="21"/>
        </w:rPr>
        <w:t>deciding </w:t>
      </w:r>
      <w:r>
        <w:rPr>
          <w:sz w:val="21"/>
        </w:rPr>
        <w:t>whether </w:t>
      </w:r>
      <w:r>
        <w:rPr>
          <w:spacing w:val="-3"/>
          <w:sz w:val="21"/>
        </w:rPr>
        <w:t>to grant </w:t>
      </w:r>
      <w:r>
        <w:rPr>
          <w:sz w:val="21"/>
        </w:rPr>
        <w:t>a permit, the </w:t>
      </w:r>
      <w:r>
        <w:rPr>
          <w:spacing w:val="-3"/>
          <w:sz w:val="21"/>
        </w:rPr>
        <w:t>responsible authority, generally </w:t>
      </w:r>
      <w:r>
        <w:rPr>
          <w:sz w:val="21"/>
        </w:rPr>
        <w:t>the local </w:t>
      </w:r>
      <w:r>
        <w:rPr>
          <w:spacing w:val="-3"/>
          <w:sz w:val="21"/>
        </w:rPr>
        <w:t>council, </w:t>
      </w:r>
      <w:r>
        <w:rPr>
          <w:sz w:val="21"/>
        </w:rPr>
        <w:t>must</w:t>
      </w:r>
      <w:r>
        <w:rPr>
          <w:spacing w:val="20"/>
          <w:sz w:val="21"/>
        </w:rPr>
        <w:t> </w:t>
      </w:r>
      <w:r>
        <w:rPr>
          <w:spacing w:val="-3"/>
          <w:sz w:val="21"/>
        </w:rPr>
        <w:t>consider:</w:t>
      </w:r>
    </w:p>
    <w:p>
      <w:pPr>
        <w:pStyle w:val="ListParagraph"/>
        <w:numPr>
          <w:ilvl w:val="2"/>
          <w:numId w:val="16"/>
        </w:numPr>
        <w:tabs>
          <w:tab w:pos="2721" w:val="left" w:leader="none"/>
          <w:tab w:pos="2722" w:val="left" w:leader="none"/>
        </w:tabs>
        <w:spacing w:line="240" w:lineRule="auto" w:before="122" w:after="0"/>
        <w:ind w:left="2721" w:right="0" w:hanging="340"/>
        <w:jc w:val="left"/>
        <w:rPr>
          <w:sz w:val="21"/>
        </w:rPr>
      </w:pPr>
      <w:r>
        <w:rPr>
          <w:w w:val="105"/>
          <w:sz w:val="21"/>
        </w:rPr>
        <w:t>the </w:t>
      </w:r>
      <w:r>
        <w:rPr>
          <w:spacing w:val="-3"/>
          <w:w w:val="105"/>
          <w:sz w:val="21"/>
        </w:rPr>
        <w:t>relevant planning</w:t>
      </w:r>
      <w:r>
        <w:rPr>
          <w:spacing w:val="18"/>
          <w:w w:val="105"/>
          <w:sz w:val="21"/>
        </w:rPr>
        <w:t> </w:t>
      </w:r>
      <w:r>
        <w:rPr>
          <w:w w:val="105"/>
          <w:sz w:val="21"/>
        </w:rPr>
        <w:t>scheme</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z w:val="21"/>
        </w:rPr>
        <w:t>the objectives of </w:t>
      </w:r>
      <w:r>
        <w:rPr>
          <w:spacing w:val="-3"/>
          <w:sz w:val="21"/>
        </w:rPr>
        <w:t>planning </w:t>
      </w:r>
      <w:r>
        <w:rPr>
          <w:sz w:val="21"/>
        </w:rPr>
        <w:t>in</w:t>
      </w:r>
      <w:r>
        <w:rPr>
          <w:spacing w:val="45"/>
          <w:sz w:val="21"/>
        </w:rPr>
        <w:t> </w:t>
      </w:r>
      <w:r>
        <w:rPr>
          <w:sz w:val="21"/>
        </w:rPr>
        <w:t>Victoria</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sz w:val="21"/>
        </w:rPr>
        <w:t>all</w:t>
      </w:r>
      <w:r>
        <w:rPr>
          <w:spacing w:val="10"/>
          <w:sz w:val="21"/>
        </w:rPr>
        <w:t> </w:t>
      </w:r>
      <w:r>
        <w:rPr>
          <w:sz w:val="21"/>
        </w:rPr>
        <w:t>the</w:t>
      </w:r>
      <w:r>
        <w:rPr>
          <w:spacing w:val="10"/>
          <w:sz w:val="21"/>
        </w:rPr>
        <w:t> </w:t>
      </w:r>
      <w:r>
        <w:rPr>
          <w:sz w:val="21"/>
        </w:rPr>
        <w:t>objections</w:t>
      </w:r>
      <w:r>
        <w:rPr>
          <w:spacing w:val="10"/>
          <w:sz w:val="21"/>
        </w:rPr>
        <w:t> </w:t>
      </w:r>
      <w:r>
        <w:rPr>
          <w:sz w:val="21"/>
        </w:rPr>
        <w:t>and</w:t>
      </w:r>
      <w:r>
        <w:rPr>
          <w:spacing w:val="10"/>
          <w:sz w:val="21"/>
        </w:rPr>
        <w:t> </w:t>
      </w:r>
      <w:r>
        <w:rPr>
          <w:spacing w:val="-3"/>
          <w:sz w:val="21"/>
        </w:rPr>
        <w:t>submissions</w:t>
      </w:r>
      <w:r>
        <w:rPr>
          <w:spacing w:val="10"/>
          <w:sz w:val="21"/>
        </w:rPr>
        <w:t> </w:t>
      </w:r>
      <w:r>
        <w:rPr>
          <w:sz w:val="21"/>
        </w:rPr>
        <w:t>it</w:t>
      </w:r>
      <w:r>
        <w:rPr>
          <w:spacing w:val="10"/>
          <w:sz w:val="21"/>
        </w:rPr>
        <w:t> </w:t>
      </w:r>
      <w:r>
        <w:rPr>
          <w:spacing w:val="-2"/>
          <w:sz w:val="21"/>
        </w:rPr>
        <w:t>has</w:t>
      </w:r>
      <w:r>
        <w:rPr>
          <w:spacing w:val="11"/>
          <w:sz w:val="21"/>
        </w:rPr>
        <w:t> </w:t>
      </w:r>
      <w:r>
        <w:rPr>
          <w:sz w:val="21"/>
        </w:rPr>
        <w:t>received</w:t>
      </w:r>
      <w:r>
        <w:rPr>
          <w:spacing w:val="10"/>
          <w:sz w:val="21"/>
        </w:rPr>
        <w:t> </w:t>
      </w:r>
      <w:r>
        <w:rPr>
          <w:sz w:val="21"/>
        </w:rPr>
        <w:t>in</w:t>
      </w:r>
      <w:r>
        <w:rPr>
          <w:spacing w:val="10"/>
          <w:sz w:val="21"/>
        </w:rPr>
        <w:t> </w:t>
      </w:r>
      <w:r>
        <w:rPr>
          <w:spacing w:val="-3"/>
          <w:sz w:val="21"/>
        </w:rPr>
        <w:t>relation</w:t>
      </w:r>
      <w:r>
        <w:rPr>
          <w:spacing w:val="10"/>
          <w:sz w:val="21"/>
        </w:rPr>
        <w:t> </w:t>
      </w:r>
      <w:r>
        <w:rPr>
          <w:spacing w:val="-3"/>
          <w:sz w:val="21"/>
        </w:rPr>
        <w:t>to</w:t>
      </w:r>
      <w:r>
        <w:rPr>
          <w:spacing w:val="10"/>
          <w:sz w:val="21"/>
        </w:rPr>
        <w:t> </w:t>
      </w:r>
      <w:r>
        <w:rPr>
          <w:sz w:val="21"/>
        </w:rPr>
        <w:t>the</w:t>
      </w:r>
      <w:r>
        <w:rPr>
          <w:spacing w:val="10"/>
          <w:sz w:val="21"/>
        </w:rPr>
        <w:t> </w:t>
      </w:r>
      <w:r>
        <w:rPr>
          <w:sz w:val="21"/>
        </w:rPr>
        <w:t>permit</w:t>
      </w:r>
      <w:r>
        <w:rPr>
          <w:spacing w:val="10"/>
          <w:sz w:val="21"/>
        </w:rPr>
        <w:t> </w:t>
      </w:r>
      <w:r>
        <w:rPr>
          <w:sz w:val="21"/>
        </w:rPr>
        <w:t>application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r>
        <w:rPr/>
        <w:pict>
          <v:line style="position:absolute;mso-position-horizontal-relative:page;mso-position-vertical-relative:paragraph;z-index:9464;mso-wrap-distance-left:0;mso-wrap-distance-right:0" from="79.370102pt,13.232133pt" to="515.905102pt,13.23213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61"/>
        </w:numPr>
        <w:tabs>
          <w:tab w:pos="2381" w:val="left" w:leader="none"/>
          <w:tab w:pos="2382" w:val="left" w:leader="none"/>
        </w:tabs>
        <w:spacing w:line="240" w:lineRule="auto" w:before="48" w:after="0"/>
        <w:ind w:left="2381" w:right="0" w:hanging="794"/>
        <w:jc w:val="left"/>
        <w:rPr>
          <w:sz w:val="13"/>
        </w:rPr>
      </w:pPr>
      <w:r>
        <w:rPr>
          <w:i/>
          <w:w w:val="105"/>
          <w:sz w:val="13"/>
        </w:rPr>
        <w:t>Planning and Environment Act 1987 </w:t>
      </w:r>
      <w:r>
        <w:rPr>
          <w:spacing w:val="2"/>
          <w:w w:val="105"/>
          <w:sz w:val="13"/>
        </w:rPr>
        <w:t>(Vic) </w:t>
      </w:r>
      <w:r>
        <w:rPr>
          <w:w w:val="105"/>
          <w:sz w:val="13"/>
        </w:rPr>
        <w:t>s</w:t>
      </w:r>
      <w:r>
        <w:rPr>
          <w:spacing w:val="30"/>
          <w:w w:val="105"/>
          <w:sz w:val="13"/>
        </w:rPr>
        <w:t> </w:t>
      </w:r>
      <w:r>
        <w:rPr>
          <w:spacing w:val="-4"/>
          <w:w w:val="105"/>
          <w:sz w:val="13"/>
        </w:rPr>
        <w:t>47.</w:t>
      </w:r>
    </w:p>
    <w:p>
      <w:pPr>
        <w:pStyle w:val="ListParagraph"/>
        <w:numPr>
          <w:ilvl w:val="0"/>
          <w:numId w:val="161"/>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pacing w:val="2"/>
          <w:sz w:val="13"/>
        </w:rPr>
        <w:t>48.</w:t>
      </w:r>
    </w:p>
    <w:p>
      <w:pPr>
        <w:tabs>
          <w:tab w:pos="2381" w:val="left" w:leader="none"/>
        </w:tabs>
        <w:spacing w:before="2"/>
        <w:ind w:left="1587" w:right="0" w:firstLine="0"/>
        <w:jc w:val="left"/>
        <w:rPr>
          <w:sz w:val="13"/>
        </w:rPr>
      </w:pPr>
      <w:r>
        <w:rPr>
          <w:w w:val="105"/>
          <w:sz w:val="13"/>
        </w:rPr>
        <w:t>18</w:t>
        <w:tab/>
        <w:t>Ibid s</w:t>
      </w:r>
      <w:r>
        <w:rPr>
          <w:spacing w:val="9"/>
          <w:w w:val="105"/>
          <w:sz w:val="13"/>
        </w:rPr>
        <w:t> </w:t>
      </w:r>
      <w:r>
        <w:rPr>
          <w:spacing w:val="2"/>
          <w:w w:val="105"/>
          <w:sz w:val="13"/>
        </w:rPr>
        <w:t>48(1).</w:t>
      </w:r>
    </w:p>
    <w:p>
      <w:pPr>
        <w:pStyle w:val="ListParagraph"/>
        <w:numPr>
          <w:ilvl w:val="0"/>
          <w:numId w:val="163"/>
        </w:numPr>
        <w:tabs>
          <w:tab w:pos="2381" w:val="left" w:leader="none"/>
          <w:tab w:pos="2382" w:val="left" w:leader="none"/>
        </w:tabs>
        <w:spacing w:line="240" w:lineRule="auto" w:before="1" w:after="0"/>
        <w:ind w:left="2381" w:right="0" w:hanging="794"/>
        <w:jc w:val="left"/>
        <w:rPr>
          <w:sz w:val="13"/>
        </w:rPr>
      </w:pPr>
      <w:r>
        <w:rPr>
          <w:w w:val="105"/>
          <w:sz w:val="13"/>
        </w:rPr>
        <w:t>Cf</w:t>
      </w:r>
      <w:r>
        <w:rPr>
          <w:spacing w:val="5"/>
          <w:w w:val="105"/>
          <w:sz w:val="13"/>
        </w:rPr>
        <w:t> </w:t>
      </w:r>
      <w:r>
        <w:rPr>
          <w:i/>
          <w:w w:val="105"/>
          <w:sz w:val="13"/>
        </w:rPr>
        <w:t>Heritage</w:t>
      </w:r>
      <w:r>
        <w:rPr>
          <w:i/>
          <w:spacing w:val="5"/>
          <w:w w:val="105"/>
          <w:sz w:val="13"/>
        </w:rPr>
        <w:t> </w:t>
      </w:r>
      <w:r>
        <w:rPr>
          <w:i/>
          <w:w w:val="105"/>
          <w:sz w:val="13"/>
        </w:rPr>
        <w:t>Act</w:t>
      </w:r>
      <w:r>
        <w:rPr>
          <w:i/>
          <w:spacing w:val="6"/>
          <w:w w:val="105"/>
          <w:sz w:val="13"/>
        </w:rPr>
        <w:t> </w:t>
      </w:r>
      <w:r>
        <w:rPr>
          <w:i/>
          <w:spacing w:val="-4"/>
          <w:w w:val="105"/>
          <w:sz w:val="13"/>
        </w:rPr>
        <w:t>2017</w:t>
      </w:r>
      <w:r>
        <w:rPr>
          <w:i/>
          <w:spacing w:val="5"/>
          <w:w w:val="105"/>
          <w:sz w:val="13"/>
        </w:rPr>
        <w:t> </w:t>
      </w:r>
      <w:r>
        <w:rPr>
          <w:spacing w:val="2"/>
          <w:w w:val="105"/>
          <w:sz w:val="13"/>
        </w:rPr>
        <w:t>(Vic)</w:t>
      </w:r>
      <w:r>
        <w:rPr>
          <w:spacing w:val="5"/>
          <w:w w:val="105"/>
          <w:sz w:val="13"/>
        </w:rPr>
        <w:t> </w:t>
      </w:r>
      <w:r>
        <w:rPr>
          <w:w w:val="105"/>
          <w:sz w:val="13"/>
        </w:rPr>
        <w:t>and</w:t>
      </w:r>
      <w:r>
        <w:rPr>
          <w:spacing w:val="6"/>
          <w:w w:val="105"/>
          <w:sz w:val="13"/>
        </w:rPr>
        <w:t> </w:t>
      </w:r>
      <w:r>
        <w:rPr>
          <w:w w:val="105"/>
          <w:sz w:val="13"/>
        </w:rPr>
        <w:t>some</w:t>
      </w:r>
      <w:r>
        <w:rPr>
          <w:spacing w:val="5"/>
          <w:w w:val="105"/>
          <w:sz w:val="13"/>
        </w:rPr>
        <w:t> </w:t>
      </w:r>
      <w:r>
        <w:rPr>
          <w:w w:val="105"/>
          <w:sz w:val="13"/>
        </w:rPr>
        <w:t>local</w:t>
      </w:r>
      <w:r>
        <w:rPr>
          <w:spacing w:val="6"/>
          <w:w w:val="105"/>
          <w:sz w:val="13"/>
        </w:rPr>
        <w:t> </w:t>
      </w:r>
      <w:r>
        <w:rPr>
          <w:w w:val="105"/>
          <w:sz w:val="13"/>
        </w:rPr>
        <w:t>laws</w:t>
      </w:r>
      <w:r>
        <w:rPr>
          <w:spacing w:val="5"/>
          <w:w w:val="105"/>
          <w:sz w:val="13"/>
        </w:rPr>
        <w:t> </w:t>
      </w:r>
      <w:r>
        <w:rPr>
          <w:w w:val="105"/>
          <w:sz w:val="13"/>
        </w:rPr>
        <w:t>made</w:t>
      </w:r>
      <w:r>
        <w:rPr>
          <w:spacing w:val="5"/>
          <w:w w:val="105"/>
          <w:sz w:val="13"/>
        </w:rPr>
        <w:t> </w:t>
      </w:r>
      <w:r>
        <w:rPr>
          <w:w w:val="105"/>
          <w:sz w:val="13"/>
        </w:rPr>
        <w:t>under</w:t>
      </w:r>
      <w:r>
        <w:rPr>
          <w:spacing w:val="6"/>
          <w:w w:val="105"/>
          <w:sz w:val="13"/>
        </w:rPr>
        <w:t> </w:t>
      </w:r>
      <w:r>
        <w:rPr>
          <w:w w:val="105"/>
          <w:sz w:val="13"/>
        </w:rPr>
        <w:t>the</w:t>
      </w:r>
      <w:r>
        <w:rPr>
          <w:spacing w:val="5"/>
          <w:w w:val="105"/>
          <w:sz w:val="13"/>
        </w:rPr>
        <w:t> </w:t>
      </w:r>
      <w:r>
        <w:rPr>
          <w:i/>
          <w:w w:val="105"/>
          <w:sz w:val="13"/>
        </w:rPr>
        <w:t>Local</w:t>
      </w:r>
      <w:r>
        <w:rPr>
          <w:i/>
          <w:spacing w:val="5"/>
          <w:w w:val="105"/>
          <w:sz w:val="13"/>
        </w:rPr>
        <w:t> </w:t>
      </w:r>
      <w:r>
        <w:rPr>
          <w:i/>
          <w:w w:val="105"/>
          <w:sz w:val="13"/>
        </w:rPr>
        <w:t>Government</w:t>
      </w:r>
      <w:r>
        <w:rPr>
          <w:i/>
          <w:spacing w:val="6"/>
          <w:w w:val="105"/>
          <w:sz w:val="13"/>
        </w:rPr>
        <w:t> </w:t>
      </w:r>
      <w:r>
        <w:rPr>
          <w:i/>
          <w:w w:val="105"/>
          <w:sz w:val="13"/>
        </w:rPr>
        <w:t>Act</w:t>
      </w:r>
      <w:r>
        <w:rPr>
          <w:i/>
          <w:spacing w:val="5"/>
          <w:w w:val="105"/>
          <w:sz w:val="13"/>
        </w:rPr>
        <w:t> </w:t>
      </w:r>
      <w:r>
        <w:rPr>
          <w:i/>
          <w:w w:val="105"/>
          <w:sz w:val="13"/>
        </w:rPr>
        <w:t>1989</w:t>
      </w:r>
      <w:r>
        <w:rPr>
          <w:i/>
          <w:spacing w:val="6"/>
          <w:w w:val="105"/>
          <w:sz w:val="13"/>
        </w:rPr>
        <w:t> </w:t>
      </w:r>
      <w:r>
        <w:rPr>
          <w:spacing w:val="2"/>
          <w:w w:val="105"/>
          <w:sz w:val="13"/>
        </w:rPr>
        <w:t>(Vic).</w:t>
      </w:r>
    </w:p>
    <w:p>
      <w:pPr>
        <w:pStyle w:val="ListParagraph"/>
        <w:numPr>
          <w:ilvl w:val="0"/>
          <w:numId w:val="163"/>
        </w:numPr>
        <w:tabs>
          <w:tab w:pos="2381" w:val="left" w:leader="none"/>
          <w:tab w:pos="2382" w:val="left" w:leader="none"/>
        </w:tabs>
        <w:spacing w:line="240" w:lineRule="auto" w:before="1" w:after="0"/>
        <w:ind w:left="2381" w:right="0" w:hanging="794"/>
        <w:jc w:val="left"/>
        <w:rPr>
          <w:sz w:val="13"/>
        </w:rPr>
      </w:pPr>
      <w:r>
        <w:rPr>
          <w:i/>
          <w:w w:val="105"/>
          <w:sz w:val="13"/>
        </w:rPr>
        <w:t>Planning and Environment Act 1987 </w:t>
      </w:r>
      <w:r>
        <w:rPr>
          <w:spacing w:val="2"/>
          <w:w w:val="105"/>
          <w:sz w:val="13"/>
        </w:rPr>
        <w:t>(Vic) </w:t>
      </w:r>
      <w:r>
        <w:rPr>
          <w:w w:val="105"/>
          <w:sz w:val="13"/>
        </w:rPr>
        <w:t>s 52. The Act does not specify what matters may be taken into account by the responsible   authority in deciding whether or not material detriment may be caused. Each application must be considered on its merits. </w:t>
      </w:r>
      <w:r>
        <w:rPr>
          <w:spacing w:val="2"/>
          <w:w w:val="105"/>
          <w:sz w:val="13"/>
        </w:rPr>
        <w:t>As </w:t>
      </w:r>
      <w:r>
        <w:rPr>
          <w:w w:val="105"/>
          <w:sz w:val="13"/>
        </w:rPr>
        <w:t>a basic rule,    it should be possible to link detriment to specific matters such as restriction of access, visual intrusion, unreasonable noise, overshadowing</w:t>
      </w:r>
      <w:r>
        <w:rPr>
          <w:spacing w:val="30"/>
          <w:w w:val="105"/>
          <w:sz w:val="13"/>
        </w:rPr>
        <w:t> </w:t>
      </w:r>
      <w:r>
        <w:rPr>
          <w:w w:val="105"/>
          <w:sz w:val="13"/>
        </w:rPr>
        <w:t>or some other specific reason. General terms such as ‘amenity’ and ‘nuisance’ are not specific enough, nor is the fact that the matter is controversial a conclusive test that a person may suffer material detriment. Conversely, agreement to the proposal by the owners and occupiers of adjoining land is not conclusive, although it may help the responsible authority form an opinion. Careful judgment of the situation by the responsible authority is </w:t>
      </w:r>
      <w:r>
        <w:rPr>
          <w:spacing w:val="2"/>
          <w:w w:val="105"/>
          <w:sz w:val="13"/>
        </w:rPr>
        <w:t>necessary: </w:t>
      </w:r>
      <w:r>
        <w:rPr>
          <w:w w:val="105"/>
          <w:sz w:val="13"/>
        </w:rPr>
        <w:t>see Department of Environment, Land, Water and Planning </w:t>
      </w:r>
      <w:r>
        <w:rPr>
          <w:spacing w:val="2"/>
          <w:w w:val="105"/>
          <w:sz w:val="13"/>
        </w:rPr>
        <w:t>(Vic), </w:t>
      </w:r>
      <w:r>
        <w:rPr>
          <w:i/>
          <w:w w:val="105"/>
          <w:sz w:val="13"/>
        </w:rPr>
        <w:t>Using Victoria’s </w:t>
      </w:r>
      <w:r>
        <w:rPr>
          <w:i/>
          <w:w w:val="105"/>
          <w:sz w:val="13"/>
        </w:rPr>
        <w:t>Planning</w:t>
      </w:r>
      <w:r>
        <w:rPr>
          <w:i/>
          <w:spacing w:val="8"/>
          <w:w w:val="105"/>
          <w:sz w:val="13"/>
        </w:rPr>
        <w:t> </w:t>
      </w:r>
      <w:r>
        <w:rPr>
          <w:i/>
          <w:w w:val="105"/>
          <w:sz w:val="13"/>
        </w:rPr>
        <w:t>System</w:t>
      </w:r>
      <w:r>
        <w:rPr>
          <w:i/>
          <w:spacing w:val="8"/>
          <w:w w:val="105"/>
          <w:sz w:val="13"/>
        </w:rPr>
        <w:t> </w:t>
      </w:r>
      <w:r>
        <w:rPr>
          <w:w w:val="105"/>
          <w:sz w:val="13"/>
        </w:rPr>
        <w:t>(Guide,</w:t>
      </w:r>
      <w:r>
        <w:rPr>
          <w:spacing w:val="8"/>
          <w:w w:val="105"/>
          <w:sz w:val="13"/>
        </w:rPr>
        <w:t> </w:t>
      </w:r>
      <w:r>
        <w:rPr>
          <w:w w:val="105"/>
          <w:sz w:val="13"/>
        </w:rPr>
        <w:t>28</w:t>
      </w:r>
      <w:r>
        <w:rPr>
          <w:spacing w:val="8"/>
          <w:w w:val="105"/>
          <w:sz w:val="13"/>
        </w:rPr>
        <w:t> </w:t>
      </w:r>
      <w:r>
        <w:rPr>
          <w:w w:val="105"/>
          <w:sz w:val="13"/>
        </w:rPr>
        <w:t>May</w:t>
      </w:r>
      <w:r>
        <w:rPr>
          <w:spacing w:val="8"/>
          <w:w w:val="105"/>
          <w:sz w:val="13"/>
        </w:rPr>
        <w:t> </w:t>
      </w:r>
      <w:r>
        <w:rPr>
          <w:w w:val="105"/>
          <w:sz w:val="13"/>
        </w:rPr>
        <w:t>2015)</w:t>
      </w:r>
      <w:r>
        <w:rPr>
          <w:spacing w:val="8"/>
          <w:w w:val="105"/>
          <w:sz w:val="13"/>
        </w:rPr>
        <w:t> </w:t>
      </w:r>
      <w:r>
        <w:rPr>
          <w:w w:val="105"/>
          <w:sz w:val="13"/>
        </w:rPr>
        <w:t>[3.1.2]</w:t>
      </w:r>
      <w:r>
        <w:rPr>
          <w:spacing w:val="8"/>
          <w:w w:val="105"/>
          <w:sz w:val="13"/>
        </w:rPr>
        <w:t> </w:t>
      </w:r>
      <w:r>
        <w:rPr>
          <w:w w:val="105"/>
          <w:sz w:val="13"/>
        </w:rPr>
        <w:t>&lt;</w:t>
      </w:r>
      <w:hyperlink r:id="rId95">
        <w:r>
          <w:rPr>
            <w:w w:val="105"/>
            <w:sz w:val="13"/>
          </w:rPr>
          <w:t>www.planning.vic.gov.au/guide-home/using-victorias-planning-system</w:t>
        </w:r>
      </w:hyperlink>
      <w:r>
        <w:rPr>
          <w:w w:val="105"/>
          <w:sz w:val="13"/>
        </w:rPr>
        <w:t>&gt;.</w:t>
      </w:r>
    </w:p>
    <w:p>
      <w:pPr>
        <w:pStyle w:val="ListParagraph"/>
        <w:numPr>
          <w:ilvl w:val="0"/>
          <w:numId w:val="163"/>
        </w:numPr>
        <w:tabs>
          <w:tab w:pos="2381" w:val="left" w:leader="none"/>
          <w:tab w:pos="2382" w:val="left" w:leader="none"/>
        </w:tabs>
        <w:spacing w:line="240" w:lineRule="auto" w:before="11" w:after="0"/>
        <w:ind w:left="2381" w:right="123" w:hanging="794"/>
        <w:jc w:val="left"/>
        <w:rPr>
          <w:sz w:val="13"/>
        </w:rPr>
      </w:pPr>
      <w:r>
        <w:rPr>
          <w:i/>
          <w:w w:val="105"/>
          <w:sz w:val="13"/>
        </w:rPr>
        <w:t>Planning and Environment Act 1987 </w:t>
      </w:r>
      <w:r>
        <w:rPr>
          <w:spacing w:val="2"/>
          <w:w w:val="105"/>
          <w:sz w:val="13"/>
        </w:rPr>
        <w:t>(Vic) </w:t>
      </w:r>
      <w:r>
        <w:rPr>
          <w:w w:val="105"/>
          <w:sz w:val="13"/>
        </w:rPr>
        <w:t>s </w:t>
      </w:r>
      <w:r>
        <w:rPr>
          <w:spacing w:val="-4"/>
          <w:w w:val="105"/>
          <w:sz w:val="13"/>
        </w:rPr>
        <w:t>51. </w:t>
      </w:r>
      <w:r>
        <w:rPr>
          <w:w w:val="105"/>
          <w:sz w:val="13"/>
        </w:rPr>
        <w:t>A planning scheme may exempt any class or classes of application from some or all of the notice</w:t>
      </w:r>
      <w:r>
        <w:rPr>
          <w:spacing w:val="4"/>
          <w:w w:val="105"/>
          <w:sz w:val="13"/>
        </w:rPr>
        <w:t> </w:t>
      </w:r>
      <w:r>
        <w:rPr>
          <w:w w:val="105"/>
          <w:sz w:val="13"/>
        </w:rPr>
        <w:t>requirements</w:t>
      </w:r>
      <w:r>
        <w:rPr>
          <w:spacing w:val="5"/>
          <w:w w:val="105"/>
          <w:sz w:val="13"/>
        </w:rPr>
        <w:t> </w:t>
      </w:r>
      <w:r>
        <w:rPr>
          <w:w w:val="105"/>
          <w:sz w:val="13"/>
        </w:rPr>
        <w:t>that</w:t>
      </w:r>
      <w:r>
        <w:rPr>
          <w:spacing w:val="4"/>
          <w:w w:val="105"/>
          <w:sz w:val="13"/>
        </w:rPr>
        <w:t> </w:t>
      </w:r>
      <w:r>
        <w:rPr>
          <w:w w:val="105"/>
          <w:sz w:val="13"/>
        </w:rPr>
        <w:t>may</w:t>
      </w:r>
      <w:r>
        <w:rPr>
          <w:spacing w:val="5"/>
          <w:w w:val="105"/>
          <w:sz w:val="13"/>
        </w:rPr>
        <w:t> </w:t>
      </w:r>
      <w:r>
        <w:rPr>
          <w:w w:val="105"/>
          <w:sz w:val="13"/>
        </w:rPr>
        <w:t>otherwise</w:t>
      </w:r>
      <w:r>
        <w:rPr>
          <w:spacing w:val="4"/>
          <w:w w:val="105"/>
          <w:sz w:val="13"/>
        </w:rPr>
        <w:t> </w:t>
      </w:r>
      <w:r>
        <w:rPr>
          <w:w w:val="105"/>
          <w:sz w:val="13"/>
        </w:rPr>
        <w:t>apply</w:t>
      </w:r>
      <w:r>
        <w:rPr>
          <w:spacing w:val="5"/>
          <w:w w:val="105"/>
          <w:sz w:val="13"/>
        </w:rPr>
        <w:t> </w:t>
      </w:r>
      <w:r>
        <w:rPr>
          <w:w w:val="105"/>
          <w:sz w:val="13"/>
        </w:rPr>
        <w:t>under</w:t>
      </w:r>
      <w:r>
        <w:rPr>
          <w:spacing w:val="4"/>
          <w:w w:val="105"/>
          <w:sz w:val="13"/>
        </w:rPr>
        <w:t> </w:t>
      </w:r>
      <w:r>
        <w:rPr>
          <w:w w:val="105"/>
          <w:sz w:val="13"/>
        </w:rPr>
        <w:t>section</w:t>
      </w:r>
      <w:r>
        <w:rPr>
          <w:spacing w:val="5"/>
          <w:w w:val="105"/>
          <w:sz w:val="13"/>
        </w:rPr>
        <w:t> </w:t>
      </w:r>
      <w:r>
        <w:rPr>
          <w:w w:val="105"/>
          <w:sz w:val="13"/>
        </w:rPr>
        <w:t>52(1)</w:t>
      </w:r>
      <w:r>
        <w:rPr>
          <w:spacing w:val="4"/>
          <w:w w:val="105"/>
          <w:sz w:val="13"/>
        </w:rPr>
        <w:t> </w:t>
      </w:r>
      <w:r>
        <w:rPr>
          <w:w w:val="105"/>
          <w:sz w:val="13"/>
        </w:rPr>
        <w:t>of</w:t>
      </w:r>
      <w:r>
        <w:rPr>
          <w:spacing w:val="5"/>
          <w:w w:val="105"/>
          <w:sz w:val="13"/>
        </w:rPr>
        <w:t> </w:t>
      </w:r>
      <w:r>
        <w:rPr>
          <w:w w:val="105"/>
          <w:sz w:val="13"/>
        </w:rPr>
        <w:t>the</w:t>
      </w:r>
      <w:r>
        <w:rPr>
          <w:spacing w:val="4"/>
          <w:w w:val="105"/>
          <w:sz w:val="13"/>
        </w:rPr>
        <w:t> </w:t>
      </w:r>
      <w:r>
        <w:rPr>
          <w:w w:val="105"/>
          <w:sz w:val="13"/>
        </w:rPr>
        <w:t>Act.</w:t>
      </w:r>
      <w:r>
        <w:rPr>
          <w:spacing w:val="5"/>
          <w:w w:val="105"/>
          <w:sz w:val="13"/>
        </w:rPr>
        <w:t> </w:t>
      </w:r>
      <w:r>
        <w:rPr>
          <w:w w:val="105"/>
          <w:sz w:val="13"/>
        </w:rPr>
        <w:t>In</w:t>
      </w:r>
      <w:r>
        <w:rPr>
          <w:spacing w:val="4"/>
          <w:w w:val="105"/>
          <w:sz w:val="13"/>
        </w:rPr>
        <w:t> </w:t>
      </w:r>
      <w:r>
        <w:rPr>
          <w:w w:val="105"/>
          <w:sz w:val="13"/>
        </w:rPr>
        <w:t>these</w:t>
      </w:r>
      <w:r>
        <w:rPr>
          <w:spacing w:val="5"/>
          <w:w w:val="105"/>
          <w:sz w:val="13"/>
        </w:rPr>
        <w:t> </w:t>
      </w:r>
      <w:r>
        <w:rPr>
          <w:w w:val="105"/>
          <w:sz w:val="13"/>
        </w:rPr>
        <w:t>cases,</w:t>
      </w:r>
      <w:r>
        <w:rPr>
          <w:spacing w:val="4"/>
          <w:w w:val="105"/>
          <w:sz w:val="13"/>
        </w:rPr>
        <w:t> </w:t>
      </w:r>
      <w:r>
        <w:rPr>
          <w:w w:val="105"/>
          <w:sz w:val="13"/>
        </w:rPr>
        <w:t>there</w:t>
      </w:r>
      <w:r>
        <w:rPr>
          <w:spacing w:val="5"/>
          <w:w w:val="105"/>
          <w:sz w:val="13"/>
        </w:rPr>
        <w:t> </w:t>
      </w:r>
      <w:r>
        <w:rPr>
          <w:w w:val="105"/>
          <w:sz w:val="13"/>
        </w:rPr>
        <w:t>is</w:t>
      </w:r>
      <w:r>
        <w:rPr>
          <w:spacing w:val="4"/>
          <w:w w:val="105"/>
          <w:sz w:val="13"/>
        </w:rPr>
        <w:t> </w:t>
      </w:r>
      <w:r>
        <w:rPr>
          <w:w w:val="105"/>
          <w:sz w:val="13"/>
        </w:rPr>
        <w:t>no</w:t>
      </w:r>
      <w:r>
        <w:rPr>
          <w:spacing w:val="5"/>
          <w:w w:val="105"/>
          <w:sz w:val="13"/>
        </w:rPr>
        <w:t> </w:t>
      </w:r>
      <w:r>
        <w:rPr>
          <w:w w:val="105"/>
          <w:sz w:val="13"/>
        </w:rPr>
        <w:t>opportunity</w:t>
      </w:r>
      <w:r>
        <w:rPr>
          <w:spacing w:val="4"/>
          <w:w w:val="105"/>
          <w:sz w:val="13"/>
        </w:rPr>
        <w:t> </w:t>
      </w:r>
      <w:r>
        <w:rPr>
          <w:w w:val="105"/>
          <w:sz w:val="13"/>
        </w:rPr>
        <w:t>for</w:t>
      </w:r>
      <w:r>
        <w:rPr>
          <w:spacing w:val="5"/>
          <w:w w:val="105"/>
          <w:sz w:val="13"/>
        </w:rPr>
        <w:t> </w:t>
      </w:r>
      <w:r>
        <w:rPr>
          <w:w w:val="105"/>
          <w:sz w:val="13"/>
        </w:rPr>
        <w:t>other</w:t>
      </w:r>
      <w:r>
        <w:rPr>
          <w:spacing w:val="5"/>
          <w:w w:val="105"/>
          <w:sz w:val="13"/>
        </w:rPr>
        <w:t> </w:t>
      </w:r>
      <w:r>
        <w:rPr>
          <w:w w:val="105"/>
          <w:sz w:val="13"/>
        </w:rPr>
        <w:t>people</w:t>
      </w:r>
    </w:p>
    <w:p>
      <w:pPr>
        <w:spacing w:before="3"/>
        <w:ind w:left="2381" w:right="145" w:firstLine="0"/>
        <w:jc w:val="left"/>
        <w:rPr>
          <w:sz w:val="13"/>
        </w:rPr>
      </w:pPr>
      <w:r>
        <w:rPr>
          <w:sz w:val="13"/>
        </w:rPr>
        <w:t>to make submissions or objections in relation to the application. The application must still be referred to any referral authority and the responsible authority must still take into account all relevant planning considerations in deciding the application.</w:t>
      </w:r>
    </w:p>
    <w:p>
      <w:pPr>
        <w:pStyle w:val="ListParagraph"/>
        <w:numPr>
          <w:ilvl w:val="0"/>
          <w:numId w:val="163"/>
        </w:numPr>
        <w:tabs>
          <w:tab w:pos="2381" w:val="left" w:leader="none"/>
          <w:tab w:pos="2382" w:val="left" w:leader="none"/>
        </w:tabs>
        <w:spacing w:line="240" w:lineRule="auto" w:before="2" w:after="0"/>
        <w:ind w:left="2381" w:right="0" w:hanging="794"/>
        <w:jc w:val="left"/>
        <w:rPr>
          <w:sz w:val="13"/>
        </w:rPr>
      </w:pPr>
      <w:r>
        <w:rPr>
          <w:sz w:val="13"/>
        </w:rPr>
        <w:t>Ibid s</w:t>
      </w:r>
      <w:r>
        <w:rPr>
          <w:spacing w:val="12"/>
          <w:sz w:val="13"/>
        </w:rPr>
        <w:t> </w:t>
      </w:r>
      <w:r>
        <w:rPr>
          <w:spacing w:val="-4"/>
          <w:sz w:val="13"/>
        </w:rPr>
        <w:t>57.</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7"/>
        </w:rPr>
      </w:pPr>
    </w:p>
    <w:p>
      <w:pPr>
        <w:spacing w:before="0"/>
        <w:ind w:left="627" w:right="578" w:firstLine="0"/>
        <w:jc w:val="center"/>
        <w:rPr>
          <w:b/>
          <w:sz w:val="24"/>
        </w:rPr>
      </w:pPr>
      <w:r>
        <w:rPr>
          <w:b/>
          <w:color w:val="658464"/>
          <w:w w:val="110"/>
          <w:sz w:val="24"/>
        </w:rPr>
        <w:t>221</w:t>
      </w:r>
    </w:p>
    <w:p>
      <w:pPr>
        <w:spacing w:after="0"/>
        <w:jc w:val="center"/>
        <w:rPr>
          <w:sz w:val="24"/>
        </w:rPr>
        <w:sectPr>
          <w:type w:val="continuous"/>
          <w:pgSz w:w="11910" w:h="16840"/>
          <w:pgMar w:top="300" w:bottom="280" w:left="0" w:right="0"/>
          <w:cols w:num="2" w:equalWidth="0">
            <w:col w:w="10222" w:space="40"/>
            <w:col w:w="1648"/>
          </w:cols>
        </w:sectPr>
      </w:pPr>
    </w:p>
    <w:p>
      <w:pPr>
        <w:pStyle w:val="BodyText"/>
        <w:spacing w:before="9"/>
        <w:rPr>
          <w:b/>
          <w:sz w:val="22"/>
        </w:rPr>
      </w:pPr>
    </w:p>
    <w:p>
      <w:pPr>
        <w:pStyle w:val="ListParagraph"/>
        <w:numPr>
          <w:ilvl w:val="1"/>
          <w:numId w:val="163"/>
        </w:numPr>
        <w:tabs>
          <w:tab w:pos="2721" w:val="left" w:leader="none"/>
          <w:tab w:pos="2722" w:val="left" w:leader="none"/>
        </w:tabs>
        <w:spacing w:line="240" w:lineRule="auto" w:before="92" w:after="0"/>
        <w:ind w:left="2721" w:right="0" w:hanging="340"/>
        <w:jc w:val="left"/>
        <w:rPr>
          <w:sz w:val="12"/>
        </w:rPr>
      </w:pPr>
      <w:r>
        <w:rPr>
          <w:spacing w:val="-3"/>
          <w:w w:val="105"/>
          <w:sz w:val="21"/>
        </w:rPr>
        <w:t>any </w:t>
      </w:r>
      <w:r>
        <w:rPr>
          <w:w w:val="105"/>
          <w:sz w:val="21"/>
        </w:rPr>
        <w:t>decision and comments of a </w:t>
      </w:r>
      <w:r>
        <w:rPr>
          <w:spacing w:val="-3"/>
          <w:w w:val="105"/>
          <w:sz w:val="21"/>
        </w:rPr>
        <w:t>referral </w:t>
      </w:r>
      <w:r>
        <w:rPr>
          <w:w w:val="105"/>
          <w:sz w:val="21"/>
        </w:rPr>
        <w:t>authority which it </w:t>
      </w:r>
      <w:r>
        <w:rPr>
          <w:spacing w:val="-2"/>
          <w:w w:val="105"/>
          <w:sz w:val="21"/>
        </w:rPr>
        <w:t>has</w:t>
      </w:r>
      <w:r>
        <w:rPr>
          <w:spacing w:val="33"/>
          <w:w w:val="105"/>
          <w:sz w:val="21"/>
        </w:rPr>
        <w:t> </w:t>
      </w:r>
      <w:r>
        <w:rPr>
          <w:w w:val="105"/>
          <w:sz w:val="21"/>
        </w:rPr>
        <w:t>received</w:t>
      </w:r>
      <w:r>
        <w:rPr>
          <w:w w:val="105"/>
          <w:position w:val="7"/>
          <w:sz w:val="12"/>
        </w:rPr>
        <w:t>23</w:t>
      </w:r>
    </w:p>
    <w:p>
      <w:pPr>
        <w:pStyle w:val="ListParagraph"/>
        <w:numPr>
          <w:ilvl w:val="1"/>
          <w:numId w:val="163"/>
        </w:numPr>
        <w:tabs>
          <w:tab w:pos="2721" w:val="left" w:leader="none"/>
          <w:tab w:pos="2722" w:val="left" w:leader="none"/>
        </w:tabs>
        <w:spacing w:line="240" w:lineRule="auto" w:before="88" w:after="0"/>
        <w:ind w:left="2721" w:right="0" w:hanging="340"/>
        <w:jc w:val="left"/>
        <w:rPr>
          <w:sz w:val="21"/>
        </w:rPr>
      </w:pPr>
      <w:r>
        <w:rPr>
          <w:spacing w:val="-3"/>
          <w:w w:val="105"/>
          <w:sz w:val="21"/>
        </w:rPr>
        <w:t>any significant </w:t>
      </w:r>
      <w:r>
        <w:rPr>
          <w:w w:val="105"/>
          <w:sz w:val="21"/>
        </w:rPr>
        <w:t>effects on the</w:t>
      </w:r>
      <w:r>
        <w:rPr>
          <w:spacing w:val="31"/>
          <w:w w:val="105"/>
          <w:sz w:val="21"/>
        </w:rPr>
        <w:t> </w:t>
      </w:r>
      <w:r>
        <w:rPr>
          <w:spacing w:val="-3"/>
          <w:w w:val="105"/>
          <w:sz w:val="21"/>
        </w:rPr>
        <w:t>environment</w:t>
      </w:r>
    </w:p>
    <w:p>
      <w:pPr>
        <w:pStyle w:val="ListParagraph"/>
        <w:numPr>
          <w:ilvl w:val="1"/>
          <w:numId w:val="163"/>
        </w:numPr>
        <w:tabs>
          <w:tab w:pos="2721" w:val="left" w:leader="none"/>
          <w:tab w:pos="2722" w:val="left" w:leader="none"/>
        </w:tabs>
        <w:spacing w:line="240" w:lineRule="auto" w:before="89" w:after="0"/>
        <w:ind w:left="2721" w:right="0" w:hanging="340"/>
        <w:jc w:val="left"/>
        <w:rPr>
          <w:sz w:val="12"/>
        </w:rPr>
      </w:pPr>
      <w:r>
        <w:rPr>
          <w:spacing w:val="-3"/>
          <w:w w:val="105"/>
          <w:sz w:val="21"/>
        </w:rPr>
        <w:t>any </w:t>
      </w:r>
      <w:r>
        <w:rPr>
          <w:w w:val="105"/>
          <w:sz w:val="21"/>
        </w:rPr>
        <w:t>social and economic</w:t>
      </w:r>
      <w:r>
        <w:rPr>
          <w:spacing w:val="23"/>
          <w:w w:val="105"/>
          <w:sz w:val="21"/>
        </w:rPr>
        <w:t> </w:t>
      </w:r>
      <w:r>
        <w:rPr>
          <w:w w:val="105"/>
          <w:sz w:val="21"/>
        </w:rPr>
        <w:t>impacts.</w:t>
      </w:r>
      <w:r>
        <w:rPr>
          <w:w w:val="105"/>
          <w:position w:val="7"/>
          <w:sz w:val="12"/>
        </w:rPr>
        <w:t>24</w:t>
      </w:r>
    </w:p>
    <w:p>
      <w:pPr>
        <w:pStyle w:val="ListParagraph"/>
        <w:numPr>
          <w:ilvl w:val="1"/>
          <w:numId w:val="16"/>
        </w:numPr>
        <w:tabs>
          <w:tab w:pos="2380" w:val="left" w:leader="none"/>
          <w:tab w:pos="2381" w:val="left" w:leader="none"/>
        </w:tabs>
        <w:spacing w:line="242" w:lineRule="auto" w:before="89" w:after="0"/>
        <w:ind w:left="2380" w:right="2087" w:hanging="793"/>
        <w:jc w:val="left"/>
        <w:rPr>
          <w:sz w:val="21"/>
        </w:rPr>
      </w:pPr>
      <w:r>
        <w:rPr>
          <w:w w:val="105"/>
          <w:sz w:val="21"/>
        </w:rPr>
        <w:t>The </w:t>
      </w:r>
      <w:r>
        <w:rPr>
          <w:spacing w:val="-3"/>
          <w:w w:val="105"/>
          <w:sz w:val="21"/>
        </w:rPr>
        <w:t>responsible </w:t>
      </w:r>
      <w:r>
        <w:rPr>
          <w:w w:val="105"/>
          <w:sz w:val="21"/>
        </w:rPr>
        <w:t>authority </w:t>
      </w:r>
      <w:r>
        <w:rPr>
          <w:spacing w:val="-3"/>
          <w:w w:val="105"/>
          <w:sz w:val="21"/>
        </w:rPr>
        <w:t>may </w:t>
      </w:r>
      <w:r>
        <w:rPr>
          <w:w w:val="105"/>
          <w:sz w:val="21"/>
        </w:rPr>
        <w:t>also </w:t>
      </w:r>
      <w:r>
        <w:rPr>
          <w:spacing w:val="-3"/>
          <w:w w:val="105"/>
          <w:sz w:val="21"/>
        </w:rPr>
        <w:t>consider </w:t>
      </w:r>
      <w:r>
        <w:rPr>
          <w:w w:val="105"/>
          <w:sz w:val="21"/>
        </w:rPr>
        <w:t>other </w:t>
      </w:r>
      <w:r>
        <w:rPr>
          <w:spacing w:val="-3"/>
          <w:w w:val="105"/>
          <w:sz w:val="21"/>
        </w:rPr>
        <w:t>plans, </w:t>
      </w:r>
      <w:r>
        <w:rPr>
          <w:w w:val="105"/>
          <w:sz w:val="21"/>
        </w:rPr>
        <w:t>policies, </w:t>
      </w:r>
      <w:r>
        <w:rPr>
          <w:spacing w:val="-3"/>
          <w:w w:val="105"/>
          <w:sz w:val="21"/>
        </w:rPr>
        <w:t>planning </w:t>
      </w:r>
      <w:r>
        <w:rPr>
          <w:w w:val="105"/>
          <w:sz w:val="21"/>
        </w:rPr>
        <w:t>scheme amendments</w:t>
      </w:r>
      <w:r>
        <w:rPr>
          <w:spacing w:val="-6"/>
          <w:w w:val="105"/>
          <w:sz w:val="21"/>
        </w:rPr>
        <w:t> </w:t>
      </w:r>
      <w:r>
        <w:rPr>
          <w:w w:val="105"/>
          <w:sz w:val="21"/>
        </w:rPr>
        <w:t>adopted</w:t>
      </w:r>
      <w:r>
        <w:rPr>
          <w:spacing w:val="-6"/>
          <w:w w:val="105"/>
          <w:sz w:val="21"/>
        </w:rPr>
        <w:t> </w:t>
      </w:r>
      <w:r>
        <w:rPr>
          <w:w w:val="105"/>
          <w:sz w:val="21"/>
        </w:rPr>
        <w:t>by</w:t>
      </w:r>
      <w:r>
        <w:rPr>
          <w:spacing w:val="-6"/>
          <w:w w:val="105"/>
          <w:sz w:val="21"/>
        </w:rPr>
        <w:t> </w:t>
      </w:r>
      <w:r>
        <w:rPr>
          <w:w w:val="105"/>
          <w:sz w:val="21"/>
        </w:rPr>
        <w:t>a</w:t>
      </w:r>
      <w:r>
        <w:rPr>
          <w:spacing w:val="-6"/>
          <w:w w:val="105"/>
          <w:sz w:val="21"/>
        </w:rPr>
        <w:t> </w:t>
      </w:r>
      <w:r>
        <w:rPr>
          <w:spacing w:val="-3"/>
          <w:w w:val="105"/>
          <w:sz w:val="21"/>
        </w:rPr>
        <w:t>planning</w:t>
      </w:r>
      <w:r>
        <w:rPr>
          <w:spacing w:val="-6"/>
          <w:w w:val="105"/>
          <w:sz w:val="21"/>
        </w:rPr>
        <w:t> </w:t>
      </w:r>
      <w:r>
        <w:rPr>
          <w:w w:val="105"/>
          <w:sz w:val="21"/>
        </w:rPr>
        <w:t>authority</w:t>
      </w:r>
      <w:r>
        <w:rPr>
          <w:spacing w:val="-5"/>
          <w:w w:val="105"/>
          <w:sz w:val="21"/>
        </w:rPr>
        <w:t> </w:t>
      </w:r>
      <w:r>
        <w:rPr>
          <w:w w:val="105"/>
          <w:sz w:val="21"/>
        </w:rPr>
        <w:t>and</w:t>
      </w:r>
      <w:r>
        <w:rPr>
          <w:spacing w:val="-6"/>
          <w:w w:val="105"/>
          <w:sz w:val="21"/>
        </w:rPr>
        <w:t> </w:t>
      </w:r>
      <w:r>
        <w:rPr>
          <w:spacing w:val="-3"/>
          <w:w w:val="105"/>
          <w:sz w:val="21"/>
        </w:rPr>
        <w:t>any</w:t>
      </w:r>
      <w:r>
        <w:rPr>
          <w:spacing w:val="-6"/>
          <w:w w:val="105"/>
          <w:sz w:val="21"/>
        </w:rPr>
        <w:t> </w:t>
      </w:r>
      <w:r>
        <w:rPr>
          <w:spacing w:val="-2"/>
          <w:w w:val="105"/>
          <w:sz w:val="21"/>
        </w:rPr>
        <w:t>agreement</w:t>
      </w:r>
      <w:r>
        <w:rPr>
          <w:spacing w:val="-6"/>
          <w:w w:val="105"/>
          <w:sz w:val="21"/>
        </w:rPr>
        <w:t> </w:t>
      </w:r>
      <w:r>
        <w:rPr>
          <w:w w:val="105"/>
          <w:sz w:val="21"/>
        </w:rPr>
        <w:t>made</w:t>
      </w:r>
      <w:r>
        <w:rPr>
          <w:spacing w:val="-6"/>
          <w:w w:val="105"/>
          <w:sz w:val="21"/>
        </w:rPr>
        <w:t> </w:t>
      </w:r>
      <w:r>
        <w:rPr>
          <w:spacing w:val="-3"/>
          <w:w w:val="105"/>
          <w:sz w:val="21"/>
        </w:rPr>
        <w:t>pursuant</w:t>
      </w:r>
      <w:r>
        <w:rPr>
          <w:spacing w:val="-5"/>
          <w:w w:val="105"/>
          <w:sz w:val="21"/>
        </w:rPr>
        <w:t> </w:t>
      </w:r>
      <w:r>
        <w:rPr>
          <w:spacing w:val="-3"/>
          <w:w w:val="105"/>
          <w:sz w:val="21"/>
        </w:rPr>
        <w:t>to </w:t>
      </w:r>
      <w:r>
        <w:rPr>
          <w:w w:val="105"/>
          <w:sz w:val="21"/>
        </w:rPr>
        <w:t>section </w:t>
      </w:r>
      <w:r>
        <w:rPr>
          <w:spacing w:val="-8"/>
          <w:w w:val="105"/>
          <w:sz w:val="21"/>
        </w:rPr>
        <w:t>173 </w:t>
      </w:r>
      <w:r>
        <w:rPr>
          <w:w w:val="105"/>
          <w:sz w:val="21"/>
        </w:rPr>
        <w:t>of the </w:t>
      </w:r>
      <w:r>
        <w:rPr>
          <w:spacing w:val="4"/>
          <w:w w:val="105"/>
          <w:sz w:val="21"/>
        </w:rPr>
        <w:t>P&amp;E </w:t>
      </w:r>
      <w:r>
        <w:rPr>
          <w:w w:val="105"/>
          <w:sz w:val="21"/>
        </w:rPr>
        <w:t>Act affecting the land.</w:t>
      </w:r>
      <w:r>
        <w:rPr>
          <w:w w:val="105"/>
          <w:position w:val="7"/>
          <w:sz w:val="12"/>
        </w:rPr>
        <w:t>25</w:t>
      </w:r>
    </w:p>
    <w:p>
      <w:pPr>
        <w:pStyle w:val="ListParagraph"/>
        <w:numPr>
          <w:ilvl w:val="1"/>
          <w:numId w:val="16"/>
        </w:numPr>
        <w:tabs>
          <w:tab w:pos="2380" w:val="left" w:leader="none"/>
          <w:tab w:pos="2381" w:val="left" w:leader="none"/>
        </w:tabs>
        <w:spacing w:line="242" w:lineRule="auto" w:before="123" w:after="0"/>
        <w:ind w:left="2381" w:right="1600" w:hanging="794"/>
        <w:jc w:val="left"/>
        <w:rPr>
          <w:sz w:val="21"/>
        </w:rPr>
      </w:pPr>
      <w:r>
        <w:rPr>
          <w:w w:val="105"/>
          <w:sz w:val="21"/>
        </w:rPr>
        <w:t>Reviews of permit decisions </w:t>
      </w:r>
      <w:r>
        <w:rPr>
          <w:spacing w:val="-3"/>
          <w:w w:val="105"/>
          <w:sz w:val="21"/>
        </w:rPr>
        <w:t>are heard </w:t>
      </w:r>
      <w:r>
        <w:rPr>
          <w:w w:val="105"/>
          <w:sz w:val="21"/>
        </w:rPr>
        <w:t>by </w:t>
      </w:r>
      <w:r>
        <w:rPr>
          <w:spacing w:val="-8"/>
          <w:w w:val="105"/>
          <w:sz w:val="21"/>
        </w:rPr>
        <w:t>VCAT. </w:t>
      </w:r>
      <w:r>
        <w:rPr>
          <w:w w:val="105"/>
          <w:sz w:val="21"/>
        </w:rPr>
        <w:t>In </w:t>
      </w:r>
      <w:r>
        <w:rPr>
          <w:spacing w:val="-3"/>
          <w:w w:val="105"/>
          <w:sz w:val="21"/>
        </w:rPr>
        <w:t>reviewing </w:t>
      </w:r>
      <w:r>
        <w:rPr>
          <w:w w:val="105"/>
          <w:sz w:val="21"/>
        </w:rPr>
        <w:t>the </w:t>
      </w:r>
      <w:r>
        <w:rPr>
          <w:spacing w:val="-3"/>
          <w:w w:val="105"/>
          <w:sz w:val="21"/>
        </w:rPr>
        <w:t>application, </w:t>
      </w:r>
      <w:r>
        <w:rPr>
          <w:spacing w:val="-5"/>
          <w:w w:val="105"/>
          <w:sz w:val="21"/>
        </w:rPr>
        <w:t>VCAT </w:t>
      </w:r>
      <w:r>
        <w:rPr>
          <w:w w:val="105"/>
          <w:sz w:val="21"/>
        </w:rPr>
        <w:t>is </w:t>
      </w:r>
      <w:r>
        <w:rPr>
          <w:spacing w:val="-3"/>
          <w:w w:val="105"/>
          <w:sz w:val="21"/>
        </w:rPr>
        <w:t>limited to considering </w:t>
      </w:r>
      <w:r>
        <w:rPr>
          <w:w w:val="105"/>
          <w:sz w:val="21"/>
        </w:rPr>
        <w:t>only the matters </w:t>
      </w:r>
      <w:r>
        <w:rPr>
          <w:spacing w:val="-3"/>
          <w:w w:val="105"/>
          <w:sz w:val="21"/>
        </w:rPr>
        <w:t>that were before </w:t>
      </w:r>
      <w:r>
        <w:rPr>
          <w:w w:val="105"/>
          <w:sz w:val="21"/>
        </w:rPr>
        <w:t>the </w:t>
      </w:r>
      <w:r>
        <w:rPr>
          <w:spacing w:val="-3"/>
          <w:w w:val="105"/>
          <w:sz w:val="21"/>
        </w:rPr>
        <w:t>original </w:t>
      </w:r>
      <w:r>
        <w:rPr>
          <w:w w:val="105"/>
          <w:sz w:val="21"/>
        </w:rPr>
        <w:t>decision </w:t>
      </w:r>
      <w:r>
        <w:rPr>
          <w:spacing w:val="-5"/>
          <w:w w:val="105"/>
          <w:sz w:val="21"/>
        </w:rPr>
        <w:t>maker.</w:t>
      </w:r>
      <w:r>
        <w:rPr>
          <w:spacing w:val="-5"/>
          <w:w w:val="105"/>
          <w:position w:val="7"/>
          <w:sz w:val="12"/>
        </w:rPr>
        <w:t>26</w:t>
      </w:r>
      <w:r>
        <w:rPr>
          <w:spacing w:val="-5"/>
          <w:w w:val="105"/>
          <w:sz w:val="12"/>
        </w:rPr>
        <w:t> </w:t>
      </w:r>
      <w:r>
        <w:rPr>
          <w:spacing w:val="-5"/>
          <w:w w:val="105"/>
          <w:sz w:val="21"/>
        </w:rPr>
        <w:t>VCAT </w:t>
      </w:r>
      <w:r>
        <w:rPr>
          <w:w w:val="105"/>
          <w:sz w:val="21"/>
        </w:rPr>
        <w:t>also </w:t>
      </w:r>
      <w:r>
        <w:rPr>
          <w:spacing w:val="-2"/>
          <w:w w:val="105"/>
          <w:sz w:val="21"/>
        </w:rPr>
        <w:t>has </w:t>
      </w:r>
      <w:r>
        <w:rPr>
          <w:spacing w:val="-3"/>
          <w:w w:val="105"/>
          <w:sz w:val="21"/>
        </w:rPr>
        <w:t>original </w:t>
      </w:r>
      <w:r>
        <w:rPr>
          <w:w w:val="105"/>
          <w:sz w:val="21"/>
        </w:rPr>
        <w:t>jurisdiction </w:t>
      </w:r>
      <w:r>
        <w:rPr>
          <w:spacing w:val="-3"/>
          <w:w w:val="105"/>
          <w:sz w:val="21"/>
        </w:rPr>
        <w:t>to </w:t>
      </w:r>
      <w:r>
        <w:rPr>
          <w:w w:val="105"/>
          <w:sz w:val="21"/>
        </w:rPr>
        <w:t>hear some types of matters, </w:t>
      </w:r>
      <w:r>
        <w:rPr>
          <w:spacing w:val="-3"/>
          <w:w w:val="105"/>
          <w:sz w:val="21"/>
        </w:rPr>
        <w:t>including applications to </w:t>
      </w:r>
      <w:r>
        <w:rPr>
          <w:w w:val="105"/>
          <w:sz w:val="21"/>
        </w:rPr>
        <w:t>cancel or amend permits and </w:t>
      </w:r>
      <w:r>
        <w:rPr>
          <w:spacing w:val="-3"/>
          <w:w w:val="105"/>
          <w:sz w:val="21"/>
        </w:rPr>
        <w:t>applications for enforcement </w:t>
      </w:r>
      <w:r>
        <w:rPr>
          <w:w w:val="105"/>
          <w:sz w:val="21"/>
        </w:rPr>
        <w:t>of</w:t>
      </w:r>
      <w:r>
        <w:rPr>
          <w:spacing w:val="30"/>
          <w:w w:val="105"/>
          <w:sz w:val="21"/>
        </w:rPr>
        <w:t> </w:t>
      </w:r>
      <w:r>
        <w:rPr>
          <w:w w:val="105"/>
          <w:sz w:val="21"/>
        </w:rPr>
        <w:t>orders.</w:t>
      </w:r>
      <w:r>
        <w:rPr>
          <w:w w:val="105"/>
          <w:position w:val="7"/>
          <w:sz w:val="12"/>
        </w:rPr>
        <w:t>27</w:t>
      </w:r>
    </w:p>
    <w:p>
      <w:pPr>
        <w:pStyle w:val="Heading7"/>
        <w:spacing w:before="155"/>
      </w:pPr>
      <w:r>
        <w:rPr>
          <w:w w:val="110"/>
        </w:rPr>
        <w:t>VicSmart permit process</w:t>
      </w:r>
    </w:p>
    <w:p>
      <w:pPr>
        <w:pStyle w:val="ListParagraph"/>
        <w:numPr>
          <w:ilvl w:val="1"/>
          <w:numId w:val="16"/>
        </w:numPr>
        <w:tabs>
          <w:tab w:pos="2380" w:val="left" w:leader="none"/>
          <w:tab w:pos="2381" w:val="left" w:leader="none"/>
        </w:tabs>
        <w:spacing w:line="242" w:lineRule="auto" w:before="143" w:after="0"/>
        <w:ind w:left="2381" w:right="1824" w:hanging="794"/>
        <w:jc w:val="left"/>
        <w:rPr>
          <w:sz w:val="21"/>
        </w:rPr>
      </w:pPr>
      <w:r>
        <w:rPr>
          <w:w w:val="105"/>
          <w:sz w:val="21"/>
        </w:rPr>
        <w:t>VicSmart is a </w:t>
      </w:r>
      <w:r>
        <w:rPr>
          <w:spacing w:val="-3"/>
          <w:w w:val="105"/>
          <w:sz w:val="21"/>
        </w:rPr>
        <w:t>simple, </w:t>
      </w:r>
      <w:r>
        <w:rPr>
          <w:w w:val="105"/>
          <w:sz w:val="21"/>
        </w:rPr>
        <w:t>fast </w:t>
      </w:r>
      <w:r>
        <w:rPr>
          <w:spacing w:val="-3"/>
          <w:w w:val="105"/>
          <w:sz w:val="21"/>
        </w:rPr>
        <w:t>planning </w:t>
      </w:r>
      <w:r>
        <w:rPr>
          <w:w w:val="105"/>
          <w:sz w:val="21"/>
        </w:rPr>
        <w:t>permit assessment process </w:t>
      </w:r>
      <w:r>
        <w:rPr>
          <w:spacing w:val="-3"/>
          <w:w w:val="105"/>
          <w:sz w:val="21"/>
        </w:rPr>
        <w:t>for straightforward, </w:t>
      </w:r>
      <w:r>
        <w:rPr>
          <w:w w:val="105"/>
          <w:sz w:val="21"/>
        </w:rPr>
        <w:t>low- impact </w:t>
      </w:r>
      <w:r>
        <w:rPr>
          <w:spacing w:val="-3"/>
          <w:w w:val="105"/>
          <w:sz w:val="21"/>
        </w:rPr>
        <w:t>planning </w:t>
      </w:r>
      <w:r>
        <w:rPr>
          <w:w w:val="105"/>
          <w:sz w:val="21"/>
        </w:rPr>
        <w:t>and development </w:t>
      </w:r>
      <w:r>
        <w:rPr>
          <w:spacing w:val="-3"/>
          <w:w w:val="105"/>
          <w:sz w:val="21"/>
        </w:rPr>
        <w:t>applications </w:t>
      </w:r>
      <w:r>
        <w:rPr>
          <w:w w:val="105"/>
          <w:sz w:val="21"/>
        </w:rPr>
        <w:t>in Victoria.</w:t>
      </w:r>
      <w:r>
        <w:rPr>
          <w:w w:val="105"/>
          <w:position w:val="7"/>
          <w:sz w:val="12"/>
        </w:rPr>
        <w:t>28 </w:t>
      </w:r>
      <w:r>
        <w:rPr>
          <w:w w:val="105"/>
          <w:sz w:val="21"/>
        </w:rPr>
        <w:t>VicSmart allows </w:t>
      </w:r>
      <w:r>
        <w:rPr>
          <w:spacing w:val="-3"/>
          <w:w w:val="105"/>
          <w:sz w:val="21"/>
        </w:rPr>
        <w:t>for </w:t>
      </w:r>
      <w:r>
        <w:rPr>
          <w:w w:val="105"/>
          <w:sz w:val="21"/>
        </w:rPr>
        <w:t>a </w:t>
      </w:r>
      <w:r>
        <w:rPr>
          <w:spacing w:val="-3"/>
          <w:w w:val="105"/>
          <w:sz w:val="21"/>
        </w:rPr>
        <w:t>quick planning </w:t>
      </w:r>
      <w:r>
        <w:rPr>
          <w:w w:val="105"/>
          <w:sz w:val="21"/>
        </w:rPr>
        <w:t>decision </w:t>
      </w:r>
      <w:r>
        <w:rPr>
          <w:spacing w:val="-3"/>
          <w:w w:val="105"/>
          <w:sz w:val="21"/>
        </w:rPr>
        <w:t>to </w:t>
      </w:r>
      <w:r>
        <w:rPr>
          <w:w w:val="105"/>
          <w:sz w:val="21"/>
        </w:rPr>
        <w:t>be made </w:t>
      </w:r>
      <w:r>
        <w:rPr>
          <w:spacing w:val="-3"/>
          <w:w w:val="105"/>
          <w:sz w:val="21"/>
        </w:rPr>
        <w:t>to </w:t>
      </w:r>
      <w:r>
        <w:rPr>
          <w:spacing w:val="-4"/>
          <w:w w:val="105"/>
          <w:sz w:val="21"/>
        </w:rPr>
        <w:t>‘remove, </w:t>
      </w:r>
      <w:r>
        <w:rPr>
          <w:w w:val="105"/>
          <w:sz w:val="21"/>
        </w:rPr>
        <w:t>destroy or lop a</w:t>
      </w:r>
      <w:r>
        <w:rPr>
          <w:spacing w:val="49"/>
          <w:w w:val="105"/>
          <w:sz w:val="21"/>
        </w:rPr>
        <w:t> </w:t>
      </w:r>
      <w:r>
        <w:rPr>
          <w:spacing w:val="-4"/>
          <w:w w:val="105"/>
          <w:sz w:val="21"/>
        </w:rPr>
        <w:t>tree’.</w:t>
      </w:r>
      <w:r>
        <w:rPr>
          <w:spacing w:val="-4"/>
          <w:w w:val="105"/>
          <w:position w:val="7"/>
          <w:sz w:val="12"/>
        </w:rPr>
        <w:t>29</w:t>
      </w:r>
    </w:p>
    <w:p>
      <w:pPr>
        <w:pStyle w:val="ListParagraph"/>
        <w:numPr>
          <w:ilvl w:val="1"/>
          <w:numId w:val="16"/>
        </w:numPr>
        <w:tabs>
          <w:tab w:pos="2381" w:val="left" w:leader="none"/>
          <w:tab w:pos="2382" w:val="left" w:leader="none"/>
        </w:tabs>
        <w:spacing w:line="242" w:lineRule="auto" w:before="123" w:after="0"/>
        <w:ind w:left="2381" w:right="1831" w:hanging="794"/>
        <w:jc w:val="left"/>
        <w:rPr>
          <w:sz w:val="21"/>
        </w:rPr>
      </w:pPr>
      <w:r>
        <w:rPr>
          <w:w w:val="105"/>
          <w:sz w:val="21"/>
        </w:rPr>
        <w:t>The</w:t>
      </w:r>
      <w:r>
        <w:rPr>
          <w:spacing w:val="-11"/>
          <w:w w:val="105"/>
          <w:sz w:val="21"/>
        </w:rPr>
        <w:t> </w:t>
      </w:r>
      <w:r>
        <w:rPr>
          <w:w w:val="105"/>
          <w:sz w:val="21"/>
        </w:rPr>
        <w:t>VicSmart</w:t>
      </w:r>
      <w:r>
        <w:rPr>
          <w:spacing w:val="-10"/>
          <w:w w:val="105"/>
          <w:sz w:val="21"/>
        </w:rPr>
        <w:t> </w:t>
      </w:r>
      <w:r>
        <w:rPr>
          <w:w w:val="105"/>
          <w:sz w:val="21"/>
        </w:rPr>
        <w:t>process</w:t>
      </w:r>
      <w:r>
        <w:rPr>
          <w:spacing w:val="-10"/>
          <w:w w:val="105"/>
          <w:sz w:val="21"/>
        </w:rPr>
        <w:t> </w:t>
      </w:r>
      <w:r>
        <w:rPr>
          <w:spacing w:val="-2"/>
          <w:w w:val="105"/>
          <w:sz w:val="21"/>
        </w:rPr>
        <w:t>has</w:t>
      </w:r>
      <w:r>
        <w:rPr>
          <w:spacing w:val="-10"/>
          <w:w w:val="105"/>
          <w:sz w:val="21"/>
        </w:rPr>
        <w:t> </w:t>
      </w:r>
      <w:r>
        <w:rPr>
          <w:spacing w:val="-3"/>
          <w:w w:val="105"/>
          <w:sz w:val="21"/>
        </w:rPr>
        <w:t>fewer</w:t>
      </w:r>
      <w:r>
        <w:rPr>
          <w:spacing w:val="-10"/>
          <w:w w:val="105"/>
          <w:sz w:val="21"/>
        </w:rPr>
        <w:t> </w:t>
      </w:r>
      <w:r>
        <w:rPr>
          <w:w w:val="105"/>
          <w:sz w:val="21"/>
        </w:rPr>
        <w:t>steps</w:t>
      </w:r>
      <w:r>
        <w:rPr>
          <w:spacing w:val="-10"/>
          <w:w w:val="105"/>
          <w:sz w:val="21"/>
        </w:rPr>
        <w:t> </w:t>
      </w:r>
      <w:r>
        <w:rPr>
          <w:spacing w:val="-3"/>
          <w:w w:val="105"/>
          <w:sz w:val="21"/>
        </w:rPr>
        <w:t>than</w:t>
      </w:r>
      <w:r>
        <w:rPr>
          <w:spacing w:val="-10"/>
          <w:w w:val="105"/>
          <w:sz w:val="21"/>
        </w:rPr>
        <w:t> </w:t>
      </w:r>
      <w:r>
        <w:rPr>
          <w:w w:val="105"/>
          <w:sz w:val="21"/>
        </w:rPr>
        <w:t>the</w:t>
      </w:r>
      <w:r>
        <w:rPr>
          <w:spacing w:val="-10"/>
          <w:w w:val="105"/>
          <w:sz w:val="21"/>
        </w:rPr>
        <w:t> </w:t>
      </w:r>
      <w:r>
        <w:rPr>
          <w:spacing w:val="-3"/>
          <w:w w:val="105"/>
          <w:sz w:val="21"/>
        </w:rPr>
        <w:t>regular</w:t>
      </w:r>
      <w:r>
        <w:rPr>
          <w:spacing w:val="-10"/>
          <w:w w:val="105"/>
          <w:sz w:val="21"/>
        </w:rPr>
        <w:t> </w:t>
      </w:r>
      <w:r>
        <w:rPr>
          <w:w w:val="105"/>
          <w:sz w:val="21"/>
        </w:rPr>
        <w:t>permit</w:t>
      </w:r>
      <w:r>
        <w:rPr>
          <w:spacing w:val="-11"/>
          <w:w w:val="105"/>
          <w:sz w:val="21"/>
        </w:rPr>
        <w:t> </w:t>
      </w:r>
      <w:r>
        <w:rPr>
          <w:w w:val="105"/>
          <w:sz w:val="21"/>
        </w:rPr>
        <w:t>process</w:t>
      </w:r>
      <w:r>
        <w:rPr>
          <w:spacing w:val="-10"/>
          <w:w w:val="105"/>
          <w:sz w:val="21"/>
        </w:rPr>
        <w:t> </w:t>
      </w:r>
      <w:r>
        <w:rPr>
          <w:w w:val="105"/>
          <w:sz w:val="21"/>
        </w:rPr>
        <w:t>and</w:t>
      </w:r>
      <w:r>
        <w:rPr>
          <w:spacing w:val="-10"/>
          <w:w w:val="105"/>
          <w:sz w:val="21"/>
        </w:rPr>
        <w:t> </w:t>
      </w:r>
      <w:r>
        <w:rPr>
          <w:w w:val="105"/>
          <w:sz w:val="21"/>
        </w:rPr>
        <w:t>decisions</w:t>
      </w:r>
      <w:r>
        <w:rPr>
          <w:spacing w:val="-10"/>
          <w:w w:val="105"/>
          <w:sz w:val="21"/>
        </w:rPr>
        <w:t> </w:t>
      </w:r>
      <w:r>
        <w:rPr>
          <w:spacing w:val="-3"/>
          <w:w w:val="105"/>
          <w:sz w:val="21"/>
        </w:rPr>
        <w:t>are </w:t>
      </w:r>
      <w:r>
        <w:rPr>
          <w:w w:val="105"/>
          <w:sz w:val="21"/>
        </w:rPr>
        <w:t>made </w:t>
      </w:r>
      <w:r>
        <w:rPr>
          <w:spacing w:val="-3"/>
          <w:w w:val="105"/>
          <w:sz w:val="21"/>
        </w:rPr>
        <w:t>within </w:t>
      </w:r>
      <w:r>
        <w:rPr>
          <w:spacing w:val="-6"/>
          <w:w w:val="105"/>
          <w:sz w:val="21"/>
        </w:rPr>
        <w:t>10 </w:t>
      </w:r>
      <w:r>
        <w:rPr>
          <w:w w:val="105"/>
          <w:sz w:val="21"/>
        </w:rPr>
        <w:t>business days.</w:t>
      </w:r>
      <w:r>
        <w:rPr>
          <w:w w:val="105"/>
          <w:position w:val="7"/>
          <w:sz w:val="12"/>
        </w:rPr>
        <w:t>30 </w:t>
      </w:r>
      <w:r>
        <w:rPr>
          <w:spacing w:val="-3"/>
          <w:w w:val="105"/>
          <w:sz w:val="21"/>
        </w:rPr>
        <w:t>Key features </w:t>
      </w:r>
      <w:r>
        <w:rPr>
          <w:w w:val="105"/>
          <w:sz w:val="21"/>
        </w:rPr>
        <w:t>of the VicSmart permit process</w:t>
      </w:r>
      <w:r>
        <w:rPr>
          <w:spacing w:val="-4"/>
          <w:w w:val="105"/>
          <w:sz w:val="21"/>
        </w:rPr>
        <w:t> </w:t>
      </w:r>
      <w:r>
        <w:rPr>
          <w:w w:val="105"/>
          <w:sz w:val="21"/>
        </w:rPr>
        <w:t>are:</w:t>
      </w:r>
    </w:p>
    <w:p>
      <w:pPr>
        <w:pStyle w:val="ListParagraph"/>
        <w:numPr>
          <w:ilvl w:val="2"/>
          <w:numId w:val="16"/>
        </w:numPr>
        <w:tabs>
          <w:tab w:pos="2721" w:val="left" w:leader="none"/>
          <w:tab w:pos="2722" w:val="left" w:leader="none"/>
        </w:tabs>
        <w:spacing w:line="242" w:lineRule="auto" w:before="122" w:after="0"/>
        <w:ind w:left="2721" w:right="1881" w:hanging="340"/>
        <w:jc w:val="left"/>
        <w:rPr>
          <w:sz w:val="21"/>
        </w:rPr>
      </w:pPr>
      <w:r>
        <w:rPr>
          <w:w w:val="105"/>
          <w:sz w:val="21"/>
        </w:rPr>
        <w:t>Applications</w:t>
      </w:r>
      <w:r>
        <w:rPr>
          <w:spacing w:val="-9"/>
          <w:w w:val="105"/>
          <w:sz w:val="21"/>
        </w:rPr>
        <w:t> </w:t>
      </w:r>
      <w:r>
        <w:rPr>
          <w:spacing w:val="-3"/>
          <w:w w:val="105"/>
          <w:sz w:val="21"/>
        </w:rPr>
        <w:t>are</w:t>
      </w:r>
      <w:r>
        <w:rPr>
          <w:spacing w:val="-8"/>
          <w:w w:val="105"/>
          <w:sz w:val="21"/>
        </w:rPr>
        <w:t> </w:t>
      </w:r>
      <w:r>
        <w:rPr>
          <w:w w:val="105"/>
          <w:sz w:val="21"/>
        </w:rPr>
        <w:t>exempt</w:t>
      </w:r>
      <w:r>
        <w:rPr>
          <w:spacing w:val="-9"/>
          <w:w w:val="105"/>
          <w:sz w:val="21"/>
        </w:rPr>
        <w:t> </w:t>
      </w:r>
      <w:r>
        <w:rPr>
          <w:spacing w:val="-3"/>
          <w:w w:val="105"/>
          <w:sz w:val="21"/>
        </w:rPr>
        <w:t>from</w:t>
      </w:r>
      <w:r>
        <w:rPr>
          <w:spacing w:val="-8"/>
          <w:w w:val="105"/>
          <w:sz w:val="21"/>
        </w:rPr>
        <w:t> </w:t>
      </w:r>
      <w:r>
        <w:rPr>
          <w:w w:val="105"/>
          <w:sz w:val="21"/>
        </w:rPr>
        <w:t>the</w:t>
      </w:r>
      <w:r>
        <w:rPr>
          <w:spacing w:val="-9"/>
          <w:w w:val="105"/>
          <w:sz w:val="21"/>
        </w:rPr>
        <w:t> </w:t>
      </w:r>
      <w:r>
        <w:rPr>
          <w:spacing w:val="-3"/>
          <w:w w:val="105"/>
          <w:sz w:val="21"/>
        </w:rPr>
        <w:t>notice</w:t>
      </w:r>
      <w:r>
        <w:rPr>
          <w:spacing w:val="-8"/>
          <w:w w:val="105"/>
          <w:sz w:val="21"/>
        </w:rPr>
        <w:t> </w:t>
      </w:r>
      <w:r>
        <w:rPr>
          <w:spacing w:val="-3"/>
          <w:w w:val="105"/>
          <w:sz w:val="21"/>
        </w:rPr>
        <w:t>requirements</w:t>
      </w:r>
      <w:r>
        <w:rPr>
          <w:spacing w:val="-8"/>
          <w:w w:val="105"/>
          <w:sz w:val="21"/>
        </w:rPr>
        <w:t> </w:t>
      </w:r>
      <w:r>
        <w:rPr>
          <w:w w:val="105"/>
          <w:sz w:val="21"/>
        </w:rPr>
        <w:t>under</w:t>
      </w:r>
      <w:r>
        <w:rPr>
          <w:spacing w:val="-9"/>
          <w:w w:val="105"/>
          <w:sz w:val="21"/>
        </w:rPr>
        <w:t> </w:t>
      </w:r>
      <w:r>
        <w:rPr>
          <w:w w:val="105"/>
          <w:sz w:val="21"/>
        </w:rPr>
        <w:t>section</w:t>
      </w:r>
      <w:r>
        <w:rPr>
          <w:spacing w:val="-8"/>
          <w:w w:val="105"/>
          <w:sz w:val="21"/>
        </w:rPr>
        <w:t> </w:t>
      </w:r>
      <w:r>
        <w:rPr>
          <w:spacing w:val="-3"/>
          <w:w w:val="105"/>
          <w:sz w:val="21"/>
        </w:rPr>
        <w:t>52</w:t>
      </w:r>
      <w:r>
        <w:rPr>
          <w:spacing w:val="-9"/>
          <w:w w:val="105"/>
          <w:sz w:val="21"/>
        </w:rPr>
        <w:t> </w:t>
      </w:r>
      <w:r>
        <w:rPr>
          <w:w w:val="105"/>
          <w:sz w:val="21"/>
        </w:rPr>
        <w:t>of</w:t>
      </w:r>
      <w:r>
        <w:rPr>
          <w:spacing w:val="-8"/>
          <w:w w:val="105"/>
          <w:sz w:val="21"/>
        </w:rPr>
        <w:t> </w:t>
      </w:r>
      <w:r>
        <w:rPr>
          <w:w w:val="105"/>
          <w:sz w:val="21"/>
        </w:rPr>
        <w:t>the</w:t>
      </w:r>
      <w:r>
        <w:rPr>
          <w:spacing w:val="-8"/>
          <w:w w:val="105"/>
          <w:sz w:val="21"/>
        </w:rPr>
        <w:t> </w:t>
      </w:r>
      <w:r>
        <w:rPr>
          <w:spacing w:val="4"/>
          <w:w w:val="105"/>
          <w:sz w:val="21"/>
        </w:rPr>
        <w:t>P&amp;E </w:t>
      </w:r>
      <w:r>
        <w:rPr>
          <w:w w:val="105"/>
          <w:sz w:val="21"/>
        </w:rPr>
        <w:t>Act. This </w:t>
      </w:r>
      <w:r>
        <w:rPr>
          <w:spacing w:val="-3"/>
          <w:w w:val="105"/>
          <w:sz w:val="21"/>
        </w:rPr>
        <w:t>means that </w:t>
      </w:r>
      <w:r>
        <w:rPr>
          <w:w w:val="105"/>
          <w:sz w:val="21"/>
        </w:rPr>
        <w:t>they </w:t>
      </w:r>
      <w:r>
        <w:rPr>
          <w:spacing w:val="-3"/>
          <w:w w:val="105"/>
          <w:sz w:val="21"/>
        </w:rPr>
        <w:t>are </w:t>
      </w:r>
      <w:r>
        <w:rPr>
          <w:spacing w:val="-2"/>
          <w:w w:val="105"/>
          <w:sz w:val="21"/>
        </w:rPr>
        <w:t>not </w:t>
      </w:r>
      <w:r>
        <w:rPr>
          <w:spacing w:val="-3"/>
          <w:w w:val="105"/>
          <w:sz w:val="21"/>
        </w:rPr>
        <w:t>required to </w:t>
      </w:r>
      <w:r>
        <w:rPr>
          <w:w w:val="105"/>
          <w:sz w:val="21"/>
        </w:rPr>
        <w:t>be </w:t>
      </w:r>
      <w:r>
        <w:rPr>
          <w:spacing w:val="-3"/>
          <w:w w:val="105"/>
          <w:sz w:val="21"/>
        </w:rPr>
        <w:t>publicly</w:t>
      </w:r>
      <w:r>
        <w:rPr>
          <w:spacing w:val="37"/>
          <w:w w:val="105"/>
          <w:sz w:val="21"/>
        </w:rPr>
        <w:t> </w:t>
      </w:r>
      <w:r>
        <w:rPr>
          <w:w w:val="105"/>
          <w:sz w:val="21"/>
        </w:rPr>
        <w:t>advertised.</w:t>
      </w:r>
    </w:p>
    <w:p>
      <w:pPr>
        <w:pStyle w:val="ListParagraph"/>
        <w:numPr>
          <w:ilvl w:val="2"/>
          <w:numId w:val="16"/>
        </w:numPr>
        <w:tabs>
          <w:tab w:pos="2721" w:val="left" w:leader="none"/>
          <w:tab w:pos="2722" w:val="left" w:leader="none"/>
        </w:tabs>
        <w:spacing w:line="242" w:lineRule="auto" w:before="87" w:after="0"/>
        <w:ind w:left="2721" w:right="1713" w:hanging="340"/>
        <w:jc w:val="left"/>
        <w:rPr>
          <w:sz w:val="21"/>
        </w:rPr>
      </w:pPr>
      <w:r>
        <w:rPr>
          <w:w w:val="105"/>
          <w:sz w:val="21"/>
        </w:rPr>
        <w:t>The</w:t>
      </w:r>
      <w:r>
        <w:rPr>
          <w:spacing w:val="-10"/>
          <w:w w:val="105"/>
          <w:sz w:val="21"/>
        </w:rPr>
        <w:t> </w:t>
      </w:r>
      <w:r>
        <w:rPr>
          <w:w w:val="105"/>
          <w:sz w:val="21"/>
        </w:rPr>
        <w:t>application</w:t>
      </w:r>
      <w:r>
        <w:rPr>
          <w:spacing w:val="-10"/>
          <w:w w:val="105"/>
          <w:sz w:val="21"/>
        </w:rPr>
        <w:t> </w:t>
      </w:r>
      <w:r>
        <w:rPr>
          <w:w w:val="105"/>
          <w:sz w:val="21"/>
        </w:rPr>
        <w:t>is</w:t>
      </w:r>
      <w:r>
        <w:rPr>
          <w:spacing w:val="-9"/>
          <w:w w:val="105"/>
          <w:sz w:val="21"/>
        </w:rPr>
        <w:t> </w:t>
      </w:r>
      <w:r>
        <w:rPr>
          <w:w w:val="105"/>
          <w:sz w:val="21"/>
        </w:rPr>
        <w:t>only</w:t>
      </w:r>
      <w:r>
        <w:rPr>
          <w:spacing w:val="-10"/>
          <w:w w:val="105"/>
          <w:sz w:val="21"/>
        </w:rPr>
        <w:t> </w:t>
      </w:r>
      <w:r>
        <w:rPr>
          <w:w w:val="105"/>
          <w:sz w:val="21"/>
        </w:rPr>
        <w:t>assessed</w:t>
      </w:r>
      <w:r>
        <w:rPr>
          <w:spacing w:val="-9"/>
          <w:w w:val="105"/>
          <w:sz w:val="21"/>
        </w:rPr>
        <w:t> </w:t>
      </w:r>
      <w:r>
        <w:rPr>
          <w:spacing w:val="-3"/>
          <w:w w:val="105"/>
          <w:sz w:val="21"/>
        </w:rPr>
        <w:t>against</w:t>
      </w:r>
      <w:r>
        <w:rPr>
          <w:spacing w:val="-10"/>
          <w:w w:val="105"/>
          <w:sz w:val="21"/>
        </w:rPr>
        <w:t> </w:t>
      </w:r>
      <w:r>
        <w:rPr>
          <w:w w:val="105"/>
          <w:sz w:val="21"/>
        </w:rPr>
        <w:t>specific</w:t>
      </w:r>
      <w:r>
        <w:rPr>
          <w:spacing w:val="-10"/>
          <w:w w:val="105"/>
          <w:sz w:val="21"/>
        </w:rPr>
        <w:t> </w:t>
      </w:r>
      <w:r>
        <w:rPr>
          <w:w w:val="105"/>
          <w:sz w:val="21"/>
        </w:rPr>
        <w:t>decision-making</w:t>
      </w:r>
      <w:r>
        <w:rPr>
          <w:spacing w:val="-9"/>
          <w:w w:val="105"/>
          <w:sz w:val="21"/>
        </w:rPr>
        <w:t> </w:t>
      </w:r>
      <w:r>
        <w:rPr>
          <w:spacing w:val="-3"/>
          <w:w w:val="105"/>
          <w:sz w:val="21"/>
        </w:rPr>
        <w:t>guidelines</w:t>
      </w:r>
      <w:r>
        <w:rPr>
          <w:spacing w:val="-10"/>
          <w:w w:val="105"/>
          <w:sz w:val="21"/>
        </w:rPr>
        <w:t> </w:t>
      </w:r>
      <w:r>
        <w:rPr>
          <w:w w:val="105"/>
          <w:sz w:val="21"/>
        </w:rPr>
        <w:t>set</w:t>
      </w:r>
      <w:r>
        <w:rPr>
          <w:spacing w:val="-9"/>
          <w:w w:val="105"/>
          <w:sz w:val="21"/>
        </w:rPr>
        <w:t> </w:t>
      </w:r>
      <w:r>
        <w:rPr>
          <w:w w:val="105"/>
          <w:sz w:val="21"/>
        </w:rPr>
        <w:t>out</w:t>
      </w:r>
      <w:r>
        <w:rPr>
          <w:spacing w:val="-10"/>
          <w:w w:val="105"/>
          <w:sz w:val="21"/>
        </w:rPr>
        <w:t> </w:t>
      </w:r>
      <w:r>
        <w:rPr>
          <w:w w:val="105"/>
          <w:sz w:val="21"/>
        </w:rPr>
        <w:t>in the </w:t>
      </w:r>
      <w:r>
        <w:rPr>
          <w:spacing w:val="-3"/>
          <w:w w:val="105"/>
          <w:sz w:val="21"/>
        </w:rPr>
        <w:t>planning scheme.</w:t>
      </w:r>
      <w:r>
        <w:rPr>
          <w:spacing w:val="-4"/>
          <w:w w:val="105"/>
          <w:sz w:val="21"/>
        </w:rPr>
        <w:t> </w:t>
      </w:r>
      <w:r>
        <w:rPr>
          <w:spacing w:val="-3"/>
          <w:w w:val="105"/>
          <w:position w:val="7"/>
          <w:sz w:val="12"/>
        </w:rPr>
        <w:t>31</w:t>
      </w:r>
    </w:p>
    <w:p>
      <w:pPr>
        <w:pStyle w:val="ListParagraph"/>
        <w:numPr>
          <w:ilvl w:val="2"/>
          <w:numId w:val="16"/>
        </w:numPr>
        <w:tabs>
          <w:tab w:pos="2721" w:val="left" w:leader="none"/>
          <w:tab w:pos="2722" w:val="left" w:leader="none"/>
        </w:tabs>
        <w:spacing w:line="242" w:lineRule="auto" w:before="87" w:after="0"/>
        <w:ind w:left="2721" w:right="1695" w:hanging="340"/>
        <w:jc w:val="left"/>
        <w:rPr>
          <w:sz w:val="21"/>
        </w:rPr>
      </w:pPr>
      <w:r>
        <w:rPr>
          <w:w w:val="105"/>
          <w:sz w:val="21"/>
        </w:rPr>
        <w:t>The </w:t>
      </w:r>
      <w:r>
        <w:rPr>
          <w:spacing w:val="-3"/>
          <w:w w:val="105"/>
          <w:sz w:val="21"/>
        </w:rPr>
        <w:t>information to </w:t>
      </w:r>
      <w:r>
        <w:rPr>
          <w:w w:val="105"/>
          <w:sz w:val="21"/>
        </w:rPr>
        <w:t>be </w:t>
      </w:r>
      <w:r>
        <w:rPr>
          <w:spacing w:val="-2"/>
          <w:w w:val="105"/>
          <w:sz w:val="21"/>
        </w:rPr>
        <w:t>submitted </w:t>
      </w:r>
      <w:r>
        <w:rPr>
          <w:w w:val="105"/>
          <w:sz w:val="21"/>
        </w:rPr>
        <w:t>with an application is pre-set and </w:t>
      </w:r>
      <w:r>
        <w:rPr>
          <w:spacing w:val="-3"/>
          <w:w w:val="105"/>
          <w:sz w:val="21"/>
        </w:rPr>
        <w:t>includes </w:t>
      </w:r>
      <w:r>
        <w:rPr>
          <w:w w:val="105"/>
          <w:sz w:val="21"/>
        </w:rPr>
        <w:t>the species</w:t>
      </w:r>
      <w:r>
        <w:rPr>
          <w:spacing w:val="-9"/>
          <w:w w:val="105"/>
          <w:sz w:val="21"/>
        </w:rPr>
        <w:t> </w:t>
      </w:r>
      <w:r>
        <w:rPr>
          <w:w w:val="105"/>
          <w:sz w:val="21"/>
        </w:rPr>
        <w:t>and</w:t>
      </w:r>
      <w:r>
        <w:rPr>
          <w:spacing w:val="-8"/>
          <w:w w:val="105"/>
          <w:sz w:val="21"/>
        </w:rPr>
        <w:t> </w:t>
      </w:r>
      <w:r>
        <w:rPr>
          <w:spacing w:val="-3"/>
          <w:w w:val="105"/>
          <w:sz w:val="21"/>
        </w:rPr>
        <w:t>size</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w w:val="105"/>
          <w:sz w:val="21"/>
        </w:rPr>
        <w:t>tree</w:t>
      </w:r>
      <w:r>
        <w:rPr>
          <w:spacing w:val="-9"/>
          <w:w w:val="105"/>
          <w:sz w:val="21"/>
        </w:rPr>
        <w:t> </w:t>
      </w:r>
      <w:r>
        <w:rPr>
          <w:w w:val="105"/>
          <w:sz w:val="21"/>
        </w:rPr>
        <w:t>and</w:t>
      </w:r>
      <w:r>
        <w:rPr>
          <w:spacing w:val="-8"/>
          <w:w w:val="105"/>
          <w:sz w:val="21"/>
        </w:rPr>
        <w:t> </w:t>
      </w:r>
      <w:r>
        <w:rPr>
          <w:spacing w:val="-3"/>
          <w:w w:val="105"/>
          <w:sz w:val="21"/>
        </w:rPr>
        <w:t>any</w:t>
      </w:r>
      <w:r>
        <w:rPr>
          <w:spacing w:val="-8"/>
          <w:w w:val="105"/>
          <w:sz w:val="21"/>
        </w:rPr>
        <w:t> </w:t>
      </w:r>
      <w:r>
        <w:rPr>
          <w:w w:val="105"/>
          <w:sz w:val="21"/>
        </w:rPr>
        <w:t>other</w:t>
      </w:r>
      <w:r>
        <w:rPr>
          <w:spacing w:val="-8"/>
          <w:w w:val="105"/>
          <w:sz w:val="21"/>
        </w:rPr>
        <w:t> </w:t>
      </w:r>
      <w:r>
        <w:rPr>
          <w:spacing w:val="-3"/>
          <w:w w:val="105"/>
          <w:sz w:val="21"/>
        </w:rPr>
        <w:t>significant</w:t>
      </w:r>
      <w:r>
        <w:rPr>
          <w:spacing w:val="-8"/>
          <w:w w:val="105"/>
          <w:sz w:val="21"/>
        </w:rPr>
        <w:t> </w:t>
      </w:r>
      <w:r>
        <w:rPr>
          <w:w w:val="105"/>
          <w:sz w:val="21"/>
        </w:rPr>
        <w:t>trees</w:t>
      </w:r>
      <w:r>
        <w:rPr>
          <w:spacing w:val="-9"/>
          <w:w w:val="105"/>
          <w:sz w:val="21"/>
        </w:rPr>
        <w:t> </w:t>
      </w:r>
      <w:r>
        <w:rPr>
          <w:w w:val="105"/>
          <w:sz w:val="21"/>
        </w:rPr>
        <w:t>removed</w:t>
      </w:r>
      <w:r>
        <w:rPr>
          <w:spacing w:val="-8"/>
          <w:w w:val="105"/>
          <w:sz w:val="21"/>
        </w:rPr>
        <w:t> </w:t>
      </w:r>
      <w:r>
        <w:rPr>
          <w:w w:val="105"/>
          <w:sz w:val="21"/>
        </w:rPr>
        <w:t>in</w:t>
      </w:r>
      <w:r>
        <w:rPr>
          <w:spacing w:val="-8"/>
          <w:w w:val="105"/>
          <w:sz w:val="21"/>
        </w:rPr>
        <w:t> </w:t>
      </w:r>
      <w:r>
        <w:rPr>
          <w:w w:val="105"/>
          <w:sz w:val="21"/>
        </w:rPr>
        <w:t>the</w:t>
      </w:r>
      <w:r>
        <w:rPr>
          <w:spacing w:val="-8"/>
          <w:w w:val="105"/>
          <w:sz w:val="21"/>
        </w:rPr>
        <w:t> </w:t>
      </w:r>
      <w:r>
        <w:rPr>
          <w:w w:val="105"/>
          <w:sz w:val="21"/>
        </w:rPr>
        <w:t>past</w:t>
      </w:r>
      <w:r>
        <w:rPr>
          <w:spacing w:val="-8"/>
          <w:w w:val="105"/>
          <w:sz w:val="21"/>
        </w:rPr>
        <w:t> </w:t>
      </w:r>
      <w:r>
        <w:rPr>
          <w:w w:val="105"/>
          <w:sz w:val="21"/>
        </w:rPr>
        <w:t>three years</w:t>
      </w:r>
      <w:r>
        <w:rPr>
          <w:spacing w:val="-6"/>
          <w:w w:val="105"/>
          <w:sz w:val="21"/>
        </w:rPr>
        <w:t> </w:t>
      </w:r>
      <w:r>
        <w:rPr>
          <w:w w:val="105"/>
          <w:sz w:val="21"/>
        </w:rPr>
        <w:t>on</w:t>
      </w:r>
      <w:r>
        <w:rPr>
          <w:spacing w:val="-5"/>
          <w:w w:val="105"/>
          <w:sz w:val="21"/>
        </w:rPr>
        <w:t> </w:t>
      </w:r>
      <w:r>
        <w:rPr>
          <w:w w:val="105"/>
          <w:sz w:val="21"/>
        </w:rPr>
        <w:t>the</w:t>
      </w:r>
      <w:r>
        <w:rPr>
          <w:spacing w:val="-6"/>
          <w:w w:val="105"/>
          <w:sz w:val="21"/>
        </w:rPr>
        <w:t> </w:t>
      </w:r>
      <w:r>
        <w:rPr>
          <w:spacing w:val="-4"/>
          <w:w w:val="105"/>
          <w:sz w:val="21"/>
        </w:rPr>
        <w:t>site.</w:t>
      </w:r>
      <w:r>
        <w:rPr>
          <w:spacing w:val="-5"/>
          <w:w w:val="105"/>
          <w:sz w:val="21"/>
        </w:rPr>
        <w:t> </w:t>
      </w:r>
      <w:r>
        <w:rPr>
          <w:w w:val="105"/>
          <w:sz w:val="21"/>
        </w:rPr>
        <w:t>It</w:t>
      </w:r>
      <w:r>
        <w:rPr>
          <w:spacing w:val="-5"/>
          <w:w w:val="105"/>
          <w:sz w:val="21"/>
        </w:rPr>
        <w:t> </w:t>
      </w:r>
      <w:r>
        <w:rPr>
          <w:w w:val="105"/>
          <w:sz w:val="21"/>
        </w:rPr>
        <w:t>must</w:t>
      </w:r>
      <w:r>
        <w:rPr>
          <w:spacing w:val="-6"/>
          <w:w w:val="105"/>
          <w:sz w:val="21"/>
        </w:rPr>
        <w:t> </w:t>
      </w:r>
      <w:r>
        <w:rPr>
          <w:w w:val="105"/>
          <w:sz w:val="21"/>
        </w:rPr>
        <w:t>also</w:t>
      </w:r>
      <w:r>
        <w:rPr>
          <w:spacing w:val="-5"/>
          <w:w w:val="105"/>
          <w:sz w:val="21"/>
        </w:rPr>
        <w:t> </w:t>
      </w:r>
      <w:r>
        <w:rPr>
          <w:w w:val="105"/>
          <w:sz w:val="21"/>
        </w:rPr>
        <w:t>explain</w:t>
      </w:r>
      <w:r>
        <w:rPr>
          <w:spacing w:val="-5"/>
          <w:w w:val="105"/>
          <w:sz w:val="21"/>
        </w:rPr>
        <w:t> </w:t>
      </w:r>
      <w:r>
        <w:rPr>
          <w:w w:val="105"/>
          <w:sz w:val="21"/>
        </w:rPr>
        <w:t>why</w:t>
      </w:r>
      <w:r>
        <w:rPr>
          <w:spacing w:val="-6"/>
          <w:w w:val="105"/>
          <w:sz w:val="21"/>
        </w:rPr>
        <w:t> </w:t>
      </w:r>
      <w:r>
        <w:rPr>
          <w:w w:val="105"/>
          <w:sz w:val="21"/>
        </w:rPr>
        <w:t>works</w:t>
      </w:r>
      <w:r>
        <w:rPr>
          <w:spacing w:val="-5"/>
          <w:w w:val="105"/>
          <w:sz w:val="21"/>
        </w:rPr>
        <w:t> </w:t>
      </w:r>
      <w:r>
        <w:rPr>
          <w:w w:val="105"/>
          <w:sz w:val="21"/>
        </w:rPr>
        <w:t>need</w:t>
      </w:r>
      <w:r>
        <w:rPr>
          <w:spacing w:val="-6"/>
          <w:w w:val="105"/>
          <w:sz w:val="21"/>
        </w:rPr>
        <w:t> </w:t>
      </w:r>
      <w:r>
        <w:rPr>
          <w:spacing w:val="-3"/>
          <w:w w:val="105"/>
          <w:sz w:val="21"/>
        </w:rPr>
        <w:t>to</w:t>
      </w:r>
      <w:r>
        <w:rPr>
          <w:spacing w:val="-5"/>
          <w:w w:val="105"/>
          <w:sz w:val="21"/>
        </w:rPr>
        <w:t> </w:t>
      </w:r>
      <w:r>
        <w:rPr>
          <w:w w:val="105"/>
          <w:sz w:val="21"/>
        </w:rPr>
        <w:t>be</w:t>
      </w:r>
      <w:r>
        <w:rPr>
          <w:spacing w:val="-5"/>
          <w:w w:val="105"/>
          <w:sz w:val="21"/>
        </w:rPr>
        <w:t> </w:t>
      </w:r>
      <w:r>
        <w:rPr>
          <w:w w:val="105"/>
          <w:sz w:val="21"/>
        </w:rPr>
        <w:t>conducted</w:t>
      </w:r>
      <w:r>
        <w:rPr>
          <w:spacing w:val="-6"/>
          <w:w w:val="105"/>
          <w:sz w:val="21"/>
        </w:rPr>
        <w:t> </w:t>
      </w:r>
      <w:r>
        <w:rPr>
          <w:w w:val="105"/>
          <w:sz w:val="21"/>
        </w:rPr>
        <w:t>and</w:t>
      </w:r>
      <w:r>
        <w:rPr>
          <w:spacing w:val="-5"/>
          <w:w w:val="105"/>
          <w:sz w:val="21"/>
        </w:rPr>
        <w:t> </w:t>
      </w:r>
      <w:r>
        <w:rPr>
          <w:spacing w:val="-3"/>
          <w:w w:val="105"/>
          <w:sz w:val="21"/>
        </w:rPr>
        <w:t>include</w:t>
      </w:r>
      <w:r>
        <w:rPr>
          <w:spacing w:val="-5"/>
          <w:w w:val="105"/>
          <w:sz w:val="21"/>
        </w:rPr>
        <w:t> </w:t>
      </w:r>
      <w:r>
        <w:rPr>
          <w:w w:val="105"/>
          <w:sz w:val="21"/>
        </w:rPr>
        <w:t>a </w:t>
      </w:r>
      <w:r>
        <w:rPr>
          <w:spacing w:val="-3"/>
          <w:w w:val="105"/>
          <w:sz w:val="21"/>
        </w:rPr>
        <w:t>photograph </w:t>
      </w:r>
      <w:r>
        <w:rPr>
          <w:w w:val="105"/>
          <w:sz w:val="21"/>
        </w:rPr>
        <w:t>of the</w:t>
      </w:r>
      <w:r>
        <w:rPr>
          <w:spacing w:val="19"/>
          <w:w w:val="105"/>
          <w:sz w:val="21"/>
        </w:rPr>
        <w:t> </w:t>
      </w:r>
      <w:r>
        <w:rPr>
          <w:spacing w:val="-3"/>
          <w:w w:val="105"/>
          <w:sz w:val="21"/>
        </w:rPr>
        <w:t>tree.</w:t>
      </w:r>
      <w:r>
        <w:rPr>
          <w:spacing w:val="-3"/>
          <w:w w:val="105"/>
          <w:position w:val="7"/>
          <w:sz w:val="12"/>
        </w:rPr>
        <w:t>32</w:t>
      </w:r>
    </w:p>
    <w:p>
      <w:pPr>
        <w:pStyle w:val="ListParagraph"/>
        <w:numPr>
          <w:ilvl w:val="2"/>
          <w:numId w:val="16"/>
        </w:numPr>
        <w:tabs>
          <w:tab w:pos="2721" w:val="left" w:leader="none"/>
          <w:tab w:pos="2722" w:val="left" w:leader="none"/>
        </w:tabs>
        <w:spacing w:line="240" w:lineRule="auto" w:before="90" w:after="0"/>
        <w:ind w:left="2721" w:right="0" w:hanging="340"/>
        <w:jc w:val="left"/>
        <w:rPr>
          <w:sz w:val="21"/>
        </w:rPr>
      </w:pPr>
      <w:r>
        <w:rPr>
          <w:w w:val="105"/>
          <w:sz w:val="21"/>
        </w:rPr>
        <w:t>Decision</w:t>
      </w:r>
      <w:r>
        <w:rPr>
          <w:spacing w:val="4"/>
          <w:w w:val="105"/>
          <w:sz w:val="21"/>
        </w:rPr>
        <w:t> </w:t>
      </w:r>
      <w:r>
        <w:rPr>
          <w:spacing w:val="-3"/>
          <w:w w:val="105"/>
          <w:sz w:val="21"/>
        </w:rPr>
        <w:t>are</w:t>
      </w:r>
      <w:r>
        <w:rPr>
          <w:spacing w:val="3"/>
          <w:w w:val="105"/>
          <w:sz w:val="21"/>
        </w:rPr>
        <w:t> </w:t>
      </w:r>
      <w:r>
        <w:rPr>
          <w:w w:val="105"/>
          <w:sz w:val="21"/>
        </w:rPr>
        <w:t>made</w:t>
      </w:r>
      <w:r>
        <w:rPr>
          <w:spacing w:val="4"/>
          <w:w w:val="105"/>
          <w:sz w:val="21"/>
        </w:rPr>
        <w:t> </w:t>
      </w:r>
      <w:r>
        <w:rPr>
          <w:w w:val="105"/>
          <w:sz w:val="21"/>
        </w:rPr>
        <w:t>by</w:t>
      </w:r>
      <w:r>
        <w:rPr>
          <w:spacing w:val="4"/>
          <w:w w:val="105"/>
          <w:sz w:val="21"/>
        </w:rPr>
        <w:t> </w:t>
      </w:r>
      <w:r>
        <w:rPr>
          <w:w w:val="105"/>
          <w:sz w:val="21"/>
        </w:rPr>
        <w:t>the</w:t>
      </w:r>
      <w:r>
        <w:rPr>
          <w:spacing w:val="4"/>
          <w:w w:val="105"/>
          <w:sz w:val="21"/>
        </w:rPr>
        <w:t> </w:t>
      </w:r>
      <w:r>
        <w:rPr>
          <w:spacing w:val="-4"/>
          <w:w w:val="105"/>
          <w:sz w:val="21"/>
        </w:rPr>
        <w:t>Chief</w:t>
      </w:r>
      <w:r>
        <w:rPr>
          <w:spacing w:val="4"/>
          <w:w w:val="105"/>
          <w:sz w:val="21"/>
        </w:rPr>
        <w:t> </w:t>
      </w:r>
      <w:r>
        <w:rPr>
          <w:w w:val="105"/>
          <w:sz w:val="21"/>
        </w:rPr>
        <w:t>Executive</w:t>
      </w:r>
      <w:r>
        <w:rPr>
          <w:spacing w:val="4"/>
          <w:w w:val="105"/>
          <w:sz w:val="21"/>
        </w:rPr>
        <w:t> </w:t>
      </w:r>
      <w:r>
        <w:rPr>
          <w:w w:val="105"/>
          <w:sz w:val="21"/>
        </w:rPr>
        <w:t>Officer</w:t>
      </w:r>
      <w:r>
        <w:rPr>
          <w:spacing w:val="4"/>
          <w:w w:val="105"/>
          <w:sz w:val="21"/>
        </w:rPr>
        <w:t> </w:t>
      </w:r>
      <w:r>
        <w:rPr>
          <w:w w:val="105"/>
          <w:sz w:val="21"/>
        </w:rPr>
        <w:t>of</w:t>
      </w:r>
      <w:r>
        <w:rPr>
          <w:spacing w:val="4"/>
          <w:w w:val="105"/>
          <w:sz w:val="21"/>
        </w:rPr>
        <w:t> </w:t>
      </w:r>
      <w:r>
        <w:rPr>
          <w:w w:val="105"/>
          <w:sz w:val="21"/>
        </w:rPr>
        <w:t>the</w:t>
      </w:r>
      <w:r>
        <w:rPr>
          <w:spacing w:val="4"/>
          <w:w w:val="105"/>
          <w:sz w:val="21"/>
        </w:rPr>
        <w:t> </w:t>
      </w:r>
      <w:r>
        <w:rPr>
          <w:spacing w:val="-4"/>
          <w:w w:val="105"/>
          <w:sz w:val="21"/>
        </w:rPr>
        <w:t>Council</w:t>
      </w:r>
      <w:r>
        <w:rPr>
          <w:spacing w:val="4"/>
          <w:w w:val="105"/>
          <w:sz w:val="21"/>
        </w:rPr>
        <w:t> </w:t>
      </w:r>
      <w:r>
        <w:rPr>
          <w:w w:val="105"/>
          <w:sz w:val="21"/>
        </w:rPr>
        <w:t>or</w:t>
      </w:r>
      <w:r>
        <w:rPr>
          <w:spacing w:val="4"/>
          <w:w w:val="105"/>
          <w:sz w:val="21"/>
        </w:rPr>
        <w:t> </w:t>
      </w:r>
      <w:r>
        <w:rPr>
          <w:w w:val="105"/>
          <w:sz w:val="21"/>
        </w:rPr>
        <w:t>a</w:t>
      </w:r>
      <w:r>
        <w:rPr>
          <w:spacing w:val="4"/>
          <w:w w:val="105"/>
          <w:sz w:val="21"/>
        </w:rPr>
        <w:t> </w:t>
      </w:r>
      <w:r>
        <w:rPr>
          <w:spacing w:val="-3"/>
          <w:w w:val="105"/>
          <w:sz w:val="21"/>
        </w:rPr>
        <w:t>delegate.</w:t>
      </w:r>
      <w:r>
        <w:rPr>
          <w:spacing w:val="-3"/>
          <w:w w:val="105"/>
          <w:position w:val="7"/>
          <w:sz w:val="12"/>
        </w:rPr>
        <w:t>33</w:t>
      </w:r>
    </w:p>
    <w:p>
      <w:pPr>
        <w:pStyle w:val="BodyText"/>
        <w:rPr>
          <w:sz w:val="20"/>
        </w:rPr>
      </w:pPr>
    </w:p>
    <w:p>
      <w:pPr>
        <w:pStyle w:val="BodyText"/>
        <w:rPr>
          <w:sz w:val="20"/>
        </w:rPr>
      </w:pPr>
    </w:p>
    <w:p>
      <w:pPr>
        <w:pStyle w:val="BodyText"/>
        <w:rPr>
          <w:sz w:val="20"/>
        </w:rPr>
      </w:pPr>
    </w:p>
    <w:p>
      <w:pPr>
        <w:pStyle w:val="BodyText"/>
        <w:spacing w:before="2"/>
        <w:rPr>
          <w:sz w:val="26"/>
        </w:rPr>
      </w:pPr>
      <w:r>
        <w:rPr/>
        <w:pict>
          <v:line style="position:absolute;mso-position-horizontal-relative:page;mso-position-vertical-relative:paragraph;z-index:9488;mso-wrap-distance-left:0;mso-wrap-distance-right:0" from="79.370102pt,18.420374pt" to="515.905102pt,18.42037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35"/>
        </w:rPr>
      </w:pPr>
    </w:p>
    <w:p>
      <w:pPr>
        <w:spacing w:before="0"/>
        <w:ind w:left="720" w:right="0" w:firstLine="0"/>
        <w:jc w:val="left"/>
        <w:rPr>
          <w:b/>
          <w:sz w:val="24"/>
        </w:rPr>
      </w:pPr>
      <w:r>
        <w:rPr>
          <w:b/>
          <w:color w:val="658464"/>
          <w:w w:val="105"/>
          <w:sz w:val="24"/>
        </w:rPr>
        <w:t>222</w:t>
      </w:r>
    </w:p>
    <w:p>
      <w:pPr>
        <w:pStyle w:val="ListParagraph"/>
        <w:numPr>
          <w:ilvl w:val="0"/>
          <w:numId w:val="163"/>
        </w:numPr>
        <w:tabs>
          <w:tab w:pos="1220" w:val="left" w:leader="none"/>
          <w:tab w:pos="1221" w:val="left" w:leader="none"/>
        </w:tabs>
        <w:spacing w:line="240" w:lineRule="auto" w:before="48" w:after="0"/>
        <w:ind w:left="1220" w:right="1782" w:hanging="793"/>
        <w:jc w:val="left"/>
        <w:rPr>
          <w:sz w:val="13"/>
        </w:rPr>
      </w:pPr>
      <w:r>
        <w:rPr>
          <w:i/>
          <w:spacing w:val="2"/>
          <w:w w:val="96"/>
          <w:sz w:val="13"/>
        </w:rPr>
        <w:br w:type="column"/>
      </w:r>
      <w:r>
        <w:rPr>
          <w:i/>
          <w:w w:val="105"/>
          <w:sz w:val="13"/>
        </w:rPr>
        <w:t>Planning and Environment Act 1987 </w:t>
      </w:r>
      <w:r>
        <w:rPr>
          <w:spacing w:val="2"/>
          <w:w w:val="105"/>
          <w:sz w:val="13"/>
        </w:rPr>
        <w:t>(Vic) </w:t>
      </w:r>
      <w:r>
        <w:rPr>
          <w:w w:val="105"/>
          <w:sz w:val="13"/>
        </w:rPr>
        <w:t>s </w:t>
      </w:r>
      <w:r>
        <w:rPr>
          <w:spacing w:val="5"/>
          <w:w w:val="105"/>
          <w:sz w:val="13"/>
        </w:rPr>
        <w:t>60(1)(a)–(d). </w:t>
      </w:r>
      <w:r>
        <w:rPr>
          <w:w w:val="105"/>
          <w:sz w:val="13"/>
        </w:rPr>
        <w:t>A referral authority may be a determining referral authority or a recommending referral authority. Both </w:t>
      </w:r>
      <w:r>
        <w:rPr>
          <w:spacing w:val="2"/>
          <w:w w:val="105"/>
          <w:sz w:val="13"/>
        </w:rPr>
        <w:t>types </w:t>
      </w:r>
      <w:r>
        <w:rPr>
          <w:w w:val="105"/>
          <w:sz w:val="13"/>
        </w:rPr>
        <w:t>of referral authority can object to the granting of a permit, decide not to object, or specify conditions to       be included on a permit. The effect of that advice on the final outcome of an application is different for each </w:t>
      </w:r>
      <w:r>
        <w:rPr>
          <w:spacing w:val="2"/>
          <w:w w:val="105"/>
          <w:sz w:val="13"/>
        </w:rPr>
        <w:t>type </w:t>
      </w:r>
      <w:r>
        <w:rPr>
          <w:w w:val="105"/>
          <w:sz w:val="13"/>
        </w:rPr>
        <w:t>of referral authority. If    a determining referral authority objects, the responsible authority must refuse to grant a permit, and if a determining referral authority specifies conditions, those conditions must be included in any permit granted. In contrast, a responsible authority must consider the recommending</w:t>
      </w:r>
      <w:r>
        <w:rPr>
          <w:spacing w:val="4"/>
          <w:w w:val="105"/>
          <w:sz w:val="13"/>
        </w:rPr>
        <w:t> </w:t>
      </w:r>
      <w:r>
        <w:rPr>
          <w:w w:val="105"/>
          <w:sz w:val="13"/>
        </w:rPr>
        <w:t>referral</w:t>
      </w:r>
      <w:r>
        <w:rPr>
          <w:spacing w:val="5"/>
          <w:w w:val="105"/>
          <w:sz w:val="13"/>
        </w:rPr>
        <w:t> </w:t>
      </w:r>
      <w:r>
        <w:rPr>
          <w:w w:val="105"/>
          <w:sz w:val="13"/>
        </w:rPr>
        <w:t>authority’s</w:t>
      </w:r>
      <w:r>
        <w:rPr>
          <w:spacing w:val="5"/>
          <w:w w:val="105"/>
          <w:sz w:val="13"/>
        </w:rPr>
        <w:t> </w:t>
      </w:r>
      <w:r>
        <w:rPr>
          <w:w w:val="105"/>
          <w:sz w:val="13"/>
        </w:rPr>
        <w:t>advice</w:t>
      </w:r>
      <w:r>
        <w:rPr>
          <w:spacing w:val="5"/>
          <w:w w:val="105"/>
          <w:sz w:val="13"/>
        </w:rPr>
        <w:t> </w:t>
      </w:r>
      <w:r>
        <w:rPr>
          <w:w w:val="105"/>
          <w:sz w:val="13"/>
        </w:rPr>
        <w:t>but</w:t>
      </w:r>
      <w:r>
        <w:rPr>
          <w:spacing w:val="5"/>
          <w:w w:val="105"/>
          <w:sz w:val="13"/>
        </w:rPr>
        <w:t> </w:t>
      </w:r>
      <w:r>
        <w:rPr>
          <w:w w:val="105"/>
          <w:sz w:val="13"/>
        </w:rPr>
        <w:t>is</w:t>
      </w:r>
      <w:r>
        <w:rPr>
          <w:spacing w:val="5"/>
          <w:w w:val="105"/>
          <w:sz w:val="13"/>
        </w:rPr>
        <w:t> </w:t>
      </w:r>
      <w:r>
        <w:rPr>
          <w:w w:val="105"/>
          <w:sz w:val="13"/>
        </w:rPr>
        <w:t>not</w:t>
      </w:r>
      <w:r>
        <w:rPr>
          <w:spacing w:val="5"/>
          <w:w w:val="105"/>
          <w:sz w:val="13"/>
        </w:rPr>
        <w:t> </w:t>
      </w:r>
      <w:r>
        <w:rPr>
          <w:w w:val="105"/>
          <w:sz w:val="13"/>
        </w:rPr>
        <w:t>obliged</w:t>
      </w:r>
      <w:r>
        <w:rPr>
          <w:spacing w:val="5"/>
          <w:w w:val="105"/>
          <w:sz w:val="13"/>
        </w:rPr>
        <w:t> </w:t>
      </w:r>
      <w:r>
        <w:rPr>
          <w:w w:val="105"/>
          <w:sz w:val="13"/>
        </w:rPr>
        <w:t>to</w:t>
      </w:r>
      <w:r>
        <w:rPr>
          <w:spacing w:val="5"/>
          <w:w w:val="105"/>
          <w:sz w:val="13"/>
        </w:rPr>
        <w:t> </w:t>
      </w:r>
      <w:r>
        <w:rPr>
          <w:w w:val="105"/>
          <w:sz w:val="13"/>
        </w:rPr>
        <w:t>refuse</w:t>
      </w:r>
      <w:r>
        <w:rPr>
          <w:spacing w:val="5"/>
          <w:w w:val="105"/>
          <w:sz w:val="13"/>
        </w:rPr>
        <w:t> </w:t>
      </w:r>
      <w:r>
        <w:rPr>
          <w:w w:val="105"/>
          <w:sz w:val="13"/>
        </w:rPr>
        <w:t>the</w:t>
      </w:r>
      <w:r>
        <w:rPr>
          <w:spacing w:val="5"/>
          <w:w w:val="105"/>
          <w:sz w:val="13"/>
        </w:rPr>
        <w:t> </w:t>
      </w:r>
      <w:r>
        <w:rPr>
          <w:w w:val="105"/>
          <w:sz w:val="13"/>
        </w:rPr>
        <w:t>application</w:t>
      </w:r>
      <w:r>
        <w:rPr>
          <w:spacing w:val="5"/>
          <w:w w:val="105"/>
          <w:sz w:val="13"/>
        </w:rPr>
        <w:t> </w:t>
      </w:r>
      <w:r>
        <w:rPr>
          <w:w w:val="105"/>
          <w:sz w:val="13"/>
        </w:rPr>
        <w:t>or</w:t>
      </w:r>
      <w:r>
        <w:rPr>
          <w:spacing w:val="4"/>
          <w:w w:val="105"/>
          <w:sz w:val="13"/>
        </w:rPr>
        <w:t> </w:t>
      </w:r>
      <w:r>
        <w:rPr>
          <w:w w:val="105"/>
          <w:sz w:val="13"/>
        </w:rPr>
        <w:t>to</w:t>
      </w:r>
      <w:r>
        <w:rPr>
          <w:spacing w:val="5"/>
          <w:w w:val="105"/>
          <w:sz w:val="13"/>
        </w:rPr>
        <w:t> </w:t>
      </w:r>
      <w:r>
        <w:rPr>
          <w:w w:val="105"/>
          <w:sz w:val="13"/>
        </w:rPr>
        <w:t>include</w:t>
      </w:r>
      <w:r>
        <w:rPr>
          <w:spacing w:val="5"/>
          <w:w w:val="105"/>
          <w:sz w:val="13"/>
        </w:rPr>
        <w:t> </w:t>
      </w:r>
      <w:r>
        <w:rPr>
          <w:w w:val="105"/>
          <w:sz w:val="13"/>
        </w:rPr>
        <w:t>any</w:t>
      </w:r>
      <w:r>
        <w:rPr>
          <w:spacing w:val="5"/>
          <w:w w:val="105"/>
          <w:sz w:val="13"/>
        </w:rPr>
        <w:t> </w:t>
      </w:r>
      <w:r>
        <w:rPr>
          <w:w w:val="105"/>
          <w:sz w:val="13"/>
        </w:rPr>
        <w:t>recommended</w:t>
      </w:r>
      <w:r>
        <w:rPr>
          <w:spacing w:val="5"/>
          <w:w w:val="105"/>
          <w:sz w:val="13"/>
        </w:rPr>
        <w:t> </w:t>
      </w:r>
      <w:r>
        <w:rPr>
          <w:w w:val="105"/>
          <w:sz w:val="13"/>
        </w:rPr>
        <w:t>conditions.</w:t>
      </w:r>
      <w:r>
        <w:rPr>
          <w:spacing w:val="5"/>
          <w:w w:val="105"/>
          <w:sz w:val="13"/>
        </w:rPr>
        <w:t> </w:t>
      </w:r>
      <w:r>
        <w:rPr>
          <w:w w:val="105"/>
          <w:sz w:val="13"/>
        </w:rPr>
        <w:t>A</w:t>
      </w:r>
    </w:p>
    <w:p>
      <w:pPr>
        <w:spacing w:before="8"/>
        <w:ind w:left="1220" w:right="1649" w:firstLine="0"/>
        <w:jc w:val="left"/>
        <w:rPr>
          <w:sz w:val="13"/>
        </w:rPr>
      </w:pPr>
      <w:r>
        <w:rPr>
          <w:sz w:val="13"/>
        </w:rPr>
        <w:t>recommending referral authority can seek a review at the Victorian Civil and Administrative Tribunal if it </w:t>
      </w:r>
      <w:r>
        <w:rPr>
          <w:spacing w:val="2"/>
          <w:sz w:val="13"/>
        </w:rPr>
        <w:t>objects </w:t>
      </w:r>
      <w:r>
        <w:rPr>
          <w:sz w:val="13"/>
        </w:rPr>
        <w:t>to the granting of a permit              or it recommends  conditions  that  are  not  included  in  the  permit  by  the  responsible  authority:  Department  of  Environment,  Land,  Water and Planning, </w:t>
      </w:r>
      <w:r>
        <w:rPr>
          <w:i/>
          <w:sz w:val="13"/>
        </w:rPr>
        <w:t>Planning Practice Note No </w:t>
      </w:r>
      <w:r>
        <w:rPr>
          <w:i/>
          <w:spacing w:val="3"/>
          <w:sz w:val="13"/>
        </w:rPr>
        <w:t>54</w:t>
      </w:r>
      <w:r>
        <w:rPr>
          <w:spacing w:val="3"/>
          <w:sz w:val="13"/>
        </w:rPr>
        <w:t>: </w:t>
      </w:r>
      <w:r>
        <w:rPr>
          <w:i/>
          <w:sz w:val="13"/>
        </w:rPr>
        <w:t>Referral and Notice Provisions, </w:t>
      </w:r>
      <w:r>
        <w:rPr>
          <w:sz w:val="13"/>
        </w:rPr>
        <w:t>June </w:t>
      </w:r>
      <w:r>
        <w:rPr>
          <w:spacing w:val="-3"/>
          <w:sz w:val="13"/>
        </w:rPr>
        <w:t>2015 </w:t>
      </w:r>
      <w:r>
        <w:rPr>
          <w:sz w:val="13"/>
        </w:rPr>
        <w:t>&lt;https://</w:t>
      </w:r>
      <w:hyperlink r:id="rId258">
        <w:r>
          <w:rPr>
            <w:sz w:val="13"/>
          </w:rPr>
          <w:t>www.planning.vic.gov.au/resource-library/</w:t>
        </w:r>
      </w:hyperlink>
      <w:r>
        <w:rPr>
          <w:sz w:val="13"/>
        </w:rPr>
        <w:t> planning-practice-notes&gt;.</w:t>
      </w:r>
    </w:p>
    <w:p>
      <w:pPr>
        <w:pStyle w:val="ListParagraph"/>
        <w:numPr>
          <w:ilvl w:val="0"/>
          <w:numId w:val="163"/>
        </w:numPr>
        <w:tabs>
          <w:tab w:pos="1220" w:val="left" w:leader="none"/>
          <w:tab w:pos="1221" w:val="left" w:leader="none"/>
        </w:tabs>
        <w:spacing w:line="240" w:lineRule="auto" w:before="5" w:after="0"/>
        <w:ind w:left="1220" w:right="0" w:hanging="793"/>
        <w:jc w:val="left"/>
        <w:rPr>
          <w:i/>
          <w:sz w:val="13"/>
        </w:rPr>
      </w:pPr>
      <w:r>
        <w:rPr>
          <w:i/>
          <w:sz w:val="13"/>
        </w:rPr>
        <w:t>Planning</w:t>
      </w:r>
      <w:r>
        <w:rPr>
          <w:i/>
          <w:spacing w:val="10"/>
          <w:sz w:val="13"/>
        </w:rPr>
        <w:t> </w:t>
      </w:r>
      <w:r>
        <w:rPr>
          <w:i/>
          <w:sz w:val="13"/>
        </w:rPr>
        <w:t>and</w:t>
      </w:r>
      <w:r>
        <w:rPr>
          <w:i/>
          <w:spacing w:val="10"/>
          <w:sz w:val="13"/>
        </w:rPr>
        <w:t> </w:t>
      </w:r>
      <w:r>
        <w:rPr>
          <w:i/>
          <w:sz w:val="13"/>
        </w:rPr>
        <w:t>Environment</w:t>
      </w:r>
      <w:r>
        <w:rPr>
          <w:i/>
          <w:spacing w:val="11"/>
          <w:sz w:val="13"/>
        </w:rPr>
        <w:t> </w:t>
      </w:r>
      <w:r>
        <w:rPr>
          <w:i/>
          <w:sz w:val="13"/>
        </w:rPr>
        <w:t>Act</w:t>
      </w:r>
      <w:r>
        <w:rPr>
          <w:i/>
          <w:spacing w:val="10"/>
          <w:sz w:val="13"/>
        </w:rPr>
        <w:t> </w:t>
      </w:r>
      <w:r>
        <w:rPr>
          <w:i/>
          <w:sz w:val="13"/>
        </w:rPr>
        <w:t>1987</w:t>
      </w:r>
      <w:r>
        <w:rPr>
          <w:i/>
          <w:spacing w:val="10"/>
          <w:sz w:val="13"/>
        </w:rPr>
        <w:t> </w:t>
      </w:r>
      <w:r>
        <w:rPr>
          <w:spacing w:val="2"/>
          <w:sz w:val="13"/>
        </w:rPr>
        <w:t>(Vic)</w:t>
      </w:r>
      <w:r>
        <w:rPr>
          <w:spacing w:val="11"/>
          <w:sz w:val="13"/>
        </w:rPr>
        <w:t> </w:t>
      </w:r>
      <w:r>
        <w:rPr>
          <w:sz w:val="13"/>
        </w:rPr>
        <w:t>s</w:t>
      </w:r>
      <w:r>
        <w:rPr>
          <w:spacing w:val="10"/>
          <w:sz w:val="13"/>
        </w:rPr>
        <w:t> </w:t>
      </w:r>
      <w:r>
        <w:rPr>
          <w:spacing w:val="5"/>
          <w:sz w:val="13"/>
        </w:rPr>
        <w:t>60(1)(e)–(f).</w:t>
      </w:r>
      <w:r>
        <w:rPr>
          <w:spacing w:val="11"/>
          <w:sz w:val="13"/>
        </w:rPr>
        <w:t> </w:t>
      </w:r>
      <w:r>
        <w:rPr>
          <w:sz w:val="13"/>
        </w:rPr>
        <w:t>For</w:t>
      </w:r>
      <w:r>
        <w:rPr>
          <w:spacing w:val="10"/>
          <w:sz w:val="13"/>
        </w:rPr>
        <w:t> </w:t>
      </w:r>
      <w:r>
        <w:rPr>
          <w:sz w:val="13"/>
        </w:rPr>
        <w:t>the</w:t>
      </w:r>
      <w:r>
        <w:rPr>
          <w:spacing w:val="10"/>
          <w:sz w:val="13"/>
        </w:rPr>
        <w:t> </w:t>
      </w:r>
      <w:r>
        <w:rPr>
          <w:sz w:val="13"/>
        </w:rPr>
        <w:t>complete</w:t>
      </w:r>
      <w:r>
        <w:rPr>
          <w:spacing w:val="11"/>
          <w:sz w:val="13"/>
        </w:rPr>
        <w:t> </w:t>
      </w:r>
      <w:r>
        <w:rPr>
          <w:sz w:val="13"/>
        </w:rPr>
        <w:t>list</w:t>
      </w:r>
      <w:r>
        <w:rPr>
          <w:spacing w:val="10"/>
          <w:sz w:val="13"/>
        </w:rPr>
        <w:t> </w:t>
      </w:r>
      <w:r>
        <w:rPr>
          <w:sz w:val="13"/>
        </w:rPr>
        <w:t>of</w:t>
      </w:r>
      <w:r>
        <w:rPr>
          <w:spacing w:val="11"/>
          <w:sz w:val="13"/>
        </w:rPr>
        <w:t> </w:t>
      </w:r>
      <w:r>
        <w:rPr>
          <w:sz w:val="13"/>
        </w:rPr>
        <w:t>considerations</w:t>
      </w:r>
      <w:r>
        <w:rPr>
          <w:spacing w:val="10"/>
          <w:sz w:val="13"/>
        </w:rPr>
        <w:t> </w:t>
      </w:r>
      <w:r>
        <w:rPr>
          <w:sz w:val="13"/>
        </w:rPr>
        <w:t>see</w:t>
      </w:r>
      <w:r>
        <w:rPr>
          <w:spacing w:val="10"/>
          <w:sz w:val="13"/>
        </w:rPr>
        <w:t> </w:t>
      </w:r>
      <w:r>
        <w:rPr>
          <w:i/>
          <w:sz w:val="13"/>
        </w:rPr>
        <w:t>Planning</w:t>
      </w:r>
      <w:r>
        <w:rPr>
          <w:i/>
          <w:spacing w:val="11"/>
          <w:sz w:val="13"/>
        </w:rPr>
        <w:t> </w:t>
      </w:r>
      <w:r>
        <w:rPr>
          <w:i/>
          <w:sz w:val="13"/>
        </w:rPr>
        <w:t>and</w:t>
      </w:r>
      <w:r>
        <w:rPr>
          <w:i/>
          <w:spacing w:val="10"/>
          <w:sz w:val="13"/>
        </w:rPr>
        <w:t> </w:t>
      </w:r>
      <w:r>
        <w:rPr>
          <w:i/>
          <w:sz w:val="13"/>
        </w:rPr>
        <w:t>Environment</w:t>
      </w:r>
      <w:r>
        <w:rPr>
          <w:i/>
          <w:spacing w:val="11"/>
          <w:sz w:val="13"/>
        </w:rPr>
        <w:t> </w:t>
      </w:r>
      <w:r>
        <w:rPr>
          <w:i/>
          <w:sz w:val="13"/>
        </w:rPr>
        <w:t>Act</w:t>
      </w:r>
      <w:r>
        <w:rPr>
          <w:i/>
          <w:spacing w:val="10"/>
          <w:sz w:val="13"/>
        </w:rPr>
        <w:t> </w:t>
      </w:r>
      <w:r>
        <w:rPr>
          <w:i/>
          <w:sz w:val="13"/>
        </w:rPr>
        <w:t>1987</w:t>
      </w:r>
    </w:p>
    <w:p>
      <w:pPr>
        <w:spacing w:before="2"/>
        <w:ind w:left="1220" w:right="0" w:firstLine="0"/>
        <w:jc w:val="left"/>
        <w:rPr>
          <w:sz w:val="13"/>
        </w:rPr>
      </w:pPr>
      <w:r>
        <w:rPr>
          <w:sz w:val="13"/>
        </w:rPr>
        <w:t>(Vic) s 60.</w:t>
      </w:r>
    </w:p>
    <w:p>
      <w:pPr>
        <w:pStyle w:val="ListParagraph"/>
        <w:numPr>
          <w:ilvl w:val="0"/>
          <w:numId w:val="163"/>
        </w:numPr>
        <w:tabs>
          <w:tab w:pos="1220" w:val="left" w:leader="none"/>
          <w:tab w:pos="1221" w:val="left" w:leader="none"/>
        </w:tabs>
        <w:spacing w:line="240" w:lineRule="auto" w:before="1" w:after="0"/>
        <w:ind w:left="1221" w:right="1617" w:hanging="794"/>
        <w:jc w:val="left"/>
        <w:rPr>
          <w:i/>
          <w:sz w:val="13"/>
        </w:rPr>
      </w:pPr>
      <w:r>
        <w:rPr>
          <w:i/>
          <w:sz w:val="13"/>
        </w:rPr>
        <w:t>Planning and Environment Act 1987 </w:t>
      </w:r>
      <w:r>
        <w:rPr>
          <w:spacing w:val="2"/>
          <w:sz w:val="13"/>
        </w:rPr>
        <w:t>(Vic) </w:t>
      </w:r>
      <w:r>
        <w:rPr>
          <w:sz w:val="13"/>
        </w:rPr>
        <w:t>s </w:t>
      </w:r>
      <w:r>
        <w:rPr>
          <w:spacing w:val="4"/>
          <w:sz w:val="13"/>
        </w:rPr>
        <w:t>60(1A)(b)–(h). </w:t>
      </w:r>
      <w:r>
        <w:rPr>
          <w:sz w:val="13"/>
        </w:rPr>
        <w:t>For  example,  if  needed  the  responsible  authority  may  consider  the  approved regional strategy plan under section </w:t>
      </w:r>
      <w:r>
        <w:rPr>
          <w:spacing w:val="-4"/>
          <w:sz w:val="13"/>
        </w:rPr>
        <w:t>17 </w:t>
      </w:r>
      <w:r>
        <w:rPr>
          <w:sz w:val="13"/>
        </w:rPr>
        <w:t>of the </w:t>
      </w:r>
      <w:r>
        <w:rPr>
          <w:i/>
          <w:sz w:val="13"/>
        </w:rPr>
        <w:t>Upper Yarra Valley </w:t>
      </w:r>
      <w:r>
        <w:rPr>
          <w:sz w:val="13"/>
        </w:rPr>
        <w:t>and </w:t>
      </w:r>
      <w:r>
        <w:rPr>
          <w:i/>
          <w:sz w:val="13"/>
        </w:rPr>
        <w:t>Dandenong Ranges Authority Act  </w:t>
      </w:r>
      <w:r>
        <w:rPr>
          <w:i/>
          <w:spacing w:val="-4"/>
          <w:sz w:val="13"/>
        </w:rPr>
        <w:t>1976  </w:t>
      </w:r>
      <w:r>
        <w:rPr>
          <w:spacing w:val="2"/>
          <w:sz w:val="13"/>
        </w:rPr>
        <w:t>(Vic);  </w:t>
      </w:r>
      <w:r>
        <w:rPr>
          <w:sz w:val="13"/>
        </w:rPr>
        <w:t>the  Melbourne  Environs Strategy Plan approved under section </w:t>
      </w:r>
      <w:r>
        <w:rPr>
          <w:spacing w:val="3"/>
          <w:sz w:val="13"/>
        </w:rPr>
        <w:t>46U(2); </w:t>
      </w:r>
      <w:r>
        <w:rPr>
          <w:sz w:val="13"/>
        </w:rPr>
        <w:t>and any relevant state environment  policy  declared  in  any  order  made  by  the  Governor-in- Council</w:t>
      </w:r>
      <w:r>
        <w:rPr>
          <w:spacing w:val="7"/>
          <w:sz w:val="13"/>
        </w:rPr>
        <w:t> </w:t>
      </w:r>
      <w:r>
        <w:rPr>
          <w:sz w:val="13"/>
        </w:rPr>
        <w:t>under</w:t>
      </w:r>
      <w:r>
        <w:rPr>
          <w:spacing w:val="8"/>
          <w:sz w:val="13"/>
        </w:rPr>
        <w:t> </w:t>
      </w:r>
      <w:r>
        <w:rPr>
          <w:sz w:val="13"/>
        </w:rPr>
        <w:t>section</w:t>
      </w:r>
      <w:r>
        <w:rPr>
          <w:spacing w:val="8"/>
          <w:sz w:val="13"/>
        </w:rPr>
        <w:t> </w:t>
      </w:r>
      <w:r>
        <w:rPr>
          <w:sz w:val="13"/>
        </w:rPr>
        <w:t>16</w:t>
      </w:r>
      <w:r>
        <w:rPr>
          <w:spacing w:val="8"/>
          <w:sz w:val="13"/>
        </w:rPr>
        <w:t> </w:t>
      </w:r>
      <w:r>
        <w:rPr>
          <w:sz w:val="13"/>
        </w:rPr>
        <w:t>of</w:t>
      </w:r>
      <w:r>
        <w:rPr>
          <w:spacing w:val="8"/>
          <w:sz w:val="13"/>
        </w:rPr>
        <w:t> </w:t>
      </w:r>
      <w:r>
        <w:rPr>
          <w:sz w:val="13"/>
        </w:rPr>
        <w:t>the</w:t>
      </w:r>
      <w:r>
        <w:rPr>
          <w:spacing w:val="8"/>
          <w:sz w:val="13"/>
        </w:rPr>
        <w:t> </w:t>
      </w:r>
      <w:r>
        <w:rPr>
          <w:i/>
          <w:sz w:val="13"/>
        </w:rPr>
        <w:t>Environment</w:t>
      </w:r>
      <w:r>
        <w:rPr>
          <w:i/>
          <w:spacing w:val="7"/>
          <w:sz w:val="13"/>
        </w:rPr>
        <w:t> </w:t>
      </w:r>
      <w:r>
        <w:rPr>
          <w:i/>
          <w:sz w:val="13"/>
        </w:rPr>
        <w:t>Protection</w:t>
      </w:r>
      <w:r>
        <w:rPr>
          <w:i/>
          <w:spacing w:val="8"/>
          <w:sz w:val="13"/>
        </w:rPr>
        <w:t> </w:t>
      </w:r>
      <w:r>
        <w:rPr>
          <w:i/>
          <w:sz w:val="13"/>
        </w:rPr>
        <w:t>Act</w:t>
      </w:r>
      <w:r>
        <w:rPr>
          <w:i/>
          <w:spacing w:val="8"/>
          <w:sz w:val="13"/>
        </w:rPr>
        <w:t> </w:t>
      </w:r>
      <w:r>
        <w:rPr>
          <w:i/>
          <w:spacing w:val="-4"/>
          <w:sz w:val="13"/>
        </w:rPr>
        <w:t>1970</w:t>
      </w:r>
      <w:r>
        <w:rPr>
          <w:i/>
          <w:spacing w:val="8"/>
          <w:sz w:val="13"/>
        </w:rPr>
        <w:t> </w:t>
      </w:r>
      <w:r>
        <w:rPr>
          <w:spacing w:val="2"/>
          <w:sz w:val="13"/>
        </w:rPr>
        <w:t>(Vic)</w:t>
      </w:r>
      <w:r>
        <w:rPr>
          <w:i/>
          <w:spacing w:val="2"/>
          <w:sz w:val="13"/>
        </w:rPr>
        <w:t>.</w:t>
      </w:r>
    </w:p>
    <w:p>
      <w:pPr>
        <w:pStyle w:val="ListParagraph"/>
        <w:numPr>
          <w:ilvl w:val="0"/>
          <w:numId w:val="163"/>
        </w:numPr>
        <w:tabs>
          <w:tab w:pos="1221" w:val="left" w:leader="none"/>
          <w:tab w:pos="1222" w:val="left" w:leader="none"/>
        </w:tabs>
        <w:spacing w:line="240" w:lineRule="auto" w:before="5" w:after="0"/>
        <w:ind w:left="1221" w:right="0" w:hanging="794"/>
        <w:jc w:val="left"/>
        <w:rPr>
          <w:sz w:val="13"/>
        </w:rPr>
      </w:pPr>
      <w:r>
        <w:rPr>
          <w:i/>
          <w:w w:val="105"/>
          <w:sz w:val="13"/>
        </w:rPr>
        <w:t>Planning and Environment Act 1987 </w:t>
      </w:r>
      <w:r>
        <w:rPr>
          <w:spacing w:val="2"/>
          <w:w w:val="105"/>
          <w:sz w:val="13"/>
        </w:rPr>
        <w:t>(Vic) </w:t>
      </w:r>
      <w:r>
        <w:rPr>
          <w:w w:val="105"/>
          <w:sz w:val="13"/>
        </w:rPr>
        <w:t>s</w:t>
      </w:r>
      <w:r>
        <w:rPr>
          <w:spacing w:val="30"/>
          <w:w w:val="105"/>
          <w:sz w:val="13"/>
        </w:rPr>
        <w:t> </w:t>
      </w:r>
      <w:r>
        <w:rPr>
          <w:spacing w:val="2"/>
          <w:w w:val="105"/>
          <w:sz w:val="13"/>
        </w:rPr>
        <w:t>84B.</w:t>
      </w:r>
    </w:p>
    <w:p>
      <w:pPr>
        <w:pStyle w:val="ListParagraph"/>
        <w:numPr>
          <w:ilvl w:val="0"/>
          <w:numId w:val="163"/>
        </w:numPr>
        <w:tabs>
          <w:tab w:pos="1221" w:val="left" w:leader="none"/>
          <w:tab w:pos="1222" w:val="left" w:leader="none"/>
        </w:tabs>
        <w:spacing w:line="240" w:lineRule="auto" w:before="2" w:after="0"/>
        <w:ind w:left="1221" w:right="0" w:hanging="794"/>
        <w:jc w:val="left"/>
        <w:rPr>
          <w:sz w:val="13"/>
        </w:rPr>
      </w:pPr>
      <w:r>
        <w:rPr>
          <w:w w:val="105"/>
          <w:sz w:val="13"/>
        </w:rPr>
        <w:t>Department</w:t>
      </w:r>
      <w:r>
        <w:rPr>
          <w:spacing w:val="4"/>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Using</w:t>
      </w:r>
      <w:r>
        <w:rPr>
          <w:i/>
          <w:spacing w:val="5"/>
          <w:w w:val="105"/>
          <w:sz w:val="13"/>
        </w:rPr>
        <w:t> </w:t>
      </w:r>
      <w:r>
        <w:rPr>
          <w:i/>
          <w:w w:val="105"/>
          <w:sz w:val="13"/>
        </w:rPr>
        <w:t>Victoria’s</w:t>
      </w:r>
      <w:r>
        <w:rPr>
          <w:i/>
          <w:spacing w:val="5"/>
          <w:w w:val="105"/>
          <w:sz w:val="13"/>
        </w:rPr>
        <w:t> </w:t>
      </w:r>
      <w:r>
        <w:rPr>
          <w:i/>
          <w:w w:val="105"/>
          <w:sz w:val="13"/>
        </w:rPr>
        <w:t>Planning</w:t>
      </w:r>
      <w:r>
        <w:rPr>
          <w:i/>
          <w:spacing w:val="5"/>
          <w:w w:val="105"/>
          <w:sz w:val="13"/>
        </w:rPr>
        <w:t> </w:t>
      </w:r>
      <w:r>
        <w:rPr>
          <w:i/>
          <w:w w:val="105"/>
          <w:sz w:val="13"/>
        </w:rPr>
        <w:t>System</w:t>
      </w:r>
      <w:r>
        <w:rPr>
          <w:i/>
          <w:spacing w:val="5"/>
          <w:w w:val="105"/>
          <w:sz w:val="13"/>
        </w:rPr>
        <w:t> </w:t>
      </w:r>
      <w:r>
        <w:rPr>
          <w:w w:val="105"/>
          <w:sz w:val="13"/>
        </w:rPr>
        <w:t>(Guide,</w:t>
      </w:r>
      <w:r>
        <w:rPr>
          <w:spacing w:val="5"/>
          <w:w w:val="105"/>
          <w:sz w:val="13"/>
        </w:rPr>
        <w:t> </w:t>
      </w:r>
      <w:r>
        <w:rPr>
          <w:w w:val="105"/>
          <w:sz w:val="13"/>
        </w:rPr>
        <w:t>28</w:t>
      </w:r>
      <w:r>
        <w:rPr>
          <w:spacing w:val="5"/>
          <w:w w:val="105"/>
          <w:sz w:val="13"/>
        </w:rPr>
        <w:t> </w:t>
      </w:r>
      <w:r>
        <w:rPr>
          <w:w w:val="105"/>
          <w:sz w:val="13"/>
        </w:rPr>
        <w:t>May</w:t>
      </w:r>
      <w:r>
        <w:rPr>
          <w:spacing w:val="5"/>
          <w:w w:val="105"/>
          <w:sz w:val="13"/>
        </w:rPr>
        <w:t> </w:t>
      </w:r>
      <w:r>
        <w:rPr>
          <w:w w:val="105"/>
          <w:sz w:val="13"/>
        </w:rPr>
        <w:t>2015)</w:t>
      </w:r>
      <w:r>
        <w:rPr>
          <w:spacing w:val="4"/>
          <w:w w:val="105"/>
          <w:sz w:val="13"/>
        </w:rPr>
        <w:t> </w:t>
      </w:r>
      <w:r>
        <w:rPr>
          <w:spacing w:val="-3"/>
          <w:w w:val="105"/>
          <w:sz w:val="13"/>
        </w:rPr>
        <w:t>[5.1.1]</w:t>
      </w:r>
      <w:r>
        <w:rPr>
          <w:spacing w:val="5"/>
          <w:w w:val="105"/>
          <w:sz w:val="13"/>
        </w:rPr>
        <w:t> </w:t>
      </w:r>
      <w:r>
        <w:rPr>
          <w:w w:val="105"/>
          <w:sz w:val="13"/>
        </w:rPr>
        <w:t>and</w:t>
      </w:r>
      <w:r>
        <w:rPr>
          <w:spacing w:val="5"/>
          <w:w w:val="105"/>
          <w:sz w:val="13"/>
        </w:rPr>
        <w:t> </w:t>
      </w:r>
      <w:r>
        <w:rPr>
          <w:w w:val="105"/>
          <w:sz w:val="13"/>
        </w:rPr>
        <w:t>Table</w:t>
      </w:r>
      <w:r>
        <w:rPr>
          <w:spacing w:val="5"/>
          <w:w w:val="105"/>
          <w:sz w:val="13"/>
        </w:rPr>
        <w:t> </w:t>
      </w:r>
      <w:r>
        <w:rPr>
          <w:spacing w:val="-3"/>
          <w:w w:val="105"/>
          <w:sz w:val="13"/>
        </w:rPr>
        <w:t>5.1</w:t>
      </w:r>
    </w:p>
    <w:p>
      <w:pPr>
        <w:spacing w:before="1"/>
        <w:ind w:left="1221" w:right="1897" w:firstLine="0"/>
        <w:jc w:val="both"/>
        <w:rPr>
          <w:sz w:val="13"/>
        </w:rPr>
      </w:pPr>
      <w:r>
        <w:rPr>
          <w:w w:val="105"/>
          <w:sz w:val="13"/>
        </w:rPr>
        <w:t>&lt;https://</w:t>
      </w:r>
      <w:hyperlink r:id="rId95">
        <w:r>
          <w:rPr>
            <w:w w:val="105"/>
            <w:sz w:val="13"/>
          </w:rPr>
          <w:t>www.planning.vic.gov.au/guide-home/using-victorias-planning-system</w:t>
        </w:r>
      </w:hyperlink>
      <w:r>
        <w:rPr>
          <w:w w:val="105"/>
          <w:sz w:val="13"/>
        </w:rPr>
        <w:t>&gt;. For example, the Responsible Authority or a person can apply for an enforcement order against one or more persons if a use or development of land will contravene the Act: </w:t>
      </w:r>
      <w:r>
        <w:rPr>
          <w:i/>
          <w:w w:val="105"/>
          <w:sz w:val="13"/>
        </w:rPr>
        <w:t>Planning and </w:t>
      </w:r>
      <w:r>
        <w:rPr>
          <w:i/>
          <w:w w:val="105"/>
          <w:sz w:val="13"/>
        </w:rPr>
        <w:t>Environment Act 1987 </w:t>
      </w:r>
      <w:r>
        <w:rPr>
          <w:w w:val="105"/>
          <w:sz w:val="13"/>
        </w:rPr>
        <w:t>(Vic) s 114.</w:t>
      </w:r>
    </w:p>
    <w:p>
      <w:pPr>
        <w:pStyle w:val="ListParagraph"/>
        <w:numPr>
          <w:ilvl w:val="0"/>
          <w:numId w:val="163"/>
        </w:numPr>
        <w:tabs>
          <w:tab w:pos="1221" w:val="left" w:leader="none"/>
          <w:tab w:pos="1222" w:val="left" w:leader="none"/>
        </w:tabs>
        <w:spacing w:line="240" w:lineRule="auto" w:before="4" w:after="0"/>
        <w:ind w:left="1221" w:right="0" w:hanging="794"/>
        <w:jc w:val="left"/>
        <w:rPr>
          <w:sz w:val="13"/>
        </w:rPr>
      </w:pPr>
      <w:r>
        <w:rPr>
          <w:w w:val="105"/>
          <w:sz w:val="13"/>
        </w:rPr>
        <w:t>Department</w:t>
      </w:r>
      <w:r>
        <w:rPr>
          <w:spacing w:val="4"/>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4"/>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spacing w:val="2"/>
          <w:w w:val="105"/>
          <w:sz w:val="13"/>
        </w:rPr>
        <w:t>‘VicSmart</w:t>
      </w:r>
      <w:r>
        <w:rPr>
          <w:spacing w:val="4"/>
          <w:w w:val="105"/>
          <w:sz w:val="13"/>
        </w:rPr>
        <w:t> </w:t>
      </w:r>
      <w:r>
        <w:rPr>
          <w:w w:val="105"/>
          <w:sz w:val="13"/>
        </w:rPr>
        <w:t>Permits</w:t>
      </w:r>
      <w:r>
        <w:rPr>
          <w:spacing w:val="5"/>
          <w:w w:val="105"/>
          <w:sz w:val="13"/>
        </w:rPr>
        <w:t> </w:t>
      </w:r>
      <w:r>
        <w:rPr>
          <w:w w:val="105"/>
          <w:sz w:val="13"/>
        </w:rPr>
        <w:t>in</w:t>
      </w:r>
      <w:r>
        <w:rPr>
          <w:spacing w:val="5"/>
          <w:w w:val="105"/>
          <w:sz w:val="13"/>
        </w:rPr>
        <w:t> </w:t>
      </w:r>
      <w:r>
        <w:rPr>
          <w:w w:val="105"/>
          <w:sz w:val="13"/>
        </w:rPr>
        <w:t>10</w:t>
      </w:r>
      <w:r>
        <w:rPr>
          <w:spacing w:val="5"/>
          <w:w w:val="105"/>
          <w:sz w:val="13"/>
        </w:rPr>
        <w:t> </w:t>
      </w:r>
      <w:r>
        <w:rPr>
          <w:w w:val="105"/>
          <w:sz w:val="13"/>
        </w:rPr>
        <w:t>Days—Fast</w:t>
      </w:r>
      <w:r>
        <w:rPr>
          <w:spacing w:val="4"/>
          <w:w w:val="105"/>
          <w:sz w:val="13"/>
        </w:rPr>
        <w:t> </w:t>
      </w:r>
      <w:r>
        <w:rPr>
          <w:w w:val="105"/>
          <w:sz w:val="13"/>
        </w:rPr>
        <w:t>Decisions</w:t>
      </w:r>
      <w:r>
        <w:rPr>
          <w:spacing w:val="5"/>
          <w:w w:val="105"/>
          <w:sz w:val="13"/>
        </w:rPr>
        <w:t> </w:t>
      </w:r>
      <w:r>
        <w:rPr>
          <w:w w:val="105"/>
          <w:sz w:val="13"/>
        </w:rPr>
        <w:t>for</w:t>
      </w:r>
      <w:r>
        <w:rPr>
          <w:spacing w:val="5"/>
          <w:w w:val="105"/>
          <w:sz w:val="13"/>
        </w:rPr>
        <w:t> </w:t>
      </w:r>
      <w:r>
        <w:rPr>
          <w:w w:val="105"/>
          <w:sz w:val="13"/>
        </w:rPr>
        <w:t>Simple</w:t>
      </w:r>
      <w:r>
        <w:rPr>
          <w:spacing w:val="5"/>
          <w:w w:val="105"/>
          <w:sz w:val="13"/>
        </w:rPr>
        <w:t> </w:t>
      </w:r>
      <w:r>
        <w:rPr>
          <w:w w:val="105"/>
          <w:sz w:val="13"/>
        </w:rPr>
        <w:t>Planning</w:t>
      </w:r>
      <w:r>
        <w:rPr>
          <w:spacing w:val="5"/>
          <w:w w:val="105"/>
          <w:sz w:val="13"/>
        </w:rPr>
        <w:t> </w:t>
      </w:r>
      <w:r>
        <w:rPr>
          <w:w w:val="105"/>
          <w:sz w:val="13"/>
        </w:rPr>
        <w:t>Decisions’,</w:t>
      </w:r>
    </w:p>
    <w:p>
      <w:pPr>
        <w:spacing w:before="1"/>
        <w:ind w:left="1221" w:right="0" w:firstLine="0"/>
        <w:jc w:val="left"/>
        <w:rPr>
          <w:sz w:val="13"/>
        </w:rPr>
      </w:pPr>
      <w:r>
        <w:rPr>
          <w:i/>
          <w:w w:val="105"/>
          <w:sz w:val="13"/>
        </w:rPr>
        <w:t>Permits and Applications </w:t>
      </w:r>
      <w:r>
        <w:rPr>
          <w:w w:val="105"/>
          <w:sz w:val="13"/>
        </w:rPr>
        <w:t>(Web Page, March 2017) 2 &lt;https://</w:t>
      </w:r>
      <w:hyperlink r:id="rId257">
        <w:r>
          <w:rPr>
            <w:w w:val="105"/>
            <w:sz w:val="13"/>
          </w:rPr>
          <w:t>www.planning.vic.gov.au/permits-and-applications/vicsmart</w:t>
        </w:r>
      </w:hyperlink>
      <w:r>
        <w:rPr>
          <w:w w:val="105"/>
          <w:sz w:val="13"/>
        </w:rPr>
        <w:t>&gt;.</w:t>
      </w:r>
    </w:p>
    <w:p>
      <w:pPr>
        <w:pStyle w:val="ListParagraph"/>
        <w:numPr>
          <w:ilvl w:val="0"/>
          <w:numId w:val="163"/>
        </w:numPr>
        <w:tabs>
          <w:tab w:pos="1221" w:val="left" w:leader="none"/>
          <w:tab w:pos="1222" w:val="left" w:leader="none"/>
        </w:tabs>
        <w:spacing w:line="240" w:lineRule="auto" w:before="2" w:after="0"/>
        <w:ind w:left="1221" w:right="0" w:hanging="794"/>
        <w:jc w:val="left"/>
        <w:rPr>
          <w:sz w:val="13"/>
        </w:rPr>
      </w:pPr>
      <w:r>
        <w:rPr>
          <w:w w:val="105"/>
          <w:sz w:val="13"/>
        </w:rPr>
        <w:t>Department</w:t>
      </w:r>
      <w:r>
        <w:rPr>
          <w:spacing w:val="4"/>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Victoria</w:t>
      </w:r>
      <w:r>
        <w:rPr>
          <w:i/>
          <w:spacing w:val="5"/>
          <w:w w:val="105"/>
          <w:sz w:val="13"/>
        </w:rPr>
        <w:t> </w:t>
      </w:r>
      <w:r>
        <w:rPr>
          <w:i/>
          <w:w w:val="105"/>
          <w:sz w:val="13"/>
        </w:rPr>
        <w:t>Planning</w:t>
      </w:r>
      <w:r>
        <w:rPr>
          <w:i/>
          <w:spacing w:val="5"/>
          <w:w w:val="105"/>
          <w:sz w:val="13"/>
        </w:rPr>
        <w:t> </w:t>
      </w:r>
      <w:r>
        <w:rPr>
          <w:i/>
          <w:w w:val="105"/>
          <w:sz w:val="13"/>
        </w:rPr>
        <w:t>Provisions</w:t>
      </w:r>
      <w:r>
        <w:rPr>
          <w:i/>
          <w:spacing w:val="5"/>
          <w:w w:val="105"/>
          <w:sz w:val="13"/>
        </w:rPr>
        <w:t> </w:t>
      </w:r>
      <w:r>
        <w:rPr>
          <w:spacing w:val="-5"/>
          <w:w w:val="105"/>
          <w:sz w:val="13"/>
        </w:rPr>
        <w:t>(11</w:t>
      </w:r>
      <w:r>
        <w:rPr>
          <w:spacing w:val="5"/>
          <w:w w:val="105"/>
          <w:sz w:val="13"/>
        </w:rPr>
        <w:t> </w:t>
      </w:r>
      <w:r>
        <w:rPr>
          <w:w w:val="105"/>
          <w:sz w:val="13"/>
        </w:rPr>
        <w:t>April</w:t>
      </w:r>
      <w:r>
        <w:rPr>
          <w:spacing w:val="5"/>
          <w:w w:val="105"/>
          <w:sz w:val="13"/>
        </w:rPr>
        <w:t> </w:t>
      </w:r>
      <w:r>
        <w:rPr>
          <w:w w:val="105"/>
          <w:sz w:val="13"/>
        </w:rPr>
        <w:t>2019),</w:t>
      </w:r>
      <w:r>
        <w:rPr>
          <w:spacing w:val="5"/>
          <w:w w:val="105"/>
          <w:sz w:val="13"/>
        </w:rPr>
        <w:t> </w:t>
      </w:r>
      <w:r>
        <w:rPr>
          <w:w w:val="105"/>
          <w:sz w:val="13"/>
        </w:rPr>
        <w:t>cl</w:t>
      </w:r>
      <w:r>
        <w:rPr>
          <w:spacing w:val="5"/>
          <w:w w:val="105"/>
          <w:sz w:val="13"/>
        </w:rPr>
        <w:t> </w:t>
      </w:r>
      <w:r>
        <w:rPr>
          <w:w w:val="105"/>
          <w:sz w:val="13"/>
        </w:rPr>
        <w:t>59.06.</w:t>
      </w:r>
    </w:p>
    <w:p>
      <w:pPr>
        <w:pStyle w:val="ListParagraph"/>
        <w:numPr>
          <w:ilvl w:val="0"/>
          <w:numId w:val="163"/>
        </w:numPr>
        <w:tabs>
          <w:tab w:pos="1221" w:val="left" w:leader="none"/>
          <w:tab w:pos="1222" w:val="left" w:leader="none"/>
        </w:tabs>
        <w:spacing w:line="240" w:lineRule="auto" w:before="1" w:after="0"/>
        <w:ind w:left="1221" w:right="0" w:hanging="794"/>
        <w:jc w:val="left"/>
        <w:rPr>
          <w:i/>
          <w:sz w:val="13"/>
        </w:rPr>
      </w:pPr>
      <w:r>
        <w:rPr>
          <w:w w:val="105"/>
          <w:sz w:val="13"/>
        </w:rPr>
        <w:t>Department</w:t>
      </w:r>
      <w:r>
        <w:rPr>
          <w:spacing w:val="4"/>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4"/>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4"/>
          <w:w w:val="105"/>
          <w:sz w:val="13"/>
        </w:rPr>
        <w:t> </w:t>
      </w:r>
      <w:r>
        <w:rPr>
          <w:spacing w:val="2"/>
          <w:w w:val="105"/>
          <w:sz w:val="13"/>
        </w:rPr>
        <w:t>‘VicSmart—A</w:t>
      </w:r>
      <w:r>
        <w:rPr>
          <w:spacing w:val="5"/>
          <w:w w:val="105"/>
          <w:sz w:val="13"/>
        </w:rPr>
        <w:t> </w:t>
      </w:r>
      <w:r>
        <w:rPr>
          <w:w w:val="105"/>
          <w:sz w:val="13"/>
        </w:rPr>
        <w:t>Simpler</w:t>
      </w:r>
      <w:r>
        <w:rPr>
          <w:spacing w:val="5"/>
          <w:w w:val="105"/>
          <w:sz w:val="13"/>
        </w:rPr>
        <w:t> </w:t>
      </w:r>
      <w:r>
        <w:rPr>
          <w:w w:val="105"/>
          <w:sz w:val="13"/>
        </w:rPr>
        <w:t>Planning</w:t>
      </w:r>
      <w:r>
        <w:rPr>
          <w:spacing w:val="4"/>
          <w:w w:val="105"/>
          <w:sz w:val="13"/>
        </w:rPr>
        <w:t> </w:t>
      </w:r>
      <w:r>
        <w:rPr>
          <w:w w:val="105"/>
          <w:sz w:val="13"/>
        </w:rPr>
        <w:t>Permit</w:t>
      </w:r>
      <w:r>
        <w:rPr>
          <w:spacing w:val="5"/>
          <w:w w:val="105"/>
          <w:sz w:val="13"/>
        </w:rPr>
        <w:t> </w:t>
      </w:r>
      <w:r>
        <w:rPr>
          <w:w w:val="105"/>
          <w:sz w:val="13"/>
        </w:rPr>
        <w:t>Process’,</w:t>
      </w:r>
      <w:r>
        <w:rPr>
          <w:spacing w:val="5"/>
          <w:w w:val="105"/>
          <w:sz w:val="13"/>
        </w:rPr>
        <w:t> </w:t>
      </w:r>
      <w:r>
        <w:rPr>
          <w:i/>
          <w:w w:val="105"/>
          <w:sz w:val="13"/>
        </w:rPr>
        <w:t>Permits</w:t>
      </w:r>
      <w:r>
        <w:rPr>
          <w:i/>
          <w:spacing w:val="5"/>
          <w:w w:val="105"/>
          <w:sz w:val="13"/>
        </w:rPr>
        <w:t> </w:t>
      </w:r>
      <w:r>
        <w:rPr>
          <w:i/>
          <w:w w:val="105"/>
          <w:sz w:val="13"/>
        </w:rPr>
        <w:t>and</w:t>
      </w:r>
      <w:r>
        <w:rPr>
          <w:i/>
          <w:spacing w:val="4"/>
          <w:w w:val="105"/>
          <w:sz w:val="13"/>
        </w:rPr>
        <w:t> </w:t>
      </w:r>
      <w:r>
        <w:rPr>
          <w:i/>
          <w:w w:val="105"/>
          <w:sz w:val="13"/>
        </w:rPr>
        <w:t>Applications</w:t>
      </w:r>
    </w:p>
    <w:p>
      <w:pPr>
        <w:spacing w:before="1"/>
        <w:ind w:left="1221" w:right="0" w:firstLine="0"/>
        <w:jc w:val="left"/>
        <w:rPr>
          <w:sz w:val="13"/>
        </w:rPr>
      </w:pPr>
      <w:r>
        <w:rPr>
          <w:w w:val="105"/>
          <w:sz w:val="13"/>
        </w:rPr>
        <w:t>(Web Page, 20 March 2019) &lt;</w:t>
      </w:r>
      <w:hyperlink r:id="rId111">
        <w:r>
          <w:rPr>
            <w:w w:val="105"/>
            <w:sz w:val="13"/>
          </w:rPr>
          <w:t>https://www.planning.vic.gov.au/permits-and-applications/vicsmart</w:t>
        </w:r>
      </w:hyperlink>
      <w:r>
        <w:rPr>
          <w:w w:val="105"/>
          <w:sz w:val="13"/>
        </w:rPr>
        <w:t>&gt;.</w:t>
      </w:r>
    </w:p>
    <w:p>
      <w:pPr>
        <w:pStyle w:val="ListParagraph"/>
        <w:numPr>
          <w:ilvl w:val="0"/>
          <w:numId w:val="163"/>
        </w:numPr>
        <w:tabs>
          <w:tab w:pos="1221" w:val="left" w:leader="none"/>
          <w:tab w:pos="1222" w:val="left" w:leader="none"/>
        </w:tabs>
        <w:spacing w:line="240" w:lineRule="auto" w:before="2" w:after="0"/>
        <w:ind w:left="1221" w:right="1604" w:hanging="794"/>
        <w:jc w:val="left"/>
        <w:rPr>
          <w:sz w:val="13"/>
        </w:rPr>
      </w:pPr>
      <w:r>
        <w:rPr>
          <w:sz w:val="13"/>
        </w:rPr>
        <w:t>These include considerations of the objectives of any applicable overlay, whether the tree contributes to the significance of the area and the      extent to which the health, appearance or  significance  of  the  tree  will  be  affected  by  the  works.  Department  of  Environment,  Land,  Water and Planning </w:t>
      </w:r>
      <w:r>
        <w:rPr>
          <w:spacing w:val="2"/>
          <w:sz w:val="13"/>
        </w:rPr>
        <w:t>(Vic),  </w:t>
      </w:r>
      <w:r>
        <w:rPr>
          <w:i/>
          <w:sz w:val="13"/>
        </w:rPr>
        <w:t>Victoria  Planning  Provisions  </w:t>
      </w:r>
      <w:r>
        <w:rPr>
          <w:spacing w:val="-5"/>
          <w:sz w:val="13"/>
        </w:rPr>
        <w:t>(11  </w:t>
      </w:r>
      <w:r>
        <w:rPr>
          <w:sz w:val="13"/>
        </w:rPr>
        <w:t>April  2019),  cl  59.06  –2  Decision  guidelines.  Additional  requirements  apply  to  lopping trees</w:t>
      </w:r>
      <w:r>
        <w:rPr>
          <w:spacing w:val="6"/>
          <w:sz w:val="13"/>
        </w:rPr>
        <w:t> </w:t>
      </w:r>
      <w:r>
        <w:rPr>
          <w:sz w:val="13"/>
        </w:rPr>
        <w:t>the</w:t>
      </w:r>
      <w:r>
        <w:rPr>
          <w:spacing w:val="7"/>
          <w:sz w:val="13"/>
        </w:rPr>
        <w:t> </w:t>
      </w:r>
      <w:r>
        <w:rPr>
          <w:sz w:val="13"/>
        </w:rPr>
        <w:t>subject</w:t>
      </w:r>
      <w:r>
        <w:rPr>
          <w:spacing w:val="7"/>
          <w:sz w:val="13"/>
        </w:rPr>
        <w:t> </w:t>
      </w:r>
      <w:r>
        <w:rPr>
          <w:sz w:val="13"/>
        </w:rPr>
        <w:t>of</w:t>
      </w:r>
      <w:r>
        <w:rPr>
          <w:spacing w:val="7"/>
          <w:sz w:val="13"/>
        </w:rPr>
        <w:t> </w:t>
      </w:r>
      <w:r>
        <w:rPr>
          <w:sz w:val="13"/>
        </w:rPr>
        <w:t>a</w:t>
      </w:r>
      <w:r>
        <w:rPr>
          <w:spacing w:val="7"/>
          <w:sz w:val="13"/>
        </w:rPr>
        <w:t> </w:t>
      </w:r>
      <w:r>
        <w:rPr>
          <w:sz w:val="13"/>
        </w:rPr>
        <w:t>Heritage</w:t>
      </w:r>
      <w:r>
        <w:rPr>
          <w:spacing w:val="7"/>
          <w:sz w:val="13"/>
        </w:rPr>
        <w:t> </w:t>
      </w:r>
      <w:r>
        <w:rPr>
          <w:sz w:val="13"/>
        </w:rPr>
        <w:t>Overlay</w:t>
      </w:r>
      <w:r>
        <w:rPr>
          <w:spacing w:val="7"/>
          <w:sz w:val="13"/>
        </w:rPr>
        <w:t> </w:t>
      </w:r>
      <w:r>
        <w:rPr>
          <w:sz w:val="13"/>
        </w:rPr>
        <w:t>under</w:t>
      </w:r>
      <w:r>
        <w:rPr>
          <w:spacing w:val="7"/>
          <w:sz w:val="13"/>
        </w:rPr>
        <w:t> </w:t>
      </w:r>
      <w:r>
        <w:rPr>
          <w:sz w:val="13"/>
        </w:rPr>
        <w:t>clause</w:t>
      </w:r>
      <w:r>
        <w:rPr>
          <w:spacing w:val="7"/>
          <w:sz w:val="13"/>
        </w:rPr>
        <w:t> </w:t>
      </w:r>
      <w:r>
        <w:rPr>
          <w:sz w:val="13"/>
        </w:rPr>
        <w:t>59.07.</w:t>
      </w:r>
    </w:p>
    <w:p>
      <w:pPr>
        <w:pStyle w:val="ListParagraph"/>
        <w:numPr>
          <w:ilvl w:val="0"/>
          <w:numId w:val="163"/>
        </w:numPr>
        <w:tabs>
          <w:tab w:pos="1221" w:val="left" w:leader="none"/>
          <w:tab w:pos="1222" w:val="left" w:leader="none"/>
        </w:tabs>
        <w:spacing w:line="240" w:lineRule="auto" w:before="5" w:after="0"/>
        <w:ind w:left="1221" w:right="2204" w:hanging="794"/>
        <w:jc w:val="left"/>
        <w:rPr>
          <w:sz w:val="13"/>
        </w:rPr>
      </w:pPr>
      <w:r>
        <w:rPr>
          <w:w w:val="105"/>
          <w:sz w:val="13"/>
        </w:rPr>
        <w:t>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59.06 –1 Information requirements.</w:t>
      </w:r>
    </w:p>
    <w:p>
      <w:pPr>
        <w:pStyle w:val="ListParagraph"/>
        <w:numPr>
          <w:ilvl w:val="0"/>
          <w:numId w:val="163"/>
        </w:numPr>
        <w:tabs>
          <w:tab w:pos="1221" w:val="left" w:leader="none"/>
          <w:tab w:pos="1222" w:val="left" w:leader="none"/>
        </w:tabs>
        <w:spacing w:line="240" w:lineRule="auto" w:before="3" w:after="0"/>
        <w:ind w:left="1221" w:right="1724" w:hanging="794"/>
        <w:jc w:val="left"/>
        <w:rPr>
          <w:sz w:val="13"/>
        </w:rPr>
      </w:pPr>
      <w:r>
        <w:rPr>
          <w:w w:val="105"/>
          <w:sz w:val="13"/>
        </w:rPr>
        <w:t>See Department of Environment, Land, Water and Planning </w:t>
      </w:r>
      <w:r>
        <w:rPr>
          <w:spacing w:val="2"/>
          <w:w w:val="105"/>
          <w:sz w:val="13"/>
        </w:rPr>
        <w:t>(Vic), ‘VicSmart </w:t>
      </w:r>
      <w:r>
        <w:rPr>
          <w:w w:val="105"/>
          <w:sz w:val="13"/>
        </w:rPr>
        <w:t>Permits in 10 Days—Applicant’s Guide to Lodging a VicSmart Application’, </w:t>
      </w:r>
      <w:r>
        <w:rPr>
          <w:i/>
          <w:w w:val="105"/>
          <w:sz w:val="13"/>
        </w:rPr>
        <w:t>Permits and Applications </w:t>
      </w:r>
      <w:r>
        <w:rPr>
          <w:w w:val="105"/>
          <w:sz w:val="13"/>
        </w:rPr>
        <w:t>(Web Page, January 2019)</w:t>
      </w:r>
      <w:r>
        <w:rPr>
          <w:spacing w:val="6"/>
          <w:w w:val="105"/>
          <w:sz w:val="13"/>
        </w:rPr>
        <w:t> </w:t>
      </w:r>
      <w:r>
        <w:rPr>
          <w:spacing w:val="2"/>
          <w:w w:val="105"/>
          <w:sz w:val="13"/>
        </w:rPr>
        <w:t>&lt;https://</w:t>
      </w:r>
      <w:hyperlink r:id="rId257">
        <w:r>
          <w:rPr>
            <w:spacing w:val="2"/>
            <w:w w:val="105"/>
            <w:sz w:val="13"/>
          </w:rPr>
          <w:t>www.planning.vic.gov.au/permits-and-applications/vicsmart</w:t>
        </w:r>
      </w:hyperlink>
      <w:r>
        <w:rPr>
          <w:spacing w:val="2"/>
          <w:w w:val="105"/>
          <w:sz w:val="13"/>
        </w:rPr>
        <w:t>&gt;.</w:t>
      </w:r>
    </w:p>
    <w:p>
      <w:pPr>
        <w:spacing w:after="0" w:line="240" w:lineRule="auto"/>
        <w:jc w:val="left"/>
        <w:rPr>
          <w:sz w:val="13"/>
        </w:rPr>
        <w:sectPr>
          <w:type w:val="continuous"/>
          <w:pgSz w:w="11910" w:h="16840"/>
          <w:pgMar w:top="300" w:bottom="280" w:left="0" w:right="0"/>
          <w:cols w:num="2" w:equalWidth="0">
            <w:col w:w="1121" w:space="40"/>
            <w:col w:w="10749"/>
          </w:cols>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777" w:hanging="794"/>
        <w:jc w:val="left"/>
        <w:rPr>
          <w:sz w:val="21"/>
        </w:rPr>
      </w:pPr>
      <w:r>
        <w:rPr>
          <w:w w:val="105"/>
          <w:sz w:val="21"/>
        </w:rPr>
        <w:t>Reviews of VicSmart </w:t>
      </w:r>
      <w:r>
        <w:rPr>
          <w:spacing w:val="-3"/>
          <w:w w:val="105"/>
          <w:sz w:val="21"/>
        </w:rPr>
        <w:t>applications take place </w:t>
      </w:r>
      <w:r>
        <w:rPr>
          <w:w w:val="105"/>
          <w:sz w:val="21"/>
        </w:rPr>
        <w:t>at </w:t>
      </w:r>
      <w:r>
        <w:rPr>
          <w:spacing w:val="-8"/>
          <w:w w:val="105"/>
          <w:sz w:val="21"/>
        </w:rPr>
        <w:t>VCAT. </w:t>
      </w:r>
      <w:r>
        <w:rPr>
          <w:spacing w:val="-4"/>
          <w:w w:val="105"/>
          <w:sz w:val="21"/>
        </w:rPr>
        <w:t>Unlike </w:t>
      </w:r>
      <w:r>
        <w:rPr>
          <w:w w:val="105"/>
          <w:sz w:val="21"/>
        </w:rPr>
        <w:t>the </w:t>
      </w:r>
      <w:r>
        <w:rPr>
          <w:spacing w:val="-3"/>
          <w:w w:val="105"/>
          <w:sz w:val="21"/>
        </w:rPr>
        <w:t>regular </w:t>
      </w:r>
      <w:r>
        <w:rPr>
          <w:w w:val="105"/>
          <w:sz w:val="21"/>
        </w:rPr>
        <w:t>permit process, reviews</w:t>
      </w:r>
      <w:r>
        <w:rPr>
          <w:spacing w:val="-11"/>
          <w:w w:val="105"/>
          <w:sz w:val="21"/>
        </w:rPr>
        <w:t> </w:t>
      </w:r>
      <w:r>
        <w:rPr>
          <w:w w:val="105"/>
          <w:sz w:val="21"/>
        </w:rPr>
        <w:t>of</w:t>
      </w:r>
      <w:r>
        <w:rPr>
          <w:spacing w:val="-11"/>
          <w:w w:val="105"/>
          <w:sz w:val="21"/>
        </w:rPr>
        <w:t> </w:t>
      </w:r>
      <w:r>
        <w:rPr>
          <w:w w:val="105"/>
          <w:sz w:val="21"/>
        </w:rPr>
        <w:t>VicSmart</w:t>
      </w:r>
      <w:r>
        <w:rPr>
          <w:spacing w:val="-11"/>
          <w:w w:val="105"/>
          <w:sz w:val="21"/>
        </w:rPr>
        <w:t> </w:t>
      </w:r>
      <w:r>
        <w:rPr>
          <w:w w:val="105"/>
          <w:sz w:val="21"/>
        </w:rPr>
        <w:t>permit</w:t>
      </w:r>
      <w:r>
        <w:rPr>
          <w:spacing w:val="-11"/>
          <w:w w:val="105"/>
          <w:sz w:val="21"/>
        </w:rPr>
        <w:t> </w:t>
      </w:r>
      <w:r>
        <w:rPr>
          <w:spacing w:val="-3"/>
          <w:w w:val="105"/>
          <w:sz w:val="21"/>
        </w:rPr>
        <w:t>applications</w:t>
      </w:r>
      <w:r>
        <w:rPr>
          <w:spacing w:val="-10"/>
          <w:w w:val="105"/>
          <w:sz w:val="21"/>
        </w:rPr>
        <w:t> </w:t>
      </w:r>
      <w:r>
        <w:rPr>
          <w:w w:val="105"/>
          <w:sz w:val="21"/>
        </w:rPr>
        <w:t>do</w:t>
      </w:r>
      <w:r>
        <w:rPr>
          <w:spacing w:val="-11"/>
          <w:w w:val="105"/>
          <w:sz w:val="21"/>
        </w:rPr>
        <w:t> </w:t>
      </w:r>
      <w:r>
        <w:rPr>
          <w:spacing w:val="-2"/>
          <w:w w:val="105"/>
          <w:sz w:val="21"/>
        </w:rPr>
        <w:t>not</w:t>
      </w:r>
      <w:r>
        <w:rPr>
          <w:spacing w:val="-11"/>
          <w:w w:val="105"/>
          <w:sz w:val="21"/>
        </w:rPr>
        <w:t> </w:t>
      </w:r>
      <w:r>
        <w:rPr>
          <w:w w:val="105"/>
          <w:sz w:val="21"/>
        </w:rPr>
        <w:t>extend</w:t>
      </w:r>
      <w:r>
        <w:rPr>
          <w:spacing w:val="-11"/>
          <w:w w:val="105"/>
          <w:sz w:val="21"/>
        </w:rPr>
        <w:t> </w:t>
      </w:r>
      <w:r>
        <w:rPr>
          <w:spacing w:val="-3"/>
          <w:w w:val="105"/>
          <w:sz w:val="21"/>
        </w:rPr>
        <w:t>to</w:t>
      </w:r>
      <w:r>
        <w:rPr>
          <w:spacing w:val="-10"/>
          <w:w w:val="105"/>
          <w:sz w:val="21"/>
        </w:rPr>
        <w:t> </w:t>
      </w:r>
      <w:r>
        <w:rPr>
          <w:w w:val="105"/>
          <w:sz w:val="21"/>
        </w:rPr>
        <w:t>third-party</w:t>
      </w:r>
      <w:r>
        <w:rPr>
          <w:spacing w:val="-11"/>
          <w:w w:val="105"/>
          <w:sz w:val="21"/>
        </w:rPr>
        <w:t> </w:t>
      </w:r>
      <w:r>
        <w:rPr>
          <w:w w:val="105"/>
          <w:sz w:val="21"/>
        </w:rPr>
        <w:t>objectors.</w:t>
      </w:r>
      <w:r>
        <w:rPr>
          <w:spacing w:val="-11"/>
          <w:w w:val="105"/>
          <w:sz w:val="21"/>
        </w:rPr>
        <w:t> </w:t>
      </w:r>
      <w:r>
        <w:rPr>
          <w:w w:val="105"/>
          <w:sz w:val="21"/>
        </w:rPr>
        <w:t>They</w:t>
      </w:r>
      <w:r>
        <w:rPr>
          <w:spacing w:val="-11"/>
          <w:w w:val="105"/>
          <w:sz w:val="21"/>
        </w:rPr>
        <w:t> </w:t>
      </w:r>
      <w:r>
        <w:rPr>
          <w:spacing w:val="-3"/>
          <w:w w:val="105"/>
          <w:sz w:val="21"/>
        </w:rPr>
        <w:t>are limited to </w:t>
      </w:r>
      <w:r>
        <w:rPr>
          <w:w w:val="105"/>
          <w:sz w:val="21"/>
        </w:rPr>
        <w:t>the </w:t>
      </w:r>
      <w:r>
        <w:rPr>
          <w:spacing w:val="-3"/>
          <w:w w:val="105"/>
          <w:sz w:val="21"/>
        </w:rPr>
        <w:t>applicant </w:t>
      </w:r>
      <w:r>
        <w:rPr>
          <w:w w:val="105"/>
          <w:sz w:val="21"/>
        </w:rPr>
        <w:t>requesting a review of a decision </w:t>
      </w:r>
      <w:r>
        <w:rPr>
          <w:spacing w:val="-3"/>
          <w:w w:val="105"/>
          <w:sz w:val="21"/>
        </w:rPr>
        <w:t>to refuse </w:t>
      </w:r>
      <w:r>
        <w:rPr>
          <w:w w:val="105"/>
          <w:sz w:val="21"/>
        </w:rPr>
        <w:t>a permit </w:t>
      </w:r>
      <w:r>
        <w:rPr>
          <w:spacing w:val="-3"/>
          <w:w w:val="105"/>
          <w:sz w:val="21"/>
        </w:rPr>
        <w:t>application. </w:t>
      </w:r>
      <w:r>
        <w:rPr>
          <w:w w:val="105"/>
          <w:sz w:val="21"/>
        </w:rPr>
        <w:t>These </w:t>
      </w:r>
      <w:r>
        <w:rPr>
          <w:spacing w:val="-3"/>
          <w:w w:val="105"/>
          <w:sz w:val="21"/>
        </w:rPr>
        <w:t>applications are heard </w:t>
      </w:r>
      <w:r>
        <w:rPr>
          <w:w w:val="105"/>
          <w:sz w:val="21"/>
        </w:rPr>
        <w:t>in </w:t>
      </w:r>
      <w:r>
        <w:rPr>
          <w:spacing w:val="-6"/>
          <w:w w:val="105"/>
          <w:sz w:val="21"/>
        </w:rPr>
        <w:t>VCAT’s </w:t>
      </w:r>
      <w:r>
        <w:rPr>
          <w:w w:val="105"/>
          <w:sz w:val="21"/>
        </w:rPr>
        <w:t>Short Cases</w:t>
      </w:r>
      <w:r>
        <w:rPr>
          <w:spacing w:val="6"/>
          <w:w w:val="105"/>
          <w:sz w:val="21"/>
        </w:rPr>
        <w:t> </w:t>
      </w:r>
      <w:r>
        <w:rPr>
          <w:w w:val="105"/>
          <w:sz w:val="21"/>
        </w:rPr>
        <w:t>List.</w:t>
      </w:r>
      <w:r>
        <w:rPr>
          <w:w w:val="105"/>
          <w:position w:val="7"/>
          <w:sz w:val="12"/>
        </w:rPr>
        <w:t>34</w:t>
      </w:r>
    </w:p>
    <w:p>
      <w:pPr>
        <w:pStyle w:val="BodyText"/>
        <w:spacing w:before="5"/>
        <w:rPr>
          <w:sz w:val="20"/>
        </w:rPr>
      </w:pPr>
    </w:p>
    <w:p>
      <w:pPr>
        <w:pStyle w:val="Heading5"/>
        <w:spacing w:before="1"/>
      </w:pPr>
      <w:r>
        <w:rPr>
          <w:w w:val="115"/>
        </w:rPr>
        <w:t>Restrictions on tree works in planning provisions</w:t>
      </w:r>
    </w:p>
    <w:p>
      <w:pPr>
        <w:pStyle w:val="Heading7"/>
        <w:spacing w:before="167"/>
      </w:pPr>
      <w:r>
        <w:rPr>
          <w:w w:val="115"/>
        </w:rPr>
        <w:t>Tree protection overlays</w:t>
      </w:r>
    </w:p>
    <w:p>
      <w:pPr>
        <w:pStyle w:val="ListParagraph"/>
        <w:numPr>
          <w:ilvl w:val="1"/>
          <w:numId w:val="16"/>
        </w:numPr>
        <w:tabs>
          <w:tab w:pos="2380" w:val="left" w:leader="none"/>
          <w:tab w:pos="2381" w:val="left" w:leader="none"/>
        </w:tabs>
        <w:spacing w:line="242" w:lineRule="auto" w:before="143" w:after="0"/>
        <w:ind w:left="2381" w:right="1612" w:hanging="794"/>
        <w:jc w:val="left"/>
        <w:rPr>
          <w:sz w:val="21"/>
        </w:rPr>
      </w:pPr>
      <w:r>
        <w:rPr>
          <w:sz w:val="21"/>
        </w:rPr>
        <w:t>Overlays </w:t>
      </w:r>
      <w:r>
        <w:rPr>
          <w:spacing w:val="-3"/>
          <w:sz w:val="21"/>
        </w:rPr>
        <w:t>are </w:t>
      </w:r>
      <w:r>
        <w:rPr>
          <w:sz w:val="21"/>
        </w:rPr>
        <w:t>one of the </w:t>
      </w:r>
      <w:r>
        <w:rPr>
          <w:spacing w:val="-3"/>
          <w:sz w:val="21"/>
        </w:rPr>
        <w:t>main </w:t>
      </w:r>
      <w:r>
        <w:rPr>
          <w:sz w:val="21"/>
        </w:rPr>
        <w:t>tools in the VPPs </w:t>
      </w:r>
      <w:r>
        <w:rPr>
          <w:spacing w:val="-3"/>
          <w:sz w:val="21"/>
        </w:rPr>
        <w:t>to </w:t>
      </w:r>
      <w:r>
        <w:rPr>
          <w:sz w:val="21"/>
        </w:rPr>
        <w:t>protect vegetation.</w:t>
      </w:r>
      <w:r>
        <w:rPr>
          <w:position w:val="7"/>
          <w:sz w:val="12"/>
        </w:rPr>
        <w:t>35 </w:t>
      </w:r>
      <w:r>
        <w:rPr>
          <w:sz w:val="21"/>
        </w:rPr>
        <w:t>An </w:t>
      </w:r>
      <w:r>
        <w:rPr>
          <w:spacing w:val="-3"/>
          <w:sz w:val="21"/>
        </w:rPr>
        <w:t>overlay </w:t>
      </w:r>
      <w:r>
        <w:rPr>
          <w:sz w:val="21"/>
        </w:rPr>
        <w:t>details practical </w:t>
      </w:r>
      <w:r>
        <w:rPr>
          <w:spacing w:val="-3"/>
          <w:sz w:val="21"/>
        </w:rPr>
        <w:t>constraints that </w:t>
      </w:r>
      <w:r>
        <w:rPr>
          <w:sz w:val="21"/>
        </w:rPr>
        <w:t>apply </w:t>
      </w:r>
      <w:r>
        <w:rPr>
          <w:spacing w:val="-3"/>
          <w:sz w:val="21"/>
        </w:rPr>
        <w:t>to </w:t>
      </w:r>
      <w:r>
        <w:rPr>
          <w:sz w:val="21"/>
        </w:rPr>
        <w:t>a particular </w:t>
      </w:r>
      <w:r>
        <w:rPr>
          <w:spacing w:val="-3"/>
          <w:sz w:val="21"/>
        </w:rPr>
        <w:t>site.</w:t>
      </w:r>
      <w:r>
        <w:rPr>
          <w:spacing w:val="-3"/>
          <w:position w:val="7"/>
          <w:sz w:val="12"/>
        </w:rPr>
        <w:t>36 </w:t>
      </w:r>
      <w:r>
        <w:rPr>
          <w:sz w:val="21"/>
        </w:rPr>
        <w:t>Overlay </w:t>
      </w:r>
      <w:r>
        <w:rPr>
          <w:spacing w:val="-3"/>
          <w:sz w:val="21"/>
        </w:rPr>
        <w:t>requirements could </w:t>
      </w:r>
      <w:r>
        <w:rPr>
          <w:sz w:val="21"/>
        </w:rPr>
        <w:t>restrict or </w:t>
      </w:r>
      <w:r>
        <w:rPr>
          <w:spacing w:val="-3"/>
          <w:sz w:val="21"/>
        </w:rPr>
        <w:t>limit </w:t>
      </w:r>
      <w:r>
        <w:rPr>
          <w:sz w:val="21"/>
        </w:rPr>
        <w:t>the ability of an affected </w:t>
      </w:r>
      <w:r>
        <w:rPr>
          <w:spacing w:val="-3"/>
          <w:sz w:val="21"/>
        </w:rPr>
        <w:t>neighbour to </w:t>
      </w:r>
      <w:r>
        <w:rPr>
          <w:sz w:val="21"/>
        </w:rPr>
        <w:t>obtain a remedy under the new Act. </w:t>
      </w:r>
      <w:r>
        <w:rPr>
          <w:spacing w:val="-3"/>
          <w:sz w:val="21"/>
        </w:rPr>
        <w:t>Standard overlays</w:t>
      </w:r>
      <w:r>
        <w:rPr>
          <w:spacing w:val="8"/>
          <w:sz w:val="21"/>
        </w:rPr>
        <w:t> </w:t>
      </w:r>
      <w:r>
        <w:rPr>
          <w:spacing w:val="-3"/>
          <w:sz w:val="21"/>
        </w:rPr>
        <w:t>for</w:t>
      </w:r>
      <w:r>
        <w:rPr>
          <w:spacing w:val="9"/>
          <w:sz w:val="21"/>
        </w:rPr>
        <w:t> </w:t>
      </w:r>
      <w:r>
        <w:rPr>
          <w:sz w:val="21"/>
        </w:rPr>
        <w:t>Victoria</w:t>
      </w:r>
      <w:r>
        <w:rPr>
          <w:spacing w:val="9"/>
          <w:sz w:val="21"/>
        </w:rPr>
        <w:t> </w:t>
      </w:r>
      <w:r>
        <w:rPr>
          <w:spacing w:val="-3"/>
          <w:sz w:val="21"/>
        </w:rPr>
        <w:t>are</w:t>
      </w:r>
      <w:r>
        <w:rPr>
          <w:spacing w:val="9"/>
          <w:sz w:val="21"/>
        </w:rPr>
        <w:t> </w:t>
      </w:r>
      <w:r>
        <w:rPr>
          <w:spacing w:val="-3"/>
          <w:sz w:val="21"/>
        </w:rPr>
        <w:t>included</w:t>
      </w:r>
      <w:r>
        <w:rPr>
          <w:spacing w:val="9"/>
          <w:sz w:val="21"/>
        </w:rPr>
        <w:t> </w:t>
      </w:r>
      <w:r>
        <w:rPr>
          <w:sz w:val="21"/>
        </w:rPr>
        <w:t>in</w:t>
      </w:r>
      <w:r>
        <w:rPr>
          <w:spacing w:val="9"/>
          <w:sz w:val="21"/>
        </w:rPr>
        <w:t> </w:t>
      </w:r>
      <w:r>
        <w:rPr>
          <w:sz w:val="21"/>
        </w:rPr>
        <w:t>the</w:t>
      </w:r>
      <w:r>
        <w:rPr>
          <w:spacing w:val="9"/>
          <w:sz w:val="21"/>
        </w:rPr>
        <w:t> </w:t>
      </w:r>
      <w:r>
        <w:rPr>
          <w:sz w:val="21"/>
        </w:rPr>
        <w:t>VPPs.</w:t>
      </w:r>
    </w:p>
    <w:p>
      <w:pPr>
        <w:pStyle w:val="ListParagraph"/>
        <w:numPr>
          <w:ilvl w:val="1"/>
          <w:numId w:val="16"/>
        </w:numPr>
        <w:tabs>
          <w:tab w:pos="2381" w:val="left" w:leader="none"/>
          <w:tab w:pos="2382" w:val="left" w:leader="none"/>
        </w:tabs>
        <w:spacing w:line="242" w:lineRule="auto" w:before="124" w:after="0"/>
        <w:ind w:left="2381" w:right="1570" w:hanging="794"/>
        <w:jc w:val="left"/>
        <w:rPr>
          <w:sz w:val="21"/>
        </w:rPr>
      </w:pPr>
      <w:r>
        <w:rPr>
          <w:sz w:val="21"/>
        </w:rPr>
        <w:t>Local </w:t>
      </w:r>
      <w:r>
        <w:rPr>
          <w:spacing w:val="-3"/>
          <w:sz w:val="21"/>
        </w:rPr>
        <w:t>councils are </w:t>
      </w:r>
      <w:r>
        <w:rPr>
          <w:sz w:val="21"/>
        </w:rPr>
        <w:t>able </w:t>
      </w:r>
      <w:r>
        <w:rPr>
          <w:spacing w:val="-3"/>
          <w:sz w:val="21"/>
        </w:rPr>
        <w:t>to </w:t>
      </w:r>
      <w:r>
        <w:rPr>
          <w:sz w:val="21"/>
        </w:rPr>
        <w:t>use  schedules  </w:t>
      </w:r>
      <w:r>
        <w:rPr>
          <w:spacing w:val="-3"/>
          <w:sz w:val="21"/>
        </w:rPr>
        <w:t>to  include  </w:t>
      </w:r>
      <w:r>
        <w:rPr>
          <w:sz w:val="21"/>
        </w:rPr>
        <w:t>‘local  </w:t>
      </w:r>
      <w:r>
        <w:rPr>
          <w:spacing w:val="-3"/>
          <w:sz w:val="21"/>
        </w:rPr>
        <w:t>content  </w:t>
      </w:r>
      <w:r>
        <w:rPr>
          <w:sz w:val="21"/>
        </w:rPr>
        <w:t>in  </w:t>
      </w:r>
      <w:r>
        <w:rPr>
          <w:spacing w:val="-3"/>
          <w:sz w:val="21"/>
        </w:rPr>
        <w:t>planning  schemes’</w:t>
      </w:r>
      <w:r>
        <w:rPr>
          <w:spacing w:val="-3"/>
          <w:position w:val="7"/>
          <w:sz w:val="12"/>
        </w:rPr>
        <w:t>37</w:t>
      </w:r>
      <w:r>
        <w:rPr>
          <w:spacing w:val="-3"/>
          <w:sz w:val="12"/>
        </w:rPr>
        <w:t> </w:t>
      </w:r>
      <w:r>
        <w:rPr>
          <w:sz w:val="21"/>
        </w:rPr>
        <w:t>and </w:t>
      </w:r>
      <w:r>
        <w:rPr>
          <w:spacing w:val="-3"/>
          <w:sz w:val="21"/>
        </w:rPr>
        <w:t>to </w:t>
      </w:r>
      <w:r>
        <w:rPr>
          <w:sz w:val="21"/>
        </w:rPr>
        <w:t>describe when an </w:t>
      </w:r>
      <w:r>
        <w:rPr>
          <w:spacing w:val="-3"/>
          <w:sz w:val="21"/>
        </w:rPr>
        <w:t>overlay will </w:t>
      </w:r>
      <w:r>
        <w:rPr>
          <w:sz w:val="21"/>
        </w:rPr>
        <w:t>apply </w:t>
      </w:r>
      <w:r>
        <w:rPr>
          <w:spacing w:val="-3"/>
          <w:sz w:val="21"/>
        </w:rPr>
        <w:t>to </w:t>
      </w:r>
      <w:r>
        <w:rPr>
          <w:sz w:val="21"/>
        </w:rPr>
        <w:t>particular </w:t>
      </w:r>
      <w:r>
        <w:rPr>
          <w:spacing w:val="-3"/>
          <w:sz w:val="21"/>
        </w:rPr>
        <w:t>land through </w:t>
      </w:r>
      <w:r>
        <w:rPr>
          <w:sz w:val="21"/>
        </w:rPr>
        <w:t>the </w:t>
      </w:r>
      <w:r>
        <w:rPr>
          <w:spacing w:val="-3"/>
          <w:sz w:val="21"/>
        </w:rPr>
        <w:t>planning </w:t>
      </w:r>
      <w:r>
        <w:rPr>
          <w:sz w:val="21"/>
        </w:rPr>
        <w:t>scheme </w:t>
      </w:r>
      <w:r>
        <w:rPr>
          <w:spacing w:val="-3"/>
          <w:sz w:val="21"/>
        </w:rPr>
        <w:t>map. </w:t>
      </w:r>
      <w:r>
        <w:rPr>
          <w:sz w:val="21"/>
        </w:rPr>
        <w:t>For </w:t>
      </w:r>
      <w:r>
        <w:rPr>
          <w:spacing w:val="-3"/>
          <w:sz w:val="21"/>
        </w:rPr>
        <w:t>example, councils </w:t>
      </w:r>
      <w:r>
        <w:rPr>
          <w:sz w:val="21"/>
        </w:rPr>
        <w:t>can use schedules </w:t>
      </w:r>
      <w:r>
        <w:rPr>
          <w:spacing w:val="-3"/>
          <w:sz w:val="21"/>
        </w:rPr>
        <w:t>to  remove  </w:t>
      </w:r>
      <w:r>
        <w:rPr>
          <w:sz w:val="21"/>
        </w:rPr>
        <w:t>a permit </w:t>
      </w:r>
      <w:r>
        <w:rPr>
          <w:spacing w:val="-3"/>
          <w:sz w:val="21"/>
        </w:rPr>
        <w:t>requirement</w:t>
      </w:r>
      <w:r>
        <w:rPr>
          <w:spacing w:val="41"/>
          <w:sz w:val="21"/>
        </w:rPr>
        <w:t> </w:t>
      </w:r>
      <w:r>
        <w:rPr>
          <w:sz w:val="21"/>
        </w:rPr>
        <w:t>as long as this </w:t>
      </w:r>
      <w:r>
        <w:rPr>
          <w:spacing w:val="-3"/>
          <w:sz w:val="21"/>
        </w:rPr>
        <w:t>accords </w:t>
      </w:r>
      <w:r>
        <w:rPr>
          <w:sz w:val="21"/>
        </w:rPr>
        <w:t>with the broader </w:t>
      </w:r>
      <w:r>
        <w:rPr>
          <w:spacing w:val="-3"/>
          <w:sz w:val="21"/>
        </w:rPr>
        <w:t>planning </w:t>
      </w:r>
      <w:r>
        <w:rPr>
          <w:sz w:val="21"/>
        </w:rPr>
        <w:t>objectives of the</w:t>
      </w:r>
      <w:r>
        <w:rPr>
          <w:spacing w:val="11"/>
          <w:sz w:val="21"/>
        </w:rPr>
        <w:t> </w:t>
      </w:r>
      <w:r>
        <w:rPr>
          <w:spacing w:val="-3"/>
          <w:sz w:val="21"/>
        </w:rPr>
        <w:t>overlay.</w:t>
      </w:r>
      <w:r>
        <w:rPr>
          <w:spacing w:val="-3"/>
          <w:position w:val="7"/>
          <w:sz w:val="12"/>
        </w:rPr>
        <w:t>38</w:t>
      </w:r>
    </w:p>
    <w:p>
      <w:pPr>
        <w:pStyle w:val="ListParagraph"/>
        <w:numPr>
          <w:ilvl w:val="1"/>
          <w:numId w:val="16"/>
        </w:numPr>
        <w:tabs>
          <w:tab w:pos="2380" w:val="left" w:leader="none"/>
          <w:tab w:pos="2382" w:val="left" w:leader="none"/>
        </w:tabs>
        <w:spacing w:line="242" w:lineRule="auto" w:before="125" w:after="0"/>
        <w:ind w:left="2381" w:right="1913" w:hanging="794"/>
        <w:jc w:val="left"/>
        <w:rPr>
          <w:sz w:val="21"/>
        </w:rPr>
      </w:pPr>
      <w:r>
        <w:rPr>
          <w:w w:val="105"/>
          <w:sz w:val="21"/>
        </w:rPr>
        <w:t>The</w:t>
      </w:r>
      <w:r>
        <w:rPr>
          <w:spacing w:val="-11"/>
          <w:w w:val="105"/>
          <w:sz w:val="21"/>
        </w:rPr>
        <w:t> </w:t>
      </w:r>
      <w:r>
        <w:rPr>
          <w:spacing w:val="-3"/>
          <w:w w:val="105"/>
          <w:sz w:val="21"/>
        </w:rPr>
        <w:t>Commission</w:t>
      </w:r>
      <w:r>
        <w:rPr>
          <w:spacing w:val="-11"/>
          <w:w w:val="105"/>
          <w:sz w:val="21"/>
        </w:rPr>
        <w:t> </w:t>
      </w:r>
      <w:r>
        <w:rPr>
          <w:spacing w:val="-2"/>
          <w:w w:val="105"/>
          <w:sz w:val="21"/>
        </w:rPr>
        <w:t>has</w:t>
      </w:r>
      <w:r>
        <w:rPr>
          <w:spacing w:val="-11"/>
          <w:w w:val="105"/>
          <w:sz w:val="21"/>
        </w:rPr>
        <w:t> </w:t>
      </w:r>
      <w:r>
        <w:rPr>
          <w:w w:val="105"/>
          <w:sz w:val="21"/>
        </w:rPr>
        <w:t>identified</w:t>
      </w:r>
      <w:r>
        <w:rPr>
          <w:spacing w:val="-10"/>
          <w:w w:val="105"/>
          <w:sz w:val="21"/>
        </w:rPr>
        <w:t> </w:t>
      </w:r>
      <w:r>
        <w:rPr>
          <w:spacing w:val="-3"/>
          <w:w w:val="105"/>
          <w:sz w:val="21"/>
        </w:rPr>
        <w:t>four</w:t>
      </w:r>
      <w:r>
        <w:rPr>
          <w:spacing w:val="-11"/>
          <w:w w:val="105"/>
          <w:sz w:val="21"/>
        </w:rPr>
        <w:t> </w:t>
      </w:r>
      <w:r>
        <w:rPr>
          <w:spacing w:val="-3"/>
          <w:w w:val="105"/>
          <w:sz w:val="21"/>
        </w:rPr>
        <w:t>main</w:t>
      </w:r>
      <w:r>
        <w:rPr>
          <w:spacing w:val="-11"/>
          <w:w w:val="105"/>
          <w:sz w:val="21"/>
        </w:rPr>
        <w:t> </w:t>
      </w:r>
      <w:r>
        <w:rPr>
          <w:w w:val="105"/>
          <w:sz w:val="21"/>
        </w:rPr>
        <w:t>overlays</w:t>
      </w:r>
      <w:r>
        <w:rPr>
          <w:w w:val="105"/>
          <w:position w:val="7"/>
          <w:sz w:val="12"/>
        </w:rPr>
        <w:t>39</w:t>
      </w:r>
      <w:r>
        <w:rPr>
          <w:spacing w:val="12"/>
          <w:w w:val="105"/>
          <w:position w:val="7"/>
          <w:sz w:val="12"/>
        </w:rPr>
        <w:t> </w:t>
      </w:r>
      <w:r>
        <w:rPr>
          <w:spacing w:val="-3"/>
          <w:w w:val="105"/>
          <w:sz w:val="21"/>
        </w:rPr>
        <w:t>that</w:t>
      </w:r>
      <w:r>
        <w:rPr>
          <w:spacing w:val="-11"/>
          <w:w w:val="105"/>
          <w:sz w:val="21"/>
        </w:rPr>
        <w:t> </w:t>
      </w:r>
      <w:r>
        <w:rPr>
          <w:w w:val="105"/>
          <w:sz w:val="21"/>
        </w:rPr>
        <w:t>operate</w:t>
      </w:r>
      <w:r>
        <w:rPr>
          <w:spacing w:val="-11"/>
          <w:w w:val="105"/>
          <w:sz w:val="21"/>
        </w:rPr>
        <w:t> </w:t>
      </w:r>
      <w:r>
        <w:rPr>
          <w:spacing w:val="-3"/>
          <w:w w:val="105"/>
          <w:sz w:val="21"/>
        </w:rPr>
        <w:t>to</w:t>
      </w:r>
      <w:r>
        <w:rPr>
          <w:spacing w:val="-10"/>
          <w:w w:val="105"/>
          <w:sz w:val="21"/>
        </w:rPr>
        <w:t> </w:t>
      </w:r>
      <w:r>
        <w:rPr>
          <w:w w:val="105"/>
          <w:sz w:val="21"/>
        </w:rPr>
        <w:t>protect</w:t>
      </w:r>
      <w:r>
        <w:rPr>
          <w:spacing w:val="-11"/>
          <w:w w:val="105"/>
          <w:sz w:val="21"/>
        </w:rPr>
        <w:t> </w:t>
      </w:r>
      <w:r>
        <w:rPr>
          <w:w w:val="105"/>
          <w:sz w:val="21"/>
        </w:rPr>
        <w:t>or</w:t>
      </w:r>
      <w:r>
        <w:rPr>
          <w:spacing w:val="-11"/>
          <w:w w:val="105"/>
          <w:sz w:val="21"/>
        </w:rPr>
        <w:t> </w:t>
      </w:r>
      <w:r>
        <w:rPr>
          <w:w w:val="105"/>
          <w:sz w:val="21"/>
        </w:rPr>
        <w:t>preserve trees, other vegetation and </w:t>
      </w:r>
      <w:r>
        <w:rPr>
          <w:spacing w:val="-3"/>
          <w:w w:val="105"/>
          <w:sz w:val="21"/>
        </w:rPr>
        <w:t>significant </w:t>
      </w:r>
      <w:r>
        <w:rPr>
          <w:w w:val="105"/>
          <w:sz w:val="21"/>
        </w:rPr>
        <w:t>landscapes on </w:t>
      </w:r>
      <w:r>
        <w:rPr>
          <w:spacing w:val="-3"/>
          <w:w w:val="105"/>
          <w:sz w:val="21"/>
        </w:rPr>
        <w:t>private land within</w:t>
      </w:r>
      <w:r>
        <w:rPr>
          <w:spacing w:val="-16"/>
          <w:w w:val="105"/>
          <w:sz w:val="21"/>
        </w:rPr>
        <w:t> </w:t>
      </w:r>
      <w:r>
        <w:rPr>
          <w:w w:val="105"/>
          <w:sz w:val="21"/>
        </w:rPr>
        <w:t>Victoria:</w:t>
      </w:r>
    </w:p>
    <w:p>
      <w:pPr>
        <w:pStyle w:val="ListParagraph"/>
        <w:numPr>
          <w:ilvl w:val="2"/>
          <w:numId w:val="16"/>
        </w:numPr>
        <w:tabs>
          <w:tab w:pos="2721" w:val="left" w:leader="none"/>
          <w:tab w:pos="2722" w:val="left" w:leader="none"/>
        </w:tabs>
        <w:spacing w:line="242" w:lineRule="auto" w:before="122" w:after="0"/>
        <w:ind w:left="2721" w:right="1796" w:hanging="340"/>
        <w:jc w:val="left"/>
        <w:rPr>
          <w:sz w:val="21"/>
        </w:rPr>
      </w:pPr>
      <w:r>
        <w:rPr>
          <w:w w:val="105"/>
          <w:sz w:val="21"/>
        </w:rPr>
        <w:t>The </w:t>
      </w:r>
      <w:r>
        <w:rPr>
          <w:b/>
          <w:w w:val="105"/>
          <w:sz w:val="21"/>
        </w:rPr>
        <w:t>Significant Landscape Overlay (SLO) </w:t>
      </w:r>
      <w:r>
        <w:rPr>
          <w:spacing w:val="-3"/>
          <w:w w:val="105"/>
          <w:sz w:val="21"/>
        </w:rPr>
        <w:t>aims to </w:t>
      </w:r>
      <w:r>
        <w:rPr>
          <w:w w:val="105"/>
          <w:sz w:val="21"/>
        </w:rPr>
        <w:t>conserve and </w:t>
      </w:r>
      <w:r>
        <w:rPr>
          <w:spacing w:val="-3"/>
          <w:w w:val="105"/>
          <w:sz w:val="21"/>
        </w:rPr>
        <w:t>enhance </w:t>
      </w:r>
      <w:r>
        <w:rPr>
          <w:w w:val="105"/>
          <w:sz w:val="21"/>
        </w:rPr>
        <w:t>the </w:t>
      </w:r>
      <w:r>
        <w:rPr>
          <w:spacing w:val="-3"/>
          <w:w w:val="105"/>
          <w:sz w:val="21"/>
        </w:rPr>
        <w:t>character</w:t>
      </w:r>
      <w:r>
        <w:rPr>
          <w:spacing w:val="-14"/>
          <w:w w:val="105"/>
          <w:sz w:val="21"/>
        </w:rPr>
        <w:t> </w:t>
      </w:r>
      <w:r>
        <w:rPr>
          <w:w w:val="105"/>
          <w:sz w:val="21"/>
        </w:rPr>
        <w:t>of</w:t>
      </w:r>
      <w:r>
        <w:rPr>
          <w:spacing w:val="-13"/>
          <w:w w:val="105"/>
          <w:sz w:val="21"/>
        </w:rPr>
        <w:t> </w:t>
      </w:r>
      <w:r>
        <w:rPr>
          <w:spacing w:val="-3"/>
          <w:w w:val="105"/>
          <w:sz w:val="21"/>
        </w:rPr>
        <w:t>significant</w:t>
      </w:r>
      <w:r>
        <w:rPr>
          <w:spacing w:val="-13"/>
          <w:w w:val="105"/>
          <w:sz w:val="21"/>
        </w:rPr>
        <w:t> </w:t>
      </w:r>
      <w:r>
        <w:rPr>
          <w:w w:val="105"/>
          <w:sz w:val="21"/>
        </w:rPr>
        <w:t>landscapes.</w:t>
      </w:r>
      <w:r>
        <w:rPr>
          <w:spacing w:val="-13"/>
          <w:w w:val="105"/>
          <w:sz w:val="21"/>
        </w:rPr>
        <w:t> </w:t>
      </w:r>
      <w:r>
        <w:rPr>
          <w:w w:val="105"/>
          <w:sz w:val="21"/>
        </w:rPr>
        <w:t>It</w:t>
      </w:r>
      <w:r>
        <w:rPr>
          <w:spacing w:val="-13"/>
          <w:w w:val="105"/>
          <w:sz w:val="21"/>
        </w:rPr>
        <w:t> </w:t>
      </w:r>
      <w:r>
        <w:rPr>
          <w:spacing w:val="-3"/>
          <w:w w:val="105"/>
          <w:sz w:val="21"/>
        </w:rPr>
        <w:t>mainly</w:t>
      </w:r>
      <w:r>
        <w:rPr>
          <w:spacing w:val="-13"/>
          <w:w w:val="105"/>
          <w:sz w:val="21"/>
        </w:rPr>
        <w:t> </w:t>
      </w:r>
      <w:r>
        <w:rPr>
          <w:w w:val="105"/>
          <w:sz w:val="21"/>
        </w:rPr>
        <w:t>applies</w:t>
      </w:r>
      <w:r>
        <w:rPr>
          <w:spacing w:val="-13"/>
          <w:w w:val="105"/>
          <w:sz w:val="21"/>
        </w:rPr>
        <w:t> </w:t>
      </w:r>
      <w:r>
        <w:rPr>
          <w:w w:val="105"/>
          <w:sz w:val="21"/>
        </w:rPr>
        <w:t>when</w:t>
      </w:r>
      <w:r>
        <w:rPr>
          <w:spacing w:val="-13"/>
          <w:w w:val="105"/>
          <w:sz w:val="21"/>
        </w:rPr>
        <w:t> </w:t>
      </w:r>
      <w:r>
        <w:rPr>
          <w:w w:val="105"/>
          <w:sz w:val="21"/>
        </w:rPr>
        <w:t>vegetation</w:t>
      </w:r>
      <w:r>
        <w:rPr>
          <w:spacing w:val="-13"/>
          <w:w w:val="105"/>
          <w:sz w:val="21"/>
        </w:rPr>
        <w:t> </w:t>
      </w:r>
      <w:r>
        <w:rPr>
          <w:w w:val="105"/>
          <w:sz w:val="21"/>
        </w:rPr>
        <w:t>is</w:t>
      </w:r>
      <w:r>
        <w:rPr>
          <w:spacing w:val="-13"/>
          <w:w w:val="105"/>
          <w:sz w:val="21"/>
        </w:rPr>
        <w:t> </w:t>
      </w:r>
      <w:r>
        <w:rPr>
          <w:w w:val="105"/>
          <w:sz w:val="21"/>
        </w:rPr>
        <w:t>aesthetically or </w:t>
      </w:r>
      <w:r>
        <w:rPr>
          <w:spacing w:val="-3"/>
          <w:w w:val="105"/>
          <w:sz w:val="21"/>
        </w:rPr>
        <w:t>visually </w:t>
      </w:r>
      <w:r>
        <w:rPr>
          <w:w w:val="105"/>
          <w:sz w:val="21"/>
        </w:rPr>
        <w:t>important in the broader landscape and vegetation is identified as </w:t>
      </w:r>
      <w:r>
        <w:rPr>
          <w:spacing w:val="-6"/>
          <w:w w:val="105"/>
          <w:sz w:val="21"/>
        </w:rPr>
        <w:t>‘an </w:t>
      </w:r>
      <w:r>
        <w:rPr>
          <w:w w:val="105"/>
          <w:sz w:val="21"/>
        </w:rPr>
        <w:t>important </w:t>
      </w:r>
      <w:r>
        <w:rPr>
          <w:spacing w:val="-3"/>
          <w:w w:val="105"/>
          <w:sz w:val="21"/>
        </w:rPr>
        <w:t>contributor to </w:t>
      </w:r>
      <w:r>
        <w:rPr>
          <w:w w:val="105"/>
          <w:sz w:val="21"/>
        </w:rPr>
        <w:t>the </w:t>
      </w:r>
      <w:r>
        <w:rPr>
          <w:spacing w:val="-3"/>
          <w:w w:val="105"/>
          <w:sz w:val="21"/>
        </w:rPr>
        <w:t>character </w:t>
      </w:r>
      <w:r>
        <w:rPr>
          <w:w w:val="105"/>
          <w:sz w:val="21"/>
        </w:rPr>
        <w:t>of an</w:t>
      </w:r>
      <w:r>
        <w:rPr>
          <w:spacing w:val="39"/>
          <w:w w:val="105"/>
          <w:sz w:val="21"/>
        </w:rPr>
        <w:t> </w:t>
      </w:r>
      <w:r>
        <w:rPr>
          <w:spacing w:val="-4"/>
          <w:w w:val="105"/>
          <w:sz w:val="21"/>
        </w:rPr>
        <w:t>area’.</w:t>
      </w:r>
      <w:r>
        <w:rPr>
          <w:spacing w:val="-4"/>
          <w:w w:val="105"/>
          <w:position w:val="7"/>
          <w:sz w:val="12"/>
        </w:rPr>
        <w:t>40</w:t>
      </w:r>
    </w:p>
    <w:p>
      <w:pPr>
        <w:pStyle w:val="ListParagraph"/>
        <w:numPr>
          <w:ilvl w:val="2"/>
          <w:numId w:val="16"/>
        </w:numPr>
        <w:tabs>
          <w:tab w:pos="2721" w:val="left" w:leader="none"/>
          <w:tab w:pos="2722" w:val="left" w:leader="none"/>
        </w:tabs>
        <w:spacing w:line="242" w:lineRule="auto" w:before="89" w:after="0"/>
        <w:ind w:left="2721" w:right="1524" w:hanging="340"/>
        <w:jc w:val="left"/>
        <w:rPr>
          <w:sz w:val="21"/>
        </w:rPr>
      </w:pPr>
      <w:r>
        <w:rPr>
          <w:w w:val="105"/>
          <w:sz w:val="21"/>
        </w:rPr>
        <w:t>The </w:t>
      </w:r>
      <w:r>
        <w:rPr>
          <w:b/>
          <w:w w:val="105"/>
          <w:sz w:val="21"/>
        </w:rPr>
        <w:t>Environmental Significance Overlay (ESO) </w:t>
      </w:r>
      <w:r>
        <w:rPr>
          <w:w w:val="105"/>
          <w:sz w:val="21"/>
        </w:rPr>
        <w:t>is applied if vegetation protection is </w:t>
      </w:r>
      <w:r>
        <w:rPr>
          <w:spacing w:val="-3"/>
          <w:w w:val="105"/>
          <w:sz w:val="21"/>
        </w:rPr>
        <w:t>‘part </w:t>
      </w:r>
      <w:r>
        <w:rPr>
          <w:w w:val="105"/>
          <w:sz w:val="21"/>
        </w:rPr>
        <w:t>of the wider objective </w:t>
      </w:r>
      <w:r>
        <w:rPr>
          <w:spacing w:val="-3"/>
          <w:w w:val="105"/>
          <w:sz w:val="21"/>
        </w:rPr>
        <w:t>to </w:t>
      </w:r>
      <w:r>
        <w:rPr>
          <w:w w:val="105"/>
          <w:sz w:val="21"/>
        </w:rPr>
        <w:t>protect the </w:t>
      </w:r>
      <w:r>
        <w:rPr>
          <w:spacing w:val="-3"/>
          <w:w w:val="105"/>
          <w:sz w:val="21"/>
        </w:rPr>
        <w:t>environmental significance </w:t>
      </w:r>
      <w:r>
        <w:rPr>
          <w:w w:val="105"/>
          <w:sz w:val="21"/>
        </w:rPr>
        <w:t>of the</w:t>
      </w:r>
      <w:r>
        <w:rPr>
          <w:spacing w:val="-5"/>
          <w:w w:val="105"/>
          <w:sz w:val="21"/>
        </w:rPr>
        <w:t> </w:t>
      </w:r>
      <w:r>
        <w:rPr>
          <w:spacing w:val="-6"/>
          <w:w w:val="105"/>
          <w:sz w:val="21"/>
        </w:rPr>
        <w:t>area’.</w:t>
      </w:r>
      <w:r>
        <w:rPr>
          <w:spacing w:val="-6"/>
          <w:w w:val="105"/>
          <w:position w:val="7"/>
          <w:sz w:val="12"/>
        </w:rPr>
        <w:t>41</w:t>
      </w:r>
    </w:p>
    <w:p>
      <w:pPr>
        <w:pStyle w:val="ListParagraph"/>
        <w:numPr>
          <w:ilvl w:val="2"/>
          <w:numId w:val="16"/>
        </w:numPr>
        <w:tabs>
          <w:tab w:pos="2721" w:val="left" w:leader="none"/>
          <w:tab w:pos="2722" w:val="left" w:leader="none"/>
        </w:tabs>
        <w:spacing w:line="242" w:lineRule="auto" w:before="88" w:after="0"/>
        <w:ind w:left="2721" w:right="1795" w:hanging="340"/>
        <w:jc w:val="left"/>
        <w:rPr>
          <w:sz w:val="21"/>
        </w:rPr>
      </w:pPr>
      <w:r>
        <w:rPr>
          <w:w w:val="105"/>
          <w:sz w:val="21"/>
        </w:rPr>
        <w:t>The </w:t>
      </w:r>
      <w:r>
        <w:rPr>
          <w:b/>
          <w:w w:val="105"/>
          <w:sz w:val="21"/>
        </w:rPr>
        <w:t>Vegetation Protection Overlay </w:t>
      </w:r>
      <w:r>
        <w:rPr>
          <w:b/>
          <w:spacing w:val="2"/>
          <w:w w:val="105"/>
          <w:sz w:val="21"/>
        </w:rPr>
        <w:t>(VPO) </w:t>
      </w:r>
      <w:r>
        <w:rPr>
          <w:w w:val="105"/>
          <w:sz w:val="21"/>
        </w:rPr>
        <w:t>focuses on  the  protection  of </w:t>
      </w:r>
      <w:r>
        <w:rPr>
          <w:spacing w:val="-3"/>
          <w:w w:val="105"/>
          <w:sz w:val="21"/>
        </w:rPr>
        <w:t>significant</w:t>
      </w:r>
      <w:r>
        <w:rPr>
          <w:spacing w:val="-6"/>
          <w:w w:val="105"/>
          <w:sz w:val="21"/>
        </w:rPr>
        <w:t> </w:t>
      </w:r>
      <w:r>
        <w:rPr>
          <w:w w:val="105"/>
          <w:sz w:val="21"/>
        </w:rPr>
        <w:t>vegetation,</w:t>
      </w:r>
      <w:r>
        <w:rPr>
          <w:spacing w:val="-5"/>
          <w:w w:val="105"/>
          <w:sz w:val="21"/>
        </w:rPr>
        <w:t> </w:t>
      </w:r>
      <w:r>
        <w:rPr>
          <w:spacing w:val="-3"/>
          <w:w w:val="105"/>
          <w:sz w:val="21"/>
        </w:rPr>
        <w:t>including</w:t>
      </w:r>
      <w:r>
        <w:rPr>
          <w:spacing w:val="-6"/>
          <w:w w:val="105"/>
          <w:sz w:val="21"/>
        </w:rPr>
        <w:t> </w:t>
      </w:r>
      <w:r>
        <w:rPr>
          <w:spacing w:val="-3"/>
          <w:w w:val="105"/>
          <w:sz w:val="21"/>
        </w:rPr>
        <w:t>native</w:t>
      </w:r>
      <w:r>
        <w:rPr>
          <w:spacing w:val="-5"/>
          <w:w w:val="105"/>
          <w:sz w:val="21"/>
        </w:rPr>
        <w:t> </w:t>
      </w:r>
      <w:r>
        <w:rPr>
          <w:w w:val="105"/>
          <w:sz w:val="21"/>
        </w:rPr>
        <w:t>and</w:t>
      </w:r>
      <w:r>
        <w:rPr>
          <w:spacing w:val="-6"/>
          <w:w w:val="105"/>
          <w:sz w:val="21"/>
        </w:rPr>
        <w:t> </w:t>
      </w:r>
      <w:r>
        <w:rPr>
          <w:spacing w:val="-3"/>
          <w:w w:val="105"/>
          <w:sz w:val="21"/>
        </w:rPr>
        <w:t>introduced</w:t>
      </w:r>
      <w:r>
        <w:rPr>
          <w:spacing w:val="-5"/>
          <w:w w:val="105"/>
          <w:sz w:val="21"/>
        </w:rPr>
        <w:t> </w:t>
      </w:r>
      <w:r>
        <w:rPr>
          <w:w w:val="105"/>
          <w:sz w:val="21"/>
        </w:rPr>
        <w:t>vegetation</w:t>
      </w:r>
      <w:r>
        <w:rPr>
          <w:spacing w:val="-6"/>
          <w:w w:val="105"/>
          <w:sz w:val="21"/>
        </w:rPr>
        <w:t> </w:t>
      </w:r>
      <w:r>
        <w:rPr>
          <w:w w:val="105"/>
          <w:sz w:val="21"/>
        </w:rPr>
        <w:t>in</w:t>
      </w:r>
      <w:r>
        <w:rPr>
          <w:spacing w:val="-5"/>
          <w:w w:val="105"/>
          <w:sz w:val="21"/>
        </w:rPr>
        <w:t> </w:t>
      </w:r>
      <w:r>
        <w:rPr>
          <w:w w:val="105"/>
          <w:sz w:val="21"/>
        </w:rPr>
        <w:t>urban</w:t>
      </w:r>
      <w:r>
        <w:rPr>
          <w:spacing w:val="-6"/>
          <w:w w:val="105"/>
          <w:sz w:val="21"/>
        </w:rPr>
        <w:t> </w:t>
      </w:r>
      <w:r>
        <w:rPr>
          <w:w w:val="105"/>
          <w:sz w:val="21"/>
        </w:rPr>
        <w:t>and</w:t>
      </w:r>
      <w:r>
        <w:rPr>
          <w:spacing w:val="-5"/>
          <w:w w:val="105"/>
          <w:sz w:val="21"/>
        </w:rPr>
        <w:t> </w:t>
      </w:r>
      <w:r>
        <w:rPr>
          <w:spacing w:val="-3"/>
          <w:w w:val="105"/>
          <w:sz w:val="21"/>
        </w:rPr>
        <w:t>rural environments.</w:t>
      </w:r>
      <w:r>
        <w:rPr>
          <w:spacing w:val="-3"/>
          <w:w w:val="105"/>
          <w:position w:val="7"/>
          <w:sz w:val="12"/>
        </w:rPr>
        <w:t>42</w:t>
      </w:r>
    </w:p>
    <w:p>
      <w:pPr>
        <w:pStyle w:val="ListParagraph"/>
        <w:numPr>
          <w:ilvl w:val="2"/>
          <w:numId w:val="16"/>
        </w:numPr>
        <w:tabs>
          <w:tab w:pos="2721" w:val="left" w:leader="none"/>
          <w:tab w:pos="2722" w:val="left" w:leader="none"/>
        </w:tabs>
        <w:spacing w:line="242" w:lineRule="auto" w:before="88" w:after="0"/>
        <w:ind w:left="2721" w:right="1757" w:hanging="340"/>
        <w:jc w:val="left"/>
        <w:rPr>
          <w:sz w:val="21"/>
        </w:rPr>
      </w:pPr>
      <w:r>
        <w:rPr>
          <w:w w:val="105"/>
          <w:sz w:val="21"/>
        </w:rPr>
        <w:t>The </w:t>
      </w:r>
      <w:r>
        <w:rPr>
          <w:b/>
          <w:w w:val="105"/>
          <w:sz w:val="21"/>
        </w:rPr>
        <w:t>Heritage </w:t>
      </w:r>
      <w:r>
        <w:rPr>
          <w:b/>
          <w:spacing w:val="-3"/>
          <w:w w:val="105"/>
          <w:sz w:val="21"/>
        </w:rPr>
        <w:t>Overlay</w:t>
      </w:r>
      <w:r>
        <w:rPr>
          <w:spacing w:val="-3"/>
          <w:w w:val="105"/>
          <w:position w:val="7"/>
          <w:sz w:val="12"/>
        </w:rPr>
        <w:t>43 </w:t>
      </w:r>
      <w:r>
        <w:rPr>
          <w:spacing w:val="-3"/>
          <w:w w:val="105"/>
          <w:sz w:val="21"/>
        </w:rPr>
        <w:t>aims to </w:t>
      </w:r>
      <w:r>
        <w:rPr>
          <w:w w:val="105"/>
          <w:sz w:val="21"/>
        </w:rPr>
        <w:t>conserve and </w:t>
      </w:r>
      <w:r>
        <w:rPr>
          <w:spacing w:val="-3"/>
          <w:w w:val="105"/>
          <w:sz w:val="21"/>
        </w:rPr>
        <w:t>enhance </w:t>
      </w:r>
      <w:r>
        <w:rPr>
          <w:w w:val="105"/>
          <w:sz w:val="21"/>
        </w:rPr>
        <w:t>heritage </w:t>
      </w:r>
      <w:r>
        <w:rPr>
          <w:spacing w:val="-2"/>
          <w:w w:val="105"/>
          <w:sz w:val="21"/>
        </w:rPr>
        <w:t>places </w:t>
      </w:r>
      <w:r>
        <w:rPr>
          <w:w w:val="105"/>
          <w:sz w:val="21"/>
        </w:rPr>
        <w:t>of </w:t>
      </w:r>
      <w:r>
        <w:rPr>
          <w:spacing w:val="-3"/>
          <w:w w:val="105"/>
          <w:sz w:val="21"/>
        </w:rPr>
        <w:t>natural </w:t>
      </w:r>
      <w:r>
        <w:rPr>
          <w:w w:val="105"/>
          <w:sz w:val="21"/>
        </w:rPr>
        <w:t>or </w:t>
      </w:r>
      <w:r>
        <w:rPr>
          <w:spacing w:val="-3"/>
          <w:w w:val="105"/>
          <w:sz w:val="21"/>
        </w:rPr>
        <w:t>cultural significance </w:t>
      </w:r>
      <w:r>
        <w:rPr>
          <w:w w:val="105"/>
          <w:sz w:val="21"/>
        </w:rPr>
        <w:t>and </w:t>
      </w:r>
      <w:r>
        <w:rPr>
          <w:spacing w:val="-3"/>
          <w:w w:val="105"/>
          <w:sz w:val="21"/>
        </w:rPr>
        <w:t>to ensure that </w:t>
      </w:r>
      <w:r>
        <w:rPr>
          <w:w w:val="105"/>
          <w:sz w:val="21"/>
        </w:rPr>
        <w:t>development does </w:t>
      </w:r>
      <w:r>
        <w:rPr>
          <w:spacing w:val="-2"/>
          <w:w w:val="105"/>
          <w:sz w:val="21"/>
        </w:rPr>
        <w:t>not </w:t>
      </w:r>
      <w:r>
        <w:rPr>
          <w:w w:val="105"/>
          <w:sz w:val="21"/>
        </w:rPr>
        <w:t>adversely affect the </w:t>
      </w:r>
      <w:r>
        <w:rPr>
          <w:spacing w:val="-3"/>
          <w:w w:val="105"/>
          <w:sz w:val="21"/>
        </w:rPr>
        <w:t>significance </w:t>
      </w:r>
      <w:r>
        <w:rPr>
          <w:w w:val="105"/>
          <w:sz w:val="21"/>
        </w:rPr>
        <w:t>of heritage</w:t>
      </w:r>
      <w:r>
        <w:rPr>
          <w:spacing w:val="19"/>
          <w:w w:val="105"/>
          <w:sz w:val="21"/>
        </w:rPr>
        <w:t> </w:t>
      </w:r>
      <w:r>
        <w:rPr>
          <w:w w:val="105"/>
          <w:sz w:val="21"/>
        </w:rPr>
        <w:t>places.</w:t>
      </w:r>
      <w:r>
        <w:rPr>
          <w:w w:val="105"/>
          <w:position w:val="7"/>
          <w:sz w:val="12"/>
        </w:rPr>
        <w:t>44</w:t>
      </w:r>
    </w:p>
    <w:p>
      <w:pPr>
        <w:pStyle w:val="ListParagraph"/>
        <w:numPr>
          <w:ilvl w:val="1"/>
          <w:numId w:val="16"/>
        </w:numPr>
        <w:tabs>
          <w:tab w:pos="2381" w:val="left" w:leader="none"/>
          <w:tab w:pos="2382" w:val="left" w:leader="none"/>
        </w:tabs>
        <w:spacing w:line="242" w:lineRule="auto" w:before="88" w:after="0"/>
        <w:ind w:left="2381" w:right="1548" w:hanging="794"/>
        <w:jc w:val="left"/>
        <w:rPr>
          <w:sz w:val="21"/>
        </w:rPr>
      </w:pPr>
      <w:r>
        <w:rPr>
          <w:spacing w:val="-5"/>
          <w:w w:val="105"/>
          <w:sz w:val="21"/>
        </w:rPr>
        <w:t>Tree </w:t>
      </w:r>
      <w:r>
        <w:rPr>
          <w:w w:val="105"/>
          <w:sz w:val="21"/>
        </w:rPr>
        <w:t>protection </w:t>
      </w:r>
      <w:r>
        <w:rPr>
          <w:spacing w:val="-3"/>
          <w:w w:val="105"/>
          <w:sz w:val="21"/>
        </w:rPr>
        <w:t>overlays </w:t>
      </w:r>
      <w:r>
        <w:rPr>
          <w:w w:val="105"/>
          <w:sz w:val="21"/>
        </w:rPr>
        <w:t>can apply </w:t>
      </w:r>
      <w:r>
        <w:rPr>
          <w:spacing w:val="-3"/>
          <w:w w:val="105"/>
          <w:sz w:val="21"/>
        </w:rPr>
        <w:t>to significant </w:t>
      </w:r>
      <w:r>
        <w:rPr>
          <w:w w:val="105"/>
          <w:sz w:val="21"/>
        </w:rPr>
        <w:t>portions of </w:t>
      </w:r>
      <w:r>
        <w:rPr>
          <w:spacing w:val="-3"/>
          <w:w w:val="105"/>
          <w:sz w:val="21"/>
        </w:rPr>
        <w:t>land </w:t>
      </w:r>
      <w:r>
        <w:rPr>
          <w:w w:val="105"/>
          <w:sz w:val="21"/>
        </w:rPr>
        <w:t>with Victoria.</w:t>
      </w:r>
      <w:r>
        <w:rPr>
          <w:w w:val="105"/>
          <w:position w:val="7"/>
          <w:sz w:val="12"/>
        </w:rPr>
        <w:t>45 </w:t>
      </w:r>
      <w:r>
        <w:rPr>
          <w:w w:val="105"/>
          <w:sz w:val="21"/>
        </w:rPr>
        <w:t>As </w:t>
      </w:r>
      <w:r>
        <w:rPr>
          <w:spacing w:val="-3"/>
          <w:w w:val="105"/>
          <w:sz w:val="21"/>
        </w:rPr>
        <w:t>an example, </w:t>
      </w:r>
      <w:r>
        <w:rPr>
          <w:w w:val="105"/>
          <w:sz w:val="21"/>
        </w:rPr>
        <w:t>in </w:t>
      </w:r>
      <w:r>
        <w:rPr>
          <w:spacing w:val="-8"/>
          <w:w w:val="105"/>
          <w:sz w:val="21"/>
        </w:rPr>
        <w:t>2013, </w:t>
      </w:r>
      <w:r>
        <w:rPr>
          <w:w w:val="105"/>
          <w:sz w:val="21"/>
        </w:rPr>
        <w:t>the VPO applied </w:t>
      </w:r>
      <w:r>
        <w:rPr>
          <w:spacing w:val="-3"/>
          <w:w w:val="105"/>
          <w:sz w:val="21"/>
        </w:rPr>
        <w:t>to </w:t>
      </w:r>
      <w:r>
        <w:rPr>
          <w:w w:val="105"/>
          <w:sz w:val="21"/>
        </w:rPr>
        <w:t>2500 </w:t>
      </w:r>
      <w:r>
        <w:rPr>
          <w:spacing w:val="-3"/>
          <w:w w:val="105"/>
          <w:sz w:val="21"/>
        </w:rPr>
        <w:t>residential </w:t>
      </w:r>
      <w:r>
        <w:rPr>
          <w:w w:val="105"/>
          <w:sz w:val="21"/>
        </w:rPr>
        <w:t>properties </w:t>
      </w:r>
      <w:r>
        <w:rPr>
          <w:spacing w:val="-3"/>
          <w:w w:val="105"/>
          <w:sz w:val="21"/>
        </w:rPr>
        <w:t>within </w:t>
      </w:r>
      <w:r>
        <w:rPr>
          <w:w w:val="105"/>
          <w:sz w:val="21"/>
        </w:rPr>
        <w:t>the </w:t>
      </w:r>
      <w:r>
        <w:rPr>
          <w:spacing w:val="-3"/>
          <w:w w:val="105"/>
          <w:sz w:val="21"/>
        </w:rPr>
        <w:t>City </w:t>
      </w:r>
      <w:r>
        <w:rPr>
          <w:w w:val="105"/>
          <w:sz w:val="21"/>
        </w:rPr>
        <w:t>of Monash.</w:t>
      </w:r>
      <w:r>
        <w:rPr>
          <w:w w:val="105"/>
          <w:position w:val="7"/>
          <w:sz w:val="12"/>
        </w:rPr>
        <w:t>46 </w:t>
      </w:r>
      <w:r>
        <w:rPr>
          <w:w w:val="105"/>
          <w:sz w:val="21"/>
        </w:rPr>
        <w:t>The </w:t>
      </w:r>
      <w:r>
        <w:rPr>
          <w:spacing w:val="-3"/>
          <w:w w:val="105"/>
          <w:sz w:val="21"/>
        </w:rPr>
        <w:t>Environmental Significance </w:t>
      </w:r>
      <w:r>
        <w:rPr>
          <w:w w:val="105"/>
          <w:sz w:val="21"/>
        </w:rPr>
        <w:t>Overlay (ESO) applies </w:t>
      </w:r>
      <w:r>
        <w:rPr>
          <w:spacing w:val="-3"/>
          <w:w w:val="105"/>
          <w:sz w:val="21"/>
        </w:rPr>
        <w:t>to </w:t>
      </w:r>
      <w:r>
        <w:rPr>
          <w:w w:val="105"/>
          <w:sz w:val="21"/>
        </w:rPr>
        <w:t>a </w:t>
      </w:r>
      <w:r>
        <w:rPr>
          <w:spacing w:val="-3"/>
          <w:w w:val="105"/>
          <w:sz w:val="21"/>
        </w:rPr>
        <w:t>significant </w:t>
      </w:r>
      <w:r>
        <w:rPr>
          <w:w w:val="105"/>
          <w:sz w:val="21"/>
        </w:rPr>
        <w:t>proportion of </w:t>
      </w:r>
      <w:r>
        <w:rPr>
          <w:spacing w:val="-3"/>
          <w:w w:val="105"/>
          <w:sz w:val="21"/>
        </w:rPr>
        <w:t>land within </w:t>
      </w:r>
      <w:r>
        <w:rPr>
          <w:w w:val="105"/>
          <w:sz w:val="21"/>
        </w:rPr>
        <w:t>the </w:t>
      </w:r>
      <w:r>
        <w:rPr>
          <w:spacing w:val="-3"/>
          <w:w w:val="105"/>
          <w:sz w:val="21"/>
        </w:rPr>
        <w:t>Nillumbik</w:t>
      </w:r>
      <w:r>
        <w:rPr>
          <w:spacing w:val="33"/>
          <w:w w:val="105"/>
          <w:sz w:val="21"/>
        </w:rPr>
        <w:t> </w:t>
      </w:r>
      <w:r>
        <w:rPr>
          <w:spacing w:val="-4"/>
          <w:w w:val="105"/>
          <w:sz w:val="21"/>
        </w:rPr>
        <w:t>Shire.</w:t>
      </w:r>
      <w:r>
        <w:rPr>
          <w:spacing w:val="-4"/>
          <w:w w:val="105"/>
          <w:position w:val="7"/>
          <w:sz w:val="12"/>
        </w:rPr>
        <w:t>47</w:t>
      </w:r>
    </w:p>
    <w:p>
      <w:pPr>
        <w:pStyle w:val="BodyText"/>
        <w:spacing w:before="8"/>
        <w:rPr>
          <w:sz w:val="18"/>
        </w:rPr>
      </w:pPr>
      <w:r>
        <w:rPr/>
        <w:pict>
          <v:line style="position:absolute;mso-position-horizontal-relative:page;mso-position-vertical-relative:paragraph;z-index:9512;mso-wrap-distance-left:0;mso-wrap-distance-right:0" from="79.370102pt,13.839539pt" to="519.685102pt,13.839539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63"/>
        </w:numPr>
        <w:tabs>
          <w:tab w:pos="2381" w:val="left" w:leader="none"/>
          <w:tab w:pos="2382" w:val="left" w:leader="none"/>
        </w:tabs>
        <w:spacing w:line="240" w:lineRule="auto" w:before="48" w:after="0"/>
        <w:ind w:left="2381" w:right="0" w:hanging="794"/>
        <w:jc w:val="left"/>
        <w:rPr>
          <w:sz w:val="13"/>
        </w:rPr>
      </w:pPr>
      <w:r>
        <w:rPr>
          <w:sz w:val="13"/>
        </w:rPr>
        <w:t>Department of Environment, Land, Water and Planning </w:t>
      </w:r>
      <w:r>
        <w:rPr>
          <w:spacing w:val="2"/>
          <w:sz w:val="13"/>
        </w:rPr>
        <w:t>(Vic), ‘VicSmart  </w:t>
      </w:r>
      <w:r>
        <w:rPr>
          <w:sz w:val="13"/>
        </w:rPr>
        <w:t>Permits  in  10  Days—Fast  Decisions  for  Simple  Planning  Decisions’</w:t>
      </w:r>
      <w:r>
        <w:rPr>
          <w:i/>
          <w:sz w:val="13"/>
        </w:rPr>
        <w:t>, </w:t>
      </w:r>
      <w:r>
        <w:rPr>
          <w:i/>
          <w:sz w:val="13"/>
        </w:rPr>
        <w:t>Permits and Applications </w:t>
      </w:r>
      <w:r>
        <w:rPr>
          <w:sz w:val="13"/>
        </w:rPr>
        <w:t>(Web  Page,  March  2017)  2  </w:t>
      </w:r>
      <w:r>
        <w:rPr>
          <w:spacing w:val="2"/>
          <w:sz w:val="13"/>
        </w:rPr>
        <w:t>&lt;https://</w:t>
      </w:r>
      <w:hyperlink r:id="rId257">
        <w:r>
          <w:rPr>
            <w:spacing w:val="2"/>
            <w:sz w:val="13"/>
          </w:rPr>
          <w:t>www.planning.vic.gov.au/permits-and-applications/vicsmart</w:t>
        </w:r>
      </w:hyperlink>
      <w:r>
        <w:rPr>
          <w:spacing w:val="2"/>
          <w:sz w:val="13"/>
        </w:rPr>
        <w:t>&gt;.  </w:t>
      </w:r>
      <w:r>
        <w:rPr>
          <w:sz w:val="13"/>
        </w:rPr>
        <w:t>The  Short  Cases List is a sub-list of the Planning and  Environment  List  and  handles  short  and  less  complex  disputes  that  allow  parties  to  have  their  matter heard and determined within a short timeframe. Tribunal members hearing cases in this list are encouraged to provide oral decisions  at  the conclusion</w:t>
      </w:r>
      <w:r>
        <w:rPr>
          <w:spacing w:val="7"/>
          <w:sz w:val="13"/>
        </w:rPr>
        <w:t> </w:t>
      </w:r>
      <w:r>
        <w:rPr>
          <w:sz w:val="13"/>
        </w:rPr>
        <w:t>of</w:t>
      </w:r>
      <w:r>
        <w:rPr>
          <w:spacing w:val="8"/>
          <w:sz w:val="13"/>
        </w:rPr>
        <w:t> </w:t>
      </w:r>
      <w:r>
        <w:rPr>
          <w:sz w:val="13"/>
        </w:rPr>
        <w:t>the</w:t>
      </w:r>
      <w:r>
        <w:rPr>
          <w:spacing w:val="7"/>
          <w:sz w:val="13"/>
        </w:rPr>
        <w:t> </w:t>
      </w:r>
      <w:r>
        <w:rPr>
          <w:sz w:val="13"/>
        </w:rPr>
        <w:t>hearing.</w:t>
      </w:r>
      <w:r>
        <w:rPr>
          <w:spacing w:val="8"/>
          <w:sz w:val="13"/>
        </w:rPr>
        <w:t> </w:t>
      </w:r>
      <w:r>
        <w:rPr>
          <w:sz w:val="13"/>
        </w:rPr>
        <w:t>Site</w:t>
      </w:r>
      <w:r>
        <w:rPr>
          <w:spacing w:val="7"/>
          <w:sz w:val="13"/>
        </w:rPr>
        <w:t> </w:t>
      </w:r>
      <w:r>
        <w:rPr>
          <w:sz w:val="13"/>
        </w:rPr>
        <w:t>inspections</w:t>
      </w:r>
      <w:r>
        <w:rPr>
          <w:spacing w:val="8"/>
          <w:sz w:val="13"/>
        </w:rPr>
        <w:t> </w:t>
      </w:r>
      <w:r>
        <w:rPr>
          <w:sz w:val="13"/>
        </w:rPr>
        <w:t>are</w:t>
      </w:r>
      <w:r>
        <w:rPr>
          <w:spacing w:val="7"/>
          <w:sz w:val="13"/>
        </w:rPr>
        <w:t> </w:t>
      </w:r>
      <w:r>
        <w:rPr>
          <w:sz w:val="13"/>
        </w:rPr>
        <w:t>unlikely</w:t>
      </w:r>
      <w:r>
        <w:rPr>
          <w:spacing w:val="8"/>
          <w:sz w:val="13"/>
        </w:rPr>
        <w:t> </w:t>
      </w:r>
      <w:r>
        <w:rPr>
          <w:sz w:val="13"/>
        </w:rPr>
        <w:t>to</w:t>
      </w:r>
      <w:r>
        <w:rPr>
          <w:spacing w:val="8"/>
          <w:sz w:val="13"/>
        </w:rPr>
        <w:t> </w:t>
      </w:r>
      <w:r>
        <w:rPr>
          <w:sz w:val="13"/>
        </w:rPr>
        <w:t>be</w:t>
      </w:r>
      <w:r>
        <w:rPr>
          <w:spacing w:val="7"/>
          <w:sz w:val="13"/>
        </w:rPr>
        <w:t> </w:t>
      </w:r>
      <w:r>
        <w:rPr>
          <w:sz w:val="13"/>
        </w:rPr>
        <w:t>undertaken.</w:t>
      </w:r>
    </w:p>
    <w:p>
      <w:pPr>
        <w:pStyle w:val="ListParagraph"/>
        <w:numPr>
          <w:ilvl w:val="0"/>
          <w:numId w:val="163"/>
        </w:numPr>
        <w:tabs>
          <w:tab w:pos="2381" w:val="left" w:leader="none"/>
          <w:tab w:pos="2382" w:val="left" w:leader="none"/>
        </w:tabs>
        <w:spacing w:line="240" w:lineRule="auto" w:before="7" w:after="0"/>
        <w:ind w:left="2381" w:right="253" w:hanging="794"/>
        <w:jc w:val="left"/>
        <w:rPr>
          <w:sz w:val="13"/>
        </w:rPr>
      </w:pPr>
      <w:r>
        <w:rPr>
          <w:w w:val="105"/>
          <w:sz w:val="13"/>
        </w:rPr>
        <w:t>Department of Environment, Land, Water and Planning </w:t>
      </w:r>
      <w:r>
        <w:rPr>
          <w:spacing w:val="2"/>
          <w:w w:val="105"/>
          <w:sz w:val="13"/>
        </w:rPr>
        <w:t>(Vic), </w:t>
      </w:r>
      <w:r>
        <w:rPr>
          <w:i/>
          <w:w w:val="105"/>
          <w:sz w:val="13"/>
        </w:rPr>
        <w:t>Planning Practice Note No </w:t>
      </w:r>
      <w:r>
        <w:rPr>
          <w:i/>
          <w:spacing w:val="-3"/>
          <w:w w:val="105"/>
          <w:sz w:val="13"/>
        </w:rPr>
        <w:t>7: </w:t>
      </w:r>
      <w:r>
        <w:rPr>
          <w:i/>
          <w:w w:val="105"/>
          <w:sz w:val="13"/>
        </w:rPr>
        <w:t>Vegetation Protection in Urban Areas</w:t>
      </w:r>
      <w:r>
        <w:rPr>
          <w:w w:val="105"/>
          <w:sz w:val="13"/>
        </w:rPr>
        <w:t>, August 1999.</w:t>
      </w:r>
    </w:p>
    <w:p>
      <w:pPr>
        <w:pStyle w:val="ListParagraph"/>
        <w:numPr>
          <w:ilvl w:val="0"/>
          <w:numId w:val="163"/>
        </w:numPr>
        <w:tabs>
          <w:tab w:pos="2381" w:val="left" w:leader="none"/>
          <w:tab w:pos="2382" w:val="left" w:leader="none"/>
        </w:tabs>
        <w:spacing w:line="240" w:lineRule="auto" w:before="2" w:after="0"/>
        <w:ind w:left="2381" w:right="242" w:hanging="794"/>
        <w:jc w:val="left"/>
        <w:rPr>
          <w:sz w:val="13"/>
        </w:rPr>
      </w:pPr>
      <w:r>
        <w:rPr>
          <w:sz w:val="13"/>
        </w:rPr>
        <w:t>See Stephen Rowley, </w:t>
      </w:r>
      <w:r>
        <w:rPr>
          <w:i/>
          <w:sz w:val="13"/>
        </w:rPr>
        <w:t>The Victorian Planning System: Practice, Problems and  Prospects  </w:t>
      </w:r>
      <w:r>
        <w:rPr>
          <w:spacing w:val="2"/>
          <w:sz w:val="13"/>
        </w:rPr>
        <w:t>(The </w:t>
      </w:r>
      <w:r>
        <w:rPr>
          <w:sz w:val="13"/>
        </w:rPr>
        <w:t>Federation  Press,  2017)  33.  An  overlay  differs from a zone because it considers the practical constraints that apply to a particular site, whereas a zone control is directed at the central    purpose of the</w:t>
      </w:r>
      <w:r>
        <w:rPr>
          <w:spacing w:val="18"/>
          <w:sz w:val="13"/>
        </w:rPr>
        <w:t> </w:t>
      </w:r>
      <w:r>
        <w:rPr>
          <w:sz w:val="13"/>
        </w:rPr>
        <w:t>land.</w:t>
      </w:r>
    </w:p>
    <w:p>
      <w:pPr>
        <w:pStyle w:val="ListParagraph"/>
        <w:numPr>
          <w:ilvl w:val="0"/>
          <w:numId w:val="163"/>
        </w:numPr>
        <w:tabs>
          <w:tab w:pos="2381" w:val="left" w:leader="none"/>
          <w:tab w:pos="2382" w:val="left" w:leader="none"/>
        </w:tabs>
        <w:spacing w:line="240" w:lineRule="auto" w:before="4" w:after="0"/>
        <w:ind w:left="2381" w:right="32" w:hanging="794"/>
        <w:jc w:val="left"/>
        <w:rPr>
          <w:sz w:val="13"/>
        </w:rPr>
      </w:pPr>
      <w:r>
        <w:rPr>
          <w:w w:val="105"/>
          <w:sz w:val="13"/>
        </w:rPr>
        <w:t>Department of Environment, Land, Water and Planning </w:t>
      </w:r>
      <w:r>
        <w:rPr>
          <w:spacing w:val="2"/>
          <w:w w:val="105"/>
          <w:sz w:val="13"/>
        </w:rPr>
        <w:t>(Vic), </w:t>
      </w:r>
      <w:r>
        <w:rPr>
          <w:i/>
          <w:w w:val="105"/>
          <w:sz w:val="13"/>
        </w:rPr>
        <w:t>Using Victoria’s Planning System </w:t>
      </w:r>
      <w:r>
        <w:rPr>
          <w:w w:val="105"/>
          <w:sz w:val="13"/>
        </w:rPr>
        <w:t>(Guide, 2015) [1.8.7] </w:t>
      </w:r>
      <w:r>
        <w:rPr>
          <w:spacing w:val="2"/>
          <w:w w:val="105"/>
          <w:sz w:val="13"/>
        </w:rPr>
        <w:t>&lt;https://www.planning. vic.gov.au/guide-home/using-victorias-planning-system&gt;.</w:t>
      </w:r>
    </w:p>
    <w:p>
      <w:pPr>
        <w:pStyle w:val="ListParagraph"/>
        <w:numPr>
          <w:ilvl w:val="0"/>
          <w:numId w:val="163"/>
        </w:numPr>
        <w:tabs>
          <w:tab w:pos="2381" w:val="left" w:leader="none"/>
          <w:tab w:pos="2382" w:val="left" w:leader="none"/>
        </w:tabs>
        <w:spacing w:line="240" w:lineRule="auto" w:before="3" w:after="0"/>
        <w:ind w:left="2381" w:right="0" w:hanging="794"/>
        <w:jc w:val="left"/>
        <w:rPr>
          <w:sz w:val="13"/>
        </w:rPr>
      </w:pPr>
      <w:r>
        <w:rPr>
          <w:sz w:val="13"/>
        </w:rPr>
        <w:t>Ibid      [6.5.3]     </w:t>
      </w:r>
      <w:r>
        <w:rPr>
          <w:spacing w:val="2"/>
          <w:sz w:val="13"/>
        </w:rPr>
        <w:t>&lt;https://</w:t>
      </w:r>
      <w:hyperlink r:id="rId207">
        <w:r>
          <w:rPr>
            <w:spacing w:val="2"/>
            <w:sz w:val="13"/>
          </w:rPr>
          <w:t>www.planning.vic.gov.au/guide-home/a-practitioners-guide-to-victorian-planning-schemes</w:t>
        </w:r>
      </w:hyperlink>
      <w:r>
        <w:rPr>
          <w:spacing w:val="2"/>
          <w:sz w:val="13"/>
        </w:rPr>
        <w:t>&gt;.</w:t>
      </w:r>
    </w:p>
    <w:p>
      <w:pPr>
        <w:pStyle w:val="ListParagraph"/>
        <w:numPr>
          <w:ilvl w:val="0"/>
          <w:numId w:val="163"/>
        </w:numPr>
        <w:tabs>
          <w:tab w:pos="2381" w:val="left" w:leader="none"/>
          <w:tab w:pos="2382" w:val="left" w:leader="none"/>
        </w:tabs>
        <w:spacing w:line="240" w:lineRule="auto" w:before="1" w:after="0"/>
        <w:ind w:left="2381" w:right="321" w:hanging="794"/>
        <w:jc w:val="left"/>
        <w:rPr>
          <w:i/>
          <w:sz w:val="13"/>
        </w:rPr>
      </w:pPr>
      <w:r>
        <w:rPr>
          <w:w w:val="105"/>
          <w:sz w:val="13"/>
        </w:rPr>
        <w:t>See Department of Environment, Land, Water and Planning, </w:t>
      </w:r>
      <w:r>
        <w:rPr>
          <w:i/>
          <w:w w:val="105"/>
          <w:sz w:val="13"/>
        </w:rPr>
        <w:t>A Practitioner’s Guide to Victorian Planning Schemes </w:t>
      </w:r>
      <w:r>
        <w:rPr>
          <w:w w:val="105"/>
          <w:sz w:val="13"/>
        </w:rPr>
        <w:t>(Version </w:t>
      </w:r>
      <w:r>
        <w:rPr>
          <w:spacing w:val="-5"/>
          <w:w w:val="105"/>
          <w:sz w:val="13"/>
        </w:rPr>
        <w:t>1.1, </w:t>
      </w:r>
      <w:r>
        <w:rPr>
          <w:w w:val="105"/>
          <w:sz w:val="13"/>
        </w:rPr>
        <w:t>October 2018) [5.2.3]</w:t>
      </w:r>
      <w:r>
        <w:rPr>
          <w:spacing w:val="6"/>
          <w:w w:val="105"/>
          <w:sz w:val="13"/>
        </w:rPr>
        <w:t> </w:t>
      </w:r>
      <w:r>
        <w:rPr>
          <w:spacing w:val="2"/>
          <w:w w:val="105"/>
          <w:sz w:val="13"/>
        </w:rPr>
        <w:t>&lt;https://</w:t>
      </w:r>
      <w:hyperlink r:id="rId207">
        <w:r>
          <w:rPr>
            <w:spacing w:val="2"/>
            <w:w w:val="105"/>
            <w:sz w:val="13"/>
          </w:rPr>
          <w:t>www.planning.vic.gov.au/guide-home/a-practitioners-guide-to-victorian-planning-schemes</w:t>
        </w:r>
      </w:hyperlink>
      <w:r>
        <w:rPr>
          <w:spacing w:val="2"/>
          <w:w w:val="105"/>
          <w:sz w:val="13"/>
        </w:rPr>
        <w:t>&gt;</w:t>
      </w:r>
      <w:r>
        <w:rPr>
          <w:i/>
          <w:spacing w:val="2"/>
          <w:w w:val="105"/>
          <w:sz w:val="13"/>
        </w:rPr>
        <w:t>.</w:t>
      </w:r>
    </w:p>
    <w:p>
      <w:pPr>
        <w:pStyle w:val="ListParagraph"/>
        <w:numPr>
          <w:ilvl w:val="0"/>
          <w:numId w:val="163"/>
        </w:numPr>
        <w:tabs>
          <w:tab w:pos="2381" w:val="left" w:leader="none"/>
          <w:tab w:pos="2382" w:val="left" w:leader="none"/>
        </w:tabs>
        <w:spacing w:line="240" w:lineRule="auto" w:before="3" w:after="0"/>
        <w:ind w:left="2381" w:right="618" w:hanging="794"/>
        <w:jc w:val="left"/>
        <w:rPr>
          <w:sz w:val="13"/>
        </w:rPr>
      </w:pPr>
      <w:r>
        <w:rPr>
          <w:w w:val="105"/>
          <w:sz w:val="13"/>
        </w:rPr>
        <w:t>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42.03; Department of Environment,</w:t>
      </w:r>
      <w:r>
        <w:rPr>
          <w:spacing w:val="8"/>
          <w:w w:val="105"/>
          <w:sz w:val="13"/>
        </w:rPr>
        <w:t> </w:t>
      </w:r>
      <w:r>
        <w:rPr>
          <w:w w:val="105"/>
          <w:sz w:val="13"/>
        </w:rPr>
        <w:t>Land,</w:t>
      </w:r>
      <w:r>
        <w:rPr>
          <w:spacing w:val="8"/>
          <w:w w:val="105"/>
          <w:sz w:val="13"/>
        </w:rPr>
        <w:t> </w:t>
      </w:r>
      <w:r>
        <w:rPr>
          <w:w w:val="105"/>
          <w:sz w:val="13"/>
        </w:rPr>
        <w:t>Water</w:t>
      </w:r>
      <w:r>
        <w:rPr>
          <w:spacing w:val="8"/>
          <w:w w:val="105"/>
          <w:sz w:val="13"/>
        </w:rPr>
        <w:t> </w:t>
      </w:r>
      <w:r>
        <w:rPr>
          <w:w w:val="105"/>
          <w:sz w:val="13"/>
        </w:rPr>
        <w:t>and</w:t>
      </w:r>
      <w:r>
        <w:rPr>
          <w:spacing w:val="8"/>
          <w:w w:val="105"/>
          <w:sz w:val="13"/>
        </w:rPr>
        <w:t> </w:t>
      </w:r>
      <w:r>
        <w:rPr>
          <w:w w:val="105"/>
          <w:sz w:val="13"/>
        </w:rPr>
        <w:t>Planning</w:t>
      </w:r>
      <w:r>
        <w:rPr>
          <w:spacing w:val="8"/>
          <w:w w:val="105"/>
          <w:sz w:val="13"/>
        </w:rPr>
        <w:t> </w:t>
      </w:r>
      <w:r>
        <w:rPr>
          <w:spacing w:val="2"/>
          <w:w w:val="105"/>
          <w:sz w:val="13"/>
        </w:rPr>
        <w:t>(Vic),</w:t>
      </w:r>
      <w:r>
        <w:rPr>
          <w:spacing w:val="8"/>
          <w:w w:val="105"/>
          <w:sz w:val="13"/>
        </w:rPr>
        <w:t> </w:t>
      </w:r>
      <w:r>
        <w:rPr>
          <w:i/>
          <w:w w:val="105"/>
          <w:sz w:val="13"/>
        </w:rPr>
        <w:t>Planning</w:t>
      </w:r>
      <w:r>
        <w:rPr>
          <w:i/>
          <w:spacing w:val="8"/>
          <w:w w:val="105"/>
          <w:sz w:val="13"/>
        </w:rPr>
        <w:t> </w:t>
      </w:r>
      <w:r>
        <w:rPr>
          <w:i/>
          <w:w w:val="105"/>
          <w:sz w:val="13"/>
        </w:rPr>
        <w:t>Practice</w:t>
      </w:r>
      <w:r>
        <w:rPr>
          <w:i/>
          <w:spacing w:val="8"/>
          <w:w w:val="105"/>
          <w:sz w:val="13"/>
        </w:rPr>
        <w:t> </w:t>
      </w:r>
      <w:r>
        <w:rPr>
          <w:i/>
          <w:w w:val="105"/>
          <w:sz w:val="13"/>
        </w:rPr>
        <w:t>Note</w:t>
      </w:r>
      <w:r>
        <w:rPr>
          <w:i/>
          <w:spacing w:val="8"/>
          <w:w w:val="105"/>
          <w:sz w:val="13"/>
        </w:rPr>
        <w:t> </w:t>
      </w:r>
      <w:r>
        <w:rPr>
          <w:i/>
          <w:w w:val="105"/>
          <w:sz w:val="13"/>
        </w:rPr>
        <w:t>No</w:t>
      </w:r>
      <w:r>
        <w:rPr>
          <w:i/>
          <w:spacing w:val="8"/>
          <w:w w:val="105"/>
          <w:sz w:val="13"/>
        </w:rPr>
        <w:t> </w:t>
      </w:r>
      <w:r>
        <w:rPr>
          <w:i/>
          <w:spacing w:val="-3"/>
          <w:w w:val="105"/>
          <w:sz w:val="13"/>
        </w:rPr>
        <w:t>7:</w:t>
      </w:r>
      <w:r>
        <w:rPr>
          <w:i/>
          <w:spacing w:val="8"/>
          <w:w w:val="105"/>
          <w:sz w:val="13"/>
        </w:rPr>
        <w:t> </w:t>
      </w:r>
      <w:r>
        <w:rPr>
          <w:i/>
          <w:w w:val="105"/>
          <w:sz w:val="13"/>
        </w:rPr>
        <w:t>Vegetation</w:t>
      </w:r>
      <w:r>
        <w:rPr>
          <w:i/>
          <w:spacing w:val="8"/>
          <w:w w:val="105"/>
          <w:sz w:val="13"/>
        </w:rPr>
        <w:t> </w:t>
      </w:r>
      <w:r>
        <w:rPr>
          <w:i/>
          <w:w w:val="105"/>
          <w:sz w:val="13"/>
        </w:rPr>
        <w:t>Protection</w:t>
      </w:r>
      <w:r>
        <w:rPr>
          <w:i/>
          <w:spacing w:val="8"/>
          <w:w w:val="105"/>
          <w:sz w:val="13"/>
        </w:rPr>
        <w:t> </w:t>
      </w:r>
      <w:r>
        <w:rPr>
          <w:i/>
          <w:w w:val="105"/>
          <w:sz w:val="13"/>
        </w:rPr>
        <w:t>in</w:t>
      </w:r>
      <w:r>
        <w:rPr>
          <w:i/>
          <w:spacing w:val="8"/>
          <w:w w:val="105"/>
          <w:sz w:val="13"/>
        </w:rPr>
        <w:t> </w:t>
      </w:r>
      <w:r>
        <w:rPr>
          <w:i/>
          <w:w w:val="105"/>
          <w:sz w:val="13"/>
        </w:rPr>
        <w:t>Urban</w:t>
      </w:r>
      <w:r>
        <w:rPr>
          <w:i/>
          <w:spacing w:val="8"/>
          <w:w w:val="105"/>
          <w:sz w:val="13"/>
        </w:rPr>
        <w:t> </w:t>
      </w:r>
      <w:r>
        <w:rPr>
          <w:i/>
          <w:w w:val="105"/>
          <w:sz w:val="13"/>
        </w:rPr>
        <w:t>Areas</w:t>
      </w:r>
      <w:r>
        <w:rPr>
          <w:w w:val="105"/>
          <w:sz w:val="13"/>
        </w:rPr>
        <w:t>,</w:t>
      </w:r>
      <w:r>
        <w:rPr>
          <w:spacing w:val="8"/>
          <w:w w:val="105"/>
          <w:sz w:val="13"/>
        </w:rPr>
        <w:t> </w:t>
      </w:r>
      <w:r>
        <w:rPr>
          <w:w w:val="105"/>
          <w:sz w:val="13"/>
        </w:rPr>
        <w:t>August</w:t>
      </w:r>
      <w:r>
        <w:rPr>
          <w:spacing w:val="8"/>
          <w:w w:val="105"/>
          <w:sz w:val="13"/>
        </w:rPr>
        <w:t> </w:t>
      </w:r>
      <w:r>
        <w:rPr>
          <w:w w:val="105"/>
          <w:sz w:val="13"/>
        </w:rPr>
        <w:t>1999,</w:t>
      </w:r>
      <w:r>
        <w:rPr>
          <w:spacing w:val="8"/>
          <w:w w:val="105"/>
          <w:sz w:val="13"/>
        </w:rPr>
        <w:t> </w:t>
      </w:r>
      <w:r>
        <w:rPr>
          <w:w w:val="105"/>
          <w:sz w:val="13"/>
        </w:rPr>
        <w:t>6.</w:t>
      </w:r>
    </w:p>
    <w:p>
      <w:pPr>
        <w:pStyle w:val="ListParagraph"/>
        <w:numPr>
          <w:ilvl w:val="0"/>
          <w:numId w:val="163"/>
        </w:numPr>
        <w:tabs>
          <w:tab w:pos="2381" w:val="left" w:leader="none"/>
          <w:tab w:pos="2382" w:val="left" w:leader="none"/>
        </w:tabs>
        <w:spacing w:line="240" w:lineRule="auto" w:before="3" w:after="0"/>
        <w:ind w:left="2381" w:right="616" w:hanging="794"/>
        <w:jc w:val="left"/>
        <w:rPr>
          <w:sz w:val="13"/>
        </w:rPr>
      </w:pPr>
      <w:r>
        <w:rPr>
          <w:w w:val="105"/>
          <w:sz w:val="13"/>
        </w:rPr>
        <w:t>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42.01; Department of Environment,</w:t>
      </w:r>
      <w:r>
        <w:rPr>
          <w:spacing w:val="8"/>
          <w:w w:val="105"/>
          <w:sz w:val="13"/>
        </w:rPr>
        <w:t> </w:t>
      </w:r>
      <w:r>
        <w:rPr>
          <w:w w:val="105"/>
          <w:sz w:val="13"/>
        </w:rPr>
        <w:t>Land,</w:t>
      </w:r>
      <w:r>
        <w:rPr>
          <w:spacing w:val="8"/>
          <w:w w:val="105"/>
          <w:sz w:val="13"/>
        </w:rPr>
        <w:t> </w:t>
      </w:r>
      <w:r>
        <w:rPr>
          <w:w w:val="105"/>
          <w:sz w:val="13"/>
        </w:rPr>
        <w:t>Water</w:t>
      </w:r>
      <w:r>
        <w:rPr>
          <w:spacing w:val="8"/>
          <w:w w:val="105"/>
          <w:sz w:val="13"/>
        </w:rPr>
        <w:t> </w:t>
      </w:r>
      <w:r>
        <w:rPr>
          <w:w w:val="105"/>
          <w:sz w:val="13"/>
        </w:rPr>
        <w:t>and</w:t>
      </w:r>
      <w:r>
        <w:rPr>
          <w:spacing w:val="8"/>
          <w:w w:val="105"/>
          <w:sz w:val="13"/>
        </w:rPr>
        <w:t> </w:t>
      </w:r>
      <w:r>
        <w:rPr>
          <w:w w:val="105"/>
          <w:sz w:val="13"/>
        </w:rPr>
        <w:t>Planning</w:t>
      </w:r>
      <w:r>
        <w:rPr>
          <w:spacing w:val="9"/>
          <w:w w:val="105"/>
          <w:sz w:val="13"/>
        </w:rPr>
        <w:t> </w:t>
      </w:r>
      <w:r>
        <w:rPr>
          <w:spacing w:val="2"/>
          <w:w w:val="105"/>
          <w:sz w:val="13"/>
        </w:rPr>
        <w:t>(Vic),</w:t>
      </w:r>
      <w:r>
        <w:rPr>
          <w:spacing w:val="8"/>
          <w:w w:val="105"/>
          <w:sz w:val="13"/>
        </w:rPr>
        <w:t> </w:t>
      </w:r>
      <w:r>
        <w:rPr>
          <w:i/>
          <w:w w:val="105"/>
          <w:sz w:val="13"/>
        </w:rPr>
        <w:t>Planning</w:t>
      </w:r>
      <w:r>
        <w:rPr>
          <w:i/>
          <w:spacing w:val="8"/>
          <w:w w:val="105"/>
          <w:sz w:val="13"/>
        </w:rPr>
        <w:t> </w:t>
      </w:r>
      <w:r>
        <w:rPr>
          <w:i/>
          <w:w w:val="105"/>
          <w:sz w:val="13"/>
        </w:rPr>
        <w:t>Practice</w:t>
      </w:r>
      <w:r>
        <w:rPr>
          <w:i/>
          <w:spacing w:val="8"/>
          <w:w w:val="105"/>
          <w:sz w:val="13"/>
        </w:rPr>
        <w:t> </w:t>
      </w:r>
      <w:r>
        <w:rPr>
          <w:i/>
          <w:w w:val="105"/>
          <w:sz w:val="13"/>
        </w:rPr>
        <w:t>Note</w:t>
      </w:r>
      <w:r>
        <w:rPr>
          <w:i/>
          <w:spacing w:val="8"/>
          <w:w w:val="105"/>
          <w:sz w:val="13"/>
        </w:rPr>
        <w:t> </w:t>
      </w:r>
      <w:r>
        <w:rPr>
          <w:i/>
          <w:w w:val="105"/>
          <w:sz w:val="13"/>
        </w:rPr>
        <w:t>No</w:t>
      </w:r>
      <w:r>
        <w:rPr>
          <w:i/>
          <w:spacing w:val="9"/>
          <w:w w:val="105"/>
          <w:sz w:val="13"/>
        </w:rPr>
        <w:t> </w:t>
      </w:r>
      <w:r>
        <w:rPr>
          <w:i/>
          <w:spacing w:val="-3"/>
          <w:w w:val="105"/>
          <w:sz w:val="13"/>
        </w:rPr>
        <w:t>7:</w:t>
      </w:r>
      <w:r>
        <w:rPr>
          <w:i/>
          <w:spacing w:val="8"/>
          <w:w w:val="105"/>
          <w:sz w:val="13"/>
        </w:rPr>
        <w:t> </w:t>
      </w:r>
      <w:r>
        <w:rPr>
          <w:i/>
          <w:w w:val="105"/>
          <w:sz w:val="13"/>
        </w:rPr>
        <w:t>Vegetation</w:t>
      </w:r>
      <w:r>
        <w:rPr>
          <w:i/>
          <w:spacing w:val="8"/>
          <w:w w:val="105"/>
          <w:sz w:val="13"/>
        </w:rPr>
        <w:t> </w:t>
      </w:r>
      <w:r>
        <w:rPr>
          <w:i/>
          <w:w w:val="105"/>
          <w:sz w:val="13"/>
        </w:rPr>
        <w:t>Protection</w:t>
      </w:r>
      <w:r>
        <w:rPr>
          <w:i/>
          <w:spacing w:val="8"/>
          <w:w w:val="105"/>
          <w:sz w:val="13"/>
        </w:rPr>
        <w:t> </w:t>
      </w:r>
      <w:r>
        <w:rPr>
          <w:i/>
          <w:w w:val="105"/>
          <w:sz w:val="13"/>
        </w:rPr>
        <w:t>in</w:t>
      </w:r>
      <w:r>
        <w:rPr>
          <w:i/>
          <w:spacing w:val="8"/>
          <w:w w:val="105"/>
          <w:sz w:val="13"/>
        </w:rPr>
        <w:t> </w:t>
      </w:r>
      <w:r>
        <w:rPr>
          <w:i/>
          <w:w w:val="105"/>
          <w:sz w:val="13"/>
        </w:rPr>
        <w:t>Urban</w:t>
      </w:r>
      <w:r>
        <w:rPr>
          <w:i/>
          <w:spacing w:val="9"/>
          <w:w w:val="105"/>
          <w:sz w:val="13"/>
        </w:rPr>
        <w:t> </w:t>
      </w:r>
      <w:r>
        <w:rPr>
          <w:i/>
          <w:w w:val="105"/>
          <w:sz w:val="13"/>
        </w:rPr>
        <w:t>Areas,</w:t>
      </w:r>
      <w:r>
        <w:rPr>
          <w:i/>
          <w:spacing w:val="8"/>
          <w:w w:val="105"/>
          <w:sz w:val="13"/>
        </w:rPr>
        <w:t> </w:t>
      </w:r>
      <w:r>
        <w:rPr>
          <w:w w:val="105"/>
          <w:sz w:val="13"/>
        </w:rPr>
        <w:t>August</w:t>
      </w:r>
      <w:r>
        <w:rPr>
          <w:spacing w:val="8"/>
          <w:w w:val="105"/>
          <w:sz w:val="13"/>
        </w:rPr>
        <w:t> </w:t>
      </w:r>
      <w:r>
        <w:rPr>
          <w:w w:val="105"/>
          <w:sz w:val="13"/>
        </w:rPr>
        <w:t>1999,</w:t>
      </w:r>
      <w:r>
        <w:rPr>
          <w:spacing w:val="8"/>
          <w:w w:val="105"/>
          <w:sz w:val="13"/>
        </w:rPr>
        <w:t> </w:t>
      </w:r>
      <w:r>
        <w:rPr>
          <w:w w:val="105"/>
          <w:sz w:val="13"/>
        </w:rPr>
        <w:t>5.</w:t>
      </w:r>
    </w:p>
    <w:p>
      <w:pPr>
        <w:pStyle w:val="ListParagraph"/>
        <w:numPr>
          <w:ilvl w:val="0"/>
          <w:numId w:val="163"/>
        </w:numPr>
        <w:tabs>
          <w:tab w:pos="2381" w:val="left" w:leader="none"/>
          <w:tab w:pos="2382" w:val="left" w:leader="none"/>
        </w:tabs>
        <w:spacing w:line="240" w:lineRule="auto" w:before="2" w:after="0"/>
        <w:ind w:left="1587" w:right="1511" w:firstLine="0"/>
        <w:jc w:val="left"/>
        <w:rPr>
          <w:sz w:val="13"/>
        </w:rPr>
      </w:pPr>
      <w:r>
        <w:rPr>
          <w:w w:val="105"/>
          <w:sz w:val="13"/>
        </w:rPr>
        <w:t>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42.02. 43</w:t>
        <w:tab/>
        <w:t>Ibid, cl</w:t>
      </w:r>
      <w:r>
        <w:rPr>
          <w:spacing w:val="9"/>
          <w:w w:val="105"/>
          <w:sz w:val="13"/>
        </w:rPr>
        <w:t> </w:t>
      </w:r>
      <w:r>
        <w:rPr>
          <w:w w:val="105"/>
          <w:sz w:val="13"/>
        </w:rPr>
        <w:t>43.01.</w:t>
      </w:r>
    </w:p>
    <w:p>
      <w:pPr>
        <w:pStyle w:val="ListParagraph"/>
        <w:numPr>
          <w:ilvl w:val="0"/>
          <w:numId w:val="164"/>
        </w:numPr>
        <w:tabs>
          <w:tab w:pos="2381" w:val="left" w:leader="none"/>
          <w:tab w:pos="2382" w:val="left" w:leader="none"/>
        </w:tabs>
        <w:spacing w:line="240" w:lineRule="auto" w:before="3" w:after="0"/>
        <w:ind w:left="2381" w:right="0" w:hanging="794"/>
        <w:jc w:val="left"/>
        <w:rPr>
          <w:sz w:val="13"/>
        </w:rPr>
      </w:pPr>
      <w:r>
        <w:rPr>
          <w:sz w:val="13"/>
        </w:rPr>
        <w:t>A</w:t>
      </w:r>
      <w:r>
        <w:rPr>
          <w:spacing w:val="7"/>
          <w:sz w:val="13"/>
        </w:rPr>
        <w:t> </w:t>
      </w:r>
      <w:r>
        <w:rPr>
          <w:sz w:val="13"/>
        </w:rPr>
        <w:t>‘heritage</w:t>
      </w:r>
      <w:r>
        <w:rPr>
          <w:spacing w:val="8"/>
          <w:sz w:val="13"/>
        </w:rPr>
        <w:t> </w:t>
      </w:r>
      <w:r>
        <w:rPr>
          <w:sz w:val="13"/>
        </w:rPr>
        <w:t>place’</w:t>
      </w:r>
      <w:r>
        <w:rPr>
          <w:spacing w:val="8"/>
          <w:sz w:val="13"/>
        </w:rPr>
        <w:t> </w:t>
      </w:r>
      <w:r>
        <w:rPr>
          <w:sz w:val="13"/>
        </w:rPr>
        <w:t>includes</w:t>
      </w:r>
      <w:r>
        <w:rPr>
          <w:spacing w:val="8"/>
          <w:sz w:val="13"/>
        </w:rPr>
        <w:t> </w:t>
      </w:r>
      <w:r>
        <w:rPr>
          <w:sz w:val="13"/>
        </w:rPr>
        <w:t>both</w:t>
      </w:r>
      <w:r>
        <w:rPr>
          <w:spacing w:val="8"/>
          <w:sz w:val="13"/>
        </w:rPr>
        <w:t> </w:t>
      </w:r>
      <w:r>
        <w:rPr>
          <w:sz w:val="13"/>
        </w:rPr>
        <w:t>the</w:t>
      </w:r>
      <w:r>
        <w:rPr>
          <w:spacing w:val="8"/>
          <w:sz w:val="13"/>
        </w:rPr>
        <w:t> </w:t>
      </w:r>
      <w:r>
        <w:rPr>
          <w:sz w:val="13"/>
        </w:rPr>
        <w:t>listed</w:t>
      </w:r>
      <w:r>
        <w:rPr>
          <w:spacing w:val="8"/>
          <w:sz w:val="13"/>
        </w:rPr>
        <w:t> </w:t>
      </w:r>
      <w:r>
        <w:rPr>
          <w:sz w:val="13"/>
        </w:rPr>
        <w:t>heritage</w:t>
      </w:r>
      <w:r>
        <w:rPr>
          <w:spacing w:val="8"/>
          <w:sz w:val="13"/>
        </w:rPr>
        <w:t> </w:t>
      </w:r>
      <w:r>
        <w:rPr>
          <w:sz w:val="13"/>
        </w:rPr>
        <w:t>item</w:t>
      </w:r>
      <w:r>
        <w:rPr>
          <w:spacing w:val="7"/>
          <w:sz w:val="13"/>
        </w:rPr>
        <w:t> </w:t>
      </w:r>
      <w:r>
        <w:rPr>
          <w:sz w:val="13"/>
        </w:rPr>
        <w:t>and</w:t>
      </w:r>
      <w:r>
        <w:rPr>
          <w:spacing w:val="8"/>
          <w:sz w:val="13"/>
        </w:rPr>
        <w:t> </w:t>
      </w:r>
      <w:r>
        <w:rPr>
          <w:sz w:val="13"/>
        </w:rPr>
        <w:t>its</w:t>
      </w:r>
      <w:r>
        <w:rPr>
          <w:spacing w:val="8"/>
          <w:sz w:val="13"/>
        </w:rPr>
        <w:t> </w:t>
      </w:r>
      <w:r>
        <w:rPr>
          <w:sz w:val="13"/>
        </w:rPr>
        <w:t>associated</w:t>
      </w:r>
      <w:r>
        <w:rPr>
          <w:spacing w:val="8"/>
          <w:sz w:val="13"/>
        </w:rPr>
        <w:t> </w:t>
      </w:r>
      <w:r>
        <w:rPr>
          <w:sz w:val="13"/>
        </w:rPr>
        <w:t>land.</w:t>
      </w:r>
    </w:p>
    <w:p>
      <w:pPr>
        <w:pStyle w:val="ListParagraph"/>
        <w:numPr>
          <w:ilvl w:val="0"/>
          <w:numId w:val="164"/>
        </w:numPr>
        <w:tabs>
          <w:tab w:pos="2381" w:val="left" w:leader="none"/>
          <w:tab w:pos="2382" w:val="left" w:leader="none"/>
        </w:tabs>
        <w:spacing w:line="240" w:lineRule="auto" w:before="1" w:after="0"/>
        <w:ind w:left="2381" w:right="0" w:hanging="794"/>
        <w:jc w:val="left"/>
        <w:rPr>
          <w:sz w:val="13"/>
        </w:rPr>
      </w:pPr>
      <w:r>
        <w:rPr>
          <w:w w:val="105"/>
          <w:sz w:val="13"/>
        </w:rPr>
        <w:t>Consultations</w:t>
      </w:r>
      <w:r>
        <w:rPr>
          <w:spacing w:val="5"/>
          <w:w w:val="105"/>
          <w:sz w:val="13"/>
        </w:rPr>
        <w:t> </w:t>
      </w:r>
      <w:r>
        <w:rPr>
          <w:w w:val="105"/>
          <w:sz w:val="13"/>
        </w:rPr>
        <w:t>8</w:t>
      </w:r>
      <w:r>
        <w:rPr>
          <w:spacing w:val="5"/>
          <w:w w:val="105"/>
          <w:sz w:val="13"/>
        </w:rPr>
        <w:t> </w:t>
      </w:r>
      <w:r>
        <w:rPr>
          <w:w w:val="105"/>
          <w:sz w:val="13"/>
        </w:rPr>
        <w:t>(City</w:t>
      </w:r>
      <w:r>
        <w:rPr>
          <w:spacing w:val="5"/>
          <w:w w:val="105"/>
          <w:sz w:val="13"/>
        </w:rPr>
        <w:t> </w:t>
      </w:r>
      <w:r>
        <w:rPr>
          <w:w w:val="105"/>
          <w:sz w:val="13"/>
        </w:rPr>
        <w:t>of</w:t>
      </w:r>
      <w:r>
        <w:rPr>
          <w:spacing w:val="6"/>
          <w:w w:val="105"/>
          <w:sz w:val="13"/>
        </w:rPr>
        <w:t> </w:t>
      </w:r>
      <w:r>
        <w:rPr>
          <w:w w:val="105"/>
          <w:sz w:val="13"/>
        </w:rPr>
        <w:t>Boroondara),</w:t>
      </w:r>
      <w:r>
        <w:rPr>
          <w:spacing w:val="5"/>
          <w:w w:val="105"/>
          <w:sz w:val="13"/>
        </w:rPr>
        <w:t> </w:t>
      </w:r>
      <w:r>
        <w:rPr>
          <w:w w:val="105"/>
          <w:sz w:val="13"/>
        </w:rPr>
        <w:t>9</w:t>
      </w:r>
      <w:r>
        <w:rPr>
          <w:spacing w:val="5"/>
          <w:w w:val="105"/>
          <w:sz w:val="13"/>
        </w:rPr>
        <w:t> </w:t>
      </w:r>
      <w:r>
        <w:rPr>
          <w:w w:val="105"/>
          <w:sz w:val="13"/>
        </w:rPr>
        <w:t>(Nillumbik</w:t>
      </w:r>
      <w:r>
        <w:rPr>
          <w:spacing w:val="6"/>
          <w:w w:val="105"/>
          <w:sz w:val="13"/>
        </w:rPr>
        <w:t> </w:t>
      </w:r>
      <w:r>
        <w:rPr>
          <w:w w:val="105"/>
          <w:sz w:val="13"/>
        </w:rPr>
        <w:t>Shire</w:t>
      </w:r>
      <w:r>
        <w:rPr>
          <w:spacing w:val="5"/>
          <w:w w:val="105"/>
          <w:sz w:val="13"/>
        </w:rPr>
        <w:t> </w:t>
      </w:r>
      <w:r>
        <w:rPr>
          <w:w w:val="105"/>
          <w:sz w:val="13"/>
        </w:rPr>
        <w:t>Council),</w:t>
      </w:r>
      <w:r>
        <w:rPr>
          <w:spacing w:val="5"/>
          <w:w w:val="105"/>
          <w:sz w:val="13"/>
        </w:rPr>
        <w:t> </w:t>
      </w:r>
      <w:r>
        <w:rPr>
          <w:spacing w:val="-4"/>
          <w:w w:val="105"/>
          <w:sz w:val="13"/>
        </w:rPr>
        <w:t>12</w:t>
      </w:r>
      <w:r>
        <w:rPr>
          <w:spacing w:val="6"/>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Port</w:t>
      </w:r>
      <w:r>
        <w:rPr>
          <w:spacing w:val="5"/>
          <w:w w:val="105"/>
          <w:sz w:val="13"/>
        </w:rPr>
        <w:t> </w:t>
      </w:r>
      <w:r>
        <w:rPr>
          <w:w w:val="105"/>
          <w:sz w:val="13"/>
        </w:rPr>
        <w:t>Phillip),</w:t>
      </w:r>
      <w:r>
        <w:rPr>
          <w:spacing w:val="6"/>
          <w:w w:val="105"/>
          <w:sz w:val="13"/>
        </w:rPr>
        <w:t> </w:t>
      </w:r>
      <w:r>
        <w:rPr>
          <w:w w:val="105"/>
          <w:sz w:val="13"/>
        </w:rPr>
        <w:t>16</w:t>
      </w:r>
      <w:r>
        <w:rPr>
          <w:spacing w:val="5"/>
          <w:w w:val="105"/>
          <w:sz w:val="13"/>
        </w:rPr>
        <w:t> </w:t>
      </w:r>
      <w:r>
        <w:rPr>
          <w:spacing w:val="2"/>
          <w:w w:val="105"/>
          <w:sz w:val="13"/>
        </w:rPr>
        <w:t>(Heritage</w:t>
      </w:r>
      <w:r>
        <w:rPr>
          <w:spacing w:val="5"/>
          <w:w w:val="105"/>
          <w:sz w:val="13"/>
        </w:rPr>
        <w:t> </w:t>
      </w:r>
      <w:r>
        <w:rPr>
          <w:spacing w:val="2"/>
          <w:w w:val="105"/>
          <w:sz w:val="13"/>
        </w:rPr>
        <w:t>Victoria).</w:t>
      </w:r>
    </w:p>
    <w:p>
      <w:pPr>
        <w:pStyle w:val="ListParagraph"/>
        <w:numPr>
          <w:ilvl w:val="0"/>
          <w:numId w:val="164"/>
        </w:numPr>
        <w:tabs>
          <w:tab w:pos="2381" w:val="left" w:leader="none"/>
          <w:tab w:pos="2382" w:val="left" w:leader="none"/>
        </w:tabs>
        <w:spacing w:line="240" w:lineRule="auto" w:before="2" w:after="0"/>
        <w:ind w:left="2381" w:right="4" w:hanging="794"/>
        <w:jc w:val="left"/>
        <w:rPr>
          <w:sz w:val="13"/>
        </w:rPr>
      </w:pPr>
      <w:r>
        <w:rPr>
          <w:w w:val="105"/>
          <w:sz w:val="13"/>
        </w:rPr>
        <w:t>Chris Harty, Robin Crocker and Lyn Denison, </w:t>
      </w:r>
      <w:r>
        <w:rPr>
          <w:i/>
          <w:w w:val="105"/>
          <w:sz w:val="13"/>
        </w:rPr>
        <w:t>Panel </w:t>
      </w:r>
      <w:r>
        <w:rPr>
          <w:i/>
          <w:spacing w:val="2"/>
          <w:w w:val="105"/>
          <w:sz w:val="13"/>
        </w:rPr>
        <w:t>Report—Monash </w:t>
      </w:r>
      <w:r>
        <w:rPr>
          <w:i/>
          <w:w w:val="105"/>
          <w:sz w:val="13"/>
        </w:rPr>
        <w:t>Planning Scheme Amendment C115—Vegetation Protection Overlay </w:t>
      </w:r>
      <w:r>
        <w:rPr>
          <w:i/>
          <w:w w:val="105"/>
          <w:sz w:val="13"/>
        </w:rPr>
        <w:t>Schedule 1—Tree Protection Area </w:t>
      </w:r>
      <w:r>
        <w:rPr>
          <w:w w:val="105"/>
          <w:sz w:val="13"/>
        </w:rPr>
        <w:t>(Panel </w:t>
      </w:r>
      <w:r>
        <w:rPr>
          <w:spacing w:val="2"/>
          <w:w w:val="105"/>
          <w:sz w:val="13"/>
        </w:rPr>
        <w:t>Report, </w:t>
      </w:r>
      <w:r>
        <w:rPr>
          <w:spacing w:val="-4"/>
          <w:w w:val="105"/>
          <w:sz w:val="13"/>
        </w:rPr>
        <w:t>13  </w:t>
      </w:r>
      <w:r>
        <w:rPr>
          <w:w w:val="105"/>
          <w:sz w:val="13"/>
        </w:rPr>
        <w:t>August 2013) </w:t>
      </w:r>
      <w:r>
        <w:rPr>
          <w:spacing w:val="-5"/>
          <w:w w:val="105"/>
          <w:sz w:val="13"/>
        </w:rPr>
        <w:t>7.</w:t>
      </w:r>
      <w:r>
        <w:rPr>
          <w:spacing w:val="20"/>
          <w:w w:val="105"/>
          <w:sz w:val="13"/>
        </w:rPr>
        <w:t> </w:t>
      </w:r>
      <w:r>
        <w:rPr>
          <w:w w:val="105"/>
          <w:sz w:val="13"/>
        </w:rPr>
        <w:t>This Panel was appointed under delegation on the 8 May </w:t>
      </w:r>
      <w:r>
        <w:rPr>
          <w:spacing w:val="-3"/>
          <w:w w:val="105"/>
          <w:sz w:val="13"/>
        </w:rPr>
        <w:t>2013  </w:t>
      </w:r>
      <w:r>
        <w:rPr>
          <w:w w:val="105"/>
          <w:sz w:val="13"/>
        </w:rPr>
        <w:t>pursuant  to</w:t>
      </w:r>
      <w:r>
        <w:rPr>
          <w:spacing w:val="5"/>
          <w:w w:val="105"/>
          <w:sz w:val="13"/>
        </w:rPr>
        <w:t> </w:t>
      </w:r>
      <w:r>
        <w:rPr>
          <w:w w:val="105"/>
          <w:sz w:val="13"/>
        </w:rPr>
        <w:t>Sections</w:t>
      </w:r>
      <w:r>
        <w:rPr>
          <w:spacing w:val="6"/>
          <w:w w:val="105"/>
          <w:sz w:val="13"/>
        </w:rPr>
        <w:t> </w:t>
      </w:r>
      <w:r>
        <w:rPr>
          <w:w w:val="105"/>
          <w:sz w:val="13"/>
        </w:rPr>
        <w:t>153</w:t>
      </w:r>
      <w:r>
        <w:rPr>
          <w:spacing w:val="6"/>
          <w:w w:val="105"/>
          <w:sz w:val="13"/>
        </w:rPr>
        <w:t> </w:t>
      </w:r>
      <w:r>
        <w:rPr>
          <w:w w:val="105"/>
          <w:sz w:val="13"/>
        </w:rPr>
        <w:t>and</w:t>
      </w:r>
      <w:r>
        <w:rPr>
          <w:spacing w:val="6"/>
          <w:w w:val="105"/>
          <w:sz w:val="13"/>
        </w:rPr>
        <w:t> </w:t>
      </w:r>
      <w:r>
        <w:rPr>
          <w:spacing w:val="-3"/>
          <w:w w:val="105"/>
          <w:sz w:val="13"/>
        </w:rPr>
        <w:t>155</w:t>
      </w:r>
      <w:r>
        <w:rPr>
          <w:spacing w:val="6"/>
          <w:w w:val="105"/>
          <w:sz w:val="13"/>
        </w:rPr>
        <w:t> </w:t>
      </w:r>
      <w:r>
        <w:rPr>
          <w:w w:val="105"/>
          <w:sz w:val="13"/>
        </w:rPr>
        <w:t>of</w:t>
      </w:r>
      <w:r>
        <w:rPr>
          <w:spacing w:val="6"/>
          <w:w w:val="105"/>
          <w:sz w:val="13"/>
        </w:rPr>
        <w:t> </w:t>
      </w:r>
      <w:r>
        <w:rPr>
          <w:w w:val="105"/>
          <w:sz w:val="13"/>
        </w:rPr>
        <w:t>the</w:t>
      </w:r>
      <w:r>
        <w:rPr>
          <w:spacing w:val="6"/>
          <w:w w:val="105"/>
          <w:sz w:val="13"/>
        </w:rPr>
        <w:t> </w:t>
      </w:r>
      <w:r>
        <w:rPr>
          <w:i/>
          <w:w w:val="105"/>
          <w:sz w:val="13"/>
        </w:rPr>
        <w:t>Planning</w:t>
      </w:r>
      <w:r>
        <w:rPr>
          <w:i/>
          <w:spacing w:val="6"/>
          <w:w w:val="105"/>
          <w:sz w:val="13"/>
        </w:rPr>
        <w:t> </w:t>
      </w:r>
      <w:r>
        <w:rPr>
          <w:i/>
          <w:w w:val="105"/>
          <w:sz w:val="13"/>
        </w:rPr>
        <w:t>and</w:t>
      </w:r>
      <w:r>
        <w:rPr>
          <w:i/>
          <w:spacing w:val="5"/>
          <w:w w:val="105"/>
          <w:sz w:val="13"/>
        </w:rPr>
        <w:t> </w:t>
      </w:r>
      <w:r>
        <w:rPr>
          <w:i/>
          <w:w w:val="105"/>
          <w:sz w:val="13"/>
        </w:rPr>
        <w:t>Environment</w:t>
      </w:r>
      <w:r>
        <w:rPr>
          <w:i/>
          <w:spacing w:val="6"/>
          <w:w w:val="105"/>
          <w:sz w:val="13"/>
        </w:rPr>
        <w:t> </w:t>
      </w:r>
      <w:r>
        <w:rPr>
          <w:i/>
          <w:w w:val="105"/>
          <w:sz w:val="13"/>
        </w:rPr>
        <w:t>Act</w:t>
      </w:r>
      <w:r>
        <w:rPr>
          <w:i/>
          <w:spacing w:val="6"/>
          <w:w w:val="105"/>
          <w:sz w:val="13"/>
        </w:rPr>
        <w:t> </w:t>
      </w:r>
      <w:r>
        <w:rPr>
          <w:i/>
          <w:w w:val="105"/>
          <w:sz w:val="13"/>
        </w:rPr>
        <w:t>1987</w:t>
      </w:r>
      <w:r>
        <w:rPr>
          <w:i/>
          <w:spacing w:val="6"/>
          <w:w w:val="105"/>
          <w:sz w:val="13"/>
        </w:rPr>
        <w:t> </w:t>
      </w:r>
      <w:r>
        <w:rPr>
          <w:w w:val="105"/>
          <w:sz w:val="13"/>
        </w:rPr>
        <w:t>to</w:t>
      </w:r>
      <w:r>
        <w:rPr>
          <w:spacing w:val="6"/>
          <w:w w:val="105"/>
          <w:sz w:val="13"/>
        </w:rPr>
        <w:t> </w:t>
      </w:r>
      <w:r>
        <w:rPr>
          <w:w w:val="105"/>
          <w:sz w:val="13"/>
        </w:rPr>
        <w:t>hear</w:t>
      </w:r>
      <w:r>
        <w:rPr>
          <w:spacing w:val="6"/>
          <w:w w:val="105"/>
          <w:sz w:val="13"/>
        </w:rPr>
        <w:t> </w:t>
      </w:r>
      <w:r>
        <w:rPr>
          <w:w w:val="105"/>
          <w:sz w:val="13"/>
        </w:rPr>
        <w:t>and</w:t>
      </w:r>
      <w:r>
        <w:rPr>
          <w:spacing w:val="6"/>
          <w:w w:val="105"/>
          <w:sz w:val="13"/>
        </w:rPr>
        <w:t> </w:t>
      </w:r>
      <w:r>
        <w:rPr>
          <w:w w:val="105"/>
          <w:sz w:val="13"/>
        </w:rPr>
        <w:t>consider</w:t>
      </w:r>
      <w:r>
        <w:rPr>
          <w:spacing w:val="6"/>
          <w:w w:val="105"/>
          <w:sz w:val="13"/>
        </w:rPr>
        <w:t> </w:t>
      </w:r>
      <w:r>
        <w:rPr>
          <w:w w:val="105"/>
          <w:sz w:val="13"/>
        </w:rPr>
        <w:t>submissions</w:t>
      </w:r>
      <w:r>
        <w:rPr>
          <w:spacing w:val="5"/>
          <w:w w:val="105"/>
          <w:sz w:val="13"/>
        </w:rPr>
        <w:t> </w:t>
      </w:r>
      <w:r>
        <w:rPr>
          <w:w w:val="105"/>
          <w:sz w:val="13"/>
        </w:rPr>
        <w:t>in</w:t>
      </w:r>
      <w:r>
        <w:rPr>
          <w:spacing w:val="6"/>
          <w:w w:val="105"/>
          <w:sz w:val="13"/>
        </w:rPr>
        <w:t> </w:t>
      </w:r>
      <w:r>
        <w:rPr>
          <w:w w:val="105"/>
          <w:sz w:val="13"/>
        </w:rPr>
        <w:t>respect</w:t>
      </w:r>
      <w:r>
        <w:rPr>
          <w:spacing w:val="6"/>
          <w:w w:val="105"/>
          <w:sz w:val="13"/>
        </w:rPr>
        <w:t> </w:t>
      </w:r>
      <w:r>
        <w:rPr>
          <w:w w:val="105"/>
          <w:sz w:val="13"/>
        </w:rPr>
        <w:t>of</w:t>
      </w:r>
      <w:r>
        <w:rPr>
          <w:spacing w:val="6"/>
          <w:w w:val="105"/>
          <w:sz w:val="13"/>
        </w:rPr>
        <w:t> </w:t>
      </w:r>
      <w:r>
        <w:rPr>
          <w:w w:val="105"/>
          <w:sz w:val="13"/>
        </w:rPr>
        <w:t>the</w:t>
      </w:r>
      <w:r>
        <w:rPr>
          <w:spacing w:val="6"/>
          <w:w w:val="105"/>
          <w:sz w:val="13"/>
        </w:rPr>
        <w:t> </w:t>
      </w:r>
      <w:r>
        <w:rPr>
          <w:w w:val="105"/>
          <w:sz w:val="13"/>
        </w:rPr>
        <w:t>Amendment.</w:t>
      </w:r>
    </w:p>
    <w:p>
      <w:pPr>
        <w:pStyle w:val="ListParagraph"/>
        <w:numPr>
          <w:ilvl w:val="0"/>
          <w:numId w:val="164"/>
        </w:numPr>
        <w:tabs>
          <w:tab w:pos="2381" w:val="left" w:leader="none"/>
          <w:tab w:pos="2382" w:val="left" w:leader="none"/>
        </w:tabs>
        <w:spacing w:line="240" w:lineRule="auto" w:before="4" w:after="0"/>
        <w:ind w:left="2381" w:right="0" w:hanging="794"/>
        <w:jc w:val="left"/>
        <w:rPr>
          <w:sz w:val="13"/>
        </w:rPr>
      </w:pPr>
      <w:r>
        <w:rPr>
          <w:w w:val="105"/>
          <w:sz w:val="13"/>
        </w:rPr>
        <w:t>Consultation 9 (Nillumbik Shire</w:t>
      </w:r>
      <w:r>
        <w:rPr>
          <w:spacing w:val="18"/>
          <w:w w:val="105"/>
          <w:sz w:val="13"/>
        </w:rPr>
        <w:t> </w:t>
      </w:r>
      <w:r>
        <w:rPr>
          <w:w w:val="105"/>
          <w:sz w:val="13"/>
        </w:rPr>
        <w:t>Council).</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28"/>
        </w:rPr>
      </w:pPr>
    </w:p>
    <w:p>
      <w:pPr>
        <w:spacing w:before="1"/>
        <w:ind w:left="484" w:right="573" w:firstLine="0"/>
        <w:jc w:val="center"/>
        <w:rPr>
          <w:b/>
          <w:sz w:val="24"/>
        </w:rPr>
      </w:pPr>
      <w:r>
        <w:rPr>
          <w:b/>
          <w:color w:val="658464"/>
          <w:w w:val="110"/>
          <w:sz w:val="24"/>
        </w:rPr>
        <w:t>223</w:t>
      </w:r>
    </w:p>
    <w:p>
      <w:pPr>
        <w:spacing w:after="0"/>
        <w:jc w:val="center"/>
        <w:rPr>
          <w:sz w:val="24"/>
        </w:rPr>
        <w:sectPr>
          <w:type w:val="continuous"/>
          <w:pgSz w:w="11910" w:h="16840"/>
          <w:pgMar w:top="300" w:bottom="280" w:left="0" w:right="0"/>
          <w:cols w:num="2" w:equalWidth="0">
            <w:col w:w="10370" w:space="40"/>
            <w:col w:w="1500"/>
          </w:cols>
        </w:sectPr>
      </w:pPr>
    </w:p>
    <w:p>
      <w:pPr>
        <w:pStyle w:val="BodyText"/>
        <w:spacing w:before="9"/>
        <w:rPr>
          <w:b/>
          <w:sz w:val="22"/>
        </w:rPr>
      </w:pPr>
    </w:p>
    <w:p>
      <w:pPr>
        <w:pStyle w:val="ListParagraph"/>
        <w:numPr>
          <w:ilvl w:val="1"/>
          <w:numId w:val="16"/>
        </w:numPr>
        <w:tabs>
          <w:tab w:pos="2381" w:val="left" w:leader="none"/>
          <w:tab w:pos="2382" w:val="left" w:leader="none"/>
        </w:tabs>
        <w:spacing w:line="242" w:lineRule="auto" w:before="92" w:after="0"/>
        <w:ind w:left="2381" w:right="1708" w:hanging="794"/>
        <w:jc w:val="left"/>
        <w:rPr>
          <w:sz w:val="21"/>
        </w:rPr>
      </w:pPr>
      <w:r>
        <w:rPr>
          <w:w w:val="105"/>
          <w:sz w:val="21"/>
        </w:rPr>
        <w:t>Under the </w:t>
      </w:r>
      <w:r>
        <w:rPr>
          <w:spacing w:val="-4"/>
          <w:w w:val="105"/>
          <w:sz w:val="21"/>
        </w:rPr>
        <w:t>SLO, </w:t>
      </w:r>
      <w:r>
        <w:rPr>
          <w:w w:val="105"/>
          <w:sz w:val="21"/>
        </w:rPr>
        <w:t>ESO and VPO a </w:t>
      </w:r>
      <w:r>
        <w:rPr>
          <w:spacing w:val="-3"/>
          <w:w w:val="105"/>
          <w:sz w:val="21"/>
        </w:rPr>
        <w:t>planning </w:t>
      </w:r>
      <w:r>
        <w:rPr>
          <w:w w:val="105"/>
          <w:sz w:val="21"/>
        </w:rPr>
        <w:t>permit is </w:t>
      </w:r>
      <w:r>
        <w:rPr>
          <w:spacing w:val="-3"/>
          <w:w w:val="105"/>
          <w:sz w:val="21"/>
        </w:rPr>
        <w:t>required to remove, </w:t>
      </w:r>
      <w:r>
        <w:rPr>
          <w:w w:val="105"/>
          <w:sz w:val="21"/>
        </w:rPr>
        <w:t>destroy or lop </w:t>
      </w:r>
      <w:r>
        <w:rPr>
          <w:spacing w:val="-3"/>
          <w:w w:val="105"/>
          <w:sz w:val="21"/>
        </w:rPr>
        <w:t>any </w:t>
      </w:r>
      <w:r>
        <w:rPr>
          <w:w w:val="105"/>
          <w:sz w:val="21"/>
        </w:rPr>
        <w:t>specified vegetation. The </w:t>
      </w:r>
      <w:r>
        <w:rPr>
          <w:spacing w:val="-3"/>
          <w:w w:val="105"/>
          <w:sz w:val="21"/>
        </w:rPr>
        <w:t>regular </w:t>
      </w:r>
      <w:r>
        <w:rPr>
          <w:w w:val="105"/>
          <w:sz w:val="21"/>
        </w:rPr>
        <w:t>permit process applies </w:t>
      </w:r>
      <w:r>
        <w:rPr>
          <w:spacing w:val="-3"/>
          <w:w w:val="105"/>
          <w:sz w:val="21"/>
        </w:rPr>
        <w:t>to </w:t>
      </w:r>
      <w:r>
        <w:rPr>
          <w:w w:val="105"/>
          <w:sz w:val="21"/>
        </w:rPr>
        <w:t>works </w:t>
      </w:r>
      <w:r>
        <w:rPr>
          <w:spacing w:val="-3"/>
          <w:w w:val="105"/>
          <w:sz w:val="21"/>
        </w:rPr>
        <w:t>to </w:t>
      </w:r>
      <w:r>
        <w:rPr>
          <w:w w:val="105"/>
          <w:sz w:val="21"/>
        </w:rPr>
        <w:t>more </w:t>
      </w:r>
      <w:r>
        <w:rPr>
          <w:spacing w:val="-3"/>
          <w:w w:val="105"/>
          <w:sz w:val="21"/>
        </w:rPr>
        <w:t>than </w:t>
      </w:r>
      <w:r>
        <w:rPr>
          <w:w w:val="105"/>
          <w:sz w:val="21"/>
        </w:rPr>
        <w:t>one tree and the VicSmart process applies </w:t>
      </w:r>
      <w:r>
        <w:rPr>
          <w:spacing w:val="-3"/>
          <w:w w:val="105"/>
          <w:sz w:val="21"/>
        </w:rPr>
        <w:t>to </w:t>
      </w:r>
      <w:r>
        <w:rPr>
          <w:w w:val="105"/>
          <w:sz w:val="21"/>
        </w:rPr>
        <w:t>only one</w:t>
      </w:r>
      <w:r>
        <w:rPr>
          <w:spacing w:val="32"/>
          <w:w w:val="105"/>
          <w:sz w:val="21"/>
        </w:rPr>
        <w:t> </w:t>
      </w:r>
      <w:r>
        <w:rPr>
          <w:spacing w:val="-3"/>
          <w:w w:val="105"/>
          <w:sz w:val="21"/>
        </w:rPr>
        <w:t>tree.</w:t>
      </w:r>
    </w:p>
    <w:p>
      <w:pPr>
        <w:pStyle w:val="ListParagraph"/>
        <w:numPr>
          <w:ilvl w:val="1"/>
          <w:numId w:val="16"/>
        </w:numPr>
        <w:tabs>
          <w:tab w:pos="2380" w:val="left" w:leader="none"/>
          <w:tab w:pos="2381" w:val="left" w:leader="none"/>
        </w:tabs>
        <w:spacing w:line="242" w:lineRule="auto" w:before="123" w:after="0"/>
        <w:ind w:left="2381" w:right="1665" w:hanging="794"/>
        <w:jc w:val="left"/>
        <w:rPr>
          <w:sz w:val="21"/>
        </w:rPr>
      </w:pPr>
      <w:r>
        <w:rPr>
          <w:w w:val="105"/>
          <w:sz w:val="21"/>
        </w:rPr>
        <w:t>A Heritage Overlay schedule can apply </w:t>
      </w:r>
      <w:r>
        <w:rPr>
          <w:spacing w:val="-3"/>
          <w:w w:val="105"/>
          <w:sz w:val="21"/>
        </w:rPr>
        <w:t>to </w:t>
      </w:r>
      <w:r>
        <w:rPr>
          <w:w w:val="105"/>
          <w:sz w:val="21"/>
        </w:rPr>
        <w:t>the whole of a heritage </w:t>
      </w:r>
      <w:r>
        <w:rPr>
          <w:spacing w:val="-3"/>
          <w:w w:val="105"/>
          <w:sz w:val="21"/>
        </w:rPr>
        <w:t>place (for example, </w:t>
      </w:r>
      <w:r>
        <w:rPr>
          <w:w w:val="105"/>
          <w:sz w:val="21"/>
        </w:rPr>
        <w:t>over a house </w:t>
      </w:r>
      <w:r>
        <w:rPr>
          <w:spacing w:val="-3"/>
          <w:w w:val="105"/>
          <w:sz w:val="21"/>
        </w:rPr>
        <w:t>site </w:t>
      </w:r>
      <w:r>
        <w:rPr>
          <w:w w:val="105"/>
          <w:sz w:val="21"/>
        </w:rPr>
        <w:t>or an area) or a tree or </w:t>
      </w:r>
      <w:r>
        <w:rPr>
          <w:spacing w:val="-3"/>
          <w:w w:val="105"/>
          <w:sz w:val="21"/>
        </w:rPr>
        <w:t>group </w:t>
      </w:r>
      <w:r>
        <w:rPr>
          <w:w w:val="105"/>
          <w:sz w:val="21"/>
        </w:rPr>
        <w:t>of trees </w:t>
      </w:r>
      <w:r>
        <w:rPr>
          <w:spacing w:val="-3"/>
          <w:w w:val="105"/>
          <w:sz w:val="21"/>
        </w:rPr>
        <w:t>could </w:t>
      </w:r>
      <w:r>
        <w:rPr>
          <w:w w:val="105"/>
          <w:sz w:val="21"/>
        </w:rPr>
        <w:t>be specifically </w:t>
      </w:r>
      <w:r>
        <w:rPr>
          <w:spacing w:val="-3"/>
          <w:w w:val="105"/>
          <w:sz w:val="21"/>
        </w:rPr>
        <w:t>nominated </w:t>
      </w:r>
      <w:r>
        <w:rPr>
          <w:w w:val="105"/>
          <w:sz w:val="21"/>
        </w:rPr>
        <w:t>as the heritage </w:t>
      </w:r>
      <w:r>
        <w:rPr>
          <w:spacing w:val="-3"/>
          <w:w w:val="105"/>
          <w:sz w:val="21"/>
        </w:rPr>
        <w:t>place. </w:t>
      </w:r>
      <w:r>
        <w:rPr>
          <w:w w:val="105"/>
          <w:sz w:val="21"/>
        </w:rPr>
        <w:t>Heritage Overlay tree </w:t>
      </w:r>
      <w:r>
        <w:rPr>
          <w:spacing w:val="-3"/>
          <w:w w:val="105"/>
          <w:sz w:val="21"/>
        </w:rPr>
        <w:t>controls are intended to </w:t>
      </w:r>
      <w:r>
        <w:rPr>
          <w:w w:val="105"/>
          <w:sz w:val="21"/>
        </w:rPr>
        <w:t>protect trees </w:t>
      </w:r>
      <w:r>
        <w:rPr>
          <w:spacing w:val="-3"/>
          <w:w w:val="105"/>
          <w:sz w:val="21"/>
        </w:rPr>
        <w:t>that are</w:t>
      </w:r>
      <w:r>
        <w:rPr>
          <w:spacing w:val="-6"/>
          <w:w w:val="105"/>
          <w:sz w:val="21"/>
        </w:rPr>
        <w:t> </w:t>
      </w:r>
      <w:r>
        <w:rPr>
          <w:spacing w:val="-5"/>
          <w:w w:val="105"/>
          <w:sz w:val="21"/>
        </w:rPr>
        <w:t>‘of </w:t>
      </w:r>
      <w:r>
        <w:rPr>
          <w:spacing w:val="-3"/>
          <w:w w:val="105"/>
          <w:sz w:val="21"/>
        </w:rPr>
        <w:t>intrinsic</w:t>
      </w:r>
      <w:r>
        <w:rPr>
          <w:spacing w:val="-6"/>
          <w:w w:val="105"/>
          <w:sz w:val="21"/>
        </w:rPr>
        <w:t> </w:t>
      </w:r>
      <w:r>
        <w:rPr>
          <w:spacing w:val="-3"/>
          <w:w w:val="105"/>
          <w:sz w:val="21"/>
        </w:rPr>
        <w:t>significance’</w:t>
      </w:r>
      <w:r>
        <w:rPr>
          <w:spacing w:val="-5"/>
          <w:w w:val="105"/>
          <w:sz w:val="21"/>
        </w:rPr>
        <w:t> </w:t>
      </w:r>
      <w:r>
        <w:rPr>
          <w:w w:val="105"/>
          <w:sz w:val="21"/>
        </w:rPr>
        <w:t>(such</w:t>
      </w:r>
      <w:r>
        <w:rPr>
          <w:spacing w:val="-6"/>
          <w:w w:val="105"/>
          <w:sz w:val="21"/>
        </w:rPr>
        <w:t> </w:t>
      </w:r>
      <w:r>
        <w:rPr>
          <w:w w:val="105"/>
          <w:sz w:val="21"/>
        </w:rPr>
        <w:t>as</w:t>
      </w:r>
      <w:r>
        <w:rPr>
          <w:spacing w:val="-5"/>
          <w:w w:val="105"/>
          <w:sz w:val="21"/>
        </w:rPr>
        <w:t> </w:t>
      </w:r>
      <w:r>
        <w:rPr>
          <w:w w:val="105"/>
          <w:sz w:val="21"/>
        </w:rPr>
        <w:t>trees</w:t>
      </w:r>
      <w:r>
        <w:rPr>
          <w:spacing w:val="-5"/>
          <w:w w:val="105"/>
          <w:sz w:val="21"/>
        </w:rPr>
        <w:t> </w:t>
      </w:r>
      <w:r>
        <w:rPr>
          <w:spacing w:val="-3"/>
          <w:w w:val="105"/>
          <w:sz w:val="21"/>
        </w:rPr>
        <w:t>that</w:t>
      </w:r>
      <w:r>
        <w:rPr>
          <w:spacing w:val="-6"/>
          <w:w w:val="105"/>
          <w:sz w:val="21"/>
        </w:rPr>
        <w:t> </w:t>
      </w:r>
      <w:r>
        <w:rPr>
          <w:spacing w:val="-3"/>
          <w:w w:val="105"/>
          <w:sz w:val="21"/>
        </w:rPr>
        <w:t>are</w:t>
      </w:r>
      <w:r>
        <w:rPr>
          <w:spacing w:val="-5"/>
          <w:w w:val="105"/>
          <w:sz w:val="21"/>
        </w:rPr>
        <w:t> </w:t>
      </w:r>
      <w:r>
        <w:rPr>
          <w:spacing w:val="-3"/>
          <w:w w:val="105"/>
          <w:sz w:val="21"/>
        </w:rPr>
        <w:t>included</w:t>
      </w:r>
      <w:r>
        <w:rPr>
          <w:spacing w:val="-6"/>
          <w:w w:val="105"/>
          <w:sz w:val="21"/>
        </w:rPr>
        <w:t> </w:t>
      </w:r>
      <w:r>
        <w:rPr>
          <w:w w:val="105"/>
          <w:sz w:val="21"/>
        </w:rPr>
        <w:t>on</w:t>
      </w:r>
      <w:r>
        <w:rPr>
          <w:spacing w:val="-5"/>
          <w:w w:val="105"/>
          <w:sz w:val="21"/>
        </w:rPr>
        <w:t> </w:t>
      </w:r>
      <w:r>
        <w:rPr>
          <w:w w:val="105"/>
          <w:sz w:val="21"/>
        </w:rPr>
        <w:t>the</w:t>
      </w:r>
      <w:r>
        <w:rPr>
          <w:spacing w:val="-5"/>
          <w:w w:val="105"/>
          <w:sz w:val="21"/>
        </w:rPr>
        <w:t> </w:t>
      </w:r>
      <w:r>
        <w:rPr>
          <w:spacing w:val="-3"/>
          <w:w w:val="105"/>
          <w:sz w:val="21"/>
        </w:rPr>
        <w:t>National</w:t>
      </w:r>
      <w:r>
        <w:rPr>
          <w:spacing w:val="-6"/>
          <w:w w:val="105"/>
          <w:sz w:val="21"/>
        </w:rPr>
        <w:t> </w:t>
      </w:r>
      <w:r>
        <w:rPr>
          <w:spacing w:val="-4"/>
          <w:w w:val="105"/>
          <w:sz w:val="21"/>
        </w:rPr>
        <w:t>Trust</w:t>
      </w:r>
      <w:r>
        <w:rPr>
          <w:spacing w:val="-5"/>
          <w:w w:val="105"/>
          <w:sz w:val="21"/>
        </w:rPr>
        <w:t> </w:t>
      </w:r>
      <w:r>
        <w:rPr>
          <w:w w:val="105"/>
          <w:sz w:val="21"/>
        </w:rPr>
        <w:t>Register or trees </w:t>
      </w:r>
      <w:r>
        <w:rPr>
          <w:spacing w:val="-3"/>
          <w:w w:val="105"/>
          <w:sz w:val="21"/>
        </w:rPr>
        <w:t>that contribute to </w:t>
      </w:r>
      <w:r>
        <w:rPr>
          <w:w w:val="105"/>
          <w:sz w:val="21"/>
        </w:rPr>
        <w:t>the </w:t>
      </w:r>
      <w:r>
        <w:rPr>
          <w:spacing w:val="-3"/>
          <w:w w:val="105"/>
          <w:sz w:val="21"/>
        </w:rPr>
        <w:t>significance </w:t>
      </w:r>
      <w:r>
        <w:rPr>
          <w:w w:val="105"/>
          <w:sz w:val="21"/>
        </w:rPr>
        <w:t>of a heritage place).</w:t>
      </w:r>
      <w:r>
        <w:rPr>
          <w:w w:val="105"/>
          <w:position w:val="7"/>
          <w:sz w:val="12"/>
        </w:rPr>
        <w:t>48 </w:t>
      </w:r>
      <w:r>
        <w:rPr>
          <w:w w:val="105"/>
          <w:sz w:val="21"/>
        </w:rPr>
        <w:t>A VicSmart permit </w:t>
      </w:r>
      <w:r>
        <w:rPr>
          <w:spacing w:val="-3"/>
          <w:w w:val="105"/>
          <w:sz w:val="21"/>
        </w:rPr>
        <w:t>will </w:t>
      </w:r>
      <w:r>
        <w:rPr>
          <w:w w:val="105"/>
          <w:sz w:val="21"/>
        </w:rPr>
        <w:t>only apply </w:t>
      </w:r>
      <w:r>
        <w:rPr>
          <w:spacing w:val="-3"/>
          <w:w w:val="105"/>
          <w:sz w:val="21"/>
        </w:rPr>
        <w:t>to </w:t>
      </w:r>
      <w:r>
        <w:rPr>
          <w:w w:val="105"/>
          <w:sz w:val="21"/>
        </w:rPr>
        <w:t>the lopping of heritage trees. A </w:t>
      </w:r>
      <w:r>
        <w:rPr>
          <w:spacing w:val="-3"/>
          <w:w w:val="105"/>
          <w:sz w:val="21"/>
        </w:rPr>
        <w:t>regular </w:t>
      </w:r>
      <w:r>
        <w:rPr>
          <w:w w:val="105"/>
          <w:sz w:val="21"/>
        </w:rPr>
        <w:t>permit is still </w:t>
      </w:r>
      <w:r>
        <w:rPr>
          <w:spacing w:val="-3"/>
          <w:w w:val="105"/>
          <w:sz w:val="21"/>
        </w:rPr>
        <w:t>required to remove </w:t>
      </w:r>
      <w:r>
        <w:rPr>
          <w:w w:val="105"/>
          <w:sz w:val="21"/>
        </w:rPr>
        <w:t>or destroy one or more trees </w:t>
      </w:r>
      <w:r>
        <w:rPr>
          <w:spacing w:val="-3"/>
          <w:w w:val="105"/>
          <w:sz w:val="21"/>
        </w:rPr>
        <w:t>covered </w:t>
      </w:r>
      <w:r>
        <w:rPr>
          <w:w w:val="105"/>
          <w:sz w:val="21"/>
        </w:rPr>
        <w:t>by a heritage</w:t>
      </w:r>
      <w:r>
        <w:rPr>
          <w:spacing w:val="27"/>
          <w:w w:val="105"/>
          <w:sz w:val="21"/>
        </w:rPr>
        <w:t> </w:t>
      </w:r>
      <w:r>
        <w:rPr>
          <w:spacing w:val="-4"/>
          <w:w w:val="105"/>
          <w:sz w:val="21"/>
        </w:rPr>
        <w:t>overlay.</w:t>
      </w:r>
    </w:p>
    <w:p>
      <w:pPr>
        <w:pStyle w:val="ListParagraph"/>
        <w:numPr>
          <w:ilvl w:val="1"/>
          <w:numId w:val="16"/>
        </w:numPr>
        <w:tabs>
          <w:tab w:pos="2380" w:val="left" w:leader="none"/>
          <w:tab w:pos="2381" w:val="left" w:leader="none"/>
        </w:tabs>
        <w:spacing w:line="242" w:lineRule="auto" w:before="128" w:after="0"/>
        <w:ind w:left="2380" w:right="1615" w:hanging="793"/>
        <w:jc w:val="left"/>
        <w:rPr>
          <w:sz w:val="21"/>
        </w:rPr>
      </w:pPr>
      <w:r>
        <w:rPr>
          <w:w w:val="105"/>
          <w:sz w:val="21"/>
        </w:rPr>
        <w:t>There is a standard list of </w:t>
      </w:r>
      <w:r>
        <w:rPr>
          <w:spacing w:val="-3"/>
          <w:w w:val="105"/>
          <w:sz w:val="21"/>
        </w:rPr>
        <w:t>exemptions to </w:t>
      </w:r>
      <w:r>
        <w:rPr>
          <w:w w:val="105"/>
          <w:sz w:val="21"/>
        </w:rPr>
        <w:t>the </w:t>
      </w:r>
      <w:r>
        <w:rPr>
          <w:spacing w:val="-3"/>
          <w:w w:val="105"/>
          <w:sz w:val="21"/>
        </w:rPr>
        <w:t>requirement to </w:t>
      </w:r>
      <w:r>
        <w:rPr>
          <w:w w:val="105"/>
          <w:sz w:val="21"/>
        </w:rPr>
        <w:t>obtain a permit under the </w:t>
      </w:r>
      <w:r>
        <w:rPr>
          <w:spacing w:val="-4"/>
          <w:w w:val="105"/>
          <w:sz w:val="21"/>
        </w:rPr>
        <w:t>SLO, </w:t>
      </w:r>
      <w:r>
        <w:rPr>
          <w:w w:val="105"/>
          <w:sz w:val="21"/>
        </w:rPr>
        <w:t>ESO and VPO.</w:t>
      </w:r>
      <w:r>
        <w:rPr>
          <w:w w:val="105"/>
          <w:position w:val="7"/>
          <w:sz w:val="12"/>
        </w:rPr>
        <w:t>49 </w:t>
      </w:r>
      <w:r>
        <w:rPr>
          <w:w w:val="105"/>
          <w:sz w:val="21"/>
        </w:rPr>
        <w:t>The Heritage Overlay also </w:t>
      </w:r>
      <w:r>
        <w:rPr>
          <w:spacing w:val="-3"/>
          <w:w w:val="105"/>
          <w:sz w:val="21"/>
        </w:rPr>
        <w:t>contains </w:t>
      </w:r>
      <w:r>
        <w:rPr>
          <w:w w:val="105"/>
          <w:sz w:val="21"/>
        </w:rPr>
        <w:t>an exemption </w:t>
      </w:r>
      <w:r>
        <w:rPr>
          <w:spacing w:val="-3"/>
          <w:w w:val="105"/>
          <w:sz w:val="21"/>
        </w:rPr>
        <w:t>that </w:t>
      </w:r>
      <w:r>
        <w:rPr>
          <w:w w:val="105"/>
          <w:sz w:val="21"/>
        </w:rPr>
        <w:t>enables works </w:t>
      </w:r>
      <w:r>
        <w:rPr>
          <w:spacing w:val="-3"/>
          <w:w w:val="105"/>
          <w:sz w:val="21"/>
        </w:rPr>
        <w:t>to</w:t>
      </w:r>
      <w:r>
        <w:rPr>
          <w:spacing w:val="-7"/>
          <w:w w:val="105"/>
          <w:sz w:val="21"/>
        </w:rPr>
        <w:t> </w:t>
      </w:r>
      <w:r>
        <w:rPr>
          <w:spacing w:val="-3"/>
          <w:w w:val="105"/>
          <w:sz w:val="21"/>
        </w:rPr>
        <w:t>keep</w:t>
      </w:r>
      <w:r>
        <w:rPr>
          <w:spacing w:val="-7"/>
          <w:w w:val="105"/>
          <w:sz w:val="21"/>
        </w:rPr>
        <w:t> </w:t>
      </w:r>
      <w:r>
        <w:rPr>
          <w:w w:val="105"/>
          <w:sz w:val="21"/>
        </w:rPr>
        <w:t>whole</w:t>
      </w:r>
      <w:r>
        <w:rPr>
          <w:spacing w:val="-7"/>
          <w:w w:val="105"/>
          <w:sz w:val="21"/>
        </w:rPr>
        <w:t> </w:t>
      </w:r>
      <w:r>
        <w:rPr>
          <w:w w:val="105"/>
          <w:sz w:val="21"/>
        </w:rPr>
        <w:t>or</w:t>
      </w:r>
      <w:r>
        <w:rPr>
          <w:spacing w:val="-6"/>
          <w:w w:val="105"/>
          <w:sz w:val="21"/>
        </w:rPr>
        <w:t> </w:t>
      </w:r>
      <w:r>
        <w:rPr>
          <w:w w:val="105"/>
          <w:sz w:val="21"/>
        </w:rPr>
        <w:t>part</w:t>
      </w:r>
      <w:r>
        <w:rPr>
          <w:spacing w:val="-7"/>
          <w:w w:val="105"/>
          <w:sz w:val="21"/>
        </w:rPr>
        <w:t> </w:t>
      </w:r>
      <w:r>
        <w:rPr>
          <w:w w:val="105"/>
          <w:sz w:val="21"/>
        </w:rPr>
        <w:t>of</w:t>
      </w:r>
      <w:r>
        <w:rPr>
          <w:spacing w:val="-7"/>
          <w:w w:val="105"/>
          <w:sz w:val="21"/>
        </w:rPr>
        <w:t> </w:t>
      </w:r>
      <w:r>
        <w:rPr>
          <w:w w:val="105"/>
          <w:sz w:val="21"/>
        </w:rPr>
        <w:t>a</w:t>
      </w:r>
      <w:r>
        <w:rPr>
          <w:spacing w:val="-7"/>
          <w:w w:val="105"/>
          <w:sz w:val="21"/>
        </w:rPr>
        <w:t> </w:t>
      </w:r>
      <w:r>
        <w:rPr>
          <w:w w:val="105"/>
          <w:sz w:val="21"/>
        </w:rPr>
        <w:t>tree</w:t>
      </w:r>
      <w:r>
        <w:rPr>
          <w:spacing w:val="-6"/>
          <w:w w:val="105"/>
          <w:sz w:val="21"/>
        </w:rPr>
        <w:t> </w:t>
      </w:r>
      <w:r>
        <w:rPr>
          <w:spacing w:val="-3"/>
          <w:w w:val="105"/>
          <w:sz w:val="21"/>
        </w:rPr>
        <w:t>clear</w:t>
      </w:r>
      <w:r>
        <w:rPr>
          <w:spacing w:val="-7"/>
          <w:w w:val="105"/>
          <w:sz w:val="21"/>
        </w:rPr>
        <w:t> </w:t>
      </w:r>
      <w:r>
        <w:rPr>
          <w:w w:val="105"/>
          <w:sz w:val="21"/>
        </w:rPr>
        <w:t>of</w:t>
      </w:r>
      <w:r>
        <w:rPr>
          <w:spacing w:val="-7"/>
          <w:w w:val="105"/>
          <w:sz w:val="21"/>
        </w:rPr>
        <w:t> </w:t>
      </w:r>
      <w:r>
        <w:rPr>
          <w:w w:val="105"/>
          <w:sz w:val="21"/>
        </w:rPr>
        <w:t>electricity</w:t>
      </w:r>
      <w:r>
        <w:rPr>
          <w:spacing w:val="-7"/>
          <w:w w:val="105"/>
          <w:sz w:val="21"/>
        </w:rPr>
        <w:t> </w:t>
      </w:r>
      <w:r>
        <w:rPr>
          <w:w w:val="105"/>
          <w:sz w:val="21"/>
        </w:rPr>
        <w:t>power</w:t>
      </w:r>
      <w:r>
        <w:rPr>
          <w:spacing w:val="-6"/>
          <w:w w:val="105"/>
          <w:sz w:val="21"/>
        </w:rPr>
        <w:t> </w:t>
      </w:r>
      <w:r>
        <w:rPr>
          <w:w w:val="105"/>
          <w:sz w:val="21"/>
        </w:rPr>
        <w:t>lines,</w:t>
      </w:r>
      <w:r>
        <w:rPr>
          <w:w w:val="105"/>
          <w:position w:val="7"/>
          <w:sz w:val="12"/>
        </w:rPr>
        <w:t>50</w:t>
      </w:r>
      <w:r>
        <w:rPr>
          <w:spacing w:val="16"/>
          <w:w w:val="105"/>
          <w:position w:val="7"/>
          <w:sz w:val="12"/>
        </w:rPr>
        <w:t> </w:t>
      </w:r>
      <w:r>
        <w:rPr>
          <w:w w:val="105"/>
          <w:sz w:val="21"/>
        </w:rPr>
        <w:t>or</w:t>
      </w:r>
      <w:r>
        <w:rPr>
          <w:spacing w:val="-7"/>
          <w:w w:val="105"/>
          <w:sz w:val="21"/>
        </w:rPr>
        <w:t> </w:t>
      </w:r>
      <w:r>
        <w:rPr>
          <w:spacing w:val="-3"/>
          <w:w w:val="105"/>
          <w:sz w:val="21"/>
        </w:rPr>
        <w:t>‘if</w:t>
      </w:r>
      <w:r>
        <w:rPr>
          <w:spacing w:val="-7"/>
          <w:w w:val="105"/>
          <w:sz w:val="21"/>
        </w:rPr>
        <w:t> </w:t>
      </w:r>
      <w:r>
        <w:rPr>
          <w:w w:val="105"/>
          <w:sz w:val="21"/>
        </w:rPr>
        <w:t>the</w:t>
      </w:r>
      <w:r>
        <w:rPr>
          <w:spacing w:val="-7"/>
          <w:w w:val="105"/>
          <w:sz w:val="21"/>
        </w:rPr>
        <w:t> </w:t>
      </w:r>
      <w:r>
        <w:rPr>
          <w:w w:val="105"/>
          <w:sz w:val="21"/>
        </w:rPr>
        <w:t>tree</w:t>
      </w:r>
      <w:r>
        <w:rPr>
          <w:spacing w:val="-6"/>
          <w:w w:val="105"/>
          <w:sz w:val="21"/>
        </w:rPr>
        <w:t> </w:t>
      </w:r>
      <w:r>
        <w:rPr>
          <w:w w:val="105"/>
          <w:sz w:val="21"/>
        </w:rPr>
        <w:t>presents</w:t>
      </w:r>
      <w:r>
        <w:rPr>
          <w:spacing w:val="-7"/>
          <w:w w:val="105"/>
          <w:sz w:val="21"/>
        </w:rPr>
        <w:t> </w:t>
      </w:r>
      <w:r>
        <w:rPr>
          <w:w w:val="105"/>
          <w:sz w:val="21"/>
        </w:rPr>
        <w:t>an </w:t>
      </w:r>
      <w:r>
        <w:rPr>
          <w:spacing w:val="-3"/>
          <w:w w:val="105"/>
          <w:sz w:val="21"/>
        </w:rPr>
        <w:t>immediate </w:t>
      </w:r>
      <w:r>
        <w:rPr>
          <w:w w:val="105"/>
          <w:sz w:val="21"/>
        </w:rPr>
        <w:t>risk of personal injury or damage </w:t>
      </w:r>
      <w:r>
        <w:rPr>
          <w:spacing w:val="-3"/>
          <w:w w:val="105"/>
          <w:sz w:val="21"/>
        </w:rPr>
        <w:t>to</w:t>
      </w:r>
      <w:r>
        <w:rPr>
          <w:spacing w:val="31"/>
          <w:w w:val="105"/>
          <w:sz w:val="21"/>
        </w:rPr>
        <w:t> </w:t>
      </w:r>
      <w:r>
        <w:rPr>
          <w:spacing w:val="-4"/>
          <w:w w:val="105"/>
          <w:sz w:val="21"/>
        </w:rPr>
        <w:t>property’.</w:t>
      </w:r>
      <w:r>
        <w:rPr>
          <w:spacing w:val="-4"/>
          <w:w w:val="105"/>
          <w:position w:val="7"/>
          <w:sz w:val="12"/>
        </w:rPr>
        <w:t>51</w:t>
      </w:r>
    </w:p>
    <w:p>
      <w:pPr>
        <w:pStyle w:val="ListParagraph"/>
        <w:numPr>
          <w:ilvl w:val="1"/>
          <w:numId w:val="16"/>
        </w:numPr>
        <w:tabs>
          <w:tab w:pos="2381" w:val="left" w:leader="none"/>
          <w:tab w:pos="2382" w:val="left" w:leader="none"/>
        </w:tabs>
        <w:spacing w:line="242" w:lineRule="auto" w:before="124" w:after="0"/>
        <w:ind w:left="2381" w:right="1807" w:hanging="794"/>
        <w:jc w:val="left"/>
        <w:rPr>
          <w:sz w:val="21"/>
        </w:rPr>
      </w:pPr>
      <w:r>
        <w:rPr>
          <w:w w:val="105"/>
          <w:sz w:val="21"/>
        </w:rPr>
        <w:t>The</w:t>
      </w:r>
      <w:r>
        <w:rPr>
          <w:spacing w:val="-13"/>
          <w:w w:val="105"/>
          <w:sz w:val="21"/>
        </w:rPr>
        <w:t> </w:t>
      </w:r>
      <w:r>
        <w:rPr>
          <w:w w:val="105"/>
          <w:sz w:val="21"/>
        </w:rPr>
        <w:t>standard</w:t>
      </w:r>
      <w:r>
        <w:rPr>
          <w:spacing w:val="-13"/>
          <w:w w:val="105"/>
          <w:sz w:val="21"/>
        </w:rPr>
        <w:t> </w:t>
      </w:r>
      <w:r>
        <w:rPr>
          <w:w w:val="105"/>
          <w:sz w:val="21"/>
        </w:rPr>
        <w:t>exemption</w:t>
      </w:r>
      <w:r>
        <w:rPr>
          <w:spacing w:val="-12"/>
          <w:w w:val="105"/>
          <w:sz w:val="21"/>
        </w:rPr>
        <w:t> </w:t>
      </w:r>
      <w:r>
        <w:rPr>
          <w:w w:val="105"/>
          <w:sz w:val="21"/>
        </w:rPr>
        <w:t>across</w:t>
      </w:r>
      <w:r>
        <w:rPr>
          <w:spacing w:val="-13"/>
          <w:w w:val="105"/>
          <w:sz w:val="21"/>
        </w:rPr>
        <w:t> </w:t>
      </w:r>
      <w:r>
        <w:rPr>
          <w:spacing w:val="-3"/>
          <w:w w:val="105"/>
          <w:sz w:val="21"/>
        </w:rPr>
        <w:t>all</w:t>
      </w:r>
      <w:r>
        <w:rPr>
          <w:spacing w:val="-13"/>
          <w:w w:val="105"/>
          <w:sz w:val="21"/>
        </w:rPr>
        <w:t> </w:t>
      </w:r>
      <w:r>
        <w:rPr>
          <w:w w:val="105"/>
          <w:sz w:val="21"/>
        </w:rPr>
        <w:t>of</w:t>
      </w:r>
      <w:r>
        <w:rPr>
          <w:spacing w:val="-12"/>
          <w:w w:val="105"/>
          <w:sz w:val="21"/>
        </w:rPr>
        <w:t> </w:t>
      </w:r>
      <w:r>
        <w:rPr>
          <w:w w:val="105"/>
          <w:sz w:val="21"/>
        </w:rPr>
        <w:t>these</w:t>
      </w:r>
      <w:r>
        <w:rPr>
          <w:spacing w:val="-13"/>
          <w:w w:val="105"/>
          <w:sz w:val="21"/>
        </w:rPr>
        <w:t> </w:t>
      </w:r>
      <w:r>
        <w:rPr>
          <w:spacing w:val="-3"/>
          <w:w w:val="105"/>
          <w:sz w:val="21"/>
        </w:rPr>
        <w:t>overlays</w:t>
      </w:r>
      <w:r>
        <w:rPr>
          <w:spacing w:val="-13"/>
          <w:w w:val="105"/>
          <w:sz w:val="21"/>
        </w:rPr>
        <w:t> </w:t>
      </w:r>
      <w:r>
        <w:rPr>
          <w:w w:val="105"/>
          <w:sz w:val="21"/>
        </w:rPr>
        <w:t>allows</w:t>
      </w:r>
      <w:r>
        <w:rPr>
          <w:spacing w:val="-12"/>
          <w:w w:val="105"/>
          <w:sz w:val="21"/>
        </w:rPr>
        <w:t> </w:t>
      </w:r>
      <w:r>
        <w:rPr>
          <w:w w:val="105"/>
          <w:sz w:val="21"/>
        </w:rPr>
        <w:t>tree</w:t>
      </w:r>
      <w:r>
        <w:rPr>
          <w:spacing w:val="-13"/>
          <w:w w:val="105"/>
          <w:sz w:val="21"/>
        </w:rPr>
        <w:t> </w:t>
      </w:r>
      <w:r>
        <w:rPr>
          <w:w w:val="105"/>
          <w:sz w:val="21"/>
        </w:rPr>
        <w:t>works</w:t>
      </w:r>
      <w:r>
        <w:rPr>
          <w:spacing w:val="-13"/>
          <w:w w:val="105"/>
          <w:sz w:val="21"/>
        </w:rPr>
        <w:t> </w:t>
      </w:r>
      <w:r>
        <w:rPr>
          <w:w w:val="105"/>
          <w:sz w:val="21"/>
        </w:rPr>
        <w:t>or</w:t>
      </w:r>
      <w:r>
        <w:rPr>
          <w:spacing w:val="-12"/>
          <w:w w:val="105"/>
          <w:sz w:val="21"/>
        </w:rPr>
        <w:t> </w:t>
      </w:r>
      <w:r>
        <w:rPr>
          <w:spacing w:val="-3"/>
          <w:w w:val="105"/>
          <w:sz w:val="21"/>
        </w:rPr>
        <w:t>removal</w:t>
      </w:r>
      <w:r>
        <w:rPr>
          <w:spacing w:val="-13"/>
          <w:w w:val="105"/>
          <w:sz w:val="21"/>
        </w:rPr>
        <w:t> </w:t>
      </w:r>
      <w:r>
        <w:rPr>
          <w:w w:val="105"/>
          <w:sz w:val="21"/>
        </w:rPr>
        <w:t>where a</w:t>
      </w:r>
      <w:r>
        <w:rPr>
          <w:spacing w:val="-8"/>
          <w:w w:val="105"/>
          <w:sz w:val="21"/>
        </w:rPr>
        <w:t> </w:t>
      </w:r>
      <w:r>
        <w:rPr>
          <w:w w:val="105"/>
          <w:sz w:val="21"/>
        </w:rPr>
        <w:t>tree</w:t>
      </w:r>
      <w:r>
        <w:rPr>
          <w:spacing w:val="-7"/>
          <w:w w:val="105"/>
          <w:sz w:val="21"/>
        </w:rPr>
        <w:t> </w:t>
      </w:r>
      <w:r>
        <w:rPr>
          <w:w w:val="105"/>
          <w:sz w:val="21"/>
        </w:rPr>
        <w:t>presents</w:t>
      </w:r>
      <w:r>
        <w:rPr>
          <w:spacing w:val="-7"/>
          <w:w w:val="105"/>
          <w:sz w:val="21"/>
        </w:rPr>
        <w:t> </w:t>
      </w:r>
      <w:r>
        <w:rPr>
          <w:w w:val="105"/>
          <w:sz w:val="21"/>
        </w:rPr>
        <w:t>an</w:t>
      </w:r>
      <w:r>
        <w:rPr>
          <w:spacing w:val="-8"/>
          <w:w w:val="105"/>
          <w:sz w:val="21"/>
        </w:rPr>
        <w:t> </w:t>
      </w:r>
      <w:r>
        <w:rPr>
          <w:spacing w:val="-3"/>
          <w:w w:val="105"/>
          <w:sz w:val="21"/>
        </w:rPr>
        <w:t>immediate</w:t>
      </w:r>
      <w:r>
        <w:rPr>
          <w:spacing w:val="-7"/>
          <w:w w:val="105"/>
          <w:sz w:val="21"/>
        </w:rPr>
        <w:t> </w:t>
      </w:r>
      <w:r>
        <w:rPr>
          <w:w w:val="105"/>
          <w:sz w:val="21"/>
        </w:rPr>
        <w:t>risk</w:t>
      </w:r>
      <w:r>
        <w:rPr>
          <w:spacing w:val="-7"/>
          <w:w w:val="105"/>
          <w:sz w:val="21"/>
        </w:rPr>
        <w:t> </w:t>
      </w:r>
      <w:r>
        <w:rPr>
          <w:w w:val="105"/>
          <w:sz w:val="21"/>
        </w:rPr>
        <w:t>of</w:t>
      </w:r>
      <w:r>
        <w:rPr>
          <w:spacing w:val="-7"/>
          <w:w w:val="105"/>
          <w:sz w:val="21"/>
        </w:rPr>
        <w:t> </w:t>
      </w:r>
      <w:r>
        <w:rPr>
          <w:w w:val="105"/>
          <w:sz w:val="21"/>
        </w:rPr>
        <w:t>personal</w:t>
      </w:r>
      <w:r>
        <w:rPr>
          <w:spacing w:val="-8"/>
          <w:w w:val="105"/>
          <w:sz w:val="21"/>
        </w:rPr>
        <w:t> </w:t>
      </w:r>
      <w:r>
        <w:rPr>
          <w:w w:val="105"/>
          <w:sz w:val="21"/>
        </w:rPr>
        <w:t>injury</w:t>
      </w:r>
      <w:r>
        <w:rPr>
          <w:spacing w:val="-7"/>
          <w:w w:val="105"/>
          <w:sz w:val="21"/>
        </w:rPr>
        <w:t> </w:t>
      </w:r>
      <w:r>
        <w:rPr>
          <w:w w:val="105"/>
          <w:sz w:val="21"/>
        </w:rPr>
        <w:t>or</w:t>
      </w:r>
      <w:r>
        <w:rPr>
          <w:spacing w:val="-7"/>
          <w:w w:val="105"/>
          <w:sz w:val="21"/>
        </w:rPr>
        <w:t> </w:t>
      </w:r>
      <w:r>
        <w:rPr>
          <w:w w:val="105"/>
          <w:sz w:val="21"/>
        </w:rPr>
        <w:t>damage</w:t>
      </w:r>
      <w:r>
        <w:rPr>
          <w:spacing w:val="-7"/>
          <w:w w:val="105"/>
          <w:sz w:val="21"/>
        </w:rPr>
        <w:t> </w:t>
      </w:r>
      <w:r>
        <w:rPr>
          <w:spacing w:val="-3"/>
          <w:w w:val="105"/>
          <w:sz w:val="21"/>
        </w:rPr>
        <w:t>to</w:t>
      </w:r>
      <w:r>
        <w:rPr>
          <w:spacing w:val="-8"/>
          <w:w w:val="105"/>
          <w:sz w:val="21"/>
        </w:rPr>
        <w:t> </w:t>
      </w:r>
      <w:r>
        <w:rPr>
          <w:w w:val="105"/>
          <w:sz w:val="21"/>
        </w:rPr>
        <w:t>property.</w:t>
      </w:r>
      <w:r>
        <w:rPr>
          <w:w w:val="105"/>
          <w:position w:val="7"/>
          <w:sz w:val="12"/>
        </w:rPr>
        <w:t>52</w:t>
      </w:r>
      <w:r>
        <w:rPr>
          <w:spacing w:val="16"/>
          <w:w w:val="105"/>
          <w:position w:val="7"/>
          <w:sz w:val="12"/>
        </w:rPr>
        <w:t> </w:t>
      </w:r>
      <w:r>
        <w:rPr>
          <w:w w:val="105"/>
          <w:sz w:val="21"/>
        </w:rPr>
        <w:t>The</w:t>
      </w:r>
      <w:r>
        <w:rPr>
          <w:spacing w:val="-8"/>
          <w:w w:val="105"/>
          <w:sz w:val="21"/>
        </w:rPr>
        <w:t> </w:t>
      </w:r>
      <w:r>
        <w:rPr>
          <w:w w:val="105"/>
          <w:sz w:val="21"/>
        </w:rPr>
        <w:t>risk</w:t>
      </w:r>
    </w:p>
    <w:p>
      <w:pPr>
        <w:pStyle w:val="BodyText"/>
        <w:spacing w:line="242" w:lineRule="auto" w:before="2"/>
        <w:ind w:left="2381" w:right="2132"/>
        <w:rPr>
          <w:sz w:val="12"/>
        </w:rPr>
      </w:pPr>
      <w:r>
        <w:rPr>
          <w:w w:val="105"/>
        </w:rPr>
        <w:t>is</w:t>
      </w:r>
      <w:r>
        <w:rPr>
          <w:spacing w:val="-8"/>
          <w:w w:val="105"/>
        </w:rPr>
        <w:t> </w:t>
      </w:r>
      <w:r>
        <w:rPr>
          <w:spacing w:val="-3"/>
          <w:w w:val="105"/>
        </w:rPr>
        <w:t>considered</w:t>
      </w:r>
      <w:r>
        <w:rPr>
          <w:spacing w:val="-7"/>
          <w:w w:val="105"/>
        </w:rPr>
        <w:t> </w:t>
      </w:r>
      <w:r>
        <w:rPr>
          <w:spacing w:val="-3"/>
          <w:w w:val="105"/>
        </w:rPr>
        <w:t>immediate</w:t>
      </w:r>
      <w:r>
        <w:rPr>
          <w:spacing w:val="-7"/>
          <w:w w:val="105"/>
        </w:rPr>
        <w:t> </w:t>
      </w:r>
      <w:r>
        <w:rPr>
          <w:w w:val="105"/>
        </w:rPr>
        <w:t>if</w:t>
      </w:r>
      <w:r>
        <w:rPr>
          <w:spacing w:val="-8"/>
          <w:w w:val="105"/>
        </w:rPr>
        <w:t> </w:t>
      </w:r>
      <w:r>
        <w:rPr>
          <w:w w:val="105"/>
        </w:rPr>
        <w:t>the</w:t>
      </w:r>
      <w:r>
        <w:rPr>
          <w:spacing w:val="-7"/>
          <w:w w:val="105"/>
        </w:rPr>
        <w:t> </w:t>
      </w:r>
      <w:r>
        <w:rPr>
          <w:w w:val="105"/>
        </w:rPr>
        <w:t>vegetation</w:t>
      </w:r>
      <w:r>
        <w:rPr>
          <w:spacing w:val="-7"/>
          <w:w w:val="105"/>
        </w:rPr>
        <w:t> </w:t>
      </w:r>
      <w:r>
        <w:rPr>
          <w:w w:val="105"/>
        </w:rPr>
        <w:t>needs</w:t>
      </w:r>
      <w:r>
        <w:rPr>
          <w:spacing w:val="-8"/>
          <w:w w:val="105"/>
        </w:rPr>
        <w:t> </w:t>
      </w:r>
      <w:r>
        <w:rPr>
          <w:spacing w:val="-3"/>
          <w:w w:val="105"/>
        </w:rPr>
        <w:t>to</w:t>
      </w:r>
      <w:r>
        <w:rPr>
          <w:spacing w:val="-7"/>
          <w:w w:val="105"/>
        </w:rPr>
        <w:t> </w:t>
      </w:r>
      <w:r>
        <w:rPr>
          <w:w w:val="105"/>
        </w:rPr>
        <w:t>be</w:t>
      </w:r>
      <w:r>
        <w:rPr>
          <w:spacing w:val="-7"/>
          <w:w w:val="105"/>
        </w:rPr>
        <w:t> </w:t>
      </w:r>
      <w:r>
        <w:rPr>
          <w:w w:val="105"/>
        </w:rPr>
        <w:t>removed</w:t>
      </w:r>
      <w:r>
        <w:rPr>
          <w:spacing w:val="-7"/>
          <w:w w:val="105"/>
        </w:rPr>
        <w:t> </w:t>
      </w:r>
      <w:r>
        <w:rPr>
          <w:spacing w:val="-3"/>
          <w:w w:val="105"/>
        </w:rPr>
        <w:t>before</w:t>
      </w:r>
      <w:r>
        <w:rPr>
          <w:spacing w:val="-8"/>
          <w:w w:val="105"/>
        </w:rPr>
        <w:t> </w:t>
      </w:r>
      <w:r>
        <w:rPr>
          <w:w w:val="105"/>
        </w:rPr>
        <w:t>a</w:t>
      </w:r>
      <w:r>
        <w:rPr>
          <w:spacing w:val="-7"/>
          <w:w w:val="105"/>
        </w:rPr>
        <w:t> </w:t>
      </w:r>
      <w:r>
        <w:rPr>
          <w:w w:val="105"/>
        </w:rPr>
        <w:t>permit</w:t>
      </w:r>
      <w:r>
        <w:rPr>
          <w:spacing w:val="-7"/>
          <w:w w:val="105"/>
        </w:rPr>
        <w:t> </w:t>
      </w:r>
      <w:r>
        <w:rPr>
          <w:w w:val="105"/>
        </w:rPr>
        <w:t>can be </w:t>
      </w:r>
      <w:r>
        <w:rPr>
          <w:spacing w:val="-3"/>
          <w:w w:val="105"/>
        </w:rPr>
        <w:t>granted.</w:t>
      </w:r>
      <w:r>
        <w:rPr>
          <w:spacing w:val="-3"/>
          <w:w w:val="105"/>
          <w:position w:val="7"/>
          <w:sz w:val="12"/>
        </w:rPr>
        <w:t>53 </w:t>
      </w:r>
      <w:r>
        <w:rPr>
          <w:w w:val="105"/>
        </w:rPr>
        <w:t>The exemption does </w:t>
      </w:r>
      <w:r>
        <w:rPr>
          <w:spacing w:val="-2"/>
          <w:w w:val="105"/>
        </w:rPr>
        <w:t>not </w:t>
      </w:r>
      <w:r>
        <w:rPr>
          <w:w w:val="105"/>
        </w:rPr>
        <w:t>extend </w:t>
      </w:r>
      <w:r>
        <w:rPr>
          <w:spacing w:val="-3"/>
          <w:w w:val="105"/>
        </w:rPr>
        <w:t>to </w:t>
      </w:r>
      <w:r>
        <w:rPr>
          <w:w w:val="105"/>
        </w:rPr>
        <w:t>vegetation </w:t>
      </w:r>
      <w:r>
        <w:rPr>
          <w:spacing w:val="-3"/>
          <w:w w:val="105"/>
        </w:rPr>
        <w:t>that may </w:t>
      </w:r>
      <w:r>
        <w:rPr>
          <w:w w:val="105"/>
        </w:rPr>
        <w:t>cause injury or</w:t>
      </w:r>
      <w:r>
        <w:rPr>
          <w:spacing w:val="-10"/>
          <w:w w:val="105"/>
        </w:rPr>
        <w:t> </w:t>
      </w:r>
      <w:r>
        <w:rPr>
          <w:w w:val="105"/>
        </w:rPr>
        <w:t>damage</w:t>
      </w:r>
      <w:r>
        <w:rPr>
          <w:spacing w:val="-9"/>
          <w:w w:val="105"/>
        </w:rPr>
        <w:t> </w:t>
      </w:r>
      <w:r>
        <w:rPr>
          <w:w w:val="105"/>
        </w:rPr>
        <w:t>in</w:t>
      </w:r>
      <w:r>
        <w:rPr>
          <w:spacing w:val="-10"/>
          <w:w w:val="105"/>
        </w:rPr>
        <w:t> </w:t>
      </w:r>
      <w:r>
        <w:rPr>
          <w:w w:val="105"/>
        </w:rPr>
        <w:t>the</w:t>
      </w:r>
      <w:r>
        <w:rPr>
          <w:spacing w:val="-9"/>
          <w:w w:val="105"/>
        </w:rPr>
        <w:t> </w:t>
      </w:r>
      <w:r>
        <w:rPr>
          <w:w w:val="105"/>
        </w:rPr>
        <w:t>longer</w:t>
      </w:r>
      <w:r>
        <w:rPr>
          <w:spacing w:val="-9"/>
          <w:w w:val="105"/>
        </w:rPr>
        <w:t> </w:t>
      </w:r>
      <w:r>
        <w:rPr>
          <w:spacing w:val="-3"/>
          <w:w w:val="105"/>
        </w:rPr>
        <w:t>term.</w:t>
      </w:r>
      <w:r>
        <w:rPr>
          <w:spacing w:val="-10"/>
          <w:w w:val="105"/>
        </w:rPr>
        <w:t> </w:t>
      </w:r>
      <w:r>
        <w:rPr>
          <w:w w:val="105"/>
        </w:rPr>
        <w:t>A</w:t>
      </w:r>
      <w:r>
        <w:rPr>
          <w:spacing w:val="-9"/>
          <w:w w:val="105"/>
        </w:rPr>
        <w:t> </w:t>
      </w:r>
      <w:r>
        <w:rPr>
          <w:w w:val="105"/>
        </w:rPr>
        <w:t>qualified</w:t>
      </w:r>
      <w:r>
        <w:rPr>
          <w:spacing w:val="-9"/>
          <w:w w:val="105"/>
        </w:rPr>
        <w:t> </w:t>
      </w:r>
      <w:r>
        <w:rPr>
          <w:w w:val="105"/>
        </w:rPr>
        <w:t>arborist</w:t>
      </w:r>
      <w:r>
        <w:rPr>
          <w:spacing w:val="-10"/>
          <w:w w:val="105"/>
        </w:rPr>
        <w:t> </w:t>
      </w:r>
      <w:r>
        <w:rPr>
          <w:w w:val="105"/>
        </w:rPr>
        <w:t>should</w:t>
      </w:r>
      <w:r>
        <w:rPr>
          <w:spacing w:val="-9"/>
          <w:w w:val="105"/>
        </w:rPr>
        <w:t> </w:t>
      </w:r>
      <w:r>
        <w:rPr>
          <w:w w:val="105"/>
        </w:rPr>
        <w:t>assess</w:t>
      </w:r>
      <w:r>
        <w:rPr>
          <w:spacing w:val="-9"/>
          <w:w w:val="105"/>
        </w:rPr>
        <w:t> </w:t>
      </w:r>
      <w:r>
        <w:rPr>
          <w:w w:val="105"/>
        </w:rPr>
        <w:t>whether</w:t>
      </w:r>
      <w:r>
        <w:rPr>
          <w:spacing w:val="-10"/>
          <w:w w:val="105"/>
        </w:rPr>
        <w:t> </w:t>
      </w:r>
      <w:r>
        <w:rPr>
          <w:w w:val="105"/>
        </w:rPr>
        <w:t>there</w:t>
      </w:r>
      <w:r>
        <w:rPr>
          <w:spacing w:val="-9"/>
          <w:w w:val="105"/>
        </w:rPr>
        <w:t> </w:t>
      </w:r>
      <w:r>
        <w:rPr>
          <w:w w:val="105"/>
        </w:rPr>
        <w:t>is</w:t>
      </w:r>
      <w:r>
        <w:rPr>
          <w:spacing w:val="-9"/>
          <w:w w:val="105"/>
        </w:rPr>
        <w:t> </w:t>
      </w:r>
      <w:r>
        <w:rPr>
          <w:w w:val="105"/>
        </w:rPr>
        <w:t>an </w:t>
      </w:r>
      <w:r>
        <w:rPr>
          <w:spacing w:val="-3"/>
          <w:w w:val="105"/>
        </w:rPr>
        <w:t>immediate </w:t>
      </w:r>
      <w:r>
        <w:rPr>
          <w:w w:val="105"/>
        </w:rPr>
        <w:t>risk of tree </w:t>
      </w:r>
      <w:r>
        <w:rPr>
          <w:spacing w:val="-4"/>
          <w:w w:val="105"/>
        </w:rPr>
        <w:t>failure, </w:t>
      </w:r>
      <w:r>
        <w:rPr>
          <w:w w:val="105"/>
        </w:rPr>
        <w:t>where practical </w:t>
      </w:r>
      <w:r>
        <w:rPr>
          <w:spacing w:val="-3"/>
          <w:w w:val="105"/>
        </w:rPr>
        <w:t>to </w:t>
      </w:r>
      <w:r>
        <w:rPr>
          <w:w w:val="105"/>
        </w:rPr>
        <w:t>do</w:t>
      </w:r>
      <w:r>
        <w:rPr>
          <w:spacing w:val="38"/>
          <w:w w:val="105"/>
        </w:rPr>
        <w:t> </w:t>
      </w:r>
      <w:r>
        <w:rPr>
          <w:w w:val="105"/>
        </w:rPr>
        <w:t>so.</w:t>
      </w:r>
      <w:r>
        <w:rPr>
          <w:w w:val="105"/>
          <w:position w:val="7"/>
          <w:sz w:val="12"/>
        </w:rPr>
        <w:t>54</w:t>
      </w:r>
    </w:p>
    <w:p>
      <w:pPr>
        <w:pStyle w:val="ListParagraph"/>
        <w:numPr>
          <w:ilvl w:val="1"/>
          <w:numId w:val="16"/>
        </w:numPr>
        <w:tabs>
          <w:tab w:pos="2381" w:val="left" w:leader="none"/>
          <w:tab w:pos="2382" w:val="left" w:leader="none"/>
        </w:tabs>
        <w:spacing w:line="242" w:lineRule="auto" w:before="124" w:after="0"/>
        <w:ind w:left="2381" w:right="1862" w:hanging="794"/>
        <w:jc w:val="left"/>
        <w:rPr>
          <w:sz w:val="21"/>
        </w:rPr>
      </w:pPr>
      <w:r>
        <w:rPr>
          <w:w w:val="105"/>
          <w:sz w:val="21"/>
        </w:rPr>
        <w:t>As </w:t>
      </w:r>
      <w:r>
        <w:rPr>
          <w:spacing w:val="-3"/>
          <w:w w:val="105"/>
          <w:sz w:val="21"/>
        </w:rPr>
        <w:t>noted above, </w:t>
      </w:r>
      <w:r>
        <w:rPr>
          <w:w w:val="105"/>
          <w:sz w:val="21"/>
        </w:rPr>
        <w:t>schedules </w:t>
      </w:r>
      <w:r>
        <w:rPr>
          <w:spacing w:val="-3"/>
          <w:w w:val="105"/>
          <w:sz w:val="21"/>
        </w:rPr>
        <w:t>to overlays may </w:t>
      </w:r>
      <w:r>
        <w:rPr>
          <w:w w:val="105"/>
          <w:sz w:val="21"/>
        </w:rPr>
        <w:t>modify permit </w:t>
      </w:r>
      <w:r>
        <w:rPr>
          <w:spacing w:val="-3"/>
          <w:w w:val="105"/>
          <w:sz w:val="21"/>
        </w:rPr>
        <w:t>requirements to create additional</w:t>
      </w:r>
      <w:r>
        <w:rPr>
          <w:spacing w:val="-6"/>
          <w:w w:val="105"/>
          <w:sz w:val="21"/>
        </w:rPr>
        <w:t> </w:t>
      </w:r>
      <w:r>
        <w:rPr>
          <w:spacing w:val="-3"/>
          <w:w w:val="105"/>
          <w:sz w:val="21"/>
        </w:rPr>
        <w:t>exemptions.</w:t>
      </w:r>
      <w:r>
        <w:rPr>
          <w:spacing w:val="-5"/>
          <w:w w:val="105"/>
          <w:sz w:val="21"/>
        </w:rPr>
        <w:t> </w:t>
      </w:r>
      <w:r>
        <w:rPr>
          <w:w w:val="105"/>
          <w:sz w:val="21"/>
        </w:rPr>
        <w:t>For</w:t>
      </w:r>
      <w:r>
        <w:rPr>
          <w:spacing w:val="-5"/>
          <w:w w:val="105"/>
          <w:sz w:val="21"/>
        </w:rPr>
        <w:t> </w:t>
      </w:r>
      <w:r>
        <w:rPr>
          <w:spacing w:val="-3"/>
          <w:w w:val="105"/>
          <w:sz w:val="21"/>
        </w:rPr>
        <w:t>example,</w:t>
      </w:r>
      <w:r>
        <w:rPr>
          <w:spacing w:val="-5"/>
          <w:w w:val="105"/>
          <w:sz w:val="21"/>
        </w:rPr>
        <w:t> </w:t>
      </w:r>
      <w:r>
        <w:rPr>
          <w:w w:val="105"/>
          <w:sz w:val="21"/>
        </w:rPr>
        <w:t>schedule</w:t>
      </w:r>
      <w:r>
        <w:rPr>
          <w:spacing w:val="-6"/>
          <w:w w:val="105"/>
          <w:sz w:val="21"/>
        </w:rPr>
        <w:t> </w:t>
      </w:r>
      <w:r>
        <w:rPr>
          <w:w w:val="105"/>
          <w:sz w:val="21"/>
        </w:rPr>
        <w:t>1</w:t>
      </w:r>
      <w:r>
        <w:rPr>
          <w:spacing w:val="-5"/>
          <w:w w:val="105"/>
          <w:sz w:val="21"/>
        </w:rPr>
        <w:t> </w:t>
      </w:r>
      <w:r>
        <w:rPr>
          <w:spacing w:val="-3"/>
          <w:w w:val="105"/>
          <w:sz w:val="21"/>
        </w:rPr>
        <w:t>to</w:t>
      </w:r>
      <w:r>
        <w:rPr>
          <w:spacing w:val="-5"/>
          <w:w w:val="105"/>
          <w:sz w:val="21"/>
        </w:rPr>
        <w:t> </w:t>
      </w:r>
      <w:r>
        <w:rPr>
          <w:w w:val="105"/>
          <w:sz w:val="21"/>
        </w:rPr>
        <w:t>the</w:t>
      </w:r>
      <w:r>
        <w:rPr>
          <w:spacing w:val="-5"/>
          <w:w w:val="105"/>
          <w:sz w:val="21"/>
        </w:rPr>
        <w:t> </w:t>
      </w:r>
      <w:r>
        <w:rPr>
          <w:spacing w:val="-3"/>
          <w:w w:val="105"/>
          <w:sz w:val="21"/>
        </w:rPr>
        <w:t>City</w:t>
      </w:r>
      <w:r>
        <w:rPr>
          <w:spacing w:val="-5"/>
          <w:w w:val="105"/>
          <w:sz w:val="21"/>
        </w:rPr>
        <w:t> </w:t>
      </w:r>
      <w:r>
        <w:rPr>
          <w:w w:val="105"/>
          <w:sz w:val="21"/>
        </w:rPr>
        <w:t>of</w:t>
      </w:r>
      <w:r>
        <w:rPr>
          <w:spacing w:val="-6"/>
          <w:w w:val="105"/>
          <w:sz w:val="21"/>
        </w:rPr>
        <w:t> </w:t>
      </w:r>
      <w:r>
        <w:rPr>
          <w:w w:val="105"/>
          <w:sz w:val="21"/>
        </w:rPr>
        <w:t>Whitehorse</w:t>
      </w:r>
      <w:r>
        <w:rPr>
          <w:spacing w:val="-5"/>
          <w:w w:val="105"/>
          <w:sz w:val="21"/>
        </w:rPr>
        <w:t> </w:t>
      </w:r>
      <w:r>
        <w:rPr>
          <w:spacing w:val="-3"/>
          <w:w w:val="105"/>
          <w:sz w:val="21"/>
        </w:rPr>
        <w:t>SLO</w:t>
      </w:r>
      <w:r>
        <w:rPr>
          <w:spacing w:val="-5"/>
          <w:w w:val="105"/>
          <w:sz w:val="21"/>
        </w:rPr>
        <w:t> </w:t>
      </w:r>
      <w:r>
        <w:rPr>
          <w:w w:val="105"/>
          <w:sz w:val="21"/>
        </w:rPr>
        <w:t>provides </w:t>
      </w:r>
      <w:r>
        <w:rPr>
          <w:spacing w:val="-3"/>
          <w:w w:val="105"/>
          <w:sz w:val="21"/>
        </w:rPr>
        <w:t>that </w:t>
      </w:r>
      <w:r>
        <w:rPr>
          <w:w w:val="105"/>
          <w:sz w:val="21"/>
        </w:rPr>
        <w:t>a permit </w:t>
      </w:r>
      <w:r>
        <w:rPr>
          <w:spacing w:val="-3"/>
          <w:w w:val="105"/>
          <w:sz w:val="21"/>
        </w:rPr>
        <w:t>to remove, </w:t>
      </w:r>
      <w:r>
        <w:rPr>
          <w:w w:val="105"/>
          <w:sz w:val="21"/>
        </w:rPr>
        <w:t>destroy or lop a tree does </w:t>
      </w:r>
      <w:r>
        <w:rPr>
          <w:spacing w:val="-2"/>
          <w:w w:val="105"/>
          <w:sz w:val="21"/>
        </w:rPr>
        <w:t>not </w:t>
      </w:r>
      <w:r>
        <w:rPr>
          <w:w w:val="105"/>
          <w:sz w:val="21"/>
        </w:rPr>
        <w:t>apply</w:t>
      </w:r>
      <w:r>
        <w:rPr>
          <w:spacing w:val="39"/>
          <w:w w:val="105"/>
          <w:sz w:val="21"/>
        </w:rPr>
        <w:t> </w:t>
      </w:r>
      <w:r>
        <w:rPr>
          <w:w w:val="105"/>
          <w:sz w:val="21"/>
        </w:rPr>
        <w:t>to:</w:t>
      </w:r>
    </w:p>
    <w:p>
      <w:pPr>
        <w:pStyle w:val="ListParagraph"/>
        <w:numPr>
          <w:ilvl w:val="2"/>
          <w:numId w:val="16"/>
        </w:numPr>
        <w:tabs>
          <w:tab w:pos="2721" w:val="left" w:leader="none"/>
          <w:tab w:pos="2722" w:val="left" w:leader="none"/>
        </w:tabs>
        <w:spacing w:line="242" w:lineRule="auto" w:before="124" w:after="0"/>
        <w:ind w:left="2721" w:right="1722" w:hanging="340"/>
        <w:jc w:val="left"/>
        <w:rPr>
          <w:sz w:val="21"/>
        </w:rPr>
      </w:pPr>
      <w:r>
        <w:rPr>
          <w:w w:val="105"/>
          <w:sz w:val="21"/>
        </w:rPr>
        <w:t>a</w:t>
      </w:r>
      <w:r>
        <w:rPr>
          <w:spacing w:val="-4"/>
          <w:w w:val="105"/>
          <w:sz w:val="21"/>
        </w:rPr>
        <w:t> </w:t>
      </w:r>
      <w:r>
        <w:rPr>
          <w:w w:val="105"/>
          <w:sz w:val="21"/>
        </w:rPr>
        <w:t>tree</w:t>
      </w:r>
      <w:r>
        <w:rPr>
          <w:spacing w:val="-4"/>
          <w:w w:val="105"/>
          <w:sz w:val="21"/>
        </w:rPr>
        <w:t> </w:t>
      </w:r>
      <w:r>
        <w:rPr>
          <w:w w:val="105"/>
          <w:sz w:val="21"/>
        </w:rPr>
        <w:t>with</w:t>
      </w:r>
      <w:r>
        <w:rPr>
          <w:spacing w:val="-4"/>
          <w:w w:val="105"/>
          <w:sz w:val="21"/>
        </w:rPr>
        <w:t> </w:t>
      </w:r>
      <w:r>
        <w:rPr>
          <w:w w:val="105"/>
          <w:sz w:val="21"/>
        </w:rPr>
        <w:t>a</w:t>
      </w:r>
      <w:r>
        <w:rPr>
          <w:spacing w:val="-4"/>
          <w:w w:val="105"/>
          <w:sz w:val="21"/>
        </w:rPr>
        <w:t> </w:t>
      </w:r>
      <w:r>
        <w:rPr>
          <w:spacing w:val="-3"/>
          <w:w w:val="105"/>
          <w:sz w:val="21"/>
        </w:rPr>
        <w:t>single</w:t>
      </w:r>
      <w:r>
        <w:rPr>
          <w:spacing w:val="-4"/>
          <w:w w:val="105"/>
          <w:sz w:val="21"/>
        </w:rPr>
        <w:t> </w:t>
      </w:r>
      <w:r>
        <w:rPr>
          <w:w w:val="105"/>
          <w:sz w:val="21"/>
        </w:rPr>
        <w:t>trunk</w:t>
      </w:r>
      <w:r>
        <w:rPr>
          <w:spacing w:val="-4"/>
          <w:w w:val="105"/>
          <w:sz w:val="21"/>
        </w:rPr>
        <w:t> </w:t>
      </w:r>
      <w:r>
        <w:rPr>
          <w:spacing w:val="-3"/>
          <w:w w:val="105"/>
          <w:sz w:val="21"/>
        </w:rPr>
        <w:t>circumference</w:t>
      </w:r>
      <w:r>
        <w:rPr>
          <w:spacing w:val="-4"/>
          <w:w w:val="105"/>
          <w:sz w:val="21"/>
        </w:rPr>
        <w:t> </w:t>
      </w:r>
      <w:r>
        <w:rPr>
          <w:w w:val="105"/>
          <w:sz w:val="21"/>
        </w:rPr>
        <w:t>of</w:t>
      </w:r>
      <w:r>
        <w:rPr>
          <w:spacing w:val="-3"/>
          <w:w w:val="105"/>
          <w:sz w:val="21"/>
        </w:rPr>
        <w:t> 0.5</w:t>
      </w:r>
      <w:r>
        <w:rPr>
          <w:spacing w:val="-4"/>
          <w:w w:val="105"/>
          <w:sz w:val="21"/>
        </w:rPr>
        <w:t> </w:t>
      </w:r>
      <w:r>
        <w:rPr>
          <w:w w:val="105"/>
          <w:sz w:val="21"/>
        </w:rPr>
        <w:t>metre</w:t>
      </w:r>
      <w:r>
        <w:rPr>
          <w:spacing w:val="-4"/>
          <w:w w:val="105"/>
          <w:sz w:val="21"/>
        </w:rPr>
        <w:t> </w:t>
      </w:r>
      <w:r>
        <w:rPr>
          <w:w w:val="105"/>
          <w:sz w:val="21"/>
        </w:rPr>
        <w:t>or</w:t>
      </w:r>
      <w:r>
        <w:rPr>
          <w:spacing w:val="-4"/>
          <w:w w:val="105"/>
          <w:sz w:val="21"/>
        </w:rPr>
        <w:t> </w:t>
      </w:r>
      <w:r>
        <w:rPr>
          <w:w w:val="105"/>
          <w:sz w:val="21"/>
        </w:rPr>
        <w:t>less</w:t>
      </w:r>
      <w:r>
        <w:rPr>
          <w:spacing w:val="-4"/>
          <w:w w:val="105"/>
          <w:sz w:val="21"/>
        </w:rPr>
        <w:t> </w:t>
      </w:r>
      <w:r>
        <w:rPr>
          <w:w w:val="105"/>
          <w:sz w:val="21"/>
        </w:rPr>
        <w:t>at</w:t>
      </w:r>
      <w:r>
        <w:rPr>
          <w:spacing w:val="-4"/>
          <w:w w:val="105"/>
          <w:sz w:val="21"/>
        </w:rPr>
        <w:t> </w:t>
      </w:r>
      <w:r>
        <w:rPr>
          <w:w w:val="105"/>
          <w:sz w:val="21"/>
        </w:rPr>
        <w:t>a</w:t>
      </w:r>
      <w:r>
        <w:rPr>
          <w:spacing w:val="-4"/>
          <w:w w:val="105"/>
          <w:sz w:val="21"/>
        </w:rPr>
        <w:t> </w:t>
      </w:r>
      <w:r>
        <w:rPr>
          <w:spacing w:val="-3"/>
          <w:w w:val="105"/>
          <w:sz w:val="21"/>
        </w:rPr>
        <w:t>height </w:t>
      </w:r>
      <w:r>
        <w:rPr>
          <w:w w:val="105"/>
          <w:sz w:val="21"/>
        </w:rPr>
        <w:t>of</w:t>
      </w:r>
      <w:r>
        <w:rPr>
          <w:spacing w:val="-4"/>
          <w:w w:val="105"/>
          <w:sz w:val="21"/>
        </w:rPr>
        <w:t> </w:t>
      </w:r>
      <w:r>
        <w:rPr>
          <w:w w:val="105"/>
          <w:sz w:val="21"/>
        </w:rPr>
        <w:t>one</w:t>
      </w:r>
      <w:r>
        <w:rPr>
          <w:spacing w:val="-4"/>
          <w:w w:val="105"/>
          <w:sz w:val="21"/>
        </w:rPr>
        <w:t> </w:t>
      </w:r>
      <w:r>
        <w:rPr>
          <w:w w:val="105"/>
          <w:sz w:val="21"/>
        </w:rPr>
        <w:t>metre above </w:t>
      </w:r>
      <w:r>
        <w:rPr>
          <w:spacing w:val="-3"/>
          <w:w w:val="105"/>
          <w:sz w:val="21"/>
        </w:rPr>
        <w:t>ground</w:t>
      </w:r>
      <w:r>
        <w:rPr>
          <w:spacing w:val="10"/>
          <w:w w:val="105"/>
          <w:sz w:val="21"/>
        </w:rPr>
        <w:t> </w:t>
      </w:r>
      <w:r>
        <w:rPr>
          <w:w w:val="105"/>
          <w:sz w:val="21"/>
        </w:rPr>
        <w:t>level</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w w:val="105"/>
          <w:sz w:val="21"/>
        </w:rPr>
        <w:t>the </w:t>
      </w:r>
      <w:r>
        <w:rPr>
          <w:spacing w:val="-3"/>
          <w:w w:val="105"/>
          <w:sz w:val="21"/>
        </w:rPr>
        <w:t>pruning </w:t>
      </w:r>
      <w:r>
        <w:rPr>
          <w:w w:val="105"/>
          <w:sz w:val="21"/>
        </w:rPr>
        <w:t>of a tree </w:t>
      </w:r>
      <w:r>
        <w:rPr>
          <w:spacing w:val="-3"/>
          <w:w w:val="105"/>
          <w:sz w:val="21"/>
        </w:rPr>
        <w:t>for regeneration </w:t>
      </w:r>
      <w:r>
        <w:rPr>
          <w:w w:val="105"/>
          <w:sz w:val="21"/>
        </w:rPr>
        <w:t>or </w:t>
      </w:r>
      <w:r>
        <w:rPr>
          <w:spacing w:val="-3"/>
          <w:w w:val="105"/>
          <w:sz w:val="21"/>
        </w:rPr>
        <w:t>ornamental</w:t>
      </w:r>
      <w:r>
        <w:rPr>
          <w:spacing w:val="6"/>
          <w:w w:val="105"/>
          <w:sz w:val="21"/>
        </w:rPr>
        <w:t> </w:t>
      </w:r>
      <w:r>
        <w:rPr>
          <w:spacing w:val="-3"/>
          <w:w w:val="105"/>
          <w:sz w:val="21"/>
        </w:rPr>
        <w:t>shaping</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z w:val="21"/>
        </w:rPr>
        <w:t>a tree which is dead or dying </w:t>
      </w:r>
      <w:r>
        <w:rPr>
          <w:spacing w:val="-3"/>
          <w:sz w:val="21"/>
        </w:rPr>
        <w:t>to </w:t>
      </w:r>
      <w:r>
        <w:rPr>
          <w:sz w:val="21"/>
        </w:rPr>
        <w:t>the satisfaction of the</w:t>
      </w:r>
      <w:r>
        <w:rPr>
          <w:spacing w:val="4"/>
          <w:sz w:val="21"/>
        </w:rPr>
        <w:t> </w:t>
      </w:r>
      <w:r>
        <w:rPr>
          <w:spacing w:val="-3"/>
          <w:sz w:val="21"/>
        </w:rPr>
        <w:t>responsible authority.</w:t>
      </w:r>
      <w:r>
        <w:rPr>
          <w:spacing w:val="-3"/>
          <w:position w:val="7"/>
          <w:sz w:val="12"/>
        </w:rPr>
        <w:t>55</w:t>
      </w:r>
    </w:p>
    <w:p>
      <w:pPr>
        <w:pStyle w:val="ListParagraph"/>
        <w:numPr>
          <w:ilvl w:val="1"/>
          <w:numId w:val="16"/>
        </w:numPr>
        <w:tabs>
          <w:tab w:pos="2381" w:val="left" w:leader="none"/>
          <w:tab w:pos="2382" w:val="left" w:leader="none"/>
        </w:tabs>
        <w:spacing w:line="242" w:lineRule="auto" w:before="88" w:after="0"/>
        <w:ind w:left="2381" w:right="1691" w:hanging="794"/>
        <w:jc w:val="left"/>
        <w:rPr>
          <w:sz w:val="21"/>
        </w:rPr>
      </w:pPr>
      <w:r>
        <w:rPr>
          <w:w w:val="105"/>
          <w:sz w:val="21"/>
        </w:rPr>
        <w:t>In</w:t>
      </w:r>
      <w:r>
        <w:rPr>
          <w:spacing w:val="-5"/>
          <w:w w:val="105"/>
          <w:sz w:val="21"/>
        </w:rPr>
        <w:t> </w:t>
      </w:r>
      <w:r>
        <w:rPr>
          <w:spacing w:val="-3"/>
          <w:w w:val="105"/>
          <w:sz w:val="21"/>
        </w:rPr>
        <w:t>addition,</w:t>
      </w:r>
      <w:r>
        <w:rPr>
          <w:spacing w:val="-5"/>
          <w:w w:val="105"/>
          <w:sz w:val="21"/>
        </w:rPr>
        <w:t> </w:t>
      </w:r>
      <w:r>
        <w:rPr>
          <w:w w:val="105"/>
          <w:sz w:val="21"/>
        </w:rPr>
        <w:t>schedule</w:t>
      </w:r>
      <w:r>
        <w:rPr>
          <w:spacing w:val="-4"/>
          <w:w w:val="105"/>
          <w:sz w:val="21"/>
        </w:rPr>
        <w:t> </w:t>
      </w:r>
      <w:r>
        <w:rPr>
          <w:w w:val="105"/>
          <w:sz w:val="21"/>
        </w:rPr>
        <w:t>1</w:t>
      </w:r>
      <w:r>
        <w:rPr>
          <w:spacing w:val="-5"/>
          <w:w w:val="105"/>
          <w:sz w:val="21"/>
        </w:rPr>
        <w:t> </w:t>
      </w:r>
      <w:r>
        <w:rPr>
          <w:spacing w:val="-3"/>
          <w:w w:val="105"/>
          <w:sz w:val="21"/>
        </w:rPr>
        <w:t>to</w:t>
      </w:r>
      <w:r>
        <w:rPr>
          <w:spacing w:val="-4"/>
          <w:w w:val="105"/>
          <w:sz w:val="21"/>
        </w:rPr>
        <w:t> </w:t>
      </w:r>
      <w:r>
        <w:rPr>
          <w:w w:val="105"/>
          <w:sz w:val="21"/>
        </w:rPr>
        <w:t>the</w:t>
      </w:r>
      <w:r>
        <w:rPr>
          <w:spacing w:val="-5"/>
          <w:w w:val="105"/>
          <w:sz w:val="21"/>
        </w:rPr>
        <w:t> </w:t>
      </w:r>
      <w:r>
        <w:rPr>
          <w:w w:val="105"/>
          <w:sz w:val="21"/>
        </w:rPr>
        <w:t>VPO</w:t>
      </w:r>
      <w:r>
        <w:rPr>
          <w:spacing w:val="-4"/>
          <w:w w:val="105"/>
          <w:sz w:val="21"/>
        </w:rPr>
        <w:t> </w:t>
      </w:r>
      <w:r>
        <w:rPr>
          <w:w w:val="105"/>
          <w:sz w:val="21"/>
        </w:rPr>
        <w:t>in</w:t>
      </w:r>
      <w:r>
        <w:rPr>
          <w:spacing w:val="-5"/>
          <w:w w:val="105"/>
          <w:sz w:val="21"/>
        </w:rPr>
        <w:t> </w:t>
      </w:r>
      <w:r>
        <w:rPr>
          <w:w w:val="105"/>
          <w:sz w:val="21"/>
        </w:rPr>
        <w:t>the</w:t>
      </w:r>
      <w:r>
        <w:rPr>
          <w:spacing w:val="-5"/>
          <w:w w:val="105"/>
          <w:sz w:val="21"/>
        </w:rPr>
        <w:t> </w:t>
      </w:r>
      <w:r>
        <w:rPr>
          <w:spacing w:val="-3"/>
          <w:w w:val="105"/>
          <w:sz w:val="21"/>
        </w:rPr>
        <w:t>City</w:t>
      </w:r>
      <w:r>
        <w:rPr>
          <w:spacing w:val="-4"/>
          <w:w w:val="105"/>
          <w:sz w:val="21"/>
        </w:rPr>
        <w:t> </w:t>
      </w:r>
      <w:r>
        <w:rPr>
          <w:w w:val="105"/>
          <w:sz w:val="21"/>
        </w:rPr>
        <w:t>of</w:t>
      </w:r>
      <w:r>
        <w:rPr>
          <w:spacing w:val="-5"/>
          <w:w w:val="105"/>
          <w:sz w:val="21"/>
        </w:rPr>
        <w:t> </w:t>
      </w:r>
      <w:r>
        <w:rPr>
          <w:w w:val="105"/>
          <w:sz w:val="21"/>
        </w:rPr>
        <w:t>Whitehorse</w:t>
      </w:r>
      <w:r>
        <w:rPr>
          <w:spacing w:val="-4"/>
          <w:w w:val="105"/>
          <w:sz w:val="21"/>
        </w:rPr>
        <w:t> </w:t>
      </w:r>
      <w:r>
        <w:rPr>
          <w:w w:val="105"/>
          <w:sz w:val="21"/>
        </w:rPr>
        <w:t>provides</w:t>
      </w:r>
      <w:r>
        <w:rPr>
          <w:spacing w:val="-5"/>
          <w:w w:val="105"/>
          <w:sz w:val="21"/>
        </w:rPr>
        <w:t> </w:t>
      </w:r>
      <w:r>
        <w:rPr>
          <w:spacing w:val="-3"/>
          <w:w w:val="105"/>
          <w:sz w:val="21"/>
        </w:rPr>
        <w:t>that</w:t>
      </w:r>
      <w:r>
        <w:rPr>
          <w:spacing w:val="-4"/>
          <w:w w:val="105"/>
          <w:sz w:val="21"/>
        </w:rPr>
        <w:t> </w:t>
      </w:r>
      <w:r>
        <w:rPr>
          <w:w w:val="105"/>
          <w:sz w:val="21"/>
        </w:rPr>
        <w:t>a</w:t>
      </w:r>
      <w:r>
        <w:rPr>
          <w:spacing w:val="-5"/>
          <w:w w:val="105"/>
          <w:sz w:val="21"/>
        </w:rPr>
        <w:t> </w:t>
      </w:r>
      <w:r>
        <w:rPr>
          <w:w w:val="105"/>
          <w:sz w:val="21"/>
        </w:rPr>
        <w:t>permit</w:t>
      </w:r>
      <w:r>
        <w:rPr>
          <w:spacing w:val="-5"/>
          <w:w w:val="105"/>
          <w:sz w:val="21"/>
        </w:rPr>
        <w:t> </w:t>
      </w:r>
      <w:r>
        <w:rPr>
          <w:w w:val="105"/>
          <w:sz w:val="21"/>
        </w:rPr>
        <w:t>is</w:t>
      </w:r>
      <w:r>
        <w:rPr>
          <w:spacing w:val="-4"/>
          <w:w w:val="105"/>
          <w:sz w:val="21"/>
        </w:rPr>
        <w:t> </w:t>
      </w:r>
      <w:r>
        <w:rPr>
          <w:spacing w:val="-2"/>
          <w:w w:val="105"/>
          <w:sz w:val="21"/>
        </w:rPr>
        <w:t>not </w:t>
      </w:r>
      <w:r>
        <w:rPr>
          <w:spacing w:val="-3"/>
          <w:w w:val="105"/>
          <w:sz w:val="21"/>
        </w:rPr>
        <w:t>required</w:t>
      </w:r>
      <w:r>
        <w:rPr>
          <w:spacing w:val="-8"/>
          <w:w w:val="105"/>
          <w:sz w:val="21"/>
        </w:rPr>
        <w:t> </w:t>
      </w:r>
      <w:r>
        <w:rPr>
          <w:spacing w:val="-3"/>
          <w:w w:val="105"/>
          <w:sz w:val="21"/>
        </w:rPr>
        <w:t>to</w:t>
      </w:r>
      <w:r>
        <w:rPr>
          <w:spacing w:val="-7"/>
          <w:w w:val="105"/>
          <w:sz w:val="21"/>
        </w:rPr>
        <w:t> </w:t>
      </w:r>
      <w:r>
        <w:rPr>
          <w:spacing w:val="-3"/>
          <w:w w:val="105"/>
          <w:sz w:val="21"/>
        </w:rPr>
        <w:t>remove,</w:t>
      </w:r>
      <w:r>
        <w:rPr>
          <w:spacing w:val="-7"/>
          <w:w w:val="105"/>
          <w:sz w:val="21"/>
        </w:rPr>
        <w:t> </w:t>
      </w:r>
      <w:r>
        <w:rPr>
          <w:w w:val="105"/>
          <w:sz w:val="21"/>
        </w:rPr>
        <w:t>destroy</w:t>
      </w:r>
      <w:r>
        <w:rPr>
          <w:spacing w:val="-8"/>
          <w:w w:val="105"/>
          <w:sz w:val="21"/>
        </w:rPr>
        <w:t> </w:t>
      </w:r>
      <w:r>
        <w:rPr>
          <w:w w:val="105"/>
          <w:sz w:val="21"/>
        </w:rPr>
        <w:t>or</w:t>
      </w:r>
      <w:r>
        <w:rPr>
          <w:spacing w:val="-7"/>
          <w:w w:val="105"/>
          <w:sz w:val="21"/>
        </w:rPr>
        <w:t> </w:t>
      </w:r>
      <w:r>
        <w:rPr>
          <w:w w:val="105"/>
          <w:sz w:val="21"/>
        </w:rPr>
        <w:t>lop</w:t>
      </w:r>
      <w:r>
        <w:rPr>
          <w:spacing w:val="-7"/>
          <w:w w:val="105"/>
          <w:sz w:val="21"/>
        </w:rPr>
        <w:t> </w:t>
      </w:r>
      <w:r>
        <w:rPr>
          <w:w w:val="105"/>
          <w:sz w:val="21"/>
        </w:rPr>
        <w:t>a</w:t>
      </w:r>
      <w:r>
        <w:rPr>
          <w:spacing w:val="-7"/>
          <w:w w:val="105"/>
          <w:sz w:val="21"/>
        </w:rPr>
        <w:t> </w:t>
      </w:r>
      <w:r>
        <w:rPr>
          <w:w w:val="105"/>
          <w:sz w:val="21"/>
        </w:rPr>
        <w:t>tree</w:t>
      </w:r>
      <w:r>
        <w:rPr>
          <w:spacing w:val="-8"/>
          <w:w w:val="105"/>
          <w:sz w:val="21"/>
        </w:rPr>
        <w:t> </w:t>
      </w:r>
      <w:r>
        <w:rPr>
          <w:w w:val="105"/>
          <w:sz w:val="21"/>
        </w:rPr>
        <w:t>which</w:t>
      </w:r>
      <w:r>
        <w:rPr>
          <w:spacing w:val="-7"/>
          <w:w w:val="105"/>
          <w:sz w:val="21"/>
        </w:rPr>
        <w:t> </w:t>
      </w:r>
      <w:r>
        <w:rPr>
          <w:w w:val="105"/>
          <w:sz w:val="21"/>
        </w:rPr>
        <w:t>is</w:t>
      </w:r>
      <w:r>
        <w:rPr>
          <w:spacing w:val="-7"/>
          <w:w w:val="105"/>
          <w:sz w:val="21"/>
        </w:rPr>
        <w:t> </w:t>
      </w:r>
      <w:r>
        <w:rPr>
          <w:spacing w:val="-3"/>
          <w:w w:val="105"/>
          <w:sz w:val="21"/>
        </w:rPr>
        <w:t>‘deemed</w:t>
      </w:r>
      <w:r>
        <w:rPr>
          <w:spacing w:val="-7"/>
          <w:w w:val="105"/>
          <w:sz w:val="21"/>
        </w:rPr>
        <w:t> </w:t>
      </w:r>
      <w:r>
        <w:rPr>
          <w:spacing w:val="-3"/>
          <w:w w:val="105"/>
          <w:sz w:val="21"/>
        </w:rPr>
        <w:t>unsafe</w:t>
      </w:r>
      <w:r>
        <w:rPr>
          <w:spacing w:val="-8"/>
          <w:w w:val="105"/>
          <w:sz w:val="21"/>
        </w:rPr>
        <w:t> </w:t>
      </w:r>
      <w:r>
        <w:rPr>
          <w:w w:val="105"/>
          <w:sz w:val="21"/>
        </w:rPr>
        <w:t>by</w:t>
      </w:r>
      <w:r>
        <w:rPr>
          <w:spacing w:val="-7"/>
          <w:w w:val="105"/>
          <w:sz w:val="21"/>
        </w:rPr>
        <w:t> </w:t>
      </w:r>
      <w:r>
        <w:rPr>
          <w:w w:val="105"/>
          <w:sz w:val="21"/>
        </w:rPr>
        <w:t>a</w:t>
      </w:r>
      <w:r>
        <w:rPr>
          <w:spacing w:val="-7"/>
          <w:w w:val="105"/>
          <w:sz w:val="21"/>
        </w:rPr>
        <w:t> </w:t>
      </w:r>
      <w:r>
        <w:rPr>
          <w:w w:val="105"/>
          <w:sz w:val="21"/>
        </w:rPr>
        <w:t>suitably</w:t>
      </w:r>
      <w:r>
        <w:rPr>
          <w:spacing w:val="-8"/>
          <w:w w:val="105"/>
          <w:sz w:val="21"/>
        </w:rPr>
        <w:t> </w:t>
      </w:r>
      <w:r>
        <w:rPr>
          <w:w w:val="105"/>
          <w:sz w:val="21"/>
        </w:rPr>
        <w:t>qualified arborist, and </w:t>
      </w:r>
      <w:r>
        <w:rPr>
          <w:spacing w:val="-3"/>
          <w:w w:val="105"/>
          <w:sz w:val="21"/>
        </w:rPr>
        <w:t>to </w:t>
      </w:r>
      <w:r>
        <w:rPr>
          <w:w w:val="105"/>
          <w:sz w:val="21"/>
        </w:rPr>
        <w:t>the satisfaction of the </w:t>
      </w:r>
      <w:r>
        <w:rPr>
          <w:spacing w:val="-3"/>
          <w:w w:val="105"/>
          <w:sz w:val="21"/>
        </w:rPr>
        <w:t>responsible</w:t>
      </w:r>
      <w:r>
        <w:rPr>
          <w:spacing w:val="27"/>
          <w:w w:val="105"/>
          <w:sz w:val="21"/>
        </w:rPr>
        <w:t> </w:t>
      </w:r>
      <w:r>
        <w:rPr>
          <w:spacing w:val="-3"/>
          <w:w w:val="105"/>
          <w:sz w:val="21"/>
        </w:rPr>
        <w:t>authority’.</w:t>
      </w:r>
      <w:r>
        <w:rPr>
          <w:spacing w:val="-3"/>
          <w:w w:val="105"/>
          <w:position w:val="7"/>
          <w:sz w:val="12"/>
        </w:rPr>
        <w:t>56</w:t>
      </w:r>
    </w:p>
    <w:p>
      <w:pPr>
        <w:pStyle w:val="Heading7"/>
      </w:pPr>
      <w:r>
        <w:rPr>
          <w:w w:val="115"/>
        </w:rPr>
        <w:t>Bushfire management overlay</w:t>
      </w:r>
    </w:p>
    <w:p>
      <w:pPr>
        <w:pStyle w:val="ListParagraph"/>
        <w:numPr>
          <w:ilvl w:val="1"/>
          <w:numId w:val="16"/>
        </w:numPr>
        <w:tabs>
          <w:tab w:pos="2381" w:val="left" w:leader="none"/>
          <w:tab w:pos="2382" w:val="left" w:leader="none"/>
        </w:tabs>
        <w:spacing w:line="242" w:lineRule="auto" w:before="143" w:after="0"/>
        <w:ind w:left="2381" w:right="1603" w:hanging="794"/>
        <w:jc w:val="left"/>
        <w:rPr>
          <w:sz w:val="21"/>
        </w:rPr>
      </w:pPr>
      <w:r>
        <w:rPr>
          <w:sz w:val="21"/>
        </w:rPr>
        <w:t>The </w:t>
      </w:r>
      <w:r>
        <w:rPr>
          <w:spacing w:val="-3"/>
          <w:sz w:val="21"/>
        </w:rPr>
        <w:t>Bushfire Management </w:t>
      </w:r>
      <w:r>
        <w:rPr>
          <w:sz w:val="21"/>
        </w:rPr>
        <w:t>Overlay is used </w:t>
      </w:r>
      <w:r>
        <w:rPr>
          <w:spacing w:val="-3"/>
          <w:sz w:val="21"/>
        </w:rPr>
        <w:t>to </w:t>
      </w:r>
      <w:r>
        <w:rPr>
          <w:sz w:val="21"/>
        </w:rPr>
        <w:t>guide the  development  of  </w:t>
      </w:r>
      <w:r>
        <w:rPr>
          <w:spacing w:val="-3"/>
          <w:sz w:val="21"/>
        </w:rPr>
        <w:t>land  </w:t>
      </w:r>
      <w:r>
        <w:rPr>
          <w:sz w:val="21"/>
        </w:rPr>
        <w:t>in  </w:t>
      </w:r>
      <w:r>
        <w:rPr>
          <w:spacing w:val="-3"/>
          <w:sz w:val="21"/>
        </w:rPr>
        <w:t>areas </w:t>
      </w:r>
      <w:r>
        <w:rPr>
          <w:sz w:val="21"/>
        </w:rPr>
        <w:t>where vegetation can </w:t>
      </w:r>
      <w:r>
        <w:rPr>
          <w:spacing w:val="-3"/>
          <w:sz w:val="21"/>
        </w:rPr>
        <w:t>create </w:t>
      </w:r>
      <w:r>
        <w:rPr>
          <w:sz w:val="21"/>
        </w:rPr>
        <w:t>an extreme </w:t>
      </w:r>
      <w:r>
        <w:rPr>
          <w:spacing w:val="-3"/>
          <w:sz w:val="21"/>
        </w:rPr>
        <w:t>bushfire hazard.</w:t>
      </w:r>
      <w:r>
        <w:rPr>
          <w:spacing w:val="-3"/>
          <w:position w:val="7"/>
          <w:sz w:val="12"/>
        </w:rPr>
        <w:t>57 </w:t>
      </w:r>
      <w:r>
        <w:rPr>
          <w:sz w:val="21"/>
        </w:rPr>
        <w:t>It operates </w:t>
      </w:r>
      <w:r>
        <w:rPr>
          <w:spacing w:val="-3"/>
          <w:sz w:val="21"/>
        </w:rPr>
        <w:t>to ‘prioritise  human  life </w:t>
      </w:r>
      <w:r>
        <w:rPr>
          <w:sz w:val="21"/>
        </w:rPr>
        <w:t>and strengthen community </w:t>
      </w:r>
      <w:r>
        <w:rPr>
          <w:spacing w:val="-3"/>
          <w:sz w:val="21"/>
        </w:rPr>
        <w:t>resilience to </w:t>
      </w:r>
      <w:r>
        <w:rPr>
          <w:spacing w:val="-4"/>
          <w:sz w:val="21"/>
        </w:rPr>
        <w:t>bushfire’.</w:t>
      </w:r>
      <w:r>
        <w:rPr>
          <w:spacing w:val="-4"/>
          <w:position w:val="7"/>
          <w:sz w:val="12"/>
        </w:rPr>
        <w:t>58 </w:t>
      </w:r>
      <w:r>
        <w:rPr>
          <w:spacing w:val="-3"/>
          <w:sz w:val="21"/>
        </w:rPr>
        <w:t>Therefore, </w:t>
      </w:r>
      <w:r>
        <w:rPr>
          <w:sz w:val="21"/>
        </w:rPr>
        <w:t>it manages</w:t>
      </w:r>
      <w:r>
        <w:rPr>
          <w:spacing w:val="15"/>
          <w:sz w:val="21"/>
        </w:rPr>
        <w:t> </w:t>
      </w:r>
      <w:r>
        <w:rPr>
          <w:sz w:val="21"/>
        </w:rPr>
        <w:t>vegetation</w:t>
      </w:r>
    </w:p>
    <w:p>
      <w:pPr>
        <w:pStyle w:val="BodyText"/>
        <w:spacing w:before="7"/>
        <w:rPr>
          <w:sz w:val="13"/>
        </w:rPr>
      </w:pPr>
      <w:r>
        <w:rPr/>
        <w:pict>
          <v:line style="position:absolute;mso-position-horizontal-relative:page;mso-position-vertical-relative:paragraph;z-index:9536;mso-wrap-distance-left:0;mso-wrap-distance-right:0" from="79.370102pt,10.775109pt" to="515.905102pt,10.775109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9"/>
        </w:rPr>
      </w:pPr>
    </w:p>
    <w:p>
      <w:pPr>
        <w:spacing w:before="0"/>
        <w:ind w:left="720" w:right="0" w:firstLine="0"/>
        <w:jc w:val="left"/>
        <w:rPr>
          <w:b/>
          <w:sz w:val="24"/>
        </w:rPr>
      </w:pPr>
      <w:r>
        <w:rPr>
          <w:b/>
          <w:color w:val="658464"/>
          <w:w w:val="110"/>
          <w:sz w:val="24"/>
        </w:rPr>
        <w:t>224</w:t>
      </w:r>
    </w:p>
    <w:p>
      <w:pPr>
        <w:pStyle w:val="ListParagraph"/>
        <w:numPr>
          <w:ilvl w:val="0"/>
          <w:numId w:val="164"/>
        </w:numPr>
        <w:tabs>
          <w:tab w:pos="1219" w:val="left" w:leader="none"/>
          <w:tab w:pos="1220" w:val="left" w:leader="none"/>
        </w:tabs>
        <w:spacing w:line="240" w:lineRule="auto" w:before="48" w:after="0"/>
        <w:ind w:left="1219" w:right="0" w:hanging="793"/>
        <w:jc w:val="left"/>
        <w:rPr>
          <w:sz w:val="13"/>
        </w:rPr>
      </w:pPr>
      <w:r>
        <w:rPr>
          <w:spacing w:val="2"/>
          <w:w w:val="108"/>
          <w:sz w:val="13"/>
        </w:rPr>
        <w:br w:type="column"/>
      </w: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6"/>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6"/>
          <w:w w:val="105"/>
          <w:sz w:val="13"/>
        </w:rPr>
        <w:t> </w:t>
      </w:r>
      <w:r>
        <w:rPr>
          <w:spacing w:val="2"/>
          <w:w w:val="105"/>
          <w:sz w:val="13"/>
        </w:rPr>
        <w:t>(Vic),</w:t>
      </w:r>
      <w:r>
        <w:rPr>
          <w:spacing w:val="5"/>
          <w:w w:val="105"/>
          <w:sz w:val="13"/>
        </w:rPr>
        <w:t> </w:t>
      </w:r>
      <w:r>
        <w:rPr>
          <w:i/>
          <w:w w:val="105"/>
          <w:sz w:val="13"/>
        </w:rPr>
        <w:t>Planning</w:t>
      </w:r>
      <w:r>
        <w:rPr>
          <w:i/>
          <w:spacing w:val="5"/>
          <w:w w:val="105"/>
          <w:sz w:val="13"/>
        </w:rPr>
        <w:t> </w:t>
      </w:r>
      <w:r>
        <w:rPr>
          <w:i/>
          <w:w w:val="105"/>
          <w:sz w:val="13"/>
        </w:rPr>
        <w:t>Practice</w:t>
      </w:r>
      <w:r>
        <w:rPr>
          <w:i/>
          <w:spacing w:val="5"/>
          <w:w w:val="105"/>
          <w:sz w:val="13"/>
        </w:rPr>
        <w:t> </w:t>
      </w:r>
      <w:r>
        <w:rPr>
          <w:i/>
          <w:w w:val="105"/>
          <w:sz w:val="13"/>
        </w:rPr>
        <w:t>Note</w:t>
      </w:r>
      <w:r>
        <w:rPr>
          <w:i/>
          <w:spacing w:val="6"/>
          <w:w w:val="105"/>
          <w:sz w:val="13"/>
        </w:rPr>
        <w:t> </w:t>
      </w:r>
      <w:r>
        <w:rPr>
          <w:i/>
          <w:spacing w:val="-3"/>
          <w:w w:val="105"/>
          <w:sz w:val="13"/>
        </w:rPr>
        <w:t>1:</w:t>
      </w:r>
      <w:r>
        <w:rPr>
          <w:i/>
          <w:spacing w:val="5"/>
          <w:w w:val="105"/>
          <w:sz w:val="13"/>
        </w:rPr>
        <w:t> </w:t>
      </w:r>
      <w:r>
        <w:rPr>
          <w:i/>
          <w:w w:val="105"/>
          <w:sz w:val="13"/>
        </w:rPr>
        <w:t>Applying</w:t>
      </w:r>
      <w:r>
        <w:rPr>
          <w:i/>
          <w:spacing w:val="5"/>
          <w:w w:val="105"/>
          <w:sz w:val="13"/>
        </w:rPr>
        <w:t> </w:t>
      </w:r>
      <w:r>
        <w:rPr>
          <w:i/>
          <w:w w:val="105"/>
          <w:sz w:val="13"/>
        </w:rPr>
        <w:t>the</w:t>
      </w:r>
      <w:r>
        <w:rPr>
          <w:i/>
          <w:spacing w:val="6"/>
          <w:w w:val="105"/>
          <w:sz w:val="13"/>
        </w:rPr>
        <w:t> </w:t>
      </w:r>
      <w:r>
        <w:rPr>
          <w:i/>
          <w:w w:val="105"/>
          <w:sz w:val="13"/>
        </w:rPr>
        <w:t>Heritage</w:t>
      </w:r>
      <w:r>
        <w:rPr>
          <w:i/>
          <w:spacing w:val="5"/>
          <w:w w:val="105"/>
          <w:sz w:val="13"/>
        </w:rPr>
        <w:t> </w:t>
      </w:r>
      <w:r>
        <w:rPr>
          <w:i/>
          <w:w w:val="105"/>
          <w:sz w:val="13"/>
        </w:rPr>
        <w:t>Overlay,</w:t>
      </w:r>
      <w:r>
        <w:rPr>
          <w:i/>
          <w:spacing w:val="5"/>
          <w:w w:val="105"/>
          <w:sz w:val="13"/>
        </w:rPr>
        <w:t> </w:t>
      </w:r>
      <w:r>
        <w:rPr>
          <w:w w:val="105"/>
          <w:sz w:val="13"/>
        </w:rPr>
        <w:t>August</w:t>
      </w:r>
      <w:r>
        <w:rPr>
          <w:spacing w:val="5"/>
          <w:w w:val="105"/>
          <w:sz w:val="13"/>
        </w:rPr>
        <w:t> </w:t>
      </w:r>
      <w:r>
        <w:rPr>
          <w:w w:val="105"/>
          <w:sz w:val="13"/>
        </w:rPr>
        <w:t>2018,</w:t>
      </w:r>
      <w:r>
        <w:rPr>
          <w:spacing w:val="6"/>
          <w:w w:val="105"/>
          <w:sz w:val="13"/>
        </w:rPr>
        <w:t> </w:t>
      </w:r>
      <w:r>
        <w:rPr>
          <w:w w:val="105"/>
          <w:sz w:val="13"/>
        </w:rPr>
        <w:t>4.</w:t>
      </w:r>
    </w:p>
    <w:p>
      <w:pPr>
        <w:pStyle w:val="ListParagraph"/>
        <w:numPr>
          <w:ilvl w:val="0"/>
          <w:numId w:val="164"/>
        </w:numPr>
        <w:tabs>
          <w:tab w:pos="1219" w:val="left" w:leader="none"/>
          <w:tab w:pos="1220" w:val="left" w:leader="none"/>
        </w:tabs>
        <w:spacing w:line="240" w:lineRule="auto" w:before="1" w:after="0"/>
        <w:ind w:left="1219" w:right="1742" w:hanging="793"/>
        <w:jc w:val="left"/>
        <w:rPr>
          <w:sz w:val="13"/>
        </w:rPr>
      </w:pPr>
      <w:r>
        <w:rPr>
          <w:w w:val="105"/>
          <w:sz w:val="13"/>
        </w:rPr>
        <w:t>See, eg, 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43.02-3 ‘Significant Landscape Overlay’, ‘Table of Exemptions’. For example, the requirement to obtain a permit does not apply to vegetation that is to be removed, destroyed or lopped in an emergency or where it presents an immediate risk of personal injury or damage to </w:t>
      </w:r>
      <w:r>
        <w:rPr>
          <w:spacing w:val="2"/>
          <w:w w:val="105"/>
          <w:sz w:val="13"/>
        </w:rPr>
        <w:t>property </w:t>
      </w:r>
      <w:r>
        <w:rPr>
          <w:w w:val="105"/>
          <w:sz w:val="13"/>
        </w:rPr>
        <w:t>or to vegetation that is to be removed, destroyed or lopped to the minimum extent </w:t>
      </w:r>
      <w:r>
        <w:rPr>
          <w:spacing w:val="2"/>
          <w:w w:val="105"/>
          <w:sz w:val="13"/>
        </w:rPr>
        <w:t>necessary </w:t>
      </w:r>
      <w:r>
        <w:rPr>
          <w:w w:val="105"/>
          <w:sz w:val="13"/>
        </w:rPr>
        <w:t>to enable the carrying out of fire protection activities. For a full list of examples see 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42.01-3, 42.02-3, 42.03-3, ‘Table of Exemptions’. These exemptions also apply to some processes in other </w:t>
      </w:r>
      <w:r>
        <w:rPr>
          <w:spacing w:val="2"/>
          <w:w w:val="105"/>
          <w:sz w:val="13"/>
        </w:rPr>
        <w:t>Acts </w:t>
      </w:r>
      <w:r>
        <w:rPr>
          <w:w w:val="105"/>
          <w:sz w:val="13"/>
        </w:rPr>
        <w:t>including the </w:t>
      </w:r>
      <w:r>
        <w:rPr>
          <w:i/>
          <w:w w:val="105"/>
          <w:sz w:val="13"/>
        </w:rPr>
        <w:t>Geothermal Energy Resources Act 2005 </w:t>
      </w:r>
      <w:r>
        <w:rPr>
          <w:spacing w:val="2"/>
          <w:w w:val="105"/>
          <w:sz w:val="13"/>
        </w:rPr>
        <w:t>(Vic), </w:t>
      </w:r>
      <w:r>
        <w:rPr>
          <w:w w:val="105"/>
          <w:sz w:val="13"/>
        </w:rPr>
        <w:t>the </w:t>
      </w:r>
      <w:r>
        <w:rPr>
          <w:i/>
          <w:w w:val="105"/>
          <w:sz w:val="13"/>
        </w:rPr>
        <w:t>Greenhouse Gas Geological Sequestration Act 2008 </w:t>
      </w:r>
      <w:r>
        <w:rPr>
          <w:spacing w:val="2"/>
          <w:w w:val="105"/>
          <w:sz w:val="13"/>
        </w:rPr>
        <w:t>(Vic), </w:t>
      </w:r>
      <w:r>
        <w:rPr>
          <w:w w:val="105"/>
          <w:sz w:val="13"/>
        </w:rPr>
        <w:t>the </w:t>
      </w:r>
      <w:r>
        <w:rPr>
          <w:i/>
          <w:w w:val="105"/>
          <w:sz w:val="13"/>
        </w:rPr>
        <w:t>Catchment and Land </w:t>
      </w:r>
      <w:r>
        <w:rPr>
          <w:i/>
          <w:w w:val="105"/>
          <w:sz w:val="13"/>
        </w:rPr>
        <w:t>Protection</w:t>
      </w:r>
      <w:r>
        <w:rPr>
          <w:i/>
          <w:spacing w:val="5"/>
          <w:w w:val="105"/>
          <w:sz w:val="13"/>
        </w:rPr>
        <w:t> </w:t>
      </w:r>
      <w:r>
        <w:rPr>
          <w:i/>
          <w:w w:val="105"/>
          <w:sz w:val="13"/>
        </w:rPr>
        <w:t>Act</w:t>
      </w:r>
      <w:r>
        <w:rPr>
          <w:i/>
          <w:spacing w:val="5"/>
          <w:w w:val="105"/>
          <w:sz w:val="13"/>
        </w:rPr>
        <w:t> </w:t>
      </w:r>
      <w:r>
        <w:rPr>
          <w:i/>
          <w:w w:val="105"/>
          <w:sz w:val="13"/>
        </w:rPr>
        <w:t>1994</w:t>
      </w:r>
      <w:r>
        <w:rPr>
          <w:i/>
          <w:spacing w:val="5"/>
          <w:w w:val="105"/>
          <w:sz w:val="13"/>
        </w:rPr>
        <w:t> </w:t>
      </w:r>
      <w:r>
        <w:rPr>
          <w:spacing w:val="2"/>
          <w:w w:val="105"/>
          <w:sz w:val="13"/>
        </w:rPr>
        <w:t>(Vic)</w:t>
      </w:r>
      <w:r>
        <w:rPr>
          <w:spacing w:val="5"/>
          <w:w w:val="105"/>
          <w:sz w:val="13"/>
        </w:rPr>
        <w:t> </w:t>
      </w:r>
      <w:r>
        <w:rPr>
          <w:w w:val="105"/>
          <w:sz w:val="13"/>
        </w:rPr>
        <w:t>and</w:t>
      </w:r>
      <w:r>
        <w:rPr>
          <w:spacing w:val="5"/>
          <w:w w:val="105"/>
          <w:sz w:val="13"/>
        </w:rPr>
        <w:t> </w:t>
      </w:r>
      <w:r>
        <w:rPr>
          <w:w w:val="105"/>
          <w:sz w:val="13"/>
        </w:rPr>
        <w:t>the</w:t>
      </w:r>
      <w:r>
        <w:rPr>
          <w:spacing w:val="5"/>
          <w:w w:val="105"/>
          <w:sz w:val="13"/>
        </w:rPr>
        <w:t> </w:t>
      </w:r>
      <w:r>
        <w:rPr>
          <w:i/>
          <w:w w:val="105"/>
          <w:sz w:val="13"/>
        </w:rPr>
        <w:t>Traditional</w:t>
      </w:r>
      <w:r>
        <w:rPr>
          <w:i/>
          <w:spacing w:val="5"/>
          <w:w w:val="105"/>
          <w:sz w:val="13"/>
        </w:rPr>
        <w:t> </w:t>
      </w:r>
      <w:r>
        <w:rPr>
          <w:i/>
          <w:w w:val="105"/>
          <w:sz w:val="13"/>
        </w:rPr>
        <w:t>Owner</w:t>
      </w:r>
      <w:r>
        <w:rPr>
          <w:i/>
          <w:spacing w:val="5"/>
          <w:w w:val="105"/>
          <w:sz w:val="13"/>
        </w:rPr>
        <w:t> </w:t>
      </w:r>
      <w:r>
        <w:rPr>
          <w:i/>
          <w:w w:val="105"/>
          <w:sz w:val="13"/>
        </w:rPr>
        <w:t>Settlement</w:t>
      </w:r>
      <w:r>
        <w:rPr>
          <w:i/>
          <w:spacing w:val="5"/>
          <w:w w:val="105"/>
          <w:sz w:val="13"/>
        </w:rPr>
        <w:t> </w:t>
      </w:r>
      <w:r>
        <w:rPr>
          <w:i/>
          <w:w w:val="105"/>
          <w:sz w:val="13"/>
        </w:rPr>
        <w:t>Act</w:t>
      </w:r>
      <w:r>
        <w:rPr>
          <w:i/>
          <w:spacing w:val="5"/>
          <w:w w:val="105"/>
          <w:sz w:val="13"/>
        </w:rPr>
        <w:t> </w:t>
      </w:r>
      <w:r>
        <w:rPr>
          <w:i/>
          <w:spacing w:val="-3"/>
          <w:w w:val="105"/>
          <w:sz w:val="13"/>
        </w:rPr>
        <w:t>2010</w:t>
      </w:r>
      <w:r>
        <w:rPr>
          <w:i/>
          <w:spacing w:val="5"/>
          <w:w w:val="105"/>
          <w:sz w:val="13"/>
        </w:rPr>
        <w:t> </w:t>
      </w:r>
      <w:r>
        <w:rPr>
          <w:spacing w:val="2"/>
          <w:w w:val="105"/>
          <w:sz w:val="13"/>
        </w:rPr>
        <w:t>(Vic).</w:t>
      </w:r>
    </w:p>
    <w:p>
      <w:pPr>
        <w:pStyle w:val="ListParagraph"/>
        <w:numPr>
          <w:ilvl w:val="0"/>
          <w:numId w:val="164"/>
        </w:numPr>
        <w:tabs>
          <w:tab w:pos="1219" w:val="left" w:leader="none"/>
          <w:tab w:pos="1220" w:val="left" w:leader="none"/>
        </w:tabs>
        <w:spacing w:line="240" w:lineRule="auto" w:before="11" w:after="0"/>
        <w:ind w:left="1219" w:right="2084" w:hanging="793"/>
        <w:jc w:val="left"/>
        <w:rPr>
          <w:sz w:val="13"/>
        </w:rPr>
      </w:pPr>
      <w:r>
        <w:rPr>
          <w:w w:val="105"/>
          <w:sz w:val="13"/>
        </w:rPr>
        <w:t>Action must be carried out in accordance with a code of practice prepared under section 86 of the </w:t>
      </w:r>
      <w:r>
        <w:rPr>
          <w:i/>
          <w:w w:val="105"/>
          <w:sz w:val="13"/>
        </w:rPr>
        <w:t>Electricity Safety Act 1998 </w:t>
      </w:r>
      <w:r>
        <w:rPr>
          <w:spacing w:val="2"/>
          <w:w w:val="105"/>
          <w:sz w:val="13"/>
        </w:rPr>
        <w:t>(Vic): </w:t>
      </w: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6"/>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6"/>
          <w:w w:val="105"/>
          <w:sz w:val="13"/>
        </w:rPr>
        <w:t> </w:t>
      </w:r>
      <w:r>
        <w:rPr>
          <w:i/>
          <w:w w:val="105"/>
          <w:sz w:val="13"/>
        </w:rPr>
        <w:t>Victoria</w:t>
      </w:r>
      <w:r>
        <w:rPr>
          <w:i/>
          <w:spacing w:val="5"/>
          <w:w w:val="105"/>
          <w:sz w:val="13"/>
        </w:rPr>
        <w:t> </w:t>
      </w:r>
      <w:r>
        <w:rPr>
          <w:i/>
          <w:w w:val="105"/>
          <w:sz w:val="13"/>
        </w:rPr>
        <w:t>Planning</w:t>
      </w:r>
      <w:r>
        <w:rPr>
          <w:i/>
          <w:spacing w:val="5"/>
          <w:w w:val="105"/>
          <w:sz w:val="13"/>
        </w:rPr>
        <w:t> </w:t>
      </w:r>
      <w:r>
        <w:rPr>
          <w:i/>
          <w:w w:val="105"/>
          <w:sz w:val="13"/>
        </w:rPr>
        <w:t>Provisions</w:t>
      </w:r>
      <w:r>
        <w:rPr>
          <w:i/>
          <w:spacing w:val="6"/>
          <w:w w:val="105"/>
          <w:sz w:val="13"/>
        </w:rPr>
        <w:t> </w:t>
      </w:r>
      <w:r>
        <w:rPr>
          <w:spacing w:val="-5"/>
          <w:w w:val="105"/>
          <w:sz w:val="13"/>
        </w:rPr>
        <w:t>(11</w:t>
      </w:r>
      <w:r>
        <w:rPr>
          <w:spacing w:val="5"/>
          <w:w w:val="105"/>
          <w:sz w:val="13"/>
        </w:rPr>
        <w:t> </w:t>
      </w:r>
      <w:r>
        <w:rPr>
          <w:w w:val="105"/>
          <w:sz w:val="13"/>
        </w:rPr>
        <w:t>April</w:t>
      </w:r>
      <w:r>
        <w:rPr>
          <w:spacing w:val="5"/>
          <w:w w:val="105"/>
          <w:sz w:val="13"/>
        </w:rPr>
        <w:t> </w:t>
      </w:r>
      <w:r>
        <w:rPr>
          <w:w w:val="105"/>
          <w:sz w:val="13"/>
        </w:rPr>
        <w:t>2019),</w:t>
      </w:r>
      <w:r>
        <w:rPr>
          <w:spacing w:val="5"/>
          <w:w w:val="105"/>
          <w:sz w:val="13"/>
        </w:rPr>
        <w:t> </w:t>
      </w:r>
      <w:r>
        <w:rPr>
          <w:w w:val="105"/>
          <w:sz w:val="13"/>
        </w:rPr>
        <w:t>cl</w:t>
      </w:r>
      <w:r>
        <w:rPr>
          <w:spacing w:val="6"/>
          <w:w w:val="105"/>
          <w:sz w:val="13"/>
        </w:rPr>
        <w:t> </w:t>
      </w:r>
      <w:r>
        <w:rPr>
          <w:w w:val="105"/>
          <w:sz w:val="13"/>
        </w:rPr>
        <w:t>43.01-1.</w:t>
      </w:r>
    </w:p>
    <w:p>
      <w:pPr>
        <w:tabs>
          <w:tab w:pos="1219" w:val="left" w:leader="none"/>
        </w:tabs>
        <w:spacing w:before="3"/>
        <w:ind w:left="426" w:right="0" w:firstLine="0"/>
        <w:jc w:val="left"/>
        <w:rPr>
          <w:sz w:val="13"/>
        </w:rPr>
      </w:pPr>
      <w:r>
        <w:rPr>
          <w:spacing w:val="-4"/>
          <w:w w:val="105"/>
          <w:sz w:val="13"/>
        </w:rPr>
        <w:t>51</w:t>
        <w:tab/>
      </w:r>
      <w:r>
        <w:rPr>
          <w:w w:val="105"/>
          <w:sz w:val="13"/>
        </w:rPr>
        <w:t>Ibid, cl</w:t>
      </w:r>
      <w:r>
        <w:rPr>
          <w:spacing w:val="9"/>
          <w:w w:val="105"/>
          <w:sz w:val="13"/>
        </w:rPr>
        <w:t> </w:t>
      </w:r>
      <w:r>
        <w:rPr>
          <w:w w:val="105"/>
          <w:sz w:val="13"/>
        </w:rPr>
        <w:t>43.01-1.</w:t>
      </w:r>
    </w:p>
    <w:p>
      <w:pPr>
        <w:pStyle w:val="ListParagraph"/>
        <w:numPr>
          <w:ilvl w:val="0"/>
          <w:numId w:val="165"/>
        </w:numPr>
        <w:tabs>
          <w:tab w:pos="1219" w:val="left" w:leader="none"/>
          <w:tab w:pos="1221" w:val="left" w:leader="none"/>
        </w:tabs>
        <w:spacing w:line="240" w:lineRule="auto" w:before="1" w:after="0"/>
        <w:ind w:left="1220" w:right="1633" w:hanging="794"/>
        <w:jc w:val="left"/>
        <w:rPr>
          <w:sz w:val="13"/>
        </w:rPr>
      </w:pPr>
      <w:r>
        <w:rPr>
          <w:w w:val="105"/>
          <w:sz w:val="13"/>
        </w:rPr>
        <w:t>For the SLO, ESO and </w:t>
      </w:r>
      <w:r>
        <w:rPr>
          <w:spacing w:val="2"/>
          <w:w w:val="105"/>
          <w:sz w:val="13"/>
        </w:rPr>
        <w:t>VPO </w:t>
      </w:r>
      <w:r>
        <w:rPr>
          <w:w w:val="105"/>
          <w:sz w:val="13"/>
        </w:rPr>
        <w:t>only that part of the vegetation that presents a risk may be removed, destroyed or lopped under this exemption: Department</w:t>
      </w:r>
      <w:r>
        <w:rPr>
          <w:spacing w:val="7"/>
          <w:w w:val="105"/>
          <w:sz w:val="13"/>
        </w:rPr>
        <w:t> </w:t>
      </w:r>
      <w:r>
        <w:rPr>
          <w:w w:val="105"/>
          <w:sz w:val="13"/>
        </w:rPr>
        <w:t>of</w:t>
      </w:r>
      <w:r>
        <w:rPr>
          <w:spacing w:val="7"/>
          <w:w w:val="105"/>
          <w:sz w:val="13"/>
        </w:rPr>
        <w:t> </w:t>
      </w:r>
      <w:r>
        <w:rPr>
          <w:w w:val="105"/>
          <w:sz w:val="13"/>
        </w:rPr>
        <w:t>Environment,</w:t>
      </w:r>
      <w:r>
        <w:rPr>
          <w:spacing w:val="8"/>
          <w:w w:val="105"/>
          <w:sz w:val="13"/>
        </w:rPr>
        <w:t> </w:t>
      </w:r>
      <w:r>
        <w:rPr>
          <w:w w:val="105"/>
          <w:sz w:val="13"/>
        </w:rPr>
        <w:t>Land,</w:t>
      </w:r>
      <w:r>
        <w:rPr>
          <w:spacing w:val="7"/>
          <w:w w:val="105"/>
          <w:sz w:val="13"/>
        </w:rPr>
        <w:t> </w:t>
      </w:r>
      <w:r>
        <w:rPr>
          <w:w w:val="105"/>
          <w:sz w:val="13"/>
        </w:rPr>
        <w:t>Water</w:t>
      </w:r>
      <w:r>
        <w:rPr>
          <w:spacing w:val="8"/>
          <w:w w:val="105"/>
          <w:sz w:val="13"/>
        </w:rPr>
        <w:t> </w:t>
      </w:r>
      <w:r>
        <w:rPr>
          <w:w w:val="105"/>
          <w:sz w:val="13"/>
        </w:rPr>
        <w:t>and</w:t>
      </w:r>
      <w:r>
        <w:rPr>
          <w:spacing w:val="7"/>
          <w:w w:val="105"/>
          <w:sz w:val="13"/>
        </w:rPr>
        <w:t> </w:t>
      </w:r>
      <w:r>
        <w:rPr>
          <w:w w:val="105"/>
          <w:sz w:val="13"/>
        </w:rPr>
        <w:t>Planning</w:t>
      </w:r>
      <w:r>
        <w:rPr>
          <w:spacing w:val="8"/>
          <w:w w:val="105"/>
          <w:sz w:val="13"/>
        </w:rPr>
        <w:t> </w:t>
      </w:r>
      <w:r>
        <w:rPr>
          <w:spacing w:val="2"/>
          <w:w w:val="105"/>
          <w:sz w:val="13"/>
        </w:rPr>
        <w:t>(Vic),</w:t>
      </w:r>
      <w:r>
        <w:rPr>
          <w:spacing w:val="7"/>
          <w:w w:val="105"/>
          <w:sz w:val="13"/>
        </w:rPr>
        <w:t> </w:t>
      </w:r>
      <w:r>
        <w:rPr>
          <w:i/>
          <w:w w:val="105"/>
          <w:sz w:val="13"/>
        </w:rPr>
        <w:t>Victoria</w:t>
      </w:r>
      <w:r>
        <w:rPr>
          <w:i/>
          <w:spacing w:val="7"/>
          <w:w w:val="105"/>
          <w:sz w:val="13"/>
        </w:rPr>
        <w:t> </w:t>
      </w:r>
      <w:r>
        <w:rPr>
          <w:i/>
          <w:w w:val="105"/>
          <w:sz w:val="13"/>
        </w:rPr>
        <w:t>Planning</w:t>
      </w:r>
      <w:r>
        <w:rPr>
          <w:i/>
          <w:spacing w:val="8"/>
          <w:w w:val="105"/>
          <w:sz w:val="13"/>
        </w:rPr>
        <w:t> </w:t>
      </w:r>
      <w:r>
        <w:rPr>
          <w:i/>
          <w:w w:val="105"/>
          <w:sz w:val="13"/>
        </w:rPr>
        <w:t>Provisions</w:t>
      </w:r>
      <w:r>
        <w:rPr>
          <w:i/>
          <w:spacing w:val="7"/>
          <w:w w:val="105"/>
          <w:sz w:val="13"/>
        </w:rPr>
        <w:t> </w:t>
      </w:r>
      <w:r>
        <w:rPr>
          <w:spacing w:val="-5"/>
          <w:w w:val="105"/>
          <w:sz w:val="13"/>
        </w:rPr>
        <w:t>(11</w:t>
      </w:r>
      <w:r>
        <w:rPr>
          <w:spacing w:val="8"/>
          <w:w w:val="105"/>
          <w:sz w:val="13"/>
        </w:rPr>
        <w:t> </w:t>
      </w:r>
      <w:r>
        <w:rPr>
          <w:w w:val="105"/>
          <w:sz w:val="13"/>
        </w:rPr>
        <w:t>April</w:t>
      </w:r>
      <w:r>
        <w:rPr>
          <w:spacing w:val="7"/>
          <w:w w:val="105"/>
          <w:sz w:val="13"/>
        </w:rPr>
        <w:t> </w:t>
      </w:r>
      <w:r>
        <w:rPr>
          <w:w w:val="105"/>
          <w:sz w:val="13"/>
        </w:rPr>
        <w:t>2019),</w:t>
      </w:r>
      <w:r>
        <w:rPr>
          <w:spacing w:val="8"/>
          <w:w w:val="105"/>
          <w:sz w:val="13"/>
        </w:rPr>
        <w:t> </w:t>
      </w:r>
      <w:r>
        <w:rPr>
          <w:w w:val="105"/>
          <w:sz w:val="13"/>
        </w:rPr>
        <w:t>cl</w:t>
      </w:r>
      <w:r>
        <w:rPr>
          <w:spacing w:val="7"/>
          <w:w w:val="105"/>
          <w:sz w:val="13"/>
        </w:rPr>
        <w:t> </w:t>
      </w:r>
      <w:r>
        <w:rPr>
          <w:w w:val="105"/>
          <w:sz w:val="13"/>
        </w:rPr>
        <w:t>42.01-3,</w:t>
      </w:r>
      <w:r>
        <w:rPr>
          <w:spacing w:val="8"/>
          <w:w w:val="105"/>
          <w:sz w:val="13"/>
        </w:rPr>
        <w:t> </w:t>
      </w:r>
      <w:r>
        <w:rPr>
          <w:w w:val="105"/>
          <w:sz w:val="13"/>
        </w:rPr>
        <w:t>42.02-3,</w:t>
      </w:r>
      <w:r>
        <w:rPr>
          <w:spacing w:val="7"/>
          <w:w w:val="105"/>
          <w:sz w:val="13"/>
        </w:rPr>
        <w:t> </w:t>
      </w:r>
      <w:r>
        <w:rPr>
          <w:w w:val="105"/>
          <w:sz w:val="13"/>
        </w:rPr>
        <w:t>42.03-3.</w:t>
      </w:r>
    </w:p>
    <w:p>
      <w:pPr>
        <w:pStyle w:val="ListParagraph"/>
        <w:numPr>
          <w:ilvl w:val="0"/>
          <w:numId w:val="165"/>
        </w:numPr>
        <w:tabs>
          <w:tab w:pos="1219" w:val="left" w:leader="none"/>
          <w:tab w:pos="1221" w:val="left" w:leader="none"/>
        </w:tabs>
        <w:spacing w:line="240" w:lineRule="auto" w:before="3" w:after="0"/>
        <w:ind w:left="1220" w:right="1840" w:hanging="794"/>
        <w:jc w:val="left"/>
        <w:rPr>
          <w:sz w:val="13"/>
        </w:rPr>
      </w:pPr>
      <w:r>
        <w:rPr>
          <w:w w:val="105"/>
          <w:sz w:val="13"/>
        </w:rPr>
        <w:t>See Department of Environment, Land, Water and Planning </w:t>
      </w:r>
      <w:r>
        <w:rPr>
          <w:spacing w:val="2"/>
          <w:w w:val="105"/>
          <w:sz w:val="13"/>
        </w:rPr>
        <w:t>(Vic), </w:t>
      </w:r>
      <w:r>
        <w:rPr>
          <w:i/>
          <w:w w:val="105"/>
          <w:sz w:val="13"/>
        </w:rPr>
        <w:t>Guidance—Exemptions From Requiring a Planning Permit </w:t>
      </w:r>
      <w:r>
        <w:rPr>
          <w:i/>
          <w:spacing w:val="-3"/>
          <w:w w:val="105"/>
          <w:sz w:val="13"/>
        </w:rPr>
        <w:t>To </w:t>
      </w:r>
      <w:r>
        <w:rPr>
          <w:i/>
          <w:w w:val="105"/>
          <w:sz w:val="13"/>
        </w:rPr>
        <w:t>Remove, </w:t>
      </w:r>
      <w:r>
        <w:rPr>
          <w:i/>
          <w:w w:val="105"/>
          <w:sz w:val="13"/>
        </w:rPr>
        <w:t>Destroy</w:t>
      </w:r>
      <w:r>
        <w:rPr>
          <w:i/>
          <w:spacing w:val="4"/>
          <w:w w:val="105"/>
          <w:sz w:val="13"/>
        </w:rPr>
        <w:t> </w:t>
      </w:r>
      <w:r>
        <w:rPr>
          <w:i/>
          <w:w w:val="105"/>
          <w:sz w:val="13"/>
        </w:rPr>
        <w:t>or</w:t>
      </w:r>
      <w:r>
        <w:rPr>
          <w:i/>
          <w:spacing w:val="5"/>
          <w:w w:val="105"/>
          <w:sz w:val="13"/>
        </w:rPr>
        <w:t> </w:t>
      </w:r>
      <w:r>
        <w:rPr>
          <w:i/>
          <w:w w:val="105"/>
          <w:sz w:val="13"/>
        </w:rPr>
        <w:t>Lop</w:t>
      </w:r>
      <w:r>
        <w:rPr>
          <w:i/>
          <w:spacing w:val="4"/>
          <w:w w:val="105"/>
          <w:sz w:val="13"/>
        </w:rPr>
        <w:t> </w:t>
      </w:r>
      <w:r>
        <w:rPr>
          <w:i/>
          <w:w w:val="105"/>
          <w:sz w:val="13"/>
        </w:rPr>
        <w:t>Native</w:t>
      </w:r>
      <w:r>
        <w:rPr>
          <w:i/>
          <w:spacing w:val="5"/>
          <w:w w:val="105"/>
          <w:sz w:val="13"/>
        </w:rPr>
        <w:t> </w:t>
      </w:r>
      <w:r>
        <w:rPr>
          <w:i/>
          <w:w w:val="105"/>
          <w:sz w:val="13"/>
        </w:rPr>
        <w:t>Vegetation</w:t>
      </w:r>
      <w:r>
        <w:rPr>
          <w:i/>
          <w:spacing w:val="5"/>
          <w:w w:val="105"/>
          <w:sz w:val="13"/>
        </w:rPr>
        <w:t> </w:t>
      </w:r>
      <w:r>
        <w:rPr>
          <w:w w:val="105"/>
          <w:sz w:val="13"/>
        </w:rPr>
        <w:t>(Practice</w:t>
      </w:r>
      <w:r>
        <w:rPr>
          <w:spacing w:val="4"/>
          <w:w w:val="105"/>
          <w:sz w:val="13"/>
        </w:rPr>
        <w:t> </w:t>
      </w:r>
      <w:r>
        <w:rPr>
          <w:w w:val="105"/>
          <w:sz w:val="13"/>
        </w:rPr>
        <w:t>Document,</w:t>
      </w:r>
      <w:r>
        <w:rPr>
          <w:spacing w:val="5"/>
          <w:w w:val="105"/>
          <w:sz w:val="13"/>
        </w:rPr>
        <w:t> </w:t>
      </w:r>
      <w:r>
        <w:rPr>
          <w:w w:val="105"/>
          <w:sz w:val="13"/>
        </w:rPr>
        <w:t>December</w:t>
      </w:r>
      <w:r>
        <w:rPr>
          <w:spacing w:val="4"/>
          <w:w w:val="105"/>
          <w:sz w:val="13"/>
        </w:rPr>
        <w:t> </w:t>
      </w:r>
      <w:r>
        <w:rPr>
          <w:w w:val="105"/>
          <w:sz w:val="13"/>
        </w:rPr>
        <w:t>2017)</w:t>
      </w:r>
      <w:r>
        <w:rPr>
          <w:spacing w:val="5"/>
          <w:w w:val="105"/>
          <w:sz w:val="13"/>
        </w:rPr>
        <w:t> </w:t>
      </w:r>
      <w:r>
        <w:rPr>
          <w:w w:val="105"/>
          <w:sz w:val="13"/>
        </w:rPr>
        <w:t>10.</w:t>
      </w:r>
    </w:p>
    <w:p>
      <w:pPr>
        <w:pStyle w:val="ListParagraph"/>
        <w:numPr>
          <w:ilvl w:val="0"/>
          <w:numId w:val="165"/>
        </w:numPr>
        <w:tabs>
          <w:tab w:pos="1220" w:val="left" w:leader="none"/>
          <w:tab w:pos="1221" w:val="left" w:leader="none"/>
        </w:tabs>
        <w:spacing w:line="240" w:lineRule="auto" w:before="2" w:after="0"/>
        <w:ind w:left="1220" w:right="0" w:hanging="794"/>
        <w:jc w:val="left"/>
        <w:rPr>
          <w:sz w:val="13"/>
        </w:rPr>
      </w:pPr>
      <w:r>
        <w:rPr>
          <w:sz w:val="13"/>
        </w:rPr>
        <w:t>Ibid.</w:t>
      </w:r>
    </w:p>
    <w:p>
      <w:pPr>
        <w:pStyle w:val="ListParagraph"/>
        <w:numPr>
          <w:ilvl w:val="0"/>
          <w:numId w:val="165"/>
        </w:numPr>
        <w:tabs>
          <w:tab w:pos="1219" w:val="left" w:leader="none"/>
          <w:tab w:pos="1221" w:val="left" w:leader="none"/>
        </w:tabs>
        <w:spacing w:line="240" w:lineRule="auto" w:before="2" w:after="0"/>
        <w:ind w:left="1220" w:right="0" w:hanging="794"/>
        <w:jc w:val="left"/>
        <w:rPr>
          <w:sz w:val="13"/>
        </w:rPr>
      </w:pPr>
      <w:r>
        <w:rPr>
          <w:w w:val="105"/>
          <w:sz w:val="13"/>
        </w:rPr>
        <w:t>City</w:t>
      </w:r>
      <w:r>
        <w:rPr>
          <w:spacing w:val="5"/>
          <w:w w:val="105"/>
          <w:sz w:val="13"/>
        </w:rPr>
        <w:t> </w:t>
      </w:r>
      <w:r>
        <w:rPr>
          <w:w w:val="105"/>
          <w:sz w:val="13"/>
        </w:rPr>
        <w:t>of</w:t>
      </w:r>
      <w:r>
        <w:rPr>
          <w:spacing w:val="5"/>
          <w:w w:val="105"/>
          <w:sz w:val="13"/>
        </w:rPr>
        <w:t> </w:t>
      </w:r>
      <w:r>
        <w:rPr>
          <w:w w:val="105"/>
          <w:sz w:val="13"/>
        </w:rPr>
        <w:t>Whitehorse,</w:t>
      </w:r>
      <w:r>
        <w:rPr>
          <w:spacing w:val="5"/>
          <w:w w:val="105"/>
          <w:sz w:val="13"/>
        </w:rPr>
        <w:t> </w:t>
      </w:r>
      <w:r>
        <w:rPr>
          <w:i/>
          <w:w w:val="105"/>
          <w:sz w:val="13"/>
        </w:rPr>
        <w:t>Planning</w:t>
      </w:r>
      <w:r>
        <w:rPr>
          <w:i/>
          <w:spacing w:val="5"/>
          <w:w w:val="105"/>
          <w:sz w:val="13"/>
        </w:rPr>
        <w:t> </w:t>
      </w:r>
      <w:r>
        <w:rPr>
          <w:i/>
          <w:w w:val="105"/>
          <w:sz w:val="13"/>
        </w:rPr>
        <w:t>Scheme</w:t>
      </w:r>
      <w:r>
        <w:rPr>
          <w:i/>
          <w:spacing w:val="5"/>
          <w:w w:val="105"/>
          <w:sz w:val="13"/>
        </w:rPr>
        <w:t> </w:t>
      </w:r>
      <w:r>
        <w:rPr>
          <w:spacing w:val="-3"/>
          <w:w w:val="105"/>
          <w:sz w:val="13"/>
        </w:rPr>
        <w:t>(15</w:t>
      </w:r>
      <w:r>
        <w:rPr>
          <w:spacing w:val="5"/>
          <w:w w:val="105"/>
          <w:sz w:val="13"/>
        </w:rPr>
        <w:t> </w:t>
      </w:r>
      <w:r>
        <w:rPr>
          <w:w w:val="105"/>
          <w:sz w:val="13"/>
        </w:rPr>
        <w:t>March</w:t>
      </w:r>
      <w:r>
        <w:rPr>
          <w:spacing w:val="5"/>
          <w:w w:val="105"/>
          <w:sz w:val="13"/>
        </w:rPr>
        <w:t> </w:t>
      </w:r>
      <w:r>
        <w:rPr>
          <w:w w:val="105"/>
          <w:sz w:val="13"/>
        </w:rPr>
        <w:t>2019)</w:t>
      </w:r>
      <w:r>
        <w:rPr>
          <w:spacing w:val="5"/>
          <w:w w:val="105"/>
          <w:sz w:val="13"/>
        </w:rPr>
        <w:t> </w:t>
      </w:r>
      <w:r>
        <w:rPr>
          <w:w w:val="105"/>
          <w:sz w:val="13"/>
        </w:rPr>
        <w:t>sch</w:t>
      </w:r>
      <w:r>
        <w:rPr>
          <w:spacing w:val="5"/>
          <w:w w:val="105"/>
          <w:sz w:val="13"/>
        </w:rPr>
        <w:t> </w:t>
      </w:r>
      <w:r>
        <w:rPr>
          <w:w w:val="105"/>
          <w:sz w:val="13"/>
        </w:rPr>
        <w:t>1</w:t>
      </w:r>
      <w:r>
        <w:rPr>
          <w:spacing w:val="5"/>
          <w:w w:val="105"/>
          <w:sz w:val="13"/>
        </w:rPr>
        <w:t> </w:t>
      </w:r>
      <w:r>
        <w:rPr>
          <w:w w:val="105"/>
          <w:sz w:val="13"/>
        </w:rPr>
        <w:t>to</w:t>
      </w:r>
      <w:r>
        <w:rPr>
          <w:spacing w:val="6"/>
          <w:w w:val="105"/>
          <w:sz w:val="13"/>
        </w:rPr>
        <w:t> </w:t>
      </w:r>
      <w:r>
        <w:rPr>
          <w:w w:val="105"/>
          <w:sz w:val="13"/>
        </w:rPr>
        <w:t>the</w:t>
      </w:r>
      <w:r>
        <w:rPr>
          <w:spacing w:val="5"/>
          <w:w w:val="105"/>
          <w:sz w:val="13"/>
        </w:rPr>
        <w:t> </w:t>
      </w:r>
      <w:r>
        <w:rPr>
          <w:w w:val="105"/>
          <w:sz w:val="13"/>
        </w:rPr>
        <w:t>Significant</w:t>
      </w:r>
      <w:r>
        <w:rPr>
          <w:spacing w:val="5"/>
          <w:w w:val="105"/>
          <w:sz w:val="13"/>
        </w:rPr>
        <w:t> </w:t>
      </w:r>
      <w:r>
        <w:rPr>
          <w:w w:val="105"/>
          <w:sz w:val="13"/>
        </w:rPr>
        <w:t>Landscape</w:t>
      </w:r>
      <w:r>
        <w:rPr>
          <w:spacing w:val="5"/>
          <w:w w:val="105"/>
          <w:sz w:val="13"/>
        </w:rPr>
        <w:t> </w:t>
      </w:r>
      <w:r>
        <w:rPr>
          <w:w w:val="105"/>
          <w:sz w:val="13"/>
        </w:rPr>
        <w:t>Overlay</w:t>
      </w:r>
      <w:r>
        <w:rPr>
          <w:spacing w:val="5"/>
          <w:w w:val="105"/>
          <w:sz w:val="13"/>
        </w:rPr>
        <w:t> </w:t>
      </w:r>
      <w:r>
        <w:rPr>
          <w:w w:val="105"/>
          <w:sz w:val="13"/>
        </w:rPr>
        <w:t>at</w:t>
      </w:r>
      <w:r>
        <w:rPr>
          <w:spacing w:val="5"/>
          <w:w w:val="105"/>
          <w:sz w:val="13"/>
        </w:rPr>
        <w:t> </w:t>
      </w:r>
      <w:r>
        <w:rPr>
          <w:w w:val="105"/>
          <w:sz w:val="13"/>
        </w:rPr>
        <w:t>cl</w:t>
      </w:r>
      <w:r>
        <w:rPr>
          <w:spacing w:val="5"/>
          <w:w w:val="105"/>
          <w:sz w:val="13"/>
        </w:rPr>
        <w:t> </w:t>
      </w:r>
      <w:r>
        <w:rPr>
          <w:w w:val="105"/>
          <w:sz w:val="13"/>
        </w:rPr>
        <w:t>42.03.</w:t>
      </w:r>
    </w:p>
    <w:p>
      <w:pPr>
        <w:pStyle w:val="ListParagraph"/>
        <w:numPr>
          <w:ilvl w:val="0"/>
          <w:numId w:val="165"/>
        </w:numPr>
        <w:tabs>
          <w:tab w:pos="1219" w:val="left" w:leader="none"/>
          <w:tab w:pos="1221" w:val="left" w:leader="none"/>
        </w:tabs>
        <w:spacing w:line="240" w:lineRule="auto" w:before="1" w:after="0"/>
        <w:ind w:left="1220" w:right="2079" w:hanging="794"/>
        <w:jc w:val="left"/>
        <w:rPr>
          <w:sz w:val="13"/>
        </w:rPr>
      </w:pPr>
      <w:r>
        <w:rPr>
          <w:w w:val="105"/>
          <w:sz w:val="13"/>
        </w:rPr>
        <w:t>Ibid sch 1 to the Vegetation Protection Overlay at cl 42.02. See also City of Monash, </w:t>
      </w:r>
      <w:r>
        <w:rPr>
          <w:i/>
          <w:w w:val="105"/>
          <w:sz w:val="13"/>
        </w:rPr>
        <w:t>Planning Scheme </w:t>
      </w:r>
      <w:r>
        <w:rPr>
          <w:w w:val="105"/>
          <w:sz w:val="13"/>
        </w:rPr>
        <w:t>(29 April 2019) sch 1 to the Vegetation Protection Overlay at 42.02 which provides that permit is required to remove or destroy vegetation protected under this provision but not to lop</w:t>
      </w:r>
      <w:r>
        <w:rPr>
          <w:spacing w:val="22"/>
          <w:w w:val="105"/>
          <w:sz w:val="13"/>
        </w:rPr>
        <w:t> </w:t>
      </w:r>
      <w:r>
        <w:rPr>
          <w:w w:val="105"/>
          <w:sz w:val="13"/>
        </w:rPr>
        <w:t>vegetation.</w:t>
      </w:r>
    </w:p>
    <w:p>
      <w:pPr>
        <w:pStyle w:val="ListParagraph"/>
        <w:numPr>
          <w:ilvl w:val="0"/>
          <w:numId w:val="165"/>
        </w:numPr>
        <w:tabs>
          <w:tab w:pos="1220" w:val="left" w:leader="none"/>
          <w:tab w:pos="1221" w:val="left" w:leader="none"/>
        </w:tabs>
        <w:spacing w:line="240" w:lineRule="auto" w:before="4" w:after="0"/>
        <w:ind w:left="1220" w:right="1930" w:hanging="794"/>
        <w:jc w:val="left"/>
        <w:rPr>
          <w:sz w:val="13"/>
        </w:rPr>
      </w:pPr>
      <w:r>
        <w:rPr>
          <w:w w:val="105"/>
          <w:sz w:val="13"/>
        </w:rPr>
        <w:t>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w:t>
      </w:r>
      <w:r>
        <w:rPr>
          <w:spacing w:val="3"/>
          <w:w w:val="105"/>
          <w:sz w:val="13"/>
        </w:rPr>
        <w:t>44.06; </w:t>
      </w:r>
      <w:r>
        <w:rPr>
          <w:w w:val="105"/>
          <w:sz w:val="13"/>
        </w:rPr>
        <w:t>see Department of Environment,</w:t>
      </w:r>
      <w:r>
        <w:rPr>
          <w:spacing w:val="4"/>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w w:val="105"/>
          <w:sz w:val="13"/>
        </w:rPr>
        <w:t>‘Information</w:t>
      </w:r>
      <w:r>
        <w:rPr>
          <w:spacing w:val="5"/>
          <w:w w:val="105"/>
          <w:sz w:val="13"/>
        </w:rPr>
        <w:t> </w:t>
      </w:r>
      <w:r>
        <w:rPr>
          <w:w w:val="105"/>
          <w:sz w:val="13"/>
        </w:rPr>
        <w:t>for</w:t>
      </w:r>
      <w:r>
        <w:rPr>
          <w:spacing w:val="5"/>
          <w:w w:val="105"/>
          <w:sz w:val="13"/>
        </w:rPr>
        <w:t> </w:t>
      </w:r>
      <w:r>
        <w:rPr>
          <w:w w:val="105"/>
          <w:sz w:val="13"/>
        </w:rPr>
        <w:t>Owners’,</w:t>
      </w:r>
      <w:r>
        <w:rPr>
          <w:spacing w:val="5"/>
          <w:w w:val="105"/>
          <w:sz w:val="13"/>
        </w:rPr>
        <w:t> </w:t>
      </w:r>
      <w:r>
        <w:rPr>
          <w:i/>
          <w:w w:val="105"/>
          <w:sz w:val="13"/>
        </w:rPr>
        <w:t>Bushfire</w:t>
      </w:r>
      <w:r>
        <w:rPr>
          <w:i/>
          <w:spacing w:val="5"/>
          <w:w w:val="105"/>
          <w:sz w:val="13"/>
        </w:rPr>
        <w:t> </w:t>
      </w:r>
      <w:r>
        <w:rPr>
          <w:i/>
          <w:w w:val="105"/>
          <w:sz w:val="13"/>
        </w:rPr>
        <w:t>Management</w:t>
      </w:r>
      <w:r>
        <w:rPr>
          <w:i/>
          <w:spacing w:val="5"/>
          <w:w w:val="105"/>
          <w:sz w:val="13"/>
        </w:rPr>
        <w:t> </w:t>
      </w:r>
      <w:r>
        <w:rPr>
          <w:i/>
          <w:w w:val="105"/>
          <w:sz w:val="13"/>
        </w:rPr>
        <w:t>Overlay</w:t>
      </w:r>
      <w:r>
        <w:rPr>
          <w:w w:val="105"/>
          <w:sz w:val="13"/>
        </w:rPr>
        <w:t>,</w:t>
      </w:r>
      <w:r>
        <w:rPr>
          <w:spacing w:val="5"/>
          <w:w w:val="105"/>
          <w:sz w:val="13"/>
        </w:rPr>
        <w:t> </w:t>
      </w:r>
      <w:r>
        <w:rPr>
          <w:spacing w:val="-3"/>
          <w:w w:val="105"/>
          <w:sz w:val="13"/>
        </w:rPr>
        <w:t>2017</w:t>
      </w:r>
    </w:p>
    <w:p>
      <w:pPr>
        <w:spacing w:before="3"/>
        <w:ind w:left="1220" w:right="0" w:firstLine="0"/>
        <w:jc w:val="left"/>
        <w:rPr>
          <w:sz w:val="13"/>
        </w:rPr>
      </w:pPr>
      <w:r>
        <w:rPr>
          <w:w w:val="105"/>
          <w:sz w:val="13"/>
        </w:rPr>
        <w:t>&lt;https://</w:t>
      </w:r>
      <w:hyperlink r:id="rId259">
        <w:r>
          <w:rPr>
            <w:w w:val="105"/>
            <w:sz w:val="13"/>
          </w:rPr>
          <w:t>www.planning.vic.gov.au/policy-and-strategy/bushfire-protection/bushfire-management-overlay</w:t>
        </w:r>
      </w:hyperlink>
      <w:r>
        <w:rPr>
          <w:w w:val="105"/>
          <w:sz w:val="13"/>
        </w:rPr>
        <w:t>&gt;.</w:t>
      </w:r>
    </w:p>
    <w:p>
      <w:pPr>
        <w:pStyle w:val="ListParagraph"/>
        <w:numPr>
          <w:ilvl w:val="0"/>
          <w:numId w:val="165"/>
        </w:numPr>
        <w:tabs>
          <w:tab w:pos="1220" w:val="left" w:leader="none"/>
          <w:tab w:pos="1221" w:val="left" w:leader="none"/>
        </w:tabs>
        <w:spacing w:line="240" w:lineRule="auto" w:before="1" w:after="0"/>
        <w:ind w:left="1220" w:right="0" w:hanging="794"/>
        <w:jc w:val="left"/>
        <w:rPr>
          <w:sz w:val="13"/>
        </w:rPr>
      </w:pPr>
      <w:r>
        <w:rPr>
          <w:w w:val="105"/>
          <w:sz w:val="13"/>
        </w:rPr>
        <w:t>Department</w:t>
      </w:r>
      <w:r>
        <w:rPr>
          <w:spacing w:val="4"/>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Victoria</w:t>
      </w:r>
      <w:r>
        <w:rPr>
          <w:i/>
          <w:spacing w:val="5"/>
          <w:w w:val="105"/>
          <w:sz w:val="13"/>
        </w:rPr>
        <w:t> </w:t>
      </w:r>
      <w:r>
        <w:rPr>
          <w:i/>
          <w:w w:val="105"/>
          <w:sz w:val="13"/>
        </w:rPr>
        <w:t>Planning</w:t>
      </w:r>
      <w:r>
        <w:rPr>
          <w:i/>
          <w:spacing w:val="5"/>
          <w:w w:val="105"/>
          <w:sz w:val="13"/>
        </w:rPr>
        <w:t> </w:t>
      </w:r>
      <w:r>
        <w:rPr>
          <w:i/>
          <w:w w:val="105"/>
          <w:sz w:val="13"/>
        </w:rPr>
        <w:t>Provisions</w:t>
      </w:r>
      <w:r>
        <w:rPr>
          <w:i/>
          <w:spacing w:val="5"/>
          <w:w w:val="105"/>
          <w:sz w:val="13"/>
        </w:rPr>
        <w:t> </w:t>
      </w:r>
      <w:r>
        <w:rPr>
          <w:spacing w:val="-5"/>
          <w:w w:val="105"/>
          <w:sz w:val="13"/>
        </w:rPr>
        <w:t>(11</w:t>
      </w:r>
      <w:r>
        <w:rPr>
          <w:spacing w:val="5"/>
          <w:w w:val="105"/>
          <w:sz w:val="13"/>
        </w:rPr>
        <w:t> </w:t>
      </w:r>
      <w:r>
        <w:rPr>
          <w:w w:val="105"/>
          <w:sz w:val="13"/>
        </w:rPr>
        <w:t>April</w:t>
      </w:r>
      <w:r>
        <w:rPr>
          <w:spacing w:val="5"/>
          <w:w w:val="105"/>
          <w:sz w:val="13"/>
        </w:rPr>
        <w:t> </w:t>
      </w:r>
      <w:r>
        <w:rPr>
          <w:w w:val="105"/>
          <w:sz w:val="13"/>
        </w:rPr>
        <w:t>2019),</w:t>
      </w:r>
      <w:r>
        <w:rPr>
          <w:spacing w:val="5"/>
          <w:w w:val="105"/>
          <w:sz w:val="13"/>
        </w:rPr>
        <w:t> </w:t>
      </w:r>
      <w:r>
        <w:rPr>
          <w:w w:val="105"/>
          <w:sz w:val="13"/>
        </w:rPr>
        <w:t>cl</w:t>
      </w:r>
      <w:r>
        <w:rPr>
          <w:spacing w:val="5"/>
          <w:w w:val="105"/>
          <w:sz w:val="13"/>
        </w:rPr>
        <w:t> </w:t>
      </w:r>
      <w:r>
        <w:rPr>
          <w:spacing w:val="2"/>
          <w:w w:val="105"/>
          <w:sz w:val="13"/>
        </w:rPr>
        <w:t>44.06.</w:t>
      </w:r>
    </w:p>
    <w:p>
      <w:pPr>
        <w:spacing w:after="0" w:line="240" w:lineRule="auto"/>
        <w:jc w:val="left"/>
        <w:rPr>
          <w:sz w:val="13"/>
        </w:rPr>
        <w:sectPr>
          <w:type w:val="continuous"/>
          <w:pgSz w:w="11910" w:h="16840"/>
          <w:pgMar w:top="300" w:bottom="280" w:left="0" w:right="0"/>
          <w:cols w:num="2" w:equalWidth="0">
            <w:col w:w="1122" w:space="40"/>
            <w:col w:w="10748"/>
          </w:cols>
        </w:sectPr>
      </w:pPr>
    </w:p>
    <w:p>
      <w:pPr>
        <w:pStyle w:val="BodyText"/>
        <w:rPr>
          <w:sz w:val="20"/>
        </w:rPr>
      </w:pPr>
    </w:p>
    <w:p>
      <w:pPr>
        <w:pStyle w:val="BodyText"/>
        <w:spacing w:before="9"/>
        <w:rPr>
          <w:sz w:val="18"/>
        </w:rPr>
      </w:pPr>
    </w:p>
    <w:p>
      <w:pPr>
        <w:pStyle w:val="BodyText"/>
        <w:spacing w:before="91"/>
        <w:ind w:left="2381"/>
      </w:pPr>
      <w:r>
        <w:rPr/>
        <w:t>differently to the other environmental overlays.</w:t>
      </w:r>
    </w:p>
    <w:p>
      <w:pPr>
        <w:pStyle w:val="ListParagraph"/>
        <w:numPr>
          <w:ilvl w:val="1"/>
          <w:numId w:val="16"/>
        </w:numPr>
        <w:tabs>
          <w:tab w:pos="2381" w:val="left" w:leader="none"/>
          <w:tab w:pos="2382" w:val="left" w:leader="none"/>
        </w:tabs>
        <w:spacing w:line="242" w:lineRule="auto" w:before="124" w:after="0"/>
        <w:ind w:left="2381" w:right="1628" w:hanging="794"/>
        <w:jc w:val="left"/>
        <w:rPr>
          <w:sz w:val="21"/>
        </w:rPr>
      </w:pPr>
      <w:r>
        <w:rPr>
          <w:spacing w:val="-3"/>
          <w:w w:val="105"/>
          <w:sz w:val="21"/>
        </w:rPr>
        <w:t>Bushfire</w:t>
      </w:r>
      <w:r>
        <w:rPr>
          <w:spacing w:val="-10"/>
          <w:w w:val="105"/>
          <w:sz w:val="21"/>
        </w:rPr>
        <w:t> </w:t>
      </w:r>
      <w:r>
        <w:rPr>
          <w:w w:val="105"/>
          <w:sz w:val="21"/>
        </w:rPr>
        <w:t>protection</w:t>
      </w:r>
      <w:r>
        <w:rPr>
          <w:spacing w:val="-10"/>
          <w:w w:val="105"/>
          <w:sz w:val="21"/>
        </w:rPr>
        <w:t> </w:t>
      </w:r>
      <w:r>
        <w:rPr>
          <w:spacing w:val="-3"/>
          <w:w w:val="105"/>
          <w:sz w:val="21"/>
        </w:rPr>
        <w:t>provisions</w:t>
      </w:r>
      <w:r>
        <w:rPr>
          <w:spacing w:val="-9"/>
          <w:w w:val="105"/>
          <w:sz w:val="21"/>
        </w:rPr>
        <w:t> </w:t>
      </w:r>
      <w:r>
        <w:rPr>
          <w:w w:val="105"/>
          <w:sz w:val="21"/>
        </w:rPr>
        <w:t>in</w:t>
      </w:r>
      <w:r>
        <w:rPr>
          <w:spacing w:val="-10"/>
          <w:w w:val="105"/>
          <w:sz w:val="21"/>
        </w:rPr>
        <w:t> </w:t>
      </w:r>
      <w:r>
        <w:rPr>
          <w:spacing w:val="-3"/>
          <w:w w:val="105"/>
          <w:sz w:val="21"/>
        </w:rPr>
        <w:t>planning</w:t>
      </w:r>
      <w:r>
        <w:rPr>
          <w:spacing w:val="-9"/>
          <w:w w:val="105"/>
          <w:sz w:val="21"/>
        </w:rPr>
        <w:t> </w:t>
      </w:r>
      <w:r>
        <w:rPr>
          <w:w w:val="105"/>
          <w:sz w:val="21"/>
        </w:rPr>
        <w:t>schemes</w:t>
      </w:r>
      <w:r>
        <w:rPr>
          <w:spacing w:val="-10"/>
          <w:w w:val="105"/>
          <w:sz w:val="21"/>
        </w:rPr>
        <w:t> </w:t>
      </w:r>
      <w:r>
        <w:rPr>
          <w:w w:val="105"/>
          <w:sz w:val="21"/>
        </w:rPr>
        <w:t>also</w:t>
      </w:r>
      <w:r>
        <w:rPr>
          <w:spacing w:val="-10"/>
          <w:w w:val="105"/>
          <w:sz w:val="21"/>
        </w:rPr>
        <w:t> </w:t>
      </w:r>
      <w:r>
        <w:rPr>
          <w:spacing w:val="-3"/>
          <w:w w:val="105"/>
          <w:sz w:val="21"/>
        </w:rPr>
        <w:t>create</w:t>
      </w:r>
      <w:r>
        <w:rPr>
          <w:spacing w:val="-9"/>
          <w:w w:val="105"/>
          <w:sz w:val="21"/>
        </w:rPr>
        <w:t> </w:t>
      </w:r>
      <w:r>
        <w:rPr>
          <w:w w:val="105"/>
          <w:sz w:val="21"/>
        </w:rPr>
        <w:t>permit</w:t>
      </w:r>
      <w:r>
        <w:rPr>
          <w:spacing w:val="-10"/>
          <w:w w:val="105"/>
          <w:sz w:val="21"/>
        </w:rPr>
        <w:t> </w:t>
      </w:r>
      <w:r>
        <w:rPr>
          <w:spacing w:val="-3"/>
          <w:w w:val="105"/>
          <w:sz w:val="21"/>
        </w:rPr>
        <w:t>exemptions</w:t>
      </w:r>
      <w:r>
        <w:rPr>
          <w:spacing w:val="-9"/>
          <w:w w:val="105"/>
          <w:sz w:val="21"/>
        </w:rPr>
        <w:t> </w:t>
      </w:r>
      <w:r>
        <w:rPr>
          <w:spacing w:val="-3"/>
          <w:w w:val="105"/>
          <w:sz w:val="21"/>
        </w:rPr>
        <w:t>to</w:t>
      </w:r>
      <w:r>
        <w:rPr>
          <w:spacing w:val="-10"/>
          <w:w w:val="105"/>
          <w:sz w:val="21"/>
        </w:rPr>
        <w:t> </w:t>
      </w:r>
      <w:r>
        <w:rPr>
          <w:spacing w:val="-3"/>
          <w:w w:val="105"/>
          <w:sz w:val="21"/>
        </w:rPr>
        <w:t>allow </w:t>
      </w:r>
      <w:r>
        <w:rPr>
          <w:w w:val="105"/>
          <w:sz w:val="21"/>
        </w:rPr>
        <w:t>people </w:t>
      </w:r>
      <w:r>
        <w:rPr>
          <w:spacing w:val="-3"/>
          <w:w w:val="105"/>
          <w:sz w:val="21"/>
        </w:rPr>
        <w:t>to create defendable </w:t>
      </w:r>
      <w:r>
        <w:rPr>
          <w:w w:val="105"/>
          <w:sz w:val="21"/>
        </w:rPr>
        <w:t>spaces </w:t>
      </w:r>
      <w:r>
        <w:rPr>
          <w:spacing w:val="-3"/>
          <w:w w:val="105"/>
          <w:sz w:val="21"/>
        </w:rPr>
        <w:t>around </w:t>
      </w:r>
      <w:r>
        <w:rPr>
          <w:w w:val="105"/>
          <w:sz w:val="21"/>
        </w:rPr>
        <w:t>certain </w:t>
      </w:r>
      <w:r>
        <w:rPr>
          <w:spacing w:val="-3"/>
          <w:w w:val="105"/>
          <w:sz w:val="21"/>
        </w:rPr>
        <w:t>buildings </w:t>
      </w:r>
      <w:r>
        <w:rPr>
          <w:w w:val="105"/>
          <w:sz w:val="21"/>
        </w:rPr>
        <w:t>used </w:t>
      </w:r>
      <w:r>
        <w:rPr>
          <w:spacing w:val="-3"/>
          <w:w w:val="105"/>
          <w:sz w:val="21"/>
        </w:rPr>
        <w:t>for accommodation </w:t>
      </w:r>
      <w:r>
        <w:rPr>
          <w:w w:val="105"/>
          <w:sz w:val="21"/>
        </w:rPr>
        <w:t>and along a </w:t>
      </w:r>
      <w:r>
        <w:rPr>
          <w:spacing w:val="-3"/>
          <w:w w:val="105"/>
          <w:sz w:val="21"/>
        </w:rPr>
        <w:t>fence line to reduce </w:t>
      </w:r>
      <w:r>
        <w:rPr>
          <w:w w:val="105"/>
          <w:sz w:val="21"/>
        </w:rPr>
        <w:t>fuel </w:t>
      </w:r>
      <w:r>
        <w:rPr>
          <w:spacing w:val="-3"/>
          <w:w w:val="105"/>
          <w:sz w:val="21"/>
        </w:rPr>
        <w:t>load.</w:t>
      </w:r>
      <w:r>
        <w:rPr>
          <w:spacing w:val="-3"/>
          <w:w w:val="105"/>
          <w:position w:val="7"/>
          <w:sz w:val="12"/>
        </w:rPr>
        <w:t>59 </w:t>
      </w:r>
      <w:r>
        <w:rPr>
          <w:spacing w:val="-3"/>
          <w:w w:val="105"/>
          <w:sz w:val="21"/>
        </w:rPr>
        <w:t>Bushfire exemptions </w:t>
      </w:r>
      <w:r>
        <w:rPr>
          <w:w w:val="105"/>
          <w:sz w:val="21"/>
        </w:rPr>
        <w:t>override </w:t>
      </w:r>
      <w:r>
        <w:rPr>
          <w:spacing w:val="-3"/>
          <w:w w:val="105"/>
          <w:sz w:val="21"/>
        </w:rPr>
        <w:t>any other requirement to </w:t>
      </w:r>
      <w:r>
        <w:rPr>
          <w:w w:val="105"/>
          <w:sz w:val="21"/>
        </w:rPr>
        <w:t>obtain a permit in a </w:t>
      </w:r>
      <w:r>
        <w:rPr>
          <w:spacing w:val="-3"/>
          <w:w w:val="105"/>
          <w:sz w:val="21"/>
        </w:rPr>
        <w:t>planning scheme, including </w:t>
      </w:r>
      <w:r>
        <w:rPr>
          <w:w w:val="105"/>
          <w:sz w:val="21"/>
        </w:rPr>
        <w:t>if a </w:t>
      </w:r>
      <w:r>
        <w:rPr>
          <w:spacing w:val="-3"/>
          <w:w w:val="105"/>
          <w:sz w:val="21"/>
        </w:rPr>
        <w:t>different overlay requires </w:t>
      </w:r>
      <w:r>
        <w:rPr>
          <w:w w:val="105"/>
          <w:sz w:val="21"/>
        </w:rPr>
        <w:t>a permit.</w:t>
      </w:r>
      <w:r>
        <w:rPr>
          <w:w w:val="105"/>
          <w:position w:val="7"/>
          <w:sz w:val="12"/>
        </w:rPr>
        <w:t>60 </w:t>
      </w:r>
      <w:r>
        <w:rPr>
          <w:w w:val="105"/>
          <w:sz w:val="21"/>
        </w:rPr>
        <w:t>These </w:t>
      </w:r>
      <w:r>
        <w:rPr>
          <w:spacing w:val="-3"/>
          <w:w w:val="105"/>
          <w:sz w:val="21"/>
        </w:rPr>
        <w:t>provisions were </w:t>
      </w:r>
      <w:r>
        <w:rPr>
          <w:w w:val="105"/>
          <w:sz w:val="21"/>
        </w:rPr>
        <w:t>added </w:t>
      </w:r>
      <w:r>
        <w:rPr>
          <w:spacing w:val="-3"/>
          <w:w w:val="105"/>
          <w:sz w:val="21"/>
        </w:rPr>
        <w:t>following </w:t>
      </w:r>
      <w:r>
        <w:rPr>
          <w:w w:val="105"/>
          <w:sz w:val="21"/>
        </w:rPr>
        <w:t>the </w:t>
      </w:r>
      <w:r>
        <w:rPr>
          <w:spacing w:val="-3"/>
          <w:w w:val="105"/>
          <w:sz w:val="21"/>
        </w:rPr>
        <w:t>recommendations </w:t>
      </w:r>
      <w:r>
        <w:rPr>
          <w:w w:val="105"/>
          <w:sz w:val="21"/>
        </w:rPr>
        <w:t>of the 2009 Victorian </w:t>
      </w:r>
      <w:r>
        <w:rPr>
          <w:spacing w:val="-3"/>
          <w:w w:val="105"/>
          <w:sz w:val="21"/>
        </w:rPr>
        <w:t>Bushfire Royal</w:t>
      </w:r>
      <w:r>
        <w:rPr>
          <w:spacing w:val="24"/>
          <w:w w:val="105"/>
          <w:sz w:val="21"/>
        </w:rPr>
        <w:t> </w:t>
      </w:r>
      <w:r>
        <w:rPr>
          <w:spacing w:val="-4"/>
          <w:w w:val="105"/>
          <w:sz w:val="21"/>
        </w:rPr>
        <w:t>Commission.</w:t>
      </w:r>
      <w:r>
        <w:rPr>
          <w:spacing w:val="-4"/>
          <w:w w:val="105"/>
          <w:position w:val="7"/>
          <w:sz w:val="12"/>
        </w:rPr>
        <w:t>61</w:t>
      </w:r>
    </w:p>
    <w:p>
      <w:pPr>
        <w:pStyle w:val="ListParagraph"/>
        <w:numPr>
          <w:ilvl w:val="1"/>
          <w:numId w:val="16"/>
        </w:numPr>
        <w:tabs>
          <w:tab w:pos="2381" w:val="left" w:leader="none"/>
          <w:tab w:pos="2382" w:val="left" w:leader="none"/>
        </w:tabs>
        <w:spacing w:line="242" w:lineRule="auto" w:before="127" w:after="0"/>
        <w:ind w:left="2381" w:right="1816" w:hanging="794"/>
        <w:jc w:val="left"/>
        <w:rPr>
          <w:sz w:val="21"/>
        </w:rPr>
      </w:pPr>
      <w:r>
        <w:rPr>
          <w:spacing w:val="-3"/>
          <w:w w:val="105"/>
          <w:sz w:val="21"/>
        </w:rPr>
        <w:t>Nillumbik Shire </w:t>
      </w:r>
      <w:r>
        <w:rPr>
          <w:spacing w:val="-4"/>
          <w:w w:val="105"/>
          <w:sz w:val="21"/>
        </w:rPr>
        <w:t>Council </w:t>
      </w:r>
      <w:r>
        <w:rPr>
          <w:spacing w:val="-3"/>
          <w:w w:val="105"/>
          <w:sz w:val="21"/>
        </w:rPr>
        <w:t>informed </w:t>
      </w:r>
      <w:r>
        <w:rPr>
          <w:w w:val="105"/>
          <w:sz w:val="21"/>
        </w:rPr>
        <w:t>the </w:t>
      </w:r>
      <w:r>
        <w:rPr>
          <w:spacing w:val="-3"/>
          <w:w w:val="105"/>
          <w:sz w:val="21"/>
        </w:rPr>
        <w:t>Commission that </w:t>
      </w:r>
      <w:r>
        <w:rPr>
          <w:w w:val="105"/>
          <w:sz w:val="21"/>
        </w:rPr>
        <w:t>the permit </w:t>
      </w:r>
      <w:r>
        <w:rPr>
          <w:spacing w:val="-3"/>
          <w:w w:val="105"/>
          <w:sz w:val="21"/>
        </w:rPr>
        <w:t>exemptions allowing </w:t>
      </w:r>
      <w:r>
        <w:rPr>
          <w:w w:val="105"/>
          <w:sz w:val="21"/>
        </w:rPr>
        <w:t>the </w:t>
      </w:r>
      <w:r>
        <w:rPr>
          <w:spacing w:val="-3"/>
          <w:w w:val="105"/>
          <w:sz w:val="21"/>
        </w:rPr>
        <w:t>clearing </w:t>
      </w:r>
      <w:r>
        <w:rPr>
          <w:w w:val="105"/>
          <w:sz w:val="21"/>
        </w:rPr>
        <w:t>of vegetation </w:t>
      </w:r>
      <w:r>
        <w:rPr>
          <w:spacing w:val="-3"/>
          <w:w w:val="105"/>
          <w:sz w:val="21"/>
        </w:rPr>
        <w:t>to create </w:t>
      </w:r>
      <w:r>
        <w:rPr>
          <w:w w:val="105"/>
          <w:sz w:val="21"/>
        </w:rPr>
        <w:t>a </w:t>
      </w:r>
      <w:r>
        <w:rPr>
          <w:spacing w:val="-3"/>
          <w:w w:val="105"/>
          <w:sz w:val="21"/>
        </w:rPr>
        <w:t>defendable </w:t>
      </w:r>
      <w:r>
        <w:rPr>
          <w:w w:val="105"/>
          <w:sz w:val="21"/>
        </w:rPr>
        <w:t>space </w:t>
      </w:r>
      <w:r>
        <w:rPr>
          <w:spacing w:val="-3"/>
          <w:w w:val="105"/>
          <w:sz w:val="21"/>
        </w:rPr>
        <w:t>around buildings </w:t>
      </w:r>
      <w:r>
        <w:rPr>
          <w:w w:val="105"/>
          <w:sz w:val="21"/>
        </w:rPr>
        <w:t>used </w:t>
      </w:r>
      <w:r>
        <w:rPr>
          <w:spacing w:val="-3"/>
          <w:w w:val="105"/>
          <w:sz w:val="21"/>
        </w:rPr>
        <w:t>for accommodation</w:t>
      </w:r>
      <w:r>
        <w:rPr>
          <w:spacing w:val="-7"/>
          <w:w w:val="105"/>
          <w:sz w:val="21"/>
        </w:rPr>
        <w:t> </w:t>
      </w:r>
      <w:r>
        <w:rPr>
          <w:spacing w:val="-3"/>
          <w:w w:val="105"/>
          <w:sz w:val="21"/>
        </w:rPr>
        <w:t>have</w:t>
      </w:r>
      <w:r>
        <w:rPr>
          <w:spacing w:val="-7"/>
          <w:w w:val="105"/>
          <w:sz w:val="21"/>
        </w:rPr>
        <w:t> </w:t>
      </w:r>
      <w:r>
        <w:rPr>
          <w:spacing w:val="-3"/>
          <w:w w:val="105"/>
          <w:sz w:val="21"/>
        </w:rPr>
        <w:t>reduced</w:t>
      </w:r>
      <w:r>
        <w:rPr>
          <w:spacing w:val="-7"/>
          <w:w w:val="105"/>
          <w:sz w:val="21"/>
        </w:rPr>
        <w:t> </w:t>
      </w:r>
      <w:r>
        <w:rPr>
          <w:w w:val="105"/>
          <w:sz w:val="21"/>
        </w:rPr>
        <w:t>the</w:t>
      </w:r>
      <w:r>
        <w:rPr>
          <w:spacing w:val="-7"/>
          <w:w w:val="105"/>
          <w:sz w:val="21"/>
        </w:rPr>
        <w:t> </w:t>
      </w:r>
      <w:r>
        <w:rPr>
          <w:w w:val="105"/>
          <w:sz w:val="21"/>
        </w:rPr>
        <w:t>number</w:t>
      </w:r>
      <w:r>
        <w:rPr>
          <w:spacing w:val="-7"/>
          <w:w w:val="105"/>
          <w:sz w:val="21"/>
        </w:rPr>
        <w:t> </w:t>
      </w:r>
      <w:r>
        <w:rPr>
          <w:w w:val="105"/>
          <w:sz w:val="21"/>
        </w:rPr>
        <w:t>of</w:t>
      </w:r>
      <w:r>
        <w:rPr>
          <w:spacing w:val="-7"/>
          <w:w w:val="105"/>
          <w:sz w:val="21"/>
        </w:rPr>
        <w:t> </w:t>
      </w:r>
      <w:r>
        <w:rPr>
          <w:spacing w:val="-3"/>
          <w:w w:val="105"/>
          <w:sz w:val="21"/>
        </w:rPr>
        <w:t>enquiries</w:t>
      </w:r>
      <w:r>
        <w:rPr>
          <w:spacing w:val="-7"/>
          <w:w w:val="105"/>
          <w:sz w:val="21"/>
        </w:rPr>
        <w:t> </w:t>
      </w:r>
      <w:r>
        <w:rPr>
          <w:spacing w:val="-3"/>
          <w:w w:val="105"/>
          <w:sz w:val="21"/>
        </w:rPr>
        <w:t>council</w:t>
      </w:r>
      <w:r>
        <w:rPr>
          <w:spacing w:val="-7"/>
          <w:w w:val="105"/>
          <w:sz w:val="21"/>
        </w:rPr>
        <w:t> </w:t>
      </w:r>
      <w:r>
        <w:rPr>
          <w:w w:val="105"/>
          <w:sz w:val="21"/>
        </w:rPr>
        <w:t>receives</w:t>
      </w:r>
      <w:r>
        <w:rPr>
          <w:spacing w:val="-7"/>
          <w:w w:val="105"/>
          <w:sz w:val="21"/>
        </w:rPr>
        <w:t> </w:t>
      </w:r>
      <w:r>
        <w:rPr>
          <w:w w:val="105"/>
          <w:sz w:val="21"/>
        </w:rPr>
        <w:t>about</w:t>
      </w:r>
      <w:r>
        <w:rPr>
          <w:spacing w:val="-7"/>
          <w:w w:val="105"/>
          <w:sz w:val="21"/>
        </w:rPr>
        <w:t> </w:t>
      </w:r>
      <w:r>
        <w:rPr>
          <w:spacing w:val="-3"/>
          <w:w w:val="105"/>
          <w:sz w:val="21"/>
        </w:rPr>
        <w:t>removing </w:t>
      </w:r>
      <w:r>
        <w:rPr>
          <w:w w:val="105"/>
          <w:sz w:val="21"/>
        </w:rPr>
        <w:t>trees on </w:t>
      </w:r>
      <w:r>
        <w:rPr>
          <w:spacing w:val="-3"/>
          <w:w w:val="105"/>
          <w:sz w:val="21"/>
        </w:rPr>
        <w:t>private</w:t>
      </w:r>
      <w:r>
        <w:rPr>
          <w:spacing w:val="15"/>
          <w:w w:val="105"/>
          <w:sz w:val="21"/>
        </w:rPr>
        <w:t> </w:t>
      </w:r>
      <w:r>
        <w:rPr>
          <w:spacing w:val="-3"/>
          <w:w w:val="105"/>
          <w:sz w:val="21"/>
        </w:rPr>
        <w:t>land.</w:t>
      </w:r>
      <w:r>
        <w:rPr>
          <w:spacing w:val="-3"/>
          <w:w w:val="105"/>
          <w:position w:val="7"/>
          <w:sz w:val="12"/>
        </w:rPr>
        <w:t>62</w:t>
      </w:r>
    </w:p>
    <w:p>
      <w:pPr>
        <w:pStyle w:val="Heading7"/>
      </w:pPr>
      <w:r>
        <w:rPr>
          <w:w w:val="115"/>
        </w:rPr>
        <w:t>Native vegetation particular provisions</w:t>
      </w:r>
    </w:p>
    <w:p>
      <w:pPr>
        <w:pStyle w:val="ListParagraph"/>
        <w:numPr>
          <w:ilvl w:val="1"/>
          <w:numId w:val="16"/>
        </w:numPr>
        <w:tabs>
          <w:tab w:pos="2380" w:val="left" w:leader="none"/>
          <w:tab w:pos="2381" w:val="left" w:leader="none"/>
        </w:tabs>
        <w:spacing w:line="242" w:lineRule="auto" w:before="143" w:after="0"/>
        <w:ind w:left="2381" w:right="1695" w:hanging="794"/>
        <w:jc w:val="left"/>
        <w:rPr>
          <w:sz w:val="21"/>
        </w:rPr>
      </w:pPr>
      <w:r>
        <w:rPr>
          <w:w w:val="105"/>
          <w:sz w:val="21"/>
        </w:rPr>
        <w:t>The </w:t>
      </w:r>
      <w:r>
        <w:rPr>
          <w:spacing w:val="-3"/>
          <w:w w:val="105"/>
          <w:sz w:val="21"/>
        </w:rPr>
        <w:t>native </w:t>
      </w:r>
      <w:r>
        <w:rPr>
          <w:w w:val="105"/>
          <w:sz w:val="21"/>
        </w:rPr>
        <w:t>vegetation particular </w:t>
      </w:r>
      <w:r>
        <w:rPr>
          <w:spacing w:val="-3"/>
          <w:w w:val="105"/>
          <w:sz w:val="21"/>
        </w:rPr>
        <w:t>provisions </w:t>
      </w:r>
      <w:r>
        <w:rPr>
          <w:w w:val="105"/>
          <w:sz w:val="21"/>
        </w:rPr>
        <w:t>of the VPPs </w:t>
      </w:r>
      <w:r>
        <w:rPr>
          <w:spacing w:val="-3"/>
          <w:w w:val="105"/>
          <w:sz w:val="21"/>
        </w:rPr>
        <w:t>control </w:t>
      </w:r>
      <w:r>
        <w:rPr>
          <w:w w:val="105"/>
          <w:sz w:val="21"/>
        </w:rPr>
        <w:t>the </w:t>
      </w:r>
      <w:r>
        <w:rPr>
          <w:spacing w:val="-3"/>
          <w:w w:val="105"/>
          <w:sz w:val="21"/>
        </w:rPr>
        <w:t>removal </w:t>
      </w:r>
      <w:r>
        <w:rPr>
          <w:w w:val="105"/>
          <w:sz w:val="21"/>
        </w:rPr>
        <w:t>of </w:t>
      </w:r>
      <w:r>
        <w:rPr>
          <w:spacing w:val="-3"/>
          <w:w w:val="105"/>
          <w:sz w:val="21"/>
        </w:rPr>
        <w:t>native </w:t>
      </w:r>
      <w:r>
        <w:rPr>
          <w:w w:val="105"/>
          <w:sz w:val="21"/>
        </w:rPr>
        <w:t>vegetation.</w:t>
      </w:r>
      <w:r>
        <w:rPr>
          <w:w w:val="105"/>
          <w:position w:val="7"/>
          <w:sz w:val="12"/>
        </w:rPr>
        <w:t>63 </w:t>
      </w:r>
      <w:r>
        <w:rPr>
          <w:w w:val="105"/>
          <w:sz w:val="21"/>
        </w:rPr>
        <w:t>A permit is </w:t>
      </w:r>
      <w:r>
        <w:rPr>
          <w:spacing w:val="-3"/>
          <w:w w:val="105"/>
          <w:sz w:val="21"/>
        </w:rPr>
        <w:t>usually required to remove, </w:t>
      </w:r>
      <w:r>
        <w:rPr>
          <w:w w:val="105"/>
          <w:sz w:val="21"/>
        </w:rPr>
        <w:t>destroy or lop </w:t>
      </w:r>
      <w:r>
        <w:rPr>
          <w:spacing w:val="-3"/>
          <w:w w:val="105"/>
          <w:sz w:val="21"/>
        </w:rPr>
        <w:t>native </w:t>
      </w:r>
      <w:r>
        <w:rPr>
          <w:w w:val="105"/>
          <w:sz w:val="21"/>
        </w:rPr>
        <w:t>vegetation unless an exemption applies.</w:t>
      </w:r>
      <w:r>
        <w:rPr>
          <w:w w:val="105"/>
          <w:position w:val="7"/>
          <w:sz w:val="12"/>
        </w:rPr>
        <w:t>64 </w:t>
      </w:r>
      <w:r>
        <w:rPr>
          <w:w w:val="105"/>
          <w:sz w:val="21"/>
        </w:rPr>
        <w:t>The process </w:t>
      </w:r>
      <w:r>
        <w:rPr>
          <w:spacing w:val="-2"/>
          <w:w w:val="105"/>
          <w:sz w:val="21"/>
        </w:rPr>
        <w:t>has </w:t>
      </w:r>
      <w:r>
        <w:rPr>
          <w:w w:val="105"/>
          <w:sz w:val="21"/>
        </w:rPr>
        <w:t>three steps: </w:t>
      </w:r>
      <w:r>
        <w:rPr>
          <w:spacing w:val="-3"/>
          <w:w w:val="105"/>
          <w:sz w:val="21"/>
        </w:rPr>
        <w:t>avoidance </w:t>
      </w:r>
      <w:r>
        <w:rPr>
          <w:w w:val="105"/>
          <w:sz w:val="21"/>
        </w:rPr>
        <w:t>of removal; </w:t>
      </w:r>
      <w:r>
        <w:rPr>
          <w:spacing w:val="-3"/>
          <w:w w:val="105"/>
          <w:sz w:val="21"/>
        </w:rPr>
        <w:t>minimisation </w:t>
      </w:r>
      <w:r>
        <w:rPr>
          <w:w w:val="105"/>
          <w:sz w:val="21"/>
        </w:rPr>
        <w:t>of impacts; and offset </w:t>
      </w:r>
      <w:r>
        <w:rPr>
          <w:spacing w:val="-3"/>
          <w:w w:val="105"/>
          <w:sz w:val="21"/>
        </w:rPr>
        <w:t>requirements.</w:t>
      </w:r>
      <w:r>
        <w:rPr>
          <w:spacing w:val="-3"/>
          <w:w w:val="105"/>
          <w:position w:val="7"/>
          <w:sz w:val="12"/>
        </w:rPr>
        <w:t>65 </w:t>
      </w:r>
      <w:r>
        <w:rPr>
          <w:w w:val="105"/>
          <w:sz w:val="21"/>
        </w:rPr>
        <w:t>Offset </w:t>
      </w:r>
      <w:r>
        <w:rPr>
          <w:spacing w:val="-3"/>
          <w:w w:val="105"/>
          <w:sz w:val="21"/>
        </w:rPr>
        <w:t>requirements compensate for removal, </w:t>
      </w:r>
      <w:r>
        <w:rPr>
          <w:w w:val="105"/>
          <w:sz w:val="21"/>
        </w:rPr>
        <w:t>with the </w:t>
      </w:r>
      <w:r>
        <w:rPr>
          <w:spacing w:val="-3"/>
          <w:w w:val="105"/>
          <w:sz w:val="21"/>
        </w:rPr>
        <w:t>aim </w:t>
      </w:r>
      <w:r>
        <w:rPr>
          <w:w w:val="105"/>
          <w:sz w:val="21"/>
        </w:rPr>
        <w:t>of </w:t>
      </w:r>
      <w:r>
        <w:rPr>
          <w:spacing w:val="-3"/>
          <w:w w:val="105"/>
          <w:sz w:val="21"/>
        </w:rPr>
        <w:t>ensuring that clearing native </w:t>
      </w:r>
      <w:r>
        <w:rPr>
          <w:w w:val="105"/>
          <w:sz w:val="21"/>
        </w:rPr>
        <w:t>vegetation </w:t>
      </w:r>
      <w:r>
        <w:rPr>
          <w:spacing w:val="-2"/>
          <w:w w:val="105"/>
          <w:sz w:val="21"/>
        </w:rPr>
        <w:t>has </w:t>
      </w:r>
      <w:r>
        <w:rPr>
          <w:w w:val="105"/>
          <w:sz w:val="21"/>
        </w:rPr>
        <w:t>a </w:t>
      </w:r>
      <w:r>
        <w:rPr>
          <w:spacing w:val="-3"/>
          <w:w w:val="105"/>
          <w:sz w:val="21"/>
        </w:rPr>
        <w:t>neutral </w:t>
      </w:r>
      <w:r>
        <w:rPr>
          <w:w w:val="105"/>
          <w:sz w:val="21"/>
        </w:rPr>
        <w:t>impact on </w:t>
      </w:r>
      <w:r>
        <w:rPr>
          <w:spacing w:val="-3"/>
          <w:w w:val="105"/>
          <w:sz w:val="21"/>
        </w:rPr>
        <w:t>Victoria’s</w:t>
      </w:r>
      <w:r>
        <w:rPr>
          <w:spacing w:val="-12"/>
          <w:w w:val="105"/>
          <w:sz w:val="21"/>
        </w:rPr>
        <w:t> </w:t>
      </w:r>
      <w:r>
        <w:rPr>
          <w:w w:val="105"/>
          <w:sz w:val="21"/>
        </w:rPr>
        <w:t>biodiversity.</w:t>
      </w:r>
      <w:r>
        <w:rPr>
          <w:w w:val="105"/>
          <w:position w:val="7"/>
          <w:sz w:val="12"/>
        </w:rPr>
        <w:t>66</w:t>
      </w:r>
      <w:r>
        <w:rPr>
          <w:spacing w:val="11"/>
          <w:w w:val="105"/>
          <w:position w:val="7"/>
          <w:sz w:val="12"/>
        </w:rPr>
        <w:t> </w:t>
      </w:r>
      <w:r>
        <w:rPr>
          <w:w w:val="105"/>
          <w:sz w:val="21"/>
        </w:rPr>
        <w:t>The</w:t>
      </w:r>
      <w:r>
        <w:rPr>
          <w:spacing w:val="-12"/>
          <w:w w:val="105"/>
          <w:sz w:val="21"/>
        </w:rPr>
        <w:t> </w:t>
      </w:r>
      <w:r>
        <w:rPr>
          <w:w w:val="105"/>
          <w:sz w:val="21"/>
        </w:rPr>
        <w:t>type</w:t>
      </w:r>
      <w:r>
        <w:rPr>
          <w:spacing w:val="-11"/>
          <w:w w:val="105"/>
          <w:sz w:val="21"/>
        </w:rPr>
        <w:t> </w:t>
      </w:r>
      <w:r>
        <w:rPr>
          <w:w w:val="105"/>
          <w:sz w:val="21"/>
        </w:rPr>
        <w:t>of</w:t>
      </w:r>
      <w:r>
        <w:rPr>
          <w:spacing w:val="-12"/>
          <w:w w:val="105"/>
          <w:sz w:val="21"/>
        </w:rPr>
        <w:t> </w:t>
      </w:r>
      <w:r>
        <w:rPr>
          <w:w w:val="105"/>
          <w:sz w:val="21"/>
        </w:rPr>
        <w:t>offset</w:t>
      </w:r>
      <w:r>
        <w:rPr>
          <w:spacing w:val="-11"/>
          <w:w w:val="105"/>
          <w:sz w:val="21"/>
        </w:rPr>
        <w:t> </w:t>
      </w:r>
      <w:r>
        <w:rPr>
          <w:spacing w:val="-3"/>
          <w:w w:val="105"/>
          <w:sz w:val="21"/>
        </w:rPr>
        <w:t>required</w:t>
      </w:r>
      <w:r>
        <w:rPr>
          <w:spacing w:val="-12"/>
          <w:w w:val="105"/>
          <w:sz w:val="21"/>
        </w:rPr>
        <w:t> </w:t>
      </w:r>
      <w:r>
        <w:rPr>
          <w:w w:val="105"/>
          <w:sz w:val="21"/>
        </w:rPr>
        <w:t>depends</w:t>
      </w:r>
      <w:r>
        <w:rPr>
          <w:spacing w:val="-12"/>
          <w:w w:val="105"/>
          <w:sz w:val="21"/>
        </w:rPr>
        <w:t> </w:t>
      </w:r>
      <w:r>
        <w:rPr>
          <w:w w:val="105"/>
          <w:sz w:val="21"/>
        </w:rPr>
        <w:t>on</w:t>
      </w:r>
      <w:r>
        <w:rPr>
          <w:spacing w:val="-11"/>
          <w:w w:val="105"/>
          <w:sz w:val="21"/>
        </w:rPr>
        <w:t> </w:t>
      </w:r>
      <w:r>
        <w:rPr>
          <w:w w:val="105"/>
          <w:sz w:val="21"/>
        </w:rPr>
        <w:t>the</w:t>
      </w:r>
      <w:r>
        <w:rPr>
          <w:spacing w:val="-12"/>
          <w:w w:val="105"/>
          <w:sz w:val="21"/>
        </w:rPr>
        <w:t> </w:t>
      </w:r>
      <w:r>
        <w:rPr>
          <w:w w:val="105"/>
          <w:sz w:val="21"/>
        </w:rPr>
        <w:t>characteristics</w:t>
      </w:r>
      <w:r>
        <w:rPr>
          <w:spacing w:val="-11"/>
          <w:w w:val="105"/>
          <w:sz w:val="21"/>
        </w:rPr>
        <w:t> </w:t>
      </w:r>
      <w:r>
        <w:rPr>
          <w:w w:val="105"/>
          <w:sz w:val="21"/>
        </w:rPr>
        <w:t>of</w:t>
      </w:r>
      <w:r>
        <w:rPr>
          <w:spacing w:val="-12"/>
          <w:w w:val="105"/>
          <w:sz w:val="21"/>
        </w:rPr>
        <w:t> </w:t>
      </w:r>
      <w:r>
        <w:rPr>
          <w:w w:val="105"/>
          <w:sz w:val="21"/>
        </w:rPr>
        <w:t>the </w:t>
      </w:r>
      <w:r>
        <w:rPr>
          <w:spacing w:val="-3"/>
          <w:w w:val="105"/>
          <w:sz w:val="21"/>
        </w:rPr>
        <w:t>native </w:t>
      </w:r>
      <w:r>
        <w:rPr>
          <w:w w:val="105"/>
          <w:sz w:val="21"/>
        </w:rPr>
        <w:t>vegetation being </w:t>
      </w:r>
      <w:r>
        <w:rPr>
          <w:spacing w:val="-3"/>
          <w:w w:val="105"/>
          <w:sz w:val="21"/>
        </w:rPr>
        <w:t>removed, </w:t>
      </w:r>
      <w:r>
        <w:rPr>
          <w:w w:val="105"/>
          <w:sz w:val="21"/>
        </w:rPr>
        <w:t>and the extent of the</w:t>
      </w:r>
      <w:r>
        <w:rPr>
          <w:spacing w:val="34"/>
          <w:w w:val="105"/>
          <w:sz w:val="21"/>
        </w:rPr>
        <w:t> </w:t>
      </w:r>
      <w:r>
        <w:rPr>
          <w:w w:val="105"/>
          <w:sz w:val="21"/>
        </w:rPr>
        <w:t>loss.</w:t>
      </w:r>
      <w:r>
        <w:rPr>
          <w:w w:val="105"/>
          <w:position w:val="7"/>
          <w:sz w:val="12"/>
        </w:rPr>
        <w:t>67</w:t>
      </w:r>
    </w:p>
    <w:p>
      <w:pPr>
        <w:pStyle w:val="BodyText"/>
        <w:spacing w:before="128"/>
        <w:ind w:left="1587"/>
      </w:pPr>
      <w:r>
        <w:rPr/>
        <w:t>The native vegetation particular provisions will not affect most private properties in Victoria.</w:t>
      </w:r>
    </w:p>
    <w:p>
      <w:pPr>
        <w:pStyle w:val="BodyText"/>
        <w:spacing w:line="242" w:lineRule="auto" w:before="3"/>
        <w:ind w:left="2381" w:right="1810"/>
      </w:pPr>
      <w:r>
        <w:rPr>
          <w:spacing w:val="-4"/>
        </w:rPr>
        <w:t>They </w:t>
      </w:r>
      <w:r>
        <w:rPr>
          <w:spacing w:val="-8"/>
        </w:rPr>
        <w:t>‘aim </w:t>
      </w:r>
      <w:r>
        <w:rPr>
          <w:spacing w:val="-4"/>
        </w:rPr>
        <w:t>to </w:t>
      </w:r>
      <w:r>
        <w:rPr>
          <w:spacing w:val="-6"/>
        </w:rPr>
        <w:t>prevent </w:t>
      </w:r>
      <w:r>
        <w:rPr>
          <w:spacing w:val="-5"/>
        </w:rPr>
        <w:t>broad-scale </w:t>
      </w:r>
      <w:r>
        <w:rPr>
          <w:spacing w:val="-6"/>
        </w:rPr>
        <w:t>clearing </w:t>
      </w:r>
      <w:r>
        <w:rPr>
          <w:spacing w:val="-4"/>
        </w:rPr>
        <w:t>of </w:t>
      </w:r>
      <w:r>
        <w:rPr>
          <w:spacing w:val="-5"/>
        </w:rPr>
        <w:t>vegetation </w:t>
      </w:r>
      <w:r>
        <w:rPr>
          <w:spacing w:val="-4"/>
        </w:rPr>
        <w:t>and </w:t>
      </w:r>
      <w:r>
        <w:rPr>
          <w:spacing w:val="-5"/>
        </w:rPr>
        <w:t>will have </w:t>
      </w:r>
      <w:r>
        <w:rPr>
          <w:spacing w:val="-6"/>
        </w:rPr>
        <w:t>limited </w:t>
      </w:r>
      <w:r>
        <w:rPr>
          <w:spacing w:val="-5"/>
        </w:rPr>
        <w:t>applicability </w:t>
      </w:r>
      <w:r>
        <w:rPr>
          <w:spacing w:val="-4"/>
        </w:rPr>
        <w:t>in </w:t>
      </w:r>
      <w:r>
        <w:rPr>
          <w:spacing w:val="-5"/>
        </w:rPr>
        <w:t>urban areas </w:t>
      </w:r>
      <w:r>
        <w:rPr>
          <w:spacing w:val="-4"/>
        </w:rPr>
        <w:t>with </w:t>
      </w:r>
      <w:r>
        <w:rPr>
          <w:spacing w:val="-5"/>
        </w:rPr>
        <w:t>small </w:t>
      </w:r>
      <w:r>
        <w:rPr>
          <w:spacing w:val="-4"/>
        </w:rPr>
        <w:t>lot </w:t>
      </w:r>
      <w:r>
        <w:rPr>
          <w:spacing w:val="-7"/>
        </w:rPr>
        <w:t>sizes’.</w:t>
      </w:r>
      <w:r>
        <w:rPr>
          <w:spacing w:val="-7"/>
          <w:position w:val="7"/>
          <w:sz w:val="12"/>
        </w:rPr>
        <w:t>68 </w:t>
      </w:r>
      <w:r>
        <w:rPr>
          <w:spacing w:val="-4"/>
        </w:rPr>
        <w:t>They </w:t>
      </w:r>
      <w:r>
        <w:rPr>
          <w:spacing w:val="-5"/>
        </w:rPr>
        <w:t>are </w:t>
      </w:r>
      <w:r>
        <w:rPr>
          <w:spacing w:val="-4"/>
        </w:rPr>
        <w:t>more </w:t>
      </w:r>
      <w:r>
        <w:rPr>
          <w:spacing w:val="-6"/>
        </w:rPr>
        <w:t>relevant </w:t>
      </w:r>
      <w:r>
        <w:rPr>
          <w:spacing w:val="-4"/>
        </w:rPr>
        <w:t>in </w:t>
      </w:r>
      <w:r>
        <w:rPr>
          <w:spacing w:val="-5"/>
        </w:rPr>
        <w:t>country areas </w:t>
      </w:r>
      <w:r>
        <w:rPr>
          <w:spacing w:val="-4"/>
        </w:rPr>
        <w:t>with </w:t>
      </w:r>
      <w:r>
        <w:rPr>
          <w:spacing w:val="-5"/>
        </w:rPr>
        <w:t>larger </w:t>
      </w:r>
      <w:r>
        <w:rPr>
          <w:spacing w:val="-4"/>
        </w:rPr>
        <w:t>lots </w:t>
      </w:r>
      <w:r>
        <w:rPr>
          <w:spacing w:val="-3"/>
        </w:rPr>
        <w:t>or </w:t>
      </w:r>
      <w:r>
        <w:rPr>
          <w:spacing w:val="-5"/>
        </w:rPr>
        <w:t>Green Wedge areas because this </w:t>
      </w:r>
      <w:r>
        <w:rPr>
          <w:spacing w:val="-3"/>
        </w:rPr>
        <w:t>is </w:t>
      </w:r>
      <w:r>
        <w:rPr>
          <w:spacing w:val="-5"/>
        </w:rPr>
        <w:t>where </w:t>
      </w:r>
      <w:r>
        <w:rPr>
          <w:spacing w:val="-3"/>
        </w:rPr>
        <w:t>most </w:t>
      </w:r>
      <w:r>
        <w:rPr>
          <w:spacing w:val="-5"/>
        </w:rPr>
        <w:t>native vegetation </w:t>
      </w:r>
      <w:r>
        <w:rPr>
          <w:spacing w:val="-3"/>
        </w:rPr>
        <w:t>is </w:t>
      </w:r>
      <w:r>
        <w:rPr>
          <w:spacing w:val="-5"/>
        </w:rPr>
        <w:t>located </w:t>
      </w:r>
      <w:r>
        <w:rPr>
          <w:spacing w:val="-4"/>
        </w:rPr>
        <w:t>and </w:t>
      </w:r>
      <w:r>
        <w:rPr>
          <w:spacing w:val="-5"/>
        </w:rPr>
        <w:t>because </w:t>
      </w:r>
      <w:r>
        <w:rPr>
          <w:spacing w:val="-4"/>
        </w:rPr>
        <w:t>of</w:t>
      </w:r>
      <w:r>
        <w:rPr>
          <w:spacing w:val="39"/>
        </w:rPr>
        <w:t> </w:t>
      </w:r>
      <w:r>
        <w:rPr>
          <w:spacing w:val="-4"/>
        </w:rPr>
        <w:t>how</w:t>
      </w:r>
      <w:r>
        <w:rPr>
          <w:spacing w:val="7"/>
        </w:rPr>
        <w:t> </w:t>
      </w:r>
      <w:r>
        <w:rPr>
          <w:spacing w:val="-4"/>
        </w:rPr>
        <w:t>the</w:t>
      </w:r>
      <w:r>
        <w:rPr>
          <w:spacing w:val="7"/>
        </w:rPr>
        <w:t> </w:t>
      </w:r>
      <w:r>
        <w:rPr>
          <w:spacing w:val="-2"/>
        </w:rPr>
        <w:t>VPP</w:t>
      </w:r>
      <w:r>
        <w:rPr>
          <w:spacing w:val="8"/>
        </w:rPr>
        <w:t> </w:t>
      </w:r>
      <w:r>
        <w:rPr>
          <w:spacing w:val="-4"/>
        </w:rPr>
        <w:t>define</w:t>
      </w:r>
      <w:r>
        <w:rPr>
          <w:spacing w:val="7"/>
        </w:rPr>
        <w:t> </w:t>
      </w:r>
      <w:r>
        <w:rPr>
          <w:spacing w:val="-5"/>
        </w:rPr>
        <w:t>native</w:t>
      </w:r>
      <w:r>
        <w:rPr>
          <w:spacing w:val="7"/>
        </w:rPr>
        <w:t> </w:t>
      </w:r>
      <w:r>
        <w:rPr>
          <w:spacing w:val="-5"/>
        </w:rPr>
        <w:t>vegetation</w:t>
      </w:r>
      <w:r>
        <w:rPr>
          <w:spacing w:val="-5"/>
          <w:position w:val="7"/>
          <w:sz w:val="12"/>
        </w:rPr>
        <w:t>69</w:t>
      </w:r>
      <w:r>
        <w:rPr>
          <w:spacing w:val="8"/>
          <w:position w:val="7"/>
          <w:sz w:val="12"/>
        </w:rPr>
        <w:t> </w:t>
      </w:r>
      <w:r>
        <w:rPr>
          <w:spacing w:val="-4"/>
        </w:rPr>
        <w:t>and</w:t>
      </w:r>
      <w:r>
        <w:rPr>
          <w:spacing w:val="7"/>
        </w:rPr>
        <w:t> </w:t>
      </w:r>
      <w:r>
        <w:rPr>
          <w:spacing w:val="-4"/>
        </w:rPr>
        <w:t>how</w:t>
      </w:r>
      <w:r>
        <w:rPr>
          <w:spacing w:val="7"/>
        </w:rPr>
        <w:t> </w:t>
      </w:r>
      <w:r>
        <w:rPr>
          <w:spacing w:val="-5"/>
        </w:rPr>
        <w:t>exemptions</w:t>
      </w:r>
      <w:r>
        <w:rPr>
          <w:spacing w:val="8"/>
        </w:rPr>
        <w:t> </w:t>
      </w:r>
      <w:r>
        <w:rPr>
          <w:spacing w:val="-5"/>
        </w:rPr>
        <w:t>are</w:t>
      </w:r>
      <w:r>
        <w:rPr>
          <w:spacing w:val="7"/>
        </w:rPr>
        <w:t> </w:t>
      </w:r>
      <w:r>
        <w:rPr>
          <w:spacing w:val="-5"/>
        </w:rPr>
        <w:t>framed.</w:t>
      </w:r>
    </w:p>
    <w:p>
      <w:pPr>
        <w:pStyle w:val="ListParagraph"/>
        <w:numPr>
          <w:ilvl w:val="1"/>
          <w:numId w:val="16"/>
        </w:numPr>
        <w:tabs>
          <w:tab w:pos="2381" w:val="left" w:leader="none"/>
          <w:tab w:pos="2382" w:val="left" w:leader="none"/>
        </w:tabs>
        <w:spacing w:line="242" w:lineRule="auto" w:before="125" w:after="0"/>
        <w:ind w:left="2381" w:right="1633" w:hanging="794"/>
        <w:jc w:val="left"/>
        <w:rPr>
          <w:sz w:val="21"/>
        </w:rPr>
      </w:pPr>
      <w:r>
        <w:rPr>
          <w:sz w:val="21"/>
        </w:rPr>
        <w:t>If </w:t>
      </w:r>
      <w:r>
        <w:rPr>
          <w:spacing w:val="-3"/>
          <w:sz w:val="21"/>
        </w:rPr>
        <w:t>native </w:t>
      </w:r>
      <w:r>
        <w:rPr>
          <w:sz w:val="21"/>
        </w:rPr>
        <w:t>vegetation particular </w:t>
      </w:r>
      <w:r>
        <w:rPr>
          <w:spacing w:val="-3"/>
          <w:sz w:val="21"/>
        </w:rPr>
        <w:t>provisions </w:t>
      </w:r>
      <w:r>
        <w:rPr>
          <w:sz w:val="21"/>
        </w:rPr>
        <w:t>apply  </w:t>
      </w:r>
      <w:r>
        <w:rPr>
          <w:spacing w:val="-3"/>
          <w:sz w:val="21"/>
        </w:rPr>
        <w:t>to  private  </w:t>
      </w:r>
      <w:r>
        <w:rPr>
          <w:sz w:val="21"/>
        </w:rPr>
        <w:t>property,  the  </w:t>
      </w:r>
      <w:r>
        <w:rPr>
          <w:spacing w:val="-3"/>
          <w:sz w:val="21"/>
        </w:rPr>
        <w:t>provisions  allow </w:t>
      </w:r>
      <w:r>
        <w:rPr>
          <w:sz w:val="21"/>
        </w:rPr>
        <w:t>the </w:t>
      </w:r>
      <w:r>
        <w:rPr>
          <w:spacing w:val="-3"/>
          <w:sz w:val="21"/>
        </w:rPr>
        <w:t>clearing </w:t>
      </w:r>
      <w:r>
        <w:rPr>
          <w:sz w:val="21"/>
        </w:rPr>
        <w:t>of some vegetation without a permit. A permit is </w:t>
      </w:r>
      <w:r>
        <w:rPr>
          <w:spacing w:val="-2"/>
          <w:sz w:val="21"/>
        </w:rPr>
        <w:t>not </w:t>
      </w:r>
      <w:r>
        <w:rPr>
          <w:spacing w:val="-3"/>
          <w:sz w:val="21"/>
        </w:rPr>
        <w:t>required for sites </w:t>
      </w:r>
      <w:r>
        <w:rPr>
          <w:sz w:val="21"/>
        </w:rPr>
        <w:t>of less </w:t>
      </w:r>
      <w:r>
        <w:rPr>
          <w:spacing w:val="-3"/>
          <w:sz w:val="21"/>
        </w:rPr>
        <w:t>than  </w:t>
      </w:r>
      <w:r>
        <w:rPr>
          <w:spacing w:val="-2"/>
          <w:sz w:val="21"/>
        </w:rPr>
        <w:t>0.4  </w:t>
      </w:r>
      <w:r>
        <w:rPr>
          <w:sz w:val="21"/>
        </w:rPr>
        <w:t>hectares.</w:t>
      </w:r>
      <w:r>
        <w:rPr>
          <w:position w:val="7"/>
          <w:sz w:val="12"/>
        </w:rPr>
        <w:t>70   </w:t>
      </w:r>
      <w:r>
        <w:rPr>
          <w:sz w:val="21"/>
        </w:rPr>
        <w:t>An exemption </w:t>
      </w:r>
      <w:r>
        <w:rPr>
          <w:spacing w:val="-3"/>
          <w:sz w:val="21"/>
        </w:rPr>
        <w:t>to  </w:t>
      </w:r>
      <w:r>
        <w:rPr>
          <w:sz w:val="21"/>
        </w:rPr>
        <w:t>the </w:t>
      </w:r>
      <w:r>
        <w:rPr>
          <w:spacing w:val="-3"/>
          <w:sz w:val="21"/>
        </w:rPr>
        <w:t>requirement</w:t>
      </w:r>
      <w:r>
        <w:rPr>
          <w:spacing w:val="41"/>
          <w:sz w:val="21"/>
        </w:rPr>
        <w:t> </w:t>
      </w:r>
      <w:r>
        <w:rPr>
          <w:spacing w:val="-3"/>
          <w:sz w:val="21"/>
        </w:rPr>
        <w:t>to  </w:t>
      </w:r>
      <w:r>
        <w:rPr>
          <w:sz w:val="21"/>
        </w:rPr>
        <w:t>obtain a permit also applies in  an emergency or where there is an </w:t>
      </w:r>
      <w:r>
        <w:rPr>
          <w:spacing w:val="-3"/>
          <w:sz w:val="21"/>
        </w:rPr>
        <w:t>immediate </w:t>
      </w:r>
      <w:r>
        <w:rPr>
          <w:sz w:val="21"/>
        </w:rPr>
        <w:t>risk of personal injury or damage </w:t>
      </w:r>
      <w:r>
        <w:rPr>
          <w:spacing w:val="-3"/>
          <w:sz w:val="21"/>
        </w:rPr>
        <w:t>to property.</w:t>
      </w:r>
      <w:r>
        <w:rPr>
          <w:spacing w:val="-3"/>
          <w:position w:val="7"/>
          <w:sz w:val="12"/>
        </w:rPr>
        <w:t>71 </w:t>
      </w:r>
      <w:r>
        <w:rPr>
          <w:sz w:val="21"/>
        </w:rPr>
        <w:t>A further exemption allows lopping and  </w:t>
      </w:r>
      <w:r>
        <w:rPr>
          <w:spacing w:val="-3"/>
          <w:sz w:val="21"/>
        </w:rPr>
        <w:t>pruning  to  maintain  </w:t>
      </w:r>
      <w:r>
        <w:rPr>
          <w:sz w:val="21"/>
        </w:rPr>
        <w:t>vegetation provided</w:t>
      </w:r>
      <w:r>
        <w:rPr>
          <w:spacing w:val="18"/>
          <w:sz w:val="21"/>
        </w:rPr>
        <w:t> </w:t>
      </w:r>
      <w:r>
        <w:rPr>
          <w:sz w:val="21"/>
        </w:rPr>
        <w:t>no</w:t>
      </w:r>
      <w:r>
        <w:rPr>
          <w:spacing w:val="19"/>
          <w:sz w:val="21"/>
        </w:rPr>
        <w:t> </w:t>
      </w:r>
      <w:r>
        <w:rPr>
          <w:sz w:val="21"/>
        </w:rPr>
        <w:t>more</w:t>
      </w:r>
      <w:r>
        <w:rPr>
          <w:spacing w:val="19"/>
          <w:sz w:val="21"/>
        </w:rPr>
        <w:t> </w:t>
      </w:r>
      <w:r>
        <w:rPr>
          <w:spacing w:val="-3"/>
          <w:sz w:val="21"/>
        </w:rPr>
        <w:t>than</w:t>
      </w:r>
      <w:r>
        <w:rPr>
          <w:spacing w:val="18"/>
          <w:sz w:val="21"/>
        </w:rPr>
        <w:t> </w:t>
      </w:r>
      <w:r>
        <w:rPr>
          <w:sz w:val="21"/>
        </w:rPr>
        <w:t>1/3</w:t>
      </w:r>
      <w:r>
        <w:rPr>
          <w:spacing w:val="19"/>
          <w:sz w:val="21"/>
        </w:rPr>
        <w:t> </w:t>
      </w:r>
      <w:r>
        <w:rPr>
          <w:sz w:val="21"/>
        </w:rPr>
        <w:t>of</w:t>
      </w:r>
      <w:r>
        <w:rPr>
          <w:spacing w:val="19"/>
          <w:sz w:val="21"/>
        </w:rPr>
        <w:t> </w:t>
      </w:r>
      <w:r>
        <w:rPr>
          <w:sz w:val="21"/>
        </w:rPr>
        <w:t>the</w:t>
      </w:r>
      <w:r>
        <w:rPr>
          <w:spacing w:val="19"/>
          <w:sz w:val="21"/>
        </w:rPr>
        <w:t> </w:t>
      </w:r>
      <w:r>
        <w:rPr>
          <w:spacing w:val="-3"/>
          <w:sz w:val="21"/>
        </w:rPr>
        <w:t>foliage</w:t>
      </w:r>
      <w:r>
        <w:rPr>
          <w:spacing w:val="18"/>
          <w:sz w:val="21"/>
        </w:rPr>
        <w:t> </w:t>
      </w:r>
      <w:r>
        <w:rPr>
          <w:sz w:val="21"/>
        </w:rPr>
        <w:t>of</w:t>
      </w:r>
      <w:r>
        <w:rPr>
          <w:spacing w:val="19"/>
          <w:sz w:val="21"/>
        </w:rPr>
        <w:t> </w:t>
      </w:r>
      <w:r>
        <w:rPr>
          <w:sz w:val="21"/>
        </w:rPr>
        <w:t>each</w:t>
      </w:r>
      <w:r>
        <w:rPr>
          <w:spacing w:val="19"/>
          <w:sz w:val="21"/>
        </w:rPr>
        <w:t> </w:t>
      </w:r>
      <w:r>
        <w:rPr>
          <w:spacing w:val="-3"/>
          <w:sz w:val="21"/>
        </w:rPr>
        <w:t>individual</w:t>
      </w:r>
      <w:r>
        <w:rPr>
          <w:spacing w:val="18"/>
          <w:sz w:val="21"/>
        </w:rPr>
        <w:t> </w:t>
      </w:r>
      <w:r>
        <w:rPr>
          <w:spacing w:val="-3"/>
          <w:sz w:val="21"/>
        </w:rPr>
        <w:t>plant</w:t>
      </w:r>
      <w:r>
        <w:rPr>
          <w:spacing w:val="19"/>
          <w:sz w:val="21"/>
        </w:rPr>
        <w:t> </w:t>
      </w:r>
      <w:r>
        <w:rPr>
          <w:sz w:val="21"/>
        </w:rPr>
        <w:t>is</w:t>
      </w:r>
      <w:r>
        <w:rPr>
          <w:spacing w:val="19"/>
          <w:sz w:val="21"/>
        </w:rPr>
        <w:t> </w:t>
      </w:r>
      <w:r>
        <w:rPr>
          <w:sz w:val="21"/>
        </w:rPr>
        <w:t>lopped</w:t>
      </w:r>
      <w:r>
        <w:rPr>
          <w:spacing w:val="19"/>
          <w:sz w:val="21"/>
        </w:rPr>
        <w:t> </w:t>
      </w:r>
      <w:r>
        <w:rPr>
          <w:sz w:val="21"/>
        </w:rPr>
        <w:t>or</w:t>
      </w:r>
      <w:r>
        <w:rPr>
          <w:spacing w:val="18"/>
          <w:sz w:val="21"/>
        </w:rPr>
        <w:t> </w:t>
      </w:r>
      <w:r>
        <w:rPr>
          <w:spacing w:val="-3"/>
          <w:sz w:val="21"/>
        </w:rPr>
        <w:t>pruned.</w:t>
      </w:r>
      <w:r>
        <w:rPr>
          <w:spacing w:val="-3"/>
          <w:position w:val="7"/>
          <w:sz w:val="12"/>
        </w:rPr>
        <w:t>72</w:t>
      </w:r>
    </w:p>
    <w:p>
      <w:pPr>
        <w:pStyle w:val="BodyText"/>
        <w:rPr>
          <w:sz w:val="20"/>
        </w:rPr>
      </w:pPr>
    </w:p>
    <w:p>
      <w:pPr>
        <w:pStyle w:val="BodyText"/>
        <w:rPr>
          <w:sz w:val="20"/>
        </w:rPr>
      </w:pPr>
    </w:p>
    <w:p>
      <w:pPr>
        <w:pStyle w:val="BodyText"/>
        <w:spacing w:before="3"/>
        <w:rPr>
          <w:sz w:val="24"/>
        </w:rPr>
      </w:pPr>
      <w:r>
        <w:rPr/>
        <w:pict>
          <v:line style="position:absolute;mso-position-horizontal-relative:page;mso-position-vertical-relative:paragraph;z-index:9560;mso-wrap-distance-left:0;mso-wrap-distance-right:0" from="79.370102pt,17.282848pt" to="515.905102pt,17.28284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65"/>
        </w:numPr>
        <w:tabs>
          <w:tab w:pos="2381" w:val="left" w:leader="none"/>
          <w:tab w:pos="2382" w:val="left" w:leader="none"/>
        </w:tabs>
        <w:spacing w:line="240" w:lineRule="auto" w:before="48" w:after="0"/>
        <w:ind w:left="2381" w:right="0" w:hanging="794"/>
        <w:jc w:val="left"/>
        <w:rPr>
          <w:sz w:val="13"/>
        </w:rPr>
      </w:pPr>
      <w:r>
        <w:rPr>
          <w:w w:val="105"/>
          <w:sz w:val="13"/>
        </w:rPr>
        <w:t>Ibid, cl 53.02 ‘Bushfire Planning’; cl </w:t>
      </w:r>
      <w:r>
        <w:rPr>
          <w:spacing w:val="-4"/>
          <w:w w:val="105"/>
          <w:sz w:val="13"/>
        </w:rPr>
        <w:t>52.12 </w:t>
      </w:r>
      <w:r>
        <w:rPr>
          <w:w w:val="105"/>
          <w:sz w:val="13"/>
        </w:rPr>
        <w:t>‘Bushfire Protections:</w:t>
      </w:r>
      <w:r>
        <w:rPr>
          <w:spacing w:val="20"/>
          <w:w w:val="105"/>
          <w:sz w:val="13"/>
        </w:rPr>
        <w:t> </w:t>
      </w:r>
      <w:r>
        <w:rPr>
          <w:w w:val="105"/>
          <w:sz w:val="13"/>
        </w:rPr>
        <w:t>Exemptions’.</w:t>
      </w:r>
    </w:p>
    <w:p>
      <w:pPr>
        <w:pStyle w:val="ListParagraph"/>
        <w:numPr>
          <w:ilvl w:val="0"/>
          <w:numId w:val="165"/>
        </w:numPr>
        <w:tabs>
          <w:tab w:pos="2381" w:val="left" w:leader="none"/>
          <w:tab w:pos="2382" w:val="left" w:leader="none"/>
        </w:tabs>
        <w:spacing w:line="240" w:lineRule="auto" w:before="1" w:after="0"/>
        <w:ind w:left="2381" w:right="0" w:hanging="794"/>
        <w:jc w:val="left"/>
        <w:rPr>
          <w:i/>
          <w:sz w:val="13"/>
        </w:rPr>
      </w:pPr>
      <w:r>
        <w:rPr>
          <w:w w:val="105"/>
          <w:sz w:val="13"/>
        </w:rPr>
        <w:t>Department of Planning and Community Development </w:t>
      </w:r>
      <w:r>
        <w:rPr>
          <w:spacing w:val="2"/>
          <w:w w:val="105"/>
          <w:sz w:val="13"/>
        </w:rPr>
        <w:t>(Vic), </w:t>
      </w:r>
      <w:r>
        <w:rPr>
          <w:i/>
          <w:w w:val="105"/>
          <w:sz w:val="13"/>
        </w:rPr>
        <w:t>Planning Advisory Note 39—Bushfire Protection: Vegetation Exemptions   </w:t>
      </w:r>
      <w:r>
        <w:rPr>
          <w:w w:val="105"/>
          <w:sz w:val="13"/>
        </w:rPr>
        <w:t>(Practice Document, November </w:t>
      </w:r>
      <w:r>
        <w:rPr>
          <w:spacing w:val="-4"/>
          <w:w w:val="105"/>
          <w:sz w:val="13"/>
        </w:rPr>
        <w:t>2011) </w:t>
      </w:r>
      <w:r>
        <w:rPr>
          <w:w w:val="105"/>
          <w:sz w:val="13"/>
        </w:rPr>
        <w:t>&lt;</w:t>
      </w:r>
      <w:hyperlink r:id="rId260">
        <w:r>
          <w:rPr>
            <w:w w:val="105"/>
            <w:sz w:val="13"/>
          </w:rPr>
          <w:t>www.planning.vic.gov.au/publications/planning-advisory-notes</w:t>
        </w:r>
      </w:hyperlink>
      <w:r>
        <w:rPr>
          <w:w w:val="105"/>
          <w:sz w:val="13"/>
        </w:rPr>
        <w:t>&gt;. The exemptions do not  apply  if there is a legal agreement or covenant in place that prohibits the removal, destruction or lopping of the native vegetation. This might arise      if the vegetation is subject to a native vegetation offset. Legal agreements and covenants can be used to secure offsets for vegetation that   has been permitted to be removed. Agreements are typically established under section </w:t>
      </w:r>
      <w:r>
        <w:rPr>
          <w:spacing w:val="-3"/>
          <w:w w:val="105"/>
          <w:sz w:val="13"/>
        </w:rPr>
        <w:t>173 </w:t>
      </w:r>
      <w:r>
        <w:rPr>
          <w:w w:val="105"/>
          <w:sz w:val="13"/>
        </w:rPr>
        <w:t>of the </w:t>
      </w:r>
      <w:r>
        <w:rPr>
          <w:i/>
          <w:w w:val="105"/>
          <w:sz w:val="13"/>
        </w:rPr>
        <w:t>Planning and Environment Act 1987 </w:t>
      </w:r>
      <w:r>
        <w:rPr>
          <w:w w:val="105"/>
          <w:sz w:val="13"/>
        </w:rPr>
        <w:t>or section 69 of the </w:t>
      </w:r>
      <w:r>
        <w:rPr>
          <w:i/>
          <w:w w:val="105"/>
          <w:sz w:val="13"/>
        </w:rPr>
        <w:t>Conservation, </w:t>
      </w:r>
      <w:r>
        <w:rPr>
          <w:i/>
          <w:spacing w:val="2"/>
          <w:w w:val="105"/>
          <w:sz w:val="13"/>
        </w:rPr>
        <w:t>Forests </w:t>
      </w:r>
      <w:r>
        <w:rPr>
          <w:i/>
          <w:w w:val="105"/>
          <w:sz w:val="13"/>
        </w:rPr>
        <w:t>and Lands Act </w:t>
      </w:r>
      <w:r>
        <w:rPr>
          <w:i/>
          <w:spacing w:val="-4"/>
          <w:w w:val="105"/>
          <w:sz w:val="13"/>
        </w:rPr>
        <w:t>1987. </w:t>
      </w:r>
      <w:r>
        <w:rPr>
          <w:w w:val="105"/>
          <w:sz w:val="13"/>
        </w:rPr>
        <w:t>A covenant can also be applied to vegetation under section 3A of the </w:t>
      </w:r>
      <w:r>
        <w:rPr>
          <w:i/>
          <w:w w:val="105"/>
          <w:sz w:val="13"/>
        </w:rPr>
        <w:t>Victorian </w:t>
      </w:r>
      <w:r>
        <w:rPr>
          <w:i/>
          <w:w w:val="105"/>
          <w:sz w:val="13"/>
        </w:rPr>
        <w:t>Conservation Trust Act</w:t>
      </w:r>
      <w:r>
        <w:rPr>
          <w:i/>
          <w:spacing w:val="14"/>
          <w:w w:val="105"/>
          <w:sz w:val="13"/>
        </w:rPr>
        <w:t> </w:t>
      </w:r>
      <w:r>
        <w:rPr>
          <w:i/>
          <w:spacing w:val="-3"/>
          <w:w w:val="105"/>
          <w:sz w:val="13"/>
        </w:rPr>
        <w:t>1972.</w:t>
      </w:r>
    </w:p>
    <w:p>
      <w:pPr>
        <w:pStyle w:val="ListParagraph"/>
        <w:numPr>
          <w:ilvl w:val="0"/>
          <w:numId w:val="165"/>
        </w:numPr>
        <w:tabs>
          <w:tab w:pos="2381" w:val="left" w:leader="none"/>
          <w:tab w:pos="2382" w:val="left" w:leader="none"/>
        </w:tabs>
        <w:spacing w:line="240" w:lineRule="auto" w:before="10" w:after="0"/>
        <w:ind w:left="2381" w:right="0" w:hanging="794"/>
        <w:jc w:val="left"/>
        <w:rPr>
          <w:i/>
          <w:sz w:val="13"/>
        </w:rPr>
      </w:pPr>
      <w:r>
        <w:rPr>
          <w:w w:val="105"/>
          <w:sz w:val="13"/>
        </w:rPr>
        <w:t>Department</w:t>
      </w:r>
      <w:r>
        <w:rPr>
          <w:spacing w:val="7"/>
          <w:w w:val="105"/>
          <w:sz w:val="13"/>
        </w:rPr>
        <w:t> </w:t>
      </w:r>
      <w:r>
        <w:rPr>
          <w:w w:val="105"/>
          <w:sz w:val="13"/>
        </w:rPr>
        <w:t>of</w:t>
      </w:r>
      <w:r>
        <w:rPr>
          <w:spacing w:val="8"/>
          <w:w w:val="105"/>
          <w:sz w:val="13"/>
        </w:rPr>
        <w:t> </w:t>
      </w:r>
      <w:r>
        <w:rPr>
          <w:w w:val="105"/>
          <w:sz w:val="13"/>
        </w:rPr>
        <w:t>Planning</w:t>
      </w:r>
      <w:r>
        <w:rPr>
          <w:spacing w:val="8"/>
          <w:w w:val="105"/>
          <w:sz w:val="13"/>
        </w:rPr>
        <w:t> </w:t>
      </w:r>
      <w:r>
        <w:rPr>
          <w:w w:val="105"/>
          <w:sz w:val="13"/>
        </w:rPr>
        <w:t>and</w:t>
      </w:r>
      <w:r>
        <w:rPr>
          <w:spacing w:val="8"/>
          <w:w w:val="105"/>
          <w:sz w:val="13"/>
        </w:rPr>
        <w:t> </w:t>
      </w:r>
      <w:r>
        <w:rPr>
          <w:w w:val="105"/>
          <w:sz w:val="13"/>
        </w:rPr>
        <w:t>Community</w:t>
      </w:r>
      <w:r>
        <w:rPr>
          <w:spacing w:val="8"/>
          <w:w w:val="105"/>
          <w:sz w:val="13"/>
        </w:rPr>
        <w:t> </w:t>
      </w:r>
      <w:r>
        <w:rPr>
          <w:w w:val="105"/>
          <w:sz w:val="13"/>
        </w:rPr>
        <w:t>Development</w:t>
      </w:r>
      <w:r>
        <w:rPr>
          <w:spacing w:val="8"/>
          <w:w w:val="105"/>
          <w:sz w:val="13"/>
        </w:rPr>
        <w:t> </w:t>
      </w:r>
      <w:r>
        <w:rPr>
          <w:spacing w:val="2"/>
          <w:w w:val="105"/>
          <w:sz w:val="13"/>
        </w:rPr>
        <w:t>(Vic),</w:t>
      </w:r>
      <w:r>
        <w:rPr>
          <w:spacing w:val="8"/>
          <w:w w:val="105"/>
          <w:sz w:val="13"/>
        </w:rPr>
        <w:t> </w:t>
      </w:r>
      <w:r>
        <w:rPr>
          <w:i/>
          <w:w w:val="105"/>
          <w:sz w:val="13"/>
        </w:rPr>
        <w:t>Planning</w:t>
      </w:r>
      <w:r>
        <w:rPr>
          <w:i/>
          <w:spacing w:val="8"/>
          <w:w w:val="105"/>
          <w:sz w:val="13"/>
        </w:rPr>
        <w:t> </w:t>
      </w:r>
      <w:r>
        <w:rPr>
          <w:i/>
          <w:w w:val="105"/>
          <w:sz w:val="13"/>
        </w:rPr>
        <w:t>Advisory</w:t>
      </w:r>
      <w:r>
        <w:rPr>
          <w:i/>
          <w:spacing w:val="8"/>
          <w:w w:val="105"/>
          <w:sz w:val="13"/>
        </w:rPr>
        <w:t> </w:t>
      </w:r>
      <w:r>
        <w:rPr>
          <w:i/>
          <w:w w:val="105"/>
          <w:sz w:val="13"/>
        </w:rPr>
        <w:t>Note</w:t>
      </w:r>
      <w:r>
        <w:rPr>
          <w:i/>
          <w:spacing w:val="8"/>
          <w:w w:val="105"/>
          <w:sz w:val="13"/>
        </w:rPr>
        <w:t> </w:t>
      </w:r>
      <w:r>
        <w:rPr>
          <w:i/>
          <w:w w:val="105"/>
          <w:sz w:val="13"/>
        </w:rPr>
        <w:t>39—Bushfire</w:t>
      </w:r>
      <w:r>
        <w:rPr>
          <w:i/>
          <w:spacing w:val="7"/>
          <w:w w:val="105"/>
          <w:sz w:val="13"/>
        </w:rPr>
        <w:t> </w:t>
      </w:r>
      <w:r>
        <w:rPr>
          <w:i/>
          <w:w w:val="105"/>
          <w:sz w:val="13"/>
        </w:rPr>
        <w:t>Protection:</w:t>
      </w:r>
      <w:r>
        <w:rPr>
          <w:i/>
          <w:spacing w:val="8"/>
          <w:w w:val="105"/>
          <w:sz w:val="13"/>
        </w:rPr>
        <w:t> </w:t>
      </w:r>
      <w:r>
        <w:rPr>
          <w:i/>
          <w:w w:val="105"/>
          <w:sz w:val="13"/>
        </w:rPr>
        <w:t>Vegetation</w:t>
      </w:r>
      <w:r>
        <w:rPr>
          <w:i/>
          <w:spacing w:val="8"/>
          <w:w w:val="105"/>
          <w:sz w:val="13"/>
        </w:rPr>
        <w:t> </w:t>
      </w:r>
      <w:r>
        <w:rPr>
          <w:i/>
          <w:w w:val="105"/>
          <w:sz w:val="13"/>
        </w:rPr>
        <w:t>Exemptions</w:t>
      </w:r>
    </w:p>
    <w:p>
      <w:pPr>
        <w:spacing w:before="1"/>
        <w:ind w:left="2381" w:right="0" w:firstLine="0"/>
        <w:jc w:val="left"/>
        <w:rPr>
          <w:sz w:val="13"/>
        </w:rPr>
      </w:pPr>
      <w:r>
        <w:rPr>
          <w:w w:val="105"/>
          <w:sz w:val="13"/>
        </w:rPr>
        <w:t>(Practice Document, November 2011) &lt;</w:t>
      </w:r>
      <w:hyperlink r:id="rId260">
        <w:r>
          <w:rPr>
            <w:w w:val="105"/>
            <w:sz w:val="13"/>
          </w:rPr>
          <w:t>www.planning.vic.gov.au/publications/planning-advisory-notes</w:t>
        </w:r>
      </w:hyperlink>
      <w:r>
        <w:rPr>
          <w:w w:val="105"/>
          <w:sz w:val="13"/>
        </w:rPr>
        <w:t>&gt;.</w:t>
      </w:r>
    </w:p>
    <w:p>
      <w:pPr>
        <w:pStyle w:val="ListParagraph"/>
        <w:numPr>
          <w:ilvl w:val="0"/>
          <w:numId w:val="165"/>
        </w:numPr>
        <w:tabs>
          <w:tab w:pos="2381" w:val="left" w:leader="none"/>
          <w:tab w:pos="2382" w:val="left" w:leader="none"/>
        </w:tabs>
        <w:spacing w:line="240" w:lineRule="auto" w:before="1" w:after="0"/>
        <w:ind w:left="2381" w:right="0" w:hanging="794"/>
        <w:jc w:val="left"/>
        <w:rPr>
          <w:sz w:val="13"/>
        </w:rPr>
      </w:pPr>
      <w:r>
        <w:rPr>
          <w:w w:val="105"/>
          <w:sz w:val="13"/>
        </w:rPr>
        <w:t>Consultation 9 (Nillumbik Shire</w:t>
      </w:r>
      <w:r>
        <w:rPr>
          <w:spacing w:val="18"/>
          <w:w w:val="105"/>
          <w:sz w:val="13"/>
        </w:rPr>
        <w:t> </w:t>
      </w:r>
      <w:r>
        <w:rPr>
          <w:w w:val="105"/>
          <w:sz w:val="13"/>
        </w:rPr>
        <w:t>Council).</w:t>
      </w:r>
    </w:p>
    <w:p>
      <w:pPr>
        <w:pStyle w:val="ListParagraph"/>
        <w:numPr>
          <w:ilvl w:val="0"/>
          <w:numId w:val="165"/>
        </w:numPr>
        <w:tabs>
          <w:tab w:pos="2381" w:val="left" w:leader="none"/>
          <w:tab w:pos="2382" w:val="left" w:leader="none"/>
        </w:tabs>
        <w:spacing w:line="240" w:lineRule="auto" w:before="2" w:after="0"/>
        <w:ind w:left="2381" w:right="78" w:hanging="794"/>
        <w:jc w:val="left"/>
        <w:rPr>
          <w:sz w:val="13"/>
        </w:rPr>
      </w:pPr>
      <w:r>
        <w:rPr>
          <w:w w:val="105"/>
          <w:sz w:val="13"/>
        </w:rPr>
        <w:t>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w:t>
      </w:r>
      <w:r>
        <w:rPr>
          <w:spacing w:val="-5"/>
          <w:w w:val="105"/>
          <w:sz w:val="13"/>
        </w:rPr>
        <w:t>52.17. </w:t>
      </w:r>
      <w:r>
        <w:rPr>
          <w:w w:val="105"/>
          <w:sz w:val="13"/>
        </w:rPr>
        <w:t>Particular provisions are specific prerequisites or planning provisions for a range of particular uses and developments. They apply consistently across the state and there is no ability to include in planning schemes particular provisions which are not in the VPP: Department of Environment, Land, Water and Planning </w:t>
      </w:r>
      <w:r>
        <w:rPr>
          <w:spacing w:val="2"/>
          <w:w w:val="105"/>
          <w:sz w:val="13"/>
        </w:rPr>
        <w:t>(Vic), </w:t>
      </w:r>
      <w:r>
        <w:rPr>
          <w:i/>
          <w:w w:val="105"/>
          <w:sz w:val="13"/>
        </w:rPr>
        <w:t>A Practitioner’s Guide to Victorian Planning Schemes </w:t>
      </w:r>
      <w:r>
        <w:rPr>
          <w:w w:val="105"/>
          <w:sz w:val="13"/>
        </w:rPr>
        <w:t>(Version </w:t>
      </w:r>
      <w:r>
        <w:rPr>
          <w:spacing w:val="-5"/>
          <w:w w:val="105"/>
          <w:sz w:val="13"/>
        </w:rPr>
        <w:t>1.1, </w:t>
      </w:r>
      <w:r>
        <w:rPr>
          <w:w w:val="105"/>
          <w:sz w:val="13"/>
        </w:rPr>
        <w:t>October 2018) [3.4] &lt;https://</w:t>
      </w:r>
      <w:hyperlink r:id="rId261">
        <w:r>
          <w:rPr>
            <w:w w:val="105"/>
            <w:sz w:val="13"/>
          </w:rPr>
          <w:t>www.planning.vic.gov.</w:t>
        </w:r>
      </w:hyperlink>
      <w:r>
        <w:rPr>
          <w:w w:val="105"/>
          <w:sz w:val="13"/>
        </w:rPr>
        <w:t> </w:t>
      </w:r>
      <w:r>
        <w:rPr>
          <w:spacing w:val="2"/>
          <w:w w:val="105"/>
          <w:sz w:val="13"/>
        </w:rPr>
        <w:t>au/guide-home/a-practitioners-guide-to-victorian-planning-schemes&gt;.</w:t>
      </w:r>
    </w:p>
    <w:p>
      <w:pPr>
        <w:pStyle w:val="ListParagraph"/>
        <w:numPr>
          <w:ilvl w:val="0"/>
          <w:numId w:val="165"/>
        </w:numPr>
        <w:tabs>
          <w:tab w:pos="2381" w:val="left" w:leader="none"/>
          <w:tab w:pos="2382" w:val="left" w:leader="none"/>
        </w:tabs>
        <w:spacing w:line="240" w:lineRule="auto" w:before="6" w:after="0"/>
        <w:ind w:left="2381" w:right="0" w:hanging="794"/>
        <w:jc w:val="left"/>
        <w:rPr>
          <w:i/>
          <w:sz w:val="13"/>
        </w:rPr>
      </w:pPr>
      <w:r>
        <w:rPr>
          <w:w w:val="105"/>
          <w:sz w:val="13"/>
        </w:rPr>
        <w:t>See</w:t>
      </w:r>
      <w:r>
        <w:rPr>
          <w:spacing w:val="7"/>
          <w:w w:val="105"/>
          <w:sz w:val="13"/>
        </w:rPr>
        <w:t> </w:t>
      </w:r>
      <w:r>
        <w:rPr>
          <w:w w:val="105"/>
          <w:sz w:val="13"/>
        </w:rPr>
        <w:t>Department</w:t>
      </w:r>
      <w:r>
        <w:rPr>
          <w:spacing w:val="7"/>
          <w:w w:val="105"/>
          <w:sz w:val="13"/>
        </w:rPr>
        <w:t> </w:t>
      </w:r>
      <w:r>
        <w:rPr>
          <w:w w:val="105"/>
          <w:sz w:val="13"/>
        </w:rPr>
        <w:t>of</w:t>
      </w:r>
      <w:r>
        <w:rPr>
          <w:spacing w:val="7"/>
          <w:w w:val="105"/>
          <w:sz w:val="13"/>
        </w:rPr>
        <w:t> </w:t>
      </w:r>
      <w:r>
        <w:rPr>
          <w:w w:val="105"/>
          <w:sz w:val="13"/>
        </w:rPr>
        <w:t>Environment,</w:t>
      </w:r>
      <w:r>
        <w:rPr>
          <w:spacing w:val="8"/>
          <w:w w:val="105"/>
          <w:sz w:val="13"/>
        </w:rPr>
        <w:t> </w:t>
      </w:r>
      <w:r>
        <w:rPr>
          <w:w w:val="105"/>
          <w:sz w:val="13"/>
        </w:rPr>
        <w:t>Land,</w:t>
      </w:r>
      <w:r>
        <w:rPr>
          <w:spacing w:val="7"/>
          <w:w w:val="105"/>
          <w:sz w:val="13"/>
        </w:rPr>
        <w:t> </w:t>
      </w:r>
      <w:r>
        <w:rPr>
          <w:w w:val="105"/>
          <w:sz w:val="13"/>
        </w:rPr>
        <w:t>Water</w:t>
      </w:r>
      <w:r>
        <w:rPr>
          <w:spacing w:val="7"/>
          <w:w w:val="105"/>
          <w:sz w:val="13"/>
        </w:rPr>
        <w:t> </w:t>
      </w:r>
      <w:r>
        <w:rPr>
          <w:w w:val="105"/>
          <w:sz w:val="13"/>
        </w:rPr>
        <w:t>and</w:t>
      </w:r>
      <w:r>
        <w:rPr>
          <w:spacing w:val="8"/>
          <w:w w:val="105"/>
          <w:sz w:val="13"/>
        </w:rPr>
        <w:t> </w:t>
      </w:r>
      <w:r>
        <w:rPr>
          <w:w w:val="105"/>
          <w:sz w:val="13"/>
        </w:rPr>
        <w:t>Planning</w:t>
      </w:r>
      <w:r>
        <w:rPr>
          <w:spacing w:val="7"/>
          <w:w w:val="105"/>
          <w:sz w:val="13"/>
        </w:rPr>
        <w:t> </w:t>
      </w:r>
      <w:r>
        <w:rPr>
          <w:spacing w:val="2"/>
          <w:w w:val="105"/>
          <w:sz w:val="13"/>
        </w:rPr>
        <w:t>(Vic),</w:t>
      </w:r>
      <w:r>
        <w:rPr>
          <w:spacing w:val="7"/>
          <w:w w:val="105"/>
          <w:sz w:val="13"/>
        </w:rPr>
        <w:t> </w:t>
      </w:r>
      <w:r>
        <w:rPr>
          <w:i/>
          <w:w w:val="105"/>
          <w:sz w:val="13"/>
        </w:rPr>
        <w:t>Guidelines</w:t>
      </w:r>
      <w:r>
        <w:rPr>
          <w:i/>
          <w:spacing w:val="8"/>
          <w:w w:val="105"/>
          <w:sz w:val="13"/>
        </w:rPr>
        <w:t> </w:t>
      </w:r>
      <w:r>
        <w:rPr>
          <w:i/>
          <w:w w:val="105"/>
          <w:sz w:val="13"/>
        </w:rPr>
        <w:t>for</w:t>
      </w:r>
      <w:r>
        <w:rPr>
          <w:i/>
          <w:spacing w:val="7"/>
          <w:w w:val="105"/>
          <w:sz w:val="13"/>
        </w:rPr>
        <w:t> </w:t>
      </w:r>
      <w:r>
        <w:rPr>
          <w:i/>
          <w:w w:val="105"/>
          <w:sz w:val="13"/>
        </w:rPr>
        <w:t>the</w:t>
      </w:r>
      <w:r>
        <w:rPr>
          <w:i/>
          <w:spacing w:val="7"/>
          <w:w w:val="105"/>
          <w:sz w:val="13"/>
        </w:rPr>
        <w:t> </w:t>
      </w:r>
      <w:r>
        <w:rPr>
          <w:i/>
          <w:w w:val="105"/>
          <w:sz w:val="13"/>
        </w:rPr>
        <w:t>Removal,</w:t>
      </w:r>
      <w:r>
        <w:rPr>
          <w:i/>
          <w:spacing w:val="7"/>
          <w:w w:val="105"/>
          <w:sz w:val="13"/>
        </w:rPr>
        <w:t> </w:t>
      </w:r>
      <w:r>
        <w:rPr>
          <w:i/>
          <w:w w:val="105"/>
          <w:sz w:val="13"/>
        </w:rPr>
        <w:t>Destruction</w:t>
      </w:r>
      <w:r>
        <w:rPr>
          <w:i/>
          <w:spacing w:val="8"/>
          <w:w w:val="105"/>
          <w:sz w:val="13"/>
        </w:rPr>
        <w:t> </w:t>
      </w:r>
      <w:r>
        <w:rPr>
          <w:i/>
          <w:w w:val="105"/>
          <w:sz w:val="13"/>
        </w:rPr>
        <w:t>or</w:t>
      </w:r>
      <w:r>
        <w:rPr>
          <w:i/>
          <w:spacing w:val="7"/>
          <w:w w:val="105"/>
          <w:sz w:val="13"/>
        </w:rPr>
        <w:t> </w:t>
      </w:r>
      <w:r>
        <w:rPr>
          <w:i/>
          <w:w w:val="105"/>
          <w:sz w:val="13"/>
        </w:rPr>
        <w:t>Lopping</w:t>
      </w:r>
      <w:r>
        <w:rPr>
          <w:i/>
          <w:spacing w:val="7"/>
          <w:w w:val="105"/>
          <w:sz w:val="13"/>
        </w:rPr>
        <w:t> </w:t>
      </w:r>
      <w:r>
        <w:rPr>
          <w:i/>
          <w:w w:val="105"/>
          <w:sz w:val="13"/>
        </w:rPr>
        <w:t>of</w:t>
      </w:r>
      <w:r>
        <w:rPr>
          <w:i/>
          <w:spacing w:val="8"/>
          <w:w w:val="105"/>
          <w:sz w:val="13"/>
        </w:rPr>
        <w:t> </w:t>
      </w:r>
      <w:r>
        <w:rPr>
          <w:i/>
          <w:w w:val="105"/>
          <w:sz w:val="13"/>
        </w:rPr>
        <w:t>Native</w:t>
      </w:r>
      <w:r>
        <w:rPr>
          <w:i/>
          <w:spacing w:val="7"/>
          <w:w w:val="105"/>
          <w:sz w:val="13"/>
        </w:rPr>
        <w:t> </w:t>
      </w:r>
      <w:r>
        <w:rPr>
          <w:i/>
          <w:w w:val="105"/>
          <w:sz w:val="13"/>
        </w:rPr>
        <w:t>Vegetation</w:t>
      </w:r>
    </w:p>
    <w:p>
      <w:pPr>
        <w:spacing w:before="2"/>
        <w:ind w:left="2381" w:right="0" w:firstLine="0"/>
        <w:jc w:val="left"/>
        <w:rPr>
          <w:sz w:val="13"/>
        </w:rPr>
      </w:pPr>
      <w:r>
        <w:rPr>
          <w:w w:val="105"/>
          <w:sz w:val="13"/>
        </w:rPr>
        <w:t>(Practice Document, December 2017).</w:t>
      </w:r>
    </w:p>
    <w:p>
      <w:pPr>
        <w:pStyle w:val="ListParagraph"/>
        <w:numPr>
          <w:ilvl w:val="0"/>
          <w:numId w:val="165"/>
        </w:numPr>
        <w:tabs>
          <w:tab w:pos="2381" w:val="left" w:leader="none"/>
          <w:tab w:pos="2382" w:val="left" w:leader="none"/>
        </w:tabs>
        <w:spacing w:line="240" w:lineRule="auto" w:before="1" w:after="0"/>
        <w:ind w:left="2381" w:right="0" w:hanging="794"/>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6"/>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6"/>
          <w:w w:val="105"/>
          <w:sz w:val="13"/>
        </w:rPr>
        <w:t> </w:t>
      </w:r>
      <w:r>
        <w:rPr>
          <w:i/>
          <w:w w:val="105"/>
          <w:sz w:val="13"/>
        </w:rPr>
        <w:t>Victoria</w:t>
      </w:r>
      <w:r>
        <w:rPr>
          <w:i/>
          <w:spacing w:val="5"/>
          <w:w w:val="105"/>
          <w:sz w:val="13"/>
        </w:rPr>
        <w:t> </w:t>
      </w:r>
      <w:r>
        <w:rPr>
          <w:i/>
          <w:w w:val="105"/>
          <w:sz w:val="13"/>
        </w:rPr>
        <w:t>Planning</w:t>
      </w:r>
      <w:r>
        <w:rPr>
          <w:i/>
          <w:spacing w:val="5"/>
          <w:w w:val="105"/>
          <w:sz w:val="13"/>
        </w:rPr>
        <w:t> </w:t>
      </w:r>
      <w:r>
        <w:rPr>
          <w:i/>
          <w:w w:val="105"/>
          <w:sz w:val="13"/>
        </w:rPr>
        <w:t>Provisions</w:t>
      </w:r>
      <w:r>
        <w:rPr>
          <w:i/>
          <w:spacing w:val="5"/>
          <w:w w:val="105"/>
          <w:sz w:val="13"/>
        </w:rPr>
        <w:t> </w:t>
      </w:r>
      <w:r>
        <w:rPr>
          <w:spacing w:val="-5"/>
          <w:w w:val="105"/>
          <w:sz w:val="13"/>
        </w:rPr>
        <w:t>(11</w:t>
      </w:r>
      <w:r>
        <w:rPr>
          <w:spacing w:val="6"/>
          <w:w w:val="105"/>
          <w:sz w:val="13"/>
        </w:rPr>
        <w:t> </w:t>
      </w:r>
      <w:r>
        <w:rPr>
          <w:w w:val="105"/>
          <w:sz w:val="13"/>
        </w:rPr>
        <w:t>April</w:t>
      </w:r>
      <w:r>
        <w:rPr>
          <w:spacing w:val="5"/>
          <w:w w:val="105"/>
          <w:sz w:val="13"/>
        </w:rPr>
        <w:t> </w:t>
      </w:r>
      <w:r>
        <w:rPr>
          <w:w w:val="105"/>
          <w:sz w:val="13"/>
        </w:rPr>
        <w:t>2019),</w:t>
      </w:r>
      <w:r>
        <w:rPr>
          <w:spacing w:val="5"/>
          <w:w w:val="105"/>
          <w:sz w:val="13"/>
        </w:rPr>
        <w:t> </w:t>
      </w:r>
      <w:r>
        <w:rPr>
          <w:w w:val="105"/>
          <w:sz w:val="13"/>
        </w:rPr>
        <w:t>cl</w:t>
      </w:r>
      <w:r>
        <w:rPr>
          <w:spacing w:val="5"/>
          <w:w w:val="105"/>
          <w:sz w:val="13"/>
        </w:rPr>
        <w:t> </w:t>
      </w:r>
      <w:r>
        <w:rPr>
          <w:spacing w:val="-5"/>
          <w:w w:val="105"/>
          <w:sz w:val="13"/>
        </w:rPr>
        <w:t>52.17.</w:t>
      </w:r>
    </w:p>
    <w:p>
      <w:pPr>
        <w:pStyle w:val="ListParagraph"/>
        <w:numPr>
          <w:ilvl w:val="0"/>
          <w:numId w:val="165"/>
        </w:numPr>
        <w:tabs>
          <w:tab w:pos="2381" w:val="left" w:leader="none"/>
          <w:tab w:pos="2382" w:val="left" w:leader="none"/>
        </w:tabs>
        <w:spacing w:line="240" w:lineRule="auto" w:before="1" w:after="0"/>
        <w:ind w:left="2381" w:right="0" w:hanging="794"/>
        <w:jc w:val="left"/>
        <w:rPr>
          <w:i/>
          <w:sz w:val="13"/>
        </w:rPr>
      </w:pPr>
      <w:r>
        <w:rPr>
          <w:w w:val="105"/>
          <w:sz w:val="13"/>
        </w:rPr>
        <w:t>See</w:t>
      </w:r>
      <w:r>
        <w:rPr>
          <w:spacing w:val="7"/>
          <w:w w:val="105"/>
          <w:sz w:val="13"/>
        </w:rPr>
        <w:t> </w:t>
      </w:r>
      <w:r>
        <w:rPr>
          <w:w w:val="105"/>
          <w:sz w:val="13"/>
        </w:rPr>
        <w:t>Department</w:t>
      </w:r>
      <w:r>
        <w:rPr>
          <w:spacing w:val="7"/>
          <w:w w:val="105"/>
          <w:sz w:val="13"/>
        </w:rPr>
        <w:t> </w:t>
      </w:r>
      <w:r>
        <w:rPr>
          <w:w w:val="105"/>
          <w:sz w:val="13"/>
        </w:rPr>
        <w:t>of</w:t>
      </w:r>
      <w:r>
        <w:rPr>
          <w:spacing w:val="8"/>
          <w:w w:val="105"/>
          <w:sz w:val="13"/>
        </w:rPr>
        <w:t> </w:t>
      </w:r>
      <w:r>
        <w:rPr>
          <w:w w:val="105"/>
          <w:sz w:val="13"/>
        </w:rPr>
        <w:t>Environment,</w:t>
      </w:r>
      <w:r>
        <w:rPr>
          <w:spacing w:val="7"/>
          <w:w w:val="105"/>
          <w:sz w:val="13"/>
        </w:rPr>
        <w:t> </w:t>
      </w:r>
      <w:r>
        <w:rPr>
          <w:w w:val="105"/>
          <w:sz w:val="13"/>
        </w:rPr>
        <w:t>Land,</w:t>
      </w:r>
      <w:r>
        <w:rPr>
          <w:spacing w:val="7"/>
          <w:w w:val="105"/>
          <w:sz w:val="13"/>
        </w:rPr>
        <w:t> </w:t>
      </w:r>
      <w:r>
        <w:rPr>
          <w:w w:val="105"/>
          <w:sz w:val="13"/>
        </w:rPr>
        <w:t>Water</w:t>
      </w:r>
      <w:r>
        <w:rPr>
          <w:spacing w:val="8"/>
          <w:w w:val="105"/>
          <w:sz w:val="13"/>
        </w:rPr>
        <w:t> </w:t>
      </w:r>
      <w:r>
        <w:rPr>
          <w:w w:val="105"/>
          <w:sz w:val="13"/>
        </w:rPr>
        <w:t>and</w:t>
      </w:r>
      <w:r>
        <w:rPr>
          <w:spacing w:val="7"/>
          <w:w w:val="105"/>
          <w:sz w:val="13"/>
        </w:rPr>
        <w:t> </w:t>
      </w:r>
      <w:r>
        <w:rPr>
          <w:w w:val="105"/>
          <w:sz w:val="13"/>
        </w:rPr>
        <w:t>Planning</w:t>
      </w:r>
      <w:r>
        <w:rPr>
          <w:spacing w:val="7"/>
          <w:w w:val="105"/>
          <w:sz w:val="13"/>
        </w:rPr>
        <w:t> </w:t>
      </w:r>
      <w:r>
        <w:rPr>
          <w:spacing w:val="2"/>
          <w:w w:val="105"/>
          <w:sz w:val="13"/>
        </w:rPr>
        <w:t>(Vic),</w:t>
      </w:r>
      <w:r>
        <w:rPr>
          <w:spacing w:val="8"/>
          <w:w w:val="105"/>
          <w:sz w:val="13"/>
        </w:rPr>
        <w:t> </w:t>
      </w:r>
      <w:r>
        <w:rPr>
          <w:i/>
          <w:w w:val="105"/>
          <w:sz w:val="13"/>
        </w:rPr>
        <w:t>Guidelines</w:t>
      </w:r>
      <w:r>
        <w:rPr>
          <w:i/>
          <w:spacing w:val="7"/>
          <w:w w:val="105"/>
          <w:sz w:val="13"/>
        </w:rPr>
        <w:t> </w:t>
      </w:r>
      <w:r>
        <w:rPr>
          <w:i/>
          <w:w w:val="105"/>
          <w:sz w:val="13"/>
        </w:rPr>
        <w:t>for</w:t>
      </w:r>
      <w:r>
        <w:rPr>
          <w:i/>
          <w:spacing w:val="7"/>
          <w:w w:val="105"/>
          <w:sz w:val="13"/>
        </w:rPr>
        <w:t> </w:t>
      </w:r>
      <w:r>
        <w:rPr>
          <w:i/>
          <w:w w:val="105"/>
          <w:sz w:val="13"/>
        </w:rPr>
        <w:t>the</w:t>
      </w:r>
      <w:r>
        <w:rPr>
          <w:i/>
          <w:spacing w:val="8"/>
          <w:w w:val="105"/>
          <w:sz w:val="13"/>
        </w:rPr>
        <w:t> </w:t>
      </w:r>
      <w:r>
        <w:rPr>
          <w:i/>
          <w:w w:val="105"/>
          <w:sz w:val="13"/>
        </w:rPr>
        <w:t>Removal,</w:t>
      </w:r>
      <w:r>
        <w:rPr>
          <w:i/>
          <w:spacing w:val="7"/>
          <w:w w:val="105"/>
          <w:sz w:val="13"/>
        </w:rPr>
        <w:t> </w:t>
      </w:r>
      <w:r>
        <w:rPr>
          <w:i/>
          <w:w w:val="105"/>
          <w:sz w:val="13"/>
        </w:rPr>
        <w:t>Destruction</w:t>
      </w:r>
      <w:r>
        <w:rPr>
          <w:i/>
          <w:spacing w:val="7"/>
          <w:w w:val="105"/>
          <w:sz w:val="13"/>
        </w:rPr>
        <w:t> </w:t>
      </w:r>
      <w:r>
        <w:rPr>
          <w:i/>
          <w:w w:val="105"/>
          <w:sz w:val="13"/>
        </w:rPr>
        <w:t>or</w:t>
      </w:r>
      <w:r>
        <w:rPr>
          <w:i/>
          <w:spacing w:val="8"/>
          <w:w w:val="105"/>
          <w:sz w:val="13"/>
        </w:rPr>
        <w:t> </w:t>
      </w:r>
      <w:r>
        <w:rPr>
          <w:i/>
          <w:w w:val="105"/>
          <w:sz w:val="13"/>
        </w:rPr>
        <w:t>Lopping</w:t>
      </w:r>
      <w:r>
        <w:rPr>
          <w:i/>
          <w:spacing w:val="7"/>
          <w:w w:val="105"/>
          <w:sz w:val="13"/>
        </w:rPr>
        <w:t> </w:t>
      </w:r>
      <w:r>
        <w:rPr>
          <w:i/>
          <w:w w:val="105"/>
          <w:sz w:val="13"/>
        </w:rPr>
        <w:t>of</w:t>
      </w:r>
      <w:r>
        <w:rPr>
          <w:i/>
          <w:spacing w:val="7"/>
          <w:w w:val="105"/>
          <w:sz w:val="13"/>
        </w:rPr>
        <w:t> </w:t>
      </w:r>
      <w:r>
        <w:rPr>
          <w:i/>
          <w:w w:val="105"/>
          <w:sz w:val="13"/>
        </w:rPr>
        <w:t>Native</w:t>
      </w:r>
      <w:r>
        <w:rPr>
          <w:i/>
          <w:spacing w:val="8"/>
          <w:w w:val="105"/>
          <w:sz w:val="13"/>
        </w:rPr>
        <w:t> </w:t>
      </w:r>
      <w:r>
        <w:rPr>
          <w:i/>
          <w:w w:val="105"/>
          <w:sz w:val="13"/>
        </w:rPr>
        <w:t>Vegetation</w:t>
      </w:r>
    </w:p>
    <w:p>
      <w:pPr>
        <w:spacing w:before="2"/>
        <w:ind w:left="2381" w:right="0" w:firstLine="0"/>
        <w:jc w:val="left"/>
        <w:rPr>
          <w:sz w:val="13"/>
        </w:rPr>
      </w:pPr>
      <w:r>
        <w:rPr>
          <w:w w:val="105"/>
          <w:sz w:val="13"/>
        </w:rPr>
        <w:t>(Practice Document, December 2017) 13–18.</w:t>
      </w:r>
    </w:p>
    <w:p>
      <w:pPr>
        <w:pStyle w:val="ListParagraph"/>
        <w:numPr>
          <w:ilvl w:val="0"/>
          <w:numId w:val="165"/>
        </w:numPr>
        <w:tabs>
          <w:tab w:pos="2381" w:val="left" w:leader="none"/>
          <w:tab w:pos="2382" w:val="left" w:leader="none"/>
        </w:tabs>
        <w:spacing w:line="240" w:lineRule="auto" w:before="1" w:after="0"/>
        <w:ind w:left="2381" w:right="0" w:hanging="794"/>
        <w:jc w:val="left"/>
        <w:rPr>
          <w:sz w:val="13"/>
        </w:rPr>
      </w:pPr>
      <w:r>
        <w:rPr>
          <w:sz w:val="13"/>
        </w:rPr>
        <w:t>See Ibid</w:t>
      </w:r>
      <w:r>
        <w:rPr>
          <w:spacing w:val="12"/>
          <w:sz w:val="13"/>
        </w:rPr>
        <w:t> </w:t>
      </w:r>
      <w:r>
        <w:rPr>
          <w:sz w:val="13"/>
        </w:rPr>
        <w:t>15.</w:t>
      </w:r>
    </w:p>
    <w:p>
      <w:pPr>
        <w:pStyle w:val="ListParagraph"/>
        <w:numPr>
          <w:ilvl w:val="0"/>
          <w:numId w:val="165"/>
        </w:numPr>
        <w:tabs>
          <w:tab w:pos="2381" w:val="left" w:leader="none"/>
          <w:tab w:pos="2382" w:val="left" w:leader="none"/>
        </w:tabs>
        <w:spacing w:line="240" w:lineRule="auto" w:before="1" w:after="0"/>
        <w:ind w:left="2381" w:right="174" w:hanging="794"/>
        <w:jc w:val="left"/>
        <w:rPr>
          <w:sz w:val="13"/>
        </w:rPr>
      </w:pPr>
      <w:r>
        <w:rPr>
          <w:w w:val="105"/>
          <w:sz w:val="13"/>
        </w:rPr>
        <w:t>Department of Environment, Land, Water and Planning </w:t>
      </w:r>
      <w:r>
        <w:rPr>
          <w:spacing w:val="2"/>
          <w:w w:val="105"/>
          <w:sz w:val="13"/>
        </w:rPr>
        <w:t>(Vic), </w:t>
      </w:r>
      <w:r>
        <w:rPr>
          <w:i/>
          <w:w w:val="105"/>
          <w:sz w:val="13"/>
        </w:rPr>
        <w:t>Planning Practice Note No </w:t>
      </w:r>
      <w:r>
        <w:rPr>
          <w:i/>
          <w:spacing w:val="-3"/>
          <w:w w:val="105"/>
          <w:sz w:val="13"/>
        </w:rPr>
        <w:t>7: </w:t>
      </w:r>
      <w:r>
        <w:rPr>
          <w:i/>
          <w:w w:val="105"/>
          <w:sz w:val="13"/>
        </w:rPr>
        <w:t>Vegetation Protection in Urban Areas, </w:t>
      </w:r>
      <w:r>
        <w:rPr>
          <w:w w:val="105"/>
          <w:sz w:val="13"/>
        </w:rPr>
        <w:t>August 1999, 4</w:t>
      </w:r>
      <w:r>
        <w:rPr>
          <w:spacing w:val="11"/>
          <w:w w:val="105"/>
          <w:sz w:val="13"/>
        </w:rPr>
        <w:t> </w:t>
      </w:r>
      <w:r>
        <w:rPr>
          <w:w w:val="105"/>
          <w:sz w:val="13"/>
        </w:rPr>
        <w:t>&lt;</w:t>
      </w:r>
      <w:hyperlink r:id="rId206">
        <w:r>
          <w:rPr>
            <w:w w:val="105"/>
            <w:sz w:val="13"/>
          </w:rPr>
          <w:t>www.planning.vic.gov.au/publications/planning-practice-notes</w:t>
        </w:r>
      </w:hyperlink>
      <w:r>
        <w:rPr>
          <w:w w:val="105"/>
          <w:sz w:val="13"/>
        </w:rPr>
        <w:t>&gt;.</w:t>
      </w:r>
    </w:p>
    <w:p>
      <w:pPr>
        <w:pStyle w:val="ListParagraph"/>
        <w:numPr>
          <w:ilvl w:val="0"/>
          <w:numId w:val="165"/>
        </w:numPr>
        <w:tabs>
          <w:tab w:pos="2381" w:val="left" w:leader="none"/>
          <w:tab w:pos="2382" w:val="left" w:leader="none"/>
        </w:tabs>
        <w:spacing w:line="240" w:lineRule="auto" w:before="3" w:after="0"/>
        <w:ind w:left="2381" w:right="83" w:hanging="794"/>
        <w:jc w:val="left"/>
        <w:rPr>
          <w:sz w:val="13"/>
        </w:rPr>
      </w:pPr>
      <w:r>
        <w:rPr>
          <w:w w:val="105"/>
          <w:sz w:val="13"/>
        </w:rPr>
        <w:t>Native vegetation is defined as ‘plants that are indigenous to Victoria, including trees, shrubs, herbs, and grasses: 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73.01 ‘General Terms’. </w:t>
      </w:r>
      <w:r>
        <w:rPr>
          <w:i/>
          <w:w w:val="105"/>
          <w:sz w:val="13"/>
        </w:rPr>
        <w:t>The Guidelines for The </w:t>
      </w:r>
      <w:r>
        <w:rPr>
          <w:i/>
          <w:w w:val="105"/>
          <w:sz w:val="13"/>
        </w:rPr>
        <w:t>Removal,</w:t>
      </w:r>
      <w:r>
        <w:rPr>
          <w:i/>
          <w:spacing w:val="4"/>
          <w:w w:val="105"/>
          <w:sz w:val="13"/>
        </w:rPr>
        <w:t> </w:t>
      </w:r>
      <w:r>
        <w:rPr>
          <w:i/>
          <w:w w:val="105"/>
          <w:sz w:val="13"/>
        </w:rPr>
        <w:t>Destruction</w:t>
      </w:r>
      <w:r>
        <w:rPr>
          <w:i/>
          <w:spacing w:val="5"/>
          <w:w w:val="105"/>
          <w:sz w:val="13"/>
        </w:rPr>
        <w:t> </w:t>
      </w:r>
      <w:r>
        <w:rPr>
          <w:i/>
          <w:w w:val="105"/>
          <w:sz w:val="13"/>
        </w:rPr>
        <w:t>or</w:t>
      </w:r>
      <w:r>
        <w:rPr>
          <w:i/>
          <w:spacing w:val="5"/>
          <w:w w:val="105"/>
          <w:sz w:val="13"/>
        </w:rPr>
        <w:t> </w:t>
      </w:r>
      <w:r>
        <w:rPr>
          <w:i/>
          <w:w w:val="105"/>
          <w:sz w:val="13"/>
        </w:rPr>
        <w:t>Lopping</w:t>
      </w:r>
      <w:r>
        <w:rPr>
          <w:i/>
          <w:spacing w:val="5"/>
          <w:w w:val="105"/>
          <w:sz w:val="13"/>
        </w:rPr>
        <w:t> </w:t>
      </w:r>
      <w:r>
        <w:rPr>
          <w:i/>
          <w:w w:val="105"/>
          <w:sz w:val="13"/>
        </w:rPr>
        <w:t>of</w:t>
      </w:r>
      <w:r>
        <w:rPr>
          <w:i/>
          <w:spacing w:val="5"/>
          <w:w w:val="105"/>
          <w:sz w:val="13"/>
        </w:rPr>
        <w:t> </w:t>
      </w:r>
      <w:r>
        <w:rPr>
          <w:i/>
          <w:w w:val="105"/>
          <w:sz w:val="13"/>
        </w:rPr>
        <w:t>Native</w:t>
      </w:r>
      <w:r>
        <w:rPr>
          <w:i/>
          <w:spacing w:val="5"/>
          <w:w w:val="105"/>
          <w:sz w:val="13"/>
        </w:rPr>
        <w:t> </w:t>
      </w:r>
      <w:r>
        <w:rPr>
          <w:i/>
          <w:w w:val="105"/>
          <w:sz w:val="13"/>
        </w:rPr>
        <w:t>Vegetation</w:t>
      </w:r>
      <w:r>
        <w:rPr>
          <w:i/>
          <w:spacing w:val="4"/>
          <w:w w:val="105"/>
          <w:sz w:val="13"/>
        </w:rPr>
        <w:t> </w:t>
      </w:r>
      <w:r>
        <w:rPr>
          <w:w w:val="105"/>
          <w:sz w:val="13"/>
        </w:rPr>
        <w:t>(2017)</w:t>
      </w:r>
      <w:r>
        <w:rPr>
          <w:spacing w:val="5"/>
          <w:w w:val="105"/>
          <w:sz w:val="13"/>
        </w:rPr>
        <w:t> </w:t>
      </w:r>
      <w:r>
        <w:rPr>
          <w:w w:val="105"/>
          <w:sz w:val="13"/>
        </w:rPr>
        <w:t>further</w:t>
      </w:r>
      <w:r>
        <w:rPr>
          <w:spacing w:val="5"/>
          <w:w w:val="105"/>
          <w:sz w:val="13"/>
        </w:rPr>
        <w:t> </w:t>
      </w:r>
      <w:r>
        <w:rPr>
          <w:w w:val="105"/>
          <w:sz w:val="13"/>
        </w:rPr>
        <w:t>classify</w:t>
      </w:r>
      <w:r>
        <w:rPr>
          <w:spacing w:val="5"/>
          <w:w w:val="105"/>
          <w:sz w:val="13"/>
        </w:rPr>
        <w:t> </w:t>
      </w:r>
      <w:r>
        <w:rPr>
          <w:w w:val="105"/>
          <w:sz w:val="13"/>
        </w:rPr>
        <w:t>native</w:t>
      </w:r>
      <w:r>
        <w:rPr>
          <w:spacing w:val="5"/>
          <w:w w:val="105"/>
          <w:sz w:val="13"/>
        </w:rPr>
        <w:t> </w:t>
      </w:r>
      <w:r>
        <w:rPr>
          <w:w w:val="105"/>
          <w:sz w:val="13"/>
        </w:rPr>
        <w:t>vegetation</w:t>
      </w:r>
      <w:r>
        <w:rPr>
          <w:spacing w:val="5"/>
          <w:w w:val="105"/>
          <w:sz w:val="13"/>
        </w:rPr>
        <w:t> </w:t>
      </w:r>
      <w:r>
        <w:rPr>
          <w:w w:val="105"/>
          <w:sz w:val="13"/>
        </w:rPr>
        <w:t>as</w:t>
      </w:r>
      <w:r>
        <w:rPr>
          <w:spacing w:val="4"/>
          <w:w w:val="105"/>
          <w:sz w:val="13"/>
        </w:rPr>
        <w:t> </w:t>
      </w:r>
      <w:r>
        <w:rPr>
          <w:w w:val="105"/>
          <w:sz w:val="13"/>
        </w:rPr>
        <w:t>a</w:t>
      </w:r>
      <w:r>
        <w:rPr>
          <w:spacing w:val="5"/>
          <w:w w:val="105"/>
          <w:sz w:val="13"/>
        </w:rPr>
        <w:t> </w:t>
      </w:r>
      <w:r>
        <w:rPr>
          <w:w w:val="105"/>
          <w:sz w:val="13"/>
        </w:rPr>
        <w:t>patch</w:t>
      </w:r>
      <w:r>
        <w:rPr>
          <w:spacing w:val="5"/>
          <w:w w:val="105"/>
          <w:sz w:val="13"/>
        </w:rPr>
        <w:t> </w:t>
      </w:r>
      <w:r>
        <w:rPr>
          <w:w w:val="105"/>
          <w:sz w:val="13"/>
        </w:rPr>
        <w:t>or</w:t>
      </w:r>
      <w:r>
        <w:rPr>
          <w:spacing w:val="5"/>
          <w:w w:val="105"/>
          <w:sz w:val="13"/>
        </w:rPr>
        <w:t> </w:t>
      </w:r>
      <w:r>
        <w:rPr>
          <w:w w:val="105"/>
          <w:sz w:val="13"/>
        </w:rPr>
        <w:t>a</w:t>
      </w:r>
      <w:r>
        <w:rPr>
          <w:spacing w:val="5"/>
          <w:w w:val="105"/>
          <w:sz w:val="13"/>
        </w:rPr>
        <w:t> </w:t>
      </w:r>
      <w:r>
        <w:rPr>
          <w:w w:val="105"/>
          <w:sz w:val="13"/>
        </w:rPr>
        <w:t>scattered</w:t>
      </w:r>
      <w:r>
        <w:rPr>
          <w:spacing w:val="5"/>
          <w:w w:val="105"/>
          <w:sz w:val="13"/>
        </w:rPr>
        <w:t> </w:t>
      </w:r>
      <w:r>
        <w:rPr>
          <w:w w:val="105"/>
          <w:sz w:val="13"/>
        </w:rPr>
        <w:t>tree:</w:t>
      </w:r>
      <w:r>
        <w:rPr>
          <w:spacing w:val="4"/>
          <w:w w:val="105"/>
          <w:sz w:val="13"/>
        </w:rPr>
        <w:t> </w:t>
      </w:r>
      <w:r>
        <w:rPr>
          <w:w w:val="105"/>
          <w:sz w:val="13"/>
        </w:rPr>
        <w:t>[3.1].</w:t>
      </w:r>
    </w:p>
    <w:p>
      <w:pPr>
        <w:pStyle w:val="ListParagraph"/>
        <w:numPr>
          <w:ilvl w:val="0"/>
          <w:numId w:val="165"/>
        </w:numPr>
        <w:tabs>
          <w:tab w:pos="2381" w:val="left" w:leader="none"/>
          <w:tab w:pos="2382" w:val="left" w:leader="none"/>
        </w:tabs>
        <w:spacing w:line="240" w:lineRule="auto" w:before="4" w:after="0"/>
        <w:ind w:left="2381" w:right="0" w:hanging="794"/>
        <w:jc w:val="left"/>
        <w:rPr>
          <w:sz w:val="13"/>
        </w:rPr>
      </w:pPr>
      <w:r>
        <w:rPr>
          <w:w w:val="105"/>
          <w:sz w:val="13"/>
        </w:rPr>
        <w:t>Department</w:t>
      </w:r>
      <w:r>
        <w:rPr>
          <w:spacing w:val="6"/>
          <w:w w:val="105"/>
          <w:sz w:val="13"/>
        </w:rPr>
        <w:t> </w:t>
      </w:r>
      <w:r>
        <w:rPr>
          <w:w w:val="105"/>
          <w:sz w:val="13"/>
        </w:rPr>
        <w:t>of</w:t>
      </w:r>
      <w:r>
        <w:rPr>
          <w:spacing w:val="6"/>
          <w:w w:val="105"/>
          <w:sz w:val="13"/>
        </w:rPr>
        <w:t> </w:t>
      </w:r>
      <w:r>
        <w:rPr>
          <w:w w:val="105"/>
          <w:sz w:val="13"/>
        </w:rPr>
        <w:t>Environment,</w:t>
      </w:r>
      <w:r>
        <w:rPr>
          <w:spacing w:val="6"/>
          <w:w w:val="105"/>
          <w:sz w:val="13"/>
        </w:rPr>
        <w:t> </w:t>
      </w:r>
      <w:r>
        <w:rPr>
          <w:w w:val="105"/>
          <w:sz w:val="13"/>
        </w:rPr>
        <w:t>Land,</w:t>
      </w:r>
      <w:r>
        <w:rPr>
          <w:spacing w:val="6"/>
          <w:w w:val="105"/>
          <w:sz w:val="13"/>
        </w:rPr>
        <w:t> </w:t>
      </w:r>
      <w:r>
        <w:rPr>
          <w:w w:val="105"/>
          <w:sz w:val="13"/>
        </w:rPr>
        <w:t>Water</w:t>
      </w:r>
      <w:r>
        <w:rPr>
          <w:spacing w:val="6"/>
          <w:w w:val="105"/>
          <w:sz w:val="13"/>
        </w:rPr>
        <w:t> </w:t>
      </w:r>
      <w:r>
        <w:rPr>
          <w:w w:val="105"/>
          <w:sz w:val="13"/>
        </w:rPr>
        <w:t>and</w:t>
      </w:r>
      <w:r>
        <w:rPr>
          <w:spacing w:val="6"/>
          <w:w w:val="105"/>
          <w:sz w:val="13"/>
        </w:rPr>
        <w:t> </w:t>
      </w:r>
      <w:r>
        <w:rPr>
          <w:w w:val="105"/>
          <w:sz w:val="13"/>
        </w:rPr>
        <w:t>Planning</w:t>
      </w:r>
      <w:r>
        <w:rPr>
          <w:spacing w:val="7"/>
          <w:w w:val="105"/>
          <w:sz w:val="13"/>
        </w:rPr>
        <w:t> </w:t>
      </w:r>
      <w:r>
        <w:rPr>
          <w:spacing w:val="2"/>
          <w:w w:val="105"/>
          <w:sz w:val="13"/>
        </w:rPr>
        <w:t>(Vic),</w:t>
      </w:r>
      <w:r>
        <w:rPr>
          <w:spacing w:val="6"/>
          <w:w w:val="105"/>
          <w:sz w:val="13"/>
        </w:rPr>
        <w:t> </w:t>
      </w:r>
      <w:r>
        <w:rPr>
          <w:i/>
          <w:w w:val="105"/>
          <w:sz w:val="13"/>
        </w:rPr>
        <w:t>Victoria</w:t>
      </w:r>
      <w:r>
        <w:rPr>
          <w:i/>
          <w:spacing w:val="6"/>
          <w:w w:val="105"/>
          <w:sz w:val="13"/>
        </w:rPr>
        <w:t> </w:t>
      </w:r>
      <w:r>
        <w:rPr>
          <w:i/>
          <w:w w:val="105"/>
          <w:sz w:val="13"/>
        </w:rPr>
        <w:t>Planning</w:t>
      </w:r>
      <w:r>
        <w:rPr>
          <w:i/>
          <w:spacing w:val="6"/>
          <w:w w:val="105"/>
          <w:sz w:val="13"/>
        </w:rPr>
        <w:t> </w:t>
      </w:r>
      <w:r>
        <w:rPr>
          <w:i/>
          <w:w w:val="105"/>
          <w:sz w:val="13"/>
        </w:rPr>
        <w:t>Provisions</w:t>
      </w:r>
      <w:r>
        <w:rPr>
          <w:i/>
          <w:spacing w:val="6"/>
          <w:w w:val="105"/>
          <w:sz w:val="13"/>
        </w:rPr>
        <w:t> </w:t>
      </w:r>
      <w:r>
        <w:rPr>
          <w:spacing w:val="-5"/>
          <w:w w:val="105"/>
          <w:sz w:val="13"/>
        </w:rPr>
        <w:t>(11</w:t>
      </w:r>
      <w:r>
        <w:rPr>
          <w:spacing w:val="6"/>
          <w:w w:val="105"/>
          <w:sz w:val="13"/>
        </w:rPr>
        <w:t> </w:t>
      </w:r>
      <w:r>
        <w:rPr>
          <w:w w:val="105"/>
          <w:sz w:val="13"/>
        </w:rPr>
        <w:t>April</w:t>
      </w:r>
      <w:r>
        <w:rPr>
          <w:spacing w:val="7"/>
          <w:w w:val="105"/>
          <w:sz w:val="13"/>
        </w:rPr>
        <w:t> </w:t>
      </w:r>
      <w:r>
        <w:rPr>
          <w:w w:val="105"/>
          <w:sz w:val="13"/>
        </w:rPr>
        <w:t>2019),</w:t>
      </w:r>
      <w:r>
        <w:rPr>
          <w:spacing w:val="6"/>
          <w:w w:val="105"/>
          <w:sz w:val="13"/>
        </w:rPr>
        <w:t> </w:t>
      </w:r>
      <w:r>
        <w:rPr>
          <w:w w:val="105"/>
          <w:sz w:val="13"/>
        </w:rPr>
        <w:t>cl</w:t>
      </w:r>
      <w:r>
        <w:rPr>
          <w:spacing w:val="6"/>
          <w:w w:val="105"/>
          <w:sz w:val="13"/>
        </w:rPr>
        <w:t> </w:t>
      </w:r>
      <w:r>
        <w:rPr>
          <w:spacing w:val="-4"/>
          <w:w w:val="105"/>
          <w:sz w:val="13"/>
        </w:rPr>
        <w:t>52.17-7</w:t>
      </w:r>
      <w:r>
        <w:rPr>
          <w:spacing w:val="6"/>
          <w:w w:val="105"/>
          <w:sz w:val="13"/>
        </w:rPr>
        <w:t> </w:t>
      </w:r>
      <w:r>
        <w:rPr>
          <w:w w:val="105"/>
          <w:sz w:val="13"/>
        </w:rPr>
        <w:t>‘Table</w:t>
      </w:r>
      <w:r>
        <w:rPr>
          <w:spacing w:val="6"/>
          <w:w w:val="105"/>
          <w:sz w:val="13"/>
        </w:rPr>
        <w:t> </w:t>
      </w:r>
      <w:r>
        <w:rPr>
          <w:w w:val="105"/>
          <w:sz w:val="13"/>
        </w:rPr>
        <w:t>of</w:t>
      </w:r>
      <w:r>
        <w:rPr>
          <w:spacing w:val="6"/>
          <w:w w:val="105"/>
          <w:sz w:val="13"/>
        </w:rPr>
        <w:t> </w:t>
      </w:r>
      <w:r>
        <w:rPr>
          <w:w w:val="105"/>
          <w:sz w:val="13"/>
        </w:rPr>
        <w:t>exemptions’.</w:t>
      </w:r>
    </w:p>
    <w:p>
      <w:pPr>
        <w:pStyle w:val="ListParagraph"/>
        <w:numPr>
          <w:ilvl w:val="0"/>
          <w:numId w:val="165"/>
        </w:numPr>
        <w:tabs>
          <w:tab w:pos="2381" w:val="left" w:leader="none"/>
          <w:tab w:pos="2382" w:val="left" w:leader="none"/>
        </w:tabs>
        <w:spacing w:line="240" w:lineRule="auto" w:before="1" w:after="0"/>
        <w:ind w:left="2381" w:right="0" w:hanging="793"/>
        <w:jc w:val="left"/>
        <w:rPr>
          <w:sz w:val="13"/>
        </w:rPr>
      </w:pPr>
      <w:r>
        <w:rPr>
          <w:w w:val="105"/>
          <w:sz w:val="13"/>
        </w:rPr>
        <w:t>Ibid, cl </w:t>
      </w:r>
      <w:r>
        <w:rPr>
          <w:spacing w:val="-4"/>
          <w:w w:val="105"/>
          <w:sz w:val="13"/>
        </w:rPr>
        <w:t>52.17-7 </w:t>
      </w:r>
      <w:r>
        <w:rPr>
          <w:w w:val="105"/>
          <w:sz w:val="13"/>
        </w:rPr>
        <w:t>‘Table of exemptions’.</w:t>
      </w:r>
    </w:p>
    <w:p>
      <w:pPr>
        <w:pStyle w:val="ListParagraph"/>
        <w:numPr>
          <w:ilvl w:val="0"/>
          <w:numId w:val="165"/>
        </w:numPr>
        <w:tabs>
          <w:tab w:pos="2381" w:val="left" w:leader="none"/>
          <w:tab w:pos="2382" w:val="left" w:leader="none"/>
        </w:tabs>
        <w:spacing w:line="240" w:lineRule="auto" w:before="2" w:after="0"/>
        <w:ind w:left="2381" w:right="0" w:hanging="793"/>
        <w:jc w:val="left"/>
        <w:rPr>
          <w:sz w:val="13"/>
        </w:rPr>
      </w:pPr>
      <w:r>
        <w:rPr>
          <w:w w:val="105"/>
          <w:sz w:val="13"/>
        </w:rPr>
        <w:t>This</w:t>
      </w:r>
      <w:r>
        <w:rPr>
          <w:spacing w:val="4"/>
          <w:w w:val="105"/>
          <w:sz w:val="13"/>
        </w:rPr>
        <w:t> </w:t>
      </w:r>
      <w:r>
        <w:rPr>
          <w:w w:val="105"/>
          <w:sz w:val="13"/>
        </w:rPr>
        <w:t>does</w:t>
      </w:r>
      <w:r>
        <w:rPr>
          <w:spacing w:val="5"/>
          <w:w w:val="105"/>
          <w:sz w:val="13"/>
        </w:rPr>
        <w:t> </w:t>
      </w:r>
      <w:r>
        <w:rPr>
          <w:w w:val="105"/>
          <w:sz w:val="13"/>
        </w:rPr>
        <w:t>not</w:t>
      </w:r>
      <w:r>
        <w:rPr>
          <w:spacing w:val="4"/>
          <w:w w:val="105"/>
          <w:sz w:val="13"/>
        </w:rPr>
        <w:t> </w:t>
      </w:r>
      <w:r>
        <w:rPr>
          <w:w w:val="105"/>
          <w:sz w:val="13"/>
        </w:rPr>
        <w:t>apply</w:t>
      </w:r>
      <w:r>
        <w:rPr>
          <w:spacing w:val="5"/>
          <w:w w:val="105"/>
          <w:sz w:val="13"/>
        </w:rPr>
        <w:t> </w:t>
      </w:r>
      <w:r>
        <w:rPr>
          <w:w w:val="105"/>
          <w:sz w:val="13"/>
        </w:rPr>
        <w:t>to</w:t>
      </w:r>
      <w:r>
        <w:rPr>
          <w:spacing w:val="5"/>
          <w:w w:val="105"/>
          <w:sz w:val="13"/>
        </w:rPr>
        <w:t> </w:t>
      </w:r>
      <w:r>
        <w:rPr>
          <w:w w:val="105"/>
          <w:sz w:val="13"/>
        </w:rPr>
        <w:t>the</w:t>
      </w:r>
      <w:r>
        <w:rPr>
          <w:spacing w:val="4"/>
          <w:w w:val="105"/>
          <w:sz w:val="13"/>
        </w:rPr>
        <w:t> </w:t>
      </w:r>
      <w:r>
        <w:rPr>
          <w:w w:val="105"/>
          <w:sz w:val="13"/>
        </w:rPr>
        <w:t>pruning</w:t>
      </w:r>
      <w:r>
        <w:rPr>
          <w:spacing w:val="5"/>
          <w:w w:val="105"/>
          <w:sz w:val="13"/>
        </w:rPr>
        <w:t> </w:t>
      </w:r>
      <w:r>
        <w:rPr>
          <w:w w:val="105"/>
          <w:sz w:val="13"/>
        </w:rPr>
        <w:t>or</w:t>
      </w:r>
      <w:r>
        <w:rPr>
          <w:spacing w:val="5"/>
          <w:w w:val="105"/>
          <w:sz w:val="13"/>
        </w:rPr>
        <w:t> </w:t>
      </w:r>
      <w:r>
        <w:rPr>
          <w:w w:val="105"/>
          <w:sz w:val="13"/>
        </w:rPr>
        <w:t>lopping</w:t>
      </w:r>
      <w:r>
        <w:rPr>
          <w:spacing w:val="4"/>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trunk</w:t>
      </w:r>
      <w:r>
        <w:rPr>
          <w:spacing w:val="4"/>
          <w:w w:val="105"/>
          <w:sz w:val="13"/>
        </w:rPr>
        <w:t> </w:t>
      </w:r>
      <w:r>
        <w:rPr>
          <w:w w:val="105"/>
          <w:sz w:val="13"/>
        </w:rPr>
        <w:t>of</w:t>
      </w:r>
      <w:r>
        <w:rPr>
          <w:spacing w:val="5"/>
          <w:w w:val="105"/>
          <w:sz w:val="13"/>
        </w:rPr>
        <w:t> </w:t>
      </w:r>
      <w:r>
        <w:rPr>
          <w:w w:val="105"/>
          <w:sz w:val="13"/>
        </w:rPr>
        <w:t>a</w:t>
      </w:r>
      <w:r>
        <w:rPr>
          <w:spacing w:val="5"/>
          <w:w w:val="105"/>
          <w:sz w:val="13"/>
        </w:rPr>
        <w:t> </w:t>
      </w:r>
      <w:r>
        <w:rPr>
          <w:w w:val="105"/>
          <w:sz w:val="13"/>
        </w:rPr>
        <w:t>native</w:t>
      </w:r>
      <w:r>
        <w:rPr>
          <w:spacing w:val="4"/>
          <w:w w:val="105"/>
          <w:sz w:val="13"/>
        </w:rPr>
        <w:t> </w:t>
      </w:r>
      <w:r>
        <w:rPr>
          <w:w w:val="105"/>
          <w:sz w:val="13"/>
        </w:rPr>
        <w:t>tree.</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
        <w:rPr>
          <w:sz w:val="39"/>
        </w:rPr>
      </w:pPr>
    </w:p>
    <w:p>
      <w:pPr>
        <w:spacing w:before="1"/>
        <w:ind w:left="558" w:right="573" w:firstLine="0"/>
        <w:jc w:val="center"/>
        <w:rPr>
          <w:b/>
          <w:sz w:val="24"/>
        </w:rPr>
      </w:pPr>
      <w:r>
        <w:rPr>
          <w:b/>
          <w:color w:val="658464"/>
          <w:w w:val="110"/>
          <w:sz w:val="24"/>
        </w:rPr>
        <w:t>225</w:t>
      </w:r>
    </w:p>
    <w:p>
      <w:pPr>
        <w:spacing w:after="0"/>
        <w:jc w:val="center"/>
        <w:rPr>
          <w:sz w:val="24"/>
        </w:rPr>
        <w:sectPr>
          <w:type w:val="continuous"/>
          <w:pgSz w:w="11910" w:h="16840"/>
          <w:pgMar w:top="300" w:bottom="280" w:left="0" w:right="0"/>
          <w:cols w:num="2" w:equalWidth="0">
            <w:col w:w="10295" w:space="40"/>
            <w:col w:w="1575"/>
          </w:cols>
        </w:sectPr>
      </w:pPr>
    </w:p>
    <w:p>
      <w:pPr>
        <w:pStyle w:val="BodyText"/>
        <w:spacing w:before="11"/>
        <w:rPr>
          <w:b/>
        </w:rPr>
      </w:pPr>
    </w:p>
    <w:p>
      <w:pPr>
        <w:spacing w:before="96"/>
        <w:ind w:left="1587" w:right="0" w:firstLine="0"/>
        <w:jc w:val="left"/>
        <w:rPr>
          <w:b/>
          <w:sz w:val="24"/>
        </w:rPr>
      </w:pPr>
      <w:r>
        <w:rPr>
          <w:b/>
          <w:w w:val="115"/>
          <w:sz w:val="24"/>
        </w:rPr>
        <w:t>Trees planted or maintained as a condition of existing planning permits</w:t>
      </w:r>
    </w:p>
    <w:p>
      <w:pPr>
        <w:pStyle w:val="ListParagraph"/>
        <w:numPr>
          <w:ilvl w:val="1"/>
          <w:numId w:val="16"/>
        </w:numPr>
        <w:tabs>
          <w:tab w:pos="2381" w:val="left" w:leader="none"/>
          <w:tab w:pos="2382" w:val="left" w:leader="none"/>
        </w:tabs>
        <w:spacing w:line="242" w:lineRule="auto" w:before="137" w:after="0"/>
        <w:ind w:left="2381" w:right="1586" w:hanging="794"/>
        <w:jc w:val="left"/>
        <w:rPr>
          <w:sz w:val="21"/>
        </w:rPr>
      </w:pPr>
      <w:r>
        <w:rPr>
          <w:w w:val="105"/>
          <w:sz w:val="21"/>
        </w:rPr>
        <w:t>A permit </w:t>
      </w:r>
      <w:r>
        <w:rPr>
          <w:spacing w:val="-3"/>
          <w:w w:val="105"/>
          <w:sz w:val="21"/>
        </w:rPr>
        <w:t>that </w:t>
      </w:r>
      <w:r>
        <w:rPr>
          <w:spacing w:val="-2"/>
          <w:w w:val="105"/>
          <w:sz w:val="21"/>
        </w:rPr>
        <w:t>has </w:t>
      </w:r>
      <w:r>
        <w:rPr>
          <w:spacing w:val="-3"/>
          <w:w w:val="105"/>
          <w:sz w:val="21"/>
        </w:rPr>
        <w:t>already </w:t>
      </w:r>
      <w:r>
        <w:rPr>
          <w:w w:val="105"/>
          <w:sz w:val="21"/>
        </w:rPr>
        <w:t>been </w:t>
      </w:r>
      <w:r>
        <w:rPr>
          <w:spacing w:val="-3"/>
          <w:w w:val="105"/>
          <w:sz w:val="21"/>
        </w:rPr>
        <w:t>granted may </w:t>
      </w:r>
      <w:r>
        <w:rPr>
          <w:w w:val="105"/>
          <w:sz w:val="21"/>
        </w:rPr>
        <w:t>need </w:t>
      </w:r>
      <w:r>
        <w:rPr>
          <w:spacing w:val="-3"/>
          <w:w w:val="105"/>
          <w:sz w:val="21"/>
        </w:rPr>
        <w:t>to </w:t>
      </w:r>
      <w:r>
        <w:rPr>
          <w:w w:val="105"/>
          <w:sz w:val="21"/>
        </w:rPr>
        <w:t>be </w:t>
      </w:r>
      <w:r>
        <w:rPr>
          <w:spacing w:val="-3"/>
          <w:w w:val="105"/>
          <w:sz w:val="21"/>
        </w:rPr>
        <w:t>enforced </w:t>
      </w:r>
      <w:r>
        <w:rPr>
          <w:w w:val="105"/>
          <w:sz w:val="21"/>
        </w:rPr>
        <w:t>or amended in some </w:t>
      </w:r>
      <w:r>
        <w:rPr>
          <w:spacing w:val="-3"/>
          <w:w w:val="105"/>
          <w:sz w:val="21"/>
        </w:rPr>
        <w:t>way</w:t>
      </w:r>
      <w:r>
        <w:rPr>
          <w:spacing w:val="-4"/>
          <w:w w:val="105"/>
          <w:sz w:val="21"/>
        </w:rPr>
        <w:t> </w:t>
      </w:r>
      <w:r>
        <w:rPr>
          <w:spacing w:val="-3"/>
          <w:w w:val="105"/>
          <w:sz w:val="21"/>
        </w:rPr>
        <w:t>to</w:t>
      </w:r>
      <w:r>
        <w:rPr>
          <w:spacing w:val="-4"/>
          <w:w w:val="105"/>
          <w:sz w:val="21"/>
        </w:rPr>
        <w:t> </w:t>
      </w:r>
      <w:r>
        <w:rPr>
          <w:w w:val="105"/>
          <w:sz w:val="21"/>
        </w:rPr>
        <w:t>enable</w:t>
      </w:r>
      <w:r>
        <w:rPr>
          <w:spacing w:val="-4"/>
          <w:w w:val="105"/>
          <w:sz w:val="21"/>
        </w:rPr>
        <w:t> </w:t>
      </w:r>
      <w:r>
        <w:rPr>
          <w:w w:val="105"/>
          <w:sz w:val="21"/>
        </w:rPr>
        <w:t>a</w:t>
      </w:r>
      <w:r>
        <w:rPr>
          <w:spacing w:val="-4"/>
          <w:w w:val="105"/>
          <w:sz w:val="21"/>
        </w:rPr>
        <w:t> </w:t>
      </w:r>
      <w:r>
        <w:rPr>
          <w:w w:val="105"/>
          <w:sz w:val="21"/>
        </w:rPr>
        <w:t>resolution</w:t>
      </w:r>
      <w:r>
        <w:rPr>
          <w:spacing w:val="-4"/>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tree</w:t>
      </w:r>
      <w:r>
        <w:rPr>
          <w:spacing w:val="-4"/>
          <w:w w:val="105"/>
          <w:sz w:val="21"/>
        </w:rPr>
        <w:t> </w:t>
      </w:r>
      <w:r>
        <w:rPr>
          <w:spacing w:val="-3"/>
          <w:w w:val="105"/>
          <w:sz w:val="21"/>
        </w:rPr>
        <w:t>dispute</w:t>
      </w:r>
      <w:r>
        <w:rPr>
          <w:spacing w:val="-4"/>
          <w:w w:val="105"/>
          <w:sz w:val="21"/>
        </w:rPr>
        <w:t> </w:t>
      </w:r>
      <w:r>
        <w:rPr>
          <w:w w:val="105"/>
          <w:sz w:val="21"/>
        </w:rPr>
        <w:t>under</w:t>
      </w:r>
      <w:r>
        <w:rPr>
          <w:spacing w:val="-3"/>
          <w:w w:val="105"/>
          <w:sz w:val="21"/>
        </w:rPr>
        <w:t> </w:t>
      </w:r>
      <w:r>
        <w:rPr>
          <w:w w:val="105"/>
          <w:sz w:val="21"/>
        </w:rPr>
        <w:t>the</w:t>
      </w:r>
      <w:r>
        <w:rPr>
          <w:spacing w:val="-4"/>
          <w:w w:val="105"/>
          <w:sz w:val="21"/>
        </w:rPr>
        <w:t> </w:t>
      </w:r>
      <w:r>
        <w:rPr>
          <w:w w:val="105"/>
          <w:sz w:val="21"/>
        </w:rPr>
        <w:t>new</w:t>
      </w:r>
      <w:r>
        <w:rPr>
          <w:spacing w:val="-4"/>
          <w:w w:val="105"/>
          <w:sz w:val="21"/>
        </w:rPr>
        <w:t> </w:t>
      </w:r>
      <w:r>
        <w:rPr>
          <w:w w:val="105"/>
          <w:sz w:val="21"/>
        </w:rPr>
        <w:t>Act.</w:t>
      </w:r>
      <w:r>
        <w:rPr>
          <w:spacing w:val="-4"/>
          <w:w w:val="105"/>
          <w:sz w:val="21"/>
        </w:rPr>
        <w:t> </w:t>
      </w:r>
      <w:r>
        <w:rPr>
          <w:w w:val="105"/>
          <w:sz w:val="21"/>
        </w:rPr>
        <w:t>For</w:t>
      </w:r>
      <w:r>
        <w:rPr>
          <w:spacing w:val="-4"/>
          <w:w w:val="105"/>
          <w:sz w:val="21"/>
        </w:rPr>
        <w:t> </w:t>
      </w:r>
      <w:r>
        <w:rPr>
          <w:spacing w:val="-3"/>
          <w:w w:val="105"/>
          <w:sz w:val="21"/>
        </w:rPr>
        <w:t>example,</w:t>
      </w:r>
      <w:r>
        <w:rPr>
          <w:spacing w:val="-4"/>
          <w:w w:val="105"/>
          <w:sz w:val="21"/>
        </w:rPr>
        <w:t> </w:t>
      </w:r>
      <w:r>
        <w:rPr>
          <w:w w:val="105"/>
          <w:sz w:val="21"/>
        </w:rPr>
        <w:t>a</w:t>
      </w:r>
      <w:r>
        <w:rPr>
          <w:spacing w:val="-4"/>
          <w:w w:val="105"/>
          <w:sz w:val="21"/>
        </w:rPr>
        <w:t> </w:t>
      </w:r>
      <w:r>
        <w:rPr>
          <w:spacing w:val="-3"/>
          <w:w w:val="105"/>
          <w:sz w:val="21"/>
        </w:rPr>
        <w:t>planning </w:t>
      </w:r>
      <w:r>
        <w:rPr>
          <w:w w:val="105"/>
          <w:sz w:val="21"/>
        </w:rPr>
        <w:t>permit </w:t>
      </w:r>
      <w:r>
        <w:rPr>
          <w:spacing w:val="-3"/>
          <w:w w:val="105"/>
          <w:sz w:val="21"/>
        </w:rPr>
        <w:t>granted for </w:t>
      </w:r>
      <w:r>
        <w:rPr>
          <w:w w:val="105"/>
          <w:sz w:val="21"/>
        </w:rPr>
        <w:t>the development of </w:t>
      </w:r>
      <w:r>
        <w:rPr>
          <w:spacing w:val="-3"/>
          <w:w w:val="105"/>
          <w:sz w:val="21"/>
        </w:rPr>
        <w:t>land may </w:t>
      </w:r>
      <w:r>
        <w:rPr>
          <w:w w:val="105"/>
          <w:sz w:val="21"/>
        </w:rPr>
        <w:t>specify </w:t>
      </w:r>
      <w:r>
        <w:rPr>
          <w:spacing w:val="-3"/>
          <w:w w:val="105"/>
          <w:sz w:val="21"/>
        </w:rPr>
        <w:t>that </w:t>
      </w:r>
      <w:r>
        <w:rPr>
          <w:w w:val="105"/>
          <w:sz w:val="21"/>
        </w:rPr>
        <w:t>a tree is </w:t>
      </w:r>
      <w:r>
        <w:rPr>
          <w:spacing w:val="-3"/>
          <w:w w:val="105"/>
          <w:sz w:val="21"/>
        </w:rPr>
        <w:t>to </w:t>
      </w:r>
      <w:r>
        <w:rPr>
          <w:w w:val="105"/>
          <w:sz w:val="21"/>
        </w:rPr>
        <w:t>be </w:t>
      </w:r>
      <w:r>
        <w:rPr>
          <w:spacing w:val="-3"/>
          <w:w w:val="105"/>
          <w:sz w:val="21"/>
        </w:rPr>
        <w:t>planted </w:t>
      </w:r>
      <w:r>
        <w:rPr>
          <w:w w:val="105"/>
          <w:sz w:val="21"/>
        </w:rPr>
        <w:t>and </w:t>
      </w:r>
      <w:r>
        <w:rPr>
          <w:spacing w:val="-3"/>
          <w:w w:val="105"/>
          <w:sz w:val="21"/>
        </w:rPr>
        <w:t>maintained </w:t>
      </w:r>
      <w:r>
        <w:rPr>
          <w:w w:val="105"/>
          <w:sz w:val="21"/>
        </w:rPr>
        <w:t>as part of an endorsed </w:t>
      </w:r>
      <w:r>
        <w:rPr>
          <w:spacing w:val="-3"/>
          <w:w w:val="105"/>
          <w:sz w:val="21"/>
        </w:rPr>
        <w:t>landscaping </w:t>
      </w:r>
      <w:r>
        <w:rPr>
          <w:w w:val="105"/>
          <w:sz w:val="21"/>
        </w:rPr>
        <w:t>plan (landscaping plan) which </w:t>
      </w:r>
      <w:r>
        <w:rPr>
          <w:spacing w:val="-3"/>
          <w:w w:val="105"/>
          <w:sz w:val="21"/>
        </w:rPr>
        <w:t>forms </w:t>
      </w:r>
      <w:r>
        <w:rPr>
          <w:w w:val="105"/>
          <w:sz w:val="21"/>
        </w:rPr>
        <w:t>part of the </w:t>
      </w:r>
      <w:r>
        <w:rPr>
          <w:spacing w:val="-3"/>
          <w:w w:val="105"/>
          <w:sz w:val="21"/>
        </w:rPr>
        <w:t>permit.</w:t>
      </w:r>
      <w:r>
        <w:rPr>
          <w:spacing w:val="-3"/>
          <w:w w:val="105"/>
          <w:position w:val="7"/>
          <w:sz w:val="12"/>
        </w:rPr>
        <w:t>73 </w:t>
      </w:r>
      <w:r>
        <w:rPr>
          <w:w w:val="105"/>
          <w:sz w:val="21"/>
        </w:rPr>
        <w:t>Model </w:t>
      </w:r>
      <w:r>
        <w:rPr>
          <w:spacing w:val="-3"/>
          <w:w w:val="105"/>
          <w:sz w:val="21"/>
        </w:rPr>
        <w:t>conditions </w:t>
      </w:r>
      <w:r>
        <w:rPr>
          <w:w w:val="105"/>
          <w:sz w:val="21"/>
        </w:rPr>
        <w:t>of </w:t>
      </w:r>
      <w:r>
        <w:rPr>
          <w:spacing w:val="-3"/>
          <w:w w:val="105"/>
          <w:sz w:val="21"/>
        </w:rPr>
        <w:t>landscaping plans</w:t>
      </w:r>
      <w:r>
        <w:rPr>
          <w:spacing w:val="-2"/>
          <w:w w:val="105"/>
          <w:sz w:val="21"/>
        </w:rPr>
        <w:t> </w:t>
      </w:r>
      <w:r>
        <w:rPr>
          <w:spacing w:val="-3"/>
          <w:w w:val="105"/>
          <w:sz w:val="21"/>
        </w:rPr>
        <w:t>require:</w:t>
      </w:r>
    </w:p>
    <w:p>
      <w:pPr>
        <w:pStyle w:val="ListParagraph"/>
        <w:numPr>
          <w:ilvl w:val="2"/>
          <w:numId w:val="16"/>
        </w:numPr>
        <w:tabs>
          <w:tab w:pos="2778" w:val="left" w:leader="none"/>
          <w:tab w:pos="2779" w:val="left" w:leader="none"/>
        </w:tabs>
        <w:spacing w:line="242" w:lineRule="auto" w:before="126" w:after="0"/>
        <w:ind w:left="2721" w:right="1666" w:hanging="340"/>
        <w:jc w:val="left"/>
        <w:rPr>
          <w:sz w:val="21"/>
        </w:rPr>
      </w:pPr>
      <w:r>
        <w:rPr/>
        <w:tab/>
      </w:r>
      <w:r>
        <w:rPr>
          <w:spacing w:val="-3"/>
          <w:w w:val="105"/>
          <w:sz w:val="21"/>
        </w:rPr>
        <w:t>maintenance</w:t>
      </w:r>
      <w:r>
        <w:rPr>
          <w:spacing w:val="-6"/>
          <w:w w:val="105"/>
          <w:sz w:val="21"/>
        </w:rPr>
        <w:t> </w:t>
      </w:r>
      <w:r>
        <w:rPr>
          <w:spacing w:val="-3"/>
          <w:w w:val="105"/>
          <w:sz w:val="21"/>
        </w:rPr>
        <w:t>to</w:t>
      </w:r>
      <w:r>
        <w:rPr>
          <w:spacing w:val="-6"/>
          <w:w w:val="105"/>
          <w:sz w:val="21"/>
        </w:rPr>
        <w:t> </w:t>
      </w:r>
      <w:r>
        <w:rPr>
          <w:w w:val="105"/>
          <w:sz w:val="21"/>
        </w:rPr>
        <w:t>the</w:t>
      </w:r>
      <w:r>
        <w:rPr>
          <w:spacing w:val="-6"/>
          <w:w w:val="105"/>
          <w:sz w:val="21"/>
        </w:rPr>
        <w:t> </w:t>
      </w:r>
      <w:r>
        <w:rPr>
          <w:w w:val="105"/>
          <w:sz w:val="21"/>
        </w:rPr>
        <w:t>satisfaction</w:t>
      </w:r>
      <w:r>
        <w:rPr>
          <w:spacing w:val="-6"/>
          <w:w w:val="105"/>
          <w:sz w:val="21"/>
        </w:rPr>
        <w:t> </w:t>
      </w:r>
      <w:r>
        <w:rPr>
          <w:w w:val="105"/>
          <w:sz w:val="21"/>
        </w:rPr>
        <w:t>of</w:t>
      </w:r>
      <w:r>
        <w:rPr>
          <w:spacing w:val="-6"/>
          <w:w w:val="105"/>
          <w:sz w:val="21"/>
        </w:rPr>
        <w:t> </w:t>
      </w:r>
      <w:r>
        <w:rPr>
          <w:w w:val="105"/>
          <w:sz w:val="21"/>
        </w:rPr>
        <w:t>the</w:t>
      </w:r>
      <w:r>
        <w:rPr>
          <w:spacing w:val="-5"/>
          <w:w w:val="105"/>
          <w:sz w:val="21"/>
        </w:rPr>
        <w:t> </w:t>
      </w:r>
      <w:r>
        <w:rPr>
          <w:spacing w:val="-3"/>
          <w:w w:val="105"/>
          <w:sz w:val="21"/>
        </w:rPr>
        <w:t>responsible</w:t>
      </w:r>
      <w:r>
        <w:rPr>
          <w:spacing w:val="-6"/>
          <w:w w:val="105"/>
          <w:sz w:val="21"/>
        </w:rPr>
        <w:t> </w:t>
      </w:r>
      <w:r>
        <w:rPr>
          <w:spacing w:val="-3"/>
          <w:w w:val="105"/>
          <w:sz w:val="21"/>
        </w:rPr>
        <w:t>authority,</w:t>
      </w:r>
      <w:r>
        <w:rPr>
          <w:spacing w:val="-6"/>
          <w:w w:val="105"/>
          <w:sz w:val="21"/>
        </w:rPr>
        <w:t> </w:t>
      </w:r>
      <w:r>
        <w:rPr>
          <w:spacing w:val="-3"/>
          <w:w w:val="105"/>
          <w:sz w:val="21"/>
        </w:rPr>
        <w:t>including</w:t>
      </w:r>
      <w:r>
        <w:rPr>
          <w:spacing w:val="-6"/>
          <w:w w:val="105"/>
          <w:sz w:val="21"/>
        </w:rPr>
        <w:t> </w:t>
      </w:r>
      <w:r>
        <w:rPr>
          <w:spacing w:val="-3"/>
          <w:w w:val="105"/>
          <w:sz w:val="21"/>
        </w:rPr>
        <w:t>that</w:t>
      </w:r>
      <w:r>
        <w:rPr>
          <w:spacing w:val="-6"/>
          <w:w w:val="105"/>
          <w:sz w:val="21"/>
        </w:rPr>
        <w:t> </w:t>
      </w:r>
      <w:r>
        <w:rPr>
          <w:spacing w:val="-3"/>
          <w:w w:val="105"/>
          <w:sz w:val="21"/>
        </w:rPr>
        <w:t>any</w:t>
      </w:r>
      <w:r>
        <w:rPr>
          <w:spacing w:val="-5"/>
          <w:w w:val="105"/>
          <w:sz w:val="21"/>
        </w:rPr>
        <w:t> </w:t>
      </w:r>
      <w:r>
        <w:rPr>
          <w:w w:val="105"/>
          <w:sz w:val="21"/>
        </w:rPr>
        <w:t>dead, diseased or damaged plants </w:t>
      </w:r>
      <w:r>
        <w:rPr>
          <w:spacing w:val="-3"/>
          <w:w w:val="105"/>
          <w:sz w:val="21"/>
        </w:rPr>
        <w:t>are to </w:t>
      </w:r>
      <w:r>
        <w:rPr>
          <w:w w:val="105"/>
          <w:sz w:val="21"/>
        </w:rPr>
        <w:t>be</w:t>
      </w:r>
      <w:r>
        <w:rPr>
          <w:spacing w:val="35"/>
          <w:w w:val="105"/>
          <w:sz w:val="21"/>
        </w:rPr>
        <w:t> </w:t>
      </w:r>
      <w:r>
        <w:rPr>
          <w:spacing w:val="-3"/>
          <w:w w:val="105"/>
          <w:sz w:val="21"/>
        </w:rPr>
        <w:t>replaced</w:t>
      </w:r>
    </w:p>
    <w:p>
      <w:pPr>
        <w:pStyle w:val="ListParagraph"/>
        <w:numPr>
          <w:ilvl w:val="2"/>
          <w:numId w:val="16"/>
        </w:numPr>
        <w:tabs>
          <w:tab w:pos="2778" w:val="left" w:leader="none"/>
          <w:tab w:pos="2779" w:val="left" w:leader="none"/>
        </w:tabs>
        <w:spacing w:line="242" w:lineRule="auto" w:before="87" w:after="0"/>
        <w:ind w:left="2721" w:right="1823" w:hanging="340"/>
        <w:jc w:val="left"/>
        <w:rPr>
          <w:sz w:val="21"/>
        </w:rPr>
      </w:pPr>
      <w:r>
        <w:rPr/>
        <w:tab/>
      </w:r>
      <w:r>
        <w:rPr>
          <w:spacing w:val="-3"/>
          <w:sz w:val="21"/>
        </w:rPr>
        <w:t>that any </w:t>
      </w:r>
      <w:r>
        <w:rPr>
          <w:sz w:val="21"/>
        </w:rPr>
        <w:t>tree or particular trees </w:t>
      </w:r>
      <w:r>
        <w:rPr>
          <w:spacing w:val="-3"/>
          <w:sz w:val="21"/>
        </w:rPr>
        <w:t>to </w:t>
      </w:r>
      <w:r>
        <w:rPr>
          <w:sz w:val="21"/>
        </w:rPr>
        <w:t>be </w:t>
      </w:r>
      <w:r>
        <w:rPr>
          <w:spacing w:val="-3"/>
          <w:sz w:val="21"/>
        </w:rPr>
        <w:t>retained during </w:t>
      </w:r>
      <w:r>
        <w:rPr>
          <w:sz w:val="21"/>
        </w:rPr>
        <w:t>development </w:t>
      </w:r>
      <w:r>
        <w:rPr>
          <w:spacing w:val="-3"/>
          <w:sz w:val="21"/>
        </w:rPr>
        <w:t>are </w:t>
      </w:r>
      <w:r>
        <w:rPr>
          <w:sz w:val="21"/>
        </w:rPr>
        <w:t>pruned by a qualified arborist </w:t>
      </w:r>
      <w:r>
        <w:rPr>
          <w:spacing w:val="-3"/>
          <w:sz w:val="21"/>
        </w:rPr>
        <w:t>to Australian Standard </w:t>
      </w:r>
      <w:r>
        <w:rPr>
          <w:sz w:val="21"/>
        </w:rPr>
        <w:t>AS </w:t>
      </w:r>
      <w:r>
        <w:rPr>
          <w:spacing w:val="-4"/>
          <w:sz w:val="21"/>
        </w:rPr>
        <w:t>4373-2007 </w:t>
      </w:r>
      <w:r>
        <w:rPr>
          <w:spacing w:val="-3"/>
          <w:sz w:val="21"/>
        </w:rPr>
        <w:t>Pruning </w:t>
      </w:r>
      <w:r>
        <w:rPr>
          <w:sz w:val="21"/>
        </w:rPr>
        <w:t>of Amenity</w:t>
      </w:r>
      <w:r>
        <w:rPr>
          <w:spacing w:val="12"/>
          <w:sz w:val="21"/>
        </w:rPr>
        <w:t> </w:t>
      </w:r>
      <w:r>
        <w:rPr>
          <w:spacing w:val="-6"/>
          <w:sz w:val="21"/>
        </w:rPr>
        <w:t>Trees.</w:t>
      </w:r>
      <w:r>
        <w:rPr>
          <w:spacing w:val="-6"/>
          <w:position w:val="7"/>
          <w:sz w:val="12"/>
        </w:rPr>
        <w:t>74</w:t>
      </w:r>
    </w:p>
    <w:p>
      <w:pPr>
        <w:pStyle w:val="ListParagraph"/>
        <w:numPr>
          <w:ilvl w:val="1"/>
          <w:numId w:val="16"/>
        </w:numPr>
        <w:tabs>
          <w:tab w:pos="2381" w:val="left" w:leader="none"/>
          <w:tab w:pos="2382" w:val="left" w:leader="none"/>
        </w:tabs>
        <w:spacing w:line="242" w:lineRule="auto" w:before="87" w:after="0"/>
        <w:ind w:left="2381" w:right="1820" w:hanging="794"/>
        <w:jc w:val="left"/>
        <w:rPr>
          <w:sz w:val="21"/>
        </w:rPr>
      </w:pPr>
      <w:r>
        <w:rPr>
          <w:w w:val="105"/>
          <w:sz w:val="21"/>
        </w:rPr>
        <w:t>Permits </w:t>
      </w:r>
      <w:r>
        <w:rPr>
          <w:spacing w:val="-3"/>
          <w:w w:val="105"/>
          <w:sz w:val="21"/>
        </w:rPr>
        <w:t>generally </w:t>
      </w:r>
      <w:r>
        <w:rPr>
          <w:w w:val="105"/>
          <w:sz w:val="21"/>
        </w:rPr>
        <w:t>operate </w:t>
      </w:r>
      <w:r>
        <w:rPr>
          <w:spacing w:val="-3"/>
          <w:w w:val="105"/>
          <w:sz w:val="21"/>
        </w:rPr>
        <w:t>indefinitely </w:t>
      </w:r>
      <w:r>
        <w:rPr>
          <w:w w:val="105"/>
          <w:sz w:val="21"/>
        </w:rPr>
        <w:t>when acted on or after a development project </w:t>
      </w:r>
      <w:r>
        <w:rPr>
          <w:spacing w:val="-2"/>
          <w:w w:val="105"/>
          <w:sz w:val="21"/>
        </w:rPr>
        <w:t>has</w:t>
      </w:r>
      <w:r>
        <w:rPr>
          <w:spacing w:val="-5"/>
          <w:w w:val="105"/>
          <w:sz w:val="21"/>
        </w:rPr>
        <w:t> </w:t>
      </w:r>
      <w:r>
        <w:rPr>
          <w:spacing w:val="-3"/>
          <w:w w:val="105"/>
          <w:sz w:val="21"/>
        </w:rPr>
        <w:t>commenced,</w:t>
      </w:r>
      <w:r>
        <w:rPr>
          <w:spacing w:val="-4"/>
          <w:w w:val="105"/>
          <w:sz w:val="21"/>
        </w:rPr>
        <w:t> </w:t>
      </w:r>
      <w:r>
        <w:rPr>
          <w:w w:val="105"/>
          <w:sz w:val="21"/>
        </w:rPr>
        <w:t>and</w:t>
      </w:r>
      <w:r>
        <w:rPr>
          <w:spacing w:val="-5"/>
          <w:w w:val="105"/>
          <w:sz w:val="21"/>
        </w:rPr>
        <w:t> </w:t>
      </w:r>
      <w:r>
        <w:rPr>
          <w:spacing w:val="-3"/>
          <w:w w:val="105"/>
          <w:sz w:val="21"/>
        </w:rPr>
        <w:t>for</w:t>
      </w:r>
      <w:r>
        <w:rPr>
          <w:spacing w:val="-4"/>
          <w:w w:val="105"/>
          <w:sz w:val="21"/>
        </w:rPr>
        <w:t> </w:t>
      </w:r>
      <w:r>
        <w:rPr>
          <w:w w:val="105"/>
          <w:sz w:val="21"/>
        </w:rPr>
        <w:t>as</w:t>
      </w:r>
      <w:r>
        <w:rPr>
          <w:spacing w:val="-4"/>
          <w:w w:val="105"/>
          <w:sz w:val="21"/>
        </w:rPr>
        <w:t> </w:t>
      </w:r>
      <w:r>
        <w:rPr>
          <w:w w:val="105"/>
          <w:sz w:val="21"/>
        </w:rPr>
        <w:t>long</w:t>
      </w:r>
      <w:r>
        <w:rPr>
          <w:spacing w:val="-5"/>
          <w:w w:val="105"/>
          <w:sz w:val="21"/>
        </w:rPr>
        <w:t> </w:t>
      </w:r>
      <w:r>
        <w:rPr>
          <w:w w:val="105"/>
          <w:sz w:val="21"/>
        </w:rPr>
        <w:t>as</w:t>
      </w:r>
      <w:r>
        <w:rPr>
          <w:spacing w:val="-4"/>
          <w:w w:val="105"/>
          <w:sz w:val="21"/>
        </w:rPr>
        <w:t> </w:t>
      </w:r>
      <w:r>
        <w:rPr>
          <w:w w:val="105"/>
          <w:sz w:val="21"/>
        </w:rPr>
        <w:t>the</w:t>
      </w:r>
      <w:r>
        <w:rPr>
          <w:spacing w:val="-5"/>
          <w:w w:val="105"/>
          <w:sz w:val="21"/>
        </w:rPr>
        <w:t> </w:t>
      </w:r>
      <w:r>
        <w:rPr>
          <w:w w:val="105"/>
          <w:sz w:val="21"/>
        </w:rPr>
        <w:t>landholder</w:t>
      </w:r>
      <w:r>
        <w:rPr>
          <w:spacing w:val="-4"/>
          <w:w w:val="105"/>
          <w:sz w:val="21"/>
        </w:rPr>
        <w:t> </w:t>
      </w:r>
      <w:r>
        <w:rPr>
          <w:w w:val="105"/>
          <w:sz w:val="21"/>
        </w:rPr>
        <w:t>is</w:t>
      </w:r>
      <w:r>
        <w:rPr>
          <w:spacing w:val="-4"/>
          <w:w w:val="105"/>
          <w:sz w:val="21"/>
        </w:rPr>
        <w:t> </w:t>
      </w:r>
      <w:r>
        <w:rPr>
          <w:w w:val="105"/>
          <w:sz w:val="21"/>
        </w:rPr>
        <w:t>still</w:t>
      </w:r>
      <w:r>
        <w:rPr>
          <w:spacing w:val="-5"/>
          <w:w w:val="105"/>
          <w:sz w:val="21"/>
        </w:rPr>
        <w:t> </w:t>
      </w:r>
      <w:r>
        <w:rPr>
          <w:w w:val="105"/>
          <w:sz w:val="21"/>
        </w:rPr>
        <w:t>benefiting</w:t>
      </w:r>
      <w:r>
        <w:rPr>
          <w:spacing w:val="-4"/>
          <w:w w:val="105"/>
          <w:sz w:val="21"/>
        </w:rPr>
        <w:t> </w:t>
      </w:r>
      <w:r>
        <w:rPr>
          <w:spacing w:val="-3"/>
          <w:w w:val="105"/>
          <w:sz w:val="21"/>
        </w:rPr>
        <w:t>from</w:t>
      </w:r>
      <w:r>
        <w:rPr>
          <w:spacing w:val="-5"/>
          <w:w w:val="105"/>
          <w:sz w:val="21"/>
        </w:rPr>
        <w:t> </w:t>
      </w:r>
      <w:r>
        <w:rPr>
          <w:w w:val="105"/>
          <w:sz w:val="21"/>
        </w:rPr>
        <w:t>the</w:t>
      </w:r>
      <w:r>
        <w:rPr>
          <w:spacing w:val="-4"/>
          <w:w w:val="105"/>
          <w:sz w:val="21"/>
        </w:rPr>
        <w:t> </w:t>
      </w:r>
      <w:r>
        <w:rPr>
          <w:w w:val="105"/>
          <w:sz w:val="21"/>
        </w:rPr>
        <w:t>use</w:t>
      </w:r>
      <w:r>
        <w:rPr>
          <w:spacing w:val="-4"/>
          <w:w w:val="105"/>
          <w:sz w:val="21"/>
        </w:rPr>
        <w:t> </w:t>
      </w:r>
      <w:r>
        <w:rPr>
          <w:w w:val="105"/>
          <w:sz w:val="21"/>
        </w:rPr>
        <w:t>of</w:t>
      </w:r>
      <w:r>
        <w:rPr>
          <w:spacing w:val="-5"/>
          <w:w w:val="105"/>
          <w:sz w:val="21"/>
        </w:rPr>
        <w:t> </w:t>
      </w:r>
      <w:r>
        <w:rPr>
          <w:w w:val="105"/>
          <w:sz w:val="21"/>
        </w:rPr>
        <w:t>the</w:t>
      </w:r>
    </w:p>
    <w:p>
      <w:pPr>
        <w:pStyle w:val="BodyText"/>
        <w:spacing w:line="242" w:lineRule="auto" w:before="2"/>
        <w:ind w:left="2381" w:right="1750"/>
        <w:rPr>
          <w:sz w:val="12"/>
        </w:rPr>
      </w:pPr>
      <w:r>
        <w:rPr>
          <w:spacing w:val="-4"/>
        </w:rPr>
        <w:t>land.</w:t>
      </w:r>
      <w:r>
        <w:rPr>
          <w:spacing w:val="-4"/>
          <w:position w:val="7"/>
          <w:sz w:val="12"/>
        </w:rPr>
        <w:t>75 </w:t>
      </w:r>
      <w:r>
        <w:rPr/>
        <w:t>This </w:t>
      </w:r>
      <w:r>
        <w:rPr>
          <w:spacing w:val="-3"/>
        </w:rPr>
        <w:t>means that </w:t>
      </w:r>
      <w:r>
        <w:rPr/>
        <w:t>trees </w:t>
      </w:r>
      <w:r>
        <w:rPr>
          <w:spacing w:val="-3"/>
        </w:rPr>
        <w:t>planted </w:t>
      </w:r>
      <w:r>
        <w:rPr/>
        <w:t>and </w:t>
      </w:r>
      <w:r>
        <w:rPr>
          <w:spacing w:val="-3"/>
        </w:rPr>
        <w:t>maintained </w:t>
      </w:r>
      <w:r>
        <w:rPr/>
        <w:t>as part of a permit </w:t>
      </w:r>
      <w:r>
        <w:rPr>
          <w:spacing w:val="-3"/>
        </w:rPr>
        <w:t>may </w:t>
      </w:r>
      <w:r>
        <w:rPr/>
        <w:t>need </w:t>
      </w:r>
      <w:r>
        <w:rPr>
          <w:spacing w:val="-3"/>
        </w:rPr>
        <w:t>to </w:t>
      </w:r>
      <w:r>
        <w:rPr/>
        <w:t>be </w:t>
      </w:r>
      <w:r>
        <w:rPr>
          <w:spacing w:val="-3"/>
        </w:rPr>
        <w:t>maintained for months </w:t>
      </w:r>
      <w:r>
        <w:rPr/>
        <w:t>or years </w:t>
      </w:r>
      <w:r>
        <w:rPr>
          <w:spacing w:val="-3"/>
        </w:rPr>
        <w:t>following </w:t>
      </w:r>
      <w:r>
        <w:rPr/>
        <w:t>the </w:t>
      </w:r>
      <w:r>
        <w:rPr>
          <w:spacing w:val="-3"/>
        </w:rPr>
        <w:t>initial  </w:t>
      </w:r>
      <w:r>
        <w:rPr/>
        <w:t>development  of  the  </w:t>
      </w:r>
      <w:r>
        <w:rPr>
          <w:spacing w:val="-4"/>
        </w:rPr>
        <w:t>land.</w:t>
      </w:r>
      <w:r>
        <w:rPr>
          <w:spacing w:val="-4"/>
          <w:position w:val="7"/>
          <w:sz w:val="12"/>
        </w:rPr>
        <w:t>76  </w:t>
      </w:r>
      <w:r>
        <w:rPr/>
        <w:t>This  </w:t>
      </w:r>
      <w:r>
        <w:rPr>
          <w:spacing w:val="-3"/>
        </w:rPr>
        <w:t>may </w:t>
      </w:r>
      <w:r>
        <w:rPr>
          <w:spacing w:val="-2"/>
        </w:rPr>
        <w:t>not </w:t>
      </w:r>
      <w:r>
        <w:rPr>
          <w:spacing w:val="-3"/>
        </w:rPr>
        <w:t>occur </w:t>
      </w:r>
      <w:r>
        <w:rPr/>
        <w:t>if a permit </w:t>
      </w:r>
      <w:r>
        <w:rPr>
          <w:spacing w:val="-3"/>
        </w:rPr>
        <w:t>contains </w:t>
      </w:r>
      <w:r>
        <w:rPr/>
        <w:t>a </w:t>
      </w:r>
      <w:r>
        <w:rPr>
          <w:spacing w:val="-3"/>
        </w:rPr>
        <w:t>sunset provision that </w:t>
      </w:r>
      <w:r>
        <w:rPr>
          <w:spacing w:val="-2"/>
        </w:rPr>
        <w:t>limits </w:t>
      </w:r>
      <w:r>
        <w:rPr/>
        <w:t>the </w:t>
      </w:r>
      <w:r>
        <w:rPr>
          <w:spacing w:val="-3"/>
        </w:rPr>
        <w:t>duration </w:t>
      </w:r>
      <w:r>
        <w:rPr/>
        <w:t>of its operation or under the </w:t>
      </w:r>
      <w:r>
        <w:rPr>
          <w:spacing w:val="-3"/>
        </w:rPr>
        <w:t>circumstances  </w:t>
      </w:r>
      <w:r>
        <w:rPr>
          <w:spacing w:val="-2"/>
        </w:rPr>
        <w:t>listed  </w:t>
      </w:r>
      <w:r>
        <w:rPr/>
        <w:t>in section 68 of the </w:t>
      </w:r>
      <w:r>
        <w:rPr>
          <w:spacing w:val="4"/>
        </w:rPr>
        <w:t>P&amp;E </w:t>
      </w:r>
      <w:r>
        <w:rPr/>
        <w:t>Act, which provides </w:t>
      </w:r>
      <w:r>
        <w:rPr>
          <w:spacing w:val="-3"/>
        </w:rPr>
        <w:t>for  </w:t>
      </w:r>
      <w:r>
        <w:rPr/>
        <w:t>the expiry  of</w:t>
      </w:r>
      <w:r>
        <w:rPr>
          <w:spacing w:val="8"/>
        </w:rPr>
        <w:t> </w:t>
      </w:r>
      <w:r>
        <w:rPr/>
        <w:t>permits.</w:t>
      </w:r>
      <w:r>
        <w:rPr>
          <w:position w:val="7"/>
          <w:sz w:val="12"/>
        </w:rPr>
        <w:t>77</w:t>
      </w:r>
    </w:p>
    <w:p>
      <w:pPr>
        <w:pStyle w:val="ListParagraph"/>
        <w:numPr>
          <w:ilvl w:val="1"/>
          <w:numId w:val="16"/>
        </w:numPr>
        <w:tabs>
          <w:tab w:pos="2380" w:val="left" w:leader="none"/>
          <w:tab w:pos="2381" w:val="left" w:leader="none"/>
        </w:tabs>
        <w:spacing w:line="242" w:lineRule="auto" w:before="126" w:after="0"/>
        <w:ind w:left="2381" w:right="1773" w:hanging="794"/>
        <w:jc w:val="left"/>
        <w:rPr>
          <w:sz w:val="21"/>
        </w:rPr>
      </w:pPr>
      <w:r>
        <w:rPr>
          <w:spacing w:val="-6"/>
          <w:w w:val="105"/>
          <w:sz w:val="21"/>
        </w:rPr>
        <w:t>Two </w:t>
      </w:r>
      <w:r>
        <w:rPr>
          <w:spacing w:val="-3"/>
          <w:w w:val="105"/>
          <w:sz w:val="21"/>
        </w:rPr>
        <w:t>scenarios may </w:t>
      </w:r>
      <w:r>
        <w:rPr>
          <w:w w:val="105"/>
          <w:sz w:val="21"/>
        </w:rPr>
        <w:t>arise where an affected </w:t>
      </w:r>
      <w:r>
        <w:rPr>
          <w:spacing w:val="-3"/>
          <w:w w:val="105"/>
          <w:sz w:val="21"/>
        </w:rPr>
        <w:t>neighbour </w:t>
      </w:r>
      <w:r>
        <w:rPr>
          <w:w w:val="105"/>
          <w:sz w:val="21"/>
        </w:rPr>
        <w:t>wants </w:t>
      </w:r>
      <w:r>
        <w:rPr>
          <w:spacing w:val="-3"/>
          <w:w w:val="105"/>
          <w:sz w:val="21"/>
        </w:rPr>
        <w:t>to </w:t>
      </w:r>
      <w:r>
        <w:rPr>
          <w:w w:val="105"/>
          <w:sz w:val="21"/>
        </w:rPr>
        <w:t>obtain a remedy under the new Act in </w:t>
      </w:r>
      <w:r>
        <w:rPr>
          <w:spacing w:val="-3"/>
          <w:w w:val="105"/>
          <w:sz w:val="21"/>
        </w:rPr>
        <w:t>relation to </w:t>
      </w:r>
      <w:r>
        <w:rPr>
          <w:w w:val="105"/>
          <w:sz w:val="21"/>
        </w:rPr>
        <w:t>a problem tree </w:t>
      </w:r>
      <w:r>
        <w:rPr>
          <w:spacing w:val="-3"/>
          <w:w w:val="105"/>
          <w:sz w:val="21"/>
        </w:rPr>
        <w:t>that already forms </w:t>
      </w:r>
      <w:r>
        <w:rPr>
          <w:w w:val="105"/>
          <w:sz w:val="21"/>
        </w:rPr>
        <w:t>part of an existing </w:t>
      </w:r>
      <w:r>
        <w:rPr>
          <w:spacing w:val="-3"/>
          <w:w w:val="105"/>
          <w:sz w:val="21"/>
        </w:rPr>
        <w:t>planning </w:t>
      </w:r>
      <w:r>
        <w:rPr>
          <w:w w:val="105"/>
          <w:sz w:val="21"/>
        </w:rPr>
        <w:t>permit.</w:t>
      </w:r>
    </w:p>
    <w:p>
      <w:pPr>
        <w:pStyle w:val="ListParagraph"/>
        <w:numPr>
          <w:ilvl w:val="1"/>
          <w:numId w:val="16"/>
        </w:numPr>
        <w:tabs>
          <w:tab w:pos="2380" w:val="left" w:leader="none"/>
          <w:tab w:pos="2381" w:val="left" w:leader="none"/>
        </w:tabs>
        <w:spacing w:line="242" w:lineRule="auto" w:before="123" w:after="0"/>
        <w:ind w:left="2381" w:right="1786" w:hanging="794"/>
        <w:jc w:val="left"/>
        <w:rPr>
          <w:sz w:val="21"/>
        </w:rPr>
      </w:pPr>
      <w:r>
        <w:rPr>
          <w:w w:val="105"/>
          <w:sz w:val="21"/>
        </w:rPr>
        <w:t>First, where an affected </w:t>
      </w:r>
      <w:r>
        <w:rPr>
          <w:spacing w:val="-3"/>
          <w:w w:val="105"/>
          <w:sz w:val="21"/>
        </w:rPr>
        <w:t>neighbour </w:t>
      </w:r>
      <w:r>
        <w:rPr>
          <w:w w:val="105"/>
          <w:sz w:val="21"/>
        </w:rPr>
        <w:t>seeks </w:t>
      </w:r>
      <w:r>
        <w:rPr>
          <w:spacing w:val="-3"/>
          <w:w w:val="105"/>
          <w:sz w:val="21"/>
        </w:rPr>
        <w:t>to have </w:t>
      </w:r>
      <w:r>
        <w:rPr>
          <w:w w:val="105"/>
          <w:sz w:val="21"/>
        </w:rPr>
        <w:t>a problem tree on </w:t>
      </w:r>
      <w:r>
        <w:rPr>
          <w:spacing w:val="-3"/>
          <w:w w:val="105"/>
          <w:sz w:val="21"/>
        </w:rPr>
        <w:t>adjoining land </w:t>
      </w:r>
      <w:r>
        <w:rPr>
          <w:w w:val="105"/>
          <w:sz w:val="21"/>
        </w:rPr>
        <w:t>properly </w:t>
      </w:r>
      <w:r>
        <w:rPr>
          <w:spacing w:val="-3"/>
          <w:w w:val="105"/>
          <w:sz w:val="21"/>
        </w:rPr>
        <w:t>maintained </w:t>
      </w:r>
      <w:r>
        <w:rPr>
          <w:w w:val="105"/>
          <w:sz w:val="21"/>
        </w:rPr>
        <w:t>in </w:t>
      </w:r>
      <w:r>
        <w:rPr>
          <w:spacing w:val="-3"/>
          <w:w w:val="105"/>
          <w:sz w:val="21"/>
        </w:rPr>
        <w:t>accordance </w:t>
      </w:r>
      <w:r>
        <w:rPr>
          <w:w w:val="105"/>
          <w:sz w:val="21"/>
        </w:rPr>
        <w:t>with the model </w:t>
      </w:r>
      <w:r>
        <w:rPr>
          <w:spacing w:val="-3"/>
          <w:w w:val="105"/>
          <w:sz w:val="21"/>
        </w:rPr>
        <w:t>maintenance provisions </w:t>
      </w:r>
      <w:r>
        <w:rPr>
          <w:w w:val="105"/>
          <w:sz w:val="21"/>
        </w:rPr>
        <w:t>in a </w:t>
      </w:r>
      <w:r>
        <w:rPr>
          <w:spacing w:val="-3"/>
          <w:w w:val="105"/>
          <w:sz w:val="21"/>
        </w:rPr>
        <w:t>landscaping plan. </w:t>
      </w:r>
      <w:r>
        <w:rPr>
          <w:w w:val="105"/>
          <w:sz w:val="21"/>
        </w:rPr>
        <w:t>In this </w:t>
      </w:r>
      <w:r>
        <w:rPr>
          <w:spacing w:val="-3"/>
          <w:w w:val="105"/>
          <w:sz w:val="21"/>
        </w:rPr>
        <w:t>situation </w:t>
      </w:r>
      <w:r>
        <w:rPr>
          <w:w w:val="105"/>
          <w:sz w:val="21"/>
        </w:rPr>
        <w:t>the affected </w:t>
      </w:r>
      <w:r>
        <w:rPr>
          <w:spacing w:val="-3"/>
          <w:w w:val="105"/>
          <w:sz w:val="21"/>
        </w:rPr>
        <w:t>neighbour </w:t>
      </w:r>
      <w:r>
        <w:rPr>
          <w:w w:val="105"/>
          <w:sz w:val="21"/>
        </w:rPr>
        <w:t>would be able </w:t>
      </w:r>
      <w:r>
        <w:rPr>
          <w:spacing w:val="-3"/>
          <w:w w:val="105"/>
          <w:sz w:val="21"/>
        </w:rPr>
        <w:t>to </w:t>
      </w:r>
      <w:r>
        <w:rPr>
          <w:w w:val="105"/>
          <w:sz w:val="21"/>
        </w:rPr>
        <w:t>contact the </w:t>
      </w:r>
      <w:r>
        <w:rPr>
          <w:spacing w:val="-3"/>
          <w:w w:val="105"/>
          <w:sz w:val="21"/>
        </w:rPr>
        <w:t>responsible</w:t>
      </w:r>
      <w:r>
        <w:rPr>
          <w:spacing w:val="-9"/>
          <w:w w:val="105"/>
          <w:sz w:val="21"/>
        </w:rPr>
        <w:t> </w:t>
      </w:r>
      <w:r>
        <w:rPr>
          <w:w w:val="105"/>
          <w:sz w:val="21"/>
        </w:rPr>
        <w:t>authority</w:t>
      </w:r>
      <w:r>
        <w:rPr>
          <w:spacing w:val="-8"/>
          <w:w w:val="105"/>
          <w:sz w:val="21"/>
        </w:rPr>
        <w:t> </w:t>
      </w:r>
      <w:r>
        <w:rPr>
          <w:w w:val="105"/>
          <w:sz w:val="21"/>
        </w:rPr>
        <w:t>and</w:t>
      </w:r>
      <w:r>
        <w:rPr>
          <w:spacing w:val="-8"/>
          <w:w w:val="105"/>
          <w:sz w:val="21"/>
        </w:rPr>
        <w:t> </w:t>
      </w:r>
      <w:r>
        <w:rPr>
          <w:w w:val="105"/>
          <w:sz w:val="21"/>
        </w:rPr>
        <w:t>ask</w:t>
      </w:r>
      <w:r>
        <w:rPr>
          <w:spacing w:val="-8"/>
          <w:w w:val="105"/>
          <w:sz w:val="21"/>
        </w:rPr>
        <w:t> </w:t>
      </w:r>
      <w:r>
        <w:rPr>
          <w:w w:val="105"/>
          <w:sz w:val="21"/>
        </w:rPr>
        <w:t>them</w:t>
      </w:r>
      <w:r>
        <w:rPr>
          <w:spacing w:val="-9"/>
          <w:w w:val="105"/>
          <w:sz w:val="21"/>
        </w:rPr>
        <w:t> </w:t>
      </w:r>
      <w:r>
        <w:rPr>
          <w:spacing w:val="-3"/>
          <w:w w:val="105"/>
          <w:sz w:val="21"/>
        </w:rPr>
        <w:t>to</w:t>
      </w:r>
      <w:r>
        <w:rPr>
          <w:spacing w:val="-8"/>
          <w:w w:val="105"/>
          <w:sz w:val="21"/>
        </w:rPr>
        <w:t> </w:t>
      </w:r>
      <w:r>
        <w:rPr>
          <w:spacing w:val="-3"/>
          <w:w w:val="105"/>
          <w:sz w:val="21"/>
        </w:rPr>
        <w:t>investigate</w:t>
      </w:r>
      <w:r>
        <w:rPr>
          <w:spacing w:val="-8"/>
          <w:w w:val="105"/>
          <w:sz w:val="21"/>
        </w:rPr>
        <w:t> </w:t>
      </w:r>
      <w:r>
        <w:rPr>
          <w:w w:val="105"/>
          <w:sz w:val="21"/>
        </w:rPr>
        <w:t>their</w:t>
      </w:r>
      <w:r>
        <w:rPr>
          <w:spacing w:val="-8"/>
          <w:w w:val="105"/>
          <w:sz w:val="21"/>
        </w:rPr>
        <w:t> </w:t>
      </w:r>
      <w:r>
        <w:rPr>
          <w:spacing w:val="-3"/>
          <w:w w:val="105"/>
          <w:sz w:val="21"/>
        </w:rPr>
        <w:t>complaint</w:t>
      </w:r>
      <w:r>
        <w:rPr>
          <w:spacing w:val="-9"/>
          <w:w w:val="105"/>
          <w:sz w:val="21"/>
        </w:rPr>
        <w:t> </w:t>
      </w:r>
      <w:r>
        <w:rPr>
          <w:w w:val="105"/>
          <w:sz w:val="21"/>
        </w:rPr>
        <w:t>about</w:t>
      </w:r>
      <w:r>
        <w:rPr>
          <w:spacing w:val="-8"/>
          <w:w w:val="105"/>
          <w:sz w:val="21"/>
        </w:rPr>
        <w:t> </w:t>
      </w:r>
      <w:r>
        <w:rPr>
          <w:w w:val="105"/>
          <w:sz w:val="21"/>
        </w:rPr>
        <w:t>the</w:t>
      </w:r>
      <w:r>
        <w:rPr>
          <w:spacing w:val="-8"/>
          <w:w w:val="105"/>
          <w:sz w:val="21"/>
        </w:rPr>
        <w:t> </w:t>
      </w:r>
      <w:r>
        <w:rPr>
          <w:spacing w:val="-4"/>
          <w:w w:val="105"/>
          <w:sz w:val="21"/>
        </w:rPr>
        <w:t>tree.</w:t>
      </w:r>
      <w:r>
        <w:rPr>
          <w:spacing w:val="-4"/>
          <w:w w:val="105"/>
          <w:position w:val="7"/>
          <w:sz w:val="12"/>
        </w:rPr>
        <w:t>78</w:t>
      </w:r>
      <w:r>
        <w:rPr>
          <w:spacing w:val="15"/>
          <w:w w:val="105"/>
          <w:position w:val="7"/>
          <w:sz w:val="12"/>
        </w:rPr>
        <w:t> </w:t>
      </w:r>
      <w:r>
        <w:rPr>
          <w:w w:val="105"/>
          <w:sz w:val="21"/>
        </w:rPr>
        <w:t>If</w:t>
      </w:r>
      <w:r>
        <w:rPr>
          <w:spacing w:val="-9"/>
          <w:w w:val="105"/>
          <w:sz w:val="21"/>
        </w:rPr>
        <w:t> </w:t>
      </w:r>
      <w:r>
        <w:rPr>
          <w:w w:val="105"/>
          <w:sz w:val="21"/>
        </w:rPr>
        <w:t>this is </w:t>
      </w:r>
      <w:r>
        <w:rPr>
          <w:spacing w:val="-3"/>
          <w:w w:val="105"/>
          <w:sz w:val="21"/>
        </w:rPr>
        <w:t>unable to </w:t>
      </w:r>
      <w:r>
        <w:rPr>
          <w:w w:val="105"/>
          <w:sz w:val="21"/>
        </w:rPr>
        <w:t>resolve their </w:t>
      </w:r>
      <w:r>
        <w:rPr>
          <w:spacing w:val="-3"/>
          <w:w w:val="105"/>
          <w:sz w:val="21"/>
        </w:rPr>
        <w:t>concerns, </w:t>
      </w:r>
      <w:r>
        <w:rPr>
          <w:w w:val="105"/>
          <w:sz w:val="21"/>
        </w:rPr>
        <w:t>section </w:t>
      </w:r>
      <w:r>
        <w:rPr>
          <w:spacing w:val="-13"/>
          <w:w w:val="105"/>
          <w:sz w:val="21"/>
        </w:rPr>
        <w:t>114 </w:t>
      </w:r>
      <w:r>
        <w:rPr>
          <w:w w:val="105"/>
          <w:sz w:val="21"/>
        </w:rPr>
        <w:t>of the </w:t>
      </w:r>
      <w:r>
        <w:rPr>
          <w:spacing w:val="4"/>
          <w:w w:val="105"/>
          <w:sz w:val="21"/>
        </w:rPr>
        <w:t>P&amp;E </w:t>
      </w:r>
      <w:r>
        <w:rPr>
          <w:w w:val="105"/>
          <w:sz w:val="21"/>
        </w:rPr>
        <w:t>Act provides </w:t>
      </w:r>
      <w:r>
        <w:rPr>
          <w:spacing w:val="-3"/>
          <w:w w:val="105"/>
          <w:sz w:val="21"/>
        </w:rPr>
        <w:t>that any </w:t>
      </w:r>
      <w:r>
        <w:rPr>
          <w:w w:val="105"/>
          <w:sz w:val="21"/>
        </w:rPr>
        <w:t>person </w:t>
      </w:r>
      <w:r>
        <w:rPr>
          <w:spacing w:val="-3"/>
          <w:w w:val="105"/>
          <w:sz w:val="21"/>
        </w:rPr>
        <w:t>may </w:t>
      </w:r>
      <w:r>
        <w:rPr>
          <w:w w:val="105"/>
          <w:sz w:val="21"/>
        </w:rPr>
        <w:t>apply </w:t>
      </w:r>
      <w:r>
        <w:rPr>
          <w:spacing w:val="-3"/>
          <w:w w:val="105"/>
          <w:sz w:val="21"/>
        </w:rPr>
        <w:t>to </w:t>
      </w:r>
      <w:r>
        <w:rPr>
          <w:spacing w:val="-5"/>
          <w:w w:val="105"/>
          <w:sz w:val="21"/>
        </w:rPr>
        <w:t>VCAT </w:t>
      </w:r>
      <w:r>
        <w:rPr>
          <w:spacing w:val="-3"/>
          <w:w w:val="105"/>
          <w:sz w:val="21"/>
        </w:rPr>
        <w:t>to force </w:t>
      </w:r>
      <w:r>
        <w:rPr>
          <w:w w:val="105"/>
          <w:sz w:val="21"/>
        </w:rPr>
        <w:t>a permit holder </w:t>
      </w:r>
      <w:r>
        <w:rPr>
          <w:spacing w:val="-3"/>
          <w:w w:val="105"/>
          <w:sz w:val="21"/>
        </w:rPr>
        <w:t>to </w:t>
      </w:r>
      <w:r>
        <w:rPr>
          <w:w w:val="105"/>
          <w:sz w:val="21"/>
        </w:rPr>
        <w:t>comply with a </w:t>
      </w:r>
      <w:r>
        <w:rPr>
          <w:spacing w:val="-3"/>
          <w:w w:val="105"/>
          <w:sz w:val="21"/>
        </w:rPr>
        <w:t>condition </w:t>
      </w:r>
      <w:r>
        <w:rPr>
          <w:w w:val="105"/>
          <w:sz w:val="21"/>
        </w:rPr>
        <w:t>of their</w:t>
      </w:r>
      <w:r>
        <w:rPr>
          <w:spacing w:val="-13"/>
          <w:w w:val="105"/>
          <w:sz w:val="21"/>
        </w:rPr>
        <w:t> </w:t>
      </w:r>
      <w:r>
        <w:rPr>
          <w:w w:val="105"/>
          <w:sz w:val="21"/>
        </w:rPr>
        <w:t>permit.</w:t>
      </w:r>
    </w:p>
    <w:p>
      <w:pPr>
        <w:pStyle w:val="ListParagraph"/>
        <w:numPr>
          <w:ilvl w:val="1"/>
          <w:numId w:val="16"/>
        </w:numPr>
        <w:tabs>
          <w:tab w:pos="2381" w:val="left" w:leader="none"/>
          <w:tab w:pos="2382" w:val="left" w:leader="none"/>
        </w:tabs>
        <w:spacing w:line="242" w:lineRule="auto" w:before="127" w:after="0"/>
        <w:ind w:left="2381" w:right="1652" w:hanging="794"/>
        <w:jc w:val="left"/>
        <w:rPr>
          <w:sz w:val="21"/>
        </w:rPr>
      </w:pPr>
      <w:r>
        <w:rPr>
          <w:spacing w:val="-4"/>
          <w:w w:val="105"/>
          <w:sz w:val="21"/>
        </w:rPr>
        <w:t>However,</w:t>
      </w:r>
      <w:r>
        <w:rPr>
          <w:spacing w:val="-5"/>
          <w:w w:val="105"/>
          <w:sz w:val="21"/>
        </w:rPr>
        <w:t> </w:t>
      </w:r>
      <w:r>
        <w:rPr>
          <w:w w:val="105"/>
          <w:sz w:val="21"/>
        </w:rPr>
        <w:t>if</w:t>
      </w:r>
      <w:r>
        <w:rPr>
          <w:spacing w:val="-5"/>
          <w:w w:val="105"/>
          <w:sz w:val="21"/>
        </w:rPr>
        <w:t> </w:t>
      </w:r>
      <w:r>
        <w:rPr>
          <w:w w:val="105"/>
          <w:sz w:val="21"/>
        </w:rPr>
        <w:t>the</w:t>
      </w:r>
      <w:r>
        <w:rPr>
          <w:spacing w:val="-5"/>
          <w:w w:val="105"/>
          <w:sz w:val="21"/>
        </w:rPr>
        <w:t> </w:t>
      </w:r>
      <w:r>
        <w:rPr>
          <w:w w:val="105"/>
          <w:sz w:val="21"/>
        </w:rPr>
        <w:t>permit</w:t>
      </w:r>
      <w:r>
        <w:rPr>
          <w:spacing w:val="-5"/>
          <w:w w:val="105"/>
          <w:sz w:val="21"/>
        </w:rPr>
        <w:t> </w:t>
      </w:r>
      <w:r>
        <w:rPr>
          <w:spacing w:val="-3"/>
          <w:w w:val="105"/>
          <w:sz w:val="21"/>
        </w:rPr>
        <w:t>conditions</w:t>
      </w:r>
      <w:r>
        <w:rPr>
          <w:spacing w:val="-5"/>
          <w:w w:val="105"/>
          <w:sz w:val="21"/>
        </w:rPr>
        <w:t> </w:t>
      </w:r>
      <w:r>
        <w:rPr>
          <w:spacing w:val="-3"/>
          <w:w w:val="105"/>
          <w:sz w:val="21"/>
        </w:rPr>
        <w:t>are</w:t>
      </w:r>
      <w:r>
        <w:rPr>
          <w:spacing w:val="-5"/>
          <w:w w:val="105"/>
          <w:sz w:val="21"/>
        </w:rPr>
        <w:t> </w:t>
      </w:r>
      <w:r>
        <w:rPr>
          <w:spacing w:val="-3"/>
          <w:w w:val="105"/>
          <w:sz w:val="21"/>
        </w:rPr>
        <w:t>such</w:t>
      </w:r>
      <w:r>
        <w:rPr>
          <w:spacing w:val="-5"/>
          <w:w w:val="105"/>
          <w:sz w:val="21"/>
        </w:rPr>
        <w:t> </w:t>
      </w:r>
      <w:r>
        <w:rPr>
          <w:spacing w:val="-3"/>
          <w:w w:val="105"/>
          <w:sz w:val="21"/>
        </w:rPr>
        <w:t>that</w:t>
      </w:r>
      <w:r>
        <w:rPr>
          <w:spacing w:val="-5"/>
          <w:w w:val="105"/>
          <w:sz w:val="21"/>
        </w:rPr>
        <w:t> </w:t>
      </w:r>
      <w:r>
        <w:rPr>
          <w:w w:val="105"/>
          <w:sz w:val="21"/>
        </w:rPr>
        <w:t>the</w:t>
      </w:r>
      <w:r>
        <w:rPr>
          <w:spacing w:val="-5"/>
          <w:w w:val="105"/>
          <w:sz w:val="21"/>
        </w:rPr>
        <w:t> </w:t>
      </w:r>
      <w:r>
        <w:rPr>
          <w:w w:val="105"/>
          <w:sz w:val="21"/>
        </w:rPr>
        <w:t>affected</w:t>
      </w:r>
      <w:r>
        <w:rPr>
          <w:spacing w:val="-5"/>
          <w:w w:val="105"/>
          <w:sz w:val="21"/>
        </w:rPr>
        <w:t> </w:t>
      </w:r>
      <w:r>
        <w:rPr>
          <w:spacing w:val="-3"/>
          <w:w w:val="105"/>
          <w:sz w:val="21"/>
        </w:rPr>
        <w:t>neighbour</w:t>
      </w:r>
      <w:r>
        <w:rPr>
          <w:spacing w:val="-5"/>
          <w:w w:val="105"/>
          <w:sz w:val="21"/>
        </w:rPr>
        <w:t> </w:t>
      </w:r>
      <w:r>
        <w:rPr>
          <w:w w:val="105"/>
          <w:sz w:val="21"/>
        </w:rPr>
        <w:t>needs</w:t>
      </w:r>
      <w:r>
        <w:rPr>
          <w:spacing w:val="-5"/>
          <w:w w:val="105"/>
          <w:sz w:val="21"/>
        </w:rPr>
        <w:t> </w:t>
      </w:r>
      <w:r>
        <w:rPr>
          <w:w w:val="105"/>
          <w:sz w:val="21"/>
        </w:rPr>
        <w:t>the</w:t>
      </w:r>
      <w:r>
        <w:rPr>
          <w:spacing w:val="-5"/>
          <w:w w:val="105"/>
          <w:sz w:val="21"/>
        </w:rPr>
        <w:t> </w:t>
      </w:r>
      <w:r>
        <w:rPr>
          <w:w w:val="105"/>
          <w:sz w:val="21"/>
        </w:rPr>
        <w:t>existing permit</w:t>
      </w:r>
      <w:r>
        <w:rPr>
          <w:spacing w:val="-9"/>
          <w:w w:val="105"/>
          <w:sz w:val="21"/>
        </w:rPr>
        <w:t> </w:t>
      </w:r>
      <w:r>
        <w:rPr>
          <w:w w:val="105"/>
          <w:sz w:val="21"/>
        </w:rPr>
        <w:t>amended</w:t>
      </w:r>
      <w:r>
        <w:rPr>
          <w:spacing w:val="-9"/>
          <w:w w:val="105"/>
          <w:sz w:val="21"/>
        </w:rPr>
        <w:t> </w:t>
      </w:r>
      <w:r>
        <w:rPr>
          <w:spacing w:val="-3"/>
          <w:w w:val="105"/>
          <w:sz w:val="21"/>
        </w:rPr>
        <w:t>to</w:t>
      </w:r>
      <w:r>
        <w:rPr>
          <w:spacing w:val="-9"/>
          <w:w w:val="105"/>
          <w:sz w:val="21"/>
        </w:rPr>
        <w:t> </w:t>
      </w:r>
      <w:r>
        <w:rPr>
          <w:w w:val="105"/>
          <w:sz w:val="21"/>
        </w:rPr>
        <w:t>resolve</w:t>
      </w:r>
      <w:r>
        <w:rPr>
          <w:spacing w:val="-9"/>
          <w:w w:val="105"/>
          <w:sz w:val="21"/>
        </w:rPr>
        <w:t> </w:t>
      </w:r>
      <w:r>
        <w:rPr>
          <w:w w:val="105"/>
          <w:sz w:val="21"/>
        </w:rPr>
        <w:t>the</w:t>
      </w:r>
      <w:r>
        <w:rPr>
          <w:spacing w:val="-9"/>
          <w:w w:val="105"/>
          <w:sz w:val="21"/>
        </w:rPr>
        <w:t> </w:t>
      </w:r>
      <w:r>
        <w:rPr>
          <w:spacing w:val="-3"/>
          <w:w w:val="105"/>
          <w:sz w:val="21"/>
        </w:rPr>
        <w:t>dispute,</w:t>
      </w:r>
      <w:r>
        <w:rPr>
          <w:spacing w:val="-9"/>
          <w:w w:val="105"/>
          <w:sz w:val="21"/>
        </w:rPr>
        <w:t> </w:t>
      </w:r>
      <w:r>
        <w:rPr>
          <w:w w:val="105"/>
          <w:sz w:val="21"/>
        </w:rPr>
        <w:t>the</w:t>
      </w:r>
      <w:r>
        <w:rPr>
          <w:spacing w:val="-9"/>
          <w:w w:val="105"/>
          <w:sz w:val="21"/>
        </w:rPr>
        <w:t> </w:t>
      </w:r>
      <w:r>
        <w:rPr>
          <w:w w:val="105"/>
          <w:sz w:val="21"/>
        </w:rPr>
        <w:t>affected</w:t>
      </w:r>
      <w:r>
        <w:rPr>
          <w:spacing w:val="-8"/>
          <w:w w:val="105"/>
          <w:sz w:val="21"/>
        </w:rPr>
        <w:t> </w:t>
      </w:r>
      <w:r>
        <w:rPr>
          <w:spacing w:val="-3"/>
          <w:w w:val="105"/>
          <w:sz w:val="21"/>
        </w:rPr>
        <w:t>neighbour</w:t>
      </w:r>
      <w:r>
        <w:rPr>
          <w:spacing w:val="-9"/>
          <w:w w:val="105"/>
          <w:sz w:val="21"/>
        </w:rPr>
        <w:t> </w:t>
      </w:r>
      <w:r>
        <w:rPr>
          <w:w w:val="105"/>
          <w:sz w:val="21"/>
        </w:rPr>
        <w:t>would</w:t>
      </w:r>
      <w:r>
        <w:rPr>
          <w:spacing w:val="-9"/>
          <w:w w:val="105"/>
          <w:sz w:val="21"/>
        </w:rPr>
        <w:t> </w:t>
      </w:r>
      <w:r>
        <w:rPr>
          <w:spacing w:val="-3"/>
          <w:w w:val="105"/>
          <w:sz w:val="21"/>
        </w:rPr>
        <w:t>have</w:t>
      </w:r>
      <w:r>
        <w:rPr>
          <w:spacing w:val="-9"/>
          <w:w w:val="105"/>
          <w:sz w:val="21"/>
        </w:rPr>
        <w:t> </w:t>
      </w:r>
      <w:r>
        <w:rPr>
          <w:w w:val="105"/>
          <w:sz w:val="21"/>
        </w:rPr>
        <w:t>little</w:t>
      </w:r>
      <w:r>
        <w:rPr>
          <w:spacing w:val="-9"/>
          <w:w w:val="105"/>
          <w:sz w:val="21"/>
        </w:rPr>
        <w:t> </w:t>
      </w:r>
      <w:r>
        <w:rPr>
          <w:spacing w:val="-3"/>
          <w:w w:val="105"/>
          <w:sz w:val="21"/>
        </w:rPr>
        <w:t>redress. </w:t>
      </w:r>
      <w:r>
        <w:rPr>
          <w:spacing w:val="-5"/>
          <w:w w:val="105"/>
          <w:sz w:val="21"/>
        </w:rPr>
        <w:t>VCAT </w:t>
      </w:r>
      <w:r>
        <w:rPr>
          <w:spacing w:val="-3"/>
          <w:w w:val="105"/>
          <w:sz w:val="21"/>
        </w:rPr>
        <w:t>currently </w:t>
      </w:r>
      <w:r>
        <w:rPr>
          <w:w w:val="105"/>
          <w:sz w:val="21"/>
        </w:rPr>
        <w:t>only </w:t>
      </w:r>
      <w:r>
        <w:rPr>
          <w:spacing w:val="-2"/>
          <w:w w:val="105"/>
          <w:sz w:val="21"/>
        </w:rPr>
        <w:t>has </w:t>
      </w:r>
      <w:r>
        <w:rPr>
          <w:w w:val="105"/>
          <w:sz w:val="21"/>
        </w:rPr>
        <w:t>the power </w:t>
      </w:r>
      <w:r>
        <w:rPr>
          <w:spacing w:val="-3"/>
          <w:w w:val="105"/>
          <w:sz w:val="21"/>
        </w:rPr>
        <w:t>to </w:t>
      </w:r>
      <w:r>
        <w:rPr>
          <w:w w:val="105"/>
          <w:sz w:val="21"/>
        </w:rPr>
        <w:t>cancel or amend a permit at the request</w:t>
      </w:r>
      <w:r>
        <w:rPr>
          <w:spacing w:val="12"/>
          <w:w w:val="105"/>
          <w:sz w:val="21"/>
        </w:rPr>
        <w:t> </w:t>
      </w:r>
      <w:r>
        <w:rPr>
          <w:spacing w:val="-3"/>
          <w:w w:val="105"/>
          <w:sz w:val="21"/>
        </w:rPr>
        <w:t>of:</w:t>
      </w:r>
    </w:p>
    <w:p>
      <w:pPr>
        <w:pStyle w:val="ListParagraph"/>
        <w:numPr>
          <w:ilvl w:val="2"/>
          <w:numId w:val="16"/>
        </w:numPr>
        <w:tabs>
          <w:tab w:pos="2721" w:val="left" w:leader="none"/>
          <w:tab w:pos="2722" w:val="left" w:leader="none"/>
        </w:tabs>
        <w:spacing w:line="240" w:lineRule="auto" w:before="123" w:after="0"/>
        <w:ind w:left="2721" w:right="0" w:hanging="340"/>
        <w:jc w:val="left"/>
        <w:rPr>
          <w:sz w:val="21"/>
        </w:rPr>
      </w:pPr>
      <w:r>
        <w:rPr>
          <w:sz w:val="21"/>
        </w:rPr>
        <w:t>the </w:t>
      </w:r>
      <w:r>
        <w:rPr>
          <w:spacing w:val="-3"/>
          <w:sz w:val="21"/>
        </w:rPr>
        <w:t>responsible</w:t>
      </w:r>
      <w:r>
        <w:rPr>
          <w:spacing w:val="16"/>
          <w:sz w:val="21"/>
        </w:rPr>
        <w:t> </w:t>
      </w:r>
      <w:r>
        <w:rPr>
          <w:sz w:val="21"/>
        </w:rPr>
        <w:t>authority</w:t>
      </w:r>
    </w:p>
    <w:p>
      <w:pPr>
        <w:pStyle w:val="ListParagraph"/>
        <w:numPr>
          <w:ilvl w:val="2"/>
          <w:numId w:val="16"/>
        </w:numPr>
        <w:tabs>
          <w:tab w:pos="2721" w:val="left" w:leader="none"/>
          <w:tab w:pos="2722" w:val="left" w:leader="none"/>
        </w:tabs>
        <w:spacing w:line="242" w:lineRule="auto" w:before="89" w:after="0"/>
        <w:ind w:left="2721" w:right="1814" w:hanging="340"/>
        <w:jc w:val="left"/>
        <w:rPr>
          <w:sz w:val="21"/>
        </w:rPr>
      </w:pPr>
      <w:r>
        <w:rPr>
          <w:spacing w:val="-3"/>
          <w:sz w:val="21"/>
        </w:rPr>
        <w:t>any </w:t>
      </w:r>
      <w:r>
        <w:rPr>
          <w:sz w:val="21"/>
        </w:rPr>
        <w:t>person under section 89 of the </w:t>
      </w:r>
      <w:r>
        <w:rPr>
          <w:spacing w:val="4"/>
          <w:sz w:val="21"/>
        </w:rPr>
        <w:t>P&amp;E </w:t>
      </w:r>
      <w:r>
        <w:rPr>
          <w:sz w:val="21"/>
        </w:rPr>
        <w:t>Act (this </w:t>
      </w:r>
      <w:r>
        <w:rPr>
          <w:spacing w:val="-3"/>
          <w:sz w:val="21"/>
        </w:rPr>
        <w:t>includes any  </w:t>
      </w:r>
      <w:r>
        <w:rPr>
          <w:sz w:val="21"/>
        </w:rPr>
        <w:t>person who objected  or</w:t>
      </w:r>
      <w:r>
        <w:rPr>
          <w:spacing w:val="9"/>
          <w:sz w:val="21"/>
        </w:rPr>
        <w:t> </w:t>
      </w:r>
      <w:r>
        <w:rPr>
          <w:sz w:val="21"/>
        </w:rPr>
        <w:t>would</w:t>
      </w:r>
      <w:r>
        <w:rPr>
          <w:spacing w:val="10"/>
          <w:sz w:val="21"/>
        </w:rPr>
        <w:t> </w:t>
      </w:r>
      <w:r>
        <w:rPr>
          <w:spacing w:val="-3"/>
          <w:sz w:val="21"/>
        </w:rPr>
        <w:t>have</w:t>
      </w:r>
      <w:r>
        <w:rPr>
          <w:spacing w:val="10"/>
          <w:sz w:val="21"/>
        </w:rPr>
        <w:t> </w:t>
      </w:r>
      <w:r>
        <w:rPr>
          <w:sz w:val="21"/>
        </w:rPr>
        <w:t>been</w:t>
      </w:r>
      <w:r>
        <w:rPr>
          <w:spacing w:val="10"/>
          <w:sz w:val="21"/>
        </w:rPr>
        <w:t> </w:t>
      </w:r>
      <w:r>
        <w:rPr>
          <w:sz w:val="21"/>
        </w:rPr>
        <w:t>entitled</w:t>
      </w:r>
      <w:r>
        <w:rPr>
          <w:spacing w:val="9"/>
          <w:sz w:val="21"/>
        </w:rPr>
        <w:t> </w:t>
      </w:r>
      <w:r>
        <w:rPr>
          <w:spacing w:val="-3"/>
          <w:sz w:val="21"/>
        </w:rPr>
        <w:t>to</w:t>
      </w:r>
      <w:r>
        <w:rPr>
          <w:spacing w:val="10"/>
          <w:sz w:val="21"/>
        </w:rPr>
        <w:t> </w:t>
      </w:r>
      <w:r>
        <w:rPr>
          <w:sz w:val="21"/>
        </w:rPr>
        <w:t>object</w:t>
      </w:r>
      <w:r>
        <w:rPr>
          <w:spacing w:val="10"/>
          <w:sz w:val="21"/>
        </w:rPr>
        <w:t> </w:t>
      </w:r>
      <w:r>
        <w:rPr>
          <w:spacing w:val="-3"/>
          <w:sz w:val="21"/>
        </w:rPr>
        <w:t>to</w:t>
      </w:r>
      <w:r>
        <w:rPr>
          <w:spacing w:val="10"/>
          <w:sz w:val="21"/>
        </w:rPr>
        <w:t> </w:t>
      </w:r>
      <w:r>
        <w:rPr>
          <w:sz w:val="21"/>
        </w:rPr>
        <w:t>the</w:t>
      </w:r>
      <w:r>
        <w:rPr>
          <w:spacing w:val="9"/>
          <w:sz w:val="21"/>
        </w:rPr>
        <w:t> </w:t>
      </w:r>
      <w:r>
        <w:rPr>
          <w:sz w:val="21"/>
        </w:rPr>
        <w:t>issue</w:t>
      </w:r>
      <w:r>
        <w:rPr>
          <w:spacing w:val="10"/>
          <w:sz w:val="21"/>
        </w:rPr>
        <w:t> </w:t>
      </w:r>
      <w:r>
        <w:rPr>
          <w:sz w:val="21"/>
        </w:rPr>
        <w:t>of</w:t>
      </w:r>
      <w:r>
        <w:rPr>
          <w:spacing w:val="10"/>
          <w:sz w:val="21"/>
        </w:rPr>
        <w:t> </w:t>
      </w:r>
      <w:r>
        <w:rPr>
          <w:sz w:val="21"/>
        </w:rPr>
        <w:t>the</w:t>
      </w:r>
      <w:r>
        <w:rPr>
          <w:spacing w:val="10"/>
          <w:sz w:val="21"/>
        </w:rPr>
        <w:t> </w:t>
      </w:r>
      <w:r>
        <w:rPr>
          <w:sz w:val="21"/>
        </w:rPr>
        <w:t>permit)</w:t>
      </w:r>
      <w:r>
        <w:rPr>
          <w:position w:val="7"/>
          <w:sz w:val="12"/>
        </w:rPr>
        <w:t>79</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z w:val="21"/>
        </w:rPr>
        <w:t>a </w:t>
      </w:r>
      <w:r>
        <w:rPr>
          <w:spacing w:val="-3"/>
          <w:sz w:val="21"/>
        </w:rPr>
        <w:t>referral</w:t>
      </w:r>
      <w:r>
        <w:rPr>
          <w:spacing w:val="16"/>
          <w:sz w:val="21"/>
        </w:rPr>
        <w:t> </w:t>
      </w:r>
      <w:r>
        <w:rPr>
          <w:sz w:val="21"/>
        </w:rPr>
        <w:t>authority</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w w:val="105"/>
          <w:sz w:val="21"/>
        </w:rPr>
        <w:t>the owner or </w:t>
      </w:r>
      <w:r>
        <w:rPr>
          <w:spacing w:val="-3"/>
          <w:w w:val="105"/>
          <w:sz w:val="21"/>
        </w:rPr>
        <w:t>occupier </w:t>
      </w:r>
      <w:r>
        <w:rPr>
          <w:w w:val="105"/>
          <w:sz w:val="21"/>
        </w:rPr>
        <w:t>of the </w:t>
      </w:r>
      <w:r>
        <w:rPr>
          <w:spacing w:val="-3"/>
          <w:w w:val="105"/>
          <w:sz w:val="21"/>
        </w:rPr>
        <w:t>land concerned,</w:t>
      </w:r>
      <w:r>
        <w:rPr>
          <w:spacing w:val="-1"/>
          <w:w w:val="105"/>
          <w:sz w:val="21"/>
        </w:rPr>
        <w:t> </w:t>
      </w:r>
      <w:r>
        <w:rPr>
          <w:w w:val="105"/>
          <w:sz w:val="21"/>
        </w:rPr>
        <w:t>or</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w w:val="105"/>
          <w:sz w:val="21"/>
        </w:rPr>
        <w:t>any </w:t>
      </w:r>
      <w:r>
        <w:rPr>
          <w:w w:val="105"/>
          <w:sz w:val="21"/>
        </w:rPr>
        <w:t>person who is entitled </w:t>
      </w:r>
      <w:r>
        <w:rPr>
          <w:spacing w:val="-3"/>
          <w:w w:val="105"/>
          <w:sz w:val="21"/>
        </w:rPr>
        <w:t>to </w:t>
      </w:r>
      <w:r>
        <w:rPr>
          <w:w w:val="105"/>
          <w:sz w:val="21"/>
        </w:rPr>
        <w:t>use or develop the </w:t>
      </w:r>
      <w:r>
        <w:rPr>
          <w:spacing w:val="-3"/>
          <w:w w:val="105"/>
          <w:sz w:val="21"/>
        </w:rPr>
        <w:t>land </w:t>
      </w:r>
      <w:r>
        <w:rPr>
          <w:w w:val="105"/>
          <w:sz w:val="21"/>
        </w:rPr>
        <w:t>concerned.</w:t>
      </w:r>
      <w:r>
        <w:rPr>
          <w:w w:val="105"/>
          <w:position w:val="7"/>
          <w:sz w:val="12"/>
        </w:rPr>
        <w:t>80</w:t>
      </w:r>
    </w:p>
    <w:p>
      <w:pPr>
        <w:pStyle w:val="ListParagraph"/>
        <w:numPr>
          <w:ilvl w:val="1"/>
          <w:numId w:val="16"/>
        </w:numPr>
        <w:tabs>
          <w:tab w:pos="2381" w:val="left" w:leader="none"/>
          <w:tab w:pos="2382" w:val="left" w:leader="none"/>
        </w:tabs>
        <w:spacing w:line="242" w:lineRule="auto" w:before="89" w:after="0"/>
        <w:ind w:left="2381" w:right="2024" w:hanging="794"/>
        <w:jc w:val="left"/>
        <w:rPr>
          <w:sz w:val="21"/>
        </w:rPr>
      </w:pPr>
      <w:r>
        <w:rPr>
          <w:spacing w:val="-4"/>
          <w:sz w:val="21"/>
        </w:rPr>
        <w:t>Further, </w:t>
      </w:r>
      <w:r>
        <w:rPr>
          <w:spacing w:val="-5"/>
          <w:sz w:val="21"/>
        </w:rPr>
        <w:t>VCAT </w:t>
      </w:r>
      <w:r>
        <w:rPr>
          <w:sz w:val="21"/>
        </w:rPr>
        <w:t>must be satisfied </w:t>
      </w:r>
      <w:r>
        <w:rPr>
          <w:spacing w:val="-3"/>
          <w:sz w:val="21"/>
        </w:rPr>
        <w:t>that </w:t>
      </w:r>
      <w:r>
        <w:rPr>
          <w:sz w:val="21"/>
        </w:rPr>
        <w:t>one of the </w:t>
      </w:r>
      <w:r>
        <w:rPr>
          <w:spacing w:val="-3"/>
          <w:sz w:val="21"/>
        </w:rPr>
        <w:t>following circumstances </w:t>
      </w:r>
      <w:r>
        <w:rPr>
          <w:spacing w:val="-2"/>
          <w:sz w:val="21"/>
        </w:rPr>
        <w:t>has </w:t>
      </w:r>
      <w:r>
        <w:rPr>
          <w:spacing w:val="-3"/>
          <w:sz w:val="21"/>
        </w:rPr>
        <w:t>occurred before </w:t>
      </w:r>
      <w:r>
        <w:rPr>
          <w:sz w:val="21"/>
        </w:rPr>
        <w:t>it </w:t>
      </w:r>
      <w:r>
        <w:rPr>
          <w:spacing w:val="-3"/>
          <w:sz w:val="21"/>
        </w:rPr>
        <w:t>will interfere </w:t>
      </w:r>
      <w:r>
        <w:rPr>
          <w:sz w:val="21"/>
        </w:rPr>
        <w:t>with a</w:t>
      </w:r>
      <w:r>
        <w:rPr>
          <w:spacing w:val="13"/>
          <w:sz w:val="21"/>
        </w:rPr>
        <w:t> </w:t>
      </w:r>
      <w:r>
        <w:rPr>
          <w:sz w:val="21"/>
        </w:rPr>
        <w:t>permit:</w:t>
      </w:r>
    </w:p>
    <w:p>
      <w:pPr>
        <w:pStyle w:val="BodyText"/>
        <w:spacing w:before="9"/>
        <w:rPr>
          <w:sz w:val="24"/>
        </w:rPr>
      </w:pPr>
      <w:r>
        <w:rPr/>
        <w:pict>
          <v:line style="position:absolute;mso-position-horizontal-relative:page;mso-position-vertical-relative:paragraph;z-index:9584;mso-wrap-distance-left:0;mso-wrap-distance-right:0" from="79.370102pt,17.584736pt" to="515.905102pt,17.584736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22"/>
        </w:rPr>
      </w:pPr>
    </w:p>
    <w:p>
      <w:pPr>
        <w:spacing w:before="0"/>
        <w:ind w:left="720" w:right="0" w:firstLine="0"/>
        <w:jc w:val="left"/>
        <w:rPr>
          <w:b/>
          <w:sz w:val="24"/>
        </w:rPr>
      </w:pPr>
      <w:r>
        <w:rPr>
          <w:b/>
          <w:color w:val="658464"/>
          <w:spacing w:val="-2"/>
          <w:w w:val="110"/>
          <w:sz w:val="24"/>
        </w:rPr>
        <w:t>226</w:t>
      </w:r>
    </w:p>
    <w:p>
      <w:pPr>
        <w:pStyle w:val="ListParagraph"/>
        <w:numPr>
          <w:ilvl w:val="0"/>
          <w:numId w:val="165"/>
        </w:numPr>
        <w:tabs>
          <w:tab w:pos="1224" w:val="left" w:leader="none"/>
          <w:tab w:pos="1225" w:val="left" w:leader="none"/>
        </w:tabs>
        <w:spacing w:line="240" w:lineRule="auto" w:before="48" w:after="0"/>
        <w:ind w:left="1224" w:right="1740" w:hanging="794"/>
        <w:jc w:val="left"/>
        <w:rPr>
          <w:sz w:val="13"/>
        </w:rPr>
      </w:pPr>
      <w:r>
        <w:rPr>
          <w:spacing w:val="3"/>
          <w:w w:val="103"/>
          <w:sz w:val="13"/>
        </w:rPr>
        <w:br w:type="column"/>
      </w:r>
      <w:r>
        <w:rPr>
          <w:w w:val="105"/>
          <w:sz w:val="13"/>
        </w:rPr>
        <w:t>See </w:t>
      </w:r>
      <w:r>
        <w:rPr>
          <w:i/>
          <w:w w:val="105"/>
          <w:sz w:val="13"/>
        </w:rPr>
        <w:t>Broome v Maroondah CC </w:t>
      </w:r>
      <w:r>
        <w:rPr>
          <w:w w:val="105"/>
          <w:sz w:val="13"/>
        </w:rPr>
        <w:t>[2016] VCAT </w:t>
      </w:r>
      <w:r>
        <w:rPr>
          <w:spacing w:val="-5"/>
          <w:w w:val="105"/>
          <w:sz w:val="13"/>
        </w:rPr>
        <w:t>1161  </w:t>
      </w:r>
      <w:r>
        <w:rPr>
          <w:spacing w:val="2"/>
          <w:w w:val="105"/>
          <w:sz w:val="13"/>
        </w:rPr>
        <w:t>[28]. </w:t>
      </w:r>
      <w:r>
        <w:rPr>
          <w:w w:val="105"/>
          <w:sz w:val="13"/>
        </w:rPr>
        <w:t>Permit conditions can control more than just the actual development that may      need planning approval. Conditions regarding fencing and landscaping are common on permits relating to the development of multiple dwellings on a lot. See also City of Boroondara, </w:t>
      </w:r>
      <w:r>
        <w:rPr>
          <w:i/>
          <w:w w:val="105"/>
          <w:sz w:val="13"/>
        </w:rPr>
        <w:t>Landscape Plan Guidelines </w:t>
      </w:r>
      <w:r>
        <w:rPr>
          <w:w w:val="105"/>
          <w:sz w:val="13"/>
        </w:rPr>
        <w:t>(Practice Document, 2019) &lt;https://</w:t>
      </w:r>
      <w:hyperlink r:id="rId262">
        <w:r>
          <w:rPr>
            <w:w w:val="105"/>
            <w:sz w:val="13"/>
          </w:rPr>
          <w:t>www.boroondara.vic.gov.</w:t>
        </w:r>
      </w:hyperlink>
      <w:r>
        <w:rPr>
          <w:w w:val="105"/>
          <w:sz w:val="13"/>
        </w:rPr>
        <w:t> au/planning-building/planning-permit-applications/landscape-plan-guidelines&gt;.</w:t>
      </w:r>
    </w:p>
    <w:p>
      <w:pPr>
        <w:pStyle w:val="ListParagraph"/>
        <w:numPr>
          <w:ilvl w:val="0"/>
          <w:numId w:val="165"/>
        </w:numPr>
        <w:tabs>
          <w:tab w:pos="1224" w:val="left" w:leader="none"/>
          <w:tab w:pos="1225" w:val="left" w:leader="none"/>
        </w:tabs>
        <w:spacing w:line="240" w:lineRule="auto" w:before="5" w:after="0"/>
        <w:ind w:left="1224" w:right="1610" w:hanging="794"/>
        <w:jc w:val="left"/>
        <w:rPr>
          <w:sz w:val="13"/>
        </w:rPr>
      </w:pPr>
      <w:r>
        <w:rPr>
          <w:w w:val="105"/>
          <w:sz w:val="13"/>
        </w:rPr>
        <w:t>Department of Sustainability and Environment, </w:t>
      </w:r>
      <w:r>
        <w:rPr>
          <w:i/>
          <w:w w:val="105"/>
          <w:sz w:val="13"/>
        </w:rPr>
        <w:t>Writing Planning Permits </w:t>
      </w:r>
      <w:r>
        <w:rPr>
          <w:w w:val="105"/>
          <w:sz w:val="13"/>
        </w:rPr>
        <w:t>(2nd ed, February 2007) 20–21; see also Growth Areas Authority, </w:t>
      </w:r>
      <w:r>
        <w:rPr>
          <w:i/>
          <w:w w:val="105"/>
          <w:sz w:val="13"/>
        </w:rPr>
        <w:t>Growth Area Model Planning Permit Conditions—A Manual for Implementation </w:t>
      </w:r>
      <w:r>
        <w:rPr>
          <w:spacing w:val="2"/>
          <w:w w:val="105"/>
          <w:sz w:val="13"/>
        </w:rPr>
        <w:t>(October </w:t>
      </w:r>
      <w:r>
        <w:rPr>
          <w:w w:val="105"/>
          <w:sz w:val="13"/>
        </w:rPr>
        <w:t>2011); see, eg, Knox City Council, </w:t>
      </w:r>
      <w:r>
        <w:rPr>
          <w:i/>
          <w:w w:val="105"/>
          <w:sz w:val="13"/>
        </w:rPr>
        <w:t>Landscape Plan </w:t>
      </w:r>
      <w:r>
        <w:rPr>
          <w:i/>
          <w:w w:val="105"/>
          <w:sz w:val="13"/>
        </w:rPr>
        <w:t>Guidelines—How</w:t>
      </w:r>
      <w:r>
        <w:rPr>
          <w:i/>
          <w:spacing w:val="4"/>
          <w:w w:val="105"/>
          <w:sz w:val="13"/>
        </w:rPr>
        <w:t> </w:t>
      </w:r>
      <w:r>
        <w:rPr>
          <w:i/>
          <w:w w:val="105"/>
          <w:sz w:val="13"/>
        </w:rPr>
        <w:t>to</w:t>
      </w:r>
      <w:r>
        <w:rPr>
          <w:i/>
          <w:spacing w:val="5"/>
          <w:w w:val="105"/>
          <w:sz w:val="13"/>
        </w:rPr>
        <w:t> </w:t>
      </w:r>
      <w:r>
        <w:rPr>
          <w:i/>
          <w:w w:val="105"/>
          <w:sz w:val="13"/>
        </w:rPr>
        <w:t>Prepare</w:t>
      </w:r>
      <w:r>
        <w:rPr>
          <w:i/>
          <w:spacing w:val="5"/>
          <w:w w:val="105"/>
          <w:sz w:val="13"/>
        </w:rPr>
        <w:t> </w:t>
      </w:r>
      <w:r>
        <w:rPr>
          <w:i/>
          <w:w w:val="105"/>
          <w:sz w:val="13"/>
        </w:rPr>
        <w:t>a</w:t>
      </w:r>
      <w:r>
        <w:rPr>
          <w:i/>
          <w:spacing w:val="5"/>
          <w:w w:val="105"/>
          <w:sz w:val="13"/>
        </w:rPr>
        <w:t> </w:t>
      </w:r>
      <w:r>
        <w:rPr>
          <w:i/>
          <w:w w:val="105"/>
          <w:sz w:val="13"/>
        </w:rPr>
        <w:t>Landscape</w:t>
      </w:r>
      <w:r>
        <w:rPr>
          <w:i/>
          <w:spacing w:val="5"/>
          <w:w w:val="105"/>
          <w:sz w:val="13"/>
        </w:rPr>
        <w:t> </w:t>
      </w:r>
      <w:r>
        <w:rPr>
          <w:i/>
          <w:w w:val="105"/>
          <w:sz w:val="13"/>
        </w:rPr>
        <w:t>Plan</w:t>
      </w:r>
      <w:r>
        <w:rPr>
          <w:i/>
          <w:spacing w:val="5"/>
          <w:w w:val="105"/>
          <w:sz w:val="13"/>
        </w:rPr>
        <w:t> </w:t>
      </w:r>
      <w:r>
        <w:rPr>
          <w:i/>
          <w:w w:val="105"/>
          <w:sz w:val="13"/>
        </w:rPr>
        <w:t>for</w:t>
      </w:r>
      <w:r>
        <w:rPr>
          <w:i/>
          <w:spacing w:val="5"/>
          <w:w w:val="105"/>
          <w:sz w:val="13"/>
        </w:rPr>
        <w:t> </w:t>
      </w:r>
      <w:r>
        <w:rPr>
          <w:i/>
          <w:w w:val="105"/>
          <w:sz w:val="13"/>
        </w:rPr>
        <w:t>Planning</w:t>
      </w:r>
      <w:r>
        <w:rPr>
          <w:i/>
          <w:spacing w:val="5"/>
          <w:w w:val="105"/>
          <w:sz w:val="13"/>
        </w:rPr>
        <w:t> </w:t>
      </w:r>
      <w:r>
        <w:rPr>
          <w:i/>
          <w:w w:val="105"/>
          <w:sz w:val="13"/>
        </w:rPr>
        <w:t>Applications</w:t>
      </w:r>
      <w:r>
        <w:rPr>
          <w:i/>
          <w:spacing w:val="5"/>
          <w:w w:val="105"/>
          <w:sz w:val="13"/>
        </w:rPr>
        <w:t> </w:t>
      </w:r>
      <w:r>
        <w:rPr>
          <w:w w:val="105"/>
          <w:sz w:val="13"/>
        </w:rPr>
        <w:t>(2017).</w:t>
      </w:r>
    </w:p>
    <w:p>
      <w:pPr>
        <w:pStyle w:val="ListParagraph"/>
        <w:numPr>
          <w:ilvl w:val="0"/>
          <w:numId w:val="165"/>
        </w:numPr>
        <w:tabs>
          <w:tab w:pos="1224" w:val="left" w:leader="none"/>
          <w:tab w:pos="1225" w:val="left" w:leader="none"/>
        </w:tabs>
        <w:spacing w:line="240" w:lineRule="auto" w:before="4" w:after="0"/>
        <w:ind w:left="1224" w:right="0" w:hanging="794"/>
        <w:jc w:val="left"/>
        <w:rPr>
          <w:sz w:val="13"/>
        </w:rPr>
      </w:pPr>
      <w:r>
        <w:rPr>
          <w:sz w:val="13"/>
        </w:rPr>
        <w:t>Stephen</w:t>
      </w:r>
      <w:r>
        <w:rPr>
          <w:spacing w:val="8"/>
          <w:sz w:val="13"/>
        </w:rPr>
        <w:t> </w:t>
      </w:r>
      <w:r>
        <w:rPr>
          <w:sz w:val="13"/>
        </w:rPr>
        <w:t>Rowley,</w:t>
      </w:r>
      <w:r>
        <w:rPr>
          <w:spacing w:val="9"/>
          <w:sz w:val="13"/>
        </w:rPr>
        <w:t> </w:t>
      </w:r>
      <w:r>
        <w:rPr>
          <w:i/>
          <w:sz w:val="13"/>
        </w:rPr>
        <w:t>The</w:t>
      </w:r>
      <w:r>
        <w:rPr>
          <w:i/>
          <w:spacing w:val="9"/>
          <w:sz w:val="13"/>
        </w:rPr>
        <w:t> </w:t>
      </w:r>
      <w:r>
        <w:rPr>
          <w:i/>
          <w:sz w:val="13"/>
        </w:rPr>
        <w:t>Victorian</w:t>
      </w:r>
      <w:r>
        <w:rPr>
          <w:i/>
          <w:spacing w:val="9"/>
          <w:sz w:val="13"/>
        </w:rPr>
        <w:t> </w:t>
      </w:r>
      <w:r>
        <w:rPr>
          <w:i/>
          <w:sz w:val="13"/>
        </w:rPr>
        <w:t>Planning</w:t>
      </w:r>
      <w:r>
        <w:rPr>
          <w:i/>
          <w:spacing w:val="9"/>
          <w:sz w:val="13"/>
        </w:rPr>
        <w:t> </w:t>
      </w:r>
      <w:r>
        <w:rPr>
          <w:i/>
          <w:sz w:val="13"/>
        </w:rPr>
        <w:t>System:</w:t>
      </w:r>
      <w:r>
        <w:rPr>
          <w:i/>
          <w:spacing w:val="9"/>
          <w:sz w:val="13"/>
        </w:rPr>
        <w:t> </w:t>
      </w:r>
      <w:r>
        <w:rPr>
          <w:i/>
          <w:sz w:val="13"/>
        </w:rPr>
        <w:t>Practice,</w:t>
      </w:r>
      <w:r>
        <w:rPr>
          <w:i/>
          <w:spacing w:val="9"/>
          <w:sz w:val="13"/>
        </w:rPr>
        <w:t> </w:t>
      </w:r>
      <w:r>
        <w:rPr>
          <w:i/>
          <w:sz w:val="13"/>
        </w:rPr>
        <w:t>Problems</w:t>
      </w:r>
      <w:r>
        <w:rPr>
          <w:i/>
          <w:spacing w:val="9"/>
          <w:sz w:val="13"/>
        </w:rPr>
        <w:t> </w:t>
      </w:r>
      <w:r>
        <w:rPr>
          <w:i/>
          <w:sz w:val="13"/>
        </w:rPr>
        <w:t>and</w:t>
      </w:r>
      <w:r>
        <w:rPr>
          <w:i/>
          <w:spacing w:val="9"/>
          <w:sz w:val="13"/>
        </w:rPr>
        <w:t> </w:t>
      </w:r>
      <w:r>
        <w:rPr>
          <w:i/>
          <w:sz w:val="13"/>
        </w:rPr>
        <w:t>Prospects</w:t>
      </w:r>
      <w:r>
        <w:rPr>
          <w:i/>
          <w:spacing w:val="9"/>
          <w:sz w:val="13"/>
        </w:rPr>
        <w:t> </w:t>
      </w:r>
      <w:r>
        <w:rPr>
          <w:spacing w:val="2"/>
          <w:sz w:val="13"/>
        </w:rPr>
        <w:t>(The</w:t>
      </w:r>
      <w:r>
        <w:rPr>
          <w:spacing w:val="9"/>
          <w:sz w:val="13"/>
        </w:rPr>
        <w:t> </w:t>
      </w:r>
      <w:r>
        <w:rPr>
          <w:sz w:val="13"/>
        </w:rPr>
        <w:t>Federation</w:t>
      </w:r>
      <w:r>
        <w:rPr>
          <w:spacing w:val="9"/>
          <w:sz w:val="13"/>
        </w:rPr>
        <w:t> </w:t>
      </w:r>
      <w:r>
        <w:rPr>
          <w:sz w:val="13"/>
        </w:rPr>
        <w:t>Press,</w:t>
      </w:r>
      <w:r>
        <w:rPr>
          <w:spacing w:val="9"/>
          <w:sz w:val="13"/>
        </w:rPr>
        <w:t> </w:t>
      </w:r>
      <w:r>
        <w:rPr>
          <w:sz w:val="13"/>
        </w:rPr>
        <w:t>2017)</w:t>
      </w:r>
      <w:r>
        <w:rPr>
          <w:spacing w:val="9"/>
          <w:sz w:val="13"/>
        </w:rPr>
        <w:t> </w:t>
      </w:r>
      <w:r>
        <w:rPr>
          <w:sz w:val="13"/>
        </w:rPr>
        <w:t>148.</w:t>
      </w:r>
    </w:p>
    <w:p>
      <w:pPr>
        <w:pStyle w:val="ListParagraph"/>
        <w:numPr>
          <w:ilvl w:val="0"/>
          <w:numId w:val="165"/>
        </w:numPr>
        <w:tabs>
          <w:tab w:pos="1224" w:val="left" w:leader="none"/>
          <w:tab w:pos="1225" w:val="left" w:leader="none"/>
        </w:tabs>
        <w:spacing w:line="240" w:lineRule="auto" w:before="2" w:after="0"/>
        <w:ind w:left="1224" w:right="0" w:hanging="794"/>
        <w:jc w:val="left"/>
        <w:rPr>
          <w:sz w:val="13"/>
        </w:rPr>
      </w:pPr>
      <w:r>
        <w:rPr>
          <w:sz w:val="13"/>
        </w:rPr>
        <w:t>Ibid.</w:t>
      </w:r>
    </w:p>
    <w:p>
      <w:pPr>
        <w:pStyle w:val="ListParagraph"/>
        <w:numPr>
          <w:ilvl w:val="0"/>
          <w:numId w:val="165"/>
        </w:numPr>
        <w:tabs>
          <w:tab w:pos="1224" w:val="left" w:leader="none"/>
          <w:tab w:pos="1225" w:val="left" w:leader="none"/>
        </w:tabs>
        <w:spacing w:line="240" w:lineRule="auto" w:before="1" w:after="0"/>
        <w:ind w:left="1224" w:right="0" w:hanging="794"/>
        <w:jc w:val="left"/>
        <w:rPr>
          <w:sz w:val="13"/>
        </w:rPr>
      </w:pPr>
      <w:r>
        <w:rPr>
          <w:sz w:val="13"/>
        </w:rPr>
        <w:t>Ibid.</w:t>
      </w:r>
    </w:p>
    <w:p>
      <w:pPr>
        <w:pStyle w:val="ListParagraph"/>
        <w:numPr>
          <w:ilvl w:val="0"/>
          <w:numId w:val="165"/>
        </w:numPr>
        <w:tabs>
          <w:tab w:pos="1224" w:val="left" w:leader="none"/>
          <w:tab w:pos="1225" w:val="left" w:leader="none"/>
        </w:tabs>
        <w:spacing w:line="240" w:lineRule="auto" w:before="1" w:after="0"/>
        <w:ind w:left="1224" w:right="0" w:hanging="794"/>
        <w:jc w:val="left"/>
        <w:rPr>
          <w:sz w:val="13"/>
        </w:rPr>
      </w:pPr>
      <w:r>
        <w:rPr>
          <w:w w:val="105"/>
          <w:sz w:val="13"/>
        </w:rPr>
        <w:t>Ibid</w:t>
      </w:r>
      <w:r>
        <w:rPr>
          <w:spacing w:val="4"/>
          <w:w w:val="105"/>
          <w:sz w:val="13"/>
        </w:rPr>
        <w:t> </w:t>
      </w:r>
      <w:r>
        <w:rPr>
          <w:w w:val="105"/>
          <w:sz w:val="13"/>
        </w:rPr>
        <w:t>163.</w:t>
      </w:r>
    </w:p>
    <w:p>
      <w:pPr>
        <w:pStyle w:val="ListParagraph"/>
        <w:numPr>
          <w:ilvl w:val="0"/>
          <w:numId w:val="165"/>
        </w:numPr>
        <w:tabs>
          <w:tab w:pos="1224" w:val="left" w:leader="none"/>
          <w:tab w:pos="1225" w:val="left" w:leader="none"/>
        </w:tabs>
        <w:spacing w:line="240" w:lineRule="auto" w:before="2" w:after="0"/>
        <w:ind w:left="1224" w:right="1692" w:hanging="794"/>
        <w:jc w:val="left"/>
        <w:rPr>
          <w:sz w:val="13"/>
        </w:rPr>
      </w:pPr>
      <w:r>
        <w:rPr>
          <w:sz w:val="13"/>
        </w:rPr>
        <w:t>The Commission notes that further limitations apply under section 89(1) of the </w:t>
      </w:r>
      <w:r>
        <w:rPr>
          <w:spacing w:val="4"/>
          <w:sz w:val="13"/>
        </w:rPr>
        <w:t>P&amp;E </w:t>
      </w:r>
      <w:r>
        <w:rPr>
          <w:sz w:val="13"/>
        </w:rPr>
        <w:t>Act.  VCAT  may  cancel  or  amend  the  permit  if  a)  the person believes that they should have been but were not given notice of the permit application; or b) the person believes that they have             been adversely affected by i) a material mis-statement or concealment of  fact  in  relation  to  the  permit  application;  or  ii)  any  substantial failure to comply with the conditions of the permit; or iii) any material mistake in relation to the grant of the permit. VCAT may refuse to       consider a request unless satisfied that the request has been made as soon as practical after the personal making it had notice of the facts         relied</w:t>
      </w:r>
      <w:r>
        <w:rPr>
          <w:spacing w:val="6"/>
          <w:sz w:val="13"/>
        </w:rPr>
        <w:t> </w:t>
      </w:r>
      <w:r>
        <w:rPr>
          <w:sz w:val="13"/>
        </w:rPr>
        <w:t>upon</w:t>
      </w:r>
      <w:r>
        <w:rPr>
          <w:spacing w:val="7"/>
          <w:sz w:val="13"/>
        </w:rPr>
        <w:t> </w:t>
      </w:r>
      <w:r>
        <w:rPr>
          <w:sz w:val="13"/>
        </w:rPr>
        <w:t>in</w:t>
      </w:r>
      <w:r>
        <w:rPr>
          <w:spacing w:val="7"/>
          <w:sz w:val="13"/>
        </w:rPr>
        <w:t> </w:t>
      </w:r>
      <w:r>
        <w:rPr>
          <w:sz w:val="13"/>
        </w:rPr>
        <w:t>support</w:t>
      </w:r>
      <w:r>
        <w:rPr>
          <w:spacing w:val="6"/>
          <w:sz w:val="13"/>
        </w:rPr>
        <w:t> </w:t>
      </w:r>
      <w:r>
        <w:rPr>
          <w:sz w:val="13"/>
        </w:rPr>
        <w:t>of</w:t>
      </w:r>
      <w:r>
        <w:rPr>
          <w:spacing w:val="7"/>
          <w:sz w:val="13"/>
        </w:rPr>
        <w:t> </w:t>
      </w:r>
      <w:r>
        <w:rPr>
          <w:sz w:val="13"/>
        </w:rPr>
        <w:t>the</w:t>
      </w:r>
      <w:r>
        <w:rPr>
          <w:spacing w:val="7"/>
          <w:sz w:val="13"/>
        </w:rPr>
        <w:t> </w:t>
      </w:r>
      <w:r>
        <w:rPr>
          <w:sz w:val="13"/>
        </w:rPr>
        <w:t>request:</w:t>
      </w:r>
      <w:r>
        <w:rPr>
          <w:spacing w:val="7"/>
          <w:sz w:val="13"/>
        </w:rPr>
        <w:t> </w:t>
      </w:r>
      <w:r>
        <w:rPr>
          <w:sz w:val="13"/>
        </w:rPr>
        <w:t>s</w:t>
      </w:r>
      <w:r>
        <w:rPr>
          <w:spacing w:val="6"/>
          <w:sz w:val="13"/>
        </w:rPr>
        <w:t> </w:t>
      </w:r>
      <w:r>
        <w:rPr>
          <w:spacing w:val="3"/>
          <w:sz w:val="13"/>
        </w:rPr>
        <w:t>89(3).</w:t>
      </w:r>
    </w:p>
    <w:p>
      <w:pPr>
        <w:pStyle w:val="ListParagraph"/>
        <w:numPr>
          <w:ilvl w:val="0"/>
          <w:numId w:val="165"/>
        </w:numPr>
        <w:tabs>
          <w:tab w:pos="1224" w:val="left" w:leader="none"/>
          <w:tab w:pos="1225" w:val="left" w:leader="none"/>
        </w:tabs>
        <w:spacing w:line="240" w:lineRule="auto" w:before="8" w:after="0"/>
        <w:ind w:left="1224" w:right="0" w:hanging="794"/>
        <w:jc w:val="left"/>
        <w:rPr>
          <w:sz w:val="13"/>
        </w:rPr>
      </w:pPr>
      <w:r>
        <w:rPr>
          <w:i/>
          <w:w w:val="105"/>
          <w:sz w:val="13"/>
        </w:rPr>
        <w:t>Planning and Environment Act 1987 </w:t>
      </w:r>
      <w:r>
        <w:rPr>
          <w:spacing w:val="2"/>
          <w:w w:val="105"/>
          <w:sz w:val="13"/>
        </w:rPr>
        <w:t>(Vic) </w:t>
      </w:r>
      <w:r>
        <w:rPr>
          <w:w w:val="105"/>
          <w:sz w:val="13"/>
        </w:rPr>
        <w:t>s</w:t>
      </w:r>
      <w:r>
        <w:rPr>
          <w:spacing w:val="30"/>
          <w:w w:val="105"/>
          <w:sz w:val="13"/>
        </w:rPr>
        <w:t> </w:t>
      </w:r>
      <w:r>
        <w:rPr>
          <w:spacing w:val="2"/>
          <w:w w:val="105"/>
          <w:sz w:val="13"/>
        </w:rPr>
        <w:t>87(3).</w:t>
      </w:r>
    </w:p>
    <w:p>
      <w:pPr>
        <w:spacing w:after="0" w:line="240" w:lineRule="auto"/>
        <w:jc w:val="left"/>
        <w:rPr>
          <w:sz w:val="13"/>
        </w:rPr>
        <w:sectPr>
          <w:type w:val="continuous"/>
          <w:pgSz w:w="11910" w:h="16840"/>
          <w:pgMar w:top="300" w:bottom="280" w:left="0" w:right="0"/>
          <w:cols w:num="2" w:equalWidth="0">
            <w:col w:w="1117" w:space="40"/>
            <w:col w:w="10753"/>
          </w:cols>
        </w:sectPr>
      </w:pPr>
    </w:p>
    <w:p>
      <w:pPr>
        <w:pStyle w:val="BodyText"/>
        <w:rPr>
          <w:sz w:val="20"/>
        </w:rPr>
      </w:pPr>
    </w:p>
    <w:p>
      <w:pPr>
        <w:pStyle w:val="BodyText"/>
        <w:spacing w:before="9"/>
        <w:rPr>
          <w:sz w:val="18"/>
        </w:rPr>
      </w:pPr>
    </w:p>
    <w:p>
      <w:pPr>
        <w:pStyle w:val="ListParagraph"/>
        <w:numPr>
          <w:ilvl w:val="1"/>
          <w:numId w:val="165"/>
        </w:numPr>
        <w:tabs>
          <w:tab w:pos="2721" w:val="left" w:leader="none"/>
          <w:tab w:pos="2722" w:val="left" w:leader="none"/>
        </w:tabs>
        <w:spacing w:line="242" w:lineRule="auto" w:before="91" w:after="0"/>
        <w:ind w:left="2721" w:right="1769" w:hanging="340"/>
        <w:jc w:val="left"/>
        <w:rPr>
          <w:sz w:val="21"/>
        </w:rPr>
      </w:pPr>
      <w:r>
        <w:rPr>
          <w:sz w:val="21"/>
        </w:rPr>
        <w:t>a </w:t>
      </w:r>
      <w:r>
        <w:rPr>
          <w:spacing w:val="-3"/>
          <w:sz w:val="21"/>
        </w:rPr>
        <w:t>material </w:t>
      </w:r>
      <w:r>
        <w:rPr>
          <w:sz w:val="21"/>
        </w:rPr>
        <w:t>mis-statement or </w:t>
      </w:r>
      <w:r>
        <w:rPr>
          <w:spacing w:val="-3"/>
          <w:sz w:val="21"/>
        </w:rPr>
        <w:t>concealment </w:t>
      </w:r>
      <w:r>
        <w:rPr>
          <w:sz w:val="21"/>
        </w:rPr>
        <w:t>of fact in </w:t>
      </w:r>
      <w:r>
        <w:rPr>
          <w:spacing w:val="-3"/>
          <w:sz w:val="21"/>
        </w:rPr>
        <w:t>relation to </w:t>
      </w:r>
      <w:r>
        <w:rPr>
          <w:sz w:val="21"/>
        </w:rPr>
        <w:t>the application </w:t>
      </w:r>
      <w:r>
        <w:rPr>
          <w:spacing w:val="-3"/>
          <w:sz w:val="21"/>
        </w:rPr>
        <w:t>for </w:t>
      </w:r>
      <w:r>
        <w:rPr>
          <w:sz w:val="21"/>
        </w:rPr>
        <w:t>the permit</w:t>
      </w:r>
    </w:p>
    <w:p>
      <w:pPr>
        <w:pStyle w:val="ListParagraph"/>
        <w:numPr>
          <w:ilvl w:val="1"/>
          <w:numId w:val="165"/>
        </w:numPr>
        <w:tabs>
          <w:tab w:pos="2721" w:val="left" w:leader="none"/>
          <w:tab w:pos="2722" w:val="left" w:leader="none"/>
        </w:tabs>
        <w:spacing w:line="240" w:lineRule="auto" w:before="88" w:after="0"/>
        <w:ind w:left="2721" w:right="0" w:hanging="340"/>
        <w:jc w:val="left"/>
        <w:rPr>
          <w:sz w:val="21"/>
        </w:rPr>
      </w:pPr>
      <w:r>
        <w:rPr>
          <w:spacing w:val="-3"/>
          <w:sz w:val="21"/>
        </w:rPr>
        <w:t>any</w:t>
      </w:r>
      <w:r>
        <w:rPr>
          <w:spacing w:val="9"/>
          <w:sz w:val="21"/>
        </w:rPr>
        <w:t> </w:t>
      </w:r>
      <w:r>
        <w:rPr>
          <w:spacing w:val="-3"/>
          <w:sz w:val="21"/>
        </w:rPr>
        <w:t>substantial</w:t>
      </w:r>
      <w:r>
        <w:rPr>
          <w:spacing w:val="10"/>
          <w:sz w:val="21"/>
        </w:rPr>
        <w:t> </w:t>
      </w:r>
      <w:r>
        <w:rPr>
          <w:spacing w:val="-4"/>
          <w:sz w:val="21"/>
        </w:rPr>
        <w:t>failure</w:t>
      </w:r>
      <w:r>
        <w:rPr>
          <w:spacing w:val="10"/>
          <w:sz w:val="21"/>
        </w:rPr>
        <w:t> </w:t>
      </w:r>
      <w:r>
        <w:rPr>
          <w:spacing w:val="-3"/>
          <w:sz w:val="21"/>
        </w:rPr>
        <w:t>to</w:t>
      </w:r>
      <w:r>
        <w:rPr>
          <w:spacing w:val="10"/>
          <w:sz w:val="21"/>
        </w:rPr>
        <w:t> </w:t>
      </w:r>
      <w:r>
        <w:rPr>
          <w:sz w:val="21"/>
        </w:rPr>
        <w:t>comply</w:t>
      </w:r>
      <w:r>
        <w:rPr>
          <w:spacing w:val="10"/>
          <w:sz w:val="21"/>
        </w:rPr>
        <w:t> </w:t>
      </w:r>
      <w:r>
        <w:rPr>
          <w:sz w:val="21"/>
        </w:rPr>
        <w:t>with</w:t>
      </w:r>
      <w:r>
        <w:rPr>
          <w:spacing w:val="10"/>
          <w:sz w:val="21"/>
        </w:rPr>
        <w:t> </w:t>
      </w:r>
      <w:r>
        <w:rPr>
          <w:sz w:val="21"/>
        </w:rPr>
        <w:t>the</w:t>
      </w:r>
      <w:r>
        <w:rPr>
          <w:spacing w:val="10"/>
          <w:sz w:val="21"/>
        </w:rPr>
        <w:t> </w:t>
      </w:r>
      <w:r>
        <w:rPr>
          <w:spacing w:val="-3"/>
          <w:sz w:val="21"/>
        </w:rPr>
        <w:t>conditions</w:t>
      </w:r>
      <w:r>
        <w:rPr>
          <w:spacing w:val="9"/>
          <w:sz w:val="21"/>
        </w:rPr>
        <w:t> </w:t>
      </w:r>
      <w:r>
        <w:rPr>
          <w:sz w:val="21"/>
        </w:rPr>
        <w:t>of</w:t>
      </w:r>
      <w:r>
        <w:rPr>
          <w:spacing w:val="10"/>
          <w:sz w:val="21"/>
        </w:rPr>
        <w:t> </w:t>
      </w:r>
      <w:r>
        <w:rPr>
          <w:sz w:val="21"/>
        </w:rPr>
        <w:t>the</w:t>
      </w:r>
      <w:r>
        <w:rPr>
          <w:spacing w:val="10"/>
          <w:sz w:val="21"/>
        </w:rPr>
        <w:t> </w:t>
      </w:r>
      <w:r>
        <w:rPr>
          <w:sz w:val="21"/>
        </w:rPr>
        <w:t>permit</w:t>
      </w:r>
    </w:p>
    <w:p>
      <w:pPr>
        <w:pStyle w:val="ListParagraph"/>
        <w:numPr>
          <w:ilvl w:val="1"/>
          <w:numId w:val="165"/>
        </w:numPr>
        <w:tabs>
          <w:tab w:pos="2721" w:val="left" w:leader="none"/>
          <w:tab w:pos="2722" w:val="left" w:leader="none"/>
        </w:tabs>
        <w:spacing w:line="240" w:lineRule="auto" w:before="88" w:after="0"/>
        <w:ind w:left="2721" w:right="0" w:hanging="340"/>
        <w:jc w:val="left"/>
        <w:rPr>
          <w:sz w:val="21"/>
        </w:rPr>
      </w:pPr>
      <w:r>
        <w:rPr>
          <w:spacing w:val="-3"/>
          <w:sz w:val="21"/>
        </w:rPr>
        <w:t>any</w:t>
      </w:r>
      <w:r>
        <w:rPr>
          <w:spacing w:val="9"/>
          <w:sz w:val="21"/>
        </w:rPr>
        <w:t> </w:t>
      </w:r>
      <w:r>
        <w:rPr>
          <w:spacing w:val="-3"/>
          <w:sz w:val="21"/>
        </w:rPr>
        <w:t>material</w:t>
      </w:r>
      <w:r>
        <w:rPr>
          <w:spacing w:val="9"/>
          <w:sz w:val="21"/>
        </w:rPr>
        <w:t> </w:t>
      </w:r>
      <w:r>
        <w:rPr>
          <w:spacing w:val="-3"/>
          <w:sz w:val="21"/>
        </w:rPr>
        <w:t>mistake</w:t>
      </w:r>
      <w:r>
        <w:rPr>
          <w:spacing w:val="9"/>
          <w:sz w:val="21"/>
        </w:rPr>
        <w:t> </w:t>
      </w:r>
      <w:r>
        <w:rPr>
          <w:sz w:val="21"/>
        </w:rPr>
        <w:t>in</w:t>
      </w:r>
      <w:r>
        <w:rPr>
          <w:spacing w:val="10"/>
          <w:sz w:val="21"/>
        </w:rPr>
        <w:t> </w:t>
      </w:r>
      <w:r>
        <w:rPr>
          <w:spacing w:val="-3"/>
          <w:sz w:val="21"/>
        </w:rPr>
        <w:t>relation</w:t>
      </w:r>
      <w:r>
        <w:rPr>
          <w:spacing w:val="9"/>
          <w:sz w:val="21"/>
        </w:rPr>
        <w:t> </w:t>
      </w:r>
      <w:r>
        <w:rPr>
          <w:spacing w:val="-3"/>
          <w:sz w:val="21"/>
        </w:rPr>
        <w:t>to</w:t>
      </w:r>
      <w:r>
        <w:rPr>
          <w:spacing w:val="9"/>
          <w:sz w:val="21"/>
        </w:rPr>
        <w:t> </w:t>
      </w:r>
      <w:r>
        <w:rPr>
          <w:sz w:val="21"/>
        </w:rPr>
        <w:t>the</w:t>
      </w:r>
      <w:r>
        <w:rPr>
          <w:spacing w:val="9"/>
          <w:sz w:val="21"/>
        </w:rPr>
        <w:t> </w:t>
      </w:r>
      <w:r>
        <w:rPr>
          <w:spacing w:val="-3"/>
          <w:sz w:val="21"/>
        </w:rPr>
        <w:t>grant</w:t>
      </w:r>
      <w:r>
        <w:rPr>
          <w:spacing w:val="10"/>
          <w:sz w:val="21"/>
        </w:rPr>
        <w:t> </w:t>
      </w:r>
      <w:r>
        <w:rPr>
          <w:sz w:val="21"/>
        </w:rPr>
        <w:t>of</w:t>
      </w:r>
      <w:r>
        <w:rPr>
          <w:spacing w:val="9"/>
          <w:sz w:val="21"/>
        </w:rPr>
        <w:t> </w:t>
      </w:r>
      <w:r>
        <w:rPr>
          <w:sz w:val="21"/>
        </w:rPr>
        <w:t>the</w:t>
      </w:r>
      <w:r>
        <w:rPr>
          <w:spacing w:val="9"/>
          <w:sz w:val="21"/>
        </w:rPr>
        <w:t> </w:t>
      </w:r>
      <w:r>
        <w:rPr>
          <w:sz w:val="21"/>
        </w:rPr>
        <w:t>permit</w:t>
      </w:r>
    </w:p>
    <w:p>
      <w:pPr>
        <w:pStyle w:val="ListParagraph"/>
        <w:numPr>
          <w:ilvl w:val="1"/>
          <w:numId w:val="165"/>
        </w:numPr>
        <w:tabs>
          <w:tab w:pos="2721" w:val="left" w:leader="none"/>
          <w:tab w:pos="2722" w:val="left" w:leader="none"/>
        </w:tabs>
        <w:spacing w:line="242" w:lineRule="auto" w:before="89" w:after="0"/>
        <w:ind w:left="2721" w:right="2190" w:hanging="340"/>
        <w:jc w:val="left"/>
        <w:rPr>
          <w:sz w:val="21"/>
        </w:rPr>
      </w:pPr>
      <w:r>
        <w:rPr>
          <w:spacing w:val="-3"/>
          <w:w w:val="105"/>
          <w:sz w:val="21"/>
        </w:rPr>
        <w:t>any material change </w:t>
      </w:r>
      <w:r>
        <w:rPr>
          <w:w w:val="105"/>
          <w:sz w:val="21"/>
        </w:rPr>
        <w:t>of </w:t>
      </w:r>
      <w:r>
        <w:rPr>
          <w:spacing w:val="-3"/>
          <w:w w:val="105"/>
          <w:sz w:val="21"/>
        </w:rPr>
        <w:t>circumstances </w:t>
      </w:r>
      <w:r>
        <w:rPr>
          <w:w w:val="105"/>
          <w:sz w:val="21"/>
        </w:rPr>
        <w:t>which </w:t>
      </w:r>
      <w:r>
        <w:rPr>
          <w:spacing w:val="-2"/>
          <w:w w:val="105"/>
          <w:sz w:val="21"/>
        </w:rPr>
        <w:t>has </w:t>
      </w:r>
      <w:r>
        <w:rPr>
          <w:spacing w:val="-3"/>
          <w:w w:val="105"/>
          <w:sz w:val="21"/>
        </w:rPr>
        <w:t>occurred since </w:t>
      </w:r>
      <w:r>
        <w:rPr>
          <w:w w:val="105"/>
          <w:sz w:val="21"/>
        </w:rPr>
        <w:t>the </w:t>
      </w:r>
      <w:r>
        <w:rPr>
          <w:spacing w:val="-3"/>
          <w:w w:val="105"/>
          <w:sz w:val="21"/>
        </w:rPr>
        <w:t>grant </w:t>
      </w:r>
      <w:r>
        <w:rPr>
          <w:w w:val="105"/>
          <w:sz w:val="21"/>
        </w:rPr>
        <w:t>of the permit</w:t>
      </w:r>
    </w:p>
    <w:p>
      <w:pPr>
        <w:pStyle w:val="ListParagraph"/>
        <w:numPr>
          <w:ilvl w:val="1"/>
          <w:numId w:val="165"/>
        </w:numPr>
        <w:tabs>
          <w:tab w:pos="2721" w:val="left" w:leader="none"/>
          <w:tab w:pos="2722" w:val="left" w:leader="none"/>
        </w:tabs>
        <w:spacing w:line="240" w:lineRule="auto" w:before="87" w:after="0"/>
        <w:ind w:left="2721" w:right="0" w:hanging="340"/>
        <w:jc w:val="left"/>
        <w:rPr>
          <w:sz w:val="21"/>
        </w:rPr>
      </w:pPr>
      <w:r>
        <w:rPr>
          <w:spacing w:val="-3"/>
          <w:w w:val="105"/>
          <w:sz w:val="21"/>
        </w:rPr>
        <w:t>any</w:t>
      </w:r>
      <w:r>
        <w:rPr>
          <w:spacing w:val="4"/>
          <w:w w:val="105"/>
          <w:sz w:val="21"/>
        </w:rPr>
        <w:t> </w:t>
      </w:r>
      <w:r>
        <w:rPr>
          <w:spacing w:val="-4"/>
          <w:w w:val="105"/>
          <w:sz w:val="21"/>
        </w:rPr>
        <w:t>failure</w:t>
      </w:r>
      <w:r>
        <w:rPr>
          <w:spacing w:val="5"/>
          <w:w w:val="105"/>
          <w:sz w:val="21"/>
        </w:rPr>
        <w:t> </w:t>
      </w:r>
      <w:r>
        <w:rPr>
          <w:spacing w:val="-3"/>
          <w:w w:val="105"/>
          <w:sz w:val="21"/>
        </w:rPr>
        <w:t>to</w:t>
      </w:r>
      <w:r>
        <w:rPr>
          <w:spacing w:val="5"/>
          <w:w w:val="105"/>
          <w:sz w:val="21"/>
        </w:rPr>
        <w:t> </w:t>
      </w:r>
      <w:r>
        <w:rPr>
          <w:w w:val="105"/>
          <w:sz w:val="21"/>
        </w:rPr>
        <w:t>give</w:t>
      </w:r>
      <w:r>
        <w:rPr>
          <w:spacing w:val="4"/>
          <w:w w:val="105"/>
          <w:sz w:val="21"/>
        </w:rPr>
        <w:t> </w:t>
      </w:r>
      <w:r>
        <w:rPr>
          <w:spacing w:val="-3"/>
          <w:w w:val="105"/>
          <w:sz w:val="21"/>
        </w:rPr>
        <w:t>notice</w:t>
      </w:r>
      <w:r>
        <w:rPr>
          <w:spacing w:val="5"/>
          <w:w w:val="105"/>
          <w:sz w:val="21"/>
        </w:rPr>
        <w:t> </w:t>
      </w:r>
      <w:r>
        <w:rPr>
          <w:w w:val="105"/>
          <w:sz w:val="21"/>
        </w:rPr>
        <w:t>in</w:t>
      </w:r>
      <w:r>
        <w:rPr>
          <w:spacing w:val="5"/>
          <w:w w:val="105"/>
          <w:sz w:val="21"/>
        </w:rPr>
        <w:t> </w:t>
      </w:r>
      <w:r>
        <w:rPr>
          <w:spacing w:val="-3"/>
          <w:w w:val="105"/>
          <w:sz w:val="21"/>
        </w:rPr>
        <w:t>accordance</w:t>
      </w:r>
      <w:r>
        <w:rPr>
          <w:spacing w:val="5"/>
          <w:w w:val="105"/>
          <w:sz w:val="21"/>
        </w:rPr>
        <w:t> </w:t>
      </w:r>
      <w:r>
        <w:rPr>
          <w:w w:val="105"/>
          <w:sz w:val="21"/>
        </w:rPr>
        <w:t>with</w:t>
      </w:r>
      <w:r>
        <w:rPr>
          <w:spacing w:val="4"/>
          <w:w w:val="105"/>
          <w:sz w:val="21"/>
        </w:rPr>
        <w:t> </w:t>
      </w:r>
      <w:r>
        <w:rPr>
          <w:w w:val="105"/>
          <w:sz w:val="21"/>
        </w:rPr>
        <w:t>this</w:t>
      </w:r>
      <w:r>
        <w:rPr>
          <w:spacing w:val="5"/>
          <w:w w:val="105"/>
          <w:sz w:val="21"/>
        </w:rPr>
        <w:t> </w:t>
      </w:r>
      <w:r>
        <w:rPr>
          <w:w w:val="105"/>
          <w:sz w:val="21"/>
        </w:rPr>
        <w:t>Act,</w:t>
      </w:r>
      <w:r>
        <w:rPr>
          <w:spacing w:val="5"/>
          <w:w w:val="105"/>
          <w:sz w:val="21"/>
        </w:rPr>
        <w:t> </w:t>
      </w:r>
      <w:r>
        <w:rPr>
          <w:w w:val="105"/>
          <w:sz w:val="21"/>
        </w:rPr>
        <w:t>or</w:t>
      </w:r>
    </w:p>
    <w:p>
      <w:pPr>
        <w:pStyle w:val="ListParagraph"/>
        <w:numPr>
          <w:ilvl w:val="1"/>
          <w:numId w:val="165"/>
        </w:numPr>
        <w:tabs>
          <w:tab w:pos="2721" w:val="left" w:leader="none"/>
          <w:tab w:pos="2722" w:val="left" w:leader="none"/>
        </w:tabs>
        <w:spacing w:line="240" w:lineRule="auto" w:before="89" w:after="0"/>
        <w:ind w:left="2721" w:right="0" w:hanging="340"/>
        <w:jc w:val="left"/>
        <w:rPr>
          <w:sz w:val="12"/>
        </w:rPr>
      </w:pPr>
      <w:r>
        <w:rPr>
          <w:spacing w:val="-3"/>
          <w:sz w:val="21"/>
        </w:rPr>
        <w:t>any</w:t>
      </w:r>
      <w:r>
        <w:rPr>
          <w:spacing w:val="10"/>
          <w:sz w:val="21"/>
        </w:rPr>
        <w:t> </w:t>
      </w:r>
      <w:r>
        <w:rPr>
          <w:spacing w:val="-4"/>
          <w:sz w:val="21"/>
        </w:rPr>
        <w:t>failure</w:t>
      </w:r>
      <w:r>
        <w:rPr>
          <w:spacing w:val="11"/>
          <w:sz w:val="21"/>
        </w:rPr>
        <w:t> </w:t>
      </w:r>
      <w:r>
        <w:rPr>
          <w:spacing w:val="-3"/>
          <w:sz w:val="21"/>
        </w:rPr>
        <w:t>to</w:t>
      </w:r>
      <w:r>
        <w:rPr>
          <w:spacing w:val="10"/>
          <w:sz w:val="21"/>
        </w:rPr>
        <w:t> </w:t>
      </w:r>
      <w:r>
        <w:rPr>
          <w:sz w:val="21"/>
        </w:rPr>
        <w:t>comply</w:t>
      </w:r>
      <w:r>
        <w:rPr>
          <w:spacing w:val="11"/>
          <w:sz w:val="21"/>
        </w:rPr>
        <w:t> </w:t>
      </w:r>
      <w:r>
        <w:rPr>
          <w:sz w:val="21"/>
        </w:rPr>
        <w:t>with</w:t>
      </w:r>
      <w:r>
        <w:rPr>
          <w:spacing w:val="11"/>
          <w:sz w:val="21"/>
        </w:rPr>
        <w:t> </w:t>
      </w:r>
      <w:r>
        <w:rPr>
          <w:sz w:val="21"/>
        </w:rPr>
        <w:t>sections</w:t>
      </w:r>
      <w:r>
        <w:rPr>
          <w:spacing w:val="10"/>
          <w:sz w:val="21"/>
        </w:rPr>
        <w:t> </w:t>
      </w:r>
      <w:r>
        <w:rPr>
          <w:spacing w:val="-5"/>
          <w:sz w:val="21"/>
        </w:rPr>
        <w:t>55,</w:t>
      </w:r>
      <w:r>
        <w:rPr>
          <w:spacing w:val="11"/>
          <w:sz w:val="21"/>
        </w:rPr>
        <w:t> </w:t>
      </w:r>
      <w:r>
        <w:rPr>
          <w:spacing w:val="-4"/>
          <w:sz w:val="21"/>
        </w:rPr>
        <w:t>61(2)</w:t>
      </w:r>
      <w:r>
        <w:rPr>
          <w:spacing w:val="10"/>
          <w:sz w:val="21"/>
        </w:rPr>
        <w:t> </w:t>
      </w:r>
      <w:r>
        <w:rPr>
          <w:sz w:val="21"/>
        </w:rPr>
        <w:t>or</w:t>
      </w:r>
      <w:r>
        <w:rPr>
          <w:spacing w:val="11"/>
          <w:sz w:val="21"/>
        </w:rPr>
        <w:t> </w:t>
      </w:r>
      <w:r>
        <w:rPr>
          <w:spacing w:val="-4"/>
          <w:sz w:val="21"/>
        </w:rPr>
        <w:t>62(1)</w:t>
      </w:r>
      <w:r>
        <w:rPr>
          <w:spacing w:val="11"/>
          <w:sz w:val="21"/>
        </w:rPr>
        <w:t> </w:t>
      </w:r>
      <w:r>
        <w:rPr>
          <w:sz w:val="21"/>
        </w:rPr>
        <w:t>of</w:t>
      </w:r>
      <w:r>
        <w:rPr>
          <w:spacing w:val="10"/>
          <w:sz w:val="21"/>
        </w:rPr>
        <w:t> </w:t>
      </w:r>
      <w:r>
        <w:rPr>
          <w:sz w:val="21"/>
        </w:rPr>
        <w:t>the</w:t>
      </w:r>
      <w:r>
        <w:rPr>
          <w:spacing w:val="11"/>
          <w:sz w:val="21"/>
        </w:rPr>
        <w:t> </w:t>
      </w:r>
      <w:r>
        <w:rPr>
          <w:spacing w:val="4"/>
          <w:sz w:val="21"/>
        </w:rPr>
        <w:t>P&amp;E</w:t>
      </w:r>
      <w:r>
        <w:rPr>
          <w:spacing w:val="10"/>
          <w:sz w:val="21"/>
        </w:rPr>
        <w:t> </w:t>
      </w:r>
      <w:r>
        <w:rPr>
          <w:sz w:val="21"/>
        </w:rPr>
        <w:t>Act.</w:t>
      </w:r>
      <w:r>
        <w:rPr>
          <w:position w:val="7"/>
          <w:sz w:val="12"/>
        </w:rPr>
        <w:t>81</w:t>
      </w:r>
    </w:p>
    <w:p>
      <w:pPr>
        <w:pStyle w:val="ListParagraph"/>
        <w:numPr>
          <w:ilvl w:val="1"/>
          <w:numId w:val="16"/>
        </w:numPr>
        <w:tabs>
          <w:tab w:pos="2380" w:val="left" w:leader="none"/>
          <w:tab w:pos="2381" w:val="left" w:leader="none"/>
        </w:tabs>
        <w:spacing w:line="242" w:lineRule="auto" w:before="89" w:after="0"/>
        <w:ind w:left="2381" w:right="1907" w:hanging="794"/>
        <w:jc w:val="left"/>
        <w:rPr>
          <w:sz w:val="21"/>
        </w:rPr>
      </w:pPr>
      <w:r>
        <w:rPr>
          <w:sz w:val="21"/>
        </w:rPr>
        <w:t>Under the </w:t>
      </w:r>
      <w:r>
        <w:rPr>
          <w:spacing w:val="-3"/>
          <w:sz w:val="21"/>
        </w:rPr>
        <w:t>current legislative framework, </w:t>
      </w:r>
      <w:r>
        <w:rPr>
          <w:spacing w:val="-6"/>
          <w:sz w:val="21"/>
        </w:rPr>
        <w:t>VCAT’s </w:t>
      </w:r>
      <w:r>
        <w:rPr>
          <w:sz w:val="21"/>
        </w:rPr>
        <w:t>ability </w:t>
      </w:r>
      <w:r>
        <w:rPr>
          <w:spacing w:val="-3"/>
          <w:sz w:val="21"/>
        </w:rPr>
        <w:t>to </w:t>
      </w:r>
      <w:r>
        <w:rPr>
          <w:sz w:val="21"/>
        </w:rPr>
        <w:t>amend </w:t>
      </w:r>
      <w:r>
        <w:rPr>
          <w:spacing w:val="-3"/>
          <w:sz w:val="21"/>
        </w:rPr>
        <w:t>planning </w:t>
      </w:r>
      <w:r>
        <w:rPr>
          <w:sz w:val="21"/>
        </w:rPr>
        <w:t>permits is </w:t>
      </w:r>
      <w:r>
        <w:rPr>
          <w:spacing w:val="-3"/>
          <w:sz w:val="21"/>
        </w:rPr>
        <w:t>limited  to  </w:t>
      </w:r>
      <w:r>
        <w:rPr>
          <w:sz w:val="21"/>
        </w:rPr>
        <w:t>the </w:t>
      </w:r>
      <w:r>
        <w:rPr>
          <w:spacing w:val="-3"/>
          <w:sz w:val="21"/>
        </w:rPr>
        <w:t>circumstances</w:t>
      </w:r>
      <w:r>
        <w:rPr>
          <w:spacing w:val="41"/>
          <w:sz w:val="21"/>
        </w:rPr>
        <w:t> </w:t>
      </w:r>
      <w:r>
        <w:rPr>
          <w:spacing w:val="-3"/>
          <w:sz w:val="21"/>
        </w:rPr>
        <w:t>outlined  </w:t>
      </w:r>
      <w:r>
        <w:rPr>
          <w:sz w:val="21"/>
        </w:rPr>
        <w:t>above and this </w:t>
      </w:r>
      <w:r>
        <w:rPr>
          <w:spacing w:val="-3"/>
          <w:sz w:val="21"/>
        </w:rPr>
        <w:t>amendment  </w:t>
      </w:r>
      <w:r>
        <w:rPr>
          <w:sz w:val="21"/>
        </w:rPr>
        <w:t>process would only  be </w:t>
      </w:r>
      <w:r>
        <w:rPr>
          <w:spacing w:val="-3"/>
          <w:sz w:val="21"/>
        </w:rPr>
        <w:t>available to </w:t>
      </w:r>
      <w:r>
        <w:rPr>
          <w:sz w:val="21"/>
        </w:rPr>
        <w:t>affected neighbours on </w:t>
      </w:r>
      <w:r>
        <w:rPr>
          <w:spacing w:val="-3"/>
          <w:sz w:val="21"/>
        </w:rPr>
        <w:t>adjoining land </w:t>
      </w:r>
      <w:r>
        <w:rPr>
          <w:sz w:val="21"/>
        </w:rPr>
        <w:t>who </w:t>
      </w:r>
      <w:r>
        <w:rPr>
          <w:spacing w:val="-3"/>
          <w:sz w:val="21"/>
        </w:rPr>
        <w:t>could </w:t>
      </w:r>
      <w:r>
        <w:rPr>
          <w:sz w:val="21"/>
        </w:rPr>
        <w:t>show </w:t>
      </w:r>
      <w:r>
        <w:rPr>
          <w:spacing w:val="-3"/>
          <w:sz w:val="21"/>
        </w:rPr>
        <w:t>that </w:t>
      </w:r>
      <w:r>
        <w:rPr>
          <w:sz w:val="21"/>
        </w:rPr>
        <w:t>they</w:t>
      </w:r>
      <w:r>
        <w:rPr>
          <w:spacing w:val="15"/>
          <w:sz w:val="21"/>
        </w:rPr>
        <w:t> </w:t>
      </w:r>
      <w:r>
        <w:rPr>
          <w:sz w:val="21"/>
        </w:rPr>
        <w:t>either</w:t>
      </w:r>
    </w:p>
    <w:p>
      <w:pPr>
        <w:pStyle w:val="BodyText"/>
        <w:spacing w:line="242" w:lineRule="auto" w:before="3"/>
        <w:ind w:left="2380" w:right="1656"/>
      </w:pPr>
      <w:r>
        <w:rPr>
          <w:w w:val="105"/>
        </w:rPr>
        <w:t>objected or would </w:t>
      </w:r>
      <w:r>
        <w:rPr>
          <w:spacing w:val="-3"/>
          <w:w w:val="105"/>
        </w:rPr>
        <w:t>have </w:t>
      </w:r>
      <w:r>
        <w:rPr>
          <w:w w:val="105"/>
        </w:rPr>
        <w:t>been entitled </w:t>
      </w:r>
      <w:r>
        <w:rPr>
          <w:spacing w:val="-3"/>
          <w:w w:val="105"/>
        </w:rPr>
        <w:t>to </w:t>
      </w:r>
      <w:r>
        <w:rPr>
          <w:w w:val="105"/>
        </w:rPr>
        <w:t>object </w:t>
      </w:r>
      <w:r>
        <w:rPr>
          <w:spacing w:val="-3"/>
          <w:w w:val="105"/>
        </w:rPr>
        <w:t>to </w:t>
      </w:r>
      <w:r>
        <w:rPr>
          <w:w w:val="105"/>
        </w:rPr>
        <w:t>the </w:t>
      </w:r>
      <w:r>
        <w:rPr>
          <w:spacing w:val="-3"/>
          <w:w w:val="105"/>
        </w:rPr>
        <w:t>grant </w:t>
      </w:r>
      <w:r>
        <w:rPr>
          <w:w w:val="105"/>
        </w:rPr>
        <w:t>of the permit. </w:t>
      </w:r>
      <w:r>
        <w:rPr>
          <w:spacing w:val="-5"/>
          <w:w w:val="105"/>
        </w:rPr>
        <w:t>VCAT </w:t>
      </w:r>
      <w:r>
        <w:rPr>
          <w:spacing w:val="-3"/>
          <w:w w:val="105"/>
        </w:rPr>
        <w:t>will </w:t>
      </w:r>
      <w:r>
        <w:rPr>
          <w:w w:val="105"/>
        </w:rPr>
        <w:t>only act on </w:t>
      </w:r>
      <w:r>
        <w:rPr>
          <w:spacing w:val="-3"/>
          <w:w w:val="105"/>
        </w:rPr>
        <w:t>such </w:t>
      </w:r>
      <w:r>
        <w:rPr>
          <w:w w:val="105"/>
        </w:rPr>
        <w:t>a request by an affected </w:t>
      </w:r>
      <w:r>
        <w:rPr>
          <w:spacing w:val="-3"/>
          <w:w w:val="105"/>
        </w:rPr>
        <w:t>neighbour </w:t>
      </w:r>
      <w:r>
        <w:rPr>
          <w:w w:val="105"/>
        </w:rPr>
        <w:t>if the person:</w:t>
      </w:r>
    </w:p>
    <w:p>
      <w:pPr>
        <w:pStyle w:val="ListParagraph"/>
        <w:numPr>
          <w:ilvl w:val="2"/>
          <w:numId w:val="16"/>
        </w:numPr>
        <w:tabs>
          <w:tab w:pos="2721" w:val="left" w:leader="none"/>
          <w:tab w:pos="2722" w:val="left" w:leader="none"/>
        </w:tabs>
        <w:spacing w:line="242" w:lineRule="auto" w:before="122" w:after="0"/>
        <w:ind w:left="2721" w:right="2158" w:hanging="340"/>
        <w:jc w:val="left"/>
        <w:rPr>
          <w:sz w:val="21"/>
        </w:rPr>
      </w:pPr>
      <w:r>
        <w:rPr>
          <w:spacing w:val="-3"/>
          <w:w w:val="105"/>
          <w:sz w:val="21"/>
        </w:rPr>
        <w:t>could </w:t>
      </w:r>
      <w:r>
        <w:rPr>
          <w:spacing w:val="-2"/>
          <w:w w:val="105"/>
          <w:sz w:val="21"/>
        </w:rPr>
        <w:t>not </w:t>
      </w:r>
      <w:r>
        <w:rPr>
          <w:spacing w:val="-3"/>
          <w:w w:val="105"/>
          <w:sz w:val="21"/>
        </w:rPr>
        <w:t>reasonably </w:t>
      </w:r>
      <w:r>
        <w:rPr>
          <w:w w:val="105"/>
          <w:sz w:val="21"/>
        </w:rPr>
        <w:t>be expected </w:t>
      </w:r>
      <w:r>
        <w:rPr>
          <w:spacing w:val="-3"/>
          <w:w w:val="105"/>
          <w:sz w:val="21"/>
        </w:rPr>
        <w:t>to have </w:t>
      </w:r>
      <w:r>
        <w:rPr>
          <w:w w:val="105"/>
          <w:sz w:val="21"/>
        </w:rPr>
        <w:t>been </w:t>
      </w:r>
      <w:r>
        <w:rPr>
          <w:spacing w:val="-3"/>
          <w:w w:val="105"/>
          <w:sz w:val="21"/>
        </w:rPr>
        <w:t>aware </w:t>
      </w:r>
      <w:r>
        <w:rPr>
          <w:w w:val="105"/>
          <w:sz w:val="21"/>
        </w:rPr>
        <w:t>of the application </w:t>
      </w:r>
      <w:r>
        <w:rPr>
          <w:spacing w:val="-3"/>
          <w:w w:val="105"/>
          <w:sz w:val="21"/>
        </w:rPr>
        <w:t>for </w:t>
      </w:r>
      <w:r>
        <w:rPr>
          <w:w w:val="105"/>
          <w:sz w:val="21"/>
        </w:rPr>
        <w:t>the permit in time </w:t>
      </w:r>
      <w:r>
        <w:rPr>
          <w:spacing w:val="-3"/>
          <w:w w:val="105"/>
          <w:sz w:val="21"/>
        </w:rPr>
        <w:t>to </w:t>
      </w:r>
      <w:r>
        <w:rPr>
          <w:w w:val="105"/>
          <w:sz w:val="21"/>
        </w:rPr>
        <w:t>lodge an</w:t>
      </w:r>
      <w:r>
        <w:rPr>
          <w:spacing w:val="29"/>
          <w:w w:val="105"/>
          <w:sz w:val="21"/>
        </w:rPr>
        <w:t> </w:t>
      </w:r>
      <w:r>
        <w:rPr>
          <w:w w:val="105"/>
          <w:sz w:val="21"/>
        </w:rPr>
        <w:t>objection</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w w:val="105"/>
          <w:sz w:val="21"/>
        </w:rPr>
        <w:t>was </w:t>
      </w:r>
      <w:r>
        <w:rPr>
          <w:spacing w:val="-3"/>
          <w:w w:val="105"/>
          <w:sz w:val="21"/>
        </w:rPr>
        <w:t>substantially </w:t>
      </w:r>
      <w:r>
        <w:rPr>
          <w:w w:val="105"/>
          <w:sz w:val="21"/>
        </w:rPr>
        <w:t>disadvantaged by the issue of the</w:t>
      </w:r>
      <w:r>
        <w:rPr>
          <w:spacing w:val="33"/>
          <w:w w:val="105"/>
          <w:sz w:val="21"/>
        </w:rPr>
        <w:t> </w:t>
      </w:r>
      <w:r>
        <w:rPr>
          <w:w w:val="105"/>
          <w:sz w:val="21"/>
        </w:rPr>
        <w:t>permit</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it would be just and </w:t>
      </w:r>
      <w:r>
        <w:rPr>
          <w:spacing w:val="-4"/>
          <w:w w:val="105"/>
          <w:sz w:val="21"/>
        </w:rPr>
        <w:t>fair </w:t>
      </w:r>
      <w:r>
        <w:rPr>
          <w:w w:val="105"/>
          <w:sz w:val="21"/>
        </w:rPr>
        <w:t>in the </w:t>
      </w:r>
      <w:r>
        <w:rPr>
          <w:spacing w:val="-3"/>
          <w:w w:val="105"/>
          <w:sz w:val="21"/>
        </w:rPr>
        <w:t>circumstances to</w:t>
      </w:r>
      <w:r>
        <w:rPr>
          <w:spacing w:val="11"/>
          <w:w w:val="105"/>
          <w:sz w:val="21"/>
        </w:rPr>
        <w:t> </w:t>
      </w:r>
      <w:r>
        <w:rPr>
          <w:w w:val="105"/>
          <w:sz w:val="21"/>
        </w:rPr>
        <w:t>do so.</w:t>
      </w:r>
      <w:r>
        <w:rPr>
          <w:w w:val="105"/>
          <w:position w:val="7"/>
          <w:sz w:val="12"/>
        </w:rPr>
        <w:t>82</w:t>
      </w:r>
    </w:p>
    <w:p>
      <w:pPr>
        <w:pStyle w:val="ListParagraph"/>
        <w:numPr>
          <w:ilvl w:val="1"/>
          <w:numId w:val="16"/>
        </w:numPr>
        <w:tabs>
          <w:tab w:pos="2380" w:val="left" w:leader="none"/>
          <w:tab w:pos="2381" w:val="left" w:leader="none"/>
        </w:tabs>
        <w:spacing w:line="242" w:lineRule="auto" w:before="89" w:after="0"/>
        <w:ind w:left="2381" w:right="1800" w:hanging="794"/>
        <w:jc w:val="left"/>
        <w:rPr>
          <w:sz w:val="21"/>
        </w:rPr>
      </w:pPr>
      <w:r>
        <w:rPr>
          <w:w w:val="105"/>
          <w:sz w:val="21"/>
        </w:rPr>
        <w:t>The </w:t>
      </w:r>
      <w:r>
        <w:rPr>
          <w:spacing w:val="-3"/>
          <w:w w:val="105"/>
          <w:sz w:val="21"/>
        </w:rPr>
        <w:t>provisions </w:t>
      </w:r>
      <w:r>
        <w:rPr>
          <w:w w:val="105"/>
          <w:sz w:val="21"/>
        </w:rPr>
        <w:t>of the </w:t>
      </w:r>
      <w:r>
        <w:rPr>
          <w:spacing w:val="4"/>
          <w:w w:val="105"/>
          <w:sz w:val="21"/>
        </w:rPr>
        <w:t>P&amp;E </w:t>
      </w:r>
      <w:r>
        <w:rPr>
          <w:w w:val="105"/>
          <w:sz w:val="21"/>
        </w:rPr>
        <w:t>Act </w:t>
      </w:r>
      <w:r>
        <w:rPr>
          <w:spacing w:val="-3"/>
          <w:w w:val="105"/>
          <w:sz w:val="21"/>
        </w:rPr>
        <w:t>are </w:t>
      </w:r>
      <w:r>
        <w:rPr>
          <w:w w:val="105"/>
          <w:sz w:val="21"/>
        </w:rPr>
        <w:t>complex and there </w:t>
      </w:r>
      <w:r>
        <w:rPr>
          <w:spacing w:val="-3"/>
          <w:w w:val="105"/>
          <w:sz w:val="21"/>
        </w:rPr>
        <w:t>are </w:t>
      </w:r>
      <w:r>
        <w:rPr>
          <w:w w:val="105"/>
          <w:sz w:val="21"/>
        </w:rPr>
        <w:t>a number of </w:t>
      </w:r>
      <w:r>
        <w:rPr>
          <w:spacing w:val="-3"/>
          <w:w w:val="105"/>
          <w:sz w:val="21"/>
        </w:rPr>
        <w:t>hurdles that </w:t>
      </w:r>
      <w:r>
        <w:rPr>
          <w:w w:val="105"/>
          <w:sz w:val="21"/>
        </w:rPr>
        <w:t>must</w:t>
      </w:r>
      <w:r>
        <w:rPr>
          <w:spacing w:val="-8"/>
          <w:w w:val="105"/>
          <w:sz w:val="21"/>
        </w:rPr>
        <w:t> </w:t>
      </w:r>
      <w:r>
        <w:rPr>
          <w:w w:val="105"/>
          <w:sz w:val="21"/>
        </w:rPr>
        <w:t>be</w:t>
      </w:r>
      <w:r>
        <w:rPr>
          <w:spacing w:val="-7"/>
          <w:w w:val="105"/>
          <w:sz w:val="21"/>
        </w:rPr>
        <w:t> </w:t>
      </w:r>
      <w:r>
        <w:rPr>
          <w:w w:val="105"/>
          <w:sz w:val="21"/>
        </w:rPr>
        <w:t>satisfied</w:t>
      </w:r>
      <w:r>
        <w:rPr>
          <w:spacing w:val="-7"/>
          <w:w w:val="105"/>
          <w:sz w:val="21"/>
        </w:rPr>
        <w:t> </w:t>
      </w:r>
      <w:r>
        <w:rPr>
          <w:w w:val="105"/>
          <w:sz w:val="21"/>
        </w:rPr>
        <w:t>if</w:t>
      </w:r>
      <w:r>
        <w:rPr>
          <w:spacing w:val="-7"/>
          <w:w w:val="105"/>
          <w:sz w:val="21"/>
        </w:rPr>
        <w:t> </w:t>
      </w:r>
      <w:r>
        <w:rPr>
          <w:w w:val="105"/>
          <w:sz w:val="21"/>
        </w:rPr>
        <w:t>a</w:t>
      </w:r>
      <w:r>
        <w:rPr>
          <w:spacing w:val="-7"/>
          <w:w w:val="105"/>
          <w:sz w:val="21"/>
        </w:rPr>
        <w:t> </w:t>
      </w:r>
      <w:r>
        <w:rPr>
          <w:w w:val="105"/>
          <w:sz w:val="21"/>
        </w:rPr>
        <w:t>request</w:t>
      </w:r>
      <w:r>
        <w:rPr>
          <w:spacing w:val="-7"/>
          <w:w w:val="105"/>
          <w:sz w:val="21"/>
        </w:rPr>
        <w:t> </w:t>
      </w:r>
      <w:r>
        <w:rPr>
          <w:w w:val="105"/>
          <w:sz w:val="21"/>
        </w:rPr>
        <w:t>by</w:t>
      </w:r>
      <w:r>
        <w:rPr>
          <w:spacing w:val="-7"/>
          <w:w w:val="105"/>
          <w:sz w:val="21"/>
        </w:rPr>
        <w:t> </w:t>
      </w:r>
      <w:r>
        <w:rPr>
          <w:w w:val="105"/>
          <w:sz w:val="21"/>
        </w:rPr>
        <w:t>a</w:t>
      </w:r>
      <w:r>
        <w:rPr>
          <w:spacing w:val="-8"/>
          <w:w w:val="105"/>
          <w:sz w:val="21"/>
        </w:rPr>
        <w:t> </w:t>
      </w:r>
      <w:r>
        <w:rPr>
          <w:spacing w:val="-3"/>
          <w:w w:val="105"/>
          <w:sz w:val="21"/>
        </w:rPr>
        <w:t>third</w:t>
      </w:r>
      <w:r>
        <w:rPr>
          <w:spacing w:val="-7"/>
          <w:w w:val="105"/>
          <w:sz w:val="21"/>
        </w:rPr>
        <w:t> </w:t>
      </w:r>
      <w:r>
        <w:rPr>
          <w:w w:val="105"/>
          <w:sz w:val="21"/>
        </w:rPr>
        <w:t>party</w:t>
      </w:r>
      <w:r>
        <w:rPr>
          <w:spacing w:val="-7"/>
          <w:w w:val="105"/>
          <w:sz w:val="21"/>
        </w:rPr>
        <w:t> </w:t>
      </w:r>
      <w:r>
        <w:rPr>
          <w:spacing w:val="-3"/>
          <w:w w:val="105"/>
          <w:sz w:val="21"/>
        </w:rPr>
        <w:t>to</w:t>
      </w:r>
      <w:r>
        <w:rPr>
          <w:spacing w:val="-7"/>
          <w:w w:val="105"/>
          <w:sz w:val="21"/>
        </w:rPr>
        <w:t> </w:t>
      </w:r>
      <w:r>
        <w:rPr>
          <w:w w:val="105"/>
          <w:sz w:val="21"/>
        </w:rPr>
        <w:t>amend</w:t>
      </w:r>
      <w:r>
        <w:rPr>
          <w:spacing w:val="-7"/>
          <w:w w:val="105"/>
          <w:sz w:val="21"/>
        </w:rPr>
        <w:t> </w:t>
      </w:r>
      <w:r>
        <w:rPr>
          <w:w w:val="105"/>
          <w:sz w:val="21"/>
        </w:rPr>
        <w:t>a</w:t>
      </w:r>
      <w:r>
        <w:rPr>
          <w:spacing w:val="-7"/>
          <w:w w:val="105"/>
          <w:sz w:val="21"/>
        </w:rPr>
        <w:t> </w:t>
      </w:r>
      <w:r>
        <w:rPr>
          <w:w w:val="105"/>
          <w:sz w:val="21"/>
        </w:rPr>
        <w:t>permit</w:t>
      </w:r>
      <w:r>
        <w:rPr>
          <w:spacing w:val="-7"/>
          <w:w w:val="105"/>
          <w:sz w:val="21"/>
        </w:rPr>
        <w:t> </w:t>
      </w:r>
      <w:r>
        <w:rPr>
          <w:w w:val="105"/>
          <w:sz w:val="21"/>
        </w:rPr>
        <w:t>is</w:t>
      </w:r>
      <w:r>
        <w:rPr>
          <w:spacing w:val="-8"/>
          <w:w w:val="105"/>
          <w:sz w:val="21"/>
        </w:rPr>
        <w:t> </w:t>
      </w:r>
      <w:r>
        <w:rPr>
          <w:spacing w:val="-3"/>
          <w:w w:val="105"/>
          <w:sz w:val="21"/>
        </w:rPr>
        <w:t>to</w:t>
      </w:r>
      <w:r>
        <w:rPr>
          <w:spacing w:val="-7"/>
          <w:w w:val="105"/>
          <w:sz w:val="21"/>
        </w:rPr>
        <w:t> </w:t>
      </w:r>
      <w:r>
        <w:rPr>
          <w:w w:val="105"/>
          <w:sz w:val="21"/>
        </w:rPr>
        <w:t>succeed.</w:t>
      </w:r>
      <w:r>
        <w:rPr>
          <w:w w:val="105"/>
          <w:position w:val="7"/>
          <w:sz w:val="12"/>
        </w:rPr>
        <w:t>83</w:t>
      </w:r>
      <w:r>
        <w:rPr>
          <w:spacing w:val="-3"/>
          <w:w w:val="105"/>
          <w:position w:val="7"/>
          <w:sz w:val="12"/>
        </w:rPr>
        <w:t> </w:t>
      </w:r>
      <w:r>
        <w:rPr>
          <w:spacing w:val="-4"/>
          <w:w w:val="105"/>
          <w:sz w:val="21"/>
        </w:rPr>
        <w:t>Further, </w:t>
      </w:r>
      <w:r>
        <w:rPr>
          <w:w w:val="105"/>
          <w:sz w:val="21"/>
        </w:rPr>
        <w:t>if the </w:t>
      </w:r>
      <w:r>
        <w:rPr>
          <w:spacing w:val="-5"/>
          <w:w w:val="105"/>
          <w:sz w:val="21"/>
        </w:rPr>
        <w:t>Tribunal </w:t>
      </w:r>
      <w:r>
        <w:rPr>
          <w:spacing w:val="-2"/>
          <w:w w:val="105"/>
          <w:sz w:val="21"/>
        </w:rPr>
        <w:t>amends </w:t>
      </w:r>
      <w:r>
        <w:rPr>
          <w:w w:val="105"/>
          <w:sz w:val="21"/>
        </w:rPr>
        <w:t>a permit, then compensation </w:t>
      </w:r>
      <w:r>
        <w:rPr>
          <w:spacing w:val="-3"/>
          <w:w w:val="105"/>
          <w:sz w:val="21"/>
        </w:rPr>
        <w:t>may </w:t>
      </w:r>
      <w:r>
        <w:rPr>
          <w:w w:val="105"/>
          <w:sz w:val="21"/>
        </w:rPr>
        <w:t>be </w:t>
      </w:r>
      <w:r>
        <w:rPr>
          <w:spacing w:val="-3"/>
          <w:w w:val="105"/>
          <w:sz w:val="21"/>
        </w:rPr>
        <w:t>payable to any</w:t>
      </w:r>
      <w:r>
        <w:rPr>
          <w:spacing w:val="-4"/>
          <w:w w:val="105"/>
          <w:sz w:val="21"/>
        </w:rPr>
        <w:t> </w:t>
      </w:r>
      <w:r>
        <w:rPr>
          <w:w w:val="105"/>
          <w:sz w:val="21"/>
        </w:rPr>
        <w:t>person</w:t>
      </w:r>
    </w:p>
    <w:p>
      <w:pPr>
        <w:pStyle w:val="BodyText"/>
        <w:spacing w:line="242" w:lineRule="auto" w:before="3"/>
        <w:ind w:left="2381" w:right="1636"/>
        <w:rPr>
          <w:sz w:val="12"/>
        </w:rPr>
      </w:pPr>
      <w:r>
        <w:rPr>
          <w:w w:val="105"/>
        </w:rPr>
        <w:t>who </w:t>
      </w:r>
      <w:r>
        <w:rPr>
          <w:spacing w:val="-2"/>
          <w:w w:val="105"/>
        </w:rPr>
        <w:t>has </w:t>
      </w:r>
      <w:r>
        <w:rPr>
          <w:spacing w:val="-3"/>
          <w:w w:val="105"/>
        </w:rPr>
        <w:t>incurred expenditure </w:t>
      </w:r>
      <w:r>
        <w:rPr>
          <w:w w:val="105"/>
        </w:rPr>
        <w:t>or </w:t>
      </w:r>
      <w:r>
        <w:rPr>
          <w:spacing w:val="-3"/>
          <w:w w:val="105"/>
        </w:rPr>
        <w:t>liability that </w:t>
      </w:r>
      <w:r>
        <w:rPr>
          <w:w w:val="105"/>
        </w:rPr>
        <w:t>is now wasted as a </w:t>
      </w:r>
      <w:r>
        <w:rPr>
          <w:spacing w:val="-3"/>
          <w:w w:val="105"/>
        </w:rPr>
        <w:t>result </w:t>
      </w:r>
      <w:r>
        <w:rPr>
          <w:w w:val="105"/>
        </w:rPr>
        <w:t>of the permit amendment.</w:t>
      </w:r>
      <w:r>
        <w:rPr>
          <w:w w:val="105"/>
          <w:position w:val="7"/>
          <w:sz w:val="12"/>
        </w:rPr>
        <w:t>84</w:t>
      </w:r>
    </w:p>
    <w:p>
      <w:pPr>
        <w:pStyle w:val="BodyText"/>
        <w:spacing w:before="3"/>
        <w:rPr>
          <w:sz w:val="20"/>
        </w:rPr>
      </w:pPr>
    </w:p>
    <w:p>
      <w:pPr>
        <w:pStyle w:val="Heading5"/>
      </w:pPr>
      <w:r>
        <w:rPr>
          <w:w w:val="110"/>
        </w:rPr>
        <w:t>Section 173 agreements</w:t>
      </w:r>
    </w:p>
    <w:p>
      <w:pPr>
        <w:pStyle w:val="ListParagraph"/>
        <w:numPr>
          <w:ilvl w:val="1"/>
          <w:numId w:val="16"/>
        </w:numPr>
        <w:tabs>
          <w:tab w:pos="2381" w:val="left" w:leader="none"/>
          <w:tab w:pos="2382" w:val="left" w:leader="none"/>
        </w:tabs>
        <w:spacing w:line="242" w:lineRule="auto" w:before="137" w:after="0"/>
        <w:ind w:left="2381" w:right="2051" w:hanging="794"/>
        <w:jc w:val="left"/>
        <w:rPr>
          <w:sz w:val="21"/>
        </w:rPr>
      </w:pPr>
      <w:r>
        <w:rPr>
          <w:w w:val="105"/>
          <w:sz w:val="21"/>
        </w:rPr>
        <w:t>Some </w:t>
      </w:r>
      <w:r>
        <w:rPr>
          <w:spacing w:val="-3"/>
          <w:w w:val="105"/>
          <w:sz w:val="21"/>
        </w:rPr>
        <w:t>councils </w:t>
      </w:r>
      <w:r>
        <w:rPr>
          <w:w w:val="105"/>
          <w:sz w:val="21"/>
        </w:rPr>
        <w:t>use section </w:t>
      </w:r>
      <w:r>
        <w:rPr>
          <w:spacing w:val="-8"/>
          <w:w w:val="105"/>
          <w:sz w:val="21"/>
        </w:rPr>
        <w:t>173 </w:t>
      </w:r>
      <w:r>
        <w:rPr>
          <w:w w:val="105"/>
          <w:sz w:val="21"/>
        </w:rPr>
        <w:t>of the </w:t>
      </w:r>
      <w:r>
        <w:rPr>
          <w:spacing w:val="4"/>
          <w:w w:val="105"/>
          <w:sz w:val="21"/>
        </w:rPr>
        <w:t>P&amp;E </w:t>
      </w:r>
      <w:r>
        <w:rPr>
          <w:w w:val="105"/>
          <w:sz w:val="21"/>
        </w:rPr>
        <w:t>Act </w:t>
      </w:r>
      <w:r>
        <w:rPr>
          <w:spacing w:val="-3"/>
          <w:w w:val="105"/>
          <w:sz w:val="21"/>
        </w:rPr>
        <w:t>to </w:t>
      </w:r>
      <w:r>
        <w:rPr>
          <w:w w:val="105"/>
          <w:sz w:val="21"/>
        </w:rPr>
        <w:t>protect trees on </w:t>
      </w:r>
      <w:r>
        <w:rPr>
          <w:spacing w:val="-3"/>
          <w:w w:val="105"/>
          <w:sz w:val="21"/>
        </w:rPr>
        <w:t>private </w:t>
      </w:r>
      <w:r>
        <w:rPr>
          <w:w w:val="105"/>
          <w:sz w:val="21"/>
        </w:rPr>
        <w:t>land.</w:t>
      </w:r>
      <w:r>
        <w:rPr>
          <w:w w:val="105"/>
          <w:position w:val="7"/>
          <w:sz w:val="12"/>
        </w:rPr>
        <w:t>85 </w:t>
      </w:r>
      <w:r>
        <w:rPr>
          <w:w w:val="105"/>
          <w:sz w:val="21"/>
        </w:rPr>
        <w:t>This </w:t>
      </w:r>
      <w:r>
        <w:rPr>
          <w:spacing w:val="-3"/>
          <w:w w:val="105"/>
          <w:sz w:val="21"/>
        </w:rPr>
        <w:t>provision </w:t>
      </w:r>
      <w:r>
        <w:rPr>
          <w:w w:val="105"/>
          <w:sz w:val="21"/>
        </w:rPr>
        <w:t>allows </w:t>
      </w:r>
      <w:r>
        <w:rPr>
          <w:spacing w:val="-3"/>
          <w:w w:val="105"/>
          <w:sz w:val="21"/>
        </w:rPr>
        <w:t>councils to enter </w:t>
      </w:r>
      <w:r>
        <w:rPr>
          <w:spacing w:val="-4"/>
          <w:w w:val="105"/>
          <w:sz w:val="21"/>
        </w:rPr>
        <w:t>into </w:t>
      </w:r>
      <w:r>
        <w:rPr>
          <w:w w:val="105"/>
          <w:sz w:val="21"/>
        </w:rPr>
        <w:t>agreements with </w:t>
      </w:r>
      <w:r>
        <w:rPr>
          <w:spacing w:val="-3"/>
          <w:w w:val="105"/>
          <w:sz w:val="21"/>
        </w:rPr>
        <w:t>private </w:t>
      </w:r>
      <w:r>
        <w:rPr>
          <w:w w:val="105"/>
          <w:sz w:val="21"/>
        </w:rPr>
        <w:t>residents </w:t>
      </w:r>
      <w:r>
        <w:rPr>
          <w:spacing w:val="-3"/>
          <w:w w:val="105"/>
          <w:sz w:val="21"/>
        </w:rPr>
        <w:t>to </w:t>
      </w:r>
      <w:r>
        <w:rPr>
          <w:w w:val="105"/>
          <w:sz w:val="21"/>
        </w:rPr>
        <w:t>protect and</w:t>
      </w:r>
      <w:r>
        <w:rPr>
          <w:spacing w:val="-12"/>
          <w:w w:val="105"/>
          <w:sz w:val="21"/>
        </w:rPr>
        <w:t> </w:t>
      </w:r>
      <w:r>
        <w:rPr>
          <w:spacing w:val="-3"/>
          <w:w w:val="105"/>
          <w:sz w:val="21"/>
        </w:rPr>
        <w:t>retain</w:t>
      </w:r>
      <w:r>
        <w:rPr>
          <w:spacing w:val="-12"/>
          <w:w w:val="105"/>
          <w:sz w:val="21"/>
        </w:rPr>
        <w:t> </w:t>
      </w:r>
      <w:r>
        <w:rPr>
          <w:w w:val="105"/>
          <w:sz w:val="21"/>
        </w:rPr>
        <w:t>particular</w:t>
      </w:r>
      <w:r>
        <w:rPr>
          <w:spacing w:val="-12"/>
          <w:w w:val="105"/>
          <w:sz w:val="21"/>
        </w:rPr>
        <w:t> </w:t>
      </w:r>
      <w:r>
        <w:rPr>
          <w:w w:val="105"/>
          <w:sz w:val="21"/>
        </w:rPr>
        <w:t>trees</w:t>
      </w:r>
      <w:r>
        <w:rPr>
          <w:spacing w:val="-12"/>
          <w:w w:val="105"/>
          <w:sz w:val="21"/>
        </w:rPr>
        <w:t> </w:t>
      </w:r>
      <w:r>
        <w:rPr>
          <w:w w:val="105"/>
          <w:sz w:val="21"/>
        </w:rPr>
        <w:t>on</w:t>
      </w:r>
      <w:r>
        <w:rPr>
          <w:spacing w:val="-12"/>
          <w:w w:val="105"/>
          <w:sz w:val="21"/>
        </w:rPr>
        <w:t> </w:t>
      </w:r>
      <w:r>
        <w:rPr>
          <w:spacing w:val="-3"/>
          <w:w w:val="105"/>
          <w:sz w:val="21"/>
        </w:rPr>
        <w:t>private</w:t>
      </w:r>
      <w:r>
        <w:rPr>
          <w:spacing w:val="-12"/>
          <w:w w:val="105"/>
          <w:sz w:val="21"/>
        </w:rPr>
        <w:t> </w:t>
      </w:r>
      <w:r>
        <w:rPr>
          <w:w w:val="105"/>
          <w:sz w:val="21"/>
        </w:rPr>
        <w:t>property</w:t>
      </w:r>
      <w:r>
        <w:rPr>
          <w:spacing w:val="-12"/>
          <w:w w:val="105"/>
          <w:sz w:val="21"/>
        </w:rPr>
        <w:t> </w:t>
      </w:r>
      <w:r>
        <w:rPr>
          <w:w w:val="105"/>
          <w:sz w:val="21"/>
        </w:rPr>
        <w:t>or</w:t>
      </w:r>
      <w:r>
        <w:rPr>
          <w:spacing w:val="-12"/>
          <w:w w:val="105"/>
          <w:sz w:val="21"/>
        </w:rPr>
        <w:t> </w:t>
      </w:r>
      <w:r>
        <w:rPr>
          <w:spacing w:val="-3"/>
          <w:w w:val="105"/>
          <w:sz w:val="21"/>
        </w:rPr>
        <w:t>to</w:t>
      </w:r>
      <w:r>
        <w:rPr>
          <w:spacing w:val="-12"/>
          <w:w w:val="105"/>
          <w:sz w:val="21"/>
        </w:rPr>
        <w:t> </w:t>
      </w:r>
      <w:r>
        <w:rPr>
          <w:spacing w:val="-3"/>
          <w:w w:val="105"/>
          <w:sz w:val="21"/>
        </w:rPr>
        <w:t>achieve</w:t>
      </w:r>
      <w:r>
        <w:rPr>
          <w:spacing w:val="-12"/>
          <w:w w:val="105"/>
          <w:sz w:val="21"/>
        </w:rPr>
        <w:t> </w:t>
      </w:r>
      <w:r>
        <w:rPr>
          <w:w w:val="105"/>
          <w:sz w:val="21"/>
        </w:rPr>
        <w:t>other</w:t>
      </w:r>
      <w:r>
        <w:rPr>
          <w:spacing w:val="-12"/>
          <w:w w:val="105"/>
          <w:sz w:val="21"/>
        </w:rPr>
        <w:t> </w:t>
      </w:r>
      <w:r>
        <w:rPr>
          <w:spacing w:val="-3"/>
          <w:w w:val="105"/>
          <w:sz w:val="21"/>
        </w:rPr>
        <w:t>planning</w:t>
      </w:r>
      <w:r>
        <w:rPr>
          <w:spacing w:val="-12"/>
          <w:w w:val="105"/>
          <w:sz w:val="21"/>
        </w:rPr>
        <w:t> </w:t>
      </w:r>
      <w:r>
        <w:rPr>
          <w:w w:val="105"/>
          <w:sz w:val="21"/>
        </w:rPr>
        <w:t>objectives in</w:t>
      </w:r>
      <w:r>
        <w:rPr>
          <w:spacing w:val="-6"/>
          <w:w w:val="105"/>
          <w:sz w:val="21"/>
        </w:rPr>
        <w:t> </w:t>
      </w:r>
      <w:r>
        <w:rPr>
          <w:spacing w:val="-3"/>
          <w:w w:val="105"/>
          <w:sz w:val="21"/>
        </w:rPr>
        <w:t>relation</w:t>
      </w:r>
      <w:r>
        <w:rPr>
          <w:spacing w:val="-6"/>
          <w:w w:val="105"/>
          <w:sz w:val="21"/>
        </w:rPr>
        <w:t> </w:t>
      </w:r>
      <w:r>
        <w:rPr>
          <w:spacing w:val="-3"/>
          <w:w w:val="105"/>
          <w:sz w:val="21"/>
        </w:rPr>
        <w:t>to</w:t>
      </w:r>
      <w:r>
        <w:rPr>
          <w:spacing w:val="-6"/>
          <w:w w:val="105"/>
          <w:sz w:val="21"/>
        </w:rPr>
        <w:t> </w:t>
      </w:r>
      <w:r>
        <w:rPr>
          <w:w w:val="105"/>
          <w:sz w:val="21"/>
        </w:rPr>
        <w:t>the</w:t>
      </w:r>
      <w:r>
        <w:rPr>
          <w:spacing w:val="-5"/>
          <w:w w:val="105"/>
          <w:sz w:val="21"/>
        </w:rPr>
        <w:t> </w:t>
      </w:r>
      <w:r>
        <w:rPr>
          <w:w w:val="105"/>
          <w:sz w:val="21"/>
        </w:rPr>
        <w:t>land.</w:t>
      </w:r>
      <w:r>
        <w:rPr>
          <w:w w:val="105"/>
          <w:position w:val="7"/>
          <w:sz w:val="12"/>
        </w:rPr>
        <w:t>86</w:t>
      </w:r>
      <w:r>
        <w:rPr>
          <w:spacing w:val="17"/>
          <w:w w:val="105"/>
          <w:position w:val="7"/>
          <w:sz w:val="12"/>
        </w:rPr>
        <w:t> </w:t>
      </w:r>
      <w:r>
        <w:rPr>
          <w:w w:val="105"/>
          <w:sz w:val="21"/>
        </w:rPr>
        <w:t>These</w:t>
      </w:r>
      <w:r>
        <w:rPr>
          <w:spacing w:val="-6"/>
          <w:w w:val="105"/>
          <w:sz w:val="21"/>
        </w:rPr>
        <w:t> </w:t>
      </w:r>
      <w:r>
        <w:rPr>
          <w:w w:val="105"/>
          <w:sz w:val="21"/>
        </w:rPr>
        <w:t>agreements</w:t>
      </w:r>
      <w:r>
        <w:rPr>
          <w:spacing w:val="-6"/>
          <w:w w:val="105"/>
          <w:sz w:val="21"/>
        </w:rPr>
        <w:t> </w:t>
      </w:r>
      <w:r>
        <w:rPr>
          <w:spacing w:val="-3"/>
          <w:w w:val="105"/>
          <w:sz w:val="21"/>
        </w:rPr>
        <w:t>may</w:t>
      </w:r>
      <w:r>
        <w:rPr>
          <w:spacing w:val="-6"/>
          <w:w w:val="105"/>
          <w:sz w:val="21"/>
        </w:rPr>
        <w:t> </w:t>
      </w:r>
      <w:r>
        <w:rPr>
          <w:w w:val="105"/>
          <w:sz w:val="21"/>
        </w:rPr>
        <w:t>expressly</w:t>
      </w:r>
      <w:r>
        <w:rPr>
          <w:spacing w:val="-5"/>
          <w:w w:val="105"/>
          <w:sz w:val="21"/>
        </w:rPr>
        <w:t> </w:t>
      </w:r>
      <w:r>
        <w:rPr>
          <w:spacing w:val="-3"/>
          <w:w w:val="105"/>
          <w:sz w:val="21"/>
        </w:rPr>
        <w:t>require</w:t>
      </w:r>
      <w:r>
        <w:rPr>
          <w:spacing w:val="-6"/>
          <w:w w:val="105"/>
          <w:sz w:val="21"/>
        </w:rPr>
        <w:t> </w:t>
      </w:r>
      <w:r>
        <w:rPr>
          <w:w w:val="105"/>
          <w:sz w:val="21"/>
        </w:rPr>
        <w:t>owners</w:t>
      </w:r>
      <w:r>
        <w:rPr>
          <w:spacing w:val="-6"/>
          <w:w w:val="105"/>
          <w:sz w:val="21"/>
        </w:rPr>
        <w:t> </w:t>
      </w:r>
      <w:r>
        <w:rPr>
          <w:w w:val="105"/>
          <w:sz w:val="21"/>
        </w:rPr>
        <w:t>of</w:t>
      </w:r>
      <w:r>
        <w:rPr>
          <w:spacing w:val="-6"/>
          <w:w w:val="105"/>
          <w:sz w:val="21"/>
        </w:rPr>
        <w:t> </w:t>
      </w:r>
      <w:r>
        <w:rPr>
          <w:spacing w:val="-3"/>
          <w:w w:val="105"/>
          <w:sz w:val="21"/>
        </w:rPr>
        <w:t>land</w:t>
      </w:r>
      <w:r>
        <w:rPr>
          <w:spacing w:val="-5"/>
          <w:w w:val="105"/>
          <w:sz w:val="21"/>
        </w:rPr>
        <w:t> </w:t>
      </w:r>
      <w:r>
        <w:rPr>
          <w:spacing w:val="-3"/>
          <w:w w:val="105"/>
          <w:sz w:val="21"/>
        </w:rPr>
        <w:t>to</w:t>
      </w:r>
    </w:p>
    <w:p>
      <w:pPr>
        <w:pStyle w:val="BodyText"/>
        <w:spacing w:line="242" w:lineRule="auto" w:before="5"/>
        <w:ind w:left="2381" w:right="1810"/>
      </w:pPr>
      <w:r>
        <w:rPr>
          <w:spacing w:val="-3"/>
        </w:rPr>
        <w:t>maintain </w:t>
      </w:r>
      <w:r>
        <w:rPr/>
        <w:t>vegetation </w:t>
      </w:r>
      <w:r>
        <w:rPr>
          <w:spacing w:val="-3"/>
        </w:rPr>
        <w:t>to </w:t>
      </w:r>
      <w:r>
        <w:rPr/>
        <w:t>the satisfaction of </w:t>
      </w:r>
      <w:r>
        <w:rPr>
          <w:spacing w:val="-3"/>
        </w:rPr>
        <w:t>council.</w:t>
      </w:r>
      <w:r>
        <w:rPr>
          <w:spacing w:val="-3"/>
          <w:position w:val="7"/>
          <w:sz w:val="12"/>
        </w:rPr>
        <w:t>87 </w:t>
      </w:r>
      <w:r>
        <w:rPr/>
        <w:t>For </w:t>
      </w:r>
      <w:r>
        <w:rPr>
          <w:spacing w:val="-3"/>
        </w:rPr>
        <w:t>example, </w:t>
      </w:r>
      <w:r>
        <w:rPr/>
        <w:t>in </w:t>
      </w:r>
      <w:r>
        <w:rPr>
          <w:spacing w:val="-3"/>
        </w:rPr>
        <w:t>Nillumbik Shire </w:t>
      </w:r>
      <w:r>
        <w:rPr/>
        <w:t>these agreements typically apply </w:t>
      </w:r>
      <w:r>
        <w:rPr>
          <w:spacing w:val="-3"/>
        </w:rPr>
        <w:t>to applications to </w:t>
      </w:r>
      <w:r>
        <w:rPr/>
        <w:t>subdivide </w:t>
      </w:r>
      <w:r>
        <w:rPr>
          <w:spacing w:val="-3"/>
        </w:rPr>
        <w:t>land  </w:t>
      </w:r>
      <w:r>
        <w:rPr/>
        <w:t>less  </w:t>
      </w:r>
      <w:r>
        <w:rPr>
          <w:spacing w:val="-3"/>
        </w:rPr>
        <w:t>than  </w:t>
      </w:r>
      <w:r>
        <w:rPr>
          <w:spacing w:val="-2"/>
        </w:rPr>
        <w:t>0.4  </w:t>
      </w:r>
      <w:r>
        <w:rPr/>
        <w:t>hectares  in </w:t>
      </w:r>
      <w:r>
        <w:rPr>
          <w:spacing w:val="-3"/>
        </w:rPr>
        <w:t>size.</w:t>
      </w:r>
      <w:r>
        <w:rPr>
          <w:spacing w:val="-3"/>
          <w:position w:val="7"/>
          <w:sz w:val="12"/>
        </w:rPr>
        <w:t>88 </w:t>
      </w:r>
      <w:r>
        <w:rPr/>
        <w:t>Lots of this </w:t>
      </w:r>
      <w:r>
        <w:rPr>
          <w:spacing w:val="-3"/>
        </w:rPr>
        <w:t>size are </w:t>
      </w:r>
      <w:r>
        <w:rPr>
          <w:spacing w:val="-2"/>
        </w:rPr>
        <w:t>not </w:t>
      </w:r>
      <w:r>
        <w:rPr>
          <w:spacing w:val="-3"/>
        </w:rPr>
        <w:t>covered  </w:t>
      </w:r>
      <w:r>
        <w:rPr/>
        <w:t>by the </w:t>
      </w:r>
      <w:r>
        <w:rPr>
          <w:spacing w:val="-3"/>
        </w:rPr>
        <w:t>native</w:t>
      </w:r>
      <w:r>
        <w:rPr>
          <w:spacing w:val="41"/>
        </w:rPr>
        <w:t> </w:t>
      </w:r>
      <w:r>
        <w:rPr/>
        <w:t>vegetation particular </w:t>
      </w:r>
      <w:r>
        <w:rPr>
          <w:spacing w:val="-3"/>
        </w:rPr>
        <w:t>provision  </w:t>
      </w:r>
      <w:r>
        <w:rPr/>
        <w:t>under its </w:t>
      </w:r>
      <w:r>
        <w:rPr>
          <w:spacing w:val="-3"/>
        </w:rPr>
        <w:t>planning</w:t>
      </w:r>
      <w:r>
        <w:rPr>
          <w:spacing w:val="17"/>
        </w:rPr>
        <w:t> </w:t>
      </w:r>
      <w:r>
        <w:rPr>
          <w:spacing w:val="-3"/>
        </w:rPr>
        <w:t>scheme.</w:t>
      </w:r>
    </w:p>
    <w:p>
      <w:pPr>
        <w:pStyle w:val="ListParagraph"/>
        <w:numPr>
          <w:ilvl w:val="1"/>
          <w:numId w:val="16"/>
        </w:numPr>
        <w:tabs>
          <w:tab w:pos="2380" w:val="left" w:leader="none"/>
          <w:tab w:pos="2381" w:val="left" w:leader="none"/>
        </w:tabs>
        <w:spacing w:line="242" w:lineRule="auto" w:before="124" w:after="0"/>
        <w:ind w:left="2380" w:right="1745" w:hanging="793"/>
        <w:jc w:val="left"/>
        <w:rPr>
          <w:sz w:val="21"/>
        </w:rPr>
      </w:pPr>
      <w:r>
        <w:rPr>
          <w:w w:val="105"/>
          <w:sz w:val="21"/>
        </w:rPr>
        <w:t>Section </w:t>
      </w:r>
      <w:r>
        <w:rPr>
          <w:spacing w:val="-8"/>
          <w:w w:val="105"/>
          <w:sz w:val="21"/>
        </w:rPr>
        <w:t>173 </w:t>
      </w:r>
      <w:r>
        <w:rPr>
          <w:w w:val="105"/>
          <w:sz w:val="21"/>
        </w:rPr>
        <w:t>agreements can be recorded on the title of the </w:t>
      </w:r>
      <w:r>
        <w:rPr>
          <w:spacing w:val="-3"/>
          <w:w w:val="105"/>
          <w:sz w:val="21"/>
        </w:rPr>
        <w:t>land </w:t>
      </w:r>
      <w:r>
        <w:rPr>
          <w:w w:val="105"/>
          <w:sz w:val="21"/>
        </w:rPr>
        <w:t>so </w:t>
      </w:r>
      <w:r>
        <w:rPr>
          <w:spacing w:val="-3"/>
          <w:w w:val="105"/>
          <w:sz w:val="21"/>
        </w:rPr>
        <w:t>that future </w:t>
      </w:r>
      <w:r>
        <w:rPr>
          <w:w w:val="105"/>
          <w:sz w:val="21"/>
        </w:rPr>
        <w:t>owners and occupiers can be bound by </w:t>
      </w:r>
      <w:r>
        <w:rPr>
          <w:spacing w:val="-3"/>
          <w:w w:val="105"/>
          <w:sz w:val="21"/>
        </w:rPr>
        <w:t>conditions </w:t>
      </w:r>
      <w:r>
        <w:rPr>
          <w:w w:val="105"/>
          <w:sz w:val="21"/>
        </w:rPr>
        <w:t>under the agreement.</w:t>
      </w:r>
      <w:r>
        <w:rPr>
          <w:w w:val="105"/>
          <w:position w:val="7"/>
          <w:sz w:val="12"/>
        </w:rPr>
        <w:t>89 </w:t>
      </w:r>
      <w:r>
        <w:rPr>
          <w:spacing w:val="-5"/>
          <w:w w:val="105"/>
          <w:sz w:val="21"/>
        </w:rPr>
        <w:t>VCAT </w:t>
      </w:r>
      <w:r>
        <w:rPr>
          <w:spacing w:val="-2"/>
          <w:w w:val="105"/>
          <w:sz w:val="21"/>
        </w:rPr>
        <w:t>has </w:t>
      </w:r>
      <w:r>
        <w:rPr>
          <w:w w:val="105"/>
          <w:sz w:val="21"/>
        </w:rPr>
        <w:t>some scope</w:t>
      </w:r>
      <w:r>
        <w:rPr>
          <w:spacing w:val="-11"/>
          <w:w w:val="105"/>
          <w:sz w:val="21"/>
        </w:rPr>
        <w:t> </w:t>
      </w:r>
      <w:r>
        <w:rPr>
          <w:spacing w:val="-3"/>
          <w:w w:val="105"/>
          <w:sz w:val="21"/>
        </w:rPr>
        <w:t>to</w:t>
      </w:r>
      <w:r>
        <w:rPr>
          <w:spacing w:val="-10"/>
          <w:w w:val="105"/>
          <w:sz w:val="21"/>
        </w:rPr>
        <w:t> </w:t>
      </w:r>
      <w:r>
        <w:rPr>
          <w:w w:val="105"/>
          <w:sz w:val="21"/>
        </w:rPr>
        <w:t>direct</w:t>
      </w:r>
      <w:r>
        <w:rPr>
          <w:spacing w:val="-10"/>
          <w:w w:val="105"/>
          <w:sz w:val="21"/>
        </w:rPr>
        <w:t> </w:t>
      </w:r>
      <w:r>
        <w:rPr>
          <w:w w:val="105"/>
          <w:sz w:val="21"/>
        </w:rPr>
        <w:t>the</w:t>
      </w:r>
      <w:r>
        <w:rPr>
          <w:spacing w:val="-10"/>
          <w:w w:val="105"/>
          <w:sz w:val="21"/>
        </w:rPr>
        <w:t> </w:t>
      </w:r>
      <w:r>
        <w:rPr>
          <w:spacing w:val="-3"/>
          <w:w w:val="105"/>
          <w:sz w:val="21"/>
        </w:rPr>
        <w:t>responsible</w:t>
      </w:r>
      <w:r>
        <w:rPr>
          <w:spacing w:val="-10"/>
          <w:w w:val="105"/>
          <w:sz w:val="21"/>
        </w:rPr>
        <w:t> </w:t>
      </w:r>
      <w:r>
        <w:rPr>
          <w:w w:val="105"/>
          <w:sz w:val="21"/>
        </w:rPr>
        <w:t>authority</w:t>
      </w:r>
      <w:r>
        <w:rPr>
          <w:spacing w:val="-10"/>
          <w:w w:val="105"/>
          <w:sz w:val="21"/>
        </w:rPr>
        <w:t> </w:t>
      </w:r>
      <w:r>
        <w:rPr>
          <w:spacing w:val="-3"/>
          <w:w w:val="105"/>
          <w:sz w:val="21"/>
        </w:rPr>
        <w:t>to</w:t>
      </w:r>
      <w:r>
        <w:rPr>
          <w:spacing w:val="-11"/>
          <w:w w:val="105"/>
          <w:sz w:val="21"/>
        </w:rPr>
        <w:t> </w:t>
      </w:r>
      <w:r>
        <w:rPr>
          <w:w w:val="105"/>
          <w:sz w:val="21"/>
        </w:rPr>
        <w:t>amend</w:t>
      </w:r>
      <w:r>
        <w:rPr>
          <w:spacing w:val="-10"/>
          <w:w w:val="105"/>
          <w:sz w:val="21"/>
        </w:rPr>
        <w:t> </w:t>
      </w:r>
      <w:r>
        <w:rPr>
          <w:w w:val="105"/>
          <w:sz w:val="21"/>
        </w:rPr>
        <w:t>or</w:t>
      </w:r>
      <w:r>
        <w:rPr>
          <w:spacing w:val="-10"/>
          <w:w w:val="105"/>
          <w:sz w:val="21"/>
        </w:rPr>
        <w:t> </w:t>
      </w:r>
      <w:r>
        <w:rPr>
          <w:w w:val="105"/>
          <w:sz w:val="21"/>
        </w:rPr>
        <w:t>end</w:t>
      </w:r>
      <w:r>
        <w:rPr>
          <w:spacing w:val="-10"/>
          <w:w w:val="105"/>
          <w:sz w:val="21"/>
        </w:rPr>
        <w:t> </w:t>
      </w:r>
      <w:r>
        <w:rPr>
          <w:w w:val="105"/>
          <w:sz w:val="21"/>
        </w:rPr>
        <w:t>these</w:t>
      </w:r>
      <w:r>
        <w:rPr>
          <w:spacing w:val="-10"/>
          <w:w w:val="105"/>
          <w:sz w:val="21"/>
        </w:rPr>
        <w:t> </w:t>
      </w:r>
      <w:r>
        <w:rPr>
          <w:w w:val="105"/>
          <w:sz w:val="21"/>
        </w:rPr>
        <w:t>agreements.</w:t>
      </w:r>
      <w:r>
        <w:rPr>
          <w:w w:val="105"/>
          <w:position w:val="7"/>
          <w:sz w:val="12"/>
        </w:rPr>
        <w:t>90</w:t>
      </w:r>
      <w:r>
        <w:rPr>
          <w:spacing w:val="12"/>
          <w:w w:val="105"/>
          <w:position w:val="7"/>
          <w:sz w:val="12"/>
        </w:rPr>
        <w:t> </w:t>
      </w:r>
      <w:r>
        <w:rPr>
          <w:spacing w:val="-4"/>
          <w:w w:val="105"/>
          <w:sz w:val="21"/>
        </w:rPr>
        <w:t>However, </w:t>
      </w:r>
      <w:r>
        <w:rPr>
          <w:w w:val="105"/>
          <w:sz w:val="21"/>
        </w:rPr>
        <w:t>the </w:t>
      </w:r>
      <w:r>
        <w:rPr>
          <w:spacing w:val="-3"/>
          <w:w w:val="105"/>
          <w:sz w:val="21"/>
        </w:rPr>
        <w:t>council </w:t>
      </w:r>
      <w:r>
        <w:rPr>
          <w:w w:val="105"/>
          <w:sz w:val="21"/>
        </w:rPr>
        <w:t>must </w:t>
      </w:r>
      <w:r>
        <w:rPr>
          <w:spacing w:val="-3"/>
          <w:w w:val="105"/>
          <w:sz w:val="21"/>
        </w:rPr>
        <w:t>initially </w:t>
      </w:r>
      <w:r>
        <w:rPr>
          <w:w w:val="105"/>
          <w:sz w:val="21"/>
        </w:rPr>
        <w:t>agree </w:t>
      </w:r>
      <w:r>
        <w:rPr>
          <w:spacing w:val="-3"/>
          <w:w w:val="105"/>
          <w:sz w:val="21"/>
        </w:rPr>
        <w:t>to such </w:t>
      </w:r>
      <w:r>
        <w:rPr>
          <w:w w:val="105"/>
          <w:sz w:val="21"/>
        </w:rPr>
        <w:t>a review being </w:t>
      </w:r>
      <w:r>
        <w:rPr>
          <w:spacing w:val="-3"/>
          <w:w w:val="105"/>
          <w:sz w:val="21"/>
        </w:rPr>
        <w:t>undertaken.</w:t>
      </w:r>
      <w:r>
        <w:rPr>
          <w:spacing w:val="-3"/>
          <w:w w:val="105"/>
          <w:position w:val="7"/>
          <w:sz w:val="12"/>
        </w:rPr>
        <w:t>91 </w:t>
      </w:r>
      <w:r>
        <w:rPr>
          <w:w w:val="105"/>
          <w:sz w:val="21"/>
        </w:rPr>
        <w:t>If the </w:t>
      </w:r>
      <w:r>
        <w:rPr>
          <w:spacing w:val="-3"/>
          <w:w w:val="105"/>
          <w:sz w:val="21"/>
        </w:rPr>
        <w:t>responsible </w:t>
      </w:r>
      <w:r>
        <w:rPr>
          <w:w w:val="105"/>
          <w:sz w:val="21"/>
        </w:rPr>
        <w:t>authority decides </w:t>
      </w:r>
      <w:r>
        <w:rPr>
          <w:spacing w:val="-3"/>
          <w:w w:val="105"/>
          <w:sz w:val="21"/>
        </w:rPr>
        <w:t>that </w:t>
      </w:r>
      <w:r>
        <w:rPr>
          <w:w w:val="105"/>
          <w:sz w:val="21"/>
        </w:rPr>
        <w:t>it does </w:t>
      </w:r>
      <w:r>
        <w:rPr>
          <w:spacing w:val="-2"/>
          <w:w w:val="105"/>
          <w:sz w:val="21"/>
        </w:rPr>
        <w:t>not </w:t>
      </w:r>
      <w:r>
        <w:rPr>
          <w:w w:val="105"/>
          <w:sz w:val="21"/>
        </w:rPr>
        <w:t>agree in </w:t>
      </w:r>
      <w:r>
        <w:rPr>
          <w:spacing w:val="-3"/>
          <w:w w:val="105"/>
          <w:sz w:val="21"/>
        </w:rPr>
        <w:t>principle to </w:t>
      </w:r>
      <w:r>
        <w:rPr>
          <w:w w:val="105"/>
          <w:sz w:val="21"/>
        </w:rPr>
        <w:t>a proposal </w:t>
      </w:r>
      <w:r>
        <w:rPr>
          <w:spacing w:val="-3"/>
          <w:w w:val="105"/>
          <w:sz w:val="21"/>
        </w:rPr>
        <w:t>to </w:t>
      </w:r>
      <w:r>
        <w:rPr>
          <w:w w:val="105"/>
          <w:sz w:val="21"/>
        </w:rPr>
        <w:t>amend or end</w:t>
      </w:r>
      <w:r>
        <w:rPr>
          <w:spacing w:val="-36"/>
          <w:w w:val="105"/>
          <w:sz w:val="21"/>
        </w:rPr>
        <w:t> </w:t>
      </w:r>
      <w:r>
        <w:rPr>
          <w:w w:val="105"/>
          <w:sz w:val="21"/>
        </w:rPr>
        <w:t>an</w:t>
      </w:r>
    </w:p>
    <w:p>
      <w:pPr>
        <w:pStyle w:val="BodyText"/>
        <w:spacing w:before="3"/>
        <w:rPr>
          <w:sz w:val="28"/>
        </w:rPr>
      </w:pPr>
      <w:r>
        <w:rPr/>
        <w:pict>
          <v:line style="position:absolute;mso-position-horizontal-relative:page;mso-position-vertical-relative:paragraph;z-index:9608;mso-wrap-distance-left:0;mso-wrap-distance-right:0" from="79.370102pt,19.708933pt" to="515.905102pt,19.70893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65"/>
        </w:numPr>
        <w:tabs>
          <w:tab w:pos="2380" w:val="left" w:leader="none"/>
          <w:tab w:pos="2382" w:val="left" w:leader="none"/>
        </w:tabs>
        <w:spacing w:line="240" w:lineRule="auto" w:before="48" w:after="0"/>
        <w:ind w:left="2381" w:right="16" w:hanging="794"/>
        <w:jc w:val="left"/>
        <w:rPr>
          <w:sz w:val="13"/>
        </w:rPr>
      </w:pPr>
      <w:r>
        <w:rPr>
          <w:i/>
          <w:w w:val="105"/>
          <w:sz w:val="13"/>
        </w:rPr>
        <w:t>Planning and Environment Act 1987 </w:t>
      </w:r>
      <w:r>
        <w:rPr>
          <w:spacing w:val="2"/>
          <w:w w:val="105"/>
          <w:sz w:val="13"/>
        </w:rPr>
        <w:t>(Vic) </w:t>
      </w:r>
      <w:r>
        <w:rPr>
          <w:w w:val="105"/>
          <w:sz w:val="13"/>
        </w:rPr>
        <w:t>s 87(1). The </w:t>
      </w:r>
      <w:r>
        <w:rPr>
          <w:spacing w:val="4"/>
          <w:w w:val="105"/>
          <w:sz w:val="13"/>
        </w:rPr>
        <w:t>P&amp;E </w:t>
      </w:r>
      <w:r>
        <w:rPr>
          <w:w w:val="105"/>
          <w:sz w:val="13"/>
        </w:rPr>
        <w:t>Act provides that the Tribunal cannot cancel or amend a permit in a variety of circumstances including: the permit is for the construction of building or works, and the construction or works are completed; the permit     is for other development, and the development is substantially carried out; or the permit is for subdivision or consolidation of land and     the plan has been registered under the </w:t>
      </w:r>
      <w:r>
        <w:rPr>
          <w:i/>
          <w:w w:val="105"/>
          <w:sz w:val="13"/>
        </w:rPr>
        <w:t>Subdivision Act 1988: </w:t>
      </w:r>
      <w:r>
        <w:rPr>
          <w:w w:val="105"/>
          <w:sz w:val="13"/>
        </w:rPr>
        <w:t>ss </w:t>
      </w:r>
      <w:r>
        <w:rPr>
          <w:spacing w:val="2"/>
          <w:w w:val="105"/>
          <w:sz w:val="13"/>
        </w:rPr>
        <w:t>88, </w:t>
      </w:r>
      <w:r>
        <w:rPr>
          <w:w w:val="105"/>
          <w:sz w:val="13"/>
        </w:rPr>
        <w:t>91(5); See also Victorian Civil and Administrative Tribunal, </w:t>
      </w:r>
      <w:r>
        <w:rPr>
          <w:i/>
          <w:w w:val="105"/>
          <w:sz w:val="13"/>
        </w:rPr>
        <w:t>Planning     </w:t>
      </w:r>
      <w:r>
        <w:rPr>
          <w:i/>
          <w:w w:val="105"/>
          <w:sz w:val="13"/>
        </w:rPr>
        <w:t>and Environment List Guidelines—Cancellation &amp; Amendment of Permits </w:t>
      </w:r>
      <w:r>
        <w:rPr>
          <w:spacing w:val="2"/>
          <w:w w:val="105"/>
          <w:sz w:val="13"/>
        </w:rPr>
        <w:t>(Sections </w:t>
      </w:r>
      <w:r>
        <w:rPr>
          <w:w w:val="105"/>
          <w:sz w:val="13"/>
        </w:rPr>
        <w:t>87 &amp; 89 Planning and Environment Act 1987) (Practice Document, 20 July 2016)</w:t>
      </w:r>
      <w:r>
        <w:rPr>
          <w:spacing w:val="26"/>
          <w:w w:val="105"/>
          <w:sz w:val="13"/>
        </w:rPr>
        <w:t> </w:t>
      </w:r>
      <w:r>
        <w:rPr>
          <w:w w:val="105"/>
          <w:sz w:val="13"/>
        </w:rPr>
        <w:t>&lt;https://</w:t>
      </w:r>
      <w:hyperlink r:id="rId263">
        <w:r>
          <w:rPr>
            <w:w w:val="105"/>
            <w:sz w:val="13"/>
          </w:rPr>
          <w:t>www.vcat.vic.gov.au/get-started/planning-and-environment/apply-to-cancel-or-amend-a-permit</w:t>
        </w:r>
      </w:hyperlink>
      <w:r>
        <w:rPr>
          <w:w w:val="105"/>
          <w:sz w:val="13"/>
        </w:rPr>
        <w:t>&gt;.</w:t>
      </w:r>
    </w:p>
    <w:p>
      <w:pPr>
        <w:pStyle w:val="ListParagraph"/>
        <w:numPr>
          <w:ilvl w:val="0"/>
          <w:numId w:val="165"/>
        </w:numPr>
        <w:tabs>
          <w:tab w:pos="2380" w:val="left" w:leader="none"/>
          <w:tab w:pos="2382" w:val="left" w:leader="none"/>
        </w:tabs>
        <w:spacing w:line="240" w:lineRule="auto" w:before="8" w:after="0"/>
        <w:ind w:left="2381" w:right="0" w:hanging="794"/>
        <w:jc w:val="left"/>
        <w:rPr>
          <w:sz w:val="13"/>
        </w:rPr>
      </w:pPr>
      <w:r>
        <w:rPr>
          <w:i/>
          <w:w w:val="105"/>
          <w:sz w:val="13"/>
        </w:rPr>
        <w:t>Planning and Environment Act 1987 </w:t>
      </w:r>
      <w:r>
        <w:rPr>
          <w:spacing w:val="2"/>
          <w:w w:val="105"/>
          <w:sz w:val="13"/>
        </w:rPr>
        <w:t>(Vic) </w:t>
      </w:r>
      <w:r>
        <w:rPr>
          <w:w w:val="105"/>
          <w:sz w:val="13"/>
        </w:rPr>
        <w:t>s 91(3).</w:t>
      </w:r>
    </w:p>
    <w:p>
      <w:pPr>
        <w:pStyle w:val="ListParagraph"/>
        <w:numPr>
          <w:ilvl w:val="0"/>
          <w:numId w:val="165"/>
        </w:numPr>
        <w:tabs>
          <w:tab w:pos="2380" w:val="left" w:leader="none"/>
          <w:tab w:pos="2382" w:val="left" w:leader="none"/>
        </w:tabs>
        <w:spacing w:line="240" w:lineRule="auto" w:before="1" w:after="0"/>
        <w:ind w:left="2381" w:right="391" w:hanging="794"/>
        <w:jc w:val="left"/>
        <w:rPr>
          <w:sz w:val="13"/>
        </w:rPr>
      </w:pPr>
      <w:r>
        <w:rPr>
          <w:w w:val="105"/>
          <w:sz w:val="13"/>
        </w:rPr>
        <w:t>See, eg, </w:t>
      </w:r>
      <w:r>
        <w:rPr>
          <w:i/>
          <w:w w:val="105"/>
          <w:sz w:val="13"/>
        </w:rPr>
        <w:t>The Secretary to the Department of Health and Human Services and Melbourne Health v Melbourne CC </w:t>
      </w:r>
      <w:r>
        <w:rPr>
          <w:w w:val="105"/>
          <w:sz w:val="13"/>
        </w:rPr>
        <w:t>[2016] VCAT 2051 </w:t>
      </w:r>
      <w:r>
        <w:rPr>
          <w:spacing w:val="5"/>
          <w:w w:val="105"/>
          <w:sz w:val="13"/>
        </w:rPr>
        <w:t>[64]–[65].</w:t>
      </w:r>
    </w:p>
    <w:p>
      <w:pPr>
        <w:pStyle w:val="ListParagraph"/>
        <w:numPr>
          <w:ilvl w:val="0"/>
          <w:numId w:val="165"/>
        </w:numPr>
        <w:tabs>
          <w:tab w:pos="2380" w:val="left" w:leader="none"/>
          <w:tab w:pos="2382" w:val="left" w:leader="none"/>
        </w:tabs>
        <w:spacing w:line="240" w:lineRule="auto" w:before="3" w:after="0"/>
        <w:ind w:left="2381" w:right="0" w:hanging="794"/>
        <w:jc w:val="left"/>
        <w:rPr>
          <w:sz w:val="13"/>
        </w:rPr>
      </w:pPr>
      <w:r>
        <w:rPr>
          <w:i/>
          <w:w w:val="105"/>
          <w:sz w:val="13"/>
        </w:rPr>
        <w:t>Planning and Environment Act 1987 </w:t>
      </w:r>
      <w:r>
        <w:rPr>
          <w:spacing w:val="2"/>
          <w:w w:val="105"/>
          <w:sz w:val="13"/>
        </w:rPr>
        <w:t>(Vic) </w:t>
      </w:r>
      <w:r>
        <w:rPr>
          <w:w w:val="105"/>
          <w:sz w:val="13"/>
        </w:rPr>
        <w:t>s</w:t>
      </w:r>
      <w:r>
        <w:rPr>
          <w:spacing w:val="30"/>
          <w:w w:val="105"/>
          <w:sz w:val="13"/>
        </w:rPr>
        <w:t> </w:t>
      </w:r>
      <w:r>
        <w:rPr>
          <w:spacing w:val="2"/>
          <w:w w:val="105"/>
          <w:sz w:val="13"/>
        </w:rPr>
        <w:t>94.</w:t>
      </w:r>
    </w:p>
    <w:p>
      <w:pPr>
        <w:pStyle w:val="ListParagraph"/>
        <w:numPr>
          <w:ilvl w:val="0"/>
          <w:numId w:val="165"/>
        </w:numPr>
        <w:tabs>
          <w:tab w:pos="2380" w:val="left" w:leader="none"/>
          <w:tab w:pos="2382" w:val="left" w:leader="none"/>
        </w:tabs>
        <w:spacing w:line="240" w:lineRule="auto" w:before="1" w:after="0"/>
        <w:ind w:left="2381" w:right="0" w:hanging="794"/>
        <w:jc w:val="left"/>
        <w:rPr>
          <w:sz w:val="13"/>
        </w:rPr>
      </w:pPr>
      <w:r>
        <w:rPr>
          <w:w w:val="105"/>
          <w:sz w:val="13"/>
        </w:rPr>
        <w:t>Consultation 9 (Nillumbik Shire</w:t>
      </w:r>
      <w:r>
        <w:rPr>
          <w:spacing w:val="19"/>
          <w:w w:val="105"/>
          <w:sz w:val="13"/>
        </w:rPr>
        <w:t> </w:t>
      </w:r>
      <w:r>
        <w:rPr>
          <w:w w:val="105"/>
          <w:sz w:val="13"/>
        </w:rPr>
        <w:t>Council).</w:t>
      </w:r>
    </w:p>
    <w:p>
      <w:pPr>
        <w:pStyle w:val="ListParagraph"/>
        <w:numPr>
          <w:ilvl w:val="0"/>
          <w:numId w:val="165"/>
        </w:numPr>
        <w:tabs>
          <w:tab w:pos="2380" w:val="left" w:leader="none"/>
          <w:tab w:pos="2382" w:val="left" w:leader="none"/>
        </w:tabs>
        <w:spacing w:line="240" w:lineRule="auto" w:before="2" w:after="0"/>
        <w:ind w:left="2381" w:right="198" w:hanging="794"/>
        <w:jc w:val="left"/>
        <w:rPr>
          <w:sz w:val="13"/>
        </w:rPr>
      </w:pPr>
      <w:r>
        <w:rPr>
          <w:i/>
          <w:w w:val="105"/>
          <w:sz w:val="13"/>
        </w:rPr>
        <w:t>Planning and Environment Act 1987 </w:t>
      </w:r>
      <w:r>
        <w:rPr>
          <w:spacing w:val="2"/>
          <w:w w:val="105"/>
          <w:sz w:val="13"/>
        </w:rPr>
        <w:t>(Vic) </w:t>
      </w:r>
      <w:r>
        <w:rPr>
          <w:w w:val="105"/>
          <w:sz w:val="13"/>
        </w:rPr>
        <w:t>ss 173, 174; see also Department of Environment, Land, Water and Planning, </w:t>
      </w:r>
      <w:r>
        <w:rPr>
          <w:i/>
          <w:w w:val="105"/>
          <w:sz w:val="13"/>
        </w:rPr>
        <w:t>Using Victoria’s </w:t>
      </w:r>
      <w:r>
        <w:rPr>
          <w:i/>
          <w:w w:val="105"/>
          <w:sz w:val="13"/>
        </w:rPr>
        <w:t>Planning System </w:t>
      </w:r>
      <w:r>
        <w:rPr>
          <w:w w:val="105"/>
          <w:sz w:val="13"/>
        </w:rPr>
        <w:t>(Guide, 28 May 2015) [8.1]</w:t>
      </w:r>
      <w:r>
        <w:rPr>
          <w:spacing w:val="19"/>
          <w:w w:val="105"/>
          <w:sz w:val="13"/>
        </w:rPr>
        <w:t> </w:t>
      </w:r>
      <w:r>
        <w:rPr>
          <w:spacing w:val="2"/>
          <w:w w:val="105"/>
          <w:sz w:val="13"/>
        </w:rPr>
        <w:t>&lt;https://</w:t>
      </w:r>
      <w:hyperlink r:id="rId95">
        <w:r>
          <w:rPr>
            <w:spacing w:val="2"/>
            <w:w w:val="105"/>
            <w:sz w:val="13"/>
          </w:rPr>
          <w:t>www.planning.vic.gov.au/guide-home/using-victorias-planning-system</w:t>
        </w:r>
      </w:hyperlink>
      <w:r>
        <w:rPr>
          <w:spacing w:val="2"/>
          <w:w w:val="105"/>
          <w:sz w:val="13"/>
        </w:rPr>
        <w:t>&gt;.</w:t>
      </w:r>
    </w:p>
    <w:p>
      <w:pPr>
        <w:pStyle w:val="ListParagraph"/>
        <w:numPr>
          <w:ilvl w:val="0"/>
          <w:numId w:val="165"/>
        </w:numPr>
        <w:tabs>
          <w:tab w:pos="2380" w:val="left" w:leader="none"/>
          <w:tab w:pos="2382" w:val="left" w:leader="none"/>
        </w:tabs>
        <w:spacing w:line="240" w:lineRule="auto" w:before="2" w:after="0"/>
        <w:ind w:left="2381" w:right="0" w:hanging="794"/>
        <w:jc w:val="left"/>
        <w:rPr>
          <w:sz w:val="13"/>
        </w:rPr>
      </w:pPr>
      <w:r>
        <w:rPr>
          <w:w w:val="105"/>
          <w:sz w:val="13"/>
        </w:rPr>
        <w:t>See</w:t>
      </w:r>
      <w:r>
        <w:rPr>
          <w:spacing w:val="6"/>
          <w:w w:val="105"/>
          <w:sz w:val="13"/>
        </w:rPr>
        <w:t> </w:t>
      </w:r>
      <w:r>
        <w:rPr>
          <w:w w:val="105"/>
          <w:sz w:val="13"/>
        </w:rPr>
        <w:t>generally</w:t>
      </w:r>
      <w:r>
        <w:rPr>
          <w:spacing w:val="6"/>
          <w:w w:val="105"/>
          <w:sz w:val="13"/>
        </w:rPr>
        <w:t> </w:t>
      </w:r>
      <w:r>
        <w:rPr>
          <w:w w:val="105"/>
          <w:sz w:val="13"/>
        </w:rPr>
        <w:t>Department</w:t>
      </w:r>
      <w:r>
        <w:rPr>
          <w:spacing w:val="6"/>
          <w:w w:val="105"/>
          <w:sz w:val="13"/>
        </w:rPr>
        <w:t> </w:t>
      </w:r>
      <w:r>
        <w:rPr>
          <w:w w:val="105"/>
          <w:sz w:val="13"/>
        </w:rPr>
        <w:t>of</w:t>
      </w:r>
      <w:r>
        <w:rPr>
          <w:spacing w:val="6"/>
          <w:w w:val="105"/>
          <w:sz w:val="13"/>
        </w:rPr>
        <w:t> </w:t>
      </w:r>
      <w:r>
        <w:rPr>
          <w:w w:val="105"/>
          <w:sz w:val="13"/>
        </w:rPr>
        <w:t>Environment,</w:t>
      </w:r>
      <w:r>
        <w:rPr>
          <w:spacing w:val="6"/>
          <w:w w:val="105"/>
          <w:sz w:val="13"/>
        </w:rPr>
        <w:t> </w:t>
      </w:r>
      <w:r>
        <w:rPr>
          <w:w w:val="105"/>
          <w:sz w:val="13"/>
        </w:rPr>
        <w:t>Land,</w:t>
      </w:r>
      <w:r>
        <w:rPr>
          <w:spacing w:val="7"/>
          <w:w w:val="105"/>
          <w:sz w:val="13"/>
        </w:rPr>
        <w:t> </w:t>
      </w:r>
      <w:r>
        <w:rPr>
          <w:w w:val="105"/>
          <w:sz w:val="13"/>
        </w:rPr>
        <w:t>Water</w:t>
      </w:r>
      <w:r>
        <w:rPr>
          <w:spacing w:val="6"/>
          <w:w w:val="105"/>
          <w:sz w:val="13"/>
        </w:rPr>
        <w:t> </w:t>
      </w:r>
      <w:r>
        <w:rPr>
          <w:w w:val="105"/>
          <w:sz w:val="13"/>
        </w:rPr>
        <w:t>and</w:t>
      </w:r>
      <w:r>
        <w:rPr>
          <w:spacing w:val="6"/>
          <w:w w:val="105"/>
          <w:sz w:val="13"/>
        </w:rPr>
        <w:t> </w:t>
      </w:r>
      <w:r>
        <w:rPr>
          <w:w w:val="105"/>
          <w:sz w:val="13"/>
        </w:rPr>
        <w:t>Planning</w:t>
      </w:r>
      <w:r>
        <w:rPr>
          <w:spacing w:val="6"/>
          <w:w w:val="105"/>
          <w:sz w:val="13"/>
        </w:rPr>
        <w:t> </w:t>
      </w:r>
      <w:r>
        <w:rPr>
          <w:spacing w:val="2"/>
          <w:w w:val="105"/>
          <w:sz w:val="13"/>
        </w:rPr>
        <w:t>(Vic),</w:t>
      </w:r>
      <w:r>
        <w:rPr>
          <w:spacing w:val="6"/>
          <w:w w:val="105"/>
          <w:sz w:val="13"/>
        </w:rPr>
        <w:t> </w:t>
      </w:r>
      <w:r>
        <w:rPr>
          <w:i/>
          <w:w w:val="105"/>
          <w:sz w:val="13"/>
        </w:rPr>
        <w:t>Using</w:t>
      </w:r>
      <w:r>
        <w:rPr>
          <w:i/>
          <w:spacing w:val="7"/>
          <w:w w:val="105"/>
          <w:sz w:val="13"/>
        </w:rPr>
        <w:t> </w:t>
      </w:r>
      <w:r>
        <w:rPr>
          <w:i/>
          <w:w w:val="105"/>
          <w:sz w:val="13"/>
        </w:rPr>
        <w:t>Victoria’s</w:t>
      </w:r>
      <w:r>
        <w:rPr>
          <w:i/>
          <w:spacing w:val="6"/>
          <w:w w:val="105"/>
          <w:sz w:val="13"/>
        </w:rPr>
        <w:t> </w:t>
      </w:r>
      <w:r>
        <w:rPr>
          <w:i/>
          <w:w w:val="105"/>
          <w:sz w:val="13"/>
        </w:rPr>
        <w:t>Planning</w:t>
      </w:r>
      <w:r>
        <w:rPr>
          <w:i/>
          <w:spacing w:val="6"/>
          <w:w w:val="105"/>
          <w:sz w:val="13"/>
        </w:rPr>
        <w:t> </w:t>
      </w:r>
      <w:r>
        <w:rPr>
          <w:i/>
          <w:w w:val="105"/>
          <w:sz w:val="13"/>
        </w:rPr>
        <w:t>System</w:t>
      </w:r>
      <w:r>
        <w:rPr>
          <w:i/>
          <w:spacing w:val="6"/>
          <w:w w:val="105"/>
          <w:sz w:val="13"/>
        </w:rPr>
        <w:t> </w:t>
      </w:r>
      <w:r>
        <w:rPr>
          <w:w w:val="105"/>
          <w:sz w:val="13"/>
        </w:rPr>
        <w:t>(Guide,</w:t>
      </w:r>
      <w:r>
        <w:rPr>
          <w:spacing w:val="6"/>
          <w:w w:val="105"/>
          <w:sz w:val="13"/>
        </w:rPr>
        <w:t> </w:t>
      </w:r>
      <w:r>
        <w:rPr>
          <w:w w:val="105"/>
          <w:sz w:val="13"/>
        </w:rPr>
        <w:t>28</w:t>
      </w:r>
      <w:r>
        <w:rPr>
          <w:spacing w:val="6"/>
          <w:w w:val="105"/>
          <w:sz w:val="13"/>
        </w:rPr>
        <w:t> </w:t>
      </w:r>
      <w:r>
        <w:rPr>
          <w:w w:val="105"/>
          <w:sz w:val="13"/>
        </w:rPr>
        <w:t>May</w:t>
      </w:r>
      <w:r>
        <w:rPr>
          <w:spacing w:val="7"/>
          <w:w w:val="105"/>
          <w:sz w:val="13"/>
        </w:rPr>
        <w:t> </w:t>
      </w:r>
      <w:r>
        <w:rPr>
          <w:w w:val="105"/>
          <w:sz w:val="13"/>
        </w:rPr>
        <w:t>2015)</w:t>
      </w:r>
      <w:r>
        <w:rPr>
          <w:spacing w:val="6"/>
          <w:w w:val="105"/>
          <w:sz w:val="13"/>
        </w:rPr>
        <w:t> </w:t>
      </w:r>
      <w:r>
        <w:rPr>
          <w:w w:val="105"/>
          <w:sz w:val="13"/>
        </w:rPr>
        <w:t>[8.3.1].</w:t>
      </w:r>
    </w:p>
    <w:p>
      <w:pPr>
        <w:pStyle w:val="ListParagraph"/>
        <w:numPr>
          <w:ilvl w:val="0"/>
          <w:numId w:val="165"/>
        </w:numPr>
        <w:tabs>
          <w:tab w:pos="2380" w:val="left" w:leader="none"/>
          <w:tab w:pos="2382" w:val="left" w:leader="none"/>
        </w:tabs>
        <w:spacing w:line="240" w:lineRule="auto" w:before="2" w:after="0"/>
        <w:ind w:left="2381" w:right="0" w:hanging="794"/>
        <w:jc w:val="left"/>
        <w:rPr>
          <w:sz w:val="13"/>
        </w:rPr>
      </w:pPr>
      <w:r>
        <w:rPr>
          <w:w w:val="105"/>
          <w:sz w:val="13"/>
        </w:rPr>
        <w:t>Consultation 9 (Nillumbik Shire</w:t>
      </w:r>
      <w:r>
        <w:rPr>
          <w:spacing w:val="19"/>
          <w:w w:val="105"/>
          <w:sz w:val="13"/>
        </w:rPr>
        <w:t> </w:t>
      </w:r>
      <w:r>
        <w:rPr>
          <w:w w:val="105"/>
          <w:sz w:val="13"/>
        </w:rPr>
        <w:t>Council).</w:t>
      </w:r>
    </w:p>
    <w:p>
      <w:pPr>
        <w:pStyle w:val="ListParagraph"/>
        <w:numPr>
          <w:ilvl w:val="0"/>
          <w:numId w:val="165"/>
        </w:numPr>
        <w:tabs>
          <w:tab w:pos="2381" w:val="left" w:leader="none"/>
          <w:tab w:pos="2382" w:val="left" w:leader="none"/>
        </w:tabs>
        <w:spacing w:line="240" w:lineRule="auto" w:before="1" w:after="0"/>
        <w:ind w:left="2381" w:right="0" w:hanging="794"/>
        <w:jc w:val="left"/>
        <w:rPr>
          <w:sz w:val="13"/>
        </w:rPr>
      </w:pPr>
      <w:r>
        <w:rPr>
          <w:i/>
          <w:w w:val="105"/>
          <w:sz w:val="13"/>
        </w:rPr>
        <w:t>Planning</w:t>
      </w:r>
      <w:r>
        <w:rPr>
          <w:i/>
          <w:spacing w:val="5"/>
          <w:w w:val="105"/>
          <w:sz w:val="13"/>
        </w:rPr>
        <w:t> </w:t>
      </w:r>
      <w:r>
        <w:rPr>
          <w:i/>
          <w:w w:val="105"/>
          <w:sz w:val="13"/>
        </w:rPr>
        <w:t>and</w:t>
      </w:r>
      <w:r>
        <w:rPr>
          <w:i/>
          <w:spacing w:val="5"/>
          <w:w w:val="105"/>
          <w:sz w:val="13"/>
        </w:rPr>
        <w:t> </w:t>
      </w:r>
      <w:r>
        <w:rPr>
          <w:i/>
          <w:w w:val="105"/>
          <w:sz w:val="13"/>
        </w:rPr>
        <w:t>Environment</w:t>
      </w:r>
      <w:r>
        <w:rPr>
          <w:i/>
          <w:spacing w:val="5"/>
          <w:w w:val="105"/>
          <w:sz w:val="13"/>
        </w:rPr>
        <w:t> </w:t>
      </w:r>
      <w:r>
        <w:rPr>
          <w:i/>
          <w:w w:val="105"/>
          <w:sz w:val="13"/>
        </w:rPr>
        <w:t>Act</w:t>
      </w:r>
      <w:r>
        <w:rPr>
          <w:i/>
          <w:spacing w:val="5"/>
          <w:w w:val="105"/>
          <w:sz w:val="13"/>
        </w:rPr>
        <w:t> </w:t>
      </w:r>
      <w:r>
        <w:rPr>
          <w:i/>
          <w:w w:val="105"/>
          <w:sz w:val="13"/>
        </w:rPr>
        <w:t>1987</w:t>
      </w:r>
      <w:r>
        <w:rPr>
          <w:i/>
          <w:spacing w:val="5"/>
          <w:w w:val="105"/>
          <w:sz w:val="13"/>
        </w:rPr>
        <w:t> </w:t>
      </w:r>
      <w:r>
        <w:rPr>
          <w:spacing w:val="2"/>
          <w:w w:val="105"/>
          <w:sz w:val="13"/>
        </w:rPr>
        <w:t>(Vic)</w:t>
      </w:r>
      <w:r>
        <w:rPr>
          <w:spacing w:val="5"/>
          <w:w w:val="105"/>
          <w:sz w:val="13"/>
        </w:rPr>
        <w:t> </w:t>
      </w:r>
      <w:r>
        <w:rPr>
          <w:w w:val="105"/>
          <w:sz w:val="13"/>
        </w:rPr>
        <w:t>s</w:t>
      </w:r>
      <w:r>
        <w:rPr>
          <w:spacing w:val="5"/>
          <w:w w:val="105"/>
          <w:sz w:val="13"/>
        </w:rPr>
        <w:t> </w:t>
      </w:r>
      <w:r>
        <w:rPr>
          <w:w w:val="105"/>
          <w:sz w:val="13"/>
        </w:rPr>
        <w:t>181;</w:t>
      </w:r>
      <w:r>
        <w:rPr>
          <w:spacing w:val="5"/>
          <w:w w:val="105"/>
          <w:sz w:val="13"/>
        </w:rPr>
        <w:t> </w:t>
      </w:r>
      <w:r>
        <w:rPr>
          <w:i/>
          <w:w w:val="105"/>
          <w:sz w:val="13"/>
        </w:rPr>
        <w:t>Consultation</w:t>
      </w:r>
      <w:r>
        <w:rPr>
          <w:i/>
          <w:spacing w:val="5"/>
          <w:w w:val="105"/>
          <w:sz w:val="13"/>
        </w:rPr>
        <w:t> </w:t>
      </w:r>
      <w:r>
        <w:rPr>
          <w:i/>
          <w:w w:val="105"/>
          <w:sz w:val="13"/>
        </w:rPr>
        <w:t>9</w:t>
      </w:r>
      <w:r>
        <w:rPr>
          <w:i/>
          <w:spacing w:val="5"/>
          <w:w w:val="105"/>
          <w:sz w:val="13"/>
        </w:rPr>
        <w:t> </w:t>
      </w:r>
      <w:r>
        <w:rPr>
          <w:w w:val="105"/>
          <w:sz w:val="13"/>
        </w:rPr>
        <w:t>(Nillumbik</w:t>
      </w:r>
      <w:r>
        <w:rPr>
          <w:spacing w:val="5"/>
          <w:w w:val="105"/>
          <w:sz w:val="13"/>
        </w:rPr>
        <w:t> </w:t>
      </w:r>
      <w:r>
        <w:rPr>
          <w:w w:val="105"/>
          <w:sz w:val="13"/>
        </w:rPr>
        <w:t>Shire</w:t>
      </w:r>
      <w:r>
        <w:rPr>
          <w:spacing w:val="5"/>
          <w:w w:val="105"/>
          <w:sz w:val="13"/>
        </w:rPr>
        <w:t> </w:t>
      </w:r>
      <w:r>
        <w:rPr>
          <w:w w:val="105"/>
          <w:sz w:val="13"/>
        </w:rPr>
        <w:t>Council).</w:t>
      </w:r>
    </w:p>
    <w:p>
      <w:pPr>
        <w:pStyle w:val="ListParagraph"/>
        <w:numPr>
          <w:ilvl w:val="0"/>
          <w:numId w:val="165"/>
        </w:numPr>
        <w:tabs>
          <w:tab w:pos="2381" w:val="left" w:leader="none"/>
          <w:tab w:pos="2382" w:val="left" w:leader="none"/>
        </w:tabs>
        <w:spacing w:line="240" w:lineRule="auto" w:before="1" w:after="0"/>
        <w:ind w:left="2381" w:right="0" w:hanging="794"/>
        <w:jc w:val="left"/>
        <w:rPr>
          <w:sz w:val="13"/>
        </w:rPr>
      </w:pPr>
      <w:r>
        <w:rPr>
          <w:w w:val="105"/>
          <w:sz w:val="13"/>
        </w:rPr>
        <w:t>Ibid s</w:t>
      </w:r>
      <w:r>
        <w:rPr>
          <w:spacing w:val="9"/>
          <w:w w:val="105"/>
          <w:sz w:val="13"/>
        </w:rPr>
        <w:t> </w:t>
      </w:r>
      <w:r>
        <w:rPr>
          <w:w w:val="105"/>
          <w:sz w:val="13"/>
        </w:rPr>
        <w:t>184G.</w:t>
      </w:r>
    </w:p>
    <w:p>
      <w:pPr>
        <w:pStyle w:val="ListParagraph"/>
        <w:numPr>
          <w:ilvl w:val="0"/>
          <w:numId w:val="165"/>
        </w:numPr>
        <w:tabs>
          <w:tab w:pos="2381" w:val="left" w:leader="none"/>
          <w:tab w:pos="2382" w:val="left" w:leader="none"/>
        </w:tabs>
        <w:spacing w:line="240" w:lineRule="auto" w:before="2" w:after="0"/>
        <w:ind w:left="2381" w:right="0" w:hanging="794"/>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6"/>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Using</w:t>
      </w:r>
      <w:r>
        <w:rPr>
          <w:i/>
          <w:spacing w:val="6"/>
          <w:w w:val="105"/>
          <w:sz w:val="13"/>
        </w:rPr>
        <w:t> </w:t>
      </w:r>
      <w:r>
        <w:rPr>
          <w:i/>
          <w:w w:val="105"/>
          <w:sz w:val="13"/>
        </w:rPr>
        <w:t>Victoria’s</w:t>
      </w:r>
      <w:r>
        <w:rPr>
          <w:i/>
          <w:spacing w:val="5"/>
          <w:w w:val="105"/>
          <w:sz w:val="13"/>
        </w:rPr>
        <w:t> </w:t>
      </w:r>
      <w:r>
        <w:rPr>
          <w:i/>
          <w:w w:val="105"/>
          <w:sz w:val="13"/>
        </w:rPr>
        <w:t>Planning</w:t>
      </w:r>
      <w:r>
        <w:rPr>
          <w:i/>
          <w:spacing w:val="5"/>
          <w:w w:val="105"/>
          <w:sz w:val="13"/>
        </w:rPr>
        <w:t> </w:t>
      </w:r>
      <w:r>
        <w:rPr>
          <w:i/>
          <w:w w:val="105"/>
          <w:sz w:val="13"/>
        </w:rPr>
        <w:t>System</w:t>
      </w:r>
      <w:r>
        <w:rPr>
          <w:i/>
          <w:spacing w:val="5"/>
          <w:w w:val="105"/>
          <w:sz w:val="13"/>
        </w:rPr>
        <w:t> </w:t>
      </w:r>
      <w:r>
        <w:rPr>
          <w:w w:val="105"/>
          <w:sz w:val="13"/>
        </w:rPr>
        <w:t>(Guide,</w:t>
      </w:r>
      <w:r>
        <w:rPr>
          <w:spacing w:val="6"/>
          <w:w w:val="105"/>
          <w:sz w:val="13"/>
        </w:rPr>
        <w:t> </w:t>
      </w:r>
      <w:r>
        <w:rPr>
          <w:w w:val="105"/>
          <w:sz w:val="13"/>
        </w:rPr>
        <w:t>28</w:t>
      </w:r>
      <w:r>
        <w:rPr>
          <w:spacing w:val="5"/>
          <w:w w:val="105"/>
          <w:sz w:val="13"/>
        </w:rPr>
        <w:t> </w:t>
      </w:r>
      <w:r>
        <w:rPr>
          <w:w w:val="105"/>
          <w:sz w:val="13"/>
        </w:rPr>
        <w:t>May</w:t>
      </w:r>
      <w:r>
        <w:rPr>
          <w:spacing w:val="5"/>
          <w:w w:val="105"/>
          <w:sz w:val="13"/>
        </w:rPr>
        <w:t> </w:t>
      </w:r>
      <w:r>
        <w:rPr>
          <w:w w:val="105"/>
          <w:sz w:val="13"/>
        </w:rPr>
        <w:t>2015)</w:t>
      </w:r>
      <w:r>
        <w:rPr>
          <w:spacing w:val="5"/>
          <w:w w:val="105"/>
          <w:sz w:val="13"/>
        </w:rPr>
        <w:t> </w:t>
      </w:r>
      <w:r>
        <w:rPr>
          <w:spacing w:val="2"/>
          <w:w w:val="105"/>
          <w:sz w:val="13"/>
        </w:rPr>
        <w:t>[8.8.2]</w:t>
      </w:r>
    </w:p>
    <w:p>
      <w:pPr>
        <w:spacing w:before="1"/>
        <w:ind w:left="2381" w:right="0" w:firstLine="0"/>
        <w:jc w:val="left"/>
        <w:rPr>
          <w:sz w:val="13"/>
        </w:rPr>
      </w:pPr>
      <w:r>
        <w:rPr>
          <w:w w:val="105"/>
          <w:sz w:val="13"/>
        </w:rPr>
        <w:t>&lt;https://</w:t>
      </w:r>
      <w:hyperlink r:id="rId95">
        <w:r>
          <w:rPr>
            <w:w w:val="105"/>
            <w:sz w:val="13"/>
          </w:rPr>
          <w:t>www.planning.vic.gov.au/guide-home/using-victorias-planning-system</w:t>
        </w:r>
      </w:hyperlink>
      <w:r>
        <w:rPr>
          <w:w w:val="105"/>
          <w:sz w:val="13"/>
        </w:rPr>
        <w:t>&gt;.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35"/>
        </w:rPr>
      </w:pPr>
    </w:p>
    <w:p>
      <w:pPr>
        <w:spacing w:before="0"/>
        <w:ind w:left="649" w:right="577" w:firstLine="0"/>
        <w:jc w:val="center"/>
        <w:rPr>
          <w:b/>
          <w:sz w:val="24"/>
        </w:rPr>
      </w:pPr>
      <w:r>
        <w:rPr>
          <w:b/>
          <w:color w:val="658464"/>
          <w:w w:val="110"/>
          <w:sz w:val="24"/>
        </w:rPr>
        <w:t>227</w:t>
      </w:r>
    </w:p>
    <w:p>
      <w:pPr>
        <w:spacing w:after="0"/>
        <w:jc w:val="center"/>
        <w:rPr>
          <w:sz w:val="24"/>
        </w:rPr>
        <w:sectPr>
          <w:type w:val="continuous"/>
          <w:pgSz w:w="11910" w:h="16840"/>
          <w:pgMar w:top="300" w:bottom="280" w:left="0" w:right="0"/>
          <w:cols w:num="2" w:equalWidth="0">
            <w:col w:w="10201" w:space="40"/>
            <w:col w:w="1669"/>
          </w:cols>
        </w:sectPr>
      </w:pPr>
    </w:p>
    <w:p>
      <w:pPr>
        <w:pStyle w:val="BodyText"/>
        <w:spacing w:before="9"/>
        <w:rPr>
          <w:b/>
          <w:sz w:val="22"/>
        </w:rPr>
      </w:pPr>
    </w:p>
    <w:p>
      <w:pPr>
        <w:pStyle w:val="BodyText"/>
        <w:spacing w:line="242" w:lineRule="auto" w:before="92"/>
        <w:ind w:left="2381" w:right="1810"/>
      </w:pPr>
      <w:bookmarkStart w:name="Local tree protection laws made under th" w:id="259"/>
      <w:bookmarkEnd w:id="259"/>
      <w:r>
        <w:rPr/>
      </w:r>
      <w:bookmarkStart w:name="_bookmark121" w:id="260"/>
      <w:bookmarkEnd w:id="260"/>
      <w:r>
        <w:rPr/>
      </w:r>
      <w:r>
        <w:rPr>
          <w:spacing w:val="-2"/>
          <w:w w:val="105"/>
        </w:rPr>
        <w:t>agreement, </w:t>
      </w:r>
      <w:r>
        <w:rPr>
          <w:w w:val="105"/>
        </w:rPr>
        <w:t>then the </w:t>
      </w:r>
      <w:r>
        <w:rPr>
          <w:spacing w:val="-2"/>
          <w:w w:val="105"/>
        </w:rPr>
        <w:t>agreement </w:t>
      </w:r>
      <w:r>
        <w:rPr>
          <w:spacing w:val="-3"/>
          <w:w w:val="105"/>
        </w:rPr>
        <w:t>will remain </w:t>
      </w:r>
      <w:r>
        <w:rPr>
          <w:w w:val="105"/>
        </w:rPr>
        <w:t>in </w:t>
      </w:r>
      <w:r>
        <w:rPr>
          <w:spacing w:val="-4"/>
          <w:w w:val="105"/>
        </w:rPr>
        <w:t>place.</w:t>
      </w:r>
      <w:r>
        <w:rPr>
          <w:spacing w:val="-4"/>
          <w:w w:val="105"/>
          <w:position w:val="7"/>
          <w:sz w:val="12"/>
        </w:rPr>
        <w:t>92 </w:t>
      </w:r>
      <w:r>
        <w:rPr>
          <w:w w:val="105"/>
        </w:rPr>
        <w:t>The </w:t>
      </w:r>
      <w:r>
        <w:rPr>
          <w:spacing w:val="-3"/>
          <w:w w:val="105"/>
        </w:rPr>
        <w:t>applicant cannot </w:t>
      </w:r>
      <w:r>
        <w:rPr>
          <w:w w:val="105"/>
        </w:rPr>
        <w:t>apply </w:t>
      </w:r>
      <w:r>
        <w:rPr>
          <w:spacing w:val="-3"/>
          <w:w w:val="105"/>
        </w:rPr>
        <w:t>to </w:t>
      </w:r>
      <w:r>
        <w:rPr>
          <w:spacing w:val="-5"/>
          <w:w w:val="105"/>
        </w:rPr>
        <w:t>VCAT </w:t>
      </w:r>
      <w:r>
        <w:rPr>
          <w:spacing w:val="-3"/>
          <w:w w:val="105"/>
        </w:rPr>
        <w:t>for </w:t>
      </w:r>
      <w:r>
        <w:rPr>
          <w:w w:val="105"/>
        </w:rPr>
        <w:t>a review of this </w:t>
      </w:r>
      <w:r>
        <w:rPr>
          <w:spacing w:val="-3"/>
          <w:w w:val="105"/>
        </w:rPr>
        <w:t>initial </w:t>
      </w:r>
      <w:r>
        <w:rPr>
          <w:w w:val="105"/>
        </w:rPr>
        <w:t>decision.</w:t>
      </w:r>
    </w:p>
    <w:p>
      <w:pPr>
        <w:pStyle w:val="ListParagraph"/>
        <w:numPr>
          <w:ilvl w:val="1"/>
          <w:numId w:val="16"/>
        </w:numPr>
        <w:tabs>
          <w:tab w:pos="2380" w:val="left" w:leader="none"/>
          <w:tab w:pos="2382" w:val="left" w:leader="none"/>
        </w:tabs>
        <w:spacing w:line="242" w:lineRule="auto" w:before="122" w:after="0"/>
        <w:ind w:left="2381" w:right="1916" w:hanging="794"/>
        <w:jc w:val="left"/>
        <w:rPr>
          <w:sz w:val="21"/>
        </w:rPr>
      </w:pPr>
      <w:r>
        <w:rPr>
          <w:w w:val="105"/>
          <w:sz w:val="21"/>
        </w:rPr>
        <w:t>Landowners</w:t>
      </w:r>
      <w:r>
        <w:rPr>
          <w:spacing w:val="-10"/>
          <w:w w:val="105"/>
          <w:sz w:val="21"/>
        </w:rPr>
        <w:t> </w:t>
      </w:r>
      <w:r>
        <w:rPr>
          <w:w w:val="105"/>
          <w:sz w:val="21"/>
        </w:rPr>
        <w:t>can</w:t>
      </w:r>
      <w:r>
        <w:rPr>
          <w:spacing w:val="-10"/>
          <w:w w:val="105"/>
          <w:sz w:val="21"/>
        </w:rPr>
        <w:t> </w:t>
      </w:r>
      <w:r>
        <w:rPr>
          <w:w w:val="105"/>
          <w:sz w:val="21"/>
        </w:rPr>
        <w:t>also</w:t>
      </w:r>
      <w:r>
        <w:rPr>
          <w:spacing w:val="-10"/>
          <w:w w:val="105"/>
          <w:sz w:val="21"/>
        </w:rPr>
        <w:t> </w:t>
      </w:r>
      <w:r>
        <w:rPr>
          <w:spacing w:val="-3"/>
          <w:w w:val="105"/>
          <w:sz w:val="21"/>
        </w:rPr>
        <w:t>enter</w:t>
      </w:r>
      <w:r>
        <w:rPr>
          <w:spacing w:val="-9"/>
          <w:w w:val="105"/>
          <w:sz w:val="21"/>
        </w:rPr>
        <w:t> </w:t>
      </w:r>
      <w:r>
        <w:rPr>
          <w:spacing w:val="-4"/>
          <w:w w:val="105"/>
          <w:sz w:val="21"/>
        </w:rPr>
        <w:t>into</w:t>
      </w:r>
      <w:r>
        <w:rPr>
          <w:spacing w:val="-10"/>
          <w:w w:val="105"/>
          <w:sz w:val="21"/>
        </w:rPr>
        <w:t> </w:t>
      </w:r>
      <w:r>
        <w:rPr>
          <w:w w:val="105"/>
          <w:sz w:val="21"/>
        </w:rPr>
        <w:t>these</w:t>
      </w:r>
      <w:r>
        <w:rPr>
          <w:spacing w:val="-10"/>
          <w:w w:val="105"/>
          <w:sz w:val="21"/>
        </w:rPr>
        <w:t> </w:t>
      </w:r>
      <w:r>
        <w:rPr>
          <w:w w:val="105"/>
          <w:sz w:val="21"/>
        </w:rPr>
        <w:t>agreements</w:t>
      </w:r>
      <w:r>
        <w:rPr>
          <w:spacing w:val="-10"/>
          <w:w w:val="105"/>
          <w:sz w:val="21"/>
        </w:rPr>
        <w:t> </w:t>
      </w:r>
      <w:r>
        <w:rPr>
          <w:w w:val="105"/>
          <w:sz w:val="21"/>
        </w:rPr>
        <w:t>as</w:t>
      </w:r>
      <w:r>
        <w:rPr>
          <w:spacing w:val="-9"/>
          <w:w w:val="105"/>
          <w:sz w:val="21"/>
        </w:rPr>
        <w:t> </w:t>
      </w:r>
      <w:r>
        <w:rPr>
          <w:w w:val="105"/>
          <w:sz w:val="21"/>
        </w:rPr>
        <w:t>an</w:t>
      </w:r>
      <w:r>
        <w:rPr>
          <w:spacing w:val="-10"/>
          <w:w w:val="105"/>
          <w:sz w:val="21"/>
        </w:rPr>
        <w:t> </w:t>
      </w:r>
      <w:r>
        <w:rPr>
          <w:spacing w:val="-4"/>
          <w:w w:val="105"/>
          <w:sz w:val="21"/>
        </w:rPr>
        <w:t>‘ontitle</w:t>
      </w:r>
      <w:r>
        <w:rPr>
          <w:spacing w:val="-10"/>
          <w:w w:val="105"/>
          <w:sz w:val="21"/>
        </w:rPr>
        <w:t> </w:t>
      </w:r>
      <w:r>
        <w:rPr>
          <w:w w:val="105"/>
          <w:sz w:val="21"/>
        </w:rPr>
        <w:t>security</w:t>
      </w:r>
      <w:r>
        <w:rPr>
          <w:spacing w:val="-10"/>
          <w:w w:val="105"/>
          <w:sz w:val="21"/>
        </w:rPr>
        <w:t> </w:t>
      </w:r>
      <w:r>
        <w:rPr>
          <w:w w:val="105"/>
          <w:sz w:val="21"/>
        </w:rPr>
        <w:t>agreement’</w:t>
      </w:r>
      <w:r>
        <w:rPr>
          <w:spacing w:val="-9"/>
          <w:w w:val="105"/>
          <w:sz w:val="21"/>
        </w:rPr>
        <w:t> </w:t>
      </w:r>
      <w:r>
        <w:rPr>
          <w:spacing w:val="-3"/>
          <w:w w:val="105"/>
          <w:sz w:val="21"/>
        </w:rPr>
        <w:t>to </w:t>
      </w:r>
      <w:r>
        <w:rPr>
          <w:w w:val="105"/>
          <w:sz w:val="21"/>
        </w:rPr>
        <w:t>establish</w:t>
      </w:r>
      <w:r>
        <w:rPr>
          <w:spacing w:val="-10"/>
          <w:w w:val="105"/>
          <w:sz w:val="21"/>
        </w:rPr>
        <w:t> </w:t>
      </w:r>
      <w:r>
        <w:rPr>
          <w:spacing w:val="-3"/>
          <w:w w:val="105"/>
          <w:sz w:val="21"/>
        </w:rPr>
        <w:t>native</w:t>
      </w:r>
      <w:r>
        <w:rPr>
          <w:spacing w:val="-9"/>
          <w:w w:val="105"/>
          <w:sz w:val="21"/>
        </w:rPr>
        <w:t> </w:t>
      </w:r>
      <w:r>
        <w:rPr>
          <w:w w:val="105"/>
          <w:sz w:val="21"/>
        </w:rPr>
        <w:t>vegetation</w:t>
      </w:r>
      <w:r>
        <w:rPr>
          <w:spacing w:val="-9"/>
          <w:w w:val="105"/>
          <w:sz w:val="21"/>
        </w:rPr>
        <w:t> </w:t>
      </w:r>
      <w:r>
        <w:rPr>
          <w:w w:val="105"/>
          <w:sz w:val="21"/>
        </w:rPr>
        <w:t>offset</w:t>
      </w:r>
      <w:r>
        <w:rPr>
          <w:spacing w:val="-10"/>
          <w:w w:val="105"/>
          <w:sz w:val="21"/>
        </w:rPr>
        <w:t> </w:t>
      </w:r>
      <w:r>
        <w:rPr>
          <w:spacing w:val="-3"/>
          <w:w w:val="105"/>
          <w:sz w:val="21"/>
        </w:rPr>
        <w:t>sites.</w:t>
      </w:r>
      <w:r>
        <w:rPr>
          <w:spacing w:val="-3"/>
          <w:w w:val="105"/>
          <w:position w:val="7"/>
          <w:sz w:val="12"/>
        </w:rPr>
        <w:t>93</w:t>
      </w:r>
      <w:r>
        <w:rPr>
          <w:spacing w:val="14"/>
          <w:w w:val="105"/>
          <w:position w:val="7"/>
          <w:sz w:val="12"/>
        </w:rPr>
        <w:t> </w:t>
      </w:r>
      <w:r>
        <w:rPr>
          <w:w w:val="105"/>
          <w:sz w:val="21"/>
        </w:rPr>
        <w:t>This</w:t>
      </w:r>
      <w:r>
        <w:rPr>
          <w:spacing w:val="-9"/>
          <w:w w:val="105"/>
          <w:sz w:val="21"/>
        </w:rPr>
        <w:t> </w:t>
      </w:r>
      <w:r>
        <w:rPr>
          <w:spacing w:val="-3"/>
          <w:w w:val="105"/>
          <w:sz w:val="21"/>
        </w:rPr>
        <w:t>means</w:t>
      </w:r>
      <w:r>
        <w:rPr>
          <w:spacing w:val="-10"/>
          <w:w w:val="105"/>
          <w:sz w:val="21"/>
        </w:rPr>
        <w:t> </w:t>
      </w:r>
      <w:r>
        <w:rPr>
          <w:spacing w:val="-3"/>
          <w:w w:val="105"/>
          <w:sz w:val="21"/>
        </w:rPr>
        <w:t>that</w:t>
      </w:r>
      <w:r>
        <w:rPr>
          <w:spacing w:val="-9"/>
          <w:w w:val="105"/>
          <w:sz w:val="21"/>
        </w:rPr>
        <w:t> </w:t>
      </w:r>
      <w:r>
        <w:rPr>
          <w:w w:val="105"/>
          <w:sz w:val="21"/>
        </w:rPr>
        <w:t>once</w:t>
      </w:r>
      <w:r>
        <w:rPr>
          <w:spacing w:val="-9"/>
          <w:w w:val="105"/>
          <w:sz w:val="21"/>
        </w:rPr>
        <w:t> </w:t>
      </w:r>
      <w:r>
        <w:rPr>
          <w:w w:val="105"/>
          <w:sz w:val="21"/>
        </w:rPr>
        <w:t>the</w:t>
      </w:r>
      <w:r>
        <w:rPr>
          <w:spacing w:val="-9"/>
          <w:w w:val="105"/>
          <w:sz w:val="21"/>
        </w:rPr>
        <w:t> </w:t>
      </w:r>
      <w:r>
        <w:rPr>
          <w:spacing w:val="-2"/>
          <w:w w:val="105"/>
          <w:sz w:val="21"/>
        </w:rPr>
        <w:t>agreement</w:t>
      </w:r>
      <w:r>
        <w:rPr>
          <w:spacing w:val="-10"/>
          <w:w w:val="105"/>
          <w:sz w:val="21"/>
        </w:rPr>
        <w:t> </w:t>
      </w:r>
      <w:r>
        <w:rPr>
          <w:w w:val="105"/>
          <w:sz w:val="21"/>
        </w:rPr>
        <w:t>is</w:t>
      </w:r>
      <w:r>
        <w:rPr>
          <w:spacing w:val="-9"/>
          <w:w w:val="105"/>
          <w:sz w:val="21"/>
        </w:rPr>
        <w:t> </w:t>
      </w:r>
      <w:r>
        <w:rPr>
          <w:w w:val="105"/>
          <w:sz w:val="21"/>
        </w:rPr>
        <w:t>signed and </w:t>
      </w:r>
      <w:r>
        <w:rPr>
          <w:spacing w:val="-3"/>
          <w:w w:val="105"/>
          <w:sz w:val="21"/>
        </w:rPr>
        <w:t>registered </w:t>
      </w:r>
      <w:r>
        <w:rPr>
          <w:w w:val="105"/>
          <w:sz w:val="21"/>
        </w:rPr>
        <w:t>on </w:t>
      </w:r>
      <w:r>
        <w:rPr>
          <w:spacing w:val="-3"/>
          <w:w w:val="105"/>
          <w:sz w:val="21"/>
        </w:rPr>
        <w:t>title, native </w:t>
      </w:r>
      <w:r>
        <w:rPr>
          <w:w w:val="105"/>
          <w:sz w:val="21"/>
        </w:rPr>
        <w:t>vegetation credits </w:t>
      </w:r>
      <w:r>
        <w:rPr>
          <w:spacing w:val="-3"/>
          <w:w w:val="105"/>
          <w:sz w:val="21"/>
        </w:rPr>
        <w:t>will </w:t>
      </w:r>
      <w:r>
        <w:rPr>
          <w:w w:val="105"/>
          <w:sz w:val="21"/>
        </w:rPr>
        <w:t>be </w:t>
      </w:r>
      <w:r>
        <w:rPr>
          <w:spacing w:val="-3"/>
          <w:w w:val="105"/>
          <w:sz w:val="21"/>
        </w:rPr>
        <w:t>registered </w:t>
      </w:r>
      <w:r>
        <w:rPr>
          <w:w w:val="105"/>
          <w:sz w:val="21"/>
        </w:rPr>
        <w:t>in the </w:t>
      </w:r>
      <w:r>
        <w:rPr>
          <w:spacing w:val="-3"/>
          <w:w w:val="105"/>
          <w:sz w:val="21"/>
        </w:rPr>
        <w:t>landowner’s name.</w:t>
      </w:r>
      <w:r>
        <w:rPr>
          <w:spacing w:val="-3"/>
          <w:w w:val="105"/>
          <w:position w:val="7"/>
          <w:sz w:val="12"/>
        </w:rPr>
        <w:t>94 </w:t>
      </w:r>
      <w:r>
        <w:rPr>
          <w:w w:val="105"/>
          <w:sz w:val="21"/>
        </w:rPr>
        <w:t>The </w:t>
      </w:r>
      <w:r>
        <w:rPr>
          <w:spacing w:val="-3"/>
          <w:w w:val="105"/>
          <w:sz w:val="21"/>
        </w:rPr>
        <w:t>nature </w:t>
      </w:r>
      <w:r>
        <w:rPr>
          <w:w w:val="105"/>
          <w:sz w:val="21"/>
        </w:rPr>
        <w:t>of these agreements </w:t>
      </w:r>
      <w:r>
        <w:rPr>
          <w:spacing w:val="-3"/>
          <w:w w:val="105"/>
          <w:sz w:val="21"/>
        </w:rPr>
        <w:t>are therefore </w:t>
      </w:r>
      <w:r>
        <w:rPr>
          <w:w w:val="105"/>
          <w:sz w:val="21"/>
        </w:rPr>
        <w:t>varied and</w:t>
      </w:r>
      <w:r>
        <w:rPr>
          <w:spacing w:val="9"/>
          <w:w w:val="105"/>
          <w:sz w:val="21"/>
        </w:rPr>
        <w:t> </w:t>
      </w:r>
      <w:r>
        <w:rPr>
          <w:w w:val="105"/>
          <w:sz w:val="21"/>
        </w:rPr>
        <w:t>complex.</w:t>
      </w:r>
    </w:p>
    <w:p>
      <w:pPr>
        <w:pStyle w:val="BodyText"/>
        <w:spacing w:before="11"/>
      </w:pPr>
    </w:p>
    <w:p>
      <w:pPr>
        <w:pStyle w:val="Heading4"/>
      </w:pPr>
      <w:r>
        <w:rPr>
          <w:color w:val="658464"/>
          <w:w w:val="110"/>
        </w:rPr>
        <w:t>Local tree protection laws made under the Local Government Act</w:t>
      </w:r>
    </w:p>
    <w:p>
      <w:pPr>
        <w:pStyle w:val="ListParagraph"/>
        <w:numPr>
          <w:ilvl w:val="1"/>
          <w:numId w:val="16"/>
        </w:numPr>
        <w:tabs>
          <w:tab w:pos="2381" w:val="left" w:leader="none"/>
          <w:tab w:pos="2382" w:val="left" w:leader="none"/>
        </w:tabs>
        <w:spacing w:line="242" w:lineRule="auto" w:before="155" w:after="0"/>
        <w:ind w:left="2381" w:right="1779" w:hanging="794"/>
        <w:jc w:val="left"/>
        <w:rPr>
          <w:sz w:val="21"/>
        </w:rPr>
      </w:pPr>
      <w:r>
        <w:rPr>
          <w:spacing w:val="-4"/>
          <w:w w:val="105"/>
          <w:sz w:val="21"/>
        </w:rPr>
        <w:t>Trees </w:t>
      </w:r>
      <w:r>
        <w:rPr>
          <w:w w:val="105"/>
          <w:sz w:val="21"/>
        </w:rPr>
        <w:t>on </w:t>
      </w:r>
      <w:r>
        <w:rPr>
          <w:spacing w:val="-3"/>
          <w:w w:val="105"/>
          <w:sz w:val="21"/>
        </w:rPr>
        <w:t>private land may </w:t>
      </w:r>
      <w:r>
        <w:rPr>
          <w:w w:val="105"/>
          <w:sz w:val="21"/>
        </w:rPr>
        <w:t>also be protected or managed under local </w:t>
      </w:r>
      <w:r>
        <w:rPr>
          <w:spacing w:val="-3"/>
          <w:w w:val="105"/>
          <w:sz w:val="21"/>
        </w:rPr>
        <w:t>council </w:t>
      </w:r>
      <w:r>
        <w:rPr>
          <w:w w:val="105"/>
          <w:sz w:val="21"/>
        </w:rPr>
        <w:t>laws. Local Laws </w:t>
      </w:r>
      <w:r>
        <w:rPr>
          <w:spacing w:val="-3"/>
          <w:w w:val="105"/>
          <w:sz w:val="21"/>
        </w:rPr>
        <w:t>are </w:t>
      </w:r>
      <w:r>
        <w:rPr>
          <w:w w:val="105"/>
          <w:sz w:val="21"/>
        </w:rPr>
        <w:t>made by local governments under the </w:t>
      </w:r>
      <w:r>
        <w:rPr>
          <w:i/>
          <w:w w:val="105"/>
          <w:sz w:val="21"/>
        </w:rPr>
        <w:t>Local </w:t>
      </w:r>
      <w:r>
        <w:rPr>
          <w:i/>
          <w:spacing w:val="-3"/>
          <w:w w:val="105"/>
          <w:sz w:val="21"/>
        </w:rPr>
        <w:t>Government </w:t>
      </w:r>
      <w:r>
        <w:rPr>
          <w:i/>
          <w:w w:val="105"/>
          <w:sz w:val="21"/>
        </w:rPr>
        <w:t>Act </w:t>
      </w:r>
      <w:r>
        <w:rPr>
          <w:i/>
          <w:spacing w:val="-5"/>
          <w:w w:val="105"/>
          <w:sz w:val="21"/>
        </w:rPr>
        <w:t>1989 </w:t>
      </w:r>
      <w:r>
        <w:rPr>
          <w:w w:val="105"/>
          <w:sz w:val="21"/>
        </w:rPr>
        <w:t>(Vic). Under section </w:t>
      </w:r>
      <w:r>
        <w:rPr>
          <w:spacing w:val="-16"/>
          <w:w w:val="105"/>
          <w:sz w:val="21"/>
        </w:rPr>
        <w:t>111 </w:t>
      </w:r>
      <w:r>
        <w:rPr>
          <w:w w:val="105"/>
          <w:sz w:val="21"/>
        </w:rPr>
        <w:t>of this Act a local law must </w:t>
      </w:r>
      <w:r>
        <w:rPr>
          <w:spacing w:val="-2"/>
          <w:w w:val="105"/>
          <w:sz w:val="21"/>
        </w:rPr>
        <w:t>not </w:t>
      </w:r>
      <w:r>
        <w:rPr>
          <w:w w:val="105"/>
          <w:sz w:val="21"/>
        </w:rPr>
        <w:t>be </w:t>
      </w:r>
      <w:r>
        <w:rPr>
          <w:spacing w:val="-3"/>
          <w:w w:val="105"/>
          <w:sz w:val="21"/>
        </w:rPr>
        <w:t>inconsistent </w:t>
      </w:r>
      <w:r>
        <w:rPr>
          <w:w w:val="105"/>
          <w:sz w:val="21"/>
        </w:rPr>
        <w:t>with </w:t>
      </w:r>
      <w:r>
        <w:rPr>
          <w:spacing w:val="-3"/>
          <w:w w:val="105"/>
          <w:sz w:val="21"/>
        </w:rPr>
        <w:t>any </w:t>
      </w:r>
      <w:r>
        <w:rPr>
          <w:w w:val="105"/>
          <w:sz w:val="21"/>
        </w:rPr>
        <w:t>other Act or </w:t>
      </w:r>
      <w:r>
        <w:rPr>
          <w:spacing w:val="-3"/>
          <w:w w:val="105"/>
          <w:sz w:val="21"/>
        </w:rPr>
        <w:t>regulation.</w:t>
      </w:r>
      <w:r>
        <w:rPr>
          <w:spacing w:val="-26"/>
          <w:w w:val="105"/>
          <w:sz w:val="21"/>
        </w:rPr>
        <w:t> </w:t>
      </w:r>
      <w:r>
        <w:rPr>
          <w:w w:val="105"/>
          <w:sz w:val="21"/>
        </w:rPr>
        <w:t>Local</w:t>
      </w:r>
      <w:r>
        <w:rPr>
          <w:spacing w:val="-7"/>
          <w:w w:val="105"/>
          <w:sz w:val="21"/>
        </w:rPr>
        <w:t> </w:t>
      </w:r>
      <w:r>
        <w:rPr>
          <w:w w:val="105"/>
          <w:sz w:val="21"/>
        </w:rPr>
        <w:t>laws</w:t>
      </w:r>
      <w:r>
        <w:rPr>
          <w:spacing w:val="-7"/>
          <w:w w:val="105"/>
          <w:sz w:val="21"/>
        </w:rPr>
        <w:t> </w:t>
      </w:r>
      <w:r>
        <w:rPr>
          <w:spacing w:val="-3"/>
          <w:w w:val="105"/>
          <w:sz w:val="21"/>
        </w:rPr>
        <w:t>are</w:t>
      </w:r>
      <w:r>
        <w:rPr>
          <w:spacing w:val="-8"/>
          <w:w w:val="105"/>
          <w:sz w:val="21"/>
        </w:rPr>
        <w:t> </w:t>
      </w:r>
      <w:r>
        <w:rPr>
          <w:spacing w:val="-3"/>
          <w:w w:val="105"/>
          <w:sz w:val="21"/>
        </w:rPr>
        <w:t>therefore</w:t>
      </w:r>
      <w:r>
        <w:rPr>
          <w:spacing w:val="-7"/>
          <w:w w:val="105"/>
          <w:sz w:val="21"/>
        </w:rPr>
        <w:t> </w:t>
      </w:r>
      <w:r>
        <w:rPr>
          <w:w w:val="105"/>
          <w:sz w:val="21"/>
        </w:rPr>
        <w:t>aimed</w:t>
      </w:r>
      <w:r>
        <w:rPr>
          <w:spacing w:val="-8"/>
          <w:w w:val="105"/>
          <w:sz w:val="21"/>
        </w:rPr>
        <w:t> </w:t>
      </w:r>
      <w:r>
        <w:rPr>
          <w:w w:val="105"/>
          <w:sz w:val="21"/>
        </w:rPr>
        <w:t>at</w:t>
      </w:r>
      <w:r>
        <w:rPr>
          <w:spacing w:val="-7"/>
          <w:w w:val="105"/>
          <w:sz w:val="21"/>
        </w:rPr>
        <w:t> </w:t>
      </w:r>
      <w:r>
        <w:rPr>
          <w:spacing w:val="-3"/>
          <w:w w:val="105"/>
          <w:sz w:val="21"/>
        </w:rPr>
        <w:t>dealing</w:t>
      </w:r>
      <w:r>
        <w:rPr>
          <w:spacing w:val="-8"/>
          <w:w w:val="105"/>
          <w:sz w:val="21"/>
        </w:rPr>
        <w:t> </w:t>
      </w:r>
      <w:r>
        <w:rPr>
          <w:w w:val="105"/>
          <w:sz w:val="21"/>
        </w:rPr>
        <w:t>with</w:t>
      </w:r>
      <w:r>
        <w:rPr>
          <w:spacing w:val="-7"/>
          <w:w w:val="105"/>
          <w:sz w:val="21"/>
        </w:rPr>
        <w:t> </w:t>
      </w:r>
      <w:r>
        <w:rPr>
          <w:w w:val="105"/>
          <w:sz w:val="21"/>
        </w:rPr>
        <w:t>local</w:t>
      </w:r>
      <w:r>
        <w:rPr>
          <w:spacing w:val="-8"/>
          <w:w w:val="105"/>
          <w:sz w:val="21"/>
        </w:rPr>
        <w:t> </w:t>
      </w:r>
      <w:r>
        <w:rPr>
          <w:w w:val="105"/>
          <w:sz w:val="21"/>
        </w:rPr>
        <w:t>issues</w:t>
      </w:r>
      <w:r>
        <w:rPr>
          <w:spacing w:val="-7"/>
          <w:w w:val="105"/>
          <w:sz w:val="21"/>
        </w:rPr>
        <w:t> </w:t>
      </w:r>
      <w:r>
        <w:rPr>
          <w:spacing w:val="-4"/>
          <w:w w:val="105"/>
          <w:sz w:val="21"/>
        </w:rPr>
        <w:t>only.</w:t>
      </w:r>
      <w:r>
        <w:rPr>
          <w:spacing w:val="-8"/>
          <w:w w:val="105"/>
          <w:sz w:val="21"/>
        </w:rPr>
        <w:t> </w:t>
      </w:r>
      <w:r>
        <w:rPr>
          <w:w w:val="105"/>
          <w:sz w:val="21"/>
        </w:rPr>
        <w:t>Decisions</w:t>
      </w:r>
      <w:r>
        <w:rPr>
          <w:spacing w:val="-7"/>
          <w:w w:val="105"/>
          <w:sz w:val="21"/>
        </w:rPr>
        <w:t> </w:t>
      </w:r>
      <w:r>
        <w:rPr>
          <w:spacing w:val="-3"/>
          <w:w w:val="105"/>
          <w:sz w:val="21"/>
        </w:rPr>
        <w:t>are </w:t>
      </w:r>
      <w:r>
        <w:rPr>
          <w:w w:val="105"/>
          <w:sz w:val="21"/>
        </w:rPr>
        <w:t>made by </w:t>
      </w:r>
      <w:r>
        <w:rPr>
          <w:spacing w:val="-3"/>
          <w:w w:val="105"/>
          <w:sz w:val="21"/>
        </w:rPr>
        <w:t>council </w:t>
      </w:r>
      <w:r>
        <w:rPr>
          <w:w w:val="105"/>
          <w:sz w:val="21"/>
        </w:rPr>
        <w:t>officers. There </w:t>
      </w:r>
      <w:r>
        <w:rPr>
          <w:spacing w:val="-3"/>
          <w:w w:val="105"/>
          <w:sz w:val="21"/>
        </w:rPr>
        <w:t>are </w:t>
      </w:r>
      <w:r>
        <w:rPr>
          <w:w w:val="105"/>
          <w:sz w:val="21"/>
        </w:rPr>
        <w:t>no appeal rights </w:t>
      </w:r>
      <w:r>
        <w:rPr>
          <w:spacing w:val="-3"/>
          <w:w w:val="105"/>
          <w:sz w:val="21"/>
        </w:rPr>
        <w:t>to </w:t>
      </w:r>
      <w:r>
        <w:rPr>
          <w:spacing w:val="-5"/>
          <w:w w:val="105"/>
          <w:sz w:val="21"/>
        </w:rPr>
        <w:t>VCAT </w:t>
      </w:r>
      <w:r>
        <w:rPr>
          <w:spacing w:val="-3"/>
          <w:w w:val="105"/>
          <w:sz w:val="21"/>
        </w:rPr>
        <w:t>for </w:t>
      </w:r>
      <w:r>
        <w:rPr>
          <w:w w:val="105"/>
          <w:sz w:val="21"/>
        </w:rPr>
        <w:t>decisions made under local laws; </w:t>
      </w:r>
      <w:r>
        <w:rPr>
          <w:spacing w:val="-3"/>
          <w:w w:val="105"/>
          <w:sz w:val="21"/>
        </w:rPr>
        <w:t>instead councils may </w:t>
      </w:r>
      <w:r>
        <w:rPr>
          <w:w w:val="105"/>
          <w:sz w:val="21"/>
        </w:rPr>
        <w:t>offer </w:t>
      </w:r>
      <w:r>
        <w:rPr>
          <w:spacing w:val="-3"/>
          <w:w w:val="105"/>
          <w:sz w:val="21"/>
        </w:rPr>
        <w:t>internal </w:t>
      </w:r>
      <w:r>
        <w:rPr>
          <w:w w:val="105"/>
          <w:sz w:val="21"/>
        </w:rPr>
        <w:t>review processes.</w:t>
      </w:r>
      <w:r>
        <w:rPr>
          <w:w w:val="105"/>
          <w:position w:val="7"/>
          <w:sz w:val="12"/>
        </w:rPr>
        <w:t>95 </w:t>
      </w:r>
      <w:r>
        <w:rPr>
          <w:w w:val="105"/>
          <w:sz w:val="21"/>
        </w:rPr>
        <w:t>Local laws</w:t>
      </w:r>
      <w:r>
        <w:rPr>
          <w:spacing w:val="-33"/>
          <w:w w:val="105"/>
          <w:sz w:val="21"/>
        </w:rPr>
        <w:t> </w:t>
      </w:r>
      <w:r>
        <w:rPr>
          <w:spacing w:val="-3"/>
          <w:w w:val="105"/>
          <w:sz w:val="21"/>
        </w:rPr>
        <w:t>enable</w:t>
      </w:r>
    </w:p>
    <w:p>
      <w:pPr>
        <w:pStyle w:val="BodyText"/>
        <w:spacing w:line="242" w:lineRule="auto" w:before="7"/>
        <w:ind w:left="2381" w:right="1810"/>
        <w:rPr>
          <w:sz w:val="12"/>
        </w:rPr>
      </w:pPr>
      <w:r>
        <w:rPr>
          <w:spacing w:val="-3"/>
        </w:rPr>
        <w:t>councils to </w:t>
      </w:r>
      <w:r>
        <w:rPr>
          <w:spacing w:val="-4"/>
        </w:rPr>
        <w:t>make </w:t>
      </w:r>
      <w:r>
        <w:rPr/>
        <w:t>the final decision in </w:t>
      </w:r>
      <w:r>
        <w:rPr>
          <w:spacing w:val="-3"/>
        </w:rPr>
        <w:t>relation to </w:t>
      </w:r>
      <w:r>
        <w:rPr/>
        <w:t>the protection of a </w:t>
      </w:r>
      <w:r>
        <w:rPr>
          <w:spacing w:val="-3"/>
        </w:rPr>
        <w:t>valued </w:t>
      </w:r>
      <w:r>
        <w:rPr/>
        <w:t>tree in a timely and efficient</w:t>
      </w:r>
      <w:r>
        <w:rPr>
          <w:spacing w:val="17"/>
        </w:rPr>
        <w:t> </w:t>
      </w:r>
      <w:r>
        <w:rPr>
          <w:spacing w:val="-4"/>
        </w:rPr>
        <w:t>manner.</w:t>
      </w:r>
      <w:r>
        <w:rPr>
          <w:spacing w:val="-4"/>
          <w:position w:val="7"/>
          <w:sz w:val="12"/>
        </w:rPr>
        <w:t>96</w:t>
      </w:r>
    </w:p>
    <w:p>
      <w:pPr>
        <w:pStyle w:val="ListParagraph"/>
        <w:numPr>
          <w:ilvl w:val="1"/>
          <w:numId w:val="16"/>
        </w:numPr>
        <w:tabs>
          <w:tab w:pos="2380" w:val="left" w:leader="none"/>
          <w:tab w:pos="2381" w:val="left" w:leader="none"/>
        </w:tabs>
        <w:spacing w:line="242" w:lineRule="auto" w:before="122" w:after="0"/>
        <w:ind w:left="2380" w:right="1672" w:hanging="793"/>
        <w:jc w:val="left"/>
        <w:rPr>
          <w:sz w:val="21"/>
        </w:rPr>
      </w:pPr>
      <w:r>
        <w:rPr>
          <w:sz w:val="21"/>
        </w:rPr>
        <w:t>Not </w:t>
      </w:r>
      <w:r>
        <w:rPr>
          <w:spacing w:val="-3"/>
          <w:sz w:val="21"/>
        </w:rPr>
        <w:t>all councils have </w:t>
      </w:r>
      <w:r>
        <w:rPr>
          <w:sz w:val="21"/>
        </w:rPr>
        <w:t>enacted local laws </w:t>
      </w:r>
      <w:r>
        <w:rPr>
          <w:spacing w:val="-3"/>
          <w:sz w:val="21"/>
        </w:rPr>
        <w:t>to manage </w:t>
      </w:r>
      <w:r>
        <w:rPr>
          <w:sz w:val="21"/>
        </w:rPr>
        <w:t>vegetation. Where they do exist, local laws</w:t>
      </w:r>
      <w:r>
        <w:rPr>
          <w:spacing w:val="9"/>
          <w:sz w:val="21"/>
        </w:rPr>
        <w:t> </w:t>
      </w:r>
      <w:r>
        <w:rPr>
          <w:spacing w:val="-3"/>
          <w:sz w:val="21"/>
        </w:rPr>
        <w:t>generally</w:t>
      </w:r>
      <w:r>
        <w:rPr>
          <w:spacing w:val="10"/>
          <w:sz w:val="21"/>
        </w:rPr>
        <w:t> </w:t>
      </w:r>
      <w:r>
        <w:rPr>
          <w:spacing w:val="-3"/>
          <w:sz w:val="21"/>
        </w:rPr>
        <w:t>contain</w:t>
      </w:r>
      <w:r>
        <w:rPr>
          <w:spacing w:val="10"/>
          <w:sz w:val="21"/>
        </w:rPr>
        <w:t> </w:t>
      </w:r>
      <w:r>
        <w:rPr>
          <w:spacing w:val="-3"/>
          <w:sz w:val="21"/>
        </w:rPr>
        <w:t>similar</w:t>
      </w:r>
      <w:r>
        <w:rPr>
          <w:spacing w:val="10"/>
          <w:sz w:val="21"/>
        </w:rPr>
        <w:t> </w:t>
      </w:r>
      <w:r>
        <w:rPr>
          <w:sz w:val="21"/>
        </w:rPr>
        <w:t>tree</w:t>
      </w:r>
      <w:r>
        <w:rPr>
          <w:spacing w:val="10"/>
          <w:sz w:val="21"/>
        </w:rPr>
        <w:t> </w:t>
      </w:r>
      <w:r>
        <w:rPr>
          <w:sz w:val="21"/>
        </w:rPr>
        <w:t>protections</w:t>
      </w:r>
      <w:r>
        <w:rPr>
          <w:spacing w:val="10"/>
          <w:sz w:val="21"/>
        </w:rPr>
        <w:t> </w:t>
      </w:r>
      <w:r>
        <w:rPr>
          <w:sz w:val="21"/>
        </w:rPr>
        <w:t>which</w:t>
      </w:r>
      <w:r>
        <w:rPr>
          <w:spacing w:val="10"/>
          <w:sz w:val="21"/>
        </w:rPr>
        <w:t> </w:t>
      </w:r>
      <w:r>
        <w:rPr>
          <w:sz w:val="21"/>
        </w:rPr>
        <w:t>operate</w:t>
      </w:r>
      <w:r>
        <w:rPr>
          <w:spacing w:val="10"/>
          <w:sz w:val="21"/>
        </w:rPr>
        <w:t> </w:t>
      </w:r>
      <w:r>
        <w:rPr>
          <w:sz w:val="21"/>
        </w:rPr>
        <w:t>to:</w:t>
      </w:r>
    </w:p>
    <w:p>
      <w:pPr>
        <w:pStyle w:val="ListParagraph"/>
        <w:numPr>
          <w:ilvl w:val="2"/>
          <w:numId w:val="16"/>
        </w:numPr>
        <w:tabs>
          <w:tab w:pos="2721" w:val="left" w:leader="none"/>
          <w:tab w:pos="2722" w:val="left" w:leader="none"/>
        </w:tabs>
        <w:spacing w:line="240" w:lineRule="auto" w:before="122" w:after="0"/>
        <w:ind w:left="2721" w:right="0" w:hanging="341"/>
        <w:jc w:val="left"/>
        <w:rPr>
          <w:sz w:val="21"/>
        </w:rPr>
      </w:pPr>
      <w:r>
        <w:rPr>
          <w:sz w:val="21"/>
        </w:rPr>
        <w:t>protect</w:t>
      </w:r>
      <w:r>
        <w:rPr>
          <w:spacing w:val="10"/>
          <w:sz w:val="21"/>
        </w:rPr>
        <w:t> </w:t>
      </w:r>
      <w:r>
        <w:rPr>
          <w:sz w:val="21"/>
        </w:rPr>
        <w:t>trees</w:t>
      </w:r>
      <w:r>
        <w:rPr>
          <w:spacing w:val="10"/>
          <w:sz w:val="21"/>
        </w:rPr>
        <w:t> </w:t>
      </w:r>
      <w:r>
        <w:rPr>
          <w:sz w:val="21"/>
        </w:rPr>
        <w:t>identified</w:t>
      </w:r>
      <w:r>
        <w:rPr>
          <w:spacing w:val="10"/>
          <w:sz w:val="21"/>
        </w:rPr>
        <w:t> </w:t>
      </w:r>
      <w:r>
        <w:rPr>
          <w:sz w:val="21"/>
        </w:rPr>
        <w:t>as</w:t>
      </w:r>
      <w:r>
        <w:rPr>
          <w:spacing w:val="10"/>
          <w:sz w:val="21"/>
        </w:rPr>
        <w:t> </w:t>
      </w:r>
      <w:r>
        <w:rPr>
          <w:spacing w:val="-3"/>
          <w:sz w:val="21"/>
        </w:rPr>
        <w:t>‘significant’</w:t>
      </w:r>
      <w:r>
        <w:rPr>
          <w:spacing w:val="10"/>
          <w:sz w:val="21"/>
        </w:rPr>
        <w:t> </w:t>
      </w:r>
      <w:r>
        <w:rPr>
          <w:sz w:val="21"/>
        </w:rPr>
        <w:t>or</w:t>
      </w:r>
      <w:r>
        <w:rPr>
          <w:spacing w:val="10"/>
          <w:sz w:val="21"/>
        </w:rPr>
        <w:t> </w:t>
      </w:r>
      <w:r>
        <w:rPr>
          <w:spacing w:val="-3"/>
          <w:sz w:val="21"/>
        </w:rPr>
        <w:t>‘protected’</w:t>
      </w:r>
      <w:r>
        <w:rPr>
          <w:spacing w:val="10"/>
          <w:sz w:val="21"/>
        </w:rPr>
        <w:t> </w:t>
      </w:r>
      <w:r>
        <w:rPr>
          <w:sz w:val="21"/>
        </w:rPr>
        <w:t>on</w:t>
      </w:r>
      <w:r>
        <w:rPr>
          <w:spacing w:val="10"/>
          <w:sz w:val="21"/>
        </w:rPr>
        <w:t> </w:t>
      </w:r>
      <w:r>
        <w:rPr>
          <w:spacing w:val="-3"/>
          <w:sz w:val="21"/>
        </w:rPr>
        <w:t>private</w:t>
      </w:r>
      <w:r>
        <w:rPr>
          <w:spacing w:val="10"/>
          <w:sz w:val="21"/>
        </w:rPr>
        <w:t> </w:t>
      </w:r>
      <w:r>
        <w:rPr>
          <w:spacing w:val="-3"/>
          <w:sz w:val="21"/>
        </w:rPr>
        <w:t>land</w:t>
      </w:r>
    </w:p>
    <w:p>
      <w:pPr>
        <w:pStyle w:val="ListParagraph"/>
        <w:numPr>
          <w:ilvl w:val="2"/>
          <w:numId w:val="16"/>
        </w:numPr>
        <w:tabs>
          <w:tab w:pos="2721" w:val="left" w:leader="none"/>
          <w:tab w:pos="2722" w:val="left" w:leader="none"/>
        </w:tabs>
        <w:spacing w:line="242" w:lineRule="auto" w:before="89" w:after="0"/>
        <w:ind w:left="2721" w:right="1962" w:hanging="341"/>
        <w:jc w:val="left"/>
        <w:rPr>
          <w:sz w:val="21"/>
        </w:rPr>
      </w:pPr>
      <w:r>
        <w:rPr>
          <w:w w:val="105"/>
          <w:sz w:val="21"/>
        </w:rPr>
        <w:t>extend</w:t>
      </w:r>
      <w:r>
        <w:rPr>
          <w:spacing w:val="-8"/>
          <w:w w:val="105"/>
          <w:sz w:val="21"/>
        </w:rPr>
        <w:t> </w:t>
      </w:r>
      <w:r>
        <w:rPr>
          <w:w w:val="105"/>
          <w:sz w:val="21"/>
        </w:rPr>
        <w:t>protection</w:t>
      </w:r>
      <w:r>
        <w:rPr>
          <w:spacing w:val="-7"/>
          <w:w w:val="105"/>
          <w:sz w:val="21"/>
        </w:rPr>
        <w:t> </w:t>
      </w:r>
      <w:r>
        <w:rPr>
          <w:w w:val="105"/>
          <w:sz w:val="21"/>
        </w:rPr>
        <w:t>by</w:t>
      </w:r>
      <w:r>
        <w:rPr>
          <w:spacing w:val="-7"/>
          <w:w w:val="105"/>
          <w:sz w:val="21"/>
        </w:rPr>
        <w:t> </w:t>
      </w:r>
      <w:r>
        <w:rPr>
          <w:spacing w:val="-3"/>
          <w:w w:val="105"/>
          <w:sz w:val="21"/>
        </w:rPr>
        <w:t>reference</w:t>
      </w:r>
      <w:r>
        <w:rPr>
          <w:spacing w:val="-7"/>
          <w:w w:val="105"/>
          <w:sz w:val="21"/>
        </w:rPr>
        <w:t> </w:t>
      </w:r>
      <w:r>
        <w:rPr>
          <w:spacing w:val="-3"/>
          <w:w w:val="105"/>
          <w:sz w:val="21"/>
        </w:rPr>
        <w:t>to</w:t>
      </w:r>
      <w:r>
        <w:rPr>
          <w:spacing w:val="-8"/>
          <w:w w:val="105"/>
          <w:sz w:val="21"/>
        </w:rPr>
        <w:t> </w:t>
      </w:r>
      <w:r>
        <w:rPr>
          <w:w w:val="105"/>
          <w:sz w:val="21"/>
        </w:rPr>
        <w:t>a</w:t>
      </w:r>
      <w:r>
        <w:rPr>
          <w:spacing w:val="-7"/>
          <w:w w:val="105"/>
          <w:sz w:val="21"/>
        </w:rPr>
        <w:t> </w:t>
      </w:r>
      <w:r>
        <w:rPr>
          <w:spacing w:val="-4"/>
          <w:w w:val="105"/>
          <w:sz w:val="21"/>
        </w:rPr>
        <w:t>tree’s</w:t>
      </w:r>
      <w:r>
        <w:rPr>
          <w:spacing w:val="-7"/>
          <w:w w:val="105"/>
          <w:sz w:val="21"/>
        </w:rPr>
        <w:t> </w:t>
      </w:r>
      <w:r>
        <w:rPr>
          <w:w w:val="105"/>
          <w:sz w:val="21"/>
        </w:rPr>
        <w:t>large</w:t>
      </w:r>
      <w:r>
        <w:rPr>
          <w:spacing w:val="-7"/>
          <w:w w:val="105"/>
          <w:sz w:val="21"/>
        </w:rPr>
        <w:t> </w:t>
      </w:r>
      <w:r>
        <w:rPr>
          <w:spacing w:val="-4"/>
          <w:w w:val="105"/>
          <w:sz w:val="21"/>
        </w:rPr>
        <w:t>size,</w:t>
      </w:r>
      <w:r>
        <w:rPr>
          <w:spacing w:val="-7"/>
          <w:w w:val="105"/>
          <w:sz w:val="21"/>
        </w:rPr>
        <w:t> </w:t>
      </w:r>
      <w:r>
        <w:rPr>
          <w:spacing w:val="-3"/>
          <w:w w:val="105"/>
          <w:sz w:val="21"/>
        </w:rPr>
        <w:t>age,</w:t>
      </w:r>
      <w:r>
        <w:rPr>
          <w:spacing w:val="-8"/>
          <w:w w:val="105"/>
          <w:sz w:val="21"/>
        </w:rPr>
        <w:t> </w:t>
      </w:r>
      <w:r>
        <w:rPr>
          <w:spacing w:val="-4"/>
          <w:w w:val="105"/>
          <w:sz w:val="21"/>
        </w:rPr>
        <w:t>rarity,</w:t>
      </w:r>
      <w:r>
        <w:rPr>
          <w:spacing w:val="-7"/>
          <w:w w:val="105"/>
          <w:sz w:val="21"/>
        </w:rPr>
        <w:t> </w:t>
      </w:r>
      <w:r>
        <w:rPr>
          <w:w w:val="105"/>
          <w:sz w:val="21"/>
        </w:rPr>
        <w:t>ecological</w:t>
      </w:r>
      <w:r>
        <w:rPr>
          <w:spacing w:val="-7"/>
          <w:w w:val="105"/>
          <w:sz w:val="21"/>
        </w:rPr>
        <w:t> </w:t>
      </w:r>
      <w:r>
        <w:rPr>
          <w:spacing w:val="-3"/>
          <w:w w:val="105"/>
          <w:sz w:val="21"/>
        </w:rPr>
        <w:t>value</w:t>
      </w:r>
      <w:r>
        <w:rPr>
          <w:spacing w:val="-7"/>
          <w:w w:val="105"/>
          <w:sz w:val="21"/>
        </w:rPr>
        <w:t> </w:t>
      </w:r>
      <w:r>
        <w:rPr>
          <w:w w:val="105"/>
          <w:sz w:val="21"/>
        </w:rPr>
        <w:t>or </w:t>
      </w:r>
      <w:r>
        <w:rPr>
          <w:spacing w:val="-3"/>
          <w:w w:val="105"/>
          <w:sz w:val="21"/>
        </w:rPr>
        <w:t>cultural </w:t>
      </w:r>
      <w:r>
        <w:rPr>
          <w:w w:val="105"/>
          <w:sz w:val="21"/>
        </w:rPr>
        <w:t>and </w:t>
      </w:r>
      <w:r>
        <w:rPr>
          <w:spacing w:val="-3"/>
          <w:w w:val="105"/>
          <w:sz w:val="21"/>
        </w:rPr>
        <w:t>historical</w:t>
      </w:r>
      <w:r>
        <w:rPr>
          <w:spacing w:val="18"/>
          <w:w w:val="105"/>
          <w:sz w:val="21"/>
        </w:rPr>
        <w:t> </w:t>
      </w:r>
      <w:r>
        <w:rPr>
          <w:spacing w:val="-3"/>
          <w:w w:val="105"/>
          <w:sz w:val="21"/>
        </w:rPr>
        <w:t>significance</w:t>
      </w:r>
    </w:p>
    <w:p>
      <w:pPr>
        <w:pStyle w:val="ListParagraph"/>
        <w:numPr>
          <w:ilvl w:val="2"/>
          <w:numId w:val="16"/>
        </w:numPr>
        <w:tabs>
          <w:tab w:pos="2721" w:val="left" w:leader="none"/>
          <w:tab w:pos="2722" w:val="left" w:leader="none"/>
        </w:tabs>
        <w:spacing w:line="242" w:lineRule="auto" w:before="87" w:after="0"/>
        <w:ind w:left="2721" w:right="1585" w:hanging="341"/>
        <w:jc w:val="left"/>
        <w:rPr>
          <w:sz w:val="21"/>
        </w:rPr>
      </w:pPr>
      <w:r>
        <w:rPr>
          <w:sz w:val="21"/>
        </w:rPr>
        <w:t>extend protections </w:t>
      </w:r>
      <w:r>
        <w:rPr>
          <w:spacing w:val="-3"/>
          <w:sz w:val="21"/>
        </w:rPr>
        <w:t>to </w:t>
      </w:r>
      <w:r>
        <w:rPr>
          <w:sz w:val="21"/>
        </w:rPr>
        <w:t>a root </w:t>
      </w:r>
      <w:r>
        <w:rPr>
          <w:spacing w:val="-3"/>
          <w:sz w:val="21"/>
        </w:rPr>
        <w:t>zone around </w:t>
      </w:r>
      <w:r>
        <w:rPr>
          <w:sz w:val="21"/>
        </w:rPr>
        <w:t>the base of the tree and/or a tree protection </w:t>
      </w:r>
      <w:r>
        <w:rPr>
          <w:spacing w:val="-3"/>
          <w:sz w:val="21"/>
        </w:rPr>
        <w:t>zone </w:t>
      </w:r>
      <w:r>
        <w:rPr>
          <w:sz w:val="21"/>
        </w:rPr>
        <w:t>(TPZ) </w:t>
      </w:r>
      <w:r>
        <w:rPr>
          <w:spacing w:val="-3"/>
          <w:sz w:val="21"/>
        </w:rPr>
        <w:t>around</w:t>
      </w:r>
      <w:r>
        <w:rPr>
          <w:spacing w:val="20"/>
          <w:sz w:val="21"/>
        </w:rPr>
        <w:t> </w:t>
      </w:r>
      <w:r>
        <w:rPr>
          <w:sz w:val="21"/>
        </w:rPr>
        <w:t>the trunk of the tree</w:t>
      </w:r>
    </w:p>
    <w:p>
      <w:pPr>
        <w:pStyle w:val="ListParagraph"/>
        <w:numPr>
          <w:ilvl w:val="2"/>
          <w:numId w:val="16"/>
        </w:numPr>
        <w:tabs>
          <w:tab w:pos="2721" w:val="left" w:leader="none"/>
          <w:tab w:pos="2722" w:val="left" w:leader="none"/>
        </w:tabs>
        <w:spacing w:line="242" w:lineRule="auto" w:before="87" w:after="0"/>
        <w:ind w:left="2721" w:right="1823" w:hanging="341"/>
        <w:jc w:val="left"/>
        <w:rPr>
          <w:sz w:val="21"/>
        </w:rPr>
      </w:pPr>
      <w:r>
        <w:rPr>
          <w:spacing w:val="-3"/>
          <w:sz w:val="21"/>
        </w:rPr>
        <w:t>require </w:t>
      </w:r>
      <w:r>
        <w:rPr>
          <w:sz w:val="21"/>
        </w:rPr>
        <w:t>the owner </w:t>
      </w:r>
      <w:r>
        <w:rPr>
          <w:spacing w:val="-3"/>
          <w:sz w:val="21"/>
        </w:rPr>
        <w:t>to </w:t>
      </w:r>
      <w:r>
        <w:rPr>
          <w:sz w:val="21"/>
        </w:rPr>
        <w:t>obtain a permit </w:t>
      </w:r>
      <w:r>
        <w:rPr>
          <w:spacing w:val="-3"/>
          <w:sz w:val="21"/>
        </w:rPr>
        <w:t>to </w:t>
      </w:r>
      <w:r>
        <w:rPr>
          <w:sz w:val="21"/>
        </w:rPr>
        <w:t>prune or </w:t>
      </w:r>
      <w:r>
        <w:rPr>
          <w:spacing w:val="-3"/>
          <w:sz w:val="21"/>
        </w:rPr>
        <w:t>remove </w:t>
      </w:r>
      <w:r>
        <w:rPr>
          <w:sz w:val="21"/>
        </w:rPr>
        <w:t>protected trees or </w:t>
      </w:r>
      <w:r>
        <w:rPr>
          <w:spacing w:val="-3"/>
          <w:sz w:val="21"/>
        </w:rPr>
        <w:t>to </w:t>
      </w:r>
      <w:r>
        <w:rPr>
          <w:sz w:val="21"/>
        </w:rPr>
        <w:t>carry out works in </w:t>
      </w:r>
      <w:r>
        <w:rPr>
          <w:spacing w:val="-3"/>
          <w:sz w:val="21"/>
        </w:rPr>
        <w:t>proximity to </w:t>
      </w:r>
      <w:r>
        <w:rPr>
          <w:sz w:val="21"/>
        </w:rPr>
        <w:t>the</w:t>
      </w:r>
      <w:r>
        <w:rPr>
          <w:spacing w:val="12"/>
          <w:sz w:val="21"/>
        </w:rPr>
        <w:t> </w:t>
      </w:r>
      <w:r>
        <w:rPr>
          <w:sz w:val="21"/>
        </w:rPr>
        <w:t>TPZ.</w:t>
      </w:r>
      <w:r>
        <w:rPr>
          <w:position w:val="7"/>
          <w:sz w:val="12"/>
        </w:rPr>
        <w:t>97</w:t>
      </w:r>
    </w:p>
    <w:p>
      <w:pPr>
        <w:pStyle w:val="ListParagraph"/>
        <w:numPr>
          <w:ilvl w:val="1"/>
          <w:numId w:val="16"/>
        </w:numPr>
        <w:tabs>
          <w:tab w:pos="2381" w:val="left" w:leader="none"/>
          <w:tab w:pos="2382" w:val="left" w:leader="none"/>
        </w:tabs>
        <w:spacing w:line="242" w:lineRule="auto" w:before="87" w:after="0"/>
        <w:ind w:left="2381" w:right="2048" w:hanging="794"/>
        <w:jc w:val="left"/>
        <w:rPr>
          <w:sz w:val="21"/>
        </w:rPr>
      </w:pPr>
      <w:r>
        <w:rPr>
          <w:w w:val="105"/>
          <w:sz w:val="21"/>
        </w:rPr>
        <w:t>Some </w:t>
      </w:r>
      <w:r>
        <w:rPr>
          <w:spacing w:val="-3"/>
          <w:w w:val="105"/>
          <w:sz w:val="21"/>
        </w:rPr>
        <w:t>councils have </w:t>
      </w:r>
      <w:r>
        <w:rPr>
          <w:w w:val="105"/>
          <w:sz w:val="21"/>
        </w:rPr>
        <w:t>enacted local laws in response </w:t>
      </w:r>
      <w:r>
        <w:rPr>
          <w:spacing w:val="-3"/>
          <w:w w:val="105"/>
          <w:sz w:val="21"/>
        </w:rPr>
        <w:t>to </w:t>
      </w:r>
      <w:r>
        <w:rPr>
          <w:w w:val="105"/>
          <w:sz w:val="21"/>
        </w:rPr>
        <w:t>community </w:t>
      </w:r>
      <w:r>
        <w:rPr>
          <w:spacing w:val="-3"/>
          <w:w w:val="105"/>
          <w:sz w:val="21"/>
        </w:rPr>
        <w:t>concern </w:t>
      </w:r>
      <w:r>
        <w:rPr>
          <w:w w:val="105"/>
          <w:sz w:val="21"/>
        </w:rPr>
        <w:t>about the loss of </w:t>
      </w:r>
      <w:r>
        <w:rPr>
          <w:spacing w:val="-3"/>
          <w:w w:val="105"/>
          <w:sz w:val="21"/>
        </w:rPr>
        <w:t>significant </w:t>
      </w:r>
      <w:r>
        <w:rPr>
          <w:w w:val="105"/>
          <w:sz w:val="21"/>
        </w:rPr>
        <w:t>trees and other </w:t>
      </w:r>
      <w:r>
        <w:rPr>
          <w:spacing w:val="-2"/>
          <w:w w:val="105"/>
          <w:sz w:val="21"/>
        </w:rPr>
        <w:t>vegetation.</w:t>
      </w:r>
      <w:r>
        <w:rPr>
          <w:spacing w:val="-2"/>
          <w:w w:val="105"/>
          <w:position w:val="7"/>
          <w:sz w:val="12"/>
        </w:rPr>
        <w:t>98 </w:t>
      </w:r>
      <w:r>
        <w:rPr>
          <w:w w:val="105"/>
          <w:sz w:val="21"/>
        </w:rPr>
        <w:t>Local laws can </w:t>
      </w:r>
      <w:r>
        <w:rPr>
          <w:spacing w:val="-3"/>
          <w:w w:val="105"/>
          <w:sz w:val="21"/>
        </w:rPr>
        <w:t>supplement overlays </w:t>
      </w:r>
      <w:r>
        <w:rPr>
          <w:w w:val="105"/>
          <w:sz w:val="21"/>
        </w:rPr>
        <w:t>and sometimes </w:t>
      </w:r>
      <w:r>
        <w:rPr>
          <w:spacing w:val="-3"/>
          <w:w w:val="105"/>
          <w:sz w:val="21"/>
        </w:rPr>
        <w:t>councils </w:t>
      </w:r>
      <w:r>
        <w:rPr>
          <w:w w:val="105"/>
          <w:sz w:val="21"/>
        </w:rPr>
        <w:t>choose </w:t>
      </w:r>
      <w:r>
        <w:rPr>
          <w:spacing w:val="-3"/>
          <w:w w:val="105"/>
          <w:sz w:val="21"/>
        </w:rPr>
        <w:t>to </w:t>
      </w:r>
      <w:r>
        <w:rPr>
          <w:w w:val="105"/>
          <w:sz w:val="21"/>
        </w:rPr>
        <w:t>use local laws as the </w:t>
      </w:r>
      <w:r>
        <w:rPr>
          <w:spacing w:val="-3"/>
          <w:w w:val="105"/>
          <w:sz w:val="21"/>
        </w:rPr>
        <w:t>main </w:t>
      </w:r>
      <w:r>
        <w:rPr>
          <w:w w:val="105"/>
          <w:sz w:val="21"/>
        </w:rPr>
        <w:t>vegetation protection </w:t>
      </w:r>
      <w:r>
        <w:rPr>
          <w:spacing w:val="-3"/>
          <w:w w:val="105"/>
          <w:sz w:val="21"/>
        </w:rPr>
        <w:t>mechanism </w:t>
      </w:r>
      <w:r>
        <w:rPr>
          <w:w w:val="105"/>
          <w:sz w:val="21"/>
        </w:rPr>
        <w:t>in the </w:t>
      </w:r>
      <w:r>
        <w:rPr>
          <w:spacing w:val="-3"/>
          <w:w w:val="105"/>
          <w:sz w:val="21"/>
        </w:rPr>
        <w:t>municipality.</w:t>
      </w:r>
      <w:r>
        <w:rPr>
          <w:spacing w:val="-3"/>
          <w:w w:val="105"/>
          <w:position w:val="7"/>
          <w:sz w:val="12"/>
        </w:rPr>
        <w:t>99 </w:t>
      </w:r>
      <w:r>
        <w:rPr>
          <w:w w:val="105"/>
          <w:sz w:val="21"/>
        </w:rPr>
        <w:t>Some </w:t>
      </w:r>
      <w:r>
        <w:rPr>
          <w:spacing w:val="-3"/>
          <w:w w:val="105"/>
          <w:sz w:val="21"/>
        </w:rPr>
        <w:t>councils </w:t>
      </w:r>
      <w:r>
        <w:rPr>
          <w:w w:val="105"/>
          <w:sz w:val="21"/>
        </w:rPr>
        <w:t>choose </w:t>
      </w:r>
      <w:r>
        <w:rPr>
          <w:spacing w:val="-2"/>
          <w:w w:val="105"/>
          <w:sz w:val="21"/>
        </w:rPr>
        <w:t>not </w:t>
      </w:r>
      <w:r>
        <w:rPr>
          <w:spacing w:val="-3"/>
          <w:w w:val="105"/>
          <w:sz w:val="21"/>
        </w:rPr>
        <w:t>to </w:t>
      </w:r>
      <w:r>
        <w:rPr>
          <w:w w:val="105"/>
          <w:sz w:val="21"/>
        </w:rPr>
        <w:t>use local laws at </w:t>
      </w:r>
      <w:r>
        <w:rPr>
          <w:spacing w:val="-3"/>
          <w:w w:val="105"/>
          <w:sz w:val="21"/>
        </w:rPr>
        <w:t>all. Nillumbik Shire </w:t>
      </w:r>
      <w:r>
        <w:rPr>
          <w:spacing w:val="-4"/>
          <w:w w:val="105"/>
          <w:sz w:val="21"/>
        </w:rPr>
        <w:t>Council </w:t>
      </w:r>
      <w:r>
        <w:rPr>
          <w:w w:val="105"/>
          <w:sz w:val="21"/>
        </w:rPr>
        <w:t>suggested </w:t>
      </w:r>
      <w:r>
        <w:rPr>
          <w:spacing w:val="-3"/>
          <w:w w:val="105"/>
          <w:sz w:val="21"/>
        </w:rPr>
        <w:t>that </w:t>
      </w:r>
      <w:r>
        <w:rPr>
          <w:w w:val="105"/>
          <w:sz w:val="21"/>
        </w:rPr>
        <w:t>local laws </w:t>
      </w:r>
      <w:r>
        <w:rPr>
          <w:spacing w:val="-3"/>
          <w:w w:val="105"/>
          <w:sz w:val="21"/>
        </w:rPr>
        <w:t>complicate internal </w:t>
      </w:r>
      <w:r>
        <w:rPr>
          <w:w w:val="105"/>
          <w:sz w:val="21"/>
        </w:rPr>
        <w:t>processes and it prefers </w:t>
      </w:r>
      <w:r>
        <w:rPr>
          <w:spacing w:val="-3"/>
          <w:w w:val="105"/>
          <w:sz w:val="21"/>
        </w:rPr>
        <w:t>to </w:t>
      </w:r>
      <w:r>
        <w:rPr>
          <w:w w:val="105"/>
          <w:sz w:val="21"/>
        </w:rPr>
        <w:t>protect trees under the </w:t>
      </w:r>
      <w:r>
        <w:rPr>
          <w:spacing w:val="-3"/>
          <w:w w:val="105"/>
          <w:sz w:val="21"/>
        </w:rPr>
        <w:t>planning</w:t>
      </w:r>
      <w:r>
        <w:rPr>
          <w:spacing w:val="28"/>
          <w:w w:val="105"/>
          <w:sz w:val="21"/>
        </w:rPr>
        <w:t> </w:t>
      </w:r>
      <w:r>
        <w:rPr>
          <w:spacing w:val="-4"/>
          <w:w w:val="105"/>
          <w:sz w:val="21"/>
        </w:rPr>
        <w:t>scheme.</w:t>
      </w:r>
      <w:r>
        <w:rPr>
          <w:spacing w:val="-4"/>
          <w:w w:val="105"/>
          <w:position w:val="7"/>
          <w:sz w:val="12"/>
        </w:rPr>
        <w:t>100</w:t>
      </w:r>
    </w:p>
    <w:p>
      <w:pPr>
        <w:pStyle w:val="ListParagraph"/>
        <w:numPr>
          <w:ilvl w:val="1"/>
          <w:numId w:val="16"/>
        </w:numPr>
        <w:tabs>
          <w:tab w:pos="2380" w:val="left" w:leader="none"/>
          <w:tab w:pos="2381" w:val="left" w:leader="none"/>
        </w:tabs>
        <w:spacing w:line="242" w:lineRule="auto" w:before="127" w:after="0"/>
        <w:ind w:left="2381" w:right="2442" w:hanging="794"/>
        <w:jc w:val="left"/>
        <w:rPr>
          <w:sz w:val="21"/>
        </w:rPr>
      </w:pPr>
      <w:r>
        <w:rPr>
          <w:w w:val="105"/>
          <w:sz w:val="21"/>
        </w:rPr>
        <w:t>In</w:t>
      </w:r>
      <w:r>
        <w:rPr>
          <w:spacing w:val="-8"/>
          <w:w w:val="105"/>
          <w:sz w:val="21"/>
        </w:rPr>
        <w:t> </w:t>
      </w:r>
      <w:r>
        <w:rPr>
          <w:spacing w:val="-3"/>
          <w:w w:val="105"/>
          <w:sz w:val="21"/>
        </w:rPr>
        <w:t>Boroondara,</w:t>
      </w:r>
      <w:r>
        <w:rPr>
          <w:spacing w:val="-8"/>
          <w:w w:val="105"/>
          <w:sz w:val="21"/>
        </w:rPr>
        <w:t> </w:t>
      </w:r>
      <w:r>
        <w:rPr>
          <w:w w:val="105"/>
          <w:sz w:val="21"/>
        </w:rPr>
        <w:t>the</w:t>
      </w:r>
      <w:r>
        <w:rPr>
          <w:spacing w:val="-8"/>
          <w:w w:val="105"/>
          <w:sz w:val="21"/>
        </w:rPr>
        <w:t> </w:t>
      </w:r>
      <w:r>
        <w:rPr>
          <w:spacing w:val="-5"/>
          <w:w w:val="105"/>
          <w:sz w:val="21"/>
        </w:rPr>
        <w:t>Tree</w:t>
      </w:r>
      <w:r>
        <w:rPr>
          <w:spacing w:val="-7"/>
          <w:w w:val="105"/>
          <w:sz w:val="21"/>
        </w:rPr>
        <w:t> </w:t>
      </w:r>
      <w:r>
        <w:rPr>
          <w:w w:val="105"/>
          <w:sz w:val="21"/>
        </w:rPr>
        <w:t>Protection</w:t>
      </w:r>
      <w:r>
        <w:rPr>
          <w:spacing w:val="-8"/>
          <w:w w:val="105"/>
          <w:sz w:val="21"/>
        </w:rPr>
        <w:t> </w:t>
      </w:r>
      <w:r>
        <w:rPr>
          <w:w w:val="105"/>
          <w:sz w:val="21"/>
        </w:rPr>
        <w:t>Local</w:t>
      </w:r>
      <w:r>
        <w:rPr>
          <w:spacing w:val="-8"/>
          <w:w w:val="105"/>
          <w:sz w:val="21"/>
        </w:rPr>
        <w:t> </w:t>
      </w:r>
      <w:r>
        <w:rPr>
          <w:w w:val="105"/>
          <w:sz w:val="21"/>
        </w:rPr>
        <w:t>Law</w:t>
      </w:r>
      <w:r>
        <w:rPr>
          <w:spacing w:val="-7"/>
          <w:w w:val="105"/>
          <w:sz w:val="21"/>
        </w:rPr>
        <w:t> 2016</w:t>
      </w:r>
      <w:r>
        <w:rPr>
          <w:spacing w:val="-8"/>
          <w:w w:val="105"/>
          <w:sz w:val="21"/>
        </w:rPr>
        <w:t> </w:t>
      </w:r>
      <w:r>
        <w:rPr>
          <w:w w:val="105"/>
          <w:sz w:val="21"/>
        </w:rPr>
        <w:t>(City</w:t>
      </w:r>
      <w:r>
        <w:rPr>
          <w:spacing w:val="-8"/>
          <w:w w:val="105"/>
          <w:sz w:val="21"/>
        </w:rPr>
        <w:t> </w:t>
      </w:r>
      <w:r>
        <w:rPr>
          <w:w w:val="105"/>
          <w:sz w:val="21"/>
        </w:rPr>
        <w:t>of</w:t>
      </w:r>
      <w:r>
        <w:rPr>
          <w:spacing w:val="-7"/>
          <w:w w:val="105"/>
          <w:sz w:val="21"/>
        </w:rPr>
        <w:t> </w:t>
      </w:r>
      <w:r>
        <w:rPr>
          <w:w w:val="105"/>
          <w:sz w:val="21"/>
        </w:rPr>
        <w:t>Boroondara)</w:t>
      </w:r>
      <w:r>
        <w:rPr>
          <w:spacing w:val="-8"/>
          <w:w w:val="105"/>
          <w:sz w:val="21"/>
        </w:rPr>
        <w:t> </w:t>
      </w:r>
      <w:r>
        <w:rPr>
          <w:w w:val="105"/>
          <w:sz w:val="21"/>
        </w:rPr>
        <w:t>protects </w:t>
      </w:r>
      <w:r>
        <w:rPr>
          <w:spacing w:val="-3"/>
          <w:w w:val="105"/>
          <w:sz w:val="21"/>
        </w:rPr>
        <w:t>‘significant </w:t>
      </w:r>
      <w:r>
        <w:rPr>
          <w:w w:val="105"/>
          <w:sz w:val="21"/>
        </w:rPr>
        <w:t>trees’ and </w:t>
      </w:r>
      <w:r>
        <w:rPr>
          <w:spacing w:val="-4"/>
          <w:w w:val="105"/>
          <w:sz w:val="21"/>
        </w:rPr>
        <w:t>‘canopy </w:t>
      </w:r>
      <w:r>
        <w:rPr>
          <w:w w:val="105"/>
          <w:sz w:val="21"/>
        </w:rPr>
        <w:t>trees’ on </w:t>
      </w:r>
      <w:r>
        <w:rPr>
          <w:spacing w:val="-3"/>
          <w:w w:val="105"/>
          <w:sz w:val="21"/>
        </w:rPr>
        <w:t>private land within </w:t>
      </w:r>
      <w:r>
        <w:rPr>
          <w:w w:val="105"/>
          <w:sz w:val="21"/>
        </w:rPr>
        <w:t>the</w:t>
      </w:r>
      <w:r>
        <w:rPr>
          <w:spacing w:val="17"/>
          <w:w w:val="105"/>
          <w:sz w:val="21"/>
        </w:rPr>
        <w:t> </w:t>
      </w:r>
      <w:r>
        <w:rPr>
          <w:spacing w:val="-5"/>
          <w:w w:val="105"/>
          <w:sz w:val="21"/>
        </w:rPr>
        <w:t>municipality.</w:t>
      </w:r>
      <w:r>
        <w:rPr>
          <w:spacing w:val="-5"/>
          <w:w w:val="105"/>
          <w:position w:val="7"/>
          <w:sz w:val="12"/>
        </w:rPr>
        <w:t>101</w:t>
      </w:r>
    </w:p>
    <w:p>
      <w:pPr>
        <w:pStyle w:val="BodyText"/>
        <w:spacing w:before="8"/>
        <w:rPr>
          <w:sz w:val="29"/>
        </w:rPr>
      </w:pPr>
      <w:r>
        <w:rPr/>
        <w:pict>
          <v:line style="position:absolute;mso-position-horizontal-relative:page;mso-position-vertical-relative:paragraph;z-index:9632;mso-wrap-distance-left:0;mso-wrap-distance-right:0" from="79.370102pt,20.558558pt" to="515.905102pt,20.55855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183"/>
        <w:ind w:left="720" w:right="0" w:firstLine="0"/>
        <w:jc w:val="left"/>
        <w:rPr>
          <w:b/>
          <w:sz w:val="24"/>
        </w:rPr>
      </w:pPr>
      <w:r>
        <w:rPr>
          <w:b/>
          <w:color w:val="658464"/>
          <w:w w:val="105"/>
          <w:sz w:val="24"/>
        </w:rPr>
        <w:t>228</w:t>
      </w:r>
    </w:p>
    <w:p>
      <w:pPr>
        <w:pStyle w:val="ListParagraph"/>
        <w:numPr>
          <w:ilvl w:val="0"/>
          <w:numId w:val="165"/>
        </w:numPr>
        <w:tabs>
          <w:tab w:pos="1220" w:val="left" w:leader="none"/>
          <w:tab w:pos="1221" w:val="left" w:leader="none"/>
        </w:tabs>
        <w:spacing w:line="240" w:lineRule="auto" w:before="48" w:after="0"/>
        <w:ind w:left="1220" w:right="0" w:hanging="793"/>
        <w:jc w:val="left"/>
        <w:rPr>
          <w:sz w:val="13"/>
        </w:rPr>
      </w:pPr>
      <w:r>
        <w:rPr>
          <w:spacing w:val="2"/>
          <w:w w:val="108"/>
          <w:sz w:val="13"/>
        </w:rPr>
        <w:br w:type="column"/>
      </w:r>
      <w:r>
        <w:rPr>
          <w:w w:val="105"/>
          <w:sz w:val="13"/>
        </w:rPr>
        <w:t>Department</w:t>
      </w:r>
      <w:r>
        <w:rPr>
          <w:spacing w:val="4"/>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4"/>
          <w:w w:val="105"/>
          <w:sz w:val="13"/>
        </w:rPr>
        <w:t> </w:t>
      </w:r>
      <w:r>
        <w:rPr>
          <w:spacing w:val="2"/>
          <w:w w:val="105"/>
          <w:sz w:val="13"/>
        </w:rPr>
        <w:t>(Vic),</w:t>
      </w:r>
      <w:r>
        <w:rPr>
          <w:spacing w:val="5"/>
          <w:w w:val="105"/>
          <w:sz w:val="13"/>
        </w:rPr>
        <w:t> </w:t>
      </w:r>
      <w:r>
        <w:rPr>
          <w:i/>
          <w:w w:val="105"/>
          <w:sz w:val="13"/>
        </w:rPr>
        <w:t>Using</w:t>
      </w:r>
      <w:r>
        <w:rPr>
          <w:i/>
          <w:spacing w:val="5"/>
          <w:w w:val="105"/>
          <w:sz w:val="13"/>
        </w:rPr>
        <w:t> </w:t>
      </w:r>
      <w:r>
        <w:rPr>
          <w:i/>
          <w:w w:val="105"/>
          <w:sz w:val="13"/>
        </w:rPr>
        <w:t>Victoria’s</w:t>
      </w:r>
      <w:r>
        <w:rPr>
          <w:i/>
          <w:spacing w:val="5"/>
          <w:w w:val="105"/>
          <w:sz w:val="13"/>
        </w:rPr>
        <w:t> </w:t>
      </w:r>
      <w:r>
        <w:rPr>
          <w:i/>
          <w:w w:val="105"/>
          <w:sz w:val="13"/>
        </w:rPr>
        <w:t>Planning</w:t>
      </w:r>
      <w:r>
        <w:rPr>
          <w:i/>
          <w:spacing w:val="5"/>
          <w:w w:val="105"/>
          <w:sz w:val="13"/>
        </w:rPr>
        <w:t> </w:t>
      </w:r>
      <w:r>
        <w:rPr>
          <w:i/>
          <w:w w:val="105"/>
          <w:sz w:val="13"/>
        </w:rPr>
        <w:t>System</w:t>
      </w:r>
      <w:r>
        <w:rPr>
          <w:i/>
          <w:spacing w:val="5"/>
          <w:w w:val="105"/>
          <w:sz w:val="13"/>
        </w:rPr>
        <w:t> </w:t>
      </w:r>
      <w:r>
        <w:rPr>
          <w:w w:val="105"/>
          <w:sz w:val="13"/>
        </w:rPr>
        <w:t>(Guide,</w:t>
      </w:r>
      <w:r>
        <w:rPr>
          <w:spacing w:val="5"/>
          <w:w w:val="105"/>
          <w:sz w:val="13"/>
        </w:rPr>
        <w:t> </w:t>
      </w:r>
      <w:r>
        <w:rPr>
          <w:w w:val="105"/>
          <w:sz w:val="13"/>
        </w:rPr>
        <w:t>28</w:t>
      </w:r>
      <w:r>
        <w:rPr>
          <w:spacing w:val="4"/>
          <w:w w:val="105"/>
          <w:sz w:val="13"/>
        </w:rPr>
        <w:t> </w:t>
      </w:r>
      <w:r>
        <w:rPr>
          <w:w w:val="105"/>
          <w:sz w:val="13"/>
        </w:rPr>
        <w:t>May</w:t>
      </w:r>
      <w:r>
        <w:rPr>
          <w:spacing w:val="5"/>
          <w:w w:val="105"/>
          <w:sz w:val="13"/>
        </w:rPr>
        <w:t> </w:t>
      </w:r>
      <w:r>
        <w:rPr>
          <w:w w:val="105"/>
          <w:sz w:val="13"/>
        </w:rPr>
        <w:t>2015)</w:t>
      </w:r>
      <w:r>
        <w:rPr>
          <w:spacing w:val="5"/>
          <w:w w:val="105"/>
          <w:sz w:val="13"/>
        </w:rPr>
        <w:t> </w:t>
      </w:r>
      <w:r>
        <w:rPr>
          <w:spacing w:val="2"/>
          <w:w w:val="105"/>
          <w:sz w:val="13"/>
        </w:rPr>
        <w:t>[8.8.2]</w:t>
      </w:r>
    </w:p>
    <w:p>
      <w:pPr>
        <w:spacing w:before="1"/>
        <w:ind w:left="1220" w:right="0" w:firstLine="0"/>
        <w:jc w:val="left"/>
        <w:rPr>
          <w:sz w:val="13"/>
        </w:rPr>
      </w:pPr>
      <w:r>
        <w:rPr>
          <w:w w:val="105"/>
          <w:sz w:val="13"/>
        </w:rPr>
        <w:t>&lt;https://</w:t>
      </w:r>
      <w:hyperlink r:id="rId95">
        <w:r>
          <w:rPr>
            <w:w w:val="105"/>
            <w:sz w:val="13"/>
          </w:rPr>
          <w:t>www.planning.vic.gov.au/guide-home/using-victorias-planning-system</w:t>
        </w:r>
      </w:hyperlink>
      <w:r>
        <w:rPr>
          <w:w w:val="105"/>
          <w:sz w:val="13"/>
        </w:rPr>
        <w:t>&gt;. See also </w:t>
      </w:r>
      <w:r>
        <w:rPr>
          <w:i/>
          <w:w w:val="105"/>
          <w:sz w:val="13"/>
        </w:rPr>
        <w:t>Planning and Environment Act 1987 </w:t>
      </w:r>
      <w:r>
        <w:rPr>
          <w:w w:val="105"/>
          <w:sz w:val="13"/>
        </w:rPr>
        <w:t>(Vic) s 178.</w:t>
      </w:r>
    </w:p>
    <w:p>
      <w:pPr>
        <w:pStyle w:val="ListParagraph"/>
        <w:numPr>
          <w:ilvl w:val="0"/>
          <w:numId w:val="165"/>
        </w:numPr>
        <w:tabs>
          <w:tab w:pos="1220" w:val="left" w:leader="none"/>
          <w:tab w:pos="1221" w:val="left" w:leader="none"/>
        </w:tabs>
        <w:spacing w:line="240" w:lineRule="auto" w:before="2" w:after="0"/>
        <w:ind w:left="1220" w:right="1590" w:hanging="793"/>
        <w:jc w:val="left"/>
        <w:rPr>
          <w:sz w:val="13"/>
        </w:rPr>
      </w:pPr>
      <w:r>
        <w:rPr>
          <w:sz w:val="13"/>
        </w:rPr>
        <w:t>This may be a first </w:t>
      </w:r>
      <w:r>
        <w:rPr>
          <w:spacing w:val="2"/>
          <w:sz w:val="13"/>
        </w:rPr>
        <w:t>party </w:t>
      </w:r>
      <w:r>
        <w:rPr>
          <w:sz w:val="13"/>
        </w:rPr>
        <w:t>offset site on land owned by the permit holder to remove native vegetation and used to meet the landowner’s own        offset</w:t>
      </w:r>
      <w:r>
        <w:rPr>
          <w:spacing w:val="6"/>
          <w:sz w:val="13"/>
        </w:rPr>
        <w:t> </w:t>
      </w:r>
      <w:r>
        <w:rPr>
          <w:sz w:val="13"/>
        </w:rPr>
        <w:t>requirements.</w:t>
      </w:r>
    </w:p>
    <w:p>
      <w:pPr>
        <w:pStyle w:val="ListParagraph"/>
        <w:numPr>
          <w:ilvl w:val="0"/>
          <w:numId w:val="165"/>
        </w:numPr>
        <w:tabs>
          <w:tab w:pos="1220" w:val="left" w:leader="none"/>
          <w:tab w:pos="1221" w:val="left" w:leader="none"/>
        </w:tabs>
        <w:spacing w:line="240" w:lineRule="auto" w:before="2" w:after="0"/>
        <w:ind w:left="1220" w:right="1741" w:hanging="793"/>
        <w:jc w:val="left"/>
        <w:rPr>
          <w:sz w:val="13"/>
        </w:rPr>
      </w:pPr>
      <w:r>
        <w:rPr>
          <w:sz w:val="13"/>
        </w:rPr>
        <w:t>Department of Environment, Land, Water and Planning </w:t>
      </w:r>
      <w:r>
        <w:rPr>
          <w:spacing w:val="2"/>
          <w:sz w:val="13"/>
        </w:rPr>
        <w:t>(Vic), </w:t>
      </w:r>
      <w:r>
        <w:rPr>
          <w:i/>
          <w:sz w:val="13"/>
        </w:rPr>
        <w:t>Native  Vegetation  Credit  Register:  Process  to  Establish  a  Native  Vegetation </w:t>
      </w:r>
      <w:r>
        <w:rPr>
          <w:i/>
          <w:sz w:val="13"/>
        </w:rPr>
        <w:t>Credit Site on Private Land </w:t>
      </w:r>
      <w:r>
        <w:rPr>
          <w:sz w:val="13"/>
        </w:rPr>
        <w:t>(Register) &lt;https://</w:t>
      </w:r>
      <w:hyperlink r:id="rId264">
        <w:r>
          <w:rPr>
            <w:sz w:val="13"/>
          </w:rPr>
          <w:t>www.environment.vic.gov.au/native-vegetation/native-vegetation/offsets-for-the-removal-</w:t>
        </w:r>
      </w:hyperlink>
      <w:r>
        <w:rPr>
          <w:sz w:val="13"/>
        </w:rPr>
        <w:t> of-native-vegetation/i-want-to-establish-a-native-vegetation-credit-site&gt;.</w:t>
      </w:r>
    </w:p>
    <w:p>
      <w:pPr>
        <w:pStyle w:val="ListParagraph"/>
        <w:numPr>
          <w:ilvl w:val="0"/>
          <w:numId w:val="165"/>
        </w:numPr>
        <w:tabs>
          <w:tab w:pos="1220" w:val="left" w:leader="none"/>
          <w:tab w:pos="1221" w:val="left" w:leader="none"/>
        </w:tabs>
        <w:spacing w:line="240" w:lineRule="auto" w:before="4" w:after="0"/>
        <w:ind w:left="1220" w:right="1640" w:hanging="793"/>
        <w:jc w:val="left"/>
        <w:rPr>
          <w:sz w:val="13"/>
        </w:rPr>
      </w:pPr>
      <w:r>
        <w:rPr>
          <w:w w:val="105"/>
          <w:sz w:val="13"/>
        </w:rPr>
        <w:t>This is in contrast to decisions about permits under planning schemes which can be appealed to VCAT. The </w:t>
      </w:r>
      <w:r>
        <w:rPr>
          <w:i/>
          <w:w w:val="105"/>
          <w:sz w:val="13"/>
        </w:rPr>
        <w:t>Local Government Act </w:t>
      </w:r>
      <w:r>
        <w:rPr>
          <w:w w:val="105"/>
          <w:sz w:val="13"/>
        </w:rPr>
        <w:t>does not specifically require local laws to contain a provision for internal review of decisions made or actions taken under local laws, however, the guidelines encourage councils to have an internal review process: Department of Planning and Community Development, </w:t>
      </w:r>
      <w:r>
        <w:rPr>
          <w:i/>
          <w:w w:val="105"/>
          <w:sz w:val="13"/>
        </w:rPr>
        <w:t>Guidelines for   </w:t>
      </w:r>
      <w:r>
        <w:rPr>
          <w:i/>
          <w:w w:val="105"/>
          <w:sz w:val="13"/>
        </w:rPr>
        <w:t>Local Laws </w:t>
      </w:r>
      <w:r>
        <w:rPr>
          <w:w w:val="105"/>
          <w:sz w:val="13"/>
        </w:rPr>
        <w:t>(Manual, February 2010)</w:t>
      </w:r>
      <w:r>
        <w:rPr>
          <w:spacing w:val="14"/>
          <w:w w:val="105"/>
          <w:sz w:val="13"/>
        </w:rPr>
        <w:t> </w:t>
      </w:r>
      <w:r>
        <w:rPr>
          <w:w w:val="105"/>
          <w:sz w:val="13"/>
        </w:rPr>
        <w:t>&lt;https://</w:t>
      </w:r>
      <w:hyperlink r:id="rId265">
        <w:r>
          <w:rPr>
            <w:w w:val="105"/>
            <w:sz w:val="13"/>
          </w:rPr>
          <w:t>www.localgovernment.vic.gov.au/council-innovation-and-performance/local-laws</w:t>
        </w:r>
      </w:hyperlink>
      <w:r>
        <w:rPr>
          <w:w w:val="105"/>
          <w:sz w:val="13"/>
        </w:rPr>
        <w:t>&gt;.</w:t>
      </w:r>
    </w:p>
    <w:p>
      <w:pPr>
        <w:pStyle w:val="ListParagraph"/>
        <w:numPr>
          <w:ilvl w:val="0"/>
          <w:numId w:val="165"/>
        </w:numPr>
        <w:tabs>
          <w:tab w:pos="1220" w:val="left" w:leader="none"/>
          <w:tab w:pos="1221" w:val="left" w:leader="none"/>
        </w:tabs>
        <w:spacing w:line="240" w:lineRule="auto" w:before="6" w:after="0"/>
        <w:ind w:left="1220" w:right="1613" w:hanging="793"/>
        <w:jc w:val="left"/>
        <w:rPr>
          <w:sz w:val="13"/>
        </w:rPr>
      </w:pPr>
      <w:r>
        <w:rPr>
          <w:w w:val="105"/>
          <w:sz w:val="13"/>
        </w:rPr>
        <w:t>Consultation 8 (City of Boroondara). Section 114(c)(iii) of the </w:t>
      </w:r>
      <w:r>
        <w:rPr>
          <w:i/>
          <w:w w:val="105"/>
          <w:sz w:val="13"/>
        </w:rPr>
        <w:t>Local Government Act 1989 </w:t>
      </w:r>
      <w:r>
        <w:rPr>
          <w:spacing w:val="2"/>
          <w:w w:val="105"/>
          <w:sz w:val="13"/>
        </w:rPr>
        <w:t>(Vic) </w:t>
      </w:r>
      <w:r>
        <w:rPr>
          <w:w w:val="105"/>
          <w:sz w:val="13"/>
        </w:rPr>
        <w:t>provides that a local law may delegate to a member of the council </w:t>
      </w:r>
      <w:r>
        <w:rPr>
          <w:spacing w:val="2"/>
          <w:w w:val="105"/>
          <w:sz w:val="13"/>
        </w:rPr>
        <w:t>staff </w:t>
      </w:r>
      <w:r>
        <w:rPr>
          <w:w w:val="105"/>
          <w:sz w:val="13"/>
        </w:rPr>
        <w:t>the power to do any act, matter or thing </w:t>
      </w:r>
      <w:r>
        <w:rPr>
          <w:spacing w:val="2"/>
          <w:w w:val="105"/>
          <w:sz w:val="13"/>
        </w:rPr>
        <w:t>necessary </w:t>
      </w:r>
      <w:r>
        <w:rPr>
          <w:w w:val="105"/>
          <w:sz w:val="13"/>
        </w:rPr>
        <w:t>or incidental to the performance or exercise of any function</w:t>
      </w:r>
      <w:r>
        <w:rPr>
          <w:spacing w:val="30"/>
          <w:w w:val="105"/>
          <w:sz w:val="13"/>
        </w:rPr>
        <w:t> </w:t>
      </w:r>
      <w:r>
        <w:rPr>
          <w:w w:val="105"/>
          <w:sz w:val="13"/>
        </w:rPr>
        <w:t>or power by the</w:t>
      </w:r>
      <w:r>
        <w:rPr>
          <w:spacing w:val="18"/>
          <w:w w:val="105"/>
          <w:sz w:val="13"/>
        </w:rPr>
        <w:t> </w:t>
      </w:r>
      <w:r>
        <w:rPr>
          <w:w w:val="105"/>
          <w:sz w:val="13"/>
        </w:rPr>
        <w:t>council.</w:t>
      </w:r>
    </w:p>
    <w:p>
      <w:pPr>
        <w:pStyle w:val="ListParagraph"/>
        <w:numPr>
          <w:ilvl w:val="0"/>
          <w:numId w:val="165"/>
        </w:numPr>
        <w:tabs>
          <w:tab w:pos="1220" w:val="left" w:leader="none"/>
          <w:tab w:pos="1221" w:val="left" w:leader="none"/>
        </w:tabs>
        <w:spacing w:line="240" w:lineRule="auto" w:before="4" w:after="0"/>
        <w:ind w:left="1220" w:right="0" w:hanging="793"/>
        <w:jc w:val="left"/>
        <w:rPr>
          <w:sz w:val="13"/>
        </w:rPr>
      </w:pPr>
      <w:r>
        <w:rPr>
          <w:w w:val="105"/>
          <w:sz w:val="13"/>
        </w:rPr>
        <w:t>See,</w:t>
      </w:r>
      <w:r>
        <w:rPr>
          <w:spacing w:val="9"/>
          <w:w w:val="105"/>
          <w:sz w:val="13"/>
        </w:rPr>
        <w:t> </w:t>
      </w:r>
      <w:r>
        <w:rPr>
          <w:w w:val="105"/>
          <w:sz w:val="13"/>
        </w:rPr>
        <w:t>eg,</w:t>
      </w:r>
      <w:r>
        <w:rPr>
          <w:spacing w:val="10"/>
          <w:w w:val="105"/>
          <w:sz w:val="13"/>
        </w:rPr>
        <w:t> </w:t>
      </w:r>
      <w:r>
        <w:rPr>
          <w:i/>
          <w:w w:val="105"/>
          <w:sz w:val="13"/>
        </w:rPr>
        <w:t>Tree</w:t>
      </w:r>
      <w:r>
        <w:rPr>
          <w:i/>
          <w:spacing w:val="10"/>
          <w:w w:val="105"/>
          <w:sz w:val="13"/>
        </w:rPr>
        <w:t> </w:t>
      </w:r>
      <w:r>
        <w:rPr>
          <w:i/>
          <w:w w:val="105"/>
          <w:sz w:val="13"/>
        </w:rPr>
        <w:t>Protection</w:t>
      </w:r>
      <w:r>
        <w:rPr>
          <w:i/>
          <w:spacing w:val="10"/>
          <w:w w:val="105"/>
          <w:sz w:val="13"/>
        </w:rPr>
        <w:t> </w:t>
      </w:r>
      <w:r>
        <w:rPr>
          <w:i/>
          <w:w w:val="105"/>
          <w:sz w:val="13"/>
        </w:rPr>
        <w:t>Local</w:t>
      </w:r>
      <w:r>
        <w:rPr>
          <w:i/>
          <w:spacing w:val="10"/>
          <w:w w:val="105"/>
          <w:sz w:val="13"/>
        </w:rPr>
        <w:t> </w:t>
      </w:r>
      <w:r>
        <w:rPr>
          <w:i/>
          <w:w w:val="105"/>
          <w:sz w:val="13"/>
        </w:rPr>
        <w:t>Law</w:t>
      </w:r>
      <w:r>
        <w:rPr>
          <w:i/>
          <w:spacing w:val="10"/>
          <w:w w:val="105"/>
          <w:sz w:val="13"/>
        </w:rPr>
        <w:t> </w:t>
      </w:r>
      <w:r>
        <w:rPr>
          <w:i/>
          <w:spacing w:val="-3"/>
          <w:w w:val="105"/>
          <w:sz w:val="13"/>
        </w:rPr>
        <w:t>2016</w:t>
      </w:r>
      <w:r>
        <w:rPr>
          <w:i/>
          <w:spacing w:val="10"/>
          <w:w w:val="105"/>
          <w:sz w:val="13"/>
        </w:rPr>
        <w:t> </w:t>
      </w:r>
      <w:r>
        <w:rPr>
          <w:w w:val="105"/>
          <w:sz w:val="13"/>
        </w:rPr>
        <w:t>(City</w:t>
      </w:r>
      <w:r>
        <w:rPr>
          <w:spacing w:val="10"/>
          <w:w w:val="105"/>
          <w:sz w:val="13"/>
        </w:rPr>
        <w:t> </w:t>
      </w:r>
      <w:r>
        <w:rPr>
          <w:w w:val="105"/>
          <w:sz w:val="13"/>
        </w:rPr>
        <w:t>of</w:t>
      </w:r>
      <w:r>
        <w:rPr>
          <w:spacing w:val="10"/>
          <w:w w:val="105"/>
          <w:sz w:val="13"/>
        </w:rPr>
        <w:t> </w:t>
      </w:r>
      <w:r>
        <w:rPr>
          <w:w w:val="105"/>
          <w:sz w:val="13"/>
        </w:rPr>
        <w:t>Boroondara).</w:t>
      </w:r>
    </w:p>
    <w:p>
      <w:pPr>
        <w:pStyle w:val="ListParagraph"/>
        <w:numPr>
          <w:ilvl w:val="0"/>
          <w:numId w:val="165"/>
        </w:numPr>
        <w:tabs>
          <w:tab w:pos="1220" w:val="left" w:leader="none"/>
          <w:tab w:pos="1221" w:val="left" w:leader="none"/>
        </w:tabs>
        <w:spacing w:line="240" w:lineRule="auto" w:before="1" w:after="0"/>
        <w:ind w:left="1220" w:right="0" w:hanging="793"/>
        <w:jc w:val="left"/>
        <w:rPr>
          <w:sz w:val="13"/>
        </w:rPr>
      </w:pPr>
      <w:r>
        <w:rPr>
          <w:w w:val="105"/>
          <w:sz w:val="13"/>
        </w:rPr>
        <w:t>Consultations</w:t>
      </w:r>
      <w:r>
        <w:rPr>
          <w:spacing w:val="9"/>
          <w:w w:val="105"/>
          <w:sz w:val="13"/>
        </w:rPr>
        <w:t> </w:t>
      </w:r>
      <w:r>
        <w:rPr>
          <w:w w:val="105"/>
          <w:sz w:val="13"/>
        </w:rPr>
        <w:t>8</w:t>
      </w:r>
      <w:r>
        <w:rPr>
          <w:spacing w:val="10"/>
          <w:w w:val="105"/>
          <w:sz w:val="13"/>
        </w:rPr>
        <w:t> </w:t>
      </w:r>
      <w:r>
        <w:rPr>
          <w:w w:val="105"/>
          <w:sz w:val="13"/>
        </w:rPr>
        <w:t>(City</w:t>
      </w:r>
      <w:r>
        <w:rPr>
          <w:spacing w:val="10"/>
          <w:w w:val="105"/>
          <w:sz w:val="13"/>
        </w:rPr>
        <w:t> </w:t>
      </w:r>
      <w:r>
        <w:rPr>
          <w:w w:val="105"/>
          <w:sz w:val="13"/>
        </w:rPr>
        <w:t>of</w:t>
      </w:r>
      <w:r>
        <w:rPr>
          <w:spacing w:val="10"/>
          <w:w w:val="105"/>
          <w:sz w:val="13"/>
        </w:rPr>
        <w:t> </w:t>
      </w:r>
      <w:r>
        <w:rPr>
          <w:w w:val="105"/>
          <w:sz w:val="13"/>
        </w:rPr>
        <w:t>Boroondara),</w:t>
      </w:r>
      <w:r>
        <w:rPr>
          <w:spacing w:val="10"/>
          <w:w w:val="105"/>
          <w:sz w:val="13"/>
        </w:rPr>
        <w:t> </w:t>
      </w:r>
      <w:r>
        <w:rPr>
          <w:spacing w:val="-4"/>
          <w:w w:val="105"/>
          <w:sz w:val="13"/>
        </w:rPr>
        <w:t>12</w:t>
      </w:r>
      <w:r>
        <w:rPr>
          <w:spacing w:val="10"/>
          <w:w w:val="105"/>
          <w:sz w:val="13"/>
        </w:rPr>
        <w:t> </w:t>
      </w:r>
      <w:r>
        <w:rPr>
          <w:w w:val="105"/>
          <w:sz w:val="13"/>
        </w:rPr>
        <w:t>(City</w:t>
      </w:r>
      <w:r>
        <w:rPr>
          <w:spacing w:val="9"/>
          <w:w w:val="105"/>
          <w:sz w:val="13"/>
        </w:rPr>
        <w:t> </w:t>
      </w:r>
      <w:r>
        <w:rPr>
          <w:w w:val="105"/>
          <w:sz w:val="13"/>
        </w:rPr>
        <w:t>of</w:t>
      </w:r>
      <w:r>
        <w:rPr>
          <w:spacing w:val="10"/>
          <w:w w:val="105"/>
          <w:sz w:val="13"/>
        </w:rPr>
        <w:t> </w:t>
      </w:r>
      <w:r>
        <w:rPr>
          <w:w w:val="105"/>
          <w:sz w:val="13"/>
        </w:rPr>
        <w:t>Port</w:t>
      </w:r>
      <w:r>
        <w:rPr>
          <w:spacing w:val="10"/>
          <w:w w:val="105"/>
          <w:sz w:val="13"/>
        </w:rPr>
        <w:t> </w:t>
      </w:r>
      <w:r>
        <w:rPr>
          <w:w w:val="105"/>
          <w:sz w:val="13"/>
        </w:rPr>
        <w:t>Phillip).</w:t>
      </w:r>
    </w:p>
    <w:p>
      <w:pPr>
        <w:pStyle w:val="ListParagraph"/>
        <w:numPr>
          <w:ilvl w:val="0"/>
          <w:numId w:val="165"/>
        </w:numPr>
        <w:tabs>
          <w:tab w:pos="1220" w:val="left" w:leader="none"/>
          <w:tab w:pos="1221" w:val="left" w:leader="none"/>
        </w:tabs>
        <w:spacing w:line="240" w:lineRule="auto" w:before="1" w:after="0"/>
        <w:ind w:left="1220" w:right="0" w:hanging="793"/>
        <w:jc w:val="left"/>
        <w:rPr>
          <w:sz w:val="13"/>
        </w:rPr>
      </w:pPr>
      <w:r>
        <w:rPr>
          <w:w w:val="105"/>
          <w:sz w:val="13"/>
        </w:rPr>
        <w:t>Consultations</w:t>
      </w:r>
      <w:r>
        <w:rPr>
          <w:spacing w:val="9"/>
          <w:w w:val="105"/>
          <w:sz w:val="13"/>
        </w:rPr>
        <w:t> </w:t>
      </w:r>
      <w:r>
        <w:rPr>
          <w:w w:val="105"/>
          <w:sz w:val="13"/>
        </w:rPr>
        <w:t>8</w:t>
      </w:r>
      <w:r>
        <w:rPr>
          <w:spacing w:val="10"/>
          <w:w w:val="105"/>
          <w:sz w:val="13"/>
        </w:rPr>
        <w:t> </w:t>
      </w:r>
      <w:r>
        <w:rPr>
          <w:w w:val="105"/>
          <w:sz w:val="13"/>
        </w:rPr>
        <w:t>(City</w:t>
      </w:r>
      <w:r>
        <w:rPr>
          <w:spacing w:val="10"/>
          <w:w w:val="105"/>
          <w:sz w:val="13"/>
        </w:rPr>
        <w:t> </w:t>
      </w:r>
      <w:r>
        <w:rPr>
          <w:w w:val="105"/>
          <w:sz w:val="13"/>
        </w:rPr>
        <w:t>of</w:t>
      </w:r>
      <w:r>
        <w:rPr>
          <w:spacing w:val="10"/>
          <w:w w:val="105"/>
          <w:sz w:val="13"/>
        </w:rPr>
        <w:t> </w:t>
      </w:r>
      <w:r>
        <w:rPr>
          <w:w w:val="105"/>
          <w:sz w:val="13"/>
        </w:rPr>
        <w:t>Boroondara),</w:t>
      </w:r>
      <w:r>
        <w:rPr>
          <w:spacing w:val="10"/>
          <w:w w:val="105"/>
          <w:sz w:val="13"/>
        </w:rPr>
        <w:t> </w:t>
      </w:r>
      <w:r>
        <w:rPr>
          <w:spacing w:val="-4"/>
          <w:w w:val="105"/>
          <w:sz w:val="13"/>
        </w:rPr>
        <w:t>12</w:t>
      </w:r>
      <w:r>
        <w:rPr>
          <w:spacing w:val="10"/>
          <w:w w:val="105"/>
          <w:sz w:val="13"/>
        </w:rPr>
        <w:t> </w:t>
      </w:r>
      <w:r>
        <w:rPr>
          <w:w w:val="105"/>
          <w:sz w:val="13"/>
        </w:rPr>
        <w:t>(City</w:t>
      </w:r>
      <w:r>
        <w:rPr>
          <w:spacing w:val="9"/>
          <w:w w:val="105"/>
          <w:sz w:val="13"/>
        </w:rPr>
        <w:t> </w:t>
      </w:r>
      <w:r>
        <w:rPr>
          <w:w w:val="105"/>
          <w:sz w:val="13"/>
        </w:rPr>
        <w:t>of</w:t>
      </w:r>
      <w:r>
        <w:rPr>
          <w:spacing w:val="10"/>
          <w:w w:val="105"/>
          <w:sz w:val="13"/>
        </w:rPr>
        <w:t> </w:t>
      </w:r>
      <w:r>
        <w:rPr>
          <w:w w:val="105"/>
          <w:sz w:val="13"/>
        </w:rPr>
        <w:t>Port</w:t>
      </w:r>
      <w:r>
        <w:rPr>
          <w:spacing w:val="10"/>
          <w:w w:val="105"/>
          <w:sz w:val="13"/>
        </w:rPr>
        <w:t> </w:t>
      </w:r>
      <w:r>
        <w:rPr>
          <w:w w:val="105"/>
          <w:sz w:val="13"/>
        </w:rPr>
        <w:t>Phillip).</w:t>
      </w:r>
    </w:p>
    <w:p>
      <w:pPr>
        <w:pStyle w:val="ListParagraph"/>
        <w:numPr>
          <w:ilvl w:val="0"/>
          <w:numId w:val="165"/>
        </w:numPr>
        <w:tabs>
          <w:tab w:pos="1220" w:val="left" w:leader="none"/>
          <w:tab w:pos="1221" w:val="left" w:leader="none"/>
        </w:tabs>
        <w:spacing w:line="240" w:lineRule="auto" w:before="2" w:after="0"/>
        <w:ind w:left="1220" w:right="1706" w:hanging="793"/>
        <w:jc w:val="left"/>
        <w:rPr>
          <w:sz w:val="13"/>
        </w:rPr>
      </w:pPr>
      <w:r>
        <w:rPr>
          <w:w w:val="105"/>
          <w:sz w:val="13"/>
        </w:rPr>
        <w:t>Consultation 9 (Nillumbik Shire Council). If a planning scheme is in force in the municipal district of a council, the council must not make a local</w:t>
      </w:r>
      <w:r>
        <w:rPr>
          <w:spacing w:val="5"/>
          <w:w w:val="105"/>
          <w:sz w:val="13"/>
        </w:rPr>
        <w:t> </w:t>
      </w:r>
      <w:r>
        <w:rPr>
          <w:w w:val="105"/>
          <w:sz w:val="13"/>
        </w:rPr>
        <w:t>law</w:t>
      </w:r>
      <w:r>
        <w:rPr>
          <w:spacing w:val="5"/>
          <w:w w:val="105"/>
          <w:sz w:val="13"/>
        </w:rPr>
        <w:t> </w:t>
      </w:r>
      <w:r>
        <w:rPr>
          <w:w w:val="105"/>
          <w:sz w:val="13"/>
        </w:rPr>
        <w:t>which</w:t>
      </w:r>
      <w:r>
        <w:rPr>
          <w:spacing w:val="5"/>
          <w:w w:val="105"/>
          <w:sz w:val="13"/>
        </w:rPr>
        <w:t> </w:t>
      </w:r>
      <w:r>
        <w:rPr>
          <w:w w:val="105"/>
          <w:sz w:val="13"/>
        </w:rPr>
        <w:t>duplicates</w:t>
      </w:r>
      <w:r>
        <w:rPr>
          <w:spacing w:val="6"/>
          <w:w w:val="105"/>
          <w:sz w:val="13"/>
        </w:rPr>
        <w:t> </w:t>
      </w:r>
      <w:r>
        <w:rPr>
          <w:w w:val="105"/>
          <w:sz w:val="13"/>
        </w:rPr>
        <w:t>or</w:t>
      </w:r>
      <w:r>
        <w:rPr>
          <w:spacing w:val="5"/>
          <w:w w:val="105"/>
          <w:sz w:val="13"/>
        </w:rPr>
        <w:t> </w:t>
      </w:r>
      <w:r>
        <w:rPr>
          <w:w w:val="105"/>
          <w:sz w:val="13"/>
        </w:rPr>
        <w:t>is</w:t>
      </w:r>
      <w:r>
        <w:rPr>
          <w:spacing w:val="5"/>
          <w:w w:val="105"/>
          <w:sz w:val="13"/>
        </w:rPr>
        <w:t> </w:t>
      </w:r>
      <w:r>
        <w:rPr>
          <w:w w:val="105"/>
          <w:sz w:val="13"/>
        </w:rPr>
        <w:t>inconsistent</w:t>
      </w:r>
      <w:r>
        <w:rPr>
          <w:spacing w:val="6"/>
          <w:w w:val="105"/>
          <w:sz w:val="13"/>
        </w:rPr>
        <w:t> </w:t>
      </w:r>
      <w:r>
        <w:rPr>
          <w:w w:val="105"/>
          <w:sz w:val="13"/>
        </w:rPr>
        <w:t>with</w:t>
      </w:r>
      <w:r>
        <w:rPr>
          <w:spacing w:val="5"/>
          <w:w w:val="105"/>
          <w:sz w:val="13"/>
        </w:rPr>
        <w:t> </w:t>
      </w:r>
      <w:r>
        <w:rPr>
          <w:w w:val="105"/>
          <w:sz w:val="13"/>
        </w:rPr>
        <w:t>the</w:t>
      </w:r>
      <w:r>
        <w:rPr>
          <w:spacing w:val="5"/>
          <w:w w:val="105"/>
          <w:sz w:val="13"/>
        </w:rPr>
        <w:t> </w:t>
      </w:r>
      <w:r>
        <w:rPr>
          <w:w w:val="105"/>
          <w:sz w:val="13"/>
        </w:rPr>
        <w:t>planning</w:t>
      </w:r>
      <w:r>
        <w:rPr>
          <w:spacing w:val="6"/>
          <w:w w:val="105"/>
          <w:sz w:val="13"/>
        </w:rPr>
        <w:t> </w:t>
      </w:r>
      <w:r>
        <w:rPr>
          <w:w w:val="105"/>
          <w:sz w:val="13"/>
        </w:rPr>
        <w:t>scheme:</w:t>
      </w:r>
      <w:r>
        <w:rPr>
          <w:spacing w:val="5"/>
          <w:w w:val="105"/>
          <w:sz w:val="13"/>
        </w:rPr>
        <w:t> </w:t>
      </w:r>
      <w:r>
        <w:rPr>
          <w:i/>
          <w:w w:val="105"/>
          <w:sz w:val="13"/>
        </w:rPr>
        <w:t>Local</w:t>
      </w:r>
      <w:r>
        <w:rPr>
          <w:i/>
          <w:spacing w:val="5"/>
          <w:w w:val="105"/>
          <w:sz w:val="13"/>
        </w:rPr>
        <w:t> </w:t>
      </w:r>
      <w:r>
        <w:rPr>
          <w:i/>
          <w:w w:val="105"/>
          <w:sz w:val="13"/>
        </w:rPr>
        <w:t>Government</w:t>
      </w:r>
      <w:r>
        <w:rPr>
          <w:i/>
          <w:spacing w:val="6"/>
          <w:w w:val="105"/>
          <w:sz w:val="13"/>
        </w:rPr>
        <w:t> </w:t>
      </w:r>
      <w:r>
        <w:rPr>
          <w:i/>
          <w:w w:val="105"/>
          <w:sz w:val="13"/>
        </w:rPr>
        <w:t>Act</w:t>
      </w:r>
      <w:r>
        <w:rPr>
          <w:i/>
          <w:spacing w:val="5"/>
          <w:w w:val="105"/>
          <w:sz w:val="13"/>
        </w:rPr>
        <w:t> </w:t>
      </w:r>
      <w:r>
        <w:rPr>
          <w:i/>
          <w:w w:val="105"/>
          <w:sz w:val="13"/>
        </w:rPr>
        <w:t>1989</w:t>
      </w:r>
      <w:r>
        <w:rPr>
          <w:i/>
          <w:spacing w:val="5"/>
          <w:w w:val="105"/>
          <w:sz w:val="13"/>
        </w:rPr>
        <w:t> </w:t>
      </w:r>
      <w:r>
        <w:rPr>
          <w:spacing w:val="2"/>
          <w:w w:val="105"/>
          <w:sz w:val="13"/>
        </w:rPr>
        <w:t>(Vic)</w:t>
      </w:r>
      <w:r>
        <w:rPr>
          <w:spacing w:val="6"/>
          <w:w w:val="105"/>
          <w:sz w:val="13"/>
        </w:rPr>
        <w:t> </w:t>
      </w:r>
      <w:r>
        <w:rPr>
          <w:w w:val="105"/>
          <w:sz w:val="13"/>
        </w:rPr>
        <w:t>s</w:t>
      </w:r>
      <w:r>
        <w:rPr>
          <w:spacing w:val="5"/>
          <w:w w:val="105"/>
          <w:sz w:val="13"/>
        </w:rPr>
        <w:t> </w:t>
      </w:r>
      <w:r>
        <w:rPr>
          <w:w w:val="105"/>
          <w:sz w:val="13"/>
        </w:rPr>
        <w:t>111(4).</w:t>
      </w:r>
    </w:p>
    <w:p>
      <w:pPr>
        <w:pStyle w:val="ListParagraph"/>
        <w:numPr>
          <w:ilvl w:val="0"/>
          <w:numId w:val="165"/>
        </w:numPr>
        <w:tabs>
          <w:tab w:pos="1220" w:val="left" w:leader="none"/>
          <w:tab w:pos="1221" w:val="left" w:leader="none"/>
        </w:tabs>
        <w:spacing w:line="240" w:lineRule="auto" w:before="2" w:after="0"/>
        <w:ind w:left="1221" w:right="1647" w:hanging="794"/>
        <w:jc w:val="left"/>
        <w:rPr>
          <w:sz w:val="13"/>
        </w:rPr>
      </w:pPr>
      <w:r>
        <w:rPr>
          <w:w w:val="105"/>
          <w:sz w:val="13"/>
        </w:rPr>
        <w:t>‘Canopy Tree’ means any tree: </w:t>
      </w:r>
      <w:r>
        <w:rPr>
          <w:spacing w:val="2"/>
          <w:w w:val="105"/>
          <w:sz w:val="13"/>
        </w:rPr>
        <w:t>(a) </w:t>
      </w:r>
      <w:r>
        <w:rPr>
          <w:w w:val="105"/>
          <w:sz w:val="13"/>
        </w:rPr>
        <w:t>with a total trunk circumference of 110cm or more measured at a point 1.5 metres along the trunk’s   length from the closest point above ground level; or </w:t>
      </w:r>
      <w:r>
        <w:rPr>
          <w:spacing w:val="2"/>
          <w:w w:val="105"/>
          <w:sz w:val="13"/>
        </w:rPr>
        <w:t>(b) </w:t>
      </w:r>
      <w:r>
        <w:rPr>
          <w:w w:val="105"/>
          <w:sz w:val="13"/>
        </w:rPr>
        <w:t>if multi-stemmed, with a total trunk circumference of all its trunks of 110cm or     more measured at a point 1.5 metres along the trunks’ lengths from the closest point above ground level; or (c) with a trunk circumference</w:t>
      </w:r>
      <w:r>
        <w:rPr>
          <w:spacing w:val="30"/>
          <w:w w:val="105"/>
          <w:sz w:val="13"/>
        </w:rPr>
        <w:t> </w:t>
      </w:r>
      <w:r>
        <w:rPr>
          <w:w w:val="105"/>
          <w:sz w:val="13"/>
        </w:rPr>
        <w:t>of 150cm or more measured at ground level. ‘Significant Tree’ means a tree listed in Council’s Significant Tree Study. ‘Significant Tree      Study’</w:t>
      </w:r>
      <w:r>
        <w:rPr>
          <w:spacing w:val="5"/>
          <w:w w:val="105"/>
          <w:sz w:val="13"/>
        </w:rPr>
        <w:t> </w:t>
      </w:r>
      <w:r>
        <w:rPr>
          <w:w w:val="105"/>
          <w:sz w:val="13"/>
        </w:rPr>
        <w:t>means</w:t>
      </w:r>
      <w:r>
        <w:rPr>
          <w:spacing w:val="5"/>
          <w:w w:val="105"/>
          <w:sz w:val="13"/>
        </w:rPr>
        <w:t> </w:t>
      </w:r>
      <w:r>
        <w:rPr>
          <w:w w:val="105"/>
          <w:sz w:val="13"/>
        </w:rPr>
        <w:t>the</w:t>
      </w:r>
      <w:r>
        <w:rPr>
          <w:spacing w:val="6"/>
          <w:w w:val="105"/>
          <w:sz w:val="13"/>
        </w:rPr>
        <w:t> </w:t>
      </w:r>
      <w:r>
        <w:rPr>
          <w:w w:val="105"/>
          <w:sz w:val="13"/>
        </w:rPr>
        <w:t>study</w:t>
      </w:r>
      <w:r>
        <w:rPr>
          <w:spacing w:val="5"/>
          <w:w w:val="105"/>
          <w:sz w:val="13"/>
        </w:rPr>
        <w:t> </w:t>
      </w:r>
      <w:r>
        <w:rPr>
          <w:w w:val="105"/>
          <w:sz w:val="13"/>
        </w:rPr>
        <w:t>prepared</w:t>
      </w:r>
      <w:r>
        <w:rPr>
          <w:spacing w:val="6"/>
          <w:w w:val="105"/>
          <w:sz w:val="13"/>
        </w:rPr>
        <w:t> </w:t>
      </w:r>
      <w:r>
        <w:rPr>
          <w:w w:val="105"/>
          <w:sz w:val="13"/>
        </w:rPr>
        <w:t>by</w:t>
      </w:r>
      <w:r>
        <w:rPr>
          <w:spacing w:val="5"/>
          <w:w w:val="105"/>
          <w:sz w:val="13"/>
        </w:rPr>
        <w:t> </w:t>
      </w:r>
      <w:r>
        <w:rPr>
          <w:w w:val="105"/>
          <w:sz w:val="13"/>
        </w:rPr>
        <w:t>John</w:t>
      </w:r>
      <w:r>
        <w:rPr>
          <w:spacing w:val="5"/>
          <w:w w:val="105"/>
          <w:sz w:val="13"/>
        </w:rPr>
        <w:t> </w:t>
      </w:r>
      <w:r>
        <w:rPr>
          <w:w w:val="105"/>
          <w:sz w:val="13"/>
        </w:rPr>
        <w:t>Patrick</w:t>
      </w:r>
      <w:r>
        <w:rPr>
          <w:spacing w:val="6"/>
          <w:w w:val="105"/>
          <w:sz w:val="13"/>
        </w:rPr>
        <w:t> </w:t>
      </w:r>
      <w:r>
        <w:rPr>
          <w:w w:val="105"/>
          <w:sz w:val="13"/>
        </w:rPr>
        <w:t>and</w:t>
      </w:r>
      <w:r>
        <w:rPr>
          <w:spacing w:val="5"/>
          <w:w w:val="105"/>
          <w:sz w:val="13"/>
        </w:rPr>
        <w:t> </w:t>
      </w:r>
      <w:r>
        <w:rPr>
          <w:w w:val="105"/>
          <w:sz w:val="13"/>
        </w:rPr>
        <w:t>Associates</w:t>
      </w:r>
      <w:r>
        <w:rPr>
          <w:spacing w:val="6"/>
          <w:w w:val="105"/>
          <w:sz w:val="13"/>
        </w:rPr>
        <w:t> </w:t>
      </w:r>
      <w:r>
        <w:rPr>
          <w:w w:val="105"/>
          <w:sz w:val="13"/>
        </w:rPr>
        <w:t>in</w:t>
      </w:r>
      <w:r>
        <w:rPr>
          <w:spacing w:val="5"/>
          <w:w w:val="105"/>
          <w:sz w:val="13"/>
        </w:rPr>
        <w:t> </w:t>
      </w:r>
      <w:r>
        <w:rPr>
          <w:w w:val="105"/>
          <w:sz w:val="13"/>
        </w:rPr>
        <w:t>May</w:t>
      </w:r>
      <w:r>
        <w:rPr>
          <w:spacing w:val="6"/>
          <w:w w:val="105"/>
          <w:sz w:val="13"/>
        </w:rPr>
        <w:t> </w:t>
      </w:r>
      <w:r>
        <w:rPr>
          <w:w w:val="105"/>
          <w:sz w:val="13"/>
        </w:rPr>
        <w:t>2001</w:t>
      </w:r>
      <w:r>
        <w:rPr>
          <w:spacing w:val="5"/>
          <w:w w:val="105"/>
          <w:sz w:val="13"/>
        </w:rPr>
        <w:t> </w:t>
      </w:r>
      <w:r>
        <w:rPr>
          <w:w w:val="105"/>
          <w:sz w:val="13"/>
        </w:rPr>
        <w:t>of</w:t>
      </w:r>
      <w:r>
        <w:rPr>
          <w:spacing w:val="5"/>
          <w:w w:val="105"/>
          <w:sz w:val="13"/>
        </w:rPr>
        <w:t> </w:t>
      </w:r>
      <w:r>
        <w:rPr>
          <w:w w:val="105"/>
          <w:sz w:val="13"/>
        </w:rPr>
        <w:t>trees</w:t>
      </w:r>
      <w:r>
        <w:rPr>
          <w:spacing w:val="6"/>
          <w:w w:val="105"/>
          <w:sz w:val="13"/>
        </w:rPr>
        <w:t> </w:t>
      </w:r>
      <w:r>
        <w:rPr>
          <w:w w:val="105"/>
          <w:sz w:val="13"/>
        </w:rPr>
        <w:t>and</w:t>
      </w:r>
      <w:r>
        <w:rPr>
          <w:spacing w:val="5"/>
          <w:w w:val="105"/>
          <w:sz w:val="13"/>
        </w:rPr>
        <w:t> </w:t>
      </w:r>
      <w:r>
        <w:rPr>
          <w:w w:val="105"/>
          <w:sz w:val="13"/>
        </w:rPr>
        <w:t>vegetation</w:t>
      </w:r>
      <w:r>
        <w:rPr>
          <w:spacing w:val="6"/>
          <w:w w:val="105"/>
          <w:sz w:val="13"/>
        </w:rPr>
        <w:t> </w:t>
      </w:r>
      <w:r>
        <w:rPr>
          <w:w w:val="105"/>
          <w:sz w:val="13"/>
        </w:rPr>
        <w:t>within</w:t>
      </w:r>
      <w:r>
        <w:rPr>
          <w:spacing w:val="5"/>
          <w:w w:val="105"/>
          <w:sz w:val="13"/>
        </w:rPr>
        <w:t> </w:t>
      </w:r>
      <w:r>
        <w:rPr>
          <w:w w:val="105"/>
          <w:sz w:val="13"/>
        </w:rPr>
        <w:t>the</w:t>
      </w:r>
      <w:r>
        <w:rPr>
          <w:spacing w:val="6"/>
          <w:w w:val="105"/>
          <w:sz w:val="13"/>
        </w:rPr>
        <w:t> </w:t>
      </w:r>
      <w:r>
        <w:rPr>
          <w:w w:val="105"/>
          <w:sz w:val="13"/>
        </w:rPr>
        <w:t>Municipal</w:t>
      </w:r>
      <w:r>
        <w:rPr>
          <w:spacing w:val="5"/>
          <w:w w:val="105"/>
          <w:sz w:val="13"/>
        </w:rPr>
        <w:t> </w:t>
      </w:r>
      <w:r>
        <w:rPr>
          <w:w w:val="105"/>
          <w:sz w:val="13"/>
        </w:rPr>
        <w:t>District</w:t>
      </w:r>
      <w:r>
        <w:rPr>
          <w:spacing w:val="5"/>
          <w:w w:val="105"/>
          <w:sz w:val="13"/>
        </w:rPr>
        <w:t> </w:t>
      </w:r>
      <w:r>
        <w:rPr>
          <w:w w:val="105"/>
          <w:sz w:val="13"/>
        </w:rPr>
        <w:t>that</w:t>
      </w:r>
    </w:p>
    <w:p>
      <w:pPr>
        <w:spacing w:before="7"/>
        <w:ind w:left="1220" w:right="1879" w:firstLine="0"/>
        <w:jc w:val="left"/>
        <w:rPr>
          <w:sz w:val="13"/>
        </w:rPr>
      </w:pPr>
      <w:r>
        <w:rPr>
          <w:sz w:val="13"/>
        </w:rPr>
        <w:t>are considered to be of environmental, historic, horticultural, bio-diversity or other value and includes any subsequent trees added to the Significant Tree Study by way of Schedule to the Significant Tree Study: </w:t>
      </w:r>
      <w:r>
        <w:rPr>
          <w:i/>
          <w:sz w:val="13"/>
        </w:rPr>
        <w:t>Tree Protection Local Law 2016 </w:t>
      </w:r>
      <w:r>
        <w:rPr>
          <w:sz w:val="13"/>
        </w:rPr>
        <w:t>(City of Boroondara) ss 2, 8(1).</w:t>
      </w:r>
    </w:p>
    <w:p>
      <w:pPr>
        <w:spacing w:after="0"/>
        <w:jc w:val="left"/>
        <w:rPr>
          <w:sz w:val="13"/>
        </w:rPr>
        <w:sectPr>
          <w:type w:val="continuous"/>
          <w:pgSz w:w="11910" w:h="16840"/>
          <w:pgMar w:top="300" w:bottom="280" w:left="0" w:right="0"/>
          <w:cols w:num="2" w:equalWidth="0">
            <w:col w:w="1121" w:space="40"/>
            <w:col w:w="10749"/>
          </w:cols>
        </w:sectPr>
      </w:pPr>
    </w:p>
    <w:p>
      <w:pPr>
        <w:pStyle w:val="BodyText"/>
        <w:rPr>
          <w:sz w:val="20"/>
        </w:rPr>
      </w:pPr>
    </w:p>
    <w:p>
      <w:pPr>
        <w:pStyle w:val="BodyText"/>
        <w:spacing w:before="9"/>
        <w:rPr>
          <w:sz w:val="18"/>
        </w:rPr>
      </w:pPr>
    </w:p>
    <w:p>
      <w:pPr>
        <w:pStyle w:val="BodyText"/>
        <w:spacing w:line="242" w:lineRule="auto" w:before="91"/>
        <w:ind w:left="2381" w:right="1687"/>
        <w:rPr>
          <w:sz w:val="12"/>
        </w:rPr>
      </w:pPr>
      <w:bookmarkStart w:name="The Heritage Act" w:id="261"/>
      <w:bookmarkEnd w:id="261"/>
      <w:r>
        <w:rPr/>
      </w:r>
      <w:bookmarkStart w:name="_bookmark122" w:id="262"/>
      <w:bookmarkEnd w:id="262"/>
      <w:r>
        <w:rPr/>
      </w:r>
      <w:r>
        <w:rPr>
          <w:w w:val="105"/>
        </w:rPr>
        <w:t>Landowners and contractors need a permit </w:t>
      </w:r>
      <w:r>
        <w:rPr>
          <w:spacing w:val="-3"/>
          <w:w w:val="105"/>
        </w:rPr>
        <w:t>to interfere, </w:t>
      </w:r>
      <w:r>
        <w:rPr>
          <w:w w:val="105"/>
        </w:rPr>
        <w:t>or </w:t>
      </w:r>
      <w:r>
        <w:rPr>
          <w:spacing w:val="-3"/>
          <w:w w:val="105"/>
        </w:rPr>
        <w:t>to </w:t>
      </w:r>
      <w:r>
        <w:rPr>
          <w:w w:val="105"/>
        </w:rPr>
        <w:t>authorise </w:t>
      </w:r>
      <w:r>
        <w:rPr>
          <w:spacing w:val="-3"/>
          <w:w w:val="105"/>
        </w:rPr>
        <w:t>interference, </w:t>
      </w:r>
      <w:r>
        <w:rPr>
          <w:w w:val="105"/>
        </w:rPr>
        <w:t>with the protected </w:t>
      </w:r>
      <w:r>
        <w:rPr>
          <w:spacing w:val="-5"/>
          <w:w w:val="105"/>
        </w:rPr>
        <w:t>tree.</w:t>
      </w:r>
      <w:r>
        <w:rPr>
          <w:spacing w:val="-5"/>
          <w:w w:val="105"/>
          <w:position w:val="7"/>
          <w:sz w:val="12"/>
        </w:rPr>
        <w:t>102 </w:t>
      </w:r>
      <w:r>
        <w:rPr>
          <w:w w:val="105"/>
        </w:rPr>
        <w:t>If a permit is </w:t>
      </w:r>
      <w:r>
        <w:rPr>
          <w:spacing w:val="-2"/>
          <w:w w:val="105"/>
        </w:rPr>
        <w:t>not </w:t>
      </w:r>
      <w:r>
        <w:rPr>
          <w:w w:val="105"/>
        </w:rPr>
        <w:t>issued and a protected tree is </w:t>
      </w:r>
      <w:r>
        <w:rPr>
          <w:spacing w:val="-3"/>
          <w:w w:val="105"/>
        </w:rPr>
        <w:t>interfered with, </w:t>
      </w:r>
      <w:r>
        <w:rPr>
          <w:w w:val="105"/>
        </w:rPr>
        <w:t>the landowner is guilty of an </w:t>
      </w:r>
      <w:r>
        <w:rPr>
          <w:spacing w:val="-5"/>
          <w:w w:val="105"/>
        </w:rPr>
        <w:t>offence,</w:t>
      </w:r>
      <w:r>
        <w:rPr>
          <w:spacing w:val="-5"/>
          <w:w w:val="105"/>
          <w:position w:val="7"/>
          <w:sz w:val="12"/>
        </w:rPr>
        <w:t>103 </w:t>
      </w:r>
      <w:r>
        <w:rPr>
          <w:w w:val="105"/>
        </w:rPr>
        <w:t>whether or </w:t>
      </w:r>
      <w:r>
        <w:rPr>
          <w:spacing w:val="-2"/>
          <w:w w:val="105"/>
        </w:rPr>
        <w:t>not </w:t>
      </w:r>
      <w:r>
        <w:rPr>
          <w:w w:val="105"/>
        </w:rPr>
        <w:t>the person who actually </w:t>
      </w:r>
      <w:r>
        <w:rPr>
          <w:spacing w:val="-3"/>
          <w:w w:val="105"/>
        </w:rPr>
        <w:t>interfered </w:t>
      </w:r>
      <w:r>
        <w:rPr>
          <w:w w:val="105"/>
        </w:rPr>
        <w:t>with the tree is </w:t>
      </w:r>
      <w:r>
        <w:rPr>
          <w:spacing w:val="-3"/>
          <w:w w:val="105"/>
        </w:rPr>
        <w:t>identified.</w:t>
      </w:r>
      <w:r>
        <w:rPr>
          <w:spacing w:val="-3"/>
          <w:w w:val="105"/>
          <w:position w:val="7"/>
          <w:sz w:val="12"/>
        </w:rPr>
        <w:t>104 </w:t>
      </w:r>
      <w:r>
        <w:rPr>
          <w:w w:val="105"/>
        </w:rPr>
        <w:t>The burden is on the landowner </w:t>
      </w:r>
      <w:r>
        <w:rPr>
          <w:spacing w:val="-3"/>
          <w:w w:val="105"/>
        </w:rPr>
        <w:t>to prove that </w:t>
      </w:r>
      <w:r>
        <w:rPr>
          <w:w w:val="105"/>
        </w:rPr>
        <w:t>the </w:t>
      </w:r>
      <w:r>
        <w:rPr>
          <w:spacing w:val="-3"/>
          <w:w w:val="105"/>
        </w:rPr>
        <w:t>interference </w:t>
      </w:r>
      <w:r>
        <w:rPr>
          <w:w w:val="105"/>
        </w:rPr>
        <w:t>was undertaken by </w:t>
      </w:r>
      <w:r>
        <w:rPr>
          <w:spacing w:val="-3"/>
          <w:w w:val="105"/>
        </w:rPr>
        <w:t>another </w:t>
      </w:r>
      <w:r>
        <w:rPr>
          <w:w w:val="105"/>
        </w:rPr>
        <w:t>party without the </w:t>
      </w:r>
      <w:r>
        <w:rPr>
          <w:spacing w:val="-3"/>
          <w:w w:val="105"/>
        </w:rPr>
        <w:t>landowner’s </w:t>
      </w:r>
      <w:r>
        <w:rPr>
          <w:spacing w:val="-4"/>
          <w:w w:val="105"/>
        </w:rPr>
        <w:t>knowledge.</w:t>
      </w:r>
      <w:r>
        <w:rPr>
          <w:spacing w:val="-4"/>
          <w:w w:val="105"/>
          <w:position w:val="7"/>
          <w:sz w:val="12"/>
        </w:rPr>
        <w:t>105</w:t>
      </w:r>
    </w:p>
    <w:p>
      <w:pPr>
        <w:pStyle w:val="ListParagraph"/>
        <w:numPr>
          <w:ilvl w:val="1"/>
          <w:numId w:val="16"/>
        </w:numPr>
        <w:tabs>
          <w:tab w:pos="2380" w:val="left" w:leader="none"/>
          <w:tab w:pos="2381" w:val="left" w:leader="none"/>
        </w:tabs>
        <w:spacing w:line="242" w:lineRule="auto" w:before="126" w:after="0"/>
        <w:ind w:left="2381" w:right="1666" w:hanging="794"/>
        <w:jc w:val="left"/>
        <w:rPr>
          <w:sz w:val="21"/>
        </w:rPr>
      </w:pPr>
      <w:r>
        <w:rPr>
          <w:w w:val="105"/>
          <w:sz w:val="21"/>
        </w:rPr>
        <w:t>As discussed in </w:t>
      </w:r>
      <w:r>
        <w:rPr>
          <w:spacing w:val="-4"/>
          <w:w w:val="105"/>
          <w:sz w:val="21"/>
        </w:rPr>
        <w:t>Chapter </w:t>
      </w:r>
      <w:r>
        <w:rPr>
          <w:w w:val="105"/>
          <w:sz w:val="21"/>
        </w:rPr>
        <w:t>8, the </w:t>
      </w:r>
      <w:r>
        <w:rPr>
          <w:spacing w:val="-3"/>
          <w:w w:val="105"/>
          <w:sz w:val="21"/>
        </w:rPr>
        <w:t>Boroondara </w:t>
      </w:r>
      <w:r>
        <w:rPr>
          <w:w w:val="105"/>
          <w:sz w:val="21"/>
        </w:rPr>
        <w:t>local law sets out detailed decision-making </w:t>
      </w:r>
      <w:r>
        <w:rPr>
          <w:spacing w:val="-3"/>
          <w:w w:val="105"/>
          <w:sz w:val="21"/>
        </w:rPr>
        <w:t>criteria that </w:t>
      </w:r>
      <w:r>
        <w:rPr>
          <w:w w:val="105"/>
          <w:sz w:val="21"/>
        </w:rPr>
        <w:t>must be applied by </w:t>
      </w:r>
      <w:r>
        <w:rPr>
          <w:spacing w:val="-3"/>
          <w:w w:val="105"/>
          <w:sz w:val="21"/>
        </w:rPr>
        <w:t>council </w:t>
      </w:r>
      <w:r>
        <w:rPr>
          <w:w w:val="105"/>
          <w:sz w:val="21"/>
        </w:rPr>
        <w:t>when </w:t>
      </w:r>
      <w:r>
        <w:rPr>
          <w:spacing w:val="-3"/>
          <w:w w:val="105"/>
          <w:sz w:val="21"/>
        </w:rPr>
        <w:t>determining applications </w:t>
      </w:r>
      <w:r>
        <w:rPr>
          <w:w w:val="105"/>
          <w:sz w:val="21"/>
        </w:rPr>
        <w:t>under the local </w:t>
      </w:r>
      <w:r>
        <w:rPr>
          <w:spacing w:val="-4"/>
          <w:w w:val="105"/>
          <w:sz w:val="21"/>
        </w:rPr>
        <w:t>laws.</w:t>
      </w:r>
      <w:r>
        <w:rPr>
          <w:spacing w:val="-4"/>
          <w:w w:val="105"/>
          <w:position w:val="7"/>
          <w:sz w:val="12"/>
        </w:rPr>
        <w:t>106 </w:t>
      </w:r>
      <w:r>
        <w:rPr>
          <w:w w:val="105"/>
          <w:sz w:val="21"/>
        </w:rPr>
        <w:t>A decision must be made </w:t>
      </w:r>
      <w:r>
        <w:rPr>
          <w:spacing w:val="-3"/>
          <w:w w:val="105"/>
          <w:sz w:val="21"/>
        </w:rPr>
        <w:t>within </w:t>
      </w:r>
      <w:r>
        <w:rPr>
          <w:w w:val="105"/>
          <w:sz w:val="21"/>
        </w:rPr>
        <w:t>five </w:t>
      </w:r>
      <w:r>
        <w:rPr>
          <w:spacing w:val="-3"/>
          <w:w w:val="105"/>
          <w:sz w:val="21"/>
        </w:rPr>
        <w:t>to </w:t>
      </w:r>
      <w:r>
        <w:rPr>
          <w:spacing w:val="-6"/>
          <w:w w:val="105"/>
          <w:sz w:val="21"/>
        </w:rPr>
        <w:t>10 </w:t>
      </w:r>
      <w:r>
        <w:rPr>
          <w:spacing w:val="-3"/>
          <w:w w:val="105"/>
          <w:sz w:val="21"/>
        </w:rPr>
        <w:t>working </w:t>
      </w:r>
      <w:r>
        <w:rPr>
          <w:w w:val="105"/>
          <w:sz w:val="21"/>
        </w:rPr>
        <w:t>days and an </w:t>
      </w:r>
      <w:r>
        <w:rPr>
          <w:spacing w:val="-3"/>
          <w:w w:val="105"/>
          <w:sz w:val="21"/>
        </w:rPr>
        <w:t>applicant for </w:t>
      </w:r>
      <w:r>
        <w:rPr>
          <w:w w:val="105"/>
          <w:sz w:val="21"/>
        </w:rPr>
        <w:t>a permit</w:t>
      </w:r>
      <w:r>
        <w:rPr>
          <w:spacing w:val="-6"/>
          <w:w w:val="105"/>
          <w:sz w:val="21"/>
        </w:rPr>
        <w:t> </w:t>
      </w:r>
      <w:r>
        <w:rPr>
          <w:w w:val="105"/>
          <w:sz w:val="21"/>
        </w:rPr>
        <w:t>is</w:t>
      </w:r>
      <w:r>
        <w:rPr>
          <w:spacing w:val="-5"/>
          <w:w w:val="105"/>
          <w:sz w:val="21"/>
        </w:rPr>
        <w:t> </w:t>
      </w:r>
      <w:r>
        <w:rPr>
          <w:w w:val="105"/>
          <w:sz w:val="21"/>
        </w:rPr>
        <w:t>able</w:t>
      </w:r>
      <w:r>
        <w:rPr>
          <w:spacing w:val="-5"/>
          <w:w w:val="105"/>
          <w:sz w:val="21"/>
        </w:rPr>
        <w:t> </w:t>
      </w:r>
      <w:r>
        <w:rPr>
          <w:spacing w:val="-3"/>
          <w:w w:val="105"/>
          <w:sz w:val="21"/>
        </w:rPr>
        <w:t>to</w:t>
      </w:r>
      <w:r>
        <w:rPr>
          <w:spacing w:val="-5"/>
          <w:w w:val="105"/>
          <w:sz w:val="21"/>
        </w:rPr>
        <w:t> </w:t>
      </w:r>
      <w:r>
        <w:rPr>
          <w:w w:val="105"/>
          <w:sz w:val="21"/>
        </w:rPr>
        <w:t>apply</w:t>
      </w:r>
      <w:r>
        <w:rPr>
          <w:spacing w:val="-5"/>
          <w:w w:val="105"/>
          <w:sz w:val="21"/>
        </w:rPr>
        <w:t> </w:t>
      </w:r>
      <w:r>
        <w:rPr>
          <w:spacing w:val="-3"/>
          <w:w w:val="105"/>
          <w:sz w:val="21"/>
        </w:rPr>
        <w:t>for</w:t>
      </w:r>
      <w:r>
        <w:rPr>
          <w:spacing w:val="-5"/>
          <w:w w:val="105"/>
          <w:sz w:val="21"/>
        </w:rPr>
        <w:t> </w:t>
      </w:r>
      <w:r>
        <w:rPr>
          <w:w w:val="105"/>
          <w:sz w:val="21"/>
        </w:rPr>
        <w:t>an</w:t>
      </w:r>
      <w:r>
        <w:rPr>
          <w:spacing w:val="-5"/>
          <w:w w:val="105"/>
          <w:sz w:val="21"/>
        </w:rPr>
        <w:t> </w:t>
      </w:r>
      <w:r>
        <w:rPr>
          <w:spacing w:val="-3"/>
          <w:w w:val="105"/>
          <w:sz w:val="21"/>
        </w:rPr>
        <w:t>internal</w:t>
      </w:r>
      <w:r>
        <w:rPr>
          <w:spacing w:val="-5"/>
          <w:w w:val="105"/>
          <w:sz w:val="21"/>
        </w:rPr>
        <w:t> </w:t>
      </w:r>
      <w:r>
        <w:rPr>
          <w:w w:val="105"/>
          <w:sz w:val="21"/>
        </w:rPr>
        <w:t>review</w:t>
      </w:r>
      <w:r>
        <w:rPr>
          <w:spacing w:val="-6"/>
          <w:w w:val="105"/>
          <w:sz w:val="21"/>
        </w:rPr>
        <w:t> </w:t>
      </w:r>
      <w:r>
        <w:rPr>
          <w:w w:val="105"/>
          <w:sz w:val="21"/>
        </w:rPr>
        <w:t>of</w:t>
      </w:r>
      <w:r>
        <w:rPr>
          <w:spacing w:val="-5"/>
          <w:w w:val="105"/>
          <w:sz w:val="21"/>
        </w:rPr>
        <w:t> </w:t>
      </w:r>
      <w:r>
        <w:rPr>
          <w:w w:val="105"/>
          <w:sz w:val="21"/>
        </w:rPr>
        <w:t>the</w:t>
      </w:r>
      <w:r>
        <w:rPr>
          <w:spacing w:val="-5"/>
          <w:w w:val="105"/>
          <w:sz w:val="21"/>
        </w:rPr>
        <w:t> </w:t>
      </w:r>
      <w:r>
        <w:rPr>
          <w:w w:val="105"/>
          <w:sz w:val="21"/>
        </w:rPr>
        <w:t>decision</w:t>
      </w:r>
      <w:r>
        <w:rPr>
          <w:spacing w:val="-5"/>
          <w:w w:val="105"/>
          <w:sz w:val="21"/>
        </w:rPr>
        <w:t> </w:t>
      </w:r>
      <w:r>
        <w:rPr>
          <w:spacing w:val="-3"/>
          <w:w w:val="105"/>
          <w:sz w:val="21"/>
        </w:rPr>
        <w:t>to</w:t>
      </w:r>
      <w:r>
        <w:rPr>
          <w:spacing w:val="-5"/>
          <w:w w:val="105"/>
          <w:sz w:val="21"/>
        </w:rPr>
        <w:t> </w:t>
      </w:r>
      <w:r>
        <w:rPr>
          <w:spacing w:val="-3"/>
          <w:w w:val="105"/>
          <w:sz w:val="21"/>
        </w:rPr>
        <w:t>refuse</w:t>
      </w:r>
      <w:r>
        <w:rPr>
          <w:spacing w:val="-5"/>
          <w:w w:val="105"/>
          <w:sz w:val="21"/>
        </w:rPr>
        <w:t> </w:t>
      </w:r>
      <w:r>
        <w:rPr>
          <w:spacing w:val="-3"/>
          <w:w w:val="105"/>
          <w:sz w:val="21"/>
        </w:rPr>
        <w:t>to</w:t>
      </w:r>
      <w:r>
        <w:rPr>
          <w:spacing w:val="-5"/>
          <w:w w:val="105"/>
          <w:sz w:val="21"/>
        </w:rPr>
        <w:t> </w:t>
      </w:r>
      <w:r>
        <w:rPr>
          <w:spacing w:val="-3"/>
          <w:w w:val="105"/>
          <w:sz w:val="21"/>
        </w:rPr>
        <w:t>grant</w:t>
      </w:r>
      <w:r>
        <w:rPr>
          <w:spacing w:val="-5"/>
          <w:w w:val="105"/>
          <w:sz w:val="21"/>
        </w:rPr>
        <w:t> </w:t>
      </w:r>
      <w:r>
        <w:rPr>
          <w:w w:val="105"/>
          <w:sz w:val="21"/>
        </w:rPr>
        <w:t>a</w:t>
      </w:r>
      <w:r>
        <w:rPr>
          <w:spacing w:val="-6"/>
          <w:w w:val="105"/>
          <w:sz w:val="21"/>
        </w:rPr>
        <w:t> </w:t>
      </w:r>
      <w:r>
        <w:rPr>
          <w:spacing w:val="-4"/>
          <w:w w:val="105"/>
          <w:sz w:val="21"/>
        </w:rPr>
        <w:t>permit.</w:t>
      </w:r>
      <w:r>
        <w:rPr>
          <w:spacing w:val="-4"/>
          <w:w w:val="105"/>
          <w:position w:val="7"/>
          <w:sz w:val="12"/>
        </w:rPr>
        <w:t>107</w:t>
      </w:r>
    </w:p>
    <w:p>
      <w:pPr>
        <w:pStyle w:val="ListParagraph"/>
        <w:numPr>
          <w:ilvl w:val="1"/>
          <w:numId w:val="16"/>
        </w:numPr>
        <w:tabs>
          <w:tab w:pos="2381" w:val="left" w:leader="none"/>
          <w:tab w:pos="2382" w:val="left" w:leader="none"/>
        </w:tabs>
        <w:spacing w:line="242" w:lineRule="auto" w:before="124" w:after="0"/>
        <w:ind w:left="2381" w:right="1785" w:hanging="794"/>
        <w:jc w:val="left"/>
        <w:rPr>
          <w:sz w:val="21"/>
        </w:rPr>
      </w:pPr>
      <w:r>
        <w:rPr>
          <w:sz w:val="21"/>
        </w:rPr>
        <w:t>The </w:t>
      </w:r>
      <w:r>
        <w:rPr>
          <w:spacing w:val="-3"/>
          <w:sz w:val="21"/>
        </w:rPr>
        <w:t>City </w:t>
      </w:r>
      <w:r>
        <w:rPr>
          <w:sz w:val="21"/>
        </w:rPr>
        <w:t>of </w:t>
      </w:r>
      <w:r>
        <w:rPr>
          <w:spacing w:val="-3"/>
          <w:sz w:val="21"/>
        </w:rPr>
        <w:t>Boroondara noted that approximately </w:t>
      </w:r>
      <w:r>
        <w:rPr>
          <w:spacing w:val="-4"/>
          <w:sz w:val="21"/>
        </w:rPr>
        <w:t>75 </w:t>
      </w:r>
      <w:r>
        <w:rPr>
          <w:sz w:val="21"/>
        </w:rPr>
        <w:t>per </w:t>
      </w:r>
      <w:r>
        <w:rPr>
          <w:spacing w:val="-3"/>
          <w:sz w:val="21"/>
        </w:rPr>
        <w:t>cent </w:t>
      </w:r>
      <w:r>
        <w:rPr>
          <w:sz w:val="21"/>
        </w:rPr>
        <w:t>of </w:t>
      </w:r>
      <w:r>
        <w:rPr>
          <w:spacing w:val="-3"/>
          <w:sz w:val="21"/>
        </w:rPr>
        <w:t>rateable </w:t>
      </w:r>
      <w:r>
        <w:rPr>
          <w:sz w:val="21"/>
        </w:rPr>
        <w:t>properties in </w:t>
      </w:r>
      <w:r>
        <w:rPr>
          <w:spacing w:val="-3"/>
          <w:sz w:val="21"/>
        </w:rPr>
        <w:t>Boroondara contain </w:t>
      </w:r>
      <w:r>
        <w:rPr>
          <w:sz w:val="21"/>
        </w:rPr>
        <w:t>trees protected by the local </w:t>
      </w:r>
      <w:r>
        <w:rPr>
          <w:spacing w:val="-6"/>
          <w:sz w:val="21"/>
        </w:rPr>
        <w:t>law.</w:t>
      </w:r>
      <w:r>
        <w:rPr>
          <w:spacing w:val="-6"/>
          <w:position w:val="7"/>
          <w:sz w:val="12"/>
        </w:rPr>
        <w:t>108 </w:t>
      </w:r>
      <w:r>
        <w:rPr>
          <w:spacing w:val="-3"/>
          <w:sz w:val="21"/>
        </w:rPr>
        <w:t>Boroondara </w:t>
      </w:r>
      <w:r>
        <w:rPr>
          <w:sz w:val="21"/>
        </w:rPr>
        <w:t>stated </w:t>
      </w:r>
      <w:r>
        <w:rPr>
          <w:spacing w:val="-3"/>
          <w:sz w:val="21"/>
        </w:rPr>
        <w:t>that </w:t>
      </w:r>
      <w:r>
        <w:rPr>
          <w:sz w:val="21"/>
        </w:rPr>
        <w:t>‘the local  law </w:t>
      </w:r>
      <w:r>
        <w:rPr>
          <w:spacing w:val="-2"/>
          <w:sz w:val="21"/>
        </w:rPr>
        <w:t>had </w:t>
      </w:r>
      <w:r>
        <w:rPr>
          <w:sz w:val="21"/>
        </w:rPr>
        <w:t>been </w:t>
      </w:r>
      <w:r>
        <w:rPr>
          <w:spacing w:val="-3"/>
          <w:sz w:val="21"/>
        </w:rPr>
        <w:t>recently </w:t>
      </w:r>
      <w:r>
        <w:rPr>
          <w:sz w:val="21"/>
        </w:rPr>
        <w:t>reviewed and was </w:t>
      </w:r>
      <w:r>
        <w:rPr>
          <w:spacing w:val="-3"/>
          <w:sz w:val="21"/>
        </w:rPr>
        <w:t>working well to </w:t>
      </w:r>
      <w:r>
        <w:rPr>
          <w:sz w:val="21"/>
        </w:rPr>
        <w:t>protect tree</w:t>
      </w:r>
      <w:r>
        <w:rPr>
          <w:spacing w:val="-16"/>
          <w:sz w:val="21"/>
        </w:rPr>
        <w:t> </w:t>
      </w:r>
      <w:r>
        <w:rPr>
          <w:spacing w:val="-5"/>
          <w:sz w:val="21"/>
        </w:rPr>
        <w:t>canopy’.</w:t>
      </w:r>
      <w:r>
        <w:rPr>
          <w:spacing w:val="-5"/>
          <w:position w:val="7"/>
          <w:sz w:val="12"/>
        </w:rPr>
        <w:t>109</w:t>
      </w:r>
    </w:p>
    <w:p>
      <w:pPr>
        <w:pStyle w:val="ListParagraph"/>
        <w:numPr>
          <w:ilvl w:val="1"/>
          <w:numId w:val="16"/>
        </w:numPr>
        <w:tabs>
          <w:tab w:pos="2381" w:val="left" w:leader="none"/>
          <w:tab w:pos="2382" w:val="left" w:leader="none"/>
        </w:tabs>
        <w:spacing w:line="242" w:lineRule="auto" w:before="124" w:after="0"/>
        <w:ind w:left="2381" w:right="1668" w:hanging="794"/>
        <w:jc w:val="left"/>
        <w:rPr>
          <w:sz w:val="21"/>
        </w:rPr>
      </w:pPr>
      <w:r>
        <w:rPr>
          <w:sz w:val="21"/>
        </w:rPr>
        <w:t>The </w:t>
      </w:r>
      <w:r>
        <w:rPr>
          <w:spacing w:val="-3"/>
          <w:sz w:val="21"/>
        </w:rPr>
        <w:t>City </w:t>
      </w:r>
      <w:r>
        <w:rPr>
          <w:sz w:val="21"/>
        </w:rPr>
        <w:t>of Port </w:t>
      </w:r>
      <w:r>
        <w:rPr>
          <w:spacing w:val="-3"/>
          <w:sz w:val="21"/>
        </w:rPr>
        <w:t>Phillip </w:t>
      </w:r>
      <w:r>
        <w:rPr>
          <w:sz w:val="21"/>
        </w:rPr>
        <w:t>local law applies </w:t>
      </w:r>
      <w:r>
        <w:rPr>
          <w:spacing w:val="-3"/>
          <w:sz w:val="21"/>
        </w:rPr>
        <w:t>to  </w:t>
      </w:r>
      <w:r>
        <w:rPr>
          <w:sz w:val="21"/>
        </w:rPr>
        <w:t>and  protects  a  large  number  of  </w:t>
      </w:r>
      <w:r>
        <w:rPr>
          <w:spacing w:val="-3"/>
          <w:sz w:val="21"/>
        </w:rPr>
        <w:t>significant </w:t>
      </w:r>
      <w:r>
        <w:rPr>
          <w:sz w:val="21"/>
        </w:rPr>
        <w:t>trees on </w:t>
      </w:r>
      <w:r>
        <w:rPr>
          <w:spacing w:val="-3"/>
          <w:sz w:val="21"/>
        </w:rPr>
        <w:t>private land </w:t>
      </w:r>
      <w:r>
        <w:rPr>
          <w:sz w:val="21"/>
        </w:rPr>
        <w:t>in the </w:t>
      </w:r>
      <w:r>
        <w:rPr>
          <w:spacing w:val="-5"/>
          <w:sz w:val="21"/>
        </w:rPr>
        <w:t>locality.</w:t>
      </w:r>
      <w:r>
        <w:rPr>
          <w:spacing w:val="-5"/>
          <w:position w:val="7"/>
          <w:sz w:val="12"/>
        </w:rPr>
        <w:t>110 </w:t>
      </w:r>
      <w:r>
        <w:rPr>
          <w:sz w:val="21"/>
        </w:rPr>
        <w:t>Port </w:t>
      </w:r>
      <w:r>
        <w:rPr>
          <w:spacing w:val="-3"/>
          <w:sz w:val="21"/>
        </w:rPr>
        <w:t>Phillip informed </w:t>
      </w:r>
      <w:r>
        <w:rPr>
          <w:sz w:val="21"/>
        </w:rPr>
        <w:t>the </w:t>
      </w:r>
      <w:r>
        <w:rPr>
          <w:spacing w:val="-3"/>
          <w:sz w:val="21"/>
        </w:rPr>
        <w:t>Commission that </w:t>
      </w:r>
      <w:r>
        <w:rPr>
          <w:sz w:val="21"/>
        </w:rPr>
        <w:t>‘there </w:t>
      </w:r>
      <w:r>
        <w:rPr>
          <w:spacing w:val="-3"/>
          <w:sz w:val="21"/>
        </w:rPr>
        <w:t>are approximately </w:t>
      </w:r>
      <w:r>
        <w:rPr>
          <w:sz w:val="21"/>
        </w:rPr>
        <w:t>200 </w:t>
      </w:r>
      <w:r>
        <w:rPr>
          <w:spacing w:val="-3"/>
          <w:sz w:val="21"/>
        </w:rPr>
        <w:t>significant </w:t>
      </w:r>
      <w:r>
        <w:rPr>
          <w:sz w:val="21"/>
        </w:rPr>
        <w:t>trees </w:t>
      </w:r>
      <w:r>
        <w:rPr>
          <w:spacing w:val="-3"/>
          <w:sz w:val="21"/>
        </w:rPr>
        <w:t>registered </w:t>
      </w:r>
      <w:r>
        <w:rPr>
          <w:sz w:val="21"/>
        </w:rPr>
        <w:t>in the </w:t>
      </w:r>
      <w:r>
        <w:rPr>
          <w:spacing w:val="-3"/>
          <w:sz w:val="21"/>
        </w:rPr>
        <w:t>council area, </w:t>
      </w:r>
      <w:r>
        <w:rPr>
          <w:sz w:val="21"/>
        </w:rPr>
        <w:t>and the </w:t>
      </w:r>
      <w:r>
        <w:rPr>
          <w:spacing w:val="-3"/>
          <w:sz w:val="21"/>
        </w:rPr>
        <w:t>significant </w:t>
      </w:r>
      <w:r>
        <w:rPr>
          <w:sz w:val="21"/>
        </w:rPr>
        <w:t>tree </w:t>
      </w:r>
      <w:r>
        <w:rPr>
          <w:spacing w:val="-3"/>
          <w:sz w:val="21"/>
        </w:rPr>
        <w:t>register </w:t>
      </w:r>
      <w:r>
        <w:rPr>
          <w:sz w:val="21"/>
        </w:rPr>
        <w:t>is constantly </w:t>
      </w:r>
      <w:r>
        <w:rPr>
          <w:spacing w:val="-7"/>
          <w:sz w:val="21"/>
        </w:rPr>
        <w:t>evolving’.</w:t>
      </w:r>
      <w:r>
        <w:rPr>
          <w:spacing w:val="-7"/>
          <w:position w:val="7"/>
          <w:sz w:val="12"/>
        </w:rPr>
        <w:t>111 </w:t>
      </w:r>
      <w:r>
        <w:rPr>
          <w:sz w:val="21"/>
        </w:rPr>
        <w:t>A permit is needed </w:t>
      </w:r>
      <w:r>
        <w:rPr>
          <w:spacing w:val="-3"/>
          <w:sz w:val="21"/>
        </w:rPr>
        <w:t>from </w:t>
      </w:r>
      <w:r>
        <w:rPr>
          <w:sz w:val="21"/>
        </w:rPr>
        <w:t>the </w:t>
      </w:r>
      <w:r>
        <w:rPr>
          <w:spacing w:val="-3"/>
          <w:sz w:val="21"/>
        </w:rPr>
        <w:t>City </w:t>
      </w:r>
      <w:r>
        <w:rPr>
          <w:sz w:val="21"/>
        </w:rPr>
        <w:t>Permits Unit (CPU) </w:t>
      </w:r>
      <w:r>
        <w:rPr>
          <w:spacing w:val="-3"/>
          <w:sz w:val="21"/>
        </w:rPr>
        <w:t>to remove </w:t>
      </w:r>
      <w:r>
        <w:rPr>
          <w:sz w:val="21"/>
        </w:rPr>
        <w:t>a </w:t>
      </w:r>
      <w:r>
        <w:rPr>
          <w:spacing w:val="-3"/>
          <w:sz w:val="21"/>
        </w:rPr>
        <w:t>significant </w:t>
      </w:r>
      <w:r>
        <w:rPr>
          <w:sz w:val="21"/>
        </w:rPr>
        <w:t>tree or </w:t>
      </w:r>
      <w:r>
        <w:rPr>
          <w:spacing w:val="-7"/>
          <w:sz w:val="21"/>
        </w:rPr>
        <w:t>palm.</w:t>
      </w:r>
      <w:r>
        <w:rPr>
          <w:spacing w:val="-7"/>
          <w:position w:val="7"/>
          <w:sz w:val="12"/>
        </w:rPr>
        <w:t>112 </w:t>
      </w:r>
      <w:r>
        <w:rPr>
          <w:sz w:val="21"/>
        </w:rPr>
        <w:t>The </w:t>
      </w:r>
      <w:r>
        <w:rPr>
          <w:spacing w:val="-3"/>
          <w:sz w:val="21"/>
        </w:rPr>
        <w:t>CPU  </w:t>
      </w:r>
      <w:r>
        <w:rPr>
          <w:sz w:val="21"/>
        </w:rPr>
        <w:t>must decide the application </w:t>
      </w:r>
      <w:r>
        <w:rPr>
          <w:spacing w:val="-3"/>
          <w:sz w:val="21"/>
        </w:rPr>
        <w:t>within</w:t>
      </w:r>
      <w:r>
        <w:rPr>
          <w:spacing w:val="41"/>
          <w:sz w:val="21"/>
        </w:rPr>
        <w:t> </w:t>
      </w:r>
      <w:r>
        <w:rPr>
          <w:spacing w:val="-8"/>
          <w:sz w:val="21"/>
        </w:rPr>
        <w:t>15  </w:t>
      </w:r>
      <w:r>
        <w:rPr>
          <w:sz w:val="21"/>
        </w:rPr>
        <w:t>days  and the </w:t>
      </w:r>
      <w:r>
        <w:rPr>
          <w:spacing w:val="-3"/>
          <w:sz w:val="21"/>
        </w:rPr>
        <w:t>applicant </w:t>
      </w:r>
      <w:r>
        <w:rPr>
          <w:spacing w:val="-2"/>
          <w:sz w:val="21"/>
        </w:rPr>
        <w:t>has </w:t>
      </w:r>
      <w:r>
        <w:rPr>
          <w:sz w:val="21"/>
        </w:rPr>
        <w:t>no </w:t>
      </w:r>
      <w:r>
        <w:rPr>
          <w:spacing w:val="-3"/>
          <w:sz w:val="21"/>
        </w:rPr>
        <w:t>right </w:t>
      </w:r>
      <w:r>
        <w:rPr>
          <w:sz w:val="21"/>
        </w:rPr>
        <w:t>of appeal if a permit is </w:t>
      </w:r>
      <w:r>
        <w:rPr>
          <w:spacing w:val="-3"/>
          <w:sz w:val="21"/>
        </w:rPr>
        <w:t>refused, </w:t>
      </w:r>
      <w:r>
        <w:rPr>
          <w:sz w:val="21"/>
        </w:rPr>
        <w:t>but the </w:t>
      </w:r>
      <w:r>
        <w:rPr>
          <w:spacing w:val="-3"/>
          <w:sz w:val="21"/>
        </w:rPr>
        <w:t>applicant will </w:t>
      </w:r>
      <w:r>
        <w:rPr>
          <w:sz w:val="21"/>
        </w:rPr>
        <w:t>be advised of the </w:t>
      </w:r>
      <w:r>
        <w:rPr>
          <w:spacing w:val="-3"/>
          <w:sz w:val="21"/>
        </w:rPr>
        <w:t>reasons for </w:t>
      </w:r>
      <w:r>
        <w:rPr>
          <w:sz w:val="21"/>
        </w:rPr>
        <w:t>the </w:t>
      </w:r>
      <w:r>
        <w:rPr>
          <w:spacing w:val="-5"/>
          <w:sz w:val="21"/>
        </w:rPr>
        <w:t>decision.</w:t>
      </w:r>
      <w:r>
        <w:rPr>
          <w:spacing w:val="-5"/>
          <w:position w:val="7"/>
          <w:sz w:val="12"/>
        </w:rPr>
        <w:t>113 </w:t>
      </w:r>
      <w:r>
        <w:rPr>
          <w:spacing w:val="-4"/>
          <w:sz w:val="21"/>
        </w:rPr>
        <w:t>Council </w:t>
      </w:r>
      <w:r>
        <w:rPr>
          <w:spacing w:val="-3"/>
          <w:sz w:val="21"/>
        </w:rPr>
        <w:t>investigates  all  </w:t>
      </w:r>
      <w:r>
        <w:rPr>
          <w:sz w:val="21"/>
        </w:rPr>
        <w:t>alleged </w:t>
      </w:r>
      <w:r>
        <w:rPr>
          <w:spacing w:val="-3"/>
          <w:sz w:val="21"/>
        </w:rPr>
        <w:t>breaches</w:t>
      </w:r>
      <w:r>
        <w:rPr>
          <w:spacing w:val="41"/>
          <w:sz w:val="21"/>
        </w:rPr>
        <w:t> </w:t>
      </w:r>
      <w:r>
        <w:rPr>
          <w:sz w:val="21"/>
        </w:rPr>
        <w:t>of the local law and </w:t>
      </w:r>
      <w:r>
        <w:rPr>
          <w:spacing w:val="-2"/>
          <w:sz w:val="21"/>
        </w:rPr>
        <w:t>has </w:t>
      </w:r>
      <w:r>
        <w:rPr>
          <w:sz w:val="21"/>
        </w:rPr>
        <w:t>issued </w:t>
      </w:r>
      <w:r>
        <w:rPr>
          <w:spacing w:val="-3"/>
          <w:sz w:val="21"/>
        </w:rPr>
        <w:t>infringement notices </w:t>
      </w:r>
      <w:r>
        <w:rPr>
          <w:sz w:val="21"/>
        </w:rPr>
        <w:t>on a </w:t>
      </w:r>
      <w:r>
        <w:rPr>
          <w:spacing w:val="-3"/>
          <w:sz w:val="21"/>
        </w:rPr>
        <w:t>few</w:t>
      </w:r>
      <w:r>
        <w:rPr>
          <w:sz w:val="21"/>
        </w:rPr>
        <w:t> </w:t>
      </w:r>
      <w:r>
        <w:rPr>
          <w:spacing w:val="-5"/>
          <w:sz w:val="21"/>
        </w:rPr>
        <w:t>occasions.</w:t>
      </w:r>
      <w:r>
        <w:rPr>
          <w:spacing w:val="-5"/>
          <w:position w:val="7"/>
          <w:sz w:val="12"/>
        </w:rPr>
        <w:t>114</w:t>
      </w:r>
    </w:p>
    <w:p>
      <w:pPr>
        <w:pStyle w:val="BodyText"/>
        <w:spacing w:before="3"/>
        <w:rPr>
          <w:sz w:val="22"/>
        </w:rPr>
      </w:pPr>
    </w:p>
    <w:p>
      <w:pPr>
        <w:pStyle w:val="Heading4"/>
      </w:pPr>
      <w:r>
        <w:rPr>
          <w:color w:val="658464"/>
          <w:w w:val="115"/>
        </w:rPr>
        <w:t>The Heritage</w:t>
      </w:r>
      <w:r>
        <w:rPr>
          <w:color w:val="658464"/>
          <w:spacing w:val="-27"/>
          <w:w w:val="115"/>
        </w:rPr>
        <w:t> </w:t>
      </w:r>
      <w:r>
        <w:rPr>
          <w:color w:val="658464"/>
          <w:w w:val="115"/>
        </w:rPr>
        <w:t>Act</w:t>
      </w:r>
    </w:p>
    <w:p>
      <w:pPr>
        <w:pStyle w:val="ListParagraph"/>
        <w:numPr>
          <w:ilvl w:val="1"/>
          <w:numId w:val="16"/>
        </w:numPr>
        <w:tabs>
          <w:tab w:pos="2381" w:val="left" w:leader="none"/>
          <w:tab w:pos="2382" w:val="left" w:leader="none"/>
        </w:tabs>
        <w:spacing w:line="242" w:lineRule="auto" w:before="155" w:after="0"/>
        <w:ind w:left="2381" w:right="1814" w:hanging="794"/>
        <w:jc w:val="left"/>
        <w:rPr>
          <w:sz w:val="21"/>
        </w:rPr>
      </w:pPr>
      <w:r>
        <w:rPr>
          <w:w w:val="105"/>
          <w:sz w:val="21"/>
        </w:rPr>
        <w:t>The </w:t>
      </w:r>
      <w:r>
        <w:rPr>
          <w:i/>
          <w:w w:val="105"/>
          <w:sz w:val="21"/>
        </w:rPr>
        <w:t>Heritage Act </w:t>
      </w:r>
      <w:r>
        <w:rPr>
          <w:i/>
          <w:spacing w:val="-10"/>
          <w:w w:val="105"/>
          <w:sz w:val="21"/>
        </w:rPr>
        <w:t>2017 </w:t>
      </w:r>
      <w:r>
        <w:rPr>
          <w:w w:val="105"/>
          <w:sz w:val="21"/>
        </w:rPr>
        <w:t>(Vic) establishes the Victorian Heritage </w:t>
      </w:r>
      <w:r>
        <w:rPr>
          <w:spacing w:val="-6"/>
          <w:w w:val="105"/>
          <w:sz w:val="21"/>
        </w:rPr>
        <w:t>Register.</w:t>
      </w:r>
      <w:r>
        <w:rPr>
          <w:spacing w:val="-6"/>
          <w:w w:val="105"/>
          <w:position w:val="7"/>
          <w:sz w:val="12"/>
        </w:rPr>
        <w:t>115 </w:t>
      </w:r>
      <w:r>
        <w:rPr>
          <w:spacing w:val="-2"/>
          <w:w w:val="105"/>
          <w:sz w:val="21"/>
        </w:rPr>
        <w:t>Places </w:t>
      </w:r>
      <w:r>
        <w:rPr>
          <w:w w:val="105"/>
          <w:sz w:val="21"/>
        </w:rPr>
        <w:t>and objects of </w:t>
      </w:r>
      <w:r>
        <w:rPr>
          <w:spacing w:val="-3"/>
          <w:w w:val="105"/>
          <w:sz w:val="21"/>
        </w:rPr>
        <w:t>cultural </w:t>
      </w:r>
      <w:r>
        <w:rPr>
          <w:w w:val="105"/>
          <w:sz w:val="21"/>
        </w:rPr>
        <w:t>heritage </w:t>
      </w:r>
      <w:r>
        <w:rPr>
          <w:spacing w:val="-4"/>
          <w:w w:val="105"/>
          <w:sz w:val="21"/>
        </w:rPr>
        <w:t>significance</w:t>
      </w:r>
      <w:r>
        <w:rPr>
          <w:spacing w:val="-4"/>
          <w:w w:val="105"/>
          <w:position w:val="7"/>
          <w:sz w:val="12"/>
        </w:rPr>
        <w:t>116 </w:t>
      </w:r>
      <w:r>
        <w:rPr>
          <w:spacing w:val="-3"/>
          <w:w w:val="105"/>
          <w:sz w:val="21"/>
        </w:rPr>
        <w:t>to </w:t>
      </w:r>
      <w:r>
        <w:rPr>
          <w:w w:val="105"/>
          <w:sz w:val="21"/>
        </w:rPr>
        <w:t>the state </w:t>
      </w:r>
      <w:r>
        <w:rPr>
          <w:spacing w:val="-3"/>
          <w:w w:val="105"/>
          <w:sz w:val="21"/>
        </w:rPr>
        <w:t>are </w:t>
      </w:r>
      <w:r>
        <w:rPr>
          <w:w w:val="105"/>
          <w:sz w:val="21"/>
        </w:rPr>
        <w:t>protected by the </w:t>
      </w:r>
      <w:r>
        <w:rPr>
          <w:spacing w:val="-6"/>
          <w:w w:val="105"/>
          <w:sz w:val="21"/>
        </w:rPr>
        <w:t>Register.</w:t>
      </w:r>
      <w:r>
        <w:rPr>
          <w:spacing w:val="-6"/>
          <w:w w:val="105"/>
          <w:position w:val="7"/>
          <w:sz w:val="12"/>
        </w:rPr>
        <w:t>117 </w:t>
      </w:r>
      <w:r>
        <w:rPr>
          <w:w w:val="105"/>
          <w:sz w:val="21"/>
        </w:rPr>
        <w:t>A permit</w:t>
      </w:r>
      <w:r>
        <w:rPr>
          <w:spacing w:val="-7"/>
          <w:w w:val="105"/>
          <w:sz w:val="21"/>
        </w:rPr>
        <w:t> </w:t>
      </w:r>
      <w:r>
        <w:rPr>
          <w:w w:val="105"/>
          <w:sz w:val="21"/>
        </w:rPr>
        <w:t>is</w:t>
      </w:r>
      <w:r>
        <w:rPr>
          <w:spacing w:val="-6"/>
          <w:w w:val="105"/>
          <w:sz w:val="21"/>
        </w:rPr>
        <w:t> </w:t>
      </w:r>
      <w:r>
        <w:rPr>
          <w:spacing w:val="-3"/>
          <w:w w:val="105"/>
          <w:sz w:val="21"/>
        </w:rPr>
        <w:t>required</w:t>
      </w:r>
      <w:r>
        <w:rPr>
          <w:spacing w:val="-7"/>
          <w:w w:val="105"/>
          <w:sz w:val="21"/>
        </w:rPr>
        <w:t> </w:t>
      </w:r>
      <w:r>
        <w:rPr>
          <w:spacing w:val="-3"/>
          <w:w w:val="105"/>
          <w:sz w:val="21"/>
        </w:rPr>
        <w:t>to</w:t>
      </w:r>
      <w:r>
        <w:rPr>
          <w:spacing w:val="-6"/>
          <w:w w:val="105"/>
          <w:sz w:val="21"/>
        </w:rPr>
        <w:t> </w:t>
      </w:r>
      <w:r>
        <w:rPr>
          <w:w w:val="105"/>
          <w:sz w:val="21"/>
        </w:rPr>
        <w:t>carry</w:t>
      </w:r>
      <w:r>
        <w:rPr>
          <w:spacing w:val="-7"/>
          <w:w w:val="105"/>
          <w:sz w:val="21"/>
        </w:rPr>
        <w:t> </w:t>
      </w:r>
      <w:r>
        <w:rPr>
          <w:w w:val="105"/>
          <w:sz w:val="21"/>
        </w:rPr>
        <w:t>out</w:t>
      </w:r>
      <w:r>
        <w:rPr>
          <w:spacing w:val="-6"/>
          <w:w w:val="105"/>
          <w:sz w:val="21"/>
        </w:rPr>
        <w:t> </w:t>
      </w:r>
      <w:r>
        <w:rPr>
          <w:spacing w:val="-3"/>
          <w:w w:val="105"/>
          <w:sz w:val="21"/>
        </w:rPr>
        <w:t>any</w:t>
      </w:r>
      <w:r>
        <w:rPr>
          <w:spacing w:val="-7"/>
          <w:w w:val="105"/>
          <w:sz w:val="21"/>
        </w:rPr>
        <w:t> </w:t>
      </w:r>
      <w:r>
        <w:rPr>
          <w:w w:val="105"/>
          <w:sz w:val="21"/>
        </w:rPr>
        <w:t>works</w:t>
      </w:r>
      <w:r>
        <w:rPr>
          <w:spacing w:val="-6"/>
          <w:w w:val="105"/>
          <w:sz w:val="21"/>
        </w:rPr>
        <w:t> </w:t>
      </w:r>
      <w:r>
        <w:rPr>
          <w:w w:val="105"/>
          <w:sz w:val="21"/>
        </w:rPr>
        <w:t>on</w:t>
      </w:r>
      <w:r>
        <w:rPr>
          <w:spacing w:val="-6"/>
          <w:w w:val="105"/>
          <w:sz w:val="21"/>
        </w:rPr>
        <w:t> </w:t>
      </w:r>
      <w:r>
        <w:rPr>
          <w:w w:val="105"/>
          <w:sz w:val="21"/>
        </w:rPr>
        <w:t>a</w:t>
      </w:r>
      <w:r>
        <w:rPr>
          <w:spacing w:val="-7"/>
          <w:w w:val="105"/>
          <w:sz w:val="21"/>
        </w:rPr>
        <w:t> </w:t>
      </w:r>
      <w:r>
        <w:rPr>
          <w:spacing w:val="-3"/>
          <w:w w:val="105"/>
          <w:sz w:val="21"/>
        </w:rPr>
        <w:t>place</w:t>
      </w:r>
      <w:r>
        <w:rPr>
          <w:spacing w:val="-6"/>
          <w:w w:val="105"/>
          <w:sz w:val="21"/>
        </w:rPr>
        <w:t> </w:t>
      </w:r>
      <w:r>
        <w:rPr>
          <w:w w:val="105"/>
          <w:sz w:val="21"/>
        </w:rPr>
        <w:t>or</w:t>
      </w:r>
      <w:r>
        <w:rPr>
          <w:spacing w:val="-7"/>
          <w:w w:val="105"/>
          <w:sz w:val="21"/>
        </w:rPr>
        <w:t> </w:t>
      </w:r>
      <w:r>
        <w:rPr>
          <w:w w:val="105"/>
          <w:sz w:val="21"/>
        </w:rPr>
        <w:t>object</w:t>
      </w:r>
      <w:r>
        <w:rPr>
          <w:spacing w:val="-6"/>
          <w:w w:val="105"/>
          <w:sz w:val="21"/>
        </w:rPr>
        <w:t> </w:t>
      </w:r>
      <w:r>
        <w:rPr>
          <w:w w:val="105"/>
          <w:sz w:val="21"/>
        </w:rPr>
        <w:t>protected</w:t>
      </w:r>
      <w:r>
        <w:rPr>
          <w:spacing w:val="-7"/>
          <w:w w:val="105"/>
          <w:sz w:val="21"/>
        </w:rPr>
        <w:t> </w:t>
      </w:r>
      <w:r>
        <w:rPr>
          <w:w w:val="105"/>
          <w:sz w:val="21"/>
        </w:rPr>
        <w:t>by</w:t>
      </w:r>
      <w:r>
        <w:rPr>
          <w:spacing w:val="-6"/>
          <w:w w:val="105"/>
          <w:sz w:val="21"/>
        </w:rPr>
        <w:t> </w:t>
      </w:r>
      <w:r>
        <w:rPr>
          <w:w w:val="105"/>
          <w:sz w:val="21"/>
        </w:rPr>
        <w:t>the</w:t>
      </w:r>
      <w:r>
        <w:rPr>
          <w:spacing w:val="-7"/>
          <w:w w:val="105"/>
          <w:sz w:val="21"/>
        </w:rPr>
        <w:t> </w:t>
      </w:r>
      <w:r>
        <w:rPr>
          <w:spacing w:val="-4"/>
          <w:w w:val="105"/>
          <w:sz w:val="21"/>
        </w:rPr>
        <w:t>Register.</w:t>
      </w:r>
    </w:p>
    <w:p>
      <w:pPr>
        <w:pStyle w:val="ListParagraph"/>
        <w:numPr>
          <w:ilvl w:val="1"/>
          <w:numId w:val="16"/>
        </w:numPr>
        <w:tabs>
          <w:tab w:pos="2380" w:val="left" w:leader="none"/>
          <w:tab w:pos="2381" w:val="left" w:leader="none"/>
        </w:tabs>
        <w:spacing w:line="242" w:lineRule="auto" w:before="123" w:after="0"/>
        <w:ind w:left="2380" w:right="1722" w:hanging="793"/>
        <w:jc w:val="left"/>
        <w:rPr>
          <w:sz w:val="21"/>
        </w:rPr>
      </w:pPr>
      <w:r>
        <w:rPr>
          <w:spacing w:val="-4"/>
          <w:w w:val="105"/>
          <w:sz w:val="21"/>
        </w:rPr>
        <w:t>Trees, </w:t>
      </w:r>
      <w:r>
        <w:rPr>
          <w:spacing w:val="-3"/>
          <w:w w:val="105"/>
          <w:sz w:val="21"/>
        </w:rPr>
        <w:t>gardens </w:t>
      </w:r>
      <w:r>
        <w:rPr>
          <w:w w:val="105"/>
          <w:sz w:val="21"/>
        </w:rPr>
        <w:t>or other </w:t>
      </w:r>
      <w:r>
        <w:rPr>
          <w:spacing w:val="-2"/>
          <w:w w:val="105"/>
          <w:sz w:val="21"/>
        </w:rPr>
        <w:t>places </w:t>
      </w:r>
      <w:r>
        <w:rPr>
          <w:w w:val="105"/>
          <w:sz w:val="21"/>
        </w:rPr>
        <w:t>of </w:t>
      </w:r>
      <w:r>
        <w:rPr>
          <w:spacing w:val="-3"/>
          <w:w w:val="105"/>
          <w:sz w:val="21"/>
        </w:rPr>
        <w:t>natural </w:t>
      </w:r>
      <w:r>
        <w:rPr>
          <w:w w:val="105"/>
          <w:sz w:val="21"/>
        </w:rPr>
        <w:t>or </w:t>
      </w:r>
      <w:r>
        <w:rPr>
          <w:spacing w:val="-3"/>
          <w:w w:val="105"/>
          <w:sz w:val="21"/>
        </w:rPr>
        <w:t>cultural significance </w:t>
      </w:r>
      <w:r>
        <w:rPr>
          <w:w w:val="105"/>
          <w:sz w:val="21"/>
        </w:rPr>
        <w:t>and associated </w:t>
      </w:r>
      <w:r>
        <w:rPr>
          <w:spacing w:val="-3"/>
          <w:w w:val="105"/>
          <w:sz w:val="21"/>
        </w:rPr>
        <w:t>land </w:t>
      </w:r>
      <w:r>
        <w:rPr>
          <w:w w:val="105"/>
          <w:sz w:val="21"/>
        </w:rPr>
        <w:t>can be </w:t>
      </w:r>
      <w:r>
        <w:rPr>
          <w:spacing w:val="-2"/>
          <w:w w:val="105"/>
          <w:sz w:val="21"/>
        </w:rPr>
        <w:t>listed </w:t>
      </w:r>
      <w:r>
        <w:rPr>
          <w:w w:val="105"/>
          <w:sz w:val="21"/>
        </w:rPr>
        <w:t>on the </w:t>
      </w:r>
      <w:r>
        <w:rPr>
          <w:spacing w:val="-6"/>
          <w:w w:val="105"/>
          <w:sz w:val="21"/>
        </w:rPr>
        <w:t>Register.</w:t>
      </w:r>
      <w:r>
        <w:rPr>
          <w:spacing w:val="-6"/>
          <w:w w:val="105"/>
          <w:position w:val="7"/>
          <w:sz w:val="12"/>
        </w:rPr>
        <w:t>118 </w:t>
      </w:r>
      <w:r>
        <w:rPr>
          <w:spacing w:val="-3"/>
          <w:w w:val="105"/>
          <w:sz w:val="21"/>
        </w:rPr>
        <w:t>Therefore, </w:t>
      </w:r>
      <w:r>
        <w:rPr>
          <w:w w:val="105"/>
          <w:sz w:val="21"/>
        </w:rPr>
        <w:t>a permit </w:t>
      </w:r>
      <w:r>
        <w:rPr>
          <w:spacing w:val="-3"/>
          <w:w w:val="105"/>
          <w:sz w:val="21"/>
        </w:rPr>
        <w:t>may </w:t>
      </w:r>
      <w:r>
        <w:rPr>
          <w:w w:val="105"/>
          <w:sz w:val="21"/>
        </w:rPr>
        <w:t>be </w:t>
      </w:r>
      <w:r>
        <w:rPr>
          <w:spacing w:val="-3"/>
          <w:w w:val="105"/>
          <w:sz w:val="21"/>
        </w:rPr>
        <w:t>required for </w:t>
      </w:r>
      <w:r>
        <w:rPr>
          <w:w w:val="105"/>
          <w:sz w:val="21"/>
        </w:rPr>
        <w:t>works </w:t>
      </w:r>
      <w:r>
        <w:rPr>
          <w:spacing w:val="-3"/>
          <w:w w:val="105"/>
          <w:sz w:val="21"/>
        </w:rPr>
        <w:t>to </w:t>
      </w:r>
      <w:r>
        <w:rPr>
          <w:w w:val="105"/>
          <w:sz w:val="21"/>
        </w:rPr>
        <w:t>a </w:t>
      </w:r>
      <w:r>
        <w:rPr>
          <w:spacing w:val="-3"/>
          <w:w w:val="105"/>
          <w:sz w:val="21"/>
        </w:rPr>
        <w:t>registered </w:t>
      </w:r>
      <w:r>
        <w:rPr>
          <w:w w:val="105"/>
          <w:sz w:val="21"/>
        </w:rPr>
        <w:t>heritage </w:t>
      </w:r>
      <w:r>
        <w:rPr>
          <w:spacing w:val="-3"/>
          <w:w w:val="105"/>
          <w:sz w:val="21"/>
        </w:rPr>
        <w:t>place, such </w:t>
      </w:r>
      <w:r>
        <w:rPr>
          <w:w w:val="105"/>
          <w:sz w:val="21"/>
        </w:rPr>
        <w:t>as a tree or </w:t>
      </w:r>
      <w:r>
        <w:rPr>
          <w:spacing w:val="-6"/>
          <w:w w:val="105"/>
          <w:sz w:val="21"/>
        </w:rPr>
        <w:t>garden.</w:t>
      </w:r>
      <w:r>
        <w:rPr>
          <w:spacing w:val="-6"/>
          <w:w w:val="105"/>
          <w:position w:val="7"/>
          <w:sz w:val="12"/>
        </w:rPr>
        <w:t>119 </w:t>
      </w:r>
      <w:r>
        <w:rPr>
          <w:w w:val="105"/>
          <w:sz w:val="21"/>
        </w:rPr>
        <w:t>The </w:t>
      </w:r>
      <w:r>
        <w:rPr>
          <w:spacing w:val="-3"/>
          <w:w w:val="105"/>
          <w:sz w:val="21"/>
        </w:rPr>
        <w:t>Commission </w:t>
      </w:r>
      <w:r>
        <w:rPr>
          <w:w w:val="105"/>
          <w:sz w:val="21"/>
        </w:rPr>
        <w:t>was </w:t>
      </w:r>
      <w:r>
        <w:rPr>
          <w:spacing w:val="-3"/>
          <w:w w:val="105"/>
          <w:sz w:val="21"/>
        </w:rPr>
        <w:t>informed that </w:t>
      </w:r>
      <w:r>
        <w:rPr>
          <w:w w:val="105"/>
          <w:sz w:val="21"/>
        </w:rPr>
        <w:t>it very </w:t>
      </w:r>
      <w:r>
        <w:rPr>
          <w:spacing w:val="-3"/>
          <w:w w:val="105"/>
          <w:sz w:val="21"/>
        </w:rPr>
        <w:t>unusual for single </w:t>
      </w:r>
      <w:r>
        <w:rPr>
          <w:w w:val="105"/>
          <w:sz w:val="21"/>
        </w:rPr>
        <w:t>trees </w:t>
      </w:r>
      <w:r>
        <w:rPr>
          <w:spacing w:val="-3"/>
          <w:w w:val="105"/>
          <w:sz w:val="21"/>
        </w:rPr>
        <w:t>to </w:t>
      </w:r>
      <w:r>
        <w:rPr>
          <w:w w:val="105"/>
          <w:sz w:val="21"/>
        </w:rPr>
        <w:t>be </w:t>
      </w:r>
      <w:r>
        <w:rPr>
          <w:spacing w:val="-2"/>
          <w:w w:val="105"/>
          <w:sz w:val="21"/>
        </w:rPr>
        <w:t>listed </w:t>
      </w:r>
      <w:r>
        <w:rPr>
          <w:w w:val="105"/>
          <w:sz w:val="21"/>
        </w:rPr>
        <w:t>on the</w:t>
      </w:r>
      <w:r>
        <w:rPr>
          <w:spacing w:val="4"/>
          <w:w w:val="105"/>
          <w:sz w:val="21"/>
        </w:rPr>
        <w:t> </w:t>
      </w:r>
      <w:r>
        <w:rPr>
          <w:spacing w:val="-5"/>
          <w:w w:val="105"/>
          <w:sz w:val="21"/>
        </w:rPr>
        <w:t>Register.</w:t>
      </w:r>
      <w:r>
        <w:rPr>
          <w:spacing w:val="-5"/>
          <w:w w:val="105"/>
          <w:position w:val="7"/>
          <w:sz w:val="12"/>
        </w:rPr>
        <w:t>120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0"/>
        </w:rPr>
      </w:pPr>
      <w:r>
        <w:rPr/>
        <w:pict>
          <v:line style="position:absolute;mso-position-horizontal-relative:page;mso-position-vertical-relative:paragraph;z-index:9656;mso-wrap-distance-left:0;mso-wrap-distance-right:0" from="79.370003pt,8.863208pt" to="515.905003pt,8.86320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65"/>
        </w:numPr>
        <w:tabs>
          <w:tab w:pos="2380" w:val="left" w:leader="none"/>
          <w:tab w:pos="2382" w:val="left" w:leader="none"/>
        </w:tabs>
        <w:spacing w:line="240" w:lineRule="auto" w:before="48" w:after="0"/>
        <w:ind w:left="2381" w:right="0" w:hanging="794"/>
        <w:jc w:val="left"/>
        <w:rPr>
          <w:sz w:val="13"/>
        </w:rPr>
      </w:pPr>
      <w:r>
        <w:rPr>
          <w:w w:val="105"/>
          <w:sz w:val="13"/>
        </w:rPr>
        <w:t>For,</w:t>
      </w:r>
      <w:r>
        <w:rPr>
          <w:spacing w:val="3"/>
          <w:w w:val="105"/>
          <w:sz w:val="13"/>
        </w:rPr>
        <w:t> </w:t>
      </w:r>
      <w:r>
        <w:rPr>
          <w:w w:val="105"/>
          <w:sz w:val="13"/>
        </w:rPr>
        <w:t>eg,</w:t>
      </w:r>
      <w:r>
        <w:rPr>
          <w:spacing w:val="3"/>
          <w:w w:val="105"/>
          <w:sz w:val="13"/>
        </w:rPr>
        <w:t> </w:t>
      </w:r>
      <w:r>
        <w:rPr>
          <w:w w:val="105"/>
          <w:sz w:val="13"/>
        </w:rPr>
        <w:t>a</w:t>
      </w:r>
      <w:r>
        <w:rPr>
          <w:spacing w:val="3"/>
          <w:w w:val="105"/>
          <w:sz w:val="13"/>
        </w:rPr>
        <w:t> </w:t>
      </w:r>
      <w:r>
        <w:rPr>
          <w:w w:val="105"/>
          <w:sz w:val="13"/>
        </w:rPr>
        <w:t>permit</w:t>
      </w:r>
      <w:r>
        <w:rPr>
          <w:spacing w:val="4"/>
          <w:w w:val="105"/>
          <w:sz w:val="13"/>
        </w:rPr>
        <w:t> </w:t>
      </w:r>
      <w:r>
        <w:rPr>
          <w:w w:val="105"/>
          <w:sz w:val="13"/>
        </w:rPr>
        <w:t>is</w:t>
      </w:r>
      <w:r>
        <w:rPr>
          <w:spacing w:val="3"/>
          <w:w w:val="105"/>
          <w:sz w:val="13"/>
        </w:rPr>
        <w:t> </w:t>
      </w:r>
      <w:r>
        <w:rPr>
          <w:w w:val="105"/>
          <w:sz w:val="13"/>
        </w:rPr>
        <w:t>needed</w:t>
      </w:r>
      <w:r>
        <w:rPr>
          <w:spacing w:val="3"/>
          <w:w w:val="105"/>
          <w:sz w:val="13"/>
        </w:rPr>
        <w:t> </w:t>
      </w:r>
      <w:r>
        <w:rPr>
          <w:w w:val="105"/>
          <w:sz w:val="13"/>
        </w:rPr>
        <w:t>to</w:t>
      </w:r>
      <w:r>
        <w:rPr>
          <w:spacing w:val="4"/>
          <w:w w:val="105"/>
          <w:sz w:val="13"/>
        </w:rPr>
        <w:t> </w:t>
      </w:r>
      <w:r>
        <w:rPr>
          <w:w w:val="105"/>
          <w:sz w:val="13"/>
        </w:rPr>
        <w:t>prune</w:t>
      </w:r>
      <w:r>
        <w:rPr>
          <w:spacing w:val="3"/>
          <w:w w:val="105"/>
          <w:sz w:val="13"/>
        </w:rPr>
        <w:t> </w:t>
      </w:r>
      <w:r>
        <w:rPr>
          <w:w w:val="105"/>
          <w:sz w:val="13"/>
        </w:rPr>
        <w:t>or</w:t>
      </w:r>
      <w:r>
        <w:rPr>
          <w:spacing w:val="3"/>
          <w:w w:val="105"/>
          <w:sz w:val="13"/>
        </w:rPr>
        <w:t> </w:t>
      </w:r>
      <w:r>
        <w:rPr>
          <w:w w:val="105"/>
          <w:sz w:val="13"/>
        </w:rPr>
        <w:t>remove</w:t>
      </w:r>
      <w:r>
        <w:rPr>
          <w:spacing w:val="4"/>
          <w:w w:val="105"/>
          <w:sz w:val="13"/>
        </w:rPr>
        <w:t> </w:t>
      </w:r>
      <w:r>
        <w:rPr>
          <w:w w:val="105"/>
          <w:sz w:val="13"/>
        </w:rPr>
        <w:t>a</w:t>
      </w:r>
      <w:r>
        <w:rPr>
          <w:spacing w:val="3"/>
          <w:w w:val="105"/>
          <w:sz w:val="13"/>
        </w:rPr>
        <w:t> </w:t>
      </w:r>
      <w:r>
        <w:rPr>
          <w:w w:val="105"/>
          <w:sz w:val="13"/>
        </w:rPr>
        <w:t>protected</w:t>
      </w:r>
      <w:r>
        <w:rPr>
          <w:spacing w:val="3"/>
          <w:w w:val="105"/>
          <w:sz w:val="13"/>
        </w:rPr>
        <w:t> </w:t>
      </w:r>
      <w:r>
        <w:rPr>
          <w:w w:val="105"/>
          <w:sz w:val="13"/>
        </w:rPr>
        <w:t>tree,</w:t>
      </w:r>
      <w:r>
        <w:rPr>
          <w:spacing w:val="3"/>
          <w:w w:val="105"/>
          <w:sz w:val="13"/>
        </w:rPr>
        <w:t> </w:t>
      </w:r>
      <w:r>
        <w:rPr>
          <w:w w:val="105"/>
          <w:sz w:val="13"/>
        </w:rPr>
        <w:t>or</w:t>
      </w:r>
      <w:r>
        <w:rPr>
          <w:spacing w:val="4"/>
          <w:w w:val="105"/>
          <w:sz w:val="13"/>
        </w:rPr>
        <w:t> </w:t>
      </w:r>
      <w:r>
        <w:rPr>
          <w:w w:val="105"/>
          <w:sz w:val="13"/>
        </w:rPr>
        <w:t>to</w:t>
      </w:r>
      <w:r>
        <w:rPr>
          <w:spacing w:val="3"/>
          <w:w w:val="105"/>
          <w:sz w:val="13"/>
        </w:rPr>
        <w:t> </w:t>
      </w:r>
      <w:r>
        <w:rPr>
          <w:spacing w:val="2"/>
          <w:w w:val="105"/>
          <w:sz w:val="13"/>
        </w:rPr>
        <w:t>carry</w:t>
      </w:r>
      <w:r>
        <w:rPr>
          <w:spacing w:val="3"/>
          <w:w w:val="105"/>
          <w:sz w:val="13"/>
        </w:rPr>
        <w:t> </w:t>
      </w:r>
      <w:r>
        <w:rPr>
          <w:w w:val="105"/>
          <w:sz w:val="13"/>
        </w:rPr>
        <w:t>out</w:t>
      </w:r>
      <w:r>
        <w:rPr>
          <w:spacing w:val="4"/>
          <w:w w:val="105"/>
          <w:sz w:val="13"/>
        </w:rPr>
        <w:t> </w:t>
      </w:r>
      <w:r>
        <w:rPr>
          <w:w w:val="105"/>
          <w:sz w:val="13"/>
        </w:rPr>
        <w:t>works</w:t>
      </w:r>
      <w:r>
        <w:rPr>
          <w:spacing w:val="3"/>
          <w:w w:val="105"/>
          <w:sz w:val="13"/>
        </w:rPr>
        <w:t> </w:t>
      </w:r>
      <w:r>
        <w:rPr>
          <w:w w:val="105"/>
          <w:sz w:val="13"/>
        </w:rPr>
        <w:t>within</w:t>
      </w:r>
      <w:r>
        <w:rPr>
          <w:spacing w:val="3"/>
          <w:w w:val="105"/>
          <w:sz w:val="13"/>
        </w:rPr>
        <w:t> </w:t>
      </w:r>
      <w:r>
        <w:rPr>
          <w:w w:val="105"/>
          <w:sz w:val="13"/>
        </w:rPr>
        <w:t>a</w:t>
      </w:r>
      <w:r>
        <w:rPr>
          <w:spacing w:val="4"/>
          <w:w w:val="105"/>
          <w:sz w:val="13"/>
        </w:rPr>
        <w:t> </w:t>
      </w:r>
      <w:r>
        <w:rPr>
          <w:w w:val="105"/>
          <w:sz w:val="13"/>
        </w:rPr>
        <w:t>specific</w:t>
      </w:r>
      <w:r>
        <w:rPr>
          <w:spacing w:val="3"/>
          <w:w w:val="105"/>
          <w:sz w:val="13"/>
        </w:rPr>
        <w:t> </w:t>
      </w:r>
      <w:r>
        <w:rPr>
          <w:w w:val="105"/>
          <w:sz w:val="13"/>
        </w:rPr>
        <w:t>area</w:t>
      </w:r>
      <w:r>
        <w:rPr>
          <w:spacing w:val="3"/>
          <w:w w:val="105"/>
          <w:sz w:val="13"/>
        </w:rPr>
        <w:t> </w:t>
      </w:r>
      <w:r>
        <w:rPr>
          <w:w w:val="105"/>
          <w:sz w:val="13"/>
        </w:rPr>
        <w:t>surrounding</w:t>
      </w:r>
      <w:r>
        <w:rPr>
          <w:spacing w:val="4"/>
          <w:w w:val="105"/>
          <w:sz w:val="13"/>
        </w:rPr>
        <w:t> </w:t>
      </w:r>
      <w:r>
        <w:rPr>
          <w:w w:val="105"/>
          <w:sz w:val="13"/>
        </w:rPr>
        <w:t>the</w:t>
      </w:r>
      <w:r>
        <w:rPr>
          <w:spacing w:val="3"/>
          <w:w w:val="105"/>
          <w:sz w:val="13"/>
        </w:rPr>
        <w:t> </w:t>
      </w:r>
      <w:r>
        <w:rPr>
          <w:w w:val="105"/>
          <w:sz w:val="13"/>
        </w:rPr>
        <w:t>protected</w:t>
      </w:r>
      <w:r>
        <w:rPr>
          <w:spacing w:val="3"/>
          <w:w w:val="105"/>
          <w:sz w:val="13"/>
        </w:rPr>
        <w:t> </w:t>
      </w:r>
      <w:r>
        <w:rPr>
          <w:w w:val="105"/>
          <w:sz w:val="13"/>
        </w:rPr>
        <w:t>tree:</w:t>
      </w:r>
    </w:p>
    <w:p>
      <w:pPr>
        <w:spacing w:before="1"/>
        <w:ind w:left="2381" w:right="0" w:firstLine="0"/>
        <w:jc w:val="left"/>
        <w:rPr>
          <w:sz w:val="13"/>
        </w:rPr>
      </w:pPr>
      <w:r>
        <w:rPr>
          <w:i/>
          <w:w w:val="105"/>
          <w:sz w:val="13"/>
        </w:rPr>
        <w:t>Tree Protection Local Law 2016 </w:t>
      </w:r>
      <w:r>
        <w:rPr>
          <w:w w:val="105"/>
          <w:sz w:val="13"/>
        </w:rPr>
        <w:t>(City of Boroondara) s 8(3).</w:t>
      </w:r>
    </w:p>
    <w:p>
      <w:pPr>
        <w:pStyle w:val="ListParagraph"/>
        <w:numPr>
          <w:ilvl w:val="0"/>
          <w:numId w:val="165"/>
        </w:numPr>
        <w:tabs>
          <w:tab w:pos="2380" w:val="left" w:leader="none"/>
          <w:tab w:pos="2382" w:val="left" w:leader="none"/>
        </w:tabs>
        <w:spacing w:line="240" w:lineRule="auto" w:before="2" w:after="0"/>
        <w:ind w:left="2381" w:right="0" w:hanging="794"/>
        <w:jc w:val="left"/>
        <w:rPr>
          <w:sz w:val="13"/>
        </w:rPr>
      </w:pPr>
      <w:r>
        <w:rPr>
          <w:w w:val="105"/>
          <w:sz w:val="13"/>
        </w:rPr>
        <w:t>A</w:t>
      </w:r>
      <w:r>
        <w:rPr>
          <w:spacing w:val="5"/>
          <w:w w:val="105"/>
          <w:sz w:val="13"/>
        </w:rPr>
        <w:t> </w:t>
      </w:r>
      <w:r>
        <w:rPr>
          <w:w w:val="105"/>
          <w:sz w:val="13"/>
        </w:rPr>
        <w:t>person</w:t>
      </w:r>
      <w:r>
        <w:rPr>
          <w:spacing w:val="5"/>
          <w:w w:val="105"/>
          <w:sz w:val="13"/>
        </w:rPr>
        <w:t> </w:t>
      </w:r>
      <w:r>
        <w:rPr>
          <w:w w:val="105"/>
          <w:sz w:val="13"/>
        </w:rPr>
        <w:t>found</w:t>
      </w:r>
      <w:r>
        <w:rPr>
          <w:spacing w:val="6"/>
          <w:w w:val="105"/>
          <w:sz w:val="13"/>
        </w:rPr>
        <w:t> </w:t>
      </w:r>
      <w:r>
        <w:rPr>
          <w:w w:val="105"/>
          <w:sz w:val="13"/>
        </w:rPr>
        <w:t>guilty</w:t>
      </w:r>
      <w:r>
        <w:rPr>
          <w:spacing w:val="5"/>
          <w:w w:val="105"/>
          <w:sz w:val="13"/>
        </w:rPr>
        <w:t> </w:t>
      </w:r>
      <w:r>
        <w:rPr>
          <w:w w:val="105"/>
          <w:sz w:val="13"/>
        </w:rPr>
        <w:t>of</w:t>
      </w:r>
      <w:r>
        <w:rPr>
          <w:spacing w:val="6"/>
          <w:w w:val="105"/>
          <w:sz w:val="13"/>
        </w:rPr>
        <w:t> </w:t>
      </w:r>
      <w:r>
        <w:rPr>
          <w:w w:val="105"/>
          <w:sz w:val="13"/>
        </w:rPr>
        <w:t>an</w:t>
      </w:r>
      <w:r>
        <w:rPr>
          <w:spacing w:val="5"/>
          <w:w w:val="105"/>
          <w:sz w:val="13"/>
        </w:rPr>
        <w:t> </w:t>
      </w:r>
      <w:r>
        <w:rPr>
          <w:w w:val="105"/>
          <w:sz w:val="13"/>
        </w:rPr>
        <w:t>offence</w:t>
      </w:r>
      <w:r>
        <w:rPr>
          <w:spacing w:val="6"/>
          <w:w w:val="105"/>
          <w:sz w:val="13"/>
        </w:rPr>
        <w:t> </w:t>
      </w:r>
      <w:r>
        <w:rPr>
          <w:w w:val="105"/>
          <w:sz w:val="13"/>
        </w:rPr>
        <w:t>will</w:t>
      </w:r>
      <w:r>
        <w:rPr>
          <w:spacing w:val="5"/>
          <w:w w:val="105"/>
          <w:sz w:val="13"/>
        </w:rPr>
        <w:t> </w:t>
      </w:r>
      <w:r>
        <w:rPr>
          <w:w w:val="105"/>
          <w:sz w:val="13"/>
        </w:rPr>
        <w:t>be</w:t>
      </w:r>
      <w:r>
        <w:rPr>
          <w:spacing w:val="5"/>
          <w:w w:val="105"/>
          <w:sz w:val="13"/>
        </w:rPr>
        <w:t> </w:t>
      </w:r>
      <w:r>
        <w:rPr>
          <w:w w:val="105"/>
          <w:sz w:val="13"/>
        </w:rPr>
        <w:t>liable</w:t>
      </w:r>
      <w:r>
        <w:rPr>
          <w:spacing w:val="6"/>
          <w:w w:val="105"/>
          <w:sz w:val="13"/>
        </w:rPr>
        <w:t> </w:t>
      </w:r>
      <w:r>
        <w:rPr>
          <w:w w:val="105"/>
          <w:sz w:val="13"/>
        </w:rPr>
        <w:t>to</w:t>
      </w:r>
      <w:r>
        <w:rPr>
          <w:spacing w:val="5"/>
          <w:w w:val="105"/>
          <w:sz w:val="13"/>
        </w:rPr>
        <w:t> </w:t>
      </w:r>
      <w:r>
        <w:rPr>
          <w:w w:val="105"/>
          <w:sz w:val="13"/>
        </w:rPr>
        <w:t>a</w:t>
      </w:r>
      <w:r>
        <w:rPr>
          <w:spacing w:val="6"/>
          <w:w w:val="105"/>
          <w:sz w:val="13"/>
        </w:rPr>
        <w:t> </w:t>
      </w:r>
      <w:r>
        <w:rPr>
          <w:w w:val="105"/>
          <w:sz w:val="13"/>
        </w:rPr>
        <w:t>penalty</w:t>
      </w:r>
      <w:r>
        <w:rPr>
          <w:spacing w:val="5"/>
          <w:w w:val="105"/>
          <w:sz w:val="13"/>
        </w:rPr>
        <w:t> </w:t>
      </w:r>
      <w:r>
        <w:rPr>
          <w:w w:val="105"/>
          <w:sz w:val="13"/>
        </w:rPr>
        <w:t>not</w:t>
      </w:r>
      <w:r>
        <w:rPr>
          <w:spacing w:val="6"/>
          <w:w w:val="105"/>
          <w:sz w:val="13"/>
        </w:rPr>
        <w:t> </w:t>
      </w:r>
      <w:r>
        <w:rPr>
          <w:w w:val="105"/>
          <w:sz w:val="13"/>
        </w:rPr>
        <w:t>exceeding</w:t>
      </w:r>
      <w:r>
        <w:rPr>
          <w:spacing w:val="5"/>
          <w:w w:val="105"/>
          <w:sz w:val="13"/>
        </w:rPr>
        <w:t> </w:t>
      </w:r>
      <w:r>
        <w:rPr>
          <w:w w:val="105"/>
          <w:sz w:val="13"/>
        </w:rPr>
        <w:t>20</w:t>
      </w:r>
      <w:r>
        <w:rPr>
          <w:spacing w:val="5"/>
          <w:w w:val="105"/>
          <w:sz w:val="13"/>
        </w:rPr>
        <w:t> </w:t>
      </w:r>
      <w:r>
        <w:rPr>
          <w:w w:val="105"/>
          <w:sz w:val="13"/>
        </w:rPr>
        <w:t>penalty</w:t>
      </w:r>
      <w:r>
        <w:rPr>
          <w:spacing w:val="6"/>
          <w:w w:val="105"/>
          <w:sz w:val="13"/>
        </w:rPr>
        <w:t> </w:t>
      </w:r>
      <w:r>
        <w:rPr>
          <w:w w:val="105"/>
          <w:sz w:val="13"/>
        </w:rPr>
        <w:t>units,</w:t>
      </w:r>
      <w:r>
        <w:rPr>
          <w:spacing w:val="5"/>
          <w:w w:val="105"/>
          <w:sz w:val="13"/>
        </w:rPr>
        <w:t> </w:t>
      </w:r>
      <w:r>
        <w:rPr>
          <w:w w:val="105"/>
          <w:sz w:val="13"/>
        </w:rPr>
        <w:t>unless</w:t>
      </w:r>
      <w:r>
        <w:rPr>
          <w:spacing w:val="6"/>
          <w:w w:val="105"/>
          <w:sz w:val="13"/>
        </w:rPr>
        <w:t> </w:t>
      </w:r>
      <w:r>
        <w:rPr>
          <w:w w:val="105"/>
          <w:sz w:val="13"/>
        </w:rPr>
        <w:t>otherwise</w:t>
      </w:r>
      <w:r>
        <w:rPr>
          <w:spacing w:val="5"/>
          <w:w w:val="105"/>
          <w:sz w:val="13"/>
        </w:rPr>
        <w:t> </w:t>
      </w:r>
      <w:r>
        <w:rPr>
          <w:w w:val="105"/>
          <w:sz w:val="13"/>
        </w:rPr>
        <w:t>specified.</w:t>
      </w:r>
    </w:p>
    <w:p>
      <w:pPr>
        <w:pStyle w:val="ListParagraph"/>
        <w:numPr>
          <w:ilvl w:val="0"/>
          <w:numId w:val="165"/>
        </w:numPr>
        <w:tabs>
          <w:tab w:pos="2380" w:val="left" w:leader="none"/>
          <w:tab w:pos="2382" w:val="left" w:leader="none"/>
        </w:tabs>
        <w:spacing w:line="240" w:lineRule="auto" w:before="1" w:after="0"/>
        <w:ind w:left="2381" w:right="0" w:hanging="794"/>
        <w:jc w:val="left"/>
        <w:rPr>
          <w:sz w:val="13"/>
        </w:rPr>
      </w:pPr>
      <w:r>
        <w:rPr>
          <w:i/>
          <w:w w:val="105"/>
          <w:sz w:val="13"/>
        </w:rPr>
        <w:t>Tree</w:t>
      </w:r>
      <w:r>
        <w:rPr>
          <w:i/>
          <w:spacing w:val="4"/>
          <w:w w:val="105"/>
          <w:sz w:val="13"/>
        </w:rPr>
        <w:t> </w:t>
      </w:r>
      <w:r>
        <w:rPr>
          <w:i/>
          <w:w w:val="105"/>
          <w:sz w:val="13"/>
        </w:rPr>
        <w:t>Protection</w:t>
      </w:r>
      <w:r>
        <w:rPr>
          <w:i/>
          <w:spacing w:val="5"/>
          <w:w w:val="105"/>
          <w:sz w:val="13"/>
        </w:rPr>
        <w:t> </w:t>
      </w:r>
      <w:r>
        <w:rPr>
          <w:i/>
          <w:w w:val="105"/>
          <w:sz w:val="13"/>
        </w:rPr>
        <w:t>Local</w:t>
      </w:r>
      <w:r>
        <w:rPr>
          <w:i/>
          <w:spacing w:val="5"/>
          <w:w w:val="105"/>
          <w:sz w:val="13"/>
        </w:rPr>
        <w:t> </w:t>
      </w:r>
      <w:r>
        <w:rPr>
          <w:i/>
          <w:w w:val="105"/>
          <w:sz w:val="13"/>
        </w:rPr>
        <w:t>Law</w:t>
      </w:r>
      <w:r>
        <w:rPr>
          <w:i/>
          <w:spacing w:val="4"/>
          <w:w w:val="105"/>
          <w:sz w:val="13"/>
        </w:rPr>
        <w:t> </w:t>
      </w:r>
      <w:r>
        <w:rPr>
          <w:i/>
          <w:spacing w:val="-3"/>
          <w:w w:val="105"/>
          <w:sz w:val="13"/>
        </w:rPr>
        <w:t>2016</w:t>
      </w:r>
      <w:r>
        <w:rPr>
          <w:i/>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r>
        <w:rPr>
          <w:spacing w:val="4"/>
          <w:w w:val="105"/>
          <w:sz w:val="13"/>
        </w:rPr>
        <w:t> </w:t>
      </w:r>
      <w:r>
        <w:rPr>
          <w:w w:val="105"/>
          <w:sz w:val="13"/>
        </w:rPr>
        <w:t>s</w:t>
      </w:r>
      <w:r>
        <w:rPr>
          <w:spacing w:val="5"/>
          <w:w w:val="105"/>
          <w:sz w:val="13"/>
        </w:rPr>
        <w:t> </w:t>
      </w:r>
      <w:r>
        <w:rPr>
          <w:spacing w:val="4"/>
          <w:w w:val="105"/>
          <w:sz w:val="13"/>
        </w:rPr>
        <w:t>8(5).</w:t>
      </w:r>
    </w:p>
    <w:p>
      <w:pPr>
        <w:pStyle w:val="ListParagraph"/>
        <w:numPr>
          <w:ilvl w:val="0"/>
          <w:numId w:val="165"/>
        </w:numPr>
        <w:tabs>
          <w:tab w:pos="2380"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pacing w:val="4"/>
          <w:sz w:val="13"/>
        </w:rPr>
        <w:t>8(5).</w:t>
      </w:r>
    </w:p>
    <w:p>
      <w:pPr>
        <w:tabs>
          <w:tab w:pos="2380" w:val="left" w:leader="none"/>
        </w:tabs>
        <w:spacing w:before="2"/>
        <w:ind w:left="1587" w:right="0" w:firstLine="0"/>
        <w:jc w:val="left"/>
        <w:rPr>
          <w:sz w:val="13"/>
        </w:rPr>
      </w:pPr>
      <w:r>
        <w:rPr>
          <w:w w:val="105"/>
          <w:sz w:val="13"/>
        </w:rPr>
        <w:t>106</w:t>
        <w:tab/>
        <w:t>Ibid s</w:t>
      </w:r>
      <w:r>
        <w:rPr>
          <w:spacing w:val="9"/>
          <w:w w:val="105"/>
          <w:sz w:val="13"/>
        </w:rPr>
        <w:t> </w:t>
      </w:r>
      <w:r>
        <w:rPr>
          <w:w w:val="105"/>
          <w:sz w:val="13"/>
        </w:rPr>
        <w:t>12(2).</w:t>
      </w:r>
    </w:p>
    <w:p>
      <w:pPr>
        <w:pStyle w:val="ListParagraph"/>
        <w:numPr>
          <w:ilvl w:val="0"/>
          <w:numId w:val="166"/>
        </w:numPr>
        <w:tabs>
          <w:tab w:pos="2380"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z w:val="13"/>
        </w:rPr>
        <w:t>18.</w:t>
      </w:r>
    </w:p>
    <w:p>
      <w:pPr>
        <w:pStyle w:val="ListParagraph"/>
        <w:numPr>
          <w:ilvl w:val="0"/>
          <w:numId w:val="166"/>
        </w:numPr>
        <w:tabs>
          <w:tab w:pos="2380" w:val="left" w:leader="none"/>
          <w:tab w:pos="2382" w:val="left" w:leader="none"/>
        </w:tabs>
        <w:spacing w:line="240" w:lineRule="auto" w:before="1" w:after="0"/>
        <w:ind w:left="2381" w:right="0" w:hanging="794"/>
        <w:jc w:val="left"/>
        <w:rPr>
          <w:sz w:val="13"/>
        </w:rPr>
      </w:pPr>
      <w:r>
        <w:rPr>
          <w:w w:val="105"/>
          <w:sz w:val="13"/>
        </w:rPr>
        <w:t>Consultation 8 (City of</w:t>
      </w:r>
      <w:r>
        <w:rPr>
          <w:spacing w:val="19"/>
          <w:w w:val="105"/>
          <w:sz w:val="13"/>
        </w:rPr>
        <w:t> </w:t>
      </w:r>
      <w:r>
        <w:rPr>
          <w:w w:val="105"/>
          <w:sz w:val="13"/>
        </w:rPr>
        <w:t>Boroondara).</w:t>
      </w:r>
    </w:p>
    <w:p>
      <w:pPr>
        <w:pStyle w:val="ListParagraph"/>
        <w:numPr>
          <w:ilvl w:val="0"/>
          <w:numId w:val="166"/>
        </w:numPr>
        <w:tabs>
          <w:tab w:pos="2380"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166"/>
        </w:numPr>
        <w:tabs>
          <w:tab w:pos="2380" w:val="left" w:leader="none"/>
          <w:tab w:pos="2382" w:val="left" w:leader="none"/>
        </w:tabs>
        <w:spacing w:line="240" w:lineRule="auto" w:before="1" w:after="0"/>
        <w:ind w:left="2381" w:right="213" w:hanging="794"/>
        <w:jc w:val="left"/>
        <w:rPr>
          <w:sz w:val="13"/>
        </w:rPr>
      </w:pPr>
      <w:r>
        <w:rPr>
          <w:w w:val="105"/>
          <w:sz w:val="13"/>
        </w:rPr>
        <w:t>Consultation </w:t>
      </w:r>
      <w:r>
        <w:rPr>
          <w:spacing w:val="-4"/>
          <w:w w:val="105"/>
          <w:sz w:val="13"/>
        </w:rPr>
        <w:t>12  </w:t>
      </w:r>
      <w:r>
        <w:rPr>
          <w:w w:val="105"/>
          <w:sz w:val="13"/>
        </w:rPr>
        <w:t>(City of Port Phillip). The City of Port Phillip’s </w:t>
      </w:r>
      <w:r>
        <w:rPr>
          <w:i/>
          <w:w w:val="105"/>
          <w:sz w:val="13"/>
        </w:rPr>
        <w:t>Local Law No.1 </w:t>
      </w:r>
      <w:r>
        <w:rPr>
          <w:w w:val="105"/>
          <w:sz w:val="13"/>
        </w:rPr>
        <w:t>(Community Amenity) </w:t>
      </w:r>
      <w:r>
        <w:rPr>
          <w:spacing w:val="-3"/>
          <w:w w:val="105"/>
          <w:sz w:val="13"/>
        </w:rPr>
        <w:t>2013,</w:t>
      </w:r>
      <w:r>
        <w:rPr>
          <w:spacing w:val="24"/>
          <w:w w:val="105"/>
          <w:sz w:val="13"/>
        </w:rPr>
        <w:t> </w:t>
      </w:r>
      <w:r>
        <w:rPr>
          <w:w w:val="105"/>
          <w:sz w:val="13"/>
        </w:rPr>
        <w:t>defines a significant tree, as      </w:t>
      </w:r>
      <w:r>
        <w:rPr>
          <w:spacing w:val="-3"/>
          <w:w w:val="105"/>
          <w:sz w:val="13"/>
        </w:rPr>
        <w:t>‘a </w:t>
      </w:r>
      <w:r>
        <w:rPr>
          <w:w w:val="105"/>
          <w:sz w:val="13"/>
        </w:rPr>
        <w:t>tree or palm on private land: with a trunk circumference or 150 centimetres or greater, measured 1 metre above the ground; or with multiple stems where the circumference of its exterior stems is equal to, or greater than 150 centimetres when measured 1 metre about ground</w:t>
      </w:r>
      <w:r>
        <w:rPr>
          <w:spacing w:val="4"/>
          <w:w w:val="105"/>
          <w:sz w:val="13"/>
        </w:rPr>
        <w:t> </w:t>
      </w:r>
      <w:r>
        <w:rPr>
          <w:w w:val="105"/>
          <w:sz w:val="13"/>
        </w:rPr>
        <w:t>level’.</w:t>
      </w:r>
    </w:p>
    <w:p>
      <w:pPr>
        <w:pStyle w:val="ListParagraph"/>
        <w:numPr>
          <w:ilvl w:val="0"/>
          <w:numId w:val="166"/>
        </w:numPr>
        <w:tabs>
          <w:tab w:pos="2380" w:val="left" w:leader="none"/>
          <w:tab w:pos="2382" w:val="left" w:leader="none"/>
        </w:tabs>
        <w:spacing w:line="240" w:lineRule="auto" w:before="5" w:after="0"/>
        <w:ind w:left="2381" w:right="0" w:hanging="794"/>
        <w:jc w:val="left"/>
        <w:rPr>
          <w:sz w:val="13"/>
        </w:rPr>
      </w:pPr>
      <w:r>
        <w:rPr>
          <w:w w:val="105"/>
          <w:sz w:val="13"/>
        </w:rPr>
        <w:t>Consultation </w:t>
      </w:r>
      <w:r>
        <w:rPr>
          <w:spacing w:val="-4"/>
          <w:w w:val="105"/>
          <w:sz w:val="13"/>
        </w:rPr>
        <w:t>12 </w:t>
      </w:r>
      <w:r>
        <w:rPr>
          <w:w w:val="105"/>
          <w:sz w:val="13"/>
        </w:rPr>
        <w:t>(City of Port Phillip).</w:t>
      </w:r>
    </w:p>
    <w:p>
      <w:pPr>
        <w:pStyle w:val="ListParagraph"/>
        <w:numPr>
          <w:ilvl w:val="0"/>
          <w:numId w:val="166"/>
        </w:numPr>
        <w:tabs>
          <w:tab w:pos="2380" w:val="left" w:leader="none"/>
          <w:tab w:pos="2382" w:val="left" w:leader="none"/>
        </w:tabs>
        <w:spacing w:line="240" w:lineRule="auto" w:before="2" w:after="0"/>
        <w:ind w:left="2381" w:right="370" w:hanging="794"/>
        <w:jc w:val="left"/>
        <w:rPr>
          <w:sz w:val="13"/>
        </w:rPr>
      </w:pPr>
      <w:r>
        <w:rPr>
          <w:i/>
          <w:w w:val="105"/>
          <w:sz w:val="13"/>
        </w:rPr>
        <w:t>Local Law No 1 </w:t>
      </w:r>
      <w:r>
        <w:rPr>
          <w:w w:val="105"/>
          <w:sz w:val="13"/>
        </w:rPr>
        <w:t>(Community Amenity) </w:t>
      </w:r>
      <w:r>
        <w:rPr>
          <w:spacing w:val="-3"/>
          <w:w w:val="105"/>
          <w:sz w:val="13"/>
        </w:rPr>
        <w:t>2013 </w:t>
      </w:r>
      <w:r>
        <w:rPr>
          <w:w w:val="105"/>
          <w:sz w:val="13"/>
        </w:rPr>
        <w:t>(City of Port Phillip) s </w:t>
      </w:r>
      <w:r>
        <w:rPr>
          <w:spacing w:val="2"/>
          <w:w w:val="105"/>
          <w:sz w:val="13"/>
        </w:rPr>
        <w:t>44. </w:t>
      </w:r>
      <w:r>
        <w:rPr>
          <w:w w:val="105"/>
          <w:sz w:val="13"/>
        </w:rPr>
        <w:t>The requirement to obtain a permit does not apply: </w:t>
      </w:r>
      <w:r>
        <w:rPr>
          <w:spacing w:val="2"/>
          <w:w w:val="105"/>
          <w:sz w:val="13"/>
        </w:rPr>
        <w:t>(a) </w:t>
      </w:r>
      <w:r>
        <w:rPr>
          <w:w w:val="105"/>
          <w:sz w:val="13"/>
        </w:rPr>
        <w:t>where a person cuts, trims or prunes a significant tree to comply with clause 38 of this Local Law; </w:t>
      </w:r>
      <w:r>
        <w:rPr>
          <w:spacing w:val="2"/>
          <w:w w:val="105"/>
          <w:sz w:val="13"/>
        </w:rPr>
        <w:t>(b) </w:t>
      </w:r>
      <w:r>
        <w:rPr>
          <w:w w:val="105"/>
          <w:sz w:val="13"/>
        </w:rPr>
        <w:t>where an adjacent landowner removes branches which are overhanging that adjacent land: s</w:t>
      </w:r>
      <w:r>
        <w:rPr>
          <w:spacing w:val="6"/>
          <w:w w:val="105"/>
          <w:sz w:val="13"/>
        </w:rPr>
        <w:t> </w:t>
      </w:r>
      <w:r>
        <w:rPr>
          <w:spacing w:val="3"/>
          <w:w w:val="105"/>
          <w:sz w:val="13"/>
        </w:rPr>
        <w:t>44(2).</w:t>
      </w:r>
    </w:p>
    <w:p>
      <w:pPr>
        <w:pStyle w:val="ListParagraph"/>
        <w:numPr>
          <w:ilvl w:val="0"/>
          <w:numId w:val="166"/>
        </w:numPr>
        <w:tabs>
          <w:tab w:pos="2380" w:val="left" w:leader="none"/>
          <w:tab w:pos="2382" w:val="left" w:leader="none"/>
        </w:tabs>
        <w:spacing w:line="240" w:lineRule="auto" w:before="4" w:after="0"/>
        <w:ind w:left="2381" w:right="0" w:hanging="794"/>
        <w:jc w:val="left"/>
        <w:rPr>
          <w:sz w:val="13"/>
        </w:rPr>
      </w:pPr>
      <w:r>
        <w:rPr>
          <w:w w:val="105"/>
          <w:sz w:val="13"/>
        </w:rPr>
        <w:t>Consultation </w:t>
      </w:r>
      <w:r>
        <w:rPr>
          <w:spacing w:val="-4"/>
          <w:w w:val="105"/>
          <w:sz w:val="13"/>
        </w:rPr>
        <w:t>12 </w:t>
      </w:r>
      <w:r>
        <w:rPr>
          <w:w w:val="105"/>
          <w:sz w:val="13"/>
        </w:rPr>
        <w:t>(City of Port Phillip).</w:t>
      </w:r>
    </w:p>
    <w:p>
      <w:pPr>
        <w:pStyle w:val="ListParagraph"/>
        <w:numPr>
          <w:ilvl w:val="0"/>
          <w:numId w:val="166"/>
        </w:numPr>
        <w:tabs>
          <w:tab w:pos="2380" w:val="left" w:leader="none"/>
          <w:tab w:pos="2382" w:val="left" w:leader="none"/>
        </w:tabs>
        <w:spacing w:line="240" w:lineRule="auto" w:before="1" w:after="0"/>
        <w:ind w:left="2381" w:right="0" w:hanging="794"/>
        <w:jc w:val="left"/>
        <w:rPr>
          <w:sz w:val="13"/>
        </w:rPr>
      </w:pPr>
      <w:r>
        <w:rPr>
          <w:w w:val="105"/>
          <w:sz w:val="13"/>
        </w:rPr>
        <w:t>Consultation</w:t>
      </w:r>
      <w:r>
        <w:rPr>
          <w:spacing w:val="5"/>
          <w:w w:val="105"/>
          <w:sz w:val="13"/>
        </w:rPr>
        <w:t> </w:t>
      </w:r>
      <w:r>
        <w:rPr>
          <w:spacing w:val="-4"/>
          <w:w w:val="105"/>
          <w:sz w:val="13"/>
        </w:rPr>
        <w:t>12</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Port</w:t>
      </w:r>
      <w:r>
        <w:rPr>
          <w:spacing w:val="5"/>
          <w:w w:val="105"/>
          <w:sz w:val="13"/>
        </w:rPr>
        <w:t> </w:t>
      </w:r>
      <w:r>
        <w:rPr>
          <w:w w:val="105"/>
          <w:sz w:val="13"/>
        </w:rPr>
        <w:t>Phillip).</w:t>
      </w:r>
      <w:r>
        <w:rPr>
          <w:spacing w:val="5"/>
          <w:w w:val="105"/>
          <w:sz w:val="13"/>
        </w:rPr>
        <w:t> </w:t>
      </w:r>
      <w:r>
        <w:rPr>
          <w:w w:val="105"/>
          <w:sz w:val="13"/>
        </w:rPr>
        <w:t>See</w:t>
      </w:r>
      <w:r>
        <w:rPr>
          <w:spacing w:val="5"/>
          <w:w w:val="105"/>
          <w:sz w:val="13"/>
        </w:rPr>
        <w:t> </w:t>
      </w:r>
      <w:r>
        <w:rPr>
          <w:w w:val="105"/>
          <w:sz w:val="13"/>
        </w:rPr>
        <w:t>also</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Port</w:t>
      </w:r>
      <w:r>
        <w:rPr>
          <w:spacing w:val="5"/>
          <w:w w:val="105"/>
          <w:sz w:val="13"/>
        </w:rPr>
        <w:t> </w:t>
      </w:r>
      <w:r>
        <w:rPr>
          <w:w w:val="105"/>
          <w:sz w:val="13"/>
        </w:rPr>
        <w:t>Phillip,</w:t>
      </w:r>
      <w:r>
        <w:rPr>
          <w:spacing w:val="5"/>
          <w:w w:val="105"/>
          <w:sz w:val="13"/>
        </w:rPr>
        <w:t> </w:t>
      </w:r>
      <w:r>
        <w:rPr>
          <w:i/>
          <w:w w:val="105"/>
          <w:sz w:val="13"/>
        </w:rPr>
        <w:t>City</w:t>
      </w:r>
      <w:r>
        <w:rPr>
          <w:i/>
          <w:spacing w:val="5"/>
          <w:w w:val="105"/>
          <w:sz w:val="13"/>
        </w:rPr>
        <w:t> </w:t>
      </w:r>
      <w:r>
        <w:rPr>
          <w:i/>
          <w:spacing w:val="2"/>
          <w:w w:val="105"/>
          <w:sz w:val="13"/>
        </w:rPr>
        <w:t>Permits—Fact</w:t>
      </w:r>
      <w:r>
        <w:rPr>
          <w:i/>
          <w:spacing w:val="5"/>
          <w:w w:val="105"/>
          <w:sz w:val="13"/>
        </w:rPr>
        <w:t> </w:t>
      </w:r>
      <w:r>
        <w:rPr>
          <w:i/>
          <w:w w:val="105"/>
          <w:sz w:val="13"/>
        </w:rPr>
        <w:t>Sheet</w:t>
      </w:r>
      <w:r>
        <w:rPr>
          <w:i/>
          <w:spacing w:val="5"/>
          <w:w w:val="105"/>
          <w:sz w:val="13"/>
        </w:rPr>
        <w:t> </w:t>
      </w:r>
      <w:r>
        <w:rPr>
          <w:i/>
          <w:w w:val="105"/>
          <w:sz w:val="13"/>
        </w:rPr>
        <w:t>Significant</w:t>
      </w:r>
      <w:r>
        <w:rPr>
          <w:i/>
          <w:spacing w:val="5"/>
          <w:w w:val="105"/>
          <w:sz w:val="13"/>
        </w:rPr>
        <w:t> </w:t>
      </w:r>
      <w:r>
        <w:rPr>
          <w:i/>
          <w:w w:val="105"/>
          <w:sz w:val="13"/>
        </w:rPr>
        <w:t>Tree</w:t>
      </w:r>
      <w:r>
        <w:rPr>
          <w:i/>
          <w:spacing w:val="5"/>
          <w:w w:val="105"/>
          <w:sz w:val="13"/>
        </w:rPr>
        <w:t> </w:t>
      </w:r>
      <w:r>
        <w:rPr>
          <w:i/>
          <w:w w:val="105"/>
          <w:sz w:val="13"/>
        </w:rPr>
        <w:t>Permits</w:t>
      </w:r>
      <w:r>
        <w:rPr>
          <w:i/>
          <w:spacing w:val="5"/>
          <w:w w:val="105"/>
          <w:sz w:val="13"/>
        </w:rPr>
        <w:t> </w:t>
      </w:r>
      <w:r>
        <w:rPr>
          <w:w w:val="105"/>
          <w:sz w:val="13"/>
        </w:rPr>
        <w:t>(29</w:t>
      </w:r>
      <w:r>
        <w:rPr>
          <w:spacing w:val="6"/>
          <w:w w:val="105"/>
          <w:sz w:val="13"/>
        </w:rPr>
        <w:t> </w:t>
      </w:r>
      <w:r>
        <w:rPr>
          <w:w w:val="105"/>
          <w:sz w:val="13"/>
        </w:rPr>
        <w:t>November</w:t>
      </w:r>
      <w:r>
        <w:rPr>
          <w:spacing w:val="5"/>
          <w:w w:val="105"/>
          <w:sz w:val="13"/>
        </w:rPr>
        <w:t> </w:t>
      </w:r>
      <w:r>
        <w:rPr>
          <w:w w:val="105"/>
          <w:sz w:val="13"/>
        </w:rPr>
        <w:t>2017)</w:t>
      </w:r>
    </w:p>
    <w:p>
      <w:pPr>
        <w:spacing w:before="1"/>
        <w:ind w:left="2381" w:right="0" w:firstLine="0"/>
        <w:jc w:val="left"/>
        <w:rPr>
          <w:sz w:val="13"/>
        </w:rPr>
      </w:pPr>
      <w:r>
        <w:rPr>
          <w:w w:val="105"/>
          <w:sz w:val="13"/>
        </w:rPr>
        <w:t>&lt;</w:t>
      </w:r>
      <w:hyperlink r:id="rId266">
        <w:r>
          <w:rPr>
            <w:w w:val="105"/>
            <w:sz w:val="13"/>
          </w:rPr>
          <w:t>http://www.portphillip.vic.gov.au/significant-tree-permit.htm</w:t>
        </w:r>
      </w:hyperlink>
      <w:r>
        <w:rPr>
          <w:w w:val="105"/>
          <w:sz w:val="13"/>
        </w:rPr>
        <w:t>&gt;.</w:t>
      </w:r>
    </w:p>
    <w:p>
      <w:pPr>
        <w:pStyle w:val="ListParagraph"/>
        <w:numPr>
          <w:ilvl w:val="0"/>
          <w:numId w:val="166"/>
        </w:numPr>
        <w:tabs>
          <w:tab w:pos="2380" w:val="left" w:leader="none"/>
          <w:tab w:pos="2382" w:val="left" w:leader="none"/>
        </w:tabs>
        <w:spacing w:line="240" w:lineRule="auto" w:before="2" w:after="0"/>
        <w:ind w:left="2381" w:right="0" w:hanging="794"/>
        <w:jc w:val="left"/>
        <w:rPr>
          <w:sz w:val="13"/>
        </w:rPr>
      </w:pPr>
      <w:r>
        <w:rPr>
          <w:i/>
          <w:w w:val="105"/>
          <w:sz w:val="13"/>
        </w:rPr>
        <w:t>Heritage Act </w:t>
      </w:r>
      <w:r>
        <w:rPr>
          <w:i/>
          <w:spacing w:val="-4"/>
          <w:w w:val="105"/>
          <w:sz w:val="13"/>
        </w:rPr>
        <w:t>2017 </w:t>
      </w:r>
      <w:r>
        <w:rPr>
          <w:spacing w:val="2"/>
          <w:w w:val="105"/>
          <w:sz w:val="13"/>
        </w:rPr>
        <w:t>(Vic) </w:t>
      </w:r>
      <w:r>
        <w:rPr>
          <w:w w:val="105"/>
          <w:sz w:val="13"/>
        </w:rPr>
        <w:t>s</w:t>
      </w:r>
      <w:r>
        <w:rPr>
          <w:spacing w:val="-2"/>
          <w:w w:val="105"/>
          <w:sz w:val="13"/>
        </w:rPr>
        <w:t> </w:t>
      </w:r>
      <w:r>
        <w:rPr>
          <w:spacing w:val="-3"/>
          <w:w w:val="105"/>
          <w:sz w:val="13"/>
        </w:rPr>
        <w:t>1.</w:t>
      </w:r>
    </w:p>
    <w:p>
      <w:pPr>
        <w:pStyle w:val="ListParagraph"/>
        <w:numPr>
          <w:ilvl w:val="0"/>
          <w:numId w:val="166"/>
        </w:numPr>
        <w:tabs>
          <w:tab w:pos="2380" w:val="left" w:leader="none"/>
          <w:tab w:pos="2382" w:val="left" w:leader="none"/>
        </w:tabs>
        <w:spacing w:line="240" w:lineRule="auto" w:before="1" w:after="0"/>
        <w:ind w:left="2381" w:right="3" w:hanging="794"/>
        <w:jc w:val="left"/>
        <w:rPr>
          <w:sz w:val="13"/>
        </w:rPr>
      </w:pPr>
      <w:r>
        <w:rPr>
          <w:w w:val="105"/>
          <w:sz w:val="13"/>
        </w:rPr>
        <w:t>Cultural heritage significance means aesthetic, archaeological, architectural, cultural, historical, scientific or social significance: </w:t>
      </w:r>
      <w:r>
        <w:rPr>
          <w:i/>
          <w:w w:val="105"/>
          <w:sz w:val="13"/>
        </w:rPr>
        <w:t>Heritage Act </w:t>
      </w:r>
      <w:r>
        <w:rPr>
          <w:i/>
          <w:spacing w:val="-4"/>
          <w:w w:val="105"/>
          <w:sz w:val="13"/>
        </w:rPr>
        <w:t>2017 </w:t>
      </w:r>
      <w:r>
        <w:rPr>
          <w:spacing w:val="2"/>
          <w:w w:val="105"/>
          <w:sz w:val="13"/>
        </w:rPr>
        <w:t>(Vic) </w:t>
      </w:r>
      <w:r>
        <w:rPr>
          <w:w w:val="105"/>
          <w:sz w:val="13"/>
        </w:rPr>
        <w:t>s 3</w:t>
      </w:r>
      <w:r>
        <w:rPr>
          <w:spacing w:val="-7"/>
          <w:w w:val="105"/>
          <w:sz w:val="13"/>
        </w:rPr>
        <w:t> </w:t>
      </w:r>
      <w:r>
        <w:rPr>
          <w:w w:val="105"/>
          <w:sz w:val="13"/>
        </w:rPr>
        <w:t>‘Definitions’.</w:t>
      </w:r>
    </w:p>
    <w:p>
      <w:pPr>
        <w:pStyle w:val="ListParagraph"/>
        <w:numPr>
          <w:ilvl w:val="0"/>
          <w:numId w:val="166"/>
        </w:numPr>
        <w:tabs>
          <w:tab w:pos="2380" w:val="left" w:leader="none"/>
          <w:tab w:pos="2382" w:val="left" w:leader="none"/>
        </w:tabs>
        <w:spacing w:line="240" w:lineRule="auto" w:before="3" w:after="0"/>
        <w:ind w:left="2381" w:right="70" w:hanging="794"/>
        <w:jc w:val="left"/>
        <w:rPr>
          <w:sz w:val="13"/>
        </w:rPr>
      </w:pPr>
      <w:r>
        <w:rPr>
          <w:i/>
          <w:w w:val="105"/>
          <w:sz w:val="13"/>
        </w:rPr>
        <w:t>Heritage Act </w:t>
      </w:r>
      <w:r>
        <w:rPr>
          <w:i/>
          <w:spacing w:val="-4"/>
          <w:w w:val="105"/>
          <w:sz w:val="13"/>
        </w:rPr>
        <w:t>2017  </w:t>
      </w:r>
      <w:r>
        <w:rPr>
          <w:spacing w:val="2"/>
          <w:w w:val="105"/>
          <w:sz w:val="13"/>
        </w:rPr>
        <w:t>(Vic) </w:t>
      </w:r>
      <w:r>
        <w:rPr>
          <w:w w:val="105"/>
          <w:sz w:val="13"/>
        </w:rPr>
        <w:t>s 24. Places and </w:t>
      </w:r>
      <w:r>
        <w:rPr>
          <w:spacing w:val="2"/>
          <w:w w:val="105"/>
          <w:sz w:val="13"/>
        </w:rPr>
        <w:t>objects </w:t>
      </w:r>
      <w:r>
        <w:rPr>
          <w:w w:val="105"/>
          <w:sz w:val="13"/>
        </w:rPr>
        <w:t>of local significance may be protected by a listing on a schedule to the Heritage Overlay,   and are therefore reflected in planning schemes. The Commission notes that section 56 of the </w:t>
      </w:r>
      <w:r>
        <w:rPr>
          <w:i/>
          <w:w w:val="105"/>
          <w:sz w:val="13"/>
        </w:rPr>
        <w:t>Heritage Act </w:t>
      </w:r>
      <w:r>
        <w:rPr>
          <w:w w:val="105"/>
          <w:sz w:val="13"/>
        </w:rPr>
        <w:t>requires the amendment of planning schemes to reflect the current status of the Register. However, places and </w:t>
      </w:r>
      <w:r>
        <w:rPr>
          <w:spacing w:val="2"/>
          <w:w w:val="105"/>
          <w:sz w:val="13"/>
        </w:rPr>
        <w:t>objects </w:t>
      </w:r>
      <w:r>
        <w:rPr>
          <w:w w:val="105"/>
          <w:sz w:val="13"/>
        </w:rPr>
        <w:t>listed on the Register are managed by Heritage Victoria</w:t>
      </w:r>
      <w:r>
        <w:rPr>
          <w:spacing w:val="4"/>
          <w:w w:val="105"/>
          <w:sz w:val="13"/>
        </w:rPr>
        <w:t> </w:t>
      </w:r>
      <w:r>
        <w:rPr>
          <w:w w:val="105"/>
          <w:sz w:val="13"/>
        </w:rPr>
        <w:t>and</w:t>
      </w:r>
      <w:r>
        <w:rPr>
          <w:spacing w:val="5"/>
          <w:w w:val="105"/>
          <w:sz w:val="13"/>
        </w:rPr>
        <w:t> </w:t>
      </w:r>
      <w:r>
        <w:rPr>
          <w:w w:val="105"/>
          <w:sz w:val="13"/>
        </w:rPr>
        <w:t>not</w:t>
      </w:r>
      <w:r>
        <w:rPr>
          <w:spacing w:val="4"/>
          <w:w w:val="105"/>
          <w:sz w:val="13"/>
        </w:rPr>
        <w:t> </w:t>
      </w:r>
      <w:r>
        <w:rPr>
          <w:w w:val="105"/>
          <w:sz w:val="13"/>
        </w:rPr>
        <w:t>via</w:t>
      </w:r>
      <w:r>
        <w:rPr>
          <w:spacing w:val="5"/>
          <w:w w:val="105"/>
          <w:sz w:val="13"/>
        </w:rPr>
        <w:t> </w:t>
      </w:r>
      <w:r>
        <w:rPr>
          <w:w w:val="105"/>
          <w:sz w:val="13"/>
        </w:rPr>
        <w:t>the</w:t>
      </w:r>
      <w:r>
        <w:rPr>
          <w:spacing w:val="5"/>
          <w:w w:val="105"/>
          <w:sz w:val="13"/>
        </w:rPr>
        <w:t> </w:t>
      </w:r>
      <w:r>
        <w:rPr>
          <w:w w:val="105"/>
          <w:sz w:val="13"/>
        </w:rPr>
        <w:t>planning</w:t>
      </w:r>
      <w:r>
        <w:rPr>
          <w:spacing w:val="4"/>
          <w:w w:val="105"/>
          <w:sz w:val="13"/>
        </w:rPr>
        <w:t> </w:t>
      </w:r>
      <w:r>
        <w:rPr>
          <w:w w:val="105"/>
          <w:sz w:val="13"/>
        </w:rPr>
        <w:t>scheme</w:t>
      </w:r>
      <w:r>
        <w:rPr>
          <w:spacing w:val="5"/>
          <w:w w:val="105"/>
          <w:sz w:val="13"/>
        </w:rPr>
        <w:t> </w:t>
      </w:r>
      <w:r>
        <w:rPr>
          <w:w w:val="105"/>
          <w:sz w:val="13"/>
        </w:rPr>
        <w:t>permit</w:t>
      </w:r>
      <w:r>
        <w:rPr>
          <w:spacing w:val="4"/>
          <w:w w:val="105"/>
          <w:sz w:val="13"/>
        </w:rPr>
        <w:t> </w:t>
      </w:r>
      <w:r>
        <w:rPr>
          <w:w w:val="105"/>
          <w:sz w:val="13"/>
        </w:rPr>
        <w:t>process</w:t>
      </w:r>
      <w:r>
        <w:rPr>
          <w:spacing w:val="5"/>
          <w:w w:val="105"/>
          <w:sz w:val="13"/>
        </w:rPr>
        <w:t> </w:t>
      </w:r>
      <w:r>
        <w:rPr>
          <w:w w:val="105"/>
          <w:sz w:val="13"/>
        </w:rPr>
        <w:t>administered</w:t>
      </w:r>
      <w:r>
        <w:rPr>
          <w:spacing w:val="5"/>
          <w:w w:val="105"/>
          <w:sz w:val="13"/>
        </w:rPr>
        <w:t> </w:t>
      </w:r>
      <w:r>
        <w:rPr>
          <w:w w:val="105"/>
          <w:sz w:val="13"/>
        </w:rPr>
        <w:t>by</w:t>
      </w:r>
      <w:r>
        <w:rPr>
          <w:spacing w:val="4"/>
          <w:w w:val="105"/>
          <w:sz w:val="13"/>
        </w:rPr>
        <w:t> </w:t>
      </w:r>
      <w:r>
        <w:rPr>
          <w:w w:val="105"/>
          <w:sz w:val="13"/>
        </w:rPr>
        <w:t>local</w:t>
      </w:r>
      <w:r>
        <w:rPr>
          <w:spacing w:val="5"/>
          <w:w w:val="105"/>
          <w:sz w:val="13"/>
        </w:rPr>
        <w:t> </w:t>
      </w:r>
      <w:r>
        <w:rPr>
          <w:w w:val="105"/>
          <w:sz w:val="13"/>
        </w:rPr>
        <w:t>councils.</w:t>
      </w:r>
    </w:p>
    <w:p>
      <w:pPr>
        <w:pStyle w:val="ListParagraph"/>
        <w:numPr>
          <w:ilvl w:val="0"/>
          <w:numId w:val="166"/>
        </w:numPr>
        <w:tabs>
          <w:tab w:pos="2380" w:val="left" w:leader="none"/>
          <w:tab w:pos="2382" w:val="left" w:leader="none"/>
        </w:tabs>
        <w:spacing w:line="240" w:lineRule="auto" w:before="5" w:after="0"/>
        <w:ind w:left="2381" w:right="0" w:hanging="794"/>
        <w:jc w:val="left"/>
        <w:rPr>
          <w:sz w:val="13"/>
        </w:rPr>
      </w:pPr>
      <w:r>
        <w:rPr>
          <w:i/>
          <w:w w:val="105"/>
          <w:sz w:val="13"/>
        </w:rPr>
        <w:t>Heritage Act </w:t>
      </w:r>
      <w:r>
        <w:rPr>
          <w:i/>
          <w:spacing w:val="-4"/>
          <w:w w:val="105"/>
          <w:sz w:val="13"/>
        </w:rPr>
        <w:t>2017 </w:t>
      </w:r>
      <w:r>
        <w:rPr>
          <w:spacing w:val="2"/>
          <w:w w:val="105"/>
          <w:sz w:val="13"/>
        </w:rPr>
        <w:t>(Vic) </w:t>
      </w:r>
      <w:r>
        <w:rPr>
          <w:w w:val="105"/>
          <w:sz w:val="13"/>
        </w:rPr>
        <w:t>s</w:t>
      </w:r>
      <w:r>
        <w:rPr>
          <w:spacing w:val="-2"/>
          <w:w w:val="105"/>
          <w:sz w:val="13"/>
        </w:rPr>
        <w:t> </w:t>
      </w:r>
      <w:r>
        <w:rPr>
          <w:w w:val="105"/>
          <w:sz w:val="13"/>
        </w:rPr>
        <w:t>3.</w:t>
      </w:r>
    </w:p>
    <w:p>
      <w:pPr>
        <w:pStyle w:val="ListParagraph"/>
        <w:numPr>
          <w:ilvl w:val="0"/>
          <w:numId w:val="166"/>
        </w:numPr>
        <w:tabs>
          <w:tab w:pos="2381" w:val="left" w:leader="none"/>
          <w:tab w:pos="2382" w:val="left" w:leader="none"/>
        </w:tabs>
        <w:spacing w:line="240" w:lineRule="auto" w:before="1" w:after="0"/>
        <w:ind w:left="2381" w:right="0" w:hanging="794"/>
        <w:jc w:val="left"/>
        <w:rPr>
          <w:sz w:val="13"/>
        </w:rPr>
      </w:pPr>
      <w:r>
        <w:rPr>
          <w:w w:val="105"/>
          <w:sz w:val="13"/>
        </w:rPr>
        <w:t>Ibid</w:t>
      </w:r>
      <w:r>
        <w:rPr>
          <w:spacing w:val="5"/>
          <w:w w:val="105"/>
          <w:sz w:val="13"/>
        </w:rPr>
        <w:t> </w:t>
      </w:r>
      <w:r>
        <w:rPr>
          <w:w w:val="105"/>
          <w:sz w:val="13"/>
        </w:rPr>
        <w:t>s</w:t>
      </w:r>
      <w:r>
        <w:rPr>
          <w:spacing w:val="5"/>
          <w:w w:val="105"/>
          <w:sz w:val="13"/>
        </w:rPr>
        <w:t> </w:t>
      </w:r>
      <w:r>
        <w:rPr>
          <w:w w:val="105"/>
          <w:sz w:val="13"/>
        </w:rPr>
        <w:t>3</w:t>
      </w:r>
      <w:r>
        <w:rPr>
          <w:spacing w:val="5"/>
          <w:w w:val="105"/>
          <w:sz w:val="13"/>
        </w:rPr>
        <w:t> </w:t>
      </w:r>
      <w:r>
        <w:rPr>
          <w:w w:val="105"/>
          <w:sz w:val="13"/>
        </w:rPr>
        <w:t>‘Definitions’,</w:t>
      </w:r>
      <w:r>
        <w:rPr>
          <w:spacing w:val="5"/>
          <w:w w:val="105"/>
          <w:sz w:val="13"/>
        </w:rPr>
        <w:t> </w:t>
      </w:r>
      <w:r>
        <w:rPr>
          <w:w w:val="105"/>
          <w:sz w:val="13"/>
        </w:rPr>
        <w:t>pt</w:t>
      </w:r>
      <w:r>
        <w:rPr>
          <w:spacing w:val="5"/>
          <w:w w:val="105"/>
          <w:sz w:val="13"/>
        </w:rPr>
        <w:t> </w:t>
      </w:r>
      <w:r>
        <w:rPr>
          <w:w w:val="105"/>
          <w:sz w:val="13"/>
        </w:rPr>
        <w:t>5.</w:t>
      </w:r>
      <w:r>
        <w:rPr>
          <w:spacing w:val="5"/>
          <w:w w:val="105"/>
          <w:sz w:val="13"/>
        </w:rPr>
        <w:t> </w:t>
      </w:r>
      <w:r>
        <w:rPr>
          <w:w w:val="105"/>
          <w:sz w:val="13"/>
        </w:rPr>
        <w:t>It</w:t>
      </w:r>
      <w:r>
        <w:rPr>
          <w:spacing w:val="5"/>
          <w:w w:val="105"/>
          <w:sz w:val="13"/>
        </w:rPr>
        <w:t> </w:t>
      </w:r>
      <w:r>
        <w:rPr>
          <w:w w:val="105"/>
          <w:sz w:val="13"/>
        </w:rPr>
        <w:t>is</w:t>
      </w:r>
      <w:r>
        <w:rPr>
          <w:spacing w:val="5"/>
          <w:w w:val="105"/>
          <w:sz w:val="13"/>
        </w:rPr>
        <w:t> </w:t>
      </w:r>
      <w:r>
        <w:rPr>
          <w:w w:val="105"/>
          <w:sz w:val="13"/>
        </w:rPr>
        <w:t>a</w:t>
      </w:r>
      <w:r>
        <w:rPr>
          <w:spacing w:val="5"/>
          <w:w w:val="105"/>
          <w:sz w:val="13"/>
        </w:rPr>
        <w:t> </w:t>
      </w:r>
      <w:r>
        <w:rPr>
          <w:w w:val="105"/>
          <w:sz w:val="13"/>
        </w:rPr>
        <w:t>criminal</w:t>
      </w:r>
      <w:r>
        <w:rPr>
          <w:spacing w:val="5"/>
          <w:w w:val="105"/>
          <w:sz w:val="13"/>
        </w:rPr>
        <w:t> </w:t>
      </w:r>
      <w:r>
        <w:rPr>
          <w:w w:val="105"/>
          <w:sz w:val="13"/>
        </w:rPr>
        <w:t>offence</w:t>
      </w:r>
      <w:r>
        <w:rPr>
          <w:spacing w:val="5"/>
          <w:w w:val="105"/>
          <w:sz w:val="13"/>
        </w:rPr>
        <w:t> </w:t>
      </w:r>
      <w:r>
        <w:rPr>
          <w:w w:val="105"/>
          <w:sz w:val="13"/>
        </w:rPr>
        <w:t>to</w:t>
      </w:r>
      <w:r>
        <w:rPr>
          <w:spacing w:val="5"/>
          <w:w w:val="105"/>
          <w:sz w:val="13"/>
        </w:rPr>
        <w:t> </w:t>
      </w:r>
      <w:r>
        <w:rPr>
          <w:w w:val="105"/>
          <w:sz w:val="13"/>
        </w:rPr>
        <w:t>undertake</w:t>
      </w:r>
      <w:r>
        <w:rPr>
          <w:spacing w:val="5"/>
          <w:w w:val="105"/>
          <w:sz w:val="13"/>
        </w:rPr>
        <w:t> </w:t>
      </w:r>
      <w:r>
        <w:rPr>
          <w:w w:val="105"/>
          <w:sz w:val="13"/>
        </w:rPr>
        <w:t>works</w:t>
      </w:r>
      <w:r>
        <w:rPr>
          <w:spacing w:val="5"/>
          <w:w w:val="105"/>
          <w:sz w:val="13"/>
        </w:rPr>
        <w:t> </w:t>
      </w:r>
      <w:r>
        <w:rPr>
          <w:w w:val="105"/>
          <w:sz w:val="13"/>
        </w:rPr>
        <w:t>to</w:t>
      </w:r>
      <w:r>
        <w:rPr>
          <w:spacing w:val="5"/>
          <w:w w:val="105"/>
          <w:sz w:val="13"/>
        </w:rPr>
        <w:t> </w:t>
      </w:r>
      <w:r>
        <w:rPr>
          <w:w w:val="105"/>
          <w:sz w:val="13"/>
        </w:rPr>
        <w:t>a</w:t>
      </w:r>
      <w:r>
        <w:rPr>
          <w:spacing w:val="5"/>
          <w:w w:val="105"/>
          <w:sz w:val="13"/>
        </w:rPr>
        <w:t> </w:t>
      </w:r>
      <w:r>
        <w:rPr>
          <w:w w:val="105"/>
          <w:sz w:val="13"/>
        </w:rPr>
        <w:t>Heritage</w:t>
      </w:r>
      <w:r>
        <w:rPr>
          <w:spacing w:val="5"/>
          <w:w w:val="105"/>
          <w:sz w:val="13"/>
        </w:rPr>
        <w:t> </w:t>
      </w:r>
      <w:r>
        <w:rPr>
          <w:w w:val="105"/>
          <w:sz w:val="13"/>
        </w:rPr>
        <w:t>place</w:t>
      </w:r>
      <w:r>
        <w:rPr>
          <w:spacing w:val="5"/>
          <w:w w:val="105"/>
          <w:sz w:val="13"/>
        </w:rPr>
        <w:t> </w:t>
      </w:r>
      <w:r>
        <w:rPr>
          <w:w w:val="105"/>
          <w:sz w:val="13"/>
        </w:rPr>
        <w:t>without</w:t>
      </w:r>
      <w:r>
        <w:rPr>
          <w:spacing w:val="5"/>
          <w:w w:val="105"/>
          <w:sz w:val="13"/>
        </w:rPr>
        <w:t> </w:t>
      </w:r>
      <w:r>
        <w:rPr>
          <w:w w:val="105"/>
          <w:sz w:val="13"/>
        </w:rPr>
        <w:t>first</w:t>
      </w:r>
      <w:r>
        <w:rPr>
          <w:spacing w:val="5"/>
          <w:w w:val="105"/>
          <w:sz w:val="13"/>
        </w:rPr>
        <w:t> </w:t>
      </w:r>
      <w:r>
        <w:rPr>
          <w:w w:val="105"/>
          <w:sz w:val="13"/>
        </w:rPr>
        <w:t>obtaining</w:t>
      </w:r>
      <w:r>
        <w:rPr>
          <w:spacing w:val="5"/>
          <w:w w:val="105"/>
          <w:sz w:val="13"/>
        </w:rPr>
        <w:t> </w:t>
      </w:r>
      <w:r>
        <w:rPr>
          <w:w w:val="105"/>
          <w:sz w:val="13"/>
        </w:rPr>
        <w:t>a</w:t>
      </w:r>
      <w:r>
        <w:rPr>
          <w:spacing w:val="5"/>
          <w:w w:val="105"/>
          <w:sz w:val="13"/>
        </w:rPr>
        <w:t> </w:t>
      </w:r>
      <w:r>
        <w:rPr>
          <w:w w:val="105"/>
          <w:sz w:val="13"/>
        </w:rPr>
        <w:t>permit.</w:t>
      </w:r>
    </w:p>
    <w:p>
      <w:pPr>
        <w:pStyle w:val="ListParagraph"/>
        <w:numPr>
          <w:ilvl w:val="0"/>
          <w:numId w:val="166"/>
        </w:numPr>
        <w:tabs>
          <w:tab w:pos="2381" w:val="left" w:leader="none"/>
          <w:tab w:pos="2382" w:val="left" w:leader="none"/>
        </w:tabs>
        <w:spacing w:line="240" w:lineRule="auto" w:before="2" w:after="0"/>
        <w:ind w:left="2381" w:right="0" w:hanging="794"/>
        <w:jc w:val="left"/>
        <w:rPr>
          <w:sz w:val="13"/>
        </w:rPr>
      </w:pPr>
      <w:r>
        <w:rPr>
          <w:w w:val="105"/>
          <w:sz w:val="13"/>
        </w:rPr>
        <w:t>Consultation 16 (Heritage</w:t>
      </w:r>
      <w:r>
        <w:rPr>
          <w:spacing w:val="14"/>
          <w:w w:val="105"/>
          <w:sz w:val="13"/>
        </w:rPr>
        <w:t> </w:t>
      </w:r>
      <w:r>
        <w:rPr>
          <w:w w:val="105"/>
          <w:sz w:val="13"/>
        </w:rPr>
        <w:t>Victoria).</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
        <w:rPr>
          <w:sz w:val="39"/>
        </w:rPr>
      </w:pPr>
    </w:p>
    <w:p>
      <w:pPr>
        <w:spacing w:before="1"/>
        <w:ind w:left="564" w:right="574" w:firstLine="0"/>
        <w:jc w:val="center"/>
        <w:rPr>
          <w:b/>
          <w:sz w:val="24"/>
        </w:rPr>
      </w:pPr>
      <w:r>
        <w:rPr>
          <w:b/>
          <w:color w:val="658464"/>
          <w:w w:val="110"/>
          <w:sz w:val="24"/>
        </w:rPr>
        <w:t>229</w:t>
      </w:r>
    </w:p>
    <w:p>
      <w:pPr>
        <w:spacing w:after="0"/>
        <w:jc w:val="center"/>
        <w:rPr>
          <w:sz w:val="24"/>
        </w:rPr>
        <w:sectPr>
          <w:type w:val="continuous"/>
          <w:pgSz w:w="11910" w:h="16840"/>
          <w:pgMar w:top="300" w:bottom="280" w:left="0" w:right="0"/>
          <w:cols w:num="2" w:equalWidth="0">
            <w:col w:w="10289" w:space="40"/>
            <w:col w:w="1581"/>
          </w:cols>
        </w:sectPr>
      </w:pPr>
    </w:p>
    <w:p>
      <w:pPr>
        <w:pStyle w:val="BodyText"/>
        <w:spacing w:before="9"/>
        <w:rPr>
          <w:b/>
          <w:sz w:val="22"/>
        </w:rPr>
      </w:pPr>
    </w:p>
    <w:p>
      <w:pPr>
        <w:pStyle w:val="ListParagraph"/>
        <w:numPr>
          <w:ilvl w:val="1"/>
          <w:numId w:val="16"/>
        </w:numPr>
        <w:tabs>
          <w:tab w:pos="2380" w:val="left" w:leader="none"/>
          <w:tab w:pos="2381" w:val="left" w:leader="none"/>
        </w:tabs>
        <w:spacing w:line="242" w:lineRule="auto" w:before="92" w:after="0"/>
        <w:ind w:left="2381" w:right="1654" w:hanging="794"/>
        <w:jc w:val="left"/>
        <w:rPr>
          <w:sz w:val="21"/>
        </w:rPr>
      </w:pPr>
      <w:bookmarkStart w:name="The Aboriginal Heritage Act" w:id="263"/>
      <w:bookmarkEnd w:id="263"/>
      <w:r>
        <w:rPr/>
      </w:r>
      <w:bookmarkStart w:name="_bookmark123" w:id="264"/>
      <w:bookmarkEnd w:id="264"/>
      <w:r>
        <w:rPr/>
      </w:r>
      <w:bookmarkStart w:name="_bookmark123" w:id="265"/>
      <w:bookmarkEnd w:id="265"/>
      <w:r>
        <w:rPr>
          <w:w w:val="105"/>
          <w:sz w:val="21"/>
        </w:rPr>
        <w:t>H</w:t>
      </w:r>
      <w:r>
        <w:rPr>
          <w:w w:val="105"/>
          <w:sz w:val="21"/>
        </w:rPr>
        <w:t>eritage Victoria is the </w:t>
      </w:r>
      <w:r>
        <w:rPr>
          <w:spacing w:val="-3"/>
          <w:w w:val="105"/>
          <w:sz w:val="21"/>
        </w:rPr>
        <w:t>principal State Government </w:t>
      </w:r>
      <w:r>
        <w:rPr>
          <w:w w:val="105"/>
          <w:sz w:val="21"/>
        </w:rPr>
        <w:t>agency </w:t>
      </w:r>
      <w:r>
        <w:rPr>
          <w:spacing w:val="-3"/>
          <w:w w:val="105"/>
          <w:sz w:val="21"/>
        </w:rPr>
        <w:t>that </w:t>
      </w:r>
      <w:r>
        <w:rPr>
          <w:w w:val="105"/>
          <w:sz w:val="21"/>
        </w:rPr>
        <w:t>identifies and protects non-Aboriginal </w:t>
      </w:r>
      <w:r>
        <w:rPr>
          <w:spacing w:val="-3"/>
          <w:w w:val="105"/>
          <w:sz w:val="21"/>
        </w:rPr>
        <w:t>cultural </w:t>
      </w:r>
      <w:r>
        <w:rPr>
          <w:w w:val="105"/>
          <w:sz w:val="21"/>
        </w:rPr>
        <w:t>heritage </w:t>
      </w:r>
      <w:r>
        <w:rPr>
          <w:spacing w:val="-3"/>
          <w:w w:val="105"/>
          <w:sz w:val="21"/>
        </w:rPr>
        <w:t>resources that are </w:t>
      </w:r>
      <w:r>
        <w:rPr>
          <w:w w:val="105"/>
          <w:sz w:val="21"/>
        </w:rPr>
        <w:t>of state-level </w:t>
      </w:r>
      <w:r>
        <w:rPr>
          <w:spacing w:val="-4"/>
          <w:w w:val="105"/>
          <w:sz w:val="21"/>
        </w:rPr>
        <w:t>significance.</w:t>
      </w:r>
      <w:r>
        <w:rPr>
          <w:spacing w:val="-4"/>
          <w:w w:val="105"/>
          <w:position w:val="7"/>
          <w:sz w:val="12"/>
        </w:rPr>
        <w:t>121 </w:t>
      </w:r>
      <w:r>
        <w:rPr>
          <w:w w:val="105"/>
          <w:sz w:val="21"/>
        </w:rPr>
        <w:t>The Act establishes the Heritage </w:t>
      </w:r>
      <w:r>
        <w:rPr>
          <w:spacing w:val="-4"/>
          <w:w w:val="105"/>
          <w:sz w:val="21"/>
        </w:rPr>
        <w:t>Council, </w:t>
      </w:r>
      <w:r>
        <w:rPr>
          <w:w w:val="105"/>
          <w:sz w:val="21"/>
        </w:rPr>
        <w:t>which is an independent statutory body </w:t>
      </w:r>
      <w:r>
        <w:rPr>
          <w:spacing w:val="-3"/>
          <w:w w:val="105"/>
          <w:sz w:val="21"/>
        </w:rPr>
        <w:t>that </w:t>
      </w:r>
      <w:r>
        <w:rPr>
          <w:w w:val="105"/>
          <w:sz w:val="21"/>
        </w:rPr>
        <w:t>identifies and protects </w:t>
      </w:r>
      <w:r>
        <w:rPr>
          <w:spacing w:val="-3"/>
          <w:w w:val="105"/>
          <w:sz w:val="21"/>
        </w:rPr>
        <w:t>registered </w:t>
      </w:r>
      <w:r>
        <w:rPr>
          <w:spacing w:val="-2"/>
          <w:w w:val="105"/>
          <w:sz w:val="21"/>
        </w:rPr>
        <w:t>places </w:t>
      </w:r>
      <w:r>
        <w:rPr>
          <w:w w:val="105"/>
          <w:sz w:val="21"/>
        </w:rPr>
        <w:t>and objects of </w:t>
      </w:r>
      <w:r>
        <w:rPr>
          <w:spacing w:val="-3"/>
          <w:w w:val="105"/>
          <w:sz w:val="21"/>
        </w:rPr>
        <w:t>cultural significance to </w:t>
      </w:r>
      <w:r>
        <w:rPr>
          <w:spacing w:val="-4"/>
          <w:w w:val="105"/>
          <w:sz w:val="21"/>
        </w:rPr>
        <w:t>Victoria.</w:t>
      </w:r>
      <w:r>
        <w:rPr>
          <w:spacing w:val="-4"/>
          <w:w w:val="105"/>
          <w:position w:val="7"/>
          <w:sz w:val="12"/>
        </w:rPr>
        <w:t>122 </w:t>
      </w:r>
      <w:r>
        <w:rPr>
          <w:w w:val="105"/>
          <w:sz w:val="21"/>
        </w:rPr>
        <w:t>The Heritage </w:t>
      </w:r>
      <w:r>
        <w:rPr>
          <w:spacing w:val="-4"/>
          <w:w w:val="105"/>
          <w:sz w:val="21"/>
        </w:rPr>
        <w:t>Council </w:t>
      </w:r>
      <w:r>
        <w:rPr>
          <w:w w:val="105"/>
          <w:sz w:val="21"/>
        </w:rPr>
        <w:t>or the Executive Director of Heritage Victoria can </w:t>
      </w:r>
      <w:r>
        <w:rPr>
          <w:spacing w:val="-3"/>
          <w:w w:val="105"/>
          <w:sz w:val="21"/>
        </w:rPr>
        <w:t>create exemptions to </w:t>
      </w:r>
      <w:r>
        <w:rPr>
          <w:w w:val="105"/>
          <w:sz w:val="21"/>
        </w:rPr>
        <w:t>permits</w:t>
      </w:r>
      <w:r>
        <w:rPr>
          <w:spacing w:val="-9"/>
          <w:w w:val="105"/>
          <w:sz w:val="21"/>
        </w:rPr>
        <w:t> </w:t>
      </w:r>
      <w:r>
        <w:rPr>
          <w:spacing w:val="-3"/>
          <w:w w:val="105"/>
          <w:sz w:val="21"/>
        </w:rPr>
        <w:t>to</w:t>
      </w:r>
      <w:r>
        <w:rPr>
          <w:spacing w:val="-9"/>
          <w:w w:val="105"/>
          <w:sz w:val="21"/>
        </w:rPr>
        <w:t> </w:t>
      </w:r>
      <w:r>
        <w:rPr>
          <w:spacing w:val="-3"/>
          <w:w w:val="105"/>
          <w:sz w:val="21"/>
        </w:rPr>
        <w:t>allow</w:t>
      </w:r>
      <w:r>
        <w:rPr>
          <w:spacing w:val="-9"/>
          <w:w w:val="105"/>
          <w:sz w:val="21"/>
        </w:rPr>
        <w:t> </w:t>
      </w:r>
      <w:r>
        <w:rPr>
          <w:w w:val="105"/>
          <w:sz w:val="21"/>
        </w:rPr>
        <w:t>certain</w:t>
      </w:r>
      <w:r>
        <w:rPr>
          <w:spacing w:val="-9"/>
          <w:w w:val="105"/>
          <w:sz w:val="21"/>
        </w:rPr>
        <w:t> </w:t>
      </w:r>
      <w:r>
        <w:rPr>
          <w:w w:val="105"/>
          <w:sz w:val="21"/>
        </w:rPr>
        <w:t>works</w:t>
      </w:r>
      <w:r>
        <w:rPr>
          <w:spacing w:val="-9"/>
          <w:w w:val="105"/>
          <w:sz w:val="21"/>
        </w:rPr>
        <w:t> </w:t>
      </w:r>
      <w:r>
        <w:rPr>
          <w:w w:val="105"/>
          <w:sz w:val="21"/>
        </w:rPr>
        <w:t>or</w:t>
      </w:r>
      <w:r>
        <w:rPr>
          <w:spacing w:val="-9"/>
          <w:w w:val="105"/>
          <w:sz w:val="21"/>
        </w:rPr>
        <w:t> </w:t>
      </w:r>
      <w:r>
        <w:rPr>
          <w:w w:val="105"/>
          <w:sz w:val="21"/>
        </w:rPr>
        <w:t>activities</w:t>
      </w:r>
      <w:r>
        <w:rPr>
          <w:spacing w:val="-9"/>
          <w:w w:val="105"/>
          <w:sz w:val="21"/>
        </w:rPr>
        <w:t> </w:t>
      </w:r>
      <w:r>
        <w:rPr>
          <w:spacing w:val="-3"/>
          <w:w w:val="105"/>
          <w:sz w:val="21"/>
        </w:rPr>
        <w:t>to</w:t>
      </w:r>
      <w:r>
        <w:rPr>
          <w:spacing w:val="-9"/>
          <w:w w:val="105"/>
          <w:sz w:val="21"/>
        </w:rPr>
        <w:t> </w:t>
      </w:r>
      <w:r>
        <w:rPr>
          <w:w w:val="105"/>
          <w:sz w:val="21"/>
        </w:rPr>
        <w:t>be</w:t>
      </w:r>
      <w:r>
        <w:rPr>
          <w:spacing w:val="-9"/>
          <w:w w:val="105"/>
          <w:sz w:val="21"/>
        </w:rPr>
        <w:t> </w:t>
      </w:r>
      <w:r>
        <w:rPr>
          <w:w w:val="105"/>
          <w:sz w:val="21"/>
        </w:rPr>
        <w:t>undertaken</w:t>
      </w:r>
      <w:r>
        <w:rPr>
          <w:spacing w:val="-9"/>
          <w:w w:val="105"/>
          <w:sz w:val="21"/>
        </w:rPr>
        <w:t> </w:t>
      </w:r>
      <w:r>
        <w:rPr>
          <w:w w:val="105"/>
          <w:sz w:val="21"/>
        </w:rPr>
        <w:t>without</w:t>
      </w:r>
      <w:r>
        <w:rPr>
          <w:spacing w:val="-9"/>
          <w:w w:val="105"/>
          <w:sz w:val="21"/>
        </w:rPr>
        <w:t> </w:t>
      </w:r>
      <w:r>
        <w:rPr>
          <w:w w:val="105"/>
          <w:sz w:val="21"/>
        </w:rPr>
        <w:t>a</w:t>
      </w:r>
      <w:r>
        <w:rPr>
          <w:spacing w:val="-9"/>
          <w:w w:val="105"/>
          <w:sz w:val="21"/>
        </w:rPr>
        <w:t> </w:t>
      </w:r>
      <w:r>
        <w:rPr>
          <w:w w:val="105"/>
          <w:sz w:val="21"/>
        </w:rPr>
        <w:t>heritage</w:t>
      </w:r>
      <w:r>
        <w:rPr>
          <w:spacing w:val="-9"/>
          <w:w w:val="105"/>
          <w:sz w:val="21"/>
        </w:rPr>
        <w:t> </w:t>
      </w:r>
      <w:r>
        <w:rPr>
          <w:spacing w:val="-4"/>
          <w:w w:val="105"/>
          <w:sz w:val="21"/>
        </w:rPr>
        <w:t>permit.</w:t>
      </w:r>
      <w:r>
        <w:rPr>
          <w:spacing w:val="-4"/>
          <w:w w:val="105"/>
          <w:position w:val="7"/>
          <w:sz w:val="12"/>
        </w:rPr>
        <w:t>123</w:t>
      </w:r>
      <w:r>
        <w:rPr>
          <w:spacing w:val="-4"/>
          <w:w w:val="105"/>
          <w:sz w:val="12"/>
        </w:rPr>
        <w:t> </w:t>
      </w:r>
      <w:r>
        <w:rPr>
          <w:w w:val="105"/>
          <w:sz w:val="21"/>
        </w:rPr>
        <w:t>The Heritage Act specifies </w:t>
      </w:r>
      <w:r>
        <w:rPr>
          <w:spacing w:val="-3"/>
          <w:w w:val="105"/>
          <w:sz w:val="21"/>
        </w:rPr>
        <w:t>that </w:t>
      </w:r>
      <w:r>
        <w:rPr>
          <w:w w:val="105"/>
          <w:sz w:val="21"/>
        </w:rPr>
        <w:t>a </w:t>
      </w:r>
      <w:r>
        <w:rPr>
          <w:spacing w:val="-3"/>
          <w:w w:val="105"/>
          <w:sz w:val="21"/>
        </w:rPr>
        <w:t>formal </w:t>
      </w:r>
      <w:r>
        <w:rPr>
          <w:w w:val="105"/>
          <w:sz w:val="21"/>
        </w:rPr>
        <w:t>application must be made </w:t>
      </w:r>
      <w:r>
        <w:rPr>
          <w:spacing w:val="-3"/>
          <w:w w:val="105"/>
          <w:sz w:val="21"/>
        </w:rPr>
        <w:t>to </w:t>
      </w:r>
      <w:r>
        <w:rPr>
          <w:w w:val="105"/>
          <w:sz w:val="21"/>
        </w:rPr>
        <w:t>seek an exemption </w:t>
      </w:r>
      <w:r>
        <w:rPr>
          <w:spacing w:val="-3"/>
          <w:w w:val="105"/>
          <w:sz w:val="21"/>
        </w:rPr>
        <w:t>from </w:t>
      </w:r>
      <w:r>
        <w:rPr>
          <w:w w:val="105"/>
          <w:sz w:val="21"/>
        </w:rPr>
        <w:t>the need </w:t>
      </w:r>
      <w:r>
        <w:rPr>
          <w:spacing w:val="-3"/>
          <w:w w:val="105"/>
          <w:sz w:val="21"/>
        </w:rPr>
        <w:t>to </w:t>
      </w:r>
      <w:r>
        <w:rPr>
          <w:w w:val="105"/>
          <w:sz w:val="21"/>
        </w:rPr>
        <w:t>obtain a </w:t>
      </w:r>
      <w:r>
        <w:rPr>
          <w:spacing w:val="-5"/>
          <w:w w:val="105"/>
          <w:sz w:val="21"/>
        </w:rPr>
        <w:t>permit.</w:t>
      </w:r>
      <w:r>
        <w:rPr>
          <w:spacing w:val="-5"/>
          <w:w w:val="105"/>
          <w:position w:val="7"/>
          <w:sz w:val="12"/>
        </w:rPr>
        <w:t>124 </w:t>
      </w:r>
      <w:r>
        <w:rPr>
          <w:w w:val="105"/>
          <w:sz w:val="21"/>
        </w:rPr>
        <w:t>A permit exemption </w:t>
      </w:r>
      <w:r>
        <w:rPr>
          <w:spacing w:val="-3"/>
          <w:w w:val="105"/>
          <w:sz w:val="21"/>
        </w:rPr>
        <w:t>will generally </w:t>
      </w:r>
      <w:r>
        <w:rPr>
          <w:w w:val="105"/>
          <w:sz w:val="21"/>
        </w:rPr>
        <w:t>be</w:t>
      </w:r>
      <w:r>
        <w:rPr>
          <w:spacing w:val="26"/>
          <w:w w:val="105"/>
          <w:sz w:val="21"/>
        </w:rPr>
        <w:t> </w:t>
      </w:r>
      <w:r>
        <w:rPr>
          <w:w w:val="105"/>
          <w:sz w:val="21"/>
        </w:rPr>
        <w:t>issued:</w:t>
      </w:r>
    </w:p>
    <w:p>
      <w:pPr>
        <w:pStyle w:val="ListParagraph"/>
        <w:numPr>
          <w:ilvl w:val="2"/>
          <w:numId w:val="16"/>
        </w:numPr>
        <w:tabs>
          <w:tab w:pos="2721" w:val="left" w:leader="none"/>
          <w:tab w:pos="2722" w:val="left" w:leader="none"/>
        </w:tabs>
        <w:spacing w:line="240" w:lineRule="auto" w:before="128" w:after="0"/>
        <w:ind w:left="2721" w:right="0" w:hanging="340"/>
        <w:jc w:val="left"/>
        <w:rPr>
          <w:sz w:val="21"/>
        </w:rPr>
      </w:pPr>
      <w:r>
        <w:rPr>
          <w:sz w:val="21"/>
        </w:rPr>
        <w:t>if</w:t>
      </w:r>
      <w:r>
        <w:rPr>
          <w:spacing w:val="8"/>
          <w:sz w:val="21"/>
        </w:rPr>
        <w:t> </w:t>
      </w:r>
      <w:r>
        <w:rPr>
          <w:sz w:val="21"/>
        </w:rPr>
        <w:t>the</w:t>
      </w:r>
      <w:r>
        <w:rPr>
          <w:spacing w:val="9"/>
          <w:sz w:val="21"/>
        </w:rPr>
        <w:t> </w:t>
      </w:r>
      <w:r>
        <w:rPr>
          <w:sz w:val="21"/>
        </w:rPr>
        <w:t>works</w:t>
      </w:r>
      <w:r>
        <w:rPr>
          <w:spacing w:val="9"/>
          <w:sz w:val="21"/>
        </w:rPr>
        <w:t> </w:t>
      </w:r>
      <w:r>
        <w:rPr>
          <w:spacing w:val="-3"/>
          <w:sz w:val="21"/>
        </w:rPr>
        <w:t>relate</w:t>
      </w:r>
      <w:r>
        <w:rPr>
          <w:spacing w:val="9"/>
          <w:sz w:val="21"/>
        </w:rPr>
        <w:t> </w:t>
      </w:r>
      <w:r>
        <w:rPr>
          <w:spacing w:val="-3"/>
          <w:sz w:val="21"/>
        </w:rPr>
        <w:t>to</w:t>
      </w:r>
      <w:r>
        <w:rPr>
          <w:spacing w:val="9"/>
          <w:sz w:val="21"/>
        </w:rPr>
        <w:t> </w:t>
      </w:r>
      <w:r>
        <w:rPr>
          <w:sz w:val="21"/>
        </w:rPr>
        <w:t>conservation</w:t>
      </w:r>
      <w:r>
        <w:rPr>
          <w:spacing w:val="9"/>
          <w:sz w:val="21"/>
        </w:rPr>
        <w:t> </w:t>
      </w:r>
      <w:r>
        <w:rPr>
          <w:sz w:val="21"/>
        </w:rPr>
        <w:t>of</w:t>
      </w:r>
      <w:r>
        <w:rPr>
          <w:spacing w:val="9"/>
          <w:sz w:val="21"/>
        </w:rPr>
        <w:t> </w:t>
      </w:r>
      <w:r>
        <w:rPr>
          <w:sz w:val="21"/>
        </w:rPr>
        <w:t>a</w:t>
      </w:r>
      <w:r>
        <w:rPr>
          <w:spacing w:val="9"/>
          <w:sz w:val="21"/>
        </w:rPr>
        <w:t> </w:t>
      </w:r>
      <w:r>
        <w:rPr>
          <w:spacing w:val="-3"/>
          <w:sz w:val="21"/>
        </w:rPr>
        <w:t>place</w:t>
      </w:r>
      <w:r>
        <w:rPr>
          <w:spacing w:val="9"/>
          <w:sz w:val="21"/>
        </w:rPr>
        <w:t> </w:t>
      </w:r>
      <w:r>
        <w:rPr>
          <w:sz w:val="21"/>
        </w:rPr>
        <w:t>or</w:t>
      </w:r>
      <w:r>
        <w:rPr>
          <w:spacing w:val="9"/>
          <w:sz w:val="21"/>
        </w:rPr>
        <w:t> </w:t>
      </w:r>
      <w:r>
        <w:rPr>
          <w:sz w:val="21"/>
        </w:rPr>
        <w:t>object</w:t>
      </w:r>
    </w:p>
    <w:p>
      <w:pPr>
        <w:pStyle w:val="ListParagraph"/>
        <w:numPr>
          <w:ilvl w:val="2"/>
          <w:numId w:val="16"/>
        </w:numPr>
        <w:tabs>
          <w:tab w:pos="2721" w:val="left" w:leader="none"/>
          <w:tab w:pos="2722" w:val="left" w:leader="none"/>
        </w:tabs>
        <w:spacing w:line="242" w:lineRule="auto" w:before="89" w:after="0"/>
        <w:ind w:left="2721" w:right="2617" w:hanging="340"/>
        <w:jc w:val="left"/>
        <w:rPr>
          <w:sz w:val="21"/>
        </w:rPr>
      </w:pPr>
      <w:r>
        <w:rPr>
          <w:spacing w:val="-3"/>
          <w:sz w:val="21"/>
        </w:rPr>
        <w:t>for routine maintenance </w:t>
      </w:r>
      <w:r>
        <w:rPr>
          <w:sz w:val="21"/>
        </w:rPr>
        <w:t>activities which </w:t>
      </w:r>
      <w:r>
        <w:rPr>
          <w:spacing w:val="-3"/>
          <w:sz w:val="21"/>
        </w:rPr>
        <w:t>will </w:t>
      </w:r>
      <w:r>
        <w:rPr>
          <w:spacing w:val="-2"/>
          <w:sz w:val="21"/>
        </w:rPr>
        <w:t>not </w:t>
      </w:r>
      <w:r>
        <w:rPr>
          <w:spacing w:val="-3"/>
          <w:sz w:val="21"/>
        </w:rPr>
        <w:t>harm </w:t>
      </w:r>
      <w:r>
        <w:rPr>
          <w:sz w:val="21"/>
        </w:rPr>
        <w:t>the </w:t>
      </w:r>
      <w:r>
        <w:rPr>
          <w:spacing w:val="-3"/>
          <w:sz w:val="21"/>
        </w:rPr>
        <w:t>cultural </w:t>
      </w:r>
      <w:r>
        <w:rPr>
          <w:sz w:val="21"/>
        </w:rPr>
        <w:t>heritage </w:t>
      </w:r>
      <w:r>
        <w:rPr>
          <w:spacing w:val="-3"/>
          <w:sz w:val="21"/>
        </w:rPr>
        <w:t>significance </w:t>
      </w:r>
      <w:r>
        <w:rPr>
          <w:sz w:val="21"/>
        </w:rPr>
        <w:t>of the </w:t>
      </w:r>
      <w:r>
        <w:rPr>
          <w:spacing w:val="-3"/>
          <w:sz w:val="21"/>
        </w:rPr>
        <w:t>place </w:t>
      </w:r>
      <w:r>
        <w:rPr>
          <w:sz w:val="21"/>
        </w:rPr>
        <w:t>or</w:t>
      </w:r>
      <w:r>
        <w:rPr>
          <w:spacing w:val="5"/>
          <w:sz w:val="21"/>
        </w:rPr>
        <w:t> </w:t>
      </w:r>
      <w:r>
        <w:rPr>
          <w:sz w:val="21"/>
        </w:rPr>
        <w:t>object</w:t>
      </w:r>
    </w:p>
    <w:p>
      <w:pPr>
        <w:pStyle w:val="ListParagraph"/>
        <w:numPr>
          <w:ilvl w:val="2"/>
          <w:numId w:val="16"/>
        </w:numPr>
        <w:tabs>
          <w:tab w:pos="2721" w:val="left" w:leader="none"/>
          <w:tab w:pos="2722" w:val="left" w:leader="none"/>
        </w:tabs>
        <w:spacing w:line="242" w:lineRule="auto" w:before="87" w:after="0"/>
        <w:ind w:left="2721" w:right="2479" w:hanging="340"/>
        <w:jc w:val="left"/>
        <w:rPr>
          <w:sz w:val="21"/>
        </w:rPr>
      </w:pPr>
      <w:r>
        <w:rPr>
          <w:spacing w:val="-3"/>
          <w:sz w:val="21"/>
        </w:rPr>
        <w:t>to remove </w:t>
      </w:r>
      <w:r>
        <w:rPr>
          <w:sz w:val="21"/>
        </w:rPr>
        <w:t>dead, diseased or </w:t>
      </w:r>
      <w:r>
        <w:rPr>
          <w:spacing w:val="-3"/>
          <w:sz w:val="21"/>
        </w:rPr>
        <w:t>dangerous </w:t>
      </w:r>
      <w:r>
        <w:rPr>
          <w:sz w:val="21"/>
        </w:rPr>
        <w:t>trees provided an arborist’s report is </w:t>
      </w:r>
      <w:r>
        <w:rPr>
          <w:spacing w:val="-2"/>
          <w:sz w:val="21"/>
        </w:rPr>
        <w:t>submitted </w:t>
      </w:r>
      <w:r>
        <w:rPr>
          <w:sz w:val="21"/>
        </w:rPr>
        <w:t>verifying the </w:t>
      </w:r>
      <w:r>
        <w:rPr>
          <w:spacing w:val="-3"/>
          <w:sz w:val="21"/>
        </w:rPr>
        <w:t>condition </w:t>
      </w:r>
      <w:r>
        <w:rPr>
          <w:sz w:val="21"/>
        </w:rPr>
        <w:t>of the</w:t>
      </w:r>
      <w:r>
        <w:rPr>
          <w:spacing w:val="18"/>
          <w:sz w:val="21"/>
        </w:rPr>
        <w:t> </w:t>
      </w:r>
      <w:r>
        <w:rPr>
          <w:spacing w:val="-6"/>
          <w:sz w:val="21"/>
        </w:rPr>
        <w:t>tree.</w:t>
      </w:r>
      <w:r>
        <w:rPr>
          <w:spacing w:val="-6"/>
          <w:position w:val="7"/>
          <w:sz w:val="12"/>
        </w:rPr>
        <w:t>125</w:t>
      </w:r>
    </w:p>
    <w:p>
      <w:pPr>
        <w:pStyle w:val="ListParagraph"/>
        <w:numPr>
          <w:ilvl w:val="1"/>
          <w:numId w:val="16"/>
        </w:numPr>
        <w:tabs>
          <w:tab w:pos="2380" w:val="left" w:leader="none"/>
          <w:tab w:pos="2381" w:val="left" w:leader="none"/>
        </w:tabs>
        <w:spacing w:line="242" w:lineRule="auto" w:before="88" w:after="0"/>
        <w:ind w:left="2381" w:right="1642" w:hanging="794"/>
        <w:jc w:val="left"/>
        <w:rPr>
          <w:sz w:val="21"/>
        </w:rPr>
      </w:pPr>
      <w:r>
        <w:rPr>
          <w:w w:val="105"/>
          <w:sz w:val="21"/>
        </w:rPr>
        <w:t>The</w:t>
      </w:r>
      <w:r>
        <w:rPr>
          <w:spacing w:val="-5"/>
          <w:w w:val="105"/>
          <w:sz w:val="21"/>
        </w:rPr>
        <w:t> </w:t>
      </w:r>
      <w:r>
        <w:rPr>
          <w:w w:val="105"/>
          <w:sz w:val="21"/>
        </w:rPr>
        <w:t>Heritage</w:t>
      </w:r>
      <w:r>
        <w:rPr>
          <w:spacing w:val="-4"/>
          <w:w w:val="105"/>
          <w:sz w:val="21"/>
        </w:rPr>
        <w:t> </w:t>
      </w:r>
      <w:r>
        <w:rPr>
          <w:w w:val="105"/>
          <w:sz w:val="21"/>
        </w:rPr>
        <w:t>Act</w:t>
      </w:r>
      <w:r>
        <w:rPr>
          <w:spacing w:val="-4"/>
          <w:w w:val="105"/>
          <w:sz w:val="21"/>
        </w:rPr>
        <w:t> </w:t>
      </w:r>
      <w:r>
        <w:rPr>
          <w:w w:val="105"/>
          <w:sz w:val="21"/>
        </w:rPr>
        <w:t>does</w:t>
      </w:r>
      <w:r>
        <w:rPr>
          <w:spacing w:val="-4"/>
          <w:w w:val="105"/>
          <w:sz w:val="21"/>
        </w:rPr>
        <w:t> </w:t>
      </w:r>
      <w:r>
        <w:rPr>
          <w:spacing w:val="-2"/>
          <w:w w:val="105"/>
          <w:sz w:val="21"/>
        </w:rPr>
        <w:t>not</w:t>
      </w:r>
      <w:r>
        <w:rPr>
          <w:spacing w:val="-4"/>
          <w:w w:val="105"/>
          <w:sz w:val="21"/>
        </w:rPr>
        <w:t> </w:t>
      </w:r>
      <w:r>
        <w:rPr>
          <w:w w:val="105"/>
          <w:sz w:val="21"/>
        </w:rPr>
        <w:t>otherwise</w:t>
      </w:r>
      <w:r>
        <w:rPr>
          <w:spacing w:val="-4"/>
          <w:w w:val="105"/>
          <w:sz w:val="21"/>
        </w:rPr>
        <w:t> </w:t>
      </w:r>
      <w:r>
        <w:rPr>
          <w:spacing w:val="-3"/>
          <w:w w:val="105"/>
          <w:sz w:val="21"/>
        </w:rPr>
        <w:t>contain</w:t>
      </w:r>
      <w:r>
        <w:rPr>
          <w:spacing w:val="-4"/>
          <w:w w:val="105"/>
          <w:sz w:val="21"/>
        </w:rPr>
        <w:t> </w:t>
      </w:r>
      <w:r>
        <w:rPr>
          <w:w w:val="105"/>
          <w:sz w:val="21"/>
        </w:rPr>
        <w:t>an</w:t>
      </w:r>
      <w:r>
        <w:rPr>
          <w:spacing w:val="-4"/>
          <w:w w:val="105"/>
          <w:sz w:val="21"/>
        </w:rPr>
        <w:t> </w:t>
      </w:r>
      <w:r>
        <w:rPr>
          <w:w w:val="105"/>
          <w:sz w:val="21"/>
        </w:rPr>
        <w:t>exemption</w:t>
      </w:r>
      <w:r>
        <w:rPr>
          <w:spacing w:val="-4"/>
          <w:w w:val="105"/>
          <w:sz w:val="21"/>
        </w:rPr>
        <w:t> </w:t>
      </w:r>
      <w:r>
        <w:rPr>
          <w:spacing w:val="-3"/>
          <w:w w:val="105"/>
          <w:sz w:val="21"/>
        </w:rPr>
        <w:t>allowing</w:t>
      </w:r>
      <w:r>
        <w:rPr>
          <w:spacing w:val="-4"/>
          <w:w w:val="105"/>
          <w:sz w:val="21"/>
        </w:rPr>
        <w:t> </w:t>
      </w:r>
      <w:r>
        <w:rPr>
          <w:w w:val="105"/>
          <w:sz w:val="21"/>
        </w:rPr>
        <w:t>emergency</w:t>
      </w:r>
      <w:r>
        <w:rPr>
          <w:spacing w:val="-4"/>
          <w:w w:val="105"/>
          <w:sz w:val="21"/>
        </w:rPr>
        <w:t> </w:t>
      </w:r>
      <w:r>
        <w:rPr>
          <w:w w:val="105"/>
          <w:sz w:val="21"/>
        </w:rPr>
        <w:t>works</w:t>
      </w:r>
      <w:r>
        <w:rPr>
          <w:spacing w:val="-4"/>
          <w:w w:val="105"/>
          <w:sz w:val="21"/>
        </w:rPr>
        <w:t> </w:t>
      </w:r>
      <w:r>
        <w:rPr>
          <w:spacing w:val="-3"/>
          <w:w w:val="105"/>
          <w:sz w:val="21"/>
        </w:rPr>
        <w:t>to </w:t>
      </w:r>
      <w:r>
        <w:rPr>
          <w:w w:val="105"/>
          <w:sz w:val="21"/>
        </w:rPr>
        <w:t>heritage-listed </w:t>
      </w:r>
      <w:r>
        <w:rPr>
          <w:spacing w:val="-2"/>
          <w:w w:val="105"/>
          <w:sz w:val="21"/>
        </w:rPr>
        <w:t>places </w:t>
      </w:r>
      <w:r>
        <w:rPr>
          <w:w w:val="105"/>
          <w:sz w:val="21"/>
        </w:rPr>
        <w:t>or</w:t>
      </w:r>
      <w:r>
        <w:rPr>
          <w:spacing w:val="16"/>
          <w:w w:val="105"/>
          <w:sz w:val="21"/>
        </w:rPr>
        <w:t> </w:t>
      </w:r>
      <w:r>
        <w:rPr>
          <w:w w:val="105"/>
          <w:sz w:val="21"/>
        </w:rPr>
        <w:t>objects.</w:t>
      </w:r>
    </w:p>
    <w:p>
      <w:pPr>
        <w:pStyle w:val="ListParagraph"/>
        <w:numPr>
          <w:ilvl w:val="1"/>
          <w:numId w:val="16"/>
        </w:numPr>
        <w:tabs>
          <w:tab w:pos="2380" w:val="left" w:leader="none"/>
          <w:tab w:pos="2381" w:val="left" w:leader="none"/>
        </w:tabs>
        <w:spacing w:line="242" w:lineRule="auto" w:before="122" w:after="0"/>
        <w:ind w:left="2380" w:right="1915" w:hanging="793"/>
        <w:jc w:val="left"/>
        <w:rPr>
          <w:sz w:val="21"/>
        </w:rPr>
      </w:pPr>
      <w:r>
        <w:rPr>
          <w:w w:val="105"/>
          <w:sz w:val="21"/>
        </w:rPr>
        <w:t>The Heritage </w:t>
      </w:r>
      <w:r>
        <w:rPr>
          <w:spacing w:val="-4"/>
          <w:w w:val="105"/>
          <w:sz w:val="21"/>
        </w:rPr>
        <w:t>Council </w:t>
      </w:r>
      <w:r>
        <w:rPr>
          <w:w w:val="105"/>
          <w:sz w:val="21"/>
        </w:rPr>
        <w:t>can review permits </w:t>
      </w:r>
      <w:r>
        <w:rPr>
          <w:spacing w:val="-3"/>
          <w:w w:val="105"/>
          <w:sz w:val="21"/>
        </w:rPr>
        <w:t>that have </w:t>
      </w:r>
      <w:r>
        <w:rPr>
          <w:w w:val="105"/>
          <w:sz w:val="21"/>
        </w:rPr>
        <w:t>been </w:t>
      </w:r>
      <w:r>
        <w:rPr>
          <w:spacing w:val="-3"/>
          <w:w w:val="105"/>
          <w:sz w:val="21"/>
        </w:rPr>
        <w:t>refused </w:t>
      </w:r>
      <w:r>
        <w:rPr>
          <w:w w:val="105"/>
          <w:sz w:val="21"/>
        </w:rPr>
        <w:t>by Heritage Victoria and</w:t>
      </w:r>
      <w:r>
        <w:rPr>
          <w:spacing w:val="-8"/>
          <w:w w:val="105"/>
          <w:sz w:val="21"/>
        </w:rPr>
        <w:t> </w:t>
      </w:r>
      <w:r>
        <w:rPr>
          <w:spacing w:val="-3"/>
          <w:w w:val="105"/>
          <w:sz w:val="21"/>
        </w:rPr>
        <w:t>conditions</w:t>
      </w:r>
      <w:r>
        <w:rPr>
          <w:spacing w:val="-7"/>
          <w:w w:val="105"/>
          <w:sz w:val="21"/>
        </w:rPr>
        <w:t> </w:t>
      </w:r>
      <w:r>
        <w:rPr>
          <w:w w:val="105"/>
          <w:sz w:val="21"/>
        </w:rPr>
        <w:t>attached</w:t>
      </w:r>
      <w:r>
        <w:rPr>
          <w:spacing w:val="-8"/>
          <w:w w:val="105"/>
          <w:sz w:val="21"/>
        </w:rPr>
        <w:t> </w:t>
      </w:r>
      <w:r>
        <w:rPr>
          <w:spacing w:val="-3"/>
          <w:w w:val="105"/>
          <w:sz w:val="21"/>
        </w:rPr>
        <w:t>to</w:t>
      </w:r>
      <w:r>
        <w:rPr>
          <w:spacing w:val="-7"/>
          <w:w w:val="105"/>
          <w:sz w:val="21"/>
        </w:rPr>
        <w:t> </w:t>
      </w:r>
      <w:r>
        <w:rPr>
          <w:spacing w:val="-4"/>
          <w:w w:val="105"/>
          <w:sz w:val="21"/>
        </w:rPr>
        <w:t>permits.</w:t>
      </w:r>
      <w:r>
        <w:rPr>
          <w:spacing w:val="-4"/>
          <w:w w:val="105"/>
          <w:position w:val="7"/>
          <w:sz w:val="12"/>
        </w:rPr>
        <w:t>126</w:t>
      </w:r>
      <w:r>
        <w:rPr>
          <w:spacing w:val="15"/>
          <w:w w:val="105"/>
          <w:position w:val="7"/>
          <w:sz w:val="12"/>
        </w:rPr>
        <w:t> </w:t>
      </w:r>
      <w:r>
        <w:rPr>
          <w:w w:val="105"/>
          <w:sz w:val="21"/>
        </w:rPr>
        <w:t>The</w:t>
      </w:r>
      <w:r>
        <w:rPr>
          <w:spacing w:val="-7"/>
          <w:w w:val="105"/>
          <w:sz w:val="21"/>
        </w:rPr>
        <w:t> </w:t>
      </w:r>
      <w:r>
        <w:rPr>
          <w:spacing w:val="-3"/>
          <w:w w:val="105"/>
          <w:sz w:val="21"/>
        </w:rPr>
        <w:t>Minister</w:t>
      </w:r>
      <w:r>
        <w:rPr>
          <w:spacing w:val="-8"/>
          <w:w w:val="105"/>
          <w:sz w:val="21"/>
        </w:rPr>
        <w:t> </w:t>
      </w:r>
      <w:r>
        <w:rPr>
          <w:spacing w:val="-3"/>
          <w:w w:val="105"/>
          <w:sz w:val="21"/>
        </w:rPr>
        <w:t>may</w:t>
      </w:r>
      <w:r>
        <w:rPr>
          <w:spacing w:val="-7"/>
          <w:w w:val="105"/>
          <w:sz w:val="21"/>
        </w:rPr>
        <w:t> </w:t>
      </w:r>
      <w:r>
        <w:rPr>
          <w:w w:val="105"/>
          <w:sz w:val="21"/>
        </w:rPr>
        <w:t>also</w:t>
      </w:r>
      <w:r>
        <w:rPr>
          <w:spacing w:val="-8"/>
          <w:w w:val="105"/>
          <w:sz w:val="21"/>
        </w:rPr>
        <w:t> </w:t>
      </w:r>
      <w:r>
        <w:rPr>
          <w:w w:val="105"/>
          <w:sz w:val="21"/>
        </w:rPr>
        <w:t>call-in</w:t>
      </w:r>
      <w:r>
        <w:rPr>
          <w:spacing w:val="-7"/>
          <w:w w:val="105"/>
          <w:sz w:val="21"/>
        </w:rPr>
        <w:t> </w:t>
      </w:r>
      <w:r>
        <w:rPr>
          <w:w w:val="105"/>
          <w:sz w:val="21"/>
        </w:rPr>
        <w:t>a</w:t>
      </w:r>
      <w:r>
        <w:rPr>
          <w:spacing w:val="-7"/>
          <w:w w:val="105"/>
          <w:sz w:val="21"/>
        </w:rPr>
        <w:t> </w:t>
      </w:r>
      <w:r>
        <w:rPr>
          <w:w w:val="105"/>
          <w:sz w:val="21"/>
        </w:rPr>
        <w:t>review</w:t>
      </w:r>
      <w:r>
        <w:rPr>
          <w:spacing w:val="-8"/>
          <w:w w:val="105"/>
          <w:sz w:val="21"/>
        </w:rPr>
        <w:t> </w:t>
      </w:r>
      <w:r>
        <w:rPr>
          <w:w w:val="105"/>
          <w:sz w:val="21"/>
        </w:rPr>
        <w:t>and</w:t>
      </w:r>
      <w:r>
        <w:rPr>
          <w:spacing w:val="-7"/>
          <w:w w:val="105"/>
          <w:sz w:val="21"/>
        </w:rPr>
        <w:t> </w:t>
      </w:r>
      <w:r>
        <w:rPr>
          <w:w w:val="105"/>
          <w:sz w:val="21"/>
        </w:rPr>
        <w:t>either </w:t>
      </w:r>
      <w:r>
        <w:rPr>
          <w:spacing w:val="-3"/>
          <w:w w:val="105"/>
          <w:sz w:val="21"/>
        </w:rPr>
        <w:t>determine </w:t>
      </w:r>
      <w:r>
        <w:rPr>
          <w:w w:val="105"/>
          <w:sz w:val="21"/>
        </w:rPr>
        <w:t>the matter or </w:t>
      </w:r>
      <w:r>
        <w:rPr>
          <w:spacing w:val="-3"/>
          <w:w w:val="105"/>
          <w:sz w:val="21"/>
        </w:rPr>
        <w:t>refer </w:t>
      </w:r>
      <w:r>
        <w:rPr>
          <w:w w:val="105"/>
          <w:sz w:val="21"/>
        </w:rPr>
        <w:t>the matter </w:t>
      </w:r>
      <w:r>
        <w:rPr>
          <w:spacing w:val="-3"/>
          <w:w w:val="105"/>
          <w:sz w:val="21"/>
        </w:rPr>
        <w:t>to </w:t>
      </w:r>
      <w:r>
        <w:rPr>
          <w:spacing w:val="-5"/>
          <w:w w:val="105"/>
          <w:sz w:val="21"/>
        </w:rPr>
        <w:t>VCAT </w:t>
      </w:r>
      <w:r>
        <w:rPr>
          <w:spacing w:val="-3"/>
          <w:w w:val="105"/>
          <w:sz w:val="21"/>
        </w:rPr>
        <w:t>for</w:t>
      </w:r>
      <w:r>
        <w:rPr>
          <w:spacing w:val="38"/>
          <w:w w:val="105"/>
          <w:sz w:val="21"/>
        </w:rPr>
        <w:t> </w:t>
      </w:r>
      <w:r>
        <w:rPr>
          <w:spacing w:val="-4"/>
          <w:w w:val="105"/>
          <w:sz w:val="21"/>
        </w:rPr>
        <w:t>determination.</w:t>
      </w:r>
      <w:r>
        <w:rPr>
          <w:spacing w:val="-4"/>
          <w:w w:val="105"/>
          <w:position w:val="7"/>
          <w:sz w:val="12"/>
        </w:rPr>
        <w:t>127</w:t>
      </w:r>
    </w:p>
    <w:p>
      <w:pPr>
        <w:pStyle w:val="BodyText"/>
        <w:spacing w:before="10"/>
      </w:pPr>
    </w:p>
    <w:p>
      <w:pPr>
        <w:pStyle w:val="Heading4"/>
      </w:pPr>
      <w:r>
        <w:rPr>
          <w:color w:val="658464"/>
          <w:w w:val="115"/>
        </w:rPr>
        <w:t>The Aboriginal Heritage Act</w:t>
      </w:r>
    </w:p>
    <w:p>
      <w:pPr>
        <w:pStyle w:val="ListParagraph"/>
        <w:numPr>
          <w:ilvl w:val="1"/>
          <w:numId w:val="16"/>
        </w:numPr>
        <w:tabs>
          <w:tab w:pos="2381" w:val="left" w:leader="none"/>
          <w:tab w:pos="2382" w:val="left" w:leader="none"/>
        </w:tabs>
        <w:spacing w:line="242" w:lineRule="auto" w:before="155" w:after="0"/>
        <w:ind w:left="2381" w:right="1807" w:hanging="794"/>
        <w:jc w:val="left"/>
        <w:rPr>
          <w:sz w:val="21"/>
        </w:rPr>
      </w:pPr>
      <w:r>
        <w:rPr>
          <w:sz w:val="21"/>
        </w:rPr>
        <w:t>The </w:t>
      </w:r>
      <w:r>
        <w:rPr>
          <w:i/>
          <w:sz w:val="21"/>
        </w:rPr>
        <w:t>Aboriginal Heritage Act 2006 </w:t>
      </w:r>
      <w:r>
        <w:rPr>
          <w:sz w:val="21"/>
        </w:rPr>
        <w:t>(Vic) establishes the Victorian </w:t>
      </w:r>
      <w:r>
        <w:rPr>
          <w:spacing w:val="-3"/>
          <w:sz w:val="21"/>
        </w:rPr>
        <w:t>Aboriginal </w:t>
      </w:r>
      <w:r>
        <w:rPr>
          <w:sz w:val="21"/>
        </w:rPr>
        <w:t>Heritage Register (VAHR), which </w:t>
      </w:r>
      <w:r>
        <w:rPr>
          <w:spacing w:val="-3"/>
          <w:sz w:val="21"/>
        </w:rPr>
        <w:t>records </w:t>
      </w:r>
      <w:r>
        <w:rPr>
          <w:sz w:val="21"/>
        </w:rPr>
        <w:t>the details of </w:t>
      </w:r>
      <w:r>
        <w:rPr>
          <w:spacing w:val="-3"/>
          <w:sz w:val="21"/>
        </w:rPr>
        <w:t>all </w:t>
      </w:r>
      <w:r>
        <w:rPr>
          <w:sz w:val="21"/>
        </w:rPr>
        <w:t>known </w:t>
      </w:r>
      <w:r>
        <w:rPr>
          <w:spacing w:val="-3"/>
          <w:sz w:val="21"/>
        </w:rPr>
        <w:t>Aboriginal </w:t>
      </w:r>
      <w:r>
        <w:rPr>
          <w:sz w:val="21"/>
        </w:rPr>
        <w:t>objects and </w:t>
      </w:r>
      <w:r>
        <w:rPr>
          <w:spacing w:val="-2"/>
          <w:sz w:val="21"/>
        </w:rPr>
        <w:t>places </w:t>
      </w:r>
      <w:r>
        <w:rPr>
          <w:sz w:val="21"/>
        </w:rPr>
        <w:t>in </w:t>
      </w:r>
      <w:r>
        <w:rPr>
          <w:spacing w:val="-4"/>
          <w:sz w:val="21"/>
        </w:rPr>
        <w:t>Victoria.</w:t>
      </w:r>
      <w:r>
        <w:rPr>
          <w:spacing w:val="-4"/>
          <w:position w:val="7"/>
          <w:sz w:val="12"/>
        </w:rPr>
        <w:t>128 </w:t>
      </w:r>
      <w:r>
        <w:rPr>
          <w:sz w:val="21"/>
        </w:rPr>
        <w:t>The Act is </w:t>
      </w:r>
      <w:r>
        <w:rPr>
          <w:spacing w:val="-3"/>
          <w:sz w:val="21"/>
        </w:rPr>
        <w:t>administered </w:t>
      </w:r>
      <w:r>
        <w:rPr>
          <w:sz w:val="21"/>
        </w:rPr>
        <w:t>by </w:t>
      </w:r>
      <w:r>
        <w:rPr>
          <w:spacing w:val="-3"/>
          <w:sz w:val="21"/>
        </w:rPr>
        <w:t>Aboriginal</w:t>
      </w:r>
      <w:r>
        <w:rPr>
          <w:spacing w:val="23"/>
          <w:sz w:val="21"/>
        </w:rPr>
        <w:t> </w:t>
      </w:r>
      <w:r>
        <w:rPr>
          <w:spacing w:val="-4"/>
          <w:sz w:val="21"/>
        </w:rPr>
        <w:t>Victoria.</w:t>
      </w:r>
      <w:r>
        <w:rPr>
          <w:spacing w:val="-4"/>
          <w:position w:val="7"/>
          <w:sz w:val="12"/>
        </w:rPr>
        <w:t>129</w:t>
      </w:r>
    </w:p>
    <w:p>
      <w:pPr>
        <w:pStyle w:val="ListParagraph"/>
        <w:numPr>
          <w:ilvl w:val="1"/>
          <w:numId w:val="16"/>
        </w:numPr>
        <w:tabs>
          <w:tab w:pos="2381" w:val="left" w:leader="none"/>
          <w:tab w:pos="2382" w:val="left" w:leader="none"/>
        </w:tabs>
        <w:spacing w:line="242" w:lineRule="auto" w:before="123" w:after="0"/>
        <w:ind w:left="2381" w:right="1894" w:hanging="794"/>
        <w:jc w:val="left"/>
        <w:rPr>
          <w:sz w:val="21"/>
        </w:rPr>
      </w:pPr>
      <w:r>
        <w:rPr>
          <w:spacing w:val="-3"/>
          <w:w w:val="105"/>
          <w:sz w:val="21"/>
        </w:rPr>
        <w:t>Aboriginal </w:t>
      </w:r>
      <w:r>
        <w:rPr>
          <w:w w:val="105"/>
          <w:sz w:val="21"/>
        </w:rPr>
        <w:t>Victoria is a </w:t>
      </w:r>
      <w:r>
        <w:rPr>
          <w:spacing w:val="-3"/>
          <w:w w:val="105"/>
          <w:sz w:val="21"/>
        </w:rPr>
        <w:t>government </w:t>
      </w:r>
      <w:r>
        <w:rPr>
          <w:w w:val="105"/>
          <w:sz w:val="21"/>
        </w:rPr>
        <w:t>agency under the </w:t>
      </w:r>
      <w:r>
        <w:rPr>
          <w:spacing w:val="-3"/>
          <w:w w:val="105"/>
          <w:sz w:val="21"/>
        </w:rPr>
        <w:t>auspices </w:t>
      </w:r>
      <w:r>
        <w:rPr>
          <w:w w:val="105"/>
          <w:sz w:val="21"/>
        </w:rPr>
        <w:t>of the Department of Premier and </w:t>
      </w:r>
      <w:r>
        <w:rPr>
          <w:spacing w:val="-3"/>
          <w:w w:val="105"/>
          <w:sz w:val="21"/>
        </w:rPr>
        <w:t>Cabinet </w:t>
      </w:r>
      <w:r>
        <w:rPr>
          <w:w w:val="105"/>
          <w:sz w:val="21"/>
        </w:rPr>
        <w:t>(Vic). It is </w:t>
      </w:r>
      <w:r>
        <w:rPr>
          <w:spacing w:val="-3"/>
          <w:w w:val="105"/>
          <w:sz w:val="21"/>
        </w:rPr>
        <w:t>responsible for </w:t>
      </w:r>
      <w:r>
        <w:rPr>
          <w:w w:val="105"/>
          <w:sz w:val="21"/>
        </w:rPr>
        <w:t>the </w:t>
      </w:r>
      <w:r>
        <w:rPr>
          <w:spacing w:val="-2"/>
          <w:w w:val="105"/>
          <w:sz w:val="21"/>
        </w:rPr>
        <w:t>implementation </w:t>
      </w:r>
      <w:r>
        <w:rPr>
          <w:w w:val="105"/>
          <w:sz w:val="21"/>
        </w:rPr>
        <w:t>of the </w:t>
      </w:r>
      <w:r>
        <w:rPr>
          <w:i/>
          <w:w w:val="105"/>
          <w:sz w:val="21"/>
        </w:rPr>
        <w:t>Aboriginal </w:t>
      </w:r>
      <w:r>
        <w:rPr>
          <w:i/>
          <w:w w:val="105"/>
          <w:sz w:val="21"/>
        </w:rPr>
        <w:t>Heritage Act 2006 </w:t>
      </w:r>
      <w:r>
        <w:rPr>
          <w:w w:val="105"/>
          <w:sz w:val="21"/>
        </w:rPr>
        <w:t>(Vic). It </w:t>
      </w:r>
      <w:r>
        <w:rPr>
          <w:spacing w:val="-2"/>
          <w:w w:val="105"/>
          <w:sz w:val="21"/>
        </w:rPr>
        <w:t>has </w:t>
      </w:r>
      <w:r>
        <w:rPr>
          <w:w w:val="105"/>
          <w:sz w:val="21"/>
        </w:rPr>
        <w:t>a statutory function </w:t>
      </w:r>
      <w:r>
        <w:rPr>
          <w:spacing w:val="-3"/>
          <w:w w:val="105"/>
          <w:sz w:val="21"/>
        </w:rPr>
        <w:t>to maintain </w:t>
      </w:r>
      <w:r>
        <w:rPr>
          <w:w w:val="105"/>
          <w:sz w:val="21"/>
        </w:rPr>
        <w:t>the </w:t>
      </w:r>
      <w:r>
        <w:rPr>
          <w:spacing w:val="-3"/>
          <w:w w:val="105"/>
          <w:sz w:val="21"/>
        </w:rPr>
        <w:t>VAHR </w:t>
      </w:r>
      <w:r>
        <w:rPr>
          <w:w w:val="105"/>
          <w:sz w:val="21"/>
        </w:rPr>
        <w:t>and </w:t>
      </w:r>
      <w:r>
        <w:rPr>
          <w:spacing w:val="-3"/>
          <w:w w:val="105"/>
          <w:sz w:val="21"/>
        </w:rPr>
        <w:t>‘has regional teams </w:t>
      </w:r>
      <w:r>
        <w:rPr>
          <w:w w:val="105"/>
          <w:sz w:val="21"/>
        </w:rPr>
        <w:t>who assess </w:t>
      </w:r>
      <w:r>
        <w:rPr>
          <w:spacing w:val="-3"/>
          <w:w w:val="105"/>
          <w:sz w:val="21"/>
        </w:rPr>
        <w:t>recommendations for areas </w:t>
      </w:r>
      <w:r>
        <w:rPr>
          <w:w w:val="105"/>
          <w:sz w:val="21"/>
        </w:rPr>
        <w:t>or objects of </w:t>
      </w:r>
      <w:r>
        <w:rPr>
          <w:spacing w:val="-3"/>
          <w:w w:val="105"/>
          <w:sz w:val="21"/>
        </w:rPr>
        <w:t>Aboriginal cultural </w:t>
      </w:r>
      <w:r>
        <w:rPr>
          <w:w w:val="105"/>
          <w:sz w:val="21"/>
        </w:rPr>
        <w:t>heritage </w:t>
      </w:r>
      <w:r>
        <w:rPr>
          <w:spacing w:val="-3"/>
          <w:w w:val="105"/>
          <w:sz w:val="21"/>
        </w:rPr>
        <w:t>significance for inclusion </w:t>
      </w:r>
      <w:r>
        <w:rPr>
          <w:w w:val="105"/>
          <w:sz w:val="21"/>
        </w:rPr>
        <w:t>on the</w:t>
      </w:r>
      <w:r>
        <w:rPr>
          <w:spacing w:val="42"/>
          <w:w w:val="105"/>
          <w:sz w:val="21"/>
        </w:rPr>
        <w:t> </w:t>
      </w:r>
      <w:r>
        <w:rPr>
          <w:spacing w:val="-7"/>
          <w:w w:val="105"/>
          <w:sz w:val="21"/>
        </w:rPr>
        <w:t>VAHR’.</w:t>
      </w:r>
      <w:r>
        <w:rPr>
          <w:spacing w:val="-7"/>
          <w:w w:val="105"/>
          <w:position w:val="7"/>
          <w:sz w:val="12"/>
        </w:rPr>
        <w:t>130</w:t>
      </w:r>
    </w:p>
    <w:p>
      <w:pPr>
        <w:pStyle w:val="ListParagraph"/>
        <w:numPr>
          <w:ilvl w:val="1"/>
          <w:numId w:val="16"/>
        </w:numPr>
        <w:tabs>
          <w:tab w:pos="2380" w:val="left" w:leader="none"/>
          <w:tab w:pos="2381" w:val="left" w:leader="none"/>
        </w:tabs>
        <w:spacing w:line="242" w:lineRule="auto" w:before="126" w:after="0"/>
        <w:ind w:left="2381" w:right="2135" w:hanging="794"/>
        <w:jc w:val="left"/>
        <w:rPr>
          <w:sz w:val="21"/>
        </w:rPr>
      </w:pPr>
      <w:r>
        <w:rPr>
          <w:w w:val="105"/>
          <w:sz w:val="21"/>
        </w:rPr>
        <w:t>Registered </w:t>
      </w:r>
      <w:r>
        <w:rPr>
          <w:spacing w:val="-3"/>
          <w:w w:val="105"/>
          <w:sz w:val="21"/>
        </w:rPr>
        <w:t>Aboriginal </w:t>
      </w:r>
      <w:r>
        <w:rPr>
          <w:w w:val="105"/>
          <w:sz w:val="21"/>
        </w:rPr>
        <w:t>Parties </w:t>
      </w:r>
      <w:r>
        <w:rPr>
          <w:spacing w:val="2"/>
          <w:w w:val="105"/>
          <w:sz w:val="21"/>
        </w:rPr>
        <w:t>(RAPs) </w:t>
      </w:r>
      <w:r>
        <w:rPr>
          <w:spacing w:val="-3"/>
          <w:w w:val="105"/>
          <w:sz w:val="21"/>
        </w:rPr>
        <w:t>are organisations that </w:t>
      </w:r>
      <w:r>
        <w:rPr>
          <w:w w:val="105"/>
          <w:sz w:val="21"/>
        </w:rPr>
        <w:t>hold decision-making </w:t>
      </w:r>
      <w:r>
        <w:rPr>
          <w:spacing w:val="-3"/>
          <w:w w:val="105"/>
          <w:sz w:val="21"/>
        </w:rPr>
        <w:t>responsibilities </w:t>
      </w:r>
      <w:r>
        <w:rPr>
          <w:w w:val="105"/>
          <w:sz w:val="21"/>
        </w:rPr>
        <w:t>under the </w:t>
      </w:r>
      <w:r>
        <w:rPr>
          <w:spacing w:val="-3"/>
          <w:w w:val="105"/>
          <w:sz w:val="21"/>
        </w:rPr>
        <w:t>Aboriginal </w:t>
      </w:r>
      <w:r>
        <w:rPr>
          <w:w w:val="105"/>
          <w:sz w:val="21"/>
        </w:rPr>
        <w:t>Heritage Act in a specified geographical</w:t>
      </w:r>
      <w:r>
        <w:rPr>
          <w:spacing w:val="-34"/>
          <w:w w:val="105"/>
          <w:sz w:val="21"/>
        </w:rPr>
        <w:t> </w:t>
      </w:r>
      <w:r>
        <w:rPr>
          <w:spacing w:val="-6"/>
          <w:w w:val="105"/>
          <w:sz w:val="21"/>
        </w:rPr>
        <w:t>area.</w:t>
      </w:r>
      <w:r>
        <w:rPr>
          <w:spacing w:val="-6"/>
          <w:w w:val="105"/>
          <w:position w:val="7"/>
          <w:sz w:val="12"/>
        </w:rPr>
        <w:t>131</w:t>
      </w:r>
    </w:p>
    <w:p>
      <w:pPr>
        <w:pStyle w:val="ListParagraph"/>
        <w:numPr>
          <w:ilvl w:val="1"/>
          <w:numId w:val="16"/>
        </w:numPr>
        <w:tabs>
          <w:tab w:pos="2381" w:val="left" w:leader="none"/>
          <w:tab w:pos="2382" w:val="left" w:leader="none"/>
        </w:tabs>
        <w:spacing w:line="242" w:lineRule="auto" w:before="122" w:after="0"/>
        <w:ind w:left="2381" w:right="1925" w:hanging="794"/>
        <w:jc w:val="left"/>
        <w:rPr>
          <w:sz w:val="21"/>
        </w:rPr>
      </w:pPr>
      <w:r>
        <w:rPr>
          <w:w w:val="105"/>
          <w:sz w:val="21"/>
        </w:rPr>
        <w:t>The </w:t>
      </w:r>
      <w:r>
        <w:rPr>
          <w:spacing w:val="-3"/>
          <w:w w:val="105"/>
          <w:sz w:val="21"/>
        </w:rPr>
        <w:t>Aboriginal </w:t>
      </w:r>
      <w:r>
        <w:rPr>
          <w:w w:val="105"/>
          <w:sz w:val="21"/>
        </w:rPr>
        <w:t>Heritage Act </w:t>
      </w:r>
      <w:r>
        <w:rPr>
          <w:spacing w:val="-3"/>
          <w:w w:val="105"/>
          <w:sz w:val="21"/>
        </w:rPr>
        <w:t>aims to minimise </w:t>
      </w:r>
      <w:r>
        <w:rPr>
          <w:w w:val="105"/>
          <w:sz w:val="21"/>
        </w:rPr>
        <w:t>or </w:t>
      </w:r>
      <w:r>
        <w:rPr>
          <w:spacing w:val="-3"/>
          <w:w w:val="105"/>
          <w:sz w:val="21"/>
        </w:rPr>
        <w:t>prevent harm to Aboriginal heritage, including Aboriginal </w:t>
      </w:r>
      <w:r>
        <w:rPr>
          <w:w w:val="105"/>
          <w:sz w:val="21"/>
        </w:rPr>
        <w:t>scarred trees and other trees of </w:t>
      </w:r>
      <w:r>
        <w:rPr>
          <w:spacing w:val="-3"/>
          <w:w w:val="105"/>
          <w:sz w:val="21"/>
        </w:rPr>
        <w:t>indigenous cultural </w:t>
      </w:r>
      <w:r>
        <w:rPr>
          <w:spacing w:val="-4"/>
          <w:w w:val="105"/>
          <w:sz w:val="21"/>
        </w:rPr>
        <w:t>significance.</w:t>
      </w:r>
      <w:r>
        <w:rPr>
          <w:spacing w:val="-4"/>
          <w:w w:val="105"/>
          <w:position w:val="7"/>
          <w:sz w:val="12"/>
        </w:rPr>
        <w:t>132</w:t>
      </w:r>
      <w:r>
        <w:rPr>
          <w:spacing w:val="-4"/>
          <w:w w:val="105"/>
          <w:sz w:val="12"/>
        </w:rPr>
        <w:t> </w:t>
      </w:r>
      <w:r>
        <w:rPr>
          <w:w w:val="105"/>
          <w:sz w:val="21"/>
        </w:rPr>
        <w:t>Harm is broadly defined </w:t>
      </w:r>
      <w:r>
        <w:rPr>
          <w:spacing w:val="-3"/>
          <w:w w:val="105"/>
          <w:sz w:val="21"/>
        </w:rPr>
        <w:t>to include damage, destroy, disturb, injure </w:t>
      </w:r>
      <w:r>
        <w:rPr>
          <w:w w:val="105"/>
          <w:sz w:val="21"/>
        </w:rPr>
        <w:t>or </w:t>
      </w:r>
      <w:r>
        <w:rPr>
          <w:spacing w:val="-3"/>
          <w:w w:val="105"/>
          <w:sz w:val="21"/>
        </w:rPr>
        <w:t>interfere </w:t>
      </w:r>
      <w:r>
        <w:rPr>
          <w:spacing w:val="-5"/>
          <w:w w:val="105"/>
          <w:sz w:val="21"/>
        </w:rPr>
        <w:t>with.</w:t>
      </w:r>
      <w:r>
        <w:rPr>
          <w:spacing w:val="-5"/>
          <w:w w:val="105"/>
          <w:position w:val="7"/>
          <w:sz w:val="12"/>
        </w:rPr>
        <w:t>133</w:t>
      </w:r>
      <w:r>
        <w:rPr>
          <w:spacing w:val="-5"/>
          <w:w w:val="105"/>
          <w:sz w:val="12"/>
        </w:rPr>
        <w:t> </w:t>
      </w:r>
      <w:r>
        <w:rPr>
          <w:w w:val="105"/>
          <w:sz w:val="21"/>
        </w:rPr>
        <w:t>Harm would </w:t>
      </w:r>
      <w:r>
        <w:rPr>
          <w:spacing w:val="-3"/>
          <w:w w:val="105"/>
          <w:sz w:val="21"/>
        </w:rPr>
        <w:t>include pruning </w:t>
      </w:r>
      <w:r>
        <w:rPr>
          <w:w w:val="105"/>
          <w:sz w:val="21"/>
        </w:rPr>
        <w:t>an </w:t>
      </w:r>
      <w:r>
        <w:rPr>
          <w:spacing w:val="-3"/>
          <w:w w:val="105"/>
          <w:sz w:val="21"/>
        </w:rPr>
        <w:t>Aboriginal </w:t>
      </w:r>
      <w:r>
        <w:rPr>
          <w:w w:val="105"/>
          <w:sz w:val="21"/>
        </w:rPr>
        <w:t>scarred</w:t>
      </w:r>
      <w:r>
        <w:rPr>
          <w:spacing w:val="43"/>
          <w:w w:val="105"/>
          <w:sz w:val="21"/>
        </w:rPr>
        <w:t> </w:t>
      </w:r>
      <w:r>
        <w:rPr>
          <w:spacing w:val="-5"/>
          <w:w w:val="105"/>
          <w:sz w:val="21"/>
        </w:rPr>
        <w:t>tree.</w:t>
      </w:r>
      <w:r>
        <w:rPr>
          <w:spacing w:val="-5"/>
          <w:w w:val="105"/>
          <w:position w:val="7"/>
          <w:sz w:val="12"/>
        </w:rPr>
        <w:t>134</w:t>
      </w:r>
    </w:p>
    <w:p>
      <w:pPr>
        <w:pStyle w:val="BodyText"/>
        <w:rPr>
          <w:sz w:val="20"/>
        </w:rPr>
      </w:pPr>
    </w:p>
    <w:p>
      <w:pPr>
        <w:pStyle w:val="BodyText"/>
        <w:rPr>
          <w:sz w:val="20"/>
        </w:rPr>
      </w:pPr>
    </w:p>
    <w:p>
      <w:pPr>
        <w:pStyle w:val="BodyText"/>
        <w:spacing w:before="1"/>
        <w:rPr>
          <w:sz w:val="18"/>
        </w:rPr>
      </w:pPr>
      <w:r>
        <w:rPr/>
        <w:pict>
          <v:line style="position:absolute;mso-position-horizontal-relative:page;mso-position-vertical-relative:paragraph;z-index:9680;mso-wrap-distance-left:0;mso-wrap-distance-right:0" from="79.370003pt,13.498538pt" to="515.905003pt,13.49853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27"/>
        <w:ind w:left="720" w:right="0" w:firstLine="0"/>
        <w:jc w:val="left"/>
        <w:rPr>
          <w:b/>
          <w:sz w:val="24"/>
        </w:rPr>
      </w:pPr>
      <w:r>
        <w:rPr>
          <w:b/>
          <w:color w:val="658464"/>
          <w:w w:val="110"/>
          <w:sz w:val="24"/>
        </w:rPr>
        <w:t>230</w:t>
      </w:r>
    </w:p>
    <w:p>
      <w:pPr>
        <w:pStyle w:val="ListParagraph"/>
        <w:numPr>
          <w:ilvl w:val="0"/>
          <w:numId w:val="166"/>
        </w:numPr>
        <w:tabs>
          <w:tab w:pos="1219" w:val="left" w:leader="none"/>
          <w:tab w:pos="1220" w:val="left" w:leader="none"/>
        </w:tabs>
        <w:spacing w:line="240" w:lineRule="auto" w:before="48" w:after="0"/>
        <w:ind w:left="1219" w:right="1741" w:hanging="793"/>
        <w:jc w:val="left"/>
        <w:rPr>
          <w:sz w:val="13"/>
        </w:rPr>
      </w:pPr>
      <w:r>
        <w:rPr>
          <w:spacing w:val="3"/>
          <w:w w:val="107"/>
          <w:sz w:val="13"/>
        </w:rPr>
        <w:br w:type="column"/>
      </w:r>
      <w:r>
        <w:rPr>
          <w:w w:val="105"/>
          <w:sz w:val="13"/>
        </w:rPr>
        <w:t>Heritage Victoria exercises its functions in a number of ways, including: Administering the </w:t>
      </w:r>
      <w:r>
        <w:rPr>
          <w:i/>
          <w:w w:val="105"/>
          <w:sz w:val="13"/>
        </w:rPr>
        <w:t>Heritage Act </w:t>
      </w:r>
      <w:r>
        <w:rPr>
          <w:i/>
          <w:spacing w:val="-4"/>
          <w:w w:val="105"/>
          <w:sz w:val="13"/>
        </w:rPr>
        <w:t>2017  </w:t>
      </w:r>
      <w:r>
        <w:rPr>
          <w:spacing w:val="2"/>
          <w:w w:val="105"/>
          <w:sz w:val="13"/>
        </w:rPr>
        <w:t>(Vic); </w:t>
      </w:r>
      <w:r>
        <w:rPr>
          <w:w w:val="105"/>
          <w:sz w:val="13"/>
        </w:rPr>
        <w:t>Maintaining the</w:t>
      </w:r>
      <w:r>
        <w:rPr>
          <w:spacing w:val="30"/>
          <w:w w:val="105"/>
          <w:sz w:val="13"/>
        </w:rPr>
        <w:t> </w:t>
      </w:r>
      <w:r>
        <w:rPr>
          <w:w w:val="105"/>
          <w:sz w:val="13"/>
        </w:rPr>
        <w:t>Victorian Heritage Register; Recommending places and </w:t>
      </w:r>
      <w:r>
        <w:rPr>
          <w:spacing w:val="2"/>
          <w:w w:val="105"/>
          <w:sz w:val="13"/>
        </w:rPr>
        <w:t>objects </w:t>
      </w:r>
      <w:r>
        <w:rPr>
          <w:w w:val="105"/>
          <w:sz w:val="13"/>
        </w:rPr>
        <w:t>that should be included in the Heritage Register; Issuing permits to make changed to heritage places and </w:t>
      </w:r>
      <w:r>
        <w:rPr>
          <w:spacing w:val="2"/>
          <w:w w:val="105"/>
          <w:sz w:val="13"/>
        </w:rPr>
        <w:t>objects: </w:t>
      </w:r>
      <w:r>
        <w:rPr>
          <w:w w:val="105"/>
          <w:sz w:val="13"/>
        </w:rPr>
        <w:t>See Department of Environment, Land, </w:t>
      </w:r>
      <w:r>
        <w:rPr>
          <w:i/>
          <w:w w:val="105"/>
          <w:sz w:val="13"/>
        </w:rPr>
        <w:t>Water and Planning </w:t>
      </w:r>
      <w:r>
        <w:rPr>
          <w:spacing w:val="2"/>
          <w:w w:val="105"/>
          <w:sz w:val="13"/>
        </w:rPr>
        <w:t>(Vic), </w:t>
      </w:r>
      <w:r>
        <w:rPr>
          <w:i/>
          <w:w w:val="105"/>
          <w:sz w:val="13"/>
        </w:rPr>
        <w:t>Heritage Victoria </w:t>
      </w:r>
      <w:r>
        <w:rPr>
          <w:w w:val="105"/>
          <w:sz w:val="13"/>
        </w:rPr>
        <w:t>(Web Page, 9 July 2018)</w:t>
      </w:r>
      <w:r>
        <w:rPr>
          <w:spacing w:val="6"/>
          <w:w w:val="105"/>
          <w:sz w:val="13"/>
        </w:rPr>
        <w:t> </w:t>
      </w:r>
      <w:r>
        <w:rPr>
          <w:spacing w:val="2"/>
          <w:w w:val="105"/>
          <w:sz w:val="13"/>
        </w:rPr>
        <w:t>&lt;</w:t>
      </w:r>
      <w:hyperlink r:id="rId267">
        <w:r>
          <w:rPr>
            <w:spacing w:val="2"/>
            <w:w w:val="105"/>
            <w:sz w:val="13"/>
          </w:rPr>
          <w:t>https://www.heritage.vic.gov.au/about-heritage-in-victoria/heritage-in-victoria</w:t>
        </w:r>
      </w:hyperlink>
      <w:r>
        <w:rPr>
          <w:spacing w:val="2"/>
          <w:w w:val="105"/>
          <w:sz w:val="13"/>
        </w:rPr>
        <w:t>&gt;.</w:t>
      </w:r>
    </w:p>
    <w:p>
      <w:pPr>
        <w:pStyle w:val="ListParagraph"/>
        <w:numPr>
          <w:ilvl w:val="0"/>
          <w:numId w:val="166"/>
        </w:numPr>
        <w:tabs>
          <w:tab w:pos="1219" w:val="left" w:leader="none"/>
          <w:tab w:pos="1220" w:val="left" w:leader="none"/>
        </w:tabs>
        <w:spacing w:line="240" w:lineRule="auto" w:before="5" w:after="0"/>
        <w:ind w:left="1219" w:right="0" w:hanging="793"/>
        <w:jc w:val="left"/>
        <w:rPr>
          <w:sz w:val="13"/>
        </w:rPr>
      </w:pPr>
      <w:r>
        <w:rPr>
          <w:i/>
          <w:w w:val="105"/>
          <w:sz w:val="13"/>
        </w:rPr>
        <w:t>Heritage Act </w:t>
      </w:r>
      <w:r>
        <w:rPr>
          <w:i/>
          <w:spacing w:val="-4"/>
          <w:w w:val="105"/>
          <w:sz w:val="13"/>
        </w:rPr>
        <w:t>2017 </w:t>
      </w:r>
      <w:r>
        <w:rPr>
          <w:spacing w:val="2"/>
          <w:w w:val="105"/>
          <w:sz w:val="13"/>
        </w:rPr>
        <w:t>(Vic) </w:t>
      </w:r>
      <w:r>
        <w:rPr>
          <w:w w:val="105"/>
          <w:sz w:val="13"/>
        </w:rPr>
        <w:t>ss</w:t>
      </w:r>
      <w:r>
        <w:rPr>
          <w:spacing w:val="-2"/>
          <w:w w:val="105"/>
          <w:sz w:val="13"/>
        </w:rPr>
        <w:t> </w:t>
      </w:r>
      <w:r>
        <w:rPr>
          <w:spacing w:val="-3"/>
          <w:w w:val="105"/>
          <w:sz w:val="13"/>
        </w:rPr>
        <w:t>9–11.</w:t>
      </w:r>
    </w:p>
    <w:p>
      <w:pPr>
        <w:pStyle w:val="ListParagraph"/>
        <w:numPr>
          <w:ilvl w:val="0"/>
          <w:numId w:val="166"/>
        </w:numPr>
        <w:tabs>
          <w:tab w:pos="1219" w:val="left" w:leader="none"/>
          <w:tab w:pos="1220" w:val="left" w:leader="none"/>
        </w:tabs>
        <w:spacing w:line="240" w:lineRule="auto" w:before="2" w:after="0"/>
        <w:ind w:left="1219" w:right="0" w:hanging="793"/>
        <w:jc w:val="left"/>
        <w:rPr>
          <w:sz w:val="13"/>
        </w:rPr>
      </w:pPr>
      <w:r>
        <w:rPr>
          <w:sz w:val="13"/>
        </w:rPr>
        <w:t>Ibid s</w:t>
      </w:r>
      <w:r>
        <w:rPr>
          <w:spacing w:val="12"/>
          <w:sz w:val="13"/>
        </w:rPr>
        <w:t> </w:t>
      </w:r>
      <w:r>
        <w:rPr>
          <w:sz w:val="13"/>
        </w:rPr>
        <w:t>92.</w:t>
      </w:r>
    </w:p>
    <w:p>
      <w:pPr>
        <w:tabs>
          <w:tab w:pos="1219" w:val="left" w:leader="none"/>
        </w:tabs>
        <w:spacing w:before="1"/>
        <w:ind w:left="426" w:right="0" w:firstLine="0"/>
        <w:jc w:val="left"/>
        <w:rPr>
          <w:sz w:val="13"/>
        </w:rPr>
      </w:pPr>
      <w:r>
        <w:rPr>
          <w:spacing w:val="-3"/>
          <w:w w:val="105"/>
          <w:sz w:val="13"/>
        </w:rPr>
        <w:t>124</w:t>
        <w:tab/>
      </w:r>
      <w:r>
        <w:rPr>
          <w:w w:val="105"/>
          <w:sz w:val="13"/>
        </w:rPr>
        <w:t>Ibid s</w:t>
      </w:r>
      <w:r>
        <w:rPr>
          <w:spacing w:val="9"/>
          <w:w w:val="105"/>
          <w:sz w:val="13"/>
        </w:rPr>
        <w:t> </w:t>
      </w:r>
      <w:r>
        <w:rPr>
          <w:spacing w:val="2"/>
          <w:w w:val="105"/>
          <w:sz w:val="13"/>
        </w:rPr>
        <w:t>92(3).</w:t>
      </w:r>
    </w:p>
    <w:p>
      <w:pPr>
        <w:pStyle w:val="ListParagraph"/>
        <w:numPr>
          <w:ilvl w:val="0"/>
          <w:numId w:val="167"/>
        </w:numPr>
        <w:tabs>
          <w:tab w:pos="1219" w:val="left" w:leader="none"/>
          <w:tab w:pos="1221" w:val="left" w:leader="none"/>
        </w:tabs>
        <w:spacing w:line="240" w:lineRule="auto" w:before="1" w:after="0"/>
        <w:ind w:left="1220" w:right="1628" w:hanging="794"/>
        <w:jc w:val="left"/>
        <w:rPr>
          <w:sz w:val="13"/>
        </w:rPr>
      </w:pPr>
      <w:r>
        <w:rPr>
          <w:w w:val="105"/>
          <w:sz w:val="13"/>
        </w:rPr>
        <w:t>Ibid s 92; see also Heritage Victoria, </w:t>
      </w:r>
      <w:r>
        <w:rPr>
          <w:i/>
          <w:w w:val="105"/>
          <w:sz w:val="13"/>
        </w:rPr>
        <w:t>Policy Guideline for Heritage Permit Exemptions: Matters to be Considered in Determining Permit </w:t>
      </w:r>
      <w:r>
        <w:rPr>
          <w:i/>
          <w:w w:val="105"/>
          <w:sz w:val="13"/>
        </w:rPr>
        <w:t>Exemptions under Section 92 and 49 of the Heritage Act </w:t>
      </w:r>
      <w:r>
        <w:rPr>
          <w:i/>
          <w:spacing w:val="-4"/>
          <w:w w:val="105"/>
          <w:sz w:val="13"/>
        </w:rPr>
        <w:t>2017 </w:t>
      </w:r>
      <w:r>
        <w:rPr>
          <w:w w:val="105"/>
          <w:sz w:val="13"/>
        </w:rPr>
        <w:t>(Document, 7 September 2017). See also Department of Environment, Land, Water and Planning </w:t>
      </w:r>
      <w:r>
        <w:rPr>
          <w:spacing w:val="2"/>
          <w:w w:val="105"/>
          <w:sz w:val="13"/>
        </w:rPr>
        <w:t>(Vic), </w:t>
      </w:r>
      <w:r>
        <w:rPr>
          <w:i/>
          <w:w w:val="105"/>
          <w:sz w:val="13"/>
        </w:rPr>
        <w:t>Permits—Apply for a Permit </w:t>
      </w:r>
      <w:r>
        <w:rPr>
          <w:w w:val="105"/>
          <w:sz w:val="13"/>
        </w:rPr>
        <w:t>(Web Page, </w:t>
      </w:r>
      <w:r>
        <w:rPr>
          <w:spacing w:val="-3"/>
          <w:w w:val="105"/>
          <w:sz w:val="13"/>
        </w:rPr>
        <w:t>15 </w:t>
      </w:r>
      <w:r>
        <w:rPr>
          <w:w w:val="105"/>
          <w:sz w:val="13"/>
        </w:rPr>
        <w:t>March 2019) &lt;https://</w:t>
      </w:r>
      <w:hyperlink r:id="rId268">
        <w:r>
          <w:rPr>
            <w:w w:val="105"/>
            <w:sz w:val="13"/>
          </w:rPr>
          <w:t>www.heritage.vic.gov.au/permits/apply-for-a-</w:t>
        </w:r>
      </w:hyperlink>
      <w:r>
        <w:rPr>
          <w:w w:val="105"/>
          <w:sz w:val="13"/>
        </w:rPr>
        <w:t> permit&gt;.</w:t>
      </w:r>
    </w:p>
    <w:p>
      <w:pPr>
        <w:pStyle w:val="ListParagraph"/>
        <w:numPr>
          <w:ilvl w:val="0"/>
          <w:numId w:val="167"/>
        </w:numPr>
        <w:tabs>
          <w:tab w:pos="1219" w:val="left" w:leader="none"/>
          <w:tab w:pos="1221" w:val="left" w:leader="none"/>
        </w:tabs>
        <w:spacing w:line="240" w:lineRule="auto" w:before="6" w:after="0"/>
        <w:ind w:left="1220" w:right="0" w:hanging="794"/>
        <w:jc w:val="left"/>
        <w:rPr>
          <w:sz w:val="13"/>
        </w:rPr>
      </w:pPr>
      <w:r>
        <w:rPr>
          <w:w w:val="105"/>
          <w:sz w:val="13"/>
        </w:rPr>
        <w:t>Consultation 16 (Heritage </w:t>
      </w:r>
      <w:r>
        <w:rPr>
          <w:spacing w:val="12"/>
          <w:w w:val="105"/>
          <w:sz w:val="13"/>
        </w:rPr>
        <w:t> </w:t>
      </w:r>
      <w:r>
        <w:rPr>
          <w:w w:val="105"/>
          <w:sz w:val="13"/>
        </w:rPr>
        <w:t>Victoria).</w:t>
      </w:r>
    </w:p>
    <w:p>
      <w:pPr>
        <w:pStyle w:val="ListParagraph"/>
        <w:numPr>
          <w:ilvl w:val="0"/>
          <w:numId w:val="167"/>
        </w:numPr>
        <w:tabs>
          <w:tab w:pos="1219" w:val="left" w:leader="none"/>
          <w:tab w:pos="1221" w:val="left" w:leader="none"/>
        </w:tabs>
        <w:spacing w:line="240" w:lineRule="auto" w:before="1" w:after="0"/>
        <w:ind w:left="1220" w:right="0" w:hanging="794"/>
        <w:jc w:val="left"/>
        <w:rPr>
          <w:sz w:val="13"/>
        </w:rPr>
      </w:pPr>
      <w:r>
        <w:rPr>
          <w:i/>
          <w:w w:val="105"/>
          <w:sz w:val="13"/>
        </w:rPr>
        <w:t>Heritage Act </w:t>
      </w:r>
      <w:r>
        <w:rPr>
          <w:i/>
          <w:spacing w:val="-4"/>
          <w:w w:val="105"/>
          <w:sz w:val="13"/>
        </w:rPr>
        <w:t>2017  </w:t>
      </w:r>
      <w:r>
        <w:rPr>
          <w:spacing w:val="2"/>
          <w:w w:val="105"/>
          <w:sz w:val="13"/>
        </w:rPr>
        <w:t>(Vic) </w:t>
      </w:r>
      <w:r>
        <w:rPr>
          <w:w w:val="105"/>
          <w:sz w:val="13"/>
        </w:rPr>
        <w:t>ss 109, </w:t>
      </w:r>
      <w:r>
        <w:rPr>
          <w:spacing w:val="8"/>
          <w:w w:val="105"/>
          <w:sz w:val="13"/>
        </w:rPr>
        <w:t> </w:t>
      </w:r>
      <w:r>
        <w:rPr>
          <w:spacing w:val="-7"/>
          <w:w w:val="105"/>
          <w:sz w:val="13"/>
        </w:rPr>
        <w:t>111.</w:t>
      </w:r>
    </w:p>
    <w:p>
      <w:pPr>
        <w:pStyle w:val="ListParagraph"/>
        <w:numPr>
          <w:ilvl w:val="0"/>
          <w:numId w:val="167"/>
        </w:numPr>
        <w:tabs>
          <w:tab w:pos="1220" w:val="left" w:leader="none"/>
          <w:tab w:pos="1221" w:val="left" w:leader="none"/>
        </w:tabs>
        <w:spacing w:line="240" w:lineRule="auto" w:before="1" w:after="0"/>
        <w:ind w:left="1220" w:right="0" w:hanging="794"/>
        <w:jc w:val="left"/>
        <w:rPr>
          <w:sz w:val="13"/>
        </w:rPr>
      </w:pPr>
      <w:r>
        <w:rPr>
          <w:i/>
          <w:w w:val="105"/>
          <w:sz w:val="13"/>
        </w:rPr>
        <w:t>Aboriginal Heritage Act 2006 </w:t>
      </w:r>
      <w:r>
        <w:rPr>
          <w:spacing w:val="2"/>
          <w:w w:val="105"/>
          <w:sz w:val="13"/>
        </w:rPr>
        <w:t>(Vic) </w:t>
      </w:r>
      <w:r>
        <w:rPr>
          <w:w w:val="105"/>
          <w:sz w:val="13"/>
        </w:rPr>
        <w:t>ss 144, 145.</w:t>
      </w:r>
    </w:p>
    <w:p>
      <w:pPr>
        <w:pStyle w:val="ListParagraph"/>
        <w:numPr>
          <w:ilvl w:val="0"/>
          <w:numId w:val="167"/>
        </w:numPr>
        <w:tabs>
          <w:tab w:pos="1220" w:val="left" w:leader="none"/>
          <w:tab w:pos="1221" w:val="left" w:leader="none"/>
        </w:tabs>
        <w:spacing w:line="240" w:lineRule="auto" w:before="2" w:after="0"/>
        <w:ind w:left="1220" w:right="0" w:hanging="794"/>
        <w:jc w:val="left"/>
        <w:rPr>
          <w:i/>
          <w:sz w:val="13"/>
        </w:rPr>
      </w:pPr>
      <w:r>
        <w:rPr>
          <w:w w:val="105"/>
          <w:sz w:val="13"/>
        </w:rPr>
        <w:t>Aboriginal</w:t>
      </w:r>
      <w:r>
        <w:rPr>
          <w:spacing w:val="4"/>
          <w:w w:val="105"/>
          <w:sz w:val="13"/>
        </w:rPr>
        <w:t> </w:t>
      </w:r>
      <w:r>
        <w:rPr>
          <w:w w:val="105"/>
          <w:sz w:val="13"/>
        </w:rPr>
        <w:t>Victoria</w:t>
      </w:r>
      <w:r>
        <w:rPr>
          <w:spacing w:val="5"/>
          <w:w w:val="105"/>
          <w:sz w:val="13"/>
        </w:rPr>
        <w:t> </w:t>
      </w:r>
      <w:r>
        <w:rPr>
          <w:w w:val="105"/>
          <w:sz w:val="13"/>
        </w:rPr>
        <w:t>is</w:t>
      </w:r>
      <w:r>
        <w:rPr>
          <w:spacing w:val="5"/>
          <w:w w:val="105"/>
          <w:sz w:val="13"/>
        </w:rPr>
        <w:t> </w:t>
      </w:r>
      <w:r>
        <w:rPr>
          <w:w w:val="105"/>
          <w:sz w:val="13"/>
        </w:rPr>
        <w:t>also</w:t>
      </w:r>
      <w:r>
        <w:rPr>
          <w:spacing w:val="5"/>
          <w:w w:val="105"/>
          <w:sz w:val="13"/>
        </w:rPr>
        <w:t> </w:t>
      </w:r>
      <w:r>
        <w:rPr>
          <w:w w:val="105"/>
          <w:sz w:val="13"/>
        </w:rPr>
        <w:t>responsible</w:t>
      </w:r>
      <w:r>
        <w:rPr>
          <w:spacing w:val="5"/>
          <w:w w:val="105"/>
          <w:sz w:val="13"/>
        </w:rPr>
        <w:t> </w:t>
      </w:r>
      <w:r>
        <w:rPr>
          <w:w w:val="105"/>
          <w:sz w:val="13"/>
        </w:rPr>
        <w:t>for</w:t>
      </w:r>
      <w:r>
        <w:rPr>
          <w:spacing w:val="5"/>
          <w:w w:val="105"/>
          <w:sz w:val="13"/>
        </w:rPr>
        <w:t> </w:t>
      </w:r>
      <w:r>
        <w:rPr>
          <w:w w:val="105"/>
          <w:sz w:val="13"/>
        </w:rPr>
        <w:t>the</w:t>
      </w:r>
      <w:r>
        <w:rPr>
          <w:spacing w:val="5"/>
          <w:w w:val="105"/>
          <w:sz w:val="13"/>
        </w:rPr>
        <w:t> </w:t>
      </w:r>
      <w:r>
        <w:rPr>
          <w:w w:val="105"/>
          <w:sz w:val="13"/>
        </w:rPr>
        <w:t>implementation</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i/>
          <w:w w:val="105"/>
          <w:sz w:val="13"/>
        </w:rPr>
        <w:t>Aboriginal</w:t>
      </w:r>
      <w:r>
        <w:rPr>
          <w:i/>
          <w:spacing w:val="5"/>
          <w:w w:val="105"/>
          <w:sz w:val="13"/>
        </w:rPr>
        <w:t> </w:t>
      </w:r>
      <w:r>
        <w:rPr>
          <w:i/>
          <w:w w:val="105"/>
          <w:sz w:val="13"/>
        </w:rPr>
        <w:t>Lands</w:t>
      </w:r>
      <w:r>
        <w:rPr>
          <w:i/>
          <w:spacing w:val="5"/>
          <w:w w:val="105"/>
          <w:sz w:val="13"/>
        </w:rPr>
        <w:t> </w:t>
      </w:r>
      <w:r>
        <w:rPr>
          <w:i/>
          <w:w w:val="105"/>
          <w:sz w:val="13"/>
        </w:rPr>
        <w:t>Act</w:t>
      </w:r>
      <w:r>
        <w:rPr>
          <w:i/>
          <w:spacing w:val="5"/>
          <w:w w:val="105"/>
          <w:sz w:val="13"/>
        </w:rPr>
        <w:t> </w:t>
      </w:r>
      <w:r>
        <w:rPr>
          <w:i/>
          <w:spacing w:val="-3"/>
          <w:w w:val="105"/>
          <w:sz w:val="13"/>
        </w:rPr>
        <w:t>1970.</w:t>
      </w:r>
    </w:p>
    <w:p>
      <w:pPr>
        <w:pStyle w:val="ListParagraph"/>
        <w:numPr>
          <w:ilvl w:val="0"/>
          <w:numId w:val="167"/>
        </w:numPr>
        <w:tabs>
          <w:tab w:pos="1220" w:val="left" w:leader="none"/>
          <w:tab w:pos="1221" w:val="left" w:leader="none"/>
        </w:tabs>
        <w:spacing w:line="240" w:lineRule="auto" w:before="1" w:after="0"/>
        <w:ind w:left="1220" w:right="0" w:hanging="794"/>
        <w:jc w:val="left"/>
        <w:rPr>
          <w:sz w:val="13"/>
        </w:rPr>
      </w:pPr>
      <w:r>
        <w:rPr>
          <w:w w:val="105"/>
          <w:sz w:val="13"/>
        </w:rPr>
        <w:t>Consultation </w:t>
      </w:r>
      <w:r>
        <w:rPr>
          <w:spacing w:val="-4"/>
          <w:w w:val="105"/>
          <w:sz w:val="13"/>
        </w:rPr>
        <w:t>13 </w:t>
      </w:r>
      <w:r>
        <w:rPr>
          <w:w w:val="105"/>
          <w:sz w:val="13"/>
        </w:rPr>
        <w:t>(Aboriginal </w:t>
      </w:r>
      <w:r>
        <w:rPr>
          <w:spacing w:val="2"/>
          <w:w w:val="105"/>
          <w:sz w:val="13"/>
        </w:rPr>
        <w:t>Victoria); </w:t>
      </w:r>
      <w:r>
        <w:rPr>
          <w:w w:val="105"/>
          <w:sz w:val="13"/>
        </w:rPr>
        <w:t>See </w:t>
      </w:r>
      <w:r>
        <w:rPr>
          <w:i/>
          <w:w w:val="105"/>
          <w:sz w:val="13"/>
        </w:rPr>
        <w:t>Aboriginal Heritage Act 2006 </w:t>
      </w:r>
      <w:r>
        <w:rPr>
          <w:spacing w:val="2"/>
          <w:w w:val="105"/>
          <w:sz w:val="13"/>
        </w:rPr>
        <w:t>(Vic) </w:t>
      </w:r>
      <w:r>
        <w:rPr>
          <w:w w:val="105"/>
          <w:sz w:val="13"/>
        </w:rPr>
        <w:t>s</w:t>
      </w:r>
      <w:r>
        <w:rPr>
          <w:spacing w:val="28"/>
          <w:w w:val="105"/>
          <w:sz w:val="13"/>
        </w:rPr>
        <w:t> </w:t>
      </w:r>
      <w:r>
        <w:rPr>
          <w:w w:val="105"/>
          <w:sz w:val="13"/>
        </w:rPr>
        <w:t>144.</w:t>
      </w:r>
    </w:p>
    <w:p>
      <w:pPr>
        <w:pStyle w:val="ListParagraph"/>
        <w:numPr>
          <w:ilvl w:val="0"/>
          <w:numId w:val="167"/>
        </w:numPr>
        <w:tabs>
          <w:tab w:pos="1220" w:val="left" w:leader="none"/>
          <w:tab w:pos="1221" w:val="left" w:leader="none"/>
        </w:tabs>
        <w:spacing w:line="240" w:lineRule="auto" w:before="1" w:after="0"/>
        <w:ind w:left="1220" w:right="0" w:hanging="794"/>
        <w:jc w:val="left"/>
        <w:rPr>
          <w:sz w:val="13"/>
        </w:rPr>
      </w:pPr>
      <w:r>
        <w:rPr>
          <w:sz w:val="13"/>
        </w:rPr>
        <w:t>There</w:t>
      </w:r>
      <w:r>
        <w:rPr>
          <w:spacing w:val="10"/>
          <w:sz w:val="13"/>
        </w:rPr>
        <w:t> </w:t>
      </w:r>
      <w:r>
        <w:rPr>
          <w:sz w:val="13"/>
        </w:rPr>
        <w:t>are</w:t>
      </w:r>
      <w:r>
        <w:rPr>
          <w:spacing w:val="11"/>
          <w:sz w:val="13"/>
        </w:rPr>
        <w:t> </w:t>
      </w:r>
      <w:r>
        <w:rPr>
          <w:sz w:val="13"/>
        </w:rPr>
        <w:t>currently</w:t>
      </w:r>
      <w:r>
        <w:rPr>
          <w:spacing w:val="11"/>
          <w:sz w:val="13"/>
        </w:rPr>
        <w:t> </w:t>
      </w:r>
      <w:r>
        <w:rPr>
          <w:spacing w:val="-4"/>
          <w:sz w:val="13"/>
        </w:rPr>
        <w:t>12</w:t>
      </w:r>
      <w:r>
        <w:rPr>
          <w:spacing w:val="10"/>
          <w:sz w:val="13"/>
        </w:rPr>
        <w:t> </w:t>
      </w:r>
      <w:r>
        <w:rPr>
          <w:spacing w:val="3"/>
          <w:sz w:val="13"/>
        </w:rPr>
        <w:t>RAPs</w:t>
      </w:r>
      <w:r>
        <w:rPr>
          <w:spacing w:val="11"/>
          <w:sz w:val="13"/>
        </w:rPr>
        <w:t> </w:t>
      </w:r>
      <w:r>
        <w:rPr>
          <w:sz w:val="13"/>
        </w:rPr>
        <w:t>in</w:t>
      </w:r>
      <w:r>
        <w:rPr>
          <w:spacing w:val="11"/>
          <w:sz w:val="13"/>
        </w:rPr>
        <w:t> </w:t>
      </w:r>
      <w:r>
        <w:rPr>
          <w:sz w:val="13"/>
        </w:rPr>
        <w:t>Victoria</w:t>
      </w:r>
      <w:r>
        <w:rPr>
          <w:spacing w:val="11"/>
          <w:sz w:val="13"/>
        </w:rPr>
        <w:t> </w:t>
      </w:r>
      <w:r>
        <w:rPr>
          <w:sz w:val="13"/>
        </w:rPr>
        <w:t>that</w:t>
      </w:r>
      <w:r>
        <w:rPr>
          <w:spacing w:val="10"/>
          <w:sz w:val="13"/>
        </w:rPr>
        <w:t> </w:t>
      </w:r>
      <w:r>
        <w:rPr>
          <w:sz w:val="13"/>
        </w:rPr>
        <w:t>cover</w:t>
      </w:r>
      <w:r>
        <w:rPr>
          <w:spacing w:val="11"/>
          <w:sz w:val="13"/>
        </w:rPr>
        <w:t> </w:t>
      </w:r>
      <w:r>
        <w:rPr>
          <w:sz w:val="13"/>
        </w:rPr>
        <w:t>approximately</w:t>
      </w:r>
      <w:r>
        <w:rPr>
          <w:spacing w:val="11"/>
          <w:sz w:val="13"/>
        </w:rPr>
        <w:t> </w:t>
      </w:r>
      <w:r>
        <w:rPr>
          <w:sz w:val="13"/>
        </w:rPr>
        <w:t>66%</w:t>
      </w:r>
      <w:r>
        <w:rPr>
          <w:spacing w:val="10"/>
          <w:sz w:val="13"/>
        </w:rPr>
        <w:t> </w:t>
      </w:r>
      <w:r>
        <w:rPr>
          <w:sz w:val="13"/>
        </w:rPr>
        <w:t>of</w:t>
      </w:r>
      <w:r>
        <w:rPr>
          <w:spacing w:val="11"/>
          <w:sz w:val="13"/>
        </w:rPr>
        <w:t> </w:t>
      </w:r>
      <w:r>
        <w:rPr>
          <w:sz w:val="13"/>
        </w:rPr>
        <w:t>Victoria’s</w:t>
      </w:r>
      <w:r>
        <w:rPr>
          <w:spacing w:val="11"/>
          <w:sz w:val="13"/>
        </w:rPr>
        <w:t> </w:t>
      </w:r>
      <w:r>
        <w:rPr>
          <w:sz w:val="13"/>
        </w:rPr>
        <w:t>geographical</w:t>
      </w:r>
      <w:r>
        <w:rPr>
          <w:spacing w:val="11"/>
          <w:sz w:val="13"/>
        </w:rPr>
        <w:t> </w:t>
      </w:r>
      <w:r>
        <w:rPr>
          <w:sz w:val="13"/>
        </w:rPr>
        <w:t>location.</w:t>
      </w:r>
      <w:r>
        <w:rPr>
          <w:spacing w:val="10"/>
          <w:sz w:val="13"/>
        </w:rPr>
        <w:t> </w:t>
      </w:r>
      <w:r>
        <w:rPr>
          <w:sz w:val="13"/>
        </w:rPr>
        <w:t>See</w:t>
      </w:r>
      <w:r>
        <w:rPr>
          <w:spacing w:val="11"/>
          <w:sz w:val="13"/>
        </w:rPr>
        <w:t> </w:t>
      </w:r>
      <w:r>
        <w:rPr>
          <w:sz w:val="13"/>
        </w:rPr>
        <w:t>Aboriginal</w:t>
      </w:r>
      <w:r>
        <w:rPr>
          <w:spacing w:val="11"/>
          <w:sz w:val="13"/>
        </w:rPr>
        <w:t> </w:t>
      </w:r>
      <w:r>
        <w:rPr>
          <w:sz w:val="13"/>
        </w:rPr>
        <w:t>Victoria,</w:t>
      </w:r>
    </w:p>
    <w:p>
      <w:pPr>
        <w:spacing w:before="2"/>
        <w:ind w:left="1220" w:right="0" w:firstLine="0"/>
        <w:jc w:val="left"/>
        <w:rPr>
          <w:sz w:val="13"/>
        </w:rPr>
      </w:pPr>
      <w:r>
        <w:rPr>
          <w:i/>
          <w:sz w:val="13"/>
        </w:rPr>
        <w:t>Registered    Aboriginal    Parties    </w:t>
      </w:r>
      <w:r>
        <w:rPr>
          <w:sz w:val="13"/>
        </w:rPr>
        <w:t>(Web    Page)   </w:t>
      </w:r>
      <w:r>
        <w:rPr>
          <w:spacing w:val="2"/>
          <w:sz w:val="13"/>
        </w:rPr>
        <w:t> </w:t>
      </w:r>
      <w:r>
        <w:rPr>
          <w:sz w:val="13"/>
        </w:rPr>
        <w:t>&lt;</w:t>
      </w:r>
      <w:hyperlink r:id="rId269">
        <w:r>
          <w:rPr>
            <w:sz w:val="13"/>
          </w:rPr>
          <w:t>https://www.vic.gov.au/aboriginalvictoria/heritage/registered-aboriginal-parties.html</w:t>
        </w:r>
      </w:hyperlink>
      <w:r>
        <w:rPr>
          <w:sz w:val="13"/>
        </w:rPr>
        <w:t>&gt;.</w:t>
      </w:r>
    </w:p>
    <w:p>
      <w:pPr>
        <w:pStyle w:val="ListParagraph"/>
        <w:numPr>
          <w:ilvl w:val="0"/>
          <w:numId w:val="167"/>
        </w:numPr>
        <w:tabs>
          <w:tab w:pos="1220" w:val="left" w:leader="none"/>
          <w:tab w:pos="1221" w:val="left" w:leader="none"/>
        </w:tabs>
        <w:spacing w:line="240" w:lineRule="auto" w:before="1" w:after="0"/>
        <w:ind w:left="1220" w:right="2162" w:hanging="794"/>
        <w:jc w:val="left"/>
        <w:rPr>
          <w:sz w:val="13"/>
        </w:rPr>
      </w:pPr>
      <w:r>
        <w:rPr>
          <w:w w:val="105"/>
          <w:sz w:val="13"/>
        </w:rPr>
        <w:t>Other trees such as ring trees and birthing trees can be of cultural significance to Aboriginal people. These trees may have cultural significance,</w:t>
      </w:r>
      <w:r>
        <w:rPr>
          <w:spacing w:val="4"/>
          <w:w w:val="105"/>
          <w:sz w:val="13"/>
        </w:rPr>
        <w:t> </w:t>
      </w:r>
      <w:r>
        <w:rPr>
          <w:w w:val="105"/>
          <w:sz w:val="13"/>
        </w:rPr>
        <w:t>through</w:t>
      </w:r>
      <w:r>
        <w:rPr>
          <w:spacing w:val="5"/>
          <w:w w:val="105"/>
          <w:sz w:val="13"/>
        </w:rPr>
        <w:t> </w:t>
      </w:r>
      <w:r>
        <w:rPr>
          <w:w w:val="105"/>
          <w:sz w:val="13"/>
        </w:rPr>
        <w:t>natural</w:t>
      </w:r>
      <w:r>
        <w:rPr>
          <w:spacing w:val="5"/>
          <w:w w:val="105"/>
          <w:sz w:val="13"/>
        </w:rPr>
        <w:t> </w:t>
      </w:r>
      <w:r>
        <w:rPr>
          <w:w w:val="105"/>
          <w:sz w:val="13"/>
        </w:rPr>
        <w:t>or</w:t>
      </w:r>
      <w:r>
        <w:rPr>
          <w:spacing w:val="5"/>
          <w:w w:val="105"/>
          <w:sz w:val="13"/>
        </w:rPr>
        <w:t> </w:t>
      </w:r>
      <w:r>
        <w:rPr>
          <w:w w:val="105"/>
          <w:sz w:val="13"/>
        </w:rPr>
        <w:t>human</w:t>
      </w:r>
      <w:r>
        <w:rPr>
          <w:spacing w:val="5"/>
          <w:w w:val="105"/>
          <w:sz w:val="13"/>
        </w:rPr>
        <w:t> </w:t>
      </w:r>
      <w:r>
        <w:rPr>
          <w:w w:val="105"/>
          <w:sz w:val="13"/>
        </w:rPr>
        <w:t>processes,</w:t>
      </w:r>
      <w:r>
        <w:rPr>
          <w:spacing w:val="5"/>
          <w:w w:val="105"/>
          <w:sz w:val="13"/>
        </w:rPr>
        <w:t> </w:t>
      </w:r>
      <w:r>
        <w:rPr>
          <w:w w:val="105"/>
          <w:sz w:val="13"/>
        </w:rPr>
        <w:t>whereby</w:t>
      </w:r>
      <w:r>
        <w:rPr>
          <w:spacing w:val="5"/>
          <w:w w:val="105"/>
          <w:sz w:val="13"/>
        </w:rPr>
        <w:t> </w:t>
      </w:r>
      <w:r>
        <w:rPr>
          <w:w w:val="105"/>
          <w:sz w:val="13"/>
        </w:rPr>
        <w:t>branches</w:t>
      </w:r>
      <w:r>
        <w:rPr>
          <w:spacing w:val="5"/>
          <w:w w:val="105"/>
          <w:sz w:val="13"/>
        </w:rPr>
        <w:t> </w:t>
      </w:r>
      <w:r>
        <w:rPr>
          <w:w w:val="105"/>
          <w:sz w:val="13"/>
        </w:rPr>
        <w:t>have</w:t>
      </w:r>
      <w:r>
        <w:rPr>
          <w:spacing w:val="5"/>
          <w:w w:val="105"/>
          <w:sz w:val="13"/>
        </w:rPr>
        <w:t> </w:t>
      </w:r>
      <w:r>
        <w:rPr>
          <w:w w:val="105"/>
          <w:sz w:val="13"/>
        </w:rPr>
        <w:t>been</w:t>
      </w:r>
      <w:r>
        <w:rPr>
          <w:spacing w:val="5"/>
          <w:w w:val="105"/>
          <w:sz w:val="13"/>
        </w:rPr>
        <w:t> </w:t>
      </w:r>
      <w:r>
        <w:rPr>
          <w:w w:val="105"/>
          <w:sz w:val="13"/>
        </w:rPr>
        <w:t>fused</w:t>
      </w:r>
      <w:r>
        <w:rPr>
          <w:spacing w:val="5"/>
          <w:w w:val="105"/>
          <w:sz w:val="13"/>
        </w:rPr>
        <w:t> </w:t>
      </w:r>
      <w:r>
        <w:rPr>
          <w:w w:val="105"/>
          <w:sz w:val="13"/>
        </w:rPr>
        <w:t>and</w:t>
      </w:r>
      <w:r>
        <w:rPr>
          <w:spacing w:val="5"/>
          <w:w w:val="105"/>
          <w:sz w:val="13"/>
        </w:rPr>
        <w:t> </w:t>
      </w:r>
      <w:r>
        <w:rPr>
          <w:w w:val="105"/>
          <w:sz w:val="13"/>
        </w:rPr>
        <w:t>given</w:t>
      </w:r>
      <w:r>
        <w:rPr>
          <w:spacing w:val="5"/>
          <w:w w:val="105"/>
          <w:sz w:val="13"/>
        </w:rPr>
        <w:t> </w:t>
      </w:r>
      <w:r>
        <w:rPr>
          <w:w w:val="105"/>
          <w:sz w:val="13"/>
        </w:rPr>
        <w:t>a</w:t>
      </w:r>
      <w:r>
        <w:rPr>
          <w:spacing w:val="5"/>
          <w:w w:val="105"/>
          <w:sz w:val="13"/>
        </w:rPr>
        <w:t> </w:t>
      </w:r>
      <w:r>
        <w:rPr>
          <w:w w:val="105"/>
          <w:sz w:val="13"/>
        </w:rPr>
        <w:t>pattern.</w:t>
      </w:r>
    </w:p>
    <w:p>
      <w:pPr>
        <w:pStyle w:val="ListParagraph"/>
        <w:numPr>
          <w:ilvl w:val="0"/>
          <w:numId w:val="167"/>
        </w:numPr>
        <w:tabs>
          <w:tab w:pos="1220" w:val="left" w:leader="none"/>
          <w:tab w:pos="1221" w:val="left" w:leader="none"/>
        </w:tabs>
        <w:spacing w:line="240" w:lineRule="auto" w:before="3" w:after="0"/>
        <w:ind w:left="426" w:right="7326" w:firstLine="0"/>
        <w:jc w:val="left"/>
        <w:rPr>
          <w:sz w:val="13"/>
        </w:rPr>
      </w:pPr>
      <w:r>
        <w:rPr>
          <w:i/>
          <w:w w:val="105"/>
          <w:sz w:val="13"/>
        </w:rPr>
        <w:t>Aboriginal Heritage Act 2006 </w:t>
      </w:r>
      <w:r>
        <w:rPr>
          <w:spacing w:val="2"/>
          <w:w w:val="105"/>
          <w:sz w:val="13"/>
        </w:rPr>
        <w:t>(Vic) </w:t>
      </w:r>
      <w:r>
        <w:rPr>
          <w:w w:val="105"/>
          <w:sz w:val="13"/>
        </w:rPr>
        <w:t>s 4. 134</w:t>
        <w:tab/>
        <w:t>Consultation </w:t>
      </w:r>
      <w:r>
        <w:rPr>
          <w:spacing w:val="-4"/>
          <w:w w:val="105"/>
          <w:sz w:val="13"/>
        </w:rPr>
        <w:t>13 </w:t>
      </w:r>
      <w:r>
        <w:rPr>
          <w:w w:val="105"/>
          <w:sz w:val="13"/>
        </w:rPr>
        <w:t>(Aboriginal</w:t>
      </w:r>
      <w:r>
        <w:rPr>
          <w:spacing w:val="4"/>
          <w:w w:val="105"/>
          <w:sz w:val="13"/>
        </w:rPr>
        <w:t> </w:t>
      </w:r>
      <w:r>
        <w:rPr>
          <w:spacing w:val="2"/>
          <w:w w:val="105"/>
          <w:sz w:val="13"/>
        </w:rPr>
        <w:t>Victoria).</w:t>
      </w:r>
    </w:p>
    <w:p>
      <w:pPr>
        <w:spacing w:after="0" w:line="240" w:lineRule="auto"/>
        <w:jc w:val="left"/>
        <w:rPr>
          <w:sz w:val="13"/>
        </w:rPr>
        <w:sectPr>
          <w:type w:val="continuous"/>
          <w:pgSz w:w="11910" w:h="16840"/>
          <w:pgMar w:top="300" w:bottom="280" w:left="0" w:right="0"/>
          <w:cols w:num="2" w:equalWidth="0">
            <w:col w:w="1122" w:space="40"/>
            <w:col w:w="10748"/>
          </w:cols>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917" w:hanging="794"/>
        <w:jc w:val="left"/>
        <w:rPr>
          <w:sz w:val="21"/>
        </w:rPr>
      </w:pPr>
      <w:bookmarkStart w:name="The Fences Act" w:id="266"/>
      <w:bookmarkEnd w:id="266"/>
      <w:r>
        <w:rPr/>
      </w:r>
      <w:bookmarkStart w:name="_bookmark124" w:id="267"/>
      <w:bookmarkEnd w:id="267"/>
      <w:r>
        <w:rPr/>
      </w:r>
      <w:bookmarkStart w:name="_bookmark124" w:id="268"/>
      <w:bookmarkEnd w:id="268"/>
      <w:r>
        <w:rPr>
          <w:sz w:val="21"/>
        </w:rPr>
        <w:t>T</w:t>
      </w:r>
      <w:r>
        <w:rPr>
          <w:sz w:val="21"/>
        </w:rPr>
        <w:t>he </w:t>
      </w:r>
      <w:r>
        <w:rPr>
          <w:spacing w:val="-3"/>
          <w:sz w:val="21"/>
        </w:rPr>
        <w:t>Commission </w:t>
      </w:r>
      <w:r>
        <w:rPr>
          <w:sz w:val="21"/>
        </w:rPr>
        <w:t>was </w:t>
      </w:r>
      <w:r>
        <w:rPr>
          <w:spacing w:val="-3"/>
          <w:sz w:val="21"/>
        </w:rPr>
        <w:t>informed that </w:t>
      </w:r>
      <w:r>
        <w:rPr>
          <w:sz w:val="21"/>
        </w:rPr>
        <w:t>there </w:t>
      </w:r>
      <w:r>
        <w:rPr>
          <w:spacing w:val="-3"/>
          <w:sz w:val="21"/>
        </w:rPr>
        <w:t>may </w:t>
      </w:r>
      <w:r>
        <w:rPr>
          <w:sz w:val="21"/>
        </w:rPr>
        <w:t>be </w:t>
      </w:r>
      <w:r>
        <w:rPr>
          <w:spacing w:val="-3"/>
          <w:sz w:val="21"/>
        </w:rPr>
        <w:t>approximately 3700 </w:t>
      </w:r>
      <w:r>
        <w:rPr>
          <w:sz w:val="21"/>
        </w:rPr>
        <w:t>scarred trees on </w:t>
      </w:r>
      <w:r>
        <w:rPr>
          <w:spacing w:val="-3"/>
          <w:sz w:val="21"/>
        </w:rPr>
        <w:t>private land within </w:t>
      </w:r>
      <w:r>
        <w:rPr>
          <w:sz w:val="21"/>
        </w:rPr>
        <w:t>Victoria, depending on the </w:t>
      </w:r>
      <w:r>
        <w:rPr>
          <w:spacing w:val="-3"/>
          <w:sz w:val="21"/>
        </w:rPr>
        <w:t>interpretation </w:t>
      </w:r>
      <w:r>
        <w:rPr>
          <w:sz w:val="21"/>
        </w:rPr>
        <w:t>of </w:t>
      </w:r>
      <w:r>
        <w:rPr>
          <w:spacing w:val="-3"/>
          <w:sz w:val="21"/>
        </w:rPr>
        <w:t>available</w:t>
      </w:r>
      <w:r>
        <w:rPr>
          <w:spacing w:val="13"/>
          <w:sz w:val="21"/>
        </w:rPr>
        <w:t> </w:t>
      </w:r>
      <w:r>
        <w:rPr>
          <w:spacing w:val="-5"/>
          <w:sz w:val="21"/>
        </w:rPr>
        <w:t>data.</w:t>
      </w:r>
      <w:r>
        <w:rPr>
          <w:spacing w:val="-5"/>
          <w:position w:val="7"/>
          <w:sz w:val="12"/>
        </w:rPr>
        <w:t>135</w:t>
      </w:r>
    </w:p>
    <w:p>
      <w:pPr>
        <w:pStyle w:val="ListParagraph"/>
        <w:numPr>
          <w:ilvl w:val="1"/>
          <w:numId w:val="16"/>
        </w:numPr>
        <w:tabs>
          <w:tab w:pos="2380" w:val="left" w:leader="none"/>
          <w:tab w:pos="2382" w:val="left" w:leader="none"/>
        </w:tabs>
        <w:spacing w:line="242" w:lineRule="auto" w:before="123" w:after="0"/>
        <w:ind w:left="2381" w:right="1601" w:hanging="794"/>
        <w:jc w:val="left"/>
        <w:rPr>
          <w:sz w:val="21"/>
        </w:rPr>
      </w:pPr>
      <w:r>
        <w:rPr>
          <w:spacing w:val="-3"/>
          <w:w w:val="105"/>
          <w:sz w:val="21"/>
        </w:rPr>
        <w:t>Pursuant to </w:t>
      </w:r>
      <w:r>
        <w:rPr>
          <w:w w:val="105"/>
          <w:sz w:val="21"/>
        </w:rPr>
        <w:t>the </w:t>
      </w:r>
      <w:r>
        <w:rPr>
          <w:spacing w:val="-3"/>
          <w:w w:val="105"/>
          <w:sz w:val="21"/>
        </w:rPr>
        <w:t>Aboriginal </w:t>
      </w:r>
      <w:r>
        <w:rPr>
          <w:w w:val="105"/>
          <w:sz w:val="21"/>
        </w:rPr>
        <w:t>Heritage Act, a landowner would need </w:t>
      </w:r>
      <w:r>
        <w:rPr>
          <w:spacing w:val="-3"/>
          <w:w w:val="105"/>
          <w:sz w:val="21"/>
        </w:rPr>
        <w:t>to </w:t>
      </w:r>
      <w:r>
        <w:rPr>
          <w:w w:val="105"/>
          <w:sz w:val="21"/>
        </w:rPr>
        <w:t>apply </w:t>
      </w:r>
      <w:r>
        <w:rPr>
          <w:spacing w:val="-3"/>
          <w:w w:val="105"/>
          <w:sz w:val="21"/>
        </w:rPr>
        <w:t>for </w:t>
      </w:r>
      <w:r>
        <w:rPr>
          <w:w w:val="105"/>
          <w:sz w:val="21"/>
        </w:rPr>
        <w:t>either a </w:t>
      </w:r>
      <w:r>
        <w:rPr>
          <w:spacing w:val="-4"/>
          <w:w w:val="105"/>
          <w:sz w:val="21"/>
        </w:rPr>
        <w:t>Cultural </w:t>
      </w:r>
      <w:r>
        <w:rPr>
          <w:w w:val="105"/>
          <w:sz w:val="21"/>
        </w:rPr>
        <w:t>Heritage </w:t>
      </w:r>
      <w:r>
        <w:rPr>
          <w:spacing w:val="-2"/>
          <w:w w:val="105"/>
          <w:sz w:val="21"/>
        </w:rPr>
        <w:t>Permit </w:t>
      </w:r>
      <w:r>
        <w:rPr>
          <w:w w:val="105"/>
          <w:sz w:val="21"/>
        </w:rPr>
        <w:t>or a </w:t>
      </w:r>
      <w:r>
        <w:rPr>
          <w:spacing w:val="-4"/>
          <w:w w:val="105"/>
          <w:sz w:val="21"/>
        </w:rPr>
        <w:t>Cultural </w:t>
      </w:r>
      <w:r>
        <w:rPr>
          <w:w w:val="105"/>
          <w:sz w:val="21"/>
        </w:rPr>
        <w:t>Heritage </w:t>
      </w:r>
      <w:r>
        <w:rPr>
          <w:spacing w:val="-3"/>
          <w:w w:val="105"/>
          <w:sz w:val="21"/>
        </w:rPr>
        <w:t>Management </w:t>
      </w:r>
      <w:r>
        <w:rPr>
          <w:w w:val="105"/>
          <w:sz w:val="21"/>
        </w:rPr>
        <w:t>Plan (CHMP) </w:t>
      </w:r>
      <w:r>
        <w:rPr>
          <w:spacing w:val="-3"/>
          <w:w w:val="105"/>
          <w:sz w:val="21"/>
        </w:rPr>
        <w:t>to </w:t>
      </w:r>
      <w:r>
        <w:rPr>
          <w:w w:val="105"/>
          <w:sz w:val="21"/>
        </w:rPr>
        <w:t>carry out </w:t>
      </w:r>
      <w:r>
        <w:rPr>
          <w:spacing w:val="-3"/>
          <w:w w:val="105"/>
          <w:sz w:val="21"/>
        </w:rPr>
        <w:t>any </w:t>
      </w:r>
      <w:r>
        <w:rPr>
          <w:w w:val="105"/>
          <w:sz w:val="21"/>
        </w:rPr>
        <w:t>works </w:t>
      </w:r>
      <w:r>
        <w:rPr>
          <w:spacing w:val="-3"/>
          <w:w w:val="105"/>
          <w:sz w:val="21"/>
        </w:rPr>
        <w:t>to </w:t>
      </w:r>
      <w:r>
        <w:rPr>
          <w:w w:val="105"/>
          <w:sz w:val="21"/>
        </w:rPr>
        <w:t>a scarred </w:t>
      </w:r>
      <w:r>
        <w:rPr>
          <w:spacing w:val="-5"/>
          <w:w w:val="105"/>
          <w:sz w:val="21"/>
        </w:rPr>
        <w:t>tree.</w:t>
      </w:r>
      <w:r>
        <w:rPr>
          <w:spacing w:val="-5"/>
          <w:w w:val="105"/>
          <w:position w:val="7"/>
          <w:sz w:val="12"/>
        </w:rPr>
        <w:t>136 </w:t>
      </w:r>
      <w:r>
        <w:rPr>
          <w:w w:val="105"/>
          <w:sz w:val="21"/>
        </w:rPr>
        <w:t>A Protection </w:t>
      </w:r>
      <w:r>
        <w:rPr>
          <w:spacing w:val="-3"/>
          <w:w w:val="105"/>
          <w:sz w:val="21"/>
        </w:rPr>
        <w:t>Declaration may </w:t>
      </w:r>
      <w:r>
        <w:rPr>
          <w:w w:val="105"/>
          <w:sz w:val="21"/>
        </w:rPr>
        <w:t>also apply </w:t>
      </w:r>
      <w:r>
        <w:rPr>
          <w:spacing w:val="-3"/>
          <w:w w:val="105"/>
          <w:sz w:val="21"/>
        </w:rPr>
        <w:t>to </w:t>
      </w:r>
      <w:r>
        <w:rPr>
          <w:w w:val="105"/>
          <w:sz w:val="21"/>
        </w:rPr>
        <w:t>the</w:t>
      </w:r>
      <w:r>
        <w:rPr>
          <w:spacing w:val="28"/>
          <w:w w:val="105"/>
          <w:sz w:val="21"/>
        </w:rPr>
        <w:t> </w:t>
      </w:r>
      <w:r>
        <w:rPr>
          <w:spacing w:val="-6"/>
          <w:w w:val="105"/>
          <w:sz w:val="21"/>
        </w:rPr>
        <w:t>tree.</w:t>
      </w:r>
      <w:r>
        <w:rPr>
          <w:spacing w:val="-6"/>
          <w:w w:val="105"/>
          <w:position w:val="7"/>
          <w:sz w:val="12"/>
        </w:rPr>
        <w:t>137</w:t>
      </w:r>
    </w:p>
    <w:p>
      <w:pPr>
        <w:pStyle w:val="ListParagraph"/>
        <w:numPr>
          <w:ilvl w:val="1"/>
          <w:numId w:val="16"/>
        </w:numPr>
        <w:tabs>
          <w:tab w:pos="2380" w:val="left" w:leader="none"/>
          <w:tab w:pos="2381" w:val="left" w:leader="none"/>
        </w:tabs>
        <w:spacing w:line="242" w:lineRule="auto" w:before="123" w:after="0"/>
        <w:ind w:left="2380" w:right="1675" w:hanging="793"/>
        <w:jc w:val="left"/>
        <w:rPr>
          <w:sz w:val="21"/>
        </w:rPr>
      </w:pPr>
      <w:r>
        <w:rPr>
          <w:w w:val="105"/>
          <w:sz w:val="21"/>
        </w:rPr>
        <w:t>A </w:t>
      </w:r>
      <w:r>
        <w:rPr>
          <w:spacing w:val="-3"/>
          <w:w w:val="105"/>
          <w:sz w:val="21"/>
        </w:rPr>
        <w:t>CHMP </w:t>
      </w:r>
      <w:r>
        <w:rPr>
          <w:w w:val="105"/>
          <w:sz w:val="21"/>
        </w:rPr>
        <w:t>is mandatory </w:t>
      </w:r>
      <w:r>
        <w:rPr>
          <w:spacing w:val="-3"/>
          <w:w w:val="105"/>
          <w:sz w:val="21"/>
        </w:rPr>
        <w:t>for </w:t>
      </w:r>
      <w:r>
        <w:rPr>
          <w:w w:val="105"/>
          <w:sz w:val="21"/>
        </w:rPr>
        <w:t>high-impact works </w:t>
      </w:r>
      <w:r>
        <w:rPr>
          <w:spacing w:val="-3"/>
          <w:w w:val="105"/>
          <w:sz w:val="21"/>
        </w:rPr>
        <w:t>within areas </w:t>
      </w:r>
      <w:r>
        <w:rPr>
          <w:w w:val="105"/>
          <w:sz w:val="21"/>
        </w:rPr>
        <w:t>of </w:t>
      </w:r>
      <w:r>
        <w:rPr>
          <w:spacing w:val="-3"/>
          <w:w w:val="105"/>
          <w:sz w:val="21"/>
        </w:rPr>
        <w:t>Aboriginal </w:t>
      </w:r>
      <w:r>
        <w:rPr>
          <w:spacing w:val="-4"/>
          <w:w w:val="105"/>
          <w:sz w:val="21"/>
        </w:rPr>
        <w:t>Cultural </w:t>
      </w:r>
      <w:r>
        <w:rPr>
          <w:w w:val="105"/>
          <w:sz w:val="21"/>
        </w:rPr>
        <w:t>Heritage </w:t>
      </w:r>
      <w:r>
        <w:rPr>
          <w:spacing w:val="-4"/>
          <w:w w:val="105"/>
          <w:sz w:val="21"/>
        </w:rPr>
        <w:t>Sensitivity,</w:t>
      </w:r>
      <w:r>
        <w:rPr>
          <w:spacing w:val="-4"/>
          <w:w w:val="105"/>
          <w:position w:val="7"/>
          <w:sz w:val="12"/>
        </w:rPr>
        <w:t>138 </w:t>
      </w:r>
      <w:r>
        <w:rPr>
          <w:w w:val="105"/>
          <w:sz w:val="21"/>
        </w:rPr>
        <w:t>and this </w:t>
      </w:r>
      <w:r>
        <w:rPr>
          <w:spacing w:val="-3"/>
          <w:w w:val="105"/>
          <w:sz w:val="21"/>
        </w:rPr>
        <w:t>includes areas within </w:t>
      </w:r>
      <w:r>
        <w:rPr>
          <w:w w:val="105"/>
          <w:sz w:val="21"/>
        </w:rPr>
        <w:t>50 meters of a scarred </w:t>
      </w:r>
      <w:r>
        <w:rPr>
          <w:spacing w:val="-5"/>
          <w:w w:val="105"/>
          <w:sz w:val="21"/>
        </w:rPr>
        <w:t>tree.</w:t>
      </w:r>
      <w:r>
        <w:rPr>
          <w:spacing w:val="-5"/>
          <w:w w:val="105"/>
          <w:position w:val="7"/>
          <w:sz w:val="12"/>
        </w:rPr>
        <w:t>139 </w:t>
      </w:r>
      <w:r>
        <w:rPr>
          <w:w w:val="105"/>
          <w:sz w:val="21"/>
        </w:rPr>
        <w:t>Whether an </w:t>
      </w:r>
      <w:r>
        <w:rPr>
          <w:spacing w:val="-3"/>
          <w:w w:val="105"/>
          <w:sz w:val="21"/>
        </w:rPr>
        <w:t>area </w:t>
      </w:r>
      <w:r>
        <w:rPr>
          <w:w w:val="105"/>
          <w:sz w:val="21"/>
        </w:rPr>
        <w:t>is of </w:t>
      </w:r>
      <w:r>
        <w:rPr>
          <w:spacing w:val="-3"/>
          <w:w w:val="105"/>
          <w:sz w:val="21"/>
        </w:rPr>
        <w:t>Aboriginal </w:t>
      </w:r>
      <w:r>
        <w:rPr>
          <w:spacing w:val="-4"/>
          <w:w w:val="105"/>
          <w:sz w:val="21"/>
        </w:rPr>
        <w:t>Cultural </w:t>
      </w:r>
      <w:r>
        <w:rPr>
          <w:w w:val="105"/>
          <w:sz w:val="21"/>
        </w:rPr>
        <w:t>Heritage Sensitivity can be ascertained by </w:t>
      </w:r>
      <w:r>
        <w:rPr>
          <w:spacing w:val="-3"/>
          <w:w w:val="105"/>
          <w:sz w:val="21"/>
        </w:rPr>
        <w:t>using </w:t>
      </w:r>
      <w:r>
        <w:rPr>
          <w:w w:val="105"/>
          <w:sz w:val="21"/>
        </w:rPr>
        <w:t>an </w:t>
      </w:r>
      <w:r>
        <w:rPr>
          <w:spacing w:val="-3"/>
          <w:w w:val="105"/>
          <w:sz w:val="21"/>
        </w:rPr>
        <w:t>online mapping </w:t>
      </w:r>
      <w:r>
        <w:rPr>
          <w:spacing w:val="-4"/>
          <w:w w:val="105"/>
          <w:sz w:val="21"/>
        </w:rPr>
        <w:t>tool.</w:t>
      </w:r>
      <w:r>
        <w:rPr>
          <w:spacing w:val="-4"/>
          <w:w w:val="105"/>
          <w:position w:val="7"/>
          <w:sz w:val="12"/>
        </w:rPr>
        <w:t>140 </w:t>
      </w:r>
      <w:r>
        <w:rPr>
          <w:w w:val="105"/>
          <w:sz w:val="21"/>
        </w:rPr>
        <w:t>This map is specific </w:t>
      </w:r>
      <w:r>
        <w:rPr>
          <w:spacing w:val="-3"/>
          <w:w w:val="105"/>
          <w:sz w:val="21"/>
        </w:rPr>
        <w:t>to individual parcels </w:t>
      </w:r>
      <w:r>
        <w:rPr>
          <w:w w:val="105"/>
          <w:sz w:val="21"/>
        </w:rPr>
        <w:t>of</w:t>
      </w:r>
      <w:r>
        <w:rPr>
          <w:spacing w:val="8"/>
          <w:w w:val="105"/>
          <w:sz w:val="21"/>
        </w:rPr>
        <w:t> </w:t>
      </w:r>
      <w:r>
        <w:rPr>
          <w:spacing w:val="-3"/>
          <w:w w:val="105"/>
          <w:sz w:val="21"/>
        </w:rPr>
        <w:t>land.</w:t>
      </w:r>
    </w:p>
    <w:p>
      <w:pPr>
        <w:pStyle w:val="ListParagraph"/>
        <w:numPr>
          <w:ilvl w:val="1"/>
          <w:numId w:val="16"/>
        </w:numPr>
        <w:tabs>
          <w:tab w:pos="2380" w:val="left" w:leader="none"/>
          <w:tab w:pos="2381" w:val="left" w:leader="none"/>
        </w:tabs>
        <w:spacing w:line="242" w:lineRule="auto" w:before="124" w:after="0"/>
        <w:ind w:left="2380" w:right="1754" w:hanging="793"/>
        <w:jc w:val="left"/>
        <w:rPr>
          <w:sz w:val="21"/>
        </w:rPr>
      </w:pPr>
      <w:r>
        <w:rPr>
          <w:w w:val="105"/>
          <w:sz w:val="21"/>
        </w:rPr>
        <w:t>Permits or CHMPs </w:t>
      </w:r>
      <w:r>
        <w:rPr>
          <w:spacing w:val="-3"/>
          <w:w w:val="105"/>
          <w:sz w:val="21"/>
        </w:rPr>
        <w:t>are generally </w:t>
      </w:r>
      <w:r>
        <w:rPr>
          <w:w w:val="105"/>
          <w:sz w:val="21"/>
        </w:rPr>
        <w:t>assessed by the </w:t>
      </w:r>
      <w:r>
        <w:rPr>
          <w:spacing w:val="-3"/>
          <w:w w:val="105"/>
          <w:sz w:val="21"/>
        </w:rPr>
        <w:t>relevant </w:t>
      </w:r>
      <w:r>
        <w:rPr>
          <w:spacing w:val="-2"/>
          <w:w w:val="105"/>
          <w:sz w:val="21"/>
        </w:rPr>
        <w:t>Registered </w:t>
      </w:r>
      <w:r>
        <w:rPr>
          <w:spacing w:val="-3"/>
          <w:w w:val="105"/>
          <w:sz w:val="21"/>
        </w:rPr>
        <w:t>Aboriginal </w:t>
      </w:r>
      <w:r>
        <w:rPr>
          <w:w w:val="105"/>
          <w:sz w:val="21"/>
        </w:rPr>
        <w:t>Party (RAP)</w:t>
      </w:r>
      <w:r>
        <w:rPr>
          <w:w w:val="105"/>
          <w:position w:val="7"/>
          <w:sz w:val="12"/>
        </w:rPr>
        <w:t>141 </w:t>
      </w:r>
      <w:r>
        <w:rPr>
          <w:spacing w:val="-6"/>
          <w:w w:val="105"/>
          <w:sz w:val="21"/>
        </w:rPr>
        <w:t>or, </w:t>
      </w:r>
      <w:r>
        <w:rPr>
          <w:w w:val="105"/>
          <w:sz w:val="21"/>
        </w:rPr>
        <w:t>if there is no RAP in the </w:t>
      </w:r>
      <w:r>
        <w:rPr>
          <w:spacing w:val="-3"/>
          <w:w w:val="105"/>
          <w:sz w:val="21"/>
        </w:rPr>
        <w:t>area, </w:t>
      </w:r>
      <w:r>
        <w:rPr>
          <w:w w:val="105"/>
          <w:sz w:val="21"/>
        </w:rPr>
        <w:t>then Heritage Officers at </w:t>
      </w:r>
      <w:r>
        <w:rPr>
          <w:spacing w:val="-3"/>
          <w:w w:val="105"/>
          <w:sz w:val="21"/>
        </w:rPr>
        <w:t>Aboriginal</w:t>
      </w:r>
      <w:r>
        <w:rPr>
          <w:spacing w:val="-7"/>
          <w:w w:val="105"/>
          <w:sz w:val="21"/>
        </w:rPr>
        <w:t> </w:t>
      </w:r>
      <w:r>
        <w:rPr>
          <w:spacing w:val="-4"/>
          <w:w w:val="105"/>
          <w:sz w:val="21"/>
        </w:rPr>
        <w:t>Victoria.</w:t>
      </w:r>
      <w:r>
        <w:rPr>
          <w:spacing w:val="-4"/>
          <w:w w:val="105"/>
          <w:position w:val="7"/>
          <w:sz w:val="12"/>
        </w:rPr>
        <w:t>142</w:t>
      </w:r>
    </w:p>
    <w:p>
      <w:pPr>
        <w:pStyle w:val="ListParagraph"/>
        <w:numPr>
          <w:ilvl w:val="1"/>
          <w:numId w:val="16"/>
        </w:numPr>
        <w:tabs>
          <w:tab w:pos="2381" w:val="left" w:leader="none"/>
        </w:tabs>
        <w:spacing w:line="242" w:lineRule="auto" w:before="123" w:after="0"/>
        <w:ind w:left="2380" w:right="1721" w:hanging="793"/>
        <w:jc w:val="both"/>
        <w:rPr>
          <w:sz w:val="21"/>
        </w:rPr>
      </w:pPr>
      <w:r>
        <w:rPr>
          <w:w w:val="105"/>
          <w:sz w:val="21"/>
        </w:rPr>
        <w:t>The </w:t>
      </w:r>
      <w:r>
        <w:rPr>
          <w:spacing w:val="-3"/>
          <w:w w:val="105"/>
          <w:sz w:val="21"/>
        </w:rPr>
        <w:t>Aboriginal </w:t>
      </w:r>
      <w:r>
        <w:rPr>
          <w:w w:val="105"/>
          <w:sz w:val="21"/>
        </w:rPr>
        <w:t>Heritage Act provides </w:t>
      </w:r>
      <w:r>
        <w:rPr>
          <w:spacing w:val="-5"/>
          <w:w w:val="105"/>
          <w:sz w:val="21"/>
        </w:rPr>
        <w:t>VCAT </w:t>
      </w:r>
      <w:r>
        <w:rPr>
          <w:w w:val="105"/>
          <w:sz w:val="21"/>
        </w:rPr>
        <w:t>with jurisdiction </w:t>
      </w:r>
      <w:r>
        <w:rPr>
          <w:spacing w:val="-3"/>
          <w:w w:val="105"/>
          <w:sz w:val="21"/>
        </w:rPr>
        <w:t>to determine disputes </w:t>
      </w:r>
      <w:r>
        <w:rPr>
          <w:w w:val="105"/>
          <w:sz w:val="21"/>
        </w:rPr>
        <w:t>about CHMPs, </w:t>
      </w:r>
      <w:r>
        <w:rPr>
          <w:spacing w:val="-3"/>
          <w:w w:val="105"/>
          <w:sz w:val="21"/>
        </w:rPr>
        <w:t>cultural </w:t>
      </w:r>
      <w:r>
        <w:rPr>
          <w:w w:val="105"/>
          <w:sz w:val="21"/>
        </w:rPr>
        <w:t>heritage permits and protection </w:t>
      </w:r>
      <w:r>
        <w:rPr>
          <w:spacing w:val="-4"/>
          <w:w w:val="105"/>
          <w:sz w:val="21"/>
        </w:rPr>
        <w:t>declarations.</w:t>
      </w:r>
      <w:r>
        <w:rPr>
          <w:spacing w:val="-4"/>
          <w:w w:val="105"/>
          <w:position w:val="7"/>
          <w:sz w:val="12"/>
        </w:rPr>
        <w:t>143 </w:t>
      </w:r>
      <w:r>
        <w:rPr>
          <w:spacing w:val="-4"/>
          <w:w w:val="105"/>
          <w:sz w:val="21"/>
        </w:rPr>
        <w:t>However, </w:t>
      </w:r>
      <w:r>
        <w:rPr>
          <w:w w:val="105"/>
          <w:sz w:val="21"/>
        </w:rPr>
        <w:t>most </w:t>
      </w:r>
      <w:r>
        <w:rPr>
          <w:spacing w:val="-3"/>
          <w:w w:val="105"/>
          <w:sz w:val="21"/>
        </w:rPr>
        <w:t>disputes are </w:t>
      </w:r>
      <w:r>
        <w:rPr>
          <w:w w:val="105"/>
          <w:sz w:val="21"/>
        </w:rPr>
        <w:t>resolved on an </w:t>
      </w:r>
      <w:r>
        <w:rPr>
          <w:spacing w:val="-3"/>
          <w:w w:val="105"/>
          <w:sz w:val="21"/>
        </w:rPr>
        <w:t>informal </w:t>
      </w:r>
      <w:r>
        <w:rPr>
          <w:w w:val="105"/>
          <w:sz w:val="21"/>
        </w:rPr>
        <w:t>basis </w:t>
      </w:r>
      <w:r>
        <w:rPr>
          <w:spacing w:val="-3"/>
          <w:w w:val="105"/>
          <w:sz w:val="21"/>
        </w:rPr>
        <w:t>including </w:t>
      </w:r>
      <w:r>
        <w:rPr>
          <w:w w:val="105"/>
          <w:sz w:val="21"/>
        </w:rPr>
        <w:t>via mediation or</w:t>
      </w:r>
      <w:r>
        <w:rPr>
          <w:spacing w:val="30"/>
          <w:w w:val="105"/>
          <w:sz w:val="21"/>
        </w:rPr>
        <w:t> </w:t>
      </w:r>
      <w:r>
        <w:rPr>
          <w:spacing w:val="-4"/>
          <w:w w:val="105"/>
          <w:sz w:val="21"/>
        </w:rPr>
        <w:t>negotiation.</w:t>
      </w:r>
      <w:r>
        <w:rPr>
          <w:spacing w:val="-4"/>
          <w:w w:val="105"/>
          <w:position w:val="7"/>
          <w:sz w:val="12"/>
        </w:rPr>
        <w:t>144</w:t>
      </w:r>
    </w:p>
    <w:p>
      <w:pPr>
        <w:pStyle w:val="BodyText"/>
        <w:spacing w:before="10"/>
      </w:pPr>
    </w:p>
    <w:p>
      <w:pPr>
        <w:pStyle w:val="Heading4"/>
      </w:pPr>
      <w:r>
        <w:rPr>
          <w:color w:val="658464"/>
          <w:w w:val="110"/>
        </w:rPr>
        <w:t>The Fences Act</w:t>
      </w:r>
    </w:p>
    <w:p>
      <w:pPr>
        <w:pStyle w:val="ListParagraph"/>
        <w:numPr>
          <w:ilvl w:val="1"/>
          <w:numId w:val="16"/>
        </w:numPr>
        <w:tabs>
          <w:tab w:pos="2381" w:val="left" w:leader="none"/>
        </w:tabs>
        <w:spacing w:line="242" w:lineRule="auto" w:before="155" w:after="0"/>
        <w:ind w:left="2380" w:right="2034" w:hanging="793"/>
        <w:jc w:val="both"/>
        <w:rPr>
          <w:sz w:val="21"/>
        </w:rPr>
      </w:pPr>
      <w:r>
        <w:rPr>
          <w:w w:val="105"/>
          <w:sz w:val="21"/>
        </w:rPr>
        <w:t>The</w:t>
      </w:r>
      <w:r>
        <w:rPr>
          <w:spacing w:val="-7"/>
          <w:w w:val="105"/>
          <w:sz w:val="21"/>
        </w:rPr>
        <w:t> </w:t>
      </w:r>
      <w:r>
        <w:rPr>
          <w:i/>
          <w:w w:val="105"/>
          <w:sz w:val="21"/>
        </w:rPr>
        <w:t>Fences</w:t>
      </w:r>
      <w:r>
        <w:rPr>
          <w:i/>
          <w:spacing w:val="-7"/>
          <w:w w:val="105"/>
          <w:sz w:val="21"/>
        </w:rPr>
        <w:t> </w:t>
      </w:r>
      <w:r>
        <w:rPr>
          <w:i/>
          <w:w w:val="105"/>
          <w:sz w:val="21"/>
        </w:rPr>
        <w:t>Act</w:t>
      </w:r>
      <w:r>
        <w:rPr>
          <w:i/>
          <w:spacing w:val="-6"/>
          <w:w w:val="105"/>
          <w:sz w:val="21"/>
        </w:rPr>
        <w:t> </w:t>
      </w:r>
      <w:r>
        <w:rPr>
          <w:i/>
          <w:spacing w:val="-4"/>
          <w:w w:val="105"/>
          <w:sz w:val="21"/>
        </w:rPr>
        <w:t>1968</w:t>
      </w:r>
      <w:r>
        <w:rPr>
          <w:i/>
          <w:spacing w:val="-7"/>
          <w:w w:val="105"/>
          <w:sz w:val="21"/>
        </w:rPr>
        <w:t> </w:t>
      </w:r>
      <w:r>
        <w:rPr>
          <w:w w:val="105"/>
          <w:sz w:val="21"/>
        </w:rPr>
        <w:t>(Vic)</w:t>
      </w:r>
      <w:r>
        <w:rPr>
          <w:spacing w:val="-6"/>
          <w:w w:val="105"/>
          <w:sz w:val="21"/>
        </w:rPr>
        <w:t> </w:t>
      </w:r>
      <w:r>
        <w:rPr>
          <w:w w:val="105"/>
          <w:sz w:val="21"/>
        </w:rPr>
        <w:t>provides</w:t>
      </w:r>
      <w:r>
        <w:rPr>
          <w:spacing w:val="-7"/>
          <w:w w:val="105"/>
          <w:sz w:val="21"/>
        </w:rPr>
        <w:t> </w:t>
      </w:r>
      <w:r>
        <w:rPr>
          <w:w w:val="105"/>
          <w:sz w:val="21"/>
        </w:rPr>
        <w:t>the</w:t>
      </w:r>
      <w:r>
        <w:rPr>
          <w:spacing w:val="-6"/>
          <w:w w:val="105"/>
          <w:sz w:val="21"/>
        </w:rPr>
        <w:t> </w:t>
      </w:r>
      <w:r>
        <w:rPr>
          <w:spacing w:val="-3"/>
          <w:w w:val="105"/>
          <w:sz w:val="21"/>
        </w:rPr>
        <w:t>Magistrates’</w:t>
      </w:r>
      <w:r>
        <w:rPr>
          <w:spacing w:val="-7"/>
          <w:w w:val="105"/>
          <w:sz w:val="21"/>
        </w:rPr>
        <w:t> </w:t>
      </w:r>
      <w:r>
        <w:rPr>
          <w:spacing w:val="-3"/>
          <w:w w:val="105"/>
          <w:sz w:val="21"/>
        </w:rPr>
        <w:t>Court</w:t>
      </w:r>
      <w:r>
        <w:rPr>
          <w:spacing w:val="-7"/>
          <w:w w:val="105"/>
          <w:sz w:val="21"/>
        </w:rPr>
        <w:t> </w:t>
      </w:r>
      <w:r>
        <w:rPr>
          <w:w w:val="105"/>
          <w:sz w:val="21"/>
        </w:rPr>
        <w:t>with</w:t>
      </w:r>
      <w:r>
        <w:rPr>
          <w:spacing w:val="-6"/>
          <w:w w:val="105"/>
          <w:sz w:val="21"/>
        </w:rPr>
        <w:t> </w:t>
      </w:r>
      <w:r>
        <w:rPr>
          <w:w w:val="105"/>
          <w:sz w:val="21"/>
        </w:rPr>
        <w:t>jurisdiction</w:t>
      </w:r>
      <w:r>
        <w:rPr>
          <w:spacing w:val="-7"/>
          <w:w w:val="105"/>
          <w:sz w:val="21"/>
        </w:rPr>
        <w:t> </w:t>
      </w:r>
      <w:r>
        <w:rPr>
          <w:spacing w:val="-3"/>
          <w:w w:val="105"/>
          <w:sz w:val="21"/>
        </w:rPr>
        <w:t>to</w:t>
      </w:r>
      <w:r>
        <w:rPr>
          <w:spacing w:val="-6"/>
          <w:w w:val="105"/>
          <w:sz w:val="21"/>
        </w:rPr>
        <w:t> </w:t>
      </w:r>
      <w:r>
        <w:rPr>
          <w:w w:val="105"/>
          <w:sz w:val="21"/>
        </w:rPr>
        <w:t>resolve </w:t>
      </w:r>
      <w:r>
        <w:rPr>
          <w:spacing w:val="-3"/>
          <w:w w:val="105"/>
          <w:sz w:val="21"/>
        </w:rPr>
        <w:t>disputes </w:t>
      </w:r>
      <w:r>
        <w:rPr>
          <w:w w:val="105"/>
          <w:sz w:val="21"/>
        </w:rPr>
        <w:t>about </w:t>
      </w:r>
      <w:r>
        <w:rPr>
          <w:spacing w:val="-5"/>
          <w:w w:val="105"/>
          <w:sz w:val="21"/>
        </w:rPr>
        <w:t>fences.</w:t>
      </w:r>
      <w:r>
        <w:rPr>
          <w:spacing w:val="-5"/>
          <w:w w:val="105"/>
          <w:position w:val="7"/>
          <w:sz w:val="12"/>
        </w:rPr>
        <w:t>145 </w:t>
      </w:r>
      <w:r>
        <w:rPr>
          <w:w w:val="105"/>
          <w:sz w:val="21"/>
        </w:rPr>
        <w:t>The Act operates </w:t>
      </w:r>
      <w:r>
        <w:rPr>
          <w:spacing w:val="-3"/>
          <w:w w:val="105"/>
          <w:sz w:val="21"/>
        </w:rPr>
        <w:t>from </w:t>
      </w:r>
      <w:r>
        <w:rPr>
          <w:w w:val="105"/>
          <w:sz w:val="21"/>
        </w:rPr>
        <w:t>the general </w:t>
      </w:r>
      <w:r>
        <w:rPr>
          <w:spacing w:val="-3"/>
          <w:w w:val="105"/>
          <w:sz w:val="21"/>
        </w:rPr>
        <w:t>principle that </w:t>
      </w:r>
      <w:r>
        <w:rPr>
          <w:w w:val="105"/>
          <w:sz w:val="21"/>
        </w:rPr>
        <w:t>owners </w:t>
      </w:r>
      <w:r>
        <w:rPr>
          <w:spacing w:val="-3"/>
          <w:w w:val="105"/>
          <w:sz w:val="21"/>
        </w:rPr>
        <w:t>are liable to contribute </w:t>
      </w:r>
      <w:r>
        <w:rPr>
          <w:w w:val="105"/>
          <w:sz w:val="21"/>
        </w:rPr>
        <w:t>in equal proportions </w:t>
      </w:r>
      <w:r>
        <w:rPr>
          <w:spacing w:val="-3"/>
          <w:w w:val="105"/>
          <w:sz w:val="21"/>
        </w:rPr>
        <w:t>to </w:t>
      </w:r>
      <w:r>
        <w:rPr>
          <w:w w:val="105"/>
          <w:sz w:val="21"/>
        </w:rPr>
        <w:t>a </w:t>
      </w:r>
      <w:r>
        <w:rPr>
          <w:spacing w:val="-3"/>
          <w:w w:val="105"/>
          <w:sz w:val="21"/>
        </w:rPr>
        <w:t>dividing</w:t>
      </w:r>
      <w:r>
        <w:rPr>
          <w:w w:val="105"/>
          <w:sz w:val="21"/>
        </w:rPr>
        <w:t> </w:t>
      </w:r>
      <w:r>
        <w:rPr>
          <w:spacing w:val="-5"/>
          <w:w w:val="105"/>
          <w:sz w:val="21"/>
        </w:rPr>
        <w:t>fence.</w:t>
      </w:r>
      <w:r>
        <w:rPr>
          <w:spacing w:val="-5"/>
          <w:w w:val="105"/>
          <w:position w:val="7"/>
          <w:sz w:val="12"/>
        </w:rPr>
        <w:t>146</w:t>
      </w:r>
    </w:p>
    <w:p>
      <w:pPr>
        <w:pStyle w:val="ListParagraph"/>
        <w:numPr>
          <w:ilvl w:val="1"/>
          <w:numId w:val="16"/>
        </w:numPr>
        <w:tabs>
          <w:tab w:pos="2382" w:val="left" w:leader="none"/>
        </w:tabs>
        <w:spacing w:line="242" w:lineRule="auto" w:before="123" w:after="0"/>
        <w:ind w:left="2381" w:right="1593" w:hanging="794"/>
        <w:jc w:val="both"/>
        <w:rPr>
          <w:sz w:val="21"/>
        </w:rPr>
      </w:pPr>
      <w:r>
        <w:rPr>
          <w:w w:val="105"/>
          <w:sz w:val="21"/>
        </w:rPr>
        <w:t>Fences</w:t>
      </w:r>
      <w:r>
        <w:rPr>
          <w:spacing w:val="-10"/>
          <w:w w:val="105"/>
          <w:sz w:val="21"/>
        </w:rPr>
        <w:t> </w:t>
      </w:r>
      <w:r>
        <w:rPr>
          <w:w w:val="105"/>
          <w:sz w:val="21"/>
        </w:rPr>
        <w:t>and</w:t>
      </w:r>
      <w:r>
        <w:rPr>
          <w:spacing w:val="-9"/>
          <w:w w:val="105"/>
          <w:sz w:val="21"/>
        </w:rPr>
        <w:t> </w:t>
      </w:r>
      <w:r>
        <w:rPr>
          <w:w w:val="105"/>
          <w:sz w:val="21"/>
        </w:rPr>
        <w:t>trees</w:t>
      </w:r>
      <w:r>
        <w:rPr>
          <w:spacing w:val="-9"/>
          <w:w w:val="105"/>
          <w:sz w:val="21"/>
        </w:rPr>
        <w:t> </w:t>
      </w:r>
      <w:r>
        <w:rPr>
          <w:spacing w:val="-3"/>
          <w:w w:val="105"/>
          <w:sz w:val="21"/>
        </w:rPr>
        <w:t>are</w:t>
      </w:r>
      <w:r>
        <w:rPr>
          <w:spacing w:val="-9"/>
          <w:w w:val="105"/>
          <w:sz w:val="21"/>
        </w:rPr>
        <w:t> </w:t>
      </w:r>
      <w:r>
        <w:rPr>
          <w:w w:val="105"/>
          <w:sz w:val="21"/>
        </w:rPr>
        <w:t>often</w:t>
      </w:r>
      <w:r>
        <w:rPr>
          <w:spacing w:val="-9"/>
          <w:w w:val="105"/>
          <w:sz w:val="21"/>
        </w:rPr>
        <w:t> </w:t>
      </w:r>
      <w:r>
        <w:rPr>
          <w:w w:val="105"/>
          <w:sz w:val="21"/>
        </w:rPr>
        <w:t>located</w:t>
      </w:r>
      <w:r>
        <w:rPr>
          <w:spacing w:val="-9"/>
          <w:w w:val="105"/>
          <w:sz w:val="21"/>
        </w:rPr>
        <w:t> </w:t>
      </w:r>
      <w:r>
        <w:rPr>
          <w:spacing w:val="-3"/>
          <w:w w:val="105"/>
          <w:sz w:val="21"/>
        </w:rPr>
        <w:t>within</w:t>
      </w:r>
      <w:r>
        <w:rPr>
          <w:spacing w:val="-9"/>
          <w:w w:val="105"/>
          <w:sz w:val="21"/>
        </w:rPr>
        <w:t> </w:t>
      </w:r>
      <w:r>
        <w:rPr>
          <w:w w:val="105"/>
          <w:sz w:val="21"/>
        </w:rPr>
        <w:t>close</w:t>
      </w:r>
      <w:r>
        <w:rPr>
          <w:spacing w:val="-9"/>
          <w:w w:val="105"/>
          <w:sz w:val="21"/>
        </w:rPr>
        <w:t> </w:t>
      </w:r>
      <w:r>
        <w:rPr>
          <w:spacing w:val="-3"/>
          <w:w w:val="105"/>
          <w:sz w:val="21"/>
        </w:rPr>
        <w:t>proximity</w:t>
      </w:r>
      <w:r>
        <w:rPr>
          <w:spacing w:val="-9"/>
          <w:w w:val="105"/>
          <w:sz w:val="21"/>
        </w:rPr>
        <w:t> </w:t>
      </w:r>
      <w:r>
        <w:rPr>
          <w:spacing w:val="-3"/>
          <w:w w:val="105"/>
          <w:sz w:val="21"/>
        </w:rPr>
        <w:t>to</w:t>
      </w:r>
      <w:r>
        <w:rPr>
          <w:spacing w:val="-9"/>
          <w:w w:val="105"/>
          <w:sz w:val="21"/>
        </w:rPr>
        <w:t> </w:t>
      </w:r>
      <w:r>
        <w:rPr>
          <w:w w:val="105"/>
          <w:sz w:val="21"/>
        </w:rPr>
        <w:t>one</w:t>
      </w:r>
      <w:r>
        <w:rPr>
          <w:spacing w:val="-9"/>
          <w:w w:val="105"/>
          <w:sz w:val="21"/>
        </w:rPr>
        <w:t> </w:t>
      </w:r>
      <w:r>
        <w:rPr>
          <w:spacing w:val="-4"/>
          <w:w w:val="105"/>
          <w:sz w:val="21"/>
        </w:rPr>
        <w:t>another.</w:t>
      </w:r>
      <w:r>
        <w:rPr>
          <w:spacing w:val="-10"/>
          <w:w w:val="105"/>
          <w:sz w:val="21"/>
        </w:rPr>
        <w:t> </w:t>
      </w:r>
      <w:r>
        <w:rPr>
          <w:spacing w:val="-3"/>
          <w:w w:val="105"/>
          <w:sz w:val="21"/>
        </w:rPr>
        <w:t>Therefore,</w:t>
      </w:r>
      <w:r>
        <w:rPr>
          <w:spacing w:val="-9"/>
          <w:w w:val="105"/>
          <w:sz w:val="21"/>
        </w:rPr>
        <w:t> </w:t>
      </w:r>
      <w:r>
        <w:rPr>
          <w:w w:val="105"/>
          <w:sz w:val="21"/>
        </w:rPr>
        <w:t>a</w:t>
      </w:r>
      <w:r>
        <w:rPr>
          <w:spacing w:val="-9"/>
          <w:w w:val="105"/>
          <w:sz w:val="21"/>
        </w:rPr>
        <w:t> </w:t>
      </w:r>
      <w:r>
        <w:rPr>
          <w:w w:val="105"/>
          <w:sz w:val="21"/>
        </w:rPr>
        <w:t>tree </w:t>
      </w:r>
      <w:r>
        <w:rPr>
          <w:spacing w:val="-3"/>
          <w:w w:val="105"/>
          <w:sz w:val="21"/>
        </w:rPr>
        <w:t>may</w:t>
      </w:r>
      <w:r>
        <w:rPr>
          <w:spacing w:val="-6"/>
          <w:w w:val="105"/>
          <w:sz w:val="21"/>
        </w:rPr>
        <w:t> </w:t>
      </w:r>
      <w:r>
        <w:rPr>
          <w:w w:val="105"/>
          <w:sz w:val="21"/>
        </w:rPr>
        <w:t>cause</w:t>
      </w:r>
      <w:r>
        <w:rPr>
          <w:spacing w:val="-6"/>
          <w:w w:val="105"/>
          <w:sz w:val="21"/>
        </w:rPr>
        <w:t> </w:t>
      </w:r>
      <w:r>
        <w:rPr>
          <w:w w:val="105"/>
          <w:sz w:val="21"/>
        </w:rPr>
        <w:t>damage</w:t>
      </w:r>
      <w:r>
        <w:rPr>
          <w:spacing w:val="-6"/>
          <w:w w:val="105"/>
          <w:sz w:val="21"/>
        </w:rPr>
        <w:t> </w:t>
      </w:r>
      <w:r>
        <w:rPr>
          <w:spacing w:val="-3"/>
          <w:w w:val="105"/>
          <w:sz w:val="21"/>
        </w:rPr>
        <w:t>to</w:t>
      </w:r>
      <w:r>
        <w:rPr>
          <w:spacing w:val="-6"/>
          <w:w w:val="105"/>
          <w:sz w:val="21"/>
        </w:rPr>
        <w:t> </w:t>
      </w:r>
      <w:r>
        <w:rPr>
          <w:w w:val="105"/>
          <w:sz w:val="21"/>
        </w:rPr>
        <w:t>a</w:t>
      </w:r>
      <w:r>
        <w:rPr>
          <w:spacing w:val="-6"/>
          <w:w w:val="105"/>
          <w:sz w:val="21"/>
        </w:rPr>
        <w:t> </w:t>
      </w:r>
      <w:r>
        <w:rPr>
          <w:spacing w:val="-3"/>
          <w:w w:val="105"/>
          <w:sz w:val="21"/>
        </w:rPr>
        <w:t>fence</w:t>
      </w:r>
      <w:r>
        <w:rPr>
          <w:spacing w:val="-6"/>
          <w:w w:val="105"/>
          <w:sz w:val="21"/>
        </w:rPr>
        <w:t> </w:t>
      </w:r>
      <w:r>
        <w:rPr>
          <w:w w:val="105"/>
          <w:sz w:val="21"/>
        </w:rPr>
        <w:t>and</w:t>
      </w:r>
      <w:r>
        <w:rPr>
          <w:spacing w:val="-5"/>
          <w:w w:val="105"/>
          <w:sz w:val="21"/>
        </w:rPr>
        <w:t> </w:t>
      </w:r>
      <w:r>
        <w:rPr>
          <w:w w:val="105"/>
          <w:sz w:val="21"/>
        </w:rPr>
        <w:t>activate</w:t>
      </w:r>
      <w:r>
        <w:rPr>
          <w:spacing w:val="-6"/>
          <w:w w:val="105"/>
          <w:sz w:val="21"/>
        </w:rPr>
        <w:t> </w:t>
      </w:r>
      <w:r>
        <w:rPr>
          <w:w w:val="105"/>
          <w:sz w:val="21"/>
        </w:rPr>
        <w:t>the</w:t>
      </w:r>
      <w:r>
        <w:rPr>
          <w:spacing w:val="-6"/>
          <w:w w:val="105"/>
          <w:sz w:val="21"/>
        </w:rPr>
        <w:t> </w:t>
      </w:r>
      <w:r>
        <w:rPr>
          <w:w w:val="105"/>
          <w:sz w:val="21"/>
        </w:rPr>
        <w:t>jurisdiction</w:t>
      </w:r>
      <w:r>
        <w:rPr>
          <w:spacing w:val="-6"/>
          <w:w w:val="105"/>
          <w:sz w:val="21"/>
        </w:rPr>
        <w:t> </w:t>
      </w:r>
      <w:r>
        <w:rPr>
          <w:w w:val="105"/>
          <w:sz w:val="21"/>
        </w:rPr>
        <w:t>of</w:t>
      </w:r>
      <w:r>
        <w:rPr>
          <w:spacing w:val="-6"/>
          <w:w w:val="105"/>
          <w:sz w:val="21"/>
        </w:rPr>
        <w:t> </w:t>
      </w:r>
      <w:r>
        <w:rPr>
          <w:w w:val="105"/>
          <w:sz w:val="21"/>
        </w:rPr>
        <w:t>both</w:t>
      </w:r>
      <w:r>
        <w:rPr>
          <w:spacing w:val="-6"/>
          <w:w w:val="105"/>
          <w:sz w:val="21"/>
        </w:rPr>
        <w:t> </w:t>
      </w:r>
      <w:r>
        <w:rPr>
          <w:w w:val="105"/>
          <w:sz w:val="21"/>
        </w:rPr>
        <w:t>the</w:t>
      </w:r>
      <w:r>
        <w:rPr>
          <w:spacing w:val="-6"/>
          <w:w w:val="105"/>
          <w:sz w:val="21"/>
        </w:rPr>
        <w:t> </w:t>
      </w:r>
      <w:r>
        <w:rPr>
          <w:w w:val="105"/>
          <w:sz w:val="21"/>
        </w:rPr>
        <w:t>Fences</w:t>
      </w:r>
      <w:r>
        <w:rPr>
          <w:spacing w:val="-5"/>
          <w:w w:val="105"/>
          <w:sz w:val="21"/>
        </w:rPr>
        <w:t> </w:t>
      </w:r>
      <w:r>
        <w:rPr>
          <w:w w:val="105"/>
          <w:sz w:val="21"/>
        </w:rPr>
        <w:t>Act</w:t>
      </w:r>
      <w:r>
        <w:rPr>
          <w:spacing w:val="-6"/>
          <w:w w:val="105"/>
          <w:sz w:val="21"/>
        </w:rPr>
        <w:t> </w:t>
      </w:r>
      <w:r>
        <w:rPr>
          <w:w w:val="105"/>
          <w:sz w:val="21"/>
        </w:rPr>
        <w:t>and</w:t>
      </w:r>
      <w:r>
        <w:rPr>
          <w:spacing w:val="-6"/>
          <w:w w:val="105"/>
          <w:sz w:val="21"/>
        </w:rPr>
        <w:t> </w:t>
      </w:r>
      <w:r>
        <w:rPr>
          <w:w w:val="105"/>
          <w:sz w:val="21"/>
        </w:rPr>
        <w:t>the proposed Neighbourhood </w:t>
      </w:r>
      <w:r>
        <w:rPr>
          <w:spacing w:val="-5"/>
          <w:w w:val="105"/>
          <w:sz w:val="21"/>
        </w:rPr>
        <w:t>Tree </w:t>
      </w:r>
      <w:r>
        <w:rPr>
          <w:spacing w:val="-3"/>
          <w:w w:val="105"/>
          <w:sz w:val="21"/>
        </w:rPr>
        <w:t>Disputes</w:t>
      </w:r>
      <w:r>
        <w:rPr>
          <w:spacing w:val="24"/>
          <w:w w:val="105"/>
          <w:sz w:val="21"/>
        </w:rPr>
        <w:t> </w:t>
      </w:r>
      <w:r>
        <w:rPr>
          <w:w w:val="105"/>
          <w:sz w:val="21"/>
        </w:rPr>
        <w:t>Act.</w:t>
      </w:r>
    </w:p>
    <w:p>
      <w:pPr>
        <w:pStyle w:val="ListParagraph"/>
        <w:numPr>
          <w:ilvl w:val="1"/>
          <w:numId w:val="16"/>
        </w:numPr>
        <w:tabs>
          <w:tab w:pos="2380" w:val="left" w:leader="none"/>
          <w:tab w:pos="2381" w:val="left" w:leader="none"/>
        </w:tabs>
        <w:spacing w:line="242" w:lineRule="auto" w:before="123" w:after="0"/>
        <w:ind w:left="2381" w:right="1647" w:hanging="794"/>
        <w:jc w:val="left"/>
        <w:rPr>
          <w:sz w:val="21"/>
        </w:rPr>
      </w:pPr>
      <w:r>
        <w:rPr>
          <w:w w:val="105"/>
          <w:sz w:val="21"/>
        </w:rPr>
        <w:t>While</w:t>
      </w:r>
      <w:r>
        <w:rPr>
          <w:spacing w:val="-7"/>
          <w:w w:val="105"/>
          <w:sz w:val="21"/>
        </w:rPr>
        <w:t> </w:t>
      </w:r>
      <w:r>
        <w:rPr>
          <w:w w:val="105"/>
          <w:sz w:val="21"/>
        </w:rPr>
        <w:t>the</w:t>
      </w:r>
      <w:r>
        <w:rPr>
          <w:spacing w:val="-7"/>
          <w:w w:val="105"/>
          <w:sz w:val="21"/>
        </w:rPr>
        <w:t> </w:t>
      </w:r>
      <w:r>
        <w:rPr>
          <w:w w:val="105"/>
          <w:sz w:val="21"/>
        </w:rPr>
        <w:t>Fences</w:t>
      </w:r>
      <w:r>
        <w:rPr>
          <w:spacing w:val="-7"/>
          <w:w w:val="105"/>
          <w:sz w:val="21"/>
        </w:rPr>
        <w:t> </w:t>
      </w:r>
      <w:r>
        <w:rPr>
          <w:w w:val="105"/>
          <w:sz w:val="21"/>
        </w:rPr>
        <w:t>Act</w:t>
      </w:r>
      <w:r>
        <w:rPr>
          <w:spacing w:val="-7"/>
          <w:w w:val="105"/>
          <w:sz w:val="21"/>
        </w:rPr>
        <w:t> </w:t>
      </w:r>
      <w:r>
        <w:rPr>
          <w:w w:val="105"/>
          <w:sz w:val="21"/>
        </w:rPr>
        <w:t>provides</w:t>
      </w:r>
      <w:r>
        <w:rPr>
          <w:spacing w:val="-7"/>
          <w:w w:val="105"/>
          <w:sz w:val="21"/>
        </w:rPr>
        <w:t> </w:t>
      </w:r>
      <w:r>
        <w:rPr>
          <w:w w:val="105"/>
          <w:sz w:val="21"/>
        </w:rPr>
        <w:t>a</w:t>
      </w:r>
      <w:r>
        <w:rPr>
          <w:spacing w:val="-7"/>
          <w:w w:val="105"/>
          <w:sz w:val="21"/>
        </w:rPr>
        <w:t> </w:t>
      </w:r>
      <w:r>
        <w:rPr>
          <w:w w:val="105"/>
          <w:sz w:val="21"/>
        </w:rPr>
        <w:t>remedy</w:t>
      </w:r>
      <w:r>
        <w:rPr>
          <w:spacing w:val="-7"/>
          <w:w w:val="105"/>
          <w:sz w:val="21"/>
        </w:rPr>
        <w:t> </w:t>
      </w:r>
      <w:r>
        <w:rPr>
          <w:spacing w:val="-3"/>
          <w:w w:val="105"/>
          <w:sz w:val="21"/>
        </w:rPr>
        <w:t>to</w:t>
      </w:r>
      <w:r>
        <w:rPr>
          <w:spacing w:val="-7"/>
          <w:w w:val="105"/>
          <w:sz w:val="21"/>
        </w:rPr>
        <w:t> </w:t>
      </w:r>
      <w:r>
        <w:rPr>
          <w:w w:val="105"/>
          <w:sz w:val="21"/>
        </w:rPr>
        <w:t>rectify</w:t>
      </w:r>
      <w:r>
        <w:rPr>
          <w:spacing w:val="-7"/>
          <w:w w:val="105"/>
          <w:sz w:val="21"/>
        </w:rPr>
        <w:t> </w:t>
      </w:r>
      <w:r>
        <w:rPr>
          <w:w w:val="105"/>
          <w:sz w:val="21"/>
        </w:rPr>
        <w:t>and</w:t>
      </w:r>
      <w:r>
        <w:rPr>
          <w:spacing w:val="-7"/>
          <w:w w:val="105"/>
          <w:sz w:val="21"/>
        </w:rPr>
        <w:t> </w:t>
      </w:r>
      <w:r>
        <w:rPr>
          <w:spacing w:val="-3"/>
          <w:w w:val="105"/>
          <w:sz w:val="21"/>
        </w:rPr>
        <w:t>repair</w:t>
      </w:r>
      <w:r>
        <w:rPr>
          <w:spacing w:val="-7"/>
          <w:w w:val="105"/>
          <w:sz w:val="21"/>
        </w:rPr>
        <w:t> </w:t>
      </w:r>
      <w:r>
        <w:rPr>
          <w:spacing w:val="-3"/>
          <w:w w:val="105"/>
          <w:sz w:val="21"/>
        </w:rPr>
        <w:t>fences</w:t>
      </w:r>
      <w:r>
        <w:rPr>
          <w:spacing w:val="-7"/>
          <w:w w:val="105"/>
          <w:sz w:val="21"/>
        </w:rPr>
        <w:t> </w:t>
      </w:r>
      <w:r>
        <w:rPr>
          <w:w w:val="105"/>
          <w:sz w:val="21"/>
        </w:rPr>
        <w:t>damaged</w:t>
      </w:r>
      <w:r>
        <w:rPr>
          <w:spacing w:val="-6"/>
          <w:w w:val="105"/>
          <w:sz w:val="21"/>
        </w:rPr>
        <w:t> </w:t>
      </w:r>
      <w:r>
        <w:rPr>
          <w:w w:val="105"/>
          <w:sz w:val="21"/>
        </w:rPr>
        <w:t>by</w:t>
      </w:r>
      <w:r>
        <w:rPr>
          <w:spacing w:val="-7"/>
          <w:w w:val="105"/>
          <w:sz w:val="21"/>
        </w:rPr>
        <w:t> </w:t>
      </w:r>
      <w:r>
        <w:rPr>
          <w:w w:val="105"/>
          <w:sz w:val="21"/>
        </w:rPr>
        <w:t>a</w:t>
      </w:r>
      <w:r>
        <w:rPr>
          <w:spacing w:val="-7"/>
          <w:w w:val="105"/>
          <w:sz w:val="21"/>
        </w:rPr>
        <w:t> </w:t>
      </w:r>
      <w:r>
        <w:rPr>
          <w:spacing w:val="-5"/>
          <w:w w:val="105"/>
          <w:sz w:val="21"/>
        </w:rPr>
        <w:t>tree,</w:t>
      </w:r>
      <w:r>
        <w:rPr>
          <w:spacing w:val="-5"/>
          <w:w w:val="105"/>
          <w:position w:val="7"/>
          <w:sz w:val="12"/>
        </w:rPr>
        <w:t>147</w:t>
      </w:r>
      <w:r>
        <w:rPr>
          <w:spacing w:val="-5"/>
          <w:w w:val="105"/>
          <w:sz w:val="12"/>
        </w:rPr>
        <w:t> </w:t>
      </w:r>
      <w:r>
        <w:rPr>
          <w:w w:val="105"/>
          <w:sz w:val="21"/>
        </w:rPr>
        <w:t>it does </w:t>
      </w:r>
      <w:r>
        <w:rPr>
          <w:spacing w:val="-2"/>
          <w:w w:val="105"/>
          <w:sz w:val="21"/>
        </w:rPr>
        <w:t>not </w:t>
      </w:r>
      <w:r>
        <w:rPr>
          <w:w w:val="105"/>
          <w:sz w:val="21"/>
        </w:rPr>
        <w:t>assist with the </w:t>
      </w:r>
      <w:r>
        <w:rPr>
          <w:spacing w:val="-3"/>
          <w:w w:val="105"/>
          <w:sz w:val="21"/>
        </w:rPr>
        <w:t>management </w:t>
      </w:r>
      <w:r>
        <w:rPr>
          <w:w w:val="105"/>
          <w:sz w:val="21"/>
        </w:rPr>
        <w:t>of trees </w:t>
      </w:r>
      <w:r>
        <w:rPr>
          <w:spacing w:val="-3"/>
          <w:w w:val="105"/>
          <w:sz w:val="21"/>
        </w:rPr>
        <w:t>that have </w:t>
      </w:r>
      <w:r>
        <w:rPr>
          <w:w w:val="105"/>
          <w:sz w:val="21"/>
        </w:rPr>
        <w:t>caused or </w:t>
      </w:r>
      <w:r>
        <w:rPr>
          <w:spacing w:val="-3"/>
          <w:w w:val="105"/>
          <w:sz w:val="21"/>
        </w:rPr>
        <w:t>are </w:t>
      </w:r>
      <w:r>
        <w:rPr>
          <w:spacing w:val="-4"/>
          <w:w w:val="105"/>
          <w:sz w:val="21"/>
        </w:rPr>
        <w:t>likely </w:t>
      </w:r>
      <w:r>
        <w:rPr>
          <w:spacing w:val="-3"/>
          <w:w w:val="105"/>
          <w:sz w:val="21"/>
        </w:rPr>
        <w:t>to </w:t>
      </w:r>
      <w:r>
        <w:rPr>
          <w:w w:val="105"/>
          <w:sz w:val="21"/>
        </w:rPr>
        <w:t>cause damage </w:t>
      </w:r>
      <w:r>
        <w:rPr>
          <w:spacing w:val="-3"/>
          <w:w w:val="105"/>
          <w:sz w:val="21"/>
        </w:rPr>
        <w:t>to fences, for example, through </w:t>
      </w:r>
      <w:r>
        <w:rPr>
          <w:w w:val="105"/>
          <w:sz w:val="21"/>
        </w:rPr>
        <w:t>the </w:t>
      </w:r>
      <w:r>
        <w:rPr>
          <w:spacing w:val="-3"/>
          <w:w w:val="105"/>
          <w:sz w:val="21"/>
        </w:rPr>
        <w:t>making </w:t>
      </w:r>
      <w:r>
        <w:rPr>
          <w:w w:val="105"/>
          <w:sz w:val="21"/>
        </w:rPr>
        <w:t>of orders </w:t>
      </w:r>
      <w:r>
        <w:rPr>
          <w:spacing w:val="-3"/>
          <w:w w:val="105"/>
          <w:sz w:val="21"/>
        </w:rPr>
        <w:t>for </w:t>
      </w:r>
      <w:r>
        <w:rPr>
          <w:w w:val="105"/>
          <w:sz w:val="21"/>
        </w:rPr>
        <w:t>the </w:t>
      </w:r>
      <w:r>
        <w:rPr>
          <w:spacing w:val="-3"/>
          <w:w w:val="105"/>
          <w:sz w:val="21"/>
        </w:rPr>
        <w:t>pruning </w:t>
      </w:r>
      <w:r>
        <w:rPr>
          <w:w w:val="105"/>
          <w:sz w:val="21"/>
        </w:rPr>
        <w:t>or </w:t>
      </w:r>
      <w:r>
        <w:rPr>
          <w:spacing w:val="-3"/>
          <w:w w:val="105"/>
          <w:sz w:val="21"/>
        </w:rPr>
        <w:t>removal </w:t>
      </w:r>
      <w:r>
        <w:rPr>
          <w:w w:val="105"/>
          <w:sz w:val="21"/>
        </w:rPr>
        <w:t>of</w:t>
      </w:r>
      <w:r>
        <w:rPr>
          <w:spacing w:val="-9"/>
          <w:w w:val="105"/>
          <w:sz w:val="21"/>
        </w:rPr>
        <w:t> </w:t>
      </w:r>
      <w:r>
        <w:rPr>
          <w:w w:val="105"/>
          <w:sz w:val="21"/>
        </w:rPr>
        <w:t>trees.</w:t>
      </w:r>
      <w:r>
        <w:rPr>
          <w:spacing w:val="-9"/>
          <w:w w:val="105"/>
          <w:sz w:val="21"/>
        </w:rPr>
        <w:t> </w:t>
      </w:r>
      <w:r>
        <w:rPr>
          <w:w w:val="105"/>
          <w:sz w:val="21"/>
        </w:rPr>
        <w:t>If</w:t>
      </w:r>
      <w:r>
        <w:rPr>
          <w:spacing w:val="-9"/>
          <w:w w:val="105"/>
          <w:sz w:val="21"/>
        </w:rPr>
        <w:t> </w:t>
      </w:r>
      <w:r>
        <w:rPr>
          <w:w w:val="105"/>
          <w:sz w:val="21"/>
        </w:rPr>
        <w:t>the</w:t>
      </w:r>
      <w:r>
        <w:rPr>
          <w:spacing w:val="-8"/>
          <w:w w:val="105"/>
          <w:sz w:val="21"/>
        </w:rPr>
        <w:t> </w:t>
      </w:r>
      <w:r>
        <w:rPr>
          <w:spacing w:val="-3"/>
          <w:w w:val="105"/>
          <w:sz w:val="21"/>
        </w:rPr>
        <w:t>fence</w:t>
      </w:r>
      <w:r>
        <w:rPr>
          <w:spacing w:val="-9"/>
          <w:w w:val="105"/>
          <w:sz w:val="21"/>
        </w:rPr>
        <w:t> </w:t>
      </w:r>
      <w:r>
        <w:rPr>
          <w:w w:val="105"/>
          <w:sz w:val="21"/>
        </w:rPr>
        <w:t>itself</w:t>
      </w:r>
      <w:r>
        <w:rPr>
          <w:spacing w:val="-9"/>
          <w:w w:val="105"/>
          <w:sz w:val="21"/>
        </w:rPr>
        <w:t> </w:t>
      </w:r>
      <w:r>
        <w:rPr>
          <w:w w:val="105"/>
          <w:sz w:val="21"/>
        </w:rPr>
        <w:t>is</w:t>
      </w:r>
      <w:r>
        <w:rPr>
          <w:spacing w:val="-8"/>
          <w:w w:val="105"/>
          <w:sz w:val="21"/>
        </w:rPr>
        <w:t> </w:t>
      </w:r>
      <w:r>
        <w:rPr>
          <w:w w:val="105"/>
          <w:sz w:val="21"/>
        </w:rPr>
        <w:t>a</w:t>
      </w:r>
      <w:r>
        <w:rPr>
          <w:spacing w:val="-9"/>
          <w:w w:val="105"/>
          <w:sz w:val="21"/>
        </w:rPr>
        <w:t> </w:t>
      </w:r>
      <w:r>
        <w:rPr>
          <w:spacing w:val="-2"/>
          <w:w w:val="105"/>
          <w:sz w:val="21"/>
        </w:rPr>
        <w:t>‘hedge</w:t>
      </w:r>
      <w:r>
        <w:rPr>
          <w:spacing w:val="-9"/>
          <w:w w:val="105"/>
          <w:sz w:val="21"/>
        </w:rPr>
        <w:t> </w:t>
      </w:r>
      <w:r>
        <w:rPr>
          <w:w w:val="105"/>
          <w:sz w:val="21"/>
        </w:rPr>
        <w:t>or</w:t>
      </w:r>
      <w:r>
        <w:rPr>
          <w:spacing w:val="-8"/>
          <w:w w:val="105"/>
          <w:sz w:val="21"/>
        </w:rPr>
        <w:t> </w:t>
      </w:r>
      <w:r>
        <w:rPr>
          <w:spacing w:val="-3"/>
          <w:w w:val="105"/>
          <w:sz w:val="21"/>
        </w:rPr>
        <w:t>similar</w:t>
      </w:r>
      <w:r>
        <w:rPr>
          <w:spacing w:val="-9"/>
          <w:w w:val="105"/>
          <w:sz w:val="21"/>
        </w:rPr>
        <w:t> </w:t>
      </w:r>
      <w:r>
        <w:rPr>
          <w:w w:val="105"/>
          <w:sz w:val="21"/>
        </w:rPr>
        <w:t>vegetative</w:t>
      </w:r>
      <w:r>
        <w:rPr>
          <w:spacing w:val="-9"/>
          <w:w w:val="105"/>
          <w:sz w:val="21"/>
        </w:rPr>
        <w:t> </w:t>
      </w:r>
      <w:r>
        <w:rPr>
          <w:w w:val="105"/>
          <w:sz w:val="21"/>
        </w:rPr>
        <w:t>barrier</w:t>
      </w:r>
      <w:r>
        <w:rPr>
          <w:spacing w:val="-8"/>
          <w:w w:val="105"/>
          <w:sz w:val="21"/>
        </w:rPr>
        <w:t> </w:t>
      </w:r>
      <w:r>
        <w:rPr>
          <w:spacing w:val="-3"/>
          <w:w w:val="105"/>
          <w:sz w:val="21"/>
        </w:rPr>
        <w:t>that</w:t>
      </w:r>
      <w:r>
        <w:rPr>
          <w:spacing w:val="-9"/>
          <w:w w:val="105"/>
          <w:sz w:val="21"/>
        </w:rPr>
        <w:t> </w:t>
      </w:r>
      <w:r>
        <w:rPr>
          <w:w w:val="105"/>
          <w:sz w:val="21"/>
        </w:rPr>
        <w:t>encloses</w:t>
      </w:r>
      <w:r>
        <w:rPr>
          <w:spacing w:val="-9"/>
          <w:w w:val="105"/>
          <w:sz w:val="21"/>
        </w:rPr>
        <w:t> </w:t>
      </w:r>
      <w:r>
        <w:rPr>
          <w:w w:val="105"/>
          <w:sz w:val="21"/>
        </w:rPr>
        <w:t>or</w:t>
      </w:r>
      <w:r>
        <w:rPr>
          <w:spacing w:val="-8"/>
          <w:w w:val="105"/>
          <w:sz w:val="21"/>
        </w:rPr>
        <w:t> </w:t>
      </w:r>
      <w:r>
        <w:rPr>
          <w:spacing w:val="-2"/>
          <w:w w:val="105"/>
          <w:sz w:val="21"/>
        </w:rPr>
        <w:t>bounds </w:t>
      </w:r>
      <w:r>
        <w:rPr>
          <w:spacing w:val="-6"/>
          <w:w w:val="105"/>
          <w:sz w:val="21"/>
        </w:rPr>
        <w:t>land’,</w:t>
      </w:r>
      <w:r>
        <w:rPr>
          <w:spacing w:val="-6"/>
          <w:w w:val="105"/>
          <w:position w:val="7"/>
          <w:sz w:val="12"/>
        </w:rPr>
        <w:t>148 </w:t>
      </w:r>
      <w:r>
        <w:rPr>
          <w:w w:val="105"/>
          <w:sz w:val="21"/>
        </w:rPr>
        <w:t>then the </w:t>
      </w:r>
      <w:r>
        <w:rPr>
          <w:spacing w:val="-3"/>
          <w:w w:val="105"/>
          <w:sz w:val="21"/>
        </w:rPr>
        <w:t>Magistrates’ Court may </w:t>
      </w:r>
      <w:r>
        <w:rPr>
          <w:spacing w:val="-4"/>
          <w:w w:val="105"/>
          <w:sz w:val="21"/>
        </w:rPr>
        <w:t>make </w:t>
      </w:r>
      <w:r>
        <w:rPr>
          <w:w w:val="105"/>
          <w:sz w:val="21"/>
        </w:rPr>
        <w:t>orders </w:t>
      </w:r>
      <w:r>
        <w:rPr>
          <w:spacing w:val="-3"/>
          <w:w w:val="105"/>
          <w:sz w:val="21"/>
        </w:rPr>
        <w:t>for fencing </w:t>
      </w:r>
      <w:r>
        <w:rPr>
          <w:w w:val="105"/>
          <w:sz w:val="21"/>
        </w:rPr>
        <w:t>works, which </w:t>
      </w:r>
      <w:r>
        <w:rPr>
          <w:spacing w:val="-3"/>
          <w:w w:val="105"/>
          <w:sz w:val="21"/>
        </w:rPr>
        <w:t>include </w:t>
      </w:r>
      <w:r>
        <w:rPr>
          <w:w w:val="105"/>
          <w:sz w:val="21"/>
        </w:rPr>
        <w:t>‘the </w:t>
      </w:r>
      <w:r>
        <w:rPr>
          <w:spacing w:val="-3"/>
          <w:w w:val="105"/>
          <w:sz w:val="21"/>
        </w:rPr>
        <w:t>planting, replanting, repair </w:t>
      </w:r>
      <w:r>
        <w:rPr>
          <w:w w:val="105"/>
          <w:sz w:val="21"/>
        </w:rPr>
        <w:t>or </w:t>
      </w:r>
      <w:r>
        <w:rPr>
          <w:spacing w:val="-3"/>
          <w:w w:val="105"/>
          <w:sz w:val="21"/>
        </w:rPr>
        <w:t>maintenance </w:t>
      </w:r>
      <w:r>
        <w:rPr>
          <w:w w:val="105"/>
          <w:sz w:val="21"/>
        </w:rPr>
        <w:t>of a hedge or </w:t>
      </w:r>
      <w:r>
        <w:rPr>
          <w:spacing w:val="-3"/>
          <w:w w:val="105"/>
          <w:sz w:val="21"/>
        </w:rPr>
        <w:t>similar </w:t>
      </w:r>
      <w:r>
        <w:rPr>
          <w:w w:val="105"/>
          <w:sz w:val="21"/>
        </w:rPr>
        <w:t>vegetative barrier </w:t>
      </w:r>
      <w:r>
        <w:rPr>
          <w:spacing w:val="-3"/>
          <w:w w:val="105"/>
          <w:sz w:val="21"/>
        </w:rPr>
        <w:t>that </w:t>
      </w:r>
      <w:r>
        <w:rPr>
          <w:w w:val="105"/>
          <w:sz w:val="21"/>
        </w:rPr>
        <w:t>is the whole or part of a </w:t>
      </w:r>
      <w:r>
        <w:rPr>
          <w:spacing w:val="-3"/>
          <w:w w:val="105"/>
          <w:sz w:val="21"/>
        </w:rPr>
        <w:t>dividing </w:t>
      </w:r>
      <w:r>
        <w:rPr>
          <w:spacing w:val="-7"/>
          <w:w w:val="105"/>
          <w:sz w:val="21"/>
        </w:rPr>
        <w:t>fence’.</w:t>
      </w:r>
      <w:r>
        <w:rPr>
          <w:spacing w:val="-7"/>
          <w:w w:val="105"/>
          <w:position w:val="7"/>
          <w:sz w:val="12"/>
        </w:rPr>
        <w:t>149  </w:t>
      </w:r>
      <w:r>
        <w:rPr>
          <w:spacing w:val="-4"/>
          <w:w w:val="105"/>
          <w:sz w:val="21"/>
        </w:rPr>
        <w:t>However, </w:t>
      </w:r>
      <w:r>
        <w:rPr>
          <w:w w:val="105"/>
          <w:sz w:val="21"/>
        </w:rPr>
        <w:t>the </w:t>
      </w:r>
      <w:r>
        <w:rPr>
          <w:spacing w:val="-3"/>
          <w:w w:val="105"/>
          <w:sz w:val="21"/>
        </w:rPr>
        <w:t>Court cannot </w:t>
      </w:r>
      <w:r>
        <w:rPr>
          <w:spacing w:val="-4"/>
          <w:w w:val="105"/>
          <w:sz w:val="21"/>
        </w:rPr>
        <w:t>make </w:t>
      </w:r>
      <w:r>
        <w:rPr>
          <w:w w:val="105"/>
          <w:sz w:val="21"/>
        </w:rPr>
        <w:t>orders </w:t>
      </w:r>
      <w:r>
        <w:rPr>
          <w:spacing w:val="-3"/>
          <w:w w:val="105"/>
          <w:sz w:val="21"/>
        </w:rPr>
        <w:t>for </w:t>
      </w:r>
      <w:r>
        <w:rPr>
          <w:w w:val="105"/>
          <w:sz w:val="21"/>
        </w:rPr>
        <w:t>a tree </w:t>
      </w:r>
      <w:r>
        <w:rPr>
          <w:spacing w:val="-3"/>
          <w:w w:val="105"/>
          <w:sz w:val="21"/>
        </w:rPr>
        <w:t>that </w:t>
      </w:r>
      <w:r>
        <w:rPr>
          <w:w w:val="105"/>
          <w:sz w:val="21"/>
        </w:rPr>
        <w:t>is independent of the</w:t>
      </w:r>
      <w:r>
        <w:rPr>
          <w:spacing w:val="42"/>
          <w:w w:val="105"/>
          <w:sz w:val="21"/>
        </w:rPr>
        <w:t> </w:t>
      </w:r>
      <w:r>
        <w:rPr>
          <w:spacing w:val="-5"/>
          <w:w w:val="105"/>
          <w:sz w:val="21"/>
        </w:rPr>
        <w:t>fence.</w:t>
      </w:r>
      <w:r>
        <w:rPr>
          <w:spacing w:val="-5"/>
          <w:w w:val="105"/>
          <w:position w:val="7"/>
          <w:sz w:val="12"/>
        </w:rPr>
        <w:t>150</w:t>
      </w:r>
    </w:p>
    <w:p>
      <w:pPr>
        <w:pStyle w:val="BodyText"/>
        <w:rPr>
          <w:sz w:val="20"/>
        </w:rPr>
      </w:pPr>
    </w:p>
    <w:p>
      <w:pPr>
        <w:pStyle w:val="BodyText"/>
        <w:rPr>
          <w:sz w:val="20"/>
        </w:rPr>
      </w:pPr>
    </w:p>
    <w:p>
      <w:pPr>
        <w:pStyle w:val="BodyText"/>
        <w:rPr>
          <w:sz w:val="20"/>
        </w:rPr>
      </w:pPr>
    </w:p>
    <w:p>
      <w:pPr>
        <w:pStyle w:val="BodyText"/>
        <w:spacing w:before="1"/>
        <w:rPr>
          <w:sz w:val="16"/>
        </w:rPr>
      </w:pPr>
      <w:r>
        <w:rPr/>
        <w:pict>
          <v:line style="position:absolute;mso-position-horizontal-relative:page;mso-position-vertical-relative:paragraph;z-index:9704;mso-wrap-distance-left:0;mso-wrap-distance-right:0" from="79.370003pt,12.285335pt" to="515.905003pt,12.28533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1"/>
          <w:numId w:val="167"/>
        </w:numPr>
        <w:tabs>
          <w:tab w:pos="2380" w:val="left" w:leader="none"/>
          <w:tab w:pos="2382" w:val="left" w:leader="none"/>
        </w:tabs>
        <w:spacing w:line="240" w:lineRule="auto" w:before="48" w:after="0"/>
        <w:ind w:left="2381" w:right="152" w:hanging="794"/>
        <w:jc w:val="left"/>
        <w:rPr>
          <w:sz w:val="13"/>
        </w:rPr>
      </w:pPr>
      <w:r>
        <w:rPr>
          <w:w w:val="105"/>
          <w:sz w:val="13"/>
        </w:rPr>
        <w:t>Consultation </w:t>
      </w:r>
      <w:r>
        <w:rPr>
          <w:spacing w:val="-4"/>
          <w:w w:val="105"/>
          <w:sz w:val="13"/>
        </w:rPr>
        <w:t>13 </w:t>
      </w:r>
      <w:r>
        <w:rPr>
          <w:w w:val="105"/>
          <w:sz w:val="13"/>
        </w:rPr>
        <w:t>(Aboriginal </w:t>
      </w:r>
      <w:r>
        <w:rPr>
          <w:spacing w:val="2"/>
          <w:w w:val="105"/>
          <w:sz w:val="13"/>
        </w:rPr>
        <w:t>Victoria). </w:t>
      </w:r>
      <w:r>
        <w:rPr>
          <w:w w:val="105"/>
          <w:sz w:val="13"/>
        </w:rPr>
        <w:t>Aboriginal Victoria calculated this figure from DELWP data layers and noted that the number would likely include some trees under lease or licence that are not in fact situated on private land within Victoria. Aboriginal Victoria noted that the</w:t>
      </w:r>
      <w:r>
        <w:rPr>
          <w:spacing w:val="5"/>
          <w:w w:val="105"/>
          <w:sz w:val="13"/>
        </w:rPr>
        <w:t> </w:t>
      </w:r>
      <w:r>
        <w:rPr>
          <w:i/>
          <w:w w:val="105"/>
          <w:sz w:val="13"/>
        </w:rPr>
        <w:t>Aboriginal</w:t>
      </w:r>
      <w:r>
        <w:rPr>
          <w:i/>
          <w:spacing w:val="6"/>
          <w:w w:val="105"/>
          <w:sz w:val="13"/>
        </w:rPr>
        <w:t> </w:t>
      </w:r>
      <w:r>
        <w:rPr>
          <w:i/>
          <w:w w:val="105"/>
          <w:sz w:val="13"/>
        </w:rPr>
        <w:t>Heritage</w:t>
      </w:r>
      <w:r>
        <w:rPr>
          <w:i/>
          <w:spacing w:val="6"/>
          <w:w w:val="105"/>
          <w:sz w:val="13"/>
        </w:rPr>
        <w:t> </w:t>
      </w:r>
      <w:r>
        <w:rPr>
          <w:i/>
          <w:w w:val="105"/>
          <w:sz w:val="13"/>
        </w:rPr>
        <w:t>Act</w:t>
      </w:r>
      <w:r>
        <w:rPr>
          <w:i/>
          <w:spacing w:val="6"/>
          <w:w w:val="105"/>
          <w:sz w:val="13"/>
        </w:rPr>
        <w:t> </w:t>
      </w:r>
      <w:r>
        <w:rPr>
          <w:i/>
          <w:w w:val="105"/>
          <w:sz w:val="13"/>
        </w:rPr>
        <w:t>2006</w:t>
      </w:r>
      <w:r>
        <w:rPr>
          <w:i/>
          <w:spacing w:val="6"/>
          <w:w w:val="105"/>
          <w:sz w:val="13"/>
        </w:rPr>
        <w:t> </w:t>
      </w:r>
      <w:r>
        <w:rPr>
          <w:spacing w:val="2"/>
          <w:w w:val="105"/>
          <w:sz w:val="13"/>
        </w:rPr>
        <w:t>(Vic)</w:t>
      </w:r>
      <w:r>
        <w:rPr>
          <w:spacing w:val="6"/>
          <w:w w:val="105"/>
          <w:sz w:val="13"/>
        </w:rPr>
        <w:t> </w:t>
      </w:r>
      <w:r>
        <w:rPr>
          <w:w w:val="105"/>
          <w:sz w:val="13"/>
        </w:rPr>
        <w:t>does</w:t>
      </w:r>
      <w:r>
        <w:rPr>
          <w:spacing w:val="6"/>
          <w:w w:val="105"/>
          <w:sz w:val="13"/>
        </w:rPr>
        <w:t> </w:t>
      </w:r>
      <w:r>
        <w:rPr>
          <w:w w:val="105"/>
          <w:sz w:val="13"/>
        </w:rPr>
        <w:t>not</w:t>
      </w:r>
      <w:r>
        <w:rPr>
          <w:spacing w:val="6"/>
          <w:w w:val="105"/>
          <w:sz w:val="13"/>
        </w:rPr>
        <w:t> </w:t>
      </w:r>
      <w:r>
        <w:rPr>
          <w:w w:val="105"/>
          <w:sz w:val="13"/>
        </w:rPr>
        <w:t>distinguish</w:t>
      </w:r>
      <w:r>
        <w:rPr>
          <w:spacing w:val="6"/>
          <w:w w:val="105"/>
          <w:sz w:val="13"/>
        </w:rPr>
        <w:t> </w:t>
      </w:r>
      <w:r>
        <w:rPr>
          <w:w w:val="105"/>
          <w:sz w:val="13"/>
        </w:rPr>
        <w:t>between</w:t>
      </w:r>
      <w:r>
        <w:rPr>
          <w:spacing w:val="6"/>
          <w:w w:val="105"/>
          <w:sz w:val="13"/>
        </w:rPr>
        <w:t> </w:t>
      </w:r>
      <w:r>
        <w:rPr>
          <w:w w:val="105"/>
          <w:sz w:val="13"/>
        </w:rPr>
        <w:t>scarred</w:t>
      </w:r>
      <w:r>
        <w:rPr>
          <w:spacing w:val="6"/>
          <w:w w:val="105"/>
          <w:sz w:val="13"/>
        </w:rPr>
        <w:t> </w:t>
      </w:r>
      <w:r>
        <w:rPr>
          <w:w w:val="105"/>
          <w:sz w:val="13"/>
        </w:rPr>
        <w:t>trees</w:t>
      </w:r>
      <w:r>
        <w:rPr>
          <w:spacing w:val="6"/>
          <w:w w:val="105"/>
          <w:sz w:val="13"/>
        </w:rPr>
        <w:t> </w:t>
      </w:r>
      <w:r>
        <w:rPr>
          <w:w w:val="105"/>
          <w:sz w:val="13"/>
        </w:rPr>
        <w:t>situated</w:t>
      </w:r>
      <w:r>
        <w:rPr>
          <w:spacing w:val="6"/>
          <w:w w:val="105"/>
          <w:sz w:val="13"/>
        </w:rPr>
        <w:t> </w:t>
      </w:r>
      <w:r>
        <w:rPr>
          <w:w w:val="105"/>
          <w:sz w:val="13"/>
        </w:rPr>
        <w:t>on</w:t>
      </w:r>
      <w:r>
        <w:rPr>
          <w:spacing w:val="6"/>
          <w:w w:val="105"/>
          <w:sz w:val="13"/>
        </w:rPr>
        <w:t> </w:t>
      </w:r>
      <w:r>
        <w:rPr>
          <w:w w:val="105"/>
          <w:sz w:val="13"/>
        </w:rPr>
        <w:t>public</w:t>
      </w:r>
      <w:r>
        <w:rPr>
          <w:spacing w:val="6"/>
          <w:w w:val="105"/>
          <w:sz w:val="13"/>
        </w:rPr>
        <w:t> </w:t>
      </w:r>
      <w:r>
        <w:rPr>
          <w:w w:val="105"/>
          <w:sz w:val="13"/>
        </w:rPr>
        <w:t>land</w:t>
      </w:r>
      <w:r>
        <w:rPr>
          <w:spacing w:val="6"/>
          <w:w w:val="105"/>
          <w:sz w:val="13"/>
        </w:rPr>
        <w:t> </w:t>
      </w:r>
      <w:r>
        <w:rPr>
          <w:w w:val="105"/>
          <w:sz w:val="13"/>
        </w:rPr>
        <w:t>and</w:t>
      </w:r>
      <w:r>
        <w:rPr>
          <w:spacing w:val="6"/>
          <w:w w:val="105"/>
          <w:sz w:val="13"/>
        </w:rPr>
        <w:t> </w:t>
      </w:r>
      <w:r>
        <w:rPr>
          <w:w w:val="105"/>
          <w:sz w:val="13"/>
        </w:rPr>
        <w:t>those</w:t>
      </w:r>
      <w:r>
        <w:rPr>
          <w:spacing w:val="6"/>
          <w:w w:val="105"/>
          <w:sz w:val="13"/>
        </w:rPr>
        <w:t> </w:t>
      </w:r>
      <w:r>
        <w:rPr>
          <w:w w:val="105"/>
          <w:sz w:val="13"/>
        </w:rPr>
        <w:t>on</w:t>
      </w:r>
      <w:r>
        <w:rPr>
          <w:spacing w:val="6"/>
          <w:w w:val="105"/>
          <w:sz w:val="13"/>
        </w:rPr>
        <w:t> </w:t>
      </w:r>
      <w:r>
        <w:rPr>
          <w:w w:val="105"/>
          <w:sz w:val="13"/>
        </w:rPr>
        <w:t>private</w:t>
      </w:r>
      <w:r>
        <w:rPr>
          <w:spacing w:val="5"/>
          <w:w w:val="105"/>
          <w:sz w:val="13"/>
        </w:rPr>
        <w:t> </w:t>
      </w:r>
      <w:r>
        <w:rPr>
          <w:w w:val="105"/>
          <w:sz w:val="13"/>
        </w:rPr>
        <w:t>land.</w:t>
      </w:r>
    </w:p>
    <w:p>
      <w:pPr>
        <w:spacing w:before="4"/>
        <w:ind w:left="2381" w:right="359" w:firstLine="0"/>
        <w:jc w:val="left"/>
        <w:rPr>
          <w:sz w:val="13"/>
        </w:rPr>
      </w:pPr>
      <w:r>
        <w:rPr>
          <w:w w:val="105"/>
          <w:sz w:val="13"/>
        </w:rPr>
        <w:t>Aboriginal people caused scars on trees by removing bark for a variety of purposes. The scars vary in size and expose the sapwood on     a tree: see Victorian Government, </w:t>
      </w:r>
      <w:r>
        <w:rPr>
          <w:i/>
          <w:w w:val="105"/>
          <w:sz w:val="13"/>
        </w:rPr>
        <w:t>‘Aboriginal Scarred Trees’, Aboriginal Victoria </w:t>
      </w:r>
      <w:r>
        <w:rPr>
          <w:w w:val="105"/>
          <w:sz w:val="13"/>
        </w:rPr>
        <w:t>(Brochure, June </w:t>
      </w:r>
      <w:r>
        <w:rPr>
          <w:spacing w:val="2"/>
          <w:w w:val="105"/>
          <w:sz w:val="13"/>
        </w:rPr>
        <w:t>2008) </w:t>
      </w:r>
      <w:r>
        <w:rPr>
          <w:w w:val="105"/>
          <w:sz w:val="13"/>
        </w:rPr>
        <w:t>&lt;https://w.</w:t>
      </w:r>
      <w:hyperlink r:id="rId270">
        <w:r>
          <w:rPr>
            <w:w w:val="105"/>
            <w:sz w:val="13"/>
          </w:rPr>
          <w:t>www.vic.gov.au/</w:t>
        </w:r>
      </w:hyperlink>
      <w:r>
        <w:rPr>
          <w:w w:val="105"/>
          <w:sz w:val="13"/>
        </w:rPr>
        <w:t> aboriginalvictoria/heritage/aboriginal-cultural-heritage-of-victoria/aboriginal-places-objects-and-land-management.html&gt;.</w:t>
      </w:r>
    </w:p>
    <w:p>
      <w:pPr>
        <w:pStyle w:val="ListParagraph"/>
        <w:numPr>
          <w:ilvl w:val="1"/>
          <w:numId w:val="167"/>
        </w:numPr>
        <w:tabs>
          <w:tab w:pos="2380" w:val="left" w:leader="none"/>
          <w:tab w:pos="2382" w:val="left" w:leader="none"/>
        </w:tabs>
        <w:spacing w:line="240" w:lineRule="auto" w:before="4" w:after="0"/>
        <w:ind w:left="2381" w:right="0" w:hanging="794"/>
        <w:jc w:val="left"/>
        <w:rPr>
          <w:sz w:val="13"/>
        </w:rPr>
      </w:pPr>
      <w:r>
        <w:rPr>
          <w:i/>
          <w:w w:val="105"/>
          <w:sz w:val="13"/>
        </w:rPr>
        <w:t>Aboriginal Heritage Act 2006 </w:t>
      </w:r>
      <w:r>
        <w:rPr>
          <w:spacing w:val="2"/>
          <w:w w:val="105"/>
          <w:sz w:val="13"/>
        </w:rPr>
        <w:t>(Vic) </w:t>
      </w:r>
      <w:r>
        <w:rPr>
          <w:w w:val="105"/>
          <w:sz w:val="13"/>
        </w:rPr>
        <w:t>s </w:t>
      </w:r>
      <w:r>
        <w:rPr>
          <w:spacing w:val="2"/>
          <w:w w:val="105"/>
          <w:sz w:val="13"/>
        </w:rPr>
        <w:t>36; </w:t>
      </w:r>
      <w:r>
        <w:rPr>
          <w:w w:val="105"/>
          <w:sz w:val="13"/>
        </w:rPr>
        <w:t>pt</w:t>
      </w:r>
      <w:r>
        <w:rPr>
          <w:spacing w:val="3"/>
          <w:w w:val="105"/>
          <w:sz w:val="13"/>
        </w:rPr>
        <w:t> </w:t>
      </w:r>
      <w:r>
        <w:rPr>
          <w:w w:val="105"/>
          <w:sz w:val="13"/>
        </w:rPr>
        <w:t>4.</w:t>
      </w:r>
    </w:p>
    <w:p>
      <w:pPr>
        <w:pStyle w:val="ListParagraph"/>
        <w:numPr>
          <w:ilvl w:val="1"/>
          <w:numId w:val="167"/>
        </w:numPr>
        <w:tabs>
          <w:tab w:pos="2381" w:val="left" w:leader="none"/>
          <w:tab w:pos="2382" w:val="left" w:leader="none"/>
        </w:tabs>
        <w:spacing w:line="240" w:lineRule="auto" w:before="1" w:after="0"/>
        <w:ind w:left="2381" w:right="0" w:hanging="794"/>
        <w:jc w:val="left"/>
        <w:rPr>
          <w:sz w:val="13"/>
        </w:rPr>
      </w:pPr>
      <w:r>
        <w:rPr>
          <w:sz w:val="13"/>
        </w:rPr>
        <w:t>Ibid pt</w:t>
      </w:r>
      <w:r>
        <w:rPr>
          <w:spacing w:val="12"/>
          <w:sz w:val="13"/>
        </w:rPr>
        <w:t> </w:t>
      </w:r>
      <w:r>
        <w:rPr>
          <w:spacing w:val="-5"/>
          <w:sz w:val="13"/>
        </w:rPr>
        <w:t>7.</w:t>
      </w:r>
    </w:p>
    <w:p>
      <w:pPr>
        <w:pStyle w:val="ListParagraph"/>
        <w:numPr>
          <w:ilvl w:val="1"/>
          <w:numId w:val="167"/>
        </w:numPr>
        <w:tabs>
          <w:tab w:pos="2381" w:val="left" w:leader="none"/>
          <w:tab w:pos="2382" w:val="left" w:leader="none"/>
        </w:tabs>
        <w:spacing w:line="240" w:lineRule="auto" w:before="2" w:after="0"/>
        <w:ind w:left="2381" w:right="0" w:hanging="794"/>
        <w:jc w:val="left"/>
        <w:rPr>
          <w:sz w:val="13"/>
        </w:rPr>
      </w:pPr>
      <w:r>
        <w:rPr>
          <w:sz w:val="13"/>
        </w:rPr>
        <w:t>High-impact activities are categories of </w:t>
      </w:r>
      <w:r>
        <w:rPr>
          <w:spacing w:val="2"/>
          <w:sz w:val="13"/>
        </w:rPr>
        <w:t>activity </w:t>
      </w:r>
      <w:r>
        <w:rPr>
          <w:sz w:val="13"/>
        </w:rPr>
        <w:t>that are generally regarded  as  more  likely  to  harm  Aboriginal  cultural  heritage.  Most  high- impact activities provided for in the Regulations are subject  to  a  requirement  that  the  </w:t>
      </w:r>
      <w:r>
        <w:rPr>
          <w:spacing w:val="2"/>
          <w:sz w:val="13"/>
        </w:rPr>
        <w:t>activity </w:t>
      </w:r>
      <w:r>
        <w:rPr>
          <w:sz w:val="13"/>
        </w:rPr>
        <w:t>results  in  significant  ground  disturbance.  The term ‘significant ground disturbance’ is defined in the Regulations. For more information, see Aboriginal Victoria, </w:t>
      </w:r>
      <w:r>
        <w:rPr>
          <w:i/>
          <w:sz w:val="13"/>
        </w:rPr>
        <w:t>Aboriginal Heritage Act </w:t>
      </w:r>
      <w:r>
        <w:rPr>
          <w:i/>
          <w:spacing w:val="2"/>
          <w:sz w:val="13"/>
        </w:rPr>
        <w:t>2006—Practice </w:t>
      </w:r>
      <w:r>
        <w:rPr>
          <w:i/>
          <w:sz w:val="13"/>
        </w:rPr>
        <w:t>Note: Significant Ground Disturbance </w:t>
      </w:r>
      <w:r>
        <w:rPr>
          <w:spacing w:val="2"/>
          <w:sz w:val="13"/>
        </w:rPr>
        <w:t>&lt;</w:t>
      </w:r>
      <w:hyperlink r:id="rId271">
        <w:r>
          <w:rPr>
            <w:spacing w:val="2"/>
            <w:sz w:val="13"/>
          </w:rPr>
          <w:t>https://www.vic.gov.au/aboriginalvictoria/heritage/heritage-tools-and-publications/</w:t>
        </w:r>
      </w:hyperlink>
      <w:hyperlink r:id="rId271">
        <w:r>
          <w:rPr>
            <w:spacing w:val="2"/>
            <w:sz w:val="13"/>
          </w:rPr>
          <w:t> </w:t>
        </w:r>
        <w:r>
          <w:rPr>
            <w:sz w:val="13"/>
          </w:rPr>
          <w:t>guides-forms-and-practice-notes-for-aboriginal-heritage-management.html</w:t>
        </w:r>
      </w:hyperlink>
      <w:r>
        <w:rPr>
          <w:sz w:val="13"/>
        </w:rPr>
        <w:t>&gt;.</w:t>
      </w:r>
    </w:p>
    <w:p>
      <w:pPr>
        <w:pStyle w:val="ListParagraph"/>
        <w:numPr>
          <w:ilvl w:val="1"/>
          <w:numId w:val="167"/>
        </w:numPr>
        <w:tabs>
          <w:tab w:pos="2381" w:val="left" w:leader="none"/>
          <w:tab w:pos="2382" w:val="left" w:leader="none"/>
        </w:tabs>
        <w:spacing w:line="240" w:lineRule="auto" w:before="6" w:after="0"/>
        <w:ind w:left="2381" w:right="0" w:hanging="794"/>
        <w:jc w:val="left"/>
        <w:rPr>
          <w:sz w:val="13"/>
        </w:rPr>
      </w:pPr>
      <w:r>
        <w:rPr>
          <w:w w:val="105"/>
          <w:sz w:val="13"/>
        </w:rPr>
        <w:t>Consultation </w:t>
      </w:r>
      <w:r>
        <w:rPr>
          <w:spacing w:val="-4"/>
          <w:w w:val="105"/>
          <w:sz w:val="13"/>
        </w:rPr>
        <w:t>13 </w:t>
      </w:r>
      <w:r>
        <w:rPr>
          <w:w w:val="105"/>
          <w:sz w:val="13"/>
        </w:rPr>
        <w:t>(Aboriginal</w:t>
      </w:r>
      <w:r>
        <w:rPr>
          <w:spacing w:val="-9"/>
          <w:w w:val="105"/>
          <w:sz w:val="13"/>
        </w:rPr>
        <w:t> </w:t>
      </w:r>
      <w:r>
        <w:rPr>
          <w:spacing w:val="2"/>
          <w:w w:val="105"/>
          <w:sz w:val="13"/>
        </w:rPr>
        <w:t>Victoria).</w:t>
      </w:r>
    </w:p>
    <w:p>
      <w:pPr>
        <w:pStyle w:val="ListParagraph"/>
        <w:numPr>
          <w:ilvl w:val="1"/>
          <w:numId w:val="167"/>
        </w:numPr>
        <w:tabs>
          <w:tab w:pos="2381" w:val="left" w:leader="none"/>
          <w:tab w:pos="2382" w:val="left" w:leader="none"/>
        </w:tabs>
        <w:spacing w:line="240" w:lineRule="auto" w:before="2" w:after="0"/>
        <w:ind w:left="2381" w:right="405" w:hanging="794"/>
        <w:jc w:val="left"/>
        <w:rPr>
          <w:sz w:val="13"/>
        </w:rPr>
      </w:pPr>
      <w:r>
        <w:rPr>
          <w:w w:val="105"/>
          <w:sz w:val="13"/>
        </w:rPr>
        <w:t>Aboriginal Victoria, </w:t>
      </w:r>
      <w:r>
        <w:rPr>
          <w:i/>
          <w:w w:val="105"/>
          <w:sz w:val="13"/>
        </w:rPr>
        <w:t>Heritage Tools </w:t>
      </w:r>
      <w:r>
        <w:rPr>
          <w:w w:val="105"/>
          <w:sz w:val="13"/>
        </w:rPr>
        <w:t>(Web Page) </w:t>
      </w:r>
      <w:r>
        <w:rPr>
          <w:spacing w:val="2"/>
          <w:w w:val="105"/>
          <w:sz w:val="13"/>
        </w:rPr>
        <w:t>&lt;https://</w:t>
      </w:r>
      <w:hyperlink r:id="rId272">
        <w:r>
          <w:rPr>
            <w:spacing w:val="2"/>
            <w:w w:val="105"/>
            <w:sz w:val="13"/>
          </w:rPr>
          <w:t>www.vic.gov.au/aboriginalvictoria/heritage/heritage-tools-and-publications/</w:t>
        </w:r>
      </w:hyperlink>
      <w:r>
        <w:rPr>
          <w:spacing w:val="2"/>
          <w:w w:val="105"/>
          <w:sz w:val="13"/>
        </w:rPr>
        <w:t> </w:t>
      </w:r>
      <w:r>
        <w:rPr>
          <w:w w:val="105"/>
          <w:sz w:val="13"/>
        </w:rPr>
        <w:t>heritage-tools.html&gt;.</w:t>
      </w:r>
    </w:p>
    <w:p>
      <w:pPr>
        <w:pStyle w:val="ListParagraph"/>
        <w:numPr>
          <w:ilvl w:val="1"/>
          <w:numId w:val="167"/>
        </w:numPr>
        <w:tabs>
          <w:tab w:pos="2381" w:val="left" w:leader="none"/>
          <w:tab w:pos="2382" w:val="left" w:leader="none"/>
        </w:tabs>
        <w:spacing w:line="240" w:lineRule="auto" w:before="2" w:after="0"/>
        <w:ind w:left="2381" w:right="0" w:hanging="794"/>
        <w:jc w:val="left"/>
        <w:rPr>
          <w:sz w:val="13"/>
        </w:rPr>
      </w:pPr>
      <w:r>
        <w:rPr>
          <w:i/>
          <w:w w:val="105"/>
          <w:sz w:val="13"/>
        </w:rPr>
        <w:t>Aboriginal Heritage Act 2006 </w:t>
      </w:r>
      <w:r>
        <w:rPr>
          <w:spacing w:val="2"/>
          <w:w w:val="105"/>
          <w:sz w:val="13"/>
        </w:rPr>
        <w:t>(Vic) </w:t>
      </w:r>
      <w:r>
        <w:rPr>
          <w:w w:val="105"/>
          <w:sz w:val="13"/>
        </w:rPr>
        <w:t>pt</w:t>
      </w:r>
      <w:r>
        <w:rPr>
          <w:spacing w:val="26"/>
          <w:w w:val="105"/>
          <w:sz w:val="13"/>
        </w:rPr>
        <w:t> </w:t>
      </w:r>
      <w:r>
        <w:rPr>
          <w:w w:val="105"/>
          <w:sz w:val="13"/>
        </w:rPr>
        <w:t>10.</w:t>
      </w:r>
    </w:p>
    <w:p>
      <w:pPr>
        <w:pStyle w:val="ListParagraph"/>
        <w:numPr>
          <w:ilvl w:val="1"/>
          <w:numId w:val="167"/>
        </w:numPr>
        <w:tabs>
          <w:tab w:pos="2381" w:val="left" w:leader="none"/>
          <w:tab w:pos="2382" w:val="left" w:leader="none"/>
        </w:tabs>
        <w:spacing w:line="240" w:lineRule="auto" w:before="2" w:after="0"/>
        <w:ind w:left="2381" w:right="0" w:hanging="794"/>
        <w:jc w:val="left"/>
        <w:rPr>
          <w:sz w:val="13"/>
        </w:rPr>
      </w:pPr>
      <w:r>
        <w:rPr>
          <w:w w:val="105"/>
          <w:sz w:val="13"/>
        </w:rPr>
        <w:t>Consultation</w:t>
      </w:r>
      <w:r>
        <w:rPr>
          <w:spacing w:val="5"/>
          <w:w w:val="105"/>
          <w:sz w:val="13"/>
        </w:rPr>
        <w:t> </w:t>
      </w:r>
      <w:r>
        <w:rPr>
          <w:spacing w:val="-4"/>
          <w:w w:val="105"/>
          <w:sz w:val="13"/>
        </w:rPr>
        <w:t>13</w:t>
      </w:r>
      <w:r>
        <w:rPr>
          <w:spacing w:val="5"/>
          <w:w w:val="105"/>
          <w:sz w:val="13"/>
        </w:rPr>
        <w:t> </w:t>
      </w:r>
      <w:r>
        <w:rPr>
          <w:w w:val="105"/>
          <w:sz w:val="13"/>
        </w:rPr>
        <w:t>(Aboriginal</w:t>
      </w:r>
      <w:r>
        <w:rPr>
          <w:spacing w:val="6"/>
          <w:w w:val="105"/>
          <w:sz w:val="13"/>
        </w:rPr>
        <w:t> </w:t>
      </w:r>
      <w:r>
        <w:rPr>
          <w:spacing w:val="2"/>
          <w:w w:val="105"/>
          <w:sz w:val="13"/>
        </w:rPr>
        <w:t>Victoria);</w:t>
      </w:r>
      <w:r>
        <w:rPr>
          <w:spacing w:val="5"/>
          <w:w w:val="105"/>
          <w:sz w:val="13"/>
        </w:rPr>
        <w:t> </w:t>
      </w:r>
      <w:r>
        <w:rPr>
          <w:w w:val="105"/>
          <w:sz w:val="13"/>
        </w:rPr>
        <w:t>see</w:t>
      </w:r>
      <w:r>
        <w:rPr>
          <w:spacing w:val="6"/>
          <w:w w:val="105"/>
          <w:sz w:val="13"/>
        </w:rPr>
        <w:t> </w:t>
      </w:r>
      <w:r>
        <w:rPr>
          <w:i/>
          <w:w w:val="105"/>
          <w:sz w:val="13"/>
        </w:rPr>
        <w:t>Aboriginal</w:t>
      </w:r>
      <w:r>
        <w:rPr>
          <w:i/>
          <w:spacing w:val="5"/>
          <w:w w:val="105"/>
          <w:sz w:val="13"/>
        </w:rPr>
        <w:t> </w:t>
      </w:r>
      <w:r>
        <w:rPr>
          <w:i/>
          <w:w w:val="105"/>
          <w:sz w:val="13"/>
        </w:rPr>
        <w:t>Heritage</w:t>
      </w:r>
      <w:r>
        <w:rPr>
          <w:i/>
          <w:spacing w:val="6"/>
          <w:w w:val="105"/>
          <w:sz w:val="13"/>
        </w:rPr>
        <w:t> </w:t>
      </w:r>
      <w:r>
        <w:rPr>
          <w:i/>
          <w:w w:val="105"/>
          <w:sz w:val="13"/>
        </w:rPr>
        <w:t>Act</w:t>
      </w:r>
      <w:r>
        <w:rPr>
          <w:i/>
          <w:spacing w:val="5"/>
          <w:w w:val="105"/>
          <w:sz w:val="13"/>
        </w:rPr>
        <w:t> </w:t>
      </w:r>
      <w:r>
        <w:rPr>
          <w:i/>
          <w:w w:val="105"/>
          <w:sz w:val="13"/>
        </w:rPr>
        <w:t>2006</w:t>
      </w:r>
      <w:r>
        <w:rPr>
          <w:i/>
          <w:spacing w:val="6"/>
          <w:w w:val="105"/>
          <w:sz w:val="13"/>
        </w:rPr>
        <w:t> </w:t>
      </w:r>
      <w:r>
        <w:rPr>
          <w:spacing w:val="2"/>
          <w:w w:val="105"/>
          <w:sz w:val="13"/>
        </w:rPr>
        <w:t>(Vic)</w:t>
      </w:r>
      <w:r>
        <w:rPr>
          <w:spacing w:val="5"/>
          <w:w w:val="105"/>
          <w:sz w:val="13"/>
        </w:rPr>
        <w:t> </w:t>
      </w:r>
      <w:r>
        <w:rPr>
          <w:w w:val="105"/>
          <w:sz w:val="13"/>
        </w:rPr>
        <w:t>ss</w:t>
      </w:r>
      <w:r>
        <w:rPr>
          <w:spacing w:val="6"/>
          <w:w w:val="105"/>
          <w:sz w:val="13"/>
        </w:rPr>
        <w:t> </w:t>
      </w:r>
      <w:r>
        <w:rPr>
          <w:w w:val="105"/>
          <w:sz w:val="13"/>
        </w:rPr>
        <w:t>40,</w:t>
      </w:r>
      <w:r>
        <w:rPr>
          <w:spacing w:val="5"/>
          <w:w w:val="105"/>
          <w:sz w:val="13"/>
        </w:rPr>
        <w:t> </w:t>
      </w:r>
      <w:r>
        <w:rPr>
          <w:w w:val="105"/>
          <w:sz w:val="13"/>
        </w:rPr>
        <w:t>63,</w:t>
      </w:r>
      <w:r>
        <w:rPr>
          <w:spacing w:val="5"/>
          <w:w w:val="105"/>
          <w:sz w:val="13"/>
        </w:rPr>
        <w:t> </w:t>
      </w:r>
      <w:r>
        <w:rPr>
          <w:w w:val="105"/>
          <w:sz w:val="13"/>
        </w:rPr>
        <w:t>65.</w:t>
      </w:r>
    </w:p>
    <w:p>
      <w:pPr>
        <w:pStyle w:val="ListParagraph"/>
        <w:numPr>
          <w:ilvl w:val="1"/>
          <w:numId w:val="167"/>
        </w:numPr>
        <w:tabs>
          <w:tab w:pos="2381" w:val="left" w:leader="none"/>
          <w:tab w:pos="2382" w:val="left" w:leader="none"/>
        </w:tabs>
        <w:spacing w:line="240" w:lineRule="auto" w:before="1" w:after="0"/>
        <w:ind w:left="1587" w:right="5672" w:firstLine="0"/>
        <w:jc w:val="left"/>
        <w:rPr>
          <w:sz w:val="13"/>
        </w:rPr>
      </w:pPr>
      <w:r>
        <w:rPr>
          <w:i/>
          <w:w w:val="105"/>
          <w:sz w:val="13"/>
        </w:rPr>
        <w:t>Aboriginal Heritage Act 2006 </w:t>
      </w:r>
      <w:r>
        <w:rPr>
          <w:spacing w:val="2"/>
          <w:w w:val="105"/>
          <w:sz w:val="13"/>
        </w:rPr>
        <w:t>(Vic) </w:t>
      </w:r>
      <w:r>
        <w:rPr>
          <w:w w:val="105"/>
          <w:sz w:val="13"/>
        </w:rPr>
        <w:t>pt 8. 144</w:t>
        <w:tab/>
        <w:t>Consultation </w:t>
      </w:r>
      <w:r>
        <w:rPr>
          <w:spacing w:val="-4"/>
          <w:w w:val="105"/>
          <w:sz w:val="13"/>
        </w:rPr>
        <w:t>13 </w:t>
      </w:r>
      <w:r>
        <w:rPr>
          <w:w w:val="105"/>
          <w:sz w:val="13"/>
        </w:rPr>
        <w:t>(Aboriginal</w:t>
      </w:r>
      <w:r>
        <w:rPr>
          <w:spacing w:val="1"/>
          <w:w w:val="105"/>
          <w:sz w:val="13"/>
        </w:rPr>
        <w:t> </w:t>
      </w:r>
      <w:r>
        <w:rPr>
          <w:spacing w:val="2"/>
          <w:w w:val="105"/>
          <w:sz w:val="13"/>
        </w:rPr>
        <w:t>Victoria).</w:t>
      </w:r>
    </w:p>
    <w:p>
      <w:pPr>
        <w:pStyle w:val="ListParagraph"/>
        <w:numPr>
          <w:ilvl w:val="0"/>
          <w:numId w:val="168"/>
        </w:numPr>
        <w:tabs>
          <w:tab w:pos="2381" w:val="left" w:leader="none"/>
          <w:tab w:pos="2382" w:val="left" w:leader="none"/>
        </w:tabs>
        <w:spacing w:line="240" w:lineRule="auto" w:before="3" w:after="0"/>
        <w:ind w:left="2381" w:right="277" w:hanging="794"/>
        <w:jc w:val="left"/>
        <w:rPr>
          <w:sz w:val="13"/>
        </w:rPr>
      </w:pPr>
      <w:r>
        <w:rPr>
          <w:w w:val="105"/>
          <w:sz w:val="13"/>
        </w:rPr>
        <w:t>Under the Act, a fence includes a vegetative barrier that encloses or bounds land. It follows that fencing works include ‘the planting, replanting, repair or maintenance of a hedge or similar vegetative barrier that is the whole or part of a dividing fence’: </w:t>
      </w:r>
      <w:r>
        <w:rPr>
          <w:i/>
          <w:w w:val="105"/>
          <w:sz w:val="13"/>
        </w:rPr>
        <w:t>Fences Act 1968 </w:t>
      </w:r>
      <w:r>
        <w:rPr>
          <w:spacing w:val="2"/>
          <w:w w:val="105"/>
          <w:sz w:val="13"/>
        </w:rPr>
        <w:t>(Vic) </w:t>
      </w:r>
      <w:r>
        <w:rPr>
          <w:w w:val="105"/>
          <w:sz w:val="13"/>
        </w:rPr>
        <w:t>s 3</w:t>
      </w:r>
      <w:r>
        <w:rPr>
          <w:spacing w:val="11"/>
          <w:w w:val="105"/>
          <w:sz w:val="13"/>
        </w:rPr>
        <w:t> </w:t>
      </w:r>
      <w:r>
        <w:rPr>
          <w:w w:val="105"/>
          <w:sz w:val="13"/>
        </w:rPr>
        <w:t>‘Definitions’.</w:t>
      </w:r>
    </w:p>
    <w:p>
      <w:pPr>
        <w:pStyle w:val="ListParagraph"/>
        <w:numPr>
          <w:ilvl w:val="0"/>
          <w:numId w:val="168"/>
        </w:numPr>
        <w:tabs>
          <w:tab w:pos="2381" w:val="left" w:leader="none"/>
          <w:tab w:pos="2382" w:val="left" w:leader="none"/>
        </w:tabs>
        <w:spacing w:line="240" w:lineRule="auto" w:before="4" w:after="0"/>
        <w:ind w:left="2381" w:right="0" w:hanging="794"/>
        <w:jc w:val="left"/>
        <w:rPr>
          <w:sz w:val="13"/>
        </w:rPr>
      </w:pPr>
      <w:r>
        <w:rPr>
          <w:i/>
          <w:w w:val="105"/>
          <w:sz w:val="13"/>
        </w:rPr>
        <w:t>Fences Act 1968 </w:t>
      </w:r>
      <w:r>
        <w:rPr>
          <w:spacing w:val="2"/>
          <w:w w:val="105"/>
          <w:sz w:val="13"/>
        </w:rPr>
        <w:t>(Vic) </w:t>
      </w:r>
      <w:r>
        <w:rPr>
          <w:w w:val="105"/>
          <w:sz w:val="13"/>
        </w:rPr>
        <w:t>s</w:t>
      </w:r>
      <w:r>
        <w:rPr>
          <w:spacing w:val="21"/>
          <w:w w:val="105"/>
          <w:sz w:val="13"/>
        </w:rPr>
        <w:t> </w:t>
      </w:r>
      <w:r>
        <w:rPr>
          <w:spacing w:val="-5"/>
          <w:w w:val="105"/>
          <w:sz w:val="13"/>
        </w:rPr>
        <w:t>7.</w:t>
      </w:r>
    </w:p>
    <w:p>
      <w:pPr>
        <w:pStyle w:val="ListParagraph"/>
        <w:numPr>
          <w:ilvl w:val="0"/>
          <w:numId w:val="168"/>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z w:val="13"/>
        </w:rPr>
        <w:t>23.</w:t>
      </w:r>
    </w:p>
    <w:p>
      <w:pPr>
        <w:pStyle w:val="ListParagraph"/>
        <w:numPr>
          <w:ilvl w:val="0"/>
          <w:numId w:val="168"/>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z w:val="13"/>
        </w:rPr>
        <w:t>4.</w:t>
      </w:r>
    </w:p>
    <w:p>
      <w:pPr>
        <w:pStyle w:val="ListParagraph"/>
        <w:numPr>
          <w:ilvl w:val="0"/>
          <w:numId w:val="168"/>
        </w:numPr>
        <w:tabs>
          <w:tab w:pos="2381" w:val="left" w:leader="none"/>
          <w:tab w:pos="2382" w:val="left" w:leader="none"/>
        </w:tabs>
        <w:spacing w:line="240" w:lineRule="auto" w:before="2" w:after="0"/>
        <w:ind w:left="2381" w:right="0" w:hanging="794"/>
        <w:jc w:val="left"/>
        <w:rPr>
          <w:sz w:val="13"/>
        </w:rPr>
      </w:pPr>
      <w:r>
        <w:rPr>
          <w:w w:val="110"/>
          <w:sz w:val="13"/>
        </w:rPr>
        <w:t>Ibid ss 4,</w:t>
      </w:r>
      <w:r>
        <w:rPr>
          <w:spacing w:val="9"/>
          <w:w w:val="110"/>
          <w:sz w:val="13"/>
        </w:rPr>
        <w:t> </w:t>
      </w:r>
      <w:r>
        <w:rPr>
          <w:w w:val="110"/>
          <w:sz w:val="13"/>
        </w:rPr>
        <w:t>30C.</w:t>
      </w:r>
    </w:p>
    <w:p>
      <w:pPr>
        <w:pStyle w:val="ListParagraph"/>
        <w:numPr>
          <w:ilvl w:val="0"/>
          <w:numId w:val="168"/>
        </w:numPr>
        <w:tabs>
          <w:tab w:pos="2381" w:val="left" w:leader="none"/>
          <w:tab w:pos="2382" w:val="left" w:leader="none"/>
        </w:tabs>
        <w:spacing w:line="240" w:lineRule="auto" w:before="1" w:after="0"/>
        <w:ind w:left="2381" w:right="0" w:hanging="794"/>
        <w:jc w:val="left"/>
        <w:rPr>
          <w:sz w:val="13"/>
        </w:rPr>
      </w:pPr>
      <w:r>
        <w:rPr>
          <w:w w:val="105"/>
          <w:sz w:val="13"/>
        </w:rPr>
        <w:t>See, eg, </w:t>
      </w:r>
      <w:r>
        <w:rPr>
          <w:i/>
          <w:w w:val="105"/>
          <w:sz w:val="13"/>
        </w:rPr>
        <w:t>Fences Act 1968 </w:t>
      </w:r>
      <w:r>
        <w:rPr>
          <w:spacing w:val="2"/>
          <w:w w:val="105"/>
          <w:sz w:val="13"/>
        </w:rPr>
        <w:t>(Vic) </w:t>
      </w:r>
      <w:r>
        <w:rPr>
          <w:w w:val="105"/>
          <w:sz w:val="13"/>
        </w:rPr>
        <w:t>s 30C.</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41"/>
        </w:rPr>
      </w:pPr>
    </w:p>
    <w:p>
      <w:pPr>
        <w:spacing w:before="0"/>
        <w:ind w:left="536" w:right="573" w:firstLine="0"/>
        <w:jc w:val="center"/>
        <w:rPr>
          <w:b/>
          <w:sz w:val="24"/>
        </w:rPr>
      </w:pPr>
      <w:r>
        <w:rPr>
          <w:b/>
          <w:color w:val="658464"/>
          <w:w w:val="110"/>
          <w:sz w:val="24"/>
        </w:rPr>
        <w:t>231</w:t>
      </w:r>
    </w:p>
    <w:p>
      <w:pPr>
        <w:spacing w:after="0"/>
        <w:jc w:val="center"/>
        <w:rPr>
          <w:sz w:val="24"/>
        </w:rPr>
        <w:sectPr>
          <w:type w:val="continuous"/>
          <w:pgSz w:w="11910" w:h="16840"/>
          <w:pgMar w:top="300" w:bottom="280" w:left="0" w:right="0"/>
          <w:cols w:num="2" w:equalWidth="0">
            <w:col w:w="10318" w:space="40"/>
            <w:col w:w="1552"/>
          </w:cols>
        </w:sectPr>
      </w:pPr>
    </w:p>
    <w:p>
      <w:pPr>
        <w:pStyle w:val="BodyText"/>
        <w:spacing w:before="3"/>
        <w:rPr>
          <w:b/>
        </w:rPr>
      </w:pPr>
    </w:p>
    <w:p>
      <w:pPr>
        <w:spacing w:before="96"/>
        <w:ind w:left="1587" w:right="0" w:firstLine="0"/>
        <w:jc w:val="left"/>
        <w:rPr>
          <w:b/>
          <w:sz w:val="28"/>
        </w:rPr>
      </w:pPr>
      <w:bookmarkStart w:name="The Catchment and Land Protection Act" w:id="269"/>
      <w:bookmarkEnd w:id="269"/>
      <w:r>
        <w:rPr/>
      </w:r>
      <w:bookmarkStart w:name="Other Victorian Acts" w:id="270"/>
      <w:bookmarkEnd w:id="270"/>
      <w:r>
        <w:rPr/>
      </w:r>
      <w:bookmarkStart w:name="_bookmark125" w:id="271"/>
      <w:bookmarkEnd w:id="271"/>
      <w:r>
        <w:rPr/>
      </w:r>
      <w:r>
        <w:rPr>
          <w:b/>
          <w:color w:val="658464"/>
          <w:w w:val="115"/>
          <w:sz w:val="28"/>
        </w:rPr>
        <w:t>The Catchment and Land Protection Act</w:t>
      </w:r>
    </w:p>
    <w:p>
      <w:pPr>
        <w:pStyle w:val="ListParagraph"/>
        <w:numPr>
          <w:ilvl w:val="1"/>
          <w:numId w:val="16"/>
        </w:numPr>
        <w:tabs>
          <w:tab w:pos="2381" w:val="left" w:leader="none"/>
          <w:tab w:pos="2382" w:val="left" w:leader="none"/>
        </w:tabs>
        <w:spacing w:line="242" w:lineRule="auto" w:before="155" w:after="0"/>
        <w:ind w:left="2381" w:right="1782" w:hanging="794"/>
        <w:jc w:val="left"/>
        <w:rPr>
          <w:sz w:val="21"/>
        </w:rPr>
      </w:pPr>
      <w:r>
        <w:rPr>
          <w:w w:val="105"/>
          <w:sz w:val="21"/>
        </w:rPr>
        <w:t>The proposed Neighbourhood </w:t>
      </w:r>
      <w:r>
        <w:rPr>
          <w:spacing w:val="-5"/>
          <w:w w:val="105"/>
          <w:sz w:val="21"/>
        </w:rPr>
        <w:t>Tree </w:t>
      </w:r>
      <w:r>
        <w:rPr>
          <w:spacing w:val="-3"/>
          <w:w w:val="105"/>
          <w:sz w:val="21"/>
        </w:rPr>
        <w:t>Disputes </w:t>
      </w:r>
      <w:r>
        <w:rPr>
          <w:w w:val="105"/>
          <w:sz w:val="21"/>
        </w:rPr>
        <w:t>Act </w:t>
      </w:r>
      <w:r>
        <w:rPr>
          <w:spacing w:val="-3"/>
          <w:w w:val="105"/>
          <w:sz w:val="21"/>
        </w:rPr>
        <w:t>may interact </w:t>
      </w:r>
      <w:r>
        <w:rPr>
          <w:w w:val="105"/>
          <w:sz w:val="21"/>
        </w:rPr>
        <w:t>with the </w:t>
      </w:r>
      <w:r>
        <w:rPr>
          <w:i/>
          <w:spacing w:val="-3"/>
          <w:w w:val="105"/>
          <w:sz w:val="21"/>
        </w:rPr>
        <w:t>Catchment </w:t>
      </w:r>
      <w:r>
        <w:rPr>
          <w:i/>
          <w:w w:val="105"/>
          <w:sz w:val="21"/>
        </w:rPr>
        <w:t>and </w:t>
      </w:r>
      <w:r>
        <w:rPr>
          <w:i/>
          <w:w w:val="105"/>
          <w:sz w:val="21"/>
        </w:rPr>
        <w:t>Land Protection Act </w:t>
      </w:r>
      <w:r>
        <w:rPr>
          <w:i/>
          <w:spacing w:val="-4"/>
          <w:w w:val="105"/>
          <w:sz w:val="21"/>
        </w:rPr>
        <w:t>1994 </w:t>
      </w:r>
      <w:r>
        <w:rPr>
          <w:w w:val="105"/>
          <w:sz w:val="21"/>
        </w:rPr>
        <w:t>(Vic) (CLP Act) if the subject tree is a declared </w:t>
      </w:r>
      <w:r>
        <w:rPr>
          <w:spacing w:val="-3"/>
          <w:w w:val="105"/>
          <w:sz w:val="21"/>
        </w:rPr>
        <w:t>noxious </w:t>
      </w:r>
      <w:r>
        <w:rPr>
          <w:w w:val="105"/>
          <w:sz w:val="21"/>
        </w:rPr>
        <w:t>weed </w:t>
      </w:r>
      <w:r>
        <w:rPr>
          <w:spacing w:val="-3"/>
          <w:w w:val="105"/>
          <w:sz w:val="21"/>
        </w:rPr>
        <w:t>that</w:t>
      </w:r>
      <w:r>
        <w:rPr>
          <w:spacing w:val="-9"/>
          <w:w w:val="105"/>
          <w:sz w:val="21"/>
        </w:rPr>
        <w:t> </w:t>
      </w:r>
      <w:r>
        <w:rPr>
          <w:w w:val="105"/>
          <w:sz w:val="21"/>
        </w:rPr>
        <w:t>the</w:t>
      </w:r>
      <w:r>
        <w:rPr>
          <w:spacing w:val="-8"/>
          <w:w w:val="105"/>
          <w:sz w:val="21"/>
        </w:rPr>
        <w:t> </w:t>
      </w:r>
      <w:r>
        <w:rPr>
          <w:w w:val="105"/>
          <w:sz w:val="21"/>
        </w:rPr>
        <w:t>landowner</w:t>
      </w:r>
      <w:r>
        <w:rPr>
          <w:spacing w:val="-9"/>
          <w:w w:val="105"/>
          <w:sz w:val="21"/>
        </w:rPr>
        <w:t> </w:t>
      </w:r>
      <w:r>
        <w:rPr>
          <w:w w:val="105"/>
          <w:sz w:val="21"/>
        </w:rPr>
        <w:t>would</w:t>
      </w:r>
      <w:r>
        <w:rPr>
          <w:spacing w:val="-8"/>
          <w:w w:val="105"/>
          <w:sz w:val="21"/>
        </w:rPr>
        <w:t> </w:t>
      </w:r>
      <w:r>
        <w:rPr>
          <w:w w:val="105"/>
          <w:sz w:val="21"/>
        </w:rPr>
        <w:t>otherwise</w:t>
      </w:r>
      <w:r>
        <w:rPr>
          <w:spacing w:val="-8"/>
          <w:w w:val="105"/>
          <w:sz w:val="21"/>
        </w:rPr>
        <w:t> </w:t>
      </w:r>
      <w:r>
        <w:rPr>
          <w:w w:val="105"/>
          <w:sz w:val="21"/>
        </w:rPr>
        <w:t>be</w:t>
      </w:r>
      <w:r>
        <w:rPr>
          <w:spacing w:val="-9"/>
          <w:w w:val="105"/>
          <w:sz w:val="21"/>
        </w:rPr>
        <w:t> </w:t>
      </w:r>
      <w:r>
        <w:rPr>
          <w:spacing w:val="-3"/>
          <w:w w:val="105"/>
          <w:sz w:val="21"/>
        </w:rPr>
        <w:t>required</w:t>
      </w:r>
      <w:r>
        <w:rPr>
          <w:spacing w:val="-8"/>
          <w:w w:val="105"/>
          <w:sz w:val="21"/>
        </w:rPr>
        <w:t> </w:t>
      </w:r>
      <w:r>
        <w:rPr>
          <w:spacing w:val="-3"/>
          <w:w w:val="105"/>
          <w:sz w:val="21"/>
        </w:rPr>
        <w:t>to</w:t>
      </w:r>
      <w:r>
        <w:rPr>
          <w:spacing w:val="-9"/>
          <w:w w:val="105"/>
          <w:sz w:val="21"/>
        </w:rPr>
        <w:t> </w:t>
      </w:r>
      <w:r>
        <w:rPr>
          <w:spacing w:val="-3"/>
          <w:w w:val="105"/>
          <w:sz w:val="21"/>
        </w:rPr>
        <w:t>control</w:t>
      </w:r>
      <w:r>
        <w:rPr>
          <w:spacing w:val="-8"/>
          <w:w w:val="105"/>
          <w:sz w:val="21"/>
        </w:rPr>
        <w:t> </w:t>
      </w:r>
      <w:r>
        <w:rPr>
          <w:w w:val="105"/>
          <w:sz w:val="21"/>
        </w:rPr>
        <w:t>or</w:t>
      </w:r>
      <w:r>
        <w:rPr>
          <w:spacing w:val="-8"/>
          <w:w w:val="105"/>
          <w:sz w:val="21"/>
        </w:rPr>
        <w:t> </w:t>
      </w:r>
      <w:r>
        <w:rPr>
          <w:spacing w:val="-3"/>
          <w:w w:val="105"/>
          <w:sz w:val="21"/>
        </w:rPr>
        <w:t>eradicate.</w:t>
      </w:r>
      <w:r>
        <w:rPr>
          <w:spacing w:val="-9"/>
          <w:w w:val="105"/>
          <w:sz w:val="21"/>
        </w:rPr>
        <w:t> </w:t>
      </w:r>
      <w:r>
        <w:rPr>
          <w:w w:val="105"/>
          <w:sz w:val="21"/>
        </w:rPr>
        <w:t>Noxious</w:t>
      </w:r>
      <w:r>
        <w:rPr>
          <w:spacing w:val="-8"/>
          <w:w w:val="105"/>
          <w:sz w:val="21"/>
        </w:rPr>
        <w:t> </w:t>
      </w:r>
      <w:r>
        <w:rPr>
          <w:w w:val="105"/>
          <w:sz w:val="21"/>
        </w:rPr>
        <w:t>weeds </w:t>
      </w:r>
      <w:r>
        <w:rPr>
          <w:spacing w:val="-3"/>
          <w:w w:val="105"/>
          <w:sz w:val="21"/>
        </w:rPr>
        <w:t>are generally </w:t>
      </w:r>
      <w:r>
        <w:rPr>
          <w:w w:val="105"/>
          <w:sz w:val="21"/>
        </w:rPr>
        <w:t>exempt </w:t>
      </w:r>
      <w:r>
        <w:rPr>
          <w:spacing w:val="-3"/>
          <w:w w:val="105"/>
          <w:sz w:val="21"/>
        </w:rPr>
        <w:t>from </w:t>
      </w:r>
      <w:r>
        <w:rPr>
          <w:w w:val="105"/>
          <w:sz w:val="21"/>
        </w:rPr>
        <w:t>the </w:t>
      </w:r>
      <w:r>
        <w:rPr>
          <w:spacing w:val="-3"/>
          <w:w w:val="105"/>
          <w:sz w:val="21"/>
        </w:rPr>
        <w:t>requirement to </w:t>
      </w:r>
      <w:r>
        <w:rPr>
          <w:w w:val="105"/>
          <w:sz w:val="21"/>
        </w:rPr>
        <w:t>obtain a </w:t>
      </w:r>
      <w:r>
        <w:rPr>
          <w:spacing w:val="-3"/>
          <w:w w:val="105"/>
          <w:sz w:val="21"/>
        </w:rPr>
        <w:t>planning </w:t>
      </w:r>
      <w:r>
        <w:rPr>
          <w:w w:val="105"/>
          <w:sz w:val="21"/>
        </w:rPr>
        <w:t>permit </w:t>
      </w:r>
      <w:r>
        <w:rPr>
          <w:spacing w:val="-3"/>
          <w:w w:val="105"/>
          <w:sz w:val="21"/>
        </w:rPr>
        <w:t>pursuant to </w:t>
      </w:r>
      <w:r>
        <w:rPr>
          <w:w w:val="105"/>
          <w:sz w:val="21"/>
        </w:rPr>
        <w:t>the </w:t>
      </w:r>
      <w:r>
        <w:rPr>
          <w:spacing w:val="4"/>
          <w:w w:val="105"/>
          <w:sz w:val="21"/>
        </w:rPr>
        <w:t>P&amp;E</w:t>
      </w:r>
      <w:r>
        <w:rPr>
          <w:spacing w:val="5"/>
          <w:w w:val="105"/>
          <w:sz w:val="21"/>
        </w:rPr>
        <w:t> </w:t>
      </w:r>
      <w:r>
        <w:rPr>
          <w:spacing w:val="-7"/>
          <w:w w:val="105"/>
          <w:sz w:val="21"/>
        </w:rPr>
        <w:t>Act.</w:t>
      </w:r>
      <w:r>
        <w:rPr>
          <w:spacing w:val="-7"/>
          <w:w w:val="105"/>
          <w:position w:val="7"/>
          <w:sz w:val="12"/>
        </w:rPr>
        <w:t>151</w:t>
      </w:r>
    </w:p>
    <w:p>
      <w:pPr>
        <w:pStyle w:val="ListParagraph"/>
        <w:numPr>
          <w:ilvl w:val="1"/>
          <w:numId w:val="16"/>
        </w:numPr>
        <w:tabs>
          <w:tab w:pos="2381" w:val="left" w:leader="none"/>
          <w:tab w:pos="2382" w:val="left" w:leader="none"/>
        </w:tabs>
        <w:spacing w:line="242" w:lineRule="auto" w:before="125" w:after="0"/>
        <w:ind w:left="2381" w:right="1675" w:hanging="794"/>
        <w:jc w:val="left"/>
        <w:rPr>
          <w:sz w:val="21"/>
        </w:rPr>
      </w:pPr>
      <w:r>
        <w:rPr>
          <w:sz w:val="21"/>
        </w:rPr>
        <w:t>Landowners </w:t>
      </w:r>
      <w:r>
        <w:rPr>
          <w:spacing w:val="-3"/>
          <w:sz w:val="21"/>
        </w:rPr>
        <w:t>have  responsibilities  to  manage  </w:t>
      </w:r>
      <w:r>
        <w:rPr>
          <w:sz w:val="21"/>
        </w:rPr>
        <w:t>specific weeds on their properties </w:t>
      </w:r>
      <w:r>
        <w:rPr>
          <w:spacing w:val="-3"/>
          <w:sz w:val="21"/>
        </w:rPr>
        <w:t>pursuant</w:t>
      </w:r>
      <w:r>
        <w:rPr>
          <w:spacing w:val="41"/>
          <w:sz w:val="21"/>
        </w:rPr>
        <w:t> </w:t>
      </w:r>
      <w:r>
        <w:rPr>
          <w:spacing w:val="-3"/>
          <w:sz w:val="21"/>
        </w:rPr>
        <w:t>to </w:t>
      </w:r>
      <w:r>
        <w:rPr>
          <w:sz w:val="21"/>
        </w:rPr>
        <w:t>the </w:t>
      </w:r>
      <w:r>
        <w:rPr>
          <w:spacing w:val="-3"/>
          <w:sz w:val="21"/>
        </w:rPr>
        <w:t>CLP </w:t>
      </w:r>
      <w:r>
        <w:rPr>
          <w:sz w:val="21"/>
        </w:rPr>
        <w:t>Act. Under this Act, certain plants </w:t>
      </w:r>
      <w:r>
        <w:rPr>
          <w:spacing w:val="-3"/>
          <w:sz w:val="21"/>
        </w:rPr>
        <w:t>are </w:t>
      </w:r>
      <w:r>
        <w:rPr>
          <w:sz w:val="21"/>
        </w:rPr>
        <w:t>declared as </w:t>
      </w:r>
      <w:r>
        <w:rPr>
          <w:spacing w:val="-3"/>
          <w:sz w:val="21"/>
        </w:rPr>
        <w:t>noxious </w:t>
      </w:r>
      <w:r>
        <w:rPr>
          <w:sz w:val="21"/>
        </w:rPr>
        <w:t>weeds in Victoria. These plants </w:t>
      </w:r>
      <w:r>
        <w:rPr>
          <w:spacing w:val="-3"/>
          <w:sz w:val="21"/>
        </w:rPr>
        <w:t>have </w:t>
      </w:r>
      <w:r>
        <w:rPr>
          <w:sz w:val="21"/>
        </w:rPr>
        <w:t>the </w:t>
      </w:r>
      <w:r>
        <w:rPr>
          <w:spacing w:val="-3"/>
          <w:sz w:val="21"/>
        </w:rPr>
        <w:t>potential to </w:t>
      </w:r>
      <w:r>
        <w:rPr>
          <w:sz w:val="21"/>
        </w:rPr>
        <w:t>cause </w:t>
      </w:r>
      <w:r>
        <w:rPr>
          <w:spacing w:val="-3"/>
          <w:sz w:val="21"/>
        </w:rPr>
        <w:t>environmental </w:t>
      </w:r>
      <w:r>
        <w:rPr>
          <w:sz w:val="21"/>
        </w:rPr>
        <w:t>or economic </w:t>
      </w:r>
      <w:r>
        <w:rPr>
          <w:spacing w:val="-5"/>
          <w:sz w:val="21"/>
        </w:rPr>
        <w:t>harm.</w:t>
      </w:r>
      <w:r>
        <w:rPr>
          <w:spacing w:val="-5"/>
          <w:position w:val="7"/>
          <w:sz w:val="12"/>
        </w:rPr>
        <w:t>152 </w:t>
      </w:r>
      <w:r>
        <w:rPr>
          <w:spacing w:val="-4"/>
          <w:sz w:val="21"/>
        </w:rPr>
        <w:t>Accordingly, </w:t>
      </w:r>
      <w:r>
        <w:rPr>
          <w:sz w:val="21"/>
        </w:rPr>
        <w:t>landowners </w:t>
      </w:r>
      <w:r>
        <w:rPr>
          <w:spacing w:val="-3"/>
          <w:sz w:val="21"/>
        </w:rPr>
        <w:t>may </w:t>
      </w:r>
      <w:r>
        <w:rPr>
          <w:sz w:val="21"/>
        </w:rPr>
        <w:t>be issued with directions by the Secretary of the Department of </w:t>
      </w:r>
      <w:r>
        <w:rPr>
          <w:spacing w:val="-3"/>
          <w:sz w:val="21"/>
        </w:rPr>
        <w:t>Environment, </w:t>
      </w:r>
      <w:r>
        <w:rPr>
          <w:sz w:val="21"/>
        </w:rPr>
        <w:t>Land, </w:t>
      </w:r>
      <w:r>
        <w:rPr>
          <w:spacing w:val="-4"/>
          <w:sz w:val="21"/>
        </w:rPr>
        <w:t>Water </w:t>
      </w:r>
      <w:r>
        <w:rPr>
          <w:sz w:val="21"/>
        </w:rPr>
        <w:t>and </w:t>
      </w:r>
      <w:r>
        <w:rPr>
          <w:spacing w:val="-3"/>
          <w:sz w:val="21"/>
        </w:rPr>
        <w:t>Planning to prevent </w:t>
      </w:r>
      <w:r>
        <w:rPr>
          <w:sz w:val="21"/>
        </w:rPr>
        <w:t>the growth or  </w:t>
      </w:r>
      <w:r>
        <w:rPr>
          <w:spacing w:val="-3"/>
          <w:sz w:val="21"/>
        </w:rPr>
        <w:t>spread  </w:t>
      </w:r>
      <w:r>
        <w:rPr>
          <w:sz w:val="21"/>
        </w:rPr>
        <w:t>of  state- </w:t>
      </w:r>
      <w:r>
        <w:rPr>
          <w:spacing w:val="-3"/>
          <w:sz w:val="21"/>
        </w:rPr>
        <w:t>prohibited</w:t>
      </w:r>
      <w:r>
        <w:rPr>
          <w:spacing w:val="8"/>
          <w:sz w:val="21"/>
        </w:rPr>
        <w:t> </w:t>
      </w:r>
      <w:r>
        <w:rPr>
          <w:spacing w:val="-4"/>
          <w:sz w:val="21"/>
        </w:rPr>
        <w:t>weeds.</w:t>
      </w:r>
      <w:r>
        <w:rPr>
          <w:spacing w:val="-4"/>
          <w:position w:val="7"/>
          <w:sz w:val="12"/>
        </w:rPr>
        <w:t>153</w:t>
      </w:r>
    </w:p>
    <w:p>
      <w:pPr>
        <w:pStyle w:val="ListParagraph"/>
        <w:numPr>
          <w:ilvl w:val="1"/>
          <w:numId w:val="16"/>
        </w:numPr>
        <w:tabs>
          <w:tab w:pos="2381" w:val="left" w:leader="none"/>
          <w:tab w:pos="2382" w:val="left" w:leader="none"/>
        </w:tabs>
        <w:spacing w:line="242" w:lineRule="auto" w:before="127" w:after="0"/>
        <w:ind w:left="2381" w:right="1865" w:hanging="794"/>
        <w:jc w:val="left"/>
        <w:rPr>
          <w:sz w:val="21"/>
        </w:rPr>
      </w:pPr>
      <w:r>
        <w:rPr>
          <w:sz w:val="21"/>
        </w:rPr>
        <w:t>In </w:t>
      </w:r>
      <w:r>
        <w:rPr>
          <w:spacing w:val="-3"/>
          <w:sz w:val="21"/>
        </w:rPr>
        <w:t>addition, </w:t>
      </w:r>
      <w:r>
        <w:rPr>
          <w:spacing w:val="-2"/>
          <w:sz w:val="21"/>
        </w:rPr>
        <w:t>70B </w:t>
      </w:r>
      <w:r>
        <w:rPr>
          <w:sz w:val="21"/>
        </w:rPr>
        <w:t>of the </w:t>
      </w:r>
      <w:r>
        <w:rPr>
          <w:spacing w:val="-3"/>
          <w:sz w:val="21"/>
        </w:rPr>
        <w:t>CLP </w:t>
      </w:r>
      <w:r>
        <w:rPr>
          <w:sz w:val="21"/>
        </w:rPr>
        <w:t>Act provides </w:t>
      </w:r>
      <w:r>
        <w:rPr>
          <w:spacing w:val="-3"/>
          <w:sz w:val="21"/>
        </w:rPr>
        <w:t>that </w:t>
      </w:r>
      <w:r>
        <w:rPr>
          <w:sz w:val="21"/>
        </w:rPr>
        <w:t>a landowner  </w:t>
      </w:r>
      <w:r>
        <w:rPr>
          <w:spacing w:val="-3"/>
          <w:sz w:val="21"/>
        </w:rPr>
        <w:t>may  </w:t>
      </w:r>
      <w:r>
        <w:rPr>
          <w:sz w:val="21"/>
        </w:rPr>
        <w:t>be  issued  with  a direction </w:t>
      </w:r>
      <w:r>
        <w:rPr>
          <w:spacing w:val="-3"/>
          <w:sz w:val="21"/>
        </w:rPr>
        <w:t>to take measures to control </w:t>
      </w:r>
      <w:r>
        <w:rPr>
          <w:sz w:val="21"/>
        </w:rPr>
        <w:t>or </w:t>
      </w:r>
      <w:r>
        <w:rPr>
          <w:spacing w:val="-3"/>
          <w:sz w:val="21"/>
        </w:rPr>
        <w:t>eradicate </w:t>
      </w:r>
      <w:r>
        <w:rPr>
          <w:sz w:val="21"/>
        </w:rPr>
        <w:t>certain categories of weeds on their </w:t>
      </w:r>
      <w:r>
        <w:rPr>
          <w:spacing w:val="-3"/>
          <w:sz w:val="21"/>
        </w:rPr>
        <w:t>land. </w:t>
      </w:r>
      <w:r>
        <w:rPr>
          <w:sz w:val="21"/>
        </w:rPr>
        <w:t>Landowners </w:t>
      </w:r>
      <w:r>
        <w:rPr>
          <w:spacing w:val="-3"/>
          <w:sz w:val="21"/>
        </w:rPr>
        <w:t>have responsibility to take all reasonable </w:t>
      </w:r>
      <w:r>
        <w:rPr>
          <w:sz w:val="21"/>
        </w:rPr>
        <w:t>steps </w:t>
      </w:r>
      <w:r>
        <w:rPr>
          <w:spacing w:val="-3"/>
          <w:sz w:val="21"/>
        </w:rPr>
        <w:t>to eradicate regionally prohibited weeds</w:t>
      </w:r>
      <w:r>
        <w:rPr>
          <w:spacing w:val="-3"/>
          <w:position w:val="7"/>
          <w:sz w:val="12"/>
        </w:rPr>
        <w:t>154 </w:t>
      </w:r>
      <w:r>
        <w:rPr>
          <w:sz w:val="21"/>
        </w:rPr>
        <w:t>and </w:t>
      </w:r>
      <w:r>
        <w:rPr>
          <w:spacing w:val="-3"/>
          <w:sz w:val="21"/>
        </w:rPr>
        <w:t>to prevent </w:t>
      </w:r>
      <w:r>
        <w:rPr>
          <w:sz w:val="21"/>
        </w:rPr>
        <w:t>the growth and </w:t>
      </w:r>
      <w:r>
        <w:rPr>
          <w:spacing w:val="-3"/>
          <w:sz w:val="21"/>
        </w:rPr>
        <w:t>spread </w:t>
      </w:r>
      <w:r>
        <w:rPr>
          <w:sz w:val="21"/>
        </w:rPr>
        <w:t>of  </w:t>
      </w:r>
      <w:r>
        <w:rPr>
          <w:spacing w:val="-3"/>
          <w:sz w:val="21"/>
        </w:rPr>
        <w:t>regionally  controlled </w:t>
      </w:r>
      <w:r>
        <w:rPr>
          <w:spacing w:val="-5"/>
          <w:sz w:val="21"/>
        </w:rPr>
        <w:t>weeds.</w:t>
      </w:r>
      <w:r>
        <w:rPr>
          <w:spacing w:val="-5"/>
          <w:position w:val="7"/>
          <w:sz w:val="12"/>
        </w:rPr>
        <w:t>155 </w:t>
      </w:r>
      <w:r>
        <w:rPr>
          <w:sz w:val="21"/>
        </w:rPr>
        <w:t>It is an </w:t>
      </w:r>
      <w:r>
        <w:rPr>
          <w:spacing w:val="-3"/>
          <w:sz w:val="21"/>
        </w:rPr>
        <w:t>offence to </w:t>
      </w:r>
      <w:r>
        <w:rPr>
          <w:spacing w:val="-4"/>
          <w:sz w:val="21"/>
        </w:rPr>
        <w:t>fail </w:t>
      </w:r>
      <w:r>
        <w:rPr>
          <w:spacing w:val="-3"/>
          <w:sz w:val="21"/>
        </w:rPr>
        <w:t>to</w:t>
      </w:r>
      <w:r>
        <w:rPr>
          <w:spacing w:val="7"/>
          <w:sz w:val="21"/>
        </w:rPr>
        <w:t> </w:t>
      </w:r>
      <w:r>
        <w:rPr>
          <w:sz w:val="21"/>
        </w:rPr>
        <w:t>comply with a directions </w:t>
      </w:r>
      <w:r>
        <w:rPr>
          <w:spacing w:val="-5"/>
          <w:sz w:val="21"/>
        </w:rPr>
        <w:t>notice.</w:t>
      </w:r>
      <w:r>
        <w:rPr>
          <w:spacing w:val="-5"/>
          <w:position w:val="7"/>
          <w:sz w:val="12"/>
        </w:rPr>
        <w:t>156</w:t>
      </w:r>
    </w:p>
    <w:p>
      <w:pPr>
        <w:pStyle w:val="BodyText"/>
        <w:rPr>
          <w:sz w:val="22"/>
        </w:rPr>
      </w:pPr>
    </w:p>
    <w:p>
      <w:pPr>
        <w:pStyle w:val="Heading4"/>
      </w:pPr>
      <w:r>
        <w:rPr>
          <w:color w:val="658464"/>
          <w:w w:val="110"/>
        </w:rPr>
        <w:t>Other Victorian Acts</w:t>
      </w:r>
    </w:p>
    <w:p>
      <w:pPr>
        <w:pStyle w:val="ListParagraph"/>
        <w:numPr>
          <w:ilvl w:val="1"/>
          <w:numId w:val="16"/>
        </w:numPr>
        <w:tabs>
          <w:tab w:pos="2380" w:val="left" w:leader="none"/>
          <w:tab w:pos="2381" w:val="left" w:leader="none"/>
        </w:tabs>
        <w:spacing w:line="240" w:lineRule="auto" w:before="155" w:after="0"/>
        <w:ind w:left="2381" w:right="0" w:hanging="794"/>
        <w:jc w:val="left"/>
        <w:rPr>
          <w:sz w:val="21"/>
        </w:rPr>
      </w:pPr>
      <w:r>
        <w:rPr>
          <w:sz w:val="21"/>
        </w:rPr>
        <w:t>Other</w:t>
      </w:r>
      <w:r>
        <w:rPr>
          <w:spacing w:val="9"/>
          <w:sz w:val="21"/>
        </w:rPr>
        <w:t> </w:t>
      </w:r>
      <w:r>
        <w:rPr>
          <w:sz w:val="21"/>
        </w:rPr>
        <w:t>Acts</w:t>
      </w:r>
      <w:r>
        <w:rPr>
          <w:spacing w:val="10"/>
          <w:sz w:val="21"/>
        </w:rPr>
        <w:t> </w:t>
      </w:r>
      <w:r>
        <w:rPr>
          <w:sz w:val="21"/>
        </w:rPr>
        <w:t>also</w:t>
      </w:r>
      <w:r>
        <w:rPr>
          <w:spacing w:val="10"/>
          <w:sz w:val="21"/>
        </w:rPr>
        <w:t> </w:t>
      </w:r>
      <w:r>
        <w:rPr>
          <w:spacing w:val="-3"/>
          <w:sz w:val="21"/>
        </w:rPr>
        <w:t>require</w:t>
      </w:r>
      <w:r>
        <w:rPr>
          <w:spacing w:val="10"/>
          <w:sz w:val="21"/>
        </w:rPr>
        <w:t> </w:t>
      </w:r>
      <w:r>
        <w:rPr>
          <w:sz w:val="21"/>
        </w:rPr>
        <w:t>landowners</w:t>
      </w:r>
      <w:r>
        <w:rPr>
          <w:spacing w:val="10"/>
          <w:sz w:val="21"/>
        </w:rPr>
        <w:t> </w:t>
      </w:r>
      <w:r>
        <w:rPr>
          <w:spacing w:val="-3"/>
          <w:sz w:val="21"/>
        </w:rPr>
        <w:t>to</w:t>
      </w:r>
      <w:r>
        <w:rPr>
          <w:spacing w:val="10"/>
          <w:sz w:val="21"/>
        </w:rPr>
        <w:t> </w:t>
      </w:r>
      <w:r>
        <w:rPr>
          <w:spacing w:val="-3"/>
          <w:sz w:val="21"/>
        </w:rPr>
        <w:t>maintain</w:t>
      </w:r>
      <w:r>
        <w:rPr>
          <w:spacing w:val="10"/>
          <w:sz w:val="21"/>
        </w:rPr>
        <w:t> </w:t>
      </w:r>
      <w:r>
        <w:rPr>
          <w:sz w:val="21"/>
        </w:rPr>
        <w:t>vegetation</w:t>
      </w:r>
      <w:r>
        <w:rPr>
          <w:spacing w:val="10"/>
          <w:sz w:val="21"/>
        </w:rPr>
        <w:t> </w:t>
      </w:r>
      <w:r>
        <w:rPr>
          <w:sz w:val="21"/>
        </w:rPr>
        <w:t>on</w:t>
      </w:r>
      <w:r>
        <w:rPr>
          <w:spacing w:val="10"/>
          <w:sz w:val="21"/>
        </w:rPr>
        <w:t> </w:t>
      </w:r>
      <w:r>
        <w:rPr>
          <w:sz w:val="21"/>
        </w:rPr>
        <w:t>their</w:t>
      </w:r>
      <w:r>
        <w:rPr>
          <w:spacing w:val="10"/>
          <w:sz w:val="21"/>
        </w:rPr>
        <w:t> </w:t>
      </w:r>
      <w:r>
        <w:rPr>
          <w:sz w:val="21"/>
        </w:rPr>
        <w:t>land:</w:t>
      </w:r>
    </w:p>
    <w:p>
      <w:pPr>
        <w:pStyle w:val="ListParagraph"/>
        <w:numPr>
          <w:ilvl w:val="2"/>
          <w:numId w:val="16"/>
        </w:numPr>
        <w:tabs>
          <w:tab w:pos="2721" w:val="left" w:leader="none"/>
          <w:tab w:pos="2722" w:val="left" w:leader="none"/>
        </w:tabs>
        <w:spacing w:line="240" w:lineRule="auto" w:before="124" w:after="0"/>
        <w:ind w:left="2721" w:right="0" w:hanging="341"/>
        <w:jc w:val="left"/>
        <w:rPr>
          <w:sz w:val="21"/>
        </w:rPr>
      </w:pPr>
      <w:r>
        <w:rPr>
          <w:spacing w:val="-3"/>
          <w:sz w:val="21"/>
        </w:rPr>
        <w:t>for </w:t>
      </w:r>
      <w:r>
        <w:rPr>
          <w:sz w:val="21"/>
        </w:rPr>
        <w:t>fire</w:t>
      </w:r>
      <w:r>
        <w:rPr>
          <w:spacing w:val="19"/>
          <w:sz w:val="21"/>
        </w:rPr>
        <w:t> </w:t>
      </w:r>
      <w:r>
        <w:rPr>
          <w:spacing w:val="-3"/>
          <w:sz w:val="21"/>
        </w:rPr>
        <w:t>prevention</w:t>
      </w:r>
    </w:p>
    <w:p>
      <w:pPr>
        <w:pStyle w:val="ListParagraph"/>
        <w:numPr>
          <w:ilvl w:val="2"/>
          <w:numId w:val="16"/>
        </w:numPr>
        <w:tabs>
          <w:tab w:pos="2721" w:val="left" w:leader="none"/>
          <w:tab w:pos="2722" w:val="left" w:leader="none"/>
        </w:tabs>
        <w:spacing w:line="240" w:lineRule="auto" w:before="88" w:after="0"/>
        <w:ind w:left="2721" w:right="0" w:hanging="341"/>
        <w:jc w:val="left"/>
        <w:rPr>
          <w:sz w:val="21"/>
        </w:rPr>
      </w:pPr>
      <w:r>
        <w:rPr>
          <w:spacing w:val="-3"/>
          <w:sz w:val="21"/>
        </w:rPr>
        <w:t>to minimise interference </w:t>
      </w:r>
      <w:r>
        <w:rPr>
          <w:sz w:val="21"/>
        </w:rPr>
        <w:t>with</w:t>
      </w:r>
      <w:r>
        <w:rPr>
          <w:spacing w:val="44"/>
          <w:sz w:val="21"/>
        </w:rPr>
        <w:t> </w:t>
      </w:r>
      <w:r>
        <w:rPr>
          <w:spacing w:val="-3"/>
          <w:sz w:val="21"/>
        </w:rPr>
        <w:t>powerlines</w:t>
      </w:r>
    </w:p>
    <w:p>
      <w:pPr>
        <w:pStyle w:val="ListParagraph"/>
        <w:numPr>
          <w:ilvl w:val="2"/>
          <w:numId w:val="16"/>
        </w:numPr>
        <w:tabs>
          <w:tab w:pos="2721" w:val="left" w:leader="none"/>
          <w:tab w:pos="2722" w:val="left" w:leader="none"/>
        </w:tabs>
        <w:spacing w:line="240" w:lineRule="auto" w:before="89" w:after="0"/>
        <w:ind w:left="2721" w:right="0" w:hanging="341"/>
        <w:jc w:val="left"/>
        <w:rPr>
          <w:sz w:val="21"/>
        </w:rPr>
      </w:pPr>
      <w:r>
        <w:rPr>
          <w:spacing w:val="-3"/>
          <w:w w:val="105"/>
          <w:sz w:val="21"/>
        </w:rPr>
        <w:t>to </w:t>
      </w:r>
      <w:r>
        <w:rPr>
          <w:w w:val="105"/>
          <w:sz w:val="21"/>
        </w:rPr>
        <w:t>protect </w:t>
      </w:r>
      <w:r>
        <w:rPr>
          <w:spacing w:val="-3"/>
          <w:w w:val="105"/>
          <w:sz w:val="21"/>
        </w:rPr>
        <w:t>public health </w:t>
      </w:r>
      <w:r>
        <w:rPr>
          <w:w w:val="105"/>
          <w:sz w:val="21"/>
        </w:rPr>
        <w:t>and</w:t>
      </w:r>
      <w:r>
        <w:rPr>
          <w:spacing w:val="35"/>
          <w:w w:val="105"/>
          <w:sz w:val="21"/>
        </w:rPr>
        <w:t> </w:t>
      </w:r>
      <w:r>
        <w:rPr>
          <w:spacing w:val="-3"/>
          <w:w w:val="105"/>
          <w:sz w:val="21"/>
        </w:rPr>
        <w:t>wellbeing</w:t>
      </w:r>
    </w:p>
    <w:p>
      <w:pPr>
        <w:pStyle w:val="ListParagraph"/>
        <w:numPr>
          <w:ilvl w:val="2"/>
          <w:numId w:val="16"/>
        </w:numPr>
        <w:tabs>
          <w:tab w:pos="2721" w:val="left" w:leader="none"/>
          <w:tab w:pos="2722" w:val="left" w:leader="none"/>
        </w:tabs>
        <w:spacing w:line="240" w:lineRule="auto" w:before="89" w:after="0"/>
        <w:ind w:left="2721" w:right="0" w:hanging="341"/>
        <w:jc w:val="left"/>
        <w:rPr>
          <w:sz w:val="21"/>
        </w:rPr>
      </w:pPr>
      <w:r>
        <w:rPr>
          <w:spacing w:val="-3"/>
          <w:w w:val="105"/>
          <w:sz w:val="21"/>
        </w:rPr>
        <w:t>for </w:t>
      </w:r>
      <w:r>
        <w:rPr>
          <w:w w:val="105"/>
          <w:sz w:val="21"/>
        </w:rPr>
        <w:t>conservation</w:t>
      </w:r>
      <w:r>
        <w:rPr>
          <w:spacing w:val="12"/>
          <w:w w:val="105"/>
          <w:sz w:val="21"/>
        </w:rPr>
        <w:t> </w:t>
      </w:r>
      <w:r>
        <w:rPr>
          <w:w w:val="105"/>
          <w:sz w:val="21"/>
        </w:rPr>
        <w:t>purposes.</w:t>
      </w:r>
    </w:p>
    <w:p>
      <w:pPr>
        <w:pStyle w:val="ListParagraph"/>
        <w:numPr>
          <w:ilvl w:val="1"/>
          <w:numId w:val="16"/>
        </w:numPr>
        <w:tabs>
          <w:tab w:pos="2380" w:val="left" w:leader="none"/>
          <w:tab w:pos="2381" w:val="left" w:leader="none"/>
        </w:tabs>
        <w:spacing w:line="242" w:lineRule="auto" w:before="88" w:after="0"/>
        <w:ind w:left="2381" w:right="1585" w:hanging="794"/>
        <w:jc w:val="left"/>
        <w:rPr>
          <w:sz w:val="21"/>
        </w:rPr>
      </w:pPr>
      <w:r>
        <w:rPr>
          <w:w w:val="105"/>
          <w:sz w:val="21"/>
        </w:rPr>
        <w:t>The Acts discussed below </w:t>
      </w:r>
      <w:r>
        <w:rPr>
          <w:spacing w:val="-3"/>
          <w:w w:val="105"/>
          <w:sz w:val="21"/>
        </w:rPr>
        <w:t>are </w:t>
      </w:r>
      <w:r>
        <w:rPr>
          <w:spacing w:val="-4"/>
          <w:w w:val="105"/>
          <w:sz w:val="21"/>
        </w:rPr>
        <w:t>unlikely </w:t>
      </w:r>
      <w:r>
        <w:rPr>
          <w:spacing w:val="-3"/>
          <w:w w:val="105"/>
          <w:sz w:val="21"/>
        </w:rPr>
        <w:t>to </w:t>
      </w:r>
      <w:r>
        <w:rPr>
          <w:w w:val="105"/>
          <w:sz w:val="21"/>
        </w:rPr>
        <w:t>affect the operation of the new Act recommended</w:t>
      </w:r>
      <w:r>
        <w:rPr>
          <w:spacing w:val="-10"/>
          <w:w w:val="105"/>
          <w:sz w:val="21"/>
        </w:rPr>
        <w:t> </w:t>
      </w:r>
      <w:r>
        <w:rPr>
          <w:w w:val="105"/>
          <w:sz w:val="21"/>
        </w:rPr>
        <w:t>in</w:t>
      </w:r>
      <w:r>
        <w:rPr>
          <w:spacing w:val="-9"/>
          <w:w w:val="105"/>
          <w:sz w:val="21"/>
        </w:rPr>
        <w:t> </w:t>
      </w:r>
      <w:r>
        <w:rPr>
          <w:w w:val="105"/>
          <w:sz w:val="21"/>
        </w:rPr>
        <w:t>this</w:t>
      </w:r>
      <w:r>
        <w:rPr>
          <w:spacing w:val="-9"/>
          <w:w w:val="105"/>
          <w:sz w:val="21"/>
        </w:rPr>
        <w:t> </w:t>
      </w:r>
      <w:r>
        <w:rPr>
          <w:w w:val="105"/>
          <w:sz w:val="21"/>
        </w:rPr>
        <w:t>report.</w:t>
      </w:r>
      <w:r>
        <w:rPr>
          <w:spacing w:val="-9"/>
          <w:w w:val="105"/>
          <w:sz w:val="21"/>
        </w:rPr>
        <w:t> </w:t>
      </w:r>
      <w:r>
        <w:rPr>
          <w:spacing w:val="-4"/>
          <w:w w:val="105"/>
          <w:sz w:val="21"/>
        </w:rPr>
        <w:t>Rather,</w:t>
      </w:r>
      <w:r>
        <w:rPr>
          <w:spacing w:val="-9"/>
          <w:w w:val="105"/>
          <w:sz w:val="21"/>
        </w:rPr>
        <w:t> </w:t>
      </w:r>
      <w:r>
        <w:rPr>
          <w:w w:val="105"/>
          <w:sz w:val="21"/>
        </w:rPr>
        <w:t>the</w:t>
      </w:r>
      <w:r>
        <w:rPr>
          <w:spacing w:val="-9"/>
          <w:w w:val="105"/>
          <w:sz w:val="21"/>
        </w:rPr>
        <w:t> </w:t>
      </w:r>
      <w:r>
        <w:rPr>
          <w:spacing w:val="-3"/>
          <w:w w:val="105"/>
          <w:sz w:val="21"/>
        </w:rPr>
        <w:t>Commission</w:t>
      </w:r>
      <w:r>
        <w:rPr>
          <w:spacing w:val="-9"/>
          <w:w w:val="105"/>
          <w:sz w:val="21"/>
        </w:rPr>
        <w:t> </w:t>
      </w:r>
      <w:r>
        <w:rPr>
          <w:w w:val="105"/>
          <w:sz w:val="21"/>
        </w:rPr>
        <w:t>considers</w:t>
      </w:r>
      <w:r>
        <w:rPr>
          <w:spacing w:val="-9"/>
          <w:w w:val="105"/>
          <w:sz w:val="21"/>
        </w:rPr>
        <w:t> </w:t>
      </w:r>
      <w:r>
        <w:rPr>
          <w:spacing w:val="-3"/>
          <w:w w:val="105"/>
          <w:sz w:val="21"/>
        </w:rPr>
        <w:t>that</w:t>
      </w:r>
      <w:r>
        <w:rPr>
          <w:spacing w:val="-9"/>
          <w:w w:val="105"/>
          <w:sz w:val="21"/>
        </w:rPr>
        <w:t> </w:t>
      </w:r>
      <w:r>
        <w:rPr>
          <w:w w:val="105"/>
          <w:sz w:val="21"/>
        </w:rPr>
        <w:t>the</w:t>
      </w:r>
      <w:r>
        <w:rPr>
          <w:spacing w:val="-9"/>
          <w:w w:val="105"/>
          <w:sz w:val="21"/>
        </w:rPr>
        <w:t> </w:t>
      </w:r>
      <w:r>
        <w:rPr>
          <w:spacing w:val="-3"/>
          <w:w w:val="105"/>
          <w:sz w:val="21"/>
        </w:rPr>
        <w:t>obligations</w:t>
      </w:r>
      <w:r>
        <w:rPr>
          <w:spacing w:val="-9"/>
          <w:w w:val="105"/>
          <w:sz w:val="21"/>
        </w:rPr>
        <w:t> </w:t>
      </w:r>
      <w:r>
        <w:rPr>
          <w:spacing w:val="-2"/>
          <w:w w:val="105"/>
          <w:sz w:val="21"/>
        </w:rPr>
        <w:t>placed </w:t>
      </w:r>
      <w:r>
        <w:rPr>
          <w:w w:val="105"/>
          <w:sz w:val="21"/>
        </w:rPr>
        <w:t>on landowners under these Acts </w:t>
      </w:r>
      <w:r>
        <w:rPr>
          <w:spacing w:val="-3"/>
          <w:w w:val="105"/>
          <w:sz w:val="21"/>
        </w:rPr>
        <w:t>are </w:t>
      </w:r>
      <w:r>
        <w:rPr>
          <w:spacing w:val="-4"/>
          <w:w w:val="105"/>
          <w:sz w:val="21"/>
        </w:rPr>
        <w:t>likely </w:t>
      </w:r>
      <w:r>
        <w:rPr>
          <w:spacing w:val="-3"/>
          <w:w w:val="105"/>
          <w:sz w:val="21"/>
        </w:rPr>
        <w:t>to complement </w:t>
      </w:r>
      <w:r>
        <w:rPr>
          <w:w w:val="105"/>
          <w:sz w:val="21"/>
        </w:rPr>
        <w:t>the new</w:t>
      </w:r>
      <w:r>
        <w:rPr>
          <w:spacing w:val="47"/>
          <w:w w:val="105"/>
          <w:sz w:val="21"/>
        </w:rPr>
        <w:t> </w:t>
      </w:r>
      <w:r>
        <w:rPr>
          <w:w w:val="105"/>
          <w:sz w:val="21"/>
        </w:rPr>
        <w:t>Act.</w:t>
      </w:r>
    </w:p>
    <w:p>
      <w:pPr>
        <w:pStyle w:val="BodyText"/>
        <w:spacing w:before="4"/>
        <w:rPr>
          <w:sz w:val="20"/>
        </w:rPr>
      </w:pPr>
    </w:p>
    <w:p>
      <w:pPr>
        <w:pStyle w:val="Heading5"/>
      </w:pPr>
      <w:r>
        <w:rPr>
          <w:w w:val="115"/>
        </w:rPr>
        <w:t>Country Fire Authority Act</w:t>
      </w:r>
    </w:p>
    <w:p>
      <w:pPr>
        <w:pStyle w:val="ListParagraph"/>
        <w:numPr>
          <w:ilvl w:val="1"/>
          <w:numId w:val="16"/>
        </w:numPr>
        <w:tabs>
          <w:tab w:pos="2381" w:val="left" w:leader="none"/>
          <w:tab w:pos="2382" w:val="left" w:leader="none"/>
        </w:tabs>
        <w:spacing w:line="242" w:lineRule="auto" w:before="138" w:after="0"/>
        <w:ind w:left="2381" w:right="2119" w:hanging="794"/>
        <w:jc w:val="left"/>
        <w:rPr>
          <w:sz w:val="21"/>
        </w:rPr>
      </w:pPr>
      <w:r>
        <w:rPr>
          <w:w w:val="105"/>
          <w:sz w:val="21"/>
        </w:rPr>
        <w:t>This Act enables </w:t>
      </w:r>
      <w:r>
        <w:rPr>
          <w:spacing w:val="-3"/>
          <w:w w:val="105"/>
          <w:sz w:val="21"/>
        </w:rPr>
        <w:t>council Fire Prevention </w:t>
      </w:r>
      <w:r>
        <w:rPr>
          <w:w w:val="105"/>
          <w:sz w:val="21"/>
        </w:rPr>
        <w:t>Officers </w:t>
      </w:r>
      <w:r>
        <w:rPr>
          <w:spacing w:val="-3"/>
          <w:w w:val="105"/>
          <w:sz w:val="21"/>
        </w:rPr>
        <w:t>to </w:t>
      </w:r>
      <w:r>
        <w:rPr>
          <w:w w:val="105"/>
          <w:sz w:val="21"/>
        </w:rPr>
        <w:t>issue a </w:t>
      </w:r>
      <w:r>
        <w:rPr>
          <w:spacing w:val="-3"/>
          <w:w w:val="105"/>
          <w:sz w:val="21"/>
        </w:rPr>
        <w:t>Fire Prevention </w:t>
      </w:r>
      <w:r>
        <w:rPr>
          <w:w w:val="105"/>
          <w:sz w:val="21"/>
        </w:rPr>
        <w:t>Notice </w:t>
      </w:r>
      <w:r>
        <w:rPr>
          <w:spacing w:val="-3"/>
          <w:w w:val="105"/>
          <w:sz w:val="21"/>
        </w:rPr>
        <w:t>to </w:t>
      </w:r>
      <w:r>
        <w:rPr>
          <w:w w:val="105"/>
          <w:sz w:val="21"/>
        </w:rPr>
        <w:t>a</w:t>
      </w:r>
      <w:r>
        <w:rPr>
          <w:spacing w:val="-6"/>
          <w:w w:val="105"/>
          <w:sz w:val="21"/>
        </w:rPr>
        <w:t> </w:t>
      </w:r>
      <w:r>
        <w:rPr>
          <w:w w:val="105"/>
          <w:sz w:val="21"/>
        </w:rPr>
        <w:t>landowner</w:t>
      </w:r>
      <w:r>
        <w:rPr>
          <w:spacing w:val="-5"/>
          <w:w w:val="105"/>
          <w:sz w:val="21"/>
        </w:rPr>
        <w:t> </w:t>
      </w:r>
      <w:r>
        <w:rPr>
          <w:spacing w:val="-3"/>
          <w:w w:val="105"/>
          <w:sz w:val="21"/>
        </w:rPr>
        <w:t>requiring</w:t>
      </w:r>
      <w:r>
        <w:rPr>
          <w:spacing w:val="-5"/>
          <w:w w:val="105"/>
          <w:sz w:val="21"/>
        </w:rPr>
        <w:t> </w:t>
      </w:r>
      <w:r>
        <w:rPr>
          <w:w w:val="105"/>
          <w:sz w:val="21"/>
        </w:rPr>
        <w:t>the</w:t>
      </w:r>
      <w:r>
        <w:rPr>
          <w:spacing w:val="-5"/>
          <w:w w:val="105"/>
          <w:sz w:val="21"/>
        </w:rPr>
        <w:t> </w:t>
      </w:r>
      <w:r>
        <w:rPr>
          <w:spacing w:val="-3"/>
          <w:w w:val="105"/>
          <w:sz w:val="21"/>
        </w:rPr>
        <w:t>removal</w:t>
      </w:r>
      <w:r>
        <w:rPr>
          <w:spacing w:val="-5"/>
          <w:w w:val="105"/>
          <w:sz w:val="21"/>
        </w:rPr>
        <w:t> </w:t>
      </w:r>
      <w:r>
        <w:rPr>
          <w:w w:val="105"/>
          <w:sz w:val="21"/>
        </w:rPr>
        <w:t>of</w:t>
      </w:r>
      <w:r>
        <w:rPr>
          <w:spacing w:val="-5"/>
          <w:w w:val="105"/>
          <w:sz w:val="21"/>
        </w:rPr>
        <w:t> </w:t>
      </w:r>
      <w:r>
        <w:rPr>
          <w:w w:val="105"/>
          <w:sz w:val="21"/>
        </w:rPr>
        <w:t>vegetation</w:t>
      </w:r>
      <w:r>
        <w:rPr>
          <w:spacing w:val="-5"/>
          <w:w w:val="105"/>
          <w:sz w:val="21"/>
        </w:rPr>
        <w:t> </w:t>
      </w:r>
      <w:r>
        <w:rPr>
          <w:w w:val="105"/>
          <w:sz w:val="21"/>
        </w:rPr>
        <w:t>fuel</w:t>
      </w:r>
      <w:r>
        <w:rPr>
          <w:spacing w:val="-5"/>
          <w:w w:val="105"/>
          <w:sz w:val="21"/>
        </w:rPr>
        <w:t> </w:t>
      </w:r>
      <w:r>
        <w:rPr>
          <w:spacing w:val="-3"/>
          <w:w w:val="105"/>
          <w:sz w:val="21"/>
        </w:rPr>
        <w:t>hazards</w:t>
      </w:r>
      <w:r>
        <w:rPr>
          <w:spacing w:val="-5"/>
          <w:w w:val="105"/>
          <w:sz w:val="21"/>
        </w:rPr>
        <w:t> </w:t>
      </w:r>
      <w:r>
        <w:rPr>
          <w:w w:val="105"/>
          <w:sz w:val="21"/>
        </w:rPr>
        <w:t>in</w:t>
      </w:r>
      <w:r>
        <w:rPr>
          <w:spacing w:val="-5"/>
          <w:w w:val="105"/>
          <w:sz w:val="21"/>
        </w:rPr>
        <w:t> </w:t>
      </w:r>
      <w:r>
        <w:rPr>
          <w:w w:val="105"/>
          <w:sz w:val="21"/>
        </w:rPr>
        <w:t>the</w:t>
      </w:r>
      <w:r>
        <w:rPr>
          <w:spacing w:val="-5"/>
          <w:w w:val="105"/>
          <w:sz w:val="21"/>
        </w:rPr>
        <w:t> </w:t>
      </w:r>
      <w:r>
        <w:rPr>
          <w:spacing w:val="-3"/>
          <w:w w:val="105"/>
          <w:sz w:val="21"/>
        </w:rPr>
        <w:t>‘country</w:t>
      </w:r>
      <w:r>
        <w:rPr>
          <w:spacing w:val="-5"/>
          <w:w w:val="105"/>
          <w:sz w:val="21"/>
        </w:rPr>
        <w:t> </w:t>
      </w:r>
      <w:r>
        <w:rPr>
          <w:spacing w:val="-3"/>
          <w:w w:val="105"/>
          <w:sz w:val="21"/>
        </w:rPr>
        <w:t>area</w:t>
      </w:r>
      <w:r>
        <w:rPr>
          <w:spacing w:val="-5"/>
          <w:w w:val="105"/>
          <w:sz w:val="21"/>
        </w:rPr>
        <w:t> </w:t>
      </w:r>
      <w:r>
        <w:rPr>
          <w:w w:val="105"/>
          <w:sz w:val="21"/>
        </w:rPr>
        <w:t>of</w:t>
      </w:r>
    </w:p>
    <w:p>
      <w:pPr>
        <w:pStyle w:val="BodyText"/>
        <w:spacing w:line="242" w:lineRule="auto" w:before="2"/>
        <w:ind w:left="2381" w:right="1810"/>
        <w:rPr>
          <w:sz w:val="12"/>
        </w:rPr>
      </w:pPr>
      <w:r>
        <w:rPr>
          <w:spacing w:val="-5"/>
        </w:rPr>
        <w:t>Victoria’.</w:t>
      </w:r>
      <w:r>
        <w:rPr>
          <w:spacing w:val="-5"/>
          <w:position w:val="7"/>
          <w:sz w:val="12"/>
        </w:rPr>
        <w:t>157   </w:t>
      </w:r>
      <w:r>
        <w:rPr/>
        <w:t>These </w:t>
      </w:r>
      <w:r>
        <w:rPr>
          <w:spacing w:val="-3"/>
        </w:rPr>
        <w:t>notices  may  </w:t>
      </w:r>
      <w:r>
        <w:rPr/>
        <w:t>be issued if the officer </w:t>
      </w:r>
      <w:r>
        <w:rPr>
          <w:spacing w:val="-3"/>
        </w:rPr>
        <w:t>forms</w:t>
      </w:r>
      <w:r>
        <w:rPr>
          <w:spacing w:val="41"/>
        </w:rPr>
        <w:t> </w:t>
      </w:r>
      <w:r>
        <w:rPr/>
        <w:t>the view </w:t>
      </w:r>
      <w:r>
        <w:rPr>
          <w:spacing w:val="-3"/>
        </w:rPr>
        <w:t>that  </w:t>
      </w:r>
      <w:r>
        <w:rPr/>
        <w:t>is it necessary,   or </w:t>
      </w:r>
      <w:r>
        <w:rPr>
          <w:spacing w:val="-3"/>
        </w:rPr>
        <w:t>may </w:t>
      </w:r>
      <w:r>
        <w:rPr/>
        <w:t>become necessary, </w:t>
      </w:r>
      <w:r>
        <w:rPr>
          <w:spacing w:val="-3"/>
        </w:rPr>
        <w:t>to remove </w:t>
      </w:r>
      <w:r>
        <w:rPr/>
        <w:t>vegetation </w:t>
      </w:r>
      <w:r>
        <w:rPr>
          <w:spacing w:val="-3"/>
        </w:rPr>
        <w:t>to </w:t>
      </w:r>
      <w:r>
        <w:rPr/>
        <w:t>protect  </w:t>
      </w:r>
      <w:r>
        <w:rPr>
          <w:spacing w:val="-3"/>
        </w:rPr>
        <w:t>life  </w:t>
      </w:r>
      <w:r>
        <w:rPr/>
        <w:t>or  property  </w:t>
      </w:r>
      <w:r>
        <w:rPr>
          <w:spacing w:val="-3"/>
        </w:rPr>
        <w:t>from  </w:t>
      </w:r>
      <w:r>
        <w:rPr/>
        <w:t>the </w:t>
      </w:r>
      <w:r>
        <w:rPr>
          <w:spacing w:val="-3"/>
        </w:rPr>
        <w:t>threat </w:t>
      </w:r>
      <w:r>
        <w:rPr/>
        <w:t>of </w:t>
      </w:r>
      <w:r>
        <w:rPr>
          <w:spacing w:val="-5"/>
        </w:rPr>
        <w:t>fire.</w:t>
      </w:r>
      <w:r>
        <w:rPr>
          <w:spacing w:val="-5"/>
          <w:position w:val="7"/>
          <w:sz w:val="12"/>
        </w:rPr>
        <w:t>158 </w:t>
      </w:r>
      <w:r>
        <w:rPr/>
        <w:t>It is an </w:t>
      </w:r>
      <w:r>
        <w:rPr>
          <w:spacing w:val="-3"/>
        </w:rPr>
        <w:t>offence  for  </w:t>
      </w:r>
      <w:r>
        <w:rPr/>
        <w:t>a person </w:t>
      </w:r>
      <w:r>
        <w:rPr>
          <w:spacing w:val="-3"/>
        </w:rPr>
        <w:t>to</w:t>
      </w:r>
      <w:r>
        <w:rPr>
          <w:spacing w:val="41"/>
        </w:rPr>
        <w:t> </w:t>
      </w:r>
      <w:r>
        <w:rPr>
          <w:spacing w:val="-4"/>
        </w:rPr>
        <w:t>fail  </w:t>
      </w:r>
      <w:r>
        <w:rPr>
          <w:spacing w:val="-3"/>
        </w:rPr>
        <w:t>to  </w:t>
      </w:r>
      <w:r>
        <w:rPr/>
        <w:t>comply with a </w:t>
      </w:r>
      <w:r>
        <w:rPr>
          <w:spacing w:val="-3"/>
        </w:rPr>
        <w:t>Fire  Prevention </w:t>
      </w:r>
      <w:r>
        <w:rPr>
          <w:spacing w:val="-5"/>
        </w:rPr>
        <w:t>Notice.</w:t>
      </w:r>
      <w:r>
        <w:rPr>
          <w:spacing w:val="-5"/>
          <w:position w:val="7"/>
          <w:sz w:val="12"/>
        </w:rPr>
        <w:t>159  </w:t>
      </w:r>
      <w:r>
        <w:rPr>
          <w:spacing w:val="-4"/>
        </w:rPr>
        <w:t>Councils  </w:t>
      </w:r>
      <w:r>
        <w:rPr>
          <w:spacing w:val="-3"/>
        </w:rPr>
        <w:t>may enter private lands to remove </w:t>
      </w:r>
      <w:r>
        <w:rPr/>
        <w:t>fire </w:t>
      </w:r>
      <w:r>
        <w:rPr>
          <w:spacing w:val="-3"/>
        </w:rPr>
        <w:t>hazards </w:t>
      </w:r>
      <w:r>
        <w:rPr/>
        <w:t>if fire </w:t>
      </w:r>
      <w:r>
        <w:rPr>
          <w:spacing w:val="-3"/>
        </w:rPr>
        <w:t>prevention notices   are </w:t>
      </w:r>
      <w:r>
        <w:rPr>
          <w:spacing w:val="-2"/>
        </w:rPr>
        <w:t>not </w:t>
      </w:r>
      <w:r>
        <w:rPr>
          <w:spacing w:val="-3"/>
        </w:rPr>
        <w:t>complied</w:t>
      </w:r>
      <w:r>
        <w:rPr>
          <w:spacing w:val="31"/>
        </w:rPr>
        <w:t> </w:t>
      </w:r>
      <w:r>
        <w:rPr>
          <w:spacing w:val="-4"/>
        </w:rPr>
        <w:t>with.</w:t>
      </w:r>
      <w:r>
        <w:rPr>
          <w:spacing w:val="-4"/>
          <w:position w:val="7"/>
          <w:sz w:val="12"/>
        </w:rPr>
        <w:t>160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r>
        <w:rPr/>
        <w:pict>
          <v:line style="position:absolute;mso-position-horizontal-relative:page;mso-position-vertical-relative:paragraph;z-index:9728;mso-wrap-distance-left:0;mso-wrap-distance-right:0" from="79.370003pt,15.997815pt" to="515.905003pt,15.99781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5"/>
        </w:rPr>
      </w:pPr>
    </w:p>
    <w:p>
      <w:pPr>
        <w:spacing w:before="0"/>
        <w:ind w:left="720" w:right="0" w:firstLine="0"/>
        <w:jc w:val="left"/>
        <w:rPr>
          <w:b/>
          <w:sz w:val="24"/>
        </w:rPr>
      </w:pPr>
      <w:r>
        <w:rPr>
          <w:b/>
          <w:color w:val="658464"/>
          <w:w w:val="105"/>
          <w:sz w:val="24"/>
        </w:rPr>
        <w:t>232</w:t>
      </w:r>
    </w:p>
    <w:p>
      <w:pPr>
        <w:pStyle w:val="ListParagraph"/>
        <w:numPr>
          <w:ilvl w:val="0"/>
          <w:numId w:val="168"/>
        </w:numPr>
        <w:tabs>
          <w:tab w:pos="1223" w:val="left" w:leader="none"/>
          <w:tab w:pos="1224" w:val="left" w:leader="none"/>
        </w:tabs>
        <w:spacing w:line="240" w:lineRule="auto" w:before="48" w:after="0"/>
        <w:ind w:left="1223" w:right="2163" w:hanging="794"/>
        <w:jc w:val="left"/>
        <w:rPr>
          <w:sz w:val="13"/>
        </w:rPr>
      </w:pPr>
      <w:r>
        <w:rPr>
          <w:spacing w:val="3"/>
          <w:w w:val="102"/>
          <w:sz w:val="13"/>
        </w:rPr>
        <w:br w:type="column"/>
      </w:r>
      <w:r>
        <w:rPr>
          <w:w w:val="105"/>
          <w:sz w:val="13"/>
        </w:rPr>
        <w:t>This includes ‘Vegetation that is a noxious weed subject of a declaration under the </w:t>
      </w:r>
      <w:r>
        <w:rPr>
          <w:i/>
          <w:w w:val="105"/>
          <w:sz w:val="13"/>
        </w:rPr>
        <w:t>Catchment and Land Protection Act 1994. </w:t>
      </w:r>
      <w:r>
        <w:rPr>
          <w:w w:val="105"/>
          <w:sz w:val="13"/>
        </w:rPr>
        <w:t>This exemption does not apply to Australian Dodder (Cuscuta</w:t>
      </w:r>
      <w:r>
        <w:rPr>
          <w:spacing w:val="6"/>
          <w:w w:val="105"/>
          <w:sz w:val="13"/>
        </w:rPr>
        <w:t> </w:t>
      </w:r>
      <w:r>
        <w:rPr>
          <w:w w:val="105"/>
          <w:sz w:val="13"/>
        </w:rPr>
        <w:t>australis).</w:t>
      </w:r>
    </w:p>
    <w:p>
      <w:pPr>
        <w:pStyle w:val="ListParagraph"/>
        <w:numPr>
          <w:ilvl w:val="0"/>
          <w:numId w:val="168"/>
        </w:numPr>
        <w:tabs>
          <w:tab w:pos="1223" w:val="left" w:leader="none"/>
          <w:tab w:pos="1224" w:val="left" w:leader="none"/>
        </w:tabs>
        <w:spacing w:line="240" w:lineRule="auto" w:before="3" w:after="0"/>
        <w:ind w:left="1223" w:right="1747" w:hanging="794"/>
        <w:jc w:val="left"/>
        <w:rPr>
          <w:sz w:val="13"/>
        </w:rPr>
      </w:pPr>
      <w:r>
        <w:rPr>
          <w:sz w:val="13"/>
        </w:rPr>
        <w:t>Agriculture Victoria, </w:t>
      </w:r>
      <w:r>
        <w:rPr>
          <w:i/>
          <w:sz w:val="13"/>
        </w:rPr>
        <w:t>Invasive Plant Classifications </w:t>
      </w:r>
      <w:r>
        <w:rPr>
          <w:sz w:val="13"/>
        </w:rPr>
        <w:t>(Web Page, 5 December 2018) &lt;</w:t>
      </w:r>
      <w:hyperlink r:id="rId273">
        <w:r>
          <w:rPr>
            <w:sz w:val="13"/>
          </w:rPr>
          <w:t>http://agriculture.vic.gov.au/agriculture/pests-diseases-</w:t>
        </w:r>
      </w:hyperlink>
      <w:r>
        <w:rPr>
          <w:sz w:val="13"/>
        </w:rPr>
        <w:t> and-weeds/weeds/invasive-plant-classifications&gt;.</w:t>
      </w:r>
    </w:p>
    <w:p>
      <w:pPr>
        <w:pStyle w:val="ListParagraph"/>
        <w:numPr>
          <w:ilvl w:val="0"/>
          <w:numId w:val="168"/>
        </w:numPr>
        <w:tabs>
          <w:tab w:pos="1223" w:val="left" w:leader="none"/>
          <w:tab w:pos="1224" w:val="left" w:leader="none"/>
        </w:tabs>
        <w:spacing w:line="240" w:lineRule="auto" w:before="2" w:after="0"/>
        <w:ind w:left="1223" w:right="0" w:hanging="794"/>
        <w:jc w:val="left"/>
        <w:rPr>
          <w:sz w:val="13"/>
        </w:rPr>
      </w:pPr>
      <w:r>
        <w:rPr>
          <w:i/>
          <w:w w:val="105"/>
          <w:sz w:val="13"/>
        </w:rPr>
        <w:t>Catchment and Land Protection Act 1994 </w:t>
      </w:r>
      <w:r>
        <w:rPr>
          <w:spacing w:val="2"/>
          <w:w w:val="105"/>
          <w:sz w:val="13"/>
        </w:rPr>
        <w:t>(Vic) </w:t>
      </w:r>
      <w:r>
        <w:rPr>
          <w:w w:val="105"/>
          <w:sz w:val="13"/>
        </w:rPr>
        <w:t>s</w:t>
      </w:r>
      <w:r>
        <w:rPr>
          <w:spacing w:val="5"/>
          <w:w w:val="105"/>
          <w:sz w:val="13"/>
        </w:rPr>
        <w:t> </w:t>
      </w:r>
      <w:r>
        <w:rPr>
          <w:w w:val="105"/>
          <w:sz w:val="13"/>
        </w:rPr>
        <w:t>70(1).</w:t>
      </w:r>
    </w:p>
    <w:p>
      <w:pPr>
        <w:pStyle w:val="ListParagraph"/>
        <w:numPr>
          <w:ilvl w:val="0"/>
          <w:numId w:val="168"/>
        </w:numPr>
        <w:tabs>
          <w:tab w:pos="1223" w:val="left" w:leader="none"/>
          <w:tab w:pos="1224" w:val="left" w:leader="none"/>
        </w:tabs>
        <w:spacing w:line="240" w:lineRule="auto" w:before="2" w:after="0"/>
        <w:ind w:left="1223" w:right="0" w:hanging="794"/>
        <w:jc w:val="left"/>
        <w:rPr>
          <w:sz w:val="13"/>
        </w:rPr>
      </w:pPr>
      <w:r>
        <w:rPr>
          <w:sz w:val="13"/>
        </w:rPr>
        <w:t>Regionally</w:t>
      </w:r>
      <w:r>
        <w:rPr>
          <w:spacing w:val="8"/>
          <w:sz w:val="13"/>
        </w:rPr>
        <w:t> </w:t>
      </w:r>
      <w:r>
        <w:rPr>
          <w:sz w:val="13"/>
        </w:rPr>
        <w:t>prohibited</w:t>
      </w:r>
      <w:r>
        <w:rPr>
          <w:spacing w:val="8"/>
          <w:sz w:val="13"/>
        </w:rPr>
        <w:t> </w:t>
      </w:r>
      <w:r>
        <w:rPr>
          <w:sz w:val="13"/>
        </w:rPr>
        <w:t>weeds</w:t>
      </w:r>
      <w:r>
        <w:rPr>
          <w:spacing w:val="8"/>
          <w:sz w:val="13"/>
        </w:rPr>
        <w:t> </w:t>
      </w:r>
      <w:r>
        <w:rPr>
          <w:sz w:val="13"/>
        </w:rPr>
        <w:t>are</w:t>
      </w:r>
      <w:r>
        <w:rPr>
          <w:spacing w:val="8"/>
          <w:sz w:val="13"/>
        </w:rPr>
        <w:t> </w:t>
      </w:r>
      <w:r>
        <w:rPr>
          <w:sz w:val="13"/>
        </w:rPr>
        <w:t>not</w:t>
      </w:r>
      <w:r>
        <w:rPr>
          <w:spacing w:val="8"/>
          <w:sz w:val="13"/>
        </w:rPr>
        <w:t> </w:t>
      </w:r>
      <w:r>
        <w:rPr>
          <w:sz w:val="13"/>
        </w:rPr>
        <w:t>widely</w:t>
      </w:r>
      <w:r>
        <w:rPr>
          <w:spacing w:val="9"/>
          <w:sz w:val="13"/>
        </w:rPr>
        <w:t> </w:t>
      </w:r>
      <w:r>
        <w:rPr>
          <w:sz w:val="13"/>
        </w:rPr>
        <w:t>distributed</w:t>
      </w:r>
      <w:r>
        <w:rPr>
          <w:spacing w:val="8"/>
          <w:sz w:val="13"/>
        </w:rPr>
        <w:t> </w:t>
      </w:r>
      <w:r>
        <w:rPr>
          <w:sz w:val="13"/>
        </w:rPr>
        <w:t>in</w:t>
      </w:r>
      <w:r>
        <w:rPr>
          <w:spacing w:val="8"/>
          <w:sz w:val="13"/>
        </w:rPr>
        <w:t> </w:t>
      </w:r>
      <w:r>
        <w:rPr>
          <w:sz w:val="13"/>
        </w:rPr>
        <w:t>a</w:t>
      </w:r>
      <w:r>
        <w:rPr>
          <w:spacing w:val="8"/>
          <w:sz w:val="13"/>
        </w:rPr>
        <w:t> </w:t>
      </w:r>
      <w:r>
        <w:rPr>
          <w:sz w:val="13"/>
        </w:rPr>
        <w:t>region</w:t>
      </w:r>
      <w:r>
        <w:rPr>
          <w:spacing w:val="8"/>
          <w:sz w:val="13"/>
        </w:rPr>
        <w:t> </w:t>
      </w:r>
      <w:r>
        <w:rPr>
          <w:sz w:val="13"/>
        </w:rPr>
        <w:t>but</w:t>
      </w:r>
      <w:r>
        <w:rPr>
          <w:spacing w:val="8"/>
          <w:sz w:val="13"/>
        </w:rPr>
        <w:t> </w:t>
      </w:r>
      <w:r>
        <w:rPr>
          <w:sz w:val="13"/>
        </w:rPr>
        <w:t>are</w:t>
      </w:r>
      <w:r>
        <w:rPr>
          <w:spacing w:val="9"/>
          <w:sz w:val="13"/>
        </w:rPr>
        <w:t> </w:t>
      </w:r>
      <w:r>
        <w:rPr>
          <w:sz w:val="13"/>
        </w:rPr>
        <w:t>capable</w:t>
      </w:r>
      <w:r>
        <w:rPr>
          <w:spacing w:val="8"/>
          <w:sz w:val="13"/>
        </w:rPr>
        <w:t> </w:t>
      </w:r>
      <w:r>
        <w:rPr>
          <w:sz w:val="13"/>
        </w:rPr>
        <w:t>of</w:t>
      </w:r>
      <w:r>
        <w:rPr>
          <w:spacing w:val="8"/>
          <w:sz w:val="13"/>
        </w:rPr>
        <w:t> </w:t>
      </w:r>
      <w:r>
        <w:rPr>
          <w:sz w:val="13"/>
        </w:rPr>
        <w:t>spreading</w:t>
      </w:r>
      <w:r>
        <w:rPr>
          <w:spacing w:val="8"/>
          <w:sz w:val="13"/>
        </w:rPr>
        <w:t> </w:t>
      </w:r>
      <w:r>
        <w:rPr>
          <w:sz w:val="13"/>
        </w:rPr>
        <w:t>further.</w:t>
      </w:r>
    </w:p>
    <w:p>
      <w:pPr>
        <w:pStyle w:val="ListParagraph"/>
        <w:numPr>
          <w:ilvl w:val="0"/>
          <w:numId w:val="168"/>
        </w:numPr>
        <w:tabs>
          <w:tab w:pos="1223" w:val="left" w:leader="none"/>
          <w:tab w:pos="1224" w:val="left" w:leader="none"/>
        </w:tabs>
        <w:spacing w:line="240" w:lineRule="auto" w:before="1" w:after="0"/>
        <w:ind w:left="1223" w:right="2017" w:hanging="794"/>
        <w:jc w:val="left"/>
        <w:rPr>
          <w:sz w:val="13"/>
        </w:rPr>
      </w:pPr>
      <w:r>
        <w:rPr>
          <w:sz w:val="13"/>
        </w:rPr>
        <w:t>Ibid. Regionally controlled weeds are invasive plants and are usually widespread in a region. </w:t>
      </w:r>
      <w:r>
        <w:rPr>
          <w:spacing w:val="-3"/>
          <w:sz w:val="13"/>
        </w:rPr>
        <w:t>To </w:t>
      </w:r>
      <w:r>
        <w:rPr>
          <w:sz w:val="13"/>
        </w:rPr>
        <w:t>prevent their spread, ongoing control measures are</w:t>
      </w:r>
      <w:r>
        <w:rPr>
          <w:spacing w:val="12"/>
          <w:sz w:val="13"/>
        </w:rPr>
        <w:t> </w:t>
      </w:r>
      <w:r>
        <w:rPr>
          <w:sz w:val="13"/>
        </w:rPr>
        <w:t>required.</w:t>
      </w:r>
    </w:p>
    <w:p>
      <w:pPr>
        <w:pStyle w:val="ListParagraph"/>
        <w:numPr>
          <w:ilvl w:val="0"/>
          <w:numId w:val="168"/>
        </w:numPr>
        <w:tabs>
          <w:tab w:pos="1223" w:val="left" w:leader="none"/>
          <w:tab w:pos="1224" w:val="left" w:leader="none"/>
        </w:tabs>
        <w:spacing w:line="240" w:lineRule="auto" w:before="3" w:after="0"/>
        <w:ind w:left="1223" w:right="0" w:hanging="793"/>
        <w:jc w:val="left"/>
        <w:rPr>
          <w:sz w:val="13"/>
        </w:rPr>
      </w:pPr>
      <w:r>
        <w:rPr>
          <w:i/>
          <w:w w:val="105"/>
          <w:sz w:val="13"/>
        </w:rPr>
        <w:t>Catchment and Land Protection Act 1994 </w:t>
      </w:r>
      <w:r>
        <w:rPr>
          <w:spacing w:val="2"/>
          <w:w w:val="105"/>
          <w:sz w:val="13"/>
        </w:rPr>
        <w:t>(Vic) </w:t>
      </w:r>
      <w:r>
        <w:rPr>
          <w:w w:val="105"/>
          <w:sz w:val="13"/>
        </w:rPr>
        <w:t>s</w:t>
      </w:r>
      <w:r>
        <w:rPr>
          <w:spacing w:val="5"/>
          <w:w w:val="105"/>
          <w:sz w:val="13"/>
        </w:rPr>
        <w:t> </w:t>
      </w:r>
      <w:r>
        <w:rPr>
          <w:w w:val="105"/>
          <w:sz w:val="13"/>
        </w:rPr>
        <w:t>70C.</w:t>
      </w:r>
    </w:p>
    <w:p>
      <w:pPr>
        <w:pStyle w:val="ListParagraph"/>
        <w:numPr>
          <w:ilvl w:val="0"/>
          <w:numId w:val="168"/>
        </w:numPr>
        <w:tabs>
          <w:tab w:pos="1223" w:val="left" w:leader="none"/>
          <w:tab w:pos="1224" w:val="left" w:leader="none"/>
        </w:tabs>
        <w:spacing w:line="240" w:lineRule="auto" w:before="1" w:after="0"/>
        <w:ind w:left="1223" w:right="1843" w:hanging="793"/>
        <w:jc w:val="left"/>
        <w:rPr>
          <w:sz w:val="13"/>
        </w:rPr>
      </w:pPr>
      <w:r>
        <w:rPr>
          <w:i/>
          <w:sz w:val="13"/>
        </w:rPr>
        <w:t>Country Fire Authority Act 1958 </w:t>
      </w:r>
      <w:r>
        <w:rPr>
          <w:spacing w:val="2"/>
          <w:sz w:val="13"/>
        </w:rPr>
        <w:t>(Vic) </w:t>
      </w:r>
      <w:r>
        <w:rPr>
          <w:sz w:val="13"/>
        </w:rPr>
        <w:t>s </w:t>
      </w:r>
      <w:r>
        <w:rPr>
          <w:spacing w:val="-4"/>
          <w:sz w:val="13"/>
        </w:rPr>
        <w:t>41.  </w:t>
      </w:r>
      <w:r>
        <w:rPr>
          <w:sz w:val="13"/>
        </w:rPr>
        <w:t>The ‘country area of Victoria’ means that part of Victoria which lies outside the metropolitan     district,</w:t>
      </w:r>
      <w:r>
        <w:rPr>
          <w:spacing w:val="7"/>
          <w:sz w:val="13"/>
        </w:rPr>
        <w:t> </w:t>
      </w:r>
      <w:r>
        <w:rPr>
          <w:sz w:val="13"/>
        </w:rPr>
        <w:t>but</w:t>
      </w:r>
      <w:r>
        <w:rPr>
          <w:spacing w:val="8"/>
          <w:sz w:val="13"/>
        </w:rPr>
        <w:t> </w:t>
      </w:r>
      <w:r>
        <w:rPr>
          <w:sz w:val="13"/>
        </w:rPr>
        <w:t>does</w:t>
      </w:r>
      <w:r>
        <w:rPr>
          <w:spacing w:val="8"/>
          <w:sz w:val="13"/>
        </w:rPr>
        <w:t> </w:t>
      </w:r>
      <w:r>
        <w:rPr>
          <w:sz w:val="13"/>
        </w:rPr>
        <w:t>not</w:t>
      </w:r>
      <w:r>
        <w:rPr>
          <w:spacing w:val="8"/>
          <w:sz w:val="13"/>
        </w:rPr>
        <w:t> </w:t>
      </w:r>
      <w:r>
        <w:rPr>
          <w:sz w:val="13"/>
        </w:rPr>
        <w:t>include</w:t>
      </w:r>
      <w:r>
        <w:rPr>
          <w:spacing w:val="8"/>
          <w:sz w:val="13"/>
        </w:rPr>
        <w:t> </w:t>
      </w:r>
      <w:r>
        <w:rPr>
          <w:sz w:val="13"/>
        </w:rPr>
        <w:t>any</w:t>
      </w:r>
      <w:r>
        <w:rPr>
          <w:spacing w:val="8"/>
          <w:sz w:val="13"/>
        </w:rPr>
        <w:t> </w:t>
      </w:r>
      <w:r>
        <w:rPr>
          <w:sz w:val="13"/>
        </w:rPr>
        <w:t>forest,</w:t>
      </w:r>
      <w:r>
        <w:rPr>
          <w:spacing w:val="8"/>
          <w:sz w:val="13"/>
        </w:rPr>
        <w:t> </w:t>
      </w:r>
      <w:r>
        <w:rPr>
          <w:sz w:val="13"/>
        </w:rPr>
        <w:t>national</w:t>
      </w:r>
      <w:r>
        <w:rPr>
          <w:spacing w:val="8"/>
          <w:sz w:val="13"/>
        </w:rPr>
        <w:t> </w:t>
      </w:r>
      <w:r>
        <w:rPr>
          <w:sz w:val="13"/>
        </w:rPr>
        <w:t>park</w:t>
      </w:r>
      <w:r>
        <w:rPr>
          <w:spacing w:val="8"/>
          <w:sz w:val="13"/>
        </w:rPr>
        <w:t> </w:t>
      </w:r>
      <w:r>
        <w:rPr>
          <w:sz w:val="13"/>
        </w:rPr>
        <w:t>or</w:t>
      </w:r>
      <w:r>
        <w:rPr>
          <w:spacing w:val="8"/>
          <w:sz w:val="13"/>
        </w:rPr>
        <w:t> </w:t>
      </w:r>
      <w:r>
        <w:rPr>
          <w:sz w:val="13"/>
        </w:rPr>
        <w:t>protected</w:t>
      </w:r>
      <w:r>
        <w:rPr>
          <w:spacing w:val="8"/>
          <w:sz w:val="13"/>
        </w:rPr>
        <w:t> </w:t>
      </w:r>
      <w:r>
        <w:rPr>
          <w:sz w:val="13"/>
        </w:rPr>
        <w:t>public</w:t>
      </w:r>
      <w:r>
        <w:rPr>
          <w:spacing w:val="8"/>
          <w:sz w:val="13"/>
        </w:rPr>
        <w:t> </w:t>
      </w:r>
      <w:r>
        <w:rPr>
          <w:sz w:val="13"/>
        </w:rPr>
        <w:t>land.</w:t>
      </w:r>
    </w:p>
    <w:p>
      <w:pPr>
        <w:tabs>
          <w:tab w:pos="1223" w:val="left" w:leader="none"/>
        </w:tabs>
        <w:spacing w:before="3"/>
        <w:ind w:left="430" w:right="0" w:firstLine="0"/>
        <w:jc w:val="left"/>
        <w:rPr>
          <w:sz w:val="13"/>
        </w:rPr>
      </w:pPr>
      <w:r>
        <w:rPr>
          <w:sz w:val="13"/>
        </w:rPr>
        <w:t>158</w:t>
        <w:tab/>
        <w:t>Ibid s</w:t>
      </w:r>
      <w:r>
        <w:rPr>
          <w:spacing w:val="12"/>
          <w:sz w:val="13"/>
        </w:rPr>
        <w:t> </w:t>
      </w:r>
      <w:r>
        <w:rPr>
          <w:spacing w:val="2"/>
          <w:sz w:val="13"/>
        </w:rPr>
        <w:t>41(2)(a).</w:t>
      </w:r>
    </w:p>
    <w:p>
      <w:pPr>
        <w:tabs>
          <w:tab w:pos="1223" w:val="left" w:leader="none"/>
        </w:tabs>
        <w:spacing w:before="1"/>
        <w:ind w:left="430" w:right="0" w:firstLine="0"/>
        <w:jc w:val="left"/>
        <w:rPr>
          <w:sz w:val="13"/>
        </w:rPr>
      </w:pPr>
      <w:r>
        <w:rPr>
          <w:spacing w:val="-3"/>
          <w:w w:val="105"/>
          <w:sz w:val="13"/>
        </w:rPr>
        <w:t>159</w:t>
        <w:tab/>
      </w:r>
      <w:r>
        <w:rPr>
          <w:w w:val="105"/>
          <w:sz w:val="13"/>
        </w:rPr>
        <w:t>Ibid s</w:t>
      </w:r>
      <w:r>
        <w:rPr>
          <w:spacing w:val="9"/>
          <w:w w:val="105"/>
          <w:sz w:val="13"/>
        </w:rPr>
        <w:t> </w:t>
      </w:r>
      <w:r>
        <w:rPr>
          <w:spacing w:val="-3"/>
          <w:w w:val="105"/>
          <w:sz w:val="13"/>
        </w:rPr>
        <w:t>41D.</w:t>
      </w:r>
    </w:p>
    <w:p>
      <w:pPr>
        <w:tabs>
          <w:tab w:pos="1223" w:val="left" w:leader="none"/>
        </w:tabs>
        <w:spacing w:before="1"/>
        <w:ind w:left="430" w:right="0" w:firstLine="0"/>
        <w:jc w:val="left"/>
        <w:rPr>
          <w:sz w:val="13"/>
        </w:rPr>
      </w:pPr>
      <w:r>
        <w:rPr>
          <w:w w:val="105"/>
          <w:sz w:val="13"/>
        </w:rPr>
        <w:t>160</w:t>
        <w:tab/>
        <w:t>Country</w:t>
      </w:r>
      <w:r>
        <w:rPr>
          <w:spacing w:val="4"/>
          <w:w w:val="105"/>
          <w:sz w:val="13"/>
        </w:rPr>
        <w:t> </w:t>
      </w:r>
      <w:r>
        <w:rPr>
          <w:w w:val="105"/>
          <w:sz w:val="13"/>
        </w:rPr>
        <w:t>Fire</w:t>
      </w:r>
      <w:r>
        <w:rPr>
          <w:spacing w:val="5"/>
          <w:w w:val="105"/>
          <w:sz w:val="13"/>
        </w:rPr>
        <w:t> </w:t>
      </w:r>
      <w:r>
        <w:rPr>
          <w:w w:val="105"/>
          <w:sz w:val="13"/>
        </w:rPr>
        <w:t>Authority,</w:t>
      </w:r>
      <w:r>
        <w:rPr>
          <w:spacing w:val="4"/>
          <w:w w:val="105"/>
          <w:sz w:val="13"/>
        </w:rPr>
        <w:t> </w:t>
      </w:r>
      <w:r>
        <w:rPr>
          <w:i/>
          <w:w w:val="105"/>
          <w:sz w:val="13"/>
        </w:rPr>
        <w:t>Who</w:t>
      </w:r>
      <w:r>
        <w:rPr>
          <w:i/>
          <w:spacing w:val="5"/>
          <w:w w:val="105"/>
          <w:sz w:val="13"/>
        </w:rPr>
        <w:t> </w:t>
      </w:r>
      <w:r>
        <w:rPr>
          <w:i/>
          <w:w w:val="105"/>
          <w:sz w:val="13"/>
        </w:rPr>
        <w:t>Does</w:t>
      </w:r>
      <w:r>
        <w:rPr>
          <w:i/>
          <w:spacing w:val="5"/>
          <w:w w:val="105"/>
          <w:sz w:val="13"/>
        </w:rPr>
        <w:t> </w:t>
      </w:r>
      <w:r>
        <w:rPr>
          <w:i/>
          <w:w w:val="105"/>
          <w:sz w:val="13"/>
        </w:rPr>
        <w:t>What</w:t>
      </w:r>
      <w:r>
        <w:rPr>
          <w:i/>
          <w:spacing w:val="4"/>
          <w:w w:val="105"/>
          <w:sz w:val="13"/>
        </w:rPr>
        <w:t> </w:t>
      </w:r>
      <w:r>
        <w:rPr>
          <w:w w:val="105"/>
          <w:sz w:val="13"/>
        </w:rPr>
        <w:t>(Web</w:t>
      </w:r>
      <w:r>
        <w:rPr>
          <w:spacing w:val="5"/>
          <w:w w:val="105"/>
          <w:sz w:val="13"/>
        </w:rPr>
        <w:t> </w:t>
      </w:r>
      <w:r>
        <w:rPr>
          <w:w w:val="105"/>
          <w:sz w:val="13"/>
        </w:rPr>
        <w:t>Page,</w:t>
      </w:r>
      <w:r>
        <w:rPr>
          <w:spacing w:val="4"/>
          <w:w w:val="105"/>
          <w:sz w:val="13"/>
        </w:rPr>
        <w:t> </w:t>
      </w:r>
      <w:r>
        <w:rPr>
          <w:w w:val="105"/>
          <w:sz w:val="13"/>
        </w:rPr>
        <w:t>2019)</w:t>
      </w:r>
      <w:r>
        <w:rPr>
          <w:spacing w:val="5"/>
          <w:w w:val="105"/>
          <w:sz w:val="13"/>
        </w:rPr>
        <w:t> </w:t>
      </w:r>
      <w:r>
        <w:rPr>
          <w:spacing w:val="2"/>
          <w:w w:val="105"/>
          <w:sz w:val="13"/>
        </w:rPr>
        <w:t>&lt;https://</w:t>
      </w:r>
      <w:hyperlink r:id="rId274">
        <w:r>
          <w:rPr>
            <w:spacing w:val="2"/>
            <w:w w:val="105"/>
            <w:sz w:val="13"/>
          </w:rPr>
          <w:t>www.cfa.vic.gov.au/about/who-does-what</w:t>
        </w:r>
      </w:hyperlink>
      <w:r>
        <w:rPr>
          <w:spacing w:val="2"/>
          <w:w w:val="105"/>
          <w:sz w:val="13"/>
        </w:rPr>
        <w:t>&gt;.</w:t>
      </w:r>
    </w:p>
    <w:p>
      <w:pPr>
        <w:spacing w:after="0"/>
        <w:jc w:val="left"/>
        <w:rPr>
          <w:sz w:val="13"/>
        </w:rPr>
        <w:sectPr>
          <w:type w:val="continuous"/>
          <w:pgSz w:w="11910" w:h="16840"/>
          <w:pgMar w:top="300" w:bottom="280" w:left="0" w:right="0"/>
          <w:cols w:num="2" w:equalWidth="0">
            <w:col w:w="1118" w:space="40"/>
            <w:col w:w="10752"/>
          </w:cols>
        </w:sectPr>
      </w:pPr>
    </w:p>
    <w:p>
      <w:pPr>
        <w:pStyle w:val="BodyText"/>
        <w:rPr>
          <w:sz w:val="20"/>
        </w:rPr>
      </w:pPr>
    </w:p>
    <w:p>
      <w:pPr>
        <w:pStyle w:val="BodyText"/>
        <w:spacing w:before="11"/>
        <w:rPr>
          <w:sz w:val="17"/>
        </w:rPr>
      </w:pPr>
    </w:p>
    <w:p>
      <w:pPr>
        <w:pStyle w:val="Heading5"/>
        <w:spacing w:before="96"/>
      </w:pPr>
      <w:bookmarkStart w:name="_bookmark126" w:id="272"/>
      <w:bookmarkEnd w:id="272"/>
      <w:r>
        <w:rPr>
          <w:b w:val="0"/>
        </w:rPr>
      </w:r>
      <w:r>
        <w:rPr>
          <w:w w:val="110"/>
        </w:rPr>
        <w:t>Metropolitan Fire Brigades Act</w:t>
      </w:r>
    </w:p>
    <w:p>
      <w:pPr>
        <w:pStyle w:val="ListParagraph"/>
        <w:numPr>
          <w:ilvl w:val="1"/>
          <w:numId w:val="16"/>
        </w:numPr>
        <w:tabs>
          <w:tab w:pos="2381" w:val="left" w:leader="none"/>
          <w:tab w:pos="2382" w:val="left" w:leader="none"/>
        </w:tabs>
        <w:spacing w:line="242" w:lineRule="auto" w:before="137" w:after="0"/>
        <w:ind w:left="2381" w:right="1419" w:hanging="794"/>
        <w:jc w:val="left"/>
        <w:rPr>
          <w:sz w:val="21"/>
        </w:rPr>
      </w:pPr>
      <w:r>
        <w:rPr>
          <w:sz w:val="21"/>
        </w:rPr>
        <w:t>This Act operates in the same </w:t>
      </w:r>
      <w:r>
        <w:rPr>
          <w:spacing w:val="-3"/>
          <w:sz w:val="21"/>
        </w:rPr>
        <w:t>way  </w:t>
      </w:r>
      <w:r>
        <w:rPr>
          <w:sz w:val="21"/>
        </w:rPr>
        <w:t>as the </w:t>
      </w:r>
      <w:r>
        <w:rPr>
          <w:i/>
          <w:sz w:val="21"/>
        </w:rPr>
        <w:t>Country Fire Authority Act </w:t>
      </w:r>
      <w:r>
        <w:rPr>
          <w:i/>
          <w:spacing w:val="-6"/>
          <w:sz w:val="21"/>
        </w:rPr>
        <w:t>1958  </w:t>
      </w:r>
      <w:r>
        <w:rPr>
          <w:sz w:val="21"/>
        </w:rPr>
        <w:t>(Vic) but it applies   </w:t>
      </w:r>
      <w:r>
        <w:rPr>
          <w:spacing w:val="-3"/>
          <w:sz w:val="21"/>
        </w:rPr>
        <w:t>to </w:t>
      </w:r>
      <w:r>
        <w:rPr>
          <w:sz w:val="21"/>
        </w:rPr>
        <w:t>the metropolitan fire</w:t>
      </w:r>
      <w:r>
        <w:rPr>
          <w:spacing w:val="36"/>
          <w:sz w:val="21"/>
        </w:rPr>
        <w:t> </w:t>
      </w:r>
      <w:r>
        <w:rPr>
          <w:spacing w:val="-4"/>
          <w:sz w:val="21"/>
        </w:rPr>
        <w:t>district.</w:t>
      </w:r>
      <w:r>
        <w:rPr>
          <w:spacing w:val="-4"/>
          <w:position w:val="7"/>
          <w:sz w:val="12"/>
        </w:rPr>
        <w:t>161</w:t>
      </w:r>
    </w:p>
    <w:p>
      <w:pPr>
        <w:pStyle w:val="BodyText"/>
        <w:spacing w:before="3"/>
        <w:rPr>
          <w:sz w:val="20"/>
        </w:rPr>
      </w:pPr>
    </w:p>
    <w:p>
      <w:pPr>
        <w:pStyle w:val="Heading5"/>
      </w:pPr>
      <w:r>
        <w:rPr>
          <w:w w:val="115"/>
        </w:rPr>
        <w:t>Electrical Safety Act</w:t>
      </w:r>
    </w:p>
    <w:p>
      <w:pPr>
        <w:pStyle w:val="ListParagraph"/>
        <w:numPr>
          <w:ilvl w:val="1"/>
          <w:numId w:val="16"/>
        </w:numPr>
        <w:tabs>
          <w:tab w:pos="2381" w:val="left" w:leader="none"/>
          <w:tab w:pos="2382" w:val="left" w:leader="none"/>
        </w:tabs>
        <w:spacing w:line="242" w:lineRule="auto" w:before="137" w:after="0"/>
        <w:ind w:left="2381" w:right="1888" w:hanging="794"/>
        <w:jc w:val="left"/>
        <w:rPr>
          <w:sz w:val="21"/>
        </w:rPr>
      </w:pPr>
      <w:r>
        <w:rPr>
          <w:w w:val="105"/>
          <w:sz w:val="21"/>
        </w:rPr>
        <w:t>This Act </w:t>
      </w:r>
      <w:r>
        <w:rPr>
          <w:spacing w:val="-3"/>
          <w:w w:val="105"/>
          <w:sz w:val="21"/>
        </w:rPr>
        <w:t>requires </w:t>
      </w:r>
      <w:r>
        <w:rPr>
          <w:w w:val="105"/>
          <w:sz w:val="21"/>
        </w:rPr>
        <w:t>a landowner or </w:t>
      </w:r>
      <w:r>
        <w:rPr>
          <w:spacing w:val="-3"/>
          <w:w w:val="105"/>
          <w:sz w:val="21"/>
        </w:rPr>
        <w:t>occupier </w:t>
      </w:r>
      <w:r>
        <w:rPr>
          <w:w w:val="105"/>
          <w:sz w:val="21"/>
        </w:rPr>
        <w:t>of </w:t>
      </w:r>
      <w:r>
        <w:rPr>
          <w:spacing w:val="-3"/>
          <w:w w:val="105"/>
          <w:sz w:val="21"/>
        </w:rPr>
        <w:t>land to keep private </w:t>
      </w:r>
      <w:r>
        <w:rPr>
          <w:w w:val="105"/>
          <w:sz w:val="21"/>
        </w:rPr>
        <w:t>electric </w:t>
      </w:r>
      <w:r>
        <w:rPr>
          <w:spacing w:val="-3"/>
          <w:w w:val="105"/>
          <w:sz w:val="21"/>
        </w:rPr>
        <w:t>lines clear </w:t>
      </w:r>
      <w:r>
        <w:rPr>
          <w:w w:val="105"/>
          <w:sz w:val="21"/>
        </w:rPr>
        <w:t>of </w:t>
      </w:r>
      <w:r>
        <w:rPr>
          <w:spacing w:val="-4"/>
          <w:w w:val="105"/>
          <w:sz w:val="21"/>
        </w:rPr>
        <w:t>vegetation.</w:t>
      </w:r>
      <w:r>
        <w:rPr>
          <w:spacing w:val="-4"/>
          <w:w w:val="105"/>
          <w:position w:val="7"/>
          <w:sz w:val="12"/>
        </w:rPr>
        <w:t>162</w:t>
      </w:r>
      <w:r>
        <w:rPr>
          <w:spacing w:val="13"/>
          <w:w w:val="105"/>
          <w:position w:val="7"/>
          <w:sz w:val="12"/>
        </w:rPr>
        <w:t> </w:t>
      </w:r>
      <w:r>
        <w:rPr>
          <w:w w:val="105"/>
          <w:sz w:val="21"/>
        </w:rPr>
        <w:t>Notices</w:t>
      </w:r>
      <w:r>
        <w:rPr>
          <w:spacing w:val="-9"/>
          <w:w w:val="105"/>
          <w:sz w:val="21"/>
        </w:rPr>
        <w:t> </w:t>
      </w:r>
      <w:r>
        <w:rPr>
          <w:spacing w:val="-3"/>
          <w:w w:val="105"/>
          <w:sz w:val="21"/>
        </w:rPr>
        <w:t>may</w:t>
      </w:r>
      <w:r>
        <w:rPr>
          <w:spacing w:val="-10"/>
          <w:w w:val="105"/>
          <w:sz w:val="21"/>
        </w:rPr>
        <w:t> </w:t>
      </w:r>
      <w:r>
        <w:rPr>
          <w:w w:val="105"/>
          <w:sz w:val="21"/>
        </w:rPr>
        <w:t>be</w:t>
      </w:r>
      <w:r>
        <w:rPr>
          <w:spacing w:val="-9"/>
          <w:w w:val="105"/>
          <w:sz w:val="21"/>
        </w:rPr>
        <w:t> </w:t>
      </w:r>
      <w:r>
        <w:rPr>
          <w:w w:val="105"/>
          <w:sz w:val="21"/>
        </w:rPr>
        <w:t>issued</w:t>
      </w:r>
      <w:r>
        <w:rPr>
          <w:spacing w:val="-9"/>
          <w:w w:val="105"/>
          <w:sz w:val="21"/>
        </w:rPr>
        <w:t> </w:t>
      </w:r>
      <w:r>
        <w:rPr>
          <w:w w:val="105"/>
          <w:sz w:val="21"/>
        </w:rPr>
        <w:t>by</w:t>
      </w:r>
      <w:r>
        <w:rPr>
          <w:spacing w:val="-9"/>
          <w:w w:val="105"/>
          <w:sz w:val="21"/>
        </w:rPr>
        <w:t> </w:t>
      </w:r>
      <w:r>
        <w:rPr>
          <w:w w:val="105"/>
          <w:sz w:val="21"/>
        </w:rPr>
        <w:t>Energy</w:t>
      </w:r>
      <w:r>
        <w:rPr>
          <w:spacing w:val="-9"/>
          <w:w w:val="105"/>
          <w:sz w:val="21"/>
        </w:rPr>
        <w:t> </w:t>
      </w:r>
      <w:r>
        <w:rPr>
          <w:w w:val="105"/>
          <w:sz w:val="21"/>
        </w:rPr>
        <w:t>Safe</w:t>
      </w:r>
      <w:r>
        <w:rPr>
          <w:spacing w:val="-10"/>
          <w:w w:val="105"/>
          <w:sz w:val="21"/>
        </w:rPr>
        <w:t> </w:t>
      </w:r>
      <w:r>
        <w:rPr>
          <w:w w:val="105"/>
          <w:sz w:val="21"/>
        </w:rPr>
        <w:t>Victoria</w:t>
      </w:r>
      <w:r>
        <w:rPr>
          <w:spacing w:val="-9"/>
          <w:w w:val="105"/>
          <w:sz w:val="21"/>
        </w:rPr>
        <w:t> </w:t>
      </w:r>
      <w:r>
        <w:rPr>
          <w:w w:val="105"/>
          <w:sz w:val="21"/>
        </w:rPr>
        <w:t>or</w:t>
      </w:r>
      <w:r>
        <w:rPr>
          <w:spacing w:val="-9"/>
          <w:w w:val="105"/>
          <w:sz w:val="21"/>
        </w:rPr>
        <w:t> </w:t>
      </w:r>
      <w:r>
        <w:rPr>
          <w:w w:val="105"/>
          <w:sz w:val="21"/>
        </w:rPr>
        <w:t>the</w:t>
      </w:r>
      <w:r>
        <w:rPr>
          <w:spacing w:val="-9"/>
          <w:w w:val="105"/>
          <w:sz w:val="21"/>
        </w:rPr>
        <w:t> </w:t>
      </w:r>
      <w:r>
        <w:rPr>
          <w:spacing w:val="-3"/>
          <w:w w:val="105"/>
          <w:sz w:val="21"/>
        </w:rPr>
        <w:t>relevant</w:t>
      </w:r>
      <w:r>
        <w:rPr>
          <w:spacing w:val="-10"/>
          <w:w w:val="105"/>
          <w:sz w:val="21"/>
        </w:rPr>
        <w:t> </w:t>
      </w:r>
      <w:r>
        <w:rPr>
          <w:spacing w:val="-2"/>
          <w:w w:val="105"/>
          <w:sz w:val="21"/>
        </w:rPr>
        <w:t>distribution </w:t>
      </w:r>
      <w:r>
        <w:rPr>
          <w:spacing w:val="-3"/>
          <w:w w:val="105"/>
          <w:sz w:val="21"/>
        </w:rPr>
        <w:t>company requiring </w:t>
      </w:r>
      <w:r>
        <w:rPr>
          <w:w w:val="105"/>
          <w:sz w:val="21"/>
        </w:rPr>
        <w:t>a person </w:t>
      </w:r>
      <w:r>
        <w:rPr>
          <w:spacing w:val="-3"/>
          <w:w w:val="105"/>
          <w:sz w:val="21"/>
        </w:rPr>
        <w:t>to clear </w:t>
      </w:r>
      <w:r>
        <w:rPr>
          <w:w w:val="105"/>
          <w:sz w:val="21"/>
        </w:rPr>
        <w:t>vegetation </w:t>
      </w:r>
      <w:r>
        <w:rPr>
          <w:spacing w:val="-3"/>
          <w:w w:val="105"/>
          <w:sz w:val="21"/>
        </w:rPr>
        <w:t>within </w:t>
      </w:r>
      <w:r>
        <w:rPr>
          <w:w w:val="105"/>
          <w:sz w:val="21"/>
        </w:rPr>
        <w:t>a specified</w:t>
      </w:r>
      <w:r>
        <w:rPr>
          <w:spacing w:val="24"/>
          <w:w w:val="105"/>
          <w:sz w:val="21"/>
        </w:rPr>
        <w:t> </w:t>
      </w:r>
      <w:r>
        <w:rPr>
          <w:spacing w:val="-4"/>
          <w:w w:val="105"/>
          <w:sz w:val="21"/>
        </w:rPr>
        <w:t>timeframe.</w:t>
      </w:r>
      <w:r>
        <w:rPr>
          <w:spacing w:val="-4"/>
          <w:w w:val="105"/>
          <w:position w:val="7"/>
          <w:sz w:val="12"/>
        </w:rPr>
        <w:t>163</w:t>
      </w:r>
    </w:p>
    <w:p>
      <w:pPr>
        <w:pStyle w:val="ListParagraph"/>
        <w:numPr>
          <w:ilvl w:val="1"/>
          <w:numId w:val="16"/>
        </w:numPr>
        <w:tabs>
          <w:tab w:pos="2381" w:val="left" w:leader="none"/>
          <w:tab w:pos="2382" w:val="left" w:leader="none"/>
        </w:tabs>
        <w:spacing w:line="242" w:lineRule="auto" w:before="123" w:after="0"/>
        <w:ind w:left="2381" w:right="1602" w:hanging="794"/>
        <w:jc w:val="left"/>
        <w:rPr>
          <w:sz w:val="21"/>
        </w:rPr>
      </w:pPr>
      <w:r>
        <w:rPr>
          <w:sz w:val="21"/>
        </w:rPr>
        <w:t>If action is </w:t>
      </w:r>
      <w:r>
        <w:rPr>
          <w:spacing w:val="-2"/>
          <w:sz w:val="21"/>
        </w:rPr>
        <w:t>not </w:t>
      </w:r>
      <w:r>
        <w:rPr>
          <w:spacing w:val="-3"/>
          <w:sz w:val="21"/>
        </w:rPr>
        <w:t>taken within  </w:t>
      </w:r>
      <w:r>
        <w:rPr>
          <w:sz w:val="21"/>
        </w:rPr>
        <w:t>the given </w:t>
      </w:r>
      <w:r>
        <w:rPr>
          <w:spacing w:val="-3"/>
          <w:sz w:val="21"/>
        </w:rPr>
        <w:t>timeframe,</w:t>
      </w:r>
      <w:r>
        <w:rPr>
          <w:spacing w:val="41"/>
          <w:sz w:val="21"/>
        </w:rPr>
        <w:t> </w:t>
      </w:r>
      <w:r>
        <w:rPr>
          <w:sz w:val="21"/>
        </w:rPr>
        <w:t>works can be carried out by </w:t>
      </w:r>
      <w:r>
        <w:rPr>
          <w:spacing w:val="-3"/>
          <w:sz w:val="21"/>
        </w:rPr>
        <w:t>third  </w:t>
      </w:r>
      <w:r>
        <w:rPr>
          <w:sz w:val="21"/>
        </w:rPr>
        <w:t>parties  </w:t>
      </w:r>
      <w:r>
        <w:rPr>
          <w:spacing w:val="-3"/>
          <w:sz w:val="21"/>
        </w:rPr>
        <w:t>to</w:t>
      </w:r>
      <w:r>
        <w:rPr>
          <w:spacing w:val="9"/>
          <w:sz w:val="21"/>
        </w:rPr>
        <w:t> </w:t>
      </w:r>
      <w:r>
        <w:rPr>
          <w:spacing w:val="-3"/>
          <w:sz w:val="21"/>
        </w:rPr>
        <w:t>ensure</w:t>
      </w:r>
      <w:r>
        <w:rPr>
          <w:spacing w:val="9"/>
          <w:sz w:val="21"/>
        </w:rPr>
        <w:t> </w:t>
      </w:r>
      <w:r>
        <w:rPr>
          <w:spacing w:val="-3"/>
          <w:sz w:val="21"/>
        </w:rPr>
        <w:t>that</w:t>
      </w:r>
      <w:r>
        <w:rPr>
          <w:spacing w:val="9"/>
          <w:sz w:val="21"/>
        </w:rPr>
        <w:t> </w:t>
      </w:r>
      <w:r>
        <w:rPr>
          <w:sz w:val="21"/>
        </w:rPr>
        <w:t>the</w:t>
      </w:r>
      <w:r>
        <w:rPr>
          <w:spacing w:val="9"/>
          <w:sz w:val="21"/>
        </w:rPr>
        <w:t> </w:t>
      </w:r>
      <w:r>
        <w:rPr>
          <w:sz w:val="21"/>
        </w:rPr>
        <w:t>tree</w:t>
      </w:r>
      <w:r>
        <w:rPr>
          <w:spacing w:val="9"/>
          <w:sz w:val="21"/>
        </w:rPr>
        <w:t> </w:t>
      </w:r>
      <w:r>
        <w:rPr>
          <w:sz w:val="21"/>
        </w:rPr>
        <w:t>is</w:t>
      </w:r>
      <w:r>
        <w:rPr>
          <w:spacing w:val="9"/>
          <w:sz w:val="21"/>
        </w:rPr>
        <w:t> </w:t>
      </w:r>
      <w:r>
        <w:rPr>
          <w:spacing w:val="-3"/>
          <w:sz w:val="21"/>
        </w:rPr>
        <w:t>kept</w:t>
      </w:r>
      <w:r>
        <w:rPr>
          <w:spacing w:val="10"/>
          <w:sz w:val="21"/>
        </w:rPr>
        <w:t> </w:t>
      </w:r>
      <w:r>
        <w:rPr>
          <w:spacing w:val="-3"/>
          <w:sz w:val="21"/>
        </w:rPr>
        <w:t>clear</w:t>
      </w:r>
      <w:r>
        <w:rPr>
          <w:spacing w:val="9"/>
          <w:sz w:val="21"/>
        </w:rPr>
        <w:t> </w:t>
      </w:r>
      <w:r>
        <w:rPr>
          <w:sz w:val="21"/>
        </w:rPr>
        <w:t>of</w:t>
      </w:r>
      <w:r>
        <w:rPr>
          <w:spacing w:val="9"/>
          <w:sz w:val="21"/>
        </w:rPr>
        <w:t> </w:t>
      </w:r>
      <w:r>
        <w:rPr>
          <w:sz w:val="21"/>
        </w:rPr>
        <w:t>the</w:t>
      </w:r>
      <w:r>
        <w:rPr>
          <w:spacing w:val="9"/>
          <w:sz w:val="21"/>
        </w:rPr>
        <w:t> </w:t>
      </w:r>
      <w:r>
        <w:rPr>
          <w:spacing w:val="-5"/>
          <w:sz w:val="21"/>
        </w:rPr>
        <w:t>line.</w:t>
      </w:r>
      <w:r>
        <w:rPr>
          <w:spacing w:val="-5"/>
          <w:position w:val="7"/>
          <w:sz w:val="12"/>
        </w:rPr>
        <w:t>164</w:t>
      </w:r>
    </w:p>
    <w:p>
      <w:pPr>
        <w:pStyle w:val="BodyText"/>
        <w:spacing w:before="3"/>
        <w:rPr>
          <w:sz w:val="20"/>
        </w:rPr>
      </w:pPr>
    </w:p>
    <w:p>
      <w:pPr>
        <w:pStyle w:val="Heading5"/>
      </w:pPr>
      <w:r>
        <w:rPr>
          <w:w w:val="115"/>
        </w:rPr>
        <w:t>Transport legislation and road reserves</w:t>
      </w:r>
    </w:p>
    <w:p>
      <w:pPr>
        <w:pStyle w:val="ListParagraph"/>
        <w:numPr>
          <w:ilvl w:val="1"/>
          <w:numId w:val="16"/>
        </w:numPr>
        <w:tabs>
          <w:tab w:pos="2380" w:val="left" w:leader="none"/>
          <w:tab w:pos="2381" w:val="left" w:leader="none"/>
        </w:tabs>
        <w:spacing w:line="242" w:lineRule="auto" w:before="138" w:after="0"/>
        <w:ind w:left="2381" w:right="1686" w:hanging="794"/>
        <w:jc w:val="left"/>
        <w:rPr>
          <w:sz w:val="21"/>
        </w:rPr>
      </w:pPr>
      <w:r>
        <w:rPr>
          <w:spacing w:val="-3"/>
          <w:sz w:val="21"/>
        </w:rPr>
        <w:t>Legislation regulating public land </w:t>
      </w:r>
      <w:r>
        <w:rPr>
          <w:sz w:val="21"/>
        </w:rPr>
        <w:t>in </w:t>
      </w:r>
      <w:r>
        <w:rPr>
          <w:spacing w:val="-3"/>
          <w:sz w:val="21"/>
        </w:rPr>
        <w:t>rail </w:t>
      </w:r>
      <w:r>
        <w:rPr>
          <w:sz w:val="21"/>
        </w:rPr>
        <w:t>corridors and road reserves </w:t>
      </w:r>
      <w:r>
        <w:rPr>
          <w:spacing w:val="-3"/>
          <w:sz w:val="21"/>
        </w:rPr>
        <w:t>may require private </w:t>
      </w:r>
      <w:r>
        <w:rPr>
          <w:sz w:val="21"/>
        </w:rPr>
        <w:t>landowners </w:t>
      </w:r>
      <w:r>
        <w:rPr>
          <w:spacing w:val="-3"/>
          <w:sz w:val="21"/>
        </w:rPr>
        <w:t>to maintain </w:t>
      </w:r>
      <w:r>
        <w:rPr>
          <w:sz w:val="21"/>
        </w:rPr>
        <w:t>vegetation on their </w:t>
      </w:r>
      <w:r>
        <w:rPr>
          <w:spacing w:val="-4"/>
          <w:sz w:val="21"/>
        </w:rPr>
        <w:t>property.</w:t>
      </w:r>
      <w:r>
        <w:rPr>
          <w:spacing w:val="-4"/>
          <w:position w:val="7"/>
          <w:sz w:val="12"/>
        </w:rPr>
        <w:t>165 </w:t>
      </w:r>
      <w:r>
        <w:rPr>
          <w:sz w:val="21"/>
        </w:rPr>
        <w:t>For </w:t>
      </w:r>
      <w:r>
        <w:rPr>
          <w:spacing w:val="-3"/>
          <w:sz w:val="21"/>
        </w:rPr>
        <w:t>example, private </w:t>
      </w:r>
      <w:r>
        <w:rPr>
          <w:sz w:val="21"/>
        </w:rPr>
        <w:t>landowners  </w:t>
      </w:r>
      <w:r>
        <w:rPr>
          <w:spacing w:val="-3"/>
          <w:sz w:val="21"/>
        </w:rPr>
        <w:t>may </w:t>
      </w:r>
      <w:r>
        <w:rPr>
          <w:sz w:val="21"/>
        </w:rPr>
        <w:t>be </w:t>
      </w:r>
      <w:r>
        <w:rPr>
          <w:spacing w:val="-3"/>
          <w:sz w:val="21"/>
        </w:rPr>
        <w:t>required to </w:t>
      </w:r>
      <w:r>
        <w:rPr>
          <w:sz w:val="21"/>
        </w:rPr>
        <w:t>prune or </w:t>
      </w:r>
      <w:r>
        <w:rPr>
          <w:spacing w:val="-3"/>
          <w:sz w:val="21"/>
        </w:rPr>
        <w:t>remove </w:t>
      </w:r>
      <w:r>
        <w:rPr>
          <w:sz w:val="21"/>
        </w:rPr>
        <w:t>a tree on their </w:t>
      </w:r>
      <w:r>
        <w:rPr>
          <w:spacing w:val="-3"/>
          <w:sz w:val="21"/>
        </w:rPr>
        <w:t>land </w:t>
      </w:r>
      <w:r>
        <w:rPr>
          <w:sz w:val="21"/>
        </w:rPr>
        <w:t>if it poses a safety risk </w:t>
      </w:r>
      <w:r>
        <w:rPr>
          <w:spacing w:val="-3"/>
          <w:sz w:val="21"/>
        </w:rPr>
        <w:t>to railway </w:t>
      </w:r>
      <w:r>
        <w:rPr>
          <w:sz w:val="21"/>
        </w:rPr>
        <w:t>users or road</w:t>
      </w:r>
      <w:r>
        <w:rPr>
          <w:spacing w:val="24"/>
          <w:sz w:val="21"/>
        </w:rPr>
        <w:t> </w:t>
      </w:r>
      <w:r>
        <w:rPr>
          <w:sz w:val="21"/>
        </w:rPr>
        <w:t>users.</w:t>
      </w:r>
    </w:p>
    <w:p>
      <w:pPr>
        <w:pStyle w:val="ListParagraph"/>
        <w:numPr>
          <w:ilvl w:val="1"/>
          <w:numId w:val="16"/>
        </w:numPr>
        <w:tabs>
          <w:tab w:pos="2381" w:val="left" w:leader="none"/>
          <w:tab w:pos="2382" w:val="left" w:leader="none"/>
        </w:tabs>
        <w:spacing w:line="242" w:lineRule="auto" w:before="124" w:after="0"/>
        <w:ind w:left="2381" w:right="1584" w:hanging="794"/>
        <w:jc w:val="left"/>
        <w:rPr>
          <w:sz w:val="21"/>
        </w:rPr>
      </w:pPr>
      <w:r>
        <w:rPr>
          <w:w w:val="105"/>
          <w:sz w:val="21"/>
        </w:rPr>
        <w:t>Some</w:t>
      </w:r>
      <w:r>
        <w:rPr>
          <w:spacing w:val="-6"/>
          <w:w w:val="105"/>
          <w:sz w:val="21"/>
        </w:rPr>
        <w:t> </w:t>
      </w:r>
      <w:r>
        <w:rPr>
          <w:w w:val="105"/>
          <w:sz w:val="21"/>
        </w:rPr>
        <w:t>local</w:t>
      </w:r>
      <w:r>
        <w:rPr>
          <w:spacing w:val="-5"/>
          <w:w w:val="105"/>
          <w:sz w:val="21"/>
        </w:rPr>
        <w:t> </w:t>
      </w:r>
      <w:r>
        <w:rPr>
          <w:w w:val="105"/>
          <w:sz w:val="21"/>
        </w:rPr>
        <w:t>laws</w:t>
      </w:r>
      <w:r>
        <w:rPr>
          <w:spacing w:val="-6"/>
          <w:w w:val="105"/>
          <w:sz w:val="21"/>
        </w:rPr>
        <w:t> </w:t>
      </w:r>
      <w:r>
        <w:rPr>
          <w:spacing w:val="-3"/>
          <w:w w:val="105"/>
          <w:sz w:val="21"/>
        </w:rPr>
        <w:t>may</w:t>
      </w:r>
      <w:r>
        <w:rPr>
          <w:spacing w:val="-5"/>
          <w:w w:val="105"/>
          <w:sz w:val="21"/>
        </w:rPr>
        <w:t> </w:t>
      </w:r>
      <w:r>
        <w:rPr>
          <w:w w:val="105"/>
          <w:sz w:val="21"/>
        </w:rPr>
        <w:t>also</w:t>
      </w:r>
      <w:r>
        <w:rPr>
          <w:spacing w:val="-6"/>
          <w:w w:val="105"/>
          <w:sz w:val="21"/>
        </w:rPr>
        <w:t> </w:t>
      </w:r>
      <w:r>
        <w:rPr>
          <w:spacing w:val="-3"/>
          <w:w w:val="105"/>
          <w:sz w:val="21"/>
        </w:rPr>
        <w:t>place</w:t>
      </w:r>
      <w:r>
        <w:rPr>
          <w:spacing w:val="-5"/>
          <w:w w:val="105"/>
          <w:sz w:val="21"/>
        </w:rPr>
        <w:t> </w:t>
      </w:r>
      <w:r>
        <w:rPr>
          <w:spacing w:val="-3"/>
          <w:w w:val="105"/>
          <w:sz w:val="21"/>
        </w:rPr>
        <w:t>obligations</w:t>
      </w:r>
      <w:r>
        <w:rPr>
          <w:spacing w:val="-6"/>
          <w:w w:val="105"/>
          <w:sz w:val="21"/>
        </w:rPr>
        <w:t> </w:t>
      </w:r>
      <w:r>
        <w:rPr>
          <w:w w:val="105"/>
          <w:sz w:val="21"/>
        </w:rPr>
        <w:t>on</w:t>
      </w:r>
      <w:r>
        <w:rPr>
          <w:spacing w:val="-5"/>
          <w:w w:val="105"/>
          <w:sz w:val="21"/>
        </w:rPr>
        <w:t> </w:t>
      </w:r>
      <w:r>
        <w:rPr>
          <w:spacing w:val="-3"/>
          <w:w w:val="105"/>
          <w:sz w:val="21"/>
        </w:rPr>
        <w:t>private</w:t>
      </w:r>
      <w:r>
        <w:rPr>
          <w:spacing w:val="-6"/>
          <w:w w:val="105"/>
          <w:sz w:val="21"/>
        </w:rPr>
        <w:t> </w:t>
      </w:r>
      <w:r>
        <w:rPr>
          <w:w w:val="105"/>
          <w:sz w:val="21"/>
        </w:rPr>
        <w:t>landowners</w:t>
      </w:r>
      <w:r>
        <w:rPr>
          <w:spacing w:val="-5"/>
          <w:w w:val="105"/>
          <w:sz w:val="21"/>
        </w:rPr>
        <w:t> </w:t>
      </w:r>
      <w:r>
        <w:rPr>
          <w:spacing w:val="-3"/>
          <w:w w:val="105"/>
          <w:sz w:val="21"/>
        </w:rPr>
        <w:t>to</w:t>
      </w:r>
      <w:r>
        <w:rPr>
          <w:spacing w:val="-6"/>
          <w:w w:val="105"/>
          <w:sz w:val="21"/>
        </w:rPr>
        <w:t> </w:t>
      </w:r>
      <w:r>
        <w:rPr>
          <w:spacing w:val="-3"/>
          <w:w w:val="105"/>
          <w:sz w:val="21"/>
        </w:rPr>
        <w:t>ensure</w:t>
      </w:r>
      <w:r>
        <w:rPr>
          <w:spacing w:val="-5"/>
          <w:w w:val="105"/>
          <w:sz w:val="21"/>
        </w:rPr>
        <w:t> </w:t>
      </w:r>
      <w:r>
        <w:rPr>
          <w:w w:val="105"/>
          <w:sz w:val="21"/>
        </w:rPr>
        <w:t>vegetation</w:t>
      </w:r>
      <w:r>
        <w:rPr>
          <w:spacing w:val="-6"/>
          <w:w w:val="105"/>
          <w:sz w:val="21"/>
        </w:rPr>
        <w:t> </w:t>
      </w:r>
      <w:r>
        <w:rPr>
          <w:w w:val="105"/>
          <w:sz w:val="21"/>
        </w:rPr>
        <w:t>on their</w:t>
      </w:r>
      <w:r>
        <w:rPr>
          <w:spacing w:val="-5"/>
          <w:w w:val="105"/>
          <w:sz w:val="21"/>
        </w:rPr>
        <w:t> </w:t>
      </w:r>
      <w:r>
        <w:rPr>
          <w:spacing w:val="-3"/>
          <w:w w:val="105"/>
          <w:sz w:val="21"/>
        </w:rPr>
        <w:t>land</w:t>
      </w:r>
      <w:r>
        <w:rPr>
          <w:spacing w:val="-4"/>
          <w:w w:val="105"/>
          <w:sz w:val="21"/>
        </w:rPr>
        <w:t> </w:t>
      </w:r>
      <w:r>
        <w:rPr>
          <w:w w:val="105"/>
          <w:sz w:val="21"/>
        </w:rPr>
        <w:t>does</w:t>
      </w:r>
      <w:r>
        <w:rPr>
          <w:spacing w:val="-4"/>
          <w:w w:val="105"/>
          <w:sz w:val="21"/>
        </w:rPr>
        <w:t> </w:t>
      </w:r>
      <w:r>
        <w:rPr>
          <w:spacing w:val="-2"/>
          <w:w w:val="105"/>
          <w:sz w:val="21"/>
        </w:rPr>
        <w:t>not</w:t>
      </w:r>
      <w:r>
        <w:rPr>
          <w:spacing w:val="-5"/>
          <w:w w:val="105"/>
          <w:sz w:val="21"/>
        </w:rPr>
        <w:t> </w:t>
      </w:r>
      <w:r>
        <w:rPr>
          <w:spacing w:val="-3"/>
          <w:w w:val="105"/>
          <w:sz w:val="21"/>
        </w:rPr>
        <w:t>interfere</w:t>
      </w:r>
      <w:r>
        <w:rPr>
          <w:spacing w:val="-4"/>
          <w:w w:val="105"/>
          <w:sz w:val="21"/>
        </w:rPr>
        <w:t> </w:t>
      </w:r>
      <w:r>
        <w:rPr>
          <w:w w:val="105"/>
          <w:sz w:val="21"/>
        </w:rPr>
        <w:t>with</w:t>
      </w:r>
      <w:r>
        <w:rPr>
          <w:spacing w:val="-4"/>
          <w:w w:val="105"/>
          <w:sz w:val="21"/>
        </w:rPr>
        <w:t> </w:t>
      </w:r>
      <w:r>
        <w:rPr>
          <w:w w:val="105"/>
          <w:sz w:val="21"/>
        </w:rPr>
        <w:t>or</w:t>
      </w:r>
      <w:r>
        <w:rPr>
          <w:spacing w:val="-4"/>
          <w:w w:val="105"/>
          <w:sz w:val="21"/>
        </w:rPr>
        <w:t> </w:t>
      </w:r>
      <w:r>
        <w:rPr>
          <w:w w:val="105"/>
          <w:sz w:val="21"/>
        </w:rPr>
        <w:t>obstruct</w:t>
      </w:r>
      <w:r>
        <w:rPr>
          <w:spacing w:val="-5"/>
          <w:w w:val="105"/>
          <w:sz w:val="21"/>
        </w:rPr>
        <w:t> </w:t>
      </w:r>
      <w:r>
        <w:rPr>
          <w:spacing w:val="-3"/>
          <w:w w:val="105"/>
          <w:sz w:val="21"/>
        </w:rPr>
        <w:t>public</w:t>
      </w:r>
      <w:r>
        <w:rPr>
          <w:spacing w:val="-4"/>
          <w:w w:val="105"/>
          <w:sz w:val="21"/>
        </w:rPr>
        <w:t> </w:t>
      </w:r>
      <w:r>
        <w:rPr>
          <w:w w:val="105"/>
          <w:sz w:val="21"/>
        </w:rPr>
        <w:t>traffic,</w:t>
      </w:r>
      <w:r>
        <w:rPr>
          <w:spacing w:val="-4"/>
          <w:w w:val="105"/>
          <w:sz w:val="21"/>
        </w:rPr>
        <w:t> </w:t>
      </w:r>
      <w:r>
        <w:rPr>
          <w:spacing w:val="-3"/>
          <w:w w:val="105"/>
          <w:sz w:val="21"/>
        </w:rPr>
        <w:t>including</w:t>
      </w:r>
      <w:r>
        <w:rPr>
          <w:spacing w:val="-4"/>
          <w:w w:val="105"/>
          <w:sz w:val="21"/>
        </w:rPr>
        <w:t> </w:t>
      </w:r>
      <w:r>
        <w:rPr>
          <w:w w:val="105"/>
          <w:sz w:val="21"/>
        </w:rPr>
        <w:t>pedestrian</w:t>
      </w:r>
      <w:r>
        <w:rPr>
          <w:spacing w:val="-5"/>
          <w:w w:val="105"/>
          <w:sz w:val="21"/>
        </w:rPr>
        <w:t> </w:t>
      </w:r>
      <w:r>
        <w:rPr>
          <w:spacing w:val="-3"/>
          <w:w w:val="105"/>
          <w:sz w:val="21"/>
        </w:rPr>
        <w:t>traffic.</w:t>
      </w:r>
      <w:r>
        <w:rPr>
          <w:spacing w:val="-3"/>
          <w:w w:val="105"/>
          <w:position w:val="7"/>
          <w:sz w:val="12"/>
        </w:rPr>
        <w:t>166</w:t>
      </w:r>
    </w:p>
    <w:p>
      <w:pPr>
        <w:pStyle w:val="BodyText"/>
        <w:spacing w:before="3"/>
        <w:rPr>
          <w:sz w:val="20"/>
        </w:rPr>
      </w:pPr>
    </w:p>
    <w:p>
      <w:pPr>
        <w:pStyle w:val="Heading5"/>
      </w:pPr>
      <w:r>
        <w:rPr>
          <w:w w:val="115"/>
        </w:rPr>
        <w:t>Public Health and Wellbeing Act</w:t>
      </w:r>
    </w:p>
    <w:p>
      <w:pPr>
        <w:pStyle w:val="ListParagraph"/>
        <w:numPr>
          <w:ilvl w:val="1"/>
          <w:numId w:val="16"/>
        </w:numPr>
        <w:tabs>
          <w:tab w:pos="2380" w:val="left" w:leader="none"/>
          <w:tab w:pos="2381" w:val="left" w:leader="none"/>
        </w:tabs>
        <w:spacing w:line="242" w:lineRule="auto" w:before="137" w:after="0"/>
        <w:ind w:left="2381" w:right="1486" w:hanging="794"/>
        <w:jc w:val="left"/>
        <w:rPr>
          <w:sz w:val="21"/>
        </w:rPr>
      </w:pPr>
      <w:r>
        <w:rPr>
          <w:sz w:val="21"/>
        </w:rPr>
        <w:t>Under the </w:t>
      </w:r>
      <w:r>
        <w:rPr>
          <w:spacing w:val="-3"/>
          <w:sz w:val="21"/>
        </w:rPr>
        <w:t>Public </w:t>
      </w:r>
      <w:r>
        <w:rPr>
          <w:sz w:val="21"/>
        </w:rPr>
        <w:t>Health and </w:t>
      </w:r>
      <w:r>
        <w:rPr>
          <w:spacing w:val="-3"/>
          <w:sz w:val="21"/>
        </w:rPr>
        <w:t>Wellbeing  </w:t>
      </w:r>
      <w:r>
        <w:rPr>
          <w:sz w:val="21"/>
        </w:rPr>
        <w:t>Act (PHW Act), </w:t>
      </w:r>
      <w:r>
        <w:rPr>
          <w:spacing w:val="-3"/>
          <w:sz w:val="21"/>
        </w:rPr>
        <w:t>councils</w:t>
      </w:r>
      <w:r>
        <w:rPr>
          <w:spacing w:val="41"/>
          <w:sz w:val="21"/>
        </w:rPr>
        <w:t> </w:t>
      </w:r>
      <w:r>
        <w:rPr>
          <w:spacing w:val="-3"/>
          <w:sz w:val="21"/>
        </w:rPr>
        <w:t>have  </w:t>
      </w:r>
      <w:r>
        <w:rPr>
          <w:sz w:val="21"/>
        </w:rPr>
        <w:t>a duty </w:t>
      </w:r>
      <w:r>
        <w:rPr>
          <w:spacing w:val="-3"/>
          <w:sz w:val="21"/>
        </w:rPr>
        <w:t>to  investigate  </w:t>
      </w:r>
      <w:r>
        <w:rPr>
          <w:sz w:val="21"/>
        </w:rPr>
        <w:t>and remedy </w:t>
      </w:r>
      <w:r>
        <w:rPr>
          <w:spacing w:val="-3"/>
          <w:sz w:val="21"/>
        </w:rPr>
        <w:t>all nuisances within  </w:t>
      </w:r>
      <w:r>
        <w:rPr>
          <w:sz w:val="21"/>
        </w:rPr>
        <w:t>the </w:t>
      </w:r>
      <w:r>
        <w:rPr>
          <w:spacing w:val="-3"/>
          <w:sz w:val="21"/>
        </w:rPr>
        <w:t>municipality</w:t>
      </w:r>
      <w:r>
        <w:rPr>
          <w:spacing w:val="41"/>
          <w:sz w:val="21"/>
        </w:rPr>
        <w:t> </w:t>
      </w:r>
      <w:r>
        <w:rPr>
          <w:spacing w:val="-3"/>
          <w:sz w:val="21"/>
        </w:rPr>
        <w:t>wherever  </w:t>
      </w:r>
      <w:r>
        <w:rPr>
          <w:spacing w:val="-4"/>
          <w:sz w:val="21"/>
        </w:rPr>
        <w:t>possible.</w:t>
      </w:r>
      <w:r>
        <w:rPr>
          <w:spacing w:val="-4"/>
          <w:position w:val="7"/>
          <w:sz w:val="12"/>
        </w:rPr>
        <w:t>167  </w:t>
      </w:r>
      <w:r>
        <w:rPr>
          <w:sz w:val="21"/>
        </w:rPr>
        <w:t>The PHW Act applies  </w:t>
      </w:r>
      <w:r>
        <w:rPr>
          <w:spacing w:val="-3"/>
          <w:sz w:val="21"/>
        </w:rPr>
        <w:t>to nuisances </w:t>
      </w:r>
      <w:r>
        <w:rPr>
          <w:sz w:val="21"/>
        </w:rPr>
        <w:t>which </w:t>
      </w:r>
      <w:r>
        <w:rPr>
          <w:spacing w:val="-3"/>
          <w:sz w:val="21"/>
        </w:rPr>
        <w:t>are dangerous to health </w:t>
      </w:r>
      <w:r>
        <w:rPr>
          <w:sz w:val="21"/>
        </w:rPr>
        <w:t>or </w:t>
      </w:r>
      <w:r>
        <w:rPr>
          <w:spacing w:val="-4"/>
          <w:sz w:val="21"/>
        </w:rPr>
        <w:t>offensive.</w:t>
      </w:r>
      <w:r>
        <w:rPr>
          <w:spacing w:val="-4"/>
          <w:position w:val="7"/>
          <w:sz w:val="12"/>
        </w:rPr>
        <w:t>168 </w:t>
      </w:r>
      <w:r>
        <w:rPr>
          <w:sz w:val="21"/>
        </w:rPr>
        <w:t>It is possible </w:t>
      </w:r>
      <w:r>
        <w:rPr>
          <w:spacing w:val="-3"/>
          <w:sz w:val="21"/>
        </w:rPr>
        <w:t>for </w:t>
      </w:r>
      <w:r>
        <w:rPr>
          <w:sz w:val="21"/>
        </w:rPr>
        <w:t>a tree </w:t>
      </w:r>
      <w:r>
        <w:rPr>
          <w:spacing w:val="-3"/>
          <w:sz w:val="21"/>
        </w:rPr>
        <w:t>to</w:t>
      </w:r>
      <w:r>
        <w:rPr>
          <w:spacing w:val="-12"/>
          <w:sz w:val="21"/>
        </w:rPr>
        <w:t> </w:t>
      </w:r>
      <w:r>
        <w:rPr>
          <w:spacing w:val="-3"/>
          <w:sz w:val="21"/>
        </w:rPr>
        <w:t>form</w:t>
      </w:r>
    </w:p>
    <w:p>
      <w:pPr>
        <w:pStyle w:val="BodyText"/>
        <w:spacing w:line="242" w:lineRule="auto" w:before="3"/>
        <w:ind w:left="2381" w:right="1558"/>
      </w:pPr>
      <w:r>
        <w:rPr>
          <w:w w:val="105"/>
        </w:rPr>
        <w:t>a </w:t>
      </w:r>
      <w:r>
        <w:rPr>
          <w:spacing w:val="-3"/>
          <w:w w:val="105"/>
        </w:rPr>
        <w:t>nuisance </w:t>
      </w:r>
      <w:r>
        <w:rPr>
          <w:w w:val="105"/>
        </w:rPr>
        <w:t>and </w:t>
      </w:r>
      <w:r>
        <w:rPr>
          <w:spacing w:val="-3"/>
          <w:w w:val="105"/>
        </w:rPr>
        <w:t>therefore for </w:t>
      </w:r>
      <w:r>
        <w:rPr>
          <w:w w:val="105"/>
        </w:rPr>
        <w:t>the PWH Act </w:t>
      </w:r>
      <w:r>
        <w:rPr>
          <w:spacing w:val="-3"/>
          <w:w w:val="105"/>
        </w:rPr>
        <w:t>to </w:t>
      </w:r>
      <w:r>
        <w:rPr>
          <w:w w:val="105"/>
        </w:rPr>
        <w:t>be used in </w:t>
      </w:r>
      <w:r>
        <w:rPr>
          <w:spacing w:val="-3"/>
          <w:w w:val="105"/>
        </w:rPr>
        <w:t>managing </w:t>
      </w:r>
      <w:r>
        <w:rPr>
          <w:w w:val="105"/>
        </w:rPr>
        <w:t>tree </w:t>
      </w:r>
      <w:r>
        <w:rPr>
          <w:spacing w:val="-3"/>
          <w:w w:val="105"/>
        </w:rPr>
        <w:t>disputes </w:t>
      </w:r>
      <w:r>
        <w:rPr>
          <w:w w:val="105"/>
        </w:rPr>
        <w:t>on </w:t>
      </w:r>
      <w:r>
        <w:rPr>
          <w:spacing w:val="-3"/>
          <w:w w:val="105"/>
        </w:rPr>
        <w:t>private </w:t>
      </w:r>
      <w:r>
        <w:rPr>
          <w:spacing w:val="-4"/>
          <w:w w:val="105"/>
        </w:rPr>
        <w:t>land.</w:t>
      </w:r>
    </w:p>
    <w:p>
      <w:pPr>
        <w:pStyle w:val="ListParagraph"/>
        <w:numPr>
          <w:ilvl w:val="1"/>
          <w:numId w:val="16"/>
        </w:numPr>
        <w:tabs>
          <w:tab w:pos="2380" w:val="left" w:leader="none"/>
          <w:tab w:pos="2381" w:val="left" w:leader="none"/>
        </w:tabs>
        <w:spacing w:line="240" w:lineRule="auto" w:before="123" w:after="0"/>
        <w:ind w:left="2380" w:right="0" w:hanging="793"/>
        <w:jc w:val="left"/>
        <w:rPr>
          <w:sz w:val="21"/>
        </w:rPr>
      </w:pPr>
      <w:r>
        <w:rPr>
          <w:spacing w:val="-4"/>
          <w:w w:val="105"/>
          <w:sz w:val="21"/>
        </w:rPr>
        <w:t>Any person can </w:t>
      </w:r>
      <w:r>
        <w:rPr>
          <w:spacing w:val="-5"/>
          <w:w w:val="105"/>
          <w:sz w:val="21"/>
        </w:rPr>
        <w:t>contact their </w:t>
      </w:r>
      <w:r>
        <w:rPr>
          <w:spacing w:val="-4"/>
          <w:w w:val="105"/>
          <w:sz w:val="21"/>
        </w:rPr>
        <w:t>local </w:t>
      </w:r>
      <w:r>
        <w:rPr>
          <w:spacing w:val="-6"/>
          <w:w w:val="105"/>
          <w:sz w:val="21"/>
        </w:rPr>
        <w:t>council </w:t>
      </w:r>
      <w:r>
        <w:rPr>
          <w:spacing w:val="-3"/>
          <w:w w:val="105"/>
          <w:sz w:val="21"/>
        </w:rPr>
        <w:t>if </w:t>
      </w:r>
      <w:r>
        <w:rPr>
          <w:spacing w:val="-4"/>
          <w:w w:val="105"/>
          <w:sz w:val="21"/>
        </w:rPr>
        <w:t>they </w:t>
      </w:r>
      <w:r>
        <w:rPr>
          <w:spacing w:val="-5"/>
          <w:w w:val="105"/>
          <w:sz w:val="21"/>
        </w:rPr>
        <w:t>believe </w:t>
      </w:r>
      <w:r>
        <w:rPr>
          <w:w w:val="105"/>
          <w:sz w:val="21"/>
        </w:rPr>
        <w:t>a </w:t>
      </w:r>
      <w:r>
        <w:rPr>
          <w:spacing w:val="-6"/>
          <w:w w:val="105"/>
          <w:sz w:val="21"/>
        </w:rPr>
        <w:t>nuisance exists.</w:t>
      </w:r>
      <w:r>
        <w:rPr>
          <w:spacing w:val="-6"/>
          <w:w w:val="105"/>
          <w:position w:val="7"/>
          <w:sz w:val="12"/>
        </w:rPr>
        <w:t>169 </w:t>
      </w:r>
      <w:r>
        <w:rPr>
          <w:spacing w:val="-3"/>
          <w:w w:val="105"/>
          <w:sz w:val="21"/>
        </w:rPr>
        <w:t>The </w:t>
      </w:r>
      <w:r>
        <w:rPr>
          <w:spacing w:val="-6"/>
          <w:w w:val="105"/>
          <w:sz w:val="21"/>
        </w:rPr>
        <w:t>council</w:t>
      </w:r>
      <w:r>
        <w:rPr>
          <w:spacing w:val="28"/>
          <w:w w:val="105"/>
          <w:sz w:val="21"/>
        </w:rPr>
        <w:t> </w:t>
      </w:r>
      <w:r>
        <w:rPr>
          <w:spacing w:val="-3"/>
          <w:w w:val="105"/>
          <w:sz w:val="21"/>
        </w:rPr>
        <w:t>can:</w:t>
      </w:r>
    </w:p>
    <w:p>
      <w:pPr>
        <w:pStyle w:val="ListParagraph"/>
        <w:numPr>
          <w:ilvl w:val="2"/>
          <w:numId w:val="16"/>
        </w:numPr>
        <w:tabs>
          <w:tab w:pos="2721" w:val="left" w:leader="none"/>
          <w:tab w:pos="2722" w:val="left" w:leader="none"/>
        </w:tabs>
        <w:spacing w:line="240" w:lineRule="auto" w:before="123" w:after="0"/>
        <w:ind w:left="2721" w:right="0" w:hanging="340"/>
        <w:jc w:val="left"/>
        <w:rPr>
          <w:sz w:val="21"/>
        </w:rPr>
      </w:pPr>
      <w:r>
        <w:rPr>
          <w:sz w:val="21"/>
        </w:rPr>
        <w:t>issue an </w:t>
      </w:r>
      <w:r>
        <w:rPr>
          <w:spacing w:val="-3"/>
          <w:sz w:val="21"/>
        </w:rPr>
        <w:t>improvement notice </w:t>
      </w:r>
      <w:r>
        <w:rPr>
          <w:sz w:val="21"/>
        </w:rPr>
        <w:t>or </w:t>
      </w:r>
      <w:r>
        <w:rPr>
          <w:spacing w:val="-3"/>
          <w:sz w:val="21"/>
        </w:rPr>
        <w:t>prohibition</w:t>
      </w:r>
      <w:r>
        <w:rPr>
          <w:spacing w:val="18"/>
          <w:sz w:val="21"/>
        </w:rPr>
        <w:t> </w:t>
      </w:r>
      <w:r>
        <w:rPr>
          <w:spacing w:val="-5"/>
          <w:sz w:val="21"/>
        </w:rPr>
        <w:t>notice</w:t>
      </w:r>
      <w:r>
        <w:rPr>
          <w:spacing w:val="-5"/>
          <w:position w:val="7"/>
          <w:sz w:val="12"/>
        </w:rPr>
        <w:t>170</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w w:val="105"/>
          <w:sz w:val="21"/>
        </w:rPr>
        <w:t>initiate proceedings for </w:t>
      </w:r>
      <w:r>
        <w:rPr>
          <w:w w:val="105"/>
          <w:sz w:val="21"/>
        </w:rPr>
        <w:t>an </w:t>
      </w:r>
      <w:r>
        <w:rPr>
          <w:spacing w:val="-3"/>
          <w:w w:val="105"/>
          <w:sz w:val="21"/>
        </w:rPr>
        <w:t>offence </w:t>
      </w:r>
      <w:r>
        <w:rPr>
          <w:w w:val="105"/>
          <w:sz w:val="21"/>
        </w:rPr>
        <w:t>under the</w:t>
      </w:r>
      <w:r>
        <w:rPr>
          <w:spacing w:val="49"/>
          <w:w w:val="105"/>
          <w:sz w:val="21"/>
        </w:rPr>
        <w:t> </w:t>
      </w:r>
      <w:r>
        <w:rPr>
          <w:spacing w:val="-4"/>
          <w:w w:val="105"/>
          <w:sz w:val="21"/>
        </w:rPr>
        <w:t>Act</w:t>
      </w:r>
      <w:r>
        <w:rPr>
          <w:spacing w:val="-4"/>
          <w:w w:val="105"/>
          <w:position w:val="7"/>
          <w:sz w:val="12"/>
        </w:rPr>
        <w:t>171</w:t>
      </w:r>
    </w:p>
    <w:p>
      <w:pPr>
        <w:pStyle w:val="ListParagraph"/>
        <w:numPr>
          <w:ilvl w:val="2"/>
          <w:numId w:val="16"/>
        </w:numPr>
        <w:tabs>
          <w:tab w:pos="2721" w:val="left" w:leader="none"/>
          <w:tab w:pos="2722" w:val="left" w:leader="none"/>
        </w:tabs>
        <w:spacing w:line="242" w:lineRule="auto" w:before="89" w:after="0"/>
        <w:ind w:left="2721" w:right="1586" w:hanging="340"/>
        <w:jc w:val="left"/>
        <w:rPr>
          <w:sz w:val="21"/>
        </w:rPr>
      </w:pPr>
      <w:r>
        <w:rPr>
          <w:spacing w:val="-3"/>
          <w:w w:val="105"/>
          <w:sz w:val="21"/>
        </w:rPr>
        <w:t>enter </w:t>
      </w:r>
      <w:r>
        <w:rPr>
          <w:w w:val="105"/>
          <w:sz w:val="21"/>
        </w:rPr>
        <w:t>the </w:t>
      </w:r>
      <w:r>
        <w:rPr>
          <w:spacing w:val="-2"/>
          <w:w w:val="105"/>
          <w:sz w:val="21"/>
        </w:rPr>
        <w:t>premises </w:t>
      </w:r>
      <w:r>
        <w:rPr>
          <w:w w:val="105"/>
          <w:sz w:val="21"/>
        </w:rPr>
        <w:t>and </w:t>
      </w:r>
      <w:r>
        <w:rPr>
          <w:spacing w:val="-3"/>
          <w:w w:val="105"/>
          <w:sz w:val="21"/>
        </w:rPr>
        <w:t>abate </w:t>
      </w:r>
      <w:r>
        <w:rPr>
          <w:w w:val="105"/>
          <w:sz w:val="21"/>
        </w:rPr>
        <w:t>the </w:t>
      </w:r>
      <w:r>
        <w:rPr>
          <w:spacing w:val="-3"/>
          <w:w w:val="105"/>
          <w:sz w:val="21"/>
        </w:rPr>
        <w:t>nuisance </w:t>
      </w:r>
      <w:r>
        <w:rPr>
          <w:w w:val="105"/>
          <w:sz w:val="21"/>
        </w:rPr>
        <w:t>if the owner or </w:t>
      </w:r>
      <w:r>
        <w:rPr>
          <w:spacing w:val="-3"/>
          <w:w w:val="105"/>
          <w:sz w:val="21"/>
        </w:rPr>
        <w:t>occupier </w:t>
      </w:r>
      <w:r>
        <w:rPr>
          <w:w w:val="105"/>
          <w:sz w:val="21"/>
        </w:rPr>
        <w:t>of the </w:t>
      </w:r>
      <w:r>
        <w:rPr>
          <w:spacing w:val="-3"/>
          <w:w w:val="105"/>
          <w:sz w:val="21"/>
        </w:rPr>
        <w:t>land cannot </w:t>
      </w:r>
      <w:r>
        <w:rPr>
          <w:w w:val="105"/>
          <w:sz w:val="21"/>
        </w:rPr>
        <w:t>be </w:t>
      </w:r>
      <w:r>
        <w:rPr>
          <w:spacing w:val="-5"/>
          <w:w w:val="105"/>
          <w:sz w:val="21"/>
        </w:rPr>
        <w:t>found,</w:t>
      </w:r>
      <w:r>
        <w:rPr>
          <w:spacing w:val="-5"/>
          <w:w w:val="105"/>
          <w:position w:val="7"/>
          <w:sz w:val="12"/>
        </w:rPr>
        <w:t>172</w:t>
      </w:r>
      <w:r>
        <w:rPr>
          <w:spacing w:val="11"/>
          <w:w w:val="105"/>
          <w:position w:val="7"/>
          <w:sz w:val="12"/>
        </w:rPr>
        <w:t> </w:t>
      </w:r>
      <w:r>
        <w:rPr>
          <w:w w:val="105"/>
          <w:sz w:val="21"/>
        </w:rPr>
        <w:t>or</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z w:val="21"/>
        </w:rPr>
        <w:t>advise</w:t>
      </w:r>
      <w:r>
        <w:rPr>
          <w:spacing w:val="9"/>
          <w:sz w:val="21"/>
        </w:rPr>
        <w:t> </w:t>
      </w:r>
      <w:r>
        <w:rPr>
          <w:sz w:val="21"/>
        </w:rPr>
        <w:t>the</w:t>
      </w:r>
      <w:r>
        <w:rPr>
          <w:spacing w:val="10"/>
          <w:sz w:val="21"/>
        </w:rPr>
        <w:t> </w:t>
      </w:r>
      <w:r>
        <w:rPr>
          <w:spacing w:val="-3"/>
          <w:sz w:val="21"/>
        </w:rPr>
        <w:t>complainant</w:t>
      </w:r>
      <w:r>
        <w:rPr>
          <w:spacing w:val="9"/>
          <w:sz w:val="21"/>
        </w:rPr>
        <w:t> </w:t>
      </w:r>
      <w:r>
        <w:rPr>
          <w:sz w:val="21"/>
        </w:rPr>
        <w:t>of</w:t>
      </w:r>
      <w:r>
        <w:rPr>
          <w:spacing w:val="10"/>
          <w:sz w:val="21"/>
        </w:rPr>
        <w:t> </w:t>
      </w:r>
      <w:r>
        <w:rPr>
          <w:spacing w:val="-3"/>
          <w:sz w:val="21"/>
        </w:rPr>
        <w:t>any</w:t>
      </w:r>
      <w:r>
        <w:rPr>
          <w:spacing w:val="10"/>
          <w:sz w:val="21"/>
        </w:rPr>
        <w:t> </w:t>
      </w:r>
      <w:r>
        <w:rPr>
          <w:sz w:val="21"/>
        </w:rPr>
        <w:t>options</w:t>
      </w:r>
      <w:r>
        <w:rPr>
          <w:spacing w:val="9"/>
          <w:sz w:val="21"/>
        </w:rPr>
        <w:t> </w:t>
      </w:r>
      <w:r>
        <w:rPr>
          <w:spacing w:val="-3"/>
          <w:sz w:val="21"/>
        </w:rPr>
        <w:t>to</w:t>
      </w:r>
      <w:r>
        <w:rPr>
          <w:spacing w:val="10"/>
          <w:sz w:val="21"/>
        </w:rPr>
        <w:t> </w:t>
      </w:r>
      <w:r>
        <w:rPr>
          <w:sz w:val="21"/>
        </w:rPr>
        <w:t>settle</w:t>
      </w:r>
      <w:r>
        <w:rPr>
          <w:spacing w:val="10"/>
          <w:sz w:val="21"/>
        </w:rPr>
        <w:t> </w:t>
      </w:r>
      <w:r>
        <w:rPr>
          <w:sz w:val="21"/>
        </w:rPr>
        <w:t>the</w:t>
      </w:r>
      <w:r>
        <w:rPr>
          <w:spacing w:val="9"/>
          <w:sz w:val="21"/>
        </w:rPr>
        <w:t> </w:t>
      </w:r>
      <w:r>
        <w:rPr>
          <w:sz w:val="21"/>
        </w:rPr>
        <w:t>matter</w:t>
      </w:r>
      <w:r>
        <w:rPr>
          <w:spacing w:val="10"/>
          <w:sz w:val="21"/>
        </w:rPr>
        <w:t> </w:t>
      </w:r>
      <w:r>
        <w:rPr>
          <w:spacing w:val="-5"/>
          <w:sz w:val="21"/>
        </w:rPr>
        <w:t>privately.</w:t>
      </w:r>
      <w:r>
        <w:rPr>
          <w:spacing w:val="-5"/>
          <w:position w:val="7"/>
          <w:sz w:val="12"/>
        </w:rPr>
        <w:t>173</w:t>
      </w:r>
    </w:p>
    <w:p>
      <w:pPr>
        <w:pStyle w:val="ListParagraph"/>
        <w:numPr>
          <w:ilvl w:val="1"/>
          <w:numId w:val="16"/>
        </w:numPr>
        <w:tabs>
          <w:tab w:pos="2381" w:val="left" w:leader="none"/>
          <w:tab w:pos="2382" w:val="left" w:leader="none"/>
        </w:tabs>
        <w:spacing w:line="242" w:lineRule="auto" w:before="89" w:after="0"/>
        <w:ind w:left="2381" w:right="2463" w:hanging="794"/>
        <w:jc w:val="left"/>
        <w:rPr>
          <w:sz w:val="21"/>
        </w:rPr>
      </w:pPr>
      <w:r>
        <w:rPr>
          <w:w w:val="105"/>
          <w:sz w:val="21"/>
        </w:rPr>
        <w:t>If </w:t>
      </w:r>
      <w:r>
        <w:rPr>
          <w:spacing w:val="-3"/>
          <w:w w:val="105"/>
          <w:sz w:val="21"/>
        </w:rPr>
        <w:t>council </w:t>
      </w:r>
      <w:r>
        <w:rPr>
          <w:spacing w:val="-4"/>
          <w:w w:val="105"/>
          <w:sz w:val="21"/>
        </w:rPr>
        <w:t>fails </w:t>
      </w:r>
      <w:r>
        <w:rPr>
          <w:spacing w:val="-3"/>
          <w:w w:val="105"/>
          <w:sz w:val="21"/>
        </w:rPr>
        <w:t>to investigate </w:t>
      </w:r>
      <w:r>
        <w:rPr>
          <w:w w:val="105"/>
          <w:sz w:val="21"/>
        </w:rPr>
        <w:t>the </w:t>
      </w:r>
      <w:r>
        <w:rPr>
          <w:spacing w:val="-3"/>
          <w:w w:val="105"/>
          <w:sz w:val="21"/>
        </w:rPr>
        <w:t>nuisance within </w:t>
      </w:r>
      <w:r>
        <w:rPr>
          <w:w w:val="105"/>
          <w:sz w:val="21"/>
        </w:rPr>
        <w:t>a </w:t>
      </w:r>
      <w:r>
        <w:rPr>
          <w:spacing w:val="-3"/>
          <w:w w:val="105"/>
          <w:sz w:val="21"/>
        </w:rPr>
        <w:t>reasonable </w:t>
      </w:r>
      <w:r>
        <w:rPr>
          <w:w w:val="105"/>
          <w:sz w:val="21"/>
        </w:rPr>
        <w:t>period of </w:t>
      </w:r>
      <w:r>
        <w:rPr>
          <w:spacing w:val="-3"/>
          <w:w w:val="105"/>
          <w:sz w:val="21"/>
        </w:rPr>
        <w:t>time, </w:t>
      </w:r>
      <w:r>
        <w:rPr>
          <w:w w:val="105"/>
          <w:sz w:val="21"/>
        </w:rPr>
        <w:t>the </w:t>
      </w:r>
      <w:r>
        <w:rPr>
          <w:spacing w:val="-3"/>
          <w:w w:val="105"/>
          <w:sz w:val="21"/>
        </w:rPr>
        <w:t>complainant </w:t>
      </w:r>
      <w:r>
        <w:rPr>
          <w:w w:val="105"/>
          <w:sz w:val="21"/>
        </w:rPr>
        <w:t>can </w:t>
      </w:r>
      <w:r>
        <w:rPr>
          <w:spacing w:val="-3"/>
          <w:w w:val="105"/>
          <w:sz w:val="21"/>
        </w:rPr>
        <w:t>commence proceedings </w:t>
      </w:r>
      <w:r>
        <w:rPr>
          <w:w w:val="105"/>
          <w:sz w:val="21"/>
        </w:rPr>
        <w:t>in the </w:t>
      </w:r>
      <w:r>
        <w:rPr>
          <w:spacing w:val="-3"/>
          <w:w w:val="105"/>
          <w:sz w:val="21"/>
        </w:rPr>
        <w:t>Magistrates’</w:t>
      </w:r>
      <w:r>
        <w:rPr>
          <w:spacing w:val="-2"/>
          <w:w w:val="105"/>
          <w:sz w:val="21"/>
        </w:rPr>
        <w:t> </w:t>
      </w:r>
      <w:r>
        <w:rPr>
          <w:spacing w:val="-6"/>
          <w:w w:val="105"/>
          <w:sz w:val="21"/>
        </w:rPr>
        <w:t>Court.</w:t>
      </w:r>
      <w:r>
        <w:rPr>
          <w:spacing w:val="-6"/>
          <w:w w:val="105"/>
          <w:position w:val="7"/>
          <w:sz w:val="12"/>
        </w:rPr>
        <w:t>174</w:t>
      </w:r>
    </w:p>
    <w:p>
      <w:pPr>
        <w:pStyle w:val="ListParagraph"/>
        <w:numPr>
          <w:ilvl w:val="1"/>
          <w:numId w:val="16"/>
        </w:numPr>
        <w:tabs>
          <w:tab w:pos="2380" w:val="left" w:leader="none"/>
          <w:tab w:pos="2381" w:val="left" w:leader="none"/>
        </w:tabs>
        <w:spacing w:line="242" w:lineRule="auto" w:before="122" w:after="0"/>
        <w:ind w:left="2381" w:right="1423" w:hanging="794"/>
        <w:jc w:val="left"/>
        <w:rPr>
          <w:sz w:val="21"/>
        </w:rPr>
      </w:pPr>
      <w:r>
        <w:rPr>
          <w:spacing w:val="-3"/>
          <w:w w:val="105"/>
          <w:sz w:val="21"/>
        </w:rPr>
        <w:t>The </w:t>
      </w:r>
      <w:r>
        <w:rPr>
          <w:spacing w:val="-6"/>
          <w:w w:val="105"/>
          <w:sz w:val="21"/>
        </w:rPr>
        <w:t>Commission asked </w:t>
      </w:r>
      <w:r>
        <w:rPr>
          <w:w w:val="105"/>
          <w:sz w:val="21"/>
        </w:rPr>
        <w:t>a </w:t>
      </w:r>
      <w:r>
        <w:rPr>
          <w:spacing w:val="-5"/>
          <w:w w:val="105"/>
          <w:sz w:val="21"/>
        </w:rPr>
        <w:t>number </w:t>
      </w:r>
      <w:r>
        <w:rPr>
          <w:spacing w:val="-4"/>
          <w:w w:val="105"/>
          <w:sz w:val="21"/>
        </w:rPr>
        <w:t>of </w:t>
      </w:r>
      <w:r>
        <w:rPr>
          <w:spacing w:val="-6"/>
          <w:w w:val="105"/>
          <w:sz w:val="21"/>
        </w:rPr>
        <w:t>councils </w:t>
      </w:r>
      <w:r>
        <w:rPr>
          <w:spacing w:val="-5"/>
          <w:w w:val="105"/>
          <w:sz w:val="21"/>
        </w:rPr>
        <w:t>whether </w:t>
      </w:r>
      <w:r>
        <w:rPr>
          <w:spacing w:val="-4"/>
          <w:w w:val="105"/>
          <w:sz w:val="21"/>
        </w:rPr>
        <w:t>the </w:t>
      </w:r>
      <w:r>
        <w:rPr>
          <w:spacing w:val="-6"/>
          <w:w w:val="105"/>
          <w:sz w:val="21"/>
        </w:rPr>
        <w:t>nuisance </w:t>
      </w:r>
      <w:r>
        <w:rPr>
          <w:spacing w:val="-5"/>
          <w:w w:val="105"/>
          <w:sz w:val="21"/>
        </w:rPr>
        <w:t>offence under </w:t>
      </w:r>
      <w:r>
        <w:rPr>
          <w:spacing w:val="-4"/>
          <w:w w:val="105"/>
          <w:sz w:val="21"/>
        </w:rPr>
        <w:t>the </w:t>
      </w:r>
      <w:r>
        <w:rPr>
          <w:spacing w:val="-3"/>
          <w:w w:val="105"/>
          <w:sz w:val="21"/>
        </w:rPr>
        <w:t>PHW </w:t>
      </w:r>
      <w:r>
        <w:rPr>
          <w:w w:val="105"/>
          <w:sz w:val="21"/>
        </w:rPr>
        <w:t>Act </w:t>
      </w:r>
      <w:r>
        <w:rPr>
          <w:spacing w:val="-5"/>
          <w:w w:val="105"/>
          <w:sz w:val="21"/>
        </w:rPr>
        <w:t>applied </w:t>
      </w:r>
      <w:r>
        <w:rPr>
          <w:spacing w:val="-4"/>
          <w:w w:val="105"/>
          <w:sz w:val="21"/>
        </w:rPr>
        <w:t>to tree </w:t>
      </w:r>
      <w:r>
        <w:rPr>
          <w:spacing w:val="-5"/>
          <w:w w:val="105"/>
          <w:sz w:val="21"/>
        </w:rPr>
        <w:t>disputes </w:t>
      </w:r>
      <w:r>
        <w:rPr>
          <w:spacing w:val="-3"/>
          <w:w w:val="105"/>
          <w:sz w:val="21"/>
        </w:rPr>
        <w:t>on </w:t>
      </w:r>
      <w:r>
        <w:rPr>
          <w:spacing w:val="-6"/>
          <w:w w:val="105"/>
          <w:sz w:val="21"/>
        </w:rPr>
        <w:t>private land. </w:t>
      </w:r>
      <w:r>
        <w:rPr>
          <w:spacing w:val="-4"/>
          <w:w w:val="105"/>
          <w:sz w:val="21"/>
        </w:rPr>
        <w:t>All </w:t>
      </w:r>
      <w:r>
        <w:rPr>
          <w:spacing w:val="-6"/>
          <w:w w:val="105"/>
          <w:sz w:val="21"/>
        </w:rPr>
        <w:t>councils consulted </w:t>
      </w:r>
      <w:r>
        <w:rPr>
          <w:spacing w:val="-4"/>
          <w:w w:val="105"/>
          <w:sz w:val="21"/>
        </w:rPr>
        <w:t>with </w:t>
      </w:r>
      <w:r>
        <w:rPr>
          <w:spacing w:val="-5"/>
          <w:w w:val="105"/>
          <w:sz w:val="21"/>
        </w:rPr>
        <w:t>suggested that </w:t>
      </w:r>
      <w:r>
        <w:rPr>
          <w:spacing w:val="-4"/>
          <w:w w:val="105"/>
          <w:sz w:val="21"/>
        </w:rPr>
        <w:t>the </w:t>
      </w:r>
      <w:r>
        <w:rPr>
          <w:spacing w:val="-3"/>
          <w:w w:val="105"/>
          <w:sz w:val="21"/>
        </w:rPr>
        <w:t>PHW </w:t>
      </w:r>
      <w:r>
        <w:rPr>
          <w:w w:val="105"/>
          <w:sz w:val="21"/>
        </w:rPr>
        <w:t>Act </w:t>
      </w:r>
      <w:r>
        <w:rPr>
          <w:spacing w:val="-4"/>
          <w:w w:val="105"/>
          <w:sz w:val="21"/>
        </w:rPr>
        <w:t>had not been used </w:t>
      </w:r>
      <w:r>
        <w:rPr>
          <w:spacing w:val="-3"/>
          <w:w w:val="105"/>
          <w:sz w:val="21"/>
        </w:rPr>
        <w:t>or </w:t>
      </w:r>
      <w:r>
        <w:rPr>
          <w:spacing w:val="-4"/>
          <w:w w:val="105"/>
          <w:sz w:val="21"/>
        </w:rPr>
        <w:t>had not </w:t>
      </w:r>
      <w:r>
        <w:rPr>
          <w:spacing w:val="-5"/>
          <w:w w:val="105"/>
          <w:sz w:val="21"/>
        </w:rPr>
        <w:t>played </w:t>
      </w:r>
      <w:r>
        <w:rPr>
          <w:w w:val="105"/>
          <w:sz w:val="21"/>
        </w:rPr>
        <w:t>a </w:t>
      </w:r>
      <w:r>
        <w:rPr>
          <w:spacing w:val="-5"/>
          <w:w w:val="105"/>
          <w:sz w:val="21"/>
        </w:rPr>
        <w:t>role </w:t>
      </w:r>
      <w:r>
        <w:rPr>
          <w:spacing w:val="-4"/>
          <w:w w:val="105"/>
          <w:sz w:val="21"/>
        </w:rPr>
        <w:t>in </w:t>
      </w:r>
      <w:r>
        <w:rPr>
          <w:spacing w:val="-5"/>
          <w:w w:val="105"/>
          <w:sz w:val="21"/>
        </w:rPr>
        <w:t>resolving neighbourhood </w:t>
      </w:r>
      <w:r>
        <w:rPr>
          <w:spacing w:val="-4"/>
          <w:w w:val="105"/>
          <w:sz w:val="21"/>
        </w:rPr>
        <w:t>tree</w:t>
      </w:r>
      <w:r>
        <w:rPr>
          <w:spacing w:val="-1"/>
          <w:w w:val="105"/>
          <w:sz w:val="21"/>
        </w:rPr>
        <w:t> </w:t>
      </w:r>
      <w:r>
        <w:rPr>
          <w:spacing w:val="-7"/>
          <w:w w:val="105"/>
          <w:sz w:val="21"/>
        </w:rPr>
        <w:t>disputes.</w:t>
      </w:r>
      <w:r>
        <w:rPr>
          <w:spacing w:val="-7"/>
          <w:w w:val="105"/>
          <w:position w:val="7"/>
          <w:sz w:val="12"/>
        </w:rPr>
        <w:t>175</w:t>
      </w:r>
    </w:p>
    <w:p>
      <w:pPr>
        <w:pStyle w:val="BodyText"/>
        <w:spacing w:before="3"/>
        <w:ind w:left="2381"/>
        <w:rPr>
          <w:sz w:val="12"/>
        </w:rPr>
      </w:pPr>
      <w:r>
        <w:rPr/>
        <w:pict>
          <v:line style="position:absolute;mso-position-horizontal-relative:page;mso-position-vertical-relative:paragraph;z-index:9752;mso-wrap-distance-left:0;mso-wrap-distance-right:0" from="79.370102pt,20.114561pt" to="524.409102pt,20.114561pt" stroked="true" strokeweight="1pt" strokecolor="#c9d2cb">
            <v:stroke dashstyle="solid"/>
            <w10:wrap type="topAndBottom"/>
          </v:line>
        </w:pict>
      </w:r>
      <w:r>
        <w:rPr>
          <w:w w:val="105"/>
        </w:rPr>
        <w:t>It is more likely to be used ‘to manage noise issues, odour issues and rodent infestations’.</w:t>
      </w:r>
      <w:r>
        <w:rPr>
          <w:w w:val="105"/>
          <w:position w:val="7"/>
          <w:sz w:val="12"/>
        </w:rPr>
        <w:t>176</w:t>
      </w:r>
    </w:p>
    <w:p>
      <w:pPr>
        <w:pStyle w:val="BodyText"/>
        <w:spacing w:before="8"/>
        <w:rPr>
          <w:sz w:val="5"/>
        </w:rPr>
      </w:pPr>
    </w:p>
    <w:p>
      <w:pPr>
        <w:spacing w:after="0"/>
        <w:rPr>
          <w:sz w:val="5"/>
        </w:rPr>
        <w:sectPr>
          <w:pgSz w:w="11910" w:h="16840"/>
          <w:pgMar w:header="808" w:footer="0" w:top="1360" w:bottom="280" w:left="0" w:right="0"/>
        </w:sectPr>
      </w:pPr>
    </w:p>
    <w:p>
      <w:pPr>
        <w:tabs>
          <w:tab w:pos="2381" w:val="left" w:leader="none"/>
        </w:tabs>
        <w:spacing w:before="48"/>
        <w:ind w:left="1587" w:right="0" w:firstLine="0"/>
        <w:jc w:val="left"/>
        <w:rPr>
          <w:sz w:val="13"/>
        </w:rPr>
      </w:pPr>
      <w:r>
        <w:rPr>
          <w:spacing w:val="-3"/>
          <w:w w:val="105"/>
          <w:sz w:val="13"/>
        </w:rPr>
        <w:t>161</w:t>
        <w:tab/>
      </w:r>
      <w:r>
        <w:rPr>
          <w:i/>
          <w:w w:val="105"/>
          <w:sz w:val="13"/>
        </w:rPr>
        <w:t>Metropolitan Fire Brigades Act 1958 </w:t>
      </w:r>
      <w:r>
        <w:rPr>
          <w:spacing w:val="2"/>
          <w:w w:val="105"/>
          <w:sz w:val="13"/>
        </w:rPr>
        <w:t>(Vic) </w:t>
      </w:r>
      <w:r>
        <w:rPr>
          <w:w w:val="105"/>
          <w:sz w:val="13"/>
        </w:rPr>
        <w:t>ss</w:t>
      </w:r>
      <w:r>
        <w:rPr>
          <w:spacing w:val="30"/>
          <w:w w:val="105"/>
          <w:sz w:val="13"/>
        </w:rPr>
        <w:t> </w:t>
      </w:r>
      <w:r>
        <w:rPr>
          <w:w w:val="105"/>
          <w:sz w:val="13"/>
        </w:rPr>
        <w:t>87–92.</w:t>
      </w:r>
    </w:p>
    <w:p>
      <w:pPr>
        <w:tabs>
          <w:tab w:pos="2381" w:val="left" w:leader="none"/>
        </w:tabs>
        <w:spacing w:before="1"/>
        <w:ind w:left="1587" w:right="0" w:firstLine="0"/>
        <w:jc w:val="left"/>
        <w:rPr>
          <w:sz w:val="13"/>
        </w:rPr>
      </w:pPr>
      <w:r>
        <w:rPr>
          <w:w w:val="105"/>
          <w:sz w:val="13"/>
        </w:rPr>
        <w:t>162</w:t>
        <w:tab/>
      </w:r>
      <w:r>
        <w:rPr>
          <w:i/>
          <w:w w:val="105"/>
          <w:sz w:val="13"/>
        </w:rPr>
        <w:t>Electricity Safety Act 1998 </w:t>
      </w:r>
      <w:r>
        <w:rPr>
          <w:spacing w:val="2"/>
          <w:w w:val="105"/>
          <w:sz w:val="13"/>
        </w:rPr>
        <w:t>(Vic) </w:t>
      </w:r>
      <w:r>
        <w:rPr>
          <w:w w:val="105"/>
          <w:sz w:val="13"/>
        </w:rPr>
        <w:t>s</w:t>
      </w:r>
      <w:r>
        <w:rPr>
          <w:spacing w:val="25"/>
          <w:w w:val="105"/>
          <w:sz w:val="13"/>
        </w:rPr>
        <w:t> </w:t>
      </w:r>
      <w:r>
        <w:rPr>
          <w:spacing w:val="2"/>
          <w:w w:val="105"/>
          <w:sz w:val="13"/>
        </w:rPr>
        <w:t>84B.</w:t>
      </w:r>
    </w:p>
    <w:p>
      <w:pPr>
        <w:tabs>
          <w:tab w:pos="2381" w:val="left" w:leader="none"/>
        </w:tabs>
        <w:spacing w:before="2"/>
        <w:ind w:left="1587" w:right="0" w:firstLine="0"/>
        <w:jc w:val="left"/>
        <w:rPr>
          <w:sz w:val="13"/>
        </w:rPr>
      </w:pPr>
      <w:r>
        <w:rPr>
          <w:w w:val="105"/>
          <w:sz w:val="13"/>
        </w:rPr>
        <w:t>163</w:t>
        <w:tab/>
        <w:t>Ibid s</w:t>
      </w:r>
      <w:r>
        <w:rPr>
          <w:spacing w:val="9"/>
          <w:w w:val="105"/>
          <w:sz w:val="13"/>
        </w:rPr>
        <w:t> </w:t>
      </w:r>
      <w:r>
        <w:rPr>
          <w:spacing w:val="2"/>
          <w:w w:val="105"/>
          <w:sz w:val="13"/>
        </w:rPr>
        <w:t>86(1).</w:t>
      </w:r>
    </w:p>
    <w:p>
      <w:pPr>
        <w:pStyle w:val="ListParagraph"/>
        <w:numPr>
          <w:ilvl w:val="0"/>
          <w:numId w:val="169"/>
        </w:numPr>
        <w:tabs>
          <w:tab w:pos="2381" w:val="left" w:leader="none"/>
          <w:tab w:pos="2382" w:val="left" w:leader="none"/>
        </w:tabs>
        <w:spacing w:line="240" w:lineRule="auto" w:before="1" w:after="0"/>
        <w:ind w:left="2381" w:right="96" w:hanging="794"/>
        <w:jc w:val="left"/>
        <w:rPr>
          <w:sz w:val="13"/>
        </w:rPr>
      </w:pPr>
      <w:r>
        <w:rPr>
          <w:sz w:val="13"/>
        </w:rPr>
        <w:t>Ibid ss 86 </w:t>
      </w:r>
      <w:r>
        <w:rPr>
          <w:spacing w:val="5"/>
          <w:sz w:val="13"/>
        </w:rPr>
        <w:t>(5)–(7). </w:t>
      </w:r>
      <w:r>
        <w:rPr>
          <w:sz w:val="13"/>
        </w:rPr>
        <w:t>The </w:t>
      </w:r>
      <w:r>
        <w:rPr>
          <w:spacing w:val="2"/>
          <w:sz w:val="13"/>
        </w:rPr>
        <w:t>third-party </w:t>
      </w:r>
      <w:r>
        <w:rPr>
          <w:sz w:val="13"/>
        </w:rPr>
        <w:t>contractor is able to recover the costs of undertaking the works from the owner or occupier of land on       which the tree is</w:t>
      </w:r>
      <w:r>
        <w:rPr>
          <w:spacing w:val="25"/>
          <w:sz w:val="13"/>
        </w:rPr>
        <w:t> </w:t>
      </w:r>
      <w:r>
        <w:rPr>
          <w:sz w:val="13"/>
        </w:rPr>
        <w:t>situated.</w:t>
      </w:r>
    </w:p>
    <w:p>
      <w:pPr>
        <w:pStyle w:val="ListParagraph"/>
        <w:numPr>
          <w:ilvl w:val="0"/>
          <w:numId w:val="169"/>
        </w:numPr>
        <w:tabs>
          <w:tab w:pos="2381" w:val="left" w:leader="none"/>
          <w:tab w:pos="2382" w:val="left" w:leader="none"/>
        </w:tabs>
        <w:spacing w:line="240" w:lineRule="auto" w:before="3" w:after="0"/>
        <w:ind w:left="2381" w:right="0" w:hanging="794"/>
        <w:jc w:val="left"/>
        <w:rPr>
          <w:sz w:val="13"/>
        </w:rPr>
      </w:pPr>
      <w:r>
        <w:rPr>
          <w:w w:val="105"/>
          <w:sz w:val="13"/>
        </w:rPr>
        <w:t>See,</w:t>
      </w:r>
      <w:r>
        <w:rPr>
          <w:spacing w:val="5"/>
          <w:w w:val="105"/>
          <w:sz w:val="13"/>
        </w:rPr>
        <w:t> </w:t>
      </w:r>
      <w:r>
        <w:rPr>
          <w:w w:val="105"/>
          <w:sz w:val="13"/>
        </w:rPr>
        <w:t>eg,</w:t>
      </w:r>
      <w:r>
        <w:rPr>
          <w:spacing w:val="5"/>
          <w:w w:val="105"/>
          <w:sz w:val="13"/>
        </w:rPr>
        <w:t> </w:t>
      </w:r>
      <w:r>
        <w:rPr>
          <w:i/>
          <w:w w:val="105"/>
          <w:sz w:val="13"/>
        </w:rPr>
        <w:t>Road</w:t>
      </w:r>
      <w:r>
        <w:rPr>
          <w:i/>
          <w:spacing w:val="5"/>
          <w:w w:val="105"/>
          <w:sz w:val="13"/>
        </w:rPr>
        <w:t> </w:t>
      </w:r>
      <w:r>
        <w:rPr>
          <w:i/>
          <w:w w:val="105"/>
          <w:sz w:val="13"/>
        </w:rPr>
        <w:t>Management</w:t>
      </w:r>
      <w:r>
        <w:rPr>
          <w:i/>
          <w:spacing w:val="5"/>
          <w:w w:val="105"/>
          <w:sz w:val="13"/>
        </w:rPr>
        <w:t> </w:t>
      </w:r>
      <w:r>
        <w:rPr>
          <w:i/>
          <w:w w:val="105"/>
          <w:sz w:val="13"/>
        </w:rPr>
        <w:t>Act</w:t>
      </w:r>
      <w:r>
        <w:rPr>
          <w:i/>
          <w:spacing w:val="5"/>
          <w:w w:val="105"/>
          <w:sz w:val="13"/>
        </w:rPr>
        <w:t> </w:t>
      </w:r>
      <w:r>
        <w:rPr>
          <w:i/>
          <w:w w:val="105"/>
          <w:sz w:val="13"/>
        </w:rPr>
        <w:t>2004</w:t>
      </w:r>
      <w:r>
        <w:rPr>
          <w:i/>
          <w:spacing w:val="6"/>
          <w:w w:val="105"/>
          <w:sz w:val="13"/>
        </w:rPr>
        <w:t> </w:t>
      </w:r>
      <w:r>
        <w:rPr>
          <w:spacing w:val="2"/>
          <w:w w:val="105"/>
          <w:sz w:val="13"/>
        </w:rPr>
        <w:t>(Vic);</w:t>
      </w:r>
      <w:r>
        <w:rPr>
          <w:spacing w:val="5"/>
          <w:w w:val="105"/>
          <w:sz w:val="13"/>
        </w:rPr>
        <w:t> </w:t>
      </w:r>
      <w:r>
        <w:rPr>
          <w:i/>
          <w:w w:val="105"/>
          <w:sz w:val="13"/>
        </w:rPr>
        <w:t>Rail</w:t>
      </w:r>
      <w:r>
        <w:rPr>
          <w:i/>
          <w:spacing w:val="5"/>
          <w:w w:val="105"/>
          <w:sz w:val="13"/>
        </w:rPr>
        <w:t> </w:t>
      </w:r>
      <w:r>
        <w:rPr>
          <w:i/>
          <w:w w:val="105"/>
          <w:sz w:val="13"/>
        </w:rPr>
        <w:t>Management</w:t>
      </w:r>
      <w:r>
        <w:rPr>
          <w:i/>
          <w:spacing w:val="5"/>
          <w:w w:val="105"/>
          <w:sz w:val="13"/>
        </w:rPr>
        <w:t> </w:t>
      </w:r>
      <w:r>
        <w:rPr>
          <w:i/>
          <w:w w:val="105"/>
          <w:sz w:val="13"/>
        </w:rPr>
        <w:t>Act</w:t>
      </w:r>
      <w:r>
        <w:rPr>
          <w:i/>
          <w:spacing w:val="5"/>
          <w:w w:val="105"/>
          <w:sz w:val="13"/>
        </w:rPr>
        <w:t> </w:t>
      </w:r>
      <w:r>
        <w:rPr>
          <w:i/>
          <w:w w:val="105"/>
          <w:sz w:val="13"/>
        </w:rPr>
        <w:t>1996</w:t>
      </w:r>
      <w:r>
        <w:rPr>
          <w:i/>
          <w:spacing w:val="5"/>
          <w:w w:val="105"/>
          <w:sz w:val="13"/>
        </w:rPr>
        <w:t> </w:t>
      </w:r>
      <w:r>
        <w:rPr>
          <w:spacing w:val="2"/>
          <w:w w:val="105"/>
          <w:sz w:val="13"/>
        </w:rPr>
        <w:t>(Vic)</w:t>
      </w:r>
      <w:r>
        <w:rPr>
          <w:spacing w:val="6"/>
          <w:w w:val="105"/>
          <w:sz w:val="13"/>
        </w:rPr>
        <w:t> </w:t>
      </w:r>
      <w:r>
        <w:rPr>
          <w:w w:val="105"/>
          <w:sz w:val="13"/>
        </w:rPr>
        <w:t>s</w:t>
      </w:r>
      <w:r>
        <w:rPr>
          <w:spacing w:val="5"/>
          <w:w w:val="105"/>
          <w:sz w:val="13"/>
        </w:rPr>
        <w:t> </w:t>
      </w:r>
      <w:r>
        <w:rPr>
          <w:w w:val="105"/>
          <w:sz w:val="13"/>
        </w:rPr>
        <w:t>67A.</w:t>
      </w:r>
    </w:p>
    <w:p>
      <w:pPr>
        <w:pStyle w:val="ListParagraph"/>
        <w:numPr>
          <w:ilvl w:val="0"/>
          <w:numId w:val="169"/>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9"/>
          <w:w w:val="105"/>
          <w:sz w:val="13"/>
        </w:rPr>
        <w:t> </w:t>
      </w:r>
      <w:r>
        <w:rPr>
          <w:w w:val="105"/>
          <w:sz w:val="13"/>
        </w:rPr>
        <w:t>eg,</w:t>
      </w:r>
      <w:r>
        <w:rPr>
          <w:spacing w:val="9"/>
          <w:w w:val="105"/>
          <w:sz w:val="13"/>
        </w:rPr>
        <w:t> </w:t>
      </w:r>
      <w:r>
        <w:rPr>
          <w:i/>
          <w:w w:val="105"/>
          <w:sz w:val="13"/>
        </w:rPr>
        <w:t>General</w:t>
      </w:r>
      <w:r>
        <w:rPr>
          <w:i/>
          <w:spacing w:val="9"/>
          <w:w w:val="105"/>
          <w:sz w:val="13"/>
        </w:rPr>
        <w:t> </w:t>
      </w:r>
      <w:r>
        <w:rPr>
          <w:i/>
          <w:w w:val="105"/>
          <w:sz w:val="13"/>
        </w:rPr>
        <w:t>Local</w:t>
      </w:r>
      <w:r>
        <w:rPr>
          <w:i/>
          <w:spacing w:val="9"/>
          <w:w w:val="105"/>
          <w:sz w:val="13"/>
        </w:rPr>
        <w:t> </w:t>
      </w:r>
      <w:r>
        <w:rPr>
          <w:i/>
          <w:w w:val="105"/>
          <w:sz w:val="13"/>
        </w:rPr>
        <w:t>Law</w:t>
      </w:r>
      <w:r>
        <w:rPr>
          <w:i/>
          <w:spacing w:val="9"/>
          <w:w w:val="105"/>
          <w:sz w:val="13"/>
        </w:rPr>
        <w:t> </w:t>
      </w:r>
      <w:r>
        <w:rPr>
          <w:i/>
          <w:spacing w:val="-4"/>
          <w:w w:val="105"/>
          <w:sz w:val="13"/>
        </w:rPr>
        <w:t>2017</w:t>
      </w:r>
      <w:r>
        <w:rPr>
          <w:i/>
          <w:spacing w:val="9"/>
          <w:w w:val="105"/>
          <w:sz w:val="13"/>
        </w:rPr>
        <w:t> </w:t>
      </w:r>
      <w:r>
        <w:rPr>
          <w:spacing w:val="2"/>
          <w:w w:val="105"/>
          <w:sz w:val="13"/>
        </w:rPr>
        <w:t>(East</w:t>
      </w:r>
      <w:r>
        <w:rPr>
          <w:spacing w:val="9"/>
          <w:w w:val="105"/>
          <w:sz w:val="13"/>
        </w:rPr>
        <w:t> </w:t>
      </w:r>
      <w:r>
        <w:rPr>
          <w:w w:val="105"/>
          <w:sz w:val="13"/>
        </w:rPr>
        <w:t>Gippsland</w:t>
      </w:r>
      <w:r>
        <w:rPr>
          <w:spacing w:val="9"/>
          <w:w w:val="105"/>
          <w:sz w:val="13"/>
        </w:rPr>
        <w:t> </w:t>
      </w:r>
      <w:r>
        <w:rPr>
          <w:w w:val="105"/>
          <w:sz w:val="13"/>
        </w:rPr>
        <w:t>Shire</w:t>
      </w:r>
      <w:r>
        <w:rPr>
          <w:spacing w:val="9"/>
          <w:w w:val="105"/>
          <w:sz w:val="13"/>
        </w:rPr>
        <w:t> </w:t>
      </w:r>
      <w:r>
        <w:rPr>
          <w:w w:val="105"/>
          <w:sz w:val="13"/>
        </w:rPr>
        <w:t>Council)</w:t>
      </w:r>
      <w:r>
        <w:rPr>
          <w:spacing w:val="9"/>
          <w:w w:val="105"/>
          <w:sz w:val="13"/>
        </w:rPr>
        <w:t> </w:t>
      </w:r>
      <w:r>
        <w:rPr>
          <w:w w:val="105"/>
          <w:sz w:val="13"/>
        </w:rPr>
        <w:t>cl</w:t>
      </w:r>
      <w:r>
        <w:rPr>
          <w:spacing w:val="9"/>
          <w:w w:val="105"/>
          <w:sz w:val="13"/>
        </w:rPr>
        <w:t> </w:t>
      </w:r>
      <w:r>
        <w:rPr>
          <w:w w:val="105"/>
          <w:sz w:val="13"/>
        </w:rPr>
        <w:t>28;</w:t>
      </w:r>
      <w:r>
        <w:rPr>
          <w:spacing w:val="9"/>
          <w:w w:val="105"/>
          <w:sz w:val="13"/>
        </w:rPr>
        <w:t> </w:t>
      </w:r>
      <w:r>
        <w:rPr>
          <w:i/>
          <w:w w:val="105"/>
          <w:sz w:val="13"/>
        </w:rPr>
        <w:t>Local</w:t>
      </w:r>
      <w:r>
        <w:rPr>
          <w:i/>
          <w:spacing w:val="9"/>
          <w:w w:val="105"/>
          <w:sz w:val="13"/>
        </w:rPr>
        <w:t> </w:t>
      </w:r>
      <w:r>
        <w:rPr>
          <w:i/>
          <w:w w:val="105"/>
          <w:sz w:val="13"/>
        </w:rPr>
        <w:t>Law</w:t>
      </w:r>
      <w:r>
        <w:rPr>
          <w:i/>
          <w:spacing w:val="9"/>
          <w:w w:val="105"/>
          <w:sz w:val="13"/>
        </w:rPr>
        <w:t> </w:t>
      </w:r>
      <w:r>
        <w:rPr>
          <w:i/>
          <w:w w:val="105"/>
          <w:sz w:val="13"/>
        </w:rPr>
        <w:t>No</w:t>
      </w:r>
      <w:r>
        <w:rPr>
          <w:i/>
          <w:spacing w:val="9"/>
          <w:w w:val="105"/>
          <w:sz w:val="13"/>
        </w:rPr>
        <w:t> </w:t>
      </w:r>
      <w:r>
        <w:rPr>
          <w:i/>
          <w:w w:val="105"/>
          <w:sz w:val="13"/>
        </w:rPr>
        <w:t>1</w:t>
      </w:r>
      <w:r>
        <w:rPr>
          <w:i/>
          <w:spacing w:val="9"/>
          <w:w w:val="105"/>
          <w:sz w:val="13"/>
        </w:rPr>
        <w:t> </w:t>
      </w:r>
      <w:r>
        <w:rPr>
          <w:i/>
          <w:w w:val="105"/>
          <w:sz w:val="13"/>
        </w:rPr>
        <w:t>(Community</w:t>
      </w:r>
      <w:r>
        <w:rPr>
          <w:i/>
          <w:spacing w:val="10"/>
          <w:w w:val="105"/>
          <w:sz w:val="13"/>
        </w:rPr>
        <w:t> </w:t>
      </w:r>
      <w:r>
        <w:rPr>
          <w:i/>
          <w:w w:val="105"/>
          <w:sz w:val="13"/>
        </w:rPr>
        <w:t>Amenity)</w:t>
      </w:r>
      <w:r>
        <w:rPr>
          <w:i/>
          <w:spacing w:val="9"/>
          <w:w w:val="105"/>
          <w:sz w:val="13"/>
        </w:rPr>
        <w:t> </w:t>
      </w:r>
      <w:r>
        <w:rPr>
          <w:i/>
          <w:spacing w:val="-3"/>
          <w:w w:val="105"/>
          <w:sz w:val="13"/>
        </w:rPr>
        <w:t>2013</w:t>
      </w:r>
      <w:r>
        <w:rPr>
          <w:i/>
          <w:spacing w:val="9"/>
          <w:w w:val="105"/>
          <w:sz w:val="13"/>
        </w:rPr>
        <w:t> </w:t>
      </w:r>
      <w:r>
        <w:rPr>
          <w:w w:val="105"/>
          <w:sz w:val="13"/>
        </w:rPr>
        <w:t>(City</w:t>
      </w:r>
      <w:r>
        <w:rPr>
          <w:spacing w:val="9"/>
          <w:w w:val="105"/>
          <w:sz w:val="13"/>
        </w:rPr>
        <w:t> </w:t>
      </w:r>
      <w:r>
        <w:rPr>
          <w:w w:val="105"/>
          <w:sz w:val="13"/>
        </w:rPr>
        <w:t>of</w:t>
      </w:r>
      <w:r>
        <w:rPr>
          <w:spacing w:val="9"/>
          <w:w w:val="105"/>
          <w:sz w:val="13"/>
        </w:rPr>
        <w:t> </w:t>
      </w:r>
      <w:r>
        <w:rPr>
          <w:w w:val="105"/>
          <w:sz w:val="13"/>
        </w:rPr>
        <w:t>Port</w:t>
      </w:r>
      <w:r>
        <w:rPr>
          <w:spacing w:val="9"/>
          <w:w w:val="105"/>
          <w:sz w:val="13"/>
        </w:rPr>
        <w:t> </w:t>
      </w:r>
      <w:r>
        <w:rPr>
          <w:w w:val="105"/>
          <w:sz w:val="13"/>
        </w:rPr>
        <w:t>Phillip)</w:t>
      </w:r>
      <w:r>
        <w:rPr>
          <w:spacing w:val="9"/>
          <w:w w:val="105"/>
          <w:sz w:val="13"/>
        </w:rPr>
        <w:t> </w:t>
      </w:r>
      <w:r>
        <w:rPr>
          <w:w w:val="105"/>
          <w:sz w:val="13"/>
        </w:rPr>
        <w:t>s</w:t>
      </w:r>
      <w:r>
        <w:rPr>
          <w:spacing w:val="9"/>
          <w:w w:val="105"/>
          <w:sz w:val="13"/>
        </w:rPr>
        <w:t> </w:t>
      </w:r>
      <w:r>
        <w:rPr>
          <w:w w:val="105"/>
          <w:sz w:val="13"/>
        </w:rPr>
        <w:t>38.</w:t>
      </w:r>
    </w:p>
    <w:p>
      <w:pPr>
        <w:pStyle w:val="ListParagraph"/>
        <w:numPr>
          <w:ilvl w:val="0"/>
          <w:numId w:val="169"/>
        </w:numPr>
        <w:tabs>
          <w:tab w:pos="2381" w:val="left" w:leader="none"/>
          <w:tab w:pos="2382" w:val="left" w:leader="none"/>
        </w:tabs>
        <w:spacing w:line="240" w:lineRule="auto" w:before="1" w:after="0"/>
        <w:ind w:left="2381" w:right="0" w:hanging="794"/>
        <w:jc w:val="left"/>
        <w:rPr>
          <w:sz w:val="13"/>
        </w:rPr>
      </w:pPr>
      <w:r>
        <w:rPr>
          <w:i/>
          <w:w w:val="105"/>
          <w:sz w:val="13"/>
        </w:rPr>
        <w:t>Public</w:t>
      </w:r>
      <w:r>
        <w:rPr>
          <w:i/>
          <w:spacing w:val="4"/>
          <w:w w:val="105"/>
          <w:sz w:val="13"/>
        </w:rPr>
        <w:t> </w:t>
      </w:r>
      <w:r>
        <w:rPr>
          <w:i/>
          <w:w w:val="105"/>
          <w:sz w:val="13"/>
        </w:rPr>
        <w:t>Health</w:t>
      </w:r>
      <w:r>
        <w:rPr>
          <w:i/>
          <w:spacing w:val="5"/>
          <w:w w:val="105"/>
          <w:sz w:val="13"/>
        </w:rPr>
        <w:t> </w:t>
      </w:r>
      <w:r>
        <w:rPr>
          <w:i/>
          <w:w w:val="105"/>
          <w:sz w:val="13"/>
        </w:rPr>
        <w:t>and</w:t>
      </w:r>
      <w:r>
        <w:rPr>
          <w:i/>
          <w:spacing w:val="5"/>
          <w:w w:val="105"/>
          <w:sz w:val="13"/>
        </w:rPr>
        <w:t> </w:t>
      </w:r>
      <w:r>
        <w:rPr>
          <w:i/>
          <w:w w:val="105"/>
          <w:sz w:val="13"/>
        </w:rPr>
        <w:t>Wellbeing</w:t>
      </w:r>
      <w:r>
        <w:rPr>
          <w:i/>
          <w:spacing w:val="5"/>
          <w:w w:val="105"/>
          <w:sz w:val="13"/>
        </w:rPr>
        <w:t> </w:t>
      </w:r>
      <w:r>
        <w:rPr>
          <w:i/>
          <w:w w:val="105"/>
          <w:sz w:val="13"/>
        </w:rPr>
        <w:t>Act</w:t>
      </w:r>
      <w:r>
        <w:rPr>
          <w:i/>
          <w:spacing w:val="5"/>
          <w:w w:val="105"/>
          <w:sz w:val="13"/>
        </w:rPr>
        <w:t> </w:t>
      </w:r>
      <w:r>
        <w:rPr>
          <w:i/>
          <w:w w:val="105"/>
          <w:sz w:val="13"/>
        </w:rPr>
        <w:t>2008</w:t>
      </w:r>
      <w:r>
        <w:rPr>
          <w:i/>
          <w:spacing w:val="5"/>
          <w:w w:val="105"/>
          <w:sz w:val="13"/>
        </w:rPr>
        <w:t> </w:t>
      </w:r>
      <w:r>
        <w:rPr>
          <w:spacing w:val="2"/>
          <w:w w:val="105"/>
          <w:sz w:val="13"/>
        </w:rPr>
        <w:t>(Vic)</w:t>
      </w:r>
      <w:r>
        <w:rPr>
          <w:spacing w:val="4"/>
          <w:w w:val="105"/>
          <w:sz w:val="13"/>
        </w:rPr>
        <w:t> </w:t>
      </w:r>
      <w:r>
        <w:rPr>
          <w:w w:val="105"/>
          <w:sz w:val="13"/>
        </w:rPr>
        <w:t>ss</w:t>
      </w:r>
      <w:r>
        <w:rPr>
          <w:spacing w:val="5"/>
          <w:w w:val="105"/>
          <w:sz w:val="13"/>
        </w:rPr>
        <w:t> </w:t>
      </w:r>
      <w:r>
        <w:rPr>
          <w:w w:val="105"/>
          <w:sz w:val="13"/>
        </w:rPr>
        <w:t>60,</w:t>
      </w:r>
      <w:r>
        <w:rPr>
          <w:spacing w:val="5"/>
          <w:w w:val="105"/>
          <w:sz w:val="13"/>
        </w:rPr>
        <w:t> </w:t>
      </w:r>
      <w:r>
        <w:rPr>
          <w:spacing w:val="2"/>
          <w:w w:val="105"/>
          <w:sz w:val="13"/>
        </w:rPr>
        <w:t>62(2).</w:t>
      </w:r>
    </w:p>
    <w:p>
      <w:pPr>
        <w:pStyle w:val="ListParagraph"/>
        <w:numPr>
          <w:ilvl w:val="0"/>
          <w:numId w:val="169"/>
        </w:numPr>
        <w:tabs>
          <w:tab w:pos="2381" w:val="left" w:leader="none"/>
          <w:tab w:pos="2382" w:val="left" w:leader="none"/>
        </w:tabs>
        <w:spacing w:line="240" w:lineRule="auto" w:before="2" w:after="0"/>
        <w:ind w:left="2381" w:right="0" w:hanging="794"/>
        <w:jc w:val="left"/>
        <w:rPr>
          <w:i/>
          <w:sz w:val="13"/>
        </w:rPr>
      </w:pPr>
      <w:r>
        <w:rPr>
          <w:w w:val="105"/>
          <w:sz w:val="13"/>
        </w:rPr>
        <w:t>Municipal</w:t>
      </w:r>
      <w:r>
        <w:rPr>
          <w:spacing w:val="11"/>
          <w:w w:val="105"/>
          <w:sz w:val="13"/>
        </w:rPr>
        <w:t> </w:t>
      </w:r>
      <w:r>
        <w:rPr>
          <w:w w:val="105"/>
          <w:sz w:val="13"/>
        </w:rPr>
        <w:t>Association</w:t>
      </w:r>
      <w:r>
        <w:rPr>
          <w:spacing w:val="11"/>
          <w:w w:val="105"/>
          <w:sz w:val="13"/>
        </w:rPr>
        <w:t> </w:t>
      </w:r>
      <w:r>
        <w:rPr>
          <w:w w:val="105"/>
          <w:sz w:val="13"/>
        </w:rPr>
        <w:t>of</w:t>
      </w:r>
      <w:r>
        <w:rPr>
          <w:spacing w:val="12"/>
          <w:w w:val="105"/>
          <w:sz w:val="13"/>
        </w:rPr>
        <w:t> </w:t>
      </w:r>
      <w:r>
        <w:rPr>
          <w:w w:val="105"/>
          <w:sz w:val="13"/>
        </w:rPr>
        <w:t>Victoria,</w:t>
      </w:r>
      <w:r>
        <w:rPr>
          <w:spacing w:val="11"/>
          <w:w w:val="105"/>
          <w:sz w:val="13"/>
        </w:rPr>
        <w:t> </w:t>
      </w:r>
      <w:r>
        <w:rPr>
          <w:i/>
          <w:w w:val="105"/>
          <w:sz w:val="13"/>
        </w:rPr>
        <w:t>Public</w:t>
      </w:r>
      <w:r>
        <w:rPr>
          <w:i/>
          <w:spacing w:val="12"/>
          <w:w w:val="105"/>
          <w:sz w:val="13"/>
        </w:rPr>
        <w:t> </w:t>
      </w:r>
      <w:r>
        <w:rPr>
          <w:i/>
          <w:w w:val="105"/>
          <w:sz w:val="13"/>
        </w:rPr>
        <w:t>Health</w:t>
      </w:r>
      <w:r>
        <w:rPr>
          <w:i/>
          <w:spacing w:val="11"/>
          <w:w w:val="105"/>
          <w:sz w:val="13"/>
        </w:rPr>
        <w:t> </w:t>
      </w:r>
      <w:r>
        <w:rPr>
          <w:i/>
          <w:w w:val="105"/>
          <w:sz w:val="13"/>
        </w:rPr>
        <w:t>and</w:t>
      </w:r>
      <w:r>
        <w:rPr>
          <w:i/>
          <w:spacing w:val="12"/>
          <w:w w:val="105"/>
          <w:sz w:val="13"/>
        </w:rPr>
        <w:t> </w:t>
      </w:r>
      <w:r>
        <w:rPr>
          <w:i/>
          <w:w w:val="105"/>
          <w:sz w:val="13"/>
        </w:rPr>
        <w:t>Wellbeing</w:t>
      </w:r>
      <w:r>
        <w:rPr>
          <w:i/>
          <w:spacing w:val="11"/>
          <w:w w:val="105"/>
          <w:sz w:val="13"/>
        </w:rPr>
        <w:t> </w:t>
      </w:r>
      <w:r>
        <w:rPr>
          <w:i/>
          <w:w w:val="105"/>
          <w:sz w:val="13"/>
        </w:rPr>
        <w:t>Act</w:t>
      </w:r>
      <w:r>
        <w:rPr>
          <w:i/>
          <w:spacing w:val="12"/>
          <w:w w:val="105"/>
          <w:sz w:val="13"/>
        </w:rPr>
        <w:t> </w:t>
      </w:r>
      <w:r>
        <w:rPr>
          <w:i/>
          <w:w w:val="105"/>
          <w:sz w:val="13"/>
        </w:rPr>
        <w:t>2008—Guidance</w:t>
      </w:r>
      <w:r>
        <w:rPr>
          <w:i/>
          <w:spacing w:val="11"/>
          <w:w w:val="105"/>
          <w:sz w:val="13"/>
        </w:rPr>
        <w:t> </w:t>
      </w:r>
      <w:r>
        <w:rPr>
          <w:i/>
          <w:w w:val="105"/>
          <w:sz w:val="13"/>
        </w:rPr>
        <w:t>Manual</w:t>
      </w:r>
      <w:r>
        <w:rPr>
          <w:i/>
          <w:spacing w:val="12"/>
          <w:w w:val="105"/>
          <w:sz w:val="13"/>
        </w:rPr>
        <w:t> </w:t>
      </w:r>
      <w:r>
        <w:rPr>
          <w:i/>
          <w:w w:val="105"/>
          <w:sz w:val="13"/>
        </w:rPr>
        <w:t>for</w:t>
      </w:r>
      <w:r>
        <w:rPr>
          <w:i/>
          <w:spacing w:val="11"/>
          <w:w w:val="105"/>
          <w:sz w:val="13"/>
        </w:rPr>
        <w:t> </w:t>
      </w:r>
      <w:r>
        <w:rPr>
          <w:i/>
          <w:w w:val="105"/>
          <w:sz w:val="13"/>
        </w:rPr>
        <w:t>Local</w:t>
      </w:r>
      <w:r>
        <w:rPr>
          <w:i/>
          <w:spacing w:val="12"/>
          <w:w w:val="105"/>
          <w:sz w:val="13"/>
        </w:rPr>
        <w:t> </w:t>
      </w:r>
      <w:r>
        <w:rPr>
          <w:i/>
          <w:w w:val="105"/>
          <w:sz w:val="13"/>
        </w:rPr>
        <w:t>Government</w:t>
      </w:r>
      <w:r>
        <w:rPr>
          <w:i/>
          <w:spacing w:val="11"/>
          <w:w w:val="105"/>
          <w:sz w:val="13"/>
        </w:rPr>
        <w:t> </w:t>
      </w:r>
      <w:r>
        <w:rPr>
          <w:i/>
          <w:w w:val="105"/>
          <w:sz w:val="13"/>
        </w:rPr>
        <w:t>Authorised</w:t>
      </w:r>
      <w:r>
        <w:rPr>
          <w:i/>
          <w:spacing w:val="12"/>
          <w:w w:val="105"/>
          <w:sz w:val="13"/>
        </w:rPr>
        <w:t> </w:t>
      </w:r>
      <w:r>
        <w:rPr>
          <w:i/>
          <w:w w:val="105"/>
          <w:sz w:val="13"/>
        </w:rPr>
        <w:t>Officers</w:t>
      </w:r>
    </w:p>
    <w:p>
      <w:pPr>
        <w:spacing w:before="1"/>
        <w:ind w:left="2381" w:right="0" w:firstLine="0"/>
        <w:jc w:val="left"/>
        <w:rPr>
          <w:i/>
          <w:sz w:val="13"/>
        </w:rPr>
      </w:pPr>
      <w:r>
        <w:rPr>
          <w:w w:val="105"/>
          <w:sz w:val="13"/>
        </w:rPr>
        <w:t>(March 2010) 15–16. Offensive is defined as ‘noxious or injurious to personal comfort’</w:t>
      </w:r>
      <w:r>
        <w:rPr>
          <w:i/>
          <w:w w:val="105"/>
          <w:sz w:val="13"/>
        </w:rPr>
        <w:t>.</w:t>
      </w:r>
    </w:p>
    <w:p>
      <w:pPr>
        <w:pStyle w:val="ListParagraph"/>
        <w:numPr>
          <w:ilvl w:val="0"/>
          <w:numId w:val="169"/>
        </w:numPr>
        <w:tabs>
          <w:tab w:pos="2381" w:val="left" w:leader="none"/>
          <w:tab w:pos="2382" w:val="left" w:leader="none"/>
        </w:tabs>
        <w:spacing w:line="240" w:lineRule="auto" w:before="1" w:after="0"/>
        <w:ind w:left="1587" w:right="4947" w:firstLine="0"/>
        <w:jc w:val="left"/>
        <w:rPr>
          <w:sz w:val="13"/>
        </w:rPr>
      </w:pPr>
      <w:r>
        <w:rPr>
          <w:i/>
          <w:w w:val="105"/>
          <w:sz w:val="13"/>
        </w:rPr>
        <w:t>Public Health and Wellbeing Act 2008 </w:t>
      </w:r>
      <w:r>
        <w:rPr>
          <w:spacing w:val="2"/>
          <w:w w:val="105"/>
          <w:sz w:val="13"/>
        </w:rPr>
        <w:t>(Vic) </w:t>
      </w:r>
      <w:r>
        <w:rPr>
          <w:w w:val="105"/>
          <w:sz w:val="13"/>
        </w:rPr>
        <w:t>s 62(1). </w:t>
      </w:r>
      <w:r>
        <w:rPr>
          <w:spacing w:val="-3"/>
          <w:w w:val="105"/>
          <w:sz w:val="13"/>
        </w:rPr>
        <w:t>170</w:t>
        <w:tab/>
      </w:r>
      <w:r>
        <w:rPr>
          <w:w w:val="105"/>
          <w:sz w:val="13"/>
        </w:rPr>
        <w:t>Ibid s</w:t>
      </w:r>
      <w:r>
        <w:rPr>
          <w:spacing w:val="8"/>
          <w:w w:val="105"/>
          <w:sz w:val="13"/>
        </w:rPr>
        <w:t> </w:t>
      </w:r>
      <w:r>
        <w:rPr>
          <w:spacing w:val="3"/>
          <w:w w:val="105"/>
          <w:sz w:val="13"/>
        </w:rPr>
        <w:t>62(4)(b).</w:t>
      </w:r>
    </w:p>
    <w:p>
      <w:pPr>
        <w:tabs>
          <w:tab w:pos="2381" w:val="left" w:leader="none"/>
        </w:tabs>
        <w:spacing w:before="3"/>
        <w:ind w:left="1587" w:right="0" w:firstLine="0"/>
        <w:jc w:val="left"/>
        <w:rPr>
          <w:sz w:val="13"/>
        </w:rPr>
      </w:pPr>
      <w:r>
        <w:rPr>
          <w:spacing w:val="-4"/>
          <w:sz w:val="13"/>
        </w:rPr>
        <w:t>171</w:t>
        <w:tab/>
      </w:r>
      <w:r>
        <w:rPr>
          <w:sz w:val="13"/>
        </w:rPr>
        <w:t>Ibid  s</w:t>
      </w:r>
      <w:r>
        <w:rPr>
          <w:spacing w:val="7"/>
          <w:sz w:val="13"/>
        </w:rPr>
        <w:t> </w:t>
      </w:r>
      <w:r>
        <w:rPr>
          <w:spacing w:val="3"/>
          <w:sz w:val="13"/>
        </w:rPr>
        <w:t>62(4)(c).</w:t>
      </w:r>
    </w:p>
    <w:p>
      <w:pPr>
        <w:tabs>
          <w:tab w:pos="2381" w:val="left" w:leader="none"/>
        </w:tabs>
        <w:spacing w:before="1"/>
        <w:ind w:left="1587" w:right="0" w:firstLine="0"/>
        <w:jc w:val="left"/>
        <w:rPr>
          <w:sz w:val="13"/>
        </w:rPr>
      </w:pPr>
      <w:r>
        <w:rPr>
          <w:spacing w:val="-3"/>
          <w:w w:val="105"/>
          <w:sz w:val="13"/>
        </w:rPr>
        <w:t>172</w:t>
        <w:tab/>
      </w:r>
      <w:r>
        <w:rPr>
          <w:w w:val="105"/>
          <w:sz w:val="13"/>
        </w:rPr>
        <w:t>Ibid s</w:t>
      </w:r>
      <w:r>
        <w:rPr>
          <w:spacing w:val="9"/>
          <w:w w:val="105"/>
          <w:sz w:val="13"/>
        </w:rPr>
        <w:t> </w:t>
      </w:r>
      <w:r>
        <w:rPr>
          <w:w w:val="105"/>
          <w:sz w:val="13"/>
        </w:rPr>
        <w:t>66.</w:t>
      </w:r>
    </w:p>
    <w:p>
      <w:pPr>
        <w:tabs>
          <w:tab w:pos="2381" w:val="left" w:leader="none"/>
        </w:tabs>
        <w:spacing w:before="2"/>
        <w:ind w:left="1587" w:right="0" w:firstLine="0"/>
        <w:jc w:val="left"/>
        <w:rPr>
          <w:sz w:val="13"/>
        </w:rPr>
      </w:pPr>
      <w:r>
        <w:rPr>
          <w:spacing w:val="-3"/>
          <w:sz w:val="13"/>
        </w:rPr>
        <w:t>173</w:t>
        <w:tab/>
      </w:r>
      <w:r>
        <w:rPr>
          <w:sz w:val="13"/>
        </w:rPr>
        <w:t>Ibid s</w:t>
      </w:r>
      <w:r>
        <w:rPr>
          <w:spacing w:val="12"/>
          <w:sz w:val="13"/>
        </w:rPr>
        <w:t> </w:t>
      </w:r>
      <w:r>
        <w:rPr>
          <w:spacing w:val="3"/>
          <w:sz w:val="13"/>
        </w:rPr>
        <w:t>62(3)(b).</w:t>
      </w:r>
    </w:p>
    <w:p>
      <w:pPr>
        <w:pStyle w:val="ListParagraph"/>
        <w:numPr>
          <w:ilvl w:val="0"/>
          <w:numId w:val="170"/>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z w:val="13"/>
        </w:rPr>
        <w:t>63.</w:t>
      </w:r>
    </w:p>
    <w:p>
      <w:pPr>
        <w:pStyle w:val="ListParagraph"/>
        <w:numPr>
          <w:ilvl w:val="0"/>
          <w:numId w:val="170"/>
        </w:numPr>
        <w:tabs>
          <w:tab w:pos="2381" w:val="left" w:leader="none"/>
          <w:tab w:pos="2382" w:val="left" w:leader="none"/>
        </w:tabs>
        <w:spacing w:line="240" w:lineRule="auto" w:before="1" w:after="0"/>
        <w:ind w:left="2381" w:right="0" w:hanging="794"/>
        <w:jc w:val="left"/>
        <w:rPr>
          <w:sz w:val="13"/>
        </w:rPr>
      </w:pPr>
      <w:r>
        <w:rPr>
          <w:w w:val="105"/>
          <w:sz w:val="13"/>
        </w:rPr>
        <w:t>Consultations</w:t>
      </w:r>
      <w:r>
        <w:rPr>
          <w:spacing w:val="6"/>
          <w:w w:val="105"/>
          <w:sz w:val="13"/>
        </w:rPr>
        <w:t> </w:t>
      </w:r>
      <w:r>
        <w:rPr>
          <w:w w:val="105"/>
          <w:sz w:val="13"/>
        </w:rPr>
        <w:t>8</w:t>
      </w:r>
      <w:r>
        <w:rPr>
          <w:spacing w:val="6"/>
          <w:w w:val="105"/>
          <w:sz w:val="13"/>
        </w:rPr>
        <w:t> </w:t>
      </w:r>
      <w:r>
        <w:rPr>
          <w:w w:val="105"/>
          <w:sz w:val="13"/>
        </w:rPr>
        <w:t>(City</w:t>
      </w:r>
      <w:r>
        <w:rPr>
          <w:spacing w:val="6"/>
          <w:w w:val="105"/>
          <w:sz w:val="13"/>
        </w:rPr>
        <w:t> </w:t>
      </w:r>
      <w:r>
        <w:rPr>
          <w:w w:val="105"/>
          <w:sz w:val="13"/>
        </w:rPr>
        <w:t>of</w:t>
      </w:r>
      <w:r>
        <w:rPr>
          <w:spacing w:val="6"/>
          <w:w w:val="105"/>
          <w:sz w:val="13"/>
        </w:rPr>
        <w:t> </w:t>
      </w:r>
      <w:r>
        <w:rPr>
          <w:w w:val="105"/>
          <w:sz w:val="13"/>
        </w:rPr>
        <w:t>Boroondara),</w:t>
      </w:r>
      <w:r>
        <w:rPr>
          <w:spacing w:val="6"/>
          <w:w w:val="105"/>
          <w:sz w:val="13"/>
        </w:rPr>
        <w:t> </w:t>
      </w:r>
      <w:r>
        <w:rPr>
          <w:w w:val="105"/>
          <w:sz w:val="13"/>
        </w:rPr>
        <w:t>9</w:t>
      </w:r>
      <w:r>
        <w:rPr>
          <w:spacing w:val="7"/>
          <w:w w:val="105"/>
          <w:sz w:val="13"/>
        </w:rPr>
        <w:t> </w:t>
      </w:r>
      <w:r>
        <w:rPr>
          <w:w w:val="105"/>
          <w:sz w:val="13"/>
        </w:rPr>
        <w:t>(Nillumbik</w:t>
      </w:r>
      <w:r>
        <w:rPr>
          <w:spacing w:val="6"/>
          <w:w w:val="105"/>
          <w:sz w:val="13"/>
        </w:rPr>
        <w:t> </w:t>
      </w:r>
      <w:r>
        <w:rPr>
          <w:w w:val="105"/>
          <w:sz w:val="13"/>
        </w:rPr>
        <w:t>Shire</w:t>
      </w:r>
      <w:r>
        <w:rPr>
          <w:spacing w:val="6"/>
          <w:w w:val="105"/>
          <w:sz w:val="13"/>
        </w:rPr>
        <w:t> </w:t>
      </w:r>
      <w:r>
        <w:rPr>
          <w:w w:val="105"/>
          <w:sz w:val="13"/>
        </w:rPr>
        <w:t>Council),</w:t>
      </w:r>
      <w:r>
        <w:rPr>
          <w:spacing w:val="6"/>
          <w:w w:val="105"/>
          <w:sz w:val="13"/>
        </w:rPr>
        <w:t> </w:t>
      </w:r>
      <w:r>
        <w:rPr>
          <w:w w:val="105"/>
          <w:sz w:val="13"/>
        </w:rPr>
        <w:t>10</w:t>
      </w:r>
      <w:r>
        <w:rPr>
          <w:spacing w:val="6"/>
          <w:w w:val="105"/>
          <w:sz w:val="13"/>
        </w:rPr>
        <w:t> </w:t>
      </w:r>
      <w:r>
        <w:rPr>
          <w:spacing w:val="2"/>
          <w:w w:val="105"/>
          <w:sz w:val="13"/>
        </w:rPr>
        <w:t>(Baw</w:t>
      </w:r>
      <w:r>
        <w:rPr>
          <w:spacing w:val="7"/>
          <w:w w:val="105"/>
          <w:sz w:val="13"/>
        </w:rPr>
        <w:t> </w:t>
      </w:r>
      <w:r>
        <w:rPr>
          <w:w w:val="105"/>
          <w:sz w:val="13"/>
        </w:rPr>
        <w:t>Baw</w:t>
      </w:r>
      <w:r>
        <w:rPr>
          <w:spacing w:val="6"/>
          <w:w w:val="105"/>
          <w:sz w:val="13"/>
        </w:rPr>
        <w:t> </w:t>
      </w:r>
      <w:r>
        <w:rPr>
          <w:w w:val="105"/>
          <w:sz w:val="13"/>
        </w:rPr>
        <w:t>Shire</w:t>
      </w:r>
      <w:r>
        <w:rPr>
          <w:spacing w:val="6"/>
          <w:w w:val="105"/>
          <w:sz w:val="13"/>
        </w:rPr>
        <w:t> </w:t>
      </w:r>
      <w:r>
        <w:rPr>
          <w:w w:val="105"/>
          <w:sz w:val="13"/>
        </w:rPr>
        <w:t>Council),</w:t>
      </w:r>
      <w:r>
        <w:rPr>
          <w:spacing w:val="6"/>
          <w:w w:val="105"/>
          <w:sz w:val="13"/>
        </w:rPr>
        <w:t> </w:t>
      </w:r>
      <w:r>
        <w:rPr>
          <w:spacing w:val="-4"/>
          <w:w w:val="105"/>
          <w:sz w:val="13"/>
        </w:rPr>
        <w:t>12</w:t>
      </w:r>
      <w:r>
        <w:rPr>
          <w:spacing w:val="6"/>
          <w:w w:val="105"/>
          <w:sz w:val="13"/>
        </w:rPr>
        <w:t> </w:t>
      </w:r>
      <w:r>
        <w:rPr>
          <w:w w:val="105"/>
          <w:sz w:val="13"/>
        </w:rPr>
        <w:t>(City</w:t>
      </w:r>
      <w:r>
        <w:rPr>
          <w:spacing w:val="6"/>
          <w:w w:val="105"/>
          <w:sz w:val="13"/>
        </w:rPr>
        <w:t> </w:t>
      </w:r>
      <w:r>
        <w:rPr>
          <w:w w:val="105"/>
          <w:sz w:val="13"/>
        </w:rPr>
        <w:t>of</w:t>
      </w:r>
      <w:r>
        <w:rPr>
          <w:spacing w:val="7"/>
          <w:w w:val="105"/>
          <w:sz w:val="13"/>
        </w:rPr>
        <w:t> </w:t>
      </w:r>
      <w:r>
        <w:rPr>
          <w:w w:val="105"/>
          <w:sz w:val="13"/>
        </w:rPr>
        <w:t>Port</w:t>
      </w:r>
      <w:r>
        <w:rPr>
          <w:spacing w:val="6"/>
          <w:w w:val="105"/>
          <w:sz w:val="13"/>
        </w:rPr>
        <w:t> </w:t>
      </w:r>
      <w:r>
        <w:rPr>
          <w:w w:val="105"/>
          <w:sz w:val="13"/>
        </w:rPr>
        <w:t>Phillip).</w:t>
      </w:r>
    </w:p>
    <w:p>
      <w:pPr>
        <w:pStyle w:val="ListParagraph"/>
        <w:numPr>
          <w:ilvl w:val="0"/>
          <w:numId w:val="170"/>
        </w:numPr>
        <w:tabs>
          <w:tab w:pos="2381" w:val="left" w:leader="none"/>
          <w:tab w:pos="2382" w:val="left" w:leader="none"/>
        </w:tabs>
        <w:spacing w:line="240" w:lineRule="auto" w:before="2" w:after="0"/>
        <w:ind w:left="2381" w:right="0" w:hanging="794"/>
        <w:jc w:val="left"/>
        <w:rPr>
          <w:sz w:val="13"/>
        </w:rPr>
      </w:pPr>
      <w:r>
        <w:rPr>
          <w:w w:val="105"/>
          <w:sz w:val="13"/>
        </w:rPr>
        <w:t>Consultation 9 (Nillumbik Shire</w:t>
      </w:r>
      <w:r>
        <w:rPr>
          <w:spacing w:val="19"/>
          <w:w w:val="105"/>
          <w:sz w:val="13"/>
        </w:rPr>
        <w:t> </w:t>
      </w:r>
      <w:r>
        <w:rPr>
          <w:w w:val="105"/>
          <w:sz w:val="13"/>
        </w:rPr>
        <w:t>Council).</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22"/>
        </w:rPr>
      </w:pPr>
    </w:p>
    <w:p>
      <w:pPr>
        <w:spacing w:before="0"/>
        <w:ind w:left="617" w:right="575" w:firstLine="0"/>
        <w:jc w:val="center"/>
        <w:rPr>
          <w:b/>
          <w:sz w:val="24"/>
        </w:rPr>
      </w:pPr>
      <w:r>
        <w:rPr>
          <w:b/>
          <w:color w:val="658464"/>
          <w:w w:val="110"/>
          <w:sz w:val="24"/>
        </w:rPr>
        <w:t>233</w:t>
      </w:r>
    </w:p>
    <w:p>
      <w:pPr>
        <w:spacing w:after="0"/>
        <w:jc w:val="center"/>
        <w:rPr>
          <w:sz w:val="24"/>
        </w:rPr>
        <w:sectPr>
          <w:type w:val="continuous"/>
          <w:pgSz w:w="11910" w:h="16840"/>
          <w:pgMar w:top="300" w:bottom="280" w:left="0" w:right="0"/>
          <w:cols w:num="2" w:equalWidth="0">
            <w:col w:w="10236" w:space="39"/>
            <w:col w:w="1635"/>
          </w:cols>
        </w:sectPr>
      </w:pPr>
    </w:p>
    <w:p>
      <w:pPr>
        <w:pStyle w:val="BodyText"/>
        <w:spacing w:before="11"/>
        <w:rPr>
          <w:b/>
        </w:rPr>
      </w:pPr>
    </w:p>
    <w:p>
      <w:pPr>
        <w:spacing w:before="96"/>
        <w:ind w:left="1587" w:right="0" w:firstLine="0"/>
        <w:jc w:val="left"/>
        <w:rPr>
          <w:b/>
          <w:sz w:val="24"/>
        </w:rPr>
      </w:pPr>
      <w:bookmarkStart w:name="_bookmark127" w:id="273"/>
      <w:bookmarkEnd w:id="273"/>
      <w:r>
        <w:rPr/>
      </w:r>
      <w:r>
        <w:rPr>
          <w:b/>
          <w:w w:val="110"/>
          <w:sz w:val="24"/>
        </w:rPr>
        <w:t>Flora and Fauna Guarantee Act</w:t>
      </w:r>
    </w:p>
    <w:p>
      <w:pPr>
        <w:pStyle w:val="ListParagraph"/>
        <w:numPr>
          <w:ilvl w:val="1"/>
          <w:numId w:val="16"/>
        </w:numPr>
        <w:tabs>
          <w:tab w:pos="2382" w:val="left" w:leader="none"/>
        </w:tabs>
        <w:spacing w:line="242" w:lineRule="auto" w:before="137" w:after="0"/>
        <w:ind w:left="2381" w:right="1680" w:hanging="794"/>
        <w:jc w:val="both"/>
        <w:rPr>
          <w:sz w:val="21"/>
        </w:rPr>
      </w:pPr>
      <w:r>
        <w:rPr>
          <w:sz w:val="21"/>
        </w:rPr>
        <w:t>This Act protects certain flora and </w:t>
      </w:r>
      <w:r>
        <w:rPr>
          <w:spacing w:val="-4"/>
          <w:sz w:val="21"/>
        </w:rPr>
        <w:t>fauna </w:t>
      </w:r>
      <w:r>
        <w:rPr>
          <w:spacing w:val="-3"/>
          <w:sz w:val="21"/>
        </w:rPr>
        <w:t>within </w:t>
      </w:r>
      <w:r>
        <w:rPr>
          <w:spacing w:val="-4"/>
          <w:sz w:val="21"/>
        </w:rPr>
        <w:t>Victoria.</w:t>
      </w:r>
      <w:r>
        <w:rPr>
          <w:spacing w:val="-4"/>
          <w:position w:val="7"/>
          <w:sz w:val="12"/>
        </w:rPr>
        <w:t>177 </w:t>
      </w:r>
      <w:r>
        <w:rPr>
          <w:sz w:val="21"/>
        </w:rPr>
        <w:t>It </w:t>
      </w:r>
      <w:r>
        <w:rPr>
          <w:spacing w:val="-3"/>
          <w:sz w:val="21"/>
        </w:rPr>
        <w:t>aims to </w:t>
      </w:r>
      <w:r>
        <w:rPr>
          <w:sz w:val="21"/>
        </w:rPr>
        <w:t>conserve </w:t>
      </w:r>
      <w:r>
        <w:rPr>
          <w:spacing w:val="-3"/>
          <w:sz w:val="21"/>
        </w:rPr>
        <w:t>threatened native </w:t>
      </w:r>
      <w:r>
        <w:rPr>
          <w:sz w:val="21"/>
        </w:rPr>
        <w:t>plants or </w:t>
      </w:r>
      <w:r>
        <w:rPr>
          <w:spacing w:val="-3"/>
          <w:sz w:val="21"/>
        </w:rPr>
        <w:t>communities </w:t>
      </w:r>
      <w:r>
        <w:rPr>
          <w:sz w:val="21"/>
        </w:rPr>
        <w:t>of </w:t>
      </w:r>
      <w:r>
        <w:rPr>
          <w:spacing w:val="-3"/>
          <w:sz w:val="21"/>
        </w:rPr>
        <w:t>native </w:t>
      </w:r>
      <w:r>
        <w:rPr>
          <w:sz w:val="21"/>
        </w:rPr>
        <w:t>plants and </w:t>
      </w:r>
      <w:r>
        <w:rPr>
          <w:spacing w:val="-3"/>
          <w:sz w:val="21"/>
        </w:rPr>
        <w:t>animals </w:t>
      </w:r>
      <w:r>
        <w:rPr>
          <w:sz w:val="21"/>
        </w:rPr>
        <w:t>and </w:t>
      </w:r>
      <w:r>
        <w:rPr>
          <w:spacing w:val="-3"/>
          <w:sz w:val="21"/>
        </w:rPr>
        <w:t>manage </w:t>
      </w:r>
      <w:r>
        <w:rPr>
          <w:sz w:val="21"/>
        </w:rPr>
        <w:t>processes </w:t>
      </w:r>
      <w:r>
        <w:rPr>
          <w:spacing w:val="-3"/>
          <w:sz w:val="21"/>
        </w:rPr>
        <w:t>that are potentially threatening to</w:t>
      </w:r>
      <w:r>
        <w:rPr>
          <w:spacing w:val="33"/>
          <w:sz w:val="21"/>
        </w:rPr>
        <w:t> </w:t>
      </w:r>
      <w:r>
        <w:rPr>
          <w:spacing w:val="-5"/>
          <w:sz w:val="21"/>
        </w:rPr>
        <w:t>them.</w:t>
      </w:r>
      <w:r>
        <w:rPr>
          <w:spacing w:val="-5"/>
          <w:position w:val="7"/>
          <w:sz w:val="12"/>
        </w:rPr>
        <w:t>178</w:t>
      </w:r>
    </w:p>
    <w:p>
      <w:pPr>
        <w:pStyle w:val="ListParagraph"/>
        <w:numPr>
          <w:ilvl w:val="1"/>
          <w:numId w:val="16"/>
        </w:numPr>
        <w:tabs>
          <w:tab w:pos="2381" w:val="left" w:leader="none"/>
          <w:tab w:pos="2382" w:val="left" w:leader="none"/>
        </w:tabs>
        <w:spacing w:line="242" w:lineRule="auto" w:before="123" w:after="0"/>
        <w:ind w:left="2381" w:right="1666" w:hanging="794"/>
        <w:jc w:val="left"/>
        <w:rPr>
          <w:sz w:val="21"/>
        </w:rPr>
      </w:pPr>
      <w:r>
        <w:rPr>
          <w:sz w:val="21"/>
        </w:rPr>
        <w:t>The </w:t>
      </w:r>
      <w:r>
        <w:rPr>
          <w:spacing w:val="-3"/>
          <w:sz w:val="21"/>
        </w:rPr>
        <w:t>obligation to </w:t>
      </w:r>
      <w:r>
        <w:rPr>
          <w:sz w:val="21"/>
        </w:rPr>
        <w:t>obtain a permit or other authorisation under the Act does </w:t>
      </w:r>
      <w:r>
        <w:rPr>
          <w:spacing w:val="-2"/>
          <w:sz w:val="21"/>
        </w:rPr>
        <w:t>not </w:t>
      </w:r>
      <w:r>
        <w:rPr>
          <w:spacing w:val="-3"/>
          <w:sz w:val="21"/>
        </w:rPr>
        <w:t>generally </w:t>
      </w:r>
      <w:r>
        <w:rPr>
          <w:sz w:val="21"/>
        </w:rPr>
        <w:t>apply </w:t>
      </w:r>
      <w:r>
        <w:rPr>
          <w:spacing w:val="-3"/>
          <w:sz w:val="21"/>
        </w:rPr>
        <w:t>to  private  </w:t>
      </w:r>
      <w:r>
        <w:rPr>
          <w:sz w:val="21"/>
        </w:rPr>
        <w:t>landowners or occupiers of </w:t>
      </w:r>
      <w:r>
        <w:rPr>
          <w:spacing w:val="-3"/>
          <w:sz w:val="21"/>
        </w:rPr>
        <w:t>private</w:t>
      </w:r>
      <w:r>
        <w:rPr>
          <w:spacing w:val="41"/>
          <w:sz w:val="21"/>
        </w:rPr>
        <w:t> </w:t>
      </w:r>
      <w:r>
        <w:rPr>
          <w:spacing w:val="-5"/>
          <w:sz w:val="21"/>
        </w:rPr>
        <w:t>land.</w:t>
      </w:r>
      <w:r>
        <w:rPr>
          <w:spacing w:val="-5"/>
          <w:position w:val="7"/>
          <w:sz w:val="12"/>
        </w:rPr>
        <w:t>179  </w:t>
      </w:r>
      <w:r>
        <w:rPr>
          <w:spacing w:val="-4"/>
          <w:sz w:val="21"/>
        </w:rPr>
        <w:t>However,  </w:t>
      </w:r>
      <w:r>
        <w:rPr>
          <w:sz w:val="21"/>
        </w:rPr>
        <w:t>a permit is </w:t>
      </w:r>
      <w:r>
        <w:rPr>
          <w:spacing w:val="-3"/>
          <w:sz w:val="21"/>
        </w:rPr>
        <w:t>required  to take </w:t>
      </w:r>
      <w:r>
        <w:rPr>
          <w:sz w:val="21"/>
        </w:rPr>
        <w:t>flora </w:t>
      </w:r>
      <w:r>
        <w:rPr>
          <w:spacing w:val="-3"/>
          <w:sz w:val="21"/>
        </w:rPr>
        <w:t>from private land </w:t>
      </w:r>
      <w:r>
        <w:rPr>
          <w:sz w:val="21"/>
        </w:rPr>
        <w:t>which is part of the critical habitat of </w:t>
      </w:r>
      <w:r>
        <w:rPr>
          <w:spacing w:val="-3"/>
          <w:sz w:val="21"/>
        </w:rPr>
        <w:t>that</w:t>
      </w:r>
      <w:r>
        <w:rPr>
          <w:spacing w:val="-10"/>
          <w:sz w:val="21"/>
        </w:rPr>
        <w:t> </w:t>
      </w:r>
      <w:r>
        <w:rPr>
          <w:spacing w:val="-4"/>
          <w:sz w:val="21"/>
        </w:rPr>
        <w:t>flora.</w:t>
      </w:r>
      <w:r>
        <w:rPr>
          <w:spacing w:val="-4"/>
          <w:position w:val="7"/>
          <w:sz w:val="12"/>
        </w:rPr>
        <w:t>180</w:t>
      </w:r>
    </w:p>
    <w:p>
      <w:pPr>
        <w:pStyle w:val="BodyText"/>
        <w:spacing w:line="242" w:lineRule="auto" w:before="4"/>
        <w:ind w:left="2381" w:right="1636"/>
      </w:pPr>
      <w:r>
        <w:rPr/>
        <w:t>Under the Act a determination may be made that the whole or any part or parts of the habitat of flora is critical to the survival of that particular category of flora.</w:t>
      </w:r>
      <w:r>
        <w:rPr>
          <w:position w:val="7"/>
          <w:sz w:val="12"/>
        </w:rPr>
        <w:t>181 </w:t>
      </w:r>
      <w:r>
        <w:rPr/>
        <w:t>If such</w:t>
      </w:r>
    </w:p>
    <w:p>
      <w:pPr>
        <w:pStyle w:val="BodyText"/>
        <w:spacing w:line="242" w:lineRule="auto" w:before="2"/>
        <w:ind w:left="2381" w:right="1810" w:hanging="1"/>
        <w:rPr>
          <w:sz w:val="12"/>
        </w:rPr>
      </w:pPr>
      <w:r>
        <w:rPr/>
        <w:t>a </w:t>
      </w:r>
      <w:r>
        <w:rPr>
          <w:spacing w:val="-3"/>
        </w:rPr>
        <w:t>determination </w:t>
      </w:r>
      <w:r>
        <w:rPr/>
        <w:t>is </w:t>
      </w:r>
      <w:r>
        <w:rPr>
          <w:spacing w:val="-3"/>
        </w:rPr>
        <w:t>made, </w:t>
      </w:r>
      <w:r>
        <w:rPr/>
        <w:t>the landowner  or  </w:t>
      </w:r>
      <w:r>
        <w:rPr>
          <w:spacing w:val="-3"/>
        </w:rPr>
        <w:t>occupier  </w:t>
      </w:r>
      <w:r>
        <w:rPr/>
        <w:t>of  </w:t>
      </w:r>
      <w:r>
        <w:rPr>
          <w:spacing w:val="-3"/>
        </w:rPr>
        <w:t>land  will  </w:t>
      </w:r>
      <w:r>
        <w:rPr/>
        <w:t>be  </w:t>
      </w:r>
      <w:r>
        <w:rPr>
          <w:spacing w:val="-4"/>
        </w:rPr>
        <w:t>notified.</w:t>
      </w:r>
      <w:r>
        <w:rPr>
          <w:spacing w:val="-4"/>
          <w:position w:val="7"/>
          <w:sz w:val="12"/>
        </w:rPr>
        <w:t>182  </w:t>
      </w:r>
      <w:r>
        <w:rPr>
          <w:spacing w:val="-4"/>
        </w:rPr>
        <w:t>At  </w:t>
      </w:r>
      <w:r>
        <w:rPr/>
        <w:t>the time of writing the Victorian </w:t>
      </w:r>
      <w:r>
        <w:rPr>
          <w:spacing w:val="-3"/>
        </w:rPr>
        <w:t>Government </w:t>
      </w:r>
      <w:r>
        <w:rPr>
          <w:spacing w:val="-2"/>
        </w:rPr>
        <w:t>has not </w:t>
      </w:r>
      <w:r>
        <w:rPr/>
        <w:t>used this </w:t>
      </w:r>
      <w:r>
        <w:rPr>
          <w:spacing w:val="-3"/>
        </w:rPr>
        <w:t>mechanism to </w:t>
      </w:r>
      <w:r>
        <w:rPr/>
        <w:t>protect critical </w:t>
      </w:r>
      <w:r>
        <w:rPr>
          <w:spacing w:val="-4"/>
        </w:rPr>
        <w:t>habitats.</w:t>
      </w:r>
      <w:r>
        <w:rPr>
          <w:spacing w:val="-4"/>
          <w:position w:val="7"/>
          <w:sz w:val="12"/>
        </w:rPr>
        <w:t>183</w:t>
      </w:r>
    </w:p>
    <w:p>
      <w:pPr>
        <w:pStyle w:val="BodyText"/>
        <w:spacing w:before="4"/>
        <w:rPr>
          <w:sz w:val="20"/>
        </w:rPr>
      </w:pPr>
    </w:p>
    <w:p>
      <w:pPr>
        <w:pStyle w:val="Heading5"/>
      </w:pPr>
      <w:r>
        <w:rPr>
          <w:w w:val="110"/>
        </w:rPr>
        <w:t>Victorian Conservation Trust Act</w:t>
      </w:r>
    </w:p>
    <w:p>
      <w:pPr>
        <w:pStyle w:val="ListParagraph"/>
        <w:numPr>
          <w:ilvl w:val="1"/>
          <w:numId w:val="16"/>
        </w:numPr>
        <w:tabs>
          <w:tab w:pos="2381" w:val="left" w:leader="none"/>
          <w:tab w:pos="2382" w:val="left" w:leader="none"/>
        </w:tabs>
        <w:spacing w:line="242" w:lineRule="auto" w:before="137" w:after="0"/>
        <w:ind w:left="2381" w:right="1619" w:hanging="794"/>
        <w:jc w:val="left"/>
        <w:rPr>
          <w:sz w:val="21"/>
        </w:rPr>
      </w:pPr>
      <w:r>
        <w:rPr>
          <w:w w:val="105"/>
          <w:sz w:val="21"/>
        </w:rPr>
        <w:t>Native vegetation on </w:t>
      </w:r>
      <w:r>
        <w:rPr>
          <w:spacing w:val="-3"/>
          <w:w w:val="105"/>
          <w:sz w:val="21"/>
        </w:rPr>
        <w:t>private </w:t>
      </w:r>
      <w:r>
        <w:rPr>
          <w:w w:val="105"/>
          <w:sz w:val="21"/>
        </w:rPr>
        <w:t>property can also be protected by a conservation </w:t>
      </w:r>
      <w:r>
        <w:rPr>
          <w:spacing w:val="-3"/>
          <w:w w:val="105"/>
          <w:sz w:val="21"/>
        </w:rPr>
        <w:t>covenant </w:t>
      </w:r>
      <w:r>
        <w:rPr>
          <w:w w:val="105"/>
          <w:sz w:val="21"/>
        </w:rPr>
        <w:t>established under the </w:t>
      </w:r>
      <w:r>
        <w:rPr>
          <w:i/>
          <w:w w:val="105"/>
          <w:sz w:val="21"/>
        </w:rPr>
        <w:t>Victorian </w:t>
      </w:r>
      <w:r>
        <w:rPr>
          <w:i/>
          <w:spacing w:val="-3"/>
          <w:w w:val="105"/>
          <w:sz w:val="21"/>
        </w:rPr>
        <w:t>Conservation </w:t>
      </w:r>
      <w:r>
        <w:rPr>
          <w:i/>
          <w:spacing w:val="-4"/>
          <w:w w:val="105"/>
          <w:sz w:val="21"/>
        </w:rPr>
        <w:t>Trust </w:t>
      </w:r>
      <w:r>
        <w:rPr>
          <w:i/>
          <w:w w:val="105"/>
          <w:sz w:val="21"/>
        </w:rPr>
        <w:t>Act </w:t>
      </w:r>
      <w:r>
        <w:rPr>
          <w:i/>
          <w:spacing w:val="-9"/>
          <w:w w:val="105"/>
          <w:sz w:val="21"/>
        </w:rPr>
        <w:t>1972 </w:t>
      </w:r>
      <w:r>
        <w:rPr>
          <w:spacing w:val="-2"/>
          <w:w w:val="105"/>
          <w:sz w:val="21"/>
        </w:rPr>
        <w:t>(Vic).</w:t>
      </w:r>
      <w:r>
        <w:rPr>
          <w:spacing w:val="-2"/>
          <w:w w:val="105"/>
          <w:position w:val="7"/>
          <w:sz w:val="12"/>
        </w:rPr>
        <w:t>184 </w:t>
      </w:r>
      <w:r>
        <w:rPr>
          <w:w w:val="105"/>
          <w:sz w:val="21"/>
        </w:rPr>
        <w:t>Baw Baw </w:t>
      </w:r>
      <w:r>
        <w:rPr>
          <w:spacing w:val="-3"/>
          <w:w w:val="105"/>
          <w:sz w:val="21"/>
        </w:rPr>
        <w:t>Shire </w:t>
      </w:r>
      <w:r>
        <w:rPr>
          <w:spacing w:val="-4"/>
          <w:w w:val="105"/>
          <w:sz w:val="21"/>
        </w:rPr>
        <w:t>Council </w:t>
      </w:r>
      <w:r>
        <w:rPr>
          <w:w w:val="105"/>
          <w:sz w:val="21"/>
        </w:rPr>
        <w:t>suggested </w:t>
      </w:r>
      <w:r>
        <w:rPr>
          <w:spacing w:val="-3"/>
          <w:w w:val="105"/>
          <w:sz w:val="21"/>
        </w:rPr>
        <w:t>that </w:t>
      </w:r>
      <w:r>
        <w:rPr>
          <w:w w:val="105"/>
          <w:sz w:val="21"/>
        </w:rPr>
        <w:t>it </w:t>
      </w:r>
      <w:r>
        <w:rPr>
          <w:spacing w:val="-2"/>
          <w:w w:val="105"/>
          <w:sz w:val="21"/>
        </w:rPr>
        <w:t>has </w:t>
      </w:r>
      <w:r>
        <w:rPr>
          <w:w w:val="105"/>
          <w:sz w:val="21"/>
        </w:rPr>
        <w:t>some of these </w:t>
      </w:r>
      <w:r>
        <w:rPr>
          <w:spacing w:val="-3"/>
          <w:w w:val="105"/>
          <w:sz w:val="21"/>
        </w:rPr>
        <w:t>covenants within </w:t>
      </w:r>
      <w:r>
        <w:rPr>
          <w:w w:val="105"/>
          <w:sz w:val="21"/>
        </w:rPr>
        <w:t>its local </w:t>
      </w:r>
      <w:r>
        <w:rPr>
          <w:spacing w:val="-3"/>
          <w:w w:val="105"/>
          <w:sz w:val="21"/>
        </w:rPr>
        <w:t>government</w:t>
      </w:r>
      <w:r>
        <w:rPr>
          <w:spacing w:val="9"/>
          <w:w w:val="105"/>
          <w:sz w:val="21"/>
        </w:rPr>
        <w:t> </w:t>
      </w:r>
      <w:r>
        <w:rPr>
          <w:spacing w:val="-5"/>
          <w:w w:val="105"/>
          <w:sz w:val="21"/>
        </w:rPr>
        <w:t>area.</w:t>
      </w:r>
      <w:r>
        <w:rPr>
          <w:spacing w:val="-5"/>
          <w:w w:val="105"/>
          <w:position w:val="7"/>
          <w:sz w:val="12"/>
        </w:rPr>
        <w:t>185</w:t>
      </w:r>
    </w:p>
    <w:p>
      <w:pPr>
        <w:pStyle w:val="ListParagraph"/>
        <w:numPr>
          <w:ilvl w:val="1"/>
          <w:numId w:val="16"/>
        </w:numPr>
        <w:tabs>
          <w:tab w:pos="2381" w:val="left" w:leader="none"/>
          <w:tab w:pos="2382" w:val="left" w:leader="none"/>
        </w:tabs>
        <w:spacing w:line="242" w:lineRule="auto" w:before="123" w:after="0"/>
        <w:ind w:left="2381" w:right="1801" w:hanging="794"/>
        <w:jc w:val="left"/>
        <w:rPr>
          <w:sz w:val="21"/>
        </w:rPr>
      </w:pPr>
      <w:r>
        <w:rPr>
          <w:w w:val="105"/>
          <w:sz w:val="21"/>
        </w:rPr>
        <w:t>These</w:t>
      </w:r>
      <w:r>
        <w:rPr>
          <w:spacing w:val="-8"/>
          <w:w w:val="105"/>
          <w:sz w:val="21"/>
        </w:rPr>
        <w:t> </w:t>
      </w:r>
      <w:r>
        <w:rPr>
          <w:w w:val="105"/>
          <w:sz w:val="21"/>
        </w:rPr>
        <w:t>agreements</w:t>
      </w:r>
      <w:r>
        <w:rPr>
          <w:spacing w:val="-8"/>
          <w:w w:val="105"/>
          <w:sz w:val="21"/>
        </w:rPr>
        <w:t> </w:t>
      </w:r>
      <w:r>
        <w:rPr>
          <w:spacing w:val="-3"/>
          <w:w w:val="105"/>
          <w:sz w:val="21"/>
        </w:rPr>
        <w:t>are</w:t>
      </w:r>
      <w:r>
        <w:rPr>
          <w:spacing w:val="-8"/>
          <w:w w:val="105"/>
          <w:sz w:val="21"/>
        </w:rPr>
        <w:t> </w:t>
      </w:r>
      <w:r>
        <w:rPr>
          <w:spacing w:val="-2"/>
          <w:w w:val="105"/>
          <w:sz w:val="21"/>
        </w:rPr>
        <w:t>legally</w:t>
      </w:r>
      <w:r>
        <w:rPr>
          <w:spacing w:val="-7"/>
          <w:w w:val="105"/>
          <w:sz w:val="21"/>
        </w:rPr>
        <w:t> </w:t>
      </w:r>
      <w:r>
        <w:rPr>
          <w:spacing w:val="-3"/>
          <w:w w:val="105"/>
          <w:sz w:val="21"/>
        </w:rPr>
        <w:t>binding,</w:t>
      </w:r>
      <w:r>
        <w:rPr>
          <w:spacing w:val="-8"/>
          <w:w w:val="105"/>
          <w:sz w:val="21"/>
        </w:rPr>
        <w:t> </w:t>
      </w:r>
      <w:r>
        <w:rPr>
          <w:spacing w:val="-3"/>
          <w:w w:val="105"/>
          <w:sz w:val="21"/>
        </w:rPr>
        <w:t>registered</w:t>
      </w:r>
      <w:r>
        <w:rPr>
          <w:spacing w:val="-8"/>
          <w:w w:val="105"/>
          <w:sz w:val="21"/>
        </w:rPr>
        <w:t> </w:t>
      </w:r>
      <w:r>
        <w:rPr>
          <w:w w:val="105"/>
          <w:sz w:val="21"/>
        </w:rPr>
        <w:t>on</w:t>
      </w:r>
      <w:r>
        <w:rPr>
          <w:spacing w:val="-8"/>
          <w:w w:val="105"/>
          <w:sz w:val="21"/>
        </w:rPr>
        <w:t> </w:t>
      </w:r>
      <w:r>
        <w:rPr>
          <w:w w:val="105"/>
          <w:sz w:val="21"/>
        </w:rPr>
        <w:t>title</w:t>
      </w:r>
      <w:r>
        <w:rPr>
          <w:spacing w:val="-7"/>
          <w:w w:val="105"/>
          <w:sz w:val="21"/>
        </w:rPr>
        <w:t> </w:t>
      </w:r>
      <w:r>
        <w:rPr>
          <w:w w:val="105"/>
          <w:sz w:val="21"/>
        </w:rPr>
        <w:t>and</w:t>
      </w:r>
      <w:r>
        <w:rPr>
          <w:spacing w:val="-8"/>
          <w:w w:val="105"/>
          <w:sz w:val="21"/>
        </w:rPr>
        <w:t> </w:t>
      </w:r>
      <w:r>
        <w:rPr>
          <w:spacing w:val="-3"/>
          <w:w w:val="105"/>
          <w:sz w:val="21"/>
        </w:rPr>
        <w:t>are</w:t>
      </w:r>
      <w:r>
        <w:rPr>
          <w:spacing w:val="-8"/>
          <w:w w:val="105"/>
          <w:sz w:val="21"/>
        </w:rPr>
        <w:t> </w:t>
      </w:r>
      <w:r>
        <w:rPr>
          <w:spacing w:val="-3"/>
          <w:w w:val="105"/>
          <w:sz w:val="21"/>
        </w:rPr>
        <w:t>entered</w:t>
      </w:r>
      <w:r>
        <w:rPr>
          <w:spacing w:val="-8"/>
          <w:w w:val="105"/>
          <w:sz w:val="21"/>
        </w:rPr>
        <w:t> </w:t>
      </w:r>
      <w:r>
        <w:rPr>
          <w:spacing w:val="-4"/>
          <w:w w:val="105"/>
          <w:sz w:val="21"/>
        </w:rPr>
        <w:t>into</w:t>
      </w:r>
      <w:r>
        <w:rPr>
          <w:spacing w:val="-7"/>
          <w:w w:val="105"/>
          <w:sz w:val="21"/>
        </w:rPr>
        <w:t> </w:t>
      </w:r>
      <w:r>
        <w:rPr>
          <w:spacing w:val="-3"/>
          <w:w w:val="105"/>
          <w:sz w:val="21"/>
        </w:rPr>
        <w:t>voluntarily </w:t>
      </w:r>
      <w:r>
        <w:rPr>
          <w:w w:val="105"/>
          <w:sz w:val="21"/>
        </w:rPr>
        <w:t>between the </w:t>
      </w:r>
      <w:r>
        <w:rPr>
          <w:spacing w:val="-4"/>
          <w:w w:val="105"/>
          <w:sz w:val="21"/>
        </w:rPr>
        <w:t>Trust </w:t>
      </w:r>
      <w:r>
        <w:rPr>
          <w:spacing w:val="-3"/>
          <w:w w:val="105"/>
          <w:sz w:val="21"/>
        </w:rPr>
        <w:t>for Nature </w:t>
      </w:r>
      <w:r>
        <w:rPr>
          <w:w w:val="105"/>
          <w:sz w:val="21"/>
        </w:rPr>
        <w:t>and </w:t>
      </w:r>
      <w:r>
        <w:rPr>
          <w:spacing w:val="-3"/>
          <w:w w:val="105"/>
          <w:sz w:val="21"/>
        </w:rPr>
        <w:t>individual landowners.</w:t>
      </w:r>
      <w:r>
        <w:rPr>
          <w:spacing w:val="-3"/>
          <w:w w:val="105"/>
          <w:position w:val="7"/>
          <w:sz w:val="12"/>
        </w:rPr>
        <w:t>186 </w:t>
      </w:r>
      <w:r>
        <w:rPr>
          <w:w w:val="105"/>
          <w:sz w:val="21"/>
        </w:rPr>
        <w:t>Once agreed, the </w:t>
      </w:r>
      <w:r>
        <w:rPr>
          <w:spacing w:val="-4"/>
          <w:w w:val="105"/>
          <w:sz w:val="21"/>
        </w:rPr>
        <w:t>Trust </w:t>
      </w:r>
      <w:r>
        <w:rPr>
          <w:w w:val="105"/>
          <w:sz w:val="21"/>
        </w:rPr>
        <w:t>assumes </w:t>
      </w:r>
      <w:r>
        <w:rPr>
          <w:spacing w:val="-3"/>
          <w:w w:val="105"/>
          <w:sz w:val="21"/>
        </w:rPr>
        <w:t>responsibility for monitoring </w:t>
      </w:r>
      <w:r>
        <w:rPr>
          <w:w w:val="105"/>
          <w:sz w:val="21"/>
        </w:rPr>
        <w:t>the restrictions and rights agreed </w:t>
      </w:r>
      <w:r>
        <w:rPr>
          <w:spacing w:val="-3"/>
          <w:w w:val="105"/>
          <w:sz w:val="21"/>
        </w:rPr>
        <w:t>to through </w:t>
      </w:r>
      <w:r>
        <w:rPr>
          <w:w w:val="105"/>
          <w:sz w:val="21"/>
        </w:rPr>
        <w:t>the </w:t>
      </w:r>
      <w:r>
        <w:rPr>
          <w:spacing w:val="-4"/>
          <w:w w:val="105"/>
          <w:sz w:val="21"/>
        </w:rPr>
        <w:t>Trust’s Stewardship</w:t>
      </w:r>
      <w:r>
        <w:rPr>
          <w:spacing w:val="14"/>
          <w:w w:val="105"/>
          <w:sz w:val="21"/>
        </w:rPr>
        <w:t> </w:t>
      </w:r>
      <w:r>
        <w:rPr>
          <w:spacing w:val="-3"/>
          <w:w w:val="105"/>
          <w:sz w:val="21"/>
        </w:rPr>
        <w:t>Program.</w:t>
      </w:r>
    </w:p>
    <w:p>
      <w:pPr>
        <w:pStyle w:val="ListParagraph"/>
        <w:numPr>
          <w:ilvl w:val="1"/>
          <w:numId w:val="16"/>
        </w:numPr>
        <w:tabs>
          <w:tab w:pos="2381" w:val="left" w:leader="none"/>
          <w:tab w:pos="2382" w:val="left" w:leader="none"/>
        </w:tabs>
        <w:spacing w:line="242" w:lineRule="auto" w:before="125" w:after="0"/>
        <w:ind w:left="2381" w:right="1705" w:hanging="794"/>
        <w:jc w:val="left"/>
        <w:rPr>
          <w:sz w:val="21"/>
        </w:rPr>
      </w:pPr>
      <w:r>
        <w:rPr>
          <w:w w:val="105"/>
          <w:sz w:val="21"/>
        </w:rPr>
        <w:t>Each</w:t>
      </w:r>
      <w:r>
        <w:rPr>
          <w:spacing w:val="-10"/>
          <w:w w:val="105"/>
          <w:sz w:val="21"/>
        </w:rPr>
        <w:t> </w:t>
      </w:r>
      <w:r>
        <w:rPr>
          <w:w w:val="105"/>
          <w:sz w:val="21"/>
        </w:rPr>
        <w:t>conservation</w:t>
      </w:r>
      <w:r>
        <w:rPr>
          <w:spacing w:val="-9"/>
          <w:w w:val="105"/>
          <w:sz w:val="21"/>
        </w:rPr>
        <w:t> </w:t>
      </w:r>
      <w:r>
        <w:rPr>
          <w:spacing w:val="-3"/>
          <w:w w:val="105"/>
          <w:sz w:val="21"/>
        </w:rPr>
        <w:t>covenant</w:t>
      </w:r>
      <w:r>
        <w:rPr>
          <w:spacing w:val="-9"/>
          <w:w w:val="105"/>
          <w:sz w:val="21"/>
        </w:rPr>
        <w:t> </w:t>
      </w:r>
      <w:r>
        <w:rPr>
          <w:w w:val="105"/>
          <w:sz w:val="21"/>
        </w:rPr>
        <w:t>is</w:t>
      </w:r>
      <w:r>
        <w:rPr>
          <w:spacing w:val="-10"/>
          <w:w w:val="105"/>
          <w:sz w:val="21"/>
        </w:rPr>
        <w:t> </w:t>
      </w:r>
      <w:r>
        <w:rPr>
          <w:spacing w:val="-3"/>
          <w:w w:val="105"/>
          <w:sz w:val="21"/>
        </w:rPr>
        <w:t>approved</w:t>
      </w:r>
      <w:r>
        <w:rPr>
          <w:spacing w:val="-9"/>
          <w:w w:val="105"/>
          <w:sz w:val="21"/>
        </w:rPr>
        <w:t> </w:t>
      </w:r>
      <w:r>
        <w:rPr>
          <w:w w:val="105"/>
          <w:sz w:val="21"/>
        </w:rPr>
        <w:t>by</w:t>
      </w:r>
      <w:r>
        <w:rPr>
          <w:spacing w:val="-9"/>
          <w:w w:val="105"/>
          <w:sz w:val="21"/>
        </w:rPr>
        <w:t> </w:t>
      </w:r>
      <w:r>
        <w:rPr>
          <w:w w:val="105"/>
          <w:sz w:val="21"/>
        </w:rPr>
        <w:t>the</w:t>
      </w:r>
      <w:r>
        <w:rPr>
          <w:spacing w:val="-9"/>
          <w:w w:val="105"/>
          <w:sz w:val="21"/>
        </w:rPr>
        <w:t> </w:t>
      </w:r>
      <w:r>
        <w:rPr>
          <w:spacing w:val="-3"/>
          <w:w w:val="105"/>
          <w:sz w:val="21"/>
        </w:rPr>
        <w:t>Minister</w:t>
      </w:r>
      <w:r>
        <w:rPr>
          <w:spacing w:val="-10"/>
          <w:w w:val="105"/>
          <w:sz w:val="21"/>
        </w:rPr>
        <w:t> </w:t>
      </w:r>
      <w:r>
        <w:rPr>
          <w:spacing w:val="-3"/>
          <w:w w:val="105"/>
          <w:sz w:val="21"/>
        </w:rPr>
        <w:t>for</w:t>
      </w:r>
      <w:r>
        <w:rPr>
          <w:spacing w:val="-9"/>
          <w:w w:val="105"/>
          <w:sz w:val="21"/>
        </w:rPr>
        <w:t> </w:t>
      </w:r>
      <w:r>
        <w:rPr>
          <w:spacing w:val="-3"/>
          <w:w w:val="105"/>
          <w:sz w:val="21"/>
        </w:rPr>
        <w:t>Environment.</w:t>
      </w:r>
      <w:r>
        <w:rPr>
          <w:spacing w:val="-9"/>
          <w:w w:val="105"/>
          <w:sz w:val="21"/>
        </w:rPr>
        <w:t> </w:t>
      </w:r>
      <w:r>
        <w:rPr>
          <w:w w:val="105"/>
          <w:sz w:val="21"/>
        </w:rPr>
        <w:t>The</w:t>
      </w:r>
      <w:r>
        <w:rPr>
          <w:spacing w:val="-9"/>
          <w:w w:val="105"/>
          <w:sz w:val="21"/>
        </w:rPr>
        <w:t> </w:t>
      </w:r>
      <w:r>
        <w:rPr>
          <w:spacing w:val="-3"/>
          <w:w w:val="105"/>
          <w:sz w:val="21"/>
        </w:rPr>
        <w:t>covenant</w:t>
      </w:r>
      <w:r>
        <w:rPr>
          <w:spacing w:val="-10"/>
          <w:w w:val="105"/>
          <w:sz w:val="21"/>
        </w:rPr>
        <w:t> </w:t>
      </w:r>
      <w:r>
        <w:rPr>
          <w:w w:val="105"/>
          <w:sz w:val="21"/>
        </w:rPr>
        <w:t>is then </w:t>
      </w:r>
      <w:r>
        <w:rPr>
          <w:spacing w:val="-3"/>
          <w:w w:val="105"/>
          <w:sz w:val="21"/>
        </w:rPr>
        <w:t>registered </w:t>
      </w:r>
      <w:r>
        <w:rPr>
          <w:w w:val="105"/>
          <w:sz w:val="21"/>
        </w:rPr>
        <w:t>on the Certificate of Title and </w:t>
      </w:r>
      <w:r>
        <w:rPr>
          <w:spacing w:val="-3"/>
          <w:w w:val="105"/>
          <w:sz w:val="21"/>
        </w:rPr>
        <w:t>remains there, binding current </w:t>
      </w:r>
      <w:r>
        <w:rPr>
          <w:w w:val="105"/>
          <w:sz w:val="21"/>
        </w:rPr>
        <w:t>and </w:t>
      </w:r>
      <w:r>
        <w:rPr>
          <w:spacing w:val="-3"/>
          <w:w w:val="105"/>
          <w:sz w:val="21"/>
        </w:rPr>
        <w:t>future </w:t>
      </w:r>
      <w:r>
        <w:rPr>
          <w:w w:val="105"/>
          <w:sz w:val="21"/>
        </w:rPr>
        <w:t>owners of the </w:t>
      </w:r>
      <w:r>
        <w:rPr>
          <w:spacing w:val="-3"/>
          <w:w w:val="105"/>
          <w:sz w:val="21"/>
        </w:rPr>
        <w:t>land to </w:t>
      </w:r>
      <w:r>
        <w:rPr>
          <w:w w:val="105"/>
          <w:sz w:val="21"/>
        </w:rPr>
        <w:t>the </w:t>
      </w:r>
      <w:r>
        <w:rPr>
          <w:spacing w:val="-3"/>
          <w:w w:val="105"/>
          <w:sz w:val="21"/>
        </w:rPr>
        <w:t>terms </w:t>
      </w:r>
      <w:r>
        <w:rPr>
          <w:w w:val="105"/>
          <w:sz w:val="21"/>
        </w:rPr>
        <w:t>and </w:t>
      </w:r>
      <w:r>
        <w:rPr>
          <w:spacing w:val="-3"/>
          <w:w w:val="105"/>
          <w:sz w:val="21"/>
        </w:rPr>
        <w:t>conditions </w:t>
      </w:r>
      <w:r>
        <w:rPr>
          <w:w w:val="105"/>
          <w:sz w:val="21"/>
        </w:rPr>
        <w:t>of the</w:t>
      </w:r>
      <w:r>
        <w:rPr>
          <w:spacing w:val="7"/>
          <w:w w:val="105"/>
          <w:sz w:val="21"/>
        </w:rPr>
        <w:t> </w:t>
      </w:r>
      <w:r>
        <w:rPr>
          <w:spacing w:val="-5"/>
          <w:w w:val="105"/>
          <w:sz w:val="21"/>
        </w:rPr>
        <w:t>covenant.</w:t>
      </w:r>
      <w:r>
        <w:rPr>
          <w:spacing w:val="-5"/>
          <w:w w:val="105"/>
          <w:position w:val="7"/>
          <w:sz w:val="12"/>
        </w:rPr>
        <w:t>187</w:t>
      </w:r>
    </w:p>
    <w:p>
      <w:pPr>
        <w:pStyle w:val="ListParagraph"/>
        <w:numPr>
          <w:ilvl w:val="1"/>
          <w:numId w:val="16"/>
        </w:numPr>
        <w:tabs>
          <w:tab w:pos="2380" w:val="left" w:leader="none"/>
          <w:tab w:pos="2381" w:val="left" w:leader="none"/>
        </w:tabs>
        <w:spacing w:line="242" w:lineRule="auto" w:before="123" w:after="0"/>
        <w:ind w:left="2380" w:right="1648" w:hanging="793"/>
        <w:jc w:val="left"/>
        <w:rPr>
          <w:sz w:val="21"/>
        </w:rPr>
      </w:pPr>
      <w:r>
        <w:rPr>
          <w:sz w:val="21"/>
        </w:rPr>
        <w:t>All </w:t>
      </w:r>
      <w:r>
        <w:rPr>
          <w:spacing w:val="-3"/>
          <w:sz w:val="21"/>
        </w:rPr>
        <w:t>currently </w:t>
      </w:r>
      <w:r>
        <w:rPr>
          <w:sz w:val="21"/>
        </w:rPr>
        <w:t>worded </w:t>
      </w:r>
      <w:r>
        <w:rPr>
          <w:spacing w:val="-3"/>
          <w:sz w:val="21"/>
        </w:rPr>
        <w:t>covenants are </w:t>
      </w:r>
      <w:r>
        <w:rPr>
          <w:sz w:val="21"/>
        </w:rPr>
        <w:t>subject </w:t>
      </w:r>
      <w:r>
        <w:rPr>
          <w:spacing w:val="-3"/>
          <w:sz w:val="21"/>
        </w:rPr>
        <w:t>to responsible </w:t>
      </w:r>
      <w:r>
        <w:rPr>
          <w:sz w:val="21"/>
        </w:rPr>
        <w:t>fire </w:t>
      </w:r>
      <w:r>
        <w:rPr>
          <w:spacing w:val="-3"/>
          <w:sz w:val="21"/>
        </w:rPr>
        <w:t>prevention, </w:t>
      </w:r>
      <w:r>
        <w:rPr>
          <w:sz w:val="21"/>
        </w:rPr>
        <w:t>weed and pest </w:t>
      </w:r>
      <w:r>
        <w:rPr>
          <w:spacing w:val="-3"/>
          <w:sz w:val="21"/>
        </w:rPr>
        <w:t>control </w:t>
      </w:r>
      <w:r>
        <w:rPr>
          <w:sz w:val="21"/>
        </w:rPr>
        <w:t>as </w:t>
      </w:r>
      <w:r>
        <w:rPr>
          <w:spacing w:val="-3"/>
          <w:sz w:val="21"/>
        </w:rPr>
        <w:t>well </w:t>
      </w:r>
      <w:r>
        <w:rPr>
          <w:sz w:val="21"/>
        </w:rPr>
        <w:t>as acts </w:t>
      </w:r>
      <w:r>
        <w:rPr>
          <w:spacing w:val="-3"/>
          <w:sz w:val="21"/>
        </w:rPr>
        <w:t>that are </w:t>
      </w:r>
      <w:r>
        <w:rPr>
          <w:sz w:val="21"/>
        </w:rPr>
        <w:t>outside the </w:t>
      </w:r>
      <w:r>
        <w:rPr>
          <w:spacing w:val="-3"/>
          <w:sz w:val="21"/>
        </w:rPr>
        <w:t>control </w:t>
      </w:r>
      <w:r>
        <w:rPr>
          <w:sz w:val="21"/>
        </w:rPr>
        <w:t>of the </w:t>
      </w:r>
      <w:r>
        <w:rPr>
          <w:spacing w:val="-4"/>
          <w:sz w:val="21"/>
        </w:rPr>
        <w:t>owner, </w:t>
      </w:r>
      <w:r>
        <w:rPr>
          <w:spacing w:val="-3"/>
          <w:sz w:val="21"/>
        </w:rPr>
        <w:t>for </w:t>
      </w:r>
      <w:r>
        <w:rPr>
          <w:sz w:val="21"/>
        </w:rPr>
        <w:t>example a </w:t>
      </w:r>
      <w:r>
        <w:rPr>
          <w:spacing w:val="-3"/>
          <w:sz w:val="21"/>
        </w:rPr>
        <w:t>natural </w:t>
      </w:r>
      <w:r>
        <w:rPr>
          <w:sz w:val="21"/>
        </w:rPr>
        <w:t>disaster </w:t>
      </w:r>
      <w:r>
        <w:rPr>
          <w:spacing w:val="-3"/>
          <w:sz w:val="21"/>
        </w:rPr>
        <w:t>that may </w:t>
      </w:r>
      <w:r>
        <w:rPr>
          <w:sz w:val="21"/>
        </w:rPr>
        <w:t>adversely affect protected habitats. Restrictions set out in this </w:t>
      </w:r>
      <w:r>
        <w:rPr>
          <w:spacing w:val="-3"/>
          <w:sz w:val="21"/>
        </w:rPr>
        <w:t>covenant, for example, disallowing </w:t>
      </w:r>
      <w:r>
        <w:rPr>
          <w:sz w:val="21"/>
        </w:rPr>
        <w:t>tree </w:t>
      </w:r>
      <w:r>
        <w:rPr>
          <w:spacing w:val="-3"/>
          <w:sz w:val="21"/>
        </w:rPr>
        <w:t>removal, may </w:t>
      </w:r>
      <w:r>
        <w:rPr>
          <w:sz w:val="21"/>
        </w:rPr>
        <w:t>also be waived </w:t>
      </w:r>
      <w:r>
        <w:rPr>
          <w:spacing w:val="-3"/>
          <w:sz w:val="21"/>
        </w:rPr>
        <w:t>to</w:t>
      </w:r>
      <w:r>
        <w:rPr>
          <w:spacing w:val="10"/>
          <w:sz w:val="21"/>
        </w:rPr>
        <w:t> </w:t>
      </w:r>
      <w:r>
        <w:rPr>
          <w:sz w:val="21"/>
        </w:rPr>
        <w:t>the extent necessary </w:t>
      </w:r>
      <w:r>
        <w:rPr>
          <w:spacing w:val="-3"/>
          <w:sz w:val="21"/>
        </w:rPr>
        <w:t>for:</w:t>
      </w:r>
    </w:p>
    <w:p>
      <w:pPr>
        <w:pStyle w:val="ListParagraph"/>
        <w:numPr>
          <w:ilvl w:val="2"/>
          <w:numId w:val="16"/>
        </w:numPr>
        <w:tabs>
          <w:tab w:pos="2721" w:val="left" w:leader="none"/>
          <w:tab w:pos="2722" w:val="left" w:leader="none"/>
        </w:tabs>
        <w:spacing w:line="242" w:lineRule="auto" w:before="125" w:after="0"/>
        <w:ind w:left="2721" w:right="1842" w:hanging="341"/>
        <w:jc w:val="left"/>
        <w:rPr>
          <w:sz w:val="21"/>
        </w:rPr>
      </w:pPr>
      <w:r>
        <w:rPr>
          <w:spacing w:val="-3"/>
          <w:w w:val="105"/>
          <w:sz w:val="21"/>
        </w:rPr>
        <w:t>reasonable maintenance </w:t>
      </w:r>
      <w:r>
        <w:rPr>
          <w:w w:val="105"/>
          <w:sz w:val="21"/>
        </w:rPr>
        <w:t>of </w:t>
      </w:r>
      <w:r>
        <w:rPr>
          <w:spacing w:val="-3"/>
          <w:w w:val="105"/>
          <w:sz w:val="21"/>
        </w:rPr>
        <w:t>fences, </w:t>
      </w:r>
      <w:r>
        <w:rPr>
          <w:w w:val="105"/>
          <w:sz w:val="21"/>
        </w:rPr>
        <w:t>culverts, </w:t>
      </w:r>
      <w:r>
        <w:rPr>
          <w:spacing w:val="-3"/>
          <w:w w:val="105"/>
          <w:sz w:val="21"/>
        </w:rPr>
        <w:t>dams, </w:t>
      </w:r>
      <w:r>
        <w:rPr>
          <w:w w:val="105"/>
          <w:sz w:val="21"/>
        </w:rPr>
        <w:t>bridges, </w:t>
      </w:r>
      <w:r>
        <w:rPr>
          <w:spacing w:val="-3"/>
          <w:w w:val="105"/>
          <w:sz w:val="21"/>
        </w:rPr>
        <w:t>watercourses, buildings, </w:t>
      </w:r>
      <w:r>
        <w:rPr>
          <w:w w:val="105"/>
          <w:sz w:val="21"/>
        </w:rPr>
        <w:t>tracks, </w:t>
      </w:r>
      <w:r>
        <w:rPr>
          <w:spacing w:val="-3"/>
          <w:w w:val="105"/>
          <w:sz w:val="21"/>
        </w:rPr>
        <w:t>paths, </w:t>
      </w:r>
      <w:r>
        <w:rPr>
          <w:w w:val="105"/>
          <w:sz w:val="21"/>
        </w:rPr>
        <w:t>roads and other</w:t>
      </w:r>
      <w:r>
        <w:rPr>
          <w:spacing w:val="24"/>
          <w:w w:val="105"/>
          <w:sz w:val="21"/>
        </w:rPr>
        <w:t> </w:t>
      </w:r>
      <w:r>
        <w:rPr>
          <w:w w:val="105"/>
          <w:sz w:val="21"/>
        </w:rPr>
        <w:t>services</w:t>
      </w:r>
    </w:p>
    <w:p>
      <w:pPr>
        <w:pStyle w:val="ListParagraph"/>
        <w:numPr>
          <w:ilvl w:val="2"/>
          <w:numId w:val="16"/>
        </w:numPr>
        <w:tabs>
          <w:tab w:pos="2721" w:val="left" w:leader="none"/>
          <w:tab w:pos="2722" w:val="left" w:leader="none"/>
        </w:tabs>
        <w:spacing w:line="242" w:lineRule="auto" w:before="87" w:after="0"/>
        <w:ind w:left="2721" w:right="1739" w:hanging="341"/>
        <w:jc w:val="left"/>
        <w:rPr>
          <w:sz w:val="21"/>
        </w:rPr>
      </w:pPr>
      <w:r>
        <w:rPr>
          <w:spacing w:val="-3"/>
          <w:sz w:val="21"/>
        </w:rPr>
        <w:t>any </w:t>
      </w:r>
      <w:r>
        <w:rPr>
          <w:sz w:val="21"/>
        </w:rPr>
        <w:t>act </w:t>
      </w:r>
      <w:r>
        <w:rPr>
          <w:spacing w:val="-3"/>
          <w:sz w:val="21"/>
        </w:rPr>
        <w:t>required </w:t>
      </w:r>
      <w:r>
        <w:rPr>
          <w:sz w:val="21"/>
        </w:rPr>
        <w:t>under </w:t>
      </w:r>
      <w:r>
        <w:rPr>
          <w:spacing w:val="-3"/>
          <w:sz w:val="21"/>
        </w:rPr>
        <w:t>any </w:t>
      </w:r>
      <w:r>
        <w:rPr>
          <w:spacing w:val="-5"/>
          <w:sz w:val="21"/>
        </w:rPr>
        <w:t>law, </w:t>
      </w:r>
      <w:r>
        <w:rPr>
          <w:sz w:val="21"/>
        </w:rPr>
        <w:t>rule or </w:t>
      </w:r>
      <w:r>
        <w:rPr>
          <w:spacing w:val="-3"/>
          <w:sz w:val="21"/>
        </w:rPr>
        <w:t>regulation </w:t>
      </w:r>
      <w:r>
        <w:rPr>
          <w:sz w:val="21"/>
        </w:rPr>
        <w:t>of </w:t>
      </w:r>
      <w:r>
        <w:rPr>
          <w:spacing w:val="-3"/>
          <w:sz w:val="21"/>
        </w:rPr>
        <w:t>any government </w:t>
      </w:r>
      <w:r>
        <w:rPr>
          <w:sz w:val="21"/>
        </w:rPr>
        <w:t>or </w:t>
      </w:r>
      <w:r>
        <w:rPr>
          <w:spacing w:val="-3"/>
          <w:sz w:val="21"/>
        </w:rPr>
        <w:t>government agency,</w:t>
      </w:r>
      <w:r>
        <w:rPr>
          <w:spacing w:val="14"/>
          <w:sz w:val="21"/>
        </w:rPr>
        <w:t> </w:t>
      </w:r>
      <w:r>
        <w:rPr>
          <w:sz w:val="21"/>
        </w:rPr>
        <w:t>executive</w:t>
      </w:r>
      <w:r>
        <w:rPr>
          <w:spacing w:val="15"/>
          <w:sz w:val="21"/>
        </w:rPr>
        <w:t> </w:t>
      </w:r>
      <w:r>
        <w:rPr>
          <w:sz w:val="21"/>
        </w:rPr>
        <w:t>or</w:t>
      </w:r>
      <w:r>
        <w:rPr>
          <w:spacing w:val="15"/>
          <w:sz w:val="21"/>
        </w:rPr>
        <w:t> </w:t>
      </w:r>
      <w:r>
        <w:rPr>
          <w:spacing w:val="-3"/>
          <w:sz w:val="21"/>
        </w:rPr>
        <w:t>administrative</w:t>
      </w:r>
      <w:r>
        <w:rPr>
          <w:spacing w:val="15"/>
          <w:sz w:val="21"/>
        </w:rPr>
        <w:t> </w:t>
      </w:r>
      <w:r>
        <w:rPr>
          <w:sz w:val="21"/>
        </w:rPr>
        <w:t>order</w:t>
      </w:r>
      <w:r>
        <w:rPr>
          <w:spacing w:val="15"/>
          <w:sz w:val="21"/>
        </w:rPr>
        <w:t> </w:t>
      </w:r>
      <w:r>
        <w:rPr>
          <w:sz w:val="21"/>
        </w:rPr>
        <w:t>or</w:t>
      </w:r>
      <w:r>
        <w:rPr>
          <w:spacing w:val="15"/>
          <w:sz w:val="21"/>
        </w:rPr>
        <w:t> </w:t>
      </w:r>
      <w:r>
        <w:rPr>
          <w:sz w:val="21"/>
        </w:rPr>
        <w:t>act</w:t>
      </w:r>
      <w:r>
        <w:rPr>
          <w:spacing w:val="15"/>
          <w:sz w:val="21"/>
        </w:rPr>
        <w:t> </w:t>
      </w:r>
      <w:r>
        <w:rPr>
          <w:sz w:val="21"/>
        </w:rPr>
        <w:t>of</w:t>
      </w:r>
      <w:r>
        <w:rPr>
          <w:spacing w:val="15"/>
          <w:sz w:val="21"/>
        </w:rPr>
        <w:t> </w:t>
      </w:r>
      <w:r>
        <w:rPr>
          <w:sz w:val="21"/>
        </w:rPr>
        <w:t>general</w:t>
      </w:r>
      <w:r>
        <w:rPr>
          <w:spacing w:val="15"/>
          <w:sz w:val="21"/>
        </w:rPr>
        <w:t> </w:t>
      </w:r>
      <w:r>
        <w:rPr>
          <w:sz w:val="21"/>
        </w:rPr>
        <w:t>or</w:t>
      </w:r>
      <w:r>
        <w:rPr>
          <w:spacing w:val="14"/>
          <w:sz w:val="21"/>
        </w:rPr>
        <w:t> </w:t>
      </w:r>
      <w:r>
        <w:rPr>
          <w:sz w:val="21"/>
        </w:rPr>
        <w:t>particular</w:t>
      </w:r>
      <w:r>
        <w:rPr>
          <w:spacing w:val="15"/>
          <w:sz w:val="21"/>
        </w:rPr>
        <w:t> </w:t>
      </w:r>
      <w:r>
        <w:rPr>
          <w:sz w:val="21"/>
        </w:rPr>
        <w:t>application</w:t>
      </w:r>
    </w:p>
    <w:p>
      <w:pPr>
        <w:pStyle w:val="ListParagraph"/>
        <w:numPr>
          <w:ilvl w:val="2"/>
          <w:numId w:val="16"/>
        </w:numPr>
        <w:tabs>
          <w:tab w:pos="2721" w:val="left" w:leader="none"/>
          <w:tab w:pos="2722" w:val="left" w:leader="none"/>
        </w:tabs>
        <w:spacing w:line="242" w:lineRule="auto" w:before="87" w:after="0"/>
        <w:ind w:left="2721" w:right="1745" w:hanging="341"/>
        <w:jc w:val="left"/>
        <w:rPr>
          <w:sz w:val="21"/>
        </w:rPr>
      </w:pPr>
      <w:r>
        <w:rPr>
          <w:w w:val="105"/>
          <w:sz w:val="21"/>
        </w:rPr>
        <w:t>the</w:t>
      </w:r>
      <w:r>
        <w:rPr>
          <w:spacing w:val="-5"/>
          <w:w w:val="105"/>
          <w:sz w:val="21"/>
        </w:rPr>
        <w:t> </w:t>
      </w:r>
      <w:r>
        <w:rPr>
          <w:w w:val="105"/>
          <w:sz w:val="21"/>
        </w:rPr>
        <w:t>proper</w:t>
      </w:r>
      <w:r>
        <w:rPr>
          <w:spacing w:val="-4"/>
          <w:w w:val="105"/>
          <w:sz w:val="21"/>
        </w:rPr>
        <w:t> </w:t>
      </w:r>
      <w:r>
        <w:rPr>
          <w:spacing w:val="-3"/>
          <w:w w:val="105"/>
          <w:sz w:val="21"/>
        </w:rPr>
        <w:t>management</w:t>
      </w:r>
      <w:r>
        <w:rPr>
          <w:spacing w:val="-4"/>
          <w:w w:val="105"/>
          <w:sz w:val="21"/>
        </w:rPr>
        <w:t> </w:t>
      </w:r>
      <w:r>
        <w:rPr>
          <w:w w:val="105"/>
          <w:sz w:val="21"/>
        </w:rPr>
        <w:t>of</w:t>
      </w:r>
      <w:r>
        <w:rPr>
          <w:spacing w:val="-5"/>
          <w:w w:val="105"/>
          <w:sz w:val="21"/>
        </w:rPr>
        <w:t> </w:t>
      </w:r>
      <w:r>
        <w:rPr>
          <w:w w:val="105"/>
          <w:sz w:val="21"/>
        </w:rPr>
        <w:t>the</w:t>
      </w:r>
      <w:r>
        <w:rPr>
          <w:spacing w:val="-4"/>
          <w:w w:val="105"/>
          <w:sz w:val="21"/>
        </w:rPr>
        <w:t> </w:t>
      </w:r>
      <w:r>
        <w:rPr>
          <w:spacing w:val="-3"/>
          <w:w w:val="105"/>
          <w:sz w:val="21"/>
        </w:rPr>
        <w:t>land</w:t>
      </w:r>
      <w:r>
        <w:rPr>
          <w:spacing w:val="-4"/>
          <w:w w:val="105"/>
          <w:sz w:val="21"/>
        </w:rPr>
        <w:t> </w:t>
      </w:r>
      <w:r>
        <w:rPr>
          <w:w w:val="105"/>
          <w:sz w:val="21"/>
        </w:rPr>
        <w:t>as</w:t>
      </w:r>
      <w:r>
        <w:rPr>
          <w:spacing w:val="-5"/>
          <w:w w:val="105"/>
          <w:sz w:val="21"/>
        </w:rPr>
        <w:t> </w:t>
      </w:r>
      <w:r>
        <w:rPr>
          <w:w w:val="105"/>
          <w:sz w:val="21"/>
        </w:rPr>
        <w:t>a</w:t>
      </w:r>
      <w:r>
        <w:rPr>
          <w:spacing w:val="-4"/>
          <w:w w:val="105"/>
          <w:sz w:val="21"/>
        </w:rPr>
        <w:t> </w:t>
      </w:r>
      <w:r>
        <w:rPr>
          <w:w w:val="105"/>
          <w:sz w:val="21"/>
        </w:rPr>
        <w:t>protected</w:t>
      </w:r>
      <w:r>
        <w:rPr>
          <w:spacing w:val="-4"/>
          <w:w w:val="105"/>
          <w:sz w:val="21"/>
        </w:rPr>
        <w:t> </w:t>
      </w:r>
      <w:r>
        <w:rPr>
          <w:spacing w:val="-3"/>
          <w:w w:val="105"/>
          <w:sz w:val="21"/>
        </w:rPr>
        <w:t>environment</w:t>
      </w:r>
      <w:r>
        <w:rPr>
          <w:spacing w:val="-5"/>
          <w:w w:val="105"/>
          <w:sz w:val="21"/>
        </w:rPr>
        <w:t> </w:t>
      </w:r>
      <w:r>
        <w:rPr>
          <w:spacing w:val="-3"/>
          <w:w w:val="105"/>
          <w:sz w:val="21"/>
        </w:rPr>
        <w:t>for</w:t>
      </w:r>
      <w:r>
        <w:rPr>
          <w:spacing w:val="-4"/>
          <w:w w:val="105"/>
          <w:sz w:val="21"/>
        </w:rPr>
        <w:t> </w:t>
      </w:r>
      <w:r>
        <w:rPr>
          <w:spacing w:val="-3"/>
          <w:w w:val="105"/>
          <w:sz w:val="21"/>
        </w:rPr>
        <w:t>indigenous</w:t>
      </w:r>
      <w:r>
        <w:rPr>
          <w:spacing w:val="-4"/>
          <w:w w:val="105"/>
          <w:sz w:val="21"/>
        </w:rPr>
        <w:t> </w:t>
      </w:r>
      <w:r>
        <w:rPr>
          <w:w w:val="105"/>
          <w:sz w:val="21"/>
        </w:rPr>
        <w:t>flora and</w:t>
      </w:r>
      <w:r>
        <w:rPr>
          <w:spacing w:val="5"/>
          <w:w w:val="105"/>
          <w:sz w:val="21"/>
        </w:rPr>
        <w:t> </w:t>
      </w:r>
      <w:r>
        <w:rPr>
          <w:spacing w:val="-5"/>
          <w:w w:val="105"/>
          <w:sz w:val="21"/>
        </w:rPr>
        <w:t>fauna.</w:t>
      </w:r>
      <w:r>
        <w:rPr>
          <w:spacing w:val="-5"/>
          <w:w w:val="105"/>
          <w:position w:val="7"/>
          <w:sz w:val="12"/>
        </w:rPr>
        <w:t>188</w:t>
      </w:r>
    </w:p>
    <w:p>
      <w:pPr>
        <w:pStyle w:val="BodyText"/>
        <w:rPr>
          <w:sz w:val="20"/>
        </w:rPr>
      </w:pPr>
    </w:p>
    <w:p>
      <w:pPr>
        <w:pStyle w:val="BodyText"/>
        <w:spacing w:before="3"/>
        <w:rPr>
          <w:sz w:val="25"/>
        </w:rPr>
      </w:pPr>
      <w:r>
        <w:rPr/>
        <w:pict>
          <v:line style="position:absolute;mso-position-horizontal-relative:page;mso-position-vertical-relative:paragraph;z-index:9776;mso-wrap-distance-left:0;mso-wrap-distance-right:0" from="79.370102pt,17.886824pt" to="515.905102pt,17.88682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31"/>
        </w:rPr>
      </w:pPr>
    </w:p>
    <w:p>
      <w:pPr>
        <w:spacing w:before="1"/>
        <w:ind w:left="720" w:right="0" w:firstLine="0"/>
        <w:jc w:val="left"/>
        <w:rPr>
          <w:b/>
          <w:sz w:val="24"/>
        </w:rPr>
      </w:pPr>
      <w:r>
        <w:rPr>
          <w:b/>
          <w:color w:val="658464"/>
          <w:w w:val="110"/>
          <w:sz w:val="24"/>
        </w:rPr>
        <w:t>234</w:t>
      </w:r>
    </w:p>
    <w:p>
      <w:pPr>
        <w:pStyle w:val="ListParagraph"/>
        <w:numPr>
          <w:ilvl w:val="0"/>
          <w:numId w:val="170"/>
        </w:numPr>
        <w:tabs>
          <w:tab w:pos="1219" w:val="left" w:leader="none"/>
          <w:tab w:pos="1220" w:val="left" w:leader="none"/>
        </w:tabs>
        <w:spacing w:line="240" w:lineRule="auto" w:before="48" w:after="0"/>
        <w:ind w:left="1219" w:right="1740" w:hanging="794"/>
        <w:jc w:val="left"/>
        <w:rPr>
          <w:sz w:val="13"/>
        </w:rPr>
      </w:pPr>
      <w:r>
        <w:rPr>
          <w:spacing w:val="3"/>
          <w:w w:val="102"/>
          <w:sz w:val="13"/>
        </w:rPr>
        <w:br w:type="column"/>
      </w:r>
      <w:r>
        <w:rPr>
          <w:w w:val="105"/>
          <w:sz w:val="13"/>
        </w:rPr>
        <w:t>The Flora and Fauna Guarantee Amendment Bill 2018 was introduced into Parliament in May 2018 to amend this Act but did not pass the Parliament before the final scheduled sitting day of the 58th Parliament of </w:t>
      </w:r>
      <w:r>
        <w:rPr>
          <w:spacing w:val="2"/>
          <w:w w:val="105"/>
          <w:sz w:val="13"/>
        </w:rPr>
        <w:t>Victoria: </w:t>
      </w:r>
      <w:r>
        <w:rPr>
          <w:w w:val="105"/>
          <w:sz w:val="13"/>
        </w:rPr>
        <w:t>see Department of Environment, Land, Water and Planning </w:t>
      </w:r>
      <w:r>
        <w:rPr>
          <w:spacing w:val="2"/>
          <w:w w:val="105"/>
          <w:sz w:val="13"/>
        </w:rPr>
        <w:t>(Vic), </w:t>
      </w:r>
      <w:r>
        <w:rPr>
          <w:w w:val="105"/>
          <w:sz w:val="13"/>
        </w:rPr>
        <w:t>‘Review of the Flora and Fauna Guarantee Act’, </w:t>
      </w:r>
      <w:r>
        <w:rPr>
          <w:i/>
          <w:w w:val="105"/>
          <w:sz w:val="13"/>
        </w:rPr>
        <w:t>Engage Victoria </w:t>
      </w:r>
      <w:r>
        <w:rPr>
          <w:w w:val="105"/>
          <w:sz w:val="13"/>
        </w:rPr>
        <w:t>(Web Page) &lt;https://engage.vic.gov.au/review-flora-and- fauna-guarantee-act-1988&gt;.</w:t>
      </w:r>
    </w:p>
    <w:p>
      <w:pPr>
        <w:pStyle w:val="ListParagraph"/>
        <w:numPr>
          <w:ilvl w:val="0"/>
          <w:numId w:val="170"/>
        </w:numPr>
        <w:tabs>
          <w:tab w:pos="1219" w:val="left" w:leader="none"/>
          <w:tab w:pos="1220" w:val="left" w:leader="none"/>
        </w:tabs>
        <w:spacing w:line="240" w:lineRule="auto" w:before="5" w:after="0"/>
        <w:ind w:left="426" w:right="6924" w:hanging="1"/>
        <w:jc w:val="left"/>
        <w:rPr>
          <w:sz w:val="13"/>
        </w:rPr>
      </w:pPr>
      <w:r>
        <w:rPr>
          <w:i/>
          <w:w w:val="105"/>
          <w:sz w:val="13"/>
        </w:rPr>
        <w:t>Flora and Fauna Guarantee Act 1988 </w:t>
      </w:r>
      <w:r>
        <w:rPr>
          <w:spacing w:val="2"/>
          <w:w w:val="105"/>
          <w:sz w:val="13"/>
        </w:rPr>
        <w:t>(Vic) </w:t>
      </w:r>
      <w:r>
        <w:rPr>
          <w:w w:val="105"/>
          <w:sz w:val="13"/>
        </w:rPr>
        <w:t>s </w:t>
      </w:r>
      <w:r>
        <w:rPr>
          <w:spacing w:val="-3"/>
          <w:w w:val="105"/>
          <w:sz w:val="13"/>
        </w:rPr>
        <w:t>1. 179</w:t>
        <w:tab/>
      </w:r>
      <w:r>
        <w:rPr>
          <w:w w:val="105"/>
          <w:sz w:val="13"/>
        </w:rPr>
        <w:t>Ibid ss </w:t>
      </w:r>
      <w:r>
        <w:rPr>
          <w:spacing w:val="-3"/>
          <w:w w:val="105"/>
          <w:sz w:val="13"/>
        </w:rPr>
        <w:t>1,</w:t>
      </w:r>
      <w:r>
        <w:rPr>
          <w:spacing w:val="12"/>
          <w:w w:val="105"/>
          <w:sz w:val="13"/>
        </w:rPr>
        <w:t> </w:t>
      </w:r>
      <w:r>
        <w:rPr>
          <w:spacing w:val="3"/>
          <w:w w:val="105"/>
          <w:sz w:val="13"/>
        </w:rPr>
        <w:t>47(2)(b)(c).</w:t>
      </w:r>
    </w:p>
    <w:p>
      <w:pPr>
        <w:tabs>
          <w:tab w:pos="1219" w:val="left" w:leader="none"/>
        </w:tabs>
        <w:spacing w:before="3"/>
        <w:ind w:left="426" w:right="0" w:firstLine="0"/>
        <w:jc w:val="left"/>
        <w:rPr>
          <w:sz w:val="13"/>
        </w:rPr>
      </w:pPr>
      <w:r>
        <w:rPr>
          <w:sz w:val="13"/>
        </w:rPr>
        <w:t>180</w:t>
        <w:tab/>
        <w:t>Ibid s</w:t>
      </w:r>
      <w:r>
        <w:rPr>
          <w:spacing w:val="12"/>
          <w:sz w:val="13"/>
        </w:rPr>
        <w:t> </w:t>
      </w:r>
      <w:r>
        <w:rPr>
          <w:spacing w:val="2"/>
          <w:sz w:val="13"/>
        </w:rPr>
        <w:t>47(2)(b).</w:t>
      </w:r>
    </w:p>
    <w:p>
      <w:pPr>
        <w:tabs>
          <w:tab w:pos="1219" w:val="left" w:leader="none"/>
        </w:tabs>
        <w:spacing w:before="1"/>
        <w:ind w:left="426" w:right="0" w:firstLine="0"/>
        <w:jc w:val="left"/>
        <w:rPr>
          <w:sz w:val="13"/>
        </w:rPr>
      </w:pPr>
      <w:r>
        <w:rPr>
          <w:spacing w:val="-2"/>
          <w:w w:val="105"/>
          <w:sz w:val="13"/>
        </w:rPr>
        <w:t>181</w:t>
        <w:tab/>
      </w:r>
      <w:r>
        <w:rPr>
          <w:w w:val="105"/>
          <w:sz w:val="13"/>
        </w:rPr>
        <w:t>Ibid s</w:t>
      </w:r>
      <w:r>
        <w:rPr>
          <w:spacing w:val="9"/>
          <w:w w:val="105"/>
          <w:sz w:val="13"/>
        </w:rPr>
        <w:t> </w:t>
      </w:r>
      <w:r>
        <w:rPr>
          <w:w w:val="105"/>
          <w:sz w:val="13"/>
        </w:rPr>
        <w:t>20(1).</w:t>
      </w:r>
    </w:p>
    <w:p>
      <w:pPr>
        <w:tabs>
          <w:tab w:pos="1219" w:val="left" w:leader="none"/>
        </w:tabs>
        <w:spacing w:before="2"/>
        <w:ind w:left="426" w:right="0" w:firstLine="0"/>
        <w:jc w:val="left"/>
        <w:rPr>
          <w:sz w:val="13"/>
        </w:rPr>
      </w:pPr>
      <w:r>
        <w:rPr>
          <w:sz w:val="13"/>
        </w:rPr>
        <w:t>182</w:t>
        <w:tab/>
        <w:t>Ibid s</w:t>
      </w:r>
      <w:r>
        <w:rPr>
          <w:spacing w:val="12"/>
          <w:sz w:val="13"/>
        </w:rPr>
        <w:t> </w:t>
      </w:r>
      <w:r>
        <w:rPr>
          <w:spacing w:val="3"/>
          <w:sz w:val="13"/>
        </w:rPr>
        <w:t>20(2)(c).</w:t>
      </w:r>
    </w:p>
    <w:p>
      <w:pPr>
        <w:pStyle w:val="ListParagraph"/>
        <w:numPr>
          <w:ilvl w:val="0"/>
          <w:numId w:val="171"/>
        </w:numPr>
        <w:tabs>
          <w:tab w:pos="1219" w:val="left" w:leader="none"/>
          <w:tab w:pos="1220" w:val="left" w:leader="none"/>
        </w:tabs>
        <w:spacing w:line="240" w:lineRule="auto" w:before="1" w:after="0"/>
        <w:ind w:left="1219" w:right="1638" w:hanging="793"/>
        <w:jc w:val="left"/>
        <w:rPr>
          <w:sz w:val="13"/>
        </w:rPr>
      </w:pPr>
      <w:r>
        <w:rPr>
          <w:w w:val="105"/>
          <w:sz w:val="13"/>
        </w:rPr>
        <w:t>Department of Environment, Land, Water and Planning </w:t>
      </w:r>
      <w:r>
        <w:rPr>
          <w:spacing w:val="2"/>
          <w:w w:val="105"/>
          <w:sz w:val="13"/>
        </w:rPr>
        <w:t>(Vic), </w:t>
      </w:r>
      <w:r>
        <w:rPr>
          <w:i/>
          <w:w w:val="105"/>
          <w:sz w:val="13"/>
        </w:rPr>
        <w:t>Review of the Flora and Fauna Guarantee Act 1988: Consultation, Submission </w:t>
      </w:r>
      <w:r>
        <w:rPr>
          <w:i/>
          <w:w w:val="105"/>
          <w:sz w:val="13"/>
        </w:rPr>
        <w:t>and Response Summary </w:t>
      </w:r>
      <w:r>
        <w:rPr>
          <w:spacing w:val="2"/>
          <w:w w:val="105"/>
          <w:sz w:val="13"/>
        </w:rPr>
        <w:t>(Report, </w:t>
      </w:r>
      <w:r>
        <w:rPr>
          <w:w w:val="105"/>
          <w:sz w:val="13"/>
        </w:rPr>
        <w:t>2017) 9 &lt;https://engage.vic.gov.au/review-flora-and-fauna-guarantee-act-1988&gt;; </w:t>
      </w:r>
      <w:r>
        <w:rPr>
          <w:i/>
          <w:w w:val="105"/>
          <w:sz w:val="13"/>
        </w:rPr>
        <w:t>Department of </w:t>
      </w:r>
      <w:r>
        <w:rPr>
          <w:i/>
          <w:w w:val="105"/>
          <w:sz w:val="13"/>
        </w:rPr>
        <w:t>Environment,</w:t>
      </w:r>
      <w:r>
        <w:rPr>
          <w:i/>
          <w:spacing w:val="6"/>
          <w:w w:val="105"/>
          <w:sz w:val="13"/>
        </w:rPr>
        <w:t> </w:t>
      </w:r>
      <w:r>
        <w:rPr>
          <w:i/>
          <w:w w:val="105"/>
          <w:sz w:val="13"/>
        </w:rPr>
        <w:t>Land,</w:t>
      </w:r>
      <w:r>
        <w:rPr>
          <w:i/>
          <w:spacing w:val="6"/>
          <w:w w:val="105"/>
          <w:sz w:val="13"/>
        </w:rPr>
        <w:t> </w:t>
      </w:r>
      <w:r>
        <w:rPr>
          <w:i/>
          <w:w w:val="105"/>
          <w:sz w:val="13"/>
        </w:rPr>
        <w:t>Water</w:t>
      </w:r>
      <w:r>
        <w:rPr>
          <w:i/>
          <w:spacing w:val="6"/>
          <w:w w:val="105"/>
          <w:sz w:val="13"/>
        </w:rPr>
        <w:t> </w:t>
      </w:r>
      <w:r>
        <w:rPr>
          <w:i/>
          <w:w w:val="105"/>
          <w:sz w:val="13"/>
        </w:rPr>
        <w:t>and</w:t>
      </w:r>
      <w:r>
        <w:rPr>
          <w:i/>
          <w:spacing w:val="7"/>
          <w:w w:val="105"/>
          <w:sz w:val="13"/>
        </w:rPr>
        <w:t> </w:t>
      </w:r>
      <w:r>
        <w:rPr>
          <w:i/>
          <w:w w:val="105"/>
          <w:sz w:val="13"/>
        </w:rPr>
        <w:t>Planning</w:t>
      </w:r>
      <w:r>
        <w:rPr>
          <w:i/>
          <w:spacing w:val="6"/>
          <w:w w:val="105"/>
          <w:sz w:val="13"/>
        </w:rPr>
        <w:t> </w:t>
      </w:r>
      <w:r>
        <w:rPr>
          <w:spacing w:val="2"/>
          <w:w w:val="105"/>
          <w:sz w:val="13"/>
        </w:rPr>
        <w:t>(Vic),</w:t>
      </w:r>
      <w:r>
        <w:rPr>
          <w:spacing w:val="6"/>
          <w:w w:val="105"/>
          <w:sz w:val="13"/>
        </w:rPr>
        <w:t> </w:t>
      </w:r>
      <w:r>
        <w:rPr>
          <w:w w:val="105"/>
          <w:sz w:val="13"/>
        </w:rPr>
        <w:t>‘Protected</w:t>
      </w:r>
      <w:r>
        <w:rPr>
          <w:spacing w:val="7"/>
          <w:w w:val="105"/>
          <w:sz w:val="13"/>
        </w:rPr>
        <w:t> </w:t>
      </w:r>
      <w:r>
        <w:rPr>
          <w:w w:val="105"/>
          <w:sz w:val="13"/>
        </w:rPr>
        <w:t>Flora</w:t>
      </w:r>
      <w:r>
        <w:rPr>
          <w:spacing w:val="6"/>
          <w:w w:val="105"/>
          <w:sz w:val="13"/>
        </w:rPr>
        <w:t> </w:t>
      </w:r>
      <w:r>
        <w:rPr>
          <w:w w:val="105"/>
          <w:sz w:val="13"/>
        </w:rPr>
        <w:t>Controls’,</w:t>
      </w:r>
      <w:r>
        <w:rPr>
          <w:spacing w:val="6"/>
          <w:w w:val="105"/>
          <w:sz w:val="13"/>
        </w:rPr>
        <w:t> </w:t>
      </w:r>
      <w:r>
        <w:rPr>
          <w:i/>
          <w:w w:val="105"/>
          <w:sz w:val="13"/>
        </w:rPr>
        <w:t>Conserving</w:t>
      </w:r>
      <w:r>
        <w:rPr>
          <w:i/>
          <w:spacing w:val="7"/>
          <w:w w:val="105"/>
          <w:sz w:val="13"/>
        </w:rPr>
        <w:t> </w:t>
      </w:r>
      <w:r>
        <w:rPr>
          <w:i/>
          <w:w w:val="105"/>
          <w:sz w:val="13"/>
        </w:rPr>
        <w:t>Threatened</w:t>
      </w:r>
      <w:r>
        <w:rPr>
          <w:i/>
          <w:spacing w:val="6"/>
          <w:w w:val="105"/>
          <w:sz w:val="13"/>
        </w:rPr>
        <w:t> </w:t>
      </w:r>
      <w:r>
        <w:rPr>
          <w:i/>
          <w:w w:val="105"/>
          <w:sz w:val="13"/>
        </w:rPr>
        <w:t>Species</w:t>
      </w:r>
      <w:r>
        <w:rPr>
          <w:i/>
          <w:spacing w:val="6"/>
          <w:w w:val="105"/>
          <w:sz w:val="13"/>
        </w:rPr>
        <w:t> </w:t>
      </w:r>
      <w:r>
        <w:rPr>
          <w:w w:val="105"/>
          <w:sz w:val="13"/>
        </w:rPr>
        <w:t>(Web</w:t>
      </w:r>
      <w:r>
        <w:rPr>
          <w:spacing w:val="7"/>
          <w:w w:val="105"/>
          <w:sz w:val="13"/>
        </w:rPr>
        <w:t> </w:t>
      </w:r>
      <w:r>
        <w:rPr>
          <w:w w:val="105"/>
          <w:sz w:val="13"/>
        </w:rPr>
        <w:t>Page,</w:t>
      </w:r>
      <w:r>
        <w:rPr>
          <w:spacing w:val="6"/>
          <w:w w:val="105"/>
          <w:sz w:val="13"/>
        </w:rPr>
        <w:t> </w:t>
      </w:r>
      <w:r>
        <w:rPr>
          <w:w w:val="105"/>
          <w:sz w:val="13"/>
        </w:rPr>
        <w:t>22</w:t>
      </w:r>
      <w:r>
        <w:rPr>
          <w:spacing w:val="6"/>
          <w:w w:val="105"/>
          <w:sz w:val="13"/>
        </w:rPr>
        <w:t> </w:t>
      </w:r>
      <w:r>
        <w:rPr>
          <w:w w:val="105"/>
          <w:sz w:val="13"/>
        </w:rPr>
        <w:t>February</w:t>
      </w:r>
      <w:r>
        <w:rPr>
          <w:spacing w:val="7"/>
          <w:w w:val="105"/>
          <w:sz w:val="13"/>
        </w:rPr>
        <w:t> </w:t>
      </w:r>
      <w:r>
        <w:rPr>
          <w:w w:val="105"/>
          <w:sz w:val="13"/>
        </w:rPr>
        <w:t>2019)</w:t>
      </w:r>
    </w:p>
    <w:p>
      <w:pPr>
        <w:spacing w:before="4"/>
        <w:ind w:left="1219" w:right="0" w:firstLine="0"/>
        <w:jc w:val="left"/>
        <w:rPr>
          <w:sz w:val="13"/>
        </w:rPr>
      </w:pPr>
      <w:r>
        <w:rPr>
          <w:w w:val="105"/>
          <w:sz w:val="13"/>
        </w:rPr>
        <w:t>&lt;https://</w:t>
      </w:r>
      <w:hyperlink r:id="rId275">
        <w:r>
          <w:rPr>
            <w:w w:val="105"/>
            <w:sz w:val="13"/>
          </w:rPr>
          <w:t>www.environment.vic.gov.au/conserving-threatened-species/flora-and-fauna-guarantee-act-1988/protected-flora-controls</w:t>
        </w:r>
      </w:hyperlink>
      <w:r>
        <w:rPr>
          <w:w w:val="105"/>
          <w:sz w:val="13"/>
        </w:rPr>
        <w:t>&gt;.</w:t>
      </w:r>
    </w:p>
    <w:p>
      <w:pPr>
        <w:pStyle w:val="ListParagraph"/>
        <w:numPr>
          <w:ilvl w:val="0"/>
          <w:numId w:val="171"/>
        </w:numPr>
        <w:tabs>
          <w:tab w:pos="1219" w:val="left" w:leader="none"/>
          <w:tab w:pos="1220" w:val="left" w:leader="none"/>
        </w:tabs>
        <w:spacing w:line="240" w:lineRule="auto" w:before="1" w:after="0"/>
        <w:ind w:left="1219" w:right="1583" w:hanging="793"/>
        <w:jc w:val="left"/>
        <w:rPr>
          <w:sz w:val="13"/>
        </w:rPr>
      </w:pPr>
      <w:r>
        <w:rPr>
          <w:w w:val="105"/>
          <w:sz w:val="13"/>
        </w:rPr>
        <w:t>See </w:t>
      </w:r>
      <w:r>
        <w:rPr>
          <w:i/>
          <w:w w:val="105"/>
          <w:sz w:val="13"/>
        </w:rPr>
        <w:t>Conservation Trusts Act </w:t>
      </w:r>
      <w:r>
        <w:rPr>
          <w:i/>
          <w:spacing w:val="-3"/>
          <w:w w:val="105"/>
          <w:sz w:val="13"/>
        </w:rPr>
        <w:t>1972 </w:t>
      </w:r>
      <w:r>
        <w:rPr>
          <w:spacing w:val="2"/>
          <w:w w:val="105"/>
          <w:sz w:val="13"/>
        </w:rPr>
        <w:t>(Vic) </w:t>
      </w:r>
      <w:r>
        <w:rPr>
          <w:w w:val="105"/>
          <w:sz w:val="13"/>
        </w:rPr>
        <w:t>s </w:t>
      </w:r>
      <w:r>
        <w:rPr>
          <w:spacing w:val="3"/>
          <w:w w:val="105"/>
          <w:sz w:val="13"/>
        </w:rPr>
        <w:t>3(1)(b). </w:t>
      </w:r>
      <w:r>
        <w:rPr>
          <w:w w:val="105"/>
          <w:sz w:val="13"/>
        </w:rPr>
        <w:t>The Trust website says that it has secured over 100,000 hectares of private land by working with land owners and others. This includes land protected by more than 1400 voluntary conservation covenants and </w:t>
      </w:r>
      <w:r>
        <w:rPr>
          <w:spacing w:val="-3"/>
          <w:w w:val="105"/>
          <w:sz w:val="13"/>
        </w:rPr>
        <w:t>41 </w:t>
      </w:r>
      <w:r>
        <w:rPr>
          <w:w w:val="105"/>
          <w:sz w:val="13"/>
        </w:rPr>
        <w:t>Trust for Nature reserves. </w:t>
      </w:r>
      <w:r>
        <w:rPr>
          <w:i/>
          <w:w w:val="105"/>
          <w:sz w:val="13"/>
        </w:rPr>
        <w:t>Trust for Nature Reserves </w:t>
      </w:r>
      <w:r>
        <w:rPr>
          <w:w w:val="105"/>
          <w:sz w:val="13"/>
        </w:rPr>
        <w:t>(Web Page, 2017) </w:t>
      </w:r>
      <w:r>
        <w:rPr>
          <w:spacing w:val="2"/>
          <w:w w:val="105"/>
          <w:sz w:val="13"/>
        </w:rPr>
        <w:t>&lt;https://</w:t>
      </w:r>
      <w:hyperlink r:id="rId276">
        <w:r>
          <w:rPr>
            <w:spacing w:val="2"/>
            <w:w w:val="105"/>
            <w:sz w:val="13"/>
          </w:rPr>
          <w:t>www.trustfornature.org.au/</w:t>
        </w:r>
      </w:hyperlink>
      <w:r>
        <w:rPr>
          <w:spacing w:val="2"/>
          <w:w w:val="105"/>
          <w:sz w:val="13"/>
        </w:rPr>
        <w:t>&gt;.</w:t>
      </w:r>
    </w:p>
    <w:p>
      <w:pPr>
        <w:pStyle w:val="ListParagraph"/>
        <w:numPr>
          <w:ilvl w:val="0"/>
          <w:numId w:val="171"/>
        </w:numPr>
        <w:tabs>
          <w:tab w:pos="1219" w:val="left" w:leader="none"/>
          <w:tab w:pos="1220" w:val="left" w:leader="none"/>
        </w:tabs>
        <w:spacing w:line="240" w:lineRule="auto" w:before="4" w:after="0"/>
        <w:ind w:left="1219" w:right="0" w:hanging="793"/>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171"/>
        </w:numPr>
        <w:tabs>
          <w:tab w:pos="1219" w:val="left" w:leader="none"/>
          <w:tab w:pos="1220" w:val="left" w:leader="none"/>
        </w:tabs>
        <w:spacing w:line="240" w:lineRule="auto" w:before="2" w:after="0"/>
        <w:ind w:left="1219" w:right="0" w:hanging="793"/>
        <w:jc w:val="left"/>
        <w:rPr>
          <w:sz w:val="13"/>
        </w:rPr>
      </w:pPr>
      <w:r>
        <w:rPr>
          <w:w w:val="105"/>
          <w:sz w:val="13"/>
        </w:rPr>
        <w:t>Trust for Nature, </w:t>
      </w:r>
      <w:r>
        <w:rPr>
          <w:i/>
          <w:w w:val="105"/>
          <w:sz w:val="13"/>
        </w:rPr>
        <w:t>Conservation Covenants </w:t>
      </w:r>
      <w:r>
        <w:rPr>
          <w:w w:val="105"/>
          <w:sz w:val="13"/>
        </w:rPr>
        <w:t>(Web Page)</w:t>
      </w:r>
      <w:r>
        <w:rPr>
          <w:spacing w:val="28"/>
          <w:w w:val="105"/>
          <w:sz w:val="13"/>
        </w:rPr>
        <w:t> </w:t>
      </w:r>
      <w:r>
        <w:rPr>
          <w:spacing w:val="2"/>
          <w:w w:val="105"/>
          <w:sz w:val="13"/>
        </w:rPr>
        <w:t>&lt;https://</w:t>
      </w:r>
      <w:hyperlink r:id="rId277">
        <w:r>
          <w:rPr>
            <w:spacing w:val="2"/>
            <w:w w:val="105"/>
            <w:sz w:val="13"/>
          </w:rPr>
          <w:t>www.trustfornature.org.au/land-services</w:t>
        </w:r>
      </w:hyperlink>
      <w:r>
        <w:rPr>
          <w:spacing w:val="2"/>
          <w:w w:val="105"/>
          <w:sz w:val="13"/>
        </w:rPr>
        <w:t>&gt;.</w:t>
      </w:r>
    </w:p>
    <w:p>
      <w:pPr>
        <w:pStyle w:val="ListParagraph"/>
        <w:numPr>
          <w:ilvl w:val="0"/>
          <w:numId w:val="171"/>
        </w:numPr>
        <w:tabs>
          <w:tab w:pos="1219" w:val="left" w:leader="none"/>
          <w:tab w:pos="1220" w:val="left" w:leader="none"/>
        </w:tabs>
        <w:spacing w:line="240" w:lineRule="auto" w:before="1" w:after="0"/>
        <w:ind w:left="1219" w:right="0" w:hanging="793"/>
        <w:jc w:val="left"/>
        <w:rPr>
          <w:sz w:val="13"/>
        </w:rPr>
      </w:pPr>
      <w:r>
        <w:rPr>
          <w:w w:val="105"/>
          <w:sz w:val="13"/>
        </w:rPr>
        <w:t>Trust</w:t>
      </w:r>
      <w:r>
        <w:rPr>
          <w:spacing w:val="5"/>
          <w:w w:val="105"/>
          <w:sz w:val="13"/>
        </w:rPr>
        <w:t> </w:t>
      </w:r>
      <w:r>
        <w:rPr>
          <w:w w:val="105"/>
          <w:sz w:val="13"/>
        </w:rPr>
        <w:t>for</w:t>
      </w:r>
      <w:r>
        <w:rPr>
          <w:spacing w:val="5"/>
          <w:w w:val="105"/>
          <w:sz w:val="13"/>
        </w:rPr>
        <w:t> </w:t>
      </w:r>
      <w:r>
        <w:rPr>
          <w:w w:val="105"/>
          <w:sz w:val="13"/>
        </w:rPr>
        <w:t>Nature,</w:t>
      </w:r>
      <w:r>
        <w:rPr>
          <w:spacing w:val="5"/>
          <w:w w:val="105"/>
          <w:sz w:val="13"/>
        </w:rPr>
        <w:t> </w:t>
      </w:r>
      <w:r>
        <w:rPr>
          <w:i/>
          <w:w w:val="105"/>
          <w:sz w:val="13"/>
        </w:rPr>
        <w:t>What</w:t>
      </w:r>
      <w:r>
        <w:rPr>
          <w:i/>
          <w:spacing w:val="5"/>
          <w:w w:val="105"/>
          <w:sz w:val="13"/>
        </w:rPr>
        <w:t> </w:t>
      </w:r>
      <w:r>
        <w:rPr>
          <w:i/>
          <w:w w:val="105"/>
          <w:sz w:val="13"/>
        </w:rPr>
        <w:t>is</w:t>
      </w:r>
      <w:r>
        <w:rPr>
          <w:i/>
          <w:spacing w:val="6"/>
          <w:w w:val="105"/>
          <w:sz w:val="13"/>
        </w:rPr>
        <w:t> </w:t>
      </w:r>
      <w:r>
        <w:rPr>
          <w:i/>
          <w:w w:val="105"/>
          <w:sz w:val="13"/>
        </w:rPr>
        <w:t>a</w:t>
      </w:r>
      <w:r>
        <w:rPr>
          <w:i/>
          <w:spacing w:val="5"/>
          <w:w w:val="105"/>
          <w:sz w:val="13"/>
        </w:rPr>
        <w:t> </w:t>
      </w:r>
      <w:r>
        <w:rPr>
          <w:i/>
          <w:w w:val="105"/>
          <w:sz w:val="13"/>
        </w:rPr>
        <w:t>Conservation</w:t>
      </w:r>
      <w:r>
        <w:rPr>
          <w:i/>
          <w:spacing w:val="5"/>
          <w:w w:val="105"/>
          <w:sz w:val="13"/>
        </w:rPr>
        <w:t> </w:t>
      </w:r>
      <w:r>
        <w:rPr>
          <w:i/>
          <w:w w:val="105"/>
          <w:sz w:val="13"/>
        </w:rPr>
        <w:t>Covenant?</w:t>
      </w:r>
      <w:r>
        <w:rPr>
          <w:i/>
          <w:spacing w:val="5"/>
          <w:w w:val="105"/>
          <w:sz w:val="13"/>
        </w:rPr>
        <w:t> </w:t>
      </w:r>
      <w:r>
        <w:rPr>
          <w:w w:val="105"/>
          <w:sz w:val="13"/>
        </w:rPr>
        <w:t>(Web</w:t>
      </w:r>
      <w:r>
        <w:rPr>
          <w:spacing w:val="6"/>
          <w:w w:val="105"/>
          <w:sz w:val="13"/>
        </w:rPr>
        <w:t> </w:t>
      </w:r>
      <w:r>
        <w:rPr>
          <w:w w:val="105"/>
          <w:sz w:val="13"/>
        </w:rPr>
        <w:t>Page,</w:t>
      </w:r>
      <w:r>
        <w:rPr>
          <w:spacing w:val="5"/>
          <w:w w:val="105"/>
          <w:sz w:val="13"/>
        </w:rPr>
        <w:t> </w:t>
      </w:r>
      <w:r>
        <w:rPr>
          <w:w w:val="105"/>
          <w:sz w:val="13"/>
        </w:rPr>
        <w:t>2017)</w:t>
      </w:r>
      <w:r>
        <w:rPr>
          <w:spacing w:val="5"/>
          <w:w w:val="105"/>
          <w:sz w:val="13"/>
        </w:rPr>
        <w:t> </w:t>
      </w:r>
      <w:r>
        <w:rPr>
          <w:w w:val="105"/>
          <w:sz w:val="13"/>
        </w:rPr>
        <w:t>&lt;https://</w:t>
      </w:r>
      <w:hyperlink r:id="rId278">
        <w:r>
          <w:rPr>
            <w:w w:val="105"/>
            <w:sz w:val="13"/>
          </w:rPr>
          <w:t>www.trustfornature.org.au/landowner-support</w:t>
        </w:r>
      </w:hyperlink>
      <w:r>
        <w:rPr>
          <w:w w:val="105"/>
          <w:sz w:val="13"/>
        </w:rPr>
        <w:t>&gt;.</w:t>
      </w:r>
    </w:p>
    <w:p>
      <w:pPr>
        <w:pStyle w:val="ListParagraph"/>
        <w:numPr>
          <w:ilvl w:val="0"/>
          <w:numId w:val="171"/>
        </w:numPr>
        <w:tabs>
          <w:tab w:pos="1219" w:val="left" w:leader="none"/>
          <w:tab w:pos="1220" w:val="left" w:leader="none"/>
        </w:tabs>
        <w:spacing w:line="240" w:lineRule="auto" w:before="1" w:after="0"/>
        <w:ind w:left="1219" w:right="1757" w:hanging="793"/>
        <w:jc w:val="left"/>
        <w:rPr>
          <w:sz w:val="13"/>
        </w:rPr>
      </w:pPr>
      <w:r>
        <w:rPr>
          <w:sz w:val="13"/>
        </w:rPr>
        <w:t>Trust for Nature Covenant Deed (2019), clause 10. Other exemptions can be permitted by the Trust via a Letter of Approval. A Letter of      Approval is not registered on the title. If a new landowner wants the same conditions as the previous landowner, they will need to apply               for a new Letter of Approval: Trust for Nature, </w:t>
      </w:r>
      <w:r>
        <w:rPr>
          <w:i/>
          <w:sz w:val="13"/>
        </w:rPr>
        <w:t>What is a Conservation Covenant? </w:t>
      </w:r>
      <w:r>
        <w:rPr>
          <w:sz w:val="13"/>
        </w:rPr>
        <w:t>(Web Page, 2017) </w:t>
      </w:r>
      <w:r>
        <w:rPr>
          <w:spacing w:val="2"/>
          <w:sz w:val="13"/>
        </w:rPr>
        <w:t>&lt;https://</w:t>
      </w:r>
      <w:hyperlink r:id="rId276">
        <w:r>
          <w:rPr>
            <w:spacing w:val="2"/>
            <w:sz w:val="13"/>
          </w:rPr>
          <w:t>www.trustfornature.org.au/</w:t>
        </w:r>
      </w:hyperlink>
      <w:r>
        <w:rPr>
          <w:spacing w:val="2"/>
          <w:sz w:val="13"/>
        </w:rPr>
        <w:t> </w:t>
      </w:r>
      <w:r>
        <w:rPr>
          <w:sz w:val="13"/>
        </w:rPr>
        <w:t>landowner-support&gt;.</w:t>
      </w:r>
    </w:p>
    <w:p>
      <w:pPr>
        <w:spacing w:after="0" w:line="240" w:lineRule="auto"/>
        <w:jc w:val="left"/>
        <w:rPr>
          <w:sz w:val="13"/>
        </w:rPr>
        <w:sectPr>
          <w:type w:val="continuous"/>
          <w:pgSz w:w="11910" w:h="16840"/>
          <w:pgMar w:top="300" w:bottom="280" w:left="0" w:right="0"/>
          <w:cols w:num="2" w:equalWidth="0">
            <w:col w:w="1122" w:space="40"/>
            <w:col w:w="10748"/>
          </w:cols>
        </w:sectPr>
      </w:pPr>
    </w:p>
    <w:p>
      <w:pPr>
        <w:pStyle w:val="BodyText"/>
        <w:rPr>
          <w:sz w:val="20"/>
        </w:rPr>
      </w:pPr>
    </w:p>
    <w:p>
      <w:pPr>
        <w:pStyle w:val="BodyText"/>
        <w:spacing w:before="9"/>
        <w:rPr>
          <w:sz w:val="18"/>
        </w:rPr>
      </w:pPr>
    </w:p>
    <w:p>
      <w:pPr>
        <w:pStyle w:val="ListParagraph"/>
        <w:numPr>
          <w:ilvl w:val="1"/>
          <w:numId w:val="171"/>
        </w:numPr>
        <w:tabs>
          <w:tab w:pos="2721" w:val="left" w:leader="none"/>
          <w:tab w:pos="2722" w:val="left" w:leader="none"/>
        </w:tabs>
        <w:spacing w:line="242" w:lineRule="auto" w:before="91" w:after="0"/>
        <w:ind w:left="2721" w:right="2053" w:hanging="340"/>
        <w:jc w:val="left"/>
        <w:rPr>
          <w:sz w:val="12"/>
        </w:rPr>
      </w:pPr>
      <w:bookmarkStart w:name="_bookmark128" w:id="274"/>
      <w:bookmarkEnd w:id="274"/>
      <w:r>
        <w:rPr/>
      </w:r>
      <w:bookmarkStart w:name="_bookmark128" w:id="275"/>
      <w:bookmarkEnd w:id="275"/>
      <w:r>
        <w:rPr>
          <w:w w:val="105"/>
          <w:sz w:val="21"/>
        </w:rPr>
        <w:t>O</w:t>
      </w:r>
      <w:r>
        <w:rPr>
          <w:w w:val="105"/>
          <w:sz w:val="21"/>
        </w:rPr>
        <w:t>nly in </w:t>
      </w:r>
      <w:r>
        <w:rPr>
          <w:spacing w:val="-3"/>
          <w:w w:val="105"/>
          <w:sz w:val="21"/>
        </w:rPr>
        <w:t>‘extreme </w:t>
      </w:r>
      <w:r>
        <w:rPr>
          <w:w w:val="105"/>
          <w:sz w:val="21"/>
        </w:rPr>
        <w:t>and </w:t>
      </w:r>
      <w:r>
        <w:rPr>
          <w:spacing w:val="-3"/>
          <w:w w:val="105"/>
          <w:sz w:val="21"/>
        </w:rPr>
        <w:t>highly unusual circumstances’ will removal </w:t>
      </w:r>
      <w:r>
        <w:rPr>
          <w:w w:val="105"/>
          <w:sz w:val="21"/>
        </w:rPr>
        <w:t>of a </w:t>
      </w:r>
      <w:r>
        <w:rPr>
          <w:spacing w:val="-3"/>
          <w:w w:val="105"/>
          <w:sz w:val="21"/>
        </w:rPr>
        <w:t>covenant </w:t>
      </w:r>
      <w:r>
        <w:rPr>
          <w:w w:val="105"/>
          <w:sz w:val="21"/>
        </w:rPr>
        <w:t>be </w:t>
      </w:r>
      <w:r>
        <w:rPr>
          <w:spacing w:val="-3"/>
          <w:w w:val="105"/>
          <w:sz w:val="21"/>
        </w:rPr>
        <w:t>considered. </w:t>
      </w:r>
      <w:r>
        <w:rPr>
          <w:w w:val="105"/>
          <w:sz w:val="21"/>
        </w:rPr>
        <w:t>The </w:t>
      </w:r>
      <w:r>
        <w:rPr>
          <w:spacing w:val="-4"/>
          <w:w w:val="105"/>
          <w:sz w:val="21"/>
        </w:rPr>
        <w:t>Trust </w:t>
      </w:r>
      <w:r>
        <w:rPr>
          <w:w w:val="105"/>
          <w:sz w:val="21"/>
        </w:rPr>
        <w:t>and the </w:t>
      </w:r>
      <w:r>
        <w:rPr>
          <w:spacing w:val="-3"/>
          <w:w w:val="105"/>
          <w:sz w:val="21"/>
        </w:rPr>
        <w:t>Minister </w:t>
      </w:r>
      <w:r>
        <w:rPr>
          <w:w w:val="105"/>
          <w:sz w:val="21"/>
        </w:rPr>
        <w:t>must agree </w:t>
      </w:r>
      <w:r>
        <w:rPr>
          <w:spacing w:val="-3"/>
          <w:w w:val="105"/>
          <w:sz w:val="21"/>
        </w:rPr>
        <w:t>to </w:t>
      </w:r>
      <w:r>
        <w:rPr>
          <w:w w:val="105"/>
          <w:sz w:val="21"/>
        </w:rPr>
        <w:t>the</w:t>
      </w:r>
      <w:r>
        <w:rPr>
          <w:spacing w:val="28"/>
          <w:w w:val="105"/>
          <w:sz w:val="21"/>
        </w:rPr>
        <w:t> </w:t>
      </w:r>
      <w:r>
        <w:rPr>
          <w:spacing w:val="-4"/>
          <w:w w:val="105"/>
          <w:sz w:val="21"/>
        </w:rPr>
        <w:t>removal.</w:t>
      </w:r>
      <w:r>
        <w:rPr>
          <w:spacing w:val="-4"/>
          <w:w w:val="105"/>
          <w:position w:val="7"/>
          <w:sz w:val="12"/>
        </w:rPr>
        <w:t>189</w:t>
      </w:r>
    </w:p>
    <w:p>
      <w:pPr>
        <w:pStyle w:val="ListParagraph"/>
        <w:numPr>
          <w:ilvl w:val="1"/>
          <w:numId w:val="16"/>
        </w:numPr>
        <w:tabs>
          <w:tab w:pos="2380" w:val="left" w:leader="none"/>
          <w:tab w:pos="2381" w:val="left" w:leader="none"/>
        </w:tabs>
        <w:spacing w:line="242" w:lineRule="auto" w:before="88" w:after="0"/>
        <w:ind w:left="2380" w:right="1605" w:hanging="793"/>
        <w:jc w:val="left"/>
        <w:rPr>
          <w:sz w:val="21"/>
        </w:rPr>
      </w:pPr>
      <w:r>
        <w:rPr>
          <w:w w:val="105"/>
          <w:sz w:val="21"/>
        </w:rPr>
        <w:t>The </w:t>
      </w:r>
      <w:r>
        <w:rPr>
          <w:spacing w:val="-3"/>
          <w:w w:val="105"/>
          <w:sz w:val="21"/>
        </w:rPr>
        <w:t>current intention </w:t>
      </w:r>
      <w:r>
        <w:rPr>
          <w:w w:val="105"/>
          <w:sz w:val="21"/>
        </w:rPr>
        <w:t>of the </w:t>
      </w:r>
      <w:r>
        <w:rPr>
          <w:spacing w:val="-4"/>
          <w:w w:val="105"/>
          <w:sz w:val="21"/>
        </w:rPr>
        <w:t>Trust </w:t>
      </w:r>
      <w:r>
        <w:rPr>
          <w:w w:val="105"/>
          <w:sz w:val="21"/>
        </w:rPr>
        <w:t>is </w:t>
      </w:r>
      <w:r>
        <w:rPr>
          <w:spacing w:val="-3"/>
          <w:w w:val="105"/>
          <w:sz w:val="21"/>
        </w:rPr>
        <w:t>to ensure that </w:t>
      </w:r>
      <w:r>
        <w:rPr>
          <w:w w:val="105"/>
          <w:sz w:val="21"/>
        </w:rPr>
        <w:t>the deeds of </w:t>
      </w:r>
      <w:r>
        <w:rPr>
          <w:spacing w:val="-3"/>
          <w:w w:val="105"/>
          <w:sz w:val="21"/>
        </w:rPr>
        <w:t>covenant </w:t>
      </w:r>
      <w:r>
        <w:rPr>
          <w:w w:val="105"/>
          <w:sz w:val="21"/>
        </w:rPr>
        <w:t>do </w:t>
      </w:r>
      <w:r>
        <w:rPr>
          <w:spacing w:val="-2"/>
          <w:w w:val="105"/>
          <w:sz w:val="21"/>
        </w:rPr>
        <w:t>not </w:t>
      </w:r>
      <w:r>
        <w:rPr>
          <w:w w:val="105"/>
          <w:sz w:val="21"/>
        </w:rPr>
        <w:t>impede </w:t>
      </w:r>
      <w:r>
        <w:rPr>
          <w:spacing w:val="-3"/>
          <w:w w:val="105"/>
          <w:sz w:val="21"/>
        </w:rPr>
        <w:t>covenantors </w:t>
      </w:r>
      <w:r>
        <w:rPr>
          <w:w w:val="105"/>
          <w:sz w:val="21"/>
        </w:rPr>
        <w:t>(landowners) </w:t>
      </w:r>
      <w:r>
        <w:rPr>
          <w:spacing w:val="-3"/>
          <w:w w:val="105"/>
          <w:sz w:val="21"/>
        </w:rPr>
        <w:t>from complying </w:t>
      </w:r>
      <w:r>
        <w:rPr>
          <w:w w:val="105"/>
          <w:sz w:val="21"/>
        </w:rPr>
        <w:t>with general laws, rules or </w:t>
      </w:r>
      <w:r>
        <w:rPr>
          <w:spacing w:val="-4"/>
          <w:w w:val="105"/>
          <w:sz w:val="21"/>
        </w:rPr>
        <w:t>regulations.</w:t>
      </w:r>
      <w:r>
        <w:rPr>
          <w:spacing w:val="-4"/>
          <w:w w:val="105"/>
          <w:position w:val="7"/>
          <w:sz w:val="12"/>
        </w:rPr>
        <w:t>190 </w:t>
      </w:r>
      <w:r>
        <w:rPr>
          <w:w w:val="105"/>
          <w:sz w:val="21"/>
        </w:rPr>
        <w:t>This </w:t>
      </w:r>
      <w:r>
        <w:rPr>
          <w:spacing w:val="-3"/>
          <w:w w:val="105"/>
          <w:sz w:val="21"/>
        </w:rPr>
        <w:t>means that </w:t>
      </w:r>
      <w:r>
        <w:rPr>
          <w:w w:val="105"/>
          <w:sz w:val="21"/>
        </w:rPr>
        <w:t>a tree owner whose </w:t>
      </w:r>
      <w:r>
        <w:rPr>
          <w:spacing w:val="-3"/>
          <w:w w:val="105"/>
          <w:sz w:val="21"/>
        </w:rPr>
        <w:t>land </w:t>
      </w:r>
      <w:r>
        <w:rPr>
          <w:w w:val="105"/>
          <w:sz w:val="21"/>
        </w:rPr>
        <w:t>is subject </w:t>
      </w:r>
      <w:r>
        <w:rPr>
          <w:spacing w:val="-3"/>
          <w:w w:val="105"/>
          <w:sz w:val="21"/>
        </w:rPr>
        <w:t>to </w:t>
      </w:r>
      <w:r>
        <w:rPr>
          <w:w w:val="105"/>
          <w:sz w:val="21"/>
        </w:rPr>
        <w:t>a conservation </w:t>
      </w:r>
      <w:r>
        <w:rPr>
          <w:spacing w:val="-3"/>
          <w:w w:val="105"/>
          <w:sz w:val="21"/>
        </w:rPr>
        <w:t>covenant </w:t>
      </w:r>
      <w:r>
        <w:rPr>
          <w:w w:val="105"/>
          <w:sz w:val="21"/>
        </w:rPr>
        <w:t>would need </w:t>
      </w:r>
      <w:r>
        <w:rPr>
          <w:spacing w:val="-3"/>
          <w:w w:val="105"/>
          <w:sz w:val="21"/>
        </w:rPr>
        <w:t>to </w:t>
      </w:r>
      <w:r>
        <w:rPr>
          <w:w w:val="105"/>
          <w:sz w:val="21"/>
        </w:rPr>
        <w:t>comply</w:t>
      </w:r>
      <w:r>
        <w:rPr>
          <w:spacing w:val="-12"/>
          <w:w w:val="105"/>
          <w:sz w:val="21"/>
        </w:rPr>
        <w:t> </w:t>
      </w:r>
      <w:r>
        <w:rPr>
          <w:w w:val="105"/>
          <w:sz w:val="21"/>
        </w:rPr>
        <w:t>with</w:t>
      </w:r>
      <w:r>
        <w:rPr>
          <w:spacing w:val="-12"/>
          <w:w w:val="105"/>
          <w:sz w:val="21"/>
        </w:rPr>
        <w:t> </w:t>
      </w:r>
      <w:r>
        <w:rPr>
          <w:w w:val="105"/>
          <w:sz w:val="21"/>
        </w:rPr>
        <w:t>an</w:t>
      </w:r>
      <w:r>
        <w:rPr>
          <w:spacing w:val="-12"/>
          <w:w w:val="105"/>
          <w:sz w:val="21"/>
        </w:rPr>
        <w:t> </w:t>
      </w:r>
      <w:r>
        <w:rPr>
          <w:w w:val="105"/>
          <w:sz w:val="21"/>
        </w:rPr>
        <w:t>order</w:t>
      </w:r>
      <w:r>
        <w:rPr>
          <w:spacing w:val="-12"/>
          <w:w w:val="105"/>
          <w:sz w:val="21"/>
        </w:rPr>
        <w:t> </w:t>
      </w:r>
      <w:r>
        <w:rPr>
          <w:w w:val="105"/>
          <w:sz w:val="21"/>
        </w:rPr>
        <w:t>if</w:t>
      </w:r>
      <w:r>
        <w:rPr>
          <w:spacing w:val="-12"/>
          <w:w w:val="105"/>
          <w:sz w:val="21"/>
        </w:rPr>
        <w:t> </w:t>
      </w:r>
      <w:r>
        <w:rPr>
          <w:w w:val="105"/>
          <w:sz w:val="21"/>
        </w:rPr>
        <w:t>a</w:t>
      </w:r>
      <w:r>
        <w:rPr>
          <w:spacing w:val="-12"/>
          <w:w w:val="105"/>
          <w:sz w:val="21"/>
        </w:rPr>
        <w:t> </w:t>
      </w:r>
      <w:r>
        <w:rPr>
          <w:w w:val="105"/>
          <w:sz w:val="21"/>
        </w:rPr>
        <w:t>statutory</w:t>
      </w:r>
      <w:r>
        <w:rPr>
          <w:spacing w:val="-12"/>
          <w:w w:val="105"/>
          <w:sz w:val="21"/>
        </w:rPr>
        <w:t> </w:t>
      </w:r>
      <w:r>
        <w:rPr>
          <w:w w:val="105"/>
          <w:sz w:val="21"/>
        </w:rPr>
        <w:t>scheme</w:t>
      </w:r>
      <w:r>
        <w:rPr>
          <w:spacing w:val="-12"/>
          <w:w w:val="105"/>
          <w:sz w:val="21"/>
        </w:rPr>
        <w:t> </w:t>
      </w:r>
      <w:r>
        <w:rPr>
          <w:w w:val="105"/>
          <w:sz w:val="21"/>
        </w:rPr>
        <w:t>is</w:t>
      </w:r>
      <w:r>
        <w:rPr>
          <w:spacing w:val="-11"/>
          <w:w w:val="105"/>
          <w:sz w:val="21"/>
        </w:rPr>
        <w:t> </w:t>
      </w:r>
      <w:r>
        <w:rPr>
          <w:spacing w:val="-3"/>
          <w:w w:val="105"/>
          <w:sz w:val="21"/>
        </w:rPr>
        <w:t>implemented</w:t>
      </w:r>
      <w:r>
        <w:rPr>
          <w:spacing w:val="-12"/>
          <w:w w:val="105"/>
          <w:sz w:val="21"/>
        </w:rPr>
        <w:t> </w:t>
      </w:r>
      <w:r>
        <w:rPr>
          <w:spacing w:val="-3"/>
          <w:w w:val="105"/>
          <w:sz w:val="21"/>
        </w:rPr>
        <w:t>to</w:t>
      </w:r>
      <w:r>
        <w:rPr>
          <w:spacing w:val="-12"/>
          <w:w w:val="105"/>
          <w:sz w:val="21"/>
        </w:rPr>
        <w:t> </w:t>
      </w:r>
      <w:r>
        <w:rPr>
          <w:w w:val="105"/>
          <w:sz w:val="21"/>
        </w:rPr>
        <w:t>resolve</w:t>
      </w:r>
      <w:r>
        <w:rPr>
          <w:spacing w:val="-12"/>
          <w:w w:val="105"/>
          <w:sz w:val="21"/>
        </w:rPr>
        <w:t> </w:t>
      </w:r>
      <w:r>
        <w:rPr>
          <w:w w:val="105"/>
          <w:sz w:val="21"/>
        </w:rPr>
        <w:t>neighbourhood</w:t>
      </w:r>
      <w:r>
        <w:rPr>
          <w:spacing w:val="-12"/>
          <w:w w:val="105"/>
          <w:sz w:val="21"/>
        </w:rPr>
        <w:t> </w:t>
      </w:r>
      <w:r>
        <w:rPr>
          <w:w w:val="105"/>
          <w:sz w:val="21"/>
        </w:rPr>
        <w:t>tree </w:t>
      </w:r>
      <w:r>
        <w:rPr>
          <w:spacing w:val="-3"/>
          <w:w w:val="105"/>
          <w:sz w:val="21"/>
        </w:rPr>
        <w:t>disputes.</w:t>
      </w:r>
    </w:p>
    <w:p>
      <w:pPr>
        <w:pStyle w:val="ListParagraph"/>
        <w:numPr>
          <w:ilvl w:val="1"/>
          <w:numId w:val="16"/>
        </w:numPr>
        <w:tabs>
          <w:tab w:pos="2380" w:val="left" w:leader="none"/>
          <w:tab w:pos="2381" w:val="left" w:leader="none"/>
        </w:tabs>
        <w:spacing w:line="242" w:lineRule="auto" w:before="125" w:after="0"/>
        <w:ind w:left="2380" w:right="1736" w:hanging="793"/>
        <w:jc w:val="left"/>
        <w:rPr>
          <w:sz w:val="21"/>
        </w:rPr>
      </w:pPr>
      <w:r>
        <w:rPr>
          <w:w w:val="105"/>
          <w:sz w:val="21"/>
        </w:rPr>
        <w:t>Landowners </w:t>
      </w:r>
      <w:r>
        <w:rPr>
          <w:spacing w:val="-3"/>
          <w:w w:val="105"/>
          <w:sz w:val="21"/>
        </w:rPr>
        <w:t>are </w:t>
      </w:r>
      <w:r>
        <w:rPr>
          <w:w w:val="105"/>
          <w:sz w:val="21"/>
        </w:rPr>
        <w:t>also able </w:t>
      </w:r>
      <w:r>
        <w:rPr>
          <w:spacing w:val="-3"/>
          <w:w w:val="105"/>
          <w:sz w:val="21"/>
        </w:rPr>
        <w:t>to enter </w:t>
      </w:r>
      <w:r>
        <w:rPr>
          <w:spacing w:val="-4"/>
          <w:w w:val="105"/>
          <w:sz w:val="21"/>
        </w:rPr>
        <w:t>into </w:t>
      </w:r>
      <w:r>
        <w:rPr>
          <w:w w:val="105"/>
          <w:sz w:val="21"/>
        </w:rPr>
        <w:t>these agreements as an </w:t>
      </w:r>
      <w:r>
        <w:rPr>
          <w:spacing w:val="-3"/>
          <w:w w:val="105"/>
          <w:sz w:val="21"/>
        </w:rPr>
        <w:t>‘on-title </w:t>
      </w:r>
      <w:r>
        <w:rPr>
          <w:w w:val="105"/>
          <w:sz w:val="21"/>
        </w:rPr>
        <w:t>security agreement’ </w:t>
      </w:r>
      <w:r>
        <w:rPr>
          <w:spacing w:val="-3"/>
          <w:w w:val="105"/>
          <w:sz w:val="21"/>
        </w:rPr>
        <w:t>to </w:t>
      </w:r>
      <w:r>
        <w:rPr>
          <w:w w:val="105"/>
          <w:sz w:val="21"/>
        </w:rPr>
        <w:t>establish </w:t>
      </w:r>
      <w:r>
        <w:rPr>
          <w:spacing w:val="-3"/>
          <w:w w:val="105"/>
          <w:sz w:val="21"/>
        </w:rPr>
        <w:t>native </w:t>
      </w:r>
      <w:r>
        <w:rPr>
          <w:w w:val="105"/>
          <w:sz w:val="21"/>
        </w:rPr>
        <w:t>vegetation offset </w:t>
      </w:r>
      <w:r>
        <w:rPr>
          <w:spacing w:val="-5"/>
          <w:w w:val="105"/>
          <w:sz w:val="21"/>
        </w:rPr>
        <w:t>sites.</w:t>
      </w:r>
      <w:r>
        <w:rPr>
          <w:spacing w:val="-5"/>
          <w:w w:val="105"/>
          <w:position w:val="7"/>
          <w:sz w:val="12"/>
        </w:rPr>
        <w:t>191 </w:t>
      </w:r>
      <w:r>
        <w:rPr>
          <w:w w:val="105"/>
          <w:sz w:val="21"/>
        </w:rPr>
        <w:t>This </w:t>
      </w:r>
      <w:r>
        <w:rPr>
          <w:spacing w:val="-3"/>
          <w:w w:val="105"/>
          <w:sz w:val="21"/>
        </w:rPr>
        <w:t>means that </w:t>
      </w:r>
      <w:r>
        <w:rPr>
          <w:w w:val="105"/>
          <w:sz w:val="21"/>
        </w:rPr>
        <w:t>once the </w:t>
      </w:r>
      <w:r>
        <w:rPr>
          <w:spacing w:val="-2"/>
          <w:w w:val="105"/>
          <w:sz w:val="21"/>
        </w:rPr>
        <w:t>agreement</w:t>
      </w:r>
      <w:r>
        <w:rPr>
          <w:spacing w:val="-8"/>
          <w:w w:val="105"/>
          <w:sz w:val="21"/>
        </w:rPr>
        <w:t> </w:t>
      </w:r>
      <w:r>
        <w:rPr>
          <w:w w:val="105"/>
          <w:sz w:val="21"/>
        </w:rPr>
        <w:t>is</w:t>
      </w:r>
      <w:r>
        <w:rPr>
          <w:spacing w:val="-8"/>
          <w:w w:val="105"/>
          <w:sz w:val="21"/>
        </w:rPr>
        <w:t> </w:t>
      </w:r>
      <w:r>
        <w:rPr>
          <w:w w:val="105"/>
          <w:sz w:val="21"/>
        </w:rPr>
        <w:t>signed</w:t>
      </w:r>
      <w:r>
        <w:rPr>
          <w:spacing w:val="-8"/>
          <w:w w:val="105"/>
          <w:sz w:val="21"/>
        </w:rPr>
        <w:t> </w:t>
      </w:r>
      <w:r>
        <w:rPr>
          <w:w w:val="105"/>
          <w:sz w:val="21"/>
        </w:rPr>
        <w:t>and</w:t>
      </w:r>
      <w:r>
        <w:rPr>
          <w:spacing w:val="-7"/>
          <w:w w:val="105"/>
          <w:sz w:val="21"/>
        </w:rPr>
        <w:t> </w:t>
      </w:r>
      <w:r>
        <w:rPr>
          <w:spacing w:val="-3"/>
          <w:w w:val="105"/>
          <w:sz w:val="21"/>
        </w:rPr>
        <w:t>registered</w:t>
      </w:r>
      <w:r>
        <w:rPr>
          <w:spacing w:val="-8"/>
          <w:w w:val="105"/>
          <w:sz w:val="21"/>
        </w:rPr>
        <w:t> </w:t>
      </w:r>
      <w:r>
        <w:rPr>
          <w:w w:val="105"/>
          <w:sz w:val="21"/>
        </w:rPr>
        <w:t>on</w:t>
      </w:r>
      <w:r>
        <w:rPr>
          <w:spacing w:val="-8"/>
          <w:w w:val="105"/>
          <w:sz w:val="21"/>
        </w:rPr>
        <w:t> </w:t>
      </w:r>
      <w:r>
        <w:rPr>
          <w:spacing w:val="-3"/>
          <w:w w:val="105"/>
          <w:sz w:val="21"/>
        </w:rPr>
        <w:t>title,</w:t>
      </w:r>
      <w:r>
        <w:rPr>
          <w:spacing w:val="-8"/>
          <w:w w:val="105"/>
          <w:sz w:val="21"/>
        </w:rPr>
        <w:t> </w:t>
      </w:r>
      <w:r>
        <w:rPr>
          <w:spacing w:val="-3"/>
          <w:w w:val="105"/>
          <w:sz w:val="21"/>
        </w:rPr>
        <w:t>native</w:t>
      </w:r>
      <w:r>
        <w:rPr>
          <w:spacing w:val="-7"/>
          <w:w w:val="105"/>
          <w:sz w:val="21"/>
        </w:rPr>
        <w:t> </w:t>
      </w:r>
      <w:r>
        <w:rPr>
          <w:w w:val="105"/>
          <w:sz w:val="21"/>
        </w:rPr>
        <w:t>vegetation</w:t>
      </w:r>
      <w:r>
        <w:rPr>
          <w:spacing w:val="-8"/>
          <w:w w:val="105"/>
          <w:sz w:val="21"/>
        </w:rPr>
        <w:t> </w:t>
      </w:r>
      <w:r>
        <w:rPr>
          <w:w w:val="105"/>
          <w:sz w:val="21"/>
        </w:rPr>
        <w:t>credits</w:t>
      </w:r>
      <w:r>
        <w:rPr>
          <w:spacing w:val="-8"/>
          <w:w w:val="105"/>
          <w:sz w:val="21"/>
        </w:rPr>
        <w:t> </w:t>
      </w:r>
      <w:r>
        <w:rPr>
          <w:spacing w:val="-3"/>
          <w:w w:val="105"/>
          <w:sz w:val="21"/>
        </w:rPr>
        <w:t>will</w:t>
      </w:r>
      <w:r>
        <w:rPr>
          <w:spacing w:val="-8"/>
          <w:w w:val="105"/>
          <w:sz w:val="21"/>
        </w:rPr>
        <w:t> </w:t>
      </w:r>
      <w:r>
        <w:rPr>
          <w:w w:val="105"/>
          <w:sz w:val="21"/>
        </w:rPr>
        <w:t>be</w:t>
      </w:r>
      <w:r>
        <w:rPr>
          <w:spacing w:val="-7"/>
          <w:w w:val="105"/>
          <w:sz w:val="21"/>
        </w:rPr>
        <w:t> </w:t>
      </w:r>
      <w:r>
        <w:rPr>
          <w:spacing w:val="-3"/>
          <w:w w:val="105"/>
          <w:sz w:val="21"/>
        </w:rPr>
        <w:t>registered</w:t>
      </w:r>
      <w:r>
        <w:rPr>
          <w:spacing w:val="-8"/>
          <w:w w:val="105"/>
          <w:sz w:val="21"/>
        </w:rPr>
        <w:t> </w:t>
      </w:r>
      <w:r>
        <w:rPr>
          <w:w w:val="105"/>
          <w:sz w:val="21"/>
        </w:rPr>
        <w:t>in the </w:t>
      </w:r>
      <w:r>
        <w:rPr>
          <w:spacing w:val="-3"/>
          <w:w w:val="105"/>
          <w:sz w:val="21"/>
        </w:rPr>
        <w:t>landowner’s </w:t>
      </w:r>
      <w:r>
        <w:rPr>
          <w:w w:val="105"/>
          <w:sz w:val="21"/>
        </w:rPr>
        <w:t>name and can be </w:t>
      </w:r>
      <w:r>
        <w:rPr>
          <w:spacing w:val="-4"/>
          <w:w w:val="105"/>
          <w:sz w:val="21"/>
        </w:rPr>
        <w:t>traded.</w:t>
      </w:r>
      <w:r>
        <w:rPr>
          <w:spacing w:val="-4"/>
          <w:w w:val="105"/>
          <w:position w:val="7"/>
          <w:sz w:val="12"/>
        </w:rPr>
        <w:t>192 </w:t>
      </w:r>
      <w:r>
        <w:rPr>
          <w:w w:val="105"/>
          <w:sz w:val="21"/>
        </w:rPr>
        <w:t>The </w:t>
      </w:r>
      <w:r>
        <w:rPr>
          <w:spacing w:val="-3"/>
          <w:w w:val="105"/>
          <w:sz w:val="21"/>
        </w:rPr>
        <w:t>nature </w:t>
      </w:r>
      <w:r>
        <w:rPr>
          <w:w w:val="105"/>
          <w:sz w:val="21"/>
        </w:rPr>
        <w:t>of these agreements is varied and</w:t>
      </w:r>
      <w:r>
        <w:rPr>
          <w:spacing w:val="5"/>
          <w:w w:val="105"/>
          <w:sz w:val="21"/>
        </w:rPr>
        <w:t> </w:t>
      </w:r>
      <w:r>
        <w:rPr>
          <w:spacing w:val="-3"/>
          <w:w w:val="105"/>
          <w:sz w:val="21"/>
        </w:rPr>
        <w:t>complex.</w:t>
      </w:r>
    </w:p>
    <w:p>
      <w:pPr>
        <w:pStyle w:val="BodyText"/>
        <w:spacing w:before="6"/>
        <w:rPr>
          <w:sz w:val="20"/>
        </w:rPr>
      </w:pPr>
    </w:p>
    <w:p>
      <w:pPr>
        <w:pStyle w:val="Heading5"/>
      </w:pPr>
      <w:r>
        <w:rPr>
          <w:w w:val="115"/>
        </w:rPr>
        <w:t>Conservation, Forests and Lands Act</w:t>
      </w:r>
    </w:p>
    <w:p>
      <w:pPr>
        <w:pStyle w:val="ListParagraph"/>
        <w:numPr>
          <w:ilvl w:val="1"/>
          <w:numId w:val="16"/>
        </w:numPr>
        <w:tabs>
          <w:tab w:pos="2380" w:val="left" w:leader="none"/>
          <w:tab w:pos="2381" w:val="left" w:leader="none"/>
        </w:tabs>
        <w:spacing w:line="242" w:lineRule="auto" w:before="138" w:after="0"/>
        <w:ind w:left="2381" w:right="1869" w:hanging="794"/>
        <w:jc w:val="left"/>
        <w:rPr>
          <w:sz w:val="21"/>
        </w:rPr>
      </w:pPr>
      <w:r>
        <w:rPr>
          <w:w w:val="105"/>
          <w:sz w:val="21"/>
        </w:rPr>
        <w:t>Land </w:t>
      </w:r>
      <w:r>
        <w:rPr>
          <w:spacing w:val="-3"/>
          <w:w w:val="105"/>
          <w:sz w:val="21"/>
        </w:rPr>
        <w:t>management </w:t>
      </w:r>
      <w:r>
        <w:rPr>
          <w:w w:val="105"/>
          <w:sz w:val="21"/>
        </w:rPr>
        <w:t>co-operative agreements can also be </w:t>
      </w:r>
      <w:r>
        <w:rPr>
          <w:spacing w:val="-3"/>
          <w:w w:val="105"/>
          <w:sz w:val="21"/>
        </w:rPr>
        <w:t>entered </w:t>
      </w:r>
      <w:r>
        <w:rPr>
          <w:spacing w:val="-4"/>
          <w:w w:val="105"/>
          <w:sz w:val="21"/>
        </w:rPr>
        <w:t>into </w:t>
      </w:r>
      <w:r>
        <w:rPr>
          <w:w w:val="105"/>
          <w:sz w:val="21"/>
        </w:rPr>
        <w:t>under the </w:t>
      </w:r>
      <w:r>
        <w:rPr>
          <w:spacing w:val="-3"/>
          <w:w w:val="105"/>
          <w:sz w:val="21"/>
        </w:rPr>
        <w:t>Conservation, </w:t>
      </w:r>
      <w:r>
        <w:rPr>
          <w:w w:val="105"/>
          <w:sz w:val="21"/>
        </w:rPr>
        <w:t>Forests and Lands Act between the Secretary </w:t>
      </w:r>
      <w:r>
        <w:rPr>
          <w:spacing w:val="-3"/>
          <w:w w:val="105"/>
          <w:sz w:val="21"/>
        </w:rPr>
        <w:t>to </w:t>
      </w:r>
      <w:r>
        <w:rPr>
          <w:w w:val="105"/>
          <w:sz w:val="21"/>
        </w:rPr>
        <w:t>the Department of </w:t>
      </w:r>
      <w:r>
        <w:rPr>
          <w:spacing w:val="-3"/>
          <w:w w:val="105"/>
          <w:sz w:val="21"/>
        </w:rPr>
        <w:t>Environment,</w:t>
      </w:r>
      <w:r>
        <w:rPr>
          <w:spacing w:val="-6"/>
          <w:w w:val="105"/>
          <w:sz w:val="21"/>
        </w:rPr>
        <w:t> </w:t>
      </w:r>
      <w:r>
        <w:rPr>
          <w:w w:val="105"/>
          <w:sz w:val="21"/>
        </w:rPr>
        <w:t>Land,</w:t>
      </w:r>
      <w:r>
        <w:rPr>
          <w:spacing w:val="-6"/>
          <w:w w:val="105"/>
          <w:sz w:val="21"/>
        </w:rPr>
        <w:t> </w:t>
      </w:r>
      <w:r>
        <w:rPr>
          <w:spacing w:val="-4"/>
          <w:w w:val="105"/>
          <w:sz w:val="21"/>
        </w:rPr>
        <w:t>Water</w:t>
      </w:r>
      <w:r>
        <w:rPr>
          <w:spacing w:val="-6"/>
          <w:w w:val="105"/>
          <w:sz w:val="21"/>
        </w:rPr>
        <w:t> </w:t>
      </w:r>
      <w:r>
        <w:rPr>
          <w:w w:val="105"/>
          <w:sz w:val="21"/>
        </w:rPr>
        <w:t>and</w:t>
      </w:r>
      <w:r>
        <w:rPr>
          <w:spacing w:val="-5"/>
          <w:w w:val="105"/>
          <w:sz w:val="21"/>
        </w:rPr>
        <w:t> </w:t>
      </w:r>
      <w:r>
        <w:rPr>
          <w:spacing w:val="-3"/>
          <w:w w:val="105"/>
          <w:sz w:val="21"/>
        </w:rPr>
        <w:t>Planning</w:t>
      </w:r>
      <w:r>
        <w:rPr>
          <w:spacing w:val="-6"/>
          <w:w w:val="105"/>
          <w:sz w:val="21"/>
        </w:rPr>
        <w:t> </w:t>
      </w:r>
      <w:r>
        <w:rPr>
          <w:w w:val="105"/>
          <w:sz w:val="21"/>
        </w:rPr>
        <w:t>and</w:t>
      </w:r>
      <w:r>
        <w:rPr>
          <w:spacing w:val="-6"/>
          <w:w w:val="105"/>
          <w:sz w:val="21"/>
        </w:rPr>
        <w:t> </w:t>
      </w:r>
      <w:r>
        <w:rPr>
          <w:w w:val="105"/>
          <w:sz w:val="21"/>
        </w:rPr>
        <w:t>landowners.</w:t>
      </w:r>
      <w:r>
        <w:rPr>
          <w:spacing w:val="-6"/>
          <w:w w:val="105"/>
          <w:sz w:val="21"/>
        </w:rPr>
        <w:t> </w:t>
      </w:r>
      <w:r>
        <w:rPr>
          <w:w w:val="105"/>
          <w:sz w:val="21"/>
        </w:rPr>
        <w:t>These</w:t>
      </w:r>
      <w:r>
        <w:rPr>
          <w:spacing w:val="-5"/>
          <w:w w:val="105"/>
          <w:sz w:val="21"/>
        </w:rPr>
        <w:t> </w:t>
      </w:r>
      <w:r>
        <w:rPr>
          <w:w w:val="105"/>
          <w:sz w:val="21"/>
        </w:rPr>
        <w:t>agreements,</w:t>
      </w:r>
      <w:r>
        <w:rPr>
          <w:spacing w:val="-6"/>
          <w:w w:val="105"/>
          <w:sz w:val="21"/>
        </w:rPr>
        <w:t> </w:t>
      </w:r>
      <w:r>
        <w:rPr>
          <w:w w:val="105"/>
          <w:sz w:val="21"/>
        </w:rPr>
        <w:t>known</w:t>
      </w:r>
      <w:r>
        <w:rPr>
          <w:spacing w:val="-6"/>
          <w:w w:val="105"/>
          <w:sz w:val="21"/>
        </w:rPr>
        <w:t> </w:t>
      </w:r>
      <w:r>
        <w:rPr>
          <w:w w:val="105"/>
          <w:sz w:val="21"/>
        </w:rPr>
        <w:t>as ‘section </w:t>
      </w:r>
      <w:r>
        <w:rPr>
          <w:spacing w:val="-3"/>
          <w:w w:val="105"/>
          <w:sz w:val="21"/>
        </w:rPr>
        <w:t>69 </w:t>
      </w:r>
      <w:r>
        <w:rPr>
          <w:spacing w:val="-4"/>
          <w:w w:val="105"/>
          <w:sz w:val="21"/>
        </w:rPr>
        <w:t>agreements’, </w:t>
      </w:r>
      <w:r>
        <w:rPr>
          <w:w w:val="105"/>
          <w:sz w:val="21"/>
        </w:rPr>
        <w:t>can</w:t>
      </w:r>
      <w:r>
        <w:rPr>
          <w:spacing w:val="26"/>
          <w:w w:val="105"/>
          <w:sz w:val="21"/>
        </w:rPr>
        <w:t> </w:t>
      </w:r>
      <w:r>
        <w:rPr>
          <w:w w:val="105"/>
          <w:sz w:val="21"/>
        </w:rPr>
        <w:t>either:</w:t>
      </w:r>
    </w:p>
    <w:p>
      <w:pPr>
        <w:pStyle w:val="ListParagraph"/>
        <w:numPr>
          <w:ilvl w:val="2"/>
          <w:numId w:val="16"/>
        </w:numPr>
        <w:tabs>
          <w:tab w:pos="2721" w:val="left" w:leader="none"/>
          <w:tab w:pos="2722" w:val="left" w:leader="none"/>
        </w:tabs>
        <w:spacing w:line="242" w:lineRule="auto" w:before="124" w:after="0"/>
        <w:ind w:left="2721" w:right="1708" w:hanging="340"/>
        <w:jc w:val="left"/>
        <w:rPr>
          <w:sz w:val="21"/>
        </w:rPr>
      </w:pPr>
      <w:r>
        <w:rPr>
          <w:spacing w:val="-3"/>
          <w:w w:val="105"/>
          <w:sz w:val="21"/>
        </w:rPr>
        <w:t>relate</w:t>
      </w:r>
      <w:r>
        <w:rPr>
          <w:spacing w:val="-12"/>
          <w:w w:val="105"/>
          <w:sz w:val="21"/>
        </w:rPr>
        <w:t> </w:t>
      </w:r>
      <w:r>
        <w:rPr>
          <w:spacing w:val="-3"/>
          <w:w w:val="105"/>
          <w:sz w:val="21"/>
        </w:rPr>
        <w:t>to</w:t>
      </w:r>
      <w:r>
        <w:rPr>
          <w:spacing w:val="-11"/>
          <w:w w:val="105"/>
          <w:sz w:val="21"/>
        </w:rPr>
        <w:t> </w:t>
      </w:r>
      <w:r>
        <w:rPr>
          <w:w w:val="105"/>
          <w:sz w:val="21"/>
        </w:rPr>
        <w:t>the</w:t>
      </w:r>
      <w:r>
        <w:rPr>
          <w:spacing w:val="-11"/>
          <w:w w:val="105"/>
          <w:sz w:val="21"/>
        </w:rPr>
        <w:t> </w:t>
      </w:r>
      <w:r>
        <w:rPr>
          <w:spacing w:val="-3"/>
          <w:w w:val="105"/>
          <w:sz w:val="21"/>
        </w:rPr>
        <w:t>management,</w:t>
      </w:r>
      <w:r>
        <w:rPr>
          <w:spacing w:val="-11"/>
          <w:w w:val="105"/>
          <w:sz w:val="21"/>
        </w:rPr>
        <w:t> </w:t>
      </w:r>
      <w:r>
        <w:rPr>
          <w:spacing w:val="-3"/>
          <w:w w:val="105"/>
          <w:sz w:val="21"/>
        </w:rPr>
        <w:t>use,</w:t>
      </w:r>
      <w:r>
        <w:rPr>
          <w:spacing w:val="-12"/>
          <w:w w:val="105"/>
          <w:sz w:val="21"/>
        </w:rPr>
        <w:t> </w:t>
      </w:r>
      <w:r>
        <w:rPr>
          <w:w w:val="105"/>
          <w:sz w:val="21"/>
        </w:rPr>
        <w:t>development,</w:t>
      </w:r>
      <w:r>
        <w:rPr>
          <w:spacing w:val="-11"/>
          <w:w w:val="105"/>
          <w:sz w:val="21"/>
        </w:rPr>
        <w:t> </w:t>
      </w:r>
      <w:r>
        <w:rPr>
          <w:w w:val="105"/>
          <w:sz w:val="21"/>
        </w:rPr>
        <w:t>preservation</w:t>
      </w:r>
      <w:r>
        <w:rPr>
          <w:spacing w:val="-11"/>
          <w:w w:val="105"/>
          <w:sz w:val="21"/>
        </w:rPr>
        <w:t> </w:t>
      </w:r>
      <w:r>
        <w:rPr>
          <w:w w:val="105"/>
          <w:sz w:val="21"/>
        </w:rPr>
        <w:t>or</w:t>
      </w:r>
      <w:r>
        <w:rPr>
          <w:spacing w:val="-11"/>
          <w:w w:val="105"/>
          <w:sz w:val="21"/>
        </w:rPr>
        <w:t> </w:t>
      </w:r>
      <w:r>
        <w:rPr>
          <w:w w:val="105"/>
          <w:sz w:val="21"/>
        </w:rPr>
        <w:t>conservation</w:t>
      </w:r>
      <w:r>
        <w:rPr>
          <w:spacing w:val="-12"/>
          <w:w w:val="105"/>
          <w:sz w:val="21"/>
        </w:rPr>
        <w:t> </w:t>
      </w:r>
      <w:r>
        <w:rPr>
          <w:w w:val="105"/>
          <w:sz w:val="21"/>
        </w:rPr>
        <w:t>of</w:t>
      </w:r>
      <w:r>
        <w:rPr>
          <w:spacing w:val="-11"/>
          <w:w w:val="105"/>
          <w:sz w:val="21"/>
        </w:rPr>
        <w:t> </w:t>
      </w:r>
      <w:r>
        <w:rPr>
          <w:spacing w:val="-3"/>
          <w:w w:val="105"/>
          <w:sz w:val="21"/>
        </w:rPr>
        <w:t>land</w:t>
      </w:r>
      <w:r>
        <w:rPr>
          <w:spacing w:val="-11"/>
          <w:w w:val="105"/>
          <w:sz w:val="21"/>
        </w:rPr>
        <w:t> </w:t>
      </w:r>
      <w:r>
        <w:rPr>
          <w:w w:val="105"/>
          <w:sz w:val="21"/>
        </w:rPr>
        <w:t>in the possession of the </w:t>
      </w:r>
      <w:r>
        <w:rPr>
          <w:spacing w:val="-4"/>
          <w:w w:val="105"/>
          <w:sz w:val="21"/>
        </w:rPr>
        <w:t>landowner,</w:t>
      </w:r>
      <w:r>
        <w:rPr>
          <w:spacing w:val="24"/>
          <w:w w:val="105"/>
          <w:sz w:val="21"/>
        </w:rPr>
        <w:t> </w:t>
      </w:r>
      <w:r>
        <w:rPr>
          <w:w w:val="105"/>
          <w:sz w:val="21"/>
        </w:rPr>
        <w:t>or</w:t>
      </w:r>
    </w:p>
    <w:p>
      <w:pPr>
        <w:pStyle w:val="ListParagraph"/>
        <w:numPr>
          <w:ilvl w:val="2"/>
          <w:numId w:val="16"/>
        </w:numPr>
        <w:tabs>
          <w:tab w:pos="2721" w:val="left" w:leader="none"/>
          <w:tab w:pos="2722" w:val="left" w:leader="none"/>
        </w:tabs>
        <w:spacing w:line="242" w:lineRule="auto" w:before="87" w:after="0"/>
        <w:ind w:left="2721" w:right="1695" w:hanging="340"/>
        <w:jc w:val="left"/>
        <w:rPr>
          <w:sz w:val="21"/>
        </w:rPr>
      </w:pPr>
      <w:r>
        <w:rPr>
          <w:w w:val="105"/>
          <w:sz w:val="21"/>
        </w:rPr>
        <w:t>otherwise</w:t>
      </w:r>
      <w:r>
        <w:rPr>
          <w:spacing w:val="-4"/>
          <w:w w:val="105"/>
          <w:sz w:val="21"/>
        </w:rPr>
        <w:t> </w:t>
      </w:r>
      <w:r>
        <w:rPr>
          <w:w w:val="105"/>
          <w:sz w:val="21"/>
        </w:rPr>
        <w:t>give</w:t>
      </w:r>
      <w:r>
        <w:rPr>
          <w:spacing w:val="-4"/>
          <w:w w:val="105"/>
          <w:sz w:val="21"/>
        </w:rPr>
        <w:t> </w:t>
      </w:r>
      <w:r>
        <w:rPr>
          <w:w w:val="105"/>
          <w:sz w:val="21"/>
        </w:rPr>
        <w:t>effect</w:t>
      </w:r>
      <w:r>
        <w:rPr>
          <w:spacing w:val="-4"/>
          <w:w w:val="105"/>
          <w:sz w:val="21"/>
        </w:rPr>
        <w:t> </w:t>
      </w:r>
      <w:r>
        <w:rPr>
          <w:spacing w:val="-3"/>
          <w:w w:val="105"/>
          <w:sz w:val="21"/>
        </w:rPr>
        <w:t>to</w:t>
      </w:r>
      <w:r>
        <w:rPr>
          <w:spacing w:val="-4"/>
          <w:w w:val="105"/>
          <w:sz w:val="21"/>
        </w:rPr>
        <w:t> </w:t>
      </w:r>
      <w:r>
        <w:rPr>
          <w:w w:val="105"/>
          <w:sz w:val="21"/>
        </w:rPr>
        <w:t>the</w:t>
      </w:r>
      <w:r>
        <w:rPr>
          <w:spacing w:val="-4"/>
          <w:w w:val="105"/>
          <w:sz w:val="21"/>
        </w:rPr>
        <w:t> </w:t>
      </w:r>
      <w:r>
        <w:rPr>
          <w:w w:val="105"/>
          <w:sz w:val="21"/>
        </w:rPr>
        <w:t>object</w:t>
      </w:r>
      <w:r>
        <w:rPr>
          <w:spacing w:val="-4"/>
          <w:w w:val="105"/>
          <w:sz w:val="21"/>
        </w:rPr>
        <w:t> </w:t>
      </w:r>
      <w:r>
        <w:rPr>
          <w:w w:val="105"/>
          <w:sz w:val="21"/>
        </w:rPr>
        <w:t>or</w:t>
      </w:r>
      <w:r>
        <w:rPr>
          <w:spacing w:val="-4"/>
          <w:w w:val="105"/>
          <w:sz w:val="21"/>
        </w:rPr>
        <w:t> </w:t>
      </w:r>
      <w:r>
        <w:rPr>
          <w:w w:val="105"/>
          <w:sz w:val="21"/>
        </w:rPr>
        <w:t>purposes</w:t>
      </w:r>
      <w:r>
        <w:rPr>
          <w:spacing w:val="-4"/>
          <w:w w:val="105"/>
          <w:sz w:val="21"/>
        </w:rPr>
        <w:t> </w:t>
      </w:r>
      <w:r>
        <w:rPr>
          <w:w w:val="105"/>
          <w:sz w:val="21"/>
        </w:rPr>
        <w:t>of</w:t>
      </w:r>
      <w:r>
        <w:rPr>
          <w:spacing w:val="-4"/>
          <w:w w:val="105"/>
          <w:sz w:val="21"/>
        </w:rPr>
        <w:t> </w:t>
      </w:r>
      <w:r>
        <w:rPr>
          <w:w w:val="105"/>
          <w:sz w:val="21"/>
        </w:rPr>
        <w:t>a</w:t>
      </w:r>
      <w:r>
        <w:rPr>
          <w:spacing w:val="-4"/>
          <w:w w:val="105"/>
          <w:sz w:val="21"/>
        </w:rPr>
        <w:t> </w:t>
      </w:r>
      <w:r>
        <w:rPr>
          <w:spacing w:val="-3"/>
          <w:w w:val="105"/>
          <w:sz w:val="21"/>
        </w:rPr>
        <w:t>relevant</w:t>
      </w:r>
      <w:r>
        <w:rPr>
          <w:spacing w:val="-4"/>
          <w:w w:val="105"/>
          <w:sz w:val="21"/>
        </w:rPr>
        <w:t> </w:t>
      </w:r>
      <w:r>
        <w:rPr>
          <w:spacing w:val="-7"/>
          <w:w w:val="105"/>
          <w:sz w:val="21"/>
        </w:rPr>
        <w:t>law,</w:t>
      </w:r>
      <w:r>
        <w:rPr>
          <w:spacing w:val="-7"/>
          <w:w w:val="105"/>
          <w:position w:val="7"/>
          <w:sz w:val="12"/>
        </w:rPr>
        <w:t>193</w:t>
      </w:r>
      <w:r>
        <w:rPr>
          <w:spacing w:val="-2"/>
          <w:w w:val="105"/>
          <w:position w:val="7"/>
          <w:sz w:val="12"/>
        </w:rPr>
        <w:t> </w:t>
      </w:r>
      <w:r>
        <w:rPr>
          <w:w w:val="105"/>
          <w:sz w:val="21"/>
        </w:rPr>
        <w:t>in</w:t>
      </w:r>
      <w:r>
        <w:rPr>
          <w:spacing w:val="-4"/>
          <w:w w:val="105"/>
          <w:sz w:val="21"/>
        </w:rPr>
        <w:t> </w:t>
      </w:r>
      <w:r>
        <w:rPr>
          <w:spacing w:val="-3"/>
          <w:w w:val="105"/>
          <w:sz w:val="21"/>
        </w:rPr>
        <w:t>relation</w:t>
      </w:r>
      <w:r>
        <w:rPr>
          <w:spacing w:val="-4"/>
          <w:w w:val="105"/>
          <w:sz w:val="21"/>
        </w:rPr>
        <w:t> </w:t>
      </w:r>
      <w:r>
        <w:rPr>
          <w:spacing w:val="-3"/>
          <w:w w:val="105"/>
          <w:sz w:val="21"/>
        </w:rPr>
        <w:t>to</w:t>
      </w:r>
      <w:r>
        <w:rPr>
          <w:spacing w:val="-4"/>
          <w:w w:val="105"/>
          <w:sz w:val="21"/>
        </w:rPr>
        <w:t> </w:t>
      </w:r>
      <w:r>
        <w:rPr>
          <w:spacing w:val="-3"/>
          <w:w w:val="105"/>
          <w:sz w:val="21"/>
        </w:rPr>
        <w:t>land </w:t>
      </w:r>
      <w:r>
        <w:rPr>
          <w:w w:val="105"/>
          <w:sz w:val="21"/>
        </w:rPr>
        <w:t>in the possession of the</w:t>
      </w:r>
      <w:r>
        <w:rPr>
          <w:spacing w:val="25"/>
          <w:w w:val="105"/>
          <w:sz w:val="21"/>
        </w:rPr>
        <w:t> </w:t>
      </w:r>
      <w:r>
        <w:rPr>
          <w:spacing w:val="-5"/>
          <w:w w:val="105"/>
          <w:sz w:val="21"/>
        </w:rPr>
        <w:t>landowner.</w:t>
      </w:r>
      <w:r>
        <w:rPr>
          <w:spacing w:val="-5"/>
          <w:w w:val="105"/>
          <w:position w:val="7"/>
          <w:sz w:val="12"/>
        </w:rPr>
        <w:t>194</w:t>
      </w:r>
    </w:p>
    <w:p>
      <w:pPr>
        <w:pStyle w:val="ListParagraph"/>
        <w:numPr>
          <w:ilvl w:val="1"/>
          <w:numId w:val="16"/>
        </w:numPr>
        <w:tabs>
          <w:tab w:pos="2382" w:val="left" w:leader="none"/>
        </w:tabs>
        <w:spacing w:line="242" w:lineRule="auto" w:before="87" w:after="0"/>
        <w:ind w:left="2381" w:right="1827" w:hanging="794"/>
        <w:jc w:val="left"/>
        <w:rPr>
          <w:sz w:val="21"/>
        </w:rPr>
      </w:pPr>
      <w:r>
        <w:rPr>
          <w:w w:val="105"/>
          <w:sz w:val="21"/>
        </w:rPr>
        <w:t>Agreements </w:t>
      </w:r>
      <w:r>
        <w:rPr>
          <w:spacing w:val="-3"/>
          <w:w w:val="105"/>
          <w:sz w:val="21"/>
        </w:rPr>
        <w:t>may </w:t>
      </w:r>
      <w:r>
        <w:rPr>
          <w:w w:val="105"/>
          <w:sz w:val="21"/>
        </w:rPr>
        <w:t>be </w:t>
      </w:r>
      <w:r>
        <w:rPr>
          <w:spacing w:val="-3"/>
          <w:w w:val="105"/>
          <w:sz w:val="21"/>
        </w:rPr>
        <w:t>binding </w:t>
      </w:r>
      <w:r>
        <w:rPr>
          <w:w w:val="105"/>
          <w:sz w:val="21"/>
        </w:rPr>
        <w:t>on a </w:t>
      </w:r>
      <w:r>
        <w:rPr>
          <w:spacing w:val="-3"/>
          <w:w w:val="105"/>
          <w:sz w:val="21"/>
        </w:rPr>
        <w:t>landowner’s </w:t>
      </w:r>
      <w:r>
        <w:rPr>
          <w:w w:val="105"/>
          <w:sz w:val="21"/>
        </w:rPr>
        <w:t>successors in </w:t>
      </w:r>
      <w:r>
        <w:rPr>
          <w:spacing w:val="-5"/>
          <w:w w:val="105"/>
          <w:sz w:val="21"/>
        </w:rPr>
        <w:t>title.</w:t>
      </w:r>
      <w:r>
        <w:rPr>
          <w:spacing w:val="-5"/>
          <w:w w:val="105"/>
          <w:position w:val="7"/>
          <w:sz w:val="12"/>
        </w:rPr>
        <w:t>195 </w:t>
      </w:r>
      <w:r>
        <w:rPr>
          <w:w w:val="105"/>
          <w:sz w:val="21"/>
        </w:rPr>
        <w:t>For this </w:t>
      </w:r>
      <w:r>
        <w:rPr>
          <w:spacing w:val="-3"/>
          <w:w w:val="105"/>
          <w:sz w:val="21"/>
        </w:rPr>
        <w:t>to occur </w:t>
      </w:r>
      <w:r>
        <w:rPr>
          <w:w w:val="105"/>
          <w:sz w:val="21"/>
        </w:rPr>
        <w:t>the Secretary must </w:t>
      </w:r>
      <w:r>
        <w:rPr>
          <w:spacing w:val="-3"/>
          <w:w w:val="105"/>
          <w:sz w:val="21"/>
        </w:rPr>
        <w:t>record </w:t>
      </w:r>
      <w:r>
        <w:rPr>
          <w:w w:val="105"/>
          <w:sz w:val="21"/>
        </w:rPr>
        <w:t>the </w:t>
      </w:r>
      <w:r>
        <w:rPr>
          <w:spacing w:val="-2"/>
          <w:w w:val="105"/>
          <w:sz w:val="21"/>
        </w:rPr>
        <w:t>agreement </w:t>
      </w:r>
      <w:r>
        <w:rPr>
          <w:w w:val="105"/>
          <w:sz w:val="21"/>
        </w:rPr>
        <w:t>on the Register of</w:t>
      </w:r>
      <w:r>
        <w:rPr>
          <w:spacing w:val="28"/>
          <w:w w:val="105"/>
          <w:sz w:val="21"/>
        </w:rPr>
        <w:t> </w:t>
      </w:r>
      <w:r>
        <w:rPr>
          <w:spacing w:val="-4"/>
          <w:w w:val="105"/>
          <w:sz w:val="21"/>
        </w:rPr>
        <w:t>Titles.</w:t>
      </w:r>
      <w:r>
        <w:rPr>
          <w:spacing w:val="-4"/>
          <w:w w:val="105"/>
          <w:position w:val="7"/>
          <w:sz w:val="12"/>
        </w:rPr>
        <w:t>196</w:t>
      </w:r>
    </w:p>
    <w:p>
      <w:pPr>
        <w:pStyle w:val="ListParagraph"/>
        <w:numPr>
          <w:ilvl w:val="1"/>
          <w:numId w:val="16"/>
        </w:numPr>
        <w:tabs>
          <w:tab w:pos="2380" w:val="left" w:leader="none"/>
          <w:tab w:pos="2381" w:val="left" w:leader="none"/>
        </w:tabs>
        <w:spacing w:line="242" w:lineRule="auto" w:before="123" w:after="0"/>
        <w:ind w:left="2381" w:right="1785" w:hanging="794"/>
        <w:jc w:val="left"/>
        <w:rPr>
          <w:sz w:val="21"/>
        </w:rPr>
      </w:pPr>
      <w:r>
        <w:rPr>
          <w:w w:val="105"/>
          <w:sz w:val="21"/>
        </w:rPr>
        <w:t>This</w:t>
      </w:r>
      <w:r>
        <w:rPr>
          <w:spacing w:val="-6"/>
          <w:w w:val="105"/>
          <w:sz w:val="21"/>
        </w:rPr>
        <w:t> </w:t>
      </w:r>
      <w:r>
        <w:rPr>
          <w:w w:val="105"/>
          <w:sz w:val="21"/>
        </w:rPr>
        <w:t>Act</w:t>
      </w:r>
      <w:r>
        <w:rPr>
          <w:spacing w:val="-6"/>
          <w:w w:val="105"/>
          <w:sz w:val="21"/>
        </w:rPr>
        <w:t> </w:t>
      </w:r>
      <w:r>
        <w:rPr>
          <w:spacing w:val="-3"/>
          <w:w w:val="105"/>
          <w:sz w:val="21"/>
        </w:rPr>
        <w:t>may</w:t>
      </w:r>
      <w:r>
        <w:rPr>
          <w:spacing w:val="-5"/>
          <w:w w:val="105"/>
          <w:sz w:val="21"/>
        </w:rPr>
        <w:t> </w:t>
      </w:r>
      <w:r>
        <w:rPr>
          <w:w w:val="105"/>
          <w:sz w:val="21"/>
        </w:rPr>
        <w:t>be</w:t>
      </w:r>
      <w:r>
        <w:rPr>
          <w:spacing w:val="-6"/>
          <w:w w:val="105"/>
          <w:sz w:val="21"/>
        </w:rPr>
        <w:t> </w:t>
      </w:r>
      <w:r>
        <w:rPr>
          <w:w w:val="105"/>
          <w:sz w:val="21"/>
        </w:rPr>
        <w:t>used</w:t>
      </w:r>
      <w:r>
        <w:rPr>
          <w:spacing w:val="-6"/>
          <w:w w:val="105"/>
          <w:sz w:val="21"/>
        </w:rPr>
        <w:t> </w:t>
      </w:r>
      <w:r>
        <w:rPr>
          <w:spacing w:val="-3"/>
          <w:w w:val="105"/>
          <w:sz w:val="21"/>
        </w:rPr>
        <w:t>for</w:t>
      </w:r>
      <w:r>
        <w:rPr>
          <w:spacing w:val="-5"/>
          <w:w w:val="105"/>
          <w:sz w:val="21"/>
        </w:rPr>
        <w:t> </w:t>
      </w:r>
      <w:r>
        <w:rPr>
          <w:w w:val="105"/>
          <w:sz w:val="21"/>
        </w:rPr>
        <w:t>agreements</w:t>
      </w:r>
      <w:r>
        <w:rPr>
          <w:spacing w:val="-6"/>
          <w:w w:val="105"/>
          <w:sz w:val="21"/>
        </w:rPr>
        <w:t> </w:t>
      </w:r>
      <w:r>
        <w:rPr>
          <w:w w:val="105"/>
          <w:sz w:val="21"/>
        </w:rPr>
        <w:t>between</w:t>
      </w:r>
      <w:r>
        <w:rPr>
          <w:spacing w:val="-6"/>
          <w:w w:val="105"/>
          <w:sz w:val="21"/>
        </w:rPr>
        <w:t> </w:t>
      </w:r>
      <w:r>
        <w:rPr>
          <w:w w:val="105"/>
          <w:sz w:val="21"/>
        </w:rPr>
        <w:t>the</w:t>
      </w:r>
      <w:r>
        <w:rPr>
          <w:spacing w:val="-5"/>
          <w:w w:val="105"/>
          <w:sz w:val="21"/>
        </w:rPr>
        <w:t> </w:t>
      </w:r>
      <w:r>
        <w:rPr>
          <w:w w:val="105"/>
          <w:sz w:val="21"/>
        </w:rPr>
        <w:t>Secretary</w:t>
      </w:r>
      <w:r>
        <w:rPr>
          <w:spacing w:val="-6"/>
          <w:w w:val="105"/>
          <w:sz w:val="21"/>
        </w:rPr>
        <w:t> </w:t>
      </w:r>
      <w:r>
        <w:rPr>
          <w:w w:val="105"/>
          <w:sz w:val="21"/>
        </w:rPr>
        <w:t>and</w:t>
      </w:r>
      <w:r>
        <w:rPr>
          <w:spacing w:val="-5"/>
          <w:w w:val="105"/>
          <w:sz w:val="21"/>
        </w:rPr>
        <w:t> </w:t>
      </w:r>
      <w:r>
        <w:rPr>
          <w:w w:val="105"/>
          <w:sz w:val="21"/>
        </w:rPr>
        <w:t>the</w:t>
      </w:r>
      <w:r>
        <w:rPr>
          <w:spacing w:val="-6"/>
          <w:w w:val="105"/>
          <w:sz w:val="21"/>
        </w:rPr>
        <w:t> </w:t>
      </w:r>
      <w:r>
        <w:rPr>
          <w:spacing w:val="-4"/>
          <w:w w:val="105"/>
          <w:sz w:val="21"/>
        </w:rPr>
        <w:t>Trust</w:t>
      </w:r>
      <w:r>
        <w:rPr>
          <w:spacing w:val="-6"/>
          <w:w w:val="105"/>
          <w:sz w:val="21"/>
        </w:rPr>
        <w:t> </w:t>
      </w:r>
      <w:r>
        <w:rPr>
          <w:spacing w:val="-3"/>
          <w:w w:val="105"/>
          <w:sz w:val="21"/>
        </w:rPr>
        <w:t>for</w:t>
      </w:r>
      <w:r>
        <w:rPr>
          <w:spacing w:val="-5"/>
          <w:w w:val="105"/>
          <w:sz w:val="21"/>
        </w:rPr>
        <w:t> Nature.</w:t>
      </w:r>
      <w:r>
        <w:rPr>
          <w:spacing w:val="-5"/>
          <w:w w:val="105"/>
          <w:position w:val="7"/>
          <w:sz w:val="12"/>
        </w:rPr>
        <w:t>197</w:t>
      </w:r>
      <w:r>
        <w:rPr>
          <w:spacing w:val="-5"/>
          <w:w w:val="105"/>
          <w:sz w:val="12"/>
        </w:rPr>
        <w:t> </w:t>
      </w:r>
      <w:r>
        <w:rPr>
          <w:spacing w:val="-4"/>
          <w:w w:val="105"/>
          <w:sz w:val="21"/>
        </w:rPr>
        <w:t>However, </w:t>
      </w:r>
      <w:r>
        <w:rPr>
          <w:w w:val="105"/>
          <w:sz w:val="21"/>
        </w:rPr>
        <w:t>the </w:t>
      </w:r>
      <w:r>
        <w:rPr>
          <w:spacing w:val="-3"/>
          <w:w w:val="105"/>
          <w:sz w:val="21"/>
        </w:rPr>
        <w:t>land to </w:t>
      </w:r>
      <w:r>
        <w:rPr>
          <w:w w:val="105"/>
          <w:sz w:val="21"/>
        </w:rPr>
        <w:t>which these agreements apply must be managed as if it </w:t>
      </w:r>
      <w:r>
        <w:rPr>
          <w:spacing w:val="-3"/>
          <w:w w:val="105"/>
          <w:sz w:val="21"/>
        </w:rPr>
        <w:t>were </w:t>
      </w:r>
      <w:r>
        <w:rPr>
          <w:spacing w:val="-4"/>
          <w:w w:val="105"/>
          <w:sz w:val="21"/>
        </w:rPr>
        <w:t>Crown</w:t>
      </w:r>
      <w:r>
        <w:rPr>
          <w:spacing w:val="6"/>
          <w:w w:val="105"/>
          <w:sz w:val="21"/>
        </w:rPr>
        <w:t> </w:t>
      </w:r>
      <w:r>
        <w:rPr>
          <w:spacing w:val="-5"/>
          <w:w w:val="105"/>
          <w:sz w:val="21"/>
        </w:rPr>
        <w:t>land.</w:t>
      </w:r>
      <w:r>
        <w:rPr>
          <w:spacing w:val="-5"/>
          <w:w w:val="105"/>
          <w:position w:val="7"/>
          <w:sz w:val="12"/>
        </w:rPr>
        <w:t>198</w:t>
      </w:r>
    </w:p>
    <w:p>
      <w:pPr>
        <w:pStyle w:val="ListParagraph"/>
        <w:numPr>
          <w:ilvl w:val="1"/>
          <w:numId w:val="16"/>
        </w:numPr>
        <w:tabs>
          <w:tab w:pos="2382" w:val="left" w:leader="none"/>
        </w:tabs>
        <w:spacing w:line="242" w:lineRule="auto" w:before="123" w:after="0"/>
        <w:ind w:left="2381" w:right="1763" w:hanging="794"/>
        <w:jc w:val="both"/>
        <w:rPr>
          <w:sz w:val="21"/>
        </w:rPr>
      </w:pPr>
      <w:r>
        <w:rPr>
          <w:w w:val="105"/>
          <w:sz w:val="21"/>
        </w:rPr>
        <w:t>All</w:t>
      </w:r>
      <w:r>
        <w:rPr>
          <w:spacing w:val="-11"/>
          <w:w w:val="105"/>
          <w:sz w:val="21"/>
        </w:rPr>
        <w:t> </w:t>
      </w:r>
      <w:r>
        <w:rPr>
          <w:w w:val="105"/>
          <w:sz w:val="21"/>
        </w:rPr>
        <w:t>agreements</w:t>
      </w:r>
      <w:r>
        <w:rPr>
          <w:spacing w:val="-10"/>
          <w:w w:val="105"/>
          <w:sz w:val="21"/>
        </w:rPr>
        <w:t> </w:t>
      </w:r>
      <w:r>
        <w:rPr>
          <w:w w:val="105"/>
          <w:sz w:val="21"/>
        </w:rPr>
        <w:t>restrict</w:t>
      </w:r>
      <w:r>
        <w:rPr>
          <w:spacing w:val="-10"/>
          <w:w w:val="105"/>
          <w:sz w:val="21"/>
        </w:rPr>
        <w:t> </w:t>
      </w:r>
      <w:r>
        <w:rPr>
          <w:w w:val="105"/>
          <w:sz w:val="21"/>
        </w:rPr>
        <w:t>the</w:t>
      </w:r>
      <w:r>
        <w:rPr>
          <w:spacing w:val="-10"/>
          <w:w w:val="105"/>
          <w:sz w:val="21"/>
        </w:rPr>
        <w:t> </w:t>
      </w:r>
      <w:r>
        <w:rPr>
          <w:w w:val="105"/>
          <w:sz w:val="21"/>
        </w:rPr>
        <w:t>use</w:t>
      </w:r>
      <w:r>
        <w:rPr>
          <w:spacing w:val="-10"/>
          <w:w w:val="105"/>
          <w:sz w:val="21"/>
        </w:rPr>
        <w:t> </w:t>
      </w:r>
      <w:r>
        <w:rPr>
          <w:w w:val="105"/>
          <w:sz w:val="21"/>
        </w:rPr>
        <w:t>of</w:t>
      </w:r>
      <w:r>
        <w:rPr>
          <w:spacing w:val="-10"/>
          <w:w w:val="105"/>
          <w:sz w:val="21"/>
        </w:rPr>
        <w:t> </w:t>
      </w:r>
      <w:r>
        <w:rPr>
          <w:w w:val="105"/>
          <w:sz w:val="21"/>
        </w:rPr>
        <w:t>the</w:t>
      </w:r>
      <w:r>
        <w:rPr>
          <w:spacing w:val="-10"/>
          <w:w w:val="105"/>
          <w:sz w:val="21"/>
        </w:rPr>
        <w:t> </w:t>
      </w:r>
      <w:r>
        <w:rPr>
          <w:spacing w:val="-3"/>
          <w:w w:val="105"/>
          <w:sz w:val="21"/>
        </w:rPr>
        <w:t>land,</w:t>
      </w:r>
      <w:r>
        <w:rPr>
          <w:spacing w:val="-10"/>
          <w:w w:val="105"/>
          <w:sz w:val="21"/>
        </w:rPr>
        <w:t> </w:t>
      </w:r>
      <w:r>
        <w:rPr>
          <w:w w:val="105"/>
          <w:sz w:val="21"/>
        </w:rPr>
        <w:t>with</w:t>
      </w:r>
      <w:r>
        <w:rPr>
          <w:spacing w:val="-10"/>
          <w:w w:val="105"/>
          <w:sz w:val="21"/>
        </w:rPr>
        <w:t> </w:t>
      </w:r>
      <w:r>
        <w:rPr>
          <w:w w:val="105"/>
          <w:sz w:val="21"/>
        </w:rPr>
        <w:t>some</w:t>
      </w:r>
      <w:r>
        <w:rPr>
          <w:spacing w:val="-10"/>
          <w:w w:val="105"/>
          <w:sz w:val="21"/>
        </w:rPr>
        <w:t> </w:t>
      </w:r>
      <w:r>
        <w:rPr>
          <w:w w:val="105"/>
          <w:sz w:val="21"/>
        </w:rPr>
        <w:t>agreements</w:t>
      </w:r>
      <w:r>
        <w:rPr>
          <w:spacing w:val="-10"/>
          <w:w w:val="105"/>
          <w:sz w:val="21"/>
        </w:rPr>
        <w:t> </w:t>
      </w:r>
      <w:r>
        <w:rPr>
          <w:spacing w:val="-3"/>
          <w:w w:val="105"/>
          <w:sz w:val="21"/>
        </w:rPr>
        <w:t>requiring</w:t>
      </w:r>
      <w:r>
        <w:rPr>
          <w:spacing w:val="-10"/>
          <w:w w:val="105"/>
          <w:sz w:val="21"/>
        </w:rPr>
        <w:t> </w:t>
      </w:r>
      <w:r>
        <w:rPr>
          <w:w w:val="105"/>
          <w:sz w:val="21"/>
        </w:rPr>
        <w:t>more</w:t>
      </w:r>
      <w:r>
        <w:rPr>
          <w:spacing w:val="-10"/>
          <w:w w:val="105"/>
          <w:sz w:val="21"/>
        </w:rPr>
        <w:t> </w:t>
      </w:r>
      <w:r>
        <w:rPr>
          <w:w w:val="105"/>
          <w:sz w:val="21"/>
        </w:rPr>
        <w:t>active </w:t>
      </w:r>
      <w:r>
        <w:rPr>
          <w:spacing w:val="-3"/>
          <w:w w:val="105"/>
          <w:sz w:val="21"/>
        </w:rPr>
        <w:t>land</w:t>
      </w:r>
      <w:r>
        <w:rPr>
          <w:spacing w:val="-7"/>
          <w:w w:val="105"/>
          <w:sz w:val="21"/>
        </w:rPr>
        <w:t> </w:t>
      </w:r>
      <w:r>
        <w:rPr>
          <w:spacing w:val="-3"/>
          <w:w w:val="105"/>
          <w:sz w:val="21"/>
        </w:rPr>
        <w:t>management</w:t>
      </w:r>
      <w:r>
        <w:rPr>
          <w:spacing w:val="-6"/>
          <w:w w:val="105"/>
          <w:sz w:val="21"/>
        </w:rPr>
        <w:t> </w:t>
      </w:r>
      <w:r>
        <w:rPr>
          <w:spacing w:val="-3"/>
          <w:w w:val="105"/>
          <w:sz w:val="21"/>
        </w:rPr>
        <w:t>than</w:t>
      </w:r>
      <w:r>
        <w:rPr>
          <w:spacing w:val="-6"/>
          <w:w w:val="105"/>
          <w:sz w:val="21"/>
        </w:rPr>
        <w:t> </w:t>
      </w:r>
      <w:r>
        <w:rPr>
          <w:w w:val="105"/>
          <w:sz w:val="21"/>
        </w:rPr>
        <w:t>others.</w:t>
      </w:r>
      <w:r>
        <w:rPr>
          <w:spacing w:val="-6"/>
          <w:w w:val="105"/>
          <w:sz w:val="21"/>
        </w:rPr>
        <w:t> </w:t>
      </w:r>
      <w:r>
        <w:rPr>
          <w:w w:val="105"/>
          <w:sz w:val="21"/>
        </w:rPr>
        <w:t>The</w:t>
      </w:r>
      <w:r>
        <w:rPr>
          <w:spacing w:val="-6"/>
          <w:w w:val="105"/>
          <w:sz w:val="21"/>
        </w:rPr>
        <w:t> </w:t>
      </w:r>
      <w:r>
        <w:rPr>
          <w:w w:val="105"/>
          <w:sz w:val="21"/>
        </w:rPr>
        <w:t>landowner</w:t>
      </w:r>
      <w:r>
        <w:rPr>
          <w:spacing w:val="-6"/>
          <w:w w:val="105"/>
          <w:sz w:val="21"/>
        </w:rPr>
        <w:t> </w:t>
      </w:r>
      <w:r>
        <w:rPr>
          <w:w w:val="105"/>
          <w:sz w:val="21"/>
        </w:rPr>
        <w:t>can</w:t>
      </w:r>
      <w:r>
        <w:rPr>
          <w:spacing w:val="-6"/>
          <w:w w:val="105"/>
          <w:sz w:val="21"/>
        </w:rPr>
        <w:t> </w:t>
      </w:r>
      <w:r>
        <w:rPr>
          <w:w w:val="105"/>
          <w:sz w:val="21"/>
        </w:rPr>
        <w:t>receive</w:t>
      </w:r>
      <w:r>
        <w:rPr>
          <w:spacing w:val="-6"/>
          <w:w w:val="105"/>
          <w:sz w:val="21"/>
        </w:rPr>
        <w:t> </w:t>
      </w:r>
      <w:r>
        <w:rPr>
          <w:spacing w:val="-3"/>
          <w:w w:val="105"/>
          <w:sz w:val="21"/>
        </w:rPr>
        <w:t>funding</w:t>
      </w:r>
      <w:r>
        <w:rPr>
          <w:spacing w:val="-6"/>
          <w:w w:val="105"/>
          <w:sz w:val="21"/>
        </w:rPr>
        <w:t> </w:t>
      </w:r>
      <w:r>
        <w:rPr>
          <w:spacing w:val="-3"/>
          <w:w w:val="105"/>
          <w:sz w:val="21"/>
        </w:rPr>
        <w:t>to</w:t>
      </w:r>
      <w:r>
        <w:rPr>
          <w:spacing w:val="-6"/>
          <w:w w:val="105"/>
          <w:sz w:val="21"/>
        </w:rPr>
        <w:t> </w:t>
      </w:r>
      <w:r>
        <w:rPr>
          <w:w w:val="105"/>
          <w:sz w:val="21"/>
        </w:rPr>
        <w:t>undertake</w:t>
      </w:r>
      <w:r>
        <w:rPr>
          <w:spacing w:val="-6"/>
          <w:w w:val="105"/>
          <w:sz w:val="21"/>
        </w:rPr>
        <w:t> </w:t>
      </w:r>
      <w:r>
        <w:rPr>
          <w:w w:val="105"/>
          <w:sz w:val="21"/>
        </w:rPr>
        <w:t>actions </w:t>
      </w:r>
      <w:r>
        <w:rPr>
          <w:spacing w:val="-3"/>
          <w:w w:val="105"/>
          <w:sz w:val="21"/>
        </w:rPr>
        <w:t>to manage </w:t>
      </w:r>
      <w:r>
        <w:rPr>
          <w:w w:val="105"/>
          <w:sz w:val="21"/>
        </w:rPr>
        <w:t>vegetation subject </w:t>
      </w:r>
      <w:r>
        <w:rPr>
          <w:spacing w:val="-3"/>
          <w:w w:val="105"/>
          <w:sz w:val="21"/>
        </w:rPr>
        <w:t>to </w:t>
      </w:r>
      <w:r>
        <w:rPr>
          <w:w w:val="105"/>
          <w:sz w:val="21"/>
        </w:rPr>
        <w:t>the</w:t>
      </w:r>
      <w:r>
        <w:rPr>
          <w:spacing w:val="38"/>
          <w:w w:val="105"/>
          <w:sz w:val="21"/>
        </w:rPr>
        <w:t> </w:t>
      </w:r>
      <w:r>
        <w:rPr>
          <w:spacing w:val="-4"/>
          <w:w w:val="105"/>
          <w:sz w:val="21"/>
        </w:rPr>
        <w:t>agreement.</w:t>
      </w:r>
      <w:r>
        <w:rPr>
          <w:spacing w:val="-4"/>
          <w:w w:val="105"/>
          <w:position w:val="7"/>
          <w:sz w:val="12"/>
        </w:rPr>
        <w:t>199</w:t>
      </w:r>
    </w:p>
    <w:p>
      <w:pPr>
        <w:pStyle w:val="ListParagraph"/>
        <w:numPr>
          <w:ilvl w:val="1"/>
          <w:numId w:val="16"/>
        </w:numPr>
        <w:tabs>
          <w:tab w:pos="2380" w:val="left" w:leader="none"/>
          <w:tab w:pos="2381" w:val="left" w:leader="none"/>
        </w:tabs>
        <w:spacing w:line="242" w:lineRule="auto" w:before="123" w:after="0"/>
        <w:ind w:left="2381" w:right="1599" w:hanging="794"/>
        <w:jc w:val="left"/>
        <w:rPr>
          <w:sz w:val="21"/>
        </w:rPr>
      </w:pPr>
      <w:r>
        <w:rPr>
          <w:w w:val="105"/>
          <w:sz w:val="21"/>
        </w:rPr>
        <w:t>As discussed in </w:t>
      </w:r>
      <w:r>
        <w:rPr>
          <w:spacing w:val="-3"/>
          <w:w w:val="105"/>
          <w:sz w:val="21"/>
        </w:rPr>
        <w:t>relation to </w:t>
      </w:r>
      <w:r>
        <w:rPr>
          <w:w w:val="105"/>
          <w:sz w:val="21"/>
        </w:rPr>
        <w:t>section </w:t>
      </w:r>
      <w:r>
        <w:rPr>
          <w:spacing w:val="-8"/>
          <w:w w:val="105"/>
          <w:sz w:val="21"/>
        </w:rPr>
        <w:t>173 </w:t>
      </w:r>
      <w:r>
        <w:rPr>
          <w:w w:val="105"/>
          <w:sz w:val="21"/>
        </w:rPr>
        <w:t>agreements and conservation </w:t>
      </w:r>
      <w:r>
        <w:rPr>
          <w:spacing w:val="-3"/>
          <w:w w:val="105"/>
          <w:sz w:val="21"/>
        </w:rPr>
        <w:t>covenants, </w:t>
      </w:r>
      <w:r>
        <w:rPr>
          <w:w w:val="105"/>
          <w:sz w:val="21"/>
        </w:rPr>
        <w:t>landowners</w:t>
      </w:r>
      <w:r>
        <w:rPr>
          <w:spacing w:val="-11"/>
          <w:w w:val="105"/>
          <w:sz w:val="21"/>
        </w:rPr>
        <w:t> </w:t>
      </w:r>
      <w:r>
        <w:rPr>
          <w:w w:val="105"/>
          <w:sz w:val="21"/>
        </w:rPr>
        <w:t>can</w:t>
      </w:r>
      <w:r>
        <w:rPr>
          <w:spacing w:val="-11"/>
          <w:w w:val="105"/>
          <w:sz w:val="21"/>
        </w:rPr>
        <w:t> </w:t>
      </w:r>
      <w:r>
        <w:rPr>
          <w:w w:val="105"/>
          <w:sz w:val="21"/>
        </w:rPr>
        <w:t>use</w:t>
      </w:r>
      <w:r>
        <w:rPr>
          <w:spacing w:val="-11"/>
          <w:w w:val="105"/>
          <w:sz w:val="21"/>
        </w:rPr>
        <w:t> </w:t>
      </w:r>
      <w:r>
        <w:rPr>
          <w:w w:val="105"/>
          <w:sz w:val="21"/>
        </w:rPr>
        <w:t>section</w:t>
      </w:r>
      <w:r>
        <w:rPr>
          <w:spacing w:val="-11"/>
          <w:w w:val="105"/>
          <w:sz w:val="21"/>
        </w:rPr>
        <w:t> </w:t>
      </w:r>
      <w:r>
        <w:rPr>
          <w:spacing w:val="-3"/>
          <w:w w:val="105"/>
          <w:sz w:val="21"/>
        </w:rPr>
        <w:t>69</w:t>
      </w:r>
      <w:r>
        <w:rPr>
          <w:spacing w:val="-11"/>
          <w:w w:val="105"/>
          <w:sz w:val="21"/>
        </w:rPr>
        <w:t> </w:t>
      </w:r>
      <w:r>
        <w:rPr>
          <w:w w:val="105"/>
          <w:sz w:val="21"/>
        </w:rPr>
        <w:t>agreements</w:t>
      </w:r>
      <w:r>
        <w:rPr>
          <w:spacing w:val="-11"/>
          <w:w w:val="105"/>
          <w:sz w:val="21"/>
        </w:rPr>
        <w:t> </w:t>
      </w:r>
      <w:r>
        <w:rPr>
          <w:w w:val="105"/>
          <w:sz w:val="21"/>
        </w:rPr>
        <w:t>as</w:t>
      </w:r>
      <w:r>
        <w:rPr>
          <w:spacing w:val="-10"/>
          <w:w w:val="105"/>
          <w:sz w:val="21"/>
        </w:rPr>
        <w:t> </w:t>
      </w:r>
      <w:r>
        <w:rPr>
          <w:w w:val="105"/>
          <w:sz w:val="21"/>
        </w:rPr>
        <w:t>an</w:t>
      </w:r>
      <w:r>
        <w:rPr>
          <w:spacing w:val="-11"/>
          <w:w w:val="105"/>
          <w:sz w:val="21"/>
        </w:rPr>
        <w:t> </w:t>
      </w:r>
      <w:r>
        <w:rPr>
          <w:spacing w:val="-3"/>
          <w:w w:val="105"/>
          <w:sz w:val="21"/>
        </w:rPr>
        <w:t>‘on-title</w:t>
      </w:r>
      <w:r>
        <w:rPr>
          <w:spacing w:val="-11"/>
          <w:w w:val="105"/>
          <w:sz w:val="21"/>
        </w:rPr>
        <w:t> </w:t>
      </w:r>
      <w:r>
        <w:rPr>
          <w:w w:val="105"/>
          <w:sz w:val="21"/>
        </w:rPr>
        <w:t>security</w:t>
      </w:r>
      <w:r>
        <w:rPr>
          <w:spacing w:val="-11"/>
          <w:w w:val="105"/>
          <w:sz w:val="21"/>
        </w:rPr>
        <w:t> </w:t>
      </w:r>
      <w:r>
        <w:rPr>
          <w:w w:val="105"/>
          <w:sz w:val="21"/>
        </w:rPr>
        <w:t>agreement’</w:t>
      </w:r>
      <w:r>
        <w:rPr>
          <w:spacing w:val="-11"/>
          <w:w w:val="105"/>
          <w:sz w:val="21"/>
        </w:rPr>
        <w:t> </w:t>
      </w:r>
      <w:r>
        <w:rPr>
          <w:spacing w:val="-3"/>
          <w:w w:val="105"/>
          <w:sz w:val="21"/>
        </w:rPr>
        <w:t>to</w:t>
      </w:r>
      <w:r>
        <w:rPr>
          <w:spacing w:val="-11"/>
          <w:w w:val="105"/>
          <w:sz w:val="21"/>
        </w:rPr>
        <w:t> </w:t>
      </w:r>
      <w:r>
        <w:rPr>
          <w:w w:val="105"/>
          <w:sz w:val="21"/>
        </w:rPr>
        <w:t>establish </w:t>
      </w:r>
      <w:r>
        <w:rPr>
          <w:spacing w:val="-3"/>
          <w:w w:val="105"/>
          <w:sz w:val="21"/>
        </w:rPr>
        <w:t>native </w:t>
      </w:r>
      <w:r>
        <w:rPr>
          <w:w w:val="105"/>
          <w:sz w:val="21"/>
        </w:rPr>
        <w:t>vegetation offset sites.</w:t>
      </w:r>
      <w:r>
        <w:rPr>
          <w:w w:val="105"/>
          <w:position w:val="7"/>
          <w:sz w:val="12"/>
        </w:rPr>
        <w:t>200 </w:t>
      </w:r>
      <w:r>
        <w:rPr>
          <w:w w:val="105"/>
          <w:sz w:val="21"/>
        </w:rPr>
        <w:t>This </w:t>
      </w:r>
      <w:r>
        <w:rPr>
          <w:spacing w:val="-3"/>
          <w:w w:val="105"/>
          <w:sz w:val="21"/>
        </w:rPr>
        <w:t>means that </w:t>
      </w:r>
      <w:r>
        <w:rPr>
          <w:w w:val="105"/>
          <w:sz w:val="21"/>
        </w:rPr>
        <w:t>once the </w:t>
      </w:r>
      <w:r>
        <w:rPr>
          <w:spacing w:val="-2"/>
          <w:w w:val="105"/>
          <w:sz w:val="21"/>
        </w:rPr>
        <w:t>agreement </w:t>
      </w:r>
      <w:r>
        <w:rPr>
          <w:w w:val="105"/>
          <w:sz w:val="21"/>
        </w:rPr>
        <w:t>is signed and </w:t>
      </w:r>
      <w:r>
        <w:rPr>
          <w:spacing w:val="-3"/>
          <w:w w:val="105"/>
          <w:sz w:val="21"/>
        </w:rPr>
        <w:t>registered </w:t>
      </w:r>
      <w:r>
        <w:rPr>
          <w:w w:val="105"/>
          <w:sz w:val="21"/>
        </w:rPr>
        <w:t>on </w:t>
      </w:r>
      <w:r>
        <w:rPr>
          <w:spacing w:val="-3"/>
          <w:w w:val="105"/>
          <w:sz w:val="21"/>
        </w:rPr>
        <w:t>title, native </w:t>
      </w:r>
      <w:r>
        <w:rPr>
          <w:w w:val="105"/>
          <w:sz w:val="21"/>
        </w:rPr>
        <w:t>vegetation credits </w:t>
      </w:r>
      <w:r>
        <w:rPr>
          <w:spacing w:val="-3"/>
          <w:w w:val="105"/>
          <w:sz w:val="21"/>
        </w:rPr>
        <w:t>will </w:t>
      </w:r>
      <w:r>
        <w:rPr>
          <w:w w:val="105"/>
          <w:sz w:val="21"/>
        </w:rPr>
        <w:t>be </w:t>
      </w:r>
      <w:r>
        <w:rPr>
          <w:spacing w:val="-3"/>
          <w:w w:val="105"/>
          <w:sz w:val="21"/>
        </w:rPr>
        <w:t>registered </w:t>
      </w:r>
      <w:r>
        <w:rPr>
          <w:w w:val="105"/>
          <w:sz w:val="21"/>
        </w:rPr>
        <w:t>in the </w:t>
      </w:r>
      <w:r>
        <w:rPr>
          <w:spacing w:val="-3"/>
          <w:w w:val="105"/>
          <w:sz w:val="21"/>
        </w:rPr>
        <w:t>landowner’s </w:t>
      </w:r>
      <w:r>
        <w:rPr>
          <w:w w:val="105"/>
          <w:sz w:val="21"/>
        </w:rPr>
        <w:t>name </w:t>
      </w:r>
      <w:r>
        <w:rPr>
          <w:spacing w:val="-3"/>
          <w:w w:val="105"/>
          <w:sz w:val="21"/>
        </w:rPr>
        <w:t>and, for </w:t>
      </w:r>
      <w:r>
        <w:rPr>
          <w:w w:val="105"/>
          <w:sz w:val="21"/>
        </w:rPr>
        <w:t>section </w:t>
      </w:r>
      <w:r>
        <w:rPr>
          <w:spacing w:val="-3"/>
          <w:w w:val="105"/>
          <w:sz w:val="21"/>
        </w:rPr>
        <w:t>69 </w:t>
      </w:r>
      <w:r>
        <w:rPr>
          <w:w w:val="105"/>
          <w:sz w:val="21"/>
        </w:rPr>
        <w:t>agreements, can be</w:t>
      </w:r>
      <w:r>
        <w:rPr>
          <w:spacing w:val="42"/>
          <w:w w:val="105"/>
          <w:sz w:val="21"/>
        </w:rPr>
        <w:t> </w:t>
      </w:r>
      <w:r>
        <w:rPr>
          <w:w w:val="105"/>
          <w:sz w:val="21"/>
        </w:rPr>
        <w:t>traded.</w:t>
      </w:r>
      <w:r>
        <w:rPr>
          <w:w w:val="105"/>
          <w:position w:val="7"/>
          <w:sz w:val="12"/>
        </w:rPr>
        <w:t>201</w:t>
      </w:r>
    </w:p>
    <w:p>
      <w:pPr>
        <w:pStyle w:val="BodyText"/>
        <w:spacing w:before="8"/>
        <w:rPr>
          <w:sz w:val="17"/>
        </w:rPr>
      </w:pPr>
      <w:r>
        <w:rPr/>
        <w:pict>
          <v:line style="position:absolute;mso-position-horizontal-relative:page;mso-position-vertical-relative:paragraph;z-index:9800;mso-wrap-distance-left:0;mso-wrap-distance-right:0" from="79.370102pt,13.230702pt" to="515.905102pt,13.230702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71"/>
        </w:numPr>
        <w:tabs>
          <w:tab w:pos="2381" w:val="left" w:leader="none"/>
          <w:tab w:pos="2382" w:val="left" w:leader="none"/>
        </w:tabs>
        <w:spacing w:line="240" w:lineRule="auto" w:before="48" w:after="0"/>
        <w:ind w:left="2381" w:right="0" w:hanging="794"/>
        <w:jc w:val="left"/>
        <w:rPr>
          <w:sz w:val="13"/>
        </w:rPr>
      </w:pPr>
      <w:r>
        <w:rPr>
          <w:i/>
          <w:w w:val="105"/>
          <w:sz w:val="13"/>
        </w:rPr>
        <w:t>Victorian</w:t>
      </w:r>
      <w:r>
        <w:rPr>
          <w:i/>
          <w:spacing w:val="4"/>
          <w:w w:val="105"/>
          <w:sz w:val="13"/>
        </w:rPr>
        <w:t> </w:t>
      </w:r>
      <w:r>
        <w:rPr>
          <w:i/>
          <w:w w:val="105"/>
          <w:sz w:val="13"/>
        </w:rPr>
        <w:t>Conservation</w:t>
      </w:r>
      <w:r>
        <w:rPr>
          <w:i/>
          <w:spacing w:val="5"/>
          <w:w w:val="105"/>
          <w:sz w:val="13"/>
        </w:rPr>
        <w:t> </w:t>
      </w:r>
      <w:r>
        <w:rPr>
          <w:i/>
          <w:w w:val="105"/>
          <w:sz w:val="13"/>
        </w:rPr>
        <w:t>Trust</w:t>
      </w:r>
      <w:r>
        <w:rPr>
          <w:i/>
          <w:spacing w:val="5"/>
          <w:w w:val="105"/>
          <w:sz w:val="13"/>
        </w:rPr>
        <w:t> </w:t>
      </w:r>
      <w:r>
        <w:rPr>
          <w:i/>
          <w:w w:val="105"/>
          <w:sz w:val="13"/>
        </w:rPr>
        <w:t>Act</w:t>
      </w:r>
      <w:r>
        <w:rPr>
          <w:i/>
          <w:spacing w:val="5"/>
          <w:w w:val="105"/>
          <w:sz w:val="13"/>
        </w:rPr>
        <w:t> </w:t>
      </w:r>
      <w:r>
        <w:rPr>
          <w:i/>
          <w:spacing w:val="-3"/>
          <w:w w:val="105"/>
          <w:sz w:val="13"/>
        </w:rPr>
        <w:t>1972</w:t>
      </w:r>
      <w:r>
        <w:rPr>
          <w:i/>
          <w:spacing w:val="5"/>
          <w:w w:val="105"/>
          <w:sz w:val="13"/>
        </w:rPr>
        <w:t> </w:t>
      </w:r>
      <w:r>
        <w:rPr>
          <w:spacing w:val="2"/>
          <w:w w:val="105"/>
          <w:sz w:val="13"/>
        </w:rPr>
        <w:t>(Vic)</w:t>
      </w:r>
      <w:r>
        <w:rPr>
          <w:spacing w:val="5"/>
          <w:w w:val="105"/>
          <w:sz w:val="13"/>
        </w:rPr>
        <w:t> </w:t>
      </w:r>
      <w:r>
        <w:rPr>
          <w:w w:val="105"/>
          <w:sz w:val="13"/>
        </w:rPr>
        <w:t>s</w:t>
      </w:r>
      <w:r>
        <w:rPr>
          <w:spacing w:val="5"/>
          <w:w w:val="105"/>
          <w:sz w:val="13"/>
        </w:rPr>
        <w:t> </w:t>
      </w:r>
      <w:r>
        <w:rPr>
          <w:spacing w:val="3"/>
          <w:w w:val="105"/>
          <w:sz w:val="13"/>
        </w:rPr>
        <w:t>3A(3);</w:t>
      </w:r>
      <w:r>
        <w:rPr>
          <w:spacing w:val="5"/>
          <w:w w:val="105"/>
          <w:sz w:val="13"/>
        </w:rPr>
        <w:t> </w:t>
      </w:r>
      <w:r>
        <w:rPr>
          <w:w w:val="105"/>
          <w:sz w:val="13"/>
        </w:rPr>
        <w:t>Trust</w:t>
      </w:r>
      <w:r>
        <w:rPr>
          <w:spacing w:val="4"/>
          <w:w w:val="105"/>
          <w:sz w:val="13"/>
        </w:rPr>
        <w:t> </w:t>
      </w:r>
      <w:r>
        <w:rPr>
          <w:w w:val="105"/>
          <w:sz w:val="13"/>
        </w:rPr>
        <w:t>for</w:t>
      </w:r>
      <w:r>
        <w:rPr>
          <w:spacing w:val="5"/>
          <w:w w:val="105"/>
          <w:sz w:val="13"/>
        </w:rPr>
        <w:t> </w:t>
      </w:r>
      <w:r>
        <w:rPr>
          <w:w w:val="105"/>
          <w:sz w:val="13"/>
        </w:rPr>
        <w:t>Nature,</w:t>
      </w:r>
      <w:r>
        <w:rPr>
          <w:spacing w:val="5"/>
          <w:w w:val="105"/>
          <w:sz w:val="13"/>
        </w:rPr>
        <w:t> </w:t>
      </w:r>
      <w:r>
        <w:rPr>
          <w:i/>
          <w:w w:val="105"/>
          <w:sz w:val="13"/>
        </w:rPr>
        <w:t>What</w:t>
      </w:r>
      <w:r>
        <w:rPr>
          <w:i/>
          <w:spacing w:val="5"/>
          <w:w w:val="105"/>
          <w:sz w:val="13"/>
        </w:rPr>
        <w:t> </w:t>
      </w:r>
      <w:r>
        <w:rPr>
          <w:i/>
          <w:w w:val="105"/>
          <w:sz w:val="13"/>
        </w:rPr>
        <w:t>is</w:t>
      </w:r>
      <w:r>
        <w:rPr>
          <w:i/>
          <w:spacing w:val="5"/>
          <w:w w:val="105"/>
          <w:sz w:val="13"/>
        </w:rPr>
        <w:t> </w:t>
      </w:r>
      <w:r>
        <w:rPr>
          <w:i/>
          <w:w w:val="105"/>
          <w:sz w:val="13"/>
        </w:rPr>
        <w:t>a</w:t>
      </w:r>
      <w:r>
        <w:rPr>
          <w:i/>
          <w:spacing w:val="5"/>
          <w:w w:val="105"/>
          <w:sz w:val="13"/>
        </w:rPr>
        <w:t> </w:t>
      </w:r>
      <w:r>
        <w:rPr>
          <w:i/>
          <w:w w:val="105"/>
          <w:sz w:val="13"/>
        </w:rPr>
        <w:t>Conservation</w:t>
      </w:r>
      <w:r>
        <w:rPr>
          <w:i/>
          <w:spacing w:val="5"/>
          <w:w w:val="105"/>
          <w:sz w:val="13"/>
        </w:rPr>
        <w:t> </w:t>
      </w:r>
      <w:r>
        <w:rPr>
          <w:i/>
          <w:w w:val="105"/>
          <w:sz w:val="13"/>
        </w:rPr>
        <w:t>Covenant?</w:t>
      </w:r>
      <w:r>
        <w:rPr>
          <w:i/>
          <w:spacing w:val="5"/>
          <w:w w:val="105"/>
          <w:sz w:val="13"/>
        </w:rPr>
        <w:t> </w:t>
      </w:r>
      <w:r>
        <w:rPr>
          <w:w w:val="105"/>
          <w:sz w:val="13"/>
        </w:rPr>
        <w:t>(Web</w:t>
      </w:r>
      <w:r>
        <w:rPr>
          <w:spacing w:val="5"/>
          <w:w w:val="105"/>
          <w:sz w:val="13"/>
        </w:rPr>
        <w:t> </w:t>
      </w:r>
      <w:r>
        <w:rPr>
          <w:w w:val="105"/>
          <w:sz w:val="13"/>
        </w:rPr>
        <w:t>Page,</w:t>
      </w:r>
      <w:r>
        <w:rPr>
          <w:spacing w:val="4"/>
          <w:w w:val="105"/>
          <w:sz w:val="13"/>
        </w:rPr>
        <w:t> </w:t>
      </w:r>
      <w:r>
        <w:rPr>
          <w:w w:val="105"/>
          <w:sz w:val="13"/>
        </w:rPr>
        <w:t>(2017)</w:t>
      </w:r>
    </w:p>
    <w:p>
      <w:pPr>
        <w:spacing w:before="1"/>
        <w:ind w:left="2381" w:right="0" w:firstLine="0"/>
        <w:jc w:val="left"/>
        <w:rPr>
          <w:sz w:val="13"/>
        </w:rPr>
      </w:pPr>
      <w:r>
        <w:rPr>
          <w:w w:val="105"/>
          <w:sz w:val="13"/>
        </w:rPr>
        <w:t>&lt;https://</w:t>
      </w:r>
      <w:hyperlink r:id="rId278">
        <w:r>
          <w:rPr>
            <w:w w:val="105"/>
            <w:sz w:val="13"/>
          </w:rPr>
          <w:t>www.trustfornature.org.au/landowner-support</w:t>
        </w:r>
      </w:hyperlink>
      <w:r>
        <w:rPr>
          <w:w w:val="105"/>
          <w:sz w:val="13"/>
        </w:rPr>
        <w:t>&gt;.</w:t>
      </w:r>
    </w:p>
    <w:p>
      <w:pPr>
        <w:pStyle w:val="ListParagraph"/>
        <w:numPr>
          <w:ilvl w:val="0"/>
          <w:numId w:val="171"/>
        </w:numPr>
        <w:tabs>
          <w:tab w:pos="2381" w:val="left" w:leader="none"/>
          <w:tab w:pos="2382" w:val="left" w:leader="none"/>
        </w:tabs>
        <w:spacing w:line="240" w:lineRule="auto" w:before="2" w:after="0"/>
        <w:ind w:left="2381" w:right="0" w:hanging="794"/>
        <w:jc w:val="left"/>
        <w:rPr>
          <w:sz w:val="13"/>
        </w:rPr>
      </w:pPr>
      <w:r>
        <w:rPr>
          <w:w w:val="105"/>
          <w:sz w:val="13"/>
        </w:rPr>
        <w:t>Information</w:t>
      </w:r>
      <w:r>
        <w:rPr>
          <w:spacing w:val="4"/>
          <w:w w:val="105"/>
          <w:sz w:val="13"/>
        </w:rPr>
        <w:t> </w:t>
      </w:r>
      <w:r>
        <w:rPr>
          <w:w w:val="105"/>
          <w:sz w:val="13"/>
        </w:rPr>
        <w:t>provided</w:t>
      </w:r>
      <w:r>
        <w:rPr>
          <w:spacing w:val="4"/>
          <w:w w:val="105"/>
          <w:sz w:val="13"/>
        </w:rPr>
        <w:t> </w:t>
      </w:r>
      <w:r>
        <w:rPr>
          <w:w w:val="105"/>
          <w:sz w:val="13"/>
        </w:rPr>
        <w:t>by</w:t>
      </w:r>
      <w:r>
        <w:rPr>
          <w:spacing w:val="5"/>
          <w:w w:val="105"/>
          <w:sz w:val="13"/>
        </w:rPr>
        <w:t> </w:t>
      </w:r>
      <w:r>
        <w:rPr>
          <w:w w:val="105"/>
          <w:sz w:val="13"/>
        </w:rPr>
        <w:t>the</w:t>
      </w:r>
      <w:r>
        <w:rPr>
          <w:spacing w:val="4"/>
          <w:w w:val="105"/>
          <w:sz w:val="13"/>
        </w:rPr>
        <w:t> </w:t>
      </w:r>
      <w:r>
        <w:rPr>
          <w:w w:val="105"/>
          <w:sz w:val="13"/>
        </w:rPr>
        <w:t>Trust</w:t>
      </w:r>
      <w:r>
        <w:rPr>
          <w:spacing w:val="5"/>
          <w:w w:val="105"/>
          <w:sz w:val="13"/>
        </w:rPr>
        <w:t> </w:t>
      </w:r>
      <w:r>
        <w:rPr>
          <w:w w:val="105"/>
          <w:sz w:val="13"/>
        </w:rPr>
        <w:t>for</w:t>
      </w:r>
      <w:r>
        <w:rPr>
          <w:spacing w:val="4"/>
          <w:w w:val="105"/>
          <w:sz w:val="13"/>
        </w:rPr>
        <w:t> </w:t>
      </w:r>
      <w:r>
        <w:rPr>
          <w:w w:val="105"/>
          <w:sz w:val="13"/>
        </w:rPr>
        <w:t>Nature</w:t>
      </w:r>
      <w:r>
        <w:rPr>
          <w:spacing w:val="5"/>
          <w:w w:val="105"/>
          <w:sz w:val="13"/>
        </w:rPr>
        <w:t> </w:t>
      </w:r>
      <w:r>
        <w:rPr>
          <w:w w:val="105"/>
          <w:sz w:val="13"/>
        </w:rPr>
        <w:t>to</w:t>
      </w:r>
      <w:r>
        <w:rPr>
          <w:spacing w:val="4"/>
          <w:w w:val="105"/>
          <w:sz w:val="13"/>
        </w:rPr>
        <w:t> </w:t>
      </w:r>
      <w:r>
        <w:rPr>
          <w:w w:val="105"/>
          <w:sz w:val="13"/>
        </w:rPr>
        <w:t>the</w:t>
      </w:r>
      <w:r>
        <w:rPr>
          <w:spacing w:val="5"/>
          <w:w w:val="105"/>
          <w:sz w:val="13"/>
        </w:rPr>
        <w:t> </w:t>
      </w:r>
      <w:r>
        <w:rPr>
          <w:w w:val="105"/>
          <w:sz w:val="13"/>
        </w:rPr>
        <w:t>Commission,</w:t>
      </w:r>
      <w:r>
        <w:rPr>
          <w:spacing w:val="4"/>
          <w:w w:val="105"/>
          <w:sz w:val="13"/>
        </w:rPr>
        <w:t> </w:t>
      </w:r>
      <w:r>
        <w:rPr>
          <w:w w:val="105"/>
          <w:sz w:val="13"/>
        </w:rPr>
        <w:t>March</w:t>
      </w:r>
      <w:r>
        <w:rPr>
          <w:spacing w:val="5"/>
          <w:w w:val="105"/>
          <w:sz w:val="13"/>
        </w:rPr>
        <w:t> </w:t>
      </w:r>
      <w:r>
        <w:rPr>
          <w:w w:val="105"/>
          <w:sz w:val="13"/>
        </w:rPr>
        <w:t>2019.</w:t>
      </w:r>
    </w:p>
    <w:p>
      <w:pPr>
        <w:pStyle w:val="ListParagraph"/>
        <w:numPr>
          <w:ilvl w:val="0"/>
          <w:numId w:val="171"/>
        </w:numPr>
        <w:tabs>
          <w:tab w:pos="2381" w:val="left" w:leader="none"/>
          <w:tab w:pos="2382" w:val="left" w:leader="none"/>
        </w:tabs>
        <w:spacing w:line="240" w:lineRule="auto" w:before="1" w:after="0"/>
        <w:ind w:left="2381" w:right="236" w:hanging="794"/>
        <w:jc w:val="left"/>
        <w:rPr>
          <w:sz w:val="13"/>
        </w:rPr>
      </w:pPr>
      <w:r>
        <w:rPr>
          <w:w w:val="105"/>
          <w:sz w:val="13"/>
        </w:rPr>
        <w:t>See further Department of Environment, Land, Water and Planning </w:t>
      </w:r>
      <w:r>
        <w:rPr>
          <w:spacing w:val="2"/>
          <w:w w:val="105"/>
          <w:sz w:val="13"/>
        </w:rPr>
        <w:t>(Vic), </w:t>
      </w:r>
      <w:r>
        <w:rPr>
          <w:i/>
          <w:w w:val="105"/>
          <w:sz w:val="13"/>
        </w:rPr>
        <w:t>I </w:t>
      </w:r>
      <w:r>
        <w:rPr>
          <w:i/>
          <w:spacing w:val="2"/>
          <w:w w:val="105"/>
          <w:sz w:val="13"/>
        </w:rPr>
        <w:t>Need </w:t>
      </w:r>
      <w:r>
        <w:rPr>
          <w:i/>
          <w:w w:val="105"/>
          <w:sz w:val="13"/>
        </w:rPr>
        <w:t>to Secure an </w:t>
      </w:r>
      <w:r>
        <w:rPr>
          <w:i/>
          <w:spacing w:val="2"/>
          <w:w w:val="105"/>
          <w:sz w:val="13"/>
        </w:rPr>
        <w:t>Offset </w:t>
      </w:r>
      <w:r>
        <w:rPr>
          <w:w w:val="105"/>
          <w:sz w:val="13"/>
        </w:rPr>
        <w:t>(Web Page, 2019) </w:t>
      </w:r>
      <w:r>
        <w:rPr>
          <w:spacing w:val="3"/>
          <w:w w:val="105"/>
          <w:sz w:val="13"/>
        </w:rPr>
        <w:t>&lt;https://</w:t>
      </w:r>
      <w:hyperlink r:id="rId279">
        <w:r>
          <w:rPr>
            <w:spacing w:val="3"/>
            <w:w w:val="105"/>
            <w:sz w:val="13"/>
          </w:rPr>
          <w:t>www.</w:t>
        </w:r>
      </w:hyperlink>
      <w:r>
        <w:rPr>
          <w:spacing w:val="3"/>
          <w:w w:val="105"/>
          <w:sz w:val="13"/>
        </w:rPr>
        <w:t> </w:t>
      </w:r>
      <w:r>
        <w:rPr>
          <w:w w:val="105"/>
          <w:sz w:val="13"/>
        </w:rPr>
        <w:t>environment.vic.gov.au/native-vegetation/native-vegetation/offsets-for-the-removal-of-native-vegetation/i-need-to-secure-an-offset&gt;.</w:t>
      </w:r>
    </w:p>
    <w:p>
      <w:pPr>
        <w:pStyle w:val="ListParagraph"/>
        <w:numPr>
          <w:ilvl w:val="0"/>
          <w:numId w:val="171"/>
        </w:numPr>
        <w:tabs>
          <w:tab w:pos="2381" w:val="left" w:leader="none"/>
          <w:tab w:pos="2382" w:val="left" w:leader="none"/>
        </w:tabs>
        <w:spacing w:line="240" w:lineRule="auto" w:before="3" w:after="0"/>
        <w:ind w:left="2381" w:right="133" w:hanging="794"/>
        <w:jc w:val="left"/>
        <w:rPr>
          <w:sz w:val="13"/>
        </w:rPr>
      </w:pPr>
      <w:r>
        <w:rPr>
          <w:sz w:val="13"/>
        </w:rPr>
        <w:t>Department of Environment, Land, Water and Planning </w:t>
      </w:r>
      <w:r>
        <w:rPr>
          <w:spacing w:val="2"/>
          <w:sz w:val="13"/>
        </w:rPr>
        <w:t>(Vic), </w:t>
      </w:r>
      <w:r>
        <w:rPr>
          <w:i/>
          <w:sz w:val="13"/>
        </w:rPr>
        <w:t>Native  Vegetation  Credit  Register:  Process  to  Establish  a  Native  Vegetation </w:t>
      </w:r>
      <w:r>
        <w:rPr>
          <w:i/>
          <w:sz w:val="13"/>
        </w:rPr>
        <w:t>Credit Site on Private Land </w:t>
      </w:r>
      <w:r>
        <w:rPr>
          <w:sz w:val="13"/>
        </w:rPr>
        <w:t>(Register) &lt;https://</w:t>
      </w:r>
      <w:hyperlink r:id="rId264">
        <w:r>
          <w:rPr>
            <w:sz w:val="13"/>
          </w:rPr>
          <w:t>www.environment.vic.gov.au/native-vegetation/native-vegetation/offsets-for-the-removal-</w:t>
        </w:r>
      </w:hyperlink>
      <w:r>
        <w:rPr>
          <w:sz w:val="13"/>
        </w:rPr>
        <w:t> of-native-vegetation/i-want-to-establish-a-native-vegetation-credit-site&gt;.</w:t>
      </w:r>
    </w:p>
    <w:p>
      <w:pPr>
        <w:pStyle w:val="ListParagraph"/>
        <w:numPr>
          <w:ilvl w:val="0"/>
          <w:numId w:val="171"/>
        </w:numPr>
        <w:tabs>
          <w:tab w:pos="2381" w:val="left" w:leader="none"/>
          <w:tab w:pos="2382" w:val="left" w:leader="none"/>
        </w:tabs>
        <w:spacing w:line="240" w:lineRule="auto" w:before="4" w:after="0"/>
        <w:ind w:left="2381" w:right="0" w:hanging="794"/>
        <w:jc w:val="left"/>
        <w:rPr>
          <w:sz w:val="13"/>
        </w:rPr>
      </w:pPr>
      <w:r>
        <w:rPr>
          <w:w w:val="105"/>
          <w:sz w:val="13"/>
        </w:rPr>
        <w:t>‘Relevant law’ means the </w:t>
      </w:r>
      <w:r>
        <w:rPr>
          <w:i/>
          <w:w w:val="105"/>
          <w:sz w:val="13"/>
        </w:rPr>
        <w:t>Conservation, </w:t>
      </w:r>
      <w:r>
        <w:rPr>
          <w:i/>
          <w:spacing w:val="2"/>
          <w:w w:val="105"/>
          <w:sz w:val="13"/>
        </w:rPr>
        <w:t>Forests </w:t>
      </w:r>
      <w:r>
        <w:rPr>
          <w:i/>
          <w:w w:val="105"/>
          <w:sz w:val="13"/>
        </w:rPr>
        <w:t>and Lands Act 1987 </w:t>
      </w:r>
      <w:r>
        <w:rPr>
          <w:spacing w:val="2"/>
          <w:w w:val="105"/>
          <w:sz w:val="13"/>
        </w:rPr>
        <w:t>(Vic), </w:t>
      </w:r>
      <w:r>
        <w:rPr>
          <w:w w:val="105"/>
          <w:sz w:val="13"/>
        </w:rPr>
        <w:t>the Regulations, an Act specified in schedule </w:t>
      </w:r>
      <w:r>
        <w:rPr>
          <w:spacing w:val="-3"/>
          <w:w w:val="105"/>
          <w:sz w:val="13"/>
        </w:rPr>
        <w:t>1, </w:t>
      </w:r>
      <w:r>
        <w:rPr>
          <w:w w:val="105"/>
          <w:sz w:val="13"/>
        </w:rPr>
        <w:t>the Regulations under an Act specified in schedule </w:t>
      </w:r>
      <w:r>
        <w:rPr>
          <w:spacing w:val="-3"/>
          <w:w w:val="105"/>
          <w:sz w:val="13"/>
        </w:rPr>
        <w:t>1, </w:t>
      </w:r>
      <w:r>
        <w:rPr>
          <w:w w:val="105"/>
          <w:sz w:val="13"/>
        </w:rPr>
        <w:t>and in part 9 (except sections 89, 97 and </w:t>
      </w:r>
      <w:r>
        <w:rPr>
          <w:spacing w:val="3"/>
          <w:w w:val="105"/>
          <w:sz w:val="13"/>
        </w:rPr>
        <w:t>98) </w:t>
      </w:r>
      <w:r>
        <w:rPr>
          <w:w w:val="105"/>
          <w:sz w:val="13"/>
        </w:rPr>
        <w:t>includes an Act specified in schedule 1A and Regulations under any such</w:t>
      </w:r>
      <w:r>
        <w:rPr>
          <w:spacing w:val="13"/>
          <w:w w:val="105"/>
          <w:sz w:val="13"/>
        </w:rPr>
        <w:t> </w:t>
      </w:r>
      <w:r>
        <w:rPr>
          <w:w w:val="105"/>
          <w:sz w:val="13"/>
        </w:rPr>
        <w:t>Act.</w:t>
      </w:r>
    </w:p>
    <w:p>
      <w:pPr>
        <w:pStyle w:val="ListParagraph"/>
        <w:numPr>
          <w:ilvl w:val="0"/>
          <w:numId w:val="171"/>
        </w:numPr>
        <w:tabs>
          <w:tab w:pos="2381" w:val="left" w:leader="none"/>
          <w:tab w:pos="2382" w:val="left" w:leader="none"/>
        </w:tabs>
        <w:spacing w:line="240" w:lineRule="auto" w:before="4" w:after="0"/>
        <w:ind w:left="2381" w:right="0" w:hanging="794"/>
        <w:jc w:val="left"/>
        <w:rPr>
          <w:sz w:val="13"/>
        </w:rPr>
      </w:pPr>
      <w:r>
        <w:rPr>
          <w:i/>
          <w:w w:val="105"/>
          <w:sz w:val="13"/>
        </w:rPr>
        <w:t>Conservation, </w:t>
      </w:r>
      <w:r>
        <w:rPr>
          <w:i/>
          <w:spacing w:val="2"/>
          <w:w w:val="105"/>
          <w:sz w:val="13"/>
        </w:rPr>
        <w:t>Forests </w:t>
      </w:r>
      <w:r>
        <w:rPr>
          <w:i/>
          <w:w w:val="105"/>
          <w:sz w:val="13"/>
        </w:rPr>
        <w:t>and Lands Act 1987 </w:t>
      </w:r>
      <w:r>
        <w:rPr>
          <w:spacing w:val="2"/>
          <w:w w:val="105"/>
          <w:sz w:val="13"/>
        </w:rPr>
        <w:t>(Vic) </w:t>
      </w:r>
      <w:r>
        <w:rPr>
          <w:w w:val="105"/>
          <w:sz w:val="13"/>
        </w:rPr>
        <w:t>s</w:t>
      </w:r>
      <w:r>
        <w:rPr>
          <w:spacing w:val="2"/>
          <w:w w:val="105"/>
          <w:sz w:val="13"/>
        </w:rPr>
        <w:t> </w:t>
      </w:r>
      <w:r>
        <w:rPr>
          <w:w w:val="105"/>
          <w:sz w:val="13"/>
        </w:rPr>
        <w:t>69(1).</w:t>
      </w:r>
    </w:p>
    <w:p>
      <w:pPr>
        <w:pStyle w:val="ListParagraph"/>
        <w:numPr>
          <w:ilvl w:val="0"/>
          <w:numId w:val="171"/>
        </w:numPr>
        <w:tabs>
          <w:tab w:pos="2381" w:val="left" w:leader="none"/>
          <w:tab w:pos="2382" w:val="left" w:leader="none"/>
        </w:tabs>
        <w:spacing w:line="240" w:lineRule="auto" w:before="1" w:after="0"/>
        <w:ind w:left="2381" w:right="0" w:hanging="794"/>
        <w:jc w:val="left"/>
        <w:rPr>
          <w:sz w:val="13"/>
        </w:rPr>
      </w:pPr>
      <w:r>
        <w:rPr>
          <w:sz w:val="13"/>
        </w:rPr>
        <w:t>Ibid  s</w:t>
      </w:r>
      <w:r>
        <w:rPr>
          <w:spacing w:val="6"/>
          <w:sz w:val="13"/>
        </w:rPr>
        <w:t> </w:t>
      </w:r>
      <w:r>
        <w:rPr>
          <w:sz w:val="13"/>
        </w:rPr>
        <w:t>72.</w:t>
      </w:r>
    </w:p>
    <w:p>
      <w:pPr>
        <w:pStyle w:val="ListParagraph"/>
        <w:numPr>
          <w:ilvl w:val="0"/>
          <w:numId w:val="171"/>
        </w:numPr>
        <w:tabs>
          <w:tab w:pos="2381" w:val="left" w:leader="none"/>
          <w:tab w:pos="2382" w:val="left" w:leader="none"/>
        </w:tabs>
        <w:spacing w:line="240" w:lineRule="auto" w:before="1" w:after="0"/>
        <w:ind w:left="2381" w:right="0" w:hanging="794"/>
        <w:jc w:val="left"/>
        <w:rPr>
          <w:sz w:val="13"/>
        </w:rPr>
      </w:pPr>
      <w:r>
        <w:rPr>
          <w:sz w:val="13"/>
        </w:rPr>
        <w:t>Ibid  s</w:t>
      </w:r>
      <w:r>
        <w:rPr>
          <w:spacing w:val="6"/>
          <w:sz w:val="13"/>
        </w:rPr>
        <w:t> </w:t>
      </w:r>
      <w:r>
        <w:rPr>
          <w:sz w:val="13"/>
        </w:rPr>
        <w:t>72.</w:t>
      </w:r>
    </w:p>
    <w:p>
      <w:pPr>
        <w:tabs>
          <w:tab w:pos="2381" w:val="left" w:leader="none"/>
        </w:tabs>
        <w:spacing w:before="2"/>
        <w:ind w:left="1587" w:right="0" w:firstLine="0"/>
        <w:jc w:val="left"/>
        <w:rPr>
          <w:sz w:val="13"/>
        </w:rPr>
      </w:pPr>
      <w:r>
        <w:rPr>
          <w:w w:val="105"/>
          <w:sz w:val="13"/>
        </w:rPr>
        <w:t>197</w:t>
        <w:tab/>
        <w:t>Ibid s</w:t>
      </w:r>
      <w:r>
        <w:rPr>
          <w:spacing w:val="9"/>
          <w:w w:val="105"/>
          <w:sz w:val="13"/>
        </w:rPr>
        <w:t> </w:t>
      </w:r>
      <w:r>
        <w:rPr>
          <w:spacing w:val="3"/>
          <w:w w:val="105"/>
          <w:sz w:val="13"/>
        </w:rPr>
        <w:t>69(3).</w:t>
      </w:r>
    </w:p>
    <w:p>
      <w:pPr>
        <w:tabs>
          <w:tab w:pos="2381" w:val="left" w:leader="none"/>
        </w:tabs>
        <w:spacing w:before="1"/>
        <w:ind w:left="1587" w:right="0" w:firstLine="0"/>
        <w:jc w:val="left"/>
        <w:rPr>
          <w:sz w:val="13"/>
        </w:rPr>
      </w:pPr>
      <w:r>
        <w:rPr>
          <w:sz w:val="13"/>
        </w:rPr>
        <w:t>198</w:t>
        <w:tab/>
        <w:t>Ibid s</w:t>
      </w:r>
      <w:r>
        <w:rPr>
          <w:spacing w:val="12"/>
          <w:sz w:val="13"/>
        </w:rPr>
        <w:t> </w:t>
      </w:r>
      <w:r>
        <w:rPr>
          <w:spacing w:val="2"/>
          <w:sz w:val="13"/>
        </w:rPr>
        <w:t>70(1)(ma).</w:t>
      </w:r>
    </w:p>
    <w:p>
      <w:pPr>
        <w:pStyle w:val="ListParagraph"/>
        <w:numPr>
          <w:ilvl w:val="0"/>
          <w:numId w:val="172"/>
        </w:numPr>
        <w:tabs>
          <w:tab w:pos="2381" w:val="left" w:leader="none"/>
          <w:tab w:pos="2382" w:val="left" w:leader="none"/>
        </w:tabs>
        <w:spacing w:line="240" w:lineRule="auto" w:before="1" w:after="0"/>
        <w:ind w:left="2381" w:right="512" w:hanging="794"/>
        <w:jc w:val="left"/>
        <w:rPr>
          <w:sz w:val="13"/>
        </w:rPr>
      </w:pPr>
      <w:r>
        <w:rPr>
          <w:w w:val="105"/>
          <w:sz w:val="13"/>
        </w:rPr>
        <w:t>Ibid s </w:t>
      </w:r>
      <w:r>
        <w:rPr>
          <w:spacing w:val="3"/>
          <w:w w:val="105"/>
          <w:sz w:val="13"/>
        </w:rPr>
        <w:t>68; </w:t>
      </w:r>
      <w:r>
        <w:rPr>
          <w:w w:val="105"/>
          <w:sz w:val="13"/>
        </w:rPr>
        <w:t>Department of Environment and Primary Industries </w:t>
      </w:r>
      <w:r>
        <w:rPr>
          <w:spacing w:val="2"/>
          <w:w w:val="105"/>
          <w:sz w:val="13"/>
        </w:rPr>
        <w:t>(Vic), </w:t>
      </w:r>
      <w:r>
        <w:rPr>
          <w:i/>
          <w:w w:val="105"/>
          <w:sz w:val="13"/>
        </w:rPr>
        <w:t>Land Protection Under the Biodiversity Conservation Strategy— </w:t>
      </w:r>
      <w:r>
        <w:rPr>
          <w:i/>
          <w:w w:val="105"/>
          <w:sz w:val="13"/>
        </w:rPr>
        <w:t>Melbourne Strategic Assessment </w:t>
      </w:r>
      <w:r>
        <w:rPr>
          <w:spacing w:val="2"/>
          <w:w w:val="105"/>
          <w:sz w:val="13"/>
        </w:rPr>
        <w:t>(Report, </w:t>
      </w:r>
      <w:r>
        <w:rPr>
          <w:w w:val="105"/>
          <w:sz w:val="13"/>
        </w:rPr>
        <w:t>May 2014)</w:t>
      </w:r>
      <w:r>
        <w:rPr>
          <w:spacing w:val="26"/>
          <w:w w:val="105"/>
          <w:sz w:val="13"/>
        </w:rPr>
        <w:t> </w:t>
      </w:r>
      <w:r>
        <w:rPr>
          <w:w w:val="105"/>
          <w:sz w:val="13"/>
        </w:rPr>
        <w:t>4.</w:t>
      </w:r>
    </w:p>
    <w:p>
      <w:pPr>
        <w:pStyle w:val="ListParagraph"/>
        <w:numPr>
          <w:ilvl w:val="0"/>
          <w:numId w:val="172"/>
        </w:numPr>
        <w:tabs>
          <w:tab w:pos="2381" w:val="left" w:leader="none"/>
          <w:tab w:pos="2382" w:val="left" w:leader="none"/>
        </w:tabs>
        <w:spacing w:line="240" w:lineRule="auto" w:before="3" w:after="0"/>
        <w:ind w:left="2381" w:right="0" w:hanging="794"/>
        <w:jc w:val="left"/>
        <w:rPr>
          <w:sz w:val="13"/>
        </w:rPr>
      </w:pPr>
      <w:r>
        <w:rPr>
          <w:w w:val="105"/>
          <w:sz w:val="13"/>
        </w:rPr>
        <w:t>Serer</w:t>
      </w:r>
      <w:r>
        <w:rPr>
          <w:spacing w:val="4"/>
          <w:w w:val="105"/>
          <w:sz w:val="13"/>
        </w:rPr>
        <w:t> </w:t>
      </w:r>
      <w:r>
        <w:rPr>
          <w:w w:val="105"/>
          <w:sz w:val="13"/>
        </w:rPr>
        <w:t>further</w:t>
      </w:r>
      <w:r>
        <w:rPr>
          <w:spacing w:val="5"/>
          <w:w w:val="105"/>
          <w:sz w:val="13"/>
        </w:rPr>
        <w:t> </w:t>
      </w: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I</w:t>
      </w:r>
      <w:r>
        <w:rPr>
          <w:i/>
          <w:spacing w:val="5"/>
          <w:w w:val="105"/>
          <w:sz w:val="13"/>
        </w:rPr>
        <w:t> </w:t>
      </w:r>
      <w:r>
        <w:rPr>
          <w:i/>
          <w:spacing w:val="2"/>
          <w:w w:val="105"/>
          <w:sz w:val="13"/>
        </w:rPr>
        <w:t>Need</w:t>
      </w:r>
      <w:r>
        <w:rPr>
          <w:i/>
          <w:spacing w:val="5"/>
          <w:w w:val="105"/>
          <w:sz w:val="13"/>
        </w:rPr>
        <w:t> </w:t>
      </w:r>
      <w:r>
        <w:rPr>
          <w:i/>
          <w:w w:val="105"/>
          <w:sz w:val="13"/>
        </w:rPr>
        <w:t>to</w:t>
      </w:r>
      <w:r>
        <w:rPr>
          <w:i/>
          <w:spacing w:val="5"/>
          <w:w w:val="105"/>
          <w:sz w:val="13"/>
        </w:rPr>
        <w:t> </w:t>
      </w:r>
      <w:r>
        <w:rPr>
          <w:i/>
          <w:w w:val="105"/>
          <w:sz w:val="13"/>
        </w:rPr>
        <w:t>Secure</w:t>
      </w:r>
      <w:r>
        <w:rPr>
          <w:i/>
          <w:spacing w:val="5"/>
          <w:w w:val="105"/>
          <w:sz w:val="13"/>
        </w:rPr>
        <w:t> </w:t>
      </w:r>
      <w:r>
        <w:rPr>
          <w:i/>
          <w:w w:val="105"/>
          <w:sz w:val="13"/>
        </w:rPr>
        <w:t>an</w:t>
      </w:r>
      <w:r>
        <w:rPr>
          <w:i/>
          <w:spacing w:val="5"/>
          <w:w w:val="105"/>
          <w:sz w:val="13"/>
        </w:rPr>
        <w:t> </w:t>
      </w:r>
      <w:r>
        <w:rPr>
          <w:i/>
          <w:spacing w:val="2"/>
          <w:w w:val="105"/>
          <w:sz w:val="13"/>
        </w:rPr>
        <w:t>Offset</w:t>
      </w:r>
      <w:r>
        <w:rPr>
          <w:i/>
          <w:spacing w:val="5"/>
          <w:w w:val="105"/>
          <w:sz w:val="13"/>
        </w:rPr>
        <w:t> </w:t>
      </w:r>
      <w:r>
        <w:rPr>
          <w:w w:val="105"/>
          <w:sz w:val="13"/>
        </w:rPr>
        <w:t>(Web</w:t>
      </w:r>
      <w:r>
        <w:rPr>
          <w:spacing w:val="4"/>
          <w:w w:val="105"/>
          <w:sz w:val="13"/>
        </w:rPr>
        <w:t> </w:t>
      </w:r>
      <w:r>
        <w:rPr>
          <w:w w:val="105"/>
          <w:sz w:val="13"/>
        </w:rPr>
        <w:t>Page,</w:t>
      </w:r>
      <w:r>
        <w:rPr>
          <w:spacing w:val="5"/>
          <w:w w:val="105"/>
          <w:sz w:val="13"/>
        </w:rPr>
        <w:t> </w:t>
      </w:r>
      <w:r>
        <w:rPr>
          <w:w w:val="105"/>
          <w:sz w:val="13"/>
        </w:rPr>
        <w:t>2019)</w:t>
      </w:r>
    </w:p>
    <w:p>
      <w:pPr>
        <w:spacing w:before="1"/>
        <w:ind w:left="2381" w:right="1018" w:firstLine="0"/>
        <w:jc w:val="left"/>
        <w:rPr>
          <w:sz w:val="13"/>
        </w:rPr>
      </w:pPr>
      <w:r>
        <w:rPr>
          <w:sz w:val="13"/>
        </w:rPr>
        <w:t>&lt;https://</w:t>
      </w:r>
      <w:hyperlink r:id="rId280">
        <w:r>
          <w:rPr>
            <w:sz w:val="13"/>
          </w:rPr>
          <w:t>www.environment.vic.gov.au/native-vegetation/native-vegetation/offsets-for-the-removal-of-native-vegetation/</w:t>
        </w:r>
      </w:hyperlink>
      <w:r>
        <w:rPr>
          <w:sz w:val="13"/>
        </w:rPr>
        <w:t> </w:t>
      </w:r>
      <w:r>
        <w:rPr>
          <w:w w:val="105"/>
          <w:sz w:val="13"/>
        </w:rPr>
        <w:t>i-need-to-secure-an-offset&gt;.</w:t>
      </w:r>
    </w:p>
    <w:p>
      <w:pPr>
        <w:pStyle w:val="ListParagraph"/>
        <w:numPr>
          <w:ilvl w:val="0"/>
          <w:numId w:val="172"/>
        </w:numPr>
        <w:tabs>
          <w:tab w:pos="2381" w:val="left" w:leader="none"/>
          <w:tab w:pos="2382" w:val="left" w:leader="none"/>
        </w:tabs>
        <w:spacing w:line="240" w:lineRule="auto" w:before="3" w:after="0"/>
        <w:ind w:left="2381" w:right="133" w:hanging="794"/>
        <w:jc w:val="left"/>
        <w:rPr>
          <w:sz w:val="13"/>
        </w:rPr>
      </w:pPr>
      <w:r>
        <w:rPr>
          <w:sz w:val="13"/>
        </w:rPr>
        <w:t>Department of Environment, Land, Water and Planning </w:t>
      </w:r>
      <w:r>
        <w:rPr>
          <w:spacing w:val="2"/>
          <w:sz w:val="13"/>
        </w:rPr>
        <w:t>(Vic), </w:t>
      </w:r>
      <w:r>
        <w:rPr>
          <w:i/>
          <w:sz w:val="13"/>
        </w:rPr>
        <w:t>Native  Vegetation  Credit  Register:  Process  to  Establish  a  Native  Vegetation </w:t>
      </w:r>
      <w:r>
        <w:rPr>
          <w:i/>
          <w:sz w:val="13"/>
        </w:rPr>
        <w:t>Credit Site on Private Land </w:t>
      </w:r>
      <w:r>
        <w:rPr>
          <w:sz w:val="13"/>
        </w:rPr>
        <w:t>(Register) &lt;https://</w:t>
      </w:r>
      <w:hyperlink r:id="rId264">
        <w:r>
          <w:rPr>
            <w:sz w:val="13"/>
          </w:rPr>
          <w:t>www.environment.vic.gov.au/native-vegetation/native-vegetation/offsets-for-the-removal-</w:t>
        </w:r>
      </w:hyperlink>
      <w:r>
        <w:rPr>
          <w:sz w:val="13"/>
        </w:rPr>
        <w:t> of-native-vegetation/i-want-to-establish-a-native-vegetation-credit-site&gt;.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05"/>
        <w:ind w:left="554" w:right="573" w:firstLine="0"/>
        <w:jc w:val="center"/>
        <w:rPr>
          <w:b/>
          <w:sz w:val="24"/>
        </w:rPr>
      </w:pPr>
      <w:r>
        <w:rPr>
          <w:b/>
          <w:color w:val="658464"/>
          <w:w w:val="110"/>
          <w:sz w:val="24"/>
        </w:rPr>
        <w:t>235</w:t>
      </w:r>
    </w:p>
    <w:p>
      <w:pPr>
        <w:spacing w:after="0"/>
        <w:jc w:val="center"/>
        <w:rPr>
          <w:sz w:val="24"/>
        </w:rPr>
        <w:sectPr>
          <w:type w:val="continuous"/>
          <w:pgSz w:w="11910" w:h="16840"/>
          <w:pgMar w:top="300" w:bottom="280" w:left="0" w:right="0"/>
          <w:cols w:num="2" w:equalWidth="0">
            <w:col w:w="10298" w:space="40"/>
            <w:col w:w="1572"/>
          </w:cols>
        </w:sectPr>
      </w:pPr>
    </w:p>
    <w:p>
      <w:pPr>
        <w:pStyle w:val="BodyText"/>
        <w:spacing w:before="9"/>
        <w:rPr>
          <w:b/>
          <w:sz w:val="22"/>
        </w:rPr>
      </w:pPr>
    </w:p>
    <w:p>
      <w:pPr>
        <w:pStyle w:val="ListParagraph"/>
        <w:numPr>
          <w:ilvl w:val="1"/>
          <w:numId w:val="16"/>
        </w:numPr>
        <w:tabs>
          <w:tab w:pos="2382" w:val="left" w:leader="none"/>
        </w:tabs>
        <w:spacing w:line="242" w:lineRule="auto" w:before="92" w:after="0"/>
        <w:ind w:left="2381" w:right="1673" w:hanging="794"/>
        <w:jc w:val="left"/>
        <w:rPr>
          <w:sz w:val="21"/>
        </w:rPr>
      </w:pPr>
      <w:bookmarkStart w:name="_bookmark129" w:id="276"/>
      <w:bookmarkEnd w:id="276"/>
      <w:r>
        <w:rPr/>
      </w:r>
      <w:bookmarkStart w:name="_bookmark129" w:id="277"/>
      <w:bookmarkEnd w:id="277"/>
      <w:r>
        <w:rPr>
          <w:w w:val="105"/>
          <w:sz w:val="21"/>
        </w:rPr>
        <w:t>A</w:t>
      </w:r>
      <w:r>
        <w:rPr>
          <w:w w:val="105"/>
          <w:sz w:val="21"/>
        </w:rPr>
        <w:t>n</w:t>
      </w:r>
      <w:r>
        <w:rPr>
          <w:spacing w:val="-4"/>
          <w:w w:val="105"/>
          <w:sz w:val="21"/>
        </w:rPr>
        <w:t> </w:t>
      </w:r>
      <w:r>
        <w:rPr>
          <w:spacing w:val="-2"/>
          <w:w w:val="105"/>
          <w:sz w:val="21"/>
        </w:rPr>
        <w:t>agreement</w:t>
      </w:r>
      <w:r>
        <w:rPr>
          <w:spacing w:val="-3"/>
          <w:w w:val="105"/>
          <w:sz w:val="21"/>
        </w:rPr>
        <w:t> may</w:t>
      </w:r>
      <w:r>
        <w:rPr>
          <w:spacing w:val="-4"/>
          <w:w w:val="105"/>
          <w:sz w:val="21"/>
        </w:rPr>
        <w:t> </w:t>
      </w:r>
      <w:r>
        <w:rPr>
          <w:w w:val="105"/>
          <w:sz w:val="21"/>
        </w:rPr>
        <w:t>be</w:t>
      </w:r>
      <w:r>
        <w:rPr>
          <w:spacing w:val="-3"/>
          <w:w w:val="105"/>
          <w:sz w:val="21"/>
        </w:rPr>
        <w:t> </w:t>
      </w:r>
      <w:r>
        <w:rPr>
          <w:w w:val="105"/>
          <w:sz w:val="21"/>
        </w:rPr>
        <w:t>varied</w:t>
      </w:r>
      <w:r>
        <w:rPr>
          <w:spacing w:val="-3"/>
          <w:w w:val="105"/>
          <w:sz w:val="21"/>
        </w:rPr>
        <w:t> </w:t>
      </w:r>
      <w:r>
        <w:rPr>
          <w:w w:val="105"/>
          <w:sz w:val="21"/>
        </w:rPr>
        <w:t>or</w:t>
      </w:r>
      <w:r>
        <w:rPr>
          <w:spacing w:val="-4"/>
          <w:w w:val="105"/>
          <w:sz w:val="21"/>
        </w:rPr>
        <w:t> </w:t>
      </w:r>
      <w:r>
        <w:rPr>
          <w:spacing w:val="-3"/>
          <w:w w:val="105"/>
          <w:sz w:val="21"/>
        </w:rPr>
        <w:t>terminated </w:t>
      </w:r>
      <w:r>
        <w:rPr>
          <w:w w:val="105"/>
          <w:sz w:val="21"/>
        </w:rPr>
        <w:t>in</w:t>
      </w:r>
      <w:r>
        <w:rPr>
          <w:spacing w:val="-4"/>
          <w:w w:val="105"/>
          <w:sz w:val="21"/>
        </w:rPr>
        <w:t> </w:t>
      </w:r>
      <w:r>
        <w:rPr>
          <w:w w:val="105"/>
          <w:sz w:val="21"/>
        </w:rPr>
        <w:t>a</w:t>
      </w:r>
      <w:r>
        <w:rPr>
          <w:spacing w:val="-3"/>
          <w:w w:val="105"/>
          <w:sz w:val="21"/>
        </w:rPr>
        <w:t> </w:t>
      </w:r>
      <w:r>
        <w:rPr>
          <w:w w:val="105"/>
          <w:sz w:val="21"/>
        </w:rPr>
        <w:t>number</w:t>
      </w:r>
      <w:r>
        <w:rPr>
          <w:spacing w:val="-3"/>
          <w:w w:val="105"/>
          <w:sz w:val="21"/>
        </w:rPr>
        <w:t> </w:t>
      </w:r>
      <w:r>
        <w:rPr>
          <w:w w:val="105"/>
          <w:sz w:val="21"/>
        </w:rPr>
        <w:t>of</w:t>
      </w:r>
      <w:r>
        <w:rPr>
          <w:spacing w:val="-4"/>
          <w:w w:val="105"/>
          <w:sz w:val="21"/>
        </w:rPr>
        <w:t> </w:t>
      </w:r>
      <w:r>
        <w:rPr>
          <w:w w:val="105"/>
          <w:sz w:val="21"/>
        </w:rPr>
        <w:t>ways,</w:t>
      </w:r>
      <w:r>
        <w:rPr>
          <w:spacing w:val="-3"/>
          <w:w w:val="105"/>
          <w:sz w:val="21"/>
        </w:rPr>
        <w:t> including</w:t>
      </w:r>
      <w:r>
        <w:rPr>
          <w:spacing w:val="-4"/>
          <w:w w:val="105"/>
          <w:sz w:val="21"/>
        </w:rPr>
        <w:t> </w:t>
      </w:r>
      <w:r>
        <w:rPr>
          <w:w w:val="105"/>
          <w:sz w:val="21"/>
        </w:rPr>
        <w:t>by</w:t>
      </w:r>
      <w:r>
        <w:rPr>
          <w:spacing w:val="-3"/>
          <w:w w:val="105"/>
          <w:sz w:val="21"/>
        </w:rPr>
        <w:t> </w:t>
      </w:r>
      <w:r>
        <w:rPr>
          <w:spacing w:val="-2"/>
          <w:w w:val="105"/>
          <w:sz w:val="21"/>
        </w:rPr>
        <w:t>agreement </w:t>
      </w:r>
      <w:r>
        <w:rPr>
          <w:w w:val="105"/>
          <w:sz w:val="21"/>
        </w:rPr>
        <w:t>between the Secretary and the landowner or by a </w:t>
      </w:r>
      <w:r>
        <w:rPr>
          <w:spacing w:val="-5"/>
          <w:w w:val="105"/>
          <w:sz w:val="21"/>
        </w:rPr>
        <w:t>VCAT</w:t>
      </w:r>
      <w:r>
        <w:rPr>
          <w:spacing w:val="38"/>
          <w:w w:val="105"/>
          <w:sz w:val="21"/>
        </w:rPr>
        <w:t> </w:t>
      </w:r>
      <w:r>
        <w:rPr>
          <w:spacing w:val="-3"/>
          <w:w w:val="105"/>
          <w:sz w:val="21"/>
        </w:rPr>
        <w:t>order.</w:t>
      </w:r>
      <w:r>
        <w:rPr>
          <w:spacing w:val="-3"/>
          <w:w w:val="105"/>
          <w:position w:val="7"/>
          <w:sz w:val="12"/>
        </w:rPr>
        <w:t>202</w:t>
      </w:r>
    </w:p>
    <w:p>
      <w:pPr>
        <w:pStyle w:val="BodyText"/>
        <w:spacing w:before="2"/>
        <w:rPr>
          <w:sz w:val="20"/>
        </w:rPr>
      </w:pPr>
    </w:p>
    <w:p>
      <w:pPr>
        <w:pStyle w:val="Heading5"/>
        <w:spacing w:line="244" w:lineRule="auto" w:before="1"/>
        <w:ind w:right="1810"/>
      </w:pPr>
      <w:r>
        <w:rPr>
          <w:w w:val="110"/>
        </w:rPr>
        <w:t>Commonwealth law: the Environment Protection and Biodiversity Conservation Act</w:t>
      </w:r>
    </w:p>
    <w:p>
      <w:pPr>
        <w:pStyle w:val="ListParagraph"/>
        <w:numPr>
          <w:ilvl w:val="1"/>
          <w:numId w:val="16"/>
        </w:numPr>
        <w:tabs>
          <w:tab w:pos="2381" w:val="left" w:leader="none"/>
        </w:tabs>
        <w:spacing w:line="242" w:lineRule="auto" w:before="132" w:after="0"/>
        <w:ind w:left="2381" w:right="1779" w:hanging="794"/>
        <w:jc w:val="left"/>
        <w:rPr>
          <w:sz w:val="21"/>
        </w:rPr>
      </w:pPr>
      <w:r>
        <w:rPr>
          <w:w w:val="105"/>
          <w:sz w:val="21"/>
        </w:rPr>
        <w:t>The </w:t>
      </w:r>
      <w:r>
        <w:rPr>
          <w:i/>
          <w:spacing w:val="-3"/>
          <w:w w:val="105"/>
          <w:sz w:val="21"/>
        </w:rPr>
        <w:t>Environment </w:t>
      </w:r>
      <w:r>
        <w:rPr>
          <w:i/>
          <w:w w:val="105"/>
          <w:sz w:val="21"/>
        </w:rPr>
        <w:t>Protection and Biodiversity Act </w:t>
      </w:r>
      <w:r>
        <w:rPr>
          <w:i/>
          <w:spacing w:val="-5"/>
          <w:w w:val="105"/>
          <w:sz w:val="21"/>
        </w:rPr>
        <w:t>1999 </w:t>
      </w:r>
      <w:r>
        <w:rPr>
          <w:w w:val="105"/>
          <w:sz w:val="21"/>
        </w:rPr>
        <w:t>(Cth) (EPBC Act) provides a legal </w:t>
      </w:r>
      <w:r>
        <w:rPr>
          <w:spacing w:val="-3"/>
          <w:w w:val="105"/>
          <w:sz w:val="21"/>
        </w:rPr>
        <w:t>framework to </w:t>
      </w:r>
      <w:r>
        <w:rPr>
          <w:w w:val="105"/>
          <w:sz w:val="21"/>
        </w:rPr>
        <w:t>protect and </w:t>
      </w:r>
      <w:r>
        <w:rPr>
          <w:spacing w:val="-3"/>
          <w:w w:val="105"/>
          <w:sz w:val="21"/>
        </w:rPr>
        <w:t>promote </w:t>
      </w:r>
      <w:r>
        <w:rPr>
          <w:w w:val="105"/>
          <w:sz w:val="21"/>
        </w:rPr>
        <w:t>the recovery of </w:t>
      </w:r>
      <w:r>
        <w:rPr>
          <w:spacing w:val="-3"/>
          <w:w w:val="105"/>
          <w:sz w:val="21"/>
        </w:rPr>
        <w:t>threatened </w:t>
      </w:r>
      <w:r>
        <w:rPr>
          <w:w w:val="105"/>
          <w:sz w:val="21"/>
        </w:rPr>
        <w:t>species and ecological </w:t>
      </w:r>
      <w:r>
        <w:rPr>
          <w:spacing w:val="-3"/>
          <w:w w:val="105"/>
          <w:sz w:val="21"/>
        </w:rPr>
        <w:t>communities </w:t>
      </w:r>
      <w:r>
        <w:rPr>
          <w:w w:val="105"/>
          <w:sz w:val="21"/>
        </w:rPr>
        <w:t>and preserve </w:t>
      </w:r>
      <w:r>
        <w:rPr>
          <w:spacing w:val="-3"/>
          <w:w w:val="105"/>
          <w:sz w:val="21"/>
        </w:rPr>
        <w:t>significant </w:t>
      </w:r>
      <w:r>
        <w:rPr>
          <w:spacing w:val="-2"/>
          <w:w w:val="105"/>
          <w:sz w:val="21"/>
        </w:rPr>
        <w:t>places </w:t>
      </w:r>
      <w:r>
        <w:rPr>
          <w:spacing w:val="-3"/>
          <w:w w:val="105"/>
          <w:sz w:val="21"/>
        </w:rPr>
        <w:t>from decline. </w:t>
      </w:r>
      <w:r>
        <w:rPr>
          <w:w w:val="105"/>
          <w:sz w:val="21"/>
        </w:rPr>
        <w:t>The Act </w:t>
      </w:r>
      <w:r>
        <w:rPr>
          <w:spacing w:val="-3"/>
          <w:w w:val="105"/>
          <w:sz w:val="21"/>
        </w:rPr>
        <w:t>regulates </w:t>
      </w:r>
      <w:r>
        <w:rPr>
          <w:w w:val="105"/>
          <w:sz w:val="21"/>
        </w:rPr>
        <w:t>matters of </w:t>
      </w:r>
      <w:r>
        <w:rPr>
          <w:spacing w:val="-3"/>
          <w:w w:val="105"/>
          <w:sz w:val="21"/>
        </w:rPr>
        <w:t>national</w:t>
      </w:r>
      <w:r>
        <w:rPr>
          <w:spacing w:val="-9"/>
          <w:w w:val="105"/>
          <w:sz w:val="21"/>
        </w:rPr>
        <w:t> </w:t>
      </w:r>
      <w:r>
        <w:rPr>
          <w:spacing w:val="-3"/>
          <w:w w:val="105"/>
          <w:sz w:val="21"/>
        </w:rPr>
        <w:t>environmental</w:t>
      </w:r>
      <w:r>
        <w:rPr>
          <w:spacing w:val="-8"/>
          <w:w w:val="105"/>
          <w:sz w:val="21"/>
        </w:rPr>
        <w:t> </w:t>
      </w:r>
      <w:r>
        <w:rPr>
          <w:spacing w:val="-3"/>
          <w:w w:val="105"/>
          <w:sz w:val="21"/>
        </w:rPr>
        <w:t>significance</w:t>
      </w:r>
      <w:r>
        <w:rPr>
          <w:spacing w:val="-8"/>
          <w:w w:val="105"/>
          <w:sz w:val="21"/>
        </w:rPr>
        <w:t> </w:t>
      </w:r>
      <w:r>
        <w:rPr>
          <w:spacing w:val="-3"/>
          <w:w w:val="105"/>
          <w:sz w:val="21"/>
        </w:rPr>
        <w:t>including</w:t>
      </w:r>
      <w:r>
        <w:rPr>
          <w:spacing w:val="-9"/>
          <w:w w:val="105"/>
          <w:sz w:val="21"/>
        </w:rPr>
        <w:t> </w:t>
      </w:r>
      <w:r>
        <w:rPr>
          <w:spacing w:val="-3"/>
          <w:w w:val="105"/>
          <w:sz w:val="21"/>
        </w:rPr>
        <w:t>World</w:t>
      </w:r>
      <w:r>
        <w:rPr>
          <w:spacing w:val="-8"/>
          <w:w w:val="105"/>
          <w:sz w:val="21"/>
        </w:rPr>
        <w:t> </w:t>
      </w:r>
      <w:r>
        <w:rPr>
          <w:w w:val="105"/>
          <w:sz w:val="21"/>
        </w:rPr>
        <w:t>Heritage</w:t>
      </w:r>
      <w:r>
        <w:rPr>
          <w:spacing w:val="-8"/>
          <w:w w:val="105"/>
          <w:sz w:val="21"/>
        </w:rPr>
        <w:t> </w:t>
      </w:r>
      <w:r>
        <w:rPr>
          <w:w w:val="105"/>
          <w:sz w:val="21"/>
        </w:rPr>
        <w:t>property,</w:t>
      </w:r>
      <w:r>
        <w:rPr>
          <w:spacing w:val="-8"/>
          <w:w w:val="105"/>
          <w:sz w:val="21"/>
        </w:rPr>
        <w:t> </w:t>
      </w:r>
      <w:r>
        <w:rPr>
          <w:spacing w:val="-2"/>
          <w:w w:val="105"/>
          <w:sz w:val="21"/>
        </w:rPr>
        <w:t>listed</w:t>
      </w:r>
      <w:r>
        <w:rPr>
          <w:spacing w:val="-9"/>
          <w:w w:val="105"/>
          <w:sz w:val="21"/>
        </w:rPr>
        <w:t> </w:t>
      </w:r>
      <w:r>
        <w:rPr>
          <w:spacing w:val="-3"/>
          <w:w w:val="105"/>
          <w:sz w:val="21"/>
        </w:rPr>
        <w:t>threatened </w:t>
      </w:r>
      <w:r>
        <w:rPr>
          <w:w w:val="105"/>
          <w:sz w:val="21"/>
        </w:rPr>
        <w:t>species and </w:t>
      </w:r>
      <w:r>
        <w:rPr>
          <w:spacing w:val="-3"/>
          <w:w w:val="105"/>
          <w:sz w:val="21"/>
        </w:rPr>
        <w:t>communities, </w:t>
      </w:r>
      <w:r>
        <w:rPr>
          <w:w w:val="105"/>
          <w:sz w:val="21"/>
        </w:rPr>
        <w:t>and </w:t>
      </w:r>
      <w:r>
        <w:rPr>
          <w:spacing w:val="-3"/>
          <w:w w:val="105"/>
          <w:sz w:val="21"/>
        </w:rPr>
        <w:t>wetlands </w:t>
      </w:r>
      <w:r>
        <w:rPr>
          <w:w w:val="105"/>
          <w:sz w:val="21"/>
        </w:rPr>
        <w:t>of </w:t>
      </w:r>
      <w:r>
        <w:rPr>
          <w:spacing w:val="-3"/>
          <w:w w:val="105"/>
          <w:sz w:val="21"/>
        </w:rPr>
        <w:t>international</w:t>
      </w:r>
      <w:r>
        <w:rPr>
          <w:spacing w:val="24"/>
          <w:w w:val="105"/>
          <w:sz w:val="21"/>
        </w:rPr>
        <w:t> </w:t>
      </w:r>
      <w:r>
        <w:rPr>
          <w:w w:val="105"/>
          <w:sz w:val="21"/>
        </w:rPr>
        <w:t>importance.</w:t>
      </w:r>
      <w:r>
        <w:rPr>
          <w:w w:val="105"/>
          <w:position w:val="7"/>
          <w:sz w:val="12"/>
        </w:rPr>
        <w:t>203</w:t>
      </w:r>
    </w:p>
    <w:p>
      <w:pPr>
        <w:pStyle w:val="ListParagraph"/>
        <w:numPr>
          <w:ilvl w:val="1"/>
          <w:numId w:val="16"/>
        </w:numPr>
        <w:tabs>
          <w:tab w:pos="2382" w:val="left" w:leader="none"/>
        </w:tabs>
        <w:spacing w:line="242" w:lineRule="auto" w:before="126" w:after="0"/>
        <w:ind w:left="2381" w:right="1827" w:hanging="794"/>
        <w:jc w:val="left"/>
        <w:rPr>
          <w:sz w:val="21"/>
        </w:rPr>
      </w:pPr>
      <w:r>
        <w:rPr>
          <w:sz w:val="21"/>
        </w:rPr>
        <w:t>A person must </w:t>
      </w:r>
      <w:r>
        <w:rPr>
          <w:spacing w:val="-2"/>
          <w:sz w:val="21"/>
        </w:rPr>
        <w:t>not </w:t>
      </w:r>
      <w:r>
        <w:rPr>
          <w:spacing w:val="-3"/>
          <w:sz w:val="21"/>
        </w:rPr>
        <w:t>take </w:t>
      </w:r>
      <w:r>
        <w:rPr>
          <w:sz w:val="21"/>
        </w:rPr>
        <w:t>an action </w:t>
      </w:r>
      <w:r>
        <w:rPr>
          <w:spacing w:val="-3"/>
          <w:sz w:val="21"/>
        </w:rPr>
        <w:t>that </w:t>
      </w:r>
      <w:r>
        <w:rPr>
          <w:sz w:val="21"/>
        </w:rPr>
        <w:t>has, </w:t>
      </w:r>
      <w:r>
        <w:rPr>
          <w:spacing w:val="-3"/>
          <w:sz w:val="21"/>
        </w:rPr>
        <w:t>will have </w:t>
      </w:r>
      <w:r>
        <w:rPr>
          <w:sz w:val="21"/>
        </w:rPr>
        <w:t>or is </w:t>
      </w:r>
      <w:r>
        <w:rPr>
          <w:spacing w:val="-4"/>
          <w:sz w:val="21"/>
        </w:rPr>
        <w:t>likely </w:t>
      </w:r>
      <w:r>
        <w:rPr>
          <w:spacing w:val="-3"/>
          <w:sz w:val="21"/>
        </w:rPr>
        <w:t>to  have  </w:t>
      </w:r>
      <w:r>
        <w:rPr>
          <w:sz w:val="21"/>
        </w:rPr>
        <w:t>a </w:t>
      </w:r>
      <w:r>
        <w:rPr>
          <w:spacing w:val="-3"/>
          <w:sz w:val="21"/>
        </w:rPr>
        <w:t>‘significant </w:t>
      </w:r>
      <w:r>
        <w:rPr>
          <w:sz w:val="21"/>
        </w:rPr>
        <w:t>impact’ on </w:t>
      </w:r>
      <w:r>
        <w:rPr>
          <w:spacing w:val="-3"/>
          <w:sz w:val="21"/>
        </w:rPr>
        <w:t>any </w:t>
      </w:r>
      <w:r>
        <w:rPr>
          <w:sz w:val="21"/>
        </w:rPr>
        <w:t>of the matters of </w:t>
      </w:r>
      <w:r>
        <w:rPr>
          <w:spacing w:val="-3"/>
          <w:sz w:val="21"/>
        </w:rPr>
        <w:t>national environmental significance </w:t>
      </w:r>
      <w:r>
        <w:rPr>
          <w:sz w:val="21"/>
        </w:rPr>
        <w:t>or other protected matters without approval.</w:t>
      </w:r>
      <w:r>
        <w:rPr>
          <w:position w:val="7"/>
          <w:sz w:val="12"/>
        </w:rPr>
        <w:t>204   </w:t>
      </w:r>
      <w:r>
        <w:rPr>
          <w:sz w:val="21"/>
        </w:rPr>
        <w:t>If the proposed action meets the </w:t>
      </w:r>
      <w:r>
        <w:rPr>
          <w:spacing w:val="-3"/>
          <w:sz w:val="21"/>
        </w:rPr>
        <w:t>‘significant  </w:t>
      </w:r>
      <w:r>
        <w:rPr>
          <w:sz w:val="21"/>
        </w:rPr>
        <w:t>impact’ test,     it must be </w:t>
      </w:r>
      <w:r>
        <w:rPr>
          <w:spacing w:val="-3"/>
          <w:sz w:val="21"/>
        </w:rPr>
        <w:t>referred to </w:t>
      </w:r>
      <w:r>
        <w:rPr>
          <w:sz w:val="21"/>
        </w:rPr>
        <w:t>the </w:t>
      </w:r>
      <w:r>
        <w:rPr>
          <w:spacing w:val="-4"/>
          <w:sz w:val="21"/>
        </w:rPr>
        <w:t>Commonwealth </w:t>
      </w:r>
      <w:r>
        <w:rPr>
          <w:sz w:val="21"/>
        </w:rPr>
        <w:t>Department of </w:t>
      </w:r>
      <w:r>
        <w:rPr>
          <w:spacing w:val="-3"/>
          <w:sz w:val="21"/>
        </w:rPr>
        <w:t>Environment </w:t>
      </w:r>
      <w:r>
        <w:rPr>
          <w:sz w:val="21"/>
        </w:rPr>
        <w:t>and Energy </w:t>
      </w:r>
      <w:r>
        <w:rPr>
          <w:spacing w:val="-3"/>
          <w:sz w:val="21"/>
        </w:rPr>
        <w:t>for </w:t>
      </w:r>
      <w:r>
        <w:rPr>
          <w:sz w:val="21"/>
        </w:rPr>
        <w:t>assessment and </w:t>
      </w:r>
      <w:r>
        <w:rPr>
          <w:spacing w:val="-3"/>
          <w:sz w:val="21"/>
        </w:rPr>
        <w:t>approval </w:t>
      </w:r>
      <w:r>
        <w:rPr>
          <w:sz w:val="21"/>
        </w:rPr>
        <w:t>by the</w:t>
      </w:r>
      <w:r>
        <w:rPr>
          <w:spacing w:val="1"/>
          <w:sz w:val="21"/>
        </w:rPr>
        <w:t> </w:t>
      </w:r>
      <w:r>
        <w:rPr>
          <w:spacing w:val="-3"/>
          <w:sz w:val="21"/>
        </w:rPr>
        <w:t>Minister.</w:t>
      </w:r>
      <w:r>
        <w:rPr>
          <w:spacing w:val="-3"/>
          <w:position w:val="7"/>
          <w:sz w:val="12"/>
        </w:rPr>
        <w:t>205</w:t>
      </w:r>
    </w:p>
    <w:p>
      <w:pPr>
        <w:pStyle w:val="ListParagraph"/>
        <w:numPr>
          <w:ilvl w:val="1"/>
          <w:numId w:val="16"/>
        </w:numPr>
        <w:tabs>
          <w:tab w:pos="2380" w:val="left" w:leader="none"/>
          <w:tab w:pos="2381" w:val="left" w:leader="none"/>
        </w:tabs>
        <w:spacing w:line="242" w:lineRule="auto" w:before="125" w:after="0"/>
        <w:ind w:left="2381" w:right="1587" w:hanging="794"/>
        <w:jc w:val="left"/>
        <w:rPr>
          <w:sz w:val="21"/>
        </w:rPr>
      </w:pPr>
      <w:r>
        <w:rPr>
          <w:w w:val="105"/>
          <w:sz w:val="21"/>
        </w:rPr>
        <w:t>The EPBC Act affects </w:t>
      </w:r>
      <w:r>
        <w:rPr>
          <w:spacing w:val="-3"/>
          <w:w w:val="105"/>
          <w:sz w:val="21"/>
        </w:rPr>
        <w:t>any group </w:t>
      </w:r>
      <w:r>
        <w:rPr>
          <w:w w:val="105"/>
          <w:sz w:val="21"/>
        </w:rPr>
        <w:t>or </w:t>
      </w:r>
      <w:r>
        <w:rPr>
          <w:spacing w:val="-3"/>
          <w:w w:val="105"/>
          <w:sz w:val="21"/>
        </w:rPr>
        <w:t>individual, including </w:t>
      </w:r>
      <w:r>
        <w:rPr>
          <w:w w:val="105"/>
          <w:sz w:val="21"/>
        </w:rPr>
        <w:t>landowners,</w:t>
      </w:r>
      <w:r>
        <w:rPr>
          <w:w w:val="105"/>
          <w:position w:val="7"/>
          <w:sz w:val="12"/>
        </w:rPr>
        <w:t>206 </w:t>
      </w:r>
      <w:r>
        <w:rPr>
          <w:w w:val="105"/>
          <w:sz w:val="21"/>
        </w:rPr>
        <w:t>whose actions </w:t>
      </w:r>
      <w:r>
        <w:rPr>
          <w:spacing w:val="-3"/>
          <w:w w:val="105"/>
          <w:sz w:val="21"/>
        </w:rPr>
        <w:t>may have </w:t>
      </w:r>
      <w:r>
        <w:rPr>
          <w:w w:val="105"/>
          <w:sz w:val="21"/>
        </w:rPr>
        <w:t>a </w:t>
      </w:r>
      <w:r>
        <w:rPr>
          <w:spacing w:val="-3"/>
          <w:w w:val="105"/>
          <w:sz w:val="21"/>
        </w:rPr>
        <w:t>significant </w:t>
      </w:r>
      <w:r>
        <w:rPr>
          <w:w w:val="105"/>
          <w:sz w:val="21"/>
        </w:rPr>
        <w:t>impact on a matter of </w:t>
      </w:r>
      <w:r>
        <w:rPr>
          <w:spacing w:val="-3"/>
          <w:w w:val="105"/>
          <w:sz w:val="21"/>
        </w:rPr>
        <w:t>national environmental significance. </w:t>
      </w:r>
      <w:r>
        <w:rPr>
          <w:w w:val="105"/>
          <w:sz w:val="21"/>
        </w:rPr>
        <w:t>An</w:t>
      </w:r>
      <w:r>
        <w:rPr>
          <w:spacing w:val="30"/>
          <w:w w:val="105"/>
          <w:sz w:val="21"/>
        </w:rPr>
        <w:t> </w:t>
      </w:r>
      <w:r>
        <w:rPr>
          <w:w w:val="105"/>
          <w:sz w:val="21"/>
        </w:rPr>
        <w:t>action</w:t>
      </w:r>
    </w:p>
    <w:p>
      <w:pPr>
        <w:pStyle w:val="BodyText"/>
        <w:spacing w:line="242" w:lineRule="auto" w:before="2"/>
        <w:ind w:left="2381" w:right="1640" w:hanging="1"/>
        <w:rPr>
          <w:sz w:val="12"/>
        </w:rPr>
      </w:pPr>
      <w:r>
        <w:rPr>
          <w:w w:val="105"/>
        </w:rPr>
        <w:t>is broadly defined and can </w:t>
      </w:r>
      <w:r>
        <w:rPr>
          <w:spacing w:val="-3"/>
          <w:w w:val="105"/>
        </w:rPr>
        <w:t>include </w:t>
      </w:r>
      <w:r>
        <w:rPr>
          <w:w w:val="105"/>
        </w:rPr>
        <w:t>the </w:t>
      </w:r>
      <w:r>
        <w:rPr>
          <w:spacing w:val="-3"/>
          <w:w w:val="105"/>
        </w:rPr>
        <w:t>clearance </w:t>
      </w:r>
      <w:r>
        <w:rPr>
          <w:w w:val="105"/>
        </w:rPr>
        <w:t>of vegetation.</w:t>
      </w:r>
      <w:r>
        <w:rPr>
          <w:w w:val="105"/>
          <w:position w:val="7"/>
          <w:sz w:val="12"/>
        </w:rPr>
        <w:t>207 </w:t>
      </w:r>
      <w:r>
        <w:rPr>
          <w:spacing w:val="-4"/>
          <w:w w:val="105"/>
        </w:rPr>
        <w:t>Generally, </w:t>
      </w:r>
      <w:r>
        <w:rPr>
          <w:w w:val="105"/>
        </w:rPr>
        <w:t>a </w:t>
      </w:r>
      <w:r>
        <w:rPr>
          <w:spacing w:val="-3"/>
          <w:w w:val="105"/>
        </w:rPr>
        <w:t>significant </w:t>
      </w:r>
      <w:r>
        <w:rPr>
          <w:w w:val="105"/>
        </w:rPr>
        <w:t>impact refers </w:t>
      </w:r>
      <w:r>
        <w:rPr>
          <w:spacing w:val="-3"/>
          <w:w w:val="105"/>
        </w:rPr>
        <w:t>to </w:t>
      </w:r>
      <w:r>
        <w:rPr>
          <w:w w:val="105"/>
        </w:rPr>
        <w:t>an impact which is important, </w:t>
      </w:r>
      <w:r>
        <w:rPr>
          <w:spacing w:val="-3"/>
          <w:w w:val="105"/>
        </w:rPr>
        <w:t>notable, </w:t>
      </w:r>
      <w:r>
        <w:rPr>
          <w:w w:val="105"/>
        </w:rPr>
        <w:t>or of </w:t>
      </w:r>
      <w:r>
        <w:rPr>
          <w:spacing w:val="-3"/>
          <w:w w:val="105"/>
        </w:rPr>
        <w:t>consequence, having regard to </w:t>
      </w:r>
      <w:r>
        <w:rPr>
          <w:w w:val="105"/>
        </w:rPr>
        <w:t>its context or </w:t>
      </w:r>
      <w:r>
        <w:rPr>
          <w:spacing w:val="-3"/>
          <w:w w:val="105"/>
        </w:rPr>
        <w:t>intensity.</w:t>
      </w:r>
      <w:r>
        <w:rPr>
          <w:spacing w:val="-3"/>
          <w:w w:val="105"/>
          <w:position w:val="7"/>
          <w:sz w:val="12"/>
        </w:rPr>
        <w:t>208</w:t>
      </w:r>
    </w:p>
    <w:p>
      <w:pPr>
        <w:pStyle w:val="ListParagraph"/>
        <w:numPr>
          <w:ilvl w:val="1"/>
          <w:numId w:val="16"/>
        </w:numPr>
        <w:tabs>
          <w:tab w:pos="2382" w:val="left" w:leader="none"/>
        </w:tabs>
        <w:spacing w:line="242" w:lineRule="auto" w:before="124" w:after="0"/>
        <w:ind w:left="2381" w:right="2096" w:hanging="794"/>
        <w:jc w:val="left"/>
        <w:rPr>
          <w:sz w:val="21"/>
        </w:rPr>
      </w:pPr>
      <w:r>
        <w:rPr>
          <w:w w:val="105"/>
          <w:sz w:val="21"/>
        </w:rPr>
        <w:t>The </w:t>
      </w:r>
      <w:r>
        <w:rPr>
          <w:spacing w:val="-3"/>
          <w:w w:val="105"/>
          <w:sz w:val="21"/>
        </w:rPr>
        <w:t>regular </w:t>
      </w:r>
      <w:r>
        <w:rPr>
          <w:w w:val="105"/>
          <w:sz w:val="21"/>
        </w:rPr>
        <w:t>permit process under Part 4 of the </w:t>
      </w:r>
      <w:r>
        <w:rPr>
          <w:spacing w:val="4"/>
          <w:w w:val="105"/>
          <w:sz w:val="21"/>
        </w:rPr>
        <w:t>P&amp;E </w:t>
      </w:r>
      <w:r>
        <w:rPr>
          <w:w w:val="105"/>
          <w:sz w:val="21"/>
        </w:rPr>
        <w:t>Act is one of the </w:t>
      </w:r>
      <w:r>
        <w:rPr>
          <w:spacing w:val="-3"/>
          <w:w w:val="105"/>
          <w:sz w:val="21"/>
        </w:rPr>
        <w:t>accredited </w:t>
      </w:r>
      <w:r>
        <w:rPr>
          <w:w w:val="105"/>
          <w:sz w:val="21"/>
        </w:rPr>
        <w:t>assessment</w:t>
      </w:r>
      <w:r>
        <w:rPr>
          <w:spacing w:val="-10"/>
          <w:w w:val="105"/>
          <w:sz w:val="21"/>
        </w:rPr>
        <w:t> </w:t>
      </w:r>
      <w:r>
        <w:rPr>
          <w:w w:val="105"/>
          <w:sz w:val="21"/>
        </w:rPr>
        <w:t>processes</w:t>
      </w:r>
      <w:r>
        <w:rPr>
          <w:spacing w:val="-10"/>
          <w:w w:val="105"/>
          <w:sz w:val="21"/>
        </w:rPr>
        <w:t> </w:t>
      </w:r>
      <w:r>
        <w:rPr>
          <w:w w:val="105"/>
          <w:sz w:val="21"/>
        </w:rPr>
        <w:t>under</w:t>
      </w:r>
      <w:r>
        <w:rPr>
          <w:spacing w:val="-10"/>
          <w:w w:val="105"/>
          <w:sz w:val="21"/>
        </w:rPr>
        <w:t> </w:t>
      </w:r>
      <w:r>
        <w:rPr>
          <w:w w:val="105"/>
          <w:sz w:val="21"/>
        </w:rPr>
        <w:t>a</w:t>
      </w:r>
      <w:r>
        <w:rPr>
          <w:spacing w:val="-10"/>
          <w:w w:val="105"/>
          <w:sz w:val="21"/>
        </w:rPr>
        <w:t> </w:t>
      </w:r>
      <w:r>
        <w:rPr>
          <w:spacing w:val="-3"/>
          <w:w w:val="105"/>
          <w:sz w:val="21"/>
        </w:rPr>
        <w:t>bilateral</w:t>
      </w:r>
      <w:r>
        <w:rPr>
          <w:spacing w:val="-10"/>
          <w:w w:val="105"/>
          <w:sz w:val="21"/>
        </w:rPr>
        <w:t> </w:t>
      </w:r>
      <w:r>
        <w:rPr>
          <w:spacing w:val="-2"/>
          <w:w w:val="105"/>
          <w:sz w:val="21"/>
        </w:rPr>
        <w:t>agreement</w:t>
      </w:r>
      <w:r>
        <w:rPr>
          <w:spacing w:val="-9"/>
          <w:w w:val="105"/>
          <w:sz w:val="21"/>
        </w:rPr>
        <w:t> </w:t>
      </w:r>
      <w:r>
        <w:rPr>
          <w:w w:val="105"/>
          <w:sz w:val="21"/>
        </w:rPr>
        <w:t>between</w:t>
      </w:r>
      <w:r>
        <w:rPr>
          <w:spacing w:val="-10"/>
          <w:w w:val="105"/>
          <w:sz w:val="21"/>
        </w:rPr>
        <w:t> </w:t>
      </w:r>
      <w:r>
        <w:rPr>
          <w:w w:val="105"/>
          <w:sz w:val="21"/>
        </w:rPr>
        <w:t>the</w:t>
      </w:r>
      <w:r>
        <w:rPr>
          <w:spacing w:val="-10"/>
          <w:w w:val="105"/>
          <w:sz w:val="21"/>
        </w:rPr>
        <w:t> </w:t>
      </w:r>
      <w:r>
        <w:rPr>
          <w:spacing w:val="-4"/>
          <w:w w:val="105"/>
          <w:sz w:val="21"/>
        </w:rPr>
        <w:t>Commonwealth</w:t>
      </w:r>
      <w:r>
        <w:rPr>
          <w:spacing w:val="-10"/>
          <w:w w:val="105"/>
          <w:sz w:val="21"/>
        </w:rPr>
        <w:t> </w:t>
      </w:r>
      <w:r>
        <w:rPr>
          <w:w w:val="105"/>
          <w:sz w:val="21"/>
        </w:rPr>
        <w:t>and Victoria.</w:t>
      </w:r>
      <w:r>
        <w:rPr>
          <w:w w:val="105"/>
          <w:position w:val="7"/>
          <w:sz w:val="12"/>
        </w:rPr>
        <w:t>209 </w:t>
      </w:r>
      <w:r>
        <w:rPr>
          <w:w w:val="105"/>
          <w:sz w:val="21"/>
        </w:rPr>
        <w:t>This </w:t>
      </w:r>
      <w:r>
        <w:rPr>
          <w:spacing w:val="-3"/>
          <w:w w:val="105"/>
          <w:sz w:val="21"/>
        </w:rPr>
        <w:t>means that </w:t>
      </w:r>
      <w:r>
        <w:rPr>
          <w:w w:val="105"/>
          <w:sz w:val="21"/>
        </w:rPr>
        <w:t>once the </w:t>
      </w:r>
      <w:r>
        <w:rPr>
          <w:spacing w:val="-4"/>
          <w:w w:val="105"/>
          <w:sz w:val="21"/>
        </w:rPr>
        <w:t>Commonwealth </w:t>
      </w:r>
      <w:r>
        <w:rPr>
          <w:spacing w:val="-2"/>
          <w:w w:val="105"/>
          <w:sz w:val="21"/>
        </w:rPr>
        <w:t>has </w:t>
      </w:r>
      <w:r>
        <w:rPr>
          <w:spacing w:val="-3"/>
          <w:w w:val="105"/>
          <w:sz w:val="21"/>
        </w:rPr>
        <w:t>determined </w:t>
      </w:r>
      <w:r>
        <w:rPr>
          <w:w w:val="105"/>
          <w:sz w:val="21"/>
        </w:rPr>
        <w:t>an action</w:t>
      </w:r>
      <w:r>
        <w:rPr>
          <w:spacing w:val="15"/>
          <w:w w:val="105"/>
          <w:sz w:val="21"/>
        </w:rPr>
        <w:t> </w:t>
      </w:r>
      <w:r>
        <w:rPr>
          <w:w w:val="105"/>
          <w:sz w:val="21"/>
        </w:rPr>
        <w:t>is</w:t>
      </w:r>
    </w:p>
    <w:p>
      <w:pPr>
        <w:pStyle w:val="BodyText"/>
        <w:spacing w:line="242" w:lineRule="auto" w:before="3"/>
        <w:ind w:left="2381" w:right="1810"/>
        <w:rPr>
          <w:sz w:val="12"/>
        </w:rPr>
      </w:pPr>
      <w:r>
        <w:rPr/>
        <w:t>a </w:t>
      </w:r>
      <w:r>
        <w:rPr>
          <w:spacing w:val="-4"/>
        </w:rPr>
        <w:t>‘controlled action’, </w:t>
      </w:r>
      <w:r>
        <w:rPr/>
        <w:t>it can be assessed by a </w:t>
      </w:r>
      <w:r>
        <w:rPr>
          <w:spacing w:val="-3"/>
        </w:rPr>
        <w:t>responsible </w:t>
      </w:r>
      <w:r>
        <w:rPr/>
        <w:t>authority under the permit application process. The </w:t>
      </w:r>
      <w:r>
        <w:rPr>
          <w:spacing w:val="-3"/>
        </w:rPr>
        <w:t>relevant </w:t>
      </w:r>
      <w:r>
        <w:rPr/>
        <w:t>Victorian </w:t>
      </w:r>
      <w:r>
        <w:rPr>
          <w:spacing w:val="-3"/>
        </w:rPr>
        <w:t>Minister </w:t>
      </w:r>
      <w:r>
        <w:rPr/>
        <w:t>must assess the action in </w:t>
      </w:r>
      <w:r>
        <w:rPr>
          <w:spacing w:val="-3"/>
        </w:rPr>
        <w:t>parallel </w:t>
      </w:r>
      <w:r>
        <w:rPr/>
        <w:t>with the </w:t>
      </w:r>
      <w:r>
        <w:rPr>
          <w:spacing w:val="-3"/>
        </w:rPr>
        <w:t>related </w:t>
      </w:r>
      <w:r>
        <w:rPr/>
        <w:t>assessment undertaken by the </w:t>
      </w:r>
      <w:r>
        <w:rPr>
          <w:spacing w:val="-3"/>
        </w:rPr>
        <w:t>relevant authority.  </w:t>
      </w:r>
      <w:r>
        <w:rPr/>
        <w:t>The assessment process </w:t>
      </w:r>
      <w:r>
        <w:rPr>
          <w:spacing w:val="-3"/>
        </w:rPr>
        <w:t>invites </w:t>
      </w:r>
      <w:r>
        <w:rPr/>
        <w:t>the </w:t>
      </w:r>
      <w:r>
        <w:rPr>
          <w:spacing w:val="-3"/>
        </w:rPr>
        <w:t>public to comment </w:t>
      </w:r>
      <w:r>
        <w:rPr/>
        <w:t>on the proposed action and an assessment report must be </w:t>
      </w:r>
      <w:r>
        <w:rPr>
          <w:spacing w:val="-3"/>
        </w:rPr>
        <w:t>prepared </w:t>
      </w:r>
      <w:r>
        <w:rPr/>
        <w:t>by the Victorian</w:t>
      </w:r>
      <w:r>
        <w:rPr>
          <w:spacing w:val="38"/>
        </w:rPr>
        <w:t> </w:t>
      </w:r>
      <w:r>
        <w:rPr>
          <w:spacing w:val="-4"/>
        </w:rPr>
        <w:t>Minister.</w:t>
      </w:r>
      <w:r>
        <w:rPr>
          <w:spacing w:val="-4"/>
          <w:position w:val="7"/>
          <w:sz w:val="12"/>
        </w:rPr>
        <w:t>210</w:t>
      </w:r>
    </w:p>
    <w:p>
      <w:pPr>
        <w:pStyle w:val="ListParagraph"/>
        <w:numPr>
          <w:ilvl w:val="1"/>
          <w:numId w:val="16"/>
        </w:numPr>
        <w:tabs>
          <w:tab w:pos="2382" w:val="left" w:leader="none"/>
        </w:tabs>
        <w:spacing w:line="242" w:lineRule="auto" w:before="125" w:after="0"/>
        <w:ind w:left="2381" w:right="2421" w:hanging="794"/>
        <w:jc w:val="both"/>
        <w:rPr>
          <w:sz w:val="21"/>
        </w:rPr>
      </w:pPr>
      <w:r>
        <w:rPr>
          <w:sz w:val="21"/>
        </w:rPr>
        <w:t>An order under the new Act </w:t>
      </w:r>
      <w:r>
        <w:rPr>
          <w:spacing w:val="-3"/>
          <w:sz w:val="21"/>
        </w:rPr>
        <w:t>may </w:t>
      </w:r>
      <w:r>
        <w:rPr>
          <w:sz w:val="21"/>
        </w:rPr>
        <w:t>in theory </w:t>
      </w:r>
      <w:r>
        <w:rPr>
          <w:spacing w:val="-3"/>
          <w:sz w:val="21"/>
        </w:rPr>
        <w:t>have  </w:t>
      </w:r>
      <w:r>
        <w:rPr>
          <w:sz w:val="21"/>
        </w:rPr>
        <w:t>a </w:t>
      </w:r>
      <w:r>
        <w:rPr>
          <w:spacing w:val="-3"/>
          <w:sz w:val="21"/>
        </w:rPr>
        <w:t>significant</w:t>
      </w:r>
      <w:r>
        <w:rPr>
          <w:spacing w:val="41"/>
          <w:sz w:val="21"/>
        </w:rPr>
        <w:t> </w:t>
      </w:r>
      <w:r>
        <w:rPr>
          <w:sz w:val="21"/>
        </w:rPr>
        <w:t>impact on a matter  of </w:t>
      </w:r>
      <w:r>
        <w:rPr>
          <w:spacing w:val="-3"/>
          <w:sz w:val="21"/>
        </w:rPr>
        <w:t>national environmental significance, for </w:t>
      </w:r>
      <w:r>
        <w:rPr>
          <w:sz w:val="21"/>
        </w:rPr>
        <w:t>example </w:t>
      </w:r>
      <w:r>
        <w:rPr>
          <w:spacing w:val="-2"/>
          <w:sz w:val="21"/>
        </w:rPr>
        <w:t>listed </w:t>
      </w:r>
      <w:r>
        <w:rPr>
          <w:spacing w:val="-3"/>
          <w:sz w:val="21"/>
        </w:rPr>
        <w:t>threatened </w:t>
      </w:r>
      <w:r>
        <w:rPr>
          <w:sz w:val="21"/>
        </w:rPr>
        <w:t>species and </w:t>
      </w:r>
      <w:r>
        <w:rPr>
          <w:spacing w:val="-3"/>
          <w:sz w:val="21"/>
        </w:rPr>
        <w:t>communities </w:t>
      </w:r>
      <w:r>
        <w:rPr>
          <w:sz w:val="21"/>
        </w:rPr>
        <w:t>or migratory </w:t>
      </w:r>
      <w:r>
        <w:rPr>
          <w:spacing w:val="-3"/>
          <w:sz w:val="21"/>
        </w:rPr>
        <w:t>species.</w:t>
      </w:r>
      <w:r>
        <w:rPr>
          <w:spacing w:val="-3"/>
          <w:position w:val="7"/>
          <w:sz w:val="12"/>
        </w:rPr>
        <w:t>211 </w:t>
      </w:r>
      <w:r>
        <w:rPr>
          <w:sz w:val="21"/>
        </w:rPr>
        <w:t>If a </w:t>
      </w:r>
      <w:r>
        <w:rPr>
          <w:spacing w:val="-3"/>
          <w:sz w:val="21"/>
        </w:rPr>
        <w:t>private </w:t>
      </w:r>
      <w:r>
        <w:rPr>
          <w:sz w:val="21"/>
        </w:rPr>
        <w:t>landowner wishes </w:t>
      </w:r>
      <w:r>
        <w:rPr>
          <w:spacing w:val="-3"/>
          <w:sz w:val="21"/>
        </w:rPr>
        <w:t>to clear native </w:t>
      </w:r>
      <w:r>
        <w:rPr>
          <w:sz w:val="21"/>
        </w:rPr>
        <w:t>vegetation</w:t>
      </w:r>
      <w:r>
        <w:rPr>
          <w:spacing w:val="13"/>
          <w:sz w:val="21"/>
        </w:rPr>
        <w:t> </w:t>
      </w:r>
      <w:r>
        <w:rPr>
          <w:sz w:val="21"/>
        </w:rPr>
        <w:t>on</w:t>
      </w:r>
      <w:r>
        <w:rPr>
          <w:spacing w:val="13"/>
          <w:sz w:val="21"/>
        </w:rPr>
        <w:t> </w:t>
      </w:r>
      <w:r>
        <w:rPr>
          <w:sz w:val="21"/>
        </w:rPr>
        <w:t>their</w:t>
      </w:r>
      <w:r>
        <w:rPr>
          <w:spacing w:val="14"/>
          <w:sz w:val="21"/>
        </w:rPr>
        <w:t> </w:t>
      </w:r>
      <w:r>
        <w:rPr>
          <w:sz w:val="21"/>
        </w:rPr>
        <w:t>property</w:t>
      </w:r>
      <w:r>
        <w:rPr>
          <w:spacing w:val="13"/>
          <w:sz w:val="21"/>
        </w:rPr>
        <w:t> </w:t>
      </w:r>
      <w:r>
        <w:rPr>
          <w:sz w:val="21"/>
        </w:rPr>
        <w:t>which</w:t>
      </w:r>
      <w:r>
        <w:rPr>
          <w:spacing w:val="14"/>
          <w:sz w:val="21"/>
        </w:rPr>
        <w:t> </w:t>
      </w:r>
      <w:r>
        <w:rPr>
          <w:sz w:val="21"/>
        </w:rPr>
        <w:t>is</w:t>
      </w:r>
      <w:r>
        <w:rPr>
          <w:spacing w:val="13"/>
          <w:sz w:val="21"/>
        </w:rPr>
        <w:t> </w:t>
      </w:r>
      <w:r>
        <w:rPr>
          <w:spacing w:val="-2"/>
          <w:sz w:val="21"/>
        </w:rPr>
        <w:t>listed</w:t>
      </w:r>
      <w:r>
        <w:rPr>
          <w:spacing w:val="13"/>
          <w:sz w:val="21"/>
        </w:rPr>
        <w:t> </w:t>
      </w:r>
      <w:r>
        <w:rPr>
          <w:sz w:val="21"/>
        </w:rPr>
        <w:t>as</w:t>
      </w:r>
      <w:r>
        <w:rPr>
          <w:spacing w:val="14"/>
          <w:sz w:val="21"/>
        </w:rPr>
        <w:t> </w:t>
      </w:r>
      <w:r>
        <w:rPr>
          <w:sz w:val="21"/>
        </w:rPr>
        <w:t>a</w:t>
      </w:r>
      <w:r>
        <w:rPr>
          <w:spacing w:val="13"/>
          <w:sz w:val="21"/>
        </w:rPr>
        <w:t> </w:t>
      </w:r>
      <w:r>
        <w:rPr>
          <w:spacing w:val="-3"/>
          <w:sz w:val="21"/>
        </w:rPr>
        <w:t>threatened</w:t>
      </w:r>
      <w:r>
        <w:rPr>
          <w:spacing w:val="14"/>
          <w:sz w:val="21"/>
        </w:rPr>
        <w:t> </w:t>
      </w:r>
      <w:r>
        <w:rPr>
          <w:sz w:val="21"/>
        </w:rPr>
        <w:t>species</w:t>
      </w:r>
      <w:r>
        <w:rPr>
          <w:spacing w:val="13"/>
          <w:sz w:val="21"/>
        </w:rPr>
        <w:t> </w:t>
      </w:r>
      <w:r>
        <w:rPr>
          <w:sz w:val="21"/>
        </w:rPr>
        <w:t>or</w:t>
      </w:r>
      <w:r>
        <w:rPr>
          <w:spacing w:val="14"/>
          <w:sz w:val="21"/>
        </w:rPr>
        <w:t> </w:t>
      </w:r>
      <w:r>
        <w:rPr>
          <w:sz w:val="21"/>
        </w:rPr>
        <w:t>part</w:t>
      </w:r>
      <w:r>
        <w:rPr>
          <w:spacing w:val="13"/>
          <w:sz w:val="21"/>
        </w:rPr>
        <w:t> </w:t>
      </w:r>
      <w:r>
        <w:rPr>
          <w:sz w:val="21"/>
        </w:rPr>
        <w:t>of</w:t>
      </w:r>
      <w:r>
        <w:rPr>
          <w:spacing w:val="13"/>
          <w:sz w:val="21"/>
        </w:rPr>
        <w:t> </w:t>
      </w:r>
      <w:r>
        <w:rPr>
          <w:sz w:val="21"/>
        </w:rPr>
        <w:t>a</w:t>
      </w:r>
    </w:p>
    <w:p>
      <w:pPr>
        <w:pStyle w:val="BodyText"/>
        <w:spacing w:line="242" w:lineRule="auto" w:before="5"/>
        <w:ind w:left="2381" w:right="1810"/>
      </w:pPr>
      <w:r>
        <w:rPr>
          <w:spacing w:val="-3"/>
        </w:rPr>
        <w:t>threatened </w:t>
      </w:r>
      <w:r>
        <w:rPr/>
        <w:t>ecological </w:t>
      </w:r>
      <w:r>
        <w:rPr>
          <w:spacing w:val="-4"/>
        </w:rPr>
        <w:t>community, </w:t>
      </w:r>
      <w:r>
        <w:rPr/>
        <w:t>the </w:t>
      </w:r>
      <w:r>
        <w:rPr>
          <w:spacing w:val="-3"/>
        </w:rPr>
        <w:t>requirements  </w:t>
      </w:r>
      <w:r>
        <w:rPr/>
        <w:t>of  this  </w:t>
      </w:r>
      <w:r>
        <w:rPr>
          <w:spacing w:val="-3"/>
        </w:rPr>
        <w:t>legislation  will  </w:t>
      </w:r>
      <w:r>
        <w:rPr/>
        <w:t>only  apply  if the </w:t>
      </w:r>
      <w:r>
        <w:rPr>
          <w:spacing w:val="-3"/>
        </w:rPr>
        <w:t>clearance </w:t>
      </w:r>
      <w:r>
        <w:rPr/>
        <w:t>meets the </w:t>
      </w:r>
      <w:r>
        <w:rPr>
          <w:spacing w:val="-3"/>
        </w:rPr>
        <w:t>significant </w:t>
      </w:r>
      <w:r>
        <w:rPr/>
        <w:t>impact test. While it is </w:t>
      </w:r>
      <w:r>
        <w:rPr>
          <w:spacing w:val="-3"/>
        </w:rPr>
        <w:t>highly  </w:t>
      </w:r>
      <w:r>
        <w:rPr>
          <w:spacing w:val="-4"/>
        </w:rPr>
        <w:t>unlikely  </w:t>
      </w:r>
      <w:r>
        <w:rPr>
          <w:spacing w:val="-3"/>
        </w:rPr>
        <w:t>that  </w:t>
      </w:r>
      <w:r>
        <w:rPr/>
        <w:t>the </w:t>
      </w:r>
      <w:r>
        <w:rPr>
          <w:spacing w:val="-3"/>
        </w:rPr>
        <w:t>removal</w:t>
      </w:r>
      <w:r>
        <w:rPr>
          <w:spacing w:val="41"/>
        </w:rPr>
        <w:t> </w:t>
      </w:r>
      <w:r>
        <w:rPr/>
        <w:t>of one or two trees on a </w:t>
      </w:r>
      <w:r>
        <w:rPr>
          <w:spacing w:val="-3"/>
        </w:rPr>
        <w:t>suburban </w:t>
      </w:r>
      <w:r>
        <w:rPr/>
        <w:t>block would meet this test, it </w:t>
      </w:r>
      <w:r>
        <w:rPr>
          <w:spacing w:val="-3"/>
        </w:rPr>
        <w:t>might </w:t>
      </w:r>
      <w:r>
        <w:rPr/>
        <w:t>apply on a larger property outside</w:t>
      </w:r>
      <w:r>
        <w:rPr>
          <w:spacing w:val="17"/>
        </w:rPr>
        <w:t> </w:t>
      </w:r>
      <w:r>
        <w:rPr>
          <w:spacing w:val="-3"/>
        </w:rPr>
        <w:t>Melbourne.</w:t>
      </w:r>
    </w:p>
    <w:p>
      <w:pPr>
        <w:pStyle w:val="BodyText"/>
        <w:spacing w:before="7"/>
        <w:rPr>
          <w:sz w:val="10"/>
        </w:rPr>
      </w:pPr>
      <w:r>
        <w:rPr/>
        <w:pict>
          <v:line style="position:absolute;mso-position-horizontal-relative:page;mso-position-vertical-relative:paragraph;z-index:9824;mso-wrap-distance-left:0;mso-wrap-distance-right:0" from="79.370102pt,8.906652pt" to="515.905102pt,8.906652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9"/>
        </w:rPr>
      </w:pPr>
    </w:p>
    <w:p>
      <w:pPr>
        <w:spacing w:before="0"/>
        <w:ind w:left="720" w:right="0" w:firstLine="0"/>
        <w:jc w:val="left"/>
        <w:rPr>
          <w:b/>
          <w:sz w:val="24"/>
        </w:rPr>
      </w:pPr>
      <w:r>
        <w:rPr>
          <w:b/>
          <w:color w:val="658464"/>
          <w:w w:val="105"/>
          <w:sz w:val="24"/>
        </w:rPr>
        <w:t>236</w:t>
      </w:r>
    </w:p>
    <w:p>
      <w:pPr>
        <w:pStyle w:val="ListParagraph"/>
        <w:numPr>
          <w:ilvl w:val="0"/>
          <w:numId w:val="172"/>
        </w:numPr>
        <w:tabs>
          <w:tab w:pos="1220" w:val="left" w:leader="none"/>
          <w:tab w:pos="1221" w:val="left" w:leader="none"/>
        </w:tabs>
        <w:spacing w:line="240" w:lineRule="auto" w:before="48" w:after="0"/>
        <w:ind w:left="1221" w:right="0" w:hanging="794"/>
        <w:jc w:val="left"/>
        <w:rPr>
          <w:sz w:val="13"/>
        </w:rPr>
      </w:pPr>
      <w:r>
        <w:rPr>
          <w:i/>
          <w:spacing w:val="-1"/>
          <w:w w:val="116"/>
          <w:sz w:val="13"/>
        </w:rPr>
        <w:br w:type="column"/>
      </w:r>
      <w:r>
        <w:rPr>
          <w:i/>
          <w:w w:val="105"/>
          <w:sz w:val="13"/>
        </w:rPr>
        <w:t>Conservation, </w:t>
      </w:r>
      <w:r>
        <w:rPr>
          <w:i/>
          <w:spacing w:val="2"/>
          <w:w w:val="105"/>
          <w:sz w:val="13"/>
        </w:rPr>
        <w:t>Forests </w:t>
      </w:r>
      <w:r>
        <w:rPr>
          <w:i/>
          <w:w w:val="105"/>
          <w:sz w:val="13"/>
        </w:rPr>
        <w:t>and Lands Act 1987 </w:t>
      </w:r>
      <w:r>
        <w:rPr>
          <w:spacing w:val="2"/>
          <w:w w:val="105"/>
          <w:sz w:val="13"/>
        </w:rPr>
        <w:t>(Vic) </w:t>
      </w:r>
      <w:r>
        <w:rPr>
          <w:w w:val="105"/>
          <w:sz w:val="13"/>
        </w:rPr>
        <w:t>s</w:t>
      </w:r>
      <w:r>
        <w:rPr>
          <w:spacing w:val="2"/>
          <w:w w:val="105"/>
          <w:sz w:val="13"/>
        </w:rPr>
        <w:t> </w:t>
      </w:r>
      <w:r>
        <w:rPr>
          <w:w w:val="105"/>
          <w:sz w:val="13"/>
        </w:rPr>
        <w:t>76(1).</w:t>
      </w:r>
    </w:p>
    <w:p>
      <w:pPr>
        <w:pStyle w:val="ListParagraph"/>
        <w:numPr>
          <w:ilvl w:val="0"/>
          <w:numId w:val="172"/>
        </w:numPr>
        <w:tabs>
          <w:tab w:pos="1220" w:val="left" w:leader="none"/>
          <w:tab w:pos="1221" w:val="left" w:leader="none"/>
        </w:tabs>
        <w:spacing w:line="240" w:lineRule="auto" w:before="1" w:after="0"/>
        <w:ind w:left="1221" w:right="1867" w:hanging="794"/>
        <w:jc w:val="left"/>
        <w:rPr>
          <w:sz w:val="13"/>
        </w:rPr>
      </w:pPr>
      <w:r>
        <w:rPr>
          <w:i/>
          <w:w w:val="105"/>
          <w:sz w:val="13"/>
        </w:rPr>
        <w:t>Environment Protection and Biodiversity Conservation Act 1999 </w:t>
      </w:r>
      <w:r>
        <w:rPr>
          <w:w w:val="105"/>
          <w:sz w:val="13"/>
        </w:rPr>
        <w:t>(Cth) s </w:t>
      </w:r>
      <w:r>
        <w:rPr>
          <w:spacing w:val="3"/>
          <w:w w:val="105"/>
          <w:sz w:val="13"/>
        </w:rPr>
        <w:t>1(a); </w:t>
      </w:r>
      <w:r>
        <w:rPr>
          <w:w w:val="105"/>
          <w:sz w:val="13"/>
        </w:rPr>
        <w:t>see also Department of the Environment and Energy (Cth), </w:t>
      </w:r>
      <w:r>
        <w:rPr>
          <w:i/>
          <w:w w:val="105"/>
          <w:sz w:val="13"/>
        </w:rPr>
        <w:t>EPBC Act—Frequently Asked Questions </w:t>
      </w:r>
      <w:r>
        <w:rPr>
          <w:w w:val="105"/>
          <w:sz w:val="13"/>
        </w:rPr>
        <w:t>(Web Page, 2013) </w:t>
      </w:r>
      <w:r>
        <w:rPr>
          <w:spacing w:val="2"/>
          <w:w w:val="105"/>
          <w:sz w:val="13"/>
        </w:rPr>
        <w:t>&lt;</w:t>
      </w:r>
      <w:hyperlink r:id="rId281">
        <w:r>
          <w:rPr>
            <w:spacing w:val="2"/>
            <w:w w:val="105"/>
            <w:sz w:val="13"/>
          </w:rPr>
          <w:t>http://www.environment.gov.au/epbc/publications/factsheet-epbc-act-</w:t>
        </w:r>
      </w:hyperlink>
      <w:r>
        <w:rPr>
          <w:spacing w:val="2"/>
          <w:w w:val="105"/>
          <w:sz w:val="13"/>
        </w:rPr>
        <w:t> </w:t>
      </w:r>
      <w:r>
        <w:rPr>
          <w:w w:val="105"/>
          <w:sz w:val="13"/>
        </w:rPr>
        <w:t>frequently-asked-questions&gt;.</w:t>
      </w:r>
    </w:p>
    <w:p>
      <w:pPr>
        <w:pStyle w:val="ListParagraph"/>
        <w:numPr>
          <w:ilvl w:val="0"/>
          <w:numId w:val="172"/>
        </w:numPr>
        <w:tabs>
          <w:tab w:pos="1220" w:val="left" w:leader="none"/>
          <w:tab w:pos="1221" w:val="left" w:leader="none"/>
        </w:tabs>
        <w:spacing w:line="240" w:lineRule="auto" w:before="4" w:after="0"/>
        <w:ind w:left="1221" w:right="1741" w:hanging="794"/>
        <w:jc w:val="left"/>
        <w:rPr>
          <w:sz w:val="13"/>
        </w:rPr>
      </w:pPr>
      <w:r>
        <w:rPr>
          <w:i/>
          <w:w w:val="105"/>
          <w:sz w:val="13"/>
        </w:rPr>
        <w:t>Environment Protection and Biodiversity Conservation Act 1999 </w:t>
      </w:r>
      <w:r>
        <w:rPr>
          <w:w w:val="105"/>
          <w:sz w:val="13"/>
        </w:rPr>
        <w:t>(Cth) ss </w:t>
      </w:r>
      <w:r>
        <w:rPr>
          <w:spacing w:val="-4"/>
          <w:w w:val="105"/>
          <w:sz w:val="13"/>
        </w:rPr>
        <w:t>11–12,  </w:t>
      </w:r>
      <w:r>
        <w:rPr>
          <w:w w:val="105"/>
          <w:sz w:val="13"/>
        </w:rPr>
        <w:t>15B, 16, 18, 20, </w:t>
      </w:r>
      <w:r>
        <w:rPr>
          <w:spacing w:val="-4"/>
          <w:w w:val="105"/>
          <w:sz w:val="13"/>
        </w:rPr>
        <w:t>21,  </w:t>
      </w:r>
      <w:r>
        <w:rPr>
          <w:w w:val="105"/>
          <w:sz w:val="13"/>
        </w:rPr>
        <w:t>23, 24B, 24D; see also Department of </w:t>
      </w:r>
      <w:r>
        <w:rPr>
          <w:spacing w:val="30"/>
          <w:w w:val="105"/>
          <w:sz w:val="13"/>
        </w:rPr>
        <w:t> </w:t>
      </w:r>
      <w:r>
        <w:rPr>
          <w:w w:val="105"/>
          <w:sz w:val="13"/>
        </w:rPr>
        <w:t>the Environment (Cth), </w:t>
      </w:r>
      <w:r>
        <w:rPr>
          <w:i/>
          <w:w w:val="105"/>
          <w:sz w:val="13"/>
        </w:rPr>
        <w:t>EPBC Act—Frequently Asked Questions </w:t>
      </w:r>
      <w:r>
        <w:rPr>
          <w:w w:val="105"/>
          <w:sz w:val="13"/>
        </w:rPr>
        <w:t>(Web Page, 2013) </w:t>
      </w:r>
      <w:r>
        <w:rPr>
          <w:spacing w:val="2"/>
          <w:w w:val="105"/>
          <w:sz w:val="13"/>
        </w:rPr>
        <w:t>&lt;</w:t>
      </w:r>
      <w:hyperlink r:id="rId282">
        <w:r>
          <w:rPr>
            <w:spacing w:val="2"/>
            <w:w w:val="105"/>
            <w:sz w:val="13"/>
          </w:rPr>
          <w:t>http://www.environment.gov.au/epbc/publications/</w:t>
        </w:r>
      </w:hyperlink>
      <w:r>
        <w:rPr>
          <w:spacing w:val="2"/>
          <w:w w:val="105"/>
          <w:sz w:val="13"/>
        </w:rPr>
        <w:t> </w:t>
      </w:r>
      <w:r>
        <w:rPr>
          <w:w w:val="105"/>
          <w:sz w:val="13"/>
        </w:rPr>
        <w:t>factsheet-epbc-act-frequently-asked-questions&gt;.</w:t>
      </w:r>
    </w:p>
    <w:p>
      <w:pPr>
        <w:pStyle w:val="ListParagraph"/>
        <w:numPr>
          <w:ilvl w:val="0"/>
          <w:numId w:val="172"/>
        </w:numPr>
        <w:tabs>
          <w:tab w:pos="1220" w:val="left" w:leader="none"/>
          <w:tab w:pos="1221" w:val="left" w:leader="none"/>
        </w:tabs>
        <w:spacing w:line="240" w:lineRule="auto" w:before="4" w:after="0"/>
        <w:ind w:left="1221" w:right="0" w:hanging="794"/>
        <w:jc w:val="left"/>
        <w:rPr>
          <w:sz w:val="13"/>
        </w:rPr>
      </w:pPr>
      <w:r>
        <w:rPr>
          <w:i/>
          <w:w w:val="105"/>
          <w:sz w:val="13"/>
        </w:rPr>
        <w:t>Environment</w:t>
      </w:r>
      <w:r>
        <w:rPr>
          <w:i/>
          <w:spacing w:val="5"/>
          <w:w w:val="105"/>
          <w:sz w:val="13"/>
        </w:rPr>
        <w:t> </w:t>
      </w:r>
      <w:r>
        <w:rPr>
          <w:i/>
          <w:w w:val="105"/>
          <w:sz w:val="13"/>
        </w:rPr>
        <w:t>Protection</w:t>
      </w:r>
      <w:r>
        <w:rPr>
          <w:i/>
          <w:spacing w:val="5"/>
          <w:w w:val="105"/>
          <w:sz w:val="13"/>
        </w:rPr>
        <w:t> </w:t>
      </w:r>
      <w:r>
        <w:rPr>
          <w:i/>
          <w:w w:val="105"/>
          <w:sz w:val="13"/>
        </w:rPr>
        <w:t>and</w:t>
      </w:r>
      <w:r>
        <w:rPr>
          <w:i/>
          <w:spacing w:val="6"/>
          <w:w w:val="105"/>
          <w:sz w:val="13"/>
        </w:rPr>
        <w:t> </w:t>
      </w:r>
      <w:r>
        <w:rPr>
          <w:i/>
          <w:w w:val="105"/>
          <w:sz w:val="13"/>
        </w:rPr>
        <w:t>Biodiversity</w:t>
      </w:r>
      <w:r>
        <w:rPr>
          <w:i/>
          <w:spacing w:val="5"/>
          <w:w w:val="105"/>
          <w:sz w:val="13"/>
        </w:rPr>
        <w:t> </w:t>
      </w:r>
      <w:r>
        <w:rPr>
          <w:i/>
          <w:w w:val="105"/>
          <w:sz w:val="13"/>
        </w:rPr>
        <w:t>Conservation</w:t>
      </w:r>
      <w:r>
        <w:rPr>
          <w:i/>
          <w:spacing w:val="6"/>
          <w:w w:val="105"/>
          <w:sz w:val="13"/>
        </w:rPr>
        <w:t> </w:t>
      </w:r>
      <w:r>
        <w:rPr>
          <w:i/>
          <w:w w:val="105"/>
          <w:sz w:val="13"/>
        </w:rPr>
        <w:t>Act</w:t>
      </w:r>
      <w:r>
        <w:rPr>
          <w:i/>
          <w:spacing w:val="5"/>
          <w:w w:val="105"/>
          <w:sz w:val="13"/>
        </w:rPr>
        <w:t> </w:t>
      </w:r>
      <w:r>
        <w:rPr>
          <w:i/>
          <w:w w:val="105"/>
          <w:sz w:val="13"/>
        </w:rPr>
        <w:t>1999</w:t>
      </w:r>
      <w:r>
        <w:rPr>
          <w:i/>
          <w:spacing w:val="5"/>
          <w:w w:val="105"/>
          <w:sz w:val="13"/>
        </w:rPr>
        <w:t> </w:t>
      </w:r>
      <w:r>
        <w:rPr>
          <w:w w:val="105"/>
          <w:sz w:val="13"/>
        </w:rPr>
        <w:t>(Cth)</w:t>
      </w:r>
      <w:r>
        <w:rPr>
          <w:spacing w:val="6"/>
          <w:w w:val="105"/>
          <w:sz w:val="13"/>
        </w:rPr>
        <w:t> </w:t>
      </w:r>
      <w:r>
        <w:rPr>
          <w:w w:val="105"/>
          <w:sz w:val="13"/>
        </w:rPr>
        <w:t>s</w:t>
      </w:r>
      <w:r>
        <w:rPr>
          <w:spacing w:val="5"/>
          <w:w w:val="105"/>
          <w:sz w:val="13"/>
        </w:rPr>
        <w:t> </w:t>
      </w:r>
      <w:r>
        <w:rPr>
          <w:spacing w:val="2"/>
          <w:w w:val="105"/>
          <w:sz w:val="13"/>
        </w:rPr>
        <w:t>66;</w:t>
      </w:r>
      <w:r>
        <w:rPr>
          <w:spacing w:val="6"/>
          <w:w w:val="105"/>
          <w:sz w:val="13"/>
        </w:rPr>
        <w:t> </w:t>
      </w:r>
      <w:r>
        <w:rPr>
          <w:w w:val="105"/>
          <w:sz w:val="13"/>
        </w:rPr>
        <w:t>see</w:t>
      </w:r>
      <w:r>
        <w:rPr>
          <w:spacing w:val="5"/>
          <w:w w:val="105"/>
          <w:sz w:val="13"/>
        </w:rPr>
        <w:t> </w:t>
      </w:r>
      <w:r>
        <w:rPr>
          <w:w w:val="105"/>
          <w:sz w:val="13"/>
        </w:rPr>
        <w:t>also</w:t>
      </w:r>
      <w:r>
        <w:rPr>
          <w:spacing w:val="5"/>
          <w:w w:val="105"/>
          <w:sz w:val="13"/>
        </w:rPr>
        <w:t> </w:t>
      </w:r>
      <w:r>
        <w:rPr>
          <w:w w:val="105"/>
          <w:sz w:val="13"/>
        </w:rPr>
        <w:t>Department</w:t>
      </w:r>
      <w:r>
        <w:rPr>
          <w:spacing w:val="6"/>
          <w:w w:val="105"/>
          <w:sz w:val="13"/>
        </w:rPr>
        <w:t> </w:t>
      </w:r>
      <w:r>
        <w:rPr>
          <w:w w:val="105"/>
          <w:sz w:val="13"/>
        </w:rPr>
        <w:t>of</w:t>
      </w:r>
      <w:r>
        <w:rPr>
          <w:spacing w:val="5"/>
          <w:w w:val="105"/>
          <w:sz w:val="13"/>
        </w:rPr>
        <w:t> </w:t>
      </w:r>
      <w:r>
        <w:rPr>
          <w:w w:val="105"/>
          <w:sz w:val="13"/>
        </w:rPr>
        <w:t>the</w:t>
      </w:r>
      <w:r>
        <w:rPr>
          <w:spacing w:val="6"/>
          <w:w w:val="105"/>
          <w:sz w:val="13"/>
        </w:rPr>
        <w:t> </w:t>
      </w:r>
      <w:r>
        <w:rPr>
          <w:w w:val="105"/>
          <w:sz w:val="13"/>
        </w:rPr>
        <w:t>Environment</w:t>
      </w:r>
      <w:r>
        <w:rPr>
          <w:spacing w:val="5"/>
          <w:w w:val="105"/>
          <w:sz w:val="13"/>
        </w:rPr>
        <w:t> </w:t>
      </w:r>
      <w:r>
        <w:rPr>
          <w:w w:val="105"/>
          <w:sz w:val="13"/>
        </w:rPr>
        <w:t>and</w:t>
      </w:r>
      <w:r>
        <w:rPr>
          <w:spacing w:val="5"/>
          <w:w w:val="105"/>
          <w:sz w:val="13"/>
        </w:rPr>
        <w:t> </w:t>
      </w:r>
      <w:r>
        <w:rPr>
          <w:w w:val="105"/>
          <w:sz w:val="13"/>
        </w:rPr>
        <w:t>Energy</w:t>
      </w:r>
      <w:r>
        <w:rPr>
          <w:spacing w:val="6"/>
          <w:w w:val="105"/>
          <w:sz w:val="13"/>
        </w:rPr>
        <w:t> </w:t>
      </w:r>
      <w:r>
        <w:rPr>
          <w:w w:val="105"/>
          <w:sz w:val="13"/>
        </w:rPr>
        <w:t>(Cth),</w:t>
      </w:r>
    </w:p>
    <w:p>
      <w:pPr>
        <w:spacing w:before="2"/>
        <w:ind w:left="1220" w:right="0" w:firstLine="0"/>
        <w:jc w:val="left"/>
        <w:rPr>
          <w:sz w:val="13"/>
        </w:rPr>
      </w:pPr>
      <w:r>
        <w:rPr>
          <w:i/>
          <w:w w:val="105"/>
          <w:sz w:val="13"/>
        </w:rPr>
        <w:t>Controlled Actions—What Next? </w:t>
      </w:r>
      <w:r>
        <w:rPr>
          <w:w w:val="105"/>
          <w:sz w:val="13"/>
        </w:rPr>
        <w:t>(Web Page) &lt;</w:t>
      </w:r>
      <w:hyperlink r:id="rId283">
        <w:r>
          <w:rPr>
            <w:w w:val="105"/>
            <w:sz w:val="13"/>
          </w:rPr>
          <w:t>http://www.environment.gov.au/heritage/management/referrals/controlled-actions</w:t>
        </w:r>
      </w:hyperlink>
      <w:r>
        <w:rPr>
          <w:w w:val="105"/>
          <w:sz w:val="13"/>
        </w:rPr>
        <w:t>&gt;.</w:t>
      </w:r>
    </w:p>
    <w:p>
      <w:pPr>
        <w:pStyle w:val="ListParagraph"/>
        <w:numPr>
          <w:ilvl w:val="0"/>
          <w:numId w:val="172"/>
        </w:numPr>
        <w:tabs>
          <w:tab w:pos="1220" w:val="left" w:leader="none"/>
          <w:tab w:pos="1221" w:val="left" w:leader="none"/>
        </w:tabs>
        <w:spacing w:line="240" w:lineRule="auto" w:before="1" w:after="0"/>
        <w:ind w:left="1221" w:right="1694" w:hanging="794"/>
        <w:jc w:val="left"/>
        <w:rPr>
          <w:sz w:val="13"/>
        </w:rPr>
      </w:pPr>
      <w:r>
        <w:rPr>
          <w:w w:val="105"/>
          <w:sz w:val="13"/>
        </w:rPr>
        <w:t>Landholders are defined to include an owner, lessee or occupier of the area of land: </w:t>
      </w:r>
      <w:r>
        <w:rPr>
          <w:i/>
          <w:w w:val="105"/>
          <w:sz w:val="13"/>
        </w:rPr>
        <w:t>Environment Protection and Biodiversity Conservation </w:t>
      </w:r>
      <w:r>
        <w:rPr>
          <w:i/>
          <w:w w:val="105"/>
          <w:sz w:val="13"/>
        </w:rPr>
        <w:t>Act 1999 </w:t>
      </w:r>
      <w:r>
        <w:rPr>
          <w:w w:val="105"/>
          <w:sz w:val="13"/>
        </w:rPr>
        <w:t>(Cth) s</w:t>
      </w:r>
      <w:r>
        <w:rPr>
          <w:spacing w:val="19"/>
          <w:w w:val="105"/>
          <w:sz w:val="13"/>
        </w:rPr>
        <w:t> </w:t>
      </w:r>
      <w:r>
        <w:rPr>
          <w:spacing w:val="2"/>
          <w:w w:val="105"/>
          <w:sz w:val="13"/>
        </w:rPr>
        <w:t>496A.</w:t>
      </w:r>
    </w:p>
    <w:p>
      <w:pPr>
        <w:pStyle w:val="ListParagraph"/>
        <w:numPr>
          <w:ilvl w:val="0"/>
          <w:numId w:val="172"/>
        </w:numPr>
        <w:tabs>
          <w:tab w:pos="1220" w:val="left" w:leader="none"/>
          <w:tab w:pos="1221" w:val="left" w:leader="none"/>
        </w:tabs>
        <w:spacing w:line="240" w:lineRule="auto" w:before="3" w:after="0"/>
        <w:ind w:left="1221" w:right="1835" w:hanging="794"/>
        <w:jc w:val="left"/>
        <w:rPr>
          <w:sz w:val="13"/>
        </w:rPr>
      </w:pPr>
      <w:r>
        <w:rPr>
          <w:w w:val="105"/>
          <w:sz w:val="13"/>
        </w:rPr>
        <w:t>Department of Environment and Energy (Cth), </w:t>
      </w:r>
      <w:r>
        <w:rPr>
          <w:i/>
          <w:w w:val="105"/>
          <w:sz w:val="13"/>
        </w:rPr>
        <w:t>Significant Impact Guidelines 1.1—Matters of National Significance </w:t>
      </w:r>
      <w:r>
        <w:rPr>
          <w:w w:val="105"/>
          <w:sz w:val="13"/>
        </w:rPr>
        <w:t>(2013) </w:t>
      </w:r>
      <w:r>
        <w:rPr>
          <w:spacing w:val="3"/>
          <w:w w:val="105"/>
          <w:sz w:val="13"/>
        </w:rPr>
        <w:t>&lt;</w:t>
      </w:r>
      <w:hyperlink r:id="rId279">
        <w:r>
          <w:rPr>
            <w:spacing w:val="3"/>
            <w:w w:val="105"/>
            <w:sz w:val="13"/>
          </w:rPr>
          <w:t>http://www.</w:t>
        </w:r>
      </w:hyperlink>
      <w:r>
        <w:rPr>
          <w:spacing w:val="3"/>
          <w:w w:val="105"/>
          <w:sz w:val="13"/>
        </w:rPr>
        <w:t> </w:t>
      </w:r>
      <w:r>
        <w:rPr>
          <w:w w:val="105"/>
          <w:sz w:val="13"/>
        </w:rPr>
        <w:t>environment.gov.au/epbc/publications/significant-impact-guidelines-11-matters-national-environmental-significance&gt;.</w:t>
      </w:r>
    </w:p>
    <w:p>
      <w:pPr>
        <w:pStyle w:val="ListParagraph"/>
        <w:numPr>
          <w:ilvl w:val="0"/>
          <w:numId w:val="172"/>
        </w:numPr>
        <w:tabs>
          <w:tab w:pos="1220" w:val="left" w:leader="none"/>
          <w:tab w:pos="1221" w:val="left" w:leader="none"/>
        </w:tabs>
        <w:spacing w:line="240" w:lineRule="auto" w:before="2" w:after="0"/>
        <w:ind w:left="1221" w:right="1587" w:hanging="794"/>
        <w:jc w:val="left"/>
        <w:rPr>
          <w:i/>
          <w:sz w:val="13"/>
        </w:rPr>
      </w:pPr>
      <w:r>
        <w:rPr>
          <w:w w:val="105"/>
          <w:sz w:val="13"/>
        </w:rPr>
        <w:t>Whether an impact is significant will depend on a number of factors, including the quality of the environment affected and the intensity, duration,</w:t>
      </w:r>
      <w:r>
        <w:rPr>
          <w:spacing w:val="7"/>
          <w:w w:val="105"/>
          <w:sz w:val="13"/>
        </w:rPr>
        <w:t> </w:t>
      </w:r>
      <w:r>
        <w:rPr>
          <w:w w:val="105"/>
          <w:sz w:val="13"/>
        </w:rPr>
        <w:t>magnitude</w:t>
      </w:r>
      <w:r>
        <w:rPr>
          <w:spacing w:val="8"/>
          <w:w w:val="105"/>
          <w:sz w:val="13"/>
        </w:rPr>
        <w:t> </w:t>
      </w:r>
      <w:r>
        <w:rPr>
          <w:w w:val="105"/>
          <w:sz w:val="13"/>
        </w:rPr>
        <w:t>and</w:t>
      </w:r>
      <w:r>
        <w:rPr>
          <w:spacing w:val="8"/>
          <w:w w:val="105"/>
          <w:sz w:val="13"/>
        </w:rPr>
        <w:t> </w:t>
      </w:r>
      <w:r>
        <w:rPr>
          <w:w w:val="105"/>
          <w:sz w:val="13"/>
        </w:rPr>
        <w:t>geographic</w:t>
      </w:r>
      <w:r>
        <w:rPr>
          <w:spacing w:val="8"/>
          <w:w w:val="105"/>
          <w:sz w:val="13"/>
        </w:rPr>
        <w:t> </w:t>
      </w:r>
      <w:r>
        <w:rPr>
          <w:w w:val="105"/>
          <w:sz w:val="13"/>
        </w:rPr>
        <w:t>extent</w:t>
      </w:r>
      <w:r>
        <w:rPr>
          <w:spacing w:val="8"/>
          <w:w w:val="105"/>
          <w:sz w:val="13"/>
        </w:rPr>
        <w:t> </w:t>
      </w:r>
      <w:r>
        <w:rPr>
          <w:w w:val="105"/>
          <w:sz w:val="13"/>
        </w:rPr>
        <w:t>of</w:t>
      </w:r>
      <w:r>
        <w:rPr>
          <w:spacing w:val="8"/>
          <w:w w:val="105"/>
          <w:sz w:val="13"/>
        </w:rPr>
        <w:t> </w:t>
      </w:r>
      <w:r>
        <w:rPr>
          <w:w w:val="105"/>
          <w:sz w:val="13"/>
        </w:rPr>
        <w:t>the</w:t>
      </w:r>
      <w:r>
        <w:rPr>
          <w:spacing w:val="8"/>
          <w:w w:val="105"/>
          <w:sz w:val="13"/>
        </w:rPr>
        <w:t> </w:t>
      </w:r>
      <w:r>
        <w:rPr>
          <w:spacing w:val="2"/>
          <w:w w:val="105"/>
          <w:sz w:val="13"/>
        </w:rPr>
        <w:t>impacts:</w:t>
      </w:r>
      <w:r>
        <w:rPr>
          <w:spacing w:val="8"/>
          <w:w w:val="105"/>
          <w:sz w:val="13"/>
        </w:rPr>
        <w:t> </w:t>
      </w:r>
      <w:r>
        <w:rPr>
          <w:w w:val="105"/>
          <w:sz w:val="13"/>
        </w:rPr>
        <w:t>Department</w:t>
      </w:r>
      <w:r>
        <w:rPr>
          <w:spacing w:val="8"/>
          <w:w w:val="105"/>
          <w:sz w:val="13"/>
        </w:rPr>
        <w:t> </w:t>
      </w:r>
      <w:r>
        <w:rPr>
          <w:w w:val="105"/>
          <w:sz w:val="13"/>
        </w:rPr>
        <w:t>of</w:t>
      </w:r>
      <w:r>
        <w:rPr>
          <w:spacing w:val="8"/>
          <w:w w:val="105"/>
          <w:sz w:val="13"/>
        </w:rPr>
        <w:t> </w:t>
      </w:r>
      <w:r>
        <w:rPr>
          <w:w w:val="105"/>
          <w:sz w:val="13"/>
        </w:rPr>
        <w:t>the</w:t>
      </w:r>
      <w:r>
        <w:rPr>
          <w:spacing w:val="7"/>
          <w:w w:val="105"/>
          <w:sz w:val="13"/>
        </w:rPr>
        <w:t> </w:t>
      </w:r>
      <w:r>
        <w:rPr>
          <w:w w:val="105"/>
          <w:sz w:val="13"/>
        </w:rPr>
        <w:t>Environment</w:t>
      </w:r>
      <w:r>
        <w:rPr>
          <w:spacing w:val="8"/>
          <w:w w:val="105"/>
          <w:sz w:val="13"/>
        </w:rPr>
        <w:t> </w:t>
      </w:r>
      <w:r>
        <w:rPr>
          <w:w w:val="105"/>
          <w:sz w:val="13"/>
        </w:rPr>
        <w:t>and</w:t>
      </w:r>
      <w:r>
        <w:rPr>
          <w:spacing w:val="8"/>
          <w:w w:val="105"/>
          <w:sz w:val="13"/>
        </w:rPr>
        <w:t> </w:t>
      </w:r>
      <w:r>
        <w:rPr>
          <w:w w:val="105"/>
          <w:sz w:val="13"/>
        </w:rPr>
        <w:t>Energy</w:t>
      </w:r>
      <w:r>
        <w:rPr>
          <w:spacing w:val="8"/>
          <w:w w:val="105"/>
          <w:sz w:val="13"/>
        </w:rPr>
        <w:t> </w:t>
      </w:r>
      <w:r>
        <w:rPr>
          <w:w w:val="105"/>
          <w:sz w:val="13"/>
        </w:rPr>
        <w:t>(Cth),</w:t>
      </w:r>
      <w:r>
        <w:rPr>
          <w:spacing w:val="8"/>
          <w:w w:val="105"/>
          <w:sz w:val="13"/>
        </w:rPr>
        <w:t> </w:t>
      </w:r>
      <w:r>
        <w:rPr>
          <w:i/>
          <w:w w:val="105"/>
          <w:sz w:val="13"/>
        </w:rPr>
        <w:t>Significant</w:t>
      </w:r>
      <w:r>
        <w:rPr>
          <w:i/>
          <w:spacing w:val="8"/>
          <w:w w:val="105"/>
          <w:sz w:val="13"/>
        </w:rPr>
        <w:t> </w:t>
      </w:r>
      <w:r>
        <w:rPr>
          <w:i/>
          <w:w w:val="105"/>
          <w:sz w:val="13"/>
        </w:rPr>
        <w:t>Impact</w:t>
      </w:r>
      <w:r>
        <w:rPr>
          <w:i/>
          <w:spacing w:val="8"/>
          <w:w w:val="105"/>
          <w:sz w:val="13"/>
        </w:rPr>
        <w:t> </w:t>
      </w:r>
      <w:r>
        <w:rPr>
          <w:i/>
          <w:w w:val="105"/>
          <w:sz w:val="13"/>
        </w:rPr>
        <w:t>Guidelines</w:t>
      </w:r>
    </w:p>
    <w:p>
      <w:pPr>
        <w:spacing w:before="3"/>
        <w:ind w:left="1220" w:right="1879" w:firstLine="0"/>
        <w:jc w:val="left"/>
        <w:rPr>
          <w:sz w:val="13"/>
        </w:rPr>
      </w:pPr>
      <w:r>
        <w:rPr>
          <w:i/>
          <w:w w:val="105"/>
          <w:sz w:val="13"/>
        </w:rPr>
        <w:t>1.1 —Matters of National Environmental Significance </w:t>
      </w:r>
      <w:r>
        <w:rPr>
          <w:w w:val="105"/>
          <w:sz w:val="13"/>
        </w:rPr>
        <w:t>(2013) 2 &lt;</w:t>
      </w:r>
      <w:hyperlink r:id="rId284">
        <w:r>
          <w:rPr>
            <w:w w:val="105"/>
            <w:sz w:val="13"/>
          </w:rPr>
          <w:t>http://www.environment.gov.au/epbc/publications/significant-impact-</w:t>
        </w:r>
      </w:hyperlink>
      <w:r>
        <w:rPr>
          <w:w w:val="105"/>
          <w:sz w:val="13"/>
        </w:rPr>
        <w:t> guidelines-11-matters-national-environmental-significance&gt;.</w:t>
      </w:r>
    </w:p>
    <w:p>
      <w:pPr>
        <w:pStyle w:val="ListParagraph"/>
        <w:numPr>
          <w:ilvl w:val="0"/>
          <w:numId w:val="172"/>
        </w:numPr>
        <w:tabs>
          <w:tab w:pos="1220" w:val="left" w:leader="none"/>
          <w:tab w:pos="1221" w:val="left" w:leader="none"/>
        </w:tabs>
        <w:spacing w:line="240" w:lineRule="auto" w:before="3" w:after="0"/>
        <w:ind w:left="1221" w:right="1606" w:hanging="794"/>
        <w:jc w:val="left"/>
        <w:rPr>
          <w:sz w:val="13"/>
        </w:rPr>
      </w:pPr>
      <w:r>
        <w:rPr>
          <w:sz w:val="13"/>
        </w:rPr>
        <w:t>Department of the Environment and Energy (Cth), </w:t>
      </w:r>
      <w:r>
        <w:rPr>
          <w:i/>
          <w:sz w:val="13"/>
        </w:rPr>
        <w:t>Victorian Assessment Bilateral Agreement </w:t>
      </w:r>
      <w:r>
        <w:rPr>
          <w:sz w:val="13"/>
        </w:rPr>
        <w:t>(27 October 2014) </w:t>
      </w:r>
      <w:r>
        <w:rPr>
          <w:spacing w:val="2"/>
          <w:sz w:val="13"/>
        </w:rPr>
        <w:t>&lt;http://www.environment. gov.au/protection/environment-assessments/bilateral-agreements/vic&gt;;  </w:t>
      </w:r>
      <w:r>
        <w:rPr>
          <w:sz w:val="13"/>
        </w:rPr>
        <w:t>Victoria  has  not  yet  entered  into  an  ‘approval  bilateral’  under   which the state approval would also constitute the authorisation for the purposes of the EPBC Act: Stephen Rowley, </w:t>
      </w:r>
      <w:r>
        <w:rPr>
          <w:i/>
          <w:sz w:val="13"/>
        </w:rPr>
        <w:t>The Victorian Planning </w:t>
      </w:r>
      <w:r>
        <w:rPr>
          <w:i/>
          <w:spacing w:val="2"/>
          <w:sz w:val="13"/>
        </w:rPr>
        <w:t>System—Practice,</w:t>
      </w:r>
      <w:r>
        <w:rPr>
          <w:i/>
          <w:spacing w:val="7"/>
          <w:sz w:val="13"/>
        </w:rPr>
        <w:t> </w:t>
      </w:r>
      <w:r>
        <w:rPr>
          <w:i/>
          <w:sz w:val="13"/>
        </w:rPr>
        <w:t>Problems</w:t>
      </w:r>
      <w:r>
        <w:rPr>
          <w:i/>
          <w:spacing w:val="8"/>
          <w:sz w:val="13"/>
        </w:rPr>
        <w:t> </w:t>
      </w:r>
      <w:r>
        <w:rPr>
          <w:i/>
          <w:sz w:val="13"/>
        </w:rPr>
        <w:t>and</w:t>
      </w:r>
      <w:r>
        <w:rPr>
          <w:i/>
          <w:spacing w:val="7"/>
          <w:sz w:val="13"/>
        </w:rPr>
        <w:t> </w:t>
      </w:r>
      <w:r>
        <w:rPr>
          <w:i/>
          <w:sz w:val="13"/>
        </w:rPr>
        <w:t>Prospects</w:t>
      </w:r>
      <w:r>
        <w:rPr>
          <w:i/>
          <w:spacing w:val="8"/>
          <w:sz w:val="13"/>
        </w:rPr>
        <w:t> </w:t>
      </w:r>
      <w:r>
        <w:rPr>
          <w:spacing w:val="2"/>
          <w:sz w:val="13"/>
        </w:rPr>
        <w:t>(The</w:t>
      </w:r>
      <w:r>
        <w:rPr>
          <w:spacing w:val="8"/>
          <w:sz w:val="13"/>
        </w:rPr>
        <w:t> </w:t>
      </w:r>
      <w:r>
        <w:rPr>
          <w:sz w:val="13"/>
        </w:rPr>
        <w:t>Federation</w:t>
      </w:r>
      <w:r>
        <w:rPr>
          <w:spacing w:val="7"/>
          <w:sz w:val="13"/>
        </w:rPr>
        <w:t> </w:t>
      </w:r>
      <w:r>
        <w:rPr>
          <w:sz w:val="13"/>
        </w:rPr>
        <w:t>Press,</w:t>
      </w:r>
      <w:r>
        <w:rPr>
          <w:spacing w:val="8"/>
          <w:sz w:val="13"/>
        </w:rPr>
        <w:t> </w:t>
      </w:r>
      <w:r>
        <w:rPr>
          <w:sz w:val="13"/>
        </w:rPr>
        <w:t>2017)</w:t>
      </w:r>
      <w:r>
        <w:rPr>
          <w:spacing w:val="8"/>
          <w:sz w:val="13"/>
        </w:rPr>
        <w:t> </w:t>
      </w:r>
      <w:r>
        <w:rPr>
          <w:sz w:val="13"/>
        </w:rPr>
        <w:t>238.</w:t>
      </w:r>
    </w:p>
    <w:p>
      <w:pPr>
        <w:pStyle w:val="ListParagraph"/>
        <w:numPr>
          <w:ilvl w:val="0"/>
          <w:numId w:val="172"/>
        </w:numPr>
        <w:tabs>
          <w:tab w:pos="1220" w:val="left" w:leader="none"/>
          <w:tab w:pos="1221" w:val="left" w:leader="none"/>
        </w:tabs>
        <w:spacing w:line="240" w:lineRule="auto" w:before="5" w:after="0"/>
        <w:ind w:left="1220" w:right="1702" w:hanging="793"/>
        <w:jc w:val="left"/>
        <w:rPr>
          <w:sz w:val="13"/>
        </w:rPr>
      </w:pPr>
      <w:r>
        <w:rPr>
          <w:w w:val="105"/>
          <w:sz w:val="13"/>
        </w:rPr>
        <w:t>See, eg, Department of Environment, Land, Water and Planning </w:t>
      </w:r>
      <w:r>
        <w:rPr>
          <w:spacing w:val="2"/>
          <w:w w:val="105"/>
          <w:sz w:val="13"/>
        </w:rPr>
        <w:t>(Vic), </w:t>
      </w:r>
      <w:r>
        <w:rPr>
          <w:i/>
          <w:w w:val="105"/>
          <w:sz w:val="13"/>
        </w:rPr>
        <w:t>Environmental Assessment Bilateral Agreement </w:t>
      </w:r>
      <w:r>
        <w:rPr>
          <w:w w:val="105"/>
          <w:sz w:val="13"/>
        </w:rPr>
        <w:t>(Web Page, 10 April 2019)</w:t>
      </w:r>
      <w:r>
        <w:rPr>
          <w:spacing w:val="5"/>
          <w:w w:val="105"/>
          <w:sz w:val="13"/>
        </w:rPr>
        <w:t> </w:t>
      </w:r>
      <w:r>
        <w:rPr>
          <w:w w:val="105"/>
          <w:sz w:val="13"/>
        </w:rPr>
        <w:t>&lt;https://</w:t>
      </w:r>
      <w:hyperlink r:id="rId285">
        <w:r>
          <w:rPr>
            <w:w w:val="105"/>
            <w:sz w:val="13"/>
          </w:rPr>
          <w:t>www.planning.vic.gov.au/environment-assessment/environmental-assessment-bilateral-agreement</w:t>
        </w:r>
      </w:hyperlink>
      <w:r>
        <w:rPr>
          <w:w w:val="105"/>
          <w:sz w:val="13"/>
        </w:rPr>
        <w:t>&gt;.</w:t>
      </w:r>
    </w:p>
    <w:p>
      <w:pPr>
        <w:pStyle w:val="ListParagraph"/>
        <w:numPr>
          <w:ilvl w:val="0"/>
          <w:numId w:val="172"/>
        </w:numPr>
        <w:tabs>
          <w:tab w:pos="1220" w:val="left" w:leader="none"/>
          <w:tab w:pos="1221" w:val="left" w:leader="none"/>
        </w:tabs>
        <w:spacing w:line="240" w:lineRule="auto" w:before="3" w:after="0"/>
        <w:ind w:left="1220" w:right="1698" w:hanging="793"/>
        <w:jc w:val="left"/>
        <w:rPr>
          <w:sz w:val="13"/>
        </w:rPr>
      </w:pPr>
      <w:r>
        <w:rPr>
          <w:w w:val="105"/>
          <w:sz w:val="13"/>
        </w:rPr>
        <w:t>Department of the Environment (Cth), </w:t>
      </w:r>
      <w:r>
        <w:rPr>
          <w:i/>
          <w:w w:val="105"/>
          <w:sz w:val="13"/>
        </w:rPr>
        <w:t>EPBC Act—Frequently Asked Questions </w:t>
      </w:r>
      <w:r>
        <w:rPr>
          <w:w w:val="105"/>
          <w:sz w:val="13"/>
        </w:rPr>
        <w:t>(Web Page, 2013) </w:t>
      </w:r>
      <w:r>
        <w:rPr>
          <w:spacing w:val="2"/>
          <w:w w:val="105"/>
          <w:sz w:val="13"/>
        </w:rPr>
        <w:t>&lt;</w:t>
      </w:r>
      <w:hyperlink r:id="rId286">
        <w:r>
          <w:rPr>
            <w:spacing w:val="2"/>
            <w:w w:val="105"/>
            <w:sz w:val="13"/>
          </w:rPr>
          <w:t>http://www.environment.gov.au/epbc/</w:t>
        </w:r>
      </w:hyperlink>
      <w:r>
        <w:rPr>
          <w:spacing w:val="2"/>
          <w:w w:val="105"/>
          <w:sz w:val="13"/>
        </w:rPr>
        <w:t> </w:t>
      </w:r>
      <w:r>
        <w:rPr>
          <w:w w:val="105"/>
          <w:sz w:val="13"/>
        </w:rPr>
        <w:t>publications/factsheet-epbc-act-frequently-asked-questions&gt;.</w:t>
      </w:r>
    </w:p>
    <w:p>
      <w:pPr>
        <w:spacing w:after="0" w:line="240" w:lineRule="auto"/>
        <w:jc w:val="left"/>
        <w:rPr>
          <w:sz w:val="13"/>
        </w:rPr>
        <w:sectPr>
          <w:type w:val="continuous"/>
          <w:pgSz w:w="11910" w:h="16840"/>
          <w:pgMar w:top="300" w:bottom="280" w:left="0" w:right="0"/>
          <w:cols w:num="2" w:equalWidth="0">
            <w:col w:w="1121" w:space="40"/>
            <w:col w:w="10749"/>
          </w:cols>
        </w:sectPr>
      </w:pPr>
    </w:p>
    <w:p>
      <w:pPr>
        <w:pStyle w:val="BodyText"/>
        <w:rPr>
          <w:sz w:val="20"/>
        </w:rPr>
      </w:pPr>
    </w:p>
    <w:p>
      <w:pPr>
        <w:pStyle w:val="BodyText"/>
        <w:spacing w:before="9"/>
        <w:rPr>
          <w:sz w:val="18"/>
        </w:rPr>
      </w:pPr>
    </w:p>
    <w:p>
      <w:pPr>
        <w:pStyle w:val="ListParagraph"/>
        <w:numPr>
          <w:ilvl w:val="0"/>
          <w:numId w:val="173"/>
        </w:numPr>
        <w:tabs>
          <w:tab w:pos="2380" w:val="left" w:leader="none"/>
          <w:tab w:pos="2381" w:val="left" w:leader="none"/>
        </w:tabs>
        <w:spacing w:line="242" w:lineRule="auto" w:before="91" w:after="0"/>
        <w:ind w:left="2381" w:right="2105" w:hanging="794"/>
        <w:jc w:val="left"/>
        <w:rPr>
          <w:sz w:val="21"/>
        </w:rPr>
      </w:pPr>
      <w:bookmarkStart w:name="Community responses—interaction of laws" w:id="278"/>
      <w:bookmarkEnd w:id="278"/>
      <w:r>
        <w:rPr/>
      </w:r>
      <w:bookmarkStart w:name="_bookmark130" w:id="279"/>
      <w:bookmarkEnd w:id="279"/>
      <w:r>
        <w:rPr/>
      </w:r>
      <w:bookmarkStart w:name="_bookmark130" w:id="280"/>
      <w:bookmarkEnd w:id="280"/>
      <w:r>
        <w:rPr>
          <w:spacing w:val="-3"/>
          <w:w w:val="105"/>
          <w:sz w:val="21"/>
        </w:rPr>
        <w:t>R</w:t>
      </w:r>
      <w:r>
        <w:rPr>
          <w:spacing w:val="-3"/>
          <w:w w:val="105"/>
          <w:sz w:val="21"/>
        </w:rPr>
        <w:t>outine</w:t>
      </w:r>
      <w:r>
        <w:rPr>
          <w:spacing w:val="-8"/>
          <w:w w:val="105"/>
          <w:sz w:val="21"/>
        </w:rPr>
        <w:t> </w:t>
      </w:r>
      <w:r>
        <w:rPr>
          <w:w w:val="105"/>
          <w:sz w:val="21"/>
        </w:rPr>
        <w:t>vegetation</w:t>
      </w:r>
      <w:r>
        <w:rPr>
          <w:spacing w:val="-8"/>
          <w:w w:val="105"/>
          <w:sz w:val="21"/>
        </w:rPr>
        <w:t> </w:t>
      </w:r>
      <w:r>
        <w:rPr>
          <w:spacing w:val="-3"/>
          <w:w w:val="105"/>
          <w:sz w:val="21"/>
        </w:rPr>
        <w:t>management,</w:t>
      </w:r>
      <w:r>
        <w:rPr>
          <w:spacing w:val="-8"/>
          <w:w w:val="105"/>
          <w:sz w:val="21"/>
        </w:rPr>
        <w:t> </w:t>
      </w:r>
      <w:r>
        <w:rPr>
          <w:spacing w:val="-3"/>
          <w:w w:val="105"/>
          <w:sz w:val="21"/>
        </w:rPr>
        <w:t>for</w:t>
      </w:r>
      <w:r>
        <w:rPr>
          <w:spacing w:val="-8"/>
          <w:w w:val="105"/>
          <w:sz w:val="21"/>
        </w:rPr>
        <w:t> </w:t>
      </w:r>
      <w:r>
        <w:rPr>
          <w:w w:val="105"/>
          <w:sz w:val="21"/>
        </w:rPr>
        <w:t>example</w:t>
      </w:r>
      <w:r>
        <w:rPr>
          <w:spacing w:val="-7"/>
          <w:w w:val="105"/>
          <w:sz w:val="21"/>
        </w:rPr>
        <w:t> </w:t>
      </w:r>
      <w:r>
        <w:rPr>
          <w:spacing w:val="-3"/>
          <w:w w:val="105"/>
          <w:sz w:val="21"/>
        </w:rPr>
        <w:t>to</w:t>
      </w:r>
      <w:r>
        <w:rPr>
          <w:spacing w:val="-8"/>
          <w:w w:val="105"/>
          <w:sz w:val="21"/>
        </w:rPr>
        <w:t> </w:t>
      </w:r>
      <w:r>
        <w:rPr>
          <w:spacing w:val="-3"/>
          <w:w w:val="105"/>
          <w:sz w:val="21"/>
        </w:rPr>
        <w:t>maintain</w:t>
      </w:r>
      <w:r>
        <w:rPr>
          <w:spacing w:val="-8"/>
          <w:w w:val="105"/>
          <w:sz w:val="21"/>
        </w:rPr>
        <w:t> </w:t>
      </w:r>
      <w:r>
        <w:rPr>
          <w:w w:val="105"/>
          <w:sz w:val="21"/>
        </w:rPr>
        <w:t>existing</w:t>
      </w:r>
      <w:r>
        <w:rPr>
          <w:spacing w:val="-8"/>
          <w:w w:val="105"/>
          <w:sz w:val="21"/>
        </w:rPr>
        <w:t> </w:t>
      </w:r>
      <w:r>
        <w:rPr>
          <w:spacing w:val="-3"/>
          <w:w w:val="105"/>
          <w:sz w:val="21"/>
        </w:rPr>
        <w:t>facilities</w:t>
      </w:r>
      <w:r>
        <w:rPr>
          <w:spacing w:val="-8"/>
          <w:w w:val="105"/>
          <w:sz w:val="21"/>
        </w:rPr>
        <w:t> </w:t>
      </w:r>
      <w:r>
        <w:rPr>
          <w:w w:val="105"/>
          <w:sz w:val="21"/>
        </w:rPr>
        <w:t>or</w:t>
      </w:r>
      <w:r>
        <w:rPr>
          <w:spacing w:val="-7"/>
          <w:w w:val="105"/>
          <w:sz w:val="21"/>
        </w:rPr>
        <w:t> </w:t>
      </w:r>
      <w:r>
        <w:rPr>
          <w:w w:val="105"/>
          <w:sz w:val="21"/>
        </w:rPr>
        <w:t>roads, is </w:t>
      </w:r>
      <w:r>
        <w:rPr>
          <w:spacing w:val="-2"/>
          <w:w w:val="105"/>
          <w:sz w:val="21"/>
        </w:rPr>
        <w:t>not </w:t>
      </w:r>
      <w:r>
        <w:rPr>
          <w:spacing w:val="-3"/>
          <w:w w:val="105"/>
          <w:sz w:val="21"/>
        </w:rPr>
        <w:t>normally considered to have </w:t>
      </w:r>
      <w:r>
        <w:rPr>
          <w:w w:val="105"/>
          <w:sz w:val="21"/>
        </w:rPr>
        <w:t>a </w:t>
      </w:r>
      <w:r>
        <w:rPr>
          <w:spacing w:val="-3"/>
          <w:w w:val="105"/>
          <w:sz w:val="21"/>
        </w:rPr>
        <w:t>significant </w:t>
      </w:r>
      <w:r>
        <w:rPr>
          <w:w w:val="105"/>
          <w:sz w:val="21"/>
        </w:rPr>
        <w:t>impact on a matter of</w:t>
      </w:r>
      <w:r>
        <w:rPr>
          <w:spacing w:val="31"/>
          <w:w w:val="105"/>
          <w:sz w:val="21"/>
        </w:rPr>
        <w:t> </w:t>
      </w:r>
      <w:r>
        <w:rPr>
          <w:spacing w:val="-3"/>
          <w:w w:val="105"/>
          <w:sz w:val="21"/>
        </w:rPr>
        <w:t>national</w:t>
      </w:r>
    </w:p>
    <w:p>
      <w:pPr>
        <w:pStyle w:val="BodyText"/>
        <w:spacing w:line="242" w:lineRule="auto" w:before="3"/>
        <w:ind w:left="2381" w:right="1636" w:hanging="1"/>
        <w:rPr>
          <w:sz w:val="12"/>
        </w:rPr>
      </w:pPr>
      <w:r>
        <w:rPr>
          <w:spacing w:val="-3"/>
          <w:w w:val="105"/>
        </w:rPr>
        <w:t>environmental significance.</w:t>
      </w:r>
      <w:r>
        <w:rPr>
          <w:spacing w:val="-3"/>
          <w:w w:val="105"/>
          <w:position w:val="7"/>
          <w:sz w:val="12"/>
        </w:rPr>
        <w:t>212 </w:t>
      </w:r>
      <w:r>
        <w:rPr>
          <w:w w:val="105"/>
        </w:rPr>
        <w:t>The </w:t>
      </w:r>
      <w:r>
        <w:rPr>
          <w:spacing w:val="-3"/>
          <w:w w:val="105"/>
        </w:rPr>
        <w:t>clearing </w:t>
      </w:r>
      <w:r>
        <w:rPr>
          <w:w w:val="105"/>
        </w:rPr>
        <w:t>of vegetation </w:t>
      </w:r>
      <w:r>
        <w:rPr>
          <w:spacing w:val="-3"/>
          <w:w w:val="105"/>
        </w:rPr>
        <w:t>for </w:t>
      </w:r>
      <w:r>
        <w:rPr>
          <w:w w:val="105"/>
        </w:rPr>
        <w:t>the </w:t>
      </w:r>
      <w:r>
        <w:rPr>
          <w:spacing w:val="-3"/>
          <w:w w:val="105"/>
        </w:rPr>
        <w:t>creation </w:t>
      </w:r>
      <w:r>
        <w:rPr>
          <w:w w:val="105"/>
        </w:rPr>
        <w:t>of a new </w:t>
      </w:r>
      <w:r>
        <w:rPr>
          <w:spacing w:val="-3"/>
          <w:w w:val="105"/>
        </w:rPr>
        <w:t>road, </w:t>
      </w:r>
      <w:r>
        <w:rPr>
          <w:spacing w:val="-4"/>
          <w:w w:val="105"/>
        </w:rPr>
        <w:t>however, </w:t>
      </w:r>
      <w:r>
        <w:rPr>
          <w:spacing w:val="-3"/>
          <w:w w:val="105"/>
        </w:rPr>
        <w:t>may require referral </w:t>
      </w:r>
      <w:r>
        <w:rPr>
          <w:w w:val="105"/>
        </w:rPr>
        <w:t>under the </w:t>
      </w:r>
      <w:r>
        <w:rPr>
          <w:spacing w:val="-3"/>
          <w:w w:val="105"/>
        </w:rPr>
        <w:t>Act.</w:t>
      </w:r>
      <w:r>
        <w:rPr>
          <w:spacing w:val="-3"/>
          <w:w w:val="105"/>
          <w:position w:val="7"/>
          <w:sz w:val="12"/>
        </w:rPr>
        <w:t>213</w:t>
      </w:r>
    </w:p>
    <w:p>
      <w:pPr>
        <w:pStyle w:val="ListParagraph"/>
        <w:numPr>
          <w:ilvl w:val="0"/>
          <w:numId w:val="173"/>
        </w:numPr>
        <w:tabs>
          <w:tab w:pos="2381" w:val="left" w:leader="none"/>
          <w:tab w:pos="2382" w:val="left" w:leader="none"/>
        </w:tabs>
        <w:spacing w:line="242" w:lineRule="auto" w:before="122" w:after="0"/>
        <w:ind w:left="2381" w:right="1656" w:hanging="794"/>
        <w:jc w:val="left"/>
        <w:rPr>
          <w:sz w:val="12"/>
        </w:rPr>
      </w:pPr>
      <w:r>
        <w:rPr>
          <w:sz w:val="21"/>
        </w:rPr>
        <w:t>As most tree </w:t>
      </w:r>
      <w:r>
        <w:rPr>
          <w:spacing w:val="-3"/>
          <w:sz w:val="21"/>
        </w:rPr>
        <w:t>disputes  occur  </w:t>
      </w:r>
      <w:r>
        <w:rPr>
          <w:sz w:val="21"/>
        </w:rPr>
        <w:t>between neighbours </w:t>
      </w:r>
      <w:r>
        <w:rPr>
          <w:spacing w:val="-3"/>
          <w:sz w:val="21"/>
        </w:rPr>
        <w:t>living</w:t>
      </w:r>
      <w:r>
        <w:rPr>
          <w:spacing w:val="41"/>
          <w:sz w:val="21"/>
        </w:rPr>
        <w:t> </w:t>
      </w:r>
      <w:r>
        <w:rPr>
          <w:sz w:val="21"/>
        </w:rPr>
        <w:t>in the urban context where </w:t>
      </w:r>
      <w:r>
        <w:rPr>
          <w:spacing w:val="-3"/>
          <w:sz w:val="21"/>
        </w:rPr>
        <w:t>land  </w:t>
      </w:r>
      <w:r>
        <w:rPr>
          <w:spacing w:val="-2"/>
          <w:sz w:val="21"/>
        </w:rPr>
        <w:t>has </w:t>
      </w:r>
      <w:r>
        <w:rPr>
          <w:spacing w:val="-3"/>
          <w:sz w:val="21"/>
        </w:rPr>
        <w:t>already </w:t>
      </w:r>
      <w:r>
        <w:rPr>
          <w:sz w:val="21"/>
        </w:rPr>
        <w:t>been developed in </w:t>
      </w:r>
      <w:r>
        <w:rPr>
          <w:spacing w:val="-3"/>
          <w:sz w:val="21"/>
        </w:rPr>
        <w:t>accordance </w:t>
      </w:r>
      <w:r>
        <w:rPr>
          <w:sz w:val="21"/>
        </w:rPr>
        <w:t>with assessment processes under the </w:t>
      </w:r>
      <w:r>
        <w:rPr>
          <w:spacing w:val="4"/>
          <w:sz w:val="21"/>
        </w:rPr>
        <w:t>P&amp;E </w:t>
      </w:r>
      <w:r>
        <w:rPr>
          <w:sz w:val="21"/>
        </w:rPr>
        <w:t>Act, these </w:t>
      </w:r>
      <w:r>
        <w:rPr>
          <w:spacing w:val="-3"/>
          <w:sz w:val="21"/>
        </w:rPr>
        <w:t>scenarios </w:t>
      </w:r>
      <w:r>
        <w:rPr>
          <w:sz w:val="21"/>
        </w:rPr>
        <w:t>would </w:t>
      </w:r>
      <w:r>
        <w:rPr>
          <w:spacing w:val="-3"/>
          <w:sz w:val="21"/>
        </w:rPr>
        <w:t>rarely </w:t>
      </w:r>
      <w:r>
        <w:rPr>
          <w:sz w:val="21"/>
        </w:rPr>
        <w:t>be </w:t>
      </w:r>
      <w:r>
        <w:rPr>
          <w:spacing w:val="-3"/>
          <w:sz w:val="21"/>
        </w:rPr>
        <w:t>relevant to </w:t>
      </w:r>
      <w:r>
        <w:rPr>
          <w:sz w:val="21"/>
        </w:rPr>
        <w:t>tree </w:t>
      </w:r>
      <w:r>
        <w:rPr>
          <w:spacing w:val="-3"/>
          <w:sz w:val="21"/>
        </w:rPr>
        <w:t>disputes </w:t>
      </w:r>
      <w:r>
        <w:rPr>
          <w:sz w:val="21"/>
        </w:rPr>
        <w:t>and </w:t>
      </w:r>
      <w:r>
        <w:rPr>
          <w:spacing w:val="-3"/>
          <w:sz w:val="21"/>
        </w:rPr>
        <w:t>are </w:t>
      </w:r>
      <w:r>
        <w:rPr>
          <w:sz w:val="21"/>
        </w:rPr>
        <w:t>more </w:t>
      </w:r>
      <w:r>
        <w:rPr>
          <w:spacing w:val="-4"/>
          <w:sz w:val="21"/>
        </w:rPr>
        <w:t>likely </w:t>
      </w:r>
      <w:r>
        <w:rPr>
          <w:spacing w:val="-3"/>
          <w:sz w:val="21"/>
        </w:rPr>
        <w:t>to </w:t>
      </w:r>
      <w:r>
        <w:rPr>
          <w:sz w:val="21"/>
        </w:rPr>
        <w:t>arise in </w:t>
      </w:r>
      <w:r>
        <w:rPr>
          <w:spacing w:val="-3"/>
          <w:sz w:val="21"/>
        </w:rPr>
        <w:t>relation to </w:t>
      </w:r>
      <w:r>
        <w:rPr>
          <w:sz w:val="21"/>
        </w:rPr>
        <w:t>larger development</w:t>
      </w:r>
      <w:r>
        <w:rPr>
          <w:spacing w:val="40"/>
          <w:sz w:val="21"/>
        </w:rPr>
        <w:t> </w:t>
      </w:r>
      <w:r>
        <w:rPr>
          <w:sz w:val="21"/>
        </w:rPr>
        <w:t>projects.</w:t>
      </w:r>
      <w:r>
        <w:rPr>
          <w:position w:val="7"/>
          <w:sz w:val="12"/>
        </w:rPr>
        <w:t>214</w:t>
      </w:r>
    </w:p>
    <w:p>
      <w:pPr>
        <w:pStyle w:val="BodyText"/>
        <w:spacing w:before="11"/>
      </w:pPr>
    </w:p>
    <w:p>
      <w:pPr>
        <w:pStyle w:val="Heading4"/>
      </w:pPr>
      <w:r>
        <w:rPr>
          <w:color w:val="658464"/>
          <w:w w:val="115"/>
        </w:rPr>
        <w:t>Community responses—interaction of laws</w:t>
      </w:r>
    </w:p>
    <w:p>
      <w:pPr>
        <w:pStyle w:val="Heading5"/>
        <w:spacing w:before="167"/>
      </w:pPr>
      <w:r>
        <w:rPr>
          <w:w w:val="115"/>
        </w:rPr>
        <w:t>Interaction of laws</w:t>
      </w:r>
    </w:p>
    <w:p>
      <w:pPr>
        <w:pStyle w:val="ListParagraph"/>
        <w:numPr>
          <w:ilvl w:val="0"/>
          <w:numId w:val="173"/>
        </w:numPr>
        <w:tabs>
          <w:tab w:pos="2380" w:val="left" w:leader="none"/>
          <w:tab w:pos="2381" w:val="left" w:leader="none"/>
        </w:tabs>
        <w:spacing w:line="242" w:lineRule="auto" w:before="137" w:after="0"/>
        <w:ind w:left="2381" w:right="1585" w:hanging="794"/>
        <w:jc w:val="left"/>
        <w:rPr>
          <w:sz w:val="21"/>
        </w:rPr>
      </w:pPr>
      <w:r>
        <w:rPr>
          <w:sz w:val="21"/>
        </w:rPr>
        <w:t>The community </w:t>
      </w:r>
      <w:r>
        <w:rPr>
          <w:spacing w:val="-2"/>
          <w:sz w:val="21"/>
        </w:rPr>
        <w:t>has </w:t>
      </w:r>
      <w:r>
        <w:rPr>
          <w:sz w:val="21"/>
        </w:rPr>
        <w:t>told the </w:t>
      </w:r>
      <w:r>
        <w:rPr>
          <w:spacing w:val="-3"/>
          <w:sz w:val="21"/>
        </w:rPr>
        <w:t>Commission that </w:t>
      </w:r>
      <w:r>
        <w:rPr>
          <w:sz w:val="21"/>
        </w:rPr>
        <w:t>it finds the laws </w:t>
      </w:r>
      <w:r>
        <w:rPr>
          <w:spacing w:val="-3"/>
          <w:sz w:val="21"/>
        </w:rPr>
        <w:t>governing </w:t>
      </w:r>
      <w:r>
        <w:rPr>
          <w:sz w:val="21"/>
        </w:rPr>
        <w:t>tree  </w:t>
      </w:r>
      <w:r>
        <w:rPr>
          <w:spacing w:val="-3"/>
          <w:sz w:val="21"/>
        </w:rPr>
        <w:t>disputes </w:t>
      </w:r>
      <w:r>
        <w:rPr>
          <w:spacing w:val="-4"/>
          <w:sz w:val="21"/>
        </w:rPr>
        <w:t>unclear. </w:t>
      </w:r>
      <w:r>
        <w:rPr>
          <w:sz w:val="21"/>
        </w:rPr>
        <w:t>One community  member  explained  </w:t>
      </w:r>
      <w:r>
        <w:rPr>
          <w:spacing w:val="-3"/>
          <w:sz w:val="21"/>
        </w:rPr>
        <w:t>that  navigating  </w:t>
      </w:r>
      <w:r>
        <w:rPr>
          <w:sz w:val="21"/>
        </w:rPr>
        <w:t>the  existing  </w:t>
      </w:r>
      <w:r>
        <w:rPr>
          <w:spacing w:val="-4"/>
          <w:sz w:val="21"/>
        </w:rPr>
        <w:t>‘multitude  </w:t>
      </w:r>
      <w:r>
        <w:rPr>
          <w:sz w:val="21"/>
        </w:rPr>
        <w:t>of legal </w:t>
      </w:r>
      <w:r>
        <w:rPr>
          <w:spacing w:val="-3"/>
          <w:sz w:val="21"/>
        </w:rPr>
        <w:t>considerations surrounding </w:t>
      </w:r>
      <w:r>
        <w:rPr>
          <w:sz w:val="21"/>
        </w:rPr>
        <w:t>tree </w:t>
      </w:r>
      <w:r>
        <w:rPr>
          <w:spacing w:val="-3"/>
          <w:sz w:val="21"/>
        </w:rPr>
        <w:t>disputes’  </w:t>
      </w:r>
      <w:r>
        <w:rPr>
          <w:sz w:val="21"/>
        </w:rPr>
        <w:t>is  </w:t>
      </w:r>
      <w:r>
        <w:rPr>
          <w:spacing w:val="-3"/>
          <w:sz w:val="21"/>
        </w:rPr>
        <w:t>‘extremely  </w:t>
      </w:r>
      <w:r>
        <w:rPr>
          <w:spacing w:val="-4"/>
          <w:sz w:val="21"/>
        </w:rPr>
        <w:t>complex’.</w:t>
      </w:r>
      <w:r>
        <w:rPr>
          <w:spacing w:val="-4"/>
          <w:position w:val="7"/>
          <w:sz w:val="12"/>
        </w:rPr>
        <w:t>215  </w:t>
      </w:r>
      <w:r>
        <w:rPr>
          <w:sz w:val="21"/>
        </w:rPr>
        <w:t>A  number  of survey respondents also expressed dissatisfaction with the </w:t>
      </w:r>
      <w:r>
        <w:rPr>
          <w:spacing w:val="-3"/>
          <w:sz w:val="21"/>
        </w:rPr>
        <w:t>variation </w:t>
      </w:r>
      <w:r>
        <w:rPr>
          <w:sz w:val="21"/>
        </w:rPr>
        <w:t>in laws </w:t>
      </w:r>
      <w:r>
        <w:rPr>
          <w:spacing w:val="-3"/>
          <w:sz w:val="21"/>
        </w:rPr>
        <w:t>that may </w:t>
      </w:r>
      <w:r>
        <w:rPr>
          <w:sz w:val="21"/>
        </w:rPr>
        <w:t>apply  </w:t>
      </w:r>
      <w:r>
        <w:rPr>
          <w:spacing w:val="-3"/>
          <w:sz w:val="21"/>
        </w:rPr>
        <w:t>to </w:t>
      </w:r>
      <w:r>
        <w:rPr>
          <w:sz w:val="21"/>
        </w:rPr>
        <w:t>protect trees on </w:t>
      </w:r>
      <w:r>
        <w:rPr>
          <w:spacing w:val="-3"/>
          <w:sz w:val="21"/>
        </w:rPr>
        <w:t>private land.</w:t>
      </w:r>
      <w:r>
        <w:rPr>
          <w:spacing w:val="-3"/>
          <w:position w:val="7"/>
          <w:sz w:val="12"/>
        </w:rPr>
        <w:t>216  </w:t>
      </w:r>
      <w:r>
        <w:rPr>
          <w:sz w:val="21"/>
        </w:rPr>
        <w:t>For  </w:t>
      </w:r>
      <w:r>
        <w:rPr>
          <w:spacing w:val="-3"/>
          <w:sz w:val="21"/>
        </w:rPr>
        <w:t>example,  </w:t>
      </w:r>
      <w:r>
        <w:rPr>
          <w:sz w:val="21"/>
        </w:rPr>
        <w:t>one  survey  respondent  expressed  the view</w:t>
      </w:r>
      <w:r>
        <w:rPr>
          <w:spacing w:val="8"/>
          <w:sz w:val="21"/>
        </w:rPr>
        <w:t> </w:t>
      </w:r>
      <w:r>
        <w:rPr>
          <w:sz w:val="21"/>
        </w:rPr>
        <w:t>that:</w:t>
      </w:r>
    </w:p>
    <w:p>
      <w:pPr>
        <w:spacing w:line="254" w:lineRule="auto" w:before="136"/>
        <w:ind w:left="2834" w:right="1847" w:firstLine="0"/>
        <w:jc w:val="left"/>
        <w:rPr>
          <w:sz w:val="20"/>
        </w:rPr>
      </w:pPr>
      <w:r>
        <w:rPr>
          <w:w w:val="105"/>
          <w:sz w:val="20"/>
        </w:rPr>
        <w:t>the law or laws governing this area are spread over what seems to be a number of acts. The efficacy in understanding the implications of such laws then becomes quite</w:t>
      </w:r>
    </w:p>
    <w:p>
      <w:pPr>
        <w:spacing w:line="254" w:lineRule="auto" w:before="2"/>
        <w:ind w:left="2834" w:right="1558" w:firstLine="0"/>
        <w:jc w:val="left"/>
        <w:rPr>
          <w:sz w:val="11"/>
        </w:rPr>
      </w:pPr>
      <w:r>
        <w:rPr>
          <w:w w:val="105"/>
          <w:sz w:val="20"/>
        </w:rPr>
        <w:t>cumbersome.</w:t>
      </w:r>
      <w:r>
        <w:rPr>
          <w:spacing w:val="-12"/>
          <w:w w:val="105"/>
          <w:sz w:val="20"/>
        </w:rPr>
        <w:t> </w:t>
      </w:r>
      <w:r>
        <w:rPr>
          <w:w w:val="105"/>
          <w:sz w:val="20"/>
        </w:rPr>
        <w:t>It</w:t>
      </w:r>
      <w:r>
        <w:rPr>
          <w:spacing w:val="-11"/>
          <w:w w:val="105"/>
          <w:sz w:val="20"/>
        </w:rPr>
        <w:t> </w:t>
      </w:r>
      <w:r>
        <w:rPr>
          <w:w w:val="105"/>
          <w:sz w:val="20"/>
        </w:rPr>
        <w:t>is</w:t>
      </w:r>
      <w:r>
        <w:rPr>
          <w:spacing w:val="-11"/>
          <w:w w:val="105"/>
          <w:sz w:val="20"/>
        </w:rPr>
        <w:t> </w:t>
      </w:r>
      <w:r>
        <w:rPr>
          <w:w w:val="105"/>
          <w:sz w:val="20"/>
        </w:rPr>
        <w:t>not</w:t>
      </w:r>
      <w:r>
        <w:rPr>
          <w:spacing w:val="-12"/>
          <w:w w:val="105"/>
          <w:sz w:val="20"/>
        </w:rPr>
        <w:t> </w:t>
      </w:r>
      <w:r>
        <w:rPr>
          <w:w w:val="105"/>
          <w:sz w:val="20"/>
        </w:rPr>
        <w:t>always</w:t>
      </w:r>
      <w:r>
        <w:rPr>
          <w:spacing w:val="-11"/>
          <w:w w:val="105"/>
          <w:sz w:val="20"/>
        </w:rPr>
        <w:t> </w:t>
      </w:r>
      <w:r>
        <w:rPr>
          <w:w w:val="105"/>
          <w:sz w:val="20"/>
        </w:rPr>
        <w:t>obvious</w:t>
      </w:r>
      <w:r>
        <w:rPr>
          <w:spacing w:val="-11"/>
          <w:w w:val="105"/>
          <w:sz w:val="20"/>
        </w:rPr>
        <w:t> </w:t>
      </w:r>
      <w:r>
        <w:rPr>
          <w:w w:val="105"/>
          <w:sz w:val="20"/>
        </w:rPr>
        <w:t>to</w:t>
      </w:r>
      <w:r>
        <w:rPr>
          <w:spacing w:val="-12"/>
          <w:w w:val="105"/>
          <w:sz w:val="20"/>
        </w:rPr>
        <w:t> </w:t>
      </w:r>
      <w:r>
        <w:rPr>
          <w:w w:val="105"/>
          <w:sz w:val="20"/>
        </w:rPr>
        <w:t>neighbours</w:t>
      </w:r>
      <w:r>
        <w:rPr>
          <w:spacing w:val="-11"/>
          <w:w w:val="105"/>
          <w:sz w:val="20"/>
        </w:rPr>
        <w:t> </w:t>
      </w:r>
      <w:r>
        <w:rPr>
          <w:w w:val="105"/>
          <w:sz w:val="20"/>
        </w:rPr>
        <w:t>when</w:t>
      </w:r>
      <w:r>
        <w:rPr>
          <w:spacing w:val="-11"/>
          <w:w w:val="105"/>
          <w:sz w:val="20"/>
        </w:rPr>
        <w:t> </w:t>
      </w:r>
      <w:r>
        <w:rPr>
          <w:w w:val="105"/>
          <w:sz w:val="20"/>
        </w:rPr>
        <w:t>a</w:t>
      </w:r>
      <w:r>
        <w:rPr>
          <w:spacing w:val="-11"/>
          <w:w w:val="105"/>
          <w:sz w:val="20"/>
        </w:rPr>
        <w:t> </w:t>
      </w:r>
      <w:r>
        <w:rPr>
          <w:w w:val="105"/>
          <w:sz w:val="20"/>
        </w:rPr>
        <w:t>tree</w:t>
      </w:r>
      <w:r>
        <w:rPr>
          <w:spacing w:val="-12"/>
          <w:w w:val="105"/>
          <w:sz w:val="20"/>
        </w:rPr>
        <w:t> </w:t>
      </w:r>
      <w:r>
        <w:rPr>
          <w:w w:val="105"/>
          <w:sz w:val="20"/>
        </w:rPr>
        <w:t>enjoys</w:t>
      </w:r>
      <w:r>
        <w:rPr>
          <w:spacing w:val="-11"/>
          <w:w w:val="105"/>
          <w:sz w:val="20"/>
        </w:rPr>
        <w:t> </w:t>
      </w:r>
      <w:r>
        <w:rPr>
          <w:spacing w:val="-3"/>
          <w:w w:val="105"/>
          <w:sz w:val="20"/>
        </w:rPr>
        <w:t>‘extra’</w:t>
      </w:r>
      <w:r>
        <w:rPr>
          <w:spacing w:val="-11"/>
          <w:w w:val="105"/>
          <w:sz w:val="20"/>
        </w:rPr>
        <w:t> </w:t>
      </w:r>
      <w:r>
        <w:rPr>
          <w:w w:val="105"/>
          <w:sz w:val="20"/>
        </w:rPr>
        <w:t>protective status, such as heritage status as deemed by </w:t>
      </w:r>
      <w:r>
        <w:rPr>
          <w:spacing w:val="-3"/>
          <w:w w:val="105"/>
          <w:sz w:val="20"/>
        </w:rPr>
        <w:t>council </w:t>
      </w:r>
      <w:r>
        <w:rPr>
          <w:w w:val="105"/>
          <w:sz w:val="20"/>
        </w:rPr>
        <w:t>or other such</w:t>
      </w:r>
      <w:r>
        <w:rPr>
          <w:spacing w:val="11"/>
          <w:w w:val="105"/>
          <w:sz w:val="20"/>
        </w:rPr>
        <w:t> </w:t>
      </w:r>
      <w:r>
        <w:rPr>
          <w:w w:val="105"/>
          <w:sz w:val="20"/>
        </w:rPr>
        <w:t>bodies.</w:t>
      </w:r>
      <w:r>
        <w:rPr>
          <w:w w:val="105"/>
          <w:position w:val="7"/>
          <w:sz w:val="11"/>
        </w:rPr>
        <w:t>217</w:t>
      </w:r>
    </w:p>
    <w:p>
      <w:pPr>
        <w:pStyle w:val="ListParagraph"/>
        <w:numPr>
          <w:ilvl w:val="0"/>
          <w:numId w:val="173"/>
        </w:numPr>
        <w:tabs>
          <w:tab w:pos="2380" w:val="left" w:leader="none"/>
          <w:tab w:pos="2381" w:val="left" w:leader="none"/>
        </w:tabs>
        <w:spacing w:line="242" w:lineRule="auto" w:before="113" w:after="0"/>
        <w:ind w:left="2381" w:right="1918" w:hanging="794"/>
        <w:jc w:val="left"/>
        <w:rPr>
          <w:sz w:val="21"/>
        </w:rPr>
      </w:pPr>
      <w:r>
        <w:rPr>
          <w:w w:val="105"/>
          <w:sz w:val="21"/>
        </w:rPr>
        <w:t>The Law </w:t>
      </w:r>
      <w:r>
        <w:rPr>
          <w:spacing w:val="-3"/>
          <w:w w:val="105"/>
          <w:sz w:val="21"/>
        </w:rPr>
        <w:t>Institute </w:t>
      </w:r>
      <w:r>
        <w:rPr>
          <w:w w:val="105"/>
          <w:sz w:val="21"/>
        </w:rPr>
        <w:t>of Victoria </w:t>
      </w:r>
      <w:r>
        <w:rPr>
          <w:spacing w:val="-3"/>
          <w:w w:val="105"/>
          <w:sz w:val="21"/>
        </w:rPr>
        <w:t>noted that ‘conservation covenants have </w:t>
      </w:r>
      <w:r>
        <w:rPr>
          <w:w w:val="105"/>
          <w:sz w:val="21"/>
        </w:rPr>
        <w:t>the </w:t>
      </w:r>
      <w:r>
        <w:rPr>
          <w:spacing w:val="-3"/>
          <w:w w:val="105"/>
          <w:sz w:val="21"/>
        </w:rPr>
        <w:t>potential to </w:t>
      </w:r>
      <w:r>
        <w:rPr>
          <w:w w:val="105"/>
          <w:sz w:val="21"/>
        </w:rPr>
        <w:t>spark</w:t>
      </w:r>
      <w:r>
        <w:rPr>
          <w:spacing w:val="-8"/>
          <w:w w:val="105"/>
          <w:sz w:val="21"/>
        </w:rPr>
        <w:t> </w:t>
      </w:r>
      <w:r>
        <w:rPr>
          <w:w w:val="105"/>
          <w:sz w:val="21"/>
        </w:rPr>
        <w:t>a</w:t>
      </w:r>
      <w:r>
        <w:rPr>
          <w:spacing w:val="-8"/>
          <w:w w:val="105"/>
          <w:sz w:val="21"/>
        </w:rPr>
        <w:t> </w:t>
      </w:r>
      <w:r>
        <w:rPr>
          <w:spacing w:val="-3"/>
          <w:w w:val="105"/>
          <w:sz w:val="21"/>
        </w:rPr>
        <w:t>dispute</w:t>
      </w:r>
      <w:r>
        <w:rPr>
          <w:spacing w:val="-7"/>
          <w:w w:val="105"/>
          <w:sz w:val="21"/>
        </w:rPr>
        <w:t> </w:t>
      </w:r>
      <w:r>
        <w:rPr>
          <w:w w:val="105"/>
          <w:sz w:val="21"/>
        </w:rPr>
        <w:t>about</w:t>
      </w:r>
      <w:r>
        <w:rPr>
          <w:spacing w:val="-8"/>
          <w:w w:val="105"/>
          <w:sz w:val="21"/>
        </w:rPr>
        <w:t> </w:t>
      </w:r>
      <w:r>
        <w:rPr>
          <w:w w:val="105"/>
          <w:sz w:val="21"/>
        </w:rPr>
        <w:t>trees</w:t>
      </w:r>
      <w:r>
        <w:rPr>
          <w:spacing w:val="-8"/>
          <w:w w:val="105"/>
          <w:sz w:val="21"/>
        </w:rPr>
        <w:t> </w:t>
      </w:r>
      <w:r>
        <w:rPr>
          <w:w w:val="105"/>
          <w:sz w:val="21"/>
        </w:rPr>
        <w:t>or</w:t>
      </w:r>
      <w:r>
        <w:rPr>
          <w:spacing w:val="-7"/>
          <w:w w:val="105"/>
          <w:sz w:val="21"/>
        </w:rPr>
        <w:t> </w:t>
      </w:r>
      <w:r>
        <w:rPr>
          <w:w w:val="105"/>
          <w:sz w:val="21"/>
        </w:rPr>
        <w:t>vegetation</w:t>
      </w:r>
      <w:r>
        <w:rPr>
          <w:spacing w:val="-8"/>
          <w:w w:val="105"/>
          <w:sz w:val="21"/>
        </w:rPr>
        <w:t> </w:t>
      </w:r>
      <w:r>
        <w:rPr>
          <w:w w:val="105"/>
          <w:sz w:val="21"/>
        </w:rPr>
        <w:t>on</w:t>
      </w:r>
      <w:r>
        <w:rPr>
          <w:spacing w:val="-8"/>
          <w:w w:val="105"/>
          <w:sz w:val="21"/>
        </w:rPr>
        <w:t> </w:t>
      </w:r>
      <w:r>
        <w:rPr>
          <w:spacing w:val="-3"/>
          <w:w w:val="105"/>
          <w:sz w:val="21"/>
        </w:rPr>
        <w:t>private</w:t>
      </w:r>
      <w:r>
        <w:rPr>
          <w:spacing w:val="-7"/>
          <w:w w:val="105"/>
          <w:sz w:val="21"/>
        </w:rPr>
        <w:t> </w:t>
      </w:r>
      <w:r>
        <w:rPr>
          <w:spacing w:val="-5"/>
          <w:w w:val="105"/>
          <w:sz w:val="21"/>
        </w:rPr>
        <w:t>land’.</w:t>
      </w:r>
      <w:r>
        <w:rPr>
          <w:spacing w:val="-8"/>
          <w:w w:val="105"/>
          <w:sz w:val="21"/>
        </w:rPr>
        <w:t> </w:t>
      </w:r>
      <w:r>
        <w:rPr>
          <w:spacing w:val="-3"/>
          <w:w w:val="105"/>
          <w:sz w:val="21"/>
        </w:rPr>
        <w:t>Disputes</w:t>
      </w:r>
      <w:r>
        <w:rPr>
          <w:spacing w:val="-8"/>
          <w:w w:val="105"/>
          <w:sz w:val="21"/>
        </w:rPr>
        <w:t> </w:t>
      </w:r>
      <w:r>
        <w:rPr>
          <w:spacing w:val="-3"/>
          <w:w w:val="105"/>
          <w:sz w:val="21"/>
        </w:rPr>
        <w:t>may</w:t>
      </w:r>
      <w:r>
        <w:rPr>
          <w:spacing w:val="-7"/>
          <w:w w:val="105"/>
          <w:sz w:val="21"/>
        </w:rPr>
        <w:t> </w:t>
      </w:r>
      <w:r>
        <w:rPr>
          <w:w w:val="105"/>
          <w:sz w:val="21"/>
        </w:rPr>
        <w:t>arise</w:t>
      </w:r>
      <w:r>
        <w:rPr>
          <w:spacing w:val="-8"/>
          <w:w w:val="105"/>
          <w:sz w:val="21"/>
        </w:rPr>
        <w:t> </w:t>
      </w:r>
      <w:r>
        <w:rPr>
          <w:w w:val="105"/>
          <w:sz w:val="21"/>
        </w:rPr>
        <w:t>between neighbours about </w:t>
      </w:r>
      <w:r>
        <w:rPr>
          <w:spacing w:val="-3"/>
          <w:w w:val="105"/>
          <w:sz w:val="21"/>
        </w:rPr>
        <w:t>competing </w:t>
      </w:r>
      <w:r>
        <w:rPr>
          <w:w w:val="105"/>
          <w:sz w:val="21"/>
        </w:rPr>
        <w:t>interests in </w:t>
      </w:r>
      <w:r>
        <w:rPr>
          <w:spacing w:val="-3"/>
          <w:w w:val="105"/>
          <w:sz w:val="21"/>
        </w:rPr>
        <w:t>land, for</w:t>
      </w:r>
      <w:r>
        <w:rPr>
          <w:spacing w:val="30"/>
          <w:w w:val="105"/>
          <w:sz w:val="21"/>
        </w:rPr>
        <w:t> </w:t>
      </w:r>
      <w:r>
        <w:rPr>
          <w:w w:val="105"/>
          <w:sz w:val="21"/>
        </w:rPr>
        <w:t>example:</w:t>
      </w:r>
    </w:p>
    <w:p>
      <w:pPr>
        <w:pStyle w:val="ListParagraph"/>
        <w:numPr>
          <w:ilvl w:val="0"/>
          <w:numId w:val="173"/>
        </w:numPr>
        <w:tabs>
          <w:tab w:pos="2380" w:val="left" w:leader="none"/>
          <w:tab w:pos="2381" w:val="left" w:leader="none"/>
        </w:tabs>
        <w:spacing w:line="242" w:lineRule="auto" w:before="124" w:after="0"/>
        <w:ind w:left="2380" w:right="1841" w:hanging="793"/>
        <w:jc w:val="left"/>
        <w:rPr>
          <w:sz w:val="12"/>
        </w:rPr>
      </w:pPr>
      <w:r>
        <w:rPr>
          <w:w w:val="105"/>
          <w:sz w:val="21"/>
        </w:rPr>
        <w:t>a </w:t>
      </w:r>
      <w:r>
        <w:rPr>
          <w:spacing w:val="-3"/>
          <w:w w:val="105"/>
          <w:sz w:val="21"/>
        </w:rPr>
        <w:t>farmer may </w:t>
      </w:r>
      <w:r>
        <w:rPr>
          <w:w w:val="105"/>
          <w:sz w:val="21"/>
        </w:rPr>
        <w:t>be </w:t>
      </w:r>
      <w:r>
        <w:rPr>
          <w:spacing w:val="-3"/>
          <w:w w:val="105"/>
          <w:sz w:val="21"/>
        </w:rPr>
        <w:t>concerned </w:t>
      </w:r>
      <w:r>
        <w:rPr>
          <w:w w:val="105"/>
          <w:sz w:val="21"/>
        </w:rPr>
        <w:t>by the </w:t>
      </w:r>
      <w:r>
        <w:rPr>
          <w:spacing w:val="-3"/>
          <w:w w:val="105"/>
          <w:sz w:val="21"/>
        </w:rPr>
        <w:t>spread </w:t>
      </w:r>
      <w:r>
        <w:rPr>
          <w:w w:val="105"/>
          <w:sz w:val="21"/>
        </w:rPr>
        <w:t>of weeds, or an </w:t>
      </w:r>
      <w:r>
        <w:rPr>
          <w:spacing w:val="-3"/>
          <w:w w:val="105"/>
          <w:sz w:val="21"/>
        </w:rPr>
        <w:t>increase </w:t>
      </w:r>
      <w:r>
        <w:rPr>
          <w:w w:val="105"/>
          <w:sz w:val="21"/>
        </w:rPr>
        <w:t>in </w:t>
      </w:r>
      <w:r>
        <w:rPr>
          <w:spacing w:val="-3"/>
          <w:w w:val="105"/>
          <w:sz w:val="21"/>
        </w:rPr>
        <w:t>native </w:t>
      </w:r>
      <w:r>
        <w:rPr>
          <w:spacing w:val="-4"/>
          <w:w w:val="105"/>
          <w:sz w:val="21"/>
        </w:rPr>
        <w:t>fauna </w:t>
      </w:r>
      <w:r>
        <w:rPr>
          <w:spacing w:val="-3"/>
          <w:w w:val="105"/>
          <w:sz w:val="21"/>
        </w:rPr>
        <w:t>such </w:t>
      </w:r>
      <w:r>
        <w:rPr>
          <w:w w:val="105"/>
          <w:sz w:val="21"/>
        </w:rPr>
        <w:t>as </w:t>
      </w:r>
      <w:r>
        <w:rPr>
          <w:spacing w:val="-3"/>
          <w:w w:val="105"/>
          <w:sz w:val="21"/>
        </w:rPr>
        <w:t>kangaroos, </w:t>
      </w:r>
      <w:r>
        <w:rPr>
          <w:w w:val="105"/>
          <w:sz w:val="21"/>
        </w:rPr>
        <w:t>as a </w:t>
      </w:r>
      <w:r>
        <w:rPr>
          <w:spacing w:val="-3"/>
          <w:w w:val="105"/>
          <w:sz w:val="21"/>
        </w:rPr>
        <w:t>result </w:t>
      </w:r>
      <w:r>
        <w:rPr>
          <w:w w:val="105"/>
          <w:sz w:val="21"/>
        </w:rPr>
        <w:t>of the conservation </w:t>
      </w:r>
      <w:r>
        <w:rPr>
          <w:spacing w:val="-3"/>
          <w:w w:val="105"/>
          <w:sz w:val="21"/>
        </w:rPr>
        <w:t>covenant, </w:t>
      </w:r>
      <w:r>
        <w:rPr>
          <w:w w:val="105"/>
          <w:sz w:val="21"/>
        </w:rPr>
        <w:t>whereas the </w:t>
      </w:r>
      <w:r>
        <w:rPr>
          <w:spacing w:val="-3"/>
          <w:w w:val="105"/>
          <w:sz w:val="21"/>
        </w:rPr>
        <w:t>covenantor might </w:t>
      </w:r>
      <w:r>
        <w:rPr>
          <w:w w:val="105"/>
          <w:sz w:val="21"/>
        </w:rPr>
        <w:t>be </w:t>
      </w:r>
      <w:r>
        <w:rPr>
          <w:spacing w:val="-3"/>
          <w:w w:val="105"/>
          <w:sz w:val="21"/>
        </w:rPr>
        <w:t>concerned </w:t>
      </w:r>
      <w:r>
        <w:rPr>
          <w:w w:val="105"/>
          <w:sz w:val="21"/>
        </w:rPr>
        <w:t>with chemical </w:t>
      </w:r>
      <w:r>
        <w:rPr>
          <w:spacing w:val="-3"/>
          <w:w w:val="105"/>
          <w:sz w:val="21"/>
        </w:rPr>
        <w:t>spray </w:t>
      </w:r>
      <w:r>
        <w:rPr>
          <w:w w:val="105"/>
          <w:sz w:val="21"/>
        </w:rPr>
        <w:t>drift, soil </w:t>
      </w:r>
      <w:r>
        <w:rPr>
          <w:spacing w:val="-3"/>
          <w:w w:val="105"/>
          <w:sz w:val="21"/>
        </w:rPr>
        <w:t>disturbance </w:t>
      </w:r>
      <w:r>
        <w:rPr>
          <w:w w:val="105"/>
          <w:sz w:val="21"/>
        </w:rPr>
        <w:t>and </w:t>
      </w:r>
      <w:r>
        <w:rPr>
          <w:spacing w:val="-3"/>
          <w:w w:val="105"/>
          <w:sz w:val="21"/>
        </w:rPr>
        <w:t>noise, </w:t>
      </w:r>
      <w:r>
        <w:rPr>
          <w:w w:val="105"/>
          <w:sz w:val="21"/>
        </w:rPr>
        <w:t>caused by </w:t>
      </w:r>
      <w:r>
        <w:rPr>
          <w:spacing w:val="-3"/>
          <w:w w:val="105"/>
          <w:sz w:val="21"/>
        </w:rPr>
        <w:t>farming operations.</w:t>
      </w:r>
      <w:r>
        <w:rPr>
          <w:spacing w:val="-3"/>
          <w:w w:val="105"/>
          <w:position w:val="7"/>
          <w:sz w:val="12"/>
        </w:rPr>
        <w:t>218</w:t>
      </w:r>
    </w:p>
    <w:p>
      <w:pPr>
        <w:pStyle w:val="ListParagraph"/>
        <w:numPr>
          <w:ilvl w:val="0"/>
          <w:numId w:val="173"/>
        </w:numPr>
        <w:tabs>
          <w:tab w:pos="2381" w:val="left" w:leader="none"/>
          <w:tab w:pos="2382" w:val="left" w:leader="none"/>
        </w:tabs>
        <w:spacing w:line="242" w:lineRule="auto" w:before="124" w:after="0"/>
        <w:ind w:left="2381" w:right="1631" w:hanging="794"/>
        <w:jc w:val="left"/>
        <w:rPr>
          <w:sz w:val="12"/>
        </w:rPr>
      </w:pPr>
      <w:r>
        <w:rPr>
          <w:w w:val="105"/>
          <w:sz w:val="21"/>
        </w:rPr>
        <w:t>In the </w:t>
      </w:r>
      <w:r>
        <w:rPr>
          <w:spacing w:val="-3"/>
          <w:w w:val="105"/>
          <w:sz w:val="21"/>
        </w:rPr>
        <w:t>consultation </w:t>
      </w:r>
      <w:r>
        <w:rPr>
          <w:spacing w:val="-4"/>
          <w:w w:val="105"/>
          <w:sz w:val="21"/>
        </w:rPr>
        <w:t>paper, </w:t>
      </w:r>
      <w:r>
        <w:rPr>
          <w:w w:val="105"/>
          <w:sz w:val="21"/>
        </w:rPr>
        <w:t>the community was </w:t>
      </w:r>
      <w:r>
        <w:rPr>
          <w:spacing w:val="-3"/>
          <w:w w:val="105"/>
          <w:sz w:val="21"/>
        </w:rPr>
        <w:t>asked </w:t>
      </w:r>
      <w:r>
        <w:rPr>
          <w:w w:val="105"/>
          <w:sz w:val="21"/>
        </w:rPr>
        <w:t>how a new Act </w:t>
      </w:r>
      <w:r>
        <w:rPr>
          <w:spacing w:val="-3"/>
          <w:w w:val="105"/>
          <w:sz w:val="21"/>
        </w:rPr>
        <w:t>to </w:t>
      </w:r>
      <w:r>
        <w:rPr>
          <w:w w:val="105"/>
          <w:sz w:val="21"/>
        </w:rPr>
        <w:t>govern neighbourhood tree </w:t>
      </w:r>
      <w:r>
        <w:rPr>
          <w:spacing w:val="-3"/>
          <w:w w:val="105"/>
          <w:sz w:val="21"/>
        </w:rPr>
        <w:t>disputes </w:t>
      </w:r>
      <w:r>
        <w:rPr>
          <w:w w:val="105"/>
          <w:sz w:val="21"/>
        </w:rPr>
        <w:t>should </w:t>
      </w:r>
      <w:r>
        <w:rPr>
          <w:spacing w:val="-3"/>
          <w:w w:val="105"/>
          <w:sz w:val="21"/>
        </w:rPr>
        <w:t>interact </w:t>
      </w:r>
      <w:r>
        <w:rPr>
          <w:w w:val="105"/>
          <w:sz w:val="21"/>
        </w:rPr>
        <w:t>with other Acts and laws. A </w:t>
      </w:r>
      <w:r>
        <w:rPr>
          <w:spacing w:val="-3"/>
          <w:w w:val="105"/>
          <w:sz w:val="21"/>
        </w:rPr>
        <w:t>range </w:t>
      </w:r>
      <w:r>
        <w:rPr>
          <w:w w:val="105"/>
          <w:sz w:val="21"/>
        </w:rPr>
        <w:t>of responses</w:t>
      </w:r>
      <w:r>
        <w:rPr>
          <w:spacing w:val="-8"/>
          <w:w w:val="105"/>
          <w:sz w:val="21"/>
        </w:rPr>
        <w:t> </w:t>
      </w:r>
      <w:r>
        <w:rPr>
          <w:spacing w:val="-3"/>
          <w:w w:val="105"/>
          <w:sz w:val="21"/>
        </w:rPr>
        <w:t>were</w:t>
      </w:r>
      <w:r>
        <w:rPr>
          <w:spacing w:val="-8"/>
          <w:w w:val="105"/>
          <w:sz w:val="21"/>
        </w:rPr>
        <w:t> </w:t>
      </w:r>
      <w:r>
        <w:rPr>
          <w:w w:val="105"/>
          <w:sz w:val="21"/>
        </w:rPr>
        <w:t>received</w:t>
      </w:r>
      <w:r>
        <w:rPr>
          <w:spacing w:val="-8"/>
          <w:w w:val="105"/>
          <w:sz w:val="21"/>
        </w:rPr>
        <w:t> </w:t>
      </w:r>
      <w:r>
        <w:rPr>
          <w:spacing w:val="-3"/>
          <w:w w:val="105"/>
          <w:sz w:val="21"/>
        </w:rPr>
        <w:t>to</w:t>
      </w:r>
      <w:r>
        <w:rPr>
          <w:spacing w:val="-8"/>
          <w:w w:val="105"/>
          <w:sz w:val="21"/>
        </w:rPr>
        <w:t> </w:t>
      </w:r>
      <w:r>
        <w:rPr>
          <w:w w:val="105"/>
          <w:sz w:val="21"/>
        </w:rPr>
        <w:t>this</w:t>
      </w:r>
      <w:r>
        <w:rPr>
          <w:spacing w:val="-8"/>
          <w:w w:val="105"/>
          <w:sz w:val="21"/>
        </w:rPr>
        <w:t> </w:t>
      </w:r>
      <w:r>
        <w:rPr>
          <w:w w:val="105"/>
          <w:sz w:val="21"/>
        </w:rPr>
        <w:t>question.</w:t>
      </w:r>
      <w:r>
        <w:rPr>
          <w:spacing w:val="-8"/>
          <w:w w:val="105"/>
          <w:sz w:val="21"/>
        </w:rPr>
        <w:t> </w:t>
      </w:r>
      <w:r>
        <w:rPr>
          <w:w w:val="105"/>
          <w:sz w:val="21"/>
        </w:rPr>
        <w:t>A</w:t>
      </w:r>
      <w:r>
        <w:rPr>
          <w:spacing w:val="-7"/>
          <w:w w:val="105"/>
          <w:sz w:val="21"/>
        </w:rPr>
        <w:t> </w:t>
      </w:r>
      <w:r>
        <w:rPr>
          <w:w w:val="105"/>
          <w:sz w:val="21"/>
        </w:rPr>
        <w:t>number</w:t>
      </w:r>
      <w:r>
        <w:rPr>
          <w:spacing w:val="-8"/>
          <w:w w:val="105"/>
          <w:sz w:val="21"/>
        </w:rPr>
        <w:t> </w:t>
      </w:r>
      <w:r>
        <w:rPr>
          <w:w w:val="105"/>
          <w:sz w:val="21"/>
        </w:rPr>
        <w:t>of</w:t>
      </w:r>
      <w:r>
        <w:rPr>
          <w:spacing w:val="-8"/>
          <w:w w:val="105"/>
          <w:sz w:val="21"/>
        </w:rPr>
        <w:t> </w:t>
      </w:r>
      <w:r>
        <w:rPr>
          <w:spacing w:val="-3"/>
          <w:w w:val="105"/>
          <w:sz w:val="21"/>
        </w:rPr>
        <w:t>submissions</w:t>
      </w:r>
      <w:r>
        <w:rPr>
          <w:spacing w:val="-8"/>
          <w:w w:val="105"/>
          <w:sz w:val="21"/>
        </w:rPr>
        <w:t> </w:t>
      </w:r>
      <w:r>
        <w:rPr>
          <w:spacing w:val="-3"/>
          <w:w w:val="105"/>
          <w:sz w:val="21"/>
        </w:rPr>
        <w:t>were</w:t>
      </w:r>
      <w:r>
        <w:rPr>
          <w:spacing w:val="-8"/>
          <w:w w:val="105"/>
          <w:sz w:val="21"/>
        </w:rPr>
        <w:t> </w:t>
      </w:r>
      <w:r>
        <w:rPr>
          <w:w w:val="105"/>
          <w:sz w:val="21"/>
        </w:rPr>
        <w:t>in</w:t>
      </w:r>
      <w:r>
        <w:rPr>
          <w:spacing w:val="-8"/>
          <w:w w:val="105"/>
          <w:sz w:val="21"/>
        </w:rPr>
        <w:t> </w:t>
      </w:r>
      <w:r>
        <w:rPr>
          <w:spacing w:val="-3"/>
          <w:w w:val="105"/>
          <w:sz w:val="21"/>
        </w:rPr>
        <w:t>favour</w:t>
      </w:r>
      <w:r>
        <w:rPr>
          <w:spacing w:val="-8"/>
          <w:w w:val="105"/>
          <w:sz w:val="21"/>
        </w:rPr>
        <w:t> </w:t>
      </w:r>
      <w:r>
        <w:rPr>
          <w:w w:val="105"/>
          <w:sz w:val="21"/>
        </w:rPr>
        <w:t>of</w:t>
      </w:r>
      <w:r>
        <w:rPr>
          <w:spacing w:val="-7"/>
          <w:w w:val="105"/>
          <w:sz w:val="21"/>
        </w:rPr>
        <w:t> </w:t>
      </w:r>
      <w:r>
        <w:rPr>
          <w:w w:val="105"/>
          <w:sz w:val="21"/>
        </w:rPr>
        <w:t>new tree </w:t>
      </w:r>
      <w:r>
        <w:rPr>
          <w:spacing w:val="-3"/>
          <w:w w:val="105"/>
          <w:sz w:val="21"/>
        </w:rPr>
        <w:t>dispute </w:t>
      </w:r>
      <w:r>
        <w:rPr>
          <w:w w:val="105"/>
          <w:sz w:val="21"/>
        </w:rPr>
        <w:t>laws </w:t>
      </w:r>
      <w:r>
        <w:rPr>
          <w:spacing w:val="-3"/>
          <w:w w:val="105"/>
          <w:sz w:val="21"/>
        </w:rPr>
        <w:t>overriding </w:t>
      </w:r>
      <w:r>
        <w:rPr>
          <w:w w:val="105"/>
          <w:sz w:val="21"/>
        </w:rPr>
        <w:t>existing local laws and other </w:t>
      </w:r>
      <w:r>
        <w:rPr>
          <w:spacing w:val="-3"/>
          <w:w w:val="105"/>
          <w:sz w:val="21"/>
        </w:rPr>
        <w:t>legislation.</w:t>
      </w:r>
      <w:r>
        <w:rPr>
          <w:spacing w:val="-3"/>
          <w:w w:val="105"/>
          <w:position w:val="7"/>
          <w:sz w:val="12"/>
        </w:rPr>
        <w:t>219 </w:t>
      </w:r>
      <w:r>
        <w:rPr>
          <w:w w:val="105"/>
          <w:sz w:val="21"/>
        </w:rPr>
        <w:t>Others suggested </w:t>
      </w:r>
      <w:r>
        <w:rPr>
          <w:spacing w:val="-3"/>
          <w:w w:val="105"/>
          <w:sz w:val="21"/>
        </w:rPr>
        <w:t>that </w:t>
      </w:r>
      <w:r>
        <w:rPr>
          <w:w w:val="105"/>
          <w:sz w:val="21"/>
        </w:rPr>
        <w:t>only local laws, </w:t>
      </w:r>
      <w:r>
        <w:rPr>
          <w:spacing w:val="-3"/>
          <w:w w:val="105"/>
          <w:sz w:val="21"/>
        </w:rPr>
        <w:t>rather than </w:t>
      </w:r>
      <w:r>
        <w:rPr>
          <w:w w:val="105"/>
          <w:sz w:val="21"/>
        </w:rPr>
        <w:t>other Acts of </w:t>
      </w:r>
      <w:r>
        <w:rPr>
          <w:spacing w:val="-3"/>
          <w:w w:val="105"/>
          <w:sz w:val="21"/>
        </w:rPr>
        <w:t>Parliament, </w:t>
      </w:r>
      <w:r>
        <w:rPr>
          <w:w w:val="105"/>
          <w:sz w:val="21"/>
        </w:rPr>
        <w:t>should be </w:t>
      </w:r>
      <w:r>
        <w:rPr>
          <w:spacing w:val="-3"/>
          <w:w w:val="105"/>
          <w:sz w:val="21"/>
        </w:rPr>
        <w:t>interfered</w:t>
      </w:r>
      <w:r>
        <w:rPr>
          <w:spacing w:val="-10"/>
          <w:w w:val="105"/>
          <w:sz w:val="21"/>
        </w:rPr>
        <w:t> </w:t>
      </w:r>
      <w:r>
        <w:rPr>
          <w:w w:val="105"/>
          <w:sz w:val="21"/>
        </w:rPr>
        <w:t>with.</w:t>
      </w:r>
      <w:r>
        <w:rPr>
          <w:w w:val="105"/>
          <w:position w:val="7"/>
          <w:sz w:val="12"/>
        </w:rPr>
        <w:t>220</w:t>
      </w:r>
    </w:p>
    <w:p>
      <w:pPr>
        <w:pStyle w:val="ListParagraph"/>
        <w:numPr>
          <w:ilvl w:val="0"/>
          <w:numId w:val="173"/>
        </w:numPr>
        <w:tabs>
          <w:tab w:pos="2381" w:val="left" w:leader="none"/>
          <w:tab w:pos="2382" w:val="left" w:leader="none"/>
        </w:tabs>
        <w:spacing w:line="242" w:lineRule="auto" w:before="126" w:after="0"/>
        <w:ind w:left="2381" w:right="1763" w:hanging="794"/>
        <w:jc w:val="left"/>
        <w:rPr>
          <w:sz w:val="12"/>
        </w:rPr>
      </w:pPr>
      <w:r>
        <w:rPr>
          <w:w w:val="105"/>
          <w:sz w:val="21"/>
        </w:rPr>
        <w:t>On the other </w:t>
      </w:r>
      <w:r>
        <w:rPr>
          <w:spacing w:val="-3"/>
          <w:w w:val="105"/>
          <w:sz w:val="21"/>
        </w:rPr>
        <w:t>hand, </w:t>
      </w:r>
      <w:r>
        <w:rPr>
          <w:w w:val="105"/>
          <w:sz w:val="21"/>
        </w:rPr>
        <w:t>a number of responses supported an approach where orders made under a new tree </w:t>
      </w:r>
      <w:r>
        <w:rPr>
          <w:spacing w:val="-3"/>
          <w:w w:val="105"/>
          <w:sz w:val="21"/>
        </w:rPr>
        <w:t>disputes </w:t>
      </w:r>
      <w:r>
        <w:rPr>
          <w:w w:val="105"/>
          <w:sz w:val="21"/>
        </w:rPr>
        <w:t>Act would work </w:t>
      </w:r>
      <w:r>
        <w:rPr>
          <w:spacing w:val="-3"/>
          <w:w w:val="105"/>
          <w:sz w:val="21"/>
        </w:rPr>
        <w:t>alongside </w:t>
      </w:r>
      <w:r>
        <w:rPr>
          <w:w w:val="105"/>
          <w:sz w:val="21"/>
        </w:rPr>
        <w:t>existing local laws and other </w:t>
      </w:r>
      <w:r>
        <w:rPr>
          <w:spacing w:val="-2"/>
          <w:w w:val="105"/>
          <w:sz w:val="21"/>
        </w:rPr>
        <w:t>legislation.</w:t>
      </w:r>
      <w:r>
        <w:rPr>
          <w:spacing w:val="-2"/>
          <w:w w:val="105"/>
          <w:position w:val="7"/>
          <w:sz w:val="12"/>
        </w:rPr>
        <w:t>221 </w:t>
      </w:r>
      <w:r>
        <w:rPr>
          <w:w w:val="105"/>
          <w:sz w:val="21"/>
        </w:rPr>
        <w:t>Arborist Ben </w:t>
      </w:r>
      <w:r>
        <w:rPr>
          <w:spacing w:val="-3"/>
          <w:w w:val="105"/>
          <w:sz w:val="21"/>
        </w:rPr>
        <w:t>Kenyon </w:t>
      </w:r>
      <w:r>
        <w:rPr>
          <w:w w:val="105"/>
          <w:sz w:val="21"/>
        </w:rPr>
        <w:t>suggested </w:t>
      </w:r>
      <w:r>
        <w:rPr>
          <w:spacing w:val="-3"/>
          <w:w w:val="105"/>
          <w:sz w:val="21"/>
        </w:rPr>
        <w:t>that many </w:t>
      </w:r>
      <w:r>
        <w:rPr>
          <w:w w:val="105"/>
          <w:sz w:val="21"/>
        </w:rPr>
        <w:t>existing </w:t>
      </w:r>
      <w:r>
        <w:rPr>
          <w:spacing w:val="-3"/>
          <w:w w:val="105"/>
          <w:sz w:val="21"/>
        </w:rPr>
        <w:t>mechanisms, such </w:t>
      </w:r>
      <w:r>
        <w:rPr>
          <w:w w:val="105"/>
          <w:sz w:val="21"/>
        </w:rPr>
        <w:t>as </w:t>
      </w:r>
      <w:r>
        <w:rPr>
          <w:spacing w:val="-3"/>
          <w:w w:val="105"/>
          <w:sz w:val="21"/>
        </w:rPr>
        <w:t>significant</w:t>
      </w:r>
      <w:r>
        <w:rPr>
          <w:spacing w:val="-8"/>
          <w:w w:val="105"/>
          <w:sz w:val="21"/>
        </w:rPr>
        <w:t> </w:t>
      </w:r>
      <w:r>
        <w:rPr>
          <w:w w:val="105"/>
          <w:sz w:val="21"/>
        </w:rPr>
        <w:t>tree</w:t>
      </w:r>
      <w:r>
        <w:rPr>
          <w:spacing w:val="-8"/>
          <w:w w:val="105"/>
          <w:sz w:val="21"/>
        </w:rPr>
        <w:t> </w:t>
      </w:r>
      <w:r>
        <w:rPr>
          <w:w w:val="105"/>
          <w:sz w:val="21"/>
        </w:rPr>
        <w:t>registers</w:t>
      </w:r>
      <w:r>
        <w:rPr>
          <w:spacing w:val="-8"/>
          <w:w w:val="105"/>
          <w:sz w:val="21"/>
        </w:rPr>
        <w:t> </w:t>
      </w:r>
      <w:r>
        <w:rPr>
          <w:w w:val="105"/>
          <w:sz w:val="21"/>
        </w:rPr>
        <w:t>and</w:t>
      </w:r>
      <w:r>
        <w:rPr>
          <w:spacing w:val="-8"/>
          <w:w w:val="105"/>
          <w:sz w:val="21"/>
        </w:rPr>
        <w:t> </w:t>
      </w:r>
      <w:r>
        <w:rPr>
          <w:spacing w:val="-3"/>
          <w:w w:val="105"/>
          <w:sz w:val="21"/>
        </w:rPr>
        <w:t>planning</w:t>
      </w:r>
      <w:r>
        <w:rPr>
          <w:spacing w:val="-7"/>
          <w:w w:val="105"/>
          <w:sz w:val="21"/>
        </w:rPr>
        <w:t> </w:t>
      </w:r>
      <w:r>
        <w:rPr>
          <w:w w:val="105"/>
          <w:sz w:val="21"/>
        </w:rPr>
        <w:t>permits,</w:t>
      </w:r>
      <w:r>
        <w:rPr>
          <w:spacing w:val="-8"/>
          <w:w w:val="105"/>
          <w:sz w:val="21"/>
        </w:rPr>
        <w:t> </w:t>
      </w:r>
      <w:r>
        <w:rPr>
          <w:w w:val="105"/>
          <w:sz w:val="21"/>
        </w:rPr>
        <w:t>work</w:t>
      </w:r>
      <w:r>
        <w:rPr>
          <w:spacing w:val="-8"/>
          <w:w w:val="105"/>
          <w:sz w:val="21"/>
        </w:rPr>
        <w:t> </w:t>
      </w:r>
      <w:r>
        <w:rPr>
          <w:spacing w:val="-3"/>
          <w:w w:val="105"/>
          <w:sz w:val="21"/>
        </w:rPr>
        <w:t>well</w:t>
      </w:r>
      <w:r>
        <w:rPr>
          <w:spacing w:val="-8"/>
          <w:w w:val="105"/>
          <w:sz w:val="21"/>
        </w:rPr>
        <w:t> </w:t>
      </w:r>
      <w:r>
        <w:rPr>
          <w:spacing w:val="-3"/>
          <w:w w:val="105"/>
          <w:sz w:val="21"/>
        </w:rPr>
        <w:t>to</w:t>
      </w:r>
      <w:r>
        <w:rPr>
          <w:spacing w:val="-7"/>
          <w:w w:val="105"/>
          <w:sz w:val="21"/>
        </w:rPr>
        <w:t> </w:t>
      </w:r>
      <w:r>
        <w:rPr>
          <w:w w:val="105"/>
          <w:sz w:val="21"/>
        </w:rPr>
        <w:t>protect</w:t>
      </w:r>
      <w:r>
        <w:rPr>
          <w:spacing w:val="-8"/>
          <w:w w:val="105"/>
          <w:sz w:val="21"/>
        </w:rPr>
        <w:t> </w:t>
      </w:r>
      <w:r>
        <w:rPr>
          <w:w w:val="105"/>
          <w:sz w:val="21"/>
        </w:rPr>
        <w:t>vegetation</w:t>
      </w:r>
      <w:r>
        <w:rPr>
          <w:spacing w:val="-8"/>
          <w:w w:val="105"/>
          <w:sz w:val="21"/>
        </w:rPr>
        <w:t> </w:t>
      </w:r>
      <w:r>
        <w:rPr>
          <w:w w:val="105"/>
          <w:sz w:val="21"/>
        </w:rPr>
        <w:t>and</w:t>
      </w:r>
      <w:r>
        <w:rPr>
          <w:spacing w:val="-8"/>
          <w:w w:val="105"/>
          <w:sz w:val="21"/>
        </w:rPr>
        <w:t> </w:t>
      </w:r>
      <w:r>
        <w:rPr>
          <w:spacing w:val="-3"/>
          <w:w w:val="105"/>
          <w:sz w:val="21"/>
        </w:rPr>
        <w:t>have </w:t>
      </w:r>
      <w:r>
        <w:rPr>
          <w:w w:val="105"/>
          <w:sz w:val="21"/>
        </w:rPr>
        <w:t>adequately </w:t>
      </w:r>
      <w:r>
        <w:rPr>
          <w:spacing w:val="-3"/>
          <w:w w:val="105"/>
          <w:sz w:val="21"/>
        </w:rPr>
        <w:t>built-in exceptions for </w:t>
      </w:r>
      <w:r>
        <w:rPr>
          <w:w w:val="105"/>
          <w:sz w:val="21"/>
        </w:rPr>
        <w:t>safety and</w:t>
      </w:r>
      <w:r>
        <w:rPr>
          <w:spacing w:val="33"/>
          <w:w w:val="105"/>
          <w:sz w:val="21"/>
        </w:rPr>
        <w:t> </w:t>
      </w:r>
      <w:r>
        <w:rPr>
          <w:w w:val="105"/>
          <w:sz w:val="21"/>
        </w:rPr>
        <w:t>damage.</w:t>
      </w:r>
      <w:r>
        <w:rPr>
          <w:w w:val="105"/>
          <w:position w:val="7"/>
          <w:sz w:val="12"/>
        </w:rPr>
        <w:t>222</w:t>
      </w:r>
    </w:p>
    <w:p>
      <w:pPr>
        <w:pStyle w:val="BodyText"/>
        <w:rPr>
          <w:sz w:val="20"/>
        </w:rPr>
      </w:pPr>
    </w:p>
    <w:p>
      <w:pPr>
        <w:pStyle w:val="BodyText"/>
        <w:rPr>
          <w:sz w:val="20"/>
        </w:rPr>
      </w:pPr>
    </w:p>
    <w:p>
      <w:pPr>
        <w:pStyle w:val="BodyText"/>
        <w:rPr>
          <w:sz w:val="20"/>
        </w:rPr>
      </w:pPr>
    </w:p>
    <w:p>
      <w:pPr>
        <w:pStyle w:val="BodyText"/>
        <w:spacing w:before="12"/>
        <w:rPr>
          <w:sz w:val="13"/>
        </w:rPr>
      </w:pPr>
      <w:r>
        <w:rPr/>
        <w:pict>
          <v:line style="position:absolute;mso-position-horizontal-relative:page;mso-position-vertical-relative:paragraph;z-index:9848;mso-wrap-distance-left:0;mso-wrap-distance-right:0" from="79.370102pt,10.993014pt" to="515.905102pt,10.99301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74"/>
        </w:numPr>
        <w:tabs>
          <w:tab w:pos="2380" w:val="left" w:leader="none"/>
          <w:tab w:pos="2382" w:val="left" w:leader="none"/>
        </w:tabs>
        <w:spacing w:line="240" w:lineRule="auto" w:before="48" w:after="0"/>
        <w:ind w:left="2381" w:right="0" w:hanging="794"/>
        <w:jc w:val="left"/>
        <w:rPr>
          <w:sz w:val="13"/>
        </w:rPr>
      </w:pPr>
      <w:r>
        <w:rPr>
          <w:w w:val="105"/>
          <w:sz w:val="13"/>
        </w:rPr>
        <w:t>Department</w:t>
      </w:r>
      <w:r>
        <w:rPr>
          <w:spacing w:val="7"/>
          <w:w w:val="105"/>
          <w:sz w:val="13"/>
        </w:rPr>
        <w:t> </w:t>
      </w:r>
      <w:r>
        <w:rPr>
          <w:w w:val="105"/>
          <w:sz w:val="13"/>
        </w:rPr>
        <w:t>of</w:t>
      </w:r>
      <w:r>
        <w:rPr>
          <w:spacing w:val="7"/>
          <w:w w:val="105"/>
          <w:sz w:val="13"/>
        </w:rPr>
        <w:t> </w:t>
      </w:r>
      <w:r>
        <w:rPr>
          <w:w w:val="105"/>
          <w:sz w:val="13"/>
        </w:rPr>
        <w:t>Environment</w:t>
      </w:r>
      <w:r>
        <w:rPr>
          <w:spacing w:val="8"/>
          <w:w w:val="105"/>
          <w:sz w:val="13"/>
        </w:rPr>
        <w:t> </w:t>
      </w:r>
      <w:r>
        <w:rPr>
          <w:w w:val="105"/>
          <w:sz w:val="13"/>
        </w:rPr>
        <w:t>and</w:t>
      </w:r>
      <w:r>
        <w:rPr>
          <w:spacing w:val="7"/>
          <w:w w:val="105"/>
          <w:sz w:val="13"/>
        </w:rPr>
        <w:t> </w:t>
      </w:r>
      <w:r>
        <w:rPr>
          <w:w w:val="105"/>
          <w:sz w:val="13"/>
        </w:rPr>
        <w:t>Energy</w:t>
      </w:r>
      <w:r>
        <w:rPr>
          <w:spacing w:val="7"/>
          <w:w w:val="105"/>
          <w:sz w:val="13"/>
        </w:rPr>
        <w:t> </w:t>
      </w:r>
      <w:r>
        <w:rPr>
          <w:w w:val="105"/>
          <w:sz w:val="13"/>
        </w:rPr>
        <w:t>(Cth),</w:t>
      </w:r>
      <w:r>
        <w:rPr>
          <w:spacing w:val="8"/>
          <w:w w:val="105"/>
          <w:sz w:val="13"/>
        </w:rPr>
        <w:t> </w:t>
      </w:r>
      <w:r>
        <w:rPr>
          <w:i/>
          <w:w w:val="105"/>
          <w:sz w:val="13"/>
        </w:rPr>
        <w:t>Significant</w:t>
      </w:r>
      <w:r>
        <w:rPr>
          <w:i/>
          <w:spacing w:val="7"/>
          <w:w w:val="105"/>
          <w:sz w:val="13"/>
        </w:rPr>
        <w:t> </w:t>
      </w:r>
      <w:r>
        <w:rPr>
          <w:i/>
          <w:w w:val="105"/>
          <w:sz w:val="13"/>
        </w:rPr>
        <w:t>Impact</w:t>
      </w:r>
      <w:r>
        <w:rPr>
          <w:i/>
          <w:spacing w:val="7"/>
          <w:w w:val="105"/>
          <w:sz w:val="13"/>
        </w:rPr>
        <w:t> </w:t>
      </w:r>
      <w:r>
        <w:rPr>
          <w:i/>
          <w:w w:val="105"/>
          <w:sz w:val="13"/>
        </w:rPr>
        <w:t>Guidelines</w:t>
      </w:r>
      <w:r>
        <w:rPr>
          <w:i/>
          <w:spacing w:val="8"/>
          <w:w w:val="105"/>
          <w:sz w:val="13"/>
        </w:rPr>
        <w:t> </w:t>
      </w:r>
      <w:r>
        <w:rPr>
          <w:i/>
          <w:spacing w:val="-5"/>
          <w:w w:val="105"/>
          <w:sz w:val="13"/>
        </w:rPr>
        <w:t>1.1—</w:t>
      </w:r>
      <w:r>
        <w:rPr>
          <w:i/>
          <w:spacing w:val="7"/>
          <w:w w:val="105"/>
          <w:sz w:val="13"/>
        </w:rPr>
        <w:t> </w:t>
      </w:r>
      <w:r>
        <w:rPr>
          <w:i/>
          <w:w w:val="105"/>
          <w:sz w:val="13"/>
        </w:rPr>
        <w:t>Matters</w:t>
      </w:r>
      <w:r>
        <w:rPr>
          <w:i/>
          <w:spacing w:val="7"/>
          <w:w w:val="105"/>
          <w:sz w:val="13"/>
        </w:rPr>
        <w:t> </w:t>
      </w:r>
      <w:r>
        <w:rPr>
          <w:i/>
          <w:w w:val="105"/>
          <w:sz w:val="13"/>
        </w:rPr>
        <w:t>of</w:t>
      </w:r>
      <w:r>
        <w:rPr>
          <w:i/>
          <w:spacing w:val="8"/>
          <w:w w:val="105"/>
          <w:sz w:val="13"/>
        </w:rPr>
        <w:t> </w:t>
      </w:r>
      <w:r>
        <w:rPr>
          <w:i/>
          <w:w w:val="105"/>
          <w:sz w:val="13"/>
        </w:rPr>
        <w:t>National</w:t>
      </w:r>
      <w:r>
        <w:rPr>
          <w:i/>
          <w:spacing w:val="7"/>
          <w:w w:val="105"/>
          <w:sz w:val="13"/>
        </w:rPr>
        <w:t> </w:t>
      </w:r>
      <w:r>
        <w:rPr>
          <w:i/>
          <w:w w:val="105"/>
          <w:sz w:val="13"/>
        </w:rPr>
        <w:t>Environmental</w:t>
      </w:r>
      <w:r>
        <w:rPr>
          <w:i/>
          <w:spacing w:val="7"/>
          <w:w w:val="105"/>
          <w:sz w:val="13"/>
        </w:rPr>
        <w:t> </w:t>
      </w:r>
      <w:r>
        <w:rPr>
          <w:i/>
          <w:w w:val="105"/>
          <w:sz w:val="13"/>
        </w:rPr>
        <w:t>Significance</w:t>
      </w:r>
      <w:r>
        <w:rPr>
          <w:i/>
          <w:spacing w:val="8"/>
          <w:w w:val="105"/>
          <w:sz w:val="13"/>
        </w:rPr>
        <w:t> </w:t>
      </w:r>
      <w:r>
        <w:rPr>
          <w:w w:val="105"/>
          <w:sz w:val="13"/>
        </w:rPr>
        <w:t>(2013)</w:t>
      </w:r>
    </w:p>
    <w:p>
      <w:pPr>
        <w:spacing w:before="1"/>
        <w:ind w:left="2381" w:right="0" w:firstLine="0"/>
        <w:jc w:val="left"/>
        <w:rPr>
          <w:sz w:val="13"/>
        </w:rPr>
      </w:pPr>
      <w:r>
        <w:rPr>
          <w:w w:val="105"/>
          <w:sz w:val="13"/>
        </w:rPr>
        <w:t>&lt;</w:t>
      </w:r>
      <w:hyperlink r:id="rId287">
        <w:r>
          <w:rPr>
            <w:w w:val="105"/>
            <w:sz w:val="13"/>
          </w:rPr>
          <w:t>http://www.environment.gov.au/epbc/publications/significant-impact-guidelines-11-matters-national-environmental-significance</w:t>
        </w:r>
      </w:hyperlink>
      <w:r>
        <w:rPr>
          <w:w w:val="105"/>
          <w:sz w:val="13"/>
        </w:rPr>
        <w:t>&gt;.</w:t>
      </w:r>
    </w:p>
    <w:p>
      <w:pPr>
        <w:pStyle w:val="ListParagraph"/>
        <w:numPr>
          <w:ilvl w:val="0"/>
          <w:numId w:val="174"/>
        </w:numPr>
        <w:tabs>
          <w:tab w:pos="2380"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174"/>
        </w:numPr>
        <w:tabs>
          <w:tab w:pos="2380" w:val="left" w:leader="none"/>
          <w:tab w:pos="2382" w:val="left" w:leader="none"/>
        </w:tabs>
        <w:spacing w:line="240" w:lineRule="auto" w:before="1" w:after="0"/>
        <w:ind w:left="2381" w:right="0" w:hanging="794"/>
        <w:jc w:val="left"/>
        <w:rPr>
          <w:sz w:val="13"/>
        </w:rPr>
      </w:pPr>
      <w:r>
        <w:rPr>
          <w:w w:val="105"/>
          <w:sz w:val="13"/>
        </w:rPr>
        <w:t>Confirmed</w:t>
      </w:r>
      <w:r>
        <w:rPr>
          <w:spacing w:val="4"/>
          <w:w w:val="105"/>
          <w:sz w:val="13"/>
        </w:rPr>
        <w:t> </w:t>
      </w:r>
      <w:r>
        <w:rPr>
          <w:w w:val="105"/>
          <w:sz w:val="13"/>
        </w:rPr>
        <w:t>by</w:t>
      </w:r>
      <w:r>
        <w:rPr>
          <w:spacing w:val="5"/>
          <w:w w:val="105"/>
          <w:sz w:val="13"/>
        </w:rPr>
        <w:t> </w:t>
      </w:r>
      <w:r>
        <w:rPr>
          <w:w w:val="105"/>
          <w:sz w:val="13"/>
        </w:rPr>
        <w:t>VCAT:</w:t>
      </w:r>
      <w:r>
        <w:rPr>
          <w:spacing w:val="5"/>
          <w:w w:val="105"/>
          <w:sz w:val="13"/>
        </w:rPr>
        <w:t> </w:t>
      </w:r>
      <w:r>
        <w:rPr>
          <w:w w:val="105"/>
          <w:sz w:val="13"/>
        </w:rPr>
        <w:t>Supplementary</w:t>
      </w:r>
      <w:r>
        <w:rPr>
          <w:spacing w:val="5"/>
          <w:w w:val="105"/>
          <w:sz w:val="13"/>
        </w:rPr>
        <w:t> </w:t>
      </w:r>
      <w:r>
        <w:rPr>
          <w:w w:val="105"/>
          <w:sz w:val="13"/>
        </w:rPr>
        <w:t>Consultation</w:t>
      </w:r>
      <w:r>
        <w:rPr>
          <w:spacing w:val="5"/>
          <w:w w:val="105"/>
          <w:sz w:val="13"/>
        </w:rPr>
        <w:t> </w:t>
      </w:r>
      <w:r>
        <w:rPr>
          <w:w w:val="105"/>
          <w:sz w:val="13"/>
        </w:rPr>
        <w:t>1</w:t>
      </w:r>
      <w:r>
        <w:rPr>
          <w:spacing w:val="5"/>
          <w:w w:val="105"/>
          <w:sz w:val="13"/>
        </w:rPr>
        <w:t> </w:t>
      </w:r>
      <w:r>
        <w:rPr>
          <w:spacing w:val="2"/>
          <w:w w:val="105"/>
          <w:sz w:val="13"/>
        </w:rPr>
        <w:t>(Victorian</w:t>
      </w:r>
      <w:r>
        <w:rPr>
          <w:spacing w:val="5"/>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5"/>
          <w:w w:val="105"/>
          <w:sz w:val="13"/>
        </w:rPr>
        <w:t> </w:t>
      </w:r>
      <w:r>
        <w:rPr>
          <w:w w:val="105"/>
          <w:sz w:val="13"/>
        </w:rPr>
        <w:t>Tribunal).</w:t>
      </w:r>
    </w:p>
    <w:p>
      <w:pPr>
        <w:pStyle w:val="ListParagraph"/>
        <w:numPr>
          <w:ilvl w:val="0"/>
          <w:numId w:val="174"/>
        </w:numPr>
        <w:tabs>
          <w:tab w:pos="2380" w:val="left" w:leader="none"/>
          <w:tab w:pos="2382" w:val="left" w:leader="none"/>
        </w:tabs>
        <w:spacing w:line="240" w:lineRule="auto" w:before="1" w:after="0"/>
        <w:ind w:left="2381" w:right="0" w:hanging="794"/>
        <w:jc w:val="left"/>
        <w:rPr>
          <w:sz w:val="13"/>
        </w:rPr>
      </w:pPr>
      <w:r>
        <w:rPr>
          <w:w w:val="105"/>
          <w:sz w:val="13"/>
        </w:rPr>
        <w:t>Confidential</w:t>
      </w:r>
      <w:r>
        <w:rPr>
          <w:spacing w:val="4"/>
          <w:w w:val="105"/>
          <w:sz w:val="13"/>
        </w:rPr>
        <w:t> </w:t>
      </w:r>
      <w:r>
        <w:rPr>
          <w:w w:val="105"/>
          <w:sz w:val="13"/>
        </w:rPr>
        <w:t>submission.</w:t>
      </w:r>
    </w:p>
    <w:p>
      <w:pPr>
        <w:tabs>
          <w:tab w:pos="2380" w:val="left" w:leader="none"/>
        </w:tabs>
        <w:spacing w:before="2"/>
        <w:ind w:left="1587" w:right="0" w:firstLine="0"/>
        <w:jc w:val="left"/>
        <w:rPr>
          <w:sz w:val="13"/>
        </w:rPr>
      </w:pPr>
      <w:r>
        <w:rPr>
          <w:spacing w:val="-3"/>
          <w:w w:val="105"/>
          <w:sz w:val="13"/>
        </w:rPr>
        <w:t>216</w:t>
        <w:tab/>
      </w:r>
      <w:r>
        <w:rPr>
          <w:w w:val="105"/>
          <w:sz w:val="13"/>
        </w:rPr>
        <w:t>Survey Respondents 3, 19, </w:t>
      </w:r>
      <w:r>
        <w:rPr>
          <w:spacing w:val="-4"/>
          <w:w w:val="105"/>
          <w:sz w:val="13"/>
        </w:rPr>
        <w:t>57, </w:t>
      </w:r>
      <w:r>
        <w:rPr>
          <w:w w:val="105"/>
          <w:sz w:val="13"/>
        </w:rPr>
        <w:t>83, </w:t>
      </w:r>
      <w:r>
        <w:rPr>
          <w:spacing w:val="2"/>
          <w:w w:val="105"/>
          <w:sz w:val="13"/>
        </w:rPr>
        <w:t>88,</w:t>
      </w:r>
      <w:r>
        <w:rPr>
          <w:spacing w:val="10"/>
          <w:w w:val="105"/>
          <w:sz w:val="13"/>
        </w:rPr>
        <w:t> </w:t>
      </w:r>
      <w:r>
        <w:rPr>
          <w:spacing w:val="-4"/>
          <w:w w:val="105"/>
          <w:sz w:val="13"/>
        </w:rPr>
        <w:t>110.</w:t>
      </w:r>
    </w:p>
    <w:p>
      <w:pPr>
        <w:pStyle w:val="ListParagraph"/>
        <w:numPr>
          <w:ilvl w:val="0"/>
          <w:numId w:val="175"/>
        </w:numPr>
        <w:tabs>
          <w:tab w:pos="2380" w:val="left" w:leader="none"/>
          <w:tab w:pos="2382" w:val="left" w:leader="none"/>
        </w:tabs>
        <w:spacing w:line="240" w:lineRule="auto" w:before="1" w:after="0"/>
        <w:ind w:left="2381" w:right="0" w:hanging="794"/>
        <w:jc w:val="left"/>
        <w:rPr>
          <w:sz w:val="13"/>
        </w:rPr>
      </w:pPr>
      <w:r>
        <w:rPr>
          <w:w w:val="105"/>
          <w:sz w:val="13"/>
        </w:rPr>
        <w:t>Survey Respondent</w:t>
      </w:r>
      <w:r>
        <w:rPr>
          <w:spacing w:val="9"/>
          <w:w w:val="105"/>
          <w:sz w:val="13"/>
        </w:rPr>
        <w:t> </w:t>
      </w:r>
      <w:r>
        <w:rPr>
          <w:spacing w:val="-4"/>
          <w:w w:val="105"/>
          <w:sz w:val="13"/>
        </w:rPr>
        <w:t>57.</w:t>
      </w:r>
    </w:p>
    <w:p>
      <w:pPr>
        <w:pStyle w:val="ListParagraph"/>
        <w:numPr>
          <w:ilvl w:val="0"/>
          <w:numId w:val="175"/>
        </w:numPr>
        <w:tabs>
          <w:tab w:pos="2380" w:val="left" w:leader="none"/>
          <w:tab w:pos="2382" w:val="left" w:leader="none"/>
        </w:tabs>
        <w:spacing w:line="240" w:lineRule="auto" w:before="1" w:after="0"/>
        <w:ind w:left="2381" w:right="0" w:hanging="794"/>
        <w:jc w:val="left"/>
        <w:rPr>
          <w:sz w:val="13"/>
        </w:rPr>
      </w:pPr>
      <w:r>
        <w:rPr>
          <w:w w:val="105"/>
          <w:sz w:val="13"/>
        </w:rPr>
        <w:t>Submission 30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175"/>
        </w:numPr>
        <w:tabs>
          <w:tab w:pos="2381" w:val="left" w:leader="none"/>
          <w:tab w:pos="2382" w:val="left" w:leader="none"/>
        </w:tabs>
        <w:spacing w:line="240" w:lineRule="auto" w:before="2" w:after="0"/>
        <w:ind w:left="2381" w:right="0" w:hanging="794"/>
        <w:jc w:val="left"/>
        <w:rPr>
          <w:sz w:val="13"/>
        </w:rPr>
      </w:pPr>
      <w:r>
        <w:rPr>
          <w:w w:val="105"/>
          <w:sz w:val="13"/>
        </w:rPr>
        <w:t>Submissions 23 </w:t>
      </w:r>
      <w:r>
        <w:rPr>
          <w:spacing w:val="2"/>
          <w:w w:val="105"/>
          <w:sz w:val="13"/>
        </w:rPr>
        <w:t>(Name </w:t>
      </w:r>
      <w:r>
        <w:rPr>
          <w:w w:val="105"/>
          <w:sz w:val="13"/>
        </w:rPr>
        <w:t>withheld), 27 </w:t>
      </w:r>
      <w:r>
        <w:rPr>
          <w:spacing w:val="2"/>
          <w:w w:val="105"/>
          <w:sz w:val="13"/>
        </w:rPr>
        <w:t>(Name </w:t>
      </w:r>
      <w:r>
        <w:rPr>
          <w:w w:val="105"/>
          <w:sz w:val="13"/>
        </w:rPr>
        <w:t>withheld), 29 (David</w:t>
      </w:r>
      <w:r>
        <w:rPr>
          <w:spacing w:val="8"/>
          <w:w w:val="105"/>
          <w:sz w:val="13"/>
        </w:rPr>
        <w:t> </w:t>
      </w:r>
      <w:r>
        <w:rPr>
          <w:w w:val="105"/>
          <w:sz w:val="13"/>
        </w:rPr>
        <w:t>Galwey).</w:t>
      </w:r>
    </w:p>
    <w:p>
      <w:pPr>
        <w:pStyle w:val="ListParagraph"/>
        <w:numPr>
          <w:ilvl w:val="0"/>
          <w:numId w:val="175"/>
        </w:numPr>
        <w:tabs>
          <w:tab w:pos="2381" w:val="left" w:leader="none"/>
          <w:tab w:pos="2382" w:val="left" w:leader="none"/>
        </w:tabs>
        <w:spacing w:line="240" w:lineRule="auto" w:before="1" w:after="0"/>
        <w:ind w:left="2381" w:right="503" w:hanging="794"/>
        <w:jc w:val="left"/>
        <w:rPr>
          <w:sz w:val="13"/>
        </w:rPr>
      </w:pPr>
      <w:r>
        <w:rPr>
          <w:w w:val="105"/>
          <w:sz w:val="13"/>
        </w:rPr>
        <w:t>Submissions 4 </w:t>
      </w:r>
      <w:r>
        <w:rPr>
          <w:spacing w:val="2"/>
          <w:w w:val="105"/>
          <w:sz w:val="13"/>
        </w:rPr>
        <w:t>(Name </w:t>
      </w:r>
      <w:r>
        <w:rPr>
          <w:w w:val="105"/>
          <w:sz w:val="13"/>
        </w:rPr>
        <w:t>withheld), 9 </w:t>
      </w:r>
      <w:r>
        <w:rPr>
          <w:spacing w:val="3"/>
          <w:w w:val="105"/>
          <w:sz w:val="13"/>
        </w:rPr>
        <w:t>(Dr </w:t>
      </w:r>
      <w:r>
        <w:rPr>
          <w:w w:val="105"/>
          <w:sz w:val="13"/>
        </w:rPr>
        <w:t>Karen Smith), 21 (Pointon Partners </w:t>
      </w:r>
      <w:r>
        <w:rPr>
          <w:spacing w:val="2"/>
          <w:w w:val="105"/>
          <w:sz w:val="13"/>
        </w:rPr>
        <w:t>Lawyers), </w:t>
      </w:r>
      <w:r>
        <w:rPr>
          <w:w w:val="105"/>
          <w:sz w:val="13"/>
        </w:rPr>
        <w:t>25 (City of Boroondara), 33 (Annette </w:t>
      </w:r>
      <w:r>
        <w:rPr>
          <w:spacing w:val="2"/>
          <w:w w:val="105"/>
          <w:sz w:val="13"/>
        </w:rPr>
        <w:t>Neville); </w:t>
      </w:r>
      <w:r>
        <w:rPr>
          <w:w w:val="105"/>
          <w:sz w:val="13"/>
        </w:rPr>
        <w:t>Consultation 6 </w:t>
      </w:r>
      <w:r>
        <w:rPr>
          <w:spacing w:val="2"/>
          <w:w w:val="105"/>
          <w:sz w:val="13"/>
        </w:rPr>
        <w:t>(Ben</w:t>
      </w:r>
      <w:r>
        <w:rPr>
          <w:spacing w:val="13"/>
          <w:w w:val="105"/>
          <w:sz w:val="13"/>
        </w:rPr>
        <w:t> </w:t>
      </w:r>
      <w:r>
        <w:rPr>
          <w:w w:val="105"/>
          <w:sz w:val="13"/>
        </w:rPr>
        <w:t>Kenyon).</w:t>
      </w:r>
    </w:p>
    <w:p>
      <w:pPr>
        <w:pStyle w:val="ListParagraph"/>
        <w:numPr>
          <w:ilvl w:val="0"/>
          <w:numId w:val="175"/>
        </w:numPr>
        <w:tabs>
          <w:tab w:pos="2381" w:val="left" w:leader="none"/>
          <w:tab w:pos="2382" w:val="left" w:leader="none"/>
        </w:tabs>
        <w:spacing w:line="240" w:lineRule="auto" w:before="3" w:after="0"/>
        <w:ind w:left="2381" w:right="0" w:hanging="794"/>
        <w:jc w:val="left"/>
        <w:rPr>
          <w:sz w:val="13"/>
        </w:rPr>
      </w:pPr>
      <w:r>
        <w:rPr>
          <w:w w:val="105"/>
          <w:sz w:val="13"/>
        </w:rPr>
        <w:t>Submissions 2 </w:t>
      </w:r>
      <w:r>
        <w:rPr>
          <w:spacing w:val="2"/>
          <w:w w:val="105"/>
          <w:sz w:val="13"/>
        </w:rPr>
        <w:t>(Name </w:t>
      </w:r>
      <w:r>
        <w:rPr>
          <w:w w:val="105"/>
          <w:sz w:val="13"/>
        </w:rPr>
        <w:t>withheld), </w:t>
      </w:r>
      <w:r>
        <w:rPr>
          <w:spacing w:val="-3"/>
          <w:w w:val="105"/>
          <w:sz w:val="13"/>
        </w:rPr>
        <w:t>19 </w:t>
      </w:r>
      <w:r>
        <w:rPr>
          <w:spacing w:val="2"/>
          <w:w w:val="105"/>
          <w:sz w:val="13"/>
        </w:rPr>
        <w:t>(Name </w:t>
      </w:r>
      <w:r>
        <w:rPr>
          <w:w w:val="105"/>
          <w:sz w:val="13"/>
        </w:rPr>
        <w:t>withheld); Consultations 8 (City of Boroondara), 9 (Nillumbik Shire Council), 10 </w:t>
      </w:r>
      <w:r>
        <w:rPr>
          <w:spacing w:val="2"/>
          <w:w w:val="105"/>
          <w:sz w:val="13"/>
        </w:rPr>
        <w:t>(Baw </w:t>
      </w:r>
      <w:r>
        <w:rPr>
          <w:w w:val="105"/>
          <w:sz w:val="13"/>
        </w:rPr>
        <w:t>Baw Shire Council), </w:t>
      </w:r>
      <w:r>
        <w:rPr>
          <w:spacing w:val="-4"/>
          <w:w w:val="105"/>
          <w:sz w:val="13"/>
        </w:rPr>
        <w:t>12 </w:t>
      </w:r>
      <w:r>
        <w:rPr>
          <w:w w:val="105"/>
          <w:sz w:val="13"/>
        </w:rPr>
        <w:t>(City of Port Phillip).</w:t>
      </w:r>
    </w:p>
    <w:p>
      <w:pPr>
        <w:pStyle w:val="ListParagraph"/>
        <w:numPr>
          <w:ilvl w:val="0"/>
          <w:numId w:val="175"/>
        </w:numPr>
        <w:tabs>
          <w:tab w:pos="2381" w:val="left" w:leader="none"/>
          <w:tab w:pos="2382" w:val="left" w:leader="none"/>
        </w:tabs>
        <w:spacing w:line="240" w:lineRule="auto" w:before="2" w:after="0"/>
        <w:ind w:left="2381" w:right="0" w:hanging="794"/>
        <w:jc w:val="left"/>
        <w:rPr>
          <w:sz w:val="13"/>
        </w:rPr>
      </w:pPr>
      <w:r>
        <w:rPr>
          <w:w w:val="105"/>
          <w:sz w:val="13"/>
        </w:rPr>
        <w:t>Consultation 6 </w:t>
      </w:r>
      <w:r>
        <w:rPr>
          <w:spacing w:val="2"/>
          <w:w w:val="105"/>
          <w:sz w:val="13"/>
        </w:rPr>
        <w:t>(Ben</w:t>
      </w:r>
      <w:r>
        <w:rPr>
          <w:spacing w:val="13"/>
          <w:w w:val="105"/>
          <w:sz w:val="13"/>
        </w:rPr>
        <w:t> </w:t>
      </w:r>
      <w:r>
        <w:rPr>
          <w:w w:val="105"/>
          <w:sz w:val="13"/>
        </w:rPr>
        <w:t>Kenyon).</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5"/>
        </w:rPr>
      </w:pPr>
    </w:p>
    <w:p>
      <w:pPr>
        <w:spacing w:before="0"/>
        <w:ind w:left="616" w:right="575" w:firstLine="0"/>
        <w:jc w:val="center"/>
        <w:rPr>
          <w:b/>
          <w:sz w:val="24"/>
        </w:rPr>
      </w:pPr>
      <w:r>
        <w:rPr>
          <w:b/>
          <w:color w:val="658464"/>
          <w:w w:val="110"/>
          <w:sz w:val="24"/>
        </w:rPr>
        <w:t>237</w:t>
      </w:r>
    </w:p>
    <w:p>
      <w:pPr>
        <w:spacing w:after="0"/>
        <w:jc w:val="center"/>
        <w:rPr>
          <w:sz w:val="24"/>
        </w:rPr>
        <w:sectPr>
          <w:type w:val="continuous"/>
          <w:pgSz w:w="11910" w:h="16840"/>
          <w:pgMar w:top="300" w:bottom="280" w:left="0" w:right="0"/>
          <w:cols w:num="2" w:equalWidth="0">
            <w:col w:w="10237" w:space="39"/>
            <w:col w:w="1634"/>
          </w:cols>
        </w:sectPr>
      </w:pPr>
    </w:p>
    <w:p>
      <w:pPr>
        <w:pStyle w:val="BodyText"/>
        <w:spacing w:before="9"/>
        <w:rPr>
          <w:b/>
          <w:sz w:val="22"/>
        </w:rPr>
      </w:pPr>
    </w:p>
    <w:p>
      <w:pPr>
        <w:pStyle w:val="ListParagraph"/>
        <w:numPr>
          <w:ilvl w:val="0"/>
          <w:numId w:val="173"/>
        </w:numPr>
        <w:tabs>
          <w:tab w:pos="2381" w:val="left" w:leader="none"/>
          <w:tab w:pos="2382" w:val="left" w:leader="none"/>
        </w:tabs>
        <w:spacing w:line="242" w:lineRule="auto" w:before="92" w:after="0"/>
        <w:ind w:left="2381" w:right="1613" w:hanging="794"/>
        <w:jc w:val="left"/>
        <w:rPr>
          <w:sz w:val="12"/>
        </w:rPr>
      </w:pPr>
      <w:r>
        <w:rPr>
          <w:w w:val="105"/>
          <w:sz w:val="21"/>
        </w:rPr>
        <w:t>The</w:t>
      </w:r>
      <w:r>
        <w:rPr>
          <w:spacing w:val="-6"/>
          <w:w w:val="105"/>
          <w:sz w:val="21"/>
        </w:rPr>
        <w:t> </w:t>
      </w:r>
      <w:r>
        <w:rPr>
          <w:spacing w:val="-3"/>
          <w:w w:val="105"/>
          <w:sz w:val="21"/>
        </w:rPr>
        <w:t>Commission</w:t>
      </w:r>
      <w:r>
        <w:rPr>
          <w:spacing w:val="-5"/>
          <w:w w:val="105"/>
          <w:sz w:val="21"/>
        </w:rPr>
        <w:t> </w:t>
      </w:r>
      <w:r>
        <w:rPr>
          <w:w w:val="105"/>
          <w:sz w:val="21"/>
        </w:rPr>
        <w:t>met</w:t>
      </w:r>
      <w:r>
        <w:rPr>
          <w:spacing w:val="-5"/>
          <w:w w:val="105"/>
          <w:sz w:val="21"/>
        </w:rPr>
        <w:t> </w:t>
      </w:r>
      <w:r>
        <w:rPr>
          <w:w w:val="105"/>
          <w:sz w:val="21"/>
        </w:rPr>
        <w:t>with</w:t>
      </w:r>
      <w:r>
        <w:rPr>
          <w:spacing w:val="-5"/>
          <w:w w:val="105"/>
          <w:sz w:val="21"/>
        </w:rPr>
        <w:t> </w:t>
      </w:r>
      <w:r>
        <w:rPr>
          <w:w w:val="105"/>
          <w:sz w:val="21"/>
        </w:rPr>
        <w:t>a</w:t>
      </w:r>
      <w:r>
        <w:rPr>
          <w:spacing w:val="-5"/>
          <w:w w:val="105"/>
          <w:sz w:val="21"/>
        </w:rPr>
        <w:t> </w:t>
      </w:r>
      <w:r>
        <w:rPr>
          <w:w w:val="105"/>
          <w:sz w:val="21"/>
        </w:rPr>
        <w:t>number</w:t>
      </w:r>
      <w:r>
        <w:rPr>
          <w:spacing w:val="-5"/>
          <w:w w:val="105"/>
          <w:sz w:val="21"/>
        </w:rPr>
        <w:t> </w:t>
      </w:r>
      <w:r>
        <w:rPr>
          <w:w w:val="105"/>
          <w:sz w:val="21"/>
        </w:rPr>
        <w:t>of</w:t>
      </w:r>
      <w:r>
        <w:rPr>
          <w:spacing w:val="-5"/>
          <w:w w:val="105"/>
          <w:sz w:val="21"/>
        </w:rPr>
        <w:t> </w:t>
      </w:r>
      <w:r>
        <w:rPr>
          <w:w w:val="105"/>
          <w:sz w:val="21"/>
        </w:rPr>
        <w:t>local</w:t>
      </w:r>
      <w:r>
        <w:rPr>
          <w:spacing w:val="-5"/>
          <w:w w:val="105"/>
          <w:sz w:val="21"/>
        </w:rPr>
        <w:t> </w:t>
      </w:r>
      <w:r>
        <w:rPr>
          <w:spacing w:val="-3"/>
          <w:w w:val="105"/>
          <w:sz w:val="21"/>
        </w:rPr>
        <w:t>councils</w:t>
      </w:r>
      <w:r>
        <w:rPr>
          <w:spacing w:val="-5"/>
          <w:w w:val="105"/>
          <w:sz w:val="21"/>
        </w:rPr>
        <w:t> </w:t>
      </w:r>
      <w:r>
        <w:rPr>
          <w:spacing w:val="-3"/>
          <w:w w:val="105"/>
          <w:sz w:val="21"/>
        </w:rPr>
        <w:t>to</w:t>
      </w:r>
      <w:r>
        <w:rPr>
          <w:spacing w:val="-5"/>
          <w:w w:val="105"/>
          <w:sz w:val="21"/>
        </w:rPr>
        <w:t> </w:t>
      </w:r>
      <w:r>
        <w:rPr>
          <w:w w:val="105"/>
          <w:sz w:val="21"/>
        </w:rPr>
        <w:t>discuss</w:t>
      </w:r>
      <w:r>
        <w:rPr>
          <w:spacing w:val="-5"/>
          <w:w w:val="105"/>
          <w:sz w:val="21"/>
        </w:rPr>
        <w:t> </w:t>
      </w:r>
      <w:r>
        <w:rPr>
          <w:w w:val="105"/>
          <w:sz w:val="21"/>
        </w:rPr>
        <w:t>the</w:t>
      </w:r>
      <w:r>
        <w:rPr>
          <w:spacing w:val="-5"/>
          <w:w w:val="105"/>
          <w:sz w:val="21"/>
        </w:rPr>
        <w:t> </w:t>
      </w:r>
      <w:r>
        <w:rPr>
          <w:w w:val="105"/>
          <w:sz w:val="21"/>
        </w:rPr>
        <w:t>possible</w:t>
      </w:r>
      <w:r>
        <w:rPr>
          <w:spacing w:val="-5"/>
          <w:w w:val="105"/>
          <w:sz w:val="21"/>
        </w:rPr>
        <w:t> </w:t>
      </w:r>
      <w:r>
        <w:rPr>
          <w:spacing w:val="-3"/>
          <w:w w:val="105"/>
          <w:sz w:val="21"/>
        </w:rPr>
        <w:t>interaction</w:t>
      </w:r>
      <w:r>
        <w:rPr>
          <w:spacing w:val="-5"/>
          <w:w w:val="105"/>
          <w:sz w:val="21"/>
        </w:rPr>
        <w:t> </w:t>
      </w:r>
      <w:r>
        <w:rPr>
          <w:w w:val="105"/>
          <w:sz w:val="21"/>
        </w:rPr>
        <w:t>of a new Act with existing laws </w:t>
      </w:r>
      <w:r>
        <w:rPr>
          <w:spacing w:val="-3"/>
          <w:w w:val="105"/>
          <w:sz w:val="21"/>
        </w:rPr>
        <w:t>that are </w:t>
      </w:r>
      <w:r>
        <w:rPr>
          <w:w w:val="105"/>
          <w:sz w:val="21"/>
        </w:rPr>
        <w:t>either </w:t>
      </w:r>
      <w:r>
        <w:rPr>
          <w:spacing w:val="-3"/>
          <w:w w:val="105"/>
          <w:sz w:val="21"/>
        </w:rPr>
        <w:t>administered </w:t>
      </w:r>
      <w:r>
        <w:rPr>
          <w:w w:val="105"/>
          <w:sz w:val="21"/>
        </w:rPr>
        <w:t>by </w:t>
      </w:r>
      <w:r>
        <w:rPr>
          <w:spacing w:val="-3"/>
          <w:w w:val="105"/>
          <w:sz w:val="21"/>
        </w:rPr>
        <w:t>councils </w:t>
      </w:r>
      <w:r>
        <w:rPr>
          <w:w w:val="105"/>
          <w:sz w:val="21"/>
        </w:rPr>
        <w:t>or where </w:t>
      </w:r>
      <w:r>
        <w:rPr>
          <w:spacing w:val="-3"/>
          <w:w w:val="105"/>
          <w:sz w:val="21"/>
        </w:rPr>
        <w:t>council </w:t>
      </w:r>
      <w:r>
        <w:rPr>
          <w:w w:val="105"/>
          <w:sz w:val="21"/>
        </w:rPr>
        <w:t>is the </w:t>
      </w:r>
      <w:r>
        <w:rPr>
          <w:spacing w:val="-3"/>
          <w:w w:val="105"/>
          <w:sz w:val="21"/>
        </w:rPr>
        <w:t>responsible </w:t>
      </w:r>
      <w:r>
        <w:rPr>
          <w:w w:val="105"/>
          <w:sz w:val="21"/>
        </w:rPr>
        <w:t>authority under other </w:t>
      </w:r>
      <w:r>
        <w:rPr>
          <w:spacing w:val="-3"/>
          <w:w w:val="105"/>
          <w:sz w:val="21"/>
        </w:rPr>
        <w:t>legislation for </w:t>
      </w:r>
      <w:r>
        <w:rPr>
          <w:w w:val="105"/>
          <w:sz w:val="21"/>
        </w:rPr>
        <w:t>example in </w:t>
      </w:r>
      <w:r>
        <w:rPr>
          <w:spacing w:val="-3"/>
          <w:w w:val="105"/>
          <w:sz w:val="21"/>
        </w:rPr>
        <w:t>planning </w:t>
      </w:r>
      <w:r>
        <w:rPr>
          <w:w w:val="105"/>
          <w:sz w:val="21"/>
        </w:rPr>
        <w:t>schemes. These </w:t>
      </w:r>
      <w:r>
        <w:rPr>
          <w:spacing w:val="-3"/>
          <w:w w:val="105"/>
          <w:sz w:val="21"/>
        </w:rPr>
        <w:t>councils generally </w:t>
      </w:r>
      <w:r>
        <w:rPr>
          <w:w w:val="105"/>
          <w:sz w:val="21"/>
        </w:rPr>
        <w:t>supported an approach </w:t>
      </w:r>
      <w:r>
        <w:rPr>
          <w:spacing w:val="-3"/>
          <w:w w:val="105"/>
          <w:sz w:val="21"/>
        </w:rPr>
        <w:t>that </w:t>
      </w:r>
      <w:r>
        <w:rPr>
          <w:w w:val="105"/>
          <w:sz w:val="21"/>
        </w:rPr>
        <w:t>would see the new Act </w:t>
      </w:r>
      <w:r>
        <w:rPr>
          <w:spacing w:val="-3"/>
          <w:w w:val="105"/>
          <w:sz w:val="21"/>
        </w:rPr>
        <w:t>working alongside </w:t>
      </w:r>
      <w:r>
        <w:rPr>
          <w:w w:val="105"/>
          <w:sz w:val="21"/>
        </w:rPr>
        <w:t>existing local laws and other</w:t>
      </w:r>
      <w:r>
        <w:rPr>
          <w:spacing w:val="21"/>
          <w:w w:val="105"/>
          <w:sz w:val="21"/>
        </w:rPr>
        <w:t> </w:t>
      </w:r>
      <w:r>
        <w:rPr>
          <w:w w:val="105"/>
          <w:sz w:val="21"/>
        </w:rPr>
        <w:t>legislation.</w:t>
      </w:r>
      <w:r>
        <w:rPr>
          <w:w w:val="105"/>
          <w:position w:val="7"/>
          <w:sz w:val="12"/>
        </w:rPr>
        <w:t>223</w:t>
      </w:r>
    </w:p>
    <w:p>
      <w:pPr>
        <w:pStyle w:val="ListParagraph"/>
        <w:numPr>
          <w:ilvl w:val="0"/>
          <w:numId w:val="173"/>
        </w:numPr>
        <w:tabs>
          <w:tab w:pos="2381" w:val="left" w:leader="none"/>
          <w:tab w:pos="2382" w:val="left" w:leader="none"/>
        </w:tabs>
        <w:spacing w:line="242" w:lineRule="auto" w:before="125" w:after="0"/>
        <w:ind w:left="2381" w:right="1839" w:hanging="794"/>
        <w:jc w:val="left"/>
        <w:rPr>
          <w:sz w:val="12"/>
        </w:rPr>
      </w:pPr>
      <w:r>
        <w:rPr>
          <w:w w:val="105"/>
          <w:sz w:val="21"/>
        </w:rPr>
        <w:t>The </w:t>
      </w:r>
      <w:r>
        <w:rPr>
          <w:spacing w:val="-3"/>
          <w:w w:val="105"/>
          <w:sz w:val="21"/>
        </w:rPr>
        <w:t>City </w:t>
      </w:r>
      <w:r>
        <w:rPr>
          <w:w w:val="105"/>
          <w:sz w:val="21"/>
        </w:rPr>
        <w:t>of Port </w:t>
      </w:r>
      <w:r>
        <w:rPr>
          <w:spacing w:val="-3"/>
          <w:w w:val="105"/>
          <w:sz w:val="21"/>
        </w:rPr>
        <w:t>Phillip thought that any </w:t>
      </w:r>
      <w:r>
        <w:rPr>
          <w:w w:val="105"/>
          <w:sz w:val="21"/>
        </w:rPr>
        <w:t>new tree </w:t>
      </w:r>
      <w:r>
        <w:rPr>
          <w:spacing w:val="-3"/>
          <w:w w:val="105"/>
          <w:sz w:val="21"/>
        </w:rPr>
        <w:t>dispute </w:t>
      </w:r>
      <w:r>
        <w:rPr>
          <w:w w:val="105"/>
          <w:sz w:val="21"/>
        </w:rPr>
        <w:t>scheme should </w:t>
      </w:r>
      <w:r>
        <w:rPr>
          <w:spacing w:val="-2"/>
          <w:w w:val="105"/>
          <w:sz w:val="21"/>
        </w:rPr>
        <w:t>not </w:t>
      </w:r>
      <w:r>
        <w:rPr>
          <w:w w:val="105"/>
          <w:sz w:val="21"/>
        </w:rPr>
        <w:t>override </w:t>
      </w:r>
      <w:r>
        <w:rPr>
          <w:spacing w:val="-3"/>
          <w:w w:val="105"/>
          <w:sz w:val="21"/>
        </w:rPr>
        <w:t>planning </w:t>
      </w:r>
      <w:r>
        <w:rPr>
          <w:w w:val="105"/>
          <w:sz w:val="21"/>
        </w:rPr>
        <w:t>schemes but </w:t>
      </w:r>
      <w:r>
        <w:rPr>
          <w:spacing w:val="-3"/>
          <w:w w:val="105"/>
          <w:sz w:val="21"/>
        </w:rPr>
        <w:t>rather complement </w:t>
      </w:r>
      <w:r>
        <w:rPr>
          <w:w w:val="105"/>
          <w:sz w:val="21"/>
        </w:rPr>
        <w:t>them.</w:t>
      </w:r>
      <w:r>
        <w:rPr>
          <w:w w:val="105"/>
          <w:position w:val="7"/>
          <w:sz w:val="12"/>
        </w:rPr>
        <w:t>224 </w:t>
      </w:r>
      <w:r>
        <w:rPr>
          <w:w w:val="105"/>
          <w:sz w:val="21"/>
        </w:rPr>
        <w:t>It was suggested </w:t>
      </w:r>
      <w:r>
        <w:rPr>
          <w:spacing w:val="-3"/>
          <w:w w:val="105"/>
          <w:sz w:val="21"/>
        </w:rPr>
        <w:t>that </w:t>
      </w:r>
      <w:r>
        <w:rPr>
          <w:w w:val="105"/>
          <w:sz w:val="21"/>
        </w:rPr>
        <w:t>this approach would</w:t>
      </w:r>
      <w:r>
        <w:rPr>
          <w:spacing w:val="-6"/>
          <w:w w:val="105"/>
          <w:sz w:val="21"/>
        </w:rPr>
        <w:t> </w:t>
      </w:r>
      <w:r>
        <w:rPr>
          <w:w w:val="105"/>
          <w:sz w:val="21"/>
        </w:rPr>
        <w:t>enable</w:t>
      </w:r>
      <w:r>
        <w:rPr>
          <w:spacing w:val="-5"/>
          <w:w w:val="105"/>
          <w:sz w:val="21"/>
        </w:rPr>
        <w:t> </w:t>
      </w:r>
      <w:r>
        <w:rPr>
          <w:w w:val="105"/>
          <w:sz w:val="21"/>
        </w:rPr>
        <w:t>a</w:t>
      </w:r>
      <w:r>
        <w:rPr>
          <w:spacing w:val="-5"/>
          <w:w w:val="105"/>
          <w:sz w:val="21"/>
        </w:rPr>
        <w:t> </w:t>
      </w:r>
      <w:r>
        <w:rPr>
          <w:w w:val="105"/>
          <w:sz w:val="21"/>
        </w:rPr>
        <w:t>broader</w:t>
      </w:r>
      <w:r>
        <w:rPr>
          <w:spacing w:val="-5"/>
          <w:w w:val="105"/>
          <w:sz w:val="21"/>
        </w:rPr>
        <w:t> </w:t>
      </w:r>
      <w:r>
        <w:rPr>
          <w:spacing w:val="-3"/>
          <w:w w:val="105"/>
          <w:sz w:val="21"/>
        </w:rPr>
        <w:t>range</w:t>
      </w:r>
      <w:r>
        <w:rPr>
          <w:spacing w:val="-5"/>
          <w:w w:val="105"/>
          <w:sz w:val="21"/>
        </w:rPr>
        <w:t> </w:t>
      </w:r>
      <w:r>
        <w:rPr>
          <w:w w:val="105"/>
          <w:sz w:val="21"/>
        </w:rPr>
        <w:t>of</w:t>
      </w:r>
      <w:r>
        <w:rPr>
          <w:spacing w:val="-5"/>
          <w:w w:val="105"/>
          <w:sz w:val="21"/>
        </w:rPr>
        <w:t> </w:t>
      </w:r>
      <w:r>
        <w:rPr>
          <w:w w:val="105"/>
          <w:sz w:val="21"/>
        </w:rPr>
        <w:t>issues</w:t>
      </w:r>
      <w:r>
        <w:rPr>
          <w:spacing w:val="-5"/>
          <w:w w:val="105"/>
          <w:sz w:val="21"/>
        </w:rPr>
        <w:t> </w:t>
      </w:r>
      <w:r>
        <w:rPr>
          <w:spacing w:val="-3"/>
          <w:w w:val="105"/>
          <w:sz w:val="21"/>
        </w:rPr>
        <w:t>to</w:t>
      </w:r>
      <w:r>
        <w:rPr>
          <w:spacing w:val="-5"/>
          <w:w w:val="105"/>
          <w:sz w:val="21"/>
        </w:rPr>
        <w:t> </w:t>
      </w:r>
      <w:r>
        <w:rPr>
          <w:w w:val="105"/>
          <w:sz w:val="21"/>
        </w:rPr>
        <w:t>be</w:t>
      </w:r>
      <w:r>
        <w:rPr>
          <w:spacing w:val="-5"/>
          <w:w w:val="105"/>
          <w:sz w:val="21"/>
        </w:rPr>
        <w:t> </w:t>
      </w:r>
      <w:r>
        <w:rPr>
          <w:spacing w:val="-3"/>
          <w:w w:val="105"/>
          <w:sz w:val="21"/>
        </w:rPr>
        <w:t>to</w:t>
      </w:r>
      <w:r>
        <w:rPr>
          <w:spacing w:val="-5"/>
          <w:w w:val="105"/>
          <w:sz w:val="21"/>
        </w:rPr>
        <w:t> </w:t>
      </w:r>
      <w:r>
        <w:rPr>
          <w:w w:val="105"/>
          <w:sz w:val="21"/>
        </w:rPr>
        <w:t>be</w:t>
      </w:r>
      <w:r>
        <w:rPr>
          <w:spacing w:val="-5"/>
          <w:w w:val="105"/>
          <w:sz w:val="21"/>
        </w:rPr>
        <w:t> </w:t>
      </w:r>
      <w:r>
        <w:rPr>
          <w:spacing w:val="-3"/>
          <w:w w:val="105"/>
          <w:sz w:val="21"/>
        </w:rPr>
        <w:t>heard</w:t>
      </w:r>
      <w:r>
        <w:rPr>
          <w:spacing w:val="-5"/>
          <w:w w:val="105"/>
          <w:sz w:val="21"/>
        </w:rPr>
        <w:t> </w:t>
      </w:r>
      <w:r>
        <w:rPr>
          <w:w w:val="105"/>
          <w:sz w:val="21"/>
        </w:rPr>
        <w:t>by</w:t>
      </w:r>
      <w:r>
        <w:rPr>
          <w:spacing w:val="-5"/>
          <w:w w:val="105"/>
          <w:sz w:val="21"/>
        </w:rPr>
        <w:t> </w:t>
      </w:r>
      <w:r>
        <w:rPr>
          <w:w w:val="105"/>
          <w:sz w:val="21"/>
        </w:rPr>
        <w:t>the</w:t>
      </w:r>
      <w:r>
        <w:rPr>
          <w:spacing w:val="-5"/>
          <w:w w:val="105"/>
          <w:sz w:val="21"/>
        </w:rPr>
        <w:t> </w:t>
      </w:r>
      <w:r>
        <w:rPr>
          <w:w w:val="105"/>
          <w:sz w:val="21"/>
        </w:rPr>
        <w:t>same</w:t>
      </w:r>
      <w:r>
        <w:rPr>
          <w:spacing w:val="-5"/>
          <w:w w:val="105"/>
          <w:sz w:val="21"/>
        </w:rPr>
        <w:t> </w:t>
      </w:r>
      <w:r>
        <w:rPr>
          <w:w w:val="105"/>
          <w:sz w:val="21"/>
        </w:rPr>
        <w:t>decision-making </w:t>
      </w:r>
      <w:r>
        <w:rPr>
          <w:spacing w:val="-3"/>
          <w:w w:val="105"/>
          <w:sz w:val="21"/>
        </w:rPr>
        <w:t>body, for example, </w:t>
      </w:r>
      <w:r>
        <w:rPr>
          <w:spacing w:val="-5"/>
          <w:w w:val="105"/>
          <w:sz w:val="21"/>
        </w:rPr>
        <w:t>VCAT.</w:t>
      </w:r>
      <w:r>
        <w:rPr>
          <w:spacing w:val="-5"/>
          <w:w w:val="105"/>
          <w:position w:val="7"/>
          <w:sz w:val="12"/>
        </w:rPr>
        <w:t>225 </w:t>
      </w:r>
      <w:r>
        <w:rPr>
          <w:spacing w:val="-4"/>
          <w:w w:val="105"/>
          <w:sz w:val="21"/>
        </w:rPr>
        <w:t>Similarly, </w:t>
      </w:r>
      <w:r>
        <w:rPr>
          <w:spacing w:val="-3"/>
          <w:w w:val="105"/>
          <w:sz w:val="21"/>
        </w:rPr>
        <w:t>Nillumbik Shire </w:t>
      </w:r>
      <w:r>
        <w:rPr>
          <w:spacing w:val="-4"/>
          <w:w w:val="105"/>
          <w:sz w:val="21"/>
        </w:rPr>
        <w:t>Council </w:t>
      </w:r>
      <w:r>
        <w:rPr>
          <w:w w:val="105"/>
          <w:sz w:val="21"/>
        </w:rPr>
        <w:t>stated </w:t>
      </w:r>
      <w:r>
        <w:rPr>
          <w:spacing w:val="-6"/>
          <w:w w:val="105"/>
          <w:sz w:val="21"/>
        </w:rPr>
        <w:t>‘any </w:t>
      </w:r>
      <w:r>
        <w:rPr>
          <w:w w:val="105"/>
          <w:sz w:val="21"/>
        </w:rPr>
        <w:t>new scheme should </w:t>
      </w:r>
      <w:r>
        <w:rPr>
          <w:spacing w:val="-3"/>
          <w:w w:val="105"/>
          <w:sz w:val="21"/>
        </w:rPr>
        <w:t>align </w:t>
      </w:r>
      <w:r>
        <w:rPr>
          <w:w w:val="105"/>
          <w:sz w:val="21"/>
        </w:rPr>
        <w:t>with </w:t>
      </w:r>
      <w:r>
        <w:rPr>
          <w:spacing w:val="-3"/>
          <w:w w:val="105"/>
          <w:sz w:val="21"/>
        </w:rPr>
        <w:t>planning controls </w:t>
      </w:r>
      <w:r>
        <w:rPr>
          <w:w w:val="105"/>
          <w:sz w:val="21"/>
        </w:rPr>
        <w:t>and </w:t>
      </w:r>
      <w:r>
        <w:rPr>
          <w:spacing w:val="-2"/>
          <w:w w:val="105"/>
          <w:sz w:val="21"/>
        </w:rPr>
        <w:t>not </w:t>
      </w:r>
      <w:r>
        <w:rPr>
          <w:w w:val="105"/>
          <w:sz w:val="21"/>
        </w:rPr>
        <w:t>erode them and </w:t>
      </w:r>
      <w:r>
        <w:rPr>
          <w:spacing w:val="-4"/>
          <w:w w:val="105"/>
          <w:sz w:val="21"/>
        </w:rPr>
        <w:t>Council </w:t>
      </w:r>
      <w:r>
        <w:rPr>
          <w:w w:val="105"/>
          <w:sz w:val="21"/>
        </w:rPr>
        <w:t>should be given a </w:t>
      </w:r>
      <w:r>
        <w:rPr>
          <w:spacing w:val="-3"/>
          <w:w w:val="105"/>
          <w:sz w:val="21"/>
        </w:rPr>
        <w:t>place </w:t>
      </w:r>
      <w:r>
        <w:rPr>
          <w:w w:val="105"/>
          <w:sz w:val="21"/>
        </w:rPr>
        <w:t>at the decision-making</w:t>
      </w:r>
      <w:r>
        <w:rPr>
          <w:spacing w:val="23"/>
          <w:w w:val="105"/>
          <w:sz w:val="21"/>
        </w:rPr>
        <w:t> </w:t>
      </w:r>
      <w:r>
        <w:rPr>
          <w:spacing w:val="-4"/>
          <w:w w:val="105"/>
          <w:sz w:val="21"/>
        </w:rPr>
        <w:t>table’.</w:t>
      </w:r>
      <w:r>
        <w:rPr>
          <w:spacing w:val="-4"/>
          <w:w w:val="105"/>
          <w:position w:val="7"/>
          <w:sz w:val="12"/>
        </w:rPr>
        <w:t>226</w:t>
      </w:r>
    </w:p>
    <w:p>
      <w:pPr>
        <w:pStyle w:val="ListParagraph"/>
        <w:numPr>
          <w:ilvl w:val="0"/>
          <w:numId w:val="173"/>
        </w:numPr>
        <w:tabs>
          <w:tab w:pos="2381" w:val="left" w:leader="none"/>
          <w:tab w:pos="2382" w:val="left" w:leader="none"/>
        </w:tabs>
        <w:spacing w:line="242" w:lineRule="auto" w:before="127" w:after="0"/>
        <w:ind w:left="2381" w:right="1998" w:hanging="794"/>
        <w:jc w:val="left"/>
        <w:rPr>
          <w:sz w:val="21"/>
        </w:rPr>
      </w:pPr>
      <w:r>
        <w:rPr>
          <w:w w:val="105"/>
          <w:sz w:val="21"/>
        </w:rPr>
        <w:t>Baw Baw </w:t>
      </w:r>
      <w:r>
        <w:rPr>
          <w:spacing w:val="-3"/>
          <w:w w:val="105"/>
          <w:sz w:val="21"/>
        </w:rPr>
        <w:t>Shire </w:t>
      </w:r>
      <w:r>
        <w:rPr>
          <w:spacing w:val="-4"/>
          <w:w w:val="105"/>
          <w:sz w:val="21"/>
        </w:rPr>
        <w:t>Council’s </w:t>
      </w:r>
      <w:r>
        <w:rPr>
          <w:spacing w:val="-3"/>
          <w:w w:val="105"/>
          <w:sz w:val="21"/>
        </w:rPr>
        <w:t>preference </w:t>
      </w:r>
      <w:r>
        <w:rPr>
          <w:w w:val="105"/>
          <w:sz w:val="21"/>
        </w:rPr>
        <w:t>is </w:t>
      </w:r>
      <w:r>
        <w:rPr>
          <w:spacing w:val="-2"/>
          <w:w w:val="105"/>
          <w:sz w:val="21"/>
        </w:rPr>
        <w:t>not </w:t>
      </w:r>
      <w:r>
        <w:rPr>
          <w:spacing w:val="-3"/>
          <w:w w:val="105"/>
          <w:sz w:val="21"/>
        </w:rPr>
        <w:t>to </w:t>
      </w:r>
      <w:r>
        <w:rPr>
          <w:w w:val="105"/>
          <w:sz w:val="21"/>
        </w:rPr>
        <w:t>enable the new Act </w:t>
      </w:r>
      <w:r>
        <w:rPr>
          <w:spacing w:val="-3"/>
          <w:w w:val="105"/>
          <w:sz w:val="21"/>
        </w:rPr>
        <w:t>to </w:t>
      </w:r>
      <w:r>
        <w:rPr>
          <w:w w:val="105"/>
          <w:sz w:val="21"/>
        </w:rPr>
        <w:t>override </w:t>
      </w:r>
      <w:r>
        <w:rPr>
          <w:spacing w:val="-3"/>
          <w:w w:val="105"/>
          <w:sz w:val="21"/>
        </w:rPr>
        <w:t>planning </w:t>
      </w:r>
      <w:r>
        <w:rPr>
          <w:w w:val="105"/>
          <w:sz w:val="21"/>
        </w:rPr>
        <w:t>schemes or local laws. </w:t>
      </w:r>
      <w:r>
        <w:rPr>
          <w:spacing w:val="-4"/>
          <w:w w:val="105"/>
          <w:sz w:val="21"/>
        </w:rPr>
        <w:t>However, </w:t>
      </w:r>
      <w:r>
        <w:rPr>
          <w:w w:val="105"/>
          <w:sz w:val="21"/>
        </w:rPr>
        <w:t>Baw Baw expressed the view</w:t>
      </w:r>
      <w:r>
        <w:rPr>
          <w:spacing w:val="20"/>
          <w:w w:val="105"/>
          <w:sz w:val="21"/>
        </w:rPr>
        <w:t> </w:t>
      </w:r>
      <w:r>
        <w:rPr>
          <w:w w:val="105"/>
          <w:sz w:val="21"/>
        </w:rPr>
        <w:t>that:</w:t>
      </w:r>
    </w:p>
    <w:p>
      <w:pPr>
        <w:spacing w:line="254" w:lineRule="auto" w:before="131"/>
        <w:ind w:left="2834" w:right="1801" w:firstLine="0"/>
        <w:jc w:val="left"/>
        <w:rPr>
          <w:sz w:val="11"/>
        </w:rPr>
      </w:pPr>
      <w:r>
        <w:rPr>
          <w:w w:val="105"/>
          <w:sz w:val="20"/>
        </w:rPr>
        <w:t>The Queensland approach where an applicant was </w:t>
      </w:r>
      <w:r>
        <w:rPr>
          <w:spacing w:val="-2"/>
          <w:w w:val="105"/>
          <w:sz w:val="20"/>
        </w:rPr>
        <w:t>required </w:t>
      </w:r>
      <w:r>
        <w:rPr>
          <w:w w:val="105"/>
          <w:sz w:val="20"/>
        </w:rPr>
        <w:t>to progress through local </w:t>
      </w:r>
      <w:r>
        <w:rPr>
          <w:spacing w:val="-3"/>
          <w:w w:val="105"/>
          <w:sz w:val="20"/>
        </w:rPr>
        <w:t>council </w:t>
      </w:r>
      <w:r>
        <w:rPr>
          <w:w w:val="105"/>
          <w:sz w:val="20"/>
        </w:rPr>
        <w:t>policies and processes first before an order was made by </w:t>
      </w:r>
      <w:r>
        <w:rPr>
          <w:spacing w:val="-3"/>
          <w:w w:val="105"/>
          <w:sz w:val="20"/>
        </w:rPr>
        <w:t>QCAT </w:t>
      </w:r>
      <w:r>
        <w:rPr>
          <w:w w:val="105"/>
          <w:sz w:val="20"/>
        </w:rPr>
        <w:t>may also be helpful.</w:t>
      </w:r>
      <w:r>
        <w:rPr>
          <w:w w:val="105"/>
          <w:position w:val="7"/>
          <w:sz w:val="11"/>
        </w:rPr>
        <w:t>227</w:t>
      </w:r>
    </w:p>
    <w:p>
      <w:pPr>
        <w:pStyle w:val="ListParagraph"/>
        <w:numPr>
          <w:ilvl w:val="0"/>
          <w:numId w:val="173"/>
        </w:numPr>
        <w:tabs>
          <w:tab w:pos="2381" w:val="left" w:leader="none"/>
          <w:tab w:pos="2382" w:val="left" w:leader="none"/>
        </w:tabs>
        <w:spacing w:line="240" w:lineRule="auto" w:before="114" w:after="0"/>
        <w:ind w:left="2381" w:right="0" w:hanging="794"/>
        <w:jc w:val="left"/>
        <w:rPr>
          <w:sz w:val="21"/>
        </w:rPr>
      </w:pPr>
      <w:r>
        <w:rPr>
          <w:w w:val="105"/>
          <w:sz w:val="21"/>
        </w:rPr>
        <w:t>The </w:t>
      </w:r>
      <w:r>
        <w:rPr>
          <w:spacing w:val="-3"/>
          <w:w w:val="105"/>
          <w:sz w:val="21"/>
        </w:rPr>
        <w:t>City </w:t>
      </w:r>
      <w:r>
        <w:rPr>
          <w:w w:val="105"/>
          <w:sz w:val="21"/>
        </w:rPr>
        <w:t>of </w:t>
      </w:r>
      <w:r>
        <w:rPr>
          <w:spacing w:val="-3"/>
          <w:w w:val="105"/>
          <w:sz w:val="21"/>
        </w:rPr>
        <w:t>Boroondara </w:t>
      </w:r>
      <w:r>
        <w:rPr>
          <w:w w:val="105"/>
          <w:sz w:val="21"/>
        </w:rPr>
        <w:t>explained</w:t>
      </w:r>
      <w:r>
        <w:rPr>
          <w:spacing w:val="31"/>
          <w:w w:val="105"/>
          <w:sz w:val="21"/>
        </w:rPr>
        <w:t> </w:t>
      </w:r>
      <w:r>
        <w:rPr>
          <w:w w:val="105"/>
          <w:sz w:val="21"/>
        </w:rPr>
        <w:t>that:</w:t>
      </w:r>
    </w:p>
    <w:p>
      <w:pPr>
        <w:spacing w:line="254" w:lineRule="auto" w:before="134"/>
        <w:ind w:left="2834" w:right="1810" w:firstLine="0"/>
        <w:jc w:val="left"/>
        <w:rPr>
          <w:sz w:val="11"/>
        </w:rPr>
      </w:pPr>
      <w:r>
        <w:rPr>
          <w:spacing w:val="-3"/>
          <w:sz w:val="20"/>
        </w:rPr>
        <w:t>Planning </w:t>
      </w:r>
      <w:r>
        <w:rPr>
          <w:sz w:val="20"/>
        </w:rPr>
        <w:t>schemes consider a broad spectrum of </w:t>
      </w:r>
      <w:r>
        <w:rPr>
          <w:spacing w:val="-2"/>
          <w:sz w:val="20"/>
        </w:rPr>
        <w:t>environmental </w:t>
      </w:r>
      <w:r>
        <w:rPr>
          <w:sz w:val="20"/>
        </w:rPr>
        <w:t>and public policy matters which would not be considered in a civil case. It is therefore appropriate for a </w:t>
      </w:r>
      <w:r>
        <w:rPr>
          <w:spacing w:val="-3"/>
          <w:sz w:val="20"/>
        </w:rPr>
        <w:t>Planning </w:t>
      </w:r>
      <w:r>
        <w:rPr>
          <w:sz w:val="20"/>
        </w:rPr>
        <w:t>Permit to </w:t>
      </w:r>
      <w:r>
        <w:rPr>
          <w:spacing w:val="-3"/>
          <w:sz w:val="20"/>
        </w:rPr>
        <w:t>continue </w:t>
      </w:r>
      <w:r>
        <w:rPr>
          <w:sz w:val="20"/>
        </w:rPr>
        <w:t>to be </w:t>
      </w:r>
      <w:r>
        <w:rPr>
          <w:spacing w:val="-3"/>
          <w:sz w:val="20"/>
        </w:rPr>
        <w:t>required, </w:t>
      </w:r>
      <w:r>
        <w:rPr>
          <w:sz w:val="20"/>
        </w:rPr>
        <w:t>to enable these matters to be considered even if an order</w:t>
      </w:r>
      <w:r>
        <w:rPr>
          <w:spacing w:val="9"/>
          <w:sz w:val="20"/>
        </w:rPr>
        <w:t> </w:t>
      </w:r>
      <w:r>
        <w:rPr>
          <w:sz w:val="20"/>
        </w:rPr>
        <w:t>[under</w:t>
      </w:r>
      <w:r>
        <w:rPr>
          <w:spacing w:val="9"/>
          <w:sz w:val="20"/>
        </w:rPr>
        <w:t> </w:t>
      </w:r>
      <w:r>
        <w:rPr>
          <w:sz w:val="20"/>
        </w:rPr>
        <w:t>a</w:t>
      </w:r>
      <w:r>
        <w:rPr>
          <w:spacing w:val="9"/>
          <w:sz w:val="20"/>
        </w:rPr>
        <w:t> </w:t>
      </w:r>
      <w:r>
        <w:rPr>
          <w:sz w:val="20"/>
        </w:rPr>
        <w:t>new</w:t>
      </w:r>
      <w:r>
        <w:rPr>
          <w:spacing w:val="9"/>
          <w:sz w:val="20"/>
        </w:rPr>
        <w:t> </w:t>
      </w:r>
      <w:r>
        <w:rPr>
          <w:sz w:val="20"/>
        </w:rPr>
        <w:t>Act]</w:t>
      </w:r>
      <w:r>
        <w:rPr>
          <w:spacing w:val="10"/>
          <w:sz w:val="20"/>
        </w:rPr>
        <w:t> </w:t>
      </w:r>
      <w:r>
        <w:rPr>
          <w:sz w:val="20"/>
        </w:rPr>
        <w:t>has</w:t>
      </w:r>
      <w:r>
        <w:rPr>
          <w:spacing w:val="9"/>
          <w:sz w:val="20"/>
        </w:rPr>
        <w:t> </w:t>
      </w:r>
      <w:r>
        <w:rPr>
          <w:sz w:val="20"/>
        </w:rPr>
        <w:t>been</w:t>
      </w:r>
      <w:r>
        <w:rPr>
          <w:spacing w:val="9"/>
          <w:sz w:val="20"/>
        </w:rPr>
        <w:t> </w:t>
      </w:r>
      <w:r>
        <w:rPr>
          <w:sz w:val="20"/>
        </w:rPr>
        <w:t>made.</w:t>
      </w:r>
      <w:r>
        <w:rPr>
          <w:position w:val="7"/>
          <w:sz w:val="11"/>
        </w:rPr>
        <w:t>228</w:t>
      </w:r>
    </w:p>
    <w:p>
      <w:pPr>
        <w:pStyle w:val="ListParagraph"/>
        <w:numPr>
          <w:ilvl w:val="0"/>
          <w:numId w:val="173"/>
        </w:numPr>
        <w:tabs>
          <w:tab w:pos="2381" w:val="left" w:leader="none"/>
          <w:tab w:pos="2382" w:val="left" w:leader="none"/>
        </w:tabs>
        <w:spacing w:line="242" w:lineRule="auto" w:before="115" w:after="0"/>
        <w:ind w:left="2381" w:right="1936" w:hanging="794"/>
        <w:jc w:val="left"/>
        <w:rPr>
          <w:sz w:val="21"/>
        </w:rPr>
      </w:pPr>
      <w:r>
        <w:rPr>
          <w:w w:val="105"/>
          <w:sz w:val="21"/>
        </w:rPr>
        <w:t>The </w:t>
      </w:r>
      <w:r>
        <w:rPr>
          <w:spacing w:val="-3"/>
          <w:w w:val="105"/>
          <w:sz w:val="21"/>
        </w:rPr>
        <w:t>City </w:t>
      </w:r>
      <w:r>
        <w:rPr>
          <w:w w:val="105"/>
          <w:sz w:val="21"/>
        </w:rPr>
        <w:t>of </w:t>
      </w:r>
      <w:r>
        <w:rPr>
          <w:spacing w:val="-3"/>
          <w:w w:val="105"/>
          <w:sz w:val="21"/>
        </w:rPr>
        <w:t>Boroondara </w:t>
      </w:r>
      <w:r>
        <w:rPr>
          <w:w w:val="105"/>
          <w:sz w:val="21"/>
        </w:rPr>
        <w:t>also </w:t>
      </w:r>
      <w:r>
        <w:rPr>
          <w:spacing w:val="-2"/>
          <w:w w:val="105"/>
          <w:sz w:val="21"/>
        </w:rPr>
        <w:t>raised </w:t>
      </w:r>
      <w:r>
        <w:rPr>
          <w:spacing w:val="-3"/>
          <w:w w:val="105"/>
          <w:sz w:val="21"/>
        </w:rPr>
        <w:t>concerns </w:t>
      </w:r>
      <w:r>
        <w:rPr>
          <w:w w:val="105"/>
          <w:sz w:val="21"/>
        </w:rPr>
        <w:t>about an order under a new Act </w:t>
      </w:r>
      <w:r>
        <w:rPr>
          <w:spacing w:val="-3"/>
          <w:w w:val="105"/>
          <w:sz w:val="21"/>
        </w:rPr>
        <w:t>fettering </w:t>
      </w:r>
      <w:r>
        <w:rPr>
          <w:spacing w:val="-4"/>
          <w:w w:val="105"/>
          <w:sz w:val="21"/>
        </w:rPr>
        <w:t>council’s </w:t>
      </w:r>
      <w:r>
        <w:rPr>
          <w:w w:val="105"/>
          <w:sz w:val="21"/>
        </w:rPr>
        <w:t>ability </w:t>
      </w:r>
      <w:r>
        <w:rPr>
          <w:spacing w:val="-3"/>
          <w:w w:val="105"/>
          <w:sz w:val="21"/>
        </w:rPr>
        <w:t>to </w:t>
      </w:r>
      <w:r>
        <w:rPr>
          <w:spacing w:val="-4"/>
          <w:w w:val="105"/>
          <w:sz w:val="21"/>
        </w:rPr>
        <w:t>make </w:t>
      </w:r>
      <w:r>
        <w:rPr>
          <w:w w:val="105"/>
          <w:sz w:val="21"/>
        </w:rPr>
        <w:t>its own decision under a local </w:t>
      </w:r>
      <w:r>
        <w:rPr>
          <w:spacing w:val="-3"/>
          <w:w w:val="105"/>
          <w:sz w:val="21"/>
        </w:rPr>
        <w:t>law.</w:t>
      </w:r>
      <w:r>
        <w:rPr>
          <w:spacing w:val="-3"/>
          <w:w w:val="105"/>
          <w:position w:val="7"/>
          <w:sz w:val="12"/>
        </w:rPr>
        <w:t>229 </w:t>
      </w:r>
      <w:r>
        <w:rPr>
          <w:spacing w:val="-3"/>
          <w:w w:val="105"/>
          <w:sz w:val="21"/>
        </w:rPr>
        <w:t>Boroondara</w:t>
      </w:r>
      <w:r>
        <w:rPr>
          <w:spacing w:val="-5"/>
          <w:w w:val="105"/>
          <w:sz w:val="21"/>
        </w:rPr>
        <w:t> </w:t>
      </w:r>
      <w:r>
        <w:rPr>
          <w:w w:val="105"/>
          <w:sz w:val="21"/>
        </w:rPr>
        <w:t>proposed</w:t>
      </w:r>
    </w:p>
    <w:p>
      <w:pPr>
        <w:pStyle w:val="BodyText"/>
        <w:spacing w:line="242" w:lineRule="auto" w:before="2"/>
        <w:ind w:left="2381" w:right="2062"/>
        <w:rPr>
          <w:sz w:val="12"/>
        </w:rPr>
      </w:pPr>
      <w:r>
        <w:rPr>
          <w:w w:val="105"/>
        </w:rPr>
        <w:t>a process whereby </w:t>
      </w:r>
      <w:r>
        <w:rPr>
          <w:spacing w:val="-3"/>
          <w:w w:val="105"/>
        </w:rPr>
        <w:t>council </w:t>
      </w:r>
      <w:r>
        <w:rPr>
          <w:w w:val="105"/>
        </w:rPr>
        <w:t>would </w:t>
      </w:r>
      <w:r>
        <w:rPr>
          <w:spacing w:val="-4"/>
          <w:w w:val="105"/>
        </w:rPr>
        <w:t>make </w:t>
      </w:r>
      <w:r>
        <w:rPr>
          <w:w w:val="105"/>
        </w:rPr>
        <w:t>a final </w:t>
      </w:r>
      <w:r>
        <w:rPr>
          <w:spacing w:val="-3"/>
          <w:w w:val="105"/>
        </w:rPr>
        <w:t>determination </w:t>
      </w:r>
      <w:r>
        <w:rPr>
          <w:w w:val="105"/>
        </w:rPr>
        <w:t>about a protected tree </w:t>
      </w:r>
      <w:r>
        <w:rPr>
          <w:spacing w:val="-3"/>
          <w:w w:val="105"/>
        </w:rPr>
        <w:t>following </w:t>
      </w:r>
      <w:r>
        <w:rPr>
          <w:w w:val="105"/>
        </w:rPr>
        <w:t>an order made under a new Act.</w:t>
      </w:r>
      <w:r>
        <w:rPr>
          <w:w w:val="105"/>
          <w:position w:val="7"/>
          <w:sz w:val="12"/>
        </w:rPr>
        <w:t>230</w:t>
      </w:r>
    </w:p>
    <w:p>
      <w:pPr>
        <w:pStyle w:val="ListParagraph"/>
        <w:numPr>
          <w:ilvl w:val="0"/>
          <w:numId w:val="173"/>
        </w:numPr>
        <w:tabs>
          <w:tab w:pos="2381" w:val="left" w:leader="none"/>
          <w:tab w:pos="2382" w:val="left" w:leader="none"/>
        </w:tabs>
        <w:spacing w:line="240" w:lineRule="auto" w:before="122" w:after="0"/>
        <w:ind w:left="2381" w:right="0" w:hanging="794"/>
        <w:jc w:val="left"/>
        <w:rPr>
          <w:sz w:val="21"/>
        </w:rPr>
      </w:pPr>
      <w:r>
        <w:rPr>
          <w:sz w:val="21"/>
        </w:rPr>
        <w:t>Arborist Robert Mineo</w:t>
      </w:r>
      <w:r>
        <w:rPr>
          <w:spacing w:val="25"/>
          <w:sz w:val="21"/>
        </w:rPr>
        <w:t> </w:t>
      </w:r>
      <w:r>
        <w:rPr>
          <w:sz w:val="21"/>
        </w:rPr>
        <w:t>observed:</w:t>
      </w:r>
    </w:p>
    <w:p>
      <w:pPr>
        <w:spacing w:line="254" w:lineRule="auto" w:before="133"/>
        <w:ind w:left="2834" w:right="1810" w:firstLine="0"/>
        <w:jc w:val="left"/>
        <w:rPr>
          <w:sz w:val="11"/>
        </w:rPr>
      </w:pPr>
      <w:r>
        <w:rPr>
          <w:w w:val="105"/>
          <w:sz w:val="20"/>
        </w:rPr>
        <w:t>Overriding the decisions made by </w:t>
      </w:r>
      <w:r>
        <w:rPr>
          <w:spacing w:val="-3"/>
          <w:w w:val="105"/>
          <w:sz w:val="20"/>
        </w:rPr>
        <w:t>councils </w:t>
      </w:r>
      <w:r>
        <w:rPr>
          <w:w w:val="105"/>
          <w:sz w:val="20"/>
        </w:rPr>
        <w:t>under </w:t>
      </w:r>
      <w:r>
        <w:rPr>
          <w:spacing w:val="-3"/>
          <w:w w:val="105"/>
          <w:sz w:val="20"/>
        </w:rPr>
        <w:t>planning </w:t>
      </w:r>
      <w:r>
        <w:rPr>
          <w:w w:val="105"/>
          <w:sz w:val="20"/>
        </w:rPr>
        <w:t>schemes and local laws </w:t>
      </w:r>
      <w:r>
        <w:rPr>
          <w:spacing w:val="-3"/>
          <w:w w:val="105"/>
          <w:sz w:val="20"/>
        </w:rPr>
        <w:t>could </w:t>
      </w:r>
      <w:r>
        <w:rPr>
          <w:w w:val="105"/>
          <w:sz w:val="20"/>
        </w:rPr>
        <w:t>be problematic. </w:t>
      </w:r>
      <w:r>
        <w:rPr>
          <w:spacing w:val="-4"/>
          <w:w w:val="105"/>
          <w:sz w:val="20"/>
        </w:rPr>
        <w:t>However, </w:t>
      </w:r>
      <w:r>
        <w:rPr>
          <w:w w:val="105"/>
          <w:sz w:val="20"/>
        </w:rPr>
        <w:t>there is merit in having a </w:t>
      </w:r>
      <w:r>
        <w:rPr>
          <w:spacing w:val="-3"/>
          <w:w w:val="105"/>
          <w:sz w:val="20"/>
        </w:rPr>
        <w:t>third </w:t>
      </w:r>
      <w:r>
        <w:rPr>
          <w:w w:val="105"/>
          <w:sz w:val="20"/>
        </w:rPr>
        <w:t>party mediate serious tree disputes between neighbours. The NSW approach of providing </w:t>
      </w:r>
      <w:r>
        <w:rPr>
          <w:spacing w:val="-3"/>
          <w:w w:val="105"/>
          <w:sz w:val="20"/>
        </w:rPr>
        <w:t>councils </w:t>
      </w:r>
      <w:r>
        <w:rPr>
          <w:w w:val="105"/>
          <w:sz w:val="20"/>
        </w:rPr>
        <w:t>with the opportunity to attend tree dispute hearings would provide some compromise and appeared to be a sensible approach.</w:t>
      </w:r>
      <w:r>
        <w:rPr>
          <w:w w:val="105"/>
          <w:position w:val="7"/>
          <w:sz w:val="11"/>
        </w:rPr>
        <w:t>231</w:t>
      </w:r>
    </w:p>
    <w:p>
      <w:pPr>
        <w:pStyle w:val="ListParagraph"/>
        <w:numPr>
          <w:ilvl w:val="0"/>
          <w:numId w:val="173"/>
        </w:numPr>
        <w:tabs>
          <w:tab w:pos="2381" w:val="left" w:leader="none"/>
          <w:tab w:pos="2382" w:val="left" w:leader="none"/>
        </w:tabs>
        <w:spacing w:line="242" w:lineRule="auto" w:before="117" w:after="0"/>
        <w:ind w:left="2381" w:right="1686" w:hanging="794"/>
        <w:jc w:val="left"/>
        <w:rPr>
          <w:sz w:val="12"/>
        </w:rPr>
      </w:pPr>
      <w:r>
        <w:rPr>
          <w:spacing w:val="-5"/>
          <w:w w:val="105"/>
          <w:sz w:val="21"/>
        </w:rPr>
        <w:t>VCAT </w:t>
      </w:r>
      <w:r>
        <w:rPr>
          <w:spacing w:val="-3"/>
          <w:w w:val="105"/>
          <w:sz w:val="21"/>
        </w:rPr>
        <w:t>drew </w:t>
      </w:r>
      <w:r>
        <w:rPr>
          <w:w w:val="105"/>
          <w:sz w:val="21"/>
        </w:rPr>
        <w:t>a distinction between the </w:t>
      </w:r>
      <w:r>
        <w:rPr>
          <w:spacing w:val="-3"/>
          <w:w w:val="105"/>
          <w:sz w:val="21"/>
        </w:rPr>
        <w:t>interaction </w:t>
      </w:r>
      <w:r>
        <w:rPr>
          <w:w w:val="105"/>
          <w:sz w:val="21"/>
        </w:rPr>
        <w:t>of a new Act with decisions </w:t>
      </w:r>
      <w:r>
        <w:rPr>
          <w:spacing w:val="-3"/>
          <w:w w:val="105"/>
          <w:sz w:val="21"/>
        </w:rPr>
        <w:t>that are </w:t>
      </w:r>
      <w:r>
        <w:rPr>
          <w:w w:val="105"/>
          <w:sz w:val="21"/>
        </w:rPr>
        <w:t>made under local laws and with decisions </w:t>
      </w:r>
      <w:r>
        <w:rPr>
          <w:spacing w:val="-3"/>
          <w:w w:val="105"/>
          <w:sz w:val="21"/>
        </w:rPr>
        <w:t>that are </w:t>
      </w:r>
      <w:r>
        <w:rPr>
          <w:w w:val="105"/>
          <w:sz w:val="21"/>
        </w:rPr>
        <w:t>made </w:t>
      </w:r>
      <w:r>
        <w:rPr>
          <w:spacing w:val="-3"/>
          <w:w w:val="105"/>
          <w:sz w:val="21"/>
        </w:rPr>
        <w:t>pursuant to </w:t>
      </w:r>
      <w:r>
        <w:rPr>
          <w:w w:val="105"/>
          <w:sz w:val="21"/>
        </w:rPr>
        <w:t>the </w:t>
      </w:r>
      <w:r>
        <w:rPr>
          <w:spacing w:val="4"/>
          <w:w w:val="105"/>
          <w:sz w:val="21"/>
        </w:rPr>
        <w:t>P&amp;E </w:t>
      </w:r>
      <w:r>
        <w:rPr>
          <w:w w:val="105"/>
          <w:sz w:val="21"/>
        </w:rPr>
        <w:t>Act. </w:t>
      </w:r>
      <w:r>
        <w:rPr>
          <w:spacing w:val="-5"/>
          <w:w w:val="105"/>
          <w:sz w:val="21"/>
        </w:rPr>
        <w:t>VCAT </w:t>
      </w:r>
      <w:r>
        <w:rPr>
          <w:spacing w:val="-3"/>
          <w:w w:val="105"/>
          <w:sz w:val="21"/>
        </w:rPr>
        <w:t>commented</w:t>
      </w:r>
      <w:r>
        <w:rPr>
          <w:spacing w:val="-10"/>
          <w:w w:val="105"/>
          <w:sz w:val="21"/>
        </w:rPr>
        <w:t> </w:t>
      </w:r>
      <w:r>
        <w:rPr>
          <w:spacing w:val="-3"/>
          <w:w w:val="105"/>
          <w:sz w:val="21"/>
        </w:rPr>
        <w:t>that</w:t>
      </w:r>
      <w:r>
        <w:rPr>
          <w:spacing w:val="-10"/>
          <w:w w:val="105"/>
          <w:sz w:val="21"/>
        </w:rPr>
        <w:t> </w:t>
      </w:r>
      <w:r>
        <w:rPr>
          <w:w w:val="105"/>
          <w:sz w:val="21"/>
        </w:rPr>
        <w:t>decisions</w:t>
      </w:r>
      <w:r>
        <w:rPr>
          <w:spacing w:val="-10"/>
          <w:w w:val="105"/>
          <w:sz w:val="21"/>
        </w:rPr>
        <w:t> </w:t>
      </w:r>
      <w:r>
        <w:rPr>
          <w:w w:val="105"/>
          <w:sz w:val="21"/>
        </w:rPr>
        <w:t>made</w:t>
      </w:r>
      <w:r>
        <w:rPr>
          <w:spacing w:val="-9"/>
          <w:w w:val="105"/>
          <w:sz w:val="21"/>
        </w:rPr>
        <w:t> </w:t>
      </w:r>
      <w:r>
        <w:rPr>
          <w:w w:val="105"/>
          <w:sz w:val="21"/>
        </w:rPr>
        <w:t>under</w:t>
      </w:r>
      <w:r>
        <w:rPr>
          <w:spacing w:val="-10"/>
          <w:w w:val="105"/>
          <w:sz w:val="21"/>
        </w:rPr>
        <w:t> </w:t>
      </w:r>
      <w:r>
        <w:rPr>
          <w:w w:val="105"/>
          <w:sz w:val="21"/>
        </w:rPr>
        <w:t>local</w:t>
      </w:r>
      <w:r>
        <w:rPr>
          <w:spacing w:val="-10"/>
          <w:w w:val="105"/>
          <w:sz w:val="21"/>
        </w:rPr>
        <w:t> </w:t>
      </w:r>
      <w:r>
        <w:rPr>
          <w:w w:val="105"/>
          <w:sz w:val="21"/>
        </w:rPr>
        <w:t>laws</w:t>
      </w:r>
      <w:r>
        <w:rPr>
          <w:spacing w:val="-9"/>
          <w:w w:val="105"/>
          <w:sz w:val="21"/>
        </w:rPr>
        <w:t> </w:t>
      </w:r>
      <w:r>
        <w:rPr>
          <w:w w:val="105"/>
          <w:sz w:val="21"/>
        </w:rPr>
        <w:t>provide</w:t>
      </w:r>
      <w:r>
        <w:rPr>
          <w:spacing w:val="-10"/>
          <w:w w:val="105"/>
          <w:sz w:val="21"/>
        </w:rPr>
        <w:t> </w:t>
      </w:r>
      <w:r>
        <w:rPr>
          <w:w w:val="105"/>
          <w:sz w:val="21"/>
        </w:rPr>
        <w:t>no</w:t>
      </w:r>
      <w:r>
        <w:rPr>
          <w:spacing w:val="-10"/>
          <w:w w:val="105"/>
          <w:sz w:val="21"/>
        </w:rPr>
        <w:t> </w:t>
      </w:r>
      <w:r>
        <w:rPr>
          <w:w w:val="105"/>
          <w:sz w:val="21"/>
        </w:rPr>
        <w:t>external</w:t>
      </w:r>
      <w:r>
        <w:rPr>
          <w:spacing w:val="-9"/>
          <w:w w:val="105"/>
          <w:sz w:val="21"/>
        </w:rPr>
        <w:t> </w:t>
      </w:r>
      <w:r>
        <w:rPr>
          <w:spacing w:val="-3"/>
          <w:w w:val="105"/>
          <w:sz w:val="21"/>
        </w:rPr>
        <w:t>right</w:t>
      </w:r>
      <w:r>
        <w:rPr>
          <w:spacing w:val="-10"/>
          <w:w w:val="105"/>
          <w:sz w:val="21"/>
        </w:rPr>
        <w:t> </w:t>
      </w:r>
      <w:r>
        <w:rPr>
          <w:w w:val="105"/>
          <w:sz w:val="21"/>
        </w:rPr>
        <w:t>of</w:t>
      </w:r>
      <w:r>
        <w:rPr>
          <w:spacing w:val="-10"/>
          <w:w w:val="105"/>
          <w:sz w:val="21"/>
        </w:rPr>
        <w:t> </w:t>
      </w:r>
      <w:r>
        <w:rPr>
          <w:w w:val="105"/>
          <w:sz w:val="21"/>
        </w:rPr>
        <w:t>review</w:t>
      </w:r>
      <w:r>
        <w:rPr>
          <w:spacing w:val="-9"/>
          <w:w w:val="105"/>
          <w:sz w:val="21"/>
        </w:rPr>
        <w:t> </w:t>
      </w:r>
      <w:r>
        <w:rPr>
          <w:w w:val="105"/>
          <w:sz w:val="21"/>
        </w:rPr>
        <w:t>and so </w:t>
      </w:r>
      <w:r>
        <w:rPr>
          <w:spacing w:val="-3"/>
          <w:w w:val="105"/>
          <w:sz w:val="21"/>
        </w:rPr>
        <w:t>are </w:t>
      </w:r>
      <w:r>
        <w:rPr>
          <w:w w:val="105"/>
          <w:sz w:val="21"/>
        </w:rPr>
        <w:t>distinct </w:t>
      </w:r>
      <w:r>
        <w:rPr>
          <w:spacing w:val="-3"/>
          <w:w w:val="105"/>
          <w:sz w:val="21"/>
        </w:rPr>
        <w:t>from </w:t>
      </w:r>
      <w:r>
        <w:rPr>
          <w:w w:val="105"/>
          <w:sz w:val="21"/>
        </w:rPr>
        <w:t>decisions made under the </w:t>
      </w:r>
      <w:r>
        <w:rPr>
          <w:spacing w:val="4"/>
          <w:w w:val="105"/>
          <w:sz w:val="21"/>
        </w:rPr>
        <w:t>P&amp;E</w:t>
      </w:r>
      <w:r>
        <w:rPr>
          <w:spacing w:val="37"/>
          <w:w w:val="105"/>
          <w:sz w:val="21"/>
        </w:rPr>
        <w:t> </w:t>
      </w:r>
      <w:r>
        <w:rPr>
          <w:w w:val="105"/>
          <w:sz w:val="21"/>
        </w:rPr>
        <w:t>Act.</w:t>
      </w:r>
      <w:r>
        <w:rPr>
          <w:w w:val="105"/>
          <w:position w:val="7"/>
          <w:sz w:val="12"/>
        </w:rPr>
        <w:t>232</w:t>
      </w:r>
    </w:p>
    <w:p>
      <w:pPr>
        <w:pStyle w:val="ListParagraph"/>
        <w:numPr>
          <w:ilvl w:val="0"/>
          <w:numId w:val="173"/>
        </w:numPr>
        <w:tabs>
          <w:tab w:pos="2381" w:val="left" w:leader="none"/>
          <w:tab w:pos="2382" w:val="left" w:leader="none"/>
        </w:tabs>
        <w:spacing w:line="242" w:lineRule="auto" w:before="124" w:after="0"/>
        <w:ind w:left="2381" w:right="2232" w:hanging="794"/>
        <w:jc w:val="left"/>
        <w:rPr>
          <w:sz w:val="21"/>
        </w:rPr>
      </w:pPr>
      <w:r>
        <w:rPr>
          <w:spacing w:val="-5"/>
          <w:w w:val="105"/>
          <w:sz w:val="21"/>
        </w:rPr>
        <w:t>VCAT </w:t>
      </w:r>
      <w:r>
        <w:rPr>
          <w:w w:val="105"/>
          <w:sz w:val="21"/>
        </w:rPr>
        <w:t>explained </w:t>
      </w:r>
      <w:r>
        <w:rPr>
          <w:spacing w:val="-3"/>
          <w:w w:val="105"/>
          <w:sz w:val="21"/>
        </w:rPr>
        <w:t>that planning </w:t>
      </w:r>
      <w:r>
        <w:rPr>
          <w:w w:val="105"/>
          <w:sz w:val="21"/>
        </w:rPr>
        <w:t>schemes made </w:t>
      </w:r>
      <w:r>
        <w:rPr>
          <w:spacing w:val="-3"/>
          <w:w w:val="105"/>
          <w:sz w:val="21"/>
        </w:rPr>
        <w:t>pursuant to </w:t>
      </w:r>
      <w:r>
        <w:rPr>
          <w:w w:val="105"/>
          <w:sz w:val="21"/>
        </w:rPr>
        <w:t>the </w:t>
      </w:r>
      <w:r>
        <w:rPr>
          <w:spacing w:val="4"/>
          <w:w w:val="105"/>
          <w:sz w:val="21"/>
        </w:rPr>
        <w:t>P&amp;E </w:t>
      </w:r>
      <w:r>
        <w:rPr>
          <w:w w:val="105"/>
          <w:sz w:val="21"/>
        </w:rPr>
        <w:t>Act operate in a </w:t>
      </w:r>
      <w:r>
        <w:rPr>
          <w:spacing w:val="-3"/>
          <w:w w:val="105"/>
          <w:sz w:val="21"/>
        </w:rPr>
        <w:t>different </w:t>
      </w:r>
      <w:r>
        <w:rPr>
          <w:w w:val="105"/>
          <w:sz w:val="21"/>
        </w:rPr>
        <w:t>context </w:t>
      </w:r>
      <w:r>
        <w:rPr>
          <w:spacing w:val="-3"/>
          <w:w w:val="105"/>
          <w:sz w:val="21"/>
        </w:rPr>
        <w:t>to </w:t>
      </w:r>
      <w:r>
        <w:rPr>
          <w:w w:val="105"/>
          <w:sz w:val="21"/>
        </w:rPr>
        <w:t>inter-party neighbourhood tree </w:t>
      </w:r>
      <w:r>
        <w:rPr>
          <w:spacing w:val="-3"/>
          <w:w w:val="105"/>
          <w:sz w:val="21"/>
        </w:rPr>
        <w:t>disputes, for</w:t>
      </w:r>
      <w:r>
        <w:rPr>
          <w:spacing w:val="-8"/>
          <w:w w:val="105"/>
          <w:sz w:val="21"/>
        </w:rPr>
        <w:t> </w:t>
      </w:r>
      <w:r>
        <w:rPr>
          <w:w w:val="105"/>
          <w:sz w:val="21"/>
        </w:rPr>
        <w:t>example:</w:t>
      </w:r>
    </w:p>
    <w:p>
      <w:pPr>
        <w:pStyle w:val="ListParagraph"/>
        <w:numPr>
          <w:ilvl w:val="1"/>
          <w:numId w:val="173"/>
        </w:numPr>
        <w:tabs>
          <w:tab w:pos="2721" w:val="left" w:leader="none"/>
          <w:tab w:pos="2722" w:val="left" w:leader="none"/>
        </w:tabs>
        <w:spacing w:line="242" w:lineRule="auto" w:before="123" w:after="0"/>
        <w:ind w:left="2721" w:right="1815" w:hanging="340"/>
        <w:jc w:val="left"/>
        <w:rPr>
          <w:sz w:val="21"/>
        </w:rPr>
      </w:pPr>
      <w:r>
        <w:rPr>
          <w:sz w:val="21"/>
        </w:rPr>
        <w:t>Overlay </w:t>
      </w:r>
      <w:r>
        <w:rPr>
          <w:spacing w:val="-3"/>
          <w:sz w:val="21"/>
        </w:rPr>
        <w:t>controls </w:t>
      </w:r>
      <w:r>
        <w:rPr>
          <w:sz w:val="21"/>
        </w:rPr>
        <w:t>apply </w:t>
      </w:r>
      <w:r>
        <w:rPr>
          <w:spacing w:val="-3"/>
          <w:sz w:val="21"/>
        </w:rPr>
        <w:t>to land for </w:t>
      </w:r>
      <w:r>
        <w:rPr>
          <w:sz w:val="21"/>
        </w:rPr>
        <w:t>purposes </w:t>
      </w:r>
      <w:r>
        <w:rPr>
          <w:spacing w:val="-3"/>
          <w:sz w:val="21"/>
        </w:rPr>
        <w:t>that relate to </w:t>
      </w:r>
      <w:r>
        <w:rPr>
          <w:sz w:val="21"/>
        </w:rPr>
        <w:t>broader issues, </w:t>
      </w:r>
      <w:r>
        <w:rPr>
          <w:spacing w:val="-3"/>
          <w:sz w:val="21"/>
        </w:rPr>
        <w:t>such </w:t>
      </w:r>
      <w:r>
        <w:rPr>
          <w:sz w:val="21"/>
        </w:rPr>
        <w:t>as soil </w:t>
      </w:r>
      <w:r>
        <w:rPr>
          <w:spacing w:val="-3"/>
          <w:sz w:val="21"/>
        </w:rPr>
        <w:t>stability, native </w:t>
      </w:r>
      <w:r>
        <w:rPr>
          <w:sz w:val="21"/>
        </w:rPr>
        <w:t>vegetation, landscapes and</w:t>
      </w:r>
      <w:r>
        <w:rPr>
          <w:spacing w:val="7"/>
          <w:sz w:val="21"/>
        </w:rPr>
        <w:t> </w:t>
      </w:r>
      <w:r>
        <w:rPr>
          <w:spacing w:val="-3"/>
          <w:sz w:val="21"/>
        </w:rPr>
        <w:t>biodiversity.</w:t>
      </w:r>
    </w:p>
    <w:p>
      <w:pPr>
        <w:pStyle w:val="ListParagraph"/>
        <w:numPr>
          <w:ilvl w:val="1"/>
          <w:numId w:val="173"/>
        </w:numPr>
        <w:tabs>
          <w:tab w:pos="2721" w:val="left" w:leader="none"/>
          <w:tab w:pos="2722" w:val="left" w:leader="none"/>
        </w:tabs>
        <w:spacing w:line="242" w:lineRule="auto" w:before="87" w:after="0"/>
        <w:ind w:left="2721" w:right="2180" w:hanging="340"/>
        <w:jc w:val="left"/>
        <w:rPr>
          <w:sz w:val="21"/>
        </w:rPr>
      </w:pPr>
      <w:r>
        <w:rPr>
          <w:sz w:val="21"/>
        </w:rPr>
        <w:t>In some cases where tree </w:t>
      </w:r>
      <w:r>
        <w:rPr>
          <w:spacing w:val="-3"/>
          <w:sz w:val="21"/>
        </w:rPr>
        <w:t>removal </w:t>
      </w:r>
      <w:r>
        <w:rPr>
          <w:sz w:val="21"/>
        </w:rPr>
        <w:t>is authorised under a </w:t>
      </w:r>
      <w:r>
        <w:rPr>
          <w:spacing w:val="-3"/>
          <w:sz w:val="21"/>
        </w:rPr>
        <w:t>planning scheme, </w:t>
      </w:r>
      <w:r>
        <w:rPr>
          <w:sz w:val="21"/>
        </w:rPr>
        <w:t>the </w:t>
      </w:r>
      <w:r>
        <w:rPr>
          <w:spacing w:val="-3"/>
          <w:sz w:val="21"/>
        </w:rPr>
        <w:t>responsible </w:t>
      </w:r>
      <w:r>
        <w:rPr>
          <w:sz w:val="21"/>
        </w:rPr>
        <w:t>authority </w:t>
      </w:r>
      <w:r>
        <w:rPr>
          <w:spacing w:val="-3"/>
          <w:sz w:val="21"/>
        </w:rPr>
        <w:t>may require </w:t>
      </w:r>
      <w:r>
        <w:rPr>
          <w:sz w:val="21"/>
        </w:rPr>
        <w:t>re-vegetation </w:t>
      </w:r>
      <w:r>
        <w:rPr>
          <w:spacing w:val="-3"/>
          <w:sz w:val="21"/>
        </w:rPr>
        <w:t>to </w:t>
      </w:r>
      <w:r>
        <w:rPr>
          <w:sz w:val="21"/>
        </w:rPr>
        <w:t>offset </w:t>
      </w:r>
      <w:r>
        <w:rPr>
          <w:spacing w:val="-3"/>
          <w:sz w:val="21"/>
        </w:rPr>
        <w:t>any </w:t>
      </w:r>
      <w:r>
        <w:rPr>
          <w:sz w:val="21"/>
        </w:rPr>
        <w:t>loss of</w:t>
      </w:r>
      <w:r>
        <w:rPr>
          <w:spacing w:val="-19"/>
          <w:sz w:val="21"/>
        </w:rPr>
        <w:t> </w:t>
      </w:r>
      <w:r>
        <w:rPr>
          <w:sz w:val="21"/>
        </w:rPr>
        <w:t>vegetation.</w:t>
      </w:r>
    </w:p>
    <w:p>
      <w:pPr>
        <w:pStyle w:val="BodyText"/>
        <w:rPr>
          <w:sz w:val="20"/>
        </w:rPr>
      </w:pPr>
    </w:p>
    <w:p>
      <w:pPr>
        <w:pStyle w:val="BodyText"/>
        <w:spacing w:before="8"/>
        <w:rPr>
          <w:sz w:val="20"/>
        </w:rPr>
      </w:pPr>
      <w:r>
        <w:rPr/>
        <w:pict>
          <v:line style="position:absolute;mso-position-horizontal-relative:page;mso-position-vertical-relative:paragraph;z-index:9872;mso-wrap-distance-left:0;mso-wrap-distance-right:0" from="79.370102pt,15.104602pt" to="515.905102pt,15.104602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spacing w:before="4"/>
        <w:rPr>
          <w:sz w:val="29"/>
        </w:rPr>
      </w:pPr>
    </w:p>
    <w:p>
      <w:pPr>
        <w:spacing w:before="0"/>
        <w:ind w:left="720" w:right="0" w:firstLine="0"/>
        <w:jc w:val="left"/>
        <w:rPr>
          <w:b/>
          <w:sz w:val="24"/>
        </w:rPr>
      </w:pPr>
      <w:r>
        <w:rPr>
          <w:b/>
          <w:color w:val="658464"/>
          <w:w w:val="110"/>
          <w:sz w:val="24"/>
        </w:rPr>
        <w:t>238</w:t>
      </w:r>
    </w:p>
    <w:p>
      <w:pPr>
        <w:pStyle w:val="ListParagraph"/>
        <w:numPr>
          <w:ilvl w:val="0"/>
          <w:numId w:val="175"/>
        </w:numPr>
        <w:tabs>
          <w:tab w:pos="1219" w:val="left" w:leader="none"/>
          <w:tab w:pos="1220" w:val="left" w:leader="none"/>
        </w:tabs>
        <w:spacing w:line="240" w:lineRule="auto" w:before="48" w:after="0"/>
        <w:ind w:left="1219" w:right="0" w:hanging="794"/>
        <w:jc w:val="left"/>
        <w:rPr>
          <w:sz w:val="13"/>
        </w:rPr>
      </w:pPr>
      <w:r>
        <w:rPr>
          <w:spacing w:val="-3"/>
          <w:w w:val="125"/>
          <w:sz w:val="13"/>
        </w:rPr>
        <w:br w:type="column"/>
      </w:r>
      <w:r>
        <w:rPr>
          <w:w w:val="105"/>
          <w:sz w:val="13"/>
        </w:rPr>
        <w:t>Consultations</w:t>
      </w:r>
      <w:r>
        <w:rPr>
          <w:spacing w:val="5"/>
          <w:w w:val="105"/>
          <w:sz w:val="13"/>
        </w:rPr>
        <w:t> </w:t>
      </w:r>
      <w:r>
        <w:rPr>
          <w:w w:val="105"/>
          <w:sz w:val="13"/>
        </w:rPr>
        <w:t>8</w:t>
      </w:r>
      <w:r>
        <w:rPr>
          <w:spacing w:val="5"/>
          <w:w w:val="105"/>
          <w:sz w:val="13"/>
        </w:rPr>
        <w:t> </w:t>
      </w:r>
      <w:r>
        <w:rPr>
          <w:w w:val="105"/>
          <w:sz w:val="13"/>
        </w:rPr>
        <w:t>(City</w:t>
      </w:r>
      <w:r>
        <w:rPr>
          <w:spacing w:val="6"/>
          <w:w w:val="105"/>
          <w:sz w:val="13"/>
        </w:rPr>
        <w:t> </w:t>
      </w:r>
      <w:r>
        <w:rPr>
          <w:w w:val="105"/>
          <w:sz w:val="13"/>
        </w:rPr>
        <w:t>of</w:t>
      </w:r>
      <w:r>
        <w:rPr>
          <w:spacing w:val="5"/>
          <w:w w:val="105"/>
          <w:sz w:val="13"/>
        </w:rPr>
        <w:t> </w:t>
      </w:r>
      <w:r>
        <w:rPr>
          <w:w w:val="105"/>
          <w:sz w:val="13"/>
        </w:rPr>
        <w:t>Boroondara),</w:t>
      </w:r>
      <w:r>
        <w:rPr>
          <w:spacing w:val="6"/>
          <w:w w:val="105"/>
          <w:sz w:val="13"/>
        </w:rPr>
        <w:t> </w:t>
      </w:r>
      <w:r>
        <w:rPr>
          <w:w w:val="105"/>
          <w:sz w:val="13"/>
        </w:rPr>
        <w:t>9</w:t>
      </w:r>
      <w:r>
        <w:rPr>
          <w:spacing w:val="5"/>
          <w:w w:val="105"/>
          <w:sz w:val="13"/>
        </w:rPr>
        <w:t> </w:t>
      </w:r>
      <w:r>
        <w:rPr>
          <w:w w:val="105"/>
          <w:sz w:val="13"/>
        </w:rPr>
        <w:t>(Nillumbik</w:t>
      </w:r>
      <w:r>
        <w:rPr>
          <w:spacing w:val="5"/>
          <w:w w:val="105"/>
          <w:sz w:val="13"/>
        </w:rPr>
        <w:t> </w:t>
      </w:r>
      <w:r>
        <w:rPr>
          <w:w w:val="105"/>
          <w:sz w:val="13"/>
        </w:rPr>
        <w:t>Shire</w:t>
      </w:r>
      <w:r>
        <w:rPr>
          <w:spacing w:val="6"/>
          <w:w w:val="105"/>
          <w:sz w:val="13"/>
        </w:rPr>
        <w:t> </w:t>
      </w:r>
      <w:r>
        <w:rPr>
          <w:w w:val="105"/>
          <w:sz w:val="13"/>
        </w:rPr>
        <w:t>Council),</w:t>
      </w:r>
      <w:r>
        <w:rPr>
          <w:spacing w:val="5"/>
          <w:w w:val="105"/>
          <w:sz w:val="13"/>
        </w:rPr>
        <w:t> </w:t>
      </w:r>
      <w:r>
        <w:rPr>
          <w:w w:val="105"/>
          <w:sz w:val="13"/>
        </w:rPr>
        <w:t>10</w:t>
      </w:r>
      <w:r>
        <w:rPr>
          <w:spacing w:val="6"/>
          <w:w w:val="105"/>
          <w:sz w:val="13"/>
        </w:rPr>
        <w:t> </w:t>
      </w:r>
      <w:r>
        <w:rPr>
          <w:spacing w:val="2"/>
          <w:w w:val="105"/>
          <w:sz w:val="13"/>
        </w:rPr>
        <w:t>(Baw</w:t>
      </w:r>
      <w:r>
        <w:rPr>
          <w:spacing w:val="5"/>
          <w:w w:val="105"/>
          <w:sz w:val="13"/>
        </w:rPr>
        <w:t> </w:t>
      </w:r>
      <w:r>
        <w:rPr>
          <w:w w:val="105"/>
          <w:sz w:val="13"/>
        </w:rPr>
        <w:t>Baw</w:t>
      </w:r>
      <w:r>
        <w:rPr>
          <w:spacing w:val="5"/>
          <w:w w:val="105"/>
          <w:sz w:val="13"/>
        </w:rPr>
        <w:t> </w:t>
      </w:r>
      <w:r>
        <w:rPr>
          <w:w w:val="105"/>
          <w:sz w:val="13"/>
        </w:rPr>
        <w:t>Shire</w:t>
      </w:r>
      <w:r>
        <w:rPr>
          <w:spacing w:val="6"/>
          <w:w w:val="105"/>
          <w:sz w:val="13"/>
        </w:rPr>
        <w:t> </w:t>
      </w:r>
      <w:r>
        <w:rPr>
          <w:w w:val="105"/>
          <w:sz w:val="13"/>
        </w:rPr>
        <w:t>Council),</w:t>
      </w:r>
      <w:r>
        <w:rPr>
          <w:spacing w:val="5"/>
          <w:w w:val="105"/>
          <w:sz w:val="13"/>
        </w:rPr>
        <w:t> </w:t>
      </w:r>
      <w:r>
        <w:rPr>
          <w:spacing w:val="-4"/>
          <w:w w:val="105"/>
          <w:sz w:val="13"/>
        </w:rPr>
        <w:t>12</w:t>
      </w:r>
      <w:r>
        <w:rPr>
          <w:spacing w:val="6"/>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Port</w:t>
      </w:r>
      <w:r>
        <w:rPr>
          <w:spacing w:val="6"/>
          <w:w w:val="105"/>
          <w:sz w:val="13"/>
        </w:rPr>
        <w:t> </w:t>
      </w:r>
      <w:r>
        <w:rPr>
          <w:w w:val="105"/>
          <w:sz w:val="13"/>
        </w:rPr>
        <w:t>Phillip).</w:t>
      </w:r>
    </w:p>
    <w:p>
      <w:pPr>
        <w:pStyle w:val="ListParagraph"/>
        <w:numPr>
          <w:ilvl w:val="0"/>
          <w:numId w:val="175"/>
        </w:numPr>
        <w:tabs>
          <w:tab w:pos="1219" w:val="left" w:leader="none"/>
          <w:tab w:pos="1220" w:val="left" w:leader="none"/>
        </w:tabs>
        <w:spacing w:line="240" w:lineRule="auto" w:before="1" w:after="0"/>
        <w:ind w:left="1219" w:right="0" w:hanging="794"/>
        <w:jc w:val="left"/>
        <w:rPr>
          <w:sz w:val="13"/>
        </w:rPr>
      </w:pPr>
      <w:r>
        <w:rPr>
          <w:w w:val="105"/>
          <w:sz w:val="13"/>
        </w:rPr>
        <w:t>Consultation </w:t>
      </w:r>
      <w:r>
        <w:rPr>
          <w:spacing w:val="-4"/>
          <w:w w:val="105"/>
          <w:sz w:val="13"/>
        </w:rPr>
        <w:t>12 </w:t>
      </w:r>
      <w:r>
        <w:rPr>
          <w:w w:val="105"/>
          <w:sz w:val="13"/>
        </w:rPr>
        <w:t>(City of Port Phillip).</w:t>
      </w:r>
    </w:p>
    <w:p>
      <w:pPr>
        <w:pStyle w:val="ListParagraph"/>
        <w:numPr>
          <w:ilvl w:val="0"/>
          <w:numId w:val="175"/>
        </w:numPr>
        <w:tabs>
          <w:tab w:pos="1219" w:val="left" w:leader="none"/>
          <w:tab w:pos="1220" w:val="left" w:leader="none"/>
        </w:tabs>
        <w:spacing w:line="240" w:lineRule="auto" w:before="2" w:after="0"/>
        <w:ind w:left="1219" w:right="0" w:hanging="794"/>
        <w:jc w:val="left"/>
        <w:rPr>
          <w:sz w:val="13"/>
        </w:rPr>
      </w:pPr>
      <w:r>
        <w:rPr>
          <w:sz w:val="13"/>
        </w:rPr>
        <w:t>Ibid.</w:t>
      </w:r>
    </w:p>
    <w:p>
      <w:pPr>
        <w:pStyle w:val="ListParagraph"/>
        <w:numPr>
          <w:ilvl w:val="0"/>
          <w:numId w:val="175"/>
        </w:numPr>
        <w:tabs>
          <w:tab w:pos="1219" w:val="left" w:leader="none"/>
          <w:tab w:pos="1220" w:val="left" w:leader="none"/>
        </w:tabs>
        <w:spacing w:line="240" w:lineRule="auto" w:before="1" w:after="0"/>
        <w:ind w:left="1219" w:right="0" w:hanging="794"/>
        <w:jc w:val="left"/>
        <w:rPr>
          <w:sz w:val="13"/>
        </w:rPr>
      </w:pPr>
      <w:r>
        <w:rPr>
          <w:w w:val="105"/>
          <w:sz w:val="13"/>
        </w:rPr>
        <w:t>Consultation 9 (Nillumbik Shire</w:t>
      </w:r>
      <w:r>
        <w:rPr>
          <w:spacing w:val="18"/>
          <w:w w:val="105"/>
          <w:sz w:val="13"/>
        </w:rPr>
        <w:t> </w:t>
      </w:r>
      <w:r>
        <w:rPr>
          <w:w w:val="105"/>
          <w:sz w:val="13"/>
        </w:rPr>
        <w:t>Council).</w:t>
      </w:r>
    </w:p>
    <w:p>
      <w:pPr>
        <w:pStyle w:val="ListParagraph"/>
        <w:numPr>
          <w:ilvl w:val="0"/>
          <w:numId w:val="175"/>
        </w:numPr>
        <w:tabs>
          <w:tab w:pos="1219" w:val="left" w:leader="none"/>
          <w:tab w:pos="1220" w:val="left" w:leader="none"/>
        </w:tabs>
        <w:spacing w:line="240" w:lineRule="auto" w:before="1" w:after="0"/>
        <w:ind w:left="1219"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175"/>
        </w:numPr>
        <w:tabs>
          <w:tab w:pos="1219" w:val="left" w:leader="none"/>
          <w:tab w:pos="1220" w:val="left" w:leader="none"/>
        </w:tabs>
        <w:spacing w:line="240" w:lineRule="auto" w:before="2" w:after="0"/>
        <w:ind w:left="1219" w:right="0" w:hanging="794"/>
        <w:jc w:val="left"/>
        <w:rPr>
          <w:sz w:val="13"/>
        </w:rPr>
      </w:pPr>
      <w:r>
        <w:rPr>
          <w:w w:val="105"/>
          <w:sz w:val="13"/>
        </w:rPr>
        <w:t>Consultation 8 (City of</w:t>
      </w:r>
      <w:r>
        <w:rPr>
          <w:spacing w:val="18"/>
          <w:w w:val="105"/>
          <w:sz w:val="13"/>
        </w:rPr>
        <w:t> </w:t>
      </w:r>
      <w:r>
        <w:rPr>
          <w:w w:val="105"/>
          <w:sz w:val="13"/>
        </w:rPr>
        <w:t>Boroondara).</w:t>
      </w:r>
    </w:p>
    <w:p>
      <w:pPr>
        <w:pStyle w:val="ListParagraph"/>
        <w:numPr>
          <w:ilvl w:val="0"/>
          <w:numId w:val="175"/>
        </w:numPr>
        <w:tabs>
          <w:tab w:pos="1219" w:val="left" w:leader="none"/>
          <w:tab w:pos="1220" w:val="left" w:leader="none"/>
        </w:tabs>
        <w:spacing w:line="240" w:lineRule="auto" w:before="1" w:after="0"/>
        <w:ind w:left="1219" w:right="0" w:hanging="794"/>
        <w:jc w:val="left"/>
        <w:rPr>
          <w:sz w:val="13"/>
        </w:rPr>
      </w:pPr>
      <w:r>
        <w:rPr>
          <w:sz w:val="13"/>
        </w:rPr>
        <w:t>Ibid.</w:t>
      </w:r>
    </w:p>
    <w:p>
      <w:pPr>
        <w:pStyle w:val="ListParagraph"/>
        <w:numPr>
          <w:ilvl w:val="0"/>
          <w:numId w:val="175"/>
        </w:numPr>
        <w:tabs>
          <w:tab w:pos="1219" w:val="left" w:leader="none"/>
          <w:tab w:pos="1220" w:val="left" w:leader="none"/>
        </w:tabs>
        <w:spacing w:line="240" w:lineRule="auto" w:before="1" w:after="0"/>
        <w:ind w:left="1219" w:right="0" w:hanging="794"/>
        <w:jc w:val="left"/>
        <w:rPr>
          <w:sz w:val="13"/>
        </w:rPr>
      </w:pPr>
      <w:r>
        <w:rPr>
          <w:sz w:val="13"/>
        </w:rPr>
        <w:t>Ibid.</w:t>
      </w:r>
    </w:p>
    <w:p>
      <w:pPr>
        <w:pStyle w:val="ListParagraph"/>
        <w:numPr>
          <w:ilvl w:val="0"/>
          <w:numId w:val="175"/>
        </w:numPr>
        <w:tabs>
          <w:tab w:pos="1219" w:val="left" w:leader="none"/>
          <w:tab w:pos="1220" w:val="left" w:leader="none"/>
        </w:tabs>
        <w:spacing w:line="240" w:lineRule="auto" w:before="2" w:after="0"/>
        <w:ind w:left="1219" w:right="0" w:hanging="794"/>
        <w:jc w:val="left"/>
        <w:rPr>
          <w:sz w:val="13"/>
        </w:rPr>
      </w:pPr>
      <w:r>
        <w:rPr>
          <w:w w:val="105"/>
          <w:sz w:val="13"/>
        </w:rPr>
        <w:t>Consultation </w:t>
      </w:r>
      <w:r>
        <w:rPr>
          <w:spacing w:val="-3"/>
          <w:w w:val="105"/>
          <w:sz w:val="13"/>
        </w:rPr>
        <w:t>14 </w:t>
      </w:r>
      <w:r>
        <w:rPr>
          <w:spacing w:val="2"/>
          <w:w w:val="105"/>
          <w:sz w:val="13"/>
        </w:rPr>
        <w:t>(Robert</w:t>
      </w:r>
      <w:r>
        <w:rPr>
          <w:spacing w:val="16"/>
          <w:w w:val="105"/>
          <w:sz w:val="13"/>
        </w:rPr>
        <w:t> </w:t>
      </w:r>
      <w:r>
        <w:rPr>
          <w:spacing w:val="2"/>
          <w:w w:val="105"/>
          <w:sz w:val="13"/>
        </w:rPr>
        <w:t>Mineo).</w:t>
      </w:r>
    </w:p>
    <w:p>
      <w:pPr>
        <w:pStyle w:val="ListParagraph"/>
        <w:numPr>
          <w:ilvl w:val="0"/>
          <w:numId w:val="175"/>
        </w:numPr>
        <w:tabs>
          <w:tab w:pos="1219" w:val="left" w:leader="none"/>
          <w:tab w:pos="1220" w:val="left" w:leader="none"/>
        </w:tabs>
        <w:spacing w:line="240" w:lineRule="auto" w:before="1" w:after="0"/>
        <w:ind w:left="1219" w:right="0" w:hanging="794"/>
        <w:jc w:val="left"/>
        <w:rPr>
          <w:sz w:val="13"/>
        </w:rPr>
      </w:pPr>
      <w:r>
        <w:rPr>
          <w:w w:val="105"/>
          <w:sz w:val="13"/>
        </w:rPr>
        <w:t>Supplementary Consultation 1 (Victorian Civil and Administrative</w:t>
      </w:r>
      <w:r>
        <w:rPr>
          <w:spacing w:val="2"/>
          <w:w w:val="105"/>
          <w:sz w:val="13"/>
        </w:rPr>
        <w:t> </w:t>
      </w:r>
      <w:r>
        <w:rPr>
          <w:w w:val="105"/>
          <w:sz w:val="13"/>
        </w:rPr>
        <w:t>Tribunal).</w:t>
      </w:r>
    </w:p>
    <w:p>
      <w:pPr>
        <w:spacing w:after="0" w:line="240" w:lineRule="auto"/>
        <w:jc w:val="left"/>
        <w:rPr>
          <w:sz w:val="13"/>
        </w:rPr>
        <w:sectPr>
          <w:type w:val="continuous"/>
          <w:pgSz w:w="11910" w:h="16840"/>
          <w:pgMar w:top="300" w:bottom="280" w:left="0" w:right="0"/>
          <w:cols w:num="2" w:equalWidth="0">
            <w:col w:w="1122" w:space="40"/>
            <w:col w:w="10748"/>
          </w:cols>
        </w:sectPr>
      </w:pPr>
    </w:p>
    <w:p>
      <w:pPr>
        <w:pStyle w:val="BodyText"/>
        <w:rPr>
          <w:sz w:val="20"/>
        </w:rPr>
      </w:pPr>
    </w:p>
    <w:p>
      <w:pPr>
        <w:pStyle w:val="BodyText"/>
        <w:spacing w:before="9"/>
        <w:rPr>
          <w:sz w:val="18"/>
        </w:rPr>
      </w:pPr>
    </w:p>
    <w:p>
      <w:pPr>
        <w:pStyle w:val="ListParagraph"/>
        <w:numPr>
          <w:ilvl w:val="1"/>
          <w:numId w:val="175"/>
        </w:numPr>
        <w:tabs>
          <w:tab w:pos="2721" w:val="left" w:leader="none"/>
          <w:tab w:pos="2722" w:val="left" w:leader="none"/>
        </w:tabs>
        <w:spacing w:line="242" w:lineRule="auto" w:before="91" w:after="0"/>
        <w:ind w:left="2721" w:right="1509" w:hanging="340"/>
        <w:jc w:val="left"/>
        <w:rPr>
          <w:sz w:val="12"/>
        </w:rPr>
      </w:pPr>
      <w:bookmarkStart w:name="Other jurisdictions—interaction of laws" w:id="281"/>
      <w:bookmarkEnd w:id="281"/>
      <w:r>
        <w:rPr/>
      </w:r>
      <w:bookmarkStart w:name="_bookmark131" w:id="282"/>
      <w:bookmarkEnd w:id="282"/>
      <w:r>
        <w:rPr/>
      </w:r>
      <w:bookmarkStart w:name="_bookmark131" w:id="283"/>
      <w:bookmarkEnd w:id="283"/>
      <w:r>
        <w:rPr>
          <w:sz w:val="21"/>
        </w:rPr>
        <w:t>D</w:t>
      </w:r>
      <w:r>
        <w:rPr>
          <w:sz w:val="21"/>
        </w:rPr>
        <w:t>ecisions made by the </w:t>
      </w:r>
      <w:r>
        <w:rPr>
          <w:spacing w:val="-3"/>
          <w:sz w:val="21"/>
        </w:rPr>
        <w:t>responsible </w:t>
      </w:r>
      <w:r>
        <w:rPr>
          <w:sz w:val="21"/>
        </w:rPr>
        <w:t>authority </w:t>
      </w:r>
      <w:r>
        <w:rPr>
          <w:spacing w:val="-3"/>
          <w:sz w:val="21"/>
        </w:rPr>
        <w:t>pursuant to planning </w:t>
      </w:r>
      <w:r>
        <w:rPr>
          <w:sz w:val="21"/>
        </w:rPr>
        <w:t>schemes enable </w:t>
      </w:r>
      <w:r>
        <w:rPr>
          <w:spacing w:val="-3"/>
          <w:sz w:val="21"/>
        </w:rPr>
        <w:t>third </w:t>
      </w:r>
      <w:r>
        <w:rPr>
          <w:sz w:val="21"/>
        </w:rPr>
        <w:t>parties </w:t>
      </w:r>
      <w:r>
        <w:rPr>
          <w:spacing w:val="-3"/>
          <w:sz w:val="21"/>
        </w:rPr>
        <w:t>to </w:t>
      </w:r>
      <w:r>
        <w:rPr>
          <w:sz w:val="21"/>
        </w:rPr>
        <w:t>seek an </w:t>
      </w:r>
      <w:r>
        <w:rPr>
          <w:spacing w:val="-3"/>
          <w:sz w:val="21"/>
        </w:rPr>
        <w:t>administrative </w:t>
      </w:r>
      <w:r>
        <w:rPr>
          <w:sz w:val="21"/>
        </w:rPr>
        <w:t>review of the decision in</w:t>
      </w:r>
      <w:r>
        <w:rPr>
          <w:spacing w:val="31"/>
          <w:sz w:val="21"/>
        </w:rPr>
        <w:t> </w:t>
      </w:r>
      <w:r>
        <w:rPr>
          <w:spacing w:val="-5"/>
          <w:sz w:val="21"/>
        </w:rPr>
        <w:t>VCAT.</w:t>
      </w:r>
      <w:r>
        <w:rPr>
          <w:spacing w:val="-5"/>
          <w:position w:val="7"/>
          <w:sz w:val="12"/>
        </w:rPr>
        <w:t>233</w:t>
      </w:r>
    </w:p>
    <w:p>
      <w:pPr>
        <w:pStyle w:val="ListParagraph"/>
        <w:numPr>
          <w:ilvl w:val="0"/>
          <w:numId w:val="173"/>
        </w:numPr>
        <w:tabs>
          <w:tab w:pos="2380" w:val="left" w:leader="none"/>
          <w:tab w:pos="2381" w:val="left" w:leader="none"/>
        </w:tabs>
        <w:spacing w:line="242" w:lineRule="auto" w:before="88" w:after="0"/>
        <w:ind w:left="2381" w:right="1563" w:hanging="794"/>
        <w:jc w:val="left"/>
        <w:rPr>
          <w:sz w:val="12"/>
        </w:rPr>
      </w:pPr>
      <w:r>
        <w:rPr>
          <w:w w:val="105"/>
          <w:sz w:val="21"/>
        </w:rPr>
        <w:t>For these </w:t>
      </w:r>
      <w:r>
        <w:rPr>
          <w:spacing w:val="-3"/>
          <w:w w:val="105"/>
          <w:sz w:val="21"/>
        </w:rPr>
        <w:t>reasons </w:t>
      </w:r>
      <w:r>
        <w:rPr>
          <w:spacing w:val="-5"/>
          <w:w w:val="105"/>
          <w:sz w:val="21"/>
        </w:rPr>
        <w:t>VCAT </w:t>
      </w:r>
      <w:r>
        <w:rPr>
          <w:w w:val="105"/>
          <w:sz w:val="21"/>
        </w:rPr>
        <w:t>did </w:t>
      </w:r>
      <w:r>
        <w:rPr>
          <w:spacing w:val="-2"/>
          <w:w w:val="105"/>
          <w:sz w:val="21"/>
        </w:rPr>
        <w:t>not </w:t>
      </w:r>
      <w:r>
        <w:rPr>
          <w:w w:val="105"/>
          <w:sz w:val="21"/>
        </w:rPr>
        <w:t>support the new Act </w:t>
      </w:r>
      <w:r>
        <w:rPr>
          <w:spacing w:val="-3"/>
          <w:w w:val="105"/>
          <w:sz w:val="21"/>
        </w:rPr>
        <w:t>addressing </w:t>
      </w:r>
      <w:r>
        <w:rPr>
          <w:w w:val="105"/>
          <w:sz w:val="21"/>
        </w:rPr>
        <w:t>both civil and </w:t>
      </w:r>
      <w:r>
        <w:rPr>
          <w:spacing w:val="-3"/>
          <w:w w:val="105"/>
          <w:sz w:val="21"/>
        </w:rPr>
        <w:t>planning </w:t>
      </w:r>
      <w:r>
        <w:rPr>
          <w:w w:val="105"/>
          <w:sz w:val="21"/>
        </w:rPr>
        <w:t>law matters. The </w:t>
      </w:r>
      <w:r>
        <w:rPr>
          <w:spacing w:val="-5"/>
          <w:w w:val="105"/>
          <w:sz w:val="21"/>
        </w:rPr>
        <w:t>Tribunal </w:t>
      </w:r>
      <w:r>
        <w:rPr>
          <w:w w:val="105"/>
          <w:sz w:val="21"/>
        </w:rPr>
        <w:t>was </w:t>
      </w:r>
      <w:r>
        <w:rPr>
          <w:spacing w:val="-3"/>
          <w:w w:val="105"/>
          <w:sz w:val="21"/>
        </w:rPr>
        <w:t>unsure </w:t>
      </w:r>
      <w:r>
        <w:rPr>
          <w:w w:val="105"/>
          <w:sz w:val="21"/>
        </w:rPr>
        <w:t>about how the new Act </w:t>
      </w:r>
      <w:r>
        <w:rPr>
          <w:spacing w:val="-3"/>
          <w:w w:val="105"/>
          <w:sz w:val="21"/>
        </w:rPr>
        <w:t>could </w:t>
      </w:r>
      <w:r>
        <w:rPr>
          <w:w w:val="105"/>
          <w:sz w:val="21"/>
        </w:rPr>
        <w:t>give effect </w:t>
      </w:r>
      <w:r>
        <w:rPr>
          <w:spacing w:val="-3"/>
          <w:w w:val="105"/>
          <w:sz w:val="21"/>
        </w:rPr>
        <w:t>to </w:t>
      </w:r>
      <w:r>
        <w:rPr>
          <w:w w:val="105"/>
          <w:sz w:val="21"/>
        </w:rPr>
        <w:t>the often</w:t>
      </w:r>
      <w:r>
        <w:rPr>
          <w:spacing w:val="-9"/>
          <w:w w:val="105"/>
          <w:sz w:val="21"/>
        </w:rPr>
        <w:t> </w:t>
      </w:r>
      <w:r>
        <w:rPr>
          <w:w w:val="105"/>
          <w:sz w:val="21"/>
        </w:rPr>
        <w:t>complex</w:t>
      </w:r>
      <w:r>
        <w:rPr>
          <w:spacing w:val="-9"/>
          <w:w w:val="105"/>
          <w:sz w:val="21"/>
        </w:rPr>
        <w:t> </w:t>
      </w:r>
      <w:r>
        <w:rPr>
          <w:w w:val="105"/>
          <w:sz w:val="21"/>
        </w:rPr>
        <w:t>issues</w:t>
      </w:r>
      <w:r>
        <w:rPr>
          <w:spacing w:val="-9"/>
          <w:w w:val="105"/>
          <w:sz w:val="21"/>
        </w:rPr>
        <w:t> </w:t>
      </w:r>
      <w:r>
        <w:rPr>
          <w:spacing w:val="-3"/>
          <w:w w:val="105"/>
          <w:sz w:val="21"/>
        </w:rPr>
        <w:t>that</w:t>
      </w:r>
      <w:r>
        <w:rPr>
          <w:spacing w:val="-9"/>
          <w:w w:val="105"/>
          <w:sz w:val="21"/>
        </w:rPr>
        <w:t> </w:t>
      </w:r>
      <w:r>
        <w:rPr>
          <w:w w:val="105"/>
          <w:sz w:val="21"/>
        </w:rPr>
        <w:t>arise</w:t>
      </w:r>
      <w:r>
        <w:rPr>
          <w:spacing w:val="-9"/>
          <w:w w:val="105"/>
          <w:sz w:val="21"/>
        </w:rPr>
        <w:t> </w:t>
      </w:r>
      <w:r>
        <w:rPr>
          <w:w w:val="105"/>
          <w:sz w:val="21"/>
        </w:rPr>
        <w:t>as</w:t>
      </w:r>
      <w:r>
        <w:rPr>
          <w:spacing w:val="-9"/>
          <w:w w:val="105"/>
          <w:sz w:val="21"/>
        </w:rPr>
        <w:t> </w:t>
      </w:r>
      <w:r>
        <w:rPr>
          <w:w w:val="105"/>
          <w:sz w:val="21"/>
        </w:rPr>
        <w:t>part</w:t>
      </w:r>
      <w:r>
        <w:rPr>
          <w:spacing w:val="-9"/>
          <w:w w:val="105"/>
          <w:sz w:val="21"/>
        </w:rPr>
        <w:t> </w:t>
      </w:r>
      <w:r>
        <w:rPr>
          <w:w w:val="105"/>
          <w:sz w:val="21"/>
        </w:rPr>
        <w:t>of</w:t>
      </w:r>
      <w:r>
        <w:rPr>
          <w:spacing w:val="-9"/>
          <w:w w:val="105"/>
          <w:sz w:val="21"/>
        </w:rPr>
        <w:t> </w:t>
      </w:r>
      <w:r>
        <w:rPr>
          <w:w w:val="105"/>
          <w:sz w:val="21"/>
        </w:rPr>
        <w:t>the</w:t>
      </w:r>
      <w:r>
        <w:rPr>
          <w:spacing w:val="-8"/>
          <w:w w:val="105"/>
          <w:sz w:val="21"/>
        </w:rPr>
        <w:t> </w:t>
      </w:r>
      <w:r>
        <w:rPr>
          <w:spacing w:val="-3"/>
          <w:w w:val="105"/>
          <w:sz w:val="21"/>
        </w:rPr>
        <w:t>planning</w:t>
      </w:r>
      <w:r>
        <w:rPr>
          <w:spacing w:val="-9"/>
          <w:w w:val="105"/>
          <w:sz w:val="21"/>
        </w:rPr>
        <w:t> </w:t>
      </w:r>
      <w:r>
        <w:rPr>
          <w:w w:val="105"/>
          <w:sz w:val="21"/>
        </w:rPr>
        <w:t>scheme</w:t>
      </w:r>
      <w:r>
        <w:rPr>
          <w:spacing w:val="-9"/>
          <w:w w:val="105"/>
          <w:sz w:val="21"/>
        </w:rPr>
        <w:t> </w:t>
      </w:r>
      <w:r>
        <w:rPr>
          <w:w w:val="105"/>
          <w:sz w:val="21"/>
        </w:rPr>
        <w:t>decision-making</w:t>
      </w:r>
      <w:r>
        <w:rPr>
          <w:spacing w:val="-9"/>
          <w:w w:val="105"/>
          <w:sz w:val="21"/>
        </w:rPr>
        <w:t> </w:t>
      </w:r>
      <w:r>
        <w:rPr>
          <w:w w:val="105"/>
          <w:sz w:val="21"/>
        </w:rPr>
        <w:t>process.</w:t>
      </w:r>
      <w:r>
        <w:rPr>
          <w:w w:val="105"/>
          <w:position w:val="7"/>
          <w:sz w:val="12"/>
        </w:rPr>
        <w:t>234</w:t>
      </w:r>
    </w:p>
    <w:p>
      <w:pPr>
        <w:pStyle w:val="BodyText"/>
        <w:spacing w:before="3"/>
        <w:rPr>
          <w:sz w:val="20"/>
        </w:rPr>
      </w:pPr>
    </w:p>
    <w:p>
      <w:pPr>
        <w:pStyle w:val="Heading5"/>
        <w:spacing w:before="1"/>
      </w:pPr>
      <w:r>
        <w:rPr>
          <w:w w:val="110"/>
        </w:rPr>
        <w:t>Bushfire protections</w:t>
      </w:r>
    </w:p>
    <w:p>
      <w:pPr>
        <w:pStyle w:val="ListParagraph"/>
        <w:numPr>
          <w:ilvl w:val="0"/>
          <w:numId w:val="173"/>
        </w:numPr>
        <w:tabs>
          <w:tab w:pos="2381" w:val="left" w:leader="none"/>
          <w:tab w:pos="2382" w:val="left" w:leader="none"/>
        </w:tabs>
        <w:spacing w:line="242" w:lineRule="auto" w:before="137" w:after="0"/>
        <w:ind w:left="2381" w:right="1526" w:hanging="794"/>
        <w:jc w:val="left"/>
        <w:rPr>
          <w:sz w:val="12"/>
        </w:rPr>
      </w:pPr>
      <w:r>
        <w:rPr>
          <w:w w:val="105"/>
          <w:sz w:val="21"/>
        </w:rPr>
        <w:t>Some specific responses </w:t>
      </w:r>
      <w:r>
        <w:rPr>
          <w:spacing w:val="-3"/>
          <w:w w:val="105"/>
          <w:sz w:val="21"/>
        </w:rPr>
        <w:t>were </w:t>
      </w:r>
      <w:r>
        <w:rPr>
          <w:w w:val="105"/>
          <w:sz w:val="21"/>
        </w:rPr>
        <w:t>received about the </w:t>
      </w:r>
      <w:r>
        <w:rPr>
          <w:spacing w:val="-3"/>
          <w:w w:val="105"/>
          <w:sz w:val="21"/>
        </w:rPr>
        <w:t>interaction </w:t>
      </w:r>
      <w:r>
        <w:rPr>
          <w:w w:val="105"/>
          <w:sz w:val="21"/>
        </w:rPr>
        <w:t>of the new Act with </w:t>
      </w:r>
      <w:r>
        <w:rPr>
          <w:spacing w:val="-3"/>
          <w:w w:val="105"/>
          <w:sz w:val="21"/>
        </w:rPr>
        <w:t>bushfire </w:t>
      </w:r>
      <w:r>
        <w:rPr>
          <w:w w:val="105"/>
          <w:sz w:val="21"/>
        </w:rPr>
        <w:t>protections</w:t>
      </w:r>
      <w:r>
        <w:rPr>
          <w:spacing w:val="-9"/>
          <w:w w:val="105"/>
          <w:sz w:val="21"/>
        </w:rPr>
        <w:t> </w:t>
      </w:r>
      <w:r>
        <w:rPr>
          <w:w w:val="105"/>
          <w:sz w:val="21"/>
        </w:rPr>
        <w:t>under</w:t>
      </w:r>
      <w:r>
        <w:rPr>
          <w:spacing w:val="-8"/>
          <w:w w:val="105"/>
          <w:sz w:val="21"/>
        </w:rPr>
        <w:t> </w:t>
      </w:r>
      <w:r>
        <w:rPr>
          <w:w w:val="105"/>
          <w:sz w:val="21"/>
        </w:rPr>
        <w:t>the</w:t>
      </w:r>
      <w:r>
        <w:rPr>
          <w:spacing w:val="-9"/>
          <w:w w:val="105"/>
          <w:sz w:val="21"/>
        </w:rPr>
        <w:t> </w:t>
      </w:r>
      <w:r>
        <w:rPr>
          <w:spacing w:val="4"/>
          <w:w w:val="105"/>
          <w:sz w:val="21"/>
        </w:rPr>
        <w:t>P&amp;E</w:t>
      </w:r>
      <w:r>
        <w:rPr>
          <w:spacing w:val="-8"/>
          <w:w w:val="105"/>
          <w:sz w:val="21"/>
        </w:rPr>
        <w:t> </w:t>
      </w:r>
      <w:r>
        <w:rPr>
          <w:w w:val="105"/>
          <w:sz w:val="21"/>
        </w:rPr>
        <w:t>Act.</w:t>
      </w:r>
      <w:r>
        <w:rPr>
          <w:spacing w:val="-8"/>
          <w:w w:val="105"/>
          <w:sz w:val="21"/>
        </w:rPr>
        <w:t> </w:t>
      </w:r>
      <w:r>
        <w:rPr>
          <w:w w:val="105"/>
          <w:sz w:val="21"/>
        </w:rPr>
        <w:t>Some</w:t>
      </w:r>
      <w:r>
        <w:rPr>
          <w:spacing w:val="-9"/>
          <w:w w:val="105"/>
          <w:sz w:val="21"/>
        </w:rPr>
        <w:t> </w:t>
      </w:r>
      <w:r>
        <w:rPr>
          <w:spacing w:val="-3"/>
          <w:w w:val="105"/>
          <w:sz w:val="21"/>
        </w:rPr>
        <w:t>submissions</w:t>
      </w:r>
      <w:r>
        <w:rPr>
          <w:spacing w:val="-8"/>
          <w:w w:val="105"/>
          <w:sz w:val="21"/>
        </w:rPr>
        <w:t> </w:t>
      </w:r>
      <w:r>
        <w:rPr>
          <w:w w:val="105"/>
          <w:sz w:val="21"/>
        </w:rPr>
        <w:t>suggested</w:t>
      </w:r>
      <w:r>
        <w:rPr>
          <w:spacing w:val="-8"/>
          <w:w w:val="105"/>
          <w:sz w:val="21"/>
        </w:rPr>
        <w:t> </w:t>
      </w:r>
      <w:r>
        <w:rPr>
          <w:spacing w:val="-3"/>
          <w:w w:val="105"/>
          <w:sz w:val="21"/>
        </w:rPr>
        <w:t>that</w:t>
      </w:r>
      <w:r>
        <w:rPr>
          <w:spacing w:val="-9"/>
          <w:w w:val="105"/>
          <w:sz w:val="21"/>
        </w:rPr>
        <w:t> </w:t>
      </w:r>
      <w:r>
        <w:rPr>
          <w:spacing w:val="-3"/>
          <w:w w:val="105"/>
          <w:sz w:val="21"/>
        </w:rPr>
        <w:t>concerns</w:t>
      </w:r>
      <w:r>
        <w:rPr>
          <w:spacing w:val="-8"/>
          <w:w w:val="105"/>
          <w:sz w:val="21"/>
        </w:rPr>
        <w:t> </w:t>
      </w:r>
      <w:r>
        <w:rPr>
          <w:w w:val="105"/>
          <w:sz w:val="21"/>
        </w:rPr>
        <w:t>can</w:t>
      </w:r>
      <w:r>
        <w:rPr>
          <w:spacing w:val="-8"/>
          <w:w w:val="105"/>
          <w:sz w:val="21"/>
        </w:rPr>
        <w:t> </w:t>
      </w:r>
      <w:r>
        <w:rPr>
          <w:w w:val="105"/>
          <w:sz w:val="21"/>
        </w:rPr>
        <w:t>arise</w:t>
      </w:r>
      <w:r>
        <w:rPr>
          <w:spacing w:val="-9"/>
          <w:w w:val="105"/>
          <w:sz w:val="21"/>
        </w:rPr>
        <w:t> </w:t>
      </w:r>
      <w:r>
        <w:rPr>
          <w:w w:val="105"/>
          <w:sz w:val="21"/>
        </w:rPr>
        <w:t>about trees located on </w:t>
      </w:r>
      <w:r>
        <w:rPr>
          <w:spacing w:val="-3"/>
          <w:w w:val="105"/>
          <w:sz w:val="21"/>
        </w:rPr>
        <w:t>adjoining land that may </w:t>
      </w:r>
      <w:r>
        <w:rPr>
          <w:w w:val="105"/>
          <w:sz w:val="21"/>
        </w:rPr>
        <w:t>pose a risk of damage or </w:t>
      </w:r>
      <w:r>
        <w:rPr>
          <w:spacing w:val="-3"/>
          <w:w w:val="105"/>
          <w:sz w:val="21"/>
        </w:rPr>
        <w:t>harm </w:t>
      </w:r>
      <w:r>
        <w:rPr>
          <w:w w:val="105"/>
          <w:sz w:val="21"/>
        </w:rPr>
        <w:t>in the </w:t>
      </w:r>
      <w:r>
        <w:rPr>
          <w:spacing w:val="-3"/>
          <w:w w:val="105"/>
          <w:sz w:val="21"/>
        </w:rPr>
        <w:t>event </w:t>
      </w:r>
      <w:r>
        <w:rPr>
          <w:w w:val="105"/>
          <w:sz w:val="21"/>
        </w:rPr>
        <w:t>of a </w:t>
      </w:r>
      <w:r>
        <w:rPr>
          <w:spacing w:val="-3"/>
          <w:w w:val="105"/>
          <w:sz w:val="21"/>
        </w:rPr>
        <w:t>bushfire.</w:t>
      </w:r>
      <w:r>
        <w:rPr>
          <w:spacing w:val="-3"/>
          <w:w w:val="105"/>
          <w:position w:val="7"/>
          <w:sz w:val="12"/>
        </w:rPr>
        <w:t>235</w:t>
      </w:r>
    </w:p>
    <w:p>
      <w:pPr>
        <w:pStyle w:val="ListParagraph"/>
        <w:numPr>
          <w:ilvl w:val="0"/>
          <w:numId w:val="173"/>
        </w:numPr>
        <w:tabs>
          <w:tab w:pos="2381" w:val="left" w:leader="none"/>
          <w:tab w:pos="2382" w:val="left" w:leader="none"/>
        </w:tabs>
        <w:spacing w:line="242" w:lineRule="auto" w:before="124" w:after="0"/>
        <w:ind w:left="2381" w:right="1517" w:hanging="794"/>
        <w:jc w:val="left"/>
        <w:rPr>
          <w:sz w:val="21"/>
        </w:rPr>
      </w:pPr>
      <w:r>
        <w:rPr>
          <w:w w:val="105"/>
          <w:sz w:val="21"/>
        </w:rPr>
        <w:t>The Law </w:t>
      </w:r>
      <w:r>
        <w:rPr>
          <w:spacing w:val="-3"/>
          <w:w w:val="105"/>
          <w:sz w:val="21"/>
        </w:rPr>
        <w:t>Institute </w:t>
      </w:r>
      <w:r>
        <w:rPr>
          <w:w w:val="105"/>
          <w:sz w:val="21"/>
        </w:rPr>
        <w:t>of Victoria </w:t>
      </w:r>
      <w:r>
        <w:rPr>
          <w:spacing w:val="-3"/>
          <w:w w:val="105"/>
          <w:sz w:val="21"/>
        </w:rPr>
        <w:t>noted </w:t>
      </w:r>
      <w:r>
        <w:rPr>
          <w:w w:val="105"/>
          <w:sz w:val="21"/>
        </w:rPr>
        <w:t>the </w:t>
      </w:r>
      <w:r>
        <w:rPr>
          <w:spacing w:val="-3"/>
          <w:w w:val="105"/>
          <w:sz w:val="21"/>
        </w:rPr>
        <w:t>obligations </w:t>
      </w:r>
      <w:r>
        <w:rPr>
          <w:w w:val="105"/>
          <w:sz w:val="21"/>
        </w:rPr>
        <w:t>a </w:t>
      </w:r>
      <w:r>
        <w:rPr>
          <w:spacing w:val="-3"/>
          <w:w w:val="105"/>
          <w:sz w:val="21"/>
        </w:rPr>
        <w:t>bushfire management overlay </w:t>
      </w:r>
      <w:r>
        <w:rPr>
          <w:w w:val="105"/>
          <w:sz w:val="21"/>
        </w:rPr>
        <w:t>imposes on</w:t>
      </w:r>
      <w:r>
        <w:rPr>
          <w:spacing w:val="5"/>
          <w:w w:val="105"/>
          <w:sz w:val="21"/>
        </w:rPr>
        <w:t> </w:t>
      </w:r>
      <w:r>
        <w:rPr>
          <w:w w:val="105"/>
          <w:sz w:val="21"/>
        </w:rPr>
        <w:t>landowners:</w:t>
      </w:r>
    </w:p>
    <w:p>
      <w:pPr>
        <w:spacing w:line="254" w:lineRule="auto" w:before="132"/>
        <w:ind w:left="2834" w:right="1510" w:firstLine="0"/>
        <w:jc w:val="left"/>
        <w:rPr>
          <w:sz w:val="11"/>
        </w:rPr>
      </w:pPr>
      <w:r>
        <w:rPr>
          <w:w w:val="105"/>
          <w:sz w:val="20"/>
        </w:rPr>
        <w:t>Private</w:t>
      </w:r>
      <w:r>
        <w:rPr>
          <w:spacing w:val="-14"/>
          <w:w w:val="105"/>
          <w:sz w:val="20"/>
        </w:rPr>
        <w:t> </w:t>
      </w:r>
      <w:r>
        <w:rPr>
          <w:w w:val="105"/>
          <w:sz w:val="20"/>
        </w:rPr>
        <w:t>owners</w:t>
      </w:r>
      <w:r>
        <w:rPr>
          <w:spacing w:val="-13"/>
          <w:w w:val="105"/>
          <w:sz w:val="20"/>
        </w:rPr>
        <w:t> </w:t>
      </w:r>
      <w:r>
        <w:rPr>
          <w:w w:val="105"/>
          <w:sz w:val="20"/>
        </w:rPr>
        <w:t>whose</w:t>
      </w:r>
      <w:r>
        <w:rPr>
          <w:spacing w:val="-13"/>
          <w:w w:val="105"/>
          <w:sz w:val="20"/>
        </w:rPr>
        <w:t> </w:t>
      </w:r>
      <w:r>
        <w:rPr>
          <w:w w:val="105"/>
          <w:sz w:val="20"/>
        </w:rPr>
        <w:t>land</w:t>
      </w:r>
      <w:r>
        <w:rPr>
          <w:spacing w:val="-13"/>
          <w:w w:val="105"/>
          <w:sz w:val="20"/>
        </w:rPr>
        <w:t> </w:t>
      </w:r>
      <w:r>
        <w:rPr>
          <w:w w:val="105"/>
          <w:sz w:val="20"/>
        </w:rPr>
        <w:t>is</w:t>
      </w:r>
      <w:r>
        <w:rPr>
          <w:spacing w:val="-13"/>
          <w:w w:val="105"/>
          <w:sz w:val="20"/>
        </w:rPr>
        <w:t> </w:t>
      </w:r>
      <w:r>
        <w:rPr>
          <w:w w:val="105"/>
          <w:sz w:val="20"/>
        </w:rPr>
        <w:t>affected</w:t>
      </w:r>
      <w:r>
        <w:rPr>
          <w:spacing w:val="-13"/>
          <w:w w:val="105"/>
          <w:sz w:val="20"/>
        </w:rPr>
        <w:t> </w:t>
      </w:r>
      <w:r>
        <w:rPr>
          <w:w w:val="105"/>
          <w:sz w:val="20"/>
        </w:rPr>
        <w:t>by</w:t>
      </w:r>
      <w:r>
        <w:rPr>
          <w:spacing w:val="-14"/>
          <w:w w:val="105"/>
          <w:sz w:val="20"/>
        </w:rPr>
        <w:t> </w:t>
      </w:r>
      <w:r>
        <w:rPr>
          <w:w w:val="105"/>
          <w:sz w:val="20"/>
        </w:rPr>
        <w:t>a</w:t>
      </w:r>
      <w:r>
        <w:rPr>
          <w:spacing w:val="-13"/>
          <w:w w:val="105"/>
          <w:sz w:val="20"/>
        </w:rPr>
        <w:t> </w:t>
      </w:r>
      <w:r>
        <w:rPr>
          <w:w w:val="105"/>
          <w:sz w:val="20"/>
        </w:rPr>
        <w:t>Bushfire</w:t>
      </w:r>
      <w:r>
        <w:rPr>
          <w:spacing w:val="-13"/>
          <w:w w:val="105"/>
          <w:sz w:val="20"/>
        </w:rPr>
        <w:t> </w:t>
      </w:r>
      <w:r>
        <w:rPr>
          <w:w w:val="105"/>
          <w:sz w:val="20"/>
        </w:rPr>
        <w:t>Management</w:t>
      </w:r>
      <w:r>
        <w:rPr>
          <w:spacing w:val="-13"/>
          <w:w w:val="105"/>
          <w:sz w:val="20"/>
        </w:rPr>
        <w:t> </w:t>
      </w:r>
      <w:r>
        <w:rPr>
          <w:w w:val="105"/>
          <w:sz w:val="20"/>
        </w:rPr>
        <w:t>Overlay</w:t>
      </w:r>
      <w:r>
        <w:rPr>
          <w:spacing w:val="-13"/>
          <w:w w:val="105"/>
          <w:sz w:val="20"/>
        </w:rPr>
        <w:t> </w:t>
      </w:r>
      <w:r>
        <w:rPr>
          <w:w w:val="105"/>
          <w:sz w:val="20"/>
        </w:rPr>
        <w:t>must</w:t>
      </w:r>
      <w:r>
        <w:rPr>
          <w:spacing w:val="-13"/>
          <w:w w:val="105"/>
          <w:sz w:val="20"/>
        </w:rPr>
        <w:t> </w:t>
      </w:r>
      <w:r>
        <w:rPr>
          <w:w w:val="105"/>
          <w:sz w:val="20"/>
        </w:rPr>
        <w:t>undertake pre-emptive work to plan and prepare for </w:t>
      </w:r>
      <w:r>
        <w:rPr>
          <w:spacing w:val="-3"/>
          <w:w w:val="105"/>
          <w:sz w:val="20"/>
        </w:rPr>
        <w:t>bushfire, </w:t>
      </w:r>
      <w:r>
        <w:rPr>
          <w:w w:val="105"/>
          <w:sz w:val="20"/>
        </w:rPr>
        <w:t>often </w:t>
      </w:r>
      <w:r>
        <w:rPr>
          <w:spacing w:val="-3"/>
          <w:w w:val="105"/>
          <w:sz w:val="20"/>
        </w:rPr>
        <w:t>including </w:t>
      </w:r>
      <w:r>
        <w:rPr>
          <w:w w:val="105"/>
          <w:sz w:val="20"/>
        </w:rPr>
        <w:t>the removal of trees or vegetation, which may result in a</w:t>
      </w:r>
      <w:r>
        <w:rPr>
          <w:spacing w:val="30"/>
          <w:w w:val="105"/>
          <w:sz w:val="20"/>
        </w:rPr>
        <w:t> </w:t>
      </w:r>
      <w:r>
        <w:rPr>
          <w:w w:val="105"/>
          <w:sz w:val="20"/>
        </w:rPr>
        <w:t>dispute.</w:t>
      </w:r>
      <w:r>
        <w:rPr>
          <w:w w:val="105"/>
          <w:position w:val="7"/>
          <w:sz w:val="11"/>
        </w:rPr>
        <w:t>236</w:t>
      </w:r>
    </w:p>
    <w:p>
      <w:pPr>
        <w:pStyle w:val="ListParagraph"/>
        <w:numPr>
          <w:ilvl w:val="0"/>
          <w:numId w:val="173"/>
        </w:numPr>
        <w:tabs>
          <w:tab w:pos="2381" w:val="left" w:leader="none"/>
          <w:tab w:pos="2382" w:val="left" w:leader="none"/>
        </w:tabs>
        <w:spacing w:line="242" w:lineRule="auto" w:before="114" w:after="0"/>
        <w:ind w:left="2381" w:right="1551" w:hanging="794"/>
        <w:jc w:val="left"/>
        <w:rPr>
          <w:sz w:val="12"/>
        </w:rPr>
      </w:pPr>
      <w:r>
        <w:rPr>
          <w:spacing w:val="-3"/>
          <w:w w:val="105"/>
          <w:sz w:val="21"/>
        </w:rPr>
        <w:t>Nillumbik Shire </w:t>
      </w:r>
      <w:r>
        <w:rPr>
          <w:spacing w:val="-4"/>
          <w:w w:val="105"/>
          <w:sz w:val="21"/>
        </w:rPr>
        <w:t>Council, </w:t>
      </w:r>
      <w:r>
        <w:rPr>
          <w:w w:val="105"/>
          <w:sz w:val="21"/>
        </w:rPr>
        <w:t>much of it </w:t>
      </w:r>
      <w:r>
        <w:rPr>
          <w:spacing w:val="-3"/>
          <w:w w:val="105"/>
          <w:sz w:val="21"/>
        </w:rPr>
        <w:t>covered </w:t>
      </w:r>
      <w:r>
        <w:rPr>
          <w:w w:val="105"/>
          <w:sz w:val="21"/>
        </w:rPr>
        <w:t>by a </w:t>
      </w:r>
      <w:r>
        <w:rPr>
          <w:spacing w:val="-3"/>
          <w:w w:val="105"/>
          <w:sz w:val="21"/>
        </w:rPr>
        <w:t>Bushfire Management </w:t>
      </w:r>
      <w:r>
        <w:rPr>
          <w:spacing w:val="-4"/>
          <w:w w:val="105"/>
          <w:sz w:val="21"/>
        </w:rPr>
        <w:t>Overlay, </w:t>
      </w:r>
      <w:r>
        <w:rPr>
          <w:w w:val="105"/>
          <w:sz w:val="21"/>
        </w:rPr>
        <w:t>stated </w:t>
      </w:r>
      <w:r>
        <w:rPr>
          <w:spacing w:val="-3"/>
          <w:w w:val="105"/>
          <w:sz w:val="21"/>
        </w:rPr>
        <w:t>that any </w:t>
      </w:r>
      <w:r>
        <w:rPr>
          <w:w w:val="105"/>
          <w:sz w:val="21"/>
        </w:rPr>
        <w:t>new scheme </w:t>
      </w:r>
      <w:r>
        <w:rPr>
          <w:spacing w:val="-3"/>
          <w:w w:val="105"/>
          <w:sz w:val="21"/>
        </w:rPr>
        <w:t>to </w:t>
      </w:r>
      <w:r>
        <w:rPr>
          <w:w w:val="105"/>
          <w:sz w:val="21"/>
        </w:rPr>
        <w:t>resolve neighbourhood tree </w:t>
      </w:r>
      <w:r>
        <w:rPr>
          <w:spacing w:val="-3"/>
          <w:w w:val="105"/>
          <w:sz w:val="21"/>
        </w:rPr>
        <w:t>disputes </w:t>
      </w:r>
      <w:r>
        <w:rPr>
          <w:w w:val="105"/>
          <w:sz w:val="21"/>
        </w:rPr>
        <w:t>should </w:t>
      </w:r>
      <w:r>
        <w:rPr>
          <w:spacing w:val="-2"/>
          <w:w w:val="105"/>
          <w:sz w:val="21"/>
        </w:rPr>
        <w:t>not </w:t>
      </w:r>
      <w:r>
        <w:rPr>
          <w:spacing w:val="-3"/>
          <w:w w:val="105"/>
          <w:sz w:val="21"/>
        </w:rPr>
        <w:t>interfere </w:t>
      </w:r>
      <w:r>
        <w:rPr>
          <w:w w:val="105"/>
          <w:sz w:val="21"/>
        </w:rPr>
        <w:t>with the </w:t>
      </w:r>
      <w:r>
        <w:rPr>
          <w:spacing w:val="-3"/>
          <w:w w:val="105"/>
          <w:sz w:val="21"/>
        </w:rPr>
        <w:t>bushfire </w:t>
      </w:r>
      <w:r>
        <w:rPr>
          <w:w w:val="105"/>
          <w:sz w:val="21"/>
        </w:rPr>
        <w:t>protection </w:t>
      </w:r>
      <w:r>
        <w:rPr>
          <w:spacing w:val="-3"/>
          <w:w w:val="105"/>
          <w:sz w:val="21"/>
        </w:rPr>
        <w:t>exemptions </w:t>
      </w:r>
      <w:r>
        <w:rPr>
          <w:w w:val="105"/>
          <w:sz w:val="21"/>
        </w:rPr>
        <w:t>in </w:t>
      </w:r>
      <w:r>
        <w:rPr>
          <w:spacing w:val="-3"/>
          <w:w w:val="105"/>
          <w:sz w:val="21"/>
        </w:rPr>
        <w:t>place </w:t>
      </w:r>
      <w:r>
        <w:rPr>
          <w:w w:val="105"/>
          <w:sz w:val="21"/>
        </w:rPr>
        <w:t>in </w:t>
      </w:r>
      <w:r>
        <w:rPr>
          <w:spacing w:val="-3"/>
          <w:w w:val="105"/>
          <w:sz w:val="21"/>
        </w:rPr>
        <w:t>planning</w:t>
      </w:r>
      <w:r>
        <w:rPr>
          <w:spacing w:val="36"/>
          <w:w w:val="105"/>
          <w:sz w:val="21"/>
        </w:rPr>
        <w:t> </w:t>
      </w:r>
      <w:r>
        <w:rPr>
          <w:w w:val="105"/>
          <w:sz w:val="21"/>
        </w:rPr>
        <w:t>schemes.</w:t>
      </w:r>
      <w:r>
        <w:rPr>
          <w:w w:val="105"/>
          <w:position w:val="7"/>
          <w:sz w:val="12"/>
        </w:rPr>
        <w:t>237</w:t>
      </w:r>
    </w:p>
    <w:p>
      <w:pPr>
        <w:pStyle w:val="BodyText"/>
        <w:spacing w:before="10"/>
      </w:pPr>
    </w:p>
    <w:p>
      <w:pPr>
        <w:pStyle w:val="Heading4"/>
      </w:pPr>
      <w:r>
        <w:rPr>
          <w:color w:val="658464"/>
          <w:w w:val="115"/>
        </w:rPr>
        <w:t>Other jurisdictions—interaction of laws</w:t>
      </w:r>
    </w:p>
    <w:p>
      <w:pPr>
        <w:pStyle w:val="ListParagraph"/>
        <w:numPr>
          <w:ilvl w:val="0"/>
          <w:numId w:val="173"/>
        </w:numPr>
        <w:tabs>
          <w:tab w:pos="2380" w:val="left" w:leader="none"/>
          <w:tab w:pos="2381" w:val="left" w:leader="none"/>
        </w:tabs>
        <w:spacing w:line="242" w:lineRule="auto" w:before="155" w:after="0"/>
        <w:ind w:left="2381" w:right="1621" w:hanging="794"/>
        <w:jc w:val="left"/>
        <w:rPr>
          <w:sz w:val="21"/>
        </w:rPr>
      </w:pPr>
      <w:r>
        <w:rPr>
          <w:spacing w:val="-3"/>
          <w:sz w:val="21"/>
        </w:rPr>
        <w:t>Planning </w:t>
      </w:r>
      <w:r>
        <w:rPr>
          <w:sz w:val="21"/>
        </w:rPr>
        <w:t>law frameworks in New South </w:t>
      </w:r>
      <w:r>
        <w:rPr>
          <w:spacing w:val="-3"/>
          <w:sz w:val="21"/>
        </w:rPr>
        <w:t>Wales, Queensland </w:t>
      </w:r>
      <w:r>
        <w:rPr>
          <w:sz w:val="21"/>
        </w:rPr>
        <w:t>and </w:t>
      </w:r>
      <w:r>
        <w:rPr>
          <w:spacing w:val="-5"/>
          <w:sz w:val="21"/>
        </w:rPr>
        <w:t>Tasmania </w:t>
      </w:r>
      <w:r>
        <w:rPr>
          <w:sz w:val="21"/>
        </w:rPr>
        <w:t>use </w:t>
      </w:r>
      <w:r>
        <w:rPr>
          <w:spacing w:val="-3"/>
          <w:sz w:val="21"/>
        </w:rPr>
        <w:t>different mechanisms to regulate </w:t>
      </w:r>
      <w:r>
        <w:rPr>
          <w:sz w:val="21"/>
        </w:rPr>
        <w:t>vegetation on </w:t>
      </w:r>
      <w:r>
        <w:rPr>
          <w:spacing w:val="-3"/>
          <w:sz w:val="21"/>
        </w:rPr>
        <w:t>private  land.  </w:t>
      </w:r>
      <w:r>
        <w:rPr>
          <w:spacing w:val="-4"/>
          <w:sz w:val="21"/>
        </w:rPr>
        <w:t>However,  </w:t>
      </w:r>
      <w:r>
        <w:rPr>
          <w:spacing w:val="-3"/>
          <w:sz w:val="21"/>
        </w:rPr>
        <w:t>planning  </w:t>
      </w:r>
      <w:r>
        <w:rPr>
          <w:sz w:val="21"/>
        </w:rPr>
        <w:t>permits </w:t>
      </w:r>
      <w:r>
        <w:rPr>
          <w:spacing w:val="-3"/>
          <w:sz w:val="21"/>
        </w:rPr>
        <w:t>for</w:t>
      </w:r>
      <w:r>
        <w:rPr>
          <w:spacing w:val="41"/>
          <w:sz w:val="21"/>
        </w:rPr>
        <w:t> </w:t>
      </w:r>
      <w:r>
        <w:rPr>
          <w:spacing w:val="-3"/>
          <w:sz w:val="21"/>
        </w:rPr>
        <w:t>control </w:t>
      </w:r>
      <w:r>
        <w:rPr>
          <w:sz w:val="21"/>
        </w:rPr>
        <w:t>of vegetation on </w:t>
      </w:r>
      <w:r>
        <w:rPr>
          <w:spacing w:val="-3"/>
          <w:sz w:val="21"/>
        </w:rPr>
        <w:t>private land  </w:t>
      </w:r>
      <w:r>
        <w:rPr>
          <w:sz w:val="21"/>
        </w:rPr>
        <w:t>in each jurisdiction </w:t>
      </w:r>
      <w:r>
        <w:rPr>
          <w:spacing w:val="-3"/>
          <w:sz w:val="21"/>
        </w:rPr>
        <w:t>are</w:t>
      </w:r>
      <w:r>
        <w:rPr>
          <w:spacing w:val="41"/>
          <w:sz w:val="21"/>
        </w:rPr>
        <w:t> </w:t>
      </w:r>
      <w:r>
        <w:rPr>
          <w:spacing w:val="-3"/>
          <w:sz w:val="21"/>
        </w:rPr>
        <w:t>mainly  administered  </w:t>
      </w:r>
      <w:r>
        <w:rPr>
          <w:sz w:val="21"/>
        </w:rPr>
        <w:t>at the local </w:t>
      </w:r>
      <w:r>
        <w:rPr>
          <w:spacing w:val="-3"/>
          <w:sz w:val="21"/>
        </w:rPr>
        <w:t>council level, </w:t>
      </w:r>
      <w:r>
        <w:rPr>
          <w:sz w:val="21"/>
        </w:rPr>
        <w:t>either </w:t>
      </w:r>
      <w:r>
        <w:rPr>
          <w:spacing w:val="-3"/>
          <w:sz w:val="21"/>
        </w:rPr>
        <w:t>through planning </w:t>
      </w:r>
      <w:r>
        <w:rPr>
          <w:sz w:val="21"/>
        </w:rPr>
        <w:t>scheme </w:t>
      </w:r>
      <w:r>
        <w:rPr>
          <w:spacing w:val="-3"/>
          <w:sz w:val="21"/>
        </w:rPr>
        <w:t>mechanisms </w:t>
      </w:r>
      <w:r>
        <w:rPr>
          <w:sz w:val="21"/>
        </w:rPr>
        <w:t>or local laws. This is in </w:t>
      </w:r>
      <w:r>
        <w:rPr>
          <w:spacing w:val="-3"/>
          <w:sz w:val="21"/>
        </w:rPr>
        <w:t>keeping </w:t>
      </w:r>
      <w:r>
        <w:rPr>
          <w:sz w:val="21"/>
        </w:rPr>
        <w:t>with the approach in</w:t>
      </w:r>
      <w:r>
        <w:rPr>
          <w:spacing w:val="33"/>
          <w:sz w:val="21"/>
        </w:rPr>
        <w:t> </w:t>
      </w:r>
      <w:r>
        <w:rPr>
          <w:sz w:val="21"/>
        </w:rPr>
        <w:t>Victoria.</w:t>
      </w:r>
    </w:p>
    <w:p>
      <w:pPr>
        <w:pStyle w:val="ListParagraph"/>
        <w:numPr>
          <w:ilvl w:val="0"/>
          <w:numId w:val="173"/>
        </w:numPr>
        <w:tabs>
          <w:tab w:pos="2380" w:val="left" w:leader="none"/>
          <w:tab w:pos="2381" w:val="left" w:leader="none"/>
        </w:tabs>
        <w:spacing w:line="242" w:lineRule="auto" w:before="126" w:after="0"/>
        <w:ind w:left="2381" w:right="1517" w:hanging="794"/>
        <w:jc w:val="left"/>
        <w:rPr>
          <w:sz w:val="12"/>
        </w:rPr>
      </w:pPr>
      <w:r>
        <w:rPr>
          <w:w w:val="105"/>
          <w:sz w:val="21"/>
        </w:rPr>
        <w:t>New South </w:t>
      </w:r>
      <w:r>
        <w:rPr>
          <w:spacing w:val="-3"/>
          <w:w w:val="105"/>
          <w:sz w:val="21"/>
        </w:rPr>
        <w:t>Wales, Queensland </w:t>
      </w:r>
      <w:r>
        <w:rPr>
          <w:w w:val="105"/>
          <w:sz w:val="21"/>
        </w:rPr>
        <w:t>and </w:t>
      </w:r>
      <w:r>
        <w:rPr>
          <w:spacing w:val="-5"/>
          <w:w w:val="105"/>
          <w:sz w:val="21"/>
        </w:rPr>
        <w:t>Tasmania </w:t>
      </w:r>
      <w:r>
        <w:rPr>
          <w:spacing w:val="-3"/>
          <w:w w:val="105"/>
          <w:sz w:val="21"/>
        </w:rPr>
        <w:t>all </w:t>
      </w:r>
      <w:r>
        <w:rPr>
          <w:w w:val="105"/>
          <w:sz w:val="21"/>
        </w:rPr>
        <w:t>adopted a cautious approach </w:t>
      </w:r>
      <w:r>
        <w:rPr>
          <w:spacing w:val="-3"/>
          <w:w w:val="105"/>
          <w:sz w:val="21"/>
        </w:rPr>
        <w:t>to </w:t>
      </w:r>
      <w:r>
        <w:rPr>
          <w:w w:val="105"/>
          <w:sz w:val="21"/>
        </w:rPr>
        <w:t>how their new</w:t>
      </w:r>
      <w:r>
        <w:rPr>
          <w:spacing w:val="-7"/>
          <w:w w:val="105"/>
          <w:sz w:val="21"/>
        </w:rPr>
        <w:t> </w:t>
      </w:r>
      <w:r>
        <w:rPr>
          <w:w w:val="105"/>
          <w:sz w:val="21"/>
        </w:rPr>
        <w:t>tree</w:t>
      </w:r>
      <w:r>
        <w:rPr>
          <w:spacing w:val="-7"/>
          <w:w w:val="105"/>
          <w:sz w:val="21"/>
        </w:rPr>
        <w:t> </w:t>
      </w:r>
      <w:r>
        <w:rPr>
          <w:spacing w:val="-3"/>
          <w:w w:val="105"/>
          <w:sz w:val="21"/>
        </w:rPr>
        <w:t>dispute</w:t>
      </w:r>
      <w:r>
        <w:rPr>
          <w:spacing w:val="-6"/>
          <w:w w:val="105"/>
          <w:sz w:val="21"/>
        </w:rPr>
        <w:t> </w:t>
      </w:r>
      <w:r>
        <w:rPr>
          <w:w w:val="105"/>
          <w:sz w:val="21"/>
        </w:rPr>
        <w:t>laws</w:t>
      </w:r>
      <w:r>
        <w:rPr>
          <w:spacing w:val="-7"/>
          <w:w w:val="105"/>
          <w:sz w:val="21"/>
        </w:rPr>
        <w:t> </w:t>
      </w:r>
      <w:r>
        <w:rPr>
          <w:w w:val="105"/>
          <w:sz w:val="21"/>
        </w:rPr>
        <w:t>would</w:t>
      </w:r>
      <w:r>
        <w:rPr>
          <w:spacing w:val="-7"/>
          <w:w w:val="105"/>
          <w:sz w:val="21"/>
        </w:rPr>
        <w:t> </w:t>
      </w:r>
      <w:r>
        <w:rPr>
          <w:spacing w:val="-3"/>
          <w:w w:val="105"/>
          <w:sz w:val="21"/>
        </w:rPr>
        <w:t>interact</w:t>
      </w:r>
      <w:r>
        <w:rPr>
          <w:spacing w:val="-6"/>
          <w:w w:val="105"/>
          <w:sz w:val="21"/>
        </w:rPr>
        <w:t> </w:t>
      </w:r>
      <w:r>
        <w:rPr>
          <w:w w:val="105"/>
          <w:sz w:val="21"/>
        </w:rPr>
        <w:t>with</w:t>
      </w:r>
      <w:r>
        <w:rPr>
          <w:spacing w:val="-7"/>
          <w:w w:val="105"/>
          <w:sz w:val="21"/>
        </w:rPr>
        <w:t> </w:t>
      </w:r>
      <w:r>
        <w:rPr>
          <w:w w:val="105"/>
          <w:sz w:val="21"/>
        </w:rPr>
        <w:t>established</w:t>
      </w:r>
      <w:r>
        <w:rPr>
          <w:spacing w:val="-7"/>
          <w:w w:val="105"/>
          <w:sz w:val="21"/>
        </w:rPr>
        <w:t> </w:t>
      </w:r>
      <w:r>
        <w:rPr>
          <w:spacing w:val="-3"/>
          <w:w w:val="105"/>
          <w:sz w:val="21"/>
        </w:rPr>
        <w:t>planning</w:t>
      </w:r>
      <w:r>
        <w:rPr>
          <w:spacing w:val="-6"/>
          <w:w w:val="105"/>
          <w:sz w:val="21"/>
        </w:rPr>
        <w:t> </w:t>
      </w:r>
      <w:r>
        <w:rPr>
          <w:w w:val="105"/>
          <w:sz w:val="21"/>
        </w:rPr>
        <w:t>laws</w:t>
      </w:r>
      <w:r>
        <w:rPr>
          <w:spacing w:val="-7"/>
          <w:w w:val="105"/>
          <w:sz w:val="21"/>
        </w:rPr>
        <w:t> </w:t>
      </w:r>
      <w:r>
        <w:rPr>
          <w:w w:val="105"/>
          <w:sz w:val="21"/>
        </w:rPr>
        <w:t>and</w:t>
      </w:r>
      <w:r>
        <w:rPr>
          <w:spacing w:val="-6"/>
          <w:w w:val="105"/>
          <w:sz w:val="21"/>
        </w:rPr>
        <w:t> </w:t>
      </w:r>
      <w:r>
        <w:rPr>
          <w:w w:val="105"/>
          <w:sz w:val="21"/>
        </w:rPr>
        <w:t>other</w:t>
      </w:r>
      <w:r>
        <w:rPr>
          <w:spacing w:val="-7"/>
          <w:w w:val="105"/>
          <w:sz w:val="21"/>
        </w:rPr>
        <w:t> </w:t>
      </w:r>
      <w:r>
        <w:rPr>
          <w:spacing w:val="-3"/>
          <w:w w:val="105"/>
          <w:sz w:val="21"/>
        </w:rPr>
        <w:t>regulations. </w:t>
      </w:r>
      <w:r>
        <w:rPr>
          <w:spacing w:val="-4"/>
          <w:w w:val="105"/>
          <w:sz w:val="21"/>
        </w:rPr>
        <w:t>Ultimately, </w:t>
      </w:r>
      <w:r>
        <w:rPr>
          <w:w w:val="105"/>
          <w:sz w:val="21"/>
        </w:rPr>
        <w:t>they </w:t>
      </w:r>
      <w:r>
        <w:rPr>
          <w:spacing w:val="-3"/>
          <w:w w:val="105"/>
          <w:sz w:val="21"/>
        </w:rPr>
        <w:t>all allow </w:t>
      </w:r>
      <w:r>
        <w:rPr>
          <w:w w:val="105"/>
          <w:sz w:val="21"/>
        </w:rPr>
        <w:t>orders </w:t>
      </w:r>
      <w:r>
        <w:rPr>
          <w:spacing w:val="-3"/>
          <w:w w:val="105"/>
          <w:sz w:val="21"/>
        </w:rPr>
        <w:t>to </w:t>
      </w:r>
      <w:r>
        <w:rPr>
          <w:w w:val="105"/>
          <w:sz w:val="21"/>
        </w:rPr>
        <w:t>override local laws</w:t>
      </w:r>
      <w:r>
        <w:rPr>
          <w:w w:val="105"/>
          <w:position w:val="7"/>
          <w:sz w:val="12"/>
        </w:rPr>
        <w:t>238 </w:t>
      </w:r>
      <w:r>
        <w:rPr>
          <w:w w:val="105"/>
          <w:sz w:val="21"/>
        </w:rPr>
        <w:t>provided certain </w:t>
      </w:r>
      <w:r>
        <w:rPr>
          <w:spacing w:val="-3"/>
          <w:w w:val="105"/>
          <w:sz w:val="21"/>
        </w:rPr>
        <w:t>safeguards are </w:t>
      </w:r>
      <w:r>
        <w:rPr>
          <w:w w:val="105"/>
          <w:sz w:val="21"/>
        </w:rPr>
        <w:t>met. Some also </w:t>
      </w:r>
      <w:r>
        <w:rPr>
          <w:spacing w:val="-3"/>
          <w:w w:val="105"/>
          <w:sz w:val="21"/>
        </w:rPr>
        <w:t>allow </w:t>
      </w:r>
      <w:r>
        <w:rPr>
          <w:w w:val="105"/>
          <w:sz w:val="21"/>
        </w:rPr>
        <w:t>state </w:t>
      </w:r>
      <w:r>
        <w:rPr>
          <w:spacing w:val="-3"/>
          <w:w w:val="105"/>
          <w:sz w:val="21"/>
        </w:rPr>
        <w:t>planning </w:t>
      </w:r>
      <w:r>
        <w:rPr>
          <w:w w:val="105"/>
          <w:sz w:val="21"/>
        </w:rPr>
        <w:t>laws </w:t>
      </w:r>
      <w:r>
        <w:rPr>
          <w:spacing w:val="-3"/>
          <w:w w:val="105"/>
          <w:sz w:val="21"/>
        </w:rPr>
        <w:t>to </w:t>
      </w:r>
      <w:r>
        <w:rPr>
          <w:w w:val="105"/>
          <w:sz w:val="21"/>
        </w:rPr>
        <w:t>be overridden in certain </w:t>
      </w:r>
      <w:r>
        <w:rPr>
          <w:spacing w:val="-3"/>
          <w:w w:val="105"/>
          <w:sz w:val="21"/>
        </w:rPr>
        <w:t>circumstances. </w:t>
      </w:r>
      <w:r>
        <w:rPr>
          <w:w w:val="105"/>
          <w:sz w:val="21"/>
        </w:rPr>
        <w:t>The interstate</w:t>
      </w:r>
      <w:r>
        <w:rPr>
          <w:spacing w:val="-5"/>
          <w:w w:val="105"/>
          <w:sz w:val="21"/>
        </w:rPr>
        <w:t> </w:t>
      </w:r>
      <w:r>
        <w:rPr>
          <w:w w:val="105"/>
          <w:sz w:val="21"/>
        </w:rPr>
        <w:t>schemes</w:t>
      </w:r>
      <w:r>
        <w:rPr>
          <w:spacing w:val="-5"/>
          <w:w w:val="105"/>
          <w:sz w:val="21"/>
        </w:rPr>
        <w:t> </w:t>
      </w:r>
      <w:r>
        <w:rPr>
          <w:w w:val="105"/>
          <w:sz w:val="21"/>
        </w:rPr>
        <w:t>do</w:t>
      </w:r>
      <w:r>
        <w:rPr>
          <w:spacing w:val="-4"/>
          <w:w w:val="105"/>
          <w:sz w:val="21"/>
        </w:rPr>
        <w:t> </w:t>
      </w:r>
      <w:r>
        <w:rPr>
          <w:spacing w:val="-2"/>
          <w:w w:val="105"/>
          <w:sz w:val="21"/>
        </w:rPr>
        <w:t>not</w:t>
      </w:r>
      <w:r>
        <w:rPr>
          <w:spacing w:val="-5"/>
          <w:w w:val="105"/>
          <w:sz w:val="21"/>
        </w:rPr>
        <w:t> </w:t>
      </w:r>
      <w:r>
        <w:rPr>
          <w:spacing w:val="-3"/>
          <w:w w:val="105"/>
          <w:sz w:val="21"/>
        </w:rPr>
        <w:t>generally</w:t>
      </w:r>
      <w:r>
        <w:rPr>
          <w:spacing w:val="-4"/>
          <w:w w:val="105"/>
          <w:sz w:val="21"/>
        </w:rPr>
        <w:t> </w:t>
      </w:r>
      <w:r>
        <w:rPr>
          <w:spacing w:val="-3"/>
          <w:w w:val="105"/>
          <w:sz w:val="21"/>
        </w:rPr>
        <w:t>allow</w:t>
      </w:r>
      <w:r>
        <w:rPr>
          <w:spacing w:val="-5"/>
          <w:w w:val="105"/>
          <w:sz w:val="21"/>
        </w:rPr>
        <w:t> </w:t>
      </w:r>
      <w:r>
        <w:rPr>
          <w:w w:val="105"/>
          <w:sz w:val="21"/>
        </w:rPr>
        <w:t>orders</w:t>
      </w:r>
      <w:r>
        <w:rPr>
          <w:spacing w:val="-4"/>
          <w:w w:val="105"/>
          <w:sz w:val="21"/>
        </w:rPr>
        <w:t> </w:t>
      </w:r>
      <w:r>
        <w:rPr>
          <w:spacing w:val="-3"/>
          <w:w w:val="105"/>
          <w:sz w:val="21"/>
        </w:rPr>
        <w:t>that</w:t>
      </w:r>
      <w:r>
        <w:rPr>
          <w:spacing w:val="-5"/>
          <w:w w:val="105"/>
          <w:sz w:val="21"/>
        </w:rPr>
        <w:t> </w:t>
      </w:r>
      <w:r>
        <w:rPr>
          <w:spacing w:val="-3"/>
          <w:w w:val="105"/>
          <w:sz w:val="21"/>
        </w:rPr>
        <w:t>are</w:t>
      </w:r>
      <w:r>
        <w:rPr>
          <w:spacing w:val="-4"/>
          <w:w w:val="105"/>
          <w:sz w:val="21"/>
        </w:rPr>
        <w:t> </w:t>
      </w:r>
      <w:r>
        <w:rPr>
          <w:spacing w:val="-3"/>
          <w:w w:val="105"/>
          <w:sz w:val="21"/>
        </w:rPr>
        <w:t>prohibited</w:t>
      </w:r>
      <w:r>
        <w:rPr>
          <w:spacing w:val="-5"/>
          <w:w w:val="105"/>
          <w:sz w:val="21"/>
        </w:rPr>
        <w:t> </w:t>
      </w:r>
      <w:r>
        <w:rPr>
          <w:w w:val="105"/>
          <w:sz w:val="21"/>
        </w:rPr>
        <w:t>under</w:t>
      </w:r>
      <w:r>
        <w:rPr>
          <w:spacing w:val="-4"/>
          <w:w w:val="105"/>
          <w:sz w:val="21"/>
        </w:rPr>
        <w:t> </w:t>
      </w:r>
      <w:r>
        <w:rPr>
          <w:w w:val="105"/>
          <w:sz w:val="21"/>
        </w:rPr>
        <w:t>other</w:t>
      </w:r>
      <w:r>
        <w:rPr>
          <w:spacing w:val="-5"/>
          <w:w w:val="105"/>
          <w:sz w:val="21"/>
        </w:rPr>
        <w:t> </w:t>
      </w:r>
      <w:r>
        <w:rPr>
          <w:w w:val="105"/>
          <w:sz w:val="21"/>
        </w:rPr>
        <w:t>Acts.</w:t>
      </w:r>
      <w:r>
        <w:rPr>
          <w:w w:val="105"/>
          <w:position w:val="7"/>
          <w:sz w:val="12"/>
        </w:rPr>
        <w:t>239</w:t>
      </w:r>
    </w:p>
    <w:p>
      <w:pPr>
        <w:pStyle w:val="BodyText"/>
        <w:spacing w:before="6"/>
        <w:rPr>
          <w:sz w:val="20"/>
        </w:rPr>
      </w:pPr>
    </w:p>
    <w:p>
      <w:pPr>
        <w:pStyle w:val="Heading5"/>
      </w:pPr>
      <w:r>
        <w:rPr>
          <w:w w:val="115"/>
        </w:rPr>
        <w:t>New South Wales</w:t>
      </w:r>
    </w:p>
    <w:p>
      <w:pPr>
        <w:pStyle w:val="Heading7"/>
        <w:spacing w:before="168"/>
      </w:pPr>
      <w:r>
        <w:rPr>
          <w:w w:val="115"/>
        </w:rPr>
        <w:t>Regulation of trees on private land in NSW</w:t>
      </w:r>
    </w:p>
    <w:p>
      <w:pPr>
        <w:pStyle w:val="ListParagraph"/>
        <w:numPr>
          <w:ilvl w:val="0"/>
          <w:numId w:val="173"/>
        </w:numPr>
        <w:tabs>
          <w:tab w:pos="2381" w:val="left" w:leader="none"/>
        </w:tabs>
        <w:spacing w:line="242" w:lineRule="auto" w:before="142" w:after="0"/>
        <w:ind w:left="2381" w:right="1590" w:hanging="794"/>
        <w:jc w:val="both"/>
        <w:rPr>
          <w:sz w:val="12"/>
        </w:rPr>
      </w:pPr>
      <w:r>
        <w:rPr>
          <w:sz w:val="21"/>
        </w:rPr>
        <w:t>In New South </w:t>
      </w:r>
      <w:r>
        <w:rPr>
          <w:spacing w:val="-3"/>
          <w:sz w:val="21"/>
        </w:rPr>
        <w:t>Wales, </w:t>
      </w:r>
      <w:r>
        <w:rPr>
          <w:sz w:val="21"/>
        </w:rPr>
        <w:t>trees on </w:t>
      </w:r>
      <w:r>
        <w:rPr>
          <w:spacing w:val="-3"/>
          <w:sz w:val="21"/>
        </w:rPr>
        <w:t>private land may </w:t>
      </w:r>
      <w:r>
        <w:rPr>
          <w:sz w:val="21"/>
        </w:rPr>
        <w:t>be managed by </w:t>
      </w:r>
      <w:r>
        <w:rPr>
          <w:spacing w:val="-3"/>
          <w:sz w:val="21"/>
        </w:rPr>
        <w:t>planning </w:t>
      </w:r>
      <w:r>
        <w:rPr>
          <w:sz w:val="21"/>
        </w:rPr>
        <w:t>laws at the state  level and </w:t>
      </w:r>
      <w:r>
        <w:rPr>
          <w:spacing w:val="-3"/>
          <w:sz w:val="21"/>
        </w:rPr>
        <w:t>requirements </w:t>
      </w:r>
      <w:r>
        <w:rPr>
          <w:sz w:val="21"/>
        </w:rPr>
        <w:t>at the </w:t>
      </w:r>
      <w:r>
        <w:rPr>
          <w:spacing w:val="-3"/>
          <w:sz w:val="21"/>
        </w:rPr>
        <w:t>council level. </w:t>
      </w:r>
      <w:r>
        <w:rPr>
          <w:sz w:val="21"/>
        </w:rPr>
        <w:t>These laws </w:t>
      </w:r>
      <w:r>
        <w:rPr>
          <w:spacing w:val="-3"/>
          <w:sz w:val="21"/>
        </w:rPr>
        <w:t>have recently </w:t>
      </w:r>
      <w:r>
        <w:rPr>
          <w:sz w:val="21"/>
        </w:rPr>
        <w:t>undergone </w:t>
      </w:r>
      <w:r>
        <w:rPr>
          <w:spacing w:val="-3"/>
          <w:sz w:val="21"/>
        </w:rPr>
        <w:t>significant </w:t>
      </w:r>
      <w:r>
        <w:rPr>
          <w:sz w:val="21"/>
        </w:rPr>
        <w:t>amendment.</w:t>
      </w:r>
      <w:r>
        <w:rPr>
          <w:position w:val="7"/>
          <w:sz w:val="12"/>
        </w:rPr>
        <w:t>240</w:t>
      </w:r>
    </w:p>
    <w:p>
      <w:pPr>
        <w:pStyle w:val="BodyText"/>
        <w:rPr>
          <w:sz w:val="20"/>
        </w:rPr>
      </w:pPr>
    </w:p>
    <w:p>
      <w:pPr>
        <w:pStyle w:val="BodyText"/>
        <w:spacing w:before="2"/>
        <w:rPr>
          <w:sz w:val="23"/>
        </w:rPr>
      </w:pPr>
      <w:r>
        <w:rPr/>
        <w:pict>
          <v:line style="position:absolute;mso-position-horizontal-relative:page;mso-position-vertical-relative:paragraph;z-index:9896;mso-wrap-distance-left:0;mso-wrap-distance-right:0" from="79.370102pt,16.588821pt" to="519.685102pt,16.588821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76"/>
        </w:numPr>
        <w:tabs>
          <w:tab w:pos="2380" w:val="left" w:leader="none"/>
          <w:tab w:pos="2382" w:val="left" w:leader="none"/>
        </w:tabs>
        <w:spacing w:line="240" w:lineRule="auto" w:before="48" w:after="0"/>
        <w:ind w:left="2381" w:right="0" w:hanging="794"/>
        <w:jc w:val="left"/>
        <w:rPr>
          <w:sz w:val="13"/>
        </w:rPr>
      </w:pPr>
      <w:r>
        <w:rPr>
          <w:w w:val="105"/>
          <w:sz w:val="13"/>
        </w:rPr>
        <w:t>Supplementary Consultation 1 (Victorian Civil and Administrative</w:t>
      </w:r>
      <w:r>
        <w:rPr>
          <w:spacing w:val="2"/>
          <w:w w:val="105"/>
          <w:sz w:val="13"/>
        </w:rPr>
        <w:t> </w:t>
      </w:r>
      <w:r>
        <w:rPr>
          <w:w w:val="105"/>
          <w:sz w:val="13"/>
        </w:rPr>
        <w:t>Tribunal).</w:t>
      </w:r>
    </w:p>
    <w:p>
      <w:pPr>
        <w:pStyle w:val="ListParagraph"/>
        <w:numPr>
          <w:ilvl w:val="0"/>
          <w:numId w:val="176"/>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76"/>
        </w:numPr>
        <w:tabs>
          <w:tab w:pos="2380" w:val="left" w:leader="none"/>
          <w:tab w:pos="2382" w:val="left" w:leader="none"/>
        </w:tabs>
        <w:spacing w:line="240" w:lineRule="auto" w:before="2" w:after="0"/>
        <w:ind w:left="2381" w:right="0" w:hanging="794"/>
        <w:jc w:val="left"/>
        <w:rPr>
          <w:sz w:val="13"/>
        </w:rPr>
      </w:pPr>
      <w:r>
        <w:rPr>
          <w:w w:val="105"/>
          <w:sz w:val="13"/>
        </w:rPr>
        <w:t>Submissions 5 </w:t>
      </w:r>
      <w:r>
        <w:rPr>
          <w:spacing w:val="2"/>
          <w:w w:val="105"/>
          <w:sz w:val="13"/>
        </w:rPr>
        <w:t>(Name </w:t>
      </w:r>
      <w:r>
        <w:rPr>
          <w:w w:val="105"/>
          <w:sz w:val="13"/>
        </w:rPr>
        <w:t>withheld), </w:t>
      </w:r>
      <w:r>
        <w:rPr>
          <w:spacing w:val="-4"/>
          <w:w w:val="105"/>
          <w:sz w:val="13"/>
        </w:rPr>
        <w:t>13 </w:t>
      </w:r>
      <w:r>
        <w:rPr>
          <w:w w:val="105"/>
          <w:sz w:val="13"/>
        </w:rPr>
        <w:t>(Mandy Collins), </w:t>
      </w:r>
      <w:r>
        <w:rPr>
          <w:spacing w:val="-3"/>
          <w:w w:val="105"/>
          <w:sz w:val="13"/>
        </w:rPr>
        <w:t>19 </w:t>
      </w:r>
      <w:r>
        <w:rPr>
          <w:spacing w:val="2"/>
          <w:w w:val="105"/>
          <w:sz w:val="13"/>
        </w:rPr>
        <w:t>(Name</w:t>
      </w:r>
      <w:r>
        <w:rPr>
          <w:spacing w:val="21"/>
          <w:w w:val="105"/>
          <w:sz w:val="13"/>
        </w:rPr>
        <w:t> </w:t>
      </w:r>
      <w:r>
        <w:rPr>
          <w:w w:val="105"/>
          <w:sz w:val="13"/>
        </w:rPr>
        <w:t>withheld).</w:t>
      </w:r>
    </w:p>
    <w:p>
      <w:pPr>
        <w:pStyle w:val="ListParagraph"/>
        <w:numPr>
          <w:ilvl w:val="0"/>
          <w:numId w:val="176"/>
        </w:numPr>
        <w:tabs>
          <w:tab w:pos="2381" w:val="left" w:leader="none"/>
          <w:tab w:pos="2382" w:val="left" w:leader="none"/>
        </w:tabs>
        <w:spacing w:line="240" w:lineRule="auto" w:before="1" w:after="0"/>
        <w:ind w:left="2381" w:right="0" w:hanging="794"/>
        <w:jc w:val="left"/>
        <w:rPr>
          <w:sz w:val="13"/>
        </w:rPr>
      </w:pPr>
      <w:r>
        <w:rPr>
          <w:w w:val="105"/>
          <w:sz w:val="13"/>
        </w:rPr>
        <w:t>Submission 30 </w:t>
      </w:r>
      <w:r>
        <w:rPr>
          <w:spacing w:val="3"/>
          <w:w w:val="105"/>
          <w:sz w:val="13"/>
        </w:rPr>
        <w:t>(Law </w:t>
      </w:r>
      <w:r>
        <w:rPr>
          <w:w w:val="105"/>
          <w:sz w:val="13"/>
        </w:rPr>
        <w:t>Institute of</w:t>
      </w:r>
      <w:r>
        <w:rPr>
          <w:spacing w:val="13"/>
          <w:w w:val="105"/>
          <w:sz w:val="13"/>
        </w:rPr>
        <w:t> </w:t>
      </w:r>
      <w:r>
        <w:rPr>
          <w:spacing w:val="2"/>
          <w:w w:val="105"/>
          <w:sz w:val="13"/>
        </w:rPr>
        <w:t>Victoria).</w:t>
      </w:r>
    </w:p>
    <w:p>
      <w:pPr>
        <w:pStyle w:val="ListParagraph"/>
        <w:numPr>
          <w:ilvl w:val="0"/>
          <w:numId w:val="176"/>
        </w:numPr>
        <w:tabs>
          <w:tab w:pos="2381" w:val="left" w:leader="none"/>
          <w:tab w:pos="2382" w:val="left" w:leader="none"/>
        </w:tabs>
        <w:spacing w:line="240" w:lineRule="auto" w:before="1" w:after="0"/>
        <w:ind w:left="2381" w:right="0" w:hanging="794"/>
        <w:jc w:val="left"/>
        <w:rPr>
          <w:sz w:val="13"/>
        </w:rPr>
      </w:pPr>
      <w:r>
        <w:rPr>
          <w:w w:val="105"/>
          <w:sz w:val="13"/>
        </w:rPr>
        <w:t>Consultation 9 (Nillumbik Shire </w:t>
      </w:r>
      <w:r>
        <w:rPr>
          <w:spacing w:val="22"/>
          <w:w w:val="105"/>
          <w:sz w:val="13"/>
        </w:rPr>
        <w:t> </w:t>
      </w:r>
      <w:r>
        <w:rPr>
          <w:w w:val="105"/>
          <w:sz w:val="13"/>
        </w:rPr>
        <w:t>Council).</w:t>
      </w:r>
    </w:p>
    <w:p>
      <w:pPr>
        <w:pStyle w:val="ListParagraph"/>
        <w:numPr>
          <w:ilvl w:val="0"/>
          <w:numId w:val="176"/>
        </w:numPr>
        <w:tabs>
          <w:tab w:pos="2381" w:val="left" w:leader="none"/>
          <w:tab w:pos="2382" w:val="left" w:leader="none"/>
        </w:tabs>
        <w:spacing w:line="240" w:lineRule="auto" w:before="2" w:after="0"/>
        <w:ind w:left="2381" w:right="0" w:hanging="794"/>
        <w:jc w:val="left"/>
        <w:rPr>
          <w:sz w:val="13"/>
        </w:rPr>
      </w:pPr>
      <w:r>
        <w:rPr>
          <w:w w:val="105"/>
          <w:sz w:val="13"/>
        </w:rPr>
        <w:t>See </w:t>
      </w:r>
      <w:r>
        <w:rPr>
          <w:i/>
          <w:w w:val="105"/>
          <w:sz w:val="13"/>
        </w:rPr>
        <w:t>Neighbourhood Disputes (Dividing Fences and Trees) Act </w:t>
      </w:r>
      <w:r>
        <w:rPr>
          <w:i/>
          <w:spacing w:val="-4"/>
          <w:w w:val="105"/>
          <w:sz w:val="13"/>
        </w:rPr>
        <w:t>2011 </w:t>
      </w:r>
      <w:r>
        <w:rPr>
          <w:i/>
          <w:spacing w:val="3"/>
          <w:w w:val="105"/>
          <w:sz w:val="13"/>
        </w:rPr>
        <w:t>(</w:t>
      </w:r>
      <w:r>
        <w:rPr>
          <w:spacing w:val="3"/>
          <w:w w:val="105"/>
          <w:sz w:val="13"/>
        </w:rPr>
        <w:t>Qld) </w:t>
      </w:r>
      <w:r>
        <w:rPr>
          <w:w w:val="105"/>
          <w:sz w:val="13"/>
        </w:rPr>
        <w:t>s 67; </w:t>
      </w:r>
      <w:r>
        <w:rPr>
          <w:i/>
          <w:w w:val="105"/>
          <w:sz w:val="13"/>
        </w:rPr>
        <w:t>Neighbourhood Disputes About Plants Act </w:t>
      </w:r>
      <w:r>
        <w:rPr>
          <w:i/>
          <w:spacing w:val="-4"/>
          <w:w w:val="105"/>
          <w:sz w:val="13"/>
        </w:rPr>
        <w:t>2017 </w:t>
      </w:r>
      <w:r>
        <w:rPr>
          <w:w w:val="105"/>
          <w:sz w:val="13"/>
        </w:rPr>
        <w:t>(Tas) s 14. The Commission’s research suggests that local laws may not be relied upon to manage vegetation on private land in New South Wales as they are   in Victoria. The Commission notes that the application of the Tasmanian Act is in its infancy and so there is currently no case law about how RMPAT have interpreted these specific provisions. The Commission is uncertain, for example, about how RMPAT orders may intersect with   local</w:t>
      </w:r>
      <w:r>
        <w:rPr>
          <w:spacing w:val="4"/>
          <w:w w:val="105"/>
          <w:sz w:val="13"/>
        </w:rPr>
        <w:t> </w:t>
      </w:r>
      <w:r>
        <w:rPr>
          <w:w w:val="105"/>
          <w:sz w:val="13"/>
        </w:rPr>
        <w:t>tree</w:t>
      </w:r>
      <w:r>
        <w:rPr>
          <w:spacing w:val="4"/>
          <w:w w:val="105"/>
          <w:sz w:val="13"/>
        </w:rPr>
        <w:t> </w:t>
      </w:r>
      <w:r>
        <w:rPr>
          <w:w w:val="105"/>
          <w:sz w:val="13"/>
        </w:rPr>
        <w:t>protection</w:t>
      </w:r>
      <w:r>
        <w:rPr>
          <w:spacing w:val="5"/>
          <w:w w:val="105"/>
          <w:sz w:val="13"/>
        </w:rPr>
        <w:t> </w:t>
      </w:r>
      <w:r>
        <w:rPr>
          <w:w w:val="105"/>
          <w:sz w:val="13"/>
        </w:rPr>
        <w:t>laws</w:t>
      </w:r>
      <w:r>
        <w:rPr>
          <w:spacing w:val="4"/>
          <w:w w:val="105"/>
          <w:sz w:val="13"/>
        </w:rPr>
        <w:t> </w:t>
      </w:r>
      <w:r>
        <w:rPr>
          <w:w w:val="105"/>
          <w:sz w:val="13"/>
        </w:rPr>
        <w:t>in</w:t>
      </w:r>
      <w:r>
        <w:rPr>
          <w:spacing w:val="5"/>
          <w:w w:val="105"/>
          <w:sz w:val="13"/>
        </w:rPr>
        <w:t> </w:t>
      </w:r>
      <w:r>
        <w:rPr>
          <w:w w:val="105"/>
          <w:sz w:val="13"/>
        </w:rPr>
        <w:t>Tasmania.</w:t>
      </w:r>
      <w:r>
        <w:rPr>
          <w:spacing w:val="4"/>
          <w:w w:val="105"/>
          <w:sz w:val="13"/>
        </w:rPr>
        <w:t> </w:t>
      </w:r>
      <w:r>
        <w:rPr>
          <w:w w:val="105"/>
          <w:sz w:val="13"/>
        </w:rPr>
        <w:t>This</w:t>
      </w:r>
      <w:r>
        <w:rPr>
          <w:spacing w:val="4"/>
          <w:w w:val="105"/>
          <w:sz w:val="13"/>
        </w:rPr>
        <w:t> </w:t>
      </w:r>
      <w:r>
        <w:rPr>
          <w:w w:val="105"/>
          <w:sz w:val="13"/>
        </w:rPr>
        <w:t>is</w:t>
      </w:r>
      <w:r>
        <w:rPr>
          <w:spacing w:val="5"/>
          <w:w w:val="105"/>
          <w:sz w:val="13"/>
        </w:rPr>
        <w:t> </w:t>
      </w:r>
      <w:r>
        <w:rPr>
          <w:w w:val="105"/>
          <w:sz w:val="13"/>
        </w:rPr>
        <w:t>discussed</w:t>
      </w:r>
      <w:r>
        <w:rPr>
          <w:spacing w:val="4"/>
          <w:w w:val="105"/>
          <w:sz w:val="13"/>
        </w:rPr>
        <w:t> </w:t>
      </w:r>
      <w:r>
        <w:rPr>
          <w:w w:val="105"/>
          <w:sz w:val="13"/>
        </w:rPr>
        <w:t>in</w:t>
      </w:r>
      <w:r>
        <w:rPr>
          <w:spacing w:val="5"/>
          <w:w w:val="105"/>
          <w:sz w:val="13"/>
        </w:rPr>
        <w:t> </w:t>
      </w:r>
      <w:r>
        <w:rPr>
          <w:w w:val="105"/>
          <w:sz w:val="13"/>
        </w:rPr>
        <w:t>further</w:t>
      </w:r>
      <w:r>
        <w:rPr>
          <w:spacing w:val="4"/>
          <w:w w:val="105"/>
          <w:sz w:val="13"/>
        </w:rPr>
        <w:t> </w:t>
      </w:r>
      <w:r>
        <w:rPr>
          <w:w w:val="105"/>
          <w:sz w:val="13"/>
        </w:rPr>
        <w:t>detail</w:t>
      </w:r>
      <w:r>
        <w:rPr>
          <w:spacing w:val="5"/>
          <w:w w:val="105"/>
          <w:sz w:val="13"/>
        </w:rPr>
        <w:t> </w:t>
      </w:r>
      <w:r>
        <w:rPr>
          <w:w w:val="105"/>
          <w:sz w:val="13"/>
        </w:rPr>
        <w:t>below.</w:t>
      </w:r>
    </w:p>
    <w:p>
      <w:pPr>
        <w:pStyle w:val="ListParagraph"/>
        <w:numPr>
          <w:ilvl w:val="0"/>
          <w:numId w:val="176"/>
        </w:numPr>
        <w:tabs>
          <w:tab w:pos="2381" w:val="left" w:leader="none"/>
          <w:tab w:pos="2382" w:val="left" w:leader="none"/>
        </w:tabs>
        <w:spacing w:line="240" w:lineRule="auto" w:before="6" w:after="0"/>
        <w:ind w:left="2381" w:right="294" w:hanging="794"/>
        <w:jc w:val="left"/>
        <w:rPr>
          <w:sz w:val="13"/>
        </w:rPr>
      </w:pPr>
      <w:r>
        <w:rPr>
          <w:w w:val="105"/>
          <w:sz w:val="13"/>
        </w:rPr>
        <w:t>See </w:t>
      </w:r>
      <w:r>
        <w:rPr>
          <w:i/>
          <w:w w:val="105"/>
          <w:sz w:val="13"/>
        </w:rPr>
        <w:t>Neighbourhood Disputes (Dividing Fences and Trees) Act </w:t>
      </w:r>
      <w:r>
        <w:rPr>
          <w:i/>
          <w:spacing w:val="-4"/>
          <w:w w:val="105"/>
          <w:sz w:val="13"/>
        </w:rPr>
        <w:t>2011  </w:t>
      </w:r>
      <w:r>
        <w:rPr>
          <w:spacing w:val="2"/>
          <w:w w:val="105"/>
          <w:sz w:val="13"/>
        </w:rPr>
        <w:t>(Qld) </w:t>
      </w:r>
      <w:r>
        <w:rPr>
          <w:w w:val="105"/>
          <w:sz w:val="13"/>
        </w:rPr>
        <w:t>ss 43, 67; </w:t>
      </w:r>
      <w:r>
        <w:rPr>
          <w:i/>
          <w:w w:val="105"/>
          <w:sz w:val="13"/>
        </w:rPr>
        <w:t>Neighbourhood Disputes About Plants Act </w:t>
      </w:r>
      <w:r>
        <w:rPr>
          <w:i/>
          <w:spacing w:val="-4"/>
          <w:w w:val="105"/>
          <w:sz w:val="13"/>
        </w:rPr>
        <w:t>2017  </w:t>
      </w:r>
      <w:r>
        <w:rPr>
          <w:w w:val="105"/>
          <w:sz w:val="13"/>
        </w:rPr>
        <w:t>(Tas)      s</w:t>
      </w:r>
      <w:r>
        <w:rPr>
          <w:spacing w:val="9"/>
          <w:w w:val="105"/>
          <w:sz w:val="13"/>
        </w:rPr>
        <w:t> </w:t>
      </w:r>
      <w:r>
        <w:rPr>
          <w:w w:val="105"/>
          <w:sz w:val="13"/>
        </w:rPr>
        <w:t>14;</w:t>
      </w:r>
      <w:r>
        <w:rPr>
          <w:spacing w:val="9"/>
          <w:w w:val="105"/>
          <w:sz w:val="13"/>
        </w:rPr>
        <w:t> </w:t>
      </w:r>
      <w:r>
        <w:rPr>
          <w:i/>
          <w:w w:val="105"/>
          <w:sz w:val="13"/>
        </w:rPr>
        <w:t>Trees</w:t>
      </w:r>
      <w:r>
        <w:rPr>
          <w:i/>
          <w:spacing w:val="10"/>
          <w:w w:val="105"/>
          <w:sz w:val="13"/>
        </w:rPr>
        <w:t> </w:t>
      </w:r>
      <w:r>
        <w:rPr>
          <w:i/>
          <w:w w:val="105"/>
          <w:sz w:val="13"/>
        </w:rPr>
        <w:t>(Disputes</w:t>
      </w:r>
      <w:r>
        <w:rPr>
          <w:i/>
          <w:spacing w:val="9"/>
          <w:w w:val="105"/>
          <w:sz w:val="13"/>
        </w:rPr>
        <w:t> </w:t>
      </w:r>
      <w:r>
        <w:rPr>
          <w:i/>
          <w:w w:val="105"/>
          <w:sz w:val="13"/>
        </w:rPr>
        <w:t>Between</w:t>
      </w:r>
      <w:r>
        <w:rPr>
          <w:i/>
          <w:spacing w:val="9"/>
          <w:w w:val="105"/>
          <w:sz w:val="13"/>
        </w:rPr>
        <w:t> </w:t>
      </w:r>
      <w:r>
        <w:rPr>
          <w:i/>
          <w:w w:val="105"/>
          <w:sz w:val="13"/>
        </w:rPr>
        <w:t>Neighbours)</w:t>
      </w:r>
      <w:r>
        <w:rPr>
          <w:i/>
          <w:spacing w:val="10"/>
          <w:w w:val="105"/>
          <w:sz w:val="13"/>
        </w:rPr>
        <w:t> </w:t>
      </w:r>
      <w:r>
        <w:rPr>
          <w:i/>
          <w:w w:val="105"/>
          <w:sz w:val="13"/>
        </w:rPr>
        <w:t>Act</w:t>
      </w:r>
      <w:r>
        <w:rPr>
          <w:i/>
          <w:spacing w:val="9"/>
          <w:w w:val="105"/>
          <w:sz w:val="13"/>
        </w:rPr>
        <w:t> </w:t>
      </w:r>
      <w:r>
        <w:rPr>
          <w:i/>
          <w:w w:val="105"/>
          <w:sz w:val="13"/>
        </w:rPr>
        <w:t>2006</w:t>
      </w:r>
      <w:r>
        <w:rPr>
          <w:i/>
          <w:spacing w:val="9"/>
          <w:w w:val="105"/>
          <w:sz w:val="13"/>
        </w:rPr>
        <w:t> </w:t>
      </w:r>
      <w:r>
        <w:rPr>
          <w:spacing w:val="3"/>
          <w:w w:val="105"/>
          <w:sz w:val="13"/>
        </w:rPr>
        <w:t>(NSW)</w:t>
      </w:r>
      <w:r>
        <w:rPr>
          <w:spacing w:val="10"/>
          <w:w w:val="105"/>
          <w:sz w:val="13"/>
        </w:rPr>
        <w:t> </w:t>
      </w:r>
      <w:r>
        <w:rPr>
          <w:w w:val="105"/>
          <w:sz w:val="13"/>
        </w:rPr>
        <w:t>s</w:t>
      </w:r>
      <w:r>
        <w:rPr>
          <w:spacing w:val="9"/>
          <w:w w:val="105"/>
          <w:sz w:val="13"/>
        </w:rPr>
        <w:t> </w:t>
      </w:r>
      <w:r>
        <w:rPr>
          <w:w w:val="105"/>
          <w:sz w:val="13"/>
        </w:rPr>
        <w:t>6(1),</w:t>
      </w:r>
      <w:r>
        <w:rPr>
          <w:spacing w:val="9"/>
          <w:w w:val="105"/>
          <w:sz w:val="13"/>
        </w:rPr>
        <w:t> </w:t>
      </w:r>
      <w:r>
        <w:rPr>
          <w:spacing w:val="2"/>
          <w:w w:val="105"/>
          <w:sz w:val="13"/>
        </w:rPr>
        <w:t>(2);</w:t>
      </w:r>
      <w:r>
        <w:rPr>
          <w:spacing w:val="10"/>
          <w:w w:val="105"/>
          <w:sz w:val="13"/>
        </w:rPr>
        <w:t> </w:t>
      </w:r>
      <w:r>
        <w:rPr>
          <w:w w:val="105"/>
          <w:sz w:val="13"/>
        </w:rPr>
        <w:t>cf</w:t>
      </w:r>
      <w:r>
        <w:rPr>
          <w:spacing w:val="9"/>
          <w:w w:val="105"/>
          <w:sz w:val="13"/>
        </w:rPr>
        <w:t> </w:t>
      </w:r>
      <w:r>
        <w:rPr>
          <w:i/>
          <w:w w:val="105"/>
          <w:sz w:val="13"/>
        </w:rPr>
        <w:t>Trees</w:t>
      </w:r>
      <w:r>
        <w:rPr>
          <w:i/>
          <w:spacing w:val="9"/>
          <w:w w:val="105"/>
          <w:sz w:val="13"/>
        </w:rPr>
        <w:t> </w:t>
      </w:r>
      <w:r>
        <w:rPr>
          <w:i/>
          <w:w w:val="105"/>
          <w:sz w:val="13"/>
        </w:rPr>
        <w:t>(Disputes</w:t>
      </w:r>
      <w:r>
        <w:rPr>
          <w:i/>
          <w:spacing w:val="10"/>
          <w:w w:val="105"/>
          <w:sz w:val="13"/>
        </w:rPr>
        <w:t> </w:t>
      </w:r>
      <w:r>
        <w:rPr>
          <w:i/>
          <w:w w:val="105"/>
          <w:sz w:val="13"/>
        </w:rPr>
        <w:t>Between</w:t>
      </w:r>
      <w:r>
        <w:rPr>
          <w:i/>
          <w:spacing w:val="9"/>
          <w:w w:val="105"/>
          <w:sz w:val="13"/>
        </w:rPr>
        <w:t> </w:t>
      </w:r>
      <w:r>
        <w:rPr>
          <w:i/>
          <w:w w:val="105"/>
          <w:sz w:val="13"/>
        </w:rPr>
        <w:t>Neighbours)</w:t>
      </w:r>
      <w:r>
        <w:rPr>
          <w:i/>
          <w:spacing w:val="10"/>
          <w:w w:val="105"/>
          <w:sz w:val="13"/>
        </w:rPr>
        <w:t> </w:t>
      </w:r>
      <w:r>
        <w:rPr>
          <w:i/>
          <w:w w:val="105"/>
          <w:sz w:val="13"/>
        </w:rPr>
        <w:t>Act</w:t>
      </w:r>
      <w:r>
        <w:rPr>
          <w:i/>
          <w:spacing w:val="9"/>
          <w:w w:val="105"/>
          <w:sz w:val="13"/>
        </w:rPr>
        <w:t> </w:t>
      </w:r>
      <w:r>
        <w:rPr>
          <w:i/>
          <w:w w:val="105"/>
          <w:sz w:val="13"/>
        </w:rPr>
        <w:t>2006</w:t>
      </w:r>
      <w:r>
        <w:rPr>
          <w:i/>
          <w:spacing w:val="9"/>
          <w:w w:val="105"/>
          <w:sz w:val="13"/>
        </w:rPr>
        <w:t> </w:t>
      </w:r>
      <w:r>
        <w:rPr>
          <w:spacing w:val="3"/>
          <w:w w:val="105"/>
          <w:sz w:val="13"/>
        </w:rPr>
        <w:t>(NSW)</w:t>
      </w:r>
      <w:r>
        <w:rPr>
          <w:spacing w:val="10"/>
          <w:w w:val="105"/>
          <w:sz w:val="13"/>
        </w:rPr>
        <w:t> </w:t>
      </w:r>
      <w:r>
        <w:rPr>
          <w:w w:val="105"/>
          <w:sz w:val="13"/>
        </w:rPr>
        <w:t>s</w:t>
      </w:r>
      <w:r>
        <w:rPr>
          <w:spacing w:val="9"/>
          <w:w w:val="105"/>
          <w:sz w:val="13"/>
        </w:rPr>
        <w:t> </w:t>
      </w:r>
      <w:r>
        <w:rPr>
          <w:spacing w:val="4"/>
          <w:w w:val="105"/>
          <w:sz w:val="13"/>
        </w:rPr>
        <w:t>6(3).</w:t>
      </w:r>
    </w:p>
    <w:p>
      <w:pPr>
        <w:pStyle w:val="ListParagraph"/>
        <w:numPr>
          <w:ilvl w:val="0"/>
          <w:numId w:val="176"/>
        </w:numPr>
        <w:tabs>
          <w:tab w:pos="2381" w:val="left" w:leader="none"/>
          <w:tab w:pos="2382" w:val="left" w:leader="none"/>
        </w:tabs>
        <w:spacing w:line="240" w:lineRule="auto" w:before="3" w:after="0"/>
        <w:ind w:left="2381" w:right="89" w:hanging="794"/>
        <w:jc w:val="left"/>
        <w:rPr>
          <w:sz w:val="13"/>
        </w:rPr>
      </w:pPr>
      <w:r>
        <w:rPr>
          <w:w w:val="105"/>
          <w:sz w:val="13"/>
        </w:rPr>
        <w:t>The </w:t>
      </w:r>
      <w:r>
        <w:rPr>
          <w:i/>
          <w:w w:val="105"/>
          <w:sz w:val="13"/>
        </w:rPr>
        <w:t>Environmental Planning and Assessment Act </w:t>
      </w:r>
      <w:r>
        <w:rPr>
          <w:i/>
          <w:spacing w:val="-3"/>
          <w:w w:val="105"/>
          <w:sz w:val="13"/>
        </w:rPr>
        <w:t>1979 </w:t>
      </w:r>
      <w:r>
        <w:rPr>
          <w:spacing w:val="3"/>
          <w:w w:val="105"/>
          <w:sz w:val="13"/>
        </w:rPr>
        <w:t>(NSW) </w:t>
      </w:r>
      <w:r>
        <w:rPr>
          <w:w w:val="105"/>
          <w:sz w:val="13"/>
        </w:rPr>
        <w:t>was updated following the passing of the </w:t>
      </w:r>
      <w:r>
        <w:rPr>
          <w:i/>
          <w:w w:val="105"/>
          <w:sz w:val="13"/>
        </w:rPr>
        <w:t>Environmental Planning and </w:t>
      </w:r>
      <w:r>
        <w:rPr>
          <w:i/>
          <w:w w:val="105"/>
          <w:sz w:val="13"/>
        </w:rPr>
        <w:t>Assessment Amendment Act </w:t>
      </w:r>
      <w:r>
        <w:rPr>
          <w:i/>
          <w:spacing w:val="-4"/>
          <w:w w:val="105"/>
          <w:sz w:val="13"/>
        </w:rPr>
        <w:t>2017  </w:t>
      </w:r>
      <w:r>
        <w:rPr>
          <w:w w:val="105"/>
          <w:sz w:val="13"/>
        </w:rPr>
        <w:t>in November </w:t>
      </w:r>
      <w:r>
        <w:rPr>
          <w:spacing w:val="-5"/>
          <w:w w:val="105"/>
          <w:sz w:val="13"/>
        </w:rPr>
        <w:t>2017.</w:t>
      </w:r>
      <w:r>
        <w:rPr>
          <w:spacing w:val="20"/>
          <w:w w:val="105"/>
          <w:sz w:val="13"/>
        </w:rPr>
        <w:t> </w:t>
      </w:r>
      <w:r>
        <w:rPr>
          <w:w w:val="105"/>
          <w:sz w:val="13"/>
        </w:rPr>
        <w:t>Most of the changes came into effect from 1 March 2018: Department of Planning     and Environment </w:t>
      </w:r>
      <w:r>
        <w:rPr>
          <w:spacing w:val="3"/>
          <w:w w:val="105"/>
          <w:sz w:val="13"/>
        </w:rPr>
        <w:t>(NSW), </w:t>
      </w:r>
      <w:r>
        <w:rPr>
          <w:i/>
          <w:w w:val="105"/>
          <w:sz w:val="13"/>
        </w:rPr>
        <w:t>Guide to the Updated Environmental Planning and Assessment Act </w:t>
      </w:r>
      <w:r>
        <w:rPr>
          <w:i/>
          <w:spacing w:val="-3"/>
          <w:w w:val="105"/>
          <w:sz w:val="13"/>
        </w:rPr>
        <w:t>1979 </w:t>
      </w:r>
      <w:r>
        <w:rPr>
          <w:w w:val="105"/>
          <w:sz w:val="13"/>
        </w:rPr>
        <w:t>(Web Page) </w:t>
      </w:r>
      <w:r>
        <w:rPr>
          <w:spacing w:val="2"/>
          <w:w w:val="105"/>
          <w:sz w:val="13"/>
        </w:rPr>
        <w:t>&lt;https://</w:t>
      </w:r>
      <w:hyperlink r:id="rId288">
        <w:r>
          <w:rPr>
            <w:spacing w:val="2"/>
            <w:w w:val="105"/>
            <w:sz w:val="13"/>
          </w:rPr>
          <w:t>www.planning.nsw.</w:t>
        </w:r>
      </w:hyperlink>
      <w:r>
        <w:rPr>
          <w:spacing w:val="2"/>
          <w:w w:val="105"/>
          <w:sz w:val="13"/>
        </w:rPr>
        <w:t> </w:t>
      </w:r>
      <w:r>
        <w:rPr>
          <w:spacing w:val="2"/>
          <w:sz w:val="13"/>
        </w:rPr>
        <w:t>gov.au/Policy-and-Legislation/Environmental-Planning-and-Assessment-Act-updated/Guide-to-the-updated-Environmental-Planning-and- </w:t>
      </w:r>
      <w:r>
        <w:rPr>
          <w:w w:val="105"/>
          <w:sz w:val="13"/>
        </w:rPr>
        <w:t>Assessment-Act-1979&gt;.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7"/>
        </w:rPr>
      </w:pPr>
    </w:p>
    <w:p>
      <w:pPr>
        <w:spacing w:before="0"/>
        <w:ind w:left="477" w:right="0" w:firstLine="0"/>
        <w:jc w:val="left"/>
        <w:rPr>
          <w:b/>
          <w:sz w:val="24"/>
        </w:rPr>
      </w:pPr>
      <w:r>
        <w:rPr>
          <w:b/>
          <w:color w:val="658464"/>
          <w:w w:val="110"/>
          <w:sz w:val="24"/>
        </w:rPr>
        <w:t>239</w:t>
      </w:r>
    </w:p>
    <w:p>
      <w:pPr>
        <w:spacing w:after="0"/>
        <w:jc w:val="left"/>
        <w:rPr>
          <w:sz w:val="24"/>
        </w:rPr>
        <w:sectPr>
          <w:type w:val="continuous"/>
          <w:pgSz w:w="11910" w:h="16840"/>
          <w:pgMar w:top="300" w:bottom="280" w:left="0" w:right="0"/>
          <w:cols w:num="2" w:equalWidth="0">
            <w:col w:w="10396" w:space="40"/>
            <w:col w:w="1474"/>
          </w:cols>
        </w:sectPr>
      </w:pPr>
    </w:p>
    <w:p>
      <w:pPr>
        <w:pStyle w:val="BodyText"/>
        <w:spacing w:before="9"/>
        <w:rPr>
          <w:b/>
          <w:sz w:val="22"/>
        </w:rPr>
      </w:pPr>
    </w:p>
    <w:p>
      <w:pPr>
        <w:pStyle w:val="ListParagraph"/>
        <w:numPr>
          <w:ilvl w:val="0"/>
          <w:numId w:val="173"/>
        </w:numPr>
        <w:tabs>
          <w:tab w:pos="2380" w:val="left" w:leader="none"/>
          <w:tab w:pos="2381" w:val="left" w:leader="none"/>
        </w:tabs>
        <w:spacing w:line="242" w:lineRule="auto" w:before="92" w:after="0"/>
        <w:ind w:left="2381" w:right="1871" w:hanging="794"/>
        <w:jc w:val="left"/>
        <w:rPr>
          <w:sz w:val="21"/>
        </w:rPr>
      </w:pPr>
      <w:r>
        <w:rPr>
          <w:w w:val="105"/>
          <w:sz w:val="21"/>
        </w:rPr>
        <w:t>The</w:t>
      </w:r>
      <w:r>
        <w:rPr>
          <w:spacing w:val="-5"/>
          <w:w w:val="105"/>
          <w:sz w:val="21"/>
        </w:rPr>
        <w:t> </w:t>
      </w:r>
      <w:r>
        <w:rPr>
          <w:w w:val="105"/>
          <w:sz w:val="21"/>
        </w:rPr>
        <w:t>NSW</w:t>
      </w:r>
      <w:r>
        <w:rPr>
          <w:spacing w:val="-5"/>
          <w:w w:val="105"/>
          <w:sz w:val="21"/>
        </w:rPr>
        <w:t> </w:t>
      </w:r>
      <w:r>
        <w:rPr>
          <w:spacing w:val="-3"/>
          <w:w w:val="105"/>
          <w:sz w:val="21"/>
        </w:rPr>
        <w:t>Government</w:t>
      </w:r>
      <w:r>
        <w:rPr>
          <w:spacing w:val="-5"/>
          <w:w w:val="105"/>
          <w:sz w:val="21"/>
        </w:rPr>
        <w:t> </w:t>
      </w:r>
      <w:r>
        <w:rPr>
          <w:w w:val="105"/>
          <w:sz w:val="21"/>
        </w:rPr>
        <w:t>describes</w:t>
      </w:r>
      <w:r>
        <w:rPr>
          <w:spacing w:val="-5"/>
          <w:w w:val="105"/>
          <w:sz w:val="21"/>
        </w:rPr>
        <w:t> </w:t>
      </w:r>
      <w:r>
        <w:rPr>
          <w:w w:val="105"/>
          <w:sz w:val="21"/>
        </w:rPr>
        <w:t>the</w:t>
      </w:r>
      <w:r>
        <w:rPr>
          <w:spacing w:val="-5"/>
          <w:w w:val="105"/>
          <w:sz w:val="21"/>
        </w:rPr>
        <w:t> </w:t>
      </w:r>
      <w:r>
        <w:rPr>
          <w:spacing w:val="-3"/>
          <w:w w:val="105"/>
          <w:sz w:val="21"/>
        </w:rPr>
        <w:t>planning</w:t>
      </w:r>
      <w:r>
        <w:rPr>
          <w:spacing w:val="-5"/>
          <w:w w:val="105"/>
          <w:sz w:val="21"/>
        </w:rPr>
        <w:t> </w:t>
      </w:r>
      <w:r>
        <w:rPr>
          <w:w w:val="105"/>
          <w:sz w:val="21"/>
        </w:rPr>
        <w:t>system</w:t>
      </w:r>
      <w:r>
        <w:rPr>
          <w:spacing w:val="-5"/>
          <w:w w:val="105"/>
          <w:sz w:val="21"/>
        </w:rPr>
        <w:t> </w:t>
      </w:r>
      <w:r>
        <w:rPr>
          <w:w w:val="105"/>
          <w:sz w:val="21"/>
        </w:rPr>
        <w:t>as</w:t>
      </w:r>
      <w:r>
        <w:rPr>
          <w:spacing w:val="-5"/>
          <w:w w:val="105"/>
          <w:sz w:val="21"/>
        </w:rPr>
        <w:t> </w:t>
      </w:r>
      <w:r>
        <w:rPr>
          <w:spacing w:val="-3"/>
          <w:w w:val="105"/>
          <w:sz w:val="21"/>
        </w:rPr>
        <w:t>having</w:t>
      </w:r>
      <w:r>
        <w:rPr>
          <w:spacing w:val="-5"/>
          <w:w w:val="105"/>
          <w:sz w:val="21"/>
        </w:rPr>
        <w:t> </w:t>
      </w:r>
      <w:r>
        <w:rPr>
          <w:w w:val="105"/>
          <w:sz w:val="21"/>
        </w:rPr>
        <w:t>a</w:t>
      </w:r>
      <w:r>
        <w:rPr>
          <w:spacing w:val="-5"/>
          <w:w w:val="105"/>
          <w:sz w:val="21"/>
        </w:rPr>
        <w:t> </w:t>
      </w:r>
      <w:r>
        <w:rPr>
          <w:spacing w:val="-3"/>
          <w:w w:val="105"/>
          <w:sz w:val="21"/>
        </w:rPr>
        <w:t>hierarchical</w:t>
      </w:r>
      <w:r>
        <w:rPr>
          <w:spacing w:val="-5"/>
          <w:w w:val="105"/>
          <w:sz w:val="21"/>
        </w:rPr>
        <w:t> </w:t>
      </w:r>
      <w:r>
        <w:rPr>
          <w:spacing w:val="-3"/>
          <w:w w:val="105"/>
          <w:sz w:val="21"/>
        </w:rPr>
        <w:t>structure, </w:t>
      </w:r>
      <w:r>
        <w:rPr>
          <w:w w:val="105"/>
          <w:sz w:val="21"/>
        </w:rPr>
        <w:t>with the </w:t>
      </w:r>
      <w:r>
        <w:rPr>
          <w:i/>
          <w:spacing w:val="-3"/>
          <w:w w:val="105"/>
          <w:sz w:val="21"/>
        </w:rPr>
        <w:t>Environmental Planning </w:t>
      </w:r>
      <w:r>
        <w:rPr>
          <w:i/>
          <w:w w:val="105"/>
          <w:sz w:val="21"/>
        </w:rPr>
        <w:t>and Assessment Act </w:t>
      </w:r>
      <w:r>
        <w:rPr>
          <w:spacing w:val="-7"/>
          <w:w w:val="105"/>
          <w:sz w:val="21"/>
        </w:rPr>
        <w:t>1979 </w:t>
      </w:r>
      <w:r>
        <w:rPr>
          <w:spacing w:val="2"/>
          <w:w w:val="105"/>
          <w:sz w:val="21"/>
        </w:rPr>
        <w:t>(NSW) </w:t>
      </w:r>
      <w:r>
        <w:rPr>
          <w:w w:val="105"/>
          <w:sz w:val="21"/>
        </w:rPr>
        <w:t>the primary piece  of </w:t>
      </w:r>
      <w:r>
        <w:rPr>
          <w:spacing w:val="-3"/>
          <w:w w:val="105"/>
          <w:sz w:val="21"/>
        </w:rPr>
        <w:t>legislation. </w:t>
      </w:r>
      <w:r>
        <w:rPr>
          <w:w w:val="105"/>
          <w:sz w:val="21"/>
        </w:rPr>
        <w:t>It sets up </w:t>
      </w:r>
      <w:r>
        <w:rPr>
          <w:spacing w:val="-3"/>
          <w:w w:val="105"/>
          <w:sz w:val="21"/>
        </w:rPr>
        <w:t>Environmental Planning </w:t>
      </w:r>
      <w:r>
        <w:rPr>
          <w:w w:val="105"/>
          <w:sz w:val="21"/>
        </w:rPr>
        <w:t>Instruments (EPIs) </w:t>
      </w:r>
      <w:r>
        <w:rPr>
          <w:spacing w:val="-3"/>
          <w:w w:val="105"/>
          <w:sz w:val="21"/>
        </w:rPr>
        <w:t>comprising State Environmental</w:t>
      </w:r>
      <w:r>
        <w:rPr>
          <w:spacing w:val="-11"/>
          <w:w w:val="105"/>
          <w:sz w:val="21"/>
        </w:rPr>
        <w:t> </w:t>
      </w:r>
      <w:r>
        <w:rPr>
          <w:spacing w:val="-3"/>
          <w:w w:val="105"/>
          <w:sz w:val="21"/>
        </w:rPr>
        <w:t>Planning</w:t>
      </w:r>
      <w:r>
        <w:rPr>
          <w:spacing w:val="-11"/>
          <w:w w:val="105"/>
          <w:sz w:val="21"/>
        </w:rPr>
        <w:t> </w:t>
      </w:r>
      <w:r>
        <w:rPr>
          <w:w w:val="105"/>
          <w:sz w:val="21"/>
        </w:rPr>
        <w:t>Policies</w:t>
      </w:r>
      <w:r>
        <w:rPr>
          <w:spacing w:val="-11"/>
          <w:w w:val="105"/>
          <w:sz w:val="21"/>
        </w:rPr>
        <w:t> </w:t>
      </w:r>
      <w:r>
        <w:rPr>
          <w:w w:val="105"/>
          <w:sz w:val="21"/>
        </w:rPr>
        <w:t>(SEPPs)</w:t>
      </w:r>
      <w:r>
        <w:rPr>
          <w:spacing w:val="-10"/>
          <w:w w:val="105"/>
          <w:sz w:val="21"/>
        </w:rPr>
        <w:t> </w:t>
      </w:r>
      <w:r>
        <w:rPr>
          <w:w w:val="105"/>
          <w:sz w:val="21"/>
        </w:rPr>
        <w:t>and</w:t>
      </w:r>
      <w:r>
        <w:rPr>
          <w:spacing w:val="-11"/>
          <w:w w:val="105"/>
          <w:sz w:val="21"/>
        </w:rPr>
        <w:t> </w:t>
      </w:r>
      <w:r>
        <w:rPr>
          <w:w w:val="105"/>
          <w:sz w:val="21"/>
        </w:rPr>
        <w:t>Local</w:t>
      </w:r>
      <w:r>
        <w:rPr>
          <w:spacing w:val="-11"/>
          <w:w w:val="105"/>
          <w:sz w:val="21"/>
        </w:rPr>
        <w:t> </w:t>
      </w:r>
      <w:r>
        <w:rPr>
          <w:spacing w:val="-3"/>
          <w:w w:val="105"/>
          <w:sz w:val="21"/>
        </w:rPr>
        <w:t>Environmental</w:t>
      </w:r>
      <w:r>
        <w:rPr>
          <w:spacing w:val="-11"/>
          <w:w w:val="105"/>
          <w:sz w:val="21"/>
        </w:rPr>
        <w:t> </w:t>
      </w:r>
      <w:r>
        <w:rPr>
          <w:spacing w:val="-3"/>
          <w:w w:val="105"/>
          <w:sz w:val="21"/>
        </w:rPr>
        <w:t>Plans</w:t>
      </w:r>
      <w:r>
        <w:rPr>
          <w:spacing w:val="-10"/>
          <w:w w:val="105"/>
          <w:sz w:val="21"/>
        </w:rPr>
        <w:t> </w:t>
      </w:r>
      <w:r>
        <w:rPr>
          <w:w w:val="105"/>
          <w:sz w:val="21"/>
        </w:rPr>
        <w:t>(LEPs).</w:t>
      </w:r>
      <w:r>
        <w:rPr>
          <w:w w:val="105"/>
          <w:position w:val="7"/>
          <w:sz w:val="12"/>
        </w:rPr>
        <w:t>241</w:t>
      </w:r>
      <w:r>
        <w:rPr>
          <w:w w:val="105"/>
          <w:sz w:val="21"/>
        </w:rPr>
        <w:t>State</w:t>
      </w:r>
    </w:p>
    <w:p>
      <w:pPr>
        <w:pStyle w:val="BodyText"/>
        <w:spacing w:line="242" w:lineRule="auto" w:before="4"/>
        <w:ind w:left="2381" w:right="1636"/>
      </w:pPr>
      <w:r>
        <w:rPr/>
        <w:t>Environmental Planning Polices (SEPPs) cover issues of statewide importance.</w:t>
      </w:r>
      <w:r>
        <w:rPr>
          <w:position w:val="7"/>
          <w:sz w:val="12"/>
        </w:rPr>
        <w:t>242 </w:t>
      </w:r>
      <w:r>
        <w:rPr/>
        <w:t>One SEPP addresses vegetation in non-rural areas.</w:t>
      </w:r>
      <w:r>
        <w:rPr>
          <w:position w:val="7"/>
          <w:sz w:val="12"/>
        </w:rPr>
        <w:t>243 </w:t>
      </w:r>
      <w:r>
        <w:rPr/>
        <w:t>The aims of that policy are to:</w:t>
      </w:r>
    </w:p>
    <w:p>
      <w:pPr>
        <w:pStyle w:val="ListParagraph"/>
        <w:numPr>
          <w:ilvl w:val="1"/>
          <w:numId w:val="173"/>
        </w:numPr>
        <w:tabs>
          <w:tab w:pos="2721" w:val="left" w:leader="none"/>
          <w:tab w:pos="2722" w:val="left" w:leader="none"/>
        </w:tabs>
        <w:spacing w:line="242" w:lineRule="auto" w:before="122" w:after="0"/>
        <w:ind w:left="2721" w:right="1901" w:hanging="340"/>
        <w:jc w:val="left"/>
        <w:rPr>
          <w:sz w:val="21"/>
        </w:rPr>
      </w:pPr>
      <w:r>
        <w:rPr>
          <w:sz w:val="21"/>
        </w:rPr>
        <w:t>protect the biodiversity </w:t>
      </w:r>
      <w:r>
        <w:rPr>
          <w:spacing w:val="-3"/>
          <w:sz w:val="21"/>
        </w:rPr>
        <w:t>value </w:t>
      </w:r>
      <w:r>
        <w:rPr>
          <w:sz w:val="21"/>
        </w:rPr>
        <w:t>of trees and other vegetation in </w:t>
      </w:r>
      <w:r>
        <w:rPr>
          <w:spacing w:val="-3"/>
          <w:sz w:val="21"/>
        </w:rPr>
        <w:t>nonrural areas </w:t>
      </w:r>
      <w:r>
        <w:rPr>
          <w:sz w:val="21"/>
        </w:rPr>
        <w:t>of the </w:t>
      </w:r>
      <w:r>
        <w:rPr>
          <w:spacing w:val="-3"/>
          <w:sz w:val="21"/>
        </w:rPr>
        <w:t>state</w:t>
      </w:r>
    </w:p>
    <w:p>
      <w:pPr>
        <w:pStyle w:val="ListParagraph"/>
        <w:numPr>
          <w:ilvl w:val="1"/>
          <w:numId w:val="173"/>
        </w:numPr>
        <w:tabs>
          <w:tab w:pos="2721" w:val="left" w:leader="none"/>
          <w:tab w:pos="2722" w:val="left" w:leader="none"/>
        </w:tabs>
        <w:spacing w:line="242" w:lineRule="auto" w:before="87" w:after="0"/>
        <w:ind w:left="2721" w:right="1666" w:hanging="340"/>
        <w:jc w:val="left"/>
        <w:rPr>
          <w:sz w:val="12"/>
        </w:rPr>
      </w:pPr>
      <w:r>
        <w:rPr>
          <w:w w:val="105"/>
          <w:sz w:val="21"/>
        </w:rPr>
        <w:t>preserve</w:t>
      </w:r>
      <w:r>
        <w:rPr>
          <w:spacing w:val="-14"/>
          <w:w w:val="105"/>
          <w:sz w:val="21"/>
        </w:rPr>
        <w:t> </w:t>
      </w:r>
      <w:r>
        <w:rPr>
          <w:w w:val="105"/>
          <w:sz w:val="21"/>
        </w:rPr>
        <w:t>the</w:t>
      </w:r>
      <w:r>
        <w:rPr>
          <w:spacing w:val="-13"/>
          <w:w w:val="105"/>
          <w:sz w:val="21"/>
        </w:rPr>
        <w:t> </w:t>
      </w:r>
      <w:r>
        <w:rPr>
          <w:w w:val="105"/>
          <w:sz w:val="21"/>
        </w:rPr>
        <w:t>amenity</w:t>
      </w:r>
      <w:r>
        <w:rPr>
          <w:spacing w:val="-13"/>
          <w:w w:val="105"/>
          <w:sz w:val="21"/>
        </w:rPr>
        <w:t> </w:t>
      </w:r>
      <w:r>
        <w:rPr>
          <w:w w:val="105"/>
          <w:sz w:val="21"/>
        </w:rPr>
        <w:t>of</w:t>
      </w:r>
      <w:r>
        <w:rPr>
          <w:spacing w:val="-13"/>
          <w:w w:val="105"/>
          <w:sz w:val="21"/>
        </w:rPr>
        <w:t> </w:t>
      </w:r>
      <w:r>
        <w:rPr>
          <w:w w:val="105"/>
          <w:sz w:val="21"/>
        </w:rPr>
        <w:t>non-rural</w:t>
      </w:r>
      <w:r>
        <w:rPr>
          <w:spacing w:val="-13"/>
          <w:w w:val="105"/>
          <w:sz w:val="21"/>
        </w:rPr>
        <w:t> </w:t>
      </w:r>
      <w:r>
        <w:rPr>
          <w:spacing w:val="-3"/>
          <w:w w:val="105"/>
          <w:sz w:val="21"/>
        </w:rPr>
        <w:t>areas</w:t>
      </w:r>
      <w:r>
        <w:rPr>
          <w:spacing w:val="-13"/>
          <w:w w:val="105"/>
          <w:sz w:val="21"/>
        </w:rPr>
        <w:t> </w:t>
      </w:r>
      <w:r>
        <w:rPr>
          <w:w w:val="105"/>
          <w:sz w:val="21"/>
        </w:rPr>
        <w:t>of</w:t>
      </w:r>
      <w:r>
        <w:rPr>
          <w:spacing w:val="-13"/>
          <w:w w:val="105"/>
          <w:sz w:val="21"/>
        </w:rPr>
        <w:t> </w:t>
      </w:r>
      <w:r>
        <w:rPr>
          <w:w w:val="105"/>
          <w:sz w:val="21"/>
        </w:rPr>
        <w:t>the</w:t>
      </w:r>
      <w:r>
        <w:rPr>
          <w:spacing w:val="-13"/>
          <w:w w:val="105"/>
          <w:sz w:val="21"/>
        </w:rPr>
        <w:t> </w:t>
      </w:r>
      <w:r>
        <w:rPr>
          <w:w w:val="105"/>
          <w:sz w:val="21"/>
        </w:rPr>
        <w:t>state</w:t>
      </w:r>
      <w:r>
        <w:rPr>
          <w:spacing w:val="-14"/>
          <w:w w:val="105"/>
          <w:sz w:val="21"/>
        </w:rPr>
        <w:t> </w:t>
      </w:r>
      <w:r>
        <w:rPr>
          <w:spacing w:val="-3"/>
          <w:w w:val="105"/>
          <w:sz w:val="21"/>
        </w:rPr>
        <w:t>through</w:t>
      </w:r>
      <w:r>
        <w:rPr>
          <w:spacing w:val="-13"/>
          <w:w w:val="105"/>
          <w:sz w:val="21"/>
        </w:rPr>
        <w:t> </w:t>
      </w:r>
      <w:r>
        <w:rPr>
          <w:w w:val="105"/>
          <w:sz w:val="21"/>
        </w:rPr>
        <w:t>the</w:t>
      </w:r>
      <w:r>
        <w:rPr>
          <w:spacing w:val="-13"/>
          <w:w w:val="105"/>
          <w:sz w:val="21"/>
        </w:rPr>
        <w:t> </w:t>
      </w:r>
      <w:r>
        <w:rPr>
          <w:w w:val="105"/>
          <w:sz w:val="21"/>
        </w:rPr>
        <w:t>preservation</w:t>
      </w:r>
      <w:r>
        <w:rPr>
          <w:spacing w:val="-13"/>
          <w:w w:val="105"/>
          <w:sz w:val="21"/>
        </w:rPr>
        <w:t> </w:t>
      </w:r>
      <w:r>
        <w:rPr>
          <w:w w:val="105"/>
          <w:sz w:val="21"/>
        </w:rPr>
        <w:t>of</w:t>
      </w:r>
      <w:r>
        <w:rPr>
          <w:spacing w:val="-13"/>
          <w:w w:val="105"/>
          <w:sz w:val="21"/>
        </w:rPr>
        <w:t> </w:t>
      </w:r>
      <w:r>
        <w:rPr>
          <w:w w:val="105"/>
          <w:sz w:val="21"/>
        </w:rPr>
        <w:t>trees and other</w:t>
      </w:r>
      <w:r>
        <w:rPr>
          <w:spacing w:val="10"/>
          <w:w w:val="105"/>
          <w:sz w:val="21"/>
        </w:rPr>
        <w:t> </w:t>
      </w:r>
      <w:r>
        <w:rPr>
          <w:w w:val="105"/>
          <w:sz w:val="21"/>
        </w:rPr>
        <w:t>vegetation.</w:t>
      </w:r>
      <w:r>
        <w:rPr>
          <w:w w:val="105"/>
          <w:position w:val="7"/>
          <w:sz w:val="12"/>
        </w:rPr>
        <w:t>244</w:t>
      </w:r>
    </w:p>
    <w:p>
      <w:pPr>
        <w:pStyle w:val="ListParagraph"/>
        <w:numPr>
          <w:ilvl w:val="0"/>
          <w:numId w:val="173"/>
        </w:numPr>
        <w:tabs>
          <w:tab w:pos="2381" w:val="left" w:leader="none"/>
          <w:tab w:pos="2382" w:val="left" w:leader="none"/>
        </w:tabs>
        <w:spacing w:line="242" w:lineRule="auto" w:before="88" w:after="0"/>
        <w:ind w:left="2381" w:right="1769" w:hanging="794"/>
        <w:jc w:val="left"/>
        <w:rPr>
          <w:sz w:val="12"/>
        </w:rPr>
      </w:pPr>
      <w:r>
        <w:rPr>
          <w:w w:val="105"/>
          <w:sz w:val="21"/>
        </w:rPr>
        <w:t>Each local </w:t>
      </w:r>
      <w:r>
        <w:rPr>
          <w:spacing w:val="-3"/>
          <w:w w:val="105"/>
          <w:sz w:val="21"/>
        </w:rPr>
        <w:t>government </w:t>
      </w:r>
      <w:r>
        <w:rPr>
          <w:w w:val="105"/>
          <w:sz w:val="21"/>
        </w:rPr>
        <w:t>authority </w:t>
      </w:r>
      <w:r>
        <w:rPr>
          <w:spacing w:val="-2"/>
          <w:w w:val="105"/>
          <w:sz w:val="21"/>
        </w:rPr>
        <w:t>has </w:t>
      </w:r>
      <w:r>
        <w:rPr>
          <w:w w:val="105"/>
          <w:sz w:val="21"/>
        </w:rPr>
        <w:t>a Local </w:t>
      </w:r>
      <w:r>
        <w:rPr>
          <w:spacing w:val="-3"/>
          <w:w w:val="105"/>
          <w:sz w:val="21"/>
        </w:rPr>
        <w:t>Environment </w:t>
      </w:r>
      <w:r>
        <w:rPr>
          <w:w w:val="105"/>
          <w:sz w:val="21"/>
        </w:rPr>
        <w:t>Plan (LEP) </w:t>
      </w:r>
      <w:r>
        <w:rPr>
          <w:spacing w:val="-3"/>
          <w:w w:val="105"/>
          <w:sz w:val="21"/>
        </w:rPr>
        <w:t>to </w:t>
      </w:r>
      <w:r>
        <w:rPr>
          <w:w w:val="105"/>
          <w:sz w:val="21"/>
        </w:rPr>
        <w:t>guide development, </w:t>
      </w:r>
      <w:r>
        <w:rPr>
          <w:spacing w:val="-3"/>
          <w:w w:val="105"/>
          <w:sz w:val="21"/>
        </w:rPr>
        <w:t>for </w:t>
      </w:r>
      <w:r>
        <w:rPr>
          <w:w w:val="105"/>
          <w:sz w:val="21"/>
        </w:rPr>
        <w:t>example </w:t>
      </w:r>
      <w:r>
        <w:rPr>
          <w:spacing w:val="-3"/>
          <w:w w:val="105"/>
          <w:sz w:val="21"/>
        </w:rPr>
        <w:t>through </w:t>
      </w:r>
      <w:r>
        <w:rPr>
          <w:w w:val="105"/>
          <w:sz w:val="21"/>
        </w:rPr>
        <w:t>applying </w:t>
      </w:r>
      <w:r>
        <w:rPr>
          <w:spacing w:val="-3"/>
          <w:w w:val="105"/>
          <w:sz w:val="21"/>
        </w:rPr>
        <w:t>zoning controls to land, </w:t>
      </w:r>
      <w:r>
        <w:rPr>
          <w:w w:val="105"/>
          <w:sz w:val="21"/>
        </w:rPr>
        <w:t>and protect </w:t>
      </w:r>
      <w:r>
        <w:rPr>
          <w:spacing w:val="-3"/>
          <w:w w:val="105"/>
          <w:sz w:val="21"/>
        </w:rPr>
        <w:t>natural </w:t>
      </w:r>
      <w:r>
        <w:rPr>
          <w:w w:val="105"/>
          <w:sz w:val="21"/>
        </w:rPr>
        <w:t>resources.</w:t>
      </w:r>
      <w:r>
        <w:rPr>
          <w:w w:val="105"/>
          <w:position w:val="7"/>
          <w:sz w:val="12"/>
        </w:rPr>
        <w:t>245 </w:t>
      </w:r>
      <w:r>
        <w:rPr>
          <w:w w:val="105"/>
          <w:sz w:val="21"/>
        </w:rPr>
        <w:t>A </w:t>
      </w:r>
      <w:r>
        <w:rPr>
          <w:spacing w:val="-3"/>
          <w:w w:val="105"/>
          <w:sz w:val="21"/>
        </w:rPr>
        <w:t>Standard </w:t>
      </w:r>
      <w:r>
        <w:rPr>
          <w:w w:val="105"/>
          <w:sz w:val="21"/>
        </w:rPr>
        <w:t>Instrument sets out compulsory and </w:t>
      </w:r>
      <w:r>
        <w:rPr>
          <w:spacing w:val="-3"/>
          <w:w w:val="105"/>
          <w:sz w:val="21"/>
        </w:rPr>
        <w:t>optional provisions for </w:t>
      </w:r>
      <w:r>
        <w:rPr>
          <w:w w:val="105"/>
          <w:sz w:val="21"/>
        </w:rPr>
        <w:t>LEPs.</w:t>
      </w:r>
      <w:r>
        <w:rPr>
          <w:w w:val="105"/>
          <w:position w:val="7"/>
          <w:sz w:val="12"/>
        </w:rPr>
        <w:t>246</w:t>
      </w:r>
    </w:p>
    <w:p>
      <w:pPr>
        <w:pStyle w:val="ListParagraph"/>
        <w:numPr>
          <w:ilvl w:val="0"/>
          <w:numId w:val="173"/>
        </w:numPr>
        <w:tabs>
          <w:tab w:pos="2382" w:val="left" w:leader="none"/>
        </w:tabs>
        <w:spacing w:line="242" w:lineRule="auto" w:before="124" w:after="0"/>
        <w:ind w:left="2381" w:right="1986" w:hanging="794"/>
        <w:jc w:val="both"/>
        <w:rPr>
          <w:sz w:val="12"/>
        </w:rPr>
      </w:pPr>
      <w:r>
        <w:rPr>
          <w:w w:val="105"/>
          <w:sz w:val="21"/>
        </w:rPr>
        <w:t>Development</w:t>
      </w:r>
      <w:r>
        <w:rPr>
          <w:spacing w:val="-5"/>
          <w:w w:val="105"/>
          <w:sz w:val="21"/>
        </w:rPr>
        <w:t> </w:t>
      </w:r>
      <w:r>
        <w:rPr>
          <w:spacing w:val="-4"/>
          <w:w w:val="105"/>
          <w:sz w:val="21"/>
        </w:rPr>
        <w:t>Control</w:t>
      </w:r>
      <w:r>
        <w:rPr>
          <w:spacing w:val="-5"/>
          <w:w w:val="105"/>
          <w:sz w:val="21"/>
        </w:rPr>
        <w:t> </w:t>
      </w:r>
      <w:r>
        <w:rPr>
          <w:spacing w:val="-3"/>
          <w:w w:val="105"/>
          <w:sz w:val="21"/>
        </w:rPr>
        <w:t>Plans</w:t>
      </w:r>
      <w:r>
        <w:rPr>
          <w:spacing w:val="-5"/>
          <w:w w:val="105"/>
          <w:sz w:val="21"/>
        </w:rPr>
        <w:t> </w:t>
      </w:r>
      <w:r>
        <w:rPr>
          <w:w w:val="105"/>
          <w:sz w:val="21"/>
        </w:rPr>
        <w:t>(DCPs)</w:t>
      </w:r>
      <w:r>
        <w:rPr>
          <w:spacing w:val="-5"/>
          <w:w w:val="105"/>
          <w:sz w:val="21"/>
        </w:rPr>
        <w:t> </w:t>
      </w:r>
      <w:r>
        <w:rPr>
          <w:w w:val="105"/>
          <w:sz w:val="21"/>
        </w:rPr>
        <w:t>also</w:t>
      </w:r>
      <w:r>
        <w:rPr>
          <w:spacing w:val="-5"/>
          <w:w w:val="105"/>
          <w:sz w:val="21"/>
        </w:rPr>
        <w:t> </w:t>
      </w:r>
      <w:r>
        <w:rPr>
          <w:w w:val="105"/>
          <w:sz w:val="21"/>
        </w:rPr>
        <w:t>fit</w:t>
      </w:r>
      <w:r>
        <w:rPr>
          <w:spacing w:val="-4"/>
          <w:w w:val="105"/>
          <w:sz w:val="21"/>
        </w:rPr>
        <w:t> </w:t>
      </w:r>
      <w:r>
        <w:rPr>
          <w:spacing w:val="-3"/>
          <w:w w:val="105"/>
          <w:sz w:val="21"/>
        </w:rPr>
        <w:t>within</w:t>
      </w:r>
      <w:r>
        <w:rPr>
          <w:spacing w:val="-5"/>
          <w:w w:val="105"/>
          <w:sz w:val="21"/>
        </w:rPr>
        <w:t> </w:t>
      </w:r>
      <w:r>
        <w:rPr>
          <w:w w:val="105"/>
          <w:sz w:val="21"/>
        </w:rPr>
        <w:t>the</w:t>
      </w:r>
      <w:r>
        <w:rPr>
          <w:spacing w:val="-5"/>
          <w:w w:val="105"/>
          <w:sz w:val="21"/>
        </w:rPr>
        <w:t> </w:t>
      </w:r>
      <w:r>
        <w:rPr>
          <w:spacing w:val="-3"/>
          <w:w w:val="105"/>
          <w:sz w:val="21"/>
        </w:rPr>
        <w:t>framework</w:t>
      </w:r>
      <w:r>
        <w:rPr>
          <w:spacing w:val="-5"/>
          <w:w w:val="105"/>
          <w:sz w:val="21"/>
        </w:rPr>
        <w:t> </w:t>
      </w:r>
      <w:r>
        <w:rPr>
          <w:w w:val="105"/>
          <w:sz w:val="21"/>
        </w:rPr>
        <w:t>of</w:t>
      </w:r>
      <w:r>
        <w:rPr>
          <w:spacing w:val="-5"/>
          <w:w w:val="105"/>
          <w:sz w:val="21"/>
        </w:rPr>
        <w:t> </w:t>
      </w:r>
      <w:r>
        <w:rPr>
          <w:w w:val="105"/>
          <w:sz w:val="21"/>
        </w:rPr>
        <w:t>the</w:t>
      </w:r>
      <w:r>
        <w:rPr>
          <w:spacing w:val="-5"/>
          <w:w w:val="105"/>
          <w:sz w:val="21"/>
        </w:rPr>
        <w:t> </w:t>
      </w:r>
      <w:r>
        <w:rPr>
          <w:spacing w:val="-3"/>
          <w:w w:val="105"/>
          <w:sz w:val="21"/>
        </w:rPr>
        <w:t>Environmental Planning</w:t>
      </w:r>
      <w:r>
        <w:rPr>
          <w:spacing w:val="-7"/>
          <w:w w:val="105"/>
          <w:sz w:val="21"/>
        </w:rPr>
        <w:t> </w:t>
      </w:r>
      <w:r>
        <w:rPr>
          <w:w w:val="105"/>
          <w:sz w:val="21"/>
        </w:rPr>
        <w:t>and</w:t>
      </w:r>
      <w:r>
        <w:rPr>
          <w:spacing w:val="-7"/>
          <w:w w:val="105"/>
          <w:sz w:val="21"/>
        </w:rPr>
        <w:t> </w:t>
      </w:r>
      <w:r>
        <w:rPr>
          <w:w w:val="105"/>
          <w:sz w:val="21"/>
        </w:rPr>
        <w:t>Assessment</w:t>
      </w:r>
      <w:r>
        <w:rPr>
          <w:spacing w:val="-7"/>
          <w:w w:val="105"/>
          <w:sz w:val="21"/>
        </w:rPr>
        <w:t> </w:t>
      </w:r>
      <w:r>
        <w:rPr>
          <w:w w:val="105"/>
          <w:sz w:val="21"/>
        </w:rPr>
        <w:t>Act.</w:t>
      </w:r>
      <w:r>
        <w:rPr>
          <w:spacing w:val="-7"/>
          <w:w w:val="105"/>
          <w:sz w:val="21"/>
        </w:rPr>
        <w:t> </w:t>
      </w:r>
      <w:r>
        <w:rPr>
          <w:w w:val="105"/>
          <w:sz w:val="21"/>
        </w:rPr>
        <w:t>These</w:t>
      </w:r>
      <w:r>
        <w:rPr>
          <w:spacing w:val="-7"/>
          <w:w w:val="105"/>
          <w:sz w:val="21"/>
        </w:rPr>
        <w:t> </w:t>
      </w:r>
      <w:r>
        <w:rPr>
          <w:spacing w:val="-3"/>
          <w:w w:val="105"/>
          <w:sz w:val="21"/>
        </w:rPr>
        <w:t>plans</w:t>
      </w:r>
      <w:r>
        <w:rPr>
          <w:spacing w:val="-7"/>
          <w:w w:val="105"/>
          <w:sz w:val="21"/>
        </w:rPr>
        <w:t> </w:t>
      </w:r>
      <w:r>
        <w:rPr>
          <w:spacing w:val="-3"/>
          <w:w w:val="105"/>
          <w:sz w:val="21"/>
        </w:rPr>
        <w:t>are</w:t>
      </w:r>
      <w:r>
        <w:rPr>
          <w:spacing w:val="-7"/>
          <w:w w:val="105"/>
          <w:sz w:val="21"/>
        </w:rPr>
        <w:t> </w:t>
      </w:r>
      <w:r>
        <w:rPr>
          <w:w w:val="105"/>
          <w:sz w:val="21"/>
        </w:rPr>
        <w:t>provided</w:t>
      </w:r>
      <w:r>
        <w:rPr>
          <w:spacing w:val="-7"/>
          <w:w w:val="105"/>
          <w:sz w:val="21"/>
        </w:rPr>
        <w:t> </w:t>
      </w:r>
      <w:r>
        <w:rPr>
          <w:w w:val="105"/>
          <w:sz w:val="21"/>
        </w:rPr>
        <w:t>by</w:t>
      </w:r>
      <w:r>
        <w:rPr>
          <w:spacing w:val="-7"/>
          <w:w w:val="105"/>
          <w:sz w:val="21"/>
        </w:rPr>
        <w:t> </w:t>
      </w:r>
      <w:r>
        <w:rPr>
          <w:spacing w:val="-3"/>
          <w:w w:val="105"/>
          <w:sz w:val="21"/>
        </w:rPr>
        <w:t>councils</w:t>
      </w:r>
      <w:r>
        <w:rPr>
          <w:spacing w:val="-7"/>
          <w:w w:val="105"/>
          <w:sz w:val="21"/>
        </w:rPr>
        <w:t> </w:t>
      </w:r>
      <w:r>
        <w:rPr>
          <w:w w:val="105"/>
          <w:sz w:val="21"/>
        </w:rPr>
        <w:t>and</w:t>
      </w:r>
      <w:r>
        <w:rPr>
          <w:spacing w:val="-6"/>
          <w:w w:val="105"/>
          <w:sz w:val="21"/>
        </w:rPr>
        <w:t> </w:t>
      </w:r>
      <w:r>
        <w:rPr>
          <w:w w:val="105"/>
          <w:sz w:val="21"/>
        </w:rPr>
        <w:t>provide</w:t>
      </w:r>
      <w:r>
        <w:rPr>
          <w:spacing w:val="-7"/>
          <w:w w:val="105"/>
          <w:sz w:val="21"/>
        </w:rPr>
        <w:t> </w:t>
      </w:r>
      <w:r>
        <w:rPr>
          <w:w w:val="105"/>
          <w:sz w:val="21"/>
        </w:rPr>
        <w:t>more detailed </w:t>
      </w:r>
      <w:r>
        <w:rPr>
          <w:spacing w:val="-3"/>
          <w:w w:val="105"/>
          <w:sz w:val="21"/>
        </w:rPr>
        <w:t>guidance </w:t>
      </w:r>
      <w:r>
        <w:rPr>
          <w:w w:val="105"/>
          <w:sz w:val="21"/>
        </w:rPr>
        <w:t>about design and </w:t>
      </w:r>
      <w:r>
        <w:rPr>
          <w:spacing w:val="-3"/>
          <w:w w:val="105"/>
          <w:sz w:val="21"/>
        </w:rPr>
        <w:t>planning requirements </w:t>
      </w:r>
      <w:r>
        <w:rPr>
          <w:w w:val="105"/>
          <w:sz w:val="21"/>
        </w:rPr>
        <w:t>in local</w:t>
      </w:r>
      <w:r>
        <w:rPr>
          <w:spacing w:val="22"/>
          <w:w w:val="105"/>
          <w:sz w:val="21"/>
        </w:rPr>
        <w:t> </w:t>
      </w:r>
      <w:r>
        <w:rPr>
          <w:w w:val="105"/>
          <w:sz w:val="21"/>
        </w:rPr>
        <w:t>areas.</w:t>
      </w:r>
      <w:r>
        <w:rPr>
          <w:w w:val="105"/>
          <w:position w:val="7"/>
          <w:sz w:val="12"/>
        </w:rPr>
        <w:t>247</w:t>
      </w:r>
    </w:p>
    <w:p>
      <w:pPr>
        <w:pStyle w:val="ListParagraph"/>
        <w:numPr>
          <w:ilvl w:val="0"/>
          <w:numId w:val="173"/>
        </w:numPr>
        <w:tabs>
          <w:tab w:pos="2381" w:val="left" w:leader="none"/>
          <w:tab w:pos="2382" w:val="left" w:leader="none"/>
        </w:tabs>
        <w:spacing w:line="242" w:lineRule="auto" w:before="123" w:after="0"/>
        <w:ind w:left="2381" w:right="1681" w:hanging="794"/>
        <w:jc w:val="left"/>
        <w:rPr>
          <w:sz w:val="12"/>
        </w:rPr>
      </w:pPr>
      <w:r>
        <w:rPr>
          <w:sz w:val="21"/>
        </w:rPr>
        <w:t>Prior </w:t>
      </w:r>
      <w:r>
        <w:rPr>
          <w:spacing w:val="-3"/>
          <w:sz w:val="21"/>
        </w:rPr>
        <w:t>to recent legislative </w:t>
      </w:r>
      <w:r>
        <w:rPr>
          <w:sz w:val="21"/>
        </w:rPr>
        <w:t>amendments, </w:t>
      </w:r>
      <w:r>
        <w:rPr>
          <w:spacing w:val="-5"/>
          <w:sz w:val="21"/>
        </w:rPr>
        <w:t>Tree </w:t>
      </w:r>
      <w:r>
        <w:rPr>
          <w:sz w:val="21"/>
        </w:rPr>
        <w:t>Preservation Orders  </w:t>
      </w:r>
      <w:r>
        <w:rPr>
          <w:spacing w:val="-3"/>
          <w:sz w:val="21"/>
        </w:rPr>
        <w:t>were  </w:t>
      </w:r>
      <w:r>
        <w:rPr>
          <w:sz w:val="21"/>
        </w:rPr>
        <w:t>the  </w:t>
      </w:r>
      <w:r>
        <w:rPr>
          <w:spacing w:val="-3"/>
          <w:sz w:val="21"/>
        </w:rPr>
        <w:t>main mechanism </w:t>
      </w:r>
      <w:r>
        <w:rPr>
          <w:sz w:val="21"/>
        </w:rPr>
        <w:t>by which </w:t>
      </w:r>
      <w:r>
        <w:rPr>
          <w:spacing w:val="-3"/>
          <w:sz w:val="21"/>
        </w:rPr>
        <w:t>councils </w:t>
      </w:r>
      <w:r>
        <w:rPr>
          <w:sz w:val="21"/>
        </w:rPr>
        <w:t>managed vegetation on </w:t>
      </w:r>
      <w:r>
        <w:rPr>
          <w:spacing w:val="-3"/>
          <w:sz w:val="21"/>
        </w:rPr>
        <w:t>private  land.  </w:t>
      </w:r>
      <w:r>
        <w:rPr>
          <w:spacing w:val="-5"/>
          <w:sz w:val="21"/>
        </w:rPr>
        <w:t>Tree  </w:t>
      </w:r>
      <w:r>
        <w:rPr>
          <w:sz w:val="21"/>
        </w:rPr>
        <w:t>preservation orders </w:t>
      </w:r>
      <w:r>
        <w:rPr>
          <w:spacing w:val="-3"/>
          <w:sz w:val="21"/>
        </w:rPr>
        <w:t>previously </w:t>
      </w:r>
      <w:r>
        <w:rPr>
          <w:sz w:val="21"/>
        </w:rPr>
        <w:t>made under clauses </w:t>
      </w:r>
      <w:r>
        <w:rPr>
          <w:spacing w:val="-4"/>
          <w:sz w:val="21"/>
        </w:rPr>
        <w:t>5.9 </w:t>
      </w:r>
      <w:r>
        <w:rPr>
          <w:sz w:val="21"/>
        </w:rPr>
        <w:t>and 5.9AA of the </w:t>
      </w:r>
      <w:r>
        <w:rPr>
          <w:spacing w:val="-3"/>
          <w:sz w:val="21"/>
        </w:rPr>
        <w:t>Standard </w:t>
      </w:r>
      <w:r>
        <w:rPr>
          <w:sz w:val="21"/>
        </w:rPr>
        <w:t>Instrument (Local </w:t>
      </w:r>
      <w:r>
        <w:rPr>
          <w:spacing w:val="-3"/>
          <w:sz w:val="21"/>
        </w:rPr>
        <w:t>Environmental </w:t>
      </w:r>
      <w:r>
        <w:rPr>
          <w:spacing w:val="-2"/>
          <w:sz w:val="21"/>
        </w:rPr>
        <w:t>Plans) </w:t>
      </w:r>
      <w:r>
        <w:rPr>
          <w:spacing w:val="-3"/>
          <w:sz w:val="21"/>
        </w:rPr>
        <w:t>have </w:t>
      </w:r>
      <w:r>
        <w:rPr>
          <w:sz w:val="21"/>
        </w:rPr>
        <w:t>largely been </w:t>
      </w:r>
      <w:r>
        <w:rPr>
          <w:spacing w:val="-3"/>
          <w:sz w:val="21"/>
        </w:rPr>
        <w:t>replaced </w:t>
      </w:r>
      <w:r>
        <w:rPr>
          <w:sz w:val="21"/>
        </w:rPr>
        <w:t>by the </w:t>
      </w:r>
      <w:r>
        <w:rPr>
          <w:spacing w:val="-3"/>
          <w:sz w:val="21"/>
        </w:rPr>
        <w:t>State Environment Planning </w:t>
      </w:r>
      <w:r>
        <w:rPr>
          <w:sz w:val="21"/>
        </w:rPr>
        <w:t>Policy (Vegetation in </w:t>
      </w:r>
      <w:r>
        <w:rPr>
          <w:spacing w:val="-3"/>
          <w:sz w:val="21"/>
        </w:rPr>
        <w:t>NonRural </w:t>
      </w:r>
      <w:r>
        <w:rPr>
          <w:sz w:val="21"/>
        </w:rPr>
        <w:t>areas)</w:t>
      </w:r>
      <w:r>
        <w:rPr>
          <w:position w:val="7"/>
          <w:sz w:val="12"/>
        </w:rPr>
        <w:t>248 </w:t>
      </w:r>
      <w:r>
        <w:rPr>
          <w:sz w:val="21"/>
        </w:rPr>
        <w:t>but existing tree preservation  orders  </w:t>
      </w:r>
      <w:r>
        <w:rPr>
          <w:spacing w:val="-3"/>
          <w:sz w:val="21"/>
        </w:rPr>
        <w:t>will  continue  to have</w:t>
      </w:r>
      <w:r>
        <w:rPr>
          <w:spacing w:val="8"/>
          <w:sz w:val="21"/>
        </w:rPr>
        <w:t> </w:t>
      </w:r>
      <w:r>
        <w:rPr>
          <w:sz w:val="21"/>
        </w:rPr>
        <w:t>effect.</w:t>
      </w:r>
      <w:r>
        <w:rPr>
          <w:position w:val="7"/>
          <w:sz w:val="12"/>
        </w:rPr>
        <w:t>249</w:t>
      </w:r>
    </w:p>
    <w:p>
      <w:pPr>
        <w:pStyle w:val="ListParagraph"/>
        <w:numPr>
          <w:ilvl w:val="0"/>
          <w:numId w:val="173"/>
        </w:numPr>
        <w:tabs>
          <w:tab w:pos="2381" w:val="left" w:leader="none"/>
          <w:tab w:pos="2382" w:val="left" w:leader="none"/>
        </w:tabs>
        <w:spacing w:line="240" w:lineRule="auto" w:before="127" w:after="0"/>
        <w:ind w:left="2381" w:right="0" w:hanging="794"/>
        <w:jc w:val="left"/>
        <w:rPr>
          <w:sz w:val="21"/>
        </w:rPr>
      </w:pPr>
      <w:r>
        <w:rPr>
          <w:w w:val="105"/>
          <w:sz w:val="21"/>
        </w:rPr>
        <w:t>The </w:t>
      </w:r>
      <w:r>
        <w:rPr>
          <w:spacing w:val="-3"/>
          <w:w w:val="105"/>
          <w:sz w:val="21"/>
        </w:rPr>
        <w:t>clearing </w:t>
      </w:r>
      <w:r>
        <w:rPr>
          <w:w w:val="105"/>
          <w:sz w:val="21"/>
        </w:rPr>
        <w:t>of </w:t>
      </w:r>
      <w:r>
        <w:rPr>
          <w:spacing w:val="-3"/>
          <w:w w:val="105"/>
          <w:sz w:val="21"/>
        </w:rPr>
        <w:t>native </w:t>
      </w:r>
      <w:r>
        <w:rPr>
          <w:w w:val="105"/>
          <w:sz w:val="21"/>
        </w:rPr>
        <w:t>vegetation in </w:t>
      </w:r>
      <w:r>
        <w:rPr>
          <w:spacing w:val="-3"/>
          <w:w w:val="105"/>
          <w:sz w:val="21"/>
        </w:rPr>
        <w:t>rural </w:t>
      </w:r>
      <w:r>
        <w:rPr>
          <w:w w:val="105"/>
          <w:sz w:val="21"/>
        </w:rPr>
        <w:t>New South </w:t>
      </w:r>
      <w:r>
        <w:rPr>
          <w:spacing w:val="-3"/>
          <w:w w:val="105"/>
          <w:sz w:val="21"/>
        </w:rPr>
        <w:t>Wales </w:t>
      </w:r>
      <w:r>
        <w:rPr>
          <w:w w:val="105"/>
          <w:sz w:val="21"/>
        </w:rPr>
        <w:t>is governed </w:t>
      </w:r>
      <w:r>
        <w:rPr>
          <w:spacing w:val="-3"/>
          <w:w w:val="105"/>
          <w:sz w:val="21"/>
        </w:rPr>
        <w:t>separately </w:t>
      </w:r>
      <w:r>
        <w:rPr>
          <w:w w:val="105"/>
          <w:sz w:val="21"/>
        </w:rPr>
        <w:t>by</w:t>
      </w:r>
      <w:r>
        <w:rPr>
          <w:spacing w:val="40"/>
          <w:w w:val="105"/>
          <w:sz w:val="21"/>
        </w:rPr>
        <w:t> </w:t>
      </w:r>
      <w:r>
        <w:rPr>
          <w:w w:val="105"/>
          <w:sz w:val="21"/>
        </w:rPr>
        <w:t>the</w:t>
      </w:r>
    </w:p>
    <w:p>
      <w:pPr>
        <w:spacing w:before="4"/>
        <w:ind w:left="2381" w:right="0" w:firstLine="0"/>
        <w:jc w:val="left"/>
        <w:rPr>
          <w:sz w:val="12"/>
        </w:rPr>
      </w:pPr>
      <w:r>
        <w:rPr>
          <w:i/>
          <w:w w:val="105"/>
          <w:sz w:val="21"/>
        </w:rPr>
        <w:t>Local Land Services Act 2013 </w:t>
      </w:r>
      <w:r>
        <w:rPr>
          <w:w w:val="105"/>
          <w:sz w:val="21"/>
        </w:rPr>
        <w:t>(NSW) and the </w:t>
      </w:r>
      <w:r>
        <w:rPr>
          <w:i/>
          <w:w w:val="105"/>
          <w:sz w:val="21"/>
        </w:rPr>
        <w:t>Biodiversity Conservation Act 2016 </w:t>
      </w:r>
      <w:r>
        <w:rPr>
          <w:w w:val="105"/>
          <w:sz w:val="21"/>
        </w:rPr>
        <w:t>(NSW).</w:t>
      </w:r>
      <w:r>
        <w:rPr>
          <w:w w:val="105"/>
          <w:position w:val="7"/>
          <w:sz w:val="12"/>
        </w:rPr>
        <w:t>250</w:t>
      </w:r>
    </w:p>
    <w:p>
      <w:pPr>
        <w:pStyle w:val="Heading8"/>
        <w:rPr>
          <w:rFonts w:ascii="Calibri"/>
          <w:i w:val="0"/>
        </w:rPr>
      </w:pPr>
      <w:r>
        <w:rPr>
          <w:i/>
        </w:rPr>
        <w:t>Trees (Disputes Between Neighbours) Act 2006 </w:t>
      </w:r>
      <w:r>
        <w:rPr>
          <w:rFonts w:ascii="Calibri"/>
          <w:i w:val="0"/>
        </w:rPr>
        <w:t>(NSW)</w:t>
      </w:r>
    </w:p>
    <w:p>
      <w:pPr>
        <w:pStyle w:val="ListParagraph"/>
        <w:numPr>
          <w:ilvl w:val="0"/>
          <w:numId w:val="173"/>
        </w:numPr>
        <w:tabs>
          <w:tab w:pos="2381" w:val="left" w:leader="none"/>
          <w:tab w:pos="2382" w:val="left" w:leader="none"/>
        </w:tabs>
        <w:spacing w:line="242" w:lineRule="auto" w:before="143" w:after="0"/>
        <w:ind w:left="2381" w:right="1593" w:hanging="794"/>
        <w:jc w:val="left"/>
        <w:rPr>
          <w:sz w:val="21"/>
        </w:rPr>
      </w:pPr>
      <w:r>
        <w:rPr>
          <w:w w:val="105"/>
          <w:sz w:val="21"/>
        </w:rPr>
        <w:t>The </w:t>
      </w:r>
      <w:r>
        <w:rPr>
          <w:i/>
          <w:spacing w:val="-4"/>
          <w:w w:val="105"/>
          <w:sz w:val="21"/>
        </w:rPr>
        <w:t>Trees </w:t>
      </w:r>
      <w:r>
        <w:rPr>
          <w:i/>
          <w:w w:val="105"/>
          <w:sz w:val="21"/>
        </w:rPr>
        <w:t>(Disputes Between Neighbours) Act 2006 </w:t>
      </w:r>
      <w:r>
        <w:rPr>
          <w:spacing w:val="2"/>
          <w:w w:val="105"/>
          <w:sz w:val="21"/>
        </w:rPr>
        <w:t>(NSW) </w:t>
      </w:r>
      <w:r>
        <w:rPr>
          <w:w w:val="105"/>
          <w:sz w:val="21"/>
        </w:rPr>
        <w:t>(the NSW Act) provides </w:t>
      </w:r>
      <w:r>
        <w:rPr>
          <w:spacing w:val="-3"/>
          <w:w w:val="105"/>
          <w:sz w:val="21"/>
        </w:rPr>
        <w:t>that </w:t>
      </w:r>
      <w:r>
        <w:rPr>
          <w:w w:val="105"/>
          <w:sz w:val="21"/>
        </w:rPr>
        <w:t>an</w:t>
      </w:r>
      <w:r>
        <w:rPr>
          <w:spacing w:val="-6"/>
          <w:w w:val="105"/>
          <w:sz w:val="21"/>
        </w:rPr>
        <w:t> </w:t>
      </w:r>
      <w:r>
        <w:rPr>
          <w:w w:val="105"/>
          <w:sz w:val="21"/>
        </w:rPr>
        <w:t>order</w:t>
      </w:r>
      <w:r>
        <w:rPr>
          <w:spacing w:val="-6"/>
          <w:w w:val="105"/>
          <w:sz w:val="21"/>
        </w:rPr>
        <w:t> </w:t>
      </w:r>
      <w:r>
        <w:rPr>
          <w:w w:val="105"/>
          <w:sz w:val="21"/>
        </w:rPr>
        <w:t>does</w:t>
      </w:r>
      <w:r>
        <w:rPr>
          <w:spacing w:val="-6"/>
          <w:w w:val="105"/>
          <w:sz w:val="21"/>
        </w:rPr>
        <w:t> </w:t>
      </w:r>
      <w:r>
        <w:rPr>
          <w:spacing w:val="-2"/>
          <w:w w:val="105"/>
          <w:sz w:val="21"/>
        </w:rPr>
        <w:t>not</w:t>
      </w:r>
      <w:r>
        <w:rPr>
          <w:spacing w:val="-6"/>
          <w:w w:val="105"/>
          <w:sz w:val="21"/>
        </w:rPr>
        <w:t> </w:t>
      </w:r>
      <w:r>
        <w:rPr>
          <w:w w:val="105"/>
          <w:sz w:val="21"/>
        </w:rPr>
        <w:t>authorise</w:t>
      </w:r>
      <w:r>
        <w:rPr>
          <w:spacing w:val="-6"/>
          <w:w w:val="105"/>
          <w:sz w:val="21"/>
        </w:rPr>
        <w:t> </w:t>
      </w:r>
      <w:r>
        <w:rPr>
          <w:w w:val="105"/>
          <w:sz w:val="21"/>
        </w:rPr>
        <w:t>or</w:t>
      </w:r>
      <w:r>
        <w:rPr>
          <w:spacing w:val="-6"/>
          <w:w w:val="105"/>
          <w:sz w:val="21"/>
        </w:rPr>
        <w:t> </w:t>
      </w:r>
      <w:r>
        <w:rPr>
          <w:spacing w:val="-3"/>
          <w:w w:val="105"/>
          <w:sz w:val="21"/>
        </w:rPr>
        <w:t>require</w:t>
      </w:r>
      <w:r>
        <w:rPr>
          <w:spacing w:val="-6"/>
          <w:w w:val="105"/>
          <w:sz w:val="21"/>
        </w:rPr>
        <w:t> </w:t>
      </w:r>
      <w:r>
        <w:rPr>
          <w:w w:val="105"/>
          <w:sz w:val="21"/>
        </w:rPr>
        <w:t>a</w:t>
      </w:r>
      <w:r>
        <w:rPr>
          <w:spacing w:val="-6"/>
          <w:w w:val="105"/>
          <w:sz w:val="21"/>
        </w:rPr>
        <w:t> </w:t>
      </w:r>
      <w:r>
        <w:rPr>
          <w:w w:val="105"/>
          <w:sz w:val="21"/>
        </w:rPr>
        <w:t>person</w:t>
      </w:r>
      <w:r>
        <w:rPr>
          <w:spacing w:val="-6"/>
          <w:w w:val="105"/>
          <w:sz w:val="21"/>
        </w:rPr>
        <w:t> </w:t>
      </w:r>
      <w:r>
        <w:rPr>
          <w:spacing w:val="-3"/>
          <w:w w:val="105"/>
          <w:sz w:val="21"/>
        </w:rPr>
        <w:t>to</w:t>
      </w:r>
      <w:r>
        <w:rPr>
          <w:spacing w:val="-6"/>
          <w:w w:val="105"/>
          <w:sz w:val="21"/>
        </w:rPr>
        <w:t> </w:t>
      </w:r>
      <w:r>
        <w:rPr>
          <w:w w:val="105"/>
          <w:sz w:val="21"/>
        </w:rPr>
        <w:t>carry</w:t>
      </w:r>
      <w:r>
        <w:rPr>
          <w:spacing w:val="-6"/>
          <w:w w:val="105"/>
          <w:sz w:val="21"/>
        </w:rPr>
        <w:t> </w:t>
      </w:r>
      <w:r>
        <w:rPr>
          <w:w w:val="105"/>
          <w:sz w:val="21"/>
        </w:rPr>
        <w:t>out</w:t>
      </w:r>
      <w:r>
        <w:rPr>
          <w:spacing w:val="-6"/>
          <w:w w:val="105"/>
          <w:sz w:val="21"/>
        </w:rPr>
        <w:t> </w:t>
      </w:r>
      <w:r>
        <w:rPr>
          <w:w w:val="105"/>
          <w:sz w:val="21"/>
        </w:rPr>
        <w:t>work</w:t>
      </w:r>
      <w:r>
        <w:rPr>
          <w:spacing w:val="-6"/>
          <w:w w:val="105"/>
          <w:sz w:val="21"/>
        </w:rPr>
        <w:t> </w:t>
      </w:r>
      <w:r>
        <w:rPr>
          <w:w w:val="105"/>
          <w:sz w:val="21"/>
        </w:rPr>
        <w:t>or</w:t>
      </w:r>
      <w:r>
        <w:rPr>
          <w:spacing w:val="-6"/>
          <w:w w:val="105"/>
          <w:sz w:val="21"/>
        </w:rPr>
        <w:t> </w:t>
      </w:r>
      <w:r>
        <w:rPr>
          <w:w w:val="105"/>
          <w:sz w:val="21"/>
        </w:rPr>
        <w:t>engage</w:t>
      </w:r>
      <w:r>
        <w:rPr>
          <w:spacing w:val="-6"/>
          <w:w w:val="105"/>
          <w:sz w:val="21"/>
        </w:rPr>
        <w:t> </w:t>
      </w:r>
      <w:r>
        <w:rPr>
          <w:w w:val="105"/>
          <w:sz w:val="21"/>
        </w:rPr>
        <w:t>in</w:t>
      </w:r>
      <w:r>
        <w:rPr>
          <w:spacing w:val="-6"/>
          <w:w w:val="105"/>
          <w:sz w:val="21"/>
        </w:rPr>
        <w:t> </w:t>
      </w:r>
      <w:r>
        <w:rPr>
          <w:w w:val="105"/>
          <w:sz w:val="21"/>
        </w:rPr>
        <w:t>activity</w:t>
      </w:r>
      <w:r>
        <w:rPr>
          <w:spacing w:val="-6"/>
          <w:w w:val="105"/>
          <w:sz w:val="21"/>
        </w:rPr>
        <w:t> </w:t>
      </w:r>
      <w:r>
        <w:rPr>
          <w:spacing w:val="-3"/>
          <w:w w:val="105"/>
          <w:sz w:val="21"/>
        </w:rPr>
        <w:t>for </w:t>
      </w:r>
      <w:r>
        <w:rPr>
          <w:w w:val="105"/>
          <w:sz w:val="21"/>
        </w:rPr>
        <w:t>which </w:t>
      </w:r>
      <w:r>
        <w:rPr>
          <w:spacing w:val="-3"/>
          <w:w w:val="105"/>
          <w:sz w:val="21"/>
        </w:rPr>
        <w:t>consent </w:t>
      </w:r>
      <w:r>
        <w:rPr>
          <w:w w:val="105"/>
          <w:sz w:val="21"/>
        </w:rPr>
        <w:t>or other authorisation must be obtained under </w:t>
      </w:r>
      <w:r>
        <w:rPr>
          <w:spacing w:val="-3"/>
          <w:w w:val="105"/>
          <w:sz w:val="21"/>
        </w:rPr>
        <w:t>any </w:t>
      </w:r>
      <w:r>
        <w:rPr>
          <w:w w:val="105"/>
          <w:sz w:val="21"/>
        </w:rPr>
        <w:t>other Act without </w:t>
      </w:r>
      <w:r>
        <w:rPr>
          <w:spacing w:val="-3"/>
          <w:w w:val="105"/>
          <w:sz w:val="21"/>
        </w:rPr>
        <w:t>that consent </w:t>
      </w:r>
      <w:r>
        <w:rPr>
          <w:w w:val="105"/>
          <w:sz w:val="21"/>
        </w:rPr>
        <w:t>or </w:t>
      </w:r>
      <w:r>
        <w:rPr>
          <w:spacing w:val="-3"/>
          <w:w w:val="105"/>
          <w:sz w:val="21"/>
        </w:rPr>
        <w:t>authorisation.</w:t>
      </w:r>
      <w:r>
        <w:rPr>
          <w:spacing w:val="-3"/>
          <w:w w:val="105"/>
          <w:position w:val="7"/>
          <w:sz w:val="12"/>
        </w:rPr>
        <w:t>251 </w:t>
      </w:r>
      <w:r>
        <w:rPr>
          <w:spacing w:val="-4"/>
          <w:w w:val="105"/>
          <w:sz w:val="21"/>
        </w:rPr>
        <w:t>However, </w:t>
      </w:r>
      <w:r>
        <w:rPr>
          <w:w w:val="105"/>
          <w:sz w:val="21"/>
        </w:rPr>
        <w:t>a NSWLEC order </w:t>
      </w:r>
      <w:r>
        <w:rPr>
          <w:spacing w:val="-2"/>
          <w:w w:val="105"/>
          <w:sz w:val="21"/>
        </w:rPr>
        <w:t>has </w:t>
      </w:r>
      <w:r>
        <w:rPr>
          <w:w w:val="105"/>
          <w:sz w:val="21"/>
        </w:rPr>
        <w:t>effect despite </w:t>
      </w:r>
      <w:r>
        <w:rPr>
          <w:spacing w:val="-3"/>
          <w:w w:val="105"/>
          <w:sz w:val="21"/>
        </w:rPr>
        <w:t>any requirement that </w:t>
      </w:r>
      <w:r>
        <w:rPr>
          <w:w w:val="105"/>
          <w:sz w:val="21"/>
        </w:rPr>
        <w:t>would otherwise apply </w:t>
      </w:r>
      <w:r>
        <w:rPr>
          <w:spacing w:val="-3"/>
          <w:w w:val="105"/>
          <w:sz w:val="21"/>
        </w:rPr>
        <w:t>to </w:t>
      </w:r>
      <w:r>
        <w:rPr>
          <w:w w:val="105"/>
          <w:sz w:val="21"/>
        </w:rPr>
        <w:t>obtain </w:t>
      </w:r>
      <w:r>
        <w:rPr>
          <w:spacing w:val="-3"/>
          <w:w w:val="105"/>
          <w:sz w:val="21"/>
        </w:rPr>
        <w:t>consent </w:t>
      </w:r>
      <w:r>
        <w:rPr>
          <w:w w:val="105"/>
          <w:sz w:val="21"/>
        </w:rPr>
        <w:t>or authorisation under the </w:t>
      </w:r>
      <w:r>
        <w:rPr>
          <w:i/>
          <w:spacing w:val="-4"/>
          <w:w w:val="105"/>
          <w:sz w:val="21"/>
        </w:rPr>
        <w:t>Environmental </w:t>
      </w:r>
      <w:r>
        <w:rPr>
          <w:i/>
          <w:spacing w:val="-3"/>
          <w:w w:val="105"/>
          <w:sz w:val="21"/>
        </w:rPr>
        <w:t>Planning </w:t>
      </w:r>
      <w:r>
        <w:rPr>
          <w:i/>
          <w:w w:val="105"/>
          <w:sz w:val="21"/>
        </w:rPr>
        <w:t>and Assessment Act </w:t>
      </w:r>
      <w:r>
        <w:rPr>
          <w:i/>
          <w:spacing w:val="-9"/>
          <w:w w:val="105"/>
          <w:sz w:val="21"/>
        </w:rPr>
        <w:t>1979 </w:t>
      </w:r>
      <w:r>
        <w:rPr>
          <w:spacing w:val="2"/>
          <w:w w:val="105"/>
          <w:sz w:val="21"/>
        </w:rPr>
        <w:t>(NSW) </w:t>
      </w:r>
      <w:r>
        <w:rPr>
          <w:w w:val="105"/>
          <w:sz w:val="21"/>
        </w:rPr>
        <w:t>or the </w:t>
      </w:r>
      <w:r>
        <w:rPr>
          <w:i/>
          <w:w w:val="105"/>
          <w:sz w:val="21"/>
        </w:rPr>
        <w:t>Heritage Act </w:t>
      </w:r>
      <w:r>
        <w:rPr>
          <w:i/>
          <w:spacing w:val="-9"/>
          <w:w w:val="105"/>
          <w:sz w:val="21"/>
        </w:rPr>
        <w:t>1977 </w:t>
      </w:r>
      <w:r>
        <w:rPr>
          <w:w w:val="105"/>
          <w:sz w:val="21"/>
        </w:rPr>
        <w:t>(NSW).</w:t>
      </w:r>
      <w:r>
        <w:rPr>
          <w:w w:val="105"/>
          <w:position w:val="7"/>
          <w:sz w:val="12"/>
        </w:rPr>
        <w:t>252 </w:t>
      </w:r>
      <w:r>
        <w:rPr>
          <w:w w:val="105"/>
          <w:sz w:val="21"/>
        </w:rPr>
        <w:t>This </w:t>
      </w:r>
      <w:r>
        <w:rPr>
          <w:spacing w:val="-3"/>
          <w:w w:val="105"/>
          <w:sz w:val="21"/>
        </w:rPr>
        <w:t>exception </w:t>
      </w:r>
      <w:r>
        <w:rPr>
          <w:w w:val="105"/>
          <w:sz w:val="21"/>
        </w:rPr>
        <w:t>is </w:t>
      </w:r>
      <w:r>
        <w:rPr>
          <w:spacing w:val="-3"/>
          <w:w w:val="105"/>
          <w:sz w:val="21"/>
        </w:rPr>
        <w:t>mitigated </w:t>
      </w:r>
      <w:r>
        <w:rPr>
          <w:w w:val="105"/>
          <w:sz w:val="21"/>
        </w:rPr>
        <w:t>by two</w:t>
      </w:r>
      <w:r>
        <w:rPr>
          <w:spacing w:val="32"/>
          <w:w w:val="105"/>
          <w:sz w:val="21"/>
        </w:rPr>
        <w:t> </w:t>
      </w:r>
      <w:r>
        <w:rPr>
          <w:spacing w:val="-3"/>
          <w:w w:val="105"/>
          <w:sz w:val="21"/>
        </w:rPr>
        <w:t>safeguards:</w:t>
      </w:r>
    </w:p>
    <w:p>
      <w:pPr>
        <w:pStyle w:val="BodyText"/>
        <w:rPr>
          <w:sz w:val="20"/>
        </w:rPr>
      </w:pPr>
    </w:p>
    <w:p>
      <w:pPr>
        <w:pStyle w:val="BodyText"/>
        <w:rPr>
          <w:sz w:val="20"/>
        </w:rPr>
      </w:pPr>
    </w:p>
    <w:p>
      <w:pPr>
        <w:pStyle w:val="BodyText"/>
        <w:spacing w:before="2"/>
        <w:rPr>
          <w:sz w:val="25"/>
        </w:rPr>
      </w:pPr>
      <w:r>
        <w:rPr/>
        <w:pict>
          <v:line style="position:absolute;mso-position-horizontal-relative:page;mso-position-vertical-relative:paragraph;z-index:9920;mso-wrap-distance-left:0;mso-wrap-distance-right:0" from="79.370102pt,17.84527pt" to="515.905102pt,17.8452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05"/>
        <w:ind w:left="720" w:right="0" w:firstLine="0"/>
        <w:jc w:val="left"/>
        <w:rPr>
          <w:b/>
          <w:sz w:val="24"/>
        </w:rPr>
      </w:pPr>
      <w:r>
        <w:rPr>
          <w:b/>
          <w:color w:val="658464"/>
          <w:w w:val="110"/>
          <w:sz w:val="24"/>
        </w:rPr>
        <w:t>240</w:t>
      </w:r>
    </w:p>
    <w:p>
      <w:pPr>
        <w:pStyle w:val="ListParagraph"/>
        <w:numPr>
          <w:ilvl w:val="0"/>
          <w:numId w:val="176"/>
        </w:numPr>
        <w:tabs>
          <w:tab w:pos="1215" w:val="left" w:leader="none"/>
          <w:tab w:pos="1216" w:val="left" w:leader="none"/>
        </w:tabs>
        <w:spacing w:line="240" w:lineRule="auto" w:before="48" w:after="0"/>
        <w:ind w:left="1215" w:right="1660" w:hanging="794"/>
        <w:jc w:val="left"/>
        <w:rPr>
          <w:sz w:val="13"/>
        </w:rPr>
      </w:pPr>
      <w:r>
        <w:rPr>
          <w:spacing w:val="2"/>
          <w:w w:val="108"/>
          <w:sz w:val="13"/>
        </w:rPr>
        <w:br w:type="column"/>
      </w:r>
      <w:r>
        <w:rPr>
          <w:w w:val="105"/>
          <w:sz w:val="13"/>
        </w:rPr>
        <w:t>See Department of Planning and Environment </w:t>
      </w:r>
      <w:r>
        <w:rPr>
          <w:spacing w:val="3"/>
          <w:w w:val="105"/>
          <w:sz w:val="13"/>
        </w:rPr>
        <w:t>(NSW), </w:t>
      </w:r>
      <w:r>
        <w:rPr>
          <w:i/>
          <w:w w:val="105"/>
          <w:sz w:val="13"/>
        </w:rPr>
        <w:t>The Planning System </w:t>
      </w:r>
      <w:r>
        <w:rPr>
          <w:w w:val="105"/>
          <w:sz w:val="13"/>
        </w:rPr>
        <w:t>(Web Page, 26 May 2018) &lt;https://</w:t>
      </w:r>
      <w:hyperlink r:id="rId289">
        <w:r>
          <w:rPr>
            <w:w w:val="105"/>
            <w:sz w:val="13"/>
          </w:rPr>
          <w:t>www.planning.nsw.gov.au/</w:t>
        </w:r>
      </w:hyperlink>
      <w:r>
        <w:rPr>
          <w:w w:val="105"/>
          <w:sz w:val="13"/>
        </w:rPr>
        <w:t> </w:t>
      </w:r>
      <w:r>
        <w:rPr>
          <w:spacing w:val="2"/>
          <w:w w:val="105"/>
          <w:sz w:val="13"/>
        </w:rPr>
        <w:t>Assess-and-Regulate/Development-Assessment/Your-guide-to-the-DA-process/Getting-started/The-planning-system&gt;.</w:t>
      </w:r>
    </w:p>
    <w:p>
      <w:pPr>
        <w:pStyle w:val="ListParagraph"/>
        <w:numPr>
          <w:ilvl w:val="0"/>
          <w:numId w:val="176"/>
        </w:numPr>
        <w:tabs>
          <w:tab w:pos="1215" w:val="left" w:leader="none"/>
          <w:tab w:pos="1216" w:val="left" w:leader="none"/>
        </w:tabs>
        <w:spacing w:line="240" w:lineRule="auto" w:before="3" w:after="0"/>
        <w:ind w:left="1215" w:right="0" w:hanging="794"/>
        <w:jc w:val="left"/>
        <w:rPr>
          <w:sz w:val="13"/>
        </w:rPr>
      </w:pPr>
      <w:r>
        <w:rPr>
          <w:sz w:val="13"/>
        </w:rPr>
        <w:t>Ibid.</w:t>
      </w:r>
    </w:p>
    <w:p>
      <w:pPr>
        <w:pStyle w:val="ListParagraph"/>
        <w:numPr>
          <w:ilvl w:val="0"/>
          <w:numId w:val="176"/>
        </w:numPr>
        <w:tabs>
          <w:tab w:pos="1215" w:val="left" w:leader="none"/>
          <w:tab w:pos="1216" w:val="left" w:leader="none"/>
        </w:tabs>
        <w:spacing w:line="240" w:lineRule="auto" w:before="1" w:after="0"/>
        <w:ind w:left="1215" w:right="1746" w:hanging="794"/>
        <w:jc w:val="left"/>
        <w:rPr>
          <w:sz w:val="13"/>
        </w:rPr>
      </w:pPr>
      <w:r>
        <w:rPr>
          <w:sz w:val="13"/>
        </w:rPr>
        <w:t>See </w:t>
      </w:r>
      <w:r>
        <w:rPr>
          <w:i/>
          <w:sz w:val="13"/>
        </w:rPr>
        <w:t>State Environmental Planning Policy (Vegetation in Non-Rural Areas) </w:t>
      </w:r>
      <w:r>
        <w:rPr>
          <w:i/>
          <w:spacing w:val="-6"/>
          <w:sz w:val="13"/>
        </w:rPr>
        <w:t>2017</w:t>
      </w:r>
      <w:r>
        <w:rPr>
          <w:spacing w:val="-6"/>
          <w:sz w:val="13"/>
        </w:rPr>
        <w:t>.  </w:t>
      </w:r>
      <w:r>
        <w:rPr>
          <w:sz w:val="13"/>
        </w:rPr>
        <w:t>This policy was implemented to ensure that the clearing of       native vegetation in urban areas is regulated. For example, Part 3 enables individual councils to declare in their development control plan           that</w:t>
      </w:r>
      <w:r>
        <w:rPr>
          <w:spacing w:val="16"/>
          <w:sz w:val="13"/>
        </w:rPr>
        <w:t> </w:t>
      </w:r>
      <w:r>
        <w:rPr>
          <w:sz w:val="13"/>
        </w:rPr>
        <w:t>the</w:t>
      </w:r>
      <w:r>
        <w:rPr>
          <w:spacing w:val="16"/>
          <w:sz w:val="13"/>
        </w:rPr>
        <w:t> </w:t>
      </w:r>
      <w:r>
        <w:rPr>
          <w:sz w:val="13"/>
        </w:rPr>
        <w:t>removal</w:t>
      </w:r>
      <w:r>
        <w:rPr>
          <w:spacing w:val="17"/>
          <w:sz w:val="13"/>
        </w:rPr>
        <w:t> </w:t>
      </w:r>
      <w:r>
        <w:rPr>
          <w:sz w:val="13"/>
        </w:rPr>
        <w:t>of</w:t>
      </w:r>
      <w:r>
        <w:rPr>
          <w:spacing w:val="16"/>
          <w:sz w:val="13"/>
        </w:rPr>
        <w:t> </w:t>
      </w:r>
      <w:r>
        <w:rPr>
          <w:sz w:val="13"/>
        </w:rPr>
        <w:t>certain</w:t>
      </w:r>
      <w:r>
        <w:rPr>
          <w:spacing w:val="17"/>
          <w:sz w:val="13"/>
        </w:rPr>
        <w:t> </w:t>
      </w:r>
      <w:r>
        <w:rPr>
          <w:sz w:val="13"/>
        </w:rPr>
        <w:t>species</w:t>
      </w:r>
      <w:r>
        <w:rPr>
          <w:spacing w:val="16"/>
          <w:sz w:val="13"/>
        </w:rPr>
        <w:t> </w:t>
      </w:r>
      <w:r>
        <w:rPr>
          <w:sz w:val="13"/>
        </w:rPr>
        <w:t>of</w:t>
      </w:r>
      <w:r>
        <w:rPr>
          <w:spacing w:val="16"/>
          <w:sz w:val="13"/>
        </w:rPr>
        <w:t> </w:t>
      </w:r>
      <w:r>
        <w:rPr>
          <w:sz w:val="13"/>
        </w:rPr>
        <w:t>vegetation</w:t>
      </w:r>
      <w:r>
        <w:rPr>
          <w:spacing w:val="17"/>
          <w:sz w:val="13"/>
        </w:rPr>
        <w:t> </w:t>
      </w:r>
      <w:r>
        <w:rPr>
          <w:sz w:val="13"/>
        </w:rPr>
        <w:t>or</w:t>
      </w:r>
      <w:r>
        <w:rPr>
          <w:spacing w:val="16"/>
          <w:sz w:val="13"/>
        </w:rPr>
        <w:t> </w:t>
      </w:r>
      <w:r>
        <w:rPr>
          <w:sz w:val="13"/>
        </w:rPr>
        <w:t>vegetation</w:t>
      </w:r>
      <w:r>
        <w:rPr>
          <w:spacing w:val="17"/>
          <w:sz w:val="13"/>
        </w:rPr>
        <w:t> </w:t>
      </w:r>
      <w:r>
        <w:rPr>
          <w:sz w:val="13"/>
        </w:rPr>
        <w:t>of</w:t>
      </w:r>
      <w:r>
        <w:rPr>
          <w:spacing w:val="16"/>
          <w:sz w:val="13"/>
        </w:rPr>
        <w:t> </w:t>
      </w:r>
      <w:r>
        <w:rPr>
          <w:sz w:val="13"/>
        </w:rPr>
        <w:t>a</w:t>
      </w:r>
      <w:r>
        <w:rPr>
          <w:spacing w:val="17"/>
          <w:sz w:val="13"/>
        </w:rPr>
        <w:t> </w:t>
      </w:r>
      <w:r>
        <w:rPr>
          <w:sz w:val="13"/>
        </w:rPr>
        <w:t>particular</w:t>
      </w:r>
      <w:r>
        <w:rPr>
          <w:spacing w:val="16"/>
          <w:sz w:val="13"/>
        </w:rPr>
        <w:t> </w:t>
      </w:r>
      <w:r>
        <w:rPr>
          <w:sz w:val="13"/>
        </w:rPr>
        <w:t>size</w:t>
      </w:r>
      <w:r>
        <w:rPr>
          <w:spacing w:val="16"/>
          <w:sz w:val="13"/>
        </w:rPr>
        <w:t> </w:t>
      </w:r>
      <w:r>
        <w:rPr>
          <w:sz w:val="13"/>
        </w:rPr>
        <w:t>requires</w:t>
      </w:r>
      <w:r>
        <w:rPr>
          <w:spacing w:val="17"/>
          <w:sz w:val="13"/>
        </w:rPr>
        <w:t> </w:t>
      </w:r>
      <w:r>
        <w:rPr>
          <w:sz w:val="13"/>
        </w:rPr>
        <w:t>a</w:t>
      </w:r>
      <w:r>
        <w:rPr>
          <w:spacing w:val="16"/>
          <w:sz w:val="13"/>
        </w:rPr>
        <w:t> </w:t>
      </w:r>
      <w:r>
        <w:rPr>
          <w:sz w:val="13"/>
        </w:rPr>
        <w:t>permit</w:t>
      </w:r>
      <w:r>
        <w:rPr>
          <w:spacing w:val="17"/>
          <w:sz w:val="13"/>
        </w:rPr>
        <w:t> </w:t>
      </w:r>
      <w:r>
        <w:rPr>
          <w:sz w:val="13"/>
        </w:rPr>
        <w:t>or</w:t>
      </w:r>
      <w:r>
        <w:rPr>
          <w:spacing w:val="16"/>
          <w:sz w:val="13"/>
        </w:rPr>
        <w:t> </w:t>
      </w:r>
      <w:r>
        <w:rPr>
          <w:sz w:val="13"/>
        </w:rPr>
        <w:t>approval</w:t>
      </w:r>
      <w:r>
        <w:rPr>
          <w:spacing w:val="17"/>
          <w:sz w:val="13"/>
        </w:rPr>
        <w:t> </w:t>
      </w:r>
      <w:r>
        <w:rPr>
          <w:sz w:val="13"/>
        </w:rPr>
        <w:t>to</w:t>
      </w:r>
      <w:r>
        <w:rPr>
          <w:spacing w:val="16"/>
          <w:sz w:val="13"/>
        </w:rPr>
        <w:t> </w:t>
      </w:r>
      <w:r>
        <w:rPr>
          <w:sz w:val="13"/>
        </w:rPr>
        <w:t>be</w:t>
      </w:r>
      <w:r>
        <w:rPr>
          <w:spacing w:val="16"/>
          <w:sz w:val="13"/>
        </w:rPr>
        <w:t> </w:t>
      </w:r>
      <w:r>
        <w:rPr>
          <w:sz w:val="13"/>
        </w:rPr>
        <w:t>issued</w:t>
      </w:r>
      <w:r>
        <w:rPr>
          <w:spacing w:val="17"/>
          <w:sz w:val="13"/>
        </w:rPr>
        <w:t> </w:t>
      </w:r>
      <w:r>
        <w:rPr>
          <w:sz w:val="13"/>
        </w:rPr>
        <w:t>by</w:t>
      </w:r>
      <w:r>
        <w:rPr>
          <w:spacing w:val="16"/>
          <w:sz w:val="13"/>
        </w:rPr>
        <w:t> </w:t>
      </w:r>
      <w:r>
        <w:rPr>
          <w:sz w:val="13"/>
        </w:rPr>
        <w:t>council.</w:t>
      </w:r>
    </w:p>
    <w:p>
      <w:pPr>
        <w:pStyle w:val="ListParagraph"/>
        <w:numPr>
          <w:ilvl w:val="0"/>
          <w:numId w:val="176"/>
        </w:numPr>
        <w:tabs>
          <w:tab w:pos="1215" w:val="left" w:leader="none"/>
          <w:tab w:pos="1216" w:val="left" w:leader="none"/>
        </w:tabs>
        <w:spacing w:line="240" w:lineRule="auto" w:before="4" w:after="0"/>
        <w:ind w:left="1215" w:right="1730" w:hanging="794"/>
        <w:jc w:val="left"/>
        <w:rPr>
          <w:i/>
          <w:sz w:val="13"/>
        </w:rPr>
      </w:pPr>
      <w:r>
        <w:rPr>
          <w:i/>
          <w:sz w:val="13"/>
        </w:rPr>
        <w:t>State Environmental Planning Policy (Vegetation in Non-Rural Areas) </w:t>
      </w:r>
      <w:r>
        <w:rPr>
          <w:i/>
          <w:spacing w:val="-6"/>
          <w:sz w:val="13"/>
        </w:rPr>
        <w:t>2017</w:t>
      </w:r>
      <w:r>
        <w:rPr>
          <w:spacing w:val="-6"/>
          <w:sz w:val="13"/>
        </w:rPr>
        <w:t>, </w:t>
      </w:r>
      <w:r>
        <w:rPr>
          <w:sz w:val="13"/>
        </w:rPr>
        <w:t>cl 3. For example, Part 4 does not enable people to clear native vegetation in urban areas that  would  exceed  the  biodiversity  offsets  scheme  threshold  under  section  </w:t>
      </w:r>
      <w:r>
        <w:rPr>
          <w:spacing w:val="-3"/>
          <w:sz w:val="13"/>
        </w:rPr>
        <w:t>7.4  </w:t>
      </w:r>
      <w:r>
        <w:rPr>
          <w:sz w:val="13"/>
        </w:rPr>
        <w:t>of  the  </w:t>
      </w:r>
      <w:r>
        <w:rPr>
          <w:i/>
          <w:sz w:val="13"/>
        </w:rPr>
        <w:t>Biodiversity  Conservation </w:t>
      </w:r>
      <w:r>
        <w:rPr>
          <w:i/>
          <w:sz w:val="13"/>
        </w:rPr>
        <w:t>Act </w:t>
      </w:r>
      <w:r>
        <w:rPr>
          <w:i/>
          <w:spacing w:val="-3"/>
          <w:sz w:val="13"/>
        </w:rPr>
        <w:t>2016 </w:t>
      </w:r>
      <w:r>
        <w:rPr>
          <w:i/>
          <w:sz w:val="13"/>
        </w:rPr>
        <w:t>without approval by the Native Vegetation</w:t>
      </w:r>
      <w:r>
        <w:rPr>
          <w:i/>
          <w:spacing w:val="4"/>
          <w:sz w:val="13"/>
        </w:rPr>
        <w:t> </w:t>
      </w:r>
      <w:r>
        <w:rPr>
          <w:i/>
          <w:sz w:val="13"/>
        </w:rPr>
        <w:t>Panel.</w:t>
      </w:r>
    </w:p>
    <w:p>
      <w:pPr>
        <w:pStyle w:val="ListParagraph"/>
        <w:numPr>
          <w:ilvl w:val="0"/>
          <w:numId w:val="176"/>
        </w:numPr>
        <w:tabs>
          <w:tab w:pos="1215" w:val="left" w:leader="none"/>
          <w:tab w:pos="1216" w:val="left" w:leader="none"/>
        </w:tabs>
        <w:spacing w:line="240" w:lineRule="auto" w:before="4" w:after="0"/>
        <w:ind w:left="1215" w:right="1777" w:hanging="794"/>
        <w:jc w:val="left"/>
        <w:rPr>
          <w:sz w:val="13"/>
        </w:rPr>
      </w:pPr>
      <w:r>
        <w:rPr>
          <w:w w:val="105"/>
          <w:sz w:val="13"/>
        </w:rPr>
        <w:t>See Department of Planning and Environment </w:t>
      </w:r>
      <w:r>
        <w:rPr>
          <w:spacing w:val="3"/>
          <w:w w:val="105"/>
          <w:sz w:val="13"/>
        </w:rPr>
        <w:t>(NSW), </w:t>
      </w:r>
      <w:r>
        <w:rPr>
          <w:i/>
          <w:w w:val="105"/>
          <w:sz w:val="13"/>
        </w:rPr>
        <w:t>Local Planning and Zoning </w:t>
      </w:r>
      <w:r>
        <w:rPr>
          <w:w w:val="105"/>
          <w:sz w:val="13"/>
        </w:rPr>
        <w:t>(Web Page, 18 February 2019) </w:t>
      </w:r>
      <w:r>
        <w:rPr>
          <w:spacing w:val="2"/>
          <w:w w:val="105"/>
          <w:sz w:val="13"/>
        </w:rPr>
        <w:t>&lt;https://www.planning. </w:t>
      </w:r>
      <w:r>
        <w:rPr>
          <w:w w:val="105"/>
          <w:sz w:val="13"/>
        </w:rPr>
        <w:t>nsw.gov.au/Plans-for-your-area/Local-Planning-and-Zoning&gt;.</w:t>
      </w:r>
    </w:p>
    <w:p>
      <w:pPr>
        <w:pStyle w:val="ListParagraph"/>
        <w:numPr>
          <w:ilvl w:val="0"/>
          <w:numId w:val="176"/>
        </w:numPr>
        <w:tabs>
          <w:tab w:pos="1215" w:val="left" w:leader="none"/>
          <w:tab w:pos="1216" w:val="left" w:leader="none"/>
        </w:tabs>
        <w:spacing w:line="240" w:lineRule="auto" w:before="3" w:after="0"/>
        <w:ind w:left="1215" w:right="0" w:hanging="794"/>
        <w:jc w:val="left"/>
        <w:rPr>
          <w:sz w:val="13"/>
        </w:rPr>
      </w:pPr>
      <w:r>
        <w:rPr>
          <w:i/>
          <w:sz w:val="13"/>
        </w:rPr>
        <w:t>Standard Instrument </w:t>
      </w:r>
      <w:r>
        <w:rPr>
          <w:spacing w:val="2"/>
          <w:sz w:val="13"/>
        </w:rPr>
        <w:t>(Local </w:t>
      </w:r>
      <w:r>
        <w:rPr>
          <w:sz w:val="13"/>
        </w:rPr>
        <w:t>Environmental Plans) Order</w:t>
      </w:r>
      <w:r>
        <w:rPr>
          <w:spacing w:val="9"/>
          <w:sz w:val="13"/>
        </w:rPr>
        <w:t> </w:t>
      </w:r>
      <w:r>
        <w:rPr>
          <w:sz w:val="13"/>
        </w:rPr>
        <w:t>2006.</w:t>
      </w:r>
    </w:p>
    <w:p>
      <w:pPr>
        <w:pStyle w:val="ListParagraph"/>
        <w:numPr>
          <w:ilvl w:val="0"/>
          <w:numId w:val="176"/>
        </w:numPr>
        <w:tabs>
          <w:tab w:pos="1215" w:val="left" w:leader="none"/>
          <w:tab w:pos="1216" w:val="left" w:leader="none"/>
        </w:tabs>
        <w:spacing w:line="240" w:lineRule="auto" w:before="1" w:after="0"/>
        <w:ind w:left="1215" w:right="0" w:hanging="794"/>
        <w:jc w:val="left"/>
        <w:rPr>
          <w:sz w:val="13"/>
        </w:rPr>
      </w:pPr>
      <w:r>
        <w:rPr>
          <w:w w:val="105"/>
          <w:sz w:val="13"/>
        </w:rPr>
        <w:t>See</w:t>
      </w:r>
      <w:r>
        <w:rPr>
          <w:spacing w:val="5"/>
          <w:w w:val="105"/>
          <w:sz w:val="13"/>
        </w:rPr>
        <w:t> </w:t>
      </w:r>
      <w:r>
        <w:rPr>
          <w:w w:val="105"/>
          <w:sz w:val="13"/>
        </w:rPr>
        <w:t>Department</w:t>
      </w:r>
      <w:r>
        <w:rPr>
          <w:spacing w:val="6"/>
          <w:w w:val="105"/>
          <w:sz w:val="13"/>
        </w:rPr>
        <w:t> </w:t>
      </w:r>
      <w:r>
        <w:rPr>
          <w:w w:val="105"/>
          <w:sz w:val="13"/>
        </w:rPr>
        <w:t>of</w:t>
      </w:r>
      <w:r>
        <w:rPr>
          <w:spacing w:val="5"/>
          <w:w w:val="105"/>
          <w:sz w:val="13"/>
        </w:rPr>
        <w:t> </w:t>
      </w:r>
      <w:r>
        <w:rPr>
          <w:w w:val="105"/>
          <w:sz w:val="13"/>
        </w:rPr>
        <w:t>Planning</w:t>
      </w:r>
      <w:r>
        <w:rPr>
          <w:spacing w:val="6"/>
          <w:w w:val="105"/>
          <w:sz w:val="13"/>
        </w:rPr>
        <w:t> </w:t>
      </w:r>
      <w:r>
        <w:rPr>
          <w:w w:val="105"/>
          <w:sz w:val="13"/>
        </w:rPr>
        <w:t>and</w:t>
      </w:r>
      <w:r>
        <w:rPr>
          <w:spacing w:val="6"/>
          <w:w w:val="105"/>
          <w:sz w:val="13"/>
        </w:rPr>
        <w:t> </w:t>
      </w:r>
      <w:r>
        <w:rPr>
          <w:w w:val="105"/>
          <w:sz w:val="13"/>
        </w:rPr>
        <w:t>Environment</w:t>
      </w:r>
      <w:r>
        <w:rPr>
          <w:spacing w:val="5"/>
          <w:w w:val="105"/>
          <w:sz w:val="13"/>
        </w:rPr>
        <w:t> </w:t>
      </w:r>
      <w:r>
        <w:rPr>
          <w:spacing w:val="3"/>
          <w:w w:val="105"/>
          <w:sz w:val="13"/>
        </w:rPr>
        <w:t>(NSW),</w:t>
      </w:r>
      <w:r>
        <w:rPr>
          <w:spacing w:val="6"/>
          <w:w w:val="105"/>
          <w:sz w:val="13"/>
        </w:rPr>
        <w:t> </w:t>
      </w:r>
      <w:r>
        <w:rPr>
          <w:i/>
          <w:w w:val="105"/>
          <w:sz w:val="13"/>
        </w:rPr>
        <w:t>The</w:t>
      </w:r>
      <w:r>
        <w:rPr>
          <w:i/>
          <w:spacing w:val="6"/>
          <w:w w:val="105"/>
          <w:sz w:val="13"/>
        </w:rPr>
        <w:t> </w:t>
      </w:r>
      <w:r>
        <w:rPr>
          <w:i/>
          <w:w w:val="105"/>
          <w:sz w:val="13"/>
        </w:rPr>
        <w:t>Planning</w:t>
      </w:r>
      <w:r>
        <w:rPr>
          <w:i/>
          <w:spacing w:val="5"/>
          <w:w w:val="105"/>
          <w:sz w:val="13"/>
        </w:rPr>
        <w:t> </w:t>
      </w:r>
      <w:r>
        <w:rPr>
          <w:i/>
          <w:w w:val="105"/>
          <w:sz w:val="13"/>
        </w:rPr>
        <w:t>System</w:t>
      </w:r>
      <w:r>
        <w:rPr>
          <w:i/>
          <w:spacing w:val="6"/>
          <w:w w:val="105"/>
          <w:sz w:val="13"/>
        </w:rPr>
        <w:t> </w:t>
      </w:r>
      <w:r>
        <w:rPr>
          <w:w w:val="105"/>
          <w:sz w:val="13"/>
        </w:rPr>
        <w:t>(Web</w:t>
      </w:r>
      <w:r>
        <w:rPr>
          <w:spacing w:val="5"/>
          <w:w w:val="105"/>
          <w:sz w:val="13"/>
        </w:rPr>
        <w:t> </w:t>
      </w:r>
      <w:r>
        <w:rPr>
          <w:w w:val="105"/>
          <w:sz w:val="13"/>
        </w:rPr>
        <w:t>Page,</w:t>
      </w:r>
      <w:r>
        <w:rPr>
          <w:spacing w:val="6"/>
          <w:w w:val="105"/>
          <w:sz w:val="13"/>
        </w:rPr>
        <w:t> </w:t>
      </w:r>
      <w:r>
        <w:rPr>
          <w:w w:val="105"/>
          <w:sz w:val="13"/>
        </w:rPr>
        <w:t>26</w:t>
      </w:r>
      <w:r>
        <w:rPr>
          <w:spacing w:val="6"/>
          <w:w w:val="105"/>
          <w:sz w:val="13"/>
        </w:rPr>
        <w:t> </w:t>
      </w:r>
      <w:r>
        <w:rPr>
          <w:w w:val="105"/>
          <w:sz w:val="13"/>
        </w:rPr>
        <w:t>May</w:t>
      </w:r>
      <w:r>
        <w:rPr>
          <w:spacing w:val="5"/>
          <w:w w:val="105"/>
          <w:sz w:val="13"/>
        </w:rPr>
        <w:t> </w:t>
      </w:r>
      <w:r>
        <w:rPr>
          <w:w w:val="105"/>
          <w:sz w:val="13"/>
        </w:rPr>
        <w:t>2018)</w:t>
      </w:r>
      <w:r>
        <w:rPr>
          <w:spacing w:val="6"/>
          <w:w w:val="105"/>
          <w:sz w:val="13"/>
        </w:rPr>
        <w:t> </w:t>
      </w:r>
      <w:r>
        <w:rPr>
          <w:w w:val="105"/>
          <w:sz w:val="13"/>
        </w:rPr>
        <w:t>&lt;https://</w:t>
      </w:r>
      <w:hyperlink r:id="rId290">
        <w:r>
          <w:rPr>
            <w:w w:val="105"/>
            <w:sz w:val="13"/>
          </w:rPr>
          <w:t>www.planning.nsw.gov.</w:t>
        </w:r>
      </w:hyperlink>
    </w:p>
    <w:p>
      <w:pPr>
        <w:spacing w:before="1"/>
        <w:ind w:left="1215" w:right="1202" w:firstLine="0"/>
        <w:jc w:val="left"/>
        <w:rPr>
          <w:sz w:val="13"/>
        </w:rPr>
      </w:pPr>
      <w:r>
        <w:rPr>
          <w:w w:val="105"/>
          <w:sz w:val="13"/>
        </w:rPr>
        <w:t>au/Assess-and-Regulate/Development-Assessment/Your-guide-to-the-DA-process/Getting-started/The-planning-system&gt;; See, eg, </w:t>
      </w:r>
      <w:r>
        <w:rPr>
          <w:i/>
          <w:w w:val="105"/>
          <w:sz w:val="13"/>
        </w:rPr>
        <w:t>Manly </w:t>
      </w:r>
      <w:r>
        <w:rPr>
          <w:i/>
          <w:w w:val="105"/>
          <w:sz w:val="13"/>
        </w:rPr>
        <w:t>Development Control Plan 2013, </w:t>
      </w:r>
      <w:r>
        <w:rPr>
          <w:w w:val="105"/>
          <w:sz w:val="13"/>
        </w:rPr>
        <w:t>cl 3.3.2.1(b), 3.3.2.3.</w:t>
      </w:r>
    </w:p>
    <w:p>
      <w:pPr>
        <w:pStyle w:val="ListParagraph"/>
        <w:numPr>
          <w:ilvl w:val="0"/>
          <w:numId w:val="176"/>
        </w:numPr>
        <w:tabs>
          <w:tab w:pos="1215" w:val="left" w:leader="none"/>
          <w:tab w:pos="1216" w:val="left" w:leader="none"/>
        </w:tabs>
        <w:spacing w:line="240" w:lineRule="auto" w:before="3" w:after="0"/>
        <w:ind w:left="1215" w:right="1722" w:hanging="794"/>
        <w:jc w:val="left"/>
        <w:rPr>
          <w:sz w:val="13"/>
        </w:rPr>
      </w:pPr>
      <w:r>
        <w:rPr>
          <w:w w:val="105"/>
          <w:sz w:val="13"/>
        </w:rPr>
        <w:t>This has substantially reproduced the effect of clauses 5.9 and 5.9AA, allowing councils to continue to regulate clearing of vegetation through their Development Control Plan </w:t>
      </w:r>
      <w:r>
        <w:rPr>
          <w:spacing w:val="2"/>
          <w:w w:val="105"/>
          <w:sz w:val="13"/>
        </w:rPr>
        <w:t>(DCP): </w:t>
      </w:r>
      <w:r>
        <w:rPr>
          <w:w w:val="105"/>
          <w:sz w:val="13"/>
        </w:rPr>
        <w:t>Office of Environment and Heritage </w:t>
      </w:r>
      <w:r>
        <w:rPr>
          <w:spacing w:val="3"/>
          <w:w w:val="105"/>
          <w:sz w:val="13"/>
        </w:rPr>
        <w:t>(NSW), </w:t>
      </w:r>
      <w:r>
        <w:rPr>
          <w:i/>
          <w:w w:val="105"/>
          <w:sz w:val="13"/>
        </w:rPr>
        <w:t>Local Government Information and Resources </w:t>
      </w:r>
      <w:r>
        <w:rPr>
          <w:w w:val="105"/>
          <w:sz w:val="13"/>
        </w:rPr>
        <w:t>(Web Page, 23 November 2018)</w:t>
      </w:r>
      <w:r>
        <w:rPr>
          <w:spacing w:val="27"/>
          <w:w w:val="105"/>
          <w:sz w:val="13"/>
        </w:rPr>
        <w:t> </w:t>
      </w:r>
      <w:r>
        <w:rPr>
          <w:w w:val="105"/>
          <w:sz w:val="13"/>
        </w:rPr>
        <w:t>&lt;https://</w:t>
      </w:r>
      <w:hyperlink r:id="rId130">
        <w:r>
          <w:rPr>
            <w:w w:val="105"/>
            <w:sz w:val="13"/>
          </w:rPr>
          <w:t>www.environment.nsw.gov.au/biodiversity/localgovernment.htm</w:t>
        </w:r>
      </w:hyperlink>
      <w:r>
        <w:rPr>
          <w:w w:val="105"/>
          <w:sz w:val="13"/>
        </w:rPr>
        <w:t>&gt;.</w:t>
      </w:r>
    </w:p>
    <w:p>
      <w:pPr>
        <w:pStyle w:val="ListParagraph"/>
        <w:numPr>
          <w:ilvl w:val="0"/>
          <w:numId w:val="176"/>
        </w:numPr>
        <w:tabs>
          <w:tab w:pos="1215" w:val="left" w:leader="none"/>
          <w:tab w:pos="1216" w:val="left" w:leader="none"/>
        </w:tabs>
        <w:spacing w:line="240" w:lineRule="auto" w:before="4" w:after="0"/>
        <w:ind w:left="1215" w:right="0" w:hanging="793"/>
        <w:jc w:val="left"/>
        <w:rPr>
          <w:sz w:val="13"/>
        </w:rPr>
      </w:pPr>
      <w:r>
        <w:rPr>
          <w:w w:val="105"/>
          <w:sz w:val="13"/>
        </w:rPr>
        <w:t>See</w:t>
      </w:r>
      <w:r>
        <w:rPr>
          <w:spacing w:val="5"/>
          <w:w w:val="105"/>
          <w:sz w:val="13"/>
        </w:rPr>
        <w:t> </w:t>
      </w:r>
      <w:r>
        <w:rPr>
          <w:w w:val="105"/>
          <w:sz w:val="13"/>
        </w:rPr>
        <w:t>further</w:t>
      </w:r>
      <w:r>
        <w:rPr>
          <w:spacing w:val="5"/>
          <w:w w:val="105"/>
          <w:sz w:val="13"/>
        </w:rPr>
        <w:t> </w:t>
      </w:r>
      <w:r>
        <w:rPr>
          <w:w w:val="105"/>
          <w:sz w:val="13"/>
        </w:rPr>
        <w:t>Office</w:t>
      </w:r>
      <w:r>
        <w:rPr>
          <w:spacing w:val="5"/>
          <w:w w:val="105"/>
          <w:sz w:val="13"/>
        </w:rPr>
        <w:t> </w:t>
      </w:r>
      <w:r>
        <w:rPr>
          <w:w w:val="105"/>
          <w:sz w:val="13"/>
        </w:rPr>
        <w:t>of</w:t>
      </w:r>
      <w:r>
        <w:rPr>
          <w:spacing w:val="6"/>
          <w:w w:val="105"/>
          <w:sz w:val="13"/>
        </w:rPr>
        <w:t> </w:t>
      </w:r>
      <w:r>
        <w:rPr>
          <w:w w:val="105"/>
          <w:sz w:val="13"/>
        </w:rPr>
        <w:t>Environment</w:t>
      </w:r>
      <w:r>
        <w:rPr>
          <w:spacing w:val="5"/>
          <w:w w:val="105"/>
          <w:sz w:val="13"/>
        </w:rPr>
        <w:t> </w:t>
      </w:r>
      <w:r>
        <w:rPr>
          <w:w w:val="105"/>
          <w:sz w:val="13"/>
        </w:rPr>
        <w:t>and</w:t>
      </w:r>
      <w:r>
        <w:rPr>
          <w:spacing w:val="5"/>
          <w:w w:val="105"/>
          <w:sz w:val="13"/>
        </w:rPr>
        <w:t> </w:t>
      </w:r>
      <w:r>
        <w:rPr>
          <w:w w:val="105"/>
          <w:sz w:val="13"/>
        </w:rPr>
        <w:t>Heritage</w:t>
      </w:r>
      <w:r>
        <w:rPr>
          <w:spacing w:val="5"/>
          <w:w w:val="105"/>
          <w:sz w:val="13"/>
        </w:rPr>
        <w:t> </w:t>
      </w:r>
      <w:r>
        <w:rPr>
          <w:spacing w:val="3"/>
          <w:w w:val="105"/>
          <w:sz w:val="13"/>
        </w:rPr>
        <w:t>(NSW),</w:t>
      </w:r>
      <w:r>
        <w:rPr>
          <w:spacing w:val="9"/>
          <w:w w:val="105"/>
          <w:sz w:val="13"/>
        </w:rPr>
        <w:t> </w:t>
      </w:r>
      <w:r>
        <w:rPr>
          <w:i/>
          <w:w w:val="105"/>
          <w:sz w:val="13"/>
        </w:rPr>
        <w:t>Local</w:t>
      </w:r>
      <w:r>
        <w:rPr>
          <w:i/>
          <w:spacing w:val="5"/>
          <w:w w:val="105"/>
          <w:sz w:val="13"/>
        </w:rPr>
        <w:t> </w:t>
      </w:r>
      <w:r>
        <w:rPr>
          <w:i/>
          <w:w w:val="105"/>
          <w:sz w:val="13"/>
        </w:rPr>
        <w:t>Government</w:t>
      </w:r>
      <w:r>
        <w:rPr>
          <w:i/>
          <w:spacing w:val="5"/>
          <w:w w:val="105"/>
          <w:sz w:val="13"/>
        </w:rPr>
        <w:t> </w:t>
      </w:r>
      <w:r>
        <w:rPr>
          <w:i/>
          <w:w w:val="105"/>
          <w:sz w:val="13"/>
        </w:rPr>
        <w:t>Information</w:t>
      </w:r>
      <w:r>
        <w:rPr>
          <w:i/>
          <w:spacing w:val="6"/>
          <w:w w:val="105"/>
          <w:sz w:val="13"/>
        </w:rPr>
        <w:t> </w:t>
      </w:r>
      <w:r>
        <w:rPr>
          <w:i/>
          <w:w w:val="105"/>
          <w:sz w:val="13"/>
        </w:rPr>
        <w:t>and</w:t>
      </w:r>
      <w:r>
        <w:rPr>
          <w:i/>
          <w:spacing w:val="5"/>
          <w:w w:val="105"/>
          <w:sz w:val="13"/>
        </w:rPr>
        <w:t> </w:t>
      </w:r>
      <w:r>
        <w:rPr>
          <w:i/>
          <w:w w:val="105"/>
          <w:sz w:val="13"/>
        </w:rPr>
        <w:t>Resources</w:t>
      </w:r>
      <w:r>
        <w:rPr>
          <w:i/>
          <w:spacing w:val="5"/>
          <w:w w:val="105"/>
          <w:sz w:val="13"/>
        </w:rPr>
        <w:t> </w:t>
      </w:r>
      <w:r>
        <w:rPr>
          <w:w w:val="105"/>
          <w:sz w:val="13"/>
        </w:rPr>
        <w:t>(Web</w:t>
      </w:r>
      <w:r>
        <w:rPr>
          <w:spacing w:val="6"/>
          <w:w w:val="105"/>
          <w:sz w:val="13"/>
        </w:rPr>
        <w:t> </w:t>
      </w:r>
      <w:r>
        <w:rPr>
          <w:w w:val="105"/>
          <w:sz w:val="13"/>
        </w:rPr>
        <w:t>Page,</w:t>
      </w:r>
      <w:r>
        <w:rPr>
          <w:spacing w:val="5"/>
          <w:w w:val="105"/>
          <w:sz w:val="13"/>
        </w:rPr>
        <w:t> </w:t>
      </w:r>
      <w:r>
        <w:rPr>
          <w:w w:val="105"/>
          <w:sz w:val="13"/>
        </w:rPr>
        <w:t>23</w:t>
      </w:r>
      <w:r>
        <w:rPr>
          <w:spacing w:val="5"/>
          <w:w w:val="105"/>
          <w:sz w:val="13"/>
        </w:rPr>
        <w:t> </w:t>
      </w:r>
      <w:r>
        <w:rPr>
          <w:w w:val="105"/>
          <w:sz w:val="13"/>
        </w:rPr>
        <w:t>November</w:t>
      </w:r>
      <w:r>
        <w:rPr>
          <w:spacing w:val="5"/>
          <w:w w:val="105"/>
          <w:sz w:val="13"/>
        </w:rPr>
        <w:t> </w:t>
      </w:r>
      <w:r>
        <w:rPr>
          <w:w w:val="105"/>
          <w:sz w:val="13"/>
        </w:rPr>
        <w:t>2018)</w:t>
      </w:r>
    </w:p>
    <w:p>
      <w:pPr>
        <w:spacing w:before="1"/>
        <w:ind w:left="1215" w:right="0" w:firstLine="0"/>
        <w:jc w:val="left"/>
        <w:rPr>
          <w:sz w:val="13"/>
        </w:rPr>
      </w:pPr>
      <w:r>
        <w:rPr>
          <w:sz w:val="13"/>
        </w:rPr>
        <w:t>&lt;https://</w:t>
      </w:r>
      <w:hyperlink r:id="rId130">
        <w:r>
          <w:rPr>
            <w:sz w:val="13"/>
          </w:rPr>
          <w:t>www.environment.nsw.gov.au/biodiversity/localgovernment.htm</w:t>
        </w:r>
      </w:hyperlink>
      <w:r>
        <w:rPr>
          <w:sz w:val="13"/>
        </w:rPr>
        <w:t>&gt;.</w:t>
      </w:r>
    </w:p>
    <w:p>
      <w:pPr>
        <w:pStyle w:val="ListParagraph"/>
        <w:numPr>
          <w:ilvl w:val="0"/>
          <w:numId w:val="176"/>
        </w:numPr>
        <w:tabs>
          <w:tab w:pos="1215" w:val="left" w:leader="none"/>
          <w:tab w:pos="1216" w:val="left" w:leader="none"/>
        </w:tabs>
        <w:spacing w:line="240" w:lineRule="auto" w:before="2" w:after="0"/>
        <w:ind w:left="1215" w:right="1804" w:hanging="793"/>
        <w:jc w:val="left"/>
        <w:rPr>
          <w:sz w:val="13"/>
        </w:rPr>
      </w:pPr>
      <w:r>
        <w:rPr>
          <w:w w:val="105"/>
          <w:sz w:val="13"/>
        </w:rPr>
        <w:t>Office of Environment and Heritage </w:t>
      </w:r>
      <w:r>
        <w:rPr>
          <w:spacing w:val="3"/>
          <w:w w:val="105"/>
          <w:sz w:val="13"/>
        </w:rPr>
        <w:t>(NSW), </w:t>
      </w:r>
      <w:r>
        <w:rPr>
          <w:i/>
          <w:w w:val="105"/>
          <w:sz w:val="13"/>
        </w:rPr>
        <w:t>Native Vegetation </w:t>
      </w:r>
      <w:r>
        <w:rPr>
          <w:w w:val="105"/>
          <w:sz w:val="13"/>
        </w:rPr>
        <w:t>(Web Page, 21 September 2018) &lt;https://</w:t>
      </w:r>
      <w:hyperlink r:id="rId291">
        <w:r>
          <w:rPr>
            <w:w w:val="105"/>
            <w:sz w:val="13"/>
          </w:rPr>
          <w:t>www.environment.nsw.gov.au/</w:t>
        </w:r>
      </w:hyperlink>
      <w:r>
        <w:rPr>
          <w:w w:val="105"/>
          <w:sz w:val="13"/>
        </w:rPr>
        <w:t> vegetation/&gt;.</w:t>
      </w:r>
      <w:r>
        <w:rPr>
          <w:spacing w:val="5"/>
          <w:w w:val="105"/>
          <w:sz w:val="13"/>
        </w:rPr>
        <w:t> </w:t>
      </w:r>
      <w:r>
        <w:rPr>
          <w:i/>
          <w:w w:val="105"/>
          <w:sz w:val="13"/>
        </w:rPr>
        <w:t>The</w:t>
      </w:r>
      <w:r>
        <w:rPr>
          <w:i/>
          <w:spacing w:val="5"/>
          <w:w w:val="105"/>
          <w:sz w:val="13"/>
        </w:rPr>
        <w:t> </w:t>
      </w:r>
      <w:r>
        <w:rPr>
          <w:i/>
          <w:w w:val="105"/>
          <w:sz w:val="13"/>
        </w:rPr>
        <w:t>Local</w:t>
      </w:r>
      <w:r>
        <w:rPr>
          <w:i/>
          <w:spacing w:val="6"/>
          <w:w w:val="105"/>
          <w:sz w:val="13"/>
        </w:rPr>
        <w:t> </w:t>
      </w:r>
      <w:r>
        <w:rPr>
          <w:i/>
          <w:w w:val="105"/>
          <w:sz w:val="13"/>
        </w:rPr>
        <w:t>Land</w:t>
      </w:r>
      <w:r>
        <w:rPr>
          <w:i/>
          <w:spacing w:val="5"/>
          <w:w w:val="105"/>
          <w:sz w:val="13"/>
        </w:rPr>
        <w:t> </w:t>
      </w:r>
      <w:r>
        <w:rPr>
          <w:i/>
          <w:w w:val="105"/>
          <w:sz w:val="13"/>
        </w:rPr>
        <w:t>Services</w:t>
      </w:r>
      <w:r>
        <w:rPr>
          <w:i/>
          <w:spacing w:val="5"/>
          <w:w w:val="105"/>
          <w:sz w:val="13"/>
        </w:rPr>
        <w:t> </w:t>
      </w:r>
      <w:r>
        <w:rPr>
          <w:i/>
          <w:w w:val="105"/>
          <w:sz w:val="13"/>
        </w:rPr>
        <w:t>Act</w:t>
      </w:r>
      <w:r>
        <w:rPr>
          <w:i/>
          <w:spacing w:val="6"/>
          <w:w w:val="105"/>
          <w:sz w:val="13"/>
        </w:rPr>
        <w:t> </w:t>
      </w:r>
      <w:r>
        <w:rPr>
          <w:i/>
          <w:spacing w:val="-3"/>
          <w:w w:val="105"/>
          <w:sz w:val="13"/>
        </w:rPr>
        <w:t>2013</w:t>
      </w:r>
      <w:r>
        <w:rPr>
          <w:i/>
          <w:spacing w:val="5"/>
          <w:w w:val="105"/>
          <w:sz w:val="13"/>
        </w:rPr>
        <w:t> </w:t>
      </w:r>
      <w:r>
        <w:rPr>
          <w:spacing w:val="3"/>
          <w:w w:val="105"/>
          <w:sz w:val="13"/>
        </w:rPr>
        <w:t>(NSW)</w:t>
      </w:r>
      <w:r>
        <w:rPr>
          <w:spacing w:val="5"/>
          <w:w w:val="105"/>
          <w:sz w:val="13"/>
        </w:rPr>
        <w:t> </w:t>
      </w:r>
      <w:r>
        <w:rPr>
          <w:w w:val="105"/>
          <w:sz w:val="13"/>
        </w:rPr>
        <w:t>repealed</w:t>
      </w:r>
      <w:r>
        <w:rPr>
          <w:spacing w:val="6"/>
          <w:w w:val="105"/>
          <w:sz w:val="13"/>
        </w:rPr>
        <w:t> </w:t>
      </w:r>
      <w:r>
        <w:rPr>
          <w:w w:val="105"/>
          <w:sz w:val="13"/>
        </w:rPr>
        <w:t>the</w:t>
      </w:r>
      <w:r>
        <w:rPr>
          <w:spacing w:val="5"/>
          <w:w w:val="105"/>
          <w:sz w:val="13"/>
        </w:rPr>
        <w:t> </w:t>
      </w:r>
      <w:r>
        <w:rPr>
          <w:i/>
          <w:w w:val="105"/>
          <w:sz w:val="13"/>
        </w:rPr>
        <w:t>Native</w:t>
      </w:r>
      <w:r>
        <w:rPr>
          <w:i/>
          <w:spacing w:val="6"/>
          <w:w w:val="105"/>
          <w:sz w:val="13"/>
        </w:rPr>
        <w:t> </w:t>
      </w:r>
      <w:r>
        <w:rPr>
          <w:i/>
          <w:w w:val="105"/>
          <w:sz w:val="13"/>
        </w:rPr>
        <w:t>Vegetation</w:t>
      </w:r>
      <w:r>
        <w:rPr>
          <w:i/>
          <w:spacing w:val="5"/>
          <w:w w:val="105"/>
          <w:sz w:val="13"/>
        </w:rPr>
        <w:t> </w:t>
      </w:r>
      <w:r>
        <w:rPr>
          <w:i/>
          <w:w w:val="105"/>
          <w:sz w:val="13"/>
        </w:rPr>
        <w:t>Act</w:t>
      </w:r>
      <w:r>
        <w:rPr>
          <w:i/>
          <w:spacing w:val="5"/>
          <w:w w:val="105"/>
          <w:sz w:val="13"/>
        </w:rPr>
        <w:t> </w:t>
      </w:r>
      <w:r>
        <w:rPr>
          <w:i/>
          <w:w w:val="105"/>
          <w:sz w:val="13"/>
        </w:rPr>
        <w:t>2003</w:t>
      </w:r>
      <w:r>
        <w:rPr>
          <w:i/>
          <w:spacing w:val="6"/>
          <w:w w:val="105"/>
          <w:sz w:val="13"/>
        </w:rPr>
        <w:t> </w:t>
      </w:r>
      <w:r>
        <w:rPr>
          <w:spacing w:val="3"/>
          <w:w w:val="105"/>
          <w:sz w:val="13"/>
        </w:rPr>
        <w:t>(NSW).</w:t>
      </w:r>
    </w:p>
    <w:p>
      <w:pPr>
        <w:pStyle w:val="ListParagraph"/>
        <w:numPr>
          <w:ilvl w:val="0"/>
          <w:numId w:val="176"/>
        </w:numPr>
        <w:tabs>
          <w:tab w:pos="1215" w:val="left" w:leader="none"/>
          <w:tab w:pos="1216" w:val="left" w:leader="none"/>
        </w:tabs>
        <w:spacing w:line="240" w:lineRule="auto" w:before="2" w:after="0"/>
        <w:ind w:left="1215" w:right="0" w:hanging="793"/>
        <w:jc w:val="left"/>
        <w:rPr>
          <w:sz w:val="13"/>
        </w:rPr>
      </w:pPr>
      <w:r>
        <w:rPr>
          <w:i/>
          <w:w w:val="105"/>
          <w:sz w:val="13"/>
        </w:rPr>
        <w:t>Trees (Disputes Between Neighbours) Act 2006 </w:t>
      </w:r>
      <w:r>
        <w:rPr>
          <w:spacing w:val="3"/>
          <w:w w:val="105"/>
          <w:sz w:val="13"/>
        </w:rPr>
        <w:t>(NSW) </w:t>
      </w:r>
      <w:r>
        <w:rPr>
          <w:w w:val="105"/>
          <w:sz w:val="13"/>
        </w:rPr>
        <w:t>s</w:t>
      </w:r>
      <w:r>
        <w:rPr>
          <w:spacing w:val="4"/>
          <w:w w:val="105"/>
          <w:sz w:val="13"/>
        </w:rPr>
        <w:t> </w:t>
      </w:r>
      <w:r>
        <w:rPr>
          <w:spacing w:val="3"/>
          <w:w w:val="105"/>
          <w:sz w:val="13"/>
        </w:rPr>
        <w:t>6(1)(a).</w:t>
      </w:r>
    </w:p>
    <w:p>
      <w:pPr>
        <w:pStyle w:val="ListParagraph"/>
        <w:numPr>
          <w:ilvl w:val="0"/>
          <w:numId w:val="176"/>
        </w:numPr>
        <w:tabs>
          <w:tab w:pos="1215" w:val="left" w:leader="none"/>
          <w:tab w:pos="1216" w:val="left" w:leader="none"/>
        </w:tabs>
        <w:spacing w:line="240" w:lineRule="auto" w:before="2" w:after="0"/>
        <w:ind w:left="1215" w:right="0" w:hanging="793"/>
        <w:jc w:val="left"/>
        <w:rPr>
          <w:sz w:val="13"/>
        </w:rPr>
      </w:pPr>
      <w:r>
        <w:rPr>
          <w:sz w:val="13"/>
        </w:rPr>
        <w:t>Ibid s</w:t>
      </w:r>
      <w:r>
        <w:rPr>
          <w:spacing w:val="12"/>
          <w:sz w:val="13"/>
        </w:rPr>
        <w:t> </w:t>
      </w:r>
      <w:r>
        <w:rPr>
          <w:spacing w:val="4"/>
          <w:sz w:val="13"/>
        </w:rPr>
        <w:t>6(3).</w:t>
      </w:r>
    </w:p>
    <w:p>
      <w:pPr>
        <w:spacing w:after="0" w:line="240" w:lineRule="auto"/>
        <w:jc w:val="left"/>
        <w:rPr>
          <w:sz w:val="13"/>
        </w:rPr>
        <w:sectPr>
          <w:type w:val="continuous"/>
          <w:pgSz w:w="11910" w:h="16840"/>
          <w:pgMar w:top="300" w:bottom="280" w:left="0" w:right="0"/>
          <w:cols w:num="2" w:equalWidth="0">
            <w:col w:w="1126" w:space="40"/>
            <w:col w:w="10744"/>
          </w:cols>
        </w:sectPr>
      </w:pPr>
    </w:p>
    <w:p>
      <w:pPr>
        <w:pStyle w:val="BodyText"/>
        <w:rPr>
          <w:sz w:val="20"/>
        </w:rPr>
      </w:pPr>
    </w:p>
    <w:p>
      <w:pPr>
        <w:pStyle w:val="BodyText"/>
        <w:spacing w:before="9"/>
        <w:rPr>
          <w:sz w:val="18"/>
        </w:rPr>
      </w:pPr>
    </w:p>
    <w:p>
      <w:pPr>
        <w:pStyle w:val="ListParagraph"/>
        <w:numPr>
          <w:ilvl w:val="1"/>
          <w:numId w:val="176"/>
        </w:numPr>
        <w:tabs>
          <w:tab w:pos="2722" w:val="left" w:leader="none"/>
        </w:tabs>
        <w:spacing w:line="242" w:lineRule="auto" w:before="91" w:after="0"/>
        <w:ind w:left="2721" w:right="2185" w:hanging="340"/>
        <w:jc w:val="both"/>
        <w:rPr>
          <w:sz w:val="12"/>
        </w:rPr>
      </w:pPr>
      <w:r>
        <w:rPr>
          <w:sz w:val="21"/>
        </w:rPr>
        <w:t>The NSWLEC must </w:t>
      </w:r>
      <w:r>
        <w:rPr>
          <w:spacing w:val="-3"/>
          <w:sz w:val="21"/>
        </w:rPr>
        <w:t>consider </w:t>
      </w:r>
      <w:r>
        <w:rPr>
          <w:sz w:val="21"/>
        </w:rPr>
        <w:t>whether </w:t>
      </w:r>
      <w:r>
        <w:rPr>
          <w:spacing w:val="-3"/>
          <w:sz w:val="21"/>
        </w:rPr>
        <w:t>interference </w:t>
      </w:r>
      <w:r>
        <w:rPr>
          <w:sz w:val="21"/>
        </w:rPr>
        <w:t>with the tree would </w:t>
      </w:r>
      <w:r>
        <w:rPr>
          <w:spacing w:val="-3"/>
          <w:sz w:val="21"/>
        </w:rPr>
        <w:t>normally require consent </w:t>
      </w:r>
      <w:r>
        <w:rPr>
          <w:sz w:val="21"/>
        </w:rPr>
        <w:t>or authorisation under these Acts and if so whether it </w:t>
      </w:r>
      <w:r>
        <w:rPr>
          <w:spacing w:val="-2"/>
          <w:sz w:val="21"/>
        </w:rPr>
        <w:t>has </w:t>
      </w:r>
      <w:r>
        <w:rPr>
          <w:sz w:val="21"/>
        </w:rPr>
        <w:t>been obtained.</w:t>
      </w:r>
      <w:r>
        <w:rPr>
          <w:position w:val="7"/>
          <w:sz w:val="12"/>
        </w:rPr>
        <w:t>253</w:t>
      </w:r>
    </w:p>
    <w:p>
      <w:pPr>
        <w:pStyle w:val="ListParagraph"/>
        <w:numPr>
          <w:ilvl w:val="1"/>
          <w:numId w:val="176"/>
        </w:numPr>
        <w:tabs>
          <w:tab w:pos="2721" w:val="left" w:leader="none"/>
          <w:tab w:pos="2722" w:val="left" w:leader="none"/>
        </w:tabs>
        <w:spacing w:line="242" w:lineRule="auto" w:before="89" w:after="0"/>
        <w:ind w:left="2721" w:right="2040" w:hanging="340"/>
        <w:jc w:val="left"/>
        <w:rPr>
          <w:sz w:val="12"/>
        </w:rPr>
      </w:pPr>
      <w:r>
        <w:rPr>
          <w:w w:val="105"/>
          <w:sz w:val="21"/>
        </w:rPr>
        <w:t>A</w:t>
      </w:r>
      <w:r>
        <w:rPr>
          <w:spacing w:val="-6"/>
          <w:w w:val="105"/>
          <w:sz w:val="21"/>
        </w:rPr>
        <w:t> </w:t>
      </w:r>
      <w:r>
        <w:rPr>
          <w:spacing w:val="-3"/>
          <w:w w:val="105"/>
          <w:sz w:val="21"/>
        </w:rPr>
        <w:t>relevant</w:t>
      </w:r>
      <w:r>
        <w:rPr>
          <w:spacing w:val="-5"/>
          <w:w w:val="105"/>
          <w:sz w:val="21"/>
        </w:rPr>
        <w:t> </w:t>
      </w:r>
      <w:r>
        <w:rPr>
          <w:spacing w:val="-3"/>
          <w:w w:val="105"/>
          <w:sz w:val="21"/>
        </w:rPr>
        <w:t>authority,</w:t>
      </w:r>
      <w:r>
        <w:rPr>
          <w:spacing w:val="-5"/>
          <w:w w:val="105"/>
          <w:sz w:val="21"/>
        </w:rPr>
        <w:t> </w:t>
      </w:r>
      <w:r>
        <w:rPr>
          <w:spacing w:val="-3"/>
          <w:w w:val="105"/>
          <w:sz w:val="21"/>
        </w:rPr>
        <w:t>for</w:t>
      </w:r>
      <w:r>
        <w:rPr>
          <w:spacing w:val="-5"/>
          <w:w w:val="105"/>
          <w:sz w:val="21"/>
        </w:rPr>
        <w:t> </w:t>
      </w:r>
      <w:r>
        <w:rPr>
          <w:w w:val="105"/>
          <w:sz w:val="21"/>
        </w:rPr>
        <w:t>example</w:t>
      </w:r>
      <w:r>
        <w:rPr>
          <w:spacing w:val="-5"/>
          <w:w w:val="105"/>
          <w:sz w:val="21"/>
        </w:rPr>
        <w:t> </w:t>
      </w:r>
      <w:r>
        <w:rPr>
          <w:w w:val="105"/>
          <w:sz w:val="21"/>
        </w:rPr>
        <w:t>a</w:t>
      </w:r>
      <w:r>
        <w:rPr>
          <w:spacing w:val="-5"/>
          <w:w w:val="105"/>
          <w:sz w:val="21"/>
        </w:rPr>
        <w:t> </w:t>
      </w:r>
      <w:r>
        <w:rPr>
          <w:spacing w:val="-3"/>
          <w:w w:val="105"/>
          <w:sz w:val="21"/>
        </w:rPr>
        <w:t>council</w:t>
      </w:r>
      <w:r>
        <w:rPr>
          <w:spacing w:val="-5"/>
          <w:w w:val="105"/>
          <w:sz w:val="21"/>
        </w:rPr>
        <w:t> </w:t>
      </w:r>
      <w:r>
        <w:rPr>
          <w:w w:val="105"/>
          <w:sz w:val="21"/>
        </w:rPr>
        <w:t>or</w:t>
      </w:r>
      <w:r>
        <w:rPr>
          <w:spacing w:val="-5"/>
          <w:w w:val="105"/>
          <w:sz w:val="21"/>
        </w:rPr>
        <w:t> </w:t>
      </w:r>
      <w:r>
        <w:rPr>
          <w:w w:val="105"/>
          <w:sz w:val="21"/>
        </w:rPr>
        <w:t>heritage</w:t>
      </w:r>
      <w:r>
        <w:rPr>
          <w:spacing w:val="-5"/>
          <w:w w:val="105"/>
          <w:sz w:val="21"/>
        </w:rPr>
        <w:t> </w:t>
      </w:r>
      <w:r>
        <w:rPr>
          <w:spacing w:val="-3"/>
          <w:w w:val="105"/>
          <w:sz w:val="21"/>
        </w:rPr>
        <w:t>officer,</w:t>
      </w:r>
      <w:r>
        <w:rPr>
          <w:spacing w:val="-5"/>
          <w:w w:val="105"/>
          <w:sz w:val="21"/>
        </w:rPr>
        <w:t> </w:t>
      </w:r>
      <w:r>
        <w:rPr>
          <w:w w:val="105"/>
          <w:sz w:val="21"/>
        </w:rPr>
        <w:t>is</w:t>
      </w:r>
      <w:r>
        <w:rPr>
          <w:spacing w:val="-5"/>
          <w:w w:val="105"/>
          <w:sz w:val="21"/>
        </w:rPr>
        <w:t> </w:t>
      </w:r>
      <w:r>
        <w:rPr>
          <w:w w:val="105"/>
          <w:sz w:val="21"/>
        </w:rPr>
        <w:t>able</w:t>
      </w:r>
      <w:r>
        <w:rPr>
          <w:spacing w:val="-6"/>
          <w:w w:val="105"/>
          <w:sz w:val="21"/>
        </w:rPr>
        <w:t> </w:t>
      </w:r>
      <w:r>
        <w:rPr>
          <w:spacing w:val="-3"/>
          <w:w w:val="105"/>
          <w:sz w:val="21"/>
        </w:rPr>
        <w:t>to</w:t>
      </w:r>
      <w:r>
        <w:rPr>
          <w:spacing w:val="-5"/>
          <w:w w:val="105"/>
          <w:sz w:val="21"/>
        </w:rPr>
        <w:t> </w:t>
      </w:r>
      <w:r>
        <w:rPr>
          <w:w w:val="105"/>
          <w:sz w:val="21"/>
        </w:rPr>
        <w:t>appear</w:t>
      </w:r>
      <w:r>
        <w:rPr>
          <w:spacing w:val="-5"/>
          <w:w w:val="105"/>
          <w:sz w:val="21"/>
        </w:rPr>
        <w:t> </w:t>
      </w:r>
      <w:r>
        <w:rPr>
          <w:w w:val="105"/>
          <w:sz w:val="21"/>
        </w:rPr>
        <w:t>in proceedings.</w:t>
      </w:r>
      <w:r>
        <w:rPr>
          <w:w w:val="105"/>
          <w:position w:val="7"/>
          <w:sz w:val="12"/>
        </w:rPr>
        <w:t>254</w:t>
      </w:r>
    </w:p>
    <w:p>
      <w:pPr>
        <w:pStyle w:val="ListParagraph"/>
        <w:numPr>
          <w:ilvl w:val="0"/>
          <w:numId w:val="173"/>
        </w:numPr>
        <w:tabs>
          <w:tab w:pos="2381" w:val="left" w:leader="none"/>
          <w:tab w:pos="2382" w:val="left" w:leader="none"/>
        </w:tabs>
        <w:spacing w:line="242" w:lineRule="auto" w:before="87" w:after="0"/>
        <w:ind w:left="2381" w:right="1699" w:hanging="794"/>
        <w:jc w:val="left"/>
        <w:rPr>
          <w:sz w:val="12"/>
        </w:rPr>
      </w:pPr>
      <w:r>
        <w:rPr>
          <w:spacing w:val="-5"/>
          <w:w w:val="105"/>
          <w:sz w:val="21"/>
        </w:rPr>
        <w:t>Tree </w:t>
      </w:r>
      <w:r>
        <w:rPr>
          <w:w w:val="105"/>
          <w:sz w:val="21"/>
        </w:rPr>
        <w:t>Preservation Orders (TPOs) </w:t>
      </w:r>
      <w:r>
        <w:rPr>
          <w:spacing w:val="-3"/>
          <w:w w:val="105"/>
          <w:sz w:val="21"/>
        </w:rPr>
        <w:t>have </w:t>
      </w:r>
      <w:r>
        <w:rPr>
          <w:w w:val="105"/>
          <w:sz w:val="21"/>
        </w:rPr>
        <w:t>been recognised as a hybrid statutory </w:t>
      </w:r>
      <w:r>
        <w:rPr>
          <w:spacing w:val="-3"/>
          <w:w w:val="105"/>
          <w:sz w:val="21"/>
        </w:rPr>
        <w:t>mechanism </w:t>
      </w:r>
      <w:r>
        <w:rPr>
          <w:w w:val="105"/>
          <w:sz w:val="21"/>
        </w:rPr>
        <w:t>under the </w:t>
      </w:r>
      <w:r>
        <w:rPr>
          <w:i/>
          <w:spacing w:val="-3"/>
          <w:w w:val="105"/>
          <w:sz w:val="21"/>
        </w:rPr>
        <w:t>Environmental Planning </w:t>
      </w:r>
      <w:r>
        <w:rPr>
          <w:i/>
          <w:w w:val="105"/>
          <w:sz w:val="21"/>
        </w:rPr>
        <w:t>and Assessment Act </w:t>
      </w:r>
      <w:r>
        <w:rPr>
          <w:i/>
          <w:spacing w:val="-9"/>
          <w:w w:val="105"/>
          <w:sz w:val="21"/>
        </w:rPr>
        <w:t>1979 </w:t>
      </w:r>
      <w:r>
        <w:rPr>
          <w:spacing w:val="2"/>
          <w:w w:val="105"/>
          <w:sz w:val="21"/>
        </w:rPr>
        <w:t>(NSW) </w:t>
      </w:r>
      <w:r>
        <w:rPr>
          <w:w w:val="105"/>
          <w:sz w:val="21"/>
        </w:rPr>
        <w:t>(the </w:t>
      </w:r>
      <w:r>
        <w:rPr>
          <w:spacing w:val="-6"/>
          <w:w w:val="105"/>
          <w:sz w:val="21"/>
        </w:rPr>
        <w:t>EPA </w:t>
      </w:r>
      <w:r>
        <w:rPr>
          <w:w w:val="105"/>
          <w:sz w:val="21"/>
        </w:rPr>
        <w:t>Act).</w:t>
      </w:r>
      <w:r>
        <w:rPr>
          <w:w w:val="105"/>
          <w:position w:val="7"/>
          <w:sz w:val="12"/>
        </w:rPr>
        <w:t>255 </w:t>
      </w:r>
      <w:r>
        <w:rPr>
          <w:w w:val="105"/>
          <w:sz w:val="21"/>
        </w:rPr>
        <w:t>An order made by the NSWLEC </w:t>
      </w:r>
      <w:r>
        <w:rPr>
          <w:spacing w:val="-2"/>
          <w:w w:val="105"/>
          <w:sz w:val="21"/>
        </w:rPr>
        <w:t>has </w:t>
      </w:r>
      <w:r>
        <w:rPr>
          <w:w w:val="105"/>
          <w:sz w:val="21"/>
        </w:rPr>
        <w:t>effect despite a TPO or </w:t>
      </w:r>
      <w:r>
        <w:rPr>
          <w:spacing w:val="-3"/>
          <w:w w:val="105"/>
          <w:sz w:val="21"/>
        </w:rPr>
        <w:t>presumably </w:t>
      </w:r>
      <w:r>
        <w:rPr>
          <w:w w:val="105"/>
          <w:sz w:val="21"/>
        </w:rPr>
        <w:t>a </w:t>
      </w:r>
      <w:r>
        <w:rPr>
          <w:spacing w:val="-3"/>
          <w:w w:val="105"/>
          <w:sz w:val="21"/>
        </w:rPr>
        <w:t>Vegetation </w:t>
      </w:r>
      <w:r>
        <w:rPr>
          <w:w w:val="105"/>
          <w:sz w:val="21"/>
        </w:rPr>
        <w:t>SEPP</w:t>
      </w:r>
      <w:r>
        <w:rPr>
          <w:w w:val="105"/>
          <w:position w:val="7"/>
          <w:sz w:val="12"/>
        </w:rPr>
        <w:t>256</w:t>
      </w:r>
      <w:r>
        <w:rPr>
          <w:w w:val="105"/>
          <w:sz w:val="12"/>
        </w:rPr>
        <w:t> </w:t>
      </w:r>
      <w:r>
        <w:rPr>
          <w:spacing w:val="-3"/>
          <w:w w:val="105"/>
          <w:sz w:val="21"/>
        </w:rPr>
        <w:t>that might </w:t>
      </w:r>
      <w:r>
        <w:rPr>
          <w:w w:val="105"/>
          <w:sz w:val="21"/>
        </w:rPr>
        <w:t>otherwise </w:t>
      </w:r>
      <w:r>
        <w:rPr>
          <w:spacing w:val="-3"/>
          <w:w w:val="105"/>
          <w:sz w:val="21"/>
        </w:rPr>
        <w:t>prevent </w:t>
      </w:r>
      <w:r>
        <w:rPr>
          <w:w w:val="105"/>
          <w:sz w:val="21"/>
        </w:rPr>
        <w:t>or restrict </w:t>
      </w:r>
      <w:r>
        <w:rPr>
          <w:spacing w:val="-3"/>
          <w:w w:val="105"/>
          <w:sz w:val="21"/>
        </w:rPr>
        <w:t>interference </w:t>
      </w:r>
      <w:r>
        <w:rPr>
          <w:w w:val="105"/>
          <w:sz w:val="21"/>
        </w:rPr>
        <w:t>with the</w:t>
      </w:r>
      <w:r>
        <w:rPr>
          <w:spacing w:val="26"/>
          <w:w w:val="105"/>
          <w:sz w:val="21"/>
        </w:rPr>
        <w:t> </w:t>
      </w:r>
      <w:r>
        <w:rPr>
          <w:w w:val="105"/>
          <w:sz w:val="21"/>
        </w:rPr>
        <w:t>tree.</w:t>
      </w:r>
      <w:r>
        <w:rPr>
          <w:w w:val="105"/>
          <w:position w:val="7"/>
          <w:sz w:val="12"/>
        </w:rPr>
        <w:t>257</w:t>
      </w:r>
    </w:p>
    <w:p>
      <w:pPr>
        <w:pStyle w:val="ListParagraph"/>
        <w:numPr>
          <w:ilvl w:val="0"/>
          <w:numId w:val="173"/>
        </w:numPr>
        <w:tabs>
          <w:tab w:pos="2380" w:val="left" w:leader="none"/>
          <w:tab w:pos="2381" w:val="left" w:leader="none"/>
        </w:tabs>
        <w:spacing w:line="242" w:lineRule="auto" w:before="124" w:after="0"/>
        <w:ind w:left="2380" w:right="1897" w:hanging="793"/>
        <w:jc w:val="left"/>
        <w:rPr>
          <w:sz w:val="12"/>
        </w:rPr>
      </w:pPr>
      <w:r>
        <w:rPr>
          <w:w w:val="105"/>
          <w:sz w:val="21"/>
        </w:rPr>
        <w:t>Where local </w:t>
      </w:r>
      <w:r>
        <w:rPr>
          <w:spacing w:val="-4"/>
          <w:w w:val="105"/>
          <w:sz w:val="21"/>
        </w:rPr>
        <w:t>council’s </w:t>
      </w:r>
      <w:r>
        <w:rPr>
          <w:w w:val="105"/>
          <w:sz w:val="21"/>
        </w:rPr>
        <w:t>authority or a permit would </w:t>
      </w:r>
      <w:r>
        <w:rPr>
          <w:spacing w:val="-3"/>
          <w:w w:val="105"/>
          <w:sz w:val="21"/>
        </w:rPr>
        <w:t>ordinarily </w:t>
      </w:r>
      <w:r>
        <w:rPr>
          <w:w w:val="105"/>
          <w:sz w:val="21"/>
        </w:rPr>
        <w:t>be needed, the NSWLEC </w:t>
      </w:r>
      <w:r>
        <w:rPr>
          <w:spacing w:val="-3"/>
          <w:w w:val="105"/>
          <w:sz w:val="21"/>
        </w:rPr>
        <w:t>will consider </w:t>
      </w:r>
      <w:r>
        <w:rPr>
          <w:w w:val="105"/>
          <w:sz w:val="21"/>
        </w:rPr>
        <w:t>the factors </w:t>
      </w:r>
      <w:r>
        <w:rPr>
          <w:spacing w:val="-3"/>
          <w:w w:val="105"/>
          <w:sz w:val="21"/>
        </w:rPr>
        <w:t>that </w:t>
      </w:r>
      <w:r>
        <w:rPr>
          <w:w w:val="105"/>
          <w:sz w:val="21"/>
        </w:rPr>
        <w:t>the local </w:t>
      </w:r>
      <w:r>
        <w:rPr>
          <w:spacing w:val="-3"/>
          <w:w w:val="105"/>
          <w:sz w:val="21"/>
        </w:rPr>
        <w:t>council </w:t>
      </w:r>
      <w:r>
        <w:rPr>
          <w:w w:val="105"/>
          <w:sz w:val="21"/>
        </w:rPr>
        <w:t>would </w:t>
      </w:r>
      <w:r>
        <w:rPr>
          <w:spacing w:val="-3"/>
          <w:w w:val="105"/>
          <w:sz w:val="21"/>
        </w:rPr>
        <w:t>ordinarily take </w:t>
      </w:r>
      <w:r>
        <w:rPr>
          <w:spacing w:val="-4"/>
          <w:w w:val="105"/>
          <w:sz w:val="21"/>
        </w:rPr>
        <w:t>into </w:t>
      </w:r>
      <w:r>
        <w:rPr>
          <w:spacing w:val="-3"/>
          <w:w w:val="105"/>
          <w:sz w:val="21"/>
        </w:rPr>
        <w:t>account </w:t>
      </w:r>
      <w:r>
        <w:rPr>
          <w:w w:val="105"/>
          <w:sz w:val="21"/>
        </w:rPr>
        <w:t>in its decision-making process.</w:t>
      </w:r>
      <w:r>
        <w:rPr>
          <w:w w:val="105"/>
          <w:position w:val="7"/>
          <w:sz w:val="12"/>
        </w:rPr>
        <w:t>258 </w:t>
      </w:r>
      <w:r>
        <w:rPr>
          <w:w w:val="105"/>
          <w:sz w:val="21"/>
        </w:rPr>
        <w:t>This </w:t>
      </w:r>
      <w:r>
        <w:rPr>
          <w:spacing w:val="-3"/>
          <w:w w:val="105"/>
          <w:sz w:val="21"/>
        </w:rPr>
        <w:t>includes </w:t>
      </w:r>
      <w:r>
        <w:rPr>
          <w:w w:val="105"/>
          <w:sz w:val="21"/>
        </w:rPr>
        <w:t>matters </w:t>
      </w:r>
      <w:r>
        <w:rPr>
          <w:spacing w:val="-3"/>
          <w:w w:val="105"/>
          <w:sz w:val="21"/>
        </w:rPr>
        <w:t>concerning native </w:t>
      </w:r>
      <w:r>
        <w:rPr>
          <w:w w:val="105"/>
          <w:sz w:val="21"/>
        </w:rPr>
        <w:t>vegetation and </w:t>
      </w:r>
      <w:r>
        <w:rPr>
          <w:spacing w:val="-3"/>
          <w:w w:val="105"/>
          <w:sz w:val="21"/>
        </w:rPr>
        <w:t>bushfire</w:t>
      </w:r>
      <w:r>
        <w:rPr>
          <w:spacing w:val="-5"/>
          <w:w w:val="105"/>
          <w:sz w:val="21"/>
        </w:rPr>
        <w:t> </w:t>
      </w:r>
      <w:r>
        <w:rPr>
          <w:w w:val="105"/>
          <w:sz w:val="21"/>
        </w:rPr>
        <w:t>zones.</w:t>
      </w:r>
      <w:r>
        <w:rPr>
          <w:spacing w:val="-4"/>
          <w:w w:val="105"/>
          <w:sz w:val="21"/>
        </w:rPr>
        <w:t> </w:t>
      </w:r>
      <w:r>
        <w:rPr>
          <w:w w:val="105"/>
          <w:sz w:val="21"/>
        </w:rPr>
        <w:t>The</w:t>
      </w:r>
      <w:r>
        <w:rPr>
          <w:spacing w:val="-4"/>
          <w:w w:val="105"/>
          <w:sz w:val="21"/>
        </w:rPr>
        <w:t> </w:t>
      </w:r>
      <w:r>
        <w:rPr>
          <w:spacing w:val="-3"/>
          <w:w w:val="105"/>
          <w:sz w:val="21"/>
        </w:rPr>
        <w:t>Court</w:t>
      </w:r>
      <w:r>
        <w:rPr>
          <w:spacing w:val="-5"/>
          <w:w w:val="105"/>
          <w:sz w:val="21"/>
        </w:rPr>
        <w:t> </w:t>
      </w:r>
      <w:r>
        <w:rPr>
          <w:spacing w:val="-3"/>
          <w:w w:val="105"/>
          <w:sz w:val="21"/>
        </w:rPr>
        <w:t>may</w:t>
      </w:r>
      <w:r>
        <w:rPr>
          <w:spacing w:val="-4"/>
          <w:w w:val="105"/>
          <w:sz w:val="21"/>
        </w:rPr>
        <w:t> </w:t>
      </w:r>
      <w:r>
        <w:rPr>
          <w:w w:val="105"/>
          <w:sz w:val="21"/>
        </w:rPr>
        <w:t>also</w:t>
      </w:r>
      <w:r>
        <w:rPr>
          <w:spacing w:val="-4"/>
          <w:w w:val="105"/>
          <w:sz w:val="21"/>
        </w:rPr>
        <w:t> </w:t>
      </w:r>
      <w:r>
        <w:rPr>
          <w:spacing w:val="-3"/>
          <w:w w:val="105"/>
          <w:sz w:val="21"/>
        </w:rPr>
        <w:t>consider</w:t>
      </w:r>
      <w:r>
        <w:rPr>
          <w:spacing w:val="-5"/>
          <w:w w:val="105"/>
          <w:sz w:val="21"/>
        </w:rPr>
        <w:t> </w:t>
      </w:r>
      <w:r>
        <w:rPr>
          <w:w w:val="105"/>
          <w:sz w:val="21"/>
        </w:rPr>
        <w:t>whether</w:t>
      </w:r>
      <w:r>
        <w:rPr>
          <w:spacing w:val="-4"/>
          <w:w w:val="105"/>
          <w:sz w:val="21"/>
        </w:rPr>
        <w:t> </w:t>
      </w:r>
      <w:r>
        <w:rPr>
          <w:w w:val="105"/>
          <w:sz w:val="21"/>
        </w:rPr>
        <w:t>or</w:t>
      </w:r>
      <w:r>
        <w:rPr>
          <w:spacing w:val="-4"/>
          <w:w w:val="105"/>
          <w:sz w:val="21"/>
        </w:rPr>
        <w:t> </w:t>
      </w:r>
      <w:r>
        <w:rPr>
          <w:spacing w:val="-2"/>
          <w:w w:val="105"/>
          <w:sz w:val="21"/>
        </w:rPr>
        <w:t>not</w:t>
      </w:r>
      <w:r>
        <w:rPr>
          <w:spacing w:val="-5"/>
          <w:w w:val="105"/>
          <w:sz w:val="21"/>
        </w:rPr>
        <w:t> </w:t>
      </w:r>
      <w:r>
        <w:rPr>
          <w:w w:val="105"/>
          <w:sz w:val="21"/>
        </w:rPr>
        <w:t>the</w:t>
      </w:r>
      <w:r>
        <w:rPr>
          <w:spacing w:val="-4"/>
          <w:w w:val="105"/>
          <w:sz w:val="21"/>
        </w:rPr>
        <w:t> </w:t>
      </w:r>
      <w:r>
        <w:rPr>
          <w:w w:val="105"/>
          <w:sz w:val="21"/>
        </w:rPr>
        <w:t>permit</w:t>
      </w:r>
      <w:r>
        <w:rPr>
          <w:spacing w:val="-4"/>
          <w:w w:val="105"/>
          <w:sz w:val="21"/>
        </w:rPr>
        <w:t> </w:t>
      </w:r>
      <w:r>
        <w:rPr>
          <w:w w:val="105"/>
          <w:sz w:val="21"/>
        </w:rPr>
        <w:t>was</w:t>
      </w:r>
      <w:r>
        <w:rPr>
          <w:spacing w:val="-5"/>
          <w:w w:val="105"/>
          <w:sz w:val="21"/>
        </w:rPr>
        <w:t> </w:t>
      </w:r>
      <w:r>
        <w:rPr>
          <w:spacing w:val="-3"/>
          <w:w w:val="105"/>
          <w:sz w:val="21"/>
        </w:rPr>
        <w:t>refused</w:t>
      </w:r>
      <w:r>
        <w:rPr>
          <w:spacing w:val="-4"/>
          <w:w w:val="105"/>
          <w:sz w:val="21"/>
        </w:rPr>
        <w:t> </w:t>
      </w:r>
      <w:r>
        <w:rPr>
          <w:w w:val="105"/>
          <w:sz w:val="21"/>
        </w:rPr>
        <w:t>by local </w:t>
      </w:r>
      <w:r>
        <w:rPr>
          <w:spacing w:val="-3"/>
          <w:w w:val="105"/>
          <w:sz w:val="21"/>
        </w:rPr>
        <w:t>council </w:t>
      </w:r>
      <w:r>
        <w:rPr>
          <w:w w:val="105"/>
          <w:sz w:val="21"/>
        </w:rPr>
        <w:t>where a prior application was</w:t>
      </w:r>
      <w:r>
        <w:rPr>
          <w:spacing w:val="30"/>
          <w:w w:val="105"/>
          <w:sz w:val="21"/>
        </w:rPr>
        <w:t> </w:t>
      </w:r>
      <w:r>
        <w:rPr>
          <w:w w:val="105"/>
          <w:sz w:val="21"/>
        </w:rPr>
        <w:t>made.</w:t>
      </w:r>
      <w:r>
        <w:rPr>
          <w:w w:val="105"/>
          <w:position w:val="7"/>
          <w:sz w:val="12"/>
        </w:rPr>
        <w:t>259</w:t>
      </w:r>
    </w:p>
    <w:p>
      <w:pPr>
        <w:pStyle w:val="ListParagraph"/>
        <w:numPr>
          <w:ilvl w:val="0"/>
          <w:numId w:val="173"/>
        </w:numPr>
        <w:tabs>
          <w:tab w:pos="2382" w:val="left" w:leader="none"/>
        </w:tabs>
        <w:spacing w:line="242" w:lineRule="auto" w:before="126" w:after="0"/>
        <w:ind w:left="2381" w:right="1922" w:hanging="794"/>
        <w:jc w:val="left"/>
        <w:rPr>
          <w:sz w:val="12"/>
        </w:rPr>
      </w:pPr>
      <w:r>
        <w:rPr>
          <w:w w:val="105"/>
          <w:sz w:val="21"/>
        </w:rPr>
        <w:t>The NSWLEC gives </w:t>
      </w:r>
      <w:r>
        <w:rPr>
          <w:spacing w:val="-3"/>
          <w:w w:val="105"/>
          <w:sz w:val="21"/>
        </w:rPr>
        <w:t>significant weight to consistently </w:t>
      </w:r>
      <w:r>
        <w:rPr>
          <w:w w:val="105"/>
          <w:sz w:val="21"/>
        </w:rPr>
        <w:t>applied </w:t>
      </w:r>
      <w:r>
        <w:rPr>
          <w:spacing w:val="-3"/>
          <w:w w:val="105"/>
          <w:sz w:val="21"/>
        </w:rPr>
        <w:t>council </w:t>
      </w:r>
      <w:r>
        <w:rPr>
          <w:w w:val="105"/>
          <w:sz w:val="21"/>
        </w:rPr>
        <w:t>policies </w:t>
      </w:r>
      <w:r>
        <w:rPr>
          <w:spacing w:val="-3"/>
          <w:w w:val="105"/>
          <w:sz w:val="21"/>
        </w:rPr>
        <w:t>relating to </w:t>
      </w:r>
      <w:r>
        <w:rPr>
          <w:w w:val="105"/>
          <w:sz w:val="21"/>
        </w:rPr>
        <w:t>TPOs, </w:t>
      </w:r>
      <w:r>
        <w:rPr>
          <w:spacing w:val="-3"/>
          <w:w w:val="105"/>
          <w:sz w:val="21"/>
        </w:rPr>
        <w:t>for </w:t>
      </w:r>
      <w:r>
        <w:rPr>
          <w:w w:val="105"/>
          <w:sz w:val="21"/>
        </w:rPr>
        <w:t>example policies about the </w:t>
      </w:r>
      <w:r>
        <w:rPr>
          <w:spacing w:val="-3"/>
          <w:w w:val="105"/>
          <w:sz w:val="21"/>
        </w:rPr>
        <w:t>management </w:t>
      </w:r>
      <w:r>
        <w:rPr>
          <w:w w:val="105"/>
          <w:sz w:val="21"/>
        </w:rPr>
        <w:t>of trees </w:t>
      </w:r>
      <w:r>
        <w:rPr>
          <w:spacing w:val="-3"/>
          <w:w w:val="105"/>
          <w:sz w:val="21"/>
        </w:rPr>
        <w:t>including circumstances </w:t>
      </w:r>
      <w:r>
        <w:rPr>
          <w:w w:val="105"/>
          <w:sz w:val="21"/>
        </w:rPr>
        <w:t>in which tree </w:t>
      </w:r>
      <w:r>
        <w:rPr>
          <w:spacing w:val="-3"/>
          <w:w w:val="105"/>
          <w:sz w:val="21"/>
        </w:rPr>
        <w:t>removal may </w:t>
      </w:r>
      <w:r>
        <w:rPr>
          <w:w w:val="105"/>
          <w:sz w:val="21"/>
        </w:rPr>
        <w:t>be</w:t>
      </w:r>
      <w:r>
        <w:rPr>
          <w:spacing w:val="28"/>
          <w:w w:val="105"/>
          <w:sz w:val="21"/>
        </w:rPr>
        <w:t> </w:t>
      </w:r>
      <w:r>
        <w:rPr>
          <w:w w:val="105"/>
          <w:sz w:val="21"/>
        </w:rPr>
        <w:t>permitted.</w:t>
      </w:r>
      <w:r>
        <w:rPr>
          <w:w w:val="105"/>
          <w:position w:val="7"/>
          <w:sz w:val="12"/>
        </w:rPr>
        <w:t>260</w:t>
      </w:r>
    </w:p>
    <w:p>
      <w:pPr>
        <w:pStyle w:val="BodyText"/>
        <w:spacing w:before="4"/>
        <w:rPr>
          <w:sz w:val="20"/>
        </w:rPr>
      </w:pPr>
    </w:p>
    <w:p>
      <w:pPr>
        <w:pStyle w:val="Heading5"/>
      </w:pPr>
      <w:r>
        <w:rPr>
          <w:w w:val="115"/>
        </w:rPr>
        <w:t>Queensland</w:t>
      </w:r>
    </w:p>
    <w:p>
      <w:pPr>
        <w:pStyle w:val="Heading7"/>
        <w:spacing w:before="168"/>
      </w:pPr>
      <w:r>
        <w:rPr>
          <w:w w:val="115"/>
        </w:rPr>
        <w:t>Regulation of trees on private land</w:t>
      </w:r>
    </w:p>
    <w:p>
      <w:pPr>
        <w:pStyle w:val="ListParagraph"/>
        <w:numPr>
          <w:ilvl w:val="0"/>
          <w:numId w:val="173"/>
        </w:numPr>
        <w:tabs>
          <w:tab w:pos="2381" w:val="left" w:leader="none"/>
          <w:tab w:pos="2382" w:val="left" w:leader="none"/>
        </w:tabs>
        <w:spacing w:line="242" w:lineRule="auto" w:before="142" w:after="0"/>
        <w:ind w:left="2381" w:right="1758" w:hanging="794"/>
        <w:jc w:val="left"/>
        <w:rPr>
          <w:sz w:val="12"/>
        </w:rPr>
      </w:pPr>
      <w:r>
        <w:rPr>
          <w:spacing w:val="-3"/>
          <w:w w:val="105"/>
          <w:sz w:val="21"/>
        </w:rPr>
        <w:t>Queensland </w:t>
      </w:r>
      <w:r>
        <w:rPr>
          <w:spacing w:val="-2"/>
          <w:w w:val="105"/>
          <w:sz w:val="21"/>
        </w:rPr>
        <w:t>has </w:t>
      </w:r>
      <w:r>
        <w:rPr>
          <w:w w:val="105"/>
          <w:sz w:val="21"/>
        </w:rPr>
        <w:t>also </w:t>
      </w:r>
      <w:r>
        <w:rPr>
          <w:spacing w:val="-3"/>
          <w:w w:val="105"/>
          <w:sz w:val="21"/>
        </w:rPr>
        <w:t>recently overhauled </w:t>
      </w:r>
      <w:r>
        <w:rPr>
          <w:w w:val="105"/>
          <w:sz w:val="21"/>
        </w:rPr>
        <w:t>its </w:t>
      </w:r>
      <w:r>
        <w:rPr>
          <w:spacing w:val="-3"/>
          <w:w w:val="105"/>
          <w:sz w:val="21"/>
        </w:rPr>
        <w:t>planning </w:t>
      </w:r>
      <w:r>
        <w:rPr>
          <w:w w:val="105"/>
          <w:sz w:val="21"/>
        </w:rPr>
        <w:t>system with the </w:t>
      </w:r>
      <w:r>
        <w:rPr>
          <w:i/>
          <w:spacing w:val="-3"/>
          <w:w w:val="105"/>
          <w:sz w:val="21"/>
        </w:rPr>
        <w:t>Planning </w:t>
      </w:r>
      <w:r>
        <w:rPr>
          <w:i/>
          <w:w w:val="105"/>
          <w:sz w:val="21"/>
        </w:rPr>
        <w:t>Act </w:t>
      </w:r>
      <w:r>
        <w:rPr>
          <w:i/>
          <w:spacing w:val="-8"/>
          <w:w w:val="105"/>
          <w:sz w:val="21"/>
        </w:rPr>
        <w:t>2016 </w:t>
      </w:r>
      <w:r>
        <w:rPr>
          <w:w w:val="105"/>
          <w:sz w:val="21"/>
        </w:rPr>
        <w:t>(Qld) </w:t>
      </w:r>
      <w:r>
        <w:rPr>
          <w:spacing w:val="-3"/>
          <w:w w:val="105"/>
          <w:sz w:val="21"/>
        </w:rPr>
        <w:t>commencing </w:t>
      </w:r>
      <w:r>
        <w:rPr>
          <w:w w:val="105"/>
          <w:sz w:val="21"/>
        </w:rPr>
        <w:t>in </w:t>
      </w:r>
      <w:r>
        <w:rPr>
          <w:spacing w:val="-12"/>
          <w:w w:val="105"/>
          <w:sz w:val="21"/>
        </w:rPr>
        <w:t>2017. </w:t>
      </w:r>
      <w:r>
        <w:rPr>
          <w:w w:val="105"/>
          <w:sz w:val="21"/>
        </w:rPr>
        <w:t>It establishes state </w:t>
      </w:r>
      <w:r>
        <w:rPr>
          <w:spacing w:val="-3"/>
          <w:w w:val="105"/>
          <w:sz w:val="21"/>
        </w:rPr>
        <w:t>planning </w:t>
      </w:r>
      <w:r>
        <w:rPr>
          <w:w w:val="105"/>
          <w:sz w:val="21"/>
        </w:rPr>
        <w:t>policies </w:t>
      </w:r>
      <w:r>
        <w:rPr>
          <w:spacing w:val="-3"/>
          <w:w w:val="105"/>
          <w:sz w:val="21"/>
        </w:rPr>
        <w:t>to </w:t>
      </w:r>
      <w:r>
        <w:rPr>
          <w:w w:val="105"/>
          <w:sz w:val="21"/>
        </w:rPr>
        <w:t>identify issues of statewide importance.</w:t>
      </w:r>
      <w:r>
        <w:rPr>
          <w:w w:val="105"/>
          <w:position w:val="7"/>
          <w:sz w:val="12"/>
        </w:rPr>
        <w:t>261 </w:t>
      </w:r>
      <w:r>
        <w:rPr>
          <w:w w:val="105"/>
          <w:sz w:val="21"/>
        </w:rPr>
        <w:t>One of the broad policy themes is </w:t>
      </w:r>
      <w:r>
        <w:rPr>
          <w:spacing w:val="-3"/>
          <w:w w:val="105"/>
          <w:sz w:val="21"/>
        </w:rPr>
        <w:t>environment </w:t>
      </w:r>
      <w:r>
        <w:rPr>
          <w:w w:val="105"/>
          <w:sz w:val="21"/>
        </w:rPr>
        <w:t>and </w:t>
      </w:r>
      <w:r>
        <w:rPr>
          <w:spacing w:val="-3"/>
          <w:w w:val="105"/>
          <w:sz w:val="21"/>
        </w:rPr>
        <w:t>heritage, including </w:t>
      </w:r>
      <w:r>
        <w:rPr>
          <w:w w:val="105"/>
          <w:sz w:val="21"/>
        </w:rPr>
        <w:t>the conservation of biodiversity and </w:t>
      </w:r>
      <w:r>
        <w:rPr>
          <w:spacing w:val="-3"/>
          <w:w w:val="105"/>
          <w:sz w:val="21"/>
        </w:rPr>
        <w:t>cultural</w:t>
      </w:r>
      <w:r>
        <w:rPr>
          <w:spacing w:val="18"/>
          <w:w w:val="105"/>
          <w:sz w:val="21"/>
        </w:rPr>
        <w:t> </w:t>
      </w:r>
      <w:r>
        <w:rPr>
          <w:w w:val="105"/>
          <w:sz w:val="21"/>
        </w:rPr>
        <w:t>heritage.</w:t>
      </w:r>
      <w:r>
        <w:rPr>
          <w:w w:val="105"/>
          <w:position w:val="7"/>
          <w:sz w:val="12"/>
        </w:rPr>
        <w:t>262</w:t>
      </w:r>
    </w:p>
    <w:p>
      <w:pPr>
        <w:pStyle w:val="ListParagraph"/>
        <w:numPr>
          <w:ilvl w:val="0"/>
          <w:numId w:val="173"/>
        </w:numPr>
        <w:tabs>
          <w:tab w:pos="2380" w:val="left" w:leader="none"/>
          <w:tab w:pos="2381" w:val="left" w:leader="none"/>
        </w:tabs>
        <w:spacing w:line="242" w:lineRule="auto" w:before="125" w:after="0"/>
        <w:ind w:left="2380" w:right="1666" w:hanging="793"/>
        <w:jc w:val="left"/>
        <w:rPr>
          <w:sz w:val="12"/>
        </w:rPr>
      </w:pPr>
      <w:r>
        <w:rPr>
          <w:w w:val="105"/>
          <w:sz w:val="21"/>
        </w:rPr>
        <w:t>Local </w:t>
      </w:r>
      <w:r>
        <w:rPr>
          <w:spacing w:val="-3"/>
          <w:w w:val="105"/>
          <w:sz w:val="21"/>
        </w:rPr>
        <w:t>planning </w:t>
      </w:r>
      <w:r>
        <w:rPr>
          <w:w w:val="105"/>
          <w:sz w:val="21"/>
        </w:rPr>
        <w:t>instruments </w:t>
      </w:r>
      <w:r>
        <w:rPr>
          <w:spacing w:val="-3"/>
          <w:w w:val="105"/>
          <w:sz w:val="21"/>
        </w:rPr>
        <w:t>are </w:t>
      </w:r>
      <w:r>
        <w:rPr>
          <w:w w:val="105"/>
          <w:sz w:val="21"/>
        </w:rPr>
        <w:t>made by local governments in </w:t>
      </w:r>
      <w:r>
        <w:rPr>
          <w:spacing w:val="-3"/>
          <w:w w:val="105"/>
          <w:sz w:val="21"/>
        </w:rPr>
        <w:t>consultation </w:t>
      </w:r>
      <w:r>
        <w:rPr>
          <w:w w:val="105"/>
          <w:sz w:val="21"/>
        </w:rPr>
        <w:t>with the </w:t>
      </w:r>
      <w:r>
        <w:rPr>
          <w:spacing w:val="-4"/>
          <w:w w:val="105"/>
          <w:sz w:val="21"/>
        </w:rPr>
        <w:t>community.</w:t>
      </w:r>
      <w:r>
        <w:rPr>
          <w:spacing w:val="-6"/>
          <w:w w:val="105"/>
          <w:sz w:val="21"/>
        </w:rPr>
        <w:t> </w:t>
      </w:r>
      <w:r>
        <w:rPr>
          <w:w w:val="105"/>
          <w:sz w:val="21"/>
        </w:rPr>
        <w:t>They</w:t>
      </w:r>
      <w:r>
        <w:rPr>
          <w:spacing w:val="-6"/>
          <w:w w:val="105"/>
          <w:sz w:val="21"/>
        </w:rPr>
        <w:t> </w:t>
      </w:r>
      <w:r>
        <w:rPr>
          <w:spacing w:val="-3"/>
          <w:w w:val="105"/>
          <w:sz w:val="21"/>
        </w:rPr>
        <w:t>consider</w:t>
      </w:r>
      <w:r>
        <w:rPr>
          <w:spacing w:val="-6"/>
          <w:w w:val="105"/>
          <w:sz w:val="21"/>
        </w:rPr>
        <w:t> </w:t>
      </w:r>
      <w:r>
        <w:rPr>
          <w:w w:val="105"/>
          <w:sz w:val="21"/>
        </w:rPr>
        <w:t>local</w:t>
      </w:r>
      <w:r>
        <w:rPr>
          <w:spacing w:val="-5"/>
          <w:w w:val="105"/>
          <w:sz w:val="21"/>
        </w:rPr>
        <w:t> </w:t>
      </w:r>
      <w:r>
        <w:rPr>
          <w:w w:val="105"/>
          <w:sz w:val="21"/>
        </w:rPr>
        <w:t>growth</w:t>
      </w:r>
      <w:r>
        <w:rPr>
          <w:spacing w:val="-6"/>
          <w:w w:val="105"/>
          <w:sz w:val="21"/>
        </w:rPr>
        <w:t> </w:t>
      </w:r>
      <w:r>
        <w:rPr>
          <w:w w:val="105"/>
          <w:sz w:val="21"/>
        </w:rPr>
        <w:t>and</w:t>
      </w:r>
      <w:r>
        <w:rPr>
          <w:spacing w:val="-6"/>
          <w:w w:val="105"/>
          <w:sz w:val="21"/>
        </w:rPr>
        <w:t> </w:t>
      </w:r>
      <w:r>
        <w:rPr>
          <w:w w:val="105"/>
          <w:sz w:val="21"/>
        </w:rPr>
        <w:t>development</w:t>
      </w:r>
      <w:r>
        <w:rPr>
          <w:spacing w:val="-5"/>
          <w:w w:val="105"/>
          <w:sz w:val="21"/>
        </w:rPr>
        <w:t> </w:t>
      </w:r>
      <w:r>
        <w:rPr>
          <w:w w:val="105"/>
          <w:sz w:val="21"/>
        </w:rPr>
        <w:t>and</w:t>
      </w:r>
      <w:r>
        <w:rPr>
          <w:spacing w:val="-6"/>
          <w:w w:val="105"/>
          <w:sz w:val="21"/>
        </w:rPr>
        <w:t> </w:t>
      </w:r>
      <w:r>
        <w:rPr>
          <w:spacing w:val="-3"/>
          <w:w w:val="105"/>
          <w:sz w:val="21"/>
        </w:rPr>
        <w:t>take</w:t>
      </w:r>
      <w:r>
        <w:rPr>
          <w:spacing w:val="-6"/>
          <w:w w:val="105"/>
          <w:sz w:val="21"/>
        </w:rPr>
        <w:t> </w:t>
      </w:r>
      <w:r>
        <w:rPr>
          <w:spacing w:val="-4"/>
          <w:w w:val="105"/>
          <w:sz w:val="21"/>
        </w:rPr>
        <w:t>into</w:t>
      </w:r>
      <w:r>
        <w:rPr>
          <w:spacing w:val="-6"/>
          <w:w w:val="105"/>
          <w:sz w:val="21"/>
        </w:rPr>
        <w:t> </w:t>
      </w:r>
      <w:r>
        <w:rPr>
          <w:spacing w:val="-3"/>
          <w:w w:val="105"/>
          <w:sz w:val="21"/>
        </w:rPr>
        <w:t>account</w:t>
      </w:r>
      <w:r>
        <w:rPr>
          <w:spacing w:val="-5"/>
          <w:w w:val="105"/>
          <w:sz w:val="21"/>
        </w:rPr>
        <w:t> </w:t>
      </w:r>
      <w:r>
        <w:rPr>
          <w:w w:val="105"/>
          <w:sz w:val="21"/>
        </w:rPr>
        <w:t>the</w:t>
      </w:r>
      <w:r>
        <w:rPr>
          <w:spacing w:val="-6"/>
          <w:w w:val="105"/>
          <w:sz w:val="21"/>
        </w:rPr>
        <w:t> </w:t>
      </w:r>
      <w:r>
        <w:rPr>
          <w:w w:val="105"/>
          <w:sz w:val="21"/>
        </w:rPr>
        <w:t>state </w:t>
      </w:r>
      <w:r>
        <w:rPr>
          <w:spacing w:val="-3"/>
          <w:w w:val="105"/>
          <w:sz w:val="21"/>
        </w:rPr>
        <w:t>planning </w:t>
      </w:r>
      <w:r>
        <w:rPr>
          <w:w w:val="105"/>
          <w:sz w:val="21"/>
        </w:rPr>
        <w:t>instruments. There </w:t>
      </w:r>
      <w:r>
        <w:rPr>
          <w:spacing w:val="-3"/>
          <w:w w:val="105"/>
          <w:sz w:val="21"/>
        </w:rPr>
        <w:t>are </w:t>
      </w:r>
      <w:r>
        <w:rPr>
          <w:w w:val="105"/>
          <w:sz w:val="21"/>
        </w:rPr>
        <w:t>three local </w:t>
      </w:r>
      <w:r>
        <w:rPr>
          <w:spacing w:val="-3"/>
          <w:w w:val="105"/>
          <w:sz w:val="21"/>
        </w:rPr>
        <w:t>planning </w:t>
      </w:r>
      <w:r>
        <w:rPr>
          <w:w w:val="105"/>
          <w:sz w:val="21"/>
        </w:rPr>
        <w:t>instruments: </w:t>
      </w:r>
      <w:r>
        <w:rPr>
          <w:spacing w:val="-3"/>
          <w:w w:val="105"/>
          <w:sz w:val="21"/>
        </w:rPr>
        <w:t>planning </w:t>
      </w:r>
      <w:r>
        <w:rPr>
          <w:w w:val="105"/>
          <w:sz w:val="21"/>
        </w:rPr>
        <w:t>schemes; temporary local </w:t>
      </w:r>
      <w:r>
        <w:rPr>
          <w:spacing w:val="-3"/>
          <w:w w:val="105"/>
          <w:sz w:val="21"/>
        </w:rPr>
        <w:t>planning </w:t>
      </w:r>
      <w:r>
        <w:rPr>
          <w:w w:val="105"/>
          <w:sz w:val="21"/>
        </w:rPr>
        <w:t>instruments and </w:t>
      </w:r>
      <w:r>
        <w:rPr>
          <w:spacing w:val="-3"/>
          <w:w w:val="105"/>
          <w:sz w:val="21"/>
        </w:rPr>
        <w:t>planning </w:t>
      </w:r>
      <w:r>
        <w:rPr>
          <w:w w:val="105"/>
          <w:sz w:val="21"/>
        </w:rPr>
        <w:t>scheme policies.</w:t>
      </w:r>
      <w:r>
        <w:rPr>
          <w:w w:val="105"/>
          <w:position w:val="7"/>
          <w:sz w:val="12"/>
        </w:rPr>
        <w:t>263 </w:t>
      </w:r>
      <w:r>
        <w:rPr>
          <w:w w:val="105"/>
          <w:sz w:val="21"/>
        </w:rPr>
        <w:t>Local </w:t>
      </w:r>
      <w:r>
        <w:rPr>
          <w:spacing w:val="-3"/>
          <w:w w:val="105"/>
          <w:sz w:val="21"/>
        </w:rPr>
        <w:t>planning </w:t>
      </w:r>
      <w:r>
        <w:rPr>
          <w:w w:val="105"/>
          <w:sz w:val="21"/>
        </w:rPr>
        <w:t>schemes specify defined </w:t>
      </w:r>
      <w:r>
        <w:rPr>
          <w:spacing w:val="-3"/>
          <w:w w:val="105"/>
          <w:sz w:val="21"/>
        </w:rPr>
        <w:t>land </w:t>
      </w:r>
      <w:r>
        <w:rPr>
          <w:w w:val="105"/>
          <w:sz w:val="21"/>
        </w:rPr>
        <w:t>uses and assessment</w:t>
      </w:r>
      <w:r>
        <w:rPr>
          <w:spacing w:val="12"/>
          <w:w w:val="105"/>
          <w:sz w:val="21"/>
        </w:rPr>
        <w:t> </w:t>
      </w:r>
      <w:r>
        <w:rPr>
          <w:w w:val="105"/>
          <w:sz w:val="21"/>
        </w:rPr>
        <w:t>requirements.</w:t>
      </w:r>
      <w:r>
        <w:rPr>
          <w:w w:val="105"/>
          <w:position w:val="7"/>
          <w:sz w:val="12"/>
        </w:rPr>
        <w:t>264</w:t>
      </w:r>
    </w:p>
    <w:p>
      <w:pPr>
        <w:pStyle w:val="BodyText"/>
        <w:rPr>
          <w:sz w:val="20"/>
        </w:rPr>
      </w:pPr>
    </w:p>
    <w:p>
      <w:pPr>
        <w:pStyle w:val="BodyText"/>
        <w:rPr>
          <w:sz w:val="20"/>
        </w:rPr>
      </w:pPr>
    </w:p>
    <w:p>
      <w:pPr>
        <w:pStyle w:val="BodyText"/>
        <w:spacing w:before="4"/>
        <w:rPr>
          <w:sz w:val="25"/>
        </w:rPr>
      </w:pPr>
      <w:r>
        <w:rPr/>
        <w:pict>
          <v:line style="position:absolute;mso-position-horizontal-relative:page;mso-position-vertical-relative:paragraph;z-index:9944;mso-wrap-distance-left:0;mso-wrap-distance-right:0" from="79.370102pt,17.957903pt" to="515.905102pt,17.95790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77"/>
        </w:numPr>
        <w:tabs>
          <w:tab w:pos="2380" w:val="left" w:leader="none"/>
          <w:tab w:pos="2382" w:val="left" w:leader="none"/>
        </w:tabs>
        <w:spacing w:line="240" w:lineRule="auto" w:before="48" w:after="0"/>
        <w:ind w:left="2381" w:right="81" w:hanging="794"/>
        <w:jc w:val="left"/>
        <w:rPr>
          <w:sz w:val="13"/>
        </w:rPr>
      </w:pPr>
      <w:r>
        <w:rPr>
          <w:i/>
          <w:w w:val="105"/>
          <w:sz w:val="13"/>
        </w:rPr>
        <w:t>Trees (Disputes Between Neighbours) Act 2006 </w:t>
      </w:r>
      <w:r>
        <w:rPr>
          <w:spacing w:val="3"/>
          <w:w w:val="105"/>
          <w:sz w:val="13"/>
        </w:rPr>
        <w:t>(NSW) </w:t>
      </w:r>
      <w:r>
        <w:rPr>
          <w:w w:val="105"/>
          <w:sz w:val="13"/>
        </w:rPr>
        <w:t>s 12(b); see, eg, </w:t>
      </w:r>
      <w:r>
        <w:rPr>
          <w:i/>
          <w:w w:val="105"/>
          <w:sz w:val="13"/>
        </w:rPr>
        <w:t>Chapman v Harris [</w:t>
      </w:r>
      <w:r>
        <w:rPr>
          <w:w w:val="105"/>
          <w:sz w:val="13"/>
        </w:rPr>
        <w:t>2012]  NSWLEC  </w:t>
      </w:r>
      <w:r>
        <w:rPr>
          <w:spacing w:val="-4"/>
          <w:w w:val="105"/>
          <w:sz w:val="13"/>
        </w:rPr>
        <w:t>1183  </w:t>
      </w:r>
      <w:r>
        <w:rPr>
          <w:spacing w:val="-3"/>
          <w:w w:val="105"/>
          <w:sz w:val="13"/>
        </w:rPr>
        <w:t>[12]  </w:t>
      </w:r>
      <w:r>
        <w:rPr>
          <w:w w:val="105"/>
          <w:sz w:val="13"/>
        </w:rPr>
        <w:t>(a  council  had previously given consent to interfere with the </w:t>
      </w:r>
      <w:r>
        <w:rPr>
          <w:spacing w:val="2"/>
          <w:w w:val="105"/>
          <w:sz w:val="13"/>
        </w:rPr>
        <w:t>tree); </w:t>
      </w:r>
      <w:r>
        <w:rPr>
          <w:i/>
          <w:w w:val="105"/>
          <w:sz w:val="13"/>
        </w:rPr>
        <w:t>Todorovic v Mendham </w:t>
      </w:r>
      <w:r>
        <w:rPr>
          <w:w w:val="105"/>
          <w:sz w:val="13"/>
        </w:rPr>
        <w:t>[2019] NSWLEC 1088 [13], in which the Court would have       given ‘considerable weight to local government tree controls but the relevant council did not provide any submissions or appear at the tree dispute</w:t>
      </w:r>
      <w:r>
        <w:rPr>
          <w:spacing w:val="4"/>
          <w:w w:val="105"/>
          <w:sz w:val="13"/>
        </w:rPr>
        <w:t> </w:t>
      </w:r>
      <w:r>
        <w:rPr>
          <w:w w:val="105"/>
          <w:sz w:val="13"/>
        </w:rPr>
        <w:t>hearing’.</w:t>
      </w:r>
    </w:p>
    <w:p>
      <w:pPr>
        <w:pStyle w:val="ListParagraph"/>
        <w:numPr>
          <w:ilvl w:val="0"/>
          <w:numId w:val="177"/>
        </w:numPr>
        <w:tabs>
          <w:tab w:pos="2380" w:val="left" w:leader="none"/>
          <w:tab w:pos="2382" w:val="left" w:leader="none"/>
        </w:tabs>
        <w:spacing w:line="240" w:lineRule="auto" w:before="5" w:after="0"/>
        <w:ind w:left="2381" w:right="190" w:hanging="794"/>
        <w:jc w:val="left"/>
        <w:rPr>
          <w:sz w:val="13"/>
        </w:rPr>
      </w:pPr>
      <w:r>
        <w:rPr>
          <w:i/>
          <w:w w:val="105"/>
          <w:sz w:val="13"/>
        </w:rPr>
        <w:t>Trees (Disputes Between Neighbours) Act 2006 </w:t>
      </w:r>
      <w:r>
        <w:rPr>
          <w:spacing w:val="3"/>
          <w:w w:val="105"/>
          <w:sz w:val="13"/>
        </w:rPr>
        <w:t>(NSW) </w:t>
      </w:r>
      <w:r>
        <w:rPr>
          <w:w w:val="105"/>
          <w:sz w:val="13"/>
        </w:rPr>
        <w:t>s </w:t>
      </w:r>
      <w:r>
        <w:rPr>
          <w:spacing w:val="-3"/>
          <w:w w:val="105"/>
          <w:sz w:val="13"/>
        </w:rPr>
        <w:t>13.  </w:t>
      </w:r>
      <w:r>
        <w:rPr>
          <w:w w:val="105"/>
          <w:sz w:val="13"/>
        </w:rPr>
        <w:t>Applicants are requirement to inform the Court in the application form</w:t>
      </w:r>
      <w:r>
        <w:rPr>
          <w:spacing w:val="30"/>
          <w:w w:val="105"/>
          <w:sz w:val="13"/>
        </w:rPr>
        <w:t> </w:t>
      </w:r>
      <w:r>
        <w:rPr>
          <w:w w:val="105"/>
          <w:sz w:val="13"/>
        </w:rPr>
        <w:t>whether a tree preservation order applies to the tree subject to the dispute, or whether the tree is of heritage value. The Court also requires the applicant to notify any relevant authority that would be entitled to appear in proceedings in relation to the tree by providing the relevant authority with a copy of the application form and any order sought at least 21 days prior to the first hearing: </w:t>
      </w:r>
      <w:r>
        <w:rPr>
          <w:i/>
          <w:w w:val="105"/>
          <w:sz w:val="13"/>
        </w:rPr>
        <w:t>Trees (Disputes </w:t>
      </w:r>
      <w:r>
        <w:rPr>
          <w:i/>
          <w:w w:val="105"/>
          <w:sz w:val="13"/>
        </w:rPr>
        <w:t>Between Neighbours) Act 2006 </w:t>
      </w:r>
      <w:r>
        <w:rPr>
          <w:spacing w:val="3"/>
          <w:w w:val="105"/>
          <w:sz w:val="13"/>
        </w:rPr>
        <w:t>(NSW) </w:t>
      </w:r>
      <w:r>
        <w:rPr>
          <w:w w:val="105"/>
          <w:sz w:val="13"/>
        </w:rPr>
        <w:t>s</w:t>
      </w:r>
      <w:r>
        <w:rPr>
          <w:spacing w:val="26"/>
          <w:w w:val="105"/>
          <w:sz w:val="13"/>
        </w:rPr>
        <w:t> </w:t>
      </w:r>
      <w:r>
        <w:rPr>
          <w:w w:val="105"/>
          <w:sz w:val="13"/>
        </w:rPr>
        <w:t>8.</w:t>
      </w:r>
    </w:p>
    <w:p>
      <w:pPr>
        <w:pStyle w:val="ListParagraph"/>
        <w:numPr>
          <w:ilvl w:val="0"/>
          <w:numId w:val="177"/>
        </w:numPr>
        <w:tabs>
          <w:tab w:pos="2381" w:val="left" w:leader="none"/>
          <w:tab w:pos="2382" w:val="left" w:leader="none"/>
        </w:tabs>
        <w:spacing w:line="240" w:lineRule="auto" w:before="7" w:after="0"/>
        <w:ind w:left="2381" w:right="0" w:hanging="794"/>
        <w:jc w:val="left"/>
        <w:rPr>
          <w:sz w:val="13"/>
        </w:rPr>
      </w:pPr>
      <w:r>
        <w:rPr>
          <w:sz w:val="13"/>
        </w:rPr>
        <w:t>See,</w:t>
      </w:r>
      <w:r>
        <w:rPr>
          <w:spacing w:val="18"/>
          <w:sz w:val="13"/>
        </w:rPr>
        <w:t> </w:t>
      </w:r>
      <w:r>
        <w:rPr>
          <w:sz w:val="13"/>
        </w:rPr>
        <w:t>eg,</w:t>
      </w:r>
      <w:r>
        <w:rPr>
          <w:spacing w:val="19"/>
          <w:sz w:val="13"/>
        </w:rPr>
        <w:t> </w:t>
      </w:r>
      <w:r>
        <w:rPr>
          <w:i/>
          <w:sz w:val="13"/>
        </w:rPr>
        <w:t>Haindl</w:t>
      </w:r>
      <w:r>
        <w:rPr>
          <w:i/>
          <w:spacing w:val="19"/>
          <w:sz w:val="13"/>
        </w:rPr>
        <w:t> </w:t>
      </w:r>
      <w:r>
        <w:rPr>
          <w:i/>
          <w:sz w:val="13"/>
        </w:rPr>
        <w:t>v</w:t>
      </w:r>
      <w:r>
        <w:rPr>
          <w:i/>
          <w:spacing w:val="18"/>
          <w:sz w:val="13"/>
        </w:rPr>
        <w:t> </w:t>
      </w:r>
      <w:r>
        <w:rPr>
          <w:i/>
          <w:sz w:val="13"/>
        </w:rPr>
        <w:t>Daisch</w:t>
      </w:r>
      <w:r>
        <w:rPr>
          <w:i/>
          <w:spacing w:val="19"/>
          <w:sz w:val="13"/>
        </w:rPr>
        <w:t> </w:t>
      </w:r>
      <w:r>
        <w:rPr>
          <w:spacing w:val="-3"/>
          <w:sz w:val="13"/>
        </w:rPr>
        <w:t>[2011]</w:t>
      </w:r>
      <w:r>
        <w:rPr>
          <w:spacing w:val="19"/>
          <w:sz w:val="13"/>
        </w:rPr>
        <w:t> </w:t>
      </w:r>
      <w:r>
        <w:rPr>
          <w:sz w:val="13"/>
        </w:rPr>
        <w:t>NSWLEC</w:t>
      </w:r>
      <w:r>
        <w:rPr>
          <w:spacing w:val="18"/>
          <w:sz w:val="13"/>
        </w:rPr>
        <w:t> </w:t>
      </w:r>
      <w:r>
        <w:rPr>
          <w:spacing w:val="-3"/>
          <w:sz w:val="13"/>
        </w:rPr>
        <w:t>1145;</w:t>
      </w:r>
      <w:r>
        <w:rPr>
          <w:spacing w:val="19"/>
          <w:sz w:val="13"/>
        </w:rPr>
        <w:t> </w:t>
      </w:r>
      <w:r>
        <w:rPr>
          <w:sz w:val="13"/>
        </w:rPr>
        <w:t>see</w:t>
      </w:r>
      <w:r>
        <w:rPr>
          <w:spacing w:val="19"/>
          <w:sz w:val="13"/>
        </w:rPr>
        <w:t> </w:t>
      </w:r>
      <w:r>
        <w:rPr>
          <w:sz w:val="13"/>
        </w:rPr>
        <w:t>also</w:t>
      </w:r>
      <w:r>
        <w:rPr>
          <w:spacing w:val="19"/>
          <w:sz w:val="13"/>
        </w:rPr>
        <w:t> </w:t>
      </w:r>
      <w:r>
        <w:rPr>
          <w:sz w:val="13"/>
        </w:rPr>
        <w:t>Andrew</w:t>
      </w:r>
      <w:r>
        <w:rPr>
          <w:spacing w:val="18"/>
          <w:sz w:val="13"/>
        </w:rPr>
        <w:t> </w:t>
      </w:r>
      <w:r>
        <w:rPr>
          <w:sz w:val="13"/>
        </w:rPr>
        <w:t>H</w:t>
      </w:r>
      <w:r>
        <w:rPr>
          <w:spacing w:val="19"/>
          <w:sz w:val="13"/>
        </w:rPr>
        <w:t> </w:t>
      </w:r>
      <w:r>
        <w:rPr>
          <w:sz w:val="13"/>
        </w:rPr>
        <w:t>Kelly</w:t>
      </w:r>
      <w:r>
        <w:rPr>
          <w:spacing w:val="19"/>
          <w:sz w:val="13"/>
        </w:rPr>
        <w:t> </w:t>
      </w:r>
      <w:r>
        <w:rPr>
          <w:sz w:val="13"/>
        </w:rPr>
        <w:t>(2013)</w:t>
      </w:r>
      <w:r>
        <w:rPr>
          <w:spacing w:val="18"/>
          <w:sz w:val="13"/>
        </w:rPr>
        <w:t> </w:t>
      </w:r>
      <w:r>
        <w:rPr>
          <w:sz w:val="13"/>
        </w:rPr>
        <w:t>‘Tree</w:t>
      </w:r>
      <w:r>
        <w:rPr>
          <w:spacing w:val="19"/>
          <w:sz w:val="13"/>
        </w:rPr>
        <w:t> </w:t>
      </w:r>
      <w:r>
        <w:rPr>
          <w:sz w:val="13"/>
        </w:rPr>
        <w:t>Preservation</w:t>
      </w:r>
      <w:r>
        <w:rPr>
          <w:spacing w:val="19"/>
          <w:sz w:val="13"/>
        </w:rPr>
        <w:t> </w:t>
      </w:r>
      <w:r>
        <w:rPr>
          <w:sz w:val="13"/>
        </w:rPr>
        <w:t>Orders:</w:t>
      </w:r>
      <w:r>
        <w:rPr>
          <w:spacing w:val="18"/>
          <w:sz w:val="13"/>
        </w:rPr>
        <w:t> </w:t>
      </w:r>
      <w:r>
        <w:rPr>
          <w:sz w:val="13"/>
        </w:rPr>
        <w:t>A</w:t>
      </w:r>
      <w:r>
        <w:rPr>
          <w:spacing w:val="19"/>
          <w:sz w:val="13"/>
        </w:rPr>
        <w:t> </w:t>
      </w:r>
      <w:r>
        <w:rPr>
          <w:sz w:val="13"/>
        </w:rPr>
        <w:t>New</w:t>
      </w:r>
      <w:r>
        <w:rPr>
          <w:spacing w:val="19"/>
          <w:sz w:val="13"/>
        </w:rPr>
        <w:t> </w:t>
      </w:r>
      <w:r>
        <w:rPr>
          <w:sz w:val="13"/>
        </w:rPr>
        <w:t>Vision?’</w:t>
      </w:r>
      <w:r>
        <w:rPr>
          <w:spacing w:val="18"/>
          <w:sz w:val="13"/>
        </w:rPr>
        <w:t> </w:t>
      </w:r>
      <w:r>
        <w:rPr>
          <w:sz w:val="13"/>
        </w:rPr>
        <w:t>in</w:t>
      </w:r>
      <w:r>
        <w:rPr>
          <w:spacing w:val="19"/>
          <w:sz w:val="13"/>
        </w:rPr>
        <w:t> </w:t>
      </w:r>
      <w:r>
        <w:rPr>
          <w:sz w:val="13"/>
        </w:rPr>
        <w:t>S</w:t>
      </w:r>
      <w:r>
        <w:rPr>
          <w:spacing w:val="19"/>
          <w:sz w:val="13"/>
        </w:rPr>
        <w:t> </w:t>
      </w:r>
      <w:r>
        <w:rPr>
          <w:sz w:val="13"/>
        </w:rPr>
        <w:t>Kajewski,</w:t>
      </w:r>
    </w:p>
    <w:p>
      <w:pPr>
        <w:spacing w:before="1"/>
        <w:ind w:left="2381" w:right="0" w:firstLine="0"/>
        <w:jc w:val="left"/>
        <w:rPr>
          <w:sz w:val="13"/>
        </w:rPr>
      </w:pPr>
      <w:r>
        <w:rPr>
          <w:w w:val="105"/>
          <w:sz w:val="13"/>
        </w:rPr>
        <w:t>K Manley and K Hampson (eds), </w:t>
      </w:r>
      <w:r>
        <w:rPr>
          <w:i/>
          <w:w w:val="105"/>
          <w:sz w:val="13"/>
        </w:rPr>
        <w:t>Proceedings of the 19th CIB World Building Congress: Construction and Society </w:t>
      </w:r>
      <w:r>
        <w:rPr>
          <w:w w:val="105"/>
          <w:sz w:val="13"/>
        </w:rPr>
        <w:t>(Queensland University of Technology, 2013).</w:t>
      </w:r>
    </w:p>
    <w:p>
      <w:pPr>
        <w:pStyle w:val="ListParagraph"/>
        <w:numPr>
          <w:ilvl w:val="0"/>
          <w:numId w:val="177"/>
        </w:numPr>
        <w:tabs>
          <w:tab w:pos="2381" w:val="left" w:leader="none"/>
          <w:tab w:pos="2382" w:val="left" w:leader="none"/>
        </w:tabs>
        <w:spacing w:line="240" w:lineRule="auto" w:before="3" w:after="0"/>
        <w:ind w:left="2381" w:right="0" w:hanging="794"/>
        <w:jc w:val="left"/>
        <w:rPr>
          <w:sz w:val="13"/>
        </w:rPr>
      </w:pPr>
      <w:r>
        <w:rPr>
          <w:i/>
          <w:w w:val="105"/>
          <w:sz w:val="13"/>
        </w:rPr>
        <w:t>State Environmental Planning Policy (Vegetation in Non-Rural Areas) </w:t>
      </w:r>
      <w:r>
        <w:rPr>
          <w:i/>
          <w:spacing w:val="-4"/>
          <w:w w:val="105"/>
          <w:sz w:val="13"/>
        </w:rPr>
        <w:t>2017 </w:t>
      </w:r>
      <w:r>
        <w:rPr>
          <w:w w:val="105"/>
          <w:sz w:val="13"/>
        </w:rPr>
        <w:t>‘Vegetation SEPP’. The Commission notes that clause </w:t>
      </w:r>
      <w:r>
        <w:rPr>
          <w:spacing w:val="4"/>
          <w:w w:val="105"/>
          <w:sz w:val="13"/>
        </w:rPr>
        <w:t>8(3) </w:t>
      </w:r>
      <w:r>
        <w:rPr>
          <w:w w:val="105"/>
          <w:sz w:val="13"/>
        </w:rPr>
        <w:t>of the Vegetation SEPP provides that an authority is not required under this policy for the removal of vegetation that the council is satisfied is a risk to human life or property. The Commission notes that the legislative mechanisms used to protect vegetation on private land in New South Wales have recently changed and the implications of these changes for tree dispute hearings in the NSWLEC are not fully apparent at the    time of writing this</w:t>
      </w:r>
      <w:r>
        <w:rPr>
          <w:spacing w:val="18"/>
          <w:w w:val="105"/>
          <w:sz w:val="13"/>
        </w:rPr>
        <w:t> </w:t>
      </w:r>
      <w:r>
        <w:rPr>
          <w:w w:val="105"/>
          <w:sz w:val="13"/>
        </w:rPr>
        <w:t>report.</w:t>
      </w:r>
    </w:p>
    <w:p>
      <w:pPr>
        <w:pStyle w:val="ListParagraph"/>
        <w:numPr>
          <w:ilvl w:val="0"/>
          <w:numId w:val="177"/>
        </w:numPr>
        <w:tabs>
          <w:tab w:pos="2381" w:val="left" w:leader="none"/>
          <w:tab w:pos="2382" w:val="left" w:leader="none"/>
        </w:tabs>
        <w:spacing w:line="240" w:lineRule="auto" w:before="7" w:after="0"/>
        <w:ind w:left="2381" w:right="96" w:hanging="794"/>
        <w:jc w:val="left"/>
        <w:rPr>
          <w:sz w:val="13"/>
        </w:rPr>
      </w:pPr>
      <w:r>
        <w:rPr>
          <w:i/>
          <w:w w:val="105"/>
          <w:sz w:val="13"/>
        </w:rPr>
        <w:t>Trees (Disputes Between Neighbours) Act 2006 </w:t>
      </w:r>
      <w:r>
        <w:rPr>
          <w:spacing w:val="3"/>
          <w:w w:val="105"/>
          <w:sz w:val="13"/>
        </w:rPr>
        <w:t>(NSW) </w:t>
      </w:r>
      <w:r>
        <w:rPr>
          <w:w w:val="105"/>
          <w:sz w:val="13"/>
        </w:rPr>
        <w:t>s </w:t>
      </w:r>
      <w:r>
        <w:rPr>
          <w:spacing w:val="4"/>
          <w:w w:val="105"/>
          <w:sz w:val="13"/>
        </w:rPr>
        <w:t>6(3); </w:t>
      </w:r>
      <w:r>
        <w:rPr>
          <w:w w:val="105"/>
          <w:sz w:val="13"/>
        </w:rPr>
        <w:t>see also Land and Environment of Court New South Wales, </w:t>
      </w:r>
      <w:r>
        <w:rPr>
          <w:i/>
          <w:w w:val="105"/>
          <w:sz w:val="13"/>
        </w:rPr>
        <w:t>Annotated Trees</w:t>
      </w:r>
      <w:r>
        <w:rPr>
          <w:i/>
          <w:spacing w:val="30"/>
          <w:w w:val="105"/>
          <w:sz w:val="13"/>
        </w:rPr>
        <w:t> </w:t>
      </w:r>
      <w:r>
        <w:rPr>
          <w:i/>
          <w:w w:val="105"/>
          <w:sz w:val="13"/>
        </w:rPr>
        <w:t>Act</w:t>
      </w:r>
      <w:r>
        <w:rPr>
          <w:i/>
          <w:spacing w:val="5"/>
          <w:w w:val="105"/>
          <w:sz w:val="13"/>
        </w:rPr>
        <w:t> </w:t>
      </w:r>
      <w:r>
        <w:rPr>
          <w:i/>
          <w:w w:val="105"/>
          <w:sz w:val="13"/>
        </w:rPr>
        <w:t>January</w:t>
      </w:r>
      <w:r>
        <w:rPr>
          <w:i/>
          <w:spacing w:val="5"/>
          <w:w w:val="105"/>
          <w:sz w:val="13"/>
        </w:rPr>
        <w:t> </w:t>
      </w:r>
      <w:r>
        <w:rPr>
          <w:i/>
          <w:spacing w:val="-3"/>
          <w:w w:val="105"/>
          <w:sz w:val="13"/>
        </w:rPr>
        <w:t>2013</w:t>
      </w:r>
      <w:r>
        <w:rPr>
          <w:i/>
          <w:spacing w:val="5"/>
          <w:w w:val="105"/>
          <w:sz w:val="13"/>
        </w:rPr>
        <w:t> </w:t>
      </w:r>
      <w:r>
        <w:rPr>
          <w:w w:val="105"/>
          <w:sz w:val="13"/>
        </w:rPr>
        <w:t>(1</w:t>
      </w:r>
      <w:r>
        <w:rPr>
          <w:spacing w:val="5"/>
          <w:w w:val="105"/>
          <w:sz w:val="13"/>
        </w:rPr>
        <w:t> </w:t>
      </w:r>
      <w:r>
        <w:rPr>
          <w:w w:val="105"/>
          <w:sz w:val="13"/>
        </w:rPr>
        <w:t>September</w:t>
      </w:r>
      <w:r>
        <w:rPr>
          <w:spacing w:val="6"/>
          <w:w w:val="105"/>
          <w:sz w:val="13"/>
        </w:rPr>
        <w:t> </w:t>
      </w:r>
      <w:r>
        <w:rPr>
          <w:w w:val="105"/>
          <w:sz w:val="13"/>
        </w:rPr>
        <w:t>2016)</w:t>
      </w:r>
      <w:r>
        <w:rPr>
          <w:spacing w:val="5"/>
          <w:w w:val="105"/>
          <w:sz w:val="13"/>
        </w:rPr>
        <w:t> </w:t>
      </w:r>
      <w:r>
        <w:rPr>
          <w:spacing w:val="2"/>
          <w:w w:val="105"/>
          <w:sz w:val="13"/>
        </w:rPr>
        <w:t>6;</w:t>
      </w:r>
      <w:r>
        <w:rPr>
          <w:spacing w:val="5"/>
          <w:w w:val="105"/>
          <w:sz w:val="13"/>
        </w:rPr>
        <w:t> </w:t>
      </w:r>
      <w:r>
        <w:rPr>
          <w:w w:val="105"/>
          <w:sz w:val="13"/>
        </w:rPr>
        <w:t>see</w:t>
      </w:r>
      <w:r>
        <w:rPr>
          <w:spacing w:val="5"/>
          <w:w w:val="105"/>
          <w:sz w:val="13"/>
        </w:rPr>
        <w:t> </w:t>
      </w:r>
      <w:r>
        <w:rPr>
          <w:w w:val="105"/>
          <w:sz w:val="13"/>
        </w:rPr>
        <w:t>further</w:t>
      </w:r>
      <w:r>
        <w:rPr>
          <w:spacing w:val="5"/>
          <w:w w:val="105"/>
          <w:sz w:val="13"/>
        </w:rPr>
        <w:t> </w:t>
      </w:r>
      <w:r>
        <w:rPr>
          <w:i/>
          <w:w w:val="105"/>
          <w:sz w:val="13"/>
        </w:rPr>
        <w:t>Ghazal</w:t>
      </w:r>
      <w:r>
        <w:rPr>
          <w:i/>
          <w:spacing w:val="6"/>
          <w:w w:val="105"/>
          <w:sz w:val="13"/>
        </w:rPr>
        <w:t> </w:t>
      </w:r>
      <w:r>
        <w:rPr>
          <w:i/>
          <w:w w:val="105"/>
          <w:sz w:val="13"/>
        </w:rPr>
        <w:t>v</w:t>
      </w:r>
      <w:r>
        <w:rPr>
          <w:i/>
          <w:spacing w:val="5"/>
          <w:w w:val="105"/>
          <w:sz w:val="13"/>
        </w:rPr>
        <w:t> </w:t>
      </w:r>
      <w:r>
        <w:rPr>
          <w:i/>
          <w:w w:val="105"/>
          <w:sz w:val="13"/>
        </w:rPr>
        <w:t>Vella</w:t>
      </w:r>
      <w:r>
        <w:rPr>
          <w:i/>
          <w:spacing w:val="5"/>
          <w:w w:val="105"/>
          <w:sz w:val="13"/>
        </w:rPr>
        <w:t> </w:t>
      </w:r>
      <w:r>
        <w:rPr>
          <w:i/>
          <w:spacing w:val="2"/>
          <w:w w:val="105"/>
          <w:sz w:val="13"/>
        </w:rPr>
        <w:t>(No.</w:t>
      </w:r>
      <w:r>
        <w:rPr>
          <w:i/>
          <w:spacing w:val="5"/>
          <w:w w:val="105"/>
          <w:sz w:val="13"/>
        </w:rPr>
        <w:t> </w:t>
      </w:r>
      <w:r>
        <w:rPr>
          <w:i/>
          <w:w w:val="105"/>
          <w:sz w:val="13"/>
        </w:rPr>
        <w:t>2)</w:t>
      </w:r>
      <w:r>
        <w:rPr>
          <w:i/>
          <w:spacing w:val="6"/>
          <w:w w:val="105"/>
          <w:sz w:val="13"/>
        </w:rPr>
        <w:t> </w:t>
      </w:r>
      <w:r>
        <w:rPr>
          <w:spacing w:val="-3"/>
          <w:w w:val="105"/>
          <w:sz w:val="13"/>
        </w:rPr>
        <w:t>[2011]</w:t>
      </w:r>
      <w:r>
        <w:rPr>
          <w:spacing w:val="5"/>
          <w:w w:val="105"/>
          <w:sz w:val="13"/>
        </w:rPr>
        <w:t> </w:t>
      </w:r>
      <w:r>
        <w:rPr>
          <w:w w:val="105"/>
          <w:sz w:val="13"/>
        </w:rPr>
        <w:t>NSWLEC</w:t>
      </w:r>
      <w:r>
        <w:rPr>
          <w:spacing w:val="5"/>
          <w:w w:val="105"/>
          <w:sz w:val="13"/>
        </w:rPr>
        <w:t> </w:t>
      </w:r>
      <w:r>
        <w:rPr>
          <w:w w:val="105"/>
          <w:sz w:val="13"/>
        </w:rPr>
        <w:t>1340.</w:t>
      </w:r>
    </w:p>
    <w:p>
      <w:pPr>
        <w:pStyle w:val="ListParagraph"/>
        <w:numPr>
          <w:ilvl w:val="0"/>
          <w:numId w:val="177"/>
        </w:numPr>
        <w:tabs>
          <w:tab w:pos="2381" w:val="left" w:leader="none"/>
          <w:tab w:pos="2382" w:val="left" w:leader="none"/>
        </w:tabs>
        <w:spacing w:line="240" w:lineRule="auto" w:before="2" w:after="0"/>
        <w:ind w:left="2381" w:right="435" w:hanging="794"/>
        <w:jc w:val="left"/>
        <w:rPr>
          <w:sz w:val="13"/>
        </w:rPr>
      </w:pPr>
      <w:r>
        <w:rPr>
          <w:w w:val="105"/>
          <w:sz w:val="13"/>
        </w:rPr>
        <w:t>See, eg, </w:t>
      </w:r>
      <w:r>
        <w:rPr>
          <w:i/>
          <w:w w:val="105"/>
          <w:sz w:val="13"/>
        </w:rPr>
        <w:t>Trees (Disputes Between Neighbours) Act 2006 </w:t>
      </w:r>
      <w:r>
        <w:rPr>
          <w:spacing w:val="3"/>
          <w:w w:val="105"/>
          <w:sz w:val="13"/>
        </w:rPr>
        <w:t>(NSW) </w:t>
      </w:r>
      <w:r>
        <w:rPr>
          <w:w w:val="105"/>
          <w:sz w:val="13"/>
        </w:rPr>
        <w:t>s 12(b); Consultation </w:t>
      </w:r>
      <w:r>
        <w:rPr>
          <w:spacing w:val="-6"/>
          <w:w w:val="105"/>
          <w:sz w:val="13"/>
        </w:rPr>
        <w:t>11 </w:t>
      </w:r>
      <w:r>
        <w:rPr>
          <w:spacing w:val="2"/>
          <w:w w:val="105"/>
          <w:sz w:val="13"/>
        </w:rPr>
        <w:t>(Land </w:t>
      </w:r>
      <w:r>
        <w:rPr>
          <w:w w:val="105"/>
          <w:sz w:val="13"/>
        </w:rPr>
        <w:t>and Environment Court of New South Wales).</w:t>
      </w:r>
    </w:p>
    <w:p>
      <w:pPr>
        <w:pStyle w:val="ListParagraph"/>
        <w:numPr>
          <w:ilvl w:val="0"/>
          <w:numId w:val="177"/>
        </w:numPr>
        <w:tabs>
          <w:tab w:pos="2381" w:val="left" w:leader="none"/>
          <w:tab w:pos="2382" w:val="left" w:leader="none"/>
        </w:tabs>
        <w:spacing w:line="240" w:lineRule="auto" w:before="3"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177"/>
        </w:numPr>
        <w:tabs>
          <w:tab w:pos="2381" w:val="left" w:leader="none"/>
          <w:tab w:pos="2382" w:val="left" w:leader="none"/>
        </w:tabs>
        <w:spacing w:line="240" w:lineRule="auto" w:before="1" w:after="0"/>
        <w:ind w:left="2381" w:right="0" w:hanging="794"/>
        <w:jc w:val="left"/>
        <w:rPr>
          <w:sz w:val="13"/>
        </w:rPr>
      </w:pPr>
      <w:r>
        <w:rPr>
          <w:i/>
          <w:sz w:val="13"/>
        </w:rPr>
        <w:t>Haindl</w:t>
      </w:r>
      <w:r>
        <w:rPr>
          <w:i/>
          <w:spacing w:val="8"/>
          <w:sz w:val="13"/>
        </w:rPr>
        <w:t> </w:t>
      </w:r>
      <w:r>
        <w:rPr>
          <w:i/>
          <w:sz w:val="13"/>
        </w:rPr>
        <w:t>v</w:t>
      </w:r>
      <w:r>
        <w:rPr>
          <w:i/>
          <w:spacing w:val="8"/>
          <w:sz w:val="13"/>
        </w:rPr>
        <w:t> </w:t>
      </w:r>
      <w:r>
        <w:rPr>
          <w:i/>
          <w:sz w:val="13"/>
        </w:rPr>
        <w:t>Daisch</w:t>
      </w:r>
      <w:r>
        <w:rPr>
          <w:i/>
          <w:spacing w:val="8"/>
          <w:sz w:val="13"/>
        </w:rPr>
        <w:t> </w:t>
      </w:r>
      <w:r>
        <w:rPr>
          <w:spacing w:val="-3"/>
          <w:sz w:val="13"/>
        </w:rPr>
        <w:t>[2011]</w:t>
      </w:r>
      <w:r>
        <w:rPr>
          <w:spacing w:val="8"/>
          <w:sz w:val="13"/>
        </w:rPr>
        <w:t> </w:t>
      </w:r>
      <w:r>
        <w:rPr>
          <w:sz w:val="13"/>
        </w:rPr>
        <w:t>NSWLEC</w:t>
      </w:r>
      <w:r>
        <w:rPr>
          <w:spacing w:val="8"/>
          <w:sz w:val="13"/>
        </w:rPr>
        <w:t> </w:t>
      </w:r>
      <w:r>
        <w:rPr>
          <w:spacing w:val="-3"/>
          <w:sz w:val="13"/>
        </w:rPr>
        <w:t>1145.</w:t>
      </w:r>
      <w:r>
        <w:rPr>
          <w:spacing w:val="8"/>
          <w:sz w:val="13"/>
        </w:rPr>
        <w:t> </w:t>
      </w:r>
      <w:r>
        <w:rPr>
          <w:sz w:val="13"/>
        </w:rPr>
        <w:t>Note</w:t>
      </w:r>
      <w:r>
        <w:rPr>
          <w:spacing w:val="8"/>
          <w:sz w:val="13"/>
        </w:rPr>
        <w:t> </w:t>
      </w:r>
      <w:r>
        <w:rPr>
          <w:sz w:val="13"/>
        </w:rPr>
        <w:t>that</w:t>
      </w:r>
      <w:r>
        <w:rPr>
          <w:spacing w:val="9"/>
          <w:sz w:val="13"/>
        </w:rPr>
        <w:t> </w:t>
      </w:r>
      <w:r>
        <w:rPr>
          <w:sz w:val="13"/>
        </w:rPr>
        <w:t>this</w:t>
      </w:r>
      <w:r>
        <w:rPr>
          <w:spacing w:val="8"/>
          <w:sz w:val="13"/>
        </w:rPr>
        <w:t> </w:t>
      </w:r>
      <w:r>
        <w:rPr>
          <w:sz w:val="13"/>
        </w:rPr>
        <w:t>is</w:t>
      </w:r>
      <w:r>
        <w:rPr>
          <w:spacing w:val="8"/>
          <w:sz w:val="13"/>
        </w:rPr>
        <w:t> </w:t>
      </w:r>
      <w:r>
        <w:rPr>
          <w:sz w:val="13"/>
        </w:rPr>
        <w:t>not</w:t>
      </w:r>
      <w:r>
        <w:rPr>
          <w:spacing w:val="8"/>
          <w:sz w:val="13"/>
        </w:rPr>
        <w:t> </w:t>
      </w:r>
      <w:r>
        <w:rPr>
          <w:sz w:val="13"/>
        </w:rPr>
        <w:t>determinative</w:t>
      </w:r>
      <w:r>
        <w:rPr>
          <w:spacing w:val="8"/>
          <w:sz w:val="13"/>
        </w:rPr>
        <w:t> </w:t>
      </w:r>
      <w:r>
        <w:rPr>
          <w:sz w:val="13"/>
        </w:rPr>
        <w:t>weight.</w:t>
      </w:r>
    </w:p>
    <w:p>
      <w:pPr>
        <w:pStyle w:val="ListParagraph"/>
        <w:numPr>
          <w:ilvl w:val="0"/>
          <w:numId w:val="177"/>
        </w:numPr>
        <w:tabs>
          <w:tab w:pos="2381" w:val="left" w:leader="none"/>
          <w:tab w:pos="2382" w:val="left" w:leader="none"/>
        </w:tabs>
        <w:spacing w:line="240" w:lineRule="auto" w:before="2" w:after="0"/>
        <w:ind w:left="2381" w:right="0" w:hanging="794"/>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State</w:t>
      </w:r>
      <w:r>
        <w:rPr>
          <w:spacing w:val="5"/>
          <w:w w:val="105"/>
          <w:sz w:val="13"/>
        </w:rPr>
        <w:t> </w:t>
      </w:r>
      <w:r>
        <w:rPr>
          <w:w w:val="105"/>
          <w:sz w:val="13"/>
        </w:rPr>
        <w:t>Development,</w:t>
      </w:r>
      <w:r>
        <w:rPr>
          <w:spacing w:val="5"/>
          <w:w w:val="105"/>
          <w:sz w:val="13"/>
        </w:rPr>
        <w:t> </w:t>
      </w:r>
      <w:r>
        <w:rPr>
          <w:w w:val="105"/>
          <w:sz w:val="13"/>
        </w:rPr>
        <w:t>Manufacturing,</w:t>
      </w:r>
      <w:r>
        <w:rPr>
          <w:spacing w:val="6"/>
          <w:w w:val="105"/>
          <w:sz w:val="13"/>
        </w:rPr>
        <w:t> </w:t>
      </w:r>
      <w:r>
        <w:rPr>
          <w:w w:val="105"/>
          <w:sz w:val="13"/>
        </w:rPr>
        <w:t>Infrastructure</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(Qld),</w:t>
      </w:r>
      <w:r>
        <w:rPr>
          <w:spacing w:val="5"/>
          <w:w w:val="105"/>
          <w:sz w:val="13"/>
        </w:rPr>
        <w:t> </w:t>
      </w:r>
      <w:r>
        <w:rPr>
          <w:i/>
          <w:w w:val="105"/>
          <w:sz w:val="13"/>
        </w:rPr>
        <w:t>State</w:t>
      </w:r>
      <w:r>
        <w:rPr>
          <w:i/>
          <w:spacing w:val="6"/>
          <w:w w:val="105"/>
          <w:sz w:val="13"/>
        </w:rPr>
        <w:t> </w:t>
      </w:r>
      <w:r>
        <w:rPr>
          <w:i/>
          <w:w w:val="105"/>
          <w:sz w:val="13"/>
        </w:rPr>
        <w:t>Planning</w:t>
      </w:r>
      <w:r>
        <w:rPr>
          <w:i/>
          <w:spacing w:val="5"/>
          <w:w w:val="105"/>
          <w:sz w:val="13"/>
        </w:rPr>
        <w:t> </w:t>
      </w:r>
      <w:r>
        <w:rPr>
          <w:i/>
          <w:w w:val="105"/>
          <w:sz w:val="13"/>
        </w:rPr>
        <w:t>Policy</w:t>
      </w:r>
      <w:r>
        <w:rPr>
          <w:i/>
          <w:spacing w:val="5"/>
          <w:w w:val="105"/>
          <w:sz w:val="13"/>
        </w:rPr>
        <w:t> </w:t>
      </w:r>
      <w:r>
        <w:rPr>
          <w:w w:val="105"/>
          <w:sz w:val="13"/>
        </w:rPr>
        <w:t>(Web</w:t>
      </w:r>
      <w:r>
        <w:rPr>
          <w:spacing w:val="5"/>
          <w:w w:val="105"/>
          <w:sz w:val="13"/>
        </w:rPr>
        <w:t> </w:t>
      </w:r>
      <w:r>
        <w:rPr>
          <w:w w:val="105"/>
          <w:sz w:val="13"/>
        </w:rPr>
        <w:t>Page,</w:t>
      </w:r>
      <w:r>
        <w:rPr>
          <w:spacing w:val="6"/>
          <w:w w:val="105"/>
          <w:sz w:val="13"/>
        </w:rPr>
        <w:t> </w:t>
      </w:r>
      <w:r>
        <w:rPr>
          <w:w w:val="105"/>
          <w:sz w:val="13"/>
        </w:rPr>
        <w:t>2019)</w:t>
      </w:r>
    </w:p>
    <w:p>
      <w:pPr>
        <w:spacing w:before="1"/>
        <w:ind w:left="2381" w:right="0" w:firstLine="0"/>
        <w:jc w:val="left"/>
        <w:rPr>
          <w:sz w:val="13"/>
        </w:rPr>
      </w:pPr>
      <w:r>
        <w:rPr>
          <w:w w:val="105"/>
          <w:sz w:val="13"/>
        </w:rPr>
        <w:t>&lt;https://planning.dsdmip.qld.gov.au/planning/better-planning/state-planning/state-planning-policy-spp&gt;.</w:t>
      </w:r>
    </w:p>
    <w:p>
      <w:pPr>
        <w:pStyle w:val="ListParagraph"/>
        <w:numPr>
          <w:ilvl w:val="0"/>
          <w:numId w:val="177"/>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77"/>
        </w:numPr>
        <w:tabs>
          <w:tab w:pos="2381" w:val="left" w:leader="none"/>
          <w:tab w:pos="2382" w:val="left" w:leader="none"/>
        </w:tabs>
        <w:spacing w:line="240" w:lineRule="auto" w:before="2" w:after="0"/>
        <w:ind w:left="2381" w:right="152" w:hanging="794"/>
        <w:jc w:val="left"/>
        <w:rPr>
          <w:sz w:val="13"/>
        </w:rPr>
      </w:pPr>
      <w:r>
        <w:rPr>
          <w:w w:val="105"/>
          <w:sz w:val="13"/>
        </w:rPr>
        <w:t>Department of State Development, Manufacturing, Infrastructure and Planning </w:t>
      </w:r>
      <w:r>
        <w:rPr>
          <w:spacing w:val="2"/>
          <w:w w:val="105"/>
          <w:sz w:val="13"/>
        </w:rPr>
        <w:t>(Qld), </w:t>
      </w:r>
      <w:r>
        <w:rPr>
          <w:i/>
          <w:w w:val="105"/>
          <w:sz w:val="13"/>
        </w:rPr>
        <w:t>The Framework: The </w:t>
      </w:r>
      <w:r>
        <w:rPr>
          <w:i/>
          <w:spacing w:val="2"/>
          <w:w w:val="105"/>
          <w:sz w:val="13"/>
        </w:rPr>
        <w:t>‘What’ </w:t>
      </w:r>
      <w:r>
        <w:rPr>
          <w:i/>
          <w:w w:val="105"/>
          <w:sz w:val="13"/>
        </w:rPr>
        <w:t>of Planning– State and </w:t>
      </w:r>
      <w:r>
        <w:rPr>
          <w:i/>
          <w:w w:val="105"/>
          <w:sz w:val="13"/>
        </w:rPr>
        <w:t>Local</w:t>
      </w:r>
      <w:r>
        <w:rPr>
          <w:i/>
          <w:spacing w:val="9"/>
          <w:w w:val="105"/>
          <w:sz w:val="13"/>
        </w:rPr>
        <w:t> </w:t>
      </w:r>
      <w:r>
        <w:rPr>
          <w:i/>
          <w:w w:val="105"/>
          <w:sz w:val="13"/>
        </w:rPr>
        <w:t>Planning</w:t>
      </w:r>
      <w:r>
        <w:rPr>
          <w:i/>
          <w:spacing w:val="10"/>
          <w:w w:val="105"/>
          <w:sz w:val="13"/>
        </w:rPr>
        <w:t> </w:t>
      </w:r>
      <w:r>
        <w:rPr>
          <w:i/>
          <w:w w:val="105"/>
          <w:sz w:val="13"/>
        </w:rPr>
        <w:t>Instruments</w:t>
      </w:r>
      <w:r>
        <w:rPr>
          <w:i/>
          <w:spacing w:val="10"/>
          <w:w w:val="105"/>
          <w:sz w:val="13"/>
        </w:rPr>
        <w:t> </w:t>
      </w:r>
      <w:r>
        <w:rPr>
          <w:w w:val="105"/>
          <w:sz w:val="13"/>
        </w:rPr>
        <w:t>(Web</w:t>
      </w:r>
      <w:r>
        <w:rPr>
          <w:spacing w:val="10"/>
          <w:w w:val="105"/>
          <w:sz w:val="13"/>
        </w:rPr>
        <w:t> </w:t>
      </w:r>
      <w:r>
        <w:rPr>
          <w:w w:val="105"/>
          <w:sz w:val="13"/>
        </w:rPr>
        <w:t>Page,</w:t>
      </w:r>
      <w:r>
        <w:rPr>
          <w:spacing w:val="10"/>
          <w:w w:val="105"/>
          <w:sz w:val="13"/>
        </w:rPr>
        <w:t> </w:t>
      </w:r>
      <w:r>
        <w:rPr>
          <w:w w:val="105"/>
          <w:sz w:val="13"/>
        </w:rPr>
        <w:t>2019)</w:t>
      </w:r>
      <w:r>
        <w:rPr>
          <w:spacing w:val="10"/>
          <w:w w:val="105"/>
          <w:sz w:val="13"/>
        </w:rPr>
        <w:t> </w:t>
      </w:r>
      <w:r>
        <w:rPr>
          <w:w w:val="105"/>
          <w:sz w:val="13"/>
        </w:rPr>
        <w:t>&lt;https://planning.dsdmip.qld.gov.au/planning/our-planning-system/the-framework&gt;.</w:t>
      </w:r>
    </w:p>
    <w:p>
      <w:pPr>
        <w:pStyle w:val="ListParagraph"/>
        <w:numPr>
          <w:ilvl w:val="0"/>
          <w:numId w:val="177"/>
        </w:numPr>
        <w:tabs>
          <w:tab w:pos="2381" w:val="left" w:leader="none"/>
          <w:tab w:pos="2382" w:val="left" w:leader="none"/>
        </w:tabs>
        <w:spacing w:line="240" w:lineRule="auto" w:before="2" w:after="0"/>
        <w:ind w:left="2381" w:right="86" w:hanging="794"/>
        <w:jc w:val="left"/>
        <w:rPr>
          <w:sz w:val="13"/>
        </w:rPr>
      </w:pPr>
      <w:r>
        <w:rPr>
          <w:w w:val="105"/>
          <w:sz w:val="13"/>
        </w:rPr>
        <w:t>See Department of State Development, Manufacturing, Infrastructure and Planning </w:t>
      </w:r>
      <w:r>
        <w:rPr>
          <w:spacing w:val="2"/>
          <w:w w:val="105"/>
          <w:sz w:val="13"/>
        </w:rPr>
        <w:t>(Qld), </w:t>
      </w:r>
      <w:r>
        <w:rPr>
          <w:i/>
          <w:w w:val="105"/>
          <w:sz w:val="13"/>
        </w:rPr>
        <w:t>Queensland’s New Planning System </w:t>
      </w:r>
      <w:r>
        <w:rPr>
          <w:i/>
          <w:spacing w:val="2"/>
          <w:w w:val="105"/>
          <w:sz w:val="13"/>
        </w:rPr>
        <w:t>(Document, </w:t>
      </w:r>
      <w:r>
        <w:rPr>
          <w:i/>
          <w:w w:val="105"/>
          <w:sz w:val="13"/>
        </w:rPr>
        <w:t>2018) &lt;</w:t>
      </w:r>
      <w:hyperlink r:id="rId292">
        <w:r>
          <w:rPr>
            <w:w w:val="105"/>
            <w:sz w:val="13"/>
          </w:rPr>
          <w:t>https://planning.dsdmip.qld.gov.au/planning/our-planning-system</w:t>
        </w:r>
      </w:hyperlink>
      <w:r>
        <w:rPr>
          <w:w w:val="105"/>
          <w:sz w:val="13"/>
        </w:rPr>
        <w:t>&gt;; see, eg, City of Gold Coast, ‘City  Plan  Version  </w:t>
      </w:r>
      <w:r>
        <w:rPr>
          <w:spacing w:val="-4"/>
          <w:w w:val="105"/>
          <w:sz w:val="13"/>
        </w:rPr>
        <w:t>6’,  </w:t>
      </w:r>
      <w:r>
        <w:rPr>
          <w:i/>
          <w:w w:val="105"/>
          <w:sz w:val="13"/>
        </w:rPr>
        <w:t>City  Plan </w:t>
      </w:r>
      <w:r>
        <w:rPr>
          <w:w w:val="105"/>
          <w:sz w:val="13"/>
        </w:rPr>
        <w:t>(Web Page) cl</w:t>
      </w:r>
      <w:r>
        <w:rPr>
          <w:spacing w:val="14"/>
          <w:w w:val="105"/>
          <w:sz w:val="13"/>
        </w:rPr>
        <w:t> </w:t>
      </w:r>
      <w:r>
        <w:rPr>
          <w:spacing w:val="-2"/>
          <w:w w:val="105"/>
          <w:sz w:val="13"/>
        </w:rPr>
        <w:t>9.4.14.1-3.</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7"/>
        <w:rPr>
          <w:sz w:val="24"/>
        </w:rPr>
      </w:pPr>
    </w:p>
    <w:p>
      <w:pPr>
        <w:spacing w:before="0"/>
        <w:ind w:left="524" w:right="573" w:firstLine="0"/>
        <w:jc w:val="center"/>
        <w:rPr>
          <w:b/>
          <w:sz w:val="24"/>
        </w:rPr>
      </w:pPr>
      <w:r>
        <w:rPr>
          <w:b/>
          <w:color w:val="658464"/>
          <w:w w:val="110"/>
          <w:sz w:val="24"/>
        </w:rPr>
        <w:t>241</w:t>
      </w:r>
    </w:p>
    <w:p>
      <w:pPr>
        <w:spacing w:after="0"/>
        <w:jc w:val="center"/>
        <w:rPr>
          <w:sz w:val="24"/>
        </w:rPr>
        <w:sectPr>
          <w:type w:val="continuous"/>
          <w:pgSz w:w="11910" w:h="16840"/>
          <w:pgMar w:top="300" w:bottom="280" w:left="0" w:right="0"/>
          <w:cols w:num="2" w:equalWidth="0">
            <w:col w:w="10319" w:space="40"/>
            <w:col w:w="1551"/>
          </w:cols>
        </w:sectPr>
      </w:pPr>
    </w:p>
    <w:p>
      <w:pPr>
        <w:pStyle w:val="BodyText"/>
        <w:spacing w:before="9"/>
        <w:rPr>
          <w:b/>
          <w:sz w:val="22"/>
        </w:rPr>
      </w:pPr>
    </w:p>
    <w:p>
      <w:pPr>
        <w:pStyle w:val="ListParagraph"/>
        <w:numPr>
          <w:ilvl w:val="0"/>
          <w:numId w:val="173"/>
        </w:numPr>
        <w:tabs>
          <w:tab w:pos="2381" w:val="left" w:leader="none"/>
          <w:tab w:pos="2382" w:val="left" w:leader="none"/>
        </w:tabs>
        <w:spacing w:line="242" w:lineRule="auto" w:before="92" w:after="0"/>
        <w:ind w:left="2381" w:right="1645" w:hanging="794"/>
        <w:jc w:val="left"/>
        <w:rPr>
          <w:sz w:val="12"/>
        </w:rPr>
      </w:pPr>
      <w:r>
        <w:rPr>
          <w:w w:val="105"/>
          <w:sz w:val="21"/>
        </w:rPr>
        <w:t>In </w:t>
      </w:r>
      <w:r>
        <w:rPr>
          <w:spacing w:val="-3"/>
          <w:w w:val="105"/>
          <w:sz w:val="21"/>
        </w:rPr>
        <w:t>Queensland, </w:t>
      </w:r>
      <w:r>
        <w:rPr>
          <w:w w:val="105"/>
          <w:sz w:val="21"/>
        </w:rPr>
        <w:t>trees can also be protected by local </w:t>
      </w:r>
      <w:r>
        <w:rPr>
          <w:spacing w:val="-3"/>
          <w:w w:val="105"/>
          <w:sz w:val="21"/>
        </w:rPr>
        <w:t>councils through Vegetation </w:t>
      </w:r>
      <w:r>
        <w:rPr>
          <w:w w:val="105"/>
          <w:sz w:val="21"/>
        </w:rPr>
        <w:t>Protection Orders </w:t>
      </w:r>
      <w:r>
        <w:rPr>
          <w:spacing w:val="-3"/>
          <w:w w:val="105"/>
          <w:sz w:val="21"/>
        </w:rPr>
        <w:t>administered </w:t>
      </w:r>
      <w:r>
        <w:rPr>
          <w:w w:val="105"/>
          <w:sz w:val="21"/>
        </w:rPr>
        <w:t>under local laws, </w:t>
      </w:r>
      <w:r>
        <w:rPr>
          <w:spacing w:val="-3"/>
          <w:w w:val="105"/>
          <w:sz w:val="21"/>
        </w:rPr>
        <w:t>created </w:t>
      </w:r>
      <w:r>
        <w:rPr>
          <w:w w:val="105"/>
          <w:sz w:val="21"/>
        </w:rPr>
        <w:t>under the </w:t>
      </w:r>
      <w:r>
        <w:rPr>
          <w:i/>
          <w:w w:val="105"/>
          <w:sz w:val="21"/>
        </w:rPr>
        <w:t>Local </w:t>
      </w:r>
      <w:r>
        <w:rPr>
          <w:i/>
          <w:spacing w:val="-3"/>
          <w:w w:val="105"/>
          <w:sz w:val="21"/>
        </w:rPr>
        <w:t>Government </w:t>
      </w:r>
      <w:r>
        <w:rPr>
          <w:i/>
          <w:w w:val="105"/>
          <w:sz w:val="21"/>
        </w:rPr>
        <w:t>Act </w:t>
      </w:r>
      <w:r>
        <w:rPr>
          <w:i/>
          <w:spacing w:val="-6"/>
          <w:w w:val="105"/>
          <w:sz w:val="21"/>
        </w:rPr>
        <w:t>1993 </w:t>
      </w:r>
      <w:r>
        <w:rPr>
          <w:w w:val="105"/>
          <w:sz w:val="21"/>
        </w:rPr>
        <w:t>(Qld).</w:t>
      </w:r>
      <w:r>
        <w:rPr>
          <w:w w:val="105"/>
          <w:position w:val="7"/>
          <w:sz w:val="12"/>
        </w:rPr>
        <w:t>265 </w:t>
      </w:r>
      <w:r>
        <w:rPr>
          <w:w w:val="105"/>
          <w:sz w:val="21"/>
        </w:rPr>
        <w:t>For example under the </w:t>
      </w:r>
      <w:r>
        <w:rPr>
          <w:i/>
          <w:spacing w:val="-3"/>
          <w:w w:val="105"/>
          <w:sz w:val="21"/>
        </w:rPr>
        <w:t>Natural </w:t>
      </w:r>
      <w:r>
        <w:rPr>
          <w:i/>
          <w:w w:val="105"/>
          <w:sz w:val="21"/>
        </w:rPr>
        <w:t>Assets Local Law </w:t>
      </w:r>
      <w:r>
        <w:rPr>
          <w:i/>
          <w:spacing w:val="-3"/>
          <w:w w:val="105"/>
          <w:sz w:val="21"/>
        </w:rPr>
        <w:t>2003 </w:t>
      </w:r>
      <w:r>
        <w:rPr>
          <w:w w:val="105"/>
          <w:sz w:val="21"/>
        </w:rPr>
        <w:t>(Brisbane </w:t>
      </w:r>
      <w:r>
        <w:rPr>
          <w:spacing w:val="-3"/>
          <w:w w:val="105"/>
          <w:sz w:val="21"/>
        </w:rPr>
        <w:t>City Council), </w:t>
      </w:r>
      <w:r>
        <w:rPr>
          <w:spacing w:val="-4"/>
          <w:w w:val="105"/>
          <w:sz w:val="21"/>
        </w:rPr>
        <w:t>Council </w:t>
      </w:r>
      <w:r>
        <w:rPr>
          <w:w w:val="105"/>
          <w:sz w:val="21"/>
        </w:rPr>
        <w:t>can protect </w:t>
      </w:r>
      <w:r>
        <w:rPr>
          <w:spacing w:val="-3"/>
          <w:w w:val="105"/>
          <w:sz w:val="21"/>
        </w:rPr>
        <w:t>significant </w:t>
      </w:r>
      <w:r>
        <w:rPr>
          <w:w w:val="105"/>
          <w:sz w:val="21"/>
        </w:rPr>
        <w:t>vegetation by </w:t>
      </w:r>
      <w:r>
        <w:rPr>
          <w:spacing w:val="-3"/>
          <w:w w:val="105"/>
          <w:sz w:val="21"/>
        </w:rPr>
        <w:t>requiring </w:t>
      </w:r>
      <w:r>
        <w:rPr>
          <w:w w:val="105"/>
          <w:sz w:val="21"/>
        </w:rPr>
        <w:t>a permit </w:t>
      </w:r>
      <w:r>
        <w:rPr>
          <w:spacing w:val="-3"/>
          <w:w w:val="105"/>
          <w:sz w:val="21"/>
        </w:rPr>
        <w:t>to </w:t>
      </w:r>
      <w:r>
        <w:rPr>
          <w:w w:val="105"/>
          <w:sz w:val="21"/>
        </w:rPr>
        <w:t>be lodged   </w:t>
      </w:r>
      <w:r>
        <w:rPr>
          <w:spacing w:val="-3"/>
          <w:w w:val="105"/>
          <w:sz w:val="21"/>
        </w:rPr>
        <w:t>for any </w:t>
      </w:r>
      <w:r>
        <w:rPr>
          <w:w w:val="105"/>
          <w:sz w:val="21"/>
        </w:rPr>
        <w:t>proposed structure or works </w:t>
      </w:r>
      <w:r>
        <w:rPr>
          <w:spacing w:val="-3"/>
          <w:w w:val="105"/>
          <w:sz w:val="21"/>
        </w:rPr>
        <w:t>that may interfere </w:t>
      </w:r>
      <w:r>
        <w:rPr>
          <w:w w:val="105"/>
          <w:sz w:val="21"/>
        </w:rPr>
        <w:t>with protected vegetation.</w:t>
      </w:r>
      <w:r>
        <w:rPr>
          <w:w w:val="105"/>
          <w:position w:val="7"/>
          <w:sz w:val="12"/>
        </w:rPr>
        <w:t>266 </w:t>
      </w:r>
      <w:r>
        <w:rPr>
          <w:w w:val="105"/>
          <w:sz w:val="21"/>
        </w:rPr>
        <w:t>This </w:t>
      </w:r>
      <w:r>
        <w:rPr>
          <w:spacing w:val="-3"/>
          <w:w w:val="105"/>
          <w:sz w:val="21"/>
        </w:rPr>
        <w:t>includes significant native </w:t>
      </w:r>
      <w:r>
        <w:rPr>
          <w:w w:val="105"/>
          <w:sz w:val="21"/>
        </w:rPr>
        <w:t>vegetation </w:t>
      </w:r>
      <w:r>
        <w:rPr>
          <w:spacing w:val="-3"/>
          <w:w w:val="105"/>
          <w:sz w:val="21"/>
        </w:rPr>
        <w:t>(from small ground </w:t>
      </w:r>
      <w:r>
        <w:rPr>
          <w:w w:val="105"/>
          <w:sz w:val="21"/>
        </w:rPr>
        <w:t>covers and </w:t>
      </w:r>
      <w:r>
        <w:rPr>
          <w:spacing w:val="-3"/>
          <w:w w:val="105"/>
          <w:sz w:val="21"/>
        </w:rPr>
        <w:t>native </w:t>
      </w:r>
      <w:r>
        <w:rPr>
          <w:w w:val="105"/>
          <w:sz w:val="21"/>
        </w:rPr>
        <w:t>grasses </w:t>
      </w:r>
      <w:r>
        <w:rPr>
          <w:spacing w:val="-3"/>
          <w:w w:val="105"/>
          <w:sz w:val="21"/>
        </w:rPr>
        <w:t>to </w:t>
      </w:r>
      <w:r>
        <w:rPr>
          <w:w w:val="105"/>
          <w:sz w:val="21"/>
        </w:rPr>
        <w:t>large</w:t>
      </w:r>
      <w:r>
        <w:rPr>
          <w:spacing w:val="-10"/>
          <w:w w:val="105"/>
          <w:sz w:val="21"/>
        </w:rPr>
        <w:t> </w:t>
      </w:r>
      <w:r>
        <w:rPr>
          <w:w w:val="105"/>
          <w:sz w:val="21"/>
        </w:rPr>
        <w:t>trees)</w:t>
      </w:r>
      <w:r>
        <w:rPr>
          <w:spacing w:val="-9"/>
          <w:w w:val="105"/>
          <w:sz w:val="21"/>
        </w:rPr>
        <w:t> </w:t>
      </w:r>
      <w:r>
        <w:rPr>
          <w:w w:val="105"/>
          <w:sz w:val="21"/>
        </w:rPr>
        <w:t>and</w:t>
      </w:r>
      <w:r>
        <w:rPr>
          <w:spacing w:val="-10"/>
          <w:w w:val="105"/>
          <w:sz w:val="21"/>
        </w:rPr>
        <w:t> </w:t>
      </w:r>
      <w:r>
        <w:rPr>
          <w:spacing w:val="-3"/>
          <w:w w:val="105"/>
          <w:sz w:val="21"/>
        </w:rPr>
        <w:t>significant</w:t>
      </w:r>
      <w:r>
        <w:rPr>
          <w:spacing w:val="-9"/>
          <w:w w:val="105"/>
          <w:sz w:val="21"/>
        </w:rPr>
        <w:t> </w:t>
      </w:r>
      <w:r>
        <w:rPr>
          <w:w w:val="105"/>
          <w:sz w:val="21"/>
        </w:rPr>
        <w:t>urban</w:t>
      </w:r>
      <w:r>
        <w:rPr>
          <w:spacing w:val="-9"/>
          <w:w w:val="105"/>
          <w:sz w:val="21"/>
        </w:rPr>
        <w:t> </w:t>
      </w:r>
      <w:r>
        <w:rPr>
          <w:w w:val="105"/>
          <w:sz w:val="21"/>
        </w:rPr>
        <w:t>vegetation</w:t>
      </w:r>
      <w:r>
        <w:rPr>
          <w:spacing w:val="-10"/>
          <w:w w:val="105"/>
          <w:sz w:val="21"/>
        </w:rPr>
        <w:t> </w:t>
      </w:r>
      <w:r>
        <w:rPr>
          <w:w w:val="105"/>
          <w:sz w:val="21"/>
        </w:rPr>
        <w:t>(both</w:t>
      </w:r>
      <w:r>
        <w:rPr>
          <w:spacing w:val="-9"/>
          <w:w w:val="105"/>
          <w:sz w:val="21"/>
        </w:rPr>
        <w:t> </w:t>
      </w:r>
      <w:r>
        <w:rPr>
          <w:spacing w:val="-3"/>
          <w:w w:val="105"/>
          <w:sz w:val="21"/>
        </w:rPr>
        <w:t>native</w:t>
      </w:r>
      <w:r>
        <w:rPr>
          <w:spacing w:val="-9"/>
          <w:w w:val="105"/>
          <w:sz w:val="21"/>
        </w:rPr>
        <w:t> </w:t>
      </w:r>
      <w:r>
        <w:rPr>
          <w:w w:val="105"/>
          <w:sz w:val="21"/>
        </w:rPr>
        <w:t>and</w:t>
      </w:r>
      <w:r>
        <w:rPr>
          <w:spacing w:val="-10"/>
          <w:w w:val="105"/>
          <w:sz w:val="21"/>
        </w:rPr>
        <w:t> </w:t>
      </w:r>
      <w:r>
        <w:rPr>
          <w:spacing w:val="-3"/>
          <w:w w:val="105"/>
          <w:sz w:val="21"/>
        </w:rPr>
        <w:t>exotic</w:t>
      </w:r>
      <w:r>
        <w:rPr>
          <w:spacing w:val="-9"/>
          <w:w w:val="105"/>
          <w:sz w:val="21"/>
        </w:rPr>
        <w:t> </w:t>
      </w:r>
      <w:r>
        <w:rPr>
          <w:w w:val="105"/>
          <w:sz w:val="21"/>
        </w:rPr>
        <w:t>vegetation</w:t>
      </w:r>
      <w:r>
        <w:rPr>
          <w:spacing w:val="-9"/>
          <w:w w:val="105"/>
          <w:sz w:val="21"/>
        </w:rPr>
        <w:t> </w:t>
      </w:r>
      <w:r>
        <w:rPr>
          <w:w w:val="105"/>
          <w:sz w:val="21"/>
        </w:rPr>
        <w:t>on</w:t>
      </w:r>
      <w:r>
        <w:rPr>
          <w:spacing w:val="-10"/>
          <w:w w:val="105"/>
          <w:sz w:val="21"/>
        </w:rPr>
        <w:t> </w:t>
      </w:r>
      <w:r>
        <w:rPr>
          <w:spacing w:val="-3"/>
          <w:w w:val="105"/>
          <w:sz w:val="21"/>
        </w:rPr>
        <w:t>private </w:t>
      </w:r>
      <w:r>
        <w:rPr>
          <w:w w:val="105"/>
          <w:sz w:val="21"/>
        </w:rPr>
        <w:t>property).</w:t>
      </w:r>
      <w:r>
        <w:rPr>
          <w:w w:val="105"/>
          <w:position w:val="7"/>
          <w:sz w:val="12"/>
        </w:rPr>
        <w:t>267</w:t>
      </w:r>
    </w:p>
    <w:p>
      <w:pPr>
        <w:pStyle w:val="Heading8"/>
        <w:spacing w:before="156"/>
        <w:rPr>
          <w:rFonts w:ascii="Calibri"/>
          <w:i w:val="0"/>
        </w:rPr>
      </w:pPr>
      <w:r>
        <w:rPr>
          <w:i/>
        </w:rPr>
        <w:t>Neighbourhood Disputes (Dividing Fences and Trees) Act 2011 </w:t>
      </w:r>
      <w:r>
        <w:rPr>
          <w:rFonts w:ascii="Calibri"/>
          <w:i w:val="0"/>
        </w:rPr>
        <w:t>(Qld)</w:t>
      </w:r>
    </w:p>
    <w:p>
      <w:pPr>
        <w:pStyle w:val="ListParagraph"/>
        <w:numPr>
          <w:ilvl w:val="0"/>
          <w:numId w:val="173"/>
        </w:numPr>
        <w:tabs>
          <w:tab w:pos="2382" w:val="left" w:leader="none"/>
        </w:tabs>
        <w:spacing w:line="242" w:lineRule="auto" w:before="142" w:after="0"/>
        <w:ind w:left="2381" w:right="1598" w:hanging="794"/>
        <w:jc w:val="both"/>
        <w:rPr>
          <w:sz w:val="12"/>
        </w:rPr>
      </w:pPr>
      <w:r>
        <w:rPr>
          <w:w w:val="105"/>
          <w:sz w:val="21"/>
        </w:rPr>
        <w:t>The </w:t>
      </w:r>
      <w:r>
        <w:rPr>
          <w:spacing w:val="-3"/>
          <w:w w:val="105"/>
          <w:sz w:val="21"/>
        </w:rPr>
        <w:t>Queensland Civil </w:t>
      </w:r>
      <w:r>
        <w:rPr>
          <w:w w:val="105"/>
          <w:sz w:val="21"/>
        </w:rPr>
        <w:t>and </w:t>
      </w:r>
      <w:r>
        <w:rPr>
          <w:spacing w:val="-3"/>
          <w:w w:val="105"/>
          <w:sz w:val="21"/>
        </w:rPr>
        <w:t>Administrative </w:t>
      </w:r>
      <w:r>
        <w:rPr>
          <w:spacing w:val="-5"/>
          <w:w w:val="105"/>
          <w:sz w:val="21"/>
        </w:rPr>
        <w:t>Tribunal </w:t>
      </w:r>
      <w:r>
        <w:rPr>
          <w:w w:val="105"/>
          <w:sz w:val="21"/>
        </w:rPr>
        <w:t>(QCAT) </w:t>
      </w:r>
      <w:r>
        <w:rPr>
          <w:spacing w:val="-3"/>
          <w:w w:val="105"/>
          <w:sz w:val="21"/>
        </w:rPr>
        <w:t>cannot </w:t>
      </w:r>
      <w:r>
        <w:rPr>
          <w:spacing w:val="-4"/>
          <w:w w:val="105"/>
          <w:sz w:val="21"/>
        </w:rPr>
        <w:t>make </w:t>
      </w:r>
      <w:r>
        <w:rPr>
          <w:w w:val="105"/>
          <w:sz w:val="21"/>
        </w:rPr>
        <w:t>an order under the </w:t>
      </w:r>
      <w:r>
        <w:rPr>
          <w:i/>
          <w:w w:val="105"/>
          <w:sz w:val="21"/>
        </w:rPr>
        <w:t>Neighbourhood </w:t>
      </w:r>
      <w:r>
        <w:rPr>
          <w:i/>
          <w:spacing w:val="-3"/>
          <w:w w:val="105"/>
          <w:sz w:val="21"/>
        </w:rPr>
        <w:t>Disputes </w:t>
      </w:r>
      <w:r>
        <w:rPr>
          <w:i/>
          <w:w w:val="105"/>
          <w:sz w:val="21"/>
        </w:rPr>
        <w:t>(Dividing Fences and </w:t>
      </w:r>
      <w:r>
        <w:rPr>
          <w:i/>
          <w:spacing w:val="-3"/>
          <w:w w:val="105"/>
          <w:sz w:val="21"/>
        </w:rPr>
        <w:t>Trees) </w:t>
      </w:r>
      <w:r>
        <w:rPr>
          <w:i/>
          <w:w w:val="105"/>
          <w:sz w:val="21"/>
        </w:rPr>
        <w:t>Act </w:t>
      </w:r>
      <w:r>
        <w:rPr>
          <w:i/>
          <w:spacing w:val="-11"/>
          <w:w w:val="105"/>
          <w:sz w:val="21"/>
        </w:rPr>
        <w:t>2011 </w:t>
      </w:r>
      <w:r>
        <w:rPr>
          <w:w w:val="105"/>
          <w:sz w:val="21"/>
        </w:rPr>
        <w:t>(Qld) (the </w:t>
      </w:r>
      <w:r>
        <w:rPr>
          <w:spacing w:val="-3"/>
          <w:w w:val="105"/>
          <w:sz w:val="21"/>
        </w:rPr>
        <w:t>Queensland </w:t>
      </w:r>
      <w:r>
        <w:rPr>
          <w:w w:val="105"/>
          <w:sz w:val="21"/>
        </w:rPr>
        <w:t>Act) </w:t>
      </w:r>
      <w:r>
        <w:rPr>
          <w:spacing w:val="-3"/>
          <w:w w:val="105"/>
          <w:sz w:val="21"/>
        </w:rPr>
        <w:t>that </w:t>
      </w:r>
      <w:r>
        <w:rPr>
          <w:w w:val="105"/>
          <w:sz w:val="21"/>
        </w:rPr>
        <w:t>would be unlawful under </w:t>
      </w:r>
      <w:r>
        <w:rPr>
          <w:spacing w:val="-3"/>
          <w:w w:val="105"/>
          <w:sz w:val="21"/>
        </w:rPr>
        <w:t>another</w:t>
      </w:r>
      <w:r>
        <w:rPr>
          <w:spacing w:val="34"/>
          <w:w w:val="105"/>
          <w:sz w:val="21"/>
        </w:rPr>
        <w:t> </w:t>
      </w:r>
      <w:r>
        <w:rPr>
          <w:w w:val="105"/>
          <w:sz w:val="21"/>
        </w:rPr>
        <w:t>Act.</w:t>
      </w:r>
      <w:r>
        <w:rPr>
          <w:w w:val="105"/>
          <w:position w:val="7"/>
          <w:sz w:val="12"/>
        </w:rPr>
        <w:t>268</w:t>
      </w:r>
    </w:p>
    <w:p>
      <w:pPr>
        <w:pStyle w:val="ListParagraph"/>
        <w:numPr>
          <w:ilvl w:val="0"/>
          <w:numId w:val="173"/>
        </w:numPr>
        <w:tabs>
          <w:tab w:pos="2380" w:val="left" w:leader="none"/>
          <w:tab w:pos="2382" w:val="left" w:leader="none"/>
        </w:tabs>
        <w:spacing w:line="242" w:lineRule="auto" w:before="124" w:after="0"/>
        <w:ind w:left="2381" w:right="1790" w:hanging="794"/>
        <w:jc w:val="left"/>
        <w:rPr>
          <w:sz w:val="12"/>
        </w:rPr>
      </w:pPr>
      <w:r>
        <w:rPr>
          <w:sz w:val="21"/>
        </w:rPr>
        <w:t>Section </w:t>
      </w:r>
      <w:r>
        <w:rPr>
          <w:spacing w:val="-3"/>
          <w:sz w:val="21"/>
        </w:rPr>
        <w:t>43 </w:t>
      </w:r>
      <w:r>
        <w:rPr>
          <w:sz w:val="21"/>
        </w:rPr>
        <w:t>further provides </w:t>
      </w:r>
      <w:r>
        <w:rPr>
          <w:spacing w:val="-3"/>
          <w:sz w:val="21"/>
        </w:rPr>
        <w:t>that </w:t>
      </w:r>
      <w:r>
        <w:rPr>
          <w:sz w:val="21"/>
        </w:rPr>
        <w:t>the </w:t>
      </w:r>
      <w:r>
        <w:rPr>
          <w:spacing w:val="-3"/>
          <w:sz w:val="21"/>
        </w:rPr>
        <w:t>Queensland </w:t>
      </w:r>
      <w:r>
        <w:rPr>
          <w:sz w:val="21"/>
        </w:rPr>
        <w:t>Act does </w:t>
      </w:r>
      <w:r>
        <w:rPr>
          <w:spacing w:val="-2"/>
          <w:sz w:val="21"/>
        </w:rPr>
        <w:t>not </w:t>
      </w:r>
      <w:r>
        <w:rPr>
          <w:sz w:val="21"/>
        </w:rPr>
        <w:t>otherwise </w:t>
      </w:r>
      <w:r>
        <w:rPr>
          <w:spacing w:val="-3"/>
          <w:sz w:val="21"/>
        </w:rPr>
        <w:t>limit  </w:t>
      </w:r>
      <w:r>
        <w:rPr>
          <w:sz w:val="21"/>
        </w:rPr>
        <w:t>the operation of </w:t>
      </w:r>
      <w:r>
        <w:rPr>
          <w:spacing w:val="-3"/>
          <w:sz w:val="21"/>
        </w:rPr>
        <w:t>another </w:t>
      </w:r>
      <w:r>
        <w:rPr>
          <w:sz w:val="21"/>
        </w:rPr>
        <w:t>law </w:t>
      </w:r>
      <w:r>
        <w:rPr>
          <w:spacing w:val="-3"/>
          <w:sz w:val="21"/>
        </w:rPr>
        <w:t>requiring consent </w:t>
      </w:r>
      <w:r>
        <w:rPr>
          <w:sz w:val="21"/>
        </w:rPr>
        <w:t>or authorisation </w:t>
      </w:r>
      <w:r>
        <w:rPr>
          <w:spacing w:val="-3"/>
          <w:sz w:val="21"/>
        </w:rPr>
        <w:t>to  </w:t>
      </w:r>
      <w:r>
        <w:rPr>
          <w:sz w:val="21"/>
        </w:rPr>
        <w:t>be obtained </w:t>
      </w:r>
      <w:r>
        <w:rPr>
          <w:spacing w:val="-3"/>
          <w:sz w:val="21"/>
        </w:rPr>
        <w:t>before</w:t>
      </w:r>
      <w:r>
        <w:rPr>
          <w:spacing w:val="41"/>
          <w:sz w:val="21"/>
        </w:rPr>
        <w:t> </w:t>
      </w:r>
      <w:r>
        <w:rPr>
          <w:sz w:val="21"/>
        </w:rPr>
        <w:t>work  </w:t>
      </w:r>
      <w:r>
        <w:rPr>
          <w:spacing w:val="-3"/>
          <w:sz w:val="21"/>
        </w:rPr>
        <w:t>to </w:t>
      </w:r>
      <w:r>
        <w:rPr>
          <w:sz w:val="21"/>
        </w:rPr>
        <w:t>a tree can be carried out. </w:t>
      </w:r>
      <w:r>
        <w:rPr>
          <w:spacing w:val="-4"/>
          <w:sz w:val="21"/>
        </w:rPr>
        <w:t>QCAT </w:t>
      </w:r>
      <w:r>
        <w:rPr>
          <w:sz w:val="21"/>
        </w:rPr>
        <w:t>confirmed it would </w:t>
      </w:r>
      <w:r>
        <w:rPr>
          <w:spacing w:val="-2"/>
          <w:sz w:val="21"/>
        </w:rPr>
        <w:t>not </w:t>
      </w:r>
      <w:r>
        <w:rPr>
          <w:sz w:val="21"/>
        </w:rPr>
        <w:t>hear a matter if </w:t>
      </w:r>
      <w:r>
        <w:rPr>
          <w:spacing w:val="-3"/>
          <w:sz w:val="21"/>
        </w:rPr>
        <w:t>consent to </w:t>
      </w:r>
      <w:r>
        <w:rPr>
          <w:sz w:val="21"/>
        </w:rPr>
        <w:t>intervene</w:t>
      </w:r>
      <w:r>
        <w:rPr>
          <w:spacing w:val="9"/>
          <w:sz w:val="21"/>
        </w:rPr>
        <w:t> </w:t>
      </w:r>
      <w:r>
        <w:rPr>
          <w:sz w:val="21"/>
        </w:rPr>
        <w:t>with</w:t>
      </w:r>
      <w:r>
        <w:rPr>
          <w:spacing w:val="9"/>
          <w:sz w:val="21"/>
        </w:rPr>
        <w:t> </w:t>
      </w:r>
      <w:r>
        <w:rPr>
          <w:sz w:val="21"/>
        </w:rPr>
        <w:t>the</w:t>
      </w:r>
      <w:r>
        <w:rPr>
          <w:spacing w:val="10"/>
          <w:sz w:val="21"/>
        </w:rPr>
        <w:t> </w:t>
      </w:r>
      <w:r>
        <w:rPr>
          <w:sz w:val="21"/>
        </w:rPr>
        <w:t>tree</w:t>
      </w:r>
      <w:r>
        <w:rPr>
          <w:spacing w:val="9"/>
          <w:sz w:val="21"/>
        </w:rPr>
        <w:t> </w:t>
      </w:r>
      <w:r>
        <w:rPr>
          <w:sz w:val="21"/>
        </w:rPr>
        <w:t>is</w:t>
      </w:r>
      <w:r>
        <w:rPr>
          <w:spacing w:val="10"/>
          <w:sz w:val="21"/>
        </w:rPr>
        <w:t> </w:t>
      </w:r>
      <w:r>
        <w:rPr>
          <w:spacing w:val="-3"/>
          <w:sz w:val="21"/>
        </w:rPr>
        <w:t>required</w:t>
      </w:r>
      <w:r>
        <w:rPr>
          <w:spacing w:val="9"/>
          <w:sz w:val="21"/>
        </w:rPr>
        <w:t> </w:t>
      </w:r>
      <w:r>
        <w:rPr>
          <w:sz w:val="21"/>
        </w:rPr>
        <w:t>under</w:t>
      </w:r>
      <w:r>
        <w:rPr>
          <w:spacing w:val="10"/>
          <w:sz w:val="21"/>
        </w:rPr>
        <w:t> </w:t>
      </w:r>
      <w:r>
        <w:rPr>
          <w:spacing w:val="-3"/>
          <w:sz w:val="21"/>
        </w:rPr>
        <w:t>another</w:t>
      </w:r>
      <w:r>
        <w:rPr>
          <w:spacing w:val="9"/>
          <w:sz w:val="21"/>
        </w:rPr>
        <w:t> </w:t>
      </w:r>
      <w:r>
        <w:rPr>
          <w:sz w:val="21"/>
        </w:rPr>
        <w:t>Act.</w:t>
      </w:r>
      <w:r>
        <w:rPr>
          <w:position w:val="7"/>
          <w:sz w:val="12"/>
        </w:rPr>
        <w:t>269</w:t>
      </w:r>
    </w:p>
    <w:p>
      <w:pPr>
        <w:pStyle w:val="ListParagraph"/>
        <w:numPr>
          <w:ilvl w:val="0"/>
          <w:numId w:val="173"/>
        </w:numPr>
        <w:tabs>
          <w:tab w:pos="2381" w:val="left" w:leader="none"/>
        </w:tabs>
        <w:spacing w:line="242" w:lineRule="auto" w:before="124" w:after="0"/>
        <w:ind w:left="2381" w:right="1897" w:hanging="794"/>
        <w:jc w:val="left"/>
        <w:rPr>
          <w:sz w:val="21"/>
        </w:rPr>
      </w:pPr>
      <w:r>
        <w:rPr>
          <w:w w:val="105"/>
          <w:sz w:val="21"/>
        </w:rPr>
        <w:t>This </w:t>
      </w:r>
      <w:r>
        <w:rPr>
          <w:spacing w:val="-3"/>
          <w:w w:val="105"/>
          <w:sz w:val="21"/>
        </w:rPr>
        <w:t>limitation </w:t>
      </w:r>
      <w:r>
        <w:rPr>
          <w:w w:val="105"/>
          <w:sz w:val="21"/>
        </w:rPr>
        <w:t>is qualified in </w:t>
      </w:r>
      <w:r>
        <w:rPr>
          <w:spacing w:val="-3"/>
          <w:w w:val="105"/>
          <w:sz w:val="21"/>
        </w:rPr>
        <w:t>relation to </w:t>
      </w:r>
      <w:r>
        <w:rPr>
          <w:w w:val="105"/>
          <w:sz w:val="21"/>
        </w:rPr>
        <w:t>local laws. Section 67 of the </w:t>
      </w:r>
      <w:r>
        <w:rPr>
          <w:spacing w:val="-3"/>
          <w:w w:val="105"/>
          <w:sz w:val="21"/>
        </w:rPr>
        <w:t>Queensland </w:t>
      </w:r>
      <w:r>
        <w:rPr>
          <w:w w:val="105"/>
          <w:sz w:val="21"/>
        </w:rPr>
        <w:t>Act provides </w:t>
      </w:r>
      <w:r>
        <w:rPr>
          <w:spacing w:val="-3"/>
          <w:w w:val="105"/>
          <w:sz w:val="21"/>
        </w:rPr>
        <w:t>that </w:t>
      </w:r>
      <w:r>
        <w:rPr>
          <w:w w:val="105"/>
          <w:sz w:val="21"/>
        </w:rPr>
        <w:t>if </w:t>
      </w:r>
      <w:r>
        <w:rPr>
          <w:spacing w:val="-4"/>
          <w:w w:val="105"/>
          <w:sz w:val="21"/>
        </w:rPr>
        <w:t>QCAT </w:t>
      </w:r>
      <w:r>
        <w:rPr>
          <w:w w:val="105"/>
          <w:sz w:val="21"/>
        </w:rPr>
        <w:t>is satisfied there is a </w:t>
      </w:r>
      <w:r>
        <w:rPr>
          <w:spacing w:val="-3"/>
          <w:w w:val="105"/>
          <w:sz w:val="21"/>
        </w:rPr>
        <w:t>genuine dispute, </w:t>
      </w:r>
      <w:r>
        <w:rPr>
          <w:w w:val="105"/>
          <w:sz w:val="21"/>
        </w:rPr>
        <w:t>it </w:t>
      </w:r>
      <w:r>
        <w:rPr>
          <w:spacing w:val="-3"/>
          <w:w w:val="105"/>
          <w:sz w:val="21"/>
        </w:rPr>
        <w:t>may </w:t>
      </w:r>
      <w:r>
        <w:rPr>
          <w:spacing w:val="-4"/>
          <w:w w:val="105"/>
          <w:sz w:val="21"/>
        </w:rPr>
        <w:t>make </w:t>
      </w:r>
      <w:r>
        <w:rPr>
          <w:w w:val="105"/>
          <w:sz w:val="21"/>
        </w:rPr>
        <w:t>an order </w:t>
      </w:r>
      <w:r>
        <w:rPr>
          <w:spacing w:val="-3"/>
          <w:w w:val="105"/>
          <w:sz w:val="21"/>
        </w:rPr>
        <w:t>for </w:t>
      </w:r>
      <w:r>
        <w:rPr>
          <w:w w:val="105"/>
          <w:sz w:val="21"/>
        </w:rPr>
        <w:t>a person </w:t>
      </w:r>
      <w:r>
        <w:rPr>
          <w:spacing w:val="-3"/>
          <w:w w:val="105"/>
          <w:sz w:val="21"/>
        </w:rPr>
        <w:t>to </w:t>
      </w:r>
      <w:r>
        <w:rPr>
          <w:w w:val="105"/>
          <w:sz w:val="21"/>
        </w:rPr>
        <w:t>carry out works </w:t>
      </w:r>
      <w:r>
        <w:rPr>
          <w:spacing w:val="-3"/>
          <w:w w:val="105"/>
          <w:sz w:val="21"/>
        </w:rPr>
        <w:t>to </w:t>
      </w:r>
      <w:r>
        <w:rPr>
          <w:w w:val="105"/>
          <w:sz w:val="21"/>
        </w:rPr>
        <w:t>a tree even</w:t>
      </w:r>
      <w:r>
        <w:rPr>
          <w:spacing w:val="43"/>
          <w:w w:val="105"/>
          <w:sz w:val="21"/>
        </w:rPr>
        <w:t> </w:t>
      </w:r>
      <w:r>
        <w:rPr>
          <w:w w:val="105"/>
          <w:sz w:val="21"/>
        </w:rPr>
        <w:t>though:</w:t>
      </w:r>
    </w:p>
    <w:p>
      <w:pPr>
        <w:pStyle w:val="ListParagraph"/>
        <w:numPr>
          <w:ilvl w:val="1"/>
          <w:numId w:val="173"/>
        </w:numPr>
        <w:tabs>
          <w:tab w:pos="2721" w:val="left" w:leader="none"/>
          <w:tab w:pos="2722" w:val="left" w:leader="none"/>
        </w:tabs>
        <w:spacing w:line="242" w:lineRule="auto" w:before="123" w:after="0"/>
        <w:ind w:left="2721" w:right="2279" w:hanging="340"/>
        <w:jc w:val="left"/>
        <w:rPr>
          <w:sz w:val="21"/>
        </w:rPr>
      </w:pPr>
      <w:r>
        <w:rPr>
          <w:spacing w:val="-3"/>
          <w:sz w:val="21"/>
        </w:rPr>
        <w:t>consent </w:t>
      </w:r>
      <w:r>
        <w:rPr>
          <w:sz w:val="21"/>
        </w:rPr>
        <w:t>is withheld by a local </w:t>
      </w:r>
      <w:r>
        <w:rPr>
          <w:spacing w:val="-3"/>
          <w:sz w:val="21"/>
        </w:rPr>
        <w:t>government </w:t>
      </w:r>
      <w:r>
        <w:rPr>
          <w:sz w:val="21"/>
        </w:rPr>
        <w:t>or a tree-keeper under a vegetation protection</w:t>
      </w:r>
      <w:r>
        <w:rPr>
          <w:spacing w:val="8"/>
          <w:sz w:val="21"/>
        </w:rPr>
        <w:t> </w:t>
      </w:r>
      <w:r>
        <w:rPr>
          <w:sz w:val="21"/>
        </w:rPr>
        <w:t>order</w:t>
      </w:r>
    </w:p>
    <w:p>
      <w:pPr>
        <w:pStyle w:val="ListParagraph"/>
        <w:numPr>
          <w:ilvl w:val="1"/>
          <w:numId w:val="173"/>
        </w:numPr>
        <w:tabs>
          <w:tab w:pos="2721" w:val="left" w:leader="none"/>
          <w:tab w:pos="2722" w:val="left" w:leader="none"/>
        </w:tabs>
        <w:spacing w:line="242" w:lineRule="auto" w:before="87" w:after="0"/>
        <w:ind w:left="2721" w:right="2075" w:hanging="340"/>
        <w:jc w:val="left"/>
        <w:rPr>
          <w:sz w:val="21"/>
        </w:rPr>
      </w:pPr>
      <w:r>
        <w:rPr>
          <w:w w:val="105"/>
          <w:sz w:val="21"/>
        </w:rPr>
        <w:t>a</w:t>
      </w:r>
      <w:r>
        <w:rPr>
          <w:spacing w:val="-6"/>
          <w:w w:val="105"/>
          <w:sz w:val="21"/>
        </w:rPr>
        <w:t> </w:t>
      </w:r>
      <w:r>
        <w:rPr>
          <w:w w:val="105"/>
          <w:sz w:val="21"/>
        </w:rPr>
        <w:t>local</w:t>
      </w:r>
      <w:r>
        <w:rPr>
          <w:spacing w:val="-5"/>
          <w:w w:val="105"/>
          <w:sz w:val="21"/>
        </w:rPr>
        <w:t> </w:t>
      </w:r>
      <w:r>
        <w:rPr>
          <w:w w:val="105"/>
          <w:sz w:val="21"/>
        </w:rPr>
        <w:t>law</w:t>
      </w:r>
      <w:r>
        <w:rPr>
          <w:spacing w:val="-5"/>
          <w:w w:val="105"/>
          <w:sz w:val="21"/>
        </w:rPr>
        <w:t> </w:t>
      </w:r>
      <w:r>
        <w:rPr>
          <w:spacing w:val="-3"/>
          <w:w w:val="105"/>
          <w:sz w:val="21"/>
        </w:rPr>
        <w:t>requires</w:t>
      </w:r>
      <w:r>
        <w:rPr>
          <w:spacing w:val="-5"/>
          <w:w w:val="105"/>
          <w:sz w:val="21"/>
        </w:rPr>
        <w:t> </w:t>
      </w:r>
      <w:r>
        <w:rPr>
          <w:spacing w:val="-3"/>
          <w:w w:val="105"/>
          <w:sz w:val="21"/>
        </w:rPr>
        <w:t>consent</w:t>
      </w:r>
      <w:r>
        <w:rPr>
          <w:spacing w:val="-5"/>
          <w:w w:val="105"/>
          <w:sz w:val="21"/>
        </w:rPr>
        <w:t> </w:t>
      </w:r>
      <w:r>
        <w:rPr>
          <w:w w:val="105"/>
          <w:sz w:val="21"/>
        </w:rPr>
        <w:t>or</w:t>
      </w:r>
      <w:r>
        <w:rPr>
          <w:spacing w:val="-6"/>
          <w:w w:val="105"/>
          <w:sz w:val="21"/>
        </w:rPr>
        <w:t> </w:t>
      </w:r>
      <w:r>
        <w:rPr>
          <w:w w:val="105"/>
          <w:sz w:val="21"/>
        </w:rPr>
        <w:t>authorisation</w:t>
      </w:r>
      <w:r>
        <w:rPr>
          <w:spacing w:val="-5"/>
          <w:w w:val="105"/>
          <w:sz w:val="21"/>
        </w:rPr>
        <w:t> </w:t>
      </w:r>
      <w:r>
        <w:rPr>
          <w:spacing w:val="-3"/>
          <w:w w:val="105"/>
          <w:sz w:val="21"/>
        </w:rPr>
        <w:t>to</w:t>
      </w:r>
      <w:r>
        <w:rPr>
          <w:spacing w:val="-5"/>
          <w:w w:val="105"/>
          <w:sz w:val="21"/>
        </w:rPr>
        <w:t> </w:t>
      </w:r>
      <w:r>
        <w:rPr>
          <w:w w:val="105"/>
          <w:sz w:val="21"/>
        </w:rPr>
        <w:t>be</w:t>
      </w:r>
      <w:r>
        <w:rPr>
          <w:spacing w:val="-5"/>
          <w:w w:val="105"/>
          <w:sz w:val="21"/>
        </w:rPr>
        <w:t> </w:t>
      </w:r>
      <w:r>
        <w:rPr>
          <w:w w:val="105"/>
          <w:sz w:val="21"/>
        </w:rPr>
        <w:t>given</w:t>
      </w:r>
      <w:r>
        <w:rPr>
          <w:spacing w:val="-5"/>
          <w:w w:val="105"/>
          <w:sz w:val="21"/>
        </w:rPr>
        <w:t> </w:t>
      </w:r>
      <w:r>
        <w:rPr>
          <w:spacing w:val="-3"/>
          <w:w w:val="105"/>
          <w:sz w:val="21"/>
        </w:rPr>
        <w:t>before</w:t>
      </w:r>
      <w:r>
        <w:rPr>
          <w:spacing w:val="-6"/>
          <w:w w:val="105"/>
          <w:sz w:val="21"/>
        </w:rPr>
        <w:t> </w:t>
      </w:r>
      <w:r>
        <w:rPr>
          <w:w w:val="105"/>
          <w:sz w:val="21"/>
        </w:rPr>
        <w:t>the</w:t>
      </w:r>
      <w:r>
        <w:rPr>
          <w:spacing w:val="-5"/>
          <w:w w:val="105"/>
          <w:sz w:val="21"/>
        </w:rPr>
        <w:t> </w:t>
      </w:r>
      <w:r>
        <w:rPr>
          <w:w w:val="105"/>
          <w:sz w:val="21"/>
        </w:rPr>
        <w:t>work</w:t>
      </w:r>
      <w:r>
        <w:rPr>
          <w:spacing w:val="-5"/>
          <w:w w:val="105"/>
          <w:sz w:val="21"/>
        </w:rPr>
        <w:t> </w:t>
      </w:r>
      <w:r>
        <w:rPr>
          <w:spacing w:val="-3"/>
          <w:w w:val="105"/>
          <w:sz w:val="21"/>
        </w:rPr>
        <w:t>may</w:t>
      </w:r>
      <w:r>
        <w:rPr>
          <w:spacing w:val="-5"/>
          <w:w w:val="105"/>
          <w:sz w:val="21"/>
        </w:rPr>
        <w:t> </w:t>
      </w:r>
      <w:r>
        <w:rPr>
          <w:w w:val="105"/>
          <w:sz w:val="21"/>
        </w:rPr>
        <w:t>be carried out,</w:t>
      </w:r>
      <w:r>
        <w:rPr>
          <w:spacing w:val="10"/>
          <w:w w:val="105"/>
          <w:sz w:val="21"/>
        </w:rPr>
        <w:t> </w:t>
      </w:r>
      <w:r>
        <w:rPr>
          <w:w w:val="105"/>
          <w:sz w:val="21"/>
        </w:rPr>
        <w:t>or</w:t>
      </w:r>
    </w:p>
    <w:p>
      <w:pPr>
        <w:pStyle w:val="ListParagraph"/>
        <w:numPr>
          <w:ilvl w:val="1"/>
          <w:numId w:val="173"/>
        </w:numPr>
        <w:tabs>
          <w:tab w:pos="2721" w:val="left" w:leader="none"/>
          <w:tab w:pos="2722" w:val="left" w:leader="none"/>
        </w:tabs>
        <w:spacing w:line="240" w:lineRule="auto" w:before="88" w:after="0"/>
        <w:ind w:left="2721" w:right="0" w:hanging="340"/>
        <w:jc w:val="left"/>
        <w:rPr>
          <w:sz w:val="12"/>
        </w:rPr>
      </w:pPr>
      <w:r>
        <w:rPr>
          <w:sz w:val="21"/>
        </w:rPr>
        <w:t>the</w:t>
      </w:r>
      <w:r>
        <w:rPr>
          <w:spacing w:val="9"/>
          <w:sz w:val="21"/>
        </w:rPr>
        <w:t> </w:t>
      </w:r>
      <w:r>
        <w:rPr>
          <w:sz w:val="21"/>
        </w:rPr>
        <w:t>work</w:t>
      </w:r>
      <w:r>
        <w:rPr>
          <w:spacing w:val="10"/>
          <w:sz w:val="21"/>
        </w:rPr>
        <w:t> </w:t>
      </w:r>
      <w:r>
        <w:rPr>
          <w:sz w:val="21"/>
        </w:rPr>
        <w:t>is</w:t>
      </w:r>
      <w:r>
        <w:rPr>
          <w:spacing w:val="9"/>
          <w:sz w:val="21"/>
        </w:rPr>
        <w:t> </w:t>
      </w:r>
      <w:r>
        <w:rPr>
          <w:sz w:val="21"/>
        </w:rPr>
        <w:t>otherwise</w:t>
      </w:r>
      <w:r>
        <w:rPr>
          <w:spacing w:val="10"/>
          <w:sz w:val="21"/>
        </w:rPr>
        <w:t> </w:t>
      </w:r>
      <w:r>
        <w:rPr>
          <w:sz w:val="21"/>
        </w:rPr>
        <w:t>restricted</w:t>
      </w:r>
      <w:r>
        <w:rPr>
          <w:spacing w:val="9"/>
          <w:sz w:val="21"/>
        </w:rPr>
        <w:t> </w:t>
      </w:r>
      <w:r>
        <w:rPr>
          <w:sz w:val="21"/>
        </w:rPr>
        <w:t>or</w:t>
      </w:r>
      <w:r>
        <w:rPr>
          <w:spacing w:val="10"/>
          <w:sz w:val="21"/>
        </w:rPr>
        <w:t> </w:t>
      </w:r>
      <w:r>
        <w:rPr>
          <w:spacing w:val="-3"/>
          <w:sz w:val="21"/>
        </w:rPr>
        <w:t>prohibited</w:t>
      </w:r>
      <w:r>
        <w:rPr>
          <w:spacing w:val="9"/>
          <w:sz w:val="21"/>
        </w:rPr>
        <w:t> </w:t>
      </w:r>
      <w:r>
        <w:rPr>
          <w:sz w:val="21"/>
        </w:rPr>
        <w:t>under</w:t>
      </w:r>
      <w:r>
        <w:rPr>
          <w:spacing w:val="10"/>
          <w:sz w:val="21"/>
        </w:rPr>
        <w:t> </w:t>
      </w:r>
      <w:r>
        <w:rPr>
          <w:sz w:val="21"/>
        </w:rPr>
        <w:t>a</w:t>
      </w:r>
      <w:r>
        <w:rPr>
          <w:spacing w:val="9"/>
          <w:sz w:val="21"/>
        </w:rPr>
        <w:t> </w:t>
      </w:r>
      <w:r>
        <w:rPr>
          <w:sz w:val="21"/>
        </w:rPr>
        <w:t>local</w:t>
      </w:r>
      <w:r>
        <w:rPr>
          <w:spacing w:val="10"/>
          <w:sz w:val="21"/>
        </w:rPr>
        <w:t> </w:t>
      </w:r>
      <w:r>
        <w:rPr>
          <w:spacing w:val="-3"/>
          <w:sz w:val="21"/>
        </w:rPr>
        <w:t>law.</w:t>
      </w:r>
      <w:r>
        <w:rPr>
          <w:spacing w:val="-3"/>
          <w:position w:val="7"/>
          <w:sz w:val="12"/>
        </w:rPr>
        <w:t>270</w:t>
      </w:r>
    </w:p>
    <w:p>
      <w:pPr>
        <w:pStyle w:val="ListParagraph"/>
        <w:numPr>
          <w:ilvl w:val="0"/>
          <w:numId w:val="173"/>
        </w:numPr>
        <w:tabs>
          <w:tab w:pos="2382" w:val="left" w:leader="none"/>
        </w:tabs>
        <w:spacing w:line="242" w:lineRule="auto" w:before="88" w:after="0"/>
        <w:ind w:left="2381" w:right="1699" w:hanging="794"/>
        <w:jc w:val="both"/>
        <w:rPr>
          <w:sz w:val="21"/>
        </w:rPr>
      </w:pPr>
      <w:r>
        <w:rPr>
          <w:sz w:val="21"/>
        </w:rPr>
        <w:t>The </w:t>
      </w:r>
      <w:r>
        <w:rPr>
          <w:spacing w:val="-3"/>
          <w:sz w:val="21"/>
        </w:rPr>
        <w:t>Queensland </w:t>
      </w:r>
      <w:r>
        <w:rPr>
          <w:sz w:val="21"/>
        </w:rPr>
        <w:t>Act specifically provides </w:t>
      </w:r>
      <w:r>
        <w:rPr>
          <w:spacing w:val="-3"/>
          <w:sz w:val="21"/>
        </w:rPr>
        <w:t>that </w:t>
      </w:r>
      <w:r>
        <w:rPr>
          <w:sz w:val="21"/>
        </w:rPr>
        <w:t>work carried out </w:t>
      </w:r>
      <w:r>
        <w:rPr>
          <w:spacing w:val="-3"/>
          <w:sz w:val="21"/>
        </w:rPr>
        <w:t>pursuant to </w:t>
      </w:r>
      <w:r>
        <w:rPr>
          <w:sz w:val="21"/>
        </w:rPr>
        <w:t>this section is lawful despite a local </w:t>
      </w:r>
      <w:r>
        <w:rPr>
          <w:spacing w:val="-4"/>
          <w:sz w:val="21"/>
        </w:rPr>
        <w:t>law.</w:t>
      </w:r>
      <w:r>
        <w:rPr>
          <w:spacing w:val="-4"/>
          <w:position w:val="7"/>
          <w:sz w:val="12"/>
        </w:rPr>
        <w:t>271  </w:t>
      </w:r>
      <w:r>
        <w:rPr>
          <w:sz w:val="21"/>
        </w:rPr>
        <w:t>Section 65(b) also provides </w:t>
      </w:r>
      <w:r>
        <w:rPr>
          <w:spacing w:val="-3"/>
          <w:sz w:val="21"/>
        </w:rPr>
        <w:t>that  </w:t>
      </w:r>
      <w:r>
        <w:rPr>
          <w:spacing w:val="-4"/>
          <w:sz w:val="21"/>
        </w:rPr>
        <w:t>QCAT  </w:t>
      </w:r>
      <w:r>
        <w:rPr>
          <w:spacing w:val="-3"/>
          <w:sz w:val="21"/>
        </w:rPr>
        <w:t>may  </w:t>
      </w:r>
      <w:r>
        <w:rPr>
          <w:spacing w:val="-4"/>
          <w:sz w:val="21"/>
        </w:rPr>
        <w:t>make  </w:t>
      </w:r>
      <w:r>
        <w:rPr>
          <w:sz w:val="21"/>
        </w:rPr>
        <w:t>an order if   it is satisfied </w:t>
      </w:r>
      <w:r>
        <w:rPr>
          <w:spacing w:val="-3"/>
          <w:sz w:val="21"/>
        </w:rPr>
        <w:t>that </w:t>
      </w:r>
      <w:r>
        <w:rPr>
          <w:sz w:val="21"/>
        </w:rPr>
        <w:t>the </w:t>
      </w:r>
      <w:r>
        <w:rPr>
          <w:spacing w:val="-3"/>
          <w:sz w:val="21"/>
        </w:rPr>
        <w:t>neighbour </w:t>
      </w:r>
      <w:r>
        <w:rPr>
          <w:spacing w:val="-2"/>
          <w:sz w:val="21"/>
        </w:rPr>
        <w:t>has </w:t>
      </w:r>
      <w:r>
        <w:rPr>
          <w:spacing w:val="-3"/>
          <w:sz w:val="21"/>
        </w:rPr>
        <w:t>taken all reasonable </w:t>
      </w:r>
      <w:r>
        <w:rPr>
          <w:sz w:val="21"/>
        </w:rPr>
        <w:t>steps </w:t>
      </w:r>
      <w:r>
        <w:rPr>
          <w:spacing w:val="-3"/>
          <w:sz w:val="21"/>
        </w:rPr>
        <w:t>to </w:t>
      </w:r>
      <w:r>
        <w:rPr>
          <w:sz w:val="21"/>
        </w:rPr>
        <w:t>resolve the issue under local </w:t>
      </w:r>
      <w:r>
        <w:rPr>
          <w:spacing w:val="-5"/>
          <w:sz w:val="21"/>
        </w:rPr>
        <w:t>law, </w:t>
      </w:r>
      <w:r>
        <w:rPr>
          <w:sz w:val="21"/>
        </w:rPr>
        <w:t>a local </w:t>
      </w:r>
      <w:r>
        <w:rPr>
          <w:spacing w:val="-3"/>
          <w:sz w:val="21"/>
        </w:rPr>
        <w:t>government </w:t>
      </w:r>
      <w:r>
        <w:rPr>
          <w:sz w:val="21"/>
        </w:rPr>
        <w:t>scheme or local </w:t>
      </w:r>
      <w:r>
        <w:rPr>
          <w:spacing w:val="-3"/>
          <w:sz w:val="21"/>
        </w:rPr>
        <w:t>government administrative</w:t>
      </w:r>
      <w:r>
        <w:rPr>
          <w:spacing w:val="39"/>
          <w:sz w:val="21"/>
        </w:rPr>
        <w:t> </w:t>
      </w:r>
      <w:r>
        <w:rPr>
          <w:sz w:val="21"/>
        </w:rPr>
        <w:t>process.</w:t>
      </w:r>
    </w:p>
    <w:p>
      <w:pPr>
        <w:pStyle w:val="ListParagraph"/>
        <w:numPr>
          <w:ilvl w:val="0"/>
          <w:numId w:val="173"/>
        </w:numPr>
        <w:tabs>
          <w:tab w:pos="2382" w:val="left" w:leader="none"/>
        </w:tabs>
        <w:spacing w:line="242" w:lineRule="auto" w:before="125" w:after="0"/>
        <w:ind w:left="2381" w:right="1858" w:hanging="794"/>
        <w:jc w:val="both"/>
        <w:rPr>
          <w:sz w:val="12"/>
        </w:rPr>
      </w:pPr>
      <w:r>
        <w:rPr>
          <w:sz w:val="21"/>
        </w:rPr>
        <w:t>In </w:t>
      </w:r>
      <w:r>
        <w:rPr>
          <w:spacing w:val="-3"/>
          <w:sz w:val="21"/>
        </w:rPr>
        <w:t>Queensland, ‘it </w:t>
      </w:r>
      <w:r>
        <w:rPr>
          <w:sz w:val="21"/>
        </w:rPr>
        <w:t>is the specific </w:t>
      </w:r>
      <w:r>
        <w:rPr>
          <w:spacing w:val="-3"/>
          <w:sz w:val="21"/>
        </w:rPr>
        <w:t>intention </w:t>
      </w:r>
      <w:r>
        <w:rPr>
          <w:sz w:val="21"/>
        </w:rPr>
        <w:t>of the </w:t>
      </w:r>
      <w:r>
        <w:rPr>
          <w:spacing w:val="-3"/>
          <w:sz w:val="21"/>
        </w:rPr>
        <w:t>Bill that </w:t>
      </w:r>
      <w:r>
        <w:rPr>
          <w:spacing w:val="-4"/>
          <w:sz w:val="21"/>
        </w:rPr>
        <w:t>QCAT </w:t>
      </w:r>
      <w:r>
        <w:rPr>
          <w:sz w:val="21"/>
        </w:rPr>
        <w:t>can override a local </w:t>
      </w:r>
      <w:r>
        <w:rPr>
          <w:spacing w:val="-5"/>
          <w:sz w:val="21"/>
        </w:rPr>
        <w:t>law, </w:t>
      </w:r>
      <w:r>
        <w:rPr>
          <w:sz w:val="21"/>
        </w:rPr>
        <w:t>particularly </w:t>
      </w:r>
      <w:r>
        <w:rPr>
          <w:spacing w:val="-3"/>
          <w:sz w:val="21"/>
        </w:rPr>
        <w:t>relating to </w:t>
      </w:r>
      <w:r>
        <w:rPr>
          <w:sz w:val="21"/>
        </w:rPr>
        <w:t>vegetation protection orders, where it can be </w:t>
      </w:r>
      <w:r>
        <w:rPr>
          <w:spacing w:val="-2"/>
          <w:sz w:val="21"/>
        </w:rPr>
        <w:t>demonstrated </w:t>
      </w:r>
      <w:r>
        <w:rPr>
          <w:spacing w:val="-3"/>
          <w:sz w:val="21"/>
        </w:rPr>
        <w:t>that </w:t>
      </w:r>
      <w:r>
        <w:rPr>
          <w:sz w:val="21"/>
        </w:rPr>
        <w:t>the tree is a</w:t>
      </w:r>
      <w:r>
        <w:rPr>
          <w:spacing w:val="34"/>
          <w:sz w:val="21"/>
        </w:rPr>
        <w:t> </w:t>
      </w:r>
      <w:r>
        <w:rPr>
          <w:spacing w:val="-4"/>
          <w:sz w:val="21"/>
        </w:rPr>
        <w:t>nuisance’.</w:t>
      </w:r>
      <w:r>
        <w:rPr>
          <w:spacing w:val="-4"/>
          <w:position w:val="7"/>
          <w:sz w:val="12"/>
        </w:rPr>
        <w:t>272</w:t>
      </w:r>
    </w:p>
    <w:p>
      <w:pPr>
        <w:pStyle w:val="ListParagraph"/>
        <w:numPr>
          <w:ilvl w:val="0"/>
          <w:numId w:val="173"/>
        </w:numPr>
        <w:tabs>
          <w:tab w:pos="2381" w:val="left" w:leader="none"/>
          <w:tab w:pos="2382" w:val="left" w:leader="none"/>
        </w:tabs>
        <w:spacing w:line="242" w:lineRule="auto" w:before="123" w:after="0"/>
        <w:ind w:left="2381" w:right="1748" w:hanging="794"/>
        <w:jc w:val="left"/>
        <w:rPr>
          <w:sz w:val="12"/>
        </w:rPr>
      </w:pPr>
      <w:r>
        <w:rPr>
          <w:w w:val="105"/>
          <w:sz w:val="21"/>
        </w:rPr>
        <w:t>If a </w:t>
      </w:r>
      <w:r>
        <w:rPr>
          <w:spacing w:val="-3"/>
          <w:w w:val="105"/>
          <w:sz w:val="21"/>
        </w:rPr>
        <w:t>council </w:t>
      </w:r>
      <w:r>
        <w:rPr>
          <w:spacing w:val="-2"/>
          <w:w w:val="105"/>
          <w:sz w:val="21"/>
        </w:rPr>
        <w:t>has </w:t>
      </w:r>
      <w:r>
        <w:rPr>
          <w:w w:val="105"/>
          <w:sz w:val="21"/>
        </w:rPr>
        <w:t>local law which would </w:t>
      </w:r>
      <w:r>
        <w:rPr>
          <w:spacing w:val="-3"/>
          <w:w w:val="105"/>
          <w:sz w:val="21"/>
        </w:rPr>
        <w:t>allow concerns </w:t>
      </w:r>
      <w:r>
        <w:rPr>
          <w:w w:val="105"/>
          <w:sz w:val="21"/>
        </w:rPr>
        <w:t>about a </w:t>
      </w:r>
      <w:r>
        <w:rPr>
          <w:spacing w:val="-3"/>
          <w:w w:val="105"/>
          <w:sz w:val="21"/>
        </w:rPr>
        <w:t>dangerous </w:t>
      </w:r>
      <w:r>
        <w:rPr>
          <w:w w:val="105"/>
          <w:sz w:val="21"/>
        </w:rPr>
        <w:t>tree </w:t>
      </w:r>
      <w:r>
        <w:rPr>
          <w:spacing w:val="-3"/>
          <w:w w:val="105"/>
          <w:sz w:val="21"/>
        </w:rPr>
        <w:t>to </w:t>
      </w:r>
      <w:r>
        <w:rPr>
          <w:w w:val="105"/>
          <w:sz w:val="21"/>
        </w:rPr>
        <w:t>be addressed,</w:t>
      </w:r>
      <w:r>
        <w:rPr>
          <w:spacing w:val="-11"/>
          <w:w w:val="105"/>
          <w:sz w:val="21"/>
        </w:rPr>
        <w:t> </w:t>
      </w:r>
      <w:r>
        <w:rPr>
          <w:w w:val="105"/>
          <w:sz w:val="21"/>
        </w:rPr>
        <w:t>then</w:t>
      </w:r>
      <w:r>
        <w:rPr>
          <w:spacing w:val="-10"/>
          <w:w w:val="105"/>
          <w:sz w:val="21"/>
        </w:rPr>
        <w:t> </w:t>
      </w:r>
      <w:r>
        <w:rPr>
          <w:w w:val="105"/>
          <w:sz w:val="21"/>
        </w:rPr>
        <w:t>the</w:t>
      </w:r>
      <w:r>
        <w:rPr>
          <w:spacing w:val="-10"/>
          <w:w w:val="105"/>
          <w:sz w:val="21"/>
        </w:rPr>
        <w:t> </w:t>
      </w:r>
      <w:r>
        <w:rPr>
          <w:w w:val="105"/>
          <w:sz w:val="21"/>
        </w:rPr>
        <w:t>process</w:t>
      </w:r>
      <w:r>
        <w:rPr>
          <w:spacing w:val="-10"/>
          <w:w w:val="105"/>
          <w:sz w:val="21"/>
        </w:rPr>
        <w:t> </w:t>
      </w:r>
      <w:r>
        <w:rPr>
          <w:w w:val="105"/>
          <w:sz w:val="21"/>
        </w:rPr>
        <w:t>under</w:t>
      </w:r>
      <w:r>
        <w:rPr>
          <w:spacing w:val="-11"/>
          <w:w w:val="105"/>
          <w:sz w:val="21"/>
        </w:rPr>
        <w:t> </w:t>
      </w:r>
      <w:r>
        <w:rPr>
          <w:w w:val="105"/>
          <w:sz w:val="21"/>
        </w:rPr>
        <w:t>the</w:t>
      </w:r>
      <w:r>
        <w:rPr>
          <w:spacing w:val="-10"/>
          <w:w w:val="105"/>
          <w:sz w:val="21"/>
        </w:rPr>
        <w:t> </w:t>
      </w:r>
      <w:r>
        <w:rPr>
          <w:w w:val="105"/>
          <w:sz w:val="21"/>
        </w:rPr>
        <w:t>local</w:t>
      </w:r>
      <w:r>
        <w:rPr>
          <w:spacing w:val="-10"/>
          <w:w w:val="105"/>
          <w:sz w:val="21"/>
        </w:rPr>
        <w:t> </w:t>
      </w:r>
      <w:r>
        <w:rPr>
          <w:w w:val="105"/>
          <w:sz w:val="21"/>
        </w:rPr>
        <w:t>law</w:t>
      </w:r>
      <w:r>
        <w:rPr>
          <w:spacing w:val="-10"/>
          <w:w w:val="105"/>
          <w:sz w:val="21"/>
        </w:rPr>
        <w:t> </w:t>
      </w:r>
      <w:r>
        <w:rPr>
          <w:w w:val="105"/>
          <w:sz w:val="21"/>
        </w:rPr>
        <w:t>should</w:t>
      </w:r>
      <w:r>
        <w:rPr>
          <w:spacing w:val="-11"/>
          <w:w w:val="105"/>
          <w:sz w:val="21"/>
        </w:rPr>
        <w:t> </w:t>
      </w:r>
      <w:r>
        <w:rPr>
          <w:w w:val="105"/>
          <w:sz w:val="21"/>
        </w:rPr>
        <w:t>be</w:t>
      </w:r>
      <w:r>
        <w:rPr>
          <w:spacing w:val="-10"/>
          <w:w w:val="105"/>
          <w:sz w:val="21"/>
        </w:rPr>
        <w:t> </w:t>
      </w:r>
      <w:r>
        <w:rPr>
          <w:w w:val="105"/>
          <w:sz w:val="21"/>
        </w:rPr>
        <w:t>used</w:t>
      </w:r>
      <w:r>
        <w:rPr>
          <w:spacing w:val="-10"/>
          <w:w w:val="105"/>
          <w:sz w:val="21"/>
        </w:rPr>
        <w:t> </w:t>
      </w:r>
      <w:r>
        <w:rPr>
          <w:w w:val="105"/>
          <w:sz w:val="21"/>
        </w:rPr>
        <w:t>first</w:t>
      </w:r>
      <w:r>
        <w:rPr>
          <w:spacing w:val="-10"/>
          <w:w w:val="105"/>
          <w:sz w:val="21"/>
        </w:rPr>
        <w:t> </w:t>
      </w:r>
      <w:r>
        <w:rPr>
          <w:spacing w:val="-3"/>
          <w:w w:val="105"/>
          <w:sz w:val="21"/>
        </w:rPr>
        <w:t>to</w:t>
      </w:r>
      <w:r>
        <w:rPr>
          <w:spacing w:val="-11"/>
          <w:w w:val="105"/>
          <w:sz w:val="21"/>
        </w:rPr>
        <w:t> </w:t>
      </w:r>
      <w:r>
        <w:rPr>
          <w:w w:val="105"/>
          <w:sz w:val="21"/>
        </w:rPr>
        <w:t>try</w:t>
      </w:r>
      <w:r>
        <w:rPr>
          <w:spacing w:val="-10"/>
          <w:w w:val="105"/>
          <w:sz w:val="21"/>
        </w:rPr>
        <w:t> </w:t>
      </w:r>
      <w:r>
        <w:rPr>
          <w:spacing w:val="-3"/>
          <w:w w:val="105"/>
          <w:sz w:val="21"/>
        </w:rPr>
        <w:t>to</w:t>
      </w:r>
      <w:r>
        <w:rPr>
          <w:spacing w:val="-10"/>
          <w:w w:val="105"/>
          <w:sz w:val="21"/>
        </w:rPr>
        <w:t> </w:t>
      </w:r>
      <w:r>
        <w:rPr>
          <w:w w:val="105"/>
          <w:sz w:val="21"/>
        </w:rPr>
        <w:t>resolve</w:t>
      </w:r>
      <w:r>
        <w:rPr>
          <w:spacing w:val="-10"/>
          <w:w w:val="105"/>
          <w:sz w:val="21"/>
        </w:rPr>
        <w:t> </w:t>
      </w:r>
      <w:r>
        <w:rPr>
          <w:w w:val="105"/>
          <w:sz w:val="21"/>
        </w:rPr>
        <w:t>the issue.</w:t>
      </w:r>
      <w:r>
        <w:rPr>
          <w:w w:val="105"/>
          <w:position w:val="7"/>
          <w:sz w:val="12"/>
        </w:rPr>
        <w:t>273</w:t>
      </w:r>
    </w:p>
    <w:p>
      <w:pPr>
        <w:pStyle w:val="BodyText"/>
        <w:rPr>
          <w:sz w:val="20"/>
        </w:rPr>
      </w:pPr>
    </w:p>
    <w:p>
      <w:pPr>
        <w:pStyle w:val="BodyText"/>
        <w:spacing w:before="10"/>
        <w:rPr>
          <w:sz w:val="19"/>
        </w:rPr>
      </w:pPr>
      <w:r>
        <w:rPr/>
        <w:pict>
          <v:line style="position:absolute;mso-position-horizontal-relative:page;mso-position-vertical-relative:paragraph;z-index:9968;mso-wrap-distance-left:0;mso-wrap-distance-right:0" from="79.370102pt,14.578872pt" to="515.905102pt,14.578872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31"/>
        </w:rPr>
      </w:pPr>
    </w:p>
    <w:p>
      <w:pPr>
        <w:spacing w:before="1"/>
        <w:ind w:left="720" w:right="0" w:firstLine="0"/>
        <w:jc w:val="left"/>
        <w:rPr>
          <w:b/>
          <w:sz w:val="24"/>
        </w:rPr>
      </w:pPr>
      <w:r>
        <w:rPr>
          <w:b/>
          <w:color w:val="658464"/>
          <w:w w:val="110"/>
          <w:sz w:val="24"/>
        </w:rPr>
        <w:t>242</w:t>
      </w:r>
    </w:p>
    <w:p>
      <w:pPr>
        <w:pStyle w:val="ListParagraph"/>
        <w:numPr>
          <w:ilvl w:val="0"/>
          <w:numId w:val="177"/>
        </w:numPr>
        <w:tabs>
          <w:tab w:pos="1216" w:val="left" w:leader="none"/>
          <w:tab w:pos="1218" w:val="left" w:leader="none"/>
        </w:tabs>
        <w:spacing w:line="240" w:lineRule="auto" w:before="48" w:after="0"/>
        <w:ind w:left="1217" w:right="2053" w:hanging="794"/>
        <w:jc w:val="left"/>
        <w:rPr>
          <w:sz w:val="13"/>
        </w:rPr>
      </w:pPr>
      <w:r>
        <w:rPr>
          <w:spacing w:val="2"/>
          <w:w w:val="108"/>
          <w:sz w:val="13"/>
        </w:rPr>
        <w:br w:type="column"/>
      </w:r>
      <w:r>
        <w:rPr>
          <w:sz w:val="13"/>
        </w:rPr>
        <w:t>See, eg, Michelle Lensink, ‘Tree Protection Laws in Australian States and Territories’, </w:t>
      </w:r>
      <w:r>
        <w:rPr>
          <w:i/>
          <w:sz w:val="13"/>
        </w:rPr>
        <w:t>Treenet </w:t>
      </w:r>
      <w:r>
        <w:rPr>
          <w:sz w:val="13"/>
        </w:rPr>
        <w:t>(Web Page, 2017) </w:t>
      </w:r>
      <w:r>
        <w:rPr>
          <w:spacing w:val="2"/>
          <w:sz w:val="13"/>
        </w:rPr>
        <w:t>&lt;https://treenet.org/ </w:t>
      </w:r>
      <w:r>
        <w:rPr>
          <w:sz w:val="13"/>
        </w:rPr>
        <w:t>resources/tree-protection-laws-in-australian-states-and-territories/&gt;.</w:t>
      </w:r>
    </w:p>
    <w:p>
      <w:pPr>
        <w:pStyle w:val="ListParagraph"/>
        <w:numPr>
          <w:ilvl w:val="0"/>
          <w:numId w:val="177"/>
        </w:numPr>
        <w:tabs>
          <w:tab w:pos="1216" w:val="left" w:leader="none"/>
          <w:tab w:pos="1218" w:val="left" w:leader="none"/>
        </w:tabs>
        <w:spacing w:line="240" w:lineRule="auto" w:before="3" w:after="0"/>
        <w:ind w:left="1217" w:right="1587" w:hanging="794"/>
        <w:jc w:val="left"/>
        <w:rPr>
          <w:sz w:val="13"/>
        </w:rPr>
      </w:pPr>
      <w:r>
        <w:rPr>
          <w:i/>
          <w:sz w:val="13"/>
        </w:rPr>
        <w:t>Natural </w:t>
      </w:r>
      <w:r>
        <w:rPr>
          <w:i/>
          <w:spacing w:val="2"/>
          <w:sz w:val="13"/>
        </w:rPr>
        <w:t>Assets </w:t>
      </w:r>
      <w:r>
        <w:rPr>
          <w:i/>
          <w:sz w:val="13"/>
        </w:rPr>
        <w:t>Local Law 2003 </w:t>
      </w:r>
      <w:r>
        <w:rPr>
          <w:sz w:val="13"/>
        </w:rPr>
        <w:t>(Brisbane  City  Council)  pt  3,  s  19.  The  Commission  notes  that  a  person  may  interfere  with  protected vegetation without a permit under the local law if the interference  constitutes  ‘removal  of  trees  or  </w:t>
      </w:r>
      <w:r>
        <w:rPr>
          <w:spacing w:val="2"/>
          <w:sz w:val="13"/>
        </w:rPr>
        <w:t>parts  </w:t>
      </w:r>
      <w:r>
        <w:rPr>
          <w:sz w:val="13"/>
        </w:rPr>
        <w:t>of  trees  that  are  causing  an immediate and significant threat to persons or </w:t>
      </w:r>
      <w:r>
        <w:rPr>
          <w:spacing w:val="2"/>
          <w:sz w:val="13"/>
        </w:rPr>
        <w:t>property’ </w:t>
      </w:r>
      <w:r>
        <w:rPr>
          <w:sz w:val="13"/>
        </w:rPr>
        <w:t>as demonstrated by adequate photographic evidence and an  arborist’s  report,  if requested. Exemptions also apply to the removal of protected vegetation where the removal is essential for emergency access or emergency       works or where the removal  is  immediately  required  in  response  to  an  accident  or  emergency;  and  pruning  vegetation  other  than  a significant landscape tree for  the  purpose  of  maintenance  or  hazard  management,  as  long  as  no  more  than  20%  of  the  live  foliage  volume of a tree or shrub is removed in any 12-month period and the part removed is distributed sufficiently evenly over the whole crown that the              tree</w:t>
      </w:r>
      <w:r>
        <w:rPr>
          <w:spacing w:val="10"/>
          <w:sz w:val="13"/>
        </w:rPr>
        <w:t> </w:t>
      </w:r>
      <w:r>
        <w:rPr>
          <w:sz w:val="13"/>
        </w:rPr>
        <w:t>or</w:t>
      </w:r>
      <w:r>
        <w:rPr>
          <w:spacing w:val="11"/>
          <w:sz w:val="13"/>
        </w:rPr>
        <w:t> </w:t>
      </w:r>
      <w:r>
        <w:rPr>
          <w:sz w:val="13"/>
        </w:rPr>
        <w:t>shrub</w:t>
      </w:r>
      <w:r>
        <w:rPr>
          <w:spacing w:val="11"/>
          <w:sz w:val="13"/>
        </w:rPr>
        <w:t> </w:t>
      </w:r>
      <w:r>
        <w:rPr>
          <w:sz w:val="13"/>
        </w:rPr>
        <w:t>is</w:t>
      </w:r>
      <w:r>
        <w:rPr>
          <w:spacing w:val="11"/>
          <w:sz w:val="13"/>
        </w:rPr>
        <w:t> </w:t>
      </w:r>
      <w:r>
        <w:rPr>
          <w:sz w:val="13"/>
        </w:rPr>
        <w:t>not</w:t>
      </w:r>
      <w:r>
        <w:rPr>
          <w:spacing w:val="11"/>
          <w:sz w:val="13"/>
        </w:rPr>
        <w:t> </w:t>
      </w:r>
      <w:r>
        <w:rPr>
          <w:sz w:val="13"/>
        </w:rPr>
        <w:t>left</w:t>
      </w:r>
      <w:r>
        <w:rPr>
          <w:spacing w:val="11"/>
          <w:sz w:val="13"/>
        </w:rPr>
        <w:t> </w:t>
      </w:r>
      <w:r>
        <w:rPr>
          <w:spacing w:val="2"/>
          <w:sz w:val="13"/>
        </w:rPr>
        <w:t>lop-sided:</w:t>
      </w:r>
      <w:r>
        <w:rPr>
          <w:spacing w:val="11"/>
          <w:sz w:val="13"/>
        </w:rPr>
        <w:t> </w:t>
      </w:r>
      <w:r>
        <w:rPr>
          <w:i/>
          <w:sz w:val="13"/>
        </w:rPr>
        <w:t>Natural</w:t>
      </w:r>
      <w:r>
        <w:rPr>
          <w:i/>
          <w:spacing w:val="11"/>
          <w:sz w:val="13"/>
        </w:rPr>
        <w:t> </w:t>
      </w:r>
      <w:r>
        <w:rPr>
          <w:i/>
          <w:spacing w:val="2"/>
          <w:sz w:val="13"/>
        </w:rPr>
        <w:t>Assets</w:t>
      </w:r>
      <w:r>
        <w:rPr>
          <w:i/>
          <w:spacing w:val="11"/>
          <w:sz w:val="13"/>
        </w:rPr>
        <w:t> </w:t>
      </w:r>
      <w:r>
        <w:rPr>
          <w:i/>
          <w:sz w:val="13"/>
        </w:rPr>
        <w:t>Local</w:t>
      </w:r>
      <w:r>
        <w:rPr>
          <w:i/>
          <w:spacing w:val="10"/>
          <w:sz w:val="13"/>
        </w:rPr>
        <w:t> </w:t>
      </w:r>
      <w:r>
        <w:rPr>
          <w:i/>
          <w:sz w:val="13"/>
        </w:rPr>
        <w:t>Law</w:t>
      </w:r>
      <w:r>
        <w:rPr>
          <w:i/>
          <w:spacing w:val="11"/>
          <w:sz w:val="13"/>
        </w:rPr>
        <w:t> </w:t>
      </w:r>
      <w:r>
        <w:rPr>
          <w:i/>
          <w:sz w:val="13"/>
        </w:rPr>
        <w:t>2003</w:t>
      </w:r>
      <w:r>
        <w:rPr>
          <w:i/>
          <w:spacing w:val="11"/>
          <w:sz w:val="13"/>
        </w:rPr>
        <w:t> </w:t>
      </w:r>
      <w:r>
        <w:rPr>
          <w:sz w:val="13"/>
        </w:rPr>
        <w:t>(Brisbane</w:t>
      </w:r>
      <w:r>
        <w:rPr>
          <w:spacing w:val="11"/>
          <w:sz w:val="13"/>
        </w:rPr>
        <w:t> </w:t>
      </w:r>
      <w:r>
        <w:rPr>
          <w:sz w:val="13"/>
        </w:rPr>
        <w:t>City</w:t>
      </w:r>
      <w:r>
        <w:rPr>
          <w:spacing w:val="11"/>
          <w:sz w:val="13"/>
        </w:rPr>
        <w:t> </w:t>
      </w:r>
      <w:r>
        <w:rPr>
          <w:sz w:val="13"/>
        </w:rPr>
        <w:t>Council)</w:t>
      </w:r>
      <w:r>
        <w:rPr>
          <w:spacing w:val="11"/>
          <w:sz w:val="13"/>
        </w:rPr>
        <w:t> </w:t>
      </w:r>
      <w:r>
        <w:rPr>
          <w:sz w:val="13"/>
        </w:rPr>
        <w:t>pt</w:t>
      </w:r>
      <w:r>
        <w:rPr>
          <w:spacing w:val="11"/>
          <w:sz w:val="13"/>
        </w:rPr>
        <w:t> </w:t>
      </w:r>
      <w:r>
        <w:rPr>
          <w:spacing w:val="-6"/>
          <w:sz w:val="13"/>
        </w:rPr>
        <w:t>7,</w:t>
      </w:r>
      <w:r>
        <w:rPr>
          <w:spacing w:val="11"/>
          <w:sz w:val="13"/>
        </w:rPr>
        <w:t> </w:t>
      </w:r>
      <w:r>
        <w:rPr>
          <w:sz w:val="13"/>
        </w:rPr>
        <w:t>s</w:t>
      </w:r>
      <w:r>
        <w:rPr>
          <w:spacing w:val="11"/>
          <w:sz w:val="13"/>
        </w:rPr>
        <w:t> </w:t>
      </w:r>
      <w:r>
        <w:rPr>
          <w:spacing w:val="3"/>
          <w:sz w:val="13"/>
        </w:rPr>
        <w:t>44</w:t>
      </w:r>
      <w:r>
        <w:rPr>
          <w:spacing w:val="11"/>
          <w:sz w:val="13"/>
        </w:rPr>
        <w:t> </w:t>
      </w:r>
      <w:r>
        <w:rPr>
          <w:sz w:val="13"/>
        </w:rPr>
        <w:t>‘Exempt</w:t>
      </w:r>
      <w:r>
        <w:rPr>
          <w:spacing w:val="10"/>
          <w:sz w:val="13"/>
        </w:rPr>
        <w:t> </w:t>
      </w:r>
      <w:r>
        <w:rPr>
          <w:sz w:val="13"/>
        </w:rPr>
        <w:t>activities’.</w:t>
      </w:r>
    </w:p>
    <w:p>
      <w:pPr>
        <w:pStyle w:val="ListParagraph"/>
        <w:numPr>
          <w:ilvl w:val="0"/>
          <w:numId w:val="177"/>
        </w:numPr>
        <w:tabs>
          <w:tab w:pos="1216" w:val="left" w:leader="none"/>
          <w:tab w:pos="1218" w:val="left" w:leader="none"/>
        </w:tabs>
        <w:spacing w:line="240" w:lineRule="auto" w:before="10" w:after="0"/>
        <w:ind w:left="1217" w:right="1788" w:hanging="794"/>
        <w:jc w:val="left"/>
        <w:rPr>
          <w:sz w:val="13"/>
        </w:rPr>
      </w:pPr>
      <w:r>
        <w:rPr>
          <w:w w:val="105"/>
          <w:sz w:val="13"/>
        </w:rPr>
        <w:t>See Brisbane City Council, </w:t>
      </w:r>
      <w:r>
        <w:rPr>
          <w:i/>
          <w:w w:val="105"/>
          <w:sz w:val="13"/>
        </w:rPr>
        <w:t>Types of Protected Vegetation </w:t>
      </w:r>
      <w:r>
        <w:rPr>
          <w:w w:val="105"/>
          <w:sz w:val="13"/>
        </w:rPr>
        <w:t>(Web Page, 24 January 2019) </w:t>
      </w:r>
      <w:r>
        <w:rPr>
          <w:spacing w:val="2"/>
          <w:w w:val="105"/>
          <w:sz w:val="13"/>
        </w:rPr>
        <w:t>&lt;https://</w:t>
      </w:r>
      <w:hyperlink r:id="rId293">
        <w:r>
          <w:rPr>
            <w:spacing w:val="2"/>
            <w:w w:val="105"/>
            <w:sz w:val="13"/>
          </w:rPr>
          <w:t>www.brisbane.qld.gov.au/laws-permits/</w:t>
        </w:r>
      </w:hyperlink>
      <w:r>
        <w:rPr>
          <w:spacing w:val="2"/>
          <w:w w:val="105"/>
          <w:sz w:val="13"/>
        </w:rPr>
        <w:t> laws-permits-residents/protected-vegetation/types-protected-vegetation&gt;.</w:t>
      </w:r>
    </w:p>
    <w:p>
      <w:pPr>
        <w:pStyle w:val="ListParagraph"/>
        <w:numPr>
          <w:ilvl w:val="0"/>
          <w:numId w:val="177"/>
        </w:numPr>
        <w:tabs>
          <w:tab w:pos="1216" w:val="left" w:leader="none"/>
          <w:tab w:pos="1218" w:val="left" w:leader="none"/>
        </w:tabs>
        <w:spacing w:line="240" w:lineRule="auto" w:before="3" w:after="0"/>
        <w:ind w:left="1217" w:right="0" w:hanging="794"/>
        <w:jc w:val="left"/>
        <w:rPr>
          <w:sz w:val="13"/>
        </w:rPr>
      </w:pPr>
      <w:r>
        <w:rPr>
          <w:i/>
          <w:w w:val="105"/>
          <w:sz w:val="13"/>
        </w:rPr>
        <w:t>Neighbourhood</w:t>
      </w:r>
      <w:r>
        <w:rPr>
          <w:i/>
          <w:spacing w:val="5"/>
          <w:w w:val="105"/>
          <w:sz w:val="13"/>
        </w:rPr>
        <w:t> </w:t>
      </w:r>
      <w:r>
        <w:rPr>
          <w:i/>
          <w:w w:val="105"/>
          <w:sz w:val="13"/>
        </w:rPr>
        <w:t>Disputes</w:t>
      </w:r>
      <w:r>
        <w:rPr>
          <w:i/>
          <w:spacing w:val="5"/>
          <w:w w:val="105"/>
          <w:sz w:val="13"/>
        </w:rPr>
        <w:t> </w:t>
      </w:r>
      <w:r>
        <w:rPr>
          <w:i/>
          <w:w w:val="105"/>
          <w:sz w:val="13"/>
        </w:rPr>
        <w:t>(Dividing</w:t>
      </w:r>
      <w:r>
        <w:rPr>
          <w:i/>
          <w:spacing w:val="6"/>
          <w:w w:val="105"/>
          <w:sz w:val="13"/>
        </w:rPr>
        <w:t> </w:t>
      </w:r>
      <w:r>
        <w:rPr>
          <w:i/>
          <w:w w:val="105"/>
          <w:sz w:val="13"/>
        </w:rPr>
        <w:t>Fences</w:t>
      </w:r>
      <w:r>
        <w:rPr>
          <w:i/>
          <w:spacing w:val="5"/>
          <w:w w:val="105"/>
          <w:sz w:val="13"/>
        </w:rPr>
        <w:t> </w:t>
      </w:r>
      <w:r>
        <w:rPr>
          <w:i/>
          <w:w w:val="105"/>
          <w:sz w:val="13"/>
        </w:rPr>
        <w:t>and</w:t>
      </w:r>
      <w:r>
        <w:rPr>
          <w:i/>
          <w:spacing w:val="6"/>
          <w:w w:val="105"/>
          <w:sz w:val="13"/>
        </w:rPr>
        <w:t> </w:t>
      </w:r>
      <w:r>
        <w:rPr>
          <w:i/>
          <w:w w:val="105"/>
          <w:sz w:val="13"/>
        </w:rPr>
        <w:t>Trees)</w:t>
      </w:r>
      <w:r>
        <w:rPr>
          <w:i/>
          <w:spacing w:val="5"/>
          <w:w w:val="105"/>
          <w:sz w:val="13"/>
        </w:rPr>
        <w:t> </w:t>
      </w:r>
      <w:r>
        <w:rPr>
          <w:i/>
          <w:w w:val="105"/>
          <w:sz w:val="13"/>
        </w:rPr>
        <w:t>Act</w:t>
      </w:r>
      <w:r>
        <w:rPr>
          <w:i/>
          <w:spacing w:val="6"/>
          <w:w w:val="105"/>
          <w:sz w:val="13"/>
        </w:rPr>
        <w:t> </w:t>
      </w:r>
      <w:r>
        <w:rPr>
          <w:i/>
          <w:spacing w:val="-4"/>
          <w:w w:val="105"/>
          <w:sz w:val="13"/>
        </w:rPr>
        <w:t>2011</w:t>
      </w:r>
      <w:r>
        <w:rPr>
          <w:i/>
          <w:spacing w:val="5"/>
          <w:w w:val="105"/>
          <w:sz w:val="13"/>
        </w:rPr>
        <w:t> </w:t>
      </w:r>
      <w:r>
        <w:rPr>
          <w:spacing w:val="2"/>
          <w:w w:val="105"/>
          <w:sz w:val="13"/>
        </w:rPr>
        <w:t>(Qld)</w:t>
      </w:r>
      <w:r>
        <w:rPr>
          <w:spacing w:val="5"/>
          <w:w w:val="105"/>
          <w:sz w:val="13"/>
        </w:rPr>
        <w:t> </w:t>
      </w:r>
      <w:r>
        <w:rPr>
          <w:w w:val="105"/>
          <w:sz w:val="13"/>
        </w:rPr>
        <w:t>ss</w:t>
      </w:r>
      <w:r>
        <w:rPr>
          <w:spacing w:val="6"/>
          <w:w w:val="105"/>
          <w:sz w:val="13"/>
        </w:rPr>
        <w:t> </w:t>
      </w:r>
      <w:r>
        <w:rPr>
          <w:w w:val="105"/>
          <w:sz w:val="13"/>
        </w:rPr>
        <w:t>43,</w:t>
      </w:r>
      <w:r>
        <w:rPr>
          <w:spacing w:val="5"/>
          <w:w w:val="105"/>
          <w:sz w:val="13"/>
        </w:rPr>
        <w:t> </w:t>
      </w:r>
      <w:r>
        <w:rPr>
          <w:w w:val="105"/>
          <w:sz w:val="13"/>
        </w:rPr>
        <w:t>67</w:t>
      </w:r>
      <w:r>
        <w:rPr>
          <w:spacing w:val="6"/>
          <w:w w:val="105"/>
          <w:sz w:val="13"/>
        </w:rPr>
        <w:t> </w:t>
      </w:r>
      <w:r>
        <w:rPr>
          <w:spacing w:val="2"/>
          <w:w w:val="105"/>
          <w:sz w:val="13"/>
        </w:rPr>
        <w:t>(3).</w:t>
      </w:r>
      <w:r>
        <w:rPr>
          <w:spacing w:val="5"/>
          <w:w w:val="105"/>
          <w:sz w:val="13"/>
        </w:rPr>
        <w:t> </w:t>
      </w:r>
      <w:r>
        <w:rPr>
          <w:w w:val="105"/>
          <w:sz w:val="13"/>
        </w:rPr>
        <w:t>For</w:t>
      </w:r>
      <w:r>
        <w:rPr>
          <w:spacing w:val="6"/>
          <w:w w:val="105"/>
          <w:sz w:val="13"/>
        </w:rPr>
        <w:t> </w:t>
      </w:r>
      <w:r>
        <w:rPr>
          <w:w w:val="105"/>
          <w:sz w:val="13"/>
        </w:rPr>
        <w:t>example,</w:t>
      </w:r>
      <w:r>
        <w:rPr>
          <w:spacing w:val="5"/>
          <w:w w:val="105"/>
          <w:sz w:val="13"/>
        </w:rPr>
        <w:t> </w:t>
      </w:r>
      <w:r>
        <w:rPr>
          <w:w w:val="105"/>
          <w:sz w:val="13"/>
        </w:rPr>
        <w:t>the</w:t>
      </w:r>
      <w:r>
        <w:rPr>
          <w:spacing w:val="6"/>
          <w:w w:val="105"/>
          <w:sz w:val="13"/>
        </w:rPr>
        <w:t> </w:t>
      </w:r>
      <w:r>
        <w:rPr>
          <w:w w:val="105"/>
          <w:sz w:val="13"/>
        </w:rPr>
        <w:t>Act</w:t>
      </w:r>
      <w:r>
        <w:rPr>
          <w:spacing w:val="5"/>
          <w:w w:val="105"/>
          <w:sz w:val="13"/>
        </w:rPr>
        <w:t> </w:t>
      </w:r>
      <w:r>
        <w:rPr>
          <w:w w:val="105"/>
          <w:sz w:val="13"/>
        </w:rPr>
        <w:t>does</w:t>
      </w:r>
      <w:r>
        <w:rPr>
          <w:spacing w:val="5"/>
          <w:w w:val="105"/>
          <w:sz w:val="13"/>
        </w:rPr>
        <w:t> </w:t>
      </w:r>
      <w:r>
        <w:rPr>
          <w:w w:val="105"/>
          <w:sz w:val="13"/>
        </w:rPr>
        <w:t>not</w:t>
      </w:r>
      <w:r>
        <w:rPr>
          <w:spacing w:val="6"/>
          <w:w w:val="105"/>
          <w:sz w:val="13"/>
        </w:rPr>
        <w:t> </w:t>
      </w:r>
      <w:r>
        <w:rPr>
          <w:w w:val="105"/>
          <w:sz w:val="13"/>
        </w:rPr>
        <w:t>override</w:t>
      </w:r>
      <w:r>
        <w:rPr>
          <w:spacing w:val="5"/>
          <w:w w:val="105"/>
          <w:sz w:val="13"/>
        </w:rPr>
        <w:t> </w:t>
      </w:r>
      <w:r>
        <w:rPr>
          <w:w w:val="105"/>
          <w:sz w:val="13"/>
        </w:rPr>
        <w:t>laws</w:t>
      </w:r>
      <w:r>
        <w:rPr>
          <w:spacing w:val="6"/>
          <w:w w:val="105"/>
          <w:sz w:val="13"/>
        </w:rPr>
        <w:t> </w:t>
      </w:r>
      <w:r>
        <w:rPr>
          <w:w w:val="105"/>
          <w:sz w:val="13"/>
        </w:rPr>
        <w:t>such</w:t>
      </w:r>
      <w:r>
        <w:rPr>
          <w:spacing w:val="5"/>
          <w:w w:val="105"/>
          <w:sz w:val="13"/>
        </w:rPr>
        <w:t> </w:t>
      </w:r>
      <w:r>
        <w:rPr>
          <w:w w:val="105"/>
          <w:sz w:val="13"/>
        </w:rPr>
        <w:t>as</w:t>
      </w:r>
      <w:r>
        <w:rPr>
          <w:spacing w:val="6"/>
          <w:w w:val="105"/>
          <w:sz w:val="13"/>
        </w:rPr>
        <w:t> </w:t>
      </w:r>
      <w:r>
        <w:rPr>
          <w:w w:val="105"/>
          <w:sz w:val="13"/>
        </w:rPr>
        <w:t>the</w:t>
      </w:r>
    </w:p>
    <w:p>
      <w:pPr>
        <w:spacing w:before="1"/>
        <w:ind w:left="1217" w:right="0" w:firstLine="0"/>
        <w:jc w:val="left"/>
        <w:rPr>
          <w:sz w:val="13"/>
        </w:rPr>
      </w:pPr>
      <w:r>
        <w:rPr>
          <w:i/>
          <w:w w:val="105"/>
          <w:sz w:val="13"/>
        </w:rPr>
        <w:t>Queensland Heritage Act 1992 </w:t>
      </w:r>
      <w:r>
        <w:rPr>
          <w:w w:val="105"/>
          <w:sz w:val="13"/>
        </w:rPr>
        <w:t>(Qld) which protects trees that have ‘particular cultural heritage significance’ or any other Act.</w:t>
      </w:r>
    </w:p>
    <w:p>
      <w:pPr>
        <w:pStyle w:val="ListParagraph"/>
        <w:numPr>
          <w:ilvl w:val="0"/>
          <w:numId w:val="177"/>
        </w:numPr>
        <w:tabs>
          <w:tab w:pos="1216" w:val="left" w:leader="none"/>
          <w:tab w:pos="1218" w:val="left" w:leader="none"/>
        </w:tabs>
        <w:spacing w:line="240" w:lineRule="auto" w:before="2" w:after="0"/>
        <w:ind w:left="1217" w:right="0" w:hanging="794"/>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177"/>
        </w:numPr>
        <w:tabs>
          <w:tab w:pos="1216" w:val="left" w:leader="none"/>
          <w:tab w:pos="1218" w:val="left" w:leader="none"/>
        </w:tabs>
        <w:spacing w:line="240" w:lineRule="auto" w:before="1" w:after="0"/>
        <w:ind w:left="1217" w:right="1845"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 67(1). See, eg, </w:t>
      </w:r>
      <w:r>
        <w:rPr>
          <w:i/>
          <w:w w:val="105"/>
          <w:sz w:val="13"/>
        </w:rPr>
        <w:t>Beriley </w:t>
      </w:r>
      <w:r>
        <w:rPr>
          <w:i/>
          <w:spacing w:val="3"/>
          <w:w w:val="105"/>
          <w:sz w:val="13"/>
        </w:rPr>
        <w:t>Pty </w:t>
      </w:r>
      <w:r>
        <w:rPr>
          <w:i/>
          <w:w w:val="105"/>
          <w:sz w:val="13"/>
        </w:rPr>
        <w:t>Ltd v Novadeck </w:t>
      </w:r>
      <w:r>
        <w:rPr>
          <w:i/>
          <w:spacing w:val="3"/>
          <w:w w:val="105"/>
          <w:sz w:val="13"/>
        </w:rPr>
        <w:t>Pty </w:t>
      </w:r>
      <w:r>
        <w:rPr>
          <w:i/>
          <w:w w:val="105"/>
          <w:sz w:val="13"/>
        </w:rPr>
        <w:t>Ltd </w:t>
      </w:r>
      <w:r>
        <w:rPr>
          <w:w w:val="105"/>
          <w:sz w:val="13"/>
        </w:rPr>
        <w:t>[2017] QCAT 29 </w:t>
      </w:r>
      <w:r>
        <w:rPr>
          <w:spacing w:val="2"/>
          <w:w w:val="105"/>
          <w:sz w:val="13"/>
        </w:rPr>
        <w:t>[23].</w:t>
      </w:r>
    </w:p>
    <w:p>
      <w:pPr>
        <w:pStyle w:val="ListParagraph"/>
        <w:numPr>
          <w:ilvl w:val="0"/>
          <w:numId w:val="177"/>
        </w:numPr>
        <w:tabs>
          <w:tab w:pos="1217" w:val="left" w:leader="none"/>
          <w:tab w:pos="1218" w:val="left" w:leader="none"/>
        </w:tabs>
        <w:spacing w:line="240" w:lineRule="auto" w:before="3" w:after="0"/>
        <w:ind w:left="1217"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3"/>
          <w:w w:val="105"/>
          <w:sz w:val="13"/>
        </w:rPr>
        <w:t> </w:t>
      </w:r>
      <w:r>
        <w:rPr>
          <w:spacing w:val="2"/>
          <w:w w:val="105"/>
          <w:sz w:val="13"/>
        </w:rPr>
        <w:t>67(2).</w:t>
      </w:r>
    </w:p>
    <w:p>
      <w:pPr>
        <w:pStyle w:val="ListParagraph"/>
        <w:numPr>
          <w:ilvl w:val="0"/>
          <w:numId w:val="177"/>
        </w:numPr>
        <w:tabs>
          <w:tab w:pos="1217" w:val="left" w:leader="none"/>
          <w:tab w:pos="1218" w:val="left" w:leader="none"/>
        </w:tabs>
        <w:spacing w:line="240" w:lineRule="auto" w:before="1" w:after="0"/>
        <w:ind w:left="1217" w:right="2096" w:hanging="794"/>
        <w:jc w:val="left"/>
        <w:rPr>
          <w:sz w:val="13"/>
        </w:rPr>
      </w:pPr>
      <w:r>
        <w:rPr>
          <w:w w:val="105"/>
          <w:sz w:val="13"/>
        </w:rPr>
        <w:t>Deputy Premier and Attorney-General, Minister for Local Government and Special Minister of State </w:t>
      </w:r>
      <w:r>
        <w:rPr>
          <w:spacing w:val="2"/>
          <w:w w:val="105"/>
          <w:sz w:val="13"/>
        </w:rPr>
        <w:t>(Qld), </w:t>
      </w:r>
      <w:r>
        <w:rPr>
          <w:i/>
          <w:w w:val="105"/>
          <w:sz w:val="13"/>
        </w:rPr>
        <w:t>Neighbourhood Disputes </w:t>
      </w:r>
      <w:r>
        <w:rPr>
          <w:i/>
          <w:w w:val="105"/>
          <w:sz w:val="13"/>
        </w:rPr>
        <w:t>Resolution</w:t>
      </w:r>
      <w:r>
        <w:rPr>
          <w:i/>
          <w:spacing w:val="8"/>
          <w:w w:val="105"/>
          <w:sz w:val="13"/>
        </w:rPr>
        <w:t> </w:t>
      </w:r>
      <w:r>
        <w:rPr>
          <w:i/>
          <w:w w:val="105"/>
          <w:sz w:val="13"/>
        </w:rPr>
        <w:t>Bill</w:t>
      </w:r>
      <w:r>
        <w:rPr>
          <w:i/>
          <w:spacing w:val="9"/>
          <w:w w:val="105"/>
          <w:sz w:val="13"/>
        </w:rPr>
        <w:t> </w:t>
      </w:r>
      <w:r>
        <w:rPr>
          <w:i/>
          <w:w w:val="105"/>
          <w:sz w:val="13"/>
        </w:rPr>
        <w:t>2010:</w:t>
      </w:r>
      <w:r>
        <w:rPr>
          <w:i/>
          <w:spacing w:val="8"/>
          <w:w w:val="105"/>
          <w:sz w:val="13"/>
        </w:rPr>
        <w:t> </w:t>
      </w:r>
      <w:r>
        <w:rPr>
          <w:i/>
          <w:w w:val="105"/>
          <w:sz w:val="13"/>
        </w:rPr>
        <w:t>Results</w:t>
      </w:r>
      <w:r>
        <w:rPr>
          <w:i/>
          <w:spacing w:val="9"/>
          <w:w w:val="105"/>
          <w:sz w:val="13"/>
        </w:rPr>
        <w:t> </w:t>
      </w:r>
      <w:r>
        <w:rPr>
          <w:i/>
          <w:w w:val="105"/>
          <w:sz w:val="13"/>
        </w:rPr>
        <w:t>of</w:t>
      </w:r>
      <w:r>
        <w:rPr>
          <w:i/>
          <w:spacing w:val="9"/>
          <w:w w:val="105"/>
          <w:sz w:val="13"/>
        </w:rPr>
        <w:t> </w:t>
      </w:r>
      <w:r>
        <w:rPr>
          <w:i/>
          <w:w w:val="105"/>
          <w:sz w:val="13"/>
        </w:rPr>
        <w:t>Consultation</w:t>
      </w:r>
      <w:r>
        <w:rPr>
          <w:i/>
          <w:spacing w:val="8"/>
          <w:w w:val="105"/>
          <w:sz w:val="13"/>
        </w:rPr>
        <w:t> </w:t>
      </w:r>
      <w:r>
        <w:rPr>
          <w:i/>
          <w:w w:val="105"/>
          <w:sz w:val="13"/>
        </w:rPr>
        <w:t>Process</w:t>
      </w:r>
      <w:r>
        <w:rPr>
          <w:i/>
          <w:spacing w:val="9"/>
          <w:w w:val="105"/>
          <w:sz w:val="13"/>
        </w:rPr>
        <w:t> </w:t>
      </w:r>
      <w:r>
        <w:rPr>
          <w:w w:val="105"/>
          <w:sz w:val="13"/>
        </w:rPr>
        <w:t>(2010)</w:t>
      </w:r>
      <w:r>
        <w:rPr>
          <w:spacing w:val="8"/>
          <w:w w:val="105"/>
          <w:sz w:val="13"/>
        </w:rPr>
        <w:t> </w:t>
      </w:r>
      <w:r>
        <w:rPr>
          <w:w w:val="105"/>
          <w:sz w:val="13"/>
        </w:rPr>
        <w:t>10</w:t>
      </w:r>
      <w:r>
        <w:rPr>
          <w:spacing w:val="9"/>
          <w:w w:val="105"/>
          <w:sz w:val="13"/>
        </w:rPr>
        <w:t> </w:t>
      </w:r>
      <w:r>
        <w:rPr>
          <w:w w:val="105"/>
          <w:sz w:val="13"/>
        </w:rPr>
        <w:t>&lt;https://cabinet.qld.gov.au/monthly.aspx?date=2010-Nov&gt;.</w:t>
      </w:r>
    </w:p>
    <w:p>
      <w:pPr>
        <w:pStyle w:val="ListParagraph"/>
        <w:numPr>
          <w:ilvl w:val="0"/>
          <w:numId w:val="177"/>
        </w:numPr>
        <w:tabs>
          <w:tab w:pos="1217" w:val="left" w:leader="none"/>
          <w:tab w:pos="1218" w:val="left" w:leader="none"/>
        </w:tabs>
        <w:spacing w:line="240" w:lineRule="auto" w:before="3" w:after="0"/>
        <w:ind w:left="1217" w:right="1628" w:hanging="794"/>
        <w:jc w:val="both"/>
        <w:rPr>
          <w:sz w:val="13"/>
        </w:rPr>
      </w:pPr>
      <w:r>
        <w:rPr>
          <w:w w:val="105"/>
          <w:sz w:val="13"/>
        </w:rPr>
        <w:t>Explanatory Notes, </w:t>
      </w:r>
      <w:r>
        <w:rPr>
          <w:i/>
          <w:w w:val="105"/>
          <w:sz w:val="13"/>
        </w:rPr>
        <w:t>Neighbourhood Dispute Resolution Bill </w:t>
      </w:r>
      <w:r>
        <w:rPr>
          <w:i/>
          <w:spacing w:val="-3"/>
          <w:w w:val="105"/>
          <w:sz w:val="13"/>
        </w:rPr>
        <w:t>2010  </w:t>
      </w:r>
      <w:r>
        <w:rPr>
          <w:spacing w:val="2"/>
          <w:w w:val="105"/>
          <w:sz w:val="13"/>
        </w:rPr>
        <w:t>(Qld) </w:t>
      </w:r>
      <w:r>
        <w:rPr>
          <w:w w:val="105"/>
          <w:sz w:val="13"/>
        </w:rPr>
        <w:t>cl 65. In the case of </w:t>
      </w:r>
      <w:r>
        <w:rPr>
          <w:i/>
          <w:w w:val="105"/>
          <w:sz w:val="13"/>
        </w:rPr>
        <w:t>Inslay v Wilson </w:t>
      </w:r>
      <w:r>
        <w:rPr>
          <w:w w:val="105"/>
          <w:sz w:val="13"/>
        </w:rPr>
        <w:t>[2018] QCAT 79, QCAT examined </w:t>
      </w:r>
      <w:r>
        <w:rPr>
          <w:spacing w:val="30"/>
          <w:w w:val="105"/>
          <w:sz w:val="13"/>
        </w:rPr>
        <w:t> </w:t>
      </w:r>
      <w:r>
        <w:rPr>
          <w:w w:val="105"/>
          <w:sz w:val="13"/>
        </w:rPr>
        <w:t>the relevant local Council’s website and could not identify a council process for resolving a dispute about a dangerous tree. It was therefore determined</w:t>
      </w:r>
      <w:r>
        <w:rPr>
          <w:spacing w:val="4"/>
          <w:w w:val="105"/>
          <w:sz w:val="13"/>
        </w:rPr>
        <w:t> </w:t>
      </w:r>
      <w:r>
        <w:rPr>
          <w:w w:val="105"/>
          <w:sz w:val="13"/>
        </w:rPr>
        <w:t>that</w:t>
      </w:r>
      <w:r>
        <w:rPr>
          <w:spacing w:val="5"/>
          <w:w w:val="105"/>
          <w:sz w:val="13"/>
        </w:rPr>
        <w:t> </w:t>
      </w:r>
      <w:r>
        <w:rPr>
          <w:w w:val="105"/>
          <w:sz w:val="13"/>
        </w:rPr>
        <w:t>an</w:t>
      </w:r>
      <w:r>
        <w:rPr>
          <w:spacing w:val="5"/>
          <w:w w:val="105"/>
          <w:sz w:val="13"/>
        </w:rPr>
        <w:t> </w:t>
      </w:r>
      <w:r>
        <w:rPr>
          <w:w w:val="105"/>
          <w:sz w:val="13"/>
        </w:rPr>
        <w:t>Order</w:t>
      </w:r>
      <w:r>
        <w:rPr>
          <w:spacing w:val="4"/>
          <w:w w:val="105"/>
          <w:sz w:val="13"/>
        </w:rPr>
        <w:t> </w:t>
      </w:r>
      <w:r>
        <w:rPr>
          <w:w w:val="105"/>
          <w:sz w:val="13"/>
        </w:rPr>
        <w:t>could</w:t>
      </w:r>
      <w:r>
        <w:rPr>
          <w:spacing w:val="5"/>
          <w:w w:val="105"/>
          <w:sz w:val="13"/>
        </w:rPr>
        <w:t> </w:t>
      </w:r>
      <w:r>
        <w:rPr>
          <w:w w:val="105"/>
          <w:sz w:val="13"/>
        </w:rPr>
        <w:t>be</w:t>
      </w:r>
      <w:r>
        <w:rPr>
          <w:spacing w:val="5"/>
          <w:w w:val="105"/>
          <w:sz w:val="13"/>
        </w:rPr>
        <w:t> </w:t>
      </w:r>
      <w:r>
        <w:rPr>
          <w:w w:val="105"/>
          <w:sz w:val="13"/>
        </w:rPr>
        <w:t>made</w:t>
      </w:r>
      <w:r>
        <w:rPr>
          <w:spacing w:val="4"/>
          <w:w w:val="105"/>
          <w:sz w:val="13"/>
        </w:rPr>
        <w:t> </w:t>
      </w:r>
      <w:r>
        <w:rPr>
          <w:w w:val="105"/>
          <w:sz w:val="13"/>
        </w:rPr>
        <w:t>under</w:t>
      </w:r>
      <w:r>
        <w:rPr>
          <w:spacing w:val="5"/>
          <w:w w:val="105"/>
          <w:sz w:val="13"/>
        </w:rPr>
        <w:t> </w:t>
      </w:r>
      <w:r>
        <w:rPr>
          <w:w w:val="105"/>
          <w:sz w:val="13"/>
        </w:rPr>
        <w:t>the</w:t>
      </w:r>
      <w:r>
        <w:rPr>
          <w:spacing w:val="5"/>
          <w:w w:val="105"/>
          <w:sz w:val="13"/>
        </w:rPr>
        <w:t> </w:t>
      </w:r>
      <w:r>
        <w:rPr>
          <w:w w:val="105"/>
          <w:sz w:val="13"/>
        </w:rPr>
        <w:t>QLD</w:t>
      </w:r>
      <w:r>
        <w:rPr>
          <w:spacing w:val="4"/>
          <w:w w:val="105"/>
          <w:sz w:val="13"/>
        </w:rPr>
        <w:t> </w:t>
      </w:r>
      <w:r>
        <w:rPr>
          <w:w w:val="105"/>
          <w:sz w:val="13"/>
        </w:rPr>
        <w:t>Act.</w:t>
      </w:r>
    </w:p>
    <w:p>
      <w:pPr>
        <w:spacing w:after="0" w:line="240" w:lineRule="auto"/>
        <w:jc w:val="both"/>
        <w:rPr>
          <w:sz w:val="13"/>
        </w:rPr>
        <w:sectPr>
          <w:type w:val="continuous"/>
          <w:pgSz w:w="11910" w:h="16840"/>
          <w:pgMar w:top="300" w:bottom="280" w:left="0" w:right="0"/>
          <w:cols w:num="2" w:equalWidth="0">
            <w:col w:w="1125" w:space="40"/>
            <w:col w:w="10745"/>
          </w:cols>
        </w:sectPr>
      </w:pPr>
    </w:p>
    <w:p>
      <w:pPr>
        <w:pStyle w:val="BodyText"/>
        <w:rPr>
          <w:sz w:val="20"/>
        </w:rPr>
      </w:pPr>
    </w:p>
    <w:p>
      <w:pPr>
        <w:pStyle w:val="BodyText"/>
        <w:spacing w:before="11"/>
        <w:rPr>
          <w:sz w:val="17"/>
        </w:rPr>
      </w:pPr>
    </w:p>
    <w:p>
      <w:pPr>
        <w:pStyle w:val="Heading5"/>
        <w:spacing w:before="96"/>
      </w:pPr>
      <w:r>
        <w:rPr>
          <w:w w:val="110"/>
        </w:rPr>
        <w:t>Tasmania</w:t>
      </w:r>
    </w:p>
    <w:p>
      <w:pPr>
        <w:pStyle w:val="Heading7"/>
        <w:spacing w:before="167"/>
      </w:pPr>
      <w:r>
        <w:rPr>
          <w:w w:val="115"/>
        </w:rPr>
        <w:t>Regulation of trees on private land</w:t>
      </w:r>
    </w:p>
    <w:p>
      <w:pPr>
        <w:pStyle w:val="ListParagraph"/>
        <w:numPr>
          <w:ilvl w:val="0"/>
          <w:numId w:val="173"/>
        </w:numPr>
        <w:tabs>
          <w:tab w:pos="2381" w:val="left" w:leader="none"/>
          <w:tab w:pos="2382" w:val="left" w:leader="none"/>
        </w:tabs>
        <w:spacing w:line="242" w:lineRule="auto" w:before="143" w:after="0"/>
        <w:ind w:left="2381" w:right="1751" w:hanging="794"/>
        <w:jc w:val="left"/>
        <w:rPr>
          <w:sz w:val="12"/>
        </w:rPr>
      </w:pPr>
      <w:r>
        <w:rPr>
          <w:w w:val="105"/>
          <w:sz w:val="21"/>
        </w:rPr>
        <w:t>In</w:t>
      </w:r>
      <w:r>
        <w:rPr>
          <w:spacing w:val="-10"/>
          <w:w w:val="105"/>
          <w:sz w:val="21"/>
        </w:rPr>
        <w:t> </w:t>
      </w:r>
      <w:r>
        <w:rPr>
          <w:spacing w:val="-5"/>
          <w:w w:val="105"/>
          <w:sz w:val="21"/>
        </w:rPr>
        <w:t>Tasmania,</w:t>
      </w:r>
      <w:r>
        <w:rPr>
          <w:spacing w:val="-10"/>
          <w:w w:val="105"/>
          <w:sz w:val="21"/>
        </w:rPr>
        <w:t> </w:t>
      </w:r>
      <w:r>
        <w:rPr>
          <w:spacing w:val="-3"/>
          <w:w w:val="105"/>
          <w:sz w:val="21"/>
        </w:rPr>
        <w:t>councils</w:t>
      </w:r>
      <w:r>
        <w:rPr>
          <w:spacing w:val="-10"/>
          <w:w w:val="105"/>
          <w:sz w:val="21"/>
        </w:rPr>
        <w:t> </w:t>
      </w:r>
      <w:r>
        <w:rPr>
          <w:w w:val="105"/>
          <w:sz w:val="21"/>
        </w:rPr>
        <w:t>can</w:t>
      </w:r>
      <w:r>
        <w:rPr>
          <w:spacing w:val="-10"/>
          <w:w w:val="105"/>
          <w:sz w:val="21"/>
        </w:rPr>
        <w:t> </w:t>
      </w:r>
      <w:r>
        <w:rPr>
          <w:w w:val="105"/>
          <w:sz w:val="21"/>
        </w:rPr>
        <w:t>protect</w:t>
      </w:r>
      <w:r>
        <w:rPr>
          <w:spacing w:val="-10"/>
          <w:w w:val="105"/>
          <w:sz w:val="21"/>
        </w:rPr>
        <w:t> </w:t>
      </w:r>
      <w:r>
        <w:rPr>
          <w:w w:val="105"/>
          <w:sz w:val="21"/>
        </w:rPr>
        <w:t>vegetation</w:t>
      </w:r>
      <w:r>
        <w:rPr>
          <w:spacing w:val="-10"/>
          <w:w w:val="105"/>
          <w:sz w:val="21"/>
        </w:rPr>
        <w:t> </w:t>
      </w:r>
      <w:r>
        <w:rPr>
          <w:w w:val="105"/>
          <w:sz w:val="21"/>
        </w:rPr>
        <w:t>under</w:t>
      </w:r>
      <w:r>
        <w:rPr>
          <w:spacing w:val="-10"/>
          <w:w w:val="105"/>
          <w:sz w:val="21"/>
        </w:rPr>
        <w:t> </w:t>
      </w:r>
      <w:r>
        <w:rPr>
          <w:w w:val="105"/>
          <w:sz w:val="21"/>
        </w:rPr>
        <w:t>their</w:t>
      </w:r>
      <w:r>
        <w:rPr>
          <w:spacing w:val="-10"/>
          <w:w w:val="105"/>
          <w:sz w:val="21"/>
        </w:rPr>
        <w:t> </w:t>
      </w:r>
      <w:r>
        <w:rPr>
          <w:spacing w:val="-3"/>
          <w:w w:val="105"/>
          <w:sz w:val="21"/>
        </w:rPr>
        <w:t>individualised</w:t>
      </w:r>
      <w:r>
        <w:rPr>
          <w:spacing w:val="-10"/>
          <w:w w:val="105"/>
          <w:sz w:val="21"/>
        </w:rPr>
        <w:t> </w:t>
      </w:r>
      <w:r>
        <w:rPr>
          <w:spacing w:val="-3"/>
          <w:w w:val="105"/>
          <w:sz w:val="21"/>
        </w:rPr>
        <w:t>planning</w:t>
      </w:r>
      <w:r>
        <w:rPr>
          <w:spacing w:val="-10"/>
          <w:w w:val="105"/>
          <w:sz w:val="21"/>
        </w:rPr>
        <w:t> </w:t>
      </w:r>
      <w:r>
        <w:rPr>
          <w:w w:val="105"/>
          <w:sz w:val="21"/>
        </w:rPr>
        <w:t>schemes established under the </w:t>
      </w:r>
      <w:r>
        <w:rPr>
          <w:i/>
          <w:w w:val="105"/>
          <w:sz w:val="21"/>
        </w:rPr>
        <w:t>Land Use </w:t>
      </w:r>
      <w:r>
        <w:rPr>
          <w:i/>
          <w:spacing w:val="-3"/>
          <w:w w:val="105"/>
          <w:sz w:val="21"/>
        </w:rPr>
        <w:t>Planning </w:t>
      </w:r>
      <w:r>
        <w:rPr>
          <w:i/>
          <w:w w:val="105"/>
          <w:sz w:val="21"/>
        </w:rPr>
        <w:t>and </w:t>
      </w:r>
      <w:r>
        <w:rPr>
          <w:i/>
          <w:spacing w:val="-2"/>
          <w:w w:val="105"/>
          <w:sz w:val="21"/>
        </w:rPr>
        <w:t>Approvals </w:t>
      </w:r>
      <w:r>
        <w:rPr>
          <w:i/>
          <w:w w:val="105"/>
          <w:sz w:val="21"/>
        </w:rPr>
        <w:t>Act </w:t>
      </w:r>
      <w:r>
        <w:rPr>
          <w:i/>
          <w:spacing w:val="-6"/>
          <w:w w:val="105"/>
          <w:sz w:val="21"/>
        </w:rPr>
        <w:t>1993 </w:t>
      </w:r>
      <w:r>
        <w:rPr>
          <w:spacing w:val="-2"/>
          <w:w w:val="105"/>
          <w:sz w:val="21"/>
        </w:rPr>
        <w:t>(Tas), </w:t>
      </w:r>
      <w:r>
        <w:rPr>
          <w:w w:val="105"/>
          <w:sz w:val="21"/>
        </w:rPr>
        <w:t>which also </w:t>
      </w:r>
      <w:r>
        <w:rPr>
          <w:spacing w:val="-3"/>
          <w:w w:val="105"/>
          <w:sz w:val="21"/>
        </w:rPr>
        <w:t>controls land </w:t>
      </w:r>
      <w:r>
        <w:rPr>
          <w:w w:val="105"/>
          <w:sz w:val="21"/>
        </w:rPr>
        <w:t>use and </w:t>
      </w:r>
      <w:r>
        <w:rPr>
          <w:spacing w:val="-3"/>
          <w:w w:val="105"/>
          <w:sz w:val="21"/>
        </w:rPr>
        <w:t>vegetation.</w:t>
      </w:r>
      <w:r>
        <w:rPr>
          <w:spacing w:val="-3"/>
          <w:w w:val="105"/>
          <w:position w:val="7"/>
          <w:sz w:val="12"/>
        </w:rPr>
        <w:t>274 </w:t>
      </w:r>
      <w:r>
        <w:rPr>
          <w:w w:val="105"/>
          <w:sz w:val="21"/>
        </w:rPr>
        <w:t>The </w:t>
      </w:r>
      <w:r>
        <w:rPr>
          <w:spacing w:val="-4"/>
          <w:w w:val="105"/>
          <w:sz w:val="21"/>
        </w:rPr>
        <w:t>Tasmanian </w:t>
      </w:r>
      <w:r>
        <w:rPr>
          <w:spacing w:val="-3"/>
          <w:w w:val="105"/>
          <w:sz w:val="21"/>
        </w:rPr>
        <w:t>planning framework </w:t>
      </w:r>
      <w:r>
        <w:rPr>
          <w:w w:val="105"/>
          <w:sz w:val="21"/>
        </w:rPr>
        <w:t>is </w:t>
      </w:r>
      <w:r>
        <w:rPr>
          <w:spacing w:val="-3"/>
          <w:w w:val="105"/>
          <w:sz w:val="21"/>
        </w:rPr>
        <w:t>undergoing significant change </w:t>
      </w:r>
      <w:r>
        <w:rPr>
          <w:w w:val="105"/>
          <w:sz w:val="21"/>
        </w:rPr>
        <w:t>and now operates in a </w:t>
      </w:r>
      <w:r>
        <w:rPr>
          <w:spacing w:val="-3"/>
          <w:w w:val="105"/>
          <w:sz w:val="21"/>
        </w:rPr>
        <w:t>similar way to </w:t>
      </w:r>
      <w:r>
        <w:rPr>
          <w:w w:val="105"/>
          <w:sz w:val="21"/>
        </w:rPr>
        <w:t>the </w:t>
      </w:r>
      <w:r>
        <w:rPr>
          <w:spacing w:val="-3"/>
          <w:w w:val="105"/>
          <w:sz w:val="21"/>
        </w:rPr>
        <w:t>planning </w:t>
      </w:r>
      <w:r>
        <w:rPr>
          <w:w w:val="105"/>
          <w:sz w:val="21"/>
        </w:rPr>
        <w:t>schemes in New South </w:t>
      </w:r>
      <w:r>
        <w:rPr>
          <w:spacing w:val="-3"/>
          <w:w w:val="105"/>
          <w:sz w:val="21"/>
        </w:rPr>
        <w:t>Wales, Queensland </w:t>
      </w:r>
      <w:r>
        <w:rPr>
          <w:w w:val="105"/>
          <w:sz w:val="21"/>
        </w:rPr>
        <w:t>and Victoria.</w:t>
      </w:r>
      <w:r>
        <w:rPr>
          <w:w w:val="105"/>
          <w:position w:val="7"/>
          <w:sz w:val="12"/>
        </w:rPr>
        <w:t>275 </w:t>
      </w:r>
      <w:r>
        <w:rPr>
          <w:w w:val="105"/>
          <w:sz w:val="21"/>
        </w:rPr>
        <w:t>For </w:t>
      </w:r>
      <w:r>
        <w:rPr>
          <w:spacing w:val="-3"/>
          <w:w w:val="105"/>
          <w:sz w:val="21"/>
        </w:rPr>
        <w:t>example, </w:t>
      </w:r>
      <w:r>
        <w:rPr>
          <w:w w:val="105"/>
          <w:sz w:val="21"/>
        </w:rPr>
        <w:t>the </w:t>
      </w:r>
      <w:r>
        <w:rPr>
          <w:spacing w:val="-4"/>
          <w:w w:val="105"/>
          <w:sz w:val="21"/>
        </w:rPr>
        <w:t>Tasmanian </w:t>
      </w:r>
      <w:r>
        <w:rPr>
          <w:spacing w:val="-3"/>
          <w:w w:val="105"/>
          <w:sz w:val="21"/>
        </w:rPr>
        <w:t>planning </w:t>
      </w:r>
      <w:r>
        <w:rPr>
          <w:w w:val="105"/>
          <w:sz w:val="21"/>
        </w:rPr>
        <w:t>scheme consists of </w:t>
      </w:r>
      <w:r>
        <w:rPr>
          <w:spacing w:val="-3"/>
          <w:w w:val="105"/>
          <w:sz w:val="21"/>
        </w:rPr>
        <w:t>State Planning Provisions </w:t>
      </w:r>
      <w:r>
        <w:rPr>
          <w:w w:val="105"/>
          <w:sz w:val="21"/>
        </w:rPr>
        <w:t>and Local </w:t>
      </w:r>
      <w:r>
        <w:rPr>
          <w:spacing w:val="-3"/>
          <w:w w:val="105"/>
          <w:sz w:val="21"/>
        </w:rPr>
        <w:t>Provisions </w:t>
      </w:r>
      <w:r>
        <w:rPr>
          <w:w w:val="105"/>
          <w:sz w:val="21"/>
        </w:rPr>
        <w:t>Schedules </w:t>
      </w:r>
      <w:r>
        <w:rPr>
          <w:spacing w:val="-3"/>
          <w:w w:val="105"/>
          <w:sz w:val="21"/>
        </w:rPr>
        <w:t>for </w:t>
      </w:r>
      <w:r>
        <w:rPr>
          <w:w w:val="105"/>
          <w:sz w:val="21"/>
        </w:rPr>
        <w:t>each </w:t>
      </w:r>
      <w:r>
        <w:rPr>
          <w:spacing w:val="-3"/>
          <w:w w:val="105"/>
          <w:sz w:val="21"/>
        </w:rPr>
        <w:t>municipal area.</w:t>
      </w:r>
      <w:r>
        <w:rPr>
          <w:spacing w:val="-3"/>
          <w:w w:val="105"/>
          <w:position w:val="7"/>
          <w:sz w:val="12"/>
        </w:rPr>
        <w:t>276</w:t>
      </w:r>
    </w:p>
    <w:p>
      <w:pPr>
        <w:pStyle w:val="ListParagraph"/>
        <w:numPr>
          <w:ilvl w:val="0"/>
          <w:numId w:val="173"/>
        </w:numPr>
        <w:tabs>
          <w:tab w:pos="2380" w:val="left" w:leader="none"/>
          <w:tab w:pos="2381" w:val="left" w:leader="none"/>
        </w:tabs>
        <w:spacing w:line="242" w:lineRule="auto" w:before="128" w:after="0"/>
        <w:ind w:left="2381" w:right="1830" w:hanging="794"/>
        <w:jc w:val="left"/>
        <w:rPr>
          <w:sz w:val="21"/>
        </w:rPr>
      </w:pPr>
      <w:r>
        <w:rPr>
          <w:spacing w:val="-3"/>
          <w:sz w:val="21"/>
        </w:rPr>
        <w:t>Planning </w:t>
      </w:r>
      <w:r>
        <w:rPr>
          <w:sz w:val="21"/>
        </w:rPr>
        <w:t>schemes </w:t>
      </w:r>
      <w:r>
        <w:rPr>
          <w:spacing w:val="-3"/>
          <w:sz w:val="21"/>
        </w:rPr>
        <w:t>contain </w:t>
      </w:r>
      <w:r>
        <w:rPr>
          <w:sz w:val="21"/>
        </w:rPr>
        <w:t>standardised codes </w:t>
      </w:r>
      <w:r>
        <w:rPr>
          <w:spacing w:val="-3"/>
          <w:sz w:val="21"/>
        </w:rPr>
        <w:t>that </w:t>
      </w:r>
      <w:r>
        <w:rPr>
          <w:sz w:val="21"/>
        </w:rPr>
        <w:t>can apply  </w:t>
      </w:r>
      <w:r>
        <w:rPr>
          <w:spacing w:val="-3"/>
          <w:sz w:val="21"/>
        </w:rPr>
        <w:t>to  control  </w:t>
      </w:r>
      <w:r>
        <w:rPr>
          <w:sz w:val="21"/>
        </w:rPr>
        <w:t>and  protect trees. The Local Historic Heritage </w:t>
      </w:r>
      <w:r>
        <w:rPr>
          <w:spacing w:val="-3"/>
          <w:sz w:val="21"/>
        </w:rPr>
        <w:t>Code </w:t>
      </w:r>
      <w:r>
        <w:rPr>
          <w:sz w:val="21"/>
        </w:rPr>
        <w:t>enables local </w:t>
      </w:r>
      <w:r>
        <w:rPr>
          <w:spacing w:val="-3"/>
          <w:sz w:val="21"/>
        </w:rPr>
        <w:t>councils to recognise </w:t>
      </w:r>
      <w:r>
        <w:rPr>
          <w:sz w:val="21"/>
        </w:rPr>
        <w:t>and protect </w:t>
      </w:r>
      <w:r>
        <w:rPr>
          <w:spacing w:val="-3"/>
          <w:sz w:val="21"/>
        </w:rPr>
        <w:t>significant </w:t>
      </w:r>
      <w:r>
        <w:rPr>
          <w:sz w:val="21"/>
        </w:rPr>
        <w:t>trees so </w:t>
      </w:r>
      <w:r>
        <w:rPr>
          <w:spacing w:val="-3"/>
          <w:sz w:val="21"/>
        </w:rPr>
        <w:t>that </w:t>
      </w:r>
      <w:r>
        <w:rPr>
          <w:sz w:val="21"/>
        </w:rPr>
        <w:t>they </w:t>
      </w:r>
      <w:r>
        <w:rPr>
          <w:spacing w:val="-3"/>
          <w:sz w:val="21"/>
        </w:rPr>
        <w:t>are </w:t>
      </w:r>
      <w:r>
        <w:rPr>
          <w:spacing w:val="-2"/>
          <w:sz w:val="21"/>
        </w:rPr>
        <w:t>not </w:t>
      </w:r>
      <w:r>
        <w:rPr>
          <w:sz w:val="21"/>
        </w:rPr>
        <w:t>unnecessarily destroyed and </w:t>
      </w:r>
      <w:r>
        <w:rPr>
          <w:spacing w:val="-3"/>
          <w:sz w:val="21"/>
        </w:rPr>
        <w:t>are </w:t>
      </w:r>
      <w:r>
        <w:rPr>
          <w:sz w:val="21"/>
        </w:rPr>
        <w:t>managed in a </w:t>
      </w:r>
      <w:r>
        <w:rPr>
          <w:spacing w:val="-3"/>
          <w:sz w:val="21"/>
        </w:rPr>
        <w:t>way that maintains </w:t>
      </w:r>
      <w:r>
        <w:rPr>
          <w:sz w:val="21"/>
        </w:rPr>
        <w:t>their </w:t>
      </w:r>
      <w:r>
        <w:rPr>
          <w:spacing w:val="-3"/>
          <w:sz w:val="21"/>
        </w:rPr>
        <w:t>health, </w:t>
      </w:r>
      <w:r>
        <w:rPr>
          <w:sz w:val="21"/>
        </w:rPr>
        <w:t>structural stability and </w:t>
      </w:r>
      <w:r>
        <w:rPr>
          <w:spacing w:val="-3"/>
          <w:sz w:val="21"/>
        </w:rPr>
        <w:t>appearance.</w:t>
      </w:r>
      <w:r>
        <w:rPr>
          <w:spacing w:val="-3"/>
          <w:position w:val="7"/>
          <w:sz w:val="12"/>
        </w:rPr>
        <w:t>277 </w:t>
      </w:r>
      <w:r>
        <w:rPr>
          <w:sz w:val="21"/>
        </w:rPr>
        <w:t>The </w:t>
      </w:r>
      <w:r>
        <w:rPr>
          <w:spacing w:val="-3"/>
          <w:sz w:val="21"/>
        </w:rPr>
        <w:t>pruning </w:t>
      </w:r>
      <w:r>
        <w:rPr>
          <w:sz w:val="21"/>
        </w:rPr>
        <w:t>of a</w:t>
      </w:r>
      <w:r>
        <w:rPr>
          <w:spacing w:val="15"/>
          <w:sz w:val="21"/>
        </w:rPr>
        <w:t> </w:t>
      </w:r>
      <w:r>
        <w:rPr>
          <w:sz w:val="21"/>
        </w:rPr>
        <w:t>tree</w:t>
      </w:r>
    </w:p>
    <w:p>
      <w:pPr>
        <w:pStyle w:val="BodyText"/>
        <w:spacing w:line="242" w:lineRule="auto" w:before="4"/>
        <w:ind w:left="2381" w:right="1636"/>
        <w:rPr>
          <w:sz w:val="12"/>
        </w:rPr>
      </w:pPr>
      <w:r>
        <w:rPr/>
        <w:t>to improve its health or appearance is exempt from a permit application provided that ‘its normal growth habit is not retarded’.</w:t>
      </w:r>
      <w:r>
        <w:rPr>
          <w:position w:val="7"/>
          <w:sz w:val="12"/>
        </w:rPr>
        <w:t>278</w:t>
      </w:r>
    </w:p>
    <w:p>
      <w:pPr>
        <w:pStyle w:val="ListParagraph"/>
        <w:numPr>
          <w:ilvl w:val="0"/>
          <w:numId w:val="173"/>
        </w:numPr>
        <w:tabs>
          <w:tab w:pos="2380" w:val="left" w:leader="none"/>
          <w:tab w:pos="2382" w:val="left" w:leader="none"/>
        </w:tabs>
        <w:spacing w:line="240" w:lineRule="auto" w:before="122" w:after="0"/>
        <w:ind w:left="2381" w:right="0" w:hanging="794"/>
        <w:jc w:val="left"/>
        <w:rPr>
          <w:sz w:val="12"/>
        </w:rPr>
      </w:pPr>
      <w:r>
        <w:rPr>
          <w:spacing w:val="-4"/>
          <w:w w:val="105"/>
          <w:sz w:val="21"/>
        </w:rPr>
        <w:t>Councils </w:t>
      </w:r>
      <w:r>
        <w:rPr>
          <w:spacing w:val="-3"/>
          <w:w w:val="105"/>
          <w:sz w:val="21"/>
        </w:rPr>
        <w:t>may </w:t>
      </w:r>
      <w:r>
        <w:rPr>
          <w:w w:val="105"/>
          <w:sz w:val="21"/>
        </w:rPr>
        <w:t>also </w:t>
      </w:r>
      <w:r>
        <w:rPr>
          <w:spacing w:val="-3"/>
          <w:w w:val="105"/>
          <w:sz w:val="21"/>
        </w:rPr>
        <w:t>create </w:t>
      </w:r>
      <w:r>
        <w:rPr>
          <w:w w:val="105"/>
          <w:sz w:val="21"/>
        </w:rPr>
        <w:t>local laws, known in </w:t>
      </w:r>
      <w:r>
        <w:rPr>
          <w:spacing w:val="-5"/>
          <w:w w:val="105"/>
          <w:sz w:val="21"/>
        </w:rPr>
        <w:t>Tasmania </w:t>
      </w:r>
      <w:r>
        <w:rPr>
          <w:w w:val="105"/>
          <w:sz w:val="21"/>
        </w:rPr>
        <w:t>as by-laws, </w:t>
      </w:r>
      <w:r>
        <w:rPr>
          <w:spacing w:val="-3"/>
          <w:w w:val="105"/>
          <w:sz w:val="21"/>
        </w:rPr>
        <w:t>to</w:t>
      </w:r>
      <w:r>
        <w:rPr>
          <w:spacing w:val="7"/>
          <w:w w:val="105"/>
          <w:sz w:val="21"/>
        </w:rPr>
        <w:t> </w:t>
      </w:r>
      <w:r>
        <w:rPr>
          <w:w w:val="105"/>
          <w:sz w:val="21"/>
        </w:rPr>
        <w:t>protect trees.</w:t>
      </w:r>
      <w:r>
        <w:rPr>
          <w:w w:val="105"/>
          <w:position w:val="7"/>
          <w:sz w:val="12"/>
        </w:rPr>
        <w:t>279</w:t>
      </w:r>
    </w:p>
    <w:p>
      <w:pPr>
        <w:pStyle w:val="Heading8"/>
        <w:spacing w:before="151"/>
        <w:rPr>
          <w:rFonts w:ascii="Calibri"/>
          <w:i w:val="0"/>
        </w:rPr>
      </w:pPr>
      <w:r>
        <w:rPr>
          <w:i/>
        </w:rPr>
        <w:t>Neighbourhood Disputes About Plants Act 2017 </w:t>
      </w:r>
      <w:r>
        <w:rPr>
          <w:rFonts w:ascii="Calibri"/>
          <w:i w:val="0"/>
        </w:rPr>
        <w:t>(Tas)</w:t>
      </w:r>
    </w:p>
    <w:p>
      <w:pPr>
        <w:pStyle w:val="ListParagraph"/>
        <w:numPr>
          <w:ilvl w:val="0"/>
          <w:numId w:val="173"/>
        </w:numPr>
        <w:tabs>
          <w:tab w:pos="2381" w:val="left" w:leader="none"/>
          <w:tab w:pos="2382" w:val="left" w:leader="none"/>
        </w:tabs>
        <w:spacing w:line="242" w:lineRule="auto" w:before="143" w:after="0"/>
        <w:ind w:left="2381" w:right="1660" w:hanging="794"/>
        <w:jc w:val="left"/>
        <w:rPr>
          <w:sz w:val="21"/>
        </w:rPr>
      </w:pPr>
      <w:r>
        <w:rPr>
          <w:spacing w:val="-3"/>
          <w:w w:val="105"/>
          <w:sz w:val="21"/>
        </w:rPr>
        <w:t>Pursuant to </w:t>
      </w:r>
      <w:r>
        <w:rPr>
          <w:w w:val="105"/>
          <w:sz w:val="21"/>
        </w:rPr>
        <w:t>section </w:t>
      </w:r>
      <w:r>
        <w:rPr>
          <w:spacing w:val="-7"/>
          <w:w w:val="105"/>
          <w:sz w:val="21"/>
        </w:rPr>
        <w:t>14 </w:t>
      </w:r>
      <w:r>
        <w:rPr>
          <w:w w:val="105"/>
          <w:sz w:val="21"/>
        </w:rPr>
        <w:t>of the </w:t>
      </w:r>
      <w:r>
        <w:rPr>
          <w:i/>
          <w:w w:val="105"/>
          <w:sz w:val="21"/>
        </w:rPr>
        <w:t>Neighbourhood </w:t>
      </w:r>
      <w:r>
        <w:rPr>
          <w:i/>
          <w:spacing w:val="-3"/>
          <w:w w:val="105"/>
          <w:sz w:val="21"/>
        </w:rPr>
        <w:t>Disputes </w:t>
      </w:r>
      <w:r>
        <w:rPr>
          <w:i/>
          <w:w w:val="105"/>
          <w:sz w:val="21"/>
        </w:rPr>
        <w:t>About Plants Act </w:t>
      </w:r>
      <w:r>
        <w:rPr>
          <w:i/>
          <w:spacing w:val="-10"/>
          <w:w w:val="105"/>
          <w:sz w:val="21"/>
        </w:rPr>
        <w:t>2017 </w:t>
      </w:r>
      <w:r>
        <w:rPr>
          <w:spacing w:val="-3"/>
          <w:w w:val="105"/>
          <w:sz w:val="21"/>
        </w:rPr>
        <w:t>(Tas) </w:t>
      </w:r>
      <w:r>
        <w:rPr>
          <w:w w:val="105"/>
          <w:sz w:val="21"/>
        </w:rPr>
        <w:t>(the </w:t>
      </w:r>
      <w:r>
        <w:rPr>
          <w:spacing w:val="-4"/>
          <w:w w:val="105"/>
          <w:sz w:val="21"/>
        </w:rPr>
        <w:t>Tasmanian </w:t>
      </w:r>
      <w:r>
        <w:rPr>
          <w:w w:val="105"/>
          <w:sz w:val="21"/>
        </w:rPr>
        <w:t>Act), </w:t>
      </w:r>
      <w:r>
        <w:rPr>
          <w:spacing w:val="-6"/>
          <w:w w:val="105"/>
          <w:sz w:val="21"/>
        </w:rPr>
        <w:t>RMPAT </w:t>
      </w:r>
      <w:r>
        <w:rPr>
          <w:spacing w:val="-3"/>
          <w:w w:val="105"/>
          <w:sz w:val="21"/>
        </w:rPr>
        <w:t>cannot </w:t>
      </w:r>
      <w:r>
        <w:rPr>
          <w:spacing w:val="-4"/>
          <w:w w:val="105"/>
          <w:sz w:val="21"/>
        </w:rPr>
        <w:t>make </w:t>
      </w:r>
      <w:r>
        <w:rPr>
          <w:w w:val="105"/>
          <w:sz w:val="21"/>
        </w:rPr>
        <w:t>orders </w:t>
      </w:r>
      <w:r>
        <w:rPr>
          <w:spacing w:val="-3"/>
          <w:w w:val="105"/>
          <w:sz w:val="21"/>
        </w:rPr>
        <w:t>that </w:t>
      </w:r>
      <w:r>
        <w:rPr>
          <w:w w:val="105"/>
          <w:sz w:val="21"/>
        </w:rPr>
        <w:t>would be unlawful under </w:t>
      </w:r>
      <w:r>
        <w:rPr>
          <w:spacing w:val="-3"/>
          <w:w w:val="105"/>
          <w:sz w:val="21"/>
        </w:rPr>
        <w:t>another </w:t>
      </w:r>
      <w:r>
        <w:rPr>
          <w:w w:val="105"/>
          <w:sz w:val="21"/>
        </w:rPr>
        <w:t>Act or</w:t>
      </w:r>
      <w:r>
        <w:rPr>
          <w:spacing w:val="-8"/>
          <w:w w:val="105"/>
          <w:sz w:val="21"/>
        </w:rPr>
        <w:t> </w:t>
      </w:r>
      <w:r>
        <w:rPr>
          <w:w w:val="105"/>
          <w:sz w:val="21"/>
        </w:rPr>
        <w:t>otherwise</w:t>
      </w:r>
      <w:r>
        <w:rPr>
          <w:spacing w:val="-7"/>
          <w:w w:val="105"/>
          <w:sz w:val="21"/>
        </w:rPr>
        <w:t> </w:t>
      </w:r>
      <w:r>
        <w:rPr>
          <w:spacing w:val="-3"/>
          <w:w w:val="105"/>
          <w:sz w:val="21"/>
        </w:rPr>
        <w:t>limit</w:t>
      </w:r>
      <w:r>
        <w:rPr>
          <w:spacing w:val="-8"/>
          <w:w w:val="105"/>
          <w:sz w:val="21"/>
        </w:rPr>
        <w:t> </w:t>
      </w:r>
      <w:r>
        <w:rPr>
          <w:w w:val="105"/>
          <w:sz w:val="21"/>
        </w:rPr>
        <w:t>the</w:t>
      </w:r>
      <w:r>
        <w:rPr>
          <w:spacing w:val="-7"/>
          <w:w w:val="105"/>
          <w:sz w:val="21"/>
        </w:rPr>
        <w:t> </w:t>
      </w:r>
      <w:r>
        <w:rPr>
          <w:w w:val="105"/>
          <w:sz w:val="21"/>
        </w:rPr>
        <w:t>operation</w:t>
      </w:r>
      <w:r>
        <w:rPr>
          <w:spacing w:val="-8"/>
          <w:w w:val="105"/>
          <w:sz w:val="21"/>
        </w:rPr>
        <w:t> </w:t>
      </w:r>
      <w:r>
        <w:rPr>
          <w:w w:val="105"/>
          <w:sz w:val="21"/>
        </w:rPr>
        <w:t>of</w:t>
      </w:r>
      <w:r>
        <w:rPr>
          <w:spacing w:val="-7"/>
          <w:w w:val="105"/>
          <w:sz w:val="21"/>
        </w:rPr>
        <w:t> </w:t>
      </w:r>
      <w:r>
        <w:rPr>
          <w:spacing w:val="-3"/>
          <w:w w:val="105"/>
          <w:sz w:val="21"/>
        </w:rPr>
        <w:t>another</w:t>
      </w:r>
      <w:r>
        <w:rPr>
          <w:spacing w:val="-8"/>
          <w:w w:val="105"/>
          <w:sz w:val="21"/>
        </w:rPr>
        <w:t> </w:t>
      </w:r>
      <w:r>
        <w:rPr>
          <w:w w:val="105"/>
          <w:sz w:val="21"/>
        </w:rPr>
        <w:t>law</w:t>
      </w:r>
      <w:r>
        <w:rPr>
          <w:spacing w:val="-7"/>
          <w:w w:val="105"/>
          <w:sz w:val="21"/>
        </w:rPr>
        <w:t> </w:t>
      </w:r>
      <w:r>
        <w:rPr>
          <w:spacing w:val="-3"/>
          <w:w w:val="105"/>
          <w:sz w:val="21"/>
        </w:rPr>
        <w:t>requiring</w:t>
      </w:r>
      <w:r>
        <w:rPr>
          <w:spacing w:val="-8"/>
          <w:w w:val="105"/>
          <w:sz w:val="21"/>
        </w:rPr>
        <w:t> </w:t>
      </w:r>
      <w:r>
        <w:rPr>
          <w:w w:val="105"/>
          <w:sz w:val="21"/>
        </w:rPr>
        <w:t>a</w:t>
      </w:r>
      <w:r>
        <w:rPr>
          <w:spacing w:val="-7"/>
          <w:w w:val="105"/>
          <w:sz w:val="21"/>
        </w:rPr>
        <w:t> </w:t>
      </w:r>
      <w:r>
        <w:rPr>
          <w:spacing w:val="-3"/>
          <w:w w:val="105"/>
          <w:sz w:val="21"/>
        </w:rPr>
        <w:t>consent</w:t>
      </w:r>
      <w:r>
        <w:rPr>
          <w:spacing w:val="-8"/>
          <w:w w:val="105"/>
          <w:sz w:val="21"/>
        </w:rPr>
        <w:t> </w:t>
      </w:r>
      <w:r>
        <w:rPr>
          <w:w w:val="105"/>
          <w:sz w:val="21"/>
        </w:rPr>
        <w:t>or</w:t>
      </w:r>
      <w:r>
        <w:rPr>
          <w:spacing w:val="-7"/>
          <w:w w:val="105"/>
          <w:sz w:val="21"/>
        </w:rPr>
        <w:t> </w:t>
      </w:r>
      <w:r>
        <w:rPr>
          <w:w w:val="105"/>
          <w:sz w:val="21"/>
        </w:rPr>
        <w:t>authorisation</w:t>
      </w:r>
      <w:r>
        <w:rPr>
          <w:spacing w:val="-8"/>
          <w:w w:val="105"/>
          <w:sz w:val="21"/>
        </w:rPr>
        <w:t> </w:t>
      </w:r>
      <w:r>
        <w:rPr>
          <w:spacing w:val="-3"/>
          <w:w w:val="105"/>
          <w:sz w:val="21"/>
        </w:rPr>
        <w:t>to</w:t>
      </w:r>
      <w:r>
        <w:rPr>
          <w:spacing w:val="-7"/>
          <w:w w:val="105"/>
          <w:sz w:val="21"/>
        </w:rPr>
        <w:t> </w:t>
      </w:r>
      <w:r>
        <w:rPr>
          <w:w w:val="105"/>
          <w:sz w:val="21"/>
        </w:rPr>
        <w:t>be obtained </w:t>
      </w:r>
      <w:r>
        <w:rPr>
          <w:spacing w:val="-3"/>
          <w:w w:val="105"/>
          <w:sz w:val="21"/>
        </w:rPr>
        <w:t>before </w:t>
      </w:r>
      <w:r>
        <w:rPr>
          <w:w w:val="105"/>
          <w:sz w:val="21"/>
        </w:rPr>
        <w:t>work </w:t>
      </w:r>
      <w:r>
        <w:rPr>
          <w:spacing w:val="-3"/>
          <w:w w:val="105"/>
          <w:sz w:val="21"/>
        </w:rPr>
        <w:t>may </w:t>
      </w:r>
      <w:r>
        <w:rPr>
          <w:w w:val="105"/>
          <w:sz w:val="21"/>
        </w:rPr>
        <w:t>be carried out on a</w:t>
      </w:r>
      <w:r>
        <w:rPr>
          <w:spacing w:val="45"/>
          <w:w w:val="105"/>
          <w:sz w:val="21"/>
        </w:rPr>
        <w:t> </w:t>
      </w:r>
      <w:r>
        <w:rPr>
          <w:spacing w:val="-3"/>
          <w:w w:val="105"/>
          <w:sz w:val="21"/>
        </w:rPr>
        <w:t>plant.</w:t>
      </w:r>
    </w:p>
    <w:p>
      <w:pPr>
        <w:pStyle w:val="ListParagraph"/>
        <w:numPr>
          <w:ilvl w:val="0"/>
          <w:numId w:val="173"/>
        </w:numPr>
        <w:tabs>
          <w:tab w:pos="2381" w:val="left" w:leader="none"/>
        </w:tabs>
        <w:spacing w:line="242" w:lineRule="auto" w:before="124" w:after="0"/>
        <w:ind w:left="2381" w:right="1887" w:hanging="794"/>
        <w:jc w:val="both"/>
        <w:rPr>
          <w:sz w:val="21"/>
        </w:rPr>
      </w:pPr>
      <w:r>
        <w:rPr>
          <w:w w:val="105"/>
          <w:sz w:val="21"/>
        </w:rPr>
        <w:t>The </w:t>
      </w:r>
      <w:r>
        <w:rPr>
          <w:spacing w:val="-4"/>
          <w:w w:val="105"/>
          <w:sz w:val="21"/>
        </w:rPr>
        <w:t>Tasmanian </w:t>
      </w:r>
      <w:r>
        <w:rPr>
          <w:w w:val="105"/>
          <w:sz w:val="21"/>
        </w:rPr>
        <w:t>Act </w:t>
      </w:r>
      <w:r>
        <w:rPr>
          <w:spacing w:val="-3"/>
          <w:w w:val="105"/>
          <w:sz w:val="21"/>
        </w:rPr>
        <w:t>includes </w:t>
      </w:r>
      <w:r>
        <w:rPr>
          <w:w w:val="105"/>
          <w:sz w:val="21"/>
        </w:rPr>
        <w:t>a number of </w:t>
      </w:r>
      <w:r>
        <w:rPr>
          <w:spacing w:val="-3"/>
          <w:w w:val="105"/>
          <w:sz w:val="21"/>
        </w:rPr>
        <w:t>mechanisms that </w:t>
      </w:r>
      <w:r>
        <w:rPr>
          <w:w w:val="105"/>
          <w:sz w:val="21"/>
        </w:rPr>
        <w:t>enable parties </w:t>
      </w:r>
      <w:r>
        <w:rPr>
          <w:spacing w:val="-3"/>
          <w:w w:val="105"/>
          <w:sz w:val="21"/>
        </w:rPr>
        <w:t>to </w:t>
      </w:r>
      <w:r>
        <w:rPr>
          <w:w w:val="105"/>
          <w:sz w:val="21"/>
        </w:rPr>
        <w:t>obtain the </w:t>
      </w:r>
      <w:r>
        <w:rPr>
          <w:spacing w:val="-3"/>
          <w:w w:val="105"/>
          <w:sz w:val="21"/>
        </w:rPr>
        <w:t>relevant</w:t>
      </w:r>
      <w:r>
        <w:rPr>
          <w:spacing w:val="-12"/>
          <w:w w:val="105"/>
          <w:sz w:val="21"/>
        </w:rPr>
        <w:t> </w:t>
      </w:r>
      <w:r>
        <w:rPr>
          <w:spacing w:val="-3"/>
          <w:w w:val="105"/>
          <w:sz w:val="21"/>
        </w:rPr>
        <w:t>consent</w:t>
      </w:r>
      <w:r>
        <w:rPr>
          <w:spacing w:val="-12"/>
          <w:w w:val="105"/>
          <w:sz w:val="21"/>
        </w:rPr>
        <w:t> </w:t>
      </w:r>
      <w:r>
        <w:rPr>
          <w:w w:val="105"/>
          <w:sz w:val="21"/>
        </w:rPr>
        <w:t>or</w:t>
      </w:r>
      <w:r>
        <w:rPr>
          <w:spacing w:val="-11"/>
          <w:w w:val="105"/>
          <w:sz w:val="21"/>
        </w:rPr>
        <w:t> </w:t>
      </w:r>
      <w:r>
        <w:rPr>
          <w:w w:val="105"/>
          <w:sz w:val="21"/>
        </w:rPr>
        <w:t>authorisation</w:t>
      </w:r>
      <w:r>
        <w:rPr>
          <w:spacing w:val="-12"/>
          <w:w w:val="105"/>
          <w:sz w:val="21"/>
        </w:rPr>
        <w:t> </w:t>
      </w:r>
      <w:r>
        <w:rPr>
          <w:w w:val="105"/>
          <w:sz w:val="21"/>
        </w:rPr>
        <w:t>and</w:t>
      </w:r>
      <w:r>
        <w:rPr>
          <w:spacing w:val="-11"/>
          <w:w w:val="105"/>
          <w:sz w:val="21"/>
        </w:rPr>
        <w:t> </w:t>
      </w:r>
      <w:r>
        <w:rPr>
          <w:spacing w:val="-3"/>
          <w:w w:val="105"/>
          <w:sz w:val="21"/>
        </w:rPr>
        <w:t>to</w:t>
      </w:r>
      <w:r>
        <w:rPr>
          <w:spacing w:val="-12"/>
          <w:w w:val="105"/>
          <w:sz w:val="21"/>
        </w:rPr>
        <w:t> </w:t>
      </w:r>
      <w:r>
        <w:rPr>
          <w:w w:val="105"/>
          <w:sz w:val="21"/>
        </w:rPr>
        <w:t>notify</w:t>
      </w:r>
      <w:r>
        <w:rPr>
          <w:spacing w:val="-11"/>
          <w:w w:val="105"/>
          <w:sz w:val="21"/>
        </w:rPr>
        <w:t> </w:t>
      </w:r>
      <w:r>
        <w:rPr>
          <w:w w:val="105"/>
          <w:sz w:val="21"/>
        </w:rPr>
        <w:t>other</w:t>
      </w:r>
      <w:r>
        <w:rPr>
          <w:spacing w:val="-12"/>
          <w:w w:val="105"/>
          <w:sz w:val="21"/>
        </w:rPr>
        <w:t> </w:t>
      </w:r>
      <w:r>
        <w:rPr>
          <w:w w:val="105"/>
          <w:sz w:val="21"/>
        </w:rPr>
        <w:t>authorities</w:t>
      </w:r>
      <w:r>
        <w:rPr>
          <w:spacing w:val="-11"/>
          <w:w w:val="105"/>
          <w:sz w:val="21"/>
        </w:rPr>
        <w:t> </w:t>
      </w:r>
      <w:r>
        <w:rPr>
          <w:w w:val="105"/>
          <w:sz w:val="21"/>
        </w:rPr>
        <w:t>of</w:t>
      </w:r>
      <w:r>
        <w:rPr>
          <w:spacing w:val="-12"/>
          <w:w w:val="105"/>
          <w:sz w:val="21"/>
        </w:rPr>
        <w:t> </w:t>
      </w:r>
      <w:r>
        <w:rPr>
          <w:w w:val="105"/>
          <w:sz w:val="21"/>
        </w:rPr>
        <w:t>an</w:t>
      </w:r>
      <w:r>
        <w:rPr>
          <w:spacing w:val="-11"/>
          <w:w w:val="105"/>
          <w:sz w:val="21"/>
        </w:rPr>
        <w:t> </w:t>
      </w:r>
      <w:r>
        <w:rPr>
          <w:w w:val="105"/>
          <w:sz w:val="21"/>
        </w:rPr>
        <w:t>action</w:t>
      </w:r>
      <w:r>
        <w:rPr>
          <w:spacing w:val="-12"/>
          <w:w w:val="105"/>
          <w:sz w:val="21"/>
        </w:rPr>
        <w:t> </w:t>
      </w:r>
      <w:r>
        <w:rPr>
          <w:w w:val="105"/>
          <w:sz w:val="21"/>
        </w:rPr>
        <w:t>under</w:t>
      </w:r>
      <w:r>
        <w:rPr>
          <w:spacing w:val="-11"/>
          <w:w w:val="105"/>
          <w:sz w:val="21"/>
        </w:rPr>
        <w:t> </w:t>
      </w:r>
      <w:r>
        <w:rPr>
          <w:w w:val="105"/>
          <w:sz w:val="21"/>
        </w:rPr>
        <w:t>the Act:</w:t>
      </w:r>
    </w:p>
    <w:p>
      <w:pPr>
        <w:pStyle w:val="ListParagraph"/>
        <w:numPr>
          <w:ilvl w:val="1"/>
          <w:numId w:val="173"/>
        </w:numPr>
        <w:tabs>
          <w:tab w:pos="2722" w:val="left" w:leader="none"/>
        </w:tabs>
        <w:spacing w:line="242" w:lineRule="auto" w:before="124" w:after="0"/>
        <w:ind w:left="2721" w:right="1686" w:hanging="340"/>
        <w:jc w:val="both"/>
        <w:rPr>
          <w:sz w:val="12"/>
        </w:rPr>
      </w:pPr>
      <w:r>
        <w:rPr>
          <w:spacing w:val="-4"/>
          <w:w w:val="105"/>
          <w:sz w:val="21"/>
        </w:rPr>
        <w:t>At </w:t>
      </w:r>
      <w:r>
        <w:rPr>
          <w:w w:val="105"/>
          <w:sz w:val="21"/>
        </w:rPr>
        <w:t>the outset the </w:t>
      </w:r>
      <w:r>
        <w:rPr>
          <w:spacing w:val="-3"/>
          <w:w w:val="105"/>
          <w:sz w:val="21"/>
        </w:rPr>
        <w:t>applicant </w:t>
      </w:r>
      <w:r>
        <w:rPr>
          <w:w w:val="105"/>
          <w:sz w:val="21"/>
        </w:rPr>
        <w:t>is </w:t>
      </w:r>
      <w:r>
        <w:rPr>
          <w:spacing w:val="-3"/>
          <w:w w:val="105"/>
          <w:sz w:val="21"/>
        </w:rPr>
        <w:t>required to </w:t>
      </w:r>
      <w:r>
        <w:rPr>
          <w:w w:val="105"/>
          <w:sz w:val="21"/>
        </w:rPr>
        <w:t>identify the </w:t>
      </w:r>
      <w:r>
        <w:rPr>
          <w:spacing w:val="-3"/>
          <w:w w:val="105"/>
          <w:sz w:val="21"/>
        </w:rPr>
        <w:t>consent </w:t>
      </w:r>
      <w:r>
        <w:rPr>
          <w:w w:val="105"/>
          <w:sz w:val="21"/>
        </w:rPr>
        <w:t>or </w:t>
      </w:r>
      <w:r>
        <w:rPr>
          <w:spacing w:val="-3"/>
          <w:w w:val="105"/>
          <w:sz w:val="21"/>
        </w:rPr>
        <w:t>approval that </w:t>
      </w:r>
      <w:r>
        <w:rPr>
          <w:w w:val="105"/>
          <w:sz w:val="21"/>
        </w:rPr>
        <w:t>would </w:t>
      </w:r>
      <w:r>
        <w:rPr>
          <w:spacing w:val="-3"/>
          <w:w w:val="105"/>
          <w:sz w:val="21"/>
        </w:rPr>
        <w:t>ordinarily </w:t>
      </w:r>
      <w:r>
        <w:rPr>
          <w:w w:val="105"/>
          <w:sz w:val="21"/>
        </w:rPr>
        <w:t>be </w:t>
      </w:r>
      <w:r>
        <w:rPr>
          <w:spacing w:val="-3"/>
          <w:w w:val="105"/>
          <w:sz w:val="21"/>
        </w:rPr>
        <w:t>required </w:t>
      </w:r>
      <w:r>
        <w:rPr>
          <w:w w:val="105"/>
          <w:sz w:val="21"/>
        </w:rPr>
        <w:t>by a </w:t>
      </w:r>
      <w:r>
        <w:rPr>
          <w:spacing w:val="-3"/>
          <w:w w:val="105"/>
          <w:sz w:val="21"/>
        </w:rPr>
        <w:t>government </w:t>
      </w:r>
      <w:r>
        <w:rPr>
          <w:w w:val="105"/>
          <w:sz w:val="21"/>
        </w:rPr>
        <w:t>body if the type of order </w:t>
      </w:r>
      <w:r>
        <w:rPr>
          <w:spacing w:val="-3"/>
          <w:w w:val="105"/>
          <w:sz w:val="21"/>
        </w:rPr>
        <w:t>sought </w:t>
      </w:r>
      <w:r>
        <w:rPr>
          <w:w w:val="105"/>
          <w:sz w:val="21"/>
        </w:rPr>
        <w:t>was </w:t>
      </w:r>
      <w:r>
        <w:rPr>
          <w:spacing w:val="-3"/>
          <w:w w:val="105"/>
          <w:sz w:val="21"/>
        </w:rPr>
        <w:t>granted </w:t>
      </w:r>
      <w:r>
        <w:rPr>
          <w:w w:val="105"/>
          <w:sz w:val="21"/>
        </w:rPr>
        <w:t>by </w:t>
      </w:r>
      <w:r>
        <w:rPr>
          <w:spacing w:val="-5"/>
          <w:w w:val="105"/>
          <w:sz w:val="21"/>
        </w:rPr>
        <w:t>RMPAT.</w:t>
      </w:r>
      <w:r>
        <w:rPr>
          <w:spacing w:val="-5"/>
          <w:w w:val="105"/>
          <w:position w:val="7"/>
          <w:sz w:val="12"/>
        </w:rPr>
        <w:t>280 </w:t>
      </w:r>
      <w:r>
        <w:rPr>
          <w:w w:val="105"/>
          <w:sz w:val="21"/>
        </w:rPr>
        <w:t>The </w:t>
      </w:r>
      <w:r>
        <w:rPr>
          <w:spacing w:val="-3"/>
          <w:w w:val="105"/>
          <w:sz w:val="21"/>
        </w:rPr>
        <w:t>applicant </w:t>
      </w:r>
      <w:r>
        <w:rPr>
          <w:w w:val="105"/>
          <w:sz w:val="21"/>
        </w:rPr>
        <w:t>is </w:t>
      </w:r>
      <w:r>
        <w:rPr>
          <w:spacing w:val="-3"/>
          <w:w w:val="105"/>
          <w:sz w:val="21"/>
        </w:rPr>
        <w:t>required to </w:t>
      </w:r>
      <w:r>
        <w:rPr>
          <w:w w:val="105"/>
          <w:sz w:val="21"/>
        </w:rPr>
        <w:t>notify </w:t>
      </w:r>
      <w:r>
        <w:rPr>
          <w:spacing w:val="-3"/>
          <w:w w:val="105"/>
          <w:sz w:val="21"/>
        </w:rPr>
        <w:t>any interested government </w:t>
      </w:r>
      <w:r>
        <w:rPr>
          <w:w w:val="105"/>
          <w:sz w:val="21"/>
        </w:rPr>
        <w:t>party </w:t>
      </w:r>
      <w:r>
        <w:rPr>
          <w:spacing w:val="-3"/>
          <w:w w:val="105"/>
          <w:sz w:val="21"/>
        </w:rPr>
        <w:t>that </w:t>
      </w:r>
      <w:r>
        <w:rPr>
          <w:w w:val="105"/>
          <w:sz w:val="21"/>
        </w:rPr>
        <w:t>it</w:t>
      </w:r>
      <w:r>
        <w:rPr>
          <w:spacing w:val="-7"/>
          <w:w w:val="105"/>
          <w:sz w:val="21"/>
        </w:rPr>
        <w:t> </w:t>
      </w:r>
      <w:r>
        <w:rPr>
          <w:w w:val="105"/>
          <w:sz w:val="21"/>
        </w:rPr>
        <w:t>is</w:t>
      </w:r>
      <w:r>
        <w:rPr>
          <w:spacing w:val="-7"/>
          <w:w w:val="105"/>
          <w:sz w:val="21"/>
        </w:rPr>
        <w:t> </w:t>
      </w:r>
      <w:r>
        <w:rPr>
          <w:w w:val="105"/>
          <w:sz w:val="21"/>
        </w:rPr>
        <w:t>entitled</w:t>
      </w:r>
      <w:r>
        <w:rPr>
          <w:spacing w:val="-7"/>
          <w:w w:val="105"/>
          <w:sz w:val="21"/>
        </w:rPr>
        <w:t> </w:t>
      </w:r>
      <w:r>
        <w:rPr>
          <w:spacing w:val="-3"/>
          <w:w w:val="105"/>
          <w:sz w:val="21"/>
        </w:rPr>
        <w:t>to</w:t>
      </w:r>
      <w:r>
        <w:rPr>
          <w:spacing w:val="-7"/>
          <w:w w:val="105"/>
          <w:sz w:val="21"/>
        </w:rPr>
        <w:t> </w:t>
      </w:r>
      <w:r>
        <w:rPr>
          <w:w w:val="105"/>
          <w:sz w:val="21"/>
        </w:rPr>
        <w:t>appear</w:t>
      </w:r>
      <w:r>
        <w:rPr>
          <w:spacing w:val="-7"/>
          <w:w w:val="105"/>
          <w:sz w:val="21"/>
        </w:rPr>
        <w:t> </w:t>
      </w:r>
      <w:r>
        <w:rPr>
          <w:w w:val="105"/>
          <w:sz w:val="21"/>
        </w:rPr>
        <w:t>in</w:t>
      </w:r>
      <w:r>
        <w:rPr>
          <w:spacing w:val="-7"/>
          <w:w w:val="105"/>
          <w:sz w:val="21"/>
        </w:rPr>
        <w:t> </w:t>
      </w:r>
      <w:r>
        <w:rPr>
          <w:w w:val="105"/>
          <w:sz w:val="21"/>
        </w:rPr>
        <w:t>proceedings.</w:t>
      </w:r>
      <w:r>
        <w:rPr>
          <w:w w:val="105"/>
          <w:position w:val="7"/>
          <w:sz w:val="12"/>
        </w:rPr>
        <w:t>281</w:t>
      </w:r>
      <w:r>
        <w:rPr>
          <w:spacing w:val="15"/>
          <w:w w:val="105"/>
          <w:position w:val="7"/>
          <w:sz w:val="12"/>
        </w:rPr>
        <w:t> </w:t>
      </w:r>
      <w:r>
        <w:rPr>
          <w:w w:val="105"/>
          <w:sz w:val="21"/>
        </w:rPr>
        <w:t>The</w:t>
      </w:r>
      <w:r>
        <w:rPr>
          <w:spacing w:val="-7"/>
          <w:w w:val="105"/>
          <w:sz w:val="21"/>
        </w:rPr>
        <w:t> </w:t>
      </w:r>
      <w:r>
        <w:rPr>
          <w:w w:val="105"/>
          <w:sz w:val="21"/>
        </w:rPr>
        <w:t>Act</w:t>
      </w:r>
      <w:r>
        <w:rPr>
          <w:spacing w:val="-7"/>
          <w:w w:val="105"/>
          <w:sz w:val="21"/>
        </w:rPr>
        <w:t> </w:t>
      </w:r>
      <w:r>
        <w:rPr>
          <w:w w:val="105"/>
          <w:sz w:val="21"/>
        </w:rPr>
        <w:t>authorises</w:t>
      </w:r>
      <w:r>
        <w:rPr>
          <w:spacing w:val="-7"/>
          <w:w w:val="105"/>
          <w:sz w:val="21"/>
        </w:rPr>
        <w:t> </w:t>
      </w:r>
      <w:r>
        <w:rPr>
          <w:spacing w:val="-3"/>
          <w:w w:val="105"/>
          <w:sz w:val="21"/>
        </w:rPr>
        <w:t>that</w:t>
      </w:r>
      <w:r>
        <w:rPr>
          <w:spacing w:val="-7"/>
          <w:w w:val="105"/>
          <w:sz w:val="21"/>
        </w:rPr>
        <w:t> </w:t>
      </w:r>
      <w:r>
        <w:rPr>
          <w:spacing w:val="-3"/>
          <w:w w:val="105"/>
          <w:sz w:val="21"/>
        </w:rPr>
        <w:t>government</w:t>
      </w:r>
      <w:r>
        <w:rPr>
          <w:spacing w:val="-7"/>
          <w:w w:val="105"/>
          <w:sz w:val="21"/>
        </w:rPr>
        <w:t> </w:t>
      </w:r>
      <w:r>
        <w:rPr>
          <w:w w:val="105"/>
          <w:sz w:val="21"/>
        </w:rPr>
        <w:t>body</w:t>
      </w:r>
      <w:r>
        <w:rPr>
          <w:spacing w:val="-7"/>
          <w:w w:val="105"/>
          <w:sz w:val="21"/>
        </w:rPr>
        <w:t> </w:t>
      </w:r>
      <w:r>
        <w:rPr>
          <w:spacing w:val="-3"/>
          <w:w w:val="105"/>
          <w:sz w:val="21"/>
        </w:rPr>
        <w:t>to </w:t>
      </w:r>
      <w:r>
        <w:rPr>
          <w:w w:val="105"/>
          <w:sz w:val="21"/>
        </w:rPr>
        <w:t>appear in </w:t>
      </w:r>
      <w:r>
        <w:rPr>
          <w:spacing w:val="-3"/>
          <w:w w:val="105"/>
          <w:sz w:val="21"/>
        </w:rPr>
        <w:t>proceedings </w:t>
      </w:r>
      <w:r>
        <w:rPr>
          <w:w w:val="105"/>
          <w:sz w:val="21"/>
        </w:rPr>
        <w:t>if it wishes </w:t>
      </w:r>
      <w:r>
        <w:rPr>
          <w:spacing w:val="-3"/>
          <w:w w:val="105"/>
          <w:sz w:val="21"/>
        </w:rPr>
        <w:t>to </w:t>
      </w:r>
      <w:r>
        <w:rPr>
          <w:w w:val="105"/>
          <w:sz w:val="21"/>
        </w:rPr>
        <w:t>do</w:t>
      </w:r>
      <w:r>
        <w:rPr>
          <w:spacing w:val="44"/>
          <w:w w:val="105"/>
          <w:sz w:val="21"/>
        </w:rPr>
        <w:t> </w:t>
      </w:r>
      <w:r>
        <w:rPr>
          <w:w w:val="105"/>
          <w:sz w:val="21"/>
        </w:rPr>
        <w:t>so.</w:t>
      </w:r>
      <w:r>
        <w:rPr>
          <w:w w:val="105"/>
          <w:position w:val="7"/>
          <w:sz w:val="12"/>
        </w:rPr>
        <w:t>282</w:t>
      </w:r>
    </w:p>
    <w:p>
      <w:pPr>
        <w:pStyle w:val="ListParagraph"/>
        <w:numPr>
          <w:ilvl w:val="1"/>
          <w:numId w:val="173"/>
        </w:numPr>
        <w:tabs>
          <w:tab w:pos="2722" w:val="left" w:leader="none"/>
        </w:tabs>
        <w:spacing w:line="242" w:lineRule="auto" w:before="90" w:after="0"/>
        <w:ind w:left="2721" w:right="1755" w:hanging="340"/>
        <w:jc w:val="both"/>
        <w:rPr>
          <w:sz w:val="12"/>
        </w:rPr>
      </w:pPr>
      <w:r>
        <w:rPr>
          <w:sz w:val="21"/>
        </w:rPr>
        <w:t>In </w:t>
      </w:r>
      <w:r>
        <w:rPr>
          <w:spacing w:val="-3"/>
          <w:sz w:val="21"/>
        </w:rPr>
        <w:t>making </w:t>
      </w:r>
      <w:r>
        <w:rPr>
          <w:sz w:val="21"/>
        </w:rPr>
        <w:t>an </w:t>
      </w:r>
      <w:r>
        <w:rPr>
          <w:spacing w:val="-4"/>
          <w:sz w:val="21"/>
        </w:rPr>
        <w:t>order, </w:t>
      </w:r>
      <w:r>
        <w:rPr>
          <w:spacing w:val="-6"/>
          <w:sz w:val="21"/>
        </w:rPr>
        <w:t>RMPAT </w:t>
      </w:r>
      <w:r>
        <w:rPr>
          <w:sz w:val="21"/>
        </w:rPr>
        <w:t>must </w:t>
      </w:r>
      <w:r>
        <w:rPr>
          <w:spacing w:val="-4"/>
          <w:sz w:val="21"/>
        </w:rPr>
        <w:t>consider, </w:t>
      </w:r>
      <w:r>
        <w:rPr>
          <w:sz w:val="21"/>
        </w:rPr>
        <w:t>among other factors, whether </w:t>
      </w:r>
      <w:r>
        <w:rPr>
          <w:spacing w:val="-3"/>
          <w:sz w:val="21"/>
        </w:rPr>
        <w:t>consent </w:t>
      </w:r>
      <w:r>
        <w:rPr>
          <w:sz w:val="21"/>
        </w:rPr>
        <w:t>or other authorisation would </w:t>
      </w:r>
      <w:r>
        <w:rPr>
          <w:spacing w:val="-3"/>
          <w:sz w:val="21"/>
        </w:rPr>
        <w:t>normally </w:t>
      </w:r>
      <w:r>
        <w:rPr>
          <w:sz w:val="21"/>
        </w:rPr>
        <w:t>be </w:t>
      </w:r>
      <w:r>
        <w:rPr>
          <w:spacing w:val="-3"/>
          <w:sz w:val="21"/>
        </w:rPr>
        <w:t>required </w:t>
      </w:r>
      <w:r>
        <w:rPr>
          <w:sz w:val="21"/>
        </w:rPr>
        <w:t>under </w:t>
      </w:r>
      <w:r>
        <w:rPr>
          <w:spacing w:val="-3"/>
          <w:sz w:val="21"/>
        </w:rPr>
        <w:t>any </w:t>
      </w:r>
      <w:r>
        <w:rPr>
          <w:sz w:val="21"/>
        </w:rPr>
        <w:t>other</w:t>
      </w:r>
      <w:r>
        <w:rPr>
          <w:spacing w:val="-12"/>
          <w:sz w:val="21"/>
        </w:rPr>
        <w:t> </w:t>
      </w:r>
      <w:r>
        <w:rPr>
          <w:sz w:val="21"/>
        </w:rPr>
        <w:t>Act.</w:t>
      </w:r>
      <w:r>
        <w:rPr>
          <w:position w:val="7"/>
          <w:sz w:val="12"/>
        </w:rPr>
        <w:t>283</w:t>
      </w:r>
    </w:p>
    <w:p>
      <w:pPr>
        <w:pStyle w:val="BodyText"/>
        <w:spacing w:before="5"/>
        <w:rPr>
          <w:sz w:val="20"/>
        </w:rPr>
      </w:pPr>
      <w:r>
        <w:rPr/>
        <w:pict>
          <v:line style="position:absolute;mso-position-horizontal-relative:page;mso-position-vertical-relative:paragraph;z-index:9992;mso-wrap-distance-left:0;mso-wrap-distance-right:0" from="79.370102pt,14.937741pt" to="515.905102pt,14.937741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78"/>
        </w:numPr>
        <w:tabs>
          <w:tab w:pos="2381" w:val="left" w:leader="none"/>
          <w:tab w:pos="2382" w:val="left" w:leader="none"/>
        </w:tabs>
        <w:spacing w:line="240" w:lineRule="auto" w:before="48" w:after="0"/>
        <w:ind w:left="2381" w:right="307" w:hanging="794"/>
        <w:jc w:val="left"/>
        <w:rPr>
          <w:sz w:val="13"/>
        </w:rPr>
      </w:pPr>
      <w:r>
        <w:rPr>
          <w:w w:val="105"/>
          <w:sz w:val="13"/>
        </w:rPr>
        <w:t>Michelle Lensink, ‘Tree Protection Laws in Australian States and Territories’, </w:t>
      </w:r>
      <w:r>
        <w:rPr>
          <w:i/>
          <w:w w:val="105"/>
          <w:sz w:val="13"/>
        </w:rPr>
        <w:t>Treenet </w:t>
      </w:r>
      <w:r>
        <w:rPr>
          <w:w w:val="105"/>
          <w:sz w:val="13"/>
        </w:rPr>
        <w:t>(Web Page, 2017) </w:t>
      </w:r>
      <w:r>
        <w:rPr>
          <w:spacing w:val="2"/>
          <w:w w:val="105"/>
          <w:sz w:val="13"/>
        </w:rPr>
        <w:t>&lt;https://treenet.org/resources/ </w:t>
      </w:r>
      <w:r>
        <w:rPr>
          <w:w w:val="105"/>
          <w:sz w:val="13"/>
        </w:rPr>
        <w:t>tree-protection-laws-in-australian-states-and-territories/&gt;;</w:t>
      </w:r>
      <w:r>
        <w:rPr>
          <w:spacing w:val="7"/>
          <w:w w:val="105"/>
          <w:sz w:val="13"/>
        </w:rPr>
        <w:t> </w:t>
      </w:r>
      <w:r>
        <w:rPr>
          <w:w w:val="105"/>
          <w:sz w:val="13"/>
        </w:rPr>
        <w:t>Tasmanian</w:t>
      </w:r>
      <w:r>
        <w:rPr>
          <w:spacing w:val="7"/>
          <w:w w:val="105"/>
          <w:sz w:val="13"/>
        </w:rPr>
        <w:t> </w:t>
      </w:r>
      <w:r>
        <w:rPr>
          <w:w w:val="105"/>
          <w:sz w:val="13"/>
        </w:rPr>
        <w:t>Planning</w:t>
      </w:r>
      <w:r>
        <w:rPr>
          <w:spacing w:val="7"/>
          <w:w w:val="105"/>
          <w:sz w:val="13"/>
        </w:rPr>
        <w:t> </w:t>
      </w:r>
      <w:r>
        <w:rPr>
          <w:w w:val="105"/>
          <w:sz w:val="13"/>
        </w:rPr>
        <w:t>Commission,</w:t>
      </w:r>
      <w:r>
        <w:rPr>
          <w:spacing w:val="8"/>
          <w:w w:val="105"/>
          <w:sz w:val="13"/>
        </w:rPr>
        <w:t> </w:t>
      </w:r>
      <w:r>
        <w:rPr>
          <w:w w:val="105"/>
          <w:sz w:val="13"/>
        </w:rPr>
        <w:t>State</w:t>
      </w:r>
      <w:r>
        <w:rPr>
          <w:spacing w:val="7"/>
          <w:w w:val="105"/>
          <w:sz w:val="13"/>
        </w:rPr>
        <w:t> </w:t>
      </w:r>
      <w:r>
        <w:rPr>
          <w:w w:val="105"/>
          <w:sz w:val="13"/>
        </w:rPr>
        <w:t>Planning</w:t>
      </w:r>
      <w:r>
        <w:rPr>
          <w:spacing w:val="7"/>
          <w:w w:val="105"/>
          <w:sz w:val="13"/>
        </w:rPr>
        <w:t> </w:t>
      </w:r>
      <w:r>
        <w:rPr>
          <w:w w:val="105"/>
          <w:sz w:val="13"/>
        </w:rPr>
        <w:t>Provisions</w:t>
      </w:r>
      <w:r>
        <w:rPr>
          <w:spacing w:val="8"/>
          <w:w w:val="105"/>
          <w:sz w:val="13"/>
        </w:rPr>
        <w:t> </w:t>
      </w:r>
      <w:r>
        <w:rPr>
          <w:w w:val="105"/>
          <w:sz w:val="13"/>
        </w:rPr>
        <w:t>(Web</w:t>
      </w:r>
      <w:r>
        <w:rPr>
          <w:spacing w:val="7"/>
          <w:w w:val="105"/>
          <w:sz w:val="13"/>
        </w:rPr>
        <w:t> </w:t>
      </w:r>
      <w:r>
        <w:rPr>
          <w:w w:val="105"/>
          <w:sz w:val="13"/>
        </w:rPr>
        <w:t>Page)</w:t>
      </w:r>
    </w:p>
    <w:p>
      <w:pPr>
        <w:spacing w:before="3"/>
        <w:ind w:left="2381" w:right="0" w:firstLine="0"/>
        <w:jc w:val="left"/>
        <w:rPr>
          <w:sz w:val="13"/>
        </w:rPr>
      </w:pPr>
      <w:r>
        <w:rPr>
          <w:w w:val="105"/>
          <w:sz w:val="13"/>
        </w:rPr>
        <w:t>&lt;https://</w:t>
      </w:r>
      <w:hyperlink r:id="rId294">
        <w:r>
          <w:rPr>
            <w:w w:val="105"/>
            <w:sz w:val="13"/>
          </w:rPr>
          <w:t>www.planning.tas.gov.au/planning_our_future/state_planning_provisions</w:t>
        </w:r>
      </w:hyperlink>
      <w:r>
        <w:rPr>
          <w:w w:val="105"/>
          <w:sz w:val="13"/>
        </w:rPr>
        <w:t>&gt;.</w:t>
      </w:r>
    </w:p>
    <w:p>
      <w:pPr>
        <w:pStyle w:val="ListParagraph"/>
        <w:numPr>
          <w:ilvl w:val="0"/>
          <w:numId w:val="178"/>
        </w:numPr>
        <w:tabs>
          <w:tab w:pos="2381" w:val="left" w:leader="none"/>
          <w:tab w:pos="2382" w:val="left" w:leader="none"/>
        </w:tabs>
        <w:spacing w:line="240" w:lineRule="auto" w:before="1" w:after="0"/>
        <w:ind w:left="2381" w:right="0" w:hanging="794"/>
        <w:jc w:val="left"/>
        <w:rPr>
          <w:i/>
          <w:sz w:val="13"/>
        </w:rPr>
      </w:pPr>
      <w:r>
        <w:rPr>
          <w:w w:val="105"/>
          <w:sz w:val="13"/>
        </w:rPr>
        <w:t>See,</w:t>
      </w:r>
      <w:r>
        <w:rPr>
          <w:spacing w:val="5"/>
          <w:w w:val="105"/>
          <w:sz w:val="13"/>
        </w:rPr>
        <w:t> </w:t>
      </w:r>
      <w:r>
        <w:rPr>
          <w:w w:val="105"/>
          <w:sz w:val="13"/>
        </w:rPr>
        <w:t>eg,</w:t>
      </w:r>
      <w:r>
        <w:rPr>
          <w:spacing w:val="5"/>
          <w:w w:val="105"/>
          <w:sz w:val="13"/>
        </w:rPr>
        <w:t> </w:t>
      </w:r>
      <w:r>
        <w:rPr>
          <w:w w:val="105"/>
          <w:sz w:val="13"/>
        </w:rPr>
        <w:t>Department</w:t>
      </w:r>
      <w:r>
        <w:rPr>
          <w:spacing w:val="5"/>
          <w:w w:val="105"/>
          <w:sz w:val="13"/>
        </w:rPr>
        <w:t> </w:t>
      </w:r>
      <w:r>
        <w:rPr>
          <w:w w:val="105"/>
          <w:sz w:val="13"/>
        </w:rPr>
        <w:t>of</w:t>
      </w:r>
      <w:r>
        <w:rPr>
          <w:spacing w:val="6"/>
          <w:w w:val="105"/>
          <w:sz w:val="13"/>
        </w:rPr>
        <w:t> </w:t>
      </w:r>
      <w:r>
        <w:rPr>
          <w:w w:val="105"/>
          <w:sz w:val="13"/>
        </w:rPr>
        <w:t>Justice</w:t>
      </w:r>
      <w:r>
        <w:rPr>
          <w:spacing w:val="5"/>
          <w:w w:val="105"/>
          <w:sz w:val="13"/>
        </w:rPr>
        <w:t> </w:t>
      </w:r>
      <w:r>
        <w:rPr>
          <w:w w:val="105"/>
          <w:sz w:val="13"/>
        </w:rPr>
        <w:t>(Tas),</w:t>
      </w:r>
      <w:r>
        <w:rPr>
          <w:spacing w:val="5"/>
          <w:w w:val="105"/>
          <w:sz w:val="13"/>
        </w:rPr>
        <w:t> </w:t>
      </w:r>
      <w:r>
        <w:rPr>
          <w:i/>
          <w:w w:val="105"/>
          <w:sz w:val="13"/>
        </w:rPr>
        <w:t>Tasmanian</w:t>
      </w:r>
      <w:r>
        <w:rPr>
          <w:i/>
          <w:spacing w:val="6"/>
          <w:w w:val="105"/>
          <w:sz w:val="13"/>
        </w:rPr>
        <w:t> </w:t>
      </w:r>
      <w:r>
        <w:rPr>
          <w:i/>
          <w:w w:val="105"/>
          <w:sz w:val="13"/>
        </w:rPr>
        <w:t>Planning</w:t>
      </w:r>
      <w:r>
        <w:rPr>
          <w:i/>
          <w:spacing w:val="5"/>
          <w:w w:val="105"/>
          <w:sz w:val="13"/>
        </w:rPr>
        <w:t> </w:t>
      </w:r>
      <w:r>
        <w:rPr>
          <w:i/>
          <w:spacing w:val="2"/>
          <w:w w:val="105"/>
          <w:sz w:val="13"/>
        </w:rPr>
        <w:t>Reform—An</w:t>
      </w:r>
      <w:r>
        <w:rPr>
          <w:i/>
          <w:spacing w:val="5"/>
          <w:w w:val="105"/>
          <w:sz w:val="13"/>
        </w:rPr>
        <w:t> </w:t>
      </w:r>
      <w:r>
        <w:rPr>
          <w:i/>
          <w:w w:val="105"/>
          <w:sz w:val="13"/>
        </w:rPr>
        <w:t>Overview</w:t>
      </w:r>
      <w:r>
        <w:rPr>
          <w:i/>
          <w:spacing w:val="6"/>
          <w:w w:val="105"/>
          <w:sz w:val="13"/>
        </w:rPr>
        <w:t> </w:t>
      </w:r>
      <w:r>
        <w:rPr>
          <w:i/>
          <w:spacing w:val="2"/>
          <w:w w:val="105"/>
          <w:sz w:val="13"/>
        </w:rPr>
        <w:t>(Fact</w:t>
      </w:r>
      <w:r>
        <w:rPr>
          <w:i/>
          <w:spacing w:val="5"/>
          <w:w w:val="105"/>
          <w:sz w:val="13"/>
        </w:rPr>
        <w:t> </w:t>
      </w:r>
      <w:r>
        <w:rPr>
          <w:i/>
          <w:w w:val="105"/>
          <w:sz w:val="13"/>
        </w:rPr>
        <w:t>Sheet</w:t>
      </w:r>
      <w:r>
        <w:rPr>
          <w:i/>
          <w:spacing w:val="5"/>
          <w:w w:val="105"/>
          <w:sz w:val="13"/>
        </w:rPr>
        <w:t> </w:t>
      </w:r>
      <w:r>
        <w:rPr>
          <w:i/>
          <w:spacing w:val="-3"/>
          <w:w w:val="105"/>
          <w:sz w:val="13"/>
        </w:rPr>
        <w:t>1,</w:t>
      </w:r>
      <w:r>
        <w:rPr>
          <w:i/>
          <w:spacing w:val="6"/>
          <w:w w:val="105"/>
          <w:sz w:val="13"/>
        </w:rPr>
        <w:t> </w:t>
      </w:r>
      <w:r>
        <w:rPr>
          <w:i/>
          <w:w w:val="105"/>
          <w:sz w:val="13"/>
        </w:rPr>
        <w:t>December</w:t>
      </w:r>
      <w:r>
        <w:rPr>
          <w:i/>
          <w:spacing w:val="5"/>
          <w:w w:val="105"/>
          <w:sz w:val="13"/>
        </w:rPr>
        <w:t> </w:t>
      </w:r>
      <w:r>
        <w:rPr>
          <w:i/>
          <w:spacing w:val="-3"/>
          <w:w w:val="105"/>
          <w:sz w:val="13"/>
        </w:rPr>
        <w:t>2017)</w:t>
      </w:r>
    </w:p>
    <w:p>
      <w:pPr>
        <w:spacing w:before="1"/>
        <w:ind w:left="2381" w:right="88" w:firstLine="0"/>
        <w:jc w:val="left"/>
        <w:rPr>
          <w:sz w:val="13"/>
        </w:rPr>
      </w:pPr>
      <w:r>
        <w:rPr>
          <w:w w:val="105"/>
          <w:sz w:val="13"/>
        </w:rPr>
        <w:t>&lt;</w:t>
      </w:r>
      <w:hyperlink r:id="rId295">
        <w:r>
          <w:rPr>
            <w:w w:val="105"/>
            <w:sz w:val="13"/>
          </w:rPr>
          <w:t>https://www.planningreform.tas.gov.au/</w:t>
        </w:r>
      </w:hyperlink>
      <w:r>
        <w:rPr>
          <w:w w:val="105"/>
          <w:sz w:val="13"/>
        </w:rPr>
        <w:t>&gt;. The Land Use Planning and Approvals Amendment (Tasmanian Planning Polices and Miscellaneous Amendments) Bill 2018 amends the </w:t>
      </w:r>
      <w:r>
        <w:rPr>
          <w:i/>
          <w:w w:val="105"/>
          <w:sz w:val="13"/>
        </w:rPr>
        <w:t>Land Use Planning and Approvals Act 1993 </w:t>
      </w:r>
      <w:r>
        <w:rPr>
          <w:w w:val="105"/>
          <w:sz w:val="13"/>
        </w:rPr>
        <w:t>(Tas) by establishing a mechanism to make and amend a suite of Tasmanian Planning Provisions to provide strategic direction on matters of state interest within Tasmania’s land use planning system. It was introduced into Parliament on 18 October 2018 and commenced on 17 December 2018: Tasmanian Government, </w:t>
      </w:r>
      <w:r>
        <w:rPr>
          <w:i/>
          <w:w w:val="105"/>
          <w:sz w:val="13"/>
        </w:rPr>
        <w:t>Tasmanian Planning Reform—The Policies </w:t>
      </w:r>
      <w:r>
        <w:rPr>
          <w:w w:val="105"/>
          <w:sz w:val="13"/>
        </w:rPr>
        <w:t>(Web Page, 17 December 2018) &lt;https://</w:t>
      </w:r>
      <w:hyperlink r:id="rId296">
        <w:r>
          <w:rPr>
            <w:w w:val="105"/>
            <w:sz w:val="13"/>
          </w:rPr>
          <w:t>www.planningreform.tas.gov.au/policies</w:t>
        </w:r>
      </w:hyperlink>
      <w:r>
        <w:rPr>
          <w:w w:val="105"/>
          <w:sz w:val="13"/>
        </w:rPr>
        <w:t>&gt;.</w:t>
      </w:r>
    </w:p>
    <w:p>
      <w:pPr>
        <w:pStyle w:val="ListParagraph"/>
        <w:numPr>
          <w:ilvl w:val="0"/>
          <w:numId w:val="178"/>
        </w:numPr>
        <w:tabs>
          <w:tab w:pos="2381" w:val="left" w:leader="none"/>
          <w:tab w:pos="2382" w:val="left" w:leader="none"/>
        </w:tabs>
        <w:spacing w:line="240" w:lineRule="auto" w:before="7" w:after="0"/>
        <w:ind w:left="2381" w:right="294" w:hanging="794"/>
        <w:jc w:val="left"/>
        <w:rPr>
          <w:sz w:val="13"/>
        </w:rPr>
      </w:pPr>
      <w:r>
        <w:rPr>
          <w:w w:val="105"/>
          <w:sz w:val="13"/>
        </w:rPr>
        <w:t>Tasmanian Planning Commission, </w:t>
      </w:r>
      <w:r>
        <w:rPr>
          <w:i/>
          <w:w w:val="105"/>
          <w:sz w:val="13"/>
        </w:rPr>
        <w:t>State Planning Provision </w:t>
      </w:r>
      <w:r>
        <w:rPr>
          <w:w w:val="105"/>
          <w:sz w:val="13"/>
        </w:rPr>
        <w:t>(Web Page) </w:t>
      </w:r>
      <w:r>
        <w:rPr>
          <w:spacing w:val="2"/>
          <w:w w:val="105"/>
          <w:sz w:val="13"/>
        </w:rPr>
        <w:t>&lt;https://</w:t>
      </w:r>
      <w:hyperlink r:id="rId297">
        <w:r>
          <w:rPr>
            <w:spacing w:val="2"/>
            <w:w w:val="105"/>
            <w:sz w:val="13"/>
          </w:rPr>
          <w:t>www.planning.tas.gov.au/planning_our_future/state_</w:t>
        </w:r>
      </w:hyperlink>
      <w:r>
        <w:rPr>
          <w:spacing w:val="2"/>
          <w:w w:val="105"/>
          <w:sz w:val="13"/>
        </w:rPr>
        <w:t> </w:t>
      </w:r>
      <w:r>
        <w:rPr>
          <w:w w:val="105"/>
          <w:sz w:val="13"/>
        </w:rPr>
        <w:t>planning_provisions&gt;.</w:t>
      </w:r>
    </w:p>
    <w:p>
      <w:pPr>
        <w:pStyle w:val="ListParagraph"/>
        <w:numPr>
          <w:ilvl w:val="0"/>
          <w:numId w:val="178"/>
        </w:numPr>
        <w:tabs>
          <w:tab w:pos="2381" w:val="left" w:leader="none"/>
          <w:tab w:pos="2382" w:val="left" w:leader="none"/>
        </w:tabs>
        <w:spacing w:line="240" w:lineRule="auto" w:before="3" w:after="0"/>
        <w:ind w:left="2381" w:right="59" w:hanging="794"/>
        <w:jc w:val="left"/>
        <w:rPr>
          <w:sz w:val="13"/>
        </w:rPr>
      </w:pPr>
      <w:r>
        <w:rPr>
          <w:sz w:val="13"/>
        </w:rPr>
        <w:t>A significant tree means a tree that is listed and identified in the significant trees list in the relevant Local Provisions Schedule: </w:t>
      </w:r>
      <w:r>
        <w:rPr>
          <w:i/>
          <w:sz w:val="13"/>
        </w:rPr>
        <w:t>Tasmanian    </w:t>
      </w:r>
      <w:r>
        <w:rPr>
          <w:i/>
          <w:sz w:val="13"/>
        </w:rPr>
        <w:t>Planning Scheme—State Planning Provisions</w:t>
      </w:r>
      <w:r>
        <w:rPr>
          <w:sz w:val="13"/>
        </w:rPr>
        <w:t>, C6.1.1(b) ‘Local Historic Heritage Code’, C6.9 ‘Significant trees’ &lt;https://planningreform.tas. gov.au/scheme&gt;.</w:t>
      </w:r>
      <w:r>
        <w:rPr>
          <w:spacing w:val="14"/>
          <w:sz w:val="13"/>
        </w:rPr>
        <w:t> </w:t>
      </w:r>
      <w:r>
        <w:rPr>
          <w:sz w:val="13"/>
        </w:rPr>
        <w:t>The</w:t>
      </w:r>
      <w:r>
        <w:rPr>
          <w:spacing w:val="14"/>
          <w:sz w:val="13"/>
        </w:rPr>
        <w:t> </w:t>
      </w:r>
      <w:r>
        <w:rPr>
          <w:sz w:val="13"/>
        </w:rPr>
        <w:t>Local</w:t>
      </w:r>
      <w:r>
        <w:rPr>
          <w:spacing w:val="14"/>
          <w:sz w:val="13"/>
        </w:rPr>
        <w:t> </w:t>
      </w:r>
      <w:r>
        <w:rPr>
          <w:sz w:val="13"/>
        </w:rPr>
        <w:t>Provisions</w:t>
      </w:r>
      <w:r>
        <w:rPr>
          <w:spacing w:val="14"/>
          <w:sz w:val="13"/>
        </w:rPr>
        <w:t> </w:t>
      </w:r>
      <w:r>
        <w:rPr>
          <w:sz w:val="13"/>
        </w:rPr>
        <w:t>Schedule</w:t>
      </w:r>
      <w:r>
        <w:rPr>
          <w:spacing w:val="15"/>
          <w:sz w:val="13"/>
        </w:rPr>
        <w:t> </w:t>
      </w:r>
      <w:r>
        <w:rPr>
          <w:sz w:val="13"/>
        </w:rPr>
        <w:t>indicates</w:t>
      </w:r>
      <w:r>
        <w:rPr>
          <w:spacing w:val="14"/>
          <w:sz w:val="13"/>
        </w:rPr>
        <w:t> </w:t>
      </w:r>
      <w:r>
        <w:rPr>
          <w:sz w:val="13"/>
        </w:rPr>
        <w:t>how</w:t>
      </w:r>
      <w:r>
        <w:rPr>
          <w:spacing w:val="14"/>
          <w:sz w:val="13"/>
        </w:rPr>
        <w:t> </w:t>
      </w:r>
      <w:r>
        <w:rPr>
          <w:sz w:val="13"/>
        </w:rPr>
        <w:t>State</w:t>
      </w:r>
      <w:r>
        <w:rPr>
          <w:spacing w:val="14"/>
          <w:sz w:val="13"/>
        </w:rPr>
        <w:t> </w:t>
      </w:r>
      <w:r>
        <w:rPr>
          <w:sz w:val="13"/>
        </w:rPr>
        <w:t>Planning</w:t>
      </w:r>
      <w:r>
        <w:rPr>
          <w:spacing w:val="15"/>
          <w:sz w:val="13"/>
        </w:rPr>
        <w:t> </w:t>
      </w:r>
      <w:r>
        <w:rPr>
          <w:sz w:val="13"/>
        </w:rPr>
        <w:t>Policies</w:t>
      </w:r>
      <w:r>
        <w:rPr>
          <w:spacing w:val="14"/>
          <w:sz w:val="13"/>
        </w:rPr>
        <w:t> </w:t>
      </w:r>
      <w:r>
        <w:rPr>
          <w:sz w:val="13"/>
        </w:rPr>
        <w:t>will</w:t>
      </w:r>
      <w:r>
        <w:rPr>
          <w:spacing w:val="14"/>
          <w:sz w:val="13"/>
        </w:rPr>
        <w:t> </w:t>
      </w:r>
      <w:r>
        <w:rPr>
          <w:sz w:val="13"/>
        </w:rPr>
        <w:t>apply</w:t>
      </w:r>
      <w:r>
        <w:rPr>
          <w:spacing w:val="14"/>
          <w:sz w:val="13"/>
        </w:rPr>
        <w:t> </w:t>
      </w:r>
      <w:r>
        <w:rPr>
          <w:sz w:val="13"/>
        </w:rPr>
        <w:t>in</w:t>
      </w:r>
      <w:r>
        <w:rPr>
          <w:spacing w:val="15"/>
          <w:sz w:val="13"/>
        </w:rPr>
        <w:t> </w:t>
      </w:r>
      <w:r>
        <w:rPr>
          <w:sz w:val="13"/>
        </w:rPr>
        <w:t>each</w:t>
      </w:r>
      <w:r>
        <w:rPr>
          <w:spacing w:val="14"/>
          <w:sz w:val="13"/>
        </w:rPr>
        <w:t> </w:t>
      </w:r>
      <w:r>
        <w:rPr>
          <w:sz w:val="13"/>
        </w:rPr>
        <w:t>local</w:t>
      </w:r>
      <w:r>
        <w:rPr>
          <w:spacing w:val="14"/>
          <w:sz w:val="13"/>
        </w:rPr>
        <w:t> </w:t>
      </w:r>
      <w:r>
        <w:rPr>
          <w:sz w:val="13"/>
        </w:rPr>
        <w:t>municipal</w:t>
      </w:r>
      <w:r>
        <w:rPr>
          <w:spacing w:val="14"/>
          <w:sz w:val="13"/>
        </w:rPr>
        <w:t> </w:t>
      </w:r>
      <w:r>
        <w:rPr>
          <w:sz w:val="13"/>
        </w:rPr>
        <w:t>area.</w:t>
      </w:r>
    </w:p>
    <w:p>
      <w:pPr>
        <w:pStyle w:val="ListParagraph"/>
        <w:numPr>
          <w:ilvl w:val="0"/>
          <w:numId w:val="178"/>
        </w:numPr>
        <w:tabs>
          <w:tab w:pos="2381" w:val="left" w:leader="none"/>
          <w:tab w:pos="2382" w:val="left" w:leader="none"/>
        </w:tabs>
        <w:spacing w:line="240" w:lineRule="auto" w:before="4" w:after="0"/>
        <w:ind w:left="2381" w:right="0" w:hanging="794"/>
        <w:jc w:val="left"/>
        <w:rPr>
          <w:sz w:val="13"/>
        </w:rPr>
      </w:pPr>
      <w:r>
        <w:rPr>
          <w:i/>
          <w:sz w:val="13"/>
        </w:rPr>
        <w:t>Tasmanian  Planning  Scheme—State  Planning  Provisions,  </w:t>
      </w:r>
      <w:r>
        <w:rPr>
          <w:sz w:val="13"/>
        </w:rPr>
        <w:t>Table  C6.4.1  ‘Exempt  development’,  C6.9.1  ‘Significant  Trees’.  Works  requiring      the removal or a listed tree or which may impact on the health, structural stability or appearance of a listed tree must demonstrate: </w:t>
      </w:r>
      <w:r>
        <w:rPr>
          <w:spacing w:val="2"/>
          <w:sz w:val="13"/>
        </w:rPr>
        <w:t>(a) </w:t>
      </w:r>
      <w:r>
        <w:rPr>
          <w:sz w:val="13"/>
        </w:rPr>
        <w:t>that       there are no feasible alternatives which could be implemented to avoid impacting on the tree and the proposed methodology of the works incorporates</w:t>
      </w:r>
      <w:r>
        <w:rPr>
          <w:spacing w:val="15"/>
          <w:sz w:val="13"/>
        </w:rPr>
        <w:t> </w:t>
      </w:r>
      <w:r>
        <w:rPr>
          <w:sz w:val="13"/>
        </w:rPr>
        <w:t>measures</w:t>
      </w:r>
      <w:r>
        <w:rPr>
          <w:spacing w:val="16"/>
          <w:sz w:val="13"/>
        </w:rPr>
        <w:t> </w:t>
      </w:r>
      <w:r>
        <w:rPr>
          <w:sz w:val="13"/>
        </w:rPr>
        <w:t>to</w:t>
      </w:r>
      <w:r>
        <w:rPr>
          <w:spacing w:val="15"/>
          <w:sz w:val="13"/>
        </w:rPr>
        <w:t> </w:t>
      </w:r>
      <w:r>
        <w:rPr>
          <w:sz w:val="13"/>
        </w:rPr>
        <w:t>minimise</w:t>
      </w:r>
      <w:r>
        <w:rPr>
          <w:spacing w:val="16"/>
          <w:sz w:val="13"/>
        </w:rPr>
        <w:t> </w:t>
      </w:r>
      <w:r>
        <w:rPr>
          <w:sz w:val="13"/>
        </w:rPr>
        <w:t>and</w:t>
      </w:r>
      <w:r>
        <w:rPr>
          <w:spacing w:val="15"/>
          <w:sz w:val="13"/>
        </w:rPr>
        <w:t> </w:t>
      </w:r>
      <w:r>
        <w:rPr>
          <w:sz w:val="13"/>
        </w:rPr>
        <w:t>mitigate</w:t>
      </w:r>
      <w:r>
        <w:rPr>
          <w:spacing w:val="16"/>
          <w:sz w:val="13"/>
        </w:rPr>
        <w:t> </w:t>
      </w:r>
      <w:r>
        <w:rPr>
          <w:sz w:val="13"/>
        </w:rPr>
        <w:t>any</w:t>
      </w:r>
      <w:r>
        <w:rPr>
          <w:spacing w:val="15"/>
          <w:sz w:val="13"/>
        </w:rPr>
        <w:t> </w:t>
      </w:r>
      <w:r>
        <w:rPr>
          <w:sz w:val="13"/>
        </w:rPr>
        <w:t>damage</w:t>
      </w:r>
      <w:r>
        <w:rPr>
          <w:spacing w:val="16"/>
          <w:sz w:val="13"/>
        </w:rPr>
        <w:t> </w:t>
      </w:r>
      <w:r>
        <w:rPr>
          <w:sz w:val="13"/>
        </w:rPr>
        <w:t>to</w:t>
      </w:r>
      <w:r>
        <w:rPr>
          <w:spacing w:val="15"/>
          <w:sz w:val="13"/>
        </w:rPr>
        <w:t> </w:t>
      </w:r>
      <w:r>
        <w:rPr>
          <w:sz w:val="13"/>
        </w:rPr>
        <w:t>the</w:t>
      </w:r>
      <w:r>
        <w:rPr>
          <w:spacing w:val="16"/>
          <w:sz w:val="13"/>
        </w:rPr>
        <w:t> </w:t>
      </w:r>
      <w:r>
        <w:rPr>
          <w:sz w:val="13"/>
        </w:rPr>
        <w:t>tree;</w:t>
      </w:r>
      <w:r>
        <w:rPr>
          <w:spacing w:val="15"/>
          <w:sz w:val="13"/>
        </w:rPr>
        <w:t> </w:t>
      </w:r>
      <w:r>
        <w:rPr>
          <w:sz w:val="13"/>
        </w:rPr>
        <w:t>and</w:t>
      </w:r>
      <w:r>
        <w:rPr>
          <w:spacing w:val="16"/>
          <w:sz w:val="13"/>
        </w:rPr>
        <w:t> </w:t>
      </w:r>
      <w:r>
        <w:rPr>
          <w:spacing w:val="2"/>
          <w:sz w:val="13"/>
        </w:rPr>
        <w:t>(b)</w:t>
      </w:r>
      <w:r>
        <w:rPr>
          <w:spacing w:val="16"/>
          <w:sz w:val="13"/>
        </w:rPr>
        <w:t> </w:t>
      </w:r>
      <w:r>
        <w:rPr>
          <w:sz w:val="13"/>
        </w:rPr>
        <w:t>there</w:t>
      </w:r>
      <w:r>
        <w:rPr>
          <w:spacing w:val="15"/>
          <w:sz w:val="13"/>
        </w:rPr>
        <w:t> </w:t>
      </w:r>
      <w:r>
        <w:rPr>
          <w:sz w:val="13"/>
        </w:rPr>
        <w:t>are</w:t>
      </w:r>
      <w:r>
        <w:rPr>
          <w:spacing w:val="16"/>
          <w:sz w:val="13"/>
        </w:rPr>
        <w:t> </w:t>
      </w:r>
      <w:r>
        <w:rPr>
          <w:sz w:val="13"/>
        </w:rPr>
        <w:t>environmental,</w:t>
      </w:r>
      <w:r>
        <w:rPr>
          <w:spacing w:val="15"/>
          <w:sz w:val="13"/>
        </w:rPr>
        <w:t> </w:t>
      </w:r>
      <w:r>
        <w:rPr>
          <w:sz w:val="13"/>
        </w:rPr>
        <w:t>economic</w:t>
      </w:r>
      <w:r>
        <w:rPr>
          <w:spacing w:val="16"/>
          <w:sz w:val="13"/>
        </w:rPr>
        <w:t> </w:t>
      </w:r>
      <w:r>
        <w:rPr>
          <w:sz w:val="13"/>
        </w:rPr>
        <w:t>or</w:t>
      </w:r>
      <w:r>
        <w:rPr>
          <w:spacing w:val="15"/>
          <w:sz w:val="13"/>
        </w:rPr>
        <w:t> </w:t>
      </w:r>
      <w:r>
        <w:rPr>
          <w:sz w:val="13"/>
        </w:rPr>
        <w:t>safety</w:t>
      </w:r>
      <w:r>
        <w:rPr>
          <w:spacing w:val="16"/>
          <w:sz w:val="13"/>
        </w:rPr>
        <w:t> </w:t>
      </w:r>
      <w:r>
        <w:rPr>
          <w:sz w:val="13"/>
        </w:rPr>
        <w:t>reasons</w:t>
      </w:r>
    </w:p>
    <w:p>
      <w:pPr>
        <w:spacing w:before="5"/>
        <w:ind w:left="2381" w:right="0" w:firstLine="0"/>
        <w:jc w:val="left"/>
        <w:rPr>
          <w:sz w:val="13"/>
        </w:rPr>
      </w:pPr>
      <w:r>
        <w:rPr>
          <w:w w:val="105"/>
          <w:sz w:val="13"/>
        </w:rPr>
        <w:t>of greater value to the community than the cultural significance of the tree; or (c) the tree is determined to be dead or dying based on a written statement to that effect prepared by a suitably qualified person.</w:t>
      </w:r>
    </w:p>
    <w:p>
      <w:pPr>
        <w:pStyle w:val="ListParagraph"/>
        <w:numPr>
          <w:ilvl w:val="0"/>
          <w:numId w:val="178"/>
        </w:numPr>
        <w:tabs>
          <w:tab w:pos="2381" w:val="left" w:leader="none"/>
          <w:tab w:pos="2382" w:val="left" w:leader="none"/>
        </w:tabs>
        <w:spacing w:line="240" w:lineRule="auto" w:before="3" w:after="0"/>
        <w:ind w:left="2381" w:right="142" w:hanging="794"/>
        <w:jc w:val="left"/>
        <w:rPr>
          <w:sz w:val="13"/>
        </w:rPr>
      </w:pPr>
      <w:r>
        <w:rPr>
          <w:w w:val="105"/>
          <w:sz w:val="13"/>
        </w:rPr>
        <w:t>See, eg, </w:t>
      </w:r>
      <w:r>
        <w:rPr>
          <w:i/>
          <w:w w:val="105"/>
          <w:sz w:val="13"/>
        </w:rPr>
        <w:t>Health and Environmental Services By-law 3 of </w:t>
      </w:r>
      <w:r>
        <w:rPr>
          <w:i/>
          <w:spacing w:val="-4"/>
          <w:w w:val="105"/>
          <w:sz w:val="13"/>
        </w:rPr>
        <w:t>2011 </w:t>
      </w:r>
      <w:r>
        <w:rPr>
          <w:w w:val="105"/>
          <w:sz w:val="13"/>
        </w:rPr>
        <w:t>(Kingborough Council). Part 7 – Trees on Private </w:t>
      </w:r>
      <w:r>
        <w:rPr>
          <w:spacing w:val="2"/>
          <w:w w:val="105"/>
          <w:sz w:val="13"/>
        </w:rPr>
        <w:t>Property </w:t>
      </w:r>
      <w:r>
        <w:rPr>
          <w:w w:val="105"/>
          <w:sz w:val="13"/>
        </w:rPr>
        <w:t>provides that a person must not cut down, top, lop, remove, ringbark, injure or wilfully destroy any tree which: </w:t>
      </w:r>
      <w:r>
        <w:rPr>
          <w:spacing w:val="2"/>
          <w:w w:val="105"/>
          <w:sz w:val="13"/>
        </w:rPr>
        <w:t>(a) </w:t>
      </w:r>
      <w:r>
        <w:rPr>
          <w:w w:val="105"/>
          <w:sz w:val="13"/>
        </w:rPr>
        <w:t>has a trunk circumference of greater than </w:t>
      </w:r>
      <w:r>
        <w:rPr>
          <w:spacing w:val="2"/>
          <w:w w:val="105"/>
          <w:sz w:val="13"/>
        </w:rPr>
        <w:t>80cm </w:t>
      </w:r>
      <w:r>
        <w:rPr>
          <w:w w:val="105"/>
          <w:sz w:val="13"/>
        </w:rPr>
        <w:t>at 1.5m or more about ground level, unless authorised by a permit to do </w:t>
      </w:r>
      <w:r>
        <w:rPr>
          <w:spacing w:val="2"/>
          <w:w w:val="105"/>
          <w:sz w:val="13"/>
        </w:rPr>
        <w:t>so; </w:t>
      </w:r>
      <w:r>
        <w:rPr>
          <w:w w:val="105"/>
          <w:sz w:val="13"/>
        </w:rPr>
        <w:t>or </w:t>
      </w:r>
      <w:r>
        <w:rPr>
          <w:spacing w:val="2"/>
          <w:w w:val="105"/>
          <w:sz w:val="13"/>
        </w:rPr>
        <w:t>(b) </w:t>
      </w:r>
      <w:r>
        <w:rPr>
          <w:w w:val="105"/>
          <w:sz w:val="13"/>
        </w:rPr>
        <w:t>is listed on a register of significant trees applicable to the municipal area, unless authorised by a permit to do </w:t>
      </w:r>
      <w:r>
        <w:rPr>
          <w:spacing w:val="2"/>
          <w:w w:val="105"/>
          <w:sz w:val="13"/>
        </w:rPr>
        <w:t>so; </w:t>
      </w:r>
      <w:r>
        <w:rPr>
          <w:w w:val="105"/>
          <w:sz w:val="13"/>
        </w:rPr>
        <w:t>or (c) is protected under an agreement under Part 5 of the </w:t>
      </w:r>
      <w:r>
        <w:rPr>
          <w:i/>
          <w:w w:val="105"/>
          <w:sz w:val="13"/>
        </w:rPr>
        <w:t>Land </w:t>
      </w:r>
      <w:r>
        <w:rPr>
          <w:i/>
          <w:w w:val="105"/>
          <w:sz w:val="13"/>
        </w:rPr>
        <w:t>Use</w:t>
      </w:r>
      <w:r>
        <w:rPr>
          <w:i/>
          <w:spacing w:val="4"/>
          <w:w w:val="105"/>
          <w:sz w:val="13"/>
        </w:rPr>
        <w:t> </w:t>
      </w:r>
      <w:r>
        <w:rPr>
          <w:i/>
          <w:w w:val="105"/>
          <w:sz w:val="13"/>
        </w:rPr>
        <w:t>Planning</w:t>
      </w:r>
      <w:r>
        <w:rPr>
          <w:i/>
          <w:spacing w:val="5"/>
          <w:w w:val="105"/>
          <w:sz w:val="13"/>
        </w:rPr>
        <w:t> </w:t>
      </w:r>
      <w:r>
        <w:rPr>
          <w:i/>
          <w:w w:val="105"/>
          <w:sz w:val="13"/>
        </w:rPr>
        <w:t>and</w:t>
      </w:r>
      <w:r>
        <w:rPr>
          <w:i/>
          <w:spacing w:val="5"/>
          <w:w w:val="105"/>
          <w:sz w:val="13"/>
        </w:rPr>
        <w:t> </w:t>
      </w:r>
      <w:r>
        <w:rPr>
          <w:i/>
          <w:w w:val="105"/>
          <w:sz w:val="13"/>
        </w:rPr>
        <w:t>Approvals</w:t>
      </w:r>
      <w:r>
        <w:rPr>
          <w:i/>
          <w:spacing w:val="4"/>
          <w:w w:val="105"/>
          <w:sz w:val="13"/>
        </w:rPr>
        <w:t> </w:t>
      </w:r>
      <w:r>
        <w:rPr>
          <w:i/>
          <w:w w:val="105"/>
          <w:sz w:val="13"/>
        </w:rPr>
        <w:t>Act</w:t>
      </w:r>
      <w:r>
        <w:rPr>
          <w:i/>
          <w:spacing w:val="5"/>
          <w:w w:val="105"/>
          <w:sz w:val="13"/>
        </w:rPr>
        <w:t> </w:t>
      </w:r>
      <w:r>
        <w:rPr>
          <w:i/>
          <w:w w:val="105"/>
          <w:sz w:val="13"/>
        </w:rPr>
        <w:t>1993</w:t>
      </w:r>
      <w:r>
        <w:rPr>
          <w:i/>
          <w:spacing w:val="5"/>
          <w:w w:val="105"/>
          <w:sz w:val="13"/>
        </w:rPr>
        <w:t> </w:t>
      </w:r>
      <w:r>
        <w:rPr>
          <w:w w:val="105"/>
          <w:sz w:val="13"/>
        </w:rPr>
        <w:t>or</w:t>
      </w:r>
      <w:r>
        <w:rPr>
          <w:spacing w:val="4"/>
          <w:w w:val="105"/>
          <w:sz w:val="13"/>
        </w:rPr>
        <w:t> </w:t>
      </w:r>
      <w:r>
        <w:rPr>
          <w:w w:val="105"/>
          <w:sz w:val="13"/>
        </w:rPr>
        <w:t>covenant</w:t>
      </w:r>
      <w:r>
        <w:rPr>
          <w:spacing w:val="5"/>
          <w:w w:val="105"/>
          <w:sz w:val="13"/>
        </w:rPr>
        <w:t> </w:t>
      </w:r>
      <w:r>
        <w:rPr>
          <w:w w:val="105"/>
          <w:sz w:val="13"/>
        </w:rPr>
        <w:t>on</w:t>
      </w:r>
      <w:r>
        <w:rPr>
          <w:spacing w:val="5"/>
          <w:w w:val="105"/>
          <w:sz w:val="13"/>
        </w:rPr>
        <w:t> </w:t>
      </w:r>
      <w:r>
        <w:rPr>
          <w:w w:val="105"/>
          <w:sz w:val="13"/>
        </w:rPr>
        <w:t>the</w:t>
      </w:r>
      <w:r>
        <w:rPr>
          <w:spacing w:val="4"/>
          <w:w w:val="105"/>
          <w:sz w:val="13"/>
        </w:rPr>
        <w:t> </w:t>
      </w:r>
      <w:r>
        <w:rPr>
          <w:w w:val="105"/>
          <w:sz w:val="13"/>
        </w:rPr>
        <w:t>title:</w:t>
      </w:r>
      <w:r>
        <w:rPr>
          <w:spacing w:val="5"/>
          <w:w w:val="105"/>
          <w:sz w:val="13"/>
        </w:rPr>
        <w:t> </w:t>
      </w:r>
      <w:r>
        <w:rPr>
          <w:w w:val="105"/>
          <w:sz w:val="13"/>
        </w:rPr>
        <w:t>s</w:t>
      </w:r>
      <w:r>
        <w:rPr>
          <w:spacing w:val="5"/>
          <w:w w:val="105"/>
          <w:sz w:val="13"/>
        </w:rPr>
        <w:t> </w:t>
      </w:r>
      <w:r>
        <w:rPr>
          <w:spacing w:val="2"/>
          <w:w w:val="105"/>
          <w:sz w:val="13"/>
        </w:rPr>
        <w:t>25(2).</w:t>
      </w:r>
    </w:p>
    <w:p>
      <w:pPr>
        <w:pStyle w:val="ListParagraph"/>
        <w:numPr>
          <w:ilvl w:val="0"/>
          <w:numId w:val="178"/>
        </w:numPr>
        <w:tabs>
          <w:tab w:pos="2381" w:val="left" w:leader="none"/>
          <w:tab w:pos="2382" w:val="left" w:leader="none"/>
        </w:tabs>
        <w:spacing w:line="240" w:lineRule="auto" w:before="6" w:after="0"/>
        <w:ind w:left="2381" w:right="0" w:hanging="794"/>
        <w:jc w:val="left"/>
        <w:rPr>
          <w:sz w:val="13"/>
        </w:rPr>
      </w:pPr>
      <w:r>
        <w:rPr>
          <w:i/>
          <w:w w:val="105"/>
          <w:sz w:val="13"/>
        </w:rPr>
        <w:t>Neighbourhood Disputes About Plants Act </w:t>
      </w:r>
      <w:r>
        <w:rPr>
          <w:i/>
          <w:spacing w:val="-4"/>
          <w:w w:val="105"/>
          <w:sz w:val="13"/>
        </w:rPr>
        <w:t>2017 </w:t>
      </w:r>
      <w:r>
        <w:rPr>
          <w:w w:val="105"/>
          <w:sz w:val="13"/>
        </w:rPr>
        <w:t>(Tas) s</w:t>
      </w:r>
      <w:r>
        <w:rPr>
          <w:spacing w:val="16"/>
          <w:w w:val="105"/>
          <w:sz w:val="13"/>
        </w:rPr>
        <w:t> </w:t>
      </w:r>
      <w:r>
        <w:rPr>
          <w:spacing w:val="4"/>
          <w:w w:val="105"/>
          <w:sz w:val="13"/>
        </w:rPr>
        <w:t>23(5)(f).</w:t>
      </w:r>
    </w:p>
    <w:p>
      <w:pPr>
        <w:pStyle w:val="ListParagraph"/>
        <w:numPr>
          <w:ilvl w:val="0"/>
          <w:numId w:val="178"/>
        </w:numPr>
        <w:tabs>
          <w:tab w:pos="2381" w:val="left" w:leader="none"/>
          <w:tab w:pos="2382" w:val="left" w:leader="none"/>
        </w:tabs>
        <w:spacing w:line="240" w:lineRule="auto" w:before="2" w:after="0"/>
        <w:ind w:left="2381" w:right="0" w:hanging="794"/>
        <w:jc w:val="left"/>
        <w:rPr>
          <w:sz w:val="13"/>
        </w:rPr>
      </w:pPr>
      <w:r>
        <w:rPr>
          <w:sz w:val="13"/>
        </w:rPr>
        <w:t>Ibid  s</w:t>
      </w:r>
      <w:r>
        <w:rPr>
          <w:spacing w:val="7"/>
          <w:sz w:val="13"/>
        </w:rPr>
        <w:t> </w:t>
      </w:r>
      <w:r>
        <w:rPr>
          <w:spacing w:val="-4"/>
          <w:sz w:val="13"/>
        </w:rPr>
        <w:t>27.</w:t>
      </w:r>
    </w:p>
    <w:p>
      <w:pPr>
        <w:pStyle w:val="ListParagraph"/>
        <w:numPr>
          <w:ilvl w:val="0"/>
          <w:numId w:val="178"/>
        </w:numPr>
        <w:tabs>
          <w:tab w:pos="2381" w:val="left" w:leader="none"/>
          <w:tab w:pos="2382" w:val="left" w:leader="none"/>
        </w:tabs>
        <w:spacing w:line="240" w:lineRule="auto" w:before="1" w:after="0"/>
        <w:ind w:left="2381" w:right="0" w:hanging="794"/>
        <w:jc w:val="left"/>
        <w:rPr>
          <w:sz w:val="13"/>
        </w:rPr>
      </w:pPr>
      <w:r>
        <w:rPr>
          <w:sz w:val="13"/>
        </w:rPr>
        <w:t>Ibid  s</w:t>
      </w:r>
      <w:r>
        <w:rPr>
          <w:spacing w:val="7"/>
          <w:sz w:val="13"/>
        </w:rPr>
        <w:t> </w:t>
      </w:r>
      <w:r>
        <w:rPr>
          <w:spacing w:val="-4"/>
          <w:sz w:val="13"/>
        </w:rPr>
        <w:t>27.</w:t>
      </w:r>
    </w:p>
    <w:p>
      <w:pPr>
        <w:pStyle w:val="ListParagraph"/>
        <w:numPr>
          <w:ilvl w:val="0"/>
          <w:numId w:val="178"/>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pacing w:val="4"/>
          <w:sz w:val="13"/>
        </w:rPr>
        <w:t>30(g).</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26"/>
        </w:rPr>
      </w:pPr>
    </w:p>
    <w:p>
      <w:pPr>
        <w:spacing w:before="0"/>
        <w:ind w:left="595" w:right="575" w:firstLine="0"/>
        <w:jc w:val="center"/>
        <w:rPr>
          <w:b/>
          <w:sz w:val="24"/>
        </w:rPr>
      </w:pPr>
      <w:r>
        <w:rPr>
          <w:b/>
          <w:color w:val="658464"/>
          <w:w w:val="110"/>
          <w:sz w:val="24"/>
        </w:rPr>
        <w:t>243</w:t>
      </w:r>
    </w:p>
    <w:p>
      <w:pPr>
        <w:spacing w:after="0"/>
        <w:jc w:val="center"/>
        <w:rPr>
          <w:sz w:val="24"/>
        </w:rPr>
        <w:sectPr>
          <w:type w:val="continuous"/>
          <w:pgSz w:w="11910" w:h="16840"/>
          <w:pgMar w:top="300" w:bottom="280" w:left="0" w:right="0"/>
          <w:cols w:num="2" w:equalWidth="0">
            <w:col w:w="10258" w:space="40"/>
            <w:col w:w="1612"/>
          </w:cols>
        </w:sectPr>
      </w:pPr>
    </w:p>
    <w:p>
      <w:pPr>
        <w:pStyle w:val="BodyText"/>
        <w:spacing w:before="9"/>
        <w:rPr>
          <w:b/>
          <w:sz w:val="22"/>
        </w:rPr>
      </w:pPr>
    </w:p>
    <w:p>
      <w:pPr>
        <w:pStyle w:val="ListParagraph"/>
        <w:numPr>
          <w:ilvl w:val="1"/>
          <w:numId w:val="178"/>
        </w:numPr>
        <w:tabs>
          <w:tab w:pos="2721" w:val="left" w:leader="none"/>
          <w:tab w:pos="2722" w:val="left" w:leader="none"/>
        </w:tabs>
        <w:spacing w:line="242" w:lineRule="auto" w:before="92" w:after="0"/>
        <w:ind w:left="2721" w:right="1920" w:hanging="340"/>
        <w:jc w:val="left"/>
        <w:rPr>
          <w:sz w:val="21"/>
        </w:rPr>
      </w:pPr>
      <w:bookmarkStart w:name="The Commission’s conclusions—interaction" w:id="284"/>
      <w:bookmarkEnd w:id="284"/>
      <w:r>
        <w:rPr/>
      </w:r>
      <w:bookmarkStart w:name="_bookmark132" w:id="285"/>
      <w:bookmarkEnd w:id="285"/>
      <w:r>
        <w:rPr/>
      </w:r>
      <w:bookmarkStart w:name="_bookmark132" w:id="286"/>
      <w:bookmarkEnd w:id="286"/>
      <w:r>
        <w:rPr>
          <w:sz w:val="21"/>
        </w:rPr>
        <w:t>W</w:t>
      </w:r>
      <w:r>
        <w:rPr>
          <w:sz w:val="21"/>
        </w:rPr>
        <w:t>here a </w:t>
      </w:r>
      <w:r>
        <w:rPr>
          <w:spacing w:val="-3"/>
          <w:sz w:val="21"/>
        </w:rPr>
        <w:t>planning </w:t>
      </w:r>
      <w:r>
        <w:rPr>
          <w:sz w:val="21"/>
        </w:rPr>
        <w:t>permit would </w:t>
      </w:r>
      <w:r>
        <w:rPr>
          <w:spacing w:val="-3"/>
          <w:sz w:val="21"/>
        </w:rPr>
        <w:t>ordinarily </w:t>
      </w:r>
      <w:r>
        <w:rPr>
          <w:sz w:val="21"/>
        </w:rPr>
        <w:t>be </w:t>
      </w:r>
      <w:r>
        <w:rPr>
          <w:spacing w:val="-3"/>
          <w:sz w:val="21"/>
        </w:rPr>
        <w:t>required for </w:t>
      </w:r>
      <w:r>
        <w:rPr>
          <w:sz w:val="21"/>
        </w:rPr>
        <w:t>the works </w:t>
      </w:r>
      <w:r>
        <w:rPr>
          <w:spacing w:val="-3"/>
          <w:sz w:val="21"/>
        </w:rPr>
        <w:t>to </w:t>
      </w:r>
      <w:r>
        <w:rPr>
          <w:sz w:val="21"/>
        </w:rPr>
        <w:t>the </w:t>
      </w:r>
      <w:r>
        <w:rPr>
          <w:spacing w:val="-3"/>
          <w:sz w:val="21"/>
        </w:rPr>
        <w:t>tree, </w:t>
      </w:r>
      <w:r>
        <w:rPr>
          <w:sz w:val="21"/>
        </w:rPr>
        <w:t>section 33(3)(a) allows </w:t>
      </w:r>
      <w:r>
        <w:rPr>
          <w:spacing w:val="-6"/>
          <w:sz w:val="21"/>
        </w:rPr>
        <w:t>RMPAT </w:t>
      </w:r>
      <w:r>
        <w:rPr>
          <w:spacing w:val="-3"/>
          <w:sz w:val="21"/>
        </w:rPr>
        <w:t>to </w:t>
      </w:r>
      <w:r>
        <w:rPr>
          <w:sz w:val="21"/>
        </w:rPr>
        <w:t>defer its </w:t>
      </w:r>
      <w:r>
        <w:rPr>
          <w:spacing w:val="-3"/>
          <w:sz w:val="21"/>
        </w:rPr>
        <w:t>determination until </w:t>
      </w:r>
      <w:r>
        <w:rPr>
          <w:sz w:val="21"/>
        </w:rPr>
        <w:t>the application </w:t>
      </w:r>
      <w:r>
        <w:rPr>
          <w:spacing w:val="-3"/>
          <w:sz w:val="21"/>
        </w:rPr>
        <w:t>for </w:t>
      </w:r>
      <w:r>
        <w:rPr>
          <w:sz w:val="21"/>
        </w:rPr>
        <w:t>a </w:t>
      </w:r>
      <w:r>
        <w:rPr>
          <w:spacing w:val="-3"/>
          <w:sz w:val="21"/>
        </w:rPr>
        <w:t>planning </w:t>
      </w:r>
      <w:r>
        <w:rPr>
          <w:sz w:val="21"/>
        </w:rPr>
        <w:t>permit is made or</w:t>
      </w:r>
      <w:r>
        <w:rPr>
          <w:spacing w:val="1"/>
          <w:sz w:val="21"/>
        </w:rPr>
        <w:t> </w:t>
      </w:r>
      <w:r>
        <w:rPr>
          <w:spacing w:val="-3"/>
          <w:sz w:val="21"/>
        </w:rPr>
        <w:t>determined.</w:t>
      </w:r>
    </w:p>
    <w:p>
      <w:pPr>
        <w:pStyle w:val="ListParagraph"/>
        <w:numPr>
          <w:ilvl w:val="1"/>
          <w:numId w:val="178"/>
        </w:numPr>
        <w:tabs>
          <w:tab w:pos="2721" w:val="left" w:leader="none"/>
          <w:tab w:pos="2722" w:val="left" w:leader="none"/>
        </w:tabs>
        <w:spacing w:line="242" w:lineRule="auto" w:before="88" w:after="0"/>
        <w:ind w:left="2721" w:right="1657" w:hanging="340"/>
        <w:jc w:val="left"/>
        <w:rPr>
          <w:sz w:val="21"/>
        </w:rPr>
      </w:pPr>
      <w:r>
        <w:rPr>
          <w:w w:val="105"/>
          <w:sz w:val="21"/>
        </w:rPr>
        <w:t>Section </w:t>
      </w:r>
      <w:r>
        <w:rPr>
          <w:spacing w:val="2"/>
          <w:w w:val="105"/>
          <w:sz w:val="21"/>
        </w:rPr>
        <w:t>33(3)(b) </w:t>
      </w:r>
      <w:r>
        <w:rPr>
          <w:w w:val="105"/>
          <w:sz w:val="21"/>
        </w:rPr>
        <w:t>allows </w:t>
      </w:r>
      <w:r>
        <w:rPr>
          <w:spacing w:val="-6"/>
          <w:w w:val="105"/>
          <w:sz w:val="21"/>
        </w:rPr>
        <w:t>RMPAT </w:t>
      </w:r>
      <w:r>
        <w:rPr>
          <w:spacing w:val="-3"/>
          <w:w w:val="105"/>
          <w:sz w:val="21"/>
        </w:rPr>
        <w:t>to </w:t>
      </w:r>
      <w:r>
        <w:rPr>
          <w:spacing w:val="-4"/>
          <w:w w:val="105"/>
          <w:sz w:val="21"/>
        </w:rPr>
        <w:t>make </w:t>
      </w:r>
      <w:r>
        <w:rPr>
          <w:w w:val="105"/>
          <w:sz w:val="21"/>
        </w:rPr>
        <w:t>an order </w:t>
      </w:r>
      <w:r>
        <w:rPr>
          <w:spacing w:val="-3"/>
          <w:w w:val="105"/>
          <w:sz w:val="21"/>
        </w:rPr>
        <w:t>that </w:t>
      </w:r>
      <w:r>
        <w:rPr>
          <w:w w:val="105"/>
          <w:sz w:val="21"/>
        </w:rPr>
        <w:t>the </w:t>
      </w:r>
      <w:r>
        <w:rPr>
          <w:spacing w:val="-3"/>
          <w:w w:val="105"/>
          <w:sz w:val="21"/>
        </w:rPr>
        <w:t>applicant </w:t>
      </w:r>
      <w:r>
        <w:rPr>
          <w:w w:val="105"/>
          <w:sz w:val="21"/>
        </w:rPr>
        <w:t>can appeal a decision</w:t>
      </w:r>
      <w:r>
        <w:rPr>
          <w:spacing w:val="-6"/>
          <w:w w:val="105"/>
          <w:sz w:val="21"/>
        </w:rPr>
        <w:t> </w:t>
      </w:r>
      <w:r>
        <w:rPr>
          <w:spacing w:val="-3"/>
          <w:w w:val="105"/>
          <w:sz w:val="21"/>
        </w:rPr>
        <w:t>to</w:t>
      </w:r>
      <w:r>
        <w:rPr>
          <w:spacing w:val="-5"/>
          <w:w w:val="105"/>
          <w:sz w:val="21"/>
        </w:rPr>
        <w:t> </w:t>
      </w:r>
      <w:r>
        <w:rPr>
          <w:spacing w:val="-3"/>
          <w:w w:val="105"/>
          <w:sz w:val="21"/>
        </w:rPr>
        <w:t>grant</w:t>
      </w:r>
      <w:r>
        <w:rPr>
          <w:spacing w:val="-6"/>
          <w:w w:val="105"/>
          <w:sz w:val="21"/>
        </w:rPr>
        <w:t> </w:t>
      </w:r>
      <w:r>
        <w:rPr>
          <w:w w:val="105"/>
          <w:sz w:val="21"/>
        </w:rPr>
        <w:t>a</w:t>
      </w:r>
      <w:r>
        <w:rPr>
          <w:spacing w:val="-5"/>
          <w:w w:val="105"/>
          <w:sz w:val="21"/>
        </w:rPr>
        <w:t> </w:t>
      </w:r>
      <w:r>
        <w:rPr>
          <w:spacing w:val="-3"/>
          <w:w w:val="105"/>
          <w:sz w:val="21"/>
        </w:rPr>
        <w:t>planning</w:t>
      </w:r>
      <w:r>
        <w:rPr>
          <w:spacing w:val="-6"/>
          <w:w w:val="105"/>
          <w:sz w:val="21"/>
        </w:rPr>
        <w:t> </w:t>
      </w:r>
      <w:r>
        <w:rPr>
          <w:w w:val="105"/>
          <w:sz w:val="21"/>
        </w:rPr>
        <w:t>permit</w:t>
      </w:r>
      <w:r>
        <w:rPr>
          <w:spacing w:val="-5"/>
          <w:w w:val="105"/>
          <w:sz w:val="21"/>
        </w:rPr>
        <w:t> </w:t>
      </w:r>
      <w:r>
        <w:rPr>
          <w:w w:val="105"/>
          <w:sz w:val="21"/>
        </w:rPr>
        <w:t>where</w:t>
      </w:r>
      <w:r>
        <w:rPr>
          <w:spacing w:val="-6"/>
          <w:w w:val="105"/>
          <w:sz w:val="21"/>
        </w:rPr>
        <w:t> </w:t>
      </w:r>
      <w:r>
        <w:rPr>
          <w:w w:val="105"/>
          <w:sz w:val="21"/>
        </w:rPr>
        <w:t>they</w:t>
      </w:r>
      <w:r>
        <w:rPr>
          <w:spacing w:val="-5"/>
          <w:w w:val="105"/>
          <w:sz w:val="21"/>
        </w:rPr>
        <w:t> </w:t>
      </w:r>
      <w:r>
        <w:rPr>
          <w:spacing w:val="-3"/>
          <w:w w:val="105"/>
          <w:sz w:val="21"/>
        </w:rPr>
        <w:t>might</w:t>
      </w:r>
      <w:r>
        <w:rPr>
          <w:spacing w:val="-5"/>
          <w:w w:val="105"/>
          <w:sz w:val="21"/>
        </w:rPr>
        <w:t> </w:t>
      </w:r>
      <w:r>
        <w:rPr>
          <w:w w:val="105"/>
          <w:sz w:val="21"/>
        </w:rPr>
        <w:t>otherwise</w:t>
      </w:r>
      <w:r>
        <w:rPr>
          <w:spacing w:val="-6"/>
          <w:w w:val="105"/>
          <w:sz w:val="21"/>
        </w:rPr>
        <w:t> </w:t>
      </w:r>
      <w:r>
        <w:rPr>
          <w:w w:val="105"/>
          <w:sz w:val="21"/>
        </w:rPr>
        <w:t>be</w:t>
      </w:r>
      <w:r>
        <w:rPr>
          <w:spacing w:val="-5"/>
          <w:w w:val="105"/>
          <w:sz w:val="21"/>
        </w:rPr>
        <w:t> </w:t>
      </w:r>
      <w:r>
        <w:rPr>
          <w:w w:val="105"/>
          <w:sz w:val="21"/>
        </w:rPr>
        <w:t>out</w:t>
      </w:r>
      <w:r>
        <w:rPr>
          <w:spacing w:val="-6"/>
          <w:w w:val="105"/>
          <w:sz w:val="21"/>
        </w:rPr>
        <w:t> </w:t>
      </w:r>
      <w:r>
        <w:rPr>
          <w:w w:val="105"/>
          <w:sz w:val="21"/>
        </w:rPr>
        <w:t>of</w:t>
      </w:r>
      <w:r>
        <w:rPr>
          <w:spacing w:val="-5"/>
          <w:w w:val="105"/>
          <w:sz w:val="21"/>
        </w:rPr>
        <w:t> </w:t>
      </w:r>
      <w:r>
        <w:rPr>
          <w:w w:val="105"/>
          <w:sz w:val="21"/>
        </w:rPr>
        <w:t>time</w:t>
      </w:r>
      <w:r>
        <w:rPr>
          <w:spacing w:val="-6"/>
          <w:w w:val="105"/>
          <w:sz w:val="21"/>
        </w:rPr>
        <w:t> </w:t>
      </w:r>
      <w:r>
        <w:rPr>
          <w:w w:val="105"/>
          <w:sz w:val="21"/>
        </w:rPr>
        <w:t>under section </w:t>
      </w:r>
      <w:r>
        <w:rPr>
          <w:spacing w:val="-3"/>
          <w:w w:val="105"/>
          <w:sz w:val="21"/>
        </w:rPr>
        <w:t>61(5) </w:t>
      </w:r>
      <w:r>
        <w:rPr>
          <w:w w:val="105"/>
          <w:sz w:val="21"/>
        </w:rPr>
        <w:t>of the </w:t>
      </w:r>
      <w:r>
        <w:rPr>
          <w:i/>
          <w:w w:val="105"/>
          <w:sz w:val="21"/>
        </w:rPr>
        <w:t>Land Use </w:t>
      </w:r>
      <w:r>
        <w:rPr>
          <w:i/>
          <w:spacing w:val="-3"/>
          <w:w w:val="105"/>
          <w:sz w:val="21"/>
        </w:rPr>
        <w:t>Planning </w:t>
      </w:r>
      <w:r>
        <w:rPr>
          <w:i/>
          <w:w w:val="105"/>
          <w:sz w:val="21"/>
        </w:rPr>
        <w:t>and </w:t>
      </w:r>
      <w:r>
        <w:rPr>
          <w:i/>
          <w:spacing w:val="-2"/>
          <w:w w:val="105"/>
          <w:sz w:val="21"/>
        </w:rPr>
        <w:t>Approvals </w:t>
      </w:r>
      <w:r>
        <w:rPr>
          <w:i/>
          <w:w w:val="105"/>
          <w:sz w:val="21"/>
        </w:rPr>
        <w:t>Act </w:t>
      </w:r>
      <w:r>
        <w:rPr>
          <w:i/>
          <w:spacing w:val="-6"/>
          <w:w w:val="105"/>
          <w:sz w:val="21"/>
        </w:rPr>
        <w:t>1993 </w:t>
      </w:r>
      <w:r>
        <w:rPr>
          <w:spacing w:val="-3"/>
          <w:w w:val="105"/>
          <w:sz w:val="21"/>
        </w:rPr>
        <w:t>(Tas). </w:t>
      </w:r>
      <w:r>
        <w:rPr>
          <w:w w:val="105"/>
          <w:sz w:val="21"/>
        </w:rPr>
        <w:t>This process </w:t>
      </w:r>
      <w:r>
        <w:rPr>
          <w:spacing w:val="-3"/>
          <w:w w:val="105"/>
          <w:sz w:val="21"/>
        </w:rPr>
        <w:t>ensures that </w:t>
      </w:r>
      <w:r>
        <w:rPr>
          <w:spacing w:val="-6"/>
          <w:w w:val="105"/>
          <w:sz w:val="21"/>
        </w:rPr>
        <w:t>RMPAT </w:t>
      </w:r>
      <w:r>
        <w:rPr>
          <w:spacing w:val="-2"/>
          <w:w w:val="105"/>
          <w:sz w:val="21"/>
        </w:rPr>
        <w:t>has </w:t>
      </w:r>
      <w:r>
        <w:rPr>
          <w:w w:val="105"/>
          <w:sz w:val="21"/>
        </w:rPr>
        <w:t>the best </w:t>
      </w:r>
      <w:r>
        <w:rPr>
          <w:spacing w:val="-3"/>
          <w:w w:val="105"/>
          <w:sz w:val="21"/>
        </w:rPr>
        <w:t>available information before </w:t>
      </w:r>
      <w:r>
        <w:rPr>
          <w:w w:val="105"/>
          <w:sz w:val="21"/>
        </w:rPr>
        <w:t>it when </w:t>
      </w:r>
      <w:r>
        <w:rPr>
          <w:spacing w:val="-3"/>
          <w:w w:val="105"/>
          <w:sz w:val="21"/>
        </w:rPr>
        <w:t>determining </w:t>
      </w:r>
      <w:r>
        <w:rPr>
          <w:w w:val="105"/>
          <w:sz w:val="21"/>
        </w:rPr>
        <w:t>its decision.</w:t>
      </w:r>
    </w:p>
    <w:p>
      <w:pPr>
        <w:pStyle w:val="ListParagraph"/>
        <w:numPr>
          <w:ilvl w:val="1"/>
          <w:numId w:val="178"/>
        </w:numPr>
        <w:tabs>
          <w:tab w:pos="2721" w:val="left" w:leader="none"/>
          <w:tab w:pos="2722" w:val="left" w:leader="none"/>
        </w:tabs>
        <w:spacing w:line="242" w:lineRule="auto" w:before="90" w:after="0"/>
        <w:ind w:left="2721" w:right="1767" w:hanging="340"/>
        <w:jc w:val="left"/>
        <w:rPr>
          <w:sz w:val="21"/>
        </w:rPr>
      </w:pPr>
      <w:r>
        <w:rPr>
          <w:spacing w:val="-4"/>
          <w:sz w:val="21"/>
        </w:rPr>
        <w:t>Ultimately, </w:t>
      </w:r>
      <w:r>
        <w:rPr>
          <w:sz w:val="21"/>
        </w:rPr>
        <w:t>section 33(3)(c) of the </w:t>
      </w:r>
      <w:r>
        <w:rPr>
          <w:spacing w:val="-4"/>
          <w:sz w:val="21"/>
        </w:rPr>
        <w:t>Tasmanian </w:t>
      </w:r>
      <w:r>
        <w:rPr>
          <w:sz w:val="21"/>
        </w:rPr>
        <w:t>Act provides </w:t>
      </w:r>
      <w:r>
        <w:rPr>
          <w:spacing w:val="-6"/>
          <w:sz w:val="21"/>
        </w:rPr>
        <w:t>RMPAT </w:t>
      </w:r>
      <w:r>
        <w:rPr>
          <w:sz w:val="21"/>
        </w:rPr>
        <w:t>with the power </w:t>
      </w:r>
      <w:r>
        <w:rPr>
          <w:spacing w:val="-3"/>
          <w:sz w:val="21"/>
        </w:rPr>
        <w:t>to </w:t>
      </w:r>
      <w:r>
        <w:rPr>
          <w:sz w:val="21"/>
        </w:rPr>
        <w:t>amend</w:t>
      </w:r>
      <w:r>
        <w:rPr>
          <w:spacing w:val="19"/>
          <w:sz w:val="21"/>
        </w:rPr>
        <w:t> </w:t>
      </w:r>
      <w:r>
        <w:rPr>
          <w:sz w:val="21"/>
        </w:rPr>
        <w:t>a</w:t>
      </w:r>
      <w:r>
        <w:rPr>
          <w:spacing w:val="20"/>
          <w:sz w:val="21"/>
        </w:rPr>
        <w:t> </w:t>
      </w:r>
      <w:r>
        <w:rPr>
          <w:sz w:val="21"/>
        </w:rPr>
        <w:t>permit</w:t>
      </w:r>
      <w:r>
        <w:rPr>
          <w:spacing w:val="20"/>
          <w:sz w:val="21"/>
        </w:rPr>
        <w:t> </w:t>
      </w:r>
      <w:r>
        <w:rPr>
          <w:spacing w:val="-3"/>
          <w:sz w:val="21"/>
        </w:rPr>
        <w:t>granted</w:t>
      </w:r>
      <w:r>
        <w:rPr>
          <w:spacing w:val="20"/>
          <w:sz w:val="21"/>
        </w:rPr>
        <w:t> </w:t>
      </w:r>
      <w:r>
        <w:rPr>
          <w:sz w:val="21"/>
        </w:rPr>
        <w:t>under</w:t>
      </w:r>
      <w:r>
        <w:rPr>
          <w:spacing w:val="20"/>
          <w:sz w:val="21"/>
        </w:rPr>
        <w:t> </w:t>
      </w:r>
      <w:r>
        <w:rPr>
          <w:sz w:val="21"/>
        </w:rPr>
        <w:t>the</w:t>
      </w:r>
      <w:r>
        <w:rPr>
          <w:spacing w:val="20"/>
          <w:sz w:val="21"/>
        </w:rPr>
        <w:t> </w:t>
      </w:r>
      <w:r>
        <w:rPr>
          <w:sz w:val="21"/>
        </w:rPr>
        <w:t>Land</w:t>
      </w:r>
      <w:r>
        <w:rPr>
          <w:spacing w:val="20"/>
          <w:sz w:val="21"/>
        </w:rPr>
        <w:t> </w:t>
      </w:r>
      <w:r>
        <w:rPr>
          <w:sz w:val="21"/>
        </w:rPr>
        <w:t>Use</w:t>
      </w:r>
      <w:r>
        <w:rPr>
          <w:spacing w:val="20"/>
          <w:sz w:val="21"/>
        </w:rPr>
        <w:t> </w:t>
      </w:r>
      <w:r>
        <w:rPr>
          <w:spacing w:val="-3"/>
          <w:sz w:val="21"/>
        </w:rPr>
        <w:t>Planning</w:t>
      </w:r>
      <w:r>
        <w:rPr>
          <w:spacing w:val="20"/>
          <w:sz w:val="21"/>
        </w:rPr>
        <w:t> </w:t>
      </w:r>
      <w:r>
        <w:rPr>
          <w:sz w:val="21"/>
        </w:rPr>
        <w:t>and</w:t>
      </w:r>
      <w:r>
        <w:rPr>
          <w:spacing w:val="19"/>
          <w:sz w:val="21"/>
        </w:rPr>
        <w:t> </w:t>
      </w:r>
      <w:r>
        <w:rPr>
          <w:spacing w:val="-3"/>
          <w:sz w:val="21"/>
        </w:rPr>
        <w:t>Approvals</w:t>
      </w:r>
      <w:r>
        <w:rPr>
          <w:spacing w:val="20"/>
          <w:sz w:val="21"/>
        </w:rPr>
        <w:t> </w:t>
      </w:r>
      <w:r>
        <w:rPr>
          <w:sz w:val="21"/>
        </w:rPr>
        <w:t>Act</w:t>
      </w:r>
      <w:r>
        <w:rPr>
          <w:spacing w:val="20"/>
          <w:sz w:val="21"/>
        </w:rPr>
        <w:t> </w:t>
      </w:r>
      <w:r>
        <w:rPr>
          <w:spacing w:val="-6"/>
          <w:sz w:val="21"/>
        </w:rPr>
        <w:t>1993.</w:t>
      </w:r>
    </w:p>
    <w:p>
      <w:pPr>
        <w:pStyle w:val="ListParagraph"/>
        <w:numPr>
          <w:ilvl w:val="0"/>
          <w:numId w:val="173"/>
        </w:numPr>
        <w:tabs>
          <w:tab w:pos="2381" w:val="left" w:leader="none"/>
          <w:tab w:pos="2382" w:val="left" w:leader="none"/>
        </w:tabs>
        <w:spacing w:line="242" w:lineRule="auto" w:before="88" w:after="0"/>
        <w:ind w:left="2381" w:right="1584" w:hanging="794"/>
        <w:jc w:val="left"/>
        <w:rPr>
          <w:sz w:val="21"/>
        </w:rPr>
      </w:pPr>
      <w:r>
        <w:rPr>
          <w:w w:val="105"/>
          <w:sz w:val="21"/>
        </w:rPr>
        <w:t>The</w:t>
      </w:r>
      <w:r>
        <w:rPr>
          <w:spacing w:val="-5"/>
          <w:w w:val="105"/>
          <w:sz w:val="21"/>
        </w:rPr>
        <w:t> </w:t>
      </w:r>
      <w:r>
        <w:rPr>
          <w:spacing w:val="-3"/>
          <w:w w:val="105"/>
          <w:sz w:val="21"/>
        </w:rPr>
        <w:t>interaction</w:t>
      </w:r>
      <w:r>
        <w:rPr>
          <w:spacing w:val="-4"/>
          <w:w w:val="105"/>
          <w:sz w:val="21"/>
        </w:rPr>
        <w:t> </w:t>
      </w:r>
      <w:r>
        <w:rPr>
          <w:w w:val="105"/>
          <w:sz w:val="21"/>
        </w:rPr>
        <w:t>between</w:t>
      </w:r>
      <w:r>
        <w:rPr>
          <w:spacing w:val="-4"/>
          <w:w w:val="105"/>
          <w:sz w:val="21"/>
        </w:rPr>
        <w:t> </w:t>
      </w:r>
      <w:r>
        <w:rPr>
          <w:w w:val="105"/>
          <w:sz w:val="21"/>
        </w:rPr>
        <w:t>the</w:t>
      </w:r>
      <w:r>
        <w:rPr>
          <w:spacing w:val="-4"/>
          <w:w w:val="105"/>
          <w:sz w:val="21"/>
        </w:rPr>
        <w:t> Tasmanian </w:t>
      </w:r>
      <w:r>
        <w:rPr>
          <w:w w:val="105"/>
          <w:sz w:val="21"/>
        </w:rPr>
        <w:t>Act</w:t>
      </w:r>
      <w:r>
        <w:rPr>
          <w:spacing w:val="-4"/>
          <w:w w:val="105"/>
          <w:sz w:val="21"/>
        </w:rPr>
        <w:t> </w:t>
      </w:r>
      <w:r>
        <w:rPr>
          <w:w w:val="105"/>
          <w:sz w:val="21"/>
        </w:rPr>
        <w:t>and</w:t>
      </w:r>
      <w:r>
        <w:rPr>
          <w:spacing w:val="-4"/>
          <w:w w:val="105"/>
          <w:sz w:val="21"/>
        </w:rPr>
        <w:t> </w:t>
      </w:r>
      <w:r>
        <w:rPr>
          <w:spacing w:val="-3"/>
          <w:w w:val="105"/>
          <w:sz w:val="21"/>
        </w:rPr>
        <w:t>planning</w:t>
      </w:r>
      <w:r>
        <w:rPr>
          <w:spacing w:val="-4"/>
          <w:w w:val="105"/>
          <w:sz w:val="21"/>
        </w:rPr>
        <w:t> </w:t>
      </w:r>
      <w:r>
        <w:rPr>
          <w:w w:val="105"/>
          <w:sz w:val="21"/>
        </w:rPr>
        <w:t>scheme</w:t>
      </w:r>
      <w:r>
        <w:rPr>
          <w:spacing w:val="-5"/>
          <w:w w:val="105"/>
          <w:sz w:val="21"/>
        </w:rPr>
        <w:t> </w:t>
      </w:r>
      <w:r>
        <w:rPr>
          <w:w w:val="105"/>
          <w:sz w:val="21"/>
        </w:rPr>
        <w:t>permits</w:t>
      </w:r>
      <w:r>
        <w:rPr>
          <w:spacing w:val="-4"/>
          <w:w w:val="105"/>
          <w:sz w:val="21"/>
        </w:rPr>
        <w:t> </w:t>
      </w:r>
      <w:r>
        <w:rPr>
          <w:w w:val="105"/>
          <w:sz w:val="21"/>
        </w:rPr>
        <w:t>was</w:t>
      </w:r>
      <w:r>
        <w:rPr>
          <w:spacing w:val="-4"/>
          <w:w w:val="105"/>
          <w:sz w:val="21"/>
        </w:rPr>
        <w:t> </w:t>
      </w:r>
      <w:r>
        <w:rPr>
          <w:spacing w:val="-3"/>
          <w:w w:val="105"/>
          <w:sz w:val="21"/>
        </w:rPr>
        <w:t>outlined</w:t>
      </w:r>
      <w:r>
        <w:rPr>
          <w:spacing w:val="-4"/>
          <w:w w:val="105"/>
          <w:sz w:val="21"/>
        </w:rPr>
        <w:t> </w:t>
      </w:r>
      <w:r>
        <w:rPr>
          <w:w w:val="105"/>
          <w:sz w:val="21"/>
        </w:rPr>
        <w:t>by </w:t>
      </w:r>
      <w:r>
        <w:rPr>
          <w:spacing w:val="-3"/>
          <w:w w:val="105"/>
          <w:sz w:val="21"/>
        </w:rPr>
        <w:t>Minister Hidding </w:t>
      </w:r>
      <w:r>
        <w:rPr>
          <w:w w:val="105"/>
          <w:sz w:val="21"/>
        </w:rPr>
        <w:t>in the Second </w:t>
      </w:r>
      <w:r>
        <w:rPr>
          <w:spacing w:val="-3"/>
          <w:w w:val="105"/>
          <w:sz w:val="21"/>
        </w:rPr>
        <w:t>Reading</w:t>
      </w:r>
      <w:r>
        <w:rPr>
          <w:spacing w:val="36"/>
          <w:w w:val="105"/>
          <w:sz w:val="21"/>
        </w:rPr>
        <w:t> </w:t>
      </w:r>
      <w:r>
        <w:rPr>
          <w:w w:val="105"/>
          <w:sz w:val="21"/>
        </w:rPr>
        <w:t>Speech:</w:t>
      </w:r>
    </w:p>
    <w:p>
      <w:pPr>
        <w:spacing w:line="254" w:lineRule="auto" w:before="131"/>
        <w:ind w:left="2834" w:right="1636" w:firstLine="0"/>
        <w:jc w:val="left"/>
        <w:rPr>
          <w:sz w:val="11"/>
        </w:rPr>
      </w:pPr>
      <w:r>
        <w:rPr>
          <w:w w:val="105"/>
          <w:sz w:val="20"/>
        </w:rPr>
        <w:t>Parties who are seeking redress under the bill will be </w:t>
      </w:r>
      <w:r>
        <w:rPr>
          <w:spacing w:val="-2"/>
          <w:w w:val="105"/>
          <w:sz w:val="20"/>
        </w:rPr>
        <w:t>required </w:t>
      </w:r>
      <w:r>
        <w:rPr>
          <w:w w:val="105"/>
          <w:sz w:val="20"/>
        </w:rPr>
        <w:t>to obtain the </w:t>
      </w:r>
      <w:r>
        <w:rPr>
          <w:spacing w:val="-3"/>
          <w:w w:val="105"/>
          <w:sz w:val="20"/>
        </w:rPr>
        <w:t>relevant </w:t>
      </w:r>
      <w:r>
        <w:rPr>
          <w:w w:val="105"/>
          <w:sz w:val="20"/>
        </w:rPr>
        <w:t>permit from the </w:t>
      </w:r>
      <w:r>
        <w:rPr>
          <w:spacing w:val="-3"/>
          <w:w w:val="105"/>
          <w:sz w:val="20"/>
        </w:rPr>
        <w:t>planning </w:t>
      </w:r>
      <w:r>
        <w:rPr>
          <w:w w:val="105"/>
          <w:sz w:val="20"/>
        </w:rPr>
        <w:t>authority in the first </w:t>
      </w:r>
      <w:r>
        <w:rPr>
          <w:spacing w:val="-3"/>
          <w:w w:val="105"/>
          <w:sz w:val="20"/>
        </w:rPr>
        <w:t>instance, </w:t>
      </w:r>
      <w:r>
        <w:rPr>
          <w:w w:val="105"/>
          <w:sz w:val="20"/>
        </w:rPr>
        <w:t>or if the permit has not been obtained when the matter comes before the </w:t>
      </w:r>
      <w:r>
        <w:rPr>
          <w:spacing w:val="-3"/>
          <w:w w:val="105"/>
          <w:sz w:val="20"/>
        </w:rPr>
        <w:t>tribunal, </w:t>
      </w:r>
      <w:r>
        <w:rPr>
          <w:w w:val="105"/>
          <w:sz w:val="20"/>
        </w:rPr>
        <w:t>the tribunal may put a stay on proceedings</w:t>
      </w:r>
      <w:r>
        <w:rPr>
          <w:spacing w:val="-9"/>
          <w:w w:val="105"/>
          <w:sz w:val="20"/>
        </w:rPr>
        <w:t> </w:t>
      </w:r>
      <w:r>
        <w:rPr>
          <w:w w:val="105"/>
          <w:sz w:val="20"/>
        </w:rPr>
        <w:t>in</w:t>
      </w:r>
      <w:r>
        <w:rPr>
          <w:spacing w:val="-8"/>
          <w:w w:val="105"/>
          <w:sz w:val="20"/>
        </w:rPr>
        <w:t> </w:t>
      </w:r>
      <w:r>
        <w:rPr>
          <w:w w:val="105"/>
          <w:sz w:val="20"/>
        </w:rPr>
        <w:t>order</w:t>
      </w:r>
      <w:r>
        <w:rPr>
          <w:spacing w:val="-9"/>
          <w:w w:val="105"/>
          <w:sz w:val="20"/>
        </w:rPr>
        <w:t> </w:t>
      </w:r>
      <w:r>
        <w:rPr>
          <w:w w:val="105"/>
          <w:sz w:val="20"/>
        </w:rPr>
        <w:t>to</w:t>
      </w:r>
      <w:r>
        <w:rPr>
          <w:spacing w:val="-8"/>
          <w:w w:val="105"/>
          <w:sz w:val="20"/>
        </w:rPr>
        <w:t> </w:t>
      </w:r>
      <w:r>
        <w:rPr>
          <w:w w:val="105"/>
          <w:sz w:val="20"/>
        </w:rPr>
        <w:t>enable</w:t>
      </w:r>
      <w:r>
        <w:rPr>
          <w:spacing w:val="-8"/>
          <w:w w:val="105"/>
          <w:sz w:val="20"/>
        </w:rPr>
        <w:t> </w:t>
      </w:r>
      <w:r>
        <w:rPr>
          <w:w w:val="105"/>
          <w:sz w:val="20"/>
        </w:rPr>
        <w:t>the</w:t>
      </w:r>
      <w:r>
        <w:rPr>
          <w:spacing w:val="-9"/>
          <w:w w:val="105"/>
          <w:sz w:val="20"/>
        </w:rPr>
        <w:t> </w:t>
      </w:r>
      <w:r>
        <w:rPr>
          <w:spacing w:val="-3"/>
          <w:w w:val="105"/>
          <w:sz w:val="20"/>
        </w:rPr>
        <w:t>relevant</w:t>
      </w:r>
      <w:r>
        <w:rPr>
          <w:spacing w:val="-8"/>
          <w:w w:val="105"/>
          <w:sz w:val="20"/>
        </w:rPr>
        <w:t> </w:t>
      </w:r>
      <w:r>
        <w:rPr>
          <w:w w:val="105"/>
          <w:sz w:val="20"/>
        </w:rPr>
        <w:t>permit</w:t>
      </w:r>
      <w:r>
        <w:rPr>
          <w:spacing w:val="-8"/>
          <w:w w:val="105"/>
          <w:sz w:val="20"/>
        </w:rPr>
        <w:t> </w:t>
      </w:r>
      <w:r>
        <w:rPr>
          <w:w w:val="105"/>
          <w:sz w:val="20"/>
        </w:rPr>
        <w:t>to</w:t>
      </w:r>
      <w:r>
        <w:rPr>
          <w:spacing w:val="-9"/>
          <w:w w:val="105"/>
          <w:sz w:val="20"/>
        </w:rPr>
        <w:t> </w:t>
      </w:r>
      <w:r>
        <w:rPr>
          <w:w w:val="105"/>
          <w:sz w:val="20"/>
        </w:rPr>
        <w:t>be</w:t>
      </w:r>
      <w:r>
        <w:rPr>
          <w:spacing w:val="-8"/>
          <w:w w:val="105"/>
          <w:sz w:val="20"/>
        </w:rPr>
        <w:t> </w:t>
      </w:r>
      <w:r>
        <w:rPr>
          <w:w w:val="105"/>
          <w:sz w:val="20"/>
        </w:rPr>
        <w:t>obtained.</w:t>
      </w:r>
      <w:r>
        <w:rPr>
          <w:spacing w:val="-8"/>
          <w:w w:val="105"/>
          <w:sz w:val="20"/>
        </w:rPr>
        <w:t> </w:t>
      </w:r>
      <w:r>
        <w:rPr>
          <w:w w:val="105"/>
          <w:sz w:val="20"/>
        </w:rPr>
        <w:t>In</w:t>
      </w:r>
      <w:r>
        <w:rPr>
          <w:spacing w:val="-9"/>
          <w:w w:val="105"/>
          <w:sz w:val="20"/>
        </w:rPr>
        <w:t> </w:t>
      </w:r>
      <w:r>
        <w:rPr>
          <w:w w:val="105"/>
          <w:sz w:val="20"/>
        </w:rPr>
        <w:t>this</w:t>
      </w:r>
      <w:r>
        <w:rPr>
          <w:spacing w:val="-8"/>
          <w:w w:val="105"/>
          <w:sz w:val="20"/>
        </w:rPr>
        <w:t> </w:t>
      </w:r>
      <w:r>
        <w:rPr>
          <w:spacing w:val="-5"/>
          <w:w w:val="105"/>
          <w:sz w:val="20"/>
        </w:rPr>
        <w:t>way,</w:t>
      </w:r>
      <w:r>
        <w:rPr>
          <w:spacing w:val="-9"/>
          <w:w w:val="105"/>
          <w:sz w:val="20"/>
        </w:rPr>
        <w:t> </w:t>
      </w:r>
      <w:r>
        <w:rPr>
          <w:w w:val="105"/>
          <w:sz w:val="20"/>
        </w:rPr>
        <w:t>the</w:t>
      </w:r>
      <w:r>
        <w:rPr>
          <w:spacing w:val="-8"/>
          <w:w w:val="105"/>
          <w:sz w:val="20"/>
        </w:rPr>
        <w:t> </w:t>
      </w:r>
      <w:r>
        <w:rPr>
          <w:w w:val="105"/>
          <w:sz w:val="20"/>
        </w:rPr>
        <w:t>bill retains</w:t>
      </w:r>
      <w:r>
        <w:rPr>
          <w:spacing w:val="-16"/>
          <w:w w:val="105"/>
          <w:sz w:val="20"/>
        </w:rPr>
        <w:t> </w:t>
      </w:r>
      <w:r>
        <w:rPr>
          <w:w w:val="105"/>
          <w:sz w:val="20"/>
        </w:rPr>
        <w:t>the</w:t>
      </w:r>
      <w:r>
        <w:rPr>
          <w:spacing w:val="-15"/>
          <w:w w:val="105"/>
          <w:sz w:val="20"/>
        </w:rPr>
        <w:t> </w:t>
      </w:r>
      <w:r>
        <w:rPr>
          <w:spacing w:val="-3"/>
          <w:w w:val="105"/>
          <w:sz w:val="20"/>
        </w:rPr>
        <w:t>current</w:t>
      </w:r>
      <w:r>
        <w:rPr>
          <w:spacing w:val="-16"/>
          <w:w w:val="105"/>
          <w:sz w:val="20"/>
        </w:rPr>
        <w:t> </w:t>
      </w:r>
      <w:r>
        <w:rPr>
          <w:w w:val="105"/>
          <w:sz w:val="20"/>
        </w:rPr>
        <w:t>policy</w:t>
      </w:r>
      <w:r>
        <w:rPr>
          <w:spacing w:val="-15"/>
          <w:w w:val="105"/>
          <w:sz w:val="20"/>
        </w:rPr>
        <w:t> </w:t>
      </w:r>
      <w:r>
        <w:rPr>
          <w:w w:val="105"/>
          <w:sz w:val="20"/>
        </w:rPr>
        <w:t>settings</w:t>
      </w:r>
      <w:r>
        <w:rPr>
          <w:spacing w:val="-15"/>
          <w:w w:val="105"/>
          <w:sz w:val="20"/>
        </w:rPr>
        <w:t> </w:t>
      </w:r>
      <w:r>
        <w:rPr>
          <w:w w:val="105"/>
          <w:sz w:val="20"/>
        </w:rPr>
        <w:t>for</w:t>
      </w:r>
      <w:r>
        <w:rPr>
          <w:spacing w:val="-16"/>
          <w:w w:val="105"/>
          <w:sz w:val="20"/>
        </w:rPr>
        <w:t> </w:t>
      </w:r>
      <w:r>
        <w:rPr>
          <w:w w:val="105"/>
          <w:sz w:val="20"/>
        </w:rPr>
        <w:t>decision-making</w:t>
      </w:r>
      <w:r>
        <w:rPr>
          <w:spacing w:val="-15"/>
          <w:w w:val="105"/>
          <w:sz w:val="20"/>
        </w:rPr>
        <w:t> </w:t>
      </w:r>
      <w:r>
        <w:rPr>
          <w:w w:val="105"/>
          <w:sz w:val="20"/>
        </w:rPr>
        <w:t>under</w:t>
      </w:r>
      <w:r>
        <w:rPr>
          <w:spacing w:val="-15"/>
          <w:w w:val="105"/>
          <w:sz w:val="20"/>
        </w:rPr>
        <w:t> </w:t>
      </w:r>
      <w:r>
        <w:rPr>
          <w:w w:val="105"/>
          <w:sz w:val="20"/>
        </w:rPr>
        <w:t>other</w:t>
      </w:r>
      <w:r>
        <w:rPr>
          <w:spacing w:val="-16"/>
          <w:w w:val="105"/>
          <w:sz w:val="20"/>
        </w:rPr>
        <w:t> </w:t>
      </w:r>
      <w:r>
        <w:rPr>
          <w:w w:val="105"/>
          <w:sz w:val="20"/>
        </w:rPr>
        <w:t>legislative</w:t>
      </w:r>
      <w:r>
        <w:rPr>
          <w:spacing w:val="-15"/>
          <w:w w:val="105"/>
          <w:sz w:val="20"/>
        </w:rPr>
        <w:t> </w:t>
      </w:r>
      <w:r>
        <w:rPr>
          <w:w w:val="105"/>
          <w:sz w:val="20"/>
        </w:rPr>
        <w:t>regimes, </w:t>
      </w:r>
      <w:r>
        <w:rPr>
          <w:spacing w:val="-3"/>
          <w:w w:val="105"/>
          <w:sz w:val="20"/>
        </w:rPr>
        <w:t>including </w:t>
      </w:r>
      <w:r>
        <w:rPr>
          <w:w w:val="105"/>
          <w:sz w:val="20"/>
        </w:rPr>
        <w:t>notification and rights of</w:t>
      </w:r>
      <w:r>
        <w:rPr>
          <w:spacing w:val="29"/>
          <w:w w:val="105"/>
          <w:sz w:val="20"/>
        </w:rPr>
        <w:t> </w:t>
      </w:r>
      <w:r>
        <w:rPr>
          <w:w w:val="105"/>
          <w:sz w:val="20"/>
        </w:rPr>
        <w:t>appeal.</w:t>
      </w:r>
      <w:r>
        <w:rPr>
          <w:w w:val="105"/>
          <w:position w:val="7"/>
          <w:sz w:val="11"/>
        </w:rPr>
        <w:t>284</w:t>
      </w:r>
    </w:p>
    <w:p>
      <w:pPr>
        <w:pStyle w:val="ListParagraph"/>
        <w:numPr>
          <w:ilvl w:val="0"/>
          <w:numId w:val="173"/>
        </w:numPr>
        <w:tabs>
          <w:tab w:pos="2381" w:val="left" w:leader="none"/>
          <w:tab w:pos="2382" w:val="left" w:leader="none"/>
        </w:tabs>
        <w:spacing w:line="242" w:lineRule="auto" w:before="118" w:after="0"/>
        <w:ind w:left="2381" w:right="1650" w:hanging="794"/>
        <w:jc w:val="left"/>
        <w:rPr>
          <w:sz w:val="21"/>
        </w:rPr>
      </w:pPr>
      <w:r>
        <w:rPr>
          <w:w w:val="105"/>
          <w:sz w:val="21"/>
        </w:rPr>
        <w:t>The application of the </w:t>
      </w:r>
      <w:r>
        <w:rPr>
          <w:spacing w:val="-4"/>
          <w:w w:val="105"/>
          <w:sz w:val="21"/>
        </w:rPr>
        <w:t>Tasmanian </w:t>
      </w:r>
      <w:r>
        <w:rPr>
          <w:w w:val="105"/>
          <w:sz w:val="21"/>
        </w:rPr>
        <w:t>Act is in its </w:t>
      </w:r>
      <w:r>
        <w:rPr>
          <w:spacing w:val="-3"/>
          <w:w w:val="105"/>
          <w:sz w:val="21"/>
        </w:rPr>
        <w:t>infancy </w:t>
      </w:r>
      <w:r>
        <w:rPr>
          <w:w w:val="105"/>
          <w:sz w:val="21"/>
        </w:rPr>
        <w:t>and at the time of writing there is no case law about how these specific </w:t>
      </w:r>
      <w:r>
        <w:rPr>
          <w:spacing w:val="-3"/>
          <w:w w:val="105"/>
          <w:sz w:val="21"/>
        </w:rPr>
        <w:t>provisions have </w:t>
      </w:r>
      <w:r>
        <w:rPr>
          <w:w w:val="105"/>
          <w:sz w:val="21"/>
        </w:rPr>
        <w:t>been </w:t>
      </w:r>
      <w:r>
        <w:rPr>
          <w:spacing w:val="-3"/>
          <w:w w:val="105"/>
          <w:sz w:val="21"/>
        </w:rPr>
        <w:t>interpreted </w:t>
      </w:r>
      <w:r>
        <w:rPr>
          <w:w w:val="105"/>
          <w:sz w:val="21"/>
        </w:rPr>
        <w:t>by </w:t>
      </w:r>
      <w:r>
        <w:rPr>
          <w:spacing w:val="-7"/>
          <w:w w:val="105"/>
          <w:sz w:val="21"/>
        </w:rPr>
        <w:t>RMPAT. </w:t>
      </w:r>
      <w:r>
        <w:rPr>
          <w:w w:val="105"/>
          <w:sz w:val="21"/>
        </w:rPr>
        <w:t>The </w:t>
      </w:r>
      <w:r>
        <w:rPr>
          <w:spacing w:val="-3"/>
          <w:w w:val="105"/>
          <w:sz w:val="21"/>
        </w:rPr>
        <w:t>Commission</w:t>
      </w:r>
      <w:r>
        <w:rPr>
          <w:spacing w:val="-10"/>
          <w:w w:val="105"/>
          <w:sz w:val="21"/>
        </w:rPr>
        <w:t> </w:t>
      </w:r>
      <w:r>
        <w:rPr>
          <w:w w:val="105"/>
          <w:sz w:val="21"/>
        </w:rPr>
        <w:t>is</w:t>
      </w:r>
      <w:r>
        <w:rPr>
          <w:spacing w:val="-9"/>
          <w:w w:val="105"/>
          <w:sz w:val="21"/>
        </w:rPr>
        <w:t> </w:t>
      </w:r>
      <w:r>
        <w:rPr>
          <w:spacing w:val="-3"/>
          <w:w w:val="105"/>
          <w:sz w:val="21"/>
        </w:rPr>
        <w:t>therefore</w:t>
      </w:r>
      <w:r>
        <w:rPr>
          <w:spacing w:val="-10"/>
          <w:w w:val="105"/>
          <w:sz w:val="21"/>
        </w:rPr>
        <w:t> </w:t>
      </w:r>
      <w:r>
        <w:rPr>
          <w:w w:val="105"/>
          <w:sz w:val="21"/>
        </w:rPr>
        <w:t>uncertain</w:t>
      </w:r>
      <w:r>
        <w:rPr>
          <w:spacing w:val="-9"/>
          <w:w w:val="105"/>
          <w:sz w:val="21"/>
        </w:rPr>
        <w:t> </w:t>
      </w:r>
      <w:r>
        <w:rPr>
          <w:w w:val="105"/>
          <w:sz w:val="21"/>
        </w:rPr>
        <w:t>about</w:t>
      </w:r>
      <w:r>
        <w:rPr>
          <w:spacing w:val="-9"/>
          <w:w w:val="105"/>
          <w:sz w:val="21"/>
        </w:rPr>
        <w:t> </w:t>
      </w:r>
      <w:r>
        <w:rPr>
          <w:w w:val="105"/>
          <w:sz w:val="21"/>
        </w:rPr>
        <w:t>how</w:t>
      </w:r>
      <w:r>
        <w:rPr>
          <w:spacing w:val="-10"/>
          <w:w w:val="105"/>
          <w:sz w:val="21"/>
        </w:rPr>
        <w:t> </w:t>
      </w:r>
      <w:r>
        <w:rPr>
          <w:spacing w:val="-6"/>
          <w:w w:val="105"/>
          <w:sz w:val="21"/>
        </w:rPr>
        <w:t>RMPAT</w:t>
      </w:r>
      <w:r>
        <w:rPr>
          <w:spacing w:val="-9"/>
          <w:w w:val="105"/>
          <w:sz w:val="21"/>
        </w:rPr>
        <w:t> </w:t>
      </w:r>
      <w:r>
        <w:rPr>
          <w:w w:val="105"/>
          <w:sz w:val="21"/>
        </w:rPr>
        <w:t>orders</w:t>
      </w:r>
      <w:r>
        <w:rPr>
          <w:spacing w:val="-9"/>
          <w:w w:val="105"/>
          <w:sz w:val="21"/>
        </w:rPr>
        <w:t> </w:t>
      </w:r>
      <w:r>
        <w:rPr>
          <w:spacing w:val="-3"/>
          <w:w w:val="105"/>
          <w:sz w:val="21"/>
        </w:rPr>
        <w:t>may</w:t>
      </w:r>
      <w:r>
        <w:rPr>
          <w:spacing w:val="-10"/>
          <w:w w:val="105"/>
          <w:sz w:val="21"/>
        </w:rPr>
        <w:t> </w:t>
      </w:r>
      <w:r>
        <w:rPr>
          <w:w w:val="105"/>
          <w:sz w:val="21"/>
        </w:rPr>
        <w:t>intersect</w:t>
      </w:r>
      <w:r>
        <w:rPr>
          <w:spacing w:val="-9"/>
          <w:w w:val="105"/>
          <w:sz w:val="21"/>
        </w:rPr>
        <w:t> </w:t>
      </w:r>
      <w:r>
        <w:rPr>
          <w:w w:val="105"/>
          <w:sz w:val="21"/>
        </w:rPr>
        <w:t>with</w:t>
      </w:r>
      <w:r>
        <w:rPr>
          <w:spacing w:val="-9"/>
          <w:w w:val="105"/>
          <w:sz w:val="21"/>
        </w:rPr>
        <w:t> </w:t>
      </w:r>
      <w:r>
        <w:rPr>
          <w:w w:val="105"/>
          <w:sz w:val="21"/>
        </w:rPr>
        <w:t>local</w:t>
      </w:r>
      <w:r>
        <w:rPr>
          <w:spacing w:val="-10"/>
          <w:w w:val="105"/>
          <w:sz w:val="21"/>
        </w:rPr>
        <w:t> </w:t>
      </w:r>
      <w:r>
        <w:rPr>
          <w:w w:val="105"/>
          <w:sz w:val="21"/>
        </w:rPr>
        <w:t>tree protection laws in</w:t>
      </w:r>
      <w:r>
        <w:rPr>
          <w:spacing w:val="15"/>
          <w:w w:val="105"/>
          <w:sz w:val="21"/>
        </w:rPr>
        <w:t> </w:t>
      </w:r>
      <w:r>
        <w:rPr>
          <w:spacing w:val="-5"/>
          <w:w w:val="105"/>
          <w:sz w:val="21"/>
        </w:rPr>
        <w:t>Tasmania.</w:t>
      </w:r>
    </w:p>
    <w:p>
      <w:pPr>
        <w:pStyle w:val="BodyText"/>
        <w:spacing w:before="11"/>
      </w:pPr>
    </w:p>
    <w:p>
      <w:pPr>
        <w:pStyle w:val="Heading4"/>
        <w:spacing w:before="1"/>
      </w:pPr>
      <w:r>
        <w:rPr>
          <w:color w:val="658464"/>
          <w:w w:val="115"/>
        </w:rPr>
        <w:t>The Commission’s conclusions—interaction of laws</w:t>
      </w:r>
    </w:p>
    <w:p>
      <w:pPr>
        <w:pStyle w:val="ListParagraph"/>
        <w:numPr>
          <w:ilvl w:val="0"/>
          <w:numId w:val="173"/>
        </w:numPr>
        <w:tabs>
          <w:tab w:pos="2380" w:val="left" w:leader="none"/>
          <w:tab w:pos="2381" w:val="left" w:leader="none"/>
        </w:tabs>
        <w:spacing w:line="242" w:lineRule="auto" w:before="154" w:after="0"/>
        <w:ind w:left="2381" w:right="1641" w:hanging="794"/>
        <w:jc w:val="left"/>
        <w:rPr>
          <w:sz w:val="21"/>
        </w:rPr>
      </w:pPr>
      <w:r>
        <w:rPr>
          <w:w w:val="105"/>
          <w:sz w:val="21"/>
        </w:rPr>
        <w:t>The </w:t>
      </w:r>
      <w:r>
        <w:rPr>
          <w:spacing w:val="-3"/>
          <w:w w:val="105"/>
          <w:sz w:val="21"/>
        </w:rPr>
        <w:t>Commission recommends </w:t>
      </w:r>
      <w:r>
        <w:rPr>
          <w:w w:val="105"/>
          <w:sz w:val="21"/>
        </w:rPr>
        <w:t>a </w:t>
      </w:r>
      <w:r>
        <w:rPr>
          <w:spacing w:val="-3"/>
          <w:w w:val="105"/>
          <w:sz w:val="21"/>
        </w:rPr>
        <w:t>straightforward, accessible </w:t>
      </w:r>
      <w:r>
        <w:rPr>
          <w:w w:val="105"/>
          <w:sz w:val="21"/>
        </w:rPr>
        <w:t>and timely statutory scheme </w:t>
      </w:r>
      <w:r>
        <w:rPr>
          <w:spacing w:val="-3"/>
          <w:w w:val="105"/>
          <w:sz w:val="21"/>
        </w:rPr>
        <w:t>to</w:t>
      </w:r>
      <w:r>
        <w:rPr>
          <w:spacing w:val="-10"/>
          <w:w w:val="105"/>
          <w:sz w:val="21"/>
        </w:rPr>
        <w:t> </w:t>
      </w:r>
      <w:r>
        <w:rPr>
          <w:w w:val="105"/>
          <w:sz w:val="21"/>
        </w:rPr>
        <w:t>resolve</w:t>
      </w:r>
      <w:r>
        <w:rPr>
          <w:spacing w:val="-9"/>
          <w:w w:val="105"/>
          <w:sz w:val="21"/>
        </w:rPr>
        <w:t> </w:t>
      </w:r>
      <w:r>
        <w:rPr>
          <w:w w:val="105"/>
          <w:sz w:val="21"/>
        </w:rPr>
        <w:t>neighbourhood</w:t>
      </w:r>
      <w:r>
        <w:rPr>
          <w:spacing w:val="-9"/>
          <w:w w:val="105"/>
          <w:sz w:val="21"/>
        </w:rPr>
        <w:t> </w:t>
      </w:r>
      <w:r>
        <w:rPr>
          <w:w w:val="105"/>
          <w:sz w:val="21"/>
        </w:rPr>
        <w:t>tree</w:t>
      </w:r>
      <w:r>
        <w:rPr>
          <w:spacing w:val="-9"/>
          <w:w w:val="105"/>
          <w:sz w:val="21"/>
        </w:rPr>
        <w:t> </w:t>
      </w:r>
      <w:r>
        <w:rPr>
          <w:spacing w:val="-3"/>
          <w:w w:val="105"/>
          <w:sz w:val="21"/>
        </w:rPr>
        <w:t>disputes.</w:t>
      </w:r>
      <w:r>
        <w:rPr>
          <w:spacing w:val="-10"/>
          <w:w w:val="105"/>
          <w:sz w:val="21"/>
        </w:rPr>
        <w:t> </w:t>
      </w:r>
      <w:r>
        <w:rPr>
          <w:w w:val="105"/>
          <w:sz w:val="21"/>
        </w:rPr>
        <w:t>A</w:t>
      </w:r>
      <w:r>
        <w:rPr>
          <w:spacing w:val="-9"/>
          <w:w w:val="105"/>
          <w:sz w:val="21"/>
        </w:rPr>
        <w:t> </w:t>
      </w:r>
      <w:r>
        <w:rPr>
          <w:w w:val="105"/>
          <w:sz w:val="21"/>
        </w:rPr>
        <w:t>tree</w:t>
      </w:r>
      <w:r>
        <w:rPr>
          <w:spacing w:val="-9"/>
          <w:w w:val="105"/>
          <w:sz w:val="21"/>
        </w:rPr>
        <w:t> </w:t>
      </w:r>
      <w:r>
        <w:rPr>
          <w:spacing w:val="-3"/>
          <w:w w:val="105"/>
          <w:sz w:val="21"/>
        </w:rPr>
        <w:t>dispute</w:t>
      </w:r>
      <w:r>
        <w:rPr>
          <w:spacing w:val="-9"/>
          <w:w w:val="105"/>
          <w:sz w:val="21"/>
        </w:rPr>
        <w:t> </w:t>
      </w:r>
      <w:r>
        <w:rPr>
          <w:w w:val="105"/>
          <w:sz w:val="21"/>
        </w:rPr>
        <w:t>should</w:t>
      </w:r>
      <w:r>
        <w:rPr>
          <w:spacing w:val="-9"/>
          <w:w w:val="105"/>
          <w:sz w:val="21"/>
        </w:rPr>
        <w:t> </w:t>
      </w:r>
      <w:r>
        <w:rPr>
          <w:spacing w:val="-2"/>
          <w:w w:val="105"/>
          <w:sz w:val="21"/>
        </w:rPr>
        <w:t>not</w:t>
      </w:r>
      <w:r>
        <w:rPr>
          <w:spacing w:val="-10"/>
          <w:w w:val="105"/>
          <w:sz w:val="21"/>
        </w:rPr>
        <w:t> </w:t>
      </w:r>
      <w:r>
        <w:rPr>
          <w:w w:val="105"/>
          <w:sz w:val="21"/>
        </w:rPr>
        <w:t>be</w:t>
      </w:r>
      <w:r>
        <w:rPr>
          <w:spacing w:val="-9"/>
          <w:w w:val="105"/>
          <w:sz w:val="21"/>
        </w:rPr>
        <w:t> </w:t>
      </w:r>
      <w:r>
        <w:rPr>
          <w:spacing w:val="-3"/>
          <w:w w:val="105"/>
          <w:sz w:val="21"/>
        </w:rPr>
        <w:t>revisited</w:t>
      </w:r>
      <w:r>
        <w:rPr>
          <w:spacing w:val="-9"/>
          <w:w w:val="105"/>
          <w:sz w:val="21"/>
        </w:rPr>
        <w:t> </w:t>
      </w:r>
      <w:r>
        <w:rPr>
          <w:w w:val="105"/>
          <w:sz w:val="21"/>
        </w:rPr>
        <w:t>by</w:t>
      </w:r>
      <w:r>
        <w:rPr>
          <w:spacing w:val="-9"/>
          <w:w w:val="105"/>
          <w:sz w:val="21"/>
        </w:rPr>
        <w:t> </w:t>
      </w:r>
      <w:r>
        <w:rPr>
          <w:spacing w:val="-3"/>
          <w:w w:val="105"/>
          <w:sz w:val="21"/>
        </w:rPr>
        <w:t>multiple </w:t>
      </w:r>
      <w:r>
        <w:rPr>
          <w:w w:val="105"/>
          <w:sz w:val="21"/>
        </w:rPr>
        <w:t>decision </w:t>
      </w:r>
      <w:r>
        <w:rPr>
          <w:spacing w:val="-3"/>
          <w:w w:val="105"/>
          <w:sz w:val="21"/>
        </w:rPr>
        <w:t>makers, </w:t>
      </w:r>
      <w:r>
        <w:rPr>
          <w:w w:val="105"/>
          <w:sz w:val="21"/>
        </w:rPr>
        <w:t>and the community should </w:t>
      </w:r>
      <w:r>
        <w:rPr>
          <w:spacing w:val="-2"/>
          <w:w w:val="105"/>
          <w:sz w:val="21"/>
        </w:rPr>
        <w:t>not </w:t>
      </w:r>
      <w:r>
        <w:rPr>
          <w:spacing w:val="-3"/>
          <w:w w:val="105"/>
          <w:sz w:val="21"/>
        </w:rPr>
        <w:t>have to navigate multiple dispute </w:t>
      </w:r>
      <w:r>
        <w:rPr>
          <w:w w:val="105"/>
          <w:sz w:val="21"/>
        </w:rPr>
        <w:t>resolution frameworks </w:t>
      </w:r>
      <w:r>
        <w:rPr>
          <w:spacing w:val="-3"/>
          <w:w w:val="105"/>
          <w:sz w:val="21"/>
        </w:rPr>
        <w:t>to </w:t>
      </w:r>
      <w:r>
        <w:rPr>
          <w:w w:val="105"/>
          <w:sz w:val="21"/>
        </w:rPr>
        <w:t>obtain a decision. Interaction with other laws should cause </w:t>
      </w:r>
      <w:r>
        <w:rPr>
          <w:spacing w:val="-3"/>
          <w:w w:val="105"/>
          <w:sz w:val="21"/>
        </w:rPr>
        <w:t>minimal disruption to </w:t>
      </w:r>
      <w:r>
        <w:rPr>
          <w:w w:val="105"/>
          <w:sz w:val="21"/>
        </w:rPr>
        <w:t>existing legal processes and established</w:t>
      </w:r>
      <w:r>
        <w:rPr>
          <w:spacing w:val="20"/>
          <w:w w:val="105"/>
          <w:sz w:val="21"/>
        </w:rPr>
        <w:t> </w:t>
      </w:r>
      <w:r>
        <w:rPr>
          <w:spacing w:val="-2"/>
          <w:w w:val="105"/>
          <w:sz w:val="21"/>
        </w:rPr>
        <w:t>policies.</w:t>
      </w:r>
    </w:p>
    <w:p>
      <w:pPr>
        <w:pStyle w:val="BodyText"/>
        <w:spacing w:before="6"/>
        <w:rPr>
          <w:sz w:val="20"/>
        </w:rPr>
      </w:pPr>
    </w:p>
    <w:p>
      <w:pPr>
        <w:pStyle w:val="Heading5"/>
        <w:spacing w:before="1"/>
      </w:pPr>
      <w:r>
        <w:rPr>
          <w:w w:val="115"/>
        </w:rPr>
        <w:t>The Planning and Environment Act</w:t>
      </w:r>
    </w:p>
    <w:p>
      <w:pPr>
        <w:pStyle w:val="ListParagraph"/>
        <w:numPr>
          <w:ilvl w:val="0"/>
          <w:numId w:val="173"/>
        </w:numPr>
        <w:tabs>
          <w:tab w:pos="2380" w:val="left" w:leader="none"/>
          <w:tab w:pos="2381" w:val="left" w:leader="none"/>
        </w:tabs>
        <w:spacing w:line="242" w:lineRule="auto" w:before="137" w:after="0"/>
        <w:ind w:left="2381" w:right="1898" w:hanging="794"/>
        <w:jc w:val="left"/>
        <w:rPr>
          <w:sz w:val="21"/>
        </w:rPr>
      </w:pPr>
      <w:r>
        <w:rPr>
          <w:sz w:val="21"/>
        </w:rPr>
        <w:t>Neighbourhood tree </w:t>
      </w:r>
      <w:r>
        <w:rPr>
          <w:spacing w:val="-3"/>
          <w:sz w:val="21"/>
        </w:rPr>
        <w:t>disputes are </w:t>
      </w:r>
      <w:r>
        <w:rPr>
          <w:sz w:val="21"/>
        </w:rPr>
        <w:t>essentially party–party civil </w:t>
      </w:r>
      <w:r>
        <w:rPr>
          <w:spacing w:val="-3"/>
          <w:sz w:val="21"/>
        </w:rPr>
        <w:t>disputes </w:t>
      </w:r>
      <w:r>
        <w:rPr>
          <w:sz w:val="21"/>
        </w:rPr>
        <w:t>and </w:t>
      </w:r>
      <w:r>
        <w:rPr>
          <w:spacing w:val="-3"/>
          <w:sz w:val="21"/>
        </w:rPr>
        <w:t>generally involve factual interpretation rather than </w:t>
      </w:r>
      <w:r>
        <w:rPr>
          <w:sz w:val="21"/>
        </w:rPr>
        <w:t>complex legal </w:t>
      </w:r>
      <w:r>
        <w:rPr>
          <w:spacing w:val="-3"/>
          <w:sz w:val="21"/>
        </w:rPr>
        <w:t>interpretation. </w:t>
      </w:r>
      <w:r>
        <w:rPr>
          <w:sz w:val="21"/>
        </w:rPr>
        <w:t>Existing laws </w:t>
      </w:r>
      <w:r>
        <w:rPr>
          <w:spacing w:val="-3"/>
          <w:sz w:val="21"/>
        </w:rPr>
        <w:t>are underpinned </w:t>
      </w:r>
      <w:r>
        <w:rPr>
          <w:sz w:val="21"/>
        </w:rPr>
        <w:t>by much </w:t>
      </w:r>
      <w:r>
        <w:rPr>
          <w:spacing w:val="-4"/>
          <w:sz w:val="21"/>
        </w:rPr>
        <w:t>broader, </w:t>
      </w:r>
      <w:r>
        <w:rPr>
          <w:sz w:val="21"/>
        </w:rPr>
        <w:t>more complex policy</w:t>
      </w:r>
      <w:r>
        <w:rPr>
          <w:spacing w:val="5"/>
          <w:sz w:val="21"/>
        </w:rPr>
        <w:t> </w:t>
      </w:r>
      <w:r>
        <w:rPr>
          <w:spacing w:val="-3"/>
          <w:sz w:val="21"/>
        </w:rPr>
        <w:t>considerations.</w:t>
      </w:r>
    </w:p>
    <w:p>
      <w:pPr>
        <w:pStyle w:val="ListParagraph"/>
        <w:numPr>
          <w:ilvl w:val="0"/>
          <w:numId w:val="173"/>
        </w:numPr>
        <w:tabs>
          <w:tab w:pos="2380" w:val="left" w:leader="none"/>
          <w:tab w:pos="2381" w:val="left" w:leader="none"/>
        </w:tabs>
        <w:spacing w:line="242" w:lineRule="auto" w:before="123" w:after="0"/>
        <w:ind w:left="2381" w:right="1841" w:hanging="794"/>
        <w:jc w:val="left"/>
        <w:rPr>
          <w:sz w:val="21"/>
        </w:rPr>
      </w:pPr>
      <w:r>
        <w:rPr>
          <w:sz w:val="21"/>
        </w:rPr>
        <w:t>The </w:t>
      </w:r>
      <w:r>
        <w:rPr>
          <w:spacing w:val="-4"/>
          <w:sz w:val="21"/>
        </w:rPr>
        <w:t>Commission’s </w:t>
      </w:r>
      <w:r>
        <w:rPr>
          <w:spacing w:val="-3"/>
          <w:sz w:val="21"/>
        </w:rPr>
        <w:t>recommendations therefore </w:t>
      </w:r>
      <w:r>
        <w:rPr>
          <w:sz w:val="21"/>
        </w:rPr>
        <w:t>only sanction </w:t>
      </w:r>
      <w:r>
        <w:rPr>
          <w:spacing w:val="-3"/>
          <w:sz w:val="21"/>
        </w:rPr>
        <w:t>interference </w:t>
      </w:r>
      <w:r>
        <w:rPr>
          <w:sz w:val="21"/>
        </w:rPr>
        <w:t>with </w:t>
      </w:r>
      <w:r>
        <w:rPr>
          <w:spacing w:val="-3"/>
          <w:sz w:val="21"/>
        </w:rPr>
        <w:t>planning </w:t>
      </w:r>
      <w:r>
        <w:rPr>
          <w:sz w:val="21"/>
        </w:rPr>
        <w:t>instruments in </w:t>
      </w:r>
      <w:r>
        <w:rPr>
          <w:spacing w:val="-3"/>
          <w:sz w:val="21"/>
        </w:rPr>
        <w:t>limited situations </w:t>
      </w:r>
      <w:r>
        <w:rPr>
          <w:sz w:val="21"/>
        </w:rPr>
        <w:t>and subject </w:t>
      </w:r>
      <w:r>
        <w:rPr>
          <w:spacing w:val="-3"/>
          <w:sz w:val="21"/>
        </w:rPr>
        <w:t>to safeguards. </w:t>
      </w:r>
      <w:r>
        <w:rPr>
          <w:sz w:val="21"/>
        </w:rPr>
        <w:t>These </w:t>
      </w:r>
      <w:r>
        <w:rPr>
          <w:spacing w:val="-3"/>
          <w:sz w:val="21"/>
        </w:rPr>
        <w:t>are </w:t>
      </w:r>
      <w:r>
        <w:rPr>
          <w:sz w:val="21"/>
        </w:rPr>
        <w:t>discussed in the </w:t>
      </w:r>
      <w:r>
        <w:rPr>
          <w:spacing w:val="-3"/>
          <w:sz w:val="21"/>
        </w:rPr>
        <w:t>following</w:t>
      </w:r>
      <w:r>
        <w:rPr>
          <w:spacing w:val="8"/>
          <w:sz w:val="21"/>
        </w:rPr>
        <w:t> </w:t>
      </w:r>
      <w:r>
        <w:rPr>
          <w:sz w:val="21"/>
        </w:rPr>
        <w:t>sections.</w:t>
      </w:r>
    </w:p>
    <w:p>
      <w:pPr>
        <w:pStyle w:val="Heading7"/>
      </w:pPr>
      <w:r>
        <w:rPr>
          <w:w w:val="115"/>
        </w:rPr>
        <w:t>Tree protection overlays</w:t>
      </w:r>
    </w:p>
    <w:p>
      <w:pPr>
        <w:pStyle w:val="ListParagraph"/>
        <w:numPr>
          <w:ilvl w:val="0"/>
          <w:numId w:val="173"/>
        </w:numPr>
        <w:tabs>
          <w:tab w:pos="2382" w:val="left" w:leader="none"/>
        </w:tabs>
        <w:spacing w:line="242" w:lineRule="auto" w:before="143" w:after="0"/>
        <w:ind w:left="2381" w:right="1663" w:hanging="794"/>
        <w:jc w:val="left"/>
        <w:rPr>
          <w:sz w:val="12"/>
        </w:rPr>
      </w:pPr>
      <w:r>
        <w:rPr>
          <w:w w:val="105"/>
          <w:sz w:val="21"/>
        </w:rPr>
        <w:t>If a tree on </w:t>
      </w:r>
      <w:r>
        <w:rPr>
          <w:spacing w:val="-3"/>
          <w:w w:val="105"/>
          <w:sz w:val="21"/>
        </w:rPr>
        <w:t>neighbouring land </w:t>
      </w:r>
      <w:r>
        <w:rPr>
          <w:w w:val="105"/>
          <w:sz w:val="21"/>
        </w:rPr>
        <w:t>is protected under a </w:t>
      </w:r>
      <w:r>
        <w:rPr>
          <w:spacing w:val="-3"/>
          <w:w w:val="105"/>
          <w:sz w:val="21"/>
        </w:rPr>
        <w:t>planning </w:t>
      </w:r>
      <w:r>
        <w:rPr>
          <w:w w:val="105"/>
          <w:sz w:val="21"/>
        </w:rPr>
        <w:t>scheme </w:t>
      </w:r>
      <w:r>
        <w:rPr>
          <w:spacing w:val="-4"/>
          <w:w w:val="105"/>
          <w:sz w:val="21"/>
        </w:rPr>
        <w:t>overlay, </w:t>
      </w:r>
      <w:r>
        <w:rPr>
          <w:w w:val="105"/>
          <w:sz w:val="21"/>
        </w:rPr>
        <w:t>an affected </w:t>
      </w:r>
      <w:r>
        <w:rPr>
          <w:spacing w:val="-3"/>
          <w:w w:val="105"/>
          <w:sz w:val="21"/>
        </w:rPr>
        <w:t>neighbour </w:t>
      </w:r>
      <w:r>
        <w:rPr>
          <w:w w:val="105"/>
          <w:sz w:val="21"/>
        </w:rPr>
        <w:t>would be </w:t>
      </w:r>
      <w:r>
        <w:rPr>
          <w:spacing w:val="-3"/>
          <w:w w:val="105"/>
          <w:sz w:val="21"/>
        </w:rPr>
        <w:t>required </w:t>
      </w:r>
      <w:r>
        <w:rPr>
          <w:w w:val="105"/>
          <w:sz w:val="21"/>
        </w:rPr>
        <w:t>under </w:t>
      </w:r>
      <w:r>
        <w:rPr>
          <w:spacing w:val="-3"/>
          <w:w w:val="105"/>
          <w:sz w:val="21"/>
        </w:rPr>
        <w:t>planning </w:t>
      </w:r>
      <w:r>
        <w:rPr>
          <w:w w:val="105"/>
          <w:sz w:val="21"/>
        </w:rPr>
        <w:t>law </w:t>
      </w:r>
      <w:r>
        <w:rPr>
          <w:spacing w:val="-3"/>
          <w:w w:val="105"/>
          <w:sz w:val="21"/>
        </w:rPr>
        <w:t>to </w:t>
      </w:r>
      <w:r>
        <w:rPr>
          <w:w w:val="105"/>
          <w:sz w:val="21"/>
        </w:rPr>
        <w:t>obtain a permit </w:t>
      </w:r>
      <w:r>
        <w:rPr>
          <w:spacing w:val="-3"/>
          <w:w w:val="105"/>
          <w:sz w:val="21"/>
        </w:rPr>
        <w:t>from council to remove,</w:t>
      </w:r>
      <w:r>
        <w:rPr>
          <w:spacing w:val="-7"/>
          <w:w w:val="105"/>
          <w:sz w:val="21"/>
        </w:rPr>
        <w:t> </w:t>
      </w:r>
      <w:r>
        <w:rPr>
          <w:w w:val="105"/>
          <w:sz w:val="21"/>
        </w:rPr>
        <w:t>destroy</w:t>
      </w:r>
      <w:r>
        <w:rPr>
          <w:spacing w:val="-6"/>
          <w:w w:val="105"/>
          <w:sz w:val="21"/>
        </w:rPr>
        <w:t> </w:t>
      </w:r>
      <w:r>
        <w:rPr>
          <w:w w:val="105"/>
          <w:sz w:val="21"/>
        </w:rPr>
        <w:t>or</w:t>
      </w:r>
      <w:r>
        <w:rPr>
          <w:spacing w:val="-6"/>
          <w:w w:val="105"/>
          <w:sz w:val="21"/>
        </w:rPr>
        <w:t> </w:t>
      </w:r>
      <w:r>
        <w:rPr>
          <w:w w:val="105"/>
          <w:sz w:val="21"/>
        </w:rPr>
        <w:t>lop</w:t>
      </w:r>
      <w:r>
        <w:rPr>
          <w:spacing w:val="-7"/>
          <w:w w:val="105"/>
          <w:sz w:val="21"/>
        </w:rPr>
        <w:t> </w:t>
      </w:r>
      <w:r>
        <w:rPr>
          <w:w w:val="105"/>
          <w:sz w:val="21"/>
        </w:rPr>
        <w:t>the</w:t>
      </w:r>
      <w:r>
        <w:rPr>
          <w:spacing w:val="-6"/>
          <w:w w:val="105"/>
          <w:sz w:val="21"/>
        </w:rPr>
        <w:t> </w:t>
      </w:r>
      <w:r>
        <w:rPr>
          <w:spacing w:val="-3"/>
          <w:w w:val="105"/>
          <w:sz w:val="21"/>
        </w:rPr>
        <w:t>tree.</w:t>
      </w:r>
      <w:r>
        <w:rPr>
          <w:spacing w:val="-6"/>
          <w:w w:val="105"/>
          <w:sz w:val="21"/>
        </w:rPr>
        <w:t> </w:t>
      </w:r>
      <w:r>
        <w:rPr>
          <w:w w:val="105"/>
          <w:sz w:val="21"/>
        </w:rPr>
        <w:t>Because</w:t>
      </w:r>
      <w:r>
        <w:rPr>
          <w:spacing w:val="-6"/>
          <w:w w:val="105"/>
          <w:sz w:val="21"/>
        </w:rPr>
        <w:t> </w:t>
      </w:r>
      <w:r>
        <w:rPr>
          <w:w w:val="105"/>
          <w:sz w:val="21"/>
        </w:rPr>
        <w:t>the</w:t>
      </w:r>
      <w:r>
        <w:rPr>
          <w:spacing w:val="-7"/>
          <w:w w:val="105"/>
          <w:sz w:val="21"/>
        </w:rPr>
        <w:t> </w:t>
      </w:r>
      <w:r>
        <w:rPr>
          <w:w w:val="105"/>
          <w:sz w:val="21"/>
        </w:rPr>
        <w:t>affected</w:t>
      </w:r>
      <w:r>
        <w:rPr>
          <w:spacing w:val="-6"/>
          <w:w w:val="105"/>
          <w:sz w:val="21"/>
        </w:rPr>
        <w:t> </w:t>
      </w:r>
      <w:r>
        <w:rPr>
          <w:spacing w:val="-3"/>
          <w:w w:val="105"/>
          <w:sz w:val="21"/>
        </w:rPr>
        <w:t>neighbour</w:t>
      </w:r>
      <w:r>
        <w:rPr>
          <w:spacing w:val="-6"/>
          <w:w w:val="105"/>
          <w:sz w:val="21"/>
        </w:rPr>
        <w:t> </w:t>
      </w:r>
      <w:r>
        <w:rPr>
          <w:w w:val="105"/>
          <w:sz w:val="21"/>
        </w:rPr>
        <w:t>would</w:t>
      </w:r>
      <w:r>
        <w:rPr>
          <w:spacing w:val="-6"/>
          <w:w w:val="105"/>
          <w:sz w:val="21"/>
        </w:rPr>
        <w:t> </w:t>
      </w:r>
      <w:r>
        <w:rPr>
          <w:spacing w:val="-2"/>
          <w:w w:val="105"/>
          <w:sz w:val="21"/>
        </w:rPr>
        <w:t>not</w:t>
      </w:r>
      <w:r>
        <w:rPr>
          <w:spacing w:val="-7"/>
          <w:w w:val="105"/>
          <w:sz w:val="21"/>
        </w:rPr>
        <w:t> </w:t>
      </w:r>
      <w:r>
        <w:rPr>
          <w:w w:val="105"/>
          <w:sz w:val="21"/>
        </w:rPr>
        <w:t>be</w:t>
      </w:r>
      <w:r>
        <w:rPr>
          <w:spacing w:val="-6"/>
          <w:w w:val="105"/>
          <w:sz w:val="21"/>
        </w:rPr>
        <w:t> </w:t>
      </w:r>
      <w:r>
        <w:rPr>
          <w:w w:val="105"/>
          <w:sz w:val="21"/>
        </w:rPr>
        <w:t>the</w:t>
      </w:r>
      <w:r>
        <w:rPr>
          <w:spacing w:val="-6"/>
          <w:w w:val="105"/>
          <w:sz w:val="21"/>
        </w:rPr>
        <w:t> </w:t>
      </w:r>
      <w:r>
        <w:rPr>
          <w:w w:val="105"/>
          <w:sz w:val="21"/>
        </w:rPr>
        <w:t>owner of the </w:t>
      </w:r>
      <w:r>
        <w:rPr>
          <w:spacing w:val="-3"/>
          <w:w w:val="105"/>
          <w:sz w:val="21"/>
        </w:rPr>
        <w:t>tree, </w:t>
      </w:r>
      <w:r>
        <w:rPr>
          <w:w w:val="105"/>
          <w:sz w:val="21"/>
        </w:rPr>
        <w:t>they would need </w:t>
      </w:r>
      <w:r>
        <w:rPr>
          <w:spacing w:val="-3"/>
          <w:w w:val="105"/>
          <w:sz w:val="21"/>
        </w:rPr>
        <w:t>to </w:t>
      </w:r>
      <w:r>
        <w:rPr>
          <w:w w:val="105"/>
          <w:sz w:val="21"/>
        </w:rPr>
        <w:t>persuade their </w:t>
      </w:r>
      <w:r>
        <w:rPr>
          <w:spacing w:val="-3"/>
          <w:w w:val="105"/>
          <w:sz w:val="21"/>
        </w:rPr>
        <w:t>neighbour to </w:t>
      </w:r>
      <w:r>
        <w:rPr>
          <w:w w:val="105"/>
          <w:sz w:val="21"/>
        </w:rPr>
        <w:t>seek a permit or </w:t>
      </w:r>
      <w:r>
        <w:rPr>
          <w:spacing w:val="-3"/>
          <w:w w:val="105"/>
          <w:sz w:val="21"/>
        </w:rPr>
        <w:t>require </w:t>
      </w:r>
      <w:r>
        <w:rPr>
          <w:w w:val="105"/>
          <w:sz w:val="21"/>
        </w:rPr>
        <w:t>the owner of </w:t>
      </w:r>
      <w:r>
        <w:rPr>
          <w:spacing w:val="-3"/>
          <w:w w:val="105"/>
          <w:sz w:val="21"/>
        </w:rPr>
        <w:t>land to sign </w:t>
      </w:r>
      <w:r>
        <w:rPr>
          <w:w w:val="105"/>
          <w:sz w:val="21"/>
        </w:rPr>
        <w:t>the permit application form.</w:t>
      </w:r>
      <w:r>
        <w:rPr>
          <w:w w:val="105"/>
          <w:position w:val="7"/>
          <w:sz w:val="12"/>
        </w:rPr>
        <w:t>285 </w:t>
      </w:r>
      <w:r>
        <w:rPr>
          <w:w w:val="105"/>
          <w:sz w:val="21"/>
        </w:rPr>
        <w:t>This is </w:t>
      </w:r>
      <w:r>
        <w:rPr>
          <w:spacing w:val="-4"/>
          <w:w w:val="105"/>
          <w:sz w:val="21"/>
        </w:rPr>
        <w:t>likely </w:t>
      </w:r>
      <w:r>
        <w:rPr>
          <w:spacing w:val="-3"/>
          <w:w w:val="105"/>
          <w:sz w:val="21"/>
        </w:rPr>
        <w:t>to </w:t>
      </w:r>
      <w:r>
        <w:rPr>
          <w:w w:val="105"/>
          <w:sz w:val="21"/>
        </w:rPr>
        <w:t>be impractical in a </w:t>
      </w:r>
      <w:r>
        <w:rPr>
          <w:spacing w:val="-3"/>
          <w:w w:val="105"/>
          <w:sz w:val="21"/>
        </w:rPr>
        <w:t>situation </w:t>
      </w:r>
      <w:r>
        <w:rPr>
          <w:w w:val="105"/>
          <w:sz w:val="21"/>
        </w:rPr>
        <w:t>in which neighbours </w:t>
      </w:r>
      <w:r>
        <w:rPr>
          <w:spacing w:val="-3"/>
          <w:w w:val="105"/>
          <w:sz w:val="21"/>
        </w:rPr>
        <w:t>are </w:t>
      </w:r>
      <w:r>
        <w:rPr>
          <w:w w:val="105"/>
          <w:sz w:val="21"/>
        </w:rPr>
        <w:t>in </w:t>
      </w:r>
      <w:r>
        <w:rPr>
          <w:spacing w:val="-3"/>
          <w:w w:val="105"/>
          <w:sz w:val="21"/>
        </w:rPr>
        <w:t>disagreement. Alternatively, </w:t>
      </w:r>
      <w:r>
        <w:rPr>
          <w:w w:val="105"/>
          <w:sz w:val="21"/>
        </w:rPr>
        <w:t>the affected </w:t>
      </w:r>
      <w:r>
        <w:rPr>
          <w:spacing w:val="-3"/>
          <w:w w:val="105"/>
          <w:sz w:val="21"/>
        </w:rPr>
        <w:t>neighbour </w:t>
      </w:r>
      <w:r>
        <w:rPr>
          <w:w w:val="105"/>
          <w:sz w:val="21"/>
        </w:rPr>
        <w:t>would need </w:t>
      </w:r>
      <w:r>
        <w:rPr>
          <w:spacing w:val="-3"/>
          <w:w w:val="105"/>
          <w:sz w:val="21"/>
        </w:rPr>
        <w:t>to </w:t>
      </w:r>
      <w:r>
        <w:rPr>
          <w:w w:val="105"/>
          <w:sz w:val="21"/>
        </w:rPr>
        <w:t>declare </w:t>
      </w:r>
      <w:r>
        <w:rPr>
          <w:spacing w:val="-3"/>
          <w:w w:val="105"/>
          <w:sz w:val="21"/>
        </w:rPr>
        <w:t>that </w:t>
      </w:r>
      <w:r>
        <w:rPr>
          <w:w w:val="105"/>
          <w:sz w:val="21"/>
        </w:rPr>
        <w:t>they </w:t>
      </w:r>
      <w:r>
        <w:rPr>
          <w:spacing w:val="-2"/>
          <w:w w:val="105"/>
          <w:sz w:val="21"/>
        </w:rPr>
        <w:t>had </w:t>
      </w:r>
      <w:r>
        <w:rPr>
          <w:w w:val="105"/>
          <w:sz w:val="21"/>
        </w:rPr>
        <w:t>notified the owner of the </w:t>
      </w:r>
      <w:r>
        <w:rPr>
          <w:spacing w:val="-3"/>
          <w:w w:val="105"/>
          <w:sz w:val="21"/>
        </w:rPr>
        <w:t>application. </w:t>
      </w:r>
      <w:r>
        <w:rPr>
          <w:w w:val="105"/>
          <w:sz w:val="21"/>
        </w:rPr>
        <w:t>There is no need </w:t>
      </w:r>
      <w:r>
        <w:rPr>
          <w:spacing w:val="-3"/>
          <w:w w:val="105"/>
          <w:sz w:val="21"/>
        </w:rPr>
        <w:t>for </w:t>
      </w:r>
      <w:r>
        <w:rPr>
          <w:w w:val="105"/>
          <w:sz w:val="21"/>
        </w:rPr>
        <w:t>the owner of the </w:t>
      </w:r>
      <w:r>
        <w:rPr>
          <w:spacing w:val="-3"/>
          <w:w w:val="105"/>
          <w:sz w:val="21"/>
        </w:rPr>
        <w:t>land to consent to </w:t>
      </w:r>
      <w:r>
        <w:rPr>
          <w:w w:val="105"/>
          <w:sz w:val="21"/>
        </w:rPr>
        <w:t>the application being</w:t>
      </w:r>
      <w:r>
        <w:rPr>
          <w:spacing w:val="46"/>
          <w:w w:val="105"/>
          <w:sz w:val="21"/>
        </w:rPr>
        <w:t> </w:t>
      </w:r>
      <w:r>
        <w:rPr>
          <w:w w:val="105"/>
          <w:sz w:val="21"/>
        </w:rPr>
        <w:t>made.</w:t>
      </w:r>
      <w:r>
        <w:rPr>
          <w:w w:val="105"/>
          <w:position w:val="7"/>
          <w:sz w:val="12"/>
        </w:rPr>
        <w:t>286</w:t>
      </w:r>
    </w:p>
    <w:p>
      <w:pPr>
        <w:pStyle w:val="BodyText"/>
        <w:rPr>
          <w:sz w:val="20"/>
        </w:rPr>
      </w:pPr>
    </w:p>
    <w:p>
      <w:pPr>
        <w:pStyle w:val="BodyText"/>
        <w:spacing w:before="1"/>
        <w:rPr>
          <w:sz w:val="14"/>
        </w:rPr>
      </w:pPr>
      <w:r>
        <w:rPr/>
        <w:pict>
          <v:line style="position:absolute;mso-position-horizontal-relative:page;mso-position-vertical-relative:paragraph;z-index:10016;mso-wrap-distance-left:0;mso-wrap-distance-right:0" from="79.370102pt,11.071903pt" to="515.905102pt,11.07190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spacing w:before="7"/>
      </w:pPr>
    </w:p>
    <w:p>
      <w:pPr>
        <w:spacing w:before="0"/>
        <w:ind w:left="720" w:right="0" w:firstLine="0"/>
        <w:jc w:val="left"/>
        <w:rPr>
          <w:b/>
          <w:sz w:val="24"/>
        </w:rPr>
      </w:pPr>
      <w:r>
        <w:rPr>
          <w:b/>
          <w:color w:val="658464"/>
          <w:w w:val="110"/>
          <w:sz w:val="24"/>
        </w:rPr>
        <w:t>244</w:t>
      </w:r>
    </w:p>
    <w:p>
      <w:pPr>
        <w:pStyle w:val="ListParagraph"/>
        <w:numPr>
          <w:ilvl w:val="0"/>
          <w:numId w:val="178"/>
        </w:numPr>
        <w:tabs>
          <w:tab w:pos="1212" w:val="left" w:leader="none"/>
          <w:tab w:pos="1213" w:val="left" w:leader="none"/>
        </w:tabs>
        <w:spacing w:line="240" w:lineRule="auto" w:before="48" w:after="0"/>
        <w:ind w:left="1212" w:right="0" w:hanging="793"/>
        <w:jc w:val="left"/>
        <w:rPr>
          <w:sz w:val="13"/>
        </w:rPr>
      </w:pPr>
      <w:r>
        <w:rPr>
          <w:spacing w:val="-7"/>
          <w:w w:val="102"/>
          <w:sz w:val="13"/>
        </w:rPr>
        <w:br w:type="column"/>
      </w:r>
      <w:r>
        <w:rPr>
          <w:w w:val="105"/>
          <w:sz w:val="13"/>
        </w:rPr>
        <w:t>Tasmania, </w:t>
      </w:r>
      <w:r>
        <w:rPr>
          <w:i/>
          <w:w w:val="105"/>
          <w:sz w:val="13"/>
        </w:rPr>
        <w:t>Parliamentary Debates, House of Assembly, </w:t>
      </w:r>
      <w:r>
        <w:rPr>
          <w:w w:val="105"/>
          <w:sz w:val="13"/>
        </w:rPr>
        <w:t>4 April </w:t>
      </w:r>
      <w:r>
        <w:rPr>
          <w:spacing w:val="-5"/>
          <w:w w:val="105"/>
          <w:sz w:val="13"/>
        </w:rPr>
        <w:t>2017, </w:t>
      </w:r>
      <w:r>
        <w:rPr>
          <w:w w:val="105"/>
          <w:sz w:val="13"/>
        </w:rPr>
        <w:t>6 </w:t>
      </w:r>
      <w:r>
        <w:rPr>
          <w:spacing w:val="2"/>
          <w:w w:val="105"/>
          <w:sz w:val="13"/>
        </w:rPr>
        <w:t>(Rene</w:t>
      </w:r>
      <w:r>
        <w:rPr>
          <w:spacing w:val="32"/>
          <w:w w:val="105"/>
          <w:sz w:val="13"/>
        </w:rPr>
        <w:t> </w:t>
      </w:r>
      <w:r>
        <w:rPr>
          <w:w w:val="105"/>
          <w:sz w:val="13"/>
        </w:rPr>
        <w:t>Hidding).</w:t>
      </w:r>
    </w:p>
    <w:p>
      <w:pPr>
        <w:pStyle w:val="ListParagraph"/>
        <w:numPr>
          <w:ilvl w:val="0"/>
          <w:numId w:val="178"/>
        </w:numPr>
        <w:tabs>
          <w:tab w:pos="1212" w:val="left" w:leader="none"/>
          <w:tab w:pos="1213" w:val="left" w:leader="none"/>
        </w:tabs>
        <w:spacing w:line="240" w:lineRule="auto" w:before="1" w:after="0"/>
        <w:ind w:left="1212" w:right="0" w:hanging="793"/>
        <w:jc w:val="left"/>
        <w:rPr>
          <w:sz w:val="13"/>
        </w:rPr>
      </w:pPr>
      <w:r>
        <w:rPr>
          <w:i/>
          <w:w w:val="105"/>
          <w:sz w:val="13"/>
        </w:rPr>
        <w:t>Planning and Environment Act 1987 </w:t>
      </w:r>
      <w:r>
        <w:rPr>
          <w:spacing w:val="2"/>
          <w:w w:val="105"/>
          <w:sz w:val="13"/>
        </w:rPr>
        <w:t>(Vic) </w:t>
      </w:r>
      <w:r>
        <w:rPr>
          <w:w w:val="105"/>
          <w:sz w:val="13"/>
        </w:rPr>
        <w:t>s</w:t>
      </w:r>
      <w:r>
        <w:rPr>
          <w:spacing w:val="30"/>
          <w:w w:val="105"/>
          <w:sz w:val="13"/>
        </w:rPr>
        <w:t> </w:t>
      </w:r>
      <w:r>
        <w:rPr>
          <w:spacing w:val="2"/>
          <w:w w:val="105"/>
          <w:sz w:val="13"/>
        </w:rPr>
        <w:t>48(1).</w:t>
      </w:r>
    </w:p>
    <w:p>
      <w:pPr>
        <w:pStyle w:val="ListParagraph"/>
        <w:numPr>
          <w:ilvl w:val="0"/>
          <w:numId w:val="178"/>
        </w:numPr>
        <w:tabs>
          <w:tab w:pos="1212" w:val="left" w:leader="none"/>
          <w:tab w:pos="1213" w:val="left" w:leader="none"/>
        </w:tabs>
        <w:spacing w:line="240" w:lineRule="auto" w:before="2" w:after="0"/>
        <w:ind w:left="1212" w:right="0" w:hanging="793"/>
        <w:jc w:val="left"/>
        <w:rPr>
          <w:sz w:val="13"/>
        </w:rPr>
      </w:pPr>
      <w:r>
        <w:rPr>
          <w:sz w:val="13"/>
        </w:rPr>
        <w:t>Ibid</w:t>
      </w:r>
      <w:r>
        <w:rPr>
          <w:spacing w:val="10"/>
          <w:sz w:val="13"/>
        </w:rPr>
        <w:t> </w:t>
      </w:r>
      <w:r>
        <w:rPr>
          <w:sz w:val="13"/>
        </w:rPr>
        <w:t>s</w:t>
      </w:r>
      <w:r>
        <w:rPr>
          <w:spacing w:val="10"/>
          <w:sz w:val="13"/>
        </w:rPr>
        <w:t> </w:t>
      </w:r>
      <w:r>
        <w:rPr>
          <w:spacing w:val="3"/>
          <w:sz w:val="13"/>
        </w:rPr>
        <w:t>48;</w:t>
      </w:r>
      <w:r>
        <w:rPr>
          <w:spacing w:val="10"/>
          <w:sz w:val="13"/>
        </w:rPr>
        <w:t> </w:t>
      </w:r>
      <w:r>
        <w:rPr>
          <w:sz w:val="13"/>
        </w:rPr>
        <w:t>see</w:t>
      </w:r>
      <w:r>
        <w:rPr>
          <w:spacing w:val="10"/>
          <w:sz w:val="13"/>
        </w:rPr>
        <w:t> </w:t>
      </w:r>
      <w:r>
        <w:rPr>
          <w:sz w:val="13"/>
        </w:rPr>
        <w:t>also</w:t>
      </w:r>
      <w:r>
        <w:rPr>
          <w:spacing w:val="10"/>
          <w:sz w:val="13"/>
        </w:rPr>
        <w:t> </w:t>
      </w:r>
      <w:r>
        <w:rPr>
          <w:sz w:val="13"/>
        </w:rPr>
        <w:t>Stephen</w:t>
      </w:r>
      <w:r>
        <w:rPr>
          <w:spacing w:val="11"/>
          <w:sz w:val="13"/>
        </w:rPr>
        <w:t> </w:t>
      </w:r>
      <w:r>
        <w:rPr>
          <w:sz w:val="13"/>
        </w:rPr>
        <w:t>Rowley,</w:t>
      </w:r>
      <w:r>
        <w:rPr>
          <w:spacing w:val="10"/>
          <w:sz w:val="13"/>
        </w:rPr>
        <w:t> </w:t>
      </w:r>
      <w:r>
        <w:rPr>
          <w:i/>
          <w:sz w:val="13"/>
        </w:rPr>
        <w:t>The</w:t>
      </w:r>
      <w:r>
        <w:rPr>
          <w:i/>
          <w:spacing w:val="10"/>
          <w:sz w:val="13"/>
        </w:rPr>
        <w:t> </w:t>
      </w:r>
      <w:r>
        <w:rPr>
          <w:i/>
          <w:sz w:val="13"/>
        </w:rPr>
        <w:t>Victorian</w:t>
      </w:r>
      <w:r>
        <w:rPr>
          <w:i/>
          <w:spacing w:val="10"/>
          <w:sz w:val="13"/>
        </w:rPr>
        <w:t> </w:t>
      </w:r>
      <w:r>
        <w:rPr>
          <w:i/>
          <w:sz w:val="13"/>
        </w:rPr>
        <w:t>Planning</w:t>
      </w:r>
      <w:r>
        <w:rPr>
          <w:i/>
          <w:spacing w:val="10"/>
          <w:sz w:val="13"/>
        </w:rPr>
        <w:t> </w:t>
      </w:r>
      <w:r>
        <w:rPr>
          <w:i/>
          <w:sz w:val="13"/>
        </w:rPr>
        <w:t>System:</w:t>
      </w:r>
      <w:r>
        <w:rPr>
          <w:i/>
          <w:spacing w:val="11"/>
          <w:sz w:val="13"/>
        </w:rPr>
        <w:t> </w:t>
      </w:r>
      <w:r>
        <w:rPr>
          <w:i/>
          <w:sz w:val="13"/>
        </w:rPr>
        <w:t>Practice,</w:t>
      </w:r>
      <w:r>
        <w:rPr>
          <w:i/>
          <w:spacing w:val="10"/>
          <w:sz w:val="13"/>
        </w:rPr>
        <w:t> </w:t>
      </w:r>
      <w:r>
        <w:rPr>
          <w:i/>
          <w:sz w:val="13"/>
        </w:rPr>
        <w:t>Problems</w:t>
      </w:r>
      <w:r>
        <w:rPr>
          <w:i/>
          <w:spacing w:val="10"/>
          <w:sz w:val="13"/>
        </w:rPr>
        <w:t> </w:t>
      </w:r>
      <w:r>
        <w:rPr>
          <w:i/>
          <w:sz w:val="13"/>
        </w:rPr>
        <w:t>and</w:t>
      </w:r>
      <w:r>
        <w:rPr>
          <w:i/>
          <w:spacing w:val="10"/>
          <w:sz w:val="13"/>
        </w:rPr>
        <w:t> </w:t>
      </w:r>
      <w:r>
        <w:rPr>
          <w:i/>
          <w:sz w:val="13"/>
        </w:rPr>
        <w:t>Prospects</w:t>
      </w:r>
      <w:r>
        <w:rPr>
          <w:i/>
          <w:spacing w:val="10"/>
          <w:sz w:val="13"/>
        </w:rPr>
        <w:t> </w:t>
      </w:r>
      <w:r>
        <w:rPr>
          <w:spacing w:val="2"/>
          <w:sz w:val="13"/>
        </w:rPr>
        <w:t>(The</w:t>
      </w:r>
      <w:r>
        <w:rPr>
          <w:spacing w:val="10"/>
          <w:sz w:val="13"/>
        </w:rPr>
        <w:t> </w:t>
      </w:r>
      <w:r>
        <w:rPr>
          <w:sz w:val="13"/>
        </w:rPr>
        <w:t>Federation</w:t>
      </w:r>
      <w:r>
        <w:rPr>
          <w:spacing w:val="11"/>
          <w:sz w:val="13"/>
        </w:rPr>
        <w:t> </w:t>
      </w:r>
      <w:r>
        <w:rPr>
          <w:sz w:val="13"/>
        </w:rPr>
        <w:t>Press,</w:t>
      </w:r>
      <w:r>
        <w:rPr>
          <w:spacing w:val="10"/>
          <w:sz w:val="13"/>
        </w:rPr>
        <w:t> </w:t>
      </w:r>
      <w:r>
        <w:rPr>
          <w:sz w:val="13"/>
        </w:rPr>
        <w:t>2017)</w:t>
      </w:r>
      <w:r>
        <w:rPr>
          <w:spacing w:val="10"/>
          <w:sz w:val="13"/>
        </w:rPr>
        <w:t> </w:t>
      </w:r>
      <w:r>
        <w:rPr>
          <w:sz w:val="13"/>
        </w:rPr>
        <w:t>45.</w:t>
      </w:r>
    </w:p>
    <w:p>
      <w:pPr>
        <w:spacing w:after="0" w:line="240" w:lineRule="auto"/>
        <w:jc w:val="left"/>
        <w:rPr>
          <w:sz w:val="13"/>
        </w:rPr>
        <w:sectPr>
          <w:type w:val="continuous"/>
          <w:pgSz w:w="11910" w:h="16840"/>
          <w:pgMar w:top="300" w:bottom="280" w:left="0" w:right="0"/>
          <w:cols w:num="2" w:equalWidth="0">
            <w:col w:w="1129" w:space="40"/>
            <w:col w:w="10741"/>
          </w:cols>
        </w:sectPr>
      </w:pPr>
    </w:p>
    <w:p>
      <w:pPr>
        <w:pStyle w:val="BodyText"/>
        <w:rPr>
          <w:sz w:val="20"/>
        </w:rPr>
      </w:pPr>
    </w:p>
    <w:p>
      <w:pPr>
        <w:pStyle w:val="BodyText"/>
        <w:spacing w:before="9"/>
        <w:rPr>
          <w:sz w:val="18"/>
        </w:rPr>
      </w:pPr>
    </w:p>
    <w:p>
      <w:pPr>
        <w:pStyle w:val="ListParagraph"/>
        <w:numPr>
          <w:ilvl w:val="0"/>
          <w:numId w:val="173"/>
        </w:numPr>
        <w:tabs>
          <w:tab w:pos="2381" w:val="left" w:leader="none"/>
          <w:tab w:pos="2382" w:val="left" w:leader="none"/>
        </w:tabs>
        <w:spacing w:line="242" w:lineRule="auto" w:before="91" w:after="0"/>
        <w:ind w:left="2381" w:right="1607" w:hanging="794"/>
        <w:jc w:val="left"/>
        <w:rPr>
          <w:sz w:val="21"/>
        </w:rPr>
      </w:pPr>
      <w:bookmarkStart w:name="_bookmark133" w:id="287"/>
      <w:bookmarkEnd w:id="287"/>
      <w:r>
        <w:rPr/>
      </w:r>
      <w:bookmarkStart w:name="_bookmark133" w:id="288"/>
      <w:bookmarkEnd w:id="288"/>
      <w:r>
        <w:rPr>
          <w:w w:val="105"/>
          <w:sz w:val="21"/>
        </w:rPr>
        <w:t>T</w:t>
      </w:r>
      <w:r>
        <w:rPr>
          <w:w w:val="105"/>
          <w:sz w:val="21"/>
        </w:rPr>
        <w:t>he question arises as </w:t>
      </w:r>
      <w:r>
        <w:rPr>
          <w:spacing w:val="-3"/>
          <w:w w:val="105"/>
          <w:sz w:val="21"/>
        </w:rPr>
        <w:t>to </w:t>
      </w:r>
      <w:r>
        <w:rPr>
          <w:w w:val="105"/>
          <w:sz w:val="21"/>
        </w:rPr>
        <w:t>who would bear the costs of the </w:t>
      </w:r>
      <w:r>
        <w:rPr>
          <w:spacing w:val="-3"/>
          <w:w w:val="105"/>
          <w:sz w:val="21"/>
        </w:rPr>
        <w:t>planning </w:t>
      </w:r>
      <w:r>
        <w:rPr>
          <w:w w:val="105"/>
          <w:sz w:val="21"/>
        </w:rPr>
        <w:t>application and the works </w:t>
      </w:r>
      <w:r>
        <w:rPr>
          <w:spacing w:val="-3"/>
          <w:w w:val="105"/>
          <w:sz w:val="21"/>
        </w:rPr>
        <w:t>to </w:t>
      </w:r>
      <w:r>
        <w:rPr>
          <w:w w:val="105"/>
          <w:sz w:val="21"/>
        </w:rPr>
        <w:t>the </w:t>
      </w:r>
      <w:r>
        <w:rPr>
          <w:spacing w:val="-3"/>
          <w:w w:val="105"/>
          <w:sz w:val="21"/>
        </w:rPr>
        <w:t>tree. </w:t>
      </w:r>
      <w:r>
        <w:rPr>
          <w:w w:val="105"/>
          <w:sz w:val="21"/>
        </w:rPr>
        <w:t>It would be </w:t>
      </w:r>
      <w:r>
        <w:rPr>
          <w:spacing w:val="-4"/>
          <w:w w:val="105"/>
          <w:sz w:val="21"/>
        </w:rPr>
        <w:t>unfair </w:t>
      </w:r>
      <w:r>
        <w:rPr>
          <w:spacing w:val="-3"/>
          <w:w w:val="105"/>
          <w:sz w:val="21"/>
        </w:rPr>
        <w:t>to place all </w:t>
      </w:r>
      <w:r>
        <w:rPr>
          <w:w w:val="105"/>
          <w:sz w:val="21"/>
        </w:rPr>
        <w:t>of this burden on the affected</w:t>
      </w:r>
      <w:r>
        <w:rPr>
          <w:spacing w:val="-14"/>
          <w:w w:val="105"/>
          <w:sz w:val="21"/>
        </w:rPr>
        <w:t> </w:t>
      </w:r>
      <w:r>
        <w:rPr>
          <w:spacing w:val="-4"/>
          <w:w w:val="105"/>
          <w:sz w:val="21"/>
        </w:rPr>
        <w:t>neighbour.</w:t>
      </w:r>
    </w:p>
    <w:p>
      <w:pPr>
        <w:pStyle w:val="ListParagraph"/>
        <w:numPr>
          <w:ilvl w:val="0"/>
          <w:numId w:val="173"/>
        </w:numPr>
        <w:tabs>
          <w:tab w:pos="2381" w:val="left" w:leader="none"/>
          <w:tab w:pos="2382" w:val="left" w:leader="none"/>
        </w:tabs>
        <w:spacing w:line="242" w:lineRule="auto" w:before="123" w:after="0"/>
        <w:ind w:left="2381" w:right="1628" w:hanging="794"/>
        <w:jc w:val="left"/>
        <w:rPr>
          <w:sz w:val="21"/>
        </w:rPr>
      </w:pPr>
      <w:r>
        <w:rPr>
          <w:spacing w:val="-4"/>
          <w:sz w:val="21"/>
        </w:rPr>
        <w:t>Further, </w:t>
      </w:r>
      <w:r>
        <w:rPr>
          <w:sz w:val="21"/>
        </w:rPr>
        <w:t>if the </w:t>
      </w:r>
      <w:r>
        <w:rPr>
          <w:spacing w:val="-3"/>
          <w:sz w:val="21"/>
        </w:rPr>
        <w:t>council </w:t>
      </w:r>
      <w:r>
        <w:rPr>
          <w:sz w:val="21"/>
        </w:rPr>
        <w:t>decided </w:t>
      </w:r>
      <w:r>
        <w:rPr>
          <w:spacing w:val="-2"/>
          <w:sz w:val="21"/>
        </w:rPr>
        <w:t>not </w:t>
      </w:r>
      <w:r>
        <w:rPr>
          <w:spacing w:val="-3"/>
          <w:sz w:val="21"/>
        </w:rPr>
        <w:t>to grant </w:t>
      </w:r>
      <w:r>
        <w:rPr>
          <w:sz w:val="21"/>
        </w:rPr>
        <w:t>a permit </w:t>
      </w:r>
      <w:r>
        <w:rPr>
          <w:spacing w:val="-3"/>
          <w:sz w:val="21"/>
        </w:rPr>
        <w:t>to </w:t>
      </w:r>
      <w:r>
        <w:rPr>
          <w:sz w:val="21"/>
        </w:rPr>
        <w:t>the affected </w:t>
      </w:r>
      <w:r>
        <w:rPr>
          <w:spacing w:val="-3"/>
          <w:sz w:val="21"/>
        </w:rPr>
        <w:t>neighbour to interfere </w:t>
      </w:r>
      <w:r>
        <w:rPr>
          <w:sz w:val="21"/>
        </w:rPr>
        <w:t>with a protected </w:t>
      </w:r>
      <w:r>
        <w:rPr>
          <w:spacing w:val="-3"/>
          <w:sz w:val="21"/>
        </w:rPr>
        <w:t>tree, </w:t>
      </w:r>
      <w:r>
        <w:rPr>
          <w:sz w:val="21"/>
        </w:rPr>
        <w:t>this decision would be </w:t>
      </w:r>
      <w:r>
        <w:rPr>
          <w:spacing w:val="-3"/>
          <w:sz w:val="21"/>
        </w:rPr>
        <w:t>reviewable </w:t>
      </w:r>
      <w:r>
        <w:rPr>
          <w:sz w:val="21"/>
        </w:rPr>
        <w:t>by </w:t>
      </w:r>
      <w:r>
        <w:rPr>
          <w:spacing w:val="-5"/>
          <w:sz w:val="21"/>
        </w:rPr>
        <w:t>VCAT </w:t>
      </w:r>
      <w:r>
        <w:rPr>
          <w:spacing w:val="-3"/>
          <w:sz w:val="21"/>
        </w:rPr>
        <w:t>pursuant  to  </w:t>
      </w:r>
      <w:r>
        <w:rPr>
          <w:sz w:val="21"/>
        </w:rPr>
        <w:t>the  </w:t>
      </w:r>
      <w:r>
        <w:rPr>
          <w:spacing w:val="4"/>
          <w:sz w:val="21"/>
        </w:rPr>
        <w:t>P&amp;E </w:t>
      </w:r>
      <w:r>
        <w:rPr>
          <w:sz w:val="21"/>
        </w:rPr>
        <w:t>Act.</w:t>
      </w:r>
      <w:r>
        <w:rPr>
          <w:position w:val="7"/>
          <w:sz w:val="12"/>
        </w:rPr>
        <w:t>287 </w:t>
      </w:r>
      <w:r>
        <w:rPr>
          <w:spacing w:val="-3"/>
          <w:sz w:val="21"/>
        </w:rPr>
        <w:t>Alternatively, </w:t>
      </w:r>
      <w:r>
        <w:rPr>
          <w:sz w:val="21"/>
        </w:rPr>
        <w:t>if </w:t>
      </w:r>
      <w:r>
        <w:rPr>
          <w:spacing w:val="-3"/>
          <w:sz w:val="21"/>
        </w:rPr>
        <w:t>council </w:t>
      </w:r>
      <w:r>
        <w:rPr>
          <w:sz w:val="21"/>
        </w:rPr>
        <w:t>decided </w:t>
      </w:r>
      <w:r>
        <w:rPr>
          <w:spacing w:val="-3"/>
          <w:sz w:val="21"/>
        </w:rPr>
        <w:t>to grant </w:t>
      </w:r>
      <w:r>
        <w:rPr>
          <w:sz w:val="21"/>
        </w:rPr>
        <w:t>the permit, the owner of  </w:t>
      </w:r>
      <w:r>
        <w:rPr>
          <w:spacing w:val="-3"/>
          <w:sz w:val="21"/>
        </w:rPr>
        <w:t>land  may  </w:t>
      </w:r>
      <w:r>
        <w:rPr>
          <w:sz w:val="21"/>
        </w:rPr>
        <w:t>be entitled </w:t>
      </w:r>
      <w:r>
        <w:rPr>
          <w:spacing w:val="-3"/>
          <w:sz w:val="21"/>
        </w:rPr>
        <w:t>to </w:t>
      </w:r>
      <w:r>
        <w:rPr>
          <w:sz w:val="21"/>
        </w:rPr>
        <w:t>object </w:t>
      </w:r>
      <w:r>
        <w:rPr>
          <w:spacing w:val="-3"/>
          <w:sz w:val="21"/>
        </w:rPr>
        <w:t>to </w:t>
      </w:r>
      <w:r>
        <w:rPr>
          <w:sz w:val="21"/>
        </w:rPr>
        <w:t>the </w:t>
      </w:r>
      <w:r>
        <w:rPr>
          <w:spacing w:val="-3"/>
          <w:sz w:val="21"/>
        </w:rPr>
        <w:t>grant </w:t>
      </w:r>
      <w:r>
        <w:rPr>
          <w:sz w:val="21"/>
        </w:rPr>
        <w:t>of permit and possibly seek review  of  the  decision  in </w:t>
      </w:r>
      <w:r>
        <w:rPr>
          <w:spacing w:val="-4"/>
          <w:sz w:val="21"/>
        </w:rPr>
        <w:t>VCAT.</w:t>
      </w:r>
      <w:r>
        <w:rPr>
          <w:spacing w:val="-4"/>
          <w:position w:val="7"/>
          <w:sz w:val="12"/>
        </w:rPr>
        <w:t>288   </w:t>
      </w:r>
      <w:r>
        <w:rPr>
          <w:sz w:val="21"/>
        </w:rPr>
        <w:t>The tree </w:t>
      </w:r>
      <w:r>
        <w:rPr>
          <w:spacing w:val="-3"/>
          <w:sz w:val="21"/>
        </w:rPr>
        <w:t>dispute  could  potentially  </w:t>
      </w:r>
      <w:r>
        <w:rPr>
          <w:sz w:val="21"/>
        </w:rPr>
        <w:t>be the subject of </w:t>
      </w:r>
      <w:r>
        <w:rPr>
          <w:spacing w:val="-3"/>
          <w:sz w:val="21"/>
        </w:rPr>
        <w:t>multiple</w:t>
      </w:r>
      <w:r>
        <w:rPr>
          <w:spacing w:val="41"/>
          <w:sz w:val="21"/>
        </w:rPr>
        <w:t> </w:t>
      </w:r>
      <w:r>
        <w:rPr>
          <w:spacing w:val="-5"/>
          <w:sz w:val="21"/>
        </w:rPr>
        <w:t>VCAT  </w:t>
      </w:r>
      <w:r>
        <w:rPr>
          <w:spacing w:val="-3"/>
          <w:sz w:val="21"/>
        </w:rPr>
        <w:t>applications  </w:t>
      </w:r>
      <w:r>
        <w:rPr>
          <w:sz w:val="21"/>
        </w:rPr>
        <w:t>if   a new Act is</w:t>
      </w:r>
      <w:r>
        <w:rPr>
          <w:spacing w:val="35"/>
          <w:sz w:val="21"/>
        </w:rPr>
        <w:t> </w:t>
      </w:r>
      <w:r>
        <w:rPr>
          <w:spacing w:val="-3"/>
          <w:sz w:val="21"/>
        </w:rPr>
        <w:t>implemented.</w:t>
      </w:r>
    </w:p>
    <w:p>
      <w:pPr>
        <w:pStyle w:val="ListParagraph"/>
        <w:numPr>
          <w:ilvl w:val="0"/>
          <w:numId w:val="173"/>
        </w:numPr>
        <w:tabs>
          <w:tab w:pos="2438" w:val="left" w:leader="none"/>
          <w:tab w:pos="2439" w:val="left" w:leader="none"/>
        </w:tabs>
        <w:spacing w:line="242" w:lineRule="auto" w:before="126" w:after="0"/>
        <w:ind w:left="2380" w:right="1766" w:hanging="793"/>
        <w:jc w:val="left"/>
        <w:rPr>
          <w:sz w:val="21"/>
        </w:rPr>
      </w:pPr>
      <w:r>
        <w:rPr/>
        <w:tab/>
      </w:r>
      <w:r>
        <w:rPr>
          <w:spacing w:val="-3"/>
          <w:w w:val="105"/>
          <w:sz w:val="21"/>
        </w:rPr>
        <w:t>Requiring</w:t>
      </w:r>
      <w:r>
        <w:rPr>
          <w:spacing w:val="-9"/>
          <w:w w:val="105"/>
          <w:sz w:val="21"/>
        </w:rPr>
        <w:t> </w:t>
      </w:r>
      <w:r>
        <w:rPr>
          <w:w w:val="105"/>
          <w:sz w:val="21"/>
        </w:rPr>
        <w:t>affected</w:t>
      </w:r>
      <w:r>
        <w:rPr>
          <w:spacing w:val="-9"/>
          <w:w w:val="105"/>
          <w:sz w:val="21"/>
        </w:rPr>
        <w:t> </w:t>
      </w:r>
      <w:r>
        <w:rPr>
          <w:w w:val="105"/>
          <w:sz w:val="21"/>
        </w:rPr>
        <w:t>neighbours</w:t>
      </w:r>
      <w:r>
        <w:rPr>
          <w:spacing w:val="-8"/>
          <w:w w:val="105"/>
          <w:sz w:val="21"/>
        </w:rPr>
        <w:t> </w:t>
      </w:r>
      <w:r>
        <w:rPr>
          <w:spacing w:val="-3"/>
          <w:w w:val="105"/>
          <w:sz w:val="21"/>
        </w:rPr>
        <w:t>to</w:t>
      </w:r>
      <w:r>
        <w:rPr>
          <w:spacing w:val="-9"/>
          <w:w w:val="105"/>
          <w:sz w:val="21"/>
        </w:rPr>
        <w:t> </w:t>
      </w:r>
      <w:r>
        <w:rPr>
          <w:w w:val="105"/>
          <w:sz w:val="21"/>
        </w:rPr>
        <w:t>apply</w:t>
      </w:r>
      <w:r>
        <w:rPr>
          <w:spacing w:val="-8"/>
          <w:w w:val="105"/>
          <w:sz w:val="21"/>
        </w:rPr>
        <w:t> </w:t>
      </w:r>
      <w:r>
        <w:rPr>
          <w:spacing w:val="-3"/>
          <w:w w:val="105"/>
          <w:sz w:val="21"/>
        </w:rPr>
        <w:t>for</w:t>
      </w:r>
      <w:r>
        <w:rPr>
          <w:spacing w:val="-9"/>
          <w:w w:val="105"/>
          <w:sz w:val="21"/>
        </w:rPr>
        <w:t> </w:t>
      </w:r>
      <w:r>
        <w:rPr>
          <w:w w:val="105"/>
          <w:sz w:val="21"/>
        </w:rPr>
        <w:t>a</w:t>
      </w:r>
      <w:r>
        <w:rPr>
          <w:spacing w:val="-8"/>
          <w:w w:val="105"/>
          <w:sz w:val="21"/>
        </w:rPr>
        <w:t> </w:t>
      </w:r>
      <w:r>
        <w:rPr>
          <w:w w:val="105"/>
          <w:sz w:val="21"/>
        </w:rPr>
        <w:t>permit</w:t>
      </w:r>
      <w:r>
        <w:rPr>
          <w:spacing w:val="-9"/>
          <w:w w:val="105"/>
          <w:sz w:val="21"/>
        </w:rPr>
        <w:t> </w:t>
      </w:r>
      <w:r>
        <w:rPr>
          <w:spacing w:val="-3"/>
          <w:w w:val="105"/>
          <w:sz w:val="21"/>
        </w:rPr>
        <w:t>to</w:t>
      </w:r>
      <w:r>
        <w:rPr>
          <w:spacing w:val="-8"/>
          <w:w w:val="105"/>
          <w:sz w:val="21"/>
        </w:rPr>
        <w:t> </w:t>
      </w:r>
      <w:r>
        <w:rPr>
          <w:spacing w:val="-3"/>
          <w:w w:val="105"/>
          <w:sz w:val="21"/>
        </w:rPr>
        <w:t>interfere</w:t>
      </w:r>
      <w:r>
        <w:rPr>
          <w:spacing w:val="-9"/>
          <w:w w:val="105"/>
          <w:sz w:val="21"/>
        </w:rPr>
        <w:t> </w:t>
      </w:r>
      <w:r>
        <w:rPr>
          <w:w w:val="105"/>
          <w:sz w:val="21"/>
        </w:rPr>
        <w:t>with</w:t>
      </w:r>
      <w:r>
        <w:rPr>
          <w:spacing w:val="-8"/>
          <w:w w:val="105"/>
          <w:sz w:val="21"/>
        </w:rPr>
        <w:t> </w:t>
      </w:r>
      <w:r>
        <w:rPr>
          <w:w w:val="105"/>
          <w:sz w:val="21"/>
        </w:rPr>
        <w:t>protected</w:t>
      </w:r>
      <w:r>
        <w:rPr>
          <w:spacing w:val="-9"/>
          <w:w w:val="105"/>
          <w:sz w:val="21"/>
        </w:rPr>
        <w:t> </w:t>
      </w:r>
      <w:r>
        <w:rPr>
          <w:w w:val="105"/>
          <w:sz w:val="21"/>
        </w:rPr>
        <w:t>trees</w:t>
      </w:r>
      <w:r>
        <w:rPr>
          <w:spacing w:val="-9"/>
          <w:w w:val="105"/>
          <w:sz w:val="21"/>
        </w:rPr>
        <w:t> </w:t>
      </w:r>
      <w:r>
        <w:rPr>
          <w:w w:val="105"/>
          <w:sz w:val="21"/>
        </w:rPr>
        <w:t>on </w:t>
      </w:r>
      <w:r>
        <w:rPr>
          <w:spacing w:val="-3"/>
          <w:w w:val="105"/>
          <w:sz w:val="21"/>
        </w:rPr>
        <w:t>neighbouring land </w:t>
      </w:r>
      <w:r>
        <w:rPr>
          <w:w w:val="105"/>
          <w:sz w:val="21"/>
        </w:rPr>
        <w:t>would </w:t>
      </w:r>
      <w:r>
        <w:rPr>
          <w:spacing w:val="-3"/>
          <w:w w:val="105"/>
          <w:sz w:val="21"/>
        </w:rPr>
        <w:t>duplicate </w:t>
      </w:r>
      <w:r>
        <w:rPr>
          <w:w w:val="105"/>
          <w:sz w:val="21"/>
        </w:rPr>
        <w:t>application processes and be </w:t>
      </w:r>
      <w:r>
        <w:rPr>
          <w:spacing w:val="-3"/>
          <w:w w:val="105"/>
          <w:sz w:val="21"/>
        </w:rPr>
        <w:t>burdensome. </w:t>
      </w:r>
      <w:r>
        <w:rPr>
          <w:w w:val="105"/>
          <w:sz w:val="21"/>
        </w:rPr>
        <w:t>It would also</w:t>
      </w:r>
      <w:r>
        <w:rPr>
          <w:spacing w:val="-12"/>
          <w:w w:val="105"/>
          <w:sz w:val="21"/>
        </w:rPr>
        <w:t> </w:t>
      </w:r>
      <w:r>
        <w:rPr>
          <w:spacing w:val="-3"/>
          <w:w w:val="105"/>
          <w:sz w:val="21"/>
        </w:rPr>
        <w:t>frustrate</w:t>
      </w:r>
      <w:r>
        <w:rPr>
          <w:spacing w:val="-11"/>
          <w:w w:val="105"/>
          <w:sz w:val="21"/>
        </w:rPr>
        <w:t> </w:t>
      </w:r>
      <w:r>
        <w:rPr>
          <w:w w:val="105"/>
          <w:sz w:val="21"/>
        </w:rPr>
        <w:t>the</w:t>
      </w:r>
      <w:r>
        <w:rPr>
          <w:spacing w:val="-11"/>
          <w:w w:val="105"/>
          <w:sz w:val="21"/>
        </w:rPr>
        <w:t> </w:t>
      </w:r>
      <w:r>
        <w:rPr>
          <w:w w:val="105"/>
          <w:sz w:val="21"/>
        </w:rPr>
        <w:t>objective</w:t>
      </w:r>
      <w:r>
        <w:rPr>
          <w:spacing w:val="-11"/>
          <w:w w:val="105"/>
          <w:sz w:val="21"/>
        </w:rPr>
        <w:t> </w:t>
      </w:r>
      <w:r>
        <w:rPr>
          <w:w w:val="105"/>
          <w:sz w:val="21"/>
        </w:rPr>
        <w:t>of</w:t>
      </w:r>
      <w:r>
        <w:rPr>
          <w:spacing w:val="-11"/>
          <w:w w:val="105"/>
          <w:sz w:val="21"/>
        </w:rPr>
        <w:t> </w:t>
      </w:r>
      <w:r>
        <w:rPr>
          <w:w w:val="105"/>
          <w:sz w:val="21"/>
        </w:rPr>
        <w:t>a</w:t>
      </w:r>
      <w:r>
        <w:rPr>
          <w:spacing w:val="-11"/>
          <w:w w:val="105"/>
          <w:sz w:val="21"/>
        </w:rPr>
        <w:t> </w:t>
      </w:r>
      <w:r>
        <w:rPr>
          <w:spacing w:val="-3"/>
          <w:w w:val="105"/>
          <w:sz w:val="21"/>
        </w:rPr>
        <w:t>quick,</w:t>
      </w:r>
      <w:r>
        <w:rPr>
          <w:spacing w:val="-11"/>
          <w:w w:val="105"/>
          <w:sz w:val="21"/>
        </w:rPr>
        <w:t> </w:t>
      </w:r>
      <w:r>
        <w:rPr>
          <w:w w:val="105"/>
          <w:sz w:val="21"/>
        </w:rPr>
        <w:t>inexpensive</w:t>
      </w:r>
      <w:r>
        <w:rPr>
          <w:spacing w:val="-11"/>
          <w:w w:val="105"/>
          <w:sz w:val="21"/>
        </w:rPr>
        <w:t> </w:t>
      </w:r>
      <w:r>
        <w:rPr>
          <w:w w:val="105"/>
          <w:sz w:val="21"/>
        </w:rPr>
        <w:t>resolution</w:t>
      </w:r>
      <w:r>
        <w:rPr>
          <w:spacing w:val="-11"/>
          <w:w w:val="105"/>
          <w:sz w:val="21"/>
        </w:rPr>
        <w:t> </w:t>
      </w:r>
      <w:r>
        <w:rPr>
          <w:w w:val="105"/>
          <w:sz w:val="21"/>
        </w:rPr>
        <w:t>process</w:t>
      </w:r>
      <w:r>
        <w:rPr>
          <w:spacing w:val="-11"/>
          <w:w w:val="105"/>
          <w:sz w:val="21"/>
        </w:rPr>
        <w:t> </w:t>
      </w:r>
      <w:r>
        <w:rPr>
          <w:spacing w:val="-3"/>
          <w:w w:val="105"/>
          <w:sz w:val="21"/>
        </w:rPr>
        <w:t>for</w:t>
      </w:r>
      <w:r>
        <w:rPr>
          <w:spacing w:val="-11"/>
          <w:w w:val="105"/>
          <w:sz w:val="21"/>
        </w:rPr>
        <w:t> </w:t>
      </w:r>
      <w:r>
        <w:rPr>
          <w:w w:val="105"/>
          <w:sz w:val="21"/>
        </w:rPr>
        <w:t>trees</w:t>
      </w:r>
      <w:r>
        <w:rPr>
          <w:spacing w:val="-12"/>
          <w:w w:val="105"/>
          <w:sz w:val="21"/>
        </w:rPr>
        <w:t> </w:t>
      </w:r>
      <w:r>
        <w:rPr>
          <w:spacing w:val="-3"/>
          <w:w w:val="105"/>
          <w:sz w:val="21"/>
        </w:rPr>
        <w:t>disputes.</w:t>
      </w:r>
    </w:p>
    <w:p>
      <w:pPr>
        <w:pStyle w:val="ListParagraph"/>
        <w:numPr>
          <w:ilvl w:val="0"/>
          <w:numId w:val="173"/>
        </w:numPr>
        <w:tabs>
          <w:tab w:pos="2381" w:val="left" w:leader="none"/>
        </w:tabs>
        <w:spacing w:line="242" w:lineRule="auto" w:before="124" w:after="0"/>
        <w:ind w:left="2380" w:right="2280" w:hanging="793"/>
        <w:jc w:val="left"/>
        <w:rPr>
          <w:sz w:val="12"/>
        </w:rPr>
      </w:pPr>
      <w:r>
        <w:rPr>
          <w:spacing w:val="-3"/>
          <w:w w:val="105"/>
          <w:sz w:val="21"/>
        </w:rPr>
        <w:t>Even </w:t>
      </w:r>
      <w:r>
        <w:rPr>
          <w:w w:val="105"/>
          <w:sz w:val="21"/>
        </w:rPr>
        <w:t>if the affected </w:t>
      </w:r>
      <w:r>
        <w:rPr>
          <w:spacing w:val="-3"/>
          <w:w w:val="105"/>
          <w:sz w:val="21"/>
        </w:rPr>
        <w:t>neighbour </w:t>
      </w:r>
      <w:r>
        <w:rPr>
          <w:w w:val="105"/>
          <w:sz w:val="21"/>
        </w:rPr>
        <w:t>is able </w:t>
      </w:r>
      <w:r>
        <w:rPr>
          <w:spacing w:val="-3"/>
          <w:w w:val="105"/>
          <w:sz w:val="21"/>
        </w:rPr>
        <w:t>to </w:t>
      </w:r>
      <w:r>
        <w:rPr>
          <w:w w:val="105"/>
          <w:sz w:val="21"/>
        </w:rPr>
        <w:t>obtain a </w:t>
      </w:r>
      <w:r>
        <w:rPr>
          <w:spacing w:val="-3"/>
          <w:w w:val="105"/>
          <w:sz w:val="21"/>
        </w:rPr>
        <w:t>planning </w:t>
      </w:r>
      <w:r>
        <w:rPr>
          <w:w w:val="105"/>
          <w:sz w:val="21"/>
        </w:rPr>
        <w:t>permit </w:t>
      </w:r>
      <w:r>
        <w:rPr>
          <w:spacing w:val="-3"/>
          <w:w w:val="105"/>
          <w:sz w:val="21"/>
        </w:rPr>
        <w:t>to interfere </w:t>
      </w:r>
      <w:r>
        <w:rPr>
          <w:w w:val="105"/>
          <w:sz w:val="21"/>
        </w:rPr>
        <w:t>with the tree on </w:t>
      </w:r>
      <w:r>
        <w:rPr>
          <w:spacing w:val="-3"/>
          <w:w w:val="105"/>
          <w:sz w:val="21"/>
        </w:rPr>
        <w:t>adjoining land, </w:t>
      </w:r>
      <w:r>
        <w:rPr>
          <w:w w:val="105"/>
          <w:sz w:val="21"/>
        </w:rPr>
        <w:t>the remedies </w:t>
      </w:r>
      <w:r>
        <w:rPr>
          <w:spacing w:val="-3"/>
          <w:w w:val="105"/>
          <w:sz w:val="21"/>
        </w:rPr>
        <w:t>available </w:t>
      </w:r>
      <w:r>
        <w:rPr>
          <w:w w:val="105"/>
          <w:sz w:val="21"/>
        </w:rPr>
        <w:t>would </w:t>
      </w:r>
      <w:r>
        <w:rPr>
          <w:spacing w:val="-2"/>
          <w:w w:val="105"/>
          <w:sz w:val="21"/>
        </w:rPr>
        <w:t>not </w:t>
      </w:r>
      <w:r>
        <w:rPr>
          <w:w w:val="105"/>
          <w:sz w:val="21"/>
        </w:rPr>
        <w:t>provide </w:t>
      </w:r>
      <w:r>
        <w:rPr>
          <w:spacing w:val="-3"/>
          <w:w w:val="105"/>
          <w:sz w:val="21"/>
        </w:rPr>
        <w:t>for </w:t>
      </w:r>
      <w:r>
        <w:rPr>
          <w:w w:val="105"/>
          <w:sz w:val="21"/>
        </w:rPr>
        <w:t>ongoing </w:t>
      </w:r>
      <w:r>
        <w:rPr>
          <w:spacing w:val="-3"/>
          <w:w w:val="105"/>
          <w:sz w:val="21"/>
        </w:rPr>
        <w:t>maintenance </w:t>
      </w:r>
      <w:r>
        <w:rPr>
          <w:w w:val="105"/>
          <w:sz w:val="21"/>
        </w:rPr>
        <w:t>of the tree or compensation </w:t>
      </w:r>
      <w:r>
        <w:rPr>
          <w:spacing w:val="-3"/>
          <w:w w:val="105"/>
          <w:sz w:val="21"/>
        </w:rPr>
        <w:t>for </w:t>
      </w:r>
      <w:r>
        <w:rPr>
          <w:w w:val="105"/>
          <w:sz w:val="21"/>
        </w:rPr>
        <w:t>damage caused by the</w:t>
      </w:r>
      <w:r>
        <w:rPr>
          <w:spacing w:val="-14"/>
          <w:w w:val="105"/>
          <w:sz w:val="21"/>
        </w:rPr>
        <w:t> </w:t>
      </w:r>
      <w:r>
        <w:rPr>
          <w:w w:val="105"/>
          <w:sz w:val="21"/>
        </w:rPr>
        <w:t>tree.</w:t>
      </w:r>
      <w:r>
        <w:rPr>
          <w:w w:val="105"/>
          <w:position w:val="7"/>
          <w:sz w:val="12"/>
        </w:rPr>
        <w:t>289</w:t>
      </w:r>
    </w:p>
    <w:p>
      <w:pPr>
        <w:pStyle w:val="ListParagraph"/>
        <w:numPr>
          <w:ilvl w:val="0"/>
          <w:numId w:val="173"/>
        </w:numPr>
        <w:tabs>
          <w:tab w:pos="2380" w:val="left" w:leader="none"/>
          <w:tab w:pos="2381" w:val="left" w:leader="none"/>
        </w:tabs>
        <w:spacing w:line="240" w:lineRule="auto" w:before="123" w:after="0"/>
        <w:ind w:left="2380" w:right="0" w:hanging="793"/>
        <w:jc w:val="left"/>
        <w:rPr>
          <w:sz w:val="21"/>
        </w:rPr>
      </w:pPr>
      <w:r>
        <w:rPr>
          <w:sz w:val="21"/>
        </w:rPr>
        <w:t>It </w:t>
      </w:r>
      <w:r>
        <w:rPr>
          <w:spacing w:val="-3"/>
          <w:sz w:val="21"/>
        </w:rPr>
        <w:t>makes </w:t>
      </w:r>
      <w:r>
        <w:rPr>
          <w:sz w:val="21"/>
        </w:rPr>
        <w:t>sense </w:t>
      </w:r>
      <w:r>
        <w:rPr>
          <w:spacing w:val="-3"/>
          <w:sz w:val="21"/>
        </w:rPr>
        <w:t>to streamline </w:t>
      </w:r>
      <w:r>
        <w:rPr>
          <w:sz w:val="21"/>
        </w:rPr>
        <w:t>this</w:t>
      </w:r>
      <w:r>
        <w:rPr>
          <w:spacing w:val="11"/>
          <w:sz w:val="21"/>
        </w:rPr>
        <w:t> </w:t>
      </w:r>
      <w:r>
        <w:rPr>
          <w:sz w:val="21"/>
        </w:rPr>
        <w:t>process.</w:t>
      </w:r>
    </w:p>
    <w:p>
      <w:pPr>
        <w:pStyle w:val="BodyText"/>
        <w:spacing w:before="4"/>
        <w:rPr>
          <w:sz w:val="20"/>
        </w:rPr>
      </w:pPr>
    </w:p>
    <w:p>
      <w:pPr>
        <w:pStyle w:val="Heading5"/>
        <w:spacing w:line="244" w:lineRule="auto"/>
        <w:ind w:right="1636"/>
      </w:pPr>
      <w:r>
        <w:rPr>
          <w:w w:val="110"/>
        </w:rPr>
        <w:t>The Commission’s conclusions—a new exemption to the VPPs to cover tree disputes</w:t>
      </w:r>
    </w:p>
    <w:p>
      <w:pPr>
        <w:pStyle w:val="ListParagraph"/>
        <w:numPr>
          <w:ilvl w:val="0"/>
          <w:numId w:val="173"/>
        </w:numPr>
        <w:tabs>
          <w:tab w:pos="2382" w:val="left" w:leader="none"/>
        </w:tabs>
        <w:spacing w:line="242" w:lineRule="auto" w:before="133" w:after="0"/>
        <w:ind w:left="2381" w:right="1770" w:hanging="794"/>
        <w:jc w:val="left"/>
        <w:rPr>
          <w:sz w:val="21"/>
        </w:rPr>
      </w:pPr>
      <w:r>
        <w:rPr>
          <w:sz w:val="21"/>
        </w:rPr>
        <w:t>A more </w:t>
      </w:r>
      <w:r>
        <w:rPr>
          <w:spacing w:val="-3"/>
          <w:sz w:val="21"/>
        </w:rPr>
        <w:t>streamlined </w:t>
      </w:r>
      <w:r>
        <w:rPr>
          <w:sz w:val="21"/>
        </w:rPr>
        <w:t>approach would </w:t>
      </w:r>
      <w:r>
        <w:rPr>
          <w:spacing w:val="-3"/>
          <w:sz w:val="21"/>
        </w:rPr>
        <w:t>involve expanding </w:t>
      </w:r>
      <w:r>
        <w:rPr>
          <w:sz w:val="21"/>
        </w:rPr>
        <w:t>the </w:t>
      </w:r>
      <w:r>
        <w:rPr>
          <w:spacing w:val="-3"/>
          <w:sz w:val="21"/>
        </w:rPr>
        <w:t>exemptions </w:t>
      </w:r>
      <w:r>
        <w:rPr>
          <w:sz w:val="21"/>
        </w:rPr>
        <w:t>in the Victoria </w:t>
      </w:r>
      <w:r>
        <w:rPr>
          <w:spacing w:val="-3"/>
          <w:sz w:val="21"/>
        </w:rPr>
        <w:t>Planning Provisions </w:t>
      </w:r>
      <w:r>
        <w:rPr>
          <w:sz w:val="21"/>
        </w:rPr>
        <w:t>(VPPs) </w:t>
      </w:r>
      <w:r>
        <w:rPr>
          <w:spacing w:val="-3"/>
          <w:sz w:val="21"/>
        </w:rPr>
        <w:t>to cover </w:t>
      </w:r>
      <w:r>
        <w:rPr>
          <w:sz w:val="21"/>
        </w:rPr>
        <w:t>tree  works  ordered  by  </w:t>
      </w:r>
      <w:r>
        <w:rPr>
          <w:spacing w:val="-5"/>
          <w:sz w:val="21"/>
        </w:rPr>
        <w:t>VCAT  </w:t>
      </w:r>
      <w:r>
        <w:rPr>
          <w:sz w:val="21"/>
        </w:rPr>
        <w:t>under  the  new  Act. This exemption would apply </w:t>
      </w:r>
      <w:r>
        <w:rPr>
          <w:spacing w:val="-3"/>
          <w:sz w:val="21"/>
        </w:rPr>
        <w:t>to </w:t>
      </w:r>
      <w:r>
        <w:rPr>
          <w:sz w:val="21"/>
        </w:rPr>
        <w:t>both the </w:t>
      </w:r>
      <w:r>
        <w:rPr>
          <w:spacing w:val="-3"/>
          <w:sz w:val="21"/>
        </w:rPr>
        <w:t>regular </w:t>
      </w:r>
      <w:r>
        <w:rPr>
          <w:sz w:val="21"/>
        </w:rPr>
        <w:t>permit process and the VicSmart permit process.</w:t>
      </w:r>
    </w:p>
    <w:p>
      <w:pPr>
        <w:pStyle w:val="ListParagraph"/>
        <w:numPr>
          <w:ilvl w:val="0"/>
          <w:numId w:val="173"/>
        </w:numPr>
        <w:tabs>
          <w:tab w:pos="2381" w:val="left" w:leader="none"/>
          <w:tab w:pos="2382" w:val="left" w:leader="none"/>
        </w:tabs>
        <w:spacing w:line="242" w:lineRule="auto" w:before="124" w:after="0"/>
        <w:ind w:left="2381" w:right="1743" w:hanging="794"/>
        <w:jc w:val="left"/>
        <w:rPr>
          <w:sz w:val="21"/>
        </w:rPr>
      </w:pPr>
      <w:r>
        <w:rPr>
          <w:sz w:val="21"/>
        </w:rPr>
        <w:t>The </w:t>
      </w:r>
      <w:r>
        <w:rPr>
          <w:spacing w:val="-3"/>
          <w:sz w:val="21"/>
        </w:rPr>
        <w:t>current </w:t>
      </w:r>
      <w:r>
        <w:rPr>
          <w:sz w:val="21"/>
        </w:rPr>
        <w:t>table of </w:t>
      </w:r>
      <w:r>
        <w:rPr>
          <w:spacing w:val="-3"/>
          <w:sz w:val="21"/>
        </w:rPr>
        <w:t>exemptions </w:t>
      </w:r>
      <w:r>
        <w:rPr>
          <w:sz w:val="21"/>
        </w:rPr>
        <w:t>in the VPPs is </w:t>
      </w:r>
      <w:r>
        <w:rPr>
          <w:spacing w:val="-3"/>
          <w:sz w:val="21"/>
        </w:rPr>
        <w:t>reasonably  </w:t>
      </w:r>
      <w:r>
        <w:rPr>
          <w:sz w:val="21"/>
        </w:rPr>
        <w:t>broad  and  covers  a  wide variety of </w:t>
      </w:r>
      <w:r>
        <w:rPr>
          <w:spacing w:val="-3"/>
          <w:sz w:val="21"/>
        </w:rPr>
        <w:t>circumstances to allow  </w:t>
      </w:r>
      <w:r>
        <w:rPr>
          <w:sz w:val="21"/>
        </w:rPr>
        <w:t>the </w:t>
      </w:r>
      <w:r>
        <w:rPr>
          <w:spacing w:val="-3"/>
          <w:sz w:val="21"/>
        </w:rPr>
        <w:t>removal</w:t>
      </w:r>
      <w:r>
        <w:rPr>
          <w:spacing w:val="41"/>
          <w:sz w:val="21"/>
        </w:rPr>
        <w:t> </w:t>
      </w:r>
      <w:r>
        <w:rPr>
          <w:sz w:val="21"/>
        </w:rPr>
        <w:t>of vegetation </w:t>
      </w:r>
      <w:r>
        <w:rPr>
          <w:spacing w:val="-3"/>
          <w:sz w:val="21"/>
        </w:rPr>
        <w:t>to  </w:t>
      </w:r>
      <w:r>
        <w:rPr>
          <w:sz w:val="21"/>
        </w:rPr>
        <w:t>comply with </w:t>
      </w:r>
      <w:r>
        <w:rPr>
          <w:spacing w:val="-3"/>
          <w:sz w:val="21"/>
        </w:rPr>
        <w:t>requirements </w:t>
      </w:r>
      <w:r>
        <w:rPr>
          <w:sz w:val="21"/>
        </w:rPr>
        <w:t>in other Acts. They </w:t>
      </w:r>
      <w:r>
        <w:rPr>
          <w:spacing w:val="-3"/>
          <w:sz w:val="21"/>
        </w:rPr>
        <w:t>include, for example, </w:t>
      </w:r>
      <w:r>
        <w:rPr>
          <w:sz w:val="21"/>
        </w:rPr>
        <w:t>the </w:t>
      </w:r>
      <w:r>
        <w:rPr>
          <w:spacing w:val="-3"/>
          <w:sz w:val="21"/>
        </w:rPr>
        <w:t>removal </w:t>
      </w:r>
      <w:r>
        <w:rPr>
          <w:sz w:val="21"/>
        </w:rPr>
        <w:t>of vegetation </w:t>
      </w:r>
      <w:r>
        <w:rPr>
          <w:spacing w:val="-3"/>
          <w:sz w:val="21"/>
        </w:rPr>
        <w:t>that </w:t>
      </w:r>
      <w:r>
        <w:rPr>
          <w:sz w:val="21"/>
        </w:rPr>
        <w:t>presents an </w:t>
      </w:r>
      <w:r>
        <w:rPr>
          <w:spacing w:val="-3"/>
          <w:sz w:val="21"/>
        </w:rPr>
        <w:t>immediate </w:t>
      </w:r>
      <w:r>
        <w:rPr>
          <w:sz w:val="21"/>
        </w:rPr>
        <w:t>risk of personal injury or damage </w:t>
      </w:r>
      <w:r>
        <w:rPr>
          <w:spacing w:val="-3"/>
          <w:sz w:val="21"/>
        </w:rPr>
        <w:t>to </w:t>
      </w:r>
      <w:r>
        <w:rPr>
          <w:sz w:val="21"/>
        </w:rPr>
        <w:t>property.</w:t>
      </w:r>
      <w:r>
        <w:rPr>
          <w:position w:val="7"/>
          <w:sz w:val="12"/>
        </w:rPr>
        <w:t>290 </w:t>
      </w:r>
      <w:r>
        <w:rPr>
          <w:sz w:val="21"/>
        </w:rPr>
        <w:t>For the risk </w:t>
      </w:r>
      <w:r>
        <w:rPr>
          <w:spacing w:val="-3"/>
          <w:sz w:val="21"/>
        </w:rPr>
        <w:t>to </w:t>
      </w:r>
      <w:r>
        <w:rPr>
          <w:sz w:val="21"/>
        </w:rPr>
        <w:t>be </w:t>
      </w:r>
      <w:r>
        <w:rPr>
          <w:spacing w:val="-3"/>
          <w:sz w:val="21"/>
        </w:rPr>
        <w:t>considered immediate,  </w:t>
      </w:r>
      <w:r>
        <w:rPr>
          <w:sz w:val="21"/>
        </w:rPr>
        <w:t>the only option </w:t>
      </w:r>
      <w:r>
        <w:rPr>
          <w:spacing w:val="-3"/>
          <w:sz w:val="21"/>
        </w:rPr>
        <w:t>to</w:t>
      </w:r>
      <w:r>
        <w:rPr>
          <w:spacing w:val="41"/>
          <w:sz w:val="21"/>
        </w:rPr>
        <w:t> </w:t>
      </w:r>
      <w:r>
        <w:rPr>
          <w:spacing w:val="-3"/>
          <w:sz w:val="21"/>
        </w:rPr>
        <w:t>manage  </w:t>
      </w:r>
      <w:r>
        <w:rPr>
          <w:sz w:val="21"/>
        </w:rPr>
        <w:t>the risk must be </w:t>
      </w:r>
      <w:r>
        <w:rPr>
          <w:spacing w:val="-3"/>
          <w:sz w:val="21"/>
        </w:rPr>
        <w:t>to  remove  </w:t>
      </w:r>
      <w:r>
        <w:rPr>
          <w:sz w:val="21"/>
        </w:rPr>
        <w:t>the vegetation </w:t>
      </w:r>
      <w:r>
        <w:rPr>
          <w:spacing w:val="-3"/>
          <w:sz w:val="21"/>
        </w:rPr>
        <w:t>within  </w:t>
      </w:r>
      <w:r>
        <w:rPr>
          <w:sz w:val="21"/>
        </w:rPr>
        <w:t>a shorter </w:t>
      </w:r>
      <w:r>
        <w:rPr>
          <w:spacing w:val="-3"/>
          <w:sz w:val="21"/>
        </w:rPr>
        <w:t>timeframe than </w:t>
      </w:r>
      <w:r>
        <w:rPr>
          <w:sz w:val="21"/>
        </w:rPr>
        <w:t>it would </w:t>
      </w:r>
      <w:r>
        <w:rPr>
          <w:spacing w:val="-3"/>
          <w:sz w:val="21"/>
        </w:rPr>
        <w:t>take to </w:t>
      </w:r>
      <w:r>
        <w:rPr>
          <w:sz w:val="21"/>
        </w:rPr>
        <w:t>apply </w:t>
      </w:r>
      <w:r>
        <w:rPr>
          <w:spacing w:val="-3"/>
          <w:sz w:val="21"/>
        </w:rPr>
        <w:t>for </w:t>
      </w:r>
      <w:r>
        <w:rPr>
          <w:sz w:val="21"/>
        </w:rPr>
        <w:t>and be issued with a permit </w:t>
      </w:r>
      <w:r>
        <w:rPr>
          <w:spacing w:val="-3"/>
          <w:sz w:val="21"/>
        </w:rPr>
        <w:t>for</w:t>
      </w:r>
      <w:r>
        <w:rPr>
          <w:spacing w:val="40"/>
          <w:sz w:val="21"/>
        </w:rPr>
        <w:t> </w:t>
      </w:r>
      <w:r>
        <w:rPr>
          <w:sz w:val="21"/>
        </w:rPr>
        <w:t>its</w:t>
      </w:r>
    </w:p>
    <w:p>
      <w:pPr>
        <w:pStyle w:val="BodyText"/>
        <w:spacing w:line="242" w:lineRule="auto" w:before="7"/>
        <w:ind w:left="2381" w:right="1558"/>
        <w:rPr>
          <w:sz w:val="12"/>
        </w:rPr>
      </w:pPr>
      <w:r>
        <w:rPr>
          <w:spacing w:val="-3"/>
          <w:w w:val="105"/>
        </w:rPr>
        <w:t>removal.</w:t>
      </w:r>
      <w:r>
        <w:rPr>
          <w:spacing w:val="-10"/>
          <w:w w:val="105"/>
        </w:rPr>
        <w:t> </w:t>
      </w:r>
      <w:r>
        <w:rPr>
          <w:w w:val="105"/>
        </w:rPr>
        <w:t>Only</w:t>
      </w:r>
      <w:r>
        <w:rPr>
          <w:spacing w:val="-10"/>
          <w:w w:val="105"/>
        </w:rPr>
        <w:t> </w:t>
      </w:r>
      <w:r>
        <w:rPr>
          <w:spacing w:val="-3"/>
          <w:w w:val="105"/>
        </w:rPr>
        <w:t>that</w:t>
      </w:r>
      <w:r>
        <w:rPr>
          <w:spacing w:val="-9"/>
          <w:w w:val="105"/>
        </w:rPr>
        <w:t> </w:t>
      </w:r>
      <w:r>
        <w:rPr>
          <w:w w:val="105"/>
        </w:rPr>
        <w:t>part</w:t>
      </w:r>
      <w:r>
        <w:rPr>
          <w:spacing w:val="-10"/>
          <w:w w:val="105"/>
        </w:rPr>
        <w:t> </w:t>
      </w:r>
      <w:r>
        <w:rPr>
          <w:w w:val="105"/>
        </w:rPr>
        <w:t>of</w:t>
      </w:r>
      <w:r>
        <w:rPr>
          <w:spacing w:val="-9"/>
          <w:w w:val="105"/>
        </w:rPr>
        <w:t> </w:t>
      </w:r>
      <w:r>
        <w:rPr>
          <w:w w:val="105"/>
        </w:rPr>
        <w:t>vegetation</w:t>
      </w:r>
      <w:r>
        <w:rPr>
          <w:spacing w:val="-10"/>
          <w:w w:val="105"/>
        </w:rPr>
        <w:t> </w:t>
      </w:r>
      <w:r>
        <w:rPr>
          <w:spacing w:val="-3"/>
          <w:w w:val="105"/>
        </w:rPr>
        <w:t>that</w:t>
      </w:r>
      <w:r>
        <w:rPr>
          <w:spacing w:val="-9"/>
          <w:w w:val="105"/>
        </w:rPr>
        <w:t> </w:t>
      </w:r>
      <w:r>
        <w:rPr>
          <w:w w:val="105"/>
        </w:rPr>
        <w:t>presents</w:t>
      </w:r>
      <w:r>
        <w:rPr>
          <w:spacing w:val="-10"/>
          <w:w w:val="105"/>
        </w:rPr>
        <w:t> </w:t>
      </w:r>
      <w:r>
        <w:rPr>
          <w:w w:val="105"/>
        </w:rPr>
        <w:t>the</w:t>
      </w:r>
      <w:r>
        <w:rPr>
          <w:spacing w:val="-9"/>
          <w:w w:val="105"/>
        </w:rPr>
        <w:t> </w:t>
      </w:r>
      <w:r>
        <w:rPr>
          <w:w w:val="105"/>
        </w:rPr>
        <w:t>risk</w:t>
      </w:r>
      <w:r>
        <w:rPr>
          <w:spacing w:val="-10"/>
          <w:w w:val="105"/>
        </w:rPr>
        <w:t> </w:t>
      </w:r>
      <w:r>
        <w:rPr>
          <w:spacing w:val="-3"/>
          <w:w w:val="105"/>
        </w:rPr>
        <w:t>may</w:t>
      </w:r>
      <w:r>
        <w:rPr>
          <w:spacing w:val="-9"/>
          <w:w w:val="105"/>
        </w:rPr>
        <w:t> </w:t>
      </w:r>
      <w:r>
        <w:rPr>
          <w:w w:val="105"/>
        </w:rPr>
        <w:t>be</w:t>
      </w:r>
      <w:r>
        <w:rPr>
          <w:spacing w:val="-10"/>
          <w:w w:val="105"/>
        </w:rPr>
        <w:t> </w:t>
      </w:r>
      <w:r>
        <w:rPr>
          <w:spacing w:val="-3"/>
          <w:w w:val="105"/>
        </w:rPr>
        <w:t>removed,</w:t>
      </w:r>
      <w:r>
        <w:rPr>
          <w:spacing w:val="-9"/>
          <w:w w:val="105"/>
        </w:rPr>
        <w:t> </w:t>
      </w:r>
      <w:r>
        <w:rPr>
          <w:w w:val="105"/>
        </w:rPr>
        <w:t>destroyed</w:t>
      </w:r>
      <w:r>
        <w:rPr>
          <w:spacing w:val="-10"/>
          <w:w w:val="105"/>
        </w:rPr>
        <w:t> </w:t>
      </w:r>
      <w:r>
        <w:rPr>
          <w:w w:val="105"/>
        </w:rPr>
        <w:t>or lopped.</w:t>
      </w:r>
      <w:r>
        <w:rPr>
          <w:w w:val="105"/>
          <w:position w:val="7"/>
          <w:sz w:val="12"/>
        </w:rPr>
        <w:t>291</w:t>
      </w:r>
    </w:p>
    <w:p>
      <w:pPr>
        <w:pStyle w:val="ListParagraph"/>
        <w:numPr>
          <w:ilvl w:val="0"/>
          <w:numId w:val="173"/>
        </w:numPr>
        <w:tabs>
          <w:tab w:pos="2382" w:val="left" w:leader="none"/>
        </w:tabs>
        <w:spacing w:line="242" w:lineRule="auto" w:before="122" w:after="0"/>
        <w:ind w:left="2381" w:right="1729" w:hanging="794"/>
        <w:jc w:val="left"/>
        <w:rPr>
          <w:sz w:val="12"/>
        </w:rPr>
      </w:pPr>
      <w:r>
        <w:rPr>
          <w:spacing w:val="-4"/>
          <w:w w:val="105"/>
          <w:sz w:val="21"/>
        </w:rPr>
        <w:t>Moreover, </w:t>
      </w:r>
      <w:r>
        <w:rPr>
          <w:w w:val="105"/>
          <w:sz w:val="21"/>
        </w:rPr>
        <w:t>and as discussed </w:t>
      </w:r>
      <w:r>
        <w:rPr>
          <w:spacing w:val="-4"/>
          <w:w w:val="105"/>
          <w:sz w:val="21"/>
        </w:rPr>
        <w:t>earlier, </w:t>
      </w:r>
      <w:r>
        <w:rPr>
          <w:spacing w:val="-3"/>
          <w:w w:val="105"/>
          <w:sz w:val="21"/>
        </w:rPr>
        <w:t>councils have created additional exemptions within </w:t>
      </w:r>
      <w:r>
        <w:rPr>
          <w:w w:val="105"/>
          <w:sz w:val="21"/>
        </w:rPr>
        <w:t>schedules </w:t>
      </w:r>
      <w:r>
        <w:rPr>
          <w:spacing w:val="-3"/>
          <w:w w:val="105"/>
          <w:sz w:val="21"/>
        </w:rPr>
        <w:t>to overlays, </w:t>
      </w:r>
      <w:r>
        <w:rPr>
          <w:w w:val="105"/>
          <w:sz w:val="21"/>
        </w:rPr>
        <w:t>often </w:t>
      </w:r>
      <w:r>
        <w:rPr>
          <w:spacing w:val="-3"/>
          <w:w w:val="105"/>
          <w:sz w:val="21"/>
        </w:rPr>
        <w:t>relaxing </w:t>
      </w:r>
      <w:r>
        <w:rPr>
          <w:w w:val="105"/>
          <w:sz w:val="21"/>
        </w:rPr>
        <w:t>the permit </w:t>
      </w:r>
      <w:r>
        <w:rPr>
          <w:spacing w:val="-3"/>
          <w:w w:val="105"/>
          <w:sz w:val="21"/>
        </w:rPr>
        <w:t>requirement for </w:t>
      </w:r>
      <w:r>
        <w:rPr>
          <w:w w:val="105"/>
          <w:sz w:val="21"/>
        </w:rPr>
        <w:t>the </w:t>
      </w:r>
      <w:r>
        <w:rPr>
          <w:spacing w:val="-3"/>
          <w:w w:val="105"/>
          <w:sz w:val="21"/>
        </w:rPr>
        <w:t>pruning </w:t>
      </w:r>
      <w:r>
        <w:rPr>
          <w:w w:val="105"/>
          <w:sz w:val="21"/>
        </w:rPr>
        <w:t>of a </w:t>
      </w:r>
      <w:r>
        <w:rPr>
          <w:spacing w:val="-3"/>
          <w:w w:val="105"/>
          <w:sz w:val="21"/>
        </w:rPr>
        <w:t>tree. </w:t>
      </w:r>
      <w:r>
        <w:rPr>
          <w:w w:val="105"/>
          <w:sz w:val="21"/>
        </w:rPr>
        <w:t>This is </w:t>
      </w:r>
      <w:r>
        <w:rPr>
          <w:spacing w:val="-3"/>
          <w:w w:val="105"/>
          <w:sz w:val="21"/>
        </w:rPr>
        <w:t>consistent </w:t>
      </w:r>
      <w:r>
        <w:rPr>
          <w:w w:val="105"/>
          <w:sz w:val="21"/>
        </w:rPr>
        <w:t>with </w:t>
      </w:r>
      <w:r>
        <w:rPr>
          <w:spacing w:val="-3"/>
          <w:w w:val="105"/>
          <w:sz w:val="21"/>
        </w:rPr>
        <w:t>recommendations </w:t>
      </w:r>
      <w:r>
        <w:rPr>
          <w:w w:val="105"/>
          <w:sz w:val="21"/>
        </w:rPr>
        <w:t>made in the </w:t>
      </w:r>
      <w:r>
        <w:rPr>
          <w:spacing w:val="-3"/>
          <w:w w:val="105"/>
          <w:sz w:val="21"/>
        </w:rPr>
        <w:t>Cutting </w:t>
      </w:r>
      <w:r>
        <w:rPr>
          <w:w w:val="105"/>
          <w:sz w:val="21"/>
        </w:rPr>
        <w:t>Red </w:t>
      </w:r>
      <w:r>
        <w:rPr>
          <w:spacing w:val="-5"/>
          <w:w w:val="105"/>
          <w:sz w:val="21"/>
        </w:rPr>
        <w:t>Tape </w:t>
      </w:r>
      <w:r>
        <w:rPr>
          <w:w w:val="105"/>
          <w:sz w:val="21"/>
        </w:rPr>
        <w:t>in </w:t>
      </w:r>
      <w:r>
        <w:rPr>
          <w:spacing w:val="-3"/>
          <w:w w:val="105"/>
          <w:sz w:val="21"/>
        </w:rPr>
        <w:t>Planning </w:t>
      </w:r>
      <w:r>
        <w:rPr>
          <w:w w:val="105"/>
          <w:sz w:val="21"/>
        </w:rPr>
        <w:t>report</w:t>
      </w:r>
      <w:r>
        <w:rPr>
          <w:spacing w:val="-7"/>
          <w:w w:val="105"/>
          <w:sz w:val="21"/>
        </w:rPr>
        <w:t> </w:t>
      </w:r>
      <w:r>
        <w:rPr>
          <w:spacing w:val="-3"/>
          <w:w w:val="105"/>
          <w:sz w:val="21"/>
        </w:rPr>
        <w:t>to</w:t>
      </w:r>
      <w:r>
        <w:rPr>
          <w:spacing w:val="-7"/>
          <w:w w:val="105"/>
          <w:sz w:val="21"/>
        </w:rPr>
        <w:t> </w:t>
      </w:r>
      <w:r>
        <w:rPr>
          <w:spacing w:val="-4"/>
          <w:w w:val="105"/>
          <w:sz w:val="21"/>
        </w:rPr>
        <w:t>‘rewrite</w:t>
      </w:r>
      <w:r>
        <w:rPr>
          <w:spacing w:val="-7"/>
          <w:w w:val="105"/>
          <w:sz w:val="21"/>
        </w:rPr>
        <w:t> </w:t>
      </w:r>
      <w:r>
        <w:rPr>
          <w:spacing w:val="-3"/>
          <w:w w:val="105"/>
          <w:sz w:val="21"/>
        </w:rPr>
        <w:t>overlays</w:t>
      </w:r>
      <w:r>
        <w:rPr>
          <w:spacing w:val="-6"/>
          <w:w w:val="105"/>
          <w:sz w:val="21"/>
        </w:rPr>
        <w:t> </w:t>
      </w:r>
      <w:r>
        <w:rPr>
          <w:w w:val="105"/>
          <w:sz w:val="21"/>
        </w:rPr>
        <w:t>so</w:t>
      </w:r>
      <w:r>
        <w:rPr>
          <w:spacing w:val="-7"/>
          <w:w w:val="105"/>
          <w:sz w:val="21"/>
        </w:rPr>
        <w:t> </w:t>
      </w:r>
      <w:r>
        <w:rPr>
          <w:spacing w:val="-3"/>
          <w:w w:val="105"/>
          <w:sz w:val="21"/>
        </w:rPr>
        <w:t>that</w:t>
      </w:r>
      <w:r>
        <w:rPr>
          <w:spacing w:val="-7"/>
          <w:w w:val="105"/>
          <w:sz w:val="21"/>
        </w:rPr>
        <w:t> </w:t>
      </w:r>
      <w:r>
        <w:rPr>
          <w:w w:val="105"/>
          <w:sz w:val="21"/>
        </w:rPr>
        <w:t>only</w:t>
      </w:r>
      <w:r>
        <w:rPr>
          <w:spacing w:val="-6"/>
          <w:w w:val="105"/>
          <w:sz w:val="21"/>
        </w:rPr>
        <w:t> </w:t>
      </w:r>
      <w:r>
        <w:rPr>
          <w:w w:val="105"/>
          <w:sz w:val="21"/>
        </w:rPr>
        <w:t>matters</w:t>
      </w:r>
      <w:r>
        <w:rPr>
          <w:spacing w:val="-7"/>
          <w:w w:val="105"/>
          <w:sz w:val="21"/>
        </w:rPr>
        <w:t> </w:t>
      </w:r>
      <w:r>
        <w:rPr>
          <w:spacing w:val="-4"/>
          <w:w w:val="105"/>
          <w:sz w:val="21"/>
        </w:rPr>
        <w:t>linked</w:t>
      </w:r>
      <w:r>
        <w:rPr>
          <w:spacing w:val="-7"/>
          <w:w w:val="105"/>
          <w:sz w:val="21"/>
        </w:rPr>
        <w:t> </w:t>
      </w:r>
      <w:r>
        <w:rPr>
          <w:spacing w:val="-3"/>
          <w:w w:val="105"/>
          <w:sz w:val="21"/>
        </w:rPr>
        <w:t>to</w:t>
      </w:r>
      <w:r>
        <w:rPr>
          <w:spacing w:val="-6"/>
          <w:w w:val="105"/>
          <w:sz w:val="21"/>
        </w:rPr>
        <w:t> </w:t>
      </w:r>
      <w:r>
        <w:rPr>
          <w:w w:val="105"/>
          <w:sz w:val="21"/>
        </w:rPr>
        <w:t>the</w:t>
      </w:r>
      <w:r>
        <w:rPr>
          <w:spacing w:val="-7"/>
          <w:w w:val="105"/>
          <w:sz w:val="21"/>
        </w:rPr>
        <w:t> </w:t>
      </w:r>
      <w:r>
        <w:rPr>
          <w:w w:val="105"/>
          <w:sz w:val="21"/>
        </w:rPr>
        <w:t>purpose</w:t>
      </w:r>
      <w:r>
        <w:rPr>
          <w:spacing w:val="-7"/>
          <w:w w:val="105"/>
          <w:sz w:val="21"/>
        </w:rPr>
        <w:t> </w:t>
      </w:r>
      <w:r>
        <w:rPr>
          <w:w w:val="105"/>
          <w:sz w:val="21"/>
        </w:rPr>
        <w:t>of</w:t>
      </w:r>
      <w:r>
        <w:rPr>
          <w:spacing w:val="-7"/>
          <w:w w:val="105"/>
          <w:sz w:val="21"/>
        </w:rPr>
        <w:t> </w:t>
      </w:r>
      <w:r>
        <w:rPr>
          <w:w w:val="105"/>
          <w:sz w:val="21"/>
        </w:rPr>
        <w:t>the</w:t>
      </w:r>
      <w:r>
        <w:rPr>
          <w:spacing w:val="-6"/>
          <w:w w:val="105"/>
          <w:sz w:val="21"/>
        </w:rPr>
        <w:t> </w:t>
      </w:r>
      <w:r>
        <w:rPr>
          <w:spacing w:val="-3"/>
          <w:w w:val="105"/>
          <w:sz w:val="21"/>
        </w:rPr>
        <w:t>control</w:t>
      </w:r>
      <w:r>
        <w:rPr>
          <w:spacing w:val="-7"/>
          <w:w w:val="105"/>
          <w:sz w:val="21"/>
        </w:rPr>
        <w:t> </w:t>
      </w:r>
      <w:r>
        <w:rPr>
          <w:w w:val="105"/>
          <w:sz w:val="21"/>
        </w:rPr>
        <w:t>need </w:t>
      </w:r>
      <w:r>
        <w:rPr>
          <w:spacing w:val="-3"/>
          <w:w w:val="105"/>
          <w:sz w:val="21"/>
        </w:rPr>
        <w:t>planning </w:t>
      </w:r>
      <w:r>
        <w:rPr>
          <w:spacing w:val="-5"/>
          <w:w w:val="105"/>
          <w:sz w:val="21"/>
        </w:rPr>
        <w:t>approval’, </w:t>
      </w:r>
      <w:r>
        <w:rPr>
          <w:spacing w:val="-3"/>
          <w:w w:val="105"/>
          <w:sz w:val="21"/>
        </w:rPr>
        <w:t>citing </w:t>
      </w:r>
      <w:r>
        <w:rPr>
          <w:w w:val="105"/>
          <w:sz w:val="21"/>
        </w:rPr>
        <w:t>‘tree </w:t>
      </w:r>
      <w:r>
        <w:rPr>
          <w:spacing w:val="-3"/>
          <w:w w:val="105"/>
          <w:sz w:val="21"/>
        </w:rPr>
        <w:t>pruning’ </w:t>
      </w:r>
      <w:r>
        <w:rPr>
          <w:w w:val="105"/>
          <w:sz w:val="21"/>
        </w:rPr>
        <w:t>as a matter </w:t>
      </w:r>
      <w:r>
        <w:rPr>
          <w:spacing w:val="-3"/>
          <w:w w:val="105"/>
          <w:sz w:val="21"/>
        </w:rPr>
        <w:t>that could </w:t>
      </w:r>
      <w:r>
        <w:rPr>
          <w:w w:val="105"/>
          <w:sz w:val="21"/>
        </w:rPr>
        <w:t>benefit </w:t>
      </w:r>
      <w:r>
        <w:rPr>
          <w:spacing w:val="-3"/>
          <w:w w:val="105"/>
          <w:sz w:val="21"/>
        </w:rPr>
        <w:t>from full </w:t>
      </w:r>
      <w:r>
        <w:rPr>
          <w:w w:val="105"/>
          <w:sz w:val="21"/>
        </w:rPr>
        <w:t>or partial removal.</w:t>
      </w:r>
      <w:r>
        <w:rPr>
          <w:w w:val="105"/>
          <w:position w:val="7"/>
          <w:sz w:val="12"/>
        </w:rPr>
        <w:t>292</w:t>
      </w:r>
    </w:p>
    <w:p>
      <w:pPr>
        <w:pStyle w:val="ListParagraph"/>
        <w:numPr>
          <w:ilvl w:val="0"/>
          <w:numId w:val="173"/>
        </w:numPr>
        <w:tabs>
          <w:tab w:pos="2381" w:val="left" w:leader="none"/>
        </w:tabs>
        <w:spacing w:line="242" w:lineRule="auto" w:before="126" w:after="0"/>
        <w:ind w:left="2381" w:right="1589" w:hanging="794"/>
        <w:jc w:val="both"/>
        <w:rPr>
          <w:sz w:val="21"/>
        </w:rPr>
      </w:pPr>
      <w:r>
        <w:rPr>
          <w:sz w:val="21"/>
        </w:rPr>
        <w:t>Expanding the </w:t>
      </w:r>
      <w:r>
        <w:rPr>
          <w:spacing w:val="-3"/>
          <w:sz w:val="21"/>
        </w:rPr>
        <w:t>exemptions </w:t>
      </w:r>
      <w:r>
        <w:rPr>
          <w:sz w:val="21"/>
        </w:rPr>
        <w:t>in the VPPs would mean </w:t>
      </w:r>
      <w:r>
        <w:rPr>
          <w:spacing w:val="-3"/>
          <w:sz w:val="21"/>
        </w:rPr>
        <w:t>that </w:t>
      </w:r>
      <w:r>
        <w:rPr>
          <w:sz w:val="21"/>
        </w:rPr>
        <w:t>an affected </w:t>
      </w:r>
      <w:r>
        <w:rPr>
          <w:spacing w:val="-3"/>
          <w:sz w:val="21"/>
        </w:rPr>
        <w:t>neighbour </w:t>
      </w:r>
      <w:r>
        <w:rPr>
          <w:sz w:val="21"/>
        </w:rPr>
        <w:t>would </w:t>
      </w:r>
      <w:r>
        <w:rPr>
          <w:spacing w:val="-2"/>
          <w:sz w:val="21"/>
        </w:rPr>
        <w:t>not </w:t>
      </w:r>
      <w:r>
        <w:rPr>
          <w:sz w:val="21"/>
        </w:rPr>
        <w:t>need </w:t>
      </w:r>
      <w:r>
        <w:rPr>
          <w:spacing w:val="-3"/>
          <w:sz w:val="21"/>
        </w:rPr>
        <w:t>to </w:t>
      </w:r>
      <w:r>
        <w:rPr>
          <w:sz w:val="21"/>
        </w:rPr>
        <w:t>obtain a permit under the </w:t>
      </w:r>
      <w:r>
        <w:rPr>
          <w:spacing w:val="4"/>
          <w:sz w:val="21"/>
        </w:rPr>
        <w:t>P&amp;E </w:t>
      </w:r>
      <w:r>
        <w:rPr>
          <w:sz w:val="21"/>
        </w:rPr>
        <w:t>Act, prior </w:t>
      </w:r>
      <w:r>
        <w:rPr>
          <w:spacing w:val="-3"/>
          <w:sz w:val="21"/>
        </w:rPr>
        <w:t>to </w:t>
      </w:r>
      <w:r>
        <w:rPr>
          <w:sz w:val="21"/>
        </w:rPr>
        <w:t>applying </w:t>
      </w:r>
      <w:r>
        <w:rPr>
          <w:spacing w:val="-3"/>
          <w:sz w:val="21"/>
        </w:rPr>
        <w:t>to </w:t>
      </w:r>
      <w:r>
        <w:rPr>
          <w:spacing w:val="-5"/>
          <w:sz w:val="21"/>
        </w:rPr>
        <w:t>VCAT </w:t>
      </w:r>
      <w:r>
        <w:rPr>
          <w:spacing w:val="-3"/>
          <w:sz w:val="21"/>
        </w:rPr>
        <w:t>for  </w:t>
      </w:r>
      <w:r>
        <w:rPr>
          <w:sz w:val="21"/>
        </w:rPr>
        <w:t>a remedy under  the</w:t>
      </w:r>
      <w:r>
        <w:rPr>
          <w:spacing w:val="21"/>
          <w:sz w:val="21"/>
        </w:rPr>
        <w:t> </w:t>
      </w:r>
      <w:r>
        <w:rPr>
          <w:sz w:val="21"/>
        </w:rPr>
        <w:t>new</w:t>
      </w:r>
      <w:r>
        <w:rPr>
          <w:spacing w:val="22"/>
          <w:sz w:val="21"/>
        </w:rPr>
        <w:t> </w:t>
      </w:r>
      <w:r>
        <w:rPr>
          <w:sz w:val="21"/>
        </w:rPr>
        <w:t>Act</w:t>
      </w:r>
      <w:r>
        <w:rPr>
          <w:spacing w:val="22"/>
          <w:sz w:val="21"/>
        </w:rPr>
        <w:t> </w:t>
      </w:r>
      <w:r>
        <w:rPr>
          <w:sz w:val="21"/>
        </w:rPr>
        <w:t>if</w:t>
      </w:r>
      <w:r>
        <w:rPr>
          <w:spacing w:val="21"/>
          <w:sz w:val="21"/>
        </w:rPr>
        <w:t> </w:t>
      </w:r>
      <w:r>
        <w:rPr>
          <w:sz w:val="21"/>
        </w:rPr>
        <w:t>the</w:t>
      </w:r>
      <w:r>
        <w:rPr>
          <w:spacing w:val="22"/>
          <w:sz w:val="21"/>
        </w:rPr>
        <w:t> </w:t>
      </w:r>
      <w:r>
        <w:rPr>
          <w:spacing w:val="-3"/>
          <w:sz w:val="21"/>
        </w:rPr>
        <w:t>jurisdictional</w:t>
      </w:r>
      <w:r>
        <w:rPr>
          <w:spacing w:val="22"/>
          <w:sz w:val="21"/>
        </w:rPr>
        <w:t> </w:t>
      </w:r>
      <w:r>
        <w:rPr>
          <w:spacing w:val="-3"/>
          <w:sz w:val="21"/>
        </w:rPr>
        <w:t>requirements</w:t>
      </w:r>
      <w:r>
        <w:rPr>
          <w:spacing w:val="22"/>
          <w:sz w:val="21"/>
        </w:rPr>
        <w:t> </w:t>
      </w:r>
      <w:r>
        <w:rPr>
          <w:sz w:val="21"/>
        </w:rPr>
        <w:t>of</w:t>
      </w:r>
      <w:r>
        <w:rPr>
          <w:spacing w:val="21"/>
          <w:sz w:val="21"/>
        </w:rPr>
        <w:t> </w:t>
      </w:r>
      <w:r>
        <w:rPr>
          <w:sz w:val="21"/>
        </w:rPr>
        <w:t>the</w:t>
      </w:r>
      <w:r>
        <w:rPr>
          <w:spacing w:val="22"/>
          <w:sz w:val="21"/>
        </w:rPr>
        <w:t> </w:t>
      </w:r>
      <w:r>
        <w:rPr>
          <w:sz w:val="21"/>
        </w:rPr>
        <w:t>new</w:t>
      </w:r>
      <w:r>
        <w:rPr>
          <w:spacing w:val="22"/>
          <w:sz w:val="21"/>
        </w:rPr>
        <w:t> </w:t>
      </w:r>
      <w:r>
        <w:rPr>
          <w:sz w:val="21"/>
        </w:rPr>
        <w:t>Act</w:t>
      </w:r>
      <w:r>
        <w:rPr>
          <w:spacing w:val="21"/>
          <w:sz w:val="21"/>
        </w:rPr>
        <w:t> </w:t>
      </w:r>
      <w:r>
        <w:rPr>
          <w:spacing w:val="-3"/>
          <w:sz w:val="21"/>
        </w:rPr>
        <w:t>are</w:t>
      </w:r>
      <w:r>
        <w:rPr>
          <w:spacing w:val="22"/>
          <w:sz w:val="21"/>
        </w:rPr>
        <w:t> </w:t>
      </w:r>
      <w:r>
        <w:rPr>
          <w:sz w:val="21"/>
        </w:rPr>
        <w:t>satisfied.</w:t>
      </w:r>
      <w:r>
        <w:rPr>
          <w:spacing w:val="22"/>
          <w:sz w:val="21"/>
        </w:rPr>
        <w:t> </w:t>
      </w:r>
      <w:r>
        <w:rPr>
          <w:sz w:val="21"/>
        </w:rPr>
        <w:t>See</w:t>
      </w:r>
      <w:r>
        <w:rPr>
          <w:spacing w:val="22"/>
          <w:sz w:val="21"/>
        </w:rPr>
        <w:t> </w:t>
      </w:r>
      <w:r>
        <w:rPr>
          <w:spacing w:val="-4"/>
          <w:sz w:val="21"/>
        </w:rPr>
        <w:t>Chapter</w:t>
      </w:r>
      <w:r>
        <w:rPr>
          <w:spacing w:val="21"/>
          <w:sz w:val="21"/>
        </w:rPr>
        <w:t> </w:t>
      </w:r>
      <w:r>
        <w:rPr>
          <w:sz w:val="21"/>
        </w:rPr>
        <w:t>5.</w:t>
      </w:r>
    </w:p>
    <w:p>
      <w:pPr>
        <w:pStyle w:val="ListParagraph"/>
        <w:numPr>
          <w:ilvl w:val="0"/>
          <w:numId w:val="173"/>
        </w:numPr>
        <w:tabs>
          <w:tab w:pos="2380" w:val="left" w:leader="none"/>
          <w:tab w:pos="2381" w:val="left" w:leader="none"/>
        </w:tabs>
        <w:spacing w:line="242" w:lineRule="auto" w:before="124" w:after="0"/>
        <w:ind w:left="2380" w:right="1915" w:hanging="793"/>
        <w:jc w:val="left"/>
        <w:rPr>
          <w:sz w:val="21"/>
        </w:rPr>
      </w:pPr>
      <w:r>
        <w:rPr>
          <w:w w:val="105"/>
          <w:sz w:val="21"/>
        </w:rPr>
        <w:t>The suggested </w:t>
      </w:r>
      <w:r>
        <w:rPr>
          <w:spacing w:val="-3"/>
          <w:w w:val="105"/>
          <w:sz w:val="21"/>
        </w:rPr>
        <w:t>amendment to </w:t>
      </w:r>
      <w:r>
        <w:rPr>
          <w:w w:val="105"/>
          <w:sz w:val="21"/>
        </w:rPr>
        <w:t>the existing VPP exemption would </w:t>
      </w:r>
      <w:r>
        <w:rPr>
          <w:spacing w:val="-2"/>
          <w:w w:val="105"/>
          <w:sz w:val="21"/>
        </w:rPr>
        <w:t>not </w:t>
      </w:r>
      <w:r>
        <w:rPr>
          <w:w w:val="105"/>
          <w:sz w:val="21"/>
        </w:rPr>
        <w:t>lead </w:t>
      </w:r>
      <w:r>
        <w:rPr>
          <w:spacing w:val="-3"/>
          <w:w w:val="105"/>
          <w:sz w:val="21"/>
        </w:rPr>
        <w:t>to </w:t>
      </w:r>
      <w:r>
        <w:rPr>
          <w:w w:val="105"/>
          <w:sz w:val="21"/>
        </w:rPr>
        <w:t>major </w:t>
      </w:r>
      <w:r>
        <w:rPr>
          <w:spacing w:val="-3"/>
          <w:w w:val="105"/>
          <w:sz w:val="21"/>
        </w:rPr>
        <w:t>changes </w:t>
      </w:r>
      <w:r>
        <w:rPr>
          <w:w w:val="105"/>
          <w:sz w:val="21"/>
        </w:rPr>
        <w:t>in policy or </w:t>
      </w:r>
      <w:r>
        <w:rPr>
          <w:spacing w:val="-3"/>
          <w:w w:val="105"/>
          <w:sz w:val="21"/>
        </w:rPr>
        <w:t>produce </w:t>
      </w:r>
      <w:r>
        <w:rPr>
          <w:w w:val="105"/>
          <w:sz w:val="21"/>
        </w:rPr>
        <w:t>a </w:t>
      </w:r>
      <w:r>
        <w:rPr>
          <w:spacing w:val="-3"/>
          <w:w w:val="105"/>
          <w:sz w:val="21"/>
        </w:rPr>
        <w:t>different </w:t>
      </w:r>
      <w:r>
        <w:rPr>
          <w:w w:val="105"/>
          <w:sz w:val="21"/>
        </w:rPr>
        <w:t>or new </w:t>
      </w:r>
      <w:r>
        <w:rPr>
          <w:spacing w:val="-3"/>
          <w:w w:val="105"/>
          <w:sz w:val="21"/>
        </w:rPr>
        <w:t>land </w:t>
      </w:r>
      <w:r>
        <w:rPr>
          <w:w w:val="105"/>
          <w:sz w:val="21"/>
        </w:rPr>
        <w:t>use or development </w:t>
      </w:r>
      <w:r>
        <w:rPr>
          <w:spacing w:val="-3"/>
          <w:w w:val="105"/>
          <w:sz w:val="21"/>
        </w:rPr>
        <w:t>outcome,</w:t>
      </w:r>
      <w:r>
        <w:rPr>
          <w:spacing w:val="-28"/>
          <w:w w:val="105"/>
          <w:sz w:val="21"/>
        </w:rPr>
        <w:t> </w:t>
      </w:r>
      <w:r>
        <w:rPr>
          <w:w w:val="105"/>
          <w:sz w:val="21"/>
        </w:rPr>
        <w:t>as:</w:t>
      </w:r>
    </w:p>
    <w:p>
      <w:pPr>
        <w:pStyle w:val="BodyText"/>
        <w:rPr>
          <w:sz w:val="20"/>
        </w:rPr>
      </w:pPr>
    </w:p>
    <w:p>
      <w:pPr>
        <w:pStyle w:val="BodyText"/>
        <w:spacing w:before="1"/>
        <w:rPr>
          <w:sz w:val="28"/>
        </w:rPr>
      </w:pPr>
      <w:r>
        <w:rPr/>
        <w:pict>
          <v:line style="position:absolute;mso-position-horizontal-relative:page;mso-position-vertical-relative:paragraph;z-index:10040;mso-wrap-distance-left:0;mso-wrap-distance-right:0" from="79.370102pt,19.590387pt" to="515.905102pt,19.59038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tabs>
          <w:tab w:pos="2380" w:val="left" w:leader="none"/>
        </w:tabs>
        <w:spacing w:before="48"/>
        <w:ind w:left="1587" w:right="5272" w:firstLine="0"/>
        <w:jc w:val="left"/>
        <w:rPr>
          <w:sz w:val="13"/>
        </w:rPr>
      </w:pPr>
      <w:r>
        <w:rPr>
          <w:w w:val="105"/>
          <w:sz w:val="13"/>
        </w:rPr>
        <w:t>287</w:t>
        <w:tab/>
      </w:r>
      <w:r>
        <w:rPr>
          <w:i/>
          <w:w w:val="105"/>
          <w:sz w:val="13"/>
        </w:rPr>
        <w:t>Planning and Environment Act 1987 </w:t>
      </w:r>
      <w:r>
        <w:rPr>
          <w:spacing w:val="2"/>
          <w:w w:val="105"/>
          <w:sz w:val="13"/>
        </w:rPr>
        <w:t>(Vic) </w:t>
      </w:r>
      <w:r>
        <w:rPr>
          <w:w w:val="105"/>
          <w:sz w:val="13"/>
        </w:rPr>
        <w:t>s </w:t>
      </w:r>
      <w:r>
        <w:rPr>
          <w:spacing w:val="-3"/>
          <w:w w:val="105"/>
          <w:sz w:val="13"/>
        </w:rPr>
        <w:t>77. </w:t>
      </w:r>
      <w:r>
        <w:rPr>
          <w:w w:val="105"/>
          <w:sz w:val="13"/>
        </w:rPr>
        <w:t>288</w:t>
        <w:tab/>
        <w:t>Ibid ss </w:t>
      </w:r>
      <w:r>
        <w:rPr>
          <w:spacing w:val="-4"/>
          <w:w w:val="105"/>
          <w:sz w:val="13"/>
        </w:rPr>
        <w:t>57, </w:t>
      </w:r>
      <w:r>
        <w:rPr>
          <w:w w:val="105"/>
          <w:sz w:val="13"/>
        </w:rPr>
        <w:t>82,</w:t>
      </w:r>
      <w:r>
        <w:rPr>
          <w:spacing w:val="-3"/>
          <w:w w:val="105"/>
          <w:sz w:val="13"/>
        </w:rPr>
        <w:t> </w:t>
      </w:r>
      <w:r>
        <w:rPr>
          <w:w w:val="105"/>
          <w:sz w:val="13"/>
        </w:rPr>
        <w:t>82B.</w:t>
      </w:r>
    </w:p>
    <w:p>
      <w:pPr>
        <w:pStyle w:val="ListParagraph"/>
        <w:numPr>
          <w:ilvl w:val="0"/>
          <w:numId w:val="179"/>
        </w:numPr>
        <w:tabs>
          <w:tab w:pos="2381" w:val="left" w:leader="none"/>
          <w:tab w:pos="2382" w:val="left" w:leader="none"/>
        </w:tabs>
        <w:spacing w:line="240" w:lineRule="auto" w:before="3" w:after="0"/>
        <w:ind w:left="2381" w:right="0" w:hanging="794"/>
        <w:jc w:val="left"/>
        <w:rPr>
          <w:sz w:val="13"/>
        </w:rPr>
      </w:pPr>
      <w:r>
        <w:rPr>
          <w:w w:val="105"/>
          <w:sz w:val="13"/>
        </w:rPr>
        <w:t>Remedies</w:t>
      </w:r>
      <w:r>
        <w:rPr>
          <w:spacing w:val="4"/>
          <w:w w:val="105"/>
          <w:sz w:val="13"/>
        </w:rPr>
        <w:t> </w:t>
      </w:r>
      <w:r>
        <w:rPr>
          <w:w w:val="105"/>
          <w:sz w:val="13"/>
        </w:rPr>
        <w:t>under</w:t>
      </w:r>
      <w:r>
        <w:rPr>
          <w:spacing w:val="5"/>
          <w:w w:val="105"/>
          <w:sz w:val="13"/>
        </w:rPr>
        <w:t> </w:t>
      </w:r>
      <w:r>
        <w:rPr>
          <w:w w:val="105"/>
          <w:sz w:val="13"/>
        </w:rPr>
        <w:t>the</w:t>
      </w:r>
      <w:r>
        <w:rPr>
          <w:spacing w:val="4"/>
          <w:w w:val="105"/>
          <w:sz w:val="13"/>
        </w:rPr>
        <w:t> </w:t>
      </w:r>
      <w:r>
        <w:rPr>
          <w:w w:val="105"/>
          <w:sz w:val="13"/>
        </w:rPr>
        <w:t>proposed</w:t>
      </w:r>
      <w:r>
        <w:rPr>
          <w:spacing w:val="5"/>
          <w:w w:val="105"/>
          <w:sz w:val="13"/>
        </w:rPr>
        <w:t> </w:t>
      </w:r>
      <w:r>
        <w:rPr>
          <w:w w:val="105"/>
          <w:sz w:val="13"/>
        </w:rPr>
        <w:t>Act</w:t>
      </w:r>
      <w:r>
        <w:rPr>
          <w:spacing w:val="5"/>
          <w:w w:val="105"/>
          <w:sz w:val="13"/>
        </w:rPr>
        <w:t> </w:t>
      </w:r>
      <w:r>
        <w:rPr>
          <w:w w:val="105"/>
          <w:sz w:val="13"/>
        </w:rPr>
        <w:t>are</w:t>
      </w:r>
      <w:r>
        <w:rPr>
          <w:spacing w:val="4"/>
          <w:w w:val="105"/>
          <w:sz w:val="13"/>
        </w:rPr>
        <w:t> </w:t>
      </w:r>
      <w:r>
        <w:rPr>
          <w:w w:val="105"/>
          <w:sz w:val="13"/>
        </w:rPr>
        <w:t>considered</w:t>
      </w:r>
      <w:r>
        <w:rPr>
          <w:spacing w:val="5"/>
          <w:w w:val="105"/>
          <w:sz w:val="13"/>
        </w:rPr>
        <w:t> </w:t>
      </w:r>
      <w:r>
        <w:rPr>
          <w:w w:val="105"/>
          <w:sz w:val="13"/>
        </w:rPr>
        <w:t>in</w:t>
      </w:r>
      <w:r>
        <w:rPr>
          <w:spacing w:val="5"/>
          <w:w w:val="105"/>
          <w:sz w:val="13"/>
        </w:rPr>
        <w:t> </w:t>
      </w:r>
      <w:r>
        <w:rPr>
          <w:w w:val="105"/>
          <w:sz w:val="13"/>
        </w:rPr>
        <w:t>Ch</w:t>
      </w:r>
      <w:r>
        <w:rPr>
          <w:spacing w:val="4"/>
          <w:w w:val="105"/>
          <w:sz w:val="13"/>
        </w:rPr>
        <w:t> </w:t>
      </w:r>
      <w:r>
        <w:rPr>
          <w:w w:val="105"/>
          <w:sz w:val="13"/>
        </w:rPr>
        <w:t>9.</w:t>
      </w:r>
    </w:p>
    <w:p>
      <w:pPr>
        <w:pStyle w:val="ListParagraph"/>
        <w:numPr>
          <w:ilvl w:val="0"/>
          <w:numId w:val="179"/>
        </w:numPr>
        <w:tabs>
          <w:tab w:pos="2381" w:val="left" w:leader="none"/>
          <w:tab w:pos="2382" w:val="left" w:leader="none"/>
        </w:tabs>
        <w:spacing w:line="240" w:lineRule="auto" w:before="1" w:after="0"/>
        <w:ind w:left="2381" w:right="244" w:hanging="794"/>
        <w:jc w:val="left"/>
        <w:rPr>
          <w:sz w:val="13"/>
        </w:rPr>
      </w:pPr>
      <w:r>
        <w:rPr>
          <w:w w:val="105"/>
          <w:sz w:val="13"/>
        </w:rPr>
        <w:t>See, eg, 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42.01-3, 42.02-3, 42.03-3, 43.01-1, </w:t>
      </w:r>
      <w:r>
        <w:rPr>
          <w:spacing w:val="-5"/>
          <w:w w:val="105"/>
          <w:sz w:val="13"/>
        </w:rPr>
        <w:t>52.17-7. </w:t>
      </w:r>
      <w:r>
        <w:rPr>
          <w:w w:val="105"/>
          <w:sz w:val="13"/>
        </w:rPr>
        <w:t>See also Department of Environment, Land, Water and Planning </w:t>
      </w:r>
      <w:r>
        <w:rPr>
          <w:spacing w:val="2"/>
          <w:w w:val="105"/>
          <w:sz w:val="13"/>
        </w:rPr>
        <w:t>(Vic), </w:t>
      </w:r>
      <w:r>
        <w:rPr>
          <w:i/>
          <w:w w:val="105"/>
          <w:sz w:val="13"/>
        </w:rPr>
        <w:t>Exemptions from Requiring a Planning </w:t>
      </w:r>
      <w:r>
        <w:rPr>
          <w:i/>
          <w:w w:val="105"/>
          <w:sz w:val="13"/>
        </w:rPr>
        <w:t>Permit</w:t>
      </w:r>
      <w:r>
        <w:rPr>
          <w:i/>
          <w:spacing w:val="4"/>
          <w:w w:val="105"/>
          <w:sz w:val="13"/>
        </w:rPr>
        <w:t> </w:t>
      </w:r>
      <w:r>
        <w:rPr>
          <w:i/>
          <w:w w:val="105"/>
          <w:sz w:val="13"/>
        </w:rPr>
        <w:t>to</w:t>
      </w:r>
      <w:r>
        <w:rPr>
          <w:i/>
          <w:spacing w:val="5"/>
          <w:w w:val="105"/>
          <w:sz w:val="13"/>
        </w:rPr>
        <w:t> </w:t>
      </w:r>
      <w:r>
        <w:rPr>
          <w:i/>
          <w:w w:val="105"/>
          <w:sz w:val="13"/>
        </w:rPr>
        <w:t>Remove,</w:t>
      </w:r>
      <w:r>
        <w:rPr>
          <w:i/>
          <w:spacing w:val="5"/>
          <w:w w:val="105"/>
          <w:sz w:val="13"/>
        </w:rPr>
        <w:t> </w:t>
      </w:r>
      <w:r>
        <w:rPr>
          <w:i/>
          <w:w w:val="105"/>
          <w:sz w:val="13"/>
        </w:rPr>
        <w:t>Destroy</w:t>
      </w:r>
      <w:r>
        <w:rPr>
          <w:i/>
          <w:spacing w:val="5"/>
          <w:w w:val="105"/>
          <w:sz w:val="13"/>
        </w:rPr>
        <w:t> </w:t>
      </w:r>
      <w:r>
        <w:rPr>
          <w:i/>
          <w:w w:val="105"/>
          <w:sz w:val="13"/>
        </w:rPr>
        <w:t>or</w:t>
      </w:r>
      <w:r>
        <w:rPr>
          <w:i/>
          <w:spacing w:val="5"/>
          <w:w w:val="105"/>
          <w:sz w:val="13"/>
        </w:rPr>
        <w:t> </w:t>
      </w:r>
      <w:r>
        <w:rPr>
          <w:i/>
          <w:w w:val="105"/>
          <w:sz w:val="13"/>
        </w:rPr>
        <w:t>Lop</w:t>
      </w:r>
      <w:r>
        <w:rPr>
          <w:i/>
          <w:spacing w:val="5"/>
          <w:w w:val="105"/>
          <w:sz w:val="13"/>
        </w:rPr>
        <w:t> </w:t>
      </w:r>
      <w:r>
        <w:rPr>
          <w:i/>
          <w:w w:val="105"/>
          <w:sz w:val="13"/>
        </w:rPr>
        <w:t>Native</w:t>
      </w:r>
      <w:r>
        <w:rPr>
          <w:i/>
          <w:spacing w:val="5"/>
          <w:w w:val="105"/>
          <w:sz w:val="13"/>
        </w:rPr>
        <w:t> </w:t>
      </w:r>
      <w:r>
        <w:rPr>
          <w:i/>
          <w:w w:val="105"/>
          <w:sz w:val="13"/>
        </w:rPr>
        <w:t>Vegetation</w:t>
      </w:r>
      <w:r>
        <w:rPr>
          <w:i/>
          <w:spacing w:val="5"/>
          <w:w w:val="105"/>
          <w:sz w:val="13"/>
        </w:rPr>
        <w:t> </w:t>
      </w:r>
      <w:r>
        <w:rPr>
          <w:w w:val="105"/>
          <w:sz w:val="13"/>
        </w:rPr>
        <w:t>(Guidance</w:t>
      </w:r>
      <w:r>
        <w:rPr>
          <w:spacing w:val="5"/>
          <w:w w:val="105"/>
          <w:sz w:val="13"/>
        </w:rPr>
        <w:t> </w:t>
      </w:r>
      <w:r>
        <w:rPr>
          <w:w w:val="105"/>
          <w:sz w:val="13"/>
        </w:rPr>
        <w:t>Document,</w:t>
      </w:r>
      <w:r>
        <w:rPr>
          <w:spacing w:val="4"/>
          <w:w w:val="105"/>
          <w:sz w:val="13"/>
        </w:rPr>
        <w:t> </w:t>
      </w:r>
      <w:r>
        <w:rPr>
          <w:w w:val="105"/>
          <w:sz w:val="13"/>
        </w:rPr>
        <w:t>December</w:t>
      </w:r>
      <w:r>
        <w:rPr>
          <w:spacing w:val="5"/>
          <w:w w:val="105"/>
          <w:sz w:val="13"/>
        </w:rPr>
        <w:t> </w:t>
      </w:r>
      <w:r>
        <w:rPr>
          <w:w w:val="105"/>
          <w:sz w:val="13"/>
        </w:rPr>
        <w:t>2017).</w:t>
      </w:r>
    </w:p>
    <w:p>
      <w:pPr>
        <w:pStyle w:val="ListParagraph"/>
        <w:numPr>
          <w:ilvl w:val="0"/>
          <w:numId w:val="179"/>
        </w:numPr>
        <w:tabs>
          <w:tab w:pos="2381" w:val="left" w:leader="none"/>
          <w:tab w:pos="2382" w:val="left" w:leader="none"/>
        </w:tabs>
        <w:spacing w:line="240" w:lineRule="auto" w:before="4" w:after="0"/>
        <w:ind w:left="2381" w:right="50" w:hanging="794"/>
        <w:jc w:val="left"/>
        <w:rPr>
          <w:sz w:val="13"/>
        </w:rPr>
      </w:pPr>
      <w:r>
        <w:rPr>
          <w:w w:val="105"/>
          <w:sz w:val="13"/>
        </w:rPr>
        <w:t>See, eg, Department of Environment, Land, Water and Planning </w:t>
      </w:r>
      <w:r>
        <w:rPr>
          <w:spacing w:val="2"/>
          <w:w w:val="105"/>
          <w:sz w:val="13"/>
        </w:rPr>
        <w:t>(Vic), </w:t>
      </w:r>
      <w:r>
        <w:rPr>
          <w:i/>
          <w:w w:val="105"/>
          <w:sz w:val="13"/>
        </w:rPr>
        <w:t>Exemptions from Requiring a Planning Permit to Remove, Destroy or </w:t>
      </w:r>
      <w:r>
        <w:rPr>
          <w:i/>
          <w:w w:val="105"/>
          <w:sz w:val="13"/>
        </w:rPr>
        <w:t>Lop Native Vegetation </w:t>
      </w:r>
      <w:r>
        <w:rPr>
          <w:w w:val="105"/>
          <w:sz w:val="13"/>
        </w:rPr>
        <w:t>(Guidance Document, December 2017)10. In comparison, a shorter timeframe for the regular permit process is less than</w:t>
      </w:r>
      <w:r>
        <w:rPr>
          <w:spacing w:val="4"/>
          <w:w w:val="105"/>
          <w:sz w:val="13"/>
        </w:rPr>
        <w:t> </w:t>
      </w:r>
      <w:r>
        <w:rPr>
          <w:w w:val="105"/>
          <w:sz w:val="13"/>
        </w:rPr>
        <w:t>60</w:t>
      </w:r>
      <w:r>
        <w:rPr>
          <w:spacing w:val="5"/>
          <w:w w:val="105"/>
          <w:sz w:val="13"/>
        </w:rPr>
        <w:t> </w:t>
      </w:r>
      <w:r>
        <w:rPr>
          <w:w w:val="105"/>
          <w:sz w:val="13"/>
        </w:rPr>
        <w:t>days.</w:t>
      </w:r>
      <w:r>
        <w:rPr>
          <w:spacing w:val="4"/>
          <w:w w:val="105"/>
          <w:sz w:val="13"/>
        </w:rPr>
        <w:t> </w:t>
      </w:r>
      <w:r>
        <w:rPr>
          <w:w w:val="105"/>
          <w:sz w:val="13"/>
        </w:rPr>
        <w:t>A</w:t>
      </w:r>
      <w:r>
        <w:rPr>
          <w:spacing w:val="5"/>
          <w:w w:val="105"/>
          <w:sz w:val="13"/>
        </w:rPr>
        <w:t> </w:t>
      </w:r>
      <w:r>
        <w:rPr>
          <w:w w:val="105"/>
          <w:sz w:val="13"/>
        </w:rPr>
        <w:t>shorter</w:t>
      </w:r>
      <w:r>
        <w:rPr>
          <w:spacing w:val="4"/>
          <w:w w:val="105"/>
          <w:sz w:val="13"/>
        </w:rPr>
        <w:t> </w:t>
      </w:r>
      <w:r>
        <w:rPr>
          <w:w w:val="105"/>
          <w:sz w:val="13"/>
        </w:rPr>
        <w:t>timeframe</w:t>
      </w:r>
      <w:r>
        <w:rPr>
          <w:spacing w:val="5"/>
          <w:w w:val="105"/>
          <w:sz w:val="13"/>
        </w:rPr>
        <w:t> </w:t>
      </w:r>
      <w:r>
        <w:rPr>
          <w:w w:val="105"/>
          <w:sz w:val="13"/>
        </w:rPr>
        <w:t>for</w:t>
      </w:r>
      <w:r>
        <w:rPr>
          <w:spacing w:val="5"/>
          <w:w w:val="105"/>
          <w:sz w:val="13"/>
        </w:rPr>
        <w:t> </w:t>
      </w:r>
      <w:r>
        <w:rPr>
          <w:w w:val="105"/>
          <w:sz w:val="13"/>
        </w:rPr>
        <w:t>the</w:t>
      </w:r>
      <w:r>
        <w:rPr>
          <w:spacing w:val="4"/>
          <w:w w:val="105"/>
          <w:sz w:val="13"/>
        </w:rPr>
        <w:t> </w:t>
      </w:r>
      <w:r>
        <w:rPr>
          <w:w w:val="105"/>
          <w:sz w:val="13"/>
        </w:rPr>
        <w:t>VicSmart</w:t>
      </w:r>
      <w:r>
        <w:rPr>
          <w:spacing w:val="5"/>
          <w:w w:val="105"/>
          <w:sz w:val="13"/>
        </w:rPr>
        <w:t> </w:t>
      </w:r>
      <w:r>
        <w:rPr>
          <w:w w:val="105"/>
          <w:sz w:val="13"/>
        </w:rPr>
        <w:t>permit</w:t>
      </w:r>
      <w:r>
        <w:rPr>
          <w:spacing w:val="4"/>
          <w:w w:val="105"/>
          <w:sz w:val="13"/>
        </w:rPr>
        <w:t> </w:t>
      </w:r>
      <w:r>
        <w:rPr>
          <w:w w:val="105"/>
          <w:sz w:val="13"/>
        </w:rPr>
        <w:t>process</w:t>
      </w:r>
      <w:r>
        <w:rPr>
          <w:spacing w:val="5"/>
          <w:w w:val="105"/>
          <w:sz w:val="13"/>
        </w:rPr>
        <w:t> </w:t>
      </w:r>
      <w:r>
        <w:rPr>
          <w:w w:val="105"/>
          <w:sz w:val="13"/>
        </w:rPr>
        <w:t>is</w:t>
      </w:r>
      <w:r>
        <w:rPr>
          <w:spacing w:val="5"/>
          <w:w w:val="105"/>
          <w:sz w:val="13"/>
        </w:rPr>
        <w:t> </w:t>
      </w:r>
      <w:r>
        <w:rPr>
          <w:w w:val="105"/>
          <w:sz w:val="13"/>
        </w:rPr>
        <w:t>less</w:t>
      </w:r>
      <w:r>
        <w:rPr>
          <w:spacing w:val="4"/>
          <w:w w:val="105"/>
          <w:sz w:val="13"/>
        </w:rPr>
        <w:t> </w:t>
      </w:r>
      <w:r>
        <w:rPr>
          <w:w w:val="105"/>
          <w:sz w:val="13"/>
        </w:rPr>
        <w:t>than</w:t>
      </w:r>
      <w:r>
        <w:rPr>
          <w:spacing w:val="5"/>
          <w:w w:val="105"/>
          <w:sz w:val="13"/>
        </w:rPr>
        <w:t> </w:t>
      </w:r>
      <w:r>
        <w:rPr>
          <w:w w:val="105"/>
          <w:sz w:val="13"/>
        </w:rPr>
        <w:t>10</w:t>
      </w:r>
      <w:r>
        <w:rPr>
          <w:spacing w:val="4"/>
          <w:w w:val="105"/>
          <w:sz w:val="13"/>
        </w:rPr>
        <w:t> </w:t>
      </w:r>
      <w:r>
        <w:rPr>
          <w:w w:val="105"/>
          <w:sz w:val="13"/>
        </w:rPr>
        <w:t>days.</w:t>
      </w:r>
    </w:p>
    <w:p>
      <w:pPr>
        <w:pStyle w:val="ListParagraph"/>
        <w:numPr>
          <w:ilvl w:val="0"/>
          <w:numId w:val="179"/>
        </w:numPr>
        <w:tabs>
          <w:tab w:pos="2381" w:val="left" w:leader="none"/>
          <w:tab w:pos="2382" w:val="left" w:leader="none"/>
        </w:tabs>
        <w:spacing w:line="240" w:lineRule="auto" w:before="4" w:after="0"/>
        <w:ind w:left="2381" w:right="0" w:hanging="794"/>
        <w:jc w:val="left"/>
        <w:rPr>
          <w:i/>
          <w:sz w:val="13"/>
        </w:rPr>
      </w:pPr>
      <w:r>
        <w:rPr>
          <w:w w:val="105"/>
          <w:sz w:val="13"/>
        </w:rPr>
        <w:t>Department</w:t>
      </w:r>
      <w:r>
        <w:rPr>
          <w:spacing w:val="7"/>
          <w:w w:val="105"/>
          <w:sz w:val="13"/>
        </w:rPr>
        <w:t> </w:t>
      </w:r>
      <w:r>
        <w:rPr>
          <w:w w:val="105"/>
          <w:sz w:val="13"/>
        </w:rPr>
        <w:t>of</w:t>
      </w:r>
      <w:r>
        <w:rPr>
          <w:spacing w:val="7"/>
          <w:w w:val="105"/>
          <w:sz w:val="13"/>
        </w:rPr>
        <w:t> </w:t>
      </w:r>
      <w:r>
        <w:rPr>
          <w:w w:val="105"/>
          <w:sz w:val="13"/>
        </w:rPr>
        <w:t>Sustainability</w:t>
      </w:r>
      <w:r>
        <w:rPr>
          <w:spacing w:val="7"/>
          <w:w w:val="105"/>
          <w:sz w:val="13"/>
        </w:rPr>
        <w:t> </w:t>
      </w:r>
      <w:r>
        <w:rPr>
          <w:w w:val="105"/>
          <w:sz w:val="13"/>
        </w:rPr>
        <w:t>and</w:t>
      </w:r>
      <w:r>
        <w:rPr>
          <w:spacing w:val="7"/>
          <w:w w:val="105"/>
          <w:sz w:val="13"/>
        </w:rPr>
        <w:t> </w:t>
      </w:r>
      <w:r>
        <w:rPr>
          <w:w w:val="105"/>
          <w:sz w:val="13"/>
        </w:rPr>
        <w:t>Environment,</w:t>
      </w:r>
      <w:r>
        <w:rPr>
          <w:spacing w:val="7"/>
          <w:w w:val="105"/>
          <w:sz w:val="13"/>
        </w:rPr>
        <w:t> </w:t>
      </w:r>
      <w:r>
        <w:rPr>
          <w:i/>
          <w:w w:val="105"/>
          <w:sz w:val="13"/>
        </w:rPr>
        <w:t>Cutting</w:t>
      </w:r>
      <w:r>
        <w:rPr>
          <w:i/>
          <w:spacing w:val="8"/>
          <w:w w:val="105"/>
          <w:sz w:val="13"/>
        </w:rPr>
        <w:t> </w:t>
      </w:r>
      <w:r>
        <w:rPr>
          <w:i/>
          <w:w w:val="105"/>
          <w:sz w:val="13"/>
        </w:rPr>
        <w:t>Red</w:t>
      </w:r>
      <w:r>
        <w:rPr>
          <w:i/>
          <w:spacing w:val="7"/>
          <w:w w:val="105"/>
          <w:sz w:val="13"/>
        </w:rPr>
        <w:t> </w:t>
      </w:r>
      <w:r>
        <w:rPr>
          <w:i/>
          <w:w w:val="105"/>
          <w:sz w:val="13"/>
        </w:rPr>
        <w:t>Tape</w:t>
      </w:r>
      <w:r>
        <w:rPr>
          <w:i/>
          <w:spacing w:val="7"/>
          <w:w w:val="105"/>
          <w:sz w:val="13"/>
        </w:rPr>
        <w:t> </w:t>
      </w:r>
      <w:r>
        <w:rPr>
          <w:i/>
          <w:w w:val="105"/>
          <w:sz w:val="13"/>
        </w:rPr>
        <w:t>In</w:t>
      </w:r>
      <w:r>
        <w:rPr>
          <w:i/>
          <w:spacing w:val="7"/>
          <w:w w:val="105"/>
          <w:sz w:val="13"/>
        </w:rPr>
        <w:t> </w:t>
      </w:r>
      <w:r>
        <w:rPr>
          <w:i/>
          <w:w w:val="105"/>
          <w:sz w:val="13"/>
        </w:rPr>
        <w:t>Planning—15</w:t>
      </w:r>
      <w:r>
        <w:rPr>
          <w:i/>
          <w:spacing w:val="7"/>
          <w:w w:val="105"/>
          <w:sz w:val="13"/>
        </w:rPr>
        <w:t> </w:t>
      </w:r>
      <w:r>
        <w:rPr>
          <w:i/>
          <w:w w:val="105"/>
          <w:sz w:val="13"/>
        </w:rPr>
        <w:t>Recommendations</w:t>
      </w:r>
      <w:r>
        <w:rPr>
          <w:i/>
          <w:spacing w:val="7"/>
          <w:w w:val="105"/>
          <w:sz w:val="13"/>
        </w:rPr>
        <w:t> </w:t>
      </w:r>
      <w:r>
        <w:rPr>
          <w:i/>
          <w:w w:val="105"/>
          <w:sz w:val="13"/>
        </w:rPr>
        <w:t>For</w:t>
      </w:r>
      <w:r>
        <w:rPr>
          <w:i/>
          <w:spacing w:val="8"/>
          <w:w w:val="105"/>
          <w:sz w:val="13"/>
        </w:rPr>
        <w:t> </w:t>
      </w:r>
      <w:r>
        <w:rPr>
          <w:i/>
          <w:w w:val="105"/>
          <w:sz w:val="13"/>
        </w:rPr>
        <w:t>a</w:t>
      </w:r>
      <w:r>
        <w:rPr>
          <w:i/>
          <w:spacing w:val="7"/>
          <w:w w:val="105"/>
          <w:sz w:val="13"/>
        </w:rPr>
        <w:t> </w:t>
      </w:r>
      <w:r>
        <w:rPr>
          <w:i/>
          <w:w w:val="105"/>
          <w:sz w:val="13"/>
        </w:rPr>
        <w:t>Better</w:t>
      </w:r>
      <w:r>
        <w:rPr>
          <w:i/>
          <w:spacing w:val="7"/>
          <w:w w:val="105"/>
          <w:sz w:val="13"/>
        </w:rPr>
        <w:t> </w:t>
      </w:r>
      <w:r>
        <w:rPr>
          <w:i/>
          <w:w w:val="105"/>
          <w:sz w:val="13"/>
        </w:rPr>
        <w:t>Victorian</w:t>
      </w:r>
      <w:r>
        <w:rPr>
          <w:i/>
          <w:spacing w:val="7"/>
          <w:w w:val="105"/>
          <w:sz w:val="13"/>
        </w:rPr>
        <w:t> </w:t>
      </w:r>
      <w:r>
        <w:rPr>
          <w:i/>
          <w:w w:val="105"/>
          <w:sz w:val="13"/>
        </w:rPr>
        <w:t>Planning</w:t>
      </w:r>
      <w:r>
        <w:rPr>
          <w:i/>
          <w:spacing w:val="7"/>
          <w:w w:val="105"/>
          <w:sz w:val="13"/>
        </w:rPr>
        <w:t> </w:t>
      </w:r>
      <w:r>
        <w:rPr>
          <w:i/>
          <w:w w:val="105"/>
          <w:sz w:val="13"/>
        </w:rPr>
        <w:t>System</w:t>
      </w:r>
    </w:p>
    <w:p>
      <w:pPr>
        <w:spacing w:before="1"/>
        <w:ind w:left="2381" w:right="0" w:firstLine="0"/>
        <w:jc w:val="left"/>
        <w:rPr>
          <w:sz w:val="13"/>
        </w:rPr>
      </w:pPr>
      <w:r>
        <w:rPr>
          <w:w w:val="105"/>
          <w:sz w:val="13"/>
        </w:rPr>
        <w:t>(Report, August 2006) 16–17.</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spacing w:before="176"/>
        <w:ind w:left="577" w:right="575" w:firstLine="0"/>
        <w:jc w:val="center"/>
        <w:rPr>
          <w:b/>
          <w:sz w:val="24"/>
        </w:rPr>
      </w:pPr>
      <w:r>
        <w:rPr>
          <w:b/>
          <w:color w:val="658464"/>
          <w:w w:val="110"/>
          <w:sz w:val="24"/>
        </w:rPr>
        <w:t>245</w:t>
      </w:r>
    </w:p>
    <w:p>
      <w:pPr>
        <w:spacing w:after="0"/>
        <w:jc w:val="center"/>
        <w:rPr>
          <w:sz w:val="24"/>
        </w:rPr>
        <w:sectPr>
          <w:type w:val="continuous"/>
          <w:pgSz w:w="11910" w:h="16840"/>
          <w:pgMar w:top="300" w:bottom="280" w:left="0" w:right="0"/>
          <w:cols w:num="2" w:equalWidth="0">
            <w:col w:w="10276" w:space="40"/>
            <w:col w:w="1594"/>
          </w:cols>
        </w:sectPr>
      </w:pPr>
    </w:p>
    <w:p>
      <w:pPr>
        <w:pStyle w:val="BodyText"/>
        <w:spacing w:before="9"/>
        <w:rPr>
          <w:b/>
          <w:sz w:val="22"/>
        </w:rPr>
      </w:pPr>
    </w:p>
    <w:p>
      <w:pPr>
        <w:pStyle w:val="ListParagraph"/>
        <w:numPr>
          <w:ilvl w:val="1"/>
          <w:numId w:val="179"/>
        </w:numPr>
        <w:tabs>
          <w:tab w:pos="2721" w:val="left" w:leader="none"/>
          <w:tab w:pos="2722" w:val="left" w:leader="none"/>
        </w:tabs>
        <w:spacing w:line="242" w:lineRule="auto" w:before="92" w:after="0"/>
        <w:ind w:left="2721" w:right="1655" w:hanging="340"/>
        <w:jc w:val="left"/>
        <w:rPr>
          <w:sz w:val="21"/>
        </w:rPr>
      </w:pPr>
      <w:r>
        <w:rPr>
          <w:w w:val="105"/>
          <w:sz w:val="21"/>
        </w:rPr>
        <w:t>Protected vegetation </w:t>
      </w:r>
      <w:r>
        <w:rPr>
          <w:spacing w:val="-3"/>
          <w:w w:val="105"/>
          <w:sz w:val="21"/>
        </w:rPr>
        <w:t>will </w:t>
      </w:r>
      <w:r>
        <w:rPr>
          <w:w w:val="105"/>
          <w:sz w:val="21"/>
        </w:rPr>
        <w:t>only be </w:t>
      </w:r>
      <w:r>
        <w:rPr>
          <w:spacing w:val="-3"/>
          <w:w w:val="105"/>
          <w:sz w:val="21"/>
        </w:rPr>
        <w:t>interfered </w:t>
      </w:r>
      <w:r>
        <w:rPr>
          <w:w w:val="105"/>
          <w:sz w:val="21"/>
        </w:rPr>
        <w:t>with on the basis of damage caused or damage or </w:t>
      </w:r>
      <w:r>
        <w:rPr>
          <w:spacing w:val="-3"/>
          <w:w w:val="105"/>
          <w:sz w:val="21"/>
        </w:rPr>
        <w:t>harm </w:t>
      </w:r>
      <w:r>
        <w:rPr>
          <w:spacing w:val="-4"/>
          <w:w w:val="105"/>
          <w:sz w:val="21"/>
        </w:rPr>
        <w:t>likely </w:t>
      </w:r>
      <w:r>
        <w:rPr>
          <w:spacing w:val="-3"/>
          <w:w w:val="105"/>
          <w:sz w:val="21"/>
        </w:rPr>
        <w:t>to </w:t>
      </w:r>
      <w:r>
        <w:rPr>
          <w:w w:val="105"/>
          <w:sz w:val="21"/>
        </w:rPr>
        <w:t>be caused </w:t>
      </w:r>
      <w:r>
        <w:rPr>
          <w:spacing w:val="-3"/>
          <w:w w:val="105"/>
          <w:sz w:val="21"/>
        </w:rPr>
        <w:t>within </w:t>
      </w:r>
      <w:r>
        <w:rPr>
          <w:w w:val="105"/>
          <w:sz w:val="21"/>
        </w:rPr>
        <w:t>the next </w:t>
      </w:r>
      <w:r>
        <w:rPr>
          <w:spacing w:val="-9"/>
          <w:w w:val="105"/>
          <w:sz w:val="21"/>
        </w:rPr>
        <w:t>12 </w:t>
      </w:r>
      <w:r>
        <w:rPr>
          <w:spacing w:val="-3"/>
          <w:w w:val="105"/>
          <w:sz w:val="21"/>
        </w:rPr>
        <w:t>months </w:t>
      </w:r>
      <w:r>
        <w:rPr>
          <w:w w:val="105"/>
          <w:sz w:val="21"/>
        </w:rPr>
        <w:t>as </w:t>
      </w:r>
      <w:r>
        <w:rPr>
          <w:spacing w:val="-3"/>
          <w:w w:val="105"/>
          <w:sz w:val="21"/>
        </w:rPr>
        <w:t>determined </w:t>
      </w:r>
      <w:r>
        <w:rPr>
          <w:w w:val="105"/>
          <w:sz w:val="21"/>
        </w:rPr>
        <w:t>by a suitably qualified arborist and when ordered by </w:t>
      </w:r>
      <w:r>
        <w:rPr>
          <w:spacing w:val="-8"/>
          <w:w w:val="105"/>
          <w:sz w:val="21"/>
        </w:rPr>
        <w:t>VCAT. </w:t>
      </w:r>
      <w:r>
        <w:rPr>
          <w:w w:val="105"/>
          <w:sz w:val="21"/>
        </w:rPr>
        <w:t>Leaf litter and </w:t>
      </w:r>
      <w:r>
        <w:rPr>
          <w:spacing w:val="-3"/>
          <w:w w:val="105"/>
          <w:sz w:val="21"/>
        </w:rPr>
        <w:t>maintenance </w:t>
      </w:r>
      <w:r>
        <w:rPr>
          <w:w w:val="105"/>
          <w:sz w:val="21"/>
        </w:rPr>
        <w:t>issues</w:t>
      </w:r>
      <w:r>
        <w:rPr>
          <w:spacing w:val="-7"/>
          <w:w w:val="105"/>
          <w:sz w:val="21"/>
        </w:rPr>
        <w:t> </w:t>
      </w:r>
      <w:r>
        <w:rPr>
          <w:w w:val="105"/>
          <w:sz w:val="21"/>
        </w:rPr>
        <w:t>as</w:t>
      </w:r>
      <w:r>
        <w:rPr>
          <w:spacing w:val="-7"/>
          <w:w w:val="105"/>
          <w:sz w:val="21"/>
        </w:rPr>
        <w:t> </w:t>
      </w:r>
      <w:r>
        <w:rPr>
          <w:spacing w:val="-3"/>
          <w:w w:val="105"/>
          <w:sz w:val="21"/>
        </w:rPr>
        <w:t>well</w:t>
      </w:r>
      <w:r>
        <w:rPr>
          <w:spacing w:val="-6"/>
          <w:w w:val="105"/>
          <w:sz w:val="21"/>
        </w:rPr>
        <w:t> </w:t>
      </w:r>
      <w:r>
        <w:rPr>
          <w:w w:val="105"/>
          <w:sz w:val="21"/>
        </w:rPr>
        <w:t>as</w:t>
      </w:r>
      <w:r>
        <w:rPr>
          <w:spacing w:val="-7"/>
          <w:w w:val="105"/>
          <w:sz w:val="21"/>
        </w:rPr>
        <w:t> </w:t>
      </w:r>
      <w:r>
        <w:rPr>
          <w:spacing w:val="-3"/>
          <w:w w:val="105"/>
          <w:sz w:val="21"/>
        </w:rPr>
        <w:t>concerns</w:t>
      </w:r>
      <w:r>
        <w:rPr>
          <w:spacing w:val="-6"/>
          <w:w w:val="105"/>
          <w:sz w:val="21"/>
        </w:rPr>
        <w:t> </w:t>
      </w:r>
      <w:r>
        <w:rPr>
          <w:w w:val="105"/>
          <w:sz w:val="21"/>
        </w:rPr>
        <w:t>about</w:t>
      </w:r>
      <w:r>
        <w:rPr>
          <w:spacing w:val="-7"/>
          <w:w w:val="105"/>
          <w:sz w:val="21"/>
        </w:rPr>
        <w:t> </w:t>
      </w:r>
      <w:r>
        <w:rPr>
          <w:w w:val="105"/>
          <w:sz w:val="21"/>
        </w:rPr>
        <w:t>perceived</w:t>
      </w:r>
      <w:r>
        <w:rPr>
          <w:spacing w:val="-6"/>
          <w:w w:val="105"/>
          <w:sz w:val="21"/>
        </w:rPr>
        <w:t> </w:t>
      </w:r>
      <w:r>
        <w:rPr>
          <w:w w:val="105"/>
          <w:sz w:val="21"/>
        </w:rPr>
        <w:t>risks</w:t>
      </w:r>
      <w:r>
        <w:rPr>
          <w:spacing w:val="-7"/>
          <w:w w:val="105"/>
          <w:sz w:val="21"/>
        </w:rPr>
        <w:t> </w:t>
      </w:r>
      <w:r>
        <w:rPr>
          <w:w w:val="105"/>
          <w:sz w:val="21"/>
        </w:rPr>
        <w:t>posed</w:t>
      </w:r>
      <w:r>
        <w:rPr>
          <w:spacing w:val="-6"/>
          <w:w w:val="105"/>
          <w:sz w:val="21"/>
        </w:rPr>
        <w:t> </w:t>
      </w:r>
      <w:r>
        <w:rPr>
          <w:w w:val="105"/>
          <w:sz w:val="21"/>
        </w:rPr>
        <w:t>by</w:t>
      </w:r>
      <w:r>
        <w:rPr>
          <w:spacing w:val="-7"/>
          <w:w w:val="105"/>
          <w:sz w:val="21"/>
        </w:rPr>
        <w:t> </w:t>
      </w:r>
      <w:r>
        <w:rPr>
          <w:w w:val="105"/>
          <w:sz w:val="21"/>
        </w:rPr>
        <w:t>a</w:t>
      </w:r>
      <w:r>
        <w:rPr>
          <w:spacing w:val="-6"/>
          <w:w w:val="105"/>
          <w:sz w:val="21"/>
        </w:rPr>
        <w:t> </w:t>
      </w:r>
      <w:r>
        <w:rPr>
          <w:w w:val="105"/>
          <w:sz w:val="21"/>
        </w:rPr>
        <w:t>tree</w:t>
      </w:r>
      <w:r>
        <w:rPr>
          <w:spacing w:val="-7"/>
          <w:w w:val="105"/>
          <w:sz w:val="21"/>
        </w:rPr>
        <w:t> </w:t>
      </w:r>
      <w:r>
        <w:rPr>
          <w:spacing w:val="-3"/>
          <w:w w:val="105"/>
          <w:sz w:val="21"/>
        </w:rPr>
        <w:t>will</w:t>
      </w:r>
      <w:r>
        <w:rPr>
          <w:spacing w:val="-6"/>
          <w:w w:val="105"/>
          <w:sz w:val="21"/>
        </w:rPr>
        <w:t> </w:t>
      </w:r>
      <w:r>
        <w:rPr>
          <w:spacing w:val="-2"/>
          <w:w w:val="105"/>
          <w:sz w:val="21"/>
        </w:rPr>
        <w:t>not</w:t>
      </w:r>
      <w:r>
        <w:rPr>
          <w:spacing w:val="-7"/>
          <w:w w:val="105"/>
          <w:sz w:val="21"/>
        </w:rPr>
        <w:t> </w:t>
      </w:r>
      <w:r>
        <w:rPr>
          <w:spacing w:val="-4"/>
          <w:w w:val="105"/>
          <w:sz w:val="21"/>
        </w:rPr>
        <w:t>fall</w:t>
      </w:r>
      <w:r>
        <w:rPr>
          <w:spacing w:val="-6"/>
          <w:w w:val="105"/>
          <w:sz w:val="21"/>
        </w:rPr>
        <w:t> </w:t>
      </w:r>
      <w:r>
        <w:rPr>
          <w:spacing w:val="-3"/>
          <w:w w:val="105"/>
          <w:sz w:val="21"/>
        </w:rPr>
        <w:t>within</w:t>
      </w:r>
      <w:r>
        <w:rPr>
          <w:spacing w:val="-7"/>
          <w:w w:val="105"/>
          <w:sz w:val="21"/>
        </w:rPr>
        <w:t> </w:t>
      </w:r>
      <w:r>
        <w:rPr>
          <w:w w:val="105"/>
          <w:sz w:val="21"/>
        </w:rPr>
        <w:t>the scope of the new</w:t>
      </w:r>
      <w:r>
        <w:rPr>
          <w:spacing w:val="21"/>
          <w:w w:val="105"/>
          <w:sz w:val="21"/>
        </w:rPr>
        <w:t> </w:t>
      </w:r>
      <w:r>
        <w:rPr>
          <w:w w:val="105"/>
          <w:sz w:val="21"/>
        </w:rPr>
        <w:t>Act.</w:t>
      </w:r>
    </w:p>
    <w:p>
      <w:pPr>
        <w:pStyle w:val="ListParagraph"/>
        <w:numPr>
          <w:ilvl w:val="1"/>
          <w:numId w:val="179"/>
        </w:numPr>
        <w:tabs>
          <w:tab w:pos="2721" w:val="left" w:leader="none"/>
          <w:tab w:pos="2722" w:val="left" w:leader="none"/>
        </w:tabs>
        <w:spacing w:line="242" w:lineRule="auto" w:before="90" w:after="0"/>
        <w:ind w:left="2721" w:right="1949" w:hanging="340"/>
        <w:jc w:val="left"/>
        <w:rPr>
          <w:sz w:val="21"/>
        </w:rPr>
      </w:pPr>
      <w:r>
        <w:rPr>
          <w:w w:val="105"/>
          <w:sz w:val="21"/>
        </w:rPr>
        <w:t>Decisions </w:t>
      </w:r>
      <w:r>
        <w:rPr>
          <w:spacing w:val="-3"/>
          <w:w w:val="105"/>
          <w:sz w:val="21"/>
        </w:rPr>
        <w:t>to interfere </w:t>
      </w:r>
      <w:r>
        <w:rPr>
          <w:w w:val="105"/>
          <w:sz w:val="21"/>
        </w:rPr>
        <w:t>with protected vegetation </w:t>
      </w:r>
      <w:r>
        <w:rPr>
          <w:spacing w:val="-3"/>
          <w:w w:val="105"/>
          <w:sz w:val="21"/>
        </w:rPr>
        <w:t>will </w:t>
      </w:r>
      <w:r>
        <w:rPr>
          <w:w w:val="105"/>
          <w:sz w:val="21"/>
        </w:rPr>
        <w:t>be based on </w:t>
      </w:r>
      <w:r>
        <w:rPr>
          <w:spacing w:val="-3"/>
          <w:w w:val="105"/>
          <w:sz w:val="21"/>
        </w:rPr>
        <w:t>comprehensive </w:t>
      </w:r>
      <w:r>
        <w:rPr>
          <w:w w:val="105"/>
          <w:sz w:val="21"/>
        </w:rPr>
        <w:t>decision-making </w:t>
      </w:r>
      <w:r>
        <w:rPr>
          <w:spacing w:val="-3"/>
          <w:w w:val="105"/>
          <w:sz w:val="21"/>
        </w:rPr>
        <w:t>principles </w:t>
      </w:r>
      <w:r>
        <w:rPr>
          <w:w w:val="105"/>
          <w:sz w:val="21"/>
        </w:rPr>
        <w:t>in the new Act </w:t>
      </w:r>
      <w:r>
        <w:rPr>
          <w:spacing w:val="-3"/>
          <w:w w:val="105"/>
          <w:sz w:val="21"/>
        </w:rPr>
        <w:t>that take </w:t>
      </w:r>
      <w:r>
        <w:rPr>
          <w:spacing w:val="-4"/>
          <w:w w:val="105"/>
          <w:sz w:val="21"/>
        </w:rPr>
        <w:t>into </w:t>
      </w:r>
      <w:r>
        <w:rPr>
          <w:spacing w:val="-3"/>
          <w:w w:val="105"/>
          <w:sz w:val="21"/>
        </w:rPr>
        <w:t>account </w:t>
      </w:r>
      <w:r>
        <w:rPr>
          <w:w w:val="105"/>
          <w:sz w:val="21"/>
        </w:rPr>
        <w:t>broader </w:t>
      </w:r>
      <w:r>
        <w:rPr>
          <w:spacing w:val="-3"/>
          <w:w w:val="105"/>
          <w:sz w:val="21"/>
        </w:rPr>
        <w:t>planning </w:t>
      </w:r>
      <w:r>
        <w:rPr>
          <w:w w:val="105"/>
          <w:sz w:val="21"/>
        </w:rPr>
        <w:t>policy</w:t>
      </w:r>
      <w:r>
        <w:rPr>
          <w:spacing w:val="5"/>
          <w:w w:val="105"/>
          <w:sz w:val="21"/>
        </w:rPr>
        <w:t> </w:t>
      </w:r>
      <w:r>
        <w:rPr>
          <w:w w:val="105"/>
          <w:sz w:val="21"/>
        </w:rPr>
        <w:t>objectives.</w:t>
      </w:r>
    </w:p>
    <w:p>
      <w:pPr>
        <w:pStyle w:val="ListParagraph"/>
        <w:numPr>
          <w:ilvl w:val="0"/>
          <w:numId w:val="173"/>
        </w:numPr>
        <w:tabs>
          <w:tab w:pos="2381" w:val="left" w:leader="none"/>
          <w:tab w:pos="2382" w:val="left" w:leader="none"/>
        </w:tabs>
        <w:spacing w:line="242" w:lineRule="auto" w:before="88" w:after="0"/>
        <w:ind w:left="2381" w:right="1664" w:hanging="794"/>
        <w:jc w:val="left"/>
        <w:rPr>
          <w:sz w:val="21"/>
        </w:rPr>
      </w:pPr>
      <w:r>
        <w:rPr>
          <w:spacing w:val="-4"/>
          <w:w w:val="105"/>
          <w:sz w:val="21"/>
        </w:rPr>
        <w:t>Further, </w:t>
      </w:r>
      <w:r>
        <w:rPr>
          <w:w w:val="105"/>
          <w:sz w:val="21"/>
        </w:rPr>
        <w:t>because the proposed </w:t>
      </w:r>
      <w:r>
        <w:rPr>
          <w:spacing w:val="-3"/>
          <w:w w:val="105"/>
          <w:sz w:val="21"/>
        </w:rPr>
        <w:t>change </w:t>
      </w:r>
      <w:r>
        <w:rPr>
          <w:w w:val="105"/>
          <w:sz w:val="21"/>
        </w:rPr>
        <w:t>is based on exemption </w:t>
      </w:r>
      <w:r>
        <w:rPr>
          <w:spacing w:val="-3"/>
          <w:w w:val="105"/>
          <w:sz w:val="21"/>
        </w:rPr>
        <w:t>to </w:t>
      </w:r>
      <w:r>
        <w:rPr>
          <w:w w:val="105"/>
          <w:sz w:val="21"/>
        </w:rPr>
        <w:t>the VPPs, the broader notification </w:t>
      </w:r>
      <w:r>
        <w:rPr>
          <w:spacing w:val="-3"/>
          <w:w w:val="105"/>
          <w:sz w:val="21"/>
        </w:rPr>
        <w:t>requirements that </w:t>
      </w:r>
      <w:r>
        <w:rPr>
          <w:w w:val="105"/>
          <w:sz w:val="21"/>
        </w:rPr>
        <w:t>apply </w:t>
      </w:r>
      <w:r>
        <w:rPr>
          <w:spacing w:val="-3"/>
          <w:w w:val="105"/>
          <w:sz w:val="21"/>
        </w:rPr>
        <w:t>to </w:t>
      </w:r>
      <w:r>
        <w:rPr>
          <w:w w:val="105"/>
          <w:sz w:val="21"/>
        </w:rPr>
        <w:t>permits under the </w:t>
      </w:r>
      <w:r>
        <w:rPr>
          <w:spacing w:val="4"/>
          <w:w w:val="105"/>
          <w:sz w:val="21"/>
        </w:rPr>
        <w:t>P&amp;E </w:t>
      </w:r>
      <w:r>
        <w:rPr>
          <w:w w:val="105"/>
          <w:sz w:val="21"/>
        </w:rPr>
        <w:t>Act would </w:t>
      </w:r>
      <w:r>
        <w:rPr>
          <w:spacing w:val="-2"/>
          <w:w w:val="105"/>
          <w:sz w:val="21"/>
        </w:rPr>
        <w:t>not </w:t>
      </w:r>
      <w:r>
        <w:rPr>
          <w:spacing w:val="-4"/>
          <w:w w:val="105"/>
          <w:sz w:val="21"/>
        </w:rPr>
        <w:t>apply. </w:t>
      </w:r>
      <w:r>
        <w:rPr>
          <w:spacing w:val="-3"/>
          <w:w w:val="105"/>
          <w:sz w:val="21"/>
        </w:rPr>
        <w:t>Instead, </w:t>
      </w:r>
      <w:r>
        <w:rPr>
          <w:w w:val="105"/>
          <w:sz w:val="21"/>
        </w:rPr>
        <w:t>it would only be necessary </w:t>
      </w:r>
      <w:r>
        <w:rPr>
          <w:spacing w:val="-3"/>
          <w:w w:val="105"/>
          <w:sz w:val="21"/>
        </w:rPr>
        <w:t>to </w:t>
      </w:r>
      <w:r>
        <w:rPr>
          <w:w w:val="105"/>
          <w:sz w:val="21"/>
        </w:rPr>
        <w:t>notify the parties </w:t>
      </w:r>
      <w:r>
        <w:rPr>
          <w:spacing w:val="-3"/>
          <w:w w:val="105"/>
          <w:sz w:val="21"/>
        </w:rPr>
        <w:t>to </w:t>
      </w:r>
      <w:r>
        <w:rPr>
          <w:w w:val="105"/>
          <w:sz w:val="21"/>
        </w:rPr>
        <w:t>the </w:t>
      </w:r>
      <w:r>
        <w:rPr>
          <w:spacing w:val="-3"/>
          <w:w w:val="105"/>
          <w:sz w:val="21"/>
        </w:rPr>
        <w:t>dispute </w:t>
      </w:r>
      <w:r>
        <w:rPr>
          <w:w w:val="105"/>
          <w:sz w:val="21"/>
        </w:rPr>
        <w:t>and </w:t>
      </w:r>
      <w:r>
        <w:rPr>
          <w:spacing w:val="-3"/>
          <w:w w:val="105"/>
          <w:sz w:val="21"/>
        </w:rPr>
        <w:t>any </w:t>
      </w:r>
      <w:r>
        <w:rPr>
          <w:w w:val="105"/>
          <w:sz w:val="21"/>
        </w:rPr>
        <w:t>other party</w:t>
      </w:r>
      <w:r>
        <w:rPr>
          <w:spacing w:val="-5"/>
          <w:w w:val="105"/>
          <w:sz w:val="21"/>
        </w:rPr>
        <w:t> </w:t>
      </w:r>
      <w:r>
        <w:rPr>
          <w:w w:val="105"/>
          <w:sz w:val="21"/>
        </w:rPr>
        <w:t>specified</w:t>
      </w:r>
      <w:r>
        <w:rPr>
          <w:spacing w:val="-5"/>
          <w:w w:val="105"/>
          <w:sz w:val="21"/>
        </w:rPr>
        <w:t> </w:t>
      </w:r>
      <w:r>
        <w:rPr>
          <w:w w:val="105"/>
          <w:sz w:val="21"/>
        </w:rPr>
        <w:t>in</w:t>
      </w:r>
      <w:r>
        <w:rPr>
          <w:spacing w:val="-5"/>
          <w:w w:val="105"/>
          <w:sz w:val="21"/>
        </w:rPr>
        <w:t> </w:t>
      </w:r>
      <w:r>
        <w:rPr>
          <w:w w:val="105"/>
          <w:sz w:val="21"/>
        </w:rPr>
        <w:t>the</w:t>
      </w:r>
      <w:r>
        <w:rPr>
          <w:spacing w:val="-4"/>
          <w:w w:val="105"/>
          <w:sz w:val="21"/>
        </w:rPr>
        <w:t> </w:t>
      </w:r>
      <w:r>
        <w:rPr>
          <w:w w:val="105"/>
          <w:sz w:val="21"/>
        </w:rPr>
        <w:t>new</w:t>
      </w:r>
      <w:r>
        <w:rPr>
          <w:spacing w:val="-5"/>
          <w:w w:val="105"/>
          <w:sz w:val="21"/>
        </w:rPr>
        <w:t> </w:t>
      </w:r>
      <w:r>
        <w:rPr>
          <w:w w:val="105"/>
          <w:sz w:val="21"/>
        </w:rPr>
        <w:t>Act.</w:t>
      </w:r>
      <w:r>
        <w:rPr>
          <w:spacing w:val="-5"/>
          <w:w w:val="105"/>
          <w:sz w:val="21"/>
        </w:rPr>
        <w:t> </w:t>
      </w:r>
      <w:r>
        <w:rPr>
          <w:w w:val="105"/>
          <w:sz w:val="21"/>
        </w:rPr>
        <w:t>In</w:t>
      </w:r>
      <w:r>
        <w:rPr>
          <w:spacing w:val="-5"/>
          <w:w w:val="105"/>
          <w:sz w:val="21"/>
        </w:rPr>
        <w:t> </w:t>
      </w:r>
      <w:r>
        <w:rPr>
          <w:spacing w:val="-3"/>
          <w:w w:val="105"/>
          <w:sz w:val="21"/>
        </w:rPr>
        <w:t>addition,</w:t>
      </w:r>
      <w:r>
        <w:rPr>
          <w:spacing w:val="-4"/>
          <w:w w:val="105"/>
          <w:sz w:val="21"/>
        </w:rPr>
        <w:t> </w:t>
      </w:r>
      <w:r>
        <w:rPr>
          <w:w w:val="105"/>
          <w:sz w:val="21"/>
        </w:rPr>
        <w:t>most</w:t>
      </w:r>
      <w:r>
        <w:rPr>
          <w:spacing w:val="-5"/>
          <w:w w:val="105"/>
          <w:sz w:val="21"/>
        </w:rPr>
        <w:t> </w:t>
      </w:r>
      <w:r>
        <w:rPr>
          <w:w w:val="105"/>
          <w:sz w:val="21"/>
        </w:rPr>
        <w:t>tree</w:t>
      </w:r>
      <w:r>
        <w:rPr>
          <w:spacing w:val="-5"/>
          <w:w w:val="105"/>
          <w:sz w:val="21"/>
        </w:rPr>
        <w:t> </w:t>
      </w:r>
      <w:r>
        <w:rPr>
          <w:spacing w:val="-3"/>
          <w:w w:val="105"/>
          <w:sz w:val="21"/>
        </w:rPr>
        <w:t>disputes</w:t>
      </w:r>
      <w:r>
        <w:rPr>
          <w:spacing w:val="-4"/>
          <w:w w:val="105"/>
          <w:sz w:val="21"/>
        </w:rPr>
        <w:t> </w:t>
      </w:r>
      <w:r>
        <w:rPr>
          <w:w w:val="105"/>
          <w:sz w:val="21"/>
        </w:rPr>
        <w:t>would</w:t>
      </w:r>
      <w:r>
        <w:rPr>
          <w:spacing w:val="-5"/>
          <w:w w:val="105"/>
          <w:sz w:val="21"/>
        </w:rPr>
        <w:t> </w:t>
      </w:r>
      <w:r>
        <w:rPr>
          <w:spacing w:val="-4"/>
          <w:w w:val="105"/>
          <w:sz w:val="21"/>
        </w:rPr>
        <w:t>invoke</w:t>
      </w:r>
      <w:r>
        <w:rPr>
          <w:spacing w:val="-5"/>
          <w:w w:val="105"/>
          <w:sz w:val="21"/>
        </w:rPr>
        <w:t> </w:t>
      </w:r>
      <w:r>
        <w:rPr>
          <w:w w:val="105"/>
          <w:sz w:val="21"/>
        </w:rPr>
        <w:t>the</w:t>
      </w:r>
      <w:r>
        <w:rPr>
          <w:spacing w:val="-5"/>
          <w:w w:val="105"/>
          <w:sz w:val="21"/>
        </w:rPr>
        <w:t> </w:t>
      </w:r>
      <w:r>
        <w:rPr>
          <w:w w:val="105"/>
          <w:sz w:val="21"/>
        </w:rPr>
        <w:t>VicSmart permit process, designed </w:t>
      </w:r>
      <w:r>
        <w:rPr>
          <w:spacing w:val="-3"/>
          <w:w w:val="105"/>
          <w:sz w:val="21"/>
        </w:rPr>
        <w:t>to streamline </w:t>
      </w:r>
      <w:r>
        <w:rPr>
          <w:w w:val="105"/>
          <w:sz w:val="21"/>
        </w:rPr>
        <w:t>straightforward and low-impact </w:t>
      </w:r>
      <w:r>
        <w:rPr>
          <w:spacing w:val="-3"/>
          <w:w w:val="105"/>
          <w:sz w:val="21"/>
        </w:rPr>
        <w:t>planning </w:t>
      </w:r>
      <w:r>
        <w:rPr>
          <w:w w:val="105"/>
          <w:sz w:val="21"/>
        </w:rPr>
        <w:t>permit </w:t>
      </w:r>
      <w:r>
        <w:rPr>
          <w:spacing w:val="-3"/>
          <w:w w:val="105"/>
          <w:sz w:val="21"/>
        </w:rPr>
        <w:t>applications</w:t>
      </w:r>
      <w:r>
        <w:rPr>
          <w:spacing w:val="-11"/>
          <w:w w:val="105"/>
          <w:sz w:val="21"/>
        </w:rPr>
        <w:t> </w:t>
      </w:r>
      <w:r>
        <w:rPr>
          <w:w w:val="105"/>
          <w:sz w:val="21"/>
        </w:rPr>
        <w:t>where</w:t>
      </w:r>
      <w:r>
        <w:rPr>
          <w:spacing w:val="-12"/>
          <w:w w:val="105"/>
          <w:sz w:val="21"/>
        </w:rPr>
        <w:t> </w:t>
      </w:r>
      <w:r>
        <w:rPr>
          <w:w w:val="105"/>
          <w:sz w:val="21"/>
        </w:rPr>
        <w:t>only</w:t>
      </w:r>
      <w:r>
        <w:rPr>
          <w:spacing w:val="-11"/>
          <w:w w:val="105"/>
          <w:sz w:val="21"/>
        </w:rPr>
        <w:t> </w:t>
      </w:r>
      <w:r>
        <w:rPr>
          <w:w w:val="105"/>
          <w:sz w:val="21"/>
        </w:rPr>
        <w:t>one</w:t>
      </w:r>
      <w:r>
        <w:rPr>
          <w:spacing w:val="-11"/>
          <w:w w:val="105"/>
          <w:sz w:val="21"/>
        </w:rPr>
        <w:t> </w:t>
      </w:r>
      <w:r>
        <w:rPr>
          <w:w w:val="105"/>
          <w:sz w:val="21"/>
        </w:rPr>
        <w:t>tree</w:t>
      </w:r>
      <w:r>
        <w:rPr>
          <w:spacing w:val="-11"/>
          <w:w w:val="105"/>
          <w:sz w:val="21"/>
        </w:rPr>
        <w:t> </w:t>
      </w:r>
      <w:r>
        <w:rPr>
          <w:w w:val="105"/>
          <w:sz w:val="21"/>
        </w:rPr>
        <w:t>is</w:t>
      </w:r>
      <w:r>
        <w:rPr>
          <w:spacing w:val="-11"/>
          <w:w w:val="105"/>
          <w:sz w:val="21"/>
        </w:rPr>
        <w:t> </w:t>
      </w:r>
      <w:r>
        <w:rPr>
          <w:spacing w:val="-3"/>
          <w:w w:val="105"/>
          <w:sz w:val="21"/>
        </w:rPr>
        <w:t>involved.</w:t>
      </w:r>
      <w:r>
        <w:rPr>
          <w:spacing w:val="-11"/>
          <w:w w:val="105"/>
          <w:sz w:val="21"/>
        </w:rPr>
        <w:t> </w:t>
      </w:r>
      <w:r>
        <w:rPr>
          <w:w w:val="105"/>
          <w:sz w:val="21"/>
        </w:rPr>
        <w:t>Under</w:t>
      </w:r>
      <w:r>
        <w:rPr>
          <w:spacing w:val="-11"/>
          <w:w w:val="105"/>
          <w:sz w:val="21"/>
        </w:rPr>
        <w:t> </w:t>
      </w:r>
      <w:r>
        <w:rPr>
          <w:w w:val="105"/>
          <w:sz w:val="21"/>
        </w:rPr>
        <w:t>this</w:t>
      </w:r>
      <w:r>
        <w:rPr>
          <w:spacing w:val="-11"/>
          <w:w w:val="105"/>
          <w:sz w:val="21"/>
        </w:rPr>
        <w:t> </w:t>
      </w:r>
      <w:r>
        <w:rPr>
          <w:w w:val="105"/>
          <w:sz w:val="21"/>
        </w:rPr>
        <w:t>process,</w:t>
      </w:r>
      <w:r>
        <w:rPr>
          <w:spacing w:val="-11"/>
          <w:w w:val="105"/>
          <w:sz w:val="21"/>
        </w:rPr>
        <w:t> </w:t>
      </w:r>
      <w:r>
        <w:rPr>
          <w:w w:val="105"/>
          <w:sz w:val="21"/>
        </w:rPr>
        <w:t>there</w:t>
      </w:r>
      <w:r>
        <w:rPr>
          <w:spacing w:val="-11"/>
          <w:w w:val="105"/>
          <w:sz w:val="21"/>
        </w:rPr>
        <w:t> </w:t>
      </w:r>
      <w:r>
        <w:rPr>
          <w:spacing w:val="-3"/>
          <w:w w:val="105"/>
          <w:sz w:val="21"/>
        </w:rPr>
        <w:t>are</w:t>
      </w:r>
      <w:r>
        <w:rPr>
          <w:spacing w:val="-11"/>
          <w:w w:val="105"/>
          <w:sz w:val="21"/>
        </w:rPr>
        <w:t> </w:t>
      </w:r>
      <w:r>
        <w:rPr>
          <w:w w:val="105"/>
          <w:sz w:val="21"/>
        </w:rPr>
        <w:t>no</w:t>
      </w:r>
      <w:r>
        <w:rPr>
          <w:spacing w:val="-11"/>
          <w:w w:val="105"/>
          <w:sz w:val="21"/>
        </w:rPr>
        <w:t> </w:t>
      </w:r>
      <w:r>
        <w:rPr>
          <w:w w:val="105"/>
          <w:sz w:val="21"/>
        </w:rPr>
        <w:t>notification </w:t>
      </w:r>
      <w:r>
        <w:rPr>
          <w:spacing w:val="-3"/>
          <w:w w:val="105"/>
          <w:sz w:val="21"/>
        </w:rPr>
        <w:t>requirements providing third </w:t>
      </w:r>
      <w:r>
        <w:rPr>
          <w:w w:val="105"/>
          <w:sz w:val="21"/>
        </w:rPr>
        <w:t>parties with an opportunity </w:t>
      </w:r>
      <w:r>
        <w:rPr>
          <w:spacing w:val="-3"/>
          <w:w w:val="105"/>
          <w:sz w:val="21"/>
        </w:rPr>
        <w:t>to </w:t>
      </w:r>
      <w:r>
        <w:rPr>
          <w:w w:val="105"/>
          <w:sz w:val="21"/>
        </w:rPr>
        <w:t>object </w:t>
      </w:r>
      <w:r>
        <w:rPr>
          <w:spacing w:val="-3"/>
          <w:w w:val="105"/>
          <w:sz w:val="21"/>
        </w:rPr>
        <w:t>to </w:t>
      </w:r>
      <w:r>
        <w:rPr>
          <w:w w:val="105"/>
          <w:sz w:val="21"/>
        </w:rPr>
        <w:t>or </w:t>
      </w:r>
      <w:r>
        <w:rPr>
          <w:spacing w:val="-3"/>
          <w:w w:val="105"/>
          <w:sz w:val="21"/>
        </w:rPr>
        <w:t>to </w:t>
      </w:r>
      <w:r>
        <w:rPr>
          <w:w w:val="105"/>
          <w:sz w:val="21"/>
        </w:rPr>
        <w:t>seek review of</w:t>
      </w:r>
      <w:r>
        <w:rPr>
          <w:spacing w:val="-7"/>
          <w:w w:val="105"/>
          <w:sz w:val="21"/>
        </w:rPr>
        <w:t> </w:t>
      </w:r>
      <w:r>
        <w:rPr>
          <w:w w:val="105"/>
          <w:sz w:val="21"/>
        </w:rPr>
        <w:t>the</w:t>
      </w:r>
      <w:r>
        <w:rPr>
          <w:spacing w:val="-7"/>
          <w:w w:val="105"/>
          <w:sz w:val="21"/>
        </w:rPr>
        <w:t> </w:t>
      </w:r>
      <w:r>
        <w:rPr>
          <w:w w:val="105"/>
          <w:sz w:val="21"/>
        </w:rPr>
        <w:t>decision</w:t>
      </w:r>
      <w:r>
        <w:rPr>
          <w:spacing w:val="-7"/>
          <w:w w:val="105"/>
          <w:sz w:val="21"/>
        </w:rPr>
        <w:t> </w:t>
      </w:r>
      <w:r>
        <w:rPr>
          <w:w w:val="105"/>
          <w:sz w:val="21"/>
        </w:rPr>
        <w:t>made</w:t>
      </w:r>
      <w:r>
        <w:rPr>
          <w:spacing w:val="-7"/>
          <w:w w:val="105"/>
          <w:sz w:val="21"/>
        </w:rPr>
        <w:t> </w:t>
      </w:r>
      <w:r>
        <w:rPr>
          <w:w w:val="105"/>
          <w:sz w:val="21"/>
        </w:rPr>
        <w:t>and</w:t>
      </w:r>
      <w:r>
        <w:rPr>
          <w:spacing w:val="-7"/>
          <w:w w:val="105"/>
          <w:sz w:val="21"/>
        </w:rPr>
        <w:t> </w:t>
      </w:r>
      <w:r>
        <w:rPr>
          <w:w w:val="105"/>
          <w:sz w:val="21"/>
        </w:rPr>
        <w:t>decisions</w:t>
      </w:r>
      <w:r>
        <w:rPr>
          <w:spacing w:val="-7"/>
          <w:w w:val="105"/>
          <w:sz w:val="21"/>
        </w:rPr>
        <w:t> </w:t>
      </w:r>
      <w:r>
        <w:rPr>
          <w:spacing w:val="-3"/>
          <w:w w:val="105"/>
          <w:sz w:val="21"/>
        </w:rPr>
        <w:t>are</w:t>
      </w:r>
      <w:r>
        <w:rPr>
          <w:spacing w:val="-7"/>
          <w:w w:val="105"/>
          <w:sz w:val="21"/>
        </w:rPr>
        <w:t> </w:t>
      </w:r>
      <w:r>
        <w:rPr>
          <w:w w:val="105"/>
          <w:sz w:val="21"/>
        </w:rPr>
        <w:t>made</w:t>
      </w:r>
      <w:r>
        <w:rPr>
          <w:spacing w:val="-7"/>
          <w:w w:val="105"/>
          <w:sz w:val="21"/>
        </w:rPr>
        <w:t> </w:t>
      </w:r>
      <w:r>
        <w:rPr>
          <w:w w:val="105"/>
          <w:sz w:val="21"/>
        </w:rPr>
        <w:t>at</w:t>
      </w:r>
      <w:r>
        <w:rPr>
          <w:spacing w:val="-7"/>
          <w:w w:val="105"/>
          <w:sz w:val="21"/>
        </w:rPr>
        <w:t> </w:t>
      </w:r>
      <w:r>
        <w:rPr>
          <w:w w:val="105"/>
          <w:sz w:val="21"/>
        </w:rPr>
        <w:t>the</w:t>
      </w:r>
      <w:r>
        <w:rPr>
          <w:spacing w:val="-7"/>
          <w:w w:val="105"/>
          <w:sz w:val="21"/>
        </w:rPr>
        <w:t> </w:t>
      </w:r>
      <w:r>
        <w:rPr>
          <w:w w:val="105"/>
          <w:sz w:val="21"/>
        </w:rPr>
        <w:t>officer</w:t>
      </w:r>
      <w:r>
        <w:rPr>
          <w:spacing w:val="-7"/>
          <w:w w:val="105"/>
          <w:sz w:val="21"/>
        </w:rPr>
        <w:t> </w:t>
      </w:r>
      <w:r>
        <w:rPr>
          <w:w w:val="105"/>
          <w:sz w:val="21"/>
        </w:rPr>
        <w:t>level</w:t>
      </w:r>
      <w:r>
        <w:rPr>
          <w:spacing w:val="-7"/>
          <w:w w:val="105"/>
          <w:sz w:val="21"/>
        </w:rPr>
        <w:t> </w:t>
      </w:r>
      <w:r>
        <w:rPr>
          <w:w w:val="105"/>
          <w:sz w:val="21"/>
        </w:rPr>
        <w:t>in</w:t>
      </w:r>
      <w:r>
        <w:rPr>
          <w:spacing w:val="-7"/>
          <w:w w:val="105"/>
          <w:sz w:val="21"/>
        </w:rPr>
        <w:t> </w:t>
      </w:r>
      <w:r>
        <w:rPr>
          <w:spacing w:val="-4"/>
          <w:w w:val="105"/>
          <w:sz w:val="21"/>
        </w:rPr>
        <w:t>Council.</w:t>
      </w:r>
      <w:r>
        <w:rPr>
          <w:spacing w:val="-7"/>
          <w:w w:val="105"/>
          <w:sz w:val="21"/>
        </w:rPr>
        <w:t> </w:t>
      </w:r>
      <w:r>
        <w:rPr>
          <w:w w:val="105"/>
          <w:sz w:val="21"/>
        </w:rPr>
        <w:t>It</w:t>
      </w:r>
      <w:r>
        <w:rPr>
          <w:spacing w:val="-7"/>
          <w:w w:val="105"/>
          <w:sz w:val="21"/>
        </w:rPr>
        <w:t> </w:t>
      </w:r>
      <w:r>
        <w:rPr>
          <w:w w:val="105"/>
          <w:sz w:val="21"/>
        </w:rPr>
        <w:t>is</w:t>
      </w:r>
      <w:r>
        <w:rPr>
          <w:spacing w:val="-6"/>
          <w:w w:val="105"/>
          <w:sz w:val="21"/>
        </w:rPr>
        <w:t> </w:t>
      </w:r>
      <w:r>
        <w:rPr>
          <w:spacing w:val="-3"/>
          <w:w w:val="105"/>
          <w:sz w:val="21"/>
        </w:rPr>
        <w:t>therefore envisioned that </w:t>
      </w:r>
      <w:r>
        <w:rPr>
          <w:w w:val="105"/>
          <w:sz w:val="21"/>
        </w:rPr>
        <w:t>the new Act </w:t>
      </w:r>
      <w:r>
        <w:rPr>
          <w:spacing w:val="-3"/>
          <w:w w:val="105"/>
          <w:sz w:val="21"/>
        </w:rPr>
        <w:t>will </w:t>
      </w:r>
      <w:r>
        <w:rPr>
          <w:spacing w:val="-2"/>
          <w:w w:val="105"/>
          <w:sz w:val="21"/>
        </w:rPr>
        <w:t>not commonly </w:t>
      </w:r>
      <w:r>
        <w:rPr>
          <w:spacing w:val="-3"/>
          <w:w w:val="105"/>
          <w:sz w:val="21"/>
        </w:rPr>
        <w:t>remove any </w:t>
      </w:r>
      <w:r>
        <w:rPr>
          <w:w w:val="105"/>
          <w:sz w:val="21"/>
        </w:rPr>
        <w:t>review rights </w:t>
      </w:r>
      <w:r>
        <w:rPr>
          <w:spacing w:val="-3"/>
          <w:w w:val="105"/>
          <w:sz w:val="21"/>
        </w:rPr>
        <w:t>that </w:t>
      </w:r>
      <w:r>
        <w:rPr>
          <w:w w:val="105"/>
          <w:sz w:val="21"/>
        </w:rPr>
        <w:t>would otherwise be </w:t>
      </w:r>
      <w:r>
        <w:rPr>
          <w:spacing w:val="-3"/>
          <w:w w:val="105"/>
          <w:sz w:val="21"/>
        </w:rPr>
        <w:t>available to third </w:t>
      </w:r>
      <w:r>
        <w:rPr>
          <w:w w:val="105"/>
          <w:sz w:val="21"/>
        </w:rPr>
        <w:t>parties under the </w:t>
      </w:r>
      <w:r>
        <w:rPr>
          <w:spacing w:val="4"/>
          <w:w w:val="105"/>
          <w:sz w:val="21"/>
        </w:rPr>
        <w:t>P&amp;E</w:t>
      </w:r>
      <w:r>
        <w:rPr>
          <w:spacing w:val="38"/>
          <w:w w:val="105"/>
          <w:sz w:val="21"/>
        </w:rPr>
        <w:t> </w:t>
      </w:r>
      <w:r>
        <w:rPr>
          <w:w w:val="105"/>
          <w:sz w:val="21"/>
        </w:rPr>
        <w:t>Act.</w:t>
      </w:r>
    </w:p>
    <w:p>
      <w:pPr>
        <w:pStyle w:val="ListParagraph"/>
        <w:numPr>
          <w:ilvl w:val="0"/>
          <w:numId w:val="173"/>
        </w:numPr>
        <w:tabs>
          <w:tab w:pos="2381" w:val="left" w:leader="none"/>
          <w:tab w:pos="2382" w:val="left" w:leader="none"/>
        </w:tabs>
        <w:spacing w:line="242" w:lineRule="auto" w:before="131" w:after="0"/>
        <w:ind w:left="2381" w:right="1632" w:hanging="794"/>
        <w:jc w:val="left"/>
        <w:rPr>
          <w:sz w:val="21"/>
        </w:rPr>
      </w:pPr>
      <w:r>
        <w:rPr>
          <w:w w:val="105"/>
          <w:sz w:val="21"/>
        </w:rPr>
        <w:t>The </w:t>
      </w:r>
      <w:r>
        <w:rPr>
          <w:spacing w:val="-3"/>
          <w:w w:val="105"/>
          <w:sz w:val="21"/>
        </w:rPr>
        <w:t>Commission </w:t>
      </w:r>
      <w:r>
        <w:rPr>
          <w:w w:val="105"/>
          <w:sz w:val="21"/>
        </w:rPr>
        <w:t>acknowledges </w:t>
      </w:r>
      <w:r>
        <w:rPr>
          <w:spacing w:val="-6"/>
          <w:w w:val="105"/>
          <w:sz w:val="21"/>
        </w:rPr>
        <w:t>VCAT’s </w:t>
      </w:r>
      <w:r>
        <w:rPr>
          <w:spacing w:val="-3"/>
          <w:w w:val="105"/>
          <w:sz w:val="21"/>
        </w:rPr>
        <w:t>concerns </w:t>
      </w:r>
      <w:r>
        <w:rPr>
          <w:w w:val="105"/>
          <w:sz w:val="21"/>
        </w:rPr>
        <w:t>about a new Act </w:t>
      </w:r>
      <w:r>
        <w:rPr>
          <w:spacing w:val="-2"/>
          <w:w w:val="105"/>
          <w:sz w:val="21"/>
        </w:rPr>
        <w:t>not </w:t>
      </w:r>
      <w:r>
        <w:rPr>
          <w:w w:val="105"/>
          <w:sz w:val="21"/>
        </w:rPr>
        <w:t>being able </w:t>
      </w:r>
      <w:r>
        <w:rPr>
          <w:spacing w:val="-3"/>
          <w:w w:val="105"/>
          <w:sz w:val="21"/>
        </w:rPr>
        <w:t>to account fully for </w:t>
      </w:r>
      <w:r>
        <w:rPr>
          <w:w w:val="105"/>
          <w:sz w:val="21"/>
        </w:rPr>
        <w:t>the complex, broader issues </w:t>
      </w:r>
      <w:r>
        <w:rPr>
          <w:spacing w:val="-3"/>
          <w:w w:val="105"/>
          <w:sz w:val="21"/>
        </w:rPr>
        <w:t>that </w:t>
      </w:r>
      <w:r>
        <w:rPr>
          <w:w w:val="105"/>
          <w:sz w:val="21"/>
        </w:rPr>
        <w:t>come </w:t>
      </w:r>
      <w:r>
        <w:rPr>
          <w:spacing w:val="-4"/>
          <w:w w:val="105"/>
          <w:sz w:val="21"/>
        </w:rPr>
        <w:t>into </w:t>
      </w:r>
      <w:r>
        <w:rPr>
          <w:spacing w:val="-3"/>
          <w:w w:val="105"/>
          <w:sz w:val="21"/>
        </w:rPr>
        <w:t>play </w:t>
      </w:r>
      <w:r>
        <w:rPr>
          <w:w w:val="105"/>
          <w:sz w:val="21"/>
        </w:rPr>
        <w:t>under the </w:t>
      </w:r>
      <w:r>
        <w:rPr>
          <w:spacing w:val="4"/>
          <w:w w:val="105"/>
          <w:sz w:val="21"/>
        </w:rPr>
        <w:t>P&amp;E </w:t>
      </w:r>
      <w:r>
        <w:rPr>
          <w:w w:val="105"/>
          <w:sz w:val="21"/>
        </w:rPr>
        <w:t>Act. </w:t>
      </w:r>
      <w:r>
        <w:rPr>
          <w:spacing w:val="-4"/>
          <w:w w:val="105"/>
          <w:sz w:val="21"/>
        </w:rPr>
        <w:t>However,</w:t>
      </w:r>
      <w:r>
        <w:rPr>
          <w:spacing w:val="-9"/>
          <w:w w:val="105"/>
          <w:sz w:val="21"/>
        </w:rPr>
        <w:t> </w:t>
      </w:r>
      <w:r>
        <w:rPr>
          <w:w w:val="105"/>
          <w:sz w:val="21"/>
        </w:rPr>
        <w:t>some</w:t>
      </w:r>
      <w:r>
        <w:rPr>
          <w:spacing w:val="-9"/>
          <w:w w:val="105"/>
          <w:sz w:val="21"/>
        </w:rPr>
        <w:t> </w:t>
      </w:r>
      <w:r>
        <w:rPr>
          <w:w w:val="105"/>
          <w:sz w:val="21"/>
        </w:rPr>
        <w:t>of</w:t>
      </w:r>
      <w:r>
        <w:rPr>
          <w:spacing w:val="-9"/>
          <w:w w:val="105"/>
          <w:sz w:val="21"/>
        </w:rPr>
        <w:t> </w:t>
      </w:r>
      <w:r>
        <w:rPr>
          <w:w w:val="105"/>
          <w:sz w:val="21"/>
        </w:rPr>
        <w:t>the</w:t>
      </w:r>
      <w:r>
        <w:rPr>
          <w:spacing w:val="-8"/>
          <w:w w:val="105"/>
          <w:sz w:val="21"/>
        </w:rPr>
        <w:t> </w:t>
      </w:r>
      <w:r>
        <w:rPr>
          <w:w w:val="105"/>
          <w:sz w:val="21"/>
        </w:rPr>
        <w:t>issues</w:t>
      </w:r>
      <w:r>
        <w:rPr>
          <w:spacing w:val="-9"/>
          <w:w w:val="105"/>
          <w:sz w:val="21"/>
        </w:rPr>
        <w:t> </w:t>
      </w:r>
      <w:r>
        <w:rPr>
          <w:spacing w:val="-3"/>
          <w:w w:val="105"/>
          <w:sz w:val="21"/>
        </w:rPr>
        <w:t>underpinning</w:t>
      </w:r>
      <w:r>
        <w:rPr>
          <w:spacing w:val="-9"/>
          <w:w w:val="105"/>
          <w:sz w:val="21"/>
        </w:rPr>
        <w:t> </w:t>
      </w:r>
      <w:r>
        <w:rPr>
          <w:w w:val="105"/>
          <w:sz w:val="21"/>
        </w:rPr>
        <w:t>neighbourhood</w:t>
      </w:r>
      <w:r>
        <w:rPr>
          <w:spacing w:val="-9"/>
          <w:w w:val="105"/>
          <w:sz w:val="21"/>
        </w:rPr>
        <w:t> </w:t>
      </w:r>
      <w:r>
        <w:rPr>
          <w:w w:val="105"/>
          <w:sz w:val="21"/>
        </w:rPr>
        <w:t>tree</w:t>
      </w:r>
      <w:r>
        <w:rPr>
          <w:spacing w:val="-8"/>
          <w:w w:val="105"/>
          <w:sz w:val="21"/>
        </w:rPr>
        <w:t> </w:t>
      </w:r>
      <w:r>
        <w:rPr>
          <w:spacing w:val="-3"/>
          <w:w w:val="105"/>
          <w:sz w:val="21"/>
        </w:rPr>
        <w:t>disputes</w:t>
      </w:r>
      <w:r>
        <w:rPr>
          <w:spacing w:val="-9"/>
          <w:w w:val="105"/>
          <w:sz w:val="21"/>
        </w:rPr>
        <w:t> </w:t>
      </w:r>
      <w:r>
        <w:rPr>
          <w:w w:val="105"/>
          <w:sz w:val="21"/>
        </w:rPr>
        <w:t>do</w:t>
      </w:r>
      <w:r>
        <w:rPr>
          <w:spacing w:val="-9"/>
          <w:w w:val="105"/>
          <w:sz w:val="21"/>
        </w:rPr>
        <w:t> </w:t>
      </w:r>
      <w:r>
        <w:rPr>
          <w:w w:val="105"/>
          <w:sz w:val="21"/>
        </w:rPr>
        <w:t>intersect</w:t>
      </w:r>
      <w:r>
        <w:rPr>
          <w:spacing w:val="-8"/>
          <w:w w:val="105"/>
          <w:sz w:val="21"/>
        </w:rPr>
        <w:t> </w:t>
      </w:r>
      <w:r>
        <w:rPr>
          <w:w w:val="105"/>
          <w:sz w:val="21"/>
        </w:rPr>
        <w:t>with </w:t>
      </w:r>
      <w:r>
        <w:rPr>
          <w:spacing w:val="-3"/>
          <w:w w:val="105"/>
          <w:sz w:val="21"/>
        </w:rPr>
        <w:t>planning </w:t>
      </w:r>
      <w:r>
        <w:rPr>
          <w:w w:val="105"/>
          <w:sz w:val="21"/>
        </w:rPr>
        <w:t>and </w:t>
      </w:r>
      <w:r>
        <w:rPr>
          <w:spacing w:val="-3"/>
          <w:w w:val="105"/>
          <w:sz w:val="21"/>
        </w:rPr>
        <w:t>environment </w:t>
      </w:r>
      <w:r>
        <w:rPr>
          <w:spacing w:val="-5"/>
          <w:w w:val="105"/>
          <w:sz w:val="21"/>
        </w:rPr>
        <w:t>law. </w:t>
      </w:r>
      <w:r>
        <w:rPr>
          <w:w w:val="105"/>
          <w:sz w:val="21"/>
        </w:rPr>
        <w:t>For </w:t>
      </w:r>
      <w:r>
        <w:rPr>
          <w:spacing w:val="-3"/>
          <w:w w:val="105"/>
          <w:sz w:val="21"/>
        </w:rPr>
        <w:t>example, </w:t>
      </w:r>
      <w:r>
        <w:rPr>
          <w:w w:val="105"/>
          <w:sz w:val="21"/>
        </w:rPr>
        <w:t>a </w:t>
      </w:r>
      <w:r>
        <w:rPr>
          <w:spacing w:val="-4"/>
          <w:w w:val="105"/>
          <w:sz w:val="21"/>
        </w:rPr>
        <w:t>tree’s </w:t>
      </w:r>
      <w:r>
        <w:rPr>
          <w:spacing w:val="-3"/>
          <w:w w:val="105"/>
          <w:sz w:val="21"/>
        </w:rPr>
        <w:t>contribution to </w:t>
      </w:r>
      <w:r>
        <w:rPr>
          <w:w w:val="105"/>
          <w:sz w:val="21"/>
        </w:rPr>
        <w:t>amenity and other broader </w:t>
      </w:r>
      <w:r>
        <w:rPr>
          <w:spacing w:val="-3"/>
          <w:w w:val="105"/>
          <w:sz w:val="21"/>
        </w:rPr>
        <w:t>environmental </w:t>
      </w:r>
      <w:r>
        <w:rPr>
          <w:w w:val="105"/>
          <w:sz w:val="21"/>
        </w:rPr>
        <w:t>benefits </w:t>
      </w:r>
      <w:r>
        <w:rPr>
          <w:spacing w:val="-3"/>
          <w:w w:val="105"/>
          <w:sz w:val="21"/>
        </w:rPr>
        <w:t>are </w:t>
      </w:r>
      <w:r>
        <w:rPr>
          <w:w w:val="105"/>
          <w:sz w:val="21"/>
        </w:rPr>
        <w:t>important </w:t>
      </w:r>
      <w:r>
        <w:rPr>
          <w:spacing w:val="-3"/>
          <w:w w:val="105"/>
          <w:sz w:val="21"/>
        </w:rPr>
        <w:t>considerations </w:t>
      </w:r>
      <w:r>
        <w:rPr>
          <w:w w:val="105"/>
          <w:sz w:val="21"/>
        </w:rPr>
        <w:t>in the context of </w:t>
      </w:r>
      <w:r>
        <w:rPr>
          <w:spacing w:val="-3"/>
          <w:w w:val="105"/>
          <w:sz w:val="21"/>
        </w:rPr>
        <w:t>private </w:t>
      </w:r>
      <w:r>
        <w:rPr>
          <w:w w:val="105"/>
          <w:sz w:val="21"/>
        </w:rPr>
        <w:t>tree </w:t>
      </w:r>
      <w:r>
        <w:rPr>
          <w:spacing w:val="-3"/>
          <w:w w:val="105"/>
          <w:sz w:val="21"/>
        </w:rPr>
        <w:t>disputes. </w:t>
      </w:r>
      <w:r>
        <w:rPr>
          <w:w w:val="105"/>
          <w:sz w:val="21"/>
        </w:rPr>
        <w:t>Other </w:t>
      </w:r>
      <w:r>
        <w:rPr>
          <w:spacing w:val="-3"/>
          <w:w w:val="105"/>
          <w:sz w:val="21"/>
        </w:rPr>
        <w:t>considerations, including </w:t>
      </w:r>
      <w:r>
        <w:rPr>
          <w:w w:val="105"/>
          <w:sz w:val="21"/>
        </w:rPr>
        <w:t>whether the tree was first in time and </w:t>
      </w:r>
      <w:r>
        <w:rPr>
          <w:spacing w:val="-3"/>
          <w:w w:val="105"/>
          <w:sz w:val="21"/>
        </w:rPr>
        <w:t>landscaping </w:t>
      </w:r>
      <w:r>
        <w:rPr>
          <w:w w:val="105"/>
          <w:sz w:val="21"/>
        </w:rPr>
        <w:t>plan </w:t>
      </w:r>
      <w:r>
        <w:rPr>
          <w:spacing w:val="-3"/>
          <w:w w:val="105"/>
          <w:sz w:val="21"/>
        </w:rPr>
        <w:t>requirements, may </w:t>
      </w:r>
      <w:r>
        <w:rPr>
          <w:w w:val="105"/>
          <w:sz w:val="21"/>
        </w:rPr>
        <w:t>also be</w:t>
      </w:r>
      <w:r>
        <w:rPr>
          <w:spacing w:val="35"/>
          <w:w w:val="105"/>
          <w:sz w:val="21"/>
        </w:rPr>
        <w:t> </w:t>
      </w:r>
      <w:r>
        <w:rPr>
          <w:spacing w:val="-3"/>
          <w:w w:val="105"/>
          <w:sz w:val="21"/>
        </w:rPr>
        <w:t>relevant.</w:t>
      </w:r>
    </w:p>
    <w:p>
      <w:pPr>
        <w:pStyle w:val="ListParagraph"/>
        <w:numPr>
          <w:ilvl w:val="0"/>
          <w:numId w:val="173"/>
        </w:numPr>
        <w:tabs>
          <w:tab w:pos="2380" w:val="left" w:leader="none"/>
          <w:tab w:pos="2381" w:val="left" w:leader="none"/>
        </w:tabs>
        <w:spacing w:line="242" w:lineRule="auto" w:before="128" w:after="0"/>
        <w:ind w:left="2380" w:right="1841" w:hanging="793"/>
        <w:jc w:val="left"/>
        <w:rPr>
          <w:sz w:val="12"/>
        </w:rPr>
      </w:pPr>
      <w:r>
        <w:rPr>
          <w:w w:val="105"/>
          <w:sz w:val="21"/>
        </w:rPr>
        <w:t>The </w:t>
      </w:r>
      <w:r>
        <w:rPr>
          <w:spacing w:val="-3"/>
          <w:w w:val="105"/>
          <w:sz w:val="21"/>
        </w:rPr>
        <w:t>Commission </w:t>
      </w:r>
      <w:r>
        <w:rPr>
          <w:w w:val="105"/>
          <w:sz w:val="21"/>
        </w:rPr>
        <w:t>is persuaded by community responses </w:t>
      </w:r>
      <w:r>
        <w:rPr>
          <w:spacing w:val="-3"/>
          <w:w w:val="105"/>
          <w:sz w:val="21"/>
        </w:rPr>
        <w:t>that </w:t>
      </w:r>
      <w:r>
        <w:rPr>
          <w:w w:val="105"/>
          <w:sz w:val="21"/>
        </w:rPr>
        <w:t>overwhelmingly </w:t>
      </w:r>
      <w:r>
        <w:rPr>
          <w:spacing w:val="-3"/>
          <w:w w:val="105"/>
          <w:sz w:val="21"/>
        </w:rPr>
        <w:t>favour </w:t>
      </w:r>
      <w:r>
        <w:rPr>
          <w:w w:val="105"/>
          <w:sz w:val="21"/>
        </w:rPr>
        <w:t>a </w:t>
      </w:r>
      <w:r>
        <w:rPr>
          <w:spacing w:val="-3"/>
          <w:w w:val="105"/>
          <w:sz w:val="21"/>
        </w:rPr>
        <w:t>clear </w:t>
      </w:r>
      <w:r>
        <w:rPr>
          <w:w w:val="105"/>
          <w:sz w:val="21"/>
        </w:rPr>
        <w:t>and </w:t>
      </w:r>
      <w:r>
        <w:rPr>
          <w:spacing w:val="-3"/>
          <w:w w:val="105"/>
          <w:sz w:val="21"/>
        </w:rPr>
        <w:t>simple legislative pathway for </w:t>
      </w:r>
      <w:r>
        <w:rPr>
          <w:w w:val="105"/>
          <w:sz w:val="21"/>
        </w:rPr>
        <w:t>the resolution of neighbourhood tree </w:t>
      </w:r>
      <w:r>
        <w:rPr>
          <w:spacing w:val="-3"/>
          <w:w w:val="105"/>
          <w:sz w:val="21"/>
        </w:rPr>
        <w:t>disputes. </w:t>
      </w:r>
      <w:r>
        <w:rPr>
          <w:w w:val="105"/>
          <w:sz w:val="21"/>
        </w:rPr>
        <w:t>As</w:t>
      </w:r>
      <w:r>
        <w:rPr>
          <w:spacing w:val="-6"/>
          <w:w w:val="105"/>
          <w:sz w:val="21"/>
        </w:rPr>
        <w:t> </w:t>
      </w:r>
      <w:r>
        <w:rPr>
          <w:w w:val="105"/>
          <w:sz w:val="21"/>
        </w:rPr>
        <w:t>one</w:t>
      </w:r>
      <w:r>
        <w:rPr>
          <w:spacing w:val="-5"/>
          <w:w w:val="105"/>
          <w:sz w:val="21"/>
        </w:rPr>
        <w:t> </w:t>
      </w:r>
      <w:r>
        <w:rPr>
          <w:w w:val="105"/>
          <w:sz w:val="21"/>
        </w:rPr>
        <w:t>community</w:t>
      </w:r>
      <w:r>
        <w:rPr>
          <w:spacing w:val="-5"/>
          <w:w w:val="105"/>
          <w:sz w:val="21"/>
        </w:rPr>
        <w:t> </w:t>
      </w:r>
      <w:r>
        <w:rPr>
          <w:w w:val="105"/>
          <w:sz w:val="21"/>
        </w:rPr>
        <w:t>member</w:t>
      </w:r>
      <w:r>
        <w:rPr>
          <w:spacing w:val="-5"/>
          <w:w w:val="105"/>
          <w:sz w:val="21"/>
        </w:rPr>
        <w:t> </w:t>
      </w:r>
      <w:r>
        <w:rPr>
          <w:w w:val="105"/>
          <w:sz w:val="21"/>
        </w:rPr>
        <w:t>explained:</w:t>
      </w:r>
      <w:r>
        <w:rPr>
          <w:spacing w:val="-5"/>
          <w:w w:val="105"/>
          <w:sz w:val="21"/>
        </w:rPr>
        <w:t> </w:t>
      </w:r>
      <w:r>
        <w:rPr>
          <w:w w:val="105"/>
          <w:sz w:val="21"/>
        </w:rPr>
        <w:t>‘there</w:t>
      </w:r>
      <w:r>
        <w:rPr>
          <w:spacing w:val="-5"/>
          <w:w w:val="105"/>
          <w:sz w:val="21"/>
        </w:rPr>
        <w:t> </w:t>
      </w:r>
      <w:r>
        <w:rPr>
          <w:w w:val="105"/>
          <w:sz w:val="21"/>
        </w:rPr>
        <w:t>should</w:t>
      </w:r>
      <w:r>
        <w:rPr>
          <w:spacing w:val="-5"/>
          <w:w w:val="105"/>
          <w:sz w:val="21"/>
        </w:rPr>
        <w:t> </w:t>
      </w:r>
      <w:r>
        <w:rPr>
          <w:w w:val="105"/>
          <w:sz w:val="21"/>
        </w:rPr>
        <w:t>be</w:t>
      </w:r>
      <w:r>
        <w:rPr>
          <w:spacing w:val="-5"/>
          <w:w w:val="105"/>
          <w:sz w:val="21"/>
        </w:rPr>
        <w:t> </w:t>
      </w:r>
      <w:r>
        <w:rPr>
          <w:w w:val="105"/>
          <w:sz w:val="21"/>
        </w:rPr>
        <w:t>a</w:t>
      </w:r>
      <w:r>
        <w:rPr>
          <w:spacing w:val="-5"/>
          <w:w w:val="105"/>
          <w:sz w:val="21"/>
        </w:rPr>
        <w:t> </w:t>
      </w:r>
      <w:r>
        <w:rPr>
          <w:spacing w:val="-4"/>
          <w:w w:val="105"/>
          <w:sz w:val="21"/>
        </w:rPr>
        <w:t>single,</w:t>
      </w:r>
      <w:r>
        <w:rPr>
          <w:spacing w:val="-5"/>
          <w:w w:val="105"/>
          <w:sz w:val="21"/>
        </w:rPr>
        <w:t> </w:t>
      </w:r>
      <w:r>
        <w:rPr>
          <w:spacing w:val="-3"/>
          <w:w w:val="105"/>
          <w:sz w:val="21"/>
        </w:rPr>
        <w:t>clear</w:t>
      </w:r>
      <w:r>
        <w:rPr>
          <w:spacing w:val="-5"/>
          <w:w w:val="105"/>
          <w:sz w:val="21"/>
        </w:rPr>
        <w:t> </w:t>
      </w:r>
      <w:r>
        <w:rPr>
          <w:w w:val="105"/>
          <w:sz w:val="21"/>
        </w:rPr>
        <w:t>Act</w:t>
      </w:r>
      <w:r>
        <w:rPr>
          <w:spacing w:val="-5"/>
          <w:w w:val="105"/>
          <w:sz w:val="21"/>
        </w:rPr>
        <w:t> </w:t>
      </w:r>
      <w:r>
        <w:rPr>
          <w:spacing w:val="-3"/>
          <w:w w:val="105"/>
          <w:sz w:val="21"/>
        </w:rPr>
        <w:t>that</w:t>
      </w:r>
      <w:r>
        <w:rPr>
          <w:spacing w:val="-5"/>
          <w:w w:val="105"/>
          <w:sz w:val="21"/>
        </w:rPr>
        <w:t> </w:t>
      </w:r>
      <w:r>
        <w:rPr>
          <w:w w:val="105"/>
          <w:sz w:val="21"/>
        </w:rPr>
        <w:t>sets</w:t>
      </w:r>
      <w:r>
        <w:rPr>
          <w:spacing w:val="-5"/>
          <w:w w:val="105"/>
          <w:sz w:val="21"/>
        </w:rPr>
        <w:t> </w:t>
      </w:r>
      <w:r>
        <w:rPr>
          <w:w w:val="105"/>
          <w:sz w:val="21"/>
        </w:rPr>
        <w:t>out neighbours’ rights and duties and </w:t>
      </w:r>
      <w:r>
        <w:rPr>
          <w:spacing w:val="-3"/>
          <w:w w:val="105"/>
          <w:sz w:val="21"/>
        </w:rPr>
        <w:t>explains </w:t>
      </w:r>
      <w:r>
        <w:rPr>
          <w:w w:val="105"/>
          <w:sz w:val="21"/>
        </w:rPr>
        <w:t>where </w:t>
      </w:r>
      <w:r>
        <w:rPr>
          <w:spacing w:val="-3"/>
          <w:w w:val="105"/>
          <w:sz w:val="21"/>
        </w:rPr>
        <w:t>to </w:t>
      </w:r>
      <w:r>
        <w:rPr>
          <w:w w:val="105"/>
          <w:sz w:val="21"/>
        </w:rPr>
        <w:t>go </w:t>
      </w:r>
      <w:r>
        <w:rPr>
          <w:spacing w:val="-3"/>
          <w:w w:val="105"/>
          <w:sz w:val="21"/>
        </w:rPr>
        <w:t>for information </w:t>
      </w:r>
      <w:r>
        <w:rPr>
          <w:w w:val="105"/>
          <w:sz w:val="21"/>
        </w:rPr>
        <w:t>and</w:t>
      </w:r>
      <w:r>
        <w:rPr>
          <w:spacing w:val="-8"/>
          <w:w w:val="105"/>
          <w:sz w:val="21"/>
        </w:rPr>
        <w:t> </w:t>
      </w:r>
      <w:r>
        <w:rPr>
          <w:spacing w:val="-3"/>
          <w:w w:val="105"/>
          <w:sz w:val="21"/>
        </w:rPr>
        <w:t>support’.</w:t>
      </w:r>
      <w:r>
        <w:rPr>
          <w:spacing w:val="-3"/>
          <w:w w:val="105"/>
          <w:position w:val="7"/>
          <w:sz w:val="12"/>
        </w:rPr>
        <w:t>293</w:t>
      </w:r>
    </w:p>
    <w:p>
      <w:pPr>
        <w:pStyle w:val="ListParagraph"/>
        <w:numPr>
          <w:ilvl w:val="0"/>
          <w:numId w:val="173"/>
        </w:numPr>
        <w:tabs>
          <w:tab w:pos="2381" w:val="left" w:leader="none"/>
          <w:tab w:pos="2382" w:val="left" w:leader="none"/>
        </w:tabs>
        <w:spacing w:line="242" w:lineRule="auto" w:before="124" w:after="0"/>
        <w:ind w:left="2381" w:right="1669" w:hanging="794"/>
        <w:jc w:val="left"/>
        <w:rPr>
          <w:sz w:val="21"/>
        </w:rPr>
      </w:pPr>
      <w:r>
        <w:rPr>
          <w:w w:val="105"/>
          <w:sz w:val="21"/>
        </w:rPr>
        <w:t>The </w:t>
      </w:r>
      <w:r>
        <w:rPr>
          <w:spacing w:val="-3"/>
          <w:w w:val="105"/>
          <w:sz w:val="21"/>
        </w:rPr>
        <w:t>Commission </w:t>
      </w:r>
      <w:r>
        <w:rPr>
          <w:w w:val="105"/>
          <w:sz w:val="21"/>
        </w:rPr>
        <w:t>acknowledges </w:t>
      </w:r>
      <w:r>
        <w:rPr>
          <w:spacing w:val="-3"/>
          <w:w w:val="105"/>
          <w:sz w:val="21"/>
        </w:rPr>
        <w:t>that expanding </w:t>
      </w:r>
      <w:r>
        <w:rPr>
          <w:w w:val="105"/>
          <w:sz w:val="21"/>
        </w:rPr>
        <w:t>the VPP </w:t>
      </w:r>
      <w:r>
        <w:rPr>
          <w:spacing w:val="-3"/>
          <w:w w:val="105"/>
          <w:sz w:val="21"/>
        </w:rPr>
        <w:t>exemptions </w:t>
      </w:r>
      <w:r>
        <w:rPr>
          <w:w w:val="105"/>
          <w:sz w:val="21"/>
        </w:rPr>
        <w:t>is </w:t>
      </w:r>
      <w:r>
        <w:rPr>
          <w:spacing w:val="-2"/>
          <w:w w:val="105"/>
          <w:sz w:val="21"/>
        </w:rPr>
        <w:t>not </w:t>
      </w:r>
      <w:r>
        <w:rPr>
          <w:w w:val="105"/>
          <w:sz w:val="21"/>
        </w:rPr>
        <w:t>a straightforward process. An </w:t>
      </w:r>
      <w:r>
        <w:rPr>
          <w:spacing w:val="-3"/>
          <w:w w:val="105"/>
          <w:sz w:val="21"/>
        </w:rPr>
        <w:t>amendment </w:t>
      </w:r>
      <w:r>
        <w:rPr>
          <w:w w:val="105"/>
          <w:sz w:val="21"/>
        </w:rPr>
        <w:t>should </w:t>
      </w:r>
      <w:r>
        <w:rPr>
          <w:spacing w:val="-2"/>
          <w:w w:val="105"/>
          <w:sz w:val="21"/>
        </w:rPr>
        <w:t>not </w:t>
      </w:r>
      <w:r>
        <w:rPr>
          <w:w w:val="105"/>
          <w:sz w:val="21"/>
        </w:rPr>
        <w:t>seek </w:t>
      </w:r>
      <w:r>
        <w:rPr>
          <w:spacing w:val="-3"/>
          <w:w w:val="105"/>
          <w:sz w:val="21"/>
        </w:rPr>
        <w:t>to change </w:t>
      </w:r>
      <w:r>
        <w:rPr>
          <w:w w:val="105"/>
          <w:sz w:val="21"/>
        </w:rPr>
        <w:t>the </w:t>
      </w:r>
      <w:r>
        <w:rPr>
          <w:spacing w:val="-3"/>
          <w:w w:val="105"/>
          <w:sz w:val="21"/>
        </w:rPr>
        <w:t>planning </w:t>
      </w:r>
      <w:r>
        <w:rPr>
          <w:w w:val="105"/>
          <w:sz w:val="21"/>
        </w:rPr>
        <w:t>scheme in a </w:t>
      </w:r>
      <w:r>
        <w:rPr>
          <w:spacing w:val="-3"/>
          <w:w w:val="105"/>
          <w:sz w:val="21"/>
        </w:rPr>
        <w:t>manner that </w:t>
      </w:r>
      <w:r>
        <w:rPr>
          <w:w w:val="105"/>
          <w:sz w:val="21"/>
        </w:rPr>
        <w:t>conflicts with the </w:t>
      </w:r>
      <w:r>
        <w:rPr>
          <w:spacing w:val="-3"/>
          <w:w w:val="105"/>
          <w:sz w:val="21"/>
        </w:rPr>
        <w:t>State </w:t>
      </w:r>
      <w:r>
        <w:rPr>
          <w:w w:val="105"/>
          <w:sz w:val="21"/>
        </w:rPr>
        <w:t>Policy </w:t>
      </w:r>
      <w:r>
        <w:rPr>
          <w:spacing w:val="-3"/>
          <w:w w:val="105"/>
          <w:sz w:val="21"/>
        </w:rPr>
        <w:t>Planning </w:t>
      </w:r>
      <w:r>
        <w:rPr>
          <w:w w:val="105"/>
          <w:sz w:val="21"/>
        </w:rPr>
        <w:t>Framework.</w:t>
      </w:r>
      <w:r>
        <w:rPr>
          <w:w w:val="105"/>
          <w:position w:val="7"/>
          <w:sz w:val="12"/>
        </w:rPr>
        <w:t>294 </w:t>
      </w:r>
      <w:r>
        <w:rPr>
          <w:w w:val="105"/>
          <w:sz w:val="21"/>
        </w:rPr>
        <w:t>The </w:t>
      </w:r>
      <w:r>
        <w:rPr>
          <w:spacing w:val="-3"/>
          <w:w w:val="105"/>
          <w:sz w:val="21"/>
        </w:rPr>
        <w:t>Minister</w:t>
      </w:r>
      <w:r>
        <w:rPr>
          <w:spacing w:val="-3"/>
          <w:w w:val="105"/>
          <w:position w:val="7"/>
          <w:sz w:val="12"/>
        </w:rPr>
        <w:t>295</w:t>
      </w:r>
      <w:r>
        <w:rPr>
          <w:spacing w:val="-3"/>
          <w:w w:val="105"/>
          <w:sz w:val="12"/>
        </w:rPr>
        <w:t> </w:t>
      </w:r>
      <w:r>
        <w:rPr>
          <w:w w:val="105"/>
          <w:sz w:val="21"/>
        </w:rPr>
        <w:t>can </w:t>
      </w:r>
      <w:r>
        <w:rPr>
          <w:spacing w:val="-3"/>
          <w:w w:val="105"/>
          <w:sz w:val="21"/>
        </w:rPr>
        <w:t>prepare </w:t>
      </w:r>
      <w:r>
        <w:rPr>
          <w:w w:val="105"/>
          <w:sz w:val="21"/>
        </w:rPr>
        <w:t>an </w:t>
      </w:r>
      <w:r>
        <w:rPr>
          <w:spacing w:val="-3"/>
          <w:w w:val="105"/>
          <w:sz w:val="21"/>
        </w:rPr>
        <w:t>amendment to </w:t>
      </w:r>
      <w:r>
        <w:rPr>
          <w:w w:val="105"/>
          <w:sz w:val="21"/>
        </w:rPr>
        <w:t>a VPP at </w:t>
      </w:r>
      <w:r>
        <w:rPr>
          <w:spacing w:val="-3"/>
          <w:w w:val="105"/>
          <w:sz w:val="21"/>
        </w:rPr>
        <w:t>any </w:t>
      </w:r>
      <w:r>
        <w:rPr>
          <w:w w:val="105"/>
          <w:sz w:val="21"/>
        </w:rPr>
        <w:t>time and this </w:t>
      </w:r>
      <w:r>
        <w:rPr>
          <w:spacing w:val="-3"/>
          <w:w w:val="105"/>
          <w:sz w:val="21"/>
        </w:rPr>
        <w:t>may involve </w:t>
      </w:r>
      <w:r>
        <w:rPr>
          <w:w w:val="105"/>
          <w:sz w:val="21"/>
        </w:rPr>
        <w:t>a </w:t>
      </w:r>
      <w:r>
        <w:rPr>
          <w:spacing w:val="-3"/>
          <w:w w:val="105"/>
          <w:sz w:val="21"/>
        </w:rPr>
        <w:t>small</w:t>
      </w:r>
      <w:r>
        <w:rPr>
          <w:spacing w:val="19"/>
          <w:w w:val="105"/>
          <w:sz w:val="21"/>
        </w:rPr>
        <w:t> </w:t>
      </w:r>
      <w:r>
        <w:rPr>
          <w:spacing w:val="-3"/>
          <w:w w:val="105"/>
          <w:sz w:val="21"/>
        </w:rPr>
        <w:t>change</w:t>
      </w:r>
    </w:p>
    <w:p>
      <w:pPr>
        <w:pStyle w:val="BodyText"/>
        <w:spacing w:line="242" w:lineRule="auto" w:before="5"/>
        <w:ind w:left="2381" w:right="1567"/>
        <w:rPr>
          <w:sz w:val="12"/>
        </w:rPr>
      </w:pPr>
      <w:r>
        <w:rPr>
          <w:spacing w:val="-3"/>
          <w:w w:val="105"/>
        </w:rPr>
        <w:t>to </w:t>
      </w:r>
      <w:r>
        <w:rPr>
          <w:w w:val="105"/>
        </w:rPr>
        <w:t>one </w:t>
      </w:r>
      <w:r>
        <w:rPr>
          <w:spacing w:val="-3"/>
          <w:w w:val="105"/>
        </w:rPr>
        <w:t>provision, </w:t>
      </w:r>
      <w:r>
        <w:rPr>
          <w:w w:val="105"/>
        </w:rPr>
        <w:t>or major </w:t>
      </w:r>
      <w:r>
        <w:rPr>
          <w:spacing w:val="-3"/>
          <w:w w:val="105"/>
        </w:rPr>
        <w:t>changes </w:t>
      </w:r>
      <w:r>
        <w:rPr>
          <w:w w:val="105"/>
        </w:rPr>
        <w:t>or additions.</w:t>
      </w:r>
      <w:r>
        <w:rPr>
          <w:w w:val="105"/>
          <w:position w:val="7"/>
          <w:sz w:val="12"/>
        </w:rPr>
        <w:t>296 </w:t>
      </w:r>
      <w:r>
        <w:rPr>
          <w:w w:val="105"/>
        </w:rPr>
        <w:t>The VPP </w:t>
      </w:r>
      <w:r>
        <w:rPr>
          <w:spacing w:val="-3"/>
          <w:w w:val="105"/>
        </w:rPr>
        <w:t>amendment </w:t>
      </w:r>
      <w:r>
        <w:rPr>
          <w:w w:val="105"/>
        </w:rPr>
        <w:t>process </w:t>
      </w:r>
      <w:r>
        <w:rPr>
          <w:spacing w:val="-3"/>
          <w:w w:val="105"/>
        </w:rPr>
        <w:t>has similar requirements to </w:t>
      </w:r>
      <w:r>
        <w:rPr>
          <w:w w:val="105"/>
        </w:rPr>
        <w:t>those </w:t>
      </w:r>
      <w:r>
        <w:rPr>
          <w:spacing w:val="-3"/>
          <w:w w:val="105"/>
        </w:rPr>
        <w:t>outlined for </w:t>
      </w:r>
      <w:r>
        <w:rPr>
          <w:w w:val="105"/>
        </w:rPr>
        <w:t>the </w:t>
      </w:r>
      <w:r>
        <w:rPr>
          <w:spacing w:val="-3"/>
          <w:w w:val="105"/>
        </w:rPr>
        <w:t>amendment </w:t>
      </w:r>
      <w:r>
        <w:rPr>
          <w:w w:val="105"/>
        </w:rPr>
        <w:t>of </w:t>
      </w:r>
      <w:r>
        <w:rPr>
          <w:spacing w:val="-3"/>
          <w:w w:val="105"/>
        </w:rPr>
        <w:t>planning </w:t>
      </w:r>
      <w:r>
        <w:rPr>
          <w:w w:val="105"/>
        </w:rPr>
        <w:t>schemes.</w:t>
      </w:r>
      <w:r>
        <w:rPr>
          <w:w w:val="105"/>
          <w:position w:val="7"/>
          <w:sz w:val="12"/>
        </w:rPr>
        <w:t>297 </w:t>
      </w:r>
      <w:r>
        <w:rPr>
          <w:w w:val="105"/>
        </w:rPr>
        <w:t>Strict notification </w:t>
      </w:r>
      <w:r>
        <w:rPr>
          <w:spacing w:val="-3"/>
          <w:w w:val="105"/>
        </w:rPr>
        <w:t>requirements </w:t>
      </w:r>
      <w:r>
        <w:rPr>
          <w:w w:val="105"/>
        </w:rPr>
        <w:t>apply.</w:t>
      </w:r>
      <w:r>
        <w:rPr>
          <w:w w:val="105"/>
          <w:position w:val="7"/>
          <w:sz w:val="12"/>
        </w:rPr>
        <w:t>298 </w:t>
      </w:r>
      <w:r>
        <w:rPr>
          <w:spacing w:val="-4"/>
          <w:w w:val="105"/>
        </w:rPr>
        <w:t>However, </w:t>
      </w:r>
      <w:r>
        <w:rPr>
          <w:w w:val="105"/>
        </w:rPr>
        <w:t>there </w:t>
      </w:r>
      <w:r>
        <w:rPr>
          <w:spacing w:val="-3"/>
          <w:w w:val="105"/>
        </w:rPr>
        <w:t>are exemptions to </w:t>
      </w:r>
      <w:r>
        <w:rPr>
          <w:w w:val="105"/>
        </w:rPr>
        <w:t>the </w:t>
      </w:r>
      <w:r>
        <w:rPr>
          <w:spacing w:val="-3"/>
          <w:w w:val="105"/>
        </w:rPr>
        <w:t>notice </w:t>
      </w:r>
      <w:r>
        <w:rPr>
          <w:w w:val="105"/>
        </w:rPr>
        <w:t>and advertising </w:t>
      </w:r>
      <w:r>
        <w:rPr>
          <w:spacing w:val="-3"/>
          <w:w w:val="105"/>
        </w:rPr>
        <w:t>requirements </w:t>
      </w:r>
      <w:r>
        <w:rPr>
          <w:w w:val="105"/>
        </w:rPr>
        <w:t>if the </w:t>
      </w:r>
      <w:r>
        <w:rPr>
          <w:spacing w:val="-3"/>
          <w:w w:val="105"/>
        </w:rPr>
        <w:t>Minister </w:t>
      </w:r>
      <w:r>
        <w:rPr>
          <w:w w:val="105"/>
        </w:rPr>
        <w:t>considers </w:t>
      </w:r>
      <w:r>
        <w:rPr>
          <w:spacing w:val="-3"/>
          <w:w w:val="105"/>
        </w:rPr>
        <w:t>that </w:t>
      </w:r>
      <w:r>
        <w:rPr>
          <w:w w:val="105"/>
        </w:rPr>
        <w:t>they </w:t>
      </w:r>
      <w:r>
        <w:rPr>
          <w:spacing w:val="-3"/>
          <w:w w:val="105"/>
        </w:rPr>
        <w:t>are </w:t>
      </w:r>
      <w:r>
        <w:rPr>
          <w:spacing w:val="-2"/>
          <w:w w:val="105"/>
        </w:rPr>
        <w:t>not </w:t>
      </w:r>
      <w:r>
        <w:rPr>
          <w:spacing w:val="-3"/>
          <w:w w:val="105"/>
        </w:rPr>
        <w:t>warranted, </w:t>
      </w:r>
      <w:r>
        <w:rPr>
          <w:w w:val="105"/>
        </w:rPr>
        <w:t>or </w:t>
      </w:r>
      <w:r>
        <w:rPr>
          <w:spacing w:val="-3"/>
          <w:w w:val="105"/>
        </w:rPr>
        <w:t>that </w:t>
      </w:r>
      <w:r>
        <w:rPr>
          <w:w w:val="105"/>
        </w:rPr>
        <w:t>the interests of Victoria or </w:t>
      </w:r>
      <w:r>
        <w:rPr>
          <w:spacing w:val="-3"/>
          <w:w w:val="105"/>
        </w:rPr>
        <w:t>any </w:t>
      </w:r>
      <w:r>
        <w:rPr>
          <w:w w:val="105"/>
        </w:rPr>
        <w:t>part of Victoria </w:t>
      </w:r>
      <w:r>
        <w:rPr>
          <w:spacing w:val="-4"/>
          <w:w w:val="105"/>
        </w:rPr>
        <w:t>make </w:t>
      </w:r>
      <w:r>
        <w:rPr>
          <w:spacing w:val="-3"/>
          <w:w w:val="105"/>
        </w:rPr>
        <w:t>such </w:t>
      </w:r>
      <w:r>
        <w:rPr>
          <w:w w:val="105"/>
        </w:rPr>
        <w:t>an exemption appropriate.</w:t>
      </w:r>
      <w:r>
        <w:rPr>
          <w:w w:val="105"/>
          <w:position w:val="7"/>
          <w:sz w:val="12"/>
        </w:rPr>
        <w:t>299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r>
        <w:rPr/>
        <w:pict>
          <v:line style="position:absolute;mso-position-horizontal-relative:page;mso-position-vertical-relative:paragraph;z-index:10064;mso-wrap-distance-left:0;mso-wrap-distance-right:0" from="79.370003pt,17.183857pt" to="515.905003pt,17.18385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5"/>
        </w:rPr>
      </w:pPr>
    </w:p>
    <w:p>
      <w:pPr>
        <w:spacing w:before="0"/>
        <w:ind w:left="720" w:right="0" w:firstLine="0"/>
        <w:jc w:val="left"/>
        <w:rPr>
          <w:b/>
          <w:sz w:val="24"/>
        </w:rPr>
      </w:pPr>
      <w:r>
        <w:rPr>
          <w:b/>
          <w:color w:val="658464"/>
          <w:w w:val="110"/>
          <w:sz w:val="24"/>
        </w:rPr>
        <w:t>246</w:t>
      </w:r>
    </w:p>
    <w:p>
      <w:pPr>
        <w:pStyle w:val="ListParagraph"/>
        <w:numPr>
          <w:ilvl w:val="0"/>
          <w:numId w:val="179"/>
        </w:numPr>
        <w:tabs>
          <w:tab w:pos="1216" w:val="left" w:leader="none"/>
          <w:tab w:pos="1217" w:val="left" w:leader="none"/>
        </w:tabs>
        <w:spacing w:line="240" w:lineRule="auto" w:before="48" w:after="0"/>
        <w:ind w:left="1216" w:right="0" w:hanging="794"/>
        <w:jc w:val="left"/>
        <w:rPr>
          <w:sz w:val="13"/>
        </w:rPr>
      </w:pPr>
      <w:r>
        <w:rPr>
          <w:spacing w:val="-3"/>
          <w:w w:val="125"/>
          <w:sz w:val="13"/>
        </w:rPr>
        <w:br w:type="column"/>
      </w:r>
      <w:r>
        <w:rPr>
          <w:w w:val="105"/>
          <w:sz w:val="13"/>
        </w:rPr>
        <w:t>Consultation 1 (Aldo</w:t>
      </w:r>
      <w:r>
        <w:rPr>
          <w:spacing w:val="13"/>
          <w:w w:val="105"/>
          <w:sz w:val="13"/>
        </w:rPr>
        <w:t> </w:t>
      </w:r>
      <w:r>
        <w:rPr>
          <w:w w:val="105"/>
          <w:sz w:val="13"/>
        </w:rPr>
        <w:t>Taranto).</w:t>
      </w:r>
    </w:p>
    <w:p>
      <w:pPr>
        <w:pStyle w:val="ListParagraph"/>
        <w:numPr>
          <w:ilvl w:val="0"/>
          <w:numId w:val="179"/>
        </w:numPr>
        <w:tabs>
          <w:tab w:pos="1216" w:val="left" w:leader="none"/>
          <w:tab w:pos="1217" w:val="left" w:leader="none"/>
        </w:tabs>
        <w:spacing w:line="240" w:lineRule="auto" w:before="1" w:after="0"/>
        <w:ind w:left="1216" w:right="0" w:hanging="794"/>
        <w:jc w:val="left"/>
        <w:rPr>
          <w:sz w:val="13"/>
        </w:rPr>
      </w:pPr>
      <w:r>
        <w:rPr>
          <w:w w:val="105"/>
          <w:sz w:val="13"/>
        </w:rPr>
        <w:t>Department</w:t>
      </w:r>
      <w:r>
        <w:rPr>
          <w:spacing w:val="4"/>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4"/>
          <w:w w:val="105"/>
          <w:sz w:val="13"/>
        </w:rPr>
        <w:t> </w:t>
      </w:r>
      <w:r>
        <w:rPr>
          <w:i/>
          <w:w w:val="105"/>
          <w:sz w:val="13"/>
        </w:rPr>
        <w:t>Using</w:t>
      </w:r>
      <w:r>
        <w:rPr>
          <w:i/>
          <w:spacing w:val="5"/>
          <w:w w:val="105"/>
          <w:sz w:val="13"/>
        </w:rPr>
        <w:t> </w:t>
      </w:r>
      <w:r>
        <w:rPr>
          <w:i/>
          <w:w w:val="105"/>
          <w:sz w:val="13"/>
        </w:rPr>
        <w:t>Victoria’s</w:t>
      </w:r>
      <w:r>
        <w:rPr>
          <w:i/>
          <w:spacing w:val="5"/>
          <w:w w:val="105"/>
          <w:sz w:val="13"/>
        </w:rPr>
        <w:t> </w:t>
      </w:r>
      <w:r>
        <w:rPr>
          <w:i/>
          <w:w w:val="105"/>
          <w:sz w:val="13"/>
        </w:rPr>
        <w:t>Planning</w:t>
      </w:r>
      <w:r>
        <w:rPr>
          <w:i/>
          <w:spacing w:val="5"/>
          <w:w w:val="105"/>
          <w:sz w:val="13"/>
        </w:rPr>
        <w:t> </w:t>
      </w:r>
      <w:r>
        <w:rPr>
          <w:i/>
          <w:w w:val="105"/>
          <w:sz w:val="13"/>
        </w:rPr>
        <w:t>System</w:t>
      </w:r>
      <w:r>
        <w:rPr>
          <w:i/>
          <w:spacing w:val="5"/>
          <w:w w:val="105"/>
          <w:sz w:val="13"/>
        </w:rPr>
        <w:t> </w:t>
      </w:r>
      <w:r>
        <w:rPr>
          <w:w w:val="105"/>
          <w:sz w:val="13"/>
        </w:rPr>
        <w:t>(Guide,</w:t>
      </w:r>
      <w:r>
        <w:rPr>
          <w:spacing w:val="5"/>
          <w:w w:val="105"/>
          <w:sz w:val="13"/>
        </w:rPr>
        <w:t> </w:t>
      </w:r>
      <w:r>
        <w:rPr>
          <w:w w:val="105"/>
          <w:sz w:val="13"/>
        </w:rPr>
        <w:t>28</w:t>
      </w:r>
      <w:r>
        <w:rPr>
          <w:spacing w:val="5"/>
          <w:w w:val="105"/>
          <w:sz w:val="13"/>
        </w:rPr>
        <w:t> </w:t>
      </w:r>
      <w:r>
        <w:rPr>
          <w:w w:val="105"/>
          <w:sz w:val="13"/>
        </w:rPr>
        <w:t>May</w:t>
      </w:r>
      <w:r>
        <w:rPr>
          <w:spacing w:val="5"/>
          <w:w w:val="105"/>
          <w:sz w:val="13"/>
        </w:rPr>
        <w:t> </w:t>
      </w:r>
      <w:r>
        <w:rPr>
          <w:w w:val="105"/>
          <w:sz w:val="13"/>
        </w:rPr>
        <w:t>2015)</w:t>
      </w:r>
      <w:r>
        <w:rPr>
          <w:spacing w:val="4"/>
          <w:w w:val="105"/>
          <w:sz w:val="13"/>
        </w:rPr>
        <w:t> </w:t>
      </w:r>
      <w:r>
        <w:rPr>
          <w:w w:val="105"/>
          <w:sz w:val="13"/>
        </w:rPr>
        <w:t>[2.3.3]</w:t>
      </w:r>
    </w:p>
    <w:p>
      <w:pPr>
        <w:spacing w:before="2"/>
        <w:ind w:left="1216" w:right="0" w:firstLine="0"/>
        <w:jc w:val="left"/>
        <w:rPr>
          <w:sz w:val="13"/>
        </w:rPr>
      </w:pPr>
      <w:r>
        <w:rPr>
          <w:w w:val="105"/>
          <w:sz w:val="13"/>
        </w:rPr>
        <w:t>&lt;</w:t>
      </w:r>
      <w:hyperlink r:id="rId95">
        <w:r>
          <w:rPr>
            <w:w w:val="105"/>
            <w:sz w:val="13"/>
          </w:rPr>
          <w:t>www.planning.vic.gov.au/guide-home/using-victorias-planning-system</w:t>
        </w:r>
      </w:hyperlink>
      <w:r>
        <w:rPr>
          <w:w w:val="105"/>
          <w:sz w:val="13"/>
        </w:rPr>
        <w:t>&gt;.</w:t>
      </w:r>
    </w:p>
    <w:p>
      <w:pPr>
        <w:pStyle w:val="ListParagraph"/>
        <w:numPr>
          <w:ilvl w:val="0"/>
          <w:numId w:val="179"/>
        </w:numPr>
        <w:tabs>
          <w:tab w:pos="1216" w:val="left" w:leader="none"/>
          <w:tab w:pos="1217" w:val="left" w:leader="none"/>
        </w:tabs>
        <w:spacing w:line="240" w:lineRule="auto" w:before="1" w:after="0"/>
        <w:ind w:left="1216" w:right="2060" w:hanging="794"/>
        <w:jc w:val="left"/>
        <w:rPr>
          <w:sz w:val="13"/>
        </w:rPr>
      </w:pPr>
      <w:r>
        <w:rPr>
          <w:w w:val="105"/>
          <w:sz w:val="13"/>
        </w:rPr>
        <w:t>The Minister may authorise any other Minister or any public authority or municipal council to prepare an amendment to the Victoria Planning Provisions: </w:t>
      </w:r>
      <w:r>
        <w:rPr>
          <w:i/>
          <w:w w:val="105"/>
          <w:sz w:val="13"/>
        </w:rPr>
        <w:t>Planning and Environment Act 1987 </w:t>
      </w:r>
      <w:r>
        <w:rPr>
          <w:spacing w:val="2"/>
          <w:w w:val="105"/>
          <w:sz w:val="13"/>
        </w:rPr>
        <w:t>(Vic) </w:t>
      </w:r>
      <w:r>
        <w:rPr>
          <w:w w:val="105"/>
          <w:sz w:val="13"/>
        </w:rPr>
        <w:t>s</w:t>
      </w:r>
      <w:r>
        <w:rPr>
          <w:spacing w:val="8"/>
          <w:w w:val="105"/>
          <w:sz w:val="13"/>
        </w:rPr>
        <w:t> </w:t>
      </w:r>
      <w:r>
        <w:rPr>
          <w:spacing w:val="3"/>
          <w:w w:val="105"/>
          <w:sz w:val="13"/>
        </w:rPr>
        <w:t>4B(2).</w:t>
      </w:r>
    </w:p>
    <w:p>
      <w:pPr>
        <w:pStyle w:val="ListParagraph"/>
        <w:numPr>
          <w:ilvl w:val="0"/>
          <w:numId w:val="179"/>
        </w:numPr>
        <w:tabs>
          <w:tab w:pos="1216" w:val="left" w:leader="none"/>
          <w:tab w:pos="1217" w:val="left" w:leader="none"/>
        </w:tabs>
        <w:spacing w:line="240" w:lineRule="auto" w:before="3" w:after="0"/>
        <w:ind w:left="1216" w:right="1852" w:hanging="794"/>
        <w:jc w:val="left"/>
        <w:rPr>
          <w:sz w:val="13"/>
        </w:rPr>
      </w:pPr>
      <w:r>
        <w:rPr>
          <w:i/>
          <w:w w:val="105"/>
          <w:sz w:val="13"/>
        </w:rPr>
        <w:t>Planning and Environment Act 1987 </w:t>
      </w:r>
      <w:r>
        <w:rPr>
          <w:spacing w:val="2"/>
          <w:w w:val="105"/>
          <w:sz w:val="13"/>
        </w:rPr>
        <w:t>(Vic) </w:t>
      </w:r>
      <w:r>
        <w:rPr>
          <w:w w:val="105"/>
          <w:sz w:val="13"/>
        </w:rPr>
        <w:t>s </w:t>
      </w:r>
      <w:r>
        <w:rPr>
          <w:spacing w:val="2"/>
          <w:w w:val="105"/>
          <w:sz w:val="13"/>
        </w:rPr>
        <w:t>4B(1); </w:t>
      </w:r>
      <w:r>
        <w:rPr>
          <w:w w:val="105"/>
          <w:sz w:val="13"/>
        </w:rPr>
        <w:t>see also Department of Environment, Land, Water and Planning </w:t>
      </w:r>
      <w:r>
        <w:rPr>
          <w:spacing w:val="2"/>
          <w:w w:val="105"/>
          <w:sz w:val="13"/>
        </w:rPr>
        <w:t>(Vic), </w:t>
      </w:r>
      <w:r>
        <w:rPr>
          <w:i/>
          <w:w w:val="105"/>
          <w:sz w:val="13"/>
        </w:rPr>
        <w:t>Using Victoria’s </w:t>
      </w:r>
      <w:r>
        <w:rPr>
          <w:i/>
          <w:w w:val="105"/>
          <w:sz w:val="13"/>
        </w:rPr>
        <w:t>Planning System </w:t>
      </w:r>
      <w:r>
        <w:rPr>
          <w:w w:val="105"/>
          <w:sz w:val="13"/>
        </w:rPr>
        <w:t>(Guide, 28 May 2015)</w:t>
      </w:r>
      <w:r>
        <w:rPr>
          <w:spacing w:val="6"/>
          <w:w w:val="105"/>
          <w:sz w:val="13"/>
        </w:rPr>
        <w:t> </w:t>
      </w:r>
      <w:r>
        <w:rPr>
          <w:spacing w:val="-3"/>
          <w:w w:val="105"/>
          <w:sz w:val="13"/>
        </w:rPr>
        <w:t>[2.15] </w:t>
      </w:r>
      <w:r>
        <w:rPr>
          <w:w w:val="105"/>
          <w:sz w:val="13"/>
        </w:rPr>
        <w:t>&lt;</w:t>
      </w:r>
      <w:hyperlink r:id="rId95">
        <w:r>
          <w:rPr>
            <w:w w:val="105"/>
            <w:sz w:val="13"/>
          </w:rPr>
          <w:t>www.planning.vic.gov.au/guide-home/using-victorias-planning-system</w:t>
        </w:r>
      </w:hyperlink>
      <w:r>
        <w:rPr>
          <w:w w:val="105"/>
          <w:sz w:val="13"/>
        </w:rPr>
        <w:t>&gt;.</w:t>
      </w:r>
    </w:p>
    <w:p>
      <w:pPr>
        <w:pStyle w:val="ListParagraph"/>
        <w:numPr>
          <w:ilvl w:val="0"/>
          <w:numId w:val="179"/>
        </w:numPr>
        <w:tabs>
          <w:tab w:pos="1216" w:val="left" w:leader="none"/>
          <w:tab w:pos="1217" w:val="left" w:leader="none"/>
        </w:tabs>
        <w:spacing w:line="240" w:lineRule="auto" w:before="2" w:after="0"/>
        <w:ind w:left="1216" w:right="1665" w:hanging="794"/>
        <w:jc w:val="left"/>
        <w:rPr>
          <w:sz w:val="13"/>
        </w:rPr>
      </w:pPr>
      <w:r>
        <w:rPr>
          <w:i/>
          <w:w w:val="105"/>
          <w:sz w:val="13"/>
        </w:rPr>
        <w:t>Planning and Environment Act 1987 </w:t>
      </w:r>
      <w:r>
        <w:rPr>
          <w:spacing w:val="2"/>
          <w:w w:val="105"/>
          <w:sz w:val="13"/>
        </w:rPr>
        <w:t>(Vic) </w:t>
      </w:r>
      <w:r>
        <w:rPr>
          <w:w w:val="105"/>
          <w:sz w:val="13"/>
        </w:rPr>
        <w:t>s </w:t>
      </w:r>
      <w:r>
        <w:rPr>
          <w:spacing w:val="3"/>
          <w:w w:val="105"/>
          <w:sz w:val="13"/>
        </w:rPr>
        <w:t>4B(3), (4). </w:t>
      </w:r>
      <w:r>
        <w:rPr>
          <w:w w:val="105"/>
          <w:sz w:val="13"/>
        </w:rPr>
        <w:t>Unlike planning scheme amendments, the Minister or the body or person authorised</w:t>
      </w:r>
      <w:r>
        <w:rPr>
          <w:spacing w:val="30"/>
          <w:w w:val="105"/>
          <w:sz w:val="13"/>
        </w:rPr>
        <w:t> </w:t>
      </w:r>
      <w:r>
        <w:rPr>
          <w:w w:val="105"/>
          <w:sz w:val="13"/>
        </w:rPr>
        <w:t>to prepare the amendment can receive and consider submissions which seek a change to the terms of a state standard provision. The   change may be made or the submissions may be referred to a panel for consideration. The panel can recommend that an amendment be adopted with changes to the terms of the VPP: see Department of Environment Land, Water and Planning </w:t>
      </w:r>
      <w:r>
        <w:rPr>
          <w:spacing w:val="2"/>
          <w:w w:val="105"/>
          <w:sz w:val="13"/>
        </w:rPr>
        <w:t>(Vic), </w:t>
      </w:r>
      <w:r>
        <w:rPr>
          <w:i/>
          <w:w w:val="105"/>
          <w:sz w:val="13"/>
        </w:rPr>
        <w:t>Using Victoria’s Planning </w:t>
      </w:r>
      <w:r>
        <w:rPr>
          <w:i/>
          <w:w w:val="105"/>
          <w:sz w:val="13"/>
        </w:rPr>
        <w:t>System (Guide, </w:t>
      </w:r>
      <w:r>
        <w:rPr>
          <w:w w:val="105"/>
          <w:sz w:val="13"/>
        </w:rPr>
        <w:t>28 May 2015) </w:t>
      </w:r>
      <w:r>
        <w:rPr>
          <w:spacing w:val="-4"/>
          <w:w w:val="105"/>
          <w:sz w:val="13"/>
        </w:rPr>
        <w:t>[2.15.1]</w:t>
      </w:r>
      <w:r>
        <w:rPr>
          <w:spacing w:val="19"/>
          <w:w w:val="105"/>
          <w:sz w:val="13"/>
        </w:rPr>
        <w:t> </w:t>
      </w:r>
      <w:r>
        <w:rPr>
          <w:w w:val="105"/>
          <w:sz w:val="13"/>
        </w:rPr>
        <w:t>&lt;</w:t>
      </w:r>
      <w:hyperlink r:id="rId95">
        <w:r>
          <w:rPr>
            <w:w w:val="105"/>
            <w:sz w:val="13"/>
          </w:rPr>
          <w:t>www.planning.vic.gov.au/guide-home/using-victorias-planning-system</w:t>
        </w:r>
      </w:hyperlink>
      <w:r>
        <w:rPr>
          <w:w w:val="105"/>
          <w:sz w:val="13"/>
        </w:rPr>
        <w:t>&gt;.</w:t>
      </w:r>
    </w:p>
    <w:p>
      <w:pPr>
        <w:pStyle w:val="ListParagraph"/>
        <w:numPr>
          <w:ilvl w:val="0"/>
          <w:numId w:val="179"/>
        </w:numPr>
        <w:tabs>
          <w:tab w:pos="1216" w:val="left" w:leader="none"/>
          <w:tab w:pos="1217" w:val="left" w:leader="none"/>
        </w:tabs>
        <w:spacing w:line="240" w:lineRule="auto" w:before="7" w:after="0"/>
        <w:ind w:left="422" w:right="5669" w:firstLine="0"/>
        <w:jc w:val="left"/>
        <w:rPr>
          <w:sz w:val="13"/>
        </w:rPr>
      </w:pPr>
      <w:r>
        <w:rPr>
          <w:w w:val="105"/>
          <w:sz w:val="13"/>
        </w:rPr>
        <w:t>See </w:t>
      </w:r>
      <w:r>
        <w:rPr>
          <w:i/>
          <w:w w:val="105"/>
          <w:sz w:val="13"/>
        </w:rPr>
        <w:t>Planning and Environment Act 1987 </w:t>
      </w:r>
      <w:r>
        <w:rPr>
          <w:spacing w:val="2"/>
          <w:w w:val="105"/>
          <w:sz w:val="13"/>
        </w:rPr>
        <w:t>(Vic) </w:t>
      </w:r>
      <w:r>
        <w:rPr>
          <w:w w:val="105"/>
          <w:sz w:val="13"/>
        </w:rPr>
        <w:t>ss 17(1)(a), 18, 19, </w:t>
      </w:r>
      <w:r>
        <w:rPr>
          <w:spacing w:val="-3"/>
          <w:w w:val="105"/>
          <w:sz w:val="13"/>
        </w:rPr>
        <w:t>21. </w:t>
      </w:r>
      <w:r>
        <w:rPr>
          <w:w w:val="105"/>
          <w:sz w:val="13"/>
        </w:rPr>
        <w:t>299</w:t>
        <w:tab/>
        <w:t>Ibid s</w:t>
      </w:r>
      <w:r>
        <w:rPr>
          <w:spacing w:val="8"/>
          <w:w w:val="105"/>
          <w:sz w:val="13"/>
        </w:rPr>
        <w:t> </w:t>
      </w:r>
      <w:r>
        <w:rPr>
          <w:spacing w:val="3"/>
          <w:w w:val="105"/>
          <w:sz w:val="13"/>
        </w:rPr>
        <w:t>20(2),(4).</w:t>
      </w:r>
    </w:p>
    <w:p>
      <w:pPr>
        <w:spacing w:after="0" w:line="240" w:lineRule="auto"/>
        <w:jc w:val="left"/>
        <w:rPr>
          <w:sz w:val="13"/>
        </w:rPr>
        <w:sectPr>
          <w:type w:val="continuous"/>
          <w:pgSz w:w="11910" w:h="16840"/>
          <w:pgMar w:top="300" w:bottom="280" w:left="0" w:right="0"/>
          <w:cols w:num="2" w:equalWidth="0">
            <w:col w:w="1125" w:space="40"/>
            <w:col w:w="10745"/>
          </w:cols>
        </w:sectPr>
      </w:pPr>
    </w:p>
    <w:p>
      <w:pPr>
        <w:pStyle w:val="BodyText"/>
        <w:rPr>
          <w:sz w:val="20"/>
        </w:rPr>
      </w:pPr>
    </w:p>
    <w:p>
      <w:pPr>
        <w:pStyle w:val="BodyText"/>
        <w:spacing w:before="9"/>
        <w:rPr>
          <w:sz w:val="18"/>
        </w:rPr>
      </w:pPr>
    </w:p>
    <w:p>
      <w:pPr>
        <w:pStyle w:val="ListParagraph"/>
        <w:numPr>
          <w:ilvl w:val="0"/>
          <w:numId w:val="173"/>
        </w:numPr>
        <w:tabs>
          <w:tab w:pos="2381" w:val="left" w:leader="none"/>
          <w:tab w:pos="2382" w:val="left" w:leader="none"/>
        </w:tabs>
        <w:spacing w:line="242" w:lineRule="auto" w:before="91" w:after="0"/>
        <w:ind w:left="2381" w:right="1741" w:hanging="794"/>
        <w:jc w:val="left"/>
        <w:rPr>
          <w:sz w:val="12"/>
        </w:rPr>
      </w:pPr>
      <w:r>
        <w:rPr>
          <w:w w:val="105"/>
          <w:sz w:val="21"/>
        </w:rPr>
        <w:t>If an </w:t>
      </w:r>
      <w:r>
        <w:rPr>
          <w:spacing w:val="-3"/>
          <w:w w:val="105"/>
          <w:sz w:val="21"/>
        </w:rPr>
        <w:t>amendment </w:t>
      </w:r>
      <w:r>
        <w:rPr>
          <w:w w:val="105"/>
          <w:sz w:val="21"/>
        </w:rPr>
        <w:t>is </w:t>
      </w:r>
      <w:r>
        <w:rPr>
          <w:spacing w:val="-3"/>
          <w:w w:val="105"/>
          <w:sz w:val="21"/>
        </w:rPr>
        <w:t>approved, notice </w:t>
      </w:r>
      <w:r>
        <w:rPr>
          <w:w w:val="105"/>
          <w:sz w:val="21"/>
        </w:rPr>
        <w:t>of the </w:t>
      </w:r>
      <w:r>
        <w:rPr>
          <w:spacing w:val="-3"/>
          <w:w w:val="105"/>
          <w:sz w:val="21"/>
        </w:rPr>
        <w:t>approval </w:t>
      </w:r>
      <w:r>
        <w:rPr>
          <w:w w:val="105"/>
          <w:sz w:val="21"/>
        </w:rPr>
        <w:t>must be </w:t>
      </w:r>
      <w:r>
        <w:rPr>
          <w:spacing w:val="-3"/>
          <w:w w:val="105"/>
          <w:sz w:val="21"/>
        </w:rPr>
        <w:t>published </w:t>
      </w:r>
      <w:r>
        <w:rPr>
          <w:w w:val="105"/>
          <w:sz w:val="21"/>
        </w:rPr>
        <w:t>in the </w:t>
      </w:r>
      <w:r>
        <w:rPr>
          <w:spacing w:val="-3"/>
          <w:w w:val="105"/>
          <w:sz w:val="21"/>
        </w:rPr>
        <w:t>Government </w:t>
      </w:r>
      <w:r>
        <w:rPr>
          <w:w w:val="105"/>
          <w:sz w:val="21"/>
        </w:rPr>
        <w:t>Gazette.</w:t>
      </w:r>
      <w:r>
        <w:rPr>
          <w:w w:val="105"/>
          <w:position w:val="7"/>
          <w:sz w:val="12"/>
        </w:rPr>
        <w:t>300 </w:t>
      </w:r>
      <w:r>
        <w:rPr>
          <w:w w:val="105"/>
          <w:sz w:val="21"/>
        </w:rPr>
        <w:t>The </w:t>
      </w:r>
      <w:r>
        <w:rPr>
          <w:spacing w:val="-3"/>
          <w:w w:val="105"/>
          <w:sz w:val="21"/>
        </w:rPr>
        <w:t>amendment </w:t>
      </w:r>
      <w:r>
        <w:rPr>
          <w:w w:val="105"/>
          <w:sz w:val="21"/>
        </w:rPr>
        <w:t>comes </w:t>
      </w:r>
      <w:r>
        <w:rPr>
          <w:spacing w:val="-4"/>
          <w:w w:val="105"/>
          <w:sz w:val="21"/>
        </w:rPr>
        <w:t>into </w:t>
      </w:r>
      <w:r>
        <w:rPr>
          <w:w w:val="105"/>
          <w:sz w:val="21"/>
        </w:rPr>
        <w:t>operation when the </w:t>
      </w:r>
      <w:r>
        <w:rPr>
          <w:spacing w:val="-3"/>
          <w:w w:val="105"/>
          <w:sz w:val="21"/>
        </w:rPr>
        <w:t>notice </w:t>
      </w:r>
      <w:r>
        <w:rPr>
          <w:w w:val="105"/>
          <w:sz w:val="21"/>
        </w:rPr>
        <w:t>is </w:t>
      </w:r>
      <w:r>
        <w:rPr>
          <w:spacing w:val="-3"/>
          <w:w w:val="105"/>
          <w:sz w:val="21"/>
        </w:rPr>
        <w:t>published </w:t>
      </w:r>
      <w:r>
        <w:rPr>
          <w:w w:val="105"/>
          <w:sz w:val="21"/>
        </w:rPr>
        <w:t>in the </w:t>
      </w:r>
      <w:r>
        <w:rPr>
          <w:spacing w:val="-3"/>
          <w:w w:val="105"/>
          <w:sz w:val="21"/>
        </w:rPr>
        <w:t>Gazette, </w:t>
      </w:r>
      <w:r>
        <w:rPr>
          <w:w w:val="105"/>
          <w:sz w:val="21"/>
        </w:rPr>
        <w:t>or on </w:t>
      </w:r>
      <w:r>
        <w:rPr>
          <w:spacing w:val="-3"/>
          <w:w w:val="105"/>
          <w:sz w:val="21"/>
        </w:rPr>
        <w:t>any later day </w:t>
      </w:r>
      <w:r>
        <w:rPr>
          <w:w w:val="105"/>
          <w:sz w:val="21"/>
        </w:rPr>
        <w:t>or days specified in the </w:t>
      </w:r>
      <w:r>
        <w:rPr>
          <w:spacing w:val="-3"/>
          <w:w w:val="105"/>
          <w:sz w:val="21"/>
        </w:rPr>
        <w:t>notice.</w:t>
      </w:r>
      <w:r>
        <w:rPr>
          <w:spacing w:val="-3"/>
          <w:w w:val="105"/>
          <w:position w:val="7"/>
          <w:sz w:val="12"/>
        </w:rPr>
        <w:t>301 </w:t>
      </w:r>
      <w:r>
        <w:rPr>
          <w:w w:val="105"/>
          <w:sz w:val="21"/>
        </w:rPr>
        <w:t>An </w:t>
      </w:r>
      <w:r>
        <w:rPr>
          <w:spacing w:val="-3"/>
          <w:w w:val="105"/>
          <w:sz w:val="21"/>
        </w:rPr>
        <w:t>amendment to provisions </w:t>
      </w:r>
      <w:r>
        <w:rPr>
          <w:w w:val="105"/>
          <w:sz w:val="21"/>
        </w:rPr>
        <w:t>of a VPP can also amend specified </w:t>
      </w:r>
      <w:r>
        <w:rPr>
          <w:spacing w:val="-3"/>
          <w:w w:val="105"/>
          <w:sz w:val="21"/>
        </w:rPr>
        <w:t>planning </w:t>
      </w:r>
      <w:r>
        <w:rPr>
          <w:w w:val="105"/>
          <w:sz w:val="21"/>
        </w:rPr>
        <w:t>schemes </w:t>
      </w:r>
      <w:r>
        <w:rPr>
          <w:spacing w:val="-3"/>
          <w:w w:val="105"/>
          <w:sz w:val="21"/>
        </w:rPr>
        <w:t>that include</w:t>
      </w:r>
      <w:r>
        <w:rPr>
          <w:spacing w:val="-5"/>
          <w:w w:val="105"/>
          <w:sz w:val="21"/>
        </w:rPr>
        <w:t> </w:t>
      </w:r>
      <w:r>
        <w:rPr>
          <w:w w:val="105"/>
          <w:sz w:val="21"/>
        </w:rPr>
        <w:t>those</w:t>
      </w:r>
      <w:r>
        <w:rPr>
          <w:spacing w:val="-4"/>
          <w:w w:val="105"/>
          <w:sz w:val="21"/>
        </w:rPr>
        <w:t> </w:t>
      </w:r>
      <w:r>
        <w:rPr>
          <w:spacing w:val="-3"/>
          <w:w w:val="105"/>
          <w:sz w:val="21"/>
        </w:rPr>
        <w:t>provisions.</w:t>
      </w:r>
      <w:r>
        <w:rPr>
          <w:spacing w:val="-5"/>
          <w:w w:val="105"/>
          <w:sz w:val="21"/>
        </w:rPr>
        <w:t> </w:t>
      </w:r>
      <w:r>
        <w:rPr>
          <w:w w:val="105"/>
          <w:sz w:val="21"/>
        </w:rPr>
        <w:t>When</w:t>
      </w:r>
      <w:r>
        <w:rPr>
          <w:spacing w:val="-4"/>
          <w:w w:val="105"/>
          <w:sz w:val="21"/>
        </w:rPr>
        <w:t> </w:t>
      </w:r>
      <w:r>
        <w:rPr>
          <w:w w:val="105"/>
          <w:sz w:val="21"/>
        </w:rPr>
        <w:t>the</w:t>
      </w:r>
      <w:r>
        <w:rPr>
          <w:spacing w:val="-4"/>
          <w:w w:val="105"/>
          <w:sz w:val="21"/>
        </w:rPr>
        <w:t> </w:t>
      </w:r>
      <w:r>
        <w:rPr>
          <w:spacing w:val="-3"/>
          <w:w w:val="105"/>
          <w:sz w:val="21"/>
        </w:rPr>
        <w:t>amendment</w:t>
      </w:r>
      <w:r>
        <w:rPr>
          <w:spacing w:val="-5"/>
          <w:w w:val="105"/>
          <w:sz w:val="21"/>
        </w:rPr>
        <w:t> </w:t>
      </w:r>
      <w:r>
        <w:rPr>
          <w:spacing w:val="-3"/>
          <w:w w:val="105"/>
          <w:sz w:val="21"/>
        </w:rPr>
        <w:t>to</w:t>
      </w:r>
      <w:r>
        <w:rPr>
          <w:spacing w:val="-4"/>
          <w:w w:val="105"/>
          <w:sz w:val="21"/>
        </w:rPr>
        <w:t> </w:t>
      </w:r>
      <w:r>
        <w:rPr>
          <w:w w:val="105"/>
          <w:sz w:val="21"/>
        </w:rPr>
        <w:t>the</w:t>
      </w:r>
      <w:r>
        <w:rPr>
          <w:spacing w:val="-4"/>
          <w:w w:val="105"/>
          <w:sz w:val="21"/>
        </w:rPr>
        <w:t> </w:t>
      </w:r>
      <w:r>
        <w:rPr>
          <w:w w:val="105"/>
          <w:sz w:val="21"/>
        </w:rPr>
        <w:t>VPP</w:t>
      </w:r>
      <w:r>
        <w:rPr>
          <w:spacing w:val="-5"/>
          <w:w w:val="105"/>
          <w:sz w:val="21"/>
        </w:rPr>
        <w:t> </w:t>
      </w:r>
      <w:r>
        <w:rPr>
          <w:w w:val="105"/>
          <w:sz w:val="21"/>
        </w:rPr>
        <w:t>is</w:t>
      </w:r>
      <w:r>
        <w:rPr>
          <w:spacing w:val="-4"/>
          <w:w w:val="105"/>
          <w:sz w:val="21"/>
        </w:rPr>
        <w:t> </w:t>
      </w:r>
      <w:r>
        <w:rPr>
          <w:spacing w:val="-3"/>
          <w:w w:val="105"/>
          <w:sz w:val="21"/>
        </w:rPr>
        <w:t>approved,</w:t>
      </w:r>
      <w:r>
        <w:rPr>
          <w:spacing w:val="-4"/>
          <w:w w:val="105"/>
          <w:sz w:val="21"/>
        </w:rPr>
        <w:t> </w:t>
      </w:r>
      <w:r>
        <w:rPr>
          <w:w w:val="105"/>
          <w:sz w:val="21"/>
        </w:rPr>
        <w:t>the</w:t>
      </w:r>
      <w:r>
        <w:rPr>
          <w:spacing w:val="-5"/>
          <w:w w:val="105"/>
          <w:sz w:val="21"/>
        </w:rPr>
        <w:t> </w:t>
      </w:r>
      <w:r>
        <w:rPr>
          <w:spacing w:val="-3"/>
          <w:w w:val="105"/>
          <w:sz w:val="21"/>
        </w:rPr>
        <w:t>amendment to </w:t>
      </w:r>
      <w:r>
        <w:rPr>
          <w:w w:val="105"/>
          <w:sz w:val="21"/>
        </w:rPr>
        <w:t>the </w:t>
      </w:r>
      <w:r>
        <w:rPr>
          <w:spacing w:val="-3"/>
          <w:w w:val="105"/>
          <w:sz w:val="21"/>
        </w:rPr>
        <w:t>planning </w:t>
      </w:r>
      <w:r>
        <w:rPr>
          <w:w w:val="105"/>
          <w:sz w:val="21"/>
        </w:rPr>
        <w:t>scheme is also</w:t>
      </w:r>
      <w:r>
        <w:rPr>
          <w:spacing w:val="33"/>
          <w:w w:val="105"/>
          <w:sz w:val="21"/>
        </w:rPr>
        <w:t> </w:t>
      </w:r>
      <w:r>
        <w:rPr>
          <w:w w:val="105"/>
          <w:sz w:val="21"/>
        </w:rPr>
        <w:t>approved.</w:t>
      </w:r>
      <w:r>
        <w:rPr>
          <w:w w:val="105"/>
          <w:position w:val="7"/>
          <w:sz w:val="12"/>
        </w:rPr>
        <w:t>302</w:t>
      </w:r>
    </w:p>
    <w:p>
      <w:pPr>
        <w:pStyle w:val="ListParagraph"/>
        <w:numPr>
          <w:ilvl w:val="0"/>
          <w:numId w:val="173"/>
        </w:numPr>
        <w:tabs>
          <w:tab w:pos="2381" w:val="left" w:leader="none"/>
          <w:tab w:pos="2382" w:val="left" w:leader="none"/>
        </w:tabs>
        <w:spacing w:line="242" w:lineRule="auto" w:before="127" w:after="0"/>
        <w:ind w:left="2381" w:right="1636" w:hanging="794"/>
        <w:jc w:val="left"/>
        <w:rPr>
          <w:sz w:val="21"/>
        </w:rPr>
      </w:pPr>
      <w:r>
        <w:rPr>
          <w:sz w:val="21"/>
        </w:rPr>
        <w:t>On </w:t>
      </w:r>
      <w:r>
        <w:rPr>
          <w:spacing w:val="-3"/>
          <w:sz w:val="21"/>
        </w:rPr>
        <w:t>balance </w:t>
      </w:r>
      <w:r>
        <w:rPr>
          <w:sz w:val="21"/>
        </w:rPr>
        <w:t>the </w:t>
      </w:r>
      <w:r>
        <w:rPr>
          <w:spacing w:val="-3"/>
          <w:sz w:val="21"/>
        </w:rPr>
        <w:t>Commission </w:t>
      </w:r>
      <w:r>
        <w:rPr>
          <w:sz w:val="21"/>
        </w:rPr>
        <w:t>is persuaded </w:t>
      </w:r>
      <w:r>
        <w:rPr>
          <w:spacing w:val="-3"/>
          <w:sz w:val="21"/>
        </w:rPr>
        <w:t>that broadening </w:t>
      </w:r>
      <w:r>
        <w:rPr>
          <w:sz w:val="21"/>
        </w:rPr>
        <w:t>the exemption in the VPPs </w:t>
      </w:r>
      <w:r>
        <w:rPr>
          <w:spacing w:val="-3"/>
          <w:sz w:val="21"/>
        </w:rPr>
        <w:t>will  </w:t>
      </w:r>
      <w:r>
        <w:rPr>
          <w:sz w:val="21"/>
        </w:rPr>
        <w:t>lead </w:t>
      </w:r>
      <w:r>
        <w:rPr>
          <w:spacing w:val="-3"/>
          <w:sz w:val="21"/>
        </w:rPr>
        <w:t>to </w:t>
      </w:r>
      <w:r>
        <w:rPr>
          <w:sz w:val="21"/>
        </w:rPr>
        <w:t>a </w:t>
      </w:r>
      <w:r>
        <w:rPr>
          <w:spacing w:val="-3"/>
          <w:sz w:val="21"/>
        </w:rPr>
        <w:t>streamlined </w:t>
      </w:r>
      <w:r>
        <w:rPr>
          <w:sz w:val="21"/>
        </w:rPr>
        <w:t>approach </w:t>
      </w:r>
      <w:r>
        <w:rPr>
          <w:spacing w:val="-3"/>
          <w:sz w:val="21"/>
        </w:rPr>
        <w:t>that will </w:t>
      </w:r>
      <w:r>
        <w:rPr>
          <w:sz w:val="21"/>
        </w:rPr>
        <w:t>be </w:t>
      </w:r>
      <w:r>
        <w:rPr>
          <w:spacing w:val="-2"/>
          <w:sz w:val="21"/>
        </w:rPr>
        <w:t>easier </w:t>
      </w:r>
      <w:r>
        <w:rPr>
          <w:spacing w:val="-3"/>
          <w:sz w:val="21"/>
        </w:rPr>
        <w:t>for </w:t>
      </w:r>
      <w:r>
        <w:rPr>
          <w:sz w:val="21"/>
        </w:rPr>
        <w:t>parties </w:t>
      </w:r>
      <w:r>
        <w:rPr>
          <w:spacing w:val="-3"/>
          <w:sz w:val="21"/>
        </w:rPr>
        <w:t>to </w:t>
      </w:r>
      <w:r>
        <w:rPr>
          <w:spacing w:val="-4"/>
          <w:sz w:val="21"/>
        </w:rPr>
        <w:t>navigate. </w:t>
      </w:r>
      <w:r>
        <w:rPr>
          <w:sz w:val="21"/>
        </w:rPr>
        <w:t>The </w:t>
      </w:r>
      <w:r>
        <w:rPr>
          <w:spacing w:val="-3"/>
          <w:sz w:val="21"/>
        </w:rPr>
        <w:t>Commission recommends safeguards to  ensure  that  </w:t>
      </w:r>
      <w:r>
        <w:rPr>
          <w:sz w:val="21"/>
        </w:rPr>
        <w:t>the broader policy </w:t>
      </w:r>
      <w:r>
        <w:rPr>
          <w:spacing w:val="-3"/>
          <w:sz w:val="21"/>
        </w:rPr>
        <w:t>considerations</w:t>
      </w:r>
      <w:r>
        <w:rPr>
          <w:spacing w:val="41"/>
          <w:sz w:val="21"/>
        </w:rPr>
        <w:t> </w:t>
      </w:r>
      <w:r>
        <w:rPr>
          <w:spacing w:val="-2"/>
          <w:sz w:val="21"/>
        </w:rPr>
        <w:t>raised  </w:t>
      </w:r>
      <w:r>
        <w:rPr>
          <w:sz w:val="21"/>
        </w:rPr>
        <w:t>by </w:t>
      </w:r>
      <w:r>
        <w:rPr>
          <w:spacing w:val="-5"/>
          <w:sz w:val="21"/>
        </w:rPr>
        <w:t>VCAT </w:t>
      </w:r>
      <w:r>
        <w:rPr>
          <w:spacing w:val="-3"/>
          <w:sz w:val="21"/>
        </w:rPr>
        <w:t>are considered </w:t>
      </w:r>
      <w:r>
        <w:rPr>
          <w:sz w:val="21"/>
        </w:rPr>
        <w:t>where </w:t>
      </w:r>
      <w:r>
        <w:rPr>
          <w:spacing w:val="-3"/>
          <w:sz w:val="21"/>
        </w:rPr>
        <w:t>relevant </w:t>
      </w:r>
      <w:r>
        <w:rPr>
          <w:sz w:val="21"/>
        </w:rPr>
        <w:t>by the decision </w:t>
      </w:r>
      <w:r>
        <w:rPr>
          <w:spacing w:val="-4"/>
          <w:sz w:val="21"/>
        </w:rPr>
        <w:t>maker</w:t>
      </w:r>
      <w:r>
        <w:rPr>
          <w:spacing w:val="2"/>
          <w:sz w:val="21"/>
        </w:rPr>
        <w:t> </w:t>
      </w:r>
      <w:r>
        <w:rPr>
          <w:sz w:val="21"/>
        </w:rPr>
        <w:t>under the new Act.</w:t>
      </w:r>
    </w:p>
    <w:p>
      <w:pPr>
        <w:pStyle w:val="Heading7"/>
        <w:spacing w:before="155"/>
      </w:pPr>
      <w:r>
        <w:rPr>
          <w:w w:val="115"/>
        </w:rPr>
        <w:t>Safeguards</w:t>
      </w:r>
    </w:p>
    <w:p>
      <w:pPr>
        <w:pStyle w:val="ListParagraph"/>
        <w:numPr>
          <w:ilvl w:val="0"/>
          <w:numId w:val="173"/>
        </w:numPr>
        <w:tabs>
          <w:tab w:pos="2380" w:val="left" w:leader="none"/>
          <w:tab w:pos="2381" w:val="left" w:leader="none"/>
        </w:tabs>
        <w:spacing w:line="240" w:lineRule="auto" w:before="143" w:after="0"/>
        <w:ind w:left="2381" w:right="0" w:hanging="794"/>
        <w:jc w:val="left"/>
        <w:rPr>
          <w:sz w:val="21"/>
        </w:rPr>
      </w:pPr>
      <w:r>
        <w:rPr>
          <w:w w:val="105"/>
          <w:sz w:val="21"/>
        </w:rPr>
        <w:t>The </w:t>
      </w:r>
      <w:r>
        <w:rPr>
          <w:spacing w:val="-3"/>
          <w:w w:val="105"/>
          <w:sz w:val="21"/>
        </w:rPr>
        <w:t>Commission recommends that safeguards </w:t>
      </w:r>
      <w:r>
        <w:rPr>
          <w:w w:val="105"/>
          <w:sz w:val="21"/>
        </w:rPr>
        <w:t>should </w:t>
      </w:r>
      <w:r>
        <w:rPr>
          <w:spacing w:val="-4"/>
          <w:w w:val="105"/>
          <w:sz w:val="21"/>
        </w:rPr>
        <w:t>apply,</w:t>
      </w:r>
      <w:r>
        <w:rPr>
          <w:spacing w:val="-1"/>
          <w:w w:val="105"/>
          <w:sz w:val="21"/>
        </w:rPr>
        <w:t> </w:t>
      </w:r>
      <w:r>
        <w:rPr>
          <w:w w:val="105"/>
          <w:sz w:val="21"/>
        </w:rPr>
        <w:t>namely:</w:t>
      </w:r>
    </w:p>
    <w:p>
      <w:pPr>
        <w:pStyle w:val="ListParagraph"/>
        <w:numPr>
          <w:ilvl w:val="1"/>
          <w:numId w:val="173"/>
        </w:numPr>
        <w:tabs>
          <w:tab w:pos="2721" w:val="left" w:leader="none"/>
          <w:tab w:pos="2722" w:val="left" w:leader="none"/>
        </w:tabs>
        <w:spacing w:line="242" w:lineRule="auto" w:before="123" w:after="0"/>
        <w:ind w:left="2721" w:right="1799" w:hanging="341"/>
        <w:jc w:val="left"/>
        <w:rPr>
          <w:sz w:val="21"/>
        </w:rPr>
      </w:pPr>
      <w:r>
        <w:rPr>
          <w:w w:val="105"/>
          <w:sz w:val="21"/>
        </w:rPr>
        <w:t>The</w:t>
      </w:r>
      <w:r>
        <w:rPr>
          <w:spacing w:val="-7"/>
          <w:w w:val="105"/>
          <w:sz w:val="21"/>
        </w:rPr>
        <w:t> </w:t>
      </w:r>
      <w:r>
        <w:rPr>
          <w:w w:val="105"/>
          <w:sz w:val="21"/>
        </w:rPr>
        <w:t>affected</w:t>
      </w:r>
      <w:r>
        <w:rPr>
          <w:spacing w:val="-7"/>
          <w:w w:val="105"/>
          <w:sz w:val="21"/>
        </w:rPr>
        <w:t> </w:t>
      </w:r>
      <w:r>
        <w:rPr>
          <w:spacing w:val="-3"/>
          <w:w w:val="105"/>
          <w:sz w:val="21"/>
        </w:rPr>
        <w:t>neighbour</w:t>
      </w:r>
      <w:r>
        <w:rPr>
          <w:spacing w:val="-7"/>
          <w:w w:val="105"/>
          <w:sz w:val="21"/>
        </w:rPr>
        <w:t> </w:t>
      </w:r>
      <w:r>
        <w:rPr>
          <w:w w:val="105"/>
          <w:sz w:val="21"/>
        </w:rPr>
        <w:t>should</w:t>
      </w:r>
      <w:r>
        <w:rPr>
          <w:spacing w:val="-6"/>
          <w:w w:val="105"/>
          <w:sz w:val="21"/>
        </w:rPr>
        <w:t> </w:t>
      </w:r>
      <w:r>
        <w:rPr>
          <w:w w:val="105"/>
          <w:sz w:val="21"/>
        </w:rPr>
        <w:t>provide</w:t>
      </w:r>
      <w:r>
        <w:rPr>
          <w:spacing w:val="-7"/>
          <w:w w:val="105"/>
          <w:sz w:val="21"/>
        </w:rPr>
        <w:t> </w:t>
      </w:r>
      <w:r>
        <w:rPr>
          <w:spacing w:val="-3"/>
          <w:w w:val="105"/>
          <w:sz w:val="21"/>
        </w:rPr>
        <w:t>information</w:t>
      </w:r>
      <w:r>
        <w:rPr>
          <w:spacing w:val="-7"/>
          <w:w w:val="105"/>
          <w:sz w:val="21"/>
        </w:rPr>
        <w:t> </w:t>
      </w:r>
      <w:r>
        <w:rPr>
          <w:w w:val="105"/>
          <w:sz w:val="21"/>
        </w:rPr>
        <w:t>in</w:t>
      </w:r>
      <w:r>
        <w:rPr>
          <w:spacing w:val="-6"/>
          <w:w w:val="105"/>
          <w:sz w:val="21"/>
        </w:rPr>
        <w:t> </w:t>
      </w:r>
      <w:r>
        <w:rPr>
          <w:w w:val="105"/>
          <w:sz w:val="21"/>
        </w:rPr>
        <w:t>the</w:t>
      </w:r>
      <w:r>
        <w:rPr>
          <w:spacing w:val="-7"/>
          <w:w w:val="105"/>
          <w:sz w:val="21"/>
        </w:rPr>
        <w:t> </w:t>
      </w:r>
      <w:r>
        <w:rPr>
          <w:w w:val="105"/>
          <w:sz w:val="21"/>
        </w:rPr>
        <w:t>application</w:t>
      </w:r>
      <w:r>
        <w:rPr>
          <w:spacing w:val="-7"/>
          <w:w w:val="105"/>
          <w:sz w:val="21"/>
        </w:rPr>
        <w:t> </w:t>
      </w:r>
      <w:r>
        <w:rPr>
          <w:spacing w:val="-3"/>
          <w:w w:val="105"/>
          <w:sz w:val="21"/>
        </w:rPr>
        <w:t>form</w:t>
      </w:r>
      <w:r>
        <w:rPr>
          <w:spacing w:val="-6"/>
          <w:w w:val="105"/>
          <w:sz w:val="21"/>
        </w:rPr>
        <w:t> </w:t>
      </w:r>
      <w:r>
        <w:rPr>
          <w:spacing w:val="-3"/>
          <w:w w:val="105"/>
          <w:sz w:val="21"/>
        </w:rPr>
        <w:t>detailing any </w:t>
      </w:r>
      <w:r>
        <w:rPr>
          <w:w w:val="105"/>
          <w:sz w:val="21"/>
        </w:rPr>
        <w:t>application of </w:t>
      </w:r>
      <w:r>
        <w:rPr>
          <w:spacing w:val="-3"/>
          <w:w w:val="105"/>
          <w:sz w:val="21"/>
        </w:rPr>
        <w:t>planning </w:t>
      </w:r>
      <w:r>
        <w:rPr>
          <w:w w:val="105"/>
          <w:sz w:val="21"/>
        </w:rPr>
        <w:t>scheme </w:t>
      </w:r>
      <w:r>
        <w:rPr>
          <w:spacing w:val="-3"/>
          <w:w w:val="105"/>
          <w:sz w:val="21"/>
        </w:rPr>
        <w:t>overlays </w:t>
      </w:r>
      <w:r>
        <w:rPr>
          <w:w w:val="105"/>
          <w:sz w:val="21"/>
        </w:rPr>
        <w:t>or other applicable </w:t>
      </w:r>
      <w:r>
        <w:rPr>
          <w:spacing w:val="-3"/>
          <w:w w:val="105"/>
          <w:sz w:val="21"/>
        </w:rPr>
        <w:t>provisions. </w:t>
      </w:r>
      <w:r>
        <w:rPr>
          <w:w w:val="105"/>
          <w:sz w:val="21"/>
        </w:rPr>
        <w:t>This </w:t>
      </w:r>
      <w:r>
        <w:rPr>
          <w:spacing w:val="-3"/>
          <w:w w:val="105"/>
          <w:sz w:val="21"/>
        </w:rPr>
        <w:t>recommendation </w:t>
      </w:r>
      <w:r>
        <w:rPr>
          <w:w w:val="105"/>
          <w:sz w:val="21"/>
        </w:rPr>
        <w:t>is discussed in </w:t>
      </w:r>
      <w:r>
        <w:rPr>
          <w:spacing w:val="-4"/>
          <w:w w:val="105"/>
          <w:sz w:val="21"/>
        </w:rPr>
        <w:t>Chapter</w:t>
      </w:r>
      <w:r>
        <w:rPr>
          <w:spacing w:val="27"/>
          <w:w w:val="105"/>
          <w:sz w:val="21"/>
        </w:rPr>
        <w:t> </w:t>
      </w:r>
      <w:r>
        <w:rPr>
          <w:w w:val="105"/>
          <w:sz w:val="21"/>
        </w:rPr>
        <w:t>5.</w:t>
      </w:r>
    </w:p>
    <w:p>
      <w:pPr>
        <w:pStyle w:val="ListParagraph"/>
        <w:numPr>
          <w:ilvl w:val="1"/>
          <w:numId w:val="173"/>
        </w:numPr>
        <w:tabs>
          <w:tab w:pos="2721" w:val="left" w:leader="none"/>
          <w:tab w:pos="2722" w:val="left" w:leader="none"/>
        </w:tabs>
        <w:spacing w:line="242" w:lineRule="auto" w:before="89" w:after="0"/>
        <w:ind w:left="2721" w:right="1951" w:hanging="341"/>
        <w:jc w:val="left"/>
        <w:rPr>
          <w:sz w:val="21"/>
        </w:rPr>
      </w:pPr>
      <w:r>
        <w:rPr>
          <w:sz w:val="21"/>
        </w:rPr>
        <w:t>The </w:t>
      </w:r>
      <w:r>
        <w:rPr>
          <w:spacing w:val="-3"/>
          <w:sz w:val="21"/>
        </w:rPr>
        <w:t>relevant responsible </w:t>
      </w:r>
      <w:r>
        <w:rPr>
          <w:sz w:val="21"/>
        </w:rPr>
        <w:t>authority should be notified of </w:t>
      </w:r>
      <w:r>
        <w:rPr>
          <w:spacing w:val="-3"/>
          <w:sz w:val="21"/>
        </w:rPr>
        <w:t>applications </w:t>
      </w:r>
      <w:r>
        <w:rPr>
          <w:sz w:val="21"/>
        </w:rPr>
        <w:t>and </w:t>
      </w:r>
      <w:r>
        <w:rPr>
          <w:spacing w:val="-3"/>
          <w:sz w:val="21"/>
        </w:rPr>
        <w:t>invited to </w:t>
      </w:r>
      <w:r>
        <w:rPr>
          <w:sz w:val="21"/>
        </w:rPr>
        <w:t>participate in tree </w:t>
      </w:r>
      <w:r>
        <w:rPr>
          <w:spacing w:val="-3"/>
          <w:sz w:val="21"/>
        </w:rPr>
        <w:t>dispute</w:t>
      </w:r>
      <w:r>
        <w:rPr>
          <w:spacing w:val="34"/>
          <w:sz w:val="21"/>
        </w:rPr>
        <w:t> </w:t>
      </w:r>
      <w:r>
        <w:rPr>
          <w:spacing w:val="-3"/>
          <w:sz w:val="21"/>
        </w:rPr>
        <w:t>hearings.</w:t>
      </w:r>
    </w:p>
    <w:p>
      <w:pPr>
        <w:pStyle w:val="ListParagraph"/>
        <w:numPr>
          <w:ilvl w:val="1"/>
          <w:numId w:val="173"/>
        </w:numPr>
        <w:tabs>
          <w:tab w:pos="2722" w:val="left" w:leader="none"/>
        </w:tabs>
        <w:spacing w:line="242" w:lineRule="auto" w:before="87" w:after="0"/>
        <w:ind w:left="2721" w:right="1593" w:hanging="341"/>
        <w:jc w:val="both"/>
        <w:rPr>
          <w:sz w:val="12"/>
        </w:rPr>
      </w:pPr>
      <w:r>
        <w:rPr>
          <w:spacing w:val="-5"/>
          <w:w w:val="105"/>
          <w:sz w:val="21"/>
        </w:rPr>
        <w:t>VCAT</w:t>
      </w:r>
      <w:r>
        <w:rPr>
          <w:spacing w:val="-6"/>
          <w:w w:val="105"/>
          <w:sz w:val="21"/>
        </w:rPr>
        <w:t> </w:t>
      </w:r>
      <w:r>
        <w:rPr>
          <w:w w:val="105"/>
          <w:sz w:val="21"/>
        </w:rPr>
        <w:t>should</w:t>
      </w:r>
      <w:r>
        <w:rPr>
          <w:spacing w:val="-6"/>
          <w:w w:val="105"/>
          <w:sz w:val="21"/>
        </w:rPr>
        <w:t> </w:t>
      </w:r>
      <w:r>
        <w:rPr>
          <w:spacing w:val="-3"/>
          <w:w w:val="105"/>
          <w:sz w:val="21"/>
        </w:rPr>
        <w:t>consider</w:t>
      </w:r>
      <w:r>
        <w:rPr>
          <w:spacing w:val="-6"/>
          <w:w w:val="105"/>
          <w:sz w:val="21"/>
        </w:rPr>
        <w:t> </w:t>
      </w:r>
      <w:r>
        <w:rPr>
          <w:w w:val="105"/>
          <w:sz w:val="21"/>
        </w:rPr>
        <w:t>factors</w:t>
      </w:r>
      <w:r>
        <w:rPr>
          <w:spacing w:val="-7"/>
          <w:w w:val="105"/>
          <w:sz w:val="21"/>
        </w:rPr>
        <w:t> </w:t>
      </w:r>
      <w:r>
        <w:rPr>
          <w:spacing w:val="-3"/>
          <w:w w:val="105"/>
          <w:sz w:val="21"/>
        </w:rPr>
        <w:t>that</w:t>
      </w:r>
      <w:r>
        <w:rPr>
          <w:spacing w:val="-6"/>
          <w:w w:val="105"/>
          <w:sz w:val="21"/>
        </w:rPr>
        <w:t> </w:t>
      </w:r>
      <w:r>
        <w:rPr>
          <w:w w:val="105"/>
          <w:sz w:val="21"/>
        </w:rPr>
        <w:t>the</w:t>
      </w:r>
      <w:r>
        <w:rPr>
          <w:spacing w:val="-6"/>
          <w:w w:val="105"/>
          <w:sz w:val="21"/>
        </w:rPr>
        <w:t> </w:t>
      </w:r>
      <w:r>
        <w:rPr>
          <w:spacing w:val="-3"/>
          <w:w w:val="105"/>
          <w:sz w:val="21"/>
        </w:rPr>
        <w:t>responsible</w:t>
      </w:r>
      <w:r>
        <w:rPr>
          <w:spacing w:val="-6"/>
          <w:w w:val="105"/>
          <w:sz w:val="21"/>
        </w:rPr>
        <w:t> </w:t>
      </w:r>
      <w:r>
        <w:rPr>
          <w:w w:val="105"/>
          <w:sz w:val="21"/>
        </w:rPr>
        <w:t>authority</w:t>
      </w:r>
      <w:r>
        <w:rPr>
          <w:spacing w:val="-6"/>
          <w:w w:val="105"/>
          <w:sz w:val="21"/>
        </w:rPr>
        <w:t> </w:t>
      </w:r>
      <w:r>
        <w:rPr>
          <w:w w:val="105"/>
          <w:sz w:val="21"/>
        </w:rPr>
        <w:t>would</w:t>
      </w:r>
      <w:r>
        <w:rPr>
          <w:spacing w:val="-6"/>
          <w:w w:val="105"/>
          <w:sz w:val="21"/>
        </w:rPr>
        <w:t> </w:t>
      </w:r>
      <w:r>
        <w:rPr>
          <w:spacing w:val="-3"/>
          <w:w w:val="105"/>
          <w:sz w:val="21"/>
        </w:rPr>
        <w:t>have</w:t>
      </w:r>
      <w:r>
        <w:rPr>
          <w:spacing w:val="-6"/>
          <w:w w:val="105"/>
          <w:sz w:val="21"/>
        </w:rPr>
        <w:t> </w:t>
      </w:r>
      <w:r>
        <w:rPr>
          <w:w w:val="105"/>
          <w:sz w:val="21"/>
        </w:rPr>
        <w:t>been</w:t>
      </w:r>
      <w:r>
        <w:rPr>
          <w:spacing w:val="-6"/>
          <w:w w:val="105"/>
          <w:sz w:val="21"/>
        </w:rPr>
        <w:t> </w:t>
      </w:r>
      <w:r>
        <w:rPr>
          <w:spacing w:val="-3"/>
          <w:w w:val="105"/>
          <w:sz w:val="21"/>
        </w:rPr>
        <w:t>required to take </w:t>
      </w:r>
      <w:r>
        <w:rPr>
          <w:spacing w:val="-4"/>
          <w:w w:val="105"/>
          <w:sz w:val="21"/>
        </w:rPr>
        <w:t>into </w:t>
      </w:r>
      <w:r>
        <w:rPr>
          <w:spacing w:val="-3"/>
          <w:w w:val="105"/>
          <w:sz w:val="21"/>
        </w:rPr>
        <w:t>account, such </w:t>
      </w:r>
      <w:r>
        <w:rPr>
          <w:w w:val="105"/>
          <w:sz w:val="21"/>
        </w:rPr>
        <w:t>as the </w:t>
      </w:r>
      <w:r>
        <w:rPr>
          <w:spacing w:val="-3"/>
          <w:w w:val="105"/>
          <w:sz w:val="21"/>
        </w:rPr>
        <w:t>relevant planning scheme, </w:t>
      </w:r>
      <w:r>
        <w:rPr>
          <w:w w:val="105"/>
          <w:sz w:val="21"/>
        </w:rPr>
        <w:t>the objectives of </w:t>
      </w:r>
      <w:r>
        <w:rPr>
          <w:spacing w:val="-3"/>
          <w:w w:val="105"/>
          <w:sz w:val="21"/>
        </w:rPr>
        <w:t>planning </w:t>
      </w:r>
      <w:r>
        <w:rPr>
          <w:w w:val="105"/>
          <w:sz w:val="21"/>
        </w:rPr>
        <w:t>in Victoria and </w:t>
      </w:r>
      <w:r>
        <w:rPr>
          <w:spacing w:val="-3"/>
          <w:w w:val="105"/>
          <w:sz w:val="21"/>
        </w:rPr>
        <w:t>any </w:t>
      </w:r>
      <w:r>
        <w:rPr>
          <w:w w:val="105"/>
          <w:sz w:val="21"/>
        </w:rPr>
        <w:t>decisions or comments by the </w:t>
      </w:r>
      <w:r>
        <w:rPr>
          <w:spacing w:val="-3"/>
          <w:w w:val="105"/>
          <w:sz w:val="21"/>
        </w:rPr>
        <w:t>responsible</w:t>
      </w:r>
      <w:r>
        <w:rPr>
          <w:spacing w:val="9"/>
          <w:w w:val="105"/>
          <w:sz w:val="21"/>
        </w:rPr>
        <w:t> </w:t>
      </w:r>
      <w:r>
        <w:rPr>
          <w:spacing w:val="-3"/>
          <w:w w:val="105"/>
          <w:sz w:val="21"/>
        </w:rPr>
        <w:t>authority.</w:t>
      </w:r>
      <w:r>
        <w:rPr>
          <w:spacing w:val="-3"/>
          <w:w w:val="105"/>
          <w:position w:val="7"/>
          <w:sz w:val="12"/>
        </w:rPr>
        <w:t>303</w:t>
      </w:r>
    </w:p>
    <w:p>
      <w:pPr>
        <w:pStyle w:val="ListParagraph"/>
        <w:numPr>
          <w:ilvl w:val="0"/>
          <w:numId w:val="173"/>
        </w:numPr>
        <w:tabs>
          <w:tab w:pos="2381" w:val="left" w:leader="none"/>
          <w:tab w:pos="2382" w:val="left" w:leader="none"/>
        </w:tabs>
        <w:spacing w:line="242" w:lineRule="auto" w:before="88" w:after="0"/>
        <w:ind w:left="2381" w:right="1661" w:hanging="794"/>
        <w:jc w:val="left"/>
        <w:rPr>
          <w:sz w:val="21"/>
        </w:rPr>
      </w:pPr>
      <w:r>
        <w:rPr>
          <w:sz w:val="21"/>
        </w:rPr>
        <w:t>These </w:t>
      </w:r>
      <w:r>
        <w:rPr>
          <w:spacing w:val="-3"/>
          <w:sz w:val="21"/>
        </w:rPr>
        <w:t>safeguards are similar to </w:t>
      </w:r>
      <w:r>
        <w:rPr>
          <w:sz w:val="21"/>
        </w:rPr>
        <w:t>those in the NSW Act. They </w:t>
      </w:r>
      <w:r>
        <w:rPr>
          <w:spacing w:val="-3"/>
          <w:sz w:val="21"/>
        </w:rPr>
        <w:t>aim  to  ensure  </w:t>
      </w:r>
      <w:r>
        <w:rPr>
          <w:sz w:val="21"/>
        </w:rPr>
        <w:t>the broader policy </w:t>
      </w:r>
      <w:r>
        <w:rPr>
          <w:spacing w:val="-3"/>
          <w:sz w:val="21"/>
        </w:rPr>
        <w:t>considerations </w:t>
      </w:r>
      <w:r>
        <w:rPr>
          <w:sz w:val="21"/>
        </w:rPr>
        <w:t>behind </w:t>
      </w:r>
      <w:r>
        <w:rPr>
          <w:spacing w:val="-3"/>
          <w:sz w:val="21"/>
        </w:rPr>
        <w:t>planning </w:t>
      </w:r>
      <w:r>
        <w:rPr>
          <w:sz w:val="21"/>
        </w:rPr>
        <w:t>laws </w:t>
      </w:r>
      <w:r>
        <w:rPr>
          <w:spacing w:val="-3"/>
          <w:sz w:val="21"/>
        </w:rPr>
        <w:t>are considered  </w:t>
      </w:r>
      <w:r>
        <w:rPr>
          <w:sz w:val="21"/>
        </w:rPr>
        <w:t>in the decision-making process  </w:t>
      </w:r>
      <w:r>
        <w:rPr>
          <w:spacing w:val="-3"/>
          <w:sz w:val="21"/>
        </w:rPr>
        <w:t>for </w:t>
      </w:r>
      <w:r>
        <w:rPr>
          <w:sz w:val="21"/>
        </w:rPr>
        <w:t>tree </w:t>
      </w:r>
      <w:r>
        <w:rPr>
          <w:spacing w:val="-3"/>
          <w:sz w:val="21"/>
        </w:rPr>
        <w:t>disputes. </w:t>
      </w:r>
      <w:r>
        <w:rPr>
          <w:sz w:val="21"/>
        </w:rPr>
        <w:t>The </w:t>
      </w:r>
      <w:r>
        <w:rPr>
          <w:spacing w:val="-3"/>
          <w:sz w:val="21"/>
        </w:rPr>
        <w:t>relevant </w:t>
      </w:r>
      <w:r>
        <w:rPr>
          <w:sz w:val="21"/>
        </w:rPr>
        <w:t>authority’s views </w:t>
      </w:r>
      <w:r>
        <w:rPr>
          <w:spacing w:val="-3"/>
          <w:sz w:val="21"/>
        </w:rPr>
        <w:t>will </w:t>
      </w:r>
      <w:r>
        <w:rPr>
          <w:sz w:val="21"/>
        </w:rPr>
        <w:t>be </w:t>
      </w:r>
      <w:r>
        <w:rPr>
          <w:spacing w:val="-3"/>
          <w:sz w:val="21"/>
        </w:rPr>
        <w:t>heard </w:t>
      </w:r>
      <w:r>
        <w:rPr>
          <w:sz w:val="21"/>
        </w:rPr>
        <w:t>in the  decision-making process, and the factors which </w:t>
      </w:r>
      <w:r>
        <w:rPr>
          <w:spacing w:val="-3"/>
          <w:sz w:val="21"/>
        </w:rPr>
        <w:t>that </w:t>
      </w:r>
      <w:r>
        <w:rPr>
          <w:sz w:val="21"/>
        </w:rPr>
        <w:t>authority would </w:t>
      </w:r>
      <w:r>
        <w:rPr>
          <w:spacing w:val="-3"/>
          <w:sz w:val="21"/>
        </w:rPr>
        <w:t>have considered  </w:t>
      </w:r>
      <w:r>
        <w:rPr>
          <w:sz w:val="21"/>
        </w:rPr>
        <w:t>under existing laws  </w:t>
      </w:r>
      <w:r>
        <w:rPr>
          <w:spacing w:val="-3"/>
          <w:sz w:val="21"/>
        </w:rPr>
        <w:t>will </w:t>
      </w:r>
      <w:r>
        <w:rPr>
          <w:sz w:val="21"/>
        </w:rPr>
        <w:t>be </w:t>
      </w:r>
      <w:r>
        <w:rPr>
          <w:spacing w:val="-3"/>
          <w:sz w:val="21"/>
        </w:rPr>
        <w:t>taken </w:t>
      </w:r>
      <w:r>
        <w:rPr>
          <w:spacing w:val="-4"/>
          <w:sz w:val="21"/>
        </w:rPr>
        <w:t>into </w:t>
      </w:r>
      <w:r>
        <w:rPr>
          <w:spacing w:val="-3"/>
          <w:sz w:val="21"/>
        </w:rPr>
        <w:t>account </w:t>
      </w:r>
      <w:r>
        <w:rPr>
          <w:sz w:val="21"/>
        </w:rPr>
        <w:t>when an order is</w:t>
      </w:r>
      <w:r>
        <w:rPr>
          <w:spacing w:val="11"/>
          <w:sz w:val="21"/>
        </w:rPr>
        <w:t> </w:t>
      </w:r>
      <w:r>
        <w:rPr>
          <w:spacing w:val="-3"/>
          <w:sz w:val="21"/>
        </w:rPr>
        <w:t>made.</w:t>
      </w:r>
    </w:p>
    <w:p>
      <w:pPr>
        <w:spacing w:before="156"/>
        <w:ind w:left="1587" w:right="0" w:firstLine="0"/>
        <w:jc w:val="left"/>
        <w:rPr>
          <w:b/>
          <w:sz w:val="22"/>
        </w:rPr>
      </w:pPr>
      <w:r>
        <w:rPr>
          <w:b/>
          <w:w w:val="115"/>
          <w:sz w:val="22"/>
        </w:rPr>
        <w:t>Bushfire overlays</w:t>
      </w:r>
    </w:p>
    <w:p>
      <w:pPr>
        <w:pStyle w:val="ListParagraph"/>
        <w:numPr>
          <w:ilvl w:val="0"/>
          <w:numId w:val="173"/>
        </w:numPr>
        <w:tabs>
          <w:tab w:pos="2380" w:val="left" w:leader="none"/>
          <w:tab w:pos="2381" w:val="left" w:leader="none"/>
        </w:tabs>
        <w:spacing w:line="242" w:lineRule="auto" w:before="143" w:after="0"/>
        <w:ind w:left="2381" w:right="1920" w:hanging="794"/>
        <w:jc w:val="left"/>
        <w:rPr>
          <w:sz w:val="21"/>
        </w:rPr>
      </w:pPr>
      <w:r>
        <w:rPr>
          <w:sz w:val="21"/>
        </w:rPr>
        <w:t>The new Act should </w:t>
      </w:r>
      <w:r>
        <w:rPr>
          <w:spacing w:val="-2"/>
          <w:sz w:val="21"/>
        </w:rPr>
        <w:t>not </w:t>
      </w:r>
      <w:r>
        <w:rPr>
          <w:spacing w:val="-3"/>
          <w:sz w:val="21"/>
        </w:rPr>
        <w:t>interfere </w:t>
      </w:r>
      <w:r>
        <w:rPr>
          <w:sz w:val="21"/>
        </w:rPr>
        <w:t>with </w:t>
      </w:r>
      <w:r>
        <w:rPr>
          <w:spacing w:val="-3"/>
          <w:sz w:val="21"/>
        </w:rPr>
        <w:t>bushfire </w:t>
      </w:r>
      <w:r>
        <w:rPr>
          <w:sz w:val="21"/>
        </w:rPr>
        <w:t>policies and </w:t>
      </w:r>
      <w:r>
        <w:rPr>
          <w:spacing w:val="-3"/>
          <w:sz w:val="21"/>
        </w:rPr>
        <w:t>provisions </w:t>
      </w:r>
      <w:r>
        <w:rPr>
          <w:sz w:val="21"/>
        </w:rPr>
        <w:t>in Victorian </w:t>
      </w:r>
      <w:r>
        <w:rPr>
          <w:spacing w:val="-3"/>
          <w:sz w:val="21"/>
        </w:rPr>
        <w:t>planning </w:t>
      </w:r>
      <w:r>
        <w:rPr>
          <w:sz w:val="21"/>
        </w:rPr>
        <w:t>schemes, which </w:t>
      </w:r>
      <w:r>
        <w:rPr>
          <w:spacing w:val="-3"/>
          <w:sz w:val="21"/>
        </w:rPr>
        <w:t>are comprehensive </w:t>
      </w:r>
      <w:r>
        <w:rPr>
          <w:sz w:val="21"/>
        </w:rPr>
        <w:t>and </w:t>
      </w:r>
      <w:r>
        <w:rPr>
          <w:spacing w:val="-3"/>
          <w:sz w:val="21"/>
        </w:rPr>
        <w:t>intended to </w:t>
      </w:r>
      <w:r>
        <w:rPr>
          <w:sz w:val="21"/>
        </w:rPr>
        <w:t>protect </w:t>
      </w:r>
      <w:r>
        <w:rPr>
          <w:spacing w:val="-3"/>
          <w:sz w:val="21"/>
        </w:rPr>
        <w:t>human </w:t>
      </w:r>
      <w:r>
        <w:rPr>
          <w:spacing w:val="-4"/>
          <w:sz w:val="21"/>
        </w:rPr>
        <w:t>life. </w:t>
      </w:r>
      <w:r>
        <w:rPr>
          <w:sz w:val="21"/>
        </w:rPr>
        <w:t>If a person is </w:t>
      </w:r>
      <w:r>
        <w:rPr>
          <w:spacing w:val="-3"/>
          <w:sz w:val="21"/>
        </w:rPr>
        <w:t>concerned </w:t>
      </w:r>
      <w:r>
        <w:rPr>
          <w:sz w:val="21"/>
        </w:rPr>
        <w:t>about the </w:t>
      </w:r>
      <w:r>
        <w:rPr>
          <w:spacing w:val="-3"/>
          <w:sz w:val="21"/>
        </w:rPr>
        <w:t>bushfire </w:t>
      </w:r>
      <w:r>
        <w:rPr>
          <w:sz w:val="21"/>
        </w:rPr>
        <w:t>risk posed by a tree on </w:t>
      </w:r>
      <w:r>
        <w:rPr>
          <w:spacing w:val="-3"/>
          <w:sz w:val="21"/>
        </w:rPr>
        <w:t>neighbouring </w:t>
      </w:r>
      <w:r>
        <w:rPr>
          <w:sz w:val="21"/>
        </w:rPr>
        <w:t>property, they should use existing </w:t>
      </w:r>
      <w:r>
        <w:rPr>
          <w:spacing w:val="-3"/>
          <w:sz w:val="21"/>
        </w:rPr>
        <w:t>legislative measures to </w:t>
      </w:r>
      <w:r>
        <w:rPr>
          <w:sz w:val="21"/>
        </w:rPr>
        <w:t>address those</w:t>
      </w:r>
      <w:r>
        <w:rPr>
          <w:spacing w:val="-23"/>
          <w:sz w:val="21"/>
        </w:rPr>
        <w:t> </w:t>
      </w:r>
      <w:r>
        <w:rPr>
          <w:spacing w:val="-3"/>
          <w:sz w:val="21"/>
        </w:rPr>
        <w:t>concerns.</w:t>
      </w:r>
    </w:p>
    <w:p>
      <w:pPr>
        <w:pStyle w:val="Heading7"/>
      </w:pPr>
      <w:r>
        <w:rPr>
          <w:w w:val="115"/>
        </w:rPr>
        <w:t>Native vegetation particular provisions</w:t>
      </w:r>
    </w:p>
    <w:p>
      <w:pPr>
        <w:pStyle w:val="ListParagraph"/>
        <w:numPr>
          <w:ilvl w:val="0"/>
          <w:numId w:val="173"/>
        </w:numPr>
        <w:tabs>
          <w:tab w:pos="2381" w:val="left" w:leader="none"/>
        </w:tabs>
        <w:spacing w:line="242" w:lineRule="auto" w:before="143" w:after="0"/>
        <w:ind w:left="2381" w:right="2045" w:hanging="794"/>
        <w:jc w:val="left"/>
        <w:rPr>
          <w:sz w:val="21"/>
        </w:rPr>
      </w:pPr>
      <w:r>
        <w:rPr>
          <w:w w:val="105"/>
          <w:sz w:val="21"/>
        </w:rPr>
        <w:t>An</w:t>
      </w:r>
      <w:r>
        <w:rPr>
          <w:spacing w:val="-5"/>
          <w:w w:val="105"/>
          <w:sz w:val="21"/>
        </w:rPr>
        <w:t> </w:t>
      </w:r>
      <w:r>
        <w:rPr>
          <w:w w:val="105"/>
          <w:sz w:val="21"/>
        </w:rPr>
        <w:t>order</w:t>
      </w:r>
      <w:r>
        <w:rPr>
          <w:spacing w:val="-4"/>
          <w:w w:val="105"/>
          <w:sz w:val="21"/>
        </w:rPr>
        <w:t> </w:t>
      </w:r>
      <w:r>
        <w:rPr>
          <w:w w:val="105"/>
          <w:sz w:val="21"/>
        </w:rPr>
        <w:t>made</w:t>
      </w:r>
      <w:r>
        <w:rPr>
          <w:spacing w:val="-4"/>
          <w:w w:val="105"/>
          <w:sz w:val="21"/>
        </w:rPr>
        <w:t> </w:t>
      </w:r>
      <w:r>
        <w:rPr>
          <w:w w:val="105"/>
          <w:sz w:val="21"/>
        </w:rPr>
        <w:t>under</w:t>
      </w:r>
      <w:r>
        <w:rPr>
          <w:spacing w:val="-4"/>
          <w:w w:val="105"/>
          <w:sz w:val="21"/>
        </w:rPr>
        <w:t> </w:t>
      </w:r>
      <w:r>
        <w:rPr>
          <w:w w:val="105"/>
          <w:sz w:val="21"/>
        </w:rPr>
        <w:t>a</w:t>
      </w:r>
      <w:r>
        <w:rPr>
          <w:spacing w:val="-5"/>
          <w:w w:val="105"/>
          <w:sz w:val="21"/>
        </w:rPr>
        <w:t> </w:t>
      </w:r>
      <w:r>
        <w:rPr>
          <w:w w:val="105"/>
          <w:sz w:val="21"/>
        </w:rPr>
        <w:t>new</w:t>
      </w:r>
      <w:r>
        <w:rPr>
          <w:spacing w:val="-4"/>
          <w:w w:val="105"/>
          <w:sz w:val="21"/>
        </w:rPr>
        <w:t> </w:t>
      </w:r>
      <w:r>
        <w:rPr>
          <w:w w:val="105"/>
          <w:sz w:val="21"/>
        </w:rPr>
        <w:t>Act</w:t>
      </w:r>
      <w:r>
        <w:rPr>
          <w:spacing w:val="-4"/>
          <w:w w:val="105"/>
          <w:sz w:val="21"/>
        </w:rPr>
        <w:t> </w:t>
      </w:r>
      <w:r>
        <w:rPr>
          <w:w w:val="105"/>
          <w:sz w:val="21"/>
        </w:rPr>
        <w:t>is</w:t>
      </w:r>
      <w:r>
        <w:rPr>
          <w:spacing w:val="-4"/>
          <w:w w:val="105"/>
          <w:sz w:val="21"/>
        </w:rPr>
        <w:t> unlikely </w:t>
      </w:r>
      <w:r>
        <w:rPr>
          <w:spacing w:val="-3"/>
          <w:w w:val="105"/>
          <w:sz w:val="21"/>
        </w:rPr>
        <w:t>to</w:t>
      </w:r>
      <w:r>
        <w:rPr>
          <w:spacing w:val="-5"/>
          <w:w w:val="105"/>
          <w:sz w:val="21"/>
        </w:rPr>
        <w:t> </w:t>
      </w:r>
      <w:r>
        <w:rPr>
          <w:w w:val="105"/>
          <w:sz w:val="21"/>
        </w:rPr>
        <w:t>impact</w:t>
      </w:r>
      <w:r>
        <w:rPr>
          <w:spacing w:val="-4"/>
          <w:w w:val="105"/>
          <w:sz w:val="21"/>
        </w:rPr>
        <w:t> </w:t>
      </w:r>
      <w:r>
        <w:rPr>
          <w:w w:val="105"/>
          <w:sz w:val="21"/>
        </w:rPr>
        <w:t>upon</w:t>
      </w:r>
      <w:r>
        <w:rPr>
          <w:spacing w:val="-4"/>
          <w:w w:val="105"/>
          <w:sz w:val="21"/>
        </w:rPr>
        <w:t> </w:t>
      </w:r>
      <w:r>
        <w:rPr>
          <w:w w:val="105"/>
          <w:sz w:val="21"/>
        </w:rPr>
        <w:t>existing</w:t>
      </w:r>
      <w:r>
        <w:rPr>
          <w:spacing w:val="-4"/>
          <w:w w:val="105"/>
          <w:sz w:val="21"/>
        </w:rPr>
        <w:t> </w:t>
      </w:r>
      <w:r>
        <w:rPr>
          <w:spacing w:val="-3"/>
          <w:w w:val="105"/>
          <w:sz w:val="21"/>
        </w:rPr>
        <w:t>native</w:t>
      </w:r>
      <w:r>
        <w:rPr>
          <w:spacing w:val="-4"/>
          <w:w w:val="105"/>
          <w:sz w:val="21"/>
        </w:rPr>
        <w:t> </w:t>
      </w:r>
      <w:r>
        <w:rPr>
          <w:w w:val="105"/>
          <w:sz w:val="21"/>
        </w:rPr>
        <w:t>vegetation particular </w:t>
      </w:r>
      <w:r>
        <w:rPr>
          <w:spacing w:val="-3"/>
          <w:w w:val="105"/>
          <w:sz w:val="21"/>
        </w:rPr>
        <w:t>provisions </w:t>
      </w:r>
      <w:r>
        <w:rPr>
          <w:w w:val="105"/>
          <w:sz w:val="21"/>
        </w:rPr>
        <w:t>due </w:t>
      </w:r>
      <w:r>
        <w:rPr>
          <w:spacing w:val="-3"/>
          <w:w w:val="105"/>
          <w:sz w:val="21"/>
        </w:rPr>
        <w:t>to </w:t>
      </w:r>
      <w:r>
        <w:rPr>
          <w:w w:val="105"/>
          <w:sz w:val="21"/>
        </w:rPr>
        <w:t>the permit </w:t>
      </w:r>
      <w:r>
        <w:rPr>
          <w:spacing w:val="-3"/>
          <w:w w:val="105"/>
          <w:sz w:val="21"/>
        </w:rPr>
        <w:t>exemptions that currently </w:t>
      </w:r>
      <w:r>
        <w:rPr>
          <w:w w:val="105"/>
          <w:sz w:val="21"/>
        </w:rPr>
        <w:t>apply </w:t>
      </w:r>
      <w:r>
        <w:rPr>
          <w:spacing w:val="-3"/>
          <w:w w:val="105"/>
          <w:sz w:val="21"/>
        </w:rPr>
        <w:t>for </w:t>
      </w:r>
      <w:r>
        <w:rPr>
          <w:w w:val="105"/>
          <w:sz w:val="21"/>
        </w:rPr>
        <w:t>those </w:t>
      </w:r>
      <w:r>
        <w:rPr>
          <w:spacing w:val="-3"/>
          <w:w w:val="105"/>
          <w:sz w:val="21"/>
        </w:rPr>
        <w:t>provisions. </w:t>
      </w:r>
      <w:r>
        <w:rPr>
          <w:w w:val="105"/>
          <w:sz w:val="21"/>
        </w:rPr>
        <w:t>A permit is </w:t>
      </w:r>
      <w:r>
        <w:rPr>
          <w:spacing w:val="-2"/>
          <w:w w:val="105"/>
          <w:sz w:val="21"/>
        </w:rPr>
        <w:t>not </w:t>
      </w:r>
      <w:r>
        <w:rPr>
          <w:spacing w:val="-3"/>
          <w:w w:val="105"/>
          <w:sz w:val="21"/>
        </w:rPr>
        <w:t>required</w:t>
      </w:r>
      <w:r>
        <w:rPr>
          <w:spacing w:val="33"/>
          <w:w w:val="105"/>
          <w:sz w:val="21"/>
        </w:rPr>
        <w:t> </w:t>
      </w:r>
      <w:r>
        <w:rPr>
          <w:spacing w:val="-3"/>
          <w:w w:val="105"/>
          <w:sz w:val="21"/>
        </w:rPr>
        <w:t>for:</w:t>
      </w:r>
    </w:p>
    <w:p>
      <w:pPr>
        <w:pStyle w:val="ListParagraph"/>
        <w:numPr>
          <w:ilvl w:val="1"/>
          <w:numId w:val="173"/>
        </w:numPr>
        <w:tabs>
          <w:tab w:pos="2721" w:val="left" w:leader="none"/>
          <w:tab w:pos="2722" w:val="left" w:leader="none"/>
        </w:tabs>
        <w:spacing w:line="240" w:lineRule="auto" w:before="123" w:after="0"/>
        <w:ind w:left="2721" w:right="0" w:hanging="341"/>
        <w:jc w:val="left"/>
        <w:rPr>
          <w:sz w:val="21"/>
        </w:rPr>
      </w:pPr>
      <w:r>
        <w:rPr>
          <w:spacing w:val="-3"/>
          <w:sz w:val="21"/>
        </w:rPr>
        <w:t>sites </w:t>
      </w:r>
      <w:r>
        <w:rPr>
          <w:sz w:val="21"/>
        </w:rPr>
        <w:t>of less </w:t>
      </w:r>
      <w:r>
        <w:rPr>
          <w:spacing w:val="-3"/>
          <w:sz w:val="21"/>
        </w:rPr>
        <w:t>than </w:t>
      </w:r>
      <w:r>
        <w:rPr>
          <w:spacing w:val="-2"/>
          <w:sz w:val="21"/>
        </w:rPr>
        <w:t>0.4</w:t>
      </w:r>
      <w:r>
        <w:rPr>
          <w:spacing w:val="2"/>
          <w:sz w:val="21"/>
        </w:rPr>
        <w:t> </w:t>
      </w:r>
      <w:r>
        <w:rPr>
          <w:sz w:val="21"/>
        </w:rPr>
        <w:t>hectares</w:t>
      </w:r>
    </w:p>
    <w:p>
      <w:pPr>
        <w:pStyle w:val="ListParagraph"/>
        <w:numPr>
          <w:ilvl w:val="1"/>
          <w:numId w:val="173"/>
        </w:numPr>
        <w:tabs>
          <w:tab w:pos="2721" w:val="left" w:leader="none"/>
          <w:tab w:pos="2722" w:val="left" w:leader="none"/>
        </w:tabs>
        <w:spacing w:line="242" w:lineRule="auto" w:before="89" w:after="0"/>
        <w:ind w:left="2721" w:right="1897" w:hanging="341"/>
        <w:jc w:val="left"/>
        <w:rPr>
          <w:sz w:val="21"/>
        </w:rPr>
      </w:pPr>
      <w:r>
        <w:rPr>
          <w:w w:val="105"/>
          <w:sz w:val="21"/>
        </w:rPr>
        <w:t>the</w:t>
      </w:r>
      <w:r>
        <w:rPr>
          <w:spacing w:val="-4"/>
          <w:w w:val="105"/>
          <w:sz w:val="21"/>
        </w:rPr>
        <w:t> </w:t>
      </w:r>
      <w:r>
        <w:rPr>
          <w:spacing w:val="-3"/>
          <w:w w:val="105"/>
          <w:sz w:val="21"/>
        </w:rPr>
        <w:t>pruning</w:t>
      </w:r>
      <w:r>
        <w:rPr>
          <w:spacing w:val="-4"/>
          <w:w w:val="105"/>
          <w:sz w:val="21"/>
        </w:rPr>
        <w:t> </w:t>
      </w:r>
      <w:r>
        <w:rPr>
          <w:w w:val="105"/>
          <w:sz w:val="21"/>
        </w:rPr>
        <w:t>or</w:t>
      </w:r>
      <w:r>
        <w:rPr>
          <w:spacing w:val="-3"/>
          <w:w w:val="105"/>
          <w:sz w:val="21"/>
        </w:rPr>
        <w:t> </w:t>
      </w:r>
      <w:r>
        <w:rPr>
          <w:w w:val="105"/>
          <w:sz w:val="21"/>
        </w:rPr>
        <w:t>lopping</w:t>
      </w:r>
      <w:r>
        <w:rPr>
          <w:spacing w:val="-4"/>
          <w:w w:val="105"/>
          <w:sz w:val="21"/>
        </w:rPr>
        <w:t> </w:t>
      </w:r>
      <w:r>
        <w:rPr>
          <w:w w:val="105"/>
          <w:sz w:val="21"/>
        </w:rPr>
        <w:t>of</w:t>
      </w:r>
      <w:r>
        <w:rPr>
          <w:spacing w:val="-3"/>
          <w:w w:val="105"/>
          <w:sz w:val="21"/>
        </w:rPr>
        <w:t> </w:t>
      </w:r>
      <w:r>
        <w:rPr>
          <w:w w:val="105"/>
          <w:sz w:val="21"/>
        </w:rPr>
        <w:t>trees</w:t>
      </w:r>
      <w:r>
        <w:rPr>
          <w:spacing w:val="-4"/>
          <w:w w:val="105"/>
          <w:sz w:val="21"/>
        </w:rPr>
        <w:t> </w:t>
      </w:r>
      <w:r>
        <w:rPr>
          <w:spacing w:val="-3"/>
          <w:w w:val="105"/>
          <w:sz w:val="21"/>
        </w:rPr>
        <w:t>for</w:t>
      </w:r>
      <w:r>
        <w:rPr>
          <w:spacing w:val="-4"/>
          <w:w w:val="105"/>
          <w:sz w:val="21"/>
        </w:rPr>
        <w:t> maintenance,</w:t>
      </w:r>
      <w:r>
        <w:rPr>
          <w:spacing w:val="-3"/>
          <w:w w:val="105"/>
          <w:sz w:val="21"/>
        </w:rPr>
        <w:t> </w:t>
      </w:r>
      <w:r>
        <w:rPr>
          <w:w w:val="105"/>
          <w:sz w:val="21"/>
        </w:rPr>
        <w:t>provided</w:t>
      </w:r>
      <w:r>
        <w:rPr>
          <w:spacing w:val="-4"/>
          <w:w w:val="105"/>
          <w:sz w:val="21"/>
        </w:rPr>
        <w:t> </w:t>
      </w:r>
      <w:r>
        <w:rPr>
          <w:w w:val="105"/>
          <w:sz w:val="21"/>
        </w:rPr>
        <w:t>no</w:t>
      </w:r>
      <w:r>
        <w:rPr>
          <w:spacing w:val="-3"/>
          <w:w w:val="105"/>
          <w:sz w:val="21"/>
        </w:rPr>
        <w:t> </w:t>
      </w:r>
      <w:r>
        <w:rPr>
          <w:w w:val="105"/>
          <w:sz w:val="21"/>
        </w:rPr>
        <w:t>more</w:t>
      </w:r>
      <w:r>
        <w:rPr>
          <w:spacing w:val="-4"/>
          <w:w w:val="105"/>
          <w:sz w:val="21"/>
        </w:rPr>
        <w:t> </w:t>
      </w:r>
      <w:r>
        <w:rPr>
          <w:spacing w:val="-3"/>
          <w:w w:val="105"/>
          <w:sz w:val="21"/>
        </w:rPr>
        <w:t>than</w:t>
      </w:r>
      <w:r>
        <w:rPr>
          <w:spacing w:val="-4"/>
          <w:w w:val="105"/>
          <w:sz w:val="21"/>
        </w:rPr>
        <w:t> </w:t>
      </w:r>
      <w:r>
        <w:rPr>
          <w:w w:val="105"/>
          <w:sz w:val="21"/>
        </w:rPr>
        <w:t>1/3</w:t>
      </w:r>
      <w:r>
        <w:rPr>
          <w:spacing w:val="-3"/>
          <w:w w:val="105"/>
          <w:sz w:val="21"/>
        </w:rPr>
        <w:t> </w:t>
      </w:r>
      <w:r>
        <w:rPr>
          <w:w w:val="105"/>
          <w:sz w:val="21"/>
        </w:rPr>
        <w:t>of</w:t>
      </w:r>
      <w:r>
        <w:rPr>
          <w:spacing w:val="-4"/>
          <w:w w:val="105"/>
          <w:sz w:val="21"/>
        </w:rPr>
        <w:t> </w:t>
      </w:r>
      <w:r>
        <w:rPr>
          <w:w w:val="105"/>
          <w:sz w:val="21"/>
        </w:rPr>
        <w:t>the </w:t>
      </w:r>
      <w:r>
        <w:rPr>
          <w:spacing w:val="-3"/>
          <w:w w:val="105"/>
          <w:sz w:val="21"/>
        </w:rPr>
        <w:t>foliage </w:t>
      </w:r>
      <w:r>
        <w:rPr>
          <w:w w:val="105"/>
          <w:sz w:val="21"/>
        </w:rPr>
        <w:t>is</w:t>
      </w:r>
      <w:r>
        <w:rPr>
          <w:spacing w:val="13"/>
          <w:w w:val="105"/>
          <w:sz w:val="21"/>
        </w:rPr>
        <w:t> </w:t>
      </w:r>
      <w:r>
        <w:rPr>
          <w:spacing w:val="-3"/>
          <w:w w:val="105"/>
          <w:sz w:val="21"/>
        </w:rPr>
        <w:t>removed</w:t>
      </w:r>
    </w:p>
    <w:p>
      <w:pPr>
        <w:pStyle w:val="ListParagraph"/>
        <w:numPr>
          <w:ilvl w:val="1"/>
          <w:numId w:val="173"/>
        </w:numPr>
        <w:tabs>
          <w:tab w:pos="2721" w:val="left" w:leader="none"/>
          <w:tab w:pos="2722" w:val="left" w:leader="none"/>
        </w:tabs>
        <w:spacing w:line="242" w:lineRule="auto" w:before="87" w:after="0"/>
        <w:ind w:left="2721" w:right="2246" w:hanging="341"/>
        <w:jc w:val="left"/>
        <w:rPr>
          <w:sz w:val="21"/>
        </w:rPr>
      </w:pPr>
      <w:r>
        <w:rPr>
          <w:spacing w:val="-3"/>
          <w:sz w:val="21"/>
        </w:rPr>
        <w:t>removing, </w:t>
      </w:r>
      <w:r>
        <w:rPr>
          <w:sz w:val="21"/>
        </w:rPr>
        <w:t>destroying or lopping </w:t>
      </w:r>
      <w:r>
        <w:rPr>
          <w:spacing w:val="-3"/>
          <w:sz w:val="21"/>
        </w:rPr>
        <w:t>native </w:t>
      </w:r>
      <w:r>
        <w:rPr>
          <w:sz w:val="21"/>
        </w:rPr>
        <w:t>vegetation in an emergency or where it presents an </w:t>
      </w:r>
      <w:r>
        <w:rPr>
          <w:spacing w:val="-3"/>
          <w:sz w:val="21"/>
        </w:rPr>
        <w:t>immediate </w:t>
      </w:r>
      <w:r>
        <w:rPr>
          <w:sz w:val="21"/>
        </w:rPr>
        <w:t>risk of personal injury or damage </w:t>
      </w:r>
      <w:r>
        <w:rPr>
          <w:spacing w:val="-3"/>
          <w:sz w:val="21"/>
        </w:rPr>
        <w:t>to</w:t>
      </w:r>
      <w:r>
        <w:rPr>
          <w:spacing w:val="24"/>
          <w:sz w:val="21"/>
        </w:rPr>
        <w:t> </w:t>
      </w:r>
      <w:r>
        <w:rPr>
          <w:sz w:val="21"/>
        </w:rPr>
        <w:t>property</w:t>
      </w:r>
    </w:p>
    <w:p>
      <w:pPr>
        <w:pStyle w:val="ListParagraph"/>
        <w:numPr>
          <w:ilvl w:val="1"/>
          <w:numId w:val="173"/>
        </w:numPr>
        <w:tabs>
          <w:tab w:pos="2721" w:val="left" w:leader="none"/>
          <w:tab w:pos="2722" w:val="left" w:leader="none"/>
        </w:tabs>
        <w:spacing w:line="240" w:lineRule="auto" w:before="88" w:after="0"/>
        <w:ind w:left="2721" w:right="0" w:hanging="341"/>
        <w:jc w:val="left"/>
        <w:rPr>
          <w:sz w:val="12"/>
        </w:rPr>
      </w:pPr>
      <w:r>
        <w:rPr>
          <w:w w:val="105"/>
          <w:sz w:val="21"/>
        </w:rPr>
        <w:t>the construction or </w:t>
      </w:r>
      <w:r>
        <w:rPr>
          <w:spacing w:val="-3"/>
          <w:w w:val="105"/>
          <w:sz w:val="21"/>
        </w:rPr>
        <w:t>maintenance </w:t>
      </w:r>
      <w:r>
        <w:rPr>
          <w:w w:val="105"/>
          <w:sz w:val="21"/>
        </w:rPr>
        <w:t>of a</w:t>
      </w:r>
      <w:r>
        <w:rPr>
          <w:spacing w:val="31"/>
          <w:w w:val="105"/>
          <w:sz w:val="21"/>
        </w:rPr>
        <w:t> </w:t>
      </w:r>
      <w:r>
        <w:rPr>
          <w:w w:val="105"/>
          <w:sz w:val="21"/>
        </w:rPr>
        <w:t>fence.</w:t>
      </w:r>
      <w:r>
        <w:rPr>
          <w:w w:val="105"/>
          <w:position w:val="7"/>
          <w:sz w:val="12"/>
        </w:rPr>
        <w:t>304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r>
        <w:rPr/>
        <w:pict>
          <v:line style="position:absolute;mso-position-horizontal-relative:page;mso-position-vertical-relative:paragraph;z-index:10088;mso-wrap-distance-left:0;mso-wrap-distance-right:0" from="79.370003pt,13.028038pt" to="515.905003pt,13.02803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80"/>
        </w:numPr>
        <w:tabs>
          <w:tab w:pos="2380" w:val="left" w:leader="none"/>
          <w:tab w:pos="2382" w:val="left" w:leader="none"/>
        </w:tabs>
        <w:spacing w:line="240" w:lineRule="auto" w:before="48" w:after="0"/>
        <w:ind w:left="2381" w:right="0" w:hanging="794"/>
        <w:jc w:val="left"/>
        <w:rPr>
          <w:sz w:val="13"/>
        </w:rPr>
      </w:pPr>
      <w:r>
        <w:rPr>
          <w:i/>
          <w:w w:val="105"/>
          <w:sz w:val="13"/>
        </w:rPr>
        <w:t>Planning and Environment Act 1987 </w:t>
      </w:r>
      <w:r>
        <w:rPr>
          <w:spacing w:val="2"/>
          <w:w w:val="105"/>
          <w:sz w:val="13"/>
        </w:rPr>
        <w:t>(Vic) </w:t>
      </w:r>
      <w:r>
        <w:rPr>
          <w:w w:val="105"/>
          <w:sz w:val="13"/>
        </w:rPr>
        <w:t>s 4D.</w:t>
      </w:r>
    </w:p>
    <w:p>
      <w:pPr>
        <w:pStyle w:val="ListParagraph"/>
        <w:numPr>
          <w:ilvl w:val="0"/>
          <w:numId w:val="180"/>
        </w:numPr>
        <w:tabs>
          <w:tab w:pos="2381" w:val="left" w:leader="none"/>
          <w:tab w:pos="2382" w:val="left" w:leader="none"/>
        </w:tabs>
        <w:spacing w:line="240" w:lineRule="auto" w:before="1" w:after="0"/>
        <w:ind w:left="2381" w:right="0" w:hanging="794"/>
        <w:jc w:val="left"/>
        <w:rPr>
          <w:sz w:val="13"/>
        </w:rPr>
      </w:pPr>
      <w:r>
        <w:rPr>
          <w:sz w:val="13"/>
        </w:rPr>
        <w:t>Ibid  s</w:t>
      </w:r>
      <w:r>
        <w:rPr>
          <w:spacing w:val="6"/>
          <w:sz w:val="13"/>
        </w:rPr>
        <w:t> </w:t>
      </w:r>
      <w:r>
        <w:rPr>
          <w:sz w:val="13"/>
        </w:rPr>
        <w:t>4E.</w:t>
      </w:r>
    </w:p>
    <w:p>
      <w:pPr>
        <w:pStyle w:val="ListParagraph"/>
        <w:numPr>
          <w:ilvl w:val="0"/>
          <w:numId w:val="180"/>
        </w:numPr>
        <w:tabs>
          <w:tab w:pos="2381" w:val="left" w:leader="none"/>
          <w:tab w:pos="2382" w:val="left" w:leader="none"/>
        </w:tabs>
        <w:spacing w:line="240" w:lineRule="auto" w:before="2" w:after="0"/>
        <w:ind w:left="2381" w:right="0" w:hanging="794"/>
        <w:jc w:val="left"/>
        <w:rPr>
          <w:sz w:val="13"/>
        </w:rPr>
      </w:pPr>
      <w:r>
        <w:rPr>
          <w:sz w:val="13"/>
        </w:rPr>
        <w:t>Ibid  s</w:t>
      </w:r>
      <w:r>
        <w:rPr>
          <w:spacing w:val="5"/>
          <w:sz w:val="13"/>
        </w:rPr>
        <w:t> </w:t>
      </w:r>
      <w:r>
        <w:rPr>
          <w:sz w:val="13"/>
        </w:rPr>
        <w:t>4J.</w:t>
      </w:r>
    </w:p>
    <w:p>
      <w:pPr>
        <w:pStyle w:val="ListParagraph"/>
        <w:numPr>
          <w:ilvl w:val="0"/>
          <w:numId w:val="180"/>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4"/>
          <w:w w:val="105"/>
          <w:sz w:val="13"/>
        </w:rPr>
        <w:t> </w:t>
      </w:r>
      <w:r>
        <w:rPr>
          <w:w w:val="105"/>
          <w:sz w:val="13"/>
        </w:rPr>
        <w:t>eg,</w:t>
      </w:r>
      <w:r>
        <w:rPr>
          <w:spacing w:val="5"/>
          <w:w w:val="105"/>
          <w:sz w:val="13"/>
        </w:rPr>
        <w:t> </w:t>
      </w:r>
      <w:r>
        <w:rPr>
          <w:i/>
          <w:w w:val="105"/>
          <w:sz w:val="13"/>
        </w:rPr>
        <w:t>Planning</w:t>
      </w:r>
      <w:r>
        <w:rPr>
          <w:i/>
          <w:spacing w:val="5"/>
          <w:w w:val="105"/>
          <w:sz w:val="13"/>
        </w:rPr>
        <w:t> </w:t>
      </w:r>
      <w:r>
        <w:rPr>
          <w:i/>
          <w:w w:val="105"/>
          <w:sz w:val="13"/>
        </w:rPr>
        <w:t>and</w:t>
      </w:r>
      <w:r>
        <w:rPr>
          <w:i/>
          <w:spacing w:val="5"/>
          <w:w w:val="105"/>
          <w:sz w:val="13"/>
        </w:rPr>
        <w:t> </w:t>
      </w:r>
      <w:r>
        <w:rPr>
          <w:i/>
          <w:w w:val="105"/>
          <w:sz w:val="13"/>
        </w:rPr>
        <w:t>Environment</w:t>
      </w:r>
      <w:r>
        <w:rPr>
          <w:i/>
          <w:spacing w:val="5"/>
          <w:w w:val="105"/>
          <w:sz w:val="13"/>
        </w:rPr>
        <w:t> </w:t>
      </w:r>
      <w:r>
        <w:rPr>
          <w:i/>
          <w:w w:val="105"/>
          <w:sz w:val="13"/>
        </w:rPr>
        <w:t>Act</w:t>
      </w:r>
      <w:r>
        <w:rPr>
          <w:i/>
          <w:spacing w:val="5"/>
          <w:w w:val="105"/>
          <w:sz w:val="13"/>
        </w:rPr>
        <w:t> </w:t>
      </w:r>
      <w:r>
        <w:rPr>
          <w:i/>
          <w:w w:val="105"/>
          <w:sz w:val="13"/>
        </w:rPr>
        <w:t>1987</w:t>
      </w:r>
      <w:r>
        <w:rPr>
          <w:i/>
          <w:spacing w:val="5"/>
          <w:w w:val="105"/>
          <w:sz w:val="13"/>
        </w:rPr>
        <w:t> </w:t>
      </w:r>
      <w:r>
        <w:rPr>
          <w:spacing w:val="2"/>
          <w:w w:val="105"/>
          <w:sz w:val="13"/>
        </w:rPr>
        <w:t>(Vic)</w:t>
      </w:r>
      <w:r>
        <w:rPr>
          <w:spacing w:val="4"/>
          <w:w w:val="105"/>
          <w:sz w:val="13"/>
        </w:rPr>
        <w:t> </w:t>
      </w:r>
      <w:r>
        <w:rPr>
          <w:w w:val="105"/>
          <w:sz w:val="13"/>
        </w:rPr>
        <w:t>s</w:t>
      </w:r>
      <w:r>
        <w:rPr>
          <w:spacing w:val="5"/>
          <w:w w:val="105"/>
          <w:sz w:val="13"/>
        </w:rPr>
        <w:t> </w:t>
      </w:r>
      <w:r>
        <w:rPr>
          <w:w w:val="105"/>
          <w:sz w:val="13"/>
        </w:rPr>
        <w:t>60.</w:t>
      </w:r>
    </w:p>
    <w:p>
      <w:pPr>
        <w:pStyle w:val="ListParagraph"/>
        <w:numPr>
          <w:ilvl w:val="0"/>
          <w:numId w:val="180"/>
        </w:numPr>
        <w:tabs>
          <w:tab w:pos="2381" w:val="left" w:leader="none"/>
          <w:tab w:pos="2382" w:val="left" w:leader="none"/>
        </w:tabs>
        <w:spacing w:line="240" w:lineRule="auto" w:before="1" w:after="0"/>
        <w:ind w:left="2381" w:right="0" w:hanging="794"/>
        <w:jc w:val="left"/>
        <w:rPr>
          <w:sz w:val="13"/>
        </w:rPr>
      </w:pPr>
      <w:r>
        <w:rPr>
          <w:w w:val="105"/>
          <w:sz w:val="13"/>
        </w:rPr>
        <w:t>Department</w:t>
      </w:r>
      <w:r>
        <w:rPr>
          <w:spacing w:val="7"/>
          <w:w w:val="105"/>
          <w:sz w:val="13"/>
        </w:rPr>
        <w:t> </w:t>
      </w:r>
      <w:r>
        <w:rPr>
          <w:w w:val="105"/>
          <w:sz w:val="13"/>
        </w:rPr>
        <w:t>of</w:t>
      </w:r>
      <w:r>
        <w:rPr>
          <w:spacing w:val="7"/>
          <w:w w:val="105"/>
          <w:sz w:val="13"/>
        </w:rPr>
        <w:t> </w:t>
      </w:r>
      <w:r>
        <w:rPr>
          <w:w w:val="105"/>
          <w:sz w:val="13"/>
        </w:rPr>
        <w:t>Environment,</w:t>
      </w:r>
      <w:r>
        <w:rPr>
          <w:spacing w:val="7"/>
          <w:w w:val="105"/>
          <w:sz w:val="13"/>
        </w:rPr>
        <w:t> </w:t>
      </w:r>
      <w:r>
        <w:rPr>
          <w:w w:val="105"/>
          <w:sz w:val="13"/>
        </w:rPr>
        <w:t>Land,</w:t>
      </w:r>
      <w:r>
        <w:rPr>
          <w:spacing w:val="8"/>
          <w:w w:val="105"/>
          <w:sz w:val="13"/>
        </w:rPr>
        <w:t> </w:t>
      </w:r>
      <w:r>
        <w:rPr>
          <w:w w:val="105"/>
          <w:sz w:val="13"/>
        </w:rPr>
        <w:t>Water</w:t>
      </w:r>
      <w:r>
        <w:rPr>
          <w:spacing w:val="7"/>
          <w:w w:val="105"/>
          <w:sz w:val="13"/>
        </w:rPr>
        <w:t> </w:t>
      </w:r>
      <w:r>
        <w:rPr>
          <w:w w:val="105"/>
          <w:sz w:val="13"/>
        </w:rPr>
        <w:t>and</w:t>
      </w:r>
      <w:r>
        <w:rPr>
          <w:spacing w:val="7"/>
          <w:w w:val="105"/>
          <w:sz w:val="13"/>
        </w:rPr>
        <w:t> </w:t>
      </w:r>
      <w:r>
        <w:rPr>
          <w:w w:val="105"/>
          <w:sz w:val="13"/>
        </w:rPr>
        <w:t>Planning</w:t>
      </w:r>
      <w:r>
        <w:rPr>
          <w:spacing w:val="8"/>
          <w:w w:val="105"/>
          <w:sz w:val="13"/>
        </w:rPr>
        <w:t> </w:t>
      </w:r>
      <w:r>
        <w:rPr>
          <w:spacing w:val="2"/>
          <w:w w:val="105"/>
          <w:sz w:val="13"/>
        </w:rPr>
        <w:t>(Vic),</w:t>
      </w:r>
      <w:r>
        <w:rPr>
          <w:spacing w:val="7"/>
          <w:w w:val="105"/>
          <w:sz w:val="13"/>
        </w:rPr>
        <w:t> </w:t>
      </w:r>
      <w:r>
        <w:rPr>
          <w:i/>
          <w:w w:val="105"/>
          <w:sz w:val="13"/>
        </w:rPr>
        <w:t>Victoria</w:t>
      </w:r>
      <w:r>
        <w:rPr>
          <w:i/>
          <w:spacing w:val="7"/>
          <w:w w:val="105"/>
          <w:sz w:val="13"/>
        </w:rPr>
        <w:t> </w:t>
      </w:r>
      <w:r>
        <w:rPr>
          <w:i/>
          <w:w w:val="105"/>
          <w:sz w:val="13"/>
        </w:rPr>
        <w:t>Planning</w:t>
      </w:r>
      <w:r>
        <w:rPr>
          <w:i/>
          <w:spacing w:val="8"/>
          <w:w w:val="105"/>
          <w:sz w:val="13"/>
        </w:rPr>
        <w:t> </w:t>
      </w:r>
      <w:r>
        <w:rPr>
          <w:i/>
          <w:w w:val="105"/>
          <w:sz w:val="13"/>
        </w:rPr>
        <w:t>Provisions</w:t>
      </w:r>
      <w:r>
        <w:rPr>
          <w:i/>
          <w:spacing w:val="7"/>
          <w:w w:val="105"/>
          <w:sz w:val="13"/>
        </w:rPr>
        <w:t> </w:t>
      </w:r>
      <w:r>
        <w:rPr>
          <w:spacing w:val="-5"/>
          <w:w w:val="105"/>
          <w:sz w:val="13"/>
        </w:rPr>
        <w:t>(11</w:t>
      </w:r>
      <w:r>
        <w:rPr>
          <w:spacing w:val="7"/>
          <w:w w:val="105"/>
          <w:sz w:val="13"/>
        </w:rPr>
        <w:t> </w:t>
      </w:r>
      <w:r>
        <w:rPr>
          <w:w w:val="105"/>
          <w:sz w:val="13"/>
        </w:rPr>
        <w:t>April</w:t>
      </w:r>
      <w:r>
        <w:rPr>
          <w:spacing w:val="7"/>
          <w:w w:val="105"/>
          <w:sz w:val="13"/>
        </w:rPr>
        <w:t> </w:t>
      </w:r>
      <w:r>
        <w:rPr>
          <w:w w:val="105"/>
          <w:sz w:val="13"/>
        </w:rPr>
        <w:t>2019),</w:t>
      </w:r>
      <w:r>
        <w:rPr>
          <w:spacing w:val="8"/>
          <w:w w:val="105"/>
          <w:sz w:val="13"/>
        </w:rPr>
        <w:t> </w:t>
      </w:r>
      <w:r>
        <w:rPr>
          <w:w w:val="105"/>
          <w:sz w:val="13"/>
        </w:rPr>
        <w:t>cl</w:t>
      </w:r>
      <w:r>
        <w:rPr>
          <w:spacing w:val="7"/>
          <w:w w:val="105"/>
          <w:sz w:val="13"/>
        </w:rPr>
        <w:t> </w:t>
      </w:r>
      <w:r>
        <w:rPr>
          <w:spacing w:val="-5"/>
          <w:w w:val="105"/>
          <w:sz w:val="13"/>
        </w:rPr>
        <w:t>52.17-7.</w:t>
      </w:r>
    </w:p>
    <w:p>
      <w:pPr>
        <w:pStyle w:val="BodyText"/>
        <w:rPr>
          <w:sz w:val="28"/>
        </w:rPr>
      </w:pPr>
      <w:r>
        <w:rPr/>
        <w:br w:type="column"/>
      </w:r>
      <w:r>
        <w:rPr>
          <w:sz w:val="28"/>
        </w:rPr>
      </w:r>
    </w:p>
    <w:p>
      <w:pPr>
        <w:spacing w:before="241"/>
        <w:ind w:left="1587" w:right="0" w:firstLine="0"/>
        <w:jc w:val="left"/>
        <w:rPr>
          <w:b/>
          <w:sz w:val="24"/>
        </w:rPr>
      </w:pPr>
      <w:r>
        <w:rPr>
          <w:b/>
          <w:color w:val="658464"/>
          <w:w w:val="110"/>
          <w:sz w:val="24"/>
        </w:rPr>
        <w:t>247</w:t>
      </w:r>
    </w:p>
    <w:p>
      <w:pPr>
        <w:spacing w:after="0"/>
        <w:jc w:val="left"/>
        <w:rPr>
          <w:sz w:val="24"/>
        </w:rPr>
        <w:sectPr>
          <w:type w:val="continuous"/>
          <w:pgSz w:w="11910" w:h="16840"/>
          <w:pgMar w:top="300" w:bottom="280" w:left="0" w:right="0"/>
          <w:cols w:num="2" w:equalWidth="0">
            <w:col w:w="8979" w:space="349"/>
            <w:col w:w="2582"/>
          </w:cols>
        </w:sectPr>
      </w:pPr>
    </w:p>
    <w:p>
      <w:pPr>
        <w:pStyle w:val="BodyText"/>
        <w:spacing w:before="9"/>
        <w:rPr>
          <w:b/>
          <w:sz w:val="22"/>
        </w:rPr>
      </w:pPr>
    </w:p>
    <w:p>
      <w:pPr>
        <w:pStyle w:val="ListParagraph"/>
        <w:numPr>
          <w:ilvl w:val="0"/>
          <w:numId w:val="173"/>
        </w:numPr>
        <w:tabs>
          <w:tab w:pos="2381" w:val="left" w:leader="none"/>
          <w:tab w:pos="2382" w:val="left" w:leader="none"/>
        </w:tabs>
        <w:spacing w:line="242" w:lineRule="auto" w:before="92" w:after="0"/>
        <w:ind w:left="2381" w:right="2089" w:hanging="794"/>
        <w:jc w:val="left"/>
        <w:rPr>
          <w:sz w:val="12"/>
        </w:rPr>
      </w:pPr>
      <w:r>
        <w:rPr>
          <w:spacing w:val="-4"/>
          <w:w w:val="105"/>
          <w:sz w:val="21"/>
        </w:rPr>
        <w:t>However, </w:t>
      </w:r>
      <w:r>
        <w:rPr>
          <w:w w:val="105"/>
          <w:sz w:val="21"/>
        </w:rPr>
        <w:t>there </w:t>
      </w:r>
      <w:r>
        <w:rPr>
          <w:spacing w:val="-3"/>
          <w:w w:val="105"/>
          <w:sz w:val="21"/>
        </w:rPr>
        <w:t>may </w:t>
      </w:r>
      <w:r>
        <w:rPr>
          <w:w w:val="105"/>
          <w:sz w:val="21"/>
        </w:rPr>
        <w:t>be </w:t>
      </w:r>
      <w:r>
        <w:rPr>
          <w:spacing w:val="-3"/>
          <w:w w:val="105"/>
          <w:sz w:val="21"/>
        </w:rPr>
        <w:t>circumstances </w:t>
      </w:r>
      <w:r>
        <w:rPr>
          <w:w w:val="105"/>
          <w:sz w:val="21"/>
        </w:rPr>
        <w:t>where the existing permit </w:t>
      </w:r>
      <w:r>
        <w:rPr>
          <w:spacing w:val="-3"/>
          <w:w w:val="105"/>
          <w:sz w:val="21"/>
        </w:rPr>
        <w:t>exemptions </w:t>
      </w:r>
      <w:r>
        <w:rPr>
          <w:w w:val="105"/>
          <w:sz w:val="21"/>
        </w:rPr>
        <w:t>do </w:t>
      </w:r>
      <w:r>
        <w:rPr>
          <w:spacing w:val="-2"/>
          <w:w w:val="105"/>
          <w:sz w:val="21"/>
        </w:rPr>
        <w:t>not </w:t>
      </w:r>
      <w:r>
        <w:rPr>
          <w:w w:val="105"/>
          <w:sz w:val="21"/>
        </w:rPr>
        <w:t>apply.</w:t>
      </w:r>
      <w:r>
        <w:rPr>
          <w:w w:val="105"/>
          <w:position w:val="7"/>
          <w:sz w:val="12"/>
        </w:rPr>
        <w:t>305 </w:t>
      </w:r>
      <w:r>
        <w:rPr>
          <w:w w:val="105"/>
          <w:sz w:val="21"/>
        </w:rPr>
        <w:t>For this </w:t>
      </w:r>
      <w:r>
        <w:rPr>
          <w:spacing w:val="-3"/>
          <w:w w:val="105"/>
          <w:sz w:val="21"/>
        </w:rPr>
        <w:t>reason, </w:t>
      </w:r>
      <w:r>
        <w:rPr>
          <w:w w:val="105"/>
          <w:sz w:val="21"/>
        </w:rPr>
        <w:t>the </w:t>
      </w:r>
      <w:r>
        <w:rPr>
          <w:spacing w:val="-3"/>
          <w:w w:val="105"/>
          <w:sz w:val="21"/>
        </w:rPr>
        <w:t>Commission recommends that </w:t>
      </w:r>
      <w:r>
        <w:rPr>
          <w:w w:val="105"/>
          <w:sz w:val="21"/>
        </w:rPr>
        <w:t>the general exemption recommended</w:t>
      </w:r>
      <w:r>
        <w:rPr>
          <w:spacing w:val="-8"/>
          <w:w w:val="105"/>
          <w:sz w:val="21"/>
        </w:rPr>
        <w:t> </w:t>
      </w:r>
      <w:r>
        <w:rPr>
          <w:spacing w:val="-3"/>
          <w:w w:val="105"/>
          <w:sz w:val="21"/>
        </w:rPr>
        <w:t>for</w:t>
      </w:r>
      <w:r>
        <w:rPr>
          <w:spacing w:val="-8"/>
          <w:w w:val="105"/>
          <w:sz w:val="21"/>
        </w:rPr>
        <w:t> </w:t>
      </w:r>
      <w:r>
        <w:rPr>
          <w:spacing w:val="-3"/>
          <w:w w:val="105"/>
          <w:sz w:val="21"/>
        </w:rPr>
        <w:t>overlays</w:t>
      </w:r>
      <w:r>
        <w:rPr>
          <w:spacing w:val="-7"/>
          <w:w w:val="105"/>
          <w:sz w:val="21"/>
        </w:rPr>
        <w:t> </w:t>
      </w:r>
      <w:r>
        <w:rPr>
          <w:w w:val="105"/>
          <w:sz w:val="21"/>
        </w:rPr>
        <w:t>where</w:t>
      </w:r>
      <w:r>
        <w:rPr>
          <w:spacing w:val="-8"/>
          <w:w w:val="105"/>
          <w:sz w:val="21"/>
        </w:rPr>
        <w:t> </w:t>
      </w:r>
      <w:r>
        <w:rPr>
          <w:w w:val="105"/>
          <w:sz w:val="21"/>
        </w:rPr>
        <w:t>an</w:t>
      </w:r>
      <w:r>
        <w:rPr>
          <w:spacing w:val="-7"/>
          <w:w w:val="105"/>
          <w:sz w:val="21"/>
        </w:rPr>
        <w:t> </w:t>
      </w:r>
      <w:r>
        <w:rPr>
          <w:w w:val="105"/>
          <w:sz w:val="21"/>
        </w:rPr>
        <w:t>order</w:t>
      </w:r>
      <w:r>
        <w:rPr>
          <w:spacing w:val="-8"/>
          <w:w w:val="105"/>
          <w:sz w:val="21"/>
        </w:rPr>
        <w:t> </w:t>
      </w:r>
      <w:r>
        <w:rPr>
          <w:w w:val="105"/>
          <w:sz w:val="21"/>
        </w:rPr>
        <w:t>is</w:t>
      </w:r>
      <w:r>
        <w:rPr>
          <w:spacing w:val="-8"/>
          <w:w w:val="105"/>
          <w:sz w:val="21"/>
        </w:rPr>
        <w:t> </w:t>
      </w:r>
      <w:r>
        <w:rPr>
          <w:w w:val="105"/>
          <w:sz w:val="21"/>
        </w:rPr>
        <w:t>made</w:t>
      </w:r>
      <w:r>
        <w:rPr>
          <w:spacing w:val="-7"/>
          <w:w w:val="105"/>
          <w:sz w:val="21"/>
        </w:rPr>
        <w:t> </w:t>
      </w:r>
      <w:r>
        <w:rPr>
          <w:w w:val="105"/>
          <w:sz w:val="21"/>
        </w:rPr>
        <w:t>under</w:t>
      </w:r>
      <w:r>
        <w:rPr>
          <w:spacing w:val="-8"/>
          <w:w w:val="105"/>
          <w:sz w:val="21"/>
        </w:rPr>
        <w:t> </w:t>
      </w:r>
      <w:r>
        <w:rPr>
          <w:w w:val="105"/>
          <w:sz w:val="21"/>
        </w:rPr>
        <w:t>the</w:t>
      </w:r>
      <w:r>
        <w:rPr>
          <w:spacing w:val="-7"/>
          <w:w w:val="105"/>
          <w:sz w:val="21"/>
        </w:rPr>
        <w:t> </w:t>
      </w:r>
      <w:r>
        <w:rPr>
          <w:w w:val="105"/>
          <w:sz w:val="21"/>
        </w:rPr>
        <w:t>new</w:t>
      </w:r>
      <w:r>
        <w:rPr>
          <w:spacing w:val="-8"/>
          <w:w w:val="105"/>
          <w:sz w:val="21"/>
        </w:rPr>
        <w:t> </w:t>
      </w:r>
      <w:r>
        <w:rPr>
          <w:w w:val="105"/>
          <w:sz w:val="21"/>
        </w:rPr>
        <w:t>Act,</w:t>
      </w:r>
      <w:r>
        <w:rPr>
          <w:spacing w:val="-8"/>
          <w:w w:val="105"/>
          <w:sz w:val="21"/>
        </w:rPr>
        <w:t> </w:t>
      </w:r>
      <w:r>
        <w:rPr>
          <w:w w:val="105"/>
          <w:sz w:val="21"/>
        </w:rPr>
        <w:t>also</w:t>
      </w:r>
      <w:r>
        <w:rPr>
          <w:spacing w:val="-7"/>
          <w:w w:val="105"/>
          <w:sz w:val="21"/>
        </w:rPr>
        <w:t> </w:t>
      </w:r>
      <w:r>
        <w:rPr>
          <w:w w:val="105"/>
          <w:sz w:val="21"/>
        </w:rPr>
        <w:t>apply</w:t>
      </w:r>
      <w:r>
        <w:rPr>
          <w:spacing w:val="-8"/>
          <w:w w:val="105"/>
          <w:sz w:val="21"/>
        </w:rPr>
        <w:t> </w:t>
      </w:r>
      <w:r>
        <w:rPr>
          <w:spacing w:val="-3"/>
          <w:w w:val="105"/>
          <w:sz w:val="21"/>
        </w:rPr>
        <w:t>to native</w:t>
      </w:r>
      <w:r>
        <w:rPr>
          <w:spacing w:val="-16"/>
          <w:w w:val="105"/>
          <w:sz w:val="21"/>
        </w:rPr>
        <w:t> </w:t>
      </w:r>
      <w:r>
        <w:rPr>
          <w:w w:val="105"/>
          <w:sz w:val="21"/>
        </w:rPr>
        <w:t>vegetation</w:t>
      </w:r>
      <w:r>
        <w:rPr>
          <w:spacing w:val="-15"/>
          <w:w w:val="105"/>
          <w:sz w:val="21"/>
        </w:rPr>
        <w:t> </w:t>
      </w:r>
      <w:r>
        <w:rPr>
          <w:w w:val="105"/>
          <w:sz w:val="21"/>
        </w:rPr>
        <w:t>particular</w:t>
      </w:r>
      <w:r>
        <w:rPr>
          <w:spacing w:val="-15"/>
          <w:w w:val="105"/>
          <w:sz w:val="21"/>
        </w:rPr>
        <w:t> </w:t>
      </w:r>
      <w:r>
        <w:rPr>
          <w:spacing w:val="-3"/>
          <w:w w:val="105"/>
          <w:sz w:val="21"/>
        </w:rPr>
        <w:t>provisions.</w:t>
      </w:r>
      <w:r>
        <w:rPr>
          <w:spacing w:val="-15"/>
          <w:w w:val="105"/>
          <w:sz w:val="21"/>
        </w:rPr>
        <w:t> </w:t>
      </w:r>
      <w:r>
        <w:rPr>
          <w:w w:val="105"/>
          <w:sz w:val="21"/>
        </w:rPr>
        <w:t>Where</w:t>
      </w:r>
      <w:r>
        <w:rPr>
          <w:spacing w:val="-15"/>
          <w:w w:val="105"/>
          <w:sz w:val="21"/>
        </w:rPr>
        <w:t> </w:t>
      </w:r>
      <w:r>
        <w:rPr>
          <w:w w:val="105"/>
          <w:sz w:val="21"/>
        </w:rPr>
        <w:t>this</w:t>
      </w:r>
      <w:r>
        <w:rPr>
          <w:spacing w:val="-15"/>
          <w:w w:val="105"/>
          <w:sz w:val="21"/>
        </w:rPr>
        <w:t> </w:t>
      </w:r>
      <w:r>
        <w:rPr>
          <w:w w:val="105"/>
          <w:sz w:val="21"/>
        </w:rPr>
        <w:t>occurs,</w:t>
      </w:r>
      <w:r>
        <w:rPr>
          <w:spacing w:val="-15"/>
          <w:w w:val="105"/>
          <w:sz w:val="21"/>
        </w:rPr>
        <w:t> </w:t>
      </w:r>
      <w:r>
        <w:rPr>
          <w:w w:val="105"/>
          <w:sz w:val="21"/>
        </w:rPr>
        <w:t>the</w:t>
      </w:r>
      <w:r>
        <w:rPr>
          <w:spacing w:val="-15"/>
          <w:w w:val="105"/>
          <w:sz w:val="21"/>
        </w:rPr>
        <w:t> </w:t>
      </w:r>
      <w:r>
        <w:rPr>
          <w:w w:val="105"/>
          <w:sz w:val="21"/>
        </w:rPr>
        <w:t>decision</w:t>
      </w:r>
      <w:r>
        <w:rPr>
          <w:spacing w:val="-15"/>
          <w:w w:val="105"/>
          <w:sz w:val="21"/>
        </w:rPr>
        <w:t> </w:t>
      </w:r>
      <w:r>
        <w:rPr>
          <w:spacing w:val="-4"/>
          <w:w w:val="105"/>
          <w:sz w:val="21"/>
        </w:rPr>
        <w:t>maker</w:t>
      </w:r>
      <w:r>
        <w:rPr>
          <w:spacing w:val="-15"/>
          <w:w w:val="105"/>
          <w:sz w:val="21"/>
        </w:rPr>
        <w:t> </w:t>
      </w:r>
      <w:r>
        <w:rPr>
          <w:w w:val="105"/>
          <w:sz w:val="21"/>
        </w:rPr>
        <w:t>should </w:t>
      </w:r>
      <w:r>
        <w:rPr>
          <w:spacing w:val="-3"/>
          <w:w w:val="105"/>
          <w:sz w:val="21"/>
        </w:rPr>
        <w:t>have regard to </w:t>
      </w:r>
      <w:r>
        <w:rPr>
          <w:w w:val="105"/>
          <w:sz w:val="21"/>
        </w:rPr>
        <w:t>the assessment </w:t>
      </w:r>
      <w:r>
        <w:rPr>
          <w:spacing w:val="-3"/>
          <w:w w:val="105"/>
          <w:sz w:val="21"/>
        </w:rPr>
        <w:t>pathways </w:t>
      </w:r>
      <w:r>
        <w:rPr>
          <w:w w:val="105"/>
          <w:sz w:val="21"/>
        </w:rPr>
        <w:t>detailed in the </w:t>
      </w:r>
      <w:r>
        <w:rPr>
          <w:spacing w:val="-3"/>
          <w:w w:val="105"/>
          <w:sz w:val="21"/>
        </w:rPr>
        <w:t>Guidelines for </w:t>
      </w:r>
      <w:r>
        <w:rPr>
          <w:w w:val="105"/>
          <w:sz w:val="21"/>
        </w:rPr>
        <w:t>the </w:t>
      </w:r>
      <w:r>
        <w:rPr>
          <w:spacing w:val="-3"/>
          <w:w w:val="105"/>
          <w:sz w:val="21"/>
        </w:rPr>
        <w:t>Removal, </w:t>
      </w:r>
      <w:r>
        <w:rPr>
          <w:w w:val="105"/>
          <w:sz w:val="21"/>
        </w:rPr>
        <w:t>Destruction or Lopping of Native</w:t>
      </w:r>
      <w:r>
        <w:rPr>
          <w:spacing w:val="21"/>
          <w:w w:val="105"/>
          <w:sz w:val="21"/>
        </w:rPr>
        <w:t> </w:t>
      </w:r>
      <w:r>
        <w:rPr>
          <w:w w:val="105"/>
          <w:sz w:val="21"/>
        </w:rPr>
        <w:t>Vegetation.</w:t>
      </w:r>
      <w:r>
        <w:rPr>
          <w:w w:val="105"/>
          <w:position w:val="7"/>
          <w:sz w:val="12"/>
        </w:rPr>
        <w:t>306</w:t>
      </w:r>
    </w:p>
    <w:p>
      <w:pPr>
        <w:pStyle w:val="BodyText"/>
        <w:spacing w:before="11"/>
        <w:rPr>
          <w:sz w:val="23"/>
        </w:rPr>
      </w:pPr>
    </w:p>
    <w:p>
      <w:pPr>
        <w:pStyle w:val="Heading3"/>
      </w:pPr>
      <w:r>
        <w:rPr/>
        <w:pict>
          <v:group style="position:absolute;margin-left:62.362202pt;margin-top:-3.353718pt;width:479.1pt;height:409.4pt;mso-position-horizontal-relative:page;mso-position-vertical-relative:paragraph;z-index:-446920" coordorigin="1247,-67" coordsize="9582,8188">
            <v:rect style="position:absolute;left:1587;top:-68;width:8731;height:8188" filled="true" fillcolor="#dbe0dd" stroked="false">
              <v:fill type="solid"/>
            </v:rect>
            <v:line style="position:absolute" from="1247,680" to="10828,680" stroked="true" strokeweight="2.5pt" strokecolor="#ffffff">
              <v:stroke dashstyle="solid"/>
            </v:line>
            <w10:wrap type="none"/>
          </v:group>
        </w:pict>
      </w:r>
      <w:r>
        <w:rPr>
          <w:color w:val="658464"/>
          <w:w w:val="110"/>
        </w:rPr>
        <w:t>Recommendations</w:t>
      </w:r>
    </w:p>
    <w:p>
      <w:pPr>
        <w:pStyle w:val="BodyText"/>
        <w:rPr>
          <w:b/>
          <w:sz w:val="35"/>
        </w:rPr>
      </w:pPr>
    </w:p>
    <w:p>
      <w:pPr>
        <w:pStyle w:val="ListParagraph"/>
        <w:numPr>
          <w:ilvl w:val="0"/>
          <w:numId w:val="181"/>
        </w:numPr>
        <w:tabs>
          <w:tab w:pos="2381" w:val="left" w:leader="none"/>
          <w:tab w:pos="2382" w:val="left" w:leader="none"/>
        </w:tabs>
        <w:spacing w:line="242" w:lineRule="auto" w:before="1" w:after="0"/>
        <w:ind w:left="2381" w:right="1896" w:hanging="567"/>
        <w:jc w:val="left"/>
        <w:rPr>
          <w:sz w:val="21"/>
        </w:rPr>
      </w:pPr>
      <w:r>
        <w:rPr>
          <w:w w:val="115"/>
          <w:sz w:val="21"/>
        </w:rPr>
        <w:t>The Commission recommends exemptions in the Victoria Planning Provisions be expanded to enable an order made under the Act to </w:t>
      </w:r>
      <w:r>
        <w:rPr>
          <w:spacing w:val="-3"/>
          <w:w w:val="115"/>
          <w:sz w:val="21"/>
        </w:rPr>
        <w:t>have </w:t>
      </w:r>
      <w:r>
        <w:rPr>
          <w:w w:val="115"/>
          <w:sz w:val="21"/>
        </w:rPr>
        <w:t>effect despite </w:t>
      </w:r>
      <w:r>
        <w:rPr>
          <w:spacing w:val="-2"/>
          <w:w w:val="115"/>
          <w:sz w:val="21"/>
        </w:rPr>
        <w:t>any</w:t>
      </w:r>
      <w:r>
        <w:rPr>
          <w:spacing w:val="-8"/>
          <w:w w:val="115"/>
          <w:sz w:val="21"/>
        </w:rPr>
        <w:t> </w:t>
      </w:r>
      <w:r>
        <w:rPr>
          <w:w w:val="115"/>
          <w:sz w:val="21"/>
        </w:rPr>
        <w:t>requirement</w:t>
      </w:r>
      <w:r>
        <w:rPr>
          <w:spacing w:val="-7"/>
          <w:w w:val="115"/>
          <w:sz w:val="21"/>
        </w:rPr>
        <w:t> </w:t>
      </w:r>
      <w:r>
        <w:rPr>
          <w:w w:val="115"/>
          <w:sz w:val="21"/>
        </w:rPr>
        <w:t>to</w:t>
      </w:r>
      <w:r>
        <w:rPr>
          <w:spacing w:val="-7"/>
          <w:w w:val="115"/>
          <w:sz w:val="21"/>
        </w:rPr>
        <w:t> </w:t>
      </w:r>
      <w:r>
        <w:rPr>
          <w:w w:val="115"/>
          <w:sz w:val="21"/>
        </w:rPr>
        <w:t>obtain</w:t>
      </w:r>
      <w:r>
        <w:rPr>
          <w:spacing w:val="-7"/>
          <w:w w:val="115"/>
          <w:sz w:val="21"/>
        </w:rPr>
        <w:t> </w:t>
      </w:r>
      <w:r>
        <w:rPr>
          <w:w w:val="115"/>
          <w:sz w:val="21"/>
        </w:rPr>
        <w:t>a</w:t>
      </w:r>
      <w:r>
        <w:rPr>
          <w:spacing w:val="-7"/>
          <w:w w:val="115"/>
          <w:sz w:val="21"/>
        </w:rPr>
        <w:t> </w:t>
      </w:r>
      <w:r>
        <w:rPr>
          <w:w w:val="115"/>
          <w:sz w:val="21"/>
        </w:rPr>
        <w:t>permit</w:t>
      </w:r>
      <w:r>
        <w:rPr>
          <w:spacing w:val="-7"/>
          <w:w w:val="115"/>
          <w:sz w:val="21"/>
        </w:rPr>
        <w:t> </w:t>
      </w:r>
      <w:r>
        <w:rPr>
          <w:w w:val="115"/>
          <w:sz w:val="21"/>
        </w:rPr>
        <w:t>in</w:t>
      </w:r>
      <w:r>
        <w:rPr>
          <w:spacing w:val="-7"/>
          <w:w w:val="115"/>
          <w:sz w:val="21"/>
        </w:rPr>
        <w:t> </w:t>
      </w:r>
      <w:r>
        <w:rPr>
          <w:w w:val="115"/>
          <w:sz w:val="21"/>
        </w:rPr>
        <w:t>a</w:t>
      </w:r>
      <w:r>
        <w:rPr>
          <w:spacing w:val="-7"/>
          <w:w w:val="115"/>
          <w:sz w:val="21"/>
        </w:rPr>
        <w:t> </w:t>
      </w:r>
      <w:r>
        <w:rPr>
          <w:w w:val="115"/>
          <w:sz w:val="21"/>
        </w:rPr>
        <w:t>Victorian</w:t>
      </w:r>
      <w:r>
        <w:rPr>
          <w:spacing w:val="-7"/>
          <w:w w:val="115"/>
          <w:sz w:val="21"/>
        </w:rPr>
        <w:t> </w:t>
      </w:r>
      <w:r>
        <w:rPr>
          <w:w w:val="115"/>
          <w:sz w:val="21"/>
        </w:rPr>
        <w:t>Planning</w:t>
      </w:r>
      <w:r>
        <w:rPr>
          <w:spacing w:val="-7"/>
          <w:w w:val="115"/>
          <w:sz w:val="21"/>
        </w:rPr>
        <w:t> </w:t>
      </w:r>
      <w:r>
        <w:rPr>
          <w:w w:val="115"/>
          <w:sz w:val="21"/>
        </w:rPr>
        <w:t>Scheme</w:t>
      </w:r>
      <w:r>
        <w:rPr>
          <w:spacing w:val="-7"/>
          <w:w w:val="115"/>
          <w:sz w:val="21"/>
        </w:rPr>
        <w:t> </w:t>
      </w:r>
      <w:r>
        <w:rPr>
          <w:w w:val="115"/>
          <w:sz w:val="21"/>
        </w:rPr>
        <w:t>to</w:t>
      </w:r>
      <w:r>
        <w:rPr>
          <w:spacing w:val="-7"/>
          <w:w w:val="115"/>
          <w:sz w:val="21"/>
        </w:rPr>
        <w:t> </w:t>
      </w:r>
      <w:r>
        <w:rPr>
          <w:w w:val="115"/>
          <w:sz w:val="21"/>
        </w:rPr>
        <w:t>remove, lop or destroy vegetation under</w:t>
      </w:r>
      <w:r>
        <w:rPr>
          <w:spacing w:val="2"/>
          <w:w w:val="115"/>
          <w:sz w:val="21"/>
        </w:rPr>
        <w:t> a:</w:t>
      </w:r>
    </w:p>
    <w:p>
      <w:pPr>
        <w:pStyle w:val="ListParagraph"/>
        <w:numPr>
          <w:ilvl w:val="1"/>
          <w:numId w:val="181"/>
        </w:numPr>
        <w:tabs>
          <w:tab w:pos="2948" w:val="left" w:leader="none"/>
          <w:tab w:pos="2949" w:val="left" w:leader="none"/>
        </w:tabs>
        <w:spacing w:line="240" w:lineRule="auto" w:before="124" w:after="0"/>
        <w:ind w:left="2948" w:right="0" w:hanging="567"/>
        <w:jc w:val="left"/>
        <w:rPr>
          <w:sz w:val="21"/>
        </w:rPr>
      </w:pPr>
      <w:r>
        <w:rPr>
          <w:w w:val="115"/>
          <w:sz w:val="21"/>
        </w:rPr>
        <w:t>Significant Landscape</w:t>
      </w:r>
      <w:r>
        <w:rPr>
          <w:spacing w:val="1"/>
          <w:w w:val="115"/>
          <w:sz w:val="21"/>
        </w:rPr>
        <w:t> </w:t>
      </w:r>
      <w:r>
        <w:rPr>
          <w:w w:val="115"/>
          <w:sz w:val="21"/>
        </w:rPr>
        <w:t>Overlay</w:t>
      </w:r>
    </w:p>
    <w:p>
      <w:pPr>
        <w:pStyle w:val="ListParagraph"/>
        <w:numPr>
          <w:ilvl w:val="1"/>
          <w:numId w:val="181"/>
        </w:numPr>
        <w:tabs>
          <w:tab w:pos="2948" w:val="left" w:leader="none"/>
          <w:tab w:pos="2949" w:val="left" w:leader="none"/>
        </w:tabs>
        <w:spacing w:line="240" w:lineRule="auto" w:before="124" w:after="0"/>
        <w:ind w:left="2948" w:right="0" w:hanging="567"/>
        <w:jc w:val="left"/>
        <w:rPr>
          <w:sz w:val="21"/>
        </w:rPr>
      </w:pPr>
      <w:r>
        <w:rPr>
          <w:w w:val="115"/>
          <w:sz w:val="21"/>
        </w:rPr>
        <w:t>Environmental Significance Overlay</w:t>
      </w:r>
    </w:p>
    <w:p>
      <w:pPr>
        <w:pStyle w:val="ListParagraph"/>
        <w:numPr>
          <w:ilvl w:val="1"/>
          <w:numId w:val="181"/>
        </w:numPr>
        <w:tabs>
          <w:tab w:pos="2948" w:val="left" w:leader="none"/>
          <w:tab w:pos="2949" w:val="left" w:leader="none"/>
        </w:tabs>
        <w:spacing w:line="240" w:lineRule="auto" w:before="123" w:after="0"/>
        <w:ind w:left="2948" w:right="0" w:hanging="567"/>
        <w:jc w:val="left"/>
        <w:rPr>
          <w:sz w:val="21"/>
        </w:rPr>
      </w:pPr>
      <w:r>
        <w:rPr>
          <w:w w:val="115"/>
          <w:sz w:val="21"/>
        </w:rPr>
        <w:t>Vegetation Protection</w:t>
      </w:r>
      <w:r>
        <w:rPr>
          <w:spacing w:val="1"/>
          <w:w w:val="115"/>
          <w:sz w:val="21"/>
        </w:rPr>
        <w:t> </w:t>
      </w:r>
      <w:r>
        <w:rPr>
          <w:w w:val="115"/>
          <w:sz w:val="21"/>
        </w:rPr>
        <w:t>Overlay</w:t>
      </w:r>
    </w:p>
    <w:p>
      <w:pPr>
        <w:pStyle w:val="ListParagraph"/>
        <w:numPr>
          <w:ilvl w:val="1"/>
          <w:numId w:val="181"/>
        </w:numPr>
        <w:tabs>
          <w:tab w:pos="2948" w:val="left" w:leader="none"/>
          <w:tab w:pos="2949" w:val="left" w:leader="none"/>
        </w:tabs>
        <w:spacing w:line="240" w:lineRule="auto" w:before="124" w:after="0"/>
        <w:ind w:left="2948" w:right="0" w:hanging="567"/>
        <w:jc w:val="left"/>
        <w:rPr>
          <w:sz w:val="21"/>
        </w:rPr>
      </w:pPr>
      <w:r>
        <w:rPr>
          <w:w w:val="115"/>
          <w:sz w:val="21"/>
        </w:rPr>
        <w:t>Heritage Overlay</w:t>
      </w:r>
    </w:p>
    <w:p>
      <w:pPr>
        <w:pStyle w:val="ListParagraph"/>
        <w:numPr>
          <w:ilvl w:val="1"/>
          <w:numId w:val="181"/>
        </w:numPr>
        <w:tabs>
          <w:tab w:pos="2948" w:val="left" w:leader="none"/>
          <w:tab w:pos="2949" w:val="left" w:leader="none"/>
        </w:tabs>
        <w:spacing w:line="240" w:lineRule="auto" w:before="124" w:after="0"/>
        <w:ind w:left="2948" w:right="0" w:hanging="567"/>
        <w:jc w:val="left"/>
        <w:rPr>
          <w:sz w:val="21"/>
        </w:rPr>
      </w:pPr>
      <w:r>
        <w:rPr>
          <w:w w:val="115"/>
          <w:sz w:val="21"/>
        </w:rPr>
        <w:t>Native Vegetation Particular Provision.</w:t>
      </w:r>
    </w:p>
    <w:p>
      <w:pPr>
        <w:pStyle w:val="ListParagraph"/>
        <w:numPr>
          <w:ilvl w:val="0"/>
          <w:numId w:val="181"/>
        </w:numPr>
        <w:tabs>
          <w:tab w:pos="2381" w:val="left" w:leader="none"/>
          <w:tab w:pos="2382" w:val="left" w:leader="none"/>
        </w:tabs>
        <w:spacing w:line="242" w:lineRule="auto" w:before="124" w:after="0"/>
        <w:ind w:left="2381" w:right="1881" w:hanging="567"/>
        <w:jc w:val="left"/>
        <w:rPr>
          <w:sz w:val="21"/>
        </w:rPr>
      </w:pPr>
      <w:r>
        <w:rPr>
          <w:w w:val="115"/>
          <w:sz w:val="21"/>
        </w:rPr>
        <w:t>Where</w:t>
      </w:r>
      <w:r>
        <w:rPr>
          <w:spacing w:val="-6"/>
          <w:w w:val="115"/>
          <w:sz w:val="21"/>
        </w:rPr>
        <w:t> </w:t>
      </w:r>
      <w:r>
        <w:rPr>
          <w:w w:val="115"/>
          <w:sz w:val="21"/>
        </w:rPr>
        <w:t>an</w:t>
      </w:r>
      <w:r>
        <w:rPr>
          <w:spacing w:val="-6"/>
          <w:w w:val="115"/>
          <w:sz w:val="21"/>
        </w:rPr>
        <w:t> </w:t>
      </w:r>
      <w:r>
        <w:rPr>
          <w:w w:val="115"/>
          <w:sz w:val="21"/>
        </w:rPr>
        <w:t>exemption</w:t>
      </w:r>
      <w:r>
        <w:rPr>
          <w:spacing w:val="-6"/>
          <w:w w:val="115"/>
          <w:sz w:val="21"/>
        </w:rPr>
        <w:t> </w:t>
      </w:r>
      <w:r>
        <w:rPr>
          <w:w w:val="115"/>
          <w:sz w:val="21"/>
        </w:rPr>
        <w:t>referred</w:t>
      </w:r>
      <w:r>
        <w:rPr>
          <w:spacing w:val="-6"/>
          <w:w w:val="115"/>
          <w:sz w:val="21"/>
        </w:rPr>
        <w:t> </w:t>
      </w:r>
      <w:r>
        <w:rPr>
          <w:w w:val="115"/>
          <w:sz w:val="21"/>
        </w:rPr>
        <w:t>to</w:t>
      </w:r>
      <w:r>
        <w:rPr>
          <w:spacing w:val="-6"/>
          <w:w w:val="115"/>
          <w:sz w:val="21"/>
        </w:rPr>
        <w:t> </w:t>
      </w:r>
      <w:r>
        <w:rPr>
          <w:w w:val="115"/>
          <w:sz w:val="21"/>
        </w:rPr>
        <w:t>in</w:t>
      </w:r>
      <w:r>
        <w:rPr>
          <w:spacing w:val="-6"/>
          <w:w w:val="115"/>
          <w:sz w:val="21"/>
        </w:rPr>
        <w:t> </w:t>
      </w:r>
      <w:r>
        <w:rPr>
          <w:w w:val="115"/>
          <w:sz w:val="21"/>
        </w:rPr>
        <w:t>Recommendation</w:t>
      </w:r>
      <w:r>
        <w:rPr>
          <w:spacing w:val="-6"/>
          <w:w w:val="115"/>
          <w:sz w:val="21"/>
        </w:rPr>
        <w:t> </w:t>
      </w:r>
      <w:r>
        <w:rPr>
          <w:w w:val="115"/>
          <w:sz w:val="21"/>
        </w:rPr>
        <w:t>39</w:t>
      </w:r>
      <w:r>
        <w:rPr>
          <w:spacing w:val="-6"/>
          <w:w w:val="115"/>
          <w:sz w:val="21"/>
        </w:rPr>
        <w:t> </w:t>
      </w:r>
      <w:r>
        <w:rPr>
          <w:w w:val="115"/>
          <w:sz w:val="21"/>
        </w:rPr>
        <w:t>applies,</w:t>
      </w:r>
      <w:r>
        <w:rPr>
          <w:spacing w:val="-6"/>
          <w:w w:val="115"/>
          <w:sz w:val="21"/>
        </w:rPr>
        <w:t> </w:t>
      </w:r>
      <w:r>
        <w:rPr>
          <w:w w:val="115"/>
          <w:sz w:val="21"/>
        </w:rPr>
        <w:t>the</w:t>
      </w:r>
      <w:r>
        <w:rPr>
          <w:spacing w:val="-5"/>
          <w:w w:val="115"/>
          <w:sz w:val="21"/>
        </w:rPr>
        <w:t> </w:t>
      </w:r>
      <w:r>
        <w:rPr>
          <w:spacing w:val="-3"/>
          <w:w w:val="115"/>
          <w:sz w:val="21"/>
        </w:rPr>
        <w:t>following </w:t>
      </w:r>
      <w:r>
        <w:rPr>
          <w:w w:val="115"/>
          <w:sz w:val="21"/>
        </w:rPr>
        <w:t>safeguards should</w:t>
      </w:r>
      <w:r>
        <w:rPr>
          <w:spacing w:val="1"/>
          <w:w w:val="115"/>
          <w:sz w:val="21"/>
        </w:rPr>
        <w:t> </w:t>
      </w:r>
      <w:r>
        <w:rPr>
          <w:w w:val="115"/>
          <w:sz w:val="21"/>
        </w:rPr>
        <w:t>apply:</w:t>
      </w:r>
    </w:p>
    <w:p>
      <w:pPr>
        <w:pStyle w:val="ListParagraph"/>
        <w:numPr>
          <w:ilvl w:val="1"/>
          <w:numId w:val="181"/>
        </w:numPr>
        <w:tabs>
          <w:tab w:pos="2948" w:val="left" w:leader="none"/>
          <w:tab w:pos="2949" w:val="left" w:leader="none"/>
        </w:tabs>
        <w:spacing w:line="242" w:lineRule="auto" w:before="122" w:after="0"/>
        <w:ind w:left="2948" w:right="2196" w:hanging="567"/>
        <w:jc w:val="left"/>
        <w:rPr>
          <w:sz w:val="21"/>
        </w:rPr>
      </w:pPr>
      <w:r>
        <w:rPr>
          <w:w w:val="115"/>
          <w:sz w:val="21"/>
        </w:rPr>
        <w:t>the</w:t>
      </w:r>
      <w:r>
        <w:rPr>
          <w:spacing w:val="-6"/>
          <w:w w:val="115"/>
          <w:sz w:val="21"/>
        </w:rPr>
        <w:t> </w:t>
      </w:r>
      <w:r>
        <w:rPr>
          <w:spacing w:val="-3"/>
          <w:w w:val="115"/>
          <w:sz w:val="21"/>
        </w:rPr>
        <w:t>relevant</w:t>
      </w:r>
      <w:r>
        <w:rPr>
          <w:spacing w:val="-5"/>
          <w:w w:val="115"/>
          <w:sz w:val="21"/>
        </w:rPr>
        <w:t> </w:t>
      </w:r>
      <w:r>
        <w:rPr>
          <w:w w:val="115"/>
          <w:sz w:val="21"/>
        </w:rPr>
        <w:t>responsible</w:t>
      </w:r>
      <w:r>
        <w:rPr>
          <w:spacing w:val="-5"/>
          <w:w w:val="115"/>
          <w:sz w:val="21"/>
        </w:rPr>
        <w:t> </w:t>
      </w:r>
      <w:r>
        <w:rPr>
          <w:w w:val="115"/>
          <w:sz w:val="21"/>
        </w:rPr>
        <w:t>authority</w:t>
      </w:r>
      <w:r>
        <w:rPr>
          <w:spacing w:val="-5"/>
          <w:w w:val="115"/>
          <w:sz w:val="21"/>
        </w:rPr>
        <w:t> </w:t>
      </w:r>
      <w:r>
        <w:rPr>
          <w:w w:val="115"/>
          <w:sz w:val="21"/>
        </w:rPr>
        <w:t>must</w:t>
      </w:r>
      <w:r>
        <w:rPr>
          <w:spacing w:val="-5"/>
          <w:w w:val="115"/>
          <w:sz w:val="21"/>
        </w:rPr>
        <w:t> </w:t>
      </w:r>
      <w:r>
        <w:rPr>
          <w:w w:val="115"/>
          <w:sz w:val="21"/>
        </w:rPr>
        <w:t>be</w:t>
      </w:r>
      <w:r>
        <w:rPr>
          <w:spacing w:val="-5"/>
          <w:w w:val="115"/>
          <w:sz w:val="21"/>
        </w:rPr>
        <w:t> </w:t>
      </w:r>
      <w:r>
        <w:rPr>
          <w:w w:val="115"/>
          <w:sz w:val="21"/>
        </w:rPr>
        <w:t>notified</w:t>
      </w:r>
      <w:r>
        <w:rPr>
          <w:spacing w:val="-5"/>
          <w:w w:val="115"/>
          <w:sz w:val="21"/>
        </w:rPr>
        <w:t> </w:t>
      </w:r>
      <w:r>
        <w:rPr>
          <w:w w:val="115"/>
          <w:sz w:val="21"/>
        </w:rPr>
        <w:t>of</w:t>
      </w:r>
      <w:r>
        <w:rPr>
          <w:spacing w:val="-5"/>
          <w:w w:val="115"/>
          <w:sz w:val="21"/>
        </w:rPr>
        <w:t> </w:t>
      </w:r>
      <w:r>
        <w:rPr>
          <w:w w:val="115"/>
          <w:sz w:val="21"/>
        </w:rPr>
        <w:t>the</w:t>
      </w:r>
      <w:r>
        <w:rPr>
          <w:spacing w:val="-5"/>
          <w:w w:val="115"/>
          <w:sz w:val="21"/>
        </w:rPr>
        <w:t> </w:t>
      </w:r>
      <w:r>
        <w:rPr>
          <w:w w:val="115"/>
          <w:sz w:val="21"/>
        </w:rPr>
        <w:t>application and invited to participate in</w:t>
      </w:r>
      <w:r>
        <w:rPr>
          <w:spacing w:val="1"/>
          <w:w w:val="115"/>
          <w:sz w:val="21"/>
        </w:rPr>
        <w:t> </w:t>
      </w:r>
      <w:r>
        <w:rPr>
          <w:w w:val="115"/>
          <w:sz w:val="21"/>
        </w:rPr>
        <w:t>hearings</w:t>
      </w:r>
    </w:p>
    <w:p>
      <w:pPr>
        <w:pStyle w:val="ListParagraph"/>
        <w:numPr>
          <w:ilvl w:val="1"/>
          <w:numId w:val="181"/>
        </w:numPr>
        <w:tabs>
          <w:tab w:pos="2948" w:val="left" w:leader="none"/>
          <w:tab w:pos="2949" w:val="left" w:leader="none"/>
        </w:tabs>
        <w:spacing w:line="242" w:lineRule="auto" w:before="122" w:after="0"/>
        <w:ind w:left="2948" w:right="1814" w:hanging="567"/>
        <w:jc w:val="left"/>
        <w:rPr>
          <w:sz w:val="21"/>
        </w:rPr>
      </w:pPr>
      <w:r>
        <w:rPr>
          <w:w w:val="110"/>
          <w:sz w:val="21"/>
        </w:rPr>
        <w:t>the Victorian Civil and Administrative </w:t>
      </w:r>
      <w:r>
        <w:rPr>
          <w:spacing w:val="-4"/>
          <w:w w:val="110"/>
          <w:sz w:val="21"/>
        </w:rPr>
        <w:t>Tribunal </w:t>
      </w:r>
      <w:r>
        <w:rPr>
          <w:w w:val="110"/>
          <w:sz w:val="21"/>
        </w:rPr>
        <w:t>must consider the factors that the responsible authority would </w:t>
      </w:r>
      <w:r>
        <w:rPr>
          <w:spacing w:val="-3"/>
          <w:w w:val="110"/>
          <w:sz w:val="21"/>
        </w:rPr>
        <w:t>have </w:t>
      </w:r>
      <w:r>
        <w:rPr>
          <w:w w:val="110"/>
          <w:sz w:val="21"/>
        </w:rPr>
        <w:t>been required to consider in </w:t>
      </w:r>
      <w:r>
        <w:rPr>
          <w:w w:val="105"/>
          <w:sz w:val="21"/>
        </w:rPr>
        <w:t>determining</w:t>
      </w:r>
      <w:r>
        <w:rPr>
          <w:spacing w:val="-3"/>
          <w:w w:val="105"/>
          <w:sz w:val="21"/>
        </w:rPr>
        <w:t> </w:t>
      </w:r>
      <w:r>
        <w:rPr>
          <w:w w:val="105"/>
          <w:sz w:val="21"/>
        </w:rPr>
        <w:t>a</w:t>
      </w:r>
      <w:r>
        <w:rPr>
          <w:spacing w:val="-2"/>
          <w:w w:val="105"/>
          <w:sz w:val="21"/>
        </w:rPr>
        <w:t> </w:t>
      </w:r>
      <w:r>
        <w:rPr>
          <w:w w:val="105"/>
          <w:sz w:val="21"/>
        </w:rPr>
        <w:t>matter</w:t>
      </w:r>
      <w:r>
        <w:rPr>
          <w:spacing w:val="-3"/>
          <w:w w:val="105"/>
          <w:sz w:val="21"/>
        </w:rPr>
        <w:t> </w:t>
      </w:r>
      <w:r>
        <w:rPr>
          <w:w w:val="105"/>
          <w:sz w:val="21"/>
        </w:rPr>
        <w:t>under</w:t>
      </w:r>
      <w:r>
        <w:rPr>
          <w:spacing w:val="-2"/>
          <w:w w:val="105"/>
          <w:sz w:val="21"/>
        </w:rPr>
        <w:t> </w:t>
      </w:r>
      <w:r>
        <w:rPr>
          <w:w w:val="105"/>
          <w:sz w:val="21"/>
        </w:rPr>
        <w:t>the</w:t>
      </w:r>
      <w:r>
        <w:rPr>
          <w:spacing w:val="-3"/>
          <w:w w:val="105"/>
          <w:sz w:val="21"/>
        </w:rPr>
        <w:t> </w:t>
      </w:r>
      <w:r>
        <w:rPr>
          <w:rFonts w:ascii="Lucida Sans"/>
          <w:i/>
          <w:w w:val="105"/>
          <w:sz w:val="21"/>
        </w:rPr>
        <w:t>Planning</w:t>
      </w:r>
      <w:r>
        <w:rPr>
          <w:rFonts w:ascii="Lucida Sans"/>
          <w:i/>
          <w:spacing w:val="-22"/>
          <w:w w:val="105"/>
          <w:sz w:val="21"/>
        </w:rPr>
        <w:t> </w:t>
      </w:r>
      <w:r>
        <w:rPr>
          <w:rFonts w:ascii="Lucida Sans"/>
          <w:i/>
          <w:w w:val="105"/>
          <w:sz w:val="21"/>
        </w:rPr>
        <w:t>and</w:t>
      </w:r>
      <w:r>
        <w:rPr>
          <w:rFonts w:ascii="Lucida Sans"/>
          <w:i/>
          <w:spacing w:val="-22"/>
          <w:w w:val="105"/>
          <w:sz w:val="21"/>
        </w:rPr>
        <w:t> </w:t>
      </w:r>
      <w:r>
        <w:rPr>
          <w:rFonts w:ascii="Lucida Sans"/>
          <w:i/>
          <w:w w:val="105"/>
          <w:sz w:val="21"/>
        </w:rPr>
        <w:t>Environment</w:t>
      </w:r>
      <w:r>
        <w:rPr>
          <w:rFonts w:ascii="Lucida Sans"/>
          <w:i/>
          <w:spacing w:val="-23"/>
          <w:w w:val="105"/>
          <w:sz w:val="21"/>
        </w:rPr>
        <w:t> </w:t>
      </w:r>
      <w:r>
        <w:rPr>
          <w:rFonts w:ascii="Lucida Sans"/>
          <w:i/>
          <w:w w:val="105"/>
          <w:sz w:val="21"/>
        </w:rPr>
        <w:t>Act</w:t>
      </w:r>
      <w:r>
        <w:rPr>
          <w:rFonts w:ascii="Lucida Sans"/>
          <w:i/>
          <w:spacing w:val="-22"/>
          <w:w w:val="105"/>
          <w:sz w:val="21"/>
        </w:rPr>
        <w:t> </w:t>
      </w:r>
      <w:r>
        <w:rPr>
          <w:rFonts w:ascii="Lucida Sans"/>
          <w:i/>
          <w:spacing w:val="-4"/>
          <w:w w:val="105"/>
          <w:sz w:val="21"/>
        </w:rPr>
        <w:t>1987</w:t>
      </w:r>
      <w:r>
        <w:rPr>
          <w:rFonts w:ascii="Lucida Sans"/>
          <w:i/>
          <w:spacing w:val="-22"/>
          <w:w w:val="105"/>
          <w:sz w:val="21"/>
        </w:rPr>
        <w:t> </w:t>
      </w:r>
      <w:r>
        <w:rPr>
          <w:w w:val="105"/>
          <w:sz w:val="21"/>
        </w:rPr>
        <w:t>(Vic) </w:t>
      </w:r>
      <w:r>
        <w:rPr>
          <w:w w:val="110"/>
          <w:sz w:val="21"/>
        </w:rPr>
        <w:t>such</w:t>
      </w:r>
      <w:r>
        <w:rPr>
          <w:spacing w:val="3"/>
          <w:w w:val="110"/>
          <w:sz w:val="21"/>
        </w:rPr>
        <w:t> </w:t>
      </w:r>
      <w:r>
        <w:rPr>
          <w:w w:val="110"/>
          <w:sz w:val="21"/>
        </w:rPr>
        <w:t>as:</w:t>
      </w:r>
    </w:p>
    <w:p>
      <w:pPr>
        <w:pStyle w:val="ListParagraph"/>
        <w:numPr>
          <w:ilvl w:val="2"/>
          <w:numId w:val="181"/>
        </w:numPr>
        <w:tabs>
          <w:tab w:pos="3515" w:val="left" w:leader="none"/>
          <w:tab w:pos="3516" w:val="left" w:leader="none"/>
        </w:tabs>
        <w:spacing w:line="240" w:lineRule="auto" w:before="122" w:after="0"/>
        <w:ind w:left="3515" w:right="0" w:hanging="567"/>
        <w:jc w:val="left"/>
        <w:rPr>
          <w:sz w:val="21"/>
        </w:rPr>
      </w:pPr>
      <w:r>
        <w:rPr>
          <w:w w:val="115"/>
          <w:sz w:val="21"/>
        </w:rPr>
        <w:t>the objectives of planning in</w:t>
      </w:r>
      <w:r>
        <w:rPr>
          <w:spacing w:val="3"/>
          <w:w w:val="115"/>
          <w:sz w:val="21"/>
        </w:rPr>
        <w:t> </w:t>
      </w:r>
      <w:r>
        <w:rPr>
          <w:w w:val="115"/>
          <w:sz w:val="21"/>
        </w:rPr>
        <w:t>Victoria</w:t>
      </w:r>
    </w:p>
    <w:p>
      <w:pPr>
        <w:pStyle w:val="ListParagraph"/>
        <w:numPr>
          <w:ilvl w:val="2"/>
          <w:numId w:val="181"/>
        </w:numPr>
        <w:tabs>
          <w:tab w:pos="3514" w:val="left" w:leader="none"/>
          <w:tab w:pos="3515" w:val="left" w:leader="none"/>
        </w:tabs>
        <w:spacing w:line="242" w:lineRule="auto" w:before="123" w:after="0"/>
        <w:ind w:left="3514" w:right="2145" w:hanging="566"/>
        <w:jc w:val="left"/>
        <w:rPr>
          <w:sz w:val="21"/>
        </w:rPr>
      </w:pPr>
      <w:r>
        <w:rPr>
          <w:w w:val="115"/>
          <w:sz w:val="21"/>
        </w:rPr>
        <w:t>the</w:t>
      </w:r>
      <w:r>
        <w:rPr>
          <w:spacing w:val="-6"/>
          <w:w w:val="115"/>
          <w:sz w:val="21"/>
        </w:rPr>
        <w:t> </w:t>
      </w:r>
      <w:r>
        <w:rPr>
          <w:w w:val="115"/>
          <w:sz w:val="21"/>
        </w:rPr>
        <w:t>provisions</w:t>
      </w:r>
      <w:r>
        <w:rPr>
          <w:spacing w:val="-6"/>
          <w:w w:val="115"/>
          <w:sz w:val="21"/>
        </w:rPr>
        <w:t> </w:t>
      </w:r>
      <w:r>
        <w:rPr>
          <w:w w:val="115"/>
          <w:sz w:val="21"/>
        </w:rPr>
        <w:t>of</w:t>
      </w:r>
      <w:r>
        <w:rPr>
          <w:spacing w:val="-5"/>
          <w:w w:val="115"/>
          <w:sz w:val="21"/>
        </w:rPr>
        <w:t> </w:t>
      </w:r>
      <w:r>
        <w:rPr>
          <w:w w:val="115"/>
          <w:sz w:val="21"/>
        </w:rPr>
        <w:t>the</w:t>
      </w:r>
      <w:r>
        <w:rPr>
          <w:spacing w:val="-6"/>
          <w:w w:val="115"/>
          <w:sz w:val="21"/>
        </w:rPr>
        <w:t> </w:t>
      </w:r>
      <w:r>
        <w:rPr>
          <w:spacing w:val="-3"/>
          <w:w w:val="115"/>
          <w:sz w:val="21"/>
        </w:rPr>
        <w:t>relevant</w:t>
      </w:r>
      <w:r>
        <w:rPr>
          <w:spacing w:val="-6"/>
          <w:w w:val="115"/>
          <w:sz w:val="21"/>
        </w:rPr>
        <w:t> </w:t>
      </w:r>
      <w:r>
        <w:rPr>
          <w:w w:val="115"/>
          <w:sz w:val="21"/>
        </w:rPr>
        <w:t>planning</w:t>
      </w:r>
      <w:r>
        <w:rPr>
          <w:spacing w:val="-5"/>
          <w:w w:val="115"/>
          <w:sz w:val="21"/>
        </w:rPr>
        <w:t> </w:t>
      </w:r>
      <w:r>
        <w:rPr>
          <w:w w:val="115"/>
          <w:sz w:val="21"/>
        </w:rPr>
        <w:t>scheme</w:t>
      </w:r>
      <w:r>
        <w:rPr>
          <w:spacing w:val="-6"/>
          <w:w w:val="115"/>
          <w:sz w:val="21"/>
        </w:rPr>
        <w:t> </w:t>
      </w:r>
      <w:r>
        <w:rPr>
          <w:w w:val="115"/>
          <w:sz w:val="21"/>
        </w:rPr>
        <w:t>that</w:t>
      </w:r>
      <w:r>
        <w:rPr>
          <w:spacing w:val="-5"/>
          <w:w w:val="115"/>
          <w:sz w:val="21"/>
        </w:rPr>
        <w:t> </w:t>
      </w:r>
      <w:r>
        <w:rPr>
          <w:w w:val="115"/>
          <w:sz w:val="21"/>
        </w:rPr>
        <w:t>apply</w:t>
      </w:r>
      <w:r>
        <w:rPr>
          <w:spacing w:val="-6"/>
          <w:w w:val="115"/>
          <w:sz w:val="21"/>
        </w:rPr>
        <w:t> </w:t>
      </w:r>
      <w:r>
        <w:rPr>
          <w:w w:val="115"/>
          <w:sz w:val="21"/>
        </w:rPr>
        <w:t>to</w:t>
      </w:r>
      <w:r>
        <w:rPr>
          <w:spacing w:val="-6"/>
          <w:w w:val="115"/>
          <w:sz w:val="21"/>
        </w:rPr>
        <w:t> </w:t>
      </w:r>
      <w:r>
        <w:rPr>
          <w:w w:val="115"/>
          <w:sz w:val="21"/>
        </w:rPr>
        <w:t>the land the subject of the application, including decision-making guidelines in planning schemes</w:t>
      </w:r>
    </w:p>
    <w:p>
      <w:pPr>
        <w:pStyle w:val="ListParagraph"/>
        <w:numPr>
          <w:ilvl w:val="2"/>
          <w:numId w:val="181"/>
        </w:numPr>
        <w:tabs>
          <w:tab w:pos="3514" w:val="left" w:leader="none"/>
          <w:tab w:pos="3515" w:val="left" w:leader="none"/>
        </w:tabs>
        <w:spacing w:line="240" w:lineRule="auto" w:before="124" w:after="0"/>
        <w:ind w:left="3514" w:right="0" w:hanging="567"/>
        <w:jc w:val="left"/>
        <w:rPr>
          <w:sz w:val="21"/>
        </w:rPr>
      </w:pPr>
      <w:r>
        <w:rPr>
          <w:w w:val="115"/>
          <w:sz w:val="21"/>
        </w:rPr>
        <w:t>information provided by the responsible</w:t>
      </w:r>
      <w:r>
        <w:rPr>
          <w:spacing w:val="-2"/>
          <w:w w:val="115"/>
          <w:sz w:val="21"/>
        </w:rPr>
        <w:t> </w:t>
      </w:r>
      <w:r>
        <w:rPr>
          <w:w w:val="115"/>
          <w:sz w:val="21"/>
        </w:rPr>
        <w:t>authority.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r>
        <w:rPr/>
        <w:pict>
          <v:line style="position:absolute;mso-position-horizontal-relative:page;mso-position-vertical-relative:paragraph;z-index:10112;mso-wrap-distance-left:0;mso-wrap-distance-right:0" from="79.370102pt,13.945541pt" to="515.905102pt,13.945541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spacing w:before="11"/>
        <w:rPr>
          <w:sz w:val="32"/>
        </w:rPr>
      </w:pPr>
    </w:p>
    <w:p>
      <w:pPr>
        <w:spacing w:before="0"/>
        <w:ind w:left="720" w:right="0" w:firstLine="0"/>
        <w:jc w:val="left"/>
        <w:rPr>
          <w:b/>
          <w:sz w:val="24"/>
        </w:rPr>
      </w:pPr>
      <w:r>
        <w:rPr>
          <w:b/>
          <w:color w:val="658464"/>
          <w:w w:val="110"/>
          <w:sz w:val="24"/>
        </w:rPr>
        <w:t>248</w:t>
      </w:r>
    </w:p>
    <w:p>
      <w:pPr>
        <w:pStyle w:val="ListParagraph"/>
        <w:numPr>
          <w:ilvl w:val="0"/>
          <w:numId w:val="180"/>
        </w:numPr>
        <w:tabs>
          <w:tab w:pos="1214" w:val="left" w:leader="none"/>
          <w:tab w:pos="1215" w:val="left" w:leader="none"/>
        </w:tabs>
        <w:spacing w:line="240" w:lineRule="auto" w:before="48" w:after="0"/>
        <w:ind w:left="1214" w:right="1914" w:hanging="793"/>
        <w:jc w:val="left"/>
        <w:rPr>
          <w:sz w:val="13"/>
        </w:rPr>
      </w:pPr>
      <w:r>
        <w:rPr>
          <w:spacing w:val="3"/>
          <w:w w:val="96"/>
          <w:sz w:val="13"/>
        </w:rPr>
        <w:br w:type="column"/>
      </w:r>
      <w:r>
        <w:rPr>
          <w:sz w:val="13"/>
        </w:rPr>
        <w:t>For example, the permit exemptions may not apply to the removal of a large tree protected on a lot size of 0.4 hectares or more under               cl</w:t>
      </w:r>
      <w:r>
        <w:rPr>
          <w:spacing w:val="6"/>
          <w:sz w:val="13"/>
        </w:rPr>
        <w:t> </w:t>
      </w:r>
      <w:r>
        <w:rPr>
          <w:spacing w:val="-5"/>
          <w:sz w:val="13"/>
        </w:rPr>
        <w:t>52.17.</w:t>
      </w:r>
    </w:p>
    <w:p>
      <w:pPr>
        <w:pStyle w:val="ListParagraph"/>
        <w:numPr>
          <w:ilvl w:val="0"/>
          <w:numId w:val="180"/>
        </w:numPr>
        <w:tabs>
          <w:tab w:pos="1214" w:val="left" w:leader="none"/>
          <w:tab w:pos="1215" w:val="left" w:leader="none"/>
        </w:tabs>
        <w:spacing w:line="240" w:lineRule="auto" w:before="3" w:after="0"/>
        <w:ind w:left="1214" w:right="1687" w:hanging="793"/>
        <w:jc w:val="left"/>
        <w:rPr>
          <w:sz w:val="13"/>
        </w:rPr>
      </w:pPr>
      <w:r>
        <w:rPr>
          <w:w w:val="105"/>
          <w:sz w:val="13"/>
        </w:rPr>
        <w:t>See Department of Environment, Land, Water and Planning </w:t>
      </w:r>
      <w:r>
        <w:rPr>
          <w:spacing w:val="2"/>
          <w:w w:val="105"/>
          <w:sz w:val="13"/>
        </w:rPr>
        <w:t>(Vic), </w:t>
      </w:r>
      <w:r>
        <w:rPr>
          <w:i/>
          <w:w w:val="105"/>
          <w:sz w:val="13"/>
        </w:rPr>
        <w:t>Guidelines for the Removal, Destruction or Lopping of Native Vegetation </w:t>
      </w:r>
      <w:r>
        <w:rPr>
          <w:w w:val="105"/>
          <w:sz w:val="13"/>
        </w:rPr>
        <w:t>(Practice Document, December 2017) 18–23. This document is incorporated into all planning schemes pursuant to s </w:t>
      </w:r>
      <w:r>
        <w:rPr>
          <w:spacing w:val="4"/>
          <w:w w:val="105"/>
          <w:sz w:val="13"/>
        </w:rPr>
        <w:t>6(2)(j) </w:t>
      </w:r>
      <w:r>
        <w:rPr>
          <w:w w:val="105"/>
          <w:sz w:val="13"/>
        </w:rPr>
        <w:t>of the </w:t>
      </w:r>
      <w:r>
        <w:rPr>
          <w:spacing w:val="4"/>
          <w:w w:val="105"/>
          <w:sz w:val="13"/>
        </w:rPr>
        <w:t>P&amp;E    </w:t>
      </w:r>
      <w:r>
        <w:rPr>
          <w:spacing w:val="38"/>
          <w:w w:val="105"/>
          <w:sz w:val="13"/>
        </w:rPr>
        <w:t> </w:t>
      </w:r>
      <w:r>
        <w:rPr>
          <w:w w:val="105"/>
          <w:sz w:val="13"/>
        </w:rPr>
        <w:t>Act: See Department of Environment, Land, Water and Planning </w:t>
      </w:r>
      <w:r>
        <w:rPr>
          <w:spacing w:val="2"/>
          <w:w w:val="105"/>
          <w:sz w:val="13"/>
        </w:rPr>
        <w:t>(Vic), </w:t>
      </w:r>
      <w:r>
        <w:rPr>
          <w:i/>
          <w:w w:val="105"/>
          <w:sz w:val="13"/>
        </w:rPr>
        <w:t>Victoria Planning Provisions </w:t>
      </w:r>
      <w:r>
        <w:rPr>
          <w:spacing w:val="-5"/>
          <w:w w:val="105"/>
          <w:sz w:val="13"/>
        </w:rPr>
        <w:t>(11 </w:t>
      </w:r>
      <w:r>
        <w:rPr>
          <w:w w:val="105"/>
          <w:sz w:val="13"/>
        </w:rPr>
        <w:t>April 2019), cl 72.04 ‘Documents Incorporated in This Planning</w:t>
      </w:r>
      <w:r>
        <w:rPr>
          <w:spacing w:val="18"/>
          <w:w w:val="105"/>
          <w:sz w:val="13"/>
        </w:rPr>
        <w:t> </w:t>
      </w:r>
      <w:r>
        <w:rPr>
          <w:w w:val="105"/>
          <w:sz w:val="13"/>
        </w:rPr>
        <w:t>Scheme’.</w:t>
      </w:r>
    </w:p>
    <w:p>
      <w:pPr>
        <w:spacing w:after="0" w:line="240" w:lineRule="auto"/>
        <w:jc w:val="left"/>
        <w:rPr>
          <w:sz w:val="13"/>
        </w:rPr>
        <w:sectPr>
          <w:type w:val="continuous"/>
          <w:pgSz w:w="11910" w:h="16840"/>
          <w:pgMar w:top="300" w:bottom="280" w:left="0" w:right="0"/>
          <w:cols w:num="2" w:equalWidth="0">
            <w:col w:w="1127" w:space="40"/>
            <w:col w:w="10743"/>
          </w:cols>
        </w:sectPr>
      </w:pPr>
    </w:p>
    <w:p>
      <w:pPr>
        <w:pStyle w:val="BodyText"/>
        <w:rPr>
          <w:sz w:val="20"/>
        </w:rPr>
      </w:pPr>
    </w:p>
    <w:p>
      <w:pPr>
        <w:pStyle w:val="BodyText"/>
        <w:spacing w:before="11"/>
        <w:rPr>
          <w:sz w:val="17"/>
        </w:rPr>
      </w:pPr>
    </w:p>
    <w:p>
      <w:pPr>
        <w:pStyle w:val="Heading5"/>
        <w:spacing w:line="244" w:lineRule="auto" w:before="96"/>
        <w:ind w:right="2154"/>
      </w:pPr>
      <w:bookmarkStart w:name="_bookmark134" w:id="289"/>
      <w:bookmarkEnd w:id="289"/>
      <w:r>
        <w:rPr>
          <w:b w:val="0"/>
        </w:rPr>
      </w:r>
      <w:r>
        <w:rPr>
          <w:w w:val="115"/>
        </w:rPr>
        <w:t>The</w:t>
      </w:r>
      <w:r>
        <w:rPr>
          <w:spacing w:val="-29"/>
          <w:w w:val="115"/>
        </w:rPr>
        <w:t> </w:t>
      </w:r>
      <w:r>
        <w:rPr>
          <w:w w:val="115"/>
        </w:rPr>
        <w:t>Commission’s</w:t>
      </w:r>
      <w:r>
        <w:rPr>
          <w:spacing w:val="-28"/>
          <w:w w:val="115"/>
        </w:rPr>
        <w:t> </w:t>
      </w:r>
      <w:r>
        <w:rPr>
          <w:w w:val="115"/>
        </w:rPr>
        <w:t>conclusions—further</w:t>
      </w:r>
      <w:r>
        <w:rPr>
          <w:spacing w:val="-28"/>
          <w:w w:val="115"/>
        </w:rPr>
        <w:t> </w:t>
      </w:r>
      <w:r>
        <w:rPr>
          <w:w w:val="115"/>
        </w:rPr>
        <w:t>consideration</w:t>
      </w:r>
      <w:r>
        <w:rPr>
          <w:spacing w:val="-29"/>
          <w:w w:val="115"/>
        </w:rPr>
        <w:t> </w:t>
      </w:r>
      <w:r>
        <w:rPr>
          <w:w w:val="115"/>
        </w:rPr>
        <w:t>of</w:t>
      </w:r>
      <w:r>
        <w:rPr>
          <w:spacing w:val="-28"/>
          <w:w w:val="115"/>
        </w:rPr>
        <w:t> </w:t>
      </w:r>
      <w:r>
        <w:rPr>
          <w:w w:val="115"/>
        </w:rPr>
        <w:t>trees</w:t>
      </w:r>
      <w:r>
        <w:rPr>
          <w:spacing w:val="-28"/>
          <w:w w:val="115"/>
        </w:rPr>
        <w:t> </w:t>
      </w:r>
      <w:r>
        <w:rPr>
          <w:w w:val="115"/>
        </w:rPr>
        <w:t>planted</w:t>
      </w:r>
      <w:r>
        <w:rPr>
          <w:spacing w:val="-29"/>
          <w:w w:val="115"/>
        </w:rPr>
        <w:t> </w:t>
      </w:r>
      <w:r>
        <w:rPr>
          <w:w w:val="115"/>
        </w:rPr>
        <w:t>or maintained as a condition of existing planning</w:t>
      </w:r>
      <w:r>
        <w:rPr>
          <w:spacing w:val="3"/>
          <w:w w:val="115"/>
        </w:rPr>
        <w:t> </w:t>
      </w:r>
      <w:r>
        <w:rPr>
          <w:w w:val="115"/>
        </w:rPr>
        <w:t>permits</w:t>
      </w:r>
    </w:p>
    <w:p>
      <w:pPr>
        <w:pStyle w:val="ListParagraph"/>
        <w:numPr>
          <w:ilvl w:val="0"/>
          <w:numId w:val="173"/>
        </w:numPr>
        <w:tabs>
          <w:tab w:pos="2382" w:val="left" w:leader="none"/>
        </w:tabs>
        <w:spacing w:line="242" w:lineRule="auto" w:before="132" w:after="0"/>
        <w:ind w:left="2381" w:right="1668" w:hanging="794"/>
        <w:jc w:val="left"/>
        <w:rPr>
          <w:sz w:val="21"/>
        </w:rPr>
      </w:pPr>
      <w:r>
        <w:rPr>
          <w:w w:val="105"/>
          <w:sz w:val="21"/>
        </w:rPr>
        <w:t>In </w:t>
      </w:r>
      <w:r>
        <w:rPr>
          <w:spacing w:val="-3"/>
          <w:w w:val="105"/>
          <w:sz w:val="21"/>
        </w:rPr>
        <w:t>recognition </w:t>
      </w:r>
      <w:r>
        <w:rPr>
          <w:w w:val="105"/>
          <w:sz w:val="21"/>
        </w:rPr>
        <w:t>of the benefits of </w:t>
      </w:r>
      <w:r>
        <w:rPr>
          <w:spacing w:val="-3"/>
          <w:w w:val="105"/>
          <w:sz w:val="21"/>
        </w:rPr>
        <w:t>retaining </w:t>
      </w:r>
      <w:r>
        <w:rPr>
          <w:w w:val="105"/>
          <w:sz w:val="21"/>
        </w:rPr>
        <w:t>trees, </w:t>
      </w:r>
      <w:r>
        <w:rPr>
          <w:spacing w:val="-3"/>
          <w:w w:val="105"/>
          <w:sz w:val="21"/>
        </w:rPr>
        <w:t>councils are increasingly incorporating </w:t>
      </w:r>
      <w:r>
        <w:rPr>
          <w:w w:val="105"/>
          <w:sz w:val="21"/>
        </w:rPr>
        <w:t>endorsed landscape </w:t>
      </w:r>
      <w:r>
        <w:rPr>
          <w:spacing w:val="-3"/>
          <w:w w:val="105"/>
          <w:sz w:val="21"/>
        </w:rPr>
        <w:t>plans </w:t>
      </w:r>
      <w:r>
        <w:rPr>
          <w:spacing w:val="-4"/>
          <w:w w:val="105"/>
          <w:sz w:val="21"/>
        </w:rPr>
        <w:t>into </w:t>
      </w:r>
      <w:r>
        <w:rPr>
          <w:spacing w:val="-3"/>
          <w:w w:val="105"/>
          <w:sz w:val="21"/>
        </w:rPr>
        <w:t>planning </w:t>
      </w:r>
      <w:r>
        <w:rPr>
          <w:w w:val="105"/>
          <w:sz w:val="21"/>
        </w:rPr>
        <w:t>permits.</w:t>
      </w:r>
      <w:r>
        <w:rPr>
          <w:w w:val="105"/>
          <w:position w:val="7"/>
          <w:sz w:val="12"/>
        </w:rPr>
        <w:t>307 </w:t>
      </w:r>
      <w:r>
        <w:rPr>
          <w:w w:val="105"/>
          <w:sz w:val="21"/>
        </w:rPr>
        <w:t>This </w:t>
      </w:r>
      <w:r>
        <w:rPr>
          <w:spacing w:val="-3"/>
          <w:w w:val="105"/>
          <w:sz w:val="21"/>
        </w:rPr>
        <w:t>means that </w:t>
      </w:r>
      <w:r>
        <w:rPr>
          <w:w w:val="105"/>
          <w:sz w:val="21"/>
        </w:rPr>
        <w:t>it </w:t>
      </w:r>
      <w:r>
        <w:rPr>
          <w:spacing w:val="-3"/>
          <w:w w:val="105"/>
          <w:sz w:val="21"/>
        </w:rPr>
        <w:t>may </w:t>
      </w:r>
      <w:r>
        <w:rPr>
          <w:w w:val="105"/>
          <w:sz w:val="21"/>
        </w:rPr>
        <w:t>become more </w:t>
      </w:r>
      <w:r>
        <w:rPr>
          <w:spacing w:val="-2"/>
          <w:w w:val="105"/>
          <w:sz w:val="21"/>
        </w:rPr>
        <w:t>common </w:t>
      </w:r>
      <w:r>
        <w:rPr>
          <w:spacing w:val="-3"/>
          <w:w w:val="105"/>
          <w:sz w:val="21"/>
        </w:rPr>
        <w:t>for </w:t>
      </w:r>
      <w:r>
        <w:rPr>
          <w:w w:val="105"/>
          <w:sz w:val="21"/>
        </w:rPr>
        <w:t>trees </w:t>
      </w:r>
      <w:r>
        <w:rPr>
          <w:spacing w:val="-3"/>
          <w:w w:val="105"/>
          <w:sz w:val="21"/>
        </w:rPr>
        <w:t>to </w:t>
      </w:r>
      <w:r>
        <w:rPr>
          <w:w w:val="105"/>
          <w:sz w:val="21"/>
        </w:rPr>
        <w:t>be </w:t>
      </w:r>
      <w:r>
        <w:rPr>
          <w:spacing w:val="-3"/>
          <w:w w:val="105"/>
          <w:sz w:val="21"/>
        </w:rPr>
        <w:t>planted </w:t>
      </w:r>
      <w:r>
        <w:rPr>
          <w:w w:val="105"/>
          <w:sz w:val="21"/>
        </w:rPr>
        <w:t>and </w:t>
      </w:r>
      <w:r>
        <w:rPr>
          <w:spacing w:val="-3"/>
          <w:w w:val="105"/>
          <w:sz w:val="21"/>
        </w:rPr>
        <w:t>maintained </w:t>
      </w:r>
      <w:r>
        <w:rPr>
          <w:w w:val="105"/>
          <w:sz w:val="21"/>
        </w:rPr>
        <w:t>as a </w:t>
      </w:r>
      <w:r>
        <w:rPr>
          <w:spacing w:val="-3"/>
          <w:w w:val="105"/>
          <w:sz w:val="21"/>
        </w:rPr>
        <w:t>requirement </w:t>
      </w:r>
      <w:r>
        <w:rPr>
          <w:w w:val="105"/>
          <w:sz w:val="21"/>
        </w:rPr>
        <w:t>of </w:t>
      </w:r>
      <w:r>
        <w:rPr>
          <w:spacing w:val="-3"/>
          <w:w w:val="105"/>
          <w:sz w:val="21"/>
        </w:rPr>
        <w:t>planning </w:t>
      </w:r>
      <w:r>
        <w:rPr>
          <w:w w:val="105"/>
          <w:sz w:val="21"/>
        </w:rPr>
        <w:t>permits. These permit </w:t>
      </w:r>
      <w:r>
        <w:rPr>
          <w:spacing w:val="-3"/>
          <w:w w:val="105"/>
          <w:sz w:val="21"/>
        </w:rPr>
        <w:t>requirements may </w:t>
      </w:r>
      <w:r>
        <w:rPr>
          <w:w w:val="105"/>
          <w:sz w:val="21"/>
        </w:rPr>
        <w:t>operate </w:t>
      </w:r>
      <w:r>
        <w:rPr>
          <w:spacing w:val="-3"/>
          <w:w w:val="105"/>
          <w:sz w:val="21"/>
        </w:rPr>
        <w:t>to facilitate </w:t>
      </w:r>
      <w:r>
        <w:rPr>
          <w:w w:val="105"/>
          <w:sz w:val="21"/>
        </w:rPr>
        <w:t>the resolution of tree </w:t>
      </w:r>
      <w:r>
        <w:rPr>
          <w:spacing w:val="-3"/>
          <w:w w:val="105"/>
          <w:sz w:val="21"/>
        </w:rPr>
        <w:t>disputes, for </w:t>
      </w:r>
      <w:r>
        <w:rPr>
          <w:w w:val="105"/>
          <w:sz w:val="21"/>
        </w:rPr>
        <w:t>example by </w:t>
      </w:r>
      <w:r>
        <w:rPr>
          <w:spacing w:val="-3"/>
          <w:w w:val="105"/>
          <w:sz w:val="21"/>
        </w:rPr>
        <w:t>compelling </w:t>
      </w:r>
      <w:r>
        <w:rPr>
          <w:w w:val="105"/>
          <w:sz w:val="21"/>
        </w:rPr>
        <w:t>a landowner </w:t>
      </w:r>
      <w:r>
        <w:rPr>
          <w:spacing w:val="-3"/>
          <w:w w:val="105"/>
          <w:sz w:val="21"/>
        </w:rPr>
        <w:t>to </w:t>
      </w:r>
      <w:r>
        <w:rPr>
          <w:w w:val="105"/>
          <w:sz w:val="21"/>
        </w:rPr>
        <w:t>comply with </w:t>
      </w:r>
      <w:r>
        <w:rPr>
          <w:spacing w:val="-3"/>
          <w:w w:val="105"/>
          <w:sz w:val="21"/>
        </w:rPr>
        <w:t>landscaping maintenance conditions. Alternatively, </w:t>
      </w:r>
      <w:r>
        <w:rPr>
          <w:w w:val="105"/>
          <w:sz w:val="21"/>
        </w:rPr>
        <w:t>they </w:t>
      </w:r>
      <w:r>
        <w:rPr>
          <w:spacing w:val="-3"/>
          <w:w w:val="105"/>
          <w:sz w:val="21"/>
        </w:rPr>
        <w:t>may limit </w:t>
      </w:r>
      <w:r>
        <w:rPr>
          <w:w w:val="105"/>
          <w:sz w:val="21"/>
        </w:rPr>
        <w:t>the ability of an affected </w:t>
      </w:r>
      <w:r>
        <w:rPr>
          <w:spacing w:val="-3"/>
          <w:w w:val="105"/>
          <w:sz w:val="21"/>
        </w:rPr>
        <w:t>neighbour to </w:t>
      </w:r>
      <w:r>
        <w:rPr>
          <w:w w:val="105"/>
          <w:sz w:val="21"/>
        </w:rPr>
        <w:t>obtain a remedy if an </w:t>
      </w:r>
      <w:r>
        <w:rPr>
          <w:spacing w:val="-3"/>
          <w:w w:val="105"/>
          <w:sz w:val="21"/>
        </w:rPr>
        <w:t>amendment to </w:t>
      </w:r>
      <w:r>
        <w:rPr>
          <w:w w:val="105"/>
          <w:sz w:val="21"/>
        </w:rPr>
        <w:t>an existing permit is</w:t>
      </w:r>
      <w:r>
        <w:rPr>
          <w:spacing w:val="32"/>
          <w:w w:val="105"/>
          <w:sz w:val="21"/>
        </w:rPr>
        <w:t> </w:t>
      </w:r>
      <w:r>
        <w:rPr>
          <w:w w:val="105"/>
          <w:sz w:val="21"/>
        </w:rPr>
        <w:t>needed.</w:t>
      </w:r>
    </w:p>
    <w:p>
      <w:pPr>
        <w:pStyle w:val="Heading7"/>
        <w:spacing w:before="158"/>
      </w:pPr>
      <w:r>
        <w:rPr>
          <w:color w:val="58595B"/>
          <w:w w:val="115"/>
        </w:rPr>
        <w:t>Enforcing permit conditions</w:t>
      </w:r>
    </w:p>
    <w:p>
      <w:pPr>
        <w:pStyle w:val="ListParagraph"/>
        <w:numPr>
          <w:ilvl w:val="0"/>
          <w:numId w:val="173"/>
        </w:numPr>
        <w:tabs>
          <w:tab w:pos="2382" w:val="left" w:leader="none"/>
        </w:tabs>
        <w:spacing w:line="242" w:lineRule="auto" w:before="143" w:after="0"/>
        <w:ind w:left="2381" w:right="1587" w:hanging="794"/>
        <w:jc w:val="left"/>
        <w:rPr>
          <w:sz w:val="21"/>
        </w:rPr>
      </w:pPr>
      <w:r>
        <w:rPr>
          <w:w w:val="105"/>
          <w:sz w:val="21"/>
        </w:rPr>
        <w:t>Section </w:t>
      </w:r>
      <w:r>
        <w:rPr>
          <w:spacing w:val="-13"/>
          <w:w w:val="105"/>
          <w:sz w:val="21"/>
        </w:rPr>
        <w:t>114 </w:t>
      </w:r>
      <w:r>
        <w:rPr>
          <w:w w:val="105"/>
          <w:sz w:val="21"/>
        </w:rPr>
        <w:t>of the </w:t>
      </w:r>
      <w:r>
        <w:rPr>
          <w:spacing w:val="4"/>
          <w:w w:val="105"/>
          <w:sz w:val="21"/>
        </w:rPr>
        <w:t>P&amp;E </w:t>
      </w:r>
      <w:r>
        <w:rPr>
          <w:w w:val="105"/>
          <w:sz w:val="21"/>
        </w:rPr>
        <w:t>Act enables </w:t>
      </w:r>
      <w:r>
        <w:rPr>
          <w:spacing w:val="-5"/>
          <w:w w:val="105"/>
          <w:sz w:val="21"/>
        </w:rPr>
        <w:t>VCAT </w:t>
      </w:r>
      <w:r>
        <w:rPr>
          <w:spacing w:val="-3"/>
          <w:w w:val="105"/>
          <w:sz w:val="21"/>
        </w:rPr>
        <w:t>to </w:t>
      </w:r>
      <w:r>
        <w:rPr>
          <w:w w:val="105"/>
          <w:sz w:val="21"/>
        </w:rPr>
        <w:t>issue an </w:t>
      </w:r>
      <w:r>
        <w:rPr>
          <w:spacing w:val="-4"/>
          <w:w w:val="105"/>
          <w:sz w:val="21"/>
        </w:rPr>
        <w:t>‘enforcement </w:t>
      </w:r>
      <w:r>
        <w:rPr>
          <w:w w:val="105"/>
          <w:sz w:val="21"/>
        </w:rPr>
        <w:t>order’ on the application</w:t>
      </w:r>
      <w:r>
        <w:rPr>
          <w:spacing w:val="-7"/>
          <w:w w:val="105"/>
          <w:sz w:val="21"/>
        </w:rPr>
        <w:t> </w:t>
      </w:r>
      <w:r>
        <w:rPr>
          <w:w w:val="105"/>
          <w:sz w:val="21"/>
        </w:rPr>
        <w:t>of</w:t>
      </w:r>
      <w:r>
        <w:rPr>
          <w:spacing w:val="-7"/>
          <w:w w:val="105"/>
          <w:sz w:val="21"/>
        </w:rPr>
        <w:t> </w:t>
      </w:r>
      <w:r>
        <w:rPr>
          <w:spacing w:val="-3"/>
          <w:w w:val="105"/>
          <w:sz w:val="21"/>
        </w:rPr>
        <w:t>any</w:t>
      </w:r>
      <w:r>
        <w:rPr>
          <w:spacing w:val="-7"/>
          <w:w w:val="105"/>
          <w:sz w:val="21"/>
        </w:rPr>
        <w:t> </w:t>
      </w:r>
      <w:r>
        <w:rPr>
          <w:w w:val="105"/>
          <w:sz w:val="21"/>
        </w:rPr>
        <w:t>person</w:t>
      </w:r>
      <w:r>
        <w:rPr>
          <w:spacing w:val="-7"/>
          <w:w w:val="105"/>
          <w:sz w:val="21"/>
        </w:rPr>
        <w:t> </w:t>
      </w:r>
      <w:r>
        <w:rPr>
          <w:w w:val="105"/>
          <w:sz w:val="21"/>
        </w:rPr>
        <w:t>if</w:t>
      </w:r>
      <w:r>
        <w:rPr>
          <w:spacing w:val="-7"/>
          <w:w w:val="105"/>
          <w:sz w:val="21"/>
        </w:rPr>
        <w:t> </w:t>
      </w:r>
      <w:r>
        <w:rPr>
          <w:w w:val="105"/>
          <w:sz w:val="21"/>
        </w:rPr>
        <w:t>a</w:t>
      </w:r>
      <w:r>
        <w:rPr>
          <w:spacing w:val="-7"/>
          <w:w w:val="105"/>
          <w:sz w:val="21"/>
        </w:rPr>
        <w:t> </w:t>
      </w:r>
      <w:r>
        <w:rPr>
          <w:w w:val="105"/>
          <w:sz w:val="21"/>
        </w:rPr>
        <w:t>use</w:t>
      </w:r>
      <w:r>
        <w:rPr>
          <w:spacing w:val="-7"/>
          <w:w w:val="105"/>
          <w:sz w:val="21"/>
        </w:rPr>
        <w:t> </w:t>
      </w:r>
      <w:r>
        <w:rPr>
          <w:w w:val="105"/>
          <w:sz w:val="21"/>
        </w:rPr>
        <w:t>or</w:t>
      </w:r>
      <w:r>
        <w:rPr>
          <w:spacing w:val="-7"/>
          <w:w w:val="105"/>
          <w:sz w:val="21"/>
        </w:rPr>
        <w:t> </w:t>
      </w:r>
      <w:r>
        <w:rPr>
          <w:w w:val="105"/>
          <w:sz w:val="21"/>
        </w:rPr>
        <w:t>development</w:t>
      </w:r>
      <w:r>
        <w:rPr>
          <w:spacing w:val="-7"/>
          <w:w w:val="105"/>
          <w:sz w:val="21"/>
        </w:rPr>
        <w:t> </w:t>
      </w:r>
      <w:r>
        <w:rPr>
          <w:w w:val="105"/>
          <w:sz w:val="21"/>
        </w:rPr>
        <w:t>of</w:t>
      </w:r>
      <w:r>
        <w:rPr>
          <w:spacing w:val="-7"/>
          <w:w w:val="105"/>
          <w:sz w:val="21"/>
        </w:rPr>
        <w:t> </w:t>
      </w:r>
      <w:r>
        <w:rPr>
          <w:spacing w:val="-3"/>
          <w:w w:val="105"/>
          <w:sz w:val="21"/>
        </w:rPr>
        <w:t>land</w:t>
      </w:r>
      <w:r>
        <w:rPr>
          <w:spacing w:val="-7"/>
          <w:w w:val="105"/>
          <w:sz w:val="21"/>
        </w:rPr>
        <w:t> </w:t>
      </w:r>
      <w:r>
        <w:rPr>
          <w:spacing w:val="-3"/>
          <w:w w:val="105"/>
          <w:sz w:val="21"/>
        </w:rPr>
        <w:t>contravenes</w:t>
      </w:r>
      <w:r>
        <w:rPr>
          <w:spacing w:val="-7"/>
          <w:w w:val="105"/>
          <w:sz w:val="21"/>
        </w:rPr>
        <w:t> </w:t>
      </w:r>
      <w:r>
        <w:rPr>
          <w:w w:val="105"/>
          <w:sz w:val="21"/>
        </w:rPr>
        <w:t>or</w:t>
      </w:r>
      <w:r>
        <w:rPr>
          <w:spacing w:val="-7"/>
          <w:w w:val="105"/>
          <w:sz w:val="21"/>
        </w:rPr>
        <w:t> </w:t>
      </w:r>
      <w:r>
        <w:rPr>
          <w:spacing w:val="-2"/>
          <w:w w:val="105"/>
          <w:sz w:val="21"/>
        </w:rPr>
        <w:t>has</w:t>
      </w:r>
      <w:r>
        <w:rPr>
          <w:spacing w:val="-7"/>
          <w:w w:val="105"/>
          <w:sz w:val="21"/>
        </w:rPr>
        <w:t> </w:t>
      </w:r>
      <w:r>
        <w:rPr>
          <w:spacing w:val="-3"/>
          <w:w w:val="105"/>
          <w:sz w:val="21"/>
        </w:rPr>
        <w:t>contravened, </w:t>
      </w:r>
      <w:r>
        <w:rPr>
          <w:w w:val="105"/>
          <w:sz w:val="21"/>
        </w:rPr>
        <w:t>or unless </w:t>
      </w:r>
      <w:r>
        <w:rPr>
          <w:spacing w:val="-3"/>
          <w:w w:val="105"/>
          <w:sz w:val="21"/>
        </w:rPr>
        <w:t>prevented </w:t>
      </w:r>
      <w:r>
        <w:rPr>
          <w:w w:val="105"/>
          <w:sz w:val="21"/>
        </w:rPr>
        <w:t>by the </w:t>
      </w:r>
      <w:r>
        <w:rPr>
          <w:spacing w:val="-3"/>
          <w:w w:val="105"/>
          <w:sz w:val="21"/>
        </w:rPr>
        <w:t>enforcement </w:t>
      </w:r>
      <w:r>
        <w:rPr>
          <w:spacing w:val="-4"/>
          <w:w w:val="105"/>
          <w:sz w:val="21"/>
        </w:rPr>
        <w:t>order, </w:t>
      </w:r>
      <w:r>
        <w:rPr>
          <w:spacing w:val="-3"/>
          <w:w w:val="105"/>
          <w:sz w:val="21"/>
        </w:rPr>
        <w:t>will</w:t>
      </w:r>
      <w:r>
        <w:rPr>
          <w:spacing w:val="34"/>
          <w:w w:val="105"/>
          <w:sz w:val="21"/>
        </w:rPr>
        <w:t> </w:t>
      </w:r>
      <w:r>
        <w:rPr>
          <w:spacing w:val="-3"/>
          <w:w w:val="105"/>
          <w:sz w:val="21"/>
        </w:rPr>
        <w:t>contravene:</w:t>
      </w:r>
    </w:p>
    <w:p>
      <w:pPr>
        <w:pStyle w:val="ListParagraph"/>
        <w:numPr>
          <w:ilvl w:val="1"/>
          <w:numId w:val="173"/>
        </w:numPr>
        <w:tabs>
          <w:tab w:pos="2721" w:val="left" w:leader="none"/>
          <w:tab w:pos="2722" w:val="left" w:leader="none"/>
        </w:tabs>
        <w:spacing w:line="240" w:lineRule="auto" w:before="123" w:after="0"/>
        <w:ind w:left="2721" w:right="0" w:hanging="340"/>
        <w:jc w:val="left"/>
        <w:rPr>
          <w:sz w:val="21"/>
        </w:rPr>
      </w:pPr>
      <w:r>
        <w:rPr>
          <w:sz w:val="21"/>
        </w:rPr>
        <w:t>the </w:t>
      </w:r>
      <w:r>
        <w:rPr>
          <w:spacing w:val="4"/>
          <w:sz w:val="21"/>
        </w:rPr>
        <w:t>P&amp;E</w:t>
      </w:r>
      <w:r>
        <w:rPr>
          <w:spacing w:val="16"/>
          <w:sz w:val="21"/>
        </w:rPr>
        <w:t> </w:t>
      </w:r>
      <w:r>
        <w:rPr>
          <w:sz w:val="21"/>
        </w:rPr>
        <w:t>Act</w:t>
      </w:r>
    </w:p>
    <w:p>
      <w:pPr>
        <w:pStyle w:val="ListParagraph"/>
        <w:numPr>
          <w:ilvl w:val="1"/>
          <w:numId w:val="173"/>
        </w:numPr>
        <w:tabs>
          <w:tab w:pos="2721" w:val="left" w:leader="none"/>
          <w:tab w:pos="2722" w:val="left" w:leader="none"/>
        </w:tabs>
        <w:spacing w:line="240" w:lineRule="auto" w:before="89" w:after="0"/>
        <w:ind w:left="2721" w:right="0" w:hanging="340"/>
        <w:jc w:val="left"/>
        <w:rPr>
          <w:sz w:val="21"/>
        </w:rPr>
      </w:pPr>
      <w:r>
        <w:rPr>
          <w:w w:val="105"/>
          <w:sz w:val="21"/>
        </w:rPr>
        <w:t>a </w:t>
      </w:r>
      <w:r>
        <w:rPr>
          <w:spacing w:val="-3"/>
          <w:w w:val="105"/>
          <w:sz w:val="21"/>
        </w:rPr>
        <w:t>planning</w:t>
      </w:r>
      <w:r>
        <w:rPr>
          <w:spacing w:val="11"/>
          <w:w w:val="105"/>
          <w:sz w:val="21"/>
        </w:rPr>
        <w:t> </w:t>
      </w:r>
      <w:r>
        <w:rPr>
          <w:w w:val="105"/>
          <w:sz w:val="21"/>
        </w:rPr>
        <w:t>scheme</w:t>
      </w:r>
    </w:p>
    <w:p>
      <w:pPr>
        <w:pStyle w:val="ListParagraph"/>
        <w:numPr>
          <w:ilvl w:val="1"/>
          <w:numId w:val="173"/>
        </w:numPr>
        <w:tabs>
          <w:tab w:pos="2721" w:val="left" w:leader="none"/>
          <w:tab w:pos="2722" w:val="left" w:leader="none"/>
        </w:tabs>
        <w:spacing w:line="240" w:lineRule="auto" w:before="89" w:after="0"/>
        <w:ind w:left="2721" w:right="0" w:hanging="340"/>
        <w:jc w:val="left"/>
        <w:rPr>
          <w:sz w:val="21"/>
        </w:rPr>
      </w:pPr>
      <w:r>
        <w:rPr>
          <w:w w:val="105"/>
          <w:sz w:val="21"/>
        </w:rPr>
        <w:t>a </w:t>
      </w:r>
      <w:r>
        <w:rPr>
          <w:spacing w:val="-3"/>
          <w:w w:val="105"/>
          <w:sz w:val="21"/>
        </w:rPr>
        <w:t>condition </w:t>
      </w:r>
      <w:r>
        <w:rPr>
          <w:w w:val="105"/>
          <w:sz w:val="21"/>
        </w:rPr>
        <w:t>of a permit,</w:t>
      </w:r>
      <w:r>
        <w:rPr>
          <w:spacing w:val="29"/>
          <w:w w:val="105"/>
          <w:sz w:val="21"/>
        </w:rPr>
        <w:t> </w:t>
      </w:r>
      <w:r>
        <w:rPr>
          <w:w w:val="105"/>
          <w:sz w:val="21"/>
        </w:rPr>
        <w:t>or</w:t>
      </w:r>
    </w:p>
    <w:p>
      <w:pPr>
        <w:pStyle w:val="ListParagraph"/>
        <w:numPr>
          <w:ilvl w:val="1"/>
          <w:numId w:val="173"/>
        </w:numPr>
        <w:tabs>
          <w:tab w:pos="2721" w:val="left" w:leader="none"/>
          <w:tab w:pos="2722" w:val="left" w:leader="none"/>
        </w:tabs>
        <w:spacing w:line="240" w:lineRule="auto" w:before="88" w:after="0"/>
        <w:ind w:left="2721" w:right="0" w:hanging="340"/>
        <w:jc w:val="left"/>
        <w:rPr>
          <w:sz w:val="21"/>
        </w:rPr>
      </w:pPr>
      <w:r>
        <w:rPr>
          <w:w w:val="105"/>
          <w:sz w:val="21"/>
        </w:rPr>
        <w:t>an </w:t>
      </w:r>
      <w:r>
        <w:rPr>
          <w:spacing w:val="-2"/>
          <w:w w:val="105"/>
          <w:sz w:val="21"/>
        </w:rPr>
        <w:t>agreement </w:t>
      </w:r>
      <w:r>
        <w:rPr>
          <w:w w:val="105"/>
          <w:sz w:val="21"/>
        </w:rPr>
        <w:t>made under section</w:t>
      </w:r>
      <w:r>
        <w:rPr>
          <w:spacing w:val="28"/>
          <w:w w:val="105"/>
          <w:sz w:val="21"/>
        </w:rPr>
        <w:t> </w:t>
      </w:r>
      <w:r>
        <w:rPr>
          <w:spacing w:val="-7"/>
          <w:w w:val="105"/>
          <w:sz w:val="21"/>
        </w:rPr>
        <w:t>173.</w:t>
      </w:r>
    </w:p>
    <w:p>
      <w:pPr>
        <w:pStyle w:val="ListParagraph"/>
        <w:numPr>
          <w:ilvl w:val="0"/>
          <w:numId w:val="173"/>
        </w:numPr>
        <w:tabs>
          <w:tab w:pos="2382" w:val="left" w:leader="none"/>
        </w:tabs>
        <w:spacing w:line="242" w:lineRule="auto" w:before="89" w:after="0"/>
        <w:ind w:left="2381" w:right="1751" w:hanging="794"/>
        <w:jc w:val="left"/>
        <w:rPr>
          <w:sz w:val="21"/>
        </w:rPr>
      </w:pPr>
      <w:r>
        <w:rPr>
          <w:w w:val="105"/>
          <w:sz w:val="21"/>
        </w:rPr>
        <w:t>Parties can pursue the </w:t>
      </w:r>
      <w:r>
        <w:rPr>
          <w:spacing w:val="-3"/>
          <w:w w:val="105"/>
          <w:sz w:val="21"/>
        </w:rPr>
        <w:t>enforcement </w:t>
      </w:r>
      <w:r>
        <w:rPr>
          <w:w w:val="105"/>
          <w:sz w:val="21"/>
        </w:rPr>
        <w:t>of </w:t>
      </w:r>
      <w:r>
        <w:rPr>
          <w:spacing w:val="-3"/>
          <w:w w:val="105"/>
          <w:sz w:val="21"/>
        </w:rPr>
        <w:t>planning </w:t>
      </w:r>
      <w:r>
        <w:rPr>
          <w:w w:val="105"/>
          <w:sz w:val="21"/>
        </w:rPr>
        <w:t>permit </w:t>
      </w:r>
      <w:r>
        <w:rPr>
          <w:spacing w:val="-3"/>
          <w:w w:val="105"/>
          <w:sz w:val="21"/>
        </w:rPr>
        <w:t>conditions through </w:t>
      </w:r>
      <w:r>
        <w:rPr>
          <w:w w:val="105"/>
          <w:sz w:val="21"/>
        </w:rPr>
        <w:t>the </w:t>
      </w:r>
      <w:r>
        <w:rPr>
          <w:spacing w:val="-3"/>
          <w:w w:val="105"/>
          <w:sz w:val="21"/>
        </w:rPr>
        <w:t>relevant </w:t>
      </w:r>
      <w:r>
        <w:rPr>
          <w:w w:val="105"/>
          <w:sz w:val="21"/>
        </w:rPr>
        <w:t>authority </w:t>
      </w:r>
      <w:r>
        <w:rPr>
          <w:spacing w:val="-3"/>
          <w:w w:val="105"/>
          <w:sz w:val="21"/>
        </w:rPr>
        <w:t>and, </w:t>
      </w:r>
      <w:r>
        <w:rPr>
          <w:w w:val="105"/>
          <w:sz w:val="21"/>
        </w:rPr>
        <w:t>if need </w:t>
      </w:r>
      <w:r>
        <w:rPr>
          <w:spacing w:val="-3"/>
          <w:w w:val="105"/>
          <w:sz w:val="21"/>
        </w:rPr>
        <w:t>be, </w:t>
      </w:r>
      <w:r>
        <w:rPr>
          <w:w w:val="105"/>
          <w:sz w:val="21"/>
        </w:rPr>
        <w:t>under the </w:t>
      </w:r>
      <w:r>
        <w:rPr>
          <w:spacing w:val="4"/>
          <w:w w:val="105"/>
          <w:sz w:val="21"/>
        </w:rPr>
        <w:t>P&amp;E </w:t>
      </w:r>
      <w:r>
        <w:rPr>
          <w:w w:val="105"/>
          <w:sz w:val="21"/>
        </w:rPr>
        <w:t>Act at </w:t>
      </w:r>
      <w:r>
        <w:rPr>
          <w:spacing w:val="-7"/>
          <w:w w:val="105"/>
          <w:sz w:val="21"/>
        </w:rPr>
        <w:t>VCAT</w:t>
      </w:r>
      <w:r>
        <w:rPr>
          <w:b/>
          <w:spacing w:val="-7"/>
          <w:w w:val="105"/>
          <w:sz w:val="21"/>
        </w:rPr>
        <w:t>. </w:t>
      </w:r>
      <w:r>
        <w:rPr>
          <w:spacing w:val="-3"/>
          <w:w w:val="105"/>
          <w:sz w:val="21"/>
        </w:rPr>
        <w:t>Many disputes </w:t>
      </w:r>
      <w:r>
        <w:rPr>
          <w:w w:val="105"/>
          <w:sz w:val="21"/>
        </w:rPr>
        <w:t>about landscape </w:t>
      </w:r>
      <w:r>
        <w:rPr>
          <w:spacing w:val="-3"/>
          <w:w w:val="105"/>
          <w:sz w:val="21"/>
        </w:rPr>
        <w:t>plans</w:t>
      </w:r>
      <w:r>
        <w:rPr>
          <w:spacing w:val="-6"/>
          <w:w w:val="105"/>
          <w:sz w:val="21"/>
        </w:rPr>
        <w:t> </w:t>
      </w:r>
      <w:r>
        <w:rPr>
          <w:spacing w:val="-3"/>
          <w:w w:val="105"/>
          <w:sz w:val="21"/>
        </w:rPr>
        <w:t>may</w:t>
      </w:r>
      <w:r>
        <w:rPr>
          <w:spacing w:val="-5"/>
          <w:w w:val="105"/>
          <w:sz w:val="21"/>
        </w:rPr>
        <w:t> </w:t>
      </w:r>
      <w:r>
        <w:rPr>
          <w:w w:val="105"/>
          <w:sz w:val="21"/>
        </w:rPr>
        <w:t>be</w:t>
      </w:r>
      <w:r>
        <w:rPr>
          <w:spacing w:val="-5"/>
          <w:w w:val="105"/>
          <w:sz w:val="21"/>
        </w:rPr>
        <w:t> </w:t>
      </w:r>
      <w:r>
        <w:rPr>
          <w:w w:val="105"/>
          <w:sz w:val="21"/>
        </w:rPr>
        <w:t>able</w:t>
      </w:r>
      <w:r>
        <w:rPr>
          <w:spacing w:val="-5"/>
          <w:w w:val="105"/>
          <w:sz w:val="21"/>
        </w:rPr>
        <w:t> </w:t>
      </w:r>
      <w:r>
        <w:rPr>
          <w:spacing w:val="-3"/>
          <w:w w:val="105"/>
          <w:sz w:val="21"/>
        </w:rPr>
        <w:t>to</w:t>
      </w:r>
      <w:r>
        <w:rPr>
          <w:spacing w:val="-5"/>
          <w:w w:val="105"/>
          <w:sz w:val="21"/>
        </w:rPr>
        <w:t> </w:t>
      </w:r>
      <w:r>
        <w:rPr>
          <w:w w:val="105"/>
          <w:sz w:val="21"/>
        </w:rPr>
        <w:t>be</w:t>
      </w:r>
      <w:r>
        <w:rPr>
          <w:spacing w:val="-5"/>
          <w:w w:val="105"/>
          <w:sz w:val="21"/>
        </w:rPr>
        <w:t> </w:t>
      </w:r>
      <w:r>
        <w:rPr>
          <w:w w:val="105"/>
          <w:sz w:val="21"/>
        </w:rPr>
        <w:t>resolved</w:t>
      </w:r>
      <w:r>
        <w:rPr>
          <w:spacing w:val="-6"/>
          <w:w w:val="105"/>
          <w:sz w:val="21"/>
        </w:rPr>
        <w:t> </w:t>
      </w:r>
      <w:r>
        <w:rPr>
          <w:spacing w:val="-3"/>
          <w:w w:val="105"/>
          <w:sz w:val="21"/>
        </w:rPr>
        <w:t>through</w:t>
      </w:r>
      <w:r>
        <w:rPr>
          <w:spacing w:val="-5"/>
          <w:w w:val="105"/>
          <w:sz w:val="21"/>
        </w:rPr>
        <w:t> </w:t>
      </w:r>
      <w:r>
        <w:rPr>
          <w:w w:val="105"/>
          <w:sz w:val="21"/>
        </w:rPr>
        <w:t>the</w:t>
      </w:r>
      <w:r>
        <w:rPr>
          <w:spacing w:val="-5"/>
          <w:w w:val="105"/>
          <w:sz w:val="21"/>
        </w:rPr>
        <w:t> </w:t>
      </w:r>
      <w:r>
        <w:rPr>
          <w:w w:val="105"/>
          <w:sz w:val="21"/>
        </w:rPr>
        <w:t>local</w:t>
      </w:r>
      <w:r>
        <w:rPr>
          <w:spacing w:val="-5"/>
          <w:w w:val="105"/>
          <w:sz w:val="21"/>
        </w:rPr>
        <w:t> </w:t>
      </w:r>
      <w:r>
        <w:rPr>
          <w:spacing w:val="-3"/>
          <w:w w:val="105"/>
          <w:sz w:val="21"/>
        </w:rPr>
        <w:t>council</w:t>
      </w:r>
      <w:r>
        <w:rPr>
          <w:spacing w:val="-5"/>
          <w:w w:val="105"/>
          <w:sz w:val="21"/>
        </w:rPr>
        <w:t> </w:t>
      </w:r>
      <w:r>
        <w:rPr>
          <w:w w:val="105"/>
          <w:sz w:val="21"/>
        </w:rPr>
        <w:t>if</w:t>
      </w:r>
      <w:r>
        <w:rPr>
          <w:spacing w:val="-5"/>
          <w:w w:val="105"/>
          <w:sz w:val="21"/>
        </w:rPr>
        <w:t> </w:t>
      </w:r>
      <w:r>
        <w:rPr>
          <w:w w:val="105"/>
          <w:sz w:val="21"/>
        </w:rPr>
        <w:t>they</w:t>
      </w:r>
      <w:r>
        <w:rPr>
          <w:spacing w:val="-5"/>
          <w:w w:val="105"/>
          <w:sz w:val="21"/>
        </w:rPr>
        <w:t> </w:t>
      </w:r>
      <w:r>
        <w:rPr>
          <w:spacing w:val="-3"/>
          <w:w w:val="105"/>
          <w:sz w:val="21"/>
        </w:rPr>
        <w:t>are</w:t>
      </w:r>
      <w:r>
        <w:rPr>
          <w:spacing w:val="-6"/>
          <w:w w:val="105"/>
          <w:sz w:val="21"/>
        </w:rPr>
        <w:t> </w:t>
      </w:r>
      <w:r>
        <w:rPr>
          <w:w w:val="105"/>
          <w:sz w:val="21"/>
        </w:rPr>
        <w:t>solely</w:t>
      </w:r>
      <w:r>
        <w:rPr>
          <w:spacing w:val="-5"/>
          <w:w w:val="105"/>
          <w:sz w:val="21"/>
        </w:rPr>
        <w:t> </w:t>
      </w:r>
      <w:r>
        <w:rPr>
          <w:w w:val="105"/>
          <w:sz w:val="21"/>
        </w:rPr>
        <w:t>about</w:t>
      </w:r>
      <w:r>
        <w:rPr>
          <w:spacing w:val="-5"/>
          <w:w w:val="105"/>
          <w:sz w:val="21"/>
        </w:rPr>
        <w:t> </w:t>
      </w:r>
      <w:r>
        <w:rPr>
          <w:w w:val="105"/>
          <w:sz w:val="21"/>
        </w:rPr>
        <w:t>a</w:t>
      </w:r>
      <w:r>
        <w:rPr>
          <w:spacing w:val="-5"/>
          <w:w w:val="105"/>
          <w:sz w:val="21"/>
        </w:rPr>
        <w:t> </w:t>
      </w:r>
      <w:r>
        <w:rPr>
          <w:w w:val="105"/>
          <w:sz w:val="21"/>
        </w:rPr>
        <w:t>tree owner</w:t>
      </w:r>
      <w:r>
        <w:rPr>
          <w:spacing w:val="-5"/>
          <w:w w:val="105"/>
          <w:sz w:val="21"/>
        </w:rPr>
        <w:t> </w:t>
      </w:r>
      <w:r>
        <w:rPr>
          <w:spacing w:val="-2"/>
          <w:w w:val="105"/>
          <w:sz w:val="21"/>
        </w:rPr>
        <w:t>not</w:t>
      </w:r>
      <w:r>
        <w:rPr>
          <w:spacing w:val="-4"/>
          <w:w w:val="105"/>
          <w:sz w:val="21"/>
        </w:rPr>
        <w:t> </w:t>
      </w:r>
      <w:r>
        <w:rPr>
          <w:w w:val="105"/>
          <w:sz w:val="21"/>
        </w:rPr>
        <w:t>properly</w:t>
      </w:r>
      <w:r>
        <w:rPr>
          <w:spacing w:val="-5"/>
          <w:w w:val="105"/>
          <w:sz w:val="21"/>
        </w:rPr>
        <w:t> </w:t>
      </w:r>
      <w:r>
        <w:rPr>
          <w:spacing w:val="-3"/>
          <w:w w:val="105"/>
          <w:sz w:val="21"/>
        </w:rPr>
        <w:t>maintaining</w:t>
      </w:r>
      <w:r>
        <w:rPr>
          <w:spacing w:val="-4"/>
          <w:w w:val="105"/>
          <w:sz w:val="21"/>
        </w:rPr>
        <w:t> </w:t>
      </w:r>
      <w:r>
        <w:rPr>
          <w:w w:val="105"/>
          <w:sz w:val="21"/>
        </w:rPr>
        <w:t>a</w:t>
      </w:r>
      <w:r>
        <w:rPr>
          <w:spacing w:val="-5"/>
          <w:w w:val="105"/>
          <w:sz w:val="21"/>
        </w:rPr>
        <w:t> </w:t>
      </w:r>
      <w:r>
        <w:rPr>
          <w:w w:val="105"/>
          <w:sz w:val="21"/>
        </w:rPr>
        <w:t>tree</w:t>
      </w:r>
      <w:r>
        <w:rPr>
          <w:spacing w:val="-4"/>
          <w:w w:val="105"/>
          <w:sz w:val="21"/>
        </w:rPr>
        <w:t> </w:t>
      </w:r>
      <w:r>
        <w:rPr>
          <w:w w:val="105"/>
          <w:sz w:val="21"/>
        </w:rPr>
        <w:t>where</w:t>
      </w:r>
      <w:r>
        <w:rPr>
          <w:spacing w:val="-5"/>
          <w:w w:val="105"/>
          <w:sz w:val="21"/>
        </w:rPr>
        <w:t> </w:t>
      </w:r>
      <w:r>
        <w:rPr>
          <w:w w:val="105"/>
          <w:sz w:val="21"/>
        </w:rPr>
        <w:t>a</w:t>
      </w:r>
      <w:r>
        <w:rPr>
          <w:spacing w:val="-4"/>
          <w:w w:val="105"/>
          <w:sz w:val="21"/>
        </w:rPr>
        <w:t> </w:t>
      </w:r>
      <w:r>
        <w:rPr>
          <w:spacing w:val="-3"/>
          <w:w w:val="105"/>
          <w:sz w:val="21"/>
        </w:rPr>
        <w:t>landscaping</w:t>
      </w:r>
      <w:r>
        <w:rPr>
          <w:spacing w:val="-5"/>
          <w:w w:val="105"/>
          <w:sz w:val="21"/>
        </w:rPr>
        <w:t> </w:t>
      </w:r>
      <w:r>
        <w:rPr>
          <w:w w:val="105"/>
          <w:sz w:val="21"/>
        </w:rPr>
        <w:t>plan</w:t>
      </w:r>
      <w:r>
        <w:rPr>
          <w:spacing w:val="-4"/>
          <w:w w:val="105"/>
          <w:sz w:val="21"/>
        </w:rPr>
        <w:t> </w:t>
      </w:r>
      <w:r>
        <w:rPr>
          <w:spacing w:val="-3"/>
          <w:w w:val="105"/>
          <w:sz w:val="21"/>
        </w:rPr>
        <w:t>requires</w:t>
      </w:r>
      <w:r>
        <w:rPr>
          <w:spacing w:val="-5"/>
          <w:w w:val="105"/>
          <w:sz w:val="21"/>
        </w:rPr>
        <w:t> </w:t>
      </w:r>
      <w:r>
        <w:rPr>
          <w:w w:val="105"/>
          <w:sz w:val="21"/>
        </w:rPr>
        <w:t>them</w:t>
      </w:r>
      <w:r>
        <w:rPr>
          <w:spacing w:val="-4"/>
          <w:w w:val="105"/>
          <w:sz w:val="21"/>
        </w:rPr>
        <w:t> </w:t>
      </w:r>
      <w:r>
        <w:rPr>
          <w:spacing w:val="-3"/>
          <w:w w:val="105"/>
          <w:sz w:val="21"/>
        </w:rPr>
        <w:t>to</w:t>
      </w:r>
      <w:r>
        <w:rPr>
          <w:spacing w:val="-4"/>
          <w:w w:val="105"/>
          <w:sz w:val="21"/>
        </w:rPr>
        <w:t> </w:t>
      </w:r>
      <w:r>
        <w:rPr>
          <w:w w:val="105"/>
          <w:sz w:val="21"/>
        </w:rPr>
        <w:t>do</w:t>
      </w:r>
      <w:r>
        <w:rPr>
          <w:spacing w:val="-5"/>
          <w:w w:val="105"/>
          <w:sz w:val="21"/>
        </w:rPr>
        <w:t> </w:t>
      </w:r>
      <w:r>
        <w:rPr>
          <w:w w:val="105"/>
          <w:sz w:val="21"/>
        </w:rPr>
        <w:t>so.</w:t>
      </w:r>
    </w:p>
    <w:p>
      <w:pPr>
        <w:pStyle w:val="ListParagraph"/>
        <w:numPr>
          <w:ilvl w:val="0"/>
          <w:numId w:val="173"/>
        </w:numPr>
        <w:tabs>
          <w:tab w:pos="2381" w:val="left" w:leader="none"/>
          <w:tab w:pos="2382" w:val="left" w:leader="none"/>
        </w:tabs>
        <w:spacing w:line="242" w:lineRule="auto" w:before="125" w:after="0"/>
        <w:ind w:left="2381" w:right="1728" w:hanging="794"/>
        <w:jc w:val="left"/>
        <w:rPr>
          <w:sz w:val="21"/>
        </w:rPr>
      </w:pPr>
      <w:r>
        <w:rPr>
          <w:sz w:val="21"/>
        </w:rPr>
        <w:t>Section 49 of the </w:t>
      </w:r>
      <w:r>
        <w:rPr>
          <w:spacing w:val="4"/>
          <w:sz w:val="21"/>
        </w:rPr>
        <w:t>P&amp;E </w:t>
      </w:r>
      <w:r>
        <w:rPr>
          <w:sz w:val="21"/>
        </w:rPr>
        <w:t>Act </w:t>
      </w:r>
      <w:r>
        <w:rPr>
          <w:spacing w:val="-3"/>
          <w:sz w:val="21"/>
        </w:rPr>
        <w:t>requires </w:t>
      </w:r>
      <w:r>
        <w:rPr>
          <w:sz w:val="21"/>
        </w:rPr>
        <w:t>the </w:t>
      </w:r>
      <w:r>
        <w:rPr>
          <w:spacing w:val="-3"/>
          <w:sz w:val="21"/>
        </w:rPr>
        <w:t>responsible </w:t>
      </w:r>
      <w:r>
        <w:rPr>
          <w:sz w:val="21"/>
        </w:rPr>
        <w:t>authority </w:t>
      </w:r>
      <w:r>
        <w:rPr>
          <w:spacing w:val="-3"/>
          <w:sz w:val="21"/>
        </w:rPr>
        <w:t>to keep </w:t>
      </w:r>
      <w:r>
        <w:rPr>
          <w:sz w:val="21"/>
        </w:rPr>
        <w:t>a </w:t>
      </w:r>
      <w:r>
        <w:rPr>
          <w:spacing w:val="-3"/>
          <w:sz w:val="21"/>
        </w:rPr>
        <w:t>register </w:t>
      </w:r>
      <w:r>
        <w:rPr>
          <w:spacing w:val="-5"/>
          <w:sz w:val="21"/>
        </w:rPr>
        <w:t>‘of </w:t>
      </w:r>
      <w:r>
        <w:rPr>
          <w:spacing w:val="-3"/>
          <w:sz w:val="21"/>
        </w:rPr>
        <w:t>all applications for </w:t>
      </w:r>
      <w:r>
        <w:rPr>
          <w:sz w:val="21"/>
        </w:rPr>
        <w:t>permits and </w:t>
      </w:r>
      <w:r>
        <w:rPr>
          <w:spacing w:val="-3"/>
          <w:sz w:val="21"/>
        </w:rPr>
        <w:t>all </w:t>
      </w:r>
      <w:r>
        <w:rPr>
          <w:sz w:val="21"/>
        </w:rPr>
        <w:t>decisions and </w:t>
      </w:r>
      <w:r>
        <w:rPr>
          <w:spacing w:val="-3"/>
          <w:sz w:val="21"/>
        </w:rPr>
        <w:t>determinations relating to </w:t>
      </w:r>
      <w:r>
        <w:rPr>
          <w:sz w:val="21"/>
        </w:rPr>
        <w:t>permits’ and this </w:t>
      </w:r>
      <w:r>
        <w:rPr>
          <w:spacing w:val="-3"/>
          <w:sz w:val="21"/>
        </w:rPr>
        <w:t>register </w:t>
      </w:r>
      <w:r>
        <w:rPr>
          <w:sz w:val="21"/>
        </w:rPr>
        <w:t>must be made </w:t>
      </w:r>
      <w:r>
        <w:rPr>
          <w:spacing w:val="-3"/>
          <w:sz w:val="21"/>
        </w:rPr>
        <w:t>available to any </w:t>
      </w:r>
      <w:r>
        <w:rPr>
          <w:sz w:val="21"/>
        </w:rPr>
        <w:t>member of the </w:t>
      </w:r>
      <w:r>
        <w:rPr>
          <w:spacing w:val="-3"/>
          <w:sz w:val="21"/>
        </w:rPr>
        <w:t>public to </w:t>
      </w:r>
      <w:r>
        <w:rPr>
          <w:sz w:val="21"/>
        </w:rPr>
        <w:t>inspect free of </w:t>
      </w:r>
      <w:r>
        <w:rPr>
          <w:spacing w:val="-3"/>
          <w:sz w:val="21"/>
        </w:rPr>
        <w:t>charge. </w:t>
      </w:r>
      <w:r>
        <w:rPr>
          <w:sz w:val="21"/>
        </w:rPr>
        <w:t>Affected neighbours would </w:t>
      </w:r>
      <w:r>
        <w:rPr>
          <w:spacing w:val="-3"/>
          <w:sz w:val="21"/>
        </w:rPr>
        <w:t>therefore </w:t>
      </w:r>
      <w:r>
        <w:rPr>
          <w:sz w:val="21"/>
        </w:rPr>
        <w:t>be able </w:t>
      </w:r>
      <w:r>
        <w:rPr>
          <w:spacing w:val="-3"/>
          <w:sz w:val="21"/>
        </w:rPr>
        <w:t>to </w:t>
      </w:r>
      <w:r>
        <w:rPr>
          <w:sz w:val="21"/>
        </w:rPr>
        <w:t>confirm with their local </w:t>
      </w:r>
      <w:r>
        <w:rPr>
          <w:spacing w:val="-3"/>
          <w:sz w:val="21"/>
        </w:rPr>
        <w:t>council  </w:t>
      </w:r>
      <w:r>
        <w:rPr>
          <w:sz w:val="21"/>
        </w:rPr>
        <w:t>whether  an</w:t>
      </w:r>
      <w:r>
        <w:rPr>
          <w:spacing w:val="10"/>
          <w:sz w:val="21"/>
        </w:rPr>
        <w:t> </w:t>
      </w:r>
      <w:r>
        <w:rPr>
          <w:sz w:val="21"/>
        </w:rPr>
        <w:t>endorsed</w:t>
      </w:r>
      <w:r>
        <w:rPr>
          <w:spacing w:val="10"/>
          <w:sz w:val="21"/>
        </w:rPr>
        <w:t> </w:t>
      </w:r>
      <w:r>
        <w:rPr>
          <w:spacing w:val="-3"/>
          <w:sz w:val="21"/>
        </w:rPr>
        <w:t>landscaping</w:t>
      </w:r>
      <w:r>
        <w:rPr>
          <w:spacing w:val="10"/>
          <w:sz w:val="21"/>
        </w:rPr>
        <w:t> </w:t>
      </w:r>
      <w:r>
        <w:rPr>
          <w:sz w:val="21"/>
        </w:rPr>
        <w:t>plan</w:t>
      </w:r>
      <w:r>
        <w:rPr>
          <w:spacing w:val="10"/>
          <w:sz w:val="21"/>
        </w:rPr>
        <w:t> </w:t>
      </w:r>
      <w:r>
        <w:rPr>
          <w:sz w:val="21"/>
        </w:rPr>
        <w:t>applies</w:t>
      </w:r>
      <w:r>
        <w:rPr>
          <w:spacing w:val="10"/>
          <w:sz w:val="21"/>
        </w:rPr>
        <w:t> </w:t>
      </w:r>
      <w:r>
        <w:rPr>
          <w:spacing w:val="-3"/>
          <w:sz w:val="21"/>
        </w:rPr>
        <w:t>to</w:t>
      </w:r>
      <w:r>
        <w:rPr>
          <w:spacing w:val="10"/>
          <w:sz w:val="21"/>
        </w:rPr>
        <w:t> </w:t>
      </w:r>
      <w:r>
        <w:rPr>
          <w:sz w:val="21"/>
        </w:rPr>
        <w:t>the</w:t>
      </w:r>
      <w:r>
        <w:rPr>
          <w:spacing w:val="10"/>
          <w:sz w:val="21"/>
        </w:rPr>
        <w:t> </w:t>
      </w:r>
      <w:r>
        <w:rPr>
          <w:sz w:val="21"/>
        </w:rPr>
        <w:t>tree</w:t>
      </w:r>
      <w:r>
        <w:rPr>
          <w:spacing w:val="10"/>
          <w:sz w:val="21"/>
        </w:rPr>
        <w:t> </w:t>
      </w:r>
      <w:r>
        <w:rPr>
          <w:sz w:val="21"/>
        </w:rPr>
        <w:t>in</w:t>
      </w:r>
      <w:r>
        <w:rPr>
          <w:spacing w:val="10"/>
          <w:sz w:val="21"/>
        </w:rPr>
        <w:t> </w:t>
      </w:r>
      <w:r>
        <w:rPr>
          <w:spacing w:val="-3"/>
          <w:sz w:val="21"/>
        </w:rPr>
        <w:t>dispute.</w:t>
      </w:r>
    </w:p>
    <w:p>
      <w:pPr>
        <w:pStyle w:val="ListParagraph"/>
        <w:numPr>
          <w:ilvl w:val="0"/>
          <w:numId w:val="173"/>
        </w:numPr>
        <w:tabs>
          <w:tab w:pos="2382" w:val="left" w:leader="none"/>
        </w:tabs>
        <w:spacing w:line="242" w:lineRule="auto" w:before="125" w:after="0"/>
        <w:ind w:left="2381" w:right="1639" w:hanging="794"/>
        <w:jc w:val="left"/>
        <w:rPr>
          <w:sz w:val="12"/>
        </w:rPr>
      </w:pPr>
      <w:r>
        <w:rPr>
          <w:sz w:val="21"/>
        </w:rPr>
        <w:t>In </w:t>
      </w:r>
      <w:r>
        <w:rPr>
          <w:spacing w:val="-3"/>
          <w:sz w:val="21"/>
        </w:rPr>
        <w:t>situations </w:t>
      </w:r>
      <w:r>
        <w:rPr>
          <w:sz w:val="21"/>
        </w:rPr>
        <w:t>where the affected </w:t>
      </w:r>
      <w:r>
        <w:rPr>
          <w:spacing w:val="-3"/>
          <w:sz w:val="21"/>
        </w:rPr>
        <w:t>neighbour  </w:t>
      </w:r>
      <w:r>
        <w:rPr>
          <w:sz w:val="21"/>
        </w:rPr>
        <w:t>is </w:t>
      </w:r>
      <w:r>
        <w:rPr>
          <w:spacing w:val="-3"/>
          <w:sz w:val="21"/>
        </w:rPr>
        <w:t>unaware</w:t>
      </w:r>
      <w:r>
        <w:rPr>
          <w:spacing w:val="41"/>
          <w:sz w:val="21"/>
        </w:rPr>
        <w:t> </w:t>
      </w:r>
      <w:r>
        <w:rPr>
          <w:sz w:val="21"/>
        </w:rPr>
        <w:t>of the permit and </w:t>
      </w:r>
      <w:r>
        <w:rPr>
          <w:spacing w:val="-3"/>
          <w:sz w:val="21"/>
        </w:rPr>
        <w:t>therefore  unable  to </w:t>
      </w:r>
      <w:r>
        <w:rPr>
          <w:sz w:val="21"/>
        </w:rPr>
        <w:t>provide </w:t>
      </w:r>
      <w:r>
        <w:rPr>
          <w:spacing w:val="-5"/>
          <w:sz w:val="21"/>
        </w:rPr>
        <w:t>VCAT </w:t>
      </w:r>
      <w:r>
        <w:rPr>
          <w:sz w:val="21"/>
        </w:rPr>
        <w:t>with this </w:t>
      </w:r>
      <w:r>
        <w:rPr>
          <w:spacing w:val="-3"/>
          <w:sz w:val="21"/>
        </w:rPr>
        <w:t>information </w:t>
      </w:r>
      <w:r>
        <w:rPr>
          <w:sz w:val="21"/>
        </w:rPr>
        <w:t>in their application </w:t>
      </w:r>
      <w:r>
        <w:rPr>
          <w:spacing w:val="-3"/>
          <w:sz w:val="21"/>
        </w:rPr>
        <w:t>form </w:t>
      </w:r>
      <w:r>
        <w:rPr>
          <w:sz w:val="21"/>
        </w:rPr>
        <w:t>(see </w:t>
      </w:r>
      <w:r>
        <w:rPr>
          <w:spacing w:val="-4"/>
          <w:sz w:val="21"/>
        </w:rPr>
        <w:t>Chapter  </w:t>
      </w:r>
      <w:r>
        <w:rPr>
          <w:sz w:val="21"/>
        </w:rPr>
        <w:t>5), it is </w:t>
      </w:r>
      <w:r>
        <w:rPr>
          <w:spacing w:val="-4"/>
          <w:sz w:val="21"/>
        </w:rPr>
        <w:t>likely  </w:t>
      </w:r>
      <w:r>
        <w:rPr>
          <w:spacing w:val="-3"/>
          <w:sz w:val="21"/>
        </w:rPr>
        <w:t>that </w:t>
      </w:r>
      <w:r>
        <w:rPr>
          <w:sz w:val="21"/>
        </w:rPr>
        <w:t>this </w:t>
      </w:r>
      <w:r>
        <w:rPr>
          <w:spacing w:val="-3"/>
          <w:sz w:val="21"/>
        </w:rPr>
        <w:t>will </w:t>
      </w:r>
      <w:r>
        <w:rPr>
          <w:sz w:val="21"/>
        </w:rPr>
        <w:t>be </w:t>
      </w:r>
      <w:r>
        <w:rPr>
          <w:spacing w:val="-3"/>
          <w:sz w:val="21"/>
        </w:rPr>
        <w:t>brought to </w:t>
      </w:r>
      <w:r>
        <w:rPr>
          <w:spacing w:val="-6"/>
          <w:sz w:val="21"/>
        </w:rPr>
        <w:t>VCAT’s </w:t>
      </w:r>
      <w:r>
        <w:rPr>
          <w:sz w:val="21"/>
        </w:rPr>
        <w:t>attention  by  the  tree  </w:t>
      </w:r>
      <w:r>
        <w:rPr>
          <w:spacing w:val="-4"/>
          <w:sz w:val="21"/>
        </w:rPr>
        <w:t>owner.  </w:t>
      </w:r>
      <w:r>
        <w:rPr>
          <w:sz w:val="21"/>
        </w:rPr>
        <w:t>For  </w:t>
      </w:r>
      <w:r>
        <w:rPr>
          <w:spacing w:val="-3"/>
          <w:sz w:val="21"/>
        </w:rPr>
        <w:t>example,  </w:t>
      </w:r>
      <w:r>
        <w:rPr>
          <w:spacing w:val="-4"/>
          <w:sz w:val="21"/>
        </w:rPr>
        <w:t>QCAT </w:t>
      </w:r>
      <w:r>
        <w:rPr>
          <w:sz w:val="21"/>
        </w:rPr>
        <w:t>advised </w:t>
      </w:r>
      <w:r>
        <w:rPr>
          <w:spacing w:val="-3"/>
          <w:sz w:val="21"/>
        </w:rPr>
        <w:t>that  </w:t>
      </w:r>
      <w:r>
        <w:rPr>
          <w:sz w:val="21"/>
        </w:rPr>
        <w:t>trees </w:t>
      </w:r>
      <w:r>
        <w:rPr>
          <w:spacing w:val="-3"/>
          <w:sz w:val="21"/>
        </w:rPr>
        <w:t>planted</w:t>
      </w:r>
      <w:r>
        <w:rPr>
          <w:spacing w:val="41"/>
          <w:sz w:val="21"/>
        </w:rPr>
        <w:t> </w:t>
      </w:r>
      <w:r>
        <w:rPr>
          <w:sz w:val="21"/>
        </w:rPr>
        <w:t>as a </w:t>
      </w:r>
      <w:r>
        <w:rPr>
          <w:spacing w:val="-3"/>
          <w:sz w:val="21"/>
        </w:rPr>
        <w:t>condition  </w:t>
      </w:r>
      <w:r>
        <w:rPr>
          <w:sz w:val="21"/>
        </w:rPr>
        <w:t>of development </w:t>
      </w:r>
      <w:r>
        <w:rPr>
          <w:spacing w:val="-3"/>
          <w:sz w:val="21"/>
        </w:rPr>
        <w:t>are  </w:t>
      </w:r>
      <w:r>
        <w:rPr>
          <w:sz w:val="21"/>
        </w:rPr>
        <w:t>almost always </w:t>
      </w:r>
      <w:r>
        <w:rPr>
          <w:spacing w:val="-3"/>
          <w:sz w:val="21"/>
        </w:rPr>
        <w:t>brought  to  </w:t>
      </w:r>
      <w:r>
        <w:rPr>
          <w:sz w:val="21"/>
        </w:rPr>
        <w:t>the</w:t>
      </w:r>
      <w:r>
        <w:rPr>
          <w:spacing w:val="11"/>
          <w:sz w:val="21"/>
        </w:rPr>
        <w:t> </w:t>
      </w:r>
      <w:r>
        <w:rPr>
          <w:sz w:val="21"/>
        </w:rPr>
        <w:t>attention</w:t>
      </w:r>
      <w:r>
        <w:rPr>
          <w:spacing w:val="11"/>
          <w:sz w:val="21"/>
        </w:rPr>
        <w:t> </w:t>
      </w:r>
      <w:r>
        <w:rPr>
          <w:sz w:val="21"/>
        </w:rPr>
        <w:t>of</w:t>
      </w:r>
      <w:r>
        <w:rPr>
          <w:spacing w:val="10"/>
          <w:sz w:val="21"/>
        </w:rPr>
        <w:t> </w:t>
      </w:r>
      <w:r>
        <w:rPr>
          <w:sz w:val="21"/>
        </w:rPr>
        <w:t>the</w:t>
      </w:r>
      <w:r>
        <w:rPr>
          <w:spacing w:val="11"/>
          <w:sz w:val="21"/>
        </w:rPr>
        <w:t> </w:t>
      </w:r>
      <w:r>
        <w:rPr>
          <w:spacing w:val="-5"/>
          <w:sz w:val="21"/>
        </w:rPr>
        <w:t>Tribunal</w:t>
      </w:r>
      <w:r>
        <w:rPr>
          <w:spacing w:val="11"/>
          <w:sz w:val="21"/>
        </w:rPr>
        <w:t> </w:t>
      </w:r>
      <w:r>
        <w:rPr>
          <w:sz w:val="21"/>
        </w:rPr>
        <w:t>by</w:t>
      </w:r>
      <w:r>
        <w:rPr>
          <w:spacing w:val="11"/>
          <w:sz w:val="21"/>
        </w:rPr>
        <w:t> </w:t>
      </w:r>
      <w:r>
        <w:rPr>
          <w:sz w:val="21"/>
        </w:rPr>
        <w:t>the</w:t>
      </w:r>
      <w:r>
        <w:rPr>
          <w:spacing w:val="11"/>
          <w:sz w:val="21"/>
        </w:rPr>
        <w:t> </w:t>
      </w:r>
      <w:r>
        <w:rPr>
          <w:sz w:val="21"/>
        </w:rPr>
        <w:t>tree</w:t>
      </w:r>
      <w:r>
        <w:rPr>
          <w:spacing w:val="11"/>
          <w:sz w:val="21"/>
        </w:rPr>
        <w:t> </w:t>
      </w:r>
      <w:r>
        <w:rPr>
          <w:sz w:val="21"/>
        </w:rPr>
        <w:t>owner</w:t>
      </w:r>
      <w:r>
        <w:rPr>
          <w:spacing w:val="11"/>
          <w:sz w:val="21"/>
        </w:rPr>
        <w:t> </w:t>
      </w:r>
      <w:r>
        <w:rPr>
          <w:sz w:val="21"/>
        </w:rPr>
        <w:t>as</w:t>
      </w:r>
      <w:r>
        <w:rPr>
          <w:spacing w:val="11"/>
          <w:sz w:val="21"/>
        </w:rPr>
        <w:t> </w:t>
      </w:r>
      <w:r>
        <w:rPr>
          <w:sz w:val="21"/>
        </w:rPr>
        <w:t>a</w:t>
      </w:r>
      <w:r>
        <w:rPr>
          <w:spacing w:val="11"/>
          <w:sz w:val="21"/>
        </w:rPr>
        <w:t> </w:t>
      </w:r>
      <w:r>
        <w:rPr>
          <w:sz w:val="21"/>
        </w:rPr>
        <w:t>factor</w:t>
      </w:r>
      <w:r>
        <w:rPr>
          <w:spacing w:val="11"/>
          <w:sz w:val="21"/>
        </w:rPr>
        <w:t> </w:t>
      </w:r>
      <w:r>
        <w:rPr>
          <w:sz w:val="21"/>
        </w:rPr>
        <w:t>in</w:t>
      </w:r>
      <w:r>
        <w:rPr>
          <w:spacing w:val="11"/>
          <w:sz w:val="21"/>
        </w:rPr>
        <w:t> </w:t>
      </w:r>
      <w:r>
        <w:rPr>
          <w:sz w:val="21"/>
        </w:rPr>
        <w:t>their</w:t>
      </w:r>
      <w:r>
        <w:rPr>
          <w:spacing w:val="11"/>
          <w:sz w:val="21"/>
        </w:rPr>
        <w:t> </w:t>
      </w:r>
      <w:r>
        <w:rPr>
          <w:spacing w:val="-4"/>
          <w:sz w:val="21"/>
        </w:rPr>
        <w:t>favour.</w:t>
      </w:r>
      <w:r>
        <w:rPr>
          <w:spacing w:val="-4"/>
          <w:position w:val="7"/>
          <w:sz w:val="12"/>
        </w:rPr>
        <w:t>308</w:t>
      </w:r>
    </w:p>
    <w:p>
      <w:pPr>
        <w:pStyle w:val="Heading7"/>
        <w:spacing w:before="156"/>
      </w:pPr>
      <w:r>
        <w:rPr>
          <w:color w:val="58595B"/>
          <w:w w:val="115"/>
        </w:rPr>
        <w:t>Amending permit conditions</w:t>
      </w:r>
    </w:p>
    <w:p>
      <w:pPr>
        <w:pStyle w:val="ListParagraph"/>
        <w:numPr>
          <w:ilvl w:val="0"/>
          <w:numId w:val="173"/>
        </w:numPr>
        <w:tabs>
          <w:tab w:pos="2380" w:val="left" w:leader="none"/>
          <w:tab w:pos="2381" w:val="left" w:leader="none"/>
        </w:tabs>
        <w:spacing w:line="242" w:lineRule="auto" w:before="143" w:after="0"/>
        <w:ind w:left="2381" w:right="1992" w:hanging="794"/>
        <w:jc w:val="left"/>
        <w:rPr>
          <w:sz w:val="21"/>
        </w:rPr>
      </w:pPr>
      <w:r>
        <w:rPr>
          <w:spacing w:val="-7"/>
          <w:w w:val="105"/>
          <w:sz w:val="21"/>
        </w:rPr>
        <w:t>To</w:t>
      </w:r>
      <w:r>
        <w:rPr>
          <w:spacing w:val="-6"/>
          <w:w w:val="105"/>
          <w:sz w:val="21"/>
        </w:rPr>
        <w:t> </w:t>
      </w:r>
      <w:r>
        <w:rPr>
          <w:w w:val="105"/>
          <w:sz w:val="21"/>
        </w:rPr>
        <w:t>resolve</w:t>
      </w:r>
      <w:r>
        <w:rPr>
          <w:spacing w:val="-5"/>
          <w:w w:val="105"/>
          <w:sz w:val="21"/>
        </w:rPr>
        <w:t> </w:t>
      </w:r>
      <w:r>
        <w:rPr>
          <w:w w:val="105"/>
          <w:sz w:val="21"/>
        </w:rPr>
        <w:t>a</w:t>
      </w:r>
      <w:r>
        <w:rPr>
          <w:spacing w:val="-6"/>
          <w:w w:val="105"/>
          <w:sz w:val="21"/>
        </w:rPr>
        <w:t> </w:t>
      </w:r>
      <w:r>
        <w:rPr>
          <w:w w:val="105"/>
          <w:sz w:val="21"/>
        </w:rPr>
        <w:t>tree</w:t>
      </w:r>
      <w:r>
        <w:rPr>
          <w:spacing w:val="-5"/>
          <w:w w:val="105"/>
          <w:sz w:val="21"/>
        </w:rPr>
        <w:t> </w:t>
      </w:r>
      <w:r>
        <w:rPr>
          <w:spacing w:val="-3"/>
          <w:w w:val="105"/>
          <w:sz w:val="21"/>
        </w:rPr>
        <w:t>dispute</w:t>
      </w:r>
      <w:r>
        <w:rPr>
          <w:spacing w:val="-6"/>
          <w:w w:val="105"/>
          <w:sz w:val="21"/>
        </w:rPr>
        <w:t> </w:t>
      </w:r>
      <w:r>
        <w:rPr>
          <w:w w:val="105"/>
          <w:sz w:val="21"/>
        </w:rPr>
        <w:t>an</w:t>
      </w:r>
      <w:r>
        <w:rPr>
          <w:spacing w:val="-5"/>
          <w:w w:val="105"/>
          <w:sz w:val="21"/>
        </w:rPr>
        <w:t> </w:t>
      </w:r>
      <w:r>
        <w:rPr>
          <w:w w:val="105"/>
          <w:sz w:val="21"/>
        </w:rPr>
        <w:t>affected</w:t>
      </w:r>
      <w:r>
        <w:rPr>
          <w:spacing w:val="-6"/>
          <w:w w:val="105"/>
          <w:sz w:val="21"/>
        </w:rPr>
        <w:t> </w:t>
      </w:r>
      <w:r>
        <w:rPr>
          <w:spacing w:val="-3"/>
          <w:w w:val="105"/>
          <w:sz w:val="21"/>
        </w:rPr>
        <w:t>neighbour</w:t>
      </w:r>
      <w:r>
        <w:rPr>
          <w:spacing w:val="-5"/>
          <w:w w:val="105"/>
          <w:sz w:val="21"/>
        </w:rPr>
        <w:t> </w:t>
      </w:r>
      <w:r>
        <w:rPr>
          <w:spacing w:val="-3"/>
          <w:w w:val="105"/>
          <w:sz w:val="21"/>
        </w:rPr>
        <w:t>may</w:t>
      </w:r>
      <w:r>
        <w:rPr>
          <w:spacing w:val="-6"/>
          <w:w w:val="105"/>
          <w:sz w:val="21"/>
        </w:rPr>
        <w:t> </w:t>
      </w:r>
      <w:r>
        <w:rPr>
          <w:w w:val="105"/>
          <w:sz w:val="21"/>
        </w:rPr>
        <w:t>need</w:t>
      </w:r>
      <w:r>
        <w:rPr>
          <w:spacing w:val="-5"/>
          <w:w w:val="105"/>
          <w:sz w:val="21"/>
        </w:rPr>
        <w:t> </w:t>
      </w:r>
      <w:r>
        <w:rPr>
          <w:w w:val="105"/>
          <w:sz w:val="21"/>
        </w:rPr>
        <w:t>an</w:t>
      </w:r>
      <w:r>
        <w:rPr>
          <w:spacing w:val="-6"/>
          <w:w w:val="105"/>
          <w:sz w:val="21"/>
        </w:rPr>
        <w:t> </w:t>
      </w:r>
      <w:r>
        <w:rPr>
          <w:w w:val="105"/>
          <w:sz w:val="21"/>
        </w:rPr>
        <w:t>existing</w:t>
      </w:r>
      <w:r>
        <w:rPr>
          <w:spacing w:val="-5"/>
          <w:w w:val="105"/>
          <w:sz w:val="21"/>
        </w:rPr>
        <w:t> </w:t>
      </w:r>
      <w:r>
        <w:rPr>
          <w:spacing w:val="-3"/>
          <w:w w:val="105"/>
          <w:sz w:val="21"/>
        </w:rPr>
        <w:t>planning</w:t>
      </w:r>
      <w:r>
        <w:rPr>
          <w:spacing w:val="-5"/>
          <w:w w:val="105"/>
          <w:sz w:val="21"/>
        </w:rPr>
        <w:t> </w:t>
      </w:r>
      <w:r>
        <w:rPr>
          <w:w w:val="105"/>
          <w:sz w:val="21"/>
        </w:rPr>
        <w:t>permit amended. This </w:t>
      </w:r>
      <w:r>
        <w:rPr>
          <w:spacing w:val="-3"/>
          <w:w w:val="105"/>
          <w:sz w:val="21"/>
        </w:rPr>
        <w:t>may arise, for example, </w:t>
      </w:r>
      <w:r>
        <w:rPr>
          <w:w w:val="105"/>
          <w:sz w:val="21"/>
        </w:rPr>
        <w:t>where the affected </w:t>
      </w:r>
      <w:r>
        <w:rPr>
          <w:spacing w:val="-3"/>
          <w:w w:val="105"/>
          <w:sz w:val="21"/>
        </w:rPr>
        <w:t>neighbour </w:t>
      </w:r>
      <w:r>
        <w:rPr>
          <w:w w:val="105"/>
          <w:sz w:val="21"/>
        </w:rPr>
        <w:t>seeks</w:t>
      </w:r>
      <w:r>
        <w:rPr>
          <w:spacing w:val="15"/>
          <w:w w:val="105"/>
          <w:sz w:val="21"/>
        </w:rPr>
        <w:t> </w:t>
      </w:r>
      <w:r>
        <w:rPr>
          <w:w w:val="105"/>
          <w:sz w:val="21"/>
        </w:rPr>
        <w:t>to:</w:t>
      </w:r>
    </w:p>
    <w:p>
      <w:pPr>
        <w:pStyle w:val="ListParagraph"/>
        <w:numPr>
          <w:ilvl w:val="1"/>
          <w:numId w:val="173"/>
        </w:numPr>
        <w:tabs>
          <w:tab w:pos="2721" w:val="left" w:leader="none"/>
          <w:tab w:pos="2722" w:val="left" w:leader="none"/>
        </w:tabs>
        <w:spacing w:line="242" w:lineRule="auto" w:before="122" w:after="0"/>
        <w:ind w:left="2721" w:right="2445" w:hanging="340"/>
        <w:jc w:val="left"/>
        <w:rPr>
          <w:sz w:val="21"/>
        </w:rPr>
      </w:pPr>
      <w:r>
        <w:rPr>
          <w:spacing w:val="-3"/>
          <w:w w:val="105"/>
          <w:sz w:val="21"/>
        </w:rPr>
        <w:t>remove </w:t>
      </w:r>
      <w:r>
        <w:rPr>
          <w:w w:val="105"/>
          <w:sz w:val="21"/>
        </w:rPr>
        <w:t>a tree </w:t>
      </w:r>
      <w:r>
        <w:rPr>
          <w:spacing w:val="-3"/>
          <w:w w:val="105"/>
          <w:sz w:val="21"/>
        </w:rPr>
        <w:t>that </w:t>
      </w:r>
      <w:r>
        <w:rPr>
          <w:w w:val="105"/>
          <w:sz w:val="21"/>
        </w:rPr>
        <w:t>was </w:t>
      </w:r>
      <w:r>
        <w:rPr>
          <w:spacing w:val="-3"/>
          <w:w w:val="105"/>
          <w:sz w:val="21"/>
        </w:rPr>
        <w:t>required to </w:t>
      </w:r>
      <w:r>
        <w:rPr>
          <w:w w:val="105"/>
          <w:sz w:val="21"/>
        </w:rPr>
        <w:t>be </w:t>
      </w:r>
      <w:r>
        <w:rPr>
          <w:spacing w:val="-3"/>
          <w:w w:val="105"/>
          <w:sz w:val="21"/>
        </w:rPr>
        <w:t>planted pursuant to </w:t>
      </w:r>
      <w:r>
        <w:rPr>
          <w:w w:val="105"/>
          <w:sz w:val="21"/>
        </w:rPr>
        <w:t>a </w:t>
      </w:r>
      <w:r>
        <w:rPr>
          <w:spacing w:val="-3"/>
          <w:w w:val="105"/>
          <w:sz w:val="21"/>
        </w:rPr>
        <w:t>planning </w:t>
      </w:r>
      <w:r>
        <w:rPr>
          <w:w w:val="105"/>
          <w:sz w:val="21"/>
        </w:rPr>
        <w:t>permit </w:t>
      </w:r>
      <w:r>
        <w:rPr>
          <w:spacing w:val="-3"/>
          <w:w w:val="105"/>
          <w:sz w:val="21"/>
        </w:rPr>
        <w:t>condition</w:t>
      </w:r>
    </w:p>
    <w:p>
      <w:pPr>
        <w:pStyle w:val="ListParagraph"/>
        <w:numPr>
          <w:ilvl w:val="1"/>
          <w:numId w:val="173"/>
        </w:numPr>
        <w:tabs>
          <w:tab w:pos="2721" w:val="left" w:leader="none"/>
          <w:tab w:pos="2722" w:val="left" w:leader="none"/>
        </w:tabs>
        <w:spacing w:line="240" w:lineRule="auto" w:before="87" w:after="0"/>
        <w:ind w:left="2721" w:right="0" w:hanging="340"/>
        <w:jc w:val="left"/>
        <w:rPr>
          <w:sz w:val="21"/>
        </w:rPr>
      </w:pPr>
      <w:r>
        <w:rPr>
          <w:sz w:val="21"/>
        </w:rPr>
        <w:t>vary vegetation </w:t>
      </w:r>
      <w:r>
        <w:rPr>
          <w:spacing w:val="-3"/>
          <w:sz w:val="21"/>
        </w:rPr>
        <w:t>maintenance conditions </w:t>
      </w:r>
      <w:r>
        <w:rPr>
          <w:sz w:val="21"/>
        </w:rPr>
        <w:t>so </w:t>
      </w:r>
      <w:r>
        <w:rPr>
          <w:spacing w:val="-3"/>
          <w:sz w:val="21"/>
        </w:rPr>
        <w:t>that </w:t>
      </w:r>
      <w:r>
        <w:rPr>
          <w:sz w:val="21"/>
        </w:rPr>
        <w:t>a tree is pruned more</w:t>
      </w:r>
      <w:r>
        <w:rPr>
          <w:spacing w:val="-6"/>
          <w:sz w:val="21"/>
        </w:rPr>
        <w:t> </w:t>
      </w:r>
      <w:r>
        <w:rPr>
          <w:spacing w:val="-3"/>
          <w:sz w:val="21"/>
        </w:rPr>
        <w:t>frequently</w:t>
      </w:r>
    </w:p>
    <w:p>
      <w:pPr>
        <w:pStyle w:val="ListParagraph"/>
        <w:numPr>
          <w:ilvl w:val="1"/>
          <w:numId w:val="173"/>
        </w:numPr>
        <w:tabs>
          <w:tab w:pos="2721" w:val="left" w:leader="none"/>
          <w:tab w:pos="2722" w:val="left" w:leader="none"/>
        </w:tabs>
        <w:spacing w:line="242" w:lineRule="auto" w:before="89" w:after="0"/>
        <w:ind w:left="2721" w:right="2186" w:hanging="340"/>
        <w:jc w:val="left"/>
        <w:rPr>
          <w:sz w:val="21"/>
        </w:rPr>
      </w:pPr>
      <w:r>
        <w:rPr>
          <w:spacing w:val="-3"/>
          <w:sz w:val="21"/>
        </w:rPr>
        <w:t>replace </w:t>
      </w:r>
      <w:r>
        <w:rPr>
          <w:sz w:val="21"/>
        </w:rPr>
        <w:t>an existing tree with a </w:t>
      </w:r>
      <w:r>
        <w:rPr>
          <w:spacing w:val="-3"/>
          <w:sz w:val="21"/>
        </w:rPr>
        <w:t>different </w:t>
      </w:r>
      <w:r>
        <w:rPr>
          <w:sz w:val="21"/>
        </w:rPr>
        <w:t>variety of tree </w:t>
      </w:r>
      <w:r>
        <w:rPr>
          <w:spacing w:val="-3"/>
          <w:sz w:val="21"/>
        </w:rPr>
        <w:t>that </w:t>
      </w:r>
      <w:r>
        <w:rPr>
          <w:sz w:val="21"/>
        </w:rPr>
        <w:t>is more </w:t>
      </w:r>
      <w:r>
        <w:rPr>
          <w:spacing w:val="-3"/>
          <w:sz w:val="21"/>
        </w:rPr>
        <w:t>suited to </w:t>
      </w:r>
      <w:r>
        <w:rPr>
          <w:sz w:val="21"/>
        </w:rPr>
        <w:t>the </w:t>
      </w:r>
      <w:r>
        <w:rPr>
          <w:spacing w:val="-3"/>
          <w:sz w:val="21"/>
        </w:rPr>
        <w:t>nature </w:t>
      </w:r>
      <w:r>
        <w:rPr>
          <w:sz w:val="21"/>
        </w:rPr>
        <w:t>or use of the</w:t>
      </w:r>
      <w:r>
        <w:rPr>
          <w:spacing w:val="45"/>
          <w:sz w:val="21"/>
        </w:rPr>
        <w:t> </w:t>
      </w:r>
      <w:r>
        <w:rPr>
          <w:spacing w:val="-3"/>
          <w:sz w:val="21"/>
        </w:rPr>
        <w:t>land.</w:t>
      </w:r>
    </w:p>
    <w:p>
      <w:pPr>
        <w:pStyle w:val="ListParagraph"/>
        <w:numPr>
          <w:ilvl w:val="0"/>
          <w:numId w:val="173"/>
        </w:numPr>
        <w:tabs>
          <w:tab w:pos="2382" w:val="left" w:leader="none"/>
        </w:tabs>
        <w:spacing w:line="242" w:lineRule="auto" w:before="87" w:after="0"/>
        <w:ind w:left="2381" w:right="2148" w:hanging="794"/>
        <w:jc w:val="left"/>
        <w:rPr>
          <w:sz w:val="21"/>
        </w:rPr>
      </w:pPr>
      <w:r>
        <w:rPr>
          <w:sz w:val="21"/>
        </w:rPr>
        <w:t>As discussed </w:t>
      </w:r>
      <w:r>
        <w:rPr>
          <w:spacing w:val="-3"/>
          <w:sz w:val="21"/>
        </w:rPr>
        <w:t>earlier </w:t>
      </w:r>
      <w:r>
        <w:rPr>
          <w:sz w:val="21"/>
        </w:rPr>
        <w:t>it is very difficult </w:t>
      </w:r>
      <w:r>
        <w:rPr>
          <w:spacing w:val="-3"/>
          <w:sz w:val="21"/>
        </w:rPr>
        <w:t>for </w:t>
      </w:r>
      <w:r>
        <w:rPr>
          <w:sz w:val="21"/>
        </w:rPr>
        <w:t>a </w:t>
      </w:r>
      <w:r>
        <w:rPr>
          <w:spacing w:val="-3"/>
          <w:sz w:val="21"/>
        </w:rPr>
        <w:t>third </w:t>
      </w:r>
      <w:r>
        <w:rPr>
          <w:sz w:val="21"/>
        </w:rPr>
        <w:t>party </w:t>
      </w:r>
      <w:r>
        <w:rPr>
          <w:spacing w:val="-3"/>
          <w:sz w:val="21"/>
        </w:rPr>
        <w:t>to </w:t>
      </w:r>
      <w:r>
        <w:rPr>
          <w:sz w:val="21"/>
        </w:rPr>
        <w:t>amend an existing </w:t>
      </w:r>
      <w:r>
        <w:rPr>
          <w:spacing w:val="-3"/>
          <w:sz w:val="21"/>
        </w:rPr>
        <w:t>planning </w:t>
      </w:r>
      <w:r>
        <w:rPr>
          <w:sz w:val="21"/>
        </w:rPr>
        <w:t>permit under the </w:t>
      </w:r>
      <w:r>
        <w:rPr>
          <w:spacing w:val="4"/>
          <w:sz w:val="21"/>
        </w:rPr>
        <w:t>P&amp;E</w:t>
      </w:r>
      <w:r>
        <w:rPr>
          <w:spacing w:val="33"/>
          <w:sz w:val="21"/>
        </w:rPr>
        <w:t> </w:t>
      </w:r>
      <w:r>
        <w:rPr>
          <w:sz w:val="21"/>
        </w:rPr>
        <w:t>Act.</w:t>
      </w:r>
    </w:p>
    <w:p>
      <w:pPr>
        <w:pStyle w:val="BodyText"/>
        <w:rPr>
          <w:sz w:val="20"/>
        </w:rPr>
      </w:pPr>
    </w:p>
    <w:p>
      <w:pPr>
        <w:pStyle w:val="BodyText"/>
        <w:rPr>
          <w:sz w:val="20"/>
        </w:rPr>
      </w:pPr>
    </w:p>
    <w:p>
      <w:pPr>
        <w:pStyle w:val="BodyText"/>
        <w:spacing w:before="1"/>
        <w:rPr>
          <w:sz w:val="27"/>
        </w:rPr>
      </w:pPr>
      <w:r>
        <w:rPr/>
        <w:pict>
          <v:line style="position:absolute;mso-position-horizontal-relative:page;mso-position-vertical-relative:paragraph;z-index:10160;mso-wrap-distance-left:0;mso-wrap-distance-right:0" from="79.370102pt,19.004023pt" to="515.905102pt,19.00402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tabs>
          <w:tab w:pos="2380" w:val="left" w:leader="none"/>
        </w:tabs>
        <w:spacing w:before="48"/>
        <w:ind w:left="2381" w:right="0" w:hanging="794"/>
        <w:jc w:val="left"/>
        <w:rPr>
          <w:sz w:val="13"/>
        </w:rPr>
      </w:pPr>
      <w:r>
        <w:rPr>
          <w:w w:val="105"/>
          <w:sz w:val="13"/>
        </w:rPr>
        <w:t>307</w:t>
        <w:tab/>
        <w:t>See, eg, City of Stonnington, </w:t>
      </w:r>
      <w:r>
        <w:rPr>
          <w:i/>
          <w:w w:val="105"/>
          <w:sz w:val="13"/>
        </w:rPr>
        <w:t>New Tree Protection Process </w:t>
      </w:r>
      <w:r>
        <w:rPr>
          <w:w w:val="105"/>
          <w:sz w:val="13"/>
        </w:rPr>
        <w:t>(Web Page, </w:t>
      </w:r>
      <w:r>
        <w:rPr>
          <w:spacing w:val="-3"/>
          <w:w w:val="105"/>
          <w:sz w:val="13"/>
        </w:rPr>
        <w:t>14 </w:t>
      </w:r>
      <w:r>
        <w:rPr>
          <w:w w:val="105"/>
          <w:sz w:val="13"/>
        </w:rPr>
        <w:t>June 2018) </w:t>
      </w:r>
      <w:r>
        <w:rPr>
          <w:spacing w:val="2"/>
          <w:w w:val="105"/>
          <w:sz w:val="13"/>
        </w:rPr>
        <w:t>&lt;</w:t>
      </w:r>
      <w:hyperlink r:id="rId298">
        <w:r>
          <w:rPr>
            <w:spacing w:val="2"/>
            <w:w w:val="105"/>
            <w:sz w:val="13"/>
          </w:rPr>
          <w:t>https://www.stonnington.vic.gov.au/Development/</w:t>
        </w:r>
      </w:hyperlink>
      <w:hyperlink r:id="rId298">
        <w:r>
          <w:rPr>
            <w:spacing w:val="2"/>
            <w:w w:val="105"/>
            <w:sz w:val="13"/>
          </w:rPr>
          <w:t> Planning/Planning-News/New-Tree-Protection-Process</w:t>
        </w:r>
      </w:hyperlink>
      <w:r>
        <w:rPr>
          <w:spacing w:val="2"/>
          <w:w w:val="105"/>
          <w:sz w:val="13"/>
        </w:rPr>
        <w:t>&gt;; </w:t>
      </w:r>
      <w:r>
        <w:rPr>
          <w:w w:val="105"/>
          <w:sz w:val="13"/>
        </w:rPr>
        <w:t>City of Whitehorse, Whitehorse Landscape Guidelines: How to Prepare A Landscape Plan (July 2012) 7; City of Boroondara, </w:t>
      </w:r>
      <w:r>
        <w:rPr>
          <w:i/>
          <w:w w:val="105"/>
          <w:sz w:val="13"/>
        </w:rPr>
        <w:t>Landscape Plan Guidelines </w:t>
      </w:r>
      <w:r>
        <w:rPr>
          <w:w w:val="105"/>
          <w:sz w:val="13"/>
        </w:rPr>
        <w:t>(Web Page, 2019) &lt;https://</w:t>
      </w:r>
      <w:hyperlink r:id="rId299">
        <w:r>
          <w:rPr>
            <w:w w:val="105"/>
            <w:sz w:val="13"/>
          </w:rPr>
          <w:t>www.boroondara.vic.gov.au/</w:t>
        </w:r>
      </w:hyperlink>
      <w:r>
        <w:rPr>
          <w:w w:val="105"/>
          <w:sz w:val="13"/>
        </w:rPr>
        <w:t> planning-building/planning-permit-applications/landscape-plan-guidelines&gt;.</w:t>
      </w:r>
    </w:p>
    <w:p>
      <w:pPr>
        <w:tabs>
          <w:tab w:pos="2380" w:val="left" w:leader="none"/>
        </w:tabs>
        <w:spacing w:before="5"/>
        <w:ind w:left="1587" w:right="0" w:firstLine="0"/>
        <w:jc w:val="left"/>
        <w:rPr>
          <w:sz w:val="13"/>
        </w:rPr>
      </w:pPr>
      <w:r>
        <w:rPr>
          <w:spacing w:val="2"/>
          <w:w w:val="105"/>
          <w:sz w:val="13"/>
        </w:rPr>
        <w:t>308</w:t>
        <w:tab/>
      </w:r>
      <w:r>
        <w:rPr>
          <w:w w:val="105"/>
          <w:sz w:val="13"/>
        </w:rPr>
        <w:t>Consultation </w:t>
      </w:r>
      <w:r>
        <w:rPr>
          <w:spacing w:val="-3"/>
          <w:w w:val="105"/>
          <w:sz w:val="13"/>
        </w:rPr>
        <w:t>15 </w:t>
      </w:r>
      <w:r>
        <w:rPr>
          <w:w w:val="105"/>
          <w:sz w:val="13"/>
        </w:rPr>
        <w:t>(Queensland Civil and Administrative Tribunal).</w:t>
      </w:r>
    </w:p>
    <w:p>
      <w:pPr>
        <w:pStyle w:val="BodyText"/>
        <w:rPr>
          <w:sz w:val="28"/>
        </w:rPr>
      </w:pPr>
      <w:r>
        <w:rPr/>
        <w:br w:type="column"/>
      </w:r>
      <w:r>
        <w:rPr>
          <w:sz w:val="28"/>
        </w:rPr>
      </w:r>
    </w:p>
    <w:p>
      <w:pPr>
        <w:spacing w:before="241"/>
        <w:ind w:left="643" w:right="574" w:firstLine="0"/>
        <w:jc w:val="center"/>
        <w:rPr>
          <w:b/>
          <w:sz w:val="24"/>
        </w:rPr>
      </w:pPr>
      <w:r>
        <w:rPr>
          <w:b/>
          <w:color w:val="658464"/>
          <w:w w:val="110"/>
          <w:sz w:val="24"/>
        </w:rPr>
        <w:t>249</w:t>
      </w:r>
    </w:p>
    <w:p>
      <w:pPr>
        <w:spacing w:after="0"/>
        <w:jc w:val="center"/>
        <w:rPr>
          <w:sz w:val="24"/>
        </w:rPr>
        <w:sectPr>
          <w:type w:val="continuous"/>
          <w:pgSz w:w="11910" w:h="16840"/>
          <w:pgMar w:top="300" w:bottom="280" w:left="0" w:right="0"/>
          <w:cols w:num="2" w:equalWidth="0">
            <w:col w:w="10210" w:space="40"/>
            <w:col w:w="1660"/>
          </w:cols>
        </w:sectPr>
      </w:pPr>
    </w:p>
    <w:p>
      <w:pPr>
        <w:pStyle w:val="BodyText"/>
        <w:spacing w:before="9"/>
        <w:rPr>
          <w:b/>
          <w:sz w:val="22"/>
        </w:rPr>
      </w:pPr>
    </w:p>
    <w:p>
      <w:pPr>
        <w:pStyle w:val="ListParagraph"/>
        <w:numPr>
          <w:ilvl w:val="0"/>
          <w:numId w:val="173"/>
        </w:numPr>
        <w:tabs>
          <w:tab w:pos="2382" w:val="left" w:leader="none"/>
        </w:tabs>
        <w:spacing w:line="242" w:lineRule="auto" w:before="92" w:after="0"/>
        <w:ind w:left="2381" w:right="1740" w:hanging="794"/>
        <w:jc w:val="left"/>
        <w:rPr>
          <w:sz w:val="21"/>
        </w:rPr>
      </w:pPr>
      <w:r>
        <w:rPr>
          <w:sz w:val="21"/>
        </w:rPr>
        <w:t>In </w:t>
      </w:r>
      <w:r>
        <w:rPr>
          <w:spacing w:val="-3"/>
          <w:sz w:val="21"/>
        </w:rPr>
        <w:t>contrast to </w:t>
      </w:r>
      <w:r>
        <w:rPr>
          <w:sz w:val="21"/>
        </w:rPr>
        <w:t>the </w:t>
      </w:r>
      <w:r>
        <w:rPr>
          <w:spacing w:val="-3"/>
          <w:sz w:val="21"/>
        </w:rPr>
        <w:t>recommendation </w:t>
      </w:r>
      <w:r>
        <w:rPr>
          <w:sz w:val="21"/>
        </w:rPr>
        <w:t>above </w:t>
      </w:r>
      <w:r>
        <w:rPr>
          <w:spacing w:val="-3"/>
          <w:sz w:val="21"/>
        </w:rPr>
        <w:t>to </w:t>
      </w:r>
      <w:r>
        <w:rPr>
          <w:sz w:val="21"/>
        </w:rPr>
        <w:t>expand the VPP </w:t>
      </w:r>
      <w:r>
        <w:rPr>
          <w:spacing w:val="-3"/>
          <w:sz w:val="21"/>
        </w:rPr>
        <w:t>exemptions for  </w:t>
      </w:r>
      <w:r>
        <w:rPr>
          <w:sz w:val="21"/>
        </w:rPr>
        <w:t>permits </w:t>
      </w:r>
      <w:r>
        <w:rPr>
          <w:spacing w:val="-2"/>
          <w:sz w:val="21"/>
        </w:rPr>
        <w:t>not </w:t>
      </w:r>
      <w:r>
        <w:rPr>
          <w:sz w:val="21"/>
        </w:rPr>
        <w:t>yet </w:t>
      </w:r>
      <w:r>
        <w:rPr>
          <w:spacing w:val="-3"/>
          <w:sz w:val="21"/>
        </w:rPr>
        <w:t>granted, </w:t>
      </w:r>
      <w:r>
        <w:rPr>
          <w:sz w:val="21"/>
        </w:rPr>
        <w:t>the position in </w:t>
      </w:r>
      <w:r>
        <w:rPr>
          <w:spacing w:val="-3"/>
          <w:sz w:val="21"/>
        </w:rPr>
        <w:t>relation to  </w:t>
      </w:r>
      <w:r>
        <w:rPr>
          <w:sz w:val="21"/>
        </w:rPr>
        <w:t>existing permits is much more complex. The </w:t>
      </w:r>
      <w:r>
        <w:rPr>
          <w:spacing w:val="4"/>
          <w:sz w:val="21"/>
        </w:rPr>
        <w:t>P&amp;E  </w:t>
      </w:r>
      <w:r>
        <w:rPr>
          <w:sz w:val="21"/>
        </w:rPr>
        <w:t>Act provides very little recourse </w:t>
      </w:r>
      <w:r>
        <w:rPr>
          <w:spacing w:val="-3"/>
          <w:sz w:val="21"/>
        </w:rPr>
        <w:t>for  third  </w:t>
      </w:r>
      <w:r>
        <w:rPr>
          <w:sz w:val="21"/>
        </w:rPr>
        <w:t>parties who </w:t>
      </w:r>
      <w:r>
        <w:rPr>
          <w:spacing w:val="-3"/>
          <w:sz w:val="21"/>
        </w:rPr>
        <w:t>are</w:t>
      </w:r>
      <w:r>
        <w:rPr>
          <w:spacing w:val="41"/>
          <w:sz w:val="21"/>
        </w:rPr>
        <w:t> </w:t>
      </w:r>
      <w:r>
        <w:rPr>
          <w:spacing w:val="-2"/>
          <w:sz w:val="21"/>
        </w:rPr>
        <w:t>not  </w:t>
      </w:r>
      <w:r>
        <w:rPr>
          <w:sz w:val="21"/>
        </w:rPr>
        <w:t>permit holders </w:t>
      </w:r>
      <w:r>
        <w:rPr>
          <w:spacing w:val="-3"/>
          <w:sz w:val="21"/>
        </w:rPr>
        <w:t>to  </w:t>
      </w:r>
      <w:r>
        <w:rPr>
          <w:sz w:val="21"/>
        </w:rPr>
        <w:t>amend  or vary a permit. Affected neighbours who </w:t>
      </w:r>
      <w:r>
        <w:rPr>
          <w:spacing w:val="-3"/>
          <w:sz w:val="21"/>
        </w:rPr>
        <w:t>were </w:t>
      </w:r>
      <w:r>
        <w:rPr>
          <w:spacing w:val="-2"/>
          <w:sz w:val="21"/>
        </w:rPr>
        <w:t>not </w:t>
      </w:r>
      <w:r>
        <w:rPr>
          <w:sz w:val="21"/>
        </w:rPr>
        <w:t>entitled </w:t>
      </w:r>
      <w:r>
        <w:rPr>
          <w:spacing w:val="-3"/>
          <w:sz w:val="21"/>
        </w:rPr>
        <w:t>to </w:t>
      </w:r>
      <w:r>
        <w:rPr>
          <w:sz w:val="21"/>
        </w:rPr>
        <w:t>object </w:t>
      </w:r>
      <w:r>
        <w:rPr>
          <w:spacing w:val="-3"/>
          <w:sz w:val="21"/>
        </w:rPr>
        <w:t>to </w:t>
      </w:r>
      <w:r>
        <w:rPr>
          <w:sz w:val="21"/>
        </w:rPr>
        <w:t>the</w:t>
      </w:r>
      <w:r>
        <w:rPr>
          <w:spacing w:val="27"/>
          <w:sz w:val="21"/>
        </w:rPr>
        <w:t> </w:t>
      </w:r>
      <w:r>
        <w:rPr>
          <w:sz w:val="21"/>
        </w:rPr>
        <w:t>permit</w:t>
      </w:r>
    </w:p>
    <w:p>
      <w:pPr>
        <w:pStyle w:val="BodyText"/>
        <w:spacing w:line="242" w:lineRule="auto" w:before="4"/>
        <w:ind w:left="2381" w:right="1605"/>
        <w:jc w:val="both"/>
      </w:pPr>
      <w:r>
        <w:rPr>
          <w:spacing w:val="-3"/>
          <w:w w:val="105"/>
        </w:rPr>
        <w:t>application, for </w:t>
      </w:r>
      <w:r>
        <w:rPr>
          <w:w w:val="105"/>
        </w:rPr>
        <w:t>example neighbours who moved next </w:t>
      </w:r>
      <w:r>
        <w:rPr>
          <w:spacing w:val="-3"/>
          <w:w w:val="105"/>
        </w:rPr>
        <w:t>to </w:t>
      </w:r>
      <w:r>
        <w:rPr>
          <w:w w:val="105"/>
        </w:rPr>
        <w:t>the development </w:t>
      </w:r>
      <w:r>
        <w:rPr>
          <w:spacing w:val="-3"/>
          <w:w w:val="105"/>
        </w:rPr>
        <w:t>site months </w:t>
      </w:r>
      <w:r>
        <w:rPr>
          <w:w w:val="105"/>
        </w:rPr>
        <w:t>or years after the development, would </w:t>
      </w:r>
      <w:r>
        <w:rPr>
          <w:spacing w:val="-2"/>
          <w:w w:val="105"/>
        </w:rPr>
        <w:t>not </w:t>
      </w:r>
      <w:r>
        <w:rPr>
          <w:w w:val="105"/>
        </w:rPr>
        <w:t>be able </w:t>
      </w:r>
      <w:r>
        <w:rPr>
          <w:spacing w:val="-3"/>
          <w:w w:val="105"/>
        </w:rPr>
        <w:t>to </w:t>
      </w:r>
      <w:r>
        <w:rPr>
          <w:w w:val="105"/>
        </w:rPr>
        <w:t>apply </w:t>
      </w:r>
      <w:r>
        <w:rPr>
          <w:spacing w:val="-3"/>
          <w:w w:val="105"/>
        </w:rPr>
        <w:t>to </w:t>
      </w:r>
      <w:r>
        <w:rPr>
          <w:spacing w:val="-5"/>
          <w:w w:val="105"/>
        </w:rPr>
        <w:t>VCAT </w:t>
      </w:r>
      <w:r>
        <w:rPr>
          <w:spacing w:val="-3"/>
          <w:w w:val="105"/>
        </w:rPr>
        <w:t>to </w:t>
      </w:r>
      <w:r>
        <w:rPr>
          <w:w w:val="105"/>
        </w:rPr>
        <w:t>amend or cancel the permit. </w:t>
      </w:r>
      <w:r>
        <w:rPr>
          <w:spacing w:val="-3"/>
          <w:w w:val="105"/>
        </w:rPr>
        <w:t>Even </w:t>
      </w:r>
      <w:r>
        <w:rPr>
          <w:w w:val="105"/>
        </w:rPr>
        <w:t>if affected neighbours did object </w:t>
      </w:r>
      <w:r>
        <w:rPr>
          <w:spacing w:val="-3"/>
          <w:w w:val="105"/>
        </w:rPr>
        <w:t>to </w:t>
      </w:r>
      <w:r>
        <w:rPr>
          <w:w w:val="105"/>
        </w:rPr>
        <w:t>the permit or would </w:t>
      </w:r>
      <w:r>
        <w:rPr>
          <w:spacing w:val="-3"/>
          <w:w w:val="105"/>
        </w:rPr>
        <w:t>have </w:t>
      </w:r>
      <w:r>
        <w:rPr>
          <w:w w:val="105"/>
        </w:rPr>
        <w:t>been entitled </w:t>
      </w:r>
      <w:r>
        <w:rPr>
          <w:spacing w:val="-3"/>
          <w:w w:val="105"/>
        </w:rPr>
        <w:t>to</w:t>
      </w:r>
      <w:r>
        <w:rPr>
          <w:spacing w:val="-6"/>
          <w:w w:val="105"/>
        </w:rPr>
        <w:t> </w:t>
      </w:r>
      <w:r>
        <w:rPr>
          <w:w w:val="105"/>
        </w:rPr>
        <w:t>object,</w:t>
      </w:r>
      <w:r>
        <w:rPr>
          <w:spacing w:val="-6"/>
          <w:w w:val="105"/>
        </w:rPr>
        <w:t> </w:t>
      </w:r>
      <w:r>
        <w:rPr>
          <w:w w:val="105"/>
        </w:rPr>
        <w:t>there</w:t>
      </w:r>
      <w:r>
        <w:rPr>
          <w:spacing w:val="-6"/>
          <w:w w:val="105"/>
        </w:rPr>
        <w:t> </w:t>
      </w:r>
      <w:r>
        <w:rPr>
          <w:spacing w:val="-3"/>
          <w:w w:val="105"/>
        </w:rPr>
        <w:t>are</w:t>
      </w:r>
      <w:r>
        <w:rPr>
          <w:spacing w:val="-6"/>
          <w:w w:val="105"/>
        </w:rPr>
        <w:t> </w:t>
      </w:r>
      <w:r>
        <w:rPr>
          <w:spacing w:val="-3"/>
          <w:w w:val="105"/>
        </w:rPr>
        <w:t>many</w:t>
      </w:r>
      <w:r>
        <w:rPr>
          <w:spacing w:val="-6"/>
          <w:w w:val="105"/>
        </w:rPr>
        <w:t> </w:t>
      </w:r>
      <w:r>
        <w:rPr>
          <w:w w:val="105"/>
        </w:rPr>
        <w:t>other</w:t>
      </w:r>
      <w:r>
        <w:rPr>
          <w:spacing w:val="-6"/>
          <w:w w:val="105"/>
        </w:rPr>
        <w:t> </w:t>
      </w:r>
      <w:r>
        <w:rPr>
          <w:spacing w:val="-3"/>
          <w:w w:val="105"/>
        </w:rPr>
        <w:t>hurdles</w:t>
      </w:r>
      <w:r>
        <w:rPr>
          <w:spacing w:val="-6"/>
          <w:w w:val="105"/>
        </w:rPr>
        <w:t> </w:t>
      </w:r>
      <w:r>
        <w:rPr>
          <w:spacing w:val="-3"/>
          <w:w w:val="105"/>
        </w:rPr>
        <w:t>for</w:t>
      </w:r>
      <w:r>
        <w:rPr>
          <w:spacing w:val="-6"/>
          <w:w w:val="105"/>
        </w:rPr>
        <w:t> </w:t>
      </w:r>
      <w:r>
        <w:rPr>
          <w:w w:val="105"/>
        </w:rPr>
        <w:t>these</w:t>
      </w:r>
      <w:r>
        <w:rPr>
          <w:spacing w:val="-6"/>
          <w:w w:val="105"/>
        </w:rPr>
        <w:t> </w:t>
      </w:r>
      <w:r>
        <w:rPr>
          <w:spacing w:val="-3"/>
          <w:w w:val="105"/>
        </w:rPr>
        <w:t>individuals</w:t>
      </w:r>
      <w:r>
        <w:rPr>
          <w:spacing w:val="-6"/>
          <w:w w:val="105"/>
        </w:rPr>
        <w:t> </w:t>
      </w:r>
      <w:r>
        <w:rPr>
          <w:spacing w:val="-3"/>
          <w:w w:val="105"/>
        </w:rPr>
        <w:t>to</w:t>
      </w:r>
      <w:r>
        <w:rPr>
          <w:spacing w:val="-5"/>
          <w:w w:val="105"/>
        </w:rPr>
        <w:t> </w:t>
      </w:r>
      <w:r>
        <w:rPr>
          <w:spacing w:val="-3"/>
          <w:w w:val="105"/>
        </w:rPr>
        <w:t>overcome</w:t>
      </w:r>
      <w:r>
        <w:rPr>
          <w:spacing w:val="-6"/>
          <w:w w:val="105"/>
        </w:rPr>
        <w:t> </w:t>
      </w:r>
      <w:r>
        <w:rPr>
          <w:w w:val="105"/>
        </w:rPr>
        <w:t>prior</w:t>
      </w:r>
      <w:r>
        <w:rPr>
          <w:spacing w:val="-6"/>
          <w:w w:val="105"/>
        </w:rPr>
        <w:t> </w:t>
      </w:r>
      <w:r>
        <w:rPr>
          <w:spacing w:val="-3"/>
          <w:w w:val="105"/>
        </w:rPr>
        <w:t>to</w:t>
      </w:r>
      <w:r>
        <w:rPr>
          <w:spacing w:val="-6"/>
          <w:w w:val="105"/>
        </w:rPr>
        <w:t> </w:t>
      </w:r>
      <w:r>
        <w:rPr>
          <w:spacing w:val="-3"/>
          <w:w w:val="105"/>
        </w:rPr>
        <w:t>having</w:t>
      </w:r>
      <w:r>
        <w:rPr>
          <w:spacing w:val="-6"/>
          <w:w w:val="105"/>
        </w:rPr>
        <w:t> </w:t>
      </w:r>
      <w:r>
        <w:rPr>
          <w:w w:val="105"/>
        </w:rPr>
        <w:t>a permit amended </w:t>
      </w:r>
      <w:r>
        <w:rPr>
          <w:spacing w:val="-3"/>
          <w:w w:val="105"/>
        </w:rPr>
        <w:t>pursuant to </w:t>
      </w:r>
      <w:r>
        <w:rPr>
          <w:w w:val="105"/>
        </w:rPr>
        <w:t>the </w:t>
      </w:r>
      <w:r>
        <w:rPr>
          <w:spacing w:val="4"/>
          <w:w w:val="105"/>
        </w:rPr>
        <w:t>P&amp;E</w:t>
      </w:r>
      <w:r>
        <w:rPr>
          <w:spacing w:val="33"/>
          <w:w w:val="105"/>
        </w:rPr>
        <w:t> </w:t>
      </w:r>
      <w:r>
        <w:rPr>
          <w:w w:val="105"/>
        </w:rPr>
        <w:t>Act.</w:t>
      </w:r>
    </w:p>
    <w:p>
      <w:pPr>
        <w:pStyle w:val="ListParagraph"/>
        <w:numPr>
          <w:ilvl w:val="0"/>
          <w:numId w:val="173"/>
        </w:numPr>
        <w:tabs>
          <w:tab w:pos="2381" w:val="left" w:leader="none"/>
        </w:tabs>
        <w:spacing w:line="242" w:lineRule="auto" w:before="125" w:after="0"/>
        <w:ind w:left="2381" w:right="1867" w:hanging="794"/>
        <w:jc w:val="left"/>
        <w:rPr>
          <w:sz w:val="12"/>
        </w:rPr>
      </w:pPr>
      <w:r>
        <w:rPr>
          <w:sz w:val="21"/>
        </w:rPr>
        <w:t>In </w:t>
      </w:r>
      <w:r>
        <w:rPr>
          <w:spacing w:val="-3"/>
          <w:sz w:val="21"/>
        </w:rPr>
        <w:t>addition, </w:t>
      </w:r>
      <w:r>
        <w:rPr>
          <w:sz w:val="21"/>
        </w:rPr>
        <w:t>the </w:t>
      </w:r>
      <w:r>
        <w:rPr>
          <w:spacing w:val="4"/>
          <w:sz w:val="21"/>
        </w:rPr>
        <w:t>P&amp;E </w:t>
      </w:r>
      <w:r>
        <w:rPr>
          <w:sz w:val="21"/>
        </w:rPr>
        <w:t>Act provides </w:t>
      </w:r>
      <w:r>
        <w:rPr>
          <w:spacing w:val="-3"/>
          <w:sz w:val="21"/>
        </w:rPr>
        <w:t>that </w:t>
      </w:r>
      <w:r>
        <w:rPr>
          <w:sz w:val="21"/>
        </w:rPr>
        <w:t>the </w:t>
      </w:r>
      <w:r>
        <w:rPr>
          <w:spacing w:val="-3"/>
          <w:sz w:val="21"/>
        </w:rPr>
        <w:t>responsible </w:t>
      </w:r>
      <w:r>
        <w:rPr>
          <w:sz w:val="21"/>
        </w:rPr>
        <w:t>authority </w:t>
      </w:r>
      <w:r>
        <w:rPr>
          <w:spacing w:val="-3"/>
          <w:sz w:val="21"/>
        </w:rPr>
        <w:t>may </w:t>
      </w:r>
      <w:r>
        <w:rPr>
          <w:sz w:val="21"/>
        </w:rPr>
        <w:t>be </w:t>
      </w:r>
      <w:r>
        <w:rPr>
          <w:spacing w:val="-3"/>
          <w:sz w:val="21"/>
        </w:rPr>
        <w:t>required to </w:t>
      </w:r>
      <w:r>
        <w:rPr>
          <w:spacing w:val="-2"/>
          <w:sz w:val="21"/>
        </w:rPr>
        <w:t>pay </w:t>
      </w:r>
      <w:r>
        <w:rPr>
          <w:sz w:val="21"/>
        </w:rPr>
        <w:t>compensation </w:t>
      </w:r>
      <w:r>
        <w:rPr>
          <w:spacing w:val="-3"/>
          <w:sz w:val="21"/>
        </w:rPr>
        <w:t>for </w:t>
      </w:r>
      <w:r>
        <w:rPr>
          <w:sz w:val="21"/>
        </w:rPr>
        <w:t>wasted </w:t>
      </w:r>
      <w:r>
        <w:rPr>
          <w:spacing w:val="-3"/>
          <w:sz w:val="21"/>
        </w:rPr>
        <w:t>expenditure </w:t>
      </w:r>
      <w:r>
        <w:rPr>
          <w:sz w:val="21"/>
        </w:rPr>
        <w:t>as a </w:t>
      </w:r>
      <w:r>
        <w:rPr>
          <w:spacing w:val="-3"/>
          <w:sz w:val="21"/>
        </w:rPr>
        <w:t>result </w:t>
      </w:r>
      <w:r>
        <w:rPr>
          <w:sz w:val="21"/>
        </w:rPr>
        <w:t>of a permit</w:t>
      </w:r>
      <w:r>
        <w:rPr>
          <w:spacing w:val="8"/>
          <w:sz w:val="21"/>
        </w:rPr>
        <w:t> </w:t>
      </w:r>
      <w:r>
        <w:rPr>
          <w:sz w:val="21"/>
        </w:rPr>
        <w:t>amendment.</w:t>
      </w:r>
      <w:r>
        <w:rPr>
          <w:position w:val="7"/>
          <w:sz w:val="12"/>
        </w:rPr>
        <w:t>309</w:t>
      </w:r>
    </w:p>
    <w:p>
      <w:pPr>
        <w:pStyle w:val="ListParagraph"/>
        <w:numPr>
          <w:ilvl w:val="0"/>
          <w:numId w:val="173"/>
        </w:numPr>
        <w:tabs>
          <w:tab w:pos="2380" w:val="left" w:leader="none"/>
          <w:tab w:pos="2382" w:val="left" w:leader="none"/>
        </w:tabs>
        <w:spacing w:line="242" w:lineRule="auto" w:before="123" w:after="0"/>
        <w:ind w:left="2381" w:right="1705" w:hanging="794"/>
        <w:jc w:val="left"/>
        <w:rPr>
          <w:sz w:val="21"/>
        </w:rPr>
      </w:pPr>
      <w:r>
        <w:rPr>
          <w:sz w:val="21"/>
        </w:rPr>
        <w:t>The </w:t>
      </w:r>
      <w:r>
        <w:rPr>
          <w:spacing w:val="-3"/>
          <w:sz w:val="21"/>
        </w:rPr>
        <w:t>Commission concludes that </w:t>
      </w:r>
      <w:r>
        <w:rPr>
          <w:sz w:val="21"/>
        </w:rPr>
        <w:t>because of the complex policy </w:t>
      </w:r>
      <w:r>
        <w:rPr>
          <w:spacing w:val="-3"/>
          <w:sz w:val="21"/>
        </w:rPr>
        <w:t>considerations involved, </w:t>
      </w:r>
      <w:r>
        <w:rPr>
          <w:sz w:val="21"/>
        </w:rPr>
        <w:t>further </w:t>
      </w:r>
      <w:r>
        <w:rPr>
          <w:spacing w:val="-3"/>
          <w:sz w:val="21"/>
        </w:rPr>
        <w:t>consultation </w:t>
      </w:r>
      <w:r>
        <w:rPr>
          <w:sz w:val="21"/>
        </w:rPr>
        <w:t>is needed on this </w:t>
      </w:r>
      <w:r>
        <w:rPr>
          <w:spacing w:val="-3"/>
          <w:sz w:val="21"/>
        </w:rPr>
        <w:t>issue. </w:t>
      </w:r>
      <w:r>
        <w:rPr>
          <w:sz w:val="21"/>
        </w:rPr>
        <w:t>It would </w:t>
      </w:r>
      <w:r>
        <w:rPr>
          <w:spacing w:val="-2"/>
          <w:sz w:val="21"/>
        </w:rPr>
        <w:t>not </w:t>
      </w:r>
      <w:r>
        <w:rPr>
          <w:sz w:val="21"/>
        </w:rPr>
        <w:t>be </w:t>
      </w:r>
      <w:r>
        <w:rPr>
          <w:spacing w:val="-3"/>
          <w:sz w:val="21"/>
        </w:rPr>
        <w:t>appropriate to </w:t>
      </w:r>
      <w:r>
        <w:rPr>
          <w:sz w:val="21"/>
        </w:rPr>
        <w:t>provide </w:t>
      </w:r>
      <w:r>
        <w:rPr>
          <w:spacing w:val="-5"/>
          <w:sz w:val="21"/>
        </w:rPr>
        <w:t>VCAT </w:t>
      </w:r>
      <w:r>
        <w:rPr>
          <w:sz w:val="21"/>
        </w:rPr>
        <w:t>with the power </w:t>
      </w:r>
      <w:r>
        <w:rPr>
          <w:spacing w:val="-3"/>
          <w:sz w:val="21"/>
        </w:rPr>
        <w:t>to </w:t>
      </w:r>
      <w:r>
        <w:rPr>
          <w:sz w:val="21"/>
        </w:rPr>
        <w:t>amend an existing </w:t>
      </w:r>
      <w:r>
        <w:rPr>
          <w:spacing w:val="-3"/>
          <w:sz w:val="21"/>
        </w:rPr>
        <w:t>planning </w:t>
      </w:r>
      <w:r>
        <w:rPr>
          <w:sz w:val="21"/>
        </w:rPr>
        <w:t>permit without </w:t>
      </w:r>
      <w:r>
        <w:rPr>
          <w:spacing w:val="-3"/>
          <w:sz w:val="21"/>
        </w:rPr>
        <w:t>Government </w:t>
      </w:r>
      <w:r>
        <w:rPr>
          <w:sz w:val="21"/>
        </w:rPr>
        <w:t>further </w:t>
      </w:r>
      <w:r>
        <w:rPr>
          <w:spacing w:val="-3"/>
          <w:sz w:val="21"/>
        </w:rPr>
        <w:t>consulting </w:t>
      </w:r>
      <w:r>
        <w:rPr>
          <w:sz w:val="21"/>
        </w:rPr>
        <w:t>with </w:t>
      </w:r>
      <w:r>
        <w:rPr>
          <w:spacing w:val="-8"/>
          <w:sz w:val="21"/>
        </w:rPr>
        <w:t>VCAT, </w:t>
      </w:r>
      <w:r>
        <w:rPr>
          <w:sz w:val="21"/>
        </w:rPr>
        <w:t>the Department of </w:t>
      </w:r>
      <w:r>
        <w:rPr>
          <w:spacing w:val="-3"/>
          <w:sz w:val="21"/>
        </w:rPr>
        <w:t>Environment, </w:t>
      </w:r>
      <w:r>
        <w:rPr>
          <w:sz w:val="21"/>
        </w:rPr>
        <w:t>Land, </w:t>
      </w:r>
      <w:r>
        <w:rPr>
          <w:spacing w:val="-4"/>
          <w:sz w:val="21"/>
        </w:rPr>
        <w:t>Water </w:t>
      </w:r>
      <w:r>
        <w:rPr>
          <w:sz w:val="21"/>
        </w:rPr>
        <w:t>and </w:t>
      </w:r>
      <w:r>
        <w:rPr>
          <w:spacing w:val="-3"/>
          <w:sz w:val="21"/>
        </w:rPr>
        <w:t>Planning </w:t>
      </w:r>
      <w:r>
        <w:rPr>
          <w:sz w:val="21"/>
        </w:rPr>
        <w:t>and Victorian </w:t>
      </w:r>
      <w:r>
        <w:rPr>
          <w:spacing w:val="-3"/>
          <w:sz w:val="21"/>
        </w:rPr>
        <w:t>councils </w:t>
      </w:r>
      <w:r>
        <w:rPr>
          <w:sz w:val="21"/>
        </w:rPr>
        <w:t>on this</w:t>
      </w:r>
      <w:r>
        <w:rPr>
          <w:spacing w:val="37"/>
          <w:sz w:val="21"/>
        </w:rPr>
        <w:t> </w:t>
      </w:r>
      <w:r>
        <w:rPr>
          <w:spacing w:val="-3"/>
          <w:sz w:val="21"/>
        </w:rPr>
        <w:t>issue.</w:t>
      </w:r>
    </w:p>
    <w:p>
      <w:pPr>
        <w:pStyle w:val="ListParagraph"/>
        <w:numPr>
          <w:ilvl w:val="0"/>
          <w:numId w:val="173"/>
        </w:numPr>
        <w:tabs>
          <w:tab w:pos="2380" w:val="left" w:leader="none"/>
          <w:tab w:pos="2382" w:val="left" w:leader="none"/>
        </w:tabs>
        <w:spacing w:line="242" w:lineRule="auto" w:before="125" w:after="0"/>
        <w:ind w:left="2381" w:right="1756" w:hanging="794"/>
        <w:jc w:val="left"/>
        <w:rPr>
          <w:sz w:val="21"/>
        </w:rPr>
      </w:pPr>
      <w:r>
        <w:rPr>
          <w:sz w:val="21"/>
        </w:rPr>
        <w:t>The </w:t>
      </w:r>
      <w:r>
        <w:rPr>
          <w:spacing w:val="-3"/>
          <w:sz w:val="21"/>
        </w:rPr>
        <w:t>Queensland </w:t>
      </w:r>
      <w:r>
        <w:rPr>
          <w:sz w:val="21"/>
        </w:rPr>
        <w:t>Act does </w:t>
      </w:r>
      <w:r>
        <w:rPr>
          <w:spacing w:val="-2"/>
          <w:sz w:val="21"/>
        </w:rPr>
        <w:t>not </w:t>
      </w:r>
      <w:r>
        <w:rPr>
          <w:sz w:val="21"/>
        </w:rPr>
        <w:t>apply </w:t>
      </w:r>
      <w:r>
        <w:rPr>
          <w:spacing w:val="-3"/>
          <w:sz w:val="21"/>
        </w:rPr>
        <w:t>to </w:t>
      </w:r>
      <w:r>
        <w:rPr>
          <w:sz w:val="21"/>
        </w:rPr>
        <w:t>trees </w:t>
      </w:r>
      <w:r>
        <w:rPr>
          <w:spacing w:val="-3"/>
          <w:sz w:val="21"/>
        </w:rPr>
        <w:t>planted </w:t>
      </w:r>
      <w:r>
        <w:rPr>
          <w:sz w:val="21"/>
        </w:rPr>
        <w:t>or </w:t>
      </w:r>
      <w:r>
        <w:rPr>
          <w:spacing w:val="-3"/>
          <w:sz w:val="21"/>
        </w:rPr>
        <w:t>maintained </w:t>
      </w:r>
      <w:r>
        <w:rPr>
          <w:sz w:val="21"/>
        </w:rPr>
        <w:t>as a </w:t>
      </w:r>
      <w:r>
        <w:rPr>
          <w:spacing w:val="-3"/>
          <w:sz w:val="21"/>
        </w:rPr>
        <w:t>condition </w:t>
      </w:r>
      <w:r>
        <w:rPr>
          <w:sz w:val="21"/>
        </w:rPr>
        <w:t>of development  </w:t>
      </w:r>
      <w:r>
        <w:rPr>
          <w:spacing w:val="-3"/>
          <w:sz w:val="21"/>
        </w:rPr>
        <w:t>approval.</w:t>
      </w:r>
      <w:r>
        <w:rPr>
          <w:spacing w:val="-3"/>
          <w:position w:val="7"/>
          <w:sz w:val="12"/>
        </w:rPr>
        <w:t>310  </w:t>
      </w:r>
      <w:r>
        <w:rPr>
          <w:sz w:val="21"/>
        </w:rPr>
        <w:t>The  Second  </w:t>
      </w:r>
      <w:r>
        <w:rPr>
          <w:spacing w:val="-3"/>
          <w:sz w:val="21"/>
        </w:rPr>
        <w:t>Reading  </w:t>
      </w:r>
      <w:r>
        <w:rPr>
          <w:sz w:val="21"/>
        </w:rPr>
        <w:t>Speech  </w:t>
      </w:r>
      <w:r>
        <w:rPr>
          <w:spacing w:val="-3"/>
          <w:sz w:val="21"/>
        </w:rPr>
        <w:t>introducing  </w:t>
      </w:r>
      <w:r>
        <w:rPr>
          <w:sz w:val="21"/>
        </w:rPr>
        <w:t>this  Act  explained the </w:t>
      </w:r>
      <w:r>
        <w:rPr>
          <w:spacing w:val="-3"/>
          <w:sz w:val="21"/>
        </w:rPr>
        <w:t>aim </w:t>
      </w:r>
      <w:r>
        <w:rPr>
          <w:sz w:val="21"/>
        </w:rPr>
        <w:t>of this approach was </w:t>
      </w:r>
      <w:r>
        <w:rPr>
          <w:spacing w:val="-3"/>
          <w:sz w:val="21"/>
        </w:rPr>
        <w:t>to ensure that ‘developers </w:t>
      </w:r>
      <w:r>
        <w:rPr>
          <w:sz w:val="21"/>
        </w:rPr>
        <w:t>do </w:t>
      </w:r>
      <w:r>
        <w:rPr>
          <w:spacing w:val="-2"/>
          <w:sz w:val="21"/>
        </w:rPr>
        <w:t>not </w:t>
      </w:r>
      <w:r>
        <w:rPr>
          <w:sz w:val="21"/>
        </w:rPr>
        <w:t>use the </w:t>
      </w:r>
      <w:r>
        <w:rPr>
          <w:spacing w:val="-3"/>
          <w:sz w:val="21"/>
        </w:rPr>
        <w:t>provisions </w:t>
      </w:r>
      <w:r>
        <w:rPr>
          <w:sz w:val="21"/>
        </w:rPr>
        <w:t>of this </w:t>
      </w:r>
      <w:r>
        <w:rPr>
          <w:spacing w:val="-3"/>
          <w:sz w:val="21"/>
        </w:rPr>
        <w:t>legislation to </w:t>
      </w:r>
      <w:r>
        <w:rPr>
          <w:sz w:val="21"/>
        </w:rPr>
        <w:t>escape the </w:t>
      </w:r>
      <w:r>
        <w:rPr>
          <w:spacing w:val="-3"/>
          <w:sz w:val="21"/>
        </w:rPr>
        <w:t>responsibilities that might </w:t>
      </w:r>
      <w:r>
        <w:rPr>
          <w:sz w:val="21"/>
        </w:rPr>
        <w:t>be imposed upon them in </w:t>
      </w:r>
      <w:r>
        <w:rPr>
          <w:spacing w:val="-3"/>
          <w:sz w:val="21"/>
        </w:rPr>
        <w:t>terms</w:t>
      </w:r>
      <w:r>
        <w:rPr>
          <w:spacing w:val="34"/>
          <w:sz w:val="21"/>
        </w:rPr>
        <w:t> </w:t>
      </w:r>
      <w:r>
        <w:rPr>
          <w:sz w:val="21"/>
        </w:rPr>
        <w:t>of</w:t>
      </w:r>
    </w:p>
    <w:p>
      <w:pPr>
        <w:pStyle w:val="BodyText"/>
        <w:spacing w:line="242" w:lineRule="auto" w:before="4"/>
        <w:ind w:left="2381" w:right="1571" w:hanging="1"/>
      </w:pPr>
      <w:r>
        <w:rPr>
          <w:w w:val="105"/>
        </w:rPr>
        <w:t>vegetation or other issues as part of </w:t>
      </w:r>
      <w:r>
        <w:rPr>
          <w:spacing w:val="-3"/>
          <w:w w:val="105"/>
        </w:rPr>
        <w:t>that </w:t>
      </w:r>
      <w:r>
        <w:rPr>
          <w:w w:val="105"/>
        </w:rPr>
        <w:t>development </w:t>
      </w:r>
      <w:r>
        <w:rPr>
          <w:spacing w:val="-4"/>
          <w:w w:val="105"/>
        </w:rPr>
        <w:t>approval’.</w:t>
      </w:r>
      <w:r>
        <w:rPr>
          <w:spacing w:val="-4"/>
          <w:w w:val="105"/>
          <w:position w:val="7"/>
          <w:sz w:val="12"/>
        </w:rPr>
        <w:t>311</w:t>
      </w:r>
      <w:r>
        <w:rPr>
          <w:spacing w:val="-4"/>
          <w:w w:val="105"/>
        </w:rPr>
        <w:t>The </w:t>
      </w:r>
      <w:r>
        <w:rPr>
          <w:spacing w:val="-3"/>
          <w:w w:val="105"/>
        </w:rPr>
        <w:t>Commission </w:t>
      </w:r>
      <w:r>
        <w:rPr>
          <w:spacing w:val="-2"/>
          <w:w w:val="105"/>
        </w:rPr>
        <w:t>raises </w:t>
      </w:r>
      <w:r>
        <w:rPr>
          <w:w w:val="105"/>
        </w:rPr>
        <w:t>this as a further policy issue </w:t>
      </w:r>
      <w:r>
        <w:rPr>
          <w:spacing w:val="-3"/>
          <w:w w:val="105"/>
        </w:rPr>
        <w:t>that </w:t>
      </w:r>
      <w:r>
        <w:rPr>
          <w:w w:val="105"/>
        </w:rPr>
        <w:t>needs </w:t>
      </w:r>
      <w:r>
        <w:rPr>
          <w:spacing w:val="-3"/>
          <w:w w:val="105"/>
        </w:rPr>
        <w:t>to </w:t>
      </w:r>
      <w:r>
        <w:rPr>
          <w:w w:val="105"/>
        </w:rPr>
        <w:t>be addressed in this context.</w:t>
      </w:r>
    </w:p>
    <w:p>
      <w:pPr>
        <w:pStyle w:val="ListParagraph"/>
        <w:numPr>
          <w:ilvl w:val="0"/>
          <w:numId w:val="173"/>
        </w:numPr>
        <w:tabs>
          <w:tab w:pos="2381" w:val="left" w:leader="none"/>
          <w:tab w:pos="2382" w:val="left" w:leader="none"/>
        </w:tabs>
        <w:spacing w:line="242" w:lineRule="auto" w:before="123" w:after="0"/>
        <w:ind w:left="2381" w:right="1904" w:hanging="794"/>
        <w:jc w:val="left"/>
        <w:rPr>
          <w:sz w:val="21"/>
        </w:rPr>
      </w:pPr>
      <w:r>
        <w:rPr>
          <w:w w:val="105"/>
          <w:sz w:val="21"/>
        </w:rPr>
        <w:t>In</w:t>
      </w:r>
      <w:r>
        <w:rPr>
          <w:spacing w:val="-9"/>
          <w:w w:val="105"/>
          <w:sz w:val="21"/>
        </w:rPr>
        <w:t> </w:t>
      </w:r>
      <w:r>
        <w:rPr>
          <w:w w:val="105"/>
          <w:sz w:val="21"/>
        </w:rPr>
        <w:t>New</w:t>
      </w:r>
      <w:r>
        <w:rPr>
          <w:spacing w:val="-8"/>
          <w:w w:val="105"/>
          <w:sz w:val="21"/>
        </w:rPr>
        <w:t> </w:t>
      </w:r>
      <w:r>
        <w:rPr>
          <w:w w:val="105"/>
          <w:sz w:val="21"/>
        </w:rPr>
        <w:t>South</w:t>
      </w:r>
      <w:r>
        <w:rPr>
          <w:spacing w:val="-8"/>
          <w:w w:val="105"/>
          <w:sz w:val="21"/>
        </w:rPr>
        <w:t> </w:t>
      </w:r>
      <w:r>
        <w:rPr>
          <w:spacing w:val="-3"/>
          <w:w w:val="105"/>
          <w:sz w:val="21"/>
        </w:rPr>
        <w:t>Wales</w:t>
      </w:r>
      <w:r>
        <w:rPr>
          <w:spacing w:val="-8"/>
          <w:w w:val="105"/>
          <w:sz w:val="21"/>
        </w:rPr>
        <w:t> </w:t>
      </w:r>
      <w:r>
        <w:rPr>
          <w:w w:val="105"/>
          <w:sz w:val="21"/>
        </w:rPr>
        <w:t>orders</w:t>
      </w:r>
      <w:r>
        <w:rPr>
          <w:spacing w:val="-8"/>
          <w:w w:val="105"/>
          <w:sz w:val="21"/>
        </w:rPr>
        <w:t> </w:t>
      </w:r>
      <w:r>
        <w:rPr>
          <w:spacing w:val="-3"/>
          <w:w w:val="105"/>
          <w:sz w:val="21"/>
        </w:rPr>
        <w:t>have</w:t>
      </w:r>
      <w:r>
        <w:rPr>
          <w:spacing w:val="-9"/>
          <w:w w:val="105"/>
          <w:sz w:val="21"/>
        </w:rPr>
        <w:t> </w:t>
      </w:r>
      <w:r>
        <w:rPr>
          <w:w w:val="105"/>
          <w:sz w:val="21"/>
        </w:rPr>
        <w:t>effect</w:t>
      </w:r>
      <w:r>
        <w:rPr>
          <w:spacing w:val="-8"/>
          <w:w w:val="105"/>
          <w:sz w:val="21"/>
        </w:rPr>
        <w:t> </w:t>
      </w:r>
      <w:r>
        <w:rPr>
          <w:w w:val="105"/>
          <w:sz w:val="21"/>
        </w:rPr>
        <w:t>despite</w:t>
      </w:r>
      <w:r>
        <w:rPr>
          <w:spacing w:val="-8"/>
          <w:w w:val="105"/>
          <w:sz w:val="21"/>
        </w:rPr>
        <w:t> </w:t>
      </w:r>
      <w:r>
        <w:rPr>
          <w:spacing w:val="-6"/>
          <w:w w:val="105"/>
          <w:sz w:val="21"/>
        </w:rPr>
        <w:t>‘any</w:t>
      </w:r>
      <w:r>
        <w:rPr>
          <w:spacing w:val="-8"/>
          <w:w w:val="105"/>
          <w:sz w:val="21"/>
        </w:rPr>
        <w:t> </w:t>
      </w:r>
      <w:r>
        <w:rPr>
          <w:spacing w:val="-3"/>
          <w:w w:val="105"/>
          <w:sz w:val="21"/>
        </w:rPr>
        <w:t>requirement</w:t>
      </w:r>
      <w:r>
        <w:rPr>
          <w:spacing w:val="-8"/>
          <w:w w:val="105"/>
          <w:sz w:val="21"/>
        </w:rPr>
        <w:t> </w:t>
      </w:r>
      <w:r>
        <w:rPr>
          <w:spacing w:val="-3"/>
          <w:w w:val="105"/>
          <w:sz w:val="21"/>
        </w:rPr>
        <w:t>that</w:t>
      </w:r>
      <w:r>
        <w:rPr>
          <w:spacing w:val="-9"/>
          <w:w w:val="105"/>
          <w:sz w:val="21"/>
        </w:rPr>
        <w:t> </w:t>
      </w:r>
      <w:r>
        <w:rPr>
          <w:w w:val="105"/>
          <w:sz w:val="21"/>
        </w:rPr>
        <w:t>would</w:t>
      </w:r>
      <w:r>
        <w:rPr>
          <w:spacing w:val="-8"/>
          <w:w w:val="105"/>
          <w:sz w:val="21"/>
        </w:rPr>
        <w:t> </w:t>
      </w:r>
      <w:r>
        <w:rPr>
          <w:w w:val="105"/>
          <w:sz w:val="21"/>
        </w:rPr>
        <w:t>otherwise apply </w:t>
      </w:r>
      <w:r>
        <w:rPr>
          <w:spacing w:val="-3"/>
          <w:w w:val="105"/>
          <w:sz w:val="21"/>
        </w:rPr>
        <w:t>for </w:t>
      </w:r>
      <w:r>
        <w:rPr>
          <w:w w:val="105"/>
          <w:sz w:val="21"/>
        </w:rPr>
        <w:t>a </w:t>
      </w:r>
      <w:r>
        <w:rPr>
          <w:spacing w:val="-3"/>
          <w:w w:val="105"/>
          <w:sz w:val="21"/>
        </w:rPr>
        <w:t>consent </w:t>
      </w:r>
      <w:r>
        <w:rPr>
          <w:w w:val="105"/>
          <w:sz w:val="21"/>
        </w:rPr>
        <w:t>or authorisation in </w:t>
      </w:r>
      <w:r>
        <w:rPr>
          <w:spacing w:val="-3"/>
          <w:w w:val="105"/>
          <w:sz w:val="21"/>
        </w:rPr>
        <w:t>relation to </w:t>
      </w:r>
      <w:r>
        <w:rPr>
          <w:w w:val="105"/>
          <w:sz w:val="21"/>
        </w:rPr>
        <w:t>the tree </w:t>
      </w:r>
      <w:r>
        <w:rPr>
          <w:spacing w:val="-3"/>
          <w:w w:val="105"/>
          <w:sz w:val="21"/>
        </w:rPr>
        <w:t>concerned to </w:t>
      </w:r>
      <w:r>
        <w:rPr>
          <w:w w:val="105"/>
          <w:sz w:val="21"/>
        </w:rPr>
        <w:t>be obtained under the </w:t>
      </w:r>
      <w:r>
        <w:rPr>
          <w:i/>
          <w:spacing w:val="-3"/>
          <w:w w:val="105"/>
          <w:sz w:val="21"/>
        </w:rPr>
        <w:t>Environmental Planning </w:t>
      </w:r>
      <w:r>
        <w:rPr>
          <w:i/>
          <w:w w:val="105"/>
          <w:sz w:val="21"/>
        </w:rPr>
        <w:t>and Assessment Act </w:t>
      </w:r>
      <w:r>
        <w:rPr>
          <w:i/>
          <w:spacing w:val="-9"/>
          <w:w w:val="105"/>
          <w:sz w:val="21"/>
        </w:rPr>
        <w:t>1979 </w:t>
      </w:r>
      <w:r>
        <w:rPr>
          <w:w w:val="105"/>
          <w:sz w:val="21"/>
        </w:rPr>
        <w:t>(NSW)’.</w:t>
      </w:r>
      <w:r>
        <w:rPr>
          <w:w w:val="105"/>
          <w:position w:val="7"/>
          <w:sz w:val="12"/>
        </w:rPr>
        <w:t>312 </w:t>
      </w:r>
      <w:r>
        <w:rPr>
          <w:w w:val="105"/>
          <w:sz w:val="21"/>
        </w:rPr>
        <w:t>This is a more straightforward </w:t>
      </w:r>
      <w:r>
        <w:rPr>
          <w:spacing w:val="-3"/>
          <w:w w:val="105"/>
          <w:sz w:val="21"/>
        </w:rPr>
        <w:t>approach. </w:t>
      </w:r>
      <w:r>
        <w:rPr>
          <w:spacing w:val="-4"/>
          <w:w w:val="105"/>
          <w:sz w:val="21"/>
        </w:rPr>
        <w:t>However, </w:t>
      </w:r>
      <w:r>
        <w:rPr>
          <w:w w:val="105"/>
          <w:sz w:val="21"/>
        </w:rPr>
        <w:t>because of the complexity of existing </w:t>
      </w:r>
      <w:r>
        <w:rPr>
          <w:spacing w:val="-3"/>
          <w:w w:val="105"/>
          <w:sz w:val="21"/>
        </w:rPr>
        <w:t>planning provisions </w:t>
      </w:r>
      <w:r>
        <w:rPr>
          <w:w w:val="105"/>
          <w:sz w:val="21"/>
        </w:rPr>
        <w:t>in Victoria and the </w:t>
      </w:r>
      <w:r>
        <w:rPr>
          <w:spacing w:val="-3"/>
          <w:w w:val="105"/>
          <w:sz w:val="21"/>
        </w:rPr>
        <w:t>aim to </w:t>
      </w:r>
      <w:r>
        <w:rPr>
          <w:w w:val="105"/>
          <w:sz w:val="21"/>
        </w:rPr>
        <w:t>cause </w:t>
      </w:r>
      <w:r>
        <w:rPr>
          <w:spacing w:val="-3"/>
          <w:w w:val="105"/>
          <w:sz w:val="21"/>
        </w:rPr>
        <w:t>minimal disruption to </w:t>
      </w:r>
      <w:r>
        <w:rPr>
          <w:w w:val="105"/>
          <w:sz w:val="21"/>
        </w:rPr>
        <w:t>existing laws, the </w:t>
      </w:r>
      <w:r>
        <w:rPr>
          <w:spacing w:val="-3"/>
          <w:w w:val="105"/>
          <w:sz w:val="21"/>
        </w:rPr>
        <w:t>Commission</w:t>
      </w:r>
      <w:r>
        <w:rPr>
          <w:spacing w:val="-10"/>
          <w:w w:val="105"/>
          <w:sz w:val="21"/>
        </w:rPr>
        <w:t> </w:t>
      </w:r>
      <w:r>
        <w:rPr>
          <w:w w:val="105"/>
          <w:sz w:val="21"/>
        </w:rPr>
        <w:t>considers</w:t>
      </w:r>
      <w:r>
        <w:rPr>
          <w:spacing w:val="-10"/>
          <w:w w:val="105"/>
          <w:sz w:val="21"/>
        </w:rPr>
        <w:t> </w:t>
      </w:r>
      <w:r>
        <w:rPr>
          <w:spacing w:val="-3"/>
          <w:w w:val="105"/>
          <w:sz w:val="21"/>
        </w:rPr>
        <w:t>that</w:t>
      </w:r>
      <w:r>
        <w:rPr>
          <w:spacing w:val="-9"/>
          <w:w w:val="105"/>
          <w:sz w:val="21"/>
        </w:rPr>
        <w:t> </w:t>
      </w:r>
      <w:r>
        <w:rPr>
          <w:w w:val="105"/>
          <w:sz w:val="21"/>
        </w:rPr>
        <w:t>the</w:t>
      </w:r>
      <w:r>
        <w:rPr>
          <w:spacing w:val="-10"/>
          <w:w w:val="105"/>
          <w:sz w:val="21"/>
        </w:rPr>
        <w:t> </w:t>
      </w:r>
      <w:r>
        <w:rPr>
          <w:w w:val="105"/>
          <w:sz w:val="21"/>
        </w:rPr>
        <w:t>NSW</w:t>
      </w:r>
      <w:r>
        <w:rPr>
          <w:spacing w:val="-10"/>
          <w:w w:val="105"/>
          <w:sz w:val="21"/>
        </w:rPr>
        <w:t> </w:t>
      </w:r>
      <w:r>
        <w:rPr>
          <w:w w:val="105"/>
          <w:sz w:val="21"/>
        </w:rPr>
        <w:t>approach</w:t>
      </w:r>
      <w:r>
        <w:rPr>
          <w:spacing w:val="-9"/>
          <w:w w:val="105"/>
          <w:sz w:val="21"/>
        </w:rPr>
        <w:t> </w:t>
      </w:r>
      <w:r>
        <w:rPr>
          <w:w w:val="105"/>
          <w:sz w:val="21"/>
        </w:rPr>
        <w:t>would</w:t>
      </w:r>
      <w:r>
        <w:rPr>
          <w:spacing w:val="-10"/>
          <w:w w:val="105"/>
          <w:sz w:val="21"/>
        </w:rPr>
        <w:t> </w:t>
      </w:r>
      <w:r>
        <w:rPr>
          <w:spacing w:val="-3"/>
          <w:w w:val="105"/>
          <w:sz w:val="21"/>
        </w:rPr>
        <w:t>require</w:t>
      </w:r>
      <w:r>
        <w:rPr>
          <w:spacing w:val="-9"/>
          <w:w w:val="105"/>
          <w:sz w:val="21"/>
        </w:rPr>
        <w:t> </w:t>
      </w:r>
      <w:r>
        <w:rPr>
          <w:w w:val="105"/>
          <w:sz w:val="21"/>
        </w:rPr>
        <w:t>extensive</w:t>
      </w:r>
      <w:r>
        <w:rPr>
          <w:spacing w:val="-10"/>
          <w:w w:val="105"/>
          <w:sz w:val="21"/>
        </w:rPr>
        <w:t> </w:t>
      </w:r>
      <w:r>
        <w:rPr>
          <w:spacing w:val="-3"/>
          <w:w w:val="105"/>
          <w:sz w:val="21"/>
        </w:rPr>
        <w:t>consultation</w:t>
      </w:r>
      <w:r>
        <w:rPr>
          <w:spacing w:val="-10"/>
          <w:w w:val="105"/>
          <w:sz w:val="21"/>
        </w:rPr>
        <w:t> </w:t>
      </w:r>
      <w:r>
        <w:rPr>
          <w:w w:val="105"/>
          <w:sz w:val="21"/>
        </w:rPr>
        <w:t>by </w:t>
      </w:r>
      <w:r>
        <w:rPr>
          <w:spacing w:val="-3"/>
          <w:w w:val="105"/>
          <w:sz w:val="21"/>
        </w:rPr>
        <w:t>Government.</w:t>
      </w:r>
    </w:p>
    <w:p>
      <w:pPr>
        <w:spacing w:before="164"/>
        <w:ind w:left="1587" w:right="0" w:firstLine="0"/>
        <w:jc w:val="left"/>
        <w:rPr>
          <w:rFonts w:ascii="Lucida Sans"/>
          <w:i/>
          <w:sz w:val="21"/>
        </w:rPr>
      </w:pPr>
      <w:r>
        <w:rPr>
          <w:rFonts w:ascii="Lucida Sans"/>
          <w:i/>
          <w:color w:val="58595B"/>
          <w:sz w:val="21"/>
        </w:rPr>
        <w:t>Further considerations for Government</w:t>
      </w:r>
    </w:p>
    <w:p>
      <w:pPr>
        <w:pStyle w:val="ListParagraph"/>
        <w:numPr>
          <w:ilvl w:val="0"/>
          <w:numId w:val="173"/>
        </w:numPr>
        <w:tabs>
          <w:tab w:pos="2382" w:val="left" w:leader="none"/>
        </w:tabs>
        <w:spacing w:line="242" w:lineRule="auto" w:before="158" w:after="0"/>
        <w:ind w:left="2381" w:right="1728" w:hanging="794"/>
        <w:jc w:val="left"/>
        <w:rPr>
          <w:sz w:val="21"/>
        </w:rPr>
      </w:pPr>
      <w:r>
        <w:rPr>
          <w:w w:val="105"/>
          <w:sz w:val="21"/>
        </w:rPr>
        <w:t>The</w:t>
      </w:r>
      <w:r>
        <w:rPr>
          <w:spacing w:val="-6"/>
          <w:w w:val="105"/>
          <w:sz w:val="21"/>
        </w:rPr>
        <w:t> </w:t>
      </w:r>
      <w:r>
        <w:rPr>
          <w:spacing w:val="-3"/>
          <w:w w:val="105"/>
          <w:sz w:val="21"/>
        </w:rPr>
        <w:t>Commission</w:t>
      </w:r>
      <w:r>
        <w:rPr>
          <w:spacing w:val="-5"/>
          <w:w w:val="105"/>
          <w:sz w:val="21"/>
        </w:rPr>
        <w:t> </w:t>
      </w:r>
      <w:r>
        <w:rPr>
          <w:spacing w:val="-2"/>
          <w:w w:val="105"/>
          <w:sz w:val="21"/>
        </w:rPr>
        <w:t>has</w:t>
      </w:r>
      <w:r>
        <w:rPr>
          <w:spacing w:val="-5"/>
          <w:w w:val="105"/>
          <w:sz w:val="21"/>
        </w:rPr>
        <w:t> </w:t>
      </w:r>
      <w:r>
        <w:rPr>
          <w:spacing w:val="-3"/>
          <w:w w:val="105"/>
          <w:sz w:val="21"/>
        </w:rPr>
        <w:t>considered</w:t>
      </w:r>
      <w:r>
        <w:rPr>
          <w:spacing w:val="-5"/>
          <w:w w:val="105"/>
          <w:sz w:val="21"/>
        </w:rPr>
        <w:t> </w:t>
      </w:r>
      <w:r>
        <w:rPr>
          <w:w w:val="105"/>
          <w:sz w:val="21"/>
        </w:rPr>
        <w:t>some</w:t>
      </w:r>
      <w:r>
        <w:rPr>
          <w:spacing w:val="-6"/>
          <w:w w:val="105"/>
          <w:sz w:val="21"/>
        </w:rPr>
        <w:t> </w:t>
      </w:r>
      <w:r>
        <w:rPr>
          <w:w w:val="105"/>
          <w:sz w:val="21"/>
        </w:rPr>
        <w:t>further</w:t>
      </w:r>
      <w:r>
        <w:rPr>
          <w:spacing w:val="-5"/>
          <w:w w:val="105"/>
          <w:sz w:val="21"/>
        </w:rPr>
        <w:t> </w:t>
      </w:r>
      <w:r>
        <w:rPr>
          <w:w w:val="105"/>
          <w:sz w:val="21"/>
        </w:rPr>
        <w:t>issues</w:t>
      </w:r>
      <w:r>
        <w:rPr>
          <w:spacing w:val="-5"/>
          <w:w w:val="105"/>
          <w:sz w:val="21"/>
        </w:rPr>
        <w:t> </w:t>
      </w:r>
      <w:r>
        <w:rPr>
          <w:spacing w:val="-3"/>
          <w:w w:val="105"/>
          <w:sz w:val="21"/>
        </w:rPr>
        <w:t>that</w:t>
      </w:r>
      <w:r>
        <w:rPr>
          <w:spacing w:val="-5"/>
          <w:w w:val="105"/>
          <w:sz w:val="21"/>
        </w:rPr>
        <w:t> </w:t>
      </w:r>
      <w:r>
        <w:rPr>
          <w:spacing w:val="-3"/>
          <w:w w:val="105"/>
          <w:sz w:val="21"/>
        </w:rPr>
        <w:t>may</w:t>
      </w:r>
      <w:r>
        <w:rPr>
          <w:spacing w:val="-5"/>
          <w:w w:val="105"/>
          <w:sz w:val="21"/>
        </w:rPr>
        <w:t> </w:t>
      </w:r>
      <w:r>
        <w:rPr>
          <w:w w:val="105"/>
          <w:sz w:val="21"/>
        </w:rPr>
        <w:t>arise</w:t>
      </w:r>
      <w:r>
        <w:rPr>
          <w:spacing w:val="-6"/>
          <w:w w:val="105"/>
          <w:sz w:val="21"/>
        </w:rPr>
        <w:t> </w:t>
      </w:r>
      <w:r>
        <w:rPr>
          <w:w w:val="105"/>
          <w:sz w:val="21"/>
        </w:rPr>
        <w:t>if</w:t>
      </w:r>
      <w:r>
        <w:rPr>
          <w:spacing w:val="-5"/>
          <w:w w:val="105"/>
          <w:sz w:val="21"/>
        </w:rPr>
        <w:t> </w:t>
      </w:r>
      <w:r>
        <w:rPr>
          <w:w w:val="105"/>
          <w:sz w:val="21"/>
        </w:rPr>
        <w:t>the</w:t>
      </w:r>
      <w:r>
        <w:rPr>
          <w:spacing w:val="-5"/>
          <w:w w:val="105"/>
          <w:sz w:val="21"/>
        </w:rPr>
        <w:t> </w:t>
      </w:r>
      <w:r>
        <w:rPr>
          <w:w w:val="105"/>
          <w:sz w:val="21"/>
        </w:rPr>
        <w:t>new</w:t>
      </w:r>
      <w:r>
        <w:rPr>
          <w:spacing w:val="-5"/>
          <w:w w:val="105"/>
          <w:sz w:val="21"/>
        </w:rPr>
        <w:t> </w:t>
      </w:r>
      <w:r>
        <w:rPr>
          <w:w w:val="105"/>
          <w:sz w:val="21"/>
        </w:rPr>
        <w:t>Act</w:t>
      </w:r>
      <w:r>
        <w:rPr>
          <w:spacing w:val="-5"/>
          <w:w w:val="105"/>
          <w:sz w:val="21"/>
        </w:rPr>
        <w:t> </w:t>
      </w:r>
      <w:r>
        <w:rPr>
          <w:w w:val="105"/>
          <w:sz w:val="21"/>
        </w:rPr>
        <w:t>allows existing </w:t>
      </w:r>
      <w:r>
        <w:rPr>
          <w:spacing w:val="-3"/>
          <w:w w:val="105"/>
          <w:sz w:val="21"/>
        </w:rPr>
        <w:t>planning </w:t>
      </w:r>
      <w:r>
        <w:rPr>
          <w:w w:val="105"/>
          <w:sz w:val="21"/>
        </w:rPr>
        <w:t>permits </w:t>
      </w:r>
      <w:r>
        <w:rPr>
          <w:spacing w:val="-3"/>
          <w:w w:val="105"/>
          <w:sz w:val="21"/>
        </w:rPr>
        <w:t>to </w:t>
      </w:r>
      <w:r>
        <w:rPr>
          <w:w w:val="105"/>
          <w:sz w:val="21"/>
        </w:rPr>
        <w:t>be amended. These</w:t>
      </w:r>
      <w:r>
        <w:rPr>
          <w:spacing w:val="33"/>
          <w:w w:val="105"/>
          <w:sz w:val="21"/>
        </w:rPr>
        <w:t> </w:t>
      </w:r>
      <w:r>
        <w:rPr>
          <w:w w:val="105"/>
          <w:sz w:val="21"/>
        </w:rPr>
        <w:t>are:</w:t>
      </w:r>
    </w:p>
    <w:p>
      <w:pPr>
        <w:pStyle w:val="ListParagraph"/>
        <w:numPr>
          <w:ilvl w:val="1"/>
          <w:numId w:val="173"/>
        </w:numPr>
        <w:tabs>
          <w:tab w:pos="2721" w:val="left" w:leader="none"/>
          <w:tab w:pos="2722" w:val="left" w:leader="none"/>
        </w:tabs>
        <w:spacing w:line="240" w:lineRule="auto" w:before="122" w:after="0"/>
        <w:ind w:left="2721" w:right="0" w:hanging="340"/>
        <w:jc w:val="left"/>
        <w:rPr>
          <w:sz w:val="21"/>
        </w:rPr>
      </w:pPr>
      <w:r>
        <w:rPr>
          <w:spacing w:val="-3"/>
          <w:w w:val="105"/>
          <w:sz w:val="21"/>
        </w:rPr>
        <w:t>Payment </w:t>
      </w:r>
      <w:r>
        <w:rPr>
          <w:w w:val="105"/>
          <w:sz w:val="21"/>
        </w:rPr>
        <w:t>of</w:t>
      </w:r>
      <w:r>
        <w:rPr>
          <w:spacing w:val="13"/>
          <w:w w:val="105"/>
          <w:sz w:val="21"/>
        </w:rPr>
        <w:t> </w:t>
      </w:r>
      <w:r>
        <w:rPr>
          <w:w w:val="105"/>
          <w:sz w:val="21"/>
        </w:rPr>
        <w:t>compensation</w:t>
      </w:r>
    </w:p>
    <w:p>
      <w:pPr>
        <w:pStyle w:val="ListParagraph"/>
        <w:numPr>
          <w:ilvl w:val="1"/>
          <w:numId w:val="173"/>
        </w:numPr>
        <w:tabs>
          <w:tab w:pos="2721" w:val="left" w:leader="none"/>
          <w:tab w:pos="2722" w:val="left" w:leader="none"/>
        </w:tabs>
        <w:spacing w:line="240" w:lineRule="auto" w:before="89" w:after="0"/>
        <w:ind w:left="2721" w:right="0" w:hanging="340"/>
        <w:jc w:val="left"/>
        <w:rPr>
          <w:sz w:val="21"/>
        </w:rPr>
      </w:pPr>
      <w:r>
        <w:rPr>
          <w:w w:val="105"/>
          <w:sz w:val="21"/>
        </w:rPr>
        <w:t>Protecting the </w:t>
      </w:r>
      <w:r>
        <w:rPr>
          <w:spacing w:val="-3"/>
          <w:w w:val="105"/>
          <w:sz w:val="21"/>
        </w:rPr>
        <w:t>intent </w:t>
      </w:r>
      <w:r>
        <w:rPr>
          <w:w w:val="105"/>
          <w:sz w:val="21"/>
        </w:rPr>
        <w:t>of a </w:t>
      </w:r>
      <w:r>
        <w:rPr>
          <w:spacing w:val="-3"/>
          <w:w w:val="105"/>
          <w:sz w:val="21"/>
        </w:rPr>
        <w:t>landscaping</w:t>
      </w:r>
      <w:r>
        <w:rPr>
          <w:spacing w:val="33"/>
          <w:w w:val="105"/>
          <w:sz w:val="21"/>
        </w:rPr>
        <w:t> </w:t>
      </w:r>
      <w:r>
        <w:rPr>
          <w:w w:val="105"/>
          <w:sz w:val="21"/>
        </w:rPr>
        <w:t>plan</w:t>
      </w:r>
    </w:p>
    <w:p>
      <w:pPr>
        <w:pStyle w:val="ListParagraph"/>
        <w:numPr>
          <w:ilvl w:val="0"/>
          <w:numId w:val="173"/>
        </w:numPr>
        <w:tabs>
          <w:tab w:pos="2381" w:val="left" w:leader="none"/>
          <w:tab w:pos="2382" w:val="left" w:leader="none"/>
        </w:tabs>
        <w:spacing w:line="242" w:lineRule="auto" w:before="88" w:after="0"/>
        <w:ind w:left="2381" w:right="1800" w:hanging="794"/>
        <w:jc w:val="left"/>
        <w:rPr>
          <w:sz w:val="12"/>
        </w:rPr>
      </w:pPr>
      <w:r>
        <w:rPr>
          <w:w w:val="105"/>
          <w:sz w:val="21"/>
        </w:rPr>
        <w:t>It </w:t>
      </w:r>
      <w:r>
        <w:rPr>
          <w:spacing w:val="-3"/>
          <w:w w:val="105"/>
          <w:sz w:val="21"/>
        </w:rPr>
        <w:t>may </w:t>
      </w:r>
      <w:r>
        <w:rPr>
          <w:spacing w:val="-2"/>
          <w:w w:val="105"/>
          <w:sz w:val="21"/>
        </w:rPr>
        <w:t>not </w:t>
      </w:r>
      <w:r>
        <w:rPr>
          <w:w w:val="105"/>
          <w:sz w:val="21"/>
        </w:rPr>
        <w:t>be </w:t>
      </w:r>
      <w:r>
        <w:rPr>
          <w:spacing w:val="-3"/>
          <w:w w:val="105"/>
          <w:sz w:val="21"/>
        </w:rPr>
        <w:t>appropriate for </w:t>
      </w:r>
      <w:r>
        <w:rPr>
          <w:w w:val="105"/>
          <w:sz w:val="21"/>
        </w:rPr>
        <w:t>the </w:t>
      </w:r>
      <w:r>
        <w:rPr>
          <w:spacing w:val="-3"/>
          <w:w w:val="105"/>
          <w:sz w:val="21"/>
        </w:rPr>
        <w:t>responsible </w:t>
      </w:r>
      <w:r>
        <w:rPr>
          <w:w w:val="105"/>
          <w:sz w:val="21"/>
        </w:rPr>
        <w:t>authority </w:t>
      </w:r>
      <w:r>
        <w:rPr>
          <w:spacing w:val="-3"/>
          <w:w w:val="105"/>
          <w:sz w:val="21"/>
        </w:rPr>
        <w:t>to </w:t>
      </w:r>
      <w:r>
        <w:rPr>
          <w:w w:val="105"/>
          <w:sz w:val="21"/>
        </w:rPr>
        <w:t>be </w:t>
      </w:r>
      <w:r>
        <w:rPr>
          <w:spacing w:val="-3"/>
          <w:w w:val="105"/>
          <w:sz w:val="21"/>
        </w:rPr>
        <w:t>required to </w:t>
      </w:r>
      <w:r>
        <w:rPr>
          <w:spacing w:val="-2"/>
          <w:w w:val="105"/>
          <w:sz w:val="21"/>
        </w:rPr>
        <w:t>pay </w:t>
      </w:r>
      <w:r>
        <w:rPr>
          <w:w w:val="105"/>
          <w:sz w:val="21"/>
        </w:rPr>
        <w:t>compensation</w:t>
      </w:r>
      <w:r>
        <w:rPr>
          <w:spacing w:val="-8"/>
          <w:w w:val="105"/>
          <w:sz w:val="21"/>
        </w:rPr>
        <w:t> </w:t>
      </w:r>
      <w:r>
        <w:rPr>
          <w:w w:val="105"/>
          <w:sz w:val="21"/>
        </w:rPr>
        <w:t>as</w:t>
      </w:r>
      <w:r>
        <w:rPr>
          <w:spacing w:val="-8"/>
          <w:w w:val="105"/>
          <w:sz w:val="21"/>
        </w:rPr>
        <w:t> </w:t>
      </w:r>
      <w:r>
        <w:rPr>
          <w:w w:val="105"/>
          <w:sz w:val="21"/>
        </w:rPr>
        <w:t>is</w:t>
      </w:r>
      <w:r>
        <w:rPr>
          <w:spacing w:val="-7"/>
          <w:w w:val="105"/>
          <w:sz w:val="21"/>
        </w:rPr>
        <w:t> </w:t>
      </w:r>
      <w:r>
        <w:rPr>
          <w:w w:val="105"/>
          <w:sz w:val="21"/>
        </w:rPr>
        <w:t>possible</w:t>
      </w:r>
      <w:r>
        <w:rPr>
          <w:spacing w:val="-8"/>
          <w:w w:val="105"/>
          <w:sz w:val="21"/>
        </w:rPr>
        <w:t> </w:t>
      </w:r>
      <w:r>
        <w:rPr>
          <w:w w:val="105"/>
          <w:sz w:val="21"/>
        </w:rPr>
        <w:t>under</w:t>
      </w:r>
      <w:r>
        <w:rPr>
          <w:spacing w:val="-8"/>
          <w:w w:val="105"/>
          <w:sz w:val="21"/>
        </w:rPr>
        <w:t> </w:t>
      </w:r>
      <w:r>
        <w:rPr>
          <w:w w:val="105"/>
          <w:sz w:val="21"/>
        </w:rPr>
        <w:t>the</w:t>
      </w:r>
      <w:r>
        <w:rPr>
          <w:spacing w:val="-7"/>
          <w:w w:val="105"/>
          <w:sz w:val="21"/>
        </w:rPr>
        <w:t> </w:t>
      </w:r>
      <w:r>
        <w:rPr>
          <w:spacing w:val="4"/>
          <w:w w:val="105"/>
          <w:sz w:val="21"/>
        </w:rPr>
        <w:t>P&amp;E</w:t>
      </w:r>
      <w:r>
        <w:rPr>
          <w:spacing w:val="-8"/>
          <w:w w:val="105"/>
          <w:sz w:val="21"/>
        </w:rPr>
        <w:t> </w:t>
      </w:r>
      <w:r>
        <w:rPr>
          <w:w w:val="105"/>
          <w:sz w:val="21"/>
        </w:rPr>
        <w:t>Act</w:t>
      </w:r>
      <w:r>
        <w:rPr>
          <w:w w:val="105"/>
          <w:position w:val="7"/>
          <w:sz w:val="12"/>
        </w:rPr>
        <w:t>313</w:t>
      </w:r>
      <w:r>
        <w:rPr>
          <w:spacing w:val="15"/>
          <w:w w:val="105"/>
          <w:position w:val="7"/>
          <w:sz w:val="12"/>
        </w:rPr>
        <w:t> </w:t>
      </w:r>
      <w:r>
        <w:rPr>
          <w:spacing w:val="-3"/>
          <w:w w:val="105"/>
          <w:sz w:val="21"/>
        </w:rPr>
        <w:t>for</w:t>
      </w:r>
      <w:r>
        <w:rPr>
          <w:spacing w:val="-7"/>
          <w:w w:val="105"/>
          <w:sz w:val="21"/>
        </w:rPr>
        <w:t> </w:t>
      </w:r>
      <w:r>
        <w:rPr>
          <w:spacing w:val="-3"/>
          <w:w w:val="105"/>
          <w:sz w:val="21"/>
        </w:rPr>
        <w:t>any</w:t>
      </w:r>
      <w:r>
        <w:rPr>
          <w:spacing w:val="-8"/>
          <w:w w:val="105"/>
          <w:sz w:val="21"/>
        </w:rPr>
        <w:t> </w:t>
      </w:r>
      <w:r>
        <w:rPr>
          <w:w w:val="105"/>
          <w:sz w:val="21"/>
        </w:rPr>
        <w:t>wasted</w:t>
      </w:r>
      <w:r>
        <w:rPr>
          <w:spacing w:val="-7"/>
          <w:w w:val="105"/>
          <w:sz w:val="21"/>
        </w:rPr>
        <w:t> </w:t>
      </w:r>
      <w:r>
        <w:rPr>
          <w:spacing w:val="-3"/>
          <w:w w:val="105"/>
          <w:sz w:val="21"/>
        </w:rPr>
        <w:t>expenditure</w:t>
      </w:r>
      <w:r>
        <w:rPr>
          <w:spacing w:val="-8"/>
          <w:w w:val="105"/>
          <w:sz w:val="21"/>
        </w:rPr>
        <w:t> </w:t>
      </w:r>
      <w:r>
        <w:rPr>
          <w:w w:val="105"/>
          <w:sz w:val="21"/>
        </w:rPr>
        <w:t>as</w:t>
      </w:r>
      <w:r>
        <w:rPr>
          <w:spacing w:val="-8"/>
          <w:w w:val="105"/>
          <w:sz w:val="21"/>
        </w:rPr>
        <w:t> </w:t>
      </w:r>
      <w:r>
        <w:rPr>
          <w:w w:val="105"/>
          <w:sz w:val="21"/>
        </w:rPr>
        <w:t>a</w:t>
      </w:r>
      <w:r>
        <w:rPr>
          <w:spacing w:val="-7"/>
          <w:w w:val="105"/>
          <w:sz w:val="21"/>
        </w:rPr>
        <w:t> </w:t>
      </w:r>
      <w:r>
        <w:rPr>
          <w:spacing w:val="-3"/>
          <w:w w:val="105"/>
          <w:sz w:val="21"/>
        </w:rPr>
        <w:t>result </w:t>
      </w:r>
      <w:r>
        <w:rPr>
          <w:w w:val="105"/>
          <w:sz w:val="21"/>
        </w:rPr>
        <w:t>of the permit </w:t>
      </w:r>
      <w:r>
        <w:rPr>
          <w:spacing w:val="-3"/>
          <w:w w:val="105"/>
          <w:sz w:val="21"/>
        </w:rPr>
        <w:t>amendment. </w:t>
      </w:r>
      <w:r>
        <w:rPr>
          <w:w w:val="105"/>
          <w:sz w:val="21"/>
        </w:rPr>
        <w:t>These </w:t>
      </w:r>
      <w:r>
        <w:rPr>
          <w:spacing w:val="-3"/>
          <w:w w:val="105"/>
          <w:sz w:val="21"/>
        </w:rPr>
        <w:t>provisions mainly </w:t>
      </w:r>
      <w:r>
        <w:rPr>
          <w:w w:val="105"/>
          <w:sz w:val="21"/>
        </w:rPr>
        <w:t>apply in </w:t>
      </w:r>
      <w:r>
        <w:rPr>
          <w:spacing w:val="-3"/>
          <w:w w:val="105"/>
          <w:sz w:val="21"/>
        </w:rPr>
        <w:t>situations </w:t>
      </w:r>
      <w:r>
        <w:rPr>
          <w:w w:val="105"/>
          <w:sz w:val="21"/>
        </w:rPr>
        <w:t>where serious </w:t>
      </w:r>
      <w:r>
        <w:rPr>
          <w:spacing w:val="-3"/>
          <w:w w:val="105"/>
          <w:sz w:val="21"/>
        </w:rPr>
        <w:t>consequences </w:t>
      </w:r>
      <w:r>
        <w:rPr>
          <w:w w:val="105"/>
          <w:sz w:val="21"/>
        </w:rPr>
        <w:t>flow </w:t>
      </w:r>
      <w:r>
        <w:rPr>
          <w:spacing w:val="-3"/>
          <w:w w:val="105"/>
          <w:sz w:val="21"/>
        </w:rPr>
        <w:t>from </w:t>
      </w:r>
      <w:r>
        <w:rPr>
          <w:w w:val="105"/>
          <w:sz w:val="21"/>
        </w:rPr>
        <w:t>the </w:t>
      </w:r>
      <w:r>
        <w:rPr>
          <w:spacing w:val="-3"/>
          <w:w w:val="105"/>
          <w:sz w:val="21"/>
        </w:rPr>
        <w:t>amendment </w:t>
      </w:r>
      <w:r>
        <w:rPr>
          <w:w w:val="105"/>
          <w:sz w:val="21"/>
        </w:rPr>
        <w:t>of a permit, </w:t>
      </w:r>
      <w:r>
        <w:rPr>
          <w:spacing w:val="-3"/>
          <w:w w:val="105"/>
          <w:sz w:val="21"/>
        </w:rPr>
        <w:t>for </w:t>
      </w:r>
      <w:r>
        <w:rPr>
          <w:w w:val="105"/>
          <w:sz w:val="21"/>
        </w:rPr>
        <w:t>example an </w:t>
      </w:r>
      <w:r>
        <w:rPr>
          <w:spacing w:val="-3"/>
          <w:w w:val="105"/>
          <w:sz w:val="21"/>
        </w:rPr>
        <w:t>amendment to </w:t>
      </w:r>
      <w:r>
        <w:rPr>
          <w:spacing w:val="-2"/>
          <w:w w:val="105"/>
          <w:sz w:val="21"/>
        </w:rPr>
        <w:t>delete </w:t>
      </w:r>
      <w:r>
        <w:rPr>
          <w:w w:val="105"/>
          <w:sz w:val="21"/>
        </w:rPr>
        <w:t>three </w:t>
      </w:r>
      <w:r>
        <w:rPr>
          <w:spacing w:val="-3"/>
          <w:w w:val="105"/>
          <w:sz w:val="21"/>
        </w:rPr>
        <w:t>levels from </w:t>
      </w:r>
      <w:r>
        <w:rPr>
          <w:w w:val="105"/>
          <w:sz w:val="21"/>
        </w:rPr>
        <w:t>a proposed apartment</w:t>
      </w:r>
      <w:r>
        <w:rPr>
          <w:spacing w:val="33"/>
          <w:w w:val="105"/>
          <w:sz w:val="21"/>
        </w:rPr>
        <w:t> </w:t>
      </w:r>
      <w:r>
        <w:rPr>
          <w:spacing w:val="-4"/>
          <w:w w:val="105"/>
          <w:sz w:val="21"/>
        </w:rPr>
        <w:t>building.</w:t>
      </w:r>
      <w:r>
        <w:rPr>
          <w:spacing w:val="-4"/>
          <w:w w:val="105"/>
          <w:position w:val="7"/>
          <w:sz w:val="12"/>
        </w:rPr>
        <w:t>314</w:t>
      </w:r>
    </w:p>
    <w:p>
      <w:pPr>
        <w:pStyle w:val="ListParagraph"/>
        <w:numPr>
          <w:ilvl w:val="0"/>
          <w:numId w:val="173"/>
        </w:numPr>
        <w:tabs>
          <w:tab w:pos="2381" w:val="left" w:leader="none"/>
        </w:tabs>
        <w:spacing w:line="242" w:lineRule="auto" w:before="126" w:after="0"/>
        <w:ind w:left="2381" w:right="1764" w:hanging="794"/>
        <w:jc w:val="left"/>
        <w:rPr>
          <w:sz w:val="21"/>
        </w:rPr>
      </w:pPr>
      <w:r>
        <w:rPr>
          <w:w w:val="105"/>
          <w:sz w:val="21"/>
        </w:rPr>
        <w:t>The </w:t>
      </w:r>
      <w:r>
        <w:rPr>
          <w:spacing w:val="-3"/>
          <w:w w:val="105"/>
          <w:sz w:val="21"/>
        </w:rPr>
        <w:t>Commission </w:t>
      </w:r>
      <w:r>
        <w:rPr>
          <w:w w:val="105"/>
          <w:sz w:val="21"/>
        </w:rPr>
        <w:t>envisages </w:t>
      </w:r>
      <w:r>
        <w:rPr>
          <w:spacing w:val="-3"/>
          <w:w w:val="105"/>
          <w:sz w:val="21"/>
        </w:rPr>
        <w:t>that </w:t>
      </w:r>
      <w:r>
        <w:rPr>
          <w:w w:val="105"/>
          <w:sz w:val="21"/>
        </w:rPr>
        <w:t>most permit amendments would </w:t>
      </w:r>
      <w:r>
        <w:rPr>
          <w:spacing w:val="-3"/>
          <w:w w:val="105"/>
          <w:sz w:val="21"/>
        </w:rPr>
        <w:t>require </w:t>
      </w:r>
      <w:r>
        <w:rPr>
          <w:w w:val="105"/>
          <w:sz w:val="21"/>
        </w:rPr>
        <w:t>tree </w:t>
      </w:r>
      <w:r>
        <w:rPr>
          <w:spacing w:val="-3"/>
          <w:w w:val="105"/>
          <w:sz w:val="21"/>
        </w:rPr>
        <w:t>maintenance rather than removal, resulting </w:t>
      </w:r>
      <w:r>
        <w:rPr>
          <w:w w:val="105"/>
          <w:sz w:val="21"/>
        </w:rPr>
        <w:t>in no net loss of </w:t>
      </w:r>
      <w:r>
        <w:rPr>
          <w:spacing w:val="-3"/>
          <w:w w:val="105"/>
          <w:sz w:val="21"/>
        </w:rPr>
        <w:t>expenditure </w:t>
      </w:r>
      <w:r>
        <w:rPr>
          <w:w w:val="105"/>
          <w:sz w:val="21"/>
        </w:rPr>
        <w:t>on the </w:t>
      </w:r>
      <w:r>
        <w:rPr>
          <w:spacing w:val="-3"/>
          <w:w w:val="105"/>
          <w:sz w:val="21"/>
        </w:rPr>
        <w:t>planting </w:t>
      </w:r>
      <w:r>
        <w:rPr>
          <w:w w:val="105"/>
          <w:sz w:val="21"/>
        </w:rPr>
        <w:t>and </w:t>
      </w:r>
      <w:r>
        <w:rPr>
          <w:spacing w:val="-3"/>
          <w:w w:val="105"/>
          <w:sz w:val="21"/>
        </w:rPr>
        <w:t>maintenance </w:t>
      </w:r>
      <w:r>
        <w:rPr>
          <w:w w:val="105"/>
          <w:sz w:val="21"/>
        </w:rPr>
        <w:t>of the tree as part of the endorsed </w:t>
      </w:r>
      <w:r>
        <w:rPr>
          <w:spacing w:val="-3"/>
          <w:w w:val="105"/>
          <w:sz w:val="21"/>
        </w:rPr>
        <w:t>landscaping plan. </w:t>
      </w:r>
      <w:r>
        <w:rPr>
          <w:w w:val="105"/>
          <w:sz w:val="21"/>
        </w:rPr>
        <w:t>The </w:t>
      </w:r>
      <w:r>
        <w:rPr>
          <w:spacing w:val="-3"/>
          <w:w w:val="105"/>
          <w:sz w:val="21"/>
        </w:rPr>
        <w:t>Commission </w:t>
      </w:r>
      <w:r>
        <w:rPr>
          <w:w w:val="105"/>
          <w:sz w:val="21"/>
        </w:rPr>
        <w:t>further </w:t>
      </w:r>
      <w:r>
        <w:rPr>
          <w:spacing w:val="-3"/>
          <w:w w:val="105"/>
          <w:sz w:val="21"/>
        </w:rPr>
        <w:t>notes that </w:t>
      </w:r>
      <w:r>
        <w:rPr>
          <w:w w:val="105"/>
          <w:sz w:val="21"/>
        </w:rPr>
        <w:t>the </w:t>
      </w:r>
      <w:r>
        <w:rPr>
          <w:spacing w:val="-4"/>
          <w:w w:val="105"/>
          <w:sz w:val="21"/>
        </w:rPr>
        <w:t>‘proximate </w:t>
      </w:r>
      <w:r>
        <w:rPr>
          <w:w w:val="105"/>
          <w:sz w:val="21"/>
        </w:rPr>
        <w:t>effect’ of section 94 of the </w:t>
      </w:r>
      <w:r>
        <w:rPr>
          <w:spacing w:val="4"/>
          <w:w w:val="105"/>
          <w:sz w:val="21"/>
        </w:rPr>
        <w:t>P&amp;E </w:t>
      </w:r>
      <w:r>
        <w:rPr>
          <w:w w:val="105"/>
          <w:sz w:val="21"/>
        </w:rPr>
        <w:t>Act is </w:t>
      </w:r>
      <w:r>
        <w:rPr>
          <w:spacing w:val="-3"/>
          <w:w w:val="105"/>
          <w:sz w:val="21"/>
        </w:rPr>
        <w:t>for</w:t>
      </w:r>
      <w:r>
        <w:rPr>
          <w:spacing w:val="-27"/>
          <w:w w:val="105"/>
          <w:sz w:val="21"/>
        </w:rPr>
        <w:t> </w:t>
      </w:r>
      <w:r>
        <w:rPr>
          <w:spacing w:val="-3"/>
          <w:w w:val="105"/>
          <w:sz w:val="21"/>
        </w:rPr>
        <w:t>responsible</w:t>
      </w:r>
    </w:p>
    <w:p>
      <w:pPr>
        <w:pStyle w:val="BodyText"/>
        <w:rPr>
          <w:sz w:val="20"/>
        </w:rPr>
      </w:pPr>
    </w:p>
    <w:p>
      <w:pPr>
        <w:pStyle w:val="BodyText"/>
        <w:spacing w:before="12"/>
      </w:pPr>
      <w:r>
        <w:rPr/>
        <w:pict>
          <v:line style="position:absolute;mso-position-horizontal-relative:page;mso-position-vertical-relative:paragraph;z-index:10184;mso-wrap-distance-left:0;mso-wrap-distance-right:0" from="79.370102pt,15.869992pt" to="515.905102pt,15.869992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spacing w:before="1"/>
        <w:rPr>
          <w:sz w:val="31"/>
        </w:rPr>
      </w:pPr>
    </w:p>
    <w:p>
      <w:pPr>
        <w:spacing w:before="0"/>
        <w:ind w:left="720" w:right="0" w:firstLine="0"/>
        <w:jc w:val="left"/>
        <w:rPr>
          <w:b/>
          <w:sz w:val="24"/>
        </w:rPr>
      </w:pPr>
      <w:r>
        <w:rPr>
          <w:b/>
          <w:color w:val="658464"/>
          <w:spacing w:val="-1"/>
          <w:w w:val="110"/>
          <w:sz w:val="24"/>
        </w:rPr>
        <w:t>250</w:t>
      </w:r>
    </w:p>
    <w:p>
      <w:pPr>
        <w:pStyle w:val="ListParagraph"/>
        <w:numPr>
          <w:ilvl w:val="0"/>
          <w:numId w:val="182"/>
        </w:numPr>
        <w:tabs>
          <w:tab w:pos="1221" w:val="left" w:leader="none"/>
          <w:tab w:pos="1222" w:val="left" w:leader="none"/>
        </w:tabs>
        <w:spacing w:line="240" w:lineRule="auto" w:before="48" w:after="0"/>
        <w:ind w:left="1221" w:right="1739" w:hanging="793"/>
        <w:jc w:val="left"/>
        <w:rPr>
          <w:sz w:val="13"/>
        </w:rPr>
      </w:pPr>
      <w:r>
        <w:rPr>
          <w:i/>
          <w:spacing w:val="2"/>
          <w:w w:val="96"/>
          <w:sz w:val="13"/>
        </w:rPr>
        <w:br w:type="column"/>
      </w:r>
      <w:r>
        <w:rPr>
          <w:i/>
          <w:w w:val="105"/>
          <w:sz w:val="13"/>
        </w:rPr>
        <w:t>Planning and Environment Act 1987 </w:t>
      </w:r>
      <w:r>
        <w:rPr>
          <w:spacing w:val="2"/>
          <w:w w:val="105"/>
          <w:sz w:val="13"/>
        </w:rPr>
        <w:t>(Vic) </w:t>
      </w:r>
      <w:r>
        <w:rPr>
          <w:w w:val="105"/>
          <w:sz w:val="13"/>
        </w:rPr>
        <w:t>s 94.These provisions mainly apply in situations where serious consequences flow from the amendment of a permit, for example an amendment to delete three levels from a proposed apartment building: see, eg, The Secretary to the </w:t>
      </w:r>
      <w:r>
        <w:rPr>
          <w:i/>
          <w:w w:val="105"/>
          <w:sz w:val="13"/>
        </w:rPr>
        <w:t>Department of Health and Human Services v Melbourne </w:t>
      </w:r>
      <w:r>
        <w:rPr>
          <w:spacing w:val="-3"/>
          <w:w w:val="105"/>
          <w:sz w:val="13"/>
        </w:rPr>
        <w:t>CC </w:t>
      </w:r>
      <w:r>
        <w:rPr>
          <w:w w:val="105"/>
          <w:sz w:val="13"/>
        </w:rPr>
        <w:t>[2017] VCAT</w:t>
      </w:r>
      <w:r>
        <w:rPr>
          <w:spacing w:val="9"/>
          <w:w w:val="105"/>
          <w:sz w:val="13"/>
        </w:rPr>
        <w:t> </w:t>
      </w:r>
      <w:r>
        <w:rPr>
          <w:spacing w:val="-3"/>
          <w:w w:val="105"/>
          <w:sz w:val="13"/>
        </w:rPr>
        <w:t>2139.</w:t>
      </w:r>
    </w:p>
    <w:p>
      <w:pPr>
        <w:pStyle w:val="ListParagraph"/>
        <w:numPr>
          <w:ilvl w:val="0"/>
          <w:numId w:val="182"/>
        </w:numPr>
        <w:tabs>
          <w:tab w:pos="1221" w:val="left" w:leader="none"/>
          <w:tab w:pos="1222" w:val="left" w:leader="none"/>
        </w:tabs>
        <w:spacing w:line="240" w:lineRule="auto" w:before="4" w:after="0"/>
        <w:ind w:left="1221" w:right="0" w:hanging="793"/>
        <w:jc w:val="left"/>
        <w:rPr>
          <w:sz w:val="13"/>
        </w:rPr>
      </w:pPr>
      <w:r>
        <w:rPr>
          <w:i/>
          <w:w w:val="105"/>
          <w:sz w:val="13"/>
        </w:rPr>
        <w:t>Neighbourhood</w:t>
      </w:r>
      <w:r>
        <w:rPr>
          <w:i/>
          <w:spacing w:val="4"/>
          <w:w w:val="105"/>
          <w:sz w:val="13"/>
        </w:rPr>
        <w:t> </w:t>
      </w:r>
      <w:r>
        <w:rPr>
          <w:i/>
          <w:w w:val="105"/>
          <w:sz w:val="13"/>
        </w:rPr>
        <w:t>Disputes</w:t>
      </w:r>
      <w:r>
        <w:rPr>
          <w:i/>
          <w:spacing w:val="5"/>
          <w:w w:val="105"/>
          <w:sz w:val="13"/>
        </w:rPr>
        <w:t> </w:t>
      </w:r>
      <w:r>
        <w:rPr>
          <w:i/>
          <w:w w:val="105"/>
          <w:sz w:val="13"/>
        </w:rPr>
        <w:t>(Dividing</w:t>
      </w:r>
      <w:r>
        <w:rPr>
          <w:i/>
          <w:spacing w:val="5"/>
          <w:w w:val="105"/>
          <w:sz w:val="13"/>
        </w:rPr>
        <w:t> </w:t>
      </w:r>
      <w:r>
        <w:rPr>
          <w:i/>
          <w:w w:val="105"/>
          <w:sz w:val="13"/>
        </w:rPr>
        <w:t>Fences</w:t>
      </w:r>
      <w:r>
        <w:rPr>
          <w:i/>
          <w:spacing w:val="5"/>
          <w:w w:val="105"/>
          <w:sz w:val="13"/>
        </w:rPr>
        <w:t> </w:t>
      </w:r>
      <w:r>
        <w:rPr>
          <w:i/>
          <w:w w:val="105"/>
          <w:sz w:val="13"/>
        </w:rPr>
        <w:t>and</w:t>
      </w:r>
      <w:r>
        <w:rPr>
          <w:i/>
          <w:spacing w:val="4"/>
          <w:w w:val="105"/>
          <w:sz w:val="13"/>
        </w:rPr>
        <w:t> </w:t>
      </w:r>
      <w:r>
        <w:rPr>
          <w:i/>
          <w:w w:val="105"/>
          <w:sz w:val="13"/>
        </w:rPr>
        <w:t>Trees)</w:t>
      </w:r>
      <w:r>
        <w:rPr>
          <w:i/>
          <w:spacing w:val="5"/>
          <w:w w:val="105"/>
          <w:sz w:val="13"/>
        </w:rPr>
        <w:t> </w:t>
      </w:r>
      <w:r>
        <w:rPr>
          <w:i/>
          <w:w w:val="105"/>
          <w:sz w:val="13"/>
        </w:rPr>
        <w:t>Act</w:t>
      </w:r>
      <w:r>
        <w:rPr>
          <w:i/>
          <w:spacing w:val="5"/>
          <w:w w:val="105"/>
          <w:sz w:val="13"/>
        </w:rPr>
        <w:t> </w:t>
      </w:r>
      <w:r>
        <w:rPr>
          <w:spacing w:val="2"/>
          <w:w w:val="105"/>
          <w:sz w:val="13"/>
        </w:rPr>
        <w:t>(Qld)</w:t>
      </w:r>
      <w:r>
        <w:rPr>
          <w:spacing w:val="5"/>
          <w:w w:val="105"/>
          <w:sz w:val="13"/>
        </w:rPr>
        <w:t> </w:t>
      </w:r>
      <w:r>
        <w:rPr>
          <w:w w:val="105"/>
          <w:sz w:val="13"/>
        </w:rPr>
        <w:t>s</w:t>
      </w:r>
      <w:r>
        <w:rPr>
          <w:spacing w:val="4"/>
          <w:w w:val="105"/>
          <w:sz w:val="13"/>
        </w:rPr>
        <w:t> </w:t>
      </w:r>
      <w:r>
        <w:rPr>
          <w:spacing w:val="3"/>
          <w:w w:val="105"/>
          <w:sz w:val="13"/>
        </w:rPr>
        <w:t>42(4)(c).</w:t>
      </w:r>
    </w:p>
    <w:p>
      <w:pPr>
        <w:pStyle w:val="ListParagraph"/>
        <w:numPr>
          <w:ilvl w:val="0"/>
          <w:numId w:val="182"/>
        </w:numPr>
        <w:tabs>
          <w:tab w:pos="1221" w:val="left" w:leader="none"/>
          <w:tab w:pos="1222" w:val="left" w:leader="none"/>
        </w:tabs>
        <w:spacing w:line="240" w:lineRule="auto" w:before="1" w:after="0"/>
        <w:ind w:left="1221" w:right="0" w:hanging="793"/>
        <w:jc w:val="left"/>
        <w:rPr>
          <w:sz w:val="13"/>
        </w:rPr>
      </w:pPr>
      <w:r>
        <w:rPr>
          <w:w w:val="105"/>
          <w:sz w:val="13"/>
        </w:rPr>
        <w:t>Queensland, </w:t>
      </w:r>
      <w:r>
        <w:rPr>
          <w:i/>
          <w:w w:val="105"/>
          <w:sz w:val="13"/>
        </w:rPr>
        <w:t>Parliamentary Debates, </w:t>
      </w:r>
      <w:r>
        <w:rPr>
          <w:w w:val="105"/>
          <w:sz w:val="13"/>
        </w:rPr>
        <w:t>2 August </w:t>
      </w:r>
      <w:r>
        <w:rPr>
          <w:spacing w:val="-5"/>
          <w:w w:val="105"/>
          <w:sz w:val="13"/>
        </w:rPr>
        <w:t>2011, </w:t>
      </w:r>
      <w:r>
        <w:rPr>
          <w:w w:val="105"/>
          <w:sz w:val="13"/>
        </w:rPr>
        <w:t>3204</w:t>
      </w:r>
      <w:r>
        <w:rPr>
          <w:spacing w:val="12"/>
          <w:w w:val="105"/>
          <w:sz w:val="13"/>
        </w:rPr>
        <w:t> </w:t>
      </w:r>
      <w:r>
        <w:rPr>
          <w:spacing w:val="2"/>
          <w:w w:val="105"/>
          <w:sz w:val="13"/>
        </w:rPr>
        <w:t>(Lucas).</w:t>
      </w:r>
    </w:p>
    <w:p>
      <w:pPr>
        <w:pStyle w:val="ListParagraph"/>
        <w:numPr>
          <w:ilvl w:val="0"/>
          <w:numId w:val="182"/>
        </w:numPr>
        <w:tabs>
          <w:tab w:pos="1221" w:val="left" w:leader="none"/>
          <w:tab w:pos="1222" w:val="left" w:leader="none"/>
        </w:tabs>
        <w:spacing w:line="240" w:lineRule="auto" w:before="2" w:after="0"/>
        <w:ind w:left="1221" w:right="0" w:hanging="794"/>
        <w:jc w:val="left"/>
        <w:rPr>
          <w:sz w:val="13"/>
        </w:rPr>
      </w:pPr>
      <w:r>
        <w:rPr>
          <w:i/>
          <w:w w:val="105"/>
          <w:sz w:val="13"/>
        </w:rPr>
        <w:t>Trees (Disputes Between Neighbours) Act 2006 </w:t>
      </w:r>
      <w:r>
        <w:rPr>
          <w:spacing w:val="3"/>
          <w:w w:val="105"/>
          <w:sz w:val="13"/>
        </w:rPr>
        <w:t>(NSW) </w:t>
      </w:r>
      <w:r>
        <w:rPr>
          <w:w w:val="105"/>
          <w:sz w:val="13"/>
        </w:rPr>
        <w:t>s</w:t>
      </w:r>
      <w:r>
        <w:rPr>
          <w:spacing w:val="4"/>
          <w:w w:val="105"/>
          <w:sz w:val="13"/>
        </w:rPr>
        <w:t> 6(3).</w:t>
      </w:r>
    </w:p>
    <w:p>
      <w:pPr>
        <w:pStyle w:val="ListParagraph"/>
        <w:numPr>
          <w:ilvl w:val="0"/>
          <w:numId w:val="182"/>
        </w:numPr>
        <w:tabs>
          <w:tab w:pos="1221" w:val="left" w:leader="none"/>
          <w:tab w:pos="1222" w:val="left" w:leader="none"/>
        </w:tabs>
        <w:spacing w:line="240" w:lineRule="auto" w:before="1" w:after="0"/>
        <w:ind w:left="1221" w:right="0" w:hanging="794"/>
        <w:jc w:val="left"/>
        <w:rPr>
          <w:sz w:val="13"/>
        </w:rPr>
      </w:pPr>
      <w:r>
        <w:rPr>
          <w:i/>
          <w:w w:val="105"/>
          <w:sz w:val="13"/>
        </w:rPr>
        <w:t>Planning and Environment Act 1987 </w:t>
      </w:r>
      <w:r>
        <w:rPr>
          <w:spacing w:val="2"/>
          <w:w w:val="105"/>
          <w:sz w:val="13"/>
        </w:rPr>
        <w:t>(Vic) </w:t>
      </w:r>
      <w:r>
        <w:rPr>
          <w:w w:val="105"/>
          <w:sz w:val="13"/>
        </w:rPr>
        <w:t>s</w:t>
      </w:r>
      <w:r>
        <w:rPr>
          <w:spacing w:val="30"/>
          <w:w w:val="105"/>
          <w:sz w:val="13"/>
        </w:rPr>
        <w:t> </w:t>
      </w:r>
      <w:r>
        <w:rPr>
          <w:spacing w:val="2"/>
          <w:w w:val="105"/>
          <w:sz w:val="13"/>
        </w:rPr>
        <w:t>94.</w:t>
      </w:r>
    </w:p>
    <w:p>
      <w:pPr>
        <w:pStyle w:val="ListParagraph"/>
        <w:numPr>
          <w:ilvl w:val="0"/>
          <w:numId w:val="182"/>
        </w:numPr>
        <w:tabs>
          <w:tab w:pos="1221" w:val="left" w:leader="none"/>
          <w:tab w:pos="1222" w:val="left" w:leader="none"/>
        </w:tabs>
        <w:spacing w:line="240" w:lineRule="auto" w:before="1" w:after="0"/>
        <w:ind w:left="1221" w:right="0" w:hanging="794"/>
        <w:jc w:val="left"/>
        <w:rPr>
          <w:sz w:val="13"/>
        </w:rPr>
      </w:pPr>
      <w:r>
        <w:rPr>
          <w:w w:val="105"/>
          <w:sz w:val="13"/>
        </w:rPr>
        <w:t>See,</w:t>
      </w:r>
      <w:r>
        <w:rPr>
          <w:spacing w:val="5"/>
          <w:w w:val="105"/>
          <w:sz w:val="13"/>
        </w:rPr>
        <w:t> </w:t>
      </w:r>
      <w:r>
        <w:rPr>
          <w:w w:val="105"/>
          <w:sz w:val="13"/>
        </w:rPr>
        <w:t>eg,</w:t>
      </w:r>
      <w:r>
        <w:rPr>
          <w:spacing w:val="5"/>
          <w:w w:val="105"/>
          <w:sz w:val="13"/>
        </w:rPr>
        <w:t> </w:t>
      </w:r>
      <w:r>
        <w:rPr>
          <w:i/>
          <w:w w:val="105"/>
          <w:sz w:val="13"/>
        </w:rPr>
        <w:t>The</w:t>
      </w:r>
      <w:r>
        <w:rPr>
          <w:i/>
          <w:spacing w:val="6"/>
          <w:w w:val="105"/>
          <w:sz w:val="13"/>
        </w:rPr>
        <w:t> </w:t>
      </w:r>
      <w:r>
        <w:rPr>
          <w:i/>
          <w:w w:val="105"/>
          <w:sz w:val="13"/>
        </w:rPr>
        <w:t>Secretary</w:t>
      </w:r>
      <w:r>
        <w:rPr>
          <w:i/>
          <w:spacing w:val="5"/>
          <w:w w:val="105"/>
          <w:sz w:val="13"/>
        </w:rPr>
        <w:t> </w:t>
      </w:r>
      <w:r>
        <w:rPr>
          <w:i/>
          <w:w w:val="105"/>
          <w:sz w:val="13"/>
        </w:rPr>
        <w:t>to</w:t>
      </w:r>
      <w:r>
        <w:rPr>
          <w:i/>
          <w:spacing w:val="5"/>
          <w:w w:val="105"/>
          <w:sz w:val="13"/>
        </w:rPr>
        <w:t> </w:t>
      </w:r>
      <w:r>
        <w:rPr>
          <w:i/>
          <w:w w:val="105"/>
          <w:sz w:val="13"/>
        </w:rPr>
        <w:t>the</w:t>
      </w:r>
      <w:r>
        <w:rPr>
          <w:i/>
          <w:spacing w:val="6"/>
          <w:w w:val="105"/>
          <w:sz w:val="13"/>
        </w:rPr>
        <w:t> </w:t>
      </w:r>
      <w:r>
        <w:rPr>
          <w:i/>
          <w:w w:val="105"/>
          <w:sz w:val="13"/>
        </w:rPr>
        <w:t>Department</w:t>
      </w:r>
      <w:r>
        <w:rPr>
          <w:i/>
          <w:spacing w:val="5"/>
          <w:w w:val="105"/>
          <w:sz w:val="13"/>
        </w:rPr>
        <w:t> </w:t>
      </w:r>
      <w:r>
        <w:rPr>
          <w:i/>
          <w:w w:val="105"/>
          <w:sz w:val="13"/>
        </w:rPr>
        <w:t>of</w:t>
      </w:r>
      <w:r>
        <w:rPr>
          <w:i/>
          <w:spacing w:val="6"/>
          <w:w w:val="105"/>
          <w:sz w:val="13"/>
        </w:rPr>
        <w:t> </w:t>
      </w:r>
      <w:r>
        <w:rPr>
          <w:i/>
          <w:w w:val="105"/>
          <w:sz w:val="13"/>
        </w:rPr>
        <w:t>Health</w:t>
      </w:r>
      <w:r>
        <w:rPr>
          <w:i/>
          <w:spacing w:val="5"/>
          <w:w w:val="105"/>
          <w:sz w:val="13"/>
        </w:rPr>
        <w:t> </w:t>
      </w:r>
      <w:r>
        <w:rPr>
          <w:i/>
          <w:w w:val="105"/>
          <w:sz w:val="13"/>
        </w:rPr>
        <w:t>and</w:t>
      </w:r>
      <w:r>
        <w:rPr>
          <w:i/>
          <w:spacing w:val="5"/>
          <w:w w:val="105"/>
          <w:sz w:val="13"/>
        </w:rPr>
        <w:t> </w:t>
      </w:r>
      <w:r>
        <w:rPr>
          <w:i/>
          <w:w w:val="105"/>
          <w:sz w:val="13"/>
        </w:rPr>
        <w:t>Human</w:t>
      </w:r>
      <w:r>
        <w:rPr>
          <w:i/>
          <w:spacing w:val="6"/>
          <w:w w:val="105"/>
          <w:sz w:val="13"/>
        </w:rPr>
        <w:t> </w:t>
      </w:r>
      <w:r>
        <w:rPr>
          <w:i/>
          <w:w w:val="105"/>
          <w:sz w:val="13"/>
        </w:rPr>
        <w:t>Services</w:t>
      </w:r>
      <w:r>
        <w:rPr>
          <w:i/>
          <w:spacing w:val="5"/>
          <w:w w:val="105"/>
          <w:sz w:val="13"/>
        </w:rPr>
        <w:t> </w:t>
      </w:r>
      <w:r>
        <w:rPr>
          <w:i/>
          <w:w w:val="105"/>
          <w:sz w:val="13"/>
        </w:rPr>
        <w:t>v</w:t>
      </w:r>
      <w:r>
        <w:rPr>
          <w:i/>
          <w:spacing w:val="6"/>
          <w:w w:val="105"/>
          <w:sz w:val="13"/>
        </w:rPr>
        <w:t> </w:t>
      </w:r>
      <w:r>
        <w:rPr>
          <w:i/>
          <w:w w:val="105"/>
          <w:sz w:val="13"/>
        </w:rPr>
        <w:t>Melbourne</w:t>
      </w:r>
      <w:r>
        <w:rPr>
          <w:i/>
          <w:spacing w:val="5"/>
          <w:w w:val="105"/>
          <w:sz w:val="13"/>
        </w:rPr>
        <w:t> </w:t>
      </w:r>
      <w:r>
        <w:rPr>
          <w:i/>
          <w:w w:val="105"/>
          <w:sz w:val="13"/>
        </w:rPr>
        <w:t>CC</w:t>
      </w:r>
      <w:r>
        <w:rPr>
          <w:i/>
          <w:spacing w:val="5"/>
          <w:w w:val="105"/>
          <w:sz w:val="13"/>
        </w:rPr>
        <w:t> </w:t>
      </w:r>
      <w:r>
        <w:rPr>
          <w:w w:val="105"/>
          <w:sz w:val="13"/>
        </w:rPr>
        <w:t>[2017]</w:t>
      </w:r>
      <w:r>
        <w:rPr>
          <w:spacing w:val="6"/>
          <w:w w:val="105"/>
          <w:sz w:val="13"/>
        </w:rPr>
        <w:t> </w:t>
      </w:r>
      <w:r>
        <w:rPr>
          <w:w w:val="105"/>
          <w:sz w:val="13"/>
        </w:rPr>
        <w:t>VCAT</w:t>
      </w:r>
      <w:r>
        <w:rPr>
          <w:spacing w:val="5"/>
          <w:w w:val="105"/>
          <w:sz w:val="13"/>
        </w:rPr>
        <w:t> </w:t>
      </w:r>
      <w:r>
        <w:rPr>
          <w:spacing w:val="-3"/>
          <w:w w:val="105"/>
          <w:sz w:val="13"/>
        </w:rPr>
        <w:t>2139.</w:t>
      </w:r>
    </w:p>
    <w:p>
      <w:pPr>
        <w:spacing w:after="0" w:line="240" w:lineRule="auto"/>
        <w:jc w:val="left"/>
        <w:rPr>
          <w:sz w:val="13"/>
        </w:rPr>
        <w:sectPr>
          <w:type w:val="continuous"/>
          <w:pgSz w:w="11910" w:h="16840"/>
          <w:pgMar w:top="300" w:bottom="280" w:left="0" w:right="0"/>
          <w:cols w:num="2" w:equalWidth="0">
            <w:col w:w="1120" w:space="40"/>
            <w:col w:w="10750"/>
          </w:cols>
        </w:sectPr>
      </w:pPr>
    </w:p>
    <w:p>
      <w:pPr>
        <w:pStyle w:val="BodyText"/>
        <w:rPr>
          <w:sz w:val="20"/>
        </w:rPr>
      </w:pPr>
    </w:p>
    <w:p>
      <w:pPr>
        <w:pStyle w:val="BodyText"/>
        <w:spacing w:before="9"/>
        <w:rPr>
          <w:sz w:val="18"/>
        </w:rPr>
      </w:pPr>
    </w:p>
    <w:p>
      <w:pPr>
        <w:pStyle w:val="BodyText"/>
        <w:spacing w:line="242" w:lineRule="auto" w:before="91"/>
        <w:ind w:left="2381" w:right="1759"/>
        <w:rPr>
          <w:sz w:val="12"/>
        </w:rPr>
      </w:pPr>
      <w:bookmarkStart w:name="_bookmark135" w:id="290"/>
      <w:bookmarkEnd w:id="290"/>
      <w:r>
        <w:rPr/>
      </w:r>
      <w:r>
        <w:rPr>
          <w:w w:val="105"/>
        </w:rPr>
        <w:t>authorities </w:t>
      </w:r>
      <w:r>
        <w:rPr>
          <w:spacing w:val="-3"/>
          <w:w w:val="105"/>
        </w:rPr>
        <w:t>to </w:t>
      </w:r>
      <w:r>
        <w:rPr>
          <w:spacing w:val="-2"/>
          <w:w w:val="105"/>
        </w:rPr>
        <w:t>pay </w:t>
      </w:r>
      <w:r>
        <w:rPr>
          <w:w w:val="105"/>
        </w:rPr>
        <w:t>compensation only </w:t>
      </w:r>
      <w:r>
        <w:rPr>
          <w:spacing w:val="-4"/>
          <w:w w:val="105"/>
        </w:rPr>
        <w:t>‘in </w:t>
      </w:r>
      <w:r>
        <w:rPr>
          <w:w w:val="105"/>
        </w:rPr>
        <w:t>some </w:t>
      </w:r>
      <w:r>
        <w:rPr>
          <w:spacing w:val="-3"/>
          <w:w w:val="105"/>
        </w:rPr>
        <w:t>circumstances’ </w:t>
      </w:r>
      <w:r>
        <w:rPr>
          <w:w w:val="105"/>
        </w:rPr>
        <w:t>when they </w:t>
      </w:r>
      <w:r>
        <w:rPr>
          <w:spacing w:val="-3"/>
          <w:w w:val="105"/>
        </w:rPr>
        <w:t>have </w:t>
      </w:r>
      <w:r>
        <w:rPr>
          <w:w w:val="105"/>
        </w:rPr>
        <w:t>made an error in </w:t>
      </w:r>
      <w:r>
        <w:rPr>
          <w:spacing w:val="-3"/>
          <w:w w:val="105"/>
        </w:rPr>
        <w:t>granting </w:t>
      </w:r>
      <w:r>
        <w:rPr>
          <w:w w:val="105"/>
        </w:rPr>
        <w:t>the </w:t>
      </w:r>
      <w:r>
        <w:rPr>
          <w:spacing w:val="-4"/>
          <w:w w:val="105"/>
        </w:rPr>
        <w:t>permit’.</w:t>
      </w:r>
      <w:r>
        <w:rPr>
          <w:spacing w:val="-4"/>
          <w:w w:val="105"/>
          <w:position w:val="7"/>
          <w:sz w:val="12"/>
        </w:rPr>
        <w:t>315</w:t>
      </w:r>
    </w:p>
    <w:p>
      <w:pPr>
        <w:pStyle w:val="ListParagraph"/>
        <w:numPr>
          <w:ilvl w:val="0"/>
          <w:numId w:val="173"/>
        </w:numPr>
        <w:tabs>
          <w:tab w:pos="2381" w:val="left" w:leader="none"/>
          <w:tab w:pos="2382" w:val="left" w:leader="none"/>
        </w:tabs>
        <w:spacing w:line="242" w:lineRule="auto" w:before="123" w:after="0"/>
        <w:ind w:left="2381" w:right="1670" w:hanging="794"/>
        <w:jc w:val="left"/>
        <w:rPr>
          <w:sz w:val="21"/>
        </w:rPr>
      </w:pPr>
      <w:r>
        <w:rPr>
          <w:spacing w:val="-3"/>
          <w:w w:val="105"/>
          <w:sz w:val="21"/>
        </w:rPr>
        <w:t>Safeguards may </w:t>
      </w:r>
      <w:r>
        <w:rPr>
          <w:w w:val="105"/>
          <w:sz w:val="21"/>
        </w:rPr>
        <w:t>be necessary </w:t>
      </w:r>
      <w:r>
        <w:rPr>
          <w:spacing w:val="-3"/>
          <w:w w:val="105"/>
          <w:sz w:val="21"/>
        </w:rPr>
        <w:t>to ensure that </w:t>
      </w:r>
      <w:r>
        <w:rPr>
          <w:w w:val="105"/>
          <w:sz w:val="21"/>
        </w:rPr>
        <w:t>the policy objectives of the </w:t>
      </w:r>
      <w:r>
        <w:rPr>
          <w:spacing w:val="4"/>
          <w:w w:val="105"/>
          <w:sz w:val="21"/>
        </w:rPr>
        <w:t>P&amp;E </w:t>
      </w:r>
      <w:r>
        <w:rPr>
          <w:w w:val="105"/>
          <w:sz w:val="21"/>
        </w:rPr>
        <w:t>Act </w:t>
      </w:r>
      <w:r>
        <w:rPr>
          <w:spacing w:val="-3"/>
          <w:w w:val="105"/>
          <w:sz w:val="21"/>
        </w:rPr>
        <w:t>are considered </w:t>
      </w:r>
      <w:r>
        <w:rPr>
          <w:w w:val="105"/>
          <w:sz w:val="21"/>
        </w:rPr>
        <w:t>and </w:t>
      </w:r>
      <w:r>
        <w:rPr>
          <w:spacing w:val="-3"/>
          <w:w w:val="105"/>
          <w:sz w:val="21"/>
        </w:rPr>
        <w:t>to </w:t>
      </w:r>
      <w:r>
        <w:rPr>
          <w:w w:val="105"/>
          <w:sz w:val="21"/>
        </w:rPr>
        <w:t>also </w:t>
      </w:r>
      <w:r>
        <w:rPr>
          <w:spacing w:val="-4"/>
          <w:w w:val="105"/>
          <w:sz w:val="21"/>
        </w:rPr>
        <w:t>make </w:t>
      </w:r>
      <w:r>
        <w:rPr>
          <w:spacing w:val="-3"/>
          <w:w w:val="105"/>
          <w:sz w:val="21"/>
        </w:rPr>
        <w:t>sure that </w:t>
      </w:r>
      <w:r>
        <w:rPr>
          <w:w w:val="105"/>
          <w:sz w:val="21"/>
        </w:rPr>
        <w:t>developers of </w:t>
      </w:r>
      <w:r>
        <w:rPr>
          <w:spacing w:val="-3"/>
          <w:w w:val="105"/>
          <w:sz w:val="21"/>
        </w:rPr>
        <w:t>land </w:t>
      </w:r>
      <w:r>
        <w:rPr>
          <w:w w:val="105"/>
          <w:sz w:val="21"/>
        </w:rPr>
        <w:t>do </w:t>
      </w:r>
      <w:r>
        <w:rPr>
          <w:spacing w:val="-2"/>
          <w:w w:val="105"/>
          <w:sz w:val="21"/>
        </w:rPr>
        <w:t>not </w:t>
      </w:r>
      <w:r>
        <w:rPr>
          <w:w w:val="105"/>
          <w:sz w:val="21"/>
        </w:rPr>
        <w:t>use the new Act </w:t>
      </w:r>
      <w:r>
        <w:rPr>
          <w:spacing w:val="-3"/>
          <w:w w:val="105"/>
          <w:sz w:val="21"/>
        </w:rPr>
        <w:t>to remove </w:t>
      </w:r>
      <w:r>
        <w:rPr>
          <w:w w:val="105"/>
          <w:sz w:val="21"/>
        </w:rPr>
        <w:t>or destroy vegetation </w:t>
      </w:r>
      <w:r>
        <w:rPr>
          <w:spacing w:val="-3"/>
          <w:w w:val="105"/>
          <w:sz w:val="21"/>
        </w:rPr>
        <w:t>that </w:t>
      </w:r>
      <w:r>
        <w:rPr>
          <w:w w:val="105"/>
          <w:sz w:val="21"/>
        </w:rPr>
        <w:t>is </w:t>
      </w:r>
      <w:r>
        <w:rPr>
          <w:spacing w:val="-3"/>
          <w:w w:val="105"/>
          <w:sz w:val="21"/>
        </w:rPr>
        <w:t>planted </w:t>
      </w:r>
      <w:r>
        <w:rPr>
          <w:w w:val="105"/>
          <w:sz w:val="21"/>
        </w:rPr>
        <w:t>and </w:t>
      </w:r>
      <w:r>
        <w:rPr>
          <w:spacing w:val="-3"/>
          <w:w w:val="105"/>
          <w:sz w:val="21"/>
        </w:rPr>
        <w:t>maintained </w:t>
      </w:r>
      <w:r>
        <w:rPr>
          <w:w w:val="105"/>
          <w:sz w:val="21"/>
        </w:rPr>
        <w:t>as part of an endorsed </w:t>
      </w:r>
      <w:r>
        <w:rPr>
          <w:spacing w:val="-3"/>
          <w:w w:val="105"/>
          <w:sz w:val="21"/>
        </w:rPr>
        <w:t>landscaping </w:t>
      </w:r>
      <w:r>
        <w:rPr>
          <w:w w:val="105"/>
          <w:sz w:val="21"/>
        </w:rPr>
        <w:t>plan—for </w:t>
      </w:r>
      <w:r>
        <w:rPr>
          <w:spacing w:val="-3"/>
          <w:w w:val="105"/>
          <w:sz w:val="21"/>
        </w:rPr>
        <w:t>example, through contrived applications </w:t>
      </w:r>
      <w:r>
        <w:rPr>
          <w:w w:val="105"/>
          <w:sz w:val="21"/>
        </w:rPr>
        <w:t>under the new Act where no </w:t>
      </w:r>
      <w:r>
        <w:rPr>
          <w:spacing w:val="-3"/>
          <w:w w:val="105"/>
          <w:sz w:val="21"/>
        </w:rPr>
        <w:t>genuine dispute</w:t>
      </w:r>
      <w:r>
        <w:rPr>
          <w:spacing w:val="18"/>
          <w:w w:val="105"/>
          <w:sz w:val="21"/>
        </w:rPr>
        <w:t> </w:t>
      </w:r>
      <w:r>
        <w:rPr>
          <w:w w:val="105"/>
          <w:sz w:val="21"/>
        </w:rPr>
        <w:t>exists.</w:t>
      </w:r>
    </w:p>
    <w:p>
      <w:pPr>
        <w:pStyle w:val="ListParagraph"/>
        <w:numPr>
          <w:ilvl w:val="0"/>
          <w:numId w:val="173"/>
        </w:numPr>
        <w:tabs>
          <w:tab w:pos="2382" w:val="left" w:leader="none"/>
        </w:tabs>
        <w:spacing w:line="240" w:lineRule="auto" w:before="125" w:after="0"/>
        <w:ind w:left="2381" w:right="0" w:hanging="794"/>
        <w:jc w:val="left"/>
        <w:rPr>
          <w:sz w:val="21"/>
        </w:rPr>
      </w:pPr>
      <w:r>
        <w:rPr>
          <w:w w:val="105"/>
          <w:sz w:val="21"/>
        </w:rPr>
        <w:t>The </w:t>
      </w:r>
      <w:r>
        <w:rPr>
          <w:spacing w:val="-3"/>
          <w:w w:val="105"/>
          <w:sz w:val="21"/>
        </w:rPr>
        <w:t>following safeguards may </w:t>
      </w:r>
      <w:r>
        <w:rPr>
          <w:w w:val="105"/>
          <w:sz w:val="21"/>
        </w:rPr>
        <w:t>be</w:t>
      </w:r>
      <w:r>
        <w:rPr>
          <w:spacing w:val="34"/>
          <w:w w:val="105"/>
          <w:sz w:val="21"/>
        </w:rPr>
        <w:t> </w:t>
      </w:r>
      <w:r>
        <w:rPr>
          <w:w w:val="105"/>
          <w:sz w:val="21"/>
        </w:rPr>
        <w:t>appropriate:</w:t>
      </w:r>
    </w:p>
    <w:p>
      <w:pPr>
        <w:pStyle w:val="ListParagraph"/>
        <w:numPr>
          <w:ilvl w:val="1"/>
          <w:numId w:val="173"/>
        </w:numPr>
        <w:tabs>
          <w:tab w:pos="2721" w:val="left" w:leader="none"/>
          <w:tab w:pos="2722" w:val="left" w:leader="none"/>
        </w:tabs>
        <w:spacing w:line="242" w:lineRule="auto" w:before="124" w:after="0"/>
        <w:ind w:left="2721" w:right="2520" w:hanging="340"/>
        <w:jc w:val="left"/>
        <w:rPr>
          <w:sz w:val="21"/>
        </w:rPr>
      </w:pPr>
      <w:r>
        <w:rPr>
          <w:spacing w:val="-3"/>
          <w:w w:val="105"/>
          <w:sz w:val="21"/>
        </w:rPr>
        <w:t>all</w:t>
      </w:r>
      <w:r>
        <w:rPr>
          <w:spacing w:val="-8"/>
          <w:w w:val="105"/>
          <w:sz w:val="21"/>
        </w:rPr>
        <w:t> </w:t>
      </w:r>
      <w:r>
        <w:rPr>
          <w:spacing w:val="-3"/>
          <w:w w:val="105"/>
          <w:sz w:val="21"/>
        </w:rPr>
        <w:t>relevant</w:t>
      </w:r>
      <w:r>
        <w:rPr>
          <w:spacing w:val="-8"/>
          <w:w w:val="105"/>
          <w:sz w:val="21"/>
        </w:rPr>
        <w:t> </w:t>
      </w:r>
      <w:r>
        <w:rPr>
          <w:w w:val="105"/>
          <w:sz w:val="21"/>
        </w:rPr>
        <w:t>parties</w:t>
      </w:r>
      <w:r>
        <w:rPr>
          <w:spacing w:val="-8"/>
          <w:w w:val="105"/>
          <w:sz w:val="21"/>
        </w:rPr>
        <w:t> </w:t>
      </w:r>
      <w:r>
        <w:rPr>
          <w:w w:val="105"/>
          <w:sz w:val="21"/>
        </w:rPr>
        <w:t>should</w:t>
      </w:r>
      <w:r>
        <w:rPr>
          <w:spacing w:val="-8"/>
          <w:w w:val="105"/>
          <w:sz w:val="21"/>
        </w:rPr>
        <w:t> </w:t>
      </w:r>
      <w:r>
        <w:rPr>
          <w:w w:val="105"/>
          <w:sz w:val="21"/>
        </w:rPr>
        <w:t>be</w:t>
      </w:r>
      <w:r>
        <w:rPr>
          <w:spacing w:val="-8"/>
          <w:w w:val="105"/>
          <w:sz w:val="21"/>
        </w:rPr>
        <w:t> </w:t>
      </w:r>
      <w:r>
        <w:rPr>
          <w:spacing w:val="-3"/>
          <w:w w:val="105"/>
          <w:sz w:val="21"/>
        </w:rPr>
        <w:t>invited</w:t>
      </w:r>
      <w:r>
        <w:rPr>
          <w:spacing w:val="-8"/>
          <w:w w:val="105"/>
          <w:sz w:val="21"/>
        </w:rPr>
        <w:t> </w:t>
      </w:r>
      <w:r>
        <w:rPr>
          <w:spacing w:val="-3"/>
          <w:w w:val="105"/>
          <w:sz w:val="21"/>
        </w:rPr>
        <w:t>to</w:t>
      </w:r>
      <w:r>
        <w:rPr>
          <w:spacing w:val="-8"/>
          <w:w w:val="105"/>
          <w:sz w:val="21"/>
        </w:rPr>
        <w:t> </w:t>
      </w:r>
      <w:r>
        <w:rPr>
          <w:w w:val="105"/>
          <w:sz w:val="21"/>
        </w:rPr>
        <w:t>appear</w:t>
      </w:r>
      <w:r>
        <w:rPr>
          <w:spacing w:val="-8"/>
          <w:w w:val="105"/>
          <w:sz w:val="21"/>
        </w:rPr>
        <w:t> </w:t>
      </w:r>
      <w:r>
        <w:rPr>
          <w:w w:val="105"/>
          <w:sz w:val="21"/>
        </w:rPr>
        <w:t>at</w:t>
      </w:r>
      <w:r>
        <w:rPr>
          <w:spacing w:val="-8"/>
          <w:w w:val="105"/>
          <w:sz w:val="21"/>
        </w:rPr>
        <w:t> </w:t>
      </w:r>
      <w:r>
        <w:rPr>
          <w:w w:val="105"/>
          <w:sz w:val="21"/>
        </w:rPr>
        <w:t>the</w:t>
      </w:r>
      <w:r>
        <w:rPr>
          <w:spacing w:val="-8"/>
          <w:w w:val="105"/>
          <w:sz w:val="21"/>
        </w:rPr>
        <w:t> </w:t>
      </w:r>
      <w:r>
        <w:rPr>
          <w:w w:val="105"/>
          <w:sz w:val="21"/>
        </w:rPr>
        <w:t>tree</w:t>
      </w:r>
      <w:r>
        <w:rPr>
          <w:spacing w:val="-7"/>
          <w:w w:val="105"/>
          <w:sz w:val="21"/>
        </w:rPr>
        <w:t> </w:t>
      </w:r>
      <w:r>
        <w:rPr>
          <w:spacing w:val="-3"/>
          <w:w w:val="105"/>
          <w:sz w:val="21"/>
        </w:rPr>
        <w:t>dispute</w:t>
      </w:r>
      <w:r>
        <w:rPr>
          <w:spacing w:val="-8"/>
          <w:w w:val="105"/>
          <w:sz w:val="21"/>
        </w:rPr>
        <w:t> </w:t>
      </w:r>
      <w:r>
        <w:rPr>
          <w:spacing w:val="-3"/>
          <w:w w:val="105"/>
          <w:sz w:val="21"/>
        </w:rPr>
        <w:t>hearing</w:t>
      </w:r>
      <w:r>
        <w:rPr>
          <w:spacing w:val="-8"/>
          <w:w w:val="105"/>
          <w:sz w:val="21"/>
        </w:rPr>
        <w:t> </w:t>
      </w:r>
      <w:r>
        <w:rPr>
          <w:w w:val="105"/>
          <w:sz w:val="21"/>
        </w:rPr>
        <w:t>in </w:t>
      </w:r>
      <w:r>
        <w:rPr>
          <w:spacing w:val="-3"/>
          <w:w w:val="105"/>
          <w:sz w:val="21"/>
        </w:rPr>
        <w:t>accordance </w:t>
      </w:r>
      <w:r>
        <w:rPr>
          <w:w w:val="105"/>
          <w:sz w:val="21"/>
        </w:rPr>
        <w:t>with section 90(1) of the </w:t>
      </w:r>
      <w:r>
        <w:rPr>
          <w:spacing w:val="4"/>
          <w:w w:val="105"/>
          <w:sz w:val="21"/>
        </w:rPr>
        <w:t>P&amp;E</w:t>
      </w:r>
      <w:r>
        <w:rPr>
          <w:spacing w:val="34"/>
          <w:w w:val="105"/>
          <w:sz w:val="21"/>
        </w:rPr>
        <w:t> </w:t>
      </w:r>
      <w:r>
        <w:rPr>
          <w:w w:val="105"/>
          <w:sz w:val="21"/>
        </w:rPr>
        <w:t>Act</w:t>
      </w:r>
    </w:p>
    <w:p>
      <w:pPr>
        <w:pStyle w:val="ListParagraph"/>
        <w:numPr>
          <w:ilvl w:val="1"/>
          <w:numId w:val="173"/>
        </w:numPr>
        <w:tabs>
          <w:tab w:pos="2721" w:val="left" w:leader="none"/>
          <w:tab w:pos="2722" w:val="left" w:leader="none"/>
        </w:tabs>
        <w:spacing w:line="242" w:lineRule="auto" w:before="87" w:after="0"/>
        <w:ind w:left="2721" w:right="1814" w:hanging="340"/>
        <w:jc w:val="left"/>
        <w:rPr>
          <w:sz w:val="12"/>
        </w:rPr>
      </w:pPr>
      <w:r>
        <w:rPr>
          <w:w w:val="105"/>
          <w:sz w:val="21"/>
        </w:rPr>
        <w:t>the </w:t>
      </w:r>
      <w:r>
        <w:rPr>
          <w:spacing w:val="-3"/>
          <w:w w:val="105"/>
          <w:sz w:val="21"/>
        </w:rPr>
        <w:t>planning scheme, planning </w:t>
      </w:r>
      <w:r>
        <w:rPr>
          <w:w w:val="105"/>
          <w:sz w:val="21"/>
        </w:rPr>
        <w:t>permit and objectives of </w:t>
      </w:r>
      <w:r>
        <w:rPr>
          <w:spacing w:val="-3"/>
          <w:w w:val="105"/>
          <w:sz w:val="21"/>
        </w:rPr>
        <w:t>planning </w:t>
      </w:r>
      <w:r>
        <w:rPr>
          <w:w w:val="105"/>
          <w:sz w:val="21"/>
        </w:rPr>
        <w:t>in Victoria should be</w:t>
      </w:r>
      <w:r>
        <w:rPr>
          <w:spacing w:val="-5"/>
          <w:w w:val="105"/>
          <w:sz w:val="21"/>
        </w:rPr>
        <w:t> </w:t>
      </w:r>
      <w:r>
        <w:rPr>
          <w:spacing w:val="-3"/>
          <w:w w:val="105"/>
          <w:sz w:val="21"/>
        </w:rPr>
        <w:t>taken</w:t>
      </w:r>
      <w:r>
        <w:rPr>
          <w:spacing w:val="-5"/>
          <w:w w:val="105"/>
          <w:sz w:val="21"/>
        </w:rPr>
        <w:t> </w:t>
      </w:r>
      <w:r>
        <w:rPr>
          <w:spacing w:val="-4"/>
          <w:w w:val="105"/>
          <w:sz w:val="21"/>
        </w:rPr>
        <w:t>into</w:t>
      </w:r>
      <w:r>
        <w:rPr>
          <w:spacing w:val="-5"/>
          <w:w w:val="105"/>
          <w:sz w:val="21"/>
        </w:rPr>
        <w:t> </w:t>
      </w:r>
      <w:r>
        <w:rPr>
          <w:spacing w:val="-3"/>
          <w:w w:val="105"/>
          <w:sz w:val="21"/>
        </w:rPr>
        <w:t>account</w:t>
      </w:r>
      <w:r>
        <w:rPr>
          <w:spacing w:val="-5"/>
          <w:w w:val="105"/>
          <w:sz w:val="21"/>
        </w:rPr>
        <w:t> </w:t>
      </w:r>
      <w:r>
        <w:rPr>
          <w:w w:val="105"/>
          <w:sz w:val="21"/>
        </w:rPr>
        <w:t>as</w:t>
      </w:r>
      <w:r>
        <w:rPr>
          <w:spacing w:val="-4"/>
          <w:w w:val="105"/>
          <w:sz w:val="21"/>
        </w:rPr>
        <w:t> </w:t>
      </w:r>
      <w:r>
        <w:rPr>
          <w:w w:val="105"/>
          <w:sz w:val="21"/>
        </w:rPr>
        <w:t>part</w:t>
      </w:r>
      <w:r>
        <w:rPr>
          <w:spacing w:val="-5"/>
          <w:w w:val="105"/>
          <w:sz w:val="21"/>
        </w:rPr>
        <w:t> </w:t>
      </w:r>
      <w:r>
        <w:rPr>
          <w:w w:val="105"/>
          <w:sz w:val="21"/>
        </w:rPr>
        <w:t>of</w:t>
      </w:r>
      <w:r>
        <w:rPr>
          <w:spacing w:val="-5"/>
          <w:w w:val="105"/>
          <w:sz w:val="21"/>
        </w:rPr>
        <w:t> </w:t>
      </w:r>
      <w:r>
        <w:rPr>
          <w:w w:val="105"/>
          <w:sz w:val="21"/>
        </w:rPr>
        <w:t>the</w:t>
      </w:r>
      <w:r>
        <w:rPr>
          <w:spacing w:val="-5"/>
          <w:w w:val="105"/>
          <w:sz w:val="21"/>
        </w:rPr>
        <w:t> </w:t>
      </w:r>
      <w:r>
        <w:rPr>
          <w:w w:val="105"/>
          <w:sz w:val="21"/>
        </w:rPr>
        <w:t>decision-making</w:t>
      </w:r>
      <w:r>
        <w:rPr>
          <w:spacing w:val="-4"/>
          <w:w w:val="105"/>
          <w:sz w:val="21"/>
        </w:rPr>
        <w:t> </w:t>
      </w:r>
      <w:r>
        <w:rPr>
          <w:w w:val="105"/>
          <w:sz w:val="21"/>
        </w:rPr>
        <w:t>process—for</w:t>
      </w:r>
      <w:r>
        <w:rPr>
          <w:spacing w:val="-5"/>
          <w:w w:val="105"/>
          <w:sz w:val="21"/>
        </w:rPr>
        <w:t> </w:t>
      </w:r>
      <w:r>
        <w:rPr>
          <w:w w:val="105"/>
          <w:sz w:val="21"/>
        </w:rPr>
        <w:t>example</w:t>
      </w:r>
      <w:r>
        <w:rPr>
          <w:spacing w:val="-5"/>
          <w:w w:val="105"/>
          <w:sz w:val="21"/>
        </w:rPr>
        <w:t> </w:t>
      </w:r>
      <w:r>
        <w:rPr>
          <w:spacing w:val="-3"/>
          <w:w w:val="105"/>
          <w:sz w:val="21"/>
        </w:rPr>
        <w:t>to</w:t>
      </w:r>
      <w:r>
        <w:rPr>
          <w:spacing w:val="-5"/>
          <w:w w:val="105"/>
          <w:sz w:val="21"/>
        </w:rPr>
        <w:t> </w:t>
      </w:r>
      <w:r>
        <w:rPr>
          <w:w w:val="105"/>
          <w:sz w:val="21"/>
        </w:rPr>
        <w:t>what extent did the permit holder comply with the </w:t>
      </w:r>
      <w:r>
        <w:rPr>
          <w:spacing w:val="-3"/>
          <w:w w:val="105"/>
          <w:sz w:val="21"/>
        </w:rPr>
        <w:t>conditions to plant </w:t>
      </w:r>
      <w:r>
        <w:rPr>
          <w:w w:val="105"/>
          <w:sz w:val="21"/>
        </w:rPr>
        <w:t>and </w:t>
      </w:r>
      <w:r>
        <w:rPr>
          <w:spacing w:val="-3"/>
          <w:w w:val="105"/>
          <w:sz w:val="21"/>
        </w:rPr>
        <w:t>maintain </w:t>
      </w:r>
      <w:r>
        <w:rPr>
          <w:w w:val="105"/>
          <w:sz w:val="21"/>
        </w:rPr>
        <w:t>the species of tree </w:t>
      </w:r>
      <w:r>
        <w:rPr>
          <w:spacing w:val="-3"/>
          <w:w w:val="105"/>
          <w:sz w:val="21"/>
        </w:rPr>
        <w:t>required </w:t>
      </w:r>
      <w:r>
        <w:rPr>
          <w:w w:val="105"/>
          <w:sz w:val="21"/>
        </w:rPr>
        <w:t>by the </w:t>
      </w:r>
      <w:r>
        <w:rPr>
          <w:spacing w:val="-3"/>
          <w:w w:val="105"/>
          <w:sz w:val="21"/>
        </w:rPr>
        <w:t>responsible </w:t>
      </w:r>
      <w:r>
        <w:rPr>
          <w:w w:val="105"/>
          <w:sz w:val="21"/>
        </w:rPr>
        <w:t>authority in the endorsed landscape </w:t>
      </w:r>
      <w:r>
        <w:rPr>
          <w:spacing w:val="-4"/>
          <w:w w:val="105"/>
          <w:sz w:val="21"/>
        </w:rPr>
        <w:t>plan</w:t>
      </w:r>
      <w:r>
        <w:rPr>
          <w:spacing w:val="-4"/>
          <w:w w:val="105"/>
          <w:position w:val="7"/>
          <w:sz w:val="12"/>
        </w:rPr>
        <w:t>316</w:t>
      </w:r>
    </w:p>
    <w:p>
      <w:pPr>
        <w:pStyle w:val="ListParagraph"/>
        <w:numPr>
          <w:ilvl w:val="1"/>
          <w:numId w:val="173"/>
        </w:numPr>
        <w:tabs>
          <w:tab w:pos="2721" w:val="left" w:leader="none"/>
          <w:tab w:pos="2722" w:val="left" w:leader="none"/>
        </w:tabs>
        <w:spacing w:line="242" w:lineRule="auto" w:before="90" w:after="0"/>
        <w:ind w:left="2721" w:right="1654" w:hanging="340"/>
        <w:jc w:val="left"/>
        <w:rPr>
          <w:sz w:val="21"/>
        </w:rPr>
      </w:pPr>
      <w:r>
        <w:rPr>
          <w:sz w:val="21"/>
        </w:rPr>
        <w:t>tree </w:t>
      </w:r>
      <w:r>
        <w:rPr>
          <w:spacing w:val="-3"/>
          <w:sz w:val="21"/>
        </w:rPr>
        <w:t>removal </w:t>
      </w:r>
      <w:r>
        <w:rPr>
          <w:sz w:val="21"/>
        </w:rPr>
        <w:t>or destruction </w:t>
      </w:r>
      <w:r>
        <w:rPr>
          <w:spacing w:val="-3"/>
          <w:sz w:val="21"/>
        </w:rPr>
        <w:t>will </w:t>
      </w:r>
      <w:r>
        <w:rPr>
          <w:sz w:val="21"/>
        </w:rPr>
        <w:t>only be ordered as a last resort, if no lesser impact on the tree would be</w:t>
      </w:r>
      <w:r>
        <w:rPr>
          <w:spacing w:val="33"/>
          <w:sz w:val="21"/>
        </w:rPr>
        <w:t> </w:t>
      </w:r>
      <w:r>
        <w:rPr>
          <w:sz w:val="21"/>
        </w:rPr>
        <w:t>sufficient.</w:t>
      </w:r>
    </w:p>
    <w:p>
      <w:pPr>
        <w:pStyle w:val="Heading5"/>
        <w:spacing w:line="244" w:lineRule="auto" w:before="212"/>
        <w:ind w:right="2669"/>
      </w:pPr>
      <w:r>
        <w:rPr>
          <w:w w:val="115"/>
        </w:rPr>
        <w:t>The</w:t>
      </w:r>
      <w:r>
        <w:rPr>
          <w:spacing w:val="-32"/>
          <w:w w:val="115"/>
        </w:rPr>
        <w:t> </w:t>
      </w:r>
      <w:r>
        <w:rPr>
          <w:w w:val="115"/>
        </w:rPr>
        <w:t>Commission’s</w:t>
      </w:r>
      <w:r>
        <w:rPr>
          <w:spacing w:val="-31"/>
          <w:w w:val="115"/>
        </w:rPr>
        <w:t> </w:t>
      </w:r>
      <w:r>
        <w:rPr>
          <w:w w:val="115"/>
        </w:rPr>
        <w:t>conclusions—further</w:t>
      </w:r>
      <w:r>
        <w:rPr>
          <w:spacing w:val="-31"/>
          <w:w w:val="115"/>
        </w:rPr>
        <w:t> </w:t>
      </w:r>
      <w:r>
        <w:rPr>
          <w:w w:val="115"/>
        </w:rPr>
        <w:t>consideration</w:t>
      </w:r>
      <w:r>
        <w:rPr>
          <w:spacing w:val="-31"/>
          <w:w w:val="115"/>
        </w:rPr>
        <w:t> </w:t>
      </w:r>
      <w:r>
        <w:rPr>
          <w:w w:val="115"/>
        </w:rPr>
        <w:t>of</w:t>
      </w:r>
      <w:r>
        <w:rPr>
          <w:spacing w:val="-31"/>
          <w:w w:val="115"/>
        </w:rPr>
        <w:t> </w:t>
      </w:r>
      <w:r>
        <w:rPr>
          <w:w w:val="115"/>
        </w:rPr>
        <w:t>Section</w:t>
      </w:r>
      <w:r>
        <w:rPr>
          <w:spacing w:val="-31"/>
          <w:w w:val="115"/>
        </w:rPr>
        <w:t> </w:t>
      </w:r>
      <w:r>
        <w:rPr>
          <w:spacing w:val="-6"/>
          <w:w w:val="115"/>
        </w:rPr>
        <w:t>173 </w:t>
      </w:r>
      <w:r>
        <w:rPr>
          <w:w w:val="115"/>
        </w:rPr>
        <w:t>agreements</w:t>
      </w:r>
    </w:p>
    <w:p>
      <w:pPr>
        <w:pStyle w:val="ListParagraph"/>
        <w:numPr>
          <w:ilvl w:val="0"/>
          <w:numId w:val="173"/>
        </w:numPr>
        <w:tabs>
          <w:tab w:pos="2382" w:val="left" w:leader="none"/>
        </w:tabs>
        <w:spacing w:line="242" w:lineRule="auto" w:before="133" w:after="0"/>
        <w:ind w:left="2381" w:right="1585" w:hanging="794"/>
        <w:jc w:val="left"/>
        <w:rPr>
          <w:sz w:val="21"/>
        </w:rPr>
      </w:pPr>
      <w:r>
        <w:rPr>
          <w:w w:val="105"/>
          <w:sz w:val="21"/>
        </w:rPr>
        <w:t>It is difficult </w:t>
      </w:r>
      <w:r>
        <w:rPr>
          <w:spacing w:val="-3"/>
          <w:w w:val="105"/>
          <w:sz w:val="21"/>
        </w:rPr>
        <w:t>to </w:t>
      </w:r>
      <w:r>
        <w:rPr>
          <w:w w:val="105"/>
          <w:sz w:val="21"/>
        </w:rPr>
        <w:t>amend or cancel a section </w:t>
      </w:r>
      <w:r>
        <w:rPr>
          <w:spacing w:val="-8"/>
          <w:w w:val="105"/>
          <w:sz w:val="21"/>
        </w:rPr>
        <w:t>173 </w:t>
      </w:r>
      <w:r>
        <w:rPr>
          <w:spacing w:val="-3"/>
          <w:w w:val="105"/>
          <w:sz w:val="21"/>
        </w:rPr>
        <w:t>agreement. Legislative </w:t>
      </w:r>
      <w:r>
        <w:rPr>
          <w:w w:val="105"/>
          <w:sz w:val="21"/>
        </w:rPr>
        <w:t>amendments in </w:t>
      </w:r>
      <w:r>
        <w:rPr>
          <w:spacing w:val="-9"/>
          <w:w w:val="105"/>
          <w:sz w:val="21"/>
        </w:rPr>
        <w:t>2013 </w:t>
      </w:r>
      <w:r>
        <w:rPr>
          <w:w w:val="105"/>
          <w:sz w:val="21"/>
        </w:rPr>
        <w:t>attempted </w:t>
      </w:r>
      <w:r>
        <w:rPr>
          <w:spacing w:val="-3"/>
          <w:w w:val="105"/>
          <w:sz w:val="21"/>
        </w:rPr>
        <w:t>to </w:t>
      </w:r>
      <w:r>
        <w:rPr>
          <w:w w:val="105"/>
          <w:sz w:val="21"/>
        </w:rPr>
        <w:t>address this difficulty by </w:t>
      </w:r>
      <w:r>
        <w:rPr>
          <w:spacing w:val="-3"/>
          <w:w w:val="105"/>
          <w:sz w:val="21"/>
        </w:rPr>
        <w:t>introducing </w:t>
      </w:r>
      <w:r>
        <w:rPr>
          <w:w w:val="105"/>
          <w:sz w:val="21"/>
        </w:rPr>
        <w:t>a process </w:t>
      </w:r>
      <w:r>
        <w:rPr>
          <w:spacing w:val="-3"/>
          <w:w w:val="105"/>
          <w:sz w:val="21"/>
        </w:rPr>
        <w:t>for amending </w:t>
      </w:r>
      <w:r>
        <w:rPr>
          <w:w w:val="105"/>
          <w:sz w:val="21"/>
        </w:rPr>
        <w:t>or </w:t>
      </w:r>
      <w:r>
        <w:rPr>
          <w:spacing w:val="-3"/>
          <w:w w:val="105"/>
          <w:sz w:val="21"/>
        </w:rPr>
        <w:t>removing </w:t>
      </w:r>
      <w:r>
        <w:rPr>
          <w:w w:val="105"/>
          <w:sz w:val="21"/>
        </w:rPr>
        <w:t>agreements where the </w:t>
      </w:r>
      <w:r>
        <w:rPr>
          <w:spacing w:val="-3"/>
          <w:w w:val="105"/>
          <w:sz w:val="21"/>
        </w:rPr>
        <w:t>amendment </w:t>
      </w:r>
      <w:r>
        <w:rPr>
          <w:w w:val="105"/>
          <w:sz w:val="21"/>
        </w:rPr>
        <w:t>or </w:t>
      </w:r>
      <w:r>
        <w:rPr>
          <w:spacing w:val="-3"/>
          <w:w w:val="105"/>
          <w:sz w:val="21"/>
        </w:rPr>
        <w:t>removal </w:t>
      </w:r>
      <w:r>
        <w:rPr>
          <w:spacing w:val="-2"/>
          <w:w w:val="105"/>
          <w:sz w:val="21"/>
        </w:rPr>
        <w:t>has </w:t>
      </w:r>
      <w:r>
        <w:rPr>
          <w:w w:val="105"/>
          <w:sz w:val="21"/>
        </w:rPr>
        <w:t>the support of </w:t>
      </w:r>
      <w:r>
        <w:rPr>
          <w:spacing w:val="-4"/>
          <w:w w:val="105"/>
          <w:sz w:val="21"/>
        </w:rPr>
        <w:t>council.</w:t>
      </w:r>
      <w:r>
        <w:rPr>
          <w:spacing w:val="-4"/>
          <w:w w:val="105"/>
          <w:position w:val="7"/>
          <w:sz w:val="12"/>
        </w:rPr>
        <w:t>317 </w:t>
      </w:r>
      <w:r>
        <w:rPr>
          <w:spacing w:val="-4"/>
          <w:w w:val="105"/>
          <w:sz w:val="21"/>
        </w:rPr>
        <w:t>However, </w:t>
      </w:r>
      <w:r>
        <w:rPr>
          <w:w w:val="105"/>
          <w:sz w:val="21"/>
        </w:rPr>
        <w:t>these </w:t>
      </w:r>
      <w:r>
        <w:rPr>
          <w:spacing w:val="-3"/>
          <w:w w:val="105"/>
          <w:sz w:val="21"/>
        </w:rPr>
        <w:t>changes </w:t>
      </w:r>
      <w:r>
        <w:rPr>
          <w:w w:val="105"/>
          <w:sz w:val="21"/>
        </w:rPr>
        <w:t>do </w:t>
      </w:r>
      <w:r>
        <w:rPr>
          <w:spacing w:val="-2"/>
          <w:w w:val="105"/>
          <w:sz w:val="21"/>
        </w:rPr>
        <w:t>not </w:t>
      </w:r>
      <w:r>
        <w:rPr>
          <w:w w:val="105"/>
          <w:sz w:val="21"/>
        </w:rPr>
        <w:t>assist where </w:t>
      </w:r>
      <w:r>
        <w:rPr>
          <w:spacing w:val="-3"/>
          <w:w w:val="105"/>
          <w:sz w:val="21"/>
        </w:rPr>
        <w:t>council </w:t>
      </w:r>
      <w:r>
        <w:rPr>
          <w:w w:val="105"/>
          <w:sz w:val="21"/>
        </w:rPr>
        <w:t>does </w:t>
      </w:r>
      <w:r>
        <w:rPr>
          <w:spacing w:val="-2"/>
          <w:w w:val="105"/>
          <w:sz w:val="21"/>
        </w:rPr>
        <w:t>not </w:t>
      </w:r>
      <w:r>
        <w:rPr>
          <w:w w:val="105"/>
          <w:sz w:val="21"/>
        </w:rPr>
        <w:t>support the </w:t>
      </w:r>
      <w:r>
        <w:rPr>
          <w:spacing w:val="-3"/>
          <w:w w:val="105"/>
          <w:sz w:val="21"/>
        </w:rPr>
        <w:t>amendment </w:t>
      </w:r>
      <w:r>
        <w:rPr>
          <w:w w:val="105"/>
          <w:sz w:val="21"/>
        </w:rPr>
        <w:t>or </w:t>
      </w:r>
      <w:r>
        <w:rPr>
          <w:spacing w:val="-3"/>
          <w:w w:val="105"/>
          <w:sz w:val="21"/>
        </w:rPr>
        <w:t>removal </w:t>
      </w:r>
      <w:r>
        <w:rPr>
          <w:w w:val="105"/>
          <w:sz w:val="21"/>
        </w:rPr>
        <w:t>of the</w:t>
      </w:r>
      <w:r>
        <w:rPr>
          <w:spacing w:val="11"/>
          <w:w w:val="105"/>
          <w:sz w:val="21"/>
        </w:rPr>
        <w:t> </w:t>
      </w:r>
      <w:r>
        <w:rPr>
          <w:spacing w:val="-3"/>
          <w:w w:val="105"/>
          <w:sz w:val="21"/>
        </w:rPr>
        <w:t>agreement.</w:t>
      </w:r>
    </w:p>
    <w:p>
      <w:pPr>
        <w:pStyle w:val="ListParagraph"/>
        <w:numPr>
          <w:ilvl w:val="0"/>
          <w:numId w:val="173"/>
        </w:numPr>
        <w:tabs>
          <w:tab w:pos="2381" w:val="left" w:leader="none"/>
        </w:tabs>
        <w:spacing w:line="242" w:lineRule="auto" w:before="126" w:after="0"/>
        <w:ind w:left="2380" w:right="1829" w:hanging="793"/>
        <w:jc w:val="left"/>
        <w:rPr>
          <w:sz w:val="21"/>
        </w:rPr>
      </w:pPr>
      <w:r>
        <w:rPr>
          <w:w w:val="105"/>
          <w:sz w:val="21"/>
        </w:rPr>
        <w:t>The </w:t>
      </w:r>
      <w:r>
        <w:rPr>
          <w:spacing w:val="-3"/>
          <w:w w:val="105"/>
          <w:sz w:val="21"/>
        </w:rPr>
        <w:t>Commission </w:t>
      </w:r>
      <w:r>
        <w:rPr>
          <w:w w:val="105"/>
          <w:sz w:val="21"/>
        </w:rPr>
        <w:t>does </w:t>
      </w:r>
      <w:r>
        <w:rPr>
          <w:spacing w:val="-2"/>
          <w:w w:val="105"/>
          <w:sz w:val="21"/>
        </w:rPr>
        <w:t>not </w:t>
      </w:r>
      <w:r>
        <w:rPr>
          <w:spacing w:val="-3"/>
          <w:w w:val="105"/>
          <w:sz w:val="21"/>
        </w:rPr>
        <w:t>recommend that </w:t>
      </w:r>
      <w:r>
        <w:rPr>
          <w:w w:val="105"/>
          <w:sz w:val="21"/>
        </w:rPr>
        <w:t>the new Act </w:t>
      </w:r>
      <w:r>
        <w:rPr>
          <w:spacing w:val="-3"/>
          <w:w w:val="105"/>
          <w:sz w:val="21"/>
        </w:rPr>
        <w:t>interfere </w:t>
      </w:r>
      <w:r>
        <w:rPr>
          <w:w w:val="105"/>
          <w:sz w:val="21"/>
        </w:rPr>
        <w:t>with section </w:t>
      </w:r>
      <w:r>
        <w:rPr>
          <w:spacing w:val="-8"/>
          <w:w w:val="105"/>
          <w:sz w:val="21"/>
        </w:rPr>
        <w:t>173 </w:t>
      </w:r>
      <w:r>
        <w:rPr>
          <w:w w:val="105"/>
          <w:sz w:val="21"/>
        </w:rPr>
        <w:t>agreements</w:t>
      </w:r>
      <w:r>
        <w:rPr>
          <w:spacing w:val="-8"/>
          <w:w w:val="105"/>
          <w:sz w:val="21"/>
        </w:rPr>
        <w:t> </w:t>
      </w:r>
      <w:r>
        <w:rPr>
          <w:w w:val="105"/>
          <w:sz w:val="21"/>
        </w:rPr>
        <w:t>because</w:t>
      </w:r>
      <w:r>
        <w:rPr>
          <w:spacing w:val="-8"/>
          <w:w w:val="105"/>
          <w:sz w:val="21"/>
        </w:rPr>
        <w:t> </w:t>
      </w:r>
      <w:r>
        <w:rPr>
          <w:w w:val="105"/>
          <w:sz w:val="21"/>
        </w:rPr>
        <w:t>these</w:t>
      </w:r>
      <w:r>
        <w:rPr>
          <w:spacing w:val="-8"/>
          <w:w w:val="105"/>
          <w:sz w:val="21"/>
        </w:rPr>
        <w:t> </w:t>
      </w:r>
      <w:r>
        <w:rPr>
          <w:w w:val="105"/>
          <w:sz w:val="21"/>
        </w:rPr>
        <w:t>agreements</w:t>
      </w:r>
      <w:r>
        <w:rPr>
          <w:spacing w:val="-7"/>
          <w:w w:val="105"/>
          <w:sz w:val="21"/>
        </w:rPr>
        <w:t> </w:t>
      </w:r>
      <w:r>
        <w:rPr>
          <w:spacing w:val="-3"/>
          <w:w w:val="105"/>
          <w:sz w:val="21"/>
        </w:rPr>
        <w:t>are</w:t>
      </w:r>
      <w:r>
        <w:rPr>
          <w:spacing w:val="-8"/>
          <w:w w:val="105"/>
          <w:sz w:val="21"/>
        </w:rPr>
        <w:t> </w:t>
      </w:r>
      <w:r>
        <w:rPr>
          <w:spacing w:val="-3"/>
          <w:w w:val="105"/>
          <w:sz w:val="21"/>
        </w:rPr>
        <w:t>unable</w:t>
      </w:r>
      <w:r>
        <w:rPr>
          <w:spacing w:val="-8"/>
          <w:w w:val="105"/>
          <w:sz w:val="21"/>
        </w:rPr>
        <w:t> </w:t>
      </w:r>
      <w:r>
        <w:rPr>
          <w:spacing w:val="-3"/>
          <w:w w:val="105"/>
          <w:sz w:val="21"/>
        </w:rPr>
        <w:t>to</w:t>
      </w:r>
      <w:r>
        <w:rPr>
          <w:spacing w:val="-8"/>
          <w:w w:val="105"/>
          <w:sz w:val="21"/>
        </w:rPr>
        <w:t> </w:t>
      </w:r>
      <w:r>
        <w:rPr>
          <w:w w:val="105"/>
          <w:sz w:val="21"/>
        </w:rPr>
        <w:t>be</w:t>
      </w:r>
      <w:r>
        <w:rPr>
          <w:spacing w:val="-7"/>
          <w:w w:val="105"/>
          <w:sz w:val="21"/>
        </w:rPr>
        <w:t> </w:t>
      </w:r>
      <w:r>
        <w:rPr>
          <w:w w:val="105"/>
          <w:sz w:val="21"/>
        </w:rPr>
        <w:t>reviewed</w:t>
      </w:r>
      <w:r>
        <w:rPr>
          <w:spacing w:val="-8"/>
          <w:w w:val="105"/>
          <w:sz w:val="21"/>
        </w:rPr>
        <w:t> </w:t>
      </w:r>
      <w:r>
        <w:rPr>
          <w:w w:val="105"/>
          <w:sz w:val="21"/>
        </w:rPr>
        <w:t>by</w:t>
      </w:r>
      <w:r>
        <w:rPr>
          <w:spacing w:val="-8"/>
          <w:w w:val="105"/>
          <w:sz w:val="21"/>
        </w:rPr>
        <w:t> </w:t>
      </w:r>
      <w:r>
        <w:rPr>
          <w:spacing w:val="-5"/>
          <w:w w:val="105"/>
          <w:sz w:val="21"/>
        </w:rPr>
        <w:t>VCAT</w:t>
      </w:r>
      <w:r>
        <w:rPr>
          <w:spacing w:val="-7"/>
          <w:w w:val="105"/>
          <w:sz w:val="21"/>
        </w:rPr>
        <w:t> </w:t>
      </w:r>
      <w:r>
        <w:rPr>
          <w:w w:val="105"/>
          <w:sz w:val="21"/>
        </w:rPr>
        <w:t>without</w:t>
      </w:r>
      <w:r>
        <w:rPr>
          <w:spacing w:val="-8"/>
          <w:w w:val="105"/>
          <w:sz w:val="21"/>
        </w:rPr>
        <w:t> </w:t>
      </w:r>
      <w:r>
        <w:rPr>
          <w:w w:val="105"/>
          <w:sz w:val="21"/>
        </w:rPr>
        <w:t>the </w:t>
      </w:r>
      <w:r>
        <w:rPr>
          <w:spacing w:val="-3"/>
          <w:w w:val="105"/>
          <w:sz w:val="21"/>
        </w:rPr>
        <w:t>approval </w:t>
      </w:r>
      <w:r>
        <w:rPr>
          <w:w w:val="105"/>
          <w:sz w:val="21"/>
        </w:rPr>
        <w:t>of the </w:t>
      </w:r>
      <w:r>
        <w:rPr>
          <w:spacing w:val="-3"/>
          <w:w w:val="105"/>
          <w:sz w:val="21"/>
        </w:rPr>
        <w:t>relevant</w:t>
      </w:r>
      <w:r>
        <w:rPr>
          <w:spacing w:val="23"/>
          <w:w w:val="105"/>
          <w:sz w:val="21"/>
        </w:rPr>
        <w:t> </w:t>
      </w:r>
      <w:r>
        <w:rPr>
          <w:spacing w:val="-3"/>
          <w:w w:val="105"/>
          <w:sz w:val="21"/>
        </w:rPr>
        <w:t>council.</w:t>
      </w:r>
    </w:p>
    <w:p>
      <w:pPr>
        <w:pStyle w:val="ListParagraph"/>
        <w:numPr>
          <w:ilvl w:val="0"/>
          <w:numId w:val="173"/>
        </w:numPr>
        <w:tabs>
          <w:tab w:pos="2381" w:val="left" w:leader="none"/>
        </w:tabs>
        <w:spacing w:line="242" w:lineRule="auto" w:before="123" w:after="0"/>
        <w:ind w:left="2380" w:right="1614" w:hanging="793"/>
        <w:jc w:val="left"/>
        <w:rPr>
          <w:sz w:val="21"/>
        </w:rPr>
      </w:pPr>
      <w:r>
        <w:rPr>
          <w:sz w:val="21"/>
        </w:rPr>
        <w:t>Section </w:t>
      </w:r>
      <w:r>
        <w:rPr>
          <w:spacing w:val="-8"/>
          <w:sz w:val="21"/>
        </w:rPr>
        <w:t>173 </w:t>
      </w:r>
      <w:r>
        <w:rPr>
          <w:sz w:val="21"/>
        </w:rPr>
        <w:t>agreements </w:t>
      </w:r>
      <w:r>
        <w:rPr>
          <w:spacing w:val="-3"/>
          <w:sz w:val="21"/>
        </w:rPr>
        <w:t>are </w:t>
      </w:r>
      <w:r>
        <w:rPr>
          <w:sz w:val="21"/>
        </w:rPr>
        <w:t>also complex. Agreements </w:t>
      </w:r>
      <w:r>
        <w:rPr>
          <w:spacing w:val="-3"/>
          <w:sz w:val="21"/>
        </w:rPr>
        <w:t>are </w:t>
      </w:r>
      <w:r>
        <w:rPr>
          <w:sz w:val="21"/>
        </w:rPr>
        <w:t>made between </w:t>
      </w:r>
      <w:r>
        <w:rPr>
          <w:spacing w:val="-3"/>
          <w:sz w:val="21"/>
        </w:rPr>
        <w:t>council, </w:t>
      </w:r>
      <w:r>
        <w:rPr>
          <w:sz w:val="21"/>
        </w:rPr>
        <w:t>landowners and in some cases </w:t>
      </w:r>
      <w:r>
        <w:rPr>
          <w:spacing w:val="-3"/>
          <w:sz w:val="21"/>
        </w:rPr>
        <w:t>third </w:t>
      </w:r>
      <w:r>
        <w:rPr>
          <w:sz w:val="21"/>
        </w:rPr>
        <w:t>parties </w:t>
      </w:r>
      <w:r>
        <w:rPr>
          <w:spacing w:val="-3"/>
          <w:sz w:val="21"/>
        </w:rPr>
        <w:t>such </w:t>
      </w:r>
      <w:r>
        <w:rPr>
          <w:sz w:val="21"/>
        </w:rPr>
        <w:t>as </w:t>
      </w:r>
      <w:r>
        <w:rPr>
          <w:spacing w:val="-3"/>
          <w:sz w:val="21"/>
        </w:rPr>
        <w:t>referral </w:t>
      </w:r>
      <w:r>
        <w:rPr>
          <w:sz w:val="21"/>
        </w:rPr>
        <w:t>authorities. Neighbours on </w:t>
      </w:r>
      <w:r>
        <w:rPr>
          <w:spacing w:val="-3"/>
          <w:sz w:val="21"/>
        </w:rPr>
        <w:t>adjoining </w:t>
      </w:r>
      <w:r>
        <w:rPr>
          <w:sz w:val="21"/>
        </w:rPr>
        <w:t>lots of </w:t>
      </w:r>
      <w:r>
        <w:rPr>
          <w:spacing w:val="-3"/>
          <w:sz w:val="21"/>
        </w:rPr>
        <w:t>land are </w:t>
      </w:r>
      <w:r>
        <w:rPr>
          <w:spacing w:val="-2"/>
          <w:sz w:val="21"/>
        </w:rPr>
        <w:t>not </w:t>
      </w:r>
      <w:r>
        <w:rPr>
          <w:sz w:val="21"/>
        </w:rPr>
        <w:t>parties </w:t>
      </w:r>
      <w:r>
        <w:rPr>
          <w:spacing w:val="-3"/>
          <w:sz w:val="21"/>
        </w:rPr>
        <w:t>to  </w:t>
      </w:r>
      <w:r>
        <w:rPr>
          <w:sz w:val="21"/>
        </w:rPr>
        <w:t>these agreements and they do </w:t>
      </w:r>
      <w:r>
        <w:rPr>
          <w:spacing w:val="-2"/>
          <w:sz w:val="21"/>
        </w:rPr>
        <w:t>not</w:t>
      </w:r>
      <w:r>
        <w:rPr>
          <w:spacing w:val="43"/>
          <w:sz w:val="21"/>
        </w:rPr>
        <w:t> </w:t>
      </w:r>
      <w:r>
        <w:rPr>
          <w:spacing w:val="-3"/>
          <w:sz w:val="21"/>
        </w:rPr>
        <w:t>have  </w:t>
      </w:r>
      <w:r>
        <w:rPr>
          <w:sz w:val="21"/>
        </w:rPr>
        <w:t>the ability </w:t>
      </w:r>
      <w:r>
        <w:rPr>
          <w:spacing w:val="-3"/>
          <w:sz w:val="21"/>
        </w:rPr>
        <w:t>to interfere </w:t>
      </w:r>
      <w:r>
        <w:rPr>
          <w:sz w:val="21"/>
        </w:rPr>
        <w:t>with the protected vegetation. </w:t>
      </w:r>
      <w:r>
        <w:rPr>
          <w:spacing w:val="-4"/>
          <w:sz w:val="21"/>
        </w:rPr>
        <w:t>Moreover, </w:t>
      </w:r>
      <w:r>
        <w:rPr>
          <w:sz w:val="21"/>
        </w:rPr>
        <w:t>the agreements appear on </w:t>
      </w:r>
      <w:r>
        <w:rPr>
          <w:spacing w:val="-3"/>
          <w:sz w:val="21"/>
        </w:rPr>
        <w:t>land title </w:t>
      </w:r>
      <w:r>
        <w:rPr>
          <w:sz w:val="21"/>
        </w:rPr>
        <w:t>certificates</w:t>
      </w:r>
      <w:r>
        <w:rPr>
          <w:spacing w:val="9"/>
          <w:sz w:val="21"/>
        </w:rPr>
        <w:t> </w:t>
      </w:r>
      <w:r>
        <w:rPr>
          <w:sz w:val="21"/>
        </w:rPr>
        <w:t>and</w:t>
      </w:r>
      <w:r>
        <w:rPr>
          <w:spacing w:val="9"/>
          <w:sz w:val="21"/>
        </w:rPr>
        <w:t> </w:t>
      </w:r>
      <w:r>
        <w:rPr>
          <w:spacing w:val="-3"/>
          <w:sz w:val="21"/>
        </w:rPr>
        <w:t>bind</w:t>
      </w:r>
      <w:r>
        <w:rPr>
          <w:spacing w:val="9"/>
          <w:sz w:val="21"/>
        </w:rPr>
        <w:t> </w:t>
      </w:r>
      <w:r>
        <w:rPr>
          <w:spacing w:val="-3"/>
          <w:sz w:val="21"/>
        </w:rPr>
        <w:t>any</w:t>
      </w:r>
      <w:r>
        <w:rPr>
          <w:spacing w:val="9"/>
          <w:sz w:val="21"/>
        </w:rPr>
        <w:t> </w:t>
      </w:r>
      <w:r>
        <w:rPr>
          <w:spacing w:val="-3"/>
          <w:sz w:val="21"/>
        </w:rPr>
        <w:t>future</w:t>
      </w:r>
      <w:r>
        <w:rPr>
          <w:spacing w:val="9"/>
          <w:sz w:val="21"/>
        </w:rPr>
        <w:t> </w:t>
      </w:r>
      <w:r>
        <w:rPr>
          <w:sz w:val="21"/>
        </w:rPr>
        <w:t>owner/s</w:t>
      </w:r>
      <w:r>
        <w:rPr>
          <w:spacing w:val="9"/>
          <w:sz w:val="21"/>
        </w:rPr>
        <w:t> </w:t>
      </w:r>
      <w:r>
        <w:rPr>
          <w:sz w:val="21"/>
        </w:rPr>
        <w:t>of</w:t>
      </w:r>
      <w:r>
        <w:rPr>
          <w:spacing w:val="9"/>
          <w:sz w:val="21"/>
        </w:rPr>
        <w:t> </w:t>
      </w:r>
      <w:r>
        <w:rPr>
          <w:spacing w:val="-3"/>
          <w:sz w:val="21"/>
        </w:rPr>
        <w:t>land.</w:t>
      </w:r>
    </w:p>
    <w:p>
      <w:pPr>
        <w:pStyle w:val="ListParagraph"/>
        <w:numPr>
          <w:ilvl w:val="0"/>
          <w:numId w:val="173"/>
        </w:numPr>
        <w:tabs>
          <w:tab w:pos="2381" w:val="left" w:leader="none"/>
        </w:tabs>
        <w:spacing w:line="242" w:lineRule="auto" w:before="125" w:after="0"/>
        <w:ind w:left="2380" w:right="1847" w:hanging="794"/>
        <w:jc w:val="left"/>
        <w:rPr>
          <w:sz w:val="21"/>
        </w:rPr>
      </w:pPr>
      <w:r>
        <w:rPr>
          <w:w w:val="105"/>
          <w:sz w:val="21"/>
        </w:rPr>
        <w:t>A </w:t>
      </w:r>
      <w:r>
        <w:rPr>
          <w:spacing w:val="-3"/>
          <w:w w:val="105"/>
          <w:sz w:val="21"/>
        </w:rPr>
        <w:t>template </w:t>
      </w:r>
      <w:r>
        <w:rPr>
          <w:spacing w:val="-2"/>
          <w:w w:val="105"/>
          <w:sz w:val="21"/>
        </w:rPr>
        <w:t>agreement </w:t>
      </w:r>
      <w:r>
        <w:rPr>
          <w:w w:val="105"/>
          <w:sz w:val="21"/>
        </w:rPr>
        <w:t>recommended </w:t>
      </w:r>
      <w:r>
        <w:rPr>
          <w:spacing w:val="-3"/>
          <w:w w:val="105"/>
          <w:sz w:val="21"/>
        </w:rPr>
        <w:t>for </w:t>
      </w:r>
      <w:r>
        <w:rPr>
          <w:w w:val="105"/>
          <w:sz w:val="21"/>
        </w:rPr>
        <w:t>use by </w:t>
      </w:r>
      <w:r>
        <w:rPr>
          <w:spacing w:val="-3"/>
          <w:w w:val="105"/>
          <w:sz w:val="21"/>
        </w:rPr>
        <w:t>councils pursuant to </w:t>
      </w:r>
      <w:r>
        <w:rPr>
          <w:w w:val="105"/>
          <w:sz w:val="21"/>
        </w:rPr>
        <w:t>section </w:t>
      </w:r>
      <w:r>
        <w:rPr>
          <w:spacing w:val="-8"/>
          <w:w w:val="105"/>
          <w:sz w:val="21"/>
        </w:rPr>
        <w:t>173 </w:t>
      </w:r>
      <w:r>
        <w:rPr>
          <w:w w:val="105"/>
          <w:sz w:val="21"/>
        </w:rPr>
        <w:t>of the </w:t>
      </w:r>
      <w:r>
        <w:rPr>
          <w:spacing w:val="4"/>
          <w:w w:val="105"/>
          <w:sz w:val="21"/>
        </w:rPr>
        <w:t>P&amp;E </w:t>
      </w:r>
      <w:r>
        <w:rPr>
          <w:w w:val="105"/>
          <w:sz w:val="21"/>
        </w:rPr>
        <w:t>Act enables a landowner </w:t>
      </w:r>
      <w:r>
        <w:rPr>
          <w:spacing w:val="-3"/>
          <w:w w:val="105"/>
          <w:sz w:val="21"/>
        </w:rPr>
        <w:t>to remove, </w:t>
      </w:r>
      <w:r>
        <w:rPr>
          <w:w w:val="105"/>
          <w:sz w:val="21"/>
        </w:rPr>
        <w:t>destroy or lop </w:t>
      </w:r>
      <w:r>
        <w:rPr>
          <w:spacing w:val="-3"/>
          <w:w w:val="105"/>
          <w:sz w:val="21"/>
        </w:rPr>
        <w:t>native </w:t>
      </w:r>
      <w:r>
        <w:rPr>
          <w:w w:val="105"/>
          <w:sz w:val="21"/>
        </w:rPr>
        <w:t>vegetation </w:t>
      </w:r>
      <w:r>
        <w:rPr>
          <w:spacing w:val="-3"/>
          <w:w w:val="105"/>
          <w:sz w:val="21"/>
        </w:rPr>
        <w:t>to </w:t>
      </w:r>
      <w:r>
        <w:rPr>
          <w:w w:val="105"/>
          <w:sz w:val="21"/>
        </w:rPr>
        <w:t>the </w:t>
      </w:r>
      <w:r>
        <w:rPr>
          <w:spacing w:val="-3"/>
          <w:w w:val="105"/>
          <w:sz w:val="21"/>
        </w:rPr>
        <w:t>minimum </w:t>
      </w:r>
      <w:r>
        <w:rPr>
          <w:w w:val="105"/>
          <w:sz w:val="21"/>
        </w:rPr>
        <w:t>extent necessary </w:t>
      </w:r>
      <w:r>
        <w:rPr>
          <w:spacing w:val="-3"/>
          <w:w w:val="105"/>
          <w:sz w:val="21"/>
        </w:rPr>
        <w:t>to mitigate </w:t>
      </w:r>
      <w:r>
        <w:rPr>
          <w:w w:val="105"/>
          <w:sz w:val="21"/>
        </w:rPr>
        <w:t>an </w:t>
      </w:r>
      <w:r>
        <w:rPr>
          <w:spacing w:val="-3"/>
          <w:w w:val="105"/>
          <w:sz w:val="21"/>
        </w:rPr>
        <w:t>immediate </w:t>
      </w:r>
      <w:r>
        <w:rPr>
          <w:w w:val="105"/>
          <w:sz w:val="21"/>
        </w:rPr>
        <w:t>risk of personal injury or damage </w:t>
      </w:r>
      <w:r>
        <w:rPr>
          <w:spacing w:val="-3"/>
          <w:w w:val="105"/>
          <w:sz w:val="21"/>
        </w:rPr>
        <w:t>to</w:t>
      </w:r>
      <w:r>
        <w:rPr>
          <w:spacing w:val="-7"/>
          <w:w w:val="105"/>
          <w:sz w:val="21"/>
        </w:rPr>
        <w:t> </w:t>
      </w:r>
      <w:r>
        <w:rPr>
          <w:w w:val="105"/>
          <w:sz w:val="21"/>
        </w:rPr>
        <w:t>property.</w:t>
      </w:r>
      <w:r>
        <w:rPr>
          <w:w w:val="105"/>
          <w:position w:val="7"/>
          <w:sz w:val="12"/>
        </w:rPr>
        <w:t>318</w:t>
      </w:r>
      <w:r>
        <w:rPr>
          <w:spacing w:val="16"/>
          <w:w w:val="105"/>
          <w:position w:val="7"/>
          <w:sz w:val="12"/>
        </w:rPr>
        <w:t> </w:t>
      </w:r>
      <w:r>
        <w:rPr>
          <w:w w:val="105"/>
          <w:sz w:val="21"/>
        </w:rPr>
        <w:t>While</w:t>
      </w:r>
      <w:r>
        <w:rPr>
          <w:spacing w:val="-6"/>
          <w:w w:val="105"/>
          <w:sz w:val="21"/>
        </w:rPr>
        <w:t> </w:t>
      </w:r>
      <w:r>
        <w:rPr>
          <w:w w:val="105"/>
          <w:sz w:val="21"/>
        </w:rPr>
        <w:t>this</w:t>
      </w:r>
      <w:r>
        <w:rPr>
          <w:spacing w:val="-6"/>
          <w:w w:val="105"/>
          <w:sz w:val="21"/>
        </w:rPr>
        <w:t> </w:t>
      </w:r>
      <w:r>
        <w:rPr>
          <w:spacing w:val="-3"/>
          <w:w w:val="105"/>
          <w:sz w:val="21"/>
        </w:rPr>
        <w:t>clause</w:t>
      </w:r>
      <w:r>
        <w:rPr>
          <w:spacing w:val="-7"/>
          <w:w w:val="105"/>
          <w:sz w:val="21"/>
        </w:rPr>
        <w:t> </w:t>
      </w:r>
      <w:r>
        <w:rPr>
          <w:spacing w:val="-3"/>
          <w:w w:val="105"/>
          <w:sz w:val="21"/>
        </w:rPr>
        <w:t>may</w:t>
      </w:r>
      <w:r>
        <w:rPr>
          <w:spacing w:val="-6"/>
          <w:w w:val="105"/>
          <w:sz w:val="21"/>
        </w:rPr>
        <w:t> </w:t>
      </w:r>
      <w:r>
        <w:rPr>
          <w:spacing w:val="-2"/>
          <w:w w:val="105"/>
          <w:sz w:val="21"/>
        </w:rPr>
        <w:t>not</w:t>
      </w:r>
      <w:r>
        <w:rPr>
          <w:spacing w:val="-6"/>
          <w:w w:val="105"/>
          <w:sz w:val="21"/>
        </w:rPr>
        <w:t> </w:t>
      </w:r>
      <w:r>
        <w:rPr>
          <w:w w:val="105"/>
          <w:sz w:val="21"/>
        </w:rPr>
        <w:t>provide</w:t>
      </w:r>
      <w:r>
        <w:rPr>
          <w:spacing w:val="-7"/>
          <w:w w:val="105"/>
          <w:sz w:val="21"/>
        </w:rPr>
        <w:t> </w:t>
      </w:r>
      <w:r>
        <w:rPr>
          <w:w w:val="105"/>
          <w:sz w:val="21"/>
        </w:rPr>
        <w:t>a</w:t>
      </w:r>
      <w:r>
        <w:rPr>
          <w:spacing w:val="-6"/>
          <w:w w:val="105"/>
          <w:sz w:val="21"/>
        </w:rPr>
        <w:t> </w:t>
      </w:r>
      <w:r>
        <w:rPr>
          <w:w w:val="105"/>
          <w:sz w:val="21"/>
        </w:rPr>
        <w:t>remedy</w:t>
      </w:r>
      <w:r>
        <w:rPr>
          <w:spacing w:val="-7"/>
          <w:w w:val="105"/>
          <w:sz w:val="21"/>
        </w:rPr>
        <w:t> </w:t>
      </w:r>
      <w:r>
        <w:rPr>
          <w:spacing w:val="-3"/>
          <w:w w:val="105"/>
          <w:sz w:val="21"/>
        </w:rPr>
        <w:t>for</w:t>
      </w:r>
      <w:r>
        <w:rPr>
          <w:spacing w:val="-6"/>
          <w:w w:val="105"/>
          <w:sz w:val="21"/>
        </w:rPr>
        <w:t> </w:t>
      </w:r>
      <w:r>
        <w:rPr>
          <w:w w:val="105"/>
          <w:sz w:val="21"/>
        </w:rPr>
        <w:t>an</w:t>
      </w:r>
      <w:r>
        <w:rPr>
          <w:spacing w:val="-6"/>
          <w:w w:val="105"/>
          <w:sz w:val="21"/>
        </w:rPr>
        <w:t> </w:t>
      </w:r>
      <w:r>
        <w:rPr>
          <w:w w:val="105"/>
          <w:sz w:val="21"/>
        </w:rPr>
        <w:t>affected</w:t>
      </w:r>
      <w:r>
        <w:rPr>
          <w:spacing w:val="-7"/>
          <w:w w:val="105"/>
          <w:sz w:val="21"/>
        </w:rPr>
        <w:t> </w:t>
      </w:r>
      <w:r>
        <w:rPr>
          <w:spacing w:val="-4"/>
          <w:w w:val="105"/>
          <w:sz w:val="21"/>
        </w:rPr>
        <w:t>neighbour,</w:t>
      </w:r>
      <w:r>
        <w:rPr>
          <w:spacing w:val="-6"/>
          <w:w w:val="105"/>
          <w:sz w:val="21"/>
        </w:rPr>
        <w:t> </w:t>
      </w:r>
      <w:r>
        <w:rPr>
          <w:w w:val="105"/>
          <w:sz w:val="21"/>
        </w:rPr>
        <w:t>it</w:t>
      </w:r>
    </w:p>
    <w:p>
      <w:pPr>
        <w:pStyle w:val="BodyText"/>
        <w:spacing w:line="242" w:lineRule="auto" w:before="5"/>
        <w:ind w:left="2381" w:right="1810"/>
      </w:pPr>
      <w:r>
        <w:rPr/>
        <w:t>does enable tree owners </w:t>
      </w:r>
      <w:r>
        <w:rPr>
          <w:spacing w:val="-3"/>
        </w:rPr>
        <w:t>to </w:t>
      </w:r>
      <w:r>
        <w:rPr/>
        <w:t>prune or </w:t>
      </w:r>
      <w:r>
        <w:rPr>
          <w:spacing w:val="-3"/>
        </w:rPr>
        <w:t>remove </w:t>
      </w:r>
      <w:r>
        <w:rPr/>
        <w:t>vegetation </w:t>
      </w:r>
      <w:r>
        <w:rPr>
          <w:spacing w:val="-3"/>
        </w:rPr>
        <w:t>that </w:t>
      </w:r>
      <w:r>
        <w:rPr/>
        <w:t>does pose an </w:t>
      </w:r>
      <w:r>
        <w:rPr>
          <w:spacing w:val="-3"/>
        </w:rPr>
        <w:t>imminent  </w:t>
      </w:r>
      <w:r>
        <w:rPr/>
        <w:t>risk  </w:t>
      </w:r>
      <w:r>
        <w:rPr>
          <w:spacing w:val="-3"/>
        </w:rPr>
        <w:t>to </w:t>
      </w:r>
      <w:r>
        <w:rPr/>
        <w:t>people or</w:t>
      </w:r>
      <w:r>
        <w:rPr>
          <w:spacing w:val="27"/>
        </w:rPr>
        <w:t> </w:t>
      </w:r>
      <w:r>
        <w:rPr/>
        <w:t>property.</w:t>
      </w:r>
    </w:p>
    <w:p>
      <w:pPr>
        <w:pStyle w:val="ListParagraph"/>
        <w:numPr>
          <w:ilvl w:val="0"/>
          <w:numId w:val="173"/>
        </w:numPr>
        <w:tabs>
          <w:tab w:pos="2381" w:val="left" w:leader="none"/>
        </w:tabs>
        <w:spacing w:line="242" w:lineRule="auto" w:before="122" w:after="0"/>
        <w:ind w:left="2380" w:right="1886" w:hanging="793"/>
        <w:jc w:val="both"/>
        <w:rPr>
          <w:sz w:val="21"/>
        </w:rPr>
      </w:pPr>
      <w:r>
        <w:rPr>
          <w:w w:val="105"/>
          <w:sz w:val="21"/>
        </w:rPr>
        <w:t>Affected</w:t>
      </w:r>
      <w:r>
        <w:rPr>
          <w:spacing w:val="-5"/>
          <w:w w:val="105"/>
          <w:sz w:val="21"/>
        </w:rPr>
        <w:t> </w:t>
      </w:r>
      <w:r>
        <w:rPr>
          <w:w w:val="105"/>
          <w:sz w:val="21"/>
        </w:rPr>
        <w:t>neighbours</w:t>
      </w:r>
      <w:r>
        <w:rPr>
          <w:spacing w:val="-4"/>
          <w:w w:val="105"/>
          <w:sz w:val="21"/>
        </w:rPr>
        <w:t> </w:t>
      </w:r>
      <w:r>
        <w:rPr>
          <w:spacing w:val="-3"/>
          <w:w w:val="105"/>
          <w:sz w:val="21"/>
        </w:rPr>
        <w:t>may</w:t>
      </w:r>
      <w:r>
        <w:rPr>
          <w:spacing w:val="-4"/>
          <w:w w:val="105"/>
          <w:sz w:val="21"/>
        </w:rPr>
        <w:t> </w:t>
      </w:r>
      <w:r>
        <w:rPr>
          <w:spacing w:val="-3"/>
          <w:w w:val="105"/>
          <w:sz w:val="21"/>
        </w:rPr>
        <w:t>have</w:t>
      </w:r>
      <w:r>
        <w:rPr>
          <w:spacing w:val="-4"/>
          <w:w w:val="105"/>
          <w:sz w:val="21"/>
        </w:rPr>
        <w:t> </w:t>
      </w:r>
      <w:r>
        <w:rPr>
          <w:w w:val="105"/>
          <w:sz w:val="21"/>
        </w:rPr>
        <w:t>some</w:t>
      </w:r>
      <w:r>
        <w:rPr>
          <w:spacing w:val="-5"/>
          <w:w w:val="105"/>
          <w:sz w:val="21"/>
        </w:rPr>
        <w:t> </w:t>
      </w:r>
      <w:r>
        <w:rPr>
          <w:w w:val="105"/>
          <w:sz w:val="21"/>
        </w:rPr>
        <w:t>recourse</w:t>
      </w:r>
      <w:r>
        <w:rPr>
          <w:spacing w:val="-4"/>
          <w:w w:val="105"/>
          <w:sz w:val="21"/>
        </w:rPr>
        <w:t> </w:t>
      </w:r>
      <w:r>
        <w:rPr>
          <w:w w:val="105"/>
          <w:sz w:val="21"/>
        </w:rPr>
        <w:t>under</w:t>
      </w:r>
      <w:r>
        <w:rPr>
          <w:spacing w:val="-4"/>
          <w:w w:val="105"/>
          <w:sz w:val="21"/>
        </w:rPr>
        <w:t> </w:t>
      </w:r>
      <w:r>
        <w:rPr>
          <w:w w:val="105"/>
          <w:sz w:val="21"/>
        </w:rPr>
        <w:t>section</w:t>
      </w:r>
      <w:r>
        <w:rPr>
          <w:spacing w:val="-4"/>
          <w:w w:val="105"/>
          <w:sz w:val="21"/>
        </w:rPr>
        <w:t> </w:t>
      </w:r>
      <w:r>
        <w:rPr>
          <w:spacing w:val="-13"/>
          <w:w w:val="105"/>
          <w:sz w:val="21"/>
        </w:rPr>
        <w:t>114</w:t>
      </w:r>
      <w:r>
        <w:rPr>
          <w:spacing w:val="-5"/>
          <w:w w:val="105"/>
          <w:sz w:val="21"/>
        </w:rPr>
        <w:t> </w:t>
      </w:r>
      <w:r>
        <w:rPr>
          <w:w w:val="105"/>
          <w:sz w:val="21"/>
        </w:rPr>
        <w:t>of</w:t>
      </w:r>
      <w:r>
        <w:rPr>
          <w:spacing w:val="-4"/>
          <w:w w:val="105"/>
          <w:sz w:val="21"/>
        </w:rPr>
        <w:t> </w:t>
      </w:r>
      <w:r>
        <w:rPr>
          <w:w w:val="105"/>
          <w:sz w:val="21"/>
        </w:rPr>
        <w:t>the</w:t>
      </w:r>
      <w:r>
        <w:rPr>
          <w:spacing w:val="-4"/>
          <w:w w:val="105"/>
          <w:sz w:val="21"/>
        </w:rPr>
        <w:t> </w:t>
      </w:r>
      <w:r>
        <w:rPr>
          <w:spacing w:val="4"/>
          <w:w w:val="105"/>
          <w:sz w:val="21"/>
        </w:rPr>
        <w:t>P&amp;E</w:t>
      </w:r>
      <w:r>
        <w:rPr>
          <w:spacing w:val="-4"/>
          <w:w w:val="105"/>
          <w:sz w:val="21"/>
        </w:rPr>
        <w:t> </w:t>
      </w:r>
      <w:r>
        <w:rPr>
          <w:w w:val="105"/>
          <w:sz w:val="21"/>
        </w:rPr>
        <w:t>Act</w:t>
      </w:r>
      <w:r>
        <w:rPr>
          <w:spacing w:val="-5"/>
          <w:w w:val="105"/>
          <w:sz w:val="21"/>
        </w:rPr>
        <w:t> </w:t>
      </w:r>
      <w:r>
        <w:rPr>
          <w:w w:val="105"/>
          <w:sz w:val="21"/>
        </w:rPr>
        <w:t>if</w:t>
      </w:r>
      <w:r>
        <w:rPr>
          <w:spacing w:val="-4"/>
          <w:w w:val="105"/>
          <w:sz w:val="21"/>
        </w:rPr>
        <w:t> </w:t>
      </w:r>
      <w:r>
        <w:rPr>
          <w:spacing w:val="-3"/>
          <w:w w:val="105"/>
          <w:sz w:val="21"/>
        </w:rPr>
        <w:t>land </w:t>
      </w:r>
      <w:r>
        <w:rPr>
          <w:w w:val="105"/>
          <w:sz w:val="21"/>
        </w:rPr>
        <w:t>is </w:t>
      </w:r>
      <w:r>
        <w:rPr>
          <w:spacing w:val="-2"/>
          <w:w w:val="105"/>
          <w:sz w:val="21"/>
        </w:rPr>
        <w:t>not </w:t>
      </w:r>
      <w:r>
        <w:rPr>
          <w:spacing w:val="-3"/>
          <w:w w:val="105"/>
          <w:sz w:val="21"/>
        </w:rPr>
        <w:t>maintained pursuant to any </w:t>
      </w:r>
      <w:r>
        <w:rPr>
          <w:w w:val="105"/>
          <w:sz w:val="21"/>
        </w:rPr>
        <w:t>of the </w:t>
      </w:r>
      <w:r>
        <w:rPr>
          <w:spacing w:val="-3"/>
          <w:w w:val="105"/>
          <w:sz w:val="21"/>
        </w:rPr>
        <w:t>conditions </w:t>
      </w:r>
      <w:r>
        <w:rPr>
          <w:w w:val="105"/>
          <w:sz w:val="21"/>
        </w:rPr>
        <w:t>set out in section </w:t>
      </w:r>
      <w:r>
        <w:rPr>
          <w:spacing w:val="-8"/>
          <w:w w:val="105"/>
          <w:sz w:val="21"/>
        </w:rPr>
        <w:t>173 </w:t>
      </w:r>
      <w:r>
        <w:rPr>
          <w:w w:val="105"/>
          <w:sz w:val="21"/>
        </w:rPr>
        <w:t>agreements, discussed</w:t>
      </w:r>
      <w:r>
        <w:rPr>
          <w:spacing w:val="5"/>
          <w:w w:val="105"/>
          <w:sz w:val="21"/>
        </w:rPr>
        <w:t> </w:t>
      </w:r>
      <w:r>
        <w:rPr>
          <w:spacing w:val="-3"/>
          <w:w w:val="105"/>
          <w:sz w:val="21"/>
        </w:rPr>
        <w:t>above.</w:t>
      </w:r>
    </w:p>
    <w:p>
      <w:pPr>
        <w:pStyle w:val="BodyText"/>
        <w:rPr>
          <w:sz w:val="20"/>
        </w:rPr>
      </w:pPr>
    </w:p>
    <w:p>
      <w:pPr>
        <w:pStyle w:val="BodyText"/>
        <w:rPr>
          <w:sz w:val="20"/>
        </w:rPr>
      </w:pPr>
    </w:p>
    <w:p>
      <w:pPr>
        <w:pStyle w:val="BodyText"/>
        <w:spacing w:before="10"/>
        <w:rPr>
          <w:sz w:val="11"/>
        </w:rPr>
      </w:pPr>
      <w:r>
        <w:rPr/>
        <w:pict>
          <v:line style="position:absolute;mso-position-horizontal-relative:page;mso-position-vertical-relative:paragraph;z-index:10208;mso-wrap-distance-left:0;mso-wrap-distance-right:0" from="79.370102pt,9.695030pt" to="515.905102pt,9.695030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83"/>
        </w:numPr>
        <w:tabs>
          <w:tab w:pos="2381" w:val="left" w:leader="none"/>
          <w:tab w:pos="2382" w:val="left" w:leader="none"/>
        </w:tabs>
        <w:spacing w:line="240" w:lineRule="auto" w:before="48" w:after="0"/>
        <w:ind w:left="2381" w:right="0" w:hanging="794"/>
        <w:jc w:val="left"/>
        <w:rPr>
          <w:sz w:val="13"/>
        </w:rPr>
      </w:pPr>
      <w:r>
        <w:rPr>
          <w:w w:val="105"/>
          <w:sz w:val="13"/>
        </w:rPr>
        <w:t>See Stephen Rowley, </w:t>
      </w:r>
      <w:r>
        <w:rPr>
          <w:i/>
          <w:w w:val="105"/>
          <w:sz w:val="13"/>
        </w:rPr>
        <w:t>The Victorian Planning System: Practice, Problems and Prospects </w:t>
      </w:r>
      <w:r>
        <w:rPr>
          <w:spacing w:val="2"/>
          <w:w w:val="105"/>
          <w:sz w:val="13"/>
        </w:rPr>
        <w:t>(The </w:t>
      </w:r>
      <w:r>
        <w:rPr>
          <w:w w:val="105"/>
          <w:sz w:val="13"/>
        </w:rPr>
        <w:t>Federation Press, 2017) </w:t>
      </w:r>
      <w:r>
        <w:rPr>
          <w:spacing w:val="-4"/>
          <w:w w:val="105"/>
          <w:sz w:val="13"/>
        </w:rPr>
        <w:t>151; </w:t>
      </w:r>
      <w:r>
        <w:rPr>
          <w:w w:val="105"/>
          <w:sz w:val="13"/>
        </w:rPr>
        <w:t>Victorian Civil and Administrative Tribunal, </w:t>
      </w:r>
      <w:r>
        <w:rPr>
          <w:i/>
          <w:w w:val="105"/>
          <w:sz w:val="13"/>
        </w:rPr>
        <w:t>Planning and Environment List Guidelines for Cancellation &amp; Amendment of Permits </w:t>
      </w:r>
      <w:r>
        <w:rPr>
          <w:spacing w:val="2"/>
          <w:w w:val="105"/>
          <w:sz w:val="13"/>
        </w:rPr>
        <w:t>(Sections </w:t>
      </w:r>
      <w:r>
        <w:rPr>
          <w:w w:val="105"/>
          <w:sz w:val="13"/>
        </w:rPr>
        <w:t>87 &amp; 89 Planning and Environment Act 1987) (Practice Document, 20 July 2016) </w:t>
      </w:r>
      <w:r>
        <w:rPr>
          <w:spacing w:val="3"/>
          <w:w w:val="105"/>
          <w:sz w:val="13"/>
        </w:rPr>
        <w:t>4–5 </w:t>
      </w:r>
      <w:r>
        <w:rPr>
          <w:spacing w:val="2"/>
          <w:w w:val="105"/>
          <w:sz w:val="13"/>
        </w:rPr>
        <w:t>&lt;https://</w:t>
      </w:r>
      <w:hyperlink r:id="rId300">
        <w:r>
          <w:rPr>
            <w:spacing w:val="2"/>
            <w:w w:val="105"/>
            <w:sz w:val="13"/>
          </w:rPr>
          <w:t>www.vcat.vic.gov.au/get-started/planning-and-environment/apply-</w:t>
        </w:r>
      </w:hyperlink>
      <w:r>
        <w:rPr>
          <w:spacing w:val="2"/>
          <w:w w:val="105"/>
          <w:sz w:val="13"/>
        </w:rPr>
        <w:t> </w:t>
      </w:r>
      <w:r>
        <w:rPr>
          <w:w w:val="105"/>
          <w:sz w:val="13"/>
        </w:rPr>
        <w:t>to-cancel-or-amend-a-permit&gt;.</w:t>
      </w:r>
    </w:p>
    <w:p>
      <w:pPr>
        <w:pStyle w:val="ListParagraph"/>
        <w:numPr>
          <w:ilvl w:val="0"/>
          <w:numId w:val="183"/>
        </w:numPr>
        <w:tabs>
          <w:tab w:pos="2381" w:val="left" w:leader="none"/>
          <w:tab w:pos="2382" w:val="left" w:leader="none"/>
        </w:tabs>
        <w:spacing w:line="240" w:lineRule="auto" w:before="5" w:after="0"/>
        <w:ind w:left="2381" w:right="0" w:hanging="794"/>
        <w:jc w:val="left"/>
        <w:rPr>
          <w:sz w:val="13"/>
        </w:rPr>
      </w:pPr>
      <w:r>
        <w:rPr>
          <w:w w:val="105"/>
          <w:sz w:val="13"/>
        </w:rPr>
        <w:t>See </w:t>
      </w:r>
      <w:r>
        <w:rPr>
          <w:i/>
          <w:w w:val="105"/>
          <w:sz w:val="13"/>
        </w:rPr>
        <w:t>Planning and Environment Act 1987 </w:t>
      </w:r>
      <w:r>
        <w:rPr>
          <w:spacing w:val="2"/>
          <w:w w:val="105"/>
          <w:sz w:val="13"/>
        </w:rPr>
        <w:t>(Vic) </w:t>
      </w:r>
      <w:r>
        <w:rPr>
          <w:w w:val="105"/>
          <w:sz w:val="13"/>
        </w:rPr>
        <w:t>s</w:t>
      </w:r>
      <w:r>
        <w:rPr>
          <w:spacing w:val="4"/>
          <w:w w:val="105"/>
          <w:sz w:val="13"/>
        </w:rPr>
        <w:t> </w:t>
      </w:r>
      <w:r>
        <w:rPr>
          <w:spacing w:val="2"/>
          <w:w w:val="105"/>
          <w:sz w:val="13"/>
        </w:rPr>
        <w:t>84B.</w:t>
      </w:r>
    </w:p>
    <w:p>
      <w:pPr>
        <w:pStyle w:val="ListParagraph"/>
        <w:numPr>
          <w:ilvl w:val="0"/>
          <w:numId w:val="183"/>
        </w:numPr>
        <w:tabs>
          <w:tab w:pos="2381" w:val="left" w:leader="none"/>
          <w:tab w:pos="2382" w:val="left" w:leader="none"/>
        </w:tabs>
        <w:spacing w:line="240" w:lineRule="auto" w:before="2" w:after="0"/>
        <w:ind w:left="2381" w:right="0" w:hanging="794"/>
        <w:jc w:val="left"/>
        <w:rPr>
          <w:sz w:val="13"/>
        </w:rPr>
      </w:pPr>
      <w:r>
        <w:rPr>
          <w:i/>
          <w:w w:val="105"/>
          <w:sz w:val="13"/>
        </w:rPr>
        <w:t>Planning and Environment Amendment </w:t>
      </w:r>
      <w:r>
        <w:rPr>
          <w:i/>
          <w:spacing w:val="2"/>
          <w:w w:val="105"/>
          <w:sz w:val="13"/>
        </w:rPr>
        <w:t>(General) </w:t>
      </w:r>
      <w:r>
        <w:rPr>
          <w:i/>
          <w:w w:val="105"/>
          <w:sz w:val="13"/>
        </w:rPr>
        <w:t>Act </w:t>
      </w:r>
      <w:r>
        <w:rPr>
          <w:i/>
          <w:spacing w:val="-3"/>
          <w:w w:val="105"/>
          <w:sz w:val="13"/>
        </w:rPr>
        <w:t>2013</w:t>
      </w:r>
      <w:r>
        <w:rPr>
          <w:i/>
          <w:spacing w:val="3"/>
          <w:w w:val="105"/>
          <w:sz w:val="13"/>
        </w:rPr>
        <w:t> </w:t>
      </w:r>
      <w:r>
        <w:rPr>
          <w:spacing w:val="2"/>
          <w:w w:val="105"/>
          <w:sz w:val="13"/>
        </w:rPr>
        <w:t>(Vic).</w:t>
      </w:r>
    </w:p>
    <w:p>
      <w:pPr>
        <w:pStyle w:val="ListParagraph"/>
        <w:numPr>
          <w:ilvl w:val="0"/>
          <w:numId w:val="183"/>
        </w:numPr>
        <w:tabs>
          <w:tab w:pos="2381" w:val="left" w:leader="none"/>
          <w:tab w:pos="2382" w:val="left" w:leader="none"/>
        </w:tabs>
        <w:spacing w:line="240" w:lineRule="auto" w:before="1" w:after="0"/>
        <w:ind w:left="2381" w:right="42" w:hanging="794"/>
        <w:jc w:val="left"/>
        <w:rPr>
          <w:sz w:val="13"/>
        </w:rPr>
      </w:pPr>
      <w:r>
        <w:rPr>
          <w:w w:val="105"/>
          <w:sz w:val="13"/>
        </w:rPr>
        <w:t>Department of Environment, Land, Water and Planning </w:t>
      </w:r>
      <w:r>
        <w:rPr>
          <w:spacing w:val="2"/>
          <w:w w:val="105"/>
          <w:sz w:val="13"/>
        </w:rPr>
        <w:t>(Vic), </w:t>
      </w:r>
      <w:r>
        <w:rPr>
          <w:i/>
          <w:w w:val="105"/>
          <w:sz w:val="13"/>
        </w:rPr>
        <w:t>Agreement Under Section </w:t>
      </w:r>
      <w:r>
        <w:rPr>
          <w:i/>
          <w:spacing w:val="-3"/>
          <w:w w:val="105"/>
          <w:sz w:val="13"/>
        </w:rPr>
        <w:t>173  </w:t>
      </w:r>
      <w:r>
        <w:rPr>
          <w:i/>
          <w:w w:val="105"/>
          <w:sz w:val="13"/>
        </w:rPr>
        <w:t>of the Planning and Environment Act 1987      </w:t>
      </w:r>
      <w:r>
        <w:rPr>
          <w:spacing w:val="2"/>
          <w:w w:val="105"/>
          <w:sz w:val="13"/>
        </w:rPr>
        <w:t>(Vic) </w:t>
      </w:r>
      <w:r>
        <w:rPr>
          <w:w w:val="105"/>
          <w:sz w:val="13"/>
        </w:rPr>
        <w:t>cl </w:t>
      </w:r>
      <w:r>
        <w:rPr>
          <w:spacing w:val="-2"/>
          <w:w w:val="105"/>
          <w:sz w:val="13"/>
        </w:rPr>
        <w:t>10.1.1(c) </w:t>
      </w:r>
      <w:r>
        <w:rPr>
          <w:w w:val="105"/>
          <w:sz w:val="13"/>
        </w:rPr>
        <w:t>&lt;https://</w:t>
      </w:r>
      <w:hyperlink r:id="rId301">
        <w:r>
          <w:rPr>
            <w:w w:val="105"/>
            <w:sz w:val="13"/>
          </w:rPr>
          <w:t>www.environment.vic.gov.au/__data/assets/word_doc/0025/329461/Final-S.173-Template-Offset-Agreement.do</w:t>
        </w:r>
      </w:hyperlink>
      <w:r>
        <w:rPr>
          <w:w w:val="105"/>
          <w:sz w:val="13"/>
        </w:rPr>
        <w:t> </w:t>
      </w:r>
      <w:r>
        <w:rPr>
          <w:spacing w:val="4"/>
          <w:w w:val="105"/>
          <w:sz w:val="13"/>
        </w:rPr>
        <w:t>cx+&amp;cd=1&amp;hl=en&amp;ct=clnk&amp;gl=au&gt;.</w:t>
      </w:r>
    </w:p>
    <w:p>
      <w:pPr>
        <w:pStyle w:val="BodyText"/>
        <w:rPr>
          <w:sz w:val="28"/>
        </w:rPr>
      </w:pPr>
      <w:r>
        <w:rPr/>
        <w:br w:type="column"/>
      </w:r>
      <w:r>
        <w:rPr>
          <w:sz w:val="28"/>
        </w:rPr>
      </w:r>
    </w:p>
    <w:p>
      <w:pPr>
        <w:pStyle w:val="BodyText"/>
        <w:rPr>
          <w:sz w:val="28"/>
        </w:rPr>
      </w:pPr>
    </w:p>
    <w:p>
      <w:pPr>
        <w:pStyle w:val="BodyText"/>
        <w:rPr>
          <w:sz w:val="28"/>
        </w:rPr>
      </w:pPr>
    </w:p>
    <w:p>
      <w:pPr>
        <w:spacing w:before="198"/>
        <w:ind w:left="538" w:right="579" w:firstLine="0"/>
        <w:jc w:val="center"/>
        <w:rPr>
          <w:b/>
          <w:sz w:val="24"/>
        </w:rPr>
      </w:pPr>
      <w:r>
        <w:rPr>
          <w:b/>
          <w:color w:val="658464"/>
          <w:w w:val="110"/>
          <w:sz w:val="24"/>
        </w:rPr>
        <w:t>251</w:t>
      </w:r>
    </w:p>
    <w:p>
      <w:pPr>
        <w:spacing w:after="0"/>
        <w:jc w:val="center"/>
        <w:rPr>
          <w:sz w:val="24"/>
        </w:rPr>
        <w:sectPr>
          <w:type w:val="continuous"/>
          <w:pgSz w:w="11910" w:h="16840"/>
          <w:pgMar w:top="300" w:bottom="280" w:left="0" w:right="0"/>
          <w:cols w:num="2" w:equalWidth="0">
            <w:col w:w="10311" w:space="40"/>
            <w:col w:w="1559"/>
          </w:cols>
        </w:sectPr>
      </w:pPr>
    </w:p>
    <w:p>
      <w:pPr>
        <w:pStyle w:val="BodyText"/>
        <w:spacing w:before="9"/>
        <w:rPr>
          <w:b/>
          <w:sz w:val="22"/>
        </w:rPr>
      </w:pPr>
    </w:p>
    <w:p>
      <w:pPr>
        <w:pStyle w:val="ListParagraph"/>
        <w:numPr>
          <w:ilvl w:val="0"/>
          <w:numId w:val="173"/>
        </w:numPr>
        <w:tabs>
          <w:tab w:pos="2382" w:val="left" w:leader="none"/>
        </w:tabs>
        <w:spacing w:line="242" w:lineRule="auto" w:before="92" w:after="0"/>
        <w:ind w:left="2381" w:right="1677" w:hanging="794"/>
        <w:jc w:val="left"/>
        <w:rPr>
          <w:sz w:val="21"/>
        </w:rPr>
      </w:pPr>
      <w:bookmarkStart w:name="_bookmark136" w:id="291"/>
      <w:bookmarkEnd w:id="291"/>
      <w:r>
        <w:rPr/>
      </w:r>
      <w:bookmarkStart w:name="_bookmark136" w:id="292"/>
      <w:bookmarkEnd w:id="292"/>
      <w:r>
        <w:rPr>
          <w:w w:val="105"/>
          <w:sz w:val="21"/>
        </w:rPr>
        <w:t>G</w:t>
      </w:r>
      <w:r>
        <w:rPr>
          <w:w w:val="105"/>
          <w:sz w:val="21"/>
        </w:rPr>
        <w:t>iven the complex </w:t>
      </w:r>
      <w:r>
        <w:rPr>
          <w:spacing w:val="-3"/>
          <w:w w:val="105"/>
          <w:sz w:val="21"/>
        </w:rPr>
        <w:t>nature </w:t>
      </w:r>
      <w:r>
        <w:rPr>
          <w:w w:val="105"/>
          <w:sz w:val="21"/>
        </w:rPr>
        <w:t>of these agreements, </w:t>
      </w:r>
      <w:r>
        <w:rPr>
          <w:spacing w:val="-3"/>
          <w:w w:val="105"/>
          <w:sz w:val="21"/>
        </w:rPr>
        <w:t>Government </w:t>
      </w:r>
      <w:r>
        <w:rPr>
          <w:w w:val="105"/>
          <w:sz w:val="21"/>
        </w:rPr>
        <w:t>should </w:t>
      </w:r>
      <w:r>
        <w:rPr>
          <w:spacing w:val="-3"/>
          <w:w w:val="105"/>
          <w:sz w:val="21"/>
        </w:rPr>
        <w:t>consider </w:t>
      </w:r>
      <w:r>
        <w:rPr>
          <w:w w:val="105"/>
          <w:sz w:val="21"/>
        </w:rPr>
        <w:t>further </w:t>
      </w:r>
      <w:r>
        <w:rPr>
          <w:spacing w:val="-3"/>
          <w:w w:val="105"/>
          <w:sz w:val="21"/>
        </w:rPr>
        <w:t>consultation</w:t>
      </w:r>
      <w:r>
        <w:rPr>
          <w:spacing w:val="-8"/>
          <w:w w:val="105"/>
          <w:sz w:val="21"/>
        </w:rPr>
        <w:t> </w:t>
      </w:r>
      <w:r>
        <w:rPr>
          <w:w w:val="105"/>
          <w:sz w:val="21"/>
        </w:rPr>
        <w:t>with</w:t>
      </w:r>
      <w:r>
        <w:rPr>
          <w:spacing w:val="-7"/>
          <w:w w:val="105"/>
          <w:sz w:val="21"/>
        </w:rPr>
        <w:t> </w:t>
      </w:r>
      <w:r>
        <w:rPr>
          <w:spacing w:val="-3"/>
          <w:w w:val="105"/>
          <w:sz w:val="21"/>
        </w:rPr>
        <w:t>councils</w:t>
      </w:r>
      <w:r>
        <w:rPr>
          <w:spacing w:val="-7"/>
          <w:w w:val="105"/>
          <w:sz w:val="21"/>
        </w:rPr>
        <w:t> </w:t>
      </w:r>
      <w:r>
        <w:rPr>
          <w:w w:val="105"/>
          <w:sz w:val="21"/>
        </w:rPr>
        <w:t>about</w:t>
      </w:r>
      <w:r>
        <w:rPr>
          <w:spacing w:val="-8"/>
          <w:w w:val="105"/>
          <w:sz w:val="21"/>
        </w:rPr>
        <w:t> </w:t>
      </w:r>
      <w:r>
        <w:rPr>
          <w:w w:val="105"/>
          <w:sz w:val="21"/>
        </w:rPr>
        <w:t>how</w:t>
      </w:r>
      <w:r>
        <w:rPr>
          <w:spacing w:val="-7"/>
          <w:w w:val="105"/>
          <w:sz w:val="21"/>
        </w:rPr>
        <w:t> </w:t>
      </w:r>
      <w:r>
        <w:rPr>
          <w:w w:val="105"/>
          <w:sz w:val="21"/>
        </w:rPr>
        <w:t>these</w:t>
      </w:r>
      <w:r>
        <w:rPr>
          <w:spacing w:val="-7"/>
          <w:w w:val="105"/>
          <w:sz w:val="21"/>
        </w:rPr>
        <w:t> </w:t>
      </w:r>
      <w:r>
        <w:rPr>
          <w:w w:val="105"/>
          <w:sz w:val="21"/>
        </w:rPr>
        <w:t>agreements</w:t>
      </w:r>
      <w:r>
        <w:rPr>
          <w:spacing w:val="-8"/>
          <w:w w:val="105"/>
          <w:sz w:val="21"/>
        </w:rPr>
        <w:t> </w:t>
      </w:r>
      <w:r>
        <w:rPr>
          <w:w w:val="105"/>
          <w:sz w:val="21"/>
        </w:rPr>
        <w:t>operate</w:t>
      </w:r>
      <w:r>
        <w:rPr>
          <w:spacing w:val="-7"/>
          <w:w w:val="105"/>
          <w:sz w:val="21"/>
        </w:rPr>
        <w:t> </w:t>
      </w:r>
      <w:r>
        <w:rPr>
          <w:w w:val="105"/>
          <w:sz w:val="21"/>
        </w:rPr>
        <w:t>and</w:t>
      </w:r>
      <w:r>
        <w:rPr>
          <w:spacing w:val="-7"/>
          <w:w w:val="105"/>
          <w:sz w:val="21"/>
        </w:rPr>
        <w:t> </w:t>
      </w:r>
      <w:r>
        <w:rPr>
          <w:w w:val="105"/>
          <w:sz w:val="21"/>
        </w:rPr>
        <w:t>the</w:t>
      </w:r>
      <w:r>
        <w:rPr>
          <w:spacing w:val="-7"/>
          <w:w w:val="105"/>
          <w:sz w:val="21"/>
        </w:rPr>
        <w:t> </w:t>
      </w:r>
      <w:r>
        <w:rPr>
          <w:spacing w:val="-3"/>
          <w:w w:val="105"/>
          <w:sz w:val="21"/>
        </w:rPr>
        <w:t>way</w:t>
      </w:r>
      <w:r>
        <w:rPr>
          <w:spacing w:val="-8"/>
          <w:w w:val="105"/>
          <w:sz w:val="21"/>
        </w:rPr>
        <w:t> </w:t>
      </w:r>
      <w:r>
        <w:rPr>
          <w:w w:val="105"/>
          <w:sz w:val="21"/>
        </w:rPr>
        <w:t>they</w:t>
      </w:r>
      <w:r>
        <w:rPr>
          <w:spacing w:val="-7"/>
          <w:w w:val="105"/>
          <w:sz w:val="21"/>
        </w:rPr>
        <w:t> </w:t>
      </w:r>
      <w:r>
        <w:rPr>
          <w:w w:val="105"/>
          <w:sz w:val="21"/>
        </w:rPr>
        <w:t>would </w:t>
      </w:r>
      <w:r>
        <w:rPr>
          <w:spacing w:val="-3"/>
          <w:w w:val="105"/>
          <w:sz w:val="21"/>
        </w:rPr>
        <w:t>interact </w:t>
      </w:r>
      <w:r>
        <w:rPr>
          <w:w w:val="105"/>
          <w:sz w:val="21"/>
        </w:rPr>
        <w:t>with the new</w:t>
      </w:r>
      <w:r>
        <w:rPr>
          <w:spacing w:val="24"/>
          <w:w w:val="105"/>
          <w:sz w:val="21"/>
        </w:rPr>
        <w:t> </w:t>
      </w:r>
      <w:r>
        <w:rPr>
          <w:w w:val="105"/>
          <w:sz w:val="21"/>
        </w:rPr>
        <w:t>Act.</w:t>
      </w:r>
    </w:p>
    <w:p>
      <w:pPr>
        <w:pStyle w:val="BodyText"/>
        <w:spacing w:before="3"/>
        <w:rPr>
          <w:sz w:val="20"/>
        </w:rPr>
      </w:pPr>
    </w:p>
    <w:p>
      <w:pPr>
        <w:pStyle w:val="Heading5"/>
        <w:spacing w:before="1"/>
      </w:pPr>
      <w:r>
        <w:rPr>
          <w:w w:val="110"/>
        </w:rPr>
        <w:t>The Commission’s conclusions—local tree protection laws</w:t>
      </w:r>
    </w:p>
    <w:p>
      <w:pPr>
        <w:pStyle w:val="ListParagraph"/>
        <w:numPr>
          <w:ilvl w:val="0"/>
          <w:numId w:val="173"/>
        </w:numPr>
        <w:tabs>
          <w:tab w:pos="2381" w:val="left" w:leader="none"/>
        </w:tabs>
        <w:spacing w:line="242" w:lineRule="auto" w:before="137" w:after="0"/>
        <w:ind w:left="2381" w:right="1767" w:hanging="794"/>
        <w:jc w:val="left"/>
        <w:rPr>
          <w:sz w:val="12"/>
        </w:rPr>
      </w:pPr>
      <w:r>
        <w:rPr>
          <w:spacing w:val="-3"/>
          <w:w w:val="105"/>
          <w:sz w:val="21"/>
        </w:rPr>
        <w:t>Final </w:t>
      </w:r>
      <w:r>
        <w:rPr>
          <w:w w:val="105"/>
          <w:sz w:val="21"/>
        </w:rPr>
        <w:t>decisions made under local laws </w:t>
      </w:r>
      <w:r>
        <w:rPr>
          <w:spacing w:val="-3"/>
          <w:w w:val="105"/>
          <w:sz w:val="21"/>
        </w:rPr>
        <w:t>are </w:t>
      </w:r>
      <w:r>
        <w:rPr>
          <w:spacing w:val="-2"/>
          <w:w w:val="105"/>
          <w:sz w:val="21"/>
        </w:rPr>
        <w:t>not </w:t>
      </w:r>
      <w:r>
        <w:rPr>
          <w:spacing w:val="-3"/>
          <w:w w:val="105"/>
          <w:sz w:val="21"/>
        </w:rPr>
        <w:t>reviewable </w:t>
      </w:r>
      <w:r>
        <w:rPr>
          <w:w w:val="105"/>
          <w:sz w:val="21"/>
        </w:rPr>
        <w:t>in </w:t>
      </w:r>
      <w:r>
        <w:rPr>
          <w:spacing w:val="-8"/>
          <w:w w:val="105"/>
          <w:sz w:val="21"/>
        </w:rPr>
        <w:t>VCAT. </w:t>
      </w:r>
      <w:r>
        <w:rPr>
          <w:w w:val="105"/>
          <w:sz w:val="21"/>
        </w:rPr>
        <w:t>Further </w:t>
      </w:r>
      <w:r>
        <w:rPr>
          <w:spacing w:val="-3"/>
          <w:w w:val="105"/>
          <w:sz w:val="21"/>
        </w:rPr>
        <w:t>complicating </w:t>
      </w:r>
      <w:r>
        <w:rPr>
          <w:w w:val="105"/>
          <w:sz w:val="21"/>
        </w:rPr>
        <w:t>this </w:t>
      </w:r>
      <w:r>
        <w:rPr>
          <w:spacing w:val="-3"/>
          <w:w w:val="105"/>
          <w:sz w:val="21"/>
        </w:rPr>
        <w:t>scenario </w:t>
      </w:r>
      <w:r>
        <w:rPr>
          <w:w w:val="105"/>
          <w:sz w:val="21"/>
        </w:rPr>
        <w:t>is the </w:t>
      </w:r>
      <w:r>
        <w:rPr>
          <w:spacing w:val="-3"/>
          <w:w w:val="105"/>
          <w:sz w:val="21"/>
        </w:rPr>
        <w:t>likelihood that </w:t>
      </w:r>
      <w:r>
        <w:rPr>
          <w:w w:val="105"/>
          <w:sz w:val="21"/>
        </w:rPr>
        <w:t>the affected </w:t>
      </w:r>
      <w:r>
        <w:rPr>
          <w:spacing w:val="-3"/>
          <w:w w:val="105"/>
          <w:sz w:val="21"/>
        </w:rPr>
        <w:t>neighbour will </w:t>
      </w:r>
      <w:r>
        <w:rPr>
          <w:w w:val="105"/>
          <w:sz w:val="21"/>
        </w:rPr>
        <w:t>be </w:t>
      </w:r>
      <w:r>
        <w:rPr>
          <w:spacing w:val="-3"/>
          <w:w w:val="105"/>
          <w:sz w:val="21"/>
        </w:rPr>
        <w:t>unable to </w:t>
      </w:r>
      <w:r>
        <w:rPr>
          <w:w w:val="105"/>
          <w:sz w:val="21"/>
        </w:rPr>
        <w:t>apply </w:t>
      </w:r>
      <w:r>
        <w:rPr>
          <w:spacing w:val="-3"/>
          <w:w w:val="105"/>
          <w:sz w:val="21"/>
        </w:rPr>
        <w:t>for </w:t>
      </w:r>
      <w:r>
        <w:rPr>
          <w:w w:val="105"/>
          <w:sz w:val="21"/>
        </w:rPr>
        <w:t>a permit</w:t>
      </w:r>
      <w:r>
        <w:rPr>
          <w:spacing w:val="-7"/>
          <w:w w:val="105"/>
          <w:sz w:val="21"/>
        </w:rPr>
        <w:t> </w:t>
      </w:r>
      <w:r>
        <w:rPr>
          <w:w w:val="105"/>
          <w:sz w:val="21"/>
        </w:rPr>
        <w:t>under</w:t>
      </w:r>
      <w:r>
        <w:rPr>
          <w:spacing w:val="-6"/>
          <w:w w:val="105"/>
          <w:sz w:val="21"/>
        </w:rPr>
        <w:t> </w:t>
      </w:r>
      <w:r>
        <w:rPr>
          <w:w w:val="105"/>
          <w:sz w:val="21"/>
        </w:rPr>
        <w:t>local</w:t>
      </w:r>
      <w:r>
        <w:rPr>
          <w:spacing w:val="-6"/>
          <w:w w:val="105"/>
          <w:sz w:val="21"/>
        </w:rPr>
        <w:t> </w:t>
      </w:r>
      <w:r>
        <w:rPr>
          <w:w w:val="105"/>
          <w:sz w:val="21"/>
        </w:rPr>
        <w:t>laws</w:t>
      </w:r>
      <w:r>
        <w:rPr>
          <w:spacing w:val="-7"/>
          <w:w w:val="105"/>
          <w:sz w:val="21"/>
        </w:rPr>
        <w:t> </w:t>
      </w:r>
      <w:r>
        <w:rPr>
          <w:w w:val="105"/>
          <w:sz w:val="21"/>
        </w:rPr>
        <w:t>because</w:t>
      </w:r>
      <w:r>
        <w:rPr>
          <w:spacing w:val="-6"/>
          <w:w w:val="105"/>
          <w:sz w:val="21"/>
        </w:rPr>
        <w:t> </w:t>
      </w:r>
      <w:r>
        <w:rPr>
          <w:w w:val="105"/>
          <w:sz w:val="21"/>
        </w:rPr>
        <w:t>they</w:t>
      </w:r>
      <w:r>
        <w:rPr>
          <w:spacing w:val="-6"/>
          <w:w w:val="105"/>
          <w:sz w:val="21"/>
        </w:rPr>
        <w:t> </w:t>
      </w:r>
      <w:r>
        <w:rPr>
          <w:w w:val="105"/>
          <w:sz w:val="21"/>
        </w:rPr>
        <w:t>often</w:t>
      </w:r>
      <w:r>
        <w:rPr>
          <w:spacing w:val="-7"/>
          <w:w w:val="105"/>
          <w:sz w:val="21"/>
        </w:rPr>
        <w:t> </w:t>
      </w:r>
      <w:r>
        <w:rPr>
          <w:spacing w:val="-3"/>
          <w:w w:val="105"/>
          <w:sz w:val="21"/>
        </w:rPr>
        <w:t>allow</w:t>
      </w:r>
      <w:r>
        <w:rPr>
          <w:spacing w:val="-6"/>
          <w:w w:val="105"/>
          <w:sz w:val="21"/>
        </w:rPr>
        <w:t> </w:t>
      </w:r>
      <w:r>
        <w:rPr>
          <w:w w:val="105"/>
          <w:sz w:val="21"/>
        </w:rPr>
        <w:t>only</w:t>
      </w:r>
      <w:r>
        <w:rPr>
          <w:spacing w:val="-6"/>
          <w:w w:val="105"/>
          <w:sz w:val="21"/>
        </w:rPr>
        <w:t> </w:t>
      </w:r>
      <w:r>
        <w:rPr>
          <w:w w:val="105"/>
          <w:sz w:val="21"/>
        </w:rPr>
        <w:t>the</w:t>
      </w:r>
      <w:r>
        <w:rPr>
          <w:spacing w:val="-6"/>
          <w:w w:val="105"/>
          <w:sz w:val="21"/>
        </w:rPr>
        <w:t> </w:t>
      </w:r>
      <w:r>
        <w:rPr>
          <w:w w:val="105"/>
          <w:sz w:val="21"/>
        </w:rPr>
        <w:t>owner</w:t>
      </w:r>
      <w:r>
        <w:rPr>
          <w:spacing w:val="-7"/>
          <w:w w:val="105"/>
          <w:sz w:val="21"/>
        </w:rPr>
        <w:t> </w:t>
      </w:r>
      <w:r>
        <w:rPr>
          <w:w w:val="105"/>
          <w:sz w:val="21"/>
        </w:rPr>
        <w:t>of</w:t>
      </w:r>
      <w:r>
        <w:rPr>
          <w:spacing w:val="-6"/>
          <w:w w:val="105"/>
          <w:sz w:val="21"/>
        </w:rPr>
        <w:t> </w:t>
      </w:r>
      <w:r>
        <w:rPr>
          <w:w w:val="105"/>
          <w:sz w:val="21"/>
        </w:rPr>
        <w:t>a</w:t>
      </w:r>
      <w:r>
        <w:rPr>
          <w:spacing w:val="-6"/>
          <w:w w:val="105"/>
          <w:sz w:val="21"/>
        </w:rPr>
        <w:t> </w:t>
      </w:r>
      <w:r>
        <w:rPr>
          <w:w w:val="105"/>
          <w:sz w:val="21"/>
        </w:rPr>
        <w:t>tree</w:t>
      </w:r>
      <w:r>
        <w:rPr>
          <w:spacing w:val="-7"/>
          <w:w w:val="105"/>
          <w:sz w:val="21"/>
        </w:rPr>
        <w:t> </w:t>
      </w:r>
      <w:r>
        <w:rPr>
          <w:spacing w:val="-3"/>
          <w:w w:val="105"/>
          <w:sz w:val="21"/>
        </w:rPr>
        <w:t>to</w:t>
      </w:r>
      <w:r>
        <w:rPr>
          <w:spacing w:val="-6"/>
          <w:w w:val="105"/>
          <w:sz w:val="21"/>
        </w:rPr>
        <w:t> </w:t>
      </w:r>
      <w:r>
        <w:rPr>
          <w:w w:val="105"/>
          <w:sz w:val="21"/>
        </w:rPr>
        <w:t>apply</w:t>
      </w:r>
      <w:r>
        <w:rPr>
          <w:spacing w:val="-6"/>
          <w:w w:val="105"/>
          <w:sz w:val="21"/>
        </w:rPr>
        <w:t> </w:t>
      </w:r>
      <w:r>
        <w:rPr>
          <w:spacing w:val="-3"/>
          <w:w w:val="105"/>
          <w:sz w:val="21"/>
        </w:rPr>
        <w:t>for</w:t>
      </w:r>
      <w:r>
        <w:rPr>
          <w:spacing w:val="-6"/>
          <w:w w:val="105"/>
          <w:sz w:val="21"/>
        </w:rPr>
        <w:t> </w:t>
      </w:r>
      <w:r>
        <w:rPr>
          <w:w w:val="105"/>
          <w:sz w:val="21"/>
        </w:rPr>
        <w:t>a permit or </w:t>
      </w:r>
      <w:r>
        <w:rPr>
          <w:spacing w:val="-3"/>
          <w:w w:val="105"/>
          <w:sz w:val="21"/>
        </w:rPr>
        <w:t>require </w:t>
      </w:r>
      <w:r>
        <w:rPr>
          <w:w w:val="105"/>
          <w:sz w:val="21"/>
        </w:rPr>
        <w:t>the </w:t>
      </w:r>
      <w:r>
        <w:rPr>
          <w:spacing w:val="-3"/>
          <w:w w:val="105"/>
          <w:sz w:val="21"/>
        </w:rPr>
        <w:t>owner’s </w:t>
      </w:r>
      <w:r>
        <w:rPr>
          <w:w w:val="105"/>
          <w:sz w:val="21"/>
        </w:rPr>
        <w:t>written </w:t>
      </w:r>
      <w:r>
        <w:rPr>
          <w:spacing w:val="-3"/>
          <w:w w:val="105"/>
          <w:sz w:val="21"/>
        </w:rPr>
        <w:t>consent to </w:t>
      </w:r>
      <w:r>
        <w:rPr>
          <w:w w:val="105"/>
          <w:sz w:val="21"/>
        </w:rPr>
        <w:t>be </w:t>
      </w:r>
      <w:r>
        <w:rPr>
          <w:spacing w:val="-2"/>
          <w:w w:val="105"/>
          <w:sz w:val="21"/>
        </w:rPr>
        <w:t>submitted </w:t>
      </w:r>
      <w:r>
        <w:rPr>
          <w:w w:val="105"/>
          <w:sz w:val="21"/>
        </w:rPr>
        <w:t>with the</w:t>
      </w:r>
      <w:r>
        <w:rPr>
          <w:spacing w:val="-21"/>
          <w:w w:val="105"/>
          <w:sz w:val="21"/>
        </w:rPr>
        <w:t> </w:t>
      </w:r>
      <w:r>
        <w:rPr>
          <w:spacing w:val="-3"/>
          <w:w w:val="105"/>
          <w:sz w:val="21"/>
        </w:rPr>
        <w:t>application.</w:t>
      </w:r>
      <w:r>
        <w:rPr>
          <w:spacing w:val="-3"/>
          <w:w w:val="105"/>
          <w:position w:val="7"/>
          <w:sz w:val="12"/>
        </w:rPr>
        <w:t>319</w:t>
      </w:r>
    </w:p>
    <w:p>
      <w:pPr>
        <w:pStyle w:val="ListParagraph"/>
        <w:numPr>
          <w:ilvl w:val="0"/>
          <w:numId w:val="173"/>
        </w:numPr>
        <w:tabs>
          <w:tab w:pos="2381" w:val="left" w:leader="none"/>
        </w:tabs>
        <w:spacing w:line="242" w:lineRule="auto" w:before="124" w:after="0"/>
        <w:ind w:left="2381" w:right="1903" w:hanging="794"/>
        <w:jc w:val="left"/>
        <w:rPr>
          <w:sz w:val="21"/>
        </w:rPr>
      </w:pPr>
      <w:r>
        <w:rPr>
          <w:w w:val="105"/>
          <w:sz w:val="21"/>
        </w:rPr>
        <w:t>In the </w:t>
      </w:r>
      <w:r>
        <w:rPr>
          <w:spacing w:val="-4"/>
          <w:w w:val="105"/>
          <w:sz w:val="21"/>
        </w:rPr>
        <w:t>Commission’s view, </w:t>
      </w:r>
      <w:r>
        <w:rPr>
          <w:w w:val="105"/>
          <w:sz w:val="21"/>
        </w:rPr>
        <w:t>this </w:t>
      </w:r>
      <w:r>
        <w:rPr>
          <w:spacing w:val="-3"/>
          <w:w w:val="105"/>
          <w:sz w:val="21"/>
        </w:rPr>
        <w:t>outcome </w:t>
      </w:r>
      <w:r>
        <w:rPr>
          <w:w w:val="105"/>
          <w:sz w:val="21"/>
        </w:rPr>
        <w:t>would be unsatisfactory and would </w:t>
      </w:r>
      <w:r>
        <w:rPr>
          <w:spacing w:val="-3"/>
          <w:w w:val="105"/>
          <w:sz w:val="21"/>
        </w:rPr>
        <w:t>limit </w:t>
      </w:r>
      <w:r>
        <w:rPr>
          <w:w w:val="105"/>
          <w:sz w:val="21"/>
        </w:rPr>
        <w:t>the ability</w:t>
      </w:r>
      <w:r>
        <w:rPr>
          <w:spacing w:val="-5"/>
          <w:w w:val="105"/>
          <w:sz w:val="21"/>
        </w:rPr>
        <w:t> </w:t>
      </w:r>
      <w:r>
        <w:rPr>
          <w:w w:val="105"/>
          <w:sz w:val="21"/>
        </w:rPr>
        <w:t>of</w:t>
      </w:r>
      <w:r>
        <w:rPr>
          <w:spacing w:val="-4"/>
          <w:w w:val="105"/>
          <w:sz w:val="21"/>
        </w:rPr>
        <w:t> </w:t>
      </w:r>
      <w:r>
        <w:rPr>
          <w:w w:val="105"/>
          <w:sz w:val="21"/>
        </w:rPr>
        <w:t>a</w:t>
      </w:r>
      <w:r>
        <w:rPr>
          <w:spacing w:val="-4"/>
          <w:w w:val="105"/>
          <w:sz w:val="21"/>
        </w:rPr>
        <w:t> </w:t>
      </w:r>
      <w:r>
        <w:rPr>
          <w:w w:val="105"/>
          <w:sz w:val="21"/>
        </w:rPr>
        <w:t>new</w:t>
      </w:r>
      <w:r>
        <w:rPr>
          <w:spacing w:val="-4"/>
          <w:w w:val="105"/>
          <w:sz w:val="21"/>
        </w:rPr>
        <w:t> </w:t>
      </w:r>
      <w:r>
        <w:rPr>
          <w:w w:val="105"/>
          <w:sz w:val="21"/>
        </w:rPr>
        <w:t>Act</w:t>
      </w:r>
      <w:r>
        <w:rPr>
          <w:spacing w:val="-5"/>
          <w:w w:val="105"/>
          <w:sz w:val="21"/>
        </w:rPr>
        <w:t> </w:t>
      </w:r>
      <w:r>
        <w:rPr>
          <w:spacing w:val="-3"/>
          <w:w w:val="105"/>
          <w:sz w:val="21"/>
        </w:rPr>
        <w:t>to</w:t>
      </w:r>
      <w:r>
        <w:rPr>
          <w:spacing w:val="-4"/>
          <w:w w:val="105"/>
          <w:sz w:val="21"/>
        </w:rPr>
        <w:t> </w:t>
      </w:r>
      <w:r>
        <w:rPr>
          <w:w w:val="105"/>
          <w:sz w:val="21"/>
        </w:rPr>
        <w:t>resolve</w:t>
      </w:r>
      <w:r>
        <w:rPr>
          <w:spacing w:val="-4"/>
          <w:w w:val="105"/>
          <w:sz w:val="21"/>
        </w:rPr>
        <w:t> </w:t>
      </w:r>
      <w:r>
        <w:rPr>
          <w:w w:val="105"/>
          <w:sz w:val="21"/>
        </w:rPr>
        <w:t>a</w:t>
      </w:r>
      <w:r>
        <w:rPr>
          <w:spacing w:val="-4"/>
          <w:w w:val="105"/>
          <w:sz w:val="21"/>
        </w:rPr>
        <w:t> </w:t>
      </w:r>
      <w:r>
        <w:rPr>
          <w:w w:val="105"/>
          <w:sz w:val="21"/>
        </w:rPr>
        <w:t>large</w:t>
      </w:r>
      <w:r>
        <w:rPr>
          <w:spacing w:val="-5"/>
          <w:w w:val="105"/>
          <w:sz w:val="21"/>
        </w:rPr>
        <w:t> </w:t>
      </w:r>
      <w:r>
        <w:rPr>
          <w:w w:val="105"/>
          <w:sz w:val="21"/>
        </w:rPr>
        <w:t>number</w:t>
      </w:r>
      <w:r>
        <w:rPr>
          <w:spacing w:val="-4"/>
          <w:w w:val="105"/>
          <w:sz w:val="21"/>
        </w:rPr>
        <w:t> </w:t>
      </w:r>
      <w:r>
        <w:rPr>
          <w:w w:val="105"/>
          <w:sz w:val="21"/>
        </w:rPr>
        <w:t>of</w:t>
      </w:r>
      <w:r>
        <w:rPr>
          <w:spacing w:val="-4"/>
          <w:w w:val="105"/>
          <w:sz w:val="21"/>
        </w:rPr>
        <w:t> </w:t>
      </w:r>
      <w:r>
        <w:rPr>
          <w:w w:val="105"/>
          <w:sz w:val="21"/>
        </w:rPr>
        <w:t>neighbourhood</w:t>
      </w:r>
      <w:r>
        <w:rPr>
          <w:spacing w:val="-4"/>
          <w:w w:val="105"/>
          <w:sz w:val="21"/>
        </w:rPr>
        <w:t> </w:t>
      </w:r>
      <w:r>
        <w:rPr>
          <w:w w:val="105"/>
          <w:sz w:val="21"/>
        </w:rPr>
        <w:t>tree</w:t>
      </w:r>
      <w:r>
        <w:rPr>
          <w:spacing w:val="-5"/>
          <w:w w:val="105"/>
          <w:sz w:val="21"/>
        </w:rPr>
        <w:t> </w:t>
      </w:r>
      <w:r>
        <w:rPr>
          <w:spacing w:val="-3"/>
          <w:w w:val="105"/>
          <w:sz w:val="21"/>
        </w:rPr>
        <w:t>disputes.</w:t>
      </w:r>
      <w:r>
        <w:rPr>
          <w:spacing w:val="-4"/>
          <w:w w:val="105"/>
          <w:sz w:val="21"/>
        </w:rPr>
        <w:t> </w:t>
      </w:r>
      <w:r>
        <w:rPr>
          <w:w w:val="105"/>
          <w:sz w:val="21"/>
        </w:rPr>
        <w:t>As</w:t>
      </w:r>
      <w:r>
        <w:rPr>
          <w:spacing w:val="-4"/>
          <w:w w:val="105"/>
          <w:sz w:val="21"/>
        </w:rPr>
        <w:t> </w:t>
      </w:r>
      <w:r>
        <w:rPr>
          <w:spacing w:val="-3"/>
          <w:w w:val="105"/>
          <w:sz w:val="21"/>
        </w:rPr>
        <w:t>well </w:t>
      </w:r>
      <w:r>
        <w:rPr>
          <w:w w:val="105"/>
          <w:sz w:val="21"/>
        </w:rPr>
        <w:t>as being impractical in </w:t>
      </w:r>
      <w:r>
        <w:rPr>
          <w:spacing w:val="-3"/>
          <w:w w:val="105"/>
          <w:sz w:val="21"/>
        </w:rPr>
        <w:t>many situations, requiring </w:t>
      </w:r>
      <w:r>
        <w:rPr>
          <w:w w:val="105"/>
          <w:sz w:val="21"/>
        </w:rPr>
        <w:t>an affected </w:t>
      </w:r>
      <w:r>
        <w:rPr>
          <w:spacing w:val="-3"/>
          <w:w w:val="105"/>
          <w:sz w:val="21"/>
        </w:rPr>
        <w:t>neighbour to </w:t>
      </w:r>
      <w:r>
        <w:rPr>
          <w:w w:val="105"/>
          <w:sz w:val="21"/>
        </w:rPr>
        <w:t>obtain</w:t>
      </w:r>
      <w:r>
        <w:rPr>
          <w:spacing w:val="-9"/>
          <w:w w:val="105"/>
          <w:sz w:val="21"/>
        </w:rPr>
        <w:t> </w:t>
      </w:r>
      <w:r>
        <w:rPr>
          <w:w w:val="105"/>
          <w:sz w:val="21"/>
        </w:rPr>
        <w:t>an</w:t>
      </w:r>
    </w:p>
    <w:p>
      <w:pPr>
        <w:pStyle w:val="BodyText"/>
        <w:spacing w:line="242" w:lineRule="auto" w:before="4"/>
        <w:ind w:left="2380" w:right="1540"/>
      </w:pPr>
      <w:r>
        <w:rPr>
          <w:spacing w:val="-3"/>
          <w:w w:val="105"/>
        </w:rPr>
        <w:t>additional </w:t>
      </w:r>
      <w:r>
        <w:rPr>
          <w:w w:val="105"/>
        </w:rPr>
        <w:t>permit would add unnecessary costs and </w:t>
      </w:r>
      <w:r>
        <w:rPr>
          <w:spacing w:val="-3"/>
          <w:w w:val="105"/>
        </w:rPr>
        <w:t>increase </w:t>
      </w:r>
      <w:r>
        <w:rPr>
          <w:w w:val="105"/>
        </w:rPr>
        <w:t>the </w:t>
      </w:r>
      <w:r>
        <w:rPr>
          <w:spacing w:val="-3"/>
          <w:w w:val="105"/>
        </w:rPr>
        <w:t>administrative </w:t>
      </w:r>
      <w:r>
        <w:rPr>
          <w:w w:val="105"/>
        </w:rPr>
        <w:t>burden on applicants.</w:t>
      </w:r>
    </w:p>
    <w:p>
      <w:pPr>
        <w:pStyle w:val="ListParagraph"/>
        <w:numPr>
          <w:ilvl w:val="0"/>
          <w:numId w:val="173"/>
        </w:numPr>
        <w:tabs>
          <w:tab w:pos="2381" w:val="left" w:leader="none"/>
        </w:tabs>
        <w:spacing w:line="242" w:lineRule="auto" w:before="122" w:after="0"/>
        <w:ind w:left="2381" w:right="1635" w:hanging="794"/>
        <w:jc w:val="left"/>
        <w:rPr>
          <w:sz w:val="21"/>
        </w:rPr>
      </w:pPr>
      <w:r>
        <w:rPr>
          <w:w w:val="105"/>
          <w:sz w:val="21"/>
        </w:rPr>
        <w:t>Local laws can be overridden in </w:t>
      </w:r>
      <w:r>
        <w:rPr>
          <w:spacing w:val="-3"/>
          <w:w w:val="105"/>
          <w:sz w:val="21"/>
        </w:rPr>
        <w:t>Queensland. </w:t>
      </w:r>
      <w:r>
        <w:rPr>
          <w:w w:val="105"/>
          <w:sz w:val="21"/>
        </w:rPr>
        <w:t>In New South </w:t>
      </w:r>
      <w:r>
        <w:rPr>
          <w:spacing w:val="-3"/>
          <w:w w:val="105"/>
          <w:sz w:val="21"/>
        </w:rPr>
        <w:t>Wales </w:t>
      </w:r>
      <w:r>
        <w:rPr>
          <w:w w:val="105"/>
          <w:sz w:val="21"/>
        </w:rPr>
        <w:t>vegetation in urban </w:t>
      </w:r>
      <w:r>
        <w:rPr>
          <w:spacing w:val="-3"/>
          <w:w w:val="105"/>
          <w:sz w:val="21"/>
        </w:rPr>
        <w:t>areas</w:t>
      </w:r>
      <w:r>
        <w:rPr>
          <w:spacing w:val="-9"/>
          <w:w w:val="105"/>
          <w:sz w:val="21"/>
        </w:rPr>
        <w:t> </w:t>
      </w:r>
      <w:r>
        <w:rPr>
          <w:w w:val="105"/>
          <w:sz w:val="21"/>
        </w:rPr>
        <w:t>is</w:t>
      </w:r>
      <w:r>
        <w:rPr>
          <w:spacing w:val="-8"/>
          <w:w w:val="105"/>
          <w:sz w:val="21"/>
        </w:rPr>
        <w:t> </w:t>
      </w:r>
      <w:r>
        <w:rPr>
          <w:w w:val="105"/>
          <w:sz w:val="21"/>
        </w:rPr>
        <w:t>protected</w:t>
      </w:r>
      <w:r>
        <w:rPr>
          <w:spacing w:val="-8"/>
          <w:w w:val="105"/>
          <w:sz w:val="21"/>
        </w:rPr>
        <w:t> </w:t>
      </w:r>
      <w:r>
        <w:rPr>
          <w:w w:val="105"/>
          <w:sz w:val="21"/>
        </w:rPr>
        <w:t>under</w:t>
      </w:r>
      <w:r>
        <w:rPr>
          <w:spacing w:val="-8"/>
          <w:w w:val="105"/>
          <w:sz w:val="21"/>
        </w:rPr>
        <w:t> </w:t>
      </w:r>
      <w:r>
        <w:rPr>
          <w:spacing w:val="-3"/>
          <w:w w:val="105"/>
          <w:sz w:val="21"/>
        </w:rPr>
        <w:t>planning</w:t>
      </w:r>
      <w:r>
        <w:rPr>
          <w:spacing w:val="-8"/>
          <w:w w:val="105"/>
          <w:sz w:val="21"/>
        </w:rPr>
        <w:t> </w:t>
      </w:r>
      <w:r>
        <w:rPr>
          <w:spacing w:val="-3"/>
          <w:w w:val="105"/>
          <w:sz w:val="21"/>
        </w:rPr>
        <w:t>legislation</w:t>
      </w:r>
      <w:r>
        <w:rPr>
          <w:spacing w:val="-8"/>
          <w:w w:val="105"/>
          <w:sz w:val="21"/>
        </w:rPr>
        <w:t> </w:t>
      </w:r>
      <w:r>
        <w:rPr>
          <w:w w:val="105"/>
          <w:sz w:val="21"/>
        </w:rPr>
        <w:t>and</w:t>
      </w:r>
      <w:r>
        <w:rPr>
          <w:spacing w:val="-8"/>
          <w:w w:val="105"/>
          <w:sz w:val="21"/>
        </w:rPr>
        <w:t> </w:t>
      </w:r>
      <w:r>
        <w:rPr>
          <w:spacing w:val="-3"/>
          <w:w w:val="105"/>
          <w:sz w:val="21"/>
        </w:rPr>
        <w:t>relevant</w:t>
      </w:r>
      <w:r>
        <w:rPr>
          <w:spacing w:val="-9"/>
          <w:w w:val="105"/>
          <w:sz w:val="21"/>
        </w:rPr>
        <w:t> </w:t>
      </w:r>
      <w:r>
        <w:rPr>
          <w:spacing w:val="-3"/>
          <w:w w:val="105"/>
          <w:sz w:val="21"/>
        </w:rPr>
        <w:t>council</w:t>
      </w:r>
      <w:r>
        <w:rPr>
          <w:spacing w:val="-8"/>
          <w:w w:val="105"/>
          <w:sz w:val="21"/>
        </w:rPr>
        <w:t> </w:t>
      </w:r>
      <w:r>
        <w:rPr>
          <w:w w:val="105"/>
          <w:sz w:val="21"/>
        </w:rPr>
        <w:t>policies</w:t>
      </w:r>
      <w:r>
        <w:rPr>
          <w:spacing w:val="-8"/>
          <w:w w:val="105"/>
          <w:sz w:val="21"/>
        </w:rPr>
        <w:t> </w:t>
      </w:r>
      <w:r>
        <w:rPr>
          <w:spacing w:val="-3"/>
          <w:w w:val="105"/>
          <w:sz w:val="21"/>
        </w:rPr>
        <w:t>rather</w:t>
      </w:r>
      <w:r>
        <w:rPr>
          <w:spacing w:val="-8"/>
          <w:w w:val="105"/>
          <w:sz w:val="21"/>
        </w:rPr>
        <w:t> </w:t>
      </w:r>
      <w:r>
        <w:rPr>
          <w:spacing w:val="-3"/>
          <w:w w:val="105"/>
          <w:sz w:val="21"/>
        </w:rPr>
        <w:t>than</w:t>
      </w:r>
      <w:r>
        <w:rPr>
          <w:spacing w:val="-8"/>
          <w:w w:val="105"/>
          <w:sz w:val="21"/>
        </w:rPr>
        <w:t> </w:t>
      </w:r>
      <w:r>
        <w:rPr>
          <w:w w:val="105"/>
          <w:sz w:val="21"/>
        </w:rPr>
        <w:t>local laws. </w:t>
      </w:r>
      <w:r>
        <w:rPr>
          <w:spacing w:val="-4"/>
          <w:w w:val="105"/>
          <w:sz w:val="21"/>
        </w:rPr>
        <w:t>However, </w:t>
      </w:r>
      <w:r>
        <w:rPr>
          <w:w w:val="105"/>
          <w:sz w:val="21"/>
        </w:rPr>
        <w:t>the </w:t>
      </w:r>
      <w:r>
        <w:rPr>
          <w:spacing w:val="-3"/>
          <w:w w:val="105"/>
          <w:sz w:val="21"/>
        </w:rPr>
        <w:t>Commission </w:t>
      </w:r>
      <w:r>
        <w:rPr>
          <w:w w:val="105"/>
          <w:sz w:val="21"/>
        </w:rPr>
        <w:t>is of the view </w:t>
      </w:r>
      <w:r>
        <w:rPr>
          <w:spacing w:val="-3"/>
          <w:w w:val="105"/>
          <w:sz w:val="21"/>
        </w:rPr>
        <w:t>that </w:t>
      </w:r>
      <w:r>
        <w:rPr>
          <w:w w:val="105"/>
          <w:sz w:val="21"/>
        </w:rPr>
        <w:t>the </w:t>
      </w:r>
      <w:r>
        <w:rPr>
          <w:spacing w:val="-3"/>
          <w:w w:val="105"/>
          <w:sz w:val="21"/>
        </w:rPr>
        <w:t>interaction </w:t>
      </w:r>
      <w:r>
        <w:rPr>
          <w:w w:val="105"/>
          <w:sz w:val="21"/>
        </w:rPr>
        <w:t>of the NSW Act with these lower level </w:t>
      </w:r>
      <w:r>
        <w:rPr>
          <w:spacing w:val="-3"/>
          <w:w w:val="105"/>
          <w:sz w:val="21"/>
        </w:rPr>
        <w:t>planning </w:t>
      </w:r>
      <w:r>
        <w:rPr>
          <w:w w:val="105"/>
          <w:sz w:val="21"/>
        </w:rPr>
        <w:t>instruments is a good guide </w:t>
      </w:r>
      <w:r>
        <w:rPr>
          <w:spacing w:val="-3"/>
          <w:w w:val="105"/>
          <w:sz w:val="21"/>
        </w:rPr>
        <w:t>for </w:t>
      </w:r>
      <w:r>
        <w:rPr>
          <w:w w:val="105"/>
          <w:sz w:val="21"/>
        </w:rPr>
        <w:t>the new Act. The NSWLEC advised:</w:t>
      </w:r>
    </w:p>
    <w:p>
      <w:pPr>
        <w:spacing w:line="254" w:lineRule="auto" w:before="135"/>
        <w:ind w:left="2834" w:right="1636" w:firstLine="0"/>
        <w:jc w:val="left"/>
        <w:rPr>
          <w:sz w:val="11"/>
        </w:rPr>
      </w:pPr>
      <w:r>
        <w:rPr>
          <w:w w:val="105"/>
          <w:sz w:val="20"/>
        </w:rPr>
        <w:t>Where local </w:t>
      </w:r>
      <w:r>
        <w:rPr>
          <w:spacing w:val="-3"/>
          <w:w w:val="105"/>
          <w:sz w:val="20"/>
        </w:rPr>
        <w:t>council’s </w:t>
      </w:r>
      <w:r>
        <w:rPr>
          <w:w w:val="105"/>
          <w:sz w:val="20"/>
        </w:rPr>
        <w:t>authority or a permit would ordinarily be needed, the Court will look to the factors that the local </w:t>
      </w:r>
      <w:r>
        <w:rPr>
          <w:spacing w:val="-3"/>
          <w:w w:val="105"/>
          <w:sz w:val="20"/>
        </w:rPr>
        <w:t>council </w:t>
      </w:r>
      <w:r>
        <w:rPr>
          <w:w w:val="105"/>
          <w:sz w:val="20"/>
        </w:rPr>
        <w:t>would ordinarily </w:t>
      </w:r>
      <w:r>
        <w:rPr>
          <w:spacing w:val="-3"/>
          <w:w w:val="105"/>
          <w:sz w:val="20"/>
        </w:rPr>
        <w:t>take into account. </w:t>
      </w:r>
      <w:r>
        <w:rPr>
          <w:w w:val="105"/>
          <w:sz w:val="20"/>
        </w:rPr>
        <w:t>The Court may</w:t>
      </w:r>
      <w:r>
        <w:rPr>
          <w:spacing w:val="-9"/>
          <w:w w:val="105"/>
          <w:sz w:val="20"/>
        </w:rPr>
        <w:t> </w:t>
      </w:r>
      <w:r>
        <w:rPr>
          <w:w w:val="105"/>
          <w:sz w:val="20"/>
        </w:rPr>
        <w:t>also</w:t>
      </w:r>
      <w:r>
        <w:rPr>
          <w:spacing w:val="-8"/>
          <w:w w:val="105"/>
          <w:sz w:val="20"/>
        </w:rPr>
        <w:t> </w:t>
      </w:r>
      <w:r>
        <w:rPr>
          <w:w w:val="105"/>
          <w:sz w:val="20"/>
        </w:rPr>
        <w:t>consider</w:t>
      </w:r>
      <w:r>
        <w:rPr>
          <w:spacing w:val="-8"/>
          <w:w w:val="105"/>
          <w:sz w:val="20"/>
        </w:rPr>
        <w:t> </w:t>
      </w:r>
      <w:r>
        <w:rPr>
          <w:w w:val="105"/>
          <w:sz w:val="20"/>
        </w:rPr>
        <w:t>whether</w:t>
      </w:r>
      <w:r>
        <w:rPr>
          <w:spacing w:val="-8"/>
          <w:w w:val="105"/>
          <w:sz w:val="20"/>
        </w:rPr>
        <w:t> </w:t>
      </w:r>
      <w:r>
        <w:rPr>
          <w:w w:val="105"/>
          <w:sz w:val="20"/>
        </w:rPr>
        <w:t>or</w:t>
      </w:r>
      <w:r>
        <w:rPr>
          <w:spacing w:val="-8"/>
          <w:w w:val="105"/>
          <w:sz w:val="20"/>
        </w:rPr>
        <w:t> </w:t>
      </w:r>
      <w:r>
        <w:rPr>
          <w:w w:val="105"/>
          <w:sz w:val="20"/>
        </w:rPr>
        <w:t>not</w:t>
      </w:r>
      <w:r>
        <w:rPr>
          <w:spacing w:val="-8"/>
          <w:w w:val="105"/>
          <w:sz w:val="20"/>
        </w:rPr>
        <w:t> </w:t>
      </w:r>
      <w:r>
        <w:rPr>
          <w:w w:val="105"/>
          <w:sz w:val="20"/>
        </w:rPr>
        <w:t>the</w:t>
      </w:r>
      <w:r>
        <w:rPr>
          <w:spacing w:val="-8"/>
          <w:w w:val="105"/>
          <w:sz w:val="20"/>
        </w:rPr>
        <w:t> </w:t>
      </w:r>
      <w:r>
        <w:rPr>
          <w:w w:val="105"/>
          <w:sz w:val="20"/>
        </w:rPr>
        <w:t>permit</w:t>
      </w:r>
      <w:r>
        <w:rPr>
          <w:spacing w:val="-8"/>
          <w:w w:val="105"/>
          <w:sz w:val="20"/>
        </w:rPr>
        <w:t> </w:t>
      </w:r>
      <w:r>
        <w:rPr>
          <w:w w:val="105"/>
          <w:sz w:val="20"/>
        </w:rPr>
        <w:t>was</w:t>
      </w:r>
      <w:r>
        <w:rPr>
          <w:spacing w:val="-8"/>
          <w:w w:val="105"/>
          <w:sz w:val="20"/>
        </w:rPr>
        <w:t> </w:t>
      </w:r>
      <w:r>
        <w:rPr>
          <w:w w:val="105"/>
          <w:sz w:val="20"/>
        </w:rPr>
        <w:t>refused</w:t>
      </w:r>
      <w:r>
        <w:rPr>
          <w:spacing w:val="-8"/>
          <w:w w:val="105"/>
          <w:sz w:val="20"/>
        </w:rPr>
        <w:t> </w:t>
      </w:r>
      <w:r>
        <w:rPr>
          <w:w w:val="105"/>
          <w:sz w:val="20"/>
        </w:rPr>
        <w:t>by</w:t>
      </w:r>
      <w:r>
        <w:rPr>
          <w:spacing w:val="-8"/>
          <w:w w:val="105"/>
          <w:sz w:val="20"/>
        </w:rPr>
        <w:t> </w:t>
      </w:r>
      <w:r>
        <w:rPr>
          <w:w w:val="105"/>
          <w:sz w:val="20"/>
        </w:rPr>
        <w:t>local</w:t>
      </w:r>
      <w:r>
        <w:rPr>
          <w:spacing w:val="-9"/>
          <w:w w:val="105"/>
          <w:sz w:val="20"/>
        </w:rPr>
        <w:t> </w:t>
      </w:r>
      <w:r>
        <w:rPr>
          <w:spacing w:val="-3"/>
          <w:w w:val="105"/>
          <w:sz w:val="20"/>
        </w:rPr>
        <w:t>council</w:t>
      </w:r>
      <w:r>
        <w:rPr>
          <w:spacing w:val="-8"/>
          <w:w w:val="105"/>
          <w:sz w:val="20"/>
        </w:rPr>
        <w:t> </w:t>
      </w:r>
      <w:r>
        <w:rPr>
          <w:w w:val="105"/>
          <w:sz w:val="20"/>
        </w:rPr>
        <w:t>where</w:t>
      </w:r>
      <w:r>
        <w:rPr>
          <w:spacing w:val="-8"/>
          <w:w w:val="105"/>
          <w:sz w:val="20"/>
        </w:rPr>
        <w:t> </w:t>
      </w:r>
      <w:r>
        <w:rPr>
          <w:w w:val="105"/>
          <w:sz w:val="20"/>
        </w:rPr>
        <w:t>a</w:t>
      </w:r>
      <w:r>
        <w:rPr>
          <w:spacing w:val="-8"/>
          <w:w w:val="105"/>
          <w:sz w:val="20"/>
        </w:rPr>
        <w:t> </w:t>
      </w:r>
      <w:r>
        <w:rPr>
          <w:w w:val="105"/>
          <w:sz w:val="20"/>
        </w:rPr>
        <w:t>prior application was</w:t>
      </w:r>
      <w:r>
        <w:rPr>
          <w:spacing w:val="10"/>
          <w:w w:val="105"/>
          <w:sz w:val="20"/>
        </w:rPr>
        <w:t> </w:t>
      </w:r>
      <w:r>
        <w:rPr>
          <w:w w:val="105"/>
          <w:sz w:val="20"/>
        </w:rPr>
        <w:t>made.</w:t>
      </w:r>
      <w:r>
        <w:rPr>
          <w:w w:val="105"/>
          <w:position w:val="7"/>
          <w:sz w:val="11"/>
        </w:rPr>
        <w:t>320</w:t>
      </w:r>
    </w:p>
    <w:p>
      <w:pPr>
        <w:pStyle w:val="ListParagraph"/>
        <w:numPr>
          <w:ilvl w:val="0"/>
          <w:numId w:val="173"/>
        </w:numPr>
        <w:tabs>
          <w:tab w:pos="2382" w:val="left" w:leader="none"/>
        </w:tabs>
        <w:spacing w:line="242" w:lineRule="auto" w:before="115" w:after="0"/>
        <w:ind w:left="2381" w:right="1964" w:hanging="794"/>
        <w:jc w:val="both"/>
        <w:rPr>
          <w:sz w:val="21"/>
        </w:rPr>
      </w:pPr>
      <w:r>
        <w:rPr>
          <w:w w:val="105"/>
          <w:sz w:val="21"/>
        </w:rPr>
        <w:t>The </w:t>
      </w:r>
      <w:r>
        <w:rPr>
          <w:spacing w:val="-3"/>
          <w:w w:val="105"/>
          <w:sz w:val="21"/>
        </w:rPr>
        <w:t>Commission notes that </w:t>
      </w:r>
      <w:r>
        <w:rPr>
          <w:w w:val="105"/>
          <w:sz w:val="21"/>
        </w:rPr>
        <w:t>the NSWLEC gives </w:t>
      </w:r>
      <w:r>
        <w:rPr>
          <w:spacing w:val="-3"/>
          <w:w w:val="105"/>
          <w:sz w:val="21"/>
        </w:rPr>
        <w:t>significant weight to </w:t>
      </w:r>
      <w:r>
        <w:rPr>
          <w:w w:val="105"/>
          <w:sz w:val="21"/>
        </w:rPr>
        <w:t>tree preservation orders and </w:t>
      </w:r>
      <w:r>
        <w:rPr>
          <w:spacing w:val="-3"/>
          <w:w w:val="105"/>
          <w:sz w:val="21"/>
        </w:rPr>
        <w:t>relevant council </w:t>
      </w:r>
      <w:r>
        <w:rPr>
          <w:w w:val="105"/>
          <w:sz w:val="21"/>
        </w:rPr>
        <w:t>polices in the decision-making process.</w:t>
      </w:r>
      <w:r>
        <w:rPr>
          <w:w w:val="105"/>
          <w:position w:val="7"/>
          <w:sz w:val="12"/>
        </w:rPr>
        <w:t>321 </w:t>
      </w:r>
      <w:r>
        <w:rPr>
          <w:w w:val="105"/>
          <w:sz w:val="21"/>
        </w:rPr>
        <w:t>For </w:t>
      </w:r>
      <w:r>
        <w:rPr>
          <w:spacing w:val="-3"/>
          <w:w w:val="105"/>
          <w:sz w:val="21"/>
        </w:rPr>
        <w:t>example, </w:t>
      </w:r>
      <w:r>
        <w:rPr>
          <w:w w:val="105"/>
          <w:sz w:val="21"/>
        </w:rPr>
        <w:t>in the case of </w:t>
      </w:r>
      <w:r>
        <w:rPr>
          <w:i/>
          <w:spacing w:val="-3"/>
          <w:w w:val="105"/>
          <w:sz w:val="21"/>
        </w:rPr>
        <w:t>Haindl </w:t>
      </w:r>
      <w:r>
        <w:rPr>
          <w:i/>
          <w:w w:val="105"/>
          <w:sz w:val="21"/>
        </w:rPr>
        <w:t>v Daisch</w:t>
      </w:r>
      <w:r>
        <w:rPr>
          <w:w w:val="105"/>
          <w:position w:val="7"/>
          <w:sz w:val="12"/>
        </w:rPr>
        <w:t>322 </w:t>
      </w:r>
      <w:r>
        <w:rPr>
          <w:w w:val="105"/>
          <w:sz w:val="21"/>
        </w:rPr>
        <w:t>the </w:t>
      </w:r>
      <w:r>
        <w:rPr>
          <w:spacing w:val="-3"/>
          <w:w w:val="105"/>
          <w:sz w:val="21"/>
        </w:rPr>
        <w:t>relevant council </w:t>
      </w:r>
      <w:r>
        <w:rPr>
          <w:spacing w:val="-2"/>
          <w:w w:val="105"/>
          <w:sz w:val="21"/>
        </w:rPr>
        <w:t>submitted </w:t>
      </w:r>
      <w:r>
        <w:rPr>
          <w:spacing w:val="-3"/>
          <w:w w:val="105"/>
          <w:sz w:val="21"/>
        </w:rPr>
        <w:t>information to </w:t>
      </w:r>
      <w:r>
        <w:rPr>
          <w:w w:val="105"/>
          <w:sz w:val="21"/>
        </w:rPr>
        <w:t>the</w:t>
      </w:r>
      <w:r>
        <w:rPr>
          <w:spacing w:val="-17"/>
          <w:w w:val="105"/>
          <w:sz w:val="21"/>
        </w:rPr>
        <w:t> </w:t>
      </w:r>
      <w:r>
        <w:rPr>
          <w:spacing w:val="-3"/>
          <w:w w:val="105"/>
          <w:sz w:val="21"/>
        </w:rPr>
        <w:t>Court,</w:t>
      </w:r>
    </w:p>
    <w:p>
      <w:pPr>
        <w:pStyle w:val="BodyText"/>
        <w:spacing w:line="242" w:lineRule="auto" w:before="3"/>
        <w:ind w:left="2381" w:right="1515"/>
      </w:pPr>
      <w:r>
        <w:rPr>
          <w:spacing w:val="-3"/>
          <w:w w:val="105"/>
        </w:rPr>
        <w:t>including applications that </w:t>
      </w:r>
      <w:r>
        <w:rPr>
          <w:spacing w:val="-2"/>
          <w:w w:val="105"/>
        </w:rPr>
        <w:t>had </w:t>
      </w:r>
      <w:r>
        <w:rPr>
          <w:w w:val="105"/>
        </w:rPr>
        <w:t>been </w:t>
      </w:r>
      <w:r>
        <w:rPr>
          <w:spacing w:val="-3"/>
          <w:w w:val="105"/>
        </w:rPr>
        <w:t>previously </w:t>
      </w:r>
      <w:r>
        <w:rPr>
          <w:w w:val="105"/>
        </w:rPr>
        <w:t>made under the </w:t>
      </w:r>
      <w:r>
        <w:rPr>
          <w:spacing w:val="-4"/>
          <w:w w:val="105"/>
        </w:rPr>
        <w:t>council’s </w:t>
      </w:r>
      <w:r>
        <w:rPr>
          <w:w w:val="105"/>
        </w:rPr>
        <w:t>tree preservation </w:t>
      </w:r>
      <w:r>
        <w:rPr>
          <w:spacing w:val="-4"/>
          <w:w w:val="105"/>
        </w:rPr>
        <w:t>order. </w:t>
      </w:r>
      <w:r>
        <w:rPr>
          <w:w w:val="105"/>
        </w:rPr>
        <w:t>The </w:t>
      </w:r>
      <w:r>
        <w:rPr>
          <w:spacing w:val="-3"/>
          <w:w w:val="105"/>
        </w:rPr>
        <w:t>material </w:t>
      </w:r>
      <w:r>
        <w:rPr>
          <w:w w:val="105"/>
        </w:rPr>
        <w:t>was </w:t>
      </w:r>
      <w:r>
        <w:rPr>
          <w:spacing w:val="-3"/>
          <w:w w:val="105"/>
        </w:rPr>
        <w:t>referred to </w:t>
      </w:r>
      <w:r>
        <w:rPr>
          <w:w w:val="105"/>
        </w:rPr>
        <w:t>and discussed by the </w:t>
      </w:r>
      <w:r>
        <w:rPr>
          <w:spacing w:val="-3"/>
          <w:w w:val="105"/>
        </w:rPr>
        <w:t>Court. </w:t>
      </w:r>
      <w:r>
        <w:rPr>
          <w:w w:val="105"/>
        </w:rPr>
        <w:t>In </w:t>
      </w:r>
      <w:r>
        <w:rPr>
          <w:spacing w:val="-3"/>
          <w:w w:val="105"/>
        </w:rPr>
        <w:t>particular, </w:t>
      </w:r>
      <w:r>
        <w:rPr>
          <w:w w:val="105"/>
        </w:rPr>
        <w:t>the </w:t>
      </w:r>
      <w:r>
        <w:rPr>
          <w:spacing w:val="-3"/>
          <w:w w:val="105"/>
        </w:rPr>
        <w:t>Court </w:t>
      </w:r>
      <w:r>
        <w:rPr>
          <w:w w:val="105"/>
        </w:rPr>
        <w:t>focused on the </w:t>
      </w:r>
      <w:r>
        <w:rPr>
          <w:spacing w:val="-4"/>
          <w:w w:val="105"/>
        </w:rPr>
        <w:t>council’s </w:t>
      </w:r>
      <w:r>
        <w:rPr>
          <w:w w:val="105"/>
        </w:rPr>
        <w:t>policy of </w:t>
      </w:r>
      <w:r>
        <w:rPr>
          <w:spacing w:val="-2"/>
          <w:w w:val="105"/>
        </w:rPr>
        <w:t>not </w:t>
      </w:r>
      <w:r>
        <w:rPr>
          <w:w w:val="105"/>
        </w:rPr>
        <w:t>permitting the </w:t>
      </w:r>
      <w:r>
        <w:rPr>
          <w:spacing w:val="-3"/>
          <w:w w:val="105"/>
        </w:rPr>
        <w:t>removal </w:t>
      </w:r>
      <w:r>
        <w:rPr>
          <w:w w:val="105"/>
        </w:rPr>
        <w:t>of trees in the particular </w:t>
      </w:r>
      <w:r>
        <w:rPr>
          <w:spacing w:val="-3"/>
          <w:w w:val="105"/>
        </w:rPr>
        <w:t>circumstances </w:t>
      </w:r>
      <w:r>
        <w:rPr>
          <w:w w:val="105"/>
        </w:rPr>
        <w:t>of the </w:t>
      </w:r>
      <w:r>
        <w:rPr>
          <w:spacing w:val="-3"/>
          <w:w w:val="105"/>
        </w:rPr>
        <w:t>case. </w:t>
      </w:r>
      <w:r>
        <w:rPr>
          <w:w w:val="105"/>
        </w:rPr>
        <w:t>This policy was given </w:t>
      </w:r>
      <w:r>
        <w:rPr>
          <w:spacing w:val="-3"/>
          <w:w w:val="105"/>
        </w:rPr>
        <w:t>significant weight </w:t>
      </w:r>
      <w:r>
        <w:rPr>
          <w:w w:val="105"/>
        </w:rPr>
        <w:t>in the decision-making process even though the </w:t>
      </w:r>
      <w:r>
        <w:rPr>
          <w:spacing w:val="-3"/>
          <w:w w:val="105"/>
        </w:rPr>
        <w:t>Court </w:t>
      </w:r>
      <w:r>
        <w:rPr>
          <w:w w:val="105"/>
        </w:rPr>
        <w:t>decided </w:t>
      </w:r>
      <w:r>
        <w:rPr>
          <w:spacing w:val="-3"/>
          <w:w w:val="105"/>
        </w:rPr>
        <w:t>that </w:t>
      </w:r>
      <w:r>
        <w:rPr>
          <w:w w:val="105"/>
        </w:rPr>
        <w:t>the </w:t>
      </w:r>
      <w:r>
        <w:rPr>
          <w:spacing w:val="-3"/>
          <w:w w:val="105"/>
        </w:rPr>
        <w:t>removal </w:t>
      </w:r>
      <w:r>
        <w:rPr>
          <w:w w:val="105"/>
        </w:rPr>
        <w:t>of the trees would </w:t>
      </w:r>
      <w:r>
        <w:rPr>
          <w:spacing w:val="-2"/>
          <w:w w:val="105"/>
        </w:rPr>
        <w:t>not </w:t>
      </w:r>
      <w:r>
        <w:rPr>
          <w:w w:val="105"/>
        </w:rPr>
        <w:t>be </w:t>
      </w:r>
      <w:r>
        <w:rPr>
          <w:spacing w:val="-3"/>
          <w:w w:val="105"/>
        </w:rPr>
        <w:t>appropriate for </w:t>
      </w:r>
      <w:r>
        <w:rPr>
          <w:w w:val="105"/>
        </w:rPr>
        <w:t>a </w:t>
      </w:r>
      <w:r>
        <w:rPr>
          <w:spacing w:val="-3"/>
          <w:w w:val="105"/>
        </w:rPr>
        <w:t>range </w:t>
      </w:r>
      <w:r>
        <w:rPr>
          <w:w w:val="105"/>
        </w:rPr>
        <w:t>of other </w:t>
      </w:r>
      <w:r>
        <w:rPr>
          <w:spacing w:val="-3"/>
          <w:w w:val="105"/>
        </w:rPr>
        <w:t>reasons.</w:t>
      </w:r>
    </w:p>
    <w:p>
      <w:pPr>
        <w:pStyle w:val="ListParagraph"/>
        <w:numPr>
          <w:ilvl w:val="0"/>
          <w:numId w:val="173"/>
        </w:numPr>
        <w:tabs>
          <w:tab w:pos="2381" w:val="left" w:leader="none"/>
        </w:tabs>
        <w:spacing w:line="242" w:lineRule="auto" w:before="127" w:after="0"/>
        <w:ind w:left="2380" w:right="1662" w:hanging="793"/>
        <w:jc w:val="left"/>
        <w:rPr>
          <w:sz w:val="21"/>
        </w:rPr>
      </w:pPr>
      <w:r>
        <w:rPr>
          <w:w w:val="105"/>
          <w:sz w:val="21"/>
        </w:rPr>
        <w:t>An </w:t>
      </w:r>
      <w:r>
        <w:rPr>
          <w:spacing w:val="-3"/>
          <w:w w:val="105"/>
          <w:sz w:val="21"/>
        </w:rPr>
        <w:t>appropriate balance could </w:t>
      </w:r>
      <w:r>
        <w:rPr>
          <w:w w:val="105"/>
          <w:sz w:val="21"/>
        </w:rPr>
        <w:t>be </w:t>
      </w:r>
      <w:r>
        <w:rPr>
          <w:spacing w:val="-3"/>
          <w:w w:val="105"/>
          <w:sz w:val="21"/>
        </w:rPr>
        <w:t>achieved </w:t>
      </w:r>
      <w:r>
        <w:rPr>
          <w:w w:val="105"/>
          <w:sz w:val="21"/>
        </w:rPr>
        <w:t>by adopting the approach </w:t>
      </w:r>
      <w:r>
        <w:rPr>
          <w:spacing w:val="-3"/>
          <w:w w:val="105"/>
          <w:sz w:val="21"/>
        </w:rPr>
        <w:t>taken </w:t>
      </w:r>
      <w:r>
        <w:rPr>
          <w:w w:val="105"/>
          <w:sz w:val="21"/>
        </w:rPr>
        <w:t>by the NSWLEC in </w:t>
      </w:r>
      <w:r>
        <w:rPr>
          <w:spacing w:val="-3"/>
          <w:w w:val="105"/>
          <w:sz w:val="21"/>
        </w:rPr>
        <w:t>relation to </w:t>
      </w:r>
      <w:r>
        <w:rPr>
          <w:w w:val="105"/>
          <w:sz w:val="21"/>
        </w:rPr>
        <w:t>the </w:t>
      </w:r>
      <w:r>
        <w:rPr>
          <w:spacing w:val="-3"/>
          <w:w w:val="105"/>
          <w:sz w:val="21"/>
        </w:rPr>
        <w:t>planning </w:t>
      </w:r>
      <w:r>
        <w:rPr>
          <w:w w:val="105"/>
          <w:sz w:val="21"/>
        </w:rPr>
        <w:t>policies of local </w:t>
      </w:r>
      <w:r>
        <w:rPr>
          <w:spacing w:val="-3"/>
          <w:w w:val="105"/>
          <w:sz w:val="21"/>
        </w:rPr>
        <w:t>councils. </w:t>
      </w:r>
      <w:r>
        <w:rPr>
          <w:w w:val="105"/>
          <w:sz w:val="21"/>
        </w:rPr>
        <w:t>This approach would </w:t>
      </w:r>
      <w:r>
        <w:rPr>
          <w:spacing w:val="-3"/>
          <w:w w:val="105"/>
          <w:sz w:val="21"/>
        </w:rPr>
        <w:t>enable </w:t>
      </w:r>
      <w:r>
        <w:rPr>
          <w:w w:val="105"/>
          <w:sz w:val="21"/>
        </w:rPr>
        <w:t>a decision-making body </w:t>
      </w:r>
      <w:r>
        <w:rPr>
          <w:spacing w:val="-3"/>
          <w:w w:val="105"/>
          <w:sz w:val="21"/>
        </w:rPr>
        <w:t>to </w:t>
      </w:r>
      <w:r>
        <w:rPr>
          <w:w w:val="105"/>
          <w:sz w:val="21"/>
        </w:rPr>
        <w:t>override local laws cautiously and on a case-by-case basis </w:t>
      </w:r>
      <w:r>
        <w:rPr>
          <w:spacing w:val="-3"/>
          <w:w w:val="105"/>
          <w:sz w:val="21"/>
        </w:rPr>
        <w:t>through </w:t>
      </w:r>
      <w:r>
        <w:rPr>
          <w:w w:val="105"/>
          <w:sz w:val="21"/>
        </w:rPr>
        <w:t>adoption of the </w:t>
      </w:r>
      <w:r>
        <w:rPr>
          <w:spacing w:val="-3"/>
          <w:w w:val="105"/>
          <w:sz w:val="21"/>
        </w:rPr>
        <w:t>following</w:t>
      </w:r>
      <w:r>
        <w:rPr>
          <w:spacing w:val="31"/>
          <w:w w:val="105"/>
          <w:sz w:val="21"/>
        </w:rPr>
        <w:t> </w:t>
      </w:r>
      <w:r>
        <w:rPr>
          <w:spacing w:val="-3"/>
          <w:w w:val="105"/>
          <w:sz w:val="21"/>
        </w:rPr>
        <w:t>safeguards:</w:t>
      </w:r>
    </w:p>
    <w:p>
      <w:pPr>
        <w:pStyle w:val="ListParagraph"/>
        <w:numPr>
          <w:ilvl w:val="1"/>
          <w:numId w:val="173"/>
        </w:numPr>
        <w:tabs>
          <w:tab w:pos="2721" w:val="left" w:leader="none"/>
          <w:tab w:pos="2722" w:val="left" w:leader="none"/>
        </w:tabs>
        <w:spacing w:line="240" w:lineRule="auto" w:before="124" w:after="0"/>
        <w:ind w:left="2721" w:right="0" w:hanging="341"/>
        <w:jc w:val="left"/>
        <w:rPr>
          <w:sz w:val="21"/>
        </w:rPr>
      </w:pPr>
      <w:r>
        <w:rPr>
          <w:spacing w:val="-3"/>
          <w:w w:val="105"/>
          <w:sz w:val="21"/>
        </w:rPr>
        <w:t>affording ‘significant </w:t>
      </w:r>
      <w:r>
        <w:rPr>
          <w:w w:val="105"/>
          <w:sz w:val="21"/>
        </w:rPr>
        <w:t>weight’ </w:t>
      </w:r>
      <w:r>
        <w:rPr>
          <w:spacing w:val="-3"/>
          <w:w w:val="105"/>
          <w:sz w:val="21"/>
        </w:rPr>
        <w:t>to </w:t>
      </w:r>
      <w:r>
        <w:rPr>
          <w:w w:val="105"/>
          <w:sz w:val="21"/>
        </w:rPr>
        <w:t>local laws and policies in </w:t>
      </w:r>
      <w:r>
        <w:rPr>
          <w:spacing w:val="-3"/>
          <w:w w:val="105"/>
          <w:sz w:val="21"/>
        </w:rPr>
        <w:t>place to </w:t>
      </w:r>
      <w:r>
        <w:rPr>
          <w:w w:val="105"/>
          <w:sz w:val="21"/>
        </w:rPr>
        <w:t>protect vegetation</w:t>
      </w:r>
    </w:p>
    <w:p>
      <w:pPr>
        <w:pStyle w:val="ListParagraph"/>
        <w:numPr>
          <w:ilvl w:val="1"/>
          <w:numId w:val="173"/>
        </w:numPr>
        <w:tabs>
          <w:tab w:pos="2721" w:val="left" w:leader="none"/>
          <w:tab w:pos="2722" w:val="left" w:leader="none"/>
        </w:tabs>
        <w:spacing w:line="240" w:lineRule="auto" w:before="89" w:after="0"/>
        <w:ind w:left="2721" w:right="0" w:hanging="341"/>
        <w:jc w:val="left"/>
        <w:rPr>
          <w:sz w:val="21"/>
        </w:rPr>
      </w:pPr>
      <w:r>
        <w:rPr>
          <w:w w:val="105"/>
          <w:sz w:val="21"/>
        </w:rPr>
        <w:t>notifying local </w:t>
      </w:r>
      <w:r>
        <w:rPr>
          <w:spacing w:val="-3"/>
          <w:w w:val="105"/>
          <w:sz w:val="21"/>
        </w:rPr>
        <w:t>councils </w:t>
      </w:r>
      <w:r>
        <w:rPr>
          <w:w w:val="105"/>
          <w:sz w:val="21"/>
        </w:rPr>
        <w:t>of </w:t>
      </w:r>
      <w:r>
        <w:rPr>
          <w:spacing w:val="-3"/>
          <w:w w:val="105"/>
          <w:sz w:val="21"/>
        </w:rPr>
        <w:t>applications</w:t>
      </w:r>
      <w:r>
        <w:rPr>
          <w:spacing w:val="28"/>
          <w:w w:val="105"/>
          <w:sz w:val="21"/>
        </w:rPr>
        <w:t> </w:t>
      </w:r>
      <w:r>
        <w:rPr>
          <w:w w:val="105"/>
          <w:sz w:val="21"/>
        </w:rPr>
        <w:t>made</w:t>
      </w:r>
    </w:p>
    <w:p>
      <w:pPr>
        <w:pStyle w:val="ListParagraph"/>
        <w:numPr>
          <w:ilvl w:val="1"/>
          <w:numId w:val="173"/>
        </w:numPr>
        <w:tabs>
          <w:tab w:pos="2721" w:val="left" w:leader="none"/>
          <w:tab w:pos="2722" w:val="left" w:leader="none"/>
        </w:tabs>
        <w:spacing w:line="240" w:lineRule="auto" w:before="89" w:after="0"/>
        <w:ind w:left="2721" w:right="0" w:hanging="341"/>
        <w:jc w:val="left"/>
        <w:rPr>
          <w:sz w:val="21"/>
        </w:rPr>
      </w:pPr>
      <w:r>
        <w:rPr>
          <w:spacing w:val="-3"/>
          <w:sz w:val="21"/>
        </w:rPr>
        <w:t>enabling</w:t>
      </w:r>
      <w:r>
        <w:rPr>
          <w:spacing w:val="9"/>
          <w:sz w:val="21"/>
        </w:rPr>
        <w:t> </w:t>
      </w:r>
      <w:r>
        <w:rPr>
          <w:sz w:val="21"/>
        </w:rPr>
        <w:t>local</w:t>
      </w:r>
      <w:r>
        <w:rPr>
          <w:spacing w:val="10"/>
          <w:sz w:val="21"/>
        </w:rPr>
        <w:t> </w:t>
      </w:r>
      <w:r>
        <w:rPr>
          <w:spacing w:val="-3"/>
          <w:sz w:val="21"/>
        </w:rPr>
        <w:t>council</w:t>
      </w:r>
      <w:r>
        <w:rPr>
          <w:spacing w:val="10"/>
          <w:sz w:val="21"/>
        </w:rPr>
        <w:t> </w:t>
      </w:r>
      <w:r>
        <w:rPr>
          <w:spacing w:val="-3"/>
          <w:sz w:val="21"/>
        </w:rPr>
        <w:t>to</w:t>
      </w:r>
      <w:r>
        <w:rPr>
          <w:spacing w:val="9"/>
          <w:sz w:val="21"/>
        </w:rPr>
        <w:t> </w:t>
      </w:r>
      <w:r>
        <w:rPr>
          <w:sz w:val="21"/>
        </w:rPr>
        <w:t>appear</w:t>
      </w:r>
      <w:r>
        <w:rPr>
          <w:spacing w:val="10"/>
          <w:sz w:val="21"/>
        </w:rPr>
        <w:t> </w:t>
      </w:r>
      <w:r>
        <w:rPr>
          <w:sz w:val="21"/>
        </w:rPr>
        <w:t>at</w:t>
      </w:r>
      <w:r>
        <w:rPr>
          <w:spacing w:val="10"/>
          <w:sz w:val="21"/>
        </w:rPr>
        <w:t> </w:t>
      </w:r>
      <w:r>
        <w:rPr>
          <w:sz w:val="21"/>
        </w:rPr>
        <w:t>tree</w:t>
      </w:r>
      <w:r>
        <w:rPr>
          <w:spacing w:val="9"/>
          <w:sz w:val="21"/>
        </w:rPr>
        <w:t> </w:t>
      </w:r>
      <w:r>
        <w:rPr>
          <w:spacing w:val="-3"/>
          <w:sz w:val="21"/>
        </w:rPr>
        <w:t>dispute</w:t>
      </w:r>
      <w:r>
        <w:rPr>
          <w:spacing w:val="10"/>
          <w:sz w:val="21"/>
        </w:rPr>
        <w:t> </w:t>
      </w:r>
      <w:r>
        <w:rPr>
          <w:spacing w:val="-3"/>
          <w:sz w:val="21"/>
        </w:rPr>
        <w:t>hearings.</w:t>
      </w:r>
    </w:p>
    <w:p>
      <w:pPr>
        <w:pStyle w:val="ListParagraph"/>
        <w:numPr>
          <w:ilvl w:val="0"/>
          <w:numId w:val="173"/>
        </w:numPr>
        <w:tabs>
          <w:tab w:pos="2382" w:val="left" w:leader="none"/>
        </w:tabs>
        <w:spacing w:line="242" w:lineRule="auto" w:before="88" w:after="0"/>
        <w:ind w:left="2381" w:right="1710" w:hanging="794"/>
        <w:jc w:val="left"/>
        <w:rPr>
          <w:sz w:val="21"/>
        </w:rPr>
      </w:pPr>
      <w:r>
        <w:rPr>
          <w:w w:val="105"/>
          <w:sz w:val="21"/>
        </w:rPr>
        <w:t>This</w:t>
      </w:r>
      <w:r>
        <w:rPr>
          <w:spacing w:val="-8"/>
          <w:w w:val="105"/>
          <w:sz w:val="21"/>
        </w:rPr>
        <w:t> </w:t>
      </w:r>
      <w:r>
        <w:rPr>
          <w:w w:val="105"/>
          <w:sz w:val="21"/>
        </w:rPr>
        <w:t>approach</w:t>
      </w:r>
      <w:r>
        <w:rPr>
          <w:spacing w:val="-8"/>
          <w:w w:val="105"/>
          <w:sz w:val="21"/>
        </w:rPr>
        <w:t> </w:t>
      </w:r>
      <w:r>
        <w:rPr>
          <w:w w:val="105"/>
          <w:sz w:val="21"/>
        </w:rPr>
        <w:t>is</w:t>
      </w:r>
      <w:r>
        <w:rPr>
          <w:spacing w:val="-7"/>
          <w:w w:val="105"/>
          <w:sz w:val="21"/>
        </w:rPr>
        <w:t> </w:t>
      </w:r>
      <w:r>
        <w:rPr>
          <w:spacing w:val="-3"/>
          <w:w w:val="105"/>
          <w:sz w:val="21"/>
        </w:rPr>
        <w:t>appropriate</w:t>
      </w:r>
      <w:r>
        <w:rPr>
          <w:spacing w:val="-8"/>
          <w:w w:val="105"/>
          <w:sz w:val="21"/>
        </w:rPr>
        <w:t> </w:t>
      </w:r>
      <w:r>
        <w:rPr>
          <w:w w:val="105"/>
          <w:sz w:val="21"/>
        </w:rPr>
        <w:t>given</w:t>
      </w:r>
      <w:r>
        <w:rPr>
          <w:spacing w:val="-8"/>
          <w:w w:val="105"/>
          <w:sz w:val="21"/>
        </w:rPr>
        <w:t> </w:t>
      </w:r>
      <w:r>
        <w:rPr>
          <w:w w:val="105"/>
          <w:sz w:val="21"/>
        </w:rPr>
        <w:t>the</w:t>
      </w:r>
      <w:r>
        <w:rPr>
          <w:spacing w:val="-7"/>
          <w:w w:val="105"/>
          <w:sz w:val="21"/>
        </w:rPr>
        <w:t> </w:t>
      </w:r>
      <w:r>
        <w:rPr>
          <w:spacing w:val="-3"/>
          <w:w w:val="105"/>
          <w:sz w:val="21"/>
        </w:rPr>
        <w:t>nature</w:t>
      </w:r>
      <w:r>
        <w:rPr>
          <w:spacing w:val="-8"/>
          <w:w w:val="105"/>
          <w:sz w:val="21"/>
        </w:rPr>
        <w:t> </w:t>
      </w:r>
      <w:r>
        <w:rPr>
          <w:w w:val="105"/>
          <w:sz w:val="21"/>
        </w:rPr>
        <w:t>of</w:t>
      </w:r>
      <w:r>
        <w:rPr>
          <w:spacing w:val="-8"/>
          <w:w w:val="105"/>
          <w:sz w:val="21"/>
        </w:rPr>
        <w:t> </w:t>
      </w:r>
      <w:r>
        <w:rPr>
          <w:w w:val="105"/>
          <w:sz w:val="21"/>
        </w:rPr>
        <w:t>local</w:t>
      </w:r>
      <w:r>
        <w:rPr>
          <w:spacing w:val="-7"/>
          <w:w w:val="105"/>
          <w:sz w:val="21"/>
        </w:rPr>
        <w:t> </w:t>
      </w:r>
      <w:r>
        <w:rPr>
          <w:w w:val="105"/>
          <w:sz w:val="21"/>
        </w:rPr>
        <w:t>laws:</w:t>
      </w:r>
      <w:r>
        <w:rPr>
          <w:spacing w:val="-8"/>
          <w:w w:val="105"/>
          <w:sz w:val="21"/>
        </w:rPr>
        <w:t> </w:t>
      </w:r>
      <w:r>
        <w:rPr>
          <w:w w:val="105"/>
          <w:sz w:val="21"/>
        </w:rPr>
        <w:t>decisions</w:t>
      </w:r>
      <w:r>
        <w:rPr>
          <w:spacing w:val="-8"/>
          <w:w w:val="105"/>
          <w:sz w:val="21"/>
        </w:rPr>
        <w:t> </w:t>
      </w:r>
      <w:r>
        <w:rPr>
          <w:spacing w:val="-3"/>
          <w:w w:val="105"/>
          <w:sz w:val="21"/>
        </w:rPr>
        <w:t>are</w:t>
      </w:r>
      <w:r>
        <w:rPr>
          <w:spacing w:val="-7"/>
          <w:w w:val="105"/>
          <w:sz w:val="21"/>
        </w:rPr>
        <w:t> </w:t>
      </w:r>
      <w:r>
        <w:rPr>
          <w:spacing w:val="-3"/>
          <w:w w:val="105"/>
          <w:sz w:val="21"/>
        </w:rPr>
        <w:t>generally</w:t>
      </w:r>
      <w:r>
        <w:rPr>
          <w:spacing w:val="-8"/>
          <w:w w:val="105"/>
          <w:sz w:val="21"/>
        </w:rPr>
        <w:t> </w:t>
      </w:r>
      <w:r>
        <w:rPr>
          <w:w w:val="105"/>
          <w:sz w:val="21"/>
        </w:rPr>
        <w:t>made at the </w:t>
      </w:r>
      <w:r>
        <w:rPr>
          <w:spacing w:val="-3"/>
          <w:w w:val="105"/>
          <w:sz w:val="21"/>
        </w:rPr>
        <w:t>council </w:t>
      </w:r>
      <w:r>
        <w:rPr>
          <w:w w:val="105"/>
          <w:sz w:val="21"/>
        </w:rPr>
        <w:t>officer </w:t>
      </w:r>
      <w:r>
        <w:rPr>
          <w:spacing w:val="-3"/>
          <w:w w:val="105"/>
          <w:sz w:val="21"/>
        </w:rPr>
        <w:t>level, </w:t>
      </w:r>
      <w:r>
        <w:rPr>
          <w:w w:val="105"/>
          <w:sz w:val="21"/>
        </w:rPr>
        <w:t>there </w:t>
      </w:r>
      <w:r>
        <w:rPr>
          <w:spacing w:val="-3"/>
          <w:w w:val="105"/>
          <w:sz w:val="21"/>
        </w:rPr>
        <w:t>are </w:t>
      </w:r>
      <w:r>
        <w:rPr>
          <w:w w:val="105"/>
          <w:sz w:val="21"/>
        </w:rPr>
        <w:t>no appeal rights and no advertising </w:t>
      </w:r>
      <w:r>
        <w:rPr>
          <w:spacing w:val="-3"/>
          <w:w w:val="105"/>
          <w:sz w:val="21"/>
        </w:rPr>
        <w:t>requirements </w:t>
      </w:r>
      <w:r>
        <w:rPr>
          <w:w w:val="105"/>
          <w:sz w:val="21"/>
        </w:rPr>
        <w:t>under local laws. It would also respond </w:t>
      </w:r>
      <w:r>
        <w:rPr>
          <w:spacing w:val="-3"/>
          <w:w w:val="105"/>
          <w:sz w:val="21"/>
        </w:rPr>
        <w:t>to council concerns that </w:t>
      </w:r>
      <w:r>
        <w:rPr>
          <w:w w:val="105"/>
          <w:sz w:val="21"/>
        </w:rPr>
        <w:t>the </w:t>
      </w:r>
      <w:r>
        <w:rPr>
          <w:spacing w:val="-3"/>
          <w:w w:val="105"/>
          <w:sz w:val="21"/>
        </w:rPr>
        <w:t>interaction </w:t>
      </w:r>
      <w:r>
        <w:rPr>
          <w:w w:val="105"/>
          <w:sz w:val="21"/>
        </w:rPr>
        <w:t>of laws </w:t>
      </w:r>
      <w:r>
        <w:rPr>
          <w:spacing w:val="-2"/>
          <w:w w:val="105"/>
          <w:sz w:val="21"/>
        </w:rPr>
        <w:t>not</w:t>
      </w:r>
      <w:r>
        <w:rPr>
          <w:spacing w:val="-10"/>
          <w:w w:val="105"/>
          <w:sz w:val="21"/>
        </w:rPr>
        <w:t> </w:t>
      </w:r>
      <w:r>
        <w:rPr>
          <w:spacing w:val="-3"/>
          <w:w w:val="105"/>
          <w:sz w:val="21"/>
        </w:rPr>
        <w:t>limit</w:t>
      </w:r>
      <w:r>
        <w:rPr>
          <w:spacing w:val="-9"/>
          <w:w w:val="105"/>
          <w:sz w:val="21"/>
        </w:rPr>
        <w:t> </w:t>
      </w:r>
      <w:r>
        <w:rPr>
          <w:w w:val="105"/>
          <w:sz w:val="21"/>
        </w:rPr>
        <w:t>its</w:t>
      </w:r>
      <w:r>
        <w:rPr>
          <w:spacing w:val="-9"/>
          <w:w w:val="105"/>
          <w:sz w:val="21"/>
        </w:rPr>
        <w:t> </w:t>
      </w:r>
      <w:r>
        <w:rPr>
          <w:w w:val="105"/>
          <w:sz w:val="21"/>
        </w:rPr>
        <w:t>decision-making</w:t>
      </w:r>
      <w:r>
        <w:rPr>
          <w:spacing w:val="-9"/>
          <w:w w:val="105"/>
          <w:sz w:val="21"/>
        </w:rPr>
        <w:t> </w:t>
      </w:r>
      <w:r>
        <w:rPr>
          <w:w w:val="105"/>
          <w:sz w:val="21"/>
        </w:rPr>
        <w:t>authority</w:t>
      </w:r>
      <w:r>
        <w:rPr>
          <w:spacing w:val="-9"/>
          <w:w w:val="105"/>
          <w:sz w:val="21"/>
        </w:rPr>
        <w:t> </w:t>
      </w:r>
      <w:r>
        <w:rPr>
          <w:w w:val="105"/>
          <w:sz w:val="21"/>
        </w:rPr>
        <w:t>by</w:t>
      </w:r>
      <w:r>
        <w:rPr>
          <w:spacing w:val="-9"/>
          <w:w w:val="105"/>
          <w:sz w:val="21"/>
        </w:rPr>
        <w:t> </w:t>
      </w:r>
      <w:r>
        <w:rPr>
          <w:spacing w:val="-3"/>
          <w:w w:val="105"/>
          <w:sz w:val="21"/>
        </w:rPr>
        <w:t>involving</w:t>
      </w:r>
      <w:r>
        <w:rPr>
          <w:spacing w:val="-10"/>
          <w:w w:val="105"/>
          <w:sz w:val="21"/>
        </w:rPr>
        <w:t> </w:t>
      </w:r>
      <w:r>
        <w:rPr>
          <w:w w:val="105"/>
          <w:sz w:val="21"/>
        </w:rPr>
        <w:t>them</w:t>
      </w:r>
      <w:r>
        <w:rPr>
          <w:spacing w:val="-9"/>
          <w:w w:val="105"/>
          <w:sz w:val="21"/>
        </w:rPr>
        <w:t> </w:t>
      </w:r>
      <w:r>
        <w:rPr>
          <w:w w:val="105"/>
          <w:sz w:val="21"/>
        </w:rPr>
        <w:t>in</w:t>
      </w:r>
      <w:r>
        <w:rPr>
          <w:spacing w:val="-9"/>
          <w:w w:val="105"/>
          <w:sz w:val="21"/>
        </w:rPr>
        <w:t> </w:t>
      </w:r>
      <w:r>
        <w:rPr>
          <w:w w:val="105"/>
          <w:sz w:val="21"/>
        </w:rPr>
        <w:t>the</w:t>
      </w:r>
      <w:r>
        <w:rPr>
          <w:spacing w:val="-9"/>
          <w:w w:val="105"/>
          <w:sz w:val="21"/>
        </w:rPr>
        <w:t> </w:t>
      </w:r>
      <w:r>
        <w:rPr>
          <w:w w:val="105"/>
          <w:sz w:val="21"/>
        </w:rPr>
        <w:t>process</w:t>
      </w:r>
      <w:r>
        <w:rPr>
          <w:spacing w:val="-9"/>
          <w:w w:val="105"/>
          <w:sz w:val="21"/>
        </w:rPr>
        <w:t> </w:t>
      </w:r>
      <w:r>
        <w:rPr>
          <w:w w:val="105"/>
          <w:sz w:val="21"/>
        </w:rPr>
        <w:t>if</w:t>
      </w:r>
      <w:r>
        <w:rPr>
          <w:spacing w:val="-9"/>
          <w:w w:val="105"/>
          <w:sz w:val="21"/>
        </w:rPr>
        <w:t> </w:t>
      </w:r>
      <w:r>
        <w:rPr>
          <w:w w:val="105"/>
          <w:sz w:val="21"/>
        </w:rPr>
        <w:t>they</w:t>
      </w:r>
      <w:r>
        <w:rPr>
          <w:spacing w:val="-9"/>
          <w:w w:val="105"/>
          <w:sz w:val="21"/>
        </w:rPr>
        <w:t> </w:t>
      </w:r>
      <w:r>
        <w:rPr>
          <w:w w:val="105"/>
          <w:sz w:val="21"/>
        </w:rPr>
        <w:t>so</w:t>
      </w:r>
      <w:r>
        <w:rPr>
          <w:spacing w:val="-10"/>
          <w:w w:val="105"/>
          <w:sz w:val="21"/>
        </w:rPr>
        <w:t> </w:t>
      </w:r>
      <w:r>
        <w:rPr>
          <w:w w:val="105"/>
          <w:sz w:val="21"/>
        </w:rPr>
        <w:t>wished. The approach is </w:t>
      </w:r>
      <w:r>
        <w:rPr>
          <w:spacing w:val="-3"/>
          <w:w w:val="105"/>
          <w:sz w:val="21"/>
        </w:rPr>
        <w:t>generally consistent </w:t>
      </w:r>
      <w:r>
        <w:rPr>
          <w:w w:val="105"/>
          <w:sz w:val="21"/>
        </w:rPr>
        <w:t>with the </w:t>
      </w:r>
      <w:r>
        <w:rPr>
          <w:spacing w:val="-3"/>
          <w:w w:val="105"/>
          <w:sz w:val="21"/>
        </w:rPr>
        <w:t>submissions </w:t>
      </w:r>
      <w:r>
        <w:rPr>
          <w:w w:val="105"/>
          <w:sz w:val="21"/>
        </w:rPr>
        <w:t>received in </w:t>
      </w:r>
      <w:r>
        <w:rPr>
          <w:spacing w:val="-3"/>
          <w:w w:val="105"/>
          <w:sz w:val="21"/>
        </w:rPr>
        <w:t>relation to </w:t>
      </w:r>
      <w:r>
        <w:rPr>
          <w:w w:val="105"/>
          <w:sz w:val="21"/>
        </w:rPr>
        <w:t>this </w:t>
      </w:r>
      <w:r>
        <w:rPr>
          <w:spacing w:val="-4"/>
          <w:w w:val="105"/>
          <w:sz w:val="21"/>
        </w:rPr>
        <w:t>inquiry.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spacing w:before="1"/>
        <w:ind w:left="720" w:right="0" w:firstLine="0"/>
        <w:jc w:val="left"/>
        <w:rPr>
          <w:b/>
          <w:sz w:val="24"/>
        </w:rPr>
      </w:pPr>
      <w:r>
        <w:rPr/>
        <w:pict>
          <v:shape style="position:absolute;margin-left:79.363602pt;margin-top:-26.52562pt;width:436.55pt;height:39.65pt;mso-position-horizontal-relative:page;mso-position-vertical-relative:paragraph;z-index:1228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6"/>
                    <w:gridCol w:w="8226"/>
                  </w:tblGrid>
                  <w:tr>
                    <w:trPr>
                      <w:trHeight w:val="307" w:hRule="atLeast"/>
                    </w:trPr>
                    <w:tc>
                      <w:tcPr>
                        <w:tcW w:w="506" w:type="dxa"/>
                        <w:tcBorders>
                          <w:top w:val="single" w:sz="8" w:space="0" w:color="C9D2CB"/>
                        </w:tcBorders>
                      </w:tcPr>
                      <w:p>
                        <w:pPr>
                          <w:pStyle w:val="TableParagraph"/>
                          <w:spacing w:before="11"/>
                          <w:rPr>
                            <w:b/>
                            <w:sz w:val="11"/>
                          </w:rPr>
                        </w:pPr>
                      </w:p>
                      <w:p>
                        <w:pPr>
                          <w:pStyle w:val="TableParagraph"/>
                          <w:spacing w:line="141" w:lineRule="exact" w:before="1"/>
                          <w:rPr>
                            <w:sz w:val="13"/>
                          </w:rPr>
                        </w:pPr>
                        <w:r>
                          <w:rPr>
                            <w:w w:val="110"/>
                            <w:sz w:val="13"/>
                          </w:rPr>
                          <w:t>319</w:t>
                        </w:r>
                      </w:p>
                    </w:tc>
                    <w:tc>
                      <w:tcPr>
                        <w:tcW w:w="8226" w:type="dxa"/>
                        <w:tcBorders>
                          <w:top w:val="single" w:sz="8" w:space="0" w:color="C9D2CB"/>
                        </w:tcBorders>
                      </w:tcPr>
                      <w:p>
                        <w:pPr>
                          <w:pStyle w:val="TableParagraph"/>
                          <w:spacing w:before="11"/>
                          <w:rPr>
                            <w:b/>
                            <w:sz w:val="11"/>
                          </w:rPr>
                        </w:pPr>
                      </w:p>
                      <w:p>
                        <w:pPr>
                          <w:pStyle w:val="TableParagraph"/>
                          <w:spacing w:line="141" w:lineRule="exact" w:before="1"/>
                          <w:ind w:left="287"/>
                          <w:rPr>
                            <w:sz w:val="13"/>
                          </w:rPr>
                        </w:pPr>
                        <w:r>
                          <w:rPr>
                            <w:w w:val="105"/>
                            <w:sz w:val="13"/>
                          </w:rPr>
                          <w:t>See, eg, </w:t>
                        </w:r>
                        <w:r>
                          <w:rPr>
                            <w:i/>
                            <w:w w:val="105"/>
                            <w:sz w:val="13"/>
                          </w:rPr>
                          <w:t>Tree Protection Local Law 2016 (City of Boroondara) </w:t>
                        </w:r>
                        <w:r>
                          <w:rPr>
                            <w:w w:val="105"/>
                            <w:sz w:val="13"/>
                          </w:rPr>
                          <w:t>s 11(1), (2).</w:t>
                        </w:r>
                      </w:p>
                    </w:tc>
                  </w:tr>
                  <w:tr>
                    <w:trPr>
                      <w:trHeight w:val="159" w:hRule="atLeast"/>
                    </w:trPr>
                    <w:tc>
                      <w:tcPr>
                        <w:tcW w:w="506" w:type="dxa"/>
                      </w:tcPr>
                      <w:p>
                        <w:pPr>
                          <w:pStyle w:val="TableParagraph"/>
                          <w:spacing w:line="140" w:lineRule="exact"/>
                          <w:rPr>
                            <w:sz w:val="13"/>
                          </w:rPr>
                        </w:pPr>
                        <w:r>
                          <w:rPr>
                            <w:w w:val="110"/>
                            <w:sz w:val="13"/>
                          </w:rPr>
                          <w:t>320</w:t>
                        </w:r>
                      </w:p>
                    </w:tc>
                    <w:tc>
                      <w:tcPr>
                        <w:tcW w:w="8226" w:type="dxa"/>
                      </w:tcPr>
                      <w:p>
                        <w:pPr>
                          <w:pStyle w:val="TableParagraph"/>
                          <w:spacing w:line="140" w:lineRule="exact"/>
                          <w:ind w:left="287"/>
                          <w:rPr>
                            <w:sz w:val="13"/>
                          </w:rPr>
                        </w:pPr>
                        <w:r>
                          <w:rPr>
                            <w:w w:val="105"/>
                            <w:sz w:val="13"/>
                          </w:rPr>
                          <w:t>Consultation 11 (Land and Environment Court of New South Wales).</w:t>
                        </w:r>
                      </w:p>
                    </w:tc>
                  </w:tr>
                  <w:tr>
                    <w:trPr>
                      <w:trHeight w:val="160" w:hRule="atLeast"/>
                    </w:trPr>
                    <w:tc>
                      <w:tcPr>
                        <w:tcW w:w="506" w:type="dxa"/>
                      </w:tcPr>
                      <w:p>
                        <w:pPr>
                          <w:pStyle w:val="TableParagraph"/>
                          <w:spacing w:line="140" w:lineRule="exact"/>
                          <w:rPr>
                            <w:sz w:val="13"/>
                          </w:rPr>
                        </w:pPr>
                        <w:r>
                          <w:rPr>
                            <w:w w:val="110"/>
                            <w:sz w:val="13"/>
                          </w:rPr>
                          <w:t>321</w:t>
                        </w:r>
                      </w:p>
                    </w:tc>
                    <w:tc>
                      <w:tcPr>
                        <w:tcW w:w="8226" w:type="dxa"/>
                      </w:tcPr>
                      <w:p>
                        <w:pPr>
                          <w:pStyle w:val="TableParagraph"/>
                          <w:spacing w:line="140" w:lineRule="exact"/>
                          <w:ind w:left="287"/>
                          <w:rPr>
                            <w:sz w:val="13"/>
                          </w:rPr>
                        </w:pPr>
                        <w:r>
                          <w:rPr>
                            <w:i/>
                            <w:w w:val="105"/>
                            <w:sz w:val="13"/>
                          </w:rPr>
                          <w:t>Haindl v Daisch </w:t>
                        </w:r>
                        <w:r>
                          <w:rPr>
                            <w:w w:val="105"/>
                            <w:sz w:val="13"/>
                          </w:rPr>
                          <w:t>[2011] NSWLEC 1145.</w:t>
                        </w:r>
                      </w:p>
                    </w:tc>
                  </w:tr>
                  <w:tr>
                    <w:trPr>
                      <w:trHeight w:val="155" w:hRule="atLeast"/>
                    </w:trPr>
                    <w:tc>
                      <w:tcPr>
                        <w:tcW w:w="506" w:type="dxa"/>
                      </w:tcPr>
                      <w:p>
                        <w:pPr>
                          <w:pStyle w:val="TableParagraph"/>
                          <w:spacing w:line="135" w:lineRule="exact"/>
                          <w:rPr>
                            <w:sz w:val="13"/>
                          </w:rPr>
                        </w:pPr>
                        <w:r>
                          <w:rPr>
                            <w:w w:val="110"/>
                            <w:sz w:val="13"/>
                          </w:rPr>
                          <w:t>322</w:t>
                        </w:r>
                      </w:p>
                    </w:tc>
                    <w:tc>
                      <w:tcPr>
                        <w:tcW w:w="8226" w:type="dxa"/>
                      </w:tcPr>
                      <w:p>
                        <w:pPr>
                          <w:pStyle w:val="TableParagraph"/>
                          <w:spacing w:line="135" w:lineRule="exact"/>
                          <w:ind w:left="287"/>
                          <w:rPr>
                            <w:sz w:val="13"/>
                          </w:rPr>
                        </w:pPr>
                        <w:r>
                          <w:rPr>
                            <w:w w:val="105"/>
                            <w:sz w:val="13"/>
                          </w:rPr>
                          <w:t>[2011] NSWLEC 1145.</w:t>
                        </w:r>
                      </w:p>
                    </w:tc>
                  </w:tr>
                </w:tbl>
                <w:p>
                  <w:pPr>
                    <w:pStyle w:val="BodyText"/>
                  </w:pPr>
                </w:p>
              </w:txbxContent>
            </v:textbox>
            <w10:wrap type="none"/>
          </v:shape>
        </w:pict>
      </w:r>
      <w:r>
        <w:rPr>
          <w:b/>
          <w:color w:val="658464"/>
          <w:w w:val="110"/>
          <w:sz w:val="24"/>
        </w:rPr>
        <w:t>252</w:t>
      </w:r>
    </w:p>
    <w:p>
      <w:pPr>
        <w:spacing w:after="0"/>
        <w:jc w:val="left"/>
        <w:rPr>
          <w:sz w:val="24"/>
        </w:rPr>
        <w:sectPr>
          <w:pgSz w:w="11910" w:h="16840"/>
          <w:pgMar w:header="546" w:footer="0" w:top="1560" w:bottom="280" w:left="0" w:right="0"/>
        </w:sectPr>
      </w:pPr>
    </w:p>
    <w:p>
      <w:pPr>
        <w:pStyle w:val="BodyText"/>
        <w:rPr>
          <w:b/>
          <w:sz w:val="20"/>
        </w:rPr>
      </w:pPr>
    </w:p>
    <w:p>
      <w:pPr>
        <w:pStyle w:val="BodyText"/>
        <w:spacing w:before="9"/>
        <w:rPr>
          <w:b/>
          <w:sz w:val="18"/>
        </w:rPr>
      </w:pPr>
    </w:p>
    <w:p>
      <w:pPr>
        <w:pStyle w:val="ListParagraph"/>
        <w:numPr>
          <w:ilvl w:val="0"/>
          <w:numId w:val="173"/>
        </w:numPr>
        <w:tabs>
          <w:tab w:pos="2381" w:val="left" w:leader="none"/>
          <w:tab w:pos="2382" w:val="left" w:leader="none"/>
        </w:tabs>
        <w:spacing w:line="242" w:lineRule="auto" w:before="91" w:after="0"/>
        <w:ind w:left="2381" w:right="1584" w:hanging="794"/>
        <w:jc w:val="left"/>
        <w:rPr>
          <w:sz w:val="21"/>
        </w:rPr>
      </w:pPr>
      <w:bookmarkStart w:name="_bookmark137" w:id="293"/>
      <w:bookmarkEnd w:id="293"/>
      <w:r>
        <w:rPr/>
      </w:r>
      <w:bookmarkStart w:name="_bookmark137" w:id="294"/>
      <w:bookmarkEnd w:id="294"/>
      <w:r>
        <w:rPr>
          <w:w w:val="105"/>
          <w:sz w:val="21"/>
        </w:rPr>
        <w:t>I</w:t>
      </w:r>
      <w:r>
        <w:rPr>
          <w:w w:val="105"/>
          <w:sz w:val="21"/>
        </w:rPr>
        <w:t>n </w:t>
      </w:r>
      <w:r>
        <w:rPr>
          <w:spacing w:val="-4"/>
          <w:w w:val="105"/>
          <w:sz w:val="21"/>
        </w:rPr>
        <w:t>Chapter </w:t>
      </w:r>
      <w:r>
        <w:rPr>
          <w:w w:val="105"/>
          <w:sz w:val="21"/>
        </w:rPr>
        <w:t>5 it was recommended </w:t>
      </w:r>
      <w:r>
        <w:rPr>
          <w:spacing w:val="-3"/>
          <w:w w:val="105"/>
          <w:sz w:val="21"/>
        </w:rPr>
        <w:t>that </w:t>
      </w:r>
      <w:r>
        <w:rPr>
          <w:w w:val="105"/>
          <w:sz w:val="21"/>
        </w:rPr>
        <w:t>the </w:t>
      </w:r>
      <w:r>
        <w:rPr>
          <w:spacing w:val="-3"/>
          <w:w w:val="105"/>
          <w:sz w:val="21"/>
        </w:rPr>
        <w:t>initiating </w:t>
      </w:r>
      <w:r>
        <w:rPr>
          <w:spacing w:val="-5"/>
          <w:w w:val="105"/>
          <w:sz w:val="21"/>
        </w:rPr>
        <w:t>VCAT </w:t>
      </w:r>
      <w:r>
        <w:rPr>
          <w:w w:val="105"/>
          <w:sz w:val="21"/>
        </w:rPr>
        <w:t>application </w:t>
      </w:r>
      <w:r>
        <w:rPr>
          <w:spacing w:val="-3"/>
          <w:w w:val="105"/>
          <w:sz w:val="21"/>
        </w:rPr>
        <w:t>form </w:t>
      </w:r>
      <w:r>
        <w:rPr>
          <w:w w:val="105"/>
          <w:sz w:val="21"/>
        </w:rPr>
        <w:t>should </w:t>
      </w:r>
      <w:r>
        <w:rPr>
          <w:spacing w:val="-3"/>
          <w:w w:val="105"/>
          <w:sz w:val="21"/>
        </w:rPr>
        <w:t>require </w:t>
      </w:r>
      <w:r>
        <w:rPr>
          <w:w w:val="105"/>
          <w:sz w:val="21"/>
        </w:rPr>
        <w:t>an </w:t>
      </w:r>
      <w:r>
        <w:rPr>
          <w:spacing w:val="-3"/>
          <w:w w:val="105"/>
          <w:sz w:val="21"/>
        </w:rPr>
        <w:t>applicant to </w:t>
      </w:r>
      <w:r>
        <w:rPr>
          <w:w w:val="105"/>
          <w:sz w:val="21"/>
        </w:rPr>
        <w:t>provide </w:t>
      </w:r>
      <w:r>
        <w:rPr>
          <w:spacing w:val="-3"/>
          <w:w w:val="105"/>
          <w:sz w:val="21"/>
        </w:rPr>
        <w:t>information </w:t>
      </w:r>
      <w:r>
        <w:rPr>
          <w:w w:val="105"/>
          <w:sz w:val="21"/>
        </w:rPr>
        <w:t>about </w:t>
      </w:r>
      <w:r>
        <w:rPr>
          <w:spacing w:val="-3"/>
          <w:w w:val="105"/>
          <w:sz w:val="21"/>
        </w:rPr>
        <w:t>any requirements </w:t>
      </w:r>
      <w:r>
        <w:rPr>
          <w:w w:val="105"/>
          <w:sz w:val="21"/>
        </w:rPr>
        <w:t>affecting the</w:t>
      </w:r>
      <w:r>
        <w:rPr>
          <w:spacing w:val="1"/>
          <w:w w:val="105"/>
          <w:sz w:val="21"/>
        </w:rPr>
        <w:t> </w:t>
      </w:r>
      <w:r>
        <w:rPr>
          <w:spacing w:val="-3"/>
          <w:w w:val="105"/>
          <w:sz w:val="21"/>
        </w:rPr>
        <w:t>management</w:t>
      </w:r>
    </w:p>
    <w:p>
      <w:pPr>
        <w:pStyle w:val="BodyText"/>
        <w:spacing w:line="242" w:lineRule="auto" w:before="3"/>
        <w:ind w:left="2381" w:right="1636"/>
      </w:pPr>
      <w:r>
        <w:rPr>
          <w:w w:val="105"/>
        </w:rPr>
        <w:t>of the tree under other laws, </w:t>
      </w:r>
      <w:r>
        <w:rPr>
          <w:spacing w:val="-3"/>
          <w:w w:val="105"/>
        </w:rPr>
        <w:t>including </w:t>
      </w:r>
      <w:r>
        <w:rPr>
          <w:w w:val="105"/>
        </w:rPr>
        <w:t>local laws. This </w:t>
      </w:r>
      <w:r>
        <w:rPr>
          <w:spacing w:val="-3"/>
          <w:w w:val="105"/>
        </w:rPr>
        <w:t>will </w:t>
      </w:r>
      <w:r>
        <w:rPr>
          <w:w w:val="105"/>
        </w:rPr>
        <w:t>assist</w:t>
      </w:r>
      <w:r>
        <w:rPr>
          <w:spacing w:val="-5"/>
          <w:w w:val="105"/>
        </w:rPr>
        <w:t> VCAT </w:t>
      </w:r>
      <w:r>
        <w:rPr>
          <w:spacing w:val="-3"/>
          <w:w w:val="105"/>
        </w:rPr>
        <w:t>to </w:t>
      </w:r>
      <w:r>
        <w:rPr>
          <w:w w:val="105"/>
        </w:rPr>
        <w:t>identify issues </w:t>
      </w:r>
      <w:r>
        <w:rPr>
          <w:spacing w:val="-3"/>
          <w:w w:val="105"/>
        </w:rPr>
        <w:t>involving </w:t>
      </w:r>
      <w:r>
        <w:rPr>
          <w:w w:val="105"/>
        </w:rPr>
        <w:t>local laws </w:t>
      </w:r>
      <w:r>
        <w:rPr>
          <w:spacing w:val="-4"/>
          <w:w w:val="105"/>
        </w:rPr>
        <w:t>early.</w:t>
      </w:r>
    </w:p>
    <w:p>
      <w:pPr>
        <w:pStyle w:val="BodyText"/>
        <w:spacing w:before="2"/>
        <w:rPr>
          <w:sz w:val="23"/>
        </w:rPr>
      </w:pPr>
      <w:r>
        <w:rPr/>
        <w:pict>
          <v:group style="position:absolute;margin-left:62.362202pt;margin-top:16.104013pt;width:479.1pt;height:192.4pt;mso-position-horizontal-relative:page;mso-position-vertical-relative:paragraph;z-index:10304;mso-wrap-distance-left:0;mso-wrap-distance-right:0" coordorigin="1247,322" coordsize="9582,3848">
            <v:rect style="position:absolute;left:1587;top:322;width:8731;height:3848" filled="true" fillcolor="#dbe0dd" stroked="false">
              <v:fill type="solid"/>
            </v:rect>
            <v:line style="position:absolute" from="1247,1069" to="10828,1069" stroked="true" strokeweight="2.5pt" strokecolor="#ffffff">
              <v:stroke dashstyle="solid"/>
            </v:line>
            <v:shape style="position:absolute;left:1587;top:1093;width:8731;height:3076" type="#_x0000_t202" filled="true" fillcolor="#dbe0dd" stroked="false">
              <v:textbox inset="0,0,0,0">
                <w:txbxContent>
                  <w:p>
                    <w:pPr>
                      <w:numPr>
                        <w:ilvl w:val="0"/>
                        <w:numId w:val="184"/>
                      </w:numPr>
                      <w:tabs>
                        <w:tab w:pos="793" w:val="left" w:leader="none"/>
                        <w:tab w:pos="794" w:val="left" w:leader="none"/>
                      </w:tabs>
                      <w:spacing w:line="242" w:lineRule="auto" w:before="208"/>
                      <w:ind w:left="793" w:right="763" w:hanging="567"/>
                      <w:jc w:val="left"/>
                      <w:rPr>
                        <w:sz w:val="21"/>
                      </w:rPr>
                    </w:pPr>
                    <w:r>
                      <w:rPr>
                        <w:w w:val="115"/>
                        <w:sz w:val="21"/>
                      </w:rPr>
                      <w:t>Orders under the Act should </w:t>
                    </w:r>
                    <w:r>
                      <w:rPr>
                        <w:spacing w:val="-3"/>
                        <w:w w:val="115"/>
                        <w:sz w:val="21"/>
                      </w:rPr>
                      <w:t>have </w:t>
                    </w:r>
                    <w:r>
                      <w:rPr>
                        <w:w w:val="115"/>
                        <w:sz w:val="21"/>
                      </w:rPr>
                      <w:t>effect regardless of requirements for consent</w:t>
                    </w:r>
                    <w:r>
                      <w:rPr>
                        <w:spacing w:val="-10"/>
                        <w:w w:val="115"/>
                        <w:sz w:val="21"/>
                      </w:rPr>
                      <w:t> </w:t>
                    </w:r>
                    <w:r>
                      <w:rPr>
                        <w:w w:val="115"/>
                        <w:sz w:val="21"/>
                      </w:rPr>
                      <w:t>or</w:t>
                    </w:r>
                    <w:r>
                      <w:rPr>
                        <w:spacing w:val="-10"/>
                        <w:w w:val="115"/>
                        <w:sz w:val="21"/>
                      </w:rPr>
                      <w:t> </w:t>
                    </w:r>
                    <w:r>
                      <w:rPr>
                        <w:w w:val="115"/>
                        <w:sz w:val="21"/>
                      </w:rPr>
                      <w:t>authorisation</w:t>
                    </w:r>
                    <w:r>
                      <w:rPr>
                        <w:spacing w:val="-9"/>
                        <w:w w:val="115"/>
                        <w:sz w:val="21"/>
                      </w:rPr>
                      <w:t> </w:t>
                    </w:r>
                    <w:r>
                      <w:rPr>
                        <w:w w:val="115"/>
                        <w:sz w:val="21"/>
                      </w:rPr>
                      <w:t>under</w:t>
                    </w:r>
                    <w:r>
                      <w:rPr>
                        <w:spacing w:val="-10"/>
                        <w:w w:val="115"/>
                        <w:sz w:val="21"/>
                      </w:rPr>
                      <w:t> </w:t>
                    </w:r>
                    <w:r>
                      <w:rPr>
                        <w:w w:val="115"/>
                        <w:sz w:val="21"/>
                      </w:rPr>
                      <w:t>local</w:t>
                    </w:r>
                    <w:r>
                      <w:rPr>
                        <w:spacing w:val="-10"/>
                        <w:w w:val="115"/>
                        <w:sz w:val="21"/>
                      </w:rPr>
                      <w:t> </w:t>
                    </w:r>
                    <w:r>
                      <w:rPr>
                        <w:w w:val="115"/>
                        <w:sz w:val="21"/>
                      </w:rPr>
                      <w:t>tree</w:t>
                    </w:r>
                    <w:r>
                      <w:rPr>
                        <w:spacing w:val="-9"/>
                        <w:w w:val="115"/>
                        <w:sz w:val="21"/>
                      </w:rPr>
                      <w:t> </w:t>
                    </w:r>
                    <w:r>
                      <w:rPr>
                        <w:w w:val="115"/>
                        <w:sz w:val="21"/>
                      </w:rPr>
                      <w:t>protection</w:t>
                    </w:r>
                    <w:r>
                      <w:rPr>
                        <w:spacing w:val="-10"/>
                        <w:w w:val="115"/>
                        <w:sz w:val="21"/>
                      </w:rPr>
                      <w:t> </w:t>
                    </w:r>
                    <w:r>
                      <w:rPr>
                        <w:w w:val="115"/>
                        <w:sz w:val="21"/>
                      </w:rPr>
                      <w:t>laws</w:t>
                    </w:r>
                    <w:r>
                      <w:rPr>
                        <w:spacing w:val="-9"/>
                        <w:w w:val="115"/>
                        <w:sz w:val="21"/>
                      </w:rPr>
                      <w:t> </w:t>
                    </w:r>
                    <w:r>
                      <w:rPr>
                        <w:w w:val="115"/>
                        <w:sz w:val="21"/>
                      </w:rPr>
                      <w:t>made</w:t>
                    </w:r>
                    <w:r>
                      <w:rPr>
                        <w:spacing w:val="-10"/>
                        <w:w w:val="115"/>
                        <w:sz w:val="21"/>
                      </w:rPr>
                      <w:t> </w:t>
                    </w:r>
                    <w:r>
                      <w:rPr>
                        <w:w w:val="115"/>
                        <w:sz w:val="21"/>
                      </w:rPr>
                      <w:t>under</w:t>
                    </w:r>
                    <w:r>
                      <w:rPr>
                        <w:spacing w:val="-10"/>
                        <w:w w:val="115"/>
                        <w:sz w:val="21"/>
                      </w:rPr>
                      <w:t> </w:t>
                    </w:r>
                    <w:r>
                      <w:rPr>
                        <w:w w:val="115"/>
                        <w:sz w:val="21"/>
                      </w:rPr>
                      <w:t>the </w:t>
                    </w:r>
                    <w:r>
                      <w:rPr>
                        <w:rFonts w:ascii="Lucida Sans"/>
                        <w:i/>
                        <w:w w:val="115"/>
                        <w:sz w:val="21"/>
                      </w:rPr>
                      <w:t>Local</w:t>
                    </w:r>
                    <w:r>
                      <w:rPr>
                        <w:rFonts w:ascii="Lucida Sans"/>
                        <w:i/>
                        <w:spacing w:val="-28"/>
                        <w:w w:val="115"/>
                        <w:sz w:val="21"/>
                      </w:rPr>
                      <w:t> </w:t>
                    </w:r>
                    <w:r>
                      <w:rPr>
                        <w:rFonts w:ascii="Lucida Sans"/>
                        <w:i/>
                        <w:w w:val="115"/>
                        <w:sz w:val="21"/>
                      </w:rPr>
                      <w:t>Government</w:t>
                    </w:r>
                    <w:r>
                      <w:rPr>
                        <w:rFonts w:ascii="Lucida Sans"/>
                        <w:i/>
                        <w:spacing w:val="-28"/>
                        <w:w w:val="115"/>
                        <w:sz w:val="21"/>
                      </w:rPr>
                      <w:t> </w:t>
                    </w:r>
                    <w:r>
                      <w:rPr>
                        <w:rFonts w:ascii="Lucida Sans"/>
                        <w:i/>
                        <w:w w:val="115"/>
                        <w:sz w:val="21"/>
                      </w:rPr>
                      <w:t>Act</w:t>
                    </w:r>
                    <w:r>
                      <w:rPr>
                        <w:rFonts w:ascii="Lucida Sans"/>
                        <w:i/>
                        <w:spacing w:val="-28"/>
                        <w:w w:val="115"/>
                        <w:sz w:val="21"/>
                      </w:rPr>
                      <w:t> </w:t>
                    </w:r>
                    <w:r>
                      <w:rPr>
                        <w:rFonts w:ascii="Lucida Sans"/>
                        <w:i/>
                        <w:spacing w:val="-3"/>
                        <w:w w:val="115"/>
                        <w:sz w:val="21"/>
                      </w:rPr>
                      <w:t>1989</w:t>
                    </w:r>
                    <w:r>
                      <w:rPr>
                        <w:rFonts w:ascii="Lucida Sans"/>
                        <w:i/>
                        <w:spacing w:val="-28"/>
                        <w:w w:val="115"/>
                        <w:sz w:val="21"/>
                      </w:rPr>
                      <w:t> </w:t>
                    </w:r>
                    <w:r>
                      <w:rPr>
                        <w:w w:val="115"/>
                        <w:sz w:val="21"/>
                      </w:rPr>
                      <w:t>(Vic).</w:t>
                    </w:r>
                  </w:p>
                  <w:p>
                    <w:pPr>
                      <w:numPr>
                        <w:ilvl w:val="0"/>
                        <w:numId w:val="184"/>
                      </w:numPr>
                      <w:tabs>
                        <w:tab w:pos="793" w:val="left" w:leader="none"/>
                        <w:tab w:pos="794" w:val="left" w:leader="none"/>
                      </w:tabs>
                      <w:spacing w:before="120"/>
                      <w:ind w:left="793" w:right="0" w:hanging="567"/>
                      <w:jc w:val="left"/>
                      <w:rPr>
                        <w:sz w:val="21"/>
                      </w:rPr>
                    </w:pPr>
                    <w:r>
                      <w:rPr>
                        <w:w w:val="115"/>
                        <w:sz w:val="21"/>
                      </w:rPr>
                      <w:t>Where Recommendation </w:t>
                    </w:r>
                    <w:r>
                      <w:rPr>
                        <w:spacing w:val="-6"/>
                        <w:w w:val="115"/>
                        <w:sz w:val="21"/>
                      </w:rPr>
                      <w:t>41 </w:t>
                    </w:r>
                    <w:r>
                      <w:rPr>
                        <w:w w:val="115"/>
                        <w:sz w:val="21"/>
                      </w:rPr>
                      <w:t>applies, the </w:t>
                    </w:r>
                    <w:r>
                      <w:rPr>
                        <w:spacing w:val="-2"/>
                        <w:w w:val="115"/>
                        <w:sz w:val="21"/>
                      </w:rPr>
                      <w:t>following </w:t>
                    </w:r>
                    <w:r>
                      <w:rPr>
                        <w:w w:val="115"/>
                        <w:sz w:val="21"/>
                      </w:rPr>
                      <w:t>safeguards should</w:t>
                    </w:r>
                    <w:r>
                      <w:rPr>
                        <w:spacing w:val="-17"/>
                        <w:w w:val="115"/>
                        <w:sz w:val="21"/>
                      </w:rPr>
                      <w:t> </w:t>
                    </w:r>
                    <w:r>
                      <w:rPr>
                        <w:w w:val="115"/>
                        <w:sz w:val="21"/>
                      </w:rPr>
                      <w:t>apply:</w:t>
                    </w:r>
                  </w:p>
                  <w:p>
                    <w:pPr>
                      <w:numPr>
                        <w:ilvl w:val="1"/>
                        <w:numId w:val="184"/>
                      </w:numPr>
                      <w:tabs>
                        <w:tab w:pos="1361" w:val="left" w:leader="none"/>
                      </w:tabs>
                      <w:spacing w:line="242" w:lineRule="auto" w:before="124"/>
                      <w:ind w:left="1360" w:right="428" w:hanging="567"/>
                      <w:jc w:val="both"/>
                      <w:rPr>
                        <w:sz w:val="21"/>
                      </w:rPr>
                    </w:pPr>
                    <w:r>
                      <w:rPr>
                        <w:w w:val="115"/>
                        <w:sz w:val="21"/>
                      </w:rPr>
                      <w:t>the Victorian Civil and Administrative </w:t>
                    </w:r>
                    <w:r>
                      <w:rPr>
                        <w:spacing w:val="-4"/>
                        <w:w w:val="115"/>
                        <w:sz w:val="21"/>
                      </w:rPr>
                      <w:t>Tribunal </w:t>
                    </w:r>
                    <w:r>
                      <w:rPr>
                        <w:w w:val="115"/>
                        <w:sz w:val="21"/>
                      </w:rPr>
                      <w:t>must afford the </w:t>
                    </w:r>
                    <w:r>
                      <w:rPr>
                        <w:spacing w:val="-3"/>
                        <w:w w:val="115"/>
                        <w:sz w:val="21"/>
                      </w:rPr>
                      <w:t>relevant </w:t>
                    </w:r>
                    <w:r>
                      <w:rPr>
                        <w:w w:val="115"/>
                        <w:sz w:val="21"/>
                      </w:rPr>
                      <w:t>council</w:t>
                    </w:r>
                    <w:r>
                      <w:rPr>
                        <w:spacing w:val="-8"/>
                        <w:w w:val="115"/>
                        <w:sz w:val="21"/>
                      </w:rPr>
                      <w:t> </w:t>
                    </w:r>
                    <w:r>
                      <w:rPr>
                        <w:w w:val="115"/>
                        <w:sz w:val="21"/>
                      </w:rPr>
                      <w:t>tree</w:t>
                    </w:r>
                    <w:r>
                      <w:rPr>
                        <w:spacing w:val="-7"/>
                        <w:w w:val="115"/>
                        <w:sz w:val="21"/>
                      </w:rPr>
                      <w:t> </w:t>
                    </w:r>
                    <w:r>
                      <w:rPr>
                        <w:w w:val="115"/>
                        <w:sz w:val="21"/>
                      </w:rPr>
                      <w:t>protection</w:t>
                    </w:r>
                    <w:r>
                      <w:rPr>
                        <w:spacing w:val="-7"/>
                        <w:w w:val="115"/>
                        <w:sz w:val="21"/>
                      </w:rPr>
                      <w:t> </w:t>
                    </w:r>
                    <w:r>
                      <w:rPr>
                        <w:w w:val="115"/>
                        <w:sz w:val="21"/>
                      </w:rPr>
                      <w:t>laws</w:t>
                    </w:r>
                    <w:r>
                      <w:rPr>
                        <w:spacing w:val="-7"/>
                        <w:w w:val="115"/>
                        <w:sz w:val="21"/>
                      </w:rPr>
                      <w:t> </w:t>
                    </w:r>
                    <w:r>
                      <w:rPr>
                        <w:w w:val="115"/>
                        <w:sz w:val="21"/>
                      </w:rPr>
                      <w:t>significant</w:t>
                    </w:r>
                    <w:r>
                      <w:rPr>
                        <w:spacing w:val="-8"/>
                        <w:w w:val="115"/>
                        <w:sz w:val="21"/>
                      </w:rPr>
                      <w:t> </w:t>
                    </w:r>
                    <w:r>
                      <w:rPr>
                        <w:w w:val="115"/>
                        <w:sz w:val="21"/>
                      </w:rPr>
                      <w:t>but</w:t>
                    </w:r>
                    <w:r>
                      <w:rPr>
                        <w:spacing w:val="-7"/>
                        <w:w w:val="115"/>
                        <w:sz w:val="21"/>
                      </w:rPr>
                      <w:t> </w:t>
                    </w:r>
                    <w:r>
                      <w:rPr>
                        <w:w w:val="115"/>
                        <w:sz w:val="21"/>
                      </w:rPr>
                      <w:t>not</w:t>
                    </w:r>
                    <w:r>
                      <w:rPr>
                        <w:spacing w:val="-7"/>
                        <w:w w:val="115"/>
                        <w:sz w:val="21"/>
                      </w:rPr>
                      <w:t> </w:t>
                    </w:r>
                    <w:r>
                      <w:rPr>
                        <w:w w:val="115"/>
                        <w:sz w:val="21"/>
                      </w:rPr>
                      <w:t>determinative</w:t>
                    </w:r>
                    <w:r>
                      <w:rPr>
                        <w:spacing w:val="-7"/>
                        <w:w w:val="115"/>
                        <w:sz w:val="21"/>
                      </w:rPr>
                      <w:t> </w:t>
                    </w:r>
                    <w:r>
                      <w:rPr>
                        <w:w w:val="115"/>
                        <w:sz w:val="21"/>
                      </w:rPr>
                      <w:t>weight</w:t>
                    </w:r>
                    <w:r>
                      <w:rPr>
                        <w:spacing w:val="-7"/>
                        <w:w w:val="115"/>
                        <w:sz w:val="21"/>
                      </w:rPr>
                      <w:t> </w:t>
                    </w:r>
                    <w:r>
                      <w:rPr>
                        <w:w w:val="115"/>
                        <w:sz w:val="21"/>
                      </w:rPr>
                      <w:t>in the decision-making process</w:t>
                    </w:r>
                  </w:p>
                  <w:p>
                    <w:pPr>
                      <w:numPr>
                        <w:ilvl w:val="1"/>
                        <w:numId w:val="184"/>
                      </w:numPr>
                      <w:tabs>
                        <w:tab w:pos="1361" w:val="left" w:leader="none"/>
                      </w:tabs>
                      <w:spacing w:line="242" w:lineRule="auto" w:before="124"/>
                      <w:ind w:left="1360" w:right="430" w:hanging="567"/>
                      <w:jc w:val="both"/>
                      <w:rPr>
                        <w:sz w:val="21"/>
                      </w:rPr>
                    </w:pPr>
                    <w:r>
                      <w:rPr>
                        <w:w w:val="115"/>
                        <w:sz w:val="21"/>
                      </w:rPr>
                      <w:t>the </w:t>
                    </w:r>
                    <w:r>
                      <w:rPr>
                        <w:spacing w:val="-4"/>
                        <w:w w:val="115"/>
                        <w:sz w:val="21"/>
                      </w:rPr>
                      <w:t>Tribunal </w:t>
                    </w:r>
                    <w:r>
                      <w:rPr>
                        <w:w w:val="115"/>
                        <w:sz w:val="21"/>
                      </w:rPr>
                      <w:t>should </w:t>
                    </w:r>
                    <w:r>
                      <w:rPr>
                        <w:spacing w:val="-3"/>
                        <w:w w:val="115"/>
                        <w:sz w:val="21"/>
                      </w:rPr>
                      <w:t>invite </w:t>
                    </w:r>
                    <w:r>
                      <w:rPr>
                        <w:w w:val="115"/>
                        <w:sz w:val="21"/>
                      </w:rPr>
                      <w:t>council to appear at a tree dispute hearing or to provide a written submission.</w:t>
                    </w:r>
                  </w:p>
                </w:txbxContent>
              </v:textbox>
              <v:fill type="solid"/>
              <w10:wrap type="none"/>
            </v:shape>
            <v:shape style="position:absolute;left:1587;top:322;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Recommendations</w:t>
                    </w:r>
                  </w:p>
                </w:txbxContent>
              </v:textbox>
              <v:fill type="solid"/>
              <w10:wrap type="none"/>
            </v:shape>
            <w10:wrap type="topAndBottom"/>
          </v:group>
        </w:pict>
      </w:r>
    </w:p>
    <w:p>
      <w:pPr>
        <w:pStyle w:val="BodyText"/>
        <w:rPr>
          <w:sz w:val="19"/>
        </w:rPr>
      </w:pPr>
    </w:p>
    <w:p>
      <w:pPr>
        <w:pStyle w:val="Heading5"/>
        <w:spacing w:before="97"/>
      </w:pPr>
      <w:r>
        <w:rPr>
          <w:w w:val="110"/>
        </w:rPr>
        <w:t>The Commission’s conclusions—the Heritage Act</w:t>
      </w:r>
    </w:p>
    <w:p>
      <w:pPr>
        <w:pStyle w:val="ListParagraph"/>
        <w:numPr>
          <w:ilvl w:val="0"/>
          <w:numId w:val="173"/>
        </w:numPr>
        <w:tabs>
          <w:tab w:pos="2382" w:val="left" w:leader="none"/>
        </w:tabs>
        <w:spacing w:line="242" w:lineRule="auto" w:before="137" w:after="0"/>
        <w:ind w:left="2381" w:right="1724" w:hanging="794"/>
        <w:jc w:val="left"/>
        <w:rPr>
          <w:sz w:val="12"/>
        </w:rPr>
      </w:pPr>
      <w:r>
        <w:rPr>
          <w:w w:val="105"/>
          <w:sz w:val="21"/>
        </w:rPr>
        <w:t>It is </w:t>
      </w:r>
      <w:r>
        <w:rPr>
          <w:spacing w:val="-3"/>
          <w:w w:val="105"/>
          <w:sz w:val="21"/>
        </w:rPr>
        <w:t>rare for </w:t>
      </w:r>
      <w:r>
        <w:rPr>
          <w:w w:val="105"/>
          <w:sz w:val="21"/>
        </w:rPr>
        <w:t>the Heritage Act </w:t>
      </w:r>
      <w:r>
        <w:rPr>
          <w:spacing w:val="-3"/>
          <w:w w:val="105"/>
          <w:sz w:val="21"/>
        </w:rPr>
        <w:t>to </w:t>
      </w:r>
      <w:r>
        <w:rPr>
          <w:w w:val="105"/>
          <w:sz w:val="21"/>
        </w:rPr>
        <w:t>protect </w:t>
      </w:r>
      <w:r>
        <w:rPr>
          <w:spacing w:val="-3"/>
          <w:w w:val="105"/>
          <w:sz w:val="21"/>
        </w:rPr>
        <w:t>individual </w:t>
      </w:r>
      <w:r>
        <w:rPr>
          <w:w w:val="105"/>
          <w:sz w:val="21"/>
        </w:rPr>
        <w:t>trees on </w:t>
      </w:r>
      <w:r>
        <w:rPr>
          <w:spacing w:val="-3"/>
          <w:w w:val="105"/>
          <w:sz w:val="21"/>
        </w:rPr>
        <w:t>private land within </w:t>
      </w:r>
      <w:r>
        <w:rPr>
          <w:w w:val="105"/>
          <w:sz w:val="21"/>
        </w:rPr>
        <w:t>Victoria. </w:t>
      </w:r>
      <w:r>
        <w:rPr>
          <w:spacing w:val="-4"/>
          <w:w w:val="105"/>
          <w:sz w:val="21"/>
        </w:rPr>
        <w:t>However, </w:t>
      </w:r>
      <w:r>
        <w:rPr>
          <w:w w:val="105"/>
          <w:sz w:val="21"/>
        </w:rPr>
        <w:t>trees </w:t>
      </w:r>
      <w:r>
        <w:rPr>
          <w:spacing w:val="-3"/>
          <w:w w:val="105"/>
          <w:sz w:val="21"/>
        </w:rPr>
        <w:t>that form </w:t>
      </w:r>
      <w:r>
        <w:rPr>
          <w:w w:val="105"/>
          <w:sz w:val="21"/>
        </w:rPr>
        <w:t>part of the </w:t>
      </w:r>
      <w:r>
        <w:rPr>
          <w:spacing w:val="-3"/>
          <w:w w:val="105"/>
          <w:sz w:val="21"/>
        </w:rPr>
        <w:t>significance </w:t>
      </w:r>
      <w:r>
        <w:rPr>
          <w:w w:val="105"/>
          <w:sz w:val="21"/>
        </w:rPr>
        <w:t>of a heritage </w:t>
      </w:r>
      <w:r>
        <w:rPr>
          <w:spacing w:val="-3"/>
          <w:w w:val="105"/>
          <w:sz w:val="21"/>
        </w:rPr>
        <w:t>place are </w:t>
      </w:r>
      <w:r>
        <w:rPr>
          <w:w w:val="105"/>
          <w:sz w:val="21"/>
        </w:rPr>
        <w:t>more </w:t>
      </w:r>
      <w:r>
        <w:rPr>
          <w:spacing w:val="-2"/>
          <w:w w:val="105"/>
          <w:sz w:val="21"/>
        </w:rPr>
        <w:t>commonly listed </w:t>
      </w:r>
      <w:r>
        <w:rPr>
          <w:w w:val="105"/>
          <w:sz w:val="21"/>
        </w:rPr>
        <w:t>on the Heritage </w:t>
      </w:r>
      <w:r>
        <w:rPr>
          <w:spacing w:val="-4"/>
          <w:w w:val="105"/>
          <w:sz w:val="21"/>
        </w:rPr>
        <w:t>Register. </w:t>
      </w:r>
      <w:r>
        <w:rPr>
          <w:w w:val="105"/>
          <w:sz w:val="21"/>
        </w:rPr>
        <w:t>For proposed </w:t>
      </w:r>
      <w:r>
        <w:rPr>
          <w:spacing w:val="-3"/>
          <w:w w:val="105"/>
          <w:sz w:val="21"/>
        </w:rPr>
        <w:t>maintenance </w:t>
      </w:r>
      <w:r>
        <w:rPr>
          <w:w w:val="105"/>
          <w:sz w:val="21"/>
        </w:rPr>
        <w:t>works </w:t>
      </w:r>
      <w:r>
        <w:rPr>
          <w:spacing w:val="-3"/>
          <w:w w:val="105"/>
          <w:sz w:val="21"/>
        </w:rPr>
        <w:t>to registered </w:t>
      </w:r>
      <w:r>
        <w:rPr>
          <w:w w:val="105"/>
          <w:sz w:val="21"/>
        </w:rPr>
        <w:t>trees, Heritage Victoria </w:t>
      </w:r>
      <w:r>
        <w:rPr>
          <w:spacing w:val="-3"/>
          <w:w w:val="105"/>
          <w:sz w:val="21"/>
        </w:rPr>
        <w:t>will generally </w:t>
      </w:r>
      <w:r>
        <w:rPr>
          <w:w w:val="105"/>
          <w:sz w:val="21"/>
        </w:rPr>
        <w:t>issue a permit</w:t>
      </w:r>
      <w:r>
        <w:rPr>
          <w:spacing w:val="27"/>
          <w:w w:val="105"/>
          <w:sz w:val="21"/>
        </w:rPr>
        <w:t> </w:t>
      </w:r>
      <w:r>
        <w:rPr>
          <w:w w:val="105"/>
          <w:sz w:val="21"/>
        </w:rPr>
        <w:t>exemption.</w:t>
      </w:r>
      <w:r>
        <w:rPr>
          <w:w w:val="105"/>
          <w:position w:val="7"/>
          <w:sz w:val="12"/>
        </w:rPr>
        <w:t>323</w:t>
      </w:r>
    </w:p>
    <w:p>
      <w:pPr>
        <w:pStyle w:val="ListParagraph"/>
        <w:numPr>
          <w:ilvl w:val="0"/>
          <w:numId w:val="173"/>
        </w:numPr>
        <w:tabs>
          <w:tab w:pos="2382" w:val="left" w:leader="none"/>
        </w:tabs>
        <w:spacing w:line="242" w:lineRule="auto" w:before="124" w:after="0"/>
        <w:ind w:left="2381" w:right="1631" w:hanging="794"/>
        <w:jc w:val="left"/>
        <w:rPr>
          <w:sz w:val="12"/>
        </w:rPr>
      </w:pPr>
      <w:r>
        <w:rPr>
          <w:w w:val="105"/>
          <w:sz w:val="21"/>
        </w:rPr>
        <w:t>For </w:t>
      </w:r>
      <w:r>
        <w:rPr>
          <w:spacing w:val="-3"/>
          <w:w w:val="105"/>
          <w:sz w:val="21"/>
        </w:rPr>
        <w:t>example, </w:t>
      </w:r>
      <w:r>
        <w:rPr>
          <w:w w:val="105"/>
          <w:sz w:val="21"/>
        </w:rPr>
        <w:t>a permit exemption </w:t>
      </w:r>
      <w:r>
        <w:rPr>
          <w:spacing w:val="-3"/>
          <w:w w:val="105"/>
          <w:sz w:val="21"/>
        </w:rPr>
        <w:t>may </w:t>
      </w:r>
      <w:r>
        <w:rPr>
          <w:w w:val="105"/>
          <w:sz w:val="21"/>
        </w:rPr>
        <w:t>be issued </w:t>
      </w:r>
      <w:r>
        <w:rPr>
          <w:spacing w:val="-3"/>
          <w:w w:val="105"/>
          <w:sz w:val="21"/>
        </w:rPr>
        <w:t>for </w:t>
      </w:r>
      <w:r>
        <w:rPr>
          <w:w w:val="105"/>
          <w:sz w:val="21"/>
        </w:rPr>
        <w:t>the </w:t>
      </w:r>
      <w:r>
        <w:rPr>
          <w:spacing w:val="-3"/>
          <w:w w:val="105"/>
          <w:sz w:val="21"/>
        </w:rPr>
        <w:t>removal </w:t>
      </w:r>
      <w:r>
        <w:rPr>
          <w:w w:val="105"/>
          <w:sz w:val="21"/>
        </w:rPr>
        <w:t>of dead, diseased or </w:t>
      </w:r>
      <w:r>
        <w:rPr>
          <w:spacing w:val="-3"/>
          <w:w w:val="105"/>
          <w:sz w:val="21"/>
        </w:rPr>
        <w:t>dangerous</w:t>
      </w:r>
      <w:r>
        <w:rPr>
          <w:spacing w:val="-9"/>
          <w:w w:val="105"/>
          <w:sz w:val="21"/>
        </w:rPr>
        <w:t> </w:t>
      </w:r>
      <w:r>
        <w:rPr>
          <w:w w:val="105"/>
          <w:sz w:val="21"/>
        </w:rPr>
        <w:t>trees.</w:t>
      </w:r>
      <w:r>
        <w:rPr>
          <w:spacing w:val="-9"/>
          <w:w w:val="105"/>
          <w:sz w:val="21"/>
        </w:rPr>
        <w:t> </w:t>
      </w:r>
      <w:r>
        <w:rPr>
          <w:w w:val="105"/>
          <w:sz w:val="21"/>
        </w:rPr>
        <w:t>An</w:t>
      </w:r>
      <w:r>
        <w:rPr>
          <w:spacing w:val="-9"/>
          <w:w w:val="105"/>
          <w:sz w:val="21"/>
        </w:rPr>
        <w:t> </w:t>
      </w:r>
      <w:r>
        <w:rPr>
          <w:w w:val="105"/>
          <w:sz w:val="21"/>
        </w:rPr>
        <w:t>arborist</w:t>
      </w:r>
      <w:r>
        <w:rPr>
          <w:spacing w:val="-9"/>
          <w:w w:val="105"/>
          <w:sz w:val="21"/>
        </w:rPr>
        <w:t> </w:t>
      </w:r>
      <w:r>
        <w:rPr>
          <w:w w:val="105"/>
          <w:sz w:val="21"/>
        </w:rPr>
        <w:t>report</w:t>
      </w:r>
      <w:r>
        <w:rPr>
          <w:spacing w:val="-9"/>
          <w:w w:val="105"/>
          <w:sz w:val="21"/>
        </w:rPr>
        <w:t> </w:t>
      </w:r>
      <w:r>
        <w:rPr>
          <w:w w:val="105"/>
          <w:sz w:val="21"/>
        </w:rPr>
        <w:t>must</w:t>
      </w:r>
      <w:r>
        <w:rPr>
          <w:spacing w:val="-9"/>
          <w:w w:val="105"/>
          <w:sz w:val="21"/>
        </w:rPr>
        <w:t> </w:t>
      </w:r>
      <w:r>
        <w:rPr>
          <w:w w:val="105"/>
          <w:sz w:val="21"/>
        </w:rPr>
        <w:t>be</w:t>
      </w:r>
      <w:r>
        <w:rPr>
          <w:spacing w:val="-9"/>
          <w:w w:val="105"/>
          <w:sz w:val="21"/>
        </w:rPr>
        <w:t> </w:t>
      </w:r>
      <w:r>
        <w:rPr>
          <w:w w:val="105"/>
          <w:sz w:val="21"/>
        </w:rPr>
        <w:t>submitted</w:t>
      </w:r>
      <w:r>
        <w:rPr>
          <w:spacing w:val="-9"/>
          <w:w w:val="105"/>
          <w:sz w:val="21"/>
        </w:rPr>
        <w:t> </w:t>
      </w:r>
      <w:r>
        <w:rPr>
          <w:w w:val="105"/>
          <w:sz w:val="21"/>
        </w:rPr>
        <w:t>verifying</w:t>
      </w:r>
      <w:r>
        <w:rPr>
          <w:spacing w:val="-9"/>
          <w:w w:val="105"/>
          <w:sz w:val="21"/>
        </w:rPr>
        <w:t> </w:t>
      </w:r>
      <w:r>
        <w:rPr>
          <w:w w:val="105"/>
          <w:sz w:val="21"/>
        </w:rPr>
        <w:t>the</w:t>
      </w:r>
      <w:r>
        <w:rPr>
          <w:spacing w:val="-9"/>
          <w:w w:val="105"/>
          <w:sz w:val="21"/>
        </w:rPr>
        <w:t> </w:t>
      </w:r>
      <w:r>
        <w:rPr>
          <w:spacing w:val="-3"/>
          <w:w w:val="105"/>
          <w:sz w:val="21"/>
        </w:rPr>
        <w:t>condition</w:t>
      </w:r>
      <w:r>
        <w:rPr>
          <w:spacing w:val="-9"/>
          <w:w w:val="105"/>
          <w:sz w:val="21"/>
        </w:rPr>
        <w:t> </w:t>
      </w:r>
      <w:r>
        <w:rPr>
          <w:w w:val="105"/>
          <w:sz w:val="21"/>
        </w:rPr>
        <w:t>of</w:t>
      </w:r>
      <w:r>
        <w:rPr>
          <w:spacing w:val="-8"/>
          <w:w w:val="105"/>
          <w:sz w:val="21"/>
        </w:rPr>
        <w:t> </w:t>
      </w:r>
      <w:r>
        <w:rPr>
          <w:w w:val="105"/>
          <w:sz w:val="21"/>
        </w:rPr>
        <w:t>the</w:t>
      </w:r>
      <w:r>
        <w:rPr>
          <w:spacing w:val="-9"/>
          <w:w w:val="105"/>
          <w:sz w:val="21"/>
        </w:rPr>
        <w:t> </w:t>
      </w:r>
      <w:r>
        <w:rPr>
          <w:spacing w:val="-3"/>
          <w:w w:val="105"/>
          <w:sz w:val="21"/>
        </w:rPr>
        <w:t>tree, </w:t>
      </w:r>
      <w:r>
        <w:rPr>
          <w:w w:val="105"/>
          <w:sz w:val="21"/>
        </w:rPr>
        <w:t>unless </w:t>
      </w:r>
      <w:r>
        <w:rPr>
          <w:spacing w:val="-3"/>
          <w:w w:val="105"/>
          <w:sz w:val="21"/>
        </w:rPr>
        <w:t>considered inappropriate </w:t>
      </w:r>
      <w:r>
        <w:rPr>
          <w:w w:val="105"/>
          <w:sz w:val="21"/>
        </w:rPr>
        <w:t>by the Executive </w:t>
      </w:r>
      <w:r>
        <w:rPr>
          <w:spacing w:val="-3"/>
          <w:w w:val="105"/>
          <w:sz w:val="21"/>
        </w:rPr>
        <w:t>Director.</w:t>
      </w:r>
      <w:r>
        <w:rPr>
          <w:spacing w:val="-3"/>
          <w:w w:val="105"/>
          <w:position w:val="7"/>
          <w:sz w:val="12"/>
        </w:rPr>
        <w:t>324 </w:t>
      </w:r>
      <w:r>
        <w:rPr>
          <w:w w:val="105"/>
          <w:sz w:val="21"/>
        </w:rPr>
        <w:t>Heritage Victoria stated </w:t>
      </w:r>
      <w:r>
        <w:rPr>
          <w:spacing w:val="-3"/>
          <w:w w:val="105"/>
          <w:sz w:val="21"/>
        </w:rPr>
        <w:t>that </w:t>
      </w:r>
      <w:r>
        <w:rPr>
          <w:w w:val="105"/>
          <w:sz w:val="21"/>
        </w:rPr>
        <w:t>‘the </w:t>
      </w:r>
      <w:r>
        <w:rPr>
          <w:spacing w:val="-3"/>
          <w:w w:val="105"/>
          <w:sz w:val="21"/>
        </w:rPr>
        <w:t>bulk </w:t>
      </w:r>
      <w:r>
        <w:rPr>
          <w:w w:val="105"/>
          <w:sz w:val="21"/>
        </w:rPr>
        <w:t>of tree </w:t>
      </w:r>
      <w:r>
        <w:rPr>
          <w:spacing w:val="-3"/>
          <w:w w:val="105"/>
          <w:sz w:val="21"/>
        </w:rPr>
        <w:t>removals </w:t>
      </w:r>
      <w:r>
        <w:rPr>
          <w:w w:val="105"/>
          <w:sz w:val="21"/>
        </w:rPr>
        <w:t>and </w:t>
      </w:r>
      <w:r>
        <w:rPr>
          <w:spacing w:val="-3"/>
          <w:w w:val="105"/>
          <w:sz w:val="21"/>
        </w:rPr>
        <w:t>planting are </w:t>
      </w:r>
      <w:r>
        <w:rPr>
          <w:w w:val="105"/>
          <w:sz w:val="21"/>
        </w:rPr>
        <w:t>done by </w:t>
      </w:r>
      <w:r>
        <w:rPr>
          <w:spacing w:val="-3"/>
          <w:w w:val="105"/>
          <w:sz w:val="21"/>
        </w:rPr>
        <w:t>way </w:t>
      </w:r>
      <w:r>
        <w:rPr>
          <w:w w:val="105"/>
          <w:sz w:val="21"/>
        </w:rPr>
        <w:t>of permit </w:t>
      </w:r>
      <w:r>
        <w:rPr>
          <w:spacing w:val="-4"/>
          <w:w w:val="105"/>
          <w:sz w:val="21"/>
        </w:rPr>
        <w:t>exemptions’.</w:t>
      </w:r>
      <w:r>
        <w:rPr>
          <w:spacing w:val="-4"/>
          <w:w w:val="105"/>
          <w:position w:val="7"/>
          <w:sz w:val="12"/>
        </w:rPr>
        <w:t>325  </w:t>
      </w:r>
      <w:r>
        <w:rPr>
          <w:w w:val="105"/>
          <w:sz w:val="21"/>
        </w:rPr>
        <w:t>The  </w:t>
      </w:r>
      <w:r>
        <w:rPr>
          <w:spacing w:val="-4"/>
          <w:w w:val="105"/>
          <w:sz w:val="21"/>
        </w:rPr>
        <w:t>key </w:t>
      </w:r>
      <w:r>
        <w:rPr>
          <w:spacing w:val="-3"/>
          <w:w w:val="105"/>
          <w:sz w:val="21"/>
        </w:rPr>
        <w:t>consideration </w:t>
      </w:r>
      <w:r>
        <w:rPr>
          <w:w w:val="105"/>
          <w:sz w:val="21"/>
        </w:rPr>
        <w:t>is </w:t>
      </w:r>
      <w:r>
        <w:rPr>
          <w:spacing w:val="-3"/>
          <w:w w:val="105"/>
          <w:sz w:val="21"/>
        </w:rPr>
        <w:t>that </w:t>
      </w:r>
      <w:r>
        <w:rPr>
          <w:w w:val="105"/>
          <w:sz w:val="21"/>
        </w:rPr>
        <w:t>the proposed works </w:t>
      </w:r>
      <w:r>
        <w:rPr>
          <w:spacing w:val="-3"/>
          <w:w w:val="105"/>
          <w:sz w:val="21"/>
        </w:rPr>
        <w:t>will </w:t>
      </w:r>
      <w:r>
        <w:rPr>
          <w:spacing w:val="-2"/>
          <w:w w:val="105"/>
          <w:sz w:val="21"/>
        </w:rPr>
        <w:t>not </w:t>
      </w:r>
      <w:r>
        <w:rPr>
          <w:spacing w:val="-3"/>
          <w:w w:val="105"/>
          <w:sz w:val="21"/>
        </w:rPr>
        <w:t>harm </w:t>
      </w:r>
      <w:r>
        <w:rPr>
          <w:w w:val="105"/>
          <w:sz w:val="21"/>
        </w:rPr>
        <w:t>the </w:t>
      </w:r>
      <w:r>
        <w:rPr>
          <w:spacing w:val="-3"/>
          <w:w w:val="105"/>
          <w:sz w:val="21"/>
        </w:rPr>
        <w:t>cultural significance </w:t>
      </w:r>
      <w:r>
        <w:rPr>
          <w:w w:val="105"/>
          <w:sz w:val="21"/>
        </w:rPr>
        <w:t>of the </w:t>
      </w:r>
      <w:r>
        <w:rPr>
          <w:spacing w:val="-3"/>
          <w:w w:val="105"/>
          <w:sz w:val="21"/>
        </w:rPr>
        <w:t>place </w:t>
      </w:r>
      <w:r>
        <w:rPr>
          <w:w w:val="105"/>
          <w:sz w:val="21"/>
        </w:rPr>
        <w:t>or</w:t>
      </w:r>
      <w:r>
        <w:rPr>
          <w:spacing w:val="13"/>
          <w:w w:val="105"/>
          <w:sz w:val="21"/>
        </w:rPr>
        <w:t> </w:t>
      </w:r>
      <w:r>
        <w:rPr>
          <w:w w:val="105"/>
          <w:sz w:val="21"/>
        </w:rPr>
        <w:t>object.</w:t>
      </w:r>
      <w:r>
        <w:rPr>
          <w:w w:val="105"/>
          <w:position w:val="7"/>
          <w:sz w:val="12"/>
        </w:rPr>
        <w:t>326</w:t>
      </w:r>
    </w:p>
    <w:p>
      <w:pPr>
        <w:pStyle w:val="ListParagraph"/>
        <w:numPr>
          <w:ilvl w:val="0"/>
          <w:numId w:val="173"/>
        </w:numPr>
        <w:tabs>
          <w:tab w:pos="2382" w:val="left" w:leader="none"/>
        </w:tabs>
        <w:spacing w:line="242" w:lineRule="auto" w:before="127" w:after="0"/>
        <w:ind w:left="2381" w:right="1628" w:hanging="794"/>
        <w:jc w:val="left"/>
        <w:rPr>
          <w:sz w:val="21"/>
        </w:rPr>
      </w:pPr>
      <w:r>
        <w:rPr>
          <w:w w:val="105"/>
          <w:sz w:val="21"/>
        </w:rPr>
        <w:t>A tree owner must </w:t>
      </w:r>
      <w:r>
        <w:rPr>
          <w:spacing w:val="-4"/>
          <w:w w:val="105"/>
          <w:sz w:val="21"/>
        </w:rPr>
        <w:t>make </w:t>
      </w:r>
      <w:r>
        <w:rPr>
          <w:w w:val="105"/>
          <w:sz w:val="21"/>
        </w:rPr>
        <w:t>a </w:t>
      </w:r>
      <w:r>
        <w:rPr>
          <w:spacing w:val="-3"/>
          <w:w w:val="105"/>
          <w:sz w:val="21"/>
        </w:rPr>
        <w:t>formal </w:t>
      </w:r>
      <w:r>
        <w:rPr>
          <w:w w:val="105"/>
          <w:sz w:val="21"/>
        </w:rPr>
        <w:t>application seeking a permit </w:t>
      </w:r>
      <w:r>
        <w:rPr>
          <w:spacing w:val="-3"/>
          <w:w w:val="105"/>
          <w:sz w:val="21"/>
        </w:rPr>
        <w:t>exemption. </w:t>
      </w:r>
      <w:r>
        <w:rPr>
          <w:w w:val="105"/>
          <w:sz w:val="21"/>
        </w:rPr>
        <w:t>Section 92(3) of</w:t>
      </w:r>
      <w:r>
        <w:rPr>
          <w:spacing w:val="-6"/>
          <w:w w:val="105"/>
          <w:sz w:val="21"/>
        </w:rPr>
        <w:t> </w:t>
      </w:r>
      <w:r>
        <w:rPr>
          <w:w w:val="105"/>
          <w:sz w:val="21"/>
        </w:rPr>
        <w:t>the</w:t>
      </w:r>
      <w:r>
        <w:rPr>
          <w:spacing w:val="-6"/>
          <w:w w:val="105"/>
          <w:sz w:val="21"/>
        </w:rPr>
        <w:t> </w:t>
      </w:r>
      <w:r>
        <w:rPr>
          <w:w w:val="105"/>
          <w:sz w:val="21"/>
        </w:rPr>
        <w:t>Heritage</w:t>
      </w:r>
      <w:r>
        <w:rPr>
          <w:spacing w:val="-6"/>
          <w:w w:val="105"/>
          <w:sz w:val="21"/>
        </w:rPr>
        <w:t> </w:t>
      </w:r>
      <w:r>
        <w:rPr>
          <w:w w:val="105"/>
          <w:sz w:val="21"/>
        </w:rPr>
        <w:t>Act</w:t>
      </w:r>
      <w:r>
        <w:rPr>
          <w:spacing w:val="-5"/>
          <w:w w:val="105"/>
          <w:sz w:val="21"/>
        </w:rPr>
        <w:t> </w:t>
      </w:r>
      <w:r>
        <w:rPr>
          <w:w w:val="105"/>
          <w:sz w:val="21"/>
        </w:rPr>
        <w:t>only</w:t>
      </w:r>
      <w:r>
        <w:rPr>
          <w:spacing w:val="-6"/>
          <w:w w:val="105"/>
          <w:sz w:val="21"/>
        </w:rPr>
        <w:t> </w:t>
      </w:r>
      <w:r>
        <w:rPr>
          <w:w w:val="105"/>
          <w:sz w:val="21"/>
        </w:rPr>
        <w:t>allows</w:t>
      </w:r>
      <w:r>
        <w:rPr>
          <w:spacing w:val="-6"/>
          <w:w w:val="105"/>
          <w:sz w:val="21"/>
        </w:rPr>
        <w:t> </w:t>
      </w:r>
      <w:r>
        <w:rPr>
          <w:w w:val="105"/>
          <w:sz w:val="21"/>
        </w:rPr>
        <w:t>only</w:t>
      </w:r>
      <w:r>
        <w:rPr>
          <w:spacing w:val="-5"/>
          <w:w w:val="105"/>
          <w:sz w:val="21"/>
        </w:rPr>
        <w:t> </w:t>
      </w:r>
      <w:r>
        <w:rPr>
          <w:w w:val="105"/>
          <w:sz w:val="21"/>
        </w:rPr>
        <w:t>an</w:t>
      </w:r>
      <w:r>
        <w:rPr>
          <w:spacing w:val="-6"/>
          <w:w w:val="105"/>
          <w:sz w:val="21"/>
        </w:rPr>
        <w:t> </w:t>
      </w:r>
      <w:r>
        <w:rPr>
          <w:w w:val="105"/>
          <w:sz w:val="21"/>
        </w:rPr>
        <w:t>owner</w:t>
      </w:r>
      <w:r>
        <w:rPr>
          <w:spacing w:val="-6"/>
          <w:w w:val="105"/>
          <w:sz w:val="21"/>
        </w:rPr>
        <w:t> </w:t>
      </w:r>
      <w:r>
        <w:rPr>
          <w:spacing w:val="-3"/>
          <w:w w:val="105"/>
          <w:sz w:val="21"/>
        </w:rPr>
        <w:t>to</w:t>
      </w:r>
      <w:r>
        <w:rPr>
          <w:spacing w:val="-5"/>
          <w:w w:val="105"/>
          <w:sz w:val="21"/>
        </w:rPr>
        <w:t> </w:t>
      </w:r>
      <w:r>
        <w:rPr>
          <w:w w:val="105"/>
          <w:sz w:val="21"/>
        </w:rPr>
        <w:t>apply</w:t>
      </w:r>
      <w:r>
        <w:rPr>
          <w:spacing w:val="-6"/>
          <w:w w:val="105"/>
          <w:sz w:val="21"/>
        </w:rPr>
        <w:t> </w:t>
      </w:r>
      <w:r>
        <w:rPr>
          <w:spacing w:val="-3"/>
          <w:w w:val="105"/>
          <w:sz w:val="21"/>
        </w:rPr>
        <w:t>for</w:t>
      </w:r>
      <w:r>
        <w:rPr>
          <w:spacing w:val="-6"/>
          <w:w w:val="105"/>
          <w:sz w:val="21"/>
        </w:rPr>
        <w:t> </w:t>
      </w:r>
      <w:r>
        <w:rPr>
          <w:w w:val="105"/>
          <w:sz w:val="21"/>
        </w:rPr>
        <w:t>a</w:t>
      </w:r>
      <w:r>
        <w:rPr>
          <w:spacing w:val="-5"/>
          <w:w w:val="105"/>
          <w:sz w:val="21"/>
        </w:rPr>
        <w:t> </w:t>
      </w:r>
      <w:r>
        <w:rPr>
          <w:w w:val="105"/>
          <w:sz w:val="21"/>
        </w:rPr>
        <w:t>permit</w:t>
      </w:r>
      <w:r>
        <w:rPr>
          <w:spacing w:val="-6"/>
          <w:w w:val="105"/>
          <w:sz w:val="21"/>
        </w:rPr>
        <w:t> </w:t>
      </w:r>
      <w:r>
        <w:rPr>
          <w:w w:val="105"/>
          <w:sz w:val="21"/>
        </w:rPr>
        <w:t>exemption</w:t>
      </w:r>
      <w:r>
        <w:rPr>
          <w:spacing w:val="-6"/>
          <w:w w:val="105"/>
          <w:sz w:val="21"/>
        </w:rPr>
        <w:t> </w:t>
      </w:r>
      <w:r>
        <w:rPr>
          <w:w w:val="105"/>
          <w:sz w:val="21"/>
        </w:rPr>
        <w:t>or</w:t>
      </w:r>
      <w:r>
        <w:rPr>
          <w:spacing w:val="-6"/>
          <w:w w:val="105"/>
          <w:sz w:val="21"/>
        </w:rPr>
        <w:t> </w:t>
      </w:r>
      <w:r>
        <w:rPr>
          <w:spacing w:val="-3"/>
          <w:w w:val="105"/>
          <w:sz w:val="21"/>
        </w:rPr>
        <w:t>another individual </w:t>
      </w:r>
      <w:r>
        <w:rPr>
          <w:w w:val="105"/>
          <w:sz w:val="21"/>
        </w:rPr>
        <w:t>who </w:t>
      </w:r>
      <w:r>
        <w:rPr>
          <w:spacing w:val="-2"/>
          <w:w w:val="105"/>
          <w:sz w:val="21"/>
        </w:rPr>
        <w:t>has </w:t>
      </w:r>
      <w:r>
        <w:rPr>
          <w:w w:val="105"/>
          <w:sz w:val="21"/>
        </w:rPr>
        <w:t>obtained the </w:t>
      </w:r>
      <w:r>
        <w:rPr>
          <w:spacing w:val="-3"/>
          <w:w w:val="105"/>
          <w:sz w:val="21"/>
        </w:rPr>
        <w:t>owner’s </w:t>
      </w:r>
      <w:r>
        <w:rPr>
          <w:w w:val="105"/>
          <w:sz w:val="21"/>
        </w:rPr>
        <w:t>written </w:t>
      </w:r>
      <w:r>
        <w:rPr>
          <w:spacing w:val="-3"/>
          <w:w w:val="105"/>
          <w:sz w:val="21"/>
        </w:rPr>
        <w:t>consent </w:t>
      </w:r>
      <w:r>
        <w:rPr>
          <w:w w:val="105"/>
          <w:sz w:val="21"/>
        </w:rPr>
        <w:t>of the </w:t>
      </w:r>
      <w:r>
        <w:rPr>
          <w:spacing w:val="-4"/>
          <w:w w:val="105"/>
          <w:sz w:val="21"/>
        </w:rPr>
        <w:t>owner. </w:t>
      </w:r>
      <w:r>
        <w:rPr>
          <w:spacing w:val="-3"/>
          <w:w w:val="105"/>
          <w:sz w:val="21"/>
        </w:rPr>
        <w:t>Therefore, </w:t>
      </w:r>
      <w:r>
        <w:rPr>
          <w:w w:val="105"/>
          <w:sz w:val="21"/>
        </w:rPr>
        <w:t>an affected </w:t>
      </w:r>
      <w:r>
        <w:rPr>
          <w:spacing w:val="-3"/>
          <w:w w:val="105"/>
          <w:sz w:val="21"/>
        </w:rPr>
        <w:t>neighbour </w:t>
      </w:r>
      <w:r>
        <w:rPr>
          <w:w w:val="105"/>
          <w:sz w:val="21"/>
        </w:rPr>
        <w:t>would </w:t>
      </w:r>
      <w:r>
        <w:rPr>
          <w:spacing w:val="-2"/>
          <w:w w:val="105"/>
          <w:sz w:val="21"/>
        </w:rPr>
        <w:t>not </w:t>
      </w:r>
      <w:r>
        <w:rPr>
          <w:w w:val="105"/>
          <w:sz w:val="21"/>
        </w:rPr>
        <w:t>be able </w:t>
      </w:r>
      <w:r>
        <w:rPr>
          <w:spacing w:val="-3"/>
          <w:w w:val="105"/>
          <w:sz w:val="21"/>
        </w:rPr>
        <w:t>to </w:t>
      </w:r>
      <w:r>
        <w:rPr>
          <w:w w:val="105"/>
          <w:sz w:val="21"/>
        </w:rPr>
        <w:t>apply </w:t>
      </w:r>
      <w:r>
        <w:rPr>
          <w:spacing w:val="-3"/>
          <w:w w:val="105"/>
          <w:sz w:val="21"/>
        </w:rPr>
        <w:t>for </w:t>
      </w:r>
      <w:r>
        <w:rPr>
          <w:w w:val="105"/>
          <w:sz w:val="21"/>
        </w:rPr>
        <w:t>a permit exemption </w:t>
      </w:r>
      <w:r>
        <w:rPr>
          <w:spacing w:val="-3"/>
          <w:w w:val="105"/>
          <w:sz w:val="21"/>
        </w:rPr>
        <w:t>to </w:t>
      </w:r>
      <w:r>
        <w:rPr>
          <w:w w:val="105"/>
          <w:sz w:val="21"/>
        </w:rPr>
        <w:t>undertake works </w:t>
      </w:r>
      <w:r>
        <w:rPr>
          <w:spacing w:val="-3"/>
          <w:w w:val="105"/>
          <w:sz w:val="21"/>
        </w:rPr>
        <w:t>to </w:t>
      </w:r>
      <w:r>
        <w:rPr>
          <w:w w:val="105"/>
          <w:sz w:val="21"/>
        </w:rPr>
        <w:t>a heritage- </w:t>
      </w:r>
      <w:r>
        <w:rPr>
          <w:spacing w:val="-2"/>
          <w:w w:val="105"/>
          <w:sz w:val="21"/>
        </w:rPr>
        <w:t>listed </w:t>
      </w:r>
      <w:r>
        <w:rPr>
          <w:w w:val="105"/>
          <w:sz w:val="21"/>
        </w:rPr>
        <w:t>tree on </w:t>
      </w:r>
      <w:r>
        <w:rPr>
          <w:spacing w:val="-3"/>
          <w:w w:val="105"/>
          <w:sz w:val="21"/>
        </w:rPr>
        <w:t>adjoining</w:t>
      </w:r>
      <w:r>
        <w:rPr>
          <w:spacing w:val="43"/>
          <w:w w:val="105"/>
          <w:sz w:val="21"/>
        </w:rPr>
        <w:t> </w:t>
      </w:r>
      <w:r>
        <w:rPr>
          <w:spacing w:val="-3"/>
          <w:w w:val="105"/>
          <w:sz w:val="21"/>
        </w:rPr>
        <w:t>land.</w:t>
      </w:r>
    </w:p>
    <w:p>
      <w:pPr>
        <w:pStyle w:val="ListParagraph"/>
        <w:numPr>
          <w:ilvl w:val="0"/>
          <w:numId w:val="173"/>
        </w:numPr>
        <w:tabs>
          <w:tab w:pos="2381" w:val="left" w:leader="none"/>
        </w:tabs>
        <w:spacing w:line="242" w:lineRule="auto" w:before="125" w:after="0"/>
        <w:ind w:left="2380" w:right="1689" w:hanging="793"/>
        <w:jc w:val="both"/>
        <w:rPr>
          <w:sz w:val="21"/>
        </w:rPr>
      </w:pPr>
      <w:r>
        <w:rPr>
          <w:sz w:val="21"/>
        </w:rPr>
        <w:t>Heritage-listed trees </w:t>
      </w:r>
      <w:r>
        <w:rPr>
          <w:spacing w:val="-3"/>
          <w:sz w:val="21"/>
        </w:rPr>
        <w:t>have </w:t>
      </w:r>
      <w:r>
        <w:rPr>
          <w:sz w:val="21"/>
        </w:rPr>
        <w:t>been assessed by the Heritage </w:t>
      </w:r>
      <w:r>
        <w:rPr>
          <w:spacing w:val="-4"/>
          <w:sz w:val="21"/>
        </w:rPr>
        <w:t>Council </w:t>
      </w:r>
      <w:r>
        <w:rPr>
          <w:sz w:val="21"/>
        </w:rPr>
        <w:t>as of importance </w:t>
      </w:r>
      <w:r>
        <w:rPr>
          <w:spacing w:val="-3"/>
          <w:sz w:val="21"/>
        </w:rPr>
        <w:t>to </w:t>
      </w:r>
      <w:r>
        <w:rPr>
          <w:sz w:val="21"/>
        </w:rPr>
        <w:t>the history of Victoria.</w:t>
      </w:r>
      <w:r>
        <w:rPr>
          <w:position w:val="7"/>
          <w:sz w:val="12"/>
        </w:rPr>
        <w:t>327 </w:t>
      </w:r>
      <w:r>
        <w:rPr>
          <w:sz w:val="21"/>
        </w:rPr>
        <w:t>In these </w:t>
      </w:r>
      <w:r>
        <w:rPr>
          <w:spacing w:val="-3"/>
          <w:sz w:val="21"/>
        </w:rPr>
        <w:t>circumstances </w:t>
      </w:r>
      <w:r>
        <w:rPr>
          <w:sz w:val="21"/>
        </w:rPr>
        <w:t>it would </w:t>
      </w:r>
      <w:r>
        <w:rPr>
          <w:spacing w:val="-2"/>
          <w:sz w:val="21"/>
        </w:rPr>
        <w:t>not </w:t>
      </w:r>
      <w:r>
        <w:rPr>
          <w:sz w:val="21"/>
        </w:rPr>
        <w:t>be </w:t>
      </w:r>
      <w:r>
        <w:rPr>
          <w:spacing w:val="-3"/>
          <w:sz w:val="21"/>
        </w:rPr>
        <w:t>appropriate for </w:t>
      </w:r>
      <w:r>
        <w:rPr>
          <w:sz w:val="21"/>
        </w:rPr>
        <w:t>a new Act </w:t>
      </w:r>
      <w:r>
        <w:rPr>
          <w:spacing w:val="-3"/>
          <w:sz w:val="21"/>
        </w:rPr>
        <w:t>to interfere </w:t>
      </w:r>
      <w:r>
        <w:rPr>
          <w:sz w:val="21"/>
        </w:rPr>
        <w:t>with heritage-listed trees, </w:t>
      </w:r>
      <w:r>
        <w:rPr>
          <w:spacing w:val="-3"/>
          <w:sz w:val="21"/>
        </w:rPr>
        <w:t>except </w:t>
      </w:r>
      <w:r>
        <w:rPr>
          <w:sz w:val="21"/>
        </w:rPr>
        <w:t>in emergency</w:t>
      </w:r>
      <w:r>
        <w:rPr>
          <w:spacing w:val="-11"/>
          <w:sz w:val="21"/>
        </w:rPr>
        <w:t> </w:t>
      </w:r>
      <w:r>
        <w:rPr>
          <w:spacing w:val="-3"/>
          <w:sz w:val="21"/>
        </w:rPr>
        <w:t>situations.</w:t>
      </w:r>
    </w:p>
    <w:p>
      <w:pPr>
        <w:pStyle w:val="ListParagraph"/>
        <w:numPr>
          <w:ilvl w:val="0"/>
          <w:numId w:val="173"/>
        </w:numPr>
        <w:tabs>
          <w:tab w:pos="2381" w:val="left" w:leader="none"/>
        </w:tabs>
        <w:spacing w:line="242" w:lineRule="auto" w:before="124" w:after="0"/>
        <w:ind w:left="2380" w:right="1768" w:hanging="793"/>
        <w:jc w:val="left"/>
        <w:rPr>
          <w:sz w:val="21"/>
        </w:rPr>
      </w:pPr>
      <w:r>
        <w:rPr>
          <w:w w:val="105"/>
          <w:sz w:val="21"/>
        </w:rPr>
        <w:t>If there is an emergency </w:t>
      </w:r>
      <w:r>
        <w:rPr>
          <w:spacing w:val="-3"/>
          <w:w w:val="105"/>
          <w:sz w:val="21"/>
        </w:rPr>
        <w:t>situation </w:t>
      </w:r>
      <w:r>
        <w:rPr>
          <w:w w:val="105"/>
          <w:sz w:val="21"/>
        </w:rPr>
        <w:t>and the tree poses a danger </w:t>
      </w:r>
      <w:r>
        <w:rPr>
          <w:spacing w:val="-3"/>
          <w:w w:val="105"/>
          <w:sz w:val="21"/>
        </w:rPr>
        <w:t>to life </w:t>
      </w:r>
      <w:r>
        <w:rPr>
          <w:w w:val="105"/>
          <w:sz w:val="21"/>
        </w:rPr>
        <w:t>or property, the new Act should provide a remedy </w:t>
      </w:r>
      <w:r>
        <w:rPr>
          <w:spacing w:val="-3"/>
          <w:w w:val="105"/>
          <w:sz w:val="21"/>
        </w:rPr>
        <w:t>to </w:t>
      </w:r>
      <w:r>
        <w:rPr>
          <w:w w:val="105"/>
          <w:sz w:val="21"/>
        </w:rPr>
        <w:t>an affected </w:t>
      </w:r>
      <w:r>
        <w:rPr>
          <w:spacing w:val="-3"/>
          <w:w w:val="105"/>
          <w:sz w:val="21"/>
        </w:rPr>
        <w:t>neighbour </w:t>
      </w:r>
      <w:r>
        <w:rPr>
          <w:w w:val="105"/>
          <w:sz w:val="21"/>
        </w:rPr>
        <w:t>where the tree is declared </w:t>
      </w:r>
      <w:r>
        <w:rPr>
          <w:spacing w:val="-3"/>
          <w:w w:val="105"/>
          <w:sz w:val="21"/>
        </w:rPr>
        <w:t>dangerous </w:t>
      </w:r>
      <w:r>
        <w:rPr>
          <w:w w:val="105"/>
          <w:sz w:val="21"/>
        </w:rPr>
        <w:t>by </w:t>
      </w:r>
      <w:r>
        <w:rPr>
          <w:spacing w:val="-8"/>
          <w:w w:val="105"/>
          <w:sz w:val="21"/>
        </w:rPr>
        <w:t>VCAT. </w:t>
      </w:r>
      <w:r>
        <w:rPr>
          <w:w w:val="105"/>
          <w:sz w:val="21"/>
        </w:rPr>
        <w:t>If the new Act does </w:t>
      </w:r>
      <w:r>
        <w:rPr>
          <w:spacing w:val="-2"/>
          <w:w w:val="105"/>
          <w:sz w:val="21"/>
        </w:rPr>
        <w:t>not </w:t>
      </w:r>
      <w:r>
        <w:rPr>
          <w:w w:val="105"/>
          <w:sz w:val="21"/>
        </w:rPr>
        <w:t>operate in this </w:t>
      </w:r>
      <w:r>
        <w:rPr>
          <w:spacing w:val="-3"/>
          <w:w w:val="105"/>
          <w:sz w:val="21"/>
        </w:rPr>
        <w:t>way </w:t>
      </w:r>
      <w:r>
        <w:rPr>
          <w:w w:val="105"/>
          <w:sz w:val="21"/>
        </w:rPr>
        <w:t>the affected </w:t>
      </w:r>
      <w:r>
        <w:rPr>
          <w:spacing w:val="-3"/>
          <w:w w:val="105"/>
          <w:sz w:val="21"/>
        </w:rPr>
        <w:t>neighbour cannot </w:t>
      </w:r>
      <w:r>
        <w:rPr>
          <w:w w:val="105"/>
          <w:sz w:val="21"/>
        </w:rPr>
        <w:t>remedy the </w:t>
      </w:r>
      <w:r>
        <w:rPr>
          <w:spacing w:val="-3"/>
          <w:w w:val="105"/>
          <w:sz w:val="21"/>
        </w:rPr>
        <w:t>situation </w:t>
      </w:r>
      <w:r>
        <w:rPr>
          <w:w w:val="105"/>
          <w:sz w:val="21"/>
        </w:rPr>
        <w:t>or resolve the</w:t>
      </w:r>
      <w:r>
        <w:rPr>
          <w:spacing w:val="31"/>
          <w:w w:val="105"/>
          <w:sz w:val="21"/>
        </w:rPr>
        <w:t> </w:t>
      </w:r>
      <w:r>
        <w:rPr>
          <w:spacing w:val="-3"/>
          <w:w w:val="105"/>
          <w:sz w:val="21"/>
        </w:rPr>
        <w:t>dispute.</w:t>
      </w:r>
    </w:p>
    <w:p>
      <w:pPr>
        <w:pStyle w:val="BodyText"/>
        <w:rPr>
          <w:sz w:val="20"/>
        </w:rPr>
      </w:pPr>
    </w:p>
    <w:p>
      <w:pPr>
        <w:pStyle w:val="BodyText"/>
        <w:spacing w:before="4"/>
        <w:rPr>
          <w:sz w:val="23"/>
        </w:rPr>
      </w:pPr>
      <w:r>
        <w:rPr/>
        <w:pict>
          <v:line style="position:absolute;mso-position-horizontal-relative:page;mso-position-vertical-relative:paragraph;z-index:10328;mso-wrap-distance-left:0;mso-wrap-distance-right:0" from="79.370102pt,16.695805pt" to="515.905102pt,16.69580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85"/>
        </w:numPr>
        <w:tabs>
          <w:tab w:pos="2380" w:val="left" w:leader="none"/>
          <w:tab w:pos="2382" w:val="left" w:leader="none"/>
        </w:tabs>
        <w:spacing w:line="240" w:lineRule="auto" w:before="48" w:after="0"/>
        <w:ind w:left="2381" w:right="240" w:hanging="794"/>
        <w:jc w:val="left"/>
        <w:rPr>
          <w:sz w:val="13"/>
        </w:rPr>
      </w:pPr>
      <w:r>
        <w:rPr>
          <w:w w:val="105"/>
          <w:sz w:val="13"/>
        </w:rPr>
        <w:t>Consultation 16 (Heritage </w:t>
      </w:r>
      <w:r>
        <w:rPr>
          <w:spacing w:val="2"/>
          <w:w w:val="105"/>
          <w:sz w:val="13"/>
        </w:rPr>
        <w:t>Victoria); </w:t>
      </w:r>
      <w:r>
        <w:rPr>
          <w:w w:val="105"/>
          <w:sz w:val="13"/>
        </w:rPr>
        <w:t>Permit exemptions are generally issued by the Executive Director of Heritage Victoria: </w:t>
      </w:r>
      <w:r>
        <w:rPr>
          <w:i/>
          <w:w w:val="105"/>
          <w:sz w:val="13"/>
        </w:rPr>
        <w:t>Heritage Act </w:t>
      </w:r>
      <w:r>
        <w:rPr>
          <w:i/>
          <w:spacing w:val="-4"/>
          <w:w w:val="105"/>
          <w:sz w:val="13"/>
        </w:rPr>
        <w:t>2017 </w:t>
      </w:r>
      <w:r>
        <w:rPr>
          <w:spacing w:val="2"/>
          <w:w w:val="105"/>
          <w:sz w:val="13"/>
        </w:rPr>
        <w:t>(Vic) </w:t>
      </w:r>
      <w:r>
        <w:rPr>
          <w:w w:val="105"/>
          <w:sz w:val="13"/>
        </w:rPr>
        <w:t>s </w:t>
      </w:r>
      <w:r>
        <w:rPr>
          <w:spacing w:val="2"/>
          <w:w w:val="105"/>
          <w:sz w:val="13"/>
        </w:rPr>
        <w:t>92(3); </w:t>
      </w:r>
      <w:r>
        <w:rPr>
          <w:w w:val="105"/>
          <w:sz w:val="13"/>
        </w:rPr>
        <w:t>see also section 102 for the granting of</w:t>
      </w:r>
      <w:r>
        <w:rPr>
          <w:spacing w:val="29"/>
          <w:w w:val="105"/>
          <w:sz w:val="13"/>
        </w:rPr>
        <w:t> </w:t>
      </w:r>
      <w:r>
        <w:rPr>
          <w:w w:val="105"/>
          <w:sz w:val="13"/>
        </w:rPr>
        <w:t>permits.</w:t>
      </w:r>
    </w:p>
    <w:p>
      <w:pPr>
        <w:pStyle w:val="ListParagraph"/>
        <w:numPr>
          <w:ilvl w:val="0"/>
          <w:numId w:val="185"/>
        </w:numPr>
        <w:tabs>
          <w:tab w:pos="2381" w:val="left" w:leader="none"/>
          <w:tab w:pos="2382" w:val="left" w:leader="none"/>
        </w:tabs>
        <w:spacing w:line="240" w:lineRule="auto" w:before="3" w:after="0"/>
        <w:ind w:left="2381" w:right="285" w:hanging="794"/>
        <w:jc w:val="left"/>
        <w:rPr>
          <w:sz w:val="13"/>
        </w:rPr>
      </w:pPr>
      <w:r>
        <w:rPr>
          <w:w w:val="105"/>
          <w:sz w:val="13"/>
        </w:rPr>
        <w:t>Heritage Victoria, </w:t>
      </w:r>
      <w:r>
        <w:rPr>
          <w:i/>
          <w:w w:val="105"/>
          <w:sz w:val="13"/>
        </w:rPr>
        <w:t>Policy Guideline for Heritage Permit Exemptions: Matters to be Considered in Determining Permit Exemptions under </w:t>
      </w:r>
      <w:r>
        <w:rPr>
          <w:i/>
          <w:w w:val="105"/>
          <w:sz w:val="13"/>
        </w:rPr>
        <w:t>Section</w:t>
      </w:r>
      <w:r>
        <w:rPr>
          <w:i/>
          <w:spacing w:val="5"/>
          <w:w w:val="105"/>
          <w:sz w:val="13"/>
        </w:rPr>
        <w:t> </w:t>
      </w:r>
      <w:r>
        <w:rPr>
          <w:i/>
          <w:w w:val="105"/>
          <w:sz w:val="13"/>
        </w:rPr>
        <w:t>92</w:t>
      </w:r>
      <w:r>
        <w:rPr>
          <w:i/>
          <w:spacing w:val="5"/>
          <w:w w:val="105"/>
          <w:sz w:val="13"/>
        </w:rPr>
        <w:t> </w:t>
      </w:r>
      <w:r>
        <w:rPr>
          <w:i/>
          <w:w w:val="105"/>
          <w:sz w:val="13"/>
        </w:rPr>
        <w:t>and</w:t>
      </w:r>
      <w:r>
        <w:rPr>
          <w:i/>
          <w:spacing w:val="5"/>
          <w:w w:val="105"/>
          <w:sz w:val="13"/>
        </w:rPr>
        <w:t> </w:t>
      </w:r>
      <w:r>
        <w:rPr>
          <w:i/>
          <w:w w:val="105"/>
          <w:sz w:val="13"/>
        </w:rPr>
        <w:t>49</w:t>
      </w:r>
      <w:r>
        <w:rPr>
          <w:i/>
          <w:spacing w:val="6"/>
          <w:w w:val="105"/>
          <w:sz w:val="13"/>
        </w:rPr>
        <w:t> </w:t>
      </w:r>
      <w:r>
        <w:rPr>
          <w:i/>
          <w:w w:val="105"/>
          <w:sz w:val="13"/>
        </w:rPr>
        <w:t>of</w:t>
      </w:r>
      <w:r>
        <w:rPr>
          <w:i/>
          <w:spacing w:val="5"/>
          <w:w w:val="105"/>
          <w:sz w:val="13"/>
        </w:rPr>
        <w:t> </w:t>
      </w:r>
      <w:r>
        <w:rPr>
          <w:i/>
          <w:w w:val="105"/>
          <w:sz w:val="13"/>
        </w:rPr>
        <w:t>the</w:t>
      </w:r>
      <w:r>
        <w:rPr>
          <w:i/>
          <w:spacing w:val="5"/>
          <w:w w:val="105"/>
          <w:sz w:val="13"/>
        </w:rPr>
        <w:t> </w:t>
      </w:r>
      <w:r>
        <w:rPr>
          <w:i/>
          <w:w w:val="105"/>
          <w:sz w:val="13"/>
        </w:rPr>
        <w:t>Heritage</w:t>
      </w:r>
      <w:r>
        <w:rPr>
          <w:i/>
          <w:spacing w:val="5"/>
          <w:w w:val="105"/>
          <w:sz w:val="13"/>
        </w:rPr>
        <w:t> </w:t>
      </w:r>
      <w:r>
        <w:rPr>
          <w:i/>
          <w:w w:val="105"/>
          <w:sz w:val="13"/>
        </w:rPr>
        <w:t>Act</w:t>
      </w:r>
      <w:r>
        <w:rPr>
          <w:i/>
          <w:spacing w:val="6"/>
          <w:w w:val="105"/>
          <w:sz w:val="13"/>
        </w:rPr>
        <w:t> </w:t>
      </w:r>
      <w:r>
        <w:rPr>
          <w:i/>
          <w:spacing w:val="-4"/>
          <w:w w:val="105"/>
          <w:sz w:val="13"/>
        </w:rPr>
        <w:t>2017</w:t>
      </w:r>
      <w:r>
        <w:rPr>
          <w:i/>
          <w:spacing w:val="5"/>
          <w:w w:val="105"/>
          <w:sz w:val="13"/>
        </w:rPr>
        <w:t> </w:t>
      </w:r>
      <w:r>
        <w:rPr>
          <w:w w:val="105"/>
          <w:sz w:val="13"/>
        </w:rPr>
        <w:t>(Practice</w:t>
      </w:r>
      <w:r>
        <w:rPr>
          <w:spacing w:val="5"/>
          <w:w w:val="105"/>
          <w:sz w:val="13"/>
        </w:rPr>
        <w:t> </w:t>
      </w:r>
      <w:r>
        <w:rPr>
          <w:w w:val="105"/>
          <w:sz w:val="13"/>
        </w:rPr>
        <w:t>Document,</w:t>
      </w:r>
      <w:r>
        <w:rPr>
          <w:spacing w:val="6"/>
          <w:w w:val="105"/>
          <w:sz w:val="13"/>
        </w:rPr>
        <w:t> </w:t>
      </w:r>
      <w:r>
        <w:rPr>
          <w:w w:val="105"/>
          <w:sz w:val="13"/>
        </w:rPr>
        <w:t>7</w:t>
      </w:r>
      <w:r>
        <w:rPr>
          <w:spacing w:val="5"/>
          <w:w w:val="105"/>
          <w:sz w:val="13"/>
        </w:rPr>
        <w:t> </w:t>
      </w:r>
      <w:r>
        <w:rPr>
          <w:w w:val="105"/>
          <w:sz w:val="13"/>
        </w:rPr>
        <w:t>September</w:t>
      </w:r>
      <w:r>
        <w:rPr>
          <w:spacing w:val="5"/>
          <w:w w:val="105"/>
          <w:sz w:val="13"/>
        </w:rPr>
        <w:t> </w:t>
      </w:r>
      <w:r>
        <w:rPr>
          <w:w w:val="105"/>
          <w:sz w:val="13"/>
        </w:rPr>
        <w:t>2017).</w:t>
      </w:r>
    </w:p>
    <w:p>
      <w:pPr>
        <w:pStyle w:val="ListParagraph"/>
        <w:numPr>
          <w:ilvl w:val="0"/>
          <w:numId w:val="185"/>
        </w:numPr>
        <w:tabs>
          <w:tab w:pos="2381" w:val="left" w:leader="none"/>
          <w:tab w:pos="2382" w:val="left" w:leader="none"/>
        </w:tabs>
        <w:spacing w:line="240" w:lineRule="auto" w:before="2" w:after="0"/>
        <w:ind w:left="2381" w:right="0" w:hanging="794"/>
        <w:jc w:val="left"/>
        <w:rPr>
          <w:sz w:val="13"/>
        </w:rPr>
      </w:pPr>
      <w:r>
        <w:rPr>
          <w:w w:val="105"/>
          <w:sz w:val="13"/>
        </w:rPr>
        <w:t>Consultation 16 (Heritage</w:t>
      </w:r>
      <w:r>
        <w:rPr>
          <w:spacing w:val="14"/>
          <w:w w:val="105"/>
          <w:sz w:val="13"/>
        </w:rPr>
        <w:t> </w:t>
      </w:r>
      <w:r>
        <w:rPr>
          <w:w w:val="105"/>
          <w:sz w:val="13"/>
        </w:rPr>
        <w:t>Victoria).</w:t>
      </w:r>
    </w:p>
    <w:p>
      <w:pPr>
        <w:pStyle w:val="ListParagraph"/>
        <w:numPr>
          <w:ilvl w:val="0"/>
          <w:numId w:val="185"/>
        </w:numPr>
        <w:tabs>
          <w:tab w:pos="2381" w:val="left" w:leader="none"/>
          <w:tab w:pos="2382" w:val="left" w:leader="none"/>
        </w:tabs>
        <w:spacing w:line="240" w:lineRule="auto" w:before="2" w:after="0"/>
        <w:ind w:left="2381" w:right="0" w:hanging="794"/>
        <w:jc w:val="left"/>
        <w:rPr>
          <w:sz w:val="13"/>
        </w:rPr>
      </w:pPr>
      <w:r>
        <w:rPr>
          <w:spacing w:val="2"/>
          <w:sz w:val="13"/>
        </w:rPr>
        <w:t>‘The </w:t>
      </w:r>
      <w:r>
        <w:rPr>
          <w:sz w:val="13"/>
        </w:rPr>
        <w:t>Heritage Council or the Executive Director must not make  a  determination  in  relation  to  any  works  or  activities  if  they  consider  the works</w:t>
      </w:r>
      <w:r>
        <w:rPr>
          <w:spacing w:val="21"/>
          <w:sz w:val="13"/>
        </w:rPr>
        <w:t> </w:t>
      </w:r>
      <w:r>
        <w:rPr>
          <w:sz w:val="13"/>
        </w:rPr>
        <w:t>or</w:t>
      </w:r>
      <w:r>
        <w:rPr>
          <w:spacing w:val="21"/>
          <w:sz w:val="13"/>
        </w:rPr>
        <w:t> </w:t>
      </w:r>
      <w:r>
        <w:rPr>
          <w:sz w:val="13"/>
        </w:rPr>
        <w:t>activities</w:t>
      </w:r>
      <w:r>
        <w:rPr>
          <w:spacing w:val="22"/>
          <w:sz w:val="13"/>
        </w:rPr>
        <w:t> </w:t>
      </w:r>
      <w:r>
        <w:rPr>
          <w:sz w:val="13"/>
        </w:rPr>
        <w:t>may</w:t>
      </w:r>
      <w:r>
        <w:rPr>
          <w:spacing w:val="21"/>
          <w:sz w:val="13"/>
        </w:rPr>
        <w:t> </w:t>
      </w:r>
      <w:r>
        <w:rPr>
          <w:sz w:val="13"/>
        </w:rPr>
        <w:t>harm</w:t>
      </w:r>
      <w:r>
        <w:rPr>
          <w:spacing w:val="22"/>
          <w:sz w:val="13"/>
        </w:rPr>
        <w:t> </w:t>
      </w:r>
      <w:r>
        <w:rPr>
          <w:sz w:val="13"/>
        </w:rPr>
        <w:t>the</w:t>
      </w:r>
      <w:r>
        <w:rPr>
          <w:spacing w:val="21"/>
          <w:sz w:val="13"/>
        </w:rPr>
        <w:t> </w:t>
      </w:r>
      <w:r>
        <w:rPr>
          <w:sz w:val="13"/>
        </w:rPr>
        <w:t>cultural</w:t>
      </w:r>
      <w:r>
        <w:rPr>
          <w:spacing w:val="22"/>
          <w:sz w:val="13"/>
        </w:rPr>
        <w:t> </w:t>
      </w:r>
      <w:r>
        <w:rPr>
          <w:sz w:val="13"/>
        </w:rPr>
        <w:t>heritage</w:t>
      </w:r>
      <w:r>
        <w:rPr>
          <w:spacing w:val="21"/>
          <w:sz w:val="13"/>
        </w:rPr>
        <w:t> </w:t>
      </w:r>
      <w:r>
        <w:rPr>
          <w:sz w:val="13"/>
        </w:rPr>
        <w:t>significance</w:t>
      </w:r>
      <w:r>
        <w:rPr>
          <w:spacing w:val="22"/>
          <w:sz w:val="13"/>
        </w:rPr>
        <w:t> </w:t>
      </w:r>
      <w:r>
        <w:rPr>
          <w:sz w:val="13"/>
        </w:rPr>
        <w:t>of</w:t>
      </w:r>
      <w:r>
        <w:rPr>
          <w:spacing w:val="21"/>
          <w:sz w:val="13"/>
        </w:rPr>
        <w:t> </w:t>
      </w:r>
      <w:r>
        <w:rPr>
          <w:sz w:val="13"/>
        </w:rPr>
        <w:t>the</w:t>
      </w:r>
      <w:r>
        <w:rPr>
          <w:spacing w:val="22"/>
          <w:sz w:val="13"/>
        </w:rPr>
        <w:t> </w:t>
      </w:r>
      <w:r>
        <w:rPr>
          <w:sz w:val="13"/>
        </w:rPr>
        <w:t>registered</w:t>
      </w:r>
      <w:r>
        <w:rPr>
          <w:spacing w:val="21"/>
          <w:sz w:val="13"/>
        </w:rPr>
        <w:t> </w:t>
      </w:r>
      <w:r>
        <w:rPr>
          <w:sz w:val="13"/>
        </w:rPr>
        <w:t>place</w:t>
      </w:r>
      <w:r>
        <w:rPr>
          <w:spacing w:val="22"/>
          <w:sz w:val="13"/>
        </w:rPr>
        <w:t> </w:t>
      </w:r>
      <w:r>
        <w:rPr>
          <w:sz w:val="13"/>
        </w:rPr>
        <w:t>or</w:t>
      </w:r>
      <w:r>
        <w:rPr>
          <w:spacing w:val="21"/>
          <w:sz w:val="13"/>
        </w:rPr>
        <w:t> </w:t>
      </w:r>
      <w:r>
        <w:rPr>
          <w:sz w:val="13"/>
        </w:rPr>
        <w:t>registered</w:t>
      </w:r>
      <w:r>
        <w:rPr>
          <w:spacing w:val="22"/>
          <w:sz w:val="13"/>
        </w:rPr>
        <w:t> </w:t>
      </w:r>
      <w:r>
        <w:rPr>
          <w:sz w:val="13"/>
        </w:rPr>
        <w:t>object.’:</w:t>
      </w:r>
      <w:r>
        <w:rPr>
          <w:spacing w:val="21"/>
          <w:sz w:val="13"/>
        </w:rPr>
        <w:t> </w:t>
      </w:r>
      <w:r>
        <w:rPr>
          <w:i/>
          <w:sz w:val="13"/>
        </w:rPr>
        <w:t>Heritage</w:t>
      </w:r>
      <w:r>
        <w:rPr>
          <w:i/>
          <w:spacing w:val="22"/>
          <w:sz w:val="13"/>
        </w:rPr>
        <w:t> </w:t>
      </w:r>
      <w:r>
        <w:rPr>
          <w:i/>
          <w:sz w:val="13"/>
        </w:rPr>
        <w:t>Act</w:t>
      </w:r>
      <w:r>
        <w:rPr>
          <w:i/>
          <w:spacing w:val="21"/>
          <w:sz w:val="13"/>
        </w:rPr>
        <w:t> </w:t>
      </w:r>
      <w:r>
        <w:rPr>
          <w:i/>
          <w:spacing w:val="-4"/>
          <w:sz w:val="13"/>
        </w:rPr>
        <w:t>2017 </w:t>
      </w:r>
      <w:r>
        <w:rPr>
          <w:spacing w:val="2"/>
          <w:sz w:val="13"/>
        </w:rPr>
        <w:t>(Vic)</w:t>
      </w:r>
      <w:r>
        <w:rPr>
          <w:spacing w:val="22"/>
          <w:sz w:val="13"/>
        </w:rPr>
        <w:t> </w:t>
      </w:r>
      <w:r>
        <w:rPr>
          <w:sz w:val="13"/>
        </w:rPr>
        <w:t>s</w:t>
      </w:r>
      <w:r>
        <w:rPr>
          <w:spacing w:val="21"/>
          <w:sz w:val="13"/>
        </w:rPr>
        <w:t> </w:t>
      </w:r>
      <w:r>
        <w:rPr>
          <w:spacing w:val="2"/>
          <w:sz w:val="13"/>
        </w:rPr>
        <w:t>92(5).</w:t>
      </w:r>
    </w:p>
    <w:p>
      <w:pPr>
        <w:pStyle w:val="ListParagraph"/>
        <w:numPr>
          <w:ilvl w:val="0"/>
          <w:numId w:val="185"/>
        </w:numPr>
        <w:tabs>
          <w:tab w:pos="2381" w:val="left" w:leader="none"/>
          <w:tab w:pos="2382" w:val="left" w:leader="none"/>
        </w:tabs>
        <w:spacing w:line="240" w:lineRule="auto" w:before="2" w:after="0"/>
        <w:ind w:left="2381" w:right="480" w:hanging="794"/>
        <w:jc w:val="left"/>
        <w:rPr>
          <w:sz w:val="13"/>
        </w:rPr>
      </w:pPr>
      <w:r>
        <w:rPr>
          <w:w w:val="105"/>
          <w:sz w:val="13"/>
        </w:rPr>
        <w:t>Heritage Council Victoria, </w:t>
      </w:r>
      <w:r>
        <w:rPr>
          <w:i/>
          <w:w w:val="105"/>
          <w:sz w:val="13"/>
        </w:rPr>
        <w:t>The Victorian Heritage Register </w:t>
      </w:r>
      <w:r>
        <w:rPr>
          <w:w w:val="105"/>
          <w:sz w:val="13"/>
        </w:rPr>
        <w:t>(2019) &lt;https://heritagecouncil.vic.gov.au/heritage-protection/levels-of- protection/&gt;.</w:t>
      </w:r>
    </w:p>
    <w:p>
      <w:pPr>
        <w:pStyle w:val="BodyText"/>
        <w:rPr>
          <w:sz w:val="28"/>
        </w:rPr>
      </w:pPr>
      <w:r>
        <w:rPr/>
        <w:br w:type="column"/>
      </w:r>
      <w:r>
        <w:rPr>
          <w:sz w:val="28"/>
        </w:rPr>
      </w:r>
    </w:p>
    <w:p>
      <w:pPr>
        <w:pStyle w:val="BodyText"/>
        <w:rPr>
          <w:sz w:val="28"/>
        </w:rPr>
      </w:pPr>
    </w:p>
    <w:p>
      <w:pPr>
        <w:pStyle w:val="BodyText"/>
        <w:rPr>
          <w:sz w:val="28"/>
        </w:rPr>
      </w:pPr>
    </w:p>
    <w:p>
      <w:pPr>
        <w:spacing w:before="198"/>
        <w:ind w:left="591" w:right="575" w:firstLine="0"/>
        <w:jc w:val="center"/>
        <w:rPr>
          <w:b/>
          <w:sz w:val="24"/>
        </w:rPr>
      </w:pPr>
      <w:r>
        <w:rPr>
          <w:b/>
          <w:color w:val="658464"/>
          <w:w w:val="110"/>
          <w:sz w:val="24"/>
        </w:rPr>
        <w:t>253</w:t>
      </w:r>
    </w:p>
    <w:p>
      <w:pPr>
        <w:spacing w:after="0"/>
        <w:jc w:val="center"/>
        <w:rPr>
          <w:sz w:val="24"/>
        </w:rPr>
        <w:sectPr>
          <w:type w:val="continuous"/>
          <w:pgSz w:w="11910" w:h="16840"/>
          <w:pgMar w:top="300" w:bottom="280" w:left="0" w:right="0"/>
          <w:cols w:num="2" w:equalWidth="0">
            <w:col w:w="10262" w:space="40"/>
            <w:col w:w="1608"/>
          </w:cols>
        </w:sectPr>
      </w:pPr>
    </w:p>
    <w:p>
      <w:pPr>
        <w:pStyle w:val="BodyText"/>
        <w:spacing w:before="8"/>
        <w:rPr>
          <w:b/>
          <w:sz w:val="22"/>
        </w:rPr>
      </w:pPr>
    </w:p>
    <w:p>
      <w:pPr>
        <w:pStyle w:val="ListParagraph"/>
        <w:numPr>
          <w:ilvl w:val="0"/>
          <w:numId w:val="173"/>
        </w:numPr>
        <w:tabs>
          <w:tab w:pos="2382" w:val="left" w:leader="none"/>
        </w:tabs>
        <w:spacing w:line="242" w:lineRule="auto" w:before="93" w:after="0"/>
        <w:ind w:left="2381" w:right="1924" w:hanging="794"/>
        <w:jc w:val="left"/>
        <w:rPr>
          <w:sz w:val="21"/>
        </w:rPr>
      </w:pPr>
      <w:r>
        <w:rPr>
          <w:sz w:val="21"/>
        </w:rPr>
        <w:t>The Heritage Act is </w:t>
      </w:r>
      <w:r>
        <w:rPr>
          <w:spacing w:val="-3"/>
          <w:sz w:val="21"/>
        </w:rPr>
        <w:t>limited </w:t>
      </w:r>
      <w:r>
        <w:rPr>
          <w:sz w:val="21"/>
        </w:rPr>
        <w:t>by an emergency order under the </w:t>
      </w:r>
      <w:r>
        <w:rPr>
          <w:i/>
          <w:spacing w:val="-3"/>
          <w:sz w:val="21"/>
        </w:rPr>
        <w:t>Building </w:t>
      </w:r>
      <w:r>
        <w:rPr>
          <w:i/>
          <w:sz w:val="21"/>
        </w:rPr>
        <w:t>Act </w:t>
      </w:r>
      <w:r>
        <w:rPr>
          <w:i/>
          <w:spacing w:val="-6"/>
          <w:sz w:val="21"/>
        </w:rPr>
        <w:t>1993 </w:t>
      </w:r>
      <w:r>
        <w:rPr>
          <w:sz w:val="21"/>
        </w:rPr>
        <w:t>(Vic) </w:t>
      </w:r>
      <w:r>
        <w:rPr>
          <w:spacing w:val="-3"/>
          <w:sz w:val="21"/>
        </w:rPr>
        <w:t>relating to </w:t>
      </w:r>
      <w:r>
        <w:rPr>
          <w:sz w:val="21"/>
        </w:rPr>
        <w:t>the </w:t>
      </w:r>
      <w:r>
        <w:rPr>
          <w:spacing w:val="-3"/>
          <w:sz w:val="21"/>
        </w:rPr>
        <w:t>securing, pulling </w:t>
      </w:r>
      <w:r>
        <w:rPr>
          <w:sz w:val="21"/>
        </w:rPr>
        <w:t>down or </w:t>
      </w:r>
      <w:r>
        <w:rPr>
          <w:spacing w:val="-3"/>
          <w:sz w:val="21"/>
        </w:rPr>
        <w:t>removal </w:t>
      </w:r>
      <w:r>
        <w:rPr>
          <w:sz w:val="21"/>
        </w:rPr>
        <w:t>of </w:t>
      </w:r>
      <w:r>
        <w:rPr>
          <w:spacing w:val="-3"/>
          <w:sz w:val="21"/>
        </w:rPr>
        <w:t>dangerous buildings </w:t>
      </w:r>
      <w:r>
        <w:rPr>
          <w:sz w:val="21"/>
        </w:rPr>
        <w:t>if a </w:t>
      </w:r>
      <w:r>
        <w:rPr>
          <w:spacing w:val="-3"/>
          <w:sz w:val="21"/>
        </w:rPr>
        <w:t>municipal building  </w:t>
      </w:r>
      <w:r>
        <w:rPr>
          <w:sz w:val="21"/>
        </w:rPr>
        <w:t>surveyor is of the opinion </w:t>
      </w:r>
      <w:r>
        <w:rPr>
          <w:spacing w:val="-3"/>
          <w:sz w:val="21"/>
        </w:rPr>
        <w:t>that</w:t>
      </w:r>
      <w:r>
        <w:rPr>
          <w:spacing w:val="41"/>
          <w:sz w:val="21"/>
        </w:rPr>
        <w:t> </w:t>
      </w:r>
      <w:r>
        <w:rPr>
          <w:sz w:val="21"/>
        </w:rPr>
        <w:t>the order is necessary because of a danger </w:t>
      </w:r>
      <w:r>
        <w:rPr>
          <w:spacing w:val="-3"/>
          <w:sz w:val="21"/>
        </w:rPr>
        <w:t>to   life </w:t>
      </w:r>
      <w:r>
        <w:rPr>
          <w:sz w:val="21"/>
        </w:rPr>
        <w:t>or property.</w:t>
      </w:r>
      <w:r>
        <w:rPr>
          <w:position w:val="7"/>
          <w:sz w:val="12"/>
        </w:rPr>
        <w:t>328 </w:t>
      </w:r>
      <w:r>
        <w:rPr>
          <w:sz w:val="21"/>
        </w:rPr>
        <w:t>Section 86 of the Heritage Act should be expanded </w:t>
      </w:r>
      <w:r>
        <w:rPr>
          <w:spacing w:val="-3"/>
          <w:sz w:val="21"/>
        </w:rPr>
        <w:t>to </w:t>
      </w:r>
      <w:r>
        <w:rPr>
          <w:sz w:val="21"/>
        </w:rPr>
        <w:t>encompass </w:t>
      </w:r>
      <w:r>
        <w:rPr>
          <w:spacing w:val="-3"/>
          <w:sz w:val="21"/>
        </w:rPr>
        <w:t>circumstances </w:t>
      </w:r>
      <w:r>
        <w:rPr>
          <w:sz w:val="21"/>
        </w:rPr>
        <w:t>where an emergency order is made under the new Act </w:t>
      </w:r>
      <w:r>
        <w:rPr>
          <w:spacing w:val="-3"/>
          <w:sz w:val="21"/>
        </w:rPr>
        <w:t>to remove </w:t>
      </w:r>
      <w:r>
        <w:rPr>
          <w:sz w:val="21"/>
        </w:rPr>
        <w:t>a </w:t>
      </w:r>
      <w:r>
        <w:rPr>
          <w:spacing w:val="-3"/>
          <w:sz w:val="21"/>
        </w:rPr>
        <w:t>dangerous </w:t>
      </w:r>
      <w:r>
        <w:rPr>
          <w:sz w:val="21"/>
        </w:rPr>
        <w:t>tree/s where </w:t>
      </w:r>
      <w:r>
        <w:rPr>
          <w:spacing w:val="-5"/>
          <w:sz w:val="21"/>
        </w:rPr>
        <w:t>VCAT </w:t>
      </w:r>
      <w:r>
        <w:rPr>
          <w:spacing w:val="-2"/>
          <w:sz w:val="21"/>
        </w:rPr>
        <w:t>has </w:t>
      </w:r>
      <w:r>
        <w:rPr>
          <w:sz w:val="21"/>
        </w:rPr>
        <w:t>decided </w:t>
      </w:r>
      <w:r>
        <w:rPr>
          <w:spacing w:val="-3"/>
          <w:sz w:val="21"/>
        </w:rPr>
        <w:t>that </w:t>
      </w:r>
      <w:r>
        <w:rPr>
          <w:sz w:val="21"/>
        </w:rPr>
        <w:t>there is an </w:t>
      </w:r>
      <w:r>
        <w:rPr>
          <w:spacing w:val="-3"/>
          <w:sz w:val="21"/>
        </w:rPr>
        <w:t>imminent </w:t>
      </w:r>
      <w:r>
        <w:rPr>
          <w:sz w:val="21"/>
        </w:rPr>
        <w:t>danger </w:t>
      </w:r>
      <w:r>
        <w:rPr>
          <w:spacing w:val="-3"/>
          <w:sz w:val="21"/>
        </w:rPr>
        <w:t>to life</w:t>
      </w:r>
      <w:r>
        <w:rPr>
          <w:spacing w:val="25"/>
          <w:sz w:val="21"/>
        </w:rPr>
        <w:t> </w:t>
      </w:r>
      <w:r>
        <w:rPr>
          <w:sz w:val="21"/>
        </w:rPr>
        <w:t>or</w:t>
      </w:r>
    </w:p>
    <w:p>
      <w:pPr>
        <w:pStyle w:val="BodyText"/>
        <w:spacing w:line="242" w:lineRule="auto" w:before="6"/>
        <w:ind w:left="2381" w:right="1636"/>
      </w:pPr>
      <w:r>
        <w:rPr/>
        <w:t>property. An arborist’s assessment should be obtained in these circumstances to properly assess risk. However, this would ultimately be a decision for VCAT.</w:t>
      </w:r>
    </w:p>
    <w:p>
      <w:pPr>
        <w:pStyle w:val="ListParagraph"/>
        <w:numPr>
          <w:ilvl w:val="0"/>
          <w:numId w:val="173"/>
        </w:numPr>
        <w:tabs>
          <w:tab w:pos="2381" w:val="left" w:leader="none"/>
        </w:tabs>
        <w:spacing w:line="242" w:lineRule="auto" w:before="122" w:after="0"/>
        <w:ind w:left="2380" w:right="1621" w:hanging="793"/>
        <w:jc w:val="left"/>
        <w:rPr>
          <w:sz w:val="21"/>
        </w:rPr>
      </w:pPr>
      <w:r>
        <w:rPr>
          <w:w w:val="105"/>
          <w:sz w:val="21"/>
        </w:rPr>
        <w:t>The </w:t>
      </w:r>
      <w:r>
        <w:rPr>
          <w:spacing w:val="-3"/>
          <w:w w:val="105"/>
          <w:sz w:val="21"/>
        </w:rPr>
        <w:t>Commission recommends that safeguards </w:t>
      </w:r>
      <w:r>
        <w:rPr>
          <w:w w:val="105"/>
          <w:sz w:val="21"/>
        </w:rPr>
        <w:t>should apply </w:t>
      </w:r>
      <w:r>
        <w:rPr>
          <w:spacing w:val="-3"/>
          <w:w w:val="105"/>
          <w:sz w:val="21"/>
        </w:rPr>
        <w:t>to </w:t>
      </w:r>
      <w:r>
        <w:rPr>
          <w:w w:val="105"/>
          <w:sz w:val="21"/>
        </w:rPr>
        <w:t>enable Heritage Victoria, and</w:t>
      </w:r>
      <w:r>
        <w:rPr>
          <w:spacing w:val="-7"/>
          <w:w w:val="105"/>
          <w:sz w:val="21"/>
        </w:rPr>
        <w:t> </w:t>
      </w:r>
      <w:r>
        <w:rPr>
          <w:w w:val="105"/>
          <w:sz w:val="21"/>
        </w:rPr>
        <w:t>the</w:t>
      </w:r>
      <w:r>
        <w:rPr>
          <w:spacing w:val="-6"/>
          <w:w w:val="105"/>
          <w:sz w:val="21"/>
        </w:rPr>
        <w:t> </w:t>
      </w:r>
      <w:r>
        <w:rPr>
          <w:spacing w:val="-3"/>
          <w:w w:val="105"/>
          <w:sz w:val="21"/>
        </w:rPr>
        <w:t>National</w:t>
      </w:r>
      <w:r>
        <w:rPr>
          <w:spacing w:val="-7"/>
          <w:w w:val="105"/>
          <w:sz w:val="21"/>
        </w:rPr>
        <w:t> </w:t>
      </w:r>
      <w:r>
        <w:rPr>
          <w:spacing w:val="-4"/>
          <w:w w:val="105"/>
          <w:sz w:val="21"/>
        </w:rPr>
        <w:t>Trust</w:t>
      </w:r>
      <w:r>
        <w:rPr>
          <w:spacing w:val="-6"/>
          <w:w w:val="105"/>
          <w:sz w:val="21"/>
        </w:rPr>
        <w:t> </w:t>
      </w:r>
      <w:r>
        <w:rPr>
          <w:w w:val="105"/>
          <w:sz w:val="21"/>
        </w:rPr>
        <w:t>of</w:t>
      </w:r>
      <w:r>
        <w:rPr>
          <w:spacing w:val="-7"/>
          <w:w w:val="105"/>
          <w:sz w:val="21"/>
        </w:rPr>
        <w:t> </w:t>
      </w:r>
      <w:r>
        <w:rPr>
          <w:spacing w:val="-3"/>
          <w:w w:val="105"/>
          <w:sz w:val="21"/>
        </w:rPr>
        <w:t>Australia</w:t>
      </w:r>
      <w:r>
        <w:rPr>
          <w:spacing w:val="-6"/>
          <w:w w:val="105"/>
          <w:sz w:val="21"/>
        </w:rPr>
        <w:t> </w:t>
      </w:r>
      <w:r>
        <w:rPr>
          <w:w w:val="105"/>
          <w:sz w:val="21"/>
        </w:rPr>
        <w:t>(Victoria),</w:t>
      </w:r>
      <w:r>
        <w:rPr>
          <w:w w:val="105"/>
          <w:position w:val="7"/>
          <w:sz w:val="12"/>
        </w:rPr>
        <w:t>329</w:t>
      </w:r>
      <w:r>
        <w:rPr>
          <w:spacing w:val="16"/>
          <w:w w:val="105"/>
          <w:position w:val="7"/>
          <w:sz w:val="12"/>
        </w:rPr>
        <w:t> </w:t>
      </w:r>
      <w:r>
        <w:rPr>
          <w:spacing w:val="-3"/>
          <w:w w:val="105"/>
          <w:sz w:val="21"/>
        </w:rPr>
        <w:t>to</w:t>
      </w:r>
      <w:r>
        <w:rPr>
          <w:spacing w:val="-6"/>
          <w:w w:val="105"/>
          <w:sz w:val="21"/>
        </w:rPr>
        <w:t> </w:t>
      </w:r>
      <w:r>
        <w:rPr>
          <w:w w:val="105"/>
          <w:sz w:val="21"/>
        </w:rPr>
        <w:t>participate</w:t>
      </w:r>
      <w:r>
        <w:rPr>
          <w:spacing w:val="-7"/>
          <w:w w:val="105"/>
          <w:sz w:val="21"/>
        </w:rPr>
        <w:t> </w:t>
      </w:r>
      <w:r>
        <w:rPr>
          <w:w w:val="105"/>
          <w:sz w:val="21"/>
        </w:rPr>
        <w:t>in</w:t>
      </w:r>
      <w:r>
        <w:rPr>
          <w:spacing w:val="-6"/>
          <w:w w:val="105"/>
          <w:sz w:val="21"/>
        </w:rPr>
        <w:t> </w:t>
      </w:r>
      <w:r>
        <w:rPr>
          <w:w w:val="105"/>
          <w:sz w:val="21"/>
        </w:rPr>
        <w:t>tree</w:t>
      </w:r>
      <w:r>
        <w:rPr>
          <w:spacing w:val="-7"/>
          <w:w w:val="105"/>
          <w:sz w:val="21"/>
        </w:rPr>
        <w:t> </w:t>
      </w:r>
      <w:r>
        <w:rPr>
          <w:spacing w:val="-3"/>
          <w:w w:val="105"/>
          <w:sz w:val="21"/>
        </w:rPr>
        <w:t>dispute</w:t>
      </w:r>
      <w:r>
        <w:rPr>
          <w:spacing w:val="-6"/>
          <w:w w:val="105"/>
          <w:sz w:val="21"/>
        </w:rPr>
        <w:t> </w:t>
      </w:r>
      <w:r>
        <w:rPr>
          <w:spacing w:val="-3"/>
          <w:w w:val="105"/>
          <w:sz w:val="21"/>
        </w:rPr>
        <w:t>hearings.</w:t>
      </w:r>
      <w:r>
        <w:rPr>
          <w:spacing w:val="-7"/>
          <w:w w:val="105"/>
          <w:sz w:val="21"/>
        </w:rPr>
        <w:t> </w:t>
      </w:r>
      <w:r>
        <w:rPr>
          <w:w w:val="105"/>
          <w:sz w:val="21"/>
        </w:rPr>
        <w:t>The application </w:t>
      </w:r>
      <w:r>
        <w:rPr>
          <w:spacing w:val="-3"/>
          <w:w w:val="105"/>
          <w:sz w:val="21"/>
        </w:rPr>
        <w:t>form </w:t>
      </w:r>
      <w:r>
        <w:rPr>
          <w:w w:val="105"/>
          <w:sz w:val="21"/>
        </w:rPr>
        <w:t>should also seek </w:t>
      </w:r>
      <w:r>
        <w:rPr>
          <w:spacing w:val="-3"/>
          <w:w w:val="105"/>
          <w:sz w:val="21"/>
        </w:rPr>
        <w:t>information </w:t>
      </w:r>
      <w:r>
        <w:rPr>
          <w:w w:val="105"/>
          <w:sz w:val="21"/>
        </w:rPr>
        <w:t>about whether Heritage laws </w:t>
      </w:r>
      <w:r>
        <w:rPr>
          <w:spacing w:val="-3"/>
          <w:w w:val="105"/>
          <w:sz w:val="21"/>
        </w:rPr>
        <w:t>might </w:t>
      </w:r>
      <w:r>
        <w:rPr>
          <w:w w:val="105"/>
          <w:sz w:val="21"/>
        </w:rPr>
        <w:t>apply </w:t>
      </w:r>
      <w:r>
        <w:rPr>
          <w:spacing w:val="-3"/>
          <w:w w:val="105"/>
          <w:sz w:val="21"/>
        </w:rPr>
        <w:t>to </w:t>
      </w:r>
      <w:r>
        <w:rPr>
          <w:w w:val="105"/>
          <w:sz w:val="21"/>
        </w:rPr>
        <w:t>the </w:t>
      </w:r>
      <w:r>
        <w:rPr>
          <w:spacing w:val="-3"/>
          <w:w w:val="105"/>
          <w:sz w:val="21"/>
        </w:rPr>
        <w:t>management </w:t>
      </w:r>
      <w:r>
        <w:rPr>
          <w:w w:val="105"/>
          <w:sz w:val="21"/>
        </w:rPr>
        <w:t>of the </w:t>
      </w:r>
      <w:r>
        <w:rPr>
          <w:spacing w:val="-3"/>
          <w:w w:val="105"/>
          <w:sz w:val="21"/>
        </w:rPr>
        <w:t>tree. </w:t>
      </w:r>
      <w:r>
        <w:rPr>
          <w:w w:val="105"/>
          <w:sz w:val="21"/>
        </w:rPr>
        <w:t>See </w:t>
      </w:r>
      <w:r>
        <w:rPr>
          <w:spacing w:val="-4"/>
          <w:w w:val="105"/>
          <w:sz w:val="21"/>
        </w:rPr>
        <w:t>Chapter</w:t>
      </w:r>
      <w:r>
        <w:rPr>
          <w:spacing w:val="5"/>
          <w:w w:val="105"/>
          <w:sz w:val="21"/>
        </w:rPr>
        <w:t> </w:t>
      </w:r>
      <w:r>
        <w:rPr>
          <w:w w:val="105"/>
          <w:sz w:val="21"/>
        </w:rPr>
        <w:t>5.</w:t>
      </w:r>
    </w:p>
    <w:p>
      <w:pPr>
        <w:pStyle w:val="ListParagraph"/>
        <w:numPr>
          <w:ilvl w:val="0"/>
          <w:numId w:val="173"/>
        </w:numPr>
        <w:tabs>
          <w:tab w:pos="2381" w:val="left" w:leader="none"/>
        </w:tabs>
        <w:spacing w:line="242" w:lineRule="auto" w:before="125" w:after="0"/>
        <w:ind w:left="2380" w:right="1624" w:hanging="793"/>
        <w:jc w:val="left"/>
        <w:rPr>
          <w:sz w:val="12"/>
        </w:rPr>
      </w:pPr>
      <w:r>
        <w:rPr>
          <w:sz w:val="21"/>
        </w:rPr>
        <w:t>Where a decision is made </w:t>
      </w:r>
      <w:r>
        <w:rPr>
          <w:spacing w:val="-3"/>
          <w:sz w:val="21"/>
        </w:rPr>
        <w:t>to interfere </w:t>
      </w:r>
      <w:r>
        <w:rPr>
          <w:sz w:val="21"/>
        </w:rPr>
        <w:t>with a tree </w:t>
      </w:r>
      <w:r>
        <w:rPr>
          <w:spacing w:val="-3"/>
          <w:sz w:val="21"/>
        </w:rPr>
        <w:t>for  </w:t>
      </w:r>
      <w:r>
        <w:rPr>
          <w:sz w:val="21"/>
        </w:rPr>
        <w:t>which authorisation would </w:t>
      </w:r>
      <w:r>
        <w:rPr>
          <w:spacing w:val="-3"/>
          <w:sz w:val="21"/>
        </w:rPr>
        <w:t>ordinarily  </w:t>
      </w:r>
      <w:r>
        <w:rPr>
          <w:sz w:val="21"/>
        </w:rPr>
        <w:t>be </w:t>
      </w:r>
      <w:r>
        <w:rPr>
          <w:spacing w:val="-3"/>
          <w:sz w:val="21"/>
        </w:rPr>
        <w:t>required </w:t>
      </w:r>
      <w:r>
        <w:rPr>
          <w:sz w:val="21"/>
        </w:rPr>
        <w:t>by Heritage Victoria, the </w:t>
      </w:r>
      <w:r>
        <w:rPr>
          <w:spacing w:val="-3"/>
          <w:sz w:val="21"/>
        </w:rPr>
        <w:t>Commission recommends that  </w:t>
      </w:r>
      <w:r>
        <w:rPr>
          <w:sz w:val="21"/>
        </w:rPr>
        <w:t>the  </w:t>
      </w:r>
      <w:r>
        <w:rPr>
          <w:spacing w:val="-5"/>
          <w:sz w:val="21"/>
        </w:rPr>
        <w:t>VCAT  </w:t>
      </w:r>
      <w:r>
        <w:rPr>
          <w:sz w:val="21"/>
        </w:rPr>
        <w:t>decision </w:t>
      </w:r>
      <w:r>
        <w:rPr>
          <w:spacing w:val="-4"/>
          <w:sz w:val="21"/>
        </w:rPr>
        <w:t>maker </w:t>
      </w:r>
      <w:r>
        <w:rPr>
          <w:spacing w:val="-3"/>
          <w:sz w:val="21"/>
        </w:rPr>
        <w:t>consider </w:t>
      </w:r>
      <w:r>
        <w:rPr>
          <w:sz w:val="21"/>
        </w:rPr>
        <w:t>the factors </w:t>
      </w:r>
      <w:r>
        <w:rPr>
          <w:spacing w:val="-3"/>
          <w:sz w:val="21"/>
        </w:rPr>
        <w:t>that </w:t>
      </w:r>
      <w:r>
        <w:rPr>
          <w:sz w:val="21"/>
        </w:rPr>
        <w:t>Heritage Victoria would be </w:t>
      </w:r>
      <w:r>
        <w:rPr>
          <w:spacing w:val="-3"/>
          <w:sz w:val="21"/>
        </w:rPr>
        <w:t>required to consider </w:t>
      </w:r>
      <w:r>
        <w:rPr>
          <w:sz w:val="21"/>
        </w:rPr>
        <w:t>under the Heritage Act. </w:t>
      </w:r>
      <w:r>
        <w:rPr>
          <w:spacing w:val="-4"/>
          <w:sz w:val="21"/>
        </w:rPr>
        <w:t>Further, </w:t>
      </w:r>
      <w:r>
        <w:rPr>
          <w:sz w:val="21"/>
        </w:rPr>
        <w:t>where a heritage-listed tree is </w:t>
      </w:r>
      <w:r>
        <w:rPr>
          <w:spacing w:val="-3"/>
          <w:sz w:val="21"/>
        </w:rPr>
        <w:t>removed, </w:t>
      </w:r>
      <w:r>
        <w:rPr>
          <w:sz w:val="21"/>
        </w:rPr>
        <w:t>it </w:t>
      </w:r>
      <w:r>
        <w:rPr>
          <w:spacing w:val="-3"/>
          <w:sz w:val="21"/>
        </w:rPr>
        <w:t>recommends that </w:t>
      </w:r>
      <w:r>
        <w:rPr>
          <w:sz w:val="21"/>
        </w:rPr>
        <w:t>the decision </w:t>
      </w:r>
      <w:r>
        <w:rPr>
          <w:spacing w:val="-4"/>
          <w:sz w:val="21"/>
        </w:rPr>
        <w:t>maker </w:t>
      </w:r>
      <w:r>
        <w:rPr>
          <w:spacing w:val="-3"/>
          <w:sz w:val="21"/>
        </w:rPr>
        <w:t>consider requiring </w:t>
      </w:r>
      <w:r>
        <w:rPr>
          <w:sz w:val="21"/>
        </w:rPr>
        <w:t>a </w:t>
      </w:r>
      <w:r>
        <w:rPr>
          <w:spacing w:val="-3"/>
          <w:sz w:val="21"/>
        </w:rPr>
        <w:t>replacement </w:t>
      </w:r>
      <w:r>
        <w:rPr>
          <w:sz w:val="21"/>
        </w:rPr>
        <w:t>tree </w:t>
      </w:r>
      <w:r>
        <w:rPr>
          <w:spacing w:val="-3"/>
          <w:sz w:val="21"/>
        </w:rPr>
        <w:t>to </w:t>
      </w:r>
      <w:r>
        <w:rPr>
          <w:sz w:val="21"/>
        </w:rPr>
        <w:t>be </w:t>
      </w:r>
      <w:r>
        <w:rPr>
          <w:spacing w:val="-3"/>
          <w:sz w:val="21"/>
        </w:rPr>
        <w:t>planted </w:t>
      </w:r>
      <w:r>
        <w:rPr>
          <w:sz w:val="21"/>
        </w:rPr>
        <w:t>as occurs in Heritage Victoria decision-making</w:t>
      </w:r>
      <w:r>
        <w:rPr>
          <w:spacing w:val="17"/>
          <w:sz w:val="21"/>
        </w:rPr>
        <w:t> </w:t>
      </w:r>
      <w:r>
        <w:rPr>
          <w:sz w:val="21"/>
        </w:rPr>
        <w:t>process.</w:t>
      </w:r>
      <w:r>
        <w:rPr>
          <w:position w:val="7"/>
          <w:sz w:val="12"/>
        </w:rPr>
        <w:t>330</w:t>
      </w:r>
    </w:p>
    <w:p>
      <w:pPr>
        <w:pStyle w:val="BodyText"/>
        <w:spacing w:before="6"/>
        <w:rPr>
          <w:sz w:val="23"/>
        </w:rPr>
      </w:pPr>
      <w:r>
        <w:rPr/>
        <w:pict>
          <v:group style="position:absolute;margin-left:62.362202pt;margin-top:16.326246pt;width:479.1pt;height:302.4pt;mso-position-horizontal-relative:page;mso-position-vertical-relative:paragraph;z-index:10400;mso-wrap-distance-left:0;mso-wrap-distance-right:0" coordorigin="1247,327" coordsize="9582,6048">
            <v:rect style="position:absolute;left:1587;top:326;width:8731;height:6048" filled="true" fillcolor="#dbe0dd" stroked="false">
              <v:fill type="solid"/>
            </v:rect>
            <v:line style="position:absolute" from="1247,1073" to="10828,1073" stroked="true" strokeweight="2.5pt" strokecolor="#ffffff">
              <v:stroke dashstyle="solid"/>
            </v:line>
            <v:shape style="position:absolute;left:1587;top:1098;width:8731;height:5276" type="#_x0000_t202" filled="true" fillcolor="#dbe0dd" stroked="false">
              <v:textbox inset="0,0,0,0">
                <w:txbxContent>
                  <w:p>
                    <w:pPr>
                      <w:numPr>
                        <w:ilvl w:val="0"/>
                        <w:numId w:val="186"/>
                      </w:numPr>
                      <w:tabs>
                        <w:tab w:pos="851" w:val="left" w:leader="none"/>
                        <w:tab w:pos="852" w:val="left" w:leader="none"/>
                      </w:tabs>
                      <w:spacing w:line="242" w:lineRule="auto" w:before="205"/>
                      <w:ind w:left="793" w:right="502" w:hanging="567"/>
                      <w:jc w:val="left"/>
                      <w:rPr>
                        <w:sz w:val="21"/>
                      </w:rPr>
                    </w:pPr>
                    <w:r>
                      <w:rPr/>
                      <w:tab/>
                    </w:r>
                    <w:r>
                      <w:rPr>
                        <w:w w:val="110"/>
                        <w:sz w:val="21"/>
                      </w:rPr>
                      <w:t>Section 86 of the </w:t>
                    </w:r>
                    <w:r>
                      <w:rPr>
                        <w:rFonts w:ascii="Lucida Sans"/>
                        <w:i/>
                        <w:w w:val="110"/>
                        <w:sz w:val="21"/>
                      </w:rPr>
                      <w:t>Heritage Act </w:t>
                    </w:r>
                    <w:r>
                      <w:rPr>
                        <w:rFonts w:ascii="Lucida Sans"/>
                        <w:i/>
                        <w:spacing w:val="-6"/>
                        <w:w w:val="110"/>
                        <w:sz w:val="21"/>
                      </w:rPr>
                      <w:t>2017 </w:t>
                    </w:r>
                    <w:r>
                      <w:rPr>
                        <w:w w:val="110"/>
                        <w:sz w:val="21"/>
                      </w:rPr>
                      <w:t>(Vic) should be amended to provide that the operation of the Heritage Act is subject to </w:t>
                    </w:r>
                    <w:r>
                      <w:rPr>
                        <w:spacing w:val="-2"/>
                        <w:w w:val="110"/>
                        <w:sz w:val="21"/>
                      </w:rPr>
                      <w:t>any </w:t>
                    </w:r>
                    <w:r>
                      <w:rPr>
                        <w:w w:val="110"/>
                        <w:sz w:val="21"/>
                      </w:rPr>
                      <w:t>order under the new Act</w:t>
                    </w:r>
                    <w:r>
                      <w:rPr>
                        <w:spacing w:val="20"/>
                        <w:w w:val="110"/>
                        <w:sz w:val="21"/>
                      </w:rPr>
                      <w:t> </w:t>
                    </w:r>
                    <w:r>
                      <w:rPr>
                        <w:w w:val="110"/>
                        <w:sz w:val="21"/>
                      </w:rPr>
                      <w:t>where</w:t>
                    </w:r>
                    <w:r>
                      <w:rPr>
                        <w:spacing w:val="20"/>
                        <w:w w:val="110"/>
                        <w:sz w:val="21"/>
                      </w:rPr>
                      <w:t> </w:t>
                    </w:r>
                    <w:r>
                      <w:rPr>
                        <w:w w:val="110"/>
                        <w:sz w:val="21"/>
                      </w:rPr>
                      <w:t>the</w:t>
                    </w:r>
                    <w:r>
                      <w:rPr>
                        <w:spacing w:val="20"/>
                        <w:w w:val="110"/>
                        <w:sz w:val="21"/>
                      </w:rPr>
                      <w:t> </w:t>
                    </w:r>
                    <w:r>
                      <w:rPr>
                        <w:w w:val="110"/>
                        <w:sz w:val="21"/>
                      </w:rPr>
                      <w:t>Victorian</w:t>
                    </w:r>
                    <w:r>
                      <w:rPr>
                        <w:spacing w:val="21"/>
                        <w:w w:val="110"/>
                        <w:sz w:val="21"/>
                      </w:rPr>
                      <w:t> </w:t>
                    </w:r>
                    <w:r>
                      <w:rPr>
                        <w:w w:val="110"/>
                        <w:sz w:val="21"/>
                      </w:rPr>
                      <w:t>Civil</w:t>
                    </w:r>
                    <w:r>
                      <w:rPr>
                        <w:spacing w:val="20"/>
                        <w:w w:val="110"/>
                        <w:sz w:val="21"/>
                      </w:rPr>
                      <w:t> </w:t>
                    </w:r>
                    <w:r>
                      <w:rPr>
                        <w:w w:val="110"/>
                        <w:sz w:val="21"/>
                      </w:rPr>
                      <w:t>and</w:t>
                    </w:r>
                    <w:r>
                      <w:rPr>
                        <w:spacing w:val="20"/>
                        <w:w w:val="110"/>
                        <w:sz w:val="21"/>
                      </w:rPr>
                      <w:t> </w:t>
                    </w:r>
                    <w:r>
                      <w:rPr>
                        <w:w w:val="110"/>
                        <w:sz w:val="21"/>
                      </w:rPr>
                      <w:t>Administrative</w:t>
                    </w:r>
                    <w:r>
                      <w:rPr>
                        <w:spacing w:val="20"/>
                        <w:w w:val="110"/>
                        <w:sz w:val="21"/>
                      </w:rPr>
                      <w:t> </w:t>
                    </w:r>
                    <w:r>
                      <w:rPr>
                        <w:spacing w:val="-4"/>
                        <w:w w:val="110"/>
                        <w:sz w:val="21"/>
                      </w:rPr>
                      <w:t>Tribunal</w:t>
                    </w:r>
                    <w:r>
                      <w:rPr>
                        <w:spacing w:val="21"/>
                        <w:w w:val="110"/>
                        <w:sz w:val="21"/>
                      </w:rPr>
                      <w:t> </w:t>
                    </w:r>
                    <w:r>
                      <w:rPr>
                        <w:w w:val="110"/>
                        <w:sz w:val="21"/>
                      </w:rPr>
                      <w:t>determines</w:t>
                    </w:r>
                    <w:r>
                      <w:rPr>
                        <w:spacing w:val="20"/>
                        <w:w w:val="110"/>
                        <w:sz w:val="21"/>
                      </w:rPr>
                      <w:t> </w:t>
                    </w:r>
                    <w:r>
                      <w:rPr>
                        <w:w w:val="110"/>
                        <w:sz w:val="21"/>
                      </w:rPr>
                      <w:t>that</w:t>
                    </w:r>
                    <w:r>
                      <w:rPr>
                        <w:spacing w:val="20"/>
                        <w:w w:val="110"/>
                        <w:sz w:val="21"/>
                      </w:rPr>
                      <w:t> </w:t>
                    </w:r>
                    <w:r>
                      <w:rPr>
                        <w:w w:val="110"/>
                        <w:sz w:val="21"/>
                      </w:rPr>
                      <w:t>a</w:t>
                    </w:r>
                  </w:p>
                  <w:p>
                    <w:pPr>
                      <w:spacing w:line="242" w:lineRule="auto" w:before="3"/>
                      <w:ind w:left="793" w:right="188" w:firstLine="0"/>
                      <w:jc w:val="left"/>
                      <w:rPr>
                        <w:sz w:val="21"/>
                      </w:rPr>
                    </w:pPr>
                    <w:r>
                      <w:rPr>
                        <w:w w:val="115"/>
                        <w:sz w:val="21"/>
                      </w:rPr>
                      <w:t>registered tree or a tree situated in a heritage place poses an imminent danger to life or property.</w:t>
                    </w:r>
                  </w:p>
                  <w:p>
                    <w:pPr>
                      <w:numPr>
                        <w:ilvl w:val="0"/>
                        <w:numId w:val="186"/>
                      </w:numPr>
                      <w:tabs>
                        <w:tab w:pos="793" w:val="left" w:leader="none"/>
                        <w:tab w:pos="794" w:val="left" w:leader="none"/>
                      </w:tabs>
                      <w:spacing w:before="123"/>
                      <w:ind w:left="793" w:right="0" w:hanging="567"/>
                      <w:jc w:val="left"/>
                      <w:rPr>
                        <w:sz w:val="21"/>
                      </w:rPr>
                    </w:pPr>
                    <w:r>
                      <w:rPr>
                        <w:w w:val="115"/>
                        <w:sz w:val="21"/>
                      </w:rPr>
                      <w:t>Where Recommendation 43 applies, the </w:t>
                    </w:r>
                    <w:r>
                      <w:rPr>
                        <w:spacing w:val="-2"/>
                        <w:w w:val="115"/>
                        <w:sz w:val="21"/>
                      </w:rPr>
                      <w:t>following </w:t>
                    </w:r>
                    <w:r>
                      <w:rPr>
                        <w:w w:val="115"/>
                        <w:sz w:val="21"/>
                      </w:rPr>
                      <w:t>safeguards should</w:t>
                    </w:r>
                    <w:r>
                      <w:rPr>
                        <w:spacing w:val="-24"/>
                        <w:w w:val="115"/>
                        <w:sz w:val="21"/>
                      </w:rPr>
                      <w:t> </w:t>
                    </w:r>
                    <w:r>
                      <w:rPr>
                        <w:w w:val="115"/>
                        <w:sz w:val="21"/>
                      </w:rPr>
                      <w:t>apply:</w:t>
                    </w:r>
                  </w:p>
                  <w:p>
                    <w:pPr>
                      <w:numPr>
                        <w:ilvl w:val="1"/>
                        <w:numId w:val="186"/>
                      </w:numPr>
                      <w:tabs>
                        <w:tab w:pos="1360" w:val="left" w:leader="none"/>
                        <w:tab w:pos="1361" w:val="left" w:leader="none"/>
                      </w:tabs>
                      <w:spacing w:line="242" w:lineRule="auto" w:before="123"/>
                      <w:ind w:left="1360" w:right="527" w:hanging="567"/>
                      <w:jc w:val="left"/>
                      <w:rPr>
                        <w:sz w:val="21"/>
                      </w:rPr>
                    </w:pPr>
                    <w:r>
                      <w:rPr>
                        <w:w w:val="115"/>
                        <w:sz w:val="21"/>
                      </w:rPr>
                      <w:t>Heritage Victoria must be notified of the application and be invited to participate in the</w:t>
                    </w:r>
                    <w:r>
                      <w:rPr>
                        <w:spacing w:val="2"/>
                        <w:w w:val="115"/>
                        <w:sz w:val="21"/>
                      </w:rPr>
                      <w:t> </w:t>
                    </w:r>
                    <w:r>
                      <w:rPr>
                        <w:w w:val="115"/>
                        <w:sz w:val="21"/>
                      </w:rPr>
                      <w:t>hearing</w:t>
                    </w:r>
                  </w:p>
                  <w:p>
                    <w:pPr>
                      <w:numPr>
                        <w:ilvl w:val="1"/>
                        <w:numId w:val="186"/>
                      </w:numPr>
                      <w:tabs>
                        <w:tab w:pos="1360" w:val="left" w:leader="none"/>
                        <w:tab w:pos="1361" w:val="left" w:leader="none"/>
                      </w:tabs>
                      <w:spacing w:line="242" w:lineRule="auto" w:before="123"/>
                      <w:ind w:left="1360" w:right="225" w:hanging="567"/>
                      <w:jc w:val="left"/>
                      <w:rPr>
                        <w:sz w:val="21"/>
                      </w:rPr>
                    </w:pPr>
                    <w:r>
                      <w:rPr>
                        <w:w w:val="110"/>
                        <w:sz w:val="21"/>
                      </w:rPr>
                      <w:t>the Victorian Civil and Administrative </w:t>
                    </w:r>
                    <w:r>
                      <w:rPr>
                        <w:spacing w:val="-4"/>
                        <w:w w:val="110"/>
                        <w:sz w:val="21"/>
                      </w:rPr>
                      <w:t>Tribunal </w:t>
                    </w:r>
                    <w:r>
                      <w:rPr>
                        <w:w w:val="110"/>
                        <w:sz w:val="21"/>
                      </w:rPr>
                      <w:t>should consider the factors that Heritage Victoria would </w:t>
                    </w:r>
                    <w:r>
                      <w:rPr>
                        <w:spacing w:val="-3"/>
                        <w:w w:val="110"/>
                        <w:sz w:val="21"/>
                      </w:rPr>
                      <w:t>have </w:t>
                    </w:r>
                    <w:r>
                      <w:rPr>
                        <w:w w:val="110"/>
                        <w:sz w:val="21"/>
                      </w:rPr>
                      <w:t>been required to </w:t>
                    </w:r>
                    <w:r>
                      <w:rPr>
                        <w:spacing w:val="-3"/>
                        <w:w w:val="110"/>
                        <w:sz w:val="21"/>
                      </w:rPr>
                      <w:t>take </w:t>
                    </w:r>
                    <w:r>
                      <w:rPr>
                        <w:w w:val="110"/>
                        <w:sz w:val="21"/>
                      </w:rPr>
                      <w:t>into account pursuant</w:t>
                    </w:r>
                    <w:r>
                      <w:rPr>
                        <w:spacing w:val="-6"/>
                        <w:w w:val="110"/>
                        <w:sz w:val="21"/>
                      </w:rPr>
                      <w:t> </w:t>
                    </w:r>
                    <w:r>
                      <w:rPr>
                        <w:w w:val="110"/>
                        <w:sz w:val="21"/>
                      </w:rPr>
                      <w:t>to</w:t>
                    </w:r>
                    <w:r>
                      <w:rPr>
                        <w:spacing w:val="-5"/>
                        <w:w w:val="110"/>
                        <w:sz w:val="21"/>
                      </w:rPr>
                      <w:t> </w:t>
                    </w:r>
                    <w:r>
                      <w:rPr>
                        <w:w w:val="110"/>
                        <w:sz w:val="21"/>
                      </w:rPr>
                      <w:t>the</w:t>
                    </w:r>
                    <w:r>
                      <w:rPr>
                        <w:spacing w:val="-6"/>
                        <w:w w:val="110"/>
                        <w:sz w:val="21"/>
                      </w:rPr>
                      <w:t> </w:t>
                    </w:r>
                    <w:r>
                      <w:rPr>
                        <w:rFonts w:ascii="Lucida Sans"/>
                        <w:i/>
                        <w:w w:val="110"/>
                        <w:sz w:val="21"/>
                      </w:rPr>
                      <w:t>Heritage</w:t>
                    </w:r>
                    <w:r>
                      <w:rPr>
                        <w:rFonts w:ascii="Lucida Sans"/>
                        <w:i/>
                        <w:spacing w:val="-26"/>
                        <w:w w:val="110"/>
                        <w:sz w:val="21"/>
                      </w:rPr>
                      <w:t> </w:t>
                    </w:r>
                    <w:r>
                      <w:rPr>
                        <w:rFonts w:ascii="Lucida Sans"/>
                        <w:i/>
                        <w:w w:val="110"/>
                        <w:sz w:val="21"/>
                      </w:rPr>
                      <w:t>Act</w:t>
                    </w:r>
                    <w:r>
                      <w:rPr>
                        <w:rFonts w:ascii="Lucida Sans"/>
                        <w:i/>
                        <w:spacing w:val="-26"/>
                        <w:w w:val="110"/>
                        <w:sz w:val="21"/>
                      </w:rPr>
                      <w:t> </w:t>
                    </w:r>
                    <w:r>
                      <w:rPr>
                        <w:rFonts w:ascii="Lucida Sans"/>
                        <w:i/>
                        <w:spacing w:val="-6"/>
                        <w:w w:val="110"/>
                        <w:sz w:val="21"/>
                      </w:rPr>
                      <w:t>2017</w:t>
                    </w:r>
                    <w:r>
                      <w:rPr>
                        <w:rFonts w:ascii="Lucida Sans"/>
                        <w:i/>
                        <w:spacing w:val="-26"/>
                        <w:w w:val="110"/>
                        <w:sz w:val="21"/>
                      </w:rPr>
                      <w:t> </w:t>
                    </w:r>
                    <w:r>
                      <w:rPr>
                        <w:w w:val="110"/>
                        <w:sz w:val="21"/>
                      </w:rPr>
                      <w:t>(Vic)</w:t>
                    </w:r>
                    <w:r>
                      <w:rPr>
                        <w:spacing w:val="-6"/>
                        <w:w w:val="110"/>
                        <w:sz w:val="21"/>
                      </w:rPr>
                      <w:t> </w:t>
                    </w:r>
                    <w:r>
                      <w:rPr>
                        <w:w w:val="110"/>
                        <w:sz w:val="21"/>
                      </w:rPr>
                      <w:t>and</w:t>
                    </w:r>
                    <w:r>
                      <w:rPr>
                        <w:spacing w:val="-5"/>
                        <w:w w:val="110"/>
                        <w:sz w:val="21"/>
                      </w:rPr>
                      <w:t> </w:t>
                    </w:r>
                    <w:r>
                      <w:rPr>
                        <w:spacing w:val="-2"/>
                        <w:w w:val="110"/>
                        <w:sz w:val="21"/>
                      </w:rPr>
                      <w:t>any</w:t>
                    </w:r>
                    <w:r>
                      <w:rPr>
                        <w:spacing w:val="-6"/>
                        <w:w w:val="110"/>
                        <w:sz w:val="21"/>
                      </w:rPr>
                      <w:t> </w:t>
                    </w:r>
                    <w:r>
                      <w:rPr>
                        <w:w w:val="110"/>
                        <w:sz w:val="21"/>
                      </w:rPr>
                      <w:t>information</w:t>
                    </w:r>
                    <w:r>
                      <w:rPr>
                        <w:spacing w:val="-5"/>
                        <w:w w:val="110"/>
                        <w:sz w:val="21"/>
                      </w:rPr>
                      <w:t> </w:t>
                    </w:r>
                    <w:r>
                      <w:rPr>
                        <w:w w:val="110"/>
                        <w:sz w:val="21"/>
                      </w:rPr>
                      <w:t>provided</w:t>
                    </w:r>
                    <w:r>
                      <w:rPr>
                        <w:spacing w:val="-5"/>
                        <w:w w:val="110"/>
                        <w:sz w:val="21"/>
                      </w:rPr>
                      <w:t> </w:t>
                    </w:r>
                    <w:r>
                      <w:rPr>
                        <w:w w:val="110"/>
                        <w:sz w:val="21"/>
                      </w:rPr>
                      <w:t>by Heritage</w:t>
                    </w:r>
                    <w:r>
                      <w:rPr>
                        <w:spacing w:val="3"/>
                        <w:w w:val="110"/>
                        <w:sz w:val="21"/>
                      </w:rPr>
                      <w:t> </w:t>
                    </w:r>
                    <w:r>
                      <w:rPr>
                        <w:w w:val="110"/>
                        <w:sz w:val="21"/>
                      </w:rPr>
                      <w:t>Victoria.</w:t>
                    </w:r>
                  </w:p>
                  <w:p>
                    <w:pPr>
                      <w:numPr>
                        <w:ilvl w:val="0"/>
                        <w:numId w:val="186"/>
                      </w:numPr>
                      <w:tabs>
                        <w:tab w:pos="793" w:val="left" w:leader="none"/>
                        <w:tab w:pos="794" w:val="left" w:leader="none"/>
                      </w:tabs>
                      <w:spacing w:line="242" w:lineRule="auto" w:before="118"/>
                      <w:ind w:left="793" w:right="404" w:hanging="567"/>
                      <w:jc w:val="left"/>
                      <w:rPr>
                        <w:sz w:val="21"/>
                      </w:rPr>
                    </w:pPr>
                    <w:r>
                      <w:rPr>
                        <w:w w:val="110"/>
                        <w:sz w:val="21"/>
                      </w:rPr>
                      <w:t>Where a registered tree under the </w:t>
                    </w:r>
                    <w:r>
                      <w:rPr>
                        <w:rFonts w:ascii="Lucida Sans"/>
                        <w:i/>
                        <w:w w:val="110"/>
                        <w:sz w:val="21"/>
                      </w:rPr>
                      <w:t>Heritage Act </w:t>
                    </w:r>
                    <w:r>
                      <w:rPr>
                        <w:rFonts w:ascii="Lucida Sans"/>
                        <w:i/>
                        <w:spacing w:val="-6"/>
                        <w:w w:val="110"/>
                        <w:sz w:val="21"/>
                      </w:rPr>
                      <w:t>2017 </w:t>
                    </w:r>
                    <w:r>
                      <w:rPr>
                        <w:w w:val="110"/>
                        <w:sz w:val="21"/>
                      </w:rPr>
                      <w:t>(Vic) or a tree in a heritage-listed place is ordered to be removed by the Victorian Civil and Administrative </w:t>
                    </w:r>
                    <w:r>
                      <w:rPr>
                        <w:spacing w:val="-4"/>
                        <w:w w:val="110"/>
                        <w:sz w:val="21"/>
                      </w:rPr>
                      <w:t>Tribunal </w:t>
                    </w:r>
                    <w:r>
                      <w:rPr>
                        <w:w w:val="110"/>
                        <w:sz w:val="21"/>
                      </w:rPr>
                      <w:t>under the  Act,  the  </w:t>
                    </w:r>
                    <w:r>
                      <w:rPr>
                        <w:spacing w:val="-4"/>
                        <w:w w:val="110"/>
                        <w:sz w:val="21"/>
                      </w:rPr>
                      <w:t>Tribunal  </w:t>
                    </w:r>
                    <w:r>
                      <w:rPr>
                        <w:w w:val="110"/>
                        <w:sz w:val="21"/>
                      </w:rPr>
                      <w:t>should  </w:t>
                    </w:r>
                    <w:r>
                      <w:rPr>
                        <w:spacing w:val="-3"/>
                        <w:w w:val="110"/>
                        <w:sz w:val="21"/>
                      </w:rPr>
                      <w:t>have  </w:t>
                    </w:r>
                    <w:r>
                      <w:rPr>
                        <w:w w:val="110"/>
                        <w:sz w:val="21"/>
                      </w:rPr>
                      <w:t>regard  to </w:t>
                    </w:r>
                    <w:r>
                      <w:rPr>
                        <w:spacing w:val="-2"/>
                        <w:w w:val="110"/>
                        <w:sz w:val="21"/>
                      </w:rPr>
                      <w:t>any </w:t>
                    </w:r>
                    <w:r>
                      <w:rPr>
                        <w:w w:val="110"/>
                        <w:sz w:val="21"/>
                      </w:rPr>
                      <w:t>replanting requirements that Heritage Victoria may consider necessary to maintain the heritage value of the</w:t>
                    </w:r>
                    <w:r>
                      <w:rPr>
                        <w:spacing w:val="32"/>
                        <w:w w:val="110"/>
                        <w:sz w:val="21"/>
                      </w:rPr>
                      <w:t> </w:t>
                    </w:r>
                    <w:r>
                      <w:rPr>
                        <w:w w:val="110"/>
                        <w:sz w:val="21"/>
                      </w:rPr>
                      <w:t>landscape.</w:t>
                    </w:r>
                  </w:p>
                </w:txbxContent>
              </v:textbox>
              <v:fill type="solid"/>
              <w10:wrap type="none"/>
            </v:shape>
            <v:shape style="position:absolute;left:1587;top:326;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Recommendations</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pict>
          <v:line style="position:absolute;mso-position-horizontal-relative:page;mso-position-vertical-relative:paragraph;z-index:10424;mso-wrap-distance-left:0;mso-wrap-distance-right:0" from="79.370102pt,14.99405pt" to="515.905102pt,14.9940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spacing w:before="8"/>
        <w:rPr>
          <w:sz w:val="34"/>
        </w:rPr>
      </w:pPr>
    </w:p>
    <w:p>
      <w:pPr>
        <w:spacing w:before="0"/>
        <w:ind w:left="720" w:right="0" w:firstLine="0"/>
        <w:jc w:val="left"/>
        <w:rPr>
          <w:b/>
          <w:sz w:val="24"/>
        </w:rPr>
      </w:pPr>
      <w:r>
        <w:rPr>
          <w:b/>
          <w:color w:val="658464"/>
          <w:w w:val="110"/>
          <w:sz w:val="24"/>
        </w:rPr>
        <w:t>254</w:t>
      </w:r>
    </w:p>
    <w:p>
      <w:pPr>
        <w:pStyle w:val="ListParagraph"/>
        <w:numPr>
          <w:ilvl w:val="0"/>
          <w:numId w:val="185"/>
        </w:numPr>
        <w:tabs>
          <w:tab w:pos="1219" w:val="left" w:leader="none"/>
          <w:tab w:pos="1220" w:val="left" w:leader="none"/>
        </w:tabs>
        <w:spacing w:line="240" w:lineRule="auto" w:before="48" w:after="0"/>
        <w:ind w:left="1219" w:right="0" w:hanging="794"/>
        <w:jc w:val="left"/>
        <w:rPr>
          <w:sz w:val="13"/>
        </w:rPr>
      </w:pPr>
      <w:r>
        <w:rPr>
          <w:i/>
          <w:spacing w:val="2"/>
          <w:w w:val="107"/>
          <w:sz w:val="13"/>
        </w:rPr>
        <w:br w:type="column"/>
      </w:r>
      <w:r>
        <w:rPr>
          <w:i/>
          <w:w w:val="105"/>
          <w:sz w:val="13"/>
        </w:rPr>
        <w:t>Heritage Act </w:t>
      </w:r>
      <w:r>
        <w:rPr>
          <w:i/>
          <w:spacing w:val="-4"/>
          <w:w w:val="105"/>
          <w:sz w:val="13"/>
        </w:rPr>
        <w:t>2017 </w:t>
      </w:r>
      <w:r>
        <w:rPr>
          <w:spacing w:val="2"/>
          <w:w w:val="105"/>
          <w:sz w:val="13"/>
        </w:rPr>
        <w:t>(Vic) </w:t>
      </w:r>
      <w:r>
        <w:rPr>
          <w:w w:val="105"/>
          <w:sz w:val="13"/>
        </w:rPr>
        <w:t>s </w:t>
      </w:r>
      <w:r>
        <w:rPr>
          <w:spacing w:val="3"/>
          <w:w w:val="105"/>
          <w:sz w:val="13"/>
        </w:rPr>
        <w:t>86(2). </w:t>
      </w:r>
      <w:r>
        <w:rPr>
          <w:w w:val="105"/>
          <w:sz w:val="13"/>
        </w:rPr>
        <w:t>See also </w:t>
      </w:r>
      <w:r>
        <w:rPr>
          <w:i/>
          <w:w w:val="105"/>
          <w:sz w:val="13"/>
        </w:rPr>
        <w:t>Building Act 1993 </w:t>
      </w:r>
      <w:r>
        <w:rPr>
          <w:spacing w:val="2"/>
          <w:w w:val="105"/>
          <w:sz w:val="13"/>
        </w:rPr>
        <w:t>(Vic) </w:t>
      </w:r>
      <w:r>
        <w:rPr>
          <w:w w:val="105"/>
          <w:sz w:val="13"/>
        </w:rPr>
        <w:t>s 102.</w:t>
      </w:r>
    </w:p>
    <w:p>
      <w:pPr>
        <w:pStyle w:val="ListParagraph"/>
        <w:numPr>
          <w:ilvl w:val="0"/>
          <w:numId w:val="185"/>
        </w:numPr>
        <w:tabs>
          <w:tab w:pos="1219" w:val="left" w:leader="none"/>
          <w:tab w:pos="1220" w:val="left" w:leader="none"/>
        </w:tabs>
        <w:spacing w:line="240" w:lineRule="auto" w:before="1" w:after="0"/>
        <w:ind w:left="1219" w:right="1880" w:hanging="794"/>
        <w:jc w:val="left"/>
        <w:rPr>
          <w:sz w:val="13"/>
        </w:rPr>
      </w:pPr>
      <w:r>
        <w:rPr>
          <w:w w:val="105"/>
          <w:sz w:val="13"/>
        </w:rPr>
        <w:t>Although the National Trust Register is not legally binding, many of the trees in the National Trust Register are reflected in the Heritage Victoria Register: Consultation 16 (Heritage</w:t>
      </w:r>
      <w:r>
        <w:rPr>
          <w:spacing w:val="23"/>
          <w:w w:val="105"/>
          <w:sz w:val="13"/>
        </w:rPr>
        <w:t> </w:t>
      </w:r>
      <w:r>
        <w:rPr>
          <w:w w:val="105"/>
          <w:sz w:val="13"/>
        </w:rPr>
        <w:t>Victoria).</w:t>
      </w:r>
    </w:p>
    <w:p>
      <w:pPr>
        <w:pStyle w:val="ListParagraph"/>
        <w:numPr>
          <w:ilvl w:val="0"/>
          <w:numId w:val="185"/>
        </w:numPr>
        <w:tabs>
          <w:tab w:pos="1219" w:val="left" w:leader="none"/>
          <w:tab w:pos="1220" w:val="left" w:leader="none"/>
        </w:tabs>
        <w:spacing w:line="240" w:lineRule="auto" w:before="3" w:after="0"/>
        <w:ind w:left="1219" w:right="0" w:hanging="794"/>
        <w:jc w:val="left"/>
        <w:rPr>
          <w:sz w:val="13"/>
        </w:rPr>
      </w:pPr>
      <w:r>
        <w:rPr>
          <w:w w:val="105"/>
          <w:sz w:val="13"/>
        </w:rPr>
        <w:t>Consultation 16 (Heritage</w:t>
      </w:r>
      <w:r>
        <w:rPr>
          <w:spacing w:val="14"/>
          <w:w w:val="105"/>
          <w:sz w:val="13"/>
        </w:rPr>
        <w:t> </w:t>
      </w:r>
      <w:r>
        <w:rPr>
          <w:w w:val="105"/>
          <w:sz w:val="13"/>
        </w:rPr>
        <w:t>Victoria).</w:t>
      </w:r>
    </w:p>
    <w:p>
      <w:pPr>
        <w:spacing w:after="0" w:line="240" w:lineRule="auto"/>
        <w:jc w:val="left"/>
        <w:rPr>
          <w:sz w:val="13"/>
        </w:rPr>
        <w:sectPr>
          <w:type w:val="continuous"/>
          <w:pgSz w:w="11910" w:h="16840"/>
          <w:pgMar w:top="300" w:bottom="280" w:left="0" w:right="0"/>
          <w:cols w:num="2" w:equalWidth="0">
            <w:col w:w="1122" w:space="40"/>
            <w:col w:w="10748"/>
          </w:cols>
        </w:sectPr>
      </w:pPr>
    </w:p>
    <w:p>
      <w:pPr>
        <w:pStyle w:val="BodyText"/>
        <w:rPr>
          <w:sz w:val="20"/>
        </w:rPr>
      </w:pPr>
    </w:p>
    <w:p>
      <w:pPr>
        <w:pStyle w:val="BodyText"/>
        <w:spacing w:before="11"/>
        <w:rPr>
          <w:sz w:val="17"/>
        </w:rPr>
      </w:pPr>
    </w:p>
    <w:p>
      <w:pPr>
        <w:pStyle w:val="Heading5"/>
        <w:spacing w:before="96"/>
      </w:pPr>
      <w:bookmarkStart w:name="_bookmark138" w:id="295"/>
      <w:bookmarkEnd w:id="295"/>
      <w:r>
        <w:rPr>
          <w:b w:val="0"/>
        </w:rPr>
      </w:r>
      <w:r>
        <w:rPr>
          <w:w w:val="115"/>
        </w:rPr>
        <w:t>The Commission’s conclusions—the Aboriginal Heritage Act</w:t>
      </w:r>
    </w:p>
    <w:p>
      <w:pPr>
        <w:pStyle w:val="ListParagraph"/>
        <w:numPr>
          <w:ilvl w:val="0"/>
          <w:numId w:val="173"/>
        </w:numPr>
        <w:tabs>
          <w:tab w:pos="2381" w:val="left" w:leader="none"/>
        </w:tabs>
        <w:spacing w:line="240" w:lineRule="auto" w:before="137" w:after="0"/>
        <w:ind w:left="2381" w:right="0" w:hanging="794"/>
        <w:jc w:val="left"/>
        <w:rPr>
          <w:sz w:val="21"/>
        </w:rPr>
      </w:pPr>
      <w:r>
        <w:rPr>
          <w:w w:val="105"/>
          <w:sz w:val="21"/>
        </w:rPr>
        <w:t>Under</w:t>
      </w:r>
      <w:r>
        <w:rPr>
          <w:spacing w:val="4"/>
          <w:w w:val="105"/>
          <w:sz w:val="21"/>
        </w:rPr>
        <w:t> </w:t>
      </w:r>
      <w:r>
        <w:rPr>
          <w:w w:val="105"/>
          <w:sz w:val="21"/>
        </w:rPr>
        <w:t>the</w:t>
      </w:r>
      <w:r>
        <w:rPr>
          <w:spacing w:val="4"/>
          <w:w w:val="105"/>
          <w:sz w:val="21"/>
        </w:rPr>
        <w:t> </w:t>
      </w:r>
      <w:r>
        <w:rPr>
          <w:spacing w:val="-3"/>
          <w:w w:val="105"/>
          <w:sz w:val="21"/>
        </w:rPr>
        <w:t>Aboriginal</w:t>
      </w:r>
      <w:r>
        <w:rPr>
          <w:spacing w:val="4"/>
          <w:w w:val="105"/>
          <w:sz w:val="21"/>
        </w:rPr>
        <w:t> </w:t>
      </w:r>
      <w:r>
        <w:rPr>
          <w:w w:val="105"/>
          <w:sz w:val="21"/>
        </w:rPr>
        <w:t>Heritage</w:t>
      </w:r>
      <w:r>
        <w:rPr>
          <w:spacing w:val="4"/>
          <w:w w:val="105"/>
          <w:sz w:val="21"/>
        </w:rPr>
        <w:t> </w:t>
      </w:r>
      <w:r>
        <w:rPr>
          <w:w w:val="105"/>
          <w:sz w:val="21"/>
        </w:rPr>
        <w:t>Act</w:t>
      </w:r>
      <w:r>
        <w:rPr>
          <w:spacing w:val="4"/>
          <w:w w:val="105"/>
          <w:sz w:val="21"/>
        </w:rPr>
        <w:t> </w:t>
      </w:r>
      <w:r>
        <w:rPr>
          <w:w w:val="105"/>
          <w:sz w:val="21"/>
        </w:rPr>
        <w:t>a</w:t>
      </w:r>
      <w:r>
        <w:rPr>
          <w:spacing w:val="4"/>
          <w:w w:val="105"/>
          <w:sz w:val="21"/>
        </w:rPr>
        <w:t> </w:t>
      </w:r>
      <w:r>
        <w:rPr>
          <w:w w:val="105"/>
          <w:sz w:val="21"/>
        </w:rPr>
        <w:t>person</w:t>
      </w:r>
      <w:r>
        <w:rPr>
          <w:spacing w:val="4"/>
          <w:w w:val="105"/>
          <w:sz w:val="21"/>
        </w:rPr>
        <w:t> </w:t>
      </w:r>
      <w:r>
        <w:rPr>
          <w:w w:val="105"/>
          <w:sz w:val="21"/>
        </w:rPr>
        <w:t>does</w:t>
      </w:r>
      <w:r>
        <w:rPr>
          <w:spacing w:val="4"/>
          <w:w w:val="105"/>
          <w:sz w:val="21"/>
        </w:rPr>
        <w:t> </w:t>
      </w:r>
      <w:r>
        <w:rPr>
          <w:spacing w:val="-2"/>
          <w:w w:val="105"/>
          <w:sz w:val="21"/>
        </w:rPr>
        <w:t>not</w:t>
      </w:r>
      <w:r>
        <w:rPr>
          <w:spacing w:val="4"/>
          <w:w w:val="105"/>
          <w:sz w:val="21"/>
        </w:rPr>
        <w:t> </w:t>
      </w:r>
      <w:r>
        <w:rPr>
          <w:spacing w:val="-3"/>
          <w:w w:val="105"/>
          <w:sz w:val="21"/>
        </w:rPr>
        <w:t>commit</w:t>
      </w:r>
      <w:r>
        <w:rPr>
          <w:spacing w:val="4"/>
          <w:w w:val="105"/>
          <w:sz w:val="21"/>
        </w:rPr>
        <w:t> </w:t>
      </w:r>
      <w:r>
        <w:rPr>
          <w:w w:val="105"/>
          <w:sz w:val="21"/>
        </w:rPr>
        <w:t>an</w:t>
      </w:r>
      <w:r>
        <w:rPr>
          <w:spacing w:val="4"/>
          <w:w w:val="105"/>
          <w:sz w:val="21"/>
        </w:rPr>
        <w:t> </w:t>
      </w:r>
      <w:r>
        <w:rPr>
          <w:spacing w:val="-3"/>
          <w:w w:val="105"/>
          <w:sz w:val="21"/>
        </w:rPr>
        <w:t>offence</w:t>
      </w:r>
      <w:r>
        <w:rPr>
          <w:spacing w:val="4"/>
          <w:w w:val="105"/>
          <w:sz w:val="21"/>
        </w:rPr>
        <w:t> </w:t>
      </w:r>
      <w:r>
        <w:rPr>
          <w:w w:val="105"/>
          <w:sz w:val="21"/>
        </w:rPr>
        <w:t>if</w:t>
      </w:r>
      <w:r>
        <w:rPr>
          <w:spacing w:val="4"/>
          <w:w w:val="105"/>
          <w:sz w:val="21"/>
        </w:rPr>
        <w:t> </w:t>
      </w:r>
      <w:r>
        <w:rPr>
          <w:w w:val="105"/>
          <w:sz w:val="21"/>
        </w:rPr>
        <w:t>‘the</w:t>
      </w:r>
      <w:r>
        <w:rPr>
          <w:spacing w:val="5"/>
          <w:w w:val="105"/>
          <w:sz w:val="21"/>
        </w:rPr>
        <w:t> </w:t>
      </w:r>
      <w:r>
        <w:rPr>
          <w:spacing w:val="-3"/>
          <w:w w:val="105"/>
          <w:sz w:val="21"/>
        </w:rPr>
        <w:t>harm</w:t>
      </w:r>
    </w:p>
    <w:p>
      <w:pPr>
        <w:pStyle w:val="BodyText"/>
        <w:spacing w:line="242" w:lineRule="auto" w:before="4"/>
        <w:ind w:left="2381" w:right="1636" w:hanging="1"/>
      </w:pPr>
      <w:r>
        <w:rPr>
          <w:w w:val="105"/>
        </w:rPr>
        <w:t>is the </w:t>
      </w:r>
      <w:r>
        <w:rPr>
          <w:spacing w:val="-3"/>
          <w:w w:val="105"/>
        </w:rPr>
        <w:t>result </w:t>
      </w:r>
      <w:r>
        <w:rPr>
          <w:w w:val="105"/>
        </w:rPr>
        <w:t>of doing an act </w:t>
      </w:r>
      <w:r>
        <w:rPr>
          <w:spacing w:val="-3"/>
          <w:w w:val="105"/>
        </w:rPr>
        <w:t>that </w:t>
      </w:r>
      <w:r>
        <w:rPr>
          <w:w w:val="105"/>
        </w:rPr>
        <w:t>is necessary because of an </w:t>
      </w:r>
      <w:r>
        <w:rPr>
          <w:spacing w:val="-3"/>
          <w:w w:val="105"/>
        </w:rPr>
        <w:t>emergency’.</w:t>
      </w:r>
      <w:r>
        <w:rPr>
          <w:spacing w:val="-3"/>
          <w:w w:val="105"/>
          <w:position w:val="7"/>
          <w:sz w:val="12"/>
        </w:rPr>
        <w:t>331 </w:t>
      </w:r>
      <w:r>
        <w:rPr>
          <w:w w:val="105"/>
        </w:rPr>
        <w:t>This provides some scope </w:t>
      </w:r>
      <w:r>
        <w:rPr>
          <w:spacing w:val="-3"/>
          <w:w w:val="105"/>
        </w:rPr>
        <w:t>for </w:t>
      </w:r>
      <w:r>
        <w:rPr>
          <w:w w:val="105"/>
        </w:rPr>
        <w:t>an affected </w:t>
      </w:r>
      <w:r>
        <w:rPr>
          <w:spacing w:val="-3"/>
          <w:w w:val="105"/>
        </w:rPr>
        <w:t>neighbour to interfere </w:t>
      </w:r>
      <w:r>
        <w:rPr>
          <w:w w:val="105"/>
        </w:rPr>
        <w:t>with a scarred tree in the case of an </w:t>
      </w:r>
      <w:r>
        <w:rPr>
          <w:spacing w:val="-3"/>
          <w:w w:val="105"/>
        </w:rPr>
        <w:t>emergency.</w:t>
      </w:r>
    </w:p>
    <w:p>
      <w:pPr>
        <w:pStyle w:val="ListParagraph"/>
        <w:numPr>
          <w:ilvl w:val="0"/>
          <w:numId w:val="173"/>
        </w:numPr>
        <w:tabs>
          <w:tab w:pos="2381" w:val="left" w:leader="none"/>
        </w:tabs>
        <w:spacing w:line="242" w:lineRule="auto" w:before="123" w:after="0"/>
        <w:ind w:left="2381" w:right="1914" w:hanging="794"/>
        <w:jc w:val="left"/>
        <w:rPr>
          <w:sz w:val="12"/>
        </w:rPr>
      </w:pPr>
      <w:r>
        <w:rPr>
          <w:w w:val="105"/>
          <w:sz w:val="21"/>
        </w:rPr>
        <w:t>If the </w:t>
      </w:r>
      <w:r>
        <w:rPr>
          <w:spacing w:val="-3"/>
          <w:w w:val="105"/>
          <w:sz w:val="21"/>
        </w:rPr>
        <w:t>situation </w:t>
      </w:r>
      <w:r>
        <w:rPr>
          <w:w w:val="105"/>
          <w:sz w:val="21"/>
        </w:rPr>
        <w:t>is </w:t>
      </w:r>
      <w:r>
        <w:rPr>
          <w:spacing w:val="-2"/>
          <w:w w:val="105"/>
          <w:sz w:val="21"/>
        </w:rPr>
        <w:t>not </w:t>
      </w:r>
      <w:r>
        <w:rPr>
          <w:w w:val="105"/>
          <w:sz w:val="21"/>
        </w:rPr>
        <w:t>an emergency and an affected </w:t>
      </w:r>
      <w:r>
        <w:rPr>
          <w:spacing w:val="-3"/>
          <w:w w:val="105"/>
          <w:sz w:val="21"/>
        </w:rPr>
        <w:t>neighbour </w:t>
      </w:r>
      <w:r>
        <w:rPr>
          <w:w w:val="105"/>
          <w:sz w:val="21"/>
        </w:rPr>
        <w:t>is seeking </w:t>
      </w:r>
      <w:r>
        <w:rPr>
          <w:spacing w:val="-3"/>
          <w:w w:val="105"/>
          <w:sz w:val="21"/>
        </w:rPr>
        <w:t>to </w:t>
      </w:r>
      <w:r>
        <w:rPr>
          <w:w w:val="105"/>
          <w:sz w:val="21"/>
        </w:rPr>
        <w:t>carry out works </w:t>
      </w:r>
      <w:r>
        <w:rPr>
          <w:spacing w:val="-3"/>
          <w:w w:val="105"/>
          <w:sz w:val="21"/>
        </w:rPr>
        <w:t>to </w:t>
      </w:r>
      <w:r>
        <w:rPr>
          <w:w w:val="105"/>
          <w:sz w:val="21"/>
        </w:rPr>
        <w:t>a scarred tree on </w:t>
      </w:r>
      <w:r>
        <w:rPr>
          <w:spacing w:val="-3"/>
          <w:w w:val="105"/>
          <w:sz w:val="21"/>
        </w:rPr>
        <w:t>adjoining land, </w:t>
      </w:r>
      <w:r>
        <w:rPr>
          <w:w w:val="105"/>
          <w:sz w:val="21"/>
        </w:rPr>
        <w:t>they can apply </w:t>
      </w:r>
      <w:r>
        <w:rPr>
          <w:spacing w:val="-3"/>
          <w:w w:val="105"/>
          <w:sz w:val="21"/>
        </w:rPr>
        <w:t>for </w:t>
      </w:r>
      <w:r>
        <w:rPr>
          <w:w w:val="105"/>
          <w:sz w:val="21"/>
        </w:rPr>
        <w:t>an </w:t>
      </w:r>
      <w:r>
        <w:rPr>
          <w:spacing w:val="-3"/>
          <w:w w:val="105"/>
          <w:sz w:val="21"/>
        </w:rPr>
        <w:t>Aboriginal </w:t>
      </w:r>
      <w:r>
        <w:rPr>
          <w:w w:val="105"/>
          <w:sz w:val="21"/>
        </w:rPr>
        <w:t>heritage permit</w:t>
      </w:r>
      <w:r>
        <w:rPr>
          <w:spacing w:val="-8"/>
          <w:w w:val="105"/>
          <w:sz w:val="21"/>
        </w:rPr>
        <w:t> </w:t>
      </w:r>
      <w:r>
        <w:rPr>
          <w:w w:val="105"/>
          <w:sz w:val="21"/>
        </w:rPr>
        <w:t>because</w:t>
      </w:r>
      <w:r>
        <w:rPr>
          <w:spacing w:val="-7"/>
          <w:w w:val="105"/>
          <w:sz w:val="21"/>
        </w:rPr>
        <w:t> </w:t>
      </w:r>
      <w:r>
        <w:rPr>
          <w:w w:val="105"/>
          <w:sz w:val="21"/>
        </w:rPr>
        <w:t>these</w:t>
      </w:r>
      <w:r>
        <w:rPr>
          <w:spacing w:val="-7"/>
          <w:w w:val="105"/>
          <w:sz w:val="21"/>
        </w:rPr>
        <w:t> </w:t>
      </w:r>
      <w:r>
        <w:rPr>
          <w:spacing w:val="-3"/>
          <w:w w:val="105"/>
          <w:sz w:val="21"/>
        </w:rPr>
        <w:t>applications</w:t>
      </w:r>
      <w:r>
        <w:rPr>
          <w:spacing w:val="-7"/>
          <w:w w:val="105"/>
          <w:sz w:val="21"/>
        </w:rPr>
        <w:t> </w:t>
      </w:r>
      <w:r>
        <w:rPr>
          <w:spacing w:val="-3"/>
          <w:w w:val="105"/>
          <w:sz w:val="21"/>
        </w:rPr>
        <w:t>are</w:t>
      </w:r>
      <w:r>
        <w:rPr>
          <w:spacing w:val="-7"/>
          <w:w w:val="105"/>
          <w:sz w:val="21"/>
        </w:rPr>
        <w:t> </w:t>
      </w:r>
      <w:r>
        <w:rPr>
          <w:spacing w:val="-2"/>
          <w:w w:val="105"/>
          <w:sz w:val="21"/>
        </w:rPr>
        <w:t>not</w:t>
      </w:r>
      <w:r>
        <w:rPr>
          <w:spacing w:val="-7"/>
          <w:w w:val="105"/>
          <w:sz w:val="21"/>
        </w:rPr>
        <w:t> </w:t>
      </w:r>
      <w:r>
        <w:rPr>
          <w:w w:val="105"/>
          <w:sz w:val="21"/>
        </w:rPr>
        <w:t>restricted</w:t>
      </w:r>
      <w:r>
        <w:rPr>
          <w:spacing w:val="-7"/>
          <w:w w:val="105"/>
          <w:sz w:val="21"/>
        </w:rPr>
        <w:t> </w:t>
      </w:r>
      <w:r>
        <w:rPr>
          <w:spacing w:val="-3"/>
          <w:w w:val="105"/>
          <w:sz w:val="21"/>
        </w:rPr>
        <w:t>to</w:t>
      </w:r>
      <w:r>
        <w:rPr>
          <w:spacing w:val="-7"/>
          <w:w w:val="105"/>
          <w:sz w:val="21"/>
        </w:rPr>
        <w:t> </w:t>
      </w:r>
      <w:r>
        <w:rPr>
          <w:w w:val="105"/>
          <w:sz w:val="21"/>
        </w:rPr>
        <w:t>the</w:t>
      </w:r>
      <w:r>
        <w:rPr>
          <w:spacing w:val="-7"/>
          <w:w w:val="105"/>
          <w:sz w:val="21"/>
        </w:rPr>
        <w:t> </w:t>
      </w:r>
      <w:r>
        <w:rPr>
          <w:w w:val="105"/>
          <w:sz w:val="21"/>
        </w:rPr>
        <w:t>owner</w:t>
      </w:r>
      <w:r>
        <w:rPr>
          <w:spacing w:val="-7"/>
          <w:w w:val="105"/>
          <w:sz w:val="21"/>
        </w:rPr>
        <w:t> </w:t>
      </w:r>
      <w:r>
        <w:rPr>
          <w:w w:val="105"/>
          <w:sz w:val="21"/>
        </w:rPr>
        <w:t>of</w:t>
      </w:r>
      <w:r>
        <w:rPr>
          <w:spacing w:val="-7"/>
          <w:w w:val="105"/>
          <w:sz w:val="21"/>
        </w:rPr>
        <w:t> </w:t>
      </w:r>
      <w:r>
        <w:rPr>
          <w:w w:val="105"/>
          <w:sz w:val="21"/>
        </w:rPr>
        <w:t>the</w:t>
      </w:r>
      <w:r>
        <w:rPr>
          <w:spacing w:val="-7"/>
          <w:w w:val="105"/>
          <w:sz w:val="21"/>
        </w:rPr>
        <w:t> </w:t>
      </w:r>
      <w:r>
        <w:rPr>
          <w:spacing w:val="-3"/>
          <w:w w:val="105"/>
          <w:sz w:val="21"/>
        </w:rPr>
        <w:t>land.</w:t>
      </w:r>
      <w:r>
        <w:rPr>
          <w:spacing w:val="-3"/>
          <w:w w:val="105"/>
          <w:position w:val="7"/>
          <w:sz w:val="12"/>
        </w:rPr>
        <w:t>332</w:t>
      </w:r>
      <w:r>
        <w:rPr>
          <w:spacing w:val="16"/>
          <w:w w:val="105"/>
          <w:position w:val="7"/>
          <w:sz w:val="12"/>
        </w:rPr>
        <w:t> </w:t>
      </w:r>
      <w:r>
        <w:rPr>
          <w:w w:val="105"/>
          <w:sz w:val="21"/>
        </w:rPr>
        <w:t>This</w:t>
      </w:r>
      <w:r>
        <w:rPr>
          <w:spacing w:val="-8"/>
          <w:w w:val="105"/>
          <w:sz w:val="21"/>
        </w:rPr>
        <w:t> </w:t>
      </w:r>
      <w:r>
        <w:rPr>
          <w:spacing w:val="-3"/>
          <w:w w:val="105"/>
          <w:sz w:val="21"/>
        </w:rPr>
        <w:t>is </w:t>
      </w:r>
      <w:r>
        <w:rPr>
          <w:w w:val="105"/>
          <w:sz w:val="21"/>
        </w:rPr>
        <w:t>because one of the </w:t>
      </w:r>
      <w:r>
        <w:rPr>
          <w:spacing w:val="-4"/>
          <w:w w:val="105"/>
          <w:sz w:val="21"/>
        </w:rPr>
        <w:t>key </w:t>
      </w:r>
      <w:r>
        <w:rPr>
          <w:spacing w:val="-3"/>
          <w:w w:val="105"/>
          <w:sz w:val="21"/>
        </w:rPr>
        <w:t>principles underpinning </w:t>
      </w:r>
      <w:r>
        <w:rPr>
          <w:w w:val="105"/>
          <w:sz w:val="21"/>
        </w:rPr>
        <w:t>the </w:t>
      </w:r>
      <w:r>
        <w:rPr>
          <w:spacing w:val="-3"/>
          <w:w w:val="105"/>
          <w:sz w:val="21"/>
        </w:rPr>
        <w:t>Aboriginal </w:t>
      </w:r>
      <w:r>
        <w:rPr>
          <w:w w:val="105"/>
          <w:sz w:val="21"/>
        </w:rPr>
        <w:t>Heritage Act recognises </w:t>
      </w:r>
      <w:r>
        <w:rPr>
          <w:spacing w:val="-3"/>
          <w:w w:val="105"/>
          <w:sz w:val="21"/>
        </w:rPr>
        <w:t>that </w:t>
      </w:r>
      <w:r>
        <w:rPr>
          <w:w w:val="105"/>
          <w:sz w:val="21"/>
        </w:rPr>
        <w:t>as </w:t>
      </w:r>
      <w:r>
        <w:rPr>
          <w:spacing w:val="-3"/>
          <w:w w:val="105"/>
          <w:sz w:val="21"/>
        </w:rPr>
        <w:t>far </w:t>
      </w:r>
      <w:r>
        <w:rPr>
          <w:w w:val="105"/>
          <w:sz w:val="21"/>
        </w:rPr>
        <w:t>as practicable </w:t>
      </w:r>
      <w:r>
        <w:rPr>
          <w:spacing w:val="-3"/>
          <w:w w:val="105"/>
          <w:sz w:val="21"/>
        </w:rPr>
        <w:t>Aboriginal </w:t>
      </w:r>
      <w:r>
        <w:rPr>
          <w:spacing w:val="-4"/>
          <w:w w:val="105"/>
          <w:sz w:val="21"/>
        </w:rPr>
        <w:t>Cultural </w:t>
      </w:r>
      <w:r>
        <w:rPr>
          <w:w w:val="105"/>
          <w:sz w:val="21"/>
        </w:rPr>
        <w:t>Heritage should be owned by </w:t>
      </w:r>
      <w:r>
        <w:rPr>
          <w:spacing w:val="-3"/>
          <w:w w:val="105"/>
          <w:sz w:val="21"/>
        </w:rPr>
        <w:t>traditional </w:t>
      </w:r>
      <w:r>
        <w:rPr>
          <w:w w:val="105"/>
          <w:sz w:val="21"/>
        </w:rPr>
        <w:t>owners.</w:t>
      </w:r>
      <w:r>
        <w:rPr>
          <w:w w:val="105"/>
          <w:position w:val="7"/>
          <w:sz w:val="12"/>
        </w:rPr>
        <w:t>333</w:t>
      </w:r>
    </w:p>
    <w:p>
      <w:pPr>
        <w:pStyle w:val="ListParagraph"/>
        <w:numPr>
          <w:ilvl w:val="0"/>
          <w:numId w:val="173"/>
        </w:numPr>
        <w:tabs>
          <w:tab w:pos="2381" w:val="left" w:leader="none"/>
        </w:tabs>
        <w:spacing w:line="242" w:lineRule="auto" w:before="126" w:after="0"/>
        <w:ind w:left="2381" w:right="1852" w:hanging="794"/>
        <w:jc w:val="left"/>
        <w:rPr>
          <w:sz w:val="21"/>
        </w:rPr>
      </w:pPr>
      <w:r>
        <w:rPr>
          <w:sz w:val="21"/>
        </w:rPr>
        <w:t>This </w:t>
      </w:r>
      <w:r>
        <w:rPr>
          <w:spacing w:val="-3"/>
          <w:sz w:val="21"/>
        </w:rPr>
        <w:t>means that </w:t>
      </w:r>
      <w:r>
        <w:rPr>
          <w:sz w:val="21"/>
        </w:rPr>
        <w:t>there is sufficient scope in the </w:t>
      </w:r>
      <w:r>
        <w:rPr>
          <w:spacing w:val="-3"/>
          <w:sz w:val="21"/>
        </w:rPr>
        <w:t>Aboriginal </w:t>
      </w:r>
      <w:r>
        <w:rPr>
          <w:sz w:val="21"/>
        </w:rPr>
        <w:t>Heritage Act </w:t>
      </w:r>
      <w:r>
        <w:rPr>
          <w:spacing w:val="-3"/>
          <w:sz w:val="21"/>
        </w:rPr>
        <w:t>to allow  </w:t>
      </w:r>
      <w:r>
        <w:rPr>
          <w:sz w:val="21"/>
        </w:rPr>
        <w:t>an affected </w:t>
      </w:r>
      <w:r>
        <w:rPr>
          <w:spacing w:val="-3"/>
          <w:sz w:val="21"/>
        </w:rPr>
        <w:t>neighbour to </w:t>
      </w:r>
      <w:r>
        <w:rPr>
          <w:sz w:val="21"/>
        </w:rPr>
        <w:t>apply </w:t>
      </w:r>
      <w:r>
        <w:rPr>
          <w:spacing w:val="-3"/>
          <w:sz w:val="21"/>
        </w:rPr>
        <w:t>for  </w:t>
      </w:r>
      <w:r>
        <w:rPr>
          <w:sz w:val="21"/>
        </w:rPr>
        <w:t>a permit </w:t>
      </w:r>
      <w:r>
        <w:rPr>
          <w:spacing w:val="-3"/>
          <w:sz w:val="21"/>
        </w:rPr>
        <w:t>to</w:t>
      </w:r>
      <w:r>
        <w:rPr>
          <w:spacing w:val="41"/>
          <w:sz w:val="21"/>
        </w:rPr>
        <w:t> </w:t>
      </w:r>
      <w:r>
        <w:rPr>
          <w:sz w:val="21"/>
        </w:rPr>
        <w:t>carry out works </w:t>
      </w:r>
      <w:r>
        <w:rPr>
          <w:spacing w:val="-3"/>
          <w:sz w:val="21"/>
        </w:rPr>
        <w:t>to  </w:t>
      </w:r>
      <w:r>
        <w:rPr>
          <w:sz w:val="21"/>
        </w:rPr>
        <w:t>a protected </w:t>
      </w:r>
      <w:r>
        <w:rPr>
          <w:spacing w:val="-3"/>
          <w:sz w:val="21"/>
        </w:rPr>
        <w:t>tree.  </w:t>
      </w:r>
      <w:r>
        <w:rPr>
          <w:sz w:val="21"/>
        </w:rPr>
        <w:t>For these </w:t>
      </w:r>
      <w:r>
        <w:rPr>
          <w:spacing w:val="-3"/>
          <w:sz w:val="21"/>
        </w:rPr>
        <w:t>reasons, </w:t>
      </w:r>
      <w:r>
        <w:rPr>
          <w:sz w:val="21"/>
        </w:rPr>
        <w:t>a new </w:t>
      </w:r>
      <w:r>
        <w:rPr>
          <w:spacing w:val="-5"/>
          <w:sz w:val="21"/>
        </w:rPr>
        <w:t>Tree </w:t>
      </w:r>
      <w:r>
        <w:rPr>
          <w:spacing w:val="-3"/>
          <w:sz w:val="21"/>
        </w:rPr>
        <w:t>Disputes </w:t>
      </w:r>
      <w:r>
        <w:rPr>
          <w:sz w:val="21"/>
        </w:rPr>
        <w:t>Act should </w:t>
      </w:r>
      <w:r>
        <w:rPr>
          <w:spacing w:val="-2"/>
          <w:sz w:val="21"/>
        </w:rPr>
        <w:t>not  </w:t>
      </w:r>
      <w:r>
        <w:rPr>
          <w:sz w:val="21"/>
        </w:rPr>
        <w:t>amend the </w:t>
      </w:r>
      <w:r>
        <w:rPr>
          <w:spacing w:val="-3"/>
          <w:sz w:val="21"/>
        </w:rPr>
        <w:t>Aboriginal  </w:t>
      </w:r>
      <w:r>
        <w:rPr>
          <w:sz w:val="21"/>
        </w:rPr>
        <w:t>Heritage Act  and decisions about works </w:t>
      </w:r>
      <w:r>
        <w:rPr>
          <w:spacing w:val="-3"/>
          <w:sz w:val="21"/>
        </w:rPr>
        <w:t>to </w:t>
      </w:r>
      <w:r>
        <w:rPr>
          <w:sz w:val="21"/>
        </w:rPr>
        <w:t>trees protected under the </w:t>
      </w:r>
      <w:r>
        <w:rPr>
          <w:spacing w:val="-3"/>
          <w:sz w:val="21"/>
        </w:rPr>
        <w:t>Aboriginal </w:t>
      </w:r>
      <w:r>
        <w:rPr>
          <w:sz w:val="21"/>
        </w:rPr>
        <w:t>Heritage Act should </w:t>
      </w:r>
      <w:r>
        <w:rPr>
          <w:spacing w:val="-3"/>
          <w:sz w:val="21"/>
        </w:rPr>
        <w:t>continue to </w:t>
      </w:r>
      <w:r>
        <w:rPr>
          <w:sz w:val="21"/>
        </w:rPr>
        <w:t>be </w:t>
      </w:r>
      <w:r>
        <w:rPr>
          <w:spacing w:val="-3"/>
          <w:sz w:val="21"/>
        </w:rPr>
        <w:t>determined </w:t>
      </w:r>
      <w:r>
        <w:rPr>
          <w:sz w:val="21"/>
        </w:rPr>
        <w:t>by </w:t>
      </w:r>
      <w:r>
        <w:rPr>
          <w:spacing w:val="-2"/>
          <w:sz w:val="21"/>
        </w:rPr>
        <w:t>Registered </w:t>
      </w:r>
      <w:r>
        <w:rPr>
          <w:spacing w:val="-3"/>
          <w:sz w:val="21"/>
        </w:rPr>
        <w:t>Aboriginal </w:t>
      </w:r>
      <w:r>
        <w:rPr>
          <w:sz w:val="21"/>
        </w:rPr>
        <w:t>Parties or </w:t>
      </w:r>
      <w:r>
        <w:rPr>
          <w:spacing w:val="-3"/>
          <w:sz w:val="21"/>
        </w:rPr>
        <w:t>Aboriginal</w:t>
      </w:r>
      <w:r>
        <w:rPr>
          <w:spacing w:val="-22"/>
          <w:sz w:val="21"/>
        </w:rPr>
        <w:t> </w:t>
      </w:r>
      <w:r>
        <w:rPr>
          <w:sz w:val="21"/>
        </w:rPr>
        <w:t>Victoria.</w:t>
      </w:r>
    </w:p>
    <w:p>
      <w:pPr>
        <w:pStyle w:val="ListParagraph"/>
        <w:numPr>
          <w:ilvl w:val="0"/>
          <w:numId w:val="173"/>
        </w:numPr>
        <w:tabs>
          <w:tab w:pos="2381" w:val="left" w:leader="none"/>
        </w:tabs>
        <w:spacing w:line="242" w:lineRule="auto" w:before="126" w:after="0"/>
        <w:ind w:left="2380" w:right="1710" w:hanging="793"/>
        <w:jc w:val="left"/>
        <w:rPr>
          <w:sz w:val="21"/>
        </w:rPr>
      </w:pPr>
      <w:r>
        <w:rPr>
          <w:w w:val="105"/>
          <w:sz w:val="21"/>
        </w:rPr>
        <w:t>If an affected </w:t>
      </w:r>
      <w:r>
        <w:rPr>
          <w:spacing w:val="-3"/>
          <w:w w:val="105"/>
          <w:sz w:val="21"/>
        </w:rPr>
        <w:t>neighbour </w:t>
      </w:r>
      <w:r>
        <w:rPr>
          <w:w w:val="105"/>
          <w:sz w:val="21"/>
        </w:rPr>
        <w:t>seeks a remedy under a new Act </w:t>
      </w:r>
      <w:r>
        <w:rPr>
          <w:spacing w:val="-3"/>
          <w:w w:val="105"/>
          <w:sz w:val="21"/>
        </w:rPr>
        <w:t>that </w:t>
      </w:r>
      <w:r>
        <w:rPr>
          <w:w w:val="105"/>
          <w:sz w:val="21"/>
        </w:rPr>
        <w:t>impacts on a tree </w:t>
      </w:r>
      <w:r>
        <w:rPr>
          <w:spacing w:val="-3"/>
          <w:w w:val="105"/>
          <w:sz w:val="21"/>
        </w:rPr>
        <w:t>that </w:t>
      </w:r>
      <w:r>
        <w:rPr>
          <w:w w:val="105"/>
          <w:sz w:val="21"/>
        </w:rPr>
        <w:t>is of </w:t>
      </w:r>
      <w:r>
        <w:rPr>
          <w:spacing w:val="-3"/>
          <w:w w:val="105"/>
          <w:sz w:val="21"/>
        </w:rPr>
        <w:t>Aboriginal cultural significance, </w:t>
      </w:r>
      <w:r>
        <w:rPr>
          <w:w w:val="105"/>
          <w:sz w:val="21"/>
        </w:rPr>
        <w:t>this should be identified in the </w:t>
      </w:r>
      <w:r>
        <w:rPr>
          <w:spacing w:val="-5"/>
          <w:w w:val="105"/>
          <w:sz w:val="21"/>
        </w:rPr>
        <w:t>VCAT </w:t>
      </w:r>
      <w:r>
        <w:rPr>
          <w:w w:val="105"/>
          <w:sz w:val="21"/>
        </w:rPr>
        <w:t>application </w:t>
      </w:r>
      <w:r>
        <w:rPr>
          <w:spacing w:val="-3"/>
          <w:w w:val="105"/>
          <w:sz w:val="21"/>
        </w:rPr>
        <w:t>form. </w:t>
      </w:r>
      <w:r>
        <w:rPr>
          <w:w w:val="105"/>
          <w:sz w:val="21"/>
        </w:rPr>
        <w:t>See </w:t>
      </w:r>
      <w:r>
        <w:rPr>
          <w:spacing w:val="-4"/>
          <w:w w:val="105"/>
          <w:sz w:val="21"/>
        </w:rPr>
        <w:t>Chapter</w:t>
      </w:r>
      <w:r>
        <w:rPr>
          <w:spacing w:val="11"/>
          <w:w w:val="105"/>
          <w:sz w:val="21"/>
        </w:rPr>
        <w:t> </w:t>
      </w:r>
      <w:r>
        <w:rPr>
          <w:w w:val="105"/>
          <w:sz w:val="21"/>
        </w:rPr>
        <w:t>5.</w:t>
      </w:r>
    </w:p>
    <w:p>
      <w:pPr>
        <w:pStyle w:val="BodyText"/>
        <w:spacing w:before="4"/>
        <w:rPr>
          <w:sz w:val="20"/>
        </w:rPr>
      </w:pPr>
    </w:p>
    <w:p>
      <w:pPr>
        <w:pStyle w:val="Heading5"/>
      </w:pPr>
      <w:r>
        <w:rPr>
          <w:w w:val="110"/>
        </w:rPr>
        <w:t>The Commission’s conclusions—the Fences Act</w:t>
      </w:r>
    </w:p>
    <w:p>
      <w:pPr>
        <w:pStyle w:val="ListParagraph"/>
        <w:numPr>
          <w:ilvl w:val="0"/>
          <w:numId w:val="173"/>
        </w:numPr>
        <w:tabs>
          <w:tab w:pos="2381" w:val="left" w:leader="none"/>
        </w:tabs>
        <w:spacing w:line="242" w:lineRule="auto" w:before="137" w:after="0"/>
        <w:ind w:left="2381" w:right="1606" w:hanging="794"/>
        <w:jc w:val="left"/>
        <w:rPr>
          <w:sz w:val="21"/>
        </w:rPr>
      </w:pPr>
      <w:r>
        <w:rPr>
          <w:sz w:val="21"/>
        </w:rPr>
        <w:t>If a tree is </w:t>
      </w:r>
      <w:r>
        <w:rPr>
          <w:spacing w:val="-3"/>
          <w:sz w:val="21"/>
        </w:rPr>
        <w:t>found to </w:t>
      </w:r>
      <w:r>
        <w:rPr>
          <w:sz w:val="21"/>
        </w:rPr>
        <w:t>be </w:t>
      </w:r>
      <w:r>
        <w:rPr>
          <w:spacing w:val="-3"/>
          <w:sz w:val="21"/>
        </w:rPr>
        <w:t>causing </w:t>
      </w:r>
      <w:r>
        <w:rPr>
          <w:sz w:val="21"/>
        </w:rPr>
        <w:t>damage or </w:t>
      </w:r>
      <w:r>
        <w:rPr>
          <w:spacing w:val="-4"/>
          <w:sz w:val="21"/>
        </w:rPr>
        <w:t>likely </w:t>
      </w:r>
      <w:r>
        <w:rPr>
          <w:spacing w:val="-3"/>
          <w:sz w:val="21"/>
        </w:rPr>
        <w:t>to </w:t>
      </w:r>
      <w:r>
        <w:rPr>
          <w:sz w:val="21"/>
        </w:rPr>
        <w:t>cause damage </w:t>
      </w:r>
      <w:r>
        <w:rPr>
          <w:spacing w:val="-3"/>
          <w:sz w:val="21"/>
        </w:rPr>
        <w:t>to </w:t>
      </w:r>
      <w:r>
        <w:rPr>
          <w:sz w:val="21"/>
        </w:rPr>
        <w:t>a </w:t>
      </w:r>
      <w:r>
        <w:rPr>
          <w:spacing w:val="-4"/>
          <w:sz w:val="21"/>
        </w:rPr>
        <w:t>fence, </w:t>
      </w:r>
      <w:r>
        <w:rPr>
          <w:spacing w:val="-5"/>
          <w:sz w:val="21"/>
        </w:rPr>
        <w:t>VCAT </w:t>
      </w:r>
      <w:r>
        <w:rPr>
          <w:sz w:val="21"/>
        </w:rPr>
        <w:t>should  </w:t>
      </w:r>
      <w:r>
        <w:rPr>
          <w:spacing w:val="-3"/>
          <w:sz w:val="21"/>
        </w:rPr>
        <w:t>have </w:t>
      </w:r>
      <w:r>
        <w:rPr>
          <w:sz w:val="21"/>
        </w:rPr>
        <w:t>jurisdiction </w:t>
      </w:r>
      <w:r>
        <w:rPr>
          <w:spacing w:val="-3"/>
          <w:sz w:val="21"/>
        </w:rPr>
        <w:t>to </w:t>
      </w:r>
      <w:r>
        <w:rPr>
          <w:spacing w:val="-4"/>
          <w:sz w:val="21"/>
        </w:rPr>
        <w:t>make </w:t>
      </w:r>
      <w:r>
        <w:rPr>
          <w:sz w:val="21"/>
        </w:rPr>
        <w:t>orders in </w:t>
      </w:r>
      <w:r>
        <w:rPr>
          <w:spacing w:val="-3"/>
          <w:sz w:val="21"/>
        </w:rPr>
        <w:t>relation to</w:t>
      </w:r>
      <w:r>
        <w:rPr>
          <w:spacing w:val="-25"/>
          <w:sz w:val="21"/>
        </w:rPr>
        <w:t> </w:t>
      </w:r>
      <w:r>
        <w:rPr>
          <w:sz w:val="21"/>
        </w:rPr>
        <w:t>both the tree and the </w:t>
      </w:r>
      <w:r>
        <w:rPr>
          <w:spacing w:val="-4"/>
          <w:sz w:val="21"/>
        </w:rPr>
        <w:t>fence.</w:t>
      </w:r>
    </w:p>
    <w:p>
      <w:pPr>
        <w:pStyle w:val="ListParagraph"/>
        <w:numPr>
          <w:ilvl w:val="0"/>
          <w:numId w:val="173"/>
        </w:numPr>
        <w:tabs>
          <w:tab w:pos="2381" w:val="left" w:leader="none"/>
        </w:tabs>
        <w:spacing w:line="242" w:lineRule="auto" w:before="122" w:after="0"/>
        <w:ind w:left="2381" w:right="1591" w:hanging="794"/>
        <w:jc w:val="left"/>
        <w:rPr>
          <w:sz w:val="12"/>
        </w:rPr>
      </w:pPr>
      <w:r>
        <w:rPr>
          <w:w w:val="105"/>
          <w:sz w:val="21"/>
        </w:rPr>
        <w:t>This is the approach </w:t>
      </w:r>
      <w:r>
        <w:rPr>
          <w:spacing w:val="-3"/>
          <w:w w:val="105"/>
          <w:sz w:val="21"/>
        </w:rPr>
        <w:t>taken </w:t>
      </w:r>
      <w:r>
        <w:rPr>
          <w:w w:val="105"/>
          <w:sz w:val="21"/>
        </w:rPr>
        <w:t>in New South </w:t>
      </w:r>
      <w:r>
        <w:rPr>
          <w:spacing w:val="-3"/>
          <w:w w:val="105"/>
          <w:sz w:val="21"/>
        </w:rPr>
        <w:t>Wales. </w:t>
      </w:r>
      <w:r>
        <w:rPr>
          <w:w w:val="105"/>
          <w:sz w:val="21"/>
        </w:rPr>
        <w:t>The NSWLEC </w:t>
      </w:r>
      <w:r>
        <w:rPr>
          <w:spacing w:val="-3"/>
          <w:w w:val="105"/>
          <w:sz w:val="21"/>
        </w:rPr>
        <w:t>informed </w:t>
      </w:r>
      <w:r>
        <w:rPr>
          <w:w w:val="105"/>
          <w:sz w:val="21"/>
        </w:rPr>
        <w:t>the </w:t>
      </w:r>
      <w:r>
        <w:rPr>
          <w:spacing w:val="-3"/>
          <w:w w:val="105"/>
          <w:sz w:val="21"/>
        </w:rPr>
        <w:t>Commission that allowing </w:t>
      </w:r>
      <w:r>
        <w:rPr>
          <w:w w:val="105"/>
          <w:sz w:val="21"/>
        </w:rPr>
        <w:t>the </w:t>
      </w:r>
      <w:r>
        <w:rPr>
          <w:spacing w:val="-3"/>
          <w:w w:val="105"/>
          <w:sz w:val="21"/>
        </w:rPr>
        <w:t>Court to determine </w:t>
      </w:r>
      <w:r>
        <w:rPr>
          <w:w w:val="105"/>
          <w:sz w:val="21"/>
        </w:rPr>
        <w:t>tree </w:t>
      </w:r>
      <w:r>
        <w:rPr>
          <w:spacing w:val="-3"/>
          <w:w w:val="105"/>
          <w:sz w:val="21"/>
        </w:rPr>
        <w:t>disputes involving fences </w:t>
      </w:r>
      <w:r>
        <w:rPr>
          <w:w w:val="105"/>
          <w:sz w:val="21"/>
        </w:rPr>
        <w:t>is </w:t>
      </w:r>
      <w:r>
        <w:rPr>
          <w:spacing w:val="-3"/>
          <w:w w:val="105"/>
          <w:sz w:val="21"/>
        </w:rPr>
        <w:t>‘working well’ </w:t>
      </w:r>
      <w:r>
        <w:rPr>
          <w:w w:val="105"/>
          <w:sz w:val="21"/>
        </w:rPr>
        <w:t>and is </w:t>
      </w:r>
      <w:r>
        <w:rPr>
          <w:spacing w:val="-3"/>
          <w:w w:val="105"/>
          <w:sz w:val="21"/>
        </w:rPr>
        <w:t>generally </w:t>
      </w:r>
      <w:r>
        <w:rPr>
          <w:w w:val="105"/>
          <w:sz w:val="21"/>
        </w:rPr>
        <w:t>‘very</w:t>
      </w:r>
      <w:r>
        <w:rPr>
          <w:spacing w:val="13"/>
          <w:w w:val="105"/>
          <w:sz w:val="21"/>
        </w:rPr>
        <w:t> </w:t>
      </w:r>
      <w:r>
        <w:rPr>
          <w:spacing w:val="-3"/>
          <w:w w:val="105"/>
          <w:sz w:val="21"/>
        </w:rPr>
        <w:t>straightforward’.</w:t>
      </w:r>
      <w:r>
        <w:rPr>
          <w:spacing w:val="-3"/>
          <w:w w:val="105"/>
          <w:position w:val="7"/>
          <w:sz w:val="12"/>
        </w:rPr>
        <w:t>334</w:t>
      </w:r>
    </w:p>
    <w:p>
      <w:pPr>
        <w:pStyle w:val="ListParagraph"/>
        <w:numPr>
          <w:ilvl w:val="0"/>
          <w:numId w:val="173"/>
        </w:numPr>
        <w:tabs>
          <w:tab w:pos="2381" w:val="left" w:leader="none"/>
        </w:tabs>
        <w:spacing w:line="242" w:lineRule="auto" w:before="124" w:after="0"/>
        <w:ind w:left="2381" w:right="1733" w:hanging="794"/>
        <w:jc w:val="left"/>
        <w:rPr>
          <w:sz w:val="21"/>
        </w:rPr>
      </w:pPr>
      <w:r>
        <w:rPr>
          <w:sz w:val="21"/>
        </w:rPr>
        <w:t>The NSWLEC </w:t>
      </w:r>
      <w:r>
        <w:rPr>
          <w:spacing w:val="-2"/>
          <w:sz w:val="21"/>
        </w:rPr>
        <w:t>has </w:t>
      </w:r>
      <w:r>
        <w:rPr>
          <w:sz w:val="21"/>
        </w:rPr>
        <w:t>jurisdiction under the NSW  Act  </w:t>
      </w:r>
      <w:r>
        <w:rPr>
          <w:spacing w:val="-3"/>
          <w:sz w:val="21"/>
        </w:rPr>
        <w:t>to  </w:t>
      </w:r>
      <w:r>
        <w:rPr>
          <w:sz w:val="21"/>
        </w:rPr>
        <w:t>hear  matters  and  </w:t>
      </w:r>
      <w:r>
        <w:rPr>
          <w:spacing w:val="-4"/>
          <w:sz w:val="21"/>
        </w:rPr>
        <w:t>make  </w:t>
      </w:r>
      <w:r>
        <w:rPr>
          <w:sz w:val="21"/>
        </w:rPr>
        <w:t>orders under the </w:t>
      </w:r>
      <w:r>
        <w:rPr>
          <w:i/>
          <w:sz w:val="21"/>
        </w:rPr>
        <w:t>Dividing Fences Act </w:t>
      </w:r>
      <w:r>
        <w:rPr>
          <w:i/>
          <w:spacing w:val="-8"/>
          <w:sz w:val="21"/>
        </w:rPr>
        <w:t>1991 </w:t>
      </w:r>
      <w:r>
        <w:rPr>
          <w:spacing w:val="2"/>
          <w:sz w:val="21"/>
        </w:rPr>
        <w:t>(NSW). </w:t>
      </w:r>
      <w:r>
        <w:rPr>
          <w:sz w:val="21"/>
        </w:rPr>
        <w:t>Section </w:t>
      </w:r>
      <w:r>
        <w:rPr>
          <w:spacing w:val="-8"/>
          <w:sz w:val="21"/>
        </w:rPr>
        <w:t>13A </w:t>
      </w:r>
      <w:r>
        <w:rPr>
          <w:sz w:val="21"/>
        </w:rPr>
        <w:t>of the </w:t>
      </w:r>
      <w:r>
        <w:rPr>
          <w:i/>
          <w:sz w:val="21"/>
        </w:rPr>
        <w:t>Dividing Fences </w:t>
      </w:r>
      <w:r>
        <w:rPr>
          <w:sz w:val="21"/>
        </w:rPr>
        <w:t>Act gives jurisdiction </w:t>
      </w:r>
      <w:r>
        <w:rPr>
          <w:spacing w:val="-3"/>
          <w:sz w:val="21"/>
        </w:rPr>
        <w:t>to </w:t>
      </w:r>
      <w:r>
        <w:rPr>
          <w:sz w:val="21"/>
        </w:rPr>
        <w:t>the NSWLEC </w:t>
      </w:r>
      <w:r>
        <w:rPr>
          <w:spacing w:val="-3"/>
          <w:sz w:val="21"/>
        </w:rPr>
        <w:t>to </w:t>
      </w:r>
      <w:r>
        <w:rPr>
          <w:sz w:val="21"/>
        </w:rPr>
        <w:t>hear and </w:t>
      </w:r>
      <w:r>
        <w:rPr>
          <w:spacing w:val="-3"/>
          <w:sz w:val="21"/>
        </w:rPr>
        <w:t>determine </w:t>
      </w:r>
      <w:r>
        <w:rPr>
          <w:sz w:val="21"/>
        </w:rPr>
        <w:t>matters </w:t>
      </w:r>
      <w:r>
        <w:rPr>
          <w:spacing w:val="-3"/>
          <w:sz w:val="21"/>
        </w:rPr>
        <w:t>arising </w:t>
      </w:r>
      <w:r>
        <w:rPr>
          <w:sz w:val="21"/>
        </w:rPr>
        <w:t>under </w:t>
      </w:r>
      <w:r>
        <w:rPr>
          <w:spacing w:val="-3"/>
          <w:sz w:val="21"/>
        </w:rPr>
        <w:t>that </w:t>
      </w:r>
      <w:r>
        <w:rPr>
          <w:sz w:val="21"/>
        </w:rPr>
        <w:t>Act</w:t>
      </w:r>
      <w:r>
        <w:rPr>
          <w:spacing w:val="-4"/>
          <w:sz w:val="21"/>
        </w:rPr>
        <w:t> </w:t>
      </w:r>
      <w:r>
        <w:rPr>
          <w:sz w:val="21"/>
        </w:rPr>
        <w:t>if:</w:t>
      </w:r>
    </w:p>
    <w:p>
      <w:pPr>
        <w:pStyle w:val="ListParagraph"/>
        <w:numPr>
          <w:ilvl w:val="1"/>
          <w:numId w:val="173"/>
        </w:numPr>
        <w:tabs>
          <w:tab w:pos="2721" w:val="left" w:leader="none"/>
          <w:tab w:pos="2722" w:val="left" w:leader="none"/>
        </w:tabs>
        <w:spacing w:line="242" w:lineRule="auto" w:before="123" w:after="0"/>
        <w:ind w:left="2721" w:right="1614" w:hanging="340"/>
        <w:jc w:val="left"/>
        <w:rPr>
          <w:sz w:val="21"/>
        </w:rPr>
      </w:pPr>
      <w:r>
        <w:rPr>
          <w:w w:val="105"/>
          <w:sz w:val="21"/>
        </w:rPr>
        <w:t>the application </w:t>
      </w:r>
      <w:r>
        <w:rPr>
          <w:spacing w:val="-3"/>
          <w:w w:val="105"/>
          <w:sz w:val="21"/>
        </w:rPr>
        <w:t>for </w:t>
      </w:r>
      <w:r>
        <w:rPr>
          <w:w w:val="105"/>
          <w:sz w:val="21"/>
        </w:rPr>
        <w:t>the </w:t>
      </w:r>
      <w:r>
        <w:rPr>
          <w:spacing w:val="-3"/>
          <w:w w:val="105"/>
          <w:sz w:val="21"/>
        </w:rPr>
        <w:t>exercise </w:t>
      </w:r>
      <w:r>
        <w:rPr>
          <w:w w:val="105"/>
          <w:sz w:val="21"/>
        </w:rPr>
        <w:t>of the jurisdiction is made in </w:t>
      </w:r>
      <w:r>
        <w:rPr>
          <w:spacing w:val="-3"/>
          <w:w w:val="105"/>
          <w:sz w:val="21"/>
        </w:rPr>
        <w:t>relation to proceedings </w:t>
      </w:r>
      <w:r>
        <w:rPr>
          <w:w w:val="105"/>
          <w:sz w:val="21"/>
        </w:rPr>
        <w:t>under section 7 of the </w:t>
      </w:r>
      <w:r>
        <w:rPr>
          <w:i/>
          <w:spacing w:val="-4"/>
          <w:w w:val="105"/>
          <w:sz w:val="21"/>
        </w:rPr>
        <w:t>Trees </w:t>
      </w:r>
      <w:r>
        <w:rPr>
          <w:i/>
          <w:w w:val="105"/>
          <w:sz w:val="21"/>
        </w:rPr>
        <w:t>(Disputes Between Neighbours) Act 2006 </w:t>
      </w:r>
      <w:r>
        <w:rPr>
          <w:spacing w:val="-3"/>
          <w:w w:val="105"/>
          <w:sz w:val="21"/>
        </w:rPr>
        <w:t>that have </w:t>
      </w:r>
      <w:r>
        <w:rPr>
          <w:w w:val="105"/>
          <w:sz w:val="21"/>
        </w:rPr>
        <w:t>been </w:t>
      </w:r>
      <w:r>
        <w:rPr>
          <w:spacing w:val="-3"/>
          <w:w w:val="105"/>
          <w:sz w:val="21"/>
        </w:rPr>
        <w:t>commenced </w:t>
      </w:r>
      <w:r>
        <w:rPr>
          <w:w w:val="105"/>
          <w:sz w:val="21"/>
        </w:rPr>
        <w:t>but </w:t>
      </w:r>
      <w:r>
        <w:rPr>
          <w:spacing w:val="-2"/>
          <w:w w:val="105"/>
          <w:sz w:val="21"/>
        </w:rPr>
        <w:t>not </w:t>
      </w:r>
      <w:r>
        <w:rPr>
          <w:spacing w:val="-3"/>
          <w:w w:val="105"/>
          <w:sz w:val="21"/>
        </w:rPr>
        <w:t>determined,</w:t>
      </w:r>
      <w:r>
        <w:rPr>
          <w:spacing w:val="25"/>
          <w:w w:val="105"/>
          <w:sz w:val="21"/>
        </w:rPr>
        <w:t> </w:t>
      </w:r>
      <w:r>
        <w:rPr>
          <w:w w:val="105"/>
          <w:sz w:val="21"/>
        </w:rPr>
        <w:t>and</w:t>
      </w:r>
    </w:p>
    <w:p>
      <w:pPr>
        <w:pStyle w:val="ListParagraph"/>
        <w:numPr>
          <w:ilvl w:val="1"/>
          <w:numId w:val="173"/>
        </w:numPr>
        <w:tabs>
          <w:tab w:pos="2721" w:val="left" w:leader="none"/>
          <w:tab w:pos="2722" w:val="left" w:leader="none"/>
        </w:tabs>
        <w:spacing w:line="240" w:lineRule="auto" w:before="88" w:after="0"/>
        <w:ind w:left="2721" w:right="0" w:hanging="340"/>
        <w:jc w:val="left"/>
        <w:rPr>
          <w:sz w:val="21"/>
        </w:rPr>
      </w:pPr>
      <w:r>
        <w:rPr>
          <w:w w:val="105"/>
          <w:sz w:val="21"/>
        </w:rPr>
        <w:t>the tree </w:t>
      </w:r>
      <w:r>
        <w:rPr>
          <w:spacing w:val="-3"/>
          <w:w w:val="105"/>
          <w:sz w:val="21"/>
        </w:rPr>
        <w:t>that </w:t>
      </w:r>
      <w:r>
        <w:rPr>
          <w:w w:val="105"/>
          <w:sz w:val="21"/>
        </w:rPr>
        <w:t>is the subject of those</w:t>
      </w:r>
      <w:r>
        <w:rPr>
          <w:spacing w:val="36"/>
          <w:w w:val="105"/>
          <w:sz w:val="21"/>
        </w:rPr>
        <w:t> </w:t>
      </w:r>
      <w:r>
        <w:rPr>
          <w:w w:val="105"/>
          <w:sz w:val="21"/>
        </w:rPr>
        <w:t>proceedings:</w:t>
      </w:r>
    </w:p>
    <w:p>
      <w:pPr>
        <w:pStyle w:val="ListParagraph"/>
        <w:numPr>
          <w:ilvl w:val="2"/>
          <w:numId w:val="173"/>
        </w:numPr>
        <w:tabs>
          <w:tab w:pos="3061" w:val="left" w:leader="none"/>
          <w:tab w:pos="3062" w:val="left" w:leader="none"/>
        </w:tabs>
        <w:spacing w:line="242" w:lineRule="auto" w:before="89" w:after="0"/>
        <w:ind w:left="3061" w:right="1653" w:hanging="340"/>
        <w:jc w:val="left"/>
        <w:rPr>
          <w:sz w:val="21"/>
        </w:rPr>
      </w:pPr>
      <w:r>
        <w:rPr>
          <w:spacing w:val="-2"/>
          <w:w w:val="105"/>
          <w:sz w:val="21"/>
        </w:rPr>
        <w:t>has </w:t>
      </w:r>
      <w:r>
        <w:rPr>
          <w:w w:val="105"/>
          <w:sz w:val="21"/>
        </w:rPr>
        <w:t>caused, is </w:t>
      </w:r>
      <w:r>
        <w:rPr>
          <w:spacing w:val="-3"/>
          <w:w w:val="105"/>
          <w:sz w:val="21"/>
        </w:rPr>
        <w:t>causing, </w:t>
      </w:r>
      <w:r>
        <w:rPr>
          <w:w w:val="105"/>
          <w:sz w:val="21"/>
        </w:rPr>
        <w:t>or is </w:t>
      </w:r>
      <w:r>
        <w:rPr>
          <w:spacing w:val="-4"/>
          <w:w w:val="105"/>
          <w:sz w:val="21"/>
        </w:rPr>
        <w:t>likely </w:t>
      </w:r>
      <w:r>
        <w:rPr>
          <w:w w:val="105"/>
          <w:sz w:val="21"/>
        </w:rPr>
        <w:t>in the near </w:t>
      </w:r>
      <w:r>
        <w:rPr>
          <w:spacing w:val="-3"/>
          <w:w w:val="105"/>
          <w:sz w:val="21"/>
        </w:rPr>
        <w:t>future to </w:t>
      </w:r>
      <w:r>
        <w:rPr>
          <w:w w:val="105"/>
          <w:sz w:val="21"/>
        </w:rPr>
        <w:t>cause damage </w:t>
      </w:r>
      <w:r>
        <w:rPr>
          <w:spacing w:val="-3"/>
          <w:w w:val="105"/>
          <w:sz w:val="21"/>
        </w:rPr>
        <w:t>to </w:t>
      </w:r>
      <w:r>
        <w:rPr>
          <w:w w:val="105"/>
          <w:sz w:val="21"/>
        </w:rPr>
        <w:t>a </w:t>
      </w:r>
      <w:r>
        <w:rPr>
          <w:spacing w:val="-3"/>
          <w:w w:val="105"/>
          <w:sz w:val="21"/>
        </w:rPr>
        <w:t>dividing </w:t>
      </w:r>
      <w:r>
        <w:rPr>
          <w:spacing w:val="-4"/>
          <w:w w:val="105"/>
          <w:sz w:val="21"/>
        </w:rPr>
        <w:t>fence,</w:t>
      </w:r>
      <w:r>
        <w:rPr>
          <w:spacing w:val="5"/>
          <w:w w:val="105"/>
          <w:sz w:val="21"/>
        </w:rPr>
        <w:t> </w:t>
      </w:r>
      <w:r>
        <w:rPr>
          <w:w w:val="105"/>
          <w:sz w:val="21"/>
        </w:rPr>
        <w:t>or</w:t>
      </w:r>
    </w:p>
    <w:p>
      <w:pPr>
        <w:pStyle w:val="ListParagraph"/>
        <w:numPr>
          <w:ilvl w:val="2"/>
          <w:numId w:val="173"/>
        </w:numPr>
        <w:tabs>
          <w:tab w:pos="3061" w:val="left" w:leader="none"/>
          <w:tab w:pos="3062" w:val="left" w:leader="none"/>
        </w:tabs>
        <w:spacing w:line="242" w:lineRule="auto" w:before="87" w:after="0"/>
        <w:ind w:left="3061" w:right="1688" w:hanging="340"/>
        <w:jc w:val="left"/>
        <w:rPr>
          <w:sz w:val="21"/>
        </w:rPr>
      </w:pPr>
      <w:r>
        <w:rPr>
          <w:w w:val="105"/>
          <w:sz w:val="21"/>
        </w:rPr>
        <w:t>is part of a </w:t>
      </w:r>
      <w:r>
        <w:rPr>
          <w:spacing w:val="-3"/>
          <w:w w:val="105"/>
          <w:sz w:val="21"/>
        </w:rPr>
        <w:t>dividing fence </w:t>
      </w:r>
      <w:r>
        <w:rPr>
          <w:w w:val="105"/>
          <w:sz w:val="21"/>
        </w:rPr>
        <w:t>and </w:t>
      </w:r>
      <w:r>
        <w:rPr>
          <w:spacing w:val="-2"/>
          <w:w w:val="105"/>
          <w:sz w:val="21"/>
        </w:rPr>
        <w:t>has </w:t>
      </w:r>
      <w:r>
        <w:rPr>
          <w:w w:val="105"/>
          <w:sz w:val="21"/>
        </w:rPr>
        <w:t>caused, is </w:t>
      </w:r>
      <w:r>
        <w:rPr>
          <w:spacing w:val="-3"/>
          <w:w w:val="105"/>
          <w:sz w:val="21"/>
        </w:rPr>
        <w:t>causing, </w:t>
      </w:r>
      <w:r>
        <w:rPr>
          <w:w w:val="105"/>
          <w:sz w:val="21"/>
        </w:rPr>
        <w:t>or is </w:t>
      </w:r>
      <w:r>
        <w:rPr>
          <w:spacing w:val="-4"/>
          <w:w w:val="105"/>
          <w:sz w:val="21"/>
        </w:rPr>
        <w:t>likely </w:t>
      </w:r>
      <w:r>
        <w:rPr>
          <w:w w:val="105"/>
          <w:sz w:val="21"/>
        </w:rPr>
        <w:t>in the near </w:t>
      </w:r>
      <w:r>
        <w:rPr>
          <w:spacing w:val="-3"/>
          <w:w w:val="105"/>
          <w:sz w:val="21"/>
        </w:rPr>
        <w:t>future to </w:t>
      </w:r>
      <w:r>
        <w:rPr>
          <w:w w:val="105"/>
          <w:sz w:val="21"/>
        </w:rPr>
        <w:t>cause damage </w:t>
      </w:r>
      <w:r>
        <w:rPr>
          <w:spacing w:val="-3"/>
          <w:w w:val="105"/>
          <w:sz w:val="21"/>
        </w:rPr>
        <w:t>to </w:t>
      </w:r>
      <w:r>
        <w:rPr>
          <w:w w:val="105"/>
          <w:sz w:val="21"/>
        </w:rPr>
        <w:t>the </w:t>
      </w:r>
      <w:r>
        <w:rPr>
          <w:spacing w:val="-3"/>
          <w:w w:val="105"/>
          <w:sz w:val="21"/>
        </w:rPr>
        <w:t>applicant’s </w:t>
      </w:r>
      <w:r>
        <w:rPr>
          <w:w w:val="105"/>
          <w:sz w:val="21"/>
        </w:rPr>
        <w:t>property or is </w:t>
      </w:r>
      <w:r>
        <w:rPr>
          <w:spacing w:val="-4"/>
          <w:w w:val="105"/>
          <w:sz w:val="21"/>
        </w:rPr>
        <w:t>likely </w:t>
      </w:r>
      <w:r>
        <w:rPr>
          <w:spacing w:val="-3"/>
          <w:w w:val="105"/>
          <w:sz w:val="21"/>
        </w:rPr>
        <w:t>to </w:t>
      </w:r>
      <w:r>
        <w:rPr>
          <w:w w:val="105"/>
          <w:sz w:val="21"/>
        </w:rPr>
        <w:t>cause injury </w:t>
      </w:r>
      <w:r>
        <w:rPr>
          <w:spacing w:val="-3"/>
          <w:w w:val="105"/>
          <w:sz w:val="21"/>
        </w:rPr>
        <w:t>to any </w:t>
      </w:r>
      <w:r>
        <w:rPr>
          <w:w w:val="105"/>
          <w:sz w:val="21"/>
        </w:rPr>
        <w:t>person.</w:t>
      </w:r>
    </w:p>
    <w:p>
      <w:pPr>
        <w:pStyle w:val="ListParagraph"/>
        <w:numPr>
          <w:ilvl w:val="0"/>
          <w:numId w:val="173"/>
        </w:numPr>
        <w:tabs>
          <w:tab w:pos="2382" w:val="left" w:leader="none"/>
        </w:tabs>
        <w:spacing w:line="242" w:lineRule="auto" w:before="88" w:after="0"/>
        <w:ind w:left="2381" w:right="1787" w:hanging="794"/>
        <w:jc w:val="left"/>
        <w:rPr>
          <w:sz w:val="12"/>
        </w:rPr>
      </w:pPr>
      <w:r>
        <w:rPr>
          <w:spacing w:val="-4"/>
          <w:w w:val="105"/>
          <w:sz w:val="21"/>
        </w:rPr>
        <w:t>QCAT </w:t>
      </w:r>
      <w:r>
        <w:rPr>
          <w:spacing w:val="-2"/>
          <w:w w:val="105"/>
          <w:sz w:val="21"/>
        </w:rPr>
        <w:t>has </w:t>
      </w:r>
      <w:r>
        <w:rPr>
          <w:w w:val="105"/>
          <w:sz w:val="21"/>
        </w:rPr>
        <w:t>jurisdiction </w:t>
      </w:r>
      <w:r>
        <w:rPr>
          <w:spacing w:val="-3"/>
          <w:w w:val="105"/>
          <w:sz w:val="21"/>
        </w:rPr>
        <w:t>to </w:t>
      </w:r>
      <w:r>
        <w:rPr>
          <w:w w:val="105"/>
          <w:sz w:val="21"/>
        </w:rPr>
        <w:t>hear neighbourhood </w:t>
      </w:r>
      <w:r>
        <w:rPr>
          <w:spacing w:val="-3"/>
          <w:w w:val="105"/>
          <w:sz w:val="21"/>
        </w:rPr>
        <w:t>disputes </w:t>
      </w:r>
      <w:r>
        <w:rPr>
          <w:w w:val="105"/>
          <w:sz w:val="21"/>
        </w:rPr>
        <w:t>about trees and </w:t>
      </w:r>
      <w:r>
        <w:rPr>
          <w:spacing w:val="-3"/>
          <w:w w:val="105"/>
          <w:sz w:val="21"/>
        </w:rPr>
        <w:t>dividing fences </w:t>
      </w:r>
      <w:r>
        <w:rPr>
          <w:w w:val="105"/>
          <w:sz w:val="21"/>
        </w:rPr>
        <w:t>with </w:t>
      </w:r>
      <w:r>
        <w:rPr>
          <w:spacing w:val="-3"/>
          <w:w w:val="105"/>
          <w:sz w:val="21"/>
        </w:rPr>
        <w:t>reference to </w:t>
      </w:r>
      <w:r>
        <w:rPr>
          <w:w w:val="105"/>
          <w:sz w:val="21"/>
        </w:rPr>
        <w:t>a </w:t>
      </w:r>
      <w:r>
        <w:rPr>
          <w:spacing w:val="-3"/>
          <w:w w:val="105"/>
          <w:sz w:val="21"/>
        </w:rPr>
        <w:t>single </w:t>
      </w:r>
      <w:r>
        <w:rPr>
          <w:w w:val="105"/>
          <w:sz w:val="21"/>
        </w:rPr>
        <w:t>Act.</w:t>
      </w:r>
      <w:r>
        <w:rPr>
          <w:w w:val="105"/>
          <w:position w:val="7"/>
          <w:sz w:val="12"/>
        </w:rPr>
        <w:t>335 </w:t>
      </w:r>
      <w:r>
        <w:rPr>
          <w:w w:val="105"/>
          <w:sz w:val="21"/>
        </w:rPr>
        <w:t>In </w:t>
      </w:r>
      <w:r>
        <w:rPr>
          <w:spacing w:val="-5"/>
          <w:w w:val="105"/>
          <w:sz w:val="21"/>
        </w:rPr>
        <w:t>Tasmania, </w:t>
      </w:r>
      <w:r>
        <w:rPr>
          <w:w w:val="105"/>
          <w:sz w:val="21"/>
        </w:rPr>
        <w:t>the </w:t>
      </w:r>
      <w:r>
        <w:rPr>
          <w:spacing w:val="-3"/>
          <w:w w:val="105"/>
          <w:sz w:val="21"/>
        </w:rPr>
        <w:t>provisions </w:t>
      </w:r>
      <w:r>
        <w:rPr>
          <w:w w:val="105"/>
          <w:sz w:val="21"/>
        </w:rPr>
        <w:t>of the Act </w:t>
      </w:r>
      <w:r>
        <w:rPr>
          <w:spacing w:val="-3"/>
          <w:w w:val="105"/>
          <w:sz w:val="21"/>
        </w:rPr>
        <w:t>will </w:t>
      </w:r>
      <w:r>
        <w:rPr>
          <w:w w:val="105"/>
          <w:sz w:val="21"/>
        </w:rPr>
        <w:t>apply if trees </w:t>
      </w:r>
      <w:r>
        <w:rPr>
          <w:spacing w:val="-3"/>
          <w:w w:val="105"/>
          <w:sz w:val="21"/>
        </w:rPr>
        <w:t>are</w:t>
      </w:r>
      <w:r>
        <w:rPr>
          <w:spacing w:val="4"/>
          <w:w w:val="105"/>
          <w:sz w:val="21"/>
        </w:rPr>
        <w:t> </w:t>
      </w:r>
      <w:r>
        <w:rPr>
          <w:spacing w:val="-3"/>
          <w:w w:val="105"/>
          <w:sz w:val="21"/>
        </w:rPr>
        <w:t>causing</w:t>
      </w:r>
      <w:r>
        <w:rPr>
          <w:spacing w:val="4"/>
          <w:w w:val="105"/>
          <w:sz w:val="21"/>
        </w:rPr>
        <w:t> </w:t>
      </w:r>
      <w:r>
        <w:rPr>
          <w:w w:val="105"/>
          <w:sz w:val="21"/>
        </w:rPr>
        <w:t>or</w:t>
      </w:r>
      <w:r>
        <w:rPr>
          <w:spacing w:val="4"/>
          <w:w w:val="105"/>
          <w:sz w:val="21"/>
        </w:rPr>
        <w:t> </w:t>
      </w:r>
      <w:r>
        <w:rPr>
          <w:spacing w:val="-3"/>
          <w:w w:val="105"/>
          <w:sz w:val="21"/>
        </w:rPr>
        <w:t>are</w:t>
      </w:r>
      <w:r>
        <w:rPr>
          <w:spacing w:val="4"/>
          <w:w w:val="105"/>
          <w:sz w:val="21"/>
        </w:rPr>
        <w:t> </w:t>
      </w:r>
      <w:r>
        <w:rPr>
          <w:spacing w:val="-4"/>
          <w:w w:val="105"/>
          <w:sz w:val="21"/>
        </w:rPr>
        <w:t>likely</w:t>
      </w:r>
      <w:r>
        <w:rPr>
          <w:spacing w:val="4"/>
          <w:w w:val="105"/>
          <w:sz w:val="21"/>
        </w:rPr>
        <w:t> </w:t>
      </w:r>
      <w:r>
        <w:rPr>
          <w:spacing w:val="-3"/>
          <w:w w:val="105"/>
          <w:sz w:val="21"/>
        </w:rPr>
        <w:t>to</w:t>
      </w:r>
      <w:r>
        <w:rPr>
          <w:spacing w:val="4"/>
          <w:w w:val="105"/>
          <w:sz w:val="21"/>
        </w:rPr>
        <w:t> </w:t>
      </w:r>
      <w:r>
        <w:rPr>
          <w:w w:val="105"/>
          <w:sz w:val="21"/>
        </w:rPr>
        <w:t>cause</w:t>
      </w:r>
      <w:r>
        <w:rPr>
          <w:spacing w:val="4"/>
          <w:w w:val="105"/>
          <w:sz w:val="21"/>
        </w:rPr>
        <w:t> </w:t>
      </w:r>
      <w:r>
        <w:rPr>
          <w:w w:val="105"/>
          <w:sz w:val="21"/>
        </w:rPr>
        <w:t>serious</w:t>
      </w:r>
      <w:r>
        <w:rPr>
          <w:spacing w:val="4"/>
          <w:w w:val="105"/>
          <w:sz w:val="21"/>
        </w:rPr>
        <w:t> </w:t>
      </w:r>
      <w:r>
        <w:rPr>
          <w:w w:val="105"/>
          <w:sz w:val="21"/>
        </w:rPr>
        <w:t>damage</w:t>
      </w:r>
      <w:r>
        <w:rPr>
          <w:spacing w:val="4"/>
          <w:w w:val="105"/>
          <w:sz w:val="21"/>
        </w:rPr>
        <w:t> </w:t>
      </w:r>
      <w:r>
        <w:rPr>
          <w:spacing w:val="-3"/>
          <w:w w:val="105"/>
          <w:sz w:val="21"/>
        </w:rPr>
        <w:t>to</w:t>
      </w:r>
      <w:r>
        <w:rPr>
          <w:spacing w:val="4"/>
          <w:w w:val="105"/>
          <w:sz w:val="21"/>
        </w:rPr>
        <w:t> </w:t>
      </w:r>
      <w:r>
        <w:rPr>
          <w:w w:val="105"/>
          <w:sz w:val="21"/>
        </w:rPr>
        <w:t>a</w:t>
      </w:r>
      <w:r>
        <w:rPr>
          <w:spacing w:val="5"/>
          <w:w w:val="105"/>
          <w:sz w:val="21"/>
        </w:rPr>
        <w:t> </w:t>
      </w:r>
      <w:r>
        <w:rPr>
          <w:spacing w:val="-3"/>
          <w:w w:val="105"/>
          <w:sz w:val="21"/>
        </w:rPr>
        <w:t>fence.</w:t>
      </w:r>
      <w:r>
        <w:rPr>
          <w:spacing w:val="-3"/>
          <w:w w:val="105"/>
          <w:position w:val="7"/>
          <w:sz w:val="12"/>
        </w:rPr>
        <w:t>336</w:t>
      </w:r>
    </w:p>
    <w:p>
      <w:pPr>
        <w:pStyle w:val="BodyText"/>
        <w:rPr>
          <w:sz w:val="20"/>
        </w:rPr>
      </w:pPr>
    </w:p>
    <w:p>
      <w:pPr>
        <w:pStyle w:val="BodyText"/>
        <w:rPr>
          <w:sz w:val="20"/>
        </w:rPr>
      </w:pPr>
    </w:p>
    <w:p>
      <w:pPr>
        <w:pStyle w:val="BodyText"/>
        <w:rPr>
          <w:sz w:val="20"/>
        </w:rPr>
      </w:pPr>
    </w:p>
    <w:p>
      <w:pPr>
        <w:pStyle w:val="BodyText"/>
        <w:spacing w:before="3"/>
        <w:rPr>
          <w:sz w:val="22"/>
        </w:rPr>
      </w:pPr>
      <w:r>
        <w:rPr/>
        <w:pict>
          <v:line style="position:absolute;mso-position-horizontal-relative:page;mso-position-vertical-relative:paragraph;z-index:10448;mso-wrap-distance-left:0;mso-wrap-distance-right:0" from="79.370102pt,16.050787pt" to="515.905102pt,16.05078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tabs>
          <w:tab w:pos="2380" w:val="left" w:leader="none"/>
        </w:tabs>
        <w:spacing w:before="48"/>
        <w:ind w:left="1587" w:right="0" w:firstLine="0"/>
        <w:jc w:val="left"/>
        <w:rPr>
          <w:sz w:val="13"/>
        </w:rPr>
      </w:pPr>
      <w:r>
        <w:rPr>
          <w:w w:val="105"/>
          <w:sz w:val="13"/>
        </w:rPr>
        <w:t>331</w:t>
        <w:tab/>
      </w:r>
      <w:r>
        <w:rPr>
          <w:i/>
          <w:w w:val="105"/>
          <w:sz w:val="13"/>
        </w:rPr>
        <w:t>Aboriginal Heritage Act 2006 </w:t>
      </w:r>
      <w:r>
        <w:rPr>
          <w:spacing w:val="2"/>
          <w:w w:val="105"/>
          <w:sz w:val="13"/>
        </w:rPr>
        <w:t>(Vic) </w:t>
      </w:r>
      <w:r>
        <w:rPr>
          <w:w w:val="105"/>
          <w:sz w:val="13"/>
        </w:rPr>
        <w:t>s</w:t>
      </w:r>
      <w:r>
        <w:rPr>
          <w:spacing w:val="26"/>
          <w:w w:val="105"/>
          <w:sz w:val="13"/>
        </w:rPr>
        <w:t> </w:t>
      </w:r>
      <w:r>
        <w:rPr>
          <w:spacing w:val="3"/>
          <w:w w:val="105"/>
          <w:sz w:val="13"/>
        </w:rPr>
        <w:t>29(c).</w:t>
      </w:r>
    </w:p>
    <w:p>
      <w:pPr>
        <w:tabs>
          <w:tab w:pos="2380" w:val="left" w:leader="none"/>
        </w:tabs>
        <w:spacing w:before="1"/>
        <w:ind w:left="1587" w:right="0" w:firstLine="0"/>
        <w:jc w:val="left"/>
        <w:rPr>
          <w:sz w:val="13"/>
        </w:rPr>
      </w:pPr>
      <w:r>
        <w:rPr>
          <w:w w:val="105"/>
          <w:sz w:val="13"/>
        </w:rPr>
        <w:t>332</w:t>
        <w:tab/>
        <w:t>Ibid s</w:t>
      </w:r>
      <w:r>
        <w:rPr>
          <w:spacing w:val="9"/>
          <w:w w:val="105"/>
          <w:sz w:val="13"/>
        </w:rPr>
        <w:t> </w:t>
      </w:r>
      <w:r>
        <w:rPr>
          <w:w w:val="105"/>
          <w:sz w:val="13"/>
        </w:rPr>
        <w:t>36.</w:t>
      </w:r>
    </w:p>
    <w:p>
      <w:pPr>
        <w:tabs>
          <w:tab w:pos="2380" w:val="left" w:leader="none"/>
        </w:tabs>
        <w:spacing w:before="2"/>
        <w:ind w:left="1587" w:right="0" w:firstLine="0"/>
        <w:jc w:val="left"/>
        <w:rPr>
          <w:sz w:val="13"/>
        </w:rPr>
      </w:pPr>
      <w:r>
        <w:rPr>
          <w:sz w:val="13"/>
        </w:rPr>
        <w:t>333</w:t>
        <w:tab/>
        <w:t>Ibid s</w:t>
      </w:r>
      <w:r>
        <w:rPr>
          <w:spacing w:val="12"/>
          <w:sz w:val="13"/>
        </w:rPr>
        <w:t> </w:t>
      </w:r>
      <w:r>
        <w:rPr>
          <w:sz w:val="13"/>
        </w:rPr>
        <w:t>12(1)(a).</w:t>
      </w:r>
    </w:p>
    <w:p>
      <w:pPr>
        <w:pStyle w:val="ListParagraph"/>
        <w:numPr>
          <w:ilvl w:val="0"/>
          <w:numId w:val="187"/>
        </w:numPr>
        <w:tabs>
          <w:tab w:pos="2380" w:val="left" w:leader="none"/>
          <w:tab w:pos="2382" w:val="left" w:leader="none"/>
        </w:tabs>
        <w:spacing w:line="240" w:lineRule="auto" w:before="1"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 Wales). The Court acknowledged that some fence matters can be complicated and</w:t>
      </w:r>
      <w:r>
        <w:rPr>
          <w:spacing w:val="4"/>
          <w:w w:val="105"/>
          <w:sz w:val="13"/>
        </w:rPr>
        <w:t> </w:t>
      </w:r>
      <w:r>
        <w:rPr>
          <w:w w:val="105"/>
          <w:sz w:val="13"/>
        </w:rPr>
        <w:t>require</w:t>
      </w:r>
      <w:r>
        <w:rPr>
          <w:spacing w:val="4"/>
          <w:w w:val="105"/>
          <w:sz w:val="13"/>
        </w:rPr>
        <w:t> </w:t>
      </w:r>
      <w:r>
        <w:rPr>
          <w:w w:val="105"/>
          <w:sz w:val="13"/>
        </w:rPr>
        <w:t>different</w:t>
      </w:r>
      <w:r>
        <w:rPr>
          <w:spacing w:val="4"/>
          <w:w w:val="105"/>
          <w:sz w:val="13"/>
        </w:rPr>
        <w:t> </w:t>
      </w:r>
      <w:r>
        <w:rPr>
          <w:w w:val="105"/>
          <w:sz w:val="13"/>
        </w:rPr>
        <w:t>expertise.</w:t>
      </w:r>
      <w:r>
        <w:rPr>
          <w:spacing w:val="4"/>
          <w:w w:val="105"/>
          <w:sz w:val="13"/>
        </w:rPr>
        <w:t> </w:t>
      </w:r>
      <w:r>
        <w:rPr>
          <w:w w:val="105"/>
          <w:sz w:val="13"/>
        </w:rPr>
        <w:t>The</w:t>
      </w:r>
      <w:r>
        <w:rPr>
          <w:spacing w:val="4"/>
          <w:w w:val="105"/>
          <w:sz w:val="13"/>
        </w:rPr>
        <w:t> </w:t>
      </w:r>
      <w:r>
        <w:rPr>
          <w:w w:val="105"/>
          <w:sz w:val="13"/>
        </w:rPr>
        <w:t>Court</w:t>
      </w:r>
      <w:r>
        <w:rPr>
          <w:spacing w:val="4"/>
          <w:w w:val="105"/>
          <w:sz w:val="13"/>
        </w:rPr>
        <w:t> </w:t>
      </w:r>
      <w:r>
        <w:rPr>
          <w:w w:val="105"/>
          <w:sz w:val="13"/>
        </w:rPr>
        <w:t>can</w:t>
      </w:r>
      <w:r>
        <w:rPr>
          <w:spacing w:val="4"/>
          <w:w w:val="105"/>
          <w:sz w:val="13"/>
        </w:rPr>
        <w:t> </w:t>
      </w:r>
      <w:r>
        <w:rPr>
          <w:w w:val="105"/>
          <w:sz w:val="13"/>
        </w:rPr>
        <w:t>make</w:t>
      </w:r>
      <w:r>
        <w:rPr>
          <w:spacing w:val="4"/>
          <w:w w:val="105"/>
          <w:sz w:val="13"/>
        </w:rPr>
        <w:t> </w:t>
      </w:r>
      <w:r>
        <w:rPr>
          <w:w w:val="105"/>
          <w:sz w:val="13"/>
        </w:rPr>
        <w:t>orders</w:t>
      </w:r>
      <w:r>
        <w:rPr>
          <w:spacing w:val="4"/>
          <w:w w:val="105"/>
          <w:sz w:val="13"/>
        </w:rPr>
        <w:t> </w:t>
      </w:r>
      <w:r>
        <w:rPr>
          <w:w w:val="105"/>
          <w:sz w:val="13"/>
        </w:rPr>
        <w:t>that</w:t>
      </w:r>
      <w:r>
        <w:rPr>
          <w:spacing w:val="4"/>
          <w:w w:val="105"/>
          <w:sz w:val="13"/>
        </w:rPr>
        <w:t> </w:t>
      </w:r>
      <w:r>
        <w:rPr>
          <w:w w:val="105"/>
          <w:sz w:val="13"/>
        </w:rPr>
        <w:t>require</w:t>
      </w:r>
      <w:r>
        <w:rPr>
          <w:spacing w:val="4"/>
          <w:w w:val="105"/>
          <w:sz w:val="13"/>
        </w:rPr>
        <w:t> </w:t>
      </w:r>
      <w:r>
        <w:rPr>
          <w:w w:val="105"/>
          <w:sz w:val="13"/>
        </w:rPr>
        <w:t>parties</w:t>
      </w:r>
      <w:r>
        <w:rPr>
          <w:spacing w:val="4"/>
          <w:w w:val="105"/>
          <w:sz w:val="13"/>
        </w:rPr>
        <w:t> </w:t>
      </w:r>
      <w:r>
        <w:rPr>
          <w:w w:val="105"/>
          <w:sz w:val="13"/>
        </w:rPr>
        <w:t>to</w:t>
      </w:r>
      <w:r>
        <w:rPr>
          <w:spacing w:val="5"/>
          <w:w w:val="105"/>
          <w:sz w:val="13"/>
        </w:rPr>
        <w:t> </w:t>
      </w:r>
      <w:r>
        <w:rPr>
          <w:w w:val="105"/>
          <w:sz w:val="13"/>
        </w:rPr>
        <w:t>obtain</w:t>
      </w:r>
      <w:r>
        <w:rPr>
          <w:spacing w:val="4"/>
          <w:w w:val="105"/>
          <w:sz w:val="13"/>
        </w:rPr>
        <w:t> </w:t>
      </w:r>
      <w:r>
        <w:rPr>
          <w:w w:val="105"/>
          <w:sz w:val="13"/>
        </w:rPr>
        <w:t>further</w:t>
      </w:r>
      <w:r>
        <w:rPr>
          <w:spacing w:val="4"/>
          <w:w w:val="105"/>
          <w:sz w:val="13"/>
        </w:rPr>
        <w:t> </w:t>
      </w:r>
      <w:r>
        <w:rPr>
          <w:w w:val="105"/>
          <w:sz w:val="13"/>
        </w:rPr>
        <w:t>evidence</w:t>
      </w:r>
      <w:r>
        <w:rPr>
          <w:spacing w:val="4"/>
          <w:w w:val="105"/>
          <w:sz w:val="13"/>
        </w:rPr>
        <w:t> </w:t>
      </w:r>
      <w:r>
        <w:rPr>
          <w:w w:val="105"/>
          <w:sz w:val="13"/>
        </w:rPr>
        <w:t>where</w:t>
      </w:r>
      <w:r>
        <w:rPr>
          <w:spacing w:val="4"/>
          <w:w w:val="105"/>
          <w:sz w:val="13"/>
        </w:rPr>
        <w:t> </w:t>
      </w:r>
      <w:r>
        <w:rPr>
          <w:w w:val="105"/>
          <w:sz w:val="13"/>
        </w:rPr>
        <w:t>it</w:t>
      </w:r>
      <w:r>
        <w:rPr>
          <w:spacing w:val="4"/>
          <w:w w:val="105"/>
          <w:sz w:val="13"/>
        </w:rPr>
        <w:t> </w:t>
      </w:r>
      <w:r>
        <w:rPr>
          <w:w w:val="105"/>
          <w:sz w:val="13"/>
        </w:rPr>
        <w:t>is</w:t>
      </w:r>
      <w:r>
        <w:rPr>
          <w:spacing w:val="4"/>
          <w:w w:val="105"/>
          <w:sz w:val="13"/>
        </w:rPr>
        <w:t> </w:t>
      </w:r>
      <w:r>
        <w:rPr>
          <w:w w:val="105"/>
          <w:sz w:val="13"/>
        </w:rPr>
        <w:t>needed.</w:t>
      </w:r>
    </w:p>
    <w:p>
      <w:pPr>
        <w:pStyle w:val="ListParagraph"/>
        <w:numPr>
          <w:ilvl w:val="0"/>
          <w:numId w:val="187"/>
        </w:numPr>
        <w:tabs>
          <w:tab w:pos="2380" w:val="left" w:leader="none"/>
          <w:tab w:pos="2382" w:val="left" w:leader="none"/>
        </w:tabs>
        <w:spacing w:line="240" w:lineRule="auto" w:before="3" w:after="0"/>
        <w:ind w:left="2381" w:right="0" w:hanging="794"/>
        <w:jc w:val="left"/>
        <w:rPr>
          <w:sz w:val="13"/>
        </w:rPr>
      </w:pPr>
      <w:r>
        <w:rPr>
          <w:w w:val="105"/>
          <w:sz w:val="13"/>
        </w:rPr>
        <w:t>See, eg, </w:t>
      </w:r>
      <w:r>
        <w:rPr>
          <w:i/>
          <w:w w:val="105"/>
          <w:sz w:val="13"/>
        </w:rPr>
        <w:t>Neighbourhood Disputes (Dividing Fences and Trees) Act</w:t>
      </w:r>
      <w:r>
        <w:rPr>
          <w:i/>
          <w:spacing w:val="29"/>
          <w:w w:val="105"/>
          <w:sz w:val="13"/>
        </w:rPr>
        <w:t> </w:t>
      </w:r>
      <w:r>
        <w:rPr>
          <w:i/>
          <w:spacing w:val="-4"/>
          <w:w w:val="105"/>
          <w:sz w:val="13"/>
        </w:rPr>
        <w:t>2011 </w:t>
      </w:r>
      <w:r>
        <w:rPr>
          <w:spacing w:val="2"/>
          <w:w w:val="105"/>
          <w:sz w:val="13"/>
        </w:rPr>
        <w:t>(Qld).</w:t>
      </w:r>
    </w:p>
    <w:p>
      <w:pPr>
        <w:pStyle w:val="ListParagraph"/>
        <w:numPr>
          <w:ilvl w:val="0"/>
          <w:numId w:val="187"/>
        </w:numPr>
        <w:tabs>
          <w:tab w:pos="2380" w:val="left" w:leader="none"/>
          <w:tab w:pos="2382" w:val="left" w:leader="none"/>
        </w:tabs>
        <w:spacing w:line="240" w:lineRule="auto" w:before="1" w:after="0"/>
        <w:ind w:left="2381" w:right="0" w:hanging="794"/>
        <w:jc w:val="left"/>
        <w:rPr>
          <w:sz w:val="13"/>
        </w:rPr>
      </w:pPr>
      <w:r>
        <w:rPr>
          <w:i/>
          <w:w w:val="105"/>
          <w:sz w:val="13"/>
        </w:rPr>
        <w:t>Neighbourhood Disputes About Plants </w:t>
      </w:r>
      <w:r>
        <w:rPr>
          <w:i/>
          <w:spacing w:val="-4"/>
          <w:w w:val="105"/>
          <w:sz w:val="13"/>
        </w:rPr>
        <w:t>2017</w:t>
      </w:r>
      <w:r>
        <w:rPr>
          <w:i/>
          <w:spacing w:val="-3"/>
          <w:w w:val="105"/>
          <w:sz w:val="13"/>
        </w:rPr>
        <w:t> </w:t>
      </w:r>
      <w:r>
        <w:rPr>
          <w:w w:val="105"/>
          <w:sz w:val="13"/>
        </w:rPr>
        <w:t>(Tas).</w:t>
      </w:r>
    </w:p>
    <w:p>
      <w:pPr>
        <w:pStyle w:val="BodyText"/>
        <w:rPr>
          <w:sz w:val="28"/>
        </w:rPr>
      </w:pPr>
      <w:r>
        <w:rPr/>
        <w:br w:type="column"/>
      </w:r>
      <w:r>
        <w:rPr>
          <w:sz w:val="28"/>
        </w:rPr>
      </w:r>
    </w:p>
    <w:p>
      <w:pPr>
        <w:pStyle w:val="BodyText"/>
        <w:rPr>
          <w:sz w:val="28"/>
        </w:rPr>
      </w:pPr>
    </w:p>
    <w:p>
      <w:pPr>
        <w:spacing w:before="220"/>
        <w:ind w:left="560" w:right="573" w:firstLine="0"/>
        <w:jc w:val="center"/>
        <w:rPr>
          <w:b/>
          <w:sz w:val="24"/>
        </w:rPr>
      </w:pPr>
      <w:r>
        <w:rPr>
          <w:b/>
          <w:color w:val="658464"/>
          <w:w w:val="110"/>
          <w:sz w:val="24"/>
        </w:rPr>
        <w:t>255</w:t>
      </w:r>
    </w:p>
    <w:p>
      <w:pPr>
        <w:spacing w:after="0"/>
        <w:jc w:val="center"/>
        <w:rPr>
          <w:sz w:val="24"/>
        </w:rPr>
        <w:sectPr>
          <w:type w:val="continuous"/>
          <w:pgSz w:w="11910" w:h="16840"/>
          <w:pgMar w:top="300" w:bottom="280" w:left="0" w:right="0"/>
          <w:cols w:num="2" w:equalWidth="0">
            <w:col w:w="10291" w:space="40"/>
            <w:col w:w="1579"/>
          </w:cols>
        </w:sectPr>
      </w:pPr>
    </w:p>
    <w:p>
      <w:pPr>
        <w:pStyle w:val="BodyText"/>
        <w:spacing w:before="9"/>
        <w:rPr>
          <w:b/>
          <w:sz w:val="22"/>
        </w:rPr>
      </w:pPr>
    </w:p>
    <w:p>
      <w:pPr>
        <w:pStyle w:val="ListParagraph"/>
        <w:numPr>
          <w:ilvl w:val="0"/>
          <w:numId w:val="173"/>
        </w:numPr>
        <w:tabs>
          <w:tab w:pos="2381" w:val="left" w:leader="none"/>
        </w:tabs>
        <w:spacing w:line="242" w:lineRule="auto" w:before="92" w:after="0"/>
        <w:ind w:left="2381" w:right="1636" w:hanging="794"/>
        <w:jc w:val="left"/>
        <w:rPr>
          <w:sz w:val="21"/>
        </w:rPr>
      </w:pPr>
      <w:bookmarkStart w:name="_bookmark139" w:id="296"/>
      <w:bookmarkEnd w:id="296"/>
      <w:r>
        <w:rPr/>
      </w:r>
      <w:bookmarkStart w:name="_bookmark139" w:id="297"/>
      <w:bookmarkEnd w:id="297"/>
      <w:r>
        <w:rPr>
          <w:spacing w:val="-4"/>
          <w:sz w:val="21"/>
        </w:rPr>
        <w:t>W</w:t>
      </w:r>
      <w:r>
        <w:rPr>
          <w:spacing w:val="-4"/>
          <w:sz w:val="21"/>
        </w:rPr>
        <w:t>here </w:t>
      </w:r>
      <w:r>
        <w:rPr>
          <w:sz w:val="21"/>
        </w:rPr>
        <w:t>a </w:t>
      </w:r>
      <w:r>
        <w:rPr>
          <w:spacing w:val="-4"/>
          <w:sz w:val="21"/>
        </w:rPr>
        <w:t>tree has caused damage to </w:t>
      </w:r>
      <w:r>
        <w:rPr>
          <w:sz w:val="21"/>
        </w:rPr>
        <w:t>a </w:t>
      </w:r>
      <w:r>
        <w:rPr>
          <w:spacing w:val="-5"/>
          <w:sz w:val="21"/>
        </w:rPr>
        <w:t>fence </w:t>
      </w:r>
      <w:r>
        <w:rPr>
          <w:sz w:val="21"/>
        </w:rPr>
        <w:t>or a </w:t>
      </w:r>
      <w:r>
        <w:rPr>
          <w:spacing w:val="-4"/>
          <w:sz w:val="21"/>
        </w:rPr>
        <w:t>tree </w:t>
      </w:r>
      <w:r>
        <w:rPr>
          <w:spacing w:val="-3"/>
          <w:sz w:val="21"/>
        </w:rPr>
        <w:t>is </w:t>
      </w:r>
      <w:r>
        <w:rPr>
          <w:sz w:val="21"/>
        </w:rPr>
        <w:t>part </w:t>
      </w:r>
      <w:r>
        <w:rPr>
          <w:spacing w:val="-3"/>
          <w:sz w:val="21"/>
        </w:rPr>
        <w:t>of </w:t>
      </w:r>
      <w:r>
        <w:rPr>
          <w:sz w:val="21"/>
        </w:rPr>
        <w:t>a </w:t>
      </w:r>
      <w:r>
        <w:rPr>
          <w:spacing w:val="-5"/>
          <w:sz w:val="21"/>
        </w:rPr>
        <w:t>fence </w:t>
      </w:r>
      <w:r>
        <w:rPr>
          <w:spacing w:val="-4"/>
          <w:sz w:val="21"/>
        </w:rPr>
        <w:t>that has caused, </w:t>
      </w:r>
      <w:r>
        <w:rPr>
          <w:spacing w:val="-3"/>
          <w:sz w:val="21"/>
        </w:rPr>
        <w:t>is </w:t>
      </w:r>
      <w:r>
        <w:rPr>
          <w:spacing w:val="-5"/>
          <w:sz w:val="21"/>
        </w:rPr>
        <w:t>causing  </w:t>
      </w:r>
      <w:r>
        <w:rPr>
          <w:sz w:val="21"/>
        </w:rPr>
        <w:t>or </w:t>
      </w:r>
      <w:r>
        <w:rPr>
          <w:spacing w:val="-3"/>
          <w:sz w:val="21"/>
        </w:rPr>
        <w:t>is </w:t>
      </w:r>
      <w:r>
        <w:rPr>
          <w:spacing w:val="-5"/>
          <w:sz w:val="21"/>
        </w:rPr>
        <w:t>likely  </w:t>
      </w:r>
      <w:r>
        <w:rPr>
          <w:spacing w:val="-4"/>
          <w:sz w:val="21"/>
        </w:rPr>
        <w:t>to cause damage to </w:t>
      </w:r>
      <w:r>
        <w:rPr>
          <w:spacing w:val="-3"/>
          <w:sz w:val="21"/>
        </w:rPr>
        <w:t>property </w:t>
      </w:r>
      <w:r>
        <w:rPr>
          <w:sz w:val="21"/>
        </w:rPr>
        <w:t>or </w:t>
      </w:r>
      <w:r>
        <w:rPr>
          <w:spacing w:val="-4"/>
          <w:sz w:val="21"/>
        </w:rPr>
        <w:t>harm to any person, </w:t>
      </w:r>
      <w:r>
        <w:rPr>
          <w:spacing w:val="-3"/>
          <w:sz w:val="21"/>
        </w:rPr>
        <w:t>it </w:t>
      </w:r>
      <w:r>
        <w:rPr>
          <w:spacing w:val="-4"/>
          <w:sz w:val="21"/>
        </w:rPr>
        <w:t>would </w:t>
      </w:r>
      <w:r>
        <w:rPr>
          <w:sz w:val="21"/>
        </w:rPr>
        <w:t>be </w:t>
      </w:r>
      <w:r>
        <w:rPr>
          <w:spacing w:val="-4"/>
          <w:sz w:val="21"/>
        </w:rPr>
        <w:t>prudent </w:t>
      </w:r>
      <w:r>
        <w:rPr>
          <w:spacing w:val="39"/>
          <w:sz w:val="21"/>
        </w:rPr>
        <w:t> </w:t>
      </w:r>
      <w:r>
        <w:rPr>
          <w:spacing w:val="-4"/>
          <w:sz w:val="21"/>
        </w:rPr>
        <w:t>for</w:t>
      </w:r>
      <w:r>
        <w:rPr>
          <w:spacing w:val="12"/>
          <w:sz w:val="21"/>
        </w:rPr>
        <w:t> </w:t>
      </w:r>
      <w:r>
        <w:rPr>
          <w:spacing w:val="-3"/>
          <w:sz w:val="21"/>
        </w:rPr>
        <w:t>orders</w:t>
      </w:r>
      <w:r>
        <w:rPr>
          <w:spacing w:val="12"/>
          <w:sz w:val="21"/>
        </w:rPr>
        <w:t> </w:t>
      </w:r>
      <w:r>
        <w:rPr>
          <w:spacing w:val="-4"/>
          <w:sz w:val="21"/>
        </w:rPr>
        <w:t>to</w:t>
      </w:r>
      <w:r>
        <w:rPr>
          <w:spacing w:val="12"/>
          <w:sz w:val="21"/>
        </w:rPr>
        <w:t> </w:t>
      </w:r>
      <w:r>
        <w:rPr>
          <w:sz w:val="21"/>
        </w:rPr>
        <w:t>be</w:t>
      </w:r>
      <w:r>
        <w:rPr>
          <w:spacing w:val="13"/>
          <w:sz w:val="21"/>
        </w:rPr>
        <w:t> </w:t>
      </w:r>
      <w:r>
        <w:rPr>
          <w:spacing w:val="-3"/>
          <w:sz w:val="21"/>
        </w:rPr>
        <w:t>made</w:t>
      </w:r>
      <w:r>
        <w:rPr>
          <w:spacing w:val="12"/>
          <w:sz w:val="21"/>
        </w:rPr>
        <w:t> </w:t>
      </w:r>
      <w:r>
        <w:rPr>
          <w:spacing w:val="-3"/>
          <w:sz w:val="21"/>
        </w:rPr>
        <w:t>in</w:t>
      </w:r>
      <w:r>
        <w:rPr>
          <w:spacing w:val="12"/>
          <w:sz w:val="21"/>
        </w:rPr>
        <w:t> </w:t>
      </w:r>
      <w:r>
        <w:rPr>
          <w:spacing w:val="-5"/>
          <w:sz w:val="21"/>
        </w:rPr>
        <w:t>relation</w:t>
      </w:r>
      <w:r>
        <w:rPr>
          <w:spacing w:val="13"/>
          <w:sz w:val="21"/>
        </w:rPr>
        <w:t> </w:t>
      </w:r>
      <w:r>
        <w:rPr>
          <w:spacing w:val="-4"/>
          <w:sz w:val="21"/>
        </w:rPr>
        <w:t>to</w:t>
      </w:r>
      <w:r>
        <w:rPr>
          <w:spacing w:val="12"/>
          <w:sz w:val="21"/>
        </w:rPr>
        <w:t> </w:t>
      </w:r>
      <w:r>
        <w:rPr>
          <w:spacing w:val="-3"/>
          <w:sz w:val="21"/>
        </w:rPr>
        <w:t>the</w:t>
      </w:r>
      <w:r>
        <w:rPr>
          <w:spacing w:val="12"/>
          <w:sz w:val="21"/>
        </w:rPr>
        <w:t> </w:t>
      </w:r>
      <w:r>
        <w:rPr>
          <w:spacing w:val="-4"/>
          <w:sz w:val="21"/>
        </w:rPr>
        <w:t>tree</w:t>
      </w:r>
      <w:r>
        <w:rPr>
          <w:spacing w:val="12"/>
          <w:sz w:val="21"/>
        </w:rPr>
        <w:t> </w:t>
      </w:r>
      <w:r>
        <w:rPr>
          <w:spacing w:val="-4"/>
          <w:sz w:val="21"/>
        </w:rPr>
        <w:t>and</w:t>
      </w:r>
      <w:r>
        <w:rPr>
          <w:spacing w:val="13"/>
          <w:sz w:val="21"/>
        </w:rPr>
        <w:t> </w:t>
      </w:r>
      <w:r>
        <w:rPr>
          <w:spacing w:val="-3"/>
          <w:sz w:val="21"/>
        </w:rPr>
        <w:t>the</w:t>
      </w:r>
      <w:r>
        <w:rPr>
          <w:spacing w:val="12"/>
          <w:sz w:val="21"/>
        </w:rPr>
        <w:t> </w:t>
      </w:r>
      <w:r>
        <w:rPr>
          <w:spacing w:val="-4"/>
          <w:sz w:val="21"/>
        </w:rPr>
        <w:t>damaged</w:t>
      </w:r>
      <w:r>
        <w:rPr>
          <w:spacing w:val="12"/>
          <w:sz w:val="21"/>
        </w:rPr>
        <w:t> </w:t>
      </w:r>
      <w:r>
        <w:rPr>
          <w:spacing w:val="-5"/>
          <w:sz w:val="21"/>
        </w:rPr>
        <w:t>fence</w:t>
      </w:r>
      <w:r>
        <w:rPr>
          <w:spacing w:val="13"/>
          <w:sz w:val="21"/>
        </w:rPr>
        <w:t> </w:t>
      </w:r>
      <w:r>
        <w:rPr>
          <w:spacing w:val="-3"/>
          <w:sz w:val="21"/>
        </w:rPr>
        <w:t>at</w:t>
      </w:r>
      <w:r>
        <w:rPr>
          <w:spacing w:val="12"/>
          <w:sz w:val="21"/>
        </w:rPr>
        <w:t> </w:t>
      </w:r>
      <w:r>
        <w:rPr>
          <w:spacing w:val="-3"/>
          <w:sz w:val="21"/>
        </w:rPr>
        <w:t>the</w:t>
      </w:r>
      <w:r>
        <w:rPr>
          <w:spacing w:val="12"/>
          <w:sz w:val="21"/>
        </w:rPr>
        <w:t> </w:t>
      </w:r>
      <w:r>
        <w:rPr>
          <w:spacing w:val="-3"/>
          <w:sz w:val="21"/>
        </w:rPr>
        <w:t>same</w:t>
      </w:r>
      <w:r>
        <w:rPr>
          <w:spacing w:val="12"/>
          <w:sz w:val="21"/>
        </w:rPr>
        <w:t> </w:t>
      </w:r>
      <w:r>
        <w:rPr>
          <w:spacing w:val="-5"/>
          <w:sz w:val="21"/>
        </w:rPr>
        <w:t>time.</w:t>
      </w:r>
    </w:p>
    <w:p>
      <w:pPr>
        <w:pStyle w:val="BodyText"/>
        <w:spacing w:before="4"/>
        <w:rPr>
          <w:sz w:val="17"/>
        </w:rPr>
      </w:pPr>
      <w:r>
        <w:rPr/>
        <w:pict>
          <v:group style="position:absolute;margin-left:62.362202pt;margin-top:12.539596pt;width:479.1pt;height:160.4pt;mso-position-horizontal-relative:page;mso-position-vertical-relative:paragraph;z-index:10520;mso-wrap-distance-left:0;mso-wrap-distance-right:0" coordorigin="1247,251" coordsize="9582,3208">
            <v:rect style="position:absolute;left:1587;top:250;width:8731;height:3208" filled="true" fillcolor="#dbe0dd" stroked="false">
              <v:fill type="solid"/>
            </v:rect>
            <v:line style="position:absolute" from="1247,998" to="10828,998" stroked="true" strokeweight="2.5pt" strokecolor="#ffffff">
              <v:stroke dashstyle="solid"/>
            </v:line>
            <v:shape style="position:absolute;left:1587;top:1022;width:8731;height:2436" type="#_x0000_t202" filled="true" fillcolor="#dbe0dd" stroked="false">
              <v:textbox inset="0,0,0,0">
                <w:txbxContent>
                  <w:p>
                    <w:pPr>
                      <w:spacing w:line="242" w:lineRule="auto" w:before="205"/>
                      <w:ind w:left="793" w:right="639" w:hanging="567"/>
                      <w:jc w:val="both"/>
                      <w:rPr>
                        <w:sz w:val="21"/>
                      </w:rPr>
                    </w:pPr>
                    <w:r>
                      <w:rPr>
                        <w:b/>
                        <w:w w:val="110"/>
                        <w:sz w:val="21"/>
                      </w:rPr>
                      <w:t>46 </w:t>
                    </w:r>
                    <w:r>
                      <w:rPr>
                        <w:w w:val="110"/>
                        <w:sz w:val="21"/>
                      </w:rPr>
                      <w:t>Section 30C of the </w:t>
                    </w:r>
                    <w:r>
                      <w:rPr>
                        <w:rFonts w:ascii="Lucida Sans"/>
                        <w:i/>
                        <w:w w:val="110"/>
                        <w:sz w:val="21"/>
                      </w:rPr>
                      <w:t>Fences Act 1968 </w:t>
                    </w:r>
                    <w:r>
                      <w:rPr>
                        <w:w w:val="110"/>
                        <w:sz w:val="21"/>
                      </w:rPr>
                      <w:t>(Vic) should be amended to provide the Victorian Civil and Administrative Tribunal with jurisdiction to make orders under the Fences Act where a tree:</w:t>
                    </w:r>
                  </w:p>
                  <w:p>
                    <w:pPr>
                      <w:numPr>
                        <w:ilvl w:val="0"/>
                        <w:numId w:val="188"/>
                      </w:numPr>
                      <w:tabs>
                        <w:tab w:pos="1360" w:val="left" w:leader="none"/>
                        <w:tab w:pos="1361" w:val="left" w:leader="none"/>
                      </w:tabs>
                      <w:spacing w:line="242" w:lineRule="auto" w:before="123"/>
                      <w:ind w:left="1360" w:right="314" w:hanging="567"/>
                      <w:jc w:val="left"/>
                      <w:rPr>
                        <w:sz w:val="21"/>
                      </w:rPr>
                    </w:pPr>
                    <w:r>
                      <w:rPr>
                        <w:w w:val="115"/>
                        <w:sz w:val="21"/>
                      </w:rPr>
                      <w:t>has</w:t>
                    </w:r>
                    <w:r>
                      <w:rPr>
                        <w:spacing w:val="-7"/>
                        <w:w w:val="115"/>
                        <w:sz w:val="21"/>
                      </w:rPr>
                      <w:t> </w:t>
                    </w:r>
                    <w:r>
                      <w:rPr>
                        <w:w w:val="115"/>
                        <w:sz w:val="21"/>
                      </w:rPr>
                      <w:t>caused,</w:t>
                    </w:r>
                    <w:r>
                      <w:rPr>
                        <w:spacing w:val="-7"/>
                        <w:w w:val="115"/>
                        <w:sz w:val="21"/>
                      </w:rPr>
                      <w:t> </w:t>
                    </w:r>
                    <w:r>
                      <w:rPr>
                        <w:w w:val="115"/>
                        <w:sz w:val="21"/>
                      </w:rPr>
                      <w:t>is</w:t>
                    </w:r>
                    <w:r>
                      <w:rPr>
                        <w:spacing w:val="-7"/>
                        <w:w w:val="115"/>
                        <w:sz w:val="21"/>
                      </w:rPr>
                      <w:t> </w:t>
                    </w:r>
                    <w:r>
                      <w:rPr>
                        <w:w w:val="115"/>
                        <w:sz w:val="21"/>
                      </w:rPr>
                      <w:t>causing,</w:t>
                    </w:r>
                    <w:r>
                      <w:rPr>
                        <w:spacing w:val="-7"/>
                        <w:w w:val="115"/>
                        <w:sz w:val="21"/>
                      </w:rPr>
                      <w:t> </w:t>
                    </w:r>
                    <w:r>
                      <w:rPr>
                        <w:w w:val="115"/>
                        <w:sz w:val="21"/>
                      </w:rPr>
                      <w:t>or</w:t>
                    </w:r>
                    <w:r>
                      <w:rPr>
                        <w:spacing w:val="-7"/>
                        <w:w w:val="115"/>
                        <w:sz w:val="21"/>
                      </w:rPr>
                      <w:t> </w:t>
                    </w:r>
                    <w:r>
                      <w:rPr>
                        <w:w w:val="115"/>
                        <w:sz w:val="21"/>
                      </w:rPr>
                      <w:t>is</w:t>
                    </w:r>
                    <w:r>
                      <w:rPr>
                        <w:spacing w:val="-7"/>
                        <w:w w:val="115"/>
                        <w:sz w:val="21"/>
                      </w:rPr>
                      <w:t> </w:t>
                    </w:r>
                    <w:r>
                      <w:rPr>
                        <w:spacing w:val="-3"/>
                        <w:w w:val="115"/>
                        <w:sz w:val="21"/>
                      </w:rPr>
                      <w:t>likely</w:t>
                    </w:r>
                    <w:r>
                      <w:rPr>
                        <w:spacing w:val="-7"/>
                        <w:w w:val="115"/>
                        <w:sz w:val="21"/>
                      </w:rPr>
                      <w:t> </w:t>
                    </w:r>
                    <w:r>
                      <w:rPr>
                        <w:w w:val="115"/>
                        <w:sz w:val="21"/>
                      </w:rPr>
                      <w:t>in</w:t>
                    </w:r>
                    <w:r>
                      <w:rPr>
                        <w:spacing w:val="-7"/>
                        <w:w w:val="115"/>
                        <w:sz w:val="21"/>
                      </w:rPr>
                      <w:t> </w:t>
                    </w:r>
                    <w:r>
                      <w:rPr>
                        <w:w w:val="115"/>
                        <w:sz w:val="21"/>
                      </w:rPr>
                      <w:t>the</w:t>
                    </w:r>
                    <w:r>
                      <w:rPr>
                        <w:spacing w:val="-7"/>
                        <w:w w:val="115"/>
                        <w:sz w:val="21"/>
                      </w:rPr>
                      <w:t> </w:t>
                    </w:r>
                    <w:r>
                      <w:rPr>
                        <w:w w:val="115"/>
                        <w:sz w:val="21"/>
                      </w:rPr>
                      <w:t>next</w:t>
                    </w:r>
                    <w:r>
                      <w:rPr>
                        <w:spacing w:val="-6"/>
                        <w:w w:val="115"/>
                        <w:sz w:val="21"/>
                      </w:rPr>
                      <w:t> </w:t>
                    </w:r>
                    <w:r>
                      <w:rPr>
                        <w:spacing w:val="-7"/>
                        <w:w w:val="115"/>
                        <w:sz w:val="21"/>
                      </w:rPr>
                      <w:t>12 </w:t>
                    </w:r>
                    <w:r>
                      <w:rPr>
                        <w:w w:val="115"/>
                        <w:sz w:val="21"/>
                      </w:rPr>
                      <w:t>months</w:t>
                    </w:r>
                    <w:r>
                      <w:rPr>
                        <w:spacing w:val="-7"/>
                        <w:w w:val="115"/>
                        <w:sz w:val="21"/>
                      </w:rPr>
                      <w:t> </w:t>
                    </w:r>
                    <w:r>
                      <w:rPr>
                        <w:w w:val="115"/>
                        <w:sz w:val="21"/>
                      </w:rPr>
                      <w:t>to</w:t>
                    </w:r>
                    <w:r>
                      <w:rPr>
                        <w:spacing w:val="-7"/>
                        <w:w w:val="115"/>
                        <w:sz w:val="21"/>
                      </w:rPr>
                      <w:t> </w:t>
                    </w:r>
                    <w:r>
                      <w:rPr>
                        <w:w w:val="115"/>
                        <w:sz w:val="21"/>
                      </w:rPr>
                      <w:t>cause</w:t>
                    </w:r>
                    <w:r>
                      <w:rPr>
                        <w:spacing w:val="-7"/>
                        <w:w w:val="115"/>
                        <w:sz w:val="21"/>
                      </w:rPr>
                      <w:t> </w:t>
                    </w:r>
                    <w:r>
                      <w:rPr>
                        <w:w w:val="115"/>
                        <w:sz w:val="21"/>
                      </w:rPr>
                      <w:t>damage to a dividing fence,</w:t>
                    </w:r>
                    <w:r>
                      <w:rPr>
                        <w:spacing w:val="3"/>
                        <w:w w:val="115"/>
                        <w:sz w:val="21"/>
                      </w:rPr>
                      <w:t> </w:t>
                    </w:r>
                    <w:r>
                      <w:rPr>
                        <w:w w:val="115"/>
                        <w:sz w:val="21"/>
                      </w:rPr>
                      <w:t>or</w:t>
                    </w:r>
                  </w:p>
                  <w:p>
                    <w:pPr>
                      <w:numPr>
                        <w:ilvl w:val="0"/>
                        <w:numId w:val="188"/>
                      </w:numPr>
                      <w:tabs>
                        <w:tab w:pos="1360" w:val="left" w:leader="none"/>
                        <w:tab w:pos="1361" w:val="left" w:leader="none"/>
                      </w:tabs>
                      <w:spacing w:line="242" w:lineRule="auto" w:before="123"/>
                      <w:ind w:left="1360" w:right="304" w:hanging="567"/>
                      <w:jc w:val="left"/>
                      <w:rPr>
                        <w:sz w:val="21"/>
                      </w:rPr>
                    </w:pPr>
                    <w:r>
                      <w:rPr>
                        <w:w w:val="115"/>
                        <w:sz w:val="21"/>
                      </w:rPr>
                      <w:t>forms</w:t>
                    </w:r>
                    <w:r>
                      <w:rPr>
                        <w:spacing w:val="-5"/>
                        <w:w w:val="115"/>
                        <w:sz w:val="21"/>
                      </w:rPr>
                      <w:t> </w:t>
                    </w:r>
                    <w:r>
                      <w:rPr>
                        <w:w w:val="115"/>
                        <w:sz w:val="21"/>
                      </w:rPr>
                      <w:t>part</w:t>
                    </w:r>
                    <w:r>
                      <w:rPr>
                        <w:spacing w:val="-5"/>
                        <w:w w:val="115"/>
                        <w:sz w:val="21"/>
                      </w:rPr>
                      <w:t> </w:t>
                    </w:r>
                    <w:r>
                      <w:rPr>
                        <w:w w:val="115"/>
                        <w:sz w:val="21"/>
                      </w:rPr>
                      <w:t>of</w:t>
                    </w:r>
                    <w:r>
                      <w:rPr>
                        <w:spacing w:val="-4"/>
                        <w:w w:val="115"/>
                        <w:sz w:val="21"/>
                      </w:rPr>
                      <w:t> </w:t>
                    </w:r>
                    <w:r>
                      <w:rPr>
                        <w:w w:val="115"/>
                        <w:sz w:val="21"/>
                      </w:rPr>
                      <w:t>the</w:t>
                    </w:r>
                    <w:r>
                      <w:rPr>
                        <w:spacing w:val="-5"/>
                        <w:w w:val="115"/>
                        <w:sz w:val="21"/>
                      </w:rPr>
                      <w:t> </w:t>
                    </w:r>
                    <w:r>
                      <w:rPr>
                        <w:w w:val="115"/>
                        <w:sz w:val="21"/>
                      </w:rPr>
                      <w:t>fence</w:t>
                    </w:r>
                    <w:r>
                      <w:rPr>
                        <w:spacing w:val="-4"/>
                        <w:w w:val="115"/>
                        <w:sz w:val="21"/>
                      </w:rPr>
                      <w:t> </w:t>
                    </w:r>
                    <w:r>
                      <w:rPr>
                        <w:w w:val="115"/>
                        <w:sz w:val="21"/>
                      </w:rPr>
                      <w:t>that</w:t>
                    </w:r>
                    <w:r>
                      <w:rPr>
                        <w:spacing w:val="-5"/>
                        <w:w w:val="115"/>
                        <w:sz w:val="21"/>
                      </w:rPr>
                      <w:t> </w:t>
                    </w:r>
                    <w:r>
                      <w:rPr>
                        <w:w w:val="115"/>
                        <w:sz w:val="21"/>
                      </w:rPr>
                      <w:t>has</w:t>
                    </w:r>
                    <w:r>
                      <w:rPr>
                        <w:spacing w:val="-4"/>
                        <w:w w:val="115"/>
                        <w:sz w:val="21"/>
                      </w:rPr>
                      <w:t> </w:t>
                    </w:r>
                    <w:r>
                      <w:rPr>
                        <w:w w:val="115"/>
                        <w:sz w:val="21"/>
                      </w:rPr>
                      <w:t>caused,</w:t>
                    </w:r>
                    <w:r>
                      <w:rPr>
                        <w:spacing w:val="-5"/>
                        <w:w w:val="115"/>
                        <w:sz w:val="21"/>
                      </w:rPr>
                      <w:t> </w:t>
                    </w:r>
                    <w:r>
                      <w:rPr>
                        <w:w w:val="115"/>
                        <w:sz w:val="21"/>
                      </w:rPr>
                      <w:t>is</w:t>
                    </w:r>
                    <w:r>
                      <w:rPr>
                        <w:spacing w:val="-4"/>
                        <w:w w:val="115"/>
                        <w:sz w:val="21"/>
                      </w:rPr>
                      <w:t> </w:t>
                    </w:r>
                    <w:r>
                      <w:rPr>
                        <w:w w:val="115"/>
                        <w:sz w:val="21"/>
                      </w:rPr>
                      <w:t>causing,</w:t>
                    </w:r>
                    <w:r>
                      <w:rPr>
                        <w:spacing w:val="-5"/>
                        <w:w w:val="115"/>
                        <w:sz w:val="21"/>
                      </w:rPr>
                      <w:t> </w:t>
                    </w:r>
                    <w:r>
                      <w:rPr>
                        <w:w w:val="115"/>
                        <w:sz w:val="21"/>
                      </w:rPr>
                      <w:t>or</w:t>
                    </w:r>
                    <w:r>
                      <w:rPr>
                        <w:spacing w:val="-4"/>
                        <w:w w:val="115"/>
                        <w:sz w:val="21"/>
                      </w:rPr>
                      <w:t> </w:t>
                    </w:r>
                    <w:r>
                      <w:rPr>
                        <w:w w:val="115"/>
                        <w:sz w:val="21"/>
                      </w:rPr>
                      <w:t>is</w:t>
                    </w:r>
                    <w:r>
                      <w:rPr>
                        <w:spacing w:val="-5"/>
                        <w:w w:val="115"/>
                        <w:sz w:val="21"/>
                      </w:rPr>
                      <w:t> </w:t>
                    </w:r>
                    <w:r>
                      <w:rPr>
                        <w:spacing w:val="-3"/>
                        <w:w w:val="115"/>
                        <w:sz w:val="21"/>
                      </w:rPr>
                      <w:t>likely</w:t>
                    </w:r>
                    <w:r>
                      <w:rPr>
                        <w:spacing w:val="-4"/>
                        <w:w w:val="115"/>
                        <w:sz w:val="21"/>
                      </w:rPr>
                      <w:t> </w:t>
                    </w:r>
                    <w:r>
                      <w:rPr>
                        <w:w w:val="115"/>
                        <w:sz w:val="21"/>
                      </w:rPr>
                      <w:t>in</w:t>
                    </w:r>
                    <w:r>
                      <w:rPr>
                        <w:spacing w:val="-5"/>
                        <w:w w:val="115"/>
                        <w:sz w:val="21"/>
                      </w:rPr>
                      <w:t> </w:t>
                    </w:r>
                    <w:r>
                      <w:rPr>
                        <w:w w:val="115"/>
                        <w:sz w:val="21"/>
                      </w:rPr>
                      <w:t>the</w:t>
                    </w:r>
                    <w:r>
                      <w:rPr>
                        <w:spacing w:val="-4"/>
                        <w:w w:val="115"/>
                        <w:sz w:val="21"/>
                      </w:rPr>
                      <w:t> </w:t>
                    </w:r>
                    <w:r>
                      <w:rPr>
                        <w:w w:val="115"/>
                        <w:sz w:val="21"/>
                      </w:rPr>
                      <w:t>next </w:t>
                    </w:r>
                    <w:r>
                      <w:rPr>
                        <w:spacing w:val="-7"/>
                        <w:w w:val="115"/>
                        <w:sz w:val="21"/>
                      </w:rPr>
                      <w:t>12 </w:t>
                    </w:r>
                    <w:r>
                      <w:rPr>
                        <w:w w:val="115"/>
                        <w:sz w:val="21"/>
                      </w:rPr>
                      <w:t>months to cause damage to property or harm to </w:t>
                    </w:r>
                    <w:r>
                      <w:rPr>
                        <w:spacing w:val="-2"/>
                        <w:w w:val="115"/>
                        <w:sz w:val="21"/>
                      </w:rPr>
                      <w:t>any</w:t>
                    </w:r>
                    <w:r>
                      <w:rPr>
                        <w:spacing w:val="-21"/>
                        <w:w w:val="115"/>
                        <w:sz w:val="21"/>
                      </w:rPr>
                      <w:t> </w:t>
                    </w:r>
                    <w:r>
                      <w:rPr>
                        <w:w w:val="115"/>
                        <w:sz w:val="21"/>
                      </w:rPr>
                      <w:t>person.</w:t>
                    </w:r>
                  </w:p>
                </w:txbxContent>
              </v:textbox>
              <v:fill type="solid"/>
              <w10:wrap type="none"/>
            </v:shape>
            <v:shape style="position:absolute;left:1587;top:250;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Recommendations</w:t>
                    </w:r>
                  </w:p>
                </w:txbxContent>
              </v:textbox>
              <v:fill type="solid"/>
              <w10:wrap type="none"/>
            </v:shape>
            <w10:wrap type="topAndBottom"/>
          </v:group>
        </w:pict>
      </w:r>
    </w:p>
    <w:p>
      <w:pPr>
        <w:pStyle w:val="BodyText"/>
        <w:spacing w:before="3"/>
        <w:rPr>
          <w:sz w:val="28"/>
        </w:rPr>
      </w:pPr>
    </w:p>
    <w:p>
      <w:pPr>
        <w:pStyle w:val="Heading5"/>
        <w:spacing w:before="96"/>
      </w:pPr>
      <w:r>
        <w:rPr>
          <w:w w:val="110"/>
        </w:rPr>
        <w:t>The Commission’s conclusions—noxious weeds</w:t>
      </w:r>
    </w:p>
    <w:p>
      <w:pPr>
        <w:pStyle w:val="ListParagraph"/>
        <w:numPr>
          <w:ilvl w:val="0"/>
          <w:numId w:val="173"/>
        </w:numPr>
        <w:tabs>
          <w:tab w:pos="2382" w:val="left" w:leader="none"/>
        </w:tabs>
        <w:spacing w:line="242" w:lineRule="auto" w:before="137" w:after="0"/>
        <w:ind w:left="2381" w:right="1701" w:hanging="794"/>
        <w:jc w:val="left"/>
        <w:rPr>
          <w:sz w:val="12"/>
        </w:rPr>
      </w:pPr>
      <w:r>
        <w:rPr>
          <w:sz w:val="21"/>
        </w:rPr>
        <w:t>It </w:t>
      </w:r>
      <w:r>
        <w:rPr>
          <w:spacing w:val="-2"/>
          <w:sz w:val="21"/>
        </w:rPr>
        <w:t>has  </w:t>
      </w:r>
      <w:r>
        <w:rPr>
          <w:sz w:val="21"/>
        </w:rPr>
        <w:t>been suggested </w:t>
      </w:r>
      <w:r>
        <w:rPr>
          <w:spacing w:val="-3"/>
          <w:sz w:val="21"/>
        </w:rPr>
        <w:t>to  </w:t>
      </w:r>
      <w:r>
        <w:rPr>
          <w:sz w:val="21"/>
        </w:rPr>
        <w:t>the </w:t>
      </w:r>
      <w:r>
        <w:rPr>
          <w:spacing w:val="-3"/>
          <w:sz w:val="21"/>
        </w:rPr>
        <w:t>Commission  that  noxious  </w:t>
      </w:r>
      <w:r>
        <w:rPr>
          <w:sz w:val="21"/>
        </w:rPr>
        <w:t>weeds should be </w:t>
      </w:r>
      <w:r>
        <w:rPr>
          <w:spacing w:val="-3"/>
          <w:sz w:val="21"/>
        </w:rPr>
        <w:t>excluded  from </w:t>
      </w:r>
      <w:r>
        <w:rPr>
          <w:sz w:val="21"/>
        </w:rPr>
        <w:t>the scope of a proposed Act.</w:t>
      </w:r>
      <w:r>
        <w:rPr>
          <w:position w:val="7"/>
          <w:sz w:val="12"/>
        </w:rPr>
        <w:t>337 </w:t>
      </w:r>
      <w:r>
        <w:rPr>
          <w:spacing w:val="-4"/>
          <w:sz w:val="21"/>
        </w:rPr>
        <w:t>However, </w:t>
      </w:r>
      <w:r>
        <w:rPr>
          <w:sz w:val="21"/>
        </w:rPr>
        <w:t>most community responses </w:t>
      </w:r>
      <w:r>
        <w:rPr>
          <w:spacing w:val="-3"/>
          <w:sz w:val="21"/>
        </w:rPr>
        <w:t>are </w:t>
      </w:r>
      <w:r>
        <w:rPr>
          <w:sz w:val="21"/>
        </w:rPr>
        <w:t>supportive of a broad definition of vegetation, </w:t>
      </w:r>
      <w:r>
        <w:rPr>
          <w:spacing w:val="-3"/>
          <w:sz w:val="21"/>
        </w:rPr>
        <w:t>including environmental</w:t>
      </w:r>
      <w:r>
        <w:rPr>
          <w:spacing w:val="28"/>
          <w:sz w:val="21"/>
        </w:rPr>
        <w:t> </w:t>
      </w:r>
      <w:r>
        <w:rPr>
          <w:sz w:val="21"/>
        </w:rPr>
        <w:t>weeds.</w:t>
      </w:r>
      <w:r>
        <w:rPr>
          <w:position w:val="7"/>
          <w:sz w:val="12"/>
        </w:rPr>
        <w:t>338</w:t>
      </w:r>
    </w:p>
    <w:p>
      <w:pPr>
        <w:pStyle w:val="ListParagraph"/>
        <w:numPr>
          <w:ilvl w:val="0"/>
          <w:numId w:val="173"/>
        </w:numPr>
        <w:tabs>
          <w:tab w:pos="2381" w:val="left" w:leader="none"/>
        </w:tabs>
        <w:spacing w:line="242" w:lineRule="auto" w:before="124" w:after="0"/>
        <w:ind w:left="2381" w:right="1697" w:hanging="794"/>
        <w:jc w:val="left"/>
        <w:rPr>
          <w:sz w:val="12"/>
        </w:rPr>
      </w:pPr>
      <w:r>
        <w:rPr>
          <w:w w:val="105"/>
          <w:sz w:val="21"/>
        </w:rPr>
        <w:t>Noxious weeds can cause </w:t>
      </w:r>
      <w:r>
        <w:rPr>
          <w:spacing w:val="-3"/>
          <w:w w:val="105"/>
          <w:sz w:val="21"/>
        </w:rPr>
        <w:t>disputes </w:t>
      </w:r>
      <w:r>
        <w:rPr>
          <w:w w:val="105"/>
          <w:sz w:val="21"/>
        </w:rPr>
        <w:t>between neighbours </w:t>
      </w:r>
      <w:r>
        <w:rPr>
          <w:spacing w:val="-3"/>
          <w:w w:val="105"/>
          <w:sz w:val="21"/>
        </w:rPr>
        <w:t>for </w:t>
      </w:r>
      <w:r>
        <w:rPr>
          <w:w w:val="105"/>
          <w:sz w:val="21"/>
        </w:rPr>
        <w:t>which a remedy under a proposed Act </w:t>
      </w:r>
      <w:r>
        <w:rPr>
          <w:spacing w:val="-3"/>
          <w:w w:val="105"/>
          <w:sz w:val="21"/>
        </w:rPr>
        <w:t>may </w:t>
      </w:r>
      <w:r>
        <w:rPr>
          <w:w w:val="105"/>
          <w:sz w:val="21"/>
        </w:rPr>
        <w:t>be </w:t>
      </w:r>
      <w:r>
        <w:rPr>
          <w:spacing w:val="-3"/>
          <w:w w:val="105"/>
          <w:sz w:val="21"/>
        </w:rPr>
        <w:t>appropriate.</w:t>
      </w:r>
      <w:r>
        <w:rPr>
          <w:spacing w:val="-3"/>
          <w:w w:val="105"/>
          <w:position w:val="7"/>
          <w:sz w:val="12"/>
        </w:rPr>
        <w:t>339 </w:t>
      </w:r>
      <w:r>
        <w:rPr>
          <w:w w:val="105"/>
          <w:sz w:val="21"/>
        </w:rPr>
        <w:t>Baw Baw </w:t>
      </w:r>
      <w:r>
        <w:rPr>
          <w:spacing w:val="-3"/>
          <w:w w:val="105"/>
          <w:sz w:val="21"/>
        </w:rPr>
        <w:t>Shire </w:t>
      </w:r>
      <w:r>
        <w:rPr>
          <w:spacing w:val="-4"/>
          <w:w w:val="105"/>
          <w:sz w:val="21"/>
        </w:rPr>
        <w:t>Council </w:t>
      </w:r>
      <w:r>
        <w:rPr>
          <w:spacing w:val="-3"/>
          <w:w w:val="105"/>
          <w:sz w:val="21"/>
        </w:rPr>
        <w:t>noted that </w:t>
      </w:r>
      <w:r>
        <w:rPr>
          <w:spacing w:val="-4"/>
          <w:w w:val="105"/>
          <w:sz w:val="21"/>
        </w:rPr>
        <w:t>‘environmental </w:t>
      </w:r>
      <w:r>
        <w:rPr>
          <w:w w:val="105"/>
          <w:sz w:val="21"/>
        </w:rPr>
        <w:t>weeds can become an </w:t>
      </w:r>
      <w:r>
        <w:rPr>
          <w:spacing w:val="-3"/>
          <w:w w:val="105"/>
          <w:sz w:val="21"/>
        </w:rPr>
        <w:t>issue’.</w:t>
      </w:r>
      <w:r>
        <w:rPr>
          <w:spacing w:val="-3"/>
          <w:w w:val="105"/>
          <w:position w:val="7"/>
          <w:sz w:val="12"/>
        </w:rPr>
        <w:t>340 </w:t>
      </w:r>
      <w:r>
        <w:rPr>
          <w:w w:val="105"/>
          <w:sz w:val="21"/>
        </w:rPr>
        <w:t>Arborist Robert Mineo suggested </w:t>
      </w:r>
      <w:r>
        <w:rPr>
          <w:spacing w:val="-3"/>
          <w:w w:val="105"/>
          <w:sz w:val="21"/>
        </w:rPr>
        <w:t>that </w:t>
      </w:r>
      <w:r>
        <w:rPr>
          <w:w w:val="105"/>
          <w:sz w:val="21"/>
        </w:rPr>
        <w:t>a new scheme should </w:t>
      </w:r>
      <w:r>
        <w:rPr>
          <w:spacing w:val="-2"/>
          <w:w w:val="105"/>
          <w:sz w:val="21"/>
        </w:rPr>
        <w:t>not </w:t>
      </w:r>
      <w:r>
        <w:rPr>
          <w:spacing w:val="-3"/>
          <w:w w:val="105"/>
          <w:sz w:val="21"/>
        </w:rPr>
        <w:t>discriminate </w:t>
      </w:r>
      <w:r>
        <w:rPr>
          <w:w w:val="105"/>
          <w:sz w:val="21"/>
        </w:rPr>
        <w:t>between tree species. For </w:t>
      </w:r>
      <w:r>
        <w:rPr>
          <w:spacing w:val="-3"/>
          <w:w w:val="105"/>
          <w:sz w:val="21"/>
        </w:rPr>
        <w:t>example, </w:t>
      </w:r>
      <w:r>
        <w:rPr>
          <w:w w:val="105"/>
          <w:sz w:val="21"/>
        </w:rPr>
        <w:t>a </w:t>
      </w:r>
      <w:r>
        <w:rPr>
          <w:spacing w:val="-2"/>
          <w:w w:val="105"/>
          <w:sz w:val="21"/>
        </w:rPr>
        <w:t>common </w:t>
      </w:r>
      <w:r>
        <w:rPr>
          <w:w w:val="105"/>
          <w:sz w:val="21"/>
        </w:rPr>
        <w:t>weed </w:t>
      </w:r>
      <w:r>
        <w:rPr>
          <w:spacing w:val="-3"/>
          <w:w w:val="105"/>
          <w:sz w:val="21"/>
        </w:rPr>
        <w:t>tree, </w:t>
      </w:r>
      <w:r>
        <w:rPr>
          <w:w w:val="105"/>
          <w:sz w:val="21"/>
        </w:rPr>
        <w:t>the pittosporum,</w:t>
      </w:r>
      <w:r>
        <w:rPr>
          <w:spacing w:val="-14"/>
          <w:w w:val="105"/>
          <w:sz w:val="21"/>
        </w:rPr>
        <w:t> </w:t>
      </w:r>
      <w:r>
        <w:rPr>
          <w:w w:val="105"/>
          <w:sz w:val="21"/>
        </w:rPr>
        <w:t>is</w:t>
      </w:r>
      <w:r>
        <w:rPr>
          <w:spacing w:val="-13"/>
          <w:w w:val="105"/>
          <w:sz w:val="21"/>
        </w:rPr>
        <w:t> </w:t>
      </w:r>
      <w:r>
        <w:rPr>
          <w:w w:val="105"/>
          <w:sz w:val="21"/>
        </w:rPr>
        <w:t>viewed</w:t>
      </w:r>
      <w:r>
        <w:rPr>
          <w:spacing w:val="-13"/>
          <w:w w:val="105"/>
          <w:sz w:val="21"/>
        </w:rPr>
        <w:t> </w:t>
      </w:r>
      <w:r>
        <w:rPr>
          <w:w w:val="105"/>
          <w:sz w:val="21"/>
        </w:rPr>
        <w:t>as</w:t>
      </w:r>
      <w:r>
        <w:rPr>
          <w:spacing w:val="-13"/>
          <w:w w:val="105"/>
          <w:sz w:val="21"/>
        </w:rPr>
        <w:t> </w:t>
      </w:r>
      <w:r>
        <w:rPr>
          <w:w w:val="105"/>
          <w:sz w:val="21"/>
        </w:rPr>
        <w:t>a</w:t>
      </w:r>
      <w:r>
        <w:rPr>
          <w:spacing w:val="-13"/>
          <w:w w:val="105"/>
          <w:sz w:val="21"/>
        </w:rPr>
        <w:t> </w:t>
      </w:r>
      <w:r>
        <w:rPr>
          <w:spacing w:val="-3"/>
          <w:w w:val="105"/>
          <w:sz w:val="21"/>
        </w:rPr>
        <w:t>valuable</w:t>
      </w:r>
      <w:r>
        <w:rPr>
          <w:spacing w:val="-13"/>
          <w:w w:val="105"/>
          <w:sz w:val="21"/>
        </w:rPr>
        <w:t> </w:t>
      </w:r>
      <w:r>
        <w:rPr>
          <w:w w:val="105"/>
          <w:sz w:val="21"/>
        </w:rPr>
        <w:t>tree</w:t>
      </w:r>
      <w:r>
        <w:rPr>
          <w:spacing w:val="-13"/>
          <w:w w:val="105"/>
          <w:sz w:val="21"/>
        </w:rPr>
        <w:t> </w:t>
      </w:r>
      <w:r>
        <w:rPr>
          <w:w w:val="105"/>
          <w:sz w:val="21"/>
        </w:rPr>
        <w:t>by</w:t>
      </w:r>
      <w:r>
        <w:rPr>
          <w:spacing w:val="-14"/>
          <w:w w:val="105"/>
          <w:sz w:val="21"/>
        </w:rPr>
        <w:t> </w:t>
      </w:r>
      <w:r>
        <w:rPr>
          <w:w w:val="105"/>
          <w:sz w:val="21"/>
        </w:rPr>
        <w:t>some</w:t>
      </w:r>
      <w:r>
        <w:rPr>
          <w:spacing w:val="-13"/>
          <w:w w:val="105"/>
          <w:sz w:val="21"/>
        </w:rPr>
        <w:t> </w:t>
      </w:r>
      <w:r>
        <w:rPr>
          <w:spacing w:val="-3"/>
          <w:w w:val="105"/>
          <w:sz w:val="21"/>
        </w:rPr>
        <w:t>individuals</w:t>
      </w:r>
      <w:r>
        <w:rPr>
          <w:spacing w:val="-13"/>
          <w:w w:val="105"/>
          <w:sz w:val="21"/>
        </w:rPr>
        <w:t> </w:t>
      </w:r>
      <w:r>
        <w:rPr>
          <w:w w:val="105"/>
          <w:sz w:val="21"/>
        </w:rPr>
        <w:t>despite</w:t>
      </w:r>
      <w:r>
        <w:rPr>
          <w:spacing w:val="-13"/>
          <w:w w:val="105"/>
          <w:sz w:val="21"/>
        </w:rPr>
        <w:t> </w:t>
      </w:r>
      <w:r>
        <w:rPr>
          <w:w w:val="105"/>
          <w:sz w:val="21"/>
        </w:rPr>
        <w:t>its</w:t>
      </w:r>
      <w:r>
        <w:rPr>
          <w:spacing w:val="-13"/>
          <w:w w:val="105"/>
          <w:sz w:val="21"/>
        </w:rPr>
        <w:t> </w:t>
      </w:r>
      <w:r>
        <w:rPr>
          <w:w w:val="105"/>
          <w:sz w:val="21"/>
        </w:rPr>
        <w:t>categorisation</w:t>
      </w:r>
      <w:r>
        <w:rPr>
          <w:spacing w:val="-13"/>
          <w:w w:val="105"/>
          <w:sz w:val="21"/>
        </w:rPr>
        <w:t> </w:t>
      </w:r>
      <w:r>
        <w:rPr>
          <w:w w:val="105"/>
          <w:sz w:val="21"/>
        </w:rPr>
        <w:t>as a</w:t>
      </w:r>
      <w:r>
        <w:rPr>
          <w:spacing w:val="5"/>
          <w:w w:val="105"/>
          <w:sz w:val="21"/>
        </w:rPr>
        <w:t> </w:t>
      </w:r>
      <w:r>
        <w:rPr>
          <w:w w:val="105"/>
          <w:sz w:val="21"/>
        </w:rPr>
        <w:t>weed.</w:t>
      </w:r>
      <w:r>
        <w:rPr>
          <w:w w:val="105"/>
          <w:position w:val="7"/>
          <w:sz w:val="12"/>
        </w:rPr>
        <w:t>341</w:t>
      </w:r>
    </w:p>
    <w:p>
      <w:pPr>
        <w:pStyle w:val="ListParagraph"/>
        <w:numPr>
          <w:ilvl w:val="0"/>
          <w:numId w:val="173"/>
        </w:numPr>
        <w:tabs>
          <w:tab w:pos="2382" w:val="left" w:leader="none"/>
        </w:tabs>
        <w:spacing w:line="242" w:lineRule="auto" w:before="126" w:after="0"/>
        <w:ind w:left="2381" w:right="1608" w:hanging="794"/>
        <w:jc w:val="left"/>
        <w:rPr>
          <w:sz w:val="12"/>
        </w:rPr>
      </w:pPr>
      <w:r>
        <w:rPr>
          <w:sz w:val="21"/>
        </w:rPr>
        <w:t>All interstate Acts encompass </w:t>
      </w:r>
      <w:r>
        <w:rPr>
          <w:spacing w:val="-3"/>
          <w:sz w:val="21"/>
        </w:rPr>
        <w:t>noxious </w:t>
      </w:r>
      <w:r>
        <w:rPr>
          <w:sz w:val="21"/>
        </w:rPr>
        <w:t>weeds where the </w:t>
      </w:r>
      <w:r>
        <w:rPr>
          <w:spacing w:val="-3"/>
          <w:sz w:val="21"/>
        </w:rPr>
        <w:t>jurisdictional </w:t>
      </w:r>
      <w:r>
        <w:rPr>
          <w:sz w:val="21"/>
        </w:rPr>
        <w:t>tests </w:t>
      </w:r>
      <w:r>
        <w:rPr>
          <w:spacing w:val="-3"/>
          <w:sz w:val="21"/>
        </w:rPr>
        <w:t>are </w:t>
      </w:r>
      <w:r>
        <w:rPr>
          <w:sz w:val="21"/>
        </w:rPr>
        <w:t>otherwise met—that is, the weed </w:t>
      </w:r>
      <w:r>
        <w:rPr>
          <w:spacing w:val="-2"/>
          <w:sz w:val="21"/>
        </w:rPr>
        <w:t>has </w:t>
      </w:r>
      <w:r>
        <w:rPr>
          <w:sz w:val="21"/>
        </w:rPr>
        <w:t>caused, is </w:t>
      </w:r>
      <w:r>
        <w:rPr>
          <w:spacing w:val="-3"/>
          <w:sz w:val="21"/>
        </w:rPr>
        <w:t>causing,  </w:t>
      </w:r>
      <w:r>
        <w:rPr>
          <w:sz w:val="21"/>
        </w:rPr>
        <w:t>or is </w:t>
      </w:r>
      <w:r>
        <w:rPr>
          <w:spacing w:val="-4"/>
          <w:sz w:val="21"/>
        </w:rPr>
        <w:t>likely  </w:t>
      </w:r>
      <w:r>
        <w:rPr>
          <w:sz w:val="21"/>
        </w:rPr>
        <w:t>in the near </w:t>
      </w:r>
      <w:r>
        <w:rPr>
          <w:spacing w:val="-3"/>
          <w:sz w:val="21"/>
        </w:rPr>
        <w:t>future  to  </w:t>
      </w:r>
      <w:r>
        <w:rPr>
          <w:sz w:val="21"/>
        </w:rPr>
        <w:t>cause damage </w:t>
      </w:r>
      <w:r>
        <w:rPr>
          <w:spacing w:val="-3"/>
          <w:sz w:val="21"/>
        </w:rPr>
        <w:t>to </w:t>
      </w:r>
      <w:r>
        <w:rPr>
          <w:sz w:val="21"/>
        </w:rPr>
        <w:t>the </w:t>
      </w:r>
      <w:r>
        <w:rPr>
          <w:spacing w:val="-3"/>
          <w:sz w:val="21"/>
        </w:rPr>
        <w:t>applicant’s </w:t>
      </w:r>
      <w:r>
        <w:rPr>
          <w:sz w:val="21"/>
        </w:rPr>
        <w:t>property or is </w:t>
      </w:r>
      <w:r>
        <w:rPr>
          <w:spacing w:val="-4"/>
          <w:sz w:val="21"/>
        </w:rPr>
        <w:t>likely </w:t>
      </w:r>
      <w:r>
        <w:rPr>
          <w:spacing w:val="-3"/>
          <w:sz w:val="21"/>
        </w:rPr>
        <w:t>to </w:t>
      </w:r>
      <w:r>
        <w:rPr>
          <w:sz w:val="21"/>
        </w:rPr>
        <w:t>cause </w:t>
      </w:r>
      <w:r>
        <w:rPr>
          <w:spacing w:val="-3"/>
          <w:sz w:val="21"/>
        </w:rPr>
        <w:t>harm to any  </w:t>
      </w:r>
      <w:r>
        <w:rPr>
          <w:sz w:val="21"/>
        </w:rPr>
        <w:t>person. The NSWLEC held </w:t>
      </w:r>
      <w:r>
        <w:rPr>
          <w:spacing w:val="-3"/>
          <w:sz w:val="21"/>
        </w:rPr>
        <w:t>that </w:t>
      </w:r>
      <w:r>
        <w:rPr>
          <w:sz w:val="21"/>
        </w:rPr>
        <w:t>the NSW Act does </w:t>
      </w:r>
      <w:r>
        <w:rPr>
          <w:spacing w:val="-2"/>
          <w:sz w:val="21"/>
        </w:rPr>
        <w:t>not </w:t>
      </w:r>
      <w:r>
        <w:rPr>
          <w:sz w:val="21"/>
        </w:rPr>
        <w:t>specify particular species of plants, and the jurisdiction of the </w:t>
      </w:r>
      <w:r>
        <w:rPr>
          <w:spacing w:val="-3"/>
          <w:sz w:val="21"/>
        </w:rPr>
        <w:t>Court may </w:t>
      </w:r>
      <w:r>
        <w:rPr>
          <w:sz w:val="21"/>
        </w:rPr>
        <w:t>be engaged whether the </w:t>
      </w:r>
      <w:r>
        <w:rPr>
          <w:spacing w:val="-3"/>
          <w:sz w:val="21"/>
        </w:rPr>
        <w:t>plant </w:t>
      </w:r>
      <w:r>
        <w:rPr>
          <w:sz w:val="21"/>
        </w:rPr>
        <w:t>is or is </w:t>
      </w:r>
      <w:r>
        <w:rPr>
          <w:spacing w:val="-2"/>
          <w:sz w:val="21"/>
        </w:rPr>
        <w:t>not </w:t>
      </w:r>
      <w:r>
        <w:rPr>
          <w:sz w:val="21"/>
        </w:rPr>
        <w:t>a declared</w:t>
      </w:r>
      <w:r>
        <w:rPr>
          <w:spacing w:val="17"/>
          <w:sz w:val="21"/>
        </w:rPr>
        <w:t> </w:t>
      </w:r>
      <w:r>
        <w:rPr>
          <w:sz w:val="21"/>
        </w:rPr>
        <w:t>weed.</w:t>
      </w:r>
      <w:r>
        <w:rPr>
          <w:position w:val="7"/>
          <w:sz w:val="12"/>
        </w:rPr>
        <w:t>342</w:t>
      </w:r>
    </w:p>
    <w:p>
      <w:pPr>
        <w:pStyle w:val="ListParagraph"/>
        <w:numPr>
          <w:ilvl w:val="0"/>
          <w:numId w:val="173"/>
        </w:numPr>
        <w:tabs>
          <w:tab w:pos="2382" w:val="left" w:leader="none"/>
        </w:tabs>
        <w:spacing w:line="242" w:lineRule="auto" w:before="126" w:after="0"/>
        <w:ind w:left="2381" w:right="1616" w:hanging="794"/>
        <w:jc w:val="left"/>
        <w:rPr>
          <w:sz w:val="21"/>
        </w:rPr>
      </w:pPr>
      <w:r>
        <w:rPr>
          <w:w w:val="105"/>
          <w:sz w:val="21"/>
        </w:rPr>
        <w:t>In the </w:t>
      </w:r>
      <w:r>
        <w:rPr>
          <w:spacing w:val="-3"/>
          <w:w w:val="105"/>
          <w:sz w:val="21"/>
        </w:rPr>
        <w:t>Queensland </w:t>
      </w:r>
      <w:r>
        <w:rPr>
          <w:w w:val="105"/>
          <w:sz w:val="21"/>
        </w:rPr>
        <w:t>case of </w:t>
      </w:r>
      <w:r>
        <w:rPr>
          <w:i/>
          <w:w w:val="105"/>
          <w:sz w:val="21"/>
        </w:rPr>
        <w:t>Sowden v </w:t>
      </w:r>
      <w:r>
        <w:rPr>
          <w:i/>
          <w:spacing w:val="-4"/>
          <w:w w:val="105"/>
          <w:sz w:val="21"/>
        </w:rPr>
        <w:t>Winzar</w:t>
      </w:r>
      <w:r>
        <w:rPr>
          <w:spacing w:val="-4"/>
          <w:w w:val="105"/>
          <w:sz w:val="21"/>
        </w:rPr>
        <w:t>,</w:t>
      </w:r>
      <w:r>
        <w:rPr>
          <w:spacing w:val="-4"/>
          <w:w w:val="105"/>
          <w:position w:val="7"/>
          <w:sz w:val="12"/>
        </w:rPr>
        <w:t>343 </w:t>
      </w:r>
      <w:r>
        <w:rPr>
          <w:spacing w:val="-4"/>
          <w:w w:val="105"/>
          <w:sz w:val="21"/>
        </w:rPr>
        <w:t>QCAT </w:t>
      </w:r>
      <w:r>
        <w:rPr>
          <w:spacing w:val="-3"/>
          <w:w w:val="105"/>
          <w:sz w:val="21"/>
        </w:rPr>
        <w:t>heard </w:t>
      </w:r>
      <w:r>
        <w:rPr>
          <w:w w:val="105"/>
          <w:sz w:val="21"/>
        </w:rPr>
        <w:t>a tree </w:t>
      </w:r>
      <w:r>
        <w:rPr>
          <w:spacing w:val="-3"/>
          <w:w w:val="105"/>
          <w:sz w:val="21"/>
        </w:rPr>
        <w:t>dispute concerning </w:t>
      </w:r>
      <w:r>
        <w:rPr>
          <w:w w:val="105"/>
          <w:sz w:val="21"/>
        </w:rPr>
        <w:t>a tree</w:t>
      </w:r>
      <w:r>
        <w:rPr>
          <w:spacing w:val="-8"/>
          <w:w w:val="105"/>
          <w:sz w:val="21"/>
        </w:rPr>
        <w:t> </w:t>
      </w:r>
      <w:r>
        <w:rPr>
          <w:w w:val="105"/>
          <w:sz w:val="21"/>
        </w:rPr>
        <w:t>of</w:t>
      </w:r>
      <w:r>
        <w:rPr>
          <w:spacing w:val="-7"/>
          <w:w w:val="105"/>
          <w:sz w:val="21"/>
        </w:rPr>
        <w:t> </w:t>
      </w:r>
      <w:r>
        <w:rPr>
          <w:w w:val="105"/>
          <w:sz w:val="21"/>
        </w:rPr>
        <w:t>a</w:t>
      </w:r>
      <w:r>
        <w:rPr>
          <w:spacing w:val="-7"/>
          <w:w w:val="105"/>
          <w:sz w:val="21"/>
        </w:rPr>
        <w:t> </w:t>
      </w:r>
      <w:r>
        <w:rPr>
          <w:w w:val="105"/>
          <w:sz w:val="21"/>
        </w:rPr>
        <w:t>species</w:t>
      </w:r>
      <w:r>
        <w:rPr>
          <w:spacing w:val="-8"/>
          <w:w w:val="105"/>
          <w:sz w:val="21"/>
        </w:rPr>
        <w:t> </w:t>
      </w:r>
      <w:r>
        <w:rPr>
          <w:w w:val="105"/>
          <w:sz w:val="21"/>
        </w:rPr>
        <w:t>defined</w:t>
      </w:r>
      <w:r>
        <w:rPr>
          <w:spacing w:val="-7"/>
          <w:w w:val="105"/>
          <w:sz w:val="21"/>
        </w:rPr>
        <w:t> </w:t>
      </w:r>
      <w:r>
        <w:rPr>
          <w:w w:val="105"/>
          <w:sz w:val="21"/>
        </w:rPr>
        <w:t>as</w:t>
      </w:r>
      <w:r>
        <w:rPr>
          <w:spacing w:val="-7"/>
          <w:w w:val="105"/>
          <w:sz w:val="21"/>
        </w:rPr>
        <w:t> </w:t>
      </w:r>
      <w:r>
        <w:rPr>
          <w:w w:val="105"/>
          <w:sz w:val="21"/>
        </w:rPr>
        <w:t>a</w:t>
      </w:r>
      <w:r>
        <w:rPr>
          <w:spacing w:val="-8"/>
          <w:w w:val="105"/>
          <w:sz w:val="21"/>
        </w:rPr>
        <w:t> </w:t>
      </w:r>
      <w:r>
        <w:rPr>
          <w:w w:val="105"/>
          <w:sz w:val="21"/>
        </w:rPr>
        <w:t>weed.</w:t>
      </w:r>
      <w:r>
        <w:rPr>
          <w:spacing w:val="-7"/>
          <w:w w:val="105"/>
          <w:sz w:val="21"/>
        </w:rPr>
        <w:t> </w:t>
      </w:r>
      <w:r>
        <w:rPr>
          <w:spacing w:val="-4"/>
          <w:w w:val="105"/>
          <w:sz w:val="21"/>
        </w:rPr>
        <w:t>However,</w:t>
      </w:r>
      <w:r>
        <w:rPr>
          <w:spacing w:val="-7"/>
          <w:w w:val="105"/>
          <w:sz w:val="21"/>
        </w:rPr>
        <w:t> </w:t>
      </w:r>
      <w:r>
        <w:rPr>
          <w:w w:val="105"/>
          <w:sz w:val="21"/>
        </w:rPr>
        <w:t>the</w:t>
      </w:r>
      <w:r>
        <w:rPr>
          <w:spacing w:val="-8"/>
          <w:w w:val="105"/>
          <w:sz w:val="21"/>
        </w:rPr>
        <w:t> </w:t>
      </w:r>
      <w:r>
        <w:rPr>
          <w:w w:val="105"/>
          <w:sz w:val="21"/>
        </w:rPr>
        <w:t>only</w:t>
      </w:r>
      <w:r>
        <w:rPr>
          <w:spacing w:val="-7"/>
          <w:w w:val="105"/>
          <w:sz w:val="21"/>
        </w:rPr>
        <w:t> </w:t>
      </w:r>
      <w:r>
        <w:rPr>
          <w:w w:val="105"/>
          <w:sz w:val="21"/>
        </w:rPr>
        <w:t>basis</w:t>
      </w:r>
      <w:r>
        <w:rPr>
          <w:spacing w:val="-7"/>
          <w:w w:val="105"/>
          <w:sz w:val="21"/>
        </w:rPr>
        <w:t> </w:t>
      </w:r>
      <w:r>
        <w:rPr>
          <w:spacing w:val="-3"/>
          <w:w w:val="105"/>
          <w:sz w:val="21"/>
        </w:rPr>
        <w:t>for</w:t>
      </w:r>
      <w:r>
        <w:rPr>
          <w:spacing w:val="-8"/>
          <w:w w:val="105"/>
          <w:sz w:val="21"/>
        </w:rPr>
        <w:t> </w:t>
      </w:r>
      <w:r>
        <w:rPr>
          <w:w w:val="105"/>
          <w:sz w:val="21"/>
        </w:rPr>
        <w:t>the</w:t>
      </w:r>
      <w:r>
        <w:rPr>
          <w:spacing w:val="-7"/>
          <w:w w:val="105"/>
          <w:sz w:val="21"/>
        </w:rPr>
        <w:t> </w:t>
      </w:r>
      <w:r>
        <w:rPr>
          <w:w w:val="105"/>
          <w:sz w:val="21"/>
        </w:rPr>
        <w:t>application</w:t>
      </w:r>
      <w:r>
        <w:rPr>
          <w:spacing w:val="-7"/>
          <w:w w:val="105"/>
          <w:sz w:val="21"/>
        </w:rPr>
        <w:t> </w:t>
      </w:r>
      <w:r>
        <w:rPr>
          <w:spacing w:val="-3"/>
          <w:w w:val="105"/>
          <w:sz w:val="21"/>
        </w:rPr>
        <w:t>to</w:t>
      </w:r>
      <w:r>
        <w:rPr>
          <w:spacing w:val="-7"/>
          <w:w w:val="105"/>
          <w:sz w:val="21"/>
        </w:rPr>
        <w:t> </w:t>
      </w:r>
      <w:r>
        <w:rPr>
          <w:spacing w:val="-3"/>
          <w:w w:val="105"/>
          <w:sz w:val="21"/>
        </w:rPr>
        <w:t>remove </w:t>
      </w:r>
      <w:r>
        <w:rPr>
          <w:w w:val="105"/>
          <w:sz w:val="21"/>
        </w:rPr>
        <w:t>the tree was its status as a weed. The </w:t>
      </w:r>
      <w:r>
        <w:rPr>
          <w:spacing w:val="-5"/>
          <w:w w:val="105"/>
          <w:sz w:val="21"/>
        </w:rPr>
        <w:t>Tribunal</w:t>
      </w:r>
      <w:r>
        <w:rPr>
          <w:spacing w:val="38"/>
          <w:w w:val="105"/>
          <w:sz w:val="21"/>
        </w:rPr>
        <w:t> </w:t>
      </w:r>
      <w:r>
        <w:rPr>
          <w:w w:val="105"/>
          <w:sz w:val="21"/>
        </w:rPr>
        <w:t>held:</w:t>
      </w:r>
    </w:p>
    <w:p>
      <w:pPr>
        <w:spacing w:line="254" w:lineRule="auto" w:before="132"/>
        <w:ind w:left="2834" w:right="1933" w:firstLine="0"/>
        <w:jc w:val="left"/>
        <w:rPr>
          <w:sz w:val="11"/>
        </w:rPr>
      </w:pPr>
      <w:r>
        <w:rPr>
          <w:sz w:val="20"/>
        </w:rPr>
        <w:t>The fact that the </w:t>
      </w:r>
      <w:r>
        <w:rPr>
          <w:spacing w:val="-3"/>
          <w:sz w:val="20"/>
        </w:rPr>
        <w:t>umbrella  </w:t>
      </w:r>
      <w:r>
        <w:rPr>
          <w:sz w:val="20"/>
        </w:rPr>
        <w:t>tree is a weed species is the only basis for its </w:t>
      </w:r>
      <w:r>
        <w:rPr>
          <w:spacing w:val="-3"/>
          <w:sz w:val="20"/>
        </w:rPr>
        <w:t>removal.</w:t>
      </w:r>
      <w:r>
        <w:rPr>
          <w:spacing w:val="39"/>
          <w:sz w:val="20"/>
        </w:rPr>
        <w:t> </w:t>
      </w:r>
      <w:r>
        <w:rPr>
          <w:sz w:val="20"/>
        </w:rPr>
        <w:t>There  is no evidence that the tree is posing a </w:t>
      </w:r>
      <w:r>
        <w:rPr>
          <w:spacing w:val="-3"/>
          <w:sz w:val="20"/>
        </w:rPr>
        <w:t>threat </w:t>
      </w:r>
      <w:r>
        <w:rPr>
          <w:sz w:val="20"/>
        </w:rPr>
        <w:t>of serious injury to person or property. There is no evidence to suggest that it is causing </w:t>
      </w:r>
      <w:r>
        <w:rPr>
          <w:spacing w:val="-3"/>
          <w:sz w:val="20"/>
        </w:rPr>
        <w:t>substantial, </w:t>
      </w:r>
      <w:r>
        <w:rPr>
          <w:sz w:val="20"/>
        </w:rPr>
        <w:t>ongoing or unreasonable interference with Mr </w:t>
      </w:r>
      <w:r>
        <w:rPr>
          <w:spacing w:val="-3"/>
          <w:sz w:val="20"/>
        </w:rPr>
        <w:t>Sowden’s </w:t>
      </w:r>
      <w:r>
        <w:rPr>
          <w:sz w:val="20"/>
        </w:rPr>
        <w:t>land. </w:t>
      </w:r>
      <w:r>
        <w:rPr>
          <w:spacing w:val="-3"/>
          <w:sz w:val="20"/>
        </w:rPr>
        <w:t>Therefore, </w:t>
      </w:r>
      <w:r>
        <w:rPr>
          <w:sz w:val="20"/>
        </w:rPr>
        <w:t>there is no reason to </w:t>
      </w:r>
      <w:r>
        <w:rPr>
          <w:spacing w:val="-3"/>
          <w:sz w:val="20"/>
        </w:rPr>
        <w:t>make </w:t>
      </w:r>
      <w:r>
        <w:rPr>
          <w:sz w:val="20"/>
        </w:rPr>
        <w:t>an order  about the </w:t>
      </w:r>
      <w:r>
        <w:rPr>
          <w:spacing w:val="-3"/>
          <w:sz w:val="20"/>
        </w:rPr>
        <w:t>umbrella</w:t>
      </w:r>
      <w:r>
        <w:rPr>
          <w:spacing w:val="26"/>
          <w:sz w:val="20"/>
        </w:rPr>
        <w:t> </w:t>
      </w:r>
      <w:r>
        <w:rPr>
          <w:sz w:val="20"/>
        </w:rPr>
        <w:t>tree.</w:t>
      </w:r>
      <w:r>
        <w:rPr>
          <w:position w:val="7"/>
          <w:sz w:val="11"/>
        </w:rPr>
        <w:t>344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10544;mso-wrap-distance-left:0;mso-wrap-distance-right:0" from="79.370102pt,10.524734pt" to="515.905102pt,10.52473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spacing w:before="198"/>
        <w:ind w:left="720" w:right="0" w:firstLine="0"/>
        <w:jc w:val="left"/>
        <w:rPr>
          <w:b/>
          <w:sz w:val="24"/>
        </w:rPr>
      </w:pPr>
      <w:r>
        <w:rPr>
          <w:b/>
          <w:color w:val="658464"/>
          <w:spacing w:val="-1"/>
          <w:w w:val="110"/>
          <w:sz w:val="24"/>
        </w:rPr>
        <w:t>256</w:t>
      </w:r>
    </w:p>
    <w:p>
      <w:pPr>
        <w:pStyle w:val="ListParagraph"/>
        <w:numPr>
          <w:ilvl w:val="0"/>
          <w:numId w:val="187"/>
        </w:numPr>
        <w:tabs>
          <w:tab w:pos="1222" w:val="left" w:leader="none"/>
          <w:tab w:pos="1223" w:val="left" w:leader="none"/>
        </w:tabs>
        <w:spacing w:line="240" w:lineRule="auto" w:before="48" w:after="0"/>
        <w:ind w:left="1222" w:right="0" w:hanging="793"/>
        <w:jc w:val="left"/>
        <w:rPr>
          <w:sz w:val="13"/>
        </w:rPr>
      </w:pPr>
      <w:r>
        <w:rPr>
          <w:w w:val="108"/>
          <w:sz w:val="13"/>
        </w:rPr>
        <w:br w:type="column"/>
      </w:r>
      <w:r>
        <w:rPr>
          <w:w w:val="105"/>
          <w:sz w:val="13"/>
        </w:rPr>
        <w:t>Submissions 2 </w:t>
      </w:r>
      <w:r>
        <w:rPr>
          <w:spacing w:val="2"/>
          <w:w w:val="105"/>
          <w:sz w:val="13"/>
        </w:rPr>
        <w:t>(Name </w:t>
      </w:r>
      <w:r>
        <w:rPr>
          <w:w w:val="105"/>
          <w:sz w:val="13"/>
        </w:rPr>
        <w:t>withheld), 27 </w:t>
      </w:r>
      <w:r>
        <w:rPr>
          <w:spacing w:val="2"/>
          <w:w w:val="105"/>
          <w:sz w:val="13"/>
        </w:rPr>
        <w:t>(Name</w:t>
      </w:r>
      <w:r>
        <w:rPr>
          <w:spacing w:val="25"/>
          <w:w w:val="105"/>
          <w:sz w:val="13"/>
        </w:rPr>
        <w:t> </w:t>
      </w:r>
      <w:r>
        <w:rPr>
          <w:w w:val="105"/>
          <w:sz w:val="13"/>
        </w:rPr>
        <w:t>withheld).</w:t>
      </w:r>
    </w:p>
    <w:p>
      <w:pPr>
        <w:pStyle w:val="ListParagraph"/>
        <w:numPr>
          <w:ilvl w:val="0"/>
          <w:numId w:val="187"/>
        </w:numPr>
        <w:tabs>
          <w:tab w:pos="1222" w:val="left" w:leader="none"/>
          <w:tab w:pos="1223" w:val="left" w:leader="none"/>
        </w:tabs>
        <w:spacing w:line="240" w:lineRule="auto" w:before="1" w:after="0"/>
        <w:ind w:left="1222" w:right="1834" w:hanging="793"/>
        <w:jc w:val="left"/>
        <w:rPr>
          <w:sz w:val="13"/>
        </w:rPr>
      </w:pPr>
      <w:r>
        <w:rPr>
          <w:w w:val="105"/>
          <w:sz w:val="13"/>
        </w:rPr>
        <w:t>Submissions 6 </w:t>
      </w:r>
      <w:r>
        <w:rPr>
          <w:spacing w:val="2"/>
          <w:w w:val="105"/>
          <w:sz w:val="13"/>
        </w:rPr>
        <w:t>(Name </w:t>
      </w:r>
      <w:r>
        <w:rPr>
          <w:w w:val="105"/>
          <w:sz w:val="13"/>
        </w:rPr>
        <w:t>withheld), 7 </w:t>
      </w:r>
      <w:r>
        <w:rPr>
          <w:spacing w:val="2"/>
          <w:w w:val="105"/>
          <w:sz w:val="13"/>
        </w:rPr>
        <w:t>(Ben </w:t>
      </w:r>
      <w:r>
        <w:rPr>
          <w:w w:val="105"/>
          <w:sz w:val="13"/>
        </w:rPr>
        <w:t>Kenyon), 9 </w:t>
      </w:r>
      <w:r>
        <w:rPr>
          <w:spacing w:val="3"/>
          <w:w w:val="105"/>
          <w:sz w:val="13"/>
        </w:rPr>
        <w:t>(Dr </w:t>
      </w:r>
      <w:r>
        <w:rPr>
          <w:w w:val="105"/>
          <w:sz w:val="13"/>
        </w:rPr>
        <w:t>Karen Smith), 23 </w:t>
      </w:r>
      <w:r>
        <w:rPr>
          <w:spacing w:val="2"/>
          <w:w w:val="105"/>
          <w:sz w:val="13"/>
        </w:rPr>
        <w:t>(Name </w:t>
      </w:r>
      <w:r>
        <w:rPr>
          <w:w w:val="105"/>
          <w:sz w:val="13"/>
        </w:rPr>
        <w:t>withheld), 21 (Pointon Partners </w:t>
      </w:r>
      <w:r>
        <w:rPr>
          <w:spacing w:val="2"/>
          <w:w w:val="105"/>
          <w:sz w:val="13"/>
        </w:rPr>
        <w:t>Lawyers); </w:t>
      </w:r>
      <w:r>
        <w:rPr>
          <w:w w:val="105"/>
          <w:sz w:val="13"/>
        </w:rPr>
        <w:t>Consultations    8</w:t>
      </w:r>
      <w:r>
        <w:rPr>
          <w:spacing w:val="4"/>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Boroondara),</w:t>
      </w:r>
      <w:r>
        <w:rPr>
          <w:spacing w:val="5"/>
          <w:w w:val="105"/>
          <w:sz w:val="13"/>
        </w:rPr>
        <w:t> </w:t>
      </w:r>
      <w:r>
        <w:rPr>
          <w:w w:val="105"/>
          <w:sz w:val="13"/>
        </w:rPr>
        <w:t>10</w:t>
      </w:r>
      <w:r>
        <w:rPr>
          <w:spacing w:val="4"/>
          <w:w w:val="105"/>
          <w:sz w:val="13"/>
        </w:rPr>
        <w:t> </w:t>
      </w:r>
      <w:r>
        <w:rPr>
          <w:spacing w:val="2"/>
          <w:w w:val="105"/>
          <w:sz w:val="13"/>
        </w:rPr>
        <w:t>(Baw</w:t>
      </w:r>
      <w:r>
        <w:rPr>
          <w:spacing w:val="5"/>
          <w:w w:val="105"/>
          <w:sz w:val="13"/>
        </w:rPr>
        <w:t> </w:t>
      </w:r>
      <w:r>
        <w:rPr>
          <w:w w:val="105"/>
          <w:sz w:val="13"/>
        </w:rPr>
        <w:t>Baw</w:t>
      </w:r>
      <w:r>
        <w:rPr>
          <w:spacing w:val="5"/>
          <w:w w:val="105"/>
          <w:sz w:val="13"/>
        </w:rPr>
        <w:t> </w:t>
      </w:r>
      <w:r>
        <w:rPr>
          <w:w w:val="105"/>
          <w:sz w:val="13"/>
        </w:rPr>
        <w:t>Shire</w:t>
      </w:r>
      <w:r>
        <w:rPr>
          <w:spacing w:val="5"/>
          <w:w w:val="105"/>
          <w:sz w:val="13"/>
        </w:rPr>
        <w:t> </w:t>
      </w:r>
      <w:r>
        <w:rPr>
          <w:w w:val="105"/>
          <w:sz w:val="13"/>
        </w:rPr>
        <w:t>Council),</w:t>
      </w:r>
      <w:r>
        <w:rPr>
          <w:spacing w:val="4"/>
          <w:w w:val="105"/>
          <w:sz w:val="13"/>
        </w:rPr>
        <w:t> </w:t>
      </w:r>
      <w:r>
        <w:rPr>
          <w:spacing w:val="-3"/>
          <w:w w:val="105"/>
          <w:sz w:val="13"/>
        </w:rPr>
        <w:t>14</w:t>
      </w:r>
      <w:r>
        <w:rPr>
          <w:spacing w:val="5"/>
          <w:w w:val="105"/>
          <w:sz w:val="13"/>
        </w:rPr>
        <w:t> </w:t>
      </w:r>
      <w:r>
        <w:rPr>
          <w:spacing w:val="2"/>
          <w:w w:val="105"/>
          <w:sz w:val="13"/>
        </w:rPr>
        <w:t>(Robert</w:t>
      </w:r>
      <w:r>
        <w:rPr>
          <w:spacing w:val="5"/>
          <w:w w:val="105"/>
          <w:sz w:val="13"/>
        </w:rPr>
        <w:t> </w:t>
      </w:r>
      <w:r>
        <w:rPr>
          <w:spacing w:val="2"/>
          <w:w w:val="105"/>
          <w:sz w:val="13"/>
        </w:rPr>
        <w:t>Mineo).</w:t>
      </w:r>
    </w:p>
    <w:p>
      <w:pPr>
        <w:pStyle w:val="ListParagraph"/>
        <w:numPr>
          <w:ilvl w:val="0"/>
          <w:numId w:val="187"/>
        </w:numPr>
        <w:tabs>
          <w:tab w:pos="1222" w:val="left" w:leader="none"/>
          <w:tab w:pos="1223" w:val="left" w:leader="none"/>
        </w:tabs>
        <w:spacing w:line="240" w:lineRule="auto" w:before="3" w:after="0"/>
        <w:ind w:left="1222" w:right="0" w:hanging="793"/>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187"/>
        </w:numPr>
        <w:tabs>
          <w:tab w:pos="1222" w:val="left" w:leader="none"/>
          <w:tab w:pos="1223" w:val="left" w:leader="none"/>
        </w:tabs>
        <w:spacing w:line="240" w:lineRule="auto" w:before="1" w:after="0"/>
        <w:ind w:left="1222" w:right="0" w:hanging="793"/>
        <w:jc w:val="left"/>
        <w:rPr>
          <w:sz w:val="13"/>
        </w:rPr>
      </w:pPr>
      <w:r>
        <w:rPr>
          <w:sz w:val="13"/>
        </w:rPr>
        <w:t>Ibid.</w:t>
      </w:r>
    </w:p>
    <w:p>
      <w:pPr>
        <w:pStyle w:val="ListParagraph"/>
        <w:numPr>
          <w:ilvl w:val="0"/>
          <w:numId w:val="187"/>
        </w:numPr>
        <w:tabs>
          <w:tab w:pos="1222" w:val="left" w:leader="none"/>
          <w:tab w:pos="1223" w:val="left" w:leader="none"/>
        </w:tabs>
        <w:spacing w:line="240" w:lineRule="auto" w:before="2" w:after="0"/>
        <w:ind w:left="1222" w:right="0" w:hanging="793"/>
        <w:jc w:val="left"/>
        <w:rPr>
          <w:sz w:val="13"/>
        </w:rPr>
      </w:pPr>
      <w:r>
        <w:rPr>
          <w:w w:val="105"/>
          <w:sz w:val="13"/>
        </w:rPr>
        <w:t>Consultation </w:t>
      </w:r>
      <w:r>
        <w:rPr>
          <w:spacing w:val="-3"/>
          <w:w w:val="105"/>
          <w:sz w:val="13"/>
        </w:rPr>
        <w:t>14 </w:t>
      </w:r>
      <w:r>
        <w:rPr>
          <w:spacing w:val="2"/>
          <w:w w:val="105"/>
          <w:sz w:val="13"/>
        </w:rPr>
        <w:t>(Robert</w:t>
      </w:r>
      <w:r>
        <w:rPr>
          <w:spacing w:val="16"/>
          <w:w w:val="105"/>
          <w:sz w:val="13"/>
        </w:rPr>
        <w:t> </w:t>
      </w:r>
      <w:r>
        <w:rPr>
          <w:spacing w:val="2"/>
          <w:w w:val="105"/>
          <w:sz w:val="13"/>
        </w:rPr>
        <w:t>Mineo).</w:t>
      </w:r>
    </w:p>
    <w:p>
      <w:pPr>
        <w:pStyle w:val="ListParagraph"/>
        <w:numPr>
          <w:ilvl w:val="0"/>
          <w:numId w:val="187"/>
        </w:numPr>
        <w:tabs>
          <w:tab w:pos="1222" w:val="left" w:leader="none"/>
          <w:tab w:pos="1223" w:val="left" w:leader="none"/>
        </w:tabs>
        <w:spacing w:line="240" w:lineRule="auto" w:before="1" w:after="0"/>
        <w:ind w:left="429" w:right="6753" w:firstLine="0"/>
        <w:jc w:val="left"/>
        <w:rPr>
          <w:sz w:val="13"/>
        </w:rPr>
      </w:pPr>
      <w:r>
        <w:rPr>
          <w:w w:val="105"/>
          <w:sz w:val="13"/>
        </w:rPr>
        <w:t>See, eg, </w:t>
      </w:r>
      <w:r>
        <w:rPr>
          <w:i/>
          <w:w w:val="105"/>
          <w:sz w:val="13"/>
        </w:rPr>
        <w:t>Sultana v Micallef </w:t>
      </w:r>
      <w:r>
        <w:rPr>
          <w:w w:val="105"/>
          <w:sz w:val="13"/>
        </w:rPr>
        <w:t>[2012] NSWLEC 1078. 343</w:t>
        <w:tab/>
        <w:t>[2014] QCAT</w:t>
      </w:r>
      <w:r>
        <w:rPr>
          <w:spacing w:val="10"/>
          <w:w w:val="105"/>
          <w:sz w:val="13"/>
        </w:rPr>
        <w:t> </w:t>
      </w:r>
      <w:r>
        <w:rPr>
          <w:w w:val="105"/>
          <w:sz w:val="13"/>
        </w:rPr>
        <w:t>68.</w:t>
      </w:r>
    </w:p>
    <w:p>
      <w:pPr>
        <w:tabs>
          <w:tab w:pos="1222" w:val="left" w:leader="none"/>
        </w:tabs>
        <w:spacing w:before="3"/>
        <w:ind w:left="429" w:right="0" w:firstLine="0"/>
        <w:jc w:val="left"/>
        <w:rPr>
          <w:sz w:val="13"/>
        </w:rPr>
      </w:pPr>
      <w:r>
        <w:rPr>
          <w:spacing w:val="3"/>
          <w:w w:val="105"/>
          <w:sz w:val="13"/>
        </w:rPr>
        <w:t>344</w:t>
        <w:tab/>
      </w:r>
      <w:r>
        <w:rPr>
          <w:i/>
          <w:w w:val="105"/>
          <w:sz w:val="13"/>
        </w:rPr>
        <w:t>Sowden v Winzar </w:t>
      </w:r>
      <w:r>
        <w:rPr>
          <w:w w:val="105"/>
          <w:sz w:val="13"/>
        </w:rPr>
        <w:t>[2014] QCAT 68,</w:t>
      </w:r>
      <w:r>
        <w:rPr>
          <w:spacing w:val="28"/>
          <w:w w:val="105"/>
          <w:sz w:val="13"/>
        </w:rPr>
        <w:t> </w:t>
      </w:r>
      <w:r>
        <w:rPr>
          <w:w w:val="105"/>
          <w:sz w:val="13"/>
        </w:rPr>
        <w:t>[10].</w:t>
      </w:r>
    </w:p>
    <w:p>
      <w:pPr>
        <w:spacing w:after="0"/>
        <w:jc w:val="left"/>
        <w:rPr>
          <w:sz w:val="13"/>
        </w:rPr>
        <w:sectPr>
          <w:type w:val="continuous"/>
          <w:pgSz w:w="11910" w:h="16840"/>
          <w:pgMar w:top="300" w:bottom="280" w:left="0" w:right="0"/>
          <w:cols w:num="2" w:equalWidth="0">
            <w:col w:w="1119" w:space="40"/>
            <w:col w:w="10751"/>
          </w:cols>
        </w:sectPr>
      </w:pPr>
    </w:p>
    <w:p>
      <w:pPr>
        <w:pStyle w:val="BodyText"/>
        <w:rPr>
          <w:sz w:val="20"/>
        </w:rPr>
      </w:pPr>
    </w:p>
    <w:p>
      <w:pPr>
        <w:pStyle w:val="BodyText"/>
        <w:spacing w:before="9"/>
        <w:rPr>
          <w:sz w:val="18"/>
        </w:rPr>
      </w:pPr>
    </w:p>
    <w:p>
      <w:pPr>
        <w:pStyle w:val="ListParagraph"/>
        <w:numPr>
          <w:ilvl w:val="0"/>
          <w:numId w:val="173"/>
        </w:numPr>
        <w:tabs>
          <w:tab w:pos="2381" w:val="left" w:leader="none"/>
        </w:tabs>
        <w:spacing w:line="242" w:lineRule="auto" w:before="91" w:after="0"/>
        <w:ind w:left="2381" w:right="1687" w:hanging="794"/>
        <w:jc w:val="left"/>
        <w:rPr>
          <w:sz w:val="21"/>
        </w:rPr>
      </w:pPr>
      <w:bookmarkStart w:name="_bookmark140" w:id="298"/>
      <w:bookmarkEnd w:id="298"/>
      <w:r>
        <w:rPr/>
      </w:r>
      <w:bookmarkStart w:name="_bookmark140" w:id="299"/>
      <w:bookmarkEnd w:id="299"/>
      <w:r>
        <w:rPr>
          <w:sz w:val="21"/>
        </w:rPr>
        <w:t>T</w:t>
      </w:r>
      <w:r>
        <w:rPr>
          <w:sz w:val="21"/>
        </w:rPr>
        <w:t>he new Act should apply </w:t>
      </w:r>
      <w:r>
        <w:rPr>
          <w:spacing w:val="-3"/>
          <w:sz w:val="21"/>
        </w:rPr>
        <w:t>to noxious  </w:t>
      </w:r>
      <w:r>
        <w:rPr>
          <w:sz w:val="21"/>
        </w:rPr>
        <w:t>weeds if the weed </w:t>
      </w:r>
      <w:r>
        <w:rPr>
          <w:spacing w:val="-2"/>
          <w:sz w:val="21"/>
        </w:rPr>
        <w:t>has</w:t>
      </w:r>
      <w:r>
        <w:rPr>
          <w:spacing w:val="43"/>
          <w:sz w:val="21"/>
        </w:rPr>
        <w:t> </w:t>
      </w:r>
      <w:r>
        <w:rPr>
          <w:sz w:val="21"/>
        </w:rPr>
        <w:t>caused, is </w:t>
      </w:r>
      <w:r>
        <w:rPr>
          <w:spacing w:val="-3"/>
          <w:sz w:val="21"/>
        </w:rPr>
        <w:t>causing  </w:t>
      </w:r>
      <w:r>
        <w:rPr>
          <w:sz w:val="21"/>
        </w:rPr>
        <w:t>or is </w:t>
      </w:r>
      <w:r>
        <w:rPr>
          <w:spacing w:val="-4"/>
          <w:sz w:val="21"/>
        </w:rPr>
        <w:t>likely  </w:t>
      </w:r>
      <w:r>
        <w:rPr>
          <w:spacing w:val="-3"/>
          <w:sz w:val="21"/>
        </w:rPr>
        <w:t>to </w:t>
      </w:r>
      <w:r>
        <w:rPr>
          <w:sz w:val="21"/>
        </w:rPr>
        <w:t>cause damage </w:t>
      </w:r>
      <w:r>
        <w:rPr>
          <w:spacing w:val="-3"/>
          <w:sz w:val="21"/>
        </w:rPr>
        <w:t>to </w:t>
      </w:r>
      <w:r>
        <w:rPr>
          <w:sz w:val="21"/>
        </w:rPr>
        <w:t>property or </w:t>
      </w:r>
      <w:r>
        <w:rPr>
          <w:spacing w:val="-3"/>
          <w:sz w:val="21"/>
        </w:rPr>
        <w:t>harm to individuals. Excluding noxious </w:t>
      </w:r>
      <w:r>
        <w:rPr>
          <w:sz w:val="21"/>
        </w:rPr>
        <w:t>weeds </w:t>
      </w:r>
      <w:r>
        <w:rPr>
          <w:spacing w:val="-3"/>
          <w:sz w:val="21"/>
        </w:rPr>
        <w:t>from </w:t>
      </w:r>
      <w:r>
        <w:rPr>
          <w:sz w:val="21"/>
        </w:rPr>
        <w:t>the definition of vegetation would unnecessarily </w:t>
      </w:r>
      <w:r>
        <w:rPr>
          <w:spacing w:val="-3"/>
          <w:sz w:val="21"/>
        </w:rPr>
        <w:t>prevent </w:t>
      </w:r>
      <w:r>
        <w:rPr>
          <w:sz w:val="21"/>
        </w:rPr>
        <w:t>a number  of  tree  </w:t>
      </w:r>
      <w:r>
        <w:rPr>
          <w:spacing w:val="-3"/>
          <w:sz w:val="21"/>
        </w:rPr>
        <w:t>disputes  from </w:t>
      </w:r>
      <w:r>
        <w:rPr>
          <w:sz w:val="21"/>
        </w:rPr>
        <w:t>being resolved under a new statutory</w:t>
      </w:r>
      <w:r>
        <w:rPr>
          <w:spacing w:val="6"/>
          <w:sz w:val="21"/>
        </w:rPr>
        <w:t> </w:t>
      </w:r>
      <w:r>
        <w:rPr>
          <w:spacing w:val="-3"/>
          <w:sz w:val="21"/>
        </w:rPr>
        <w:t>scheme.</w:t>
      </w:r>
    </w:p>
    <w:p>
      <w:pPr>
        <w:pStyle w:val="ListParagraph"/>
        <w:numPr>
          <w:ilvl w:val="0"/>
          <w:numId w:val="173"/>
        </w:numPr>
        <w:tabs>
          <w:tab w:pos="2381" w:val="left" w:leader="none"/>
        </w:tabs>
        <w:spacing w:line="242" w:lineRule="auto" w:before="125" w:after="0"/>
        <w:ind w:left="2381" w:right="1910" w:hanging="794"/>
        <w:jc w:val="both"/>
        <w:rPr>
          <w:sz w:val="21"/>
        </w:rPr>
      </w:pPr>
      <w:r>
        <w:rPr>
          <w:w w:val="105"/>
          <w:sz w:val="21"/>
        </w:rPr>
        <w:t>Whether a tree is a declared weed is </w:t>
      </w:r>
      <w:r>
        <w:rPr>
          <w:spacing w:val="-3"/>
          <w:w w:val="105"/>
          <w:sz w:val="21"/>
        </w:rPr>
        <w:t>something that </w:t>
      </w:r>
      <w:r>
        <w:rPr>
          <w:spacing w:val="-5"/>
          <w:w w:val="105"/>
          <w:sz w:val="21"/>
        </w:rPr>
        <w:t>VCAT </w:t>
      </w:r>
      <w:r>
        <w:rPr>
          <w:w w:val="105"/>
          <w:sz w:val="21"/>
        </w:rPr>
        <w:t>should </w:t>
      </w:r>
      <w:r>
        <w:rPr>
          <w:spacing w:val="-3"/>
          <w:w w:val="105"/>
          <w:sz w:val="21"/>
        </w:rPr>
        <w:t>consider </w:t>
      </w:r>
      <w:r>
        <w:rPr>
          <w:w w:val="105"/>
          <w:sz w:val="21"/>
        </w:rPr>
        <w:t>as part of the decision-making process under a proposed new Act. This would enable the </w:t>
      </w:r>
      <w:r>
        <w:rPr>
          <w:spacing w:val="-5"/>
          <w:w w:val="105"/>
          <w:sz w:val="21"/>
        </w:rPr>
        <w:t>VCAT </w:t>
      </w:r>
      <w:r>
        <w:rPr>
          <w:w w:val="105"/>
          <w:sz w:val="21"/>
        </w:rPr>
        <w:t>member</w:t>
      </w:r>
      <w:r>
        <w:rPr>
          <w:spacing w:val="-7"/>
          <w:w w:val="105"/>
          <w:sz w:val="21"/>
        </w:rPr>
        <w:t> </w:t>
      </w:r>
      <w:r>
        <w:rPr>
          <w:spacing w:val="-3"/>
          <w:w w:val="105"/>
          <w:sz w:val="21"/>
        </w:rPr>
        <w:t>to</w:t>
      </w:r>
      <w:r>
        <w:rPr>
          <w:spacing w:val="-6"/>
          <w:w w:val="105"/>
          <w:sz w:val="21"/>
        </w:rPr>
        <w:t> </w:t>
      </w:r>
      <w:r>
        <w:rPr>
          <w:spacing w:val="-3"/>
          <w:w w:val="105"/>
          <w:sz w:val="21"/>
        </w:rPr>
        <w:t>turn</w:t>
      </w:r>
      <w:r>
        <w:rPr>
          <w:spacing w:val="-6"/>
          <w:w w:val="105"/>
          <w:sz w:val="21"/>
        </w:rPr>
        <w:t> </w:t>
      </w:r>
      <w:r>
        <w:rPr>
          <w:w w:val="105"/>
          <w:sz w:val="21"/>
        </w:rPr>
        <w:t>their</w:t>
      </w:r>
      <w:r>
        <w:rPr>
          <w:spacing w:val="-7"/>
          <w:w w:val="105"/>
          <w:sz w:val="21"/>
        </w:rPr>
        <w:t> </w:t>
      </w:r>
      <w:r>
        <w:rPr>
          <w:spacing w:val="-3"/>
          <w:w w:val="105"/>
          <w:sz w:val="21"/>
        </w:rPr>
        <w:t>mind</w:t>
      </w:r>
      <w:r>
        <w:rPr>
          <w:spacing w:val="-6"/>
          <w:w w:val="105"/>
          <w:sz w:val="21"/>
        </w:rPr>
        <w:t> </w:t>
      </w:r>
      <w:r>
        <w:rPr>
          <w:spacing w:val="-3"/>
          <w:w w:val="105"/>
          <w:sz w:val="21"/>
        </w:rPr>
        <w:t>to</w:t>
      </w:r>
      <w:r>
        <w:rPr>
          <w:spacing w:val="-6"/>
          <w:w w:val="105"/>
          <w:sz w:val="21"/>
        </w:rPr>
        <w:t> </w:t>
      </w:r>
      <w:r>
        <w:rPr>
          <w:spacing w:val="-3"/>
          <w:w w:val="105"/>
          <w:sz w:val="21"/>
        </w:rPr>
        <w:t>any</w:t>
      </w:r>
      <w:r>
        <w:rPr>
          <w:spacing w:val="-7"/>
          <w:w w:val="105"/>
          <w:sz w:val="21"/>
        </w:rPr>
        <w:t> </w:t>
      </w:r>
      <w:r>
        <w:rPr>
          <w:w w:val="105"/>
          <w:sz w:val="21"/>
        </w:rPr>
        <w:t>past</w:t>
      </w:r>
      <w:r>
        <w:rPr>
          <w:spacing w:val="-6"/>
          <w:w w:val="105"/>
          <w:sz w:val="21"/>
        </w:rPr>
        <w:t> </w:t>
      </w:r>
      <w:r>
        <w:rPr>
          <w:w w:val="105"/>
          <w:sz w:val="21"/>
        </w:rPr>
        <w:t>actions</w:t>
      </w:r>
      <w:r>
        <w:rPr>
          <w:spacing w:val="-6"/>
          <w:w w:val="105"/>
          <w:sz w:val="21"/>
        </w:rPr>
        <w:t> </w:t>
      </w:r>
      <w:r>
        <w:rPr>
          <w:spacing w:val="-3"/>
          <w:w w:val="105"/>
          <w:sz w:val="21"/>
        </w:rPr>
        <w:t>taken</w:t>
      </w:r>
      <w:r>
        <w:rPr>
          <w:spacing w:val="-6"/>
          <w:w w:val="105"/>
          <w:sz w:val="21"/>
        </w:rPr>
        <w:t> </w:t>
      </w:r>
      <w:r>
        <w:rPr>
          <w:w w:val="105"/>
          <w:sz w:val="21"/>
        </w:rPr>
        <w:t>by</w:t>
      </w:r>
      <w:r>
        <w:rPr>
          <w:spacing w:val="-7"/>
          <w:w w:val="105"/>
          <w:sz w:val="21"/>
        </w:rPr>
        <w:t> </w:t>
      </w:r>
      <w:r>
        <w:rPr>
          <w:w w:val="105"/>
          <w:sz w:val="21"/>
        </w:rPr>
        <w:t>the</w:t>
      </w:r>
      <w:r>
        <w:rPr>
          <w:spacing w:val="-6"/>
          <w:w w:val="105"/>
          <w:sz w:val="21"/>
        </w:rPr>
        <w:t> </w:t>
      </w:r>
      <w:r>
        <w:rPr>
          <w:w w:val="105"/>
          <w:sz w:val="21"/>
        </w:rPr>
        <w:t>landowner</w:t>
      </w:r>
      <w:r>
        <w:rPr>
          <w:spacing w:val="-6"/>
          <w:w w:val="105"/>
          <w:sz w:val="21"/>
        </w:rPr>
        <w:t> </w:t>
      </w:r>
      <w:r>
        <w:rPr>
          <w:w w:val="105"/>
          <w:sz w:val="21"/>
        </w:rPr>
        <w:t>with</w:t>
      </w:r>
      <w:r>
        <w:rPr>
          <w:spacing w:val="-7"/>
          <w:w w:val="105"/>
          <w:sz w:val="21"/>
        </w:rPr>
        <w:t> </w:t>
      </w:r>
      <w:r>
        <w:rPr>
          <w:w w:val="105"/>
          <w:sz w:val="21"/>
        </w:rPr>
        <w:t>respect</w:t>
      </w:r>
      <w:r>
        <w:rPr>
          <w:spacing w:val="-6"/>
          <w:w w:val="105"/>
          <w:sz w:val="21"/>
        </w:rPr>
        <w:t> </w:t>
      </w:r>
      <w:r>
        <w:rPr>
          <w:spacing w:val="-3"/>
          <w:w w:val="105"/>
          <w:sz w:val="21"/>
        </w:rPr>
        <w:t>to</w:t>
      </w:r>
    </w:p>
    <w:p>
      <w:pPr>
        <w:pStyle w:val="BodyText"/>
        <w:spacing w:line="242" w:lineRule="auto" w:before="3"/>
        <w:ind w:left="2380" w:right="1590"/>
      </w:pPr>
      <w:r>
        <w:rPr>
          <w:w w:val="105"/>
        </w:rPr>
        <w:t>the weed, </w:t>
      </w:r>
      <w:r>
        <w:rPr>
          <w:spacing w:val="-3"/>
          <w:w w:val="105"/>
        </w:rPr>
        <w:t>for </w:t>
      </w:r>
      <w:r>
        <w:rPr>
          <w:w w:val="105"/>
        </w:rPr>
        <w:t>example whether or </w:t>
      </w:r>
      <w:r>
        <w:rPr>
          <w:spacing w:val="-2"/>
          <w:w w:val="105"/>
        </w:rPr>
        <w:t>not </w:t>
      </w:r>
      <w:r>
        <w:rPr>
          <w:w w:val="105"/>
        </w:rPr>
        <w:t>the landowner was issued with a directions </w:t>
      </w:r>
      <w:r>
        <w:rPr>
          <w:spacing w:val="-3"/>
          <w:w w:val="105"/>
        </w:rPr>
        <w:t>notice </w:t>
      </w:r>
      <w:r>
        <w:rPr>
          <w:w w:val="105"/>
        </w:rPr>
        <w:t>and </w:t>
      </w:r>
      <w:r>
        <w:rPr>
          <w:spacing w:val="-3"/>
          <w:w w:val="105"/>
        </w:rPr>
        <w:t>failed to </w:t>
      </w:r>
      <w:r>
        <w:rPr>
          <w:w w:val="105"/>
        </w:rPr>
        <w:t>comply with this </w:t>
      </w:r>
      <w:r>
        <w:rPr>
          <w:spacing w:val="-3"/>
          <w:w w:val="105"/>
        </w:rPr>
        <w:t>notice.</w:t>
      </w:r>
    </w:p>
    <w:p>
      <w:pPr>
        <w:pStyle w:val="ListParagraph"/>
        <w:numPr>
          <w:ilvl w:val="0"/>
          <w:numId w:val="173"/>
        </w:numPr>
        <w:tabs>
          <w:tab w:pos="2381" w:val="left" w:leader="none"/>
        </w:tabs>
        <w:spacing w:line="242" w:lineRule="auto" w:before="122" w:after="0"/>
        <w:ind w:left="2381" w:right="1700" w:hanging="794"/>
        <w:jc w:val="left"/>
        <w:rPr>
          <w:sz w:val="12"/>
        </w:rPr>
      </w:pPr>
      <w:r>
        <w:rPr>
          <w:spacing w:val="-3"/>
          <w:sz w:val="21"/>
        </w:rPr>
        <w:t>Vegetation </w:t>
      </w:r>
      <w:r>
        <w:rPr>
          <w:sz w:val="21"/>
        </w:rPr>
        <w:t>declared as a </w:t>
      </w:r>
      <w:r>
        <w:rPr>
          <w:spacing w:val="-3"/>
          <w:sz w:val="21"/>
        </w:rPr>
        <w:t>noxious </w:t>
      </w:r>
      <w:r>
        <w:rPr>
          <w:sz w:val="21"/>
        </w:rPr>
        <w:t>weed</w:t>
      </w:r>
      <w:r>
        <w:rPr>
          <w:position w:val="7"/>
          <w:sz w:val="12"/>
        </w:rPr>
        <w:t>345 </w:t>
      </w:r>
      <w:r>
        <w:rPr>
          <w:sz w:val="21"/>
        </w:rPr>
        <w:t>is exempt </w:t>
      </w:r>
      <w:r>
        <w:rPr>
          <w:spacing w:val="-3"/>
          <w:sz w:val="21"/>
        </w:rPr>
        <w:t>from </w:t>
      </w:r>
      <w:r>
        <w:rPr>
          <w:sz w:val="21"/>
        </w:rPr>
        <w:t>the permit </w:t>
      </w:r>
      <w:r>
        <w:rPr>
          <w:spacing w:val="-3"/>
          <w:sz w:val="21"/>
        </w:rPr>
        <w:t>requirements to remove, </w:t>
      </w:r>
      <w:r>
        <w:rPr>
          <w:sz w:val="21"/>
        </w:rPr>
        <w:t>destroy or lop vegetation </w:t>
      </w:r>
      <w:r>
        <w:rPr>
          <w:spacing w:val="-3"/>
          <w:sz w:val="21"/>
        </w:rPr>
        <w:t>pursuant to </w:t>
      </w:r>
      <w:r>
        <w:rPr>
          <w:sz w:val="21"/>
        </w:rPr>
        <w:t>most of the tree protection </w:t>
      </w:r>
      <w:r>
        <w:rPr>
          <w:spacing w:val="-3"/>
          <w:sz w:val="21"/>
        </w:rPr>
        <w:t>overlays </w:t>
      </w:r>
      <w:r>
        <w:rPr>
          <w:sz w:val="21"/>
        </w:rPr>
        <w:t>under the </w:t>
      </w:r>
      <w:r>
        <w:rPr>
          <w:spacing w:val="4"/>
          <w:sz w:val="21"/>
        </w:rPr>
        <w:t>P&amp;E </w:t>
      </w:r>
      <w:r>
        <w:rPr>
          <w:sz w:val="21"/>
        </w:rPr>
        <w:t>Act, namely the  </w:t>
      </w:r>
      <w:r>
        <w:rPr>
          <w:spacing w:val="-3"/>
          <w:sz w:val="21"/>
        </w:rPr>
        <w:t>Significant  </w:t>
      </w:r>
      <w:r>
        <w:rPr>
          <w:sz w:val="21"/>
        </w:rPr>
        <w:t>Landscape  </w:t>
      </w:r>
      <w:r>
        <w:rPr>
          <w:spacing w:val="-4"/>
          <w:sz w:val="21"/>
        </w:rPr>
        <w:t>Overlay,  </w:t>
      </w:r>
      <w:r>
        <w:rPr>
          <w:spacing w:val="-3"/>
          <w:sz w:val="21"/>
        </w:rPr>
        <w:t>Environmental  Significance </w:t>
      </w:r>
      <w:r>
        <w:rPr>
          <w:sz w:val="21"/>
        </w:rPr>
        <w:t>Overlay and </w:t>
      </w:r>
      <w:r>
        <w:rPr>
          <w:spacing w:val="-3"/>
          <w:sz w:val="21"/>
        </w:rPr>
        <w:t>Vegetation </w:t>
      </w:r>
      <w:r>
        <w:rPr>
          <w:sz w:val="21"/>
        </w:rPr>
        <w:t>Protection </w:t>
      </w:r>
      <w:r>
        <w:rPr>
          <w:spacing w:val="-2"/>
          <w:sz w:val="21"/>
        </w:rPr>
        <w:t>Overlay.</w:t>
      </w:r>
      <w:r>
        <w:rPr>
          <w:spacing w:val="-2"/>
          <w:position w:val="7"/>
          <w:sz w:val="12"/>
        </w:rPr>
        <w:t>346 </w:t>
      </w:r>
      <w:r>
        <w:rPr>
          <w:sz w:val="21"/>
        </w:rPr>
        <w:t>There is also an exemption </w:t>
      </w:r>
      <w:r>
        <w:rPr>
          <w:spacing w:val="-3"/>
          <w:sz w:val="21"/>
        </w:rPr>
        <w:t>to  remove, </w:t>
      </w:r>
      <w:r>
        <w:rPr>
          <w:sz w:val="21"/>
        </w:rPr>
        <w:t>destroy or lop weeds </w:t>
      </w:r>
      <w:r>
        <w:rPr>
          <w:spacing w:val="-2"/>
          <w:sz w:val="21"/>
        </w:rPr>
        <w:t>listed </w:t>
      </w:r>
      <w:r>
        <w:rPr>
          <w:sz w:val="21"/>
        </w:rPr>
        <w:t>in a schedule </w:t>
      </w:r>
      <w:r>
        <w:rPr>
          <w:spacing w:val="-3"/>
          <w:sz w:val="21"/>
        </w:rPr>
        <w:t>to </w:t>
      </w:r>
      <w:r>
        <w:rPr>
          <w:sz w:val="21"/>
        </w:rPr>
        <w:t>the </w:t>
      </w:r>
      <w:r>
        <w:rPr>
          <w:spacing w:val="-3"/>
          <w:sz w:val="21"/>
        </w:rPr>
        <w:t>native </w:t>
      </w:r>
      <w:r>
        <w:rPr>
          <w:sz w:val="21"/>
        </w:rPr>
        <w:t>vegetation particular </w:t>
      </w:r>
      <w:r>
        <w:rPr>
          <w:spacing w:val="-3"/>
          <w:sz w:val="21"/>
        </w:rPr>
        <w:t>provision </w:t>
      </w:r>
      <w:r>
        <w:rPr>
          <w:sz w:val="21"/>
        </w:rPr>
        <w:t>but this is </w:t>
      </w:r>
      <w:r>
        <w:rPr>
          <w:spacing w:val="-3"/>
          <w:sz w:val="21"/>
        </w:rPr>
        <w:t>limited to </w:t>
      </w:r>
      <w:r>
        <w:rPr>
          <w:spacing w:val="-8"/>
          <w:sz w:val="21"/>
        </w:rPr>
        <w:t>15 </w:t>
      </w:r>
      <w:r>
        <w:rPr>
          <w:spacing w:val="-3"/>
          <w:sz w:val="21"/>
        </w:rPr>
        <w:t>native</w:t>
      </w:r>
      <w:r>
        <w:rPr>
          <w:spacing w:val="20"/>
          <w:sz w:val="21"/>
        </w:rPr>
        <w:t> </w:t>
      </w:r>
      <w:r>
        <w:rPr>
          <w:sz w:val="21"/>
        </w:rPr>
        <w:t>trees</w:t>
      </w:r>
      <w:r>
        <w:rPr>
          <w:position w:val="7"/>
          <w:sz w:val="12"/>
        </w:rPr>
        <w:t>347 </w:t>
      </w:r>
      <w:r>
        <w:rPr>
          <w:sz w:val="21"/>
        </w:rPr>
        <w:t>over a five-year period.</w:t>
      </w:r>
      <w:r>
        <w:rPr>
          <w:position w:val="7"/>
          <w:sz w:val="12"/>
        </w:rPr>
        <w:t>348</w:t>
      </w:r>
    </w:p>
    <w:p>
      <w:pPr>
        <w:pStyle w:val="BodyText"/>
        <w:spacing w:before="1"/>
        <w:rPr>
          <w:sz w:val="18"/>
        </w:rPr>
      </w:pPr>
      <w:r>
        <w:rPr/>
        <w:pict>
          <v:group style="position:absolute;margin-left:62.362202pt;margin-top:13.018891pt;width:479.1pt;height:96.4pt;mso-position-horizontal-relative:page;mso-position-vertical-relative:paragraph;z-index:10616;mso-wrap-distance-left:0;mso-wrap-distance-right:0" coordorigin="1247,260" coordsize="9582,1928">
            <v:rect style="position:absolute;left:1587;top:260;width:8731;height:1928" filled="true" fillcolor="#dbe0dd" stroked="false">
              <v:fill type="solid"/>
            </v:rect>
            <v:line style="position:absolute" from="1247,1007" to="10828,1007" stroked="true" strokeweight="2.5pt" strokecolor="#ffffff">
              <v:stroke dashstyle="solid"/>
            </v:line>
            <v:shape style="position:absolute;left:1587;top:1032;width:8731;height:1156" type="#_x0000_t202" filled="true" fillcolor="#dbe0dd" stroked="false">
              <v:textbox inset="0,0,0,0">
                <w:txbxContent>
                  <w:p>
                    <w:pPr>
                      <w:spacing w:line="242" w:lineRule="auto" w:before="208"/>
                      <w:ind w:left="793" w:right="495" w:hanging="567"/>
                      <w:jc w:val="both"/>
                      <w:rPr>
                        <w:sz w:val="21"/>
                      </w:rPr>
                    </w:pPr>
                    <w:r>
                      <w:rPr>
                        <w:b/>
                        <w:spacing w:val="-4"/>
                        <w:w w:val="115"/>
                        <w:sz w:val="21"/>
                      </w:rPr>
                      <w:t>47 </w:t>
                    </w:r>
                    <w:r>
                      <w:rPr>
                        <w:w w:val="115"/>
                        <w:sz w:val="21"/>
                      </w:rPr>
                      <w:t>The Act should apply to recognised weeds provided that the weed is a ‘tree’ and</w:t>
                    </w:r>
                    <w:r>
                      <w:rPr>
                        <w:spacing w:val="-5"/>
                        <w:w w:val="115"/>
                        <w:sz w:val="21"/>
                      </w:rPr>
                      <w:t> </w:t>
                    </w:r>
                    <w:r>
                      <w:rPr>
                        <w:w w:val="115"/>
                        <w:sz w:val="21"/>
                      </w:rPr>
                      <w:t>has</w:t>
                    </w:r>
                    <w:r>
                      <w:rPr>
                        <w:spacing w:val="-5"/>
                        <w:w w:val="115"/>
                        <w:sz w:val="21"/>
                      </w:rPr>
                      <w:t> </w:t>
                    </w:r>
                    <w:r>
                      <w:rPr>
                        <w:w w:val="115"/>
                        <w:sz w:val="21"/>
                      </w:rPr>
                      <w:t>caused,</w:t>
                    </w:r>
                    <w:r>
                      <w:rPr>
                        <w:spacing w:val="-5"/>
                        <w:w w:val="115"/>
                        <w:sz w:val="21"/>
                      </w:rPr>
                      <w:t> </w:t>
                    </w:r>
                    <w:r>
                      <w:rPr>
                        <w:w w:val="115"/>
                        <w:sz w:val="21"/>
                      </w:rPr>
                      <w:t>is</w:t>
                    </w:r>
                    <w:r>
                      <w:rPr>
                        <w:spacing w:val="-5"/>
                        <w:w w:val="115"/>
                        <w:sz w:val="21"/>
                      </w:rPr>
                      <w:t> </w:t>
                    </w:r>
                    <w:r>
                      <w:rPr>
                        <w:w w:val="115"/>
                        <w:sz w:val="21"/>
                      </w:rPr>
                      <w:t>causing</w:t>
                    </w:r>
                    <w:r>
                      <w:rPr>
                        <w:spacing w:val="-5"/>
                        <w:w w:val="115"/>
                        <w:sz w:val="21"/>
                      </w:rPr>
                      <w:t> </w:t>
                    </w:r>
                    <w:r>
                      <w:rPr>
                        <w:w w:val="115"/>
                        <w:sz w:val="21"/>
                      </w:rPr>
                      <w:t>or</w:t>
                    </w:r>
                    <w:r>
                      <w:rPr>
                        <w:spacing w:val="-4"/>
                        <w:w w:val="115"/>
                        <w:sz w:val="21"/>
                      </w:rPr>
                      <w:t> </w:t>
                    </w:r>
                    <w:r>
                      <w:rPr>
                        <w:w w:val="115"/>
                        <w:sz w:val="21"/>
                      </w:rPr>
                      <w:t>is</w:t>
                    </w:r>
                    <w:r>
                      <w:rPr>
                        <w:spacing w:val="-5"/>
                        <w:w w:val="115"/>
                        <w:sz w:val="21"/>
                      </w:rPr>
                      <w:t> </w:t>
                    </w:r>
                    <w:r>
                      <w:rPr>
                        <w:spacing w:val="-3"/>
                        <w:w w:val="115"/>
                        <w:sz w:val="21"/>
                      </w:rPr>
                      <w:t>likely</w:t>
                    </w:r>
                    <w:r>
                      <w:rPr>
                        <w:spacing w:val="-5"/>
                        <w:w w:val="115"/>
                        <w:sz w:val="21"/>
                      </w:rPr>
                      <w:t> </w:t>
                    </w:r>
                    <w:r>
                      <w:rPr>
                        <w:w w:val="115"/>
                        <w:sz w:val="21"/>
                      </w:rPr>
                      <w:t>to</w:t>
                    </w:r>
                    <w:r>
                      <w:rPr>
                        <w:spacing w:val="-5"/>
                        <w:w w:val="115"/>
                        <w:sz w:val="21"/>
                      </w:rPr>
                      <w:t> </w:t>
                    </w:r>
                    <w:r>
                      <w:rPr>
                        <w:w w:val="115"/>
                        <w:sz w:val="21"/>
                      </w:rPr>
                      <w:t>cause</w:t>
                    </w:r>
                    <w:r>
                      <w:rPr>
                        <w:spacing w:val="-5"/>
                        <w:w w:val="115"/>
                        <w:sz w:val="21"/>
                      </w:rPr>
                      <w:t> </w:t>
                    </w:r>
                    <w:r>
                      <w:rPr>
                        <w:w w:val="115"/>
                        <w:sz w:val="21"/>
                      </w:rPr>
                      <w:t>damage</w:t>
                    </w:r>
                    <w:r>
                      <w:rPr>
                        <w:spacing w:val="-5"/>
                        <w:w w:val="115"/>
                        <w:sz w:val="21"/>
                      </w:rPr>
                      <w:t> </w:t>
                    </w:r>
                    <w:r>
                      <w:rPr>
                        <w:w w:val="115"/>
                        <w:sz w:val="21"/>
                      </w:rPr>
                      <w:t>to</w:t>
                    </w:r>
                    <w:r>
                      <w:rPr>
                        <w:spacing w:val="-4"/>
                        <w:w w:val="115"/>
                        <w:sz w:val="21"/>
                      </w:rPr>
                      <w:t> </w:t>
                    </w:r>
                    <w:r>
                      <w:rPr>
                        <w:w w:val="115"/>
                        <w:sz w:val="21"/>
                      </w:rPr>
                      <w:t>property</w:t>
                    </w:r>
                    <w:r>
                      <w:rPr>
                        <w:spacing w:val="-5"/>
                        <w:w w:val="115"/>
                        <w:sz w:val="21"/>
                      </w:rPr>
                      <w:t> </w:t>
                    </w:r>
                    <w:r>
                      <w:rPr>
                        <w:w w:val="115"/>
                        <w:sz w:val="21"/>
                      </w:rPr>
                      <w:t>or</w:t>
                    </w:r>
                    <w:r>
                      <w:rPr>
                        <w:spacing w:val="-5"/>
                        <w:w w:val="115"/>
                        <w:sz w:val="21"/>
                      </w:rPr>
                      <w:t> </w:t>
                    </w:r>
                    <w:r>
                      <w:rPr>
                        <w:w w:val="115"/>
                        <w:sz w:val="21"/>
                      </w:rPr>
                      <w:t>land</w:t>
                    </w:r>
                    <w:r>
                      <w:rPr>
                        <w:spacing w:val="-5"/>
                        <w:w w:val="115"/>
                        <w:sz w:val="21"/>
                      </w:rPr>
                      <w:t> </w:t>
                    </w:r>
                    <w:r>
                      <w:rPr>
                        <w:w w:val="115"/>
                        <w:sz w:val="21"/>
                      </w:rPr>
                      <w:t>or harm to people in the next </w:t>
                    </w:r>
                    <w:r>
                      <w:rPr>
                        <w:spacing w:val="-7"/>
                        <w:w w:val="115"/>
                        <w:sz w:val="21"/>
                      </w:rPr>
                      <w:t>12</w:t>
                    </w:r>
                    <w:r>
                      <w:rPr>
                        <w:spacing w:val="1"/>
                        <w:w w:val="115"/>
                        <w:sz w:val="21"/>
                      </w:rPr>
                      <w:t> </w:t>
                    </w:r>
                    <w:r>
                      <w:rPr>
                        <w:w w:val="115"/>
                        <w:sz w:val="21"/>
                      </w:rPr>
                      <w:t>months.</w:t>
                    </w:r>
                  </w:p>
                </w:txbxContent>
              </v:textbox>
              <v:fill type="solid"/>
              <w10:wrap type="none"/>
            </v:shape>
            <v:shape style="position:absolute;left:1587;top:260;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w:t>
                    </w:r>
                  </w:p>
                </w:txbxContent>
              </v:textbox>
              <v:fill type="solid"/>
              <w10:wrap type="none"/>
            </v:shape>
            <w10:wrap type="topAndBottom"/>
          </v:group>
        </w:pict>
      </w:r>
    </w:p>
    <w:p>
      <w:pPr>
        <w:pStyle w:val="BodyText"/>
        <w:rPr>
          <w:sz w:val="20"/>
        </w:rPr>
      </w:pPr>
    </w:p>
    <w:p>
      <w:pPr>
        <w:pStyle w:val="BodyText"/>
        <w:spacing w:before="2"/>
        <w:rPr>
          <w:sz w:val="22"/>
        </w:rPr>
      </w:pPr>
    </w:p>
    <w:p>
      <w:pPr>
        <w:pStyle w:val="Heading5"/>
        <w:spacing w:line="244" w:lineRule="auto"/>
        <w:ind w:right="1636"/>
      </w:pPr>
      <w:r>
        <w:rPr>
          <w:w w:val="110"/>
        </w:rPr>
        <w:t>The Commission’s conclusions—the Environment Protection and Biodiversity Conservation Act</w:t>
      </w:r>
    </w:p>
    <w:p>
      <w:pPr>
        <w:pStyle w:val="ListParagraph"/>
        <w:numPr>
          <w:ilvl w:val="0"/>
          <w:numId w:val="173"/>
        </w:numPr>
        <w:tabs>
          <w:tab w:pos="2381" w:val="left" w:leader="none"/>
        </w:tabs>
        <w:spacing w:line="242" w:lineRule="auto" w:before="133" w:after="0"/>
        <w:ind w:left="2381" w:right="1741" w:hanging="794"/>
        <w:jc w:val="left"/>
        <w:rPr>
          <w:sz w:val="21"/>
        </w:rPr>
      </w:pPr>
      <w:r>
        <w:rPr>
          <w:w w:val="105"/>
          <w:sz w:val="21"/>
        </w:rPr>
        <w:t>The </w:t>
      </w:r>
      <w:r>
        <w:rPr>
          <w:i/>
          <w:spacing w:val="-3"/>
          <w:w w:val="105"/>
          <w:sz w:val="21"/>
        </w:rPr>
        <w:t>Environment </w:t>
      </w:r>
      <w:r>
        <w:rPr>
          <w:i/>
          <w:w w:val="105"/>
          <w:sz w:val="21"/>
        </w:rPr>
        <w:t>Protection and Biodiversity </w:t>
      </w:r>
      <w:r>
        <w:rPr>
          <w:i/>
          <w:spacing w:val="-3"/>
          <w:w w:val="105"/>
          <w:sz w:val="21"/>
        </w:rPr>
        <w:t>Conservation </w:t>
      </w:r>
      <w:r>
        <w:rPr>
          <w:i/>
          <w:w w:val="105"/>
          <w:sz w:val="21"/>
        </w:rPr>
        <w:t>Act </w:t>
      </w:r>
      <w:r>
        <w:rPr>
          <w:i/>
          <w:spacing w:val="-5"/>
          <w:w w:val="105"/>
          <w:sz w:val="21"/>
        </w:rPr>
        <w:t>1999 </w:t>
      </w:r>
      <w:r>
        <w:rPr>
          <w:w w:val="105"/>
          <w:sz w:val="21"/>
        </w:rPr>
        <w:t>(Cth) (the EPBC Act) is a </w:t>
      </w:r>
      <w:r>
        <w:rPr>
          <w:spacing w:val="-4"/>
          <w:w w:val="105"/>
          <w:sz w:val="21"/>
        </w:rPr>
        <w:t>Commonwealth </w:t>
      </w:r>
      <w:r>
        <w:rPr>
          <w:w w:val="105"/>
          <w:sz w:val="21"/>
        </w:rPr>
        <w:t>Act. </w:t>
      </w:r>
      <w:r>
        <w:rPr>
          <w:spacing w:val="-3"/>
          <w:w w:val="105"/>
          <w:sz w:val="21"/>
        </w:rPr>
        <w:t>Therefore, </w:t>
      </w:r>
      <w:r>
        <w:rPr>
          <w:w w:val="105"/>
          <w:sz w:val="21"/>
        </w:rPr>
        <w:t>the new Act </w:t>
      </w:r>
      <w:r>
        <w:rPr>
          <w:spacing w:val="-3"/>
          <w:w w:val="105"/>
          <w:sz w:val="21"/>
        </w:rPr>
        <w:t>cannot </w:t>
      </w:r>
      <w:r>
        <w:rPr>
          <w:w w:val="105"/>
          <w:sz w:val="21"/>
        </w:rPr>
        <w:t>override it and </w:t>
      </w:r>
      <w:r>
        <w:rPr>
          <w:spacing w:val="-3"/>
          <w:w w:val="105"/>
          <w:sz w:val="21"/>
        </w:rPr>
        <w:t>will </w:t>
      </w:r>
      <w:r>
        <w:rPr>
          <w:w w:val="105"/>
          <w:sz w:val="21"/>
        </w:rPr>
        <w:t>be </w:t>
      </w:r>
      <w:r>
        <w:rPr>
          <w:spacing w:val="-3"/>
          <w:w w:val="105"/>
          <w:sz w:val="21"/>
        </w:rPr>
        <w:t>invalid to </w:t>
      </w:r>
      <w:r>
        <w:rPr>
          <w:w w:val="105"/>
          <w:sz w:val="21"/>
        </w:rPr>
        <w:t>the extent </w:t>
      </w:r>
      <w:r>
        <w:rPr>
          <w:spacing w:val="-3"/>
          <w:w w:val="105"/>
          <w:sz w:val="21"/>
        </w:rPr>
        <w:t>that </w:t>
      </w:r>
      <w:r>
        <w:rPr>
          <w:w w:val="105"/>
          <w:sz w:val="21"/>
        </w:rPr>
        <w:t>is </w:t>
      </w:r>
      <w:r>
        <w:rPr>
          <w:spacing w:val="-3"/>
          <w:w w:val="105"/>
          <w:sz w:val="21"/>
        </w:rPr>
        <w:t>inconsistent </w:t>
      </w:r>
      <w:r>
        <w:rPr>
          <w:w w:val="105"/>
          <w:sz w:val="21"/>
        </w:rPr>
        <w:t>with it. If tree works </w:t>
      </w:r>
      <w:r>
        <w:rPr>
          <w:spacing w:val="-3"/>
          <w:w w:val="105"/>
          <w:sz w:val="21"/>
        </w:rPr>
        <w:t>are </w:t>
      </w:r>
      <w:r>
        <w:rPr>
          <w:spacing w:val="-4"/>
          <w:w w:val="105"/>
          <w:sz w:val="21"/>
        </w:rPr>
        <w:t>likely </w:t>
      </w:r>
      <w:r>
        <w:rPr>
          <w:spacing w:val="-3"/>
          <w:w w:val="105"/>
          <w:sz w:val="21"/>
        </w:rPr>
        <w:t>to have </w:t>
      </w:r>
      <w:r>
        <w:rPr>
          <w:w w:val="105"/>
          <w:sz w:val="21"/>
        </w:rPr>
        <w:t>a </w:t>
      </w:r>
      <w:r>
        <w:rPr>
          <w:spacing w:val="-3"/>
          <w:w w:val="105"/>
          <w:sz w:val="21"/>
        </w:rPr>
        <w:t>significant </w:t>
      </w:r>
      <w:r>
        <w:rPr>
          <w:w w:val="105"/>
          <w:sz w:val="21"/>
        </w:rPr>
        <w:t>impact on a matter of </w:t>
      </w:r>
      <w:r>
        <w:rPr>
          <w:spacing w:val="-3"/>
          <w:w w:val="105"/>
          <w:sz w:val="21"/>
        </w:rPr>
        <w:t>National Environmental Significance </w:t>
      </w:r>
      <w:r>
        <w:rPr>
          <w:w w:val="105"/>
          <w:sz w:val="21"/>
        </w:rPr>
        <w:t>or other protected matter then the tree </w:t>
      </w:r>
      <w:r>
        <w:rPr>
          <w:spacing w:val="-3"/>
          <w:w w:val="105"/>
          <w:sz w:val="21"/>
        </w:rPr>
        <w:t>dispute hearing </w:t>
      </w:r>
      <w:r>
        <w:rPr>
          <w:w w:val="105"/>
          <w:sz w:val="21"/>
        </w:rPr>
        <w:t>should be vacated and the </w:t>
      </w:r>
      <w:r>
        <w:rPr>
          <w:spacing w:val="-3"/>
          <w:w w:val="105"/>
          <w:sz w:val="21"/>
        </w:rPr>
        <w:t>applicant </w:t>
      </w:r>
      <w:r>
        <w:rPr>
          <w:w w:val="105"/>
          <w:sz w:val="21"/>
        </w:rPr>
        <w:t>should work </w:t>
      </w:r>
      <w:r>
        <w:rPr>
          <w:spacing w:val="-3"/>
          <w:w w:val="105"/>
          <w:sz w:val="21"/>
        </w:rPr>
        <w:t>through </w:t>
      </w:r>
      <w:r>
        <w:rPr>
          <w:w w:val="105"/>
          <w:sz w:val="21"/>
        </w:rPr>
        <w:t>the </w:t>
      </w:r>
      <w:r>
        <w:rPr>
          <w:spacing w:val="-4"/>
          <w:w w:val="105"/>
          <w:sz w:val="21"/>
        </w:rPr>
        <w:t>Commonwealth </w:t>
      </w:r>
      <w:r>
        <w:rPr>
          <w:w w:val="105"/>
          <w:sz w:val="21"/>
        </w:rPr>
        <w:t>assessment and </w:t>
      </w:r>
      <w:r>
        <w:rPr>
          <w:spacing w:val="-3"/>
          <w:w w:val="105"/>
          <w:sz w:val="21"/>
        </w:rPr>
        <w:t>approval </w:t>
      </w:r>
      <w:r>
        <w:rPr>
          <w:w w:val="105"/>
          <w:sz w:val="21"/>
        </w:rPr>
        <w:t>process under the EPBC</w:t>
      </w:r>
      <w:r>
        <w:rPr>
          <w:spacing w:val="32"/>
          <w:w w:val="105"/>
          <w:sz w:val="21"/>
        </w:rPr>
        <w:t> </w:t>
      </w:r>
      <w:r>
        <w:rPr>
          <w:w w:val="105"/>
          <w:sz w:val="21"/>
        </w:rPr>
        <w:t>Act.</w:t>
      </w:r>
    </w:p>
    <w:p>
      <w:pPr>
        <w:pStyle w:val="ListParagraph"/>
        <w:numPr>
          <w:ilvl w:val="0"/>
          <w:numId w:val="173"/>
        </w:numPr>
        <w:tabs>
          <w:tab w:pos="2381" w:val="left" w:leader="none"/>
        </w:tabs>
        <w:spacing w:line="242" w:lineRule="auto" w:before="127" w:after="0"/>
        <w:ind w:left="2380" w:right="1610" w:hanging="793"/>
        <w:jc w:val="left"/>
        <w:rPr>
          <w:sz w:val="12"/>
        </w:rPr>
      </w:pPr>
      <w:r>
        <w:rPr>
          <w:spacing w:val="-3"/>
          <w:w w:val="105"/>
          <w:sz w:val="21"/>
        </w:rPr>
        <w:t>Even</w:t>
      </w:r>
      <w:r>
        <w:rPr>
          <w:spacing w:val="-5"/>
          <w:w w:val="105"/>
          <w:sz w:val="21"/>
        </w:rPr>
        <w:t> </w:t>
      </w:r>
      <w:r>
        <w:rPr>
          <w:w w:val="105"/>
          <w:sz w:val="21"/>
        </w:rPr>
        <w:t>if</w:t>
      </w:r>
      <w:r>
        <w:rPr>
          <w:spacing w:val="-4"/>
          <w:w w:val="105"/>
          <w:sz w:val="21"/>
        </w:rPr>
        <w:t> </w:t>
      </w:r>
      <w:r>
        <w:rPr>
          <w:w w:val="105"/>
          <w:sz w:val="21"/>
        </w:rPr>
        <w:t>an</w:t>
      </w:r>
      <w:r>
        <w:rPr>
          <w:spacing w:val="-5"/>
          <w:w w:val="105"/>
          <w:sz w:val="21"/>
        </w:rPr>
        <w:t> </w:t>
      </w:r>
      <w:r>
        <w:rPr>
          <w:w w:val="105"/>
          <w:sz w:val="21"/>
        </w:rPr>
        <w:t>exemption</w:t>
      </w:r>
      <w:r>
        <w:rPr>
          <w:spacing w:val="-4"/>
          <w:w w:val="105"/>
          <w:sz w:val="21"/>
        </w:rPr>
        <w:t> </w:t>
      </w:r>
      <w:r>
        <w:rPr>
          <w:spacing w:val="-3"/>
          <w:w w:val="105"/>
          <w:sz w:val="21"/>
        </w:rPr>
        <w:t>currently</w:t>
      </w:r>
      <w:r>
        <w:rPr>
          <w:spacing w:val="-4"/>
          <w:w w:val="105"/>
          <w:sz w:val="21"/>
        </w:rPr>
        <w:t> </w:t>
      </w:r>
      <w:r>
        <w:rPr>
          <w:w w:val="105"/>
          <w:sz w:val="21"/>
        </w:rPr>
        <w:t>applies</w:t>
      </w:r>
      <w:r>
        <w:rPr>
          <w:spacing w:val="-5"/>
          <w:w w:val="105"/>
          <w:sz w:val="21"/>
        </w:rPr>
        <w:t> </w:t>
      </w:r>
      <w:r>
        <w:rPr>
          <w:w w:val="105"/>
          <w:sz w:val="21"/>
        </w:rPr>
        <w:t>under</w:t>
      </w:r>
      <w:r>
        <w:rPr>
          <w:spacing w:val="-4"/>
          <w:w w:val="105"/>
          <w:sz w:val="21"/>
        </w:rPr>
        <w:t> </w:t>
      </w:r>
      <w:r>
        <w:rPr>
          <w:w w:val="105"/>
          <w:sz w:val="21"/>
        </w:rPr>
        <w:t>a</w:t>
      </w:r>
      <w:r>
        <w:rPr>
          <w:spacing w:val="-5"/>
          <w:w w:val="105"/>
          <w:sz w:val="21"/>
        </w:rPr>
        <w:t> </w:t>
      </w:r>
      <w:r>
        <w:rPr>
          <w:w w:val="105"/>
          <w:sz w:val="21"/>
        </w:rPr>
        <w:t>VPP</w:t>
      </w:r>
      <w:r>
        <w:rPr>
          <w:spacing w:val="-4"/>
          <w:w w:val="105"/>
          <w:sz w:val="21"/>
        </w:rPr>
        <w:t> </w:t>
      </w:r>
      <w:r>
        <w:rPr>
          <w:w w:val="105"/>
          <w:sz w:val="21"/>
        </w:rPr>
        <w:t>and</w:t>
      </w:r>
      <w:r>
        <w:rPr>
          <w:spacing w:val="-4"/>
          <w:w w:val="105"/>
          <w:sz w:val="21"/>
        </w:rPr>
        <w:t> </w:t>
      </w:r>
      <w:r>
        <w:rPr>
          <w:w w:val="105"/>
          <w:sz w:val="21"/>
        </w:rPr>
        <w:t>the</w:t>
      </w:r>
      <w:r>
        <w:rPr>
          <w:spacing w:val="-5"/>
          <w:w w:val="105"/>
          <w:sz w:val="21"/>
        </w:rPr>
        <w:t> </w:t>
      </w:r>
      <w:r>
        <w:rPr>
          <w:w w:val="105"/>
          <w:sz w:val="21"/>
        </w:rPr>
        <w:t>EPBC</w:t>
      </w:r>
      <w:r>
        <w:rPr>
          <w:spacing w:val="-4"/>
          <w:w w:val="105"/>
          <w:sz w:val="21"/>
        </w:rPr>
        <w:t> </w:t>
      </w:r>
      <w:r>
        <w:rPr>
          <w:w w:val="105"/>
          <w:sz w:val="21"/>
        </w:rPr>
        <w:t>Act</w:t>
      </w:r>
      <w:r>
        <w:rPr>
          <w:spacing w:val="-4"/>
          <w:w w:val="105"/>
          <w:sz w:val="21"/>
        </w:rPr>
        <w:t> </w:t>
      </w:r>
      <w:r>
        <w:rPr>
          <w:w w:val="105"/>
          <w:sz w:val="21"/>
        </w:rPr>
        <w:t>is</w:t>
      </w:r>
      <w:r>
        <w:rPr>
          <w:spacing w:val="-5"/>
          <w:w w:val="105"/>
          <w:sz w:val="21"/>
        </w:rPr>
        <w:t> </w:t>
      </w:r>
      <w:r>
        <w:rPr>
          <w:spacing w:val="-3"/>
          <w:w w:val="105"/>
          <w:sz w:val="21"/>
        </w:rPr>
        <w:t>triggered,</w:t>
      </w:r>
      <w:r>
        <w:rPr>
          <w:spacing w:val="-4"/>
          <w:w w:val="105"/>
          <w:sz w:val="21"/>
        </w:rPr>
        <w:t> </w:t>
      </w:r>
      <w:r>
        <w:rPr>
          <w:spacing w:val="-3"/>
          <w:w w:val="105"/>
          <w:sz w:val="21"/>
        </w:rPr>
        <w:t>consent </w:t>
      </w:r>
      <w:r>
        <w:rPr>
          <w:w w:val="105"/>
          <w:sz w:val="21"/>
        </w:rPr>
        <w:t>would still need </w:t>
      </w:r>
      <w:r>
        <w:rPr>
          <w:spacing w:val="-3"/>
          <w:w w:val="105"/>
          <w:sz w:val="21"/>
        </w:rPr>
        <w:t>to </w:t>
      </w:r>
      <w:r>
        <w:rPr>
          <w:w w:val="105"/>
          <w:sz w:val="21"/>
        </w:rPr>
        <w:t>be </w:t>
      </w:r>
      <w:r>
        <w:rPr>
          <w:spacing w:val="-3"/>
          <w:w w:val="105"/>
          <w:sz w:val="21"/>
        </w:rPr>
        <w:t>sought from </w:t>
      </w:r>
      <w:r>
        <w:rPr>
          <w:w w:val="105"/>
          <w:sz w:val="21"/>
        </w:rPr>
        <w:t>the </w:t>
      </w:r>
      <w:r>
        <w:rPr>
          <w:spacing w:val="-4"/>
          <w:w w:val="105"/>
          <w:sz w:val="21"/>
        </w:rPr>
        <w:t>Commonwealth</w:t>
      </w:r>
      <w:r>
        <w:rPr>
          <w:spacing w:val="2"/>
          <w:w w:val="105"/>
          <w:sz w:val="21"/>
        </w:rPr>
        <w:t> </w:t>
      </w:r>
      <w:r>
        <w:rPr>
          <w:w w:val="105"/>
          <w:sz w:val="21"/>
        </w:rPr>
        <w:t>Government.</w:t>
      </w:r>
      <w:r>
        <w:rPr>
          <w:w w:val="105"/>
          <w:position w:val="7"/>
          <w:sz w:val="12"/>
        </w:rPr>
        <w:t>349</w:t>
      </w:r>
    </w:p>
    <w:p>
      <w:pPr>
        <w:pStyle w:val="BodyText"/>
        <w:spacing w:before="2"/>
        <w:rPr>
          <w:sz w:val="20"/>
        </w:rPr>
      </w:pPr>
    </w:p>
    <w:p>
      <w:pPr>
        <w:pStyle w:val="Heading5"/>
        <w:spacing w:line="244" w:lineRule="auto" w:before="1"/>
        <w:ind w:right="2059"/>
      </w:pPr>
      <w:r>
        <w:rPr>
          <w:w w:val="110"/>
        </w:rPr>
        <w:t>The Commission’s conclusions—further consultation required on some other Acts</w:t>
      </w:r>
    </w:p>
    <w:p>
      <w:pPr>
        <w:pStyle w:val="Heading8"/>
        <w:spacing w:before="159"/>
        <w:rPr>
          <w:rFonts w:ascii="Calibri"/>
          <w:i w:val="0"/>
        </w:rPr>
      </w:pPr>
      <w:r>
        <w:rPr>
          <w:i/>
        </w:rPr>
        <w:t>Victorian Conservation </w:t>
      </w:r>
      <w:r>
        <w:rPr>
          <w:i/>
          <w:spacing w:val="-3"/>
        </w:rPr>
        <w:t>Trust </w:t>
      </w:r>
      <w:r>
        <w:rPr>
          <w:i/>
        </w:rPr>
        <w:t>Act </w:t>
      </w:r>
      <w:r>
        <w:rPr>
          <w:i/>
          <w:spacing w:val="-6"/>
        </w:rPr>
        <w:t>1972 </w:t>
      </w:r>
      <w:r>
        <w:rPr>
          <w:rFonts w:ascii="Calibri"/>
          <w:i w:val="0"/>
        </w:rPr>
        <w:t>(Vic)</w:t>
      </w:r>
    </w:p>
    <w:p>
      <w:pPr>
        <w:pStyle w:val="ListParagraph"/>
        <w:numPr>
          <w:ilvl w:val="0"/>
          <w:numId w:val="173"/>
        </w:numPr>
        <w:tabs>
          <w:tab w:pos="2381" w:val="left" w:leader="none"/>
        </w:tabs>
        <w:spacing w:line="242" w:lineRule="auto" w:before="143" w:after="0"/>
        <w:ind w:left="2381" w:right="1798" w:hanging="794"/>
        <w:jc w:val="both"/>
        <w:rPr>
          <w:sz w:val="21"/>
        </w:rPr>
      </w:pPr>
      <w:r>
        <w:rPr>
          <w:sz w:val="21"/>
        </w:rPr>
        <w:t>The </w:t>
      </w:r>
      <w:r>
        <w:rPr>
          <w:spacing w:val="-3"/>
          <w:sz w:val="21"/>
        </w:rPr>
        <w:t>current wording </w:t>
      </w:r>
      <w:r>
        <w:rPr>
          <w:sz w:val="21"/>
        </w:rPr>
        <w:t>of conservation </w:t>
      </w:r>
      <w:r>
        <w:rPr>
          <w:spacing w:val="-3"/>
          <w:sz w:val="21"/>
        </w:rPr>
        <w:t>covenants requires </w:t>
      </w:r>
      <w:r>
        <w:rPr>
          <w:sz w:val="21"/>
        </w:rPr>
        <w:t>landowners who </w:t>
      </w:r>
      <w:r>
        <w:rPr>
          <w:spacing w:val="-3"/>
          <w:sz w:val="21"/>
        </w:rPr>
        <w:t>are </w:t>
      </w:r>
      <w:r>
        <w:rPr>
          <w:sz w:val="21"/>
        </w:rPr>
        <w:t>subject </w:t>
      </w:r>
      <w:r>
        <w:rPr>
          <w:spacing w:val="-3"/>
          <w:sz w:val="21"/>
        </w:rPr>
        <w:t>to </w:t>
      </w:r>
      <w:r>
        <w:rPr>
          <w:sz w:val="21"/>
        </w:rPr>
        <w:t>these agreements </w:t>
      </w:r>
      <w:r>
        <w:rPr>
          <w:spacing w:val="-3"/>
          <w:sz w:val="21"/>
        </w:rPr>
        <w:t>to </w:t>
      </w:r>
      <w:r>
        <w:rPr>
          <w:sz w:val="21"/>
        </w:rPr>
        <w:t>comply with existing </w:t>
      </w:r>
      <w:r>
        <w:rPr>
          <w:spacing w:val="-3"/>
          <w:sz w:val="21"/>
        </w:rPr>
        <w:t>requirements </w:t>
      </w:r>
      <w:r>
        <w:rPr>
          <w:sz w:val="21"/>
        </w:rPr>
        <w:t>under other Acts and laws. This suggests</w:t>
      </w:r>
      <w:r>
        <w:rPr>
          <w:spacing w:val="19"/>
          <w:sz w:val="21"/>
        </w:rPr>
        <w:t> </w:t>
      </w:r>
      <w:r>
        <w:rPr>
          <w:spacing w:val="-3"/>
          <w:sz w:val="21"/>
        </w:rPr>
        <w:t>that</w:t>
      </w:r>
      <w:r>
        <w:rPr>
          <w:spacing w:val="20"/>
          <w:sz w:val="21"/>
        </w:rPr>
        <w:t> </w:t>
      </w:r>
      <w:r>
        <w:rPr>
          <w:sz w:val="21"/>
        </w:rPr>
        <w:t>tree</w:t>
      </w:r>
      <w:r>
        <w:rPr>
          <w:spacing w:val="20"/>
          <w:sz w:val="21"/>
        </w:rPr>
        <w:t> </w:t>
      </w:r>
      <w:r>
        <w:rPr>
          <w:sz w:val="21"/>
        </w:rPr>
        <w:t>owners</w:t>
      </w:r>
      <w:r>
        <w:rPr>
          <w:spacing w:val="19"/>
          <w:sz w:val="21"/>
        </w:rPr>
        <w:t> </w:t>
      </w:r>
      <w:r>
        <w:rPr>
          <w:sz w:val="21"/>
        </w:rPr>
        <w:t>would</w:t>
      </w:r>
      <w:r>
        <w:rPr>
          <w:spacing w:val="20"/>
          <w:sz w:val="21"/>
        </w:rPr>
        <w:t> </w:t>
      </w:r>
      <w:r>
        <w:rPr>
          <w:sz w:val="21"/>
        </w:rPr>
        <w:t>need</w:t>
      </w:r>
      <w:r>
        <w:rPr>
          <w:spacing w:val="20"/>
          <w:sz w:val="21"/>
        </w:rPr>
        <w:t> </w:t>
      </w:r>
      <w:r>
        <w:rPr>
          <w:spacing w:val="-3"/>
          <w:sz w:val="21"/>
        </w:rPr>
        <w:t>to</w:t>
      </w:r>
      <w:r>
        <w:rPr>
          <w:spacing w:val="20"/>
          <w:sz w:val="21"/>
        </w:rPr>
        <w:t> </w:t>
      </w:r>
      <w:r>
        <w:rPr>
          <w:sz w:val="21"/>
        </w:rPr>
        <w:t>comply</w:t>
      </w:r>
      <w:r>
        <w:rPr>
          <w:spacing w:val="19"/>
          <w:sz w:val="21"/>
        </w:rPr>
        <w:t> </w:t>
      </w:r>
      <w:r>
        <w:rPr>
          <w:sz w:val="21"/>
        </w:rPr>
        <w:t>with</w:t>
      </w:r>
      <w:r>
        <w:rPr>
          <w:spacing w:val="20"/>
          <w:sz w:val="21"/>
        </w:rPr>
        <w:t> </w:t>
      </w:r>
      <w:r>
        <w:rPr>
          <w:sz w:val="21"/>
        </w:rPr>
        <w:t>orders</w:t>
      </w:r>
      <w:r>
        <w:rPr>
          <w:spacing w:val="20"/>
          <w:sz w:val="21"/>
        </w:rPr>
        <w:t> </w:t>
      </w:r>
      <w:r>
        <w:rPr>
          <w:sz w:val="21"/>
        </w:rPr>
        <w:t>made</w:t>
      </w:r>
      <w:r>
        <w:rPr>
          <w:spacing w:val="19"/>
          <w:sz w:val="21"/>
        </w:rPr>
        <w:t> </w:t>
      </w:r>
      <w:r>
        <w:rPr>
          <w:sz w:val="21"/>
        </w:rPr>
        <w:t>under</w:t>
      </w:r>
      <w:r>
        <w:rPr>
          <w:spacing w:val="20"/>
          <w:sz w:val="21"/>
        </w:rPr>
        <w:t> </w:t>
      </w:r>
      <w:r>
        <w:rPr>
          <w:sz w:val="21"/>
        </w:rPr>
        <w:t>the</w:t>
      </w:r>
      <w:r>
        <w:rPr>
          <w:spacing w:val="20"/>
          <w:sz w:val="21"/>
        </w:rPr>
        <w:t> </w:t>
      </w:r>
      <w:r>
        <w:rPr>
          <w:sz w:val="21"/>
        </w:rPr>
        <w:t>new</w:t>
      </w:r>
      <w:r>
        <w:rPr>
          <w:spacing w:val="20"/>
          <w:sz w:val="21"/>
        </w:rPr>
        <w:t> </w:t>
      </w:r>
      <w:r>
        <w:rPr>
          <w:sz w:val="21"/>
        </w:rPr>
        <w:t>Act.</w:t>
      </w:r>
    </w:p>
    <w:p>
      <w:pPr>
        <w:pStyle w:val="ListParagraph"/>
        <w:numPr>
          <w:ilvl w:val="0"/>
          <w:numId w:val="173"/>
        </w:numPr>
        <w:tabs>
          <w:tab w:pos="2381" w:val="left" w:leader="none"/>
        </w:tabs>
        <w:spacing w:line="242" w:lineRule="auto" w:before="123" w:after="0"/>
        <w:ind w:left="2381" w:right="1999" w:hanging="794"/>
        <w:jc w:val="left"/>
        <w:rPr>
          <w:sz w:val="21"/>
        </w:rPr>
      </w:pPr>
      <w:r>
        <w:rPr>
          <w:spacing w:val="-4"/>
          <w:w w:val="105"/>
          <w:sz w:val="21"/>
        </w:rPr>
        <w:t>However,</w:t>
      </w:r>
      <w:r>
        <w:rPr>
          <w:spacing w:val="-10"/>
          <w:w w:val="105"/>
          <w:sz w:val="21"/>
        </w:rPr>
        <w:t> </w:t>
      </w:r>
      <w:r>
        <w:rPr>
          <w:w w:val="105"/>
          <w:sz w:val="21"/>
        </w:rPr>
        <w:t>the</w:t>
      </w:r>
      <w:r>
        <w:rPr>
          <w:spacing w:val="-10"/>
          <w:w w:val="105"/>
          <w:sz w:val="21"/>
        </w:rPr>
        <w:t> </w:t>
      </w:r>
      <w:r>
        <w:rPr>
          <w:spacing w:val="-3"/>
          <w:w w:val="105"/>
          <w:sz w:val="21"/>
        </w:rPr>
        <w:t>Commission</w:t>
      </w:r>
      <w:r>
        <w:rPr>
          <w:spacing w:val="-10"/>
          <w:w w:val="105"/>
          <w:sz w:val="21"/>
        </w:rPr>
        <w:t> </w:t>
      </w:r>
      <w:r>
        <w:rPr>
          <w:w w:val="105"/>
          <w:sz w:val="21"/>
        </w:rPr>
        <w:t>cautions</w:t>
      </w:r>
      <w:r>
        <w:rPr>
          <w:spacing w:val="-10"/>
          <w:w w:val="105"/>
          <w:sz w:val="21"/>
        </w:rPr>
        <w:t> </w:t>
      </w:r>
      <w:r>
        <w:rPr>
          <w:spacing w:val="-3"/>
          <w:w w:val="105"/>
          <w:sz w:val="21"/>
        </w:rPr>
        <w:t>that</w:t>
      </w:r>
      <w:r>
        <w:rPr>
          <w:spacing w:val="-10"/>
          <w:w w:val="105"/>
          <w:sz w:val="21"/>
        </w:rPr>
        <w:t> </w:t>
      </w:r>
      <w:r>
        <w:rPr>
          <w:w w:val="105"/>
          <w:sz w:val="21"/>
        </w:rPr>
        <w:t>this</w:t>
      </w:r>
      <w:r>
        <w:rPr>
          <w:spacing w:val="-10"/>
          <w:w w:val="105"/>
          <w:sz w:val="21"/>
        </w:rPr>
        <w:t> </w:t>
      </w:r>
      <w:r>
        <w:rPr>
          <w:spacing w:val="-3"/>
          <w:w w:val="105"/>
          <w:sz w:val="21"/>
        </w:rPr>
        <w:t>may</w:t>
      </w:r>
      <w:r>
        <w:rPr>
          <w:spacing w:val="-10"/>
          <w:w w:val="105"/>
          <w:sz w:val="21"/>
        </w:rPr>
        <w:t> </w:t>
      </w:r>
      <w:r>
        <w:rPr>
          <w:w w:val="105"/>
          <w:sz w:val="21"/>
        </w:rPr>
        <w:t>differ</w:t>
      </w:r>
      <w:r>
        <w:rPr>
          <w:spacing w:val="-10"/>
          <w:w w:val="105"/>
          <w:sz w:val="21"/>
        </w:rPr>
        <w:t> </w:t>
      </w:r>
      <w:r>
        <w:rPr>
          <w:spacing w:val="-3"/>
          <w:w w:val="105"/>
          <w:sz w:val="21"/>
        </w:rPr>
        <w:t>for</w:t>
      </w:r>
      <w:r>
        <w:rPr>
          <w:spacing w:val="-10"/>
          <w:w w:val="105"/>
          <w:sz w:val="21"/>
        </w:rPr>
        <w:t> </w:t>
      </w:r>
      <w:r>
        <w:rPr>
          <w:w w:val="105"/>
          <w:sz w:val="21"/>
        </w:rPr>
        <w:t>older</w:t>
      </w:r>
      <w:r>
        <w:rPr>
          <w:spacing w:val="-10"/>
          <w:w w:val="105"/>
          <w:sz w:val="21"/>
        </w:rPr>
        <w:t> </w:t>
      </w:r>
      <w:r>
        <w:rPr>
          <w:w w:val="105"/>
          <w:sz w:val="21"/>
        </w:rPr>
        <w:t>existing</w:t>
      </w:r>
      <w:r>
        <w:rPr>
          <w:spacing w:val="-10"/>
          <w:w w:val="105"/>
          <w:sz w:val="21"/>
        </w:rPr>
        <w:t> </w:t>
      </w:r>
      <w:r>
        <w:rPr>
          <w:w w:val="105"/>
          <w:sz w:val="21"/>
        </w:rPr>
        <w:t>conservation </w:t>
      </w:r>
      <w:r>
        <w:rPr>
          <w:spacing w:val="-3"/>
          <w:w w:val="105"/>
          <w:sz w:val="21"/>
        </w:rPr>
        <w:t>covenants</w:t>
      </w:r>
      <w:r>
        <w:rPr>
          <w:spacing w:val="-5"/>
          <w:w w:val="105"/>
          <w:sz w:val="21"/>
        </w:rPr>
        <w:t> </w:t>
      </w:r>
      <w:r>
        <w:rPr>
          <w:w w:val="105"/>
          <w:sz w:val="21"/>
        </w:rPr>
        <w:t>and</w:t>
      </w:r>
      <w:r>
        <w:rPr>
          <w:spacing w:val="-4"/>
          <w:w w:val="105"/>
          <w:sz w:val="21"/>
        </w:rPr>
        <w:t> </w:t>
      </w:r>
      <w:r>
        <w:rPr>
          <w:w w:val="105"/>
          <w:sz w:val="21"/>
        </w:rPr>
        <w:t>the</w:t>
      </w:r>
      <w:r>
        <w:rPr>
          <w:spacing w:val="-4"/>
          <w:w w:val="105"/>
          <w:sz w:val="21"/>
        </w:rPr>
        <w:t> </w:t>
      </w:r>
      <w:r>
        <w:rPr>
          <w:w w:val="105"/>
          <w:sz w:val="21"/>
        </w:rPr>
        <w:t>specific</w:t>
      </w:r>
      <w:r>
        <w:rPr>
          <w:spacing w:val="-5"/>
          <w:w w:val="105"/>
          <w:sz w:val="21"/>
        </w:rPr>
        <w:t> </w:t>
      </w:r>
      <w:r>
        <w:rPr>
          <w:spacing w:val="-3"/>
          <w:w w:val="105"/>
          <w:sz w:val="21"/>
        </w:rPr>
        <w:t>provisions</w:t>
      </w:r>
      <w:r>
        <w:rPr>
          <w:spacing w:val="-4"/>
          <w:w w:val="105"/>
          <w:sz w:val="21"/>
        </w:rPr>
        <w:t> </w:t>
      </w:r>
      <w:r>
        <w:rPr>
          <w:w w:val="105"/>
          <w:sz w:val="21"/>
        </w:rPr>
        <w:t>of</w:t>
      </w:r>
      <w:r>
        <w:rPr>
          <w:spacing w:val="-4"/>
          <w:w w:val="105"/>
          <w:sz w:val="21"/>
        </w:rPr>
        <w:t> </w:t>
      </w:r>
      <w:r>
        <w:rPr>
          <w:w w:val="105"/>
          <w:sz w:val="21"/>
        </w:rPr>
        <w:t>each</w:t>
      </w:r>
      <w:r>
        <w:rPr>
          <w:spacing w:val="-5"/>
          <w:w w:val="105"/>
          <w:sz w:val="21"/>
        </w:rPr>
        <w:t> </w:t>
      </w:r>
      <w:r>
        <w:rPr>
          <w:spacing w:val="-3"/>
          <w:w w:val="105"/>
          <w:sz w:val="21"/>
        </w:rPr>
        <w:t>covenant</w:t>
      </w:r>
      <w:r>
        <w:rPr>
          <w:spacing w:val="-4"/>
          <w:w w:val="105"/>
          <w:sz w:val="21"/>
        </w:rPr>
        <w:t> </w:t>
      </w:r>
      <w:r>
        <w:rPr>
          <w:w w:val="105"/>
          <w:sz w:val="21"/>
        </w:rPr>
        <w:t>would</w:t>
      </w:r>
      <w:r>
        <w:rPr>
          <w:spacing w:val="-4"/>
          <w:w w:val="105"/>
          <w:sz w:val="21"/>
        </w:rPr>
        <w:t> </w:t>
      </w:r>
      <w:r>
        <w:rPr>
          <w:w w:val="105"/>
          <w:sz w:val="21"/>
        </w:rPr>
        <w:t>need</w:t>
      </w:r>
      <w:r>
        <w:rPr>
          <w:spacing w:val="-5"/>
          <w:w w:val="105"/>
          <w:sz w:val="21"/>
        </w:rPr>
        <w:t> </w:t>
      </w:r>
      <w:r>
        <w:rPr>
          <w:spacing w:val="-3"/>
          <w:w w:val="105"/>
          <w:sz w:val="21"/>
        </w:rPr>
        <w:t>to</w:t>
      </w:r>
      <w:r>
        <w:rPr>
          <w:spacing w:val="-4"/>
          <w:w w:val="105"/>
          <w:sz w:val="21"/>
        </w:rPr>
        <w:t> </w:t>
      </w:r>
      <w:r>
        <w:rPr>
          <w:w w:val="105"/>
          <w:sz w:val="21"/>
        </w:rPr>
        <w:t>be</w:t>
      </w:r>
      <w:r>
        <w:rPr>
          <w:spacing w:val="-4"/>
          <w:w w:val="105"/>
          <w:sz w:val="21"/>
        </w:rPr>
        <w:t> </w:t>
      </w:r>
      <w:r>
        <w:rPr>
          <w:spacing w:val="-3"/>
          <w:w w:val="105"/>
          <w:sz w:val="21"/>
        </w:rPr>
        <w:t>considered.</w:t>
      </w:r>
    </w:p>
    <w:p>
      <w:pPr>
        <w:pStyle w:val="BodyText"/>
        <w:rPr>
          <w:sz w:val="20"/>
        </w:rPr>
      </w:pPr>
    </w:p>
    <w:p>
      <w:pPr>
        <w:pStyle w:val="BodyText"/>
        <w:spacing w:before="9"/>
        <w:rPr>
          <w:sz w:val="26"/>
        </w:rPr>
      </w:pPr>
      <w:r>
        <w:rPr/>
        <w:pict>
          <v:line style="position:absolute;mso-position-horizontal-relative:page;mso-position-vertical-relative:paragraph;z-index:10640;mso-wrap-distance-left:0;mso-wrap-distance-right:0" from="79.370102pt,18.788643pt" to="515.905102pt,18.78864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89"/>
        </w:numPr>
        <w:tabs>
          <w:tab w:pos="2380" w:val="left" w:leader="none"/>
          <w:tab w:pos="2382" w:val="left" w:leader="none"/>
        </w:tabs>
        <w:spacing w:line="240" w:lineRule="auto" w:before="48" w:after="0"/>
        <w:ind w:left="2381" w:right="0" w:hanging="794"/>
        <w:jc w:val="left"/>
        <w:rPr>
          <w:sz w:val="13"/>
        </w:rPr>
      </w:pPr>
      <w:r>
        <w:rPr>
          <w:i/>
          <w:w w:val="105"/>
          <w:sz w:val="13"/>
        </w:rPr>
        <w:t>Catchment</w:t>
      </w:r>
      <w:r>
        <w:rPr>
          <w:i/>
          <w:spacing w:val="7"/>
          <w:w w:val="105"/>
          <w:sz w:val="13"/>
        </w:rPr>
        <w:t> </w:t>
      </w:r>
      <w:r>
        <w:rPr>
          <w:i/>
          <w:w w:val="105"/>
          <w:sz w:val="13"/>
        </w:rPr>
        <w:t>and</w:t>
      </w:r>
      <w:r>
        <w:rPr>
          <w:i/>
          <w:spacing w:val="8"/>
          <w:w w:val="105"/>
          <w:sz w:val="13"/>
        </w:rPr>
        <w:t> </w:t>
      </w:r>
      <w:r>
        <w:rPr>
          <w:i/>
          <w:w w:val="105"/>
          <w:sz w:val="13"/>
        </w:rPr>
        <w:t>Land</w:t>
      </w:r>
      <w:r>
        <w:rPr>
          <w:i/>
          <w:spacing w:val="7"/>
          <w:w w:val="105"/>
          <w:sz w:val="13"/>
        </w:rPr>
        <w:t> </w:t>
      </w:r>
      <w:r>
        <w:rPr>
          <w:i/>
          <w:w w:val="105"/>
          <w:sz w:val="13"/>
        </w:rPr>
        <w:t>Protection</w:t>
      </w:r>
      <w:r>
        <w:rPr>
          <w:i/>
          <w:spacing w:val="8"/>
          <w:w w:val="105"/>
          <w:sz w:val="13"/>
        </w:rPr>
        <w:t> </w:t>
      </w:r>
      <w:r>
        <w:rPr>
          <w:i/>
          <w:w w:val="105"/>
          <w:sz w:val="13"/>
        </w:rPr>
        <w:t>Act</w:t>
      </w:r>
      <w:r>
        <w:rPr>
          <w:i/>
          <w:spacing w:val="8"/>
          <w:w w:val="105"/>
          <w:sz w:val="13"/>
        </w:rPr>
        <w:t> </w:t>
      </w:r>
      <w:r>
        <w:rPr>
          <w:i/>
          <w:w w:val="105"/>
          <w:sz w:val="13"/>
        </w:rPr>
        <w:t>1994</w:t>
      </w:r>
      <w:r>
        <w:rPr>
          <w:i/>
          <w:spacing w:val="7"/>
          <w:w w:val="105"/>
          <w:sz w:val="13"/>
        </w:rPr>
        <w:t> </w:t>
      </w:r>
      <w:r>
        <w:rPr>
          <w:spacing w:val="2"/>
          <w:w w:val="105"/>
          <w:sz w:val="13"/>
        </w:rPr>
        <w:t>(Vic)</w:t>
      </w:r>
      <w:r>
        <w:rPr>
          <w:spacing w:val="8"/>
          <w:w w:val="105"/>
          <w:sz w:val="13"/>
        </w:rPr>
        <w:t> </w:t>
      </w:r>
      <w:r>
        <w:rPr>
          <w:w w:val="105"/>
          <w:sz w:val="13"/>
        </w:rPr>
        <w:t>ss</w:t>
      </w:r>
      <w:r>
        <w:rPr>
          <w:spacing w:val="7"/>
          <w:w w:val="105"/>
          <w:sz w:val="13"/>
        </w:rPr>
        <w:t> </w:t>
      </w:r>
      <w:r>
        <w:rPr>
          <w:w w:val="105"/>
          <w:sz w:val="13"/>
        </w:rPr>
        <w:t>58,</w:t>
      </w:r>
      <w:r>
        <w:rPr>
          <w:spacing w:val="8"/>
          <w:w w:val="105"/>
          <w:sz w:val="13"/>
        </w:rPr>
        <w:t> </w:t>
      </w:r>
      <w:r>
        <w:rPr>
          <w:spacing w:val="2"/>
          <w:w w:val="105"/>
          <w:sz w:val="13"/>
        </w:rPr>
        <w:t>58A.</w:t>
      </w:r>
      <w:r>
        <w:rPr>
          <w:spacing w:val="8"/>
          <w:w w:val="105"/>
          <w:sz w:val="13"/>
        </w:rPr>
        <w:t> </w:t>
      </w:r>
      <w:r>
        <w:rPr>
          <w:w w:val="105"/>
          <w:sz w:val="13"/>
        </w:rPr>
        <w:t>This</w:t>
      </w:r>
      <w:r>
        <w:rPr>
          <w:spacing w:val="7"/>
          <w:w w:val="105"/>
          <w:sz w:val="13"/>
        </w:rPr>
        <w:t> </w:t>
      </w:r>
      <w:r>
        <w:rPr>
          <w:w w:val="105"/>
          <w:sz w:val="13"/>
        </w:rPr>
        <w:t>exemption</w:t>
      </w:r>
      <w:r>
        <w:rPr>
          <w:spacing w:val="8"/>
          <w:w w:val="105"/>
          <w:sz w:val="13"/>
        </w:rPr>
        <w:t> </w:t>
      </w:r>
      <w:r>
        <w:rPr>
          <w:w w:val="105"/>
          <w:sz w:val="13"/>
        </w:rPr>
        <w:t>does</w:t>
      </w:r>
      <w:r>
        <w:rPr>
          <w:spacing w:val="8"/>
          <w:w w:val="105"/>
          <w:sz w:val="13"/>
        </w:rPr>
        <w:t> </w:t>
      </w:r>
      <w:r>
        <w:rPr>
          <w:w w:val="105"/>
          <w:sz w:val="13"/>
        </w:rPr>
        <w:t>not</w:t>
      </w:r>
      <w:r>
        <w:rPr>
          <w:spacing w:val="7"/>
          <w:w w:val="105"/>
          <w:sz w:val="13"/>
        </w:rPr>
        <w:t> </w:t>
      </w:r>
      <w:r>
        <w:rPr>
          <w:w w:val="105"/>
          <w:sz w:val="13"/>
        </w:rPr>
        <w:t>apply</w:t>
      </w:r>
      <w:r>
        <w:rPr>
          <w:spacing w:val="8"/>
          <w:w w:val="105"/>
          <w:sz w:val="13"/>
        </w:rPr>
        <w:t> </w:t>
      </w:r>
      <w:r>
        <w:rPr>
          <w:w w:val="105"/>
          <w:sz w:val="13"/>
        </w:rPr>
        <w:t>to</w:t>
      </w:r>
      <w:r>
        <w:rPr>
          <w:spacing w:val="7"/>
          <w:w w:val="105"/>
          <w:sz w:val="13"/>
        </w:rPr>
        <w:t> </w:t>
      </w:r>
      <w:r>
        <w:rPr>
          <w:w w:val="105"/>
          <w:sz w:val="13"/>
        </w:rPr>
        <w:t>Australian</w:t>
      </w:r>
      <w:r>
        <w:rPr>
          <w:spacing w:val="8"/>
          <w:w w:val="105"/>
          <w:sz w:val="13"/>
        </w:rPr>
        <w:t> </w:t>
      </w:r>
      <w:r>
        <w:rPr>
          <w:w w:val="105"/>
          <w:sz w:val="13"/>
        </w:rPr>
        <w:t>Dodder</w:t>
      </w:r>
      <w:r>
        <w:rPr>
          <w:spacing w:val="8"/>
          <w:w w:val="105"/>
          <w:sz w:val="13"/>
        </w:rPr>
        <w:t> </w:t>
      </w:r>
      <w:r>
        <w:rPr>
          <w:w w:val="105"/>
          <w:sz w:val="13"/>
        </w:rPr>
        <w:t>(Cuscuta</w:t>
      </w:r>
      <w:r>
        <w:rPr>
          <w:spacing w:val="7"/>
          <w:w w:val="105"/>
          <w:sz w:val="13"/>
        </w:rPr>
        <w:t> </w:t>
      </w:r>
      <w:r>
        <w:rPr>
          <w:w w:val="105"/>
          <w:sz w:val="13"/>
        </w:rPr>
        <w:t>australis).</w:t>
      </w:r>
    </w:p>
    <w:p>
      <w:pPr>
        <w:pStyle w:val="ListParagraph"/>
        <w:numPr>
          <w:ilvl w:val="0"/>
          <w:numId w:val="189"/>
        </w:numPr>
        <w:tabs>
          <w:tab w:pos="2381" w:val="left" w:leader="none"/>
          <w:tab w:pos="2382" w:val="left" w:leader="none"/>
        </w:tabs>
        <w:spacing w:line="240" w:lineRule="auto" w:before="1" w:after="0"/>
        <w:ind w:left="2381" w:right="0" w:hanging="794"/>
        <w:jc w:val="left"/>
        <w:rPr>
          <w:sz w:val="13"/>
        </w:rPr>
      </w:pPr>
      <w:r>
        <w:rPr>
          <w:w w:val="105"/>
          <w:sz w:val="13"/>
        </w:rPr>
        <w:t>Department</w:t>
      </w:r>
      <w:r>
        <w:rPr>
          <w:spacing w:val="8"/>
          <w:w w:val="105"/>
          <w:sz w:val="13"/>
        </w:rPr>
        <w:t> </w:t>
      </w:r>
      <w:r>
        <w:rPr>
          <w:w w:val="105"/>
          <w:sz w:val="13"/>
        </w:rPr>
        <w:t>of</w:t>
      </w:r>
      <w:r>
        <w:rPr>
          <w:spacing w:val="9"/>
          <w:w w:val="105"/>
          <w:sz w:val="13"/>
        </w:rPr>
        <w:t> </w:t>
      </w:r>
      <w:r>
        <w:rPr>
          <w:w w:val="105"/>
          <w:sz w:val="13"/>
        </w:rPr>
        <w:t>Environment,</w:t>
      </w:r>
      <w:r>
        <w:rPr>
          <w:spacing w:val="8"/>
          <w:w w:val="105"/>
          <w:sz w:val="13"/>
        </w:rPr>
        <w:t> </w:t>
      </w:r>
      <w:r>
        <w:rPr>
          <w:w w:val="105"/>
          <w:sz w:val="13"/>
        </w:rPr>
        <w:t>Land,</w:t>
      </w:r>
      <w:r>
        <w:rPr>
          <w:spacing w:val="9"/>
          <w:w w:val="105"/>
          <w:sz w:val="13"/>
        </w:rPr>
        <w:t> </w:t>
      </w:r>
      <w:r>
        <w:rPr>
          <w:w w:val="105"/>
          <w:sz w:val="13"/>
        </w:rPr>
        <w:t>Water</w:t>
      </w:r>
      <w:r>
        <w:rPr>
          <w:spacing w:val="9"/>
          <w:w w:val="105"/>
          <w:sz w:val="13"/>
        </w:rPr>
        <w:t> </w:t>
      </w:r>
      <w:r>
        <w:rPr>
          <w:w w:val="105"/>
          <w:sz w:val="13"/>
        </w:rPr>
        <w:t>and</w:t>
      </w:r>
      <w:r>
        <w:rPr>
          <w:spacing w:val="8"/>
          <w:w w:val="105"/>
          <w:sz w:val="13"/>
        </w:rPr>
        <w:t> </w:t>
      </w:r>
      <w:r>
        <w:rPr>
          <w:w w:val="105"/>
          <w:sz w:val="13"/>
        </w:rPr>
        <w:t>Planning</w:t>
      </w:r>
      <w:r>
        <w:rPr>
          <w:spacing w:val="9"/>
          <w:w w:val="105"/>
          <w:sz w:val="13"/>
        </w:rPr>
        <w:t> </w:t>
      </w:r>
      <w:r>
        <w:rPr>
          <w:spacing w:val="2"/>
          <w:w w:val="105"/>
          <w:sz w:val="13"/>
        </w:rPr>
        <w:t>(Vic),</w:t>
      </w:r>
      <w:r>
        <w:rPr>
          <w:spacing w:val="9"/>
          <w:w w:val="105"/>
          <w:sz w:val="13"/>
        </w:rPr>
        <w:t> </w:t>
      </w:r>
      <w:r>
        <w:rPr>
          <w:i/>
          <w:w w:val="105"/>
          <w:sz w:val="13"/>
        </w:rPr>
        <w:t>Victoria</w:t>
      </w:r>
      <w:r>
        <w:rPr>
          <w:i/>
          <w:spacing w:val="8"/>
          <w:w w:val="105"/>
          <w:sz w:val="13"/>
        </w:rPr>
        <w:t> </w:t>
      </w:r>
      <w:r>
        <w:rPr>
          <w:i/>
          <w:w w:val="105"/>
          <w:sz w:val="13"/>
        </w:rPr>
        <w:t>Planning</w:t>
      </w:r>
      <w:r>
        <w:rPr>
          <w:i/>
          <w:spacing w:val="9"/>
          <w:w w:val="105"/>
          <w:sz w:val="13"/>
        </w:rPr>
        <w:t> </w:t>
      </w:r>
      <w:r>
        <w:rPr>
          <w:i/>
          <w:w w:val="105"/>
          <w:sz w:val="13"/>
        </w:rPr>
        <w:t>Provisions</w:t>
      </w:r>
      <w:r>
        <w:rPr>
          <w:i/>
          <w:spacing w:val="8"/>
          <w:w w:val="105"/>
          <w:sz w:val="13"/>
        </w:rPr>
        <w:t> </w:t>
      </w:r>
      <w:r>
        <w:rPr>
          <w:spacing w:val="-5"/>
          <w:w w:val="105"/>
          <w:sz w:val="13"/>
        </w:rPr>
        <w:t>(11</w:t>
      </w:r>
      <w:r>
        <w:rPr>
          <w:spacing w:val="9"/>
          <w:w w:val="105"/>
          <w:sz w:val="13"/>
        </w:rPr>
        <w:t> </w:t>
      </w:r>
      <w:r>
        <w:rPr>
          <w:w w:val="105"/>
          <w:sz w:val="13"/>
        </w:rPr>
        <w:t>April</w:t>
      </w:r>
      <w:r>
        <w:rPr>
          <w:spacing w:val="9"/>
          <w:w w:val="105"/>
          <w:sz w:val="13"/>
        </w:rPr>
        <w:t> </w:t>
      </w:r>
      <w:r>
        <w:rPr>
          <w:w w:val="105"/>
          <w:sz w:val="13"/>
        </w:rPr>
        <w:t>2019),</w:t>
      </w:r>
      <w:r>
        <w:rPr>
          <w:spacing w:val="8"/>
          <w:w w:val="105"/>
          <w:sz w:val="13"/>
        </w:rPr>
        <w:t> </w:t>
      </w:r>
      <w:r>
        <w:rPr>
          <w:w w:val="105"/>
          <w:sz w:val="13"/>
        </w:rPr>
        <w:t>cl</w:t>
      </w:r>
      <w:r>
        <w:rPr>
          <w:spacing w:val="9"/>
          <w:w w:val="105"/>
          <w:sz w:val="13"/>
        </w:rPr>
        <w:t> </w:t>
      </w:r>
      <w:r>
        <w:rPr>
          <w:w w:val="105"/>
          <w:sz w:val="13"/>
        </w:rPr>
        <w:t>42.01-3,</w:t>
      </w:r>
      <w:r>
        <w:rPr>
          <w:spacing w:val="9"/>
          <w:w w:val="105"/>
          <w:sz w:val="13"/>
        </w:rPr>
        <w:t> </w:t>
      </w:r>
      <w:r>
        <w:rPr>
          <w:w w:val="105"/>
          <w:sz w:val="13"/>
        </w:rPr>
        <w:t>42.02-3,</w:t>
      </w:r>
      <w:r>
        <w:rPr>
          <w:spacing w:val="8"/>
          <w:w w:val="105"/>
          <w:sz w:val="13"/>
        </w:rPr>
        <w:t> </w:t>
      </w:r>
      <w:r>
        <w:rPr>
          <w:w w:val="105"/>
          <w:sz w:val="13"/>
        </w:rPr>
        <w:t>42.03-3.</w:t>
      </w:r>
    </w:p>
    <w:p>
      <w:pPr>
        <w:pStyle w:val="ListParagraph"/>
        <w:numPr>
          <w:ilvl w:val="0"/>
          <w:numId w:val="189"/>
        </w:numPr>
        <w:tabs>
          <w:tab w:pos="2381" w:val="left" w:leader="none"/>
          <w:tab w:pos="2382" w:val="left" w:leader="none"/>
        </w:tabs>
        <w:spacing w:line="240" w:lineRule="auto" w:before="2" w:after="0"/>
        <w:ind w:left="1587" w:right="1230" w:firstLine="0"/>
        <w:jc w:val="left"/>
        <w:rPr>
          <w:sz w:val="13"/>
        </w:rPr>
      </w:pPr>
      <w:r>
        <w:rPr>
          <w:sz w:val="13"/>
        </w:rPr>
        <w:t>These trees must have a trunk diameter of less than 20 centimetres at a height of 1.3 metres above ground level.        </w:t>
      </w:r>
      <w:r>
        <w:rPr>
          <w:spacing w:val="2"/>
          <w:sz w:val="13"/>
        </w:rPr>
        <w:t>348</w:t>
        <w:tab/>
      </w:r>
      <w:r>
        <w:rPr>
          <w:sz w:val="13"/>
        </w:rPr>
        <w:t>Ibid, cl</w:t>
      </w:r>
      <w:r>
        <w:rPr>
          <w:spacing w:val="12"/>
          <w:sz w:val="13"/>
        </w:rPr>
        <w:t> </w:t>
      </w:r>
      <w:r>
        <w:rPr>
          <w:spacing w:val="-5"/>
          <w:sz w:val="13"/>
        </w:rPr>
        <w:t>52.17-7.</w:t>
      </w:r>
    </w:p>
    <w:p>
      <w:pPr>
        <w:tabs>
          <w:tab w:pos="2381" w:val="left" w:leader="none"/>
        </w:tabs>
        <w:spacing w:before="2"/>
        <w:ind w:left="2381" w:right="113" w:hanging="794"/>
        <w:jc w:val="left"/>
        <w:rPr>
          <w:sz w:val="13"/>
        </w:rPr>
      </w:pPr>
      <w:r>
        <w:rPr>
          <w:w w:val="105"/>
          <w:sz w:val="13"/>
        </w:rPr>
        <w:t>349</w:t>
        <w:tab/>
        <w:t>Supplementary Consultation 1 (Victorian Civil and Administrative Tribunal); see also Stephen Rowley, </w:t>
      </w:r>
      <w:r>
        <w:rPr>
          <w:i/>
          <w:w w:val="105"/>
          <w:sz w:val="13"/>
        </w:rPr>
        <w:t>The Victorian Planning System: </w:t>
      </w:r>
      <w:r>
        <w:rPr>
          <w:i/>
          <w:w w:val="105"/>
          <w:sz w:val="13"/>
        </w:rPr>
        <w:t>Practice, Problems and Prospects </w:t>
      </w:r>
      <w:r>
        <w:rPr>
          <w:spacing w:val="2"/>
          <w:w w:val="105"/>
          <w:sz w:val="13"/>
        </w:rPr>
        <w:t>(The </w:t>
      </w:r>
      <w:r>
        <w:rPr>
          <w:w w:val="105"/>
          <w:sz w:val="13"/>
        </w:rPr>
        <w:t>Federation Press, 2017)</w:t>
      </w:r>
      <w:r>
        <w:rPr>
          <w:spacing w:val="3"/>
          <w:w w:val="105"/>
          <w:sz w:val="13"/>
        </w:rPr>
        <w:t> </w:t>
      </w:r>
      <w:r>
        <w:rPr>
          <w:w w:val="105"/>
          <w:sz w:val="13"/>
        </w:rPr>
        <w:t>238.</w:t>
      </w:r>
    </w:p>
    <w:p>
      <w:pPr>
        <w:pStyle w:val="BodyText"/>
        <w:rPr>
          <w:sz w:val="28"/>
        </w:rPr>
      </w:pPr>
      <w:r>
        <w:rPr/>
        <w:br w:type="column"/>
      </w:r>
      <w:r>
        <w:rPr>
          <w:sz w:val="28"/>
        </w:rPr>
      </w:r>
    </w:p>
    <w:p>
      <w:pPr>
        <w:pStyle w:val="BodyText"/>
        <w:spacing w:before="11"/>
        <w:rPr>
          <w:sz w:val="32"/>
        </w:rPr>
      </w:pPr>
    </w:p>
    <w:p>
      <w:pPr>
        <w:spacing w:before="0"/>
        <w:ind w:left="880" w:right="0" w:firstLine="0"/>
        <w:jc w:val="left"/>
        <w:rPr>
          <w:b/>
          <w:sz w:val="24"/>
        </w:rPr>
      </w:pPr>
      <w:r>
        <w:rPr>
          <w:b/>
          <w:color w:val="658464"/>
          <w:w w:val="110"/>
          <w:sz w:val="24"/>
        </w:rPr>
        <w:t>257</w:t>
      </w:r>
    </w:p>
    <w:p>
      <w:pPr>
        <w:spacing w:after="0"/>
        <w:jc w:val="left"/>
        <w:rPr>
          <w:sz w:val="24"/>
        </w:rPr>
        <w:sectPr>
          <w:type w:val="continuous"/>
          <w:pgSz w:w="11910" w:h="16840"/>
          <w:pgMar w:top="300" w:bottom="280" w:left="0" w:right="0"/>
          <w:cols w:num="2" w:equalWidth="0">
            <w:col w:w="9994" w:space="40"/>
            <w:col w:w="1876"/>
          </w:cols>
        </w:sectPr>
      </w:pPr>
    </w:p>
    <w:p>
      <w:pPr>
        <w:pStyle w:val="BodyText"/>
        <w:spacing w:before="9"/>
        <w:rPr>
          <w:b/>
          <w:sz w:val="22"/>
        </w:rPr>
      </w:pPr>
    </w:p>
    <w:p>
      <w:pPr>
        <w:pStyle w:val="ListParagraph"/>
        <w:numPr>
          <w:ilvl w:val="0"/>
          <w:numId w:val="173"/>
        </w:numPr>
        <w:tabs>
          <w:tab w:pos="2382" w:val="left" w:leader="none"/>
        </w:tabs>
        <w:spacing w:line="242" w:lineRule="auto" w:before="92" w:after="0"/>
        <w:ind w:left="2381" w:right="1754" w:hanging="794"/>
        <w:jc w:val="left"/>
        <w:rPr>
          <w:sz w:val="21"/>
        </w:rPr>
      </w:pPr>
      <w:r>
        <w:rPr>
          <w:w w:val="105"/>
          <w:sz w:val="21"/>
        </w:rPr>
        <w:t>Given the </w:t>
      </w:r>
      <w:r>
        <w:rPr>
          <w:spacing w:val="-3"/>
          <w:w w:val="105"/>
          <w:sz w:val="21"/>
        </w:rPr>
        <w:t>unique, </w:t>
      </w:r>
      <w:r>
        <w:rPr>
          <w:w w:val="105"/>
          <w:sz w:val="21"/>
        </w:rPr>
        <w:t>varied and complex </w:t>
      </w:r>
      <w:r>
        <w:rPr>
          <w:spacing w:val="-3"/>
          <w:w w:val="105"/>
          <w:sz w:val="21"/>
        </w:rPr>
        <w:t>nature </w:t>
      </w:r>
      <w:r>
        <w:rPr>
          <w:w w:val="105"/>
          <w:sz w:val="21"/>
        </w:rPr>
        <w:t>of conservation </w:t>
      </w:r>
      <w:r>
        <w:rPr>
          <w:spacing w:val="-3"/>
          <w:w w:val="105"/>
          <w:sz w:val="21"/>
        </w:rPr>
        <w:t>covenants Government </w:t>
      </w:r>
      <w:r>
        <w:rPr>
          <w:w w:val="105"/>
          <w:sz w:val="21"/>
        </w:rPr>
        <w:t>should </w:t>
      </w:r>
      <w:r>
        <w:rPr>
          <w:spacing w:val="-3"/>
          <w:w w:val="105"/>
          <w:sz w:val="21"/>
        </w:rPr>
        <w:t>consult </w:t>
      </w:r>
      <w:r>
        <w:rPr>
          <w:w w:val="105"/>
          <w:sz w:val="21"/>
        </w:rPr>
        <w:t>more broadly with the </w:t>
      </w:r>
      <w:r>
        <w:rPr>
          <w:spacing w:val="-4"/>
          <w:w w:val="105"/>
          <w:sz w:val="21"/>
        </w:rPr>
        <w:t>Trust </w:t>
      </w:r>
      <w:r>
        <w:rPr>
          <w:spacing w:val="-3"/>
          <w:w w:val="105"/>
          <w:sz w:val="21"/>
        </w:rPr>
        <w:t>for Nature </w:t>
      </w:r>
      <w:r>
        <w:rPr>
          <w:w w:val="105"/>
          <w:sz w:val="21"/>
        </w:rPr>
        <w:t>as </w:t>
      </w:r>
      <w:r>
        <w:rPr>
          <w:spacing w:val="-3"/>
          <w:w w:val="105"/>
          <w:sz w:val="21"/>
        </w:rPr>
        <w:t>well </w:t>
      </w:r>
      <w:r>
        <w:rPr>
          <w:w w:val="105"/>
          <w:sz w:val="21"/>
        </w:rPr>
        <w:t>as landowners subject </w:t>
      </w:r>
      <w:r>
        <w:rPr>
          <w:spacing w:val="-3"/>
          <w:w w:val="105"/>
          <w:sz w:val="21"/>
        </w:rPr>
        <w:t>to </w:t>
      </w:r>
      <w:r>
        <w:rPr>
          <w:w w:val="105"/>
          <w:sz w:val="21"/>
        </w:rPr>
        <w:t>these</w:t>
      </w:r>
      <w:r>
        <w:rPr>
          <w:spacing w:val="-10"/>
          <w:w w:val="105"/>
          <w:sz w:val="21"/>
        </w:rPr>
        <w:t> </w:t>
      </w:r>
      <w:r>
        <w:rPr>
          <w:w w:val="105"/>
          <w:sz w:val="21"/>
        </w:rPr>
        <w:t>agreements</w:t>
      </w:r>
      <w:r>
        <w:rPr>
          <w:spacing w:val="-10"/>
          <w:w w:val="105"/>
          <w:sz w:val="21"/>
        </w:rPr>
        <w:t> </w:t>
      </w:r>
      <w:r>
        <w:rPr>
          <w:spacing w:val="-3"/>
          <w:w w:val="105"/>
          <w:sz w:val="21"/>
        </w:rPr>
        <w:t>to</w:t>
      </w:r>
      <w:r>
        <w:rPr>
          <w:spacing w:val="-10"/>
          <w:w w:val="105"/>
          <w:sz w:val="21"/>
        </w:rPr>
        <w:t> </w:t>
      </w:r>
      <w:r>
        <w:rPr>
          <w:spacing w:val="-3"/>
          <w:w w:val="105"/>
          <w:sz w:val="21"/>
        </w:rPr>
        <w:t>determine</w:t>
      </w:r>
      <w:r>
        <w:rPr>
          <w:spacing w:val="-10"/>
          <w:w w:val="105"/>
          <w:sz w:val="21"/>
        </w:rPr>
        <w:t> </w:t>
      </w:r>
      <w:r>
        <w:rPr>
          <w:w w:val="105"/>
          <w:sz w:val="21"/>
        </w:rPr>
        <w:t>the</w:t>
      </w:r>
      <w:r>
        <w:rPr>
          <w:spacing w:val="-9"/>
          <w:w w:val="105"/>
          <w:sz w:val="21"/>
        </w:rPr>
        <w:t> </w:t>
      </w:r>
      <w:r>
        <w:rPr>
          <w:w w:val="105"/>
          <w:sz w:val="21"/>
        </w:rPr>
        <w:t>practical</w:t>
      </w:r>
      <w:r>
        <w:rPr>
          <w:spacing w:val="-10"/>
          <w:w w:val="105"/>
          <w:sz w:val="21"/>
        </w:rPr>
        <w:t> </w:t>
      </w:r>
      <w:r>
        <w:rPr>
          <w:w w:val="105"/>
          <w:sz w:val="21"/>
        </w:rPr>
        <w:t>effect</w:t>
      </w:r>
      <w:r>
        <w:rPr>
          <w:spacing w:val="-10"/>
          <w:w w:val="105"/>
          <w:sz w:val="21"/>
        </w:rPr>
        <w:t> </w:t>
      </w:r>
      <w:r>
        <w:rPr>
          <w:w w:val="105"/>
          <w:sz w:val="21"/>
        </w:rPr>
        <w:t>of</w:t>
      </w:r>
      <w:r>
        <w:rPr>
          <w:spacing w:val="-10"/>
          <w:w w:val="105"/>
          <w:sz w:val="21"/>
        </w:rPr>
        <w:t> </w:t>
      </w:r>
      <w:r>
        <w:rPr>
          <w:w w:val="105"/>
          <w:sz w:val="21"/>
        </w:rPr>
        <w:t>these</w:t>
      </w:r>
      <w:r>
        <w:rPr>
          <w:spacing w:val="-10"/>
          <w:w w:val="105"/>
          <w:sz w:val="21"/>
        </w:rPr>
        <w:t> </w:t>
      </w:r>
      <w:r>
        <w:rPr>
          <w:spacing w:val="-3"/>
          <w:w w:val="105"/>
          <w:sz w:val="21"/>
        </w:rPr>
        <w:t>covenants</w:t>
      </w:r>
      <w:r>
        <w:rPr>
          <w:spacing w:val="-9"/>
          <w:w w:val="105"/>
          <w:sz w:val="21"/>
        </w:rPr>
        <w:t> </w:t>
      </w:r>
      <w:r>
        <w:rPr>
          <w:w w:val="105"/>
          <w:sz w:val="21"/>
        </w:rPr>
        <w:t>and</w:t>
      </w:r>
      <w:r>
        <w:rPr>
          <w:spacing w:val="-10"/>
          <w:w w:val="105"/>
          <w:sz w:val="21"/>
        </w:rPr>
        <w:t> </w:t>
      </w:r>
      <w:r>
        <w:rPr>
          <w:w w:val="105"/>
          <w:sz w:val="21"/>
        </w:rPr>
        <w:t>the</w:t>
      </w:r>
      <w:r>
        <w:rPr>
          <w:spacing w:val="-10"/>
          <w:w w:val="105"/>
          <w:sz w:val="21"/>
        </w:rPr>
        <w:t> </w:t>
      </w:r>
      <w:r>
        <w:rPr>
          <w:w w:val="105"/>
          <w:sz w:val="21"/>
        </w:rPr>
        <w:t>extent</w:t>
      </w:r>
      <w:r>
        <w:rPr>
          <w:spacing w:val="-10"/>
          <w:w w:val="105"/>
          <w:sz w:val="21"/>
        </w:rPr>
        <w:t> </w:t>
      </w:r>
      <w:r>
        <w:rPr>
          <w:spacing w:val="-3"/>
          <w:w w:val="105"/>
          <w:sz w:val="21"/>
        </w:rPr>
        <w:t>to </w:t>
      </w:r>
      <w:r>
        <w:rPr>
          <w:w w:val="105"/>
          <w:sz w:val="21"/>
        </w:rPr>
        <w:t>which</w:t>
      </w:r>
      <w:r>
        <w:rPr>
          <w:spacing w:val="-11"/>
          <w:w w:val="105"/>
          <w:sz w:val="21"/>
        </w:rPr>
        <w:t> </w:t>
      </w:r>
      <w:r>
        <w:rPr>
          <w:w w:val="105"/>
          <w:sz w:val="21"/>
        </w:rPr>
        <w:t>they</w:t>
      </w:r>
      <w:r>
        <w:rPr>
          <w:spacing w:val="-10"/>
          <w:w w:val="105"/>
          <w:sz w:val="21"/>
        </w:rPr>
        <w:t> </w:t>
      </w:r>
      <w:r>
        <w:rPr>
          <w:spacing w:val="-3"/>
          <w:w w:val="105"/>
          <w:sz w:val="21"/>
        </w:rPr>
        <w:t>may</w:t>
      </w:r>
      <w:r>
        <w:rPr>
          <w:spacing w:val="-10"/>
          <w:w w:val="105"/>
          <w:sz w:val="21"/>
        </w:rPr>
        <w:t> </w:t>
      </w:r>
      <w:r>
        <w:rPr>
          <w:w w:val="105"/>
          <w:sz w:val="21"/>
        </w:rPr>
        <w:t>intersect</w:t>
      </w:r>
      <w:r>
        <w:rPr>
          <w:spacing w:val="-11"/>
          <w:w w:val="105"/>
          <w:sz w:val="21"/>
        </w:rPr>
        <w:t> </w:t>
      </w:r>
      <w:r>
        <w:rPr>
          <w:w w:val="105"/>
          <w:sz w:val="21"/>
        </w:rPr>
        <w:t>with</w:t>
      </w:r>
      <w:r>
        <w:rPr>
          <w:spacing w:val="-10"/>
          <w:w w:val="105"/>
          <w:sz w:val="21"/>
        </w:rPr>
        <w:t> </w:t>
      </w:r>
      <w:r>
        <w:rPr>
          <w:w w:val="105"/>
          <w:sz w:val="21"/>
        </w:rPr>
        <w:t>the</w:t>
      </w:r>
      <w:r>
        <w:rPr>
          <w:spacing w:val="-10"/>
          <w:w w:val="105"/>
          <w:sz w:val="21"/>
        </w:rPr>
        <w:t> </w:t>
      </w:r>
      <w:r>
        <w:rPr>
          <w:w w:val="105"/>
          <w:sz w:val="21"/>
        </w:rPr>
        <w:t>resolution</w:t>
      </w:r>
      <w:r>
        <w:rPr>
          <w:spacing w:val="-11"/>
          <w:w w:val="105"/>
          <w:sz w:val="21"/>
        </w:rPr>
        <w:t> </w:t>
      </w:r>
      <w:r>
        <w:rPr>
          <w:w w:val="105"/>
          <w:sz w:val="21"/>
        </w:rPr>
        <w:t>of</w:t>
      </w:r>
      <w:r>
        <w:rPr>
          <w:spacing w:val="-10"/>
          <w:w w:val="105"/>
          <w:sz w:val="21"/>
        </w:rPr>
        <w:t> </w:t>
      </w:r>
      <w:r>
        <w:rPr>
          <w:w w:val="105"/>
          <w:sz w:val="21"/>
        </w:rPr>
        <w:t>neighbourhood</w:t>
      </w:r>
      <w:r>
        <w:rPr>
          <w:spacing w:val="-10"/>
          <w:w w:val="105"/>
          <w:sz w:val="21"/>
        </w:rPr>
        <w:t> </w:t>
      </w:r>
      <w:r>
        <w:rPr>
          <w:w w:val="105"/>
          <w:sz w:val="21"/>
        </w:rPr>
        <w:t>tree</w:t>
      </w:r>
      <w:r>
        <w:rPr>
          <w:spacing w:val="-10"/>
          <w:w w:val="105"/>
          <w:sz w:val="21"/>
        </w:rPr>
        <w:t> </w:t>
      </w:r>
      <w:r>
        <w:rPr>
          <w:spacing w:val="-3"/>
          <w:w w:val="105"/>
          <w:sz w:val="21"/>
        </w:rPr>
        <w:t>disputes</w:t>
      </w:r>
      <w:r>
        <w:rPr>
          <w:spacing w:val="-11"/>
          <w:w w:val="105"/>
          <w:sz w:val="21"/>
        </w:rPr>
        <w:t> </w:t>
      </w:r>
      <w:r>
        <w:rPr>
          <w:w w:val="105"/>
          <w:sz w:val="21"/>
        </w:rPr>
        <w:t>under</w:t>
      </w:r>
      <w:r>
        <w:rPr>
          <w:spacing w:val="-10"/>
          <w:w w:val="105"/>
          <w:sz w:val="21"/>
        </w:rPr>
        <w:t> </w:t>
      </w:r>
      <w:r>
        <w:rPr>
          <w:w w:val="105"/>
          <w:sz w:val="21"/>
        </w:rPr>
        <w:t>the new Act. It </w:t>
      </w:r>
      <w:r>
        <w:rPr>
          <w:spacing w:val="-3"/>
          <w:w w:val="105"/>
          <w:sz w:val="21"/>
        </w:rPr>
        <w:t>may </w:t>
      </w:r>
      <w:r>
        <w:rPr>
          <w:w w:val="105"/>
          <w:sz w:val="21"/>
        </w:rPr>
        <w:t>be necessary </w:t>
      </w:r>
      <w:r>
        <w:rPr>
          <w:spacing w:val="-3"/>
          <w:w w:val="105"/>
          <w:sz w:val="21"/>
        </w:rPr>
        <w:t>to consider </w:t>
      </w:r>
      <w:r>
        <w:rPr>
          <w:w w:val="105"/>
          <w:sz w:val="21"/>
        </w:rPr>
        <w:t>whether the </w:t>
      </w:r>
      <w:r>
        <w:rPr>
          <w:spacing w:val="-4"/>
          <w:w w:val="105"/>
          <w:sz w:val="21"/>
        </w:rPr>
        <w:t>Trust </w:t>
      </w:r>
      <w:r>
        <w:rPr>
          <w:w w:val="105"/>
          <w:sz w:val="21"/>
        </w:rPr>
        <w:t>would need </w:t>
      </w:r>
      <w:r>
        <w:rPr>
          <w:spacing w:val="-3"/>
          <w:w w:val="105"/>
          <w:sz w:val="21"/>
        </w:rPr>
        <w:t>to </w:t>
      </w:r>
      <w:r>
        <w:rPr>
          <w:w w:val="105"/>
          <w:sz w:val="21"/>
        </w:rPr>
        <w:t>be notified of </w:t>
      </w:r>
      <w:r>
        <w:rPr>
          <w:spacing w:val="-3"/>
          <w:w w:val="105"/>
          <w:sz w:val="21"/>
        </w:rPr>
        <w:t>any proceedings </w:t>
      </w:r>
      <w:r>
        <w:rPr>
          <w:w w:val="105"/>
          <w:sz w:val="21"/>
        </w:rPr>
        <w:t>under the new Act </w:t>
      </w:r>
      <w:r>
        <w:rPr>
          <w:spacing w:val="-3"/>
          <w:w w:val="105"/>
          <w:sz w:val="21"/>
        </w:rPr>
        <w:t>involving land that </w:t>
      </w:r>
      <w:r>
        <w:rPr>
          <w:w w:val="105"/>
          <w:sz w:val="21"/>
        </w:rPr>
        <w:t>is subject </w:t>
      </w:r>
      <w:r>
        <w:rPr>
          <w:spacing w:val="-3"/>
          <w:w w:val="105"/>
          <w:sz w:val="21"/>
        </w:rPr>
        <w:t>to </w:t>
      </w:r>
      <w:r>
        <w:rPr>
          <w:w w:val="105"/>
          <w:sz w:val="21"/>
        </w:rPr>
        <w:t>a </w:t>
      </w:r>
      <w:r>
        <w:rPr>
          <w:spacing w:val="-4"/>
          <w:w w:val="105"/>
          <w:sz w:val="21"/>
        </w:rPr>
        <w:t>Trust </w:t>
      </w:r>
      <w:r>
        <w:rPr>
          <w:spacing w:val="-3"/>
          <w:w w:val="105"/>
          <w:sz w:val="21"/>
        </w:rPr>
        <w:t>for Nature </w:t>
      </w:r>
      <w:r>
        <w:rPr>
          <w:spacing w:val="-4"/>
          <w:w w:val="105"/>
          <w:sz w:val="21"/>
        </w:rPr>
        <w:t>Covenant.</w:t>
      </w:r>
    </w:p>
    <w:p>
      <w:pPr>
        <w:pStyle w:val="Heading8"/>
        <w:spacing w:before="155"/>
        <w:rPr>
          <w:rFonts w:ascii="Calibri"/>
          <w:i w:val="0"/>
        </w:rPr>
      </w:pPr>
      <w:r>
        <w:rPr>
          <w:i/>
        </w:rPr>
        <w:t>Conservation, Forests and Lands Act 1987 </w:t>
      </w:r>
      <w:r>
        <w:rPr>
          <w:rFonts w:ascii="Calibri"/>
          <w:i w:val="0"/>
        </w:rPr>
        <w:t>(Vic)</w:t>
      </w:r>
    </w:p>
    <w:p>
      <w:pPr>
        <w:pStyle w:val="ListParagraph"/>
        <w:numPr>
          <w:ilvl w:val="0"/>
          <w:numId w:val="173"/>
        </w:numPr>
        <w:tabs>
          <w:tab w:pos="2381" w:val="left" w:leader="none"/>
        </w:tabs>
        <w:spacing w:line="242" w:lineRule="auto" w:before="142" w:after="0"/>
        <w:ind w:left="2381" w:right="1933" w:hanging="794"/>
        <w:jc w:val="left"/>
        <w:rPr>
          <w:sz w:val="21"/>
        </w:rPr>
      </w:pPr>
      <w:r>
        <w:rPr>
          <w:w w:val="105"/>
          <w:sz w:val="21"/>
        </w:rPr>
        <w:t>Land </w:t>
      </w:r>
      <w:r>
        <w:rPr>
          <w:spacing w:val="-3"/>
          <w:w w:val="105"/>
          <w:sz w:val="21"/>
        </w:rPr>
        <w:t>management </w:t>
      </w:r>
      <w:r>
        <w:rPr>
          <w:w w:val="105"/>
          <w:sz w:val="21"/>
        </w:rPr>
        <w:t>co-operative agreements made </w:t>
      </w:r>
      <w:r>
        <w:rPr>
          <w:spacing w:val="-3"/>
          <w:w w:val="105"/>
          <w:sz w:val="21"/>
        </w:rPr>
        <w:t>pursuant to </w:t>
      </w:r>
      <w:r>
        <w:rPr>
          <w:w w:val="105"/>
          <w:sz w:val="21"/>
        </w:rPr>
        <w:t>section </w:t>
      </w:r>
      <w:r>
        <w:rPr>
          <w:spacing w:val="-3"/>
          <w:w w:val="105"/>
          <w:sz w:val="21"/>
        </w:rPr>
        <w:t>69 </w:t>
      </w:r>
      <w:r>
        <w:rPr>
          <w:w w:val="105"/>
          <w:sz w:val="21"/>
        </w:rPr>
        <w:t>of the </w:t>
      </w:r>
      <w:r>
        <w:rPr>
          <w:i/>
          <w:spacing w:val="-3"/>
          <w:w w:val="105"/>
          <w:sz w:val="21"/>
        </w:rPr>
        <w:t>Conservation, </w:t>
      </w:r>
      <w:r>
        <w:rPr>
          <w:i/>
          <w:w w:val="105"/>
          <w:sz w:val="21"/>
        </w:rPr>
        <w:t>Forests and Lands Act </w:t>
      </w:r>
      <w:r>
        <w:rPr>
          <w:i/>
          <w:spacing w:val="-6"/>
          <w:w w:val="105"/>
          <w:sz w:val="21"/>
        </w:rPr>
        <w:t>1987 </w:t>
      </w:r>
      <w:r>
        <w:rPr>
          <w:w w:val="105"/>
          <w:sz w:val="21"/>
        </w:rPr>
        <w:t>(Vic) (the </w:t>
      </w:r>
      <w:r>
        <w:rPr>
          <w:spacing w:val="-3"/>
          <w:w w:val="105"/>
          <w:sz w:val="21"/>
        </w:rPr>
        <w:t>CFL </w:t>
      </w:r>
      <w:r>
        <w:rPr>
          <w:w w:val="105"/>
          <w:sz w:val="21"/>
        </w:rPr>
        <w:t>Act) </w:t>
      </w:r>
      <w:r>
        <w:rPr>
          <w:spacing w:val="-3"/>
          <w:w w:val="105"/>
          <w:sz w:val="21"/>
        </w:rPr>
        <w:t>are </w:t>
      </w:r>
      <w:r>
        <w:rPr>
          <w:w w:val="105"/>
          <w:sz w:val="21"/>
        </w:rPr>
        <w:t>complex vegetation conservation and protection </w:t>
      </w:r>
      <w:r>
        <w:rPr>
          <w:spacing w:val="-3"/>
          <w:w w:val="105"/>
          <w:sz w:val="21"/>
        </w:rPr>
        <w:t>management </w:t>
      </w:r>
      <w:r>
        <w:rPr>
          <w:w w:val="105"/>
          <w:sz w:val="21"/>
        </w:rPr>
        <w:t>arrangements </w:t>
      </w:r>
      <w:r>
        <w:rPr>
          <w:spacing w:val="-3"/>
          <w:w w:val="105"/>
          <w:sz w:val="21"/>
        </w:rPr>
        <w:t>that require </w:t>
      </w:r>
      <w:r>
        <w:rPr>
          <w:w w:val="105"/>
          <w:sz w:val="21"/>
        </w:rPr>
        <w:t>landowners </w:t>
      </w:r>
      <w:r>
        <w:rPr>
          <w:spacing w:val="-3"/>
          <w:w w:val="105"/>
          <w:sz w:val="21"/>
        </w:rPr>
        <w:t>to </w:t>
      </w:r>
      <w:r>
        <w:rPr>
          <w:w w:val="105"/>
          <w:sz w:val="21"/>
        </w:rPr>
        <w:t>protect</w:t>
      </w:r>
      <w:r>
        <w:rPr>
          <w:spacing w:val="-6"/>
          <w:w w:val="105"/>
          <w:sz w:val="21"/>
        </w:rPr>
        <w:t> </w:t>
      </w:r>
      <w:r>
        <w:rPr>
          <w:w w:val="105"/>
          <w:sz w:val="21"/>
        </w:rPr>
        <w:t>and</w:t>
      </w:r>
      <w:r>
        <w:rPr>
          <w:spacing w:val="-5"/>
          <w:w w:val="105"/>
          <w:sz w:val="21"/>
        </w:rPr>
        <w:t> </w:t>
      </w:r>
      <w:r>
        <w:rPr>
          <w:w w:val="105"/>
          <w:sz w:val="21"/>
        </w:rPr>
        <w:t>conserve</w:t>
      </w:r>
      <w:r>
        <w:rPr>
          <w:spacing w:val="-5"/>
          <w:w w:val="105"/>
          <w:sz w:val="21"/>
        </w:rPr>
        <w:t> </w:t>
      </w:r>
      <w:r>
        <w:rPr>
          <w:spacing w:val="-3"/>
          <w:w w:val="105"/>
          <w:sz w:val="21"/>
        </w:rPr>
        <w:t>land.</w:t>
      </w:r>
      <w:r>
        <w:rPr>
          <w:spacing w:val="-5"/>
          <w:w w:val="105"/>
          <w:sz w:val="21"/>
        </w:rPr>
        <w:t> </w:t>
      </w:r>
      <w:r>
        <w:rPr>
          <w:w w:val="105"/>
          <w:sz w:val="21"/>
        </w:rPr>
        <w:t>They</w:t>
      </w:r>
      <w:r>
        <w:rPr>
          <w:spacing w:val="-5"/>
          <w:w w:val="105"/>
          <w:sz w:val="21"/>
        </w:rPr>
        <w:t> </w:t>
      </w:r>
      <w:r>
        <w:rPr>
          <w:w w:val="105"/>
          <w:sz w:val="21"/>
        </w:rPr>
        <w:t>do</w:t>
      </w:r>
      <w:r>
        <w:rPr>
          <w:spacing w:val="-5"/>
          <w:w w:val="105"/>
          <w:sz w:val="21"/>
        </w:rPr>
        <w:t> </w:t>
      </w:r>
      <w:r>
        <w:rPr>
          <w:w w:val="105"/>
          <w:sz w:val="21"/>
        </w:rPr>
        <w:t>so</w:t>
      </w:r>
      <w:r>
        <w:rPr>
          <w:spacing w:val="-5"/>
          <w:w w:val="105"/>
          <w:sz w:val="21"/>
        </w:rPr>
        <w:t> </w:t>
      </w:r>
      <w:r>
        <w:rPr>
          <w:w w:val="105"/>
          <w:sz w:val="21"/>
        </w:rPr>
        <w:t>by</w:t>
      </w:r>
      <w:r>
        <w:rPr>
          <w:spacing w:val="-5"/>
          <w:w w:val="105"/>
          <w:sz w:val="21"/>
        </w:rPr>
        <w:t> </w:t>
      </w:r>
      <w:r>
        <w:rPr>
          <w:spacing w:val="-3"/>
          <w:w w:val="105"/>
          <w:sz w:val="21"/>
        </w:rPr>
        <w:t>enabling</w:t>
      </w:r>
      <w:r>
        <w:rPr>
          <w:spacing w:val="-5"/>
          <w:w w:val="105"/>
          <w:sz w:val="21"/>
        </w:rPr>
        <w:t> </w:t>
      </w:r>
      <w:r>
        <w:rPr>
          <w:w w:val="105"/>
          <w:sz w:val="21"/>
        </w:rPr>
        <w:t>the</w:t>
      </w:r>
      <w:r>
        <w:rPr>
          <w:spacing w:val="-6"/>
          <w:w w:val="105"/>
          <w:sz w:val="21"/>
        </w:rPr>
        <w:t> </w:t>
      </w:r>
      <w:r>
        <w:rPr>
          <w:spacing w:val="-3"/>
          <w:w w:val="105"/>
          <w:sz w:val="21"/>
        </w:rPr>
        <w:t>government</w:t>
      </w:r>
      <w:r>
        <w:rPr>
          <w:spacing w:val="-5"/>
          <w:w w:val="105"/>
          <w:sz w:val="21"/>
        </w:rPr>
        <w:t> </w:t>
      </w:r>
      <w:r>
        <w:rPr>
          <w:spacing w:val="-3"/>
          <w:w w:val="105"/>
          <w:sz w:val="21"/>
        </w:rPr>
        <w:t>to</w:t>
      </w:r>
      <w:r>
        <w:rPr>
          <w:spacing w:val="-5"/>
          <w:w w:val="105"/>
          <w:sz w:val="21"/>
        </w:rPr>
        <w:t> </w:t>
      </w:r>
      <w:r>
        <w:rPr>
          <w:spacing w:val="-2"/>
          <w:w w:val="105"/>
          <w:sz w:val="21"/>
        </w:rPr>
        <w:t>pay</w:t>
      </w:r>
      <w:r>
        <w:rPr>
          <w:spacing w:val="-5"/>
          <w:w w:val="105"/>
          <w:sz w:val="21"/>
        </w:rPr>
        <w:t> </w:t>
      </w:r>
      <w:r>
        <w:rPr>
          <w:w w:val="105"/>
          <w:sz w:val="21"/>
        </w:rPr>
        <w:t>landowners </w:t>
      </w:r>
      <w:r>
        <w:rPr>
          <w:spacing w:val="-3"/>
          <w:w w:val="105"/>
          <w:sz w:val="21"/>
        </w:rPr>
        <w:t>to </w:t>
      </w:r>
      <w:r>
        <w:rPr>
          <w:w w:val="105"/>
          <w:sz w:val="21"/>
        </w:rPr>
        <w:t>carry out </w:t>
      </w:r>
      <w:r>
        <w:rPr>
          <w:spacing w:val="-3"/>
          <w:w w:val="105"/>
          <w:sz w:val="21"/>
        </w:rPr>
        <w:t>land management </w:t>
      </w:r>
      <w:r>
        <w:rPr>
          <w:w w:val="105"/>
          <w:sz w:val="21"/>
        </w:rPr>
        <w:t>and conservation activities. Agreements vary in </w:t>
      </w:r>
      <w:r>
        <w:rPr>
          <w:spacing w:val="-3"/>
          <w:w w:val="105"/>
          <w:sz w:val="21"/>
        </w:rPr>
        <w:t>nature </w:t>
      </w:r>
      <w:r>
        <w:rPr>
          <w:w w:val="105"/>
          <w:sz w:val="21"/>
        </w:rPr>
        <w:t>depending on the </w:t>
      </w:r>
      <w:r>
        <w:rPr>
          <w:spacing w:val="-3"/>
          <w:w w:val="105"/>
          <w:sz w:val="21"/>
        </w:rPr>
        <w:t>environmental </w:t>
      </w:r>
      <w:r>
        <w:rPr>
          <w:w w:val="105"/>
          <w:sz w:val="21"/>
        </w:rPr>
        <w:t>matters </w:t>
      </w:r>
      <w:r>
        <w:rPr>
          <w:spacing w:val="-3"/>
          <w:w w:val="105"/>
          <w:sz w:val="21"/>
        </w:rPr>
        <w:t>that are</w:t>
      </w:r>
      <w:r>
        <w:rPr>
          <w:spacing w:val="25"/>
          <w:w w:val="105"/>
          <w:sz w:val="21"/>
        </w:rPr>
        <w:t> </w:t>
      </w:r>
      <w:r>
        <w:rPr>
          <w:w w:val="105"/>
          <w:sz w:val="21"/>
        </w:rPr>
        <w:t>protected.</w:t>
      </w:r>
    </w:p>
    <w:p>
      <w:pPr>
        <w:pStyle w:val="ListParagraph"/>
        <w:numPr>
          <w:ilvl w:val="0"/>
          <w:numId w:val="173"/>
        </w:numPr>
        <w:tabs>
          <w:tab w:pos="2381" w:val="left" w:leader="none"/>
        </w:tabs>
        <w:spacing w:line="242" w:lineRule="auto" w:before="127" w:after="0"/>
        <w:ind w:left="2380" w:right="1794" w:hanging="793"/>
        <w:jc w:val="left"/>
        <w:rPr>
          <w:sz w:val="21"/>
        </w:rPr>
      </w:pPr>
      <w:r>
        <w:rPr>
          <w:spacing w:val="-4"/>
          <w:w w:val="105"/>
          <w:sz w:val="21"/>
        </w:rPr>
        <w:t>At </w:t>
      </w:r>
      <w:r>
        <w:rPr>
          <w:w w:val="105"/>
          <w:sz w:val="21"/>
        </w:rPr>
        <w:t>this stage the </w:t>
      </w:r>
      <w:r>
        <w:rPr>
          <w:spacing w:val="-3"/>
          <w:w w:val="105"/>
          <w:sz w:val="21"/>
        </w:rPr>
        <w:t>Commission </w:t>
      </w:r>
      <w:r>
        <w:rPr>
          <w:w w:val="105"/>
          <w:sz w:val="21"/>
        </w:rPr>
        <w:t>does </w:t>
      </w:r>
      <w:r>
        <w:rPr>
          <w:spacing w:val="-2"/>
          <w:w w:val="105"/>
          <w:sz w:val="21"/>
        </w:rPr>
        <w:t>not </w:t>
      </w:r>
      <w:r>
        <w:rPr>
          <w:spacing w:val="-3"/>
          <w:w w:val="105"/>
          <w:sz w:val="21"/>
        </w:rPr>
        <w:t>think </w:t>
      </w:r>
      <w:r>
        <w:rPr>
          <w:w w:val="105"/>
          <w:sz w:val="21"/>
        </w:rPr>
        <w:t>it would be </w:t>
      </w:r>
      <w:r>
        <w:rPr>
          <w:spacing w:val="-3"/>
          <w:w w:val="105"/>
          <w:sz w:val="21"/>
        </w:rPr>
        <w:t>appropriate for </w:t>
      </w:r>
      <w:r>
        <w:rPr>
          <w:w w:val="105"/>
          <w:sz w:val="21"/>
        </w:rPr>
        <w:t>the new Act </w:t>
      </w:r>
      <w:r>
        <w:rPr>
          <w:spacing w:val="-3"/>
          <w:w w:val="105"/>
          <w:sz w:val="21"/>
        </w:rPr>
        <w:t>to limit </w:t>
      </w:r>
      <w:r>
        <w:rPr>
          <w:w w:val="105"/>
          <w:sz w:val="21"/>
        </w:rPr>
        <w:t>the operation of section </w:t>
      </w:r>
      <w:r>
        <w:rPr>
          <w:spacing w:val="-3"/>
          <w:w w:val="105"/>
          <w:sz w:val="21"/>
        </w:rPr>
        <w:t>69 </w:t>
      </w:r>
      <w:r>
        <w:rPr>
          <w:w w:val="105"/>
          <w:sz w:val="21"/>
        </w:rPr>
        <w:t>agreements under the </w:t>
      </w:r>
      <w:r>
        <w:rPr>
          <w:spacing w:val="-3"/>
          <w:w w:val="105"/>
          <w:sz w:val="21"/>
        </w:rPr>
        <w:t>CFL </w:t>
      </w:r>
      <w:r>
        <w:rPr>
          <w:w w:val="105"/>
          <w:sz w:val="21"/>
        </w:rPr>
        <w:t>Act. This is in </w:t>
      </w:r>
      <w:r>
        <w:rPr>
          <w:spacing w:val="-3"/>
          <w:w w:val="105"/>
          <w:sz w:val="21"/>
        </w:rPr>
        <w:t>keeping </w:t>
      </w:r>
      <w:r>
        <w:rPr>
          <w:w w:val="105"/>
          <w:sz w:val="21"/>
        </w:rPr>
        <w:t>with the </w:t>
      </w:r>
      <w:r>
        <w:rPr>
          <w:spacing w:val="-4"/>
          <w:w w:val="105"/>
          <w:sz w:val="21"/>
        </w:rPr>
        <w:t>Commission’s </w:t>
      </w:r>
      <w:r>
        <w:rPr>
          <w:w w:val="105"/>
          <w:sz w:val="21"/>
        </w:rPr>
        <w:t>approach </w:t>
      </w:r>
      <w:r>
        <w:rPr>
          <w:spacing w:val="-3"/>
          <w:w w:val="105"/>
          <w:sz w:val="21"/>
        </w:rPr>
        <w:t>to </w:t>
      </w:r>
      <w:r>
        <w:rPr>
          <w:spacing w:val="-4"/>
          <w:w w:val="105"/>
          <w:sz w:val="21"/>
        </w:rPr>
        <w:t>Trust </w:t>
      </w:r>
      <w:r>
        <w:rPr>
          <w:spacing w:val="-3"/>
          <w:w w:val="105"/>
          <w:sz w:val="21"/>
        </w:rPr>
        <w:t>for Nature Covenants </w:t>
      </w:r>
      <w:r>
        <w:rPr>
          <w:w w:val="105"/>
          <w:sz w:val="21"/>
        </w:rPr>
        <w:t>and section </w:t>
      </w:r>
      <w:r>
        <w:rPr>
          <w:spacing w:val="-8"/>
          <w:w w:val="105"/>
          <w:sz w:val="21"/>
        </w:rPr>
        <w:t>173 </w:t>
      </w:r>
      <w:r>
        <w:rPr>
          <w:w w:val="105"/>
          <w:sz w:val="21"/>
        </w:rPr>
        <w:t>agreements under the </w:t>
      </w:r>
      <w:r>
        <w:rPr>
          <w:spacing w:val="4"/>
          <w:w w:val="105"/>
          <w:sz w:val="21"/>
        </w:rPr>
        <w:t>P&amp;E</w:t>
      </w:r>
      <w:r>
        <w:rPr>
          <w:spacing w:val="15"/>
          <w:w w:val="105"/>
          <w:sz w:val="21"/>
        </w:rPr>
        <w:t> </w:t>
      </w:r>
      <w:r>
        <w:rPr>
          <w:w w:val="105"/>
          <w:sz w:val="21"/>
        </w:rPr>
        <w:t>Act.</w:t>
      </w:r>
    </w:p>
    <w:p>
      <w:pPr>
        <w:pStyle w:val="ListParagraph"/>
        <w:numPr>
          <w:ilvl w:val="0"/>
          <w:numId w:val="173"/>
        </w:numPr>
        <w:tabs>
          <w:tab w:pos="2381" w:val="left" w:leader="none"/>
        </w:tabs>
        <w:spacing w:line="242" w:lineRule="auto" w:before="124" w:after="0"/>
        <w:ind w:left="2380" w:right="1761" w:hanging="794"/>
        <w:jc w:val="left"/>
        <w:rPr>
          <w:sz w:val="21"/>
        </w:rPr>
      </w:pPr>
      <w:r>
        <w:rPr>
          <w:w w:val="105"/>
          <w:sz w:val="21"/>
        </w:rPr>
        <w:t>The </w:t>
      </w:r>
      <w:r>
        <w:rPr>
          <w:spacing w:val="-3"/>
          <w:w w:val="105"/>
          <w:sz w:val="21"/>
        </w:rPr>
        <w:t>Commission </w:t>
      </w:r>
      <w:r>
        <w:rPr>
          <w:w w:val="105"/>
          <w:sz w:val="21"/>
        </w:rPr>
        <w:t>is of the view </w:t>
      </w:r>
      <w:r>
        <w:rPr>
          <w:spacing w:val="-3"/>
          <w:w w:val="105"/>
          <w:sz w:val="21"/>
        </w:rPr>
        <w:t>that </w:t>
      </w:r>
      <w:r>
        <w:rPr>
          <w:w w:val="105"/>
          <w:sz w:val="21"/>
        </w:rPr>
        <w:t>the </w:t>
      </w:r>
      <w:r>
        <w:rPr>
          <w:spacing w:val="-3"/>
          <w:w w:val="105"/>
          <w:sz w:val="21"/>
        </w:rPr>
        <w:t>Government </w:t>
      </w:r>
      <w:r>
        <w:rPr>
          <w:w w:val="105"/>
          <w:sz w:val="21"/>
        </w:rPr>
        <w:t>should also undertake further </w:t>
      </w:r>
      <w:r>
        <w:rPr>
          <w:spacing w:val="-3"/>
          <w:w w:val="105"/>
          <w:sz w:val="21"/>
        </w:rPr>
        <w:t>consultation </w:t>
      </w:r>
      <w:r>
        <w:rPr>
          <w:w w:val="105"/>
          <w:sz w:val="21"/>
        </w:rPr>
        <w:t>with the Department of </w:t>
      </w:r>
      <w:r>
        <w:rPr>
          <w:spacing w:val="-3"/>
          <w:w w:val="105"/>
          <w:sz w:val="21"/>
        </w:rPr>
        <w:t>Environment, </w:t>
      </w:r>
      <w:r>
        <w:rPr>
          <w:w w:val="105"/>
          <w:sz w:val="21"/>
        </w:rPr>
        <w:t>Land, </w:t>
      </w:r>
      <w:r>
        <w:rPr>
          <w:spacing w:val="-4"/>
          <w:w w:val="105"/>
          <w:sz w:val="21"/>
        </w:rPr>
        <w:t>Water </w:t>
      </w:r>
      <w:r>
        <w:rPr>
          <w:w w:val="105"/>
          <w:sz w:val="21"/>
        </w:rPr>
        <w:t>and </w:t>
      </w:r>
      <w:r>
        <w:rPr>
          <w:spacing w:val="-3"/>
          <w:w w:val="105"/>
          <w:sz w:val="21"/>
        </w:rPr>
        <w:t>Planning </w:t>
      </w:r>
      <w:r>
        <w:rPr>
          <w:w w:val="105"/>
          <w:sz w:val="21"/>
        </w:rPr>
        <w:t>and landowners</w:t>
      </w:r>
      <w:r>
        <w:rPr>
          <w:spacing w:val="-14"/>
          <w:w w:val="105"/>
          <w:sz w:val="21"/>
        </w:rPr>
        <w:t> </w:t>
      </w:r>
      <w:r>
        <w:rPr>
          <w:w w:val="105"/>
          <w:sz w:val="21"/>
        </w:rPr>
        <w:t>subject</w:t>
      </w:r>
      <w:r>
        <w:rPr>
          <w:spacing w:val="-13"/>
          <w:w w:val="105"/>
          <w:sz w:val="21"/>
        </w:rPr>
        <w:t> </w:t>
      </w:r>
      <w:r>
        <w:rPr>
          <w:spacing w:val="-3"/>
          <w:w w:val="105"/>
          <w:sz w:val="21"/>
        </w:rPr>
        <w:t>to</w:t>
      </w:r>
      <w:r>
        <w:rPr>
          <w:spacing w:val="-13"/>
          <w:w w:val="105"/>
          <w:sz w:val="21"/>
        </w:rPr>
        <w:t> </w:t>
      </w:r>
      <w:r>
        <w:rPr>
          <w:spacing w:val="-3"/>
          <w:w w:val="105"/>
          <w:sz w:val="21"/>
        </w:rPr>
        <w:t>land</w:t>
      </w:r>
      <w:r>
        <w:rPr>
          <w:spacing w:val="-13"/>
          <w:w w:val="105"/>
          <w:sz w:val="21"/>
        </w:rPr>
        <w:t> </w:t>
      </w:r>
      <w:r>
        <w:rPr>
          <w:spacing w:val="-3"/>
          <w:w w:val="105"/>
          <w:sz w:val="21"/>
        </w:rPr>
        <w:t>management</w:t>
      </w:r>
      <w:r>
        <w:rPr>
          <w:spacing w:val="-13"/>
          <w:w w:val="105"/>
          <w:sz w:val="21"/>
        </w:rPr>
        <w:t> </w:t>
      </w:r>
      <w:r>
        <w:rPr>
          <w:w w:val="105"/>
          <w:sz w:val="21"/>
        </w:rPr>
        <w:t>cooperative</w:t>
      </w:r>
      <w:r>
        <w:rPr>
          <w:spacing w:val="-14"/>
          <w:w w:val="105"/>
          <w:sz w:val="21"/>
        </w:rPr>
        <w:t> </w:t>
      </w:r>
      <w:r>
        <w:rPr>
          <w:w w:val="105"/>
          <w:sz w:val="21"/>
        </w:rPr>
        <w:t>agreements</w:t>
      </w:r>
      <w:r>
        <w:rPr>
          <w:spacing w:val="-13"/>
          <w:w w:val="105"/>
          <w:sz w:val="21"/>
        </w:rPr>
        <w:t> </w:t>
      </w:r>
      <w:r>
        <w:rPr>
          <w:spacing w:val="-3"/>
          <w:w w:val="105"/>
          <w:sz w:val="21"/>
        </w:rPr>
        <w:t>to</w:t>
      </w:r>
      <w:r>
        <w:rPr>
          <w:spacing w:val="-13"/>
          <w:w w:val="105"/>
          <w:sz w:val="21"/>
        </w:rPr>
        <w:t> </w:t>
      </w:r>
      <w:r>
        <w:rPr>
          <w:spacing w:val="-3"/>
          <w:w w:val="105"/>
          <w:sz w:val="21"/>
        </w:rPr>
        <w:t>determine</w:t>
      </w:r>
      <w:r>
        <w:rPr>
          <w:spacing w:val="-13"/>
          <w:w w:val="105"/>
          <w:sz w:val="21"/>
        </w:rPr>
        <w:t> </w:t>
      </w:r>
      <w:r>
        <w:rPr>
          <w:w w:val="105"/>
          <w:sz w:val="21"/>
        </w:rPr>
        <w:t>whether and</w:t>
      </w:r>
      <w:r>
        <w:rPr>
          <w:spacing w:val="-7"/>
          <w:w w:val="105"/>
          <w:sz w:val="21"/>
        </w:rPr>
        <w:t> </w:t>
      </w:r>
      <w:r>
        <w:rPr>
          <w:spacing w:val="-3"/>
          <w:w w:val="105"/>
          <w:sz w:val="21"/>
        </w:rPr>
        <w:t>to</w:t>
      </w:r>
      <w:r>
        <w:rPr>
          <w:spacing w:val="-7"/>
          <w:w w:val="105"/>
          <w:sz w:val="21"/>
        </w:rPr>
        <w:t> </w:t>
      </w:r>
      <w:r>
        <w:rPr>
          <w:w w:val="105"/>
          <w:sz w:val="21"/>
        </w:rPr>
        <w:t>what</w:t>
      </w:r>
      <w:r>
        <w:rPr>
          <w:spacing w:val="-7"/>
          <w:w w:val="105"/>
          <w:sz w:val="21"/>
        </w:rPr>
        <w:t> </w:t>
      </w:r>
      <w:r>
        <w:rPr>
          <w:w w:val="105"/>
          <w:sz w:val="21"/>
        </w:rPr>
        <w:t>extent</w:t>
      </w:r>
      <w:r>
        <w:rPr>
          <w:spacing w:val="-7"/>
          <w:w w:val="105"/>
          <w:sz w:val="21"/>
        </w:rPr>
        <w:t> </w:t>
      </w:r>
      <w:r>
        <w:rPr>
          <w:w w:val="105"/>
          <w:sz w:val="21"/>
        </w:rPr>
        <w:t>these</w:t>
      </w:r>
      <w:r>
        <w:rPr>
          <w:spacing w:val="-7"/>
          <w:w w:val="105"/>
          <w:sz w:val="21"/>
        </w:rPr>
        <w:t> </w:t>
      </w:r>
      <w:r>
        <w:rPr>
          <w:w w:val="105"/>
          <w:sz w:val="21"/>
        </w:rPr>
        <w:t>agreements</w:t>
      </w:r>
      <w:r>
        <w:rPr>
          <w:spacing w:val="-7"/>
          <w:w w:val="105"/>
          <w:sz w:val="21"/>
        </w:rPr>
        <w:t> </w:t>
      </w:r>
      <w:r>
        <w:rPr>
          <w:spacing w:val="-3"/>
          <w:w w:val="105"/>
          <w:sz w:val="21"/>
        </w:rPr>
        <w:t>may</w:t>
      </w:r>
      <w:r>
        <w:rPr>
          <w:spacing w:val="-7"/>
          <w:w w:val="105"/>
          <w:sz w:val="21"/>
        </w:rPr>
        <w:t> </w:t>
      </w:r>
      <w:r>
        <w:rPr>
          <w:w w:val="105"/>
          <w:sz w:val="21"/>
        </w:rPr>
        <w:t>intersect</w:t>
      </w:r>
      <w:r>
        <w:rPr>
          <w:spacing w:val="-7"/>
          <w:w w:val="105"/>
          <w:sz w:val="21"/>
        </w:rPr>
        <w:t> </w:t>
      </w:r>
      <w:r>
        <w:rPr>
          <w:w w:val="105"/>
          <w:sz w:val="21"/>
        </w:rPr>
        <w:t>with</w:t>
      </w:r>
      <w:r>
        <w:rPr>
          <w:spacing w:val="-7"/>
          <w:w w:val="105"/>
          <w:sz w:val="21"/>
        </w:rPr>
        <w:t> </w:t>
      </w:r>
      <w:r>
        <w:rPr>
          <w:w w:val="105"/>
          <w:sz w:val="21"/>
        </w:rPr>
        <w:t>the</w:t>
      </w:r>
      <w:r>
        <w:rPr>
          <w:spacing w:val="-7"/>
          <w:w w:val="105"/>
          <w:sz w:val="21"/>
        </w:rPr>
        <w:t> </w:t>
      </w:r>
      <w:r>
        <w:rPr>
          <w:w w:val="105"/>
          <w:sz w:val="21"/>
        </w:rPr>
        <w:t>operation</w:t>
      </w:r>
      <w:r>
        <w:rPr>
          <w:spacing w:val="-7"/>
          <w:w w:val="105"/>
          <w:sz w:val="21"/>
        </w:rPr>
        <w:t> </w:t>
      </w:r>
      <w:r>
        <w:rPr>
          <w:w w:val="105"/>
          <w:sz w:val="21"/>
        </w:rPr>
        <w:t>of</w:t>
      </w:r>
      <w:r>
        <w:rPr>
          <w:spacing w:val="-7"/>
          <w:w w:val="105"/>
          <w:sz w:val="21"/>
        </w:rPr>
        <w:t> </w:t>
      </w:r>
      <w:r>
        <w:rPr>
          <w:w w:val="105"/>
          <w:sz w:val="21"/>
        </w:rPr>
        <w:t>the</w:t>
      </w:r>
      <w:r>
        <w:rPr>
          <w:spacing w:val="-7"/>
          <w:w w:val="105"/>
          <w:sz w:val="21"/>
        </w:rPr>
        <w:t> </w:t>
      </w:r>
      <w:r>
        <w:rPr>
          <w:w w:val="105"/>
          <w:sz w:val="21"/>
        </w:rPr>
        <w:t>new</w:t>
      </w:r>
      <w:r>
        <w:rPr>
          <w:spacing w:val="-7"/>
          <w:w w:val="105"/>
          <w:sz w:val="21"/>
        </w:rPr>
        <w:t> </w:t>
      </w:r>
      <w:r>
        <w:rPr>
          <w:w w:val="105"/>
          <w:sz w:val="21"/>
        </w:rPr>
        <w:t>Act.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spacing w:before="0"/>
        <w:ind w:left="720" w:right="0" w:firstLine="0"/>
        <w:jc w:val="left"/>
        <w:rPr>
          <w:b/>
          <w:sz w:val="24"/>
        </w:rPr>
      </w:pPr>
      <w:r>
        <w:rPr>
          <w:b/>
          <w:color w:val="658464"/>
          <w:w w:val="110"/>
          <w:sz w:val="24"/>
        </w:rPr>
        <w:t>258</w:t>
      </w:r>
    </w:p>
    <w:p>
      <w:pPr>
        <w:spacing w:after="0"/>
        <w:jc w:val="left"/>
        <w:rPr>
          <w:sz w:val="24"/>
        </w:rPr>
        <w:sectPr>
          <w:pgSz w:w="11910" w:h="16840"/>
          <w:pgMar w:header="546" w:footer="0" w:top="156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446344" filled="true" fillcolor="#ecefee" stroked="false">
            <v:fill type="solid"/>
            <w10:wrap type="none"/>
          </v:rect>
        </w:pict>
      </w:r>
      <w:bookmarkStart w:name="11. New owners of land and neighbourhood" w:id="300"/>
      <w:bookmarkEnd w:id="300"/>
      <w:r>
        <w:rPr/>
      </w:r>
      <w:r>
        <w:rPr>
          <w:b/>
          <w:color w:val="FFFFFF"/>
          <w:w w:val="122"/>
          <w:sz w:val="48"/>
          <w:shd w:fill="658464" w:color="auto" w:val="clear"/>
        </w:rPr>
        <w:t> </w:t>
      </w:r>
      <w:r>
        <w:rPr>
          <w:b/>
          <w:color w:val="FFFFFF"/>
          <w:spacing w:val="41"/>
          <w:sz w:val="48"/>
          <w:shd w:fill="658464" w:color="auto" w:val="clear"/>
        </w:rPr>
        <w:t> </w:t>
      </w:r>
      <w:r>
        <w:rPr>
          <w:b/>
          <w:color w:val="FFFFFF"/>
          <w:spacing w:val="-18"/>
          <w:w w:val="105"/>
          <w:sz w:val="48"/>
          <w:shd w:fill="658464" w:color="auto" w:val="clear"/>
        </w:rPr>
        <w:t>11</w:t>
      </w:r>
      <w:r>
        <w:rPr>
          <w:b/>
          <w:color w:val="FFFFFF"/>
          <w:spacing w:val="-18"/>
          <w:sz w:val="48"/>
          <w:shd w:fill="658464"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tabs>
          <w:tab w:pos="1587" w:val="left" w:leader="none"/>
          <w:tab w:pos="10664" w:val="left" w:leader="none"/>
        </w:tabs>
        <w:spacing w:before="84"/>
        <w:ind w:left="0" w:right="0" w:firstLine="0"/>
        <w:jc w:val="left"/>
        <w:rPr>
          <w:b/>
          <w:sz w:val="96"/>
        </w:rPr>
      </w:pPr>
      <w:r>
        <w:rPr>
          <w:b/>
          <w:color w:val="658464"/>
          <w:w w:val="122"/>
          <w:sz w:val="96"/>
          <w:shd w:fill="FFFFFF" w:color="auto" w:val="clear"/>
        </w:rPr>
        <w:t> </w:t>
      </w:r>
      <w:r>
        <w:rPr>
          <w:b/>
          <w:color w:val="658464"/>
          <w:sz w:val="96"/>
          <w:shd w:fill="FFFFFF" w:color="auto" w:val="clear"/>
        </w:rPr>
        <w:tab/>
      </w:r>
      <w:r>
        <w:rPr>
          <w:b/>
          <w:color w:val="658464"/>
          <w:spacing w:val="-20"/>
          <w:w w:val="115"/>
          <w:sz w:val="96"/>
          <w:shd w:fill="FFFFFF" w:color="auto" w:val="clear"/>
        </w:rPr>
        <w:t>New </w:t>
      </w:r>
      <w:r>
        <w:rPr>
          <w:b/>
          <w:color w:val="658464"/>
          <w:spacing w:val="-24"/>
          <w:w w:val="115"/>
          <w:sz w:val="96"/>
          <w:shd w:fill="FFFFFF" w:color="auto" w:val="clear"/>
        </w:rPr>
        <w:t>owners </w:t>
      </w:r>
      <w:r>
        <w:rPr>
          <w:b/>
          <w:color w:val="658464"/>
          <w:spacing w:val="-17"/>
          <w:w w:val="115"/>
          <w:sz w:val="96"/>
          <w:shd w:fill="FFFFFF" w:color="auto" w:val="clear"/>
        </w:rPr>
        <w:t>of</w:t>
      </w:r>
      <w:r>
        <w:rPr>
          <w:b/>
          <w:color w:val="658464"/>
          <w:spacing w:val="-57"/>
          <w:w w:val="115"/>
          <w:sz w:val="96"/>
          <w:shd w:fill="FFFFFF" w:color="auto" w:val="clear"/>
        </w:rPr>
        <w:t> </w:t>
      </w:r>
      <w:r>
        <w:rPr>
          <w:b/>
          <w:color w:val="658464"/>
          <w:spacing w:val="-21"/>
          <w:w w:val="115"/>
          <w:sz w:val="96"/>
          <w:shd w:fill="FFFFFF" w:color="auto" w:val="clear"/>
        </w:rPr>
        <w:t>land</w:t>
      </w:r>
      <w:r>
        <w:rPr>
          <w:b/>
          <w:color w:val="658464"/>
          <w:spacing w:val="-21"/>
          <w:sz w:val="96"/>
          <w:shd w:fill="FFFFFF" w:color="auto" w:val="clear"/>
        </w:rPr>
        <w:tab/>
      </w:r>
    </w:p>
    <w:p>
      <w:pPr>
        <w:pStyle w:val="BodyText"/>
        <w:rPr>
          <w:sz w:val="20"/>
        </w:rPr>
      </w:pPr>
      <w:r>
        <w:rPr>
          <w:sz w:val="20"/>
        </w:rPr>
        <w:pict>
          <v:shape style="width:524.950pt;height:52pt;mso-position-horizontal-relative:char;mso-position-vertical-relative:line" type="#_x0000_t202" filled="true" fillcolor="#ffffff" stroked="false">
            <w10:anchorlock/>
            <v:textbox inset="0,0,0,0">
              <w:txbxContent>
                <w:p>
                  <w:pPr>
                    <w:spacing w:line="1040" w:lineRule="exact" w:before="0"/>
                    <w:ind w:left="1587" w:right="0" w:firstLine="0"/>
                    <w:jc w:val="left"/>
                    <w:rPr>
                      <w:b/>
                      <w:sz w:val="96"/>
                    </w:rPr>
                  </w:pPr>
                  <w:r>
                    <w:rPr>
                      <w:b/>
                      <w:color w:val="658464"/>
                      <w:spacing w:val="-18"/>
                      <w:w w:val="115"/>
                      <w:sz w:val="96"/>
                    </w:rPr>
                    <w:t>and </w:t>
                  </w:r>
                  <w:r>
                    <w:rPr>
                      <w:b/>
                      <w:color w:val="658464"/>
                      <w:spacing w:val="-25"/>
                      <w:w w:val="115"/>
                      <w:sz w:val="96"/>
                    </w:rPr>
                    <w:t>neighbourhood</w:t>
                  </w:r>
                </w:p>
              </w:txbxContent>
            </v:textbox>
            <v:fill type="solid"/>
          </v:shape>
        </w:pict>
      </w:r>
      <w:r>
        <w:rPr>
          <w:sz w:val="20"/>
        </w:rPr>
      </w:r>
    </w:p>
    <w:p>
      <w:pPr>
        <w:pStyle w:val="BodyText"/>
        <w:spacing w:before="1"/>
        <w:rPr>
          <w:b/>
          <w:sz w:val="3"/>
        </w:rPr>
      </w:pPr>
    </w:p>
    <w:p>
      <w:pPr>
        <w:pStyle w:val="BodyText"/>
        <w:rPr>
          <w:sz w:val="20"/>
        </w:rPr>
      </w:pPr>
      <w:r>
        <w:rPr>
          <w:sz w:val="20"/>
        </w:rPr>
        <w:pict>
          <v:shape style="width:373.3pt;height:52pt;mso-position-horizontal-relative:char;mso-position-vertical-relative:line" type="#_x0000_t202" filled="true" fillcolor="#ffffff" stroked="false">
            <w10:anchorlock/>
            <v:textbox inset="0,0,0,0">
              <w:txbxContent>
                <w:p>
                  <w:pPr>
                    <w:spacing w:line="1040" w:lineRule="exact" w:before="0"/>
                    <w:ind w:left="1587" w:right="0" w:firstLine="0"/>
                    <w:jc w:val="left"/>
                    <w:rPr>
                      <w:b/>
                      <w:sz w:val="96"/>
                    </w:rPr>
                  </w:pPr>
                  <w:r>
                    <w:rPr>
                      <w:b/>
                      <w:color w:val="658464"/>
                      <w:spacing w:val="-18"/>
                      <w:w w:val="110"/>
                      <w:sz w:val="96"/>
                    </w:rPr>
                    <w:t>tree</w:t>
                  </w:r>
                  <w:r>
                    <w:rPr>
                      <w:b/>
                      <w:color w:val="658464"/>
                      <w:spacing w:val="41"/>
                      <w:w w:val="110"/>
                      <w:sz w:val="96"/>
                    </w:rPr>
                    <w:t> </w:t>
                  </w:r>
                  <w:r>
                    <w:rPr>
                      <w:b/>
                      <w:color w:val="658464"/>
                      <w:spacing w:val="-24"/>
                      <w:w w:val="110"/>
                      <w:sz w:val="96"/>
                    </w:rPr>
                    <w:t>disputes</w:t>
                  </w:r>
                </w:p>
              </w:txbxContent>
            </v:textbox>
            <v:fill type="solid"/>
          </v:shape>
        </w:pict>
      </w:r>
      <w:r>
        <w:rPr>
          <w:sz w:val="20"/>
        </w:rPr>
      </w:r>
    </w:p>
    <w:p>
      <w:pPr>
        <w:pStyle w:val="BodyText"/>
        <w:rPr>
          <w:b/>
          <w:sz w:val="20"/>
        </w:rPr>
      </w:pPr>
    </w:p>
    <w:p>
      <w:pPr>
        <w:pStyle w:val="BodyText"/>
        <w:rPr>
          <w:b/>
          <w:sz w:val="20"/>
        </w:rPr>
      </w:pPr>
    </w:p>
    <w:p>
      <w:pPr>
        <w:pStyle w:val="BodyText"/>
        <w:rPr>
          <w:b/>
          <w:sz w:val="20"/>
        </w:rPr>
      </w:pPr>
    </w:p>
    <w:p>
      <w:pPr>
        <w:pStyle w:val="BodyText"/>
        <w:spacing w:before="2" w:after="1"/>
        <w:rPr>
          <w:b/>
          <w:sz w:val="18"/>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5971"/>
      </w:tblGrid>
      <w:tr>
        <w:trPr>
          <w:trHeight w:val="335" w:hRule="atLeast"/>
        </w:trPr>
        <w:tc>
          <w:tcPr>
            <w:tcW w:w="510" w:type="dxa"/>
            <w:tcBorders>
              <w:bottom w:val="single" w:sz="18" w:space="0" w:color="FFFFFF"/>
            </w:tcBorders>
            <w:shd w:val="clear" w:color="auto" w:fill="ECEFEE"/>
          </w:tcPr>
          <w:p>
            <w:pPr>
              <w:pStyle w:val="TableParagraph"/>
              <w:spacing w:line="289" w:lineRule="exact"/>
              <w:rPr>
                <w:b/>
                <w:sz w:val="24"/>
              </w:rPr>
            </w:pPr>
            <w:hyperlink w:history="true" w:anchor="_bookmark141">
              <w:r>
                <w:rPr>
                  <w:b/>
                  <w:w w:val="110"/>
                  <w:sz w:val="24"/>
                </w:rPr>
                <w:t>260</w:t>
              </w:r>
            </w:hyperlink>
          </w:p>
        </w:tc>
        <w:tc>
          <w:tcPr>
            <w:tcW w:w="5971" w:type="dxa"/>
            <w:shd w:val="clear" w:color="auto" w:fill="ECEFEE"/>
          </w:tcPr>
          <w:p>
            <w:pPr>
              <w:pStyle w:val="TableParagraph"/>
              <w:spacing w:line="289" w:lineRule="exact"/>
              <w:ind w:left="57"/>
              <w:rPr>
                <w:b/>
                <w:sz w:val="24"/>
              </w:rPr>
            </w:pPr>
            <w:hyperlink w:history="true" w:anchor="_bookmark141">
              <w:r>
                <w:rPr>
                  <w:b/>
                  <w:w w:val="110"/>
                  <w:sz w:val="24"/>
                </w:rPr>
                <w:t>Introduction</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9"/>
              <w:rPr>
                <w:b/>
                <w:sz w:val="24"/>
              </w:rPr>
            </w:pPr>
            <w:hyperlink w:history="true" w:anchor="_bookmark141">
              <w:r>
                <w:rPr>
                  <w:b/>
                  <w:w w:val="110"/>
                  <w:sz w:val="24"/>
                </w:rPr>
                <w:t>260</w:t>
              </w:r>
            </w:hyperlink>
          </w:p>
        </w:tc>
        <w:tc>
          <w:tcPr>
            <w:tcW w:w="5971" w:type="dxa"/>
            <w:shd w:val="clear" w:color="auto" w:fill="ECEFEE"/>
          </w:tcPr>
          <w:p>
            <w:pPr>
              <w:pStyle w:val="TableParagraph"/>
              <w:spacing w:before="89"/>
              <w:ind w:left="56"/>
              <w:rPr>
                <w:b/>
                <w:sz w:val="24"/>
              </w:rPr>
            </w:pPr>
            <w:hyperlink w:history="true" w:anchor="_bookmark141">
              <w:r>
                <w:rPr>
                  <w:b/>
                  <w:w w:val="115"/>
                  <w:sz w:val="24"/>
                </w:rPr>
                <w:t>New South Wales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r>
              <w:rPr>
                <w:b/>
                <w:w w:val="110"/>
                <w:sz w:val="24"/>
              </w:rPr>
              <w:t>261</w:t>
            </w:r>
          </w:p>
        </w:tc>
        <w:tc>
          <w:tcPr>
            <w:tcW w:w="5971" w:type="dxa"/>
            <w:shd w:val="clear" w:color="auto" w:fill="ECEFEE"/>
          </w:tcPr>
          <w:p>
            <w:pPr>
              <w:pStyle w:val="TableParagraph"/>
              <w:spacing w:before="88"/>
              <w:ind w:left="56"/>
              <w:rPr>
                <w:b/>
                <w:sz w:val="24"/>
              </w:rPr>
            </w:pPr>
            <w:r>
              <w:rPr>
                <w:b/>
                <w:w w:val="115"/>
                <w:sz w:val="24"/>
              </w:rPr>
              <w:t>Queensland</w:t>
            </w:r>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42">
              <w:r>
                <w:rPr>
                  <w:b/>
                  <w:w w:val="110"/>
                  <w:sz w:val="24"/>
                </w:rPr>
                <w:t>262</w:t>
              </w:r>
            </w:hyperlink>
          </w:p>
        </w:tc>
        <w:tc>
          <w:tcPr>
            <w:tcW w:w="5971" w:type="dxa"/>
            <w:shd w:val="clear" w:color="auto" w:fill="ECEFEE"/>
          </w:tcPr>
          <w:p>
            <w:pPr>
              <w:pStyle w:val="TableParagraph"/>
              <w:spacing w:before="88"/>
              <w:ind w:left="56"/>
              <w:rPr>
                <w:b/>
                <w:sz w:val="24"/>
              </w:rPr>
            </w:pPr>
            <w:hyperlink w:history="true" w:anchor="_bookmark142">
              <w:r>
                <w:rPr>
                  <w:b/>
                  <w:w w:val="110"/>
                  <w:sz w:val="24"/>
                </w:rPr>
                <w:t>Tasmania</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43">
              <w:r>
                <w:rPr>
                  <w:b/>
                  <w:w w:val="110"/>
                  <w:sz w:val="24"/>
                </w:rPr>
                <w:t>264</w:t>
              </w:r>
            </w:hyperlink>
          </w:p>
        </w:tc>
        <w:tc>
          <w:tcPr>
            <w:tcW w:w="5971" w:type="dxa"/>
            <w:shd w:val="clear" w:color="auto" w:fill="ECEFEE"/>
          </w:tcPr>
          <w:p>
            <w:pPr>
              <w:pStyle w:val="TableParagraph"/>
              <w:spacing w:before="88"/>
              <w:ind w:left="56"/>
              <w:rPr>
                <w:b/>
                <w:sz w:val="24"/>
              </w:rPr>
            </w:pPr>
            <w:hyperlink w:history="true" w:anchor="_bookmark143">
              <w:r>
                <w:rPr>
                  <w:b/>
                  <w:w w:val="115"/>
                  <w:sz w:val="24"/>
                </w:rPr>
                <w:t>Community responses—new owners of land</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44">
              <w:r>
                <w:rPr>
                  <w:b/>
                  <w:w w:val="110"/>
                  <w:sz w:val="24"/>
                </w:rPr>
                <w:t>268</w:t>
              </w:r>
            </w:hyperlink>
          </w:p>
        </w:tc>
        <w:tc>
          <w:tcPr>
            <w:tcW w:w="5971" w:type="dxa"/>
            <w:shd w:val="clear" w:color="auto" w:fill="ECEFEE"/>
          </w:tcPr>
          <w:p>
            <w:pPr>
              <w:pStyle w:val="TableParagraph"/>
              <w:spacing w:before="88"/>
              <w:ind w:left="56"/>
              <w:rPr>
                <w:b/>
                <w:sz w:val="24"/>
              </w:rPr>
            </w:pPr>
            <w:hyperlink w:history="true" w:anchor="_bookmark144">
              <w:r>
                <w:rPr>
                  <w:b/>
                  <w:w w:val="115"/>
                  <w:sz w:val="24"/>
                </w:rPr>
                <w:t>The</w:t>
              </w:r>
              <w:r>
                <w:rPr>
                  <w:b/>
                  <w:spacing w:val="-20"/>
                  <w:w w:val="115"/>
                  <w:sz w:val="24"/>
                </w:rPr>
                <w:t> </w:t>
              </w:r>
              <w:r>
                <w:rPr>
                  <w:b/>
                  <w:w w:val="115"/>
                  <w:sz w:val="24"/>
                </w:rPr>
                <w:t>Commission’s</w:t>
              </w:r>
              <w:r>
                <w:rPr>
                  <w:b/>
                  <w:spacing w:val="-20"/>
                  <w:w w:val="115"/>
                  <w:sz w:val="24"/>
                </w:rPr>
                <w:t> </w:t>
              </w:r>
              <w:r>
                <w:rPr>
                  <w:b/>
                  <w:w w:val="115"/>
                  <w:sz w:val="24"/>
                </w:rPr>
                <w:t>conclusions—new</w:t>
              </w:r>
              <w:r>
                <w:rPr>
                  <w:b/>
                  <w:spacing w:val="-19"/>
                  <w:w w:val="115"/>
                  <w:sz w:val="24"/>
                </w:rPr>
                <w:t> </w:t>
              </w:r>
              <w:r>
                <w:rPr>
                  <w:b/>
                  <w:w w:val="115"/>
                  <w:sz w:val="24"/>
                </w:rPr>
                <w:t>owners</w:t>
              </w:r>
              <w:r>
                <w:rPr>
                  <w:b/>
                  <w:spacing w:val="-20"/>
                  <w:w w:val="115"/>
                  <w:sz w:val="24"/>
                </w:rPr>
                <w:t> </w:t>
              </w:r>
              <w:r>
                <w:rPr>
                  <w:b/>
                  <w:w w:val="115"/>
                  <w:sz w:val="24"/>
                </w:rPr>
                <w:t>of</w:t>
              </w:r>
              <w:r>
                <w:rPr>
                  <w:b/>
                  <w:spacing w:val="-20"/>
                  <w:w w:val="115"/>
                  <w:sz w:val="24"/>
                </w:rPr>
                <w:t> </w:t>
              </w:r>
              <w:r>
                <w:rPr>
                  <w:b/>
                  <w:w w:val="115"/>
                  <w:sz w:val="24"/>
                </w:rPr>
                <w:t>land</w:t>
              </w:r>
            </w:hyperlink>
          </w:p>
        </w:tc>
      </w:tr>
    </w:tbl>
    <w:p>
      <w:pPr>
        <w:spacing w:after="0"/>
        <w:rPr>
          <w:sz w:val="24"/>
        </w:rPr>
        <w:sectPr>
          <w:headerReference w:type="default" r:id="rId302"/>
          <w:headerReference w:type="even" r:id="rId303"/>
          <w:pgSz w:w="11910" w:h="16840"/>
          <w:pgMar w:header="0" w:footer="0" w:top="720" w:bottom="280" w:left="0" w:right="0"/>
        </w:sectPr>
      </w:pPr>
    </w:p>
    <w:p>
      <w:pPr>
        <w:pStyle w:val="BodyText"/>
        <w:spacing w:before="10"/>
        <w:rPr>
          <w:b/>
          <w:sz w:val="18"/>
        </w:rPr>
      </w:pPr>
    </w:p>
    <w:p>
      <w:pPr>
        <w:pStyle w:val="ListParagraph"/>
        <w:numPr>
          <w:ilvl w:val="0"/>
          <w:numId w:val="16"/>
        </w:numPr>
        <w:tabs>
          <w:tab w:pos="1248" w:val="left" w:leader="none"/>
        </w:tabs>
        <w:spacing w:line="232" w:lineRule="auto" w:before="106" w:after="0"/>
        <w:ind w:left="1247" w:right="4666" w:hanging="681"/>
        <w:jc w:val="left"/>
        <w:rPr>
          <w:b/>
          <w:sz w:val="44"/>
        </w:rPr>
      </w:pPr>
      <w:bookmarkStart w:name="Introduction" w:id="301"/>
      <w:bookmarkEnd w:id="301"/>
      <w:r>
        <w:rPr/>
      </w:r>
      <w:bookmarkStart w:name="New South Wales" w:id="302"/>
      <w:bookmarkEnd w:id="302"/>
      <w:r>
        <w:rPr/>
      </w:r>
      <w:bookmarkStart w:name="_bookmark141" w:id="303"/>
      <w:bookmarkEnd w:id="303"/>
      <w:r>
        <w:rPr/>
      </w:r>
      <w:bookmarkStart w:name="_bookmark141" w:id="304"/>
      <w:bookmarkEnd w:id="304"/>
      <w:r>
        <w:rPr>
          <w:b/>
          <w:color w:val="658464"/>
          <w:spacing w:val="-3"/>
          <w:w w:val="115"/>
          <w:sz w:val="44"/>
        </w:rPr>
        <w:t>N</w:t>
      </w:r>
      <w:r>
        <w:rPr>
          <w:b/>
          <w:color w:val="658464"/>
          <w:spacing w:val="-3"/>
          <w:w w:val="115"/>
          <w:sz w:val="44"/>
        </w:rPr>
        <w:t>ew owners of land </w:t>
      </w:r>
      <w:r>
        <w:rPr>
          <w:b/>
          <w:color w:val="658464"/>
          <w:w w:val="115"/>
          <w:sz w:val="44"/>
        </w:rPr>
        <w:t>and </w:t>
      </w:r>
      <w:r>
        <w:rPr>
          <w:b/>
          <w:color w:val="658464"/>
          <w:spacing w:val="-3"/>
          <w:w w:val="115"/>
          <w:sz w:val="44"/>
        </w:rPr>
        <w:t>neighbourhood </w:t>
      </w:r>
      <w:r>
        <w:rPr>
          <w:b/>
          <w:color w:val="658464"/>
          <w:w w:val="115"/>
          <w:sz w:val="44"/>
        </w:rPr>
        <w:t>tree</w:t>
      </w:r>
      <w:r>
        <w:rPr>
          <w:b/>
          <w:color w:val="658464"/>
          <w:spacing w:val="-61"/>
          <w:w w:val="115"/>
          <w:sz w:val="44"/>
        </w:rPr>
        <w:t> </w:t>
      </w:r>
      <w:r>
        <w:rPr>
          <w:b/>
          <w:color w:val="658464"/>
          <w:spacing w:val="-3"/>
          <w:w w:val="115"/>
          <w:sz w:val="44"/>
        </w:rPr>
        <w:t>disputes</w:t>
      </w:r>
    </w:p>
    <w:p>
      <w:pPr>
        <w:pStyle w:val="BodyText"/>
        <w:rPr>
          <w:b/>
          <w:sz w:val="52"/>
        </w:rPr>
      </w:pPr>
    </w:p>
    <w:p>
      <w:pPr>
        <w:pStyle w:val="BodyText"/>
        <w:rPr>
          <w:b/>
          <w:sz w:val="52"/>
        </w:rPr>
      </w:pPr>
    </w:p>
    <w:p>
      <w:pPr>
        <w:pStyle w:val="BodyText"/>
        <w:rPr>
          <w:b/>
          <w:sz w:val="52"/>
        </w:rPr>
      </w:pPr>
    </w:p>
    <w:p>
      <w:pPr>
        <w:pStyle w:val="BodyText"/>
        <w:spacing w:before="5"/>
        <w:rPr>
          <w:b/>
          <w:sz w:val="57"/>
        </w:rPr>
      </w:pPr>
    </w:p>
    <w:p>
      <w:pPr>
        <w:spacing w:before="1"/>
        <w:ind w:left="1587" w:right="0" w:firstLine="0"/>
        <w:jc w:val="left"/>
        <w:rPr>
          <w:b/>
          <w:sz w:val="28"/>
        </w:rPr>
      </w:pPr>
      <w:r>
        <w:rPr>
          <w:b/>
          <w:color w:val="658464"/>
          <w:w w:val="110"/>
          <w:sz w:val="28"/>
        </w:rPr>
        <w:t>Introduction</w:t>
      </w:r>
    </w:p>
    <w:p>
      <w:pPr>
        <w:pStyle w:val="ListParagraph"/>
        <w:numPr>
          <w:ilvl w:val="1"/>
          <w:numId w:val="16"/>
        </w:numPr>
        <w:tabs>
          <w:tab w:pos="2380" w:val="left" w:leader="none"/>
          <w:tab w:pos="2381" w:val="left" w:leader="none"/>
        </w:tabs>
        <w:spacing w:line="242" w:lineRule="auto" w:before="155" w:after="0"/>
        <w:ind w:left="2381" w:right="1672" w:hanging="794"/>
        <w:jc w:val="left"/>
        <w:rPr>
          <w:sz w:val="21"/>
        </w:rPr>
      </w:pPr>
      <w:r>
        <w:rPr>
          <w:spacing w:val="-5"/>
          <w:sz w:val="21"/>
        </w:rPr>
        <w:t>Tree </w:t>
      </w:r>
      <w:r>
        <w:rPr>
          <w:spacing w:val="-3"/>
          <w:sz w:val="21"/>
        </w:rPr>
        <w:t>disputes </w:t>
      </w:r>
      <w:r>
        <w:rPr>
          <w:sz w:val="21"/>
        </w:rPr>
        <w:t>and associated issues can </w:t>
      </w:r>
      <w:r>
        <w:rPr>
          <w:spacing w:val="-3"/>
          <w:sz w:val="21"/>
        </w:rPr>
        <w:t>continue  </w:t>
      </w:r>
      <w:r>
        <w:rPr>
          <w:sz w:val="21"/>
        </w:rPr>
        <w:t>after the sale of the </w:t>
      </w:r>
      <w:r>
        <w:rPr>
          <w:spacing w:val="-3"/>
          <w:sz w:val="21"/>
        </w:rPr>
        <w:t>land</w:t>
      </w:r>
      <w:r>
        <w:rPr>
          <w:spacing w:val="41"/>
          <w:sz w:val="21"/>
        </w:rPr>
        <w:t> </w:t>
      </w:r>
      <w:r>
        <w:rPr>
          <w:sz w:val="21"/>
        </w:rPr>
        <w:t>of the tree owner or the affected </w:t>
      </w:r>
      <w:r>
        <w:rPr>
          <w:spacing w:val="-4"/>
          <w:sz w:val="21"/>
        </w:rPr>
        <w:t>neighbour.  </w:t>
      </w:r>
      <w:r>
        <w:rPr>
          <w:sz w:val="21"/>
        </w:rPr>
        <w:t>Acts  in  New  South  </w:t>
      </w:r>
      <w:r>
        <w:rPr>
          <w:spacing w:val="-3"/>
          <w:sz w:val="21"/>
        </w:rPr>
        <w:t>Wales,  Queensland  </w:t>
      </w:r>
      <w:r>
        <w:rPr>
          <w:sz w:val="21"/>
        </w:rPr>
        <w:t>and  </w:t>
      </w:r>
      <w:r>
        <w:rPr>
          <w:spacing w:val="-5"/>
          <w:sz w:val="21"/>
        </w:rPr>
        <w:t>Tasmania </w:t>
      </w:r>
      <w:r>
        <w:rPr>
          <w:sz w:val="21"/>
        </w:rPr>
        <w:t>set out the legal position when </w:t>
      </w:r>
      <w:r>
        <w:rPr>
          <w:spacing w:val="-3"/>
          <w:sz w:val="21"/>
        </w:rPr>
        <w:t>land that </w:t>
      </w:r>
      <w:r>
        <w:rPr>
          <w:sz w:val="21"/>
        </w:rPr>
        <w:t>is the subject of a tree </w:t>
      </w:r>
      <w:r>
        <w:rPr>
          <w:spacing w:val="-3"/>
          <w:sz w:val="21"/>
        </w:rPr>
        <w:t>dispute </w:t>
      </w:r>
      <w:r>
        <w:rPr>
          <w:sz w:val="21"/>
        </w:rPr>
        <w:t>is sold. They shift the </w:t>
      </w:r>
      <w:r>
        <w:rPr>
          <w:spacing w:val="-3"/>
          <w:sz w:val="21"/>
        </w:rPr>
        <w:t>responsibility </w:t>
      </w:r>
      <w:r>
        <w:rPr>
          <w:sz w:val="21"/>
        </w:rPr>
        <w:t>and benefits of tree </w:t>
      </w:r>
      <w:r>
        <w:rPr>
          <w:spacing w:val="-3"/>
          <w:sz w:val="21"/>
        </w:rPr>
        <w:t>dispute </w:t>
      </w:r>
      <w:r>
        <w:rPr>
          <w:sz w:val="21"/>
        </w:rPr>
        <w:t>orders </w:t>
      </w:r>
      <w:r>
        <w:rPr>
          <w:spacing w:val="-3"/>
          <w:sz w:val="21"/>
        </w:rPr>
        <w:t>to </w:t>
      </w:r>
      <w:r>
        <w:rPr>
          <w:sz w:val="21"/>
        </w:rPr>
        <w:t>new owners. The </w:t>
      </w:r>
      <w:r>
        <w:rPr>
          <w:spacing w:val="-3"/>
          <w:sz w:val="21"/>
        </w:rPr>
        <w:t>way that </w:t>
      </w:r>
      <w:r>
        <w:rPr>
          <w:sz w:val="21"/>
        </w:rPr>
        <w:t>this is done differs in each</w:t>
      </w:r>
      <w:r>
        <w:rPr>
          <w:spacing w:val="33"/>
          <w:sz w:val="21"/>
        </w:rPr>
        <w:t> </w:t>
      </w:r>
      <w:r>
        <w:rPr>
          <w:spacing w:val="-3"/>
          <w:sz w:val="21"/>
        </w:rPr>
        <w:t>State</w:t>
      </w:r>
    </w:p>
    <w:p>
      <w:pPr>
        <w:pStyle w:val="ListParagraph"/>
        <w:numPr>
          <w:ilvl w:val="1"/>
          <w:numId w:val="16"/>
        </w:numPr>
        <w:tabs>
          <w:tab w:pos="2380" w:val="left" w:leader="none"/>
          <w:tab w:pos="2381" w:val="left" w:leader="none"/>
        </w:tabs>
        <w:spacing w:line="242" w:lineRule="auto" w:before="125" w:after="0"/>
        <w:ind w:left="2380" w:right="1653" w:hanging="793"/>
        <w:jc w:val="left"/>
        <w:rPr>
          <w:sz w:val="21"/>
        </w:rPr>
      </w:pPr>
      <w:r>
        <w:rPr>
          <w:sz w:val="21"/>
        </w:rPr>
        <w:t>This </w:t>
      </w:r>
      <w:r>
        <w:rPr>
          <w:spacing w:val="-3"/>
          <w:sz w:val="21"/>
        </w:rPr>
        <w:t>chapter </w:t>
      </w:r>
      <w:r>
        <w:rPr>
          <w:sz w:val="21"/>
        </w:rPr>
        <w:t>describes </w:t>
      </w:r>
      <w:r>
        <w:rPr>
          <w:spacing w:val="-4"/>
          <w:sz w:val="21"/>
        </w:rPr>
        <w:t>key </w:t>
      </w:r>
      <w:r>
        <w:rPr>
          <w:sz w:val="21"/>
        </w:rPr>
        <w:t>elements of the interstate Acts. It then considers community responses </w:t>
      </w:r>
      <w:r>
        <w:rPr>
          <w:spacing w:val="-3"/>
          <w:sz w:val="21"/>
        </w:rPr>
        <w:t>to </w:t>
      </w:r>
      <w:r>
        <w:rPr>
          <w:sz w:val="21"/>
        </w:rPr>
        <w:t>the questions posed in the </w:t>
      </w:r>
      <w:r>
        <w:rPr>
          <w:spacing w:val="-3"/>
          <w:sz w:val="21"/>
        </w:rPr>
        <w:t>consultation </w:t>
      </w:r>
      <w:r>
        <w:rPr>
          <w:spacing w:val="-4"/>
          <w:sz w:val="21"/>
        </w:rPr>
        <w:t>paper. </w:t>
      </w:r>
      <w:r>
        <w:rPr>
          <w:sz w:val="21"/>
        </w:rPr>
        <w:t>It </w:t>
      </w:r>
      <w:r>
        <w:rPr>
          <w:spacing w:val="-3"/>
          <w:sz w:val="21"/>
        </w:rPr>
        <w:t>concludes </w:t>
      </w:r>
      <w:r>
        <w:rPr>
          <w:sz w:val="21"/>
        </w:rPr>
        <w:t>with </w:t>
      </w:r>
      <w:r>
        <w:rPr>
          <w:spacing w:val="-3"/>
          <w:sz w:val="21"/>
        </w:rPr>
        <w:t>recommendations </w:t>
      </w:r>
      <w:r>
        <w:rPr>
          <w:sz w:val="21"/>
        </w:rPr>
        <w:t>about how rights and </w:t>
      </w:r>
      <w:r>
        <w:rPr>
          <w:spacing w:val="-3"/>
          <w:sz w:val="21"/>
        </w:rPr>
        <w:t>obligations that </w:t>
      </w:r>
      <w:r>
        <w:rPr>
          <w:sz w:val="21"/>
        </w:rPr>
        <w:t>arise in  pre-existing  </w:t>
      </w:r>
      <w:r>
        <w:rPr>
          <w:spacing w:val="-3"/>
          <w:sz w:val="21"/>
        </w:rPr>
        <w:t>disputes </w:t>
      </w:r>
      <w:r>
        <w:rPr>
          <w:sz w:val="21"/>
        </w:rPr>
        <w:t>should apply where </w:t>
      </w:r>
      <w:r>
        <w:rPr>
          <w:spacing w:val="-3"/>
          <w:sz w:val="21"/>
        </w:rPr>
        <w:t>land </w:t>
      </w:r>
      <w:r>
        <w:rPr>
          <w:sz w:val="21"/>
        </w:rPr>
        <w:t>is </w:t>
      </w:r>
      <w:r>
        <w:rPr>
          <w:spacing w:val="-3"/>
          <w:sz w:val="21"/>
        </w:rPr>
        <w:t>bought </w:t>
      </w:r>
      <w:r>
        <w:rPr>
          <w:sz w:val="21"/>
        </w:rPr>
        <w:t>and sold; and </w:t>
      </w:r>
      <w:r>
        <w:rPr>
          <w:spacing w:val="-3"/>
          <w:sz w:val="21"/>
        </w:rPr>
        <w:t>concludes that </w:t>
      </w:r>
      <w:r>
        <w:rPr>
          <w:sz w:val="21"/>
        </w:rPr>
        <w:t>a </w:t>
      </w:r>
      <w:r>
        <w:rPr>
          <w:spacing w:val="-3"/>
          <w:sz w:val="21"/>
        </w:rPr>
        <w:t>searchable </w:t>
      </w:r>
      <w:r>
        <w:rPr>
          <w:sz w:val="21"/>
        </w:rPr>
        <w:t>database of orders is </w:t>
      </w:r>
      <w:r>
        <w:rPr>
          <w:spacing w:val="-2"/>
          <w:sz w:val="21"/>
        </w:rPr>
        <w:t>not </w:t>
      </w:r>
      <w:r>
        <w:rPr>
          <w:spacing w:val="-3"/>
          <w:sz w:val="21"/>
        </w:rPr>
        <w:t>required </w:t>
      </w:r>
      <w:r>
        <w:rPr>
          <w:sz w:val="21"/>
        </w:rPr>
        <w:t>in</w:t>
      </w:r>
      <w:r>
        <w:rPr>
          <w:spacing w:val="46"/>
          <w:sz w:val="21"/>
        </w:rPr>
        <w:t> </w:t>
      </w:r>
      <w:r>
        <w:rPr>
          <w:sz w:val="21"/>
        </w:rPr>
        <w:t>Victoria.</w:t>
      </w:r>
    </w:p>
    <w:p>
      <w:pPr>
        <w:pStyle w:val="BodyText"/>
        <w:rPr>
          <w:sz w:val="22"/>
        </w:rPr>
      </w:pPr>
    </w:p>
    <w:p>
      <w:pPr>
        <w:spacing w:before="0"/>
        <w:ind w:left="1587" w:right="0" w:firstLine="0"/>
        <w:jc w:val="left"/>
        <w:rPr>
          <w:b/>
          <w:sz w:val="28"/>
        </w:rPr>
      </w:pPr>
      <w:r>
        <w:rPr>
          <w:b/>
          <w:color w:val="658464"/>
          <w:w w:val="115"/>
          <w:sz w:val="28"/>
        </w:rPr>
        <w:t>New South Wales</w:t>
      </w:r>
    </w:p>
    <w:p>
      <w:pPr>
        <w:pStyle w:val="Heading5"/>
        <w:spacing w:before="167"/>
      </w:pPr>
      <w:r>
        <w:rPr>
          <w:w w:val="115"/>
        </w:rPr>
        <w:t>Affected neighbour must inform new tree owners</w:t>
      </w:r>
    </w:p>
    <w:p>
      <w:pPr>
        <w:pStyle w:val="ListParagraph"/>
        <w:numPr>
          <w:ilvl w:val="1"/>
          <w:numId w:val="16"/>
        </w:numPr>
        <w:tabs>
          <w:tab w:pos="2381" w:val="left" w:leader="none"/>
          <w:tab w:pos="2382" w:val="left" w:leader="none"/>
        </w:tabs>
        <w:spacing w:line="242" w:lineRule="auto" w:before="137" w:after="0"/>
        <w:ind w:left="2381" w:right="1684" w:hanging="794"/>
        <w:jc w:val="left"/>
        <w:rPr>
          <w:sz w:val="21"/>
        </w:rPr>
      </w:pPr>
      <w:r>
        <w:rPr>
          <w:sz w:val="21"/>
        </w:rPr>
        <w:t>In New South </w:t>
      </w:r>
      <w:r>
        <w:rPr>
          <w:spacing w:val="-3"/>
          <w:sz w:val="21"/>
        </w:rPr>
        <w:t>Wales  </w:t>
      </w:r>
      <w:r>
        <w:rPr>
          <w:sz w:val="21"/>
        </w:rPr>
        <w:t>a new tree owner </w:t>
      </w:r>
      <w:r>
        <w:rPr>
          <w:spacing w:val="-3"/>
          <w:sz w:val="21"/>
        </w:rPr>
        <w:t>will</w:t>
      </w:r>
      <w:r>
        <w:rPr>
          <w:spacing w:val="41"/>
          <w:sz w:val="21"/>
        </w:rPr>
        <w:t> </w:t>
      </w:r>
      <w:r>
        <w:rPr>
          <w:sz w:val="21"/>
        </w:rPr>
        <w:t>be bound by pre-existing orders after title </w:t>
      </w:r>
      <w:r>
        <w:rPr>
          <w:spacing w:val="-3"/>
          <w:sz w:val="21"/>
        </w:rPr>
        <w:t>to  </w:t>
      </w:r>
      <w:r>
        <w:rPr>
          <w:sz w:val="21"/>
        </w:rPr>
        <w:t>the </w:t>
      </w:r>
      <w:r>
        <w:rPr>
          <w:spacing w:val="-3"/>
          <w:sz w:val="21"/>
        </w:rPr>
        <w:t>land </w:t>
      </w:r>
      <w:r>
        <w:rPr>
          <w:spacing w:val="-2"/>
          <w:sz w:val="21"/>
        </w:rPr>
        <w:t>has </w:t>
      </w:r>
      <w:r>
        <w:rPr>
          <w:sz w:val="21"/>
        </w:rPr>
        <w:t>passed </w:t>
      </w:r>
      <w:r>
        <w:rPr>
          <w:spacing w:val="-3"/>
          <w:sz w:val="21"/>
        </w:rPr>
        <w:t>to  </w:t>
      </w:r>
      <w:r>
        <w:rPr>
          <w:sz w:val="21"/>
        </w:rPr>
        <w:t>them, provided </w:t>
      </w:r>
      <w:r>
        <w:rPr>
          <w:spacing w:val="-3"/>
          <w:sz w:val="21"/>
        </w:rPr>
        <w:t>that</w:t>
      </w:r>
      <w:r>
        <w:rPr>
          <w:spacing w:val="41"/>
          <w:sz w:val="21"/>
        </w:rPr>
        <w:t> </w:t>
      </w:r>
      <w:r>
        <w:rPr>
          <w:sz w:val="21"/>
        </w:rPr>
        <w:t>the affected </w:t>
      </w:r>
      <w:r>
        <w:rPr>
          <w:spacing w:val="-3"/>
          <w:sz w:val="21"/>
        </w:rPr>
        <w:t>neighbour  </w:t>
      </w:r>
      <w:r>
        <w:rPr>
          <w:sz w:val="21"/>
        </w:rPr>
        <w:t>(applicant) </w:t>
      </w:r>
      <w:r>
        <w:rPr>
          <w:spacing w:val="-3"/>
          <w:sz w:val="21"/>
        </w:rPr>
        <w:t>gave  </w:t>
      </w:r>
      <w:r>
        <w:rPr>
          <w:sz w:val="21"/>
        </w:rPr>
        <w:t>them  a </w:t>
      </w:r>
      <w:r>
        <w:rPr>
          <w:spacing w:val="-3"/>
          <w:sz w:val="21"/>
        </w:rPr>
        <w:t>copy </w:t>
      </w:r>
      <w:r>
        <w:rPr>
          <w:sz w:val="21"/>
        </w:rPr>
        <w:t>of the</w:t>
      </w:r>
      <w:r>
        <w:rPr>
          <w:spacing w:val="36"/>
          <w:sz w:val="21"/>
        </w:rPr>
        <w:t> </w:t>
      </w:r>
      <w:r>
        <w:rPr>
          <w:spacing w:val="-4"/>
          <w:sz w:val="21"/>
        </w:rPr>
        <w:t>orders.</w:t>
      </w:r>
      <w:r>
        <w:rPr>
          <w:spacing w:val="-4"/>
          <w:position w:val="7"/>
          <w:sz w:val="12"/>
        </w:rPr>
        <w:t>1</w:t>
      </w:r>
    </w:p>
    <w:p>
      <w:pPr>
        <w:pStyle w:val="ListParagraph"/>
        <w:numPr>
          <w:ilvl w:val="1"/>
          <w:numId w:val="16"/>
        </w:numPr>
        <w:tabs>
          <w:tab w:pos="2380" w:val="left" w:leader="none"/>
          <w:tab w:pos="2381" w:val="left" w:leader="none"/>
        </w:tabs>
        <w:spacing w:line="242" w:lineRule="auto" w:before="123" w:after="0"/>
        <w:ind w:left="2381" w:right="1740" w:hanging="794"/>
        <w:jc w:val="left"/>
        <w:rPr>
          <w:sz w:val="21"/>
        </w:rPr>
      </w:pPr>
      <w:r>
        <w:rPr>
          <w:w w:val="105"/>
          <w:sz w:val="21"/>
        </w:rPr>
        <w:t>The Land and </w:t>
      </w:r>
      <w:r>
        <w:rPr>
          <w:spacing w:val="-3"/>
          <w:w w:val="105"/>
          <w:sz w:val="21"/>
        </w:rPr>
        <w:t>Environment Court </w:t>
      </w:r>
      <w:r>
        <w:rPr>
          <w:w w:val="105"/>
          <w:sz w:val="21"/>
        </w:rPr>
        <w:t>of New South </w:t>
      </w:r>
      <w:r>
        <w:rPr>
          <w:spacing w:val="-3"/>
          <w:w w:val="105"/>
          <w:sz w:val="21"/>
        </w:rPr>
        <w:t>Wales </w:t>
      </w:r>
      <w:r>
        <w:rPr>
          <w:w w:val="105"/>
          <w:sz w:val="21"/>
        </w:rPr>
        <w:t>(the </w:t>
      </w:r>
      <w:r>
        <w:rPr>
          <w:spacing w:val="-3"/>
          <w:w w:val="105"/>
          <w:sz w:val="21"/>
        </w:rPr>
        <w:t>Court) </w:t>
      </w:r>
      <w:r>
        <w:rPr>
          <w:w w:val="105"/>
          <w:sz w:val="21"/>
        </w:rPr>
        <w:t>provides the affected </w:t>
      </w:r>
      <w:r>
        <w:rPr>
          <w:spacing w:val="-3"/>
          <w:w w:val="105"/>
          <w:sz w:val="21"/>
        </w:rPr>
        <w:t>neighbour </w:t>
      </w:r>
      <w:r>
        <w:rPr>
          <w:w w:val="105"/>
          <w:sz w:val="21"/>
        </w:rPr>
        <w:t>with </w:t>
      </w:r>
      <w:r>
        <w:rPr>
          <w:spacing w:val="-3"/>
          <w:w w:val="105"/>
          <w:sz w:val="21"/>
        </w:rPr>
        <w:t>information </w:t>
      </w:r>
      <w:r>
        <w:rPr>
          <w:w w:val="105"/>
          <w:sz w:val="21"/>
        </w:rPr>
        <w:t>about how </w:t>
      </w:r>
      <w:r>
        <w:rPr>
          <w:spacing w:val="-3"/>
          <w:w w:val="105"/>
          <w:sz w:val="21"/>
        </w:rPr>
        <w:t>to </w:t>
      </w:r>
      <w:r>
        <w:rPr>
          <w:w w:val="105"/>
          <w:sz w:val="21"/>
        </w:rPr>
        <w:t>notify new tree owners of orders. </w:t>
      </w:r>
      <w:r>
        <w:rPr>
          <w:spacing w:val="-3"/>
          <w:w w:val="105"/>
          <w:sz w:val="21"/>
        </w:rPr>
        <w:t>Copies </w:t>
      </w:r>
      <w:r>
        <w:rPr>
          <w:w w:val="105"/>
          <w:sz w:val="21"/>
        </w:rPr>
        <w:t>of orders </w:t>
      </w:r>
      <w:r>
        <w:rPr>
          <w:spacing w:val="-3"/>
          <w:w w:val="105"/>
          <w:sz w:val="21"/>
        </w:rPr>
        <w:t>are </w:t>
      </w:r>
      <w:r>
        <w:rPr>
          <w:w w:val="105"/>
          <w:sz w:val="21"/>
        </w:rPr>
        <w:t>sent </w:t>
      </w:r>
      <w:r>
        <w:rPr>
          <w:spacing w:val="-3"/>
          <w:w w:val="105"/>
          <w:sz w:val="21"/>
        </w:rPr>
        <w:t>to </w:t>
      </w:r>
      <w:r>
        <w:rPr>
          <w:w w:val="105"/>
          <w:sz w:val="21"/>
        </w:rPr>
        <w:t>the affected </w:t>
      </w:r>
      <w:r>
        <w:rPr>
          <w:spacing w:val="-3"/>
          <w:w w:val="105"/>
          <w:sz w:val="21"/>
        </w:rPr>
        <w:t>neighbour </w:t>
      </w:r>
      <w:r>
        <w:rPr>
          <w:w w:val="105"/>
          <w:sz w:val="21"/>
        </w:rPr>
        <w:t>‘with a standard letter </w:t>
      </w:r>
      <w:r>
        <w:rPr>
          <w:spacing w:val="-2"/>
          <w:w w:val="105"/>
          <w:sz w:val="21"/>
        </w:rPr>
        <w:t>advising </w:t>
      </w:r>
      <w:r>
        <w:rPr>
          <w:w w:val="105"/>
          <w:sz w:val="21"/>
        </w:rPr>
        <w:t>the </w:t>
      </w:r>
      <w:r>
        <w:rPr>
          <w:spacing w:val="-3"/>
          <w:w w:val="105"/>
          <w:sz w:val="21"/>
        </w:rPr>
        <w:t>applicant </w:t>
      </w:r>
      <w:r>
        <w:rPr>
          <w:w w:val="105"/>
          <w:sz w:val="21"/>
        </w:rPr>
        <w:t>of the </w:t>
      </w:r>
      <w:r>
        <w:rPr>
          <w:spacing w:val="-3"/>
          <w:w w:val="105"/>
          <w:sz w:val="21"/>
        </w:rPr>
        <w:t>provisions </w:t>
      </w:r>
      <w:r>
        <w:rPr>
          <w:w w:val="115"/>
          <w:sz w:val="21"/>
        </w:rPr>
        <w:t>… </w:t>
      </w:r>
      <w:r>
        <w:rPr>
          <w:spacing w:val="-3"/>
          <w:w w:val="105"/>
          <w:sz w:val="21"/>
        </w:rPr>
        <w:t>and, </w:t>
      </w:r>
      <w:r>
        <w:rPr>
          <w:w w:val="105"/>
          <w:sz w:val="21"/>
        </w:rPr>
        <w:t>as a </w:t>
      </w:r>
      <w:r>
        <w:rPr>
          <w:spacing w:val="-3"/>
          <w:w w:val="105"/>
          <w:sz w:val="21"/>
        </w:rPr>
        <w:t>consequence, </w:t>
      </w:r>
      <w:r>
        <w:rPr>
          <w:w w:val="105"/>
          <w:sz w:val="21"/>
        </w:rPr>
        <w:t>the steps </w:t>
      </w:r>
      <w:r>
        <w:rPr>
          <w:spacing w:val="-3"/>
          <w:w w:val="105"/>
          <w:sz w:val="21"/>
        </w:rPr>
        <w:t>that </w:t>
      </w:r>
      <w:r>
        <w:rPr>
          <w:w w:val="105"/>
          <w:sz w:val="21"/>
        </w:rPr>
        <w:t>the [affected </w:t>
      </w:r>
      <w:r>
        <w:rPr>
          <w:spacing w:val="-3"/>
          <w:w w:val="105"/>
          <w:sz w:val="21"/>
        </w:rPr>
        <w:t>neighbour] </w:t>
      </w:r>
      <w:r>
        <w:rPr>
          <w:w w:val="105"/>
          <w:sz w:val="21"/>
        </w:rPr>
        <w:t>must </w:t>
      </w:r>
      <w:r>
        <w:rPr>
          <w:spacing w:val="-3"/>
          <w:w w:val="105"/>
          <w:sz w:val="21"/>
        </w:rPr>
        <w:t>take to ensure that </w:t>
      </w:r>
      <w:r>
        <w:rPr>
          <w:w w:val="105"/>
          <w:sz w:val="21"/>
        </w:rPr>
        <w:t>the orders </w:t>
      </w:r>
      <w:r>
        <w:rPr>
          <w:spacing w:val="-3"/>
          <w:w w:val="105"/>
          <w:sz w:val="21"/>
        </w:rPr>
        <w:t>remain </w:t>
      </w:r>
      <w:r>
        <w:rPr>
          <w:w w:val="105"/>
          <w:sz w:val="21"/>
        </w:rPr>
        <w:t>in </w:t>
      </w:r>
      <w:r>
        <w:rPr>
          <w:spacing w:val="-3"/>
          <w:w w:val="105"/>
          <w:sz w:val="21"/>
        </w:rPr>
        <w:t>force </w:t>
      </w:r>
      <w:r>
        <w:rPr>
          <w:w w:val="105"/>
          <w:sz w:val="21"/>
        </w:rPr>
        <w:t>if the tree owner sells the property on which the tree is</w:t>
      </w:r>
      <w:r>
        <w:rPr>
          <w:spacing w:val="20"/>
          <w:w w:val="105"/>
          <w:sz w:val="21"/>
        </w:rPr>
        <w:t> </w:t>
      </w:r>
      <w:r>
        <w:rPr>
          <w:spacing w:val="-4"/>
          <w:w w:val="105"/>
          <w:sz w:val="21"/>
        </w:rPr>
        <w:t>located’.</w:t>
      </w:r>
      <w:r>
        <w:rPr>
          <w:spacing w:val="-4"/>
          <w:w w:val="105"/>
          <w:position w:val="7"/>
          <w:sz w:val="12"/>
        </w:rPr>
        <w:t>2</w:t>
      </w:r>
    </w:p>
    <w:p>
      <w:pPr>
        <w:pStyle w:val="ListParagraph"/>
        <w:numPr>
          <w:ilvl w:val="1"/>
          <w:numId w:val="16"/>
        </w:numPr>
        <w:tabs>
          <w:tab w:pos="2381" w:val="left" w:leader="none"/>
          <w:tab w:pos="2382" w:val="left" w:leader="none"/>
        </w:tabs>
        <w:spacing w:line="242" w:lineRule="auto" w:before="127" w:after="0"/>
        <w:ind w:left="2381" w:right="1729" w:hanging="794"/>
        <w:jc w:val="left"/>
        <w:rPr>
          <w:sz w:val="21"/>
        </w:rPr>
      </w:pPr>
      <w:r>
        <w:rPr>
          <w:w w:val="105"/>
          <w:sz w:val="21"/>
        </w:rPr>
        <w:t>The NSW Act does </w:t>
      </w:r>
      <w:r>
        <w:rPr>
          <w:spacing w:val="-2"/>
          <w:w w:val="105"/>
          <w:sz w:val="21"/>
        </w:rPr>
        <w:t>not </w:t>
      </w:r>
      <w:r>
        <w:rPr>
          <w:w w:val="105"/>
          <w:sz w:val="21"/>
        </w:rPr>
        <w:t>state whether the affected </w:t>
      </w:r>
      <w:r>
        <w:rPr>
          <w:spacing w:val="-3"/>
          <w:w w:val="105"/>
          <w:sz w:val="21"/>
        </w:rPr>
        <w:t>neighbour </w:t>
      </w:r>
      <w:r>
        <w:rPr>
          <w:w w:val="105"/>
          <w:sz w:val="21"/>
        </w:rPr>
        <w:t>is </w:t>
      </w:r>
      <w:r>
        <w:rPr>
          <w:spacing w:val="-3"/>
          <w:w w:val="105"/>
          <w:sz w:val="21"/>
        </w:rPr>
        <w:t>required to </w:t>
      </w:r>
      <w:r>
        <w:rPr>
          <w:w w:val="105"/>
          <w:sz w:val="21"/>
        </w:rPr>
        <w:t>give the new tree owner a </w:t>
      </w:r>
      <w:r>
        <w:rPr>
          <w:spacing w:val="-3"/>
          <w:w w:val="105"/>
          <w:sz w:val="21"/>
        </w:rPr>
        <w:t>copy </w:t>
      </w:r>
      <w:r>
        <w:rPr>
          <w:w w:val="105"/>
          <w:sz w:val="21"/>
        </w:rPr>
        <w:t>of the order </w:t>
      </w:r>
      <w:r>
        <w:rPr>
          <w:spacing w:val="-3"/>
          <w:w w:val="105"/>
          <w:sz w:val="21"/>
        </w:rPr>
        <w:t>before transfer </w:t>
      </w:r>
      <w:r>
        <w:rPr>
          <w:w w:val="105"/>
          <w:sz w:val="21"/>
        </w:rPr>
        <w:t>of </w:t>
      </w:r>
      <w:r>
        <w:rPr>
          <w:spacing w:val="-3"/>
          <w:w w:val="105"/>
          <w:sz w:val="21"/>
        </w:rPr>
        <w:t>land </w:t>
      </w:r>
      <w:r>
        <w:rPr>
          <w:w w:val="105"/>
          <w:sz w:val="21"/>
        </w:rPr>
        <w:t>(or settlement) occurs.</w:t>
      </w:r>
      <w:r>
        <w:rPr>
          <w:w w:val="105"/>
          <w:position w:val="7"/>
          <w:sz w:val="12"/>
        </w:rPr>
        <w:t>3 </w:t>
      </w:r>
      <w:r>
        <w:rPr>
          <w:spacing w:val="-4"/>
          <w:w w:val="105"/>
          <w:sz w:val="21"/>
        </w:rPr>
        <w:t>Any </w:t>
      </w:r>
      <w:r>
        <w:rPr>
          <w:spacing w:val="-3"/>
          <w:w w:val="105"/>
          <w:sz w:val="21"/>
        </w:rPr>
        <w:t>timelines </w:t>
      </w:r>
      <w:r>
        <w:rPr>
          <w:w w:val="105"/>
          <w:sz w:val="21"/>
        </w:rPr>
        <w:t>in the orders re-commence when a </w:t>
      </w:r>
      <w:r>
        <w:rPr>
          <w:spacing w:val="-3"/>
          <w:w w:val="105"/>
          <w:sz w:val="21"/>
        </w:rPr>
        <w:t>copy </w:t>
      </w:r>
      <w:r>
        <w:rPr>
          <w:w w:val="105"/>
          <w:sz w:val="21"/>
        </w:rPr>
        <w:t>of the order is given </w:t>
      </w:r>
      <w:r>
        <w:rPr>
          <w:spacing w:val="-3"/>
          <w:w w:val="105"/>
          <w:sz w:val="21"/>
        </w:rPr>
        <w:t>to </w:t>
      </w:r>
      <w:r>
        <w:rPr>
          <w:w w:val="105"/>
          <w:sz w:val="21"/>
        </w:rPr>
        <w:t>the new tree </w:t>
      </w:r>
      <w:r>
        <w:rPr>
          <w:spacing w:val="-4"/>
          <w:w w:val="105"/>
          <w:sz w:val="21"/>
        </w:rPr>
        <w:t>owner.</w:t>
      </w:r>
      <w:r>
        <w:rPr>
          <w:spacing w:val="-4"/>
          <w:w w:val="105"/>
          <w:position w:val="7"/>
          <w:sz w:val="12"/>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r>
        <w:rPr/>
        <w:pict>
          <v:line style="position:absolute;mso-position-horizontal-relative:page;mso-position-vertical-relative:paragraph;z-index:10736;mso-wrap-distance-left:0;mso-wrap-distance-right:0" from="79.370102pt,10.998661pt" to="515.905102pt,10.998661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spacing w:before="220"/>
        <w:ind w:left="720" w:right="0" w:firstLine="0"/>
        <w:jc w:val="left"/>
        <w:rPr>
          <w:b/>
          <w:sz w:val="24"/>
        </w:rPr>
      </w:pPr>
      <w:r>
        <w:rPr>
          <w:b/>
          <w:color w:val="658464"/>
          <w:w w:val="105"/>
          <w:sz w:val="24"/>
        </w:rPr>
        <w:t>260</w:t>
      </w:r>
    </w:p>
    <w:p>
      <w:pPr>
        <w:pStyle w:val="ListParagraph"/>
        <w:numPr>
          <w:ilvl w:val="0"/>
          <w:numId w:val="190"/>
        </w:numPr>
        <w:tabs>
          <w:tab w:pos="1220" w:val="left" w:leader="none"/>
          <w:tab w:pos="1221" w:val="left" w:leader="none"/>
        </w:tabs>
        <w:spacing w:line="240" w:lineRule="auto" w:before="48" w:after="0"/>
        <w:ind w:left="1220" w:right="0" w:hanging="794"/>
        <w:jc w:val="left"/>
        <w:rPr>
          <w:sz w:val="13"/>
        </w:rPr>
      </w:pPr>
      <w:r>
        <w:rPr>
          <w:i/>
          <w:spacing w:val="-5"/>
          <w:w w:val="102"/>
          <w:sz w:val="13"/>
        </w:rPr>
        <w:br w:type="column"/>
      </w:r>
      <w:r>
        <w:rPr>
          <w:i/>
          <w:w w:val="105"/>
          <w:sz w:val="13"/>
        </w:rPr>
        <w:t>Trees (Disputes Between Neighbours) Act 2006 </w:t>
      </w:r>
      <w:r>
        <w:rPr>
          <w:spacing w:val="3"/>
          <w:w w:val="105"/>
          <w:sz w:val="13"/>
        </w:rPr>
        <w:t>(NSW) </w:t>
      </w:r>
      <w:r>
        <w:rPr>
          <w:w w:val="105"/>
          <w:sz w:val="13"/>
        </w:rPr>
        <w:t>ss</w:t>
      </w:r>
      <w:r>
        <w:rPr>
          <w:spacing w:val="4"/>
          <w:w w:val="105"/>
          <w:sz w:val="13"/>
        </w:rPr>
        <w:t> </w:t>
      </w:r>
      <w:r>
        <w:rPr>
          <w:spacing w:val="3"/>
          <w:w w:val="105"/>
          <w:sz w:val="13"/>
        </w:rPr>
        <w:t>16(1)–(2).</w:t>
      </w:r>
    </w:p>
    <w:p>
      <w:pPr>
        <w:pStyle w:val="ListParagraph"/>
        <w:numPr>
          <w:ilvl w:val="0"/>
          <w:numId w:val="190"/>
        </w:numPr>
        <w:tabs>
          <w:tab w:pos="1220" w:val="left" w:leader="none"/>
          <w:tab w:pos="1221" w:val="left" w:leader="none"/>
        </w:tabs>
        <w:spacing w:line="240" w:lineRule="auto" w:before="1" w:after="0"/>
        <w:ind w:left="1220" w:right="0" w:hanging="794"/>
        <w:jc w:val="left"/>
        <w:rPr>
          <w:sz w:val="13"/>
        </w:rPr>
      </w:pPr>
      <w:r>
        <w:rPr>
          <w:w w:val="105"/>
          <w:sz w:val="13"/>
        </w:rPr>
        <w:t>Land</w:t>
      </w:r>
      <w:r>
        <w:rPr>
          <w:spacing w:val="5"/>
          <w:w w:val="105"/>
          <w:sz w:val="13"/>
        </w:rPr>
        <w:t> </w:t>
      </w:r>
      <w:r>
        <w:rPr>
          <w:w w:val="105"/>
          <w:sz w:val="13"/>
        </w:rPr>
        <w:t>and</w:t>
      </w:r>
      <w:r>
        <w:rPr>
          <w:spacing w:val="6"/>
          <w:w w:val="105"/>
          <w:sz w:val="13"/>
        </w:rPr>
        <w:t> </w:t>
      </w:r>
      <w:r>
        <w:rPr>
          <w:w w:val="105"/>
          <w:sz w:val="13"/>
        </w:rPr>
        <w:t>Environment</w:t>
      </w:r>
      <w:r>
        <w:rPr>
          <w:spacing w:val="6"/>
          <w:w w:val="105"/>
          <w:sz w:val="13"/>
        </w:rPr>
        <w:t> </w:t>
      </w:r>
      <w:r>
        <w:rPr>
          <w:w w:val="105"/>
          <w:sz w:val="13"/>
        </w:rPr>
        <w:t>Court</w:t>
      </w:r>
      <w:r>
        <w:rPr>
          <w:spacing w:val="6"/>
          <w:w w:val="105"/>
          <w:sz w:val="13"/>
        </w:rPr>
        <w:t> </w:t>
      </w:r>
      <w:r>
        <w:rPr>
          <w:w w:val="105"/>
          <w:sz w:val="13"/>
        </w:rPr>
        <w:t>of</w:t>
      </w:r>
      <w:r>
        <w:rPr>
          <w:spacing w:val="6"/>
          <w:w w:val="105"/>
          <w:sz w:val="13"/>
        </w:rPr>
        <w:t> </w:t>
      </w:r>
      <w:r>
        <w:rPr>
          <w:w w:val="105"/>
          <w:sz w:val="13"/>
        </w:rPr>
        <w:t>New</w:t>
      </w:r>
      <w:r>
        <w:rPr>
          <w:spacing w:val="6"/>
          <w:w w:val="105"/>
          <w:sz w:val="13"/>
        </w:rPr>
        <w:t> </w:t>
      </w:r>
      <w:r>
        <w:rPr>
          <w:w w:val="105"/>
          <w:sz w:val="13"/>
        </w:rPr>
        <w:t>South</w:t>
      </w:r>
      <w:r>
        <w:rPr>
          <w:spacing w:val="6"/>
          <w:w w:val="105"/>
          <w:sz w:val="13"/>
        </w:rPr>
        <w:t> </w:t>
      </w:r>
      <w:r>
        <w:rPr>
          <w:w w:val="105"/>
          <w:sz w:val="13"/>
        </w:rPr>
        <w:t>Wales,</w:t>
      </w:r>
      <w:r>
        <w:rPr>
          <w:spacing w:val="6"/>
          <w:w w:val="105"/>
          <w:sz w:val="13"/>
        </w:rPr>
        <w:t> </w:t>
      </w:r>
      <w:r>
        <w:rPr>
          <w:i/>
          <w:w w:val="105"/>
          <w:sz w:val="13"/>
        </w:rPr>
        <w:t>Annotated</w:t>
      </w:r>
      <w:r>
        <w:rPr>
          <w:i/>
          <w:spacing w:val="6"/>
          <w:w w:val="105"/>
          <w:sz w:val="13"/>
        </w:rPr>
        <w:t> </w:t>
      </w:r>
      <w:r>
        <w:rPr>
          <w:i/>
          <w:w w:val="105"/>
          <w:sz w:val="13"/>
        </w:rPr>
        <w:t>Trees</w:t>
      </w:r>
      <w:r>
        <w:rPr>
          <w:i/>
          <w:spacing w:val="6"/>
          <w:w w:val="105"/>
          <w:sz w:val="13"/>
        </w:rPr>
        <w:t> </w:t>
      </w:r>
      <w:r>
        <w:rPr>
          <w:i/>
          <w:w w:val="105"/>
          <w:sz w:val="13"/>
        </w:rPr>
        <w:t>(Disputes</w:t>
      </w:r>
      <w:r>
        <w:rPr>
          <w:i/>
          <w:spacing w:val="6"/>
          <w:w w:val="105"/>
          <w:sz w:val="13"/>
        </w:rPr>
        <w:t> </w:t>
      </w:r>
      <w:r>
        <w:rPr>
          <w:i/>
          <w:w w:val="105"/>
          <w:sz w:val="13"/>
        </w:rPr>
        <w:t>Between</w:t>
      </w:r>
      <w:r>
        <w:rPr>
          <w:i/>
          <w:spacing w:val="6"/>
          <w:w w:val="105"/>
          <w:sz w:val="13"/>
        </w:rPr>
        <w:t> </w:t>
      </w:r>
      <w:r>
        <w:rPr>
          <w:i/>
          <w:w w:val="105"/>
          <w:sz w:val="13"/>
        </w:rPr>
        <w:t>Neighbours)</w:t>
      </w:r>
      <w:r>
        <w:rPr>
          <w:i/>
          <w:spacing w:val="6"/>
          <w:w w:val="105"/>
          <w:sz w:val="13"/>
        </w:rPr>
        <w:t> </w:t>
      </w:r>
      <w:r>
        <w:rPr>
          <w:i/>
          <w:w w:val="105"/>
          <w:sz w:val="13"/>
        </w:rPr>
        <w:t>Act</w:t>
      </w:r>
      <w:r>
        <w:rPr>
          <w:i/>
          <w:spacing w:val="6"/>
          <w:w w:val="105"/>
          <w:sz w:val="13"/>
        </w:rPr>
        <w:t> </w:t>
      </w:r>
      <w:r>
        <w:rPr>
          <w:i/>
          <w:w w:val="105"/>
          <w:sz w:val="13"/>
        </w:rPr>
        <w:t>2006</w:t>
      </w:r>
      <w:r>
        <w:rPr>
          <w:i/>
          <w:spacing w:val="5"/>
          <w:w w:val="105"/>
          <w:sz w:val="13"/>
        </w:rPr>
        <w:t> </w:t>
      </w:r>
      <w:r>
        <w:rPr>
          <w:w w:val="105"/>
          <w:sz w:val="13"/>
        </w:rPr>
        <w:t>(January</w:t>
      </w:r>
      <w:r>
        <w:rPr>
          <w:spacing w:val="6"/>
          <w:w w:val="105"/>
          <w:sz w:val="13"/>
        </w:rPr>
        <w:t> </w:t>
      </w:r>
      <w:r>
        <w:rPr>
          <w:w w:val="105"/>
          <w:sz w:val="13"/>
        </w:rPr>
        <w:t>2013)</w:t>
      </w:r>
      <w:r>
        <w:rPr>
          <w:spacing w:val="6"/>
          <w:w w:val="105"/>
          <w:sz w:val="13"/>
        </w:rPr>
        <w:t> </w:t>
      </w:r>
      <w:r>
        <w:rPr>
          <w:w w:val="105"/>
          <w:sz w:val="13"/>
        </w:rPr>
        <w:t>39.</w:t>
      </w:r>
    </w:p>
    <w:p>
      <w:pPr>
        <w:pStyle w:val="ListParagraph"/>
        <w:numPr>
          <w:ilvl w:val="0"/>
          <w:numId w:val="190"/>
        </w:numPr>
        <w:tabs>
          <w:tab w:pos="1220" w:val="left" w:leader="none"/>
          <w:tab w:pos="1221" w:val="left" w:leader="none"/>
        </w:tabs>
        <w:spacing w:line="240" w:lineRule="auto" w:before="2" w:after="0"/>
        <w:ind w:left="1220" w:right="0" w:hanging="794"/>
        <w:jc w:val="left"/>
        <w:rPr>
          <w:sz w:val="13"/>
        </w:rPr>
      </w:pPr>
      <w:r>
        <w:rPr>
          <w:w w:val="105"/>
          <w:sz w:val="13"/>
        </w:rPr>
        <w:t>See,</w:t>
      </w:r>
      <w:r>
        <w:rPr>
          <w:spacing w:val="4"/>
          <w:w w:val="105"/>
          <w:sz w:val="13"/>
        </w:rPr>
        <w:t> </w:t>
      </w:r>
      <w:r>
        <w:rPr>
          <w:w w:val="105"/>
          <w:sz w:val="13"/>
        </w:rPr>
        <w:t>eg,</w:t>
      </w:r>
      <w:r>
        <w:rPr>
          <w:spacing w:val="5"/>
          <w:w w:val="105"/>
          <w:sz w:val="13"/>
        </w:rPr>
        <w:t> </w:t>
      </w:r>
      <w:r>
        <w:rPr>
          <w:i/>
          <w:w w:val="105"/>
          <w:sz w:val="13"/>
        </w:rPr>
        <w:t>Trees</w:t>
      </w:r>
      <w:r>
        <w:rPr>
          <w:i/>
          <w:spacing w:val="5"/>
          <w:w w:val="105"/>
          <w:sz w:val="13"/>
        </w:rPr>
        <w:t> </w:t>
      </w:r>
      <w:r>
        <w:rPr>
          <w:i/>
          <w:w w:val="105"/>
          <w:sz w:val="13"/>
        </w:rPr>
        <w:t>(Disputes</w:t>
      </w:r>
      <w:r>
        <w:rPr>
          <w:i/>
          <w:spacing w:val="5"/>
          <w:w w:val="105"/>
          <w:sz w:val="13"/>
        </w:rPr>
        <w:t> </w:t>
      </w:r>
      <w:r>
        <w:rPr>
          <w:i/>
          <w:w w:val="105"/>
          <w:sz w:val="13"/>
        </w:rPr>
        <w:t>Between</w:t>
      </w:r>
      <w:r>
        <w:rPr>
          <w:i/>
          <w:spacing w:val="5"/>
          <w:w w:val="105"/>
          <w:sz w:val="13"/>
        </w:rPr>
        <w:t> </w:t>
      </w:r>
      <w:r>
        <w:rPr>
          <w:i/>
          <w:w w:val="105"/>
          <w:sz w:val="13"/>
        </w:rPr>
        <w:t>Neighbours)</w:t>
      </w:r>
      <w:r>
        <w:rPr>
          <w:i/>
          <w:spacing w:val="5"/>
          <w:w w:val="105"/>
          <w:sz w:val="13"/>
        </w:rPr>
        <w:t> </w:t>
      </w:r>
      <w:r>
        <w:rPr>
          <w:i/>
          <w:w w:val="105"/>
          <w:sz w:val="13"/>
        </w:rPr>
        <w:t>Act</w:t>
      </w:r>
      <w:r>
        <w:rPr>
          <w:i/>
          <w:spacing w:val="5"/>
          <w:w w:val="105"/>
          <w:sz w:val="13"/>
        </w:rPr>
        <w:t> </w:t>
      </w:r>
      <w:r>
        <w:rPr>
          <w:i/>
          <w:w w:val="105"/>
          <w:sz w:val="13"/>
        </w:rPr>
        <w:t>2006</w:t>
      </w:r>
      <w:r>
        <w:rPr>
          <w:i/>
          <w:spacing w:val="5"/>
          <w:w w:val="105"/>
          <w:sz w:val="13"/>
        </w:rPr>
        <w:t> </w:t>
      </w:r>
      <w:r>
        <w:rPr>
          <w:spacing w:val="3"/>
          <w:w w:val="105"/>
          <w:sz w:val="13"/>
        </w:rPr>
        <w:t>(NSW)</w:t>
      </w:r>
      <w:r>
        <w:rPr>
          <w:spacing w:val="5"/>
          <w:w w:val="105"/>
          <w:sz w:val="13"/>
        </w:rPr>
        <w:t> </w:t>
      </w:r>
      <w:r>
        <w:rPr>
          <w:w w:val="105"/>
          <w:sz w:val="13"/>
        </w:rPr>
        <w:t>s</w:t>
      </w:r>
      <w:r>
        <w:rPr>
          <w:spacing w:val="5"/>
          <w:w w:val="105"/>
          <w:sz w:val="13"/>
        </w:rPr>
        <w:t> </w:t>
      </w:r>
      <w:r>
        <w:rPr>
          <w:spacing w:val="2"/>
          <w:w w:val="105"/>
          <w:sz w:val="13"/>
        </w:rPr>
        <w:t>16(2).</w:t>
      </w:r>
    </w:p>
    <w:p>
      <w:pPr>
        <w:pStyle w:val="ListParagraph"/>
        <w:numPr>
          <w:ilvl w:val="0"/>
          <w:numId w:val="190"/>
        </w:numPr>
        <w:tabs>
          <w:tab w:pos="1220" w:val="left" w:leader="none"/>
          <w:tab w:pos="1221" w:val="left" w:leader="none"/>
        </w:tabs>
        <w:spacing w:line="240" w:lineRule="auto" w:before="1" w:after="0"/>
        <w:ind w:left="1220" w:right="1761" w:hanging="794"/>
        <w:jc w:val="left"/>
        <w:rPr>
          <w:sz w:val="13"/>
        </w:rPr>
      </w:pPr>
      <w:r>
        <w:rPr>
          <w:i/>
          <w:w w:val="105"/>
          <w:sz w:val="13"/>
        </w:rPr>
        <w:t>Trees (Disputes Between Neighbours) Act 2006 </w:t>
      </w:r>
      <w:r>
        <w:rPr>
          <w:i/>
          <w:spacing w:val="4"/>
          <w:w w:val="105"/>
          <w:sz w:val="13"/>
        </w:rPr>
        <w:t>(</w:t>
      </w:r>
      <w:r>
        <w:rPr>
          <w:spacing w:val="4"/>
          <w:w w:val="105"/>
          <w:sz w:val="13"/>
        </w:rPr>
        <w:t>NSW) </w:t>
      </w:r>
      <w:r>
        <w:rPr>
          <w:w w:val="105"/>
          <w:sz w:val="13"/>
        </w:rPr>
        <w:t>s </w:t>
      </w:r>
      <w:r>
        <w:rPr>
          <w:spacing w:val="2"/>
          <w:w w:val="105"/>
          <w:sz w:val="13"/>
        </w:rPr>
        <w:t>16(3); </w:t>
      </w:r>
      <w:r>
        <w:rPr>
          <w:w w:val="105"/>
          <w:sz w:val="13"/>
        </w:rPr>
        <w:t>However, orders for any payments of compensation may remain with the original tree owner. See, eg, </w:t>
      </w:r>
      <w:r>
        <w:rPr>
          <w:i/>
          <w:w w:val="105"/>
          <w:sz w:val="13"/>
        </w:rPr>
        <w:t>Joaquim v Adamson </w:t>
      </w:r>
      <w:r>
        <w:rPr>
          <w:spacing w:val="2"/>
          <w:w w:val="105"/>
          <w:sz w:val="13"/>
        </w:rPr>
        <w:t>[2009] </w:t>
      </w:r>
      <w:r>
        <w:rPr>
          <w:w w:val="105"/>
          <w:sz w:val="13"/>
        </w:rPr>
        <w:t>NSWLEC </w:t>
      </w:r>
      <w:r>
        <w:rPr>
          <w:spacing w:val="-5"/>
          <w:w w:val="105"/>
          <w:sz w:val="13"/>
        </w:rPr>
        <w:t>1312 </w:t>
      </w:r>
      <w:r>
        <w:rPr>
          <w:w w:val="105"/>
          <w:sz w:val="13"/>
        </w:rPr>
        <w:t>in which Senior Commissioner Moore and Acting Commissioner</w:t>
      </w:r>
      <w:r>
        <w:rPr>
          <w:spacing w:val="30"/>
          <w:w w:val="105"/>
          <w:sz w:val="13"/>
        </w:rPr>
        <w:t> </w:t>
      </w:r>
      <w:r>
        <w:rPr>
          <w:w w:val="105"/>
          <w:sz w:val="13"/>
        </w:rPr>
        <w:t>Fakes </w:t>
      </w:r>
      <w:r>
        <w:rPr>
          <w:spacing w:val="2"/>
          <w:w w:val="105"/>
          <w:sz w:val="13"/>
        </w:rPr>
        <w:t>stated: </w:t>
      </w:r>
      <w:r>
        <w:rPr>
          <w:w w:val="105"/>
          <w:sz w:val="13"/>
        </w:rPr>
        <w:t>“The orders concerning direct payment of monies by the respondents to the applicants as compensation for damage to the applicants’</w:t>
      </w:r>
      <w:r>
        <w:rPr>
          <w:spacing w:val="5"/>
          <w:w w:val="105"/>
          <w:sz w:val="13"/>
        </w:rPr>
        <w:t> </w:t>
      </w:r>
      <w:r>
        <w:rPr>
          <w:spacing w:val="2"/>
          <w:w w:val="105"/>
          <w:sz w:val="13"/>
        </w:rPr>
        <w:t>property</w:t>
      </w:r>
      <w:r>
        <w:rPr>
          <w:spacing w:val="5"/>
          <w:w w:val="105"/>
          <w:sz w:val="13"/>
        </w:rPr>
        <w:t> </w:t>
      </w:r>
      <w:r>
        <w:rPr>
          <w:w w:val="105"/>
          <w:sz w:val="13"/>
        </w:rPr>
        <w:t>will</w:t>
      </w:r>
      <w:r>
        <w:rPr>
          <w:spacing w:val="5"/>
          <w:w w:val="105"/>
          <w:sz w:val="13"/>
        </w:rPr>
        <w:t> </w:t>
      </w:r>
      <w:r>
        <w:rPr>
          <w:w w:val="105"/>
          <w:sz w:val="13"/>
        </w:rPr>
        <w:t>continue</w:t>
      </w:r>
      <w:r>
        <w:rPr>
          <w:spacing w:val="5"/>
          <w:w w:val="105"/>
          <w:sz w:val="13"/>
        </w:rPr>
        <w:t> </w:t>
      </w:r>
      <w:r>
        <w:rPr>
          <w:w w:val="105"/>
          <w:sz w:val="13"/>
        </w:rPr>
        <w:t>to</w:t>
      </w:r>
      <w:r>
        <w:rPr>
          <w:spacing w:val="5"/>
          <w:w w:val="105"/>
          <w:sz w:val="13"/>
        </w:rPr>
        <w:t> </w:t>
      </w:r>
      <w:r>
        <w:rPr>
          <w:w w:val="105"/>
          <w:sz w:val="13"/>
        </w:rPr>
        <w:t>bind</w:t>
      </w:r>
      <w:r>
        <w:rPr>
          <w:spacing w:val="5"/>
          <w:w w:val="105"/>
          <w:sz w:val="13"/>
        </w:rPr>
        <w:t> </w:t>
      </w:r>
      <w:r>
        <w:rPr>
          <w:w w:val="105"/>
          <w:sz w:val="13"/>
        </w:rPr>
        <w:t>the</w:t>
      </w:r>
      <w:r>
        <w:rPr>
          <w:spacing w:val="5"/>
          <w:w w:val="105"/>
          <w:sz w:val="13"/>
        </w:rPr>
        <w:t> </w:t>
      </w:r>
      <w:r>
        <w:rPr>
          <w:w w:val="105"/>
          <w:sz w:val="13"/>
        </w:rPr>
        <w:t>respondents</w:t>
      </w:r>
      <w:r>
        <w:rPr>
          <w:spacing w:val="5"/>
          <w:w w:val="105"/>
          <w:sz w:val="13"/>
        </w:rPr>
        <w:t> </w:t>
      </w:r>
      <w:r>
        <w:rPr>
          <w:w w:val="105"/>
          <w:sz w:val="13"/>
        </w:rPr>
        <w:t>notwithstanding</w:t>
      </w:r>
      <w:r>
        <w:rPr>
          <w:spacing w:val="5"/>
          <w:w w:val="105"/>
          <w:sz w:val="13"/>
        </w:rPr>
        <w:t> </w:t>
      </w:r>
      <w:r>
        <w:rPr>
          <w:w w:val="105"/>
          <w:sz w:val="13"/>
        </w:rPr>
        <w:t>the</w:t>
      </w:r>
      <w:r>
        <w:rPr>
          <w:spacing w:val="5"/>
          <w:w w:val="105"/>
          <w:sz w:val="13"/>
        </w:rPr>
        <w:t> </w:t>
      </w:r>
      <w:r>
        <w:rPr>
          <w:w w:val="105"/>
          <w:sz w:val="13"/>
        </w:rPr>
        <w:t>sale</w:t>
      </w:r>
      <w:r>
        <w:rPr>
          <w:spacing w:val="5"/>
          <w:w w:val="105"/>
          <w:sz w:val="13"/>
        </w:rPr>
        <w:t> </w:t>
      </w:r>
      <w:r>
        <w:rPr>
          <w:w w:val="105"/>
          <w:sz w:val="13"/>
        </w:rPr>
        <w:t>of</w:t>
      </w:r>
      <w:r>
        <w:rPr>
          <w:spacing w:val="5"/>
          <w:w w:val="105"/>
          <w:sz w:val="13"/>
        </w:rPr>
        <w:t> </w:t>
      </w:r>
      <w:r>
        <w:rPr>
          <w:w w:val="105"/>
          <w:sz w:val="13"/>
        </w:rPr>
        <w:t>their</w:t>
      </w:r>
      <w:r>
        <w:rPr>
          <w:spacing w:val="5"/>
          <w:w w:val="105"/>
          <w:sz w:val="13"/>
        </w:rPr>
        <w:t> </w:t>
      </w:r>
      <w:r>
        <w:rPr>
          <w:w w:val="105"/>
          <w:sz w:val="13"/>
        </w:rPr>
        <w:t>property”</w:t>
      </w:r>
      <w:r>
        <w:rPr>
          <w:spacing w:val="5"/>
          <w:w w:val="105"/>
          <w:sz w:val="13"/>
        </w:rPr>
        <w:t> </w:t>
      </w:r>
      <w:r>
        <w:rPr>
          <w:w w:val="105"/>
          <w:sz w:val="13"/>
        </w:rPr>
        <w:t>[108].</w:t>
      </w:r>
    </w:p>
    <w:p>
      <w:pPr>
        <w:spacing w:after="0" w:line="240" w:lineRule="auto"/>
        <w:jc w:val="left"/>
        <w:rPr>
          <w:sz w:val="13"/>
        </w:rPr>
        <w:sectPr>
          <w:type w:val="continuous"/>
          <w:pgSz w:w="11910" w:h="16840"/>
          <w:pgMar w:top="300" w:bottom="280" w:left="0" w:right="0"/>
          <w:cols w:num="2" w:equalWidth="0">
            <w:col w:w="1121" w:space="40"/>
            <w:col w:w="10749"/>
          </w:cols>
        </w:sectPr>
      </w:pPr>
    </w:p>
    <w:p>
      <w:pPr>
        <w:pStyle w:val="BodyText"/>
        <w:rPr>
          <w:sz w:val="20"/>
        </w:rPr>
      </w:pPr>
    </w:p>
    <w:p>
      <w:pPr>
        <w:pStyle w:val="BodyText"/>
        <w:spacing w:before="11"/>
        <w:rPr>
          <w:sz w:val="17"/>
        </w:rPr>
      </w:pPr>
    </w:p>
    <w:p>
      <w:pPr>
        <w:pStyle w:val="Heading5"/>
        <w:spacing w:before="96"/>
      </w:pPr>
      <w:bookmarkStart w:name="Queensland" w:id="305"/>
      <w:bookmarkEnd w:id="305"/>
      <w:r>
        <w:rPr>
          <w:b w:val="0"/>
        </w:rPr>
      </w:r>
      <w:r>
        <w:rPr>
          <w:w w:val="115"/>
        </w:rPr>
        <w:t>How are purchasers informed?</w:t>
      </w:r>
    </w:p>
    <w:p>
      <w:pPr>
        <w:pStyle w:val="ListParagraph"/>
        <w:numPr>
          <w:ilvl w:val="1"/>
          <w:numId w:val="16"/>
        </w:numPr>
        <w:tabs>
          <w:tab w:pos="2380" w:val="left" w:leader="none"/>
          <w:tab w:pos="2381" w:val="left" w:leader="none"/>
        </w:tabs>
        <w:spacing w:line="242" w:lineRule="auto" w:before="137" w:after="0"/>
        <w:ind w:left="2381" w:right="1652" w:hanging="794"/>
        <w:jc w:val="left"/>
        <w:rPr>
          <w:sz w:val="21"/>
        </w:rPr>
      </w:pPr>
      <w:r>
        <w:rPr>
          <w:w w:val="105"/>
          <w:sz w:val="21"/>
        </w:rPr>
        <w:t>One </w:t>
      </w:r>
      <w:r>
        <w:rPr>
          <w:spacing w:val="-3"/>
          <w:w w:val="105"/>
          <w:sz w:val="21"/>
        </w:rPr>
        <w:t>way that </w:t>
      </w:r>
      <w:r>
        <w:rPr>
          <w:w w:val="105"/>
          <w:sz w:val="21"/>
        </w:rPr>
        <w:t>the New South </w:t>
      </w:r>
      <w:r>
        <w:rPr>
          <w:spacing w:val="-3"/>
          <w:w w:val="105"/>
          <w:sz w:val="21"/>
        </w:rPr>
        <w:t>Wales </w:t>
      </w:r>
      <w:r>
        <w:rPr>
          <w:w w:val="105"/>
          <w:sz w:val="21"/>
        </w:rPr>
        <w:t>Act seeks </w:t>
      </w:r>
      <w:r>
        <w:rPr>
          <w:spacing w:val="-3"/>
          <w:w w:val="105"/>
          <w:sz w:val="21"/>
        </w:rPr>
        <w:t>to inform purchasers </w:t>
      </w:r>
      <w:r>
        <w:rPr>
          <w:w w:val="105"/>
          <w:sz w:val="21"/>
        </w:rPr>
        <w:t>of </w:t>
      </w:r>
      <w:r>
        <w:rPr>
          <w:spacing w:val="-3"/>
          <w:w w:val="105"/>
          <w:sz w:val="21"/>
        </w:rPr>
        <w:t>land </w:t>
      </w:r>
      <w:r>
        <w:rPr>
          <w:w w:val="105"/>
          <w:sz w:val="21"/>
        </w:rPr>
        <w:t>about orders is </w:t>
      </w:r>
      <w:r>
        <w:rPr>
          <w:spacing w:val="-3"/>
          <w:w w:val="105"/>
          <w:sz w:val="21"/>
        </w:rPr>
        <w:t>through </w:t>
      </w:r>
      <w:r>
        <w:rPr>
          <w:w w:val="105"/>
          <w:sz w:val="21"/>
        </w:rPr>
        <w:t>local </w:t>
      </w:r>
      <w:r>
        <w:rPr>
          <w:spacing w:val="-4"/>
          <w:w w:val="105"/>
          <w:sz w:val="21"/>
        </w:rPr>
        <w:t>Council </w:t>
      </w:r>
      <w:r>
        <w:rPr>
          <w:spacing w:val="-3"/>
          <w:w w:val="105"/>
          <w:sz w:val="21"/>
        </w:rPr>
        <w:t>planning </w:t>
      </w:r>
      <w:r>
        <w:rPr>
          <w:w w:val="105"/>
          <w:sz w:val="21"/>
        </w:rPr>
        <w:t>certificates, which can be inspected by </w:t>
      </w:r>
      <w:r>
        <w:rPr>
          <w:spacing w:val="-3"/>
          <w:w w:val="105"/>
          <w:sz w:val="21"/>
        </w:rPr>
        <w:t>purchasers during </w:t>
      </w:r>
      <w:r>
        <w:rPr>
          <w:w w:val="105"/>
          <w:sz w:val="21"/>
        </w:rPr>
        <w:t>the sale of </w:t>
      </w:r>
      <w:r>
        <w:rPr>
          <w:spacing w:val="-3"/>
          <w:w w:val="105"/>
          <w:sz w:val="21"/>
        </w:rPr>
        <w:t>land </w:t>
      </w:r>
      <w:r>
        <w:rPr>
          <w:w w:val="105"/>
          <w:sz w:val="21"/>
        </w:rPr>
        <w:t>process.</w:t>
      </w:r>
      <w:r>
        <w:rPr>
          <w:w w:val="105"/>
          <w:position w:val="7"/>
          <w:sz w:val="12"/>
        </w:rPr>
        <w:t>5 </w:t>
      </w:r>
      <w:r>
        <w:rPr>
          <w:w w:val="105"/>
          <w:sz w:val="21"/>
        </w:rPr>
        <w:t>The </w:t>
      </w:r>
      <w:r>
        <w:rPr>
          <w:i/>
          <w:spacing w:val="-3"/>
          <w:w w:val="105"/>
          <w:sz w:val="21"/>
        </w:rPr>
        <w:t>Environmental Planning </w:t>
      </w:r>
      <w:r>
        <w:rPr>
          <w:i/>
          <w:w w:val="105"/>
          <w:sz w:val="21"/>
        </w:rPr>
        <w:t>and Assessment </w:t>
      </w:r>
      <w:r>
        <w:rPr>
          <w:i/>
          <w:spacing w:val="-3"/>
          <w:w w:val="105"/>
          <w:sz w:val="21"/>
        </w:rPr>
        <w:t>Regulations </w:t>
      </w:r>
      <w:r>
        <w:rPr>
          <w:i/>
          <w:w w:val="105"/>
          <w:sz w:val="21"/>
        </w:rPr>
        <w:t>2000 </w:t>
      </w:r>
      <w:r>
        <w:rPr>
          <w:spacing w:val="2"/>
          <w:w w:val="105"/>
          <w:sz w:val="21"/>
        </w:rPr>
        <w:t>(NSW) </w:t>
      </w:r>
      <w:r>
        <w:rPr>
          <w:spacing w:val="-3"/>
          <w:w w:val="105"/>
          <w:sz w:val="21"/>
        </w:rPr>
        <w:t>require planning </w:t>
      </w:r>
      <w:r>
        <w:rPr>
          <w:w w:val="105"/>
          <w:sz w:val="21"/>
        </w:rPr>
        <w:t>certificates </w:t>
      </w:r>
      <w:r>
        <w:rPr>
          <w:spacing w:val="-3"/>
          <w:w w:val="105"/>
          <w:sz w:val="21"/>
        </w:rPr>
        <w:t>to </w:t>
      </w:r>
      <w:r>
        <w:rPr>
          <w:w w:val="105"/>
          <w:sz w:val="21"/>
        </w:rPr>
        <w:t>state whether an order </w:t>
      </w:r>
      <w:r>
        <w:rPr>
          <w:spacing w:val="-2"/>
          <w:w w:val="105"/>
          <w:sz w:val="21"/>
        </w:rPr>
        <w:t>has </w:t>
      </w:r>
      <w:r>
        <w:rPr>
          <w:w w:val="105"/>
          <w:sz w:val="21"/>
        </w:rPr>
        <w:t>been made under the NSW Act but only where the local </w:t>
      </w:r>
      <w:r>
        <w:rPr>
          <w:spacing w:val="-3"/>
          <w:w w:val="105"/>
          <w:sz w:val="21"/>
        </w:rPr>
        <w:t>council </w:t>
      </w:r>
      <w:r>
        <w:rPr>
          <w:spacing w:val="-2"/>
          <w:w w:val="105"/>
          <w:sz w:val="21"/>
        </w:rPr>
        <w:t>has </w:t>
      </w:r>
      <w:r>
        <w:rPr>
          <w:w w:val="105"/>
          <w:sz w:val="21"/>
        </w:rPr>
        <w:t>been notified.</w:t>
      </w:r>
      <w:r>
        <w:rPr>
          <w:w w:val="105"/>
          <w:position w:val="7"/>
          <w:sz w:val="12"/>
        </w:rPr>
        <w:t>6 </w:t>
      </w:r>
      <w:r>
        <w:rPr>
          <w:w w:val="105"/>
          <w:sz w:val="21"/>
        </w:rPr>
        <w:t>This is </w:t>
      </w:r>
      <w:r>
        <w:rPr>
          <w:spacing w:val="-4"/>
          <w:w w:val="105"/>
          <w:sz w:val="21"/>
        </w:rPr>
        <w:t>likely </w:t>
      </w:r>
      <w:r>
        <w:rPr>
          <w:spacing w:val="-3"/>
          <w:w w:val="105"/>
          <w:sz w:val="21"/>
        </w:rPr>
        <w:t>to occur </w:t>
      </w:r>
      <w:r>
        <w:rPr>
          <w:w w:val="105"/>
          <w:sz w:val="21"/>
        </w:rPr>
        <w:t>because the NSW Act states </w:t>
      </w:r>
      <w:r>
        <w:rPr>
          <w:spacing w:val="-3"/>
          <w:w w:val="105"/>
          <w:sz w:val="21"/>
        </w:rPr>
        <w:t>that </w:t>
      </w:r>
      <w:r>
        <w:rPr>
          <w:w w:val="105"/>
          <w:sz w:val="21"/>
        </w:rPr>
        <w:t>the </w:t>
      </w:r>
      <w:r>
        <w:rPr>
          <w:spacing w:val="-3"/>
          <w:w w:val="105"/>
          <w:sz w:val="21"/>
        </w:rPr>
        <w:t>Court </w:t>
      </w:r>
      <w:r>
        <w:rPr>
          <w:w w:val="105"/>
          <w:sz w:val="21"/>
        </w:rPr>
        <w:t>must provide a </w:t>
      </w:r>
      <w:r>
        <w:rPr>
          <w:spacing w:val="-3"/>
          <w:w w:val="105"/>
          <w:sz w:val="21"/>
        </w:rPr>
        <w:t>copy </w:t>
      </w:r>
      <w:r>
        <w:rPr>
          <w:w w:val="105"/>
          <w:sz w:val="21"/>
        </w:rPr>
        <w:t>of an order </w:t>
      </w:r>
      <w:r>
        <w:rPr>
          <w:spacing w:val="-3"/>
          <w:w w:val="105"/>
          <w:sz w:val="21"/>
        </w:rPr>
        <w:t>to </w:t>
      </w:r>
      <w:r>
        <w:rPr>
          <w:w w:val="105"/>
          <w:sz w:val="21"/>
        </w:rPr>
        <w:t>‘the </w:t>
      </w:r>
      <w:r>
        <w:rPr>
          <w:spacing w:val="-3"/>
          <w:w w:val="105"/>
          <w:sz w:val="21"/>
        </w:rPr>
        <w:t>council </w:t>
      </w:r>
      <w:r>
        <w:rPr>
          <w:w w:val="105"/>
          <w:sz w:val="21"/>
        </w:rPr>
        <w:t>of the local </w:t>
      </w:r>
      <w:r>
        <w:rPr>
          <w:spacing w:val="-3"/>
          <w:w w:val="105"/>
          <w:sz w:val="21"/>
        </w:rPr>
        <w:t>government area </w:t>
      </w:r>
      <w:r>
        <w:rPr>
          <w:w w:val="105"/>
          <w:sz w:val="21"/>
        </w:rPr>
        <w:t>in which the tree is </w:t>
      </w:r>
      <w:r>
        <w:rPr>
          <w:spacing w:val="-5"/>
          <w:w w:val="105"/>
          <w:sz w:val="21"/>
        </w:rPr>
        <w:t>situated’.</w:t>
      </w:r>
      <w:r>
        <w:rPr>
          <w:spacing w:val="-5"/>
          <w:w w:val="105"/>
          <w:position w:val="7"/>
          <w:sz w:val="12"/>
        </w:rPr>
        <w:t>7 </w:t>
      </w:r>
      <w:r>
        <w:rPr>
          <w:w w:val="105"/>
          <w:sz w:val="21"/>
        </w:rPr>
        <w:t>The 2009 statutory review of the NSW Act </w:t>
      </w:r>
      <w:r>
        <w:rPr>
          <w:spacing w:val="-3"/>
          <w:w w:val="105"/>
          <w:sz w:val="21"/>
        </w:rPr>
        <w:t>found </w:t>
      </w:r>
      <w:r>
        <w:rPr>
          <w:w w:val="105"/>
          <w:sz w:val="21"/>
        </w:rPr>
        <w:t>this </w:t>
      </w:r>
      <w:r>
        <w:rPr>
          <w:spacing w:val="-3"/>
          <w:w w:val="105"/>
          <w:sz w:val="21"/>
        </w:rPr>
        <w:t>to </w:t>
      </w:r>
      <w:r>
        <w:rPr>
          <w:w w:val="105"/>
          <w:sz w:val="21"/>
        </w:rPr>
        <w:t>be an </w:t>
      </w:r>
      <w:r>
        <w:rPr>
          <w:spacing w:val="-4"/>
          <w:w w:val="105"/>
          <w:sz w:val="21"/>
        </w:rPr>
        <w:t>‘appropriate </w:t>
      </w:r>
      <w:r>
        <w:rPr>
          <w:spacing w:val="-3"/>
          <w:w w:val="105"/>
          <w:sz w:val="21"/>
        </w:rPr>
        <w:t>safeguard for potential </w:t>
      </w:r>
      <w:r>
        <w:rPr>
          <w:w w:val="105"/>
          <w:sz w:val="21"/>
        </w:rPr>
        <w:t>buyers of the</w:t>
      </w:r>
      <w:r>
        <w:rPr>
          <w:spacing w:val="5"/>
          <w:w w:val="105"/>
          <w:sz w:val="21"/>
        </w:rPr>
        <w:t> </w:t>
      </w:r>
      <w:r>
        <w:rPr>
          <w:w w:val="105"/>
          <w:sz w:val="21"/>
        </w:rPr>
        <w:t>property’.</w:t>
      </w:r>
      <w:r>
        <w:rPr>
          <w:w w:val="105"/>
          <w:position w:val="7"/>
          <w:sz w:val="12"/>
        </w:rPr>
        <w:t>8</w:t>
      </w:r>
    </w:p>
    <w:p>
      <w:pPr>
        <w:pStyle w:val="ListParagraph"/>
        <w:numPr>
          <w:ilvl w:val="1"/>
          <w:numId w:val="16"/>
        </w:numPr>
        <w:tabs>
          <w:tab w:pos="2381" w:val="left" w:leader="none"/>
          <w:tab w:pos="2382" w:val="left" w:leader="none"/>
        </w:tabs>
        <w:spacing w:line="242" w:lineRule="auto" w:before="130" w:after="0"/>
        <w:ind w:left="2381" w:right="1700" w:hanging="794"/>
        <w:jc w:val="left"/>
        <w:rPr>
          <w:sz w:val="21"/>
        </w:rPr>
      </w:pPr>
      <w:r>
        <w:rPr>
          <w:w w:val="105"/>
          <w:sz w:val="21"/>
        </w:rPr>
        <w:t>The</w:t>
      </w:r>
      <w:r>
        <w:rPr>
          <w:spacing w:val="-6"/>
          <w:w w:val="105"/>
          <w:sz w:val="21"/>
        </w:rPr>
        <w:t> </w:t>
      </w:r>
      <w:r>
        <w:rPr>
          <w:w w:val="105"/>
          <w:sz w:val="21"/>
        </w:rPr>
        <w:t>NSW</w:t>
      </w:r>
      <w:r>
        <w:rPr>
          <w:spacing w:val="-6"/>
          <w:w w:val="105"/>
          <w:sz w:val="21"/>
        </w:rPr>
        <w:t> </w:t>
      </w:r>
      <w:r>
        <w:rPr>
          <w:w w:val="105"/>
          <w:sz w:val="21"/>
        </w:rPr>
        <w:t>Act</w:t>
      </w:r>
      <w:r>
        <w:rPr>
          <w:spacing w:val="-6"/>
          <w:w w:val="105"/>
          <w:sz w:val="21"/>
        </w:rPr>
        <w:t> </w:t>
      </w:r>
      <w:r>
        <w:rPr>
          <w:w w:val="105"/>
          <w:sz w:val="21"/>
        </w:rPr>
        <w:t>does</w:t>
      </w:r>
      <w:r>
        <w:rPr>
          <w:spacing w:val="-5"/>
          <w:w w:val="105"/>
          <w:sz w:val="21"/>
        </w:rPr>
        <w:t> </w:t>
      </w:r>
      <w:r>
        <w:rPr>
          <w:spacing w:val="-2"/>
          <w:w w:val="105"/>
          <w:sz w:val="21"/>
        </w:rPr>
        <w:t>not</w:t>
      </w:r>
      <w:r>
        <w:rPr>
          <w:spacing w:val="-6"/>
          <w:w w:val="105"/>
          <w:sz w:val="21"/>
        </w:rPr>
        <w:t> </w:t>
      </w:r>
      <w:r>
        <w:rPr>
          <w:w w:val="105"/>
          <w:sz w:val="21"/>
        </w:rPr>
        <w:t>provide</w:t>
      </w:r>
      <w:r>
        <w:rPr>
          <w:spacing w:val="-6"/>
          <w:w w:val="105"/>
          <w:sz w:val="21"/>
        </w:rPr>
        <w:t> </w:t>
      </w:r>
      <w:r>
        <w:rPr>
          <w:w w:val="105"/>
          <w:sz w:val="21"/>
        </w:rPr>
        <w:t>penalties</w:t>
      </w:r>
      <w:r>
        <w:rPr>
          <w:spacing w:val="-5"/>
          <w:w w:val="105"/>
          <w:sz w:val="21"/>
        </w:rPr>
        <w:t> </w:t>
      </w:r>
      <w:r>
        <w:rPr>
          <w:spacing w:val="-3"/>
          <w:w w:val="105"/>
          <w:sz w:val="21"/>
        </w:rPr>
        <w:t>for</w:t>
      </w:r>
      <w:r>
        <w:rPr>
          <w:spacing w:val="-6"/>
          <w:w w:val="105"/>
          <w:sz w:val="21"/>
        </w:rPr>
        <w:t> </w:t>
      </w:r>
      <w:r>
        <w:rPr>
          <w:spacing w:val="-4"/>
          <w:w w:val="105"/>
          <w:sz w:val="21"/>
        </w:rPr>
        <w:t>failure</w:t>
      </w:r>
      <w:r>
        <w:rPr>
          <w:spacing w:val="-6"/>
          <w:w w:val="105"/>
          <w:sz w:val="21"/>
        </w:rPr>
        <w:t> </w:t>
      </w:r>
      <w:r>
        <w:rPr>
          <w:spacing w:val="-3"/>
          <w:w w:val="105"/>
          <w:sz w:val="21"/>
        </w:rPr>
        <w:t>to</w:t>
      </w:r>
      <w:r>
        <w:rPr>
          <w:spacing w:val="-5"/>
          <w:w w:val="105"/>
          <w:sz w:val="21"/>
        </w:rPr>
        <w:t> </w:t>
      </w:r>
      <w:r>
        <w:rPr>
          <w:w w:val="105"/>
          <w:sz w:val="21"/>
        </w:rPr>
        <w:t>provide</w:t>
      </w:r>
      <w:r>
        <w:rPr>
          <w:spacing w:val="-6"/>
          <w:w w:val="105"/>
          <w:sz w:val="21"/>
        </w:rPr>
        <w:t> </w:t>
      </w:r>
      <w:r>
        <w:rPr>
          <w:spacing w:val="-3"/>
          <w:w w:val="105"/>
          <w:sz w:val="21"/>
        </w:rPr>
        <w:t>notice</w:t>
      </w:r>
      <w:r>
        <w:rPr>
          <w:spacing w:val="-6"/>
          <w:w w:val="105"/>
          <w:sz w:val="21"/>
        </w:rPr>
        <w:t> </w:t>
      </w:r>
      <w:r>
        <w:rPr>
          <w:spacing w:val="-3"/>
          <w:w w:val="105"/>
          <w:sz w:val="21"/>
        </w:rPr>
        <w:t>to</w:t>
      </w:r>
      <w:r>
        <w:rPr>
          <w:spacing w:val="-5"/>
          <w:w w:val="105"/>
          <w:sz w:val="21"/>
        </w:rPr>
        <w:t> </w:t>
      </w:r>
      <w:r>
        <w:rPr>
          <w:spacing w:val="-3"/>
          <w:w w:val="105"/>
          <w:sz w:val="21"/>
        </w:rPr>
        <w:t>purchasers</w:t>
      </w:r>
      <w:r>
        <w:rPr>
          <w:spacing w:val="-6"/>
          <w:w w:val="105"/>
          <w:sz w:val="21"/>
        </w:rPr>
        <w:t> </w:t>
      </w:r>
      <w:r>
        <w:rPr>
          <w:w w:val="105"/>
          <w:sz w:val="21"/>
        </w:rPr>
        <w:t>about the existence of </w:t>
      </w:r>
      <w:r>
        <w:rPr>
          <w:spacing w:val="-3"/>
          <w:w w:val="105"/>
          <w:sz w:val="21"/>
        </w:rPr>
        <w:t>litigation </w:t>
      </w:r>
      <w:r>
        <w:rPr>
          <w:w w:val="105"/>
          <w:sz w:val="21"/>
        </w:rPr>
        <w:t>or</w:t>
      </w:r>
      <w:r>
        <w:rPr>
          <w:spacing w:val="25"/>
          <w:w w:val="105"/>
          <w:sz w:val="21"/>
        </w:rPr>
        <w:t> </w:t>
      </w:r>
      <w:r>
        <w:rPr>
          <w:w w:val="105"/>
          <w:sz w:val="21"/>
        </w:rPr>
        <w:t>orders.</w:t>
      </w:r>
      <w:r>
        <w:rPr>
          <w:w w:val="105"/>
          <w:position w:val="7"/>
          <w:sz w:val="12"/>
        </w:rPr>
        <w:t>9</w:t>
      </w:r>
    </w:p>
    <w:p>
      <w:pPr>
        <w:pStyle w:val="Heading7"/>
        <w:spacing w:before="152"/>
      </w:pPr>
      <w:r>
        <w:rPr>
          <w:w w:val="115"/>
        </w:rPr>
        <w:t>Sale of affected neighbour’s land</w:t>
      </w:r>
    </w:p>
    <w:p>
      <w:pPr>
        <w:pStyle w:val="ListParagraph"/>
        <w:numPr>
          <w:ilvl w:val="1"/>
          <w:numId w:val="16"/>
        </w:numPr>
        <w:tabs>
          <w:tab w:pos="2380" w:val="left" w:leader="none"/>
          <w:tab w:pos="2381" w:val="left" w:leader="none"/>
        </w:tabs>
        <w:spacing w:line="242" w:lineRule="auto" w:before="143" w:after="0"/>
        <w:ind w:left="2381" w:right="1680" w:hanging="794"/>
        <w:jc w:val="left"/>
        <w:rPr>
          <w:sz w:val="21"/>
        </w:rPr>
      </w:pPr>
      <w:r>
        <w:rPr>
          <w:w w:val="105"/>
          <w:sz w:val="21"/>
        </w:rPr>
        <w:t>If the affected </w:t>
      </w:r>
      <w:r>
        <w:rPr>
          <w:spacing w:val="-3"/>
          <w:w w:val="105"/>
          <w:sz w:val="21"/>
        </w:rPr>
        <w:t>neighbour’s land </w:t>
      </w:r>
      <w:r>
        <w:rPr>
          <w:w w:val="105"/>
          <w:sz w:val="21"/>
        </w:rPr>
        <w:t>is sold the new affected </w:t>
      </w:r>
      <w:r>
        <w:rPr>
          <w:spacing w:val="-3"/>
          <w:w w:val="105"/>
          <w:sz w:val="21"/>
        </w:rPr>
        <w:t>neighbour </w:t>
      </w:r>
      <w:r>
        <w:rPr>
          <w:w w:val="105"/>
          <w:sz w:val="21"/>
        </w:rPr>
        <w:t>is entitled </w:t>
      </w:r>
      <w:r>
        <w:rPr>
          <w:spacing w:val="-3"/>
          <w:w w:val="105"/>
          <w:sz w:val="21"/>
        </w:rPr>
        <w:t>to </w:t>
      </w:r>
      <w:r>
        <w:rPr>
          <w:w w:val="105"/>
          <w:sz w:val="21"/>
        </w:rPr>
        <w:t>the same</w:t>
      </w:r>
      <w:r>
        <w:rPr>
          <w:spacing w:val="-10"/>
          <w:w w:val="105"/>
          <w:sz w:val="21"/>
        </w:rPr>
        <w:t> </w:t>
      </w:r>
      <w:r>
        <w:rPr>
          <w:w w:val="105"/>
          <w:sz w:val="21"/>
        </w:rPr>
        <w:t>benefits</w:t>
      </w:r>
      <w:r>
        <w:rPr>
          <w:spacing w:val="-9"/>
          <w:w w:val="105"/>
          <w:sz w:val="21"/>
        </w:rPr>
        <w:t> </w:t>
      </w:r>
      <w:r>
        <w:rPr>
          <w:w w:val="105"/>
          <w:sz w:val="21"/>
        </w:rPr>
        <w:t>under</w:t>
      </w:r>
      <w:r>
        <w:rPr>
          <w:spacing w:val="-10"/>
          <w:w w:val="105"/>
          <w:sz w:val="21"/>
        </w:rPr>
        <w:t> </w:t>
      </w:r>
      <w:r>
        <w:rPr>
          <w:w w:val="105"/>
          <w:sz w:val="21"/>
        </w:rPr>
        <w:t>the</w:t>
      </w:r>
      <w:r>
        <w:rPr>
          <w:spacing w:val="-9"/>
          <w:w w:val="105"/>
          <w:sz w:val="21"/>
        </w:rPr>
        <w:t> </w:t>
      </w:r>
      <w:r>
        <w:rPr>
          <w:spacing w:val="-4"/>
          <w:w w:val="105"/>
          <w:sz w:val="21"/>
        </w:rPr>
        <w:t>orders.</w:t>
      </w:r>
      <w:r>
        <w:rPr>
          <w:spacing w:val="-4"/>
          <w:w w:val="105"/>
          <w:position w:val="7"/>
          <w:sz w:val="12"/>
        </w:rPr>
        <w:t>10</w:t>
      </w:r>
      <w:r>
        <w:rPr>
          <w:spacing w:val="13"/>
          <w:w w:val="105"/>
          <w:position w:val="7"/>
          <w:sz w:val="12"/>
        </w:rPr>
        <w:t> </w:t>
      </w:r>
      <w:r>
        <w:rPr>
          <w:w w:val="105"/>
          <w:sz w:val="21"/>
        </w:rPr>
        <w:t>This</w:t>
      </w:r>
      <w:r>
        <w:rPr>
          <w:spacing w:val="-10"/>
          <w:w w:val="105"/>
          <w:sz w:val="21"/>
        </w:rPr>
        <w:t> </w:t>
      </w:r>
      <w:r>
        <w:rPr>
          <w:w w:val="105"/>
          <w:sz w:val="21"/>
        </w:rPr>
        <w:t>benefit</w:t>
      </w:r>
      <w:r>
        <w:rPr>
          <w:spacing w:val="-9"/>
          <w:w w:val="105"/>
          <w:sz w:val="21"/>
        </w:rPr>
        <w:t> </w:t>
      </w:r>
      <w:r>
        <w:rPr>
          <w:w w:val="105"/>
          <w:sz w:val="21"/>
        </w:rPr>
        <w:t>only</w:t>
      </w:r>
      <w:r>
        <w:rPr>
          <w:spacing w:val="-10"/>
          <w:w w:val="105"/>
          <w:sz w:val="21"/>
        </w:rPr>
        <w:t> </w:t>
      </w:r>
      <w:r>
        <w:rPr>
          <w:w w:val="105"/>
          <w:sz w:val="21"/>
        </w:rPr>
        <w:t>extends</w:t>
      </w:r>
      <w:r>
        <w:rPr>
          <w:spacing w:val="-9"/>
          <w:w w:val="105"/>
          <w:sz w:val="21"/>
        </w:rPr>
        <w:t> </w:t>
      </w:r>
      <w:r>
        <w:rPr>
          <w:spacing w:val="-3"/>
          <w:w w:val="105"/>
          <w:sz w:val="21"/>
        </w:rPr>
        <w:t>to</w:t>
      </w:r>
      <w:r>
        <w:rPr>
          <w:spacing w:val="-10"/>
          <w:w w:val="105"/>
          <w:sz w:val="21"/>
        </w:rPr>
        <w:t> </w:t>
      </w:r>
      <w:r>
        <w:rPr>
          <w:w w:val="105"/>
          <w:sz w:val="21"/>
        </w:rPr>
        <w:t>the</w:t>
      </w:r>
      <w:r>
        <w:rPr>
          <w:spacing w:val="-9"/>
          <w:w w:val="105"/>
          <w:sz w:val="21"/>
        </w:rPr>
        <w:t> </w:t>
      </w:r>
      <w:r>
        <w:rPr>
          <w:spacing w:val="-3"/>
          <w:w w:val="105"/>
          <w:sz w:val="21"/>
        </w:rPr>
        <w:t>immediate</w:t>
      </w:r>
      <w:r>
        <w:rPr>
          <w:spacing w:val="-10"/>
          <w:w w:val="105"/>
          <w:sz w:val="21"/>
        </w:rPr>
        <w:t> </w:t>
      </w:r>
      <w:r>
        <w:rPr>
          <w:spacing w:val="-3"/>
          <w:w w:val="105"/>
          <w:sz w:val="21"/>
        </w:rPr>
        <w:t>successor</w:t>
      </w:r>
      <w:r>
        <w:rPr>
          <w:spacing w:val="-9"/>
          <w:w w:val="105"/>
          <w:sz w:val="21"/>
        </w:rPr>
        <w:t> </w:t>
      </w:r>
      <w:r>
        <w:rPr>
          <w:w w:val="105"/>
          <w:sz w:val="21"/>
        </w:rPr>
        <w:t>in </w:t>
      </w:r>
      <w:r>
        <w:rPr>
          <w:spacing w:val="-3"/>
          <w:w w:val="105"/>
          <w:sz w:val="21"/>
        </w:rPr>
        <w:t>title. </w:t>
      </w:r>
      <w:r>
        <w:rPr>
          <w:w w:val="105"/>
          <w:sz w:val="21"/>
        </w:rPr>
        <w:t>Orders </w:t>
      </w:r>
      <w:r>
        <w:rPr>
          <w:spacing w:val="-3"/>
          <w:w w:val="105"/>
          <w:sz w:val="21"/>
        </w:rPr>
        <w:t>for </w:t>
      </w:r>
      <w:r>
        <w:rPr>
          <w:w w:val="105"/>
          <w:sz w:val="21"/>
        </w:rPr>
        <w:t>ongoing </w:t>
      </w:r>
      <w:r>
        <w:rPr>
          <w:spacing w:val="-3"/>
          <w:w w:val="105"/>
          <w:sz w:val="21"/>
        </w:rPr>
        <w:t>maintenance </w:t>
      </w:r>
      <w:r>
        <w:rPr>
          <w:w w:val="105"/>
          <w:sz w:val="21"/>
        </w:rPr>
        <w:t>can last </w:t>
      </w:r>
      <w:r>
        <w:rPr>
          <w:spacing w:val="-3"/>
          <w:w w:val="105"/>
          <w:sz w:val="21"/>
        </w:rPr>
        <w:t>for </w:t>
      </w:r>
      <w:r>
        <w:rPr>
          <w:w w:val="105"/>
          <w:sz w:val="21"/>
        </w:rPr>
        <w:t>the </w:t>
      </w:r>
      <w:r>
        <w:rPr>
          <w:spacing w:val="-3"/>
          <w:w w:val="105"/>
          <w:sz w:val="21"/>
        </w:rPr>
        <w:t>total duration </w:t>
      </w:r>
      <w:r>
        <w:rPr>
          <w:w w:val="105"/>
          <w:sz w:val="21"/>
        </w:rPr>
        <w:t>of the new affected neighbours’ ownership but typically they </w:t>
      </w:r>
      <w:r>
        <w:rPr>
          <w:spacing w:val="-3"/>
          <w:w w:val="105"/>
          <w:sz w:val="21"/>
        </w:rPr>
        <w:t>are for </w:t>
      </w:r>
      <w:r>
        <w:rPr>
          <w:w w:val="105"/>
          <w:sz w:val="21"/>
        </w:rPr>
        <w:t>a period of </w:t>
      </w:r>
      <w:r>
        <w:rPr>
          <w:spacing w:val="-10"/>
          <w:w w:val="105"/>
          <w:sz w:val="21"/>
        </w:rPr>
        <w:t>12–18</w:t>
      </w:r>
      <w:r>
        <w:rPr>
          <w:spacing w:val="27"/>
          <w:w w:val="105"/>
          <w:sz w:val="21"/>
        </w:rPr>
        <w:t> </w:t>
      </w:r>
      <w:r>
        <w:rPr>
          <w:spacing w:val="-7"/>
          <w:w w:val="105"/>
          <w:sz w:val="21"/>
        </w:rPr>
        <w:t>months.</w:t>
      </w:r>
      <w:r>
        <w:rPr>
          <w:spacing w:val="-7"/>
          <w:w w:val="105"/>
          <w:position w:val="7"/>
          <w:sz w:val="12"/>
        </w:rPr>
        <w:t>11</w:t>
      </w:r>
    </w:p>
    <w:p>
      <w:pPr>
        <w:pStyle w:val="Heading7"/>
        <w:spacing w:before="155"/>
      </w:pPr>
      <w:r>
        <w:rPr>
          <w:w w:val="115"/>
        </w:rPr>
        <w:t>Change of ownership during tree dispute hearing</w:t>
      </w:r>
    </w:p>
    <w:p>
      <w:pPr>
        <w:pStyle w:val="ListParagraph"/>
        <w:numPr>
          <w:ilvl w:val="1"/>
          <w:numId w:val="16"/>
        </w:numPr>
        <w:tabs>
          <w:tab w:pos="2381" w:val="left" w:leader="none"/>
          <w:tab w:pos="2382" w:val="left" w:leader="none"/>
        </w:tabs>
        <w:spacing w:line="242" w:lineRule="auto" w:before="143" w:after="0"/>
        <w:ind w:left="2381" w:right="1583" w:hanging="794"/>
        <w:jc w:val="left"/>
        <w:rPr>
          <w:sz w:val="21"/>
        </w:rPr>
      </w:pPr>
      <w:r>
        <w:rPr>
          <w:w w:val="105"/>
          <w:sz w:val="21"/>
        </w:rPr>
        <w:t>If</w:t>
      </w:r>
      <w:r>
        <w:rPr>
          <w:spacing w:val="-4"/>
          <w:w w:val="105"/>
          <w:sz w:val="21"/>
        </w:rPr>
        <w:t> </w:t>
      </w:r>
      <w:r>
        <w:rPr>
          <w:w w:val="105"/>
          <w:sz w:val="21"/>
        </w:rPr>
        <w:t>a</w:t>
      </w:r>
      <w:r>
        <w:rPr>
          <w:spacing w:val="-4"/>
          <w:w w:val="105"/>
          <w:sz w:val="21"/>
        </w:rPr>
        <w:t> </w:t>
      </w:r>
      <w:r>
        <w:rPr>
          <w:spacing w:val="-3"/>
          <w:w w:val="105"/>
          <w:sz w:val="21"/>
        </w:rPr>
        <w:t>Court</w:t>
      </w:r>
      <w:r>
        <w:rPr>
          <w:spacing w:val="-4"/>
          <w:w w:val="105"/>
          <w:sz w:val="21"/>
        </w:rPr>
        <w:t> </w:t>
      </w:r>
      <w:r>
        <w:rPr>
          <w:w w:val="105"/>
          <w:sz w:val="21"/>
        </w:rPr>
        <w:t>matter</w:t>
      </w:r>
      <w:r>
        <w:rPr>
          <w:spacing w:val="-4"/>
          <w:w w:val="105"/>
          <w:sz w:val="21"/>
        </w:rPr>
        <w:t> </w:t>
      </w:r>
      <w:r>
        <w:rPr>
          <w:w w:val="105"/>
          <w:sz w:val="21"/>
        </w:rPr>
        <w:t>is</w:t>
      </w:r>
      <w:r>
        <w:rPr>
          <w:spacing w:val="-4"/>
          <w:w w:val="105"/>
          <w:sz w:val="21"/>
        </w:rPr>
        <w:t> </w:t>
      </w:r>
      <w:r>
        <w:rPr>
          <w:w w:val="105"/>
          <w:sz w:val="21"/>
        </w:rPr>
        <w:t>still</w:t>
      </w:r>
      <w:r>
        <w:rPr>
          <w:spacing w:val="-4"/>
          <w:w w:val="105"/>
          <w:sz w:val="21"/>
        </w:rPr>
        <w:t> </w:t>
      </w:r>
      <w:r>
        <w:rPr>
          <w:w w:val="105"/>
          <w:sz w:val="21"/>
        </w:rPr>
        <w:t>in</w:t>
      </w:r>
      <w:r>
        <w:rPr>
          <w:spacing w:val="-4"/>
          <w:w w:val="105"/>
          <w:sz w:val="21"/>
        </w:rPr>
        <w:t> </w:t>
      </w:r>
      <w:r>
        <w:rPr>
          <w:w w:val="105"/>
          <w:sz w:val="21"/>
        </w:rPr>
        <w:t>progress</w:t>
      </w:r>
      <w:r>
        <w:rPr>
          <w:spacing w:val="-4"/>
          <w:w w:val="105"/>
          <w:sz w:val="21"/>
        </w:rPr>
        <w:t> </w:t>
      </w:r>
      <w:r>
        <w:rPr>
          <w:w w:val="105"/>
          <w:sz w:val="21"/>
        </w:rPr>
        <w:t>when</w:t>
      </w:r>
      <w:r>
        <w:rPr>
          <w:spacing w:val="-4"/>
          <w:w w:val="105"/>
          <w:sz w:val="21"/>
        </w:rPr>
        <w:t> </w:t>
      </w:r>
      <w:r>
        <w:rPr>
          <w:w w:val="105"/>
          <w:sz w:val="21"/>
        </w:rPr>
        <w:t>the</w:t>
      </w:r>
      <w:r>
        <w:rPr>
          <w:spacing w:val="-3"/>
          <w:w w:val="105"/>
          <w:sz w:val="21"/>
        </w:rPr>
        <w:t> land</w:t>
      </w:r>
      <w:r>
        <w:rPr>
          <w:spacing w:val="-4"/>
          <w:w w:val="105"/>
          <w:sz w:val="21"/>
        </w:rPr>
        <w:t> </w:t>
      </w:r>
      <w:r>
        <w:rPr>
          <w:w w:val="105"/>
          <w:sz w:val="21"/>
        </w:rPr>
        <w:t>is</w:t>
      </w:r>
      <w:r>
        <w:rPr>
          <w:spacing w:val="-4"/>
          <w:w w:val="105"/>
          <w:sz w:val="21"/>
        </w:rPr>
        <w:t> </w:t>
      </w:r>
      <w:r>
        <w:rPr>
          <w:w w:val="105"/>
          <w:sz w:val="21"/>
        </w:rPr>
        <w:t>sold,</w:t>
      </w:r>
      <w:r>
        <w:rPr>
          <w:spacing w:val="-4"/>
          <w:w w:val="105"/>
          <w:sz w:val="21"/>
        </w:rPr>
        <w:t> </w:t>
      </w:r>
      <w:r>
        <w:rPr>
          <w:w w:val="105"/>
          <w:sz w:val="21"/>
        </w:rPr>
        <w:t>then</w:t>
      </w:r>
      <w:r>
        <w:rPr>
          <w:spacing w:val="-4"/>
          <w:w w:val="105"/>
          <w:sz w:val="21"/>
        </w:rPr>
        <w:t> </w:t>
      </w:r>
      <w:r>
        <w:rPr>
          <w:w w:val="105"/>
          <w:sz w:val="21"/>
        </w:rPr>
        <w:t>the</w:t>
      </w:r>
      <w:r>
        <w:rPr>
          <w:spacing w:val="-4"/>
          <w:w w:val="105"/>
          <w:sz w:val="21"/>
        </w:rPr>
        <w:t> </w:t>
      </w:r>
      <w:r>
        <w:rPr>
          <w:spacing w:val="-3"/>
          <w:w w:val="105"/>
          <w:sz w:val="21"/>
        </w:rPr>
        <w:t>Court</w:t>
      </w:r>
      <w:r>
        <w:rPr>
          <w:spacing w:val="-4"/>
          <w:w w:val="105"/>
          <w:sz w:val="21"/>
        </w:rPr>
        <w:t> </w:t>
      </w:r>
      <w:r>
        <w:rPr>
          <w:spacing w:val="-3"/>
          <w:w w:val="105"/>
          <w:sz w:val="21"/>
        </w:rPr>
        <w:t>may</w:t>
      </w:r>
      <w:r>
        <w:rPr>
          <w:spacing w:val="-4"/>
          <w:w w:val="105"/>
          <w:sz w:val="21"/>
        </w:rPr>
        <w:t> make </w:t>
      </w:r>
      <w:r>
        <w:rPr>
          <w:w w:val="105"/>
          <w:sz w:val="21"/>
        </w:rPr>
        <w:t>orders </w:t>
      </w:r>
      <w:r>
        <w:rPr>
          <w:spacing w:val="-3"/>
          <w:w w:val="105"/>
          <w:sz w:val="21"/>
        </w:rPr>
        <w:t>that take </w:t>
      </w:r>
      <w:r>
        <w:rPr>
          <w:w w:val="105"/>
          <w:sz w:val="21"/>
        </w:rPr>
        <w:t>the </w:t>
      </w:r>
      <w:r>
        <w:rPr>
          <w:spacing w:val="-3"/>
          <w:w w:val="105"/>
          <w:sz w:val="21"/>
        </w:rPr>
        <w:t>change </w:t>
      </w:r>
      <w:r>
        <w:rPr>
          <w:w w:val="105"/>
          <w:sz w:val="21"/>
        </w:rPr>
        <w:t>of ownership </w:t>
      </w:r>
      <w:r>
        <w:rPr>
          <w:spacing w:val="-4"/>
          <w:w w:val="105"/>
          <w:sz w:val="21"/>
        </w:rPr>
        <w:t>into </w:t>
      </w:r>
      <w:r>
        <w:rPr>
          <w:spacing w:val="-3"/>
          <w:w w:val="105"/>
          <w:sz w:val="21"/>
        </w:rPr>
        <w:t>account, such </w:t>
      </w:r>
      <w:r>
        <w:rPr>
          <w:w w:val="105"/>
          <w:sz w:val="21"/>
        </w:rPr>
        <w:t>as </w:t>
      </w:r>
      <w:r>
        <w:rPr>
          <w:spacing w:val="-3"/>
          <w:w w:val="105"/>
          <w:sz w:val="21"/>
        </w:rPr>
        <w:t>requiring </w:t>
      </w:r>
      <w:r>
        <w:rPr>
          <w:w w:val="105"/>
          <w:sz w:val="21"/>
        </w:rPr>
        <w:t>the </w:t>
      </w:r>
      <w:r>
        <w:rPr>
          <w:spacing w:val="-3"/>
          <w:w w:val="105"/>
          <w:sz w:val="21"/>
        </w:rPr>
        <w:t>original </w:t>
      </w:r>
      <w:r>
        <w:rPr>
          <w:w w:val="105"/>
          <w:sz w:val="21"/>
        </w:rPr>
        <w:t>tree owner ‘to</w:t>
      </w:r>
      <w:r>
        <w:rPr>
          <w:spacing w:val="-7"/>
          <w:w w:val="105"/>
          <w:sz w:val="21"/>
        </w:rPr>
        <w:t> </w:t>
      </w:r>
      <w:r>
        <w:rPr>
          <w:w w:val="105"/>
          <w:sz w:val="21"/>
        </w:rPr>
        <w:t>advise</w:t>
      </w:r>
      <w:r>
        <w:rPr>
          <w:spacing w:val="-7"/>
          <w:w w:val="105"/>
          <w:sz w:val="21"/>
        </w:rPr>
        <w:t> </w:t>
      </w:r>
      <w:r>
        <w:rPr>
          <w:w w:val="105"/>
          <w:sz w:val="21"/>
        </w:rPr>
        <w:t>the</w:t>
      </w:r>
      <w:r>
        <w:rPr>
          <w:spacing w:val="-7"/>
          <w:w w:val="105"/>
          <w:sz w:val="21"/>
        </w:rPr>
        <w:t> </w:t>
      </w:r>
      <w:r>
        <w:rPr>
          <w:w w:val="105"/>
          <w:sz w:val="21"/>
        </w:rPr>
        <w:t>new</w:t>
      </w:r>
      <w:r>
        <w:rPr>
          <w:spacing w:val="-6"/>
          <w:w w:val="105"/>
          <w:sz w:val="21"/>
        </w:rPr>
        <w:t> </w:t>
      </w:r>
      <w:r>
        <w:rPr>
          <w:w w:val="105"/>
          <w:sz w:val="21"/>
        </w:rPr>
        <w:t>owners</w:t>
      </w:r>
      <w:r>
        <w:rPr>
          <w:spacing w:val="-7"/>
          <w:w w:val="105"/>
          <w:sz w:val="21"/>
        </w:rPr>
        <w:t> </w:t>
      </w:r>
      <w:r>
        <w:rPr>
          <w:w w:val="105"/>
          <w:sz w:val="21"/>
        </w:rPr>
        <w:t>of</w:t>
      </w:r>
      <w:r>
        <w:rPr>
          <w:spacing w:val="-7"/>
          <w:w w:val="105"/>
          <w:sz w:val="21"/>
        </w:rPr>
        <w:t> </w:t>
      </w:r>
      <w:r>
        <w:rPr>
          <w:w w:val="105"/>
          <w:sz w:val="21"/>
        </w:rPr>
        <w:t>the</w:t>
      </w:r>
      <w:r>
        <w:rPr>
          <w:spacing w:val="-6"/>
          <w:w w:val="105"/>
          <w:sz w:val="21"/>
        </w:rPr>
        <w:t> </w:t>
      </w:r>
      <w:r>
        <w:rPr>
          <w:w w:val="105"/>
          <w:sz w:val="21"/>
        </w:rPr>
        <w:t>need</w:t>
      </w:r>
      <w:r>
        <w:rPr>
          <w:spacing w:val="-7"/>
          <w:w w:val="105"/>
          <w:sz w:val="21"/>
        </w:rPr>
        <w:t> </w:t>
      </w:r>
      <w:r>
        <w:rPr>
          <w:spacing w:val="-3"/>
          <w:w w:val="105"/>
          <w:sz w:val="21"/>
        </w:rPr>
        <w:t>to</w:t>
      </w:r>
      <w:r>
        <w:rPr>
          <w:spacing w:val="-7"/>
          <w:w w:val="105"/>
          <w:sz w:val="21"/>
        </w:rPr>
        <w:t> </w:t>
      </w:r>
      <w:r>
        <w:rPr>
          <w:w w:val="105"/>
          <w:sz w:val="21"/>
        </w:rPr>
        <w:t>provide</w:t>
      </w:r>
      <w:r>
        <w:rPr>
          <w:spacing w:val="-6"/>
          <w:w w:val="105"/>
          <w:sz w:val="21"/>
        </w:rPr>
        <w:t> </w:t>
      </w:r>
      <w:r>
        <w:rPr>
          <w:spacing w:val="-3"/>
          <w:w w:val="105"/>
          <w:sz w:val="21"/>
        </w:rPr>
        <w:t>any</w:t>
      </w:r>
      <w:r>
        <w:rPr>
          <w:spacing w:val="-7"/>
          <w:w w:val="105"/>
          <w:sz w:val="21"/>
        </w:rPr>
        <w:t> </w:t>
      </w:r>
      <w:r>
        <w:rPr>
          <w:w w:val="105"/>
          <w:sz w:val="21"/>
        </w:rPr>
        <w:t>necessary</w:t>
      </w:r>
      <w:r>
        <w:rPr>
          <w:spacing w:val="-7"/>
          <w:w w:val="105"/>
          <w:sz w:val="21"/>
        </w:rPr>
        <w:t> </w:t>
      </w:r>
      <w:r>
        <w:rPr>
          <w:spacing w:val="-2"/>
          <w:w w:val="105"/>
          <w:sz w:val="21"/>
        </w:rPr>
        <w:t>access</w:t>
      </w:r>
      <w:r>
        <w:rPr>
          <w:spacing w:val="-6"/>
          <w:w w:val="105"/>
          <w:sz w:val="21"/>
        </w:rPr>
        <w:t> </w:t>
      </w:r>
      <w:r>
        <w:rPr>
          <w:spacing w:val="-3"/>
          <w:w w:val="105"/>
          <w:sz w:val="21"/>
        </w:rPr>
        <w:t>for</w:t>
      </w:r>
      <w:r>
        <w:rPr>
          <w:spacing w:val="-7"/>
          <w:w w:val="105"/>
          <w:sz w:val="21"/>
        </w:rPr>
        <w:t> </w:t>
      </w:r>
      <w:r>
        <w:rPr>
          <w:w w:val="105"/>
          <w:sz w:val="21"/>
        </w:rPr>
        <w:t>the</w:t>
      </w:r>
      <w:r>
        <w:rPr>
          <w:spacing w:val="-7"/>
          <w:w w:val="105"/>
          <w:sz w:val="21"/>
        </w:rPr>
        <w:t> </w:t>
      </w:r>
      <w:r>
        <w:rPr>
          <w:w w:val="105"/>
          <w:sz w:val="21"/>
        </w:rPr>
        <w:t>purpose</w:t>
      </w:r>
      <w:r>
        <w:rPr>
          <w:spacing w:val="-6"/>
          <w:w w:val="105"/>
          <w:sz w:val="21"/>
        </w:rPr>
        <w:t> </w:t>
      </w:r>
      <w:r>
        <w:rPr>
          <w:w w:val="105"/>
          <w:sz w:val="21"/>
        </w:rPr>
        <w:t>of </w:t>
      </w:r>
      <w:r>
        <w:rPr>
          <w:spacing w:val="-3"/>
          <w:w w:val="105"/>
          <w:sz w:val="21"/>
        </w:rPr>
        <w:t>quoting </w:t>
      </w:r>
      <w:r>
        <w:rPr>
          <w:w w:val="105"/>
          <w:sz w:val="21"/>
        </w:rPr>
        <w:t>and undertaking the</w:t>
      </w:r>
      <w:r>
        <w:rPr>
          <w:spacing w:val="25"/>
          <w:w w:val="105"/>
          <w:sz w:val="21"/>
        </w:rPr>
        <w:t> </w:t>
      </w:r>
      <w:r>
        <w:rPr>
          <w:spacing w:val="-7"/>
          <w:w w:val="105"/>
          <w:sz w:val="21"/>
        </w:rPr>
        <w:t>works’.</w:t>
      </w:r>
      <w:r>
        <w:rPr>
          <w:spacing w:val="-7"/>
          <w:w w:val="105"/>
          <w:position w:val="7"/>
          <w:sz w:val="12"/>
        </w:rPr>
        <w:t>12</w:t>
      </w:r>
    </w:p>
    <w:p>
      <w:pPr>
        <w:pStyle w:val="Heading7"/>
      </w:pPr>
      <w:r>
        <w:rPr>
          <w:w w:val="115"/>
        </w:rPr>
        <w:t>Joinder of parties</w:t>
      </w:r>
    </w:p>
    <w:p>
      <w:pPr>
        <w:pStyle w:val="ListParagraph"/>
        <w:numPr>
          <w:ilvl w:val="1"/>
          <w:numId w:val="16"/>
        </w:numPr>
        <w:tabs>
          <w:tab w:pos="2381" w:val="left" w:leader="none"/>
          <w:tab w:pos="2382" w:val="left" w:leader="none"/>
        </w:tabs>
        <w:spacing w:line="242" w:lineRule="auto" w:before="143" w:after="0"/>
        <w:ind w:left="2381" w:right="1888" w:hanging="794"/>
        <w:jc w:val="left"/>
        <w:rPr>
          <w:sz w:val="21"/>
        </w:rPr>
      </w:pPr>
      <w:r>
        <w:rPr>
          <w:w w:val="105"/>
          <w:sz w:val="21"/>
        </w:rPr>
        <w:t>If</w:t>
      </w:r>
      <w:r>
        <w:rPr>
          <w:spacing w:val="-5"/>
          <w:w w:val="105"/>
          <w:sz w:val="21"/>
        </w:rPr>
        <w:t> </w:t>
      </w:r>
      <w:r>
        <w:rPr>
          <w:w w:val="105"/>
          <w:sz w:val="21"/>
        </w:rPr>
        <w:t>a</w:t>
      </w:r>
      <w:r>
        <w:rPr>
          <w:spacing w:val="-6"/>
          <w:w w:val="105"/>
          <w:sz w:val="21"/>
        </w:rPr>
        <w:t> </w:t>
      </w:r>
      <w:r>
        <w:rPr>
          <w:w w:val="105"/>
          <w:sz w:val="21"/>
        </w:rPr>
        <w:t>property</w:t>
      </w:r>
      <w:r>
        <w:rPr>
          <w:spacing w:val="-5"/>
          <w:w w:val="105"/>
          <w:sz w:val="21"/>
        </w:rPr>
        <w:t> </w:t>
      </w:r>
      <w:r>
        <w:rPr>
          <w:spacing w:val="-2"/>
          <w:w w:val="105"/>
          <w:sz w:val="21"/>
        </w:rPr>
        <w:t>has</w:t>
      </w:r>
      <w:r>
        <w:rPr>
          <w:spacing w:val="-5"/>
          <w:w w:val="105"/>
          <w:sz w:val="21"/>
        </w:rPr>
        <w:t> </w:t>
      </w:r>
      <w:r>
        <w:rPr>
          <w:spacing w:val="-3"/>
          <w:w w:val="105"/>
          <w:sz w:val="21"/>
        </w:rPr>
        <w:t>changed</w:t>
      </w:r>
      <w:r>
        <w:rPr>
          <w:spacing w:val="-5"/>
          <w:w w:val="105"/>
          <w:sz w:val="21"/>
        </w:rPr>
        <w:t> </w:t>
      </w:r>
      <w:r>
        <w:rPr>
          <w:w w:val="105"/>
          <w:sz w:val="21"/>
        </w:rPr>
        <w:t>ownership</w:t>
      </w:r>
      <w:r>
        <w:rPr>
          <w:spacing w:val="-5"/>
          <w:w w:val="105"/>
          <w:sz w:val="21"/>
        </w:rPr>
        <w:t> </w:t>
      </w:r>
      <w:r>
        <w:rPr>
          <w:w w:val="105"/>
          <w:sz w:val="21"/>
        </w:rPr>
        <w:t>over</w:t>
      </w:r>
      <w:r>
        <w:rPr>
          <w:spacing w:val="-5"/>
          <w:w w:val="105"/>
          <w:sz w:val="21"/>
        </w:rPr>
        <w:t> </w:t>
      </w:r>
      <w:r>
        <w:rPr>
          <w:w w:val="105"/>
          <w:sz w:val="21"/>
        </w:rPr>
        <w:t>the</w:t>
      </w:r>
      <w:r>
        <w:rPr>
          <w:spacing w:val="-5"/>
          <w:w w:val="105"/>
          <w:sz w:val="21"/>
        </w:rPr>
        <w:t> </w:t>
      </w:r>
      <w:r>
        <w:rPr>
          <w:w w:val="105"/>
          <w:sz w:val="21"/>
        </w:rPr>
        <w:t>period</w:t>
      </w:r>
      <w:r>
        <w:rPr>
          <w:spacing w:val="-5"/>
          <w:w w:val="105"/>
          <w:sz w:val="21"/>
        </w:rPr>
        <w:t> </w:t>
      </w:r>
      <w:r>
        <w:rPr>
          <w:w w:val="105"/>
          <w:sz w:val="21"/>
        </w:rPr>
        <w:t>which</w:t>
      </w:r>
      <w:r>
        <w:rPr>
          <w:spacing w:val="-5"/>
          <w:w w:val="105"/>
          <w:sz w:val="21"/>
        </w:rPr>
        <w:t> </w:t>
      </w:r>
      <w:r>
        <w:rPr>
          <w:w w:val="105"/>
          <w:sz w:val="21"/>
        </w:rPr>
        <w:t>the</w:t>
      </w:r>
      <w:r>
        <w:rPr>
          <w:spacing w:val="-5"/>
          <w:w w:val="105"/>
          <w:sz w:val="21"/>
        </w:rPr>
        <w:t> </w:t>
      </w:r>
      <w:r>
        <w:rPr>
          <w:w w:val="105"/>
          <w:sz w:val="21"/>
        </w:rPr>
        <w:t>damage</w:t>
      </w:r>
      <w:r>
        <w:rPr>
          <w:spacing w:val="-5"/>
          <w:w w:val="105"/>
          <w:sz w:val="21"/>
        </w:rPr>
        <w:t> </w:t>
      </w:r>
      <w:r>
        <w:rPr>
          <w:w w:val="105"/>
          <w:sz w:val="21"/>
        </w:rPr>
        <w:t>is</w:t>
      </w:r>
      <w:r>
        <w:rPr>
          <w:spacing w:val="-5"/>
          <w:w w:val="105"/>
          <w:sz w:val="21"/>
        </w:rPr>
        <w:t> </w:t>
      </w:r>
      <w:r>
        <w:rPr>
          <w:w w:val="105"/>
          <w:sz w:val="21"/>
        </w:rPr>
        <w:t>said</w:t>
      </w:r>
      <w:r>
        <w:rPr>
          <w:spacing w:val="-5"/>
          <w:w w:val="105"/>
          <w:sz w:val="21"/>
        </w:rPr>
        <w:t> </w:t>
      </w:r>
      <w:r>
        <w:rPr>
          <w:spacing w:val="-3"/>
          <w:w w:val="105"/>
          <w:sz w:val="21"/>
        </w:rPr>
        <w:t>to</w:t>
      </w:r>
      <w:r>
        <w:rPr>
          <w:spacing w:val="-5"/>
          <w:w w:val="105"/>
          <w:sz w:val="21"/>
        </w:rPr>
        <w:t> </w:t>
      </w:r>
      <w:r>
        <w:rPr>
          <w:spacing w:val="-3"/>
          <w:w w:val="105"/>
          <w:sz w:val="21"/>
        </w:rPr>
        <w:t>have occurred, </w:t>
      </w:r>
      <w:r>
        <w:rPr>
          <w:w w:val="105"/>
          <w:sz w:val="21"/>
        </w:rPr>
        <w:t>an </w:t>
      </w:r>
      <w:r>
        <w:rPr>
          <w:spacing w:val="-3"/>
          <w:w w:val="105"/>
          <w:sz w:val="21"/>
        </w:rPr>
        <w:t>applicant may </w:t>
      </w:r>
      <w:r>
        <w:rPr>
          <w:spacing w:val="-4"/>
          <w:w w:val="105"/>
          <w:sz w:val="21"/>
        </w:rPr>
        <w:t>make </w:t>
      </w:r>
      <w:r>
        <w:rPr>
          <w:w w:val="105"/>
          <w:sz w:val="21"/>
        </w:rPr>
        <w:t>an application </w:t>
      </w:r>
      <w:r>
        <w:rPr>
          <w:spacing w:val="-3"/>
          <w:w w:val="105"/>
          <w:sz w:val="21"/>
        </w:rPr>
        <w:t>against </w:t>
      </w:r>
      <w:r>
        <w:rPr>
          <w:w w:val="105"/>
          <w:sz w:val="21"/>
        </w:rPr>
        <w:t>the </w:t>
      </w:r>
      <w:r>
        <w:rPr>
          <w:spacing w:val="-3"/>
          <w:w w:val="105"/>
          <w:sz w:val="21"/>
        </w:rPr>
        <w:t>current </w:t>
      </w:r>
      <w:r>
        <w:rPr>
          <w:w w:val="105"/>
          <w:sz w:val="21"/>
        </w:rPr>
        <w:t>owner/s but the former owner/s </w:t>
      </w:r>
      <w:r>
        <w:rPr>
          <w:spacing w:val="-3"/>
          <w:w w:val="105"/>
          <w:sz w:val="21"/>
        </w:rPr>
        <w:t>may </w:t>
      </w:r>
      <w:r>
        <w:rPr>
          <w:w w:val="105"/>
          <w:sz w:val="21"/>
        </w:rPr>
        <w:t>be joined in the</w:t>
      </w:r>
      <w:r>
        <w:rPr>
          <w:spacing w:val="30"/>
          <w:w w:val="105"/>
          <w:sz w:val="21"/>
        </w:rPr>
        <w:t> </w:t>
      </w:r>
      <w:r>
        <w:rPr>
          <w:spacing w:val="-5"/>
          <w:w w:val="105"/>
          <w:sz w:val="21"/>
        </w:rPr>
        <w:t>proceedings.</w:t>
      </w:r>
      <w:r>
        <w:rPr>
          <w:spacing w:val="-5"/>
          <w:w w:val="105"/>
          <w:position w:val="7"/>
          <w:sz w:val="12"/>
        </w:rPr>
        <w:t>13</w:t>
      </w:r>
    </w:p>
    <w:p>
      <w:pPr>
        <w:pStyle w:val="BodyText"/>
        <w:spacing w:before="10"/>
      </w:pPr>
    </w:p>
    <w:p>
      <w:pPr>
        <w:pStyle w:val="Heading4"/>
        <w:spacing w:before="1"/>
      </w:pPr>
      <w:r>
        <w:rPr>
          <w:color w:val="658464"/>
          <w:w w:val="115"/>
        </w:rPr>
        <w:t>Queensland</w:t>
      </w:r>
    </w:p>
    <w:p>
      <w:pPr>
        <w:pStyle w:val="Heading5"/>
        <w:spacing w:before="166"/>
      </w:pPr>
      <w:r>
        <w:rPr>
          <w:w w:val="115"/>
        </w:rPr>
        <w:t>Tree owner must inform new tree owners</w:t>
      </w:r>
    </w:p>
    <w:p>
      <w:pPr>
        <w:pStyle w:val="ListParagraph"/>
        <w:numPr>
          <w:ilvl w:val="1"/>
          <w:numId w:val="16"/>
        </w:numPr>
        <w:tabs>
          <w:tab w:pos="2380" w:val="left" w:leader="none"/>
          <w:tab w:pos="2381" w:val="left" w:leader="none"/>
        </w:tabs>
        <w:spacing w:line="242" w:lineRule="auto" w:before="137" w:after="0"/>
        <w:ind w:left="2381" w:right="1611" w:hanging="794"/>
        <w:jc w:val="left"/>
        <w:rPr>
          <w:sz w:val="21"/>
        </w:rPr>
      </w:pPr>
      <w:r>
        <w:rPr>
          <w:w w:val="105"/>
          <w:sz w:val="21"/>
        </w:rPr>
        <w:t>The </w:t>
      </w:r>
      <w:r>
        <w:rPr>
          <w:spacing w:val="-3"/>
          <w:w w:val="105"/>
          <w:sz w:val="21"/>
        </w:rPr>
        <w:t>relevant provisions </w:t>
      </w:r>
      <w:r>
        <w:rPr>
          <w:w w:val="105"/>
          <w:sz w:val="21"/>
        </w:rPr>
        <w:t>of the </w:t>
      </w:r>
      <w:r>
        <w:rPr>
          <w:spacing w:val="-3"/>
          <w:w w:val="105"/>
          <w:sz w:val="21"/>
        </w:rPr>
        <w:t>Queensland </w:t>
      </w:r>
      <w:r>
        <w:rPr>
          <w:w w:val="105"/>
          <w:sz w:val="21"/>
        </w:rPr>
        <w:t>Act apply </w:t>
      </w:r>
      <w:r>
        <w:rPr>
          <w:spacing w:val="-3"/>
          <w:w w:val="105"/>
          <w:sz w:val="21"/>
        </w:rPr>
        <w:t>to land </w:t>
      </w:r>
      <w:r>
        <w:rPr>
          <w:w w:val="105"/>
          <w:sz w:val="21"/>
        </w:rPr>
        <w:t>on which a tree the subject of an application or order is </w:t>
      </w:r>
      <w:r>
        <w:rPr>
          <w:spacing w:val="-3"/>
          <w:w w:val="105"/>
          <w:sz w:val="21"/>
        </w:rPr>
        <w:t>situated </w:t>
      </w:r>
      <w:r>
        <w:rPr>
          <w:w w:val="105"/>
          <w:sz w:val="21"/>
        </w:rPr>
        <w:t>(the tree </w:t>
      </w:r>
      <w:r>
        <w:rPr>
          <w:spacing w:val="-3"/>
          <w:w w:val="105"/>
          <w:sz w:val="21"/>
        </w:rPr>
        <w:t>owner’s </w:t>
      </w:r>
      <w:r>
        <w:rPr>
          <w:spacing w:val="-4"/>
          <w:w w:val="105"/>
          <w:sz w:val="21"/>
        </w:rPr>
        <w:t>land).</w:t>
      </w:r>
      <w:r>
        <w:rPr>
          <w:spacing w:val="-4"/>
          <w:w w:val="105"/>
          <w:position w:val="7"/>
          <w:sz w:val="12"/>
        </w:rPr>
        <w:t>14 </w:t>
      </w:r>
      <w:r>
        <w:rPr>
          <w:spacing w:val="-3"/>
          <w:w w:val="105"/>
          <w:sz w:val="21"/>
        </w:rPr>
        <w:t>Therefore, </w:t>
      </w:r>
      <w:r>
        <w:rPr>
          <w:w w:val="105"/>
          <w:sz w:val="21"/>
        </w:rPr>
        <w:t>the </w:t>
      </w:r>
      <w:r>
        <w:rPr>
          <w:spacing w:val="-3"/>
          <w:w w:val="105"/>
          <w:sz w:val="21"/>
        </w:rPr>
        <w:t>Queensland </w:t>
      </w:r>
      <w:r>
        <w:rPr>
          <w:w w:val="105"/>
          <w:sz w:val="21"/>
        </w:rPr>
        <w:t>Act</w:t>
      </w:r>
      <w:r>
        <w:rPr>
          <w:spacing w:val="-4"/>
          <w:w w:val="105"/>
          <w:sz w:val="21"/>
        </w:rPr>
        <w:t> </w:t>
      </w:r>
      <w:r>
        <w:rPr>
          <w:spacing w:val="-2"/>
          <w:w w:val="105"/>
          <w:sz w:val="21"/>
        </w:rPr>
        <w:t>places</w:t>
      </w:r>
      <w:r>
        <w:rPr>
          <w:spacing w:val="-4"/>
          <w:w w:val="105"/>
          <w:sz w:val="21"/>
        </w:rPr>
        <w:t> </w:t>
      </w:r>
      <w:r>
        <w:rPr>
          <w:w w:val="105"/>
          <w:sz w:val="21"/>
        </w:rPr>
        <w:t>an</w:t>
      </w:r>
      <w:r>
        <w:rPr>
          <w:spacing w:val="-4"/>
          <w:w w:val="105"/>
          <w:sz w:val="21"/>
        </w:rPr>
        <w:t> </w:t>
      </w:r>
      <w:r>
        <w:rPr>
          <w:spacing w:val="-3"/>
          <w:w w:val="105"/>
          <w:sz w:val="21"/>
        </w:rPr>
        <w:t>onus</w:t>
      </w:r>
      <w:r>
        <w:rPr>
          <w:spacing w:val="-4"/>
          <w:w w:val="105"/>
          <w:sz w:val="21"/>
        </w:rPr>
        <w:t> </w:t>
      </w:r>
      <w:r>
        <w:rPr>
          <w:w w:val="105"/>
          <w:sz w:val="21"/>
        </w:rPr>
        <w:t>on</w:t>
      </w:r>
      <w:r>
        <w:rPr>
          <w:spacing w:val="-4"/>
          <w:w w:val="105"/>
          <w:sz w:val="21"/>
        </w:rPr>
        <w:t> </w:t>
      </w:r>
      <w:r>
        <w:rPr>
          <w:w w:val="105"/>
          <w:sz w:val="21"/>
        </w:rPr>
        <w:t>the</w:t>
      </w:r>
      <w:r>
        <w:rPr>
          <w:spacing w:val="-4"/>
          <w:w w:val="105"/>
          <w:sz w:val="21"/>
        </w:rPr>
        <w:t> </w:t>
      </w:r>
      <w:r>
        <w:rPr>
          <w:w w:val="105"/>
          <w:sz w:val="21"/>
        </w:rPr>
        <w:t>tree</w:t>
      </w:r>
      <w:r>
        <w:rPr>
          <w:spacing w:val="-4"/>
          <w:w w:val="105"/>
          <w:sz w:val="21"/>
        </w:rPr>
        <w:t> </w:t>
      </w:r>
      <w:r>
        <w:rPr>
          <w:w w:val="105"/>
          <w:sz w:val="21"/>
        </w:rPr>
        <w:t>owner</w:t>
      </w:r>
      <w:r>
        <w:rPr>
          <w:spacing w:val="-4"/>
          <w:w w:val="105"/>
          <w:sz w:val="21"/>
        </w:rPr>
        <w:t> </w:t>
      </w:r>
      <w:r>
        <w:rPr>
          <w:spacing w:val="-3"/>
          <w:w w:val="105"/>
          <w:sz w:val="21"/>
        </w:rPr>
        <w:t>to</w:t>
      </w:r>
      <w:r>
        <w:rPr>
          <w:spacing w:val="-4"/>
          <w:w w:val="105"/>
          <w:sz w:val="21"/>
        </w:rPr>
        <w:t> </w:t>
      </w:r>
      <w:r>
        <w:rPr>
          <w:spacing w:val="-3"/>
          <w:w w:val="105"/>
          <w:sz w:val="21"/>
        </w:rPr>
        <w:t>ensure</w:t>
      </w:r>
      <w:r>
        <w:rPr>
          <w:spacing w:val="-4"/>
          <w:w w:val="105"/>
          <w:sz w:val="21"/>
        </w:rPr>
        <w:t> </w:t>
      </w:r>
      <w:r>
        <w:rPr>
          <w:spacing w:val="-3"/>
          <w:w w:val="105"/>
          <w:sz w:val="21"/>
        </w:rPr>
        <w:t>that</w:t>
      </w:r>
      <w:r>
        <w:rPr>
          <w:spacing w:val="-4"/>
          <w:w w:val="105"/>
          <w:sz w:val="21"/>
        </w:rPr>
        <w:t> </w:t>
      </w:r>
      <w:r>
        <w:rPr>
          <w:w w:val="105"/>
          <w:sz w:val="21"/>
        </w:rPr>
        <w:t>the</w:t>
      </w:r>
      <w:r>
        <w:rPr>
          <w:spacing w:val="-4"/>
          <w:w w:val="105"/>
          <w:sz w:val="21"/>
        </w:rPr>
        <w:t> </w:t>
      </w:r>
      <w:r>
        <w:rPr>
          <w:spacing w:val="-3"/>
          <w:w w:val="105"/>
          <w:sz w:val="21"/>
        </w:rPr>
        <w:t>purchaser</w:t>
      </w:r>
      <w:r>
        <w:rPr>
          <w:spacing w:val="-4"/>
          <w:w w:val="105"/>
          <w:sz w:val="21"/>
        </w:rPr>
        <w:t> </w:t>
      </w:r>
      <w:r>
        <w:rPr>
          <w:w w:val="105"/>
          <w:sz w:val="21"/>
        </w:rPr>
        <w:t>of</w:t>
      </w:r>
      <w:r>
        <w:rPr>
          <w:spacing w:val="-4"/>
          <w:w w:val="105"/>
          <w:sz w:val="21"/>
        </w:rPr>
        <w:t> </w:t>
      </w:r>
      <w:r>
        <w:rPr>
          <w:w w:val="105"/>
          <w:sz w:val="21"/>
        </w:rPr>
        <w:t>their</w:t>
      </w:r>
      <w:r>
        <w:rPr>
          <w:spacing w:val="-4"/>
          <w:w w:val="105"/>
          <w:sz w:val="21"/>
        </w:rPr>
        <w:t> </w:t>
      </w:r>
      <w:r>
        <w:rPr>
          <w:spacing w:val="-3"/>
          <w:w w:val="105"/>
          <w:sz w:val="21"/>
        </w:rPr>
        <w:t>land</w:t>
      </w:r>
      <w:r>
        <w:rPr>
          <w:spacing w:val="-4"/>
          <w:w w:val="105"/>
          <w:sz w:val="21"/>
        </w:rPr>
        <w:t> </w:t>
      </w:r>
      <w:r>
        <w:rPr>
          <w:w w:val="105"/>
          <w:sz w:val="21"/>
        </w:rPr>
        <w:t>is</w:t>
      </w:r>
      <w:r>
        <w:rPr>
          <w:spacing w:val="-4"/>
          <w:w w:val="105"/>
          <w:sz w:val="21"/>
        </w:rPr>
        <w:t> </w:t>
      </w:r>
      <w:r>
        <w:rPr>
          <w:w w:val="105"/>
          <w:sz w:val="21"/>
        </w:rPr>
        <w:t>notified of an application or orders </w:t>
      </w:r>
      <w:r>
        <w:rPr>
          <w:spacing w:val="-3"/>
          <w:w w:val="105"/>
          <w:sz w:val="21"/>
        </w:rPr>
        <w:t>before </w:t>
      </w:r>
      <w:r>
        <w:rPr>
          <w:w w:val="105"/>
          <w:sz w:val="21"/>
        </w:rPr>
        <w:t>they </w:t>
      </w:r>
      <w:r>
        <w:rPr>
          <w:spacing w:val="-3"/>
          <w:w w:val="105"/>
          <w:sz w:val="21"/>
        </w:rPr>
        <w:t>enter </w:t>
      </w:r>
      <w:r>
        <w:rPr>
          <w:spacing w:val="-4"/>
          <w:w w:val="105"/>
          <w:sz w:val="21"/>
        </w:rPr>
        <w:t>into </w:t>
      </w:r>
      <w:r>
        <w:rPr>
          <w:w w:val="105"/>
          <w:sz w:val="21"/>
        </w:rPr>
        <w:t>a contract of </w:t>
      </w:r>
      <w:r>
        <w:rPr>
          <w:spacing w:val="-6"/>
          <w:w w:val="105"/>
          <w:sz w:val="21"/>
        </w:rPr>
        <w:t>sale.</w:t>
      </w:r>
      <w:r>
        <w:rPr>
          <w:spacing w:val="-6"/>
          <w:w w:val="105"/>
          <w:position w:val="7"/>
          <w:sz w:val="12"/>
        </w:rPr>
        <w:t>15 </w:t>
      </w:r>
      <w:r>
        <w:rPr>
          <w:w w:val="105"/>
          <w:sz w:val="21"/>
        </w:rPr>
        <w:t>This shifts the burden</w:t>
      </w:r>
      <w:r>
        <w:rPr>
          <w:spacing w:val="-5"/>
          <w:w w:val="105"/>
          <w:sz w:val="21"/>
        </w:rPr>
        <w:t> </w:t>
      </w:r>
      <w:r>
        <w:rPr>
          <w:w w:val="105"/>
          <w:sz w:val="21"/>
        </w:rPr>
        <w:t>of</w:t>
      </w:r>
      <w:r>
        <w:rPr>
          <w:spacing w:val="-5"/>
          <w:w w:val="105"/>
          <w:sz w:val="21"/>
        </w:rPr>
        <w:t> </w:t>
      </w:r>
      <w:r>
        <w:rPr>
          <w:w w:val="105"/>
          <w:sz w:val="21"/>
        </w:rPr>
        <w:t>carrying</w:t>
      </w:r>
      <w:r>
        <w:rPr>
          <w:spacing w:val="-4"/>
          <w:w w:val="105"/>
          <w:sz w:val="21"/>
        </w:rPr>
        <w:t> </w:t>
      </w:r>
      <w:r>
        <w:rPr>
          <w:w w:val="105"/>
          <w:sz w:val="21"/>
        </w:rPr>
        <w:t>out</w:t>
      </w:r>
      <w:r>
        <w:rPr>
          <w:spacing w:val="-5"/>
          <w:w w:val="105"/>
          <w:sz w:val="21"/>
        </w:rPr>
        <w:t> </w:t>
      </w:r>
      <w:r>
        <w:rPr>
          <w:spacing w:val="-3"/>
          <w:w w:val="105"/>
          <w:sz w:val="21"/>
        </w:rPr>
        <w:t>any</w:t>
      </w:r>
      <w:r>
        <w:rPr>
          <w:spacing w:val="-4"/>
          <w:w w:val="105"/>
          <w:sz w:val="21"/>
        </w:rPr>
        <w:t> </w:t>
      </w:r>
      <w:r>
        <w:rPr>
          <w:w w:val="105"/>
          <w:sz w:val="21"/>
        </w:rPr>
        <w:t>orders</w:t>
      </w:r>
      <w:r>
        <w:rPr>
          <w:spacing w:val="-5"/>
          <w:w w:val="105"/>
          <w:sz w:val="21"/>
        </w:rPr>
        <w:t> </w:t>
      </w:r>
      <w:r>
        <w:rPr>
          <w:spacing w:val="-3"/>
          <w:w w:val="105"/>
          <w:sz w:val="21"/>
        </w:rPr>
        <w:t>onto</w:t>
      </w:r>
      <w:r>
        <w:rPr>
          <w:spacing w:val="-4"/>
          <w:w w:val="105"/>
          <w:sz w:val="21"/>
        </w:rPr>
        <w:t> </w:t>
      </w:r>
      <w:r>
        <w:rPr>
          <w:w w:val="105"/>
          <w:sz w:val="21"/>
        </w:rPr>
        <w:t>the</w:t>
      </w:r>
      <w:r>
        <w:rPr>
          <w:spacing w:val="-5"/>
          <w:w w:val="105"/>
          <w:sz w:val="21"/>
        </w:rPr>
        <w:t> </w:t>
      </w:r>
      <w:r>
        <w:rPr>
          <w:w w:val="105"/>
          <w:sz w:val="21"/>
        </w:rPr>
        <w:t>new</w:t>
      </w:r>
      <w:r>
        <w:rPr>
          <w:spacing w:val="-4"/>
          <w:w w:val="105"/>
          <w:sz w:val="21"/>
        </w:rPr>
        <w:t> </w:t>
      </w:r>
      <w:r>
        <w:rPr>
          <w:w w:val="105"/>
          <w:sz w:val="21"/>
        </w:rPr>
        <w:t>tree</w:t>
      </w:r>
      <w:r>
        <w:rPr>
          <w:spacing w:val="-5"/>
          <w:w w:val="105"/>
          <w:sz w:val="21"/>
        </w:rPr>
        <w:t> </w:t>
      </w:r>
      <w:r>
        <w:rPr>
          <w:w w:val="105"/>
          <w:sz w:val="21"/>
        </w:rPr>
        <w:t>owner</w:t>
      </w:r>
      <w:r>
        <w:rPr>
          <w:spacing w:val="-4"/>
          <w:w w:val="105"/>
          <w:sz w:val="21"/>
        </w:rPr>
        <w:t> </w:t>
      </w:r>
      <w:r>
        <w:rPr>
          <w:w w:val="105"/>
          <w:sz w:val="21"/>
        </w:rPr>
        <w:t>once</w:t>
      </w:r>
      <w:r>
        <w:rPr>
          <w:spacing w:val="-5"/>
          <w:w w:val="105"/>
          <w:sz w:val="21"/>
        </w:rPr>
        <w:t> </w:t>
      </w:r>
      <w:r>
        <w:rPr>
          <w:spacing w:val="-3"/>
          <w:w w:val="105"/>
          <w:sz w:val="21"/>
        </w:rPr>
        <w:t>transfer</w:t>
      </w:r>
      <w:r>
        <w:rPr>
          <w:spacing w:val="-4"/>
          <w:w w:val="105"/>
          <w:sz w:val="21"/>
        </w:rPr>
        <w:t> </w:t>
      </w:r>
      <w:r>
        <w:rPr>
          <w:w w:val="105"/>
          <w:sz w:val="21"/>
        </w:rPr>
        <w:t>of</w:t>
      </w:r>
      <w:r>
        <w:rPr>
          <w:spacing w:val="-5"/>
          <w:w w:val="105"/>
          <w:sz w:val="21"/>
        </w:rPr>
        <w:t> </w:t>
      </w:r>
      <w:r>
        <w:rPr>
          <w:spacing w:val="-3"/>
          <w:w w:val="105"/>
          <w:sz w:val="21"/>
        </w:rPr>
        <w:t>land</w:t>
      </w:r>
      <w:r>
        <w:rPr>
          <w:spacing w:val="-5"/>
          <w:w w:val="105"/>
          <w:sz w:val="21"/>
        </w:rPr>
        <w:t> occurs.</w:t>
      </w:r>
      <w:r>
        <w:rPr>
          <w:spacing w:val="-5"/>
          <w:w w:val="105"/>
          <w:position w:val="7"/>
          <w:sz w:val="12"/>
        </w:rPr>
        <w:t>16</w:t>
      </w:r>
    </w:p>
    <w:p>
      <w:pPr>
        <w:pStyle w:val="BodyText"/>
        <w:rPr>
          <w:sz w:val="20"/>
        </w:rPr>
      </w:pPr>
    </w:p>
    <w:p>
      <w:pPr>
        <w:pStyle w:val="BodyText"/>
        <w:rPr>
          <w:sz w:val="20"/>
        </w:rPr>
      </w:pPr>
    </w:p>
    <w:p>
      <w:pPr>
        <w:pStyle w:val="BodyText"/>
        <w:spacing w:before="4"/>
        <w:rPr>
          <w:sz w:val="28"/>
        </w:rPr>
      </w:pPr>
      <w:r>
        <w:rPr/>
        <w:pict>
          <v:line style="position:absolute;mso-position-horizontal-relative:page;mso-position-vertical-relative:paragraph;z-index:10760;mso-wrap-distance-left:0;mso-wrap-distance-right:0" from="79.370102pt,19.768597pt" to="515.905102pt,19.768597pt" stroked="true" strokeweight="1pt" strokecolor="#c9d2cb">
            <v:stroke dashstyle="solid"/>
            <w10:wrap type="topAndBottom"/>
          </v:line>
        </w:pict>
      </w:r>
    </w:p>
    <w:p>
      <w:pPr>
        <w:pStyle w:val="BodyText"/>
        <w:spacing w:before="8"/>
        <w:rPr>
          <w:sz w:val="5"/>
        </w:rPr>
      </w:pPr>
    </w:p>
    <w:p>
      <w:pPr>
        <w:spacing w:after="0"/>
        <w:rPr>
          <w:sz w:val="5"/>
        </w:rPr>
        <w:sectPr>
          <w:headerReference w:type="default" r:id="rId304"/>
          <w:headerReference w:type="even" r:id="rId305"/>
          <w:pgSz w:w="11910" w:h="16840"/>
          <w:pgMar w:header="808" w:footer="0" w:top="1360" w:bottom="280" w:left="0" w:right="0"/>
        </w:sectPr>
      </w:pPr>
    </w:p>
    <w:p>
      <w:pPr>
        <w:pStyle w:val="ListParagraph"/>
        <w:numPr>
          <w:ilvl w:val="0"/>
          <w:numId w:val="190"/>
        </w:numPr>
        <w:tabs>
          <w:tab w:pos="2380" w:val="left" w:leader="none"/>
          <w:tab w:pos="2382" w:val="left" w:leader="none"/>
        </w:tabs>
        <w:spacing w:line="240" w:lineRule="auto" w:before="48" w:after="0"/>
        <w:ind w:left="2381" w:right="0" w:hanging="794"/>
        <w:jc w:val="left"/>
        <w:rPr>
          <w:sz w:val="13"/>
        </w:rPr>
      </w:pPr>
      <w:r>
        <w:rPr>
          <w:w w:val="105"/>
          <w:sz w:val="13"/>
        </w:rPr>
        <w:t>See</w:t>
      </w:r>
      <w:r>
        <w:rPr>
          <w:spacing w:val="4"/>
          <w:w w:val="105"/>
          <w:sz w:val="13"/>
        </w:rPr>
        <w:t> </w:t>
      </w:r>
      <w:r>
        <w:rPr>
          <w:i/>
          <w:w w:val="105"/>
          <w:sz w:val="13"/>
        </w:rPr>
        <w:t>Environmental</w:t>
      </w:r>
      <w:r>
        <w:rPr>
          <w:i/>
          <w:spacing w:val="5"/>
          <w:w w:val="105"/>
          <w:sz w:val="13"/>
        </w:rPr>
        <w:t> </w:t>
      </w:r>
      <w:r>
        <w:rPr>
          <w:i/>
          <w:w w:val="105"/>
          <w:sz w:val="13"/>
        </w:rPr>
        <w:t>Planning</w:t>
      </w:r>
      <w:r>
        <w:rPr>
          <w:i/>
          <w:spacing w:val="5"/>
          <w:w w:val="105"/>
          <w:sz w:val="13"/>
        </w:rPr>
        <w:t> </w:t>
      </w:r>
      <w:r>
        <w:rPr>
          <w:i/>
          <w:w w:val="105"/>
          <w:sz w:val="13"/>
        </w:rPr>
        <w:t>and</w:t>
      </w:r>
      <w:r>
        <w:rPr>
          <w:i/>
          <w:spacing w:val="5"/>
          <w:w w:val="105"/>
          <w:sz w:val="13"/>
        </w:rPr>
        <w:t> </w:t>
      </w:r>
      <w:r>
        <w:rPr>
          <w:i/>
          <w:w w:val="105"/>
          <w:sz w:val="13"/>
        </w:rPr>
        <w:t>Assessment</w:t>
      </w:r>
      <w:r>
        <w:rPr>
          <w:i/>
          <w:spacing w:val="5"/>
          <w:w w:val="105"/>
          <w:sz w:val="13"/>
        </w:rPr>
        <w:t> </w:t>
      </w:r>
      <w:r>
        <w:rPr>
          <w:i/>
          <w:w w:val="105"/>
          <w:sz w:val="13"/>
        </w:rPr>
        <w:t>Act</w:t>
      </w:r>
      <w:r>
        <w:rPr>
          <w:i/>
          <w:spacing w:val="5"/>
          <w:w w:val="105"/>
          <w:sz w:val="13"/>
        </w:rPr>
        <w:t> </w:t>
      </w:r>
      <w:r>
        <w:rPr>
          <w:i/>
          <w:spacing w:val="-3"/>
          <w:w w:val="105"/>
          <w:sz w:val="13"/>
        </w:rPr>
        <w:t>1979</w:t>
      </w:r>
      <w:r>
        <w:rPr>
          <w:i/>
          <w:spacing w:val="5"/>
          <w:w w:val="105"/>
          <w:sz w:val="13"/>
        </w:rPr>
        <w:t> </w:t>
      </w:r>
      <w:r>
        <w:rPr>
          <w:spacing w:val="3"/>
          <w:w w:val="105"/>
          <w:sz w:val="13"/>
        </w:rPr>
        <w:t>(NSW)</w:t>
      </w:r>
      <w:r>
        <w:rPr>
          <w:spacing w:val="5"/>
          <w:w w:val="105"/>
          <w:sz w:val="13"/>
        </w:rPr>
        <w:t> </w:t>
      </w:r>
      <w:r>
        <w:rPr>
          <w:w w:val="105"/>
          <w:sz w:val="13"/>
        </w:rPr>
        <w:t>s</w:t>
      </w:r>
      <w:r>
        <w:rPr>
          <w:spacing w:val="5"/>
          <w:w w:val="105"/>
          <w:sz w:val="13"/>
        </w:rPr>
        <w:t> </w:t>
      </w:r>
      <w:r>
        <w:rPr>
          <w:spacing w:val="-4"/>
          <w:w w:val="105"/>
          <w:sz w:val="13"/>
        </w:rPr>
        <w:t>10.7.</w:t>
      </w:r>
    </w:p>
    <w:p>
      <w:pPr>
        <w:pStyle w:val="ListParagraph"/>
        <w:numPr>
          <w:ilvl w:val="0"/>
          <w:numId w:val="190"/>
        </w:numPr>
        <w:tabs>
          <w:tab w:pos="2380" w:val="left" w:leader="none"/>
          <w:tab w:pos="2382" w:val="left" w:leader="none"/>
        </w:tabs>
        <w:spacing w:line="240" w:lineRule="auto" w:before="1" w:after="0"/>
        <w:ind w:left="2381" w:right="0" w:hanging="794"/>
        <w:jc w:val="left"/>
        <w:rPr>
          <w:sz w:val="13"/>
        </w:rPr>
      </w:pPr>
      <w:r>
        <w:rPr>
          <w:i/>
          <w:w w:val="105"/>
          <w:sz w:val="13"/>
        </w:rPr>
        <w:t>Environmental</w:t>
      </w:r>
      <w:r>
        <w:rPr>
          <w:i/>
          <w:spacing w:val="5"/>
          <w:w w:val="105"/>
          <w:sz w:val="13"/>
        </w:rPr>
        <w:t> </w:t>
      </w:r>
      <w:r>
        <w:rPr>
          <w:i/>
          <w:w w:val="105"/>
          <w:sz w:val="13"/>
        </w:rPr>
        <w:t>Planning</w:t>
      </w:r>
      <w:r>
        <w:rPr>
          <w:i/>
          <w:spacing w:val="5"/>
          <w:w w:val="105"/>
          <w:sz w:val="13"/>
        </w:rPr>
        <w:t> </w:t>
      </w:r>
      <w:r>
        <w:rPr>
          <w:i/>
          <w:w w:val="105"/>
          <w:sz w:val="13"/>
        </w:rPr>
        <w:t>and</w:t>
      </w:r>
      <w:r>
        <w:rPr>
          <w:i/>
          <w:spacing w:val="5"/>
          <w:w w:val="105"/>
          <w:sz w:val="13"/>
        </w:rPr>
        <w:t> </w:t>
      </w:r>
      <w:r>
        <w:rPr>
          <w:i/>
          <w:w w:val="105"/>
          <w:sz w:val="13"/>
        </w:rPr>
        <w:t>Assessment</w:t>
      </w:r>
      <w:r>
        <w:rPr>
          <w:i/>
          <w:spacing w:val="5"/>
          <w:w w:val="105"/>
          <w:sz w:val="13"/>
        </w:rPr>
        <w:t> </w:t>
      </w:r>
      <w:r>
        <w:rPr>
          <w:i/>
          <w:w w:val="105"/>
          <w:sz w:val="13"/>
        </w:rPr>
        <w:t>Regulation</w:t>
      </w:r>
      <w:r>
        <w:rPr>
          <w:i/>
          <w:spacing w:val="5"/>
          <w:w w:val="105"/>
          <w:sz w:val="13"/>
        </w:rPr>
        <w:t> </w:t>
      </w:r>
      <w:r>
        <w:rPr>
          <w:i/>
          <w:w w:val="105"/>
          <w:sz w:val="13"/>
        </w:rPr>
        <w:t>2000</w:t>
      </w:r>
      <w:r>
        <w:rPr>
          <w:i/>
          <w:spacing w:val="5"/>
          <w:w w:val="105"/>
          <w:sz w:val="13"/>
        </w:rPr>
        <w:t> </w:t>
      </w:r>
      <w:r>
        <w:rPr>
          <w:spacing w:val="3"/>
          <w:w w:val="105"/>
          <w:sz w:val="13"/>
        </w:rPr>
        <w:t>(NSW)</w:t>
      </w:r>
      <w:r>
        <w:rPr>
          <w:spacing w:val="5"/>
          <w:w w:val="105"/>
          <w:sz w:val="13"/>
        </w:rPr>
        <w:t> </w:t>
      </w:r>
      <w:r>
        <w:rPr>
          <w:w w:val="105"/>
          <w:sz w:val="13"/>
        </w:rPr>
        <w:t>sch</w:t>
      </w:r>
      <w:r>
        <w:rPr>
          <w:spacing w:val="5"/>
          <w:w w:val="105"/>
          <w:sz w:val="13"/>
        </w:rPr>
        <w:t> </w:t>
      </w:r>
      <w:r>
        <w:rPr>
          <w:w w:val="105"/>
          <w:sz w:val="13"/>
        </w:rPr>
        <w:t>4,</w:t>
      </w:r>
      <w:r>
        <w:rPr>
          <w:spacing w:val="5"/>
          <w:w w:val="105"/>
          <w:sz w:val="13"/>
        </w:rPr>
        <w:t> </w:t>
      </w:r>
      <w:r>
        <w:rPr>
          <w:w w:val="105"/>
          <w:sz w:val="13"/>
        </w:rPr>
        <w:t>cl</w:t>
      </w:r>
      <w:r>
        <w:rPr>
          <w:spacing w:val="5"/>
          <w:w w:val="105"/>
          <w:sz w:val="13"/>
        </w:rPr>
        <w:t> </w:t>
      </w:r>
      <w:r>
        <w:rPr>
          <w:spacing w:val="-3"/>
          <w:w w:val="105"/>
          <w:sz w:val="13"/>
        </w:rPr>
        <w:t>13.</w:t>
      </w:r>
    </w:p>
    <w:p>
      <w:pPr>
        <w:pStyle w:val="ListParagraph"/>
        <w:numPr>
          <w:ilvl w:val="0"/>
          <w:numId w:val="190"/>
        </w:numPr>
        <w:tabs>
          <w:tab w:pos="2380" w:val="left" w:leader="none"/>
          <w:tab w:pos="2381" w:val="left" w:leader="none"/>
        </w:tabs>
        <w:spacing w:line="240" w:lineRule="auto" w:before="2" w:after="0"/>
        <w:ind w:left="2380" w:right="0" w:hanging="793"/>
        <w:jc w:val="left"/>
        <w:rPr>
          <w:sz w:val="13"/>
        </w:rPr>
      </w:pPr>
      <w:r>
        <w:rPr>
          <w:i/>
          <w:w w:val="105"/>
          <w:sz w:val="13"/>
        </w:rPr>
        <w:t>Trees (Disputes Between Neighbours) Act 2006 </w:t>
      </w:r>
      <w:r>
        <w:rPr>
          <w:spacing w:val="3"/>
          <w:w w:val="105"/>
          <w:sz w:val="13"/>
        </w:rPr>
        <w:t>(NSW) </w:t>
      </w:r>
      <w:r>
        <w:rPr>
          <w:w w:val="105"/>
          <w:sz w:val="13"/>
        </w:rPr>
        <w:t>s</w:t>
      </w:r>
      <w:r>
        <w:rPr>
          <w:spacing w:val="5"/>
          <w:w w:val="105"/>
          <w:sz w:val="13"/>
        </w:rPr>
        <w:t> </w:t>
      </w:r>
      <w:r>
        <w:rPr>
          <w:spacing w:val="2"/>
          <w:w w:val="105"/>
          <w:sz w:val="13"/>
        </w:rPr>
        <w:t>14(a).</w:t>
      </w:r>
    </w:p>
    <w:p>
      <w:pPr>
        <w:pStyle w:val="ListParagraph"/>
        <w:numPr>
          <w:ilvl w:val="0"/>
          <w:numId w:val="190"/>
        </w:numPr>
        <w:tabs>
          <w:tab w:pos="2380" w:val="left" w:leader="none"/>
          <w:tab w:pos="2381" w:val="left" w:leader="none"/>
        </w:tabs>
        <w:spacing w:line="240" w:lineRule="auto" w:before="1" w:after="0"/>
        <w:ind w:left="2380" w:right="122" w:hanging="793"/>
        <w:jc w:val="left"/>
        <w:rPr>
          <w:sz w:val="13"/>
        </w:rPr>
      </w:pPr>
      <w:r>
        <w:rPr>
          <w:w w:val="105"/>
          <w:sz w:val="13"/>
        </w:rPr>
        <w:t>Department of Justice and Attorney General </w:t>
      </w:r>
      <w:r>
        <w:rPr>
          <w:spacing w:val="3"/>
          <w:w w:val="105"/>
          <w:sz w:val="13"/>
        </w:rPr>
        <w:t>(NSW), </w:t>
      </w:r>
      <w:r>
        <w:rPr>
          <w:i/>
          <w:w w:val="105"/>
          <w:sz w:val="13"/>
        </w:rPr>
        <w:t>Review of the Trees (Disputes Between Neighbours) Act 2006 </w:t>
      </w:r>
      <w:r>
        <w:rPr>
          <w:spacing w:val="3"/>
          <w:w w:val="105"/>
          <w:sz w:val="13"/>
        </w:rPr>
        <w:t>(NSW) </w:t>
      </w:r>
      <w:r>
        <w:rPr>
          <w:spacing w:val="2"/>
          <w:w w:val="105"/>
          <w:sz w:val="13"/>
        </w:rPr>
        <w:t>(Report, 2009)  </w:t>
      </w:r>
      <w:r>
        <w:rPr>
          <w:w w:val="105"/>
          <w:sz w:val="13"/>
        </w:rPr>
        <w:t>22.</w:t>
      </w:r>
    </w:p>
    <w:p>
      <w:pPr>
        <w:pStyle w:val="ListParagraph"/>
        <w:numPr>
          <w:ilvl w:val="0"/>
          <w:numId w:val="190"/>
        </w:numPr>
        <w:tabs>
          <w:tab w:pos="2380" w:val="left" w:leader="none"/>
          <w:tab w:pos="2381" w:val="left" w:leader="none"/>
        </w:tabs>
        <w:spacing w:line="240" w:lineRule="auto" w:before="3" w:after="0"/>
        <w:ind w:left="2380" w:right="0" w:hanging="793"/>
        <w:jc w:val="left"/>
        <w:rPr>
          <w:sz w:val="13"/>
        </w:rPr>
      </w:pPr>
      <w:r>
        <w:rPr>
          <w:w w:val="105"/>
          <w:sz w:val="13"/>
        </w:rPr>
        <w:t>See generally, </w:t>
      </w:r>
      <w:r>
        <w:rPr>
          <w:i/>
          <w:w w:val="105"/>
          <w:sz w:val="13"/>
        </w:rPr>
        <w:t>Trees (Disputes Between Neighbours) Act 2006</w:t>
      </w:r>
      <w:r>
        <w:rPr>
          <w:i/>
          <w:spacing w:val="9"/>
          <w:w w:val="105"/>
          <w:sz w:val="13"/>
        </w:rPr>
        <w:t> </w:t>
      </w:r>
      <w:r>
        <w:rPr>
          <w:spacing w:val="3"/>
          <w:w w:val="105"/>
          <w:sz w:val="13"/>
        </w:rPr>
        <w:t>(NSW).</w:t>
      </w:r>
    </w:p>
    <w:p>
      <w:pPr>
        <w:pStyle w:val="ListParagraph"/>
        <w:numPr>
          <w:ilvl w:val="0"/>
          <w:numId w:val="190"/>
        </w:numPr>
        <w:tabs>
          <w:tab w:pos="2380" w:val="left" w:leader="none"/>
          <w:tab w:pos="2381" w:val="left" w:leader="none"/>
        </w:tabs>
        <w:spacing w:line="240" w:lineRule="auto" w:before="1" w:after="0"/>
        <w:ind w:left="2380" w:right="0" w:hanging="793"/>
        <w:jc w:val="left"/>
        <w:rPr>
          <w:sz w:val="13"/>
        </w:rPr>
      </w:pPr>
      <w:r>
        <w:rPr>
          <w:i/>
          <w:w w:val="105"/>
          <w:sz w:val="13"/>
        </w:rPr>
        <w:t>Trees (Disputes Between Neighbours) Act 2006 </w:t>
      </w:r>
      <w:r>
        <w:rPr>
          <w:spacing w:val="3"/>
          <w:w w:val="105"/>
          <w:sz w:val="13"/>
        </w:rPr>
        <w:t>(NSW) </w:t>
      </w:r>
      <w:r>
        <w:rPr>
          <w:w w:val="105"/>
          <w:sz w:val="13"/>
        </w:rPr>
        <w:t>s</w:t>
      </w:r>
      <w:r>
        <w:rPr>
          <w:spacing w:val="6"/>
          <w:w w:val="105"/>
          <w:sz w:val="13"/>
        </w:rPr>
        <w:t> </w:t>
      </w:r>
      <w:r>
        <w:rPr>
          <w:w w:val="105"/>
          <w:sz w:val="13"/>
        </w:rPr>
        <w:t>16A.</w:t>
      </w:r>
    </w:p>
    <w:p>
      <w:pPr>
        <w:pStyle w:val="ListParagraph"/>
        <w:numPr>
          <w:ilvl w:val="0"/>
          <w:numId w:val="190"/>
        </w:numPr>
        <w:tabs>
          <w:tab w:pos="2380" w:val="left" w:leader="none"/>
          <w:tab w:pos="2382" w:val="left" w:leader="none"/>
        </w:tabs>
        <w:spacing w:line="240" w:lineRule="auto" w:before="1"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3"/>
          <w:w w:val="105"/>
          <w:sz w:val="13"/>
        </w:rPr>
        <w:t> </w:t>
      </w:r>
      <w:r>
        <w:rPr>
          <w:w w:val="105"/>
          <w:sz w:val="13"/>
        </w:rPr>
        <w:t>Wales).</w:t>
      </w:r>
    </w:p>
    <w:p>
      <w:pPr>
        <w:pStyle w:val="ListParagraph"/>
        <w:numPr>
          <w:ilvl w:val="0"/>
          <w:numId w:val="190"/>
        </w:numPr>
        <w:tabs>
          <w:tab w:pos="2381" w:val="left" w:leader="none"/>
          <w:tab w:pos="2382" w:val="left" w:leader="none"/>
        </w:tabs>
        <w:spacing w:line="240" w:lineRule="auto" w:before="2" w:after="0"/>
        <w:ind w:left="2381" w:right="0" w:hanging="794"/>
        <w:jc w:val="left"/>
        <w:rPr>
          <w:sz w:val="13"/>
        </w:rPr>
      </w:pPr>
      <w:r>
        <w:rPr>
          <w:w w:val="105"/>
          <w:sz w:val="13"/>
        </w:rPr>
        <w:t>See, eg, </w:t>
      </w:r>
      <w:r>
        <w:rPr>
          <w:i/>
          <w:w w:val="105"/>
          <w:sz w:val="13"/>
        </w:rPr>
        <w:t>Kennedy v Hayes </w:t>
      </w:r>
      <w:r>
        <w:rPr>
          <w:w w:val="105"/>
          <w:sz w:val="13"/>
        </w:rPr>
        <w:t>[2014] NSWLEC </w:t>
      </w:r>
      <w:r>
        <w:rPr>
          <w:spacing w:val="-7"/>
          <w:w w:val="105"/>
          <w:sz w:val="13"/>
        </w:rPr>
        <w:t>1114</w:t>
      </w:r>
      <w:r>
        <w:rPr>
          <w:spacing w:val="15"/>
          <w:w w:val="105"/>
          <w:sz w:val="13"/>
        </w:rPr>
        <w:t> </w:t>
      </w:r>
      <w:r>
        <w:rPr>
          <w:spacing w:val="3"/>
          <w:w w:val="105"/>
          <w:sz w:val="13"/>
        </w:rPr>
        <w:t>[30].</w:t>
      </w:r>
    </w:p>
    <w:p>
      <w:pPr>
        <w:pStyle w:val="ListParagraph"/>
        <w:numPr>
          <w:ilvl w:val="0"/>
          <w:numId w:val="190"/>
        </w:numPr>
        <w:tabs>
          <w:tab w:pos="2381" w:val="left" w:leader="none"/>
          <w:tab w:pos="2382" w:val="left" w:leader="none"/>
        </w:tabs>
        <w:spacing w:line="240" w:lineRule="auto" w:before="1" w:after="0"/>
        <w:ind w:left="2381" w:right="104" w:hanging="794"/>
        <w:jc w:val="left"/>
        <w:rPr>
          <w:sz w:val="13"/>
        </w:rPr>
      </w:pPr>
      <w:r>
        <w:rPr>
          <w:w w:val="105"/>
          <w:sz w:val="13"/>
        </w:rPr>
        <w:t>See </w:t>
      </w:r>
      <w:r>
        <w:rPr>
          <w:i/>
          <w:w w:val="105"/>
          <w:sz w:val="13"/>
        </w:rPr>
        <w:t>Smith &amp; Hannaford v Zhang &amp; Zhou </w:t>
      </w:r>
      <w:r>
        <w:rPr>
          <w:spacing w:val="-3"/>
          <w:w w:val="105"/>
          <w:sz w:val="13"/>
        </w:rPr>
        <w:t>[2011]  </w:t>
      </w:r>
      <w:r>
        <w:rPr>
          <w:w w:val="105"/>
          <w:sz w:val="13"/>
        </w:rPr>
        <w:t>NSWLEC 29; </w:t>
      </w:r>
      <w:r>
        <w:rPr>
          <w:i/>
          <w:w w:val="105"/>
          <w:sz w:val="13"/>
        </w:rPr>
        <w:t>Cincotta v Huang </w:t>
      </w:r>
      <w:r>
        <w:rPr>
          <w:spacing w:val="-3"/>
          <w:w w:val="105"/>
          <w:sz w:val="13"/>
        </w:rPr>
        <w:t>[2011]  </w:t>
      </w:r>
      <w:r>
        <w:rPr>
          <w:w w:val="105"/>
          <w:sz w:val="13"/>
        </w:rPr>
        <w:t>NSWLEC 1086 cited in Land and Environment Court     of New South Wales, </w:t>
      </w:r>
      <w:r>
        <w:rPr>
          <w:i/>
          <w:w w:val="105"/>
          <w:sz w:val="13"/>
        </w:rPr>
        <w:t>Annotated Trees Act January </w:t>
      </w:r>
      <w:r>
        <w:rPr>
          <w:i/>
          <w:spacing w:val="-3"/>
          <w:w w:val="105"/>
          <w:sz w:val="13"/>
        </w:rPr>
        <w:t>2013 </w:t>
      </w:r>
      <w:r>
        <w:rPr>
          <w:w w:val="105"/>
          <w:sz w:val="13"/>
        </w:rPr>
        <w:t>(1 September 2016) 9. The Court may join a </w:t>
      </w:r>
      <w:r>
        <w:rPr>
          <w:spacing w:val="2"/>
          <w:w w:val="105"/>
          <w:sz w:val="13"/>
        </w:rPr>
        <w:t>party </w:t>
      </w:r>
      <w:r>
        <w:rPr>
          <w:w w:val="105"/>
          <w:sz w:val="13"/>
        </w:rPr>
        <w:t>if the joinder is proper or </w:t>
      </w:r>
      <w:r>
        <w:rPr>
          <w:spacing w:val="2"/>
          <w:w w:val="105"/>
          <w:sz w:val="13"/>
        </w:rPr>
        <w:t>necessary:</w:t>
      </w:r>
      <w:r>
        <w:rPr>
          <w:spacing w:val="4"/>
          <w:w w:val="105"/>
          <w:sz w:val="13"/>
        </w:rPr>
        <w:t> </w:t>
      </w:r>
      <w:r>
        <w:rPr>
          <w:w w:val="105"/>
          <w:sz w:val="13"/>
        </w:rPr>
        <w:t>see,</w:t>
      </w:r>
      <w:r>
        <w:rPr>
          <w:spacing w:val="5"/>
          <w:w w:val="105"/>
          <w:sz w:val="13"/>
        </w:rPr>
        <w:t> </w:t>
      </w:r>
      <w:r>
        <w:rPr>
          <w:w w:val="105"/>
          <w:sz w:val="13"/>
        </w:rPr>
        <w:t>eg,</w:t>
      </w:r>
      <w:r>
        <w:rPr>
          <w:spacing w:val="5"/>
          <w:w w:val="105"/>
          <w:sz w:val="13"/>
        </w:rPr>
        <w:t> </w:t>
      </w:r>
      <w:r>
        <w:rPr>
          <w:i/>
          <w:w w:val="105"/>
          <w:sz w:val="13"/>
        </w:rPr>
        <w:t>Uniform</w:t>
      </w:r>
      <w:r>
        <w:rPr>
          <w:i/>
          <w:spacing w:val="5"/>
          <w:w w:val="105"/>
          <w:sz w:val="13"/>
        </w:rPr>
        <w:t> </w:t>
      </w:r>
      <w:r>
        <w:rPr>
          <w:i/>
          <w:w w:val="105"/>
          <w:sz w:val="13"/>
        </w:rPr>
        <w:t>Civil</w:t>
      </w:r>
      <w:r>
        <w:rPr>
          <w:i/>
          <w:spacing w:val="5"/>
          <w:w w:val="105"/>
          <w:sz w:val="13"/>
        </w:rPr>
        <w:t> </w:t>
      </w:r>
      <w:r>
        <w:rPr>
          <w:i/>
          <w:w w:val="105"/>
          <w:sz w:val="13"/>
        </w:rPr>
        <w:t>Procedure</w:t>
      </w:r>
      <w:r>
        <w:rPr>
          <w:i/>
          <w:spacing w:val="5"/>
          <w:w w:val="105"/>
          <w:sz w:val="13"/>
        </w:rPr>
        <w:t> </w:t>
      </w:r>
      <w:r>
        <w:rPr>
          <w:i/>
          <w:w w:val="105"/>
          <w:sz w:val="13"/>
        </w:rPr>
        <w:t>Rules</w:t>
      </w:r>
      <w:r>
        <w:rPr>
          <w:i/>
          <w:spacing w:val="5"/>
          <w:w w:val="105"/>
          <w:sz w:val="13"/>
        </w:rPr>
        <w:t> </w:t>
      </w:r>
      <w:r>
        <w:rPr>
          <w:i/>
          <w:w w:val="105"/>
          <w:sz w:val="13"/>
        </w:rPr>
        <w:t>2005</w:t>
      </w:r>
      <w:r>
        <w:rPr>
          <w:i/>
          <w:spacing w:val="4"/>
          <w:w w:val="105"/>
          <w:sz w:val="13"/>
        </w:rPr>
        <w:t> </w:t>
      </w:r>
      <w:r>
        <w:rPr>
          <w:spacing w:val="3"/>
          <w:w w:val="105"/>
          <w:sz w:val="13"/>
        </w:rPr>
        <w:t>(NSW)</w:t>
      </w:r>
      <w:r>
        <w:rPr>
          <w:spacing w:val="5"/>
          <w:w w:val="105"/>
          <w:sz w:val="13"/>
        </w:rPr>
        <w:t> </w:t>
      </w:r>
      <w:r>
        <w:rPr>
          <w:w w:val="105"/>
          <w:sz w:val="13"/>
        </w:rPr>
        <w:t>reg</w:t>
      </w:r>
      <w:r>
        <w:rPr>
          <w:spacing w:val="5"/>
          <w:w w:val="105"/>
          <w:sz w:val="13"/>
        </w:rPr>
        <w:t> </w:t>
      </w:r>
      <w:r>
        <w:rPr>
          <w:w w:val="105"/>
          <w:sz w:val="13"/>
        </w:rPr>
        <w:t>6.24.</w:t>
      </w:r>
    </w:p>
    <w:p>
      <w:pPr>
        <w:pStyle w:val="ListParagraph"/>
        <w:numPr>
          <w:ilvl w:val="0"/>
          <w:numId w:val="190"/>
        </w:numPr>
        <w:tabs>
          <w:tab w:pos="2381" w:val="left" w:leader="none"/>
          <w:tab w:pos="2382" w:val="left" w:leader="none"/>
        </w:tabs>
        <w:spacing w:line="240" w:lineRule="auto" w:before="4" w:after="0"/>
        <w:ind w:left="2381" w:right="50" w:hanging="794"/>
        <w:jc w:val="left"/>
        <w:rPr>
          <w:sz w:val="13"/>
        </w:rPr>
      </w:pPr>
      <w:r>
        <w:rPr>
          <w:w w:val="105"/>
          <w:sz w:val="13"/>
        </w:rPr>
        <w:t>The provisions of Part 7 of the </w:t>
      </w:r>
      <w:r>
        <w:rPr>
          <w:i/>
          <w:w w:val="105"/>
          <w:sz w:val="13"/>
        </w:rPr>
        <w:t>Neighbourhood Disputes (Dividing Fences and Trees) Act </w:t>
      </w:r>
      <w:r>
        <w:rPr>
          <w:i/>
          <w:spacing w:val="-4"/>
          <w:w w:val="105"/>
          <w:sz w:val="13"/>
        </w:rPr>
        <w:t>2011 </w:t>
      </w:r>
      <w:r>
        <w:rPr>
          <w:spacing w:val="2"/>
          <w:w w:val="105"/>
          <w:sz w:val="13"/>
        </w:rPr>
        <w:t>(Qld) </w:t>
      </w:r>
      <w:r>
        <w:rPr>
          <w:w w:val="105"/>
          <w:sz w:val="13"/>
        </w:rPr>
        <w:t>refer to the sale of ‘land affected by an application</w:t>
      </w:r>
      <w:r>
        <w:rPr>
          <w:spacing w:val="5"/>
          <w:w w:val="105"/>
          <w:sz w:val="13"/>
        </w:rPr>
        <w:t> </w:t>
      </w:r>
      <w:r>
        <w:rPr>
          <w:w w:val="105"/>
          <w:sz w:val="13"/>
        </w:rPr>
        <w:t>or</w:t>
      </w:r>
      <w:r>
        <w:rPr>
          <w:spacing w:val="5"/>
          <w:w w:val="105"/>
          <w:sz w:val="13"/>
        </w:rPr>
        <w:t> </w:t>
      </w:r>
      <w:r>
        <w:rPr>
          <w:w w:val="105"/>
          <w:sz w:val="13"/>
        </w:rPr>
        <w:t>order’</w:t>
      </w:r>
      <w:r>
        <w:rPr>
          <w:spacing w:val="5"/>
          <w:w w:val="105"/>
          <w:sz w:val="13"/>
        </w:rPr>
        <w:t> </w:t>
      </w:r>
      <w:r>
        <w:rPr>
          <w:w w:val="105"/>
          <w:sz w:val="13"/>
        </w:rPr>
        <w:t>which</w:t>
      </w:r>
      <w:r>
        <w:rPr>
          <w:spacing w:val="5"/>
          <w:w w:val="105"/>
          <w:sz w:val="13"/>
        </w:rPr>
        <w:t> </w:t>
      </w:r>
      <w:r>
        <w:rPr>
          <w:w w:val="105"/>
          <w:sz w:val="13"/>
        </w:rPr>
        <w:t>‘means</w:t>
      </w:r>
      <w:r>
        <w:rPr>
          <w:spacing w:val="5"/>
          <w:w w:val="105"/>
          <w:sz w:val="13"/>
        </w:rPr>
        <w:t> </w:t>
      </w:r>
      <w:r>
        <w:rPr>
          <w:w w:val="105"/>
          <w:sz w:val="13"/>
        </w:rPr>
        <w:t>land</w:t>
      </w:r>
      <w:r>
        <w:rPr>
          <w:spacing w:val="5"/>
          <w:w w:val="105"/>
          <w:sz w:val="13"/>
        </w:rPr>
        <w:t> </w:t>
      </w:r>
      <w:r>
        <w:rPr>
          <w:w w:val="105"/>
          <w:sz w:val="13"/>
        </w:rPr>
        <w:t>on</w:t>
      </w:r>
      <w:r>
        <w:rPr>
          <w:spacing w:val="5"/>
          <w:w w:val="105"/>
          <w:sz w:val="13"/>
        </w:rPr>
        <w:t> </w:t>
      </w:r>
      <w:r>
        <w:rPr>
          <w:w w:val="105"/>
          <w:sz w:val="13"/>
        </w:rPr>
        <w:t>which</w:t>
      </w:r>
      <w:r>
        <w:rPr>
          <w:spacing w:val="5"/>
          <w:w w:val="105"/>
          <w:sz w:val="13"/>
        </w:rPr>
        <w:t> </w:t>
      </w:r>
      <w:r>
        <w:rPr>
          <w:w w:val="105"/>
          <w:sz w:val="13"/>
        </w:rPr>
        <w:t>a</w:t>
      </w:r>
      <w:r>
        <w:rPr>
          <w:spacing w:val="5"/>
          <w:w w:val="105"/>
          <w:sz w:val="13"/>
        </w:rPr>
        <w:t> </w:t>
      </w:r>
      <w:r>
        <w:rPr>
          <w:w w:val="105"/>
          <w:sz w:val="13"/>
        </w:rPr>
        <w:t>tree</w:t>
      </w:r>
      <w:r>
        <w:rPr>
          <w:spacing w:val="5"/>
          <w:w w:val="105"/>
          <w:sz w:val="13"/>
        </w:rPr>
        <w:t> </w:t>
      </w:r>
      <w:r>
        <w:rPr>
          <w:w w:val="105"/>
          <w:sz w:val="13"/>
        </w:rPr>
        <w:t>the</w:t>
      </w:r>
      <w:r>
        <w:rPr>
          <w:spacing w:val="5"/>
          <w:w w:val="105"/>
          <w:sz w:val="13"/>
        </w:rPr>
        <w:t> </w:t>
      </w:r>
      <w:r>
        <w:rPr>
          <w:w w:val="105"/>
          <w:sz w:val="13"/>
        </w:rPr>
        <w:t>subject</w:t>
      </w:r>
      <w:r>
        <w:rPr>
          <w:spacing w:val="5"/>
          <w:w w:val="105"/>
          <w:sz w:val="13"/>
        </w:rPr>
        <w:t> </w:t>
      </w:r>
      <w:r>
        <w:rPr>
          <w:w w:val="105"/>
          <w:sz w:val="13"/>
        </w:rPr>
        <w:t>of</w:t>
      </w:r>
      <w:r>
        <w:rPr>
          <w:spacing w:val="5"/>
          <w:w w:val="105"/>
          <w:sz w:val="13"/>
        </w:rPr>
        <w:t> </w:t>
      </w:r>
      <w:r>
        <w:rPr>
          <w:w w:val="105"/>
          <w:sz w:val="13"/>
        </w:rPr>
        <w:t>an</w:t>
      </w:r>
      <w:r>
        <w:rPr>
          <w:spacing w:val="5"/>
          <w:w w:val="105"/>
          <w:sz w:val="13"/>
        </w:rPr>
        <w:t> </w:t>
      </w:r>
      <w:r>
        <w:rPr>
          <w:w w:val="105"/>
          <w:sz w:val="13"/>
        </w:rPr>
        <w:t>application</w:t>
      </w:r>
      <w:r>
        <w:rPr>
          <w:spacing w:val="5"/>
          <w:w w:val="105"/>
          <w:sz w:val="13"/>
        </w:rPr>
        <w:t> </w:t>
      </w:r>
      <w:r>
        <w:rPr>
          <w:w w:val="105"/>
          <w:sz w:val="13"/>
        </w:rPr>
        <w:t>or</w:t>
      </w:r>
      <w:r>
        <w:rPr>
          <w:spacing w:val="5"/>
          <w:w w:val="105"/>
          <w:sz w:val="13"/>
        </w:rPr>
        <w:t> </w:t>
      </w:r>
      <w:r>
        <w:rPr>
          <w:w w:val="105"/>
          <w:sz w:val="13"/>
        </w:rPr>
        <w:t>order</w:t>
      </w:r>
      <w:r>
        <w:rPr>
          <w:spacing w:val="5"/>
          <w:w w:val="105"/>
          <w:sz w:val="13"/>
        </w:rPr>
        <w:t> </w:t>
      </w:r>
      <w:r>
        <w:rPr>
          <w:w w:val="105"/>
          <w:sz w:val="13"/>
        </w:rPr>
        <w:t>is</w:t>
      </w:r>
      <w:r>
        <w:rPr>
          <w:spacing w:val="5"/>
          <w:w w:val="105"/>
          <w:sz w:val="13"/>
        </w:rPr>
        <w:t> </w:t>
      </w:r>
      <w:r>
        <w:rPr>
          <w:w w:val="105"/>
          <w:sz w:val="13"/>
        </w:rPr>
        <w:t>situated’:</w:t>
      </w:r>
      <w:r>
        <w:rPr>
          <w:spacing w:val="5"/>
          <w:w w:val="105"/>
          <w:sz w:val="13"/>
        </w:rPr>
        <w:t> </w:t>
      </w:r>
      <w:r>
        <w:rPr>
          <w:w w:val="105"/>
          <w:sz w:val="13"/>
        </w:rPr>
        <w:t>ss</w:t>
      </w:r>
      <w:r>
        <w:rPr>
          <w:spacing w:val="5"/>
          <w:w w:val="105"/>
          <w:sz w:val="13"/>
        </w:rPr>
        <w:t> </w:t>
      </w:r>
      <w:r>
        <w:rPr>
          <w:w w:val="105"/>
          <w:sz w:val="13"/>
        </w:rPr>
        <w:t>82,</w:t>
      </w:r>
      <w:r>
        <w:rPr>
          <w:spacing w:val="6"/>
          <w:w w:val="105"/>
          <w:sz w:val="13"/>
        </w:rPr>
        <w:t> </w:t>
      </w:r>
      <w:r>
        <w:rPr>
          <w:w w:val="105"/>
          <w:sz w:val="13"/>
        </w:rPr>
        <w:t>83.</w:t>
      </w:r>
    </w:p>
    <w:p>
      <w:pPr>
        <w:pStyle w:val="ListParagraph"/>
        <w:numPr>
          <w:ilvl w:val="0"/>
          <w:numId w:val="190"/>
        </w:numPr>
        <w:tabs>
          <w:tab w:pos="2381" w:val="left" w:leader="none"/>
          <w:tab w:pos="2382" w:val="left" w:leader="none"/>
        </w:tabs>
        <w:spacing w:line="240" w:lineRule="auto" w:before="3" w:after="0"/>
        <w:ind w:left="2381"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 83. The Seller’s disclosure obligation under s 83 of the Act is      contained in REIQ Contracts: 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2015)</w:t>
      </w:r>
      <w:r>
        <w:rPr>
          <w:spacing w:val="-2"/>
          <w:w w:val="105"/>
          <w:sz w:val="13"/>
        </w:rPr>
        <w:t> </w:t>
      </w:r>
      <w:r>
        <w:rPr>
          <w:w w:val="105"/>
          <w:sz w:val="13"/>
        </w:rPr>
        <w:t>[3.585].</w:t>
      </w:r>
    </w:p>
    <w:p>
      <w:pPr>
        <w:pStyle w:val="ListParagraph"/>
        <w:numPr>
          <w:ilvl w:val="0"/>
          <w:numId w:val="190"/>
        </w:numPr>
        <w:tabs>
          <w:tab w:pos="2381" w:val="left" w:leader="none"/>
          <w:tab w:pos="2382" w:val="left" w:leader="none"/>
        </w:tabs>
        <w:spacing w:line="240" w:lineRule="auto" w:before="4" w:after="0"/>
        <w:ind w:left="2381" w:right="0" w:hanging="794"/>
        <w:jc w:val="left"/>
        <w:rPr>
          <w:sz w:val="13"/>
        </w:rPr>
      </w:pPr>
      <w:r>
        <w:rPr>
          <w:i/>
          <w:w w:val="105"/>
          <w:sz w:val="13"/>
        </w:rPr>
        <w:t>Neighbourhood</w:t>
      </w:r>
      <w:r>
        <w:rPr>
          <w:i/>
          <w:spacing w:val="8"/>
          <w:w w:val="105"/>
          <w:sz w:val="13"/>
        </w:rPr>
        <w:t> </w:t>
      </w:r>
      <w:r>
        <w:rPr>
          <w:i/>
          <w:w w:val="105"/>
          <w:sz w:val="13"/>
        </w:rPr>
        <w:t>Disputes</w:t>
      </w:r>
      <w:r>
        <w:rPr>
          <w:i/>
          <w:spacing w:val="9"/>
          <w:w w:val="105"/>
          <w:sz w:val="13"/>
        </w:rPr>
        <w:t> </w:t>
      </w:r>
      <w:r>
        <w:rPr>
          <w:i/>
          <w:w w:val="105"/>
          <w:sz w:val="13"/>
        </w:rPr>
        <w:t>(Dividing</w:t>
      </w:r>
      <w:r>
        <w:rPr>
          <w:i/>
          <w:spacing w:val="9"/>
          <w:w w:val="105"/>
          <w:sz w:val="13"/>
        </w:rPr>
        <w:t> </w:t>
      </w:r>
      <w:r>
        <w:rPr>
          <w:i/>
          <w:w w:val="105"/>
          <w:sz w:val="13"/>
        </w:rPr>
        <w:t>Fences</w:t>
      </w:r>
      <w:r>
        <w:rPr>
          <w:i/>
          <w:spacing w:val="8"/>
          <w:w w:val="105"/>
          <w:sz w:val="13"/>
        </w:rPr>
        <w:t> </w:t>
      </w:r>
      <w:r>
        <w:rPr>
          <w:i/>
          <w:w w:val="105"/>
          <w:sz w:val="13"/>
        </w:rPr>
        <w:t>and</w:t>
      </w:r>
      <w:r>
        <w:rPr>
          <w:i/>
          <w:spacing w:val="9"/>
          <w:w w:val="105"/>
          <w:sz w:val="13"/>
        </w:rPr>
        <w:t> </w:t>
      </w:r>
      <w:r>
        <w:rPr>
          <w:i/>
          <w:w w:val="105"/>
          <w:sz w:val="13"/>
        </w:rPr>
        <w:t>Trees)</w:t>
      </w:r>
      <w:r>
        <w:rPr>
          <w:i/>
          <w:spacing w:val="9"/>
          <w:w w:val="105"/>
          <w:sz w:val="13"/>
        </w:rPr>
        <w:t> </w:t>
      </w:r>
      <w:r>
        <w:rPr>
          <w:i/>
          <w:w w:val="105"/>
          <w:sz w:val="13"/>
        </w:rPr>
        <w:t>Act</w:t>
      </w:r>
      <w:r>
        <w:rPr>
          <w:i/>
          <w:spacing w:val="8"/>
          <w:w w:val="105"/>
          <w:sz w:val="13"/>
        </w:rPr>
        <w:t> </w:t>
      </w:r>
      <w:r>
        <w:rPr>
          <w:i/>
          <w:spacing w:val="-4"/>
          <w:w w:val="105"/>
          <w:sz w:val="13"/>
        </w:rPr>
        <w:t>2011</w:t>
      </w:r>
      <w:r>
        <w:rPr>
          <w:i/>
          <w:spacing w:val="9"/>
          <w:w w:val="105"/>
          <w:sz w:val="13"/>
        </w:rPr>
        <w:t> </w:t>
      </w:r>
      <w:r>
        <w:rPr>
          <w:spacing w:val="2"/>
          <w:w w:val="105"/>
          <w:sz w:val="13"/>
        </w:rPr>
        <w:t>(Qld)</w:t>
      </w:r>
      <w:r>
        <w:rPr>
          <w:spacing w:val="9"/>
          <w:w w:val="105"/>
          <w:sz w:val="13"/>
        </w:rPr>
        <w:t> </w:t>
      </w:r>
      <w:r>
        <w:rPr>
          <w:w w:val="105"/>
          <w:sz w:val="13"/>
        </w:rPr>
        <w:t>s</w:t>
      </w:r>
      <w:r>
        <w:rPr>
          <w:spacing w:val="8"/>
          <w:w w:val="105"/>
          <w:sz w:val="13"/>
        </w:rPr>
        <w:t> </w:t>
      </w:r>
      <w:r>
        <w:rPr>
          <w:w w:val="105"/>
          <w:sz w:val="13"/>
        </w:rPr>
        <w:t>85.</w:t>
      </w:r>
      <w:r>
        <w:rPr>
          <w:spacing w:val="9"/>
          <w:w w:val="105"/>
          <w:sz w:val="13"/>
        </w:rPr>
        <w:t> </w:t>
      </w:r>
      <w:r>
        <w:rPr>
          <w:w w:val="105"/>
          <w:sz w:val="13"/>
        </w:rPr>
        <w:t>Consultation</w:t>
      </w:r>
      <w:r>
        <w:rPr>
          <w:spacing w:val="9"/>
          <w:w w:val="105"/>
          <w:sz w:val="13"/>
        </w:rPr>
        <w:t> </w:t>
      </w:r>
      <w:r>
        <w:rPr>
          <w:spacing w:val="-3"/>
          <w:w w:val="105"/>
          <w:sz w:val="13"/>
        </w:rPr>
        <w:t>15</w:t>
      </w:r>
      <w:r>
        <w:rPr>
          <w:spacing w:val="8"/>
          <w:w w:val="105"/>
          <w:sz w:val="13"/>
        </w:rPr>
        <w:t> </w:t>
      </w:r>
      <w:r>
        <w:rPr>
          <w:w w:val="105"/>
          <w:sz w:val="13"/>
        </w:rPr>
        <w:t>(Queensland</w:t>
      </w:r>
      <w:r>
        <w:rPr>
          <w:spacing w:val="9"/>
          <w:w w:val="105"/>
          <w:sz w:val="13"/>
        </w:rPr>
        <w:t> </w:t>
      </w:r>
      <w:r>
        <w:rPr>
          <w:w w:val="105"/>
          <w:sz w:val="13"/>
        </w:rPr>
        <w:t>and</w:t>
      </w:r>
      <w:r>
        <w:rPr>
          <w:spacing w:val="9"/>
          <w:w w:val="105"/>
          <w:sz w:val="13"/>
        </w:rPr>
        <w:t> </w:t>
      </w:r>
      <w:r>
        <w:rPr>
          <w:w w:val="105"/>
          <w:sz w:val="13"/>
        </w:rPr>
        <w:t>Civil</w:t>
      </w:r>
      <w:r>
        <w:rPr>
          <w:spacing w:val="8"/>
          <w:w w:val="105"/>
          <w:sz w:val="13"/>
        </w:rPr>
        <w:t> </w:t>
      </w:r>
      <w:r>
        <w:rPr>
          <w:w w:val="105"/>
          <w:sz w:val="13"/>
        </w:rPr>
        <w:t>Administrative</w:t>
      </w:r>
      <w:r>
        <w:rPr>
          <w:spacing w:val="9"/>
          <w:w w:val="105"/>
          <w:sz w:val="13"/>
        </w:rPr>
        <w:t> </w:t>
      </w:r>
      <w:r>
        <w:rPr>
          <w:w w:val="105"/>
          <w:sz w:val="13"/>
        </w:rPr>
        <w:t>Tribunal).</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22"/>
        </w:rPr>
      </w:pPr>
    </w:p>
    <w:p>
      <w:pPr>
        <w:spacing w:before="0"/>
        <w:ind w:left="573" w:right="575" w:firstLine="0"/>
        <w:jc w:val="center"/>
        <w:rPr>
          <w:b/>
          <w:sz w:val="24"/>
        </w:rPr>
      </w:pPr>
      <w:r>
        <w:rPr>
          <w:b/>
          <w:color w:val="658464"/>
          <w:w w:val="110"/>
          <w:sz w:val="24"/>
        </w:rPr>
        <w:t>261</w:t>
      </w:r>
    </w:p>
    <w:p>
      <w:pPr>
        <w:spacing w:after="0"/>
        <w:jc w:val="center"/>
        <w:rPr>
          <w:sz w:val="24"/>
        </w:rPr>
        <w:sectPr>
          <w:type w:val="continuous"/>
          <w:pgSz w:w="11910" w:h="16840"/>
          <w:pgMar w:top="300" w:bottom="280" w:left="0" w:right="0"/>
          <w:cols w:num="2" w:equalWidth="0">
            <w:col w:w="10270" w:space="40"/>
            <w:col w:w="1600"/>
          </w:cols>
        </w:sectPr>
      </w:pPr>
    </w:p>
    <w:p>
      <w:pPr>
        <w:pStyle w:val="BodyText"/>
        <w:spacing w:before="9"/>
        <w:rPr>
          <w:b/>
          <w:sz w:val="22"/>
        </w:rPr>
      </w:pPr>
    </w:p>
    <w:p>
      <w:pPr>
        <w:pStyle w:val="ListParagraph"/>
        <w:numPr>
          <w:ilvl w:val="1"/>
          <w:numId w:val="16"/>
        </w:numPr>
        <w:tabs>
          <w:tab w:pos="2381" w:val="left" w:leader="none"/>
          <w:tab w:pos="2382" w:val="left" w:leader="none"/>
        </w:tabs>
        <w:spacing w:line="242" w:lineRule="auto" w:before="92" w:after="0"/>
        <w:ind w:left="2381" w:right="1869" w:hanging="794"/>
        <w:jc w:val="left"/>
        <w:rPr>
          <w:sz w:val="21"/>
        </w:rPr>
      </w:pPr>
      <w:bookmarkStart w:name="Tasmania" w:id="306"/>
      <w:bookmarkEnd w:id="306"/>
      <w:r>
        <w:rPr/>
      </w:r>
      <w:bookmarkStart w:name="_bookmark142" w:id="307"/>
      <w:bookmarkEnd w:id="307"/>
      <w:r>
        <w:rPr/>
      </w:r>
      <w:bookmarkStart w:name="_bookmark142" w:id="308"/>
      <w:bookmarkEnd w:id="308"/>
      <w:r>
        <w:rPr>
          <w:sz w:val="21"/>
        </w:rPr>
        <w:t>W</w:t>
      </w:r>
      <w:r>
        <w:rPr>
          <w:sz w:val="21"/>
        </w:rPr>
        <w:t>hen a </w:t>
      </w:r>
      <w:r>
        <w:rPr>
          <w:spacing w:val="-3"/>
          <w:sz w:val="21"/>
        </w:rPr>
        <w:t>purchaser </w:t>
      </w:r>
      <w:r>
        <w:rPr>
          <w:sz w:val="21"/>
        </w:rPr>
        <w:t>is given a </w:t>
      </w:r>
      <w:r>
        <w:rPr>
          <w:spacing w:val="-3"/>
          <w:sz w:val="21"/>
        </w:rPr>
        <w:t>copy </w:t>
      </w:r>
      <w:r>
        <w:rPr>
          <w:sz w:val="21"/>
        </w:rPr>
        <w:t>of the application and then enters </w:t>
      </w:r>
      <w:r>
        <w:rPr>
          <w:spacing w:val="-4"/>
          <w:sz w:val="21"/>
        </w:rPr>
        <w:t>into </w:t>
      </w:r>
      <w:r>
        <w:rPr>
          <w:sz w:val="21"/>
        </w:rPr>
        <w:t>a contract of </w:t>
      </w:r>
      <w:r>
        <w:rPr>
          <w:spacing w:val="-3"/>
          <w:sz w:val="21"/>
        </w:rPr>
        <w:t>sale, </w:t>
      </w:r>
      <w:r>
        <w:rPr>
          <w:sz w:val="21"/>
        </w:rPr>
        <w:t>they </w:t>
      </w:r>
      <w:r>
        <w:rPr>
          <w:spacing w:val="-3"/>
          <w:sz w:val="21"/>
        </w:rPr>
        <w:t>are </w:t>
      </w:r>
      <w:r>
        <w:rPr>
          <w:sz w:val="21"/>
        </w:rPr>
        <w:t>joined as a party </w:t>
      </w:r>
      <w:r>
        <w:rPr>
          <w:spacing w:val="-3"/>
          <w:sz w:val="21"/>
        </w:rPr>
        <w:t>to </w:t>
      </w:r>
      <w:r>
        <w:rPr>
          <w:sz w:val="21"/>
        </w:rPr>
        <w:t>the </w:t>
      </w:r>
      <w:r>
        <w:rPr>
          <w:spacing w:val="-4"/>
          <w:sz w:val="21"/>
        </w:rPr>
        <w:t>QCAT proceeding.</w:t>
      </w:r>
      <w:r>
        <w:rPr>
          <w:spacing w:val="-4"/>
          <w:position w:val="7"/>
          <w:sz w:val="12"/>
        </w:rPr>
        <w:t>17 </w:t>
      </w:r>
      <w:r>
        <w:rPr>
          <w:spacing w:val="-4"/>
          <w:sz w:val="21"/>
        </w:rPr>
        <w:t>QCAT </w:t>
      </w:r>
      <w:r>
        <w:rPr>
          <w:sz w:val="21"/>
        </w:rPr>
        <w:t>suggested </w:t>
      </w:r>
      <w:r>
        <w:rPr>
          <w:spacing w:val="-3"/>
          <w:sz w:val="21"/>
        </w:rPr>
        <w:t>that </w:t>
      </w:r>
      <w:r>
        <w:rPr>
          <w:sz w:val="21"/>
        </w:rPr>
        <w:t>joinder  does </w:t>
      </w:r>
      <w:r>
        <w:rPr>
          <w:spacing w:val="-2"/>
          <w:sz w:val="21"/>
        </w:rPr>
        <w:t>not </w:t>
      </w:r>
      <w:r>
        <w:rPr>
          <w:sz w:val="21"/>
        </w:rPr>
        <w:t>happen </w:t>
      </w:r>
      <w:r>
        <w:rPr>
          <w:spacing w:val="-3"/>
          <w:sz w:val="21"/>
        </w:rPr>
        <w:t>automatically </w:t>
      </w:r>
      <w:r>
        <w:rPr>
          <w:sz w:val="21"/>
        </w:rPr>
        <w:t>on entry </w:t>
      </w:r>
      <w:r>
        <w:rPr>
          <w:spacing w:val="-4"/>
          <w:sz w:val="21"/>
        </w:rPr>
        <w:t>into </w:t>
      </w:r>
      <w:r>
        <w:rPr>
          <w:sz w:val="21"/>
        </w:rPr>
        <w:t>a contract of sale; the </w:t>
      </w:r>
      <w:r>
        <w:rPr>
          <w:spacing w:val="-3"/>
          <w:sz w:val="21"/>
        </w:rPr>
        <w:t>purchaser </w:t>
      </w:r>
      <w:r>
        <w:rPr>
          <w:sz w:val="21"/>
        </w:rPr>
        <w:t>must be  first put on</w:t>
      </w:r>
      <w:r>
        <w:rPr>
          <w:spacing w:val="25"/>
          <w:sz w:val="21"/>
        </w:rPr>
        <w:t> </w:t>
      </w:r>
      <w:r>
        <w:rPr>
          <w:spacing w:val="-6"/>
          <w:sz w:val="21"/>
        </w:rPr>
        <w:t>notice.</w:t>
      </w:r>
      <w:r>
        <w:rPr>
          <w:spacing w:val="-6"/>
          <w:position w:val="7"/>
          <w:sz w:val="12"/>
        </w:rPr>
        <w:t>18</w:t>
      </w:r>
    </w:p>
    <w:p>
      <w:pPr>
        <w:pStyle w:val="ListParagraph"/>
        <w:numPr>
          <w:ilvl w:val="1"/>
          <w:numId w:val="16"/>
        </w:numPr>
        <w:tabs>
          <w:tab w:pos="2381" w:val="left" w:leader="none"/>
          <w:tab w:pos="2382" w:val="left" w:leader="none"/>
        </w:tabs>
        <w:spacing w:line="242" w:lineRule="auto" w:before="124" w:after="0"/>
        <w:ind w:left="2381" w:right="1909" w:hanging="794"/>
        <w:jc w:val="left"/>
        <w:rPr>
          <w:sz w:val="21"/>
        </w:rPr>
      </w:pPr>
      <w:r>
        <w:rPr>
          <w:w w:val="105"/>
          <w:sz w:val="21"/>
        </w:rPr>
        <w:t>Any period of time mentioned in the orders </w:t>
      </w:r>
      <w:r>
        <w:rPr>
          <w:spacing w:val="-3"/>
          <w:w w:val="105"/>
          <w:sz w:val="21"/>
        </w:rPr>
        <w:t>for </w:t>
      </w:r>
      <w:r>
        <w:rPr>
          <w:w w:val="105"/>
          <w:sz w:val="21"/>
        </w:rPr>
        <w:t>carrying out the </w:t>
      </w:r>
      <w:r>
        <w:rPr>
          <w:spacing w:val="-3"/>
          <w:w w:val="105"/>
          <w:sz w:val="21"/>
        </w:rPr>
        <w:t>required </w:t>
      </w:r>
      <w:r>
        <w:rPr>
          <w:w w:val="105"/>
          <w:sz w:val="21"/>
        </w:rPr>
        <w:t>work </w:t>
      </w:r>
      <w:r>
        <w:rPr>
          <w:spacing w:val="-2"/>
          <w:w w:val="105"/>
          <w:sz w:val="21"/>
        </w:rPr>
        <w:t>begins </w:t>
      </w:r>
      <w:r>
        <w:rPr>
          <w:spacing w:val="-3"/>
          <w:w w:val="105"/>
          <w:sz w:val="21"/>
        </w:rPr>
        <w:t>from </w:t>
      </w:r>
      <w:r>
        <w:rPr>
          <w:w w:val="105"/>
          <w:sz w:val="21"/>
        </w:rPr>
        <w:t>the </w:t>
      </w:r>
      <w:r>
        <w:rPr>
          <w:spacing w:val="-3"/>
          <w:w w:val="105"/>
          <w:sz w:val="21"/>
        </w:rPr>
        <w:t>date </w:t>
      </w:r>
      <w:r>
        <w:rPr>
          <w:w w:val="105"/>
          <w:sz w:val="21"/>
        </w:rPr>
        <w:t>of the </w:t>
      </w:r>
      <w:r>
        <w:rPr>
          <w:spacing w:val="-3"/>
          <w:w w:val="105"/>
          <w:sz w:val="21"/>
        </w:rPr>
        <w:t>transfer </w:t>
      </w:r>
      <w:r>
        <w:rPr>
          <w:w w:val="105"/>
          <w:sz w:val="21"/>
        </w:rPr>
        <w:t>of </w:t>
      </w:r>
      <w:r>
        <w:rPr>
          <w:spacing w:val="-6"/>
          <w:w w:val="105"/>
          <w:sz w:val="21"/>
        </w:rPr>
        <w:t>land.</w:t>
      </w:r>
      <w:r>
        <w:rPr>
          <w:spacing w:val="-6"/>
          <w:w w:val="105"/>
          <w:position w:val="7"/>
          <w:sz w:val="12"/>
        </w:rPr>
        <w:t>19 </w:t>
      </w:r>
      <w:r>
        <w:rPr>
          <w:w w:val="105"/>
          <w:sz w:val="21"/>
        </w:rPr>
        <w:t>Any ongoing </w:t>
      </w:r>
      <w:r>
        <w:rPr>
          <w:spacing w:val="-3"/>
          <w:w w:val="105"/>
          <w:sz w:val="21"/>
        </w:rPr>
        <w:t>maintenance </w:t>
      </w:r>
      <w:r>
        <w:rPr>
          <w:w w:val="105"/>
          <w:sz w:val="21"/>
        </w:rPr>
        <w:t>orders lapse after </w:t>
      </w:r>
      <w:r>
        <w:rPr>
          <w:spacing w:val="-6"/>
          <w:w w:val="105"/>
          <w:sz w:val="21"/>
        </w:rPr>
        <w:t>10 </w:t>
      </w:r>
      <w:r>
        <w:rPr>
          <w:w w:val="105"/>
          <w:sz w:val="21"/>
        </w:rPr>
        <w:t>years.</w:t>
      </w:r>
      <w:r>
        <w:rPr>
          <w:w w:val="105"/>
          <w:position w:val="7"/>
          <w:sz w:val="12"/>
        </w:rPr>
        <w:t>20</w:t>
      </w:r>
    </w:p>
    <w:p>
      <w:pPr>
        <w:pStyle w:val="ListParagraph"/>
        <w:numPr>
          <w:ilvl w:val="1"/>
          <w:numId w:val="16"/>
        </w:numPr>
        <w:tabs>
          <w:tab w:pos="2381" w:val="left" w:leader="none"/>
          <w:tab w:pos="2382" w:val="left" w:leader="none"/>
        </w:tabs>
        <w:spacing w:line="242" w:lineRule="auto" w:before="123" w:after="0"/>
        <w:ind w:left="2381" w:right="1978" w:hanging="794"/>
        <w:jc w:val="left"/>
        <w:rPr>
          <w:sz w:val="21"/>
        </w:rPr>
      </w:pPr>
      <w:r>
        <w:rPr>
          <w:w w:val="105"/>
          <w:sz w:val="21"/>
        </w:rPr>
        <w:t>The</w:t>
      </w:r>
      <w:r>
        <w:rPr>
          <w:spacing w:val="-6"/>
          <w:w w:val="105"/>
          <w:sz w:val="21"/>
        </w:rPr>
        <w:t> </w:t>
      </w:r>
      <w:r>
        <w:rPr>
          <w:spacing w:val="-3"/>
          <w:w w:val="105"/>
          <w:sz w:val="21"/>
        </w:rPr>
        <w:t>Queensland</w:t>
      </w:r>
      <w:r>
        <w:rPr>
          <w:spacing w:val="-5"/>
          <w:w w:val="105"/>
          <w:sz w:val="21"/>
        </w:rPr>
        <w:t> </w:t>
      </w:r>
      <w:r>
        <w:rPr>
          <w:w w:val="105"/>
          <w:sz w:val="21"/>
        </w:rPr>
        <w:t>Act</w:t>
      </w:r>
      <w:r>
        <w:rPr>
          <w:spacing w:val="-5"/>
          <w:w w:val="105"/>
          <w:sz w:val="21"/>
        </w:rPr>
        <w:t> </w:t>
      </w:r>
      <w:r>
        <w:rPr>
          <w:w w:val="105"/>
          <w:sz w:val="21"/>
        </w:rPr>
        <w:t>does</w:t>
      </w:r>
      <w:r>
        <w:rPr>
          <w:spacing w:val="-5"/>
          <w:w w:val="105"/>
          <w:sz w:val="21"/>
        </w:rPr>
        <w:t> </w:t>
      </w:r>
      <w:r>
        <w:rPr>
          <w:spacing w:val="-2"/>
          <w:w w:val="105"/>
          <w:sz w:val="21"/>
        </w:rPr>
        <w:t>not</w:t>
      </w:r>
      <w:r>
        <w:rPr>
          <w:spacing w:val="-5"/>
          <w:w w:val="105"/>
          <w:sz w:val="21"/>
        </w:rPr>
        <w:t> </w:t>
      </w:r>
      <w:r>
        <w:rPr>
          <w:w w:val="105"/>
          <w:sz w:val="21"/>
        </w:rPr>
        <w:t>state</w:t>
      </w:r>
      <w:r>
        <w:rPr>
          <w:spacing w:val="-5"/>
          <w:w w:val="105"/>
          <w:sz w:val="21"/>
        </w:rPr>
        <w:t> </w:t>
      </w:r>
      <w:r>
        <w:rPr>
          <w:w w:val="105"/>
          <w:sz w:val="21"/>
        </w:rPr>
        <w:t>what</w:t>
      </w:r>
      <w:r>
        <w:rPr>
          <w:spacing w:val="-5"/>
          <w:w w:val="105"/>
          <w:sz w:val="21"/>
        </w:rPr>
        <w:t> </w:t>
      </w:r>
      <w:r>
        <w:rPr>
          <w:w w:val="105"/>
          <w:sz w:val="21"/>
        </w:rPr>
        <w:t>happens</w:t>
      </w:r>
      <w:r>
        <w:rPr>
          <w:spacing w:val="-5"/>
          <w:w w:val="105"/>
          <w:sz w:val="21"/>
        </w:rPr>
        <w:t> </w:t>
      </w:r>
      <w:r>
        <w:rPr>
          <w:w w:val="105"/>
          <w:sz w:val="21"/>
        </w:rPr>
        <w:t>if</w:t>
      </w:r>
      <w:r>
        <w:rPr>
          <w:spacing w:val="-5"/>
          <w:w w:val="105"/>
          <w:sz w:val="21"/>
        </w:rPr>
        <w:t> </w:t>
      </w:r>
      <w:r>
        <w:rPr>
          <w:w w:val="105"/>
          <w:sz w:val="21"/>
        </w:rPr>
        <w:t>the</w:t>
      </w:r>
      <w:r>
        <w:rPr>
          <w:spacing w:val="-5"/>
          <w:w w:val="105"/>
          <w:sz w:val="21"/>
        </w:rPr>
        <w:t> </w:t>
      </w:r>
      <w:r>
        <w:rPr>
          <w:w w:val="105"/>
          <w:sz w:val="21"/>
        </w:rPr>
        <w:t>affected</w:t>
      </w:r>
      <w:r>
        <w:rPr>
          <w:spacing w:val="-5"/>
          <w:w w:val="105"/>
          <w:sz w:val="21"/>
        </w:rPr>
        <w:t> </w:t>
      </w:r>
      <w:r>
        <w:rPr>
          <w:spacing w:val="-3"/>
          <w:w w:val="105"/>
          <w:sz w:val="21"/>
        </w:rPr>
        <w:t>neighbour</w:t>
      </w:r>
      <w:r>
        <w:rPr>
          <w:spacing w:val="-5"/>
          <w:w w:val="105"/>
          <w:sz w:val="21"/>
        </w:rPr>
        <w:t> </w:t>
      </w:r>
      <w:r>
        <w:rPr>
          <w:w w:val="105"/>
          <w:sz w:val="21"/>
        </w:rPr>
        <w:t>sells</w:t>
      </w:r>
      <w:r>
        <w:rPr>
          <w:spacing w:val="-5"/>
          <w:w w:val="105"/>
          <w:sz w:val="21"/>
        </w:rPr>
        <w:t> </w:t>
      </w:r>
      <w:r>
        <w:rPr>
          <w:w w:val="105"/>
          <w:sz w:val="21"/>
        </w:rPr>
        <w:t>their </w:t>
      </w:r>
      <w:r>
        <w:rPr>
          <w:spacing w:val="-4"/>
          <w:w w:val="105"/>
          <w:sz w:val="21"/>
        </w:rPr>
        <w:t>land.</w:t>
      </w:r>
    </w:p>
    <w:p>
      <w:pPr>
        <w:pStyle w:val="Heading7"/>
        <w:spacing w:before="153"/>
      </w:pPr>
      <w:r>
        <w:rPr>
          <w:w w:val="115"/>
        </w:rPr>
        <w:t>Failure to provide notice</w:t>
      </w:r>
    </w:p>
    <w:p>
      <w:pPr>
        <w:pStyle w:val="ListParagraph"/>
        <w:numPr>
          <w:ilvl w:val="1"/>
          <w:numId w:val="16"/>
        </w:numPr>
        <w:tabs>
          <w:tab w:pos="2380" w:val="left" w:leader="none"/>
          <w:tab w:pos="2381" w:val="left" w:leader="none"/>
        </w:tabs>
        <w:spacing w:line="242" w:lineRule="auto" w:before="143" w:after="0"/>
        <w:ind w:left="2381" w:right="1636" w:hanging="794"/>
        <w:jc w:val="left"/>
        <w:rPr>
          <w:sz w:val="21"/>
        </w:rPr>
      </w:pPr>
      <w:r>
        <w:rPr>
          <w:w w:val="105"/>
          <w:sz w:val="21"/>
        </w:rPr>
        <w:t>A tree owner who </w:t>
      </w:r>
      <w:r>
        <w:rPr>
          <w:spacing w:val="-4"/>
          <w:w w:val="105"/>
          <w:sz w:val="21"/>
        </w:rPr>
        <w:t>fails </w:t>
      </w:r>
      <w:r>
        <w:rPr>
          <w:spacing w:val="-3"/>
          <w:w w:val="105"/>
          <w:sz w:val="21"/>
        </w:rPr>
        <w:t>to </w:t>
      </w:r>
      <w:r>
        <w:rPr>
          <w:w w:val="105"/>
          <w:sz w:val="21"/>
        </w:rPr>
        <w:t>give copies of the application or orders </w:t>
      </w:r>
      <w:r>
        <w:rPr>
          <w:spacing w:val="-3"/>
          <w:w w:val="105"/>
          <w:sz w:val="21"/>
        </w:rPr>
        <w:t>to </w:t>
      </w:r>
      <w:r>
        <w:rPr>
          <w:w w:val="105"/>
          <w:sz w:val="21"/>
        </w:rPr>
        <w:t>a </w:t>
      </w:r>
      <w:r>
        <w:rPr>
          <w:spacing w:val="-3"/>
          <w:w w:val="105"/>
          <w:sz w:val="21"/>
        </w:rPr>
        <w:t>purchaser before </w:t>
      </w:r>
      <w:r>
        <w:rPr>
          <w:w w:val="105"/>
          <w:sz w:val="21"/>
        </w:rPr>
        <w:t>they </w:t>
      </w:r>
      <w:r>
        <w:rPr>
          <w:spacing w:val="-3"/>
          <w:w w:val="105"/>
          <w:sz w:val="21"/>
        </w:rPr>
        <w:t>enter </w:t>
      </w:r>
      <w:r>
        <w:rPr>
          <w:spacing w:val="-4"/>
          <w:w w:val="105"/>
          <w:sz w:val="21"/>
        </w:rPr>
        <w:t>into </w:t>
      </w:r>
      <w:r>
        <w:rPr>
          <w:w w:val="105"/>
          <w:sz w:val="21"/>
        </w:rPr>
        <w:t>a contract of sale can </w:t>
      </w:r>
      <w:r>
        <w:rPr>
          <w:spacing w:val="-3"/>
          <w:w w:val="105"/>
          <w:sz w:val="21"/>
        </w:rPr>
        <w:t>incur </w:t>
      </w:r>
      <w:r>
        <w:rPr>
          <w:w w:val="105"/>
          <w:sz w:val="21"/>
        </w:rPr>
        <w:t>a maximum penalty of 500 penalty units ($65,275).</w:t>
      </w:r>
      <w:r>
        <w:rPr>
          <w:w w:val="105"/>
          <w:position w:val="7"/>
          <w:sz w:val="12"/>
        </w:rPr>
        <w:t>21 </w:t>
      </w:r>
      <w:r>
        <w:rPr>
          <w:w w:val="105"/>
          <w:sz w:val="21"/>
        </w:rPr>
        <w:t>In </w:t>
      </w:r>
      <w:r>
        <w:rPr>
          <w:spacing w:val="-3"/>
          <w:w w:val="105"/>
          <w:sz w:val="21"/>
        </w:rPr>
        <w:t>addition, </w:t>
      </w:r>
      <w:r>
        <w:rPr>
          <w:w w:val="105"/>
          <w:sz w:val="21"/>
        </w:rPr>
        <w:t>the </w:t>
      </w:r>
      <w:r>
        <w:rPr>
          <w:spacing w:val="-3"/>
          <w:w w:val="105"/>
          <w:sz w:val="21"/>
        </w:rPr>
        <w:t>purchaser will have </w:t>
      </w:r>
      <w:r>
        <w:rPr>
          <w:w w:val="105"/>
          <w:sz w:val="21"/>
        </w:rPr>
        <w:t>the </w:t>
      </w:r>
      <w:r>
        <w:rPr>
          <w:spacing w:val="-3"/>
          <w:w w:val="105"/>
          <w:sz w:val="21"/>
        </w:rPr>
        <w:t>right to terminate </w:t>
      </w:r>
      <w:r>
        <w:rPr>
          <w:w w:val="105"/>
          <w:sz w:val="21"/>
        </w:rPr>
        <w:t>the contract of sale and </w:t>
      </w:r>
      <w:r>
        <w:rPr>
          <w:spacing w:val="-3"/>
          <w:w w:val="105"/>
          <w:sz w:val="21"/>
        </w:rPr>
        <w:t>recover </w:t>
      </w:r>
      <w:r>
        <w:rPr>
          <w:w w:val="105"/>
          <w:sz w:val="21"/>
        </w:rPr>
        <w:t>their deposit.</w:t>
      </w:r>
      <w:r>
        <w:rPr>
          <w:w w:val="105"/>
          <w:position w:val="7"/>
          <w:sz w:val="12"/>
        </w:rPr>
        <w:t>22 </w:t>
      </w:r>
      <w:r>
        <w:rPr>
          <w:w w:val="105"/>
          <w:sz w:val="21"/>
        </w:rPr>
        <w:t>If </w:t>
      </w:r>
      <w:r>
        <w:rPr>
          <w:spacing w:val="-3"/>
          <w:w w:val="105"/>
          <w:sz w:val="21"/>
        </w:rPr>
        <w:t>transfer </w:t>
      </w:r>
      <w:r>
        <w:rPr>
          <w:w w:val="105"/>
          <w:sz w:val="21"/>
        </w:rPr>
        <w:t>of </w:t>
      </w:r>
      <w:r>
        <w:rPr>
          <w:spacing w:val="-3"/>
          <w:w w:val="105"/>
          <w:sz w:val="21"/>
        </w:rPr>
        <w:t>land </w:t>
      </w:r>
      <w:r>
        <w:rPr>
          <w:w w:val="105"/>
          <w:sz w:val="21"/>
        </w:rPr>
        <w:t>occurs without the </w:t>
      </w:r>
      <w:r>
        <w:rPr>
          <w:spacing w:val="-3"/>
          <w:w w:val="105"/>
          <w:sz w:val="21"/>
        </w:rPr>
        <w:t>purchaser </w:t>
      </w:r>
      <w:r>
        <w:rPr>
          <w:w w:val="105"/>
          <w:sz w:val="21"/>
        </w:rPr>
        <w:t>being given this </w:t>
      </w:r>
      <w:r>
        <w:rPr>
          <w:spacing w:val="-3"/>
          <w:w w:val="105"/>
          <w:sz w:val="21"/>
        </w:rPr>
        <w:t>information, </w:t>
      </w:r>
      <w:r>
        <w:rPr>
          <w:w w:val="105"/>
          <w:sz w:val="21"/>
        </w:rPr>
        <w:t>then the </w:t>
      </w:r>
      <w:r>
        <w:rPr>
          <w:spacing w:val="-3"/>
          <w:w w:val="105"/>
          <w:sz w:val="21"/>
        </w:rPr>
        <w:t>original </w:t>
      </w:r>
      <w:r>
        <w:rPr>
          <w:w w:val="105"/>
          <w:sz w:val="21"/>
        </w:rPr>
        <w:t>tree owner </w:t>
      </w:r>
      <w:r>
        <w:rPr>
          <w:spacing w:val="-3"/>
          <w:w w:val="105"/>
          <w:sz w:val="21"/>
        </w:rPr>
        <w:t>will remain liable to </w:t>
      </w:r>
      <w:r>
        <w:rPr>
          <w:w w:val="105"/>
          <w:sz w:val="21"/>
        </w:rPr>
        <w:t>carry out the orders despite the </w:t>
      </w:r>
      <w:r>
        <w:rPr>
          <w:spacing w:val="-3"/>
          <w:w w:val="105"/>
          <w:sz w:val="21"/>
        </w:rPr>
        <w:t>change </w:t>
      </w:r>
      <w:r>
        <w:rPr>
          <w:w w:val="105"/>
          <w:sz w:val="21"/>
        </w:rPr>
        <w:t>in ownership.</w:t>
      </w:r>
      <w:r>
        <w:rPr>
          <w:w w:val="105"/>
          <w:position w:val="7"/>
          <w:sz w:val="12"/>
        </w:rPr>
        <w:t>23 </w:t>
      </w:r>
      <w:r>
        <w:rPr>
          <w:w w:val="105"/>
          <w:sz w:val="21"/>
        </w:rPr>
        <w:t>These </w:t>
      </w:r>
      <w:r>
        <w:rPr>
          <w:spacing w:val="-3"/>
          <w:w w:val="105"/>
          <w:sz w:val="21"/>
        </w:rPr>
        <w:t>are significant incentives to </w:t>
      </w:r>
      <w:r>
        <w:rPr>
          <w:w w:val="105"/>
          <w:sz w:val="21"/>
        </w:rPr>
        <w:t>provide </w:t>
      </w:r>
      <w:r>
        <w:rPr>
          <w:spacing w:val="-3"/>
          <w:w w:val="105"/>
          <w:sz w:val="21"/>
        </w:rPr>
        <w:t>notice to purchasers.</w:t>
      </w:r>
    </w:p>
    <w:p>
      <w:pPr>
        <w:pStyle w:val="Heading7"/>
        <w:spacing w:before="158"/>
      </w:pPr>
      <w:r>
        <w:rPr>
          <w:w w:val="115"/>
        </w:rPr>
        <w:t>Notice to local councils</w:t>
      </w:r>
    </w:p>
    <w:p>
      <w:pPr>
        <w:pStyle w:val="ListParagraph"/>
        <w:numPr>
          <w:ilvl w:val="1"/>
          <w:numId w:val="16"/>
        </w:numPr>
        <w:tabs>
          <w:tab w:pos="2380" w:val="left" w:leader="none"/>
          <w:tab w:pos="2381" w:val="left" w:leader="none"/>
        </w:tabs>
        <w:spacing w:line="242" w:lineRule="auto" w:before="142" w:after="0"/>
        <w:ind w:left="2381" w:right="1619" w:hanging="794"/>
        <w:jc w:val="left"/>
        <w:rPr>
          <w:sz w:val="21"/>
        </w:rPr>
      </w:pPr>
      <w:r>
        <w:rPr>
          <w:spacing w:val="-4"/>
          <w:w w:val="105"/>
          <w:sz w:val="21"/>
        </w:rPr>
        <w:t>QCAT </w:t>
      </w:r>
      <w:r>
        <w:rPr>
          <w:w w:val="105"/>
          <w:sz w:val="21"/>
        </w:rPr>
        <w:t>must give a </w:t>
      </w:r>
      <w:r>
        <w:rPr>
          <w:spacing w:val="-3"/>
          <w:w w:val="105"/>
          <w:sz w:val="21"/>
        </w:rPr>
        <w:t>copy </w:t>
      </w:r>
      <w:r>
        <w:rPr>
          <w:w w:val="105"/>
          <w:sz w:val="21"/>
        </w:rPr>
        <w:t>of </w:t>
      </w:r>
      <w:r>
        <w:rPr>
          <w:spacing w:val="-3"/>
          <w:w w:val="105"/>
          <w:sz w:val="21"/>
        </w:rPr>
        <w:t>any </w:t>
      </w:r>
      <w:r>
        <w:rPr>
          <w:w w:val="105"/>
          <w:sz w:val="21"/>
        </w:rPr>
        <w:t>order </w:t>
      </w:r>
      <w:r>
        <w:rPr>
          <w:spacing w:val="-3"/>
          <w:w w:val="105"/>
          <w:sz w:val="21"/>
        </w:rPr>
        <w:t>to </w:t>
      </w:r>
      <w:r>
        <w:rPr>
          <w:w w:val="105"/>
          <w:sz w:val="21"/>
        </w:rPr>
        <w:t>the local </w:t>
      </w:r>
      <w:r>
        <w:rPr>
          <w:spacing w:val="-3"/>
          <w:w w:val="105"/>
          <w:sz w:val="21"/>
        </w:rPr>
        <w:t>government </w:t>
      </w:r>
      <w:r>
        <w:rPr>
          <w:w w:val="105"/>
          <w:sz w:val="21"/>
        </w:rPr>
        <w:t>in the </w:t>
      </w:r>
      <w:r>
        <w:rPr>
          <w:spacing w:val="-3"/>
          <w:w w:val="105"/>
          <w:sz w:val="21"/>
        </w:rPr>
        <w:t>area </w:t>
      </w:r>
      <w:r>
        <w:rPr>
          <w:w w:val="105"/>
          <w:sz w:val="21"/>
        </w:rPr>
        <w:t>in which the tree is </w:t>
      </w:r>
      <w:r>
        <w:rPr>
          <w:spacing w:val="-3"/>
          <w:w w:val="105"/>
          <w:sz w:val="21"/>
        </w:rPr>
        <w:t>situated </w:t>
      </w:r>
      <w:r>
        <w:rPr>
          <w:w w:val="105"/>
          <w:sz w:val="21"/>
        </w:rPr>
        <w:t>as </w:t>
      </w:r>
      <w:r>
        <w:rPr>
          <w:spacing w:val="-3"/>
          <w:w w:val="105"/>
          <w:sz w:val="21"/>
        </w:rPr>
        <w:t>well </w:t>
      </w:r>
      <w:r>
        <w:rPr>
          <w:w w:val="105"/>
          <w:sz w:val="21"/>
        </w:rPr>
        <w:t>as </w:t>
      </w:r>
      <w:r>
        <w:rPr>
          <w:spacing w:val="-3"/>
          <w:w w:val="105"/>
          <w:sz w:val="21"/>
        </w:rPr>
        <w:t>any government </w:t>
      </w:r>
      <w:r>
        <w:rPr>
          <w:w w:val="105"/>
          <w:sz w:val="21"/>
        </w:rPr>
        <w:t>authority </w:t>
      </w:r>
      <w:r>
        <w:rPr>
          <w:spacing w:val="-3"/>
          <w:w w:val="105"/>
          <w:sz w:val="21"/>
        </w:rPr>
        <w:t>that </w:t>
      </w:r>
      <w:r>
        <w:rPr>
          <w:w w:val="105"/>
          <w:sz w:val="21"/>
        </w:rPr>
        <w:t>appeared in</w:t>
      </w:r>
      <w:r>
        <w:rPr>
          <w:spacing w:val="31"/>
          <w:w w:val="105"/>
          <w:sz w:val="21"/>
        </w:rPr>
        <w:t> </w:t>
      </w:r>
      <w:r>
        <w:rPr>
          <w:spacing w:val="-3"/>
          <w:w w:val="105"/>
          <w:sz w:val="21"/>
        </w:rPr>
        <w:t>proceedings.</w:t>
      </w:r>
      <w:r>
        <w:rPr>
          <w:spacing w:val="-3"/>
          <w:w w:val="105"/>
          <w:position w:val="7"/>
          <w:sz w:val="12"/>
        </w:rPr>
        <w:t>24</w:t>
      </w:r>
    </w:p>
    <w:p>
      <w:pPr>
        <w:pStyle w:val="BodyText"/>
        <w:spacing w:before="3"/>
        <w:rPr>
          <w:sz w:val="20"/>
        </w:rPr>
      </w:pPr>
    </w:p>
    <w:p>
      <w:pPr>
        <w:pStyle w:val="Heading5"/>
      </w:pPr>
      <w:r>
        <w:rPr>
          <w:w w:val="115"/>
        </w:rPr>
        <w:t>Searchable database of orders</w:t>
      </w:r>
    </w:p>
    <w:p>
      <w:pPr>
        <w:pStyle w:val="ListParagraph"/>
        <w:numPr>
          <w:ilvl w:val="1"/>
          <w:numId w:val="16"/>
        </w:numPr>
        <w:tabs>
          <w:tab w:pos="2381" w:val="left" w:leader="none"/>
          <w:tab w:pos="2382" w:val="left" w:leader="none"/>
        </w:tabs>
        <w:spacing w:line="242" w:lineRule="auto" w:before="138" w:after="0"/>
        <w:ind w:left="2381" w:right="2003" w:hanging="794"/>
        <w:jc w:val="left"/>
        <w:rPr>
          <w:sz w:val="21"/>
        </w:rPr>
      </w:pPr>
      <w:r>
        <w:rPr>
          <w:spacing w:val="-4"/>
          <w:sz w:val="21"/>
        </w:rPr>
        <w:t>QCAT </w:t>
      </w:r>
      <w:r>
        <w:rPr>
          <w:sz w:val="21"/>
        </w:rPr>
        <w:t>also </w:t>
      </w:r>
      <w:r>
        <w:rPr>
          <w:spacing w:val="-3"/>
          <w:sz w:val="21"/>
        </w:rPr>
        <w:t>administers </w:t>
      </w:r>
      <w:r>
        <w:rPr>
          <w:sz w:val="21"/>
        </w:rPr>
        <w:t>a </w:t>
      </w:r>
      <w:r>
        <w:rPr>
          <w:spacing w:val="-3"/>
          <w:sz w:val="21"/>
        </w:rPr>
        <w:t>searchable </w:t>
      </w:r>
      <w:r>
        <w:rPr>
          <w:sz w:val="21"/>
        </w:rPr>
        <w:t>tree orders </w:t>
      </w:r>
      <w:r>
        <w:rPr>
          <w:spacing w:val="-3"/>
          <w:sz w:val="21"/>
        </w:rPr>
        <w:t>register </w:t>
      </w:r>
      <w:r>
        <w:rPr>
          <w:sz w:val="21"/>
        </w:rPr>
        <w:t>which is freely </w:t>
      </w:r>
      <w:r>
        <w:rPr>
          <w:spacing w:val="-3"/>
          <w:sz w:val="21"/>
        </w:rPr>
        <w:t>available. </w:t>
      </w:r>
      <w:r>
        <w:rPr>
          <w:sz w:val="21"/>
        </w:rPr>
        <w:t>Any person, </w:t>
      </w:r>
      <w:r>
        <w:rPr>
          <w:spacing w:val="-3"/>
          <w:sz w:val="21"/>
        </w:rPr>
        <w:t>including </w:t>
      </w:r>
      <w:r>
        <w:rPr>
          <w:sz w:val="21"/>
        </w:rPr>
        <w:t>prospective buyers, can </w:t>
      </w:r>
      <w:r>
        <w:rPr>
          <w:spacing w:val="-3"/>
          <w:sz w:val="21"/>
        </w:rPr>
        <w:t>search </w:t>
      </w:r>
      <w:r>
        <w:rPr>
          <w:sz w:val="21"/>
        </w:rPr>
        <w:t>a property by its address or a party’s name</w:t>
      </w:r>
      <w:r>
        <w:rPr>
          <w:spacing w:val="9"/>
          <w:sz w:val="21"/>
        </w:rPr>
        <w:t> </w:t>
      </w:r>
      <w:r>
        <w:rPr>
          <w:spacing w:val="-3"/>
          <w:sz w:val="21"/>
        </w:rPr>
        <w:t>to</w:t>
      </w:r>
      <w:r>
        <w:rPr>
          <w:spacing w:val="10"/>
          <w:sz w:val="21"/>
        </w:rPr>
        <w:t> </w:t>
      </w:r>
      <w:r>
        <w:rPr>
          <w:sz w:val="21"/>
        </w:rPr>
        <w:t>see</w:t>
      </w:r>
      <w:r>
        <w:rPr>
          <w:spacing w:val="10"/>
          <w:sz w:val="21"/>
        </w:rPr>
        <w:t> </w:t>
      </w:r>
      <w:r>
        <w:rPr>
          <w:sz w:val="21"/>
        </w:rPr>
        <w:t>if</w:t>
      </w:r>
      <w:r>
        <w:rPr>
          <w:spacing w:val="10"/>
          <w:sz w:val="21"/>
        </w:rPr>
        <w:t> </w:t>
      </w:r>
      <w:r>
        <w:rPr>
          <w:spacing w:val="-3"/>
          <w:sz w:val="21"/>
        </w:rPr>
        <w:t>any</w:t>
      </w:r>
      <w:r>
        <w:rPr>
          <w:spacing w:val="9"/>
          <w:sz w:val="21"/>
        </w:rPr>
        <w:t> </w:t>
      </w:r>
      <w:r>
        <w:rPr>
          <w:sz w:val="21"/>
        </w:rPr>
        <w:t>tree</w:t>
      </w:r>
      <w:r>
        <w:rPr>
          <w:spacing w:val="10"/>
          <w:sz w:val="21"/>
        </w:rPr>
        <w:t> </w:t>
      </w:r>
      <w:r>
        <w:rPr>
          <w:sz w:val="21"/>
        </w:rPr>
        <w:t>on</w:t>
      </w:r>
      <w:r>
        <w:rPr>
          <w:spacing w:val="10"/>
          <w:sz w:val="21"/>
        </w:rPr>
        <w:t> </w:t>
      </w:r>
      <w:r>
        <w:rPr>
          <w:sz w:val="21"/>
        </w:rPr>
        <w:t>the</w:t>
      </w:r>
      <w:r>
        <w:rPr>
          <w:spacing w:val="10"/>
          <w:sz w:val="21"/>
        </w:rPr>
        <w:t> </w:t>
      </w:r>
      <w:r>
        <w:rPr>
          <w:spacing w:val="-3"/>
          <w:sz w:val="21"/>
        </w:rPr>
        <w:t>land</w:t>
      </w:r>
      <w:r>
        <w:rPr>
          <w:spacing w:val="9"/>
          <w:sz w:val="21"/>
        </w:rPr>
        <w:t> </w:t>
      </w:r>
      <w:r>
        <w:rPr>
          <w:sz w:val="21"/>
        </w:rPr>
        <w:t>is</w:t>
      </w:r>
      <w:r>
        <w:rPr>
          <w:spacing w:val="10"/>
          <w:sz w:val="21"/>
        </w:rPr>
        <w:t> </w:t>
      </w:r>
      <w:r>
        <w:rPr>
          <w:sz w:val="21"/>
        </w:rPr>
        <w:t>subject</w:t>
      </w:r>
      <w:r>
        <w:rPr>
          <w:spacing w:val="10"/>
          <w:sz w:val="21"/>
        </w:rPr>
        <w:t> </w:t>
      </w:r>
      <w:r>
        <w:rPr>
          <w:spacing w:val="-3"/>
          <w:sz w:val="21"/>
        </w:rPr>
        <w:t>to</w:t>
      </w:r>
      <w:r>
        <w:rPr>
          <w:spacing w:val="10"/>
          <w:sz w:val="21"/>
        </w:rPr>
        <w:t> </w:t>
      </w:r>
      <w:r>
        <w:rPr>
          <w:sz w:val="21"/>
        </w:rPr>
        <w:t>an</w:t>
      </w:r>
      <w:r>
        <w:rPr>
          <w:spacing w:val="10"/>
          <w:sz w:val="21"/>
        </w:rPr>
        <w:t> </w:t>
      </w:r>
      <w:r>
        <w:rPr>
          <w:spacing w:val="-4"/>
          <w:sz w:val="21"/>
        </w:rPr>
        <w:t>order.</w:t>
      </w:r>
      <w:r>
        <w:rPr>
          <w:spacing w:val="-4"/>
          <w:position w:val="7"/>
          <w:sz w:val="12"/>
        </w:rPr>
        <w:t>25</w:t>
      </w:r>
    </w:p>
    <w:p>
      <w:pPr>
        <w:pStyle w:val="BodyText"/>
        <w:spacing w:before="10"/>
      </w:pPr>
    </w:p>
    <w:p>
      <w:pPr>
        <w:pStyle w:val="Heading4"/>
      </w:pPr>
      <w:r>
        <w:rPr>
          <w:color w:val="658464"/>
          <w:w w:val="110"/>
        </w:rPr>
        <w:t>Tasmania</w:t>
      </w:r>
    </w:p>
    <w:p>
      <w:pPr>
        <w:pStyle w:val="Heading5"/>
        <w:spacing w:before="280"/>
      </w:pPr>
      <w:r>
        <w:rPr>
          <w:w w:val="115"/>
        </w:rPr>
        <w:t>Both the tree owner and affected neighbour must inform purchasers</w:t>
      </w:r>
    </w:p>
    <w:p>
      <w:pPr>
        <w:pStyle w:val="ListParagraph"/>
        <w:numPr>
          <w:ilvl w:val="1"/>
          <w:numId w:val="16"/>
        </w:numPr>
        <w:tabs>
          <w:tab w:pos="2380" w:val="left" w:leader="none"/>
          <w:tab w:pos="2381" w:val="left" w:leader="none"/>
        </w:tabs>
        <w:spacing w:line="242" w:lineRule="auto" w:before="137" w:after="0"/>
        <w:ind w:left="2381" w:right="2057" w:hanging="794"/>
        <w:jc w:val="left"/>
        <w:rPr>
          <w:sz w:val="21"/>
        </w:rPr>
      </w:pPr>
      <w:r>
        <w:rPr>
          <w:w w:val="105"/>
          <w:sz w:val="21"/>
        </w:rPr>
        <w:t>Prima </w:t>
      </w:r>
      <w:r>
        <w:rPr>
          <w:spacing w:val="-3"/>
          <w:w w:val="105"/>
          <w:sz w:val="21"/>
        </w:rPr>
        <w:t>facie </w:t>
      </w:r>
      <w:r>
        <w:rPr>
          <w:w w:val="105"/>
          <w:sz w:val="21"/>
        </w:rPr>
        <w:t>the </w:t>
      </w:r>
      <w:r>
        <w:rPr>
          <w:spacing w:val="-4"/>
          <w:w w:val="105"/>
          <w:sz w:val="21"/>
        </w:rPr>
        <w:t>Tasmanian </w:t>
      </w:r>
      <w:r>
        <w:rPr>
          <w:w w:val="105"/>
          <w:sz w:val="21"/>
        </w:rPr>
        <w:t>Act </w:t>
      </w:r>
      <w:r>
        <w:rPr>
          <w:spacing w:val="-2"/>
          <w:w w:val="105"/>
          <w:sz w:val="21"/>
        </w:rPr>
        <w:t>places </w:t>
      </w:r>
      <w:r>
        <w:rPr>
          <w:w w:val="105"/>
          <w:sz w:val="21"/>
        </w:rPr>
        <w:t>the </w:t>
      </w:r>
      <w:r>
        <w:rPr>
          <w:spacing w:val="-3"/>
          <w:w w:val="105"/>
          <w:sz w:val="21"/>
        </w:rPr>
        <w:t>onus </w:t>
      </w:r>
      <w:r>
        <w:rPr>
          <w:w w:val="105"/>
          <w:sz w:val="21"/>
        </w:rPr>
        <w:t>on both the tree owner and affected </w:t>
      </w:r>
      <w:r>
        <w:rPr>
          <w:spacing w:val="-3"/>
          <w:w w:val="105"/>
          <w:sz w:val="21"/>
        </w:rPr>
        <w:t>neighbour</w:t>
      </w:r>
      <w:r>
        <w:rPr>
          <w:spacing w:val="-5"/>
          <w:w w:val="105"/>
          <w:sz w:val="21"/>
        </w:rPr>
        <w:t> </w:t>
      </w:r>
      <w:r>
        <w:rPr>
          <w:spacing w:val="-3"/>
          <w:w w:val="105"/>
          <w:sz w:val="21"/>
        </w:rPr>
        <w:t>to</w:t>
      </w:r>
      <w:r>
        <w:rPr>
          <w:spacing w:val="-5"/>
          <w:w w:val="105"/>
          <w:sz w:val="21"/>
        </w:rPr>
        <w:t> </w:t>
      </w:r>
      <w:r>
        <w:rPr>
          <w:spacing w:val="-3"/>
          <w:w w:val="105"/>
          <w:sz w:val="21"/>
        </w:rPr>
        <w:t>inform</w:t>
      </w:r>
      <w:r>
        <w:rPr>
          <w:spacing w:val="-5"/>
          <w:w w:val="105"/>
          <w:sz w:val="21"/>
        </w:rPr>
        <w:t> </w:t>
      </w:r>
      <w:r>
        <w:rPr>
          <w:spacing w:val="-3"/>
          <w:w w:val="105"/>
          <w:sz w:val="21"/>
        </w:rPr>
        <w:t>purchasers</w:t>
      </w:r>
      <w:r>
        <w:rPr>
          <w:spacing w:val="-4"/>
          <w:w w:val="105"/>
          <w:sz w:val="21"/>
        </w:rPr>
        <w:t> </w:t>
      </w:r>
      <w:r>
        <w:rPr>
          <w:w w:val="105"/>
          <w:sz w:val="21"/>
        </w:rPr>
        <w:t>of</w:t>
      </w:r>
      <w:r>
        <w:rPr>
          <w:spacing w:val="-5"/>
          <w:w w:val="105"/>
          <w:sz w:val="21"/>
        </w:rPr>
        <w:t> </w:t>
      </w:r>
      <w:r>
        <w:rPr>
          <w:w w:val="105"/>
          <w:sz w:val="21"/>
        </w:rPr>
        <w:t>their</w:t>
      </w:r>
      <w:r>
        <w:rPr>
          <w:spacing w:val="-5"/>
          <w:w w:val="105"/>
          <w:sz w:val="21"/>
        </w:rPr>
        <w:t> </w:t>
      </w:r>
      <w:r>
        <w:rPr>
          <w:w w:val="105"/>
          <w:sz w:val="21"/>
        </w:rPr>
        <w:t>respective</w:t>
      </w:r>
      <w:r>
        <w:rPr>
          <w:spacing w:val="-5"/>
          <w:w w:val="105"/>
          <w:sz w:val="21"/>
        </w:rPr>
        <w:t> </w:t>
      </w:r>
      <w:r>
        <w:rPr>
          <w:spacing w:val="-3"/>
          <w:w w:val="105"/>
          <w:sz w:val="21"/>
        </w:rPr>
        <w:t>land</w:t>
      </w:r>
      <w:r>
        <w:rPr>
          <w:spacing w:val="-4"/>
          <w:w w:val="105"/>
          <w:sz w:val="21"/>
        </w:rPr>
        <w:t> </w:t>
      </w:r>
      <w:r>
        <w:rPr>
          <w:w w:val="105"/>
          <w:sz w:val="21"/>
        </w:rPr>
        <w:t>about</w:t>
      </w:r>
      <w:r>
        <w:rPr>
          <w:spacing w:val="-5"/>
          <w:w w:val="105"/>
          <w:sz w:val="21"/>
        </w:rPr>
        <w:t> </w:t>
      </w:r>
      <w:r>
        <w:rPr>
          <w:spacing w:val="-3"/>
          <w:w w:val="105"/>
          <w:sz w:val="21"/>
        </w:rPr>
        <w:t>any</w:t>
      </w:r>
      <w:r>
        <w:rPr>
          <w:spacing w:val="-5"/>
          <w:w w:val="105"/>
          <w:sz w:val="21"/>
        </w:rPr>
        <w:t> </w:t>
      </w:r>
      <w:r>
        <w:rPr>
          <w:w w:val="105"/>
          <w:sz w:val="21"/>
        </w:rPr>
        <w:t>legal</w:t>
      </w:r>
      <w:r>
        <w:rPr>
          <w:spacing w:val="-4"/>
          <w:w w:val="105"/>
          <w:sz w:val="21"/>
        </w:rPr>
        <w:t> </w:t>
      </w:r>
      <w:r>
        <w:rPr>
          <w:w w:val="105"/>
          <w:sz w:val="21"/>
        </w:rPr>
        <w:t>action</w:t>
      </w:r>
      <w:r>
        <w:rPr>
          <w:spacing w:val="-5"/>
          <w:w w:val="105"/>
          <w:sz w:val="21"/>
        </w:rPr>
        <w:t> </w:t>
      </w:r>
      <w:r>
        <w:rPr>
          <w:w w:val="105"/>
          <w:sz w:val="21"/>
        </w:rPr>
        <w:t>taking </w:t>
      </w:r>
      <w:r>
        <w:rPr>
          <w:spacing w:val="-3"/>
          <w:w w:val="105"/>
          <w:sz w:val="21"/>
        </w:rPr>
        <w:t>place </w:t>
      </w:r>
      <w:r>
        <w:rPr>
          <w:w w:val="105"/>
          <w:sz w:val="21"/>
        </w:rPr>
        <w:t>or orders</w:t>
      </w:r>
      <w:r>
        <w:rPr>
          <w:spacing w:val="18"/>
          <w:w w:val="105"/>
          <w:sz w:val="21"/>
        </w:rPr>
        <w:t> </w:t>
      </w:r>
      <w:r>
        <w:rPr>
          <w:w w:val="105"/>
          <w:sz w:val="21"/>
        </w:rPr>
        <w:t>made.</w:t>
      </w:r>
      <w:r>
        <w:rPr>
          <w:w w:val="105"/>
          <w:position w:val="7"/>
          <w:sz w:val="12"/>
        </w:rPr>
        <w:t>26</w:t>
      </w:r>
    </w:p>
    <w:p>
      <w:pPr>
        <w:pStyle w:val="BodyText"/>
        <w:rPr>
          <w:sz w:val="20"/>
        </w:rPr>
      </w:pPr>
    </w:p>
    <w:p>
      <w:pPr>
        <w:pStyle w:val="BodyText"/>
        <w:rPr>
          <w:sz w:val="20"/>
        </w:rPr>
      </w:pPr>
    </w:p>
    <w:p>
      <w:pPr>
        <w:pStyle w:val="BodyText"/>
        <w:rPr>
          <w:sz w:val="20"/>
        </w:rPr>
      </w:pPr>
    </w:p>
    <w:p>
      <w:pPr>
        <w:pStyle w:val="BodyText"/>
        <w:spacing w:before="10"/>
        <w:rPr>
          <w:sz w:val="12"/>
        </w:rPr>
      </w:pPr>
      <w:r>
        <w:rPr/>
        <w:pict>
          <v:line style="position:absolute;mso-position-horizontal-relative:page;mso-position-vertical-relative:paragraph;z-index:10784;mso-wrap-distance-left:0;mso-wrap-distance-right:0" from="79.370003pt,10.318810pt" to="515.905003pt,10.318810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31"/>
        </w:rPr>
      </w:pPr>
    </w:p>
    <w:p>
      <w:pPr>
        <w:spacing w:before="1"/>
        <w:ind w:left="720" w:right="0" w:firstLine="0"/>
        <w:jc w:val="left"/>
        <w:rPr>
          <w:b/>
          <w:sz w:val="24"/>
        </w:rPr>
      </w:pPr>
      <w:r>
        <w:rPr>
          <w:b/>
          <w:color w:val="658464"/>
          <w:w w:val="105"/>
          <w:sz w:val="24"/>
        </w:rPr>
        <w:t>262</w:t>
      </w:r>
    </w:p>
    <w:p>
      <w:pPr>
        <w:pStyle w:val="ListParagraph"/>
        <w:numPr>
          <w:ilvl w:val="0"/>
          <w:numId w:val="190"/>
        </w:numPr>
        <w:tabs>
          <w:tab w:pos="1223" w:val="left" w:leader="none"/>
          <w:tab w:pos="1224" w:val="left" w:leader="none"/>
        </w:tabs>
        <w:spacing w:line="240" w:lineRule="auto" w:before="48" w:after="0"/>
        <w:ind w:left="1223" w:right="1936" w:hanging="794"/>
        <w:jc w:val="left"/>
        <w:rPr>
          <w:sz w:val="13"/>
        </w:rPr>
      </w:pPr>
      <w:r>
        <w:rPr>
          <w:i/>
          <w:spacing w:val="3"/>
          <w:w w:val="103"/>
          <w:sz w:val="13"/>
        </w:rPr>
        <w:br w:type="column"/>
      </w:r>
      <w:r>
        <w:rPr>
          <w:i/>
          <w:sz w:val="13"/>
        </w:rPr>
        <w:t>Neighbourhood Disputes (Dividing Fences and Trees) Act </w:t>
      </w:r>
      <w:r>
        <w:rPr>
          <w:i/>
          <w:spacing w:val="-4"/>
          <w:sz w:val="13"/>
        </w:rPr>
        <w:t>2011 </w:t>
      </w:r>
      <w:r>
        <w:rPr>
          <w:spacing w:val="2"/>
          <w:sz w:val="13"/>
        </w:rPr>
        <w:t>(Qld) </w:t>
      </w:r>
      <w:r>
        <w:rPr>
          <w:sz w:val="13"/>
        </w:rPr>
        <w:t>s </w:t>
      </w:r>
      <w:r>
        <w:rPr>
          <w:spacing w:val="2"/>
          <w:sz w:val="13"/>
        </w:rPr>
        <w:t>84. </w:t>
      </w:r>
      <w:r>
        <w:rPr>
          <w:sz w:val="13"/>
        </w:rPr>
        <w:t>Joinder means that a </w:t>
      </w:r>
      <w:r>
        <w:rPr>
          <w:spacing w:val="2"/>
          <w:sz w:val="13"/>
        </w:rPr>
        <w:t>party </w:t>
      </w:r>
      <w:r>
        <w:rPr>
          <w:sz w:val="13"/>
        </w:rPr>
        <w:t>who is not named in the original application but is believed to have a role in the  matter  and  is  joined  ether  as  an  applicant,  a  respondent  or  only  as  a  joined  party. Joiner brings together, before the court, all the matters in the contest between all the relevant parties. Joinder serves in the interests                of</w:t>
      </w:r>
      <w:r>
        <w:rPr>
          <w:spacing w:val="21"/>
          <w:sz w:val="13"/>
        </w:rPr>
        <w:t> </w:t>
      </w:r>
      <w:r>
        <w:rPr>
          <w:sz w:val="13"/>
        </w:rPr>
        <w:t>administrative</w:t>
      </w:r>
      <w:r>
        <w:rPr>
          <w:spacing w:val="21"/>
          <w:sz w:val="13"/>
        </w:rPr>
        <w:t> </w:t>
      </w:r>
      <w:r>
        <w:rPr>
          <w:sz w:val="13"/>
        </w:rPr>
        <w:t>convenience</w:t>
      </w:r>
      <w:r>
        <w:rPr>
          <w:spacing w:val="21"/>
          <w:sz w:val="13"/>
        </w:rPr>
        <w:t> </w:t>
      </w:r>
      <w:r>
        <w:rPr>
          <w:sz w:val="13"/>
        </w:rPr>
        <w:t>as</w:t>
      </w:r>
      <w:r>
        <w:rPr>
          <w:spacing w:val="21"/>
          <w:sz w:val="13"/>
        </w:rPr>
        <w:t> </w:t>
      </w:r>
      <w:r>
        <w:rPr>
          <w:sz w:val="13"/>
        </w:rPr>
        <w:t>well</w:t>
      </w:r>
      <w:r>
        <w:rPr>
          <w:spacing w:val="21"/>
          <w:sz w:val="13"/>
        </w:rPr>
        <w:t> </w:t>
      </w:r>
      <w:r>
        <w:rPr>
          <w:sz w:val="13"/>
        </w:rPr>
        <w:t>as</w:t>
      </w:r>
      <w:r>
        <w:rPr>
          <w:spacing w:val="22"/>
          <w:sz w:val="13"/>
        </w:rPr>
        <w:t> </w:t>
      </w:r>
      <w:r>
        <w:rPr>
          <w:sz w:val="13"/>
        </w:rPr>
        <w:t>finality:</w:t>
      </w:r>
      <w:r>
        <w:rPr>
          <w:spacing w:val="21"/>
          <w:sz w:val="13"/>
        </w:rPr>
        <w:t> </w:t>
      </w:r>
      <w:r>
        <w:rPr>
          <w:sz w:val="13"/>
        </w:rPr>
        <w:t>Trischa</w:t>
      </w:r>
      <w:r>
        <w:rPr>
          <w:spacing w:val="21"/>
          <w:sz w:val="13"/>
        </w:rPr>
        <w:t> </w:t>
      </w:r>
      <w:r>
        <w:rPr>
          <w:sz w:val="13"/>
        </w:rPr>
        <w:t>Mann,</w:t>
      </w:r>
      <w:r>
        <w:rPr>
          <w:spacing w:val="21"/>
          <w:sz w:val="13"/>
        </w:rPr>
        <w:t> </w:t>
      </w:r>
      <w:r>
        <w:rPr>
          <w:i/>
          <w:sz w:val="13"/>
        </w:rPr>
        <w:t>Oxford</w:t>
      </w:r>
      <w:r>
        <w:rPr>
          <w:i/>
          <w:spacing w:val="21"/>
          <w:sz w:val="13"/>
        </w:rPr>
        <w:t> </w:t>
      </w:r>
      <w:r>
        <w:rPr>
          <w:i/>
          <w:sz w:val="13"/>
        </w:rPr>
        <w:t>Australian</w:t>
      </w:r>
      <w:r>
        <w:rPr>
          <w:i/>
          <w:spacing w:val="22"/>
          <w:sz w:val="13"/>
        </w:rPr>
        <w:t> </w:t>
      </w:r>
      <w:r>
        <w:rPr>
          <w:i/>
          <w:sz w:val="13"/>
        </w:rPr>
        <w:t>Law</w:t>
      </w:r>
      <w:r>
        <w:rPr>
          <w:i/>
          <w:spacing w:val="21"/>
          <w:sz w:val="13"/>
        </w:rPr>
        <w:t> </w:t>
      </w:r>
      <w:r>
        <w:rPr>
          <w:i/>
          <w:sz w:val="13"/>
        </w:rPr>
        <w:t>Dictionary</w:t>
      </w:r>
      <w:r>
        <w:rPr>
          <w:i/>
          <w:spacing w:val="21"/>
          <w:sz w:val="13"/>
        </w:rPr>
        <w:t> </w:t>
      </w:r>
      <w:r>
        <w:rPr>
          <w:spacing w:val="2"/>
          <w:sz w:val="13"/>
        </w:rPr>
        <w:t>(Oxford</w:t>
      </w:r>
      <w:r>
        <w:rPr>
          <w:spacing w:val="21"/>
          <w:sz w:val="13"/>
        </w:rPr>
        <w:t> </w:t>
      </w:r>
      <w:r>
        <w:rPr>
          <w:sz w:val="13"/>
        </w:rPr>
        <w:t>University</w:t>
      </w:r>
      <w:r>
        <w:rPr>
          <w:spacing w:val="21"/>
          <w:sz w:val="13"/>
        </w:rPr>
        <w:t> </w:t>
      </w:r>
      <w:r>
        <w:rPr>
          <w:sz w:val="13"/>
        </w:rPr>
        <w:t>Press,</w:t>
      </w:r>
      <w:r>
        <w:rPr>
          <w:spacing w:val="21"/>
          <w:sz w:val="13"/>
        </w:rPr>
        <w:t> </w:t>
      </w:r>
      <w:r>
        <w:rPr>
          <w:sz w:val="13"/>
        </w:rPr>
        <w:t>2010).The</w:t>
      </w:r>
    </w:p>
    <w:p>
      <w:pPr>
        <w:spacing w:before="5"/>
        <w:ind w:left="1223" w:right="1649" w:firstLine="0"/>
        <w:jc w:val="left"/>
        <w:rPr>
          <w:sz w:val="13"/>
        </w:rPr>
      </w:pPr>
      <w:r>
        <w:rPr>
          <w:w w:val="105"/>
          <w:sz w:val="13"/>
        </w:rPr>
        <w:t>consequence of not joining purchasers and title passing hands during the trial could be a mistrial. See, eg, </w:t>
      </w:r>
      <w:r>
        <w:rPr>
          <w:i/>
          <w:w w:val="105"/>
          <w:sz w:val="13"/>
        </w:rPr>
        <w:t>PGC Holdings </w:t>
      </w:r>
      <w:r>
        <w:rPr>
          <w:i/>
          <w:spacing w:val="3"/>
          <w:w w:val="105"/>
          <w:sz w:val="13"/>
        </w:rPr>
        <w:t>Pty </w:t>
      </w:r>
      <w:r>
        <w:rPr>
          <w:i/>
          <w:w w:val="105"/>
          <w:sz w:val="13"/>
        </w:rPr>
        <w:t>Ltd v Jalfire </w:t>
      </w:r>
      <w:r>
        <w:rPr>
          <w:i/>
          <w:spacing w:val="3"/>
          <w:w w:val="105"/>
          <w:sz w:val="13"/>
        </w:rPr>
        <w:t>Pty </w:t>
      </w:r>
      <w:r>
        <w:rPr>
          <w:i/>
          <w:w w:val="105"/>
          <w:sz w:val="13"/>
        </w:rPr>
        <w:t>Ltd</w:t>
      </w:r>
      <w:r>
        <w:rPr>
          <w:i/>
          <w:spacing w:val="5"/>
          <w:w w:val="105"/>
          <w:sz w:val="13"/>
        </w:rPr>
        <w:t> </w:t>
      </w:r>
      <w:r>
        <w:rPr>
          <w:w w:val="105"/>
          <w:sz w:val="13"/>
        </w:rPr>
        <w:t>[2018]</w:t>
      </w:r>
      <w:r>
        <w:rPr>
          <w:spacing w:val="5"/>
          <w:w w:val="105"/>
          <w:sz w:val="13"/>
        </w:rPr>
        <w:t> </w:t>
      </w:r>
      <w:r>
        <w:rPr>
          <w:w w:val="105"/>
          <w:sz w:val="13"/>
        </w:rPr>
        <w:t>QCAT</w:t>
      </w:r>
      <w:r>
        <w:rPr>
          <w:spacing w:val="5"/>
          <w:w w:val="105"/>
          <w:sz w:val="13"/>
        </w:rPr>
        <w:t> </w:t>
      </w:r>
      <w:r>
        <w:rPr>
          <w:w w:val="105"/>
          <w:sz w:val="13"/>
        </w:rPr>
        <w:t>29</w:t>
      </w:r>
      <w:r>
        <w:rPr>
          <w:spacing w:val="5"/>
          <w:w w:val="105"/>
          <w:sz w:val="13"/>
        </w:rPr>
        <w:t> </w:t>
      </w:r>
      <w:r>
        <w:rPr>
          <w:w w:val="105"/>
          <w:sz w:val="13"/>
        </w:rPr>
        <w:t>and</w:t>
      </w:r>
      <w:r>
        <w:rPr>
          <w:spacing w:val="6"/>
          <w:w w:val="105"/>
          <w:sz w:val="13"/>
        </w:rPr>
        <w:t> </w:t>
      </w:r>
      <w:r>
        <w:rPr>
          <w:i/>
          <w:w w:val="105"/>
          <w:sz w:val="13"/>
        </w:rPr>
        <w:t>PGC</w:t>
      </w:r>
      <w:r>
        <w:rPr>
          <w:i/>
          <w:spacing w:val="5"/>
          <w:w w:val="105"/>
          <w:sz w:val="13"/>
        </w:rPr>
        <w:t> </w:t>
      </w:r>
      <w:r>
        <w:rPr>
          <w:i/>
          <w:w w:val="105"/>
          <w:sz w:val="13"/>
        </w:rPr>
        <w:t>Holdings</w:t>
      </w:r>
      <w:r>
        <w:rPr>
          <w:i/>
          <w:spacing w:val="5"/>
          <w:w w:val="105"/>
          <w:sz w:val="13"/>
        </w:rPr>
        <w:t> </w:t>
      </w:r>
      <w:r>
        <w:rPr>
          <w:i/>
          <w:spacing w:val="3"/>
          <w:w w:val="105"/>
          <w:sz w:val="13"/>
        </w:rPr>
        <w:t>Pty</w:t>
      </w:r>
      <w:r>
        <w:rPr>
          <w:i/>
          <w:spacing w:val="5"/>
          <w:w w:val="105"/>
          <w:sz w:val="13"/>
        </w:rPr>
        <w:t> </w:t>
      </w:r>
      <w:r>
        <w:rPr>
          <w:i/>
          <w:w w:val="105"/>
          <w:sz w:val="13"/>
        </w:rPr>
        <w:t>Ltd</w:t>
      </w:r>
      <w:r>
        <w:rPr>
          <w:i/>
          <w:spacing w:val="5"/>
          <w:w w:val="105"/>
          <w:sz w:val="13"/>
        </w:rPr>
        <w:t> </w:t>
      </w:r>
      <w:r>
        <w:rPr>
          <w:i/>
          <w:w w:val="105"/>
          <w:sz w:val="13"/>
        </w:rPr>
        <w:t>v</w:t>
      </w:r>
      <w:r>
        <w:rPr>
          <w:i/>
          <w:spacing w:val="6"/>
          <w:w w:val="105"/>
          <w:sz w:val="13"/>
        </w:rPr>
        <w:t> </w:t>
      </w:r>
      <w:r>
        <w:rPr>
          <w:i/>
          <w:w w:val="105"/>
          <w:sz w:val="13"/>
        </w:rPr>
        <w:t>Jalfire</w:t>
      </w:r>
      <w:r>
        <w:rPr>
          <w:i/>
          <w:spacing w:val="5"/>
          <w:w w:val="105"/>
          <w:sz w:val="13"/>
        </w:rPr>
        <w:t> </w:t>
      </w:r>
      <w:r>
        <w:rPr>
          <w:i/>
          <w:spacing w:val="3"/>
          <w:w w:val="105"/>
          <w:sz w:val="13"/>
        </w:rPr>
        <w:t>Pty</w:t>
      </w:r>
      <w:r>
        <w:rPr>
          <w:i/>
          <w:spacing w:val="5"/>
          <w:w w:val="105"/>
          <w:sz w:val="13"/>
        </w:rPr>
        <w:t> </w:t>
      </w:r>
      <w:r>
        <w:rPr>
          <w:i/>
          <w:w w:val="105"/>
          <w:sz w:val="13"/>
        </w:rPr>
        <w:t>Ltd</w:t>
      </w:r>
      <w:r>
        <w:rPr>
          <w:i/>
          <w:spacing w:val="5"/>
          <w:w w:val="105"/>
          <w:sz w:val="13"/>
        </w:rPr>
        <w:t> </w:t>
      </w:r>
      <w:r>
        <w:rPr>
          <w:i/>
          <w:spacing w:val="2"/>
          <w:w w:val="105"/>
          <w:sz w:val="13"/>
        </w:rPr>
        <w:t>(No.</w:t>
      </w:r>
      <w:r>
        <w:rPr>
          <w:i/>
          <w:spacing w:val="5"/>
          <w:w w:val="105"/>
          <w:sz w:val="13"/>
        </w:rPr>
        <w:t> </w:t>
      </w:r>
      <w:r>
        <w:rPr>
          <w:i/>
          <w:w w:val="105"/>
          <w:sz w:val="13"/>
        </w:rPr>
        <w:t>2)</w:t>
      </w:r>
      <w:r>
        <w:rPr>
          <w:i/>
          <w:spacing w:val="6"/>
          <w:w w:val="105"/>
          <w:sz w:val="13"/>
        </w:rPr>
        <w:t> </w:t>
      </w:r>
      <w:r>
        <w:rPr>
          <w:w w:val="105"/>
          <w:sz w:val="13"/>
        </w:rPr>
        <w:t>[2018]</w:t>
      </w:r>
      <w:r>
        <w:rPr>
          <w:spacing w:val="5"/>
          <w:w w:val="105"/>
          <w:sz w:val="13"/>
        </w:rPr>
        <w:t> </w:t>
      </w:r>
      <w:r>
        <w:rPr>
          <w:w w:val="105"/>
          <w:sz w:val="13"/>
        </w:rPr>
        <w:t>QCAT</w:t>
      </w:r>
      <w:r>
        <w:rPr>
          <w:spacing w:val="5"/>
          <w:w w:val="105"/>
          <w:sz w:val="13"/>
        </w:rPr>
        <w:t> </w:t>
      </w:r>
      <w:r>
        <w:rPr>
          <w:w w:val="105"/>
          <w:sz w:val="13"/>
        </w:rPr>
        <w:t>363.</w:t>
      </w:r>
    </w:p>
    <w:p>
      <w:pPr>
        <w:pStyle w:val="ListParagraph"/>
        <w:numPr>
          <w:ilvl w:val="0"/>
          <w:numId w:val="190"/>
        </w:numPr>
        <w:tabs>
          <w:tab w:pos="1223" w:val="left" w:leader="none"/>
          <w:tab w:pos="1224" w:val="left" w:leader="none"/>
        </w:tabs>
        <w:spacing w:line="240" w:lineRule="auto" w:before="3" w:after="0"/>
        <w:ind w:left="1223" w:right="0" w:hanging="794"/>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190"/>
        </w:numPr>
        <w:tabs>
          <w:tab w:pos="1223" w:val="left" w:leader="none"/>
          <w:tab w:pos="1224" w:val="left" w:leader="none"/>
        </w:tabs>
        <w:spacing w:line="240" w:lineRule="auto" w:before="1" w:after="0"/>
        <w:ind w:left="429" w:right="5202" w:firstLine="0"/>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 </w:t>
      </w:r>
      <w:r>
        <w:rPr>
          <w:spacing w:val="3"/>
          <w:w w:val="105"/>
          <w:sz w:val="13"/>
        </w:rPr>
        <w:t>85(b). </w:t>
      </w:r>
      <w:r>
        <w:rPr>
          <w:w w:val="105"/>
          <w:sz w:val="13"/>
        </w:rPr>
        <w:t>20</w:t>
        <w:tab/>
        <w:t>Ibid s</w:t>
      </w:r>
      <w:r>
        <w:rPr>
          <w:spacing w:val="9"/>
          <w:w w:val="105"/>
          <w:sz w:val="13"/>
        </w:rPr>
        <w:t> </w:t>
      </w:r>
      <w:r>
        <w:rPr>
          <w:w w:val="105"/>
          <w:sz w:val="13"/>
        </w:rPr>
        <w:t>78(1).</w:t>
      </w:r>
    </w:p>
    <w:p>
      <w:pPr>
        <w:pStyle w:val="ListParagraph"/>
        <w:numPr>
          <w:ilvl w:val="0"/>
          <w:numId w:val="191"/>
        </w:numPr>
        <w:tabs>
          <w:tab w:pos="1223" w:val="left" w:leader="none"/>
          <w:tab w:pos="1224" w:val="left" w:leader="none"/>
        </w:tabs>
        <w:spacing w:line="240" w:lineRule="auto" w:before="3" w:after="0"/>
        <w:ind w:left="1223" w:right="1887" w:hanging="794"/>
        <w:jc w:val="both"/>
        <w:rPr>
          <w:sz w:val="13"/>
        </w:rPr>
      </w:pPr>
      <w:r>
        <w:rPr>
          <w:w w:val="105"/>
          <w:sz w:val="13"/>
        </w:rPr>
        <w:t>Ibid s </w:t>
      </w:r>
      <w:r>
        <w:rPr>
          <w:spacing w:val="2"/>
          <w:w w:val="105"/>
          <w:sz w:val="13"/>
        </w:rPr>
        <w:t>83; </w:t>
      </w:r>
      <w:r>
        <w:rPr>
          <w:w w:val="105"/>
          <w:sz w:val="13"/>
        </w:rPr>
        <w:t>The penalty unit value in Queensland is currently $130.55 (from 1 July 2018): Queensland Government, </w:t>
      </w:r>
      <w:r>
        <w:rPr>
          <w:i/>
          <w:w w:val="105"/>
          <w:sz w:val="13"/>
        </w:rPr>
        <w:t>Sentencing Fines and </w:t>
      </w:r>
      <w:r>
        <w:rPr>
          <w:i/>
          <w:w w:val="105"/>
          <w:sz w:val="13"/>
        </w:rPr>
        <w:t>Penalties for Offences </w:t>
      </w:r>
      <w:r>
        <w:rPr>
          <w:w w:val="105"/>
          <w:sz w:val="13"/>
        </w:rPr>
        <w:t>(Web Page, 5 July 2018) </w:t>
      </w:r>
      <w:r>
        <w:rPr>
          <w:spacing w:val="2"/>
          <w:w w:val="105"/>
          <w:sz w:val="13"/>
        </w:rPr>
        <w:t>&lt;https://</w:t>
      </w:r>
      <w:hyperlink r:id="rId306">
        <w:r>
          <w:rPr>
            <w:spacing w:val="2"/>
            <w:w w:val="105"/>
            <w:sz w:val="13"/>
          </w:rPr>
          <w:t>www.qld.gov.au/law/fines-and-penalties/types-of-fines/sentencing-fines-and-</w:t>
        </w:r>
      </w:hyperlink>
      <w:r>
        <w:rPr>
          <w:spacing w:val="2"/>
          <w:w w:val="105"/>
          <w:sz w:val="13"/>
        </w:rPr>
        <w:t> </w:t>
      </w:r>
      <w:r>
        <w:rPr>
          <w:w w:val="105"/>
          <w:sz w:val="13"/>
        </w:rPr>
        <w:t>penalties-for-offences&gt;.</w:t>
      </w:r>
    </w:p>
    <w:p>
      <w:pPr>
        <w:pStyle w:val="ListParagraph"/>
        <w:numPr>
          <w:ilvl w:val="0"/>
          <w:numId w:val="191"/>
        </w:numPr>
        <w:tabs>
          <w:tab w:pos="1223" w:val="left" w:leader="none"/>
          <w:tab w:pos="1224" w:val="left" w:leader="none"/>
        </w:tabs>
        <w:spacing w:line="240" w:lineRule="auto" w:before="4" w:after="0"/>
        <w:ind w:left="1223" w:right="1753"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ss </w:t>
      </w:r>
      <w:r>
        <w:rPr>
          <w:spacing w:val="3"/>
          <w:w w:val="105"/>
          <w:sz w:val="13"/>
        </w:rPr>
        <w:t>86(2), </w:t>
      </w:r>
      <w:r>
        <w:rPr>
          <w:spacing w:val="4"/>
          <w:w w:val="105"/>
          <w:sz w:val="13"/>
        </w:rPr>
        <w:t>86(4). </w:t>
      </w:r>
      <w:r>
        <w:rPr>
          <w:w w:val="105"/>
          <w:sz w:val="13"/>
        </w:rPr>
        <w:t>However, if an application is commenced after the purchaser has entered into a contract of sale then the Act imposes no obligation on the tree owner to notify the purchaser about the proceedings. If a dispute arises between the tree owner and purchaser, then this can be dealt with as a contractual matter: Consultation   </w:t>
      </w:r>
      <w:r>
        <w:rPr>
          <w:spacing w:val="-3"/>
          <w:w w:val="105"/>
          <w:sz w:val="13"/>
        </w:rPr>
        <w:t>15 </w:t>
      </w:r>
      <w:r>
        <w:rPr>
          <w:w w:val="105"/>
          <w:sz w:val="13"/>
        </w:rPr>
        <w:t>(Queensland Civil and Administrative Tribunal); see also Queensland Law Reform Commission, </w:t>
      </w:r>
      <w:r>
        <w:rPr>
          <w:i/>
          <w:w w:val="105"/>
          <w:sz w:val="13"/>
        </w:rPr>
        <w:t>Review of the Neighbourhood Disputes </w:t>
      </w:r>
      <w:r>
        <w:rPr>
          <w:i/>
          <w:w w:val="105"/>
          <w:sz w:val="13"/>
        </w:rPr>
        <w:t>(Dividing Fences and Trees) Act </w:t>
      </w:r>
      <w:r>
        <w:rPr>
          <w:i/>
          <w:spacing w:val="-4"/>
          <w:w w:val="105"/>
          <w:sz w:val="13"/>
        </w:rPr>
        <w:t>2011 </w:t>
      </w:r>
      <w:r>
        <w:rPr>
          <w:spacing w:val="2"/>
          <w:w w:val="105"/>
          <w:sz w:val="13"/>
        </w:rPr>
        <w:t>(Report </w:t>
      </w:r>
      <w:r>
        <w:rPr>
          <w:w w:val="105"/>
          <w:sz w:val="13"/>
        </w:rPr>
        <w:t>No 72, 2015) </w:t>
      </w:r>
      <w:r>
        <w:rPr>
          <w:spacing w:val="3"/>
          <w:w w:val="105"/>
          <w:sz w:val="13"/>
        </w:rPr>
        <w:t>[3.586]–[3.587],</w:t>
      </w:r>
      <w:r>
        <w:rPr>
          <w:spacing w:val="30"/>
          <w:w w:val="105"/>
          <w:sz w:val="13"/>
        </w:rPr>
        <w:t> </w:t>
      </w:r>
      <w:r>
        <w:rPr>
          <w:spacing w:val="2"/>
          <w:w w:val="105"/>
          <w:sz w:val="13"/>
        </w:rPr>
        <w:t>[3.593]–[3.595].</w:t>
      </w:r>
    </w:p>
    <w:p>
      <w:pPr>
        <w:pStyle w:val="ListParagraph"/>
        <w:numPr>
          <w:ilvl w:val="0"/>
          <w:numId w:val="191"/>
        </w:numPr>
        <w:tabs>
          <w:tab w:pos="1223" w:val="left" w:leader="none"/>
          <w:tab w:pos="1224" w:val="left" w:leader="none"/>
        </w:tabs>
        <w:spacing w:line="240" w:lineRule="auto" w:before="7" w:after="0"/>
        <w:ind w:left="1223"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4"/>
          <w:w w:val="105"/>
          <w:sz w:val="13"/>
        </w:rPr>
        <w:t> </w:t>
      </w:r>
      <w:r>
        <w:rPr>
          <w:w w:val="105"/>
          <w:sz w:val="13"/>
        </w:rPr>
        <w:t>87(2).</w:t>
      </w:r>
    </w:p>
    <w:p>
      <w:pPr>
        <w:pStyle w:val="ListParagraph"/>
        <w:numPr>
          <w:ilvl w:val="0"/>
          <w:numId w:val="191"/>
        </w:numPr>
        <w:tabs>
          <w:tab w:pos="1223" w:val="left" w:leader="none"/>
          <w:tab w:pos="1224" w:val="left" w:leader="none"/>
        </w:tabs>
        <w:spacing w:line="240" w:lineRule="auto" w:before="1" w:after="0"/>
        <w:ind w:left="1223" w:right="0" w:hanging="794"/>
        <w:jc w:val="left"/>
        <w:rPr>
          <w:sz w:val="13"/>
        </w:rPr>
      </w:pPr>
      <w:r>
        <w:rPr>
          <w:sz w:val="13"/>
        </w:rPr>
        <w:t>Ibid s</w:t>
      </w:r>
      <w:r>
        <w:rPr>
          <w:spacing w:val="12"/>
          <w:sz w:val="13"/>
        </w:rPr>
        <w:t> </w:t>
      </w:r>
      <w:r>
        <w:rPr>
          <w:sz w:val="13"/>
        </w:rPr>
        <w:t>76.</w:t>
      </w:r>
    </w:p>
    <w:p>
      <w:pPr>
        <w:pStyle w:val="ListParagraph"/>
        <w:numPr>
          <w:ilvl w:val="0"/>
          <w:numId w:val="191"/>
        </w:numPr>
        <w:tabs>
          <w:tab w:pos="1223" w:val="left" w:leader="none"/>
          <w:tab w:pos="1224" w:val="left" w:leader="none"/>
        </w:tabs>
        <w:spacing w:line="240" w:lineRule="auto" w:before="1" w:after="0"/>
        <w:ind w:left="1223" w:right="1614" w:hanging="794"/>
        <w:jc w:val="left"/>
        <w:rPr>
          <w:sz w:val="13"/>
        </w:rPr>
      </w:pPr>
      <w:r>
        <w:rPr>
          <w:w w:val="105"/>
          <w:sz w:val="13"/>
        </w:rPr>
        <w:t>Queensland Civil and Administrative Tribunal, </w:t>
      </w:r>
      <w:r>
        <w:rPr>
          <w:i/>
          <w:w w:val="105"/>
          <w:sz w:val="13"/>
        </w:rPr>
        <w:t>Tree Orders Register </w:t>
      </w:r>
      <w:r>
        <w:rPr>
          <w:w w:val="105"/>
          <w:sz w:val="13"/>
        </w:rPr>
        <w:t>(Database, 21 February 2019) &lt;</w:t>
      </w:r>
      <w:hyperlink r:id="rId307">
        <w:r>
          <w:rPr>
            <w:w w:val="105"/>
            <w:sz w:val="13"/>
          </w:rPr>
          <w:t>www.qcat.qld.gov.au/matter-types/tree-</w:t>
        </w:r>
      </w:hyperlink>
      <w:r>
        <w:rPr>
          <w:w w:val="105"/>
          <w:sz w:val="13"/>
        </w:rPr>
        <w:t> disputes/tree-order-register&gt;.</w:t>
      </w:r>
    </w:p>
    <w:p>
      <w:pPr>
        <w:pStyle w:val="ListParagraph"/>
        <w:numPr>
          <w:ilvl w:val="0"/>
          <w:numId w:val="191"/>
        </w:numPr>
        <w:tabs>
          <w:tab w:pos="1223" w:val="left" w:leader="none"/>
          <w:tab w:pos="1224" w:val="left" w:leader="none"/>
        </w:tabs>
        <w:spacing w:line="240" w:lineRule="auto" w:before="3" w:after="0"/>
        <w:ind w:left="1223" w:right="1886" w:hanging="794"/>
        <w:jc w:val="left"/>
        <w:rPr>
          <w:sz w:val="13"/>
        </w:rPr>
      </w:pPr>
      <w:r>
        <w:rPr>
          <w:w w:val="105"/>
          <w:sz w:val="13"/>
        </w:rPr>
        <w:t>The provisions in Division 2 of the </w:t>
      </w:r>
      <w:r>
        <w:rPr>
          <w:i/>
          <w:w w:val="105"/>
          <w:sz w:val="13"/>
        </w:rPr>
        <w:t>Neighbourhood Disputes About Plants Act </w:t>
      </w:r>
      <w:r>
        <w:rPr>
          <w:i/>
          <w:spacing w:val="-4"/>
          <w:w w:val="105"/>
          <w:sz w:val="13"/>
        </w:rPr>
        <w:t>2017 </w:t>
      </w:r>
      <w:r>
        <w:rPr>
          <w:w w:val="105"/>
          <w:sz w:val="13"/>
        </w:rPr>
        <w:t>(Tas) refer broadly to ‘An owner of land to which an application</w:t>
      </w:r>
      <w:r>
        <w:rPr>
          <w:spacing w:val="3"/>
          <w:w w:val="105"/>
          <w:sz w:val="13"/>
        </w:rPr>
        <w:t> </w:t>
      </w:r>
      <w:r>
        <w:rPr>
          <w:w w:val="105"/>
          <w:sz w:val="13"/>
        </w:rPr>
        <w:t>or</w:t>
      </w:r>
      <w:r>
        <w:rPr>
          <w:spacing w:val="4"/>
          <w:w w:val="105"/>
          <w:sz w:val="13"/>
        </w:rPr>
        <w:t> </w:t>
      </w:r>
      <w:r>
        <w:rPr>
          <w:w w:val="105"/>
          <w:sz w:val="13"/>
        </w:rPr>
        <w:t>an</w:t>
      </w:r>
      <w:r>
        <w:rPr>
          <w:spacing w:val="3"/>
          <w:w w:val="105"/>
          <w:sz w:val="13"/>
        </w:rPr>
        <w:t> </w:t>
      </w:r>
      <w:r>
        <w:rPr>
          <w:w w:val="105"/>
          <w:sz w:val="13"/>
        </w:rPr>
        <w:t>order</w:t>
      </w:r>
      <w:r>
        <w:rPr>
          <w:spacing w:val="4"/>
          <w:w w:val="105"/>
          <w:sz w:val="13"/>
        </w:rPr>
        <w:t> </w:t>
      </w:r>
      <w:r>
        <w:rPr>
          <w:w w:val="105"/>
          <w:sz w:val="13"/>
        </w:rPr>
        <w:t>relates’.</w:t>
      </w:r>
      <w:r>
        <w:rPr>
          <w:spacing w:val="3"/>
          <w:w w:val="105"/>
          <w:sz w:val="13"/>
        </w:rPr>
        <w:t> </w:t>
      </w:r>
      <w:r>
        <w:rPr>
          <w:w w:val="105"/>
          <w:sz w:val="13"/>
        </w:rPr>
        <w:t>The</w:t>
      </w:r>
      <w:r>
        <w:rPr>
          <w:spacing w:val="4"/>
          <w:w w:val="105"/>
          <w:sz w:val="13"/>
        </w:rPr>
        <w:t> </w:t>
      </w:r>
      <w:r>
        <w:rPr>
          <w:w w:val="105"/>
          <w:sz w:val="13"/>
        </w:rPr>
        <w:t>Commission</w:t>
      </w:r>
      <w:r>
        <w:rPr>
          <w:spacing w:val="4"/>
          <w:w w:val="105"/>
          <w:sz w:val="13"/>
        </w:rPr>
        <w:t> </w:t>
      </w:r>
      <w:r>
        <w:rPr>
          <w:w w:val="105"/>
          <w:sz w:val="13"/>
        </w:rPr>
        <w:t>notes</w:t>
      </w:r>
      <w:r>
        <w:rPr>
          <w:spacing w:val="3"/>
          <w:w w:val="105"/>
          <w:sz w:val="13"/>
        </w:rPr>
        <w:t> </w:t>
      </w:r>
      <w:r>
        <w:rPr>
          <w:w w:val="105"/>
          <w:sz w:val="13"/>
        </w:rPr>
        <w:t>that</w:t>
      </w:r>
      <w:r>
        <w:rPr>
          <w:spacing w:val="4"/>
          <w:w w:val="105"/>
          <w:sz w:val="13"/>
        </w:rPr>
        <w:t> </w:t>
      </w:r>
      <w:r>
        <w:rPr>
          <w:w w:val="105"/>
          <w:sz w:val="13"/>
        </w:rPr>
        <w:t>this</w:t>
      </w:r>
      <w:r>
        <w:rPr>
          <w:spacing w:val="3"/>
          <w:w w:val="105"/>
          <w:sz w:val="13"/>
        </w:rPr>
        <w:t> </w:t>
      </w:r>
      <w:r>
        <w:rPr>
          <w:w w:val="105"/>
          <w:sz w:val="13"/>
        </w:rPr>
        <w:t>provision</w:t>
      </w:r>
      <w:r>
        <w:rPr>
          <w:spacing w:val="4"/>
          <w:w w:val="105"/>
          <w:sz w:val="13"/>
        </w:rPr>
        <w:t> </w:t>
      </w:r>
      <w:r>
        <w:rPr>
          <w:w w:val="105"/>
          <w:sz w:val="13"/>
        </w:rPr>
        <w:t>has</w:t>
      </w:r>
      <w:r>
        <w:rPr>
          <w:spacing w:val="3"/>
          <w:w w:val="105"/>
          <w:sz w:val="13"/>
        </w:rPr>
        <w:t> </w:t>
      </w:r>
      <w:r>
        <w:rPr>
          <w:w w:val="105"/>
          <w:sz w:val="13"/>
        </w:rPr>
        <w:t>not</w:t>
      </w:r>
      <w:r>
        <w:rPr>
          <w:spacing w:val="4"/>
          <w:w w:val="105"/>
          <w:sz w:val="13"/>
        </w:rPr>
        <w:t> </w:t>
      </w:r>
      <w:r>
        <w:rPr>
          <w:w w:val="105"/>
          <w:sz w:val="13"/>
        </w:rPr>
        <w:t>been</w:t>
      </w:r>
      <w:r>
        <w:rPr>
          <w:spacing w:val="4"/>
          <w:w w:val="105"/>
          <w:sz w:val="13"/>
        </w:rPr>
        <w:t> </w:t>
      </w:r>
      <w:r>
        <w:rPr>
          <w:w w:val="105"/>
          <w:sz w:val="13"/>
        </w:rPr>
        <w:t>formally</w:t>
      </w:r>
      <w:r>
        <w:rPr>
          <w:spacing w:val="3"/>
          <w:w w:val="105"/>
          <w:sz w:val="13"/>
        </w:rPr>
        <w:t> </w:t>
      </w:r>
      <w:r>
        <w:rPr>
          <w:w w:val="105"/>
          <w:sz w:val="13"/>
        </w:rPr>
        <w:t>interpreted</w:t>
      </w:r>
      <w:r>
        <w:rPr>
          <w:spacing w:val="4"/>
          <w:w w:val="105"/>
          <w:sz w:val="13"/>
        </w:rPr>
        <w:t> </w:t>
      </w:r>
      <w:r>
        <w:rPr>
          <w:w w:val="105"/>
          <w:sz w:val="13"/>
        </w:rPr>
        <w:t>by</w:t>
      </w:r>
      <w:r>
        <w:rPr>
          <w:spacing w:val="3"/>
          <w:w w:val="105"/>
          <w:sz w:val="13"/>
        </w:rPr>
        <w:t> </w:t>
      </w:r>
      <w:r>
        <w:rPr>
          <w:w w:val="105"/>
          <w:sz w:val="13"/>
        </w:rPr>
        <w:t>the</w:t>
      </w:r>
      <w:r>
        <w:rPr>
          <w:spacing w:val="4"/>
          <w:w w:val="105"/>
          <w:sz w:val="13"/>
        </w:rPr>
        <w:t> </w:t>
      </w:r>
      <w:r>
        <w:rPr>
          <w:w w:val="105"/>
          <w:sz w:val="13"/>
        </w:rPr>
        <w:t>Tribunal.</w:t>
      </w:r>
    </w:p>
    <w:p>
      <w:pPr>
        <w:spacing w:after="0" w:line="240" w:lineRule="auto"/>
        <w:jc w:val="left"/>
        <w:rPr>
          <w:sz w:val="13"/>
        </w:rPr>
        <w:sectPr>
          <w:type w:val="continuous"/>
          <w:pgSz w:w="11910" w:h="16840"/>
          <w:pgMar w:top="300" w:bottom="280" w:left="0" w:right="0"/>
          <w:cols w:num="2" w:equalWidth="0">
            <w:col w:w="1118" w:space="40"/>
            <w:col w:w="10752"/>
          </w:cols>
        </w:sectPr>
      </w:pPr>
    </w:p>
    <w:p>
      <w:pPr>
        <w:pStyle w:val="BodyText"/>
        <w:rPr>
          <w:sz w:val="20"/>
        </w:rPr>
      </w:pPr>
    </w:p>
    <w:p>
      <w:pPr>
        <w:pStyle w:val="BodyText"/>
        <w:spacing w:before="11"/>
        <w:rPr>
          <w:sz w:val="17"/>
        </w:rPr>
      </w:pPr>
    </w:p>
    <w:p>
      <w:pPr>
        <w:pStyle w:val="Heading5"/>
        <w:spacing w:before="96"/>
      </w:pPr>
      <w:r>
        <w:rPr>
          <w:w w:val="115"/>
        </w:rPr>
        <w:t>Joinder of parties</w:t>
      </w:r>
    </w:p>
    <w:p>
      <w:pPr>
        <w:pStyle w:val="ListParagraph"/>
        <w:numPr>
          <w:ilvl w:val="1"/>
          <w:numId w:val="16"/>
        </w:numPr>
        <w:tabs>
          <w:tab w:pos="2380" w:val="left" w:leader="none"/>
          <w:tab w:pos="2381" w:val="left" w:leader="none"/>
        </w:tabs>
        <w:spacing w:line="242" w:lineRule="auto" w:before="137" w:after="0"/>
        <w:ind w:left="2381" w:right="1890" w:hanging="794"/>
        <w:jc w:val="left"/>
        <w:rPr>
          <w:sz w:val="21"/>
        </w:rPr>
      </w:pPr>
      <w:r>
        <w:rPr>
          <w:w w:val="105"/>
          <w:sz w:val="21"/>
        </w:rPr>
        <w:t>If either party decides </w:t>
      </w:r>
      <w:r>
        <w:rPr>
          <w:spacing w:val="-3"/>
          <w:w w:val="105"/>
          <w:sz w:val="21"/>
        </w:rPr>
        <w:t>to </w:t>
      </w:r>
      <w:r>
        <w:rPr>
          <w:w w:val="105"/>
          <w:sz w:val="21"/>
        </w:rPr>
        <w:t>sell their </w:t>
      </w:r>
      <w:r>
        <w:rPr>
          <w:spacing w:val="-3"/>
          <w:w w:val="105"/>
          <w:sz w:val="21"/>
        </w:rPr>
        <w:t>land </w:t>
      </w:r>
      <w:r>
        <w:rPr>
          <w:w w:val="105"/>
          <w:sz w:val="21"/>
        </w:rPr>
        <w:t>while a matter is in progress, they must give the </w:t>
      </w:r>
      <w:r>
        <w:rPr>
          <w:spacing w:val="-3"/>
          <w:w w:val="105"/>
          <w:sz w:val="21"/>
        </w:rPr>
        <w:t>purchaser </w:t>
      </w:r>
      <w:r>
        <w:rPr>
          <w:w w:val="105"/>
          <w:sz w:val="21"/>
        </w:rPr>
        <w:t>a </w:t>
      </w:r>
      <w:r>
        <w:rPr>
          <w:spacing w:val="-3"/>
          <w:w w:val="105"/>
          <w:sz w:val="21"/>
        </w:rPr>
        <w:t>copy </w:t>
      </w:r>
      <w:r>
        <w:rPr>
          <w:w w:val="105"/>
          <w:sz w:val="21"/>
        </w:rPr>
        <w:t>of the application and </w:t>
      </w:r>
      <w:r>
        <w:rPr>
          <w:spacing w:val="-3"/>
          <w:w w:val="105"/>
          <w:sz w:val="21"/>
        </w:rPr>
        <w:t>any information </w:t>
      </w:r>
      <w:r>
        <w:rPr>
          <w:w w:val="105"/>
          <w:sz w:val="21"/>
        </w:rPr>
        <w:t>filed with the </w:t>
      </w:r>
      <w:r>
        <w:rPr>
          <w:spacing w:val="-3"/>
          <w:w w:val="105"/>
          <w:sz w:val="21"/>
        </w:rPr>
        <w:t>Resource Management </w:t>
      </w:r>
      <w:r>
        <w:rPr>
          <w:w w:val="105"/>
          <w:sz w:val="21"/>
        </w:rPr>
        <w:t>and </w:t>
      </w:r>
      <w:r>
        <w:rPr>
          <w:spacing w:val="-3"/>
          <w:w w:val="105"/>
          <w:sz w:val="21"/>
        </w:rPr>
        <w:t>Planning </w:t>
      </w:r>
      <w:r>
        <w:rPr>
          <w:w w:val="105"/>
          <w:sz w:val="21"/>
        </w:rPr>
        <w:t>Appeal </w:t>
      </w:r>
      <w:r>
        <w:rPr>
          <w:spacing w:val="-5"/>
          <w:w w:val="105"/>
          <w:sz w:val="21"/>
        </w:rPr>
        <w:t>Tribunal </w:t>
      </w:r>
      <w:r>
        <w:rPr>
          <w:spacing w:val="-3"/>
          <w:w w:val="105"/>
          <w:sz w:val="21"/>
        </w:rPr>
        <w:t>(RMPAT) </w:t>
      </w:r>
      <w:r>
        <w:rPr>
          <w:w w:val="105"/>
          <w:sz w:val="21"/>
        </w:rPr>
        <w:t>or the order </w:t>
      </w:r>
      <w:r>
        <w:rPr>
          <w:spacing w:val="-3"/>
          <w:w w:val="105"/>
          <w:sz w:val="21"/>
        </w:rPr>
        <w:t>before </w:t>
      </w:r>
      <w:r>
        <w:rPr>
          <w:w w:val="105"/>
          <w:sz w:val="21"/>
        </w:rPr>
        <w:t>the </w:t>
      </w:r>
      <w:r>
        <w:rPr>
          <w:spacing w:val="-3"/>
          <w:w w:val="105"/>
          <w:sz w:val="21"/>
        </w:rPr>
        <w:t>purchaser </w:t>
      </w:r>
      <w:r>
        <w:rPr>
          <w:w w:val="105"/>
          <w:sz w:val="21"/>
        </w:rPr>
        <w:t>enters </w:t>
      </w:r>
      <w:r>
        <w:rPr>
          <w:spacing w:val="-4"/>
          <w:w w:val="105"/>
          <w:sz w:val="21"/>
        </w:rPr>
        <w:t>into </w:t>
      </w:r>
      <w:r>
        <w:rPr>
          <w:w w:val="105"/>
          <w:sz w:val="21"/>
        </w:rPr>
        <w:t>a contract of sale.</w:t>
      </w:r>
      <w:r>
        <w:rPr>
          <w:w w:val="105"/>
          <w:position w:val="7"/>
          <w:sz w:val="12"/>
        </w:rPr>
        <w:t>27 </w:t>
      </w:r>
      <w:r>
        <w:rPr>
          <w:w w:val="105"/>
          <w:sz w:val="21"/>
        </w:rPr>
        <w:t>The </w:t>
      </w:r>
      <w:r>
        <w:rPr>
          <w:spacing w:val="-4"/>
          <w:w w:val="105"/>
          <w:sz w:val="21"/>
        </w:rPr>
        <w:t>Tasmanian </w:t>
      </w:r>
      <w:r>
        <w:rPr>
          <w:w w:val="105"/>
          <w:sz w:val="21"/>
        </w:rPr>
        <w:t>Act provides </w:t>
      </w:r>
      <w:r>
        <w:rPr>
          <w:spacing w:val="-3"/>
          <w:w w:val="105"/>
          <w:sz w:val="21"/>
        </w:rPr>
        <w:t>that any </w:t>
      </w:r>
      <w:r>
        <w:rPr>
          <w:w w:val="105"/>
          <w:sz w:val="21"/>
        </w:rPr>
        <w:t>person who is provided with </w:t>
      </w:r>
      <w:r>
        <w:rPr>
          <w:spacing w:val="-3"/>
          <w:w w:val="105"/>
          <w:sz w:val="21"/>
        </w:rPr>
        <w:t>notice </w:t>
      </w:r>
      <w:r>
        <w:rPr>
          <w:w w:val="105"/>
          <w:sz w:val="21"/>
        </w:rPr>
        <w:t>is joined as a party when they </w:t>
      </w:r>
      <w:r>
        <w:rPr>
          <w:spacing w:val="-3"/>
          <w:w w:val="105"/>
          <w:sz w:val="21"/>
        </w:rPr>
        <w:t>enter </w:t>
      </w:r>
      <w:r>
        <w:rPr>
          <w:spacing w:val="-4"/>
          <w:w w:val="105"/>
          <w:sz w:val="21"/>
        </w:rPr>
        <w:t>into </w:t>
      </w:r>
      <w:r>
        <w:rPr>
          <w:w w:val="105"/>
          <w:sz w:val="21"/>
        </w:rPr>
        <w:t>a contract </w:t>
      </w:r>
      <w:r>
        <w:rPr>
          <w:spacing w:val="-3"/>
          <w:w w:val="105"/>
          <w:sz w:val="21"/>
        </w:rPr>
        <w:t>for sale, </w:t>
      </w:r>
      <w:r>
        <w:rPr>
          <w:w w:val="105"/>
          <w:sz w:val="21"/>
        </w:rPr>
        <w:t>and orders </w:t>
      </w:r>
      <w:r>
        <w:rPr>
          <w:spacing w:val="-3"/>
          <w:w w:val="105"/>
          <w:sz w:val="21"/>
        </w:rPr>
        <w:t>are binding </w:t>
      </w:r>
      <w:r>
        <w:rPr>
          <w:w w:val="105"/>
          <w:sz w:val="21"/>
        </w:rPr>
        <w:t>on</w:t>
      </w:r>
      <w:r>
        <w:rPr>
          <w:spacing w:val="26"/>
          <w:w w:val="105"/>
          <w:sz w:val="21"/>
        </w:rPr>
        <w:t> </w:t>
      </w:r>
      <w:r>
        <w:rPr>
          <w:w w:val="105"/>
          <w:sz w:val="21"/>
        </w:rPr>
        <w:t>them.</w:t>
      </w:r>
      <w:r>
        <w:rPr>
          <w:w w:val="105"/>
          <w:position w:val="7"/>
          <w:sz w:val="12"/>
        </w:rPr>
        <w:t>28</w:t>
      </w:r>
    </w:p>
    <w:p>
      <w:pPr>
        <w:pStyle w:val="ListParagraph"/>
        <w:numPr>
          <w:ilvl w:val="1"/>
          <w:numId w:val="16"/>
        </w:numPr>
        <w:tabs>
          <w:tab w:pos="2381" w:val="left" w:leader="none"/>
          <w:tab w:pos="2382" w:val="left" w:leader="none"/>
        </w:tabs>
        <w:spacing w:line="242" w:lineRule="auto" w:before="126" w:after="0"/>
        <w:ind w:left="2381" w:right="1876" w:hanging="794"/>
        <w:jc w:val="left"/>
        <w:rPr>
          <w:sz w:val="21"/>
        </w:rPr>
      </w:pPr>
      <w:r>
        <w:rPr>
          <w:sz w:val="21"/>
        </w:rPr>
        <w:t>On the </w:t>
      </w:r>
      <w:r>
        <w:rPr>
          <w:spacing w:val="-3"/>
          <w:sz w:val="21"/>
        </w:rPr>
        <w:t>day </w:t>
      </w:r>
      <w:r>
        <w:rPr>
          <w:sz w:val="21"/>
        </w:rPr>
        <w:t>of settlement the </w:t>
      </w:r>
      <w:r>
        <w:rPr>
          <w:spacing w:val="-3"/>
          <w:sz w:val="21"/>
        </w:rPr>
        <w:t>purchaser </w:t>
      </w:r>
      <w:r>
        <w:rPr>
          <w:sz w:val="21"/>
        </w:rPr>
        <w:t>is then bound by the orders as if they </w:t>
      </w:r>
      <w:r>
        <w:rPr>
          <w:spacing w:val="-3"/>
          <w:sz w:val="21"/>
        </w:rPr>
        <w:t>were </w:t>
      </w:r>
      <w:r>
        <w:rPr>
          <w:sz w:val="21"/>
        </w:rPr>
        <w:t>the </w:t>
      </w:r>
      <w:r>
        <w:rPr>
          <w:spacing w:val="-3"/>
          <w:sz w:val="21"/>
        </w:rPr>
        <w:t>original land </w:t>
      </w:r>
      <w:r>
        <w:rPr>
          <w:spacing w:val="-4"/>
          <w:sz w:val="21"/>
        </w:rPr>
        <w:t>owner, </w:t>
      </w:r>
      <w:r>
        <w:rPr>
          <w:spacing w:val="-3"/>
          <w:sz w:val="21"/>
        </w:rPr>
        <w:t>to </w:t>
      </w:r>
      <w:r>
        <w:rPr>
          <w:sz w:val="21"/>
        </w:rPr>
        <w:t>the extent the orders </w:t>
      </w:r>
      <w:r>
        <w:rPr>
          <w:spacing w:val="-3"/>
          <w:sz w:val="21"/>
        </w:rPr>
        <w:t>have </w:t>
      </w:r>
      <w:r>
        <w:rPr>
          <w:spacing w:val="-2"/>
          <w:sz w:val="21"/>
        </w:rPr>
        <w:t>not </w:t>
      </w:r>
      <w:r>
        <w:rPr>
          <w:sz w:val="21"/>
        </w:rPr>
        <w:t>been carried out.</w:t>
      </w:r>
      <w:r>
        <w:rPr>
          <w:position w:val="7"/>
          <w:sz w:val="12"/>
        </w:rPr>
        <w:t>29 </w:t>
      </w:r>
      <w:r>
        <w:rPr>
          <w:sz w:val="21"/>
        </w:rPr>
        <w:t>Any</w:t>
      </w:r>
      <w:r>
        <w:rPr>
          <w:spacing w:val="7"/>
          <w:sz w:val="21"/>
        </w:rPr>
        <w:t> </w:t>
      </w:r>
      <w:r>
        <w:rPr>
          <w:sz w:val="21"/>
        </w:rPr>
        <w:t>period</w:t>
      </w:r>
    </w:p>
    <w:p>
      <w:pPr>
        <w:pStyle w:val="BodyText"/>
        <w:spacing w:line="242" w:lineRule="auto" w:before="3"/>
        <w:ind w:left="2381" w:right="1636"/>
        <w:rPr>
          <w:sz w:val="12"/>
        </w:rPr>
      </w:pPr>
      <w:r>
        <w:rPr>
          <w:w w:val="105"/>
        </w:rPr>
        <w:t>of time mentioned in the orders </w:t>
      </w:r>
      <w:r>
        <w:rPr>
          <w:spacing w:val="-3"/>
          <w:w w:val="105"/>
        </w:rPr>
        <w:t>for </w:t>
      </w:r>
      <w:r>
        <w:rPr>
          <w:w w:val="105"/>
        </w:rPr>
        <w:t>carrying out the </w:t>
      </w:r>
      <w:r>
        <w:rPr>
          <w:spacing w:val="-3"/>
          <w:w w:val="105"/>
        </w:rPr>
        <w:t>required </w:t>
      </w:r>
      <w:r>
        <w:rPr>
          <w:w w:val="105"/>
        </w:rPr>
        <w:t>work </w:t>
      </w:r>
      <w:r>
        <w:rPr>
          <w:spacing w:val="-2"/>
          <w:w w:val="105"/>
        </w:rPr>
        <w:t>begins </w:t>
      </w:r>
      <w:r>
        <w:rPr>
          <w:w w:val="105"/>
        </w:rPr>
        <w:t>on the </w:t>
      </w:r>
      <w:r>
        <w:rPr>
          <w:spacing w:val="-3"/>
          <w:w w:val="105"/>
        </w:rPr>
        <w:t>day </w:t>
      </w:r>
      <w:r>
        <w:rPr>
          <w:w w:val="105"/>
        </w:rPr>
        <w:t>of settlement.</w:t>
      </w:r>
      <w:r>
        <w:rPr>
          <w:w w:val="105"/>
          <w:position w:val="7"/>
          <w:sz w:val="12"/>
        </w:rPr>
        <w:t>30</w:t>
      </w:r>
    </w:p>
    <w:p>
      <w:pPr>
        <w:pStyle w:val="ListParagraph"/>
        <w:numPr>
          <w:ilvl w:val="1"/>
          <w:numId w:val="16"/>
        </w:numPr>
        <w:tabs>
          <w:tab w:pos="2380" w:val="left" w:leader="none"/>
          <w:tab w:pos="2382" w:val="left" w:leader="none"/>
        </w:tabs>
        <w:spacing w:line="242" w:lineRule="auto" w:before="122" w:after="0"/>
        <w:ind w:left="2381" w:right="2357" w:hanging="794"/>
        <w:jc w:val="left"/>
        <w:rPr>
          <w:sz w:val="21"/>
        </w:rPr>
      </w:pPr>
      <w:r>
        <w:rPr>
          <w:sz w:val="21"/>
        </w:rPr>
        <w:t>A seller must notify </w:t>
      </w:r>
      <w:r>
        <w:rPr>
          <w:spacing w:val="-6"/>
          <w:sz w:val="21"/>
        </w:rPr>
        <w:t>RMPAT </w:t>
      </w:r>
      <w:r>
        <w:rPr>
          <w:sz w:val="21"/>
        </w:rPr>
        <w:t>after a contract of sale </w:t>
      </w:r>
      <w:r>
        <w:rPr>
          <w:spacing w:val="-2"/>
          <w:sz w:val="21"/>
        </w:rPr>
        <w:t>has </w:t>
      </w:r>
      <w:r>
        <w:rPr>
          <w:sz w:val="21"/>
        </w:rPr>
        <w:t>been </w:t>
      </w:r>
      <w:r>
        <w:rPr>
          <w:spacing w:val="-3"/>
          <w:sz w:val="21"/>
        </w:rPr>
        <w:t>entered </w:t>
      </w:r>
      <w:r>
        <w:rPr>
          <w:spacing w:val="-4"/>
          <w:sz w:val="21"/>
        </w:rPr>
        <w:t>into </w:t>
      </w:r>
      <w:r>
        <w:rPr>
          <w:spacing w:val="-3"/>
          <w:sz w:val="21"/>
        </w:rPr>
        <w:t>that </w:t>
      </w:r>
      <w:r>
        <w:rPr>
          <w:sz w:val="21"/>
        </w:rPr>
        <w:t>the </w:t>
      </w:r>
      <w:r>
        <w:rPr>
          <w:spacing w:val="-3"/>
          <w:sz w:val="21"/>
        </w:rPr>
        <w:t>purchaser </w:t>
      </w:r>
      <w:r>
        <w:rPr>
          <w:sz w:val="21"/>
        </w:rPr>
        <w:t>is joined as a</w:t>
      </w:r>
      <w:r>
        <w:rPr>
          <w:spacing w:val="46"/>
          <w:sz w:val="21"/>
        </w:rPr>
        <w:t> </w:t>
      </w:r>
      <w:r>
        <w:rPr>
          <w:spacing w:val="-3"/>
          <w:sz w:val="21"/>
        </w:rPr>
        <w:t>party.</w:t>
      </w:r>
      <w:r>
        <w:rPr>
          <w:spacing w:val="-3"/>
          <w:position w:val="7"/>
          <w:sz w:val="12"/>
        </w:rPr>
        <w:t>31</w:t>
      </w:r>
    </w:p>
    <w:p>
      <w:pPr>
        <w:pStyle w:val="ListParagraph"/>
        <w:numPr>
          <w:ilvl w:val="1"/>
          <w:numId w:val="16"/>
        </w:numPr>
        <w:tabs>
          <w:tab w:pos="2381" w:val="left" w:leader="none"/>
        </w:tabs>
        <w:spacing w:line="242" w:lineRule="auto" w:before="122" w:after="0"/>
        <w:ind w:left="2381" w:right="2041" w:hanging="794"/>
        <w:jc w:val="both"/>
        <w:rPr>
          <w:sz w:val="21"/>
        </w:rPr>
      </w:pPr>
      <w:r>
        <w:rPr>
          <w:w w:val="105"/>
          <w:sz w:val="21"/>
        </w:rPr>
        <w:t>The</w:t>
      </w:r>
      <w:r>
        <w:rPr>
          <w:spacing w:val="-7"/>
          <w:w w:val="105"/>
          <w:sz w:val="21"/>
        </w:rPr>
        <w:t> </w:t>
      </w:r>
      <w:r>
        <w:rPr>
          <w:spacing w:val="-4"/>
          <w:w w:val="105"/>
          <w:sz w:val="21"/>
        </w:rPr>
        <w:t>Tasmanian</w:t>
      </w:r>
      <w:r>
        <w:rPr>
          <w:spacing w:val="-7"/>
          <w:w w:val="105"/>
          <w:sz w:val="21"/>
        </w:rPr>
        <w:t> </w:t>
      </w:r>
      <w:r>
        <w:rPr>
          <w:spacing w:val="-3"/>
          <w:w w:val="105"/>
          <w:sz w:val="21"/>
        </w:rPr>
        <w:t>Government</w:t>
      </w:r>
      <w:r>
        <w:rPr>
          <w:spacing w:val="-7"/>
          <w:w w:val="105"/>
          <w:sz w:val="21"/>
        </w:rPr>
        <w:t> </w:t>
      </w:r>
      <w:r>
        <w:rPr>
          <w:spacing w:val="-2"/>
          <w:w w:val="105"/>
          <w:sz w:val="21"/>
        </w:rPr>
        <w:t>has</w:t>
      </w:r>
      <w:r>
        <w:rPr>
          <w:spacing w:val="-7"/>
          <w:w w:val="105"/>
          <w:sz w:val="21"/>
        </w:rPr>
        <w:t> </w:t>
      </w:r>
      <w:r>
        <w:rPr>
          <w:w w:val="105"/>
          <w:sz w:val="21"/>
        </w:rPr>
        <w:t>developed</w:t>
      </w:r>
      <w:r>
        <w:rPr>
          <w:spacing w:val="-7"/>
          <w:w w:val="105"/>
          <w:sz w:val="21"/>
        </w:rPr>
        <w:t> </w:t>
      </w:r>
      <w:r>
        <w:rPr>
          <w:spacing w:val="-3"/>
          <w:w w:val="105"/>
          <w:sz w:val="21"/>
        </w:rPr>
        <w:t>template</w:t>
      </w:r>
      <w:r>
        <w:rPr>
          <w:spacing w:val="-7"/>
          <w:w w:val="105"/>
          <w:sz w:val="21"/>
        </w:rPr>
        <w:t> </w:t>
      </w:r>
      <w:r>
        <w:rPr>
          <w:spacing w:val="-3"/>
          <w:w w:val="105"/>
          <w:sz w:val="21"/>
        </w:rPr>
        <w:t>forms</w:t>
      </w:r>
      <w:r>
        <w:rPr>
          <w:spacing w:val="-7"/>
          <w:w w:val="105"/>
          <w:sz w:val="21"/>
        </w:rPr>
        <w:t> </w:t>
      </w:r>
      <w:r>
        <w:rPr>
          <w:spacing w:val="-3"/>
          <w:w w:val="105"/>
          <w:sz w:val="21"/>
        </w:rPr>
        <w:t>to</w:t>
      </w:r>
      <w:r>
        <w:rPr>
          <w:spacing w:val="-7"/>
          <w:w w:val="105"/>
          <w:sz w:val="21"/>
        </w:rPr>
        <w:t> </w:t>
      </w:r>
      <w:r>
        <w:rPr>
          <w:w w:val="105"/>
          <w:sz w:val="21"/>
        </w:rPr>
        <w:t>help</w:t>
      </w:r>
      <w:r>
        <w:rPr>
          <w:spacing w:val="-7"/>
          <w:w w:val="105"/>
          <w:sz w:val="21"/>
        </w:rPr>
        <w:t> </w:t>
      </w:r>
      <w:r>
        <w:rPr>
          <w:w w:val="105"/>
          <w:sz w:val="21"/>
        </w:rPr>
        <w:t>vendors</w:t>
      </w:r>
      <w:r>
        <w:rPr>
          <w:spacing w:val="-7"/>
          <w:w w:val="105"/>
          <w:sz w:val="21"/>
        </w:rPr>
        <w:t> </w:t>
      </w:r>
      <w:r>
        <w:rPr>
          <w:spacing w:val="-4"/>
          <w:w w:val="105"/>
          <w:sz w:val="21"/>
        </w:rPr>
        <w:t>make</w:t>
      </w:r>
      <w:r>
        <w:rPr>
          <w:spacing w:val="-6"/>
          <w:w w:val="105"/>
          <w:sz w:val="21"/>
        </w:rPr>
        <w:t> </w:t>
      </w:r>
      <w:r>
        <w:rPr>
          <w:w w:val="105"/>
          <w:sz w:val="21"/>
        </w:rPr>
        <w:t>the </w:t>
      </w:r>
      <w:r>
        <w:rPr>
          <w:spacing w:val="-3"/>
          <w:w w:val="105"/>
          <w:sz w:val="21"/>
        </w:rPr>
        <w:t>required disclosures.</w:t>
      </w:r>
      <w:r>
        <w:rPr>
          <w:spacing w:val="-3"/>
          <w:w w:val="105"/>
          <w:position w:val="7"/>
          <w:sz w:val="12"/>
        </w:rPr>
        <w:t>32 </w:t>
      </w:r>
      <w:r>
        <w:rPr>
          <w:w w:val="105"/>
          <w:sz w:val="21"/>
        </w:rPr>
        <w:t>These can be downloaded </w:t>
      </w:r>
      <w:r>
        <w:rPr>
          <w:spacing w:val="-3"/>
          <w:w w:val="105"/>
          <w:sz w:val="21"/>
        </w:rPr>
        <w:t>from </w:t>
      </w:r>
      <w:r>
        <w:rPr>
          <w:w w:val="105"/>
          <w:sz w:val="21"/>
        </w:rPr>
        <w:t>the </w:t>
      </w:r>
      <w:r>
        <w:rPr>
          <w:spacing w:val="-4"/>
          <w:w w:val="105"/>
          <w:sz w:val="21"/>
        </w:rPr>
        <w:t>Tasmanian </w:t>
      </w:r>
      <w:r>
        <w:rPr>
          <w:w w:val="105"/>
          <w:sz w:val="21"/>
        </w:rPr>
        <w:t>Department of </w:t>
      </w:r>
      <w:r>
        <w:rPr>
          <w:spacing w:val="-3"/>
          <w:w w:val="105"/>
          <w:sz w:val="21"/>
        </w:rPr>
        <w:t>Justice’s </w:t>
      </w:r>
      <w:r>
        <w:rPr>
          <w:w w:val="105"/>
          <w:sz w:val="21"/>
        </w:rPr>
        <w:t>webpage on tree</w:t>
      </w:r>
      <w:r>
        <w:rPr>
          <w:spacing w:val="23"/>
          <w:w w:val="105"/>
          <w:sz w:val="21"/>
        </w:rPr>
        <w:t> </w:t>
      </w:r>
      <w:r>
        <w:rPr>
          <w:spacing w:val="-3"/>
          <w:w w:val="105"/>
          <w:sz w:val="21"/>
        </w:rPr>
        <w:t>disputes.</w:t>
      </w:r>
      <w:r>
        <w:rPr>
          <w:spacing w:val="-3"/>
          <w:w w:val="105"/>
          <w:position w:val="7"/>
          <w:sz w:val="12"/>
        </w:rPr>
        <w:t>33</w:t>
      </w:r>
    </w:p>
    <w:p>
      <w:pPr>
        <w:pStyle w:val="BodyText"/>
        <w:spacing w:before="4"/>
        <w:rPr>
          <w:sz w:val="20"/>
        </w:rPr>
      </w:pPr>
    </w:p>
    <w:p>
      <w:pPr>
        <w:pStyle w:val="Heading5"/>
      </w:pPr>
      <w:r>
        <w:rPr>
          <w:w w:val="110"/>
        </w:rPr>
        <w:t>Notice to local councils</w:t>
      </w:r>
    </w:p>
    <w:p>
      <w:pPr>
        <w:pStyle w:val="ListParagraph"/>
        <w:numPr>
          <w:ilvl w:val="1"/>
          <w:numId w:val="16"/>
        </w:numPr>
        <w:tabs>
          <w:tab w:pos="2380" w:val="left" w:leader="none"/>
          <w:tab w:pos="2381" w:val="left" w:leader="none"/>
        </w:tabs>
        <w:spacing w:line="242" w:lineRule="auto" w:before="137" w:after="0"/>
        <w:ind w:left="2381" w:right="1806" w:hanging="794"/>
        <w:jc w:val="left"/>
        <w:rPr>
          <w:sz w:val="21"/>
        </w:rPr>
      </w:pPr>
      <w:r>
        <w:rPr>
          <w:w w:val="105"/>
          <w:sz w:val="21"/>
        </w:rPr>
        <w:t>In </w:t>
      </w:r>
      <w:r>
        <w:rPr>
          <w:spacing w:val="-5"/>
          <w:w w:val="105"/>
          <w:sz w:val="21"/>
        </w:rPr>
        <w:t>Tasmania, </w:t>
      </w:r>
      <w:r>
        <w:rPr>
          <w:w w:val="105"/>
          <w:sz w:val="21"/>
        </w:rPr>
        <w:t>local </w:t>
      </w:r>
      <w:r>
        <w:rPr>
          <w:spacing w:val="-3"/>
          <w:w w:val="105"/>
          <w:sz w:val="21"/>
        </w:rPr>
        <w:t>councils </w:t>
      </w:r>
      <w:r>
        <w:rPr>
          <w:w w:val="105"/>
          <w:sz w:val="21"/>
        </w:rPr>
        <w:t>must be </w:t>
      </w:r>
      <w:r>
        <w:rPr>
          <w:spacing w:val="-3"/>
          <w:w w:val="105"/>
          <w:sz w:val="21"/>
        </w:rPr>
        <w:t>informed </w:t>
      </w:r>
      <w:r>
        <w:rPr>
          <w:w w:val="105"/>
          <w:sz w:val="21"/>
        </w:rPr>
        <w:t>of </w:t>
      </w:r>
      <w:r>
        <w:rPr>
          <w:spacing w:val="-3"/>
          <w:w w:val="105"/>
          <w:sz w:val="21"/>
        </w:rPr>
        <w:t>any </w:t>
      </w:r>
      <w:r>
        <w:rPr>
          <w:w w:val="105"/>
          <w:sz w:val="21"/>
        </w:rPr>
        <w:t>orders made by </w:t>
      </w:r>
      <w:r>
        <w:rPr>
          <w:spacing w:val="-6"/>
          <w:w w:val="105"/>
          <w:sz w:val="21"/>
        </w:rPr>
        <w:t>RMPAT </w:t>
      </w:r>
      <w:r>
        <w:rPr>
          <w:spacing w:val="-3"/>
          <w:w w:val="105"/>
          <w:sz w:val="21"/>
        </w:rPr>
        <w:t>pursuant to </w:t>
      </w:r>
      <w:r>
        <w:rPr>
          <w:w w:val="105"/>
          <w:sz w:val="21"/>
        </w:rPr>
        <w:t>the </w:t>
      </w:r>
      <w:r>
        <w:rPr>
          <w:spacing w:val="-4"/>
          <w:w w:val="105"/>
          <w:sz w:val="21"/>
        </w:rPr>
        <w:t>Tasmanian </w:t>
      </w:r>
      <w:r>
        <w:rPr>
          <w:w w:val="105"/>
          <w:sz w:val="21"/>
        </w:rPr>
        <w:t>Act.</w:t>
      </w:r>
      <w:r>
        <w:rPr>
          <w:w w:val="105"/>
          <w:position w:val="7"/>
          <w:sz w:val="12"/>
        </w:rPr>
        <w:t>34 </w:t>
      </w:r>
      <w:r>
        <w:rPr>
          <w:spacing w:val="-3"/>
          <w:w w:val="105"/>
          <w:sz w:val="21"/>
        </w:rPr>
        <w:t>Information </w:t>
      </w:r>
      <w:r>
        <w:rPr>
          <w:w w:val="105"/>
          <w:sz w:val="21"/>
        </w:rPr>
        <w:t>certificates provided by local </w:t>
      </w:r>
      <w:r>
        <w:rPr>
          <w:spacing w:val="-3"/>
          <w:w w:val="105"/>
          <w:sz w:val="21"/>
        </w:rPr>
        <w:t>councils to </w:t>
      </w:r>
      <w:r>
        <w:rPr>
          <w:w w:val="105"/>
          <w:sz w:val="21"/>
        </w:rPr>
        <w:t>prospective </w:t>
      </w:r>
      <w:r>
        <w:rPr>
          <w:spacing w:val="-3"/>
          <w:w w:val="105"/>
          <w:sz w:val="21"/>
        </w:rPr>
        <w:t>purchasers </w:t>
      </w:r>
      <w:r>
        <w:rPr>
          <w:w w:val="105"/>
          <w:sz w:val="21"/>
        </w:rPr>
        <w:t>under section </w:t>
      </w:r>
      <w:r>
        <w:rPr>
          <w:spacing w:val="-5"/>
          <w:w w:val="105"/>
          <w:sz w:val="21"/>
        </w:rPr>
        <w:t>337 </w:t>
      </w:r>
      <w:r>
        <w:rPr>
          <w:w w:val="105"/>
          <w:sz w:val="21"/>
        </w:rPr>
        <w:t>of the </w:t>
      </w:r>
      <w:r>
        <w:rPr>
          <w:i/>
          <w:w w:val="105"/>
          <w:sz w:val="21"/>
        </w:rPr>
        <w:t>Local </w:t>
      </w:r>
      <w:r>
        <w:rPr>
          <w:i/>
          <w:spacing w:val="-3"/>
          <w:w w:val="105"/>
          <w:sz w:val="21"/>
        </w:rPr>
        <w:t>Government </w:t>
      </w:r>
      <w:r>
        <w:rPr>
          <w:i/>
          <w:w w:val="105"/>
          <w:sz w:val="21"/>
        </w:rPr>
        <w:t>Act </w:t>
      </w:r>
      <w:r>
        <w:rPr>
          <w:i/>
          <w:spacing w:val="-6"/>
          <w:w w:val="105"/>
          <w:sz w:val="21"/>
        </w:rPr>
        <w:t>1993 </w:t>
      </w:r>
      <w:r>
        <w:rPr>
          <w:spacing w:val="-3"/>
          <w:w w:val="105"/>
          <w:sz w:val="21"/>
        </w:rPr>
        <w:t>(Tas) </w:t>
      </w:r>
      <w:r>
        <w:rPr>
          <w:w w:val="105"/>
          <w:sz w:val="21"/>
        </w:rPr>
        <w:t>provide details about </w:t>
      </w:r>
      <w:r>
        <w:rPr>
          <w:spacing w:val="-3"/>
          <w:w w:val="105"/>
          <w:sz w:val="21"/>
        </w:rPr>
        <w:t>any </w:t>
      </w:r>
      <w:r>
        <w:rPr>
          <w:w w:val="105"/>
          <w:sz w:val="21"/>
        </w:rPr>
        <w:t>orders </w:t>
      </w:r>
      <w:r>
        <w:rPr>
          <w:spacing w:val="-3"/>
          <w:w w:val="105"/>
          <w:sz w:val="21"/>
        </w:rPr>
        <w:t>made.</w:t>
      </w:r>
      <w:r>
        <w:rPr>
          <w:spacing w:val="-3"/>
          <w:w w:val="105"/>
          <w:position w:val="7"/>
          <w:sz w:val="12"/>
        </w:rPr>
        <w:t>35 </w:t>
      </w:r>
      <w:r>
        <w:rPr>
          <w:w w:val="105"/>
          <w:sz w:val="21"/>
        </w:rPr>
        <w:t>As explained in the Second </w:t>
      </w:r>
      <w:r>
        <w:rPr>
          <w:spacing w:val="-3"/>
          <w:w w:val="105"/>
          <w:sz w:val="21"/>
        </w:rPr>
        <w:t>Reading </w:t>
      </w:r>
      <w:r>
        <w:rPr>
          <w:w w:val="105"/>
          <w:sz w:val="21"/>
        </w:rPr>
        <w:t>Speech </w:t>
      </w:r>
      <w:r>
        <w:rPr>
          <w:spacing w:val="-3"/>
          <w:w w:val="105"/>
          <w:sz w:val="21"/>
        </w:rPr>
        <w:t>to </w:t>
      </w:r>
      <w:r>
        <w:rPr>
          <w:w w:val="105"/>
          <w:sz w:val="21"/>
        </w:rPr>
        <w:t>the </w:t>
      </w:r>
      <w:r>
        <w:rPr>
          <w:spacing w:val="-4"/>
          <w:w w:val="105"/>
          <w:sz w:val="21"/>
        </w:rPr>
        <w:t>Tasmanian </w:t>
      </w:r>
      <w:r>
        <w:rPr>
          <w:w w:val="105"/>
          <w:sz w:val="21"/>
        </w:rPr>
        <w:t>Act:</w:t>
      </w:r>
    </w:p>
    <w:p>
      <w:pPr>
        <w:spacing w:line="254" w:lineRule="auto" w:before="135"/>
        <w:ind w:left="2834" w:right="1750" w:firstLine="0"/>
        <w:jc w:val="left"/>
        <w:rPr>
          <w:sz w:val="11"/>
        </w:rPr>
      </w:pPr>
      <w:r>
        <w:rPr>
          <w:sz w:val="20"/>
        </w:rPr>
        <w:t>These provisions will </w:t>
      </w:r>
      <w:r>
        <w:rPr>
          <w:spacing w:val="-3"/>
          <w:sz w:val="20"/>
        </w:rPr>
        <w:t>ensure </w:t>
      </w:r>
      <w:r>
        <w:rPr>
          <w:sz w:val="20"/>
        </w:rPr>
        <w:t>that prospective purchasers of land on which problem plants are </w:t>
      </w:r>
      <w:r>
        <w:rPr>
          <w:spacing w:val="-3"/>
          <w:sz w:val="20"/>
        </w:rPr>
        <w:t>situated </w:t>
      </w:r>
      <w:r>
        <w:rPr>
          <w:sz w:val="20"/>
        </w:rPr>
        <w:t>are aware that matters </w:t>
      </w:r>
      <w:r>
        <w:rPr>
          <w:spacing w:val="-3"/>
          <w:sz w:val="20"/>
        </w:rPr>
        <w:t>relating </w:t>
      </w:r>
      <w:r>
        <w:rPr>
          <w:sz w:val="20"/>
        </w:rPr>
        <w:t>to plants may need to be dealt with in the </w:t>
      </w:r>
      <w:r>
        <w:rPr>
          <w:spacing w:val="-3"/>
          <w:sz w:val="20"/>
        </w:rPr>
        <w:t>future. </w:t>
      </w:r>
      <w:r>
        <w:rPr>
          <w:sz w:val="20"/>
        </w:rPr>
        <w:t>This will also </w:t>
      </w:r>
      <w:r>
        <w:rPr>
          <w:spacing w:val="-3"/>
          <w:sz w:val="20"/>
        </w:rPr>
        <w:t>ensure </w:t>
      </w:r>
      <w:r>
        <w:rPr>
          <w:sz w:val="20"/>
        </w:rPr>
        <w:t>that landholders who are  affected  by  a  plant  will  not,  in most cases, be </w:t>
      </w:r>
      <w:r>
        <w:rPr>
          <w:spacing w:val="-2"/>
          <w:sz w:val="20"/>
        </w:rPr>
        <w:t>required </w:t>
      </w:r>
      <w:r>
        <w:rPr>
          <w:sz w:val="20"/>
        </w:rPr>
        <w:t>to seek fresh orders if the owner of the plant </w:t>
      </w:r>
      <w:r>
        <w:rPr>
          <w:spacing w:val="-3"/>
          <w:sz w:val="20"/>
        </w:rPr>
        <w:t>fails  </w:t>
      </w:r>
      <w:r>
        <w:rPr>
          <w:sz w:val="20"/>
        </w:rPr>
        <w:t>to fulfil his or  her</w:t>
      </w:r>
      <w:r>
        <w:rPr>
          <w:spacing w:val="9"/>
          <w:sz w:val="20"/>
        </w:rPr>
        <w:t> </w:t>
      </w:r>
      <w:r>
        <w:rPr>
          <w:sz w:val="20"/>
        </w:rPr>
        <w:t>obligations</w:t>
      </w:r>
      <w:r>
        <w:rPr>
          <w:spacing w:val="9"/>
          <w:sz w:val="20"/>
        </w:rPr>
        <w:t> </w:t>
      </w:r>
      <w:r>
        <w:rPr>
          <w:sz w:val="20"/>
        </w:rPr>
        <w:t>under</w:t>
      </w:r>
      <w:r>
        <w:rPr>
          <w:spacing w:val="10"/>
          <w:sz w:val="20"/>
        </w:rPr>
        <w:t> </w:t>
      </w:r>
      <w:r>
        <w:rPr>
          <w:sz w:val="20"/>
        </w:rPr>
        <w:t>the</w:t>
      </w:r>
      <w:r>
        <w:rPr>
          <w:spacing w:val="9"/>
          <w:sz w:val="20"/>
        </w:rPr>
        <w:t> </w:t>
      </w:r>
      <w:r>
        <w:rPr>
          <w:sz w:val="20"/>
        </w:rPr>
        <w:t>order</w:t>
      </w:r>
      <w:r>
        <w:rPr>
          <w:spacing w:val="9"/>
          <w:sz w:val="20"/>
        </w:rPr>
        <w:t> </w:t>
      </w:r>
      <w:r>
        <w:rPr>
          <w:sz w:val="20"/>
        </w:rPr>
        <w:t>before</w:t>
      </w:r>
      <w:r>
        <w:rPr>
          <w:spacing w:val="10"/>
          <w:sz w:val="20"/>
        </w:rPr>
        <w:t> </w:t>
      </w:r>
      <w:r>
        <w:rPr>
          <w:sz w:val="20"/>
        </w:rPr>
        <w:t>selling</w:t>
      </w:r>
      <w:r>
        <w:rPr>
          <w:spacing w:val="9"/>
          <w:sz w:val="20"/>
        </w:rPr>
        <w:t> </w:t>
      </w:r>
      <w:r>
        <w:rPr>
          <w:sz w:val="20"/>
        </w:rPr>
        <w:t>the</w:t>
      </w:r>
      <w:r>
        <w:rPr>
          <w:spacing w:val="9"/>
          <w:sz w:val="20"/>
        </w:rPr>
        <w:t> </w:t>
      </w:r>
      <w:r>
        <w:rPr>
          <w:sz w:val="20"/>
        </w:rPr>
        <w:t>property.</w:t>
      </w:r>
      <w:r>
        <w:rPr>
          <w:position w:val="7"/>
          <w:sz w:val="11"/>
        </w:rPr>
        <w:t>36</w:t>
      </w:r>
    </w:p>
    <w:p>
      <w:pPr>
        <w:pStyle w:val="BodyText"/>
        <w:spacing w:before="9"/>
        <w:rPr>
          <w:sz w:val="19"/>
        </w:rPr>
      </w:pPr>
    </w:p>
    <w:p>
      <w:pPr>
        <w:pStyle w:val="Heading5"/>
        <w:spacing w:before="1"/>
      </w:pPr>
      <w:r>
        <w:rPr>
          <w:w w:val="110"/>
        </w:rPr>
        <w:t>Failure to provide notice</w:t>
      </w:r>
    </w:p>
    <w:p>
      <w:pPr>
        <w:pStyle w:val="ListParagraph"/>
        <w:numPr>
          <w:ilvl w:val="1"/>
          <w:numId w:val="16"/>
        </w:numPr>
        <w:tabs>
          <w:tab w:pos="2381" w:val="left" w:leader="none"/>
          <w:tab w:pos="2382" w:val="left" w:leader="none"/>
        </w:tabs>
        <w:spacing w:line="242" w:lineRule="auto" w:before="137" w:after="0"/>
        <w:ind w:left="2381" w:right="1660" w:hanging="794"/>
        <w:jc w:val="left"/>
        <w:rPr>
          <w:sz w:val="21"/>
        </w:rPr>
      </w:pPr>
      <w:r>
        <w:rPr>
          <w:spacing w:val="-4"/>
          <w:w w:val="105"/>
          <w:sz w:val="21"/>
        </w:rPr>
        <w:t>Failure</w:t>
      </w:r>
      <w:r>
        <w:rPr>
          <w:spacing w:val="-10"/>
          <w:w w:val="105"/>
          <w:sz w:val="21"/>
        </w:rPr>
        <w:t> </w:t>
      </w:r>
      <w:r>
        <w:rPr>
          <w:spacing w:val="-3"/>
          <w:w w:val="105"/>
          <w:sz w:val="21"/>
        </w:rPr>
        <w:t>to</w:t>
      </w:r>
      <w:r>
        <w:rPr>
          <w:spacing w:val="-9"/>
          <w:w w:val="105"/>
          <w:sz w:val="21"/>
        </w:rPr>
        <w:t> </w:t>
      </w:r>
      <w:r>
        <w:rPr>
          <w:w w:val="105"/>
          <w:sz w:val="21"/>
        </w:rPr>
        <w:t>provide</w:t>
      </w:r>
      <w:r>
        <w:rPr>
          <w:spacing w:val="-9"/>
          <w:w w:val="105"/>
          <w:sz w:val="21"/>
        </w:rPr>
        <w:t> </w:t>
      </w:r>
      <w:r>
        <w:rPr>
          <w:w w:val="105"/>
          <w:sz w:val="21"/>
        </w:rPr>
        <w:t>copies</w:t>
      </w:r>
      <w:r>
        <w:rPr>
          <w:spacing w:val="-9"/>
          <w:w w:val="105"/>
          <w:sz w:val="21"/>
        </w:rPr>
        <w:t> </w:t>
      </w:r>
      <w:r>
        <w:rPr>
          <w:w w:val="105"/>
          <w:sz w:val="21"/>
        </w:rPr>
        <w:t>of</w:t>
      </w:r>
      <w:r>
        <w:rPr>
          <w:spacing w:val="-9"/>
          <w:w w:val="105"/>
          <w:sz w:val="21"/>
        </w:rPr>
        <w:t> </w:t>
      </w:r>
      <w:r>
        <w:rPr>
          <w:w w:val="105"/>
          <w:sz w:val="21"/>
        </w:rPr>
        <w:t>the</w:t>
      </w:r>
      <w:r>
        <w:rPr>
          <w:spacing w:val="-10"/>
          <w:w w:val="105"/>
          <w:sz w:val="21"/>
        </w:rPr>
        <w:t> </w:t>
      </w:r>
      <w:r>
        <w:rPr>
          <w:w w:val="105"/>
          <w:sz w:val="21"/>
        </w:rPr>
        <w:t>application</w:t>
      </w:r>
      <w:r>
        <w:rPr>
          <w:spacing w:val="-9"/>
          <w:w w:val="105"/>
          <w:sz w:val="21"/>
        </w:rPr>
        <w:t> </w:t>
      </w:r>
      <w:r>
        <w:rPr>
          <w:w w:val="105"/>
          <w:sz w:val="21"/>
        </w:rPr>
        <w:t>or</w:t>
      </w:r>
      <w:r>
        <w:rPr>
          <w:spacing w:val="-9"/>
          <w:w w:val="105"/>
          <w:sz w:val="21"/>
        </w:rPr>
        <w:t> </w:t>
      </w:r>
      <w:r>
        <w:rPr>
          <w:w w:val="105"/>
          <w:sz w:val="21"/>
        </w:rPr>
        <w:t>orders</w:t>
      </w:r>
      <w:r>
        <w:rPr>
          <w:spacing w:val="-9"/>
          <w:w w:val="105"/>
          <w:sz w:val="21"/>
        </w:rPr>
        <w:t> </w:t>
      </w:r>
      <w:r>
        <w:rPr>
          <w:spacing w:val="-3"/>
          <w:w w:val="105"/>
          <w:sz w:val="21"/>
        </w:rPr>
        <w:t>to</w:t>
      </w:r>
      <w:r>
        <w:rPr>
          <w:spacing w:val="-10"/>
          <w:w w:val="105"/>
          <w:sz w:val="21"/>
        </w:rPr>
        <w:t> </w:t>
      </w:r>
      <w:r>
        <w:rPr>
          <w:w w:val="105"/>
          <w:sz w:val="21"/>
        </w:rPr>
        <w:t>a</w:t>
      </w:r>
      <w:r>
        <w:rPr>
          <w:spacing w:val="-9"/>
          <w:w w:val="105"/>
          <w:sz w:val="21"/>
        </w:rPr>
        <w:t> </w:t>
      </w:r>
      <w:r>
        <w:rPr>
          <w:spacing w:val="-3"/>
          <w:w w:val="105"/>
          <w:sz w:val="21"/>
        </w:rPr>
        <w:t>purchaser</w:t>
      </w:r>
      <w:r>
        <w:rPr>
          <w:spacing w:val="-9"/>
          <w:w w:val="105"/>
          <w:sz w:val="21"/>
        </w:rPr>
        <w:t> </w:t>
      </w:r>
      <w:r>
        <w:rPr>
          <w:spacing w:val="-3"/>
          <w:w w:val="105"/>
          <w:sz w:val="21"/>
        </w:rPr>
        <w:t>before</w:t>
      </w:r>
      <w:r>
        <w:rPr>
          <w:spacing w:val="-9"/>
          <w:w w:val="105"/>
          <w:sz w:val="21"/>
        </w:rPr>
        <w:t> </w:t>
      </w:r>
      <w:r>
        <w:rPr>
          <w:w w:val="105"/>
          <w:sz w:val="21"/>
        </w:rPr>
        <w:t>they</w:t>
      </w:r>
      <w:r>
        <w:rPr>
          <w:spacing w:val="-9"/>
          <w:w w:val="105"/>
          <w:sz w:val="21"/>
        </w:rPr>
        <w:t> </w:t>
      </w:r>
      <w:r>
        <w:rPr>
          <w:spacing w:val="-3"/>
          <w:w w:val="105"/>
          <w:sz w:val="21"/>
        </w:rPr>
        <w:t>enter</w:t>
      </w:r>
      <w:r>
        <w:rPr>
          <w:spacing w:val="-10"/>
          <w:w w:val="105"/>
          <w:sz w:val="21"/>
        </w:rPr>
        <w:t> </w:t>
      </w:r>
      <w:r>
        <w:rPr>
          <w:spacing w:val="-4"/>
          <w:w w:val="105"/>
          <w:sz w:val="21"/>
        </w:rPr>
        <w:t>into </w:t>
      </w:r>
      <w:r>
        <w:rPr>
          <w:w w:val="105"/>
          <w:sz w:val="21"/>
        </w:rPr>
        <w:t>a contract of sale </w:t>
      </w:r>
      <w:r>
        <w:rPr>
          <w:spacing w:val="-3"/>
          <w:w w:val="105"/>
          <w:sz w:val="21"/>
        </w:rPr>
        <w:t>will result </w:t>
      </w:r>
      <w:r>
        <w:rPr>
          <w:w w:val="105"/>
          <w:sz w:val="21"/>
        </w:rPr>
        <w:t>in a maximum penalty of 200 penalty units </w:t>
      </w:r>
      <w:r>
        <w:rPr>
          <w:spacing w:val="-4"/>
          <w:w w:val="105"/>
          <w:sz w:val="21"/>
        </w:rPr>
        <w:t>($32, </w:t>
      </w:r>
      <w:r>
        <w:rPr>
          <w:w w:val="105"/>
          <w:sz w:val="21"/>
        </w:rPr>
        <w:t>600).</w:t>
      </w:r>
      <w:r>
        <w:rPr>
          <w:w w:val="105"/>
          <w:position w:val="7"/>
          <w:sz w:val="12"/>
        </w:rPr>
        <w:t>37 </w:t>
      </w:r>
      <w:r>
        <w:rPr>
          <w:w w:val="105"/>
          <w:sz w:val="21"/>
        </w:rPr>
        <w:t>In </w:t>
      </w:r>
      <w:r>
        <w:rPr>
          <w:spacing w:val="-3"/>
          <w:w w:val="105"/>
          <w:sz w:val="21"/>
        </w:rPr>
        <w:t>addition, </w:t>
      </w:r>
      <w:r>
        <w:rPr>
          <w:w w:val="105"/>
          <w:sz w:val="21"/>
        </w:rPr>
        <w:t>the </w:t>
      </w:r>
      <w:r>
        <w:rPr>
          <w:spacing w:val="-3"/>
          <w:w w:val="105"/>
          <w:sz w:val="21"/>
        </w:rPr>
        <w:t>purchaser will have </w:t>
      </w:r>
      <w:r>
        <w:rPr>
          <w:w w:val="105"/>
          <w:sz w:val="21"/>
        </w:rPr>
        <w:t>the </w:t>
      </w:r>
      <w:r>
        <w:rPr>
          <w:spacing w:val="-3"/>
          <w:w w:val="105"/>
          <w:sz w:val="21"/>
        </w:rPr>
        <w:t>right to terminate </w:t>
      </w:r>
      <w:r>
        <w:rPr>
          <w:w w:val="105"/>
          <w:sz w:val="21"/>
        </w:rPr>
        <w:t>the contract of sale and </w:t>
      </w:r>
      <w:r>
        <w:rPr>
          <w:spacing w:val="-3"/>
          <w:w w:val="105"/>
          <w:sz w:val="21"/>
        </w:rPr>
        <w:t>recover </w:t>
      </w:r>
      <w:r>
        <w:rPr>
          <w:w w:val="105"/>
          <w:sz w:val="21"/>
        </w:rPr>
        <w:t>their deposit </w:t>
      </w:r>
      <w:r>
        <w:rPr>
          <w:spacing w:val="-3"/>
          <w:w w:val="105"/>
          <w:sz w:val="21"/>
        </w:rPr>
        <w:t>before </w:t>
      </w:r>
      <w:r>
        <w:rPr>
          <w:w w:val="105"/>
          <w:sz w:val="21"/>
        </w:rPr>
        <w:t>settlement.</w:t>
      </w:r>
      <w:r>
        <w:rPr>
          <w:w w:val="105"/>
          <w:position w:val="7"/>
          <w:sz w:val="12"/>
        </w:rPr>
        <w:t>38 </w:t>
      </w:r>
      <w:r>
        <w:rPr>
          <w:w w:val="105"/>
          <w:sz w:val="21"/>
        </w:rPr>
        <w:t>Where orders </w:t>
      </w:r>
      <w:r>
        <w:rPr>
          <w:spacing w:val="-3"/>
          <w:w w:val="105"/>
          <w:sz w:val="21"/>
        </w:rPr>
        <w:t>are </w:t>
      </w:r>
      <w:r>
        <w:rPr>
          <w:spacing w:val="-2"/>
          <w:w w:val="105"/>
          <w:sz w:val="21"/>
        </w:rPr>
        <w:t>not </w:t>
      </w:r>
      <w:r>
        <w:rPr>
          <w:w w:val="105"/>
          <w:sz w:val="21"/>
        </w:rPr>
        <w:t>provided </w:t>
      </w:r>
      <w:r>
        <w:rPr>
          <w:spacing w:val="-3"/>
          <w:w w:val="105"/>
          <w:sz w:val="21"/>
        </w:rPr>
        <w:t>before </w:t>
      </w:r>
      <w:r>
        <w:rPr>
          <w:w w:val="105"/>
          <w:sz w:val="21"/>
        </w:rPr>
        <w:t>the contract of sale is signed and those orders </w:t>
      </w:r>
      <w:r>
        <w:rPr>
          <w:spacing w:val="-3"/>
          <w:w w:val="105"/>
          <w:sz w:val="21"/>
        </w:rPr>
        <w:t>are </w:t>
      </w:r>
      <w:r>
        <w:rPr>
          <w:spacing w:val="-2"/>
          <w:w w:val="105"/>
          <w:sz w:val="21"/>
        </w:rPr>
        <w:t>not </w:t>
      </w:r>
      <w:r>
        <w:rPr>
          <w:spacing w:val="-3"/>
          <w:w w:val="105"/>
          <w:sz w:val="21"/>
        </w:rPr>
        <w:t>complied </w:t>
      </w:r>
      <w:r>
        <w:rPr>
          <w:w w:val="105"/>
          <w:sz w:val="21"/>
        </w:rPr>
        <w:t>with </w:t>
      </w:r>
      <w:r>
        <w:rPr>
          <w:spacing w:val="-3"/>
          <w:w w:val="105"/>
          <w:sz w:val="21"/>
        </w:rPr>
        <w:t>before </w:t>
      </w:r>
      <w:r>
        <w:rPr>
          <w:w w:val="105"/>
          <w:sz w:val="21"/>
        </w:rPr>
        <w:t>the </w:t>
      </w:r>
      <w:r>
        <w:rPr>
          <w:spacing w:val="-3"/>
          <w:w w:val="105"/>
          <w:sz w:val="21"/>
        </w:rPr>
        <w:t>transfer </w:t>
      </w:r>
      <w:r>
        <w:rPr>
          <w:w w:val="105"/>
          <w:sz w:val="21"/>
        </w:rPr>
        <w:t>of </w:t>
      </w:r>
      <w:r>
        <w:rPr>
          <w:spacing w:val="-3"/>
          <w:w w:val="105"/>
          <w:sz w:val="21"/>
        </w:rPr>
        <w:t>land </w:t>
      </w:r>
      <w:r>
        <w:rPr>
          <w:w w:val="105"/>
          <w:sz w:val="21"/>
        </w:rPr>
        <w:t>occurs, the</w:t>
      </w:r>
      <w:r>
        <w:rPr>
          <w:spacing w:val="-7"/>
          <w:w w:val="105"/>
          <w:sz w:val="21"/>
        </w:rPr>
        <w:t> </w:t>
      </w:r>
      <w:r>
        <w:rPr>
          <w:spacing w:val="-3"/>
          <w:w w:val="105"/>
          <w:sz w:val="21"/>
        </w:rPr>
        <w:t>original</w:t>
      </w:r>
      <w:r>
        <w:rPr>
          <w:spacing w:val="-7"/>
          <w:w w:val="105"/>
          <w:sz w:val="21"/>
        </w:rPr>
        <w:t> </w:t>
      </w:r>
      <w:r>
        <w:rPr>
          <w:w w:val="105"/>
          <w:sz w:val="21"/>
        </w:rPr>
        <w:t>owner</w:t>
      </w:r>
      <w:r>
        <w:rPr>
          <w:spacing w:val="-7"/>
          <w:w w:val="105"/>
          <w:sz w:val="21"/>
        </w:rPr>
        <w:t> </w:t>
      </w:r>
      <w:r>
        <w:rPr>
          <w:spacing w:val="-3"/>
          <w:w w:val="105"/>
          <w:sz w:val="21"/>
        </w:rPr>
        <w:t>will</w:t>
      </w:r>
      <w:r>
        <w:rPr>
          <w:spacing w:val="-7"/>
          <w:w w:val="105"/>
          <w:sz w:val="21"/>
        </w:rPr>
        <w:t> </w:t>
      </w:r>
      <w:r>
        <w:rPr>
          <w:spacing w:val="-3"/>
          <w:w w:val="105"/>
          <w:sz w:val="21"/>
        </w:rPr>
        <w:t>remain</w:t>
      </w:r>
      <w:r>
        <w:rPr>
          <w:spacing w:val="-6"/>
          <w:w w:val="105"/>
          <w:sz w:val="21"/>
        </w:rPr>
        <w:t> </w:t>
      </w:r>
      <w:r>
        <w:rPr>
          <w:spacing w:val="-3"/>
          <w:w w:val="105"/>
          <w:sz w:val="21"/>
        </w:rPr>
        <w:t>liable</w:t>
      </w:r>
      <w:r>
        <w:rPr>
          <w:spacing w:val="-7"/>
          <w:w w:val="105"/>
          <w:sz w:val="21"/>
        </w:rPr>
        <w:t> </w:t>
      </w:r>
      <w:r>
        <w:rPr>
          <w:spacing w:val="-3"/>
          <w:w w:val="105"/>
          <w:sz w:val="21"/>
        </w:rPr>
        <w:t>for</w:t>
      </w:r>
      <w:r>
        <w:rPr>
          <w:spacing w:val="-7"/>
          <w:w w:val="105"/>
          <w:sz w:val="21"/>
        </w:rPr>
        <w:t> </w:t>
      </w:r>
      <w:r>
        <w:rPr>
          <w:w w:val="105"/>
          <w:sz w:val="21"/>
        </w:rPr>
        <w:t>carrying</w:t>
      </w:r>
      <w:r>
        <w:rPr>
          <w:spacing w:val="-7"/>
          <w:w w:val="105"/>
          <w:sz w:val="21"/>
        </w:rPr>
        <w:t> </w:t>
      </w:r>
      <w:r>
        <w:rPr>
          <w:w w:val="105"/>
          <w:sz w:val="21"/>
        </w:rPr>
        <w:t>out</w:t>
      </w:r>
      <w:r>
        <w:rPr>
          <w:spacing w:val="-6"/>
          <w:w w:val="105"/>
          <w:sz w:val="21"/>
        </w:rPr>
        <w:t> </w:t>
      </w:r>
      <w:r>
        <w:rPr>
          <w:w w:val="105"/>
          <w:sz w:val="21"/>
        </w:rPr>
        <w:t>the</w:t>
      </w:r>
      <w:r>
        <w:rPr>
          <w:spacing w:val="-7"/>
          <w:w w:val="105"/>
          <w:sz w:val="21"/>
        </w:rPr>
        <w:t> </w:t>
      </w:r>
      <w:r>
        <w:rPr>
          <w:w w:val="105"/>
          <w:sz w:val="21"/>
        </w:rPr>
        <w:t>orders,</w:t>
      </w:r>
      <w:r>
        <w:rPr>
          <w:spacing w:val="-7"/>
          <w:w w:val="105"/>
          <w:sz w:val="21"/>
        </w:rPr>
        <w:t> </w:t>
      </w:r>
      <w:r>
        <w:rPr>
          <w:w w:val="105"/>
          <w:sz w:val="21"/>
        </w:rPr>
        <w:t>despite</w:t>
      </w:r>
      <w:r>
        <w:rPr>
          <w:spacing w:val="-7"/>
          <w:w w:val="105"/>
          <w:sz w:val="21"/>
        </w:rPr>
        <w:t> </w:t>
      </w:r>
      <w:r>
        <w:rPr>
          <w:w w:val="105"/>
          <w:sz w:val="21"/>
        </w:rPr>
        <w:t>the</w:t>
      </w:r>
      <w:r>
        <w:rPr>
          <w:spacing w:val="-7"/>
          <w:w w:val="105"/>
          <w:sz w:val="21"/>
        </w:rPr>
        <w:t> </w:t>
      </w:r>
      <w:r>
        <w:rPr>
          <w:w w:val="105"/>
          <w:sz w:val="21"/>
        </w:rPr>
        <w:t>fact</w:t>
      </w:r>
      <w:r>
        <w:rPr>
          <w:spacing w:val="-6"/>
          <w:w w:val="105"/>
          <w:sz w:val="21"/>
        </w:rPr>
        <w:t> </w:t>
      </w:r>
      <w:r>
        <w:rPr>
          <w:spacing w:val="-3"/>
          <w:w w:val="105"/>
          <w:sz w:val="21"/>
        </w:rPr>
        <w:t>that</w:t>
      </w:r>
      <w:r>
        <w:rPr>
          <w:spacing w:val="-7"/>
          <w:w w:val="105"/>
          <w:sz w:val="21"/>
        </w:rPr>
        <w:t> </w:t>
      </w:r>
      <w:r>
        <w:rPr>
          <w:w w:val="105"/>
          <w:sz w:val="21"/>
        </w:rPr>
        <w:t>they no longer own the property.</w:t>
      </w:r>
      <w:r>
        <w:rPr>
          <w:w w:val="105"/>
          <w:position w:val="7"/>
          <w:sz w:val="12"/>
        </w:rPr>
        <w:t>39 </w:t>
      </w:r>
      <w:r>
        <w:rPr>
          <w:w w:val="105"/>
          <w:sz w:val="21"/>
        </w:rPr>
        <w:t>The Act allows the </w:t>
      </w:r>
      <w:r>
        <w:rPr>
          <w:spacing w:val="-3"/>
          <w:w w:val="105"/>
          <w:sz w:val="21"/>
        </w:rPr>
        <w:t>original </w:t>
      </w:r>
      <w:r>
        <w:rPr>
          <w:w w:val="105"/>
          <w:sz w:val="21"/>
        </w:rPr>
        <w:t>owner </w:t>
      </w:r>
      <w:r>
        <w:rPr>
          <w:spacing w:val="-2"/>
          <w:w w:val="105"/>
          <w:sz w:val="21"/>
        </w:rPr>
        <w:t>access </w:t>
      </w:r>
      <w:r>
        <w:rPr>
          <w:spacing w:val="-3"/>
          <w:w w:val="105"/>
          <w:sz w:val="21"/>
        </w:rPr>
        <w:t>to </w:t>
      </w:r>
      <w:r>
        <w:rPr>
          <w:w w:val="105"/>
          <w:sz w:val="21"/>
        </w:rPr>
        <w:t>the </w:t>
      </w:r>
      <w:r>
        <w:rPr>
          <w:spacing w:val="-3"/>
          <w:w w:val="105"/>
          <w:sz w:val="21"/>
        </w:rPr>
        <w:t>land to </w:t>
      </w:r>
      <w:r>
        <w:rPr>
          <w:w w:val="105"/>
          <w:sz w:val="21"/>
        </w:rPr>
        <w:t>carry out this</w:t>
      </w:r>
      <w:r>
        <w:rPr>
          <w:spacing w:val="15"/>
          <w:w w:val="105"/>
          <w:sz w:val="21"/>
        </w:rPr>
        <w:t> </w:t>
      </w:r>
      <w:r>
        <w:rPr>
          <w:w w:val="105"/>
          <w:sz w:val="21"/>
        </w:rPr>
        <w:t>work.</w:t>
      </w:r>
      <w:r>
        <w:rPr>
          <w:w w:val="105"/>
          <w:position w:val="7"/>
          <w:sz w:val="12"/>
        </w:rPr>
        <w:t>40</w:t>
      </w:r>
    </w:p>
    <w:p>
      <w:pPr>
        <w:pStyle w:val="BodyText"/>
        <w:rPr>
          <w:sz w:val="20"/>
        </w:rPr>
      </w:pPr>
    </w:p>
    <w:p>
      <w:pPr>
        <w:pStyle w:val="BodyText"/>
        <w:rPr>
          <w:sz w:val="20"/>
        </w:rPr>
      </w:pPr>
    </w:p>
    <w:p>
      <w:pPr>
        <w:pStyle w:val="BodyText"/>
        <w:spacing w:before="4"/>
        <w:rPr>
          <w:sz w:val="10"/>
        </w:rPr>
      </w:pPr>
      <w:r>
        <w:rPr/>
        <w:pict>
          <v:line style="position:absolute;mso-position-horizontal-relative:page;mso-position-vertical-relative:paragraph;z-index:10808;mso-wrap-distance-left:0;mso-wrap-distance-right:0" from="79.370102pt,8.763855pt" to="515.905102pt,8.76385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91"/>
        </w:numPr>
        <w:tabs>
          <w:tab w:pos="2381" w:val="left" w:leader="none"/>
          <w:tab w:pos="2382" w:val="left" w:leader="none"/>
        </w:tabs>
        <w:spacing w:line="240" w:lineRule="auto" w:before="48" w:after="0"/>
        <w:ind w:left="2381" w:right="0" w:hanging="794"/>
        <w:jc w:val="left"/>
        <w:rPr>
          <w:sz w:val="13"/>
        </w:rPr>
      </w:pPr>
      <w:r>
        <w:rPr>
          <w:i/>
          <w:w w:val="105"/>
          <w:sz w:val="13"/>
        </w:rPr>
        <w:t>Neighbourhood Disputes About Plants Act </w:t>
      </w:r>
      <w:r>
        <w:rPr>
          <w:i/>
          <w:spacing w:val="-4"/>
          <w:w w:val="105"/>
          <w:sz w:val="13"/>
        </w:rPr>
        <w:t>2017 </w:t>
      </w:r>
      <w:r>
        <w:rPr>
          <w:w w:val="105"/>
          <w:sz w:val="13"/>
        </w:rPr>
        <w:t>(Tas) s</w:t>
      </w:r>
      <w:r>
        <w:rPr>
          <w:spacing w:val="16"/>
          <w:w w:val="105"/>
          <w:sz w:val="13"/>
        </w:rPr>
        <w:t> </w:t>
      </w:r>
      <w:r>
        <w:rPr>
          <w:spacing w:val="2"/>
          <w:w w:val="105"/>
          <w:sz w:val="13"/>
        </w:rPr>
        <w:t>16(1)(a).</w:t>
      </w:r>
    </w:p>
    <w:p>
      <w:pPr>
        <w:pStyle w:val="ListParagraph"/>
        <w:numPr>
          <w:ilvl w:val="0"/>
          <w:numId w:val="191"/>
        </w:numPr>
        <w:tabs>
          <w:tab w:pos="2381" w:val="left" w:leader="none"/>
          <w:tab w:pos="2382" w:val="left" w:leader="none"/>
        </w:tabs>
        <w:spacing w:line="240" w:lineRule="auto" w:before="1" w:after="0"/>
        <w:ind w:left="1587" w:right="2893" w:firstLine="0"/>
        <w:jc w:val="left"/>
        <w:rPr>
          <w:sz w:val="13"/>
        </w:rPr>
      </w:pPr>
      <w:r>
        <w:rPr>
          <w:w w:val="105"/>
          <w:sz w:val="13"/>
        </w:rPr>
        <w:t>Ibid s </w:t>
      </w:r>
      <w:r>
        <w:rPr>
          <w:spacing w:val="3"/>
          <w:w w:val="105"/>
          <w:sz w:val="13"/>
        </w:rPr>
        <w:t>34(2); </w:t>
      </w:r>
      <w:r>
        <w:rPr>
          <w:w w:val="105"/>
          <w:sz w:val="13"/>
        </w:rPr>
        <w:t>see, eg, </w:t>
      </w:r>
      <w:r>
        <w:rPr>
          <w:i/>
          <w:w w:val="105"/>
          <w:sz w:val="13"/>
        </w:rPr>
        <w:t>Fuller v Estate of Nelder Josephine Hunt </w:t>
      </w:r>
      <w:r>
        <w:rPr>
          <w:w w:val="105"/>
          <w:sz w:val="13"/>
        </w:rPr>
        <w:t>[2018] TASRMPAT 28 </w:t>
      </w:r>
      <w:r>
        <w:rPr>
          <w:spacing w:val="4"/>
          <w:w w:val="105"/>
          <w:sz w:val="13"/>
        </w:rPr>
        <w:t>[48].</w:t>
      </w:r>
      <w:r>
        <w:rPr>
          <w:spacing w:val="38"/>
          <w:w w:val="105"/>
          <w:sz w:val="13"/>
        </w:rPr>
        <w:t> </w:t>
      </w:r>
      <w:r>
        <w:rPr>
          <w:w w:val="105"/>
          <w:sz w:val="13"/>
        </w:rPr>
        <w:t>29</w:t>
        <w:tab/>
        <w:t>Ibid s</w:t>
      </w:r>
      <w:r>
        <w:rPr>
          <w:spacing w:val="9"/>
          <w:w w:val="105"/>
          <w:sz w:val="13"/>
        </w:rPr>
        <w:t> </w:t>
      </w:r>
      <w:r>
        <w:rPr>
          <w:spacing w:val="3"/>
          <w:w w:val="105"/>
          <w:sz w:val="13"/>
        </w:rPr>
        <w:t>34(2).</w:t>
      </w:r>
    </w:p>
    <w:p>
      <w:pPr>
        <w:tabs>
          <w:tab w:pos="2381" w:val="left" w:leader="none"/>
        </w:tabs>
        <w:spacing w:before="3"/>
        <w:ind w:left="1587" w:right="0" w:firstLine="0"/>
        <w:jc w:val="left"/>
        <w:rPr>
          <w:sz w:val="13"/>
        </w:rPr>
      </w:pPr>
      <w:r>
        <w:rPr>
          <w:w w:val="105"/>
          <w:sz w:val="13"/>
        </w:rPr>
        <w:t>30</w:t>
        <w:tab/>
        <w:t>Ibid.</w:t>
      </w:r>
    </w:p>
    <w:p>
      <w:pPr>
        <w:tabs>
          <w:tab w:pos="2381" w:val="left" w:leader="none"/>
        </w:tabs>
        <w:spacing w:before="1"/>
        <w:ind w:left="1587" w:right="0" w:firstLine="0"/>
        <w:jc w:val="left"/>
        <w:rPr>
          <w:sz w:val="13"/>
        </w:rPr>
      </w:pPr>
      <w:r>
        <w:rPr>
          <w:w w:val="105"/>
          <w:sz w:val="13"/>
        </w:rPr>
        <w:t>31</w:t>
        <w:tab/>
        <w:t>Ibid s</w:t>
      </w:r>
      <w:r>
        <w:rPr>
          <w:spacing w:val="9"/>
          <w:w w:val="105"/>
          <w:sz w:val="13"/>
        </w:rPr>
        <w:t> </w:t>
      </w:r>
      <w:r>
        <w:rPr>
          <w:spacing w:val="2"/>
          <w:w w:val="105"/>
          <w:sz w:val="13"/>
        </w:rPr>
        <w:t>16(2).</w:t>
      </w:r>
    </w:p>
    <w:p>
      <w:pPr>
        <w:pStyle w:val="ListParagraph"/>
        <w:numPr>
          <w:ilvl w:val="0"/>
          <w:numId w:val="192"/>
        </w:numPr>
        <w:tabs>
          <w:tab w:pos="2381" w:val="left" w:leader="none"/>
          <w:tab w:pos="2382" w:val="left" w:leader="none"/>
        </w:tabs>
        <w:spacing w:line="240" w:lineRule="auto" w:before="2" w:after="0"/>
        <w:ind w:left="2381" w:right="297" w:hanging="794"/>
        <w:jc w:val="left"/>
        <w:rPr>
          <w:sz w:val="13"/>
        </w:rPr>
      </w:pPr>
      <w:r>
        <w:rPr>
          <w:w w:val="105"/>
          <w:sz w:val="13"/>
        </w:rPr>
        <w:t>See Department of Justice (Tas), </w:t>
      </w:r>
      <w:r>
        <w:rPr>
          <w:i/>
          <w:w w:val="105"/>
          <w:sz w:val="13"/>
        </w:rPr>
        <w:t>Neighbourhood Disputes About Plants </w:t>
      </w:r>
      <w:r>
        <w:rPr>
          <w:w w:val="105"/>
          <w:sz w:val="13"/>
        </w:rPr>
        <w:t>(Web Page) </w:t>
      </w:r>
      <w:r>
        <w:rPr>
          <w:spacing w:val="2"/>
          <w:w w:val="105"/>
          <w:sz w:val="13"/>
        </w:rPr>
        <w:t>&lt;https://</w:t>
      </w:r>
      <w:hyperlink r:id="rId308">
        <w:r>
          <w:rPr>
            <w:spacing w:val="2"/>
            <w:w w:val="105"/>
            <w:sz w:val="13"/>
          </w:rPr>
          <w:t>www.justice.tas.gov.au/mediation_and_</w:t>
        </w:r>
      </w:hyperlink>
      <w:r>
        <w:rPr>
          <w:spacing w:val="2"/>
          <w:w w:val="105"/>
          <w:sz w:val="13"/>
        </w:rPr>
        <w:t> </w:t>
      </w:r>
      <w:r>
        <w:rPr>
          <w:w w:val="105"/>
          <w:sz w:val="13"/>
        </w:rPr>
        <w:t>dispute_resolution/neighbourhood-disputes-about-plants&gt;.</w:t>
      </w:r>
    </w:p>
    <w:p>
      <w:pPr>
        <w:pStyle w:val="ListParagraph"/>
        <w:numPr>
          <w:ilvl w:val="0"/>
          <w:numId w:val="192"/>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192"/>
        </w:numPr>
        <w:tabs>
          <w:tab w:pos="2381" w:val="left" w:leader="none"/>
          <w:tab w:pos="2382" w:val="left" w:leader="none"/>
        </w:tabs>
        <w:spacing w:line="240" w:lineRule="auto" w:before="2" w:after="0"/>
        <w:ind w:left="2381" w:right="0" w:hanging="794"/>
        <w:jc w:val="left"/>
        <w:rPr>
          <w:sz w:val="13"/>
        </w:rPr>
      </w:pPr>
      <w:r>
        <w:rPr>
          <w:i/>
          <w:w w:val="105"/>
          <w:sz w:val="13"/>
        </w:rPr>
        <w:t>Neighbourhood Disputes About Plants Act </w:t>
      </w:r>
      <w:r>
        <w:rPr>
          <w:i/>
          <w:spacing w:val="-4"/>
          <w:w w:val="105"/>
          <w:sz w:val="13"/>
        </w:rPr>
        <w:t>2017 </w:t>
      </w:r>
      <w:r>
        <w:rPr>
          <w:w w:val="105"/>
          <w:sz w:val="13"/>
        </w:rPr>
        <w:t>(Tas) s</w:t>
      </w:r>
      <w:r>
        <w:rPr>
          <w:spacing w:val="16"/>
          <w:w w:val="105"/>
          <w:sz w:val="13"/>
        </w:rPr>
        <w:t> </w:t>
      </w:r>
      <w:r>
        <w:rPr>
          <w:spacing w:val="4"/>
          <w:w w:val="105"/>
          <w:sz w:val="13"/>
        </w:rPr>
        <w:t>34(3)(a).</w:t>
      </w:r>
    </w:p>
    <w:p>
      <w:pPr>
        <w:pStyle w:val="ListParagraph"/>
        <w:numPr>
          <w:ilvl w:val="0"/>
          <w:numId w:val="192"/>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4"/>
          <w:w w:val="105"/>
          <w:sz w:val="13"/>
        </w:rPr>
        <w:t> </w:t>
      </w:r>
      <w:r>
        <w:rPr>
          <w:w w:val="105"/>
          <w:sz w:val="13"/>
        </w:rPr>
        <w:t>further</w:t>
      </w:r>
      <w:r>
        <w:rPr>
          <w:spacing w:val="5"/>
          <w:w w:val="105"/>
          <w:sz w:val="13"/>
        </w:rPr>
        <w:t> </w:t>
      </w:r>
      <w:r>
        <w:rPr>
          <w:i/>
          <w:w w:val="105"/>
          <w:sz w:val="13"/>
        </w:rPr>
        <w:t>Local</w:t>
      </w:r>
      <w:r>
        <w:rPr>
          <w:i/>
          <w:spacing w:val="5"/>
          <w:w w:val="105"/>
          <w:sz w:val="13"/>
        </w:rPr>
        <w:t> </w:t>
      </w:r>
      <w:r>
        <w:rPr>
          <w:i/>
          <w:w w:val="105"/>
          <w:sz w:val="13"/>
        </w:rPr>
        <w:t>Government</w:t>
      </w:r>
      <w:r>
        <w:rPr>
          <w:i/>
          <w:spacing w:val="5"/>
          <w:w w:val="105"/>
          <w:sz w:val="13"/>
        </w:rPr>
        <w:t> </w:t>
      </w:r>
      <w:r>
        <w:rPr>
          <w:i/>
          <w:spacing w:val="2"/>
          <w:w w:val="105"/>
          <w:sz w:val="13"/>
        </w:rPr>
        <w:t>(General)</w:t>
      </w:r>
      <w:r>
        <w:rPr>
          <w:i/>
          <w:spacing w:val="5"/>
          <w:w w:val="105"/>
          <w:sz w:val="13"/>
        </w:rPr>
        <w:t> </w:t>
      </w:r>
      <w:r>
        <w:rPr>
          <w:i/>
          <w:w w:val="105"/>
          <w:sz w:val="13"/>
        </w:rPr>
        <w:t>Regulations</w:t>
      </w:r>
      <w:r>
        <w:rPr>
          <w:i/>
          <w:spacing w:val="5"/>
          <w:w w:val="105"/>
          <w:sz w:val="13"/>
        </w:rPr>
        <w:t> </w:t>
      </w:r>
      <w:r>
        <w:rPr>
          <w:i/>
          <w:spacing w:val="-3"/>
          <w:w w:val="105"/>
          <w:sz w:val="13"/>
        </w:rPr>
        <w:t>2015</w:t>
      </w:r>
      <w:r>
        <w:rPr>
          <w:i/>
          <w:spacing w:val="5"/>
          <w:w w:val="105"/>
          <w:sz w:val="13"/>
        </w:rPr>
        <w:t> </w:t>
      </w:r>
      <w:r>
        <w:rPr>
          <w:w w:val="105"/>
          <w:sz w:val="13"/>
        </w:rPr>
        <w:t>(Tas)</w:t>
      </w:r>
      <w:r>
        <w:rPr>
          <w:spacing w:val="5"/>
          <w:w w:val="105"/>
          <w:sz w:val="13"/>
        </w:rPr>
        <w:t> </w:t>
      </w:r>
      <w:r>
        <w:rPr>
          <w:w w:val="105"/>
          <w:sz w:val="13"/>
        </w:rPr>
        <w:t>r</w:t>
      </w:r>
      <w:r>
        <w:rPr>
          <w:spacing w:val="5"/>
          <w:w w:val="105"/>
          <w:sz w:val="13"/>
        </w:rPr>
        <w:t> </w:t>
      </w:r>
      <w:r>
        <w:rPr>
          <w:w w:val="105"/>
          <w:sz w:val="13"/>
        </w:rPr>
        <w:t>45,</w:t>
      </w:r>
      <w:r>
        <w:rPr>
          <w:spacing w:val="5"/>
          <w:w w:val="105"/>
          <w:sz w:val="13"/>
        </w:rPr>
        <w:t> </w:t>
      </w:r>
      <w:r>
        <w:rPr>
          <w:w w:val="105"/>
          <w:sz w:val="13"/>
        </w:rPr>
        <w:t>sch</w:t>
      </w:r>
      <w:r>
        <w:rPr>
          <w:spacing w:val="4"/>
          <w:w w:val="105"/>
          <w:sz w:val="13"/>
        </w:rPr>
        <w:t> </w:t>
      </w:r>
      <w:r>
        <w:rPr>
          <w:w w:val="105"/>
          <w:sz w:val="13"/>
        </w:rPr>
        <w:t>6,</w:t>
      </w:r>
      <w:r>
        <w:rPr>
          <w:spacing w:val="5"/>
          <w:w w:val="105"/>
          <w:sz w:val="13"/>
        </w:rPr>
        <w:t> </w:t>
      </w:r>
      <w:r>
        <w:rPr>
          <w:w w:val="105"/>
          <w:sz w:val="13"/>
        </w:rPr>
        <w:t>No</w:t>
      </w:r>
      <w:r>
        <w:rPr>
          <w:spacing w:val="5"/>
          <w:w w:val="105"/>
          <w:sz w:val="13"/>
        </w:rPr>
        <w:t> </w:t>
      </w:r>
      <w:r>
        <w:rPr>
          <w:spacing w:val="-3"/>
          <w:w w:val="105"/>
          <w:sz w:val="13"/>
        </w:rPr>
        <w:t>11A.</w:t>
      </w:r>
    </w:p>
    <w:p>
      <w:pPr>
        <w:pStyle w:val="ListParagraph"/>
        <w:numPr>
          <w:ilvl w:val="0"/>
          <w:numId w:val="192"/>
        </w:numPr>
        <w:tabs>
          <w:tab w:pos="2381" w:val="left" w:leader="none"/>
          <w:tab w:pos="2382" w:val="left" w:leader="none"/>
        </w:tabs>
        <w:spacing w:line="240" w:lineRule="auto" w:before="1" w:after="0"/>
        <w:ind w:left="2381" w:right="0" w:hanging="794"/>
        <w:jc w:val="left"/>
        <w:rPr>
          <w:sz w:val="13"/>
        </w:rPr>
      </w:pPr>
      <w:r>
        <w:rPr>
          <w:w w:val="105"/>
          <w:sz w:val="13"/>
        </w:rPr>
        <w:t>Tasmania, </w:t>
      </w:r>
      <w:r>
        <w:rPr>
          <w:i/>
          <w:w w:val="105"/>
          <w:sz w:val="13"/>
        </w:rPr>
        <w:t>Parliamentary Debates, House of Assembly, </w:t>
      </w:r>
      <w:r>
        <w:rPr>
          <w:w w:val="105"/>
          <w:sz w:val="13"/>
        </w:rPr>
        <w:t>4 April </w:t>
      </w:r>
      <w:r>
        <w:rPr>
          <w:spacing w:val="-5"/>
          <w:w w:val="105"/>
          <w:sz w:val="13"/>
        </w:rPr>
        <w:t>2017, </w:t>
      </w:r>
      <w:r>
        <w:rPr>
          <w:w w:val="105"/>
          <w:sz w:val="13"/>
        </w:rPr>
        <w:t>8 </w:t>
      </w:r>
      <w:r>
        <w:rPr>
          <w:spacing w:val="2"/>
          <w:w w:val="105"/>
          <w:sz w:val="13"/>
        </w:rPr>
        <w:t>(Rene</w:t>
      </w:r>
      <w:r>
        <w:rPr>
          <w:spacing w:val="33"/>
          <w:w w:val="105"/>
          <w:sz w:val="13"/>
        </w:rPr>
        <w:t> </w:t>
      </w:r>
      <w:r>
        <w:rPr>
          <w:w w:val="105"/>
          <w:sz w:val="13"/>
        </w:rPr>
        <w:t>Hidding).</w:t>
      </w:r>
    </w:p>
    <w:p>
      <w:pPr>
        <w:pStyle w:val="ListParagraph"/>
        <w:numPr>
          <w:ilvl w:val="0"/>
          <w:numId w:val="192"/>
        </w:numPr>
        <w:tabs>
          <w:tab w:pos="2381" w:val="left" w:leader="none"/>
          <w:tab w:pos="2382" w:val="left" w:leader="none"/>
        </w:tabs>
        <w:spacing w:line="240" w:lineRule="auto" w:before="2" w:after="0"/>
        <w:ind w:left="2381" w:right="0" w:hanging="794"/>
        <w:jc w:val="left"/>
        <w:rPr>
          <w:sz w:val="13"/>
        </w:rPr>
      </w:pPr>
      <w:r>
        <w:rPr>
          <w:i/>
          <w:sz w:val="13"/>
        </w:rPr>
        <w:t>Neighbourhood Disputes About Plants Act </w:t>
      </w:r>
      <w:r>
        <w:rPr>
          <w:i/>
          <w:spacing w:val="-4"/>
          <w:sz w:val="13"/>
        </w:rPr>
        <w:t>2017 </w:t>
      </w:r>
      <w:r>
        <w:rPr>
          <w:sz w:val="13"/>
        </w:rPr>
        <w:t>(Tas) s 16(1). The penalty unit value in  Tasmania  is  currently  $163  (from  1  July  2018): Department of Justice (Tas), </w:t>
      </w:r>
      <w:r>
        <w:rPr>
          <w:i/>
          <w:sz w:val="13"/>
        </w:rPr>
        <w:t>Value of Indexed Amounts in Legislation </w:t>
      </w:r>
      <w:r>
        <w:rPr>
          <w:sz w:val="13"/>
        </w:rPr>
        <w:t>(Web Page) </w:t>
      </w:r>
      <w:r>
        <w:rPr>
          <w:spacing w:val="2"/>
          <w:sz w:val="13"/>
        </w:rPr>
        <w:t>&lt;https://</w:t>
      </w:r>
      <w:hyperlink r:id="rId309">
        <w:r>
          <w:rPr>
            <w:spacing w:val="2"/>
            <w:sz w:val="13"/>
          </w:rPr>
          <w:t>www.justice.tas.gov.au/about/legislation/value_</w:t>
        </w:r>
      </w:hyperlink>
      <w:r>
        <w:rPr>
          <w:spacing w:val="2"/>
          <w:sz w:val="13"/>
        </w:rPr>
        <w:t> </w:t>
      </w:r>
      <w:r>
        <w:rPr>
          <w:sz w:val="13"/>
        </w:rPr>
        <w:t>of_indexed_units_in_legislation&gt;.</w:t>
      </w:r>
    </w:p>
    <w:p>
      <w:pPr>
        <w:pStyle w:val="ListParagraph"/>
        <w:numPr>
          <w:ilvl w:val="0"/>
          <w:numId w:val="192"/>
        </w:numPr>
        <w:tabs>
          <w:tab w:pos="2381" w:val="left" w:leader="none"/>
          <w:tab w:pos="2382" w:val="left" w:leader="none"/>
        </w:tabs>
        <w:spacing w:line="240" w:lineRule="auto" w:before="4" w:after="0"/>
        <w:ind w:left="2381" w:right="0" w:hanging="794"/>
        <w:jc w:val="left"/>
        <w:rPr>
          <w:sz w:val="13"/>
        </w:rPr>
      </w:pPr>
      <w:r>
        <w:rPr>
          <w:i/>
          <w:w w:val="105"/>
          <w:sz w:val="13"/>
        </w:rPr>
        <w:t>Neighbourhood Disputes About Plants Act </w:t>
      </w:r>
      <w:r>
        <w:rPr>
          <w:i/>
          <w:spacing w:val="-4"/>
          <w:w w:val="105"/>
          <w:sz w:val="13"/>
        </w:rPr>
        <w:t>2017 </w:t>
      </w:r>
      <w:r>
        <w:rPr>
          <w:w w:val="105"/>
          <w:sz w:val="13"/>
        </w:rPr>
        <w:t>(Tas) ss</w:t>
      </w:r>
      <w:r>
        <w:rPr>
          <w:spacing w:val="16"/>
          <w:w w:val="105"/>
          <w:sz w:val="13"/>
        </w:rPr>
        <w:t> </w:t>
      </w:r>
      <w:r>
        <w:rPr>
          <w:spacing w:val="3"/>
          <w:w w:val="105"/>
          <w:sz w:val="13"/>
        </w:rPr>
        <w:t>17(2)–(3).</w:t>
      </w:r>
    </w:p>
    <w:p>
      <w:pPr>
        <w:pStyle w:val="ListParagraph"/>
        <w:numPr>
          <w:ilvl w:val="0"/>
          <w:numId w:val="192"/>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z w:val="13"/>
        </w:rPr>
        <w:t>18.</w:t>
      </w:r>
    </w:p>
    <w:p>
      <w:pPr>
        <w:tabs>
          <w:tab w:pos="2381" w:val="left" w:leader="none"/>
        </w:tabs>
        <w:spacing w:before="1"/>
        <w:ind w:left="1587" w:right="0" w:firstLine="0"/>
        <w:jc w:val="left"/>
        <w:rPr>
          <w:sz w:val="13"/>
        </w:rPr>
      </w:pPr>
      <w:r>
        <w:rPr>
          <w:w w:val="105"/>
          <w:sz w:val="13"/>
        </w:rPr>
        <w:t>40</w:t>
        <w:tab/>
        <w:t>Ibid s</w:t>
      </w:r>
      <w:r>
        <w:rPr>
          <w:spacing w:val="9"/>
          <w:w w:val="105"/>
          <w:sz w:val="13"/>
        </w:rPr>
        <w:t> </w:t>
      </w:r>
      <w:r>
        <w:rPr>
          <w:spacing w:val="2"/>
          <w:w w:val="105"/>
          <w:sz w:val="13"/>
        </w:rPr>
        <w:t>18(3).</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7"/>
        </w:rPr>
      </w:pPr>
    </w:p>
    <w:p>
      <w:pPr>
        <w:spacing w:before="0"/>
        <w:ind w:left="596" w:right="575" w:firstLine="0"/>
        <w:jc w:val="center"/>
        <w:rPr>
          <w:b/>
          <w:sz w:val="24"/>
        </w:rPr>
      </w:pPr>
      <w:r>
        <w:rPr>
          <w:b/>
          <w:color w:val="658464"/>
          <w:w w:val="110"/>
          <w:sz w:val="24"/>
        </w:rPr>
        <w:t>263</w:t>
      </w:r>
    </w:p>
    <w:p>
      <w:pPr>
        <w:spacing w:after="0"/>
        <w:jc w:val="center"/>
        <w:rPr>
          <w:sz w:val="24"/>
        </w:rPr>
        <w:sectPr>
          <w:type w:val="continuous"/>
          <w:pgSz w:w="11910" w:h="16840"/>
          <w:pgMar w:top="300" w:bottom="280" w:left="0" w:right="0"/>
          <w:cols w:num="2" w:equalWidth="0">
            <w:col w:w="10256" w:space="40"/>
            <w:col w:w="1614"/>
          </w:cols>
        </w:sectPr>
      </w:pPr>
    </w:p>
    <w:p>
      <w:pPr>
        <w:pStyle w:val="BodyText"/>
        <w:spacing w:before="11"/>
        <w:rPr>
          <w:b/>
        </w:rPr>
      </w:pPr>
    </w:p>
    <w:p>
      <w:pPr>
        <w:spacing w:before="96"/>
        <w:ind w:left="1587" w:right="0" w:firstLine="0"/>
        <w:jc w:val="left"/>
        <w:rPr>
          <w:b/>
          <w:sz w:val="24"/>
        </w:rPr>
      </w:pPr>
      <w:bookmarkStart w:name="Community responses—new owners of land" w:id="309"/>
      <w:bookmarkEnd w:id="309"/>
      <w:r>
        <w:rPr/>
      </w:r>
      <w:bookmarkStart w:name="_bookmark143" w:id="310"/>
      <w:bookmarkEnd w:id="310"/>
      <w:r>
        <w:rPr/>
      </w:r>
      <w:r>
        <w:rPr>
          <w:b/>
          <w:w w:val="115"/>
          <w:sz w:val="24"/>
        </w:rPr>
        <w:t>Searchable database of orders</w:t>
      </w:r>
    </w:p>
    <w:p>
      <w:pPr>
        <w:pStyle w:val="ListParagraph"/>
        <w:numPr>
          <w:ilvl w:val="1"/>
          <w:numId w:val="16"/>
        </w:numPr>
        <w:tabs>
          <w:tab w:pos="2381" w:val="left" w:leader="none"/>
          <w:tab w:pos="2382" w:val="left" w:leader="none"/>
        </w:tabs>
        <w:spacing w:line="242" w:lineRule="auto" w:before="137" w:after="0"/>
        <w:ind w:left="2381" w:right="1935" w:hanging="794"/>
        <w:jc w:val="left"/>
        <w:rPr>
          <w:sz w:val="21"/>
        </w:rPr>
      </w:pPr>
      <w:r>
        <w:rPr>
          <w:w w:val="105"/>
          <w:sz w:val="21"/>
        </w:rPr>
        <w:t>The</w:t>
      </w:r>
      <w:r>
        <w:rPr>
          <w:spacing w:val="-6"/>
          <w:w w:val="105"/>
          <w:sz w:val="21"/>
        </w:rPr>
        <w:t> </w:t>
      </w:r>
      <w:r>
        <w:rPr>
          <w:spacing w:val="-4"/>
          <w:w w:val="105"/>
          <w:sz w:val="21"/>
        </w:rPr>
        <w:t>Tasmanian</w:t>
      </w:r>
      <w:r>
        <w:rPr>
          <w:spacing w:val="-5"/>
          <w:w w:val="105"/>
          <w:sz w:val="21"/>
        </w:rPr>
        <w:t> </w:t>
      </w:r>
      <w:r>
        <w:rPr>
          <w:w w:val="105"/>
          <w:sz w:val="21"/>
        </w:rPr>
        <w:t>Act</w:t>
      </w:r>
      <w:r>
        <w:rPr>
          <w:spacing w:val="-5"/>
          <w:w w:val="105"/>
          <w:sz w:val="21"/>
        </w:rPr>
        <w:t> </w:t>
      </w:r>
      <w:r>
        <w:rPr>
          <w:w w:val="105"/>
          <w:sz w:val="21"/>
        </w:rPr>
        <w:t>provides</w:t>
      </w:r>
      <w:r>
        <w:rPr>
          <w:spacing w:val="-5"/>
          <w:w w:val="105"/>
          <w:sz w:val="21"/>
        </w:rPr>
        <w:t> </w:t>
      </w:r>
      <w:r>
        <w:rPr>
          <w:spacing w:val="-3"/>
          <w:w w:val="105"/>
          <w:sz w:val="21"/>
        </w:rPr>
        <w:t>for</w:t>
      </w:r>
      <w:r>
        <w:rPr>
          <w:spacing w:val="-5"/>
          <w:w w:val="105"/>
          <w:sz w:val="21"/>
        </w:rPr>
        <w:t> </w:t>
      </w:r>
      <w:r>
        <w:rPr>
          <w:w w:val="105"/>
          <w:sz w:val="21"/>
        </w:rPr>
        <w:t>a</w:t>
      </w:r>
      <w:r>
        <w:rPr>
          <w:spacing w:val="-5"/>
          <w:w w:val="105"/>
          <w:sz w:val="21"/>
        </w:rPr>
        <w:t> </w:t>
      </w:r>
      <w:r>
        <w:rPr>
          <w:spacing w:val="-3"/>
          <w:w w:val="105"/>
          <w:sz w:val="21"/>
        </w:rPr>
        <w:t>publicly</w:t>
      </w:r>
      <w:r>
        <w:rPr>
          <w:spacing w:val="-5"/>
          <w:w w:val="105"/>
          <w:sz w:val="21"/>
        </w:rPr>
        <w:t> </w:t>
      </w:r>
      <w:r>
        <w:rPr>
          <w:spacing w:val="-3"/>
          <w:w w:val="105"/>
          <w:sz w:val="21"/>
        </w:rPr>
        <w:t>‘searchable</w:t>
      </w:r>
      <w:r>
        <w:rPr>
          <w:spacing w:val="-5"/>
          <w:w w:val="105"/>
          <w:sz w:val="21"/>
        </w:rPr>
        <w:t> </w:t>
      </w:r>
      <w:r>
        <w:rPr>
          <w:spacing w:val="-3"/>
          <w:w w:val="105"/>
          <w:sz w:val="21"/>
        </w:rPr>
        <w:t>register</w:t>
      </w:r>
      <w:r>
        <w:rPr>
          <w:spacing w:val="-5"/>
          <w:w w:val="105"/>
          <w:sz w:val="21"/>
        </w:rPr>
        <w:t> </w:t>
      </w:r>
      <w:r>
        <w:rPr>
          <w:w w:val="105"/>
          <w:sz w:val="21"/>
        </w:rPr>
        <w:t>of</w:t>
      </w:r>
      <w:r>
        <w:rPr>
          <w:spacing w:val="-5"/>
          <w:w w:val="105"/>
          <w:sz w:val="21"/>
        </w:rPr>
        <w:t> </w:t>
      </w:r>
      <w:r>
        <w:rPr>
          <w:w w:val="105"/>
          <w:sz w:val="21"/>
        </w:rPr>
        <w:t>tree</w:t>
      </w:r>
      <w:r>
        <w:rPr>
          <w:spacing w:val="-5"/>
          <w:w w:val="105"/>
          <w:sz w:val="21"/>
        </w:rPr>
        <w:t> </w:t>
      </w:r>
      <w:r>
        <w:rPr>
          <w:w w:val="105"/>
          <w:sz w:val="21"/>
        </w:rPr>
        <w:t>or</w:t>
      </w:r>
      <w:r>
        <w:rPr>
          <w:spacing w:val="-5"/>
          <w:w w:val="105"/>
          <w:sz w:val="21"/>
        </w:rPr>
        <w:t> </w:t>
      </w:r>
      <w:r>
        <w:rPr>
          <w:w w:val="105"/>
          <w:sz w:val="21"/>
        </w:rPr>
        <w:t>hedge</w:t>
      </w:r>
      <w:r>
        <w:rPr>
          <w:spacing w:val="-5"/>
          <w:w w:val="105"/>
          <w:sz w:val="21"/>
        </w:rPr>
        <w:t> </w:t>
      </w:r>
      <w:r>
        <w:rPr>
          <w:spacing w:val="-4"/>
          <w:w w:val="105"/>
          <w:sz w:val="21"/>
        </w:rPr>
        <w:t>orders’, </w:t>
      </w:r>
      <w:r>
        <w:rPr>
          <w:spacing w:val="-3"/>
          <w:w w:val="105"/>
          <w:sz w:val="21"/>
        </w:rPr>
        <w:t>maintained </w:t>
      </w:r>
      <w:r>
        <w:rPr>
          <w:w w:val="105"/>
          <w:sz w:val="21"/>
        </w:rPr>
        <w:t>by</w:t>
      </w:r>
      <w:r>
        <w:rPr>
          <w:spacing w:val="13"/>
          <w:w w:val="105"/>
          <w:sz w:val="21"/>
        </w:rPr>
        <w:t> </w:t>
      </w:r>
      <w:r>
        <w:rPr>
          <w:spacing w:val="-7"/>
          <w:w w:val="105"/>
          <w:sz w:val="21"/>
        </w:rPr>
        <w:t>RMPAT.</w:t>
      </w:r>
    </w:p>
    <w:p>
      <w:pPr>
        <w:pStyle w:val="ListParagraph"/>
        <w:numPr>
          <w:ilvl w:val="1"/>
          <w:numId w:val="16"/>
        </w:numPr>
        <w:tabs>
          <w:tab w:pos="2381" w:val="left" w:leader="none"/>
        </w:tabs>
        <w:spacing w:line="242" w:lineRule="auto" w:before="122" w:after="0"/>
        <w:ind w:left="2381" w:right="1707" w:hanging="794"/>
        <w:jc w:val="both"/>
        <w:rPr>
          <w:sz w:val="21"/>
        </w:rPr>
      </w:pPr>
      <w:r>
        <w:rPr>
          <w:w w:val="105"/>
          <w:sz w:val="21"/>
        </w:rPr>
        <w:t>This </w:t>
      </w:r>
      <w:r>
        <w:rPr>
          <w:spacing w:val="-3"/>
          <w:w w:val="105"/>
          <w:sz w:val="21"/>
        </w:rPr>
        <w:t>information includes </w:t>
      </w:r>
      <w:r>
        <w:rPr>
          <w:w w:val="105"/>
          <w:sz w:val="21"/>
        </w:rPr>
        <w:t>‘the </w:t>
      </w:r>
      <w:r>
        <w:rPr>
          <w:spacing w:val="-3"/>
          <w:w w:val="105"/>
          <w:sz w:val="21"/>
        </w:rPr>
        <w:t>terms </w:t>
      </w:r>
      <w:r>
        <w:rPr>
          <w:w w:val="105"/>
          <w:sz w:val="21"/>
        </w:rPr>
        <w:t>of the </w:t>
      </w:r>
      <w:r>
        <w:rPr>
          <w:spacing w:val="-4"/>
          <w:w w:val="105"/>
          <w:sz w:val="21"/>
        </w:rPr>
        <w:t>order, </w:t>
      </w:r>
      <w:r>
        <w:rPr>
          <w:w w:val="105"/>
          <w:sz w:val="21"/>
        </w:rPr>
        <w:t>when the order </w:t>
      </w:r>
      <w:r>
        <w:rPr>
          <w:spacing w:val="-3"/>
          <w:w w:val="105"/>
          <w:sz w:val="21"/>
        </w:rPr>
        <w:t>takes </w:t>
      </w:r>
      <w:r>
        <w:rPr>
          <w:w w:val="105"/>
          <w:sz w:val="21"/>
        </w:rPr>
        <w:t>effect, when </w:t>
      </w:r>
      <w:r>
        <w:rPr>
          <w:spacing w:val="-3"/>
          <w:w w:val="105"/>
          <w:sz w:val="21"/>
        </w:rPr>
        <w:t>any </w:t>
      </w:r>
      <w:r>
        <w:rPr>
          <w:w w:val="105"/>
          <w:sz w:val="21"/>
        </w:rPr>
        <w:t>work is </w:t>
      </w:r>
      <w:r>
        <w:rPr>
          <w:spacing w:val="-3"/>
          <w:w w:val="105"/>
          <w:sz w:val="21"/>
        </w:rPr>
        <w:t>required to </w:t>
      </w:r>
      <w:r>
        <w:rPr>
          <w:w w:val="105"/>
          <w:sz w:val="21"/>
        </w:rPr>
        <w:t>be carried out and who is </w:t>
      </w:r>
      <w:r>
        <w:rPr>
          <w:spacing w:val="-3"/>
          <w:w w:val="105"/>
          <w:sz w:val="21"/>
        </w:rPr>
        <w:t>required to </w:t>
      </w:r>
      <w:r>
        <w:rPr>
          <w:w w:val="105"/>
          <w:sz w:val="21"/>
        </w:rPr>
        <w:t>carry out the </w:t>
      </w:r>
      <w:r>
        <w:rPr>
          <w:spacing w:val="-5"/>
          <w:w w:val="105"/>
          <w:sz w:val="21"/>
        </w:rPr>
        <w:t>work’.</w:t>
      </w:r>
      <w:r>
        <w:rPr>
          <w:spacing w:val="-5"/>
          <w:w w:val="105"/>
          <w:position w:val="7"/>
          <w:sz w:val="12"/>
        </w:rPr>
        <w:t>41 </w:t>
      </w:r>
      <w:r>
        <w:rPr>
          <w:w w:val="105"/>
          <w:sz w:val="21"/>
        </w:rPr>
        <w:t>However </w:t>
      </w:r>
      <w:r>
        <w:rPr>
          <w:spacing w:val="-2"/>
          <w:w w:val="105"/>
          <w:sz w:val="21"/>
        </w:rPr>
        <w:t>access</w:t>
      </w:r>
      <w:r>
        <w:rPr>
          <w:spacing w:val="-5"/>
          <w:w w:val="105"/>
          <w:sz w:val="21"/>
        </w:rPr>
        <w:t> </w:t>
      </w:r>
      <w:r>
        <w:rPr>
          <w:spacing w:val="-3"/>
          <w:w w:val="105"/>
          <w:sz w:val="21"/>
        </w:rPr>
        <w:t>to</w:t>
      </w:r>
      <w:r>
        <w:rPr>
          <w:spacing w:val="-5"/>
          <w:w w:val="105"/>
          <w:sz w:val="21"/>
        </w:rPr>
        <w:t> </w:t>
      </w:r>
      <w:r>
        <w:rPr>
          <w:w w:val="105"/>
          <w:sz w:val="21"/>
        </w:rPr>
        <w:t>this</w:t>
      </w:r>
      <w:r>
        <w:rPr>
          <w:spacing w:val="-5"/>
          <w:w w:val="105"/>
          <w:sz w:val="21"/>
        </w:rPr>
        <w:t> </w:t>
      </w:r>
      <w:r>
        <w:rPr>
          <w:w w:val="105"/>
          <w:sz w:val="21"/>
        </w:rPr>
        <w:t>database</w:t>
      </w:r>
      <w:r>
        <w:rPr>
          <w:spacing w:val="-5"/>
          <w:w w:val="105"/>
          <w:sz w:val="21"/>
        </w:rPr>
        <w:t> </w:t>
      </w:r>
      <w:r>
        <w:rPr>
          <w:w w:val="105"/>
          <w:sz w:val="21"/>
        </w:rPr>
        <w:t>is</w:t>
      </w:r>
      <w:r>
        <w:rPr>
          <w:spacing w:val="-5"/>
          <w:w w:val="105"/>
          <w:sz w:val="21"/>
        </w:rPr>
        <w:t> </w:t>
      </w:r>
      <w:r>
        <w:rPr>
          <w:w w:val="105"/>
          <w:sz w:val="21"/>
        </w:rPr>
        <w:t>more</w:t>
      </w:r>
      <w:r>
        <w:rPr>
          <w:spacing w:val="-5"/>
          <w:w w:val="105"/>
          <w:sz w:val="21"/>
        </w:rPr>
        <w:t> </w:t>
      </w:r>
      <w:r>
        <w:rPr>
          <w:spacing w:val="-3"/>
          <w:w w:val="105"/>
          <w:sz w:val="21"/>
        </w:rPr>
        <w:t>limited</w:t>
      </w:r>
      <w:r>
        <w:rPr>
          <w:spacing w:val="-5"/>
          <w:w w:val="105"/>
          <w:sz w:val="21"/>
        </w:rPr>
        <w:t> </w:t>
      </w:r>
      <w:r>
        <w:rPr>
          <w:spacing w:val="-3"/>
          <w:w w:val="105"/>
          <w:sz w:val="21"/>
        </w:rPr>
        <w:t>than</w:t>
      </w:r>
      <w:r>
        <w:rPr>
          <w:spacing w:val="-5"/>
          <w:w w:val="105"/>
          <w:sz w:val="21"/>
        </w:rPr>
        <w:t> </w:t>
      </w:r>
      <w:r>
        <w:rPr>
          <w:w w:val="105"/>
          <w:sz w:val="21"/>
        </w:rPr>
        <w:t>in</w:t>
      </w:r>
      <w:r>
        <w:rPr>
          <w:spacing w:val="-5"/>
          <w:w w:val="105"/>
          <w:sz w:val="21"/>
        </w:rPr>
        <w:t> </w:t>
      </w:r>
      <w:r>
        <w:rPr>
          <w:spacing w:val="-3"/>
          <w:w w:val="105"/>
          <w:sz w:val="21"/>
        </w:rPr>
        <w:t>Queensland.</w:t>
      </w:r>
      <w:r>
        <w:rPr>
          <w:spacing w:val="-4"/>
          <w:w w:val="105"/>
          <w:sz w:val="21"/>
        </w:rPr>
        <w:t> </w:t>
      </w:r>
      <w:r>
        <w:rPr>
          <w:w w:val="105"/>
          <w:sz w:val="21"/>
        </w:rPr>
        <w:t>Although</w:t>
      </w:r>
      <w:r>
        <w:rPr>
          <w:spacing w:val="-5"/>
          <w:w w:val="105"/>
          <w:sz w:val="21"/>
        </w:rPr>
        <w:t> </w:t>
      </w:r>
      <w:r>
        <w:rPr>
          <w:spacing w:val="-3"/>
          <w:w w:val="105"/>
          <w:sz w:val="21"/>
        </w:rPr>
        <w:t>any</w:t>
      </w:r>
      <w:r>
        <w:rPr>
          <w:spacing w:val="-5"/>
          <w:w w:val="105"/>
          <w:sz w:val="21"/>
        </w:rPr>
        <w:t> </w:t>
      </w:r>
      <w:r>
        <w:rPr>
          <w:w w:val="105"/>
          <w:sz w:val="21"/>
        </w:rPr>
        <w:t>member</w:t>
      </w:r>
      <w:r>
        <w:rPr>
          <w:spacing w:val="-5"/>
          <w:w w:val="105"/>
          <w:sz w:val="21"/>
        </w:rPr>
        <w:t> </w:t>
      </w:r>
      <w:r>
        <w:rPr>
          <w:w w:val="105"/>
          <w:sz w:val="21"/>
        </w:rPr>
        <w:t>of</w:t>
      </w:r>
      <w:r>
        <w:rPr>
          <w:spacing w:val="-5"/>
          <w:w w:val="105"/>
          <w:sz w:val="21"/>
        </w:rPr>
        <w:t> </w:t>
      </w:r>
      <w:r>
        <w:rPr>
          <w:w w:val="105"/>
          <w:sz w:val="21"/>
        </w:rPr>
        <w:t>the community can </w:t>
      </w:r>
      <w:r>
        <w:rPr>
          <w:spacing w:val="-3"/>
          <w:w w:val="105"/>
          <w:sz w:val="21"/>
        </w:rPr>
        <w:t>search </w:t>
      </w:r>
      <w:r>
        <w:rPr>
          <w:w w:val="105"/>
          <w:sz w:val="21"/>
        </w:rPr>
        <w:t>the </w:t>
      </w:r>
      <w:r>
        <w:rPr>
          <w:spacing w:val="-3"/>
          <w:w w:val="105"/>
          <w:sz w:val="21"/>
        </w:rPr>
        <w:t>database, </w:t>
      </w:r>
      <w:r>
        <w:rPr>
          <w:w w:val="105"/>
          <w:sz w:val="21"/>
        </w:rPr>
        <w:t>they must </w:t>
      </w:r>
      <w:r>
        <w:rPr>
          <w:spacing w:val="-3"/>
          <w:w w:val="105"/>
          <w:sz w:val="21"/>
        </w:rPr>
        <w:t>submit </w:t>
      </w:r>
      <w:r>
        <w:rPr>
          <w:w w:val="105"/>
          <w:sz w:val="21"/>
        </w:rPr>
        <w:t>an application </w:t>
      </w:r>
      <w:r>
        <w:rPr>
          <w:spacing w:val="-3"/>
          <w:w w:val="105"/>
          <w:sz w:val="21"/>
        </w:rPr>
        <w:t>to </w:t>
      </w:r>
      <w:r>
        <w:rPr>
          <w:spacing w:val="-6"/>
          <w:w w:val="105"/>
          <w:sz w:val="21"/>
        </w:rPr>
        <w:t>RMPAT </w:t>
      </w:r>
      <w:r>
        <w:rPr>
          <w:w w:val="105"/>
          <w:sz w:val="21"/>
        </w:rPr>
        <w:t>and </w:t>
      </w:r>
      <w:r>
        <w:rPr>
          <w:spacing w:val="-2"/>
          <w:w w:val="105"/>
          <w:sz w:val="21"/>
        </w:rPr>
        <w:t>pay </w:t>
      </w:r>
      <w:r>
        <w:rPr>
          <w:w w:val="105"/>
          <w:sz w:val="21"/>
        </w:rPr>
        <w:t>a fee and the </w:t>
      </w:r>
      <w:r>
        <w:rPr>
          <w:spacing w:val="-3"/>
          <w:w w:val="105"/>
          <w:sz w:val="21"/>
        </w:rPr>
        <w:t>search criteria </w:t>
      </w:r>
      <w:r>
        <w:rPr>
          <w:w w:val="105"/>
          <w:sz w:val="21"/>
        </w:rPr>
        <w:t>is</w:t>
      </w:r>
      <w:r>
        <w:rPr>
          <w:spacing w:val="38"/>
          <w:w w:val="105"/>
          <w:sz w:val="21"/>
        </w:rPr>
        <w:t> </w:t>
      </w:r>
      <w:r>
        <w:rPr>
          <w:spacing w:val="-4"/>
          <w:w w:val="105"/>
          <w:sz w:val="21"/>
        </w:rPr>
        <w:t>narrower.</w:t>
      </w:r>
      <w:r>
        <w:rPr>
          <w:spacing w:val="-4"/>
          <w:w w:val="105"/>
          <w:position w:val="7"/>
          <w:sz w:val="12"/>
        </w:rPr>
        <w:t>42</w:t>
      </w:r>
    </w:p>
    <w:p>
      <w:pPr>
        <w:pStyle w:val="BodyText"/>
        <w:rPr>
          <w:sz w:val="22"/>
        </w:rPr>
      </w:pPr>
    </w:p>
    <w:p>
      <w:pPr>
        <w:pStyle w:val="Heading4"/>
        <w:spacing w:before="1"/>
      </w:pPr>
      <w:r>
        <w:rPr>
          <w:color w:val="658464"/>
          <w:w w:val="115"/>
        </w:rPr>
        <w:t>Community responses—new owners of land</w:t>
      </w:r>
    </w:p>
    <w:p>
      <w:pPr>
        <w:pStyle w:val="ListParagraph"/>
        <w:numPr>
          <w:ilvl w:val="1"/>
          <w:numId w:val="16"/>
        </w:numPr>
        <w:tabs>
          <w:tab w:pos="2381" w:val="left" w:leader="none"/>
          <w:tab w:pos="2382" w:val="left" w:leader="none"/>
        </w:tabs>
        <w:spacing w:line="242" w:lineRule="auto" w:before="155" w:after="0"/>
        <w:ind w:left="2381" w:right="1934" w:hanging="794"/>
        <w:jc w:val="left"/>
        <w:rPr>
          <w:sz w:val="21"/>
        </w:rPr>
      </w:pPr>
      <w:r>
        <w:rPr>
          <w:w w:val="105"/>
          <w:sz w:val="21"/>
        </w:rPr>
        <w:t>The </w:t>
      </w:r>
      <w:r>
        <w:rPr>
          <w:spacing w:val="-3"/>
          <w:w w:val="105"/>
          <w:sz w:val="21"/>
        </w:rPr>
        <w:t>consultation </w:t>
      </w:r>
      <w:r>
        <w:rPr>
          <w:w w:val="105"/>
          <w:sz w:val="21"/>
        </w:rPr>
        <w:t>paper </w:t>
      </w:r>
      <w:r>
        <w:rPr>
          <w:spacing w:val="-3"/>
          <w:w w:val="105"/>
          <w:sz w:val="21"/>
        </w:rPr>
        <w:t>asked </w:t>
      </w:r>
      <w:r>
        <w:rPr>
          <w:w w:val="105"/>
          <w:sz w:val="21"/>
        </w:rPr>
        <w:t>how a new Act should respond when </w:t>
      </w:r>
      <w:r>
        <w:rPr>
          <w:spacing w:val="-3"/>
          <w:w w:val="105"/>
          <w:sz w:val="21"/>
        </w:rPr>
        <w:t>land </w:t>
      </w:r>
      <w:r>
        <w:rPr>
          <w:w w:val="105"/>
          <w:sz w:val="21"/>
        </w:rPr>
        <w:t>affected by  a</w:t>
      </w:r>
      <w:r>
        <w:rPr>
          <w:spacing w:val="-7"/>
          <w:w w:val="105"/>
          <w:sz w:val="21"/>
        </w:rPr>
        <w:t> </w:t>
      </w:r>
      <w:r>
        <w:rPr>
          <w:w w:val="105"/>
          <w:sz w:val="21"/>
        </w:rPr>
        <w:t>tree</w:t>
      </w:r>
      <w:r>
        <w:rPr>
          <w:spacing w:val="-7"/>
          <w:w w:val="105"/>
          <w:sz w:val="21"/>
        </w:rPr>
        <w:t> </w:t>
      </w:r>
      <w:r>
        <w:rPr>
          <w:spacing w:val="-3"/>
          <w:w w:val="105"/>
          <w:sz w:val="21"/>
        </w:rPr>
        <w:t>dispute</w:t>
      </w:r>
      <w:r>
        <w:rPr>
          <w:spacing w:val="-7"/>
          <w:w w:val="105"/>
          <w:sz w:val="21"/>
        </w:rPr>
        <w:t> </w:t>
      </w:r>
      <w:r>
        <w:rPr>
          <w:w w:val="105"/>
          <w:sz w:val="21"/>
        </w:rPr>
        <w:t>application</w:t>
      </w:r>
      <w:r>
        <w:rPr>
          <w:spacing w:val="-7"/>
          <w:w w:val="105"/>
          <w:sz w:val="21"/>
        </w:rPr>
        <w:t> </w:t>
      </w:r>
      <w:r>
        <w:rPr>
          <w:w w:val="105"/>
          <w:sz w:val="21"/>
        </w:rPr>
        <w:t>or</w:t>
      </w:r>
      <w:r>
        <w:rPr>
          <w:spacing w:val="-7"/>
          <w:w w:val="105"/>
          <w:sz w:val="21"/>
        </w:rPr>
        <w:t> </w:t>
      </w:r>
      <w:r>
        <w:rPr>
          <w:w w:val="105"/>
          <w:sz w:val="21"/>
        </w:rPr>
        <w:t>order</w:t>
      </w:r>
      <w:r>
        <w:rPr>
          <w:spacing w:val="-7"/>
          <w:w w:val="105"/>
          <w:sz w:val="21"/>
        </w:rPr>
        <w:t> </w:t>
      </w:r>
      <w:r>
        <w:rPr>
          <w:w w:val="105"/>
          <w:sz w:val="21"/>
        </w:rPr>
        <w:t>is</w:t>
      </w:r>
      <w:r>
        <w:rPr>
          <w:spacing w:val="-7"/>
          <w:w w:val="105"/>
          <w:sz w:val="21"/>
        </w:rPr>
        <w:t> </w:t>
      </w:r>
      <w:r>
        <w:rPr>
          <w:spacing w:val="-3"/>
          <w:w w:val="105"/>
          <w:sz w:val="21"/>
        </w:rPr>
        <w:t>bought</w:t>
      </w:r>
      <w:r>
        <w:rPr>
          <w:spacing w:val="-6"/>
          <w:w w:val="105"/>
          <w:sz w:val="21"/>
        </w:rPr>
        <w:t> </w:t>
      </w:r>
      <w:r>
        <w:rPr>
          <w:w w:val="105"/>
          <w:sz w:val="21"/>
        </w:rPr>
        <w:t>and</w:t>
      </w:r>
      <w:r>
        <w:rPr>
          <w:spacing w:val="-7"/>
          <w:w w:val="105"/>
          <w:sz w:val="21"/>
        </w:rPr>
        <w:t> </w:t>
      </w:r>
      <w:r>
        <w:rPr>
          <w:w w:val="105"/>
          <w:sz w:val="21"/>
        </w:rPr>
        <w:t>sold.</w:t>
      </w:r>
      <w:r>
        <w:rPr>
          <w:spacing w:val="-7"/>
          <w:w w:val="105"/>
          <w:sz w:val="21"/>
        </w:rPr>
        <w:t> </w:t>
      </w:r>
      <w:r>
        <w:rPr>
          <w:spacing w:val="-3"/>
          <w:w w:val="105"/>
          <w:sz w:val="21"/>
        </w:rPr>
        <w:t>Community</w:t>
      </w:r>
      <w:r>
        <w:rPr>
          <w:spacing w:val="-7"/>
          <w:w w:val="105"/>
          <w:sz w:val="21"/>
        </w:rPr>
        <w:t> </w:t>
      </w:r>
      <w:r>
        <w:rPr>
          <w:w w:val="105"/>
          <w:sz w:val="21"/>
        </w:rPr>
        <w:t>responses</w:t>
      </w:r>
      <w:r>
        <w:rPr>
          <w:spacing w:val="-7"/>
          <w:w w:val="105"/>
          <w:sz w:val="21"/>
        </w:rPr>
        <w:t> </w:t>
      </w:r>
      <w:r>
        <w:rPr>
          <w:spacing w:val="-3"/>
          <w:w w:val="105"/>
          <w:sz w:val="21"/>
        </w:rPr>
        <w:t>generally </w:t>
      </w:r>
      <w:r>
        <w:rPr>
          <w:w w:val="105"/>
          <w:sz w:val="21"/>
        </w:rPr>
        <w:t>supported:</w:t>
      </w:r>
    </w:p>
    <w:p>
      <w:pPr>
        <w:pStyle w:val="ListParagraph"/>
        <w:numPr>
          <w:ilvl w:val="2"/>
          <w:numId w:val="16"/>
        </w:numPr>
        <w:tabs>
          <w:tab w:pos="2721" w:val="left" w:leader="none"/>
          <w:tab w:pos="2722" w:val="left" w:leader="none"/>
        </w:tabs>
        <w:spacing w:line="242" w:lineRule="auto" w:before="123" w:after="0"/>
        <w:ind w:left="2721" w:right="2276" w:hanging="340"/>
        <w:jc w:val="left"/>
        <w:rPr>
          <w:sz w:val="21"/>
        </w:rPr>
      </w:pPr>
      <w:r>
        <w:rPr>
          <w:spacing w:val="-3"/>
          <w:sz w:val="21"/>
        </w:rPr>
        <w:t>ensuring that purchasers are fully informed </w:t>
      </w:r>
      <w:r>
        <w:rPr>
          <w:sz w:val="21"/>
        </w:rPr>
        <w:t>about existing </w:t>
      </w:r>
      <w:r>
        <w:rPr>
          <w:spacing w:val="-3"/>
          <w:sz w:val="21"/>
        </w:rPr>
        <w:t>disputes before </w:t>
      </w:r>
      <w:r>
        <w:rPr>
          <w:sz w:val="21"/>
        </w:rPr>
        <w:t>they </w:t>
      </w:r>
      <w:r>
        <w:rPr>
          <w:spacing w:val="-3"/>
          <w:sz w:val="21"/>
        </w:rPr>
        <w:t>commit to </w:t>
      </w:r>
      <w:r>
        <w:rPr>
          <w:sz w:val="21"/>
        </w:rPr>
        <w:t>buying the</w:t>
      </w:r>
      <w:r>
        <w:rPr>
          <w:spacing w:val="41"/>
          <w:sz w:val="21"/>
        </w:rPr>
        <w:t> </w:t>
      </w:r>
      <w:r>
        <w:rPr>
          <w:spacing w:val="-3"/>
          <w:sz w:val="21"/>
        </w:rPr>
        <w:t>land</w:t>
      </w:r>
    </w:p>
    <w:p>
      <w:pPr>
        <w:pStyle w:val="ListParagraph"/>
        <w:numPr>
          <w:ilvl w:val="2"/>
          <w:numId w:val="16"/>
        </w:numPr>
        <w:tabs>
          <w:tab w:pos="2721" w:val="left" w:leader="none"/>
          <w:tab w:pos="2722" w:val="left" w:leader="none"/>
        </w:tabs>
        <w:spacing w:line="242" w:lineRule="auto" w:before="87" w:after="0"/>
        <w:ind w:left="2721" w:right="1604" w:hanging="340"/>
        <w:jc w:val="left"/>
        <w:rPr>
          <w:sz w:val="21"/>
        </w:rPr>
      </w:pPr>
      <w:r>
        <w:rPr>
          <w:spacing w:val="-3"/>
          <w:sz w:val="21"/>
        </w:rPr>
        <w:t>ensuring that </w:t>
      </w:r>
      <w:r>
        <w:rPr>
          <w:sz w:val="21"/>
        </w:rPr>
        <w:t>orders </w:t>
      </w:r>
      <w:r>
        <w:rPr>
          <w:spacing w:val="-3"/>
          <w:sz w:val="21"/>
        </w:rPr>
        <w:t>are </w:t>
      </w:r>
      <w:r>
        <w:rPr>
          <w:sz w:val="21"/>
        </w:rPr>
        <w:t>able </w:t>
      </w:r>
      <w:r>
        <w:rPr>
          <w:spacing w:val="-3"/>
          <w:sz w:val="21"/>
        </w:rPr>
        <w:t>to </w:t>
      </w:r>
      <w:r>
        <w:rPr>
          <w:sz w:val="21"/>
        </w:rPr>
        <w:t>be fulfilled after title </w:t>
      </w:r>
      <w:r>
        <w:rPr>
          <w:spacing w:val="-3"/>
          <w:sz w:val="21"/>
        </w:rPr>
        <w:t>changes to prevent relitigation </w:t>
      </w:r>
      <w:r>
        <w:rPr>
          <w:sz w:val="21"/>
        </w:rPr>
        <w:t>of  the same</w:t>
      </w:r>
      <w:r>
        <w:rPr>
          <w:spacing w:val="16"/>
          <w:sz w:val="21"/>
        </w:rPr>
        <w:t> </w:t>
      </w:r>
      <w:r>
        <w:rPr>
          <w:sz w:val="21"/>
        </w:rPr>
        <w:t>issues.</w:t>
      </w:r>
    </w:p>
    <w:p>
      <w:pPr>
        <w:pStyle w:val="Heading5"/>
        <w:spacing w:before="212"/>
      </w:pPr>
      <w:r>
        <w:rPr>
          <w:w w:val="115"/>
        </w:rPr>
        <w:t>New affected neighbours</w:t>
      </w:r>
    </w:p>
    <w:p>
      <w:pPr>
        <w:pStyle w:val="ListParagraph"/>
        <w:numPr>
          <w:ilvl w:val="1"/>
          <w:numId w:val="16"/>
        </w:numPr>
        <w:tabs>
          <w:tab w:pos="2381" w:val="left" w:leader="none"/>
          <w:tab w:pos="2382" w:val="left" w:leader="none"/>
        </w:tabs>
        <w:spacing w:line="240" w:lineRule="auto" w:before="137" w:after="0"/>
        <w:ind w:left="2381" w:right="0" w:hanging="794"/>
        <w:jc w:val="left"/>
        <w:rPr>
          <w:sz w:val="21"/>
        </w:rPr>
      </w:pPr>
      <w:r>
        <w:rPr>
          <w:w w:val="105"/>
          <w:sz w:val="21"/>
        </w:rPr>
        <w:t>Issues </w:t>
      </w:r>
      <w:r>
        <w:rPr>
          <w:spacing w:val="-3"/>
          <w:w w:val="105"/>
          <w:sz w:val="21"/>
        </w:rPr>
        <w:t>may </w:t>
      </w:r>
      <w:r>
        <w:rPr>
          <w:w w:val="105"/>
          <w:sz w:val="21"/>
        </w:rPr>
        <w:t>arise </w:t>
      </w:r>
      <w:r>
        <w:rPr>
          <w:spacing w:val="-3"/>
          <w:w w:val="105"/>
          <w:sz w:val="21"/>
        </w:rPr>
        <w:t>involving </w:t>
      </w:r>
      <w:r>
        <w:rPr>
          <w:w w:val="105"/>
          <w:sz w:val="21"/>
        </w:rPr>
        <w:t>a new affected </w:t>
      </w:r>
      <w:r>
        <w:rPr>
          <w:spacing w:val="-3"/>
          <w:w w:val="105"/>
          <w:sz w:val="21"/>
        </w:rPr>
        <w:t>neighbour</w:t>
      </w:r>
      <w:r>
        <w:rPr>
          <w:spacing w:val="41"/>
          <w:w w:val="105"/>
          <w:sz w:val="21"/>
        </w:rPr>
        <w:t> </w:t>
      </w:r>
      <w:r>
        <w:rPr>
          <w:w w:val="105"/>
          <w:sz w:val="21"/>
        </w:rPr>
        <w:t>where:</w:t>
      </w:r>
    </w:p>
    <w:p>
      <w:pPr>
        <w:pStyle w:val="ListParagraph"/>
        <w:numPr>
          <w:ilvl w:val="2"/>
          <w:numId w:val="16"/>
        </w:numPr>
        <w:tabs>
          <w:tab w:pos="2778" w:val="left" w:leader="none"/>
          <w:tab w:pos="2779" w:val="left" w:leader="none"/>
        </w:tabs>
        <w:spacing w:line="240" w:lineRule="auto" w:before="124" w:after="0"/>
        <w:ind w:left="2778" w:right="0" w:hanging="397"/>
        <w:jc w:val="left"/>
        <w:rPr>
          <w:sz w:val="21"/>
        </w:rPr>
      </w:pPr>
      <w:r>
        <w:rPr>
          <w:sz w:val="21"/>
        </w:rPr>
        <w:t>an</w:t>
      </w:r>
      <w:r>
        <w:rPr>
          <w:spacing w:val="9"/>
          <w:sz w:val="21"/>
        </w:rPr>
        <w:t> </w:t>
      </w:r>
      <w:r>
        <w:rPr>
          <w:sz w:val="21"/>
        </w:rPr>
        <w:t>order</w:t>
      </w:r>
      <w:r>
        <w:rPr>
          <w:spacing w:val="9"/>
          <w:sz w:val="21"/>
        </w:rPr>
        <w:t> </w:t>
      </w:r>
      <w:r>
        <w:rPr>
          <w:spacing w:val="-2"/>
          <w:sz w:val="21"/>
        </w:rPr>
        <w:t>has</w:t>
      </w:r>
      <w:r>
        <w:rPr>
          <w:spacing w:val="10"/>
          <w:sz w:val="21"/>
        </w:rPr>
        <w:t> </w:t>
      </w:r>
      <w:r>
        <w:rPr>
          <w:spacing w:val="-2"/>
          <w:sz w:val="21"/>
        </w:rPr>
        <w:t>not</w:t>
      </w:r>
      <w:r>
        <w:rPr>
          <w:spacing w:val="9"/>
          <w:sz w:val="21"/>
        </w:rPr>
        <w:t> </w:t>
      </w:r>
      <w:r>
        <w:rPr>
          <w:sz w:val="21"/>
        </w:rPr>
        <w:t>been</w:t>
      </w:r>
      <w:r>
        <w:rPr>
          <w:spacing w:val="9"/>
          <w:sz w:val="21"/>
        </w:rPr>
        <w:t> </w:t>
      </w:r>
      <w:r>
        <w:rPr>
          <w:spacing w:val="-3"/>
          <w:sz w:val="21"/>
        </w:rPr>
        <w:t>fully</w:t>
      </w:r>
      <w:r>
        <w:rPr>
          <w:spacing w:val="10"/>
          <w:sz w:val="21"/>
        </w:rPr>
        <w:t> </w:t>
      </w:r>
      <w:r>
        <w:rPr>
          <w:spacing w:val="-3"/>
          <w:sz w:val="21"/>
        </w:rPr>
        <w:t>complied</w:t>
      </w:r>
      <w:r>
        <w:rPr>
          <w:spacing w:val="9"/>
          <w:sz w:val="21"/>
        </w:rPr>
        <w:t> </w:t>
      </w:r>
      <w:r>
        <w:rPr>
          <w:sz w:val="21"/>
        </w:rPr>
        <w:t>with</w:t>
      </w:r>
      <w:r>
        <w:rPr>
          <w:spacing w:val="9"/>
          <w:sz w:val="21"/>
        </w:rPr>
        <w:t> </w:t>
      </w:r>
      <w:r>
        <w:rPr>
          <w:sz w:val="21"/>
        </w:rPr>
        <w:t>by</w:t>
      </w:r>
      <w:r>
        <w:rPr>
          <w:spacing w:val="10"/>
          <w:sz w:val="21"/>
        </w:rPr>
        <w:t> </w:t>
      </w:r>
      <w:r>
        <w:rPr>
          <w:sz w:val="21"/>
        </w:rPr>
        <w:t>the</w:t>
      </w:r>
      <w:r>
        <w:rPr>
          <w:spacing w:val="9"/>
          <w:sz w:val="21"/>
        </w:rPr>
        <w:t> </w:t>
      </w:r>
      <w:r>
        <w:rPr>
          <w:sz w:val="21"/>
        </w:rPr>
        <w:t>tree</w:t>
      </w:r>
      <w:r>
        <w:rPr>
          <w:spacing w:val="9"/>
          <w:sz w:val="21"/>
        </w:rPr>
        <w:t> </w:t>
      </w:r>
      <w:r>
        <w:rPr>
          <w:sz w:val="21"/>
        </w:rPr>
        <w:t>owner</w:t>
      </w:r>
    </w:p>
    <w:p>
      <w:pPr>
        <w:pStyle w:val="ListParagraph"/>
        <w:numPr>
          <w:ilvl w:val="2"/>
          <w:numId w:val="16"/>
        </w:numPr>
        <w:tabs>
          <w:tab w:pos="2778" w:val="left" w:leader="none"/>
          <w:tab w:pos="2779" w:val="left" w:leader="none"/>
        </w:tabs>
        <w:spacing w:line="240" w:lineRule="auto" w:before="89" w:after="0"/>
        <w:ind w:left="2778" w:right="0" w:hanging="397"/>
        <w:jc w:val="left"/>
        <w:rPr>
          <w:sz w:val="21"/>
        </w:rPr>
      </w:pPr>
      <w:r>
        <w:rPr>
          <w:w w:val="105"/>
          <w:sz w:val="21"/>
        </w:rPr>
        <w:t>where there is an order </w:t>
      </w:r>
      <w:r>
        <w:rPr>
          <w:spacing w:val="-3"/>
          <w:w w:val="105"/>
          <w:sz w:val="21"/>
        </w:rPr>
        <w:t>for </w:t>
      </w:r>
      <w:r>
        <w:rPr>
          <w:w w:val="105"/>
          <w:sz w:val="21"/>
        </w:rPr>
        <w:t>ongoing</w:t>
      </w:r>
      <w:r>
        <w:rPr>
          <w:spacing w:val="35"/>
          <w:w w:val="105"/>
          <w:sz w:val="21"/>
        </w:rPr>
        <w:t> </w:t>
      </w:r>
      <w:r>
        <w:rPr>
          <w:spacing w:val="-3"/>
          <w:w w:val="105"/>
          <w:sz w:val="21"/>
        </w:rPr>
        <w:t>maintenance</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z w:val="21"/>
        </w:rPr>
        <w:t>where</w:t>
      </w:r>
      <w:r>
        <w:rPr>
          <w:spacing w:val="11"/>
          <w:sz w:val="21"/>
        </w:rPr>
        <w:t> </w:t>
      </w:r>
      <w:r>
        <w:rPr>
          <w:sz w:val="21"/>
        </w:rPr>
        <w:t>an</w:t>
      </w:r>
      <w:r>
        <w:rPr>
          <w:spacing w:val="11"/>
          <w:sz w:val="21"/>
        </w:rPr>
        <w:t> </w:t>
      </w:r>
      <w:r>
        <w:rPr>
          <w:sz w:val="21"/>
        </w:rPr>
        <w:t>order</w:t>
      </w:r>
      <w:r>
        <w:rPr>
          <w:spacing w:val="12"/>
          <w:sz w:val="21"/>
        </w:rPr>
        <w:t> </w:t>
      </w:r>
      <w:r>
        <w:rPr>
          <w:spacing w:val="-3"/>
          <w:sz w:val="21"/>
        </w:rPr>
        <w:t>stipulates</w:t>
      </w:r>
      <w:r>
        <w:rPr>
          <w:spacing w:val="11"/>
          <w:sz w:val="21"/>
        </w:rPr>
        <w:t> </w:t>
      </w:r>
      <w:r>
        <w:rPr>
          <w:spacing w:val="-3"/>
          <w:sz w:val="21"/>
        </w:rPr>
        <w:t>shared</w:t>
      </w:r>
      <w:r>
        <w:rPr>
          <w:spacing w:val="12"/>
          <w:sz w:val="21"/>
        </w:rPr>
        <w:t> </w:t>
      </w:r>
      <w:r>
        <w:rPr>
          <w:spacing w:val="-3"/>
          <w:sz w:val="21"/>
        </w:rPr>
        <w:t>responsibility</w:t>
      </w:r>
      <w:r>
        <w:rPr>
          <w:spacing w:val="11"/>
          <w:sz w:val="21"/>
        </w:rPr>
        <w:t> </w:t>
      </w:r>
      <w:r>
        <w:rPr>
          <w:spacing w:val="-3"/>
          <w:sz w:val="21"/>
        </w:rPr>
        <w:t>for</w:t>
      </w:r>
      <w:r>
        <w:rPr>
          <w:spacing w:val="11"/>
          <w:sz w:val="21"/>
        </w:rPr>
        <w:t> </w:t>
      </w:r>
      <w:r>
        <w:rPr>
          <w:spacing w:val="-3"/>
          <w:sz w:val="21"/>
        </w:rPr>
        <w:t>any</w:t>
      </w:r>
      <w:r>
        <w:rPr>
          <w:spacing w:val="12"/>
          <w:sz w:val="21"/>
        </w:rPr>
        <w:t> </w:t>
      </w:r>
      <w:r>
        <w:rPr>
          <w:sz w:val="21"/>
        </w:rPr>
        <w:t>tree</w:t>
      </w:r>
      <w:r>
        <w:rPr>
          <w:spacing w:val="11"/>
          <w:sz w:val="21"/>
        </w:rPr>
        <w:t> </w:t>
      </w:r>
      <w:r>
        <w:rPr>
          <w:sz w:val="21"/>
        </w:rPr>
        <w:t>works</w:t>
      </w:r>
      <w:r>
        <w:rPr>
          <w:spacing w:val="12"/>
          <w:sz w:val="21"/>
        </w:rPr>
        <w:t> </w:t>
      </w:r>
      <w:r>
        <w:rPr>
          <w:sz w:val="21"/>
        </w:rPr>
        <w:t>or</w:t>
      </w:r>
      <w:r>
        <w:rPr>
          <w:spacing w:val="11"/>
          <w:sz w:val="21"/>
        </w:rPr>
        <w:t> </w:t>
      </w:r>
      <w:r>
        <w:rPr>
          <w:spacing w:val="-4"/>
          <w:sz w:val="21"/>
        </w:rPr>
        <w:t>maintenance.</w:t>
      </w:r>
    </w:p>
    <w:p>
      <w:pPr>
        <w:pStyle w:val="ListParagraph"/>
        <w:numPr>
          <w:ilvl w:val="1"/>
          <w:numId w:val="16"/>
        </w:numPr>
        <w:tabs>
          <w:tab w:pos="2382" w:val="left" w:leader="none"/>
        </w:tabs>
        <w:spacing w:line="242" w:lineRule="auto" w:before="88" w:after="0"/>
        <w:ind w:left="2381" w:right="2262" w:hanging="794"/>
        <w:jc w:val="both"/>
        <w:rPr>
          <w:sz w:val="21"/>
        </w:rPr>
      </w:pPr>
      <w:r>
        <w:rPr>
          <w:w w:val="105"/>
          <w:sz w:val="21"/>
        </w:rPr>
        <w:t>The</w:t>
      </w:r>
      <w:r>
        <w:rPr>
          <w:spacing w:val="-10"/>
          <w:w w:val="105"/>
          <w:sz w:val="21"/>
        </w:rPr>
        <w:t> </w:t>
      </w:r>
      <w:r>
        <w:rPr>
          <w:w w:val="105"/>
          <w:sz w:val="21"/>
        </w:rPr>
        <w:t>majority</w:t>
      </w:r>
      <w:r>
        <w:rPr>
          <w:spacing w:val="-9"/>
          <w:w w:val="105"/>
          <w:sz w:val="21"/>
        </w:rPr>
        <w:t> </w:t>
      </w:r>
      <w:r>
        <w:rPr>
          <w:w w:val="105"/>
          <w:sz w:val="21"/>
        </w:rPr>
        <w:t>of</w:t>
      </w:r>
      <w:r>
        <w:rPr>
          <w:spacing w:val="-9"/>
          <w:w w:val="105"/>
          <w:sz w:val="21"/>
        </w:rPr>
        <w:t> </w:t>
      </w:r>
      <w:r>
        <w:rPr>
          <w:w w:val="105"/>
          <w:sz w:val="21"/>
        </w:rPr>
        <w:t>people</w:t>
      </w:r>
      <w:r>
        <w:rPr>
          <w:spacing w:val="-9"/>
          <w:w w:val="105"/>
          <w:sz w:val="21"/>
        </w:rPr>
        <w:t> </w:t>
      </w:r>
      <w:r>
        <w:rPr>
          <w:w w:val="105"/>
          <w:sz w:val="21"/>
        </w:rPr>
        <w:t>who</w:t>
      </w:r>
      <w:r>
        <w:rPr>
          <w:spacing w:val="-9"/>
          <w:w w:val="105"/>
          <w:sz w:val="21"/>
        </w:rPr>
        <w:t> </w:t>
      </w:r>
      <w:r>
        <w:rPr>
          <w:w w:val="105"/>
          <w:sz w:val="21"/>
        </w:rPr>
        <w:t>provided</w:t>
      </w:r>
      <w:r>
        <w:rPr>
          <w:spacing w:val="-9"/>
          <w:w w:val="105"/>
          <w:sz w:val="21"/>
        </w:rPr>
        <w:t> </w:t>
      </w:r>
      <w:r>
        <w:rPr>
          <w:w w:val="105"/>
          <w:sz w:val="21"/>
        </w:rPr>
        <w:t>responses</w:t>
      </w:r>
      <w:r>
        <w:rPr>
          <w:spacing w:val="-10"/>
          <w:w w:val="105"/>
          <w:sz w:val="21"/>
        </w:rPr>
        <w:t> </w:t>
      </w:r>
      <w:r>
        <w:rPr>
          <w:w w:val="105"/>
          <w:sz w:val="21"/>
        </w:rPr>
        <w:t>supported</w:t>
      </w:r>
      <w:r>
        <w:rPr>
          <w:spacing w:val="-9"/>
          <w:w w:val="105"/>
          <w:sz w:val="21"/>
        </w:rPr>
        <w:t> </w:t>
      </w:r>
      <w:r>
        <w:rPr>
          <w:spacing w:val="-3"/>
          <w:w w:val="105"/>
          <w:sz w:val="21"/>
        </w:rPr>
        <w:t>binding</w:t>
      </w:r>
      <w:r>
        <w:rPr>
          <w:spacing w:val="-9"/>
          <w:w w:val="105"/>
          <w:sz w:val="21"/>
        </w:rPr>
        <w:t> </w:t>
      </w:r>
      <w:r>
        <w:rPr>
          <w:w w:val="105"/>
          <w:sz w:val="21"/>
        </w:rPr>
        <w:t>a</w:t>
      </w:r>
      <w:r>
        <w:rPr>
          <w:spacing w:val="-9"/>
          <w:w w:val="105"/>
          <w:sz w:val="21"/>
        </w:rPr>
        <w:t> </w:t>
      </w:r>
      <w:r>
        <w:rPr>
          <w:w w:val="105"/>
          <w:sz w:val="21"/>
        </w:rPr>
        <w:t>new</w:t>
      </w:r>
      <w:r>
        <w:rPr>
          <w:spacing w:val="-9"/>
          <w:w w:val="105"/>
          <w:sz w:val="21"/>
        </w:rPr>
        <w:t> </w:t>
      </w:r>
      <w:r>
        <w:rPr>
          <w:w w:val="105"/>
          <w:sz w:val="21"/>
        </w:rPr>
        <w:t>affected </w:t>
      </w:r>
      <w:r>
        <w:rPr>
          <w:spacing w:val="-3"/>
          <w:w w:val="105"/>
          <w:sz w:val="21"/>
        </w:rPr>
        <w:t>neighbour to </w:t>
      </w:r>
      <w:r>
        <w:rPr>
          <w:w w:val="105"/>
          <w:sz w:val="21"/>
        </w:rPr>
        <w:t>the </w:t>
      </w:r>
      <w:r>
        <w:rPr>
          <w:spacing w:val="-3"/>
          <w:w w:val="105"/>
          <w:sz w:val="21"/>
        </w:rPr>
        <w:t>outcome </w:t>
      </w:r>
      <w:r>
        <w:rPr>
          <w:w w:val="105"/>
          <w:sz w:val="21"/>
        </w:rPr>
        <w:t>of pre-existing legal action.</w:t>
      </w:r>
      <w:r>
        <w:rPr>
          <w:w w:val="105"/>
          <w:position w:val="7"/>
          <w:sz w:val="12"/>
        </w:rPr>
        <w:t>43 </w:t>
      </w:r>
      <w:r>
        <w:rPr>
          <w:w w:val="105"/>
          <w:sz w:val="21"/>
        </w:rPr>
        <w:t>It was suggested </w:t>
      </w:r>
      <w:r>
        <w:rPr>
          <w:spacing w:val="-3"/>
          <w:w w:val="105"/>
          <w:sz w:val="21"/>
        </w:rPr>
        <w:t>that </w:t>
      </w:r>
      <w:r>
        <w:rPr>
          <w:w w:val="105"/>
          <w:sz w:val="21"/>
        </w:rPr>
        <w:t>this would </w:t>
      </w:r>
      <w:r>
        <w:rPr>
          <w:spacing w:val="-3"/>
          <w:w w:val="105"/>
          <w:sz w:val="21"/>
        </w:rPr>
        <w:t>prevent </w:t>
      </w:r>
      <w:r>
        <w:rPr>
          <w:w w:val="105"/>
          <w:sz w:val="21"/>
        </w:rPr>
        <w:t>the same </w:t>
      </w:r>
      <w:r>
        <w:rPr>
          <w:spacing w:val="-3"/>
          <w:w w:val="105"/>
          <w:sz w:val="21"/>
        </w:rPr>
        <w:t>dispute arising again </w:t>
      </w:r>
      <w:r>
        <w:rPr>
          <w:w w:val="105"/>
          <w:sz w:val="21"/>
        </w:rPr>
        <w:t>and would </w:t>
      </w:r>
      <w:r>
        <w:rPr>
          <w:spacing w:val="-3"/>
          <w:w w:val="105"/>
          <w:sz w:val="21"/>
        </w:rPr>
        <w:t>promote</w:t>
      </w:r>
      <w:r>
        <w:rPr>
          <w:spacing w:val="20"/>
          <w:w w:val="105"/>
          <w:sz w:val="21"/>
        </w:rPr>
        <w:t> </w:t>
      </w:r>
      <w:r>
        <w:rPr>
          <w:w w:val="105"/>
          <w:sz w:val="21"/>
        </w:rPr>
        <w:t>closure.</w:t>
      </w:r>
      <w:r>
        <w:rPr>
          <w:w w:val="105"/>
          <w:position w:val="7"/>
          <w:sz w:val="12"/>
        </w:rPr>
        <w:t>44</w:t>
      </w:r>
    </w:p>
    <w:p>
      <w:pPr>
        <w:pStyle w:val="ListParagraph"/>
        <w:numPr>
          <w:ilvl w:val="1"/>
          <w:numId w:val="16"/>
        </w:numPr>
        <w:tabs>
          <w:tab w:pos="2380" w:val="left" w:leader="none"/>
          <w:tab w:pos="2382" w:val="left" w:leader="none"/>
        </w:tabs>
        <w:spacing w:line="242" w:lineRule="auto" w:before="124" w:after="0"/>
        <w:ind w:left="2381" w:right="1768" w:hanging="794"/>
        <w:jc w:val="left"/>
        <w:rPr>
          <w:sz w:val="21"/>
        </w:rPr>
      </w:pPr>
      <w:r>
        <w:rPr>
          <w:w w:val="105"/>
          <w:sz w:val="21"/>
        </w:rPr>
        <w:t>Others emphasised the importance of notification. It was suggested </w:t>
      </w:r>
      <w:r>
        <w:rPr>
          <w:spacing w:val="-3"/>
          <w:w w:val="105"/>
          <w:sz w:val="21"/>
        </w:rPr>
        <w:t>that </w:t>
      </w:r>
      <w:r>
        <w:rPr>
          <w:w w:val="105"/>
          <w:sz w:val="21"/>
        </w:rPr>
        <w:t>new affected neighbours</w:t>
      </w:r>
      <w:r>
        <w:rPr>
          <w:spacing w:val="-5"/>
          <w:w w:val="105"/>
          <w:sz w:val="21"/>
        </w:rPr>
        <w:t> </w:t>
      </w:r>
      <w:r>
        <w:rPr>
          <w:w w:val="105"/>
          <w:sz w:val="21"/>
        </w:rPr>
        <w:t>should</w:t>
      </w:r>
      <w:r>
        <w:rPr>
          <w:spacing w:val="-4"/>
          <w:w w:val="105"/>
          <w:sz w:val="21"/>
        </w:rPr>
        <w:t> </w:t>
      </w:r>
      <w:r>
        <w:rPr>
          <w:w w:val="105"/>
          <w:sz w:val="21"/>
        </w:rPr>
        <w:t>be</w:t>
      </w:r>
      <w:r>
        <w:rPr>
          <w:spacing w:val="-4"/>
          <w:w w:val="105"/>
          <w:sz w:val="21"/>
        </w:rPr>
        <w:t> </w:t>
      </w:r>
      <w:r>
        <w:rPr>
          <w:w w:val="105"/>
          <w:sz w:val="21"/>
        </w:rPr>
        <w:t>bound</w:t>
      </w:r>
      <w:r>
        <w:rPr>
          <w:spacing w:val="-4"/>
          <w:w w:val="105"/>
          <w:sz w:val="21"/>
        </w:rPr>
        <w:t> </w:t>
      </w:r>
      <w:r>
        <w:rPr>
          <w:w w:val="105"/>
          <w:sz w:val="21"/>
        </w:rPr>
        <w:t>only</w:t>
      </w:r>
      <w:r>
        <w:rPr>
          <w:spacing w:val="-5"/>
          <w:w w:val="105"/>
          <w:sz w:val="21"/>
        </w:rPr>
        <w:t> </w:t>
      </w:r>
      <w:r>
        <w:rPr>
          <w:w w:val="105"/>
          <w:sz w:val="21"/>
        </w:rPr>
        <w:t>if</w:t>
      </w:r>
      <w:r>
        <w:rPr>
          <w:spacing w:val="-4"/>
          <w:w w:val="105"/>
          <w:sz w:val="21"/>
        </w:rPr>
        <w:t> </w:t>
      </w:r>
      <w:r>
        <w:rPr>
          <w:w w:val="105"/>
          <w:sz w:val="21"/>
        </w:rPr>
        <w:t>they</w:t>
      </w:r>
      <w:r>
        <w:rPr>
          <w:spacing w:val="-4"/>
          <w:w w:val="105"/>
          <w:sz w:val="21"/>
        </w:rPr>
        <w:t> </w:t>
      </w:r>
      <w:r>
        <w:rPr>
          <w:spacing w:val="-3"/>
          <w:w w:val="105"/>
          <w:sz w:val="21"/>
        </w:rPr>
        <w:t>have</w:t>
      </w:r>
      <w:r>
        <w:rPr>
          <w:spacing w:val="-4"/>
          <w:w w:val="105"/>
          <w:sz w:val="21"/>
        </w:rPr>
        <w:t> </w:t>
      </w:r>
      <w:r>
        <w:rPr>
          <w:w w:val="105"/>
          <w:sz w:val="21"/>
        </w:rPr>
        <w:t>been</w:t>
      </w:r>
      <w:r>
        <w:rPr>
          <w:spacing w:val="-4"/>
          <w:w w:val="105"/>
          <w:sz w:val="21"/>
        </w:rPr>
        <w:t> </w:t>
      </w:r>
      <w:r>
        <w:rPr>
          <w:w w:val="105"/>
          <w:sz w:val="21"/>
        </w:rPr>
        <w:t>made</w:t>
      </w:r>
      <w:r>
        <w:rPr>
          <w:spacing w:val="-5"/>
          <w:w w:val="105"/>
          <w:sz w:val="21"/>
        </w:rPr>
        <w:t> </w:t>
      </w:r>
      <w:r>
        <w:rPr>
          <w:spacing w:val="-3"/>
          <w:w w:val="105"/>
          <w:sz w:val="21"/>
        </w:rPr>
        <w:t>aware</w:t>
      </w:r>
      <w:r>
        <w:rPr>
          <w:spacing w:val="-4"/>
          <w:w w:val="105"/>
          <w:sz w:val="21"/>
        </w:rPr>
        <w:t> </w:t>
      </w:r>
      <w:r>
        <w:rPr>
          <w:w w:val="105"/>
          <w:sz w:val="21"/>
        </w:rPr>
        <w:t>of</w:t>
      </w:r>
      <w:r>
        <w:rPr>
          <w:spacing w:val="-4"/>
          <w:w w:val="105"/>
          <w:sz w:val="21"/>
        </w:rPr>
        <w:t> </w:t>
      </w:r>
      <w:r>
        <w:rPr>
          <w:w w:val="105"/>
          <w:sz w:val="21"/>
        </w:rPr>
        <w:t>legal</w:t>
      </w:r>
      <w:r>
        <w:rPr>
          <w:spacing w:val="-4"/>
          <w:w w:val="105"/>
          <w:sz w:val="21"/>
        </w:rPr>
        <w:t> </w:t>
      </w:r>
      <w:r>
        <w:rPr>
          <w:w w:val="105"/>
          <w:sz w:val="21"/>
        </w:rPr>
        <w:t>action</w:t>
      </w:r>
      <w:r>
        <w:rPr>
          <w:spacing w:val="-4"/>
          <w:w w:val="105"/>
          <w:sz w:val="21"/>
        </w:rPr>
        <w:t> </w:t>
      </w:r>
      <w:r>
        <w:rPr>
          <w:w w:val="105"/>
          <w:sz w:val="21"/>
        </w:rPr>
        <w:t>and</w:t>
      </w:r>
      <w:r>
        <w:rPr>
          <w:spacing w:val="-5"/>
          <w:w w:val="105"/>
          <w:sz w:val="21"/>
        </w:rPr>
        <w:t> </w:t>
      </w:r>
      <w:r>
        <w:rPr>
          <w:spacing w:val="-3"/>
          <w:w w:val="105"/>
          <w:sz w:val="21"/>
        </w:rPr>
        <w:t>any </w:t>
      </w:r>
      <w:r>
        <w:rPr>
          <w:w w:val="105"/>
          <w:sz w:val="21"/>
        </w:rPr>
        <w:t>orders prior </w:t>
      </w:r>
      <w:r>
        <w:rPr>
          <w:spacing w:val="-3"/>
          <w:w w:val="105"/>
          <w:sz w:val="21"/>
        </w:rPr>
        <w:t>to purchasing, such </w:t>
      </w:r>
      <w:r>
        <w:rPr>
          <w:w w:val="105"/>
          <w:sz w:val="21"/>
        </w:rPr>
        <w:t>as </w:t>
      </w:r>
      <w:r>
        <w:rPr>
          <w:spacing w:val="-3"/>
          <w:w w:val="105"/>
          <w:sz w:val="21"/>
        </w:rPr>
        <w:t>through </w:t>
      </w:r>
      <w:r>
        <w:rPr>
          <w:w w:val="105"/>
          <w:sz w:val="21"/>
        </w:rPr>
        <w:t>a </w:t>
      </w:r>
      <w:r>
        <w:rPr>
          <w:spacing w:val="-3"/>
          <w:w w:val="105"/>
          <w:sz w:val="21"/>
        </w:rPr>
        <w:t>real </w:t>
      </w:r>
      <w:r>
        <w:rPr>
          <w:w w:val="105"/>
          <w:sz w:val="21"/>
        </w:rPr>
        <w:t>estate agent, or a Section </w:t>
      </w:r>
      <w:r>
        <w:rPr>
          <w:spacing w:val="-4"/>
          <w:w w:val="105"/>
          <w:sz w:val="21"/>
        </w:rPr>
        <w:t>32 </w:t>
      </w:r>
      <w:r>
        <w:rPr>
          <w:spacing w:val="-3"/>
          <w:w w:val="105"/>
          <w:sz w:val="21"/>
        </w:rPr>
        <w:t>Vendor Statement </w:t>
      </w:r>
      <w:r>
        <w:rPr>
          <w:w w:val="105"/>
          <w:sz w:val="21"/>
        </w:rPr>
        <w:t>under the </w:t>
      </w:r>
      <w:r>
        <w:rPr>
          <w:i/>
          <w:w w:val="105"/>
          <w:sz w:val="21"/>
        </w:rPr>
        <w:t>Sale </w:t>
      </w:r>
      <w:r>
        <w:rPr>
          <w:i/>
          <w:spacing w:val="-3"/>
          <w:w w:val="105"/>
          <w:sz w:val="21"/>
        </w:rPr>
        <w:t>of </w:t>
      </w:r>
      <w:r>
        <w:rPr>
          <w:i/>
          <w:w w:val="105"/>
          <w:sz w:val="21"/>
        </w:rPr>
        <w:t>Land Act </w:t>
      </w:r>
      <w:r>
        <w:rPr>
          <w:i/>
          <w:spacing w:val="-5"/>
          <w:w w:val="105"/>
          <w:sz w:val="21"/>
        </w:rPr>
        <w:t>1962</w:t>
      </w:r>
      <w:r>
        <w:rPr>
          <w:i/>
          <w:spacing w:val="2"/>
          <w:w w:val="105"/>
          <w:sz w:val="21"/>
        </w:rPr>
        <w:t> </w:t>
      </w:r>
      <w:r>
        <w:rPr>
          <w:w w:val="105"/>
          <w:sz w:val="21"/>
        </w:rPr>
        <w:t>(Vic)</w:t>
      </w:r>
      <w:r>
        <w:rPr>
          <w:w w:val="105"/>
          <w:position w:val="7"/>
          <w:sz w:val="12"/>
        </w:rPr>
        <w:t>45</w:t>
      </w:r>
    </w:p>
    <w:p>
      <w:pPr>
        <w:pStyle w:val="ListParagraph"/>
        <w:numPr>
          <w:ilvl w:val="1"/>
          <w:numId w:val="16"/>
        </w:numPr>
        <w:tabs>
          <w:tab w:pos="2380" w:val="left" w:leader="none"/>
          <w:tab w:pos="2381" w:val="left" w:leader="none"/>
        </w:tabs>
        <w:spacing w:line="242" w:lineRule="auto" w:before="124" w:after="0"/>
        <w:ind w:left="2381" w:right="1802" w:hanging="794"/>
        <w:jc w:val="left"/>
        <w:rPr>
          <w:sz w:val="21"/>
        </w:rPr>
      </w:pPr>
      <w:r>
        <w:rPr>
          <w:w w:val="105"/>
          <w:sz w:val="21"/>
        </w:rPr>
        <w:t>One </w:t>
      </w:r>
      <w:r>
        <w:rPr>
          <w:spacing w:val="-3"/>
          <w:w w:val="105"/>
          <w:sz w:val="21"/>
        </w:rPr>
        <w:t>submission noted that </w:t>
      </w:r>
      <w:r>
        <w:rPr>
          <w:w w:val="105"/>
          <w:sz w:val="21"/>
        </w:rPr>
        <w:t>there should be scope </w:t>
      </w:r>
      <w:r>
        <w:rPr>
          <w:spacing w:val="-3"/>
          <w:w w:val="105"/>
          <w:sz w:val="21"/>
        </w:rPr>
        <w:t>for </w:t>
      </w:r>
      <w:r>
        <w:rPr>
          <w:w w:val="105"/>
          <w:sz w:val="21"/>
        </w:rPr>
        <w:t>new </w:t>
      </w:r>
      <w:r>
        <w:rPr>
          <w:spacing w:val="-3"/>
          <w:w w:val="105"/>
          <w:sz w:val="21"/>
        </w:rPr>
        <w:t>land </w:t>
      </w:r>
      <w:r>
        <w:rPr>
          <w:w w:val="105"/>
          <w:sz w:val="21"/>
        </w:rPr>
        <w:t>owners </w:t>
      </w:r>
      <w:r>
        <w:rPr>
          <w:spacing w:val="-3"/>
          <w:w w:val="105"/>
          <w:sz w:val="21"/>
        </w:rPr>
        <w:t>to ‘bring </w:t>
      </w:r>
      <w:r>
        <w:rPr>
          <w:w w:val="105"/>
          <w:sz w:val="21"/>
        </w:rPr>
        <w:t>in new </w:t>
      </w:r>
      <w:r>
        <w:rPr>
          <w:spacing w:val="-2"/>
          <w:w w:val="105"/>
          <w:sz w:val="21"/>
        </w:rPr>
        <w:t>ideas’ </w:t>
      </w:r>
      <w:r>
        <w:rPr>
          <w:w w:val="105"/>
          <w:sz w:val="21"/>
        </w:rPr>
        <w:t>about how the tree </w:t>
      </w:r>
      <w:r>
        <w:rPr>
          <w:spacing w:val="-3"/>
          <w:w w:val="105"/>
          <w:sz w:val="21"/>
        </w:rPr>
        <w:t>could </w:t>
      </w:r>
      <w:r>
        <w:rPr>
          <w:w w:val="105"/>
          <w:sz w:val="21"/>
        </w:rPr>
        <w:t>be managed despite existing orders. They suggested </w:t>
      </w:r>
      <w:r>
        <w:rPr>
          <w:spacing w:val="-3"/>
          <w:w w:val="105"/>
          <w:sz w:val="21"/>
        </w:rPr>
        <w:t>that </w:t>
      </w:r>
      <w:r>
        <w:rPr>
          <w:w w:val="105"/>
          <w:sz w:val="21"/>
        </w:rPr>
        <w:t>a tree </w:t>
      </w:r>
      <w:r>
        <w:rPr>
          <w:spacing w:val="-3"/>
          <w:w w:val="105"/>
          <w:sz w:val="21"/>
        </w:rPr>
        <w:t>dispute </w:t>
      </w:r>
      <w:r>
        <w:rPr>
          <w:w w:val="105"/>
          <w:sz w:val="21"/>
        </w:rPr>
        <w:t>with the </w:t>
      </w:r>
      <w:r>
        <w:rPr>
          <w:spacing w:val="-3"/>
          <w:w w:val="105"/>
          <w:sz w:val="21"/>
        </w:rPr>
        <w:t>original </w:t>
      </w:r>
      <w:r>
        <w:rPr>
          <w:w w:val="105"/>
          <w:sz w:val="21"/>
        </w:rPr>
        <w:t>owner </w:t>
      </w:r>
      <w:r>
        <w:rPr>
          <w:spacing w:val="-3"/>
          <w:w w:val="105"/>
          <w:sz w:val="21"/>
        </w:rPr>
        <w:t>may have </w:t>
      </w:r>
      <w:r>
        <w:rPr>
          <w:spacing w:val="-2"/>
          <w:w w:val="105"/>
          <w:sz w:val="21"/>
        </w:rPr>
        <w:t>had </w:t>
      </w:r>
      <w:r>
        <w:rPr>
          <w:spacing w:val="-3"/>
          <w:w w:val="105"/>
          <w:sz w:val="21"/>
        </w:rPr>
        <w:t>interpersonal dimensions, </w:t>
      </w:r>
      <w:r>
        <w:rPr>
          <w:w w:val="105"/>
          <w:sz w:val="21"/>
        </w:rPr>
        <w:t>so the introduction of new owners </w:t>
      </w:r>
      <w:r>
        <w:rPr>
          <w:spacing w:val="-3"/>
          <w:w w:val="105"/>
          <w:sz w:val="21"/>
        </w:rPr>
        <w:t>may bring interpersonal </w:t>
      </w:r>
      <w:r>
        <w:rPr>
          <w:w w:val="105"/>
          <w:sz w:val="21"/>
        </w:rPr>
        <w:t>conflict </w:t>
      </w:r>
      <w:r>
        <w:rPr>
          <w:spacing w:val="-3"/>
          <w:w w:val="105"/>
          <w:sz w:val="21"/>
        </w:rPr>
        <w:t>to </w:t>
      </w:r>
      <w:r>
        <w:rPr>
          <w:w w:val="105"/>
          <w:sz w:val="21"/>
        </w:rPr>
        <w:t>an</w:t>
      </w:r>
      <w:r>
        <w:rPr>
          <w:spacing w:val="-15"/>
          <w:w w:val="105"/>
          <w:sz w:val="21"/>
        </w:rPr>
        <w:t> </w:t>
      </w:r>
      <w:r>
        <w:rPr>
          <w:w w:val="105"/>
          <w:sz w:val="21"/>
        </w:rPr>
        <w:t>end.</w:t>
      </w:r>
      <w:r>
        <w:rPr>
          <w:w w:val="105"/>
          <w:position w:val="7"/>
          <w:sz w:val="12"/>
        </w:rPr>
        <w:t>46</w:t>
      </w:r>
      <w:r>
        <w:rPr>
          <w:w w:val="105"/>
          <w:sz w:val="21"/>
        </w:rPr>
        <w:t>Another</w:t>
      </w:r>
    </w:p>
    <w:p>
      <w:pPr>
        <w:pStyle w:val="BodyText"/>
        <w:spacing w:line="242" w:lineRule="auto" w:before="4"/>
        <w:ind w:left="2381" w:right="1499"/>
      </w:pPr>
      <w:r>
        <w:rPr>
          <w:w w:val="105"/>
        </w:rPr>
        <w:t>suggestion was that compliance with an order should be optional because a new affected neighbour may not need it:</w:t>
      </w:r>
    </w:p>
    <w:p>
      <w:pPr>
        <w:spacing w:line="254" w:lineRule="auto" w:before="132"/>
        <w:ind w:left="2834" w:right="1636" w:firstLine="0"/>
        <w:jc w:val="left"/>
        <w:rPr>
          <w:sz w:val="11"/>
        </w:rPr>
      </w:pPr>
      <w:r>
        <w:rPr>
          <w:sz w:val="20"/>
        </w:rPr>
        <w:t>The new owner of a site for which the previous owners successfully achieved a determination as a response to dispute action may in turn appreciate the presence of the tree, and not wish to remove or jeopardise its future potential. It should be optional.</w:t>
      </w:r>
      <w:r>
        <w:rPr>
          <w:position w:val="7"/>
          <w:sz w:val="11"/>
        </w:rPr>
        <w:t>47</w:t>
      </w:r>
    </w:p>
    <w:p>
      <w:pPr>
        <w:pStyle w:val="BodyText"/>
        <w:rPr>
          <w:sz w:val="20"/>
        </w:rPr>
      </w:pPr>
    </w:p>
    <w:p>
      <w:pPr>
        <w:pStyle w:val="BodyText"/>
        <w:rPr>
          <w:sz w:val="20"/>
        </w:rPr>
      </w:pPr>
    </w:p>
    <w:p>
      <w:pPr>
        <w:pStyle w:val="BodyText"/>
        <w:spacing w:before="10"/>
        <w:rPr>
          <w:sz w:val="14"/>
        </w:rPr>
      </w:pPr>
      <w:r>
        <w:rPr/>
        <w:pict>
          <v:line style="position:absolute;mso-position-horizontal-relative:page;mso-position-vertical-relative:paragraph;z-index:10832;mso-wrap-distance-left:0;mso-wrap-distance-right:0" from="79.370102pt,11.514082pt" to="515.905102pt,11.514082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spacing w:before="176"/>
        <w:ind w:left="720" w:right="0" w:firstLine="0"/>
        <w:jc w:val="left"/>
        <w:rPr>
          <w:b/>
          <w:sz w:val="24"/>
        </w:rPr>
      </w:pPr>
      <w:r>
        <w:rPr>
          <w:b/>
          <w:color w:val="658464"/>
          <w:w w:val="110"/>
          <w:sz w:val="24"/>
        </w:rPr>
        <w:t>264</w:t>
      </w:r>
    </w:p>
    <w:p>
      <w:pPr>
        <w:pStyle w:val="ListParagraph"/>
        <w:numPr>
          <w:ilvl w:val="0"/>
          <w:numId w:val="193"/>
        </w:numPr>
        <w:tabs>
          <w:tab w:pos="1218" w:val="left" w:leader="none"/>
          <w:tab w:pos="1219" w:val="left" w:leader="none"/>
        </w:tabs>
        <w:spacing w:line="240" w:lineRule="auto" w:before="48" w:after="0"/>
        <w:ind w:left="1218" w:right="0" w:hanging="794"/>
        <w:jc w:val="left"/>
        <w:rPr>
          <w:sz w:val="13"/>
        </w:rPr>
      </w:pPr>
      <w:r>
        <w:rPr>
          <w:spacing w:val="-7"/>
          <w:w w:val="102"/>
          <w:sz w:val="13"/>
        </w:rPr>
        <w:br w:type="column"/>
      </w:r>
      <w:r>
        <w:rPr>
          <w:w w:val="105"/>
          <w:sz w:val="13"/>
        </w:rPr>
        <w:t>Tasmania, </w:t>
      </w:r>
      <w:r>
        <w:rPr>
          <w:i/>
          <w:w w:val="105"/>
          <w:sz w:val="13"/>
        </w:rPr>
        <w:t>Parliamentary Debates, House of Assembly</w:t>
      </w:r>
      <w:r>
        <w:rPr>
          <w:w w:val="105"/>
          <w:sz w:val="13"/>
        </w:rPr>
        <w:t>, 4 April </w:t>
      </w:r>
      <w:r>
        <w:rPr>
          <w:spacing w:val="-5"/>
          <w:w w:val="105"/>
          <w:sz w:val="13"/>
        </w:rPr>
        <w:t>2017, </w:t>
      </w:r>
      <w:r>
        <w:rPr>
          <w:w w:val="105"/>
          <w:sz w:val="13"/>
        </w:rPr>
        <w:t>8 </w:t>
      </w:r>
      <w:r>
        <w:rPr>
          <w:spacing w:val="2"/>
          <w:w w:val="105"/>
          <w:sz w:val="13"/>
        </w:rPr>
        <w:t>(Rene</w:t>
      </w:r>
      <w:r>
        <w:rPr>
          <w:spacing w:val="32"/>
          <w:w w:val="105"/>
          <w:sz w:val="13"/>
        </w:rPr>
        <w:t> </w:t>
      </w:r>
      <w:r>
        <w:rPr>
          <w:w w:val="105"/>
          <w:sz w:val="13"/>
        </w:rPr>
        <w:t>Hidding).</w:t>
      </w:r>
    </w:p>
    <w:p>
      <w:pPr>
        <w:pStyle w:val="ListParagraph"/>
        <w:numPr>
          <w:ilvl w:val="0"/>
          <w:numId w:val="193"/>
        </w:numPr>
        <w:tabs>
          <w:tab w:pos="1218" w:val="left" w:leader="none"/>
          <w:tab w:pos="1219" w:val="left" w:leader="none"/>
        </w:tabs>
        <w:spacing w:line="240" w:lineRule="auto" w:before="1" w:after="0"/>
        <w:ind w:left="1218" w:right="1728" w:hanging="794"/>
        <w:jc w:val="left"/>
        <w:rPr>
          <w:sz w:val="13"/>
        </w:rPr>
      </w:pPr>
      <w:r>
        <w:rPr>
          <w:i/>
          <w:w w:val="105"/>
          <w:sz w:val="13"/>
        </w:rPr>
        <w:t>Neighbourhood Disputes About Plants Act </w:t>
      </w:r>
      <w:r>
        <w:rPr>
          <w:i/>
          <w:spacing w:val="-4"/>
          <w:w w:val="105"/>
          <w:sz w:val="13"/>
        </w:rPr>
        <w:t>2017  </w:t>
      </w:r>
      <w:r>
        <w:rPr>
          <w:w w:val="105"/>
          <w:sz w:val="13"/>
        </w:rPr>
        <w:t>(Tas) s </w:t>
      </w:r>
      <w:r>
        <w:rPr>
          <w:spacing w:val="2"/>
          <w:w w:val="105"/>
          <w:sz w:val="13"/>
        </w:rPr>
        <w:t>37(4); </w:t>
      </w:r>
      <w:r>
        <w:rPr>
          <w:w w:val="105"/>
          <w:sz w:val="13"/>
        </w:rPr>
        <w:t>Resource Management and Planning Appeal Tribunal, </w:t>
      </w:r>
      <w:r>
        <w:rPr>
          <w:i/>
          <w:w w:val="105"/>
          <w:sz w:val="13"/>
        </w:rPr>
        <w:t>Practice Direction No   </w:t>
      </w:r>
      <w:r>
        <w:rPr>
          <w:i/>
          <w:spacing w:val="-3"/>
          <w:w w:val="105"/>
          <w:sz w:val="13"/>
        </w:rPr>
        <w:t>18 </w:t>
      </w:r>
      <w:r>
        <w:rPr>
          <w:i/>
          <w:w w:val="105"/>
          <w:sz w:val="13"/>
        </w:rPr>
        <w:t>— Applications under the Neighbourhood Disputes About Plants Act </w:t>
      </w:r>
      <w:r>
        <w:rPr>
          <w:i/>
          <w:spacing w:val="-4"/>
          <w:w w:val="105"/>
          <w:sz w:val="13"/>
        </w:rPr>
        <w:t>2017 </w:t>
      </w:r>
      <w:r>
        <w:rPr>
          <w:spacing w:val="-3"/>
          <w:w w:val="105"/>
          <w:sz w:val="13"/>
        </w:rPr>
        <w:t>(19 </w:t>
      </w:r>
      <w:r>
        <w:rPr>
          <w:w w:val="105"/>
          <w:sz w:val="13"/>
        </w:rPr>
        <w:t>November 2018) [18.5.1]. It costs individuals $23.70 to search the database pursuant to s 37(4) of the </w:t>
      </w:r>
      <w:r>
        <w:rPr>
          <w:i/>
          <w:w w:val="105"/>
          <w:sz w:val="13"/>
        </w:rPr>
        <w:t>Neighbourhood Disputes About Plants Act </w:t>
      </w:r>
      <w:r>
        <w:rPr>
          <w:i/>
          <w:spacing w:val="-4"/>
          <w:w w:val="105"/>
          <w:sz w:val="13"/>
        </w:rPr>
        <w:t>2017 </w:t>
      </w:r>
      <w:r>
        <w:rPr>
          <w:w w:val="105"/>
          <w:sz w:val="13"/>
        </w:rPr>
        <w:t>(Tas): Resource Management &amp; Planning Appeal</w:t>
      </w:r>
      <w:r>
        <w:rPr>
          <w:spacing w:val="4"/>
          <w:w w:val="105"/>
          <w:sz w:val="13"/>
        </w:rPr>
        <w:t> </w:t>
      </w:r>
      <w:r>
        <w:rPr>
          <w:w w:val="105"/>
          <w:sz w:val="13"/>
        </w:rPr>
        <w:t>Tribunal,</w:t>
      </w:r>
      <w:r>
        <w:rPr>
          <w:spacing w:val="4"/>
          <w:w w:val="105"/>
          <w:sz w:val="13"/>
        </w:rPr>
        <w:t> </w:t>
      </w:r>
      <w:r>
        <w:rPr>
          <w:i/>
          <w:w w:val="105"/>
          <w:sz w:val="13"/>
        </w:rPr>
        <w:t>Table</w:t>
      </w:r>
      <w:r>
        <w:rPr>
          <w:i/>
          <w:spacing w:val="4"/>
          <w:w w:val="105"/>
          <w:sz w:val="13"/>
        </w:rPr>
        <w:t> </w:t>
      </w:r>
      <w:r>
        <w:rPr>
          <w:i/>
          <w:w w:val="105"/>
          <w:sz w:val="13"/>
        </w:rPr>
        <w:t>of</w:t>
      </w:r>
      <w:r>
        <w:rPr>
          <w:i/>
          <w:spacing w:val="4"/>
          <w:w w:val="105"/>
          <w:sz w:val="13"/>
        </w:rPr>
        <w:t> </w:t>
      </w:r>
      <w:r>
        <w:rPr>
          <w:i/>
          <w:w w:val="105"/>
          <w:sz w:val="13"/>
        </w:rPr>
        <w:t>Fees</w:t>
      </w:r>
      <w:r>
        <w:rPr>
          <w:i/>
          <w:spacing w:val="5"/>
          <w:w w:val="105"/>
          <w:sz w:val="13"/>
        </w:rPr>
        <w:t> </w:t>
      </w:r>
      <w:r>
        <w:rPr>
          <w:w w:val="105"/>
          <w:sz w:val="13"/>
        </w:rPr>
        <w:t>(effective</w:t>
      </w:r>
      <w:r>
        <w:rPr>
          <w:spacing w:val="4"/>
          <w:w w:val="105"/>
          <w:sz w:val="13"/>
        </w:rPr>
        <w:t> </w:t>
      </w:r>
      <w:r>
        <w:rPr>
          <w:w w:val="105"/>
          <w:sz w:val="13"/>
        </w:rPr>
        <w:t>from</w:t>
      </w:r>
      <w:r>
        <w:rPr>
          <w:spacing w:val="4"/>
          <w:w w:val="105"/>
          <w:sz w:val="13"/>
        </w:rPr>
        <w:t> </w:t>
      </w:r>
      <w:r>
        <w:rPr>
          <w:w w:val="105"/>
          <w:sz w:val="13"/>
        </w:rPr>
        <w:t>1</w:t>
      </w:r>
      <w:r>
        <w:rPr>
          <w:spacing w:val="4"/>
          <w:w w:val="105"/>
          <w:sz w:val="13"/>
        </w:rPr>
        <w:t> </w:t>
      </w:r>
      <w:r>
        <w:rPr>
          <w:w w:val="105"/>
          <w:sz w:val="13"/>
        </w:rPr>
        <w:t>July</w:t>
      </w:r>
      <w:r>
        <w:rPr>
          <w:spacing w:val="4"/>
          <w:w w:val="105"/>
          <w:sz w:val="13"/>
        </w:rPr>
        <w:t> </w:t>
      </w:r>
      <w:r>
        <w:rPr>
          <w:w w:val="105"/>
          <w:sz w:val="13"/>
        </w:rPr>
        <w:t>2018)</w:t>
      </w:r>
      <w:r>
        <w:rPr>
          <w:spacing w:val="5"/>
          <w:w w:val="105"/>
          <w:sz w:val="13"/>
        </w:rPr>
        <w:t> </w:t>
      </w:r>
      <w:r>
        <w:rPr>
          <w:spacing w:val="2"/>
          <w:w w:val="105"/>
          <w:sz w:val="13"/>
        </w:rPr>
        <w:t>&lt;https://</w:t>
      </w:r>
      <w:hyperlink r:id="rId310">
        <w:r>
          <w:rPr>
            <w:spacing w:val="2"/>
            <w:w w:val="105"/>
            <w:sz w:val="13"/>
          </w:rPr>
          <w:t>www.rmpat.tas.gov.au/fees</w:t>
        </w:r>
      </w:hyperlink>
      <w:r>
        <w:rPr>
          <w:spacing w:val="2"/>
          <w:w w:val="105"/>
          <w:sz w:val="13"/>
        </w:rPr>
        <w:t>&gt;.</w:t>
      </w:r>
    </w:p>
    <w:p>
      <w:pPr>
        <w:pStyle w:val="ListParagraph"/>
        <w:numPr>
          <w:ilvl w:val="0"/>
          <w:numId w:val="193"/>
        </w:numPr>
        <w:tabs>
          <w:tab w:pos="1218" w:val="left" w:leader="none"/>
          <w:tab w:pos="1219" w:val="left" w:leader="none"/>
        </w:tabs>
        <w:spacing w:line="240" w:lineRule="auto" w:before="6" w:after="0"/>
        <w:ind w:left="1218" w:right="2207" w:hanging="794"/>
        <w:jc w:val="left"/>
        <w:rPr>
          <w:sz w:val="13"/>
        </w:rPr>
      </w:pPr>
      <w:r>
        <w:rPr>
          <w:w w:val="105"/>
          <w:sz w:val="13"/>
        </w:rPr>
        <w:t>Submissions 2 </w:t>
      </w:r>
      <w:r>
        <w:rPr>
          <w:spacing w:val="2"/>
          <w:w w:val="105"/>
          <w:sz w:val="13"/>
        </w:rPr>
        <w:t>(Name </w:t>
      </w:r>
      <w:r>
        <w:rPr>
          <w:w w:val="105"/>
          <w:sz w:val="13"/>
        </w:rPr>
        <w:t>withheld), 4 </w:t>
      </w:r>
      <w:r>
        <w:rPr>
          <w:spacing w:val="2"/>
          <w:w w:val="105"/>
          <w:sz w:val="13"/>
        </w:rPr>
        <w:t>(Name </w:t>
      </w:r>
      <w:r>
        <w:rPr>
          <w:w w:val="105"/>
          <w:sz w:val="13"/>
        </w:rPr>
        <w:t>withheld), 6 </w:t>
      </w:r>
      <w:r>
        <w:rPr>
          <w:spacing w:val="2"/>
          <w:w w:val="105"/>
          <w:sz w:val="13"/>
        </w:rPr>
        <w:t>(Name </w:t>
      </w:r>
      <w:r>
        <w:rPr>
          <w:w w:val="105"/>
          <w:sz w:val="13"/>
        </w:rPr>
        <w:t>withheld), 7 </w:t>
      </w:r>
      <w:r>
        <w:rPr>
          <w:spacing w:val="2"/>
          <w:w w:val="105"/>
          <w:sz w:val="13"/>
        </w:rPr>
        <w:t>(Ben </w:t>
      </w:r>
      <w:r>
        <w:rPr>
          <w:w w:val="105"/>
          <w:sz w:val="13"/>
        </w:rPr>
        <w:t>Kenyon), 9 </w:t>
      </w:r>
      <w:r>
        <w:rPr>
          <w:spacing w:val="3"/>
          <w:w w:val="105"/>
          <w:sz w:val="13"/>
        </w:rPr>
        <w:t>(Dr </w:t>
      </w:r>
      <w:r>
        <w:rPr>
          <w:w w:val="105"/>
          <w:sz w:val="13"/>
        </w:rPr>
        <w:t>Karen Smith), 10 (Professor Phillip Hamilton), </w:t>
      </w:r>
      <w:r>
        <w:rPr>
          <w:spacing w:val="-6"/>
          <w:w w:val="105"/>
          <w:sz w:val="13"/>
        </w:rPr>
        <w:t>11 </w:t>
      </w:r>
      <w:r>
        <w:rPr>
          <w:spacing w:val="2"/>
          <w:w w:val="105"/>
          <w:sz w:val="13"/>
        </w:rPr>
        <w:t>(Name </w:t>
      </w:r>
      <w:r>
        <w:rPr>
          <w:w w:val="105"/>
          <w:sz w:val="13"/>
        </w:rPr>
        <w:t>withheld), </w:t>
      </w:r>
      <w:r>
        <w:rPr>
          <w:spacing w:val="-3"/>
          <w:w w:val="105"/>
          <w:sz w:val="13"/>
        </w:rPr>
        <w:t>19 </w:t>
      </w:r>
      <w:r>
        <w:rPr>
          <w:spacing w:val="2"/>
          <w:w w:val="105"/>
          <w:sz w:val="13"/>
        </w:rPr>
        <w:t>(Name </w:t>
      </w:r>
      <w:r>
        <w:rPr>
          <w:w w:val="105"/>
          <w:sz w:val="13"/>
        </w:rPr>
        <w:t>withheld), 23 </w:t>
      </w:r>
      <w:r>
        <w:rPr>
          <w:spacing w:val="2"/>
          <w:w w:val="105"/>
          <w:sz w:val="13"/>
        </w:rPr>
        <w:t>(Name</w:t>
      </w:r>
      <w:r>
        <w:rPr>
          <w:spacing w:val="23"/>
          <w:w w:val="105"/>
          <w:sz w:val="13"/>
        </w:rPr>
        <w:t> </w:t>
      </w:r>
      <w:r>
        <w:rPr>
          <w:w w:val="105"/>
          <w:sz w:val="13"/>
        </w:rPr>
        <w:t>withheld).</w:t>
      </w:r>
    </w:p>
    <w:p>
      <w:pPr>
        <w:pStyle w:val="ListParagraph"/>
        <w:numPr>
          <w:ilvl w:val="0"/>
          <w:numId w:val="193"/>
        </w:numPr>
        <w:tabs>
          <w:tab w:pos="1218" w:val="left" w:leader="none"/>
          <w:tab w:pos="1219" w:val="left" w:leader="none"/>
        </w:tabs>
        <w:spacing w:line="240" w:lineRule="auto" w:before="2" w:after="0"/>
        <w:ind w:left="1218" w:right="0" w:hanging="794"/>
        <w:jc w:val="left"/>
        <w:rPr>
          <w:sz w:val="13"/>
        </w:rPr>
      </w:pPr>
      <w:r>
        <w:rPr>
          <w:w w:val="105"/>
          <w:sz w:val="13"/>
        </w:rPr>
        <w:t>Submissions 9 </w:t>
      </w:r>
      <w:r>
        <w:rPr>
          <w:spacing w:val="3"/>
          <w:w w:val="105"/>
          <w:sz w:val="13"/>
        </w:rPr>
        <w:t>(Dr </w:t>
      </w:r>
      <w:r>
        <w:rPr>
          <w:w w:val="105"/>
          <w:sz w:val="13"/>
        </w:rPr>
        <w:t>Karen Smith), 10 (Professor Phillip</w:t>
      </w:r>
      <w:r>
        <w:rPr>
          <w:spacing w:val="2"/>
          <w:w w:val="105"/>
          <w:sz w:val="13"/>
        </w:rPr>
        <w:t> </w:t>
      </w:r>
      <w:r>
        <w:rPr>
          <w:w w:val="105"/>
          <w:sz w:val="13"/>
        </w:rPr>
        <w:t>Hamilton).</w:t>
      </w:r>
    </w:p>
    <w:p>
      <w:pPr>
        <w:pStyle w:val="ListParagraph"/>
        <w:numPr>
          <w:ilvl w:val="0"/>
          <w:numId w:val="193"/>
        </w:numPr>
        <w:tabs>
          <w:tab w:pos="1218" w:val="left" w:leader="none"/>
          <w:tab w:pos="1219" w:val="left" w:leader="none"/>
        </w:tabs>
        <w:spacing w:line="240" w:lineRule="auto" w:before="2" w:after="0"/>
        <w:ind w:left="1218" w:right="0" w:hanging="794"/>
        <w:jc w:val="left"/>
        <w:rPr>
          <w:sz w:val="13"/>
        </w:rPr>
      </w:pPr>
      <w:r>
        <w:rPr>
          <w:w w:val="105"/>
          <w:sz w:val="13"/>
        </w:rPr>
        <w:t>See for eg Submissions 2 </w:t>
      </w:r>
      <w:r>
        <w:rPr>
          <w:spacing w:val="2"/>
          <w:w w:val="105"/>
          <w:sz w:val="13"/>
        </w:rPr>
        <w:t>(Name</w:t>
      </w:r>
      <w:r>
        <w:rPr>
          <w:spacing w:val="27"/>
          <w:w w:val="105"/>
          <w:sz w:val="13"/>
        </w:rPr>
        <w:t> </w:t>
      </w:r>
      <w:r>
        <w:rPr>
          <w:w w:val="105"/>
          <w:sz w:val="13"/>
        </w:rPr>
        <w:t>withheld).</w:t>
      </w:r>
    </w:p>
    <w:p>
      <w:pPr>
        <w:pStyle w:val="ListParagraph"/>
        <w:numPr>
          <w:ilvl w:val="0"/>
          <w:numId w:val="193"/>
        </w:numPr>
        <w:tabs>
          <w:tab w:pos="1218" w:val="left" w:leader="none"/>
          <w:tab w:pos="1219" w:val="left" w:leader="none"/>
        </w:tabs>
        <w:spacing w:line="240" w:lineRule="auto" w:before="1" w:after="0"/>
        <w:ind w:left="1218" w:right="0" w:hanging="794"/>
        <w:jc w:val="left"/>
        <w:rPr>
          <w:sz w:val="13"/>
        </w:rPr>
      </w:pPr>
      <w:r>
        <w:rPr>
          <w:w w:val="105"/>
          <w:sz w:val="13"/>
        </w:rPr>
        <w:t>Confidential</w:t>
      </w:r>
      <w:r>
        <w:rPr>
          <w:spacing w:val="17"/>
          <w:w w:val="105"/>
          <w:sz w:val="13"/>
        </w:rPr>
        <w:t> </w:t>
      </w:r>
      <w:r>
        <w:rPr>
          <w:w w:val="105"/>
          <w:sz w:val="13"/>
        </w:rPr>
        <w:t>submission.</w:t>
      </w:r>
    </w:p>
    <w:p>
      <w:pPr>
        <w:pStyle w:val="ListParagraph"/>
        <w:numPr>
          <w:ilvl w:val="0"/>
          <w:numId w:val="193"/>
        </w:numPr>
        <w:tabs>
          <w:tab w:pos="1218" w:val="left" w:leader="none"/>
          <w:tab w:pos="1219" w:val="left" w:leader="none"/>
        </w:tabs>
        <w:spacing w:line="240" w:lineRule="auto" w:before="1" w:after="0"/>
        <w:ind w:left="1218" w:right="0" w:hanging="794"/>
        <w:jc w:val="left"/>
        <w:rPr>
          <w:sz w:val="13"/>
        </w:rPr>
      </w:pPr>
      <w:r>
        <w:rPr>
          <w:w w:val="105"/>
          <w:sz w:val="13"/>
        </w:rPr>
        <w:t>Confidential</w:t>
      </w:r>
      <w:r>
        <w:rPr>
          <w:spacing w:val="17"/>
          <w:w w:val="105"/>
          <w:sz w:val="13"/>
        </w:rPr>
        <w:t> </w:t>
      </w:r>
      <w:r>
        <w:rPr>
          <w:w w:val="105"/>
          <w:sz w:val="13"/>
        </w:rPr>
        <w:t>submission.</w:t>
      </w:r>
    </w:p>
    <w:p>
      <w:pPr>
        <w:spacing w:after="0" w:line="240" w:lineRule="auto"/>
        <w:jc w:val="left"/>
        <w:rPr>
          <w:sz w:val="13"/>
        </w:rPr>
        <w:sectPr>
          <w:type w:val="continuous"/>
          <w:pgSz w:w="11910" w:h="16840"/>
          <w:pgMar w:top="300" w:bottom="280" w:left="0" w:right="0"/>
          <w:cols w:num="2" w:equalWidth="0">
            <w:col w:w="1123" w:space="40"/>
            <w:col w:w="10747"/>
          </w:cols>
        </w:sectPr>
      </w:pPr>
    </w:p>
    <w:p>
      <w:pPr>
        <w:pStyle w:val="BodyText"/>
        <w:rPr>
          <w:sz w:val="20"/>
        </w:rPr>
      </w:pPr>
    </w:p>
    <w:p>
      <w:pPr>
        <w:pStyle w:val="BodyText"/>
        <w:spacing w:before="9"/>
        <w:rPr>
          <w:sz w:val="18"/>
        </w:rPr>
      </w:pPr>
    </w:p>
    <w:p>
      <w:pPr>
        <w:pStyle w:val="ListParagraph"/>
        <w:numPr>
          <w:ilvl w:val="1"/>
          <w:numId w:val="16"/>
        </w:numPr>
        <w:tabs>
          <w:tab w:pos="2380" w:val="left" w:leader="none"/>
          <w:tab w:pos="2381" w:val="left" w:leader="none"/>
        </w:tabs>
        <w:spacing w:line="242" w:lineRule="auto" w:before="91" w:after="0"/>
        <w:ind w:left="2381" w:right="1732" w:hanging="794"/>
        <w:jc w:val="left"/>
        <w:rPr>
          <w:sz w:val="21"/>
        </w:rPr>
      </w:pPr>
      <w:r>
        <w:rPr>
          <w:w w:val="105"/>
          <w:sz w:val="21"/>
        </w:rPr>
        <w:t>A </w:t>
      </w:r>
      <w:r>
        <w:rPr>
          <w:spacing w:val="-3"/>
          <w:w w:val="105"/>
          <w:sz w:val="21"/>
        </w:rPr>
        <w:t>small </w:t>
      </w:r>
      <w:r>
        <w:rPr>
          <w:w w:val="105"/>
          <w:sz w:val="21"/>
        </w:rPr>
        <w:t>number of people </w:t>
      </w:r>
      <w:r>
        <w:rPr>
          <w:spacing w:val="-3"/>
          <w:w w:val="105"/>
          <w:sz w:val="21"/>
        </w:rPr>
        <w:t>thought </w:t>
      </w:r>
      <w:r>
        <w:rPr>
          <w:w w:val="105"/>
          <w:sz w:val="21"/>
        </w:rPr>
        <w:t>new owners should </w:t>
      </w:r>
      <w:r>
        <w:rPr>
          <w:spacing w:val="-2"/>
          <w:w w:val="105"/>
          <w:sz w:val="21"/>
        </w:rPr>
        <w:t>not </w:t>
      </w:r>
      <w:r>
        <w:rPr>
          <w:w w:val="105"/>
          <w:sz w:val="21"/>
        </w:rPr>
        <w:t>be bound by the </w:t>
      </w:r>
      <w:r>
        <w:rPr>
          <w:spacing w:val="-3"/>
          <w:w w:val="105"/>
          <w:sz w:val="21"/>
        </w:rPr>
        <w:t>outcome </w:t>
      </w:r>
      <w:r>
        <w:rPr>
          <w:w w:val="105"/>
          <w:sz w:val="21"/>
        </w:rPr>
        <w:t>of legal action because they </w:t>
      </w:r>
      <w:r>
        <w:rPr>
          <w:spacing w:val="-3"/>
          <w:w w:val="105"/>
          <w:sz w:val="21"/>
        </w:rPr>
        <w:t>considered </w:t>
      </w:r>
      <w:r>
        <w:rPr>
          <w:w w:val="105"/>
          <w:sz w:val="21"/>
        </w:rPr>
        <w:t>it would ‘be difficult </w:t>
      </w:r>
      <w:r>
        <w:rPr>
          <w:spacing w:val="-3"/>
          <w:w w:val="105"/>
          <w:sz w:val="21"/>
        </w:rPr>
        <w:t>to implement’</w:t>
      </w:r>
      <w:r>
        <w:rPr>
          <w:spacing w:val="-3"/>
          <w:w w:val="105"/>
          <w:position w:val="7"/>
          <w:sz w:val="12"/>
        </w:rPr>
        <w:t>48 </w:t>
      </w:r>
      <w:r>
        <w:rPr>
          <w:w w:val="105"/>
          <w:sz w:val="21"/>
        </w:rPr>
        <w:t>and lead </w:t>
      </w:r>
      <w:r>
        <w:rPr>
          <w:spacing w:val="-3"/>
          <w:w w:val="105"/>
          <w:sz w:val="21"/>
        </w:rPr>
        <w:t>to unfairness.</w:t>
      </w:r>
      <w:r>
        <w:rPr>
          <w:spacing w:val="-3"/>
          <w:w w:val="105"/>
          <w:position w:val="7"/>
          <w:sz w:val="12"/>
        </w:rPr>
        <w:t>49</w:t>
      </w:r>
    </w:p>
    <w:p>
      <w:pPr>
        <w:pStyle w:val="BodyText"/>
        <w:spacing w:before="4"/>
        <w:rPr>
          <w:sz w:val="20"/>
        </w:rPr>
      </w:pPr>
    </w:p>
    <w:p>
      <w:pPr>
        <w:pStyle w:val="Heading5"/>
      </w:pPr>
      <w:r>
        <w:rPr>
          <w:w w:val="110"/>
        </w:rPr>
        <w:t>New tree owners</w:t>
      </w:r>
    </w:p>
    <w:p>
      <w:pPr>
        <w:pStyle w:val="ListParagraph"/>
        <w:numPr>
          <w:ilvl w:val="1"/>
          <w:numId w:val="16"/>
        </w:numPr>
        <w:tabs>
          <w:tab w:pos="2381" w:val="left" w:leader="none"/>
          <w:tab w:pos="2382" w:val="left" w:leader="none"/>
        </w:tabs>
        <w:spacing w:line="242" w:lineRule="auto" w:before="138" w:after="0"/>
        <w:ind w:left="2381" w:right="1613" w:hanging="794"/>
        <w:jc w:val="left"/>
        <w:rPr>
          <w:sz w:val="21"/>
        </w:rPr>
      </w:pPr>
      <w:r>
        <w:rPr>
          <w:w w:val="105"/>
          <w:sz w:val="21"/>
        </w:rPr>
        <w:t>A new tree owner </w:t>
      </w:r>
      <w:r>
        <w:rPr>
          <w:spacing w:val="-3"/>
          <w:w w:val="105"/>
          <w:sz w:val="21"/>
        </w:rPr>
        <w:t>may </w:t>
      </w:r>
      <w:r>
        <w:rPr>
          <w:w w:val="105"/>
          <w:sz w:val="21"/>
        </w:rPr>
        <w:t>be affected by a pre-existing order </w:t>
      </w:r>
      <w:r>
        <w:rPr>
          <w:spacing w:val="-3"/>
          <w:w w:val="105"/>
          <w:sz w:val="21"/>
        </w:rPr>
        <w:t>requiring </w:t>
      </w:r>
      <w:r>
        <w:rPr>
          <w:w w:val="105"/>
          <w:sz w:val="21"/>
        </w:rPr>
        <w:t>tree works or ongoing </w:t>
      </w:r>
      <w:r>
        <w:rPr>
          <w:spacing w:val="-4"/>
          <w:w w:val="105"/>
          <w:sz w:val="21"/>
        </w:rPr>
        <w:t>maintenance. </w:t>
      </w:r>
      <w:r>
        <w:rPr>
          <w:w w:val="105"/>
          <w:sz w:val="21"/>
        </w:rPr>
        <w:t>The majority of responses </w:t>
      </w:r>
      <w:r>
        <w:rPr>
          <w:spacing w:val="-3"/>
          <w:w w:val="105"/>
          <w:sz w:val="21"/>
        </w:rPr>
        <w:t>to </w:t>
      </w:r>
      <w:r>
        <w:rPr>
          <w:w w:val="105"/>
          <w:sz w:val="21"/>
        </w:rPr>
        <w:t>the </w:t>
      </w:r>
      <w:r>
        <w:rPr>
          <w:spacing w:val="-3"/>
          <w:w w:val="105"/>
          <w:sz w:val="21"/>
        </w:rPr>
        <w:t>consultation </w:t>
      </w:r>
      <w:r>
        <w:rPr>
          <w:w w:val="105"/>
          <w:sz w:val="21"/>
        </w:rPr>
        <w:t>paper supported </w:t>
      </w:r>
      <w:r>
        <w:rPr>
          <w:spacing w:val="-3"/>
          <w:w w:val="105"/>
          <w:sz w:val="21"/>
        </w:rPr>
        <w:t>binding</w:t>
      </w:r>
      <w:r>
        <w:rPr>
          <w:spacing w:val="-6"/>
          <w:w w:val="105"/>
          <w:sz w:val="21"/>
        </w:rPr>
        <w:t> </w:t>
      </w:r>
      <w:r>
        <w:rPr>
          <w:w w:val="105"/>
          <w:sz w:val="21"/>
        </w:rPr>
        <w:t>a</w:t>
      </w:r>
      <w:r>
        <w:rPr>
          <w:spacing w:val="-5"/>
          <w:w w:val="105"/>
          <w:sz w:val="21"/>
        </w:rPr>
        <w:t> </w:t>
      </w:r>
      <w:r>
        <w:rPr>
          <w:w w:val="105"/>
          <w:sz w:val="21"/>
        </w:rPr>
        <w:t>new</w:t>
      </w:r>
      <w:r>
        <w:rPr>
          <w:spacing w:val="-5"/>
          <w:w w:val="105"/>
          <w:sz w:val="21"/>
        </w:rPr>
        <w:t> </w:t>
      </w:r>
      <w:r>
        <w:rPr>
          <w:w w:val="105"/>
          <w:sz w:val="21"/>
        </w:rPr>
        <w:t>tree</w:t>
      </w:r>
      <w:r>
        <w:rPr>
          <w:spacing w:val="-5"/>
          <w:w w:val="105"/>
          <w:sz w:val="21"/>
        </w:rPr>
        <w:t> </w:t>
      </w:r>
      <w:r>
        <w:rPr>
          <w:w w:val="105"/>
          <w:sz w:val="21"/>
        </w:rPr>
        <w:t>owner</w:t>
      </w:r>
      <w:r>
        <w:rPr>
          <w:spacing w:val="-5"/>
          <w:w w:val="105"/>
          <w:sz w:val="21"/>
        </w:rPr>
        <w:t> </w:t>
      </w:r>
      <w:r>
        <w:rPr>
          <w:spacing w:val="-3"/>
          <w:w w:val="105"/>
          <w:sz w:val="21"/>
        </w:rPr>
        <w:t>to</w:t>
      </w:r>
      <w:r>
        <w:rPr>
          <w:spacing w:val="-5"/>
          <w:w w:val="105"/>
          <w:sz w:val="21"/>
        </w:rPr>
        <w:t> </w:t>
      </w:r>
      <w:r>
        <w:rPr>
          <w:w w:val="105"/>
          <w:sz w:val="21"/>
        </w:rPr>
        <w:t>the</w:t>
      </w:r>
      <w:r>
        <w:rPr>
          <w:spacing w:val="-5"/>
          <w:w w:val="105"/>
          <w:sz w:val="21"/>
        </w:rPr>
        <w:t> </w:t>
      </w:r>
      <w:r>
        <w:rPr>
          <w:spacing w:val="-3"/>
          <w:w w:val="105"/>
          <w:sz w:val="21"/>
        </w:rPr>
        <w:t>outcome</w:t>
      </w:r>
      <w:r>
        <w:rPr>
          <w:spacing w:val="-5"/>
          <w:w w:val="105"/>
          <w:sz w:val="21"/>
        </w:rPr>
        <w:t> </w:t>
      </w:r>
      <w:r>
        <w:rPr>
          <w:w w:val="105"/>
          <w:sz w:val="21"/>
        </w:rPr>
        <w:t>of</w:t>
      </w:r>
      <w:r>
        <w:rPr>
          <w:spacing w:val="-5"/>
          <w:w w:val="105"/>
          <w:sz w:val="21"/>
        </w:rPr>
        <w:t> </w:t>
      </w:r>
      <w:r>
        <w:rPr>
          <w:w w:val="105"/>
          <w:sz w:val="21"/>
        </w:rPr>
        <w:t>pre-existing</w:t>
      </w:r>
      <w:r>
        <w:rPr>
          <w:spacing w:val="-5"/>
          <w:w w:val="105"/>
          <w:sz w:val="21"/>
        </w:rPr>
        <w:t> </w:t>
      </w:r>
      <w:r>
        <w:rPr>
          <w:w w:val="105"/>
          <w:sz w:val="21"/>
        </w:rPr>
        <w:t>legal</w:t>
      </w:r>
      <w:r>
        <w:rPr>
          <w:spacing w:val="-5"/>
          <w:w w:val="105"/>
          <w:sz w:val="21"/>
        </w:rPr>
        <w:t> </w:t>
      </w:r>
      <w:r>
        <w:rPr>
          <w:w w:val="105"/>
          <w:sz w:val="21"/>
        </w:rPr>
        <w:t>action</w:t>
      </w:r>
      <w:r>
        <w:rPr>
          <w:spacing w:val="-5"/>
          <w:w w:val="105"/>
          <w:sz w:val="21"/>
        </w:rPr>
        <w:t> </w:t>
      </w:r>
      <w:r>
        <w:rPr>
          <w:w w:val="105"/>
          <w:sz w:val="21"/>
        </w:rPr>
        <w:t>about</w:t>
      </w:r>
      <w:r>
        <w:rPr>
          <w:spacing w:val="-5"/>
          <w:w w:val="105"/>
          <w:sz w:val="21"/>
        </w:rPr>
        <w:t> </w:t>
      </w:r>
      <w:r>
        <w:rPr>
          <w:w w:val="105"/>
          <w:sz w:val="21"/>
        </w:rPr>
        <w:t>trees</w:t>
      </w:r>
      <w:r>
        <w:rPr>
          <w:spacing w:val="-5"/>
          <w:w w:val="105"/>
          <w:sz w:val="21"/>
        </w:rPr>
        <w:t> </w:t>
      </w:r>
      <w:r>
        <w:rPr>
          <w:w w:val="105"/>
          <w:sz w:val="21"/>
        </w:rPr>
        <w:t>on</w:t>
      </w:r>
      <w:r>
        <w:rPr>
          <w:spacing w:val="-5"/>
          <w:w w:val="105"/>
          <w:sz w:val="21"/>
        </w:rPr>
        <w:t> </w:t>
      </w:r>
      <w:r>
        <w:rPr>
          <w:w w:val="105"/>
          <w:sz w:val="21"/>
        </w:rPr>
        <w:t>their land.</w:t>
      </w:r>
      <w:r>
        <w:rPr>
          <w:w w:val="105"/>
          <w:position w:val="7"/>
          <w:sz w:val="12"/>
        </w:rPr>
        <w:t>50</w:t>
      </w:r>
    </w:p>
    <w:p>
      <w:pPr>
        <w:pStyle w:val="ListParagraph"/>
        <w:numPr>
          <w:ilvl w:val="1"/>
          <w:numId w:val="16"/>
        </w:numPr>
        <w:tabs>
          <w:tab w:pos="2380" w:val="left" w:leader="none"/>
          <w:tab w:pos="2381" w:val="left" w:leader="none"/>
        </w:tabs>
        <w:spacing w:line="242" w:lineRule="auto" w:before="124" w:after="0"/>
        <w:ind w:left="2381" w:right="1716" w:hanging="794"/>
        <w:jc w:val="left"/>
        <w:rPr>
          <w:sz w:val="21"/>
        </w:rPr>
      </w:pPr>
      <w:r>
        <w:rPr>
          <w:w w:val="105"/>
          <w:sz w:val="21"/>
        </w:rPr>
        <w:t>Arborist</w:t>
      </w:r>
      <w:r>
        <w:rPr>
          <w:spacing w:val="-6"/>
          <w:w w:val="105"/>
          <w:sz w:val="21"/>
        </w:rPr>
        <w:t> </w:t>
      </w:r>
      <w:r>
        <w:rPr>
          <w:w w:val="105"/>
          <w:sz w:val="21"/>
        </w:rPr>
        <w:t>Dr</w:t>
      </w:r>
      <w:r>
        <w:rPr>
          <w:spacing w:val="-5"/>
          <w:w w:val="105"/>
          <w:sz w:val="21"/>
        </w:rPr>
        <w:t> </w:t>
      </w:r>
      <w:r>
        <w:rPr>
          <w:w w:val="105"/>
          <w:sz w:val="21"/>
        </w:rPr>
        <w:t>Karen</w:t>
      </w:r>
      <w:r>
        <w:rPr>
          <w:spacing w:val="-5"/>
          <w:w w:val="105"/>
          <w:sz w:val="21"/>
        </w:rPr>
        <w:t> </w:t>
      </w:r>
      <w:r>
        <w:rPr>
          <w:spacing w:val="-3"/>
          <w:w w:val="105"/>
          <w:sz w:val="21"/>
        </w:rPr>
        <w:t>Smith</w:t>
      </w:r>
      <w:r>
        <w:rPr>
          <w:spacing w:val="-5"/>
          <w:w w:val="105"/>
          <w:sz w:val="21"/>
        </w:rPr>
        <w:t> </w:t>
      </w:r>
      <w:r>
        <w:rPr>
          <w:spacing w:val="-3"/>
          <w:w w:val="105"/>
          <w:sz w:val="21"/>
        </w:rPr>
        <w:t>thought</w:t>
      </w:r>
      <w:r>
        <w:rPr>
          <w:spacing w:val="-6"/>
          <w:w w:val="105"/>
          <w:sz w:val="21"/>
        </w:rPr>
        <w:t> </w:t>
      </w:r>
      <w:r>
        <w:rPr>
          <w:spacing w:val="-3"/>
          <w:w w:val="105"/>
          <w:sz w:val="21"/>
        </w:rPr>
        <w:t>that</w:t>
      </w:r>
      <w:r>
        <w:rPr>
          <w:spacing w:val="-5"/>
          <w:w w:val="105"/>
          <w:sz w:val="21"/>
        </w:rPr>
        <w:t> </w:t>
      </w:r>
      <w:r>
        <w:rPr>
          <w:w w:val="105"/>
          <w:sz w:val="21"/>
        </w:rPr>
        <w:t>this</w:t>
      </w:r>
      <w:r>
        <w:rPr>
          <w:spacing w:val="-5"/>
          <w:w w:val="105"/>
          <w:sz w:val="21"/>
        </w:rPr>
        <w:t> </w:t>
      </w:r>
      <w:r>
        <w:rPr>
          <w:w w:val="105"/>
          <w:sz w:val="21"/>
        </w:rPr>
        <w:t>was</w:t>
      </w:r>
      <w:r>
        <w:rPr>
          <w:spacing w:val="-5"/>
          <w:w w:val="105"/>
          <w:sz w:val="21"/>
        </w:rPr>
        <w:t> </w:t>
      </w:r>
      <w:r>
        <w:rPr>
          <w:w w:val="105"/>
          <w:sz w:val="21"/>
        </w:rPr>
        <w:t>important</w:t>
      </w:r>
      <w:r>
        <w:rPr>
          <w:spacing w:val="-5"/>
          <w:w w:val="105"/>
          <w:sz w:val="21"/>
        </w:rPr>
        <w:t> </w:t>
      </w:r>
      <w:r>
        <w:rPr>
          <w:w w:val="105"/>
          <w:sz w:val="21"/>
        </w:rPr>
        <w:t>because</w:t>
      </w:r>
      <w:r>
        <w:rPr>
          <w:spacing w:val="-6"/>
          <w:w w:val="105"/>
          <w:sz w:val="21"/>
        </w:rPr>
        <w:t> </w:t>
      </w:r>
      <w:r>
        <w:rPr>
          <w:w w:val="105"/>
          <w:sz w:val="21"/>
        </w:rPr>
        <w:t>otherwise</w:t>
      </w:r>
      <w:r>
        <w:rPr>
          <w:spacing w:val="-5"/>
          <w:w w:val="105"/>
          <w:sz w:val="21"/>
        </w:rPr>
        <w:t> </w:t>
      </w:r>
      <w:r>
        <w:rPr>
          <w:spacing w:val="-3"/>
          <w:w w:val="105"/>
          <w:sz w:val="21"/>
        </w:rPr>
        <w:t>‘legal</w:t>
      </w:r>
      <w:r>
        <w:rPr>
          <w:spacing w:val="-5"/>
          <w:w w:val="105"/>
          <w:sz w:val="21"/>
        </w:rPr>
        <w:t> </w:t>
      </w:r>
      <w:r>
        <w:rPr>
          <w:w w:val="105"/>
          <w:sz w:val="21"/>
        </w:rPr>
        <w:t>action is </w:t>
      </w:r>
      <w:r>
        <w:rPr>
          <w:spacing w:val="-5"/>
          <w:w w:val="105"/>
          <w:sz w:val="21"/>
        </w:rPr>
        <w:t>wasted’.</w:t>
      </w:r>
      <w:r>
        <w:rPr>
          <w:spacing w:val="-5"/>
          <w:w w:val="105"/>
          <w:position w:val="7"/>
          <w:sz w:val="12"/>
        </w:rPr>
        <w:t>51 </w:t>
      </w:r>
      <w:r>
        <w:rPr>
          <w:w w:val="105"/>
          <w:sz w:val="21"/>
        </w:rPr>
        <w:t>A tree </w:t>
      </w:r>
      <w:r>
        <w:rPr>
          <w:spacing w:val="-3"/>
          <w:w w:val="105"/>
          <w:sz w:val="21"/>
        </w:rPr>
        <w:t>disputes consultant </w:t>
      </w:r>
      <w:r>
        <w:rPr>
          <w:w w:val="105"/>
          <w:sz w:val="21"/>
        </w:rPr>
        <w:t>in New South </w:t>
      </w:r>
      <w:r>
        <w:rPr>
          <w:spacing w:val="-3"/>
          <w:w w:val="105"/>
          <w:sz w:val="21"/>
        </w:rPr>
        <w:t>Wales </w:t>
      </w:r>
      <w:r>
        <w:rPr>
          <w:w w:val="105"/>
          <w:sz w:val="21"/>
        </w:rPr>
        <w:t>supported </w:t>
      </w:r>
      <w:r>
        <w:rPr>
          <w:spacing w:val="-3"/>
          <w:w w:val="105"/>
          <w:sz w:val="21"/>
        </w:rPr>
        <w:t>binding </w:t>
      </w:r>
      <w:r>
        <w:rPr>
          <w:w w:val="105"/>
          <w:sz w:val="21"/>
        </w:rPr>
        <w:t>new owners in this</w:t>
      </w:r>
      <w:r>
        <w:rPr>
          <w:spacing w:val="15"/>
          <w:w w:val="105"/>
          <w:sz w:val="21"/>
        </w:rPr>
        <w:t> </w:t>
      </w:r>
      <w:r>
        <w:rPr>
          <w:w w:val="105"/>
          <w:sz w:val="21"/>
        </w:rPr>
        <w:t>way:</w:t>
      </w:r>
    </w:p>
    <w:p>
      <w:pPr>
        <w:spacing w:line="254" w:lineRule="auto" w:before="133"/>
        <w:ind w:left="2834" w:right="1933" w:firstLine="0"/>
        <w:jc w:val="left"/>
        <w:rPr>
          <w:sz w:val="20"/>
        </w:rPr>
      </w:pPr>
      <w:r>
        <w:rPr>
          <w:sz w:val="20"/>
        </w:rPr>
        <w:t>By being bound by the </w:t>
      </w:r>
      <w:r>
        <w:rPr>
          <w:spacing w:val="-2"/>
          <w:sz w:val="20"/>
        </w:rPr>
        <w:t>outcome  </w:t>
      </w:r>
      <w:r>
        <w:rPr>
          <w:sz w:val="20"/>
        </w:rPr>
        <w:t>of legal action, consistency is maintained as is fairness  to</w:t>
      </w:r>
      <w:r>
        <w:rPr>
          <w:spacing w:val="14"/>
          <w:sz w:val="20"/>
        </w:rPr>
        <w:t> </w:t>
      </w:r>
      <w:r>
        <w:rPr>
          <w:sz w:val="20"/>
        </w:rPr>
        <w:t>the</w:t>
      </w:r>
      <w:r>
        <w:rPr>
          <w:spacing w:val="15"/>
          <w:sz w:val="20"/>
        </w:rPr>
        <w:t> </w:t>
      </w:r>
      <w:r>
        <w:rPr>
          <w:sz w:val="20"/>
        </w:rPr>
        <w:t>original</w:t>
      </w:r>
      <w:r>
        <w:rPr>
          <w:spacing w:val="14"/>
          <w:sz w:val="20"/>
        </w:rPr>
        <w:t> </w:t>
      </w:r>
      <w:r>
        <w:rPr>
          <w:sz w:val="20"/>
        </w:rPr>
        <w:t>parties</w:t>
      </w:r>
      <w:r>
        <w:rPr>
          <w:spacing w:val="15"/>
          <w:sz w:val="20"/>
        </w:rPr>
        <w:t> </w:t>
      </w:r>
      <w:r>
        <w:rPr>
          <w:sz w:val="20"/>
        </w:rPr>
        <w:t>in</w:t>
      </w:r>
      <w:r>
        <w:rPr>
          <w:spacing w:val="14"/>
          <w:sz w:val="20"/>
        </w:rPr>
        <w:t> </w:t>
      </w:r>
      <w:r>
        <w:rPr>
          <w:sz w:val="20"/>
        </w:rPr>
        <w:t>the</w:t>
      </w:r>
      <w:r>
        <w:rPr>
          <w:spacing w:val="15"/>
          <w:sz w:val="20"/>
        </w:rPr>
        <w:t> </w:t>
      </w:r>
      <w:r>
        <w:rPr>
          <w:spacing w:val="-3"/>
          <w:sz w:val="20"/>
        </w:rPr>
        <w:t>dispute.</w:t>
      </w:r>
      <w:r>
        <w:rPr>
          <w:spacing w:val="15"/>
          <w:sz w:val="20"/>
        </w:rPr>
        <w:t> </w:t>
      </w:r>
      <w:r>
        <w:rPr>
          <w:spacing w:val="-3"/>
          <w:sz w:val="20"/>
        </w:rPr>
        <w:t>Additionally,</w:t>
      </w:r>
      <w:r>
        <w:rPr>
          <w:spacing w:val="14"/>
          <w:sz w:val="20"/>
        </w:rPr>
        <w:t> </w:t>
      </w:r>
      <w:r>
        <w:rPr>
          <w:sz w:val="20"/>
        </w:rPr>
        <w:t>as</w:t>
      </w:r>
      <w:r>
        <w:rPr>
          <w:spacing w:val="15"/>
          <w:sz w:val="20"/>
        </w:rPr>
        <w:t> </w:t>
      </w:r>
      <w:r>
        <w:rPr>
          <w:sz w:val="20"/>
        </w:rPr>
        <w:t>land</w:t>
      </w:r>
      <w:r>
        <w:rPr>
          <w:spacing w:val="14"/>
          <w:sz w:val="20"/>
        </w:rPr>
        <w:t> </w:t>
      </w:r>
      <w:r>
        <w:rPr>
          <w:sz w:val="20"/>
        </w:rPr>
        <w:t>is</w:t>
      </w:r>
      <w:r>
        <w:rPr>
          <w:spacing w:val="15"/>
          <w:sz w:val="20"/>
        </w:rPr>
        <w:t> </w:t>
      </w:r>
      <w:r>
        <w:rPr>
          <w:sz w:val="20"/>
        </w:rPr>
        <w:t>purchased</w:t>
      </w:r>
      <w:r>
        <w:rPr>
          <w:spacing w:val="14"/>
          <w:sz w:val="20"/>
        </w:rPr>
        <w:t> </w:t>
      </w:r>
      <w:r>
        <w:rPr>
          <w:sz w:val="20"/>
        </w:rPr>
        <w:t>by</w:t>
      </w:r>
      <w:r>
        <w:rPr>
          <w:spacing w:val="15"/>
          <w:sz w:val="20"/>
        </w:rPr>
        <w:t> </w:t>
      </w:r>
      <w:r>
        <w:rPr>
          <w:sz w:val="20"/>
        </w:rPr>
        <w:t>successors</w:t>
      </w:r>
    </w:p>
    <w:p>
      <w:pPr>
        <w:spacing w:line="254" w:lineRule="auto" w:before="2"/>
        <w:ind w:left="2834" w:right="1810" w:firstLine="0"/>
        <w:jc w:val="left"/>
        <w:rPr>
          <w:sz w:val="11"/>
        </w:rPr>
      </w:pPr>
      <w:r>
        <w:rPr>
          <w:sz w:val="20"/>
        </w:rPr>
        <w:t>in title, so is the tree that is the subject of the dispute. I consider the success of the proposed statutory scheme to be its adjudicative nature and as such, any outcome of legal action should remain and run with the land. Unlike mediation, Court orders are enforceable, and the gravitas of the statutory scheme ensured…</w:t>
      </w:r>
      <w:r>
        <w:rPr>
          <w:position w:val="7"/>
          <w:sz w:val="11"/>
        </w:rPr>
        <w:t>52</w:t>
      </w:r>
    </w:p>
    <w:p>
      <w:pPr>
        <w:pStyle w:val="ListParagraph"/>
        <w:numPr>
          <w:ilvl w:val="1"/>
          <w:numId w:val="16"/>
        </w:numPr>
        <w:tabs>
          <w:tab w:pos="2381" w:val="left" w:leader="none"/>
          <w:tab w:pos="2382" w:val="left" w:leader="none"/>
        </w:tabs>
        <w:spacing w:line="242" w:lineRule="auto" w:before="116" w:after="0"/>
        <w:ind w:left="2381" w:right="1943" w:hanging="794"/>
        <w:jc w:val="left"/>
        <w:rPr>
          <w:sz w:val="21"/>
        </w:rPr>
      </w:pPr>
      <w:r>
        <w:rPr>
          <w:w w:val="105"/>
          <w:sz w:val="21"/>
        </w:rPr>
        <w:t>One </w:t>
      </w:r>
      <w:r>
        <w:rPr>
          <w:spacing w:val="-3"/>
          <w:w w:val="105"/>
          <w:sz w:val="21"/>
        </w:rPr>
        <w:t>submission </w:t>
      </w:r>
      <w:r>
        <w:rPr>
          <w:w w:val="105"/>
          <w:sz w:val="21"/>
        </w:rPr>
        <w:t>observed </w:t>
      </w:r>
      <w:r>
        <w:rPr>
          <w:spacing w:val="-3"/>
          <w:w w:val="105"/>
          <w:sz w:val="21"/>
        </w:rPr>
        <w:t>that </w:t>
      </w:r>
      <w:r>
        <w:rPr>
          <w:w w:val="105"/>
          <w:sz w:val="21"/>
        </w:rPr>
        <w:t>the approach of </w:t>
      </w:r>
      <w:r>
        <w:rPr>
          <w:spacing w:val="-3"/>
          <w:w w:val="105"/>
          <w:sz w:val="21"/>
        </w:rPr>
        <w:t>binding </w:t>
      </w:r>
      <w:r>
        <w:rPr>
          <w:w w:val="105"/>
          <w:sz w:val="21"/>
        </w:rPr>
        <w:t>new tree owners is </w:t>
      </w:r>
      <w:r>
        <w:rPr>
          <w:spacing w:val="-3"/>
          <w:w w:val="105"/>
          <w:sz w:val="21"/>
        </w:rPr>
        <w:t>consistent </w:t>
      </w:r>
      <w:r>
        <w:rPr>
          <w:w w:val="105"/>
          <w:sz w:val="21"/>
        </w:rPr>
        <w:t>with </w:t>
      </w:r>
      <w:r>
        <w:rPr>
          <w:spacing w:val="-3"/>
          <w:w w:val="105"/>
          <w:sz w:val="21"/>
        </w:rPr>
        <w:t>planning </w:t>
      </w:r>
      <w:r>
        <w:rPr>
          <w:spacing w:val="-5"/>
          <w:w w:val="105"/>
          <w:sz w:val="21"/>
        </w:rPr>
        <w:t>law, </w:t>
      </w:r>
      <w:r>
        <w:rPr>
          <w:w w:val="105"/>
          <w:sz w:val="21"/>
        </w:rPr>
        <w:t>where </w:t>
      </w:r>
      <w:r>
        <w:rPr>
          <w:spacing w:val="-3"/>
          <w:w w:val="105"/>
          <w:sz w:val="21"/>
        </w:rPr>
        <w:t>responsibility for complying </w:t>
      </w:r>
      <w:r>
        <w:rPr>
          <w:w w:val="105"/>
          <w:sz w:val="21"/>
        </w:rPr>
        <w:t>with decisions or orders </w:t>
      </w:r>
      <w:r>
        <w:rPr>
          <w:spacing w:val="-4"/>
          <w:w w:val="105"/>
          <w:sz w:val="21"/>
        </w:rPr>
        <w:t>‘runs </w:t>
      </w:r>
      <w:r>
        <w:rPr>
          <w:w w:val="105"/>
          <w:sz w:val="21"/>
        </w:rPr>
        <w:t>with the </w:t>
      </w:r>
      <w:r>
        <w:rPr>
          <w:spacing w:val="-5"/>
          <w:w w:val="105"/>
          <w:sz w:val="21"/>
        </w:rPr>
        <w:t>land’.</w:t>
      </w:r>
      <w:r>
        <w:rPr>
          <w:spacing w:val="-5"/>
          <w:w w:val="105"/>
          <w:position w:val="7"/>
          <w:sz w:val="12"/>
        </w:rPr>
        <w:t>53 </w:t>
      </w:r>
      <w:r>
        <w:rPr>
          <w:w w:val="105"/>
          <w:sz w:val="21"/>
        </w:rPr>
        <w:t>It was further </w:t>
      </w:r>
      <w:r>
        <w:rPr>
          <w:spacing w:val="-3"/>
          <w:w w:val="105"/>
          <w:sz w:val="21"/>
        </w:rPr>
        <w:t>noted that having </w:t>
      </w:r>
      <w:r>
        <w:rPr>
          <w:w w:val="105"/>
          <w:sz w:val="21"/>
        </w:rPr>
        <w:t>orders </w:t>
      </w:r>
      <w:r>
        <w:rPr>
          <w:spacing w:val="-3"/>
          <w:w w:val="105"/>
          <w:sz w:val="21"/>
        </w:rPr>
        <w:t>that </w:t>
      </w:r>
      <w:r>
        <w:rPr>
          <w:w w:val="105"/>
          <w:sz w:val="21"/>
        </w:rPr>
        <w:t>run with the </w:t>
      </w:r>
      <w:r>
        <w:rPr>
          <w:spacing w:val="-3"/>
          <w:w w:val="105"/>
          <w:sz w:val="21"/>
        </w:rPr>
        <w:t>land may </w:t>
      </w:r>
      <w:r>
        <w:rPr>
          <w:w w:val="105"/>
          <w:sz w:val="21"/>
        </w:rPr>
        <w:t>be beneficial</w:t>
      </w:r>
      <w:r>
        <w:rPr>
          <w:spacing w:val="-7"/>
          <w:w w:val="105"/>
          <w:sz w:val="21"/>
        </w:rPr>
        <w:t> </w:t>
      </w:r>
      <w:r>
        <w:rPr>
          <w:w w:val="105"/>
          <w:sz w:val="21"/>
        </w:rPr>
        <w:t>in</w:t>
      </w:r>
      <w:r>
        <w:rPr>
          <w:spacing w:val="-6"/>
          <w:w w:val="105"/>
          <w:sz w:val="21"/>
        </w:rPr>
        <w:t> </w:t>
      </w:r>
      <w:r>
        <w:rPr>
          <w:spacing w:val="-3"/>
          <w:w w:val="105"/>
          <w:sz w:val="21"/>
        </w:rPr>
        <w:t>urgent</w:t>
      </w:r>
      <w:r>
        <w:rPr>
          <w:spacing w:val="-6"/>
          <w:w w:val="105"/>
          <w:sz w:val="21"/>
        </w:rPr>
        <w:t> </w:t>
      </w:r>
      <w:r>
        <w:rPr>
          <w:spacing w:val="-3"/>
          <w:w w:val="105"/>
          <w:sz w:val="21"/>
        </w:rPr>
        <w:t>situations</w:t>
      </w:r>
      <w:r>
        <w:rPr>
          <w:spacing w:val="-6"/>
          <w:w w:val="105"/>
          <w:sz w:val="21"/>
        </w:rPr>
        <w:t> </w:t>
      </w:r>
      <w:r>
        <w:rPr>
          <w:w w:val="105"/>
          <w:sz w:val="21"/>
        </w:rPr>
        <w:t>where</w:t>
      </w:r>
      <w:r>
        <w:rPr>
          <w:spacing w:val="-6"/>
          <w:w w:val="105"/>
          <w:sz w:val="21"/>
        </w:rPr>
        <w:t> </w:t>
      </w:r>
      <w:r>
        <w:rPr>
          <w:w w:val="105"/>
          <w:sz w:val="21"/>
        </w:rPr>
        <w:t>time</w:t>
      </w:r>
      <w:r>
        <w:rPr>
          <w:spacing w:val="-6"/>
          <w:w w:val="105"/>
          <w:sz w:val="21"/>
        </w:rPr>
        <w:t> </w:t>
      </w:r>
      <w:r>
        <w:rPr>
          <w:w w:val="105"/>
          <w:sz w:val="21"/>
        </w:rPr>
        <w:t>does</w:t>
      </w:r>
      <w:r>
        <w:rPr>
          <w:spacing w:val="-6"/>
          <w:w w:val="105"/>
          <w:sz w:val="21"/>
        </w:rPr>
        <w:t> </w:t>
      </w:r>
      <w:r>
        <w:rPr>
          <w:spacing w:val="-2"/>
          <w:w w:val="105"/>
          <w:sz w:val="21"/>
        </w:rPr>
        <w:t>not</w:t>
      </w:r>
      <w:r>
        <w:rPr>
          <w:spacing w:val="-6"/>
          <w:w w:val="105"/>
          <w:sz w:val="21"/>
        </w:rPr>
        <w:t> </w:t>
      </w:r>
      <w:r>
        <w:rPr>
          <w:spacing w:val="-3"/>
          <w:w w:val="105"/>
          <w:sz w:val="21"/>
        </w:rPr>
        <w:t>allow</w:t>
      </w:r>
      <w:r>
        <w:rPr>
          <w:spacing w:val="-6"/>
          <w:w w:val="105"/>
          <w:sz w:val="21"/>
        </w:rPr>
        <w:t> </w:t>
      </w:r>
      <w:r>
        <w:rPr>
          <w:spacing w:val="-3"/>
          <w:w w:val="105"/>
          <w:sz w:val="21"/>
        </w:rPr>
        <w:t>for</w:t>
      </w:r>
      <w:r>
        <w:rPr>
          <w:spacing w:val="-7"/>
          <w:w w:val="105"/>
          <w:sz w:val="21"/>
        </w:rPr>
        <w:t> </w:t>
      </w:r>
      <w:r>
        <w:rPr>
          <w:spacing w:val="-3"/>
          <w:w w:val="105"/>
          <w:sz w:val="21"/>
        </w:rPr>
        <w:t>fresh</w:t>
      </w:r>
      <w:r>
        <w:rPr>
          <w:spacing w:val="-6"/>
          <w:w w:val="105"/>
          <w:sz w:val="21"/>
        </w:rPr>
        <w:t> </w:t>
      </w:r>
      <w:r>
        <w:rPr>
          <w:w w:val="105"/>
          <w:sz w:val="21"/>
        </w:rPr>
        <w:t>legal</w:t>
      </w:r>
      <w:r>
        <w:rPr>
          <w:spacing w:val="-6"/>
          <w:w w:val="105"/>
          <w:sz w:val="21"/>
        </w:rPr>
        <w:t> </w:t>
      </w:r>
      <w:r>
        <w:rPr>
          <w:w w:val="105"/>
          <w:sz w:val="21"/>
        </w:rPr>
        <w:t>proceedings.</w:t>
      </w:r>
      <w:r>
        <w:rPr>
          <w:w w:val="105"/>
          <w:position w:val="7"/>
          <w:sz w:val="12"/>
        </w:rPr>
        <w:t>54</w:t>
      </w:r>
    </w:p>
    <w:p>
      <w:pPr>
        <w:pStyle w:val="ListParagraph"/>
        <w:numPr>
          <w:ilvl w:val="1"/>
          <w:numId w:val="16"/>
        </w:numPr>
        <w:tabs>
          <w:tab w:pos="2381" w:val="left" w:leader="none"/>
          <w:tab w:pos="2382" w:val="left" w:leader="none"/>
        </w:tabs>
        <w:spacing w:line="242" w:lineRule="auto" w:before="124" w:after="0"/>
        <w:ind w:left="2381" w:right="1641" w:hanging="794"/>
        <w:jc w:val="left"/>
        <w:rPr>
          <w:sz w:val="21"/>
        </w:rPr>
      </w:pPr>
      <w:r>
        <w:rPr>
          <w:w w:val="105"/>
          <w:sz w:val="21"/>
        </w:rPr>
        <w:t>The Victorian </w:t>
      </w:r>
      <w:r>
        <w:rPr>
          <w:spacing w:val="-3"/>
          <w:w w:val="105"/>
          <w:sz w:val="21"/>
        </w:rPr>
        <w:t>Civil </w:t>
      </w:r>
      <w:r>
        <w:rPr>
          <w:w w:val="105"/>
          <w:sz w:val="21"/>
        </w:rPr>
        <w:t>and </w:t>
      </w:r>
      <w:r>
        <w:rPr>
          <w:spacing w:val="-3"/>
          <w:w w:val="105"/>
          <w:sz w:val="21"/>
        </w:rPr>
        <w:t>Administrative </w:t>
      </w:r>
      <w:r>
        <w:rPr>
          <w:spacing w:val="-5"/>
          <w:w w:val="105"/>
          <w:sz w:val="21"/>
        </w:rPr>
        <w:t>Tribunal </w:t>
      </w:r>
      <w:r>
        <w:rPr>
          <w:w w:val="105"/>
          <w:sz w:val="21"/>
        </w:rPr>
        <w:t>(VCAT) supported </w:t>
      </w:r>
      <w:r>
        <w:rPr>
          <w:spacing w:val="-3"/>
          <w:w w:val="105"/>
          <w:sz w:val="21"/>
        </w:rPr>
        <w:t>binding </w:t>
      </w:r>
      <w:r>
        <w:rPr>
          <w:w w:val="105"/>
          <w:sz w:val="21"/>
        </w:rPr>
        <w:t>new owners of </w:t>
      </w:r>
      <w:r>
        <w:rPr>
          <w:spacing w:val="-3"/>
          <w:w w:val="105"/>
          <w:sz w:val="21"/>
        </w:rPr>
        <w:t>land to </w:t>
      </w:r>
      <w:r>
        <w:rPr>
          <w:w w:val="105"/>
          <w:sz w:val="21"/>
        </w:rPr>
        <w:t>carry out existing orders. </w:t>
      </w:r>
      <w:r>
        <w:rPr>
          <w:spacing w:val="-4"/>
          <w:w w:val="105"/>
          <w:sz w:val="21"/>
        </w:rPr>
        <w:t>However, </w:t>
      </w:r>
      <w:r>
        <w:rPr>
          <w:spacing w:val="-5"/>
          <w:w w:val="105"/>
          <w:sz w:val="21"/>
        </w:rPr>
        <w:t>VCAT </w:t>
      </w:r>
      <w:r>
        <w:rPr>
          <w:spacing w:val="-3"/>
          <w:w w:val="105"/>
          <w:sz w:val="21"/>
        </w:rPr>
        <w:t>noted that </w:t>
      </w:r>
      <w:r>
        <w:rPr>
          <w:w w:val="105"/>
          <w:sz w:val="21"/>
        </w:rPr>
        <w:t>it should </w:t>
      </w:r>
      <w:r>
        <w:rPr>
          <w:spacing w:val="-2"/>
          <w:w w:val="105"/>
          <w:sz w:val="21"/>
        </w:rPr>
        <w:t>not </w:t>
      </w:r>
      <w:r>
        <w:rPr>
          <w:w w:val="105"/>
          <w:sz w:val="21"/>
        </w:rPr>
        <w:t>be </w:t>
      </w:r>
      <w:r>
        <w:rPr>
          <w:spacing w:val="-3"/>
          <w:w w:val="105"/>
          <w:sz w:val="21"/>
        </w:rPr>
        <w:t>required to play </w:t>
      </w:r>
      <w:r>
        <w:rPr>
          <w:w w:val="105"/>
          <w:sz w:val="21"/>
        </w:rPr>
        <w:t>a role in </w:t>
      </w:r>
      <w:r>
        <w:rPr>
          <w:spacing w:val="-3"/>
          <w:w w:val="105"/>
          <w:sz w:val="21"/>
        </w:rPr>
        <w:t>implementing </w:t>
      </w:r>
      <w:r>
        <w:rPr>
          <w:w w:val="105"/>
          <w:sz w:val="21"/>
        </w:rPr>
        <w:t>this process. </w:t>
      </w:r>
      <w:r>
        <w:rPr>
          <w:spacing w:val="-5"/>
          <w:w w:val="105"/>
          <w:sz w:val="21"/>
        </w:rPr>
        <w:t>VCAT </w:t>
      </w:r>
      <w:r>
        <w:rPr>
          <w:w w:val="105"/>
          <w:sz w:val="21"/>
        </w:rPr>
        <w:t>also suggested </w:t>
      </w:r>
      <w:r>
        <w:rPr>
          <w:spacing w:val="-3"/>
          <w:w w:val="105"/>
          <w:sz w:val="21"/>
        </w:rPr>
        <w:t>that consideration </w:t>
      </w:r>
      <w:r>
        <w:rPr>
          <w:w w:val="105"/>
          <w:sz w:val="21"/>
        </w:rPr>
        <w:t>be given </w:t>
      </w:r>
      <w:r>
        <w:rPr>
          <w:spacing w:val="-3"/>
          <w:w w:val="105"/>
          <w:sz w:val="21"/>
        </w:rPr>
        <w:t>to </w:t>
      </w:r>
      <w:r>
        <w:rPr>
          <w:w w:val="105"/>
          <w:sz w:val="21"/>
        </w:rPr>
        <w:t>whether the order attaches </w:t>
      </w:r>
      <w:r>
        <w:rPr>
          <w:spacing w:val="-3"/>
          <w:w w:val="105"/>
          <w:sz w:val="21"/>
        </w:rPr>
        <w:t>to </w:t>
      </w:r>
      <w:r>
        <w:rPr>
          <w:w w:val="105"/>
          <w:sz w:val="21"/>
        </w:rPr>
        <w:t>the </w:t>
      </w:r>
      <w:r>
        <w:rPr>
          <w:spacing w:val="-3"/>
          <w:w w:val="105"/>
          <w:sz w:val="21"/>
        </w:rPr>
        <w:t>land </w:t>
      </w:r>
      <w:r>
        <w:rPr>
          <w:w w:val="105"/>
          <w:sz w:val="21"/>
        </w:rPr>
        <w:t>or the </w:t>
      </w:r>
      <w:r>
        <w:rPr>
          <w:spacing w:val="-4"/>
          <w:w w:val="105"/>
          <w:sz w:val="21"/>
        </w:rPr>
        <w:t>landowner. </w:t>
      </w:r>
      <w:r>
        <w:rPr>
          <w:spacing w:val="-5"/>
          <w:w w:val="105"/>
          <w:sz w:val="21"/>
        </w:rPr>
        <w:t>VCAT </w:t>
      </w:r>
      <w:r>
        <w:rPr>
          <w:spacing w:val="-3"/>
          <w:w w:val="105"/>
          <w:sz w:val="21"/>
        </w:rPr>
        <w:t>noted that </w:t>
      </w:r>
      <w:r>
        <w:rPr>
          <w:w w:val="105"/>
          <w:sz w:val="21"/>
        </w:rPr>
        <w:t>if an order is </w:t>
      </w:r>
      <w:r>
        <w:rPr>
          <w:spacing w:val="-3"/>
          <w:w w:val="105"/>
          <w:sz w:val="21"/>
        </w:rPr>
        <w:t>to </w:t>
      </w:r>
      <w:r>
        <w:rPr>
          <w:w w:val="105"/>
          <w:sz w:val="21"/>
        </w:rPr>
        <w:t>attach </w:t>
      </w:r>
      <w:r>
        <w:rPr>
          <w:spacing w:val="-3"/>
          <w:w w:val="105"/>
          <w:sz w:val="21"/>
        </w:rPr>
        <w:t>to </w:t>
      </w:r>
      <w:r>
        <w:rPr>
          <w:w w:val="105"/>
          <w:sz w:val="21"/>
        </w:rPr>
        <w:t>the </w:t>
      </w:r>
      <w:r>
        <w:rPr>
          <w:spacing w:val="-3"/>
          <w:w w:val="105"/>
          <w:sz w:val="21"/>
        </w:rPr>
        <w:t>land to bind </w:t>
      </w:r>
      <w:r>
        <w:rPr>
          <w:w w:val="105"/>
          <w:sz w:val="21"/>
        </w:rPr>
        <w:t>every </w:t>
      </w:r>
      <w:r>
        <w:rPr>
          <w:spacing w:val="-3"/>
          <w:w w:val="105"/>
          <w:sz w:val="21"/>
        </w:rPr>
        <w:t>subsequent </w:t>
      </w:r>
      <w:r>
        <w:rPr>
          <w:w w:val="105"/>
          <w:sz w:val="21"/>
        </w:rPr>
        <w:t>owner or </w:t>
      </w:r>
      <w:r>
        <w:rPr>
          <w:spacing w:val="-4"/>
          <w:w w:val="105"/>
          <w:sz w:val="21"/>
        </w:rPr>
        <w:t>occupier, like </w:t>
      </w:r>
      <w:r>
        <w:rPr>
          <w:w w:val="105"/>
          <w:sz w:val="21"/>
        </w:rPr>
        <w:t>section </w:t>
      </w:r>
      <w:r>
        <w:rPr>
          <w:spacing w:val="-9"/>
          <w:w w:val="105"/>
          <w:sz w:val="21"/>
        </w:rPr>
        <w:t>124 </w:t>
      </w:r>
      <w:r>
        <w:rPr>
          <w:w w:val="105"/>
          <w:sz w:val="21"/>
        </w:rPr>
        <w:t>of the </w:t>
      </w:r>
      <w:r>
        <w:rPr>
          <w:i/>
          <w:spacing w:val="-3"/>
          <w:w w:val="105"/>
          <w:sz w:val="21"/>
        </w:rPr>
        <w:t>Planning </w:t>
      </w:r>
      <w:r>
        <w:rPr>
          <w:i/>
          <w:w w:val="105"/>
          <w:sz w:val="21"/>
        </w:rPr>
        <w:t>and </w:t>
      </w:r>
      <w:r>
        <w:rPr>
          <w:i/>
          <w:spacing w:val="-3"/>
          <w:w w:val="105"/>
          <w:sz w:val="21"/>
        </w:rPr>
        <w:t>Environment </w:t>
      </w:r>
      <w:r>
        <w:rPr>
          <w:i/>
          <w:w w:val="105"/>
          <w:sz w:val="21"/>
        </w:rPr>
        <w:t>Act </w:t>
      </w:r>
      <w:r>
        <w:rPr>
          <w:i/>
          <w:spacing w:val="-6"/>
          <w:w w:val="105"/>
          <w:sz w:val="21"/>
        </w:rPr>
        <w:t>1987 </w:t>
      </w:r>
      <w:r>
        <w:rPr>
          <w:w w:val="105"/>
          <w:sz w:val="21"/>
        </w:rPr>
        <w:t>(Vic),</w:t>
      </w:r>
      <w:r>
        <w:rPr>
          <w:w w:val="105"/>
          <w:position w:val="7"/>
          <w:sz w:val="12"/>
        </w:rPr>
        <w:t>55 </w:t>
      </w:r>
      <w:r>
        <w:rPr>
          <w:w w:val="105"/>
          <w:sz w:val="21"/>
        </w:rPr>
        <w:t>this would need </w:t>
      </w:r>
      <w:r>
        <w:rPr>
          <w:spacing w:val="-3"/>
          <w:w w:val="105"/>
          <w:sz w:val="21"/>
        </w:rPr>
        <w:t>to </w:t>
      </w:r>
      <w:r>
        <w:rPr>
          <w:w w:val="105"/>
          <w:sz w:val="21"/>
        </w:rPr>
        <w:t>be reflected in the </w:t>
      </w:r>
      <w:r>
        <w:rPr>
          <w:i/>
          <w:w w:val="105"/>
          <w:sz w:val="21"/>
        </w:rPr>
        <w:t>Sale </w:t>
      </w:r>
      <w:r>
        <w:rPr>
          <w:i/>
          <w:spacing w:val="-3"/>
          <w:w w:val="105"/>
          <w:sz w:val="21"/>
        </w:rPr>
        <w:t>of </w:t>
      </w:r>
      <w:r>
        <w:rPr>
          <w:i/>
          <w:w w:val="105"/>
          <w:sz w:val="21"/>
        </w:rPr>
        <w:t>Land Act </w:t>
      </w:r>
      <w:r>
        <w:rPr>
          <w:i/>
          <w:spacing w:val="-5"/>
          <w:w w:val="105"/>
          <w:sz w:val="21"/>
        </w:rPr>
        <w:t>1962</w:t>
      </w:r>
      <w:r>
        <w:rPr>
          <w:i/>
          <w:spacing w:val="31"/>
          <w:w w:val="105"/>
          <w:sz w:val="21"/>
        </w:rPr>
        <w:t> </w:t>
      </w:r>
      <w:r>
        <w:rPr>
          <w:w w:val="105"/>
          <w:sz w:val="21"/>
        </w:rPr>
        <w:t>(Vic).</w:t>
      </w:r>
      <w:r>
        <w:rPr>
          <w:w w:val="105"/>
          <w:position w:val="7"/>
          <w:sz w:val="12"/>
        </w:rPr>
        <w:t>56</w:t>
      </w:r>
    </w:p>
    <w:p>
      <w:pPr>
        <w:pStyle w:val="ListParagraph"/>
        <w:numPr>
          <w:ilvl w:val="1"/>
          <w:numId w:val="16"/>
        </w:numPr>
        <w:tabs>
          <w:tab w:pos="2381" w:val="left" w:leader="none"/>
          <w:tab w:pos="2382" w:val="left" w:leader="none"/>
        </w:tabs>
        <w:spacing w:line="242" w:lineRule="auto" w:before="128" w:after="0"/>
        <w:ind w:left="2381" w:right="1754" w:hanging="794"/>
        <w:jc w:val="left"/>
        <w:rPr>
          <w:sz w:val="21"/>
        </w:rPr>
      </w:pPr>
      <w:r>
        <w:rPr>
          <w:w w:val="105"/>
          <w:sz w:val="21"/>
        </w:rPr>
        <w:t>Another</w:t>
      </w:r>
      <w:r>
        <w:rPr>
          <w:spacing w:val="-7"/>
          <w:w w:val="105"/>
          <w:sz w:val="21"/>
        </w:rPr>
        <w:t> </w:t>
      </w:r>
      <w:r>
        <w:rPr>
          <w:spacing w:val="-3"/>
          <w:w w:val="105"/>
          <w:sz w:val="21"/>
        </w:rPr>
        <w:t>submission</w:t>
      </w:r>
      <w:r>
        <w:rPr>
          <w:spacing w:val="-7"/>
          <w:w w:val="105"/>
          <w:sz w:val="21"/>
        </w:rPr>
        <w:t> </w:t>
      </w:r>
      <w:r>
        <w:rPr>
          <w:w w:val="105"/>
          <w:sz w:val="21"/>
        </w:rPr>
        <w:t>stated</w:t>
      </w:r>
      <w:r>
        <w:rPr>
          <w:spacing w:val="-7"/>
          <w:w w:val="105"/>
          <w:sz w:val="21"/>
        </w:rPr>
        <w:t> </w:t>
      </w:r>
      <w:r>
        <w:rPr>
          <w:spacing w:val="-3"/>
          <w:w w:val="105"/>
          <w:sz w:val="21"/>
        </w:rPr>
        <w:t>that</w:t>
      </w:r>
      <w:r>
        <w:rPr>
          <w:spacing w:val="-7"/>
          <w:w w:val="105"/>
          <w:sz w:val="21"/>
        </w:rPr>
        <w:t> </w:t>
      </w:r>
      <w:r>
        <w:rPr>
          <w:w w:val="105"/>
          <w:sz w:val="21"/>
        </w:rPr>
        <w:t>new</w:t>
      </w:r>
      <w:r>
        <w:rPr>
          <w:spacing w:val="-7"/>
          <w:w w:val="105"/>
          <w:sz w:val="21"/>
        </w:rPr>
        <w:t> </w:t>
      </w:r>
      <w:r>
        <w:rPr>
          <w:w w:val="105"/>
          <w:sz w:val="21"/>
        </w:rPr>
        <w:t>tree</w:t>
      </w:r>
      <w:r>
        <w:rPr>
          <w:spacing w:val="-7"/>
          <w:w w:val="105"/>
          <w:sz w:val="21"/>
        </w:rPr>
        <w:t> </w:t>
      </w:r>
      <w:r>
        <w:rPr>
          <w:w w:val="105"/>
          <w:sz w:val="21"/>
        </w:rPr>
        <w:t>owners</w:t>
      </w:r>
      <w:r>
        <w:rPr>
          <w:spacing w:val="-7"/>
          <w:w w:val="105"/>
          <w:sz w:val="21"/>
        </w:rPr>
        <w:t> </w:t>
      </w:r>
      <w:r>
        <w:rPr>
          <w:w w:val="105"/>
          <w:sz w:val="21"/>
        </w:rPr>
        <w:t>should</w:t>
      </w:r>
      <w:r>
        <w:rPr>
          <w:spacing w:val="-7"/>
          <w:w w:val="105"/>
          <w:sz w:val="21"/>
        </w:rPr>
        <w:t> </w:t>
      </w:r>
      <w:r>
        <w:rPr>
          <w:w w:val="105"/>
          <w:sz w:val="21"/>
        </w:rPr>
        <w:t>be</w:t>
      </w:r>
      <w:r>
        <w:rPr>
          <w:spacing w:val="-6"/>
          <w:w w:val="105"/>
          <w:sz w:val="21"/>
        </w:rPr>
        <w:t> </w:t>
      </w:r>
      <w:r>
        <w:rPr>
          <w:w w:val="105"/>
          <w:sz w:val="21"/>
        </w:rPr>
        <w:t>bound</w:t>
      </w:r>
      <w:r>
        <w:rPr>
          <w:spacing w:val="-7"/>
          <w:w w:val="105"/>
          <w:sz w:val="21"/>
        </w:rPr>
        <w:t> </w:t>
      </w:r>
      <w:r>
        <w:rPr>
          <w:w w:val="105"/>
          <w:sz w:val="21"/>
        </w:rPr>
        <w:t>only</w:t>
      </w:r>
      <w:r>
        <w:rPr>
          <w:spacing w:val="-7"/>
          <w:w w:val="105"/>
          <w:sz w:val="21"/>
        </w:rPr>
        <w:t> </w:t>
      </w:r>
      <w:r>
        <w:rPr>
          <w:w w:val="105"/>
          <w:sz w:val="21"/>
        </w:rPr>
        <w:t>if</w:t>
      </w:r>
      <w:r>
        <w:rPr>
          <w:spacing w:val="-7"/>
          <w:w w:val="105"/>
          <w:sz w:val="21"/>
        </w:rPr>
        <w:t> </w:t>
      </w:r>
      <w:r>
        <w:rPr>
          <w:w w:val="105"/>
          <w:sz w:val="21"/>
        </w:rPr>
        <w:t>they</w:t>
      </w:r>
      <w:r>
        <w:rPr>
          <w:spacing w:val="-7"/>
          <w:w w:val="105"/>
          <w:sz w:val="21"/>
        </w:rPr>
        <w:t> </w:t>
      </w:r>
      <w:r>
        <w:rPr>
          <w:spacing w:val="-3"/>
          <w:w w:val="105"/>
          <w:sz w:val="21"/>
        </w:rPr>
        <w:t>are</w:t>
      </w:r>
      <w:r>
        <w:rPr>
          <w:spacing w:val="-7"/>
          <w:w w:val="105"/>
          <w:sz w:val="21"/>
        </w:rPr>
        <w:t> </w:t>
      </w:r>
      <w:r>
        <w:rPr>
          <w:w w:val="105"/>
          <w:sz w:val="21"/>
        </w:rPr>
        <w:t>made </w:t>
      </w:r>
      <w:r>
        <w:rPr>
          <w:spacing w:val="-3"/>
          <w:w w:val="105"/>
          <w:sz w:val="21"/>
        </w:rPr>
        <w:t>aware </w:t>
      </w:r>
      <w:r>
        <w:rPr>
          <w:w w:val="105"/>
          <w:sz w:val="21"/>
        </w:rPr>
        <w:t>of </w:t>
      </w:r>
      <w:r>
        <w:rPr>
          <w:spacing w:val="-3"/>
          <w:w w:val="105"/>
          <w:sz w:val="21"/>
        </w:rPr>
        <w:t>any </w:t>
      </w:r>
      <w:r>
        <w:rPr>
          <w:w w:val="105"/>
          <w:sz w:val="21"/>
        </w:rPr>
        <w:t>orders </w:t>
      </w:r>
      <w:r>
        <w:rPr>
          <w:spacing w:val="-3"/>
          <w:w w:val="105"/>
          <w:sz w:val="21"/>
        </w:rPr>
        <w:t>before </w:t>
      </w:r>
      <w:r>
        <w:rPr>
          <w:w w:val="105"/>
          <w:sz w:val="21"/>
        </w:rPr>
        <w:t>buying the </w:t>
      </w:r>
      <w:r>
        <w:rPr>
          <w:spacing w:val="-3"/>
          <w:w w:val="105"/>
          <w:sz w:val="21"/>
        </w:rPr>
        <w:t>land, such </w:t>
      </w:r>
      <w:r>
        <w:rPr>
          <w:w w:val="105"/>
          <w:sz w:val="21"/>
        </w:rPr>
        <w:t>as </w:t>
      </w:r>
      <w:r>
        <w:rPr>
          <w:spacing w:val="-3"/>
          <w:w w:val="105"/>
          <w:sz w:val="21"/>
        </w:rPr>
        <w:t>through information </w:t>
      </w:r>
      <w:r>
        <w:rPr>
          <w:w w:val="105"/>
          <w:sz w:val="21"/>
        </w:rPr>
        <w:t>provided</w:t>
      </w:r>
      <w:r>
        <w:rPr>
          <w:spacing w:val="13"/>
          <w:w w:val="105"/>
          <w:sz w:val="21"/>
        </w:rPr>
        <w:t> </w:t>
      </w:r>
      <w:r>
        <w:rPr>
          <w:w w:val="105"/>
          <w:sz w:val="21"/>
        </w:rPr>
        <w:t>by</w:t>
      </w:r>
    </w:p>
    <w:p>
      <w:pPr>
        <w:pStyle w:val="BodyText"/>
        <w:spacing w:line="242" w:lineRule="auto" w:before="2"/>
        <w:ind w:left="2381" w:right="2102"/>
        <w:jc w:val="both"/>
      </w:pPr>
      <w:r>
        <w:rPr>
          <w:w w:val="105"/>
        </w:rPr>
        <w:t>a </w:t>
      </w:r>
      <w:r>
        <w:rPr>
          <w:spacing w:val="-3"/>
          <w:w w:val="105"/>
        </w:rPr>
        <w:t>real </w:t>
      </w:r>
      <w:r>
        <w:rPr>
          <w:w w:val="105"/>
        </w:rPr>
        <w:t>estate </w:t>
      </w:r>
      <w:r>
        <w:rPr>
          <w:spacing w:val="-3"/>
          <w:w w:val="105"/>
        </w:rPr>
        <w:t>agent.</w:t>
      </w:r>
      <w:r>
        <w:rPr>
          <w:spacing w:val="-3"/>
          <w:w w:val="105"/>
          <w:position w:val="7"/>
          <w:sz w:val="12"/>
        </w:rPr>
        <w:t>57 </w:t>
      </w:r>
      <w:r>
        <w:rPr>
          <w:w w:val="105"/>
        </w:rPr>
        <w:t>Some people suggested </w:t>
      </w:r>
      <w:r>
        <w:rPr>
          <w:spacing w:val="-3"/>
          <w:w w:val="105"/>
        </w:rPr>
        <w:t>that </w:t>
      </w:r>
      <w:r>
        <w:rPr>
          <w:w w:val="105"/>
        </w:rPr>
        <w:t>if a new owner is able </w:t>
      </w:r>
      <w:r>
        <w:rPr>
          <w:spacing w:val="-3"/>
          <w:w w:val="105"/>
        </w:rPr>
        <w:t>to </w:t>
      </w:r>
      <w:r>
        <w:rPr>
          <w:w w:val="105"/>
        </w:rPr>
        <w:t>come </w:t>
      </w:r>
      <w:r>
        <w:rPr>
          <w:spacing w:val="-3"/>
          <w:w w:val="105"/>
        </w:rPr>
        <w:t>to </w:t>
      </w:r>
      <w:r>
        <w:rPr>
          <w:w w:val="105"/>
        </w:rPr>
        <w:t>a new </w:t>
      </w:r>
      <w:r>
        <w:rPr>
          <w:spacing w:val="-3"/>
          <w:w w:val="105"/>
        </w:rPr>
        <w:t>arrangement </w:t>
      </w:r>
      <w:r>
        <w:rPr>
          <w:w w:val="105"/>
        </w:rPr>
        <w:t>with an affected neighbour</w:t>
      </w:r>
      <w:r>
        <w:rPr>
          <w:w w:val="105"/>
          <w:position w:val="7"/>
          <w:sz w:val="12"/>
        </w:rPr>
        <w:t>58 </w:t>
      </w:r>
      <w:r>
        <w:rPr>
          <w:w w:val="105"/>
        </w:rPr>
        <w:t>or </w:t>
      </w:r>
      <w:r>
        <w:rPr>
          <w:spacing w:val="-3"/>
          <w:w w:val="105"/>
        </w:rPr>
        <w:t>alter </w:t>
      </w:r>
      <w:r>
        <w:rPr>
          <w:w w:val="105"/>
        </w:rPr>
        <w:t>the </w:t>
      </w:r>
      <w:r>
        <w:rPr>
          <w:spacing w:val="-3"/>
          <w:w w:val="105"/>
        </w:rPr>
        <w:t>original </w:t>
      </w:r>
      <w:r>
        <w:rPr>
          <w:w w:val="105"/>
        </w:rPr>
        <w:t>order with the affected </w:t>
      </w:r>
      <w:r>
        <w:rPr>
          <w:spacing w:val="-3"/>
          <w:w w:val="105"/>
        </w:rPr>
        <w:t>neighbour’s cooperation,</w:t>
      </w:r>
      <w:r>
        <w:rPr>
          <w:spacing w:val="-3"/>
          <w:w w:val="105"/>
          <w:position w:val="7"/>
          <w:sz w:val="12"/>
        </w:rPr>
        <w:t>59 </w:t>
      </w:r>
      <w:r>
        <w:rPr>
          <w:w w:val="105"/>
        </w:rPr>
        <w:t>they should </w:t>
      </w:r>
      <w:r>
        <w:rPr>
          <w:spacing w:val="-2"/>
          <w:w w:val="105"/>
        </w:rPr>
        <w:t>not </w:t>
      </w:r>
      <w:r>
        <w:rPr>
          <w:w w:val="105"/>
        </w:rPr>
        <w:t>be </w:t>
      </w:r>
      <w:r>
        <w:rPr>
          <w:spacing w:val="-3"/>
          <w:w w:val="105"/>
        </w:rPr>
        <w:t>bound.</w:t>
      </w:r>
    </w:p>
    <w:p>
      <w:pPr>
        <w:pStyle w:val="ListParagraph"/>
        <w:numPr>
          <w:ilvl w:val="1"/>
          <w:numId w:val="16"/>
        </w:numPr>
        <w:tabs>
          <w:tab w:pos="2381" w:val="left" w:leader="none"/>
          <w:tab w:pos="2382" w:val="left" w:leader="none"/>
        </w:tabs>
        <w:spacing w:line="242" w:lineRule="auto" w:before="123" w:after="0"/>
        <w:ind w:left="2381" w:right="1601" w:hanging="794"/>
        <w:jc w:val="left"/>
        <w:rPr>
          <w:sz w:val="21"/>
        </w:rPr>
      </w:pPr>
      <w:r>
        <w:rPr>
          <w:sz w:val="21"/>
        </w:rPr>
        <w:t>A </w:t>
      </w:r>
      <w:r>
        <w:rPr>
          <w:spacing w:val="-3"/>
          <w:sz w:val="21"/>
        </w:rPr>
        <w:t>small </w:t>
      </w:r>
      <w:r>
        <w:rPr>
          <w:sz w:val="21"/>
        </w:rPr>
        <w:t>number of </w:t>
      </w:r>
      <w:r>
        <w:rPr>
          <w:spacing w:val="-3"/>
          <w:sz w:val="21"/>
        </w:rPr>
        <w:t>submissions </w:t>
      </w:r>
      <w:r>
        <w:rPr>
          <w:sz w:val="21"/>
        </w:rPr>
        <w:t>stated </w:t>
      </w:r>
      <w:r>
        <w:rPr>
          <w:spacing w:val="-3"/>
          <w:sz w:val="21"/>
        </w:rPr>
        <w:t>that </w:t>
      </w:r>
      <w:r>
        <w:rPr>
          <w:sz w:val="21"/>
        </w:rPr>
        <w:t>new tree owners should </w:t>
      </w:r>
      <w:r>
        <w:rPr>
          <w:spacing w:val="-2"/>
          <w:sz w:val="21"/>
        </w:rPr>
        <w:t>not </w:t>
      </w:r>
      <w:r>
        <w:rPr>
          <w:sz w:val="21"/>
        </w:rPr>
        <w:t>be bound by legal action.</w:t>
      </w:r>
      <w:r>
        <w:rPr>
          <w:position w:val="7"/>
          <w:sz w:val="12"/>
        </w:rPr>
        <w:t>60 </w:t>
      </w:r>
      <w:r>
        <w:rPr>
          <w:sz w:val="21"/>
        </w:rPr>
        <w:t>One reason was </w:t>
      </w:r>
      <w:r>
        <w:rPr>
          <w:spacing w:val="-3"/>
          <w:sz w:val="21"/>
        </w:rPr>
        <w:t>that </w:t>
      </w:r>
      <w:r>
        <w:rPr>
          <w:sz w:val="21"/>
        </w:rPr>
        <w:t>it would be too difficult </w:t>
      </w:r>
      <w:r>
        <w:rPr>
          <w:spacing w:val="-3"/>
          <w:sz w:val="21"/>
        </w:rPr>
        <w:t>to implement</w:t>
      </w:r>
      <w:r>
        <w:rPr>
          <w:spacing w:val="23"/>
          <w:sz w:val="21"/>
        </w:rPr>
        <w:t> </w:t>
      </w:r>
      <w:r>
        <w:rPr>
          <w:spacing w:val="-5"/>
          <w:sz w:val="21"/>
        </w:rPr>
        <w:t>fairly.</w:t>
      </w:r>
      <w:r>
        <w:rPr>
          <w:spacing w:val="-5"/>
          <w:position w:val="7"/>
          <w:sz w:val="12"/>
        </w:rPr>
        <w:t>61</w:t>
      </w:r>
    </w:p>
    <w:p>
      <w:pPr>
        <w:pStyle w:val="BodyText"/>
        <w:rPr>
          <w:sz w:val="20"/>
        </w:rPr>
      </w:pPr>
    </w:p>
    <w:p>
      <w:pPr>
        <w:pStyle w:val="BodyText"/>
        <w:rPr>
          <w:sz w:val="20"/>
        </w:rPr>
      </w:pPr>
    </w:p>
    <w:p>
      <w:pPr>
        <w:pStyle w:val="BodyText"/>
        <w:rPr>
          <w:sz w:val="20"/>
        </w:rPr>
      </w:pPr>
    </w:p>
    <w:p>
      <w:pPr>
        <w:pStyle w:val="BodyText"/>
        <w:spacing w:before="9"/>
        <w:rPr>
          <w:sz w:val="25"/>
        </w:rPr>
      </w:pPr>
      <w:r>
        <w:rPr/>
        <w:pict>
          <v:line style="position:absolute;mso-position-horizontal-relative:page;mso-position-vertical-relative:paragraph;z-index:10856;mso-wrap-distance-left:0;mso-wrap-distance-right:0" from="79.370003pt,18.200573pt" to="515.905003pt,18.20057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93"/>
        </w:numPr>
        <w:tabs>
          <w:tab w:pos="2380" w:val="left" w:leader="none"/>
          <w:tab w:pos="2382" w:val="left" w:leader="none"/>
        </w:tabs>
        <w:spacing w:line="240" w:lineRule="auto" w:before="48" w:after="0"/>
        <w:ind w:left="2381" w:right="0" w:hanging="794"/>
        <w:jc w:val="left"/>
        <w:rPr>
          <w:sz w:val="13"/>
        </w:rPr>
      </w:pPr>
      <w:r>
        <w:rPr>
          <w:w w:val="105"/>
          <w:sz w:val="13"/>
        </w:rPr>
        <w:t>Submission 21 (Pointon Partners</w:t>
      </w:r>
      <w:r>
        <w:rPr>
          <w:spacing w:val="17"/>
          <w:w w:val="105"/>
          <w:sz w:val="13"/>
        </w:rPr>
        <w:t> </w:t>
      </w:r>
      <w:r>
        <w:rPr>
          <w:spacing w:val="2"/>
          <w:w w:val="105"/>
          <w:sz w:val="13"/>
        </w:rPr>
        <w:t>Lawyers).</w:t>
      </w:r>
    </w:p>
    <w:p>
      <w:pPr>
        <w:pStyle w:val="ListParagraph"/>
        <w:numPr>
          <w:ilvl w:val="0"/>
          <w:numId w:val="193"/>
        </w:numPr>
        <w:tabs>
          <w:tab w:pos="2380" w:val="left" w:leader="none"/>
          <w:tab w:pos="2382" w:val="left" w:leader="none"/>
        </w:tabs>
        <w:spacing w:line="240" w:lineRule="auto" w:before="1" w:after="0"/>
        <w:ind w:left="2381" w:right="0" w:hanging="794"/>
        <w:jc w:val="left"/>
        <w:rPr>
          <w:sz w:val="13"/>
        </w:rPr>
      </w:pPr>
      <w:r>
        <w:rPr>
          <w:w w:val="105"/>
          <w:sz w:val="13"/>
        </w:rPr>
        <w:t>Submissions 5 </w:t>
      </w:r>
      <w:r>
        <w:rPr>
          <w:spacing w:val="2"/>
          <w:w w:val="105"/>
          <w:sz w:val="13"/>
        </w:rPr>
        <w:t>(Name </w:t>
      </w:r>
      <w:r>
        <w:rPr>
          <w:w w:val="105"/>
          <w:sz w:val="13"/>
        </w:rPr>
        <w:t>withheld), 21 (Pointon Partners</w:t>
      </w:r>
      <w:r>
        <w:rPr>
          <w:spacing w:val="29"/>
          <w:w w:val="105"/>
          <w:sz w:val="13"/>
        </w:rPr>
        <w:t> </w:t>
      </w:r>
      <w:r>
        <w:rPr>
          <w:spacing w:val="2"/>
          <w:w w:val="105"/>
          <w:sz w:val="13"/>
        </w:rPr>
        <w:t>Lawyers).</w:t>
      </w:r>
    </w:p>
    <w:p>
      <w:pPr>
        <w:pStyle w:val="ListParagraph"/>
        <w:numPr>
          <w:ilvl w:val="0"/>
          <w:numId w:val="193"/>
        </w:numPr>
        <w:tabs>
          <w:tab w:pos="2380" w:val="left" w:leader="none"/>
          <w:tab w:pos="2382" w:val="left" w:leader="none"/>
        </w:tabs>
        <w:spacing w:line="240" w:lineRule="auto" w:before="2" w:after="0"/>
        <w:ind w:left="2381" w:right="189" w:hanging="794"/>
        <w:jc w:val="left"/>
        <w:rPr>
          <w:sz w:val="13"/>
        </w:rPr>
      </w:pPr>
      <w:r>
        <w:rPr>
          <w:w w:val="105"/>
          <w:sz w:val="13"/>
        </w:rPr>
        <w:t>Submissions 4 </w:t>
      </w:r>
      <w:r>
        <w:rPr>
          <w:spacing w:val="2"/>
          <w:w w:val="105"/>
          <w:sz w:val="13"/>
        </w:rPr>
        <w:t>(Name </w:t>
      </w:r>
      <w:r>
        <w:rPr>
          <w:w w:val="105"/>
          <w:sz w:val="13"/>
        </w:rPr>
        <w:t>withheld), 7 </w:t>
      </w:r>
      <w:r>
        <w:rPr>
          <w:spacing w:val="2"/>
          <w:w w:val="105"/>
          <w:sz w:val="13"/>
        </w:rPr>
        <w:t>(Ben </w:t>
      </w:r>
      <w:r>
        <w:rPr>
          <w:w w:val="105"/>
          <w:sz w:val="13"/>
        </w:rPr>
        <w:t>Kenyon), 8 </w:t>
      </w:r>
      <w:r>
        <w:rPr>
          <w:spacing w:val="2"/>
          <w:w w:val="105"/>
          <w:sz w:val="13"/>
        </w:rPr>
        <w:t>(Victoria </w:t>
      </w:r>
      <w:r>
        <w:rPr>
          <w:w w:val="105"/>
          <w:sz w:val="13"/>
        </w:rPr>
        <w:t>Thieberger), 9 </w:t>
      </w:r>
      <w:r>
        <w:rPr>
          <w:spacing w:val="3"/>
          <w:w w:val="105"/>
          <w:sz w:val="13"/>
        </w:rPr>
        <w:t>(Dr </w:t>
      </w:r>
      <w:r>
        <w:rPr>
          <w:w w:val="105"/>
          <w:sz w:val="13"/>
        </w:rPr>
        <w:t>Karen Smith), 10 (Professor Phillip Hamilton), </w:t>
      </w:r>
      <w:r>
        <w:rPr>
          <w:spacing w:val="-6"/>
          <w:w w:val="105"/>
          <w:sz w:val="13"/>
        </w:rPr>
        <w:t>11 </w:t>
      </w:r>
      <w:r>
        <w:rPr>
          <w:spacing w:val="2"/>
          <w:w w:val="105"/>
          <w:sz w:val="13"/>
        </w:rPr>
        <w:t>(Name </w:t>
      </w:r>
      <w:r>
        <w:rPr>
          <w:w w:val="105"/>
          <w:sz w:val="13"/>
        </w:rPr>
        <w:t>withheld),</w:t>
      </w:r>
      <w:r>
        <w:rPr>
          <w:spacing w:val="4"/>
          <w:w w:val="105"/>
          <w:sz w:val="13"/>
        </w:rPr>
        <w:t> </w:t>
      </w:r>
      <w:r>
        <w:rPr>
          <w:spacing w:val="-3"/>
          <w:w w:val="105"/>
          <w:sz w:val="13"/>
        </w:rPr>
        <w:t>19</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20</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23</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27</w:t>
      </w:r>
      <w:r>
        <w:rPr>
          <w:spacing w:val="5"/>
          <w:w w:val="105"/>
          <w:sz w:val="13"/>
        </w:rPr>
        <w:t> </w:t>
      </w:r>
      <w:r>
        <w:rPr>
          <w:spacing w:val="2"/>
          <w:w w:val="105"/>
          <w:sz w:val="13"/>
        </w:rPr>
        <w:t>(Name</w:t>
      </w:r>
      <w:r>
        <w:rPr>
          <w:spacing w:val="5"/>
          <w:w w:val="105"/>
          <w:sz w:val="13"/>
        </w:rPr>
        <w:t> </w:t>
      </w:r>
      <w:r>
        <w:rPr>
          <w:w w:val="105"/>
          <w:sz w:val="13"/>
        </w:rPr>
        <w:t>withheld).</w:t>
      </w:r>
    </w:p>
    <w:p>
      <w:pPr>
        <w:pStyle w:val="ListParagraph"/>
        <w:numPr>
          <w:ilvl w:val="0"/>
          <w:numId w:val="193"/>
        </w:numPr>
        <w:tabs>
          <w:tab w:pos="2381" w:val="left" w:leader="none"/>
          <w:tab w:pos="2382" w:val="left" w:leader="none"/>
        </w:tabs>
        <w:spacing w:line="240" w:lineRule="auto" w:before="2" w:after="0"/>
        <w:ind w:left="2381" w:right="0" w:hanging="794"/>
        <w:jc w:val="left"/>
        <w:rPr>
          <w:sz w:val="13"/>
        </w:rPr>
      </w:pPr>
      <w:r>
        <w:rPr>
          <w:w w:val="105"/>
          <w:sz w:val="13"/>
        </w:rPr>
        <w:t>Submission 9 </w:t>
      </w:r>
      <w:r>
        <w:rPr>
          <w:spacing w:val="3"/>
          <w:w w:val="105"/>
          <w:sz w:val="13"/>
        </w:rPr>
        <w:t>(Dr </w:t>
      </w:r>
      <w:r>
        <w:rPr>
          <w:w w:val="105"/>
          <w:sz w:val="13"/>
        </w:rPr>
        <w:t>Karen</w:t>
      </w:r>
      <w:r>
        <w:rPr>
          <w:spacing w:val="15"/>
          <w:w w:val="105"/>
          <w:sz w:val="13"/>
        </w:rPr>
        <w:t> </w:t>
      </w:r>
      <w:r>
        <w:rPr>
          <w:w w:val="105"/>
          <w:sz w:val="13"/>
        </w:rPr>
        <w:t>Smith).</w:t>
      </w:r>
    </w:p>
    <w:p>
      <w:pPr>
        <w:pStyle w:val="ListParagraph"/>
        <w:numPr>
          <w:ilvl w:val="0"/>
          <w:numId w:val="193"/>
        </w:numPr>
        <w:tabs>
          <w:tab w:pos="2381" w:val="left" w:leader="none"/>
          <w:tab w:pos="2382" w:val="left" w:leader="none"/>
        </w:tabs>
        <w:spacing w:line="240" w:lineRule="auto" w:before="2" w:after="0"/>
        <w:ind w:left="2381" w:right="0" w:hanging="794"/>
        <w:jc w:val="left"/>
        <w:rPr>
          <w:sz w:val="13"/>
        </w:rPr>
      </w:pPr>
      <w:r>
        <w:rPr>
          <w:w w:val="105"/>
          <w:sz w:val="13"/>
        </w:rPr>
        <w:t>Submission 20 </w:t>
      </w:r>
      <w:r>
        <w:rPr>
          <w:spacing w:val="2"/>
          <w:w w:val="105"/>
          <w:sz w:val="13"/>
        </w:rPr>
        <w:t>(Name</w:t>
      </w:r>
      <w:r>
        <w:rPr>
          <w:spacing w:val="13"/>
          <w:w w:val="105"/>
          <w:sz w:val="13"/>
        </w:rPr>
        <w:t> </w:t>
      </w:r>
      <w:r>
        <w:rPr>
          <w:w w:val="105"/>
          <w:sz w:val="13"/>
        </w:rPr>
        <w:t>withheld).</w:t>
      </w:r>
    </w:p>
    <w:p>
      <w:pPr>
        <w:pStyle w:val="ListParagraph"/>
        <w:numPr>
          <w:ilvl w:val="0"/>
          <w:numId w:val="193"/>
        </w:numPr>
        <w:tabs>
          <w:tab w:pos="2381" w:val="left" w:leader="none"/>
          <w:tab w:pos="2382" w:val="left" w:leader="none"/>
        </w:tabs>
        <w:spacing w:line="240" w:lineRule="auto" w:before="1" w:after="0"/>
        <w:ind w:left="2381" w:right="0" w:hanging="794"/>
        <w:jc w:val="left"/>
        <w:rPr>
          <w:sz w:val="13"/>
        </w:rPr>
      </w:pPr>
      <w:r>
        <w:rPr>
          <w:w w:val="105"/>
          <w:sz w:val="13"/>
        </w:rPr>
        <w:t>‘Run</w:t>
      </w:r>
      <w:r>
        <w:rPr>
          <w:spacing w:val="4"/>
          <w:w w:val="105"/>
          <w:sz w:val="13"/>
        </w:rPr>
        <w:t> </w:t>
      </w:r>
      <w:r>
        <w:rPr>
          <w:w w:val="105"/>
          <w:sz w:val="13"/>
        </w:rPr>
        <w:t>with</w:t>
      </w:r>
      <w:r>
        <w:rPr>
          <w:spacing w:val="4"/>
          <w:w w:val="105"/>
          <w:sz w:val="13"/>
        </w:rPr>
        <w:t> </w:t>
      </w:r>
      <w:r>
        <w:rPr>
          <w:w w:val="105"/>
          <w:sz w:val="13"/>
        </w:rPr>
        <w:t>the</w:t>
      </w:r>
      <w:r>
        <w:rPr>
          <w:spacing w:val="5"/>
          <w:w w:val="105"/>
          <w:sz w:val="13"/>
        </w:rPr>
        <w:t> </w:t>
      </w:r>
      <w:r>
        <w:rPr>
          <w:w w:val="105"/>
          <w:sz w:val="13"/>
        </w:rPr>
        <w:t>land’</w:t>
      </w:r>
      <w:r>
        <w:rPr>
          <w:spacing w:val="4"/>
          <w:w w:val="105"/>
          <w:sz w:val="13"/>
        </w:rPr>
        <w:t> </w:t>
      </w:r>
      <w:r>
        <w:rPr>
          <w:w w:val="105"/>
          <w:sz w:val="13"/>
        </w:rPr>
        <w:t>means</w:t>
      </w:r>
      <w:r>
        <w:rPr>
          <w:spacing w:val="5"/>
          <w:w w:val="105"/>
          <w:sz w:val="13"/>
        </w:rPr>
        <w:t> </w:t>
      </w:r>
      <w:r>
        <w:rPr>
          <w:w w:val="105"/>
          <w:sz w:val="13"/>
        </w:rPr>
        <w:t>an</w:t>
      </w:r>
      <w:r>
        <w:rPr>
          <w:spacing w:val="4"/>
          <w:w w:val="105"/>
          <w:sz w:val="13"/>
        </w:rPr>
        <w:t> </w:t>
      </w:r>
      <w:r>
        <w:rPr>
          <w:w w:val="105"/>
          <w:sz w:val="13"/>
        </w:rPr>
        <w:t>interest</w:t>
      </w:r>
      <w:r>
        <w:rPr>
          <w:spacing w:val="4"/>
          <w:w w:val="105"/>
          <w:sz w:val="13"/>
        </w:rPr>
        <w:t> </w:t>
      </w:r>
      <w:r>
        <w:rPr>
          <w:w w:val="105"/>
          <w:sz w:val="13"/>
        </w:rPr>
        <w:t>or</w:t>
      </w:r>
      <w:r>
        <w:rPr>
          <w:spacing w:val="5"/>
          <w:w w:val="105"/>
          <w:sz w:val="13"/>
        </w:rPr>
        <w:t> </w:t>
      </w:r>
      <w:r>
        <w:rPr>
          <w:w w:val="105"/>
          <w:sz w:val="13"/>
        </w:rPr>
        <w:t>burden</w:t>
      </w:r>
      <w:r>
        <w:rPr>
          <w:spacing w:val="4"/>
          <w:w w:val="105"/>
          <w:sz w:val="13"/>
        </w:rPr>
        <w:t> </w:t>
      </w:r>
      <w:r>
        <w:rPr>
          <w:w w:val="105"/>
          <w:sz w:val="13"/>
        </w:rPr>
        <w:t>that</w:t>
      </w:r>
      <w:r>
        <w:rPr>
          <w:spacing w:val="5"/>
          <w:w w:val="105"/>
          <w:sz w:val="13"/>
        </w:rPr>
        <w:t> </w:t>
      </w:r>
      <w:r>
        <w:rPr>
          <w:w w:val="105"/>
          <w:sz w:val="13"/>
        </w:rPr>
        <w:t>passes</w:t>
      </w:r>
      <w:r>
        <w:rPr>
          <w:spacing w:val="4"/>
          <w:w w:val="105"/>
          <w:sz w:val="13"/>
        </w:rPr>
        <w:t> </w:t>
      </w:r>
      <w:r>
        <w:rPr>
          <w:w w:val="105"/>
          <w:sz w:val="13"/>
        </w:rPr>
        <w:t>with</w:t>
      </w:r>
      <w:r>
        <w:rPr>
          <w:spacing w:val="4"/>
          <w:w w:val="105"/>
          <w:sz w:val="13"/>
        </w:rPr>
        <w:t> </w:t>
      </w:r>
      <w:r>
        <w:rPr>
          <w:w w:val="105"/>
          <w:sz w:val="13"/>
        </w:rPr>
        <w:t>the</w:t>
      </w:r>
      <w:r>
        <w:rPr>
          <w:spacing w:val="5"/>
          <w:w w:val="105"/>
          <w:sz w:val="13"/>
        </w:rPr>
        <w:t> </w:t>
      </w:r>
      <w:r>
        <w:rPr>
          <w:w w:val="105"/>
          <w:sz w:val="13"/>
        </w:rPr>
        <w:t>transfer</w:t>
      </w:r>
      <w:r>
        <w:rPr>
          <w:spacing w:val="4"/>
          <w:w w:val="105"/>
          <w:sz w:val="13"/>
        </w:rPr>
        <w:t> </w:t>
      </w:r>
      <w:r>
        <w:rPr>
          <w:w w:val="105"/>
          <w:sz w:val="13"/>
        </w:rPr>
        <w:t>of</w:t>
      </w:r>
      <w:r>
        <w:rPr>
          <w:spacing w:val="5"/>
          <w:w w:val="105"/>
          <w:sz w:val="13"/>
        </w:rPr>
        <w:t> </w:t>
      </w:r>
      <w:r>
        <w:rPr>
          <w:w w:val="105"/>
          <w:sz w:val="13"/>
        </w:rPr>
        <w:t>land,</w:t>
      </w:r>
      <w:r>
        <w:rPr>
          <w:spacing w:val="4"/>
          <w:w w:val="105"/>
          <w:sz w:val="13"/>
        </w:rPr>
        <w:t> </w:t>
      </w:r>
      <w:r>
        <w:rPr>
          <w:w w:val="105"/>
          <w:sz w:val="13"/>
        </w:rPr>
        <w:t>binding</w:t>
      </w:r>
      <w:r>
        <w:rPr>
          <w:spacing w:val="4"/>
          <w:w w:val="105"/>
          <w:sz w:val="13"/>
        </w:rPr>
        <w:t> </w:t>
      </w:r>
      <w:r>
        <w:rPr>
          <w:w w:val="105"/>
          <w:sz w:val="13"/>
        </w:rPr>
        <w:t>subsequent</w:t>
      </w:r>
      <w:r>
        <w:rPr>
          <w:spacing w:val="5"/>
          <w:w w:val="105"/>
          <w:sz w:val="13"/>
        </w:rPr>
        <w:t> </w:t>
      </w:r>
      <w:r>
        <w:rPr>
          <w:w w:val="105"/>
          <w:sz w:val="13"/>
        </w:rPr>
        <w:t>owners:</w:t>
      </w:r>
      <w:r>
        <w:rPr>
          <w:spacing w:val="4"/>
          <w:w w:val="105"/>
          <w:sz w:val="13"/>
        </w:rPr>
        <w:t> </w:t>
      </w:r>
      <w:r>
        <w:rPr>
          <w:w w:val="105"/>
          <w:sz w:val="13"/>
        </w:rPr>
        <w:t>Peter</w:t>
      </w:r>
      <w:r>
        <w:rPr>
          <w:spacing w:val="4"/>
          <w:w w:val="105"/>
          <w:sz w:val="13"/>
        </w:rPr>
        <w:t> </w:t>
      </w:r>
      <w:r>
        <w:rPr>
          <w:w w:val="105"/>
          <w:sz w:val="13"/>
        </w:rPr>
        <w:t>Butt</w:t>
      </w:r>
      <w:r>
        <w:rPr>
          <w:spacing w:val="5"/>
          <w:w w:val="105"/>
          <w:sz w:val="13"/>
        </w:rPr>
        <w:t> </w:t>
      </w:r>
      <w:r>
        <w:rPr>
          <w:spacing w:val="2"/>
          <w:w w:val="105"/>
          <w:sz w:val="13"/>
        </w:rPr>
        <w:t>(ed),</w:t>
      </w:r>
    </w:p>
    <w:p>
      <w:pPr>
        <w:spacing w:before="1"/>
        <w:ind w:left="2381" w:right="0" w:firstLine="0"/>
        <w:jc w:val="left"/>
        <w:rPr>
          <w:sz w:val="13"/>
        </w:rPr>
      </w:pPr>
      <w:r>
        <w:rPr>
          <w:i/>
          <w:w w:val="105"/>
          <w:sz w:val="13"/>
        </w:rPr>
        <w:t>Butterworths’ Concise Australian Legal Dictionary </w:t>
      </w:r>
      <w:r>
        <w:rPr>
          <w:w w:val="105"/>
          <w:sz w:val="13"/>
        </w:rPr>
        <w:t>(LexisNexis/Butterworths, 3rd ed, 2004) ‘run with the land’.</w:t>
      </w:r>
    </w:p>
    <w:p>
      <w:pPr>
        <w:pStyle w:val="ListParagraph"/>
        <w:numPr>
          <w:ilvl w:val="0"/>
          <w:numId w:val="193"/>
        </w:numPr>
        <w:tabs>
          <w:tab w:pos="2381" w:val="left" w:leader="none"/>
          <w:tab w:pos="2382" w:val="left" w:leader="none"/>
        </w:tabs>
        <w:spacing w:line="240" w:lineRule="auto" w:before="2" w:after="0"/>
        <w:ind w:left="2381" w:right="0" w:hanging="794"/>
        <w:jc w:val="left"/>
        <w:rPr>
          <w:sz w:val="13"/>
        </w:rPr>
      </w:pPr>
      <w:r>
        <w:rPr>
          <w:w w:val="105"/>
          <w:sz w:val="13"/>
        </w:rPr>
        <w:t>Confidential</w:t>
      </w:r>
      <w:r>
        <w:rPr>
          <w:spacing w:val="4"/>
          <w:w w:val="105"/>
          <w:sz w:val="13"/>
        </w:rPr>
        <w:t> </w:t>
      </w:r>
      <w:r>
        <w:rPr>
          <w:w w:val="105"/>
          <w:sz w:val="13"/>
        </w:rPr>
        <w:t>submission.</w:t>
      </w:r>
    </w:p>
    <w:p>
      <w:pPr>
        <w:pStyle w:val="ListParagraph"/>
        <w:numPr>
          <w:ilvl w:val="0"/>
          <w:numId w:val="193"/>
        </w:numPr>
        <w:tabs>
          <w:tab w:pos="2381" w:val="left" w:leader="none"/>
          <w:tab w:pos="2382" w:val="left" w:leader="none"/>
        </w:tabs>
        <w:spacing w:line="240" w:lineRule="auto" w:before="1" w:after="0"/>
        <w:ind w:left="2381" w:right="0" w:hanging="794"/>
        <w:jc w:val="left"/>
        <w:rPr>
          <w:sz w:val="13"/>
        </w:rPr>
      </w:pPr>
      <w:r>
        <w:rPr>
          <w:i/>
          <w:w w:val="105"/>
          <w:sz w:val="13"/>
        </w:rPr>
        <w:t>Planning and Environment Act 1987 </w:t>
      </w:r>
      <w:r>
        <w:rPr>
          <w:spacing w:val="2"/>
          <w:w w:val="105"/>
          <w:sz w:val="13"/>
        </w:rPr>
        <w:t>(Vic) </w:t>
      </w:r>
      <w:r>
        <w:rPr>
          <w:w w:val="105"/>
          <w:sz w:val="13"/>
        </w:rPr>
        <w:t>s 124: ‘Any enforcement Order or interim enforcement Order served on an owner or occupier of land is binding on every subsequent owner or occupier to the same extent as if the Order had been served on that subsequent owner or occupier.’</w:t>
      </w:r>
    </w:p>
    <w:p>
      <w:pPr>
        <w:pStyle w:val="ListParagraph"/>
        <w:numPr>
          <w:ilvl w:val="0"/>
          <w:numId w:val="193"/>
        </w:numPr>
        <w:tabs>
          <w:tab w:pos="2381" w:val="left" w:leader="none"/>
          <w:tab w:pos="2382" w:val="left" w:leader="none"/>
        </w:tabs>
        <w:spacing w:line="240" w:lineRule="auto" w:before="4" w:after="0"/>
        <w:ind w:left="2381" w:right="0" w:hanging="794"/>
        <w:jc w:val="left"/>
        <w:rPr>
          <w:sz w:val="13"/>
        </w:rPr>
      </w:pPr>
      <w:r>
        <w:rPr>
          <w:w w:val="105"/>
          <w:sz w:val="13"/>
        </w:rPr>
        <w:t>Supplementary Consultation 1 (Victorian Civil and Administrative</w:t>
      </w:r>
      <w:r>
        <w:rPr>
          <w:spacing w:val="2"/>
          <w:w w:val="105"/>
          <w:sz w:val="13"/>
        </w:rPr>
        <w:t> </w:t>
      </w:r>
      <w:r>
        <w:rPr>
          <w:w w:val="105"/>
          <w:sz w:val="13"/>
        </w:rPr>
        <w:t>Tribunal).</w:t>
      </w:r>
    </w:p>
    <w:p>
      <w:pPr>
        <w:pStyle w:val="ListParagraph"/>
        <w:numPr>
          <w:ilvl w:val="0"/>
          <w:numId w:val="193"/>
        </w:numPr>
        <w:tabs>
          <w:tab w:pos="2381" w:val="left" w:leader="none"/>
          <w:tab w:pos="2382" w:val="left" w:leader="none"/>
        </w:tabs>
        <w:spacing w:line="240" w:lineRule="auto" w:before="1" w:after="0"/>
        <w:ind w:left="2381" w:right="0" w:hanging="794"/>
        <w:jc w:val="left"/>
        <w:rPr>
          <w:sz w:val="13"/>
        </w:rPr>
      </w:pPr>
      <w:r>
        <w:rPr>
          <w:w w:val="105"/>
          <w:sz w:val="13"/>
        </w:rPr>
        <w:t>Submission 2 </w:t>
      </w:r>
      <w:r>
        <w:rPr>
          <w:spacing w:val="2"/>
          <w:w w:val="105"/>
          <w:sz w:val="13"/>
        </w:rPr>
        <w:t>(Name</w:t>
      </w:r>
      <w:r>
        <w:rPr>
          <w:spacing w:val="13"/>
          <w:w w:val="105"/>
          <w:sz w:val="13"/>
        </w:rPr>
        <w:t> </w:t>
      </w:r>
      <w:r>
        <w:rPr>
          <w:w w:val="105"/>
          <w:sz w:val="13"/>
        </w:rPr>
        <w:t>withheld).</w:t>
      </w:r>
    </w:p>
    <w:p>
      <w:pPr>
        <w:pStyle w:val="ListParagraph"/>
        <w:numPr>
          <w:ilvl w:val="0"/>
          <w:numId w:val="193"/>
        </w:numPr>
        <w:tabs>
          <w:tab w:pos="2381" w:val="left" w:leader="none"/>
          <w:tab w:pos="2382" w:val="left" w:leader="none"/>
        </w:tabs>
        <w:spacing w:line="240" w:lineRule="auto" w:before="2" w:after="0"/>
        <w:ind w:left="2381" w:right="0" w:hanging="794"/>
        <w:jc w:val="left"/>
        <w:rPr>
          <w:sz w:val="13"/>
        </w:rPr>
      </w:pPr>
      <w:r>
        <w:rPr>
          <w:w w:val="105"/>
          <w:sz w:val="13"/>
        </w:rPr>
        <w:t>Confidential</w:t>
      </w:r>
      <w:r>
        <w:rPr>
          <w:spacing w:val="15"/>
          <w:w w:val="105"/>
          <w:sz w:val="13"/>
        </w:rPr>
        <w:t> </w:t>
      </w:r>
      <w:r>
        <w:rPr>
          <w:w w:val="105"/>
          <w:sz w:val="13"/>
        </w:rPr>
        <w:t>submission</w:t>
      </w:r>
    </w:p>
    <w:p>
      <w:pPr>
        <w:pStyle w:val="ListParagraph"/>
        <w:numPr>
          <w:ilvl w:val="0"/>
          <w:numId w:val="193"/>
        </w:numPr>
        <w:tabs>
          <w:tab w:pos="2381" w:val="left" w:leader="none"/>
          <w:tab w:pos="2382" w:val="left" w:leader="none"/>
        </w:tabs>
        <w:spacing w:line="240" w:lineRule="auto" w:before="1" w:after="0"/>
        <w:ind w:left="2381" w:right="0" w:hanging="794"/>
        <w:jc w:val="left"/>
        <w:rPr>
          <w:sz w:val="13"/>
        </w:rPr>
      </w:pPr>
      <w:r>
        <w:rPr>
          <w:w w:val="105"/>
          <w:sz w:val="13"/>
        </w:rPr>
        <w:t>Confidential</w:t>
      </w:r>
      <w:r>
        <w:rPr>
          <w:spacing w:val="17"/>
          <w:w w:val="105"/>
          <w:sz w:val="13"/>
        </w:rPr>
        <w:t> </w:t>
      </w:r>
      <w:r>
        <w:rPr>
          <w:w w:val="105"/>
          <w:sz w:val="13"/>
        </w:rPr>
        <w:t>submission.</w:t>
      </w:r>
    </w:p>
    <w:p>
      <w:pPr>
        <w:pStyle w:val="ListParagraph"/>
        <w:numPr>
          <w:ilvl w:val="0"/>
          <w:numId w:val="193"/>
        </w:numPr>
        <w:tabs>
          <w:tab w:pos="2381" w:val="left" w:leader="none"/>
          <w:tab w:pos="2382" w:val="left" w:leader="none"/>
        </w:tabs>
        <w:spacing w:line="240" w:lineRule="auto" w:before="1" w:after="0"/>
        <w:ind w:left="2381" w:right="0" w:hanging="794"/>
        <w:jc w:val="left"/>
        <w:rPr>
          <w:sz w:val="13"/>
        </w:rPr>
      </w:pPr>
      <w:r>
        <w:rPr>
          <w:w w:val="105"/>
          <w:sz w:val="13"/>
        </w:rPr>
        <w:t>Submissions 5 </w:t>
      </w:r>
      <w:r>
        <w:rPr>
          <w:spacing w:val="2"/>
          <w:w w:val="105"/>
          <w:sz w:val="13"/>
        </w:rPr>
        <w:t>(Name </w:t>
      </w:r>
      <w:r>
        <w:rPr>
          <w:w w:val="105"/>
          <w:sz w:val="13"/>
        </w:rPr>
        <w:t>withheld), 21 (Pointon Partner</w:t>
      </w:r>
      <w:r>
        <w:rPr>
          <w:spacing w:val="29"/>
          <w:w w:val="105"/>
          <w:sz w:val="13"/>
        </w:rPr>
        <w:t> </w:t>
      </w:r>
      <w:r>
        <w:rPr>
          <w:spacing w:val="2"/>
          <w:w w:val="105"/>
          <w:sz w:val="13"/>
        </w:rPr>
        <w:t>Lawyers).</w:t>
      </w:r>
    </w:p>
    <w:p>
      <w:pPr>
        <w:pStyle w:val="ListParagraph"/>
        <w:numPr>
          <w:ilvl w:val="0"/>
          <w:numId w:val="193"/>
        </w:numPr>
        <w:tabs>
          <w:tab w:pos="2381" w:val="left" w:leader="none"/>
          <w:tab w:pos="2382" w:val="left" w:leader="none"/>
        </w:tabs>
        <w:spacing w:line="240" w:lineRule="auto" w:before="2" w:after="0"/>
        <w:ind w:left="2381" w:right="0" w:hanging="794"/>
        <w:jc w:val="left"/>
        <w:rPr>
          <w:sz w:val="13"/>
        </w:rPr>
      </w:pPr>
      <w:r>
        <w:rPr>
          <w:w w:val="105"/>
          <w:sz w:val="13"/>
        </w:rPr>
        <w:t>Submission 21 (Pointon Partners</w:t>
      </w:r>
      <w:r>
        <w:rPr>
          <w:spacing w:val="17"/>
          <w:w w:val="105"/>
          <w:sz w:val="13"/>
        </w:rPr>
        <w:t> </w:t>
      </w:r>
      <w:r>
        <w:rPr>
          <w:spacing w:val="2"/>
          <w:w w:val="105"/>
          <w:sz w:val="13"/>
        </w:rPr>
        <w:t>Lawyers).</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22"/>
        </w:rPr>
      </w:pPr>
    </w:p>
    <w:p>
      <w:pPr>
        <w:spacing w:before="0"/>
        <w:ind w:left="672" w:right="576" w:firstLine="0"/>
        <w:jc w:val="center"/>
        <w:rPr>
          <w:b/>
          <w:sz w:val="24"/>
        </w:rPr>
      </w:pPr>
      <w:r>
        <w:rPr>
          <w:b/>
          <w:color w:val="658464"/>
          <w:w w:val="110"/>
          <w:sz w:val="24"/>
        </w:rPr>
        <w:t>265</w:t>
      </w:r>
    </w:p>
    <w:p>
      <w:pPr>
        <w:spacing w:after="0"/>
        <w:jc w:val="center"/>
        <w:rPr>
          <w:sz w:val="24"/>
        </w:rPr>
        <w:sectPr>
          <w:type w:val="continuous"/>
          <w:pgSz w:w="11910" w:h="16840"/>
          <w:pgMar w:top="300" w:bottom="280" w:left="0" w:right="0"/>
          <w:cols w:num="2" w:equalWidth="0">
            <w:col w:w="10180" w:space="40"/>
            <w:col w:w="1690"/>
          </w:cols>
        </w:sectPr>
      </w:pPr>
    </w:p>
    <w:p>
      <w:pPr>
        <w:pStyle w:val="BodyText"/>
        <w:spacing w:before="11"/>
        <w:rPr>
          <w:b/>
        </w:rPr>
      </w:pPr>
    </w:p>
    <w:p>
      <w:pPr>
        <w:spacing w:before="96"/>
        <w:ind w:left="1587" w:right="0" w:firstLine="0"/>
        <w:jc w:val="left"/>
        <w:rPr>
          <w:b/>
          <w:sz w:val="24"/>
        </w:rPr>
      </w:pPr>
      <w:r>
        <w:rPr>
          <w:b/>
          <w:w w:val="110"/>
          <w:sz w:val="24"/>
        </w:rPr>
        <w:t>When should the burden and benefit of orders pass to purchasers?</w:t>
      </w:r>
    </w:p>
    <w:p>
      <w:pPr>
        <w:pStyle w:val="ListParagraph"/>
        <w:numPr>
          <w:ilvl w:val="1"/>
          <w:numId w:val="16"/>
        </w:numPr>
        <w:tabs>
          <w:tab w:pos="2380" w:val="left" w:leader="none"/>
          <w:tab w:pos="2381" w:val="left" w:leader="none"/>
        </w:tabs>
        <w:spacing w:line="242" w:lineRule="auto" w:before="137" w:after="0"/>
        <w:ind w:left="2381" w:right="1798" w:hanging="794"/>
        <w:jc w:val="left"/>
        <w:rPr>
          <w:sz w:val="21"/>
        </w:rPr>
      </w:pPr>
      <w:r>
        <w:rPr>
          <w:spacing w:val="-3"/>
          <w:w w:val="105"/>
          <w:sz w:val="21"/>
        </w:rPr>
        <w:t>Community </w:t>
      </w:r>
      <w:r>
        <w:rPr>
          <w:w w:val="105"/>
          <w:sz w:val="21"/>
        </w:rPr>
        <w:t>responses </w:t>
      </w:r>
      <w:r>
        <w:rPr>
          <w:spacing w:val="-3"/>
          <w:w w:val="105"/>
          <w:sz w:val="21"/>
        </w:rPr>
        <w:t>were mixed. </w:t>
      </w:r>
      <w:r>
        <w:rPr>
          <w:w w:val="105"/>
          <w:sz w:val="21"/>
        </w:rPr>
        <w:t>Some stated </w:t>
      </w:r>
      <w:r>
        <w:rPr>
          <w:spacing w:val="-3"/>
          <w:w w:val="105"/>
          <w:sz w:val="21"/>
        </w:rPr>
        <w:t>that purchasers </w:t>
      </w:r>
      <w:r>
        <w:rPr>
          <w:w w:val="105"/>
          <w:sz w:val="21"/>
        </w:rPr>
        <w:t>should only be bound at the point of </w:t>
      </w:r>
      <w:r>
        <w:rPr>
          <w:spacing w:val="-3"/>
          <w:w w:val="105"/>
          <w:sz w:val="21"/>
        </w:rPr>
        <w:t>transfer </w:t>
      </w:r>
      <w:r>
        <w:rPr>
          <w:w w:val="105"/>
          <w:sz w:val="21"/>
        </w:rPr>
        <w:t>of title (or settlement).</w:t>
      </w:r>
      <w:r>
        <w:rPr>
          <w:w w:val="105"/>
          <w:position w:val="7"/>
          <w:sz w:val="12"/>
        </w:rPr>
        <w:t>62 </w:t>
      </w:r>
      <w:r>
        <w:rPr>
          <w:w w:val="105"/>
          <w:sz w:val="21"/>
        </w:rPr>
        <w:t>Others said this should </w:t>
      </w:r>
      <w:r>
        <w:rPr>
          <w:spacing w:val="-3"/>
          <w:w w:val="105"/>
          <w:sz w:val="21"/>
        </w:rPr>
        <w:t>occur </w:t>
      </w:r>
      <w:r>
        <w:rPr>
          <w:w w:val="105"/>
          <w:sz w:val="21"/>
        </w:rPr>
        <w:t>when a contract </w:t>
      </w:r>
      <w:r>
        <w:rPr>
          <w:spacing w:val="-3"/>
          <w:w w:val="105"/>
          <w:sz w:val="21"/>
        </w:rPr>
        <w:t>for </w:t>
      </w:r>
      <w:r>
        <w:rPr>
          <w:w w:val="105"/>
          <w:sz w:val="21"/>
        </w:rPr>
        <w:t>sale is </w:t>
      </w:r>
      <w:r>
        <w:rPr>
          <w:spacing w:val="-3"/>
          <w:w w:val="105"/>
          <w:sz w:val="21"/>
        </w:rPr>
        <w:t>entered into.</w:t>
      </w:r>
      <w:r>
        <w:rPr>
          <w:spacing w:val="-3"/>
          <w:w w:val="105"/>
          <w:position w:val="7"/>
          <w:sz w:val="12"/>
        </w:rPr>
        <w:t>63 </w:t>
      </w:r>
      <w:r>
        <w:rPr>
          <w:w w:val="105"/>
          <w:sz w:val="21"/>
        </w:rPr>
        <w:t>A </w:t>
      </w:r>
      <w:r>
        <w:rPr>
          <w:spacing w:val="-3"/>
          <w:w w:val="105"/>
          <w:sz w:val="21"/>
        </w:rPr>
        <w:t>smaller </w:t>
      </w:r>
      <w:r>
        <w:rPr>
          <w:w w:val="105"/>
          <w:sz w:val="21"/>
        </w:rPr>
        <w:t>number made </w:t>
      </w:r>
      <w:r>
        <w:rPr>
          <w:spacing w:val="-3"/>
          <w:w w:val="105"/>
          <w:sz w:val="21"/>
        </w:rPr>
        <w:t>alternative </w:t>
      </w:r>
      <w:r>
        <w:rPr>
          <w:w w:val="105"/>
          <w:sz w:val="21"/>
        </w:rPr>
        <w:t>suggestions </w:t>
      </w:r>
      <w:r>
        <w:rPr>
          <w:spacing w:val="-3"/>
          <w:w w:val="105"/>
          <w:sz w:val="21"/>
        </w:rPr>
        <w:t>such </w:t>
      </w:r>
      <w:r>
        <w:rPr>
          <w:w w:val="105"/>
          <w:sz w:val="21"/>
        </w:rPr>
        <w:t>after one year;</w:t>
      </w:r>
      <w:r>
        <w:rPr>
          <w:w w:val="105"/>
          <w:position w:val="7"/>
          <w:sz w:val="12"/>
        </w:rPr>
        <w:t>64 </w:t>
      </w:r>
      <w:r>
        <w:rPr>
          <w:spacing w:val="-3"/>
          <w:w w:val="105"/>
          <w:sz w:val="21"/>
        </w:rPr>
        <w:t>following </w:t>
      </w:r>
      <w:r>
        <w:rPr>
          <w:w w:val="105"/>
          <w:sz w:val="21"/>
        </w:rPr>
        <w:t>a </w:t>
      </w:r>
      <w:r>
        <w:rPr>
          <w:spacing w:val="-4"/>
          <w:w w:val="105"/>
          <w:sz w:val="21"/>
        </w:rPr>
        <w:t>‘grace </w:t>
      </w:r>
      <w:r>
        <w:rPr>
          <w:w w:val="105"/>
          <w:sz w:val="21"/>
        </w:rPr>
        <w:t>period’ after </w:t>
      </w:r>
      <w:r>
        <w:rPr>
          <w:spacing w:val="-3"/>
          <w:w w:val="105"/>
          <w:sz w:val="21"/>
        </w:rPr>
        <w:t>transfer </w:t>
      </w:r>
      <w:r>
        <w:rPr>
          <w:w w:val="105"/>
          <w:sz w:val="21"/>
        </w:rPr>
        <w:t>of title;</w:t>
      </w:r>
      <w:r>
        <w:rPr>
          <w:w w:val="105"/>
          <w:position w:val="7"/>
          <w:sz w:val="12"/>
        </w:rPr>
        <w:t>65 </w:t>
      </w:r>
      <w:r>
        <w:rPr>
          <w:w w:val="105"/>
          <w:sz w:val="21"/>
        </w:rPr>
        <w:t>or once possession of the property is</w:t>
      </w:r>
      <w:r>
        <w:rPr>
          <w:spacing w:val="15"/>
          <w:w w:val="105"/>
          <w:sz w:val="21"/>
        </w:rPr>
        <w:t> </w:t>
      </w:r>
      <w:r>
        <w:rPr>
          <w:w w:val="105"/>
          <w:sz w:val="21"/>
        </w:rPr>
        <w:t>taken.</w:t>
      </w:r>
      <w:r>
        <w:rPr>
          <w:w w:val="105"/>
          <w:position w:val="7"/>
          <w:sz w:val="12"/>
        </w:rPr>
        <w:t>66</w:t>
      </w:r>
    </w:p>
    <w:p>
      <w:pPr>
        <w:pStyle w:val="BodyText"/>
        <w:spacing w:before="6"/>
        <w:rPr>
          <w:sz w:val="20"/>
        </w:rPr>
      </w:pPr>
    </w:p>
    <w:p>
      <w:pPr>
        <w:pStyle w:val="Heading5"/>
      </w:pPr>
      <w:r>
        <w:rPr>
          <w:w w:val="115"/>
        </w:rPr>
        <w:t>Informing potential purchasers</w:t>
      </w:r>
    </w:p>
    <w:p>
      <w:pPr>
        <w:pStyle w:val="ListParagraph"/>
        <w:numPr>
          <w:ilvl w:val="1"/>
          <w:numId w:val="16"/>
        </w:numPr>
        <w:tabs>
          <w:tab w:pos="2380" w:val="left" w:leader="none"/>
          <w:tab w:pos="2381" w:val="left" w:leader="none"/>
        </w:tabs>
        <w:spacing w:line="242" w:lineRule="auto" w:before="138" w:after="0"/>
        <w:ind w:left="2381" w:right="1642" w:hanging="794"/>
        <w:jc w:val="left"/>
        <w:rPr>
          <w:sz w:val="21"/>
        </w:rPr>
      </w:pPr>
      <w:r>
        <w:rPr>
          <w:sz w:val="21"/>
        </w:rPr>
        <w:t>There was overwhelming support </w:t>
      </w:r>
      <w:r>
        <w:rPr>
          <w:spacing w:val="-3"/>
          <w:sz w:val="21"/>
        </w:rPr>
        <w:t>for </w:t>
      </w:r>
      <w:r>
        <w:rPr>
          <w:sz w:val="21"/>
        </w:rPr>
        <w:t>a process </w:t>
      </w:r>
      <w:r>
        <w:rPr>
          <w:spacing w:val="-3"/>
          <w:sz w:val="21"/>
        </w:rPr>
        <w:t>to inform potential purchasers </w:t>
      </w:r>
      <w:r>
        <w:rPr>
          <w:sz w:val="21"/>
        </w:rPr>
        <w:t>about legal action</w:t>
      </w:r>
      <w:r>
        <w:rPr>
          <w:spacing w:val="9"/>
          <w:sz w:val="21"/>
        </w:rPr>
        <w:t> </w:t>
      </w:r>
      <w:r>
        <w:rPr>
          <w:sz w:val="21"/>
        </w:rPr>
        <w:t>or</w:t>
      </w:r>
      <w:r>
        <w:rPr>
          <w:spacing w:val="9"/>
          <w:sz w:val="21"/>
        </w:rPr>
        <w:t> </w:t>
      </w:r>
      <w:r>
        <w:rPr>
          <w:sz w:val="21"/>
        </w:rPr>
        <w:t>orders</w:t>
      </w:r>
      <w:r>
        <w:rPr>
          <w:spacing w:val="10"/>
          <w:sz w:val="21"/>
        </w:rPr>
        <w:t> </w:t>
      </w:r>
      <w:r>
        <w:rPr>
          <w:spacing w:val="-3"/>
          <w:sz w:val="21"/>
        </w:rPr>
        <w:t>before</w:t>
      </w:r>
      <w:r>
        <w:rPr>
          <w:spacing w:val="9"/>
          <w:sz w:val="21"/>
        </w:rPr>
        <w:t> </w:t>
      </w:r>
      <w:r>
        <w:rPr>
          <w:sz w:val="21"/>
        </w:rPr>
        <w:t>a</w:t>
      </w:r>
      <w:r>
        <w:rPr>
          <w:spacing w:val="10"/>
          <w:sz w:val="21"/>
        </w:rPr>
        <w:t> </w:t>
      </w:r>
      <w:r>
        <w:rPr>
          <w:sz w:val="21"/>
        </w:rPr>
        <w:t>sale</w:t>
      </w:r>
      <w:r>
        <w:rPr>
          <w:spacing w:val="9"/>
          <w:sz w:val="21"/>
        </w:rPr>
        <w:t> </w:t>
      </w:r>
      <w:r>
        <w:rPr>
          <w:sz w:val="21"/>
        </w:rPr>
        <w:t>is</w:t>
      </w:r>
      <w:r>
        <w:rPr>
          <w:spacing w:val="10"/>
          <w:sz w:val="21"/>
        </w:rPr>
        <w:t> </w:t>
      </w:r>
      <w:r>
        <w:rPr>
          <w:spacing w:val="-3"/>
          <w:sz w:val="21"/>
        </w:rPr>
        <w:t>formally</w:t>
      </w:r>
      <w:r>
        <w:rPr>
          <w:spacing w:val="9"/>
          <w:sz w:val="21"/>
        </w:rPr>
        <w:t> </w:t>
      </w:r>
      <w:r>
        <w:rPr>
          <w:spacing w:val="-3"/>
          <w:sz w:val="21"/>
        </w:rPr>
        <w:t>finalised.</w:t>
      </w:r>
      <w:r>
        <w:rPr>
          <w:spacing w:val="-3"/>
          <w:position w:val="7"/>
          <w:sz w:val="12"/>
        </w:rPr>
        <w:t>67</w:t>
      </w:r>
    </w:p>
    <w:p>
      <w:pPr>
        <w:pStyle w:val="ListParagraph"/>
        <w:numPr>
          <w:ilvl w:val="1"/>
          <w:numId w:val="16"/>
        </w:numPr>
        <w:tabs>
          <w:tab w:pos="2382" w:val="left" w:leader="none"/>
        </w:tabs>
        <w:spacing w:line="242" w:lineRule="auto" w:before="122" w:after="0"/>
        <w:ind w:left="2381" w:right="1968" w:hanging="794"/>
        <w:jc w:val="both"/>
        <w:rPr>
          <w:sz w:val="21"/>
        </w:rPr>
      </w:pPr>
      <w:r>
        <w:rPr>
          <w:spacing w:val="-3"/>
          <w:w w:val="105"/>
          <w:sz w:val="21"/>
        </w:rPr>
        <w:t>Drawing </w:t>
      </w:r>
      <w:r>
        <w:rPr>
          <w:w w:val="105"/>
          <w:sz w:val="21"/>
        </w:rPr>
        <w:t>on experience </w:t>
      </w:r>
      <w:r>
        <w:rPr>
          <w:spacing w:val="-3"/>
          <w:w w:val="105"/>
          <w:sz w:val="21"/>
        </w:rPr>
        <w:t>enforcing </w:t>
      </w:r>
      <w:r>
        <w:rPr>
          <w:w w:val="105"/>
          <w:sz w:val="21"/>
        </w:rPr>
        <w:t>local laws and </w:t>
      </w:r>
      <w:r>
        <w:rPr>
          <w:spacing w:val="-3"/>
          <w:w w:val="105"/>
          <w:sz w:val="21"/>
        </w:rPr>
        <w:t>planning </w:t>
      </w:r>
      <w:r>
        <w:rPr>
          <w:w w:val="105"/>
          <w:sz w:val="21"/>
        </w:rPr>
        <w:t>schemes, a number of local </w:t>
      </w:r>
      <w:r>
        <w:rPr>
          <w:spacing w:val="-3"/>
          <w:w w:val="105"/>
          <w:sz w:val="21"/>
        </w:rPr>
        <w:t>councils</w:t>
      </w:r>
      <w:r>
        <w:rPr>
          <w:spacing w:val="-10"/>
          <w:w w:val="105"/>
          <w:sz w:val="21"/>
        </w:rPr>
        <w:t> </w:t>
      </w:r>
      <w:r>
        <w:rPr>
          <w:w w:val="105"/>
          <w:sz w:val="21"/>
        </w:rPr>
        <w:t>reported</w:t>
      </w:r>
      <w:r>
        <w:rPr>
          <w:spacing w:val="-11"/>
          <w:w w:val="105"/>
          <w:sz w:val="21"/>
        </w:rPr>
        <w:t> </w:t>
      </w:r>
      <w:r>
        <w:rPr>
          <w:spacing w:val="-3"/>
          <w:w w:val="105"/>
          <w:sz w:val="21"/>
        </w:rPr>
        <w:t>that</w:t>
      </w:r>
      <w:r>
        <w:rPr>
          <w:spacing w:val="-10"/>
          <w:w w:val="105"/>
          <w:sz w:val="21"/>
        </w:rPr>
        <w:t> </w:t>
      </w:r>
      <w:r>
        <w:rPr>
          <w:w w:val="105"/>
          <w:sz w:val="21"/>
        </w:rPr>
        <w:t>notification</w:t>
      </w:r>
      <w:r>
        <w:rPr>
          <w:spacing w:val="-10"/>
          <w:w w:val="105"/>
          <w:sz w:val="21"/>
        </w:rPr>
        <w:t> </w:t>
      </w:r>
      <w:r>
        <w:rPr>
          <w:w w:val="105"/>
          <w:sz w:val="21"/>
        </w:rPr>
        <w:t>is</w:t>
      </w:r>
      <w:r>
        <w:rPr>
          <w:spacing w:val="-10"/>
          <w:w w:val="105"/>
          <w:sz w:val="21"/>
        </w:rPr>
        <w:t> </w:t>
      </w:r>
      <w:r>
        <w:rPr>
          <w:w w:val="105"/>
          <w:sz w:val="21"/>
        </w:rPr>
        <w:t>important</w:t>
      </w:r>
      <w:r>
        <w:rPr>
          <w:spacing w:val="-10"/>
          <w:w w:val="105"/>
          <w:sz w:val="21"/>
        </w:rPr>
        <w:t> </w:t>
      </w:r>
      <w:r>
        <w:rPr>
          <w:w w:val="105"/>
          <w:sz w:val="21"/>
        </w:rPr>
        <w:t>so</w:t>
      </w:r>
      <w:r>
        <w:rPr>
          <w:spacing w:val="-10"/>
          <w:w w:val="105"/>
          <w:sz w:val="21"/>
        </w:rPr>
        <w:t> </w:t>
      </w:r>
      <w:r>
        <w:rPr>
          <w:spacing w:val="-3"/>
          <w:w w:val="105"/>
          <w:sz w:val="21"/>
        </w:rPr>
        <w:t>that</w:t>
      </w:r>
      <w:r>
        <w:rPr>
          <w:spacing w:val="-10"/>
          <w:w w:val="105"/>
          <w:sz w:val="21"/>
        </w:rPr>
        <w:t> </w:t>
      </w:r>
      <w:r>
        <w:rPr>
          <w:spacing w:val="-3"/>
          <w:w w:val="105"/>
          <w:sz w:val="21"/>
        </w:rPr>
        <w:t>purchasers</w:t>
      </w:r>
      <w:r>
        <w:rPr>
          <w:spacing w:val="-10"/>
          <w:w w:val="105"/>
          <w:sz w:val="21"/>
        </w:rPr>
        <w:t> </w:t>
      </w:r>
      <w:r>
        <w:rPr>
          <w:spacing w:val="-3"/>
          <w:w w:val="105"/>
          <w:sz w:val="21"/>
        </w:rPr>
        <w:t>are</w:t>
      </w:r>
      <w:r>
        <w:rPr>
          <w:spacing w:val="-10"/>
          <w:w w:val="105"/>
          <w:sz w:val="21"/>
        </w:rPr>
        <w:t> </w:t>
      </w:r>
      <w:r>
        <w:rPr>
          <w:spacing w:val="-2"/>
          <w:w w:val="105"/>
          <w:sz w:val="21"/>
        </w:rPr>
        <w:t>not</w:t>
      </w:r>
      <w:r>
        <w:rPr>
          <w:spacing w:val="-10"/>
          <w:w w:val="105"/>
          <w:sz w:val="21"/>
        </w:rPr>
        <w:t> </w:t>
      </w:r>
      <w:r>
        <w:rPr>
          <w:spacing w:val="-2"/>
          <w:w w:val="105"/>
          <w:sz w:val="21"/>
        </w:rPr>
        <w:t>surprised</w:t>
      </w:r>
      <w:r>
        <w:rPr>
          <w:spacing w:val="-10"/>
          <w:w w:val="105"/>
          <w:sz w:val="21"/>
        </w:rPr>
        <w:t> </w:t>
      </w:r>
      <w:r>
        <w:rPr>
          <w:w w:val="105"/>
          <w:sz w:val="21"/>
        </w:rPr>
        <w:t>by </w:t>
      </w:r>
      <w:r>
        <w:rPr>
          <w:spacing w:val="-3"/>
          <w:w w:val="105"/>
          <w:sz w:val="21"/>
        </w:rPr>
        <w:t>obligations that </w:t>
      </w:r>
      <w:r>
        <w:rPr>
          <w:w w:val="105"/>
          <w:sz w:val="21"/>
        </w:rPr>
        <w:t>pass </w:t>
      </w:r>
      <w:r>
        <w:rPr>
          <w:spacing w:val="-3"/>
          <w:w w:val="105"/>
          <w:sz w:val="21"/>
        </w:rPr>
        <w:t>to </w:t>
      </w:r>
      <w:r>
        <w:rPr>
          <w:w w:val="105"/>
          <w:sz w:val="21"/>
        </w:rPr>
        <w:t>them with</w:t>
      </w:r>
      <w:r>
        <w:rPr>
          <w:spacing w:val="37"/>
          <w:w w:val="105"/>
          <w:sz w:val="21"/>
        </w:rPr>
        <w:t> </w:t>
      </w:r>
      <w:r>
        <w:rPr>
          <w:w w:val="105"/>
          <w:sz w:val="21"/>
        </w:rPr>
        <w:t>ownership.</w:t>
      </w:r>
      <w:r>
        <w:rPr>
          <w:w w:val="105"/>
          <w:position w:val="7"/>
          <w:sz w:val="12"/>
        </w:rPr>
        <w:t>68</w:t>
      </w:r>
    </w:p>
    <w:p>
      <w:pPr>
        <w:pStyle w:val="ListParagraph"/>
        <w:numPr>
          <w:ilvl w:val="1"/>
          <w:numId w:val="16"/>
        </w:numPr>
        <w:tabs>
          <w:tab w:pos="2382" w:val="left" w:leader="none"/>
        </w:tabs>
        <w:spacing w:line="242" w:lineRule="auto" w:before="123" w:after="0"/>
        <w:ind w:left="2381" w:right="1805" w:hanging="794"/>
        <w:jc w:val="both"/>
        <w:rPr>
          <w:sz w:val="21"/>
        </w:rPr>
      </w:pPr>
      <w:r>
        <w:rPr>
          <w:spacing w:val="-3"/>
          <w:w w:val="105"/>
          <w:sz w:val="21"/>
        </w:rPr>
        <w:t>Nillumbik Shire </w:t>
      </w:r>
      <w:r>
        <w:rPr>
          <w:spacing w:val="-4"/>
          <w:w w:val="105"/>
          <w:sz w:val="21"/>
        </w:rPr>
        <w:t>Council </w:t>
      </w:r>
      <w:r>
        <w:rPr>
          <w:w w:val="105"/>
          <w:sz w:val="21"/>
        </w:rPr>
        <w:t>stated </w:t>
      </w:r>
      <w:r>
        <w:rPr>
          <w:spacing w:val="-3"/>
          <w:w w:val="105"/>
          <w:sz w:val="21"/>
        </w:rPr>
        <w:t>that </w:t>
      </w:r>
      <w:r>
        <w:rPr>
          <w:w w:val="105"/>
          <w:sz w:val="21"/>
        </w:rPr>
        <w:t>it would be </w:t>
      </w:r>
      <w:r>
        <w:rPr>
          <w:spacing w:val="-3"/>
          <w:w w:val="105"/>
          <w:sz w:val="21"/>
        </w:rPr>
        <w:t>useful for purchasers </w:t>
      </w:r>
      <w:r>
        <w:rPr>
          <w:w w:val="105"/>
          <w:sz w:val="21"/>
        </w:rPr>
        <w:t>of </w:t>
      </w:r>
      <w:r>
        <w:rPr>
          <w:spacing w:val="-3"/>
          <w:w w:val="105"/>
          <w:sz w:val="21"/>
        </w:rPr>
        <w:t>land to </w:t>
      </w:r>
      <w:r>
        <w:rPr>
          <w:w w:val="105"/>
          <w:sz w:val="21"/>
        </w:rPr>
        <w:t>be made </w:t>
      </w:r>
      <w:r>
        <w:rPr>
          <w:spacing w:val="-3"/>
          <w:w w:val="105"/>
          <w:sz w:val="21"/>
        </w:rPr>
        <w:t>aware </w:t>
      </w:r>
      <w:r>
        <w:rPr>
          <w:w w:val="105"/>
          <w:sz w:val="21"/>
        </w:rPr>
        <w:t>of </w:t>
      </w:r>
      <w:r>
        <w:rPr>
          <w:spacing w:val="-3"/>
          <w:w w:val="105"/>
          <w:sz w:val="21"/>
        </w:rPr>
        <w:t>any </w:t>
      </w:r>
      <w:r>
        <w:rPr>
          <w:w w:val="105"/>
          <w:sz w:val="21"/>
        </w:rPr>
        <w:t>orders </w:t>
      </w:r>
      <w:r>
        <w:rPr>
          <w:spacing w:val="-3"/>
          <w:w w:val="105"/>
          <w:sz w:val="21"/>
        </w:rPr>
        <w:t>that </w:t>
      </w:r>
      <w:r>
        <w:rPr>
          <w:w w:val="105"/>
          <w:sz w:val="21"/>
        </w:rPr>
        <w:t>put a positive </w:t>
      </w:r>
      <w:r>
        <w:rPr>
          <w:spacing w:val="-3"/>
          <w:w w:val="105"/>
          <w:sz w:val="21"/>
        </w:rPr>
        <w:t>obligation </w:t>
      </w:r>
      <w:r>
        <w:rPr>
          <w:w w:val="105"/>
          <w:sz w:val="21"/>
        </w:rPr>
        <w:t>on them </w:t>
      </w:r>
      <w:r>
        <w:rPr>
          <w:spacing w:val="-3"/>
          <w:w w:val="105"/>
          <w:sz w:val="21"/>
        </w:rPr>
        <w:t>to </w:t>
      </w:r>
      <w:r>
        <w:rPr>
          <w:w w:val="105"/>
          <w:sz w:val="21"/>
        </w:rPr>
        <w:t>carry out </w:t>
      </w:r>
      <w:r>
        <w:rPr>
          <w:spacing w:val="-3"/>
          <w:w w:val="105"/>
          <w:sz w:val="21"/>
        </w:rPr>
        <w:t>maintenance </w:t>
      </w:r>
      <w:r>
        <w:rPr>
          <w:w w:val="105"/>
          <w:sz w:val="21"/>
        </w:rPr>
        <w:t>of vegetation on their</w:t>
      </w:r>
      <w:r>
        <w:rPr>
          <w:spacing w:val="15"/>
          <w:w w:val="105"/>
          <w:sz w:val="21"/>
        </w:rPr>
        <w:t> </w:t>
      </w:r>
      <w:r>
        <w:rPr>
          <w:spacing w:val="-3"/>
          <w:w w:val="105"/>
          <w:sz w:val="21"/>
        </w:rPr>
        <w:t>land.</w:t>
      </w:r>
      <w:r>
        <w:rPr>
          <w:spacing w:val="-3"/>
          <w:w w:val="105"/>
          <w:position w:val="7"/>
          <w:sz w:val="12"/>
        </w:rPr>
        <w:t>69</w:t>
      </w:r>
    </w:p>
    <w:p>
      <w:pPr>
        <w:pStyle w:val="ListParagraph"/>
        <w:numPr>
          <w:ilvl w:val="1"/>
          <w:numId w:val="16"/>
        </w:numPr>
        <w:tabs>
          <w:tab w:pos="2380" w:val="left" w:leader="none"/>
          <w:tab w:pos="2381" w:val="left" w:leader="none"/>
        </w:tabs>
        <w:spacing w:line="242" w:lineRule="auto" w:before="123" w:after="0"/>
        <w:ind w:left="2381" w:right="1668" w:hanging="794"/>
        <w:jc w:val="left"/>
        <w:rPr>
          <w:sz w:val="21"/>
        </w:rPr>
      </w:pPr>
      <w:r>
        <w:rPr>
          <w:w w:val="105"/>
          <w:sz w:val="21"/>
        </w:rPr>
        <w:t>One community member stressed </w:t>
      </w:r>
      <w:r>
        <w:rPr>
          <w:spacing w:val="-3"/>
          <w:w w:val="105"/>
          <w:sz w:val="21"/>
        </w:rPr>
        <w:t>that proceedings </w:t>
      </w:r>
      <w:r>
        <w:rPr>
          <w:w w:val="105"/>
          <w:sz w:val="21"/>
        </w:rPr>
        <w:t>underway at the time of sale must be disclosed because </w:t>
      </w:r>
      <w:r>
        <w:rPr>
          <w:spacing w:val="-3"/>
          <w:w w:val="105"/>
          <w:sz w:val="21"/>
        </w:rPr>
        <w:t>‘purchasers </w:t>
      </w:r>
      <w:r>
        <w:rPr>
          <w:w w:val="105"/>
          <w:sz w:val="21"/>
        </w:rPr>
        <w:t>need </w:t>
      </w:r>
      <w:r>
        <w:rPr>
          <w:spacing w:val="-3"/>
          <w:w w:val="105"/>
          <w:sz w:val="21"/>
        </w:rPr>
        <w:t>to </w:t>
      </w:r>
      <w:r>
        <w:rPr>
          <w:w w:val="105"/>
          <w:sz w:val="21"/>
        </w:rPr>
        <w:t>know what they </w:t>
      </w:r>
      <w:r>
        <w:rPr>
          <w:spacing w:val="-3"/>
          <w:w w:val="105"/>
          <w:sz w:val="21"/>
        </w:rPr>
        <w:t>are </w:t>
      </w:r>
      <w:r>
        <w:rPr>
          <w:w w:val="105"/>
          <w:sz w:val="21"/>
        </w:rPr>
        <w:t>buying </w:t>
      </w:r>
      <w:r>
        <w:rPr>
          <w:spacing w:val="-7"/>
          <w:w w:val="105"/>
          <w:sz w:val="21"/>
        </w:rPr>
        <w:t>into’.</w:t>
      </w:r>
      <w:r>
        <w:rPr>
          <w:spacing w:val="-7"/>
          <w:w w:val="105"/>
          <w:position w:val="7"/>
          <w:sz w:val="12"/>
        </w:rPr>
        <w:t>70 </w:t>
      </w:r>
      <w:r>
        <w:rPr>
          <w:w w:val="105"/>
          <w:sz w:val="21"/>
        </w:rPr>
        <w:t>Another community</w:t>
      </w:r>
      <w:r>
        <w:rPr>
          <w:spacing w:val="-7"/>
          <w:w w:val="105"/>
          <w:sz w:val="21"/>
        </w:rPr>
        <w:t> </w:t>
      </w:r>
      <w:r>
        <w:rPr>
          <w:w w:val="105"/>
          <w:sz w:val="21"/>
        </w:rPr>
        <w:t>member</w:t>
      </w:r>
      <w:r>
        <w:rPr>
          <w:spacing w:val="-7"/>
          <w:w w:val="105"/>
          <w:sz w:val="21"/>
        </w:rPr>
        <w:t> </w:t>
      </w:r>
      <w:r>
        <w:rPr>
          <w:w w:val="105"/>
          <w:sz w:val="21"/>
        </w:rPr>
        <w:t>agreed</w:t>
      </w:r>
      <w:r>
        <w:rPr>
          <w:spacing w:val="-6"/>
          <w:w w:val="105"/>
          <w:sz w:val="21"/>
        </w:rPr>
        <w:t> </w:t>
      </w:r>
      <w:r>
        <w:rPr>
          <w:spacing w:val="-3"/>
          <w:w w:val="105"/>
          <w:sz w:val="21"/>
        </w:rPr>
        <w:t>that</w:t>
      </w:r>
      <w:r>
        <w:rPr>
          <w:spacing w:val="-7"/>
          <w:w w:val="105"/>
          <w:sz w:val="21"/>
        </w:rPr>
        <w:t> </w:t>
      </w:r>
      <w:r>
        <w:rPr>
          <w:w w:val="105"/>
          <w:sz w:val="21"/>
        </w:rPr>
        <w:t>new</w:t>
      </w:r>
      <w:r>
        <w:rPr>
          <w:spacing w:val="-6"/>
          <w:w w:val="105"/>
          <w:sz w:val="21"/>
        </w:rPr>
        <w:t> </w:t>
      </w:r>
      <w:r>
        <w:rPr>
          <w:w w:val="105"/>
          <w:sz w:val="21"/>
        </w:rPr>
        <w:t>owners</w:t>
      </w:r>
      <w:r>
        <w:rPr>
          <w:spacing w:val="-7"/>
          <w:w w:val="105"/>
          <w:sz w:val="21"/>
        </w:rPr>
        <w:t> </w:t>
      </w:r>
      <w:r>
        <w:rPr>
          <w:spacing w:val="-3"/>
          <w:w w:val="105"/>
          <w:sz w:val="21"/>
        </w:rPr>
        <w:t>‘should</w:t>
      </w:r>
      <w:r>
        <w:rPr>
          <w:spacing w:val="-6"/>
          <w:w w:val="105"/>
          <w:sz w:val="21"/>
        </w:rPr>
        <w:t> </w:t>
      </w:r>
      <w:r>
        <w:rPr>
          <w:w w:val="105"/>
          <w:sz w:val="21"/>
        </w:rPr>
        <w:t>be</w:t>
      </w:r>
      <w:r>
        <w:rPr>
          <w:spacing w:val="-7"/>
          <w:w w:val="105"/>
          <w:sz w:val="21"/>
        </w:rPr>
        <w:t> </w:t>
      </w:r>
      <w:r>
        <w:rPr>
          <w:w w:val="105"/>
          <w:sz w:val="21"/>
        </w:rPr>
        <w:t>made</w:t>
      </w:r>
      <w:r>
        <w:rPr>
          <w:spacing w:val="-6"/>
          <w:w w:val="105"/>
          <w:sz w:val="21"/>
        </w:rPr>
        <w:t> </w:t>
      </w:r>
      <w:r>
        <w:rPr>
          <w:spacing w:val="-3"/>
          <w:w w:val="105"/>
          <w:sz w:val="21"/>
        </w:rPr>
        <w:t>aware</w:t>
      </w:r>
      <w:r>
        <w:rPr>
          <w:spacing w:val="-7"/>
          <w:w w:val="105"/>
          <w:sz w:val="21"/>
        </w:rPr>
        <w:t> </w:t>
      </w:r>
      <w:r>
        <w:rPr>
          <w:w w:val="105"/>
          <w:sz w:val="21"/>
        </w:rPr>
        <w:t>as</w:t>
      </w:r>
      <w:r>
        <w:rPr>
          <w:spacing w:val="-6"/>
          <w:w w:val="105"/>
          <w:sz w:val="21"/>
        </w:rPr>
        <w:t> </w:t>
      </w:r>
      <w:r>
        <w:rPr>
          <w:w w:val="105"/>
          <w:sz w:val="21"/>
        </w:rPr>
        <w:t>soon</w:t>
      </w:r>
      <w:r>
        <w:rPr>
          <w:spacing w:val="-7"/>
          <w:w w:val="105"/>
          <w:sz w:val="21"/>
        </w:rPr>
        <w:t> </w:t>
      </w:r>
      <w:r>
        <w:rPr>
          <w:w w:val="105"/>
          <w:sz w:val="21"/>
        </w:rPr>
        <w:t>as</w:t>
      </w:r>
      <w:r>
        <w:rPr>
          <w:spacing w:val="-6"/>
          <w:w w:val="105"/>
          <w:sz w:val="21"/>
        </w:rPr>
        <w:t> </w:t>
      </w:r>
      <w:r>
        <w:rPr>
          <w:w w:val="105"/>
          <w:sz w:val="21"/>
        </w:rPr>
        <w:t>possible [of] what[‘]s going</w:t>
      </w:r>
      <w:r>
        <w:rPr>
          <w:spacing w:val="18"/>
          <w:w w:val="105"/>
          <w:sz w:val="21"/>
        </w:rPr>
        <w:t> </w:t>
      </w:r>
      <w:r>
        <w:rPr>
          <w:spacing w:val="-6"/>
          <w:w w:val="105"/>
          <w:sz w:val="21"/>
        </w:rPr>
        <w:t>on…’</w:t>
      </w:r>
      <w:r>
        <w:rPr>
          <w:spacing w:val="-6"/>
          <w:w w:val="105"/>
          <w:position w:val="7"/>
          <w:sz w:val="12"/>
        </w:rPr>
        <w:t>71</w:t>
      </w:r>
    </w:p>
    <w:p>
      <w:pPr>
        <w:pStyle w:val="ListParagraph"/>
        <w:numPr>
          <w:ilvl w:val="1"/>
          <w:numId w:val="16"/>
        </w:numPr>
        <w:tabs>
          <w:tab w:pos="2381" w:val="left" w:leader="none"/>
          <w:tab w:pos="2382" w:val="left" w:leader="none"/>
        </w:tabs>
        <w:spacing w:line="242" w:lineRule="auto" w:before="125" w:after="0"/>
        <w:ind w:left="2381" w:right="1908" w:hanging="794"/>
        <w:jc w:val="left"/>
        <w:rPr>
          <w:sz w:val="21"/>
        </w:rPr>
      </w:pPr>
      <w:r>
        <w:rPr>
          <w:sz w:val="21"/>
        </w:rPr>
        <w:t>Another suggested </w:t>
      </w:r>
      <w:r>
        <w:rPr>
          <w:spacing w:val="-3"/>
          <w:sz w:val="21"/>
        </w:rPr>
        <w:t>that </w:t>
      </w:r>
      <w:r>
        <w:rPr>
          <w:sz w:val="21"/>
        </w:rPr>
        <w:t>if the </w:t>
      </w:r>
      <w:r>
        <w:rPr>
          <w:spacing w:val="-3"/>
          <w:sz w:val="21"/>
        </w:rPr>
        <w:t>purchaser  </w:t>
      </w:r>
      <w:r>
        <w:rPr>
          <w:sz w:val="21"/>
        </w:rPr>
        <w:t>does </w:t>
      </w:r>
      <w:r>
        <w:rPr>
          <w:spacing w:val="-2"/>
          <w:sz w:val="21"/>
        </w:rPr>
        <w:t>not</w:t>
      </w:r>
      <w:r>
        <w:rPr>
          <w:spacing w:val="43"/>
          <w:sz w:val="21"/>
        </w:rPr>
        <w:t> </w:t>
      </w:r>
      <w:r>
        <w:rPr>
          <w:sz w:val="21"/>
        </w:rPr>
        <w:t>wish </w:t>
      </w:r>
      <w:r>
        <w:rPr>
          <w:spacing w:val="-3"/>
          <w:sz w:val="21"/>
        </w:rPr>
        <w:t>to  </w:t>
      </w:r>
      <w:r>
        <w:rPr>
          <w:sz w:val="21"/>
        </w:rPr>
        <w:t>be </w:t>
      </w:r>
      <w:r>
        <w:rPr>
          <w:spacing w:val="-3"/>
          <w:sz w:val="21"/>
        </w:rPr>
        <w:t>responsible  for  </w:t>
      </w:r>
      <w:r>
        <w:rPr>
          <w:sz w:val="21"/>
        </w:rPr>
        <w:t>carrying out </w:t>
      </w:r>
      <w:r>
        <w:rPr>
          <w:spacing w:val="-3"/>
          <w:sz w:val="21"/>
        </w:rPr>
        <w:t>any </w:t>
      </w:r>
      <w:r>
        <w:rPr>
          <w:sz w:val="21"/>
        </w:rPr>
        <w:t>one-off orders </w:t>
      </w:r>
      <w:r>
        <w:rPr>
          <w:spacing w:val="-3"/>
          <w:sz w:val="21"/>
        </w:rPr>
        <w:t>that have </w:t>
      </w:r>
      <w:r>
        <w:rPr>
          <w:spacing w:val="-2"/>
          <w:sz w:val="21"/>
        </w:rPr>
        <w:t>not </w:t>
      </w:r>
      <w:r>
        <w:rPr>
          <w:sz w:val="21"/>
        </w:rPr>
        <w:t>been </w:t>
      </w:r>
      <w:r>
        <w:rPr>
          <w:spacing w:val="-3"/>
          <w:sz w:val="21"/>
        </w:rPr>
        <w:t>complied with, </w:t>
      </w:r>
      <w:r>
        <w:rPr>
          <w:sz w:val="21"/>
        </w:rPr>
        <w:t>then they should </w:t>
      </w:r>
      <w:r>
        <w:rPr>
          <w:spacing w:val="-3"/>
          <w:sz w:val="21"/>
        </w:rPr>
        <w:t>ensure </w:t>
      </w:r>
      <w:r>
        <w:rPr>
          <w:sz w:val="21"/>
        </w:rPr>
        <w:t>the </w:t>
      </w:r>
      <w:r>
        <w:rPr>
          <w:spacing w:val="-3"/>
          <w:sz w:val="21"/>
        </w:rPr>
        <w:t>original </w:t>
      </w:r>
      <w:r>
        <w:rPr>
          <w:sz w:val="21"/>
        </w:rPr>
        <w:t>owners carry out the works </w:t>
      </w:r>
      <w:r>
        <w:rPr>
          <w:spacing w:val="-3"/>
          <w:sz w:val="21"/>
        </w:rPr>
        <w:t>completely before transfer </w:t>
      </w:r>
      <w:r>
        <w:rPr>
          <w:sz w:val="21"/>
        </w:rPr>
        <w:t>of title</w:t>
      </w:r>
      <w:r>
        <w:rPr>
          <w:spacing w:val="2"/>
          <w:sz w:val="21"/>
        </w:rPr>
        <w:t> </w:t>
      </w:r>
      <w:r>
        <w:rPr>
          <w:spacing w:val="-3"/>
          <w:sz w:val="21"/>
        </w:rPr>
        <w:t>occurs.</w:t>
      </w:r>
      <w:r>
        <w:rPr>
          <w:spacing w:val="-3"/>
          <w:position w:val="7"/>
          <w:sz w:val="12"/>
        </w:rPr>
        <w:t>72</w:t>
      </w:r>
    </w:p>
    <w:p>
      <w:pPr>
        <w:pStyle w:val="Heading7"/>
        <w:spacing w:before="153"/>
      </w:pPr>
      <w:r>
        <w:rPr>
          <w:w w:val="115"/>
        </w:rPr>
        <w:t>How should notice be provided?</w:t>
      </w:r>
    </w:p>
    <w:p>
      <w:pPr>
        <w:pStyle w:val="ListParagraph"/>
        <w:numPr>
          <w:ilvl w:val="1"/>
          <w:numId w:val="16"/>
        </w:numPr>
        <w:tabs>
          <w:tab w:pos="2381" w:val="left" w:leader="none"/>
          <w:tab w:pos="2382" w:val="left" w:leader="none"/>
        </w:tabs>
        <w:spacing w:line="242" w:lineRule="auto" w:before="143" w:after="0"/>
        <w:ind w:left="2381" w:right="1586" w:hanging="794"/>
        <w:jc w:val="left"/>
        <w:rPr>
          <w:sz w:val="21"/>
        </w:rPr>
      </w:pPr>
      <w:r>
        <w:rPr>
          <w:w w:val="105"/>
          <w:sz w:val="21"/>
        </w:rPr>
        <w:t>Some responses suggested a </w:t>
      </w:r>
      <w:r>
        <w:rPr>
          <w:spacing w:val="-3"/>
          <w:w w:val="105"/>
          <w:sz w:val="21"/>
        </w:rPr>
        <w:t>disclosure </w:t>
      </w:r>
      <w:r>
        <w:rPr>
          <w:w w:val="105"/>
          <w:sz w:val="21"/>
        </w:rPr>
        <w:t>process </w:t>
      </w:r>
      <w:r>
        <w:rPr>
          <w:spacing w:val="-3"/>
          <w:w w:val="105"/>
          <w:sz w:val="21"/>
        </w:rPr>
        <w:t>that informs purchasers through </w:t>
      </w:r>
      <w:r>
        <w:rPr>
          <w:w w:val="105"/>
          <w:sz w:val="21"/>
        </w:rPr>
        <w:t>a </w:t>
      </w:r>
      <w:r>
        <w:rPr>
          <w:spacing w:val="-3"/>
          <w:w w:val="105"/>
          <w:sz w:val="21"/>
        </w:rPr>
        <w:t>real </w:t>
      </w:r>
      <w:r>
        <w:rPr>
          <w:w w:val="105"/>
          <w:sz w:val="21"/>
        </w:rPr>
        <w:t>estate </w:t>
      </w:r>
      <w:r>
        <w:rPr>
          <w:spacing w:val="-3"/>
          <w:w w:val="105"/>
          <w:sz w:val="21"/>
        </w:rPr>
        <w:t>agent;</w:t>
      </w:r>
      <w:r>
        <w:rPr>
          <w:spacing w:val="-3"/>
          <w:w w:val="105"/>
          <w:position w:val="7"/>
          <w:sz w:val="12"/>
        </w:rPr>
        <w:t>73 </w:t>
      </w:r>
      <w:r>
        <w:rPr>
          <w:w w:val="105"/>
          <w:sz w:val="21"/>
        </w:rPr>
        <w:t>a signed </w:t>
      </w:r>
      <w:r>
        <w:rPr>
          <w:spacing w:val="-3"/>
          <w:w w:val="105"/>
          <w:sz w:val="21"/>
        </w:rPr>
        <w:t>disclosure statement</w:t>
      </w:r>
      <w:r>
        <w:rPr>
          <w:spacing w:val="-3"/>
          <w:w w:val="105"/>
          <w:position w:val="7"/>
          <w:sz w:val="12"/>
        </w:rPr>
        <w:t>74 </w:t>
      </w:r>
      <w:r>
        <w:rPr>
          <w:w w:val="105"/>
          <w:sz w:val="21"/>
        </w:rPr>
        <w:t>or a Section </w:t>
      </w:r>
      <w:r>
        <w:rPr>
          <w:spacing w:val="-4"/>
          <w:w w:val="105"/>
          <w:sz w:val="21"/>
        </w:rPr>
        <w:t>32 </w:t>
      </w:r>
      <w:r>
        <w:rPr>
          <w:spacing w:val="-3"/>
          <w:w w:val="105"/>
          <w:sz w:val="21"/>
        </w:rPr>
        <w:t>Vendor </w:t>
      </w:r>
      <w:r>
        <w:rPr>
          <w:spacing w:val="-4"/>
          <w:w w:val="105"/>
          <w:sz w:val="21"/>
        </w:rPr>
        <w:t>Statement.</w:t>
      </w:r>
      <w:r>
        <w:rPr>
          <w:spacing w:val="-4"/>
          <w:w w:val="105"/>
          <w:position w:val="7"/>
          <w:sz w:val="12"/>
        </w:rPr>
        <w:t>75 </w:t>
      </w:r>
      <w:r>
        <w:rPr>
          <w:spacing w:val="-3"/>
          <w:w w:val="105"/>
          <w:sz w:val="21"/>
        </w:rPr>
        <w:t>Baw </w:t>
      </w:r>
      <w:r>
        <w:rPr>
          <w:w w:val="105"/>
          <w:sz w:val="21"/>
        </w:rPr>
        <w:t>Baw </w:t>
      </w:r>
      <w:r>
        <w:rPr>
          <w:spacing w:val="-3"/>
          <w:w w:val="105"/>
          <w:sz w:val="21"/>
        </w:rPr>
        <w:t>Shire </w:t>
      </w:r>
      <w:r>
        <w:rPr>
          <w:spacing w:val="-4"/>
          <w:w w:val="105"/>
          <w:sz w:val="21"/>
        </w:rPr>
        <w:t>Council </w:t>
      </w:r>
      <w:r>
        <w:rPr>
          <w:w w:val="105"/>
          <w:sz w:val="21"/>
        </w:rPr>
        <w:t>suggested </w:t>
      </w:r>
      <w:r>
        <w:rPr>
          <w:spacing w:val="-3"/>
          <w:w w:val="105"/>
          <w:sz w:val="21"/>
        </w:rPr>
        <w:t>that </w:t>
      </w:r>
      <w:r>
        <w:rPr>
          <w:w w:val="105"/>
          <w:sz w:val="21"/>
        </w:rPr>
        <w:t>a Section </w:t>
      </w:r>
      <w:r>
        <w:rPr>
          <w:spacing w:val="-4"/>
          <w:w w:val="105"/>
          <w:sz w:val="21"/>
        </w:rPr>
        <w:t>32 </w:t>
      </w:r>
      <w:r>
        <w:rPr>
          <w:spacing w:val="-3"/>
          <w:w w:val="105"/>
          <w:sz w:val="21"/>
        </w:rPr>
        <w:t>Vendor Statement </w:t>
      </w:r>
      <w:r>
        <w:rPr>
          <w:w w:val="105"/>
          <w:sz w:val="21"/>
        </w:rPr>
        <w:t>should </w:t>
      </w:r>
      <w:r>
        <w:rPr>
          <w:spacing w:val="-3"/>
          <w:w w:val="105"/>
          <w:sz w:val="21"/>
        </w:rPr>
        <w:t>include </w:t>
      </w:r>
      <w:r>
        <w:rPr>
          <w:w w:val="105"/>
          <w:sz w:val="21"/>
        </w:rPr>
        <w:t>results of an arborist’s risk assessment </w:t>
      </w:r>
      <w:r>
        <w:rPr>
          <w:spacing w:val="-3"/>
          <w:w w:val="105"/>
          <w:sz w:val="21"/>
        </w:rPr>
        <w:t>for </w:t>
      </w:r>
      <w:r>
        <w:rPr>
          <w:w w:val="105"/>
          <w:sz w:val="21"/>
        </w:rPr>
        <w:t>the problem</w:t>
      </w:r>
      <w:r>
        <w:rPr>
          <w:spacing w:val="25"/>
          <w:w w:val="105"/>
          <w:sz w:val="21"/>
        </w:rPr>
        <w:t> </w:t>
      </w:r>
      <w:r>
        <w:rPr>
          <w:spacing w:val="-4"/>
          <w:w w:val="105"/>
          <w:sz w:val="21"/>
        </w:rPr>
        <w:t>tree.</w:t>
      </w:r>
      <w:r>
        <w:rPr>
          <w:spacing w:val="-4"/>
          <w:w w:val="105"/>
          <w:position w:val="7"/>
          <w:sz w:val="12"/>
        </w:rPr>
        <w:t>76</w:t>
      </w:r>
    </w:p>
    <w:p>
      <w:pPr>
        <w:pStyle w:val="ListParagraph"/>
        <w:numPr>
          <w:ilvl w:val="1"/>
          <w:numId w:val="16"/>
        </w:numPr>
        <w:tabs>
          <w:tab w:pos="2381" w:val="left" w:leader="none"/>
          <w:tab w:pos="2382" w:val="left" w:leader="none"/>
        </w:tabs>
        <w:spacing w:line="242" w:lineRule="auto" w:before="125" w:after="0"/>
        <w:ind w:left="2381" w:right="1887" w:hanging="794"/>
        <w:jc w:val="left"/>
        <w:rPr>
          <w:sz w:val="21"/>
        </w:rPr>
      </w:pPr>
      <w:r>
        <w:rPr>
          <w:w w:val="105"/>
          <w:sz w:val="21"/>
        </w:rPr>
        <w:t>A number of arborists at </w:t>
      </w:r>
      <w:r>
        <w:rPr>
          <w:spacing w:val="-4"/>
          <w:w w:val="105"/>
          <w:sz w:val="21"/>
        </w:rPr>
        <w:t>ArborCamp2018 </w:t>
      </w:r>
      <w:r>
        <w:rPr>
          <w:w w:val="105"/>
          <w:sz w:val="21"/>
        </w:rPr>
        <w:t>supported an approach </w:t>
      </w:r>
      <w:r>
        <w:rPr>
          <w:spacing w:val="-3"/>
          <w:w w:val="105"/>
          <w:sz w:val="21"/>
        </w:rPr>
        <w:t>similar to that </w:t>
      </w:r>
      <w:r>
        <w:rPr>
          <w:w w:val="105"/>
          <w:sz w:val="21"/>
        </w:rPr>
        <w:t>in the </w:t>
      </w:r>
      <w:r>
        <w:rPr>
          <w:spacing w:val="-3"/>
          <w:w w:val="105"/>
          <w:sz w:val="21"/>
        </w:rPr>
        <w:t>United Kingdom.</w:t>
      </w:r>
      <w:r>
        <w:rPr>
          <w:spacing w:val="-3"/>
          <w:w w:val="105"/>
          <w:position w:val="7"/>
          <w:sz w:val="12"/>
        </w:rPr>
        <w:t>77 </w:t>
      </w:r>
      <w:r>
        <w:rPr>
          <w:w w:val="105"/>
          <w:sz w:val="21"/>
        </w:rPr>
        <w:t>In the UK, a vendor must </w:t>
      </w:r>
      <w:r>
        <w:rPr>
          <w:spacing w:val="-3"/>
          <w:w w:val="105"/>
          <w:sz w:val="21"/>
        </w:rPr>
        <w:t>complete </w:t>
      </w:r>
      <w:r>
        <w:rPr>
          <w:w w:val="105"/>
          <w:sz w:val="21"/>
        </w:rPr>
        <w:t>a </w:t>
      </w:r>
      <w:r>
        <w:rPr>
          <w:spacing w:val="-3"/>
          <w:w w:val="105"/>
          <w:sz w:val="21"/>
        </w:rPr>
        <w:t>Seller’s </w:t>
      </w:r>
      <w:r>
        <w:rPr>
          <w:w w:val="105"/>
          <w:sz w:val="21"/>
        </w:rPr>
        <w:t>Property </w:t>
      </w:r>
      <w:r>
        <w:rPr>
          <w:spacing w:val="-3"/>
          <w:w w:val="105"/>
          <w:sz w:val="21"/>
        </w:rPr>
        <w:t>Information </w:t>
      </w:r>
      <w:r>
        <w:rPr>
          <w:w w:val="105"/>
          <w:sz w:val="21"/>
        </w:rPr>
        <w:t>Form on which they must provide detailed </w:t>
      </w:r>
      <w:r>
        <w:rPr>
          <w:spacing w:val="-3"/>
          <w:w w:val="105"/>
          <w:sz w:val="21"/>
        </w:rPr>
        <w:t>information </w:t>
      </w:r>
      <w:r>
        <w:rPr>
          <w:w w:val="105"/>
          <w:sz w:val="21"/>
        </w:rPr>
        <w:t>about issues affecting their property, </w:t>
      </w:r>
      <w:r>
        <w:rPr>
          <w:spacing w:val="-3"/>
          <w:w w:val="105"/>
          <w:sz w:val="21"/>
        </w:rPr>
        <w:t>including historic, </w:t>
      </w:r>
      <w:r>
        <w:rPr>
          <w:w w:val="105"/>
          <w:sz w:val="21"/>
        </w:rPr>
        <w:t>ongoing or </w:t>
      </w:r>
      <w:r>
        <w:rPr>
          <w:spacing w:val="-4"/>
          <w:w w:val="105"/>
          <w:sz w:val="21"/>
        </w:rPr>
        <w:t>likely </w:t>
      </w:r>
      <w:r>
        <w:rPr>
          <w:spacing w:val="-3"/>
          <w:w w:val="105"/>
          <w:sz w:val="21"/>
        </w:rPr>
        <w:t>disputes </w:t>
      </w:r>
      <w:r>
        <w:rPr>
          <w:w w:val="105"/>
          <w:sz w:val="21"/>
        </w:rPr>
        <w:t>with </w:t>
      </w:r>
      <w:r>
        <w:rPr>
          <w:spacing w:val="-3"/>
          <w:w w:val="105"/>
          <w:sz w:val="21"/>
        </w:rPr>
        <w:t>neighbours.</w:t>
      </w:r>
      <w:r>
        <w:rPr>
          <w:spacing w:val="-3"/>
          <w:w w:val="105"/>
          <w:position w:val="7"/>
          <w:sz w:val="12"/>
        </w:rPr>
        <w:t>78 </w:t>
      </w:r>
      <w:r>
        <w:rPr>
          <w:w w:val="105"/>
          <w:sz w:val="21"/>
        </w:rPr>
        <w:t>If </w:t>
      </w:r>
      <w:r>
        <w:rPr>
          <w:spacing w:val="-4"/>
          <w:w w:val="105"/>
          <w:sz w:val="21"/>
        </w:rPr>
        <w:t>inaccurate </w:t>
      </w:r>
      <w:r>
        <w:rPr>
          <w:w w:val="105"/>
          <w:sz w:val="21"/>
        </w:rPr>
        <w:t>or </w:t>
      </w:r>
      <w:r>
        <w:rPr>
          <w:spacing w:val="-3"/>
          <w:w w:val="105"/>
          <w:sz w:val="21"/>
        </w:rPr>
        <w:t>misleading information </w:t>
      </w:r>
      <w:r>
        <w:rPr>
          <w:w w:val="105"/>
          <w:sz w:val="21"/>
        </w:rPr>
        <w:t>is </w:t>
      </w:r>
      <w:r>
        <w:rPr>
          <w:spacing w:val="-2"/>
          <w:w w:val="105"/>
          <w:sz w:val="21"/>
        </w:rPr>
        <w:t>provided, </w:t>
      </w:r>
      <w:r>
        <w:rPr>
          <w:w w:val="105"/>
          <w:sz w:val="21"/>
        </w:rPr>
        <w:t>the </w:t>
      </w:r>
      <w:r>
        <w:rPr>
          <w:spacing w:val="-3"/>
          <w:w w:val="105"/>
          <w:sz w:val="21"/>
        </w:rPr>
        <w:t>purchaser may </w:t>
      </w:r>
      <w:r>
        <w:rPr>
          <w:w w:val="105"/>
          <w:sz w:val="21"/>
        </w:rPr>
        <w:t>be able </w:t>
      </w:r>
      <w:r>
        <w:rPr>
          <w:spacing w:val="-3"/>
          <w:w w:val="105"/>
          <w:sz w:val="21"/>
        </w:rPr>
        <w:t>to </w:t>
      </w:r>
      <w:r>
        <w:rPr>
          <w:spacing w:val="-4"/>
          <w:w w:val="105"/>
          <w:sz w:val="21"/>
        </w:rPr>
        <w:t>make </w:t>
      </w:r>
      <w:r>
        <w:rPr>
          <w:w w:val="105"/>
          <w:sz w:val="21"/>
        </w:rPr>
        <w:t>a </w:t>
      </w:r>
      <w:r>
        <w:rPr>
          <w:spacing w:val="-3"/>
          <w:w w:val="105"/>
          <w:sz w:val="21"/>
        </w:rPr>
        <w:t>claim for </w:t>
      </w:r>
      <w:r>
        <w:rPr>
          <w:w w:val="105"/>
          <w:sz w:val="21"/>
        </w:rPr>
        <w:t>compensation or </w:t>
      </w:r>
      <w:r>
        <w:rPr>
          <w:spacing w:val="-3"/>
          <w:w w:val="105"/>
          <w:sz w:val="21"/>
        </w:rPr>
        <w:t>refuse to complete </w:t>
      </w:r>
      <w:r>
        <w:rPr>
          <w:w w:val="105"/>
          <w:sz w:val="21"/>
        </w:rPr>
        <w:t>the</w:t>
      </w:r>
      <w:r>
        <w:rPr>
          <w:spacing w:val="34"/>
          <w:w w:val="105"/>
          <w:sz w:val="21"/>
        </w:rPr>
        <w:t> </w:t>
      </w:r>
      <w:r>
        <w:rPr>
          <w:spacing w:val="-4"/>
          <w:w w:val="105"/>
          <w:sz w:val="21"/>
        </w:rPr>
        <w:t>purchase.</w:t>
      </w:r>
      <w:r>
        <w:rPr>
          <w:spacing w:val="-4"/>
          <w:w w:val="105"/>
          <w:position w:val="7"/>
          <w:sz w:val="12"/>
        </w:rPr>
        <w:t>79</w:t>
      </w:r>
    </w:p>
    <w:p>
      <w:pPr>
        <w:pStyle w:val="BodyText"/>
        <w:rPr>
          <w:sz w:val="20"/>
        </w:rPr>
      </w:pPr>
    </w:p>
    <w:p>
      <w:pPr>
        <w:pStyle w:val="BodyText"/>
        <w:rPr>
          <w:sz w:val="20"/>
        </w:rPr>
      </w:pPr>
    </w:p>
    <w:p>
      <w:pPr>
        <w:pStyle w:val="BodyText"/>
      </w:pPr>
      <w:r>
        <w:rPr/>
        <w:pict>
          <v:line style="position:absolute;mso-position-horizontal-relative:page;mso-position-vertical-relative:paragraph;z-index:10880;mso-wrap-distance-left:0;mso-wrap-distance-right:0" from="79.370102pt,15.297015pt" to="515.905102pt,15.29701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33"/>
        </w:rPr>
      </w:pPr>
    </w:p>
    <w:p>
      <w:pPr>
        <w:spacing w:before="0"/>
        <w:ind w:left="720" w:right="0" w:firstLine="0"/>
        <w:jc w:val="left"/>
        <w:rPr>
          <w:b/>
          <w:sz w:val="24"/>
        </w:rPr>
      </w:pPr>
      <w:r>
        <w:rPr>
          <w:b/>
          <w:color w:val="658464"/>
          <w:spacing w:val="-1"/>
          <w:w w:val="110"/>
          <w:sz w:val="24"/>
        </w:rPr>
        <w:t>266</w:t>
      </w:r>
    </w:p>
    <w:p>
      <w:pPr>
        <w:pStyle w:val="ListParagraph"/>
        <w:numPr>
          <w:ilvl w:val="0"/>
          <w:numId w:val="193"/>
        </w:numPr>
        <w:tabs>
          <w:tab w:pos="1221" w:val="left" w:leader="none"/>
          <w:tab w:pos="1222" w:val="left" w:leader="none"/>
        </w:tabs>
        <w:spacing w:line="240" w:lineRule="auto" w:before="48" w:after="0"/>
        <w:ind w:left="1221" w:right="0" w:hanging="794"/>
        <w:jc w:val="left"/>
        <w:rPr>
          <w:sz w:val="13"/>
        </w:rPr>
      </w:pPr>
      <w:r>
        <w:rPr>
          <w:w w:val="108"/>
          <w:sz w:val="13"/>
        </w:rPr>
        <w:br w:type="column"/>
      </w:r>
      <w:r>
        <w:rPr>
          <w:w w:val="105"/>
          <w:sz w:val="13"/>
        </w:rPr>
        <w:t>Submissions</w:t>
      </w:r>
      <w:r>
        <w:rPr>
          <w:spacing w:val="4"/>
          <w:w w:val="105"/>
          <w:sz w:val="13"/>
        </w:rPr>
        <w:t> </w:t>
      </w:r>
      <w:r>
        <w:rPr>
          <w:w w:val="105"/>
          <w:sz w:val="13"/>
        </w:rPr>
        <w:t>2</w:t>
      </w:r>
      <w:r>
        <w:rPr>
          <w:spacing w:val="5"/>
          <w:w w:val="105"/>
          <w:sz w:val="13"/>
        </w:rPr>
        <w:t> </w:t>
      </w:r>
      <w:r>
        <w:rPr>
          <w:spacing w:val="2"/>
          <w:w w:val="105"/>
          <w:sz w:val="13"/>
        </w:rPr>
        <w:t>(Name</w:t>
      </w:r>
      <w:r>
        <w:rPr>
          <w:spacing w:val="5"/>
          <w:w w:val="105"/>
          <w:sz w:val="13"/>
        </w:rPr>
        <w:t> </w:t>
      </w:r>
      <w:r>
        <w:rPr>
          <w:w w:val="105"/>
          <w:sz w:val="13"/>
        </w:rPr>
        <w:t>withheld),</w:t>
      </w:r>
      <w:r>
        <w:rPr>
          <w:spacing w:val="4"/>
          <w:w w:val="105"/>
          <w:sz w:val="13"/>
        </w:rPr>
        <w:t> </w:t>
      </w:r>
      <w:r>
        <w:rPr>
          <w:w w:val="105"/>
          <w:sz w:val="13"/>
        </w:rPr>
        <w:t>7</w:t>
      </w:r>
      <w:r>
        <w:rPr>
          <w:spacing w:val="5"/>
          <w:w w:val="105"/>
          <w:sz w:val="13"/>
        </w:rPr>
        <w:t> </w:t>
      </w:r>
      <w:r>
        <w:rPr>
          <w:spacing w:val="2"/>
          <w:w w:val="105"/>
          <w:sz w:val="13"/>
        </w:rPr>
        <w:t>(Ben</w:t>
      </w:r>
      <w:r>
        <w:rPr>
          <w:spacing w:val="5"/>
          <w:w w:val="105"/>
          <w:sz w:val="13"/>
        </w:rPr>
        <w:t> </w:t>
      </w:r>
      <w:r>
        <w:rPr>
          <w:w w:val="105"/>
          <w:sz w:val="13"/>
        </w:rPr>
        <w:t>Kenyon),</w:t>
      </w:r>
      <w:r>
        <w:rPr>
          <w:spacing w:val="5"/>
          <w:w w:val="105"/>
          <w:sz w:val="13"/>
        </w:rPr>
        <w:t> </w:t>
      </w:r>
      <w:r>
        <w:rPr>
          <w:spacing w:val="-3"/>
          <w:w w:val="105"/>
          <w:sz w:val="13"/>
        </w:rPr>
        <w:t>19</w:t>
      </w:r>
      <w:r>
        <w:rPr>
          <w:spacing w:val="4"/>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20</w:t>
      </w:r>
      <w:r>
        <w:rPr>
          <w:spacing w:val="4"/>
          <w:w w:val="105"/>
          <w:sz w:val="13"/>
        </w:rPr>
        <w:t> </w:t>
      </w:r>
      <w:r>
        <w:rPr>
          <w:spacing w:val="2"/>
          <w:w w:val="105"/>
          <w:sz w:val="13"/>
        </w:rPr>
        <w:t>(Name</w:t>
      </w:r>
      <w:r>
        <w:rPr>
          <w:spacing w:val="5"/>
          <w:w w:val="105"/>
          <w:sz w:val="13"/>
        </w:rPr>
        <w:t> </w:t>
      </w:r>
      <w:r>
        <w:rPr>
          <w:w w:val="105"/>
          <w:sz w:val="13"/>
        </w:rPr>
        <w:t>withheld).</w:t>
      </w:r>
    </w:p>
    <w:p>
      <w:pPr>
        <w:pStyle w:val="ListParagraph"/>
        <w:numPr>
          <w:ilvl w:val="0"/>
          <w:numId w:val="193"/>
        </w:numPr>
        <w:tabs>
          <w:tab w:pos="1221" w:val="left" w:leader="none"/>
          <w:tab w:pos="1222" w:val="left" w:leader="none"/>
        </w:tabs>
        <w:spacing w:line="240" w:lineRule="auto" w:before="1" w:after="0"/>
        <w:ind w:left="1221" w:right="0" w:hanging="794"/>
        <w:jc w:val="left"/>
        <w:rPr>
          <w:sz w:val="13"/>
        </w:rPr>
      </w:pPr>
      <w:r>
        <w:rPr>
          <w:w w:val="105"/>
          <w:sz w:val="13"/>
        </w:rPr>
        <w:t>Submissions 4 </w:t>
      </w:r>
      <w:r>
        <w:rPr>
          <w:spacing w:val="2"/>
          <w:w w:val="105"/>
          <w:sz w:val="13"/>
        </w:rPr>
        <w:t>(Name </w:t>
      </w:r>
      <w:r>
        <w:rPr>
          <w:w w:val="105"/>
          <w:sz w:val="13"/>
        </w:rPr>
        <w:t>withheld), </w:t>
      </w:r>
      <w:r>
        <w:rPr>
          <w:spacing w:val="-6"/>
          <w:w w:val="105"/>
          <w:sz w:val="13"/>
        </w:rPr>
        <w:t>11 </w:t>
      </w:r>
      <w:r>
        <w:rPr>
          <w:spacing w:val="2"/>
          <w:w w:val="105"/>
          <w:sz w:val="13"/>
        </w:rPr>
        <w:t>(Name </w:t>
      </w:r>
      <w:r>
        <w:rPr>
          <w:w w:val="105"/>
          <w:sz w:val="13"/>
        </w:rPr>
        <w:t>withheld), 27 </w:t>
      </w:r>
      <w:r>
        <w:rPr>
          <w:spacing w:val="2"/>
          <w:w w:val="105"/>
          <w:sz w:val="13"/>
        </w:rPr>
        <w:t>(Name</w:t>
      </w:r>
      <w:r>
        <w:rPr>
          <w:spacing w:val="18"/>
          <w:w w:val="105"/>
          <w:sz w:val="13"/>
        </w:rPr>
        <w:t> </w:t>
      </w:r>
      <w:r>
        <w:rPr>
          <w:w w:val="105"/>
          <w:sz w:val="13"/>
        </w:rPr>
        <w:t>withheld).</w:t>
      </w:r>
    </w:p>
    <w:p>
      <w:pPr>
        <w:pStyle w:val="ListParagraph"/>
        <w:numPr>
          <w:ilvl w:val="0"/>
          <w:numId w:val="193"/>
        </w:numPr>
        <w:tabs>
          <w:tab w:pos="1221" w:val="left" w:leader="none"/>
          <w:tab w:pos="1222" w:val="left" w:leader="none"/>
        </w:tabs>
        <w:spacing w:line="240" w:lineRule="auto" w:before="2" w:after="0"/>
        <w:ind w:left="1221" w:right="0" w:hanging="794"/>
        <w:jc w:val="left"/>
        <w:rPr>
          <w:sz w:val="13"/>
        </w:rPr>
      </w:pPr>
      <w:r>
        <w:rPr>
          <w:w w:val="105"/>
          <w:sz w:val="13"/>
        </w:rPr>
        <w:t>Confidential</w:t>
      </w:r>
      <w:r>
        <w:rPr>
          <w:spacing w:val="4"/>
          <w:w w:val="105"/>
          <w:sz w:val="13"/>
        </w:rPr>
        <w:t> </w:t>
      </w:r>
      <w:r>
        <w:rPr>
          <w:w w:val="105"/>
          <w:sz w:val="13"/>
        </w:rPr>
        <w:t>submission.</w:t>
      </w:r>
      <w:r>
        <w:rPr>
          <w:spacing w:val="5"/>
          <w:w w:val="105"/>
          <w:sz w:val="13"/>
        </w:rPr>
        <w:t> </w:t>
      </w:r>
      <w:r>
        <w:rPr>
          <w:w w:val="105"/>
          <w:sz w:val="13"/>
        </w:rPr>
        <w:t>It</w:t>
      </w:r>
      <w:r>
        <w:rPr>
          <w:spacing w:val="4"/>
          <w:w w:val="105"/>
          <w:sz w:val="13"/>
        </w:rPr>
        <w:t> </w:t>
      </w:r>
      <w:r>
        <w:rPr>
          <w:w w:val="105"/>
          <w:sz w:val="13"/>
        </w:rPr>
        <w:t>was</w:t>
      </w:r>
      <w:r>
        <w:rPr>
          <w:spacing w:val="5"/>
          <w:w w:val="105"/>
          <w:sz w:val="13"/>
        </w:rPr>
        <w:t> </w:t>
      </w:r>
      <w:r>
        <w:rPr>
          <w:w w:val="105"/>
          <w:sz w:val="13"/>
        </w:rPr>
        <w:t>not</w:t>
      </w:r>
      <w:r>
        <w:rPr>
          <w:spacing w:val="5"/>
          <w:w w:val="105"/>
          <w:sz w:val="13"/>
        </w:rPr>
        <w:t> </w:t>
      </w:r>
      <w:r>
        <w:rPr>
          <w:w w:val="105"/>
          <w:sz w:val="13"/>
        </w:rPr>
        <w:t>specified</w:t>
      </w:r>
      <w:r>
        <w:rPr>
          <w:spacing w:val="4"/>
          <w:w w:val="105"/>
          <w:sz w:val="13"/>
        </w:rPr>
        <w:t> </w:t>
      </w:r>
      <w:r>
        <w:rPr>
          <w:w w:val="105"/>
          <w:sz w:val="13"/>
        </w:rPr>
        <w:t>at</w:t>
      </w:r>
      <w:r>
        <w:rPr>
          <w:spacing w:val="5"/>
          <w:w w:val="105"/>
          <w:sz w:val="13"/>
        </w:rPr>
        <w:t> </w:t>
      </w:r>
      <w:r>
        <w:rPr>
          <w:w w:val="105"/>
          <w:sz w:val="13"/>
        </w:rPr>
        <w:t>what</w:t>
      </w:r>
      <w:r>
        <w:rPr>
          <w:spacing w:val="5"/>
          <w:w w:val="105"/>
          <w:sz w:val="13"/>
        </w:rPr>
        <w:t> </w:t>
      </w:r>
      <w:r>
        <w:rPr>
          <w:w w:val="105"/>
          <w:sz w:val="13"/>
        </w:rPr>
        <w:t>point</w:t>
      </w:r>
      <w:r>
        <w:rPr>
          <w:spacing w:val="4"/>
          <w:w w:val="105"/>
          <w:sz w:val="13"/>
        </w:rPr>
        <w:t> </w:t>
      </w:r>
      <w:r>
        <w:rPr>
          <w:w w:val="105"/>
          <w:sz w:val="13"/>
        </w:rPr>
        <w:t>this</w:t>
      </w:r>
      <w:r>
        <w:rPr>
          <w:spacing w:val="5"/>
          <w:w w:val="105"/>
          <w:sz w:val="13"/>
        </w:rPr>
        <w:t> </w:t>
      </w:r>
      <w:r>
        <w:rPr>
          <w:w w:val="105"/>
          <w:sz w:val="13"/>
        </w:rPr>
        <w:t>one</w:t>
      </w:r>
      <w:r>
        <w:rPr>
          <w:spacing w:val="4"/>
          <w:w w:val="105"/>
          <w:sz w:val="13"/>
        </w:rPr>
        <w:t> </w:t>
      </w:r>
      <w:r>
        <w:rPr>
          <w:w w:val="105"/>
          <w:sz w:val="13"/>
        </w:rPr>
        <w:t>year</w:t>
      </w:r>
      <w:r>
        <w:rPr>
          <w:spacing w:val="5"/>
          <w:w w:val="105"/>
          <w:sz w:val="13"/>
        </w:rPr>
        <w:t> </w:t>
      </w:r>
      <w:r>
        <w:rPr>
          <w:w w:val="105"/>
          <w:sz w:val="13"/>
        </w:rPr>
        <w:t>period</w:t>
      </w:r>
      <w:r>
        <w:rPr>
          <w:spacing w:val="5"/>
          <w:w w:val="105"/>
          <w:sz w:val="13"/>
        </w:rPr>
        <w:t> </w:t>
      </w:r>
      <w:r>
        <w:rPr>
          <w:w w:val="105"/>
          <w:sz w:val="13"/>
        </w:rPr>
        <w:t>should</w:t>
      </w:r>
      <w:r>
        <w:rPr>
          <w:spacing w:val="4"/>
          <w:w w:val="105"/>
          <w:sz w:val="13"/>
        </w:rPr>
        <w:t> </w:t>
      </w:r>
      <w:r>
        <w:rPr>
          <w:w w:val="105"/>
          <w:sz w:val="13"/>
        </w:rPr>
        <w:t>commence.</w:t>
      </w:r>
    </w:p>
    <w:p>
      <w:pPr>
        <w:pStyle w:val="ListParagraph"/>
        <w:numPr>
          <w:ilvl w:val="0"/>
          <w:numId w:val="193"/>
        </w:numPr>
        <w:tabs>
          <w:tab w:pos="1221" w:val="left" w:leader="none"/>
          <w:tab w:pos="1222" w:val="left" w:leader="none"/>
        </w:tabs>
        <w:spacing w:line="240" w:lineRule="auto" w:before="1" w:after="0"/>
        <w:ind w:left="1221" w:right="0" w:hanging="794"/>
        <w:jc w:val="left"/>
        <w:rPr>
          <w:sz w:val="13"/>
        </w:rPr>
      </w:pPr>
      <w:r>
        <w:rPr>
          <w:w w:val="105"/>
          <w:sz w:val="13"/>
        </w:rPr>
        <w:t>Confidential</w:t>
      </w:r>
      <w:r>
        <w:rPr>
          <w:spacing w:val="4"/>
          <w:w w:val="105"/>
          <w:sz w:val="13"/>
        </w:rPr>
        <w:t> </w:t>
      </w:r>
      <w:r>
        <w:rPr>
          <w:w w:val="105"/>
          <w:sz w:val="13"/>
        </w:rPr>
        <w:t>submission.</w:t>
      </w:r>
      <w:r>
        <w:rPr>
          <w:spacing w:val="5"/>
          <w:w w:val="105"/>
          <w:sz w:val="13"/>
        </w:rPr>
        <w:t> </w:t>
      </w:r>
      <w:r>
        <w:rPr>
          <w:w w:val="105"/>
          <w:sz w:val="13"/>
        </w:rPr>
        <w:t>The</w:t>
      </w:r>
      <w:r>
        <w:rPr>
          <w:spacing w:val="5"/>
          <w:w w:val="105"/>
          <w:sz w:val="13"/>
        </w:rPr>
        <w:t> </w:t>
      </w:r>
      <w:r>
        <w:rPr>
          <w:w w:val="105"/>
          <w:sz w:val="13"/>
        </w:rPr>
        <w:t>period</w:t>
      </w:r>
      <w:r>
        <w:rPr>
          <w:spacing w:val="5"/>
          <w:w w:val="105"/>
          <w:sz w:val="13"/>
        </w:rPr>
        <w:t> </w:t>
      </w:r>
      <w:r>
        <w:rPr>
          <w:w w:val="105"/>
          <w:sz w:val="13"/>
        </w:rPr>
        <w:t>of</w:t>
      </w:r>
      <w:r>
        <w:rPr>
          <w:spacing w:val="5"/>
          <w:w w:val="105"/>
          <w:sz w:val="13"/>
        </w:rPr>
        <w:t> </w:t>
      </w:r>
      <w:r>
        <w:rPr>
          <w:w w:val="105"/>
          <w:sz w:val="13"/>
        </w:rPr>
        <w:t>this</w:t>
      </w:r>
      <w:r>
        <w:rPr>
          <w:spacing w:val="4"/>
          <w:w w:val="105"/>
          <w:sz w:val="13"/>
        </w:rPr>
        <w:t> </w:t>
      </w:r>
      <w:r>
        <w:rPr>
          <w:w w:val="105"/>
          <w:sz w:val="13"/>
        </w:rPr>
        <w:t>suggested</w:t>
      </w:r>
      <w:r>
        <w:rPr>
          <w:spacing w:val="5"/>
          <w:w w:val="105"/>
          <w:sz w:val="13"/>
        </w:rPr>
        <w:t> </w:t>
      </w:r>
      <w:r>
        <w:rPr>
          <w:w w:val="105"/>
          <w:sz w:val="13"/>
        </w:rPr>
        <w:t>grace</w:t>
      </w:r>
      <w:r>
        <w:rPr>
          <w:spacing w:val="5"/>
          <w:w w:val="105"/>
          <w:sz w:val="13"/>
        </w:rPr>
        <w:t> </w:t>
      </w:r>
      <w:r>
        <w:rPr>
          <w:w w:val="105"/>
          <w:sz w:val="13"/>
        </w:rPr>
        <w:t>period</w:t>
      </w:r>
      <w:r>
        <w:rPr>
          <w:spacing w:val="5"/>
          <w:w w:val="105"/>
          <w:sz w:val="13"/>
        </w:rPr>
        <w:t> </w:t>
      </w:r>
      <w:r>
        <w:rPr>
          <w:w w:val="105"/>
          <w:sz w:val="13"/>
        </w:rPr>
        <w:t>was</w:t>
      </w:r>
      <w:r>
        <w:rPr>
          <w:spacing w:val="5"/>
          <w:w w:val="105"/>
          <w:sz w:val="13"/>
        </w:rPr>
        <w:t> </w:t>
      </w:r>
      <w:r>
        <w:rPr>
          <w:w w:val="105"/>
          <w:sz w:val="13"/>
        </w:rPr>
        <w:t>not</w:t>
      </w:r>
      <w:r>
        <w:rPr>
          <w:spacing w:val="5"/>
          <w:w w:val="105"/>
          <w:sz w:val="13"/>
        </w:rPr>
        <w:t> </w:t>
      </w:r>
      <w:r>
        <w:rPr>
          <w:w w:val="105"/>
          <w:sz w:val="13"/>
        </w:rPr>
        <w:t>specified.</w:t>
      </w:r>
    </w:p>
    <w:p>
      <w:pPr>
        <w:pStyle w:val="ListParagraph"/>
        <w:numPr>
          <w:ilvl w:val="0"/>
          <w:numId w:val="193"/>
        </w:numPr>
        <w:tabs>
          <w:tab w:pos="1221" w:val="left" w:leader="none"/>
          <w:tab w:pos="1222" w:val="left" w:leader="none"/>
        </w:tabs>
        <w:spacing w:line="240" w:lineRule="auto" w:before="1" w:after="0"/>
        <w:ind w:left="1221" w:right="0" w:hanging="794"/>
        <w:jc w:val="left"/>
        <w:rPr>
          <w:sz w:val="13"/>
        </w:rPr>
      </w:pPr>
      <w:r>
        <w:rPr>
          <w:w w:val="105"/>
          <w:sz w:val="13"/>
        </w:rPr>
        <w:t>Submission 23 </w:t>
      </w:r>
      <w:r>
        <w:rPr>
          <w:spacing w:val="2"/>
          <w:w w:val="105"/>
          <w:sz w:val="13"/>
        </w:rPr>
        <w:t>(Name</w:t>
      </w:r>
      <w:r>
        <w:rPr>
          <w:spacing w:val="13"/>
          <w:w w:val="105"/>
          <w:sz w:val="13"/>
        </w:rPr>
        <w:t> </w:t>
      </w:r>
      <w:r>
        <w:rPr>
          <w:w w:val="105"/>
          <w:sz w:val="13"/>
        </w:rPr>
        <w:t>withheld).</w:t>
      </w:r>
    </w:p>
    <w:p>
      <w:pPr>
        <w:pStyle w:val="ListParagraph"/>
        <w:numPr>
          <w:ilvl w:val="0"/>
          <w:numId w:val="193"/>
        </w:numPr>
        <w:tabs>
          <w:tab w:pos="1221" w:val="left" w:leader="none"/>
          <w:tab w:pos="1222" w:val="left" w:leader="none"/>
        </w:tabs>
        <w:spacing w:line="240" w:lineRule="auto" w:before="2" w:after="0"/>
        <w:ind w:left="1221" w:right="0" w:hanging="794"/>
        <w:jc w:val="left"/>
        <w:rPr>
          <w:sz w:val="13"/>
        </w:rPr>
      </w:pPr>
      <w:r>
        <w:rPr>
          <w:w w:val="105"/>
          <w:sz w:val="13"/>
        </w:rPr>
        <w:t>Submissions</w:t>
      </w:r>
      <w:r>
        <w:rPr>
          <w:spacing w:val="4"/>
          <w:w w:val="105"/>
          <w:sz w:val="13"/>
        </w:rPr>
        <w:t> </w:t>
      </w:r>
      <w:r>
        <w:rPr>
          <w:w w:val="105"/>
          <w:sz w:val="13"/>
        </w:rPr>
        <w:t>2</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6</w:t>
      </w:r>
      <w:r>
        <w:rPr>
          <w:spacing w:val="5"/>
          <w:w w:val="105"/>
          <w:sz w:val="13"/>
        </w:rPr>
        <w:t> </w:t>
      </w:r>
      <w:r>
        <w:rPr>
          <w:spacing w:val="2"/>
          <w:w w:val="105"/>
          <w:sz w:val="13"/>
        </w:rPr>
        <w:t>(Name</w:t>
      </w:r>
      <w:r>
        <w:rPr>
          <w:spacing w:val="5"/>
          <w:w w:val="105"/>
          <w:sz w:val="13"/>
        </w:rPr>
        <w:t> </w:t>
      </w:r>
      <w:r>
        <w:rPr>
          <w:w w:val="105"/>
          <w:sz w:val="13"/>
        </w:rPr>
        <w:t>withheld),</w:t>
      </w:r>
      <w:r>
        <w:rPr>
          <w:spacing w:val="4"/>
          <w:w w:val="105"/>
          <w:sz w:val="13"/>
        </w:rPr>
        <w:t> </w:t>
      </w:r>
      <w:r>
        <w:rPr>
          <w:w w:val="105"/>
          <w:sz w:val="13"/>
        </w:rPr>
        <w:t>27</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Consultations</w:t>
      </w:r>
      <w:r>
        <w:rPr>
          <w:spacing w:val="5"/>
          <w:w w:val="105"/>
          <w:sz w:val="13"/>
        </w:rPr>
        <w:t> </w:t>
      </w:r>
      <w:r>
        <w:rPr>
          <w:w w:val="105"/>
          <w:sz w:val="13"/>
        </w:rPr>
        <w:t>1</w:t>
      </w:r>
      <w:r>
        <w:rPr>
          <w:spacing w:val="5"/>
          <w:w w:val="105"/>
          <w:sz w:val="13"/>
        </w:rPr>
        <w:t> </w:t>
      </w:r>
      <w:r>
        <w:rPr>
          <w:w w:val="105"/>
          <w:sz w:val="13"/>
        </w:rPr>
        <w:t>(Aldo</w:t>
      </w:r>
      <w:r>
        <w:rPr>
          <w:spacing w:val="4"/>
          <w:w w:val="105"/>
          <w:sz w:val="13"/>
        </w:rPr>
        <w:t> </w:t>
      </w:r>
      <w:r>
        <w:rPr>
          <w:w w:val="105"/>
          <w:sz w:val="13"/>
        </w:rPr>
        <w:t>Taranto),</w:t>
      </w:r>
      <w:r>
        <w:rPr>
          <w:spacing w:val="5"/>
          <w:w w:val="105"/>
          <w:sz w:val="13"/>
        </w:rPr>
        <w:t> </w:t>
      </w:r>
      <w:r>
        <w:rPr>
          <w:w w:val="105"/>
          <w:sz w:val="13"/>
        </w:rPr>
        <w:t>3</w:t>
      </w:r>
      <w:r>
        <w:rPr>
          <w:spacing w:val="5"/>
          <w:w w:val="105"/>
          <w:sz w:val="13"/>
        </w:rPr>
        <w:t> </w:t>
      </w:r>
      <w:r>
        <w:rPr>
          <w:spacing w:val="3"/>
          <w:w w:val="105"/>
          <w:sz w:val="13"/>
        </w:rPr>
        <w:t>(HVP</w:t>
      </w:r>
      <w:r>
        <w:rPr>
          <w:spacing w:val="5"/>
          <w:w w:val="105"/>
          <w:sz w:val="13"/>
        </w:rPr>
        <w:t> </w:t>
      </w:r>
      <w:r>
        <w:rPr>
          <w:w w:val="105"/>
          <w:sz w:val="13"/>
        </w:rPr>
        <w:t>Plantations),</w:t>
      </w:r>
    </w:p>
    <w:p>
      <w:pPr>
        <w:spacing w:before="1"/>
        <w:ind w:left="1221" w:right="1796" w:firstLine="0"/>
        <w:jc w:val="left"/>
        <w:rPr>
          <w:sz w:val="13"/>
        </w:rPr>
      </w:pPr>
      <w:r>
        <w:rPr>
          <w:w w:val="105"/>
          <w:sz w:val="13"/>
        </w:rPr>
        <w:t>4 (Participants in facilitated discussion at VTIO ArborCamp2018), 8 (City of Boroondara), 9 (Nillumbik Shire Council), 10 (Baw Baw Shire Council), 12 (City of Port Phillip ).</w:t>
      </w:r>
    </w:p>
    <w:p>
      <w:pPr>
        <w:pStyle w:val="ListParagraph"/>
        <w:numPr>
          <w:ilvl w:val="0"/>
          <w:numId w:val="193"/>
        </w:numPr>
        <w:tabs>
          <w:tab w:pos="1221" w:val="left" w:leader="none"/>
          <w:tab w:pos="1222" w:val="left" w:leader="none"/>
        </w:tabs>
        <w:spacing w:line="240" w:lineRule="auto" w:before="3" w:after="0"/>
        <w:ind w:left="1221" w:right="0" w:hanging="794"/>
        <w:jc w:val="left"/>
        <w:rPr>
          <w:sz w:val="13"/>
        </w:rPr>
      </w:pPr>
      <w:r>
        <w:rPr>
          <w:w w:val="105"/>
          <w:sz w:val="13"/>
        </w:rPr>
        <w:t>Consultations</w:t>
      </w:r>
      <w:r>
        <w:rPr>
          <w:spacing w:val="5"/>
          <w:w w:val="105"/>
          <w:sz w:val="13"/>
        </w:rPr>
        <w:t> </w:t>
      </w:r>
      <w:r>
        <w:rPr>
          <w:w w:val="105"/>
          <w:sz w:val="13"/>
        </w:rPr>
        <w:t>8</w:t>
      </w:r>
      <w:r>
        <w:rPr>
          <w:spacing w:val="5"/>
          <w:w w:val="105"/>
          <w:sz w:val="13"/>
        </w:rPr>
        <w:t> </w:t>
      </w:r>
      <w:r>
        <w:rPr>
          <w:w w:val="105"/>
          <w:sz w:val="13"/>
        </w:rPr>
        <w:t>(City</w:t>
      </w:r>
      <w:r>
        <w:rPr>
          <w:spacing w:val="6"/>
          <w:w w:val="105"/>
          <w:sz w:val="13"/>
        </w:rPr>
        <w:t> </w:t>
      </w:r>
      <w:r>
        <w:rPr>
          <w:w w:val="105"/>
          <w:sz w:val="13"/>
        </w:rPr>
        <w:t>of</w:t>
      </w:r>
      <w:r>
        <w:rPr>
          <w:spacing w:val="5"/>
          <w:w w:val="105"/>
          <w:sz w:val="13"/>
        </w:rPr>
        <w:t> </w:t>
      </w:r>
      <w:r>
        <w:rPr>
          <w:w w:val="105"/>
          <w:sz w:val="13"/>
        </w:rPr>
        <w:t>Boroondara),</w:t>
      </w:r>
      <w:r>
        <w:rPr>
          <w:spacing w:val="6"/>
          <w:w w:val="105"/>
          <w:sz w:val="13"/>
        </w:rPr>
        <w:t> </w:t>
      </w:r>
      <w:r>
        <w:rPr>
          <w:w w:val="105"/>
          <w:sz w:val="13"/>
        </w:rPr>
        <w:t>9</w:t>
      </w:r>
      <w:r>
        <w:rPr>
          <w:spacing w:val="5"/>
          <w:w w:val="105"/>
          <w:sz w:val="13"/>
        </w:rPr>
        <w:t> </w:t>
      </w:r>
      <w:r>
        <w:rPr>
          <w:w w:val="105"/>
          <w:sz w:val="13"/>
        </w:rPr>
        <w:t>(Nillumbik</w:t>
      </w:r>
      <w:r>
        <w:rPr>
          <w:spacing w:val="5"/>
          <w:w w:val="105"/>
          <w:sz w:val="13"/>
        </w:rPr>
        <w:t> </w:t>
      </w:r>
      <w:r>
        <w:rPr>
          <w:w w:val="105"/>
          <w:sz w:val="13"/>
        </w:rPr>
        <w:t>Shire</w:t>
      </w:r>
      <w:r>
        <w:rPr>
          <w:spacing w:val="6"/>
          <w:w w:val="105"/>
          <w:sz w:val="13"/>
        </w:rPr>
        <w:t> </w:t>
      </w:r>
      <w:r>
        <w:rPr>
          <w:w w:val="105"/>
          <w:sz w:val="13"/>
        </w:rPr>
        <w:t>Council),</w:t>
      </w:r>
      <w:r>
        <w:rPr>
          <w:spacing w:val="5"/>
          <w:w w:val="105"/>
          <w:sz w:val="13"/>
        </w:rPr>
        <w:t> </w:t>
      </w:r>
      <w:r>
        <w:rPr>
          <w:w w:val="105"/>
          <w:sz w:val="13"/>
        </w:rPr>
        <w:t>10</w:t>
      </w:r>
      <w:r>
        <w:rPr>
          <w:spacing w:val="6"/>
          <w:w w:val="105"/>
          <w:sz w:val="13"/>
        </w:rPr>
        <w:t> </w:t>
      </w:r>
      <w:r>
        <w:rPr>
          <w:spacing w:val="2"/>
          <w:w w:val="105"/>
          <w:sz w:val="13"/>
        </w:rPr>
        <w:t>(Baw</w:t>
      </w:r>
      <w:r>
        <w:rPr>
          <w:spacing w:val="5"/>
          <w:w w:val="105"/>
          <w:sz w:val="13"/>
        </w:rPr>
        <w:t> </w:t>
      </w:r>
      <w:r>
        <w:rPr>
          <w:w w:val="105"/>
          <w:sz w:val="13"/>
        </w:rPr>
        <w:t>Baw</w:t>
      </w:r>
      <w:r>
        <w:rPr>
          <w:spacing w:val="5"/>
          <w:w w:val="105"/>
          <w:sz w:val="13"/>
        </w:rPr>
        <w:t> </w:t>
      </w:r>
      <w:r>
        <w:rPr>
          <w:w w:val="105"/>
          <w:sz w:val="13"/>
        </w:rPr>
        <w:t>Shire</w:t>
      </w:r>
      <w:r>
        <w:rPr>
          <w:spacing w:val="6"/>
          <w:w w:val="105"/>
          <w:sz w:val="13"/>
        </w:rPr>
        <w:t> </w:t>
      </w:r>
      <w:r>
        <w:rPr>
          <w:w w:val="105"/>
          <w:sz w:val="13"/>
        </w:rPr>
        <w:t>Council),</w:t>
      </w:r>
      <w:r>
        <w:rPr>
          <w:spacing w:val="5"/>
          <w:w w:val="105"/>
          <w:sz w:val="13"/>
        </w:rPr>
        <w:t> </w:t>
      </w:r>
      <w:r>
        <w:rPr>
          <w:spacing w:val="-4"/>
          <w:w w:val="105"/>
          <w:sz w:val="13"/>
        </w:rPr>
        <w:t>12</w:t>
      </w:r>
      <w:r>
        <w:rPr>
          <w:spacing w:val="6"/>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Port</w:t>
      </w:r>
      <w:r>
        <w:rPr>
          <w:spacing w:val="6"/>
          <w:w w:val="105"/>
          <w:sz w:val="13"/>
        </w:rPr>
        <w:t> </w:t>
      </w:r>
      <w:r>
        <w:rPr>
          <w:w w:val="105"/>
          <w:sz w:val="13"/>
        </w:rPr>
        <w:t>Phillip).</w:t>
      </w:r>
    </w:p>
    <w:p>
      <w:pPr>
        <w:pStyle w:val="ListParagraph"/>
        <w:numPr>
          <w:ilvl w:val="0"/>
          <w:numId w:val="193"/>
        </w:numPr>
        <w:tabs>
          <w:tab w:pos="1221" w:val="left" w:leader="none"/>
          <w:tab w:pos="1222" w:val="left" w:leader="none"/>
        </w:tabs>
        <w:spacing w:line="240" w:lineRule="auto" w:before="1" w:after="0"/>
        <w:ind w:left="1221" w:right="0" w:hanging="794"/>
        <w:jc w:val="left"/>
        <w:rPr>
          <w:sz w:val="13"/>
        </w:rPr>
      </w:pPr>
      <w:r>
        <w:rPr>
          <w:w w:val="105"/>
          <w:sz w:val="13"/>
        </w:rPr>
        <w:t>Consultation 9 (Nillumbik Shire</w:t>
      </w:r>
      <w:r>
        <w:rPr>
          <w:spacing w:val="18"/>
          <w:w w:val="105"/>
          <w:sz w:val="13"/>
        </w:rPr>
        <w:t> </w:t>
      </w:r>
      <w:r>
        <w:rPr>
          <w:w w:val="105"/>
          <w:sz w:val="13"/>
        </w:rPr>
        <w:t>Council).</w:t>
      </w:r>
    </w:p>
    <w:p>
      <w:pPr>
        <w:pStyle w:val="ListParagraph"/>
        <w:numPr>
          <w:ilvl w:val="0"/>
          <w:numId w:val="193"/>
        </w:numPr>
        <w:tabs>
          <w:tab w:pos="1221" w:val="left" w:leader="none"/>
          <w:tab w:pos="1222" w:val="left" w:leader="none"/>
        </w:tabs>
        <w:spacing w:line="240" w:lineRule="auto" w:before="1" w:after="0"/>
        <w:ind w:left="1221" w:right="0" w:hanging="794"/>
        <w:jc w:val="left"/>
        <w:rPr>
          <w:sz w:val="13"/>
        </w:rPr>
      </w:pPr>
      <w:r>
        <w:rPr>
          <w:w w:val="105"/>
          <w:sz w:val="13"/>
        </w:rPr>
        <w:t>Submission 10 (Professor Phillip</w:t>
      </w:r>
      <w:r>
        <w:rPr>
          <w:spacing w:val="18"/>
          <w:w w:val="105"/>
          <w:sz w:val="13"/>
        </w:rPr>
        <w:t> </w:t>
      </w:r>
      <w:r>
        <w:rPr>
          <w:w w:val="105"/>
          <w:sz w:val="13"/>
        </w:rPr>
        <w:t>Hamilton).</w:t>
      </w:r>
    </w:p>
    <w:p>
      <w:pPr>
        <w:pStyle w:val="ListParagraph"/>
        <w:numPr>
          <w:ilvl w:val="0"/>
          <w:numId w:val="193"/>
        </w:numPr>
        <w:tabs>
          <w:tab w:pos="1221" w:val="left" w:leader="none"/>
          <w:tab w:pos="1222" w:val="left" w:leader="none"/>
        </w:tabs>
        <w:spacing w:line="240" w:lineRule="auto" w:before="2" w:after="0"/>
        <w:ind w:left="1221" w:right="0" w:hanging="793"/>
        <w:jc w:val="left"/>
        <w:rPr>
          <w:sz w:val="13"/>
        </w:rPr>
      </w:pPr>
      <w:r>
        <w:rPr>
          <w:w w:val="105"/>
          <w:sz w:val="13"/>
        </w:rPr>
        <w:t>Submission 6 </w:t>
      </w:r>
      <w:r>
        <w:rPr>
          <w:spacing w:val="2"/>
          <w:w w:val="105"/>
          <w:sz w:val="13"/>
        </w:rPr>
        <w:t>(Name</w:t>
      </w:r>
      <w:r>
        <w:rPr>
          <w:spacing w:val="13"/>
          <w:w w:val="105"/>
          <w:sz w:val="13"/>
        </w:rPr>
        <w:t> </w:t>
      </w:r>
      <w:r>
        <w:rPr>
          <w:w w:val="105"/>
          <w:sz w:val="13"/>
        </w:rPr>
        <w:t>withheld).</w:t>
      </w:r>
    </w:p>
    <w:p>
      <w:pPr>
        <w:pStyle w:val="ListParagraph"/>
        <w:numPr>
          <w:ilvl w:val="0"/>
          <w:numId w:val="193"/>
        </w:numPr>
        <w:tabs>
          <w:tab w:pos="1221" w:val="left" w:leader="none"/>
          <w:tab w:pos="1222" w:val="left" w:leader="none"/>
        </w:tabs>
        <w:spacing w:line="240" w:lineRule="auto" w:before="1" w:after="0"/>
        <w:ind w:left="1221" w:right="0" w:hanging="793"/>
        <w:jc w:val="left"/>
        <w:rPr>
          <w:sz w:val="13"/>
        </w:rPr>
      </w:pPr>
      <w:r>
        <w:rPr>
          <w:sz w:val="13"/>
        </w:rPr>
        <w:t>Ibid.</w:t>
      </w:r>
    </w:p>
    <w:p>
      <w:pPr>
        <w:pStyle w:val="ListParagraph"/>
        <w:numPr>
          <w:ilvl w:val="0"/>
          <w:numId w:val="193"/>
        </w:numPr>
        <w:tabs>
          <w:tab w:pos="1221" w:val="left" w:leader="none"/>
          <w:tab w:pos="1222" w:val="left" w:leader="none"/>
        </w:tabs>
        <w:spacing w:line="240" w:lineRule="auto" w:before="1" w:after="0"/>
        <w:ind w:left="1221" w:right="0" w:hanging="793"/>
        <w:jc w:val="left"/>
        <w:rPr>
          <w:sz w:val="13"/>
        </w:rPr>
      </w:pPr>
      <w:r>
        <w:rPr>
          <w:w w:val="105"/>
          <w:sz w:val="13"/>
        </w:rPr>
        <w:t>Submission 2 </w:t>
      </w:r>
      <w:r>
        <w:rPr>
          <w:spacing w:val="2"/>
          <w:w w:val="105"/>
          <w:sz w:val="13"/>
        </w:rPr>
        <w:t>(Name</w:t>
      </w:r>
      <w:r>
        <w:rPr>
          <w:spacing w:val="13"/>
          <w:w w:val="105"/>
          <w:sz w:val="13"/>
        </w:rPr>
        <w:t> </w:t>
      </w:r>
      <w:r>
        <w:rPr>
          <w:w w:val="105"/>
          <w:sz w:val="13"/>
        </w:rPr>
        <w:t>withheld).</w:t>
      </w:r>
    </w:p>
    <w:p>
      <w:pPr>
        <w:pStyle w:val="ListParagraph"/>
        <w:numPr>
          <w:ilvl w:val="0"/>
          <w:numId w:val="193"/>
        </w:numPr>
        <w:tabs>
          <w:tab w:pos="1221" w:val="left" w:leader="none"/>
          <w:tab w:pos="1222" w:val="left" w:leader="none"/>
        </w:tabs>
        <w:spacing w:line="240" w:lineRule="auto" w:before="2" w:after="0"/>
        <w:ind w:left="1221" w:right="0" w:hanging="793"/>
        <w:jc w:val="left"/>
        <w:rPr>
          <w:sz w:val="13"/>
        </w:rPr>
      </w:pPr>
      <w:r>
        <w:rPr>
          <w:w w:val="105"/>
          <w:sz w:val="13"/>
        </w:rPr>
        <w:t>Submission 27 </w:t>
      </w:r>
      <w:r>
        <w:rPr>
          <w:spacing w:val="2"/>
          <w:w w:val="105"/>
          <w:sz w:val="13"/>
        </w:rPr>
        <w:t>(Name</w:t>
      </w:r>
      <w:r>
        <w:rPr>
          <w:spacing w:val="13"/>
          <w:w w:val="105"/>
          <w:sz w:val="13"/>
        </w:rPr>
        <w:t> </w:t>
      </w:r>
      <w:r>
        <w:rPr>
          <w:w w:val="105"/>
          <w:sz w:val="13"/>
        </w:rPr>
        <w:t>withheld).</w:t>
      </w:r>
    </w:p>
    <w:p>
      <w:pPr>
        <w:pStyle w:val="ListParagraph"/>
        <w:numPr>
          <w:ilvl w:val="0"/>
          <w:numId w:val="193"/>
        </w:numPr>
        <w:tabs>
          <w:tab w:pos="1221" w:val="left" w:leader="none"/>
          <w:tab w:pos="1222" w:val="left" w:leader="none"/>
        </w:tabs>
        <w:spacing w:line="240" w:lineRule="auto" w:before="1" w:after="0"/>
        <w:ind w:left="1221" w:right="0" w:hanging="793"/>
        <w:jc w:val="left"/>
        <w:rPr>
          <w:sz w:val="13"/>
        </w:rPr>
      </w:pPr>
      <w:r>
        <w:rPr>
          <w:w w:val="105"/>
          <w:sz w:val="13"/>
        </w:rPr>
        <w:t>Submission 10 (Professor Phillip</w:t>
      </w:r>
      <w:r>
        <w:rPr>
          <w:spacing w:val="18"/>
          <w:w w:val="105"/>
          <w:sz w:val="13"/>
        </w:rPr>
        <w:t> </w:t>
      </w:r>
      <w:r>
        <w:rPr>
          <w:w w:val="105"/>
          <w:sz w:val="13"/>
        </w:rPr>
        <w:t>Hamilton).</w:t>
      </w:r>
    </w:p>
    <w:p>
      <w:pPr>
        <w:pStyle w:val="ListParagraph"/>
        <w:numPr>
          <w:ilvl w:val="0"/>
          <w:numId w:val="193"/>
        </w:numPr>
        <w:tabs>
          <w:tab w:pos="1221" w:val="left" w:leader="none"/>
          <w:tab w:pos="1222" w:val="left" w:leader="none"/>
        </w:tabs>
        <w:spacing w:line="240" w:lineRule="auto" w:before="1" w:after="0"/>
        <w:ind w:left="1221" w:right="0" w:hanging="793"/>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193"/>
        </w:numPr>
        <w:tabs>
          <w:tab w:pos="1221" w:val="left" w:leader="none"/>
          <w:tab w:pos="1222" w:val="left" w:leader="none"/>
        </w:tabs>
        <w:spacing w:line="240" w:lineRule="auto" w:before="2" w:after="0"/>
        <w:ind w:left="1221" w:right="0" w:hanging="793"/>
        <w:jc w:val="left"/>
        <w:rPr>
          <w:sz w:val="13"/>
        </w:rPr>
      </w:pPr>
      <w:r>
        <w:rPr>
          <w:w w:val="105"/>
          <w:sz w:val="13"/>
        </w:rPr>
        <w:t>Consultation 4 (Participants in facilitated discussion at </w:t>
      </w:r>
      <w:r>
        <w:rPr>
          <w:spacing w:val="4"/>
          <w:w w:val="105"/>
          <w:sz w:val="13"/>
        </w:rPr>
        <w:t>VTIO</w:t>
      </w:r>
      <w:r>
        <w:rPr>
          <w:spacing w:val="38"/>
          <w:w w:val="105"/>
          <w:sz w:val="13"/>
        </w:rPr>
        <w:t> </w:t>
      </w:r>
      <w:r>
        <w:rPr>
          <w:w w:val="105"/>
          <w:sz w:val="13"/>
        </w:rPr>
        <w:t>ArborCamp2018).</w:t>
      </w:r>
    </w:p>
    <w:p>
      <w:pPr>
        <w:pStyle w:val="ListParagraph"/>
        <w:numPr>
          <w:ilvl w:val="0"/>
          <w:numId w:val="193"/>
        </w:numPr>
        <w:tabs>
          <w:tab w:pos="1221" w:val="left" w:leader="none"/>
          <w:tab w:pos="1222" w:val="left" w:leader="none"/>
        </w:tabs>
        <w:spacing w:line="240" w:lineRule="auto" w:before="1" w:after="0"/>
        <w:ind w:left="1221" w:right="2035" w:hanging="793"/>
        <w:jc w:val="left"/>
        <w:rPr>
          <w:sz w:val="13"/>
        </w:rPr>
      </w:pPr>
      <w:r>
        <w:rPr>
          <w:w w:val="105"/>
          <w:sz w:val="13"/>
        </w:rPr>
        <w:t>The Law Society (United </w:t>
      </w:r>
      <w:r>
        <w:rPr>
          <w:spacing w:val="2"/>
          <w:w w:val="105"/>
          <w:sz w:val="13"/>
        </w:rPr>
        <w:t>Kingdom), </w:t>
      </w:r>
      <w:r>
        <w:rPr>
          <w:i/>
          <w:spacing w:val="2"/>
          <w:w w:val="105"/>
          <w:sz w:val="13"/>
        </w:rPr>
        <w:t>Property </w:t>
      </w:r>
      <w:r>
        <w:rPr>
          <w:i/>
          <w:w w:val="105"/>
          <w:sz w:val="13"/>
        </w:rPr>
        <w:t>Information Form </w:t>
      </w:r>
      <w:r>
        <w:rPr>
          <w:i/>
          <w:spacing w:val="2"/>
          <w:w w:val="105"/>
          <w:sz w:val="13"/>
        </w:rPr>
        <w:t>(TA6)—Explanatory </w:t>
      </w:r>
      <w:r>
        <w:rPr>
          <w:i/>
          <w:w w:val="105"/>
          <w:sz w:val="13"/>
        </w:rPr>
        <w:t>Notes for Sellers and Buyers </w:t>
      </w:r>
      <w:r>
        <w:rPr>
          <w:w w:val="105"/>
          <w:sz w:val="13"/>
        </w:rPr>
        <w:t>(2013), 5, questions 2.1–2.2.</w:t>
      </w:r>
    </w:p>
    <w:p>
      <w:pPr>
        <w:pStyle w:val="ListParagraph"/>
        <w:numPr>
          <w:ilvl w:val="0"/>
          <w:numId w:val="193"/>
        </w:numPr>
        <w:tabs>
          <w:tab w:pos="1221" w:val="left" w:leader="none"/>
          <w:tab w:pos="1222" w:val="left" w:leader="none"/>
        </w:tabs>
        <w:spacing w:line="240" w:lineRule="auto" w:before="3" w:after="0"/>
        <w:ind w:left="1221" w:right="0" w:hanging="793"/>
        <w:jc w:val="left"/>
        <w:rPr>
          <w:sz w:val="13"/>
        </w:rPr>
      </w:pPr>
      <w:r>
        <w:rPr>
          <w:w w:val="105"/>
          <w:sz w:val="13"/>
        </w:rPr>
        <w:t>Ibid</w:t>
      </w:r>
      <w:r>
        <w:rPr>
          <w:spacing w:val="4"/>
          <w:w w:val="105"/>
          <w:sz w:val="13"/>
        </w:rPr>
        <w:t> </w:t>
      </w:r>
      <w:r>
        <w:rPr>
          <w:w w:val="105"/>
          <w:sz w:val="13"/>
        </w:rPr>
        <w:t>1;</w:t>
      </w:r>
      <w:r>
        <w:rPr>
          <w:spacing w:val="5"/>
          <w:w w:val="105"/>
          <w:sz w:val="13"/>
        </w:rPr>
        <w:t> </w:t>
      </w:r>
      <w:r>
        <w:rPr>
          <w:w w:val="105"/>
          <w:sz w:val="13"/>
        </w:rPr>
        <w:t>See,</w:t>
      </w:r>
      <w:r>
        <w:rPr>
          <w:spacing w:val="5"/>
          <w:w w:val="105"/>
          <w:sz w:val="13"/>
        </w:rPr>
        <w:t> </w:t>
      </w:r>
      <w:r>
        <w:rPr>
          <w:w w:val="105"/>
          <w:sz w:val="13"/>
        </w:rPr>
        <w:t>eg,</w:t>
      </w:r>
      <w:r>
        <w:rPr>
          <w:spacing w:val="5"/>
          <w:w w:val="105"/>
          <w:sz w:val="13"/>
        </w:rPr>
        <w:t> </w:t>
      </w:r>
      <w:r>
        <w:rPr>
          <w:i/>
          <w:w w:val="105"/>
          <w:sz w:val="13"/>
        </w:rPr>
        <w:t>McMeekin</w:t>
      </w:r>
      <w:r>
        <w:rPr>
          <w:i/>
          <w:spacing w:val="5"/>
          <w:w w:val="105"/>
          <w:sz w:val="13"/>
        </w:rPr>
        <w:t> </w:t>
      </w:r>
      <w:r>
        <w:rPr>
          <w:i/>
          <w:w w:val="105"/>
          <w:sz w:val="13"/>
        </w:rPr>
        <w:t>v</w:t>
      </w:r>
      <w:r>
        <w:rPr>
          <w:i/>
          <w:spacing w:val="5"/>
          <w:w w:val="105"/>
          <w:sz w:val="13"/>
        </w:rPr>
        <w:t> </w:t>
      </w:r>
      <w:r>
        <w:rPr>
          <w:i/>
          <w:w w:val="105"/>
          <w:sz w:val="13"/>
        </w:rPr>
        <w:t>Long</w:t>
      </w:r>
      <w:r>
        <w:rPr>
          <w:i/>
          <w:spacing w:val="5"/>
          <w:w w:val="105"/>
          <w:sz w:val="13"/>
        </w:rPr>
        <w:t> </w:t>
      </w:r>
      <w:r>
        <w:rPr>
          <w:w w:val="105"/>
          <w:sz w:val="13"/>
        </w:rPr>
        <w:t>[2003]</w:t>
      </w:r>
      <w:r>
        <w:rPr>
          <w:spacing w:val="5"/>
          <w:w w:val="105"/>
          <w:sz w:val="13"/>
        </w:rPr>
        <w:t> </w:t>
      </w:r>
      <w:r>
        <w:rPr>
          <w:w w:val="105"/>
          <w:sz w:val="13"/>
        </w:rPr>
        <w:t>All</w:t>
      </w:r>
      <w:r>
        <w:rPr>
          <w:spacing w:val="5"/>
          <w:w w:val="105"/>
          <w:sz w:val="13"/>
        </w:rPr>
        <w:t> </w:t>
      </w:r>
      <w:r>
        <w:rPr>
          <w:w w:val="105"/>
          <w:sz w:val="13"/>
        </w:rPr>
        <w:t>ER</w:t>
      </w:r>
      <w:r>
        <w:rPr>
          <w:spacing w:val="5"/>
          <w:w w:val="105"/>
          <w:sz w:val="13"/>
        </w:rPr>
        <w:t> </w:t>
      </w:r>
      <w:r>
        <w:rPr>
          <w:spacing w:val="4"/>
          <w:w w:val="105"/>
          <w:sz w:val="13"/>
        </w:rPr>
        <w:t>(D)</w:t>
      </w:r>
      <w:r>
        <w:rPr>
          <w:spacing w:val="5"/>
          <w:w w:val="105"/>
          <w:sz w:val="13"/>
        </w:rPr>
        <w:t> </w:t>
      </w:r>
      <w:r>
        <w:rPr>
          <w:spacing w:val="-3"/>
          <w:w w:val="105"/>
          <w:sz w:val="13"/>
        </w:rPr>
        <w:t>124</w:t>
      </w:r>
      <w:r>
        <w:rPr>
          <w:spacing w:val="5"/>
          <w:w w:val="105"/>
          <w:sz w:val="13"/>
        </w:rPr>
        <w:t> </w:t>
      </w:r>
      <w:r>
        <w:rPr>
          <w:w w:val="105"/>
          <w:sz w:val="13"/>
        </w:rPr>
        <w:t>(4</w:t>
      </w:r>
      <w:r>
        <w:rPr>
          <w:spacing w:val="5"/>
          <w:w w:val="105"/>
          <w:sz w:val="13"/>
        </w:rPr>
        <w:t> </w:t>
      </w:r>
      <w:r>
        <w:rPr>
          <w:w w:val="105"/>
          <w:sz w:val="13"/>
        </w:rPr>
        <w:t>October</w:t>
      </w:r>
      <w:r>
        <w:rPr>
          <w:spacing w:val="5"/>
          <w:w w:val="105"/>
          <w:sz w:val="13"/>
        </w:rPr>
        <w:t> </w:t>
      </w:r>
      <w:r>
        <w:rPr>
          <w:w w:val="105"/>
          <w:sz w:val="13"/>
        </w:rPr>
        <w:t>2002).</w:t>
      </w:r>
    </w:p>
    <w:p>
      <w:pPr>
        <w:spacing w:after="0" w:line="240" w:lineRule="auto"/>
        <w:jc w:val="left"/>
        <w:rPr>
          <w:sz w:val="13"/>
        </w:rPr>
        <w:sectPr>
          <w:type w:val="continuous"/>
          <w:pgSz w:w="11910" w:h="16840"/>
          <w:pgMar w:top="300" w:bottom="280" w:left="0" w:right="0"/>
          <w:cols w:num="2" w:equalWidth="0">
            <w:col w:w="1120" w:space="40"/>
            <w:col w:w="10750"/>
          </w:cols>
        </w:sectPr>
      </w:pPr>
    </w:p>
    <w:p>
      <w:pPr>
        <w:pStyle w:val="BodyText"/>
        <w:rPr>
          <w:sz w:val="20"/>
        </w:rPr>
      </w:pPr>
    </w:p>
    <w:p>
      <w:pPr>
        <w:pStyle w:val="BodyText"/>
        <w:spacing w:before="11"/>
        <w:rPr>
          <w:sz w:val="17"/>
        </w:rPr>
      </w:pPr>
    </w:p>
    <w:p>
      <w:pPr>
        <w:pStyle w:val="Heading5"/>
        <w:spacing w:before="96"/>
      </w:pPr>
      <w:r>
        <w:rPr>
          <w:w w:val="115"/>
        </w:rPr>
        <w:t>Joining new parties to proceedings</w:t>
      </w:r>
    </w:p>
    <w:p>
      <w:pPr>
        <w:pStyle w:val="ListParagraph"/>
        <w:numPr>
          <w:ilvl w:val="1"/>
          <w:numId w:val="16"/>
        </w:numPr>
        <w:tabs>
          <w:tab w:pos="2381" w:val="left" w:leader="none"/>
        </w:tabs>
        <w:spacing w:line="242" w:lineRule="auto" w:before="137" w:after="0"/>
        <w:ind w:left="2381" w:right="2155" w:hanging="794"/>
        <w:jc w:val="both"/>
        <w:rPr>
          <w:sz w:val="21"/>
        </w:rPr>
      </w:pPr>
      <w:r>
        <w:rPr>
          <w:w w:val="105"/>
          <w:sz w:val="21"/>
        </w:rPr>
        <w:t>The</w:t>
      </w:r>
      <w:r>
        <w:rPr>
          <w:spacing w:val="-9"/>
          <w:w w:val="105"/>
          <w:sz w:val="21"/>
        </w:rPr>
        <w:t> </w:t>
      </w:r>
      <w:r>
        <w:rPr>
          <w:w w:val="105"/>
          <w:sz w:val="21"/>
        </w:rPr>
        <w:t>majority</w:t>
      </w:r>
      <w:r>
        <w:rPr>
          <w:spacing w:val="-8"/>
          <w:w w:val="105"/>
          <w:sz w:val="21"/>
        </w:rPr>
        <w:t> </w:t>
      </w:r>
      <w:r>
        <w:rPr>
          <w:w w:val="105"/>
          <w:sz w:val="21"/>
        </w:rPr>
        <w:t>of</w:t>
      </w:r>
      <w:r>
        <w:rPr>
          <w:spacing w:val="-9"/>
          <w:w w:val="105"/>
          <w:sz w:val="21"/>
        </w:rPr>
        <w:t> </w:t>
      </w:r>
      <w:r>
        <w:rPr>
          <w:w w:val="105"/>
          <w:sz w:val="21"/>
        </w:rPr>
        <w:t>community</w:t>
      </w:r>
      <w:r>
        <w:rPr>
          <w:spacing w:val="-8"/>
          <w:w w:val="105"/>
          <w:sz w:val="21"/>
        </w:rPr>
        <w:t> </w:t>
      </w:r>
      <w:r>
        <w:rPr>
          <w:w w:val="105"/>
          <w:sz w:val="21"/>
        </w:rPr>
        <w:t>responses</w:t>
      </w:r>
      <w:r>
        <w:rPr>
          <w:spacing w:val="-9"/>
          <w:w w:val="105"/>
          <w:sz w:val="21"/>
        </w:rPr>
        <w:t> </w:t>
      </w:r>
      <w:r>
        <w:rPr>
          <w:w w:val="105"/>
          <w:sz w:val="21"/>
        </w:rPr>
        <w:t>supported</w:t>
      </w:r>
      <w:r>
        <w:rPr>
          <w:spacing w:val="-8"/>
          <w:w w:val="105"/>
          <w:sz w:val="21"/>
        </w:rPr>
        <w:t> </w:t>
      </w:r>
      <w:r>
        <w:rPr>
          <w:w w:val="105"/>
          <w:sz w:val="21"/>
        </w:rPr>
        <w:t>the</w:t>
      </w:r>
      <w:r>
        <w:rPr>
          <w:spacing w:val="-9"/>
          <w:w w:val="105"/>
          <w:sz w:val="21"/>
        </w:rPr>
        <w:t> </w:t>
      </w:r>
      <w:r>
        <w:rPr>
          <w:w w:val="105"/>
          <w:sz w:val="21"/>
        </w:rPr>
        <w:t>idea</w:t>
      </w:r>
      <w:r>
        <w:rPr>
          <w:spacing w:val="-8"/>
          <w:w w:val="105"/>
          <w:sz w:val="21"/>
        </w:rPr>
        <w:t> </w:t>
      </w:r>
      <w:r>
        <w:rPr>
          <w:w w:val="105"/>
          <w:sz w:val="21"/>
        </w:rPr>
        <w:t>of</w:t>
      </w:r>
      <w:r>
        <w:rPr>
          <w:spacing w:val="-8"/>
          <w:w w:val="105"/>
          <w:sz w:val="21"/>
        </w:rPr>
        <w:t> </w:t>
      </w:r>
      <w:r>
        <w:rPr>
          <w:spacing w:val="-3"/>
          <w:w w:val="105"/>
          <w:sz w:val="21"/>
        </w:rPr>
        <w:t>joining</w:t>
      </w:r>
      <w:r>
        <w:rPr>
          <w:spacing w:val="-9"/>
          <w:w w:val="105"/>
          <w:sz w:val="21"/>
        </w:rPr>
        <w:t> </w:t>
      </w:r>
      <w:r>
        <w:rPr>
          <w:w w:val="105"/>
          <w:sz w:val="21"/>
        </w:rPr>
        <w:t>new</w:t>
      </w:r>
      <w:r>
        <w:rPr>
          <w:spacing w:val="-8"/>
          <w:w w:val="105"/>
          <w:sz w:val="21"/>
        </w:rPr>
        <w:t> </w:t>
      </w:r>
      <w:r>
        <w:rPr>
          <w:w w:val="105"/>
          <w:sz w:val="21"/>
        </w:rPr>
        <w:t>owners</w:t>
      </w:r>
      <w:r>
        <w:rPr>
          <w:spacing w:val="-9"/>
          <w:w w:val="105"/>
          <w:sz w:val="21"/>
        </w:rPr>
        <w:t> </w:t>
      </w:r>
      <w:r>
        <w:rPr>
          <w:spacing w:val="-3"/>
          <w:w w:val="105"/>
          <w:sz w:val="21"/>
        </w:rPr>
        <w:t>to </w:t>
      </w:r>
      <w:r>
        <w:rPr>
          <w:w w:val="105"/>
          <w:sz w:val="21"/>
        </w:rPr>
        <w:t>existing </w:t>
      </w:r>
      <w:r>
        <w:rPr>
          <w:spacing w:val="-3"/>
          <w:w w:val="105"/>
          <w:sz w:val="21"/>
        </w:rPr>
        <w:t>proceedings </w:t>
      </w:r>
      <w:r>
        <w:rPr>
          <w:w w:val="105"/>
          <w:sz w:val="21"/>
        </w:rPr>
        <w:t>in </w:t>
      </w:r>
      <w:r>
        <w:rPr>
          <w:spacing w:val="-8"/>
          <w:w w:val="105"/>
          <w:sz w:val="21"/>
        </w:rPr>
        <w:t>VCAT. </w:t>
      </w:r>
      <w:r>
        <w:rPr>
          <w:w w:val="105"/>
          <w:sz w:val="21"/>
        </w:rPr>
        <w:t>The </w:t>
      </w:r>
      <w:r>
        <w:rPr>
          <w:spacing w:val="-3"/>
          <w:w w:val="105"/>
          <w:sz w:val="21"/>
        </w:rPr>
        <w:t>Commission </w:t>
      </w:r>
      <w:r>
        <w:rPr>
          <w:w w:val="105"/>
          <w:sz w:val="21"/>
        </w:rPr>
        <w:t>was told </w:t>
      </w:r>
      <w:r>
        <w:rPr>
          <w:spacing w:val="-3"/>
          <w:w w:val="105"/>
          <w:sz w:val="21"/>
        </w:rPr>
        <w:t>that </w:t>
      </w:r>
      <w:r>
        <w:rPr>
          <w:w w:val="105"/>
          <w:sz w:val="21"/>
        </w:rPr>
        <w:t>the possibility of being joined as a party should be stated in the contract of</w:t>
      </w:r>
      <w:r>
        <w:rPr>
          <w:spacing w:val="30"/>
          <w:w w:val="105"/>
          <w:sz w:val="21"/>
        </w:rPr>
        <w:t> </w:t>
      </w:r>
      <w:r>
        <w:rPr>
          <w:w w:val="105"/>
          <w:sz w:val="21"/>
        </w:rPr>
        <w:t>sale.</w:t>
      </w:r>
      <w:r>
        <w:rPr>
          <w:w w:val="105"/>
          <w:position w:val="7"/>
          <w:sz w:val="12"/>
        </w:rPr>
        <w:t>80</w:t>
      </w:r>
    </w:p>
    <w:p>
      <w:pPr>
        <w:pStyle w:val="ListParagraph"/>
        <w:numPr>
          <w:ilvl w:val="1"/>
          <w:numId w:val="16"/>
        </w:numPr>
        <w:tabs>
          <w:tab w:pos="2380" w:val="left" w:leader="none"/>
          <w:tab w:pos="2382" w:val="left" w:leader="none"/>
        </w:tabs>
        <w:spacing w:line="242" w:lineRule="auto" w:before="123" w:after="0"/>
        <w:ind w:left="2381" w:right="1689" w:hanging="794"/>
        <w:jc w:val="left"/>
        <w:rPr>
          <w:sz w:val="21"/>
        </w:rPr>
      </w:pPr>
      <w:r>
        <w:rPr>
          <w:spacing w:val="-6"/>
          <w:w w:val="105"/>
          <w:sz w:val="21"/>
        </w:rPr>
        <w:t>Two</w:t>
      </w:r>
      <w:r>
        <w:rPr>
          <w:spacing w:val="-7"/>
          <w:w w:val="105"/>
          <w:sz w:val="21"/>
        </w:rPr>
        <w:t> </w:t>
      </w:r>
      <w:r>
        <w:rPr>
          <w:w w:val="105"/>
          <w:sz w:val="21"/>
        </w:rPr>
        <w:t>people</w:t>
      </w:r>
      <w:r>
        <w:rPr>
          <w:spacing w:val="-7"/>
          <w:w w:val="105"/>
          <w:sz w:val="21"/>
        </w:rPr>
        <w:t> </w:t>
      </w:r>
      <w:r>
        <w:rPr>
          <w:w w:val="105"/>
          <w:sz w:val="21"/>
        </w:rPr>
        <w:t>stated</w:t>
      </w:r>
      <w:r>
        <w:rPr>
          <w:spacing w:val="-6"/>
          <w:w w:val="105"/>
          <w:sz w:val="21"/>
        </w:rPr>
        <w:t> </w:t>
      </w:r>
      <w:r>
        <w:rPr>
          <w:spacing w:val="-3"/>
          <w:w w:val="105"/>
          <w:sz w:val="21"/>
        </w:rPr>
        <w:t>that</w:t>
      </w:r>
      <w:r>
        <w:rPr>
          <w:spacing w:val="-7"/>
          <w:w w:val="105"/>
          <w:sz w:val="21"/>
        </w:rPr>
        <w:t> </w:t>
      </w:r>
      <w:r>
        <w:rPr>
          <w:spacing w:val="-3"/>
          <w:w w:val="105"/>
          <w:sz w:val="21"/>
        </w:rPr>
        <w:t>purchasers</w:t>
      </w:r>
      <w:r>
        <w:rPr>
          <w:spacing w:val="-6"/>
          <w:w w:val="105"/>
          <w:sz w:val="21"/>
        </w:rPr>
        <w:t> </w:t>
      </w:r>
      <w:r>
        <w:rPr>
          <w:w w:val="105"/>
          <w:sz w:val="21"/>
        </w:rPr>
        <w:t>should</w:t>
      </w:r>
      <w:r>
        <w:rPr>
          <w:spacing w:val="-7"/>
          <w:w w:val="105"/>
          <w:sz w:val="21"/>
        </w:rPr>
        <w:t> </w:t>
      </w:r>
      <w:r>
        <w:rPr>
          <w:w w:val="105"/>
          <w:sz w:val="21"/>
        </w:rPr>
        <w:t>be</w:t>
      </w:r>
      <w:r>
        <w:rPr>
          <w:spacing w:val="-7"/>
          <w:w w:val="105"/>
          <w:sz w:val="21"/>
        </w:rPr>
        <w:t> </w:t>
      </w:r>
      <w:r>
        <w:rPr>
          <w:w w:val="105"/>
          <w:sz w:val="21"/>
        </w:rPr>
        <w:t>joined</w:t>
      </w:r>
      <w:r>
        <w:rPr>
          <w:spacing w:val="-6"/>
          <w:w w:val="105"/>
          <w:sz w:val="21"/>
        </w:rPr>
        <w:t> </w:t>
      </w:r>
      <w:r>
        <w:rPr>
          <w:w w:val="105"/>
          <w:sz w:val="21"/>
        </w:rPr>
        <w:t>as</w:t>
      </w:r>
      <w:r>
        <w:rPr>
          <w:spacing w:val="-7"/>
          <w:w w:val="105"/>
          <w:sz w:val="21"/>
        </w:rPr>
        <w:t> </w:t>
      </w:r>
      <w:r>
        <w:rPr>
          <w:w w:val="105"/>
          <w:sz w:val="21"/>
        </w:rPr>
        <w:t>a</w:t>
      </w:r>
      <w:r>
        <w:rPr>
          <w:spacing w:val="-6"/>
          <w:w w:val="105"/>
          <w:sz w:val="21"/>
        </w:rPr>
        <w:t> </w:t>
      </w:r>
      <w:r>
        <w:rPr>
          <w:w w:val="105"/>
          <w:sz w:val="21"/>
        </w:rPr>
        <w:t>party</w:t>
      </w:r>
      <w:r>
        <w:rPr>
          <w:spacing w:val="-7"/>
          <w:w w:val="105"/>
          <w:sz w:val="21"/>
        </w:rPr>
        <w:t> </w:t>
      </w:r>
      <w:r>
        <w:rPr>
          <w:w w:val="105"/>
          <w:sz w:val="21"/>
        </w:rPr>
        <w:t>at</w:t>
      </w:r>
      <w:r>
        <w:rPr>
          <w:spacing w:val="-6"/>
          <w:w w:val="105"/>
          <w:sz w:val="21"/>
        </w:rPr>
        <w:t> </w:t>
      </w:r>
      <w:r>
        <w:rPr>
          <w:w w:val="105"/>
          <w:sz w:val="21"/>
        </w:rPr>
        <w:t>the</w:t>
      </w:r>
      <w:r>
        <w:rPr>
          <w:spacing w:val="-7"/>
          <w:w w:val="105"/>
          <w:sz w:val="21"/>
        </w:rPr>
        <w:t> </w:t>
      </w:r>
      <w:r>
        <w:rPr>
          <w:w w:val="105"/>
          <w:sz w:val="21"/>
        </w:rPr>
        <w:t>time</w:t>
      </w:r>
      <w:r>
        <w:rPr>
          <w:spacing w:val="-7"/>
          <w:w w:val="105"/>
          <w:sz w:val="21"/>
        </w:rPr>
        <w:t> </w:t>
      </w:r>
      <w:r>
        <w:rPr>
          <w:w w:val="105"/>
          <w:sz w:val="21"/>
        </w:rPr>
        <w:t>they</w:t>
      </w:r>
      <w:r>
        <w:rPr>
          <w:spacing w:val="-6"/>
          <w:w w:val="105"/>
          <w:sz w:val="21"/>
        </w:rPr>
        <w:t> </w:t>
      </w:r>
      <w:r>
        <w:rPr>
          <w:spacing w:val="-3"/>
          <w:w w:val="105"/>
          <w:sz w:val="21"/>
        </w:rPr>
        <w:t>enter</w:t>
      </w:r>
      <w:r>
        <w:rPr>
          <w:spacing w:val="-7"/>
          <w:w w:val="105"/>
          <w:sz w:val="21"/>
        </w:rPr>
        <w:t> </w:t>
      </w:r>
      <w:r>
        <w:rPr>
          <w:spacing w:val="-4"/>
          <w:w w:val="105"/>
          <w:sz w:val="21"/>
        </w:rPr>
        <w:t>into </w:t>
      </w:r>
      <w:r>
        <w:rPr>
          <w:w w:val="105"/>
          <w:sz w:val="21"/>
        </w:rPr>
        <w:t>a contract of </w:t>
      </w:r>
      <w:r>
        <w:rPr>
          <w:spacing w:val="-3"/>
          <w:w w:val="105"/>
          <w:sz w:val="21"/>
        </w:rPr>
        <w:t>sale.</w:t>
      </w:r>
      <w:r>
        <w:rPr>
          <w:spacing w:val="-3"/>
          <w:w w:val="105"/>
          <w:position w:val="7"/>
          <w:sz w:val="12"/>
        </w:rPr>
        <w:t>81 </w:t>
      </w:r>
      <w:r>
        <w:rPr>
          <w:w w:val="105"/>
          <w:sz w:val="21"/>
        </w:rPr>
        <w:t>Another suggested </w:t>
      </w:r>
      <w:r>
        <w:rPr>
          <w:spacing w:val="-3"/>
          <w:w w:val="105"/>
          <w:sz w:val="21"/>
        </w:rPr>
        <w:t>that </w:t>
      </w:r>
      <w:r>
        <w:rPr>
          <w:w w:val="105"/>
          <w:sz w:val="21"/>
        </w:rPr>
        <w:t>the </w:t>
      </w:r>
      <w:r>
        <w:rPr>
          <w:spacing w:val="-3"/>
          <w:w w:val="105"/>
          <w:sz w:val="21"/>
        </w:rPr>
        <w:t>purchaser </w:t>
      </w:r>
      <w:r>
        <w:rPr>
          <w:w w:val="105"/>
          <w:sz w:val="21"/>
        </w:rPr>
        <w:t>should be joined when they </w:t>
      </w:r>
      <w:r>
        <w:rPr>
          <w:spacing w:val="-3"/>
          <w:w w:val="105"/>
          <w:sz w:val="21"/>
        </w:rPr>
        <w:t>take </w:t>
      </w:r>
      <w:r>
        <w:rPr>
          <w:w w:val="105"/>
          <w:sz w:val="21"/>
        </w:rPr>
        <w:t>possession of the</w:t>
      </w:r>
      <w:r>
        <w:rPr>
          <w:spacing w:val="22"/>
          <w:w w:val="105"/>
          <w:sz w:val="21"/>
        </w:rPr>
        <w:t> </w:t>
      </w:r>
      <w:r>
        <w:rPr>
          <w:w w:val="105"/>
          <w:sz w:val="21"/>
        </w:rPr>
        <w:t>property.</w:t>
      </w:r>
      <w:r>
        <w:rPr>
          <w:w w:val="105"/>
          <w:position w:val="7"/>
          <w:sz w:val="12"/>
        </w:rPr>
        <w:t>82</w:t>
      </w:r>
    </w:p>
    <w:p>
      <w:pPr>
        <w:pStyle w:val="ListParagraph"/>
        <w:numPr>
          <w:ilvl w:val="1"/>
          <w:numId w:val="16"/>
        </w:numPr>
        <w:tabs>
          <w:tab w:pos="2381" w:val="left" w:leader="none"/>
          <w:tab w:pos="2382" w:val="left" w:leader="none"/>
        </w:tabs>
        <w:spacing w:line="242" w:lineRule="auto" w:before="123" w:after="0"/>
        <w:ind w:left="2381" w:right="1784" w:hanging="794"/>
        <w:jc w:val="left"/>
        <w:rPr>
          <w:sz w:val="21"/>
        </w:rPr>
      </w:pPr>
      <w:r>
        <w:rPr>
          <w:w w:val="105"/>
          <w:sz w:val="21"/>
        </w:rPr>
        <w:t>A</w:t>
      </w:r>
      <w:r>
        <w:rPr>
          <w:spacing w:val="-9"/>
          <w:w w:val="105"/>
          <w:sz w:val="21"/>
        </w:rPr>
        <w:t> </w:t>
      </w:r>
      <w:r>
        <w:rPr>
          <w:spacing w:val="-3"/>
          <w:w w:val="105"/>
          <w:sz w:val="21"/>
        </w:rPr>
        <w:t>smaller</w:t>
      </w:r>
      <w:r>
        <w:rPr>
          <w:spacing w:val="-8"/>
          <w:w w:val="105"/>
          <w:sz w:val="21"/>
        </w:rPr>
        <w:t> </w:t>
      </w:r>
      <w:r>
        <w:rPr>
          <w:w w:val="105"/>
          <w:sz w:val="21"/>
        </w:rPr>
        <w:t>number</w:t>
      </w:r>
      <w:r>
        <w:rPr>
          <w:spacing w:val="-9"/>
          <w:w w:val="105"/>
          <w:sz w:val="21"/>
        </w:rPr>
        <w:t> </w:t>
      </w:r>
      <w:r>
        <w:rPr>
          <w:w w:val="105"/>
          <w:sz w:val="21"/>
        </w:rPr>
        <w:t>stated</w:t>
      </w:r>
      <w:r>
        <w:rPr>
          <w:spacing w:val="-8"/>
          <w:w w:val="105"/>
          <w:sz w:val="21"/>
        </w:rPr>
        <w:t> </w:t>
      </w:r>
      <w:r>
        <w:rPr>
          <w:spacing w:val="-3"/>
          <w:w w:val="105"/>
          <w:sz w:val="21"/>
        </w:rPr>
        <w:t>that</w:t>
      </w:r>
      <w:r>
        <w:rPr>
          <w:spacing w:val="-8"/>
          <w:w w:val="105"/>
          <w:sz w:val="21"/>
        </w:rPr>
        <w:t> </w:t>
      </w:r>
      <w:r>
        <w:rPr>
          <w:spacing w:val="-3"/>
          <w:w w:val="105"/>
          <w:sz w:val="21"/>
        </w:rPr>
        <w:t>purchasers</w:t>
      </w:r>
      <w:r>
        <w:rPr>
          <w:spacing w:val="-9"/>
          <w:w w:val="105"/>
          <w:sz w:val="21"/>
        </w:rPr>
        <w:t> </w:t>
      </w:r>
      <w:r>
        <w:rPr>
          <w:w w:val="105"/>
          <w:sz w:val="21"/>
        </w:rPr>
        <w:t>should</w:t>
      </w:r>
      <w:r>
        <w:rPr>
          <w:spacing w:val="-8"/>
          <w:w w:val="105"/>
          <w:sz w:val="21"/>
        </w:rPr>
        <w:t> </w:t>
      </w:r>
      <w:r>
        <w:rPr>
          <w:spacing w:val="-2"/>
          <w:w w:val="105"/>
          <w:sz w:val="21"/>
        </w:rPr>
        <w:t>not</w:t>
      </w:r>
      <w:r>
        <w:rPr>
          <w:spacing w:val="-9"/>
          <w:w w:val="105"/>
          <w:sz w:val="21"/>
        </w:rPr>
        <w:t> </w:t>
      </w:r>
      <w:r>
        <w:rPr>
          <w:w w:val="105"/>
          <w:sz w:val="21"/>
        </w:rPr>
        <w:t>be</w:t>
      </w:r>
      <w:r>
        <w:rPr>
          <w:spacing w:val="-8"/>
          <w:w w:val="105"/>
          <w:sz w:val="21"/>
        </w:rPr>
        <w:t> </w:t>
      </w:r>
      <w:r>
        <w:rPr>
          <w:w w:val="105"/>
          <w:sz w:val="21"/>
        </w:rPr>
        <w:t>joined</w:t>
      </w:r>
      <w:r>
        <w:rPr>
          <w:spacing w:val="-8"/>
          <w:w w:val="105"/>
          <w:sz w:val="21"/>
        </w:rPr>
        <w:t> </w:t>
      </w:r>
      <w:r>
        <w:rPr>
          <w:spacing w:val="-3"/>
          <w:w w:val="105"/>
          <w:sz w:val="21"/>
        </w:rPr>
        <w:t>to</w:t>
      </w:r>
      <w:r>
        <w:rPr>
          <w:spacing w:val="-9"/>
          <w:w w:val="105"/>
          <w:sz w:val="21"/>
        </w:rPr>
        <w:t> </w:t>
      </w:r>
      <w:r>
        <w:rPr>
          <w:w w:val="105"/>
          <w:sz w:val="21"/>
        </w:rPr>
        <w:t>pre-existing</w:t>
      </w:r>
      <w:r>
        <w:rPr>
          <w:spacing w:val="-8"/>
          <w:w w:val="105"/>
          <w:sz w:val="21"/>
        </w:rPr>
        <w:t> </w:t>
      </w:r>
      <w:r>
        <w:rPr>
          <w:w w:val="105"/>
          <w:sz w:val="21"/>
        </w:rPr>
        <w:t>disputes.</w:t>
      </w:r>
      <w:r>
        <w:rPr>
          <w:w w:val="105"/>
          <w:position w:val="7"/>
          <w:sz w:val="12"/>
        </w:rPr>
        <w:t>83</w:t>
      </w:r>
      <w:r>
        <w:rPr>
          <w:w w:val="105"/>
          <w:sz w:val="12"/>
        </w:rPr>
        <w:t> </w:t>
      </w:r>
      <w:r>
        <w:rPr>
          <w:w w:val="105"/>
          <w:sz w:val="21"/>
        </w:rPr>
        <w:t>One </w:t>
      </w:r>
      <w:r>
        <w:rPr>
          <w:spacing w:val="-3"/>
          <w:w w:val="105"/>
          <w:sz w:val="21"/>
        </w:rPr>
        <w:t>alternative </w:t>
      </w:r>
      <w:r>
        <w:rPr>
          <w:w w:val="105"/>
          <w:sz w:val="21"/>
        </w:rPr>
        <w:t>was </w:t>
      </w:r>
      <w:r>
        <w:rPr>
          <w:spacing w:val="-3"/>
          <w:w w:val="105"/>
          <w:sz w:val="21"/>
        </w:rPr>
        <w:t>that </w:t>
      </w:r>
      <w:r>
        <w:rPr>
          <w:w w:val="105"/>
          <w:sz w:val="21"/>
        </w:rPr>
        <w:t>new tree owners </w:t>
      </w:r>
      <w:r>
        <w:rPr>
          <w:spacing w:val="-3"/>
          <w:w w:val="105"/>
          <w:sz w:val="21"/>
        </w:rPr>
        <w:t>sign </w:t>
      </w:r>
      <w:r>
        <w:rPr>
          <w:w w:val="105"/>
          <w:sz w:val="21"/>
        </w:rPr>
        <w:t>an undertaking at sale and set aside a portion of the sale price </w:t>
      </w:r>
      <w:r>
        <w:rPr>
          <w:spacing w:val="-3"/>
          <w:w w:val="105"/>
          <w:sz w:val="21"/>
        </w:rPr>
        <w:t>to </w:t>
      </w:r>
      <w:r>
        <w:rPr>
          <w:w w:val="105"/>
          <w:sz w:val="21"/>
        </w:rPr>
        <w:t>be held on trust </w:t>
      </w:r>
      <w:r>
        <w:rPr>
          <w:spacing w:val="-3"/>
          <w:w w:val="105"/>
          <w:sz w:val="21"/>
        </w:rPr>
        <w:t>to complete </w:t>
      </w:r>
      <w:r>
        <w:rPr>
          <w:w w:val="105"/>
          <w:sz w:val="21"/>
        </w:rPr>
        <w:t>works in the</w:t>
      </w:r>
      <w:r>
        <w:rPr>
          <w:spacing w:val="14"/>
          <w:w w:val="105"/>
          <w:sz w:val="21"/>
        </w:rPr>
        <w:t> </w:t>
      </w:r>
      <w:r>
        <w:rPr>
          <w:w w:val="105"/>
          <w:sz w:val="21"/>
        </w:rPr>
        <w:t>order:</w:t>
      </w:r>
    </w:p>
    <w:p>
      <w:pPr>
        <w:spacing w:line="254" w:lineRule="auto" w:before="133"/>
        <w:ind w:left="2834" w:right="2032" w:firstLine="0"/>
        <w:jc w:val="left"/>
        <w:rPr>
          <w:sz w:val="11"/>
        </w:rPr>
      </w:pPr>
      <w:r>
        <w:rPr>
          <w:sz w:val="20"/>
        </w:rPr>
        <w:t>the new owners should sign a declaration that they will accept the result of </w:t>
      </w:r>
      <w:r>
        <w:rPr>
          <w:spacing w:val="-2"/>
          <w:sz w:val="20"/>
        </w:rPr>
        <w:t>any </w:t>
      </w:r>
      <w:r>
        <w:rPr>
          <w:sz w:val="20"/>
        </w:rPr>
        <w:t>action </w:t>
      </w:r>
      <w:r>
        <w:rPr>
          <w:spacing w:val="-3"/>
          <w:sz w:val="20"/>
        </w:rPr>
        <w:t>currently </w:t>
      </w:r>
      <w:r>
        <w:rPr>
          <w:sz w:val="20"/>
        </w:rPr>
        <w:t>underway and, that if the action was to be </w:t>
      </w:r>
      <w:r>
        <w:rPr>
          <w:spacing w:val="-3"/>
          <w:sz w:val="20"/>
        </w:rPr>
        <w:t>found </w:t>
      </w:r>
      <w:r>
        <w:rPr>
          <w:sz w:val="20"/>
        </w:rPr>
        <w:t>against the  </w:t>
      </w:r>
      <w:r>
        <w:rPr>
          <w:spacing w:val="-4"/>
          <w:sz w:val="20"/>
        </w:rPr>
        <w:t>vendor,  </w:t>
      </w:r>
      <w:r>
        <w:rPr>
          <w:sz w:val="20"/>
        </w:rPr>
        <w:t>the vendor would pay all costs. The vendor should also sign such an agreement and a reasonable portion of the sale fee should be held in trust to complete works, should    </w:t>
      </w:r>
      <w:r>
        <w:rPr>
          <w:spacing w:val="-2"/>
          <w:sz w:val="20"/>
        </w:rPr>
        <w:t>any </w:t>
      </w:r>
      <w:r>
        <w:rPr>
          <w:sz w:val="20"/>
        </w:rPr>
        <w:t>be </w:t>
      </w:r>
      <w:r>
        <w:rPr>
          <w:spacing w:val="-2"/>
          <w:sz w:val="20"/>
        </w:rPr>
        <w:t>required </w:t>
      </w:r>
      <w:r>
        <w:rPr>
          <w:sz w:val="20"/>
        </w:rPr>
        <w:t>by an </w:t>
      </w:r>
      <w:r>
        <w:rPr>
          <w:spacing w:val="-4"/>
          <w:sz w:val="20"/>
        </w:rPr>
        <w:t>order. </w:t>
      </w:r>
      <w:r>
        <w:rPr>
          <w:sz w:val="20"/>
        </w:rPr>
        <w:t>The party bringing the action should be liable for </w:t>
      </w:r>
      <w:r>
        <w:rPr>
          <w:spacing w:val="-2"/>
          <w:sz w:val="20"/>
        </w:rPr>
        <w:t>any </w:t>
      </w:r>
      <w:r>
        <w:rPr>
          <w:sz w:val="20"/>
        </w:rPr>
        <w:t>loss caused</w:t>
      </w:r>
      <w:r>
        <w:rPr>
          <w:spacing w:val="13"/>
          <w:sz w:val="20"/>
        </w:rPr>
        <w:t> </w:t>
      </w:r>
      <w:r>
        <w:rPr>
          <w:sz w:val="20"/>
        </w:rPr>
        <w:t>by</w:t>
      </w:r>
      <w:r>
        <w:rPr>
          <w:spacing w:val="14"/>
          <w:sz w:val="20"/>
        </w:rPr>
        <w:t> </w:t>
      </w:r>
      <w:r>
        <w:rPr>
          <w:sz w:val="20"/>
        </w:rPr>
        <w:t>a</w:t>
      </w:r>
      <w:r>
        <w:rPr>
          <w:spacing w:val="14"/>
          <w:sz w:val="20"/>
        </w:rPr>
        <w:t> </w:t>
      </w:r>
      <w:r>
        <w:rPr>
          <w:sz w:val="20"/>
        </w:rPr>
        <w:t>portion</w:t>
      </w:r>
      <w:r>
        <w:rPr>
          <w:spacing w:val="14"/>
          <w:sz w:val="20"/>
        </w:rPr>
        <w:t> </w:t>
      </w:r>
      <w:r>
        <w:rPr>
          <w:sz w:val="20"/>
        </w:rPr>
        <w:t>of</w:t>
      </w:r>
      <w:r>
        <w:rPr>
          <w:spacing w:val="14"/>
          <w:sz w:val="20"/>
        </w:rPr>
        <w:t> </w:t>
      </w:r>
      <w:r>
        <w:rPr>
          <w:sz w:val="20"/>
        </w:rPr>
        <w:t>the</w:t>
      </w:r>
      <w:r>
        <w:rPr>
          <w:spacing w:val="14"/>
          <w:sz w:val="20"/>
        </w:rPr>
        <w:t> </w:t>
      </w:r>
      <w:r>
        <w:rPr>
          <w:sz w:val="20"/>
        </w:rPr>
        <w:t>sale</w:t>
      </w:r>
      <w:r>
        <w:rPr>
          <w:spacing w:val="14"/>
          <w:sz w:val="20"/>
        </w:rPr>
        <w:t> </w:t>
      </w:r>
      <w:r>
        <w:rPr>
          <w:sz w:val="20"/>
        </w:rPr>
        <w:t>fee</w:t>
      </w:r>
      <w:r>
        <w:rPr>
          <w:spacing w:val="14"/>
          <w:sz w:val="20"/>
        </w:rPr>
        <w:t> </w:t>
      </w:r>
      <w:r>
        <w:rPr>
          <w:sz w:val="20"/>
        </w:rPr>
        <w:t>being</w:t>
      </w:r>
      <w:r>
        <w:rPr>
          <w:spacing w:val="13"/>
          <w:sz w:val="20"/>
        </w:rPr>
        <w:t> </w:t>
      </w:r>
      <w:r>
        <w:rPr>
          <w:sz w:val="20"/>
        </w:rPr>
        <w:t>held</w:t>
      </w:r>
      <w:r>
        <w:rPr>
          <w:spacing w:val="14"/>
          <w:sz w:val="20"/>
        </w:rPr>
        <w:t> </w:t>
      </w:r>
      <w:r>
        <w:rPr>
          <w:sz w:val="20"/>
        </w:rPr>
        <w:t>in</w:t>
      </w:r>
      <w:r>
        <w:rPr>
          <w:spacing w:val="14"/>
          <w:sz w:val="20"/>
        </w:rPr>
        <w:t> </w:t>
      </w:r>
      <w:r>
        <w:rPr>
          <w:sz w:val="20"/>
        </w:rPr>
        <w:t>trust,</w:t>
      </w:r>
      <w:r>
        <w:rPr>
          <w:spacing w:val="14"/>
          <w:sz w:val="20"/>
        </w:rPr>
        <w:t> </w:t>
      </w:r>
      <w:r>
        <w:rPr>
          <w:sz w:val="20"/>
        </w:rPr>
        <w:t>if</w:t>
      </w:r>
      <w:r>
        <w:rPr>
          <w:spacing w:val="14"/>
          <w:sz w:val="20"/>
        </w:rPr>
        <w:t> </w:t>
      </w:r>
      <w:r>
        <w:rPr>
          <w:sz w:val="20"/>
        </w:rPr>
        <w:t>their</w:t>
      </w:r>
      <w:r>
        <w:rPr>
          <w:spacing w:val="14"/>
          <w:sz w:val="20"/>
        </w:rPr>
        <w:t> </w:t>
      </w:r>
      <w:r>
        <w:rPr>
          <w:sz w:val="20"/>
        </w:rPr>
        <w:t>action</w:t>
      </w:r>
      <w:r>
        <w:rPr>
          <w:spacing w:val="14"/>
          <w:sz w:val="20"/>
        </w:rPr>
        <w:t> </w:t>
      </w:r>
      <w:r>
        <w:rPr>
          <w:spacing w:val="-3"/>
          <w:sz w:val="20"/>
        </w:rPr>
        <w:t>fails</w:t>
      </w:r>
      <w:r>
        <w:rPr>
          <w:spacing w:val="14"/>
          <w:sz w:val="20"/>
        </w:rPr>
        <w:t> </w:t>
      </w:r>
      <w:r>
        <w:rPr>
          <w:spacing w:val="2"/>
          <w:sz w:val="20"/>
        </w:rPr>
        <w:t>…</w:t>
      </w:r>
      <w:r>
        <w:rPr>
          <w:spacing w:val="2"/>
          <w:position w:val="7"/>
          <w:sz w:val="11"/>
        </w:rPr>
        <w:t>84</w:t>
      </w:r>
    </w:p>
    <w:p>
      <w:pPr>
        <w:pStyle w:val="ListParagraph"/>
        <w:numPr>
          <w:ilvl w:val="1"/>
          <w:numId w:val="16"/>
        </w:numPr>
        <w:tabs>
          <w:tab w:pos="2380" w:val="left" w:leader="none"/>
          <w:tab w:pos="2381" w:val="left" w:leader="none"/>
        </w:tabs>
        <w:spacing w:line="242" w:lineRule="auto" w:before="118" w:after="0"/>
        <w:ind w:left="2381" w:right="1777" w:hanging="794"/>
        <w:jc w:val="left"/>
        <w:rPr>
          <w:sz w:val="21"/>
        </w:rPr>
      </w:pPr>
      <w:r>
        <w:rPr>
          <w:spacing w:val="-3"/>
          <w:w w:val="105"/>
          <w:sz w:val="21"/>
        </w:rPr>
        <w:t>Pointon</w:t>
      </w:r>
      <w:r>
        <w:rPr>
          <w:spacing w:val="-7"/>
          <w:w w:val="105"/>
          <w:sz w:val="21"/>
        </w:rPr>
        <w:t> </w:t>
      </w:r>
      <w:r>
        <w:rPr>
          <w:w w:val="105"/>
          <w:sz w:val="21"/>
        </w:rPr>
        <w:t>Partners</w:t>
      </w:r>
      <w:r>
        <w:rPr>
          <w:spacing w:val="-6"/>
          <w:w w:val="105"/>
          <w:sz w:val="21"/>
        </w:rPr>
        <w:t> </w:t>
      </w:r>
      <w:r>
        <w:rPr>
          <w:w w:val="105"/>
          <w:sz w:val="21"/>
        </w:rPr>
        <w:t>stated</w:t>
      </w:r>
      <w:r>
        <w:rPr>
          <w:spacing w:val="-7"/>
          <w:w w:val="105"/>
          <w:sz w:val="21"/>
        </w:rPr>
        <w:t> </w:t>
      </w:r>
      <w:r>
        <w:rPr>
          <w:spacing w:val="-3"/>
          <w:w w:val="105"/>
          <w:sz w:val="21"/>
        </w:rPr>
        <w:t>that</w:t>
      </w:r>
      <w:r>
        <w:rPr>
          <w:spacing w:val="-6"/>
          <w:w w:val="105"/>
          <w:sz w:val="21"/>
        </w:rPr>
        <w:t> </w:t>
      </w:r>
      <w:r>
        <w:rPr>
          <w:w w:val="105"/>
          <w:sz w:val="21"/>
        </w:rPr>
        <w:t>whether</w:t>
      </w:r>
      <w:r>
        <w:rPr>
          <w:spacing w:val="-7"/>
          <w:w w:val="105"/>
          <w:sz w:val="21"/>
        </w:rPr>
        <w:t> </w:t>
      </w:r>
      <w:r>
        <w:rPr>
          <w:w w:val="105"/>
          <w:sz w:val="21"/>
        </w:rPr>
        <w:t>or</w:t>
      </w:r>
      <w:r>
        <w:rPr>
          <w:spacing w:val="-6"/>
          <w:w w:val="105"/>
          <w:sz w:val="21"/>
        </w:rPr>
        <w:t> </w:t>
      </w:r>
      <w:r>
        <w:rPr>
          <w:spacing w:val="-2"/>
          <w:w w:val="105"/>
          <w:sz w:val="21"/>
        </w:rPr>
        <w:t>not</w:t>
      </w:r>
      <w:r>
        <w:rPr>
          <w:spacing w:val="-7"/>
          <w:w w:val="105"/>
          <w:sz w:val="21"/>
        </w:rPr>
        <w:t> </w:t>
      </w:r>
      <w:r>
        <w:rPr>
          <w:w w:val="105"/>
          <w:sz w:val="21"/>
        </w:rPr>
        <w:t>a</w:t>
      </w:r>
      <w:r>
        <w:rPr>
          <w:spacing w:val="-6"/>
          <w:w w:val="105"/>
          <w:sz w:val="21"/>
        </w:rPr>
        <w:t> </w:t>
      </w:r>
      <w:r>
        <w:rPr>
          <w:w w:val="105"/>
          <w:sz w:val="21"/>
        </w:rPr>
        <w:t>new</w:t>
      </w:r>
      <w:r>
        <w:rPr>
          <w:spacing w:val="-6"/>
          <w:w w:val="105"/>
          <w:sz w:val="21"/>
        </w:rPr>
        <w:t> </w:t>
      </w:r>
      <w:r>
        <w:rPr>
          <w:w w:val="105"/>
          <w:sz w:val="21"/>
        </w:rPr>
        <w:t>owner</w:t>
      </w:r>
      <w:r>
        <w:rPr>
          <w:spacing w:val="-7"/>
          <w:w w:val="105"/>
          <w:sz w:val="21"/>
        </w:rPr>
        <w:t> </w:t>
      </w:r>
      <w:r>
        <w:rPr>
          <w:w w:val="105"/>
          <w:sz w:val="21"/>
        </w:rPr>
        <w:t>should</w:t>
      </w:r>
      <w:r>
        <w:rPr>
          <w:spacing w:val="-6"/>
          <w:w w:val="105"/>
          <w:sz w:val="21"/>
        </w:rPr>
        <w:t> </w:t>
      </w:r>
      <w:r>
        <w:rPr>
          <w:w w:val="105"/>
          <w:sz w:val="21"/>
        </w:rPr>
        <w:t>be</w:t>
      </w:r>
      <w:r>
        <w:rPr>
          <w:spacing w:val="-7"/>
          <w:w w:val="105"/>
          <w:sz w:val="21"/>
        </w:rPr>
        <w:t> </w:t>
      </w:r>
      <w:r>
        <w:rPr>
          <w:w w:val="105"/>
          <w:sz w:val="21"/>
        </w:rPr>
        <w:t>joined</w:t>
      </w:r>
      <w:r>
        <w:rPr>
          <w:spacing w:val="-6"/>
          <w:w w:val="105"/>
          <w:sz w:val="21"/>
        </w:rPr>
        <w:t> </w:t>
      </w:r>
      <w:r>
        <w:rPr>
          <w:w w:val="105"/>
          <w:sz w:val="21"/>
        </w:rPr>
        <w:t>as</w:t>
      </w:r>
      <w:r>
        <w:rPr>
          <w:spacing w:val="-7"/>
          <w:w w:val="105"/>
          <w:sz w:val="21"/>
        </w:rPr>
        <w:t> </w:t>
      </w:r>
      <w:r>
        <w:rPr>
          <w:w w:val="105"/>
          <w:sz w:val="21"/>
        </w:rPr>
        <w:t>a</w:t>
      </w:r>
      <w:r>
        <w:rPr>
          <w:spacing w:val="-6"/>
          <w:w w:val="105"/>
          <w:sz w:val="21"/>
        </w:rPr>
        <w:t> </w:t>
      </w:r>
      <w:r>
        <w:rPr>
          <w:w w:val="105"/>
          <w:sz w:val="21"/>
        </w:rPr>
        <w:t>party</w:t>
      </w:r>
      <w:r>
        <w:rPr>
          <w:spacing w:val="-7"/>
          <w:w w:val="105"/>
          <w:sz w:val="21"/>
        </w:rPr>
        <w:t> </w:t>
      </w:r>
      <w:r>
        <w:rPr>
          <w:spacing w:val="-3"/>
          <w:w w:val="105"/>
          <w:sz w:val="21"/>
        </w:rPr>
        <w:t>to </w:t>
      </w:r>
      <w:r>
        <w:rPr>
          <w:w w:val="105"/>
          <w:sz w:val="21"/>
        </w:rPr>
        <w:t>the </w:t>
      </w:r>
      <w:r>
        <w:rPr>
          <w:spacing w:val="-3"/>
          <w:w w:val="105"/>
          <w:sz w:val="21"/>
        </w:rPr>
        <w:t>hearing </w:t>
      </w:r>
      <w:r>
        <w:rPr>
          <w:w w:val="105"/>
          <w:sz w:val="21"/>
        </w:rPr>
        <w:t>should be a matter </w:t>
      </w:r>
      <w:r>
        <w:rPr>
          <w:spacing w:val="-3"/>
          <w:w w:val="105"/>
          <w:sz w:val="21"/>
        </w:rPr>
        <w:t>for </w:t>
      </w:r>
      <w:r>
        <w:rPr>
          <w:w w:val="105"/>
          <w:sz w:val="21"/>
        </w:rPr>
        <w:t>the parties </w:t>
      </w:r>
      <w:r>
        <w:rPr>
          <w:spacing w:val="-3"/>
          <w:w w:val="105"/>
          <w:sz w:val="21"/>
        </w:rPr>
        <w:t>to</w:t>
      </w:r>
      <w:r>
        <w:rPr>
          <w:spacing w:val="41"/>
          <w:w w:val="105"/>
          <w:sz w:val="21"/>
        </w:rPr>
        <w:t> </w:t>
      </w:r>
      <w:r>
        <w:rPr>
          <w:w w:val="105"/>
          <w:sz w:val="21"/>
        </w:rPr>
        <w:t>decide.</w:t>
      </w:r>
      <w:r>
        <w:rPr>
          <w:w w:val="105"/>
          <w:position w:val="7"/>
          <w:sz w:val="12"/>
        </w:rPr>
        <w:t>85</w:t>
      </w:r>
    </w:p>
    <w:p>
      <w:pPr>
        <w:pStyle w:val="ListParagraph"/>
        <w:numPr>
          <w:ilvl w:val="1"/>
          <w:numId w:val="16"/>
        </w:numPr>
        <w:tabs>
          <w:tab w:pos="2381" w:val="left" w:leader="none"/>
          <w:tab w:pos="2382" w:val="left" w:leader="none"/>
        </w:tabs>
        <w:spacing w:line="242" w:lineRule="auto" w:before="122" w:after="0"/>
        <w:ind w:left="2381" w:right="1696" w:hanging="794"/>
        <w:jc w:val="left"/>
        <w:rPr>
          <w:sz w:val="21"/>
        </w:rPr>
      </w:pPr>
      <w:r>
        <w:rPr>
          <w:spacing w:val="-4"/>
          <w:sz w:val="21"/>
        </w:rPr>
        <w:t>QCAT </w:t>
      </w:r>
      <w:r>
        <w:rPr>
          <w:sz w:val="21"/>
        </w:rPr>
        <w:t>reported </w:t>
      </w:r>
      <w:r>
        <w:rPr>
          <w:spacing w:val="-3"/>
          <w:sz w:val="21"/>
        </w:rPr>
        <w:t>that  </w:t>
      </w:r>
      <w:r>
        <w:rPr>
          <w:sz w:val="21"/>
        </w:rPr>
        <w:t>matters </w:t>
      </w:r>
      <w:r>
        <w:rPr>
          <w:spacing w:val="-3"/>
          <w:sz w:val="21"/>
        </w:rPr>
        <w:t>regarding</w:t>
      </w:r>
      <w:r>
        <w:rPr>
          <w:spacing w:val="41"/>
          <w:sz w:val="21"/>
        </w:rPr>
        <w:t> </w:t>
      </w:r>
      <w:r>
        <w:rPr>
          <w:sz w:val="21"/>
        </w:rPr>
        <w:t>the joinder of new owners do </w:t>
      </w:r>
      <w:r>
        <w:rPr>
          <w:spacing w:val="-2"/>
          <w:sz w:val="21"/>
        </w:rPr>
        <w:t>not  </w:t>
      </w:r>
      <w:r>
        <w:rPr>
          <w:sz w:val="21"/>
        </w:rPr>
        <w:t>arise </w:t>
      </w:r>
      <w:r>
        <w:rPr>
          <w:spacing w:val="-3"/>
          <w:sz w:val="21"/>
        </w:rPr>
        <w:t>frequently  </w:t>
      </w:r>
      <w:r>
        <w:rPr>
          <w:sz w:val="21"/>
        </w:rPr>
        <w:t>in </w:t>
      </w:r>
      <w:r>
        <w:rPr>
          <w:spacing w:val="-3"/>
          <w:sz w:val="21"/>
        </w:rPr>
        <w:t>Queensland. </w:t>
      </w:r>
      <w:r>
        <w:rPr>
          <w:sz w:val="21"/>
        </w:rPr>
        <w:t>If a joinder </w:t>
      </w:r>
      <w:r>
        <w:rPr>
          <w:spacing w:val="-3"/>
          <w:sz w:val="21"/>
        </w:rPr>
        <w:t>cannot  </w:t>
      </w:r>
      <w:r>
        <w:rPr>
          <w:sz w:val="21"/>
        </w:rPr>
        <w:t>be made under the </w:t>
      </w:r>
      <w:r>
        <w:rPr>
          <w:spacing w:val="-3"/>
          <w:sz w:val="21"/>
        </w:rPr>
        <w:t>Queensland</w:t>
      </w:r>
      <w:r>
        <w:rPr>
          <w:spacing w:val="41"/>
          <w:sz w:val="21"/>
        </w:rPr>
        <w:t> </w:t>
      </w:r>
      <w:r>
        <w:rPr>
          <w:sz w:val="21"/>
        </w:rPr>
        <w:t>Act then it </w:t>
      </w:r>
      <w:r>
        <w:rPr>
          <w:spacing w:val="-3"/>
          <w:sz w:val="21"/>
        </w:rPr>
        <w:t>may  </w:t>
      </w:r>
      <w:r>
        <w:rPr>
          <w:sz w:val="21"/>
        </w:rPr>
        <w:t>be  made under the </w:t>
      </w:r>
      <w:r>
        <w:rPr>
          <w:i/>
          <w:sz w:val="21"/>
        </w:rPr>
        <w:t>Queensland Civil and </w:t>
      </w:r>
      <w:r>
        <w:rPr>
          <w:i/>
          <w:spacing w:val="-3"/>
          <w:sz w:val="21"/>
        </w:rPr>
        <w:t>Administrative </w:t>
      </w:r>
      <w:r>
        <w:rPr>
          <w:i/>
          <w:spacing w:val="-4"/>
          <w:sz w:val="21"/>
        </w:rPr>
        <w:t>Tribunal </w:t>
      </w:r>
      <w:r>
        <w:rPr>
          <w:i/>
          <w:sz w:val="21"/>
        </w:rPr>
        <w:t>Act 2009  </w:t>
      </w:r>
      <w:r>
        <w:rPr>
          <w:sz w:val="21"/>
        </w:rPr>
        <w:t>(Qld)  instead.</w:t>
      </w:r>
      <w:r>
        <w:rPr>
          <w:position w:val="7"/>
          <w:sz w:val="12"/>
        </w:rPr>
        <w:t>86</w:t>
      </w:r>
      <w:r>
        <w:rPr>
          <w:sz w:val="12"/>
        </w:rPr>
        <w:t> </w:t>
      </w:r>
      <w:r>
        <w:rPr>
          <w:spacing w:val="-4"/>
          <w:sz w:val="21"/>
        </w:rPr>
        <w:t>QCAT </w:t>
      </w:r>
      <w:r>
        <w:rPr>
          <w:spacing w:val="-3"/>
          <w:sz w:val="21"/>
        </w:rPr>
        <w:t>noted that purchasers tend to </w:t>
      </w:r>
      <w:r>
        <w:rPr>
          <w:sz w:val="21"/>
        </w:rPr>
        <w:t>express </w:t>
      </w:r>
      <w:r>
        <w:rPr>
          <w:spacing w:val="-3"/>
          <w:sz w:val="21"/>
        </w:rPr>
        <w:t>annoyance </w:t>
      </w:r>
      <w:r>
        <w:rPr>
          <w:sz w:val="21"/>
        </w:rPr>
        <w:t>when they </w:t>
      </w:r>
      <w:r>
        <w:rPr>
          <w:spacing w:val="-3"/>
          <w:sz w:val="21"/>
        </w:rPr>
        <w:t>are </w:t>
      </w:r>
      <w:r>
        <w:rPr>
          <w:sz w:val="21"/>
        </w:rPr>
        <w:t>joined </w:t>
      </w:r>
      <w:r>
        <w:rPr>
          <w:spacing w:val="-3"/>
          <w:sz w:val="21"/>
        </w:rPr>
        <w:t>to </w:t>
      </w:r>
      <w:r>
        <w:rPr>
          <w:sz w:val="21"/>
        </w:rPr>
        <w:t>proceedings.</w:t>
      </w:r>
      <w:r>
        <w:rPr>
          <w:position w:val="7"/>
          <w:sz w:val="12"/>
        </w:rPr>
        <w:t>87 </w:t>
      </w:r>
      <w:r>
        <w:rPr>
          <w:spacing w:val="-4"/>
          <w:sz w:val="21"/>
        </w:rPr>
        <w:t>QCAT </w:t>
      </w:r>
      <w:r>
        <w:rPr>
          <w:sz w:val="21"/>
        </w:rPr>
        <w:t>also explained </w:t>
      </w:r>
      <w:r>
        <w:rPr>
          <w:spacing w:val="-3"/>
          <w:sz w:val="21"/>
        </w:rPr>
        <w:t>that </w:t>
      </w:r>
      <w:r>
        <w:rPr>
          <w:sz w:val="21"/>
        </w:rPr>
        <w:t>it does </w:t>
      </w:r>
      <w:r>
        <w:rPr>
          <w:spacing w:val="-2"/>
          <w:sz w:val="21"/>
        </w:rPr>
        <w:t>not </w:t>
      </w:r>
      <w:r>
        <w:rPr>
          <w:spacing w:val="-3"/>
          <w:sz w:val="21"/>
        </w:rPr>
        <w:t>have </w:t>
      </w:r>
      <w:r>
        <w:rPr>
          <w:sz w:val="21"/>
        </w:rPr>
        <w:t>jurisdiction </w:t>
      </w:r>
      <w:r>
        <w:rPr>
          <w:spacing w:val="-3"/>
          <w:sz w:val="21"/>
        </w:rPr>
        <w:t>to </w:t>
      </w:r>
      <w:r>
        <w:rPr>
          <w:spacing w:val="-4"/>
          <w:sz w:val="21"/>
        </w:rPr>
        <w:t>make </w:t>
      </w:r>
      <w:r>
        <w:rPr>
          <w:sz w:val="21"/>
        </w:rPr>
        <w:t>orders in </w:t>
      </w:r>
      <w:r>
        <w:rPr>
          <w:spacing w:val="-3"/>
          <w:sz w:val="21"/>
        </w:rPr>
        <w:t>relation to </w:t>
      </w:r>
      <w:r>
        <w:rPr>
          <w:sz w:val="21"/>
        </w:rPr>
        <w:t>a </w:t>
      </w:r>
      <w:r>
        <w:rPr>
          <w:spacing w:val="-3"/>
          <w:sz w:val="21"/>
        </w:rPr>
        <w:t>previous </w:t>
      </w:r>
      <w:r>
        <w:rPr>
          <w:sz w:val="21"/>
        </w:rPr>
        <w:t>tree owner and can only </w:t>
      </w:r>
      <w:r>
        <w:rPr>
          <w:spacing w:val="-4"/>
          <w:sz w:val="21"/>
        </w:rPr>
        <w:t>make </w:t>
      </w:r>
      <w:r>
        <w:rPr>
          <w:sz w:val="21"/>
        </w:rPr>
        <w:t>orders in </w:t>
      </w:r>
      <w:r>
        <w:rPr>
          <w:spacing w:val="-3"/>
          <w:sz w:val="21"/>
        </w:rPr>
        <w:t>relation to current </w:t>
      </w:r>
      <w:r>
        <w:rPr>
          <w:sz w:val="21"/>
        </w:rPr>
        <w:t>tree owners.</w:t>
      </w:r>
      <w:r>
        <w:rPr>
          <w:position w:val="7"/>
          <w:sz w:val="12"/>
        </w:rPr>
        <w:t>88</w:t>
      </w:r>
    </w:p>
    <w:p>
      <w:pPr>
        <w:pStyle w:val="BodyText"/>
        <w:spacing w:before="8"/>
        <w:rPr>
          <w:sz w:val="20"/>
        </w:rPr>
      </w:pPr>
    </w:p>
    <w:p>
      <w:pPr>
        <w:pStyle w:val="Heading5"/>
      </w:pPr>
      <w:r>
        <w:rPr>
          <w:w w:val="115"/>
        </w:rPr>
        <w:t>A searchable database</w:t>
      </w:r>
    </w:p>
    <w:p>
      <w:pPr>
        <w:pStyle w:val="ListParagraph"/>
        <w:numPr>
          <w:ilvl w:val="1"/>
          <w:numId w:val="16"/>
        </w:numPr>
        <w:tabs>
          <w:tab w:pos="2381" w:val="left" w:leader="none"/>
          <w:tab w:pos="2382" w:val="left" w:leader="none"/>
        </w:tabs>
        <w:spacing w:line="242" w:lineRule="auto" w:before="138" w:after="0"/>
        <w:ind w:left="2381" w:right="1669" w:hanging="794"/>
        <w:jc w:val="left"/>
        <w:rPr>
          <w:sz w:val="21"/>
        </w:rPr>
      </w:pPr>
      <w:r>
        <w:rPr>
          <w:w w:val="105"/>
          <w:sz w:val="21"/>
        </w:rPr>
        <w:t>Most responses supported the establishment of a </w:t>
      </w:r>
      <w:r>
        <w:rPr>
          <w:spacing w:val="-3"/>
          <w:w w:val="105"/>
          <w:sz w:val="21"/>
        </w:rPr>
        <w:t>searchable </w:t>
      </w:r>
      <w:r>
        <w:rPr>
          <w:w w:val="105"/>
          <w:sz w:val="21"/>
        </w:rPr>
        <w:t>database of orders.</w:t>
      </w:r>
      <w:r>
        <w:rPr>
          <w:w w:val="105"/>
          <w:position w:val="7"/>
          <w:sz w:val="12"/>
        </w:rPr>
        <w:t>89 </w:t>
      </w:r>
      <w:r>
        <w:rPr>
          <w:w w:val="105"/>
          <w:sz w:val="21"/>
        </w:rPr>
        <w:t>The </w:t>
      </w:r>
      <w:r>
        <w:rPr>
          <w:spacing w:val="-3"/>
          <w:w w:val="105"/>
          <w:sz w:val="21"/>
        </w:rPr>
        <w:t>City </w:t>
      </w:r>
      <w:r>
        <w:rPr>
          <w:w w:val="105"/>
          <w:sz w:val="21"/>
        </w:rPr>
        <w:t>of </w:t>
      </w:r>
      <w:r>
        <w:rPr>
          <w:spacing w:val="-3"/>
          <w:w w:val="105"/>
          <w:sz w:val="21"/>
        </w:rPr>
        <w:t>Boroondara </w:t>
      </w:r>
      <w:r>
        <w:rPr>
          <w:spacing w:val="-4"/>
          <w:w w:val="105"/>
          <w:sz w:val="21"/>
        </w:rPr>
        <w:t>Council </w:t>
      </w:r>
      <w:r>
        <w:rPr>
          <w:w w:val="105"/>
          <w:sz w:val="21"/>
        </w:rPr>
        <w:t>stated it would also provide neighbours with a good </w:t>
      </w:r>
      <w:r>
        <w:rPr>
          <w:spacing w:val="-3"/>
          <w:w w:val="105"/>
          <w:sz w:val="21"/>
        </w:rPr>
        <w:t>resource for monitoring </w:t>
      </w:r>
      <w:r>
        <w:rPr>
          <w:w w:val="105"/>
          <w:sz w:val="21"/>
        </w:rPr>
        <w:t>trees in their </w:t>
      </w:r>
      <w:r>
        <w:rPr>
          <w:spacing w:val="-3"/>
          <w:w w:val="105"/>
          <w:sz w:val="21"/>
        </w:rPr>
        <w:t>area.</w:t>
      </w:r>
      <w:r>
        <w:rPr>
          <w:spacing w:val="-3"/>
          <w:w w:val="105"/>
          <w:position w:val="7"/>
          <w:sz w:val="12"/>
        </w:rPr>
        <w:t>90 </w:t>
      </w:r>
      <w:r>
        <w:rPr>
          <w:w w:val="105"/>
          <w:sz w:val="21"/>
        </w:rPr>
        <w:t>The Land and </w:t>
      </w:r>
      <w:r>
        <w:rPr>
          <w:spacing w:val="-3"/>
          <w:w w:val="105"/>
          <w:sz w:val="21"/>
        </w:rPr>
        <w:t>Environment Court </w:t>
      </w:r>
      <w:r>
        <w:rPr>
          <w:w w:val="105"/>
          <w:sz w:val="21"/>
        </w:rPr>
        <w:t>of New South  </w:t>
      </w:r>
      <w:r>
        <w:rPr>
          <w:spacing w:val="-3"/>
          <w:w w:val="105"/>
          <w:sz w:val="21"/>
        </w:rPr>
        <w:t>Wales noted that </w:t>
      </w:r>
      <w:r>
        <w:rPr>
          <w:w w:val="105"/>
          <w:sz w:val="21"/>
        </w:rPr>
        <w:t>a database </w:t>
      </w:r>
      <w:r>
        <w:rPr>
          <w:spacing w:val="-3"/>
          <w:w w:val="105"/>
          <w:sz w:val="21"/>
        </w:rPr>
        <w:t>could </w:t>
      </w:r>
      <w:r>
        <w:rPr>
          <w:w w:val="105"/>
          <w:sz w:val="21"/>
        </w:rPr>
        <w:t>be a </w:t>
      </w:r>
      <w:r>
        <w:rPr>
          <w:spacing w:val="-3"/>
          <w:w w:val="105"/>
          <w:sz w:val="21"/>
        </w:rPr>
        <w:t>useful </w:t>
      </w:r>
      <w:r>
        <w:rPr>
          <w:w w:val="105"/>
          <w:sz w:val="21"/>
        </w:rPr>
        <w:t>tool </w:t>
      </w:r>
      <w:r>
        <w:rPr>
          <w:spacing w:val="-3"/>
          <w:w w:val="105"/>
          <w:sz w:val="21"/>
        </w:rPr>
        <w:t>for </w:t>
      </w:r>
      <w:r>
        <w:rPr>
          <w:w w:val="105"/>
          <w:sz w:val="21"/>
        </w:rPr>
        <w:t>notifying </w:t>
      </w:r>
      <w:r>
        <w:rPr>
          <w:spacing w:val="-3"/>
          <w:w w:val="105"/>
          <w:sz w:val="21"/>
        </w:rPr>
        <w:t>potential </w:t>
      </w:r>
      <w:r>
        <w:rPr>
          <w:w w:val="105"/>
          <w:sz w:val="21"/>
        </w:rPr>
        <w:t>new</w:t>
      </w:r>
      <w:r>
        <w:rPr>
          <w:spacing w:val="19"/>
          <w:w w:val="105"/>
          <w:sz w:val="21"/>
        </w:rPr>
        <w:t> </w:t>
      </w:r>
      <w:r>
        <w:rPr>
          <w:w w:val="105"/>
          <w:sz w:val="21"/>
        </w:rPr>
        <w:t>owners</w:t>
      </w:r>
    </w:p>
    <w:p>
      <w:pPr>
        <w:pStyle w:val="BodyText"/>
        <w:spacing w:line="242" w:lineRule="auto" w:before="4"/>
        <w:ind w:left="2381" w:right="1798"/>
        <w:jc w:val="both"/>
        <w:rPr>
          <w:sz w:val="12"/>
        </w:rPr>
      </w:pPr>
      <w:r>
        <w:rPr>
          <w:w w:val="105"/>
        </w:rPr>
        <w:t>of</w:t>
      </w:r>
      <w:r>
        <w:rPr>
          <w:spacing w:val="-8"/>
          <w:w w:val="105"/>
        </w:rPr>
        <w:t> </w:t>
      </w:r>
      <w:r>
        <w:rPr>
          <w:spacing w:val="-3"/>
          <w:w w:val="105"/>
        </w:rPr>
        <w:t>land</w:t>
      </w:r>
      <w:r>
        <w:rPr>
          <w:spacing w:val="-8"/>
          <w:w w:val="105"/>
        </w:rPr>
        <w:t> </w:t>
      </w:r>
      <w:r>
        <w:rPr>
          <w:w w:val="105"/>
        </w:rPr>
        <w:t>about</w:t>
      </w:r>
      <w:r>
        <w:rPr>
          <w:spacing w:val="-8"/>
          <w:w w:val="105"/>
        </w:rPr>
        <w:t> </w:t>
      </w:r>
      <w:r>
        <w:rPr>
          <w:w w:val="105"/>
        </w:rPr>
        <w:t>tree</w:t>
      </w:r>
      <w:r>
        <w:rPr>
          <w:spacing w:val="-7"/>
          <w:w w:val="105"/>
        </w:rPr>
        <w:t> </w:t>
      </w:r>
      <w:r>
        <w:rPr>
          <w:w w:val="105"/>
        </w:rPr>
        <w:t>orders</w:t>
      </w:r>
      <w:r>
        <w:rPr>
          <w:spacing w:val="-8"/>
          <w:w w:val="105"/>
        </w:rPr>
        <w:t> </w:t>
      </w:r>
      <w:r>
        <w:rPr>
          <w:w w:val="105"/>
        </w:rPr>
        <w:t>affecting</w:t>
      </w:r>
      <w:r>
        <w:rPr>
          <w:spacing w:val="-8"/>
          <w:w w:val="105"/>
        </w:rPr>
        <w:t> </w:t>
      </w:r>
      <w:r>
        <w:rPr>
          <w:w w:val="105"/>
        </w:rPr>
        <w:t>their</w:t>
      </w:r>
      <w:r>
        <w:rPr>
          <w:spacing w:val="-7"/>
          <w:w w:val="105"/>
        </w:rPr>
        <w:t> </w:t>
      </w:r>
      <w:r>
        <w:rPr>
          <w:w w:val="105"/>
        </w:rPr>
        <w:t>properties.</w:t>
      </w:r>
      <w:r>
        <w:rPr>
          <w:w w:val="105"/>
          <w:position w:val="7"/>
          <w:sz w:val="12"/>
        </w:rPr>
        <w:t>91</w:t>
      </w:r>
      <w:r>
        <w:rPr>
          <w:spacing w:val="15"/>
          <w:w w:val="105"/>
          <w:position w:val="7"/>
          <w:sz w:val="12"/>
        </w:rPr>
        <w:t> </w:t>
      </w:r>
      <w:r>
        <w:rPr>
          <w:spacing w:val="-3"/>
          <w:w w:val="105"/>
        </w:rPr>
        <w:t>Nillumbik</w:t>
      </w:r>
      <w:r>
        <w:rPr>
          <w:spacing w:val="-8"/>
          <w:w w:val="105"/>
        </w:rPr>
        <w:t> </w:t>
      </w:r>
      <w:r>
        <w:rPr>
          <w:spacing w:val="-3"/>
          <w:w w:val="105"/>
        </w:rPr>
        <w:t>Shire</w:t>
      </w:r>
      <w:r>
        <w:rPr>
          <w:spacing w:val="-8"/>
          <w:w w:val="105"/>
        </w:rPr>
        <w:t> </w:t>
      </w:r>
      <w:r>
        <w:rPr>
          <w:spacing w:val="-4"/>
          <w:w w:val="105"/>
        </w:rPr>
        <w:t>Council</w:t>
      </w:r>
      <w:r>
        <w:rPr>
          <w:spacing w:val="-7"/>
          <w:w w:val="105"/>
        </w:rPr>
        <w:t> </w:t>
      </w:r>
      <w:r>
        <w:rPr>
          <w:w w:val="105"/>
        </w:rPr>
        <w:t>stated</w:t>
      </w:r>
      <w:r>
        <w:rPr>
          <w:spacing w:val="-8"/>
          <w:w w:val="105"/>
        </w:rPr>
        <w:t> </w:t>
      </w:r>
      <w:r>
        <w:rPr>
          <w:spacing w:val="-3"/>
          <w:w w:val="105"/>
        </w:rPr>
        <w:t>that </w:t>
      </w:r>
      <w:r>
        <w:rPr>
          <w:w w:val="105"/>
        </w:rPr>
        <w:t>a</w:t>
      </w:r>
      <w:r>
        <w:rPr>
          <w:spacing w:val="-7"/>
          <w:w w:val="105"/>
        </w:rPr>
        <w:t> </w:t>
      </w:r>
      <w:r>
        <w:rPr>
          <w:w w:val="105"/>
        </w:rPr>
        <w:t>database</w:t>
      </w:r>
      <w:r>
        <w:rPr>
          <w:spacing w:val="-7"/>
          <w:w w:val="105"/>
        </w:rPr>
        <w:t> </w:t>
      </w:r>
      <w:r>
        <w:rPr>
          <w:spacing w:val="-3"/>
          <w:w w:val="105"/>
        </w:rPr>
        <w:t>administered</w:t>
      </w:r>
      <w:r>
        <w:rPr>
          <w:spacing w:val="-7"/>
          <w:w w:val="105"/>
        </w:rPr>
        <w:t> </w:t>
      </w:r>
      <w:r>
        <w:rPr>
          <w:w w:val="105"/>
        </w:rPr>
        <w:t>by</w:t>
      </w:r>
      <w:r>
        <w:rPr>
          <w:spacing w:val="-7"/>
          <w:w w:val="105"/>
        </w:rPr>
        <w:t> </w:t>
      </w:r>
      <w:r>
        <w:rPr>
          <w:w w:val="105"/>
        </w:rPr>
        <w:t>the</w:t>
      </w:r>
      <w:r>
        <w:rPr>
          <w:spacing w:val="-6"/>
          <w:w w:val="105"/>
        </w:rPr>
        <w:t> </w:t>
      </w:r>
      <w:r>
        <w:rPr>
          <w:w w:val="105"/>
        </w:rPr>
        <w:t>decision-making</w:t>
      </w:r>
      <w:r>
        <w:rPr>
          <w:spacing w:val="-7"/>
          <w:w w:val="105"/>
        </w:rPr>
        <w:t> </w:t>
      </w:r>
      <w:r>
        <w:rPr>
          <w:w w:val="105"/>
        </w:rPr>
        <w:t>body</w:t>
      </w:r>
      <w:r>
        <w:rPr>
          <w:spacing w:val="-7"/>
          <w:w w:val="105"/>
        </w:rPr>
        <w:t> </w:t>
      </w:r>
      <w:r>
        <w:rPr>
          <w:spacing w:val="-3"/>
          <w:w w:val="105"/>
        </w:rPr>
        <w:t>could</w:t>
      </w:r>
      <w:r>
        <w:rPr>
          <w:spacing w:val="-7"/>
          <w:w w:val="105"/>
        </w:rPr>
        <w:t> </w:t>
      </w:r>
      <w:r>
        <w:rPr>
          <w:spacing w:val="-3"/>
          <w:w w:val="105"/>
        </w:rPr>
        <w:t>reduce</w:t>
      </w:r>
      <w:r>
        <w:rPr>
          <w:spacing w:val="-7"/>
          <w:w w:val="105"/>
        </w:rPr>
        <w:t> </w:t>
      </w:r>
      <w:r>
        <w:rPr>
          <w:w w:val="105"/>
        </w:rPr>
        <w:t>the</w:t>
      </w:r>
      <w:r>
        <w:rPr>
          <w:spacing w:val="-6"/>
          <w:w w:val="105"/>
        </w:rPr>
        <w:t> </w:t>
      </w:r>
      <w:r>
        <w:rPr>
          <w:w w:val="105"/>
        </w:rPr>
        <w:t>burden</w:t>
      </w:r>
      <w:r>
        <w:rPr>
          <w:spacing w:val="-7"/>
          <w:w w:val="105"/>
        </w:rPr>
        <w:t> </w:t>
      </w:r>
      <w:r>
        <w:rPr>
          <w:w w:val="105"/>
        </w:rPr>
        <w:t>on</w:t>
      </w:r>
      <w:r>
        <w:rPr>
          <w:spacing w:val="-7"/>
          <w:w w:val="105"/>
        </w:rPr>
        <w:t> </w:t>
      </w:r>
      <w:r>
        <w:rPr>
          <w:w w:val="105"/>
        </w:rPr>
        <w:t>local </w:t>
      </w:r>
      <w:r>
        <w:rPr>
          <w:spacing w:val="-3"/>
          <w:w w:val="105"/>
        </w:rPr>
        <w:t>councils </w:t>
      </w:r>
      <w:r>
        <w:rPr>
          <w:w w:val="105"/>
        </w:rPr>
        <w:t>because residents would be able </w:t>
      </w:r>
      <w:r>
        <w:rPr>
          <w:spacing w:val="-3"/>
          <w:w w:val="105"/>
        </w:rPr>
        <w:t>to </w:t>
      </w:r>
      <w:r>
        <w:rPr>
          <w:w w:val="105"/>
        </w:rPr>
        <w:t>find </w:t>
      </w:r>
      <w:r>
        <w:rPr>
          <w:spacing w:val="-3"/>
          <w:w w:val="105"/>
        </w:rPr>
        <w:t>information </w:t>
      </w:r>
      <w:r>
        <w:rPr>
          <w:w w:val="105"/>
        </w:rPr>
        <w:t>themselves</w:t>
      </w:r>
      <w:r>
        <w:rPr>
          <w:spacing w:val="-14"/>
          <w:w w:val="105"/>
        </w:rPr>
        <w:t> </w:t>
      </w:r>
      <w:r>
        <w:rPr>
          <w:spacing w:val="-4"/>
          <w:w w:val="105"/>
        </w:rPr>
        <w:t>online.</w:t>
      </w:r>
      <w:r>
        <w:rPr>
          <w:spacing w:val="-4"/>
          <w:w w:val="105"/>
          <w:position w:val="7"/>
          <w:sz w:val="12"/>
        </w:rPr>
        <w:t>92</w:t>
      </w:r>
    </w:p>
    <w:p>
      <w:pPr>
        <w:pStyle w:val="ListParagraph"/>
        <w:numPr>
          <w:ilvl w:val="1"/>
          <w:numId w:val="16"/>
        </w:numPr>
        <w:tabs>
          <w:tab w:pos="2380" w:val="left" w:leader="none"/>
          <w:tab w:pos="2381" w:val="left" w:leader="none"/>
        </w:tabs>
        <w:spacing w:line="242" w:lineRule="auto" w:before="123" w:after="0"/>
        <w:ind w:left="2381" w:right="2022" w:hanging="794"/>
        <w:jc w:val="left"/>
        <w:rPr>
          <w:sz w:val="21"/>
        </w:rPr>
      </w:pPr>
      <w:r>
        <w:rPr>
          <w:w w:val="105"/>
          <w:sz w:val="21"/>
        </w:rPr>
        <w:t>Responses</w:t>
      </w:r>
      <w:r>
        <w:rPr>
          <w:spacing w:val="-11"/>
          <w:w w:val="105"/>
          <w:sz w:val="21"/>
        </w:rPr>
        <w:t> </w:t>
      </w:r>
      <w:r>
        <w:rPr>
          <w:spacing w:val="-3"/>
          <w:w w:val="105"/>
          <w:sz w:val="21"/>
        </w:rPr>
        <w:t>were</w:t>
      </w:r>
      <w:r>
        <w:rPr>
          <w:spacing w:val="-10"/>
          <w:w w:val="105"/>
          <w:sz w:val="21"/>
        </w:rPr>
        <w:t> </w:t>
      </w:r>
      <w:r>
        <w:rPr>
          <w:w w:val="105"/>
          <w:sz w:val="21"/>
        </w:rPr>
        <w:t>received</w:t>
      </w:r>
      <w:r>
        <w:rPr>
          <w:spacing w:val="-10"/>
          <w:w w:val="105"/>
          <w:sz w:val="21"/>
        </w:rPr>
        <w:t> </w:t>
      </w:r>
      <w:r>
        <w:rPr>
          <w:w w:val="105"/>
          <w:sz w:val="21"/>
        </w:rPr>
        <w:t>about</w:t>
      </w:r>
      <w:r>
        <w:rPr>
          <w:spacing w:val="-10"/>
          <w:w w:val="105"/>
          <w:sz w:val="21"/>
        </w:rPr>
        <w:t> </w:t>
      </w:r>
      <w:r>
        <w:rPr>
          <w:w w:val="105"/>
          <w:sz w:val="21"/>
        </w:rPr>
        <w:t>the</w:t>
      </w:r>
      <w:r>
        <w:rPr>
          <w:spacing w:val="-10"/>
          <w:w w:val="105"/>
          <w:sz w:val="21"/>
        </w:rPr>
        <w:t> </w:t>
      </w:r>
      <w:r>
        <w:rPr>
          <w:w w:val="105"/>
          <w:sz w:val="21"/>
        </w:rPr>
        <w:t>broader</w:t>
      </w:r>
      <w:r>
        <w:rPr>
          <w:spacing w:val="-10"/>
          <w:w w:val="105"/>
          <w:sz w:val="21"/>
        </w:rPr>
        <w:t> </w:t>
      </w:r>
      <w:r>
        <w:rPr>
          <w:w w:val="105"/>
          <w:sz w:val="21"/>
        </w:rPr>
        <w:t>benefits</w:t>
      </w:r>
      <w:r>
        <w:rPr>
          <w:spacing w:val="-10"/>
          <w:w w:val="105"/>
          <w:sz w:val="21"/>
        </w:rPr>
        <w:t> </w:t>
      </w:r>
      <w:r>
        <w:rPr>
          <w:w w:val="105"/>
          <w:sz w:val="21"/>
        </w:rPr>
        <w:t>of</w:t>
      </w:r>
      <w:r>
        <w:rPr>
          <w:spacing w:val="-10"/>
          <w:w w:val="105"/>
          <w:sz w:val="21"/>
        </w:rPr>
        <w:t> </w:t>
      </w:r>
      <w:r>
        <w:rPr>
          <w:w w:val="105"/>
          <w:sz w:val="21"/>
        </w:rPr>
        <w:t>a</w:t>
      </w:r>
      <w:r>
        <w:rPr>
          <w:spacing w:val="-10"/>
          <w:w w:val="105"/>
          <w:sz w:val="21"/>
        </w:rPr>
        <w:t> </w:t>
      </w:r>
      <w:r>
        <w:rPr>
          <w:spacing w:val="-3"/>
          <w:w w:val="105"/>
          <w:sz w:val="21"/>
        </w:rPr>
        <w:t>searchable</w:t>
      </w:r>
      <w:r>
        <w:rPr>
          <w:spacing w:val="-10"/>
          <w:w w:val="105"/>
          <w:sz w:val="21"/>
        </w:rPr>
        <w:t> </w:t>
      </w:r>
      <w:r>
        <w:rPr>
          <w:spacing w:val="-3"/>
          <w:w w:val="105"/>
          <w:sz w:val="21"/>
        </w:rPr>
        <w:t>database.</w:t>
      </w:r>
      <w:r>
        <w:rPr>
          <w:spacing w:val="-10"/>
          <w:w w:val="105"/>
          <w:sz w:val="21"/>
        </w:rPr>
        <w:t> </w:t>
      </w:r>
      <w:r>
        <w:rPr>
          <w:w w:val="105"/>
          <w:sz w:val="21"/>
        </w:rPr>
        <w:t>A</w:t>
      </w:r>
      <w:r>
        <w:rPr>
          <w:spacing w:val="-10"/>
          <w:w w:val="105"/>
          <w:sz w:val="21"/>
        </w:rPr>
        <w:t> </w:t>
      </w:r>
      <w:r>
        <w:rPr>
          <w:w w:val="105"/>
          <w:sz w:val="21"/>
        </w:rPr>
        <w:t>tree </w:t>
      </w:r>
      <w:r>
        <w:rPr>
          <w:spacing w:val="-3"/>
          <w:w w:val="105"/>
          <w:sz w:val="21"/>
        </w:rPr>
        <w:t>disputes consultant </w:t>
      </w:r>
      <w:r>
        <w:rPr>
          <w:w w:val="105"/>
          <w:sz w:val="21"/>
        </w:rPr>
        <w:t>in New South </w:t>
      </w:r>
      <w:r>
        <w:rPr>
          <w:spacing w:val="-3"/>
          <w:w w:val="105"/>
          <w:sz w:val="21"/>
        </w:rPr>
        <w:t>Wales</w:t>
      </w:r>
      <w:r>
        <w:rPr>
          <w:spacing w:val="33"/>
          <w:w w:val="105"/>
          <w:sz w:val="21"/>
        </w:rPr>
        <w:t> </w:t>
      </w:r>
      <w:r>
        <w:rPr>
          <w:w w:val="105"/>
          <w:sz w:val="21"/>
        </w:rPr>
        <w:t>stated:</w:t>
      </w:r>
    </w:p>
    <w:p>
      <w:pPr>
        <w:spacing w:line="254" w:lineRule="auto" w:before="132"/>
        <w:ind w:left="2834" w:right="1544" w:firstLine="0"/>
        <w:jc w:val="left"/>
        <w:rPr>
          <w:sz w:val="11"/>
        </w:rPr>
      </w:pPr>
      <w:r>
        <w:rPr/>
        <w:pict>
          <v:line style="position:absolute;mso-position-horizontal-relative:page;mso-position-vertical-relative:paragraph;z-index:10904;mso-wrap-distance-left:0;mso-wrap-distance-right:0" from="79.370102pt,62.607281pt" to="515.905102pt,62.607281pt" stroked="true" strokeweight="1pt" strokecolor="#c9d2cb">
            <v:stroke dashstyle="solid"/>
            <w10:wrap type="topAndBottom"/>
          </v:line>
        </w:pict>
      </w:r>
      <w:r>
        <w:rPr>
          <w:w w:val="105"/>
          <w:sz w:val="20"/>
        </w:rPr>
        <w:t>A searchable database of Orders relating to trees and </w:t>
      </w:r>
      <w:r>
        <w:rPr>
          <w:w w:val="115"/>
          <w:sz w:val="20"/>
        </w:rPr>
        <w:t>… </w:t>
      </w:r>
      <w:r>
        <w:rPr>
          <w:w w:val="105"/>
          <w:sz w:val="20"/>
        </w:rPr>
        <w:t>judgments should be made available in Victoria. This would give potential disputants a means of building their knowledge before approaching the scheme and ‘testing’ their dispute scenario against a variety of outcomes.</w:t>
      </w:r>
      <w:r>
        <w:rPr>
          <w:w w:val="105"/>
          <w:position w:val="7"/>
          <w:sz w:val="11"/>
        </w:rPr>
        <w:t>93</w: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93"/>
        </w:numPr>
        <w:tabs>
          <w:tab w:pos="2380" w:val="left" w:leader="none"/>
          <w:tab w:pos="2382" w:val="left" w:leader="none"/>
        </w:tabs>
        <w:spacing w:line="240" w:lineRule="auto" w:before="48" w:after="0"/>
        <w:ind w:left="2381" w:right="0" w:hanging="794"/>
        <w:jc w:val="left"/>
        <w:rPr>
          <w:sz w:val="13"/>
        </w:rPr>
      </w:pPr>
      <w:r>
        <w:rPr>
          <w:w w:val="105"/>
          <w:sz w:val="13"/>
        </w:rPr>
        <w:t>Submission </w:t>
      </w:r>
      <w:r>
        <w:rPr>
          <w:spacing w:val="-6"/>
          <w:w w:val="105"/>
          <w:sz w:val="13"/>
        </w:rPr>
        <w:t>11 </w:t>
      </w:r>
      <w:r>
        <w:rPr>
          <w:spacing w:val="2"/>
          <w:w w:val="105"/>
          <w:sz w:val="13"/>
        </w:rPr>
        <w:t>(Name</w:t>
      </w:r>
      <w:r>
        <w:rPr>
          <w:spacing w:val="-6"/>
          <w:w w:val="105"/>
          <w:sz w:val="13"/>
        </w:rPr>
        <w:t> </w:t>
      </w:r>
      <w:r>
        <w:rPr>
          <w:w w:val="105"/>
          <w:sz w:val="13"/>
        </w:rPr>
        <w:t>withheld).</w:t>
      </w:r>
    </w:p>
    <w:p>
      <w:pPr>
        <w:pStyle w:val="ListParagraph"/>
        <w:numPr>
          <w:ilvl w:val="0"/>
          <w:numId w:val="193"/>
        </w:numPr>
        <w:tabs>
          <w:tab w:pos="2380" w:val="left" w:leader="none"/>
          <w:tab w:pos="2382" w:val="left" w:leader="none"/>
        </w:tabs>
        <w:spacing w:line="240" w:lineRule="auto" w:before="1" w:after="0"/>
        <w:ind w:left="2381" w:right="0" w:hanging="794"/>
        <w:jc w:val="left"/>
        <w:rPr>
          <w:sz w:val="13"/>
        </w:rPr>
      </w:pPr>
      <w:r>
        <w:rPr>
          <w:w w:val="105"/>
          <w:sz w:val="13"/>
        </w:rPr>
        <w:t>Submissions 23 </w:t>
      </w:r>
      <w:r>
        <w:rPr>
          <w:spacing w:val="2"/>
          <w:w w:val="105"/>
          <w:sz w:val="13"/>
        </w:rPr>
        <w:t>(Name </w:t>
      </w:r>
      <w:r>
        <w:rPr>
          <w:w w:val="105"/>
          <w:sz w:val="13"/>
        </w:rPr>
        <w:t>withheld) and Confidential</w:t>
      </w:r>
      <w:r>
        <w:rPr>
          <w:spacing w:val="26"/>
          <w:w w:val="105"/>
          <w:sz w:val="13"/>
        </w:rPr>
        <w:t> </w:t>
      </w:r>
      <w:r>
        <w:rPr>
          <w:w w:val="105"/>
          <w:sz w:val="13"/>
        </w:rPr>
        <w:t>submission.</w:t>
      </w:r>
    </w:p>
    <w:p>
      <w:pPr>
        <w:pStyle w:val="ListParagraph"/>
        <w:numPr>
          <w:ilvl w:val="0"/>
          <w:numId w:val="193"/>
        </w:numPr>
        <w:tabs>
          <w:tab w:pos="2380" w:val="left" w:leader="none"/>
          <w:tab w:pos="2382" w:val="left" w:leader="none"/>
        </w:tabs>
        <w:spacing w:line="240" w:lineRule="auto" w:before="2" w:after="0"/>
        <w:ind w:left="2381" w:right="0" w:hanging="794"/>
        <w:jc w:val="left"/>
        <w:rPr>
          <w:sz w:val="13"/>
        </w:rPr>
      </w:pPr>
      <w:r>
        <w:rPr>
          <w:w w:val="105"/>
          <w:sz w:val="13"/>
        </w:rPr>
        <w:t>Confidential</w:t>
      </w:r>
      <w:r>
        <w:rPr>
          <w:spacing w:val="4"/>
          <w:w w:val="105"/>
          <w:sz w:val="13"/>
        </w:rPr>
        <w:t> </w:t>
      </w:r>
      <w:r>
        <w:rPr>
          <w:w w:val="105"/>
          <w:sz w:val="13"/>
        </w:rPr>
        <w:t>submission.</w:t>
      </w:r>
    </w:p>
    <w:p>
      <w:pPr>
        <w:pStyle w:val="ListParagraph"/>
        <w:numPr>
          <w:ilvl w:val="0"/>
          <w:numId w:val="193"/>
        </w:numPr>
        <w:tabs>
          <w:tab w:pos="2380" w:val="left" w:leader="none"/>
          <w:tab w:pos="2382" w:val="left" w:leader="none"/>
        </w:tabs>
        <w:spacing w:line="240" w:lineRule="auto" w:before="1" w:after="0"/>
        <w:ind w:left="2381" w:right="0" w:hanging="794"/>
        <w:jc w:val="left"/>
        <w:rPr>
          <w:sz w:val="13"/>
        </w:rPr>
      </w:pPr>
      <w:r>
        <w:rPr>
          <w:w w:val="105"/>
          <w:sz w:val="13"/>
        </w:rPr>
        <w:t>Submissions 4 </w:t>
      </w:r>
      <w:r>
        <w:rPr>
          <w:spacing w:val="2"/>
          <w:w w:val="105"/>
          <w:sz w:val="13"/>
        </w:rPr>
        <w:t>(Name </w:t>
      </w:r>
      <w:r>
        <w:rPr>
          <w:w w:val="105"/>
          <w:sz w:val="13"/>
        </w:rPr>
        <w:t>withheld), 27 </w:t>
      </w:r>
      <w:r>
        <w:rPr>
          <w:spacing w:val="2"/>
          <w:w w:val="105"/>
          <w:sz w:val="13"/>
        </w:rPr>
        <w:t>(Name</w:t>
      </w:r>
      <w:r>
        <w:rPr>
          <w:spacing w:val="25"/>
          <w:w w:val="105"/>
          <w:sz w:val="13"/>
        </w:rPr>
        <w:t> </w:t>
      </w:r>
      <w:r>
        <w:rPr>
          <w:w w:val="105"/>
          <w:sz w:val="13"/>
        </w:rPr>
        <w:t>withheld).</w:t>
      </w:r>
    </w:p>
    <w:p>
      <w:pPr>
        <w:pStyle w:val="ListParagraph"/>
        <w:numPr>
          <w:ilvl w:val="0"/>
          <w:numId w:val="193"/>
        </w:numPr>
        <w:tabs>
          <w:tab w:pos="2380" w:val="left" w:leader="none"/>
          <w:tab w:pos="2382" w:val="left" w:leader="none"/>
        </w:tabs>
        <w:spacing w:line="240" w:lineRule="auto" w:before="1" w:after="0"/>
        <w:ind w:left="2381" w:right="0" w:hanging="794"/>
        <w:jc w:val="left"/>
        <w:rPr>
          <w:sz w:val="13"/>
        </w:rPr>
      </w:pPr>
      <w:r>
        <w:rPr>
          <w:w w:val="105"/>
          <w:sz w:val="13"/>
        </w:rPr>
        <w:t>Submission 27 </w:t>
      </w:r>
      <w:r>
        <w:rPr>
          <w:spacing w:val="2"/>
          <w:w w:val="105"/>
          <w:sz w:val="13"/>
        </w:rPr>
        <w:t>(Name</w:t>
      </w:r>
      <w:r>
        <w:rPr>
          <w:spacing w:val="13"/>
          <w:w w:val="105"/>
          <w:sz w:val="13"/>
        </w:rPr>
        <w:t> </w:t>
      </w:r>
      <w:r>
        <w:rPr>
          <w:w w:val="105"/>
          <w:sz w:val="13"/>
        </w:rPr>
        <w:t>withheld).</w:t>
      </w:r>
    </w:p>
    <w:p>
      <w:pPr>
        <w:pStyle w:val="ListParagraph"/>
        <w:numPr>
          <w:ilvl w:val="0"/>
          <w:numId w:val="193"/>
        </w:numPr>
        <w:tabs>
          <w:tab w:pos="2380" w:val="left" w:leader="none"/>
          <w:tab w:pos="2382" w:val="left" w:leader="none"/>
        </w:tabs>
        <w:spacing w:line="240" w:lineRule="auto" w:before="2" w:after="0"/>
        <w:ind w:left="2381" w:right="0" w:hanging="794"/>
        <w:jc w:val="left"/>
        <w:rPr>
          <w:sz w:val="13"/>
        </w:rPr>
      </w:pPr>
      <w:r>
        <w:rPr>
          <w:w w:val="105"/>
          <w:sz w:val="13"/>
        </w:rPr>
        <w:t>Submission 21 (Pointon Partners</w:t>
      </w:r>
      <w:r>
        <w:rPr>
          <w:spacing w:val="17"/>
          <w:w w:val="105"/>
          <w:sz w:val="13"/>
        </w:rPr>
        <w:t> </w:t>
      </w:r>
      <w:r>
        <w:rPr>
          <w:spacing w:val="2"/>
          <w:w w:val="105"/>
          <w:sz w:val="13"/>
        </w:rPr>
        <w:t>Lawyers).</w:t>
      </w:r>
    </w:p>
    <w:p>
      <w:pPr>
        <w:pStyle w:val="ListParagraph"/>
        <w:numPr>
          <w:ilvl w:val="0"/>
          <w:numId w:val="193"/>
        </w:numPr>
        <w:tabs>
          <w:tab w:pos="2380" w:val="left" w:leader="none"/>
          <w:tab w:pos="2382" w:val="left" w:leader="none"/>
        </w:tabs>
        <w:spacing w:line="240" w:lineRule="auto" w:before="1" w:after="0"/>
        <w:ind w:left="2381" w:right="0" w:hanging="794"/>
        <w:jc w:val="left"/>
        <w:rPr>
          <w:sz w:val="13"/>
        </w:rPr>
      </w:pPr>
      <w:r>
        <w:rPr>
          <w:w w:val="105"/>
          <w:sz w:val="13"/>
        </w:rPr>
        <w:t>See</w:t>
      </w:r>
      <w:r>
        <w:rPr>
          <w:spacing w:val="4"/>
          <w:w w:val="105"/>
          <w:sz w:val="13"/>
        </w:rPr>
        <w:t> </w:t>
      </w:r>
      <w:r>
        <w:rPr>
          <w:i/>
          <w:w w:val="105"/>
          <w:sz w:val="13"/>
        </w:rPr>
        <w:t>Queensland</w:t>
      </w:r>
      <w:r>
        <w:rPr>
          <w:i/>
          <w:spacing w:val="5"/>
          <w:w w:val="105"/>
          <w:sz w:val="13"/>
        </w:rPr>
        <w:t> </w:t>
      </w:r>
      <w:r>
        <w:rPr>
          <w:i/>
          <w:w w:val="105"/>
          <w:sz w:val="13"/>
        </w:rPr>
        <w:t>Civil</w:t>
      </w:r>
      <w:r>
        <w:rPr>
          <w:i/>
          <w:spacing w:val="5"/>
          <w:w w:val="105"/>
          <w:sz w:val="13"/>
        </w:rPr>
        <w:t> </w:t>
      </w:r>
      <w:r>
        <w:rPr>
          <w:i/>
          <w:w w:val="105"/>
          <w:sz w:val="13"/>
        </w:rPr>
        <w:t>and</w:t>
      </w:r>
      <w:r>
        <w:rPr>
          <w:i/>
          <w:spacing w:val="5"/>
          <w:w w:val="105"/>
          <w:sz w:val="13"/>
        </w:rPr>
        <w:t> </w:t>
      </w:r>
      <w:r>
        <w:rPr>
          <w:i/>
          <w:w w:val="105"/>
          <w:sz w:val="13"/>
        </w:rPr>
        <w:t>Administrative</w:t>
      </w:r>
      <w:r>
        <w:rPr>
          <w:i/>
          <w:spacing w:val="5"/>
          <w:w w:val="105"/>
          <w:sz w:val="13"/>
        </w:rPr>
        <w:t> </w:t>
      </w:r>
      <w:r>
        <w:rPr>
          <w:i/>
          <w:w w:val="105"/>
          <w:sz w:val="13"/>
        </w:rPr>
        <w:t>Tribunal</w:t>
      </w:r>
      <w:r>
        <w:rPr>
          <w:i/>
          <w:spacing w:val="5"/>
          <w:w w:val="105"/>
          <w:sz w:val="13"/>
        </w:rPr>
        <w:t> </w:t>
      </w:r>
      <w:r>
        <w:rPr>
          <w:i/>
          <w:w w:val="105"/>
          <w:sz w:val="13"/>
        </w:rPr>
        <w:t>Act</w:t>
      </w:r>
      <w:r>
        <w:rPr>
          <w:i/>
          <w:spacing w:val="4"/>
          <w:w w:val="105"/>
          <w:sz w:val="13"/>
        </w:rPr>
        <w:t> </w:t>
      </w:r>
      <w:r>
        <w:rPr>
          <w:i/>
          <w:w w:val="105"/>
          <w:sz w:val="13"/>
        </w:rPr>
        <w:t>2009</w:t>
      </w:r>
      <w:r>
        <w:rPr>
          <w:i/>
          <w:spacing w:val="5"/>
          <w:w w:val="105"/>
          <w:sz w:val="13"/>
        </w:rPr>
        <w:t> </w:t>
      </w:r>
      <w:r>
        <w:rPr>
          <w:spacing w:val="2"/>
          <w:w w:val="105"/>
          <w:sz w:val="13"/>
        </w:rPr>
        <w:t>(Qld)</w:t>
      </w:r>
      <w:r>
        <w:rPr>
          <w:spacing w:val="5"/>
          <w:w w:val="105"/>
          <w:sz w:val="13"/>
        </w:rPr>
        <w:t> </w:t>
      </w:r>
      <w:r>
        <w:rPr>
          <w:w w:val="105"/>
          <w:sz w:val="13"/>
        </w:rPr>
        <w:t>s</w:t>
      </w:r>
      <w:r>
        <w:rPr>
          <w:spacing w:val="5"/>
          <w:w w:val="105"/>
          <w:sz w:val="13"/>
        </w:rPr>
        <w:t> </w:t>
      </w:r>
      <w:r>
        <w:rPr>
          <w:w w:val="105"/>
          <w:sz w:val="13"/>
        </w:rPr>
        <w:t>42.</w:t>
      </w:r>
    </w:p>
    <w:p>
      <w:pPr>
        <w:pStyle w:val="ListParagraph"/>
        <w:numPr>
          <w:ilvl w:val="0"/>
          <w:numId w:val="193"/>
        </w:numPr>
        <w:tabs>
          <w:tab w:pos="2380" w:val="left" w:leader="none"/>
          <w:tab w:pos="2382" w:val="left" w:leader="none"/>
        </w:tabs>
        <w:spacing w:line="240" w:lineRule="auto" w:before="1" w:after="0"/>
        <w:ind w:left="2381" w:right="0" w:hanging="794"/>
        <w:jc w:val="left"/>
        <w:rPr>
          <w:sz w:val="13"/>
        </w:rPr>
      </w:pPr>
      <w:r>
        <w:rPr>
          <w:w w:val="105"/>
          <w:sz w:val="13"/>
        </w:rPr>
        <w:t>Consultation </w:t>
      </w:r>
      <w:r>
        <w:rPr>
          <w:spacing w:val="-3"/>
          <w:w w:val="105"/>
          <w:sz w:val="13"/>
        </w:rPr>
        <w:t>15 </w:t>
      </w:r>
      <w:r>
        <w:rPr>
          <w:w w:val="105"/>
          <w:sz w:val="13"/>
        </w:rPr>
        <w:t>(Queensland and Civil Administrative Tribunal).</w:t>
      </w:r>
    </w:p>
    <w:p>
      <w:pPr>
        <w:pStyle w:val="ListParagraph"/>
        <w:numPr>
          <w:ilvl w:val="0"/>
          <w:numId w:val="193"/>
        </w:numPr>
        <w:tabs>
          <w:tab w:pos="2380" w:val="left" w:leader="none"/>
          <w:tab w:pos="2382" w:val="left" w:leader="none"/>
        </w:tabs>
        <w:spacing w:line="240" w:lineRule="auto" w:before="2" w:after="0"/>
        <w:ind w:left="2381" w:right="0" w:hanging="794"/>
        <w:jc w:val="left"/>
        <w:rPr>
          <w:sz w:val="13"/>
        </w:rPr>
      </w:pPr>
      <w:r>
        <w:rPr>
          <w:w w:val="105"/>
          <w:sz w:val="13"/>
        </w:rPr>
        <w:t>Ibid.</w:t>
      </w:r>
      <w:r>
        <w:rPr>
          <w:spacing w:val="4"/>
          <w:w w:val="105"/>
          <w:sz w:val="13"/>
        </w:rPr>
        <w:t> </w:t>
      </w:r>
      <w:r>
        <w:rPr>
          <w:w w:val="105"/>
          <w:sz w:val="13"/>
        </w:rPr>
        <w:t>See</w:t>
      </w:r>
      <w:r>
        <w:rPr>
          <w:spacing w:val="5"/>
          <w:w w:val="105"/>
          <w:sz w:val="13"/>
        </w:rPr>
        <w:t> </w:t>
      </w:r>
      <w:r>
        <w:rPr>
          <w:w w:val="105"/>
          <w:sz w:val="13"/>
        </w:rPr>
        <w:t>also</w:t>
      </w:r>
      <w:r>
        <w:rPr>
          <w:spacing w:val="5"/>
          <w:w w:val="105"/>
          <w:sz w:val="13"/>
        </w:rPr>
        <w:t> </w:t>
      </w:r>
      <w:r>
        <w:rPr>
          <w:i/>
          <w:w w:val="105"/>
          <w:sz w:val="13"/>
        </w:rPr>
        <w:t>PGC</w:t>
      </w:r>
      <w:r>
        <w:rPr>
          <w:i/>
          <w:spacing w:val="5"/>
          <w:w w:val="105"/>
          <w:sz w:val="13"/>
        </w:rPr>
        <w:t> </w:t>
      </w:r>
      <w:r>
        <w:rPr>
          <w:i/>
          <w:w w:val="105"/>
          <w:sz w:val="13"/>
        </w:rPr>
        <w:t>Holdings</w:t>
      </w:r>
      <w:r>
        <w:rPr>
          <w:i/>
          <w:spacing w:val="5"/>
          <w:w w:val="105"/>
          <w:sz w:val="13"/>
        </w:rPr>
        <w:t> </w:t>
      </w:r>
      <w:r>
        <w:rPr>
          <w:i/>
          <w:spacing w:val="3"/>
          <w:w w:val="105"/>
          <w:sz w:val="13"/>
        </w:rPr>
        <w:t>Pty</w:t>
      </w:r>
      <w:r>
        <w:rPr>
          <w:i/>
          <w:spacing w:val="5"/>
          <w:w w:val="105"/>
          <w:sz w:val="13"/>
        </w:rPr>
        <w:t> </w:t>
      </w:r>
      <w:r>
        <w:rPr>
          <w:i/>
          <w:w w:val="105"/>
          <w:sz w:val="13"/>
        </w:rPr>
        <w:t>Ltd</w:t>
      </w:r>
      <w:r>
        <w:rPr>
          <w:i/>
          <w:spacing w:val="4"/>
          <w:w w:val="105"/>
          <w:sz w:val="13"/>
        </w:rPr>
        <w:t> </w:t>
      </w:r>
      <w:r>
        <w:rPr>
          <w:i/>
          <w:w w:val="105"/>
          <w:sz w:val="13"/>
        </w:rPr>
        <w:t>v</w:t>
      </w:r>
      <w:r>
        <w:rPr>
          <w:i/>
          <w:spacing w:val="5"/>
          <w:w w:val="105"/>
          <w:sz w:val="13"/>
        </w:rPr>
        <w:t> </w:t>
      </w:r>
      <w:r>
        <w:rPr>
          <w:i/>
          <w:w w:val="105"/>
          <w:sz w:val="13"/>
        </w:rPr>
        <w:t>Jalfire</w:t>
      </w:r>
      <w:r>
        <w:rPr>
          <w:i/>
          <w:spacing w:val="5"/>
          <w:w w:val="105"/>
          <w:sz w:val="13"/>
        </w:rPr>
        <w:t> </w:t>
      </w:r>
      <w:r>
        <w:rPr>
          <w:i/>
          <w:spacing w:val="3"/>
          <w:w w:val="105"/>
          <w:sz w:val="13"/>
        </w:rPr>
        <w:t>Pty</w:t>
      </w:r>
      <w:r>
        <w:rPr>
          <w:i/>
          <w:spacing w:val="5"/>
          <w:w w:val="105"/>
          <w:sz w:val="13"/>
        </w:rPr>
        <w:t> </w:t>
      </w:r>
      <w:r>
        <w:rPr>
          <w:i/>
          <w:w w:val="105"/>
          <w:sz w:val="13"/>
        </w:rPr>
        <w:t>Ltd</w:t>
      </w:r>
      <w:r>
        <w:rPr>
          <w:i/>
          <w:spacing w:val="5"/>
          <w:w w:val="105"/>
          <w:sz w:val="13"/>
        </w:rPr>
        <w:t> </w:t>
      </w:r>
      <w:r>
        <w:rPr>
          <w:i/>
          <w:spacing w:val="2"/>
          <w:w w:val="105"/>
          <w:sz w:val="13"/>
        </w:rPr>
        <w:t>(No.</w:t>
      </w:r>
      <w:r>
        <w:rPr>
          <w:i/>
          <w:spacing w:val="5"/>
          <w:w w:val="105"/>
          <w:sz w:val="13"/>
        </w:rPr>
        <w:t> </w:t>
      </w:r>
      <w:r>
        <w:rPr>
          <w:i/>
          <w:w w:val="105"/>
          <w:sz w:val="13"/>
        </w:rPr>
        <w:t>2)</w:t>
      </w:r>
      <w:r>
        <w:rPr>
          <w:i/>
          <w:spacing w:val="4"/>
          <w:w w:val="105"/>
          <w:sz w:val="13"/>
        </w:rPr>
        <w:t> </w:t>
      </w:r>
      <w:r>
        <w:rPr>
          <w:w w:val="105"/>
          <w:sz w:val="13"/>
        </w:rPr>
        <w:t>[2018]</w:t>
      </w:r>
      <w:r>
        <w:rPr>
          <w:spacing w:val="5"/>
          <w:w w:val="105"/>
          <w:sz w:val="13"/>
        </w:rPr>
        <w:t> </w:t>
      </w:r>
      <w:r>
        <w:rPr>
          <w:w w:val="105"/>
          <w:sz w:val="13"/>
        </w:rPr>
        <w:t>QCAT</w:t>
      </w:r>
      <w:r>
        <w:rPr>
          <w:spacing w:val="5"/>
          <w:w w:val="105"/>
          <w:sz w:val="13"/>
        </w:rPr>
        <w:t> </w:t>
      </w:r>
      <w:r>
        <w:rPr>
          <w:w w:val="105"/>
          <w:sz w:val="13"/>
        </w:rPr>
        <w:t>363</w:t>
      </w:r>
      <w:r>
        <w:rPr>
          <w:spacing w:val="5"/>
          <w:w w:val="105"/>
          <w:sz w:val="13"/>
        </w:rPr>
        <w:t> </w:t>
      </w:r>
      <w:r>
        <w:rPr>
          <w:w w:val="105"/>
          <w:sz w:val="13"/>
        </w:rPr>
        <w:t>[51].</w:t>
      </w:r>
    </w:p>
    <w:p>
      <w:pPr>
        <w:pStyle w:val="ListParagraph"/>
        <w:numPr>
          <w:ilvl w:val="0"/>
          <w:numId w:val="193"/>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5"/>
          <w:w w:val="105"/>
          <w:sz w:val="13"/>
        </w:rPr>
        <w:t> </w:t>
      </w:r>
      <w:r>
        <w:rPr>
          <w:w w:val="105"/>
          <w:sz w:val="13"/>
        </w:rPr>
        <w:t>4</w:t>
      </w:r>
      <w:r>
        <w:rPr>
          <w:spacing w:val="6"/>
          <w:w w:val="105"/>
          <w:sz w:val="13"/>
        </w:rPr>
        <w:t> </w:t>
      </w:r>
      <w:r>
        <w:rPr>
          <w:spacing w:val="2"/>
          <w:w w:val="105"/>
          <w:sz w:val="13"/>
        </w:rPr>
        <w:t>(Name</w:t>
      </w:r>
      <w:r>
        <w:rPr>
          <w:spacing w:val="5"/>
          <w:w w:val="105"/>
          <w:sz w:val="13"/>
        </w:rPr>
        <w:t> </w:t>
      </w:r>
      <w:r>
        <w:rPr>
          <w:w w:val="105"/>
          <w:sz w:val="13"/>
        </w:rPr>
        <w:t>withheld),</w:t>
      </w:r>
      <w:r>
        <w:rPr>
          <w:spacing w:val="6"/>
          <w:w w:val="105"/>
          <w:sz w:val="13"/>
        </w:rPr>
        <w:t> </w:t>
      </w:r>
      <w:r>
        <w:rPr>
          <w:w w:val="105"/>
          <w:sz w:val="13"/>
        </w:rPr>
        <w:t>5</w:t>
      </w:r>
      <w:r>
        <w:rPr>
          <w:spacing w:val="5"/>
          <w:w w:val="105"/>
          <w:sz w:val="13"/>
        </w:rPr>
        <w:t> </w:t>
      </w:r>
      <w:r>
        <w:rPr>
          <w:spacing w:val="2"/>
          <w:w w:val="105"/>
          <w:sz w:val="13"/>
        </w:rPr>
        <w:t>(Name</w:t>
      </w:r>
      <w:r>
        <w:rPr>
          <w:spacing w:val="6"/>
          <w:w w:val="105"/>
          <w:sz w:val="13"/>
        </w:rPr>
        <w:t> </w:t>
      </w:r>
      <w:r>
        <w:rPr>
          <w:w w:val="105"/>
          <w:sz w:val="13"/>
        </w:rPr>
        <w:t>withheld),</w:t>
      </w:r>
      <w:r>
        <w:rPr>
          <w:spacing w:val="6"/>
          <w:w w:val="105"/>
          <w:sz w:val="13"/>
        </w:rPr>
        <w:t> </w:t>
      </w:r>
      <w:r>
        <w:rPr>
          <w:w w:val="105"/>
          <w:sz w:val="13"/>
        </w:rPr>
        <w:t>6</w:t>
      </w:r>
      <w:r>
        <w:rPr>
          <w:spacing w:val="5"/>
          <w:w w:val="105"/>
          <w:sz w:val="13"/>
        </w:rPr>
        <w:t> </w:t>
      </w:r>
      <w:r>
        <w:rPr>
          <w:spacing w:val="2"/>
          <w:w w:val="105"/>
          <w:sz w:val="13"/>
        </w:rPr>
        <w:t>(Name</w:t>
      </w:r>
      <w:r>
        <w:rPr>
          <w:spacing w:val="6"/>
          <w:w w:val="105"/>
          <w:sz w:val="13"/>
        </w:rPr>
        <w:t> </w:t>
      </w:r>
      <w:r>
        <w:rPr>
          <w:w w:val="105"/>
          <w:sz w:val="13"/>
        </w:rPr>
        <w:t>withheld),</w:t>
      </w:r>
      <w:r>
        <w:rPr>
          <w:spacing w:val="5"/>
          <w:w w:val="105"/>
          <w:sz w:val="13"/>
        </w:rPr>
        <w:t> </w:t>
      </w:r>
      <w:r>
        <w:rPr>
          <w:w w:val="105"/>
          <w:sz w:val="13"/>
        </w:rPr>
        <w:t>7</w:t>
      </w:r>
      <w:r>
        <w:rPr>
          <w:spacing w:val="6"/>
          <w:w w:val="105"/>
          <w:sz w:val="13"/>
        </w:rPr>
        <w:t> </w:t>
      </w:r>
      <w:r>
        <w:rPr>
          <w:spacing w:val="2"/>
          <w:w w:val="105"/>
          <w:sz w:val="13"/>
        </w:rPr>
        <w:t>(Ben</w:t>
      </w:r>
      <w:r>
        <w:rPr>
          <w:spacing w:val="6"/>
          <w:w w:val="105"/>
          <w:sz w:val="13"/>
        </w:rPr>
        <w:t> </w:t>
      </w:r>
      <w:r>
        <w:rPr>
          <w:w w:val="105"/>
          <w:sz w:val="13"/>
        </w:rPr>
        <w:t>Kenyon),</w:t>
      </w:r>
      <w:r>
        <w:rPr>
          <w:spacing w:val="5"/>
          <w:w w:val="105"/>
          <w:sz w:val="13"/>
        </w:rPr>
        <w:t> </w:t>
      </w:r>
      <w:r>
        <w:rPr>
          <w:w w:val="105"/>
          <w:sz w:val="13"/>
        </w:rPr>
        <w:t>9</w:t>
      </w:r>
      <w:r>
        <w:rPr>
          <w:spacing w:val="6"/>
          <w:w w:val="105"/>
          <w:sz w:val="13"/>
        </w:rPr>
        <w:t> </w:t>
      </w:r>
      <w:r>
        <w:rPr>
          <w:spacing w:val="3"/>
          <w:w w:val="105"/>
          <w:sz w:val="13"/>
        </w:rPr>
        <w:t>(Dr</w:t>
      </w:r>
      <w:r>
        <w:rPr>
          <w:spacing w:val="5"/>
          <w:w w:val="105"/>
          <w:sz w:val="13"/>
        </w:rPr>
        <w:t> </w:t>
      </w:r>
      <w:r>
        <w:rPr>
          <w:w w:val="105"/>
          <w:sz w:val="13"/>
        </w:rPr>
        <w:t>Karen</w:t>
      </w:r>
      <w:r>
        <w:rPr>
          <w:spacing w:val="6"/>
          <w:w w:val="105"/>
          <w:sz w:val="13"/>
        </w:rPr>
        <w:t> </w:t>
      </w:r>
      <w:r>
        <w:rPr>
          <w:w w:val="105"/>
          <w:sz w:val="13"/>
        </w:rPr>
        <w:t>Smith),</w:t>
      </w:r>
      <w:r>
        <w:rPr>
          <w:spacing w:val="6"/>
          <w:w w:val="105"/>
          <w:sz w:val="13"/>
        </w:rPr>
        <w:t> </w:t>
      </w:r>
      <w:r>
        <w:rPr>
          <w:spacing w:val="-6"/>
          <w:w w:val="105"/>
          <w:sz w:val="13"/>
        </w:rPr>
        <w:t>11</w:t>
      </w:r>
      <w:r>
        <w:rPr>
          <w:spacing w:val="5"/>
          <w:w w:val="105"/>
          <w:sz w:val="13"/>
        </w:rPr>
        <w:t> </w:t>
      </w:r>
      <w:r>
        <w:rPr>
          <w:spacing w:val="2"/>
          <w:w w:val="105"/>
          <w:sz w:val="13"/>
        </w:rPr>
        <w:t>(Name</w:t>
      </w:r>
      <w:r>
        <w:rPr>
          <w:spacing w:val="6"/>
          <w:w w:val="105"/>
          <w:sz w:val="13"/>
        </w:rPr>
        <w:t> </w:t>
      </w:r>
      <w:r>
        <w:rPr>
          <w:w w:val="105"/>
          <w:sz w:val="13"/>
        </w:rPr>
        <w:t>withheld),</w:t>
      </w:r>
    </w:p>
    <w:p>
      <w:pPr>
        <w:spacing w:before="1"/>
        <w:ind w:left="2381" w:right="0" w:firstLine="0"/>
        <w:jc w:val="left"/>
        <w:rPr>
          <w:sz w:val="13"/>
        </w:rPr>
      </w:pPr>
      <w:r>
        <w:rPr>
          <w:w w:val="105"/>
          <w:sz w:val="13"/>
        </w:rPr>
        <w:t>19 (Name withheld), 20 (Name withheld), 21 (Pointon Partners Lawyers), 23 (Name withheld), 27 (Name withheld), 33 (Annette Neville); Consultations 8 (City of Boroondara), 9 (Nillumbik Shire Council).</w:t>
      </w:r>
    </w:p>
    <w:p>
      <w:pPr>
        <w:pStyle w:val="ListParagraph"/>
        <w:numPr>
          <w:ilvl w:val="0"/>
          <w:numId w:val="193"/>
        </w:numPr>
        <w:tabs>
          <w:tab w:pos="2381" w:val="left" w:leader="none"/>
          <w:tab w:pos="2382" w:val="left" w:leader="none"/>
        </w:tabs>
        <w:spacing w:line="240" w:lineRule="auto" w:before="3" w:after="0"/>
        <w:ind w:left="2381" w:right="0" w:hanging="794"/>
        <w:jc w:val="left"/>
        <w:rPr>
          <w:sz w:val="13"/>
        </w:rPr>
      </w:pPr>
      <w:r>
        <w:rPr>
          <w:w w:val="105"/>
          <w:sz w:val="13"/>
        </w:rPr>
        <w:t>Consultation 8 (City of</w:t>
      </w:r>
      <w:r>
        <w:rPr>
          <w:spacing w:val="19"/>
          <w:w w:val="105"/>
          <w:sz w:val="13"/>
        </w:rPr>
        <w:t> </w:t>
      </w:r>
      <w:r>
        <w:rPr>
          <w:w w:val="105"/>
          <w:sz w:val="13"/>
        </w:rPr>
        <w:t>Boroondara).</w:t>
      </w:r>
    </w:p>
    <w:p>
      <w:pPr>
        <w:pStyle w:val="ListParagraph"/>
        <w:numPr>
          <w:ilvl w:val="0"/>
          <w:numId w:val="193"/>
        </w:numPr>
        <w:tabs>
          <w:tab w:pos="2381" w:val="left" w:leader="none"/>
          <w:tab w:pos="2382" w:val="left" w:leader="none"/>
        </w:tabs>
        <w:spacing w:line="240" w:lineRule="auto" w:before="1"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3"/>
          <w:w w:val="105"/>
          <w:sz w:val="13"/>
        </w:rPr>
        <w:t> </w:t>
      </w:r>
      <w:r>
        <w:rPr>
          <w:w w:val="105"/>
          <w:sz w:val="13"/>
        </w:rPr>
        <w:t>Wales).</w:t>
      </w:r>
    </w:p>
    <w:p>
      <w:pPr>
        <w:pStyle w:val="ListParagraph"/>
        <w:numPr>
          <w:ilvl w:val="0"/>
          <w:numId w:val="193"/>
        </w:numPr>
        <w:tabs>
          <w:tab w:pos="2381" w:val="left" w:leader="none"/>
          <w:tab w:pos="2382" w:val="left" w:leader="none"/>
        </w:tabs>
        <w:spacing w:line="240" w:lineRule="auto" w:before="2" w:after="0"/>
        <w:ind w:left="2381" w:right="0" w:hanging="794"/>
        <w:jc w:val="left"/>
        <w:rPr>
          <w:sz w:val="13"/>
        </w:rPr>
      </w:pPr>
      <w:r>
        <w:rPr>
          <w:w w:val="105"/>
          <w:sz w:val="13"/>
        </w:rPr>
        <w:t>Consultation 9 (Nillumbik Shire</w:t>
      </w:r>
      <w:r>
        <w:rPr>
          <w:spacing w:val="19"/>
          <w:w w:val="105"/>
          <w:sz w:val="13"/>
        </w:rPr>
        <w:t> </w:t>
      </w:r>
      <w:r>
        <w:rPr>
          <w:w w:val="105"/>
          <w:sz w:val="13"/>
        </w:rPr>
        <w:t>Council).</w:t>
      </w:r>
    </w:p>
    <w:p>
      <w:pPr>
        <w:pStyle w:val="ListParagraph"/>
        <w:numPr>
          <w:ilvl w:val="0"/>
          <w:numId w:val="193"/>
        </w:numPr>
        <w:tabs>
          <w:tab w:pos="2381" w:val="left" w:leader="none"/>
          <w:tab w:pos="2382" w:val="left" w:leader="none"/>
        </w:tabs>
        <w:spacing w:line="240" w:lineRule="auto" w:before="1" w:after="0"/>
        <w:ind w:left="2381" w:right="0" w:hanging="794"/>
        <w:jc w:val="left"/>
        <w:rPr>
          <w:sz w:val="13"/>
        </w:rPr>
      </w:pPr>
      <w:r>
        <w:rPr>
          <w:w w:val="105"/>
          <w:sz w:val="13"/>
        </w:rPr>
        <w:t>Submission 20 </w:t>
      </w:r>
      <w:r>
        <w:rPr>
          <w:spacing w:val="2"/>
          <w:w w:val="105"/>
          <w:sz w:val="13"/>
        </w:rPr>
        <w:t>(Name</w:t>
      </w:r>
      <w:r>
        <w:rPr>
          <w:spacing w:val="13"/>
          <w:w w:val="105"/>
          <w:sz w:val="13"/>
        </w:rPr>
        <w:t> </w:t>
      </w:r>
      <w:r>
        <w:rPr>
          <w:w w:val="105"/>
          <w:sz w:val="13"/>
        </w:rPr>
        <w:t>withheld).</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3"/>
        </w:rPr>
      </w:pPr>
    </w:p>
    <w:p>
      <w:pPr>
        <w:spacing w:before="1"/>
        <w:ind w:left="701" w:right="577" w:firstLine="0"/>
        <w:jc w:val="center"/>
        <w:rPr>
          <w:b/>
          <w:sz w:val="24"/>
        </w:rPr>
      </w:pPr>
      <w:r>
        <w:rPr>
          <w:b/>
          <w:color w:val="658464"/>
          <w:w w:val="110"/>
          <w:sz w:val="24"/>
        </w:rPr>
        <w:t>267</w:t>
      </w:r>
    </w:p>
    <w:p>
      <w:pPr>
        <w:spacing w:after="0"/>
        <w:jc w:val="center"/>
        <w:rPr>
          <w:sz w:val="24"/>
        </w:rPr>
        <w:sectPr>
          <w:type w:val="continuous"/>
          <w:pgSz w:w="11910" w:h="16840"/>
          <w:pgMar w:top="300" w:bottom="280" w:left="0" w:right="0"/>
          <w:cols w:num="2" w:equalWidth="0">
            <w:col w:w="10150" w:space="40"/>
            <w:col w:w="1720"/>
          </w:cols>
        </w:sectPr>
      </w:pPr>
    </w:p>
    <w:p>
      <w:pPr>
        <w:pStyle w:val="BodyText"/>
        <w:spacing w:before="9"/>
        <w:rPr>
          <w:b/>
          <w:sz w:val="22"/>
        </w:rPr>
      </w:pPr>
    </w:p>
    <w:p>
      <w:pPr>
        <w:pStyle w:val="ListParagraph"/>
        <w:numPr>
          <w:ilvl w:val="1"/>
          <w:numId w:val="16"/>
        </w:numPr>
        <w:tabs>
          <w:tab w:pos="2381" w:val="left" w:leader="none"/>
          <w:tab w:pos="2382" w:val="left" w:leader="none"/>
        </w:tabs>
        <w:spacing w:line="242" w:lineRule="auto" w:before="92" w:after="0"/>
        <w:ind w:left="2381" w:right="2746" w:hanging="794"/>
        <w:jc w:val="left"/>
        <w:rPr>
          <w:sz w:val="21"/>
        </w:rPr>
      </w:pPr>
      <w:bookmarkStart w:name="The Commission’s conclusions—new owners " w:id="311"/>
      <w:bookmarkEnd w:id="311"/>
      <w:r>
        <w:rPr/>
      </w:r>
      <w:bookmarkStart w:name="_bookmark144" w:id="312"/>
      <w:bookmarkEnd w:id="312"/>
      <w:r>
        <w:rPr/>
      </w:r>
      <w:bookmarkStart w:name="_bookmark144" w:id="313"/>
      <w:bookmarkEnd w:id="313"/>
      <w:r>
        <w:rPr>
          <w:w w:val="105"/>
          <w:sz w:val="21"/>
        </w:rPr>
        <w:t>T</w:t>
      </w:r>
      <w:r>
        <w:rPr>
          <w:w w:val="105"/>
          <w:sz w:val="21"/>
        </w:rPr>
        <w:t>he</w:t>
      </w:r>
      <w:r>
        <w:rPr>
          <w:spacing w:val="-6"/>
          <w:w w:val="105"/>
          <w:sz w:val="21"/>
        </w:rPr>
        <w:t> </w:t>
      </w:r>
      <w:r>
        <w:rPr>
          <w:spacing w:val="-3"/>
          <w:w w:val="105"/>
          <w:sz w:val="21"/>
        </w:rPr>
        <w:t>City</w:t>
      </w:r>
      <w:r>
        <w:rPr>
          <w:spacing w:val="-5"/>
          <w:w w:val="105"/>
          <w:sz w:val="21"/>
        </w:rPr>
        <w:t> </w:t>
      </w:r>
      <w:r>
        <w:rPr>
          <w:w w:val="105"/>
          <w:sz w:val="21"/>
        </w:rPr>
        <w:t>of</w:t>
      </w:r>
      <w:r>
        <w:rPr>
          <w:spacing w:val="-5"/>
          <w:w w:val="105"/>
          <w:sz w:val="21"/>
        </w:rPr>
        <w:t> </w:t>
      </w:r>
      <w:r>
        <w:rPr>
          <w:spacing w:val="-3"/>
          <w:w w:val="105"/>
          <w:sz w:val="21"/>
        </w:rPr>
        <w:t>Boroondara</w:t>
      </w:r>
      <w:r>
        <w:rPr>
          <w:spacing w:val="-5"/>
          <w:w w:val="105"/>
          <w:sz w:val="21"/>
        </w:rPr>
        <w:t> </w:t>
      </w:r>
      <w:r>
        <w:rPr>
          <w:w w:val="105"/>
          <w:sz w:val="21"/>
        </w:rPr>
        <w:t>stated</w:t>
      </w:r>
      <w:r>
        <w:rPr>
          <w:spacing w:val="-6"/>
          <w:w w:val="105"/>
          <w:sz w:val="21"/>
        </w:rPr>
        <w:t> </w:t>
      </w:r>
      <w:r>
        <w:rPr>
          <w:spacing w:val="-3"/>
          <w:w w:val="105"/>
          <w:sz w:val="21"/>
        </w:rPr>
        <w:t>that</w:t>
      </w:r>
      <w:r>
        <w:rPr>
          <w:spacing w:val="-5"/>
          <w:w w:val="105"/>
          <w:sz w:val="21"/>
        </w:rPr>
        <w:t> </w:t>
      </w:r>
      <w:r>
        <w:rPr>
          <w:w w:val="105"/>
          <w:sz w:val="21"/>
        </w:rPr>
        <w:t>the</w:t>
      </w:r>
      <w:r>
        <w:rPr>
          <w:spacing w:val="-5"/>
          <w:w w:val="105"/>
          <w:sz w:val="21"/>
        </w:rPr>
        <w:t> </w:t>
      </w:r>
      <w:r>
        <w:rPr>
          <w:w w:val="105"/>
          <w:sz w:val="21"/>
        </w:rPr>
        <w:t>database</w:t>
      </w:r>
      <w:r>
        <w:rPr>
          <w:spacing w:val="-5"/>
          <w:w w:val="105"/>
          <w:sz w:val="21"/>
        </w:rPr>
        <w:t> </w:t>
      </w:r>
      <w:r>
        <w:rPr>
          <w:spacing w:val="-3"/>
          <w:w w:val="105"/>
          <w:sz w:val="21"/>
        </w:rPr>
        <w:t>could</w:t>
      </w:r>
      <w:r>
        <w:rPr>
          <w:spacing w:val="-6"/>
          <w:w w:val="105"/>
          <w:sz w:val="21"/>
        </w:rPr>
        <w:t> </w:t>
      </w:r>
      <w:r>
        <w:rPr>
          <w:w w:val="105"/>
          <w:sz w:val="21"/>
        </w:rPr>
        <w:t>also</w:t>
      </w:r>
      <w:r>
        <w:rPr>
          <w:spacing w:val="-5"/>
          <w:w w:val="105"/>
          <w:sz w:val="21"/>
        </w:rPr>
        <w:t> </w:t>
      </w:r>
      <w:r>
        <w:rPr>
          <w:w w:val="105"/>
          <w:sz w:val="21"/>
        </w:rPr>
        <w:t>assist</w:t>
      </w:r>
      <w:r>
        <w:rPr>
          <w:spacing w:val="-5"/>
          <w:w w:val="105"/>
          <w:sz w:val="21"/>
        </w:rPr>
        <w:t> </w:t>
      </w:r>
      <w:r>
        <w:rPr>
          <w:w w:val="105"/>
          <w:sz w:val="21"/>
        </w:rPr>
        <w:t>people</w:t>
      </w:r>
      <w:r>
        <w:rPr>
          <w:spacing w:val="-5"/>
          <w:w w:val="105"/>
          <w:sz w:val="21"/>
        </w:rPr>
        <w:t> </w:t>
      </w:r>
      <w:r>
        <w:rPr>
          <w:w w:val="105"/>
          <w:sz w:val="21"/>
        </w:rPr>
        <w:t>find </w:t>
      </w:r>
      <w:r>
        <w:rPr>
          <w:spacing w:val="-3"/>
          <w:w w:val="105"/>
          <w:sz w:val="21"/>
        </w:rPr>
        <w:t>determinations </w:t>
      </w:r>
      <w:r>
        <w:rPr>
          <w:w w:val="105"/>
          <w:sz w:val="21"/>
        </w:rPr>
        <w:t>under </w:t>
      </w:r>
      <w:r>
        <w:rPr>
          <w:spacing w:val="-3"/>
          <w:w w:val="105"/>
          <w:sz w:val="21"/>
        </w:rPr>
        <w:t>planning </w:t>
      </w:r>
      <w:r>
        <w:rPr>
          <w:w w:val="105"/>
          <w:sz w:val="21"/>
        </w:rPr>
        <w:t>schemes, which can be difficult </w:t>
      </w:r>
      <w:r>
        <w:rPr>
          <w:spacing w:val="-3"/>
          <w:w w:val="105"/>
          <w:sz w:val="21"/>
        </w:rPr>
        <w:t>to</w:t>
      </w:r>
      <w:r>
        <w:rPr>
          <w:w w:val="105"/>
          <w:sz w:val="21"/>
        </w:rPr>
        <w:t> </w:t>
      </w:r>
      <w:r>
        <w:rPr>
          <w:spacing w:val="-3"/>
          <w:w w:val="105"/>
          <w:sz w:val="21"/>
        </w:rPr>
        <w:t>obtain.</w:t>
      </w:r>
    </w:p>
    <w:p>
      <w:pPr>
        <w:pStyle w:val="ListParagraph"/>
        <w:numPr>
          <w:ilvl w:val="1"/>
          <w:numId w:val="16"/>
        </w:numPr>
        <w:tabs>
          <w:tab w:pos="2380" w:val="left" w:leader="none"/>
          <w:tab w:pos="2381" w:val="left" w:leader="none"/>
        </w:tabs>
        <w:spacing w:line="242" w:lineRule="auto" w:before="122" w:after="0"/>
        <w:ind w:left="2381" w:right="1927" w:hanging="794"/>
        <w:jc w:val="left"/>
        <w:rPr>
          <w:sz w:val="21"/>
        </w:rPr>
      </w:pPr>
      <w:r>
        <w:rPr>
          <w:w w:val="105"/>
          <w:sz w:val="21"/>
        </w:rPr>
        <w:t>Some people suggested </w:t>
      </w:r>
      <w:r>
        <w:rPr>
          <w:spacing w:val="-3"/>
          <w:w w:val="105"/>
          <w:sz w:val="21"/>
        </w:rPr>
        <w:t>limiting </w:t>
      </w:r>
      <w:r>
        <w:rPr>
          <w:spacing w:val="-2"/>
          <w:w w:val="105"/>
          <w:sz w:val="21"/>
        </w:rPr>
        <w:t>access </w:t>
      </w:r>
      <w:r>
        <w:rPr>
          <w:spacing w:val="-3"/>
          <w:w w:val="105"/>
          <w:sz w:val="21"/>
        </w:rPr>
        <w:t>to </w:t>
      </w:r>
      <w:r>
        <w:rPr>
          <w:w w:val="105"/>
          <w:sz w:val="21"/>
        </w:rPr>
        <w:t>the </w:t>
      </w:r>
      <w:r>
        <w:rPr>
          <w:spacing w:val="-3"/>
          <w:w w:val="105"/>
          <w:sz w:val="21"/>
        </w:rPr>
        <w:t>database. </w:t>
      </w:r>
      <w:r>
        <w:rPr>
          <w:w w:val="105"/>
          <w:sz w:val="21"/>
        </w:rPr>
        <w:t>One </w:t>
      </w:r>
      <w:r>
        <w:rPr>
          <w:spacing w:val="-3"/>
          <w:w w:val="105"/>
          <w:sz w:val="21"/>
        </w:rPr>
        <w:t>submission </w:t>
      </w:r>
      <w:r>
        <w:rPr>
          <w:w w:val="105"/>
          <w:sz w:val="21"/>
        </w:rPr>
        <w:t>stated </w:t>
      </w:r>
      <w:r>
        <w:rPr>
          <w:spacing w:val="-3"/>
          <w:w w:val="105"/>
          <w:sz w:val="21"/>
        </w:rPr>
        <w:t>that </w:t>
      </w:r>
      <w:r>
        <w:rPr>
          <w:w w:val="105"/>
          <w:sz w:val="21"/>
        </w:rPr>
        <w:t>a </w:t>
      </w:r>
      <w:r>
        <w:rPr>
          <w:spacing w:val="-4"/>
          <w:w w:val="105"/>
          <w:sz w:val="21"/>
        </w:rPr>
        <w:t>‘small </w:t>
      </w:r>
      <w:r>
        <w:rPr>
          <w:spacing w:val="-3"/>
          <w:w w:val="105"/>
          <w:sz w:val="21"/>
        </w:rPr>
        <w:t>fee’ </w:t>
      </w:r>
      <w:r>
        <w:rPr>
          <w:w w:val="105"/>
          <w:sz w:val="21"/>
        </w:rPr>
        <w:t>should apply </w:t>
      </w:r>
      <w:r>
        <w:rPr>
          <w:spacing w:val="-3"/>
          <w:w w:val="105"/>
          <w:sz w:val="21"/>
        </w:rPr>
        <w:t>for </w:t>
      </w:r>
      <w:r>
        <w:rPr>
          <w:w w:val="105"/>
          <w:sz w:val="21"/>
        </w:rPr>
        <w:t>conducting a </w:t>
      </w:r>
      <w:r>
        <w:rPr>
          <w:spacing w:val="-3"/>
          <w:w w:val="105"/>
          <w:sz w:val="21"/>
        </w:rPr>
        <w:t>search </w:t>
      </w:r>
      <w:r>
        <w:rPr>
          <w:w w:val="105"/>
          <w:sz w:val="21"/>
        </w:rPr>
        <w:t>of the </w:t>
      </w:r>
      <w:r>
        <w:rPr>
          <w:spacing w:val="-3"/>
          <w:w w:val="105"/>
          <w:sz w:val="21"/>
        </w:rPr>
        <w:t>database.</w:t>
      </w:r>
      <w:r>
        <w:rPr>
          <w:spacing w:val="-3"/>
          <w:w w:val="105"/>
          <w:position w:val="7"/>
          <w:sz w:val="12"/>
        </w:rPr>
        <w:t>94 </w:t>
      </w:r>
      <w:r>
        <w:rPr>
          <w:w w:val="105"/>
          <w:sz w:val="21"/>
        </w:rPr>
        <w:t>Another stated </w:t>
      </w:r>
      <w:r>
        <w:rPr>
          <w:spacing w:val="-3"/>
          <w:w w:val="105"/>
          <w:sz w:val="21"/>
        </w:rPr>
        <w:t>that </w:t>
      </w:r>
      <w:r>
        <w:rPr>
          <w:w w:val="105"/>
          <w:sz w:val="21"/>
        </w:rPr>
        <w:t>the database should </w:t>
      </w:r>
      <w:r>
        <w:rPr>
          <w:spacing w:val="-2"/>
          <w:w w:val="105"/>
          <w:sz w:val="21"/>
        </w:rPr>
        <w:t>not </w:t>
      </w:r>
      <w:r>
        <w:rPr>
          <w:w w:val="105"/>
          <w:sz w:val="21"/>
        </w:rPr>
        <w:t>be </w:t>
      </w:r>
      <w:r>
        <w:rPr>
          <w:spacing w:val="-3"/>
          <w:w w:val="105"/>
          <w:sz w:val="21"/>
        </w:rPr>
        <w:t>available to </w:t>
      </w:r>
      <w:r>
        <w:rPr>
          <w:w w:val="105"/>
          <w:sz w:val="21"/>
        </w:rPr>
        <w:t>the </w:t>
      </w:r>
      <w:r>
        <w:rPr>
          <w:spacing w:val="-3"/>
          <w:w w:val="105"/>
          <w:sz w:val="21"/>
        </w:rPr>
        <w:t>public </w:t>
      </w:r>
      <w:r>
        <w:rPr>
          <w:w w:val="105"/>
          <w:sz w:val="21"/>
        </w:rPr>
        <w:t>and should only be </w:t>
      </w:r>
      <w:r>
        <w:rPr>
          <w:spacing w:val="-3"/>
          <w:w w:val="105"/>
          <w:sz w:val="21"/>
        </w:rPr>
        <w:t>searchable </w:t>
      </w:r>
      <w:r>
        <w:rPr>
          <w:w w:val="105"/>
          <w:sz w:val="21"/>
        </w:rPr>
        <w:t>with permission or via a legal </w:t>
      </w:r>
      <w:r>
        <w:rPr>
          <w:spacing w:val="-3"/>
          <w:w w:val="105"/>
          <w:sz w:val="21"/>
        </w:rPr>
        <w:t>representative.</w:t>
      </w:r>
      <w:r>
        <w:rPr>
          <w:spacing w:val="-3"/>
          <w:w w:val="105"/>
          <w:position w:val="7"/>
          <w:sz w:val="12"/>
        </w:rPr>
        <w:t>95 </w:t>
      </w:r>
      <w:r>
        <w:rPr>
          <w:w w:val="105"/>
          <w:sz w:val="21"/>
        </w:rPr>
        <w:t>Another observed </w:t>
      </w:r>
      <w:r>
        <w:rPr>
          <w:spacing w:val="-3"/>
          <w:w w:val="105"/>
          <w:sz w:val="21"/>
        </w:rPr>
        <w:t>that </w:t>
      </w:r>
      <w:r>
        <w:rPr>
          <w:w w:val="105"/>
          <w:sz w:val="21"/>
        </w:rPr>
        <w:t>the database </w:t>
      </w:r>
      <w:r>
        <w:rPr>
          <w:spacing w:val="-3"/>
          <w:w w:val="105"/>
          <w:sz w:val="21"/>
        </w:rPr>
        <w:t>would </w:t>
      </w:r>
      <w:r>
        <w:rPr>
          <w:spacing w:val="-4"/>
          <w:w w:val="105"/>
          <w:sz w:val="21"/>
        </w:rPr>
        <w:t>likely </w:t>
      </w:r>
      <w:r>
        <w:rPr>
          <w:w w:val="105"/>
          <w:sz w:val="21"/>
        </w:rPr>
        <w:t>be</w:t>
      </w:r>
      <w:r>
        <w:rPr>
          <w:spacing w:val="14"/>
          <w:w w:val="105"/>
          <w:sz w:val="21"/>
        </w:rPr>
        <w:t> </w:t>
      </w:r>
      <w:r>
        <w:rPr>
          <w:spacing w:val="-4"/>
          <w:w w:val="105"/>
          <w:sz w:val="21"/>
        </w:rPr>
        <w:t>‘expensive’.</w:t>
      </w:r>
      <w:r>
        <w:rPr>
          <w:spacing w:val="-4"/>
          <w:w w:val="105"/>
          <w:position w:val="7"/>
          <w:sz w:val="12"/>
        </w:rPr>
        <w:t>96</w:t>
      </w:r>
    </w:p>
    <w:p>
      <w:pPr>
        <w:pStyle w:val="ListParagraph"/>
        <w:numPr>
          <w:ilvl w:val="1"/>
          <w:numId w:val="16"/>
        </w:numPr>
        <w:tabs>
          <w:tab w:pos="2380" w:val="left" w:leader="none"/>
          <w:tab w:pos="2382" w:val="left" w:leader="none"/>
        </w:tabs>
        <w:spacing w:line="240" w:lineRule="auto" w:before="125" w:after="0"/>
        <w:ind w:left="2381" w:right="0" w:hanging="794"/>
        <w:jc w:val="left"/>
        <w:rPr>
          <w:sz w:val="21"/>
        </w:rPr>
      </w:pPr>
      <w:r>
        <w:rPr>
          <w:w w:val="105"/>
          <w:sz w:val="21"/>
        </w:rPr>
        <w:t>Only one </w:t>
      </w:r>
      <w:r>
        <w:rPr>
          <w:spacing w:val="-3"/>
          <w:w w:val="105"/>
          <w:sz w:val="21"/>
        </w:rPr>
        <w:t>submission </w:t>
      </w:r>
      <w:r>
        <w:rPr>
          <w:w w:val="105"/>
          <w:sz w:val="21"/>
        </w:rPr>
        <w:t>objected </w:t>
      </w:r>
      <w:r>
        <w:rPr>
          <w:spacing w:val="-3"/>
          <w:w w:val="105"/>
          <w:sz w:val="21"/>
        </w:rPr>
        <w:t>to </w:t>
      </w:r>
      <w:r>
        <w:rPr>
          <w:w w:val="105"/>
          <w:sz w:val="21"/>
        </w:rPr>
        <w:t>the</w:t>
      </w:r>
      <w:r>
        <w:rPr>
          <w:spacing w:val="34"/>
          <w:w w:val="105"/>
          <w:sz w:val="21"/>
        </w:rPr>
        <w:t> </w:t>
      </w:r>
      <w:r>
        <w:rPr>
          <w:w w:val="105"/>
          <w:sz w:val="21"/>
        </w:rPr>
        <w:t>database:</w:t>
      </w:r>
    </w:p>
    <w:p>
      <w:pPr>
        <w:spacing w:line="254" w:lineRule="auto" w:before="133"/>
        <w:ind w:left="2834" w:right="2059" w:firstLine="0"/>
        <w:jc w:val="left"/>
        <w:rPr>
          <w:sz w:val="11"/>
        </w:rPr>
      </w:pPr>
      <w:r>
        <w:rPr>
          <w:sz w:val="20"/>
        </w:rPr>
        <w:t>Given that the contest over tree-related disputes is potentially highly charged and emotive without external influence, I see no reason why further publication is appropriate for the well-being of those involved.</w:t>
      </w:r>
      <w:r>
        <w:rPr>
          <w:position w:val="7"/>
          <w:sz w:val="11"/>
        </w:rPr>
        <w:t>97</w:t>
      </w:r>
    </w:p>
    <w:p>
      <w:pPr>
        <w:pStyle w:val="BodyText"/>
        <w:spacing w:before="1"/>
      </w:pPr>
    </w:p>
    <w:p>
      <w:pPr>
        <w:pStyle w:val="Heading4"/>
        <w:spacing w:before="1"/>
      </w:pPr>
      <w:r>
        <w:rPr>
          <w:color w:val="658464"/>
          <w:w w:val="115"/>
        </w:rPr>
        <w:t>The Commission’s conclusions—new owners of land</w:t>
      </w:r>
    </w:p>
    <w:p>
      <w:pPr>
        <w:pStyle w:val="ListParagraph"/>
        <w:numPr>
          <w:ilvl w:val="1"/>
          <w:numId w:val="16"/>
        </w:numPr>
        <w:tabs>
          <w:tab w:pos="2381" w:val="left" w:leader="none"/>
          <w:tab w:pos="2382" w:val="left" w:leader="none"/>
        </w:tabs>
        <w:spacing w:line="242" w:lineRule="auto" w:before="155" w:after="0"/>
        <w:ind w:left="2381" w:right="1639" w:hanging="794"/>
        <w:jc w:val="left"/>
        <w:rPr>
          <w:sz w:val="21"/>
        </w:rPr>
      </w:pPr>
      <w:r>
        <w:rPr>
          <w:w w:val="105"/>
          <w:sz w:val="21"/>
        </w:rPr>
        <w:t>The new Act should specify the rights and </w:t>
      </w:r>
      <w:r>
        <w:rPr>
          <w:spacing w:val="-3"/>
          <w:w w:val="105"/>
          <w:sz w:val="21"/>
        </w:rPr>
        <w:t>obligations </w:t>
      </w:r>
      <w:r>
        <w:rPr>
          <w:w w:val="105"/>
          <w:sz w:val="21"/>
        </w:rPr>
        <w:t>of new tree owners and new affected neighbours </w:t>
      </w:r>
      <w:r>
        <w:rPr>
          <w:spacing w:val="-3"/>
          <w:w w:val="105"/>
          <w:sz w:val="21"/>
        </w:rPr>
        <w:t>towards </w:t>
      </w:r>
      <w:r>
        <w:rPr>
          <w:w w:val="105"/>
          <w:sz w:val="21"/>
        </w:rPr>
        <w:t>trees </w:t>
      </w:r>
      <w:r>
        <w:rPr>
          <w:spacing w:val="-3"/>
          <w:w w:val="105"/>
          <w:sz w:val="21"/>
        </w:rPr>
        <w:t>that have </w:t>
      </w:r>
      <w:r>
        <w:rPr>
          <w:w w:val="105"/>
          <w:sz w:val="21"/>
        </w:rPr>
        <w:t>been the subject of a </w:t>
      </w:r>
      <w:r>
        <w:rPr>
          <w:spacing w:val="-3"/>
          <w:w w:val="105"/>
          <w:sz w:val="21"/>
        </w:rPr>
        <w:t>formal </w:t>
      </w:r>
      <w:r>
        <w:rPr>
          <w:w w:val="105"/>
          <w:sz w:val="21"/>
        </w:rPr>
        <w:t>tree </w:t>
      </w:r>
      <w:r>
        <w:rPr>
          <w:spacing w:val="-3"/>
          <w:w w:val="105"/>
          <w:sz w:val="21"/>
        </w:rPr>
        <w:t>dispute proceeding </w:t>
      </w:r>
      <w:r>
        <w:rPr>
          <w:w w:val="105"/>
          <w:sz w:val="21"/>
        </w:rPr>
        <w:t>in </w:t>
      </w:r>
      <w:r>
        <w:rPr>
          <w:spacing w:val="-8"/>
          <w:w w:val="105"/>
          <w:sz w:val="21"/>
        </w:rPr>
        <w:t>VCAT. </w:t>
      </w:r>
      <w:r>
        <w:rPr>
          <w:w w:val="105"/>
          <w:sz w:val="21"/>
        </w:rPr>
        <w:t>This </w:t>
      </w:r>
      <w:r>
        <w:rPr>
          <w:spacing w:val="-3"/>
          <w:w w:val="105"/>
          <w:sz w:val="21"/>
        </w:rPr>
        <w:t>will bring </w:t>
      </w:r>
      <w:r>
        <w:rPr>
          <w:w w:val="105"/>
          <w:sz w:val="21"/>
        </w:rPr>
        <w:t>finality </w:t>
      </w:r>
      <w:r>
        <w:rPr>
          <w:spacing w:val="-3"/>
          <w:w w:val="105"/>
          <w:sz w:val="21"/>
        </w:rPr>
        <w:t>to </w:t>
      </w:r>
      <w:r>
        <w:rPr>
          <w:w w:val="105"/>
          <w:sz w:val="21"/>
        </w:rPr>
        <w:t>the tree </w:t>
      </w:r>
      <w:r>
        <w:rPr>
          <w:spacing w:val="-3"/>
          <w:w w:val="105"/>
          <w:sz w:val="21"/>
        </w:rPr>
        <w:t>dispute, </w:t>
      </w:r>
      <w:r>
        <w:rPr>
          <w:w w:val="105"/>
          <w:sz w:val="21"/>
        </w:rPr>
        <w:t>certainty </w:t>
      </w:r>
      <w:r>
        <w:rPr>
          <w:spacing w:val="-3"/>
          <w:w w:val="105"/>
          <w:sz w:val="21"/>
        </w:rPr>
        <w:t>to </w:t>
      </w:r>
      <w:r>
        <w:rPr>
          <w:w w:val="105"/>
          <w:sz w:val="21"/>
        </w:rPr>
        <w:t>the parties and avoid </w:t>
      </w:r>
      <w:r>
        <w:rPr>
          <w:spacing w:val="-3"/>
          <w:w w:val="105"/>
          <w:sz w:val="21"/>
        </w:rPr>
        <w:t>duplication </w:t>
      </w:r>
      <w:r>
        <w:rPr>
          <w:w w:val="105"/>
          <w:sz w:val="21"/>
        </w:rPr>
        <w:t>of legal</w:t>
      </w:r>
      <w:r>
        <w:rPr>
          <w:spacing w:val="24"/>
          <w:w w:val="105"/>
          <w:sz w:val="21"/>
        </w:rPr>
        <w:t> </w:t>
      </w:r>
      <w:r>
        <w:rPr>
          <w:spacing w:val="-3"/>
          <w:w w:val="105"/>
          <w:sz w:val="21"/>
        </w:rPr>
        <w:t>proceedings.</w:t>
      </w:r>
    </w:p>
    <w:p>
      <w:pPr>
        <w:pStyle w:val="ListParagraph"/>
        <w:numPr>
          <w:ilvl w:val="1"/>
          <w:numId w:val="16"/>
        </w:numPr>
        <w:tabs>
          <w:tab w:pos="2381" w:val="left" w:leader="none"/>
          <w:tab w:pos="2382" w:val="left" w:leader="none"/>
        </w:tabs>
        <w:spacing w:line="242" w:lineRule="auto" w:before="124" w:after="0"/>
        <w:ind w:left="2381" w:right="1727" w:hanging="794"/>
        <w:jc w:val="left"/>
        <w:rPr>
          <w:sz w:val="21"/>
        </w:rPr>
      </w:pPr>
      <w:r>
        <w:rPr>
          <w:spacing w:val="-4"/>
          <w:sz w:val="21"/>
        </w:rPr>
        <w:t>However, </w:t>
      </w:r>
      <w:r>
        <w:rPr>
          <w:sz w:val="21"/>
        </w:rPr>
        <w:t>the system should </w:t>
      </w:r>
      <w:r>
        <w:rPr>
          <w:spacing w:val="-2"/>
          <w:sz w:val="21"/>
        </w:rPr>
        <w:t>not </w:t>
      </w:r>
      <w:r>
        <w:rPr>
          <w:spacing w:val="-3"/>
          <w:sz w:val="21"/>
        </w:rPr>
        <w:t>allow </w:t>
      </w:r>
      <w:r>
        <w:rPr>
          <w:sz w:val="21"/>
        </w:rPr>
        <w:t>tree owners </w:t>
      </w:r>
      <w:r>
        <w:rPr>
          <w:spacing w:val="-3"/>
          <w:sz w:val="21"/>
        </w:rPr>
        <w:t>to </w:t>
      </w:r>
      <w:r>
        <w:rPr>
          <w:sz w:val="21"/>
        </w:rPr>
        <w:t>bypass </w:t>
      </w:r>
      <w:r>
        <w:rPr>
          <w:spacing w:val="-3"/>
          <w:sz w:val="21"/>
        </w:rPr>
        <w:t>obligations </w:t>
      </w:r>
      <w:r>
        <w:rPr>
          <w:sz w:val="21"/>
        </w:rPr>
        <w:t>by </w:t>
      </w:r>
      <w:r>
        <w:rPr>
          <w:spacing w:val="-3"/>
          <w:sz w:val="21"/>
        </w:rPr>
        <w:t>selling </w:t>
      </w:r>
      <w:r>
        <w:rPr>
          <w:sz w:val="21"/>
        </w:rPr>
        <w:t>their property. In </w:t>
      </w:r>
      <w:r>
        <w:rPr>
          <w:spacing w:val="-3"/>
          <w:sz w:val="21"/>
        </w:rPr>
        <w:t>addition, </w:t>
      </w:r>
      <w:r>
        <w:rPr>
          <w:sz w:val="21"/>
        </w:rPr>
        <w:t>it would be </w:t>
      </w:r>
      <w:r>
        <w:rPr>
          <w:spacing w:val="-4"/>
          <w:sz w:val="21"/>
        </w:rPr>
        <w:t>unfair  </w:t>
      </w:r>
      <w:r>
        <w:rPr>
          <w:spacing w:val="-3"/>
          <w:sz w:val="21"/>
        </w:rPr>
        <w:t>to  create  </w:t>
      </w:r>
      <w:r>
        <w:rPr>
          <w:sz w:val="21"/>
        </w:rPr>
        <w:t>a system where a </w:t>
      </w:r>
      <w:r>
        <w:rPr>
          <w:spacing w:val="-3"/>
          <w:sz w:val="21"/>
        </w:rPr>
        <w:t>purchaser</w:t>
      </w:r>
      <w:r>
        <w:rPr>
          <w:spacing w:val="41"/>
          <w:sz w:val="21"/>
        </w:rPr>
        <w:t> </w:t>
      </w:r>
      <w:r>
        <w:rPr>
          <w:sz w:val="21"/>
        </w:rPr>
        <w:t>is left with  a</w:t>
      </w:r>
      <w:r>
        <w:rPr>
          <w:spacing w:val="10"/>
          <w:sz w:val="21"/>
        </w:rPr>
        <w:t> </w:t>
      </w:r>
      <w:r>
        <w:rPr>
          <w:spacing w:val="-3"/>
          <w:sz w:val="21"/>
        </w:rPr>
        <w:t>significant</w:t>
      </w:r>
      <w:r>
        <w:rPr>
          <w:spacing w:val="10"/>
          <w:sz w:val="21"/>
        </w:rPr>
        <w:t> </w:t>
      </w:r>
      <w:r>
        <w:rPr>
          <w:sz w:val="21"/>
        </w:rPr>
        <w:t>burden</w:t>
      </w:r>
      <w:r>
        <w:rPr>
          <w:spacing w:val="10"/>
          <w:sz w:val="21"/>
        </w:rPr>
        <w:t> </w:t>
      </w:r>
      <w:r>
        <w:rPr>
          <w:spacing w:val="-3"/>
          <w:sz w:val="21"/>
        </w:rPr>
        <w:t>for</w:t>
      </w:r>
      <w:r>
        <w:rPr>
          <w:spacing w:val="11"/>
          <w:sz w:val="21"/>
        </w:rPr>
        <w:t> </w:t>
      </w:r>
      <w:r>
        <w:rPr>
          <w:sz w:val="21"/>
        </w:rPr>
        <w:t>a</w:t>
      </w:r>
      <w:r>
        <w:rPr>
          <w:spacing w:val="10"/>
          <w:sz w:val="21"/>
        </w:rPr>
        <w:t> </w:t>
      </w:r>
      <w:r>
        <w:rPr>
          <w:sz w:val="21"/>
        </w:rPr>
        <w:t>problem</w:t>
      </w:r>
      <w:r>
        <w:rPr>
          <w:spacing w:val="10"/>
          <w:sz w:val="21"/>
        </w:rPr>
        <w:t> </w:t>
      </w:r>
      <w:r>
        <w:rPr>
          <w:spacing w:val="-3"/>
          <w:sz w:val="21"/>
        </w:rPr>
        <w:t>that</w:t>
      </w:r>
      <w:r>
        <w:rPr>
          <w:spacing w:val="11"/>
          <w:sz w:val="21"/>
        </w:rPr>
        <w:t> </w:t>
      </w:r>
      <w:r>
        <w:rPr>
          <w:sz w:val="21"/>
        </w:rPr>
        <w:t>they</w:t>
      </w:r>
      <w:r>
        <w:rPr>
          <w:spacing w:val="10"/>
          <w:sz w:val="21"/>
        </w:rPr>
        <w:t> </w:t>
      </w:r>
      <w:r>
        <w:rPr>
          <w:sz w:val="21"/>
        </w:rPr>
        <w:t>did</w:t>
      </w:r>
      <w:r>
        <w:rPr>
          <w:spacing w:val="10"/>
          <w:sz w:val="21"/>
        </w:rPr>
        <w:t> </w:t>
      </w:r>
      <w:r>
        <w:rPr>
          <w:spacing w:val="-2"/>
          <w:sz w:val="21"/>
        </w:rPr>
        <w:t>not</w:t>
      </w:r>
      <w:r>
        <w:rPr>
          <w:spacing w:val="11"/>
          <w:sz w:val="21"/>
        </w:rPr>
        <w:t> </w:t>
      </w:r>
      <w:r>
        <w:rPr>
          <w:spacing w:val="-4"/>
          <w:sz w:val="21"/>
        </w:rPr>
        <w:t>create.</w:t>
      </w:r>
    </w:p>
    <w:p>
      <w:pPr>
        <w:pStyle w:val="ListParagraph"/>
        <w:numPr>
          <w:ilvl w:val="1"/>
          <w:numId w:val="16"/>
        </w:numPr>
        <w:tabs>
          <w:tab w:pos="2380" w:val="left" w:leader="none"/>
          <w:tab w:pos="2381" w:val="left" w:leader="none"/>
        </w:tabs>
        <w:spacing w:line="240" w:lineRule="auto" w:before="123" w:after="0"/>
        <w:ind w:left="2381" w:right="0" w:hanging="794"/>
        <w:jc w:val="left"/>
        <w:rPr>
          <w:sz w:val="21"/>
        </w:rPr>
      </w:pPr>
      <w:r>
        <w:rPr>
          <w:spacing w:val="-7"/>
          <w:w w:val="105"/>
          <w:sz w:val="21"/>
        </w:rPr>
        <w:t>To </w:t>
      </w:r>
      <w:r>
        <w:rPr>
          <w:w w:val="105"/>
          <w:sz w:val="21"/>
        </w:rPr>
        <w:t>address these issues, the new Act</w:t>
      </w:r>
      <w:r>
        <w:rPr>
          <w:spacing w:val="39"/>
          <w:w w:val="105"/>
          <w:sz w:val="21"/>
        </w:rPr>
        <w:t> </w:t>
      </w:r>
      <w:r>
        <w:rPr>
          <w:w w:val="105"/>
          <w:sz w:val="21"/>
        </w:rPr>
        <w:t>should:</w:t>
      </w:r>
    </w:p>
    <w:p>
      <w:pPr>
        <w:pStyle w:val="ListParagraph"/>
        <w:numPr>
          <w:ilvl w:val="2"/>
          <w:numId w:val="16"/>
        </w:numPr>
        <w:tabs>
          <w:tab w:pos="2721" w:val="left" w:leader="none"/>
          <w:tab w:pos="2722" w:val="left" w:leader="none"/>
        </w:tabs>
        <w:spacing w:line="242" w:lineRule="auto" w:before="124" w:after="0"/>
        <w:ind w:left="2721" w:right="1634" w:hanging="340"/>
        <w:jc w:val="left"/>
        <w:rPr>
          <w:sz w:val="21"/>
        </w:rPr>
      </w:pPr>
      <w:r>
        <w:rPr>
          <w:spacing w:val="-3"/>
          <w:sz w:val="21"/>
        </w:rPr>
        <w:t>require relevant </w:t>
      </w:r>
      <w:r>
        <w:rPr>
          <w:sz w:val="21"/>
        </w:rPr>
        <w:t>matters </w:t>
      </w:r>
      <w:r>
        <w:rPr>
          <w:spacing w:val="-3"/>
          <w:sz w:val="21"/>
        </w:rPr>
        <w:t>to </w:t>
      </w:r>
      <w:r>
        <w:rPr>
          <w:sz w:val="21"/>
        </w:rPr>
        <w:t>be disclosed </w:t>
      </w:r>
      <w:r>
        <w:rPr>
          <w:spacing w:val="-3"/>
          <w:sz w:val="21"/>
        </w:rPr>
        <w:t>to potential purchasers before </w:t>
      </w:r>
      <w:r>
        <w:rPr>
          <w:sz w:val="21"/>
        </w:rPr>
        <w:t>they </w:t>
      </w:r>
      <w:r>
        <w:rPr>
          <w:spacing w:val="-3"/>
          <w:sz w:val="21"/>
        </w:rPr>
        <w:t>commit to </w:t>
      </w:r>
      <w:r>
        <w:rPr>
          <w:sz w:val="21"/>
        </w:rPr>
        <w:t>sale;</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pacing w:val="-3"/>
          <w:w w:val="105"/>
          <w:sz w:val="21"/>
        </w:rPr>
        <w:t>ensure </w:t>
      </w:r>
      <w:r>
        <w:rPr>
          <w:w w:val="105"/>
          <w:sz w:val="21"/>
        </w:rPr>
        <w:t>new affected neighbours can </w:t>
      </w:r>
      <w:r>
        <w:rPr>
          <w:spacing w:val="-3"/>
          <w:w w:val="105"/>
          <w:sz w:val="21"/>
        </w:rPr>
        <w:t>continue to </w:t>
      </w:r>
      <w:r>
        <w:rPr>
          <w:w w:val="105"/>
          <w:sz w:val="21"/>
        </w:rPr>
        <w:t>benefit </w:t>
      </w:r>
      <w:r>
        <w:rPr>
          <w:spacing w:val="-3"/>
          <w:w w:val="105"/>
          <w:sz w:val="21"/>
        </w:rPr>
        <w:t>from</w:t>
      </w:r>
      <w:r>
        <w:rPr>
          <w:spacing w:val="43"/>
          <w:w w:val="105"/>
          <w:sz w:val="21"/>
        </w:rPr>
        <w:t> </w:t>
      </w:r>
      <w:r>
        <w:rPr>
          <w:w w:val="105"/>
          <w:sz w:val="21"/>
        </w:rPr>
        <w:t>orders</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avoid </w:t>
      </w:r>
      <w:r>
        <w:rPr>
          <w:spacing w:val="-3"/>
          <w:w w:val="105"/>
          <w:sz w:val="21"/>
        </w:rPr>
        <w:t>making </w:t>
      </w:r>
      <w:r>
        <w:rPr>
          <w:w w:val="105"/>
          <w:sz w:val="21"/>
        </w:rPr>
        <w:t>the sale of </w:t>
      </w:r>
      <w:r>
        <w:rPr>
          <w:spacing w:val="-3"/>
          <w:w w:val="105"/>
          <w:sz w:val="21"/>
        </w:rPr>
        <w:t>land </w:t>
      </w:r>
      <w:r>
        <w:rPr>
          <w:w w:val="105"/>
          <w:sz w:val="21"/>
        </w:rPr>
        <w:t>process more</w:t>
      </w:r>
      <w:r>
        <w:rPr>
          <w:spacing w:val="41"/>
          <w:w w:val="105"/>
          <w:sz w:val="21"/>
        </w:rPr>
        <w:t> </w:t>
      </w:r>
      <w:r>
        <w:rPr>
          <w:w w:val="105"/>
          <w:sz w:val="21"/>
        </w:rPr>
        <w:t>complex.</w:t>
      </w:r>
    </w:p>
    <w:p>
      <w:pPr>
        <w:pStyle w:val="Heading5"/>
        <w:spacing w:before="213"/>
      </w:pPr>
      <w:r>
        <w:rPr>
          <w:w w:val="115"/>
        </w:rPr>
        <w:t>Providing certainty</w:t>
      </w:r>
    </w:p>
    <w:p>
      <w:pPr>
        <w:pStyle w:val="ListParagraph"/>
        <w:numPr>
          <w:ilvl w:val="1"/>
          <w:numId w:val="16"/>
        </w:numPr>
        <w:tabs>
          <w:tab w:pos="2380" w:val="left" w:leader="none"/>
          <w:tab w:pos="2381" w:val="left" w:leader="none"/>
        </w:tabs>
        <w:spacing w:line="242" w:lineRule="auto" w:before="138" w:after="0"/>
        <w:ind w:left="2381" w:right="1691" w:hanging="794"/>
        <w:jc w:val="left"/>
        <w:rPr>
          <w:sz w:val="21"/>
        </w:rPr>
      </w:pPr>
      <w:r>
        <w:rPr>
          <w:w w:val="105"/>
          <w:sz w:val="21"/>
        </w:rPr>
        <w:t>If the new Act does </w:t>
      </w:r>
      <w:r>
        <w:rPr>
          <w:spacing w:val="-2"/>
          <w:w w:val="105"/>
          <w:sz w:val="21"/>
        </w:rPr>
        <w:t>not </w:t>
      </w:r>
      <w:r>
        <w:rPr>
          <w:w w:val="105"/>
          <w:sz w:val="21"/>
        </w:rPr>
        <w:t>shift the burden and benefit of orders </w:t>
      </w:r>
      <w:r>
        <w:rPr>
          <w:spacing w:val="-3"/>
          <w:w w:val="105"/>
          <w:sz w:val="21"/>
        </w:rPr>
        <w:t>to </w:t>
      </w:r>
      <w:r>
        <w:rPr>
          <w:w w:val="105"/>
          <w:sz w:val="21"/>
        </w:rPr>
        <w:t>new </w:t>
      </w:r>
      <w:r>
        <w:rPr>
          <w:spacing w:val="-3"/>
          <w:w w:val="105"/>
          <w:sz w:val="21"/>
        </w:rPr>
        <w:t>purchasers </w:t>
      </w:r>
      <w:r>
        <w:rPr>
          <w:w w:val="105"/>
          <w:sz w:val="21"/>
        </w:rPr>
        <w:t>of </w:t>
      </w:r>
      <w:r>
        <w:rPr>
          <w:spacing w:val="-3"/>
          <w:w w:val="105"/>
          <w:sz w:val="21"/>
        </w:rPr>
        <w:t>land </w:t>
      </w:r>
      <w:r>
        <w:rPr>
          <w:w w:val="105"/>
          <w:sz w:val="21"/>
        </w:rPr>
        <w:t>then </w:t>
      </w:r>
      <w:r>
        <w:rPr>
          <w:spacing w:val="-3"/>
          <w:w w:val="105"/>
          <w:sz w:val="21"/>
        </w:rPr>
        <w:t>previous resolutions </w:t>
      </w:r>
      <w:r>
        <w:rPr>
          <w:w w:val="105"/>
          <w:sz w:val="21"/>
        </w:rPr>
        <w:t>would be worthless. The same tree </w:t>
      </w:r>
      <w:r>
        <w:rPr>
          <w:spacing w:val="-3"/>
          <w:w w:val="105"/>
          <w:sz w:val="21"/>
        </w:rPr>
        <w:t>disputes could </w:t>
      </w:r>
      <w:r>
        <w:rPr>
          <w:w w:val="105"/>
          <w:sz w:val="21"/>
        </w:rPr>
        <w:t>go back </w:t>
      </w:r>
      <w:r>
        <w:rPr>
          <w:spacing w:val="-3"/>
          <w:w w:val="105"/>
          <w:sz w:val="21"/>
        </w:rPr>
        <w:t>to </w:t>
      </w:r>
      <w:r>
        <w:rPr>
          <w:spacing w:val="-5"/>
          <w:w w:val="105"/>
          <w:sz w:val="21"/>
        </w:rPr>
        <w:t>VCAT </w:t>
      </w:r>
      <w:r>
        <w:rPr>
          <w:w w:val="105"/>
          <w:sz w:val="21"/>
        </w:rPr>
        <w:t>with the same </w:t>
      </w:r>
      <w:r>
        <w:rPr>
          <w:spacing w:val="-3"/>
          <w:w w:val="105"/>
          <w:sz w:val="21"/>
        </w:rPr>
        <w:t>result. </w:t>
      </w:r>
      <w:r>
        <w:rPr>
          <w:w w:val="105"/>
          <w:sz w:val="21"/>
        </w:rPr>
        <w:t>Any scheme </w:t>
      </w:r>
      <w:r>
        <w:rPr>
          <w:spacing w:val="-3"/>
          <w:w w:val="105"/>
          <w:sz w:val="21"/>
        </w:rPr>
        <w:t>that duplicates </w:t>
      </w:r>
      <w:r>
        <w:rPr>
          <w:w w:val="105"/>
          <w:sz w:val="21"/>
        </w:rPr>
        <w:t>legal </w:t>
      </w:r>
      <w:r>
        <w:rPr>
          <w:spacing w:val="-3"/>
          <w:w w:val="105"/>
          <w:sz w:val="21"/>
        </w:rPr>
        <w:t>proceedings </w:t>
      </w:r>
      <w:r>
        <w:rPr>
          <w:w w:val="105"/>
          <w:sz w:val="21"/>
        </w:rPr>
        <w:t>or</w:t>
      </w:r>
      <w:r>
        <w:rPr>
          <w:spacing w:val="42"/>
          <w:w w:val="105"/>
          <w:sz w:val="21"/>
        </w:rPr>
        <w:t> </w:t>
      </w:r>
      <w:r>
        <w:rPr>
          <w:spacing w:val="-3"/>
          <w:w w:val="105"/>
          <w:sz w:val="21"/>
        </w:rPr>
        <w:t>prolongs</w:t>
      </w:r>
    </w:p>
    <w:p>
      <w:pPr>
        <w:pStyle w:val="BodyText"/>
        <w:spacing w:line="242" w:lineRule="auto" w:before="3"/>
        <w:ind w:left="2380" w:right="1636"/>
      </w:pPr>
      <w:r>
        <w:rPr/>
        <w:t>a tree dispute would be the opposite of the policy objective: to resolve tree disputes efficiently and inexpensively. It would also be a waste of VCAT’s resources.</w:t>
      </w:r>
    </w:p>
    <w:p>
      <w:pPr>
        <w:pStyle w:val="ListParagraph"/>
        <w:numPr>
          <w:ilvl w:val="1"/>
          <w:numId w:val="16"/>
        </w:numPr>
        <w:tabs>
          <w:tab w:pos="2380" w:val="left" w:leader="none"/>
          <w:tab w:pos="2381" w:val="left" w:leader="none"/>
        </w:tabs>
        <w:spacing w:line="242" w:lineRule="auto" w:before="122" w:after="0"/>
        <w:ind w:left="2380" w:right="1918" w:hanging="793"/>
        <w:jc w:val="left"/>
        <w:rPr>
          <w:sz w:val="21"/>
        </w:rPr>
      </w:pPr>
      <w:r>
        <w:rPr>
          <w:w w:val="105"/>
          <w:sz w:val="21"/>
        </w:rPr>
        <w:t>The </w:t>
      </w:r>
      <w:r>
        <w:rPr>
          <w:spacing w:val="-3"/>
          <w:w w:val="105"/>
          <w:sz w:val="21"/>
        </w:rPr>
        <w:t>Commission concludes that </w:t>
      </w:r>
      <w:r>
        <w:rPr>
          <w:w w:val="105"/>
          <w:sz w:val="21"/>
        </w:rPr>
        <w:t>new tree owners and new affected neighbours (new owners of land) should be bound by the </w:t>
      </w:r>
      <w:r>
        <w:rPr>
          <w:spacing w:val="-3"/>
          <w:w w:val="105"/>
          <w:sz w:val="21"/>
        </w:rPr>
        <w:t>outcomes </w:t>
      </w:r>
      <w:r>
        <w:rPr>
          <w:w w:val="105"/>
          <w:sz w:val="21"/>
        </w:rPr>
        <w:t>of prior legal action. Most cases </w:t>
      </w:r>
      <w:r>
        <w:rPr>
          <w:spacing w:val="-3"/>
          <w:w w:val="105"/>
          <w:sz w:val="21"/>
        </w:rPr>
        <w:t>are</w:t>
      </w:r>
      <w:r>
        <w:rPr>
          <w:spacing w:val="-7"/>
          <w:w w:val="105"/>
          <w:sz w:val="21"/>
        </w:rPr>
        <w:t> </w:t>
      </w:r>
      <w:r>
        <w:rPr>
          <w:spacing w:val="-4"/>
          <w:w w:val="105"/>
          <w:sz w:val="21"/>
        </w:rPr>
        <w:t>likely</w:t>
      </w:r>
      <w:r>
        <w:rPr>
          <w:spacing w:val="-7"/>
          <w:w w:val="105"/>
          <w:sz w:val="21"/>
        </w:rPr>
        <w:t> </w:t>
      </w:r>
      <w:r>
        <w:rPr>
          <w:spacing w:val="-3"/>
          <w:w w:val="105"/>
          <w:sz w:val="21"/>
        </w:rPr>
        <w:t>to</w:t>
      </w:r>
      <w:r>
        <w:rPr>
          <w:spacing w:val="-6"/>
          <w:w w:val="105"/>
          <w:sz w:val="21"/>
        </w:rPr>
        <w:t> </w:t>
      </w:r>
      <w:r>
        <w:rPr>
          <w:spacing w:val="-3"/>
          <w:w w:val="105"/>
          <w:sz w:val="21"/>
        </w:rPr>
        <w:t>involve</w:t>
      </w:r>
      <w:r>
        <w:rPr>
          <w:spacing w:val="-7"/>
          <w:w w:val="105"/>
          <w:sz w:val="21"/>
        </w:rPr>
        <w:t> </w:t>
      </w:r>
      <w:r>
        <w:rPr>
          <w:w w:val="105"/>
          <w:sz w:val="21"/>
        </w:rPr>
        <w:t>new</w:t>
      </w:r>
      <w:r>
        <w:rPr>
          <w:spacing w:val="-6"/>
          <w:w w:val="105"/>
          <w:sz w:val="21"/>
        </w:rPr>
        <w:t> </w:t>
      </w:r>
      <w:r>
        <w:rPr>
          <w:w w:val="105"/>
          <w:sz w:val="21"/>
        </w:rPr>
        <w:t>affected</w:t>
      </w:r>
      <w:r>
        <w:rPr>
          <w:spacing w:val="-7"/>
          <w:w w:val="105"/>
          <w:sz w:val="21"/>
        </w:rPr>
        <w:t> </w:t>
      </w:r>
      <w:r>
        <w:rPr>
          <w:w w:val="105"/>
          <w:sz w:val="21"/>
        </w:rPr>
        <w:t>neighbours</w:t>
      </w:r>
      <w:r>
        <w:rPr>
          <w:spacing w:val="-6"/>
          <w:w w:val="105"/>
          <w:sz w:val="21"/>
        </w:rPr>
        <w:t> </w:t>
      </w:r>
      <w:r>
        <w:rPr>
          <w:w w:val="105"/>
          <w:sz w:val="21"/>
        </w:rPr>
        <w:t>seeking</w:t>
      </w:r>
      <w:r>
        <w:rPr>
          <w:spacing w:val="-7"/>
          <w:w w:val="105"/>
          <w:sz w:val="21"/>
        </w:rPr>
        <w:t> </w:t>
      </w:r>
      <w:r>
        <w:rPr>
          <w:spacing w:val="-3"/>
          <w:w w:val="105"/>
          <w:sz w:val="21"/>
        </w:rPr>
        <w:t>to</w:t>
      </w:r>
      <w:r>
        <w:rPr>
          <w:spacing w:val="-7"/>
          <w:w w:val="105"/>
          <w:sz w:val="21"/>
        </w:rPr>
        <w:t> </w:t>
      </w:r>
      <w:r>
        <w:rPr>
          <w:w w:val="105"/>
          <w:sz w:val="21"/>
        </w:rPr>
        <w:t>benefit</w:t>
      </w:r>
      <w:r>
        <w:rPr>
          <w:spacing w:val="-6"/>
          <w:w w:val="105"/>
          <w:sz w:val="21"/>
        </w:rPr>
        <w:t> </w:t>
      </w:r>
      <w:r>
        <w:rPr>
          <w:spacing w:val="-3"/>
          <w:w w:val="105"/>
          <w:sz w:val="21"/>
        </w:rPr>
        <w:t>from</w:t>
      </w:r>
      <w:r>
        <w:rPr>
          <w:spacing w:val="-7"/>
          <w:w w:val="105"/>
          <w:sz w:val="21"/>
        </w:rPr>
        <w:t> </w:t>
      </w:r>
      <w:r>
        <w:rPr>
          <w:w w:val="105"/>
          <w:sz w:val="21"/>
        </w:rPr>
        <w:t>orders.</w:t>
      </w:r>
      <w:r>
        <w:rPr>
          <w:spacing w:val="-6"/>
          <w:w w:val="105"/>
          <w:sz w:val="21"/>
        </w:rPr>
        <w:t> </w:t>
      </w:r>
      <w:r>
        <w:rPr>
          <w:spacing w:val="-4"/>
          <w:w w:val="105"/>
          <w:sz w:val="21"/>
        </w:rPr>
        <w:t>However,</w:t>
      </w:r>
    </w:p>
    <w:p>
      <w:pPr>
        <w:pStyle w:val="BodyText"/>
        <w:spacing w:line="242" w:lineRule="auto" w:before="3"/>
        <w:ind w:left="2380" w:right="1636"/>
      </w:pPr>
      <w:r>
        <w:rPr>
          <w:w w:val="105"/>
        </w:rPr>
        <w:t>sometimes new affected neighbours </w:t>
      </w:r>
      <w:r>
        <w:rPr>
          <w:spacing w:val="-3"/>
          <w:w w:val="105"/>
        </w:rPr>
        <w:t>may have to </w:t>
      </w:r>
      <w:r>
        <w:rPr>
          <w:w w:val="105"/>
        </w:rPr>
        <w:t>carry out pre-existing </w:t>
      </w:r>
      <w:r>
        <w:rPr>
          <w:spacing w:val="-3"/>
          <w:w w:val="105"/>
        </w:rPr>
        <w:t>obligations, such </w:t>
      </w:r>
      <w:r>
        <w:rPr>
          <w:w w:val="105"/>
        </w:rPr>
        <w:t>as </w:t>
      </w:r>
      <w:r>
        <w:rPr>
          <w:spacing w:val="-3"/>
          <w:w w:val="105"/>
        </w:rPr>
        <w:t>sharing </w:t>
      </w:r>
      <w:r>
        <w:rPr>
          <w:w w:val="105"/>
        </w:rPr>
        <w:t>the costs of </w:t>
      </w:r>
      <w:r>
        <w:rPr>
          <w:spacing w:val="-4"/>
          <w:w w:val="105"/>
        </w:rPr>
        <w:t>maintenance.</w:t>
      </w:r>
    </w:p>
    <w:p>
      <w:pPr>
        <w:pStyle w:val="ListParagraph"/>
        <w:numPr>
          <w:ilvl w:val="1"/>
          <w:numId w:val="16"/>
        </w:numPr>
        <w:tabs>
          <w:tab w:pos="2381" w:val="left" w:leader="none"/>
        </w:tabs>
        <w:spacing w:line="242" w:lineRule="auto" w:before="123" w:after="0"/>
        <w:ind w:left="2380" w:right="1964" w:hanging="794"/>
        <w:jc w:val="both"/>
        <w:rPr>
          <w:sz w:val="21"/>
        </w:rPr>
      </w:pPr>
      <w:r>
        <w:rPr>
          <w:w w:val="105"/>
          <w:sz w:val="21"/>
        </w:rPr>
        <w:t>Any</w:t>
      </w:r>
      <w:r>
        <w:rPr>
          <w:spacing w:val="-8"/>
          <w:w w:val="105"/>
          <w:sz w:val="21"/>
        </w:rPr>
        <w:t> </w:t>
      </w:r>
      <w:r>
        <w:rPr>
          <w:w w:val="105"/>
          <w:sz w:val="21"/>
        </w:rPr>
        <w:t>Orders</w:t>
      </w:r>
      <w:r>
        <w:rPr>
          <w:spacing w:val="-8"/>
          <w:w w:val="105"/>
          <w:sz w:val="21"/>
        </w:rPr>
        <w:t> </w:t>
      </w:r>
      <w:r>
        <w:rPr>
          <w:spacing w:val="-3"/>
          <w:w w:val="105"/>
          <w:sz w:val="21"/>
        </w:rPr>
        <w:t>requiring</w:t>
      </w:r>
      <w:r>
        <w:rPr>
          <w:spacing w:val="-8"/>
          <w:w w:val="105"/>
          <w:sz w:val="21"/>
        </w:rPr>
        <w:t> </w:t>
      </w:r>
      <w:r>
        <w:rPr>
          <w:w w:val="105"/>
          <w:sz w:val="21"/>
        </w:rPr>
        <w:t>payment</w:t>
      </w:r>
      <w:r>
        <w:rPr>
          <w:spacing w:val="-8"/>
          <w:w w:val="105"/>
          <w:sz w:val="21"/>
        </w:rPr>
        <w:t> </w:t>
      </w:r>
      <w:r>
        <w:rPr>
          <w:w w:val="105"/>
          <w:sz w:val="21"/>
        </w:rPr>
        <w:t>of</w:t>
      </w:r>
      <w:r>
        <w:rPr>
          <w:spacing w:val="-8"/>
          <w:w w:val="105"/>
          <w:sz w:val="21"/>
        </w:rPr>
        <w:t> </w:t>
      </w:r>
      <w:r>
        <w:rPr>
          <w:w w:val="105"/>
          <w:sz w:val="21"/>
        </w:rPr>
        <w:t>compensation</w:t>
      </w:r>
      <w:r>
        <w:rPr>
          <w:spacing w:val="-8"/>
          <w:w w:val="105"/>
          <w:sz w:val="21"/>
        </w:rPr>
        <w:t> </w:t>
      </w:r>
      <w:r>
        <w:rPr>
          <w:w w:val="105"/>
          <w:sz w:val="21"/>
        </w:rPr>
        <w:t>should</w:t>
      </w:r>
      <w:r>
        <w:rPr>
          <w:spacing w:val="-8"/>
          <w:w w:val="105"/>
          <w:sz w:val="21"/>
        </w:rPr>
        <w:t> </w:t>
      </w:r>
      <w:r>
        <w:rPr>
          <w:w w:val="105"/>
          <w:sz w:val="21"/>
        </w:rPr>
        <w:t>rest</w:t>
      </w:r>
      <w:r>
        <w:rPr>
          <w:spacing w:val="-8"/>
          <w:w w:val="105"/>
          <w:sz w:val="21"/>
        </w:rPr>
        <w:t> </w:t>
      </w:r>
      <w:r>
        <w:rPr>
          <w:w w:val="105"/>
          <w:sz w:val="21"/>
        </w:rPr>
        <w:t>with</w:t>
      </w:r>
      <w:r>
        <w:rPr>
          <w:spacing w:val="-8"/>
          <w:w w:val="105"/>
          <w:sz w:val="21"/>
        </w:rPr>
        <w:t> </w:t>
      </w:r>
      <w:r>
        <w:rPr>
          <w:w w:val="105"/>
          <w:sz w:val="21"/>
        </w:rPr>
        <w:t>the</w:t>
      </w:r>
      <w:r>
        <w:rPr>
          <w:spacing w:val="-8"/>
          <w:w w:val="105"/>
          <w:sz w:val="21"/>
        </w:rPr>
        <w:t> </w:t>
      </w:r>
      <w:r>
        <w:rPr>
          <w:spacing w:val="-3"/>
          <w:w w:val="105"/>
          <w:sz w:val="21"/>
        </w:rPr>
        <w:t>original</w:t>
      </w:r>
      <w:r>
        <w:rPr>
          <w:spacing w:val="-8"/>
          <w:w w:val="105"/>
          <w:sz w:val="21"/>
        </w:rPr>
        <w:t> </w:t>
      </w:r>
      <w:r>
        <w:rPr>
          <w:spacing w:val="-4"/>
          <w:w w:val="105"/>
          <w:sz w:val="21"/>
        </w:rPr>
        <w:t>owner.</w:t>
      </w:r>
      <w:r>
        <w:rPr>
          <w:spacing w:val="-8"/>
          <w:w w:val="105"/>
          <w:sz w:val="21"/>
        </w:rPr>
        <w:t> </w:t>
      </w:r>
      <w:r>
        <w:rPr>
          <w:w w:val="105"/>
          <w:sz w:val="21"/>
        </w:rPr>
        <w:t>It would be </w:t>
      </w:r>
      <w:r>
        <w:rPr>
          <w:spacing w:val="-4"/>
          <w:w w:val="105"/>
          <w:sz w:val="21"/>
        </w:rPr>
        <w:t>unfair </w:t>
      </w:r>
      <w:r>
        <w:rPr>
          <w:spacing w:val="-3"/>
          <w:w w:val="105"/>
          <w:sz w:val="21"/>
        </w:rPr>
        <w:t>to </w:t>
      </w:r>
      <w:r>
        <w:rPr>
          <w:w w:val="105"/>
          <w:sz w:val="21"/>
        </w:rPr>
        <w:t>shift </w:t>
      </w:r>
      <w:r>
        <w:rPr>
          <w:spacing w:val="-3"/>
          <w:w w:val="105"/>
          <w:sz w:val="21"/>
        </w:rPr>
        <w:t>responsibility for </w:t>
      </w:r>
      <w:r>
        <w:rPr>
          <w:w w:val="105"/>
          <w:sz w:val="21"/>
        </w:rPr>
        <w:t>compensation </w:t>
      </w:r>
      <w:r>
        <w:rPr>
          <w:spacing w:val="-3"/>
          <w:w w:val="105"/>
          <w:sz w:val="21"/>
        </w:rPr>
        <w:t>to </w:t>
      </w:r>
      <w:r>
        <w:rPr>
          <w:w w:val="105"/>
          <w:sz w:val="21"/>
        </w:rPr>
        <w:t>a new owner who was </w:t>
      </w:r>
      <w:r>
        <w:rPr>
          <w:spacing w:val="-2"/>
          <w:w w:val="105"/>
          <w:sz w:val="21"/>
        </w:rPr>
        <w:t>not </w:t>
      </w:r>
      <w:r>
        <w:rPr>
          <w:spacing w:val="-3"/>
          <w:w w:val="105"/>
          <w:sz w:val="21"/>
        </w:rPr>
        <w:t>involved. </w:t>
      </w:r>
      <w:r>
        <w:rPr>
          <w:w w:val="105"/>
          <w:sz w:val="21"/>
        </w:rPr>
        <w:t>This is also the approach in New South</w:t>
      </w:r>
      <w:r>
        <w:rPr>
          <w:spacing w:val="35"/>
          <w:w w:val="105"/>
          <w:sz w:val="21"/>
        </w:rPr>
        <w:t> </w:t>
      </w:r>
      <w:r>
        <w:rPr>
          <w:spacing w:val="-3"/>
          <w:w w:val="105"/>
          <w:sz w:val="21"/>
        </w:rPr>
        <w:t>Wales.</w:t>
      </w:r>
    </w:p>
    <w:p>
      <w:pPr>
        <w:pStyle w:val="ListParagraph"/>
        <w:numPr>
          <w:ilvl w:val="1"/>
          <w:numId w:val="16"/>
        </w:numPr>
        <w:tabs>
          <w:tab w:pos="2380" w:val="left" w:leader="none"/>
          <w:tab w:pos="2381" w:val="left" w:leader="none"/>
        </w:tabs>
        <w:spacing w:line="242" w:lineRule="auto" w:before="123" w:after="0"/>
        <w:ind w:left="2380" w:right="1834" w:hanging="794"/>
        <w:jc w:val="left"/>
        <w:rPr>
          <w:sz w:val="21"/>
        </w:rPr>
      </w:pPr>
      <w:r>
        <w:rPr>
          <w:sz w:val="21"/>
        </w:rPr>
        <w:t>The </w:t>
      </w:r>
      <w:r>
        <w:rPr>
          <w:spacing w:val="-3"/>
          <w:sz w:val="21"/>
        </w:rPr>
        <w:t>right to </w:t>
      </w:r>
      <w:r>
        <w:rPr>
          <w:sz w:val="21"/>
        </w:rPr>
        <w:t>benefit </w:t>
      </w:r>
      <w:r>
        <w:rPr>
          <w:spacing w:val="-3"/>
          <w:sz w:val="21"/>
        </w:rPr>
        <w:t>from </w:t>
      </w:r>
      <w:r>
        <w:rPr>
          <w:sz w:val="21"/>
        </w:rPr>
        <w:t>orders should be </w:t>
      </w:r>
      <w:r>
        <w:rPr>
          <w:spacing w:val="-3"/>
          <w:sz w:val="21"/>
        </w:rPr>
        <w:t>limited to </w:t>
      </w:r>
      <w:r>
        <w:rPr>
          <w:sz w:val="21"/>
        </w:rPr>
        <w:t>the </w:t>
      </w:r>
      <w:r>
        <w:rPr>
          <w:spacing w:val="-3"/>
          <w:sz w:val="21"/>
        </w:rPr>
        <w:t>immediate </w:t>
      </w:r>
      <w:r>
        <w:rPr>
          <w:sz w:val="21"/>
        </w:rPr>
        <w:t>new affected </w:t>
      </w:r>
      <w:r>
        <w:rPr>
          <w:spacing w:val="-3"/>
          <w:sz w:val="21"/>
        </w:rPr>
        <w:t>neighbour </w:t>
      </w:r>
      <w:r>
        <w:rPr>
          <w:sz w:val="21"/>
        </w:rPr>
        <w:t>(the </w:t>
      </w:r>
      <w:r>
        <w:rPr>
          <w:spacing w:val="-3"/>
          <w:sz w:val="21"/>
        </w:rPr>
        <w:t>applicant’s successor </w:t>
      </w:r>
      <w:r>
        <w:rPr>
          <w:sz w:val="21"/>
        </w:rPr>
        <w:t>in title).</w:t>
      </w:r>
      <w:r>
        <w:rPr>
          <w:position w:val="7"/>
          <w:sz w:val="12"/>
        </w:rPr>
        <w:t>98 </w:t>
      </w:r>
      <w:r>
        <w:rPr>
          <w:sz w:val="21"/>
        </w:rPr>
        <w:t>The </w:t>
      </w:r>
      <w:r>
        <w:rPr>
          <w:spacing w:val="-3"/>
          <w:sz w:val="21"/>
        </w:rPr>
        <w:t>Commission </w:t>
      </w:r>
      <w:r>
        <w:rPr>
          <w:sz w:val="21"/>
        </w:rPr>
        <w:t>is persuaded by the approach in New South </w:t>
      </w:r>
      <w:r>
        <w:rPr>
          <w:spacing w:val="-3"/>
          <w:sz w:val="21"/>
        </w:rPr>
        <w:t>Wales </w:t>
      </w:r>
      <w:r>
        <w:rPr>
          <w:sz w:val="21"/>
        </w:rPr>
        <w:t>where the </w:t>
      </w:r>
      <w:r>
        <w:rPr>
          <w:spacing w:val="-3"/>
          <w:sz w:val="21"/>
        </w:rPr>
        <w:t>right </w:t>
      </w:r>
      <w:r>
        <w:rPr>
          <w:sz w:val="21"/>
        </w:rPr>
        <w:t>is </w:t>
      </w:r>
      <w:r>
        <w:rPr>
          <w:spacing w:val="-3"/>
          <w:sz w:val="21"/>
        </w:rPr>
        <w:t>limited </w:t>
      </w:r>
      <w:r>
        <w:rPr>
          <w:sz w:val="21"/>
        </w:rPr>
        <w:t>in this </w:t>
      </w:r>
      <w:r>
        <w:rPr>
          <w:spacing w:val="-3"/>
          <w:sz w:val="21"/>
        </w:rPr>
        <w:t>way </w:t>
      </w:r>
      <w:r>
        <w:rPr>
          <w:sz w:val="21"/>
        </w:rPr>
        <w:t>so as </w:t>
      </w:r>
      <w:r>
        <w:rPr>
          <w:spacing w:val="-2"/>
          <w:sz w:val="21"/>
        </w:rPr>
        <w:t>not </w:t>
      </w:r>
      <w:r>
        <w:rPr>
          <w:spacing w:val="-3"/>
          <w:sz w:val="21"/>
        </w:rPr>
        <w:t>to</w:t>
      </w:r>
      <w:r>
        <w:rPr>
          <w:spacing w:val="36"/>
          <w:sz w:val="21"/>
        </w:rPr>
        <w:t> </w:t>
      </w:r>
      <w:r>
        <w:rPr>
          <w:sz w:val="21"/>
        </w:rPr>
        <w:t>burden</w:t>
      </w:r>
    </w:p>
    <w:p>
      <w:pPr>
        <w:pStyle w:val="BodyText"/>
        <w:rPr>
          <w:sz w:val="20"/>
        </w:rPr>
      </w:pPr>
    </w:p>
    <w:p>
      <w:pPr>
        <w:pStyle w:val="BodyText"/>
        <w:spacing w:before="11"/>
        <w:rPr>
          <w:sz w:val="26"/>
        </w:rPr>
      </w:pPr>
      <w:r>
        <w:rPr/>
        <w:pict>
          <v:line style="position:absolute;mso-position-horizontal-relative:page;mso-position-vertical-relative:paragraph;z-index:10928;mso-wrap-distance-left:0;mso-wrap-distance-right:0" from="79.370102pt,18.892067pt" to="515.905102pt,18.89206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spacing w:before="241"/>
        <w:ind w:left="720" w:right="0" w:firstLine="0"/>
        <w:jc w:val="left"/>
        <w:rPr>
          <w:b/>
          <w:sz w:val="24"/>
        </w:rPr>
      </w:pPr>
      <w:r>
        <w:rPr>
          <w:b/>
          <w:color w:val="658464"/>
          <w:w w:val="105"/>
          <w:sz w:val="24"/>
        </w:rPr>
        <w:t>268</w:t>
      </w:r>
    </w:p>
    <w:p>
      <w:pPr>
        <w:pStyle w:val="ListParagraph"/>
        <w:numPr>
          <w:ilvl w:val="0"/>
          <w:numId w:val="193"/>
        </w:numPr>
        <w:tabs>
          <w:tab w:pos="1220" w:val="left" w:leader="none"/>
          <w:tab w:pos="1221" w:val="left" w:leader="none"/>
        </w:tabs>
        <w:spacing w:line="240" w:lineRule="auto" w:before="48" w:after="0"/>
        <w:ind w:left="1220" w:right="0" w:hanging="793"/>
        <w:jc w:val="left"/>
        <w:rPr>
          <w:sz w:val="13"/>
        </w:rPr>
      </w:pPr>
      <w:r>
        <w:rPr>
          <w:spacing w:val="-3"/>
          <w:w w:val="125"/>
          <w:sz w:val="13"/>
        </w:rPr>
        <w:br w:type="column"/>
      </w:r>
      <w:r>
        <w:rPr>
          <w:w w:val="105"/>
          <w:sz w:val="13"/>
        </w:rPr>
        <w:t>Confidential</w:t>
      </w:r>
      <w:r>
        <w:rPr>
          <w:spacing w:val="4"/>
          <w:w w:val="105"/>
          <w:sz w:val="13"/>
        </w:rPr>
        <w:t> </w:t>
      </w:r>
      <w:r>
        <w:rPr>
          <w:w w:val="105"/>
          <w:sz w:val="13"/>
        </w:rPr>
        <w:t>submission.</w:t>
      </w:r>
    </w:p>
    <w:p>
      <w:pPr>
        <w:pStyle w:val="ListParagraph"/>
        <w:numPr>
          <w:ilvl w:val="0"/>
          <w:numId w:val="193"/>
        </w:numPr>
        <w:tabs>
          <w:tab w:pos="1220" w:val="left" w:leader="none"/>
          <w:tab w:pos="1221" w:val="left" w:leader="none"/>
        </w:tabs>
        <w:spacing w:line="240" w:lineRule="auto" w:before="1" w:after="0"/>
        <w:ind w:left="1220" w:right="0" w:hanging="793"/>
        <w:jc w:val="left"/>
        <w:rPr>
          <w:sz w:val="13"/>
        </w:rPr>
      </w:pPr>
      <w:r>
        <w:rPr>
          <w:w w:val="105"/>
          <w:sz w:val="13"/>
        </w:rPr>
        <w:t>Submission 2 </w:t>
      </w:r>
      <w:r>
        <w:rPr>
          <w:spacing w:val="2"/>
          <w:w w:val="105"/>
          <w:sz w:val="13"/>
        </w:rPr>
        <w:t>(Name</w:t>
      </w:r>
      <w:r>
        <w:rPr>
          <w:spacing w:val="13"/>
          <w:w w:val="105"/>
          <w:sz w:val="13"/>
        </w:rPr>
        <w:t> </w:t>
      </w:r>
      <w:r>
        <w:rPr>
          <w:w w:val="105"/>
          <w:sz w:val="13"/>
        </w:rPr>
        <w:t>withheld).</w:t>
      </w:r>
    </w:p>
    <w:p>
      <w:pPr>
        <w:pStyle w:val="ListParagraph"/>
        <w:numPr>
          <w:ilvl w:val="0"/>
          <w:numId w:val="193"/>
        </w:numPr>
        <w:tabs>
          <w:tab w:pos="1220" w:val="left" w:leader="none"/>
          <w:tab w:pos="1221" w:val="left" w:leader="none"/>
        </w:tabs>
        <w:spacing w:line="240" w:lineRule="auto" w:before="2" w:after="0"/>
        <w:ind w:left="1220" w:right="0" w:hanging="793"/>
        <w:jc w:val="left"/>
        <w:rPr>
          <w:sz w:val="13"/>
        </w:rPr>
      </w:pPr>
      <w:r>
        <w:rPr>
          <w:w w:val="105"/>
          <w:sz w:val="13"/>
        </w:rPr>
        <w:t>Submission 10 (Professor Phillip</w:t>
      </w:r>
      <w:r>
        <w:rPr>
          <w:spacing w:val="18"/>
          <w:w w:val="105"/>
          <w:sz w:val="13"/>
        </w:rPr>
        <w:t> </w:t>
      </w:r>
      <w:r>
        <w:rPr>
          <w:w w:val="105"/>
          <w:sz w:val="13"/>
        </w:rPr>
        <w:t>Hamilton).</w:t>
      </w:r>
    </w:p>
    <w:p>
      <w:pPr>
        <w:pStyle w:val="ListParagraph"/>
        <w:numPr>
          <w:ilvl w:val="0"/>
          <w:numId w:val="193"/>
        </w:numPr>
        <w:tabs>
          <w:tab w:pos="1220" w:val="left" w:leader="none"/>
          <w:tab w:pos="1221" w:val="left" w:leader="none"/>
        </w:tabs>
        <w:spacing w:line="240" w:lineRule="auto" w:before="1" w:after="0"/>
        <w:ind w:left="1220" w:right="0" w:hanging="793"/>
        <w:jc w:val="left"/>
        <w:rPr>
          <w:sz w:val="13"/>
        </w:rPr>
      </w:pPr>
      <w:r>
        <w:rPr>
          <w:w w:val="105"/>
          <w:sz w:val="13"/>
        </w:rPr>
        <w:t>Confidential</w:t>
      </w:r>
      <w:r>
        <w:rPr>
          <w:spacing w:val="4"/>
          <w:w w:val="105"/>
          <w:sz w:val="13"/>
        </w:rPr>
        <w:t> </w:t>
      </w:r>
      <w:r>
        <w:rPr>
          <w:w w:val="105"/>
          <w:sz w:val="13"/>
        </w:rPr>
        <w:t>submission.</w:t>
      </w:r>
    </w:p>
    <w:p>
      <w:pPr>
        <w:pStyle w:val="ListParagraph"/>
        <w:numPr>
          <w:ilvl w:val="0"/>
          <w:numId w:val="193"/>
        </w:numPr>
        <w:tabs>
          <w:tab w:pos="1220" w:val="left" w:leader="none"/>
          <w:tab w:pos="1221" w:val="left" w:leader="none"/>
        </w:tabs>
        <w:spacing w:line="240" w:lineRule="auto" w:before="1" w:after="0"/>
        <w:ind w:left="1220" w:right="0" w:hanging="793"/>
        <w:jc w:val="left"/>
        <w:rPr>
          <w:sz w:val="13"/>
        </w:rPr>
      </w:pPr>
      <w:r>
        <w:rPr>
          <w:sz w:val="13"/>
        </w:rPr>
        <w:t>This</w:t>
      </w:r>
      <w:r>
        <w:rPr>
          <w:spacing w:val="9"/>
          <w:sz w:val="13"/>
        </w:rPr>
        <w:t> </w:t>
      </w:r>
      <w:r>
        <w:rPr>
          <w:sz w:val="13"/>
        </w:rPr>
        <w:t>means</w:t>
      </w:r>
      <w:r>
        <w:rPr>
          <w:spacing w:val="9"/>
          <w:sz w:val="13"/>
        </w:rPr>
        <w:t> </w:t>
      </w:r>
      <w:r>
        <w:rPr>
          <w:sz w:val="13"/>
        </w:rPr>
        <w:t>those</w:t>
      </w:r>
      <w:r>
        <w:rPr>
          <w:spacing w:val="9"/>
          <w:sz w:val="13"/>
        </w:rPr>
        <w:t> </w:t>
      </w:r>
      <w:r>
        <w:rPr>
          <w:sz w:val="13"/>
        </w:rPr>
        <w:t>who</w:t>
      </w:r>
      <w:r>
        <w:rPr>
          <w:spacing w:val="9"/>
          <w:sz w:val="13"/>
        </w:rPr>
        <w:t> </w:t>
      </w:r>
      <w:r>
        <w:rPr>
          <w:sz w:val="13"/>
        </w:rPr>
        <w:t>first</w:t>
      </w:r>
      <w:r>
        <w:rPr>
          <w:spacing w:val="10"/>
          <w:sz w:val="13"/>
        </w:rPr>
        <w:t> </w:t>
      </w:r>
      <w:r>
        <w:rPr>
          <w:sz w:val="13"/>
        </w:rPr>
        <w:t>purchase</w:t>
      </w:r>
      <w:r>
        <w:rPr>
          <w:spacing w:val="9"/>
          <w:sz w:val="13"/>
        </w:rPr>
        <w:t> </w:t>
      </w:r>
      <w:r>
        <w:rPr>
          <w:sz w:val="13"/>
        </w:rPr>
        <w:t>from</w:t>
      </w:r>
      <w:r>
        <w:rPr>
          <w:spacing w:val="9"/>
          <w:sz w:val="13"/>
        </w:rPr>
        <w:t> </w:t>
      </w:r>
      <w:r>
        <w:rPr>
          <w:sz w:val="13"/>
        </w:rPr>
        <w:t>the</w:t>
      </w:r>
      <w:r>
        <w:rPr>
          <w:spacing w:val="9"/>
          <w:sz w:val="13"/>
        </w:rPr>
        <w:t> </w:t>
      </w:r>
      <w:r>
        <w:rPr>
          <w:sz w:val="13"/>
        </w:rPr>
        <w:t>tree</w:t>
      </w:r>
      <w:r>
        <w:rPr>
          <w:spacing w:val="10"/>
          <w:sz w:val="13"/>
        </w:rPr>
        <w:t> </w:t>
      </w:r>
      <w:r>
        <w:rPr>
          <w:sz w:val="13"/>
        </w:rPr>
        <w:t>owner</w:t>
      </w:r>
      <w:r>
        <w:rPr>
          <w:spacing w:val="9"/>
          <w:sz w:val="13"/>
        </w:rPr>
        <w:t> </w:t>
      </w:r>
      <w:r>
        <w:rPr>
          <w:sz w:val="13"/>
        </w:rPr>
        <w:t>or</w:t>
      </w:r>
      <w:r>
        <w:rPr>
          <w:spacing w:val="9"/>
          <w:sz w:val="13"/>
        </w:rPr>
        <w:t> </w:t>
      </w:r>
      <w:r>
        <w:rPr>
          <w:sz w:val="13"/>
        </w:rPr>
        <w:t>affected</w:t>
      </w:r>
      <w:r>
        <w:rPr>
          <w:spacing w:val="9"/>
          <w:sz w:val="13"/>
        </w:rPr>
        <w:t> </w:t>
      </w:r>
      <w:r>
        <w:rPr>
          <w:sz w:val="13"/>
        </w:rPr>
        <w:t>neighbour.</w:t>
      </w:r>
      <w:r>
        <w:rPr>
          <w:spacing w:val="10"/>
          <w:sz w:val="13"/>
        </w:rPr>
        <w:t> </w:t>
      </w:r>
      <w:r>
        <w:rPr>
          <w:sz w:val="13"/>
        </w:rPr>
        <w:t>It</w:t>
      </w:r>
      <w:r>
        <w:rPr>
          <w:spacing w:val="9"/>
          <w:sz w:val="13"/>
        </w:rPr>
        <w:t> </w:t>
      </w:r>
      <w:r>
        <w:rPr>
          <w:sz w:val="13"/>
        </w:rPr>
        <w:t>will</w:t>
      </w:r>
      <w:r>
        <w:rPr>
          <w:spacing w:val="9"/>
          <w:sz w:val="13"/>
        </w:rPr>
        <w:t> </w:t>
      </w:r>
      <w:r>
        <w:rPr>
          <w:sz w:val="13"/>
        </w:rPr>
        <w:t>not</w:t>
      </w:r>
      <w:r>
        <w:rPr>
          <w:spacing w:val="9"/>
          <w:sz w:val="13"/>
        </w:rPr>
        <w:t> </w:t>
      </w:r>
      <w:r>
        <w:rPr>
          <w:sz w:val="13"/>
        </w:rPr>
        <w:t>apply</w:t>
      </w:r>
      <w:r>
        <w:rPr>
          <w:spacing w:val="10"/>
          <w:sz w:val="13"/>
        </w:rPr>
        <w:t> </w:t>
      </w:r>
      <w:r>
        <w:rPr>
          <w:sz w:val="13"/>
        </w:rPr>
        <w:t>to</w:t>
      </w:r>
      <w:r>
        <w:rPr>
          <w:spacing w:val="9"/>
          <w:sz w:val="13"/>
        </w:rPr>
        <w:t> </w:t>
      </w:r>
      <w:r>
        <w:rPr>
          <w:sz w:val="13"/>
        </w:rPr>
        <w:t>subsequent</w:t>
      </w:r>
      <w:r>
        <w:rPr>
          <w:spacing w:val="9"/>
          <w:sz w:val="13"/>
        </w:rPr>
        <w:t> </w:t>
      </w:r>
      <w:r>
        <w:rPr>
          <w:sz w:val="13"/>
        </w:rPr>
        <w:t>purchasers.</w:t>
      </w:r>
    </w:p>
    <w:p>
      <w:pPr>
        <w:spacing w:after="0" w:line="240" w:lineRule="auto"/>
        <w:jc w:val="left"/>
        <w:rPr>
          <w:sz w:val="13"/>
        </w:rPr>
        <w:sectPr>
          <w:type w:val="continuous"/>
          <w:pgSz w:w="11910" w:h="16840"/>
          <w:pgMar w:top="300" w:bottom="280" w:left="0" w:right="0"/>
          <w:cols w:num="2" w:equalWidth="0">
            <w:col w:w="1121" w:space="40"/>
            <w:col w:w="10749"/>
          </w:cols>
        </w:sectPr>
      </w:pPr>
    </w:p>
    <w:p>
      <w:pPr>
        <w:pStyle w:val="BodyText"/>
        <w:rPr>
          <w:sz w:val="20"/>
        </w:rPr>
      </w:pPr>
    </w:p>
    <w:p>
      <w:pPr>
        <w:pStyle w:val="BodyText"/>
        <w:spacing w:before="9"/>
        <w:rPr>
          <w:sz w:val="18"/>
        </w:rPr>
      </w:pPr>
    </w:p>
    <w:p>
      <w:pPr>
        <w:pStyle w:val="BodyText"/>
        <w:spacing w:line="242" w:lineRule="auto" w:before="91"/>
        <w:ind w:left="2381" w:right="2365"/>
      </w:pPr>
      <w:bookmarkStart w:name="_bookmark145" w:id="314"/>
      <w:bookmarkEnd w:id="314"/>
      <w:r>
        <w:rPr/>
      </w:r>
      <w:r>
        <w:rPr>
          <w:w w:val="105"/>
        </w:rPr>
        <w:t>‘title </w:t>
      </w:r>
      <w:r>
        <w:rPr>
          <w:spacing w:val="-3"/>
          <w:w w:val="105"/>
        </w:rPr>
        <w:t>to </w:t>
      </w:r>
      <w:r>
        <w:rPr>
          <w:w w:val="105"/>
        </w:rPr>
        <w:t>the </w:t>
      </w:r>
      <w:r>
        <w:rPr>
          <w:spacing w:val="-3"/>
          <w:w w:val="105"/>
        </w:rPr>
        <w:t>land indefinitely, </w:t>
      </w:r>
      <w:r>
        <w:rPr>
          <w:w w:val="105"/>
        </w:rPr>
        <w:t>particularly in the case of orders </w:t>
      </w:r>
      <w:r>
        <w:rPr>
          <w:spacing w:val="-3"/>
          <w:w w:val="105"/>
        </w:rPr>
        <w:t>relating to </w:t>
      </w:r>
      <w:r>
        <w:rPr>
          <w:w w:val="105"/>
        </w:rPr>
        <w:t>ongoing </w:t>
      </w:r>
      <w:r>
        <w:rPr>
          <w:spacing w:val="-5"/>
          <w:w w:val="105"/>
        </w:rPr>
        <w:t>maintenance’.</w:t>
      </w:r>
      <w:r>
        <w:rPr>
          <w:spacing w:val="-5"/>
          <w:w w:val="105"/>
          <w:position w:val="7"/>
          <w:sz w:val="12"/>
        </w:rPr>
        <w:t>99 </w:t>
      </w:r>
      <w:r>
        <w:rPr>
          <w:spacing w:val="-5"/>
          <w:w w:val="105"/>
        </w:rPr>
        <w:t>Tree </w:t>
      </w:r>
      <w:r>
        <w:rPr>
          <w:spacing w:val="-3"/>
          <w:w w:val="105"/>
        </w:rPr>
        <w:t>dispute </w:t>
      </w:r>
      <w:r>
        <w:rPr>
          <w:w w:val="105"/>
        </w:rPr>
        <w:t>orders should </w:t>
      </w:r>
      <w:r>
        <w:rPr>
          <w:spacing w:val="-2"/>
          <w:w w:val="105"/>
        </w:rPr>
        <w:t>not </w:t>
      </w:r>
      <w:r>
        <w:rPr>
          <w:w w:val="105"/>
        </w:rPr>
        <w:t>run with the </w:t>
      </w:r>
      <w:r>
        <w:rPr>
          <w:spacing w:val="-3"/>
          <w:w w:val="105"/>
        </w:rPr>
        <w:t>land.</w:t>
      </w:r>
    </w:p>
    <w:p>
      <w:pPr>
        <w:pStyle w:val="ListParagraph"/>
        <w:numPr>
          <w:ilvl w:val="1"/>
          <w:numId w:val="16"/>
        </w:numPr>
        <w:tabs>
          <w:tab w:pos="2381" w:val="left" w:leader="none"/>
          <w:tab w:pos="2382" w:val="left" w:leader="none"/>
        </w:tabs>
        <w:spacing w:line="242" w:lineRule="auto" w:before="123" w:after="0"/>
        <w:ind w:left="2381" w:right="1600" w:hanging="794"/>
        <w:jc w:val="left"/>
        <w:rPr>
          <w:sz w:val="21"/>
        </w:rPr>
      </w:pPr>
      <w:r>
        <w:rPr>
          <w:w w:val="105"/>
          <w:sz w:val="21"/>
        </w:rPr>
        <w:t>The </w:t>
      </w:r>
      <w:r>
        <w:rPr>
          <w:spacing w:val="-3"/>
          <w:w w:val="105"/>
          <w:sz w:val="21"/>
        </w:rPr>
        <w:t>Commission </w:t>
      </w:r>
      <w:r>
        <w:rPr>
          <w:w w:val="105"/>
          <w:sz w:val="21"/>
        </w:rPr>
        <w:t>acknowledges the </w:t>
      </w:r>
      <w:r>
        <w:rPr>
          <w:spacing w:val="-3"/>
          <w:w w:val="105"/>
          <w:sz w:val="21"/>
        </w:rPr>
        <w:t>concerns that </w:t>
      </w:r>
      <w:r>
        <w:rPr>
          <w:w w:val="105"/>
          <w:sz w:val="21"/>
        </w:rPr>
        <w:t>new owners should </w:t>
      </w:r>
      <w:r>
        <w:rPr>
          <w:spacing w:val="-2"/>
          <w:w w:val="105"/>
          <w:sz w:val="21"/>
        </w:rPr>
        <w:t>not </w:t>
      </w:r>
      <w:r>
        <w:rPr>
          <w:w w:val="105"/>
          <w:sz w:val="21"/>
        </w:rPr>
        <w:t>be bound by the </w:t>
      </w:r>
      <w:r>
        <w:rPr>
          <w:spacing w:val="-3"/>
          <w:w w:val="105"/>
          <w:sz w:val="21"/>
        </w:rPr>
        <w:t>outcome </w:t>
      </w:r>
      <w:r>
        <w:rPr>
          <w:w w:val="105"/>
          <w:sz w:val="21"/>
        </w:rPr>
        <w:t>of legal action because they </w:t>
      </w:r>
      <w:r>
        <w:rPr>
          <w:spacing w:val="-3"/>
          <w:w w:val="105"/>
          <w:sz w:val="21"/>
        </w:rPr>
        <w:t>may </w:t>
      </w:r>
      <w:r>
        <w:rPr>
          <w:w w:val="105"/>
          <w:sz w:val="21"/>
        </w:rPr>
        <w:t>view the tree </w:t>
      </w:r>
      <w:r>
        <w:rPr>
          <w:spacing w:val="-3"/>
          <w:w w:val="105"/>
          <w:sz w:val="21"/>
        </w:rPr>
        <w:t>differently from </w:t>
      </w:r>
      <w:r>
        <w:rPr>
          <w:w w:val="105"/>
          <w:sz w:val="21"/>
        </w:rPr>
        <w:t>the </w:t>
      </w:r>
      <w:r>
        <w:rPr>
          <w:spacing w:val="-3"/>
          <w:w w:val="105"/>
          <w:sz w:val="21"/>
        </w:rPr>
        <w:t>original </w:t>
      </w:r>
      <w:r>
        <w:rPr>
          <w:w w:val="105"/>
          <w:sz w:val="21"/>
        </w:rPr>
        <w:t>parties in </w:t>
      </w:r>
      <w:r>
        <w:rPr>
          <w:spacing w:val="-3"/>
          <w:w w:val="105"/>
          <w:sz w:val="21"/>
        </w:rPr>
        <w:t>dispute. </w:t>
      </w:r>
      <w:r>
        <w:rPr>
          <w:w w:val="105"/>
          <w:sz w:val="21"/>
        </w:rPr>
        <w:t>For </w:t>
      </w:r>
      <w:r>
        <w:rPr>
          <w:spacing w:val="-3"/>
          <w:w w:val="105"/>
          <w:sz w:val="21"/>
        </w:rPr>
        <w:t>example, </w:t>
      </w:r>
      <w:r>
        <w:rPr>
          <w:w w:val="105"/>
          <w:sz w:val="21"/>
        </w:rPr>
        <w:t>a new affected </w:t>
      </w:r>
      <w:r>
        <w:rPr>
          <w:spacing w:val="-3"/>
          <w:w w:val="105"/>
          <w:sz w:val="21"/>
        </w:rPr>
        <w:t>neighbour may </w:t>
      </w:r>
      <w:r>
        <w:rPr>
          <w:w w:val="105"/>
          <w:sz w:val="21"/>
        </w:rPr>
        <w:t>wish </w:t>
      </w:r>
      <w:r>
        <w:rPr>
          <w:spacing w:val="-3"/>
          <w:w w:val="105"/>
          <w:sz w:val="21"/>
        </w:rPr>
        <w:t>to retain overhanging branches </w:t>
      </w:r>
      <w:r>
        <w:rPr>
          <w:w w:val="105"/>
          <w:sz w:val="21"/>
        </w:rPr>
        <w:t>because they provide shade and </w:t>
      </w:r>
      <w:r>
        <w:rPr>
          <w:spacing w:val="-3"/>
          <w:w w:val="105"/>
          <w:sz w:val="21"/>
        </w:rPr>
        <w:t>greenery. </w:t>
      </w:r>
      <w:r>
        <w:rPr>
          <w:spacing w:val="-4"/>
          <w:w w:val="105"/>
          <w:sz w:val="21"/>
        </w:rPr>
        <w:t>However, </w:t>
      </w:r>
      <w:r>
        <w:rPr>
          <w:w w:val="105"/>
          <w:sz w:val="21"/>
        </w:rPr>
        <w:t>because the new Act deals only</w:t>
      </w:r>
      <w:r>
        <w:rPr>
          <w:spacing w:val="-6"/>
          <w:w w:val="105"/>
          <w:sz w:val="21"/>
        </w:rPr>
        <w:t> </w:t>
      </w:r>
      <w:r>
        <w:rPr>
          <w:w w:val="105"/>
          <w:sz w:val="21"/>
        </w:rPr>
        <w:t>with</w:t>
      </w:r>
      <w:r>
        <w:rPr>
          <w:spacing w:val="-5"/>
          <w:w w:val="105"/>
          <w:sz w:val="21"/>
        </w:rPr>
        <w:t> </w:t>
      </w:r>
      <w:r>
        <w:rPr>
          <w:w w:val="105"/>
          <w:sz w:val="21"/>
        </w:rPr>
        <w:t>damage</w:t>
      </w:r>
      <w:r>
        <w:rPr>
          <w:spacing w:val="-6"/>
          <w:w w:val="105"/>
          <w:sz w:val="21"/>
        </w:rPr>
        <w:t> </w:t>
      </w:r>
      <w:r>
        <w:rPr>
          <w:w w:val="105"/>
          <w:sz w:val="21"/>
        </w:rPr>
        <w:t>or</w:t>
      </w:r>
      <w:r>
        <w:rPr>
          <w:spacing w:val="-5"/>
          <w:w w:val="105"/>
          <w:sz w:val="21"/>
        </w:rPr>
        <w:t> </w:t>
      </w:r>
      <w:r>
        <w:rPr>
          <w:spacing w:val="-4"/>
          <w:w w:val="105"/>
          <w:sz w:val="21"/>
        </w:rPr>
        <w:t>likely</w:t>
      </w:r>
      <w:r>
        <w:rPr>
          <w:spacing w:val="-6"/>
          <w:w w:val="105"/>
          <w:sz w:val="21"/>
        </w:rPr>
        <w:t> </w:t>
      </w:r>
      <w:r>
        <w:rPr>
          <w:spacing w:val="-3"/>
          <w:w w:val="105"/>
          <w:sz w:val="21"/>
        </w:rPr>
        <w:t>future</w:t>
      </w:r>
      <w:r>
        <w:rPr>
          <w:spacing w:val="-5"/>
          <w:w w:val="105"/>
          <w:sz w:val="21"/>
        </w:rPr>
        <w:t> </w:t>
      </w:r>
      <w:r>
        <w:rPr>
          <w:w w:val="105"/>
          <w:sz w:val="21"/>
        </w:rPr>
        <w:t>damage</w:t>
      </w:r>
      <w:r>
        <w:rPr>
          <w:spacing w:val="-6"/>
          <w:w w:val="105"/>
          <w:sz w:val="21"/>
        </w:rPr>
        <w:t> </w:t>
      </w:r>
      <w:r>
        <w:rPr>
          <w:w w:val="105"/>
          <w:sz w:val="21"/>
        </w:rPr>
        <w:t>or</w:t>
      </w:r>
      <w:r>
        <w:rPr>
          <w:spacing w:val="-5"/>
          <w:w w:val="105"/>
          <w:sz w:val="21"/>
        </w:rPr>
        <w:t> </w:t>
      </w:r>
      <w:r>
        <w:rPr>
          <w:spacing w:val="-3"/>
          <w:w w:val="105"/>
          <w:sz w:val="21"/>
        </w:rPr>
        <w:t>harm,</w:t>
      </w:r>
      <w:r>
        <w:rPr>
          <w:spacing w:val="-6"/>
          <w:w w:val="105"/>
          <w:sz w:val="21"/>
        </w:rPr>
        <w:t> </w:t>
      </w:r>
      <w:r>
        <w:rPr>
          <w:w w:val="105"/>
          <w:sz w:val="21"/>
        </w:rPr>
        <w:t>it</w:t>
      </w:r>
      <w:r>
        <w:rPr>
          <w:spacing w:val="-5"/>
          <w:w w:val="105"/>
          <w:sz w:val="21"/>
        </w:rPr>
        <w:t> </w:t>
      </w:r>
      <w:r>
        <w:rPr>
          <w:w w:val="105"/>
          <w:sz w:val="21"/>
        </w:rPr>
        <w:t>is</w:t>
      </w:r>
      <w:r>
        <w:rPr>
          <w:spacing w:val="-6"/>
          <w:w w:val="105"/>
          <w:sz w:val="21"/>
        </w:rPr>
        <w:t> </w:t>
      </w:r>
      <w:r>
        <w:rPr>
          <w:w w:val="105"/>
          <w:sz w:val="21"/>
        </w:rPr>
        <w:t>more</w:t>
      </w:r>
      <w:r>
        <w:rPr>
          <w:spacing w:val="-5"/>
          <w:w w:val="105"/>
          <w:sz w:val="21"/>
        </w:rPr>
        <w:t> </w:t>
      </w:r>
      <w:r>
        <w:rPr>
          <w:spacing w:val="-4"/>
          <w:w w:val="105"/>
          <w:sz w:val="21"/>
        </w:rPr>
        <w:t>likely</w:t>
      </w:r>
      <w:r>
        <w:rPr>
          <w:spacing w:val="-5"/>
          <w:w w:val="105"/>
          <w:sz w:val="21"/>
        </w:rPr>
        <w:t> </w:t>
      </w:r>
      <w:r>
        <w:rPr>
          <w:spacing w:val="-3"/>
          <w:w w:val="105"/>
          <w:sz w:val="21"/>
        </w:rPr>
        <w:t>that</w:t>
      </w:r>
      <w:r>
        <w:rPr>
          <w:spacing w:val="-6"/>
          <w:w w:val="105"/>
          <w:sz w:val="21"/>
        </w:rPr>
        <w:t> </w:t>
      </w:r>
      <w:r>
        <w:rPr>
          <w:w w:val="105"/>
          <w:sz w:val="21"/>
        </w:rPr>
        <w:t>the</w:t>
      </w:r>
      <w:r>
        <w:rPr>
          <w:spacing w:val="-5"/>
          <w:w w:val="105"/>
          <w:sz w:val="21"/>
        </w:rPr>
        <w:t> </w:t>
      </w:r>
      <w:r>
        <w:rPr>
          <w:w w:val="105"/>
          <w:sz w:val="21"/>
        </w:rPr>
        <w:t>same</w:t>
      </w:r>
      <w:r>
        <w:rPr>
          <w:spacing w:val="-6"/>
          <w:w w:val="105"/>
          <w:sz w:val="21"/>
        </w:rPr>
        <w:t> </w:t>
      </w:r>
      <w:r>
        <w:rPr>
          <w:w w:val="105"/>
          <w:sz w:val="21"/>
        </w:rPr>
        <w:t>problem </w:t>
      </w:r>
      <w:r>
        <w:rPr>
          <w:spacing w:val="-3"/>
          <w:w w:val="105"/>
          <w:sz w:val="21"/>
        </w:rPr>
        <w:t>will </w:t>
      </w:r>
      <w:r>
        <w:rPr>
          <w:w w:val="105"/>
          <w:sz w:val="21"/>
        </w:rPr>
        <w:t>impact a new </w:t>
      </w:r>
      <w:r>
        <w:rPr>
          <w:spacing w:val="-4"/>
          <w:w w:val="105"/>
          <w:sz w:val="21"/>
        </w:rPr>
        <w:t>owner. </w:t>
      </w:r>
      <w:r>
        <w:rPr>
          <w:w w:val="105"/>
          <w:sz w:val="21"/>
        </w:rPr>
        <w:t>This </w:t>
      </w:r>
      <w:r>
        <w:rPr>
          <w:spacing w:val="-3"/>
          <w:w w:val="105"/>
          <w:sz w:val="21"/>
        </w:rPr>
        <w:t>may </w:t>
      </w:r>
      <w:r>
        <w:rPr>
          <w:w w:val="105"/>
          <w:sz w:val="21"/>
        </w:rPr>
        <w:t>be </w:t>
      </w:r>
      <w:r>
        <w:rPr>
          <w:spacing w:val="-3"/>
          <w:w w:val="105"/>
          <w:sz w:val="21"/>
        </w:rPr>
        <w:t>different </w:t>
      </w:r>
      <w:r>
        <w:rPr>
          <w:w w:val="105"/>
          <w:sz w:val="21"/>
        </w:rPr>
        <w:t>if more subjective issues </w:t>
      </w:r>
      <w:r>
        <w:rPr>
          <w:spacing w:val="-3"/>
          <w:w w:val="105"/>
          <w:sz w:val="21"/>
        </w:rPr>
        <w:t>were </w:t>
      </w:r>
      <w:r>
        <w:rPr>
          <w:w w:val="105"/>
          <w:sz w:val="21"/>
        </w:rPr>
        <w:t>being </w:t>
      </w:r>
      <w:r>
        <w:rPr>
          <w:spacing w:val="-3"/>
          <w:w w:val="105"/>
          <w:sz w:val="21"/>
        </w:rPr>
        <w:t>considered, for example, </w:t>
      </w:r>
      <w:r>
        <w:rPr>
          <w:spacing w:val="-2"/>
          <w:w w:val="105"/>
          <w:sz w:val="21"/>
        </w:rPr>
        <w:t>access </w:t>
      </w:r>
      <w:r>
        <w:rPr>
          <w:spacing w:val="-3"/>
          <w:w w:val="105"/>
          <w:sz w:val="21"/>
        </w:rPr>
        <w:t>to </w:t>
      </w:r>
      <w:r>
        <w:rPr>
          <w:spacing w:val="-4"/>
          <w:w w:val="105"/>
          <w:sz w:val="21"/>
        </w:rPr>
        <w:t>sunlight </w:t>
      </w:r>
      <w:r>
        <w:rPr>
          <w:w w:val="105"/>
          <w:sz w:val="21"/>
        </w:rPr>
        <w:t>and views or leaf litter </w:t>
      </w:r>
      <w:r>
        <w:rPr>
          <w:spacing w:val="-2"/>
          <w:w w:val="105"/>
          <w:sz w:val="21"/>
        </w:rPr>
        <w:t>not </w:t>
      </w:r>
      <w:r>
        <w:rPr>
          <w:spacing w:val="-3"/>
          <w:w w:val="105"/>
          <w:sz w:val="21"/>
        </w:rPr>
        <w:t>causing </w:t>
      </w:r>
      <w:r>
        <w:rPr>
          <w:spacing w:val="-4"/>
          <w:w w:val="105"/>
          <w:sz w:val="21"/>
        </w:rPr>
        <w:t>damage.</w:t>
      </w:r>
      <w:r>
        <w:rPr>
          <w:spacing w:val="-4"/>
          <w:w w:val="105"/>
          <w:position w:val="7"/>
          <w:sz w:val="12"/>
        </w:rPr>
        <w:t>100 </w:t>
      </w:r>
      <w:r>
        <w:rPr>
          <w:spacing w:val="-4"/>
          <w:w w:val="105"/>
          <w:sz w:val="12"/>
        </w:rPr>
        <w:t> </w:t>
      </w:r>
      <w:r>
        <w:rPr>
          <w:w w:val="105"/>
          <w:sz w:val="21"/>
        </w:rPr>
        <w:t>If new owners do </w:t>
      </w:r>
      <w:r>
        <w:rPr>
          <w:spacing w:val="-2"/>
          <w:w w:val="105"/>
          <w:sz w:val="21"/>
        </w:rPr>
        <w:t>not </w:t>
      </w:r>
      <w:r>
        <w:rPr>
          <w:w w:val="105"/>
          <w:sz w:val="21"/>
        </w:rPr>
        <w:t>agree with a preexisting order then they should be able </w:t>
      </w:r>
      <w:r>
        <w:rPr>
          <w:spacing w:val="-3"/>
          <w:w w:val="105"/>
          <w:sz w:val="21"/>
        </w:rPr>
        <w:t>to </w:t>
      </w:r>
      <w:r>
        <w:rPr>
          <w:w w:val="105"/>
          <w:sz w:val="21"/>
        </w:rPr>
        <w:t>apply </w:t>
      </w:r>
      <w:r>
        <w:rPr>
          <w:spacing w:val="-3"/>
          <w:w w:val="105"/>
          <w:sz w:val="21"/>
        </w:rPr>
        <w:t>to </w:t>
      </w:r>
      <w:r>
        <w:rPr>
          <w:spacing w:val="-5"/>
          <w:w w:val="105"/>
          <w:sz w:val="21"/>
        </w:rPr>
        <w:t>VCAT </w:t>
      </w:r>
      <w:r>
        <w:rPr>
          <w:spacing w:val="-3"/>
          <w:w w:val="105"/>
          <w:sz w:val="21"/>
        </w:rPr>
        <w:t>to </w:t>
      </w:r>
      <w:r>
        <w:rPr>
          <w:w w:val="105"/>
          <w:sz w:val="21"/>
        </w:rPr>
        <w:t>vary or </w:t>
      </w:r>
      <w:r>
        <w:rPr>
          <w:spacing w:val="-4"/>
          <w:w w:val="105"/>
          <w:sz w:val="21"/>
        </w:rPr>
        <w:t>revoke </w:t>
      </w:r>
      <w:r>
        <w:rPr>
          <w:w w:val="105"/>
          <w:sz w:val="21"/>
        </w:rPr>
        <w:t>them (see </w:t>
      </w:r>
      <w:r>
        <w:rPr>
          <w:spacing w:val="-4"/>
          <w:w w:val="105"/>
          <w:sz w:val="21"/>
        </w:rPr>
        <w:t>Chapter </w:t>
      </w:r>
      <w:r>
        <w:rPr>
          <w:w w:val="105"/>
          <w:sz w:val="21"/>
        </w:rPr>
        <w:t>9). This </w:t>
      </w:r>
      <w:r>
        <w:rPr>
          <w:spacing w:val="-3"/>
          <w:w w:val="105"/>
          <w:sz w:val="21"/>
        </w:rPr>
        <w:t>may </w:t>
      </w:r>
      <w:r>
        <w:rPr>
          <w:w w:val="105"/>
          <w:sz w:val="21"/>
        </w:rPr>
        <w:t>also be needed where an </w:t>
      </w:r>
      <w:r>
        <w:rPr>
          <w:spacing w:val="-3"/>
          <w:w w:val="105"/>
          <w:sz w:val="21"/>
        </w:rPr>
        <w:t>original </w:t>
      </w:r>
      <w:r>
        <w:rPr>
          <w:w w:val="105"/>
          <w:sz w:val="21"/>
        </w:rPr>
        <w:t>order provided </w:t>
      </w:r>
      <w:r>
        <w:rPr>
          <w:spacing w:val="-2"/>
          <w:w w:val="105"/>
          <w:sz w:val="21"/>
        </w:rPr>
        <w:t>access </w:t>
      </w:r>
      <w:r>
        <w:rPr>
          <w:w w:val="105"/>
          <w:sz w:val="21"/>
        </w:rPr>
        <w:t>rights </w:t>
      </w:r>
      <w:r>
        <w:rPr>
          <w:spacing w:val="-3"/>
          <w:w w:val="105"/>
          <w:sz w:val="21"/>
        </w:rPr>
        <w:t>that </w:t>
      </w:r>
      <w:r>
        <w:rPr>
          <w:w w:val="105"/>
          <w:sz w:val="21"/>
        </w:rPr>
        <w:t>need </w:t>
      </w:r>
      <w:r>
        <w:rPr>
          <w:spacing w:val="-3"/>
          <w:w w:val="105"/>
          <w:sz w:val="21"/>
        </w:rPr>
        <w:t>to </w:t>
      </w:r>
      <w:r>
        <w:rPr>
          <w:w w:val="105"/>
          <w:sz w:val="21"/>
        </w:rPr>
        <w:t>be </w:t>
      </w:r>
      <w:r>
        <w:rPr>
          <w:spacing w:val="-3"/>
          <w:w w:val="105"/>
          <w:sz w:val="21"/>
        </w:rPr>
        <w:t>updated </w:t>
      </w:r>
      <w:r>
        <w:rPr>
          <w:w w:val="105"/>
          <w:sz w:val="21"/>
        </w:rPr>
        <w:t>or</w:t>
      </w:r>
      <w:r>
        <w:rPr>
          <w:spacing w:val="39"/>
          <w:w w:val="105"/>
          <w:sz w:val="21"/>
        </w:rPr>
        <w:t> </w:t>
      </w:r>
      <w:r>
        <w:rPr>
          <w:w w:val="105"/>
          <w:sz w:val="21"/>
        </w:rPr>
        <w:t>modified.</w:t>
      </w:r>
    </w:p>
    <w:p>
      <w:pPr>
        <w:pStyle w:val="BodyText"/>
        <w:spacing w:before="11"/>
      </w:pPr>
      <w:r>
        <w:rPr/>
        <w:pict>
          <v:group style="position:absolute;margin-left:62.362202pt;margin-top:15.358561pt;width:479.1pt;height:160.4pt;mso-position-horizontal-relative:page;mso-position-vertical-relative:paragraph;z-index:11000;mso-wrap-distance-left:0;mso-wrap-distance-right:0" coordorigin="1247,307" coordsize="9582,3208">
            <v:rect style="position:absolute;left:1587;top:307;width:8731;height:3208" filled="true" fillcolor="#dbe0dd" stroked="false">
              <v:fill type="solid"/>
            </v:rect>
            <v:line style="position:absolute" from="1247,1054" to="10828,1054" stroked="true" strokeweight="2.5pt" strokecolor="#ffffff">
              <v:stroke dashstyle="solid"/>
            </v:line>
            <v:shape style="position:absolute;left:1587;top:1079;width:8731;height:2436" type="#_x0000_t202" filled="true" fillcolor="#dbe0dd" stroked="false">
              <v:textbox inset="0,0,0,0">
                <w:txbxContent>
                  <w:p>
                    <w:pPr>
                      <w:numPr>
                        <w:ilvl w:val="0"/>
                        <w:numId w:val="194"/>
                      </w:numPr>
                      <w:tabs>
                        <w:tab w:pos="793" w:val="left" w:leader="none"/>
                        <w:tab w:pos="794" w:val="left" w:leader="none"/>
                      </w:tabs>
                      <w:spacing w:line="242" w:lineRule="auto" w:before="208"/>
                      <w:ind w:left="793" w:right="304" w:hanging="567"/>
                      <w:jc w:val="left"/>
                      <w:rPr>
                        <w:sz w:val="21"/>
                      </w:rPr>
                    </w:pPr>
                    <w:r>
                      <w:rPr>
                        <w:w w:val="115"/>
                        <w:sz w:val="21"/>
                      </w:rPr>
                      <w:t>The Act should state that new owners of land should be bound by and benefit from the outcome of legal</w:t>
                    </w:r>
                    <w:r>
                      <w:rPr>
                        <w:spacing w:val="3"/>
                        <w:w w:val="115"/>
                        <w:sz w:val="21"/>
                      </w:rPr>
                      <w:t> </w:t>
                    </w:r>
                    <w:r>
                      <w:rPr>
                        <w:w w:val="115"/>
                        <w:sz w:val="21"/>
                      </w:rPr>
                      <w:t>action.</w:t>
                    </w:r>
                  </w:p>
                  <w:p>
                    <w:pPr>
                      <w:numPr>
                        <w:ilvl w:val="0"/>
                        <w:numId w:val="194"/>
                      </w:numPr>
                      <w:tabs>
                        <w:tab w:pos="793" w:val="left" w:leader="none"/>
                        <w:tab w:pos="794" w:val="left" w:leader="none"/>
                      </w:tabs>
                      <w:spacing w:line="242" w:lineRule="auto" w:before="122"/>
                      <w:ind w:left="793" w:right="387" w:hanging="567"/>
                      <w:jc w:val="left"/>
                      <w:rPr>
                        <w:sz w:val="21"/>
                      </w:rPr>
                    </w:pPr>
                    <w:r>
                      <w:rPr>
                        <w:w w:val="115"/>
                        <w:sz w:val="21"/>
                      </w:rPr>
                      <w:t>The Act should state that new owners are bound to the extent the original owner has not completed the order or has an ongoing obligation to carry out the </w:t>
                    </w:r>
                    <w:r>
                      <w:rPr>
                        <w:spacing w:val="-6"/>
                        <w:w w:val="115"/>
                        <w:sz w:val="21"/>
                      </w:rPr>
                      <w:t>Order.</w:t>
                    </w:r>
                  </w:p>
                  <w:p>
                    <w:pPr>
                      <w:numPr>
                        <w:ilvl w:val="0"/>
                        <w:numId w:val="194"/>
                      </w:numPr>
                      <w:tabs>
                        <w:tab w:pos="793" w:val="left" w:leader="none"/>
                        <w:tab w:pos="794" w:val="left" w:leader="none"/>
                      </w:tabs>
                      <w:spacing w:line="242" w:lineRule="auto" w:before="124"/>
                      <w:ind w:left="793" w:right="675" w:hanging="567"/>
                      <w:jc w:val="left"/>
                      <w:rPr>
                        <w:sz w:val="21"/>
                      </w:rPr>
                    </w:pPr>
                    <w:r>
                      <w:rPr>
                        <w:w w:val="115"/>
                        <w:sz w:val="21"/>
                      </w:rPr>
                      <w:t>Only</w:t>
                    </w:r>
                    <w:r>
                      <w:rPr>
                        <w:spacing w:val="-7"/>
                        <w:w w:val="115"/>
                        <w:sz w:val="21"/>
                      </w:rPr>
                      <w:t> </w:t>
                    </w:r>
                    <w:r>
                      <w:rPr>
                        <w:w w:val="115"/>
                        <w:sz w:val="21"/>
                      </w:rPr>
                      <w:t>immediate</w:t>
                    </w:r>
                    <w:r>
                      <w:rPr>
                        <w:spacing w:val="-6"/>
                        <w:w w:val="115"/>
                        <w:sz w:val="21"/>
                      </w:rPr>
                      <w:t> </w:t>
                    </w:r>
                    <w:r>
                      <w:rPr>
                        <w:w w:val="115"/>
                        <w:sz w:val="21"/>
                      </w:rPr>
                      <w:t>new</w:t>
                    </w:r>
                    <w:r>
                      <w:rPr>
                        <w:spacing w:val="-6"/>
                        <w:w w:val="115"/>
                        <w:sz w:val="21"/>
                      </w:rPr>
                      <w:t> </w:t>
                    </w:r>
                    <w:r>
                      <w:rPr>
                        <w:w w:val="115"/>
                        <w:sz w:val="21"/>
                      </w:rPr>
                      <w:t>owners</w:t>
                    </w:r>
                    <w:r>
                      <w:rPr>
                        <w:spacing w:val="-6"/>
                        <w:w w:val="115"/>
                        <w:sz w:val="21"/>
                      </w:rPr>
                      <w:t> </w:t>
                    </w:r>
                    <w:r>
                      <w:rPr>
                        <w:w w:val="115"/>
                        <w:sz w:val="21"/>
                      </w:rPr>
                      <w:t>may</w:t>
                    </w:r>
                    <w:r>
                      <w:rPr>
                        <w:spacing w:val="-6"/>
                        <w:w w:val="115"/>
                        <w:sz w:val="21"/>
                      </w:rPr>
                      <w:t> </w:t>
                    </w:r>
                    <w:r>
                      <w:rPr>
                        <w:w w:val="115"/>
                        <w:sz w:val="21"/>
                      </w:rPr>
                      <w:t>benefit</w:t>
                    </w:r>
                    <w:r>
                      <w:rPr>
                        <w:spacing w:val="-6"/>
                        <w:w w:val="115"/>
                        <w:sz w:val="21"/>
                      </w:rPr>
                      <w:t> </w:t>
                    </w:r>
                    <w:r>
                      <w:rPr>
                        <w:w w:val="115"/>
                        <w:sz w:val="21"/>
                      </w:rPr>
                      <w:t>from</w:t>
                    </w:r>
                    <w:r>
                      <w:rPr>
                        <w:spacing w:val="-6"/>
                        <w:w w:val="115"/>
                        <w:sz w:val="21"/>
                      </w:rPr>
                      <w:t> </w:t>
                    </w:r>
                    <w:r>
                      <w:rPr>
                        <w:w w:val="115"/>
                        <w:sz w:val="21"/>
                      </w:rPr>
                      <w:t>orders</w:t>
                    </w:r>
                    <w:r>
                      <w:rPr>
                        <w:spacing w:val="-6"/>
                        <w:w w:val="115"/>
                        <w:sz w:val="21"/>
                      </w:rPr>
                      <w:t> </w:t>
                    </w:r>
                    <w:r>
                      <w:rPr>
                        <w:w w:val="115"/>
                        <w:sz w:val="21"/>
                      </w:rPr>
                      <w:t>made</w:t>
                    </w:r>
                    <w:r>
                      <w:rPr>
                        <w:spacing w:val="-6"/>
                        <w:w w:val="115"/>
                        <w:sz w:val="21"/>
                      </w:rPr>
                      <w:t> </w:t>
                    </w:r>
                    <w:r>
                      <w:rPr>
                        <w:w w:val="115"/>
                        <w:sz w:val="21"/>
                      </w:rPr>
                      <w:t>in</w:t>
                    </w:r>
                    <w:r>
                      <w:rPr>
                        <w:spacing w:val="-7"/>
                        <w:w w:val="115"/>
                        <w:sz w:val="21"/>
                      </w:rPr>
                      <w:t> </w:t>
                    </w:r>
                    <w:r>
                      <w:rPr>
                        <w:w w:val="115"/>
                        <w:sz w:val="21"/>
                      </w:rPr>
                      <w:t>the</w:t>
                    </w:r>
                    <w:r>
                      <w:rPr>
                        <w:spacing w:val="-6"/>
                        <w:w w:val="115"/>
                        <w:sz w:val="21"/>
                      </w:rPr>
                      <w:t> </w:t>
                    </w:r>
                    <w:r>
                      <w:rPr>
                        <w:w w:val="115"/>
                        <w:sz w:val="21"/>
                      </w:rPr>
                      <w:t>original owner’s </w:t>
                    </w:r>
                    <w:r>
                      <w:rPr>
                        <w:spacing w:val="-4"/>
                        <w:w w:val="115"/>
                        <w:sz w:val="21"/>
                      </w:rPr>
                      <w:t>favour.</w:t>
                    </w:r>
                  </w:p>
                </w:txbxContent>
              </v:textbox>
              <v:fill type="solid"/>
              <w10:wrap type="none"/>
            </v:shape>
            <v:shape style="position:absolute;left:1587;top:307;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Recommendations</w:t>
                    </w:r>
                  </w:p>
                </w:txbxContent>
              </v:textbox>
              <v:fill type="solid"/>
              <w10:wrap type="none"/>
            </v:shape>
            <w10:wrap type="topAndBottom"/>
          </v:group>
        </w:pict>
      </w:r>
    </w:p>
    <w:p>
      <w:pPr>
        <w:pStyle w:val="BodyText"/>
        <w:spacing w:before="3"/>
        <w:rPr>
          <w:sz w:val="24"/>
        </w:rPr>
      </w:pPr>
    </w:p>
    <w:p>
      <w:pPr>
        <w:pStyle w:val="Heading5"/>
        <w:spacing w:before="96"/>
      </w:pPr>
      <w:r>
        <w:rPr>
          <w:w w:val="115"/>
        </w:rPr>
        <w:t>When should new owners be bound?</w:t>
      </w:r>
    </w:p>
    <w:p>
      <w:pPr>
        <w:pStyle w:val="ListParagraph"/>
        <w:numPr>
          <w:ilvl w:val="1"/>
          <w:numId w:val="16"/>
        </w:numPr>
        <w:tabs>
          <w:tab w:pos="2381" w:val="left" w:leader="none"/>
          <w:tab w:pos="2382" w:val="left" w:leader="none"/>
        </w:tabs>
        <w:spacing w:line="242" w:lineRule="auto" w:before="137" w:after="0"/>
        <w:ind w:left="2381" w:right="1992" w:hanging="794"/>
        <w:jc w:val="left"/>
        <w:rPr>
          <w:sz w:val="21"/>
        </w:rPr>
      </w:pPr>
      <w:r>
        <w:rPr>
          <w:w w:val="105"/>
          <w:sz w:val="21"/>
        </w:rPr>
        <w:t>New</w:t>
      </w:r>
      <w:r>
        <w:rPr>
          <w:spacing w:val="-6"/>
          <w:w w:val="105"/>
          <w:sz w:val="21"/>
        </w:rPr>
        <w:t> </w:t>
      </w:r>
      <w:r>
        <w:rPr>
          <w:w w:val="105"/>
          <w:sz w:val="21"/>
        </w:rPr>
        <w:t>owners</w:t>
      </w:r>
      <w:r>
        <w:rPr>
          <w:spacing w:val="-5"/>
          <w:w w:val="105"/>
          <w:sz w:val="21"/>
        </w:rPr>
        <w:t> </w:t>
      </w:r>
      <w:r>
        <w:rPr>
          <w:w w:val="105"/>
          <w:sz w:val="21"/>
        </w:rPr>
        <w:t>should</w:t>
      </w:r>
      <w:r>
        <w:rPr>
          <w:spacing w:val="-5"/>
          <w:w w:val="105"/>
          <w:sz w:val="21"/>
        </w:rPr>
        <w:t> </w:t>
      </w:r>
      <w:r>
        <w:rPr>
          <w:w w:val="105"/>
          <w:sz w:val="21"/>
        </w:rPr>
        <w:t>be</w:t>
      </w:r>
      <w:r>
        <w:rPr>
          <w:spacing w:val="-5"/>
          <w:w w:val="105"/>
          <w:sz w:val="21"/>
        </w:rPr>
        <w:t> </w:t>
      </w:r>
      <w:r>
        <w:rPr>
          <w:w w:val="105"/>
          <w:sz w:val="21"/>
        </w:rPr>
        <w:t>bound</w:t>
      </w:r>
      <w:r>
        <w:rPr>
          <w:spacing w:val="-5"/>
          <w:w w:val="105"/>
          <w:sz w:val="21"/>
        </w:rPr>
        <w:t> </w:t>
      </w:r>
      <w:r>
        <w:rPr>
          <w:spacing w:val="-3"/>
          <w:w w:val="105"/>
          <w:sz w:val="21"/>
        </w:rPr>
        <w:t>from</w:t>
      </w:r>
      <w:r>
        <w:rPr>
          <w:spacing w:val="-5"/>
          <w:w w:val="105"/>
          <w:sz w:val="21"/>
        </w:rPr>
        <w:t> </w:t>
      </w:r>
      <w:r>
        <w:rPr>
          <w:w w:val="105"/>
          <w:sz w:val="21"/>
        </w:rPr>
        <w:t>the</w:t>
      </w:r>
      <w:r>
        <w:rPr>
          <w:spacing w:val="-5"/>
          <w:w w:val="105"/>
          <w:sz w:val="21"/>
        </w:rPr>
        <w:t> </w:t>
      </w:r>
      <w:r>
        <w:rPr>
          <w:spacing w:val="-3"/>
          <w:w w:val="105"/>
          <w:sz w:val="21"/>
        </w:rPr>
        <w:t>date</w:t>
      </w:r>
      <w:r>
        <w:rPr>
          <w:spacing w:val="-6"/>
          <w:w w:val="105"/>
          <w:sz w:val="21"/>
        </w:rPr>
        <w:t> </w:t>
      </w:r>
      <w:r>
        <w:rPr>
          <w:w w:val="105"/>
          <w:sz w:val="21"/>
        </w:rPr>
        <w:t>of</w:t>
      </w:r>
      <w:r>
        <w:rPr>
          <w:spacing w:val="-5"/>
          <w:w w:val="105"/>
          <w:sz w:val="21"/>
        </w:rPr>
        <w:t> </w:t>
      </w:r>
      <w:r>
        <w:rPr>
          <w:w w:val="105"/>
          <w:sz w:val="21"/>
        </w:rPr>
        <w:t>settlement,</w:t>
      </w:r>
      <w:r>
        <w:rPr>
          <w:spacing w:val="-5"/>
          <w:w w:val="105"/>
          <w:sz w:val="21"/>
        </w:rPr>
        <w:t> </w:t>
      </w:r>
      <w:r>
        <w:rPr>
          <w:w w:val="105"/>
          <w:sz w:val="21"/>
        </w:rPr>
        <w:t>when</w:t>
      </w:r>
      <w:r>
        <w:rPr>
          <w:spacing w:val="-5"/>
          <w:w w:val="105"/>
          <w:sz w:val="21"/>
        </w:rPr>
        <w:t> </w:t>
      </w:r>
      <w:r>
        <w:rPr>
          <w:w w:val="105"/>
          <w:sz w:val="21"/>
        </w:rPr>
        <w:t>the</w:t>
      </w:r>
      <w:r>
        <w:rPr>
          <w:spacing w:val="-5"/>
          <w:w w:val="105"/>
          <w:sz w:val="21"/>
        </w:rPr>
        <w:t> </w:t>
      </w:r>
      <w:r>
        <w:rPr>
          <w:w w:val="105"/>
          <w:sz w:val="21"/>
        </w:rPr>
        <w:t>title</w:t>
      </w:r>
      <w:r>
        <w:rPr>
          <w:spacing w:val="-5"/>
          <w:w w:val="105"/>
          <w:sz w:val="21"/>
        </w:rPr>
        <w:t> </w:t>
      </w:r>
      <w:r>
        <w:rPr>
          <w:spacing w:val="-3"/>
          <w:w w:val="105"/>
          <w:sz w:val="21"/>
        </w:rPr>
        <w:t>to</w:t>
      </w:r>
      <w:r>
        <w:rPr>
          <w:spacing w:val="-5"/>
          <w:w w:val="105"/>
          <w:sz w:val="21"/>
        </w:rPr>
        <w:t> </w:t>
      </w:r>
      <w:r>
        <w:rPr>
          <w:w w:val="105"/>
          <w:sz w:val="21"/>
        </w:rPr>
        <w:t>the</w:t>
      </w:r>
      <w:r>
        <w:rPr>
          <w:spacing w:val="-5"/>
          <w:w w:val="105"/>
          <w:sz w:val="21"/>
        </w:rPr>
        <w:t> </w:t>
      </w:r>
      <w:r>
        <w:rPr>
          <w:spacing w:val="-3"/>
          <w:w w:val="105"/>
          <w:sz w:val="21"/>
        </w:rPr>
        <w:t>land </w:t>
      </w:r>
      <w:r>
        <w:rPr>
          <w:w w:val="105"/>
          <w:sz w:val="21"/>
        </w:rPr>
        <w:t>passes </w:t>
      </w:r>
      <w:r>
        <w:rPr>
          <w:spacing w:val="-3"/>
          <w:w w:val="105"/>
          <w:sz w:val="21"/>
        </w:rPr>
        <w:t>to </w:t>
      </w:r>
      <w:r>
        <w:rPr>
          <w:w w:val="105"/>
          <w:sz w:val="21"/>
        </w:rPr>
        <w:t>the</w:t>
      </w:r>
      <w:r>
        <w:rPr>
          <w:spacing w:val="18"/>
          <w:w w:val="105"/>
          <w:sz w:val="21"/>
        </w:rPr>
        <w:t> </w:t>
      </w:r>
      <w:r>
        <w:rPr>
          <w:spacing w:val="-5"/>
          <w:w w:val="105"/>
          <w:sz w:val="21"/>
        </w:rPr>
        <w:t>purchaser.</w:t>
      </w:r>
      <w:r>
        <w:rPr>
          <w:spacing w:val="-5"/>
          <w:w w:val="105"/>
          <w:position w:val="7"/>
          <w:sz w:val="12"/>
        </w:rPr>
        <w:t>101</w:t>
      </w:r>
    </w:p>
    <w:p>
      <w:pPr>
        <w:pStyle w:val="ListParagraph"/>
        <w:numPr>
          <w:ilvl w:val="1"/>
          <w:numId w:val="16"/>
        </w:numPr>
        <w:tabs>
          <w:tab w:pos="2380" w:val="left" w:leader="none"/>
          <w:tab w:pos="2381" w:val="left" w:leader="none"/>
        </w:tabs>
        <w:spacing w:line="242" w:lineRule="auto" w:before="123" w:after="0"/>
        <w:ind w:left="2381" w:right="1930" w:hanging="794"/>
        <w:jc w:val="left"/>
        <w:rPr>
          <w:sz w:val="21"/>
        </w:rPr>
      </w:pPr>
      <w:r>
        <w:rPr>
          <w:spacing w:val="-3"/>
          <w:w w:val="105"/>
          <w:sz w:val="21"/>
        </w:rPr>
        <w:t>Binding </w:t>
      </w:r>
      <w:r>
        <w:rPr>
          <w:w w:val="105"/>
          <w:sz w:val="21"/>
        </w:rPr>
        <w:t>a </w:t>
      </w:r>
      <w:r>
        <w:rPr>
          <w:spacing w:val="-3"/>
          <w:w w:val="105"/>
          <w:sz w:val="21"/>
        </w:rPr>
        <w:t>purchaser earlier than </w:t>
      </w:r>
      <w:r>
        <w:rPr>
          <w:w w:val="105"/>
          <w:sz w:val="21"/>
        </w:rPr>
        <w:t>settlement, </w:t>
      </w:r>
      <w:r>
        <w:rPr>
          <w:spacing w:val="-3"/>
          <w:w w:val="105"/>
          <w:sz w:val="21"/>
        </w:rPr>
        <w:t>such </w:t>
      </w:r>
      <w:r>
        <w:rPr>
          <w:w w:val="105"/>
          <w:sz w:val="21"/>
        </w:rPr>
        <w:t>as </w:t>
      </w:r>
      <w:r>
        <w:rPr>
          <w:spacing w:val="-3"/>
          <w:w w:val="105"/>
          <w:sz w:val="21"/>
        </w:rPr>
        <w:t>from </w:t>
      </w:r>
      <w:r>
        <w:rPr>
          <w:w w:val="105"/>
          <w:sz w:val="21"/>
        </w:rPr>
        <w:t>the </w:t>
      </w:r>
      <w:r>
        <w:rPr>
          <w:spacing w:val="-3"/>
          <w:w w:val="105"/>
          <w:sz w:val="21"/>
        </w:rPr>
        <w:t>date </w:t>
      </w:r>
      <w:r>
        <w:rPr>
          <w:w w:val="105"/>
          <w:sz w:val="21"/>
        </w:rPr>
        <w:t>they </w:t>
      </w:r>
      <w:r>
        <w:rPr>
          <w:spacing w:val="-3"/>
          <w:w w:val="105"/>
          <w:sz w:val="21"/>
        </w:rPr>
        <w:t>enter </w:t>
      </w:r>
      <w:r>
        <w:rPr>
          <w:spacing w:val="-4"/>
          <w:w w:val="105"/>
          <w:sz w:val="21"/>
        </w:rPr>
        <w:t>into </w:t>
      </w:r>
      <w:r>
        <w:rPr>
          <w:w w:val="105"/>
          <w:sz w:val="21"/>
        </w:rPr>
        <w:t>a contract</w:t>
      </w:r>
      <w:r>
        <w:rPr>
          <w:spacing w:val="-6"/>
          <w:w w:val="105"/>
          <w:sz w:val="21"/>
        </w:rPr>
        <w:t> </w:t>
      </w:r>
      <w:r>
        <w:rPr>
          <w:w w:val="105"/>
          <w:sz w:val="21"/>
        </w:rPr>
        <w:t>of</w:t>
      </w:r>
      <w:r>
        <w:rPr>
          <w:spacing w:val="-5"/>
          <w:w w:val="105"/>
          <w:sz w:val="21"/>
        </w:rPr>
        <w:t> </w:t>
      </w:r>
      <w:r>
        <w:rPr>
          <w:spacing w:val="-3"/>
          <w:w w:val="105"/>
          <w:sz w:val="21"/>
        </w:rPr>
        <w:t>sale,</w:t>
      </w:r>
      <w:r>
        <w:rPr>
          <w:spacing w:val="-6"/>
          <w:w w:val="105"/>
          <w:sz w:val="21"/>
        </w:rPr>
        <w:t> </w:t>
      </w:r>
      <w:r>
        <w:rPr>
          <w:w w:val="105"/>
          <w:sz w:val="21"/>
        </w:rPr>
        <w:t>or</w:t>
      </w:r>
      <w:r>
        <w:rPr>
          <w:spacing w:val="-5"/>
          <w:w w:val="105"/>
          <w:sz w:val="21"/>
        </w:rPr>
        <w:t> </w:t>
      </w:r>
      <w:r>
        <w:rPr>
          <w:w w:val="105"/>
          <w:sz w:val="21"/>
        </w:rPr>
        <w:t>the</w:t>
      </w:r>
      <w:r>
        <w:rPr>
          <w:spacing w:val="-6"/>
          <w:w w:val="105"/>
          <w:sz w:val="21"/>
        </w:rPr>
        <w:t> </w:t>
      </w:r>
      <w:r>
        <w:rPr>
          <w:w w:val="105"/>
          <w:sz w:val="21"/>
        </w:rPr>
        <w:t>time</w:t>
      </w:r>
      <w:r>
        <w:rPr>
          <w:spacing w:val="-5"/>
          <w:w w:val="105"/>
          <w:sz w:val="21"/>
        </w:rPr>
        <w:t> </w:t>
      </w:r>
      <w:r>
        <w:rPr>
          <w:w w:val="105"/>
          <w:sz w:val="21"/>
        </w:rPr>
        <w:t>of</w:t>
      </w:r>
      <w:r>
        <w:rPr>
          <w:spacing w:val="-6"/>
          <w:w w:val="105"/>
          <w:sz w:val="21"/>
        </w:rPr>
        <w:t> </w:t>
      </w:r>
      <w:r>
        <w:rPr>
          <w:w w:val="105"/>
          <w:sz w:val="21"/>
        </w:rPr>
        <w:t>auction,</w:t>
      </w:r>
      <w:r>
        <w:rPr>
          <w:spacing w:val="-5"/>
          <w:w w:val="105"/>
          <w:sz w:val="21"/>
        </w:rPr>
        <w:t> </w:t>
      </w:r>
      <w:r>
        <w:rPr>
          <w:w w:val="105"/>
          <w:sz w:val="21"/>
        </w:rPr>
        <w:t>would</w:t>
      </w:r>
      <w:r>
        <w:rPr>
          <w:spacing w:val="-6"/>
          <w:w w:val="105"/>
          <w:sz w:val="21"/>
        </w:rPr>
        <w:t> </w:t>
      </w:r>
      <w:r>
        <w:rPr>
          <w:spacing w:val="-2"/>
          <w:w w:val="105"/>
          <w:sz w:val="21"/>
        </w:rPr>
        <w:t>not</w:t>
      </w:r>
      <w:r>
        <w:rPr>
          <w:spacing w:val="-5"/>
          <w:w w:val="105"/>
          <w:sz w:val="21"/>
        </w:rPr>
        <w:t> </w:t>
      </w:r>
      <w:r>
        <w:rPr>
          <w:w w:val="105"/>
          <w:sz w:val="21"/>
        </w:rPr>
        <w:t>be</w:t>
      </w:r>
      <w:r>
        <w:rPr>
          <w:spacing w:val="-6"/>
          <w:w w:val="105"/>
          <w:sz w:val="21"/>
        </w:rPr>
        <w:t> </w:t>
      </w:r>
      <w:r>
        <w:rPr>
          <w:spacing w:val="-3"/>
          <w:w w:val="105"/>
          <w:sz w:val="21"/>
        </w:rPr>
        <w:t>appropriate.</w:t>
      </w:r>
      <w:r>
        <w:rPr>
          <w:spacing w:val="-5"/>
          <w:w w:val="105"/>
          <w:sz w:val="21"/>
        </w:rPr>
        <w:t> </w:t>
      </w:r>
      <w:r>
        <w:rPr>
          <w:w w:val="105"/>
          <w:sz w:val="21"/>
        </w:rPr>
        <w:t>There</w:t>
      </w:r>
      <w:r>
        <w:rPr>
          <w:spacing w:val="-6"/>
          <w:w w:val="105"/>
          <w:sz w:val="21"/>
        </w:rPr>
        <w:t> </w:t>
      </w:r>
      <w:r>
        <w:rPr>
          <w:spacing w:val="-3"/>
          <w:w w:val="105"/>
          <w:sz w:val="21"/>
        </w:rPr>
        <w:t>are</w:t>
      </w:r>
      <w:r>
        <w:rPr>
          <w:spacing w:val="-5"/>
          <w:w w:val="105"/>
          <w:sz w:val="21"/>
        </w:rPr>
        <w:t> </w:t>
      </w:r>
      <w:r>
        <w:rPr>
          <w:w w:val="105"/>
          <w:sz w:val="21"/>
        </w:rPr>
        <w:t>too</w:t>
      </w:r>
      <w:r>
        <w:rPr>
          <w:spacing w:val="-6"/>
          <w:w w:val="105"/>
          <w:sz w:val="21"/>
        </w:rPr>
        <w:t> </w:t>
      </w:r>
      <w:r>
        <w:rPr>
          <w:spacing w:val="-3"/>
          <w:w w:val="105"/>
          <w:sz w:val="21"/>
        </w:rPr>
        <w:t>many </w:t>
      </w:r>
      <w:r>
        <w:rPr>
          <w:w w:val="105"/>
          <w:sz w:val="21"/>
        </w:rPr>
        <w:t>variables at this stage and the sale </w:t>
      </w:r>
      <w:r>
        <w:rPr>
          <w:spacing w:val="-3"/>
          <w:w w:val="105"/>
          <w:sz w:val="21"/>
        </w:rPr>
        <w:t>may </w:t>
      </w:r>
      <w:r>
        <w:rPr>
          <w:spacing w:val="-4"/>
          <w:w w:val="105"/>
          <w:sz w:val="21"/>
        </w:rPr>
        <w:t>fall</w:t>
      </w:r>
      <w:r>
        <w:rPr>
          <w:spacing w:val="37"/>
          <w:w w:val="105"/>
          <w:sz w:val="21"/>
        </w:rPr>
        <w:t> </w:t>
      </w:r>
      <w:r>
        <w:rPr>
          <w:spacing w:val="-3"/>
          <w:w w:val="105"/>
          <w:sz w:val="21"/>
        </w:rPr>
        <w:t>through.</w:t>
      </w:r>
    </w:p>
    <w:p>
      <w:pPr>
        <w:pStyle w:val="ListParagraph"/>
        <w:numPr>
          <w:ilvl w:val="1"/>
          <w:numId w:val="16"/>
        </w:numPr>
        <w:tabs>
          <w:tab w:pos="2380" w:val="left" w:leader="none"/>
          <w:tab w:pos="2381" w:val="left" w:leader="none"/>
        </w:tabs>
        <w:spacing w:line="242" w:lineRule="auto" w:before="123" w:after="0"/>
        <w:ind w:left="2381" w:right="1749" w:hanging="794"/>
        <w:jc w:val="left"/>
        <w:rPr>
          <w:sz w:val="21"/>
        </w:rPr>
      </w:pPr>
      <w:r>
        <w:rPr>
          <w:sz w:val="21"/>
        </w:rPr>
        <w:t>The </w:t>
      </w:r>
      <w:r>
        <w:rPr>
          <w:spacing w:val="-3"/>
          <w:sz w:val="21"/>
        </w:rPr>
        <w:t>date </w:t>
      </w:r>
      <w:r>
        <w:rPr>
          <w:sz w:val="21"/>
        </w:rPr>
        <w:t>of settlement, which </w:t>
      </w:r>
      <w:r>
        <w:rPr>
          <w:spacing w:val="-3"/>
          <w:sz w:val="21"/>
        </w:rPr>
        <w:t>includes transfer </w:t>
      </w:r>
      <w:r>
        <w:rPr>
          <w:sz w:val="21"/>
        </w:rPr>
        <w:t>and  </w:t>
      </w:r>
      <w:r>
        <w:rPr>
          <w:spacing w:val="-3"/>
          <w:sz w:val="21"/>
        </w:rPr>
        <w:t>registration  </w:t>
      </w:r>
      <w:r>
        <w:rPr>
          <w:sz w:val="21"/>
        </w:rPr>
        <w:t>of  </w:t>
      </w:r>
      <w:r>
        <w:rPr>
          <w:spacing w:val="-3"/>
          <w:sz w:val="21"/>
        </w:rPr>
        <w:t>title,  </w:t>
      </w:r>
      <w:r>
        <w:rPr>
          <w:sz w:val="21"/>
        </w:rPr>
        <w:t>is  </w:t>
      </w:r>
      <w:r>
        <w:rPr>
          <w:spacing w:val="-3"/>
          <w:sz w:val="21"/>
        </w:rPr>
        <w:t>clear  </w:t>
      </w:r>
      <w:r>
        <w:rPr>
          <w:sz w:val="21"/>
        </w:rPr>
        <w:t>proof </w:t>
      </w:r>
      <w:r>
        <w:rPr>
          <w:spacing w:val="-3"/>
          <w:sz w:val="21"/>
        </w:rPr>
        <w:t>that </w:t>
      </w:r>
      <w:r>
        <w:rPr>
          <w:sz w:val="21"/>
        </w:rPr>
        <w:t>ownership </w:t>
      </w:r>
      <w:r>
        <w:rPr>
          <w:spacing w:val="-2"/>
          <w:sz w:val="21"/>
        </w:rPr>
        <w:t>has  </w:t>
      </w:r>
      <w:r>
        <w:rPr>
          <w:sz w:val="21"/>
        </w:rPr>
        <w:t>now </w:t>
      </w:r>
      <w:r>
        <w:rPr>
          <w:spacing w:val="-3"/>
          <w:sz w:val="21"/>
        </w:rPr>
        <w:t>changed  hands.  </w:t>
      </w:r>
      <w:r>
        <w:rPr>
          <w:sz w:val="21"/>
        </w:rPr>
        <w:t>It is also a point in the sale of </w:t>
      </w:r>
      <w:r>
        <w:rPr>
          <w:spacing w:val="-3"/>
          <w:sz w:val="21"/>
        </w:rPr>
        <w:t>land  </w:t>
      </w:r>
      <w:r>
        <w:rPr>
          <w:sz w:val="21"/>
        </w:rPr>
        <w:t>process </w:t>
      </w:r>
      <w:r>
        <w:rPr>
          <w:spacing w:val="-3"/>
          <w:sz w:val="21"/>
        </w:rPr>
        <w:t>that  </w:t>
      </w:r>
      <w:r>
        <w:rPr>
          <w:sz w:val="21"/>
        </w:rPr>
        <w:t>is </w:t>
      </w:r>
      <w:r>
        <w:rPr>
          <w:spacing w:val="-3"/>
          <w:sz w:val="21"/>
        </w:rPr>
        <w:t>clear </w:t>
      </w:r>
      <w:r>
        <w:rPr>
          <w:sz w:val="21"/>
        </w:rPr>
        <w:t>and easy </w:t>
      </w:r>
      <w:r>
        <w:rPr>
          <w:spacing w:val="-3"/>
          <w:sz w:val="21"/>
        </w:rPr>
        <w:t>to identify. </w:t>
      </w:r>
      <w:r>
        <w:rPr>
          <w:sz w:val="21"/>
        </w:rPr>
        <w:t>Other suggestions </w:t>
      </w:r>
      <w:r>
        <w:rPr>
          <w:spacing w:val="-3"/>
          <w:sz w:val="21"/>
        </w:rPr>
        <w:t>such </w:t>
      </w:r>
      <w:r>
        <w:rPr>
          <w:sz w:val="21"/>
        </w:rPr>
        <w:t>as </w:t>
      </w:r>
      <w:r>
        <w:rPr>
          <w:spacing w:val="-4"/>
          <w:sz w:val="21"/>
        </w:rPr>
        <w:t>‘one </w:t>
      </w:r>
      <w:r>
        <w:rPr>
          <w:spacing w:val="-3"/>
          <w:sz w:val="21"/>
        </w:rPr>
        <w:t>year’; </w:t>
      </w:r>
      <w:r>
        <w:rPr>
          <w:sz w:val="21"/>
        </w:rPr>
        <w:t>a </w:t>
      </w:r>
      <w:r>
        <w:rPr>
          <w:spacing w:val="-3"/>
          <w:sz w:val="21"/>
        </w:rPr>
        <w:t>grace </w:t>
      </w:r>
      <w:r>
        <w:rPr>
          <w:sz w:val="21"/>
        </w:rPr>
        <w:t>period after </w:t>
      </w:r>
      <w:r>
        <w:rPr>
          <w:spacing w:val="-3"/>
          <w:sz w:val="21"/>
        </w:rPr>
        <w:t>transfer</w:t>
      </w:r>
      <w:r>
        <w:rPr>
          <w:spacing w:val="9"/>
          <w:sz w:val="21"/>
        </w:rPr>
        <w:t> </w:t>
      </w:r>
      <w:r>
        <w:rPr>
          <w:sz w:val="21"/>
        </w:rPr>
        <w:t>or</w:t>
      </w:r>
      <w:r>
        <w:rPr>
          <w:spacing w:val="10"/>
          <w:sz w:val="21"/>
        </w:rPr>
        <w:t> </w:t>
      </w:r>
      <w:r>
        <w:rPr>
          <w:sz w:val="21"/>
        </w:rPr>
        <w:t>title;</w:t>
      </w:r>
      <w:r>
        <w:rPr>
          <w:spacing w:val="10"/>
          <w:sz w:val="21"/>
        </w:rPr>
        <w:t> </w:t>
      </w:r>
      <w:r>
        <w:rPr>
          <w:sz w:val="21"/>
        </w:rPr>
        <w:t>or</w:t>
      </w:r>
      <w:r>
        <w:rPr>
          <w:spacing w:val="10"/>
          <w:sz w:val="21"/>
        </w:rPr>
        <w:t> </w:t>
      </w:r>
      <w:r>
        <w:rPr>
          <w:spacing w:val="-3"/>
          <w:sz w:val="21"/>
        </w:rPr>
        <w:t>date</w:t>
      </w:r>
      <w:r>
        <w:rPr>
          <w:spacing w:val="9"/>
          <w:sz w:val="21"/>
        </w:rPr>
        <w:t> </w:t>
      </w:r>
      <w:r>
        <w:rPr>
          <w:sz w:val="21"/>
        </w:rPr>
        <w:t>of</w:t>
      </w:r>
      <w:r>
        <w:rPr>
          <w:spacing w:val="10"/>
          <w:sz w:val="21"/>
        </w:rPr>
        <w:t> </w:t>
      </w:r>
      <w:r>
        <w:rPr>
          <w:spacing w:val="-3"/>
          <w:sz w:val="21"/>
        </w:rPr>
        <w:t>occupation,</w:t>
      </w:r>
      <w:r>
        <w:rPr>
          <w:spacing w:val="10"/>
          <w:sz w:val="21"/>
        </w:rPr>
        <w:t> </w:t>
      </w:r>
      <w:r>
        <w:rPr>
          <w:spacing w:val="-3"/>
          <w:sz w:val="21"/>
        </w:rPr>
        <w:t>may</w:t>
      </w:r>
      <w:r>
        <w:rPr>
          <w:spacing w:val="10"/>
          <w:sz w:val="21"/>
        </w:rPr>
        <w:t> </w:t>
      </w:r>
      <w:r>
        <w:rPr>
          <w:sz w:val="21"/>
        </w:rPr>
        <w:t>be</w:t>
      </w:r>
      <w:r>
        <w:rPr>
          <w:spacing w:val="9"/>
          <w:sz w:val="21"/>
        </w:rPr>
        <w:t> </w:t>
      </w:r>
      <w:r>
        <w:rPr>
          <w:sz w:val="21"/>
        </w:rPr>
        <w:t>less</w:t>
      </w:r>
      <w:r>
        <w:rPr>
          <w:spacing w:val="10"/>
          <w:sz w:val="21"/>
        </w:rPr>
        <w:t> </w:t>
      </w:r>
      <w:r>
        <w:rPr>
          <w:spacing w:val="-5"/>
          <w:sz w:val="21"/>
        </w:rPr>
        <w:t>clear.</w:t>
      </w:r>
    </w:p>
    <w:p>
      <w:pPr>
        <w:pStyle w:val="ListParagraph"/>
        <w:numPr>
          <w:ilvl w:val="1"/>
          <w:numId w:val="16"/>
        </w:numPr>
        <w:tabs>
          <w:tab w:pos="2380" w:val="left" w:leader="none"/>
          <w:tab w:pos="2381" w:val="left" w:leader="none"/>
        </w:tabs>
        <w:spacing w:line="242" w:lineRule="auto" w:before="124" w:after="0"/>
        <w:ind w:left="2381" w:right="1774" w:hanging="794"/>
        <w:jc w:val="left"/>
        <w:rPr>
          <w:sz w:val="21"/>
        </w:rPr>
      </w:pPr>
      <w:r>
        <w:rPr>
          <w:w w:val="105"/>
          <w:sz w:val="21"/>
        </w:rPr>
        <w:t>For</w:t>
      </w:r>
      <w:r>
        <w:rPr>
          <w:spacing w:val="-14"/>
          <w:w w:val="105"/>
          <w:sz w:val="21"/>
        </w:rPr>
        <w:t> </w:t>
      </w:r>
      <w:r>
        <w:rPr>
          <w:w w:val="105"/>
          <w:sz w:val="21"/>
        </w:rPr>
        <w:t>consistency</w:t>
      </w:r>
      <w:r>
        <w:rPr>
          <w:spacing w:val="-14"/>
          <w:w w:val="105"/>
          <w:sz w:val="21"/>
        </w:rPr>
        <w:t> </w:t>
      </w:r>
      <w:r>
        <w:rPr>
          <w:w w:val="105"/>
          <w:sz w:val="21"/>
        </w:rPr>
        <w:t>and</w:t>
      </w:r>
      <w:r>
        <w:rPr>
          <w:spacing w:val="-14"/>
          <w:w w:val="105"/>
          <w:sz w:val="21"/>
        </w:rPr>
        <w:t> </w:t>
      </w:r>
      <w:r>
        <w:rPr>
          <w:spacing w:val="-3"/>
          <w:w w:val="105"/>
          <w:sz w:val="21"/>
        </w:rPr>
        <w:t>clarity,</w:t>
      </w:r>
      <w:r>
        <w:rPr>
          <w:spacing w:val="-14"/>
          <w:w w:val="105"/>
          <w:sz w:val="21"/>
        </w:rPr>
        <w:t> </w:t>
      </w:r>
      <w:r>
        <w:rPr>
          <w:spacing w:val="-3"/>
          <w:w w:val="105"/>
          <w:sz w:val="21"/>
        </w:rPr>
        <w:t>any</w:t>
      </w:r>
      <w:r>
        <w:rPr>
          <w:spacing w:val="-13"/>
          <w:w w:val="105"/>
          <w:sz w:val="21"/>
        </w:rPr>
        <w:t> </w:t>
      </w:r>
      <w:r>
        <w:rPr>
          <w:spacing w:val="-3"/>
          <w:w w:val="105"/>
          <w:sz w:val="21"/>
        </w:rPr>
        <w:t>timeframes</w:t>
      </w:r>
      <w:r>
        <w:rPr>
          <w:spacing w:val="-14"/>
          <w:w w:val="105"/>
          <w:sz w:val="21"/>
        </w:rPr>
        <w:t> </w:t>
      </w:r>
      <w:r>
        <w:rPr>
          <w:spacing w:val="-3"/>
          <w:w w:val="105"/>
          <w:sz w:val="21"/>
        </w:rPr>
        <w:t>stipulated</w:t>
      </w:r>
      <w:r>
        <w:rPr>
          <w:spacing w:val="-14"/>
          <w:w w:val="105"/>
          <w:sz w:val="21"/>
        </w:rPr>
        <w:t> </w:t>
      </w:r>
      <w:r>
        <w:rPr>
          <w:w w:val="105"/>
          <w:sz w:val="21"/>
        </w:rPr>
        <w:t>in</w:t>
      </w:r>
      <w:r>
        <w:rPr>
          <w:spacing w:val="-14"/>
          <w:w w:val="105"/>
          <w:sz w:val="21"/>
        </w:rPr>
        <w:t> </w:t>
      </w:r>
      <w:r>
        <w:rPr>
          <w:w w:val="105"/>
          <w:sz w:val="21"/>
        </w:rPr>
        <w:t>the</w:t>
      </w:r>
      <w:r>
        <w:rPr>
          <w:spacing w:val="-14"/>
          <w:w w:val="105"/>
          <w:sz w:val="21"/>
        </w:rPr>
        <w:t> </w:t>
      </w:r>
      <w:r>
        <w:rPr>
          <w:w w:val="105"/>
          <w:sz w:val="21"/>
        </w:rPr>
        <w:t>orders</w:t>
      </w:r>
      <w:r>
        <w:rPr>
          <w:spacing w:val="-13"/>
          <w:w w:val="105"/>
          <w:sz w:val="21"/>
        </w:rPr>
        <w:t> </w:t>
      </w:r>
      <w:r>
        <w:rPr>
          <w:w w:val="105"/>
          <w:sz w:val="21"/>
        </w:rPr>
        <w:t>should</w:t>
      </w:r>
      <w:r>
        <w:rPr>
          <w:spacing w:val="-14"/>
          <w:w w:val="105"/>
          <w:sz w:val="21"/>
        </w:rPr>
        <w:t> </w:t>
      </w:r>
      <w:r>
        <w:rPr>
          <w:w w:val="105"/>
          <w:sz w:val="21"/>
        </w:rPr>
        <w:t>re-commence on the </w:t>
      </w:r>
      <w:r>
        <w:rPr>
          <w:spacing w:val="-3"/>
          <w:w w:val="105"/>
          <w:sz w:val="21"/>
        </w:rPr>
        <w:t>date </w:t>
      </w:r>
      <w:r>
        <w:rPr>
          <w:w w:val="105"/>
          <w:sz w:val="21"/>
        </w:rPr>
        <w:t>of</w:t>
      </w:r>
      <w:r>
        <w:rPr>
          <w:spacing w:val="22"/>
          <w:w w:val="105"/>
          <w:sz w:val="21"/>
        </w:rPr>
        <w:t> </w:t>
      </w:r>
      <w:r>
        <w:rPr>
          <w:w w:val="105"/>
          <w:sz w:val="21"/>
        </w:rPr>
        <w:t>settlement.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r>
        <w:rPr/>
        <w:pict>
          <v:line style="position:absolute;mso-position-horizontal-relative:page;mso-position-vertical-relative:paragraph;z-index:11024;mso-wrap-distance-left:0;mso-wrap-distance-right:0" from="79.370102pt,15.762989pt" to="515.905102pt,15.762989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93"/>
        </w:numPr>
        <w:tabs>
          <w:tab w:pos="2380" w:val="left" w:leader="none"/>
          <w:tab w:pos="2382" w:val="left" w:leader="none"/>
        </w:tabs>
        <w:spacing w:line="240" w:lineRule="auto" w:before="48" w:after="0"/>
        <w:ind w:left="2381" w:right="0" w:hanging="794"/>
        <w:jc w:val="left"/>
        <w:rPr>
          <w:sz w:val="13"/>
        </w:rPr>
      </w:pPr>
      <w:r>
        <w:rPr>
          <w:w w:val="105"/>
          <w:sz w:val="13"/>
        </w:rPr>
        <w:t>Department</w:t>
      </w:r>
      <w:r>
        <w:rPr>
          <w:spacing w:val="9"/>
          <w:w w:val="105"/>
          <w:sz w:val="13"/>
        </w:rPr>
        <w:t> </w:t>
      </w:r>
      <w:r>
        <w:rPr>
          <w:w w:val="105"/>
          <w:sz w:val="13"/>
        </w:rPr>
        <w:t>of</w:t>
      </w:r>
      <w:r>
        <w:rPr>
          <w:spacing w:val="10"/>
          <w:w w:val="105"/>
          <w:sz w:val="13"/>
        </w:rPr>
        <w:t> </w:t>
      </w:r>
      <w:r>
        <w:rPr>
          <w:w w:val="105"/>
          <w:sz w:val="13"/>
        </w:rPr>
        <w:t>Justice</w:t>
      </w:r>
      <w:r>
        <w:rPr>
          <w:spacing w:val="9"/>
          <w:w w:val="105"/>
          <w:sz w:val="13"/>
        </w:rPr>
        <w:t> </w:t>
      </w:r>
      <w:r>
        <w:rPr>
          <w:w w:val="105"/>
          <w:sz w:val="13"/>
        </w:rPr>
        <w:t>and</w:t>
      </w:r>
      <w:r>
        <w:rPr>
          <w:spacing w:val="10"/>
          <w:w w:val="105"/>
          <w:sz w:val="13"/>
        </w:rPr>
        <w:t> </w:t>
      </w:r>
      <w:r>
        <w:rPr>
          <w:w w:val="105"/>
          <w:sz w:val="13"/>
        </w:rPr>
        <w:t>Attorney-General</w:t>
      </w:r>
      <w:r>
        <w:rPr>
          <w:spacing w:val="9"/>
          <w:w w:val="105"/>
          <w:sz w:val="13"/>
        </w:rPr>
        <w:t> </w:t>
      </w:r>
      <w:r>
        <w:rPr>
          <w:spacing w:val="3"/>
          <w:w w:val="105"/>
          <w:sz w:val="13"/>
        </w:rPr>
        <w:t>(NSW),</w:t>
      </w:r>
      <w:r>
        <w:rPr>
          <w:spacing w:val="10"/>
          <w:w w:val="105"/>
          <w:sz w:val="13"/>
        </w:rPr>
        <w:t> </w:t>
      </w:r>
      <w:r>
        <w:rPr>
          <w:i/>
          <w:w w:val="105"/>
          <w:sz w:val="13"/>
        </w:rPr>
        <w:t>Review</w:t>
      </w:r>
      <w:r>
        <w:rPr>
          <w:i/>
          <w:spacing w:val="9"/>
          <w:w w:val="105"/>
          <w:sz w:val="13"/>
        </w:rPr>
        <w:t> </w:t>
      </w:r>
      <w:r>
        <w:rPr>
          <w:i/>
          <w:w w:val="105"/>
          <w:sz w:val="13"/>
        </w:rPr>
        <w:t>of</w:t>
      </w:r>
      <w:r>
        <w:rPr>
          <w:i/>
          <w:spacing w:val="10"/>
          <w:w w:val="105"/>
          <w:sz w:val="13"/>
        </w:rPr>
        <w:t> </w:t>
      </w:r>
      <w:r>
        <w:rPr>
          <w:i/>
          <w:w w:val="105"/>
          <w:sz w:val="13"/>
        </w:rPr>
        <w:t>the</w:t>
      </w:r>
      <w:r>
        <w:rPr>
          <w:i/>
          <w:spacing w:val="10"/>
          <w:w w:val="105"/>
          <w:sz w:val="13"/>
        </w:rPr>
        <w:t> </w:t>
      </w:r>
      <w:r>
        <w:rPr>
          <w:i/>
          <w:w w:val="105"/>
          <w:sz w:val="13"/>
        </w:rPr>
        <w:t>Trees</w:t>
      </w:r>
      <w:r>
        <w:rPr>
          <w:i/>
          <w:spacing w:val="9"/>
          <w:w w:val="105"/>
          <w:sz w:val="13"/>
        </w:rPr>
        <w:t> </w:t>
      </w:r>
      <w:r>
        <w:rPr>
          <w:i/>
          <w:w w:val="105"/>
          <w:sz w:val="13"/>
        </w:rPr>
        <w:t>(Disputes</w:t>
      </w:r>
      <w:r>
        <w:rPr>
          <w:i/>
          <w:spacing w:val="10"/>
          <w:w w:val="105"/>
          <w:sz w:val="13"/>
        </w:rPr>
        <w:t> </w:t>
      </w:r>
      <w:r>
        <w:rPr>
          <w:i/>
          <w:w w:val="105"/>
          <w:sz w:val="13"/>
        </w:rPr>
        <w:t>Between</w:t>
      </w:r>
      <w:r>
        <w:rPr>
          <w:i/>
          <w:spacing w:val="9"/>
          <w:w w:val="105"/>
          <w:sz w:val="13"/>
        </w:rPr>
        <w:t> </w:t>
      </w:r>
      <w:r>
        <w:rPr>
          <w:i/>
          <w:w w:val="105"/>
          <w:sz w:val="13"/>
        </w:rPr>
        <w:t>Neighbours)</w:t>
      </w:r>
      <w:r>
        <w:rPr>
          <w:i/>
          <w:spacing w:val="10"/>
          <w:w w:val="105"/>
          <w:sz w:val="13"/>
        </w:rPr>
        <w:t> </w:t>
      </w:r>
      <w:r>
        <w:rPr>
          <w:i/>
          <w:w w:val="105"/>
          <w:sz w:val="13"/>
        </w:rPr>
        <w:t>Act</w:t>
      </w:r>
      <w:r>
        <w:rPr>
          <w:i/>
          <w:spacing w:val="9"/>
          <w:w w:val="105"/>
          <w:sz w:val="13"/>
        </w:rPr>
        <w:t> </w:t>
      </w:r>
      <w:r>
        <w:rPr>
          <w:i/>
          <w:w w:val="105"/>
          <w:sz w:val="13"/>
        </w:rPr>
        <w:t>2006</w:t>
      </w:r>
      <w:r>
        <w:rPr>
          <w:i/>
          <w:spacing w:val="10"/>
          <w:w w:val="105"/>
          <w:sz w:val="13"/>
        </w:rPr>
        <w:t> </w:t>
      </w:r>
      <w:r>
        <w:rPr>
          <w:spacing w:val="2"/>
          <w:w w:val="105"/>
          <w:sz w:val="13"/>
        </w:rPr>
        <w:t>(Report,</w:t>
      </w:r>
      <w:r>
        <w:rPr>
          <w:spacing w:val="10"/>
          <w:w w:val="105"/>
          <w:sz w:val="13"/>
        </w:rPr>
        <w:t> </w:t>
      </w:r>
      <w:r>
        <w:rPr>
          <w:spacing w:val="2"/>
          <w:w w:val="105"/>
          <w:sz w:val="13"/>
        </w:rPr>
        <w:t>2009)</w:t>
      </w:r>
      <w:r>
        <w:rPr>
          <w:spacing w:val="9"/>
          <w:w w:val="105"/>
          <w:sz w:val="13"/>
        </w:rPr>
        <w:t> </w:t>
      </w:r>
      <w:r>
        <w:rPr>
          <w:w w:val="105"/>
          <w:sz w:val="13"/>
        </w:rPr>
        <w:t>23;</w:t>
      </w:r>
      <w:r>
        <w:rPr>
          <w:spacing w:val="10"/>
          <w:w w:val="105"/>
          <w:sz w:val="13"/>
        </w:rPr>
        <w:t> </w:t>
      </w:r>
      <w:r>
        <w:rPr>
          <w:w w:val="105"/>
          <w:sz w:val="13"/>
        </w:rPr>
        <w:t>see</w:t>
      </w:r>
    </w:p>
    <w:p>
      <w:pPr>
        <w:spacing w:before="1"/>
        <w:ind w:left="2436" w:right="4391" w:firstLine="0"/>
        <w:jc w:val="center"/>
        <w:rPr>
          <w:sz w:val="13"/>
        </w:rPr>
      </w:pPr>
      <w:r>
        <w:rPr>
          <w:i/>
          <w:w w:val="105"/>
          <w:sz w:val="13"/>
        </w:rPr>
        <w:t>Trees (Disputes Between Neighbours) Act 2006 </w:t>
      </w:r>
      <w:r>
        <w:rPr>
          <w:w w:val="105"/>
          <w:sz w:val="13"/>
        </w:rPr>
        <w:t>(NSW) s 16A.</w:t>
      </w:r>
    </w:p>
    <w:p>
      <w:pPr>
        <w:pStyle w:val="ListParagraph"/>
        <w:numPr>
          <w:ilvl w:val="0"/>
          <w:numId w:val="193"/>
        </w:numPr>
        <w:tabs>
          <w:tab w:pos="2380" w:val="left" w:leader="none"/>
          <w:tab w:pos="2382" w:val="left" w:leader="none"/>
        </w:tabs>
        <w:spacing w:line="240" w:lineRule="auto" w:before="2" w:after="0"/>
        <w:ind w:left="2381" w:right="0" w:hanging="794"/>
        <w:jc w:val="left"/>
        <w:rPr>
          <w:sz w:val="13"/>
        </w:rPr>
      </w:pPr>
      <w:r>
        <w:rPr>
          <w:w w:val="105"/>
          <w:sz w:val="13"/>
        </w:rPr>
        <w:t>See Chapter </w:t>
      </w:r>
      <w:r>
        <w:rPr>
          <w:spacing w:val="-4"/>
          <w:w w:val="105"/>
          <w:sz w:val="13"/>
        </w:rPr>
        <w:t>13 </w:t>
      </w:r>
      <w:r>
        <w:rPr>
          <w:w w:val="105"/>
          <w:sz w:val="13"/>
        </w:rPr>
        <w:t>for a discussion of trees blocking access to sunlight or</w:t>
      </w:r>
      <w:r>
        <w:rPr>
          <w:spacing w:val="8"/>
          <w:w w:val="105"/>
          <w:sz w:val="13"/>
        </w:rPr>
        <w:t> </w:t>
      </w:r>
      <w:r>
        <w:rPr>
          <w:w w:val="105"/>
          <w:sz w:val="13"/>
        </w:rPr>
        <w:t>views.</w:t>
      </w:r>
    </w:p>
    <w:p>
      <w:pPr>
        <w:pStyle w:val="ListParagraph"/>
        <w:numPr>
          <w:ilvl w:val="0"/>
          <w:numId w:val="193"/>
        </w:numPr>
        <w:tabs>
          <w:tab w:pos="2381" w:val="left" w:leader="none"/>
          <w:tab w:pos="2382" w:val="left" w:leader="none"/>
        </w:tabs>
        <w:spacing w:line="240" w:lineRule="auto" w:before="1" w:after="0"/>
        <w:ind w:left="2381" w:right="0" w:hanging="794"/>
        <w:jc w:val="left"/>
        <w:rPr>
          <w:sz w:val="13"/>
        </w:rPr>
      </w:pPr>
      <w:r>
        <w:rPr>
          <w:sz w:val="13"/>
        </w:rPr>
        <w:t>Peter</w:t>
      </w:r>
      <w:r>
        <w:rPr>
          <w:spacing w:val="9"/>
          <w:sz w:val="13"/>
        </w:rPr>
        <w:t> </w:t>
      </w:r>
      <w:r>
        <w:rPr>
          <w:sz w:val="13"/>
        </w:rPr>
        <w:t>E</w:t>
      </w:r>
      <w:r>
        <w:rPr>
          <w:spacing w:val="9"/>
          <w:sz w:val="13"/>
        </w:rPr>
        <w:t> </w:t>
      </w:r>
      <w:r>
        <w:rPr>
          <w:sz w:val="13"/>
        </w:rPr>
        <w:t>Nygh</w:t>
      </w:r>
      <w:r>
        <w:rPr>
          <w:spacing w:val="9"/>
          <w:sz w:val="13"/>
        </w:rPr>
        <w:t> </w:t>
      </w:r>
      <w:r>
        <w:rPr>
          <w:sz w:val="13"/>
        </w:rPr>
        <w:t>and</w:t>
      </w:r>
      <w:r>
        <w:rPr>
          <w:spacing w:val="9"/>
          <w:sz w:val="13"/>
        </w:rPr>
        <w:t> </w:t>
      </w:r>
      <w:r>
        <w:rPr>
          <w:sz w:val="13"/>
        </w:rPr>
        <w:t>Peter</w:t>
      </w:r>
      <w:r>
        <w:rPr>
          <w:spacing w:val="9"/>
          <w:sz w:val="13"/>
        </w:rPr>
        <w:t> </w:t>
      </w:r>
      <w:r>
        <w:rPr>
          <w:sz w:val="13"/>
        </w:rPr>
        <w:t>Butt,</w:t>
      </w:r>
      <w:r>
        <w:rPr>
          <w:spacing w:val="10"/>
          <w:sz w:val="13"/>
        </w:rPr>
        <w:t> </w:t>
      </w:r>
      <w:r>
        <w:rPr>
          <w:i/>
          <w:sz w:val="13"/>
        </w:rPr>
        <w:t>Butterworths</w:t>
      </w:r>
      <w:r>
        <w:rPr>
          <w:i/>
          <w:spacing w:val="9"/>
          <w:sz w:val="13"/>
        </w:rPr>
        <w:t> </w:t>
      </w:r>
      <w:r>
        <w:rPr>
          <w:i/>
          <w:sz w:val="13"/>
        </w:rPr>
        <w:t>Australian</w:t>
      </w:r>
      <w:r>
        <w:rPr>
          <w:i/>
          <w:spacing w:val="9"/>
          <w:sz w:val="13"/>
        </w:rPr>
        <w:t> </w:t>
      </w:r>
      <w:r>
        <w:rPr>
          <w:i/>
          <w:spacing w:val="2"/>
          <w:sz w:val="13"/>
        </w:rPr>
        <w:t>Property</w:t>
      </w:r>
      <w:r>
        <w:rPr>
          <w:i/>
          <w:spacing w:val="9"/>
          <w:sz w:val="13"/>
        </w:rPr>
        <w:t> </w:t>
      </w:r>
      <w:r>
        <w:rPr>
          <w:i/>
          <w:sz w:val="13"/>
        </w:rPr>
        <w:t>Law</w:t>
      </w:r>
      <w:r>
        <w:rPr>
          <w:i/>
          <w:spacing w:val="9"/>
          <w:sz w:val="13"/>
        </w:rPr>
        <w:t> </w:t>
      </w:r>
      <w:r>
        <w:rPr>
          <w:i/>
          <w:sz w:val="13"/>
        </w:rPr>
        <w:t>Dictionary</w:t>
      </w:r>
      <w:r>
        <w:rPr>
          <w:i/>
          <w:spacing w:val="10"/>
          <w:sz w:val="13"/>
        </w:rPr>
        <w:t> </w:t>
      </w:r>
      <w:r>
        <w:rPr>
          <w:spacing w:val="2"/>
          <w:sz w:val="13"/>
        </w:rPr>
        <w:t>(Butterworths,</w:t>
      </w:r>
      <w:r>
        <w:rPr>
          <w:spacing w:val="9"/>
          <w:sz w:val="13"/>
        </w:rPr>
        <w:t> </w:t>
      </w:r>
      <w:r>
        <w:rPr>
          <w:sz w:val="13"/>
        </w:rPr>
        <w:t>1997).</w:t>
      </w:r>
    </w:p>
    <w:p>
      <w:pPr>
        <w:pStyle w:val="BodyText"/>
        <w:spacing w:before="8"/>
        <w:rPr>
          <w:sz w:val="34"/>
        </w:rPr>
      </w:pPr>
      <w:r>
        <w:rPr/>
        <w:br w:type="column"/>
      </w:r>
      <w:r>
        <w:rPr>
          <w:sz w:val="34"/>
        </w:rPr>
      </w:r>
    </w:p>
    <w:p>
      <w:pPr>
        <w:spacing w:before="0"/>
        <w:ind w:left="649" w:right="575" w:firstLine="0"/>
        <w:jc w:val="center"/>
        <w:rPr>
          <w:b/>
          <w:sz w:val="24"/>
        </w:rPr>
      </w:pPr>
      <w:r>
        <w:rPr>
          <w:b/>
          <w:color w:val="658464"/>
          <w:w w:val="110"/>
          <w:sz w:val="24"/>
        </w:rPr>
        <w:t>269</w:t>
      </w:r>
    </w:p>
    <w:p>
      <w:pPr>
        <w:spacing w:after="0"/>
        <w:jc w:val="center"/>
        <w:rPr>
          <w:sz w:val="24"/>
        </w:rPr>
        <w:sectPr>
          <w:type w:val="continuous"/>
          <w:pgSz w:w="11910" w:h="16840"/>
          <w:pgMar w:top="300" w:bottom="280" w:left="0" w:right="0"/>
          <w:cols w:num="2" w:equalWidth="0">
            <w:col w:w="10204" w:space="40"/>
            <w:col w:w="1666"/>
          </w:cols>
        </w:sectPr>
      </w:pPr>
    </w:p>
    <w:p>
      <w:pPr>
        <w:pStyle w:val="BodyText"/>
        <w:rPr>
          <w:b/>
          <w:sz w:val="20"/>
        </w:rPr>
      </w:pPr>
    </w:p>
    <w:p>
      <w:pPr>
        <w:pStyle w:val="BodyText"/>
        <w:spacing w:before="5"/>
        <w:rPr>
          <w:b/>
          <w:sz w:val="14"/>
        </w:rPr>
      </w:pPr>
    </w:p>
    <w:p>
      <w:pPr>
        <w:pStyle w:val="BodyText"/>
        <w:ind w:left="1222"/>
        <w:rPr>
          <w:sz w:val="20"/>
        </w:rPr>
      </w:pPr>
      <w:r>
        <w:rPr>
          <w:sz w:val="20"/>
        </w:rPr>
        <w:pict>
          <v:group style="width:479.1pt;height:115.4pt;mso-position-horizontal-relative:char;mso-position-vertical-relative:line" coordorigin="0,0" coordsize="9582,2308">
            <v:rect style="position:absolute;left:340;top:0;width:8731;height:2308" filled="true" fillcolor="#dbe0dd" stroked="false">
              <v:fill type="solid"/>
            </v:rect>
            <v:line style="position:absolute" from="0,747" to="9581,747" stroked="true" strokeweight="2.5pt" strokecolor="#ffffff">
              <v:stroke dashstyle="solid"/>
            </v:line>
            <v:shape style="position:absolute;left:340;top:771;width:8731;height:1536" type="#_x0000_t202" filled="true" fillcolor="#dbe0dd" stroked="false">
              <v:textbox inset="0,0,0,0">
                <w:txbxContent>
                  <w:p>
                    <w:pPr>
                      <w:numPr>
                        <w:ilvl w:val="0"/>
                        <w:numId w:val="195"/>
                      </w:numPr>
                      <w:tabs>
                        <w:tab w:pos="793" w:val="left" w:leader="none"/>
                        <w:tab w:pos="794" w:val="left" w:leader="none"/>
                      </w:tabs>
                      <w:spacing w:line="242" w:lineRule="auto" w:before="208"/>
                      <w:ind w:left="793" w:right="373" w:hanging="567"/>
                      <w:jc w:val="left"/>
                      <w:rPr>
                        <w:sz w:val="21"/>
                      </w:rPr>
                    </w:pPr>
                    <w:bookmarkStart w:name="_bookmark146" w:id="315"/>
                    <w:bookmarkEnd w:id="315"/>
                    <w:r>
                      <w:rPr/>
                    </w:r>
                    <w:bookmarkStart w:name="_bookmark146" w:id="316"/>
                    <w:bookmarkEnd w:id="316"/>
                    <w:r>
                      <w:rPr>
                        <w:w w:val="115"/>
                        <w:sz w:val="21"/>
                      </w:rPr>
                      <w:t>T</w:t>
                    </w:r>
                    <w:r>
                      <w:rPr>
                        <w:w w:val="115"/>
                        <w:sz w:val="21"/>
                      </w:rPr>
                      <w:t>he Act should state that the date from which new owners </w:t>
                    </w:r>
                    <w:r>
                      <w:rPr>
                        <w:spacing w:val="-3"/>
                        <w:w w:val="115"/>
                        <w:sz w:val="21"/>
                      </w:rPr>
                      <w:t>will </w:t>
                    </w:r>
                    <w:r>
                      <w:rPr>
                        <w:w w:val="115"/>
                        <w:sz w:val="21"/>
                      </w:rPr>
                      <w:t>be bound and </w:t>
                    </w:r>
                    <w:r>
                      <w:rPr>
                        <w:spacing w:val="-3"/>
                        <w:w w:val="115"/>
                        <w:sz w:val="21"/>
                      </w:rPr>
                      <w:t>will </w:t>
                    </w:r>
                    <w:r>
                      <w:rPr>
                        <w:w w:val="115"/>
                        <w:sz w:val="21"/>
                      </w:rPr>
                      <w:t>benefit from the outcome of legal action is the date of</w:t>
                    </w:r>
                    <w:r>
                      <w:rPr>
                        <w:spacing w:val="-8"/>
                        <w:w w:val="115"/>
                        <w:sz w:val="21"/>
                      </w:rPr>
                      <w:t> </w:t>
                    </w:r>
                    <w:r>
                      <w:rPr>
                        <w:w w:val="115"/>
                        <w:sz w:val="21"/>
                      </w:rPr>
                      <w:t>settlement.</w:t>
                    </w:r>
                  </w:p>
                  <w:p>
                    <w:pPr>
                      <w:numPr>
                        <w:ilvl w:val="0"/>
                        <w:numId w:val="195"/>
                      </w:numPr>
                      <w:tabs>
                        <w:tab w:pos="793" w:val="left" w:leader="none"/>
                        <w:tab w:pos="794" w:val="left" w:leader="none"/>
                      </w:tabs>
                      <w:spacing w:line="242" w:lineRule="auto" w:before="122"/>
                      <w:ind w:left="793" w:right="534" w:hanging="567"/>
                      <w:jc w:val="left"/>
                      <w:rPr>
                        <w:sz w:val="21"/>
                      </w:rPr>
                    </w:pPr>
                    <w:r>
                      <w:rPr>
                        <w:w w:val="115"/>
                        <w:sz w:val="21"/>
                      </w:rPr>
                      <w:t>Any</w:t>
                    </w:r>
                    <w:r>
                      <w:rPr>
                        <w:spacing w:val="-11"/>
                        <w:w w:val="115"/>
                        <w:sz w:val="21"/>
                      </w:rPr>
                      <w:t> </w:t>
                    </w:r>
                    <w:r>
                      <w:rPr>
                        <w:w w:val="115"/>
                        <w:sz w:val="21"/>
                      </w:rPr>
                      <w:t>timeframes</w:t>
                    </w:r>
                    <w:r>
                      <w:rPr>
                        <w:spacing w:val="-10"/>
                        <w:w w:val="115"/>
                        <w:sz w:val="21"/>
                      </w:rPr>
                      <w:t> </w:t>
                    </w:r>
                    <w:r>
                      <w:rPr>
                        <w:w w:val="115"/>
                        <w:sz w:val="21"/>
                      </w:rPr>
                      <w:t>stipulated</w:t>
                    </w:r>
                    <w:r>
                      <w:rPr>
                        <w:spacing w:val="-11"/>
                        <w:w w:val="115"/>
                        <w:sz w:val="21"/>
                      </w:rPr>
                      <w:t> </w:t>
                    </w:r>
                    <w:r>
                      <w:rPr>
                        <w:w w:val="115"/>
                        <w:sz w:val="21"/>
                      </w:rPr>
                      <w:t>in</w:t>
                    </w:r>
                    <w:r>
                      <w:rPr>
                        <w:spacing w:val="-10"/>
                        <w:w w:val="115"/>
                        <w:sz w:val="21"/>
                      </w:rPr>
                      <w:t> </w:t>
                    </w:r>
                    <w:r>
                      <w:rPr>
                        <w:w w:val="115"/>
                        <w:sz w:val="21"/>
                      </w:rPr>
                      <w:t>the</w:t>
                    </w:r>
                    <w:r>
                      <w:rPr>
                        <w:spacing w:val="-11"/>
                        <w:w w:val="115"/>
                        <w:sz w:val="21"/>
                      </w:rPr>
                      <w:t> </w:t>
                    </w:r>
                    <w:r>
                      <w:rPr>
                        <w:w w:val="115"/>
                        <w:sz w:val="21"/>
                      </w:rPr>
                      <w:t>orders</w:t>
                    </w:r>
                    <w:r>
                      <w:rPr>
                        <w:spacing w:val="-10"/>
                        <w:w w:val="115"/>
                        <w:sz w:val="21"/>
                      </w:rPr>
                      <w:t> </w:t>
                    </w:r>
                    <w:r>
                      <w:rPr>
                        <w:w w:val="115"/>
                        <w:sz w:val="21"/>
                      </w:rPr>
                      <w:t>should</w:t>
                    </w:r>
                    <w:r>
                      <w:rPr>
                        <w:spacing w:val="-10"/>
                        <w:w w:val="115"/>
                        <w:sz w:val="21"/>
                      </w:rPr>
                      <w:t> </w:t>
                    </w:r>
                    <w:r>
                      <w:rPr>
                        <w:w w:val="115"/>
                        <w:sz w:val="21"/>
                      </w:rPr>
                      <w:t>re-commence</w:t>
                    </w:r>
                    <w:r>
                      <w:rPr>
                        <w:spacing w:val="-11"/>
                        <w:w w:val="115"/>
                        <w:sz w:val="21"/>
                      </w:rPr>
                      <w:t> </w:t>
                    </w:r>
                    <w:r>
                      <w:rPr>
                        <w:w w:val="115"/>
                        <w:sz w:val="21"/>
                      </w:rPr>
                      <w:t>on</w:t>
                    </w:r>
                    <w:r>
                      <w:rPr>
                        <w:spacing w:val="-10"/>
                        <w:w w:val="115"/>
                        <w:sz w:val="21"/>
                      </w:rPr>
                      <w:t> </w:t>
                    </w:r>
                    <w:r>
                      <w:rPr>
                        <w:w w:val="115"/>
                        <w:sz w:val="21"/>
                      </w:rPr>
                      <w:t>the</w:t>
                    </w:r>
                    <w:r>
                      <w:rPr>
                        <w:spacing w:val="-11"/>
                        <w:w w:val="115"/>
                        <w:sz w:val="21"/>
                      </w:rPr>
                      <w:t> </w:t>
                    </w:r>
                    <w:r>
                      <w:rPr>
                        <w:w w:val="115"/>
                        <w:sz w:val="21"/>
                      </w:rPr>
                      <w:t>date</w:t>
                    </w:r>
                    <w:r>
                      <w:rPr>
                        <w:spacing w:val="-10"/>
                        <w:w w:val="115"/>
                        <w:sz w:val="21"/>
                      </w:rPr>
                      <w:t> </w:t>
                    </w:r>
                    <w:r>
                      <w:rPr>
                        <w:w w:val="115"/>
                        <w:sz w:val="21"/>
                      </w:rPr>
                      <w:t>of settlement.</w:t>
                    </w:r>
                  </w:p>
                </w:txbxContent>
              </v:textbox>
              <v:fill type="solid"/>
              <w10:wrap type="none"/>
            </v:shape>
            <v:shape style="position:absolute;left:340;top:0;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Recommendations</w:t>
                    </w:r>
                  </w:p>
                </w:txbxContent>
              </v:textbox>
              <v:fill type="solid"/>
              <w10:wrap type="none"/>
            </v:shape>
          </v:group>
        </w:pict>
      </w:r>
      <w:r>
        <w:rPr>
          <w:sz w:val="20"/>
        </w:rPr>
      </w:r>
    </w:p>
    <w:p>
      <w:pPr>
        <w:pStyle w:val="BodyText"/>
        <w:rPr>
          <w:b/>
          <w:sz w:val="20"/>
        </w:rPr>
      </w:pPr>
    </w:p>
    <w:p>
      <w:pPr>
        <w:pStyle w:val="BodyText"/>
        <w:spacing w:before="5"/>
        <w:rPr>
          <w:b/>
          <w:sz w:val="15"/>
        </w:rPr>
      </w:pPr>
    </w:p>
    <w:p>
      <w:pPr>
        <w:spacing w:before="96"/>
        <w:ind w:left="1587" w:right="0" w:firstLine="0"/>
        <w:jc w:val="left"/>
        <w:rPr>
          <w:b/>
          <w:sz w:val="24"/>
        </w:rPr>
      </w:pPr>
      <w:r>
        <w:rPr>
          <w:b/>
          <w:w w:val="115"/>
          <w:sz w:val="24"/>
        </w:rPr>
        <w:t>Who should inform purchasers?</w:t>
      </w:r>
    </w:p>
    <w:p>
      <w:pPr>
        <w:pStyle w:val="ListParagraph"/>
        <w:numPr>
          <w:ilvl w:val="1"/>
          <w:numId w:val="16"/>
        </w:numPr>
        <w:tabs>
          <w:tab w:pos="2381" w:val="left" w:leader="none"/>
          <w:tab w:pos="2382" w:val="left" w:leader="none"/>
        </w:tabs>
        <w:spacing w:line="242" w:lineRule="auto" w:before="137" w:after="0"/>
        <w:ind w:left="2381" w:right="1750" w:hanging="794"/>
        <w:jc w:val="left"/>
        <w:rPr>
          <w:sz w:val="21"/>
        </w:rPr>
      </w:pPr>
      <w:r>
        <w:rPr>
          <w:spacing w:val="-3"/>
          <w:w w:val="105"/>
          <w:sz w:val="21"/>
        </w:rPr>
        <w:t>Potential</w:t>
      </w:r>
      <w:r>
        <w:rPr>
          <w:spacing w:val="-13"/>
          <w:w w:val="105"/>
          <w:sz w:val="21"/>
        </w:rPr>
        <w:t> </w:t>
      </w:r>
      <w:r>
        <w:rPr>
          <w:spacing w:val="-3"/>
          <w:w w:val="105"/>
          <w:sz w:val="21"/>
        </w:rPr>
        <w:t>purchasers</w:t>
      </w:r>
      <w:r>
        <w:rPr>
          <w:spacing w:val="-12"/>
          <w:w w:val="105"/>
          <w:sz w:val="21"/>
        </w:rPr>
        <w:t> </w:t>
      </w:r>
      <w:r>
        <w:rPr>
          <w:w w:val="105"/>
          <w:sz w:val="21"/>
        </w:rPr>
        <w:t>should</w:t>
      </w:r>
      <w:r>
        <w:rPr>
          <w:spacing w:val="-13"/>
          <w:w w:val="105"/>
          <w:sz w:val="21"/>
        </w:rPr>
        <w:t> </w:t>
      </w:r>
      <w:r>
        <w:rPr>
          <w:w w:val="105"/>
          <w:sz w:val="21"/>
        </w:rPr>
        <w:t>be</w:t>
      </w:r>
      <w:r>
        <w:rPr>
          <w:spacing w:val="-12"/>
          <w:w w:val="105"/>
          <w:sz w:val="21"/>
        </w:rPr>
        <w:t> </w:t>
      </w:r>
      <w:r>
        <w:rPr>
          <w:w w:val="105"/>
          <w:sz w:val="21"/>
        </w:rPr>
        <w:t>notified</w:t>
      </w:r>
      <w:r>
        <w:rPr>
          <w:spacing w:val="-13"/>
          <w:w w:val="105"/>
          <w:sz w:val="21"/>
        </w:rPr>
        <w:t> </w:t>
      </w:r>
      <w:r>
        <w:rPr>
          <w:w w:val="105"/>
          <w:sz w:val="21"/>
        </w:rPr>
        <w:t>of</w:t>
      </w:r>
      <w:r>
        <w:rPr>
          <w:spacing w:val="-12"/>
          <w:w w:val="105"/>
          <w:sz w:val="21"/>
        </w:rPr>
        <w:t> </w:t>
      </w:r>
      <w:r>
        <w:rPr>
          <w:w w:val="105"/>
          <w:sz w:val="21"/>
        </w:rPr>
        <w:t>existing</w:t>
      </w:r>
      <w:r>
        <w:rPr>
          <w:spacing w:val="-13"/>
          <w:w w:val="105"/>
          <w:sz w:val="21"/>
        </w:rPr>
        <w:t> </w:t>
      </w:r>
      <w:r>
        <w:rPr>
          <w:spacing w:val="-3"/>
          <w:w w:val="105"/>
          <w:sz w:val="21"/>
        </w:rPr>
        <w:t>disputes</w:t>
      </w:r>
      <w:r>
        <w:rPr>
          <w:spacing w:val="-12"/>
          <w:w w:val="105"/>
          <w:sz w:val="21"/>
        </w:rPr>
        <w:t> </w:t>
      </w:r>
      <w:r>
        <w:rPr>
          <w:w w:val="105"/>
          <w:sz w:val="21"/>
        </w:rPr>
        <w:t>and</w:t>
      </w:r>
      <w:r>
        <w:rPr>
          <w:spacing w:val="-13"/>
          <w:w w:val="105"/>
          <w:sz w:val="21"/>
        </w:rPr>
        <w:t> </w:t>
      </w:r>
      <w:r>
        <w:rPr>
          <w:w w:val="105"/>
          <w:sz w:val="21"/>
        </w:rPr>
        <w:t>orders</w:t>
      </w:r>
      <w:r>
        <w:rPr>
          <w:spacing w:val="-12"/>
          <w:w w:val="105"/>
          <w:sz w:val="21"/>
        </w:rPr>
        <w:t> </w:t>
      </w:r>
      <w:r>
        <w:rPr>
          <w:spacing w:val="-3"/>
          <w:w w:val="105"/>
          <w:sz w:val="21"/>
        </w:rPr>
        <w:t>before</w:t>
      </w:r>
      <w:r>
        <w:rPr>
          <w:spacing w:val="-13"/>
          <w:w w:val="105"/>
          <w:sz w:val="21"/>
        </w:rPr>
        <w:t> </w:t>
      </w:r>
      <w:r>
        <w:rPr>
          <w:w w:val="105"/>
          <w:sz w:val="21"/>
        </w:rPr>
        <w:t>settlement so </w:t>
      </w:r>
      <w:r>
        <w:rPr>
          <w:spacing w:val="-3"/>
          <w:w w:val="105"/>
          <w:sz w:val="21"/>
        </w:rPr>
        <w:t>that </w:t>
      </w:r>
      <w:r>
        <w:rPr>
          <w:w w:val="105"/>
          <w:sz w:val="21"/>
        </w:rPr>
        <w:t>they know about the scope of the problem and </w:t>
      </w:r>
      <w:r>
        <w:rPr>
          <w:spacing w:val="-3"/>
          <w:w w:val="105"/>
          <w:sz w:val="21"/>
        </w:rPr>
        <w:t>future obligations. </w:t>
      </w:r>
      <w:r>
        <w:rPr>
          <w:w w:val="105"/>
          <w:sz w:val="21"/>
        </w:rPr>
        <w:t>This </w:t>
      </w:r>
      <w:r>
        <w:rPr>
          <w:spacing w:val="-3"/>
          <w:w w:val="105"/>
          <w:sz w:val="21"/>
        </w:rPr>
        <w:t>will </w:t>
      </w:r>
      <w:r>
        <w:rPr>
          <w:w w:val="105"/>
          <w:sz w:val="21"/>
        </w:rPr>
        <w:t>help them </w:t>
      </w:r>
      <w:r>
        <w:rPr>
          <w:spacing w:val="-3"/>
          <w:w w:val="105"/>
          <w:sz w:val="21"/>
        </w:rPr>
        <w:t>to </w:t>
      </w:r>
      <w:r>
        <w:rPr>
          <w:spacing w:val="-4"/>
          <w:w w:val="105"/>
          <w:sz w:val="21"/>
        </w:rPr>
        <w:t>make </w:t>
      </w:r>
      <w:r>
        <w:rPr>
          <w:spacing w:val="-3"/>
          <w:w w:val="105"/>
          <w:sz w:val="21"/>
        </w:rPr>
        <w:t>informed </w:t>
      </w:r>
      <w:r>
        <w:rPr>
          <w:w w:val="105"/>
          <w:sz w:val="21"/>
        </w:rPr>
        <w:t>decisions and </w:t>
      </w:r>
      <w:r>
        <w:rPr>
          <w:spacing w:val="-3"/>
          <w:w w:val="105"/>
          <w:sz w:val="21"/>
        </w:rPr>
        <w:t>encourage compliance </w:t>
      </w:r>
      <w:r>
        <w:rPr>
          <w:w w:val="105"/>
          <w:sz w:val="21"/>
        </w:rPr>
        <w:t>if they </w:t>
      </w:r>
      <w:r>
        <w:rPr>
          <w:spacing w:val="-5"/>
          <w:w w:val="105"/>
          <w:sz w:val="21"/>
        </w:rPr>
        <w:t>buy. </w:t>
      </w:r>
      <w:r>
        <w:rPr>
          <w:w w:val="105"/>
          <w:sz w:val="21"/>
        </w:rPr>
        <w:t>It </w:t>
      </w:r>
      <w:r>
        <w:rPr>
          <w:spacing w:val="-3"/>
          <w:w w:val="105"/>
          <w:sz w:val="21"/>
        </w:rPr>
        <w:t>may </w:t>
      </w:r>
      <w:r>
        <w:rPr>
          <w:w w:val="105"/>
          <w:sz w:val="21"/>
        </w:rPr>
        <w:t>also empower a </w:t>
      </w:r>
      <w:r>
        <w:rPr>
          <w:spacing w:val="-3"/>
          <w:w w:val="105"/>
          <w:sz w:val="21"/>
        </w:rPr>
        <w:t>purchaser to require </w:t>
      </w:r>
      <w:r>
        <w:rPr>
          <w:w w:val="105"/>
          <w:sz w:val="21"/>
        </w:rPr>
        <w:t>works </w:t>
      </w:r>
      <w:r>
        <w:rPr>
          <w:spacing w:val="-3"/>
          <w:w w:val="105"/>
          <w:sz w:val="21"/>
        </w:rPr>
        <w:t>pursuant to </w:t>
      </w:r>
      <w:r>
        <w:rPr>
          <w:w w:val="105"/>
          <w:sz w:val="21"/>
        </w:rPr>
        <w:t>an order </w:t>
      </w:r>
      <w:r>
        <w:rPr>
          <w:spacing w:val="-3"/>
          <w:w w:val="105"/>
          <w:sz w:val="21"/>
        </w:rPr>
        <w:t>to </w:t>
      </w:r>
      <w:r>
        <w:rPr>
          <w:w w:val="105"/>
          <w:sz w:val="21"/>
        </w:rPr>
        <w:t>be </w:t>
      </w:r>
      <w:r>
        <w:rPr>
          <w:spacing w:val="-3"/>
          <w:w w:val="105"/>
          <w:sz w:val="21"/>
        </w:rPr>
        <w:t>completed before </w:t>
      </w:r>
      <w:r>
        <w:rPr>
          <w:w w:val="105"/>
          <w:sz w:val="21"/>
        </w:rPr>
        <w:t>settlement.</w:t>
      </w:r>
    </w:p>
    <w:p>
      <w:pPr>
        <w:pStyle w:val="ListParagraph"/>
        <w:numPr>
          <w:ilvl w:val="1"/>
          <w:numId w:val="16"/>
        </w:numPr>
        <w:tabs>
          <w:tab w:pos="2380" w:val="left" w:leader="none"/>
          <w:tab w:pos="2381" w:val="left" w:leader="none"/>
        </w:tabs>
        <w:spacing w:line="242" w:lineRule="auto" w:before="126" w:after="0"/>
        <w:ind w:left="2381" w:right="1873" w:hanging="794"/>
        <w:jc w:val="left"/>
        <w:rPr>
          <w:sz w:val="21"/>
        </w:rPr>
      </w:pPr>
      <w:r>
        <w:rPr>
          <w:w w:val="105"/>
          <w:sz w:val="21"/>
        </w:rPr>
        <w:t>It should be the role of the </w:t>
      </w:r>
      <w:r>
        <w:rPr>
          <w:spacing w:val="-3"/>
          <w:w w:val="105"/>
          <w:sz w:val="21"/>
        </w:rPr>
        <w:t>original </w:t>
      </w:r>
      <w:r>
        <w:rPr>
          <w:w w:val="105"/>
          <w:sz w:val="21"/>
        </w:rPr>
        <w:t>owner (both the </w:t>
      </w:r>
      <w:r>
        <w:rPr>
          <w:spacing w:val="-3"/>
          <w:w w:val="105"/>
          <w:sz w:val="21"/>
        </w:rPr>
        <w:t>original </w:t>
      </w:r>
      <w:r>
        <w:rPr>
          <w:w w:val="105"/>
          <w:sz w:val="21"/>
        </w:rPr>
        <w:t>tree owner and </w:t>
      </w:r>
      <w:r>
        <w:rPr>
          <w:spacing w:val="-3"/>
          <w:w w:val="105"/>
          <w:sz w:val="21"/>
        </w:rPr>
        <w:t>original </w:t>
      </w:r>
      <w:r>
        <w:rPr>
          <w:w w:val="105"/>
          <w:sz w:val="21"/>
        </w:rPr>
        <w:t>affected </w:t>
      </w:r>
      <w:r>
        <w:rPr>
          <w:spacing w:val="-3"/>
          <w:w w:val="105"/>
          <w:sz w:val="21"/>
        </w:rPr>
        <w:t>neighbour) to inform potential purchasers, using </w:t>
      </w:r>
      <w:r>
        <w:rPr>
          <w:w w:val="105"/>
          <w:sz w:val="21"/>
        </w:rPr>
        <w:t>the processes </w:t>
      </w:r>
      <w:r>
        <w:rPr>
          <w:spacing w:val="-3"/>
          <w:w w:val="105"/>
          <w:sz w:val="21"/>
        </w:rPr>
        <w:t>outlined </w:t>
      </w:r>
      <w:r>
        <w:rPr>
          <w:w w:val="105"/>
          <w:sz w:val="21"/>
        </w:rPr>
        <w:t>below under ‘How should </w:t>
      </w:r>
      <w:r>
        <w:rPr>
          <w:spacing w:val="-3"/>
          <w:w w:val="105"/>
          <w:sz w:val="21"/>
        </w:rPr>
        <w:t>notice </w:t>
      </w:r>
      <w:r>
        <w:rPr>
          <w:w w:val="105"/>
          <w:sz w:val="21"/>
        </w:rPr>
        <w:t>be</w:t>
      </w:r>
      <w:r>
        <w:rPr>
          <w:spacing w:val="27"/>
          <w:w w:val="105"/>
          <w:sz w:val="21"/>
        </w:rPr>
        <w:t> </w:t>
      </w:r>
      <w:r>
        <w:rPr>
          <w:w w:val="105"/>
          <w:sz w:val="21"/>
        </w:rPr>
        <w:t>provided?’</w:t>
      </w:r>
    </w:p>
    <w:p>
      <w:pPr>
        <w:pStyle w:val="ListParagraph"/>
        <w:numPr>
          <w:ilvl w:val="1"/>
          <w:numId w:val="16"/>
        </w:numPr>
        <w:tabs>
          <w:tab w:pos="2380" w:val="left" w:leader="none"/>
          <w:tab w:pos="2381" w:val="left" w:leader="none"/>
        </w:tabs>
        <w:spacing w:line="242" w:lineRule="auto" w:before="123" w:after="0"/>
        <w:ind w:left="2380" w:right="1633" w:hanging="793"/>
        <w:jc w:val="left"/>
        <w:rPr>
          <w:sz w:val="21"/>
        </w:rPr>
      </w:pPr>
      <w:r>
        <w:rPr>
          <w:sz w:val="21"/>
        </w:rPr>
        <w:t>It should </w:t>
      </w:r>
      <w:r>
        <w:rPr>
          <w:spacing w:val="-2"/>
          <w:sz w:val="21"/>
        </w:rPr>
        <w:t>not  </w:t>
      </w:r>
      <w:r>
        <w:rPr>
          <w:sz w:val="21"/>
        </w:rPr>
        <w:t>be the sole duty of the affected </w:t>
      </w:r>
      <w:r>
        <w:rPr>
          <w:spacing w:val="-3"/>
          <w:sz w:val="21"/>
        </w:rPr>
        <w:t>neighbour  to  inform  </w:t>
      </w:r>
      <w:r>
        <w:rPr>
          <w:sz w:val="21"/>
        </w:rPr>
        <w:t>new owners of the    </w:t>
      </w:r>
      <w:r>
        <w:rPr>
          <w:spacing w:val="-3"/>
          <w:sz w:val="21"/>
        </w:rPr>
        <w:t>tree, </w:t>
      </w:r>
      <w:r>
        <w:rPr>
          <w:sz w:val="21"/>
        </w:rPr>
        <w:t>as is the case in New South </w:t>
      </w:r>
      <w:r>
        <w:rPr>
          <w:spacing w:val="-3"/>
          <w:sz w:val="21"/>
        </w:rPr>
        <w:t>Wales. </w:t>
      </w:r>
      <w:r>
        <w:rPr>
          <w:sz w:val="21"/>
        </w:rPr>
        <w:t>The </w:t>
      </w:r>
      <w:r>
        <w:rPr>
          <w:spacing w:val="-3"/>
          <w:sz w:val="21"/>
        </w:rPr>
        <w:t>Commission </w:t>
      </w:r>
      <w:r>
        <w:rPr>
          <w:sz w:val="21"/>
        </w:rPr>
        <w:t>agrees with </w:t>
      </w:r>
      <w:r>
        <w:rPr>
          <w:spacing w:val="-5"/>
          <w:sz w:val="21"/>
        </w:rPr>
        <w:t>QCAT’s </w:t>
      </w:r>
      <w:r>
        <w:rPr>
          <w:sz w:val="21"/>
        </w:rPr>
        <w:t>observation  </w:t>
      </w:r>
      <w:r>
        <w:rPr>
          <w:spacing w:val="-3"/>
          <w:sz w:val="21"/>
        </w:rPr>
        <w:t>that </w:t>
      </w:r>
      <w:r>
        <w:rPr>
          <w:sz w:val="21"/>
        </w:rPr>
        <w:t>it would be </w:t>
      </w:r>
      <w:r>
        <w:rPr>
          <w:spacing w:val="-3"/>
          <w:sz w:val="21"/>
        </w:rPr>
        <w:t>problematic  for  </w:t>
      </w:r>
      <w:r>
        <w:rPr>
          <w:sz w:val="21"/>
        </w:rPr>
        <w:t>the </w:t>
      </w:r>
      <w:r>
        <w:rPr>
          <w:spacing w:val="-3"/>
          <w:sz w:val="21"/>
        </w:rPr>
        <w:t>neighbour</w:t>
      </w:r>
      <w:r>
        <w:rPr>
          <w:spacing w:val="41"/>
          <w:sz w:val="21"/>
        </w:rPr>
        <w:t> </w:t>
      </w:r>
      <w:r>
        <w:rPr>
          <w:spacing w:val="-3"/>
          <w:sz w:val="21"/>
        </w:rPr>
        <w:t>to  have  to  </w:t>
      </w:r>
      <w:r>
        <w:rPr>
          <w:sz w:val="21"/>
        </w:rPr>
        <w:t>provide the new tree owner with a </w:t>
      </w:r>
      <w:r>
        <w:rPr>
          <w:spacing w:val="-3"/>
          <w:sz w:val="21"/>
        </w:rPr>
        <w:t>copy </w:t>
      </w:r>
      <w:r>
        <w:rPr>
          <w:sz w:val="21"/>
        </w:rPr>
        <w:t>of </w:t>
      </w:r>
      <w:r>
        <w:rPr>
          <w:spacing w:val="-3"/>
          <w:sz w:val="21"/>
        </w:rPr>
        <w:t>any </w:t>
      </w:r>
      <w:r>
        <w:rPr>
          <w:sz w:val="21"/>
        </w:rPr>
        <w:t>orders </w:t>
      </w:r>
      <w:r>
        <w:rPr>
          <w:spacing w:val="-3"/>
          <w:sz w:val="21"/>
        </w:rPr>
        <w:t>to ensure </w:t>
      </w:r>
      <w:r>
        <w:rPr>
          <w:sz w:val="21"/>
        </w:rPr>
        <w:t>they </w:t>
      </w:r>
      <w:r>
        <w:rPr>
          <w:spacing w:val="-3"/>
          <w:sz w:val="21"/>
        </w:rPr>
        <w:t>are </w:t>
      </w:r>
      <w:r>
        <w:rPr>
          <w:sz w:val="21"/>
        </w:rPr>
        <w:t>carried </w:t>
      </w:r>
      <w:r>
        <w:rPr>
          <w:spacing w:val="-5"/>
          <w:sz w:val="21"/>
        </w:rPr>
        <w:t>out.</w:t>
      </w:r>
      <w:r>
        <w:rPr>
          <w:spacing w:val="-5"/>
          <w:position w:val="7"/>
          <w:sz w:val="12"/>
        </w:rPr>
        <w:t>102  </w:t>
      </w:r>
      <w:r>
        <w:rPr>
          <w:sz w:val="21"/>
        </w:rPr>
        <w:t>The </w:t>
      </w:r>
      <w:r>
        <w:rPr>
          <w:spacing w:val="-3"/>
          <w:sz w:val="21"/>
        </w:rPr>
        <w:t>neighbour  may  </w:t>
      </w:r>
      <w:r>
        <w:rPr>
          <w:spacing w:val="-2"/>
          <w:sz w:val="21"/>
        </w:rPr>
        <w:t>not  </w:t>
      </w:r>
      <w:r>
        <w:rPr>
          <w:sz w:val="21"/>
        </w:rPr>
        <w:t>know </w:t>
      </w:r>
      <w:r>
        <w:rPr>
          <w:spacing w:val="-3"/>
          <w:sz w:val="21"/>
        </w:rPr>
        <w:t>that </w:t>
      </w:r>
      <w:r>
        <w:rPr>
          <w:sz w:val="21"/>
        </w:rPr>
        <w:t>the </w:t>
      </w:r>
      <w:r>
        <w:rPr>
          <w:spacing w:val="-3"/>
          <w:sz w:val="21"/>
        </w:rPr>
        <w:t>land  </w:t>
      </w:r>
      <w:r>
        <w:rPr>
          <w:sz w:val="21"/>
        </w:rPr>
        <w:t>is being sold or who is buying it, so it would be </w:t>
      </w:r>
      <w:r>
        <w:rPr>
          <w:spacing w:val="-4"/>
          <w:sz w:val="21"/>
        </w:rPr>
        <w:t>unfair  </w:t>
      </w:r>
      <w:r>
        <w:rPr>
          <w:spacing w:val="-3"/>
          <w:sz w:val="21"/>
        </w:rPr>
        <w:t>to  </w:t>
      </w:r>
      <w:r>
        <w:rPr>
          <w:sz w:val="21"/>
        </w:rPr>
        <w:t>put the </w:t>
      </w:r>
      <w:r>
        <w:rPr>
          <w:spacing w:val="-3"/>
          <w:sz w:val="21"/>
        </w:rPr>
        <w:t>onus</w:t>
      </w:r>
      <w:r>
        <w:rPr>
          <w:spacing w:val="41"/>
          <w:sz w:val="21"/>
        </w:rPr>
        <w:t> </w:t>
      </w:r>
      <w:r>
        <w:rPr>
          <w:sz w:val="21"/>
        </w:rPr>
        <w:t>on  them </w:t>
      </w:r>
      <w:r>
        <w:rPr>
          <w:spacing w:val="-3"/>
          <w:sz w:val="21"/>
        </w:rPr>
        <w:t>to monitor </w:t>
      </w:r>
      <w:r>
        <w:rPr>
          <w:sz w:val="21"/>
        </w:rPr>
        <w:t>ownership of their </w:t>
      </w:r>
      <w:r>
        <w:rPr>
          <w:spacing w:val="-3"/>
          <w:sz w:val="21"/>
        </w:rPr>
        <w:t>neighbour’s</w:t>
      </w:r>
      <w:r>
        <w:rPr>
          <w:spacing w:val="-9"/>
          <w:sz w:val="21"/>
        </w:rPr>
        <w:t> </w:t>
      </w:r>
      <w:r>
        <w:rPr>
          <w:spacing w:val="-5"/>
          <w:sz w:val="21"/>
        </w:rPr>
        <w:t>land.</w:t>
      </w:r>
      <w:r>
        <w:rPr>
          <w:spacing w:val="-5"/>
          <w:position w:val="7"/>
          <w:sz w:val="12"/>
        </w:rPr>
        <w:t>103</w:t>
      </w:r>
    </w:p>
    <w:p>
      <w:pPr>
        <w:pStyle w:val="BodyText"/>
        <w:spacing w:before="7"/>
        <w:rPr>
          <w:sz w:val="20"/>
        </w:rPr>
      </w:pPr>
    </w:p>
    <w:p>
      <w:pPr>
        <w:pStyle w:val="Heading5"/>
      </w:pPr>
      <w:r>
        <w:rPr>
          <w:w w:val="110"/>
        </w:rPr>
        <w:t>What should be disclosed?</w:t>
      </w:r>
    </w:p>
    <w:p>
      <w:pPr>
        <w:pStyle w:val="ListParagraph"/>
        <w:numPr>
          <w:ilvl w:val="1"/>
          <w:numId w:val="16"/>
        </w:numPr>
        <w:tabs>
          <w:tab w:pos="2380" w:val="left" w:leader="none"/>
          <w:tab w:pos="2381" w:val="left" w:leader="none"/>
        </w:tabs>
        <w:spacing w:line="242" w:lineRule="auto" w:before="138" w:after="0"/>
        <w:ind w:left="2381" w:right="1658" w:hanging="794"/>
        <w:jc w:val="left"/>
        <w:rPr>
          <w:sz w:val="21"/>
        </w:rPr>
      </w:pPr>
      <w:r>
        <w:rPr>
          <w:spacing w:val="-3"/>
          <w:w w:val="105"/>
          <w:sz w:val="21"/>
        </w:rPr>
        <w:t>Disclosure </w:t>
      </w:r>
      <w:r>
        <w:rPr>
          <w:w w:val="105"/>
          <w:sz w:val="21"/>
        </w:rPr>
        <w:t>should </w:t>
      </w:r>
      <w:r>
        <w:rPr>
          <w:spacing w:val="-3"/>
          <w:w w:val="105"/>
          <w:sz w:val="21"/>
        </w:rPr>
        <w:t>include providing relevant </w:t>
      </w:r>
      <w:r>
        <w:rPr>
          <w:w w:val="105"/>
          <w:sz w:val="21"/>
        </w:rPr>
        <w:t>documentation, either a </w:t>
      </w:r>
      <w:r>
        <w:rPr>
          <w:spacing w:val="-3"/>
          <w:w w:val="105"/>
          <w:sz w:val="21"/>
        </w:rPr>
        <w:t>copy </w:t>
      </w:r>
      <w:r>
        <w:rPr>
          <w:w w:val="105"/>
          <w:sz w:val="21"/>
        </w:rPr>
        <w:t>of the application or orders, </w:t>
      </w:r>
      <w:r>
        <w:rPr>
          <w:spacing w:val="-3"/>
          <w:w w:val="105"/>
          <w:sz w:val="21"/>
        </w:rPr>
        <w:t>to </w:t>
      </w:r>
      <w:r>
        <w:rPr>
          <w:w w:val="105"/>
          <w:sz w:val="21"/>
        </w:rPr>
        <w:t>the </w:t>
      </w:r>
      <w:r>
        <w:rPr>
          <w:spacing w:val="-4"/>
          <w:w w:val="105"/>
          <w:sz w:val="21"/>
        </w:rPr>
        <w:t>purchaser. </w:t>
      </w:r>
      <w:r>
        <w:rPr>
          <w:w w:val="105"/>
          <w:sz w:val="21"/>
        </w:rPr>
        <w:t>If the matter </w:t>
      </w:r>
      <w:r>
        <w:rPr>
          <w:spacing w:val="-2"/>
          <w:w w:val="105"/>
          <w:sz w:val="21"/>
        </w:rPr>
        <w:t>has not </w:t>
      </w:r>
      <w:r>
        <w:rPr>
          <w:w w:val="105"/>
          <w:sz w:val="21"/>
        </w:rPr>
        <w:t>been settled then a </w:t>
      </w:r>
      <w:r>
        <w:rPr>
          <w:spacing w:val="-3"/>
          <w:w w:val="105"/>
          <w:sz w:val="21"/>
        </w:rPr>
        <w:t>copy </w:t>
      </w:r>
      <w:r>
        <w:rPr>
          <w:w w:val="105"/>
          <w:sz w:val="21"/>
        </w:rPr>
        <w:t>of the</w:t>
      </w:r>
      <w:r>
        <w:rPr>
          <w:spacing w:val="-7"/>
          <w:w w:val="105"/>
          <w:sz w:val="21"/>
        </w:rPr>
        <w:t> </w:t>
      </w:r>
      <w:r>
        <w:rPr>
          <w:w w:val="105"/>
          <w:sz w:val="21"/>
        </w:rPr>
        <w:t>application</w:t>
      </w:r>
      <w:r>
        <w:rPr>
          <w:spacing w:val="-7"/>
          <w:w w:val="105"/>
          <w:sz w:val="21"/>
        </w:rPr>
        <w:t> </w:t>
      </w:r>
      <w:r>
        <w:rPr>
          <w:w w:val="105"/>
          <w:sz w:val="21"/>
        </w:rPr>
        <w:t>should</w:t>
      </w:r>
      <w:r>
        <w:rPr>
          <w:spacing w:val="-7"/>
          <w:w w:val="105"/>
          <w:sz w:val="21"/>
        </w:rPr>
        <w:t> </w:t>
      </w:r>
      <w:r>
        <w:rPr>
          <w:w w:val="105"/>
          <w:sz w:val="21"/>
        </w:rPr>
        <w:t>be</w:t>
      </w:r>
      <w:r>
        <w:rPr>
          <w:spacing w:val="-7"/>
          <w:w w:val="105"/>
          <w:sz w:val="21"/>
        </w:rPr>
        <w:t> </w:t>
      </w:r>
      <w:r>
        <w:rPr>
          <w:spacing w:val="-2"/>
          <w:w w:val="105"/>
          <w:sz w:val="21"/>
        </w:rPr>
        <w:t>provided.</w:t>
      </w:r>
      <w:r>
        <w:rPr>
          <w:spacing w:val="-7"/>
          <w:w w:val="105"/>
          <w:sz w:val="21"/>
        </w:rPr>
        <w:t> </w:t>
      </w:r>
      <w:r>
        <w:rPr>
          <w:w w:val="105"/>
          <w:sz w:val="21"/>
        </w:rPr>
        <w:t>If</w:t>
      </w:r>
      <w:r>
        <w:rPr>
          <w:spacing w:val="-6"/>
          <w:w w:val="105"/>
          <w:sz w:val="21"/>
        </w:rPr>
        <w:t> </w:t>
      </w:r>
      <w:r>
        <w:rPr>
          <w:w w:val="105"/>
          <w:sz w:val="21"/>
        </w:rPr>
        <w:t>the</w:t>
      </w:r>
      <w:r>
        <w:rPr>
          <w:spacing w:val="-7"/>
          <w:w w:val="105"/>
          <w:sz w:val="21"/>
        </w:rPr>
        <w:t> </w:t>
      </w:r>
      <w:r>
        <w:rPr>
          <w:w w:val="105"/>
          <w:sz w:val="21"/>
        </w:rPr>
        <w:t>matter</w:t>
      </w:r>
      <w:r>
        <w:rPr>
          <w:spacing w:val="-7"/>
          <w:w w:val="105"/>
          <w:sz w:val="21"/>
        </w:rPr>
        <w:t> </w:t>
      </w:r>
      <w:r>
        <w:rPr>
          <w:spacing w:val="-2"/>
          <w:w w:val="105"/>
          <w:sz w:val="21"/>
        </w:rPr>
        <w:t>has</w:t>
      </w:r>
      <w:r>
        <w:rPr>
          <w:spacing w:val="-7"/>
          <w:w w:val="105"/>
          <w:sz w:val="21"/>
        </w:rPr>
        <w:t> </w:t>
      </w:r>
      <w:r>
        <w:rPr>
          <w:w w:val="105"/>
          <w:sz w:val="21"/>
        </w:rPr>
        <w:t>been</w:t>
      </w:r>
      <w:r>
        <w:rPr>
          <w:spacing w:val="-7"/>
          <w:w w:val="105"/>
          <w:sz w:val="21"/>
        </w:rPr>
        <w:t> </w:t>
      </w:r>
      <w:r>
        <w:rPr>
          <w:spacing w:val="-3"/>
          <w:w w:val="105"/>
          <w:sz w:val="21"/>
        </w:rPr>
        <w:t>determined</w:t>
      </w:r>
      <w:r>
        <w:rPr>
          <w:spacing w:val="-6"/>
          <w:w w:val="105"/>
          <w:sz w:val="21"/>
        </w:rPr>
        <w:t> </w:t>
      </w:r>
      <w:r>
        <w:rPr>
          <w:w w:val="105"/>
          <w:sz w:val="21"/>
        </w:rPr>
        <w:t>then</w:t>
      </w:r>
      <w:r>
        <w:rPr>
          <w:spacing w:val="-7"/>
          <w:w w:val="105"/>
          <w:sz w:val="21"/>
        </w:rPr>
        <w:t> </w:t>
      </w:r>
      <w:r>
        <w:rPr>
          <w:w w:val="105"/>
          <w:sz w:val="21"/>
        </w:rPr>
        <w:t>a</w:t>
      </w:r>
      <w:r>
        <w:rPr>
          <w:spacing w:val="-7"/>
          <w:w w:val="105"/>
          <w:sz w:val="21"/>
        </w:rPr>
        <w:t> </w:t>
      </w:r>
      <w:r>
        <w:rPr>
          <w:spacing w:val="-3"/>
          <w:w w:val="105"/>
          <w:sz w:val="21"/>
        </w:rPr>
        <w:t>copy</w:t>
      </w:r>
      <w:r>
        <w:rPr>
          <w:spacing w:val="-7"/>
          <w:w w:val="105"/>
          <w:sz w:val="21"/>
        </w:rPr>
        <w:t> </w:t>
      </w:r>
      <w:r>
        <w:rPr>
          <w:w w:val="105"/>
          <w:sz w:val="21"/>
        </w:rPr>
        <w:t>of</w:t>
      </w:r>
      <w:r>
        <w:rPr>
          <w:spacing w:val="-7"/>
          <w:w w:val="105"/>
          <w:sz w:val="21"/>
        </w:rPr>
        <w:t> </w:t>
      </w:r>
      <w:r>
        <w:rPr>
          <w:w w:val="105"/>
          <w:sz w:val="21"/>
        </w:rPr>
        <w:t>the Orders (if </w:t>
      </w:r>
      <w:r>
        <w:rPr>
          <w:spacing w:val="-3"/>
          <w:w w:val="105"/>
          <w:sz w:val="21"/>
        </w:rPr>
        <w:t>any) </w:t>
      </w:r>
      <w:r>
        <w:rPr>
          <w:w w:val="105"/>
          <w:sz w:val="21"/>
        </w:rPr>
        <w:t>should be</w:t>
      </w:r>
      <w:r>
        <w:rPr>
          <w:spacing w:val="26"/>
          <w:w w:val="105"/>
          <w:sz w:val="21"/>
        </w:rPr>
        <w:t> </w:t>
      </w:r>
      <w:r>
        <w:rPr>
          <w:spacing w:val="-2"/>
          <w:w w:val="105"/>
          <w:sz w:val="21"/>
        </w:rPr>
        <w:t>provided.</w:t>
      </w:r>
    </w:p>
    <w:p>
      <w:pPr>
        <w:pStyle w:val="BodyText"/>
        <w:spacing w:before="5"/>
        <w:rPr>
          <w:sz w:val="20"/>
        </w:rPr>
      </w:pPr>
    </w:p>
    <w:p>
      <w:pPr>
        <w:pStyle w:val="Heading5"/>
      </w:pPr>
      <w:r>
        <w:rPr>
          <w:w w:val="115"/>
        </w:rPr>
        <w:t>How should notice be provided?</w:t>
      </w:r>
    </w:p>
    <w:p>
      <w:pPr>
        <w:pStyle w:val="ListParagraph"/>
        <w:numPr>
          <w:ilvl w:val="1"/>
          <w:numId w:val="16"/>
        </w:numPr>
        <w:tabs>
          <w:tab w:pos="2380" w:val="left" w:leader="none"/>
          <w:tab w:pos="2381" w:val="left" w:leader="none"/>
        </w:tabs>
        <w:spacing w:line="242" w:lineRule="auto" w:before="137" w:after="0"/>
        <w:ind w:left="2381" w:right="1926" w:hanging="794"/>
        <w:jc w:val="left"/>
        <w:rPr>
          <w:sz w:val="21"/>
        </w:rPr>
      </w:pPr>
      <w:r>
        <w:rPr>
          <w:spacing w:val="-3"/>
          <w:w w:val="105"/>
          <w:sz w:val="21"/>
        </w:rPr>
        <w:t>Disclosure </w:t>
      </w:r>
      <w:r>
        <w:rPr>
          <w:w w:val="105"/>
          <w:sz w:val="21"/>
        </w:rPr>
        <w:t>should </w:t>
      </w:r>
      <w:r>
        <w:rPr>
          <w:spacing w:val="-2"/>
          <w:w w:val="105"/>
          <w:sz w:val="21"/>
        </w:rPr>
        <w:t>not </w:t>
      </w:r>
      <w:r>
        <w:rPr>
          <w:spacing w:val="-4"/>
          <w:w w:val="105"/>
          <w:sz w:val="21"/>
        </w:rPr>
        <w:t>make </w:t>
      </w:r>
      <w:r>
        <w:rPr>
          <w:w w:val="105"/>
          <w:sz w:val="21"/>
        </w:rPr>
        <w:t>the sale of </w:t>
      </w:r>
      <w:r>
        <w:rPr>
          <w:spacing w:val="-3"/>
          <w:w w:val="105"/>
          <w:sz w:val="21"/>
        </w:rPr>
        <w:t>land </w:t>
      </w:r>
      <w:r>
        <w:rPr>
          <w:w w:val="105"/>
          <w:sz w:val="21"/>
        </w:rPr>
        <w:t>more complex or burden buyers by with </w:t>
      </w:r>
      <w:r>
        <w:rPr>
          <w:spacing w:val="-3"/>
          <w:w w:val="105"/>
          <w:sz w:val="21"/>
        </w:rPr>
        <w:t>additional enquiries during </w:t>
      </w:r>
      <w:r>
        <w:rPr>
          <w:spacing w:val="-4"/>
          <w:w w:val="105"/>
          <w:sz w:val="21"/>
        </w:rPr>
        <w:t>conveyance. </w:t>
      </w:r>
      <w:r>
        <w:rPr>
          <w:spacing w:val="-3"/>
          <w:w w:val="105"/>
          <w:sz w:val="21"/>
        </w:rPr>
        <w:t>Instead, notice </w:t>
      </w:r>
      <w:r>
        <w:rPr>
          <w:w w:val="105"/>
          <w:sz w:val="21"/>
        </w:rPr>
        <w:t>of </w:t>
      </w:r>
      <w:r>
        <w:rPr>
          <w:spacing w:val="-3"/>
          <w:w w:val="105"/>
          <w:sz w:val="21"/>
        </w:rPr>
        <w:t>formal </w:t>
      </w:r>
      <w:r>
        <w:rPr>
          <w:w w:val="105"/>
          <w:sz w:val="21"/>
        </w:rPr>
        <w:t>tree </w:t>
      </w:r>
      <w:r>
        <w:rPr>
          <w:spacing w:val="-3"/>
          <w:w w:val="105"/>
          <w:sz w:val="21"/>
        </w:rPr>
        <w:t>disputes </w:t>
      </w:r>
      <w:r>
        <w:rPr>
          <w:w w:val="105"/>
          <w:sz w:val="21"/>
        </w:rPr>
        <w:t>or Orders should </w:t>
      </w:r>
      <w:r>
        <w:rPr>
          <w:spacing w:val="-3"/>
          <w:w w:val="105"/>
          <w:sz w:val="21"/>
        </w:rPr>
        <w:t>form </w:t>
      </w:r>
      <w:r>
        <w:rPr>
          <w:w w:val="105"/>
          <w:sz w:val="21"/>
        </w:rPr>
        <w:t>part of the </w:t>
      </w:r>
      <w:r>
        <w:rPr>
          <w:spacing w:val="-3"/>
          <w:w w:val="105"/>
          <w:sz w:val="21"/>
        </w:rPr>
        <w:t>usual disclosure </w:t>
      </w:r>
      <w:r>
        <w:rPr>
          <w:w w:val="105"/>
          <w:sz w:val="21"/>
        </w:rPr>
        <w:t>process of </w:t>
      </w:r>
      <w:r>
        <w:rPr>
          <w:spacing w:val="-3"/>
          <w:w w:val="105"/>
          <w:sz w:val="21"/>
        </w:rPr>
        <w:t>selling land </w:t>
      </w:r>
      <w:r>
        <w:rPr>
          <w:w w:val="105"/>
          <w:sz w:val="21"/>
        </w:rPr>
        <w:t>in Victoria. This </w:t>
      </w:r>
      <w:r>
        <w:rPr>
          <w:spacing w:val="-3"/>
          <w:w w:val="105"/>
          <w:sz w:val="21"/>
        </w:rPr>
        <w:t>notice </w:t>
      </w:r>
      <w:r>
        <w:rPr>
          <w:w w:val="105"/>
          <w:sz w:val="21"/>
        </w:rPr>
        <w:t>should be provided in the Due </w:t>
      </w:r>
      <w:r>
        <w:rPr>
          <w:spacing w:val="-3"/>
          <w:w w:val="105"/>
          <w:sz w:val="21"/>
        </w:rPr>
        <w:t>Diligence Checklist </w:t>
      </w:r>
      <w:r>
        <w:rPr>
          <w:w w:val="105"/>
          <w:sz w:val="21"/>
        </w:rPr>
        <w:t>and in the Section </w:t>
      </w:r>
      <w:r>
        <w:rPr>
          <w:spacing w:val="-4"/>
          <w:w w:val="105"/>
          <w:sz w:val="21"/>
        </w:rPr>
        <w:t>32 </w:t>
      </w:r>
      <w:r>
        <w:rPr>
          <w:spacing w:val="-3"/>
          <w:w w:val="105"/>
          <w:sz w:val="21"/>
        </w:rPr>
        <w:t>Vendor </w:t>
      </w:r>
      <w:r>
        <w:rPr>
          <w:spacing w:val="-4"/>
          <w:w w:val="105"/>
          <w:sz w:val="21"/>
        </w:rPr>
        <w:t>Statement.</w:t>
      </w:r>
      <w:r>
        <w:rPr>
          <w:spacing w:val="-4"/>
          <w:w w:val="105"/>
          <w:position w:val="7"/>
          <w:sz w:val="12"/>
        </w:rPr>
        <w:t>104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r>
        <w:rPr/>
        <w:pict>
          <v:line style="position:absolute;mso-position-horizontal-relative:page;mso-position-vertical-relative:paragraph;z-index:11120;mso-wrap-distance-left:0;mso-wrap-distance-right:0" from="79.370102pt,16.027599pt" to="515.905102pt,16.027599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spacing w:before="1"/>
        <w:rPr>
          <w:sz w:val="31"/>
        </w:rPr>
      </w:pPr>
    </w:p>
    <w:p>
      <w:pPr>
        <w:spacing w:before="0"/>
        <w:ind w:left="720" w:right="0" w:firstLine="0"/>
        <w:jc w:val="left"/>
        <w:rPr>
          <w:b/>
          <w:sz w:val="24"/>
        </w:rPr>
      </w:pPr>
      <w:r>
        <w:rPr>
          <w:b/>
          <w:color w:val="658464"/>
          <w:spacing w:val="-4"/>
          <w:w w:val="110"/>
          <w:sz w:val="24"/>
        </w:rPr>
        <w:t>270</w:t>
      </w:r>
    </w:p>
    <w:p>
      <w:pPr>
        <w:pStyle w:val="ListParagraph"/>
        <w:numPr>
          <w:ilvl w:val="0"/>
          <w:numId w:val="193"/>
        </w:numPr>
        <w:tabs>
          <w:tab w:pos="1229" w:val="left" w:leader="none"/>
          <w:tab w:pos="1230" w:val="left" w:leader="none"/>
        </w:tabs>
        <w:spacing w:line="240" w:lineRule="auto" w:before="48" w:after="0"/>
        <w:ind w:left="1229" w:right="0" w:hanging="793"/>
        <w:jc w:val="left"/>
        <w:rPr>
          <w:sz w:val="13"/>
        </w:rPr>
      </w:pPr>
      <w:r>
        <w:rPr>
          <w:spacing w:val="-3"/>
          <w:w w:val="125"/>
          <w:sz w:val="13"/>
        </w:rPr>
        <w:br w:type="column"/>
      </w:r>
      <w:r>
        <w:rPr>
          <w:w w:val="105"/>
          <w:sz w:val="13"/>
        </w:rPr>
        <w:t>Consultation </w:t>
      </w:r>
      <w:r>
        <w:rPr>
          <w:spacing w:val="-3"/>
          <w:w w:val="105"/>
          <w:sz w:val="13"/>
        </w:rPr>
        <w:t>15 </w:t>
      </w:r>
      <w:r>
        <w:rPr>
          <w:w w:val="105"/>
          <w:sz w:val="13"/>
        </w:rPr>
        <w:t>(Queensland Civil and Administrative Tribunal).</w:t>
      </w:r>
    </w:p>
    <w:p>
      <w:pPr>
        <w:pStyle w:val="ListParagraph"/>
        <w:numPr>
          <w:ilvl w:val="0"/>
          <w:numId w:val="193"/>
        </w:numPr>
        <w:tabs>
          <w:tab w:pos="1229" w:val="left" w:leader="none"/>
          <w:tab w:pos="1230" w:val="left" w:leader="none"/>
        </w:tabs>
        <w:spacing w:line="240" w:lineRule="auto" w:before="1" w:after="0"/>
        <w:ind w:left="1229" w:right="0" w:hanging="793"/>
        <w:jc w:val="left"/>
        <w:rPr>
          <w:sz w:val="13"/>
        </w:rPr>
      </w:pPr>
      <w:r>
        <w:rPr>
          <w:sz w:val="13"/>
        </w:rPr>
        <w:t>Ibid.</w:t>
      </w:r>
    </w:p>
    <w:p>
      <w:pPr>
        <w:pStyle w:val="ListParagraph"/>
        <w:numPr>
          <w:ilvl w:val="0"/>
          <w:numId w:val="193"/>
        </w:numPr>
        <w:tabs>
          <w:tab w:pos="1229" w:val="left" w:leader="none"/>
          <w:tab w:pos="1230" w:val="left" w:leader="none"/>
        </w:tabs>
        <w:spacing w:line="240" w:lineRule="auto" w:before="2" w:after="0"/>
        <w:ind w:left="1229" w:right="1587" w:hanging="793"/>
        <w:jc w:val="left"/>
        <w:rPr>
          <w:sz w:val="13"/>
        </w:rPr>
      </w:pPr>
      <w:r>
        <w:rPr>
          <w:w w:val="105"/>
          <w:sz w:val="13"/>
        </w:rPr>
        <w:t>The information it must contain is set out in section 32 of the </w:t>
      </w:r>
      <w:r>
        <w:rPr>
          <w:i/>
          <w:w w:val="105"/>
          <w:sz w:val="13"/>
        </w:rPr>
        <w:t>Sale of Land Act 1962. </w:t>
      </w:r>
      <w:r>
        <w:rPr>
          <w:w w:val="105"/>
          <w:sz w:val="13"/>
        </w:rPr>
        <w:t>The Section 32 statement contains information about    the property’s title, including: mortgages; covenants; easements; zoning; outgoings (for example, rates); and declaration if located in a bushfire-prone area. </w:t>
      </w:r>
      <w:r>
        <w:rPr>
          <w:spacing w:val="2"/>
          <w:w w:val="105"/>
          <w:sz w:val="13"/>
        </w:rPr>
        <w:t>As </w:t>
      </w:r>
      <w:r>
        <w:rPr>
          <w:w w:val="105"/>
          <w:sz w:val="13"/>
        </w:rPr>
        <w:t>it is a legal document, it must be factually accurate and complete. If it contains incorrect or insufficient information,     a buyer may be able to withdraw from the sale or take legal </w:t>
      </w:r>
      <w:r>
        <w:rPr>
          <w:spacing w:val="2"/>
          <w:w w:val="105"/>
          <w:sz w:val="13"/>
        </w:rPr>
        <w:t>action: </w:t>
      </w:r>
      <w:r>
        <w:rPr>
          <w:w w:val="105"/>
          <w:sz w:val="13"/>
        </w:rPr>
        <w:t>Consumer Affairs Victoria, </w:t>
      </w:r>
      <w:r>
        <w:rPr>
          <w:i/>
          <w:w w:val="105"/>
          <w:sz w:val="13"/>
        </w:rPr>
        <w:t>Conveyancing and Contracts for Sellers </w:t>
      </w:r>
      <w:r>
        <w:rPr>
          <w:w w:val="105"/>
          <w:sz w:val="13"/>
        </w:rPr>
        <w:t>(Web Page,</w:t>
      </w:r>
      <w:r>
        <w:rPr>
          <w:spacing w:val="-12"/>
          <w:w w:val="105"/>
          <w:sz w:val="13"/>
        </w:rPr>
        <w:t> </w:t>
      </w:r>
      <w:r>
        <w:rPr>
          <w:w w:val="105"/>
          <w:sz w:val="13"/>
        </w:rPr>
        <w:t>1</w:t>
      </w:r>
      <w:r>
        <w:rPr>
          <w:spacing w:val="-12"/>
          <w:w w:val="105"/>
          <w:sz w:val="13"/>
        </w:rPr>
        <w:t> </w:t>
      </w:r>
      <w:r>
        <w:rPr>
          <w:w w:val="105"/>
          <w:sz w:val="13"/>
        </w:rPr>
        <w:t>April</w:t>
      </w:r>
      <w:r>
        <w:rPr>
          <w:spacing w:val="-12"/>
          <w:w w:val="105"/>
          <w:sz w:val="13"/>
        </w:rPr>
        <w:t> </w:t>
      </w:r>
      <w:r>
        <w:rPr>
          <w:w w:val="105"/>
          <w:sz w:val="13"/>
        </w:rPr>
        <w:t>2019)</w:t>
      </w:r>
      <w:r>
        <w:rPr>
          <w:spacing w:val="-11"/>
          <w:w w:val="105"/>
          <w:sz w:val="13"/>
        </w:rPr>
        <w:t> </w:t>
      </w:r>
      <w:r>
        <w:rPr>
          <w:spacing w:val="2"/>
          <w:w w:val="105"/>
          <w:sz w:val="13"/>
        </w:rPr>
        <w:t>&lt;https://</w:t>
      </w:r>
      <w:hyperlink r:id="rId311">
        <w:r>
          <w:rPr>
            <w:spacing w:val="2"/>
            <w:w w:val="105"/>
            <w:sz w:val="13"/>
          </w:rPr>
          <w:t>www.consumer.vic.gov.au/housing/buying-and-selling-property/selling-property/conveyancing-and-contracts-</w:t>
        </w:r>
      </w:hyperlink>
      <w:r>
        <w:rPr>
          <w:spacing w:val="2"/>
          <w:w w:val="105"/>
          <w:sz w:val="13"/>
        </w:rPr>
        <w:t> </w:t>
      </w:r>
      <w:r>
        <w:rPr>
          <w:w w:val="105"/>
          <w:sz w:val="13"/>
        </w:rPr>
        <w:t>for-sellers&gt;.</w:t>
      </w:r>
    </w:p>
    <w:p>
      <w:pPr>
        <w:spacing w:after="0" w:line="240" w:lineRule="auto"/>
        <w:jc w:val="left"/>
        <w:rPr>
          <w:sz w:val="13"/>
        </w:rPr>
        <w:sectPr>
          <w:type w:val="continuous"/>
          <w:pgSz w:w="11910" w:h="16840"/>
          <w:pgMar w:top="300" w:bottom="280" w:left="0" w:right="0"/>
          <w:cols w:num="2" w:equalWidth="0">
            <w:col w:w="1112" w:space="40"/>
            <w:col w:w="10758"/>
          </w:cols>
        </w:sectPr>
      </w:pPr>
    </w:p>
    <w:p>
      <w:pPr>
        <w:pStyle w:val="BodyText"/>
        <w:rPr>
          <w:sz w:val="20"/>
        </w:rPr>
      </w:pPr>
    </w:p>
    <w:p>
      <w:pPr>
        <w:pStyle w:val="BodyText"/>
        <w:spacing w:before="2"/>
        <w:rPr>
          <w:sz w:val="18"/>
        </w:rPr>
      </w:pPr>
    </w:p>
    <w:p>
      <w:pPr>
        <w:pStyle w:val="Heading7"/>
        <w:spacing w:before="96"/>
      </w:pPr>
      <w:bookmarkStart w:name="_bookmark147" w:id="317"/>
      <w:bookmarkEnd w:id="317"/>
      <w:r>
        <w:rPr/>
      </w:r>
      <w:r>
        <w:rPr>
          <w:w w:val="115"/>
        </w:rPr>
        <w:t>Due Diligence Checklist</w:t>
      </w:r>
    </w:p>
    <w:p>
      <w:pPr>
        <w:pStyle w:val="ListParagraph"/>
        <w:numPr>
          <w:ilvl w:val="1"/>
          <w:numId w:val="16"/>
        </w:numPr>
        <w:tabs>
          <w:tab w:pos="2381" w:val="left" w:leader="none"/>
          <w:tab w:pos="2382" w:val="left" w:leader="none"/>
        </w:tabs>
        <w:spacing w:line="242" w:lineRule="auto" w:before="143" w:after="0"/>
        <w:ind w:left="2381" w:right="1667" w:hanging="794"/>
        <w:jc w:val="left"/>
        <w:rPr>
          <w:sz w:val="21"/>
        </w:rPr>
      </w:pPr>
      <w:r>
        <w:rPr>
          <w:w w:val="105"/>
          <w:sz w:val="21"/>
        </w:rPr>
        <w:t>The </w:t>
      </w:r>
      <w:r>
        <w:rPr>
          <w:i/>
          <w:w w:val="105"/>
          <w:sz w:val="21"/>
        </w:rPr>
        <w:t>Sale </w:t>
      </w:r>
      <w:r>
        <w:rPr>
          <w:i/>
          <w:spacing w:val="-3"/>
          <w:w w:val="105"/>
          <w:sz w:val="21"/>
        </w:rPr>
        <w:t>of </w:t>
      </w:r>
      <w:r>
        <w:rPr>
          <w:i/>
          <w:w w:val="105"/>
          <w:sz w:val="21"/>
        </w:rPr>
        <w:t>Land Act </w:t>
      </w:r>
      <w:r>
        <w:rPr>
          <w:i/>
          <w:spacing w:val="-5"/>
          <w:w w:val="105"/>
          <w:sz w:val="21"/>
        </w:rPr>
        <w:t>1962 </w:t>
      </w:r>
      <w:r>
        <w:rPr>
          <w:w w:val="105"/>
          <w:sz w:val="21"/>
        </w:rPr>
        <w:t>(Vic) </w:t>
      </w:r>
      <w:r>
        <w:rPr>
          <w:spacing w:val="-3"/>
          <w:w w:val="105"/>
          <w:sz w:val="21"/>
        </w:rPr>
        <w:t>mandates </w:t>
      </w:r>
      <w:r>
        <w:rPr>
          <w:w w:val="105"/>
          <w:sz w:val="21"/>
        </w:rPr>
        <w:t>the </w:t>
      </w:r>
      <w:r>
        <w:rPr>
          <w:spacing w:val="-3"/>
          <w:w w:val="105"/>
          <w:sz w:val="21"/>
        </w:rPr>
        <w:t>provision </w:t>
      </w:r>
      <w:r>
        <w:rPr>
          <w:w w:val="105"/>
          <w:sz w:val="21"/>
        </w:rPr>
        <w:t>of a Due </w:t>
      </w:r>
      <w:r>
        <w:rPr>
          <w:spacing w:val="-3"/>
          <w:w w:val="105"/>
          <w:sz w:val="21"/>
        </w:rPr>
        <w:t>Diligence Checklist. </w:t>
      </w:r>
      <w:r>
        <w:rPr>
          <w:w w:val="105"/>
          <w:sz w:val="21"/>
        </w:rPr>
        <w:t>This </w:t>
      </w:r>
      <w:r>
        <w:rPr>
          <w:spacing w:val="-3"/>
          <w:w w:val="105"/>
          <w:sz w:val="21"/>
        </w:rPr>
        <w:t>Checklist</w:t>
      </w:r>
      <w:r>
        <w:rPr>
          <w:spacing w:val="-9"/>
          <w:w w:val="105"/>
          <w:sz w:val="21"/>
        </w:rPr>
        <w:t> </w:t>
      </w:r>
      <w:r>
        <w:rPr>
          <w:w w:val="105"/>
          <w:sz w:val="21"/>
        </w:rPr>
        <w:t>is</w:t>
      </w:r>
      <w:r>
        <w:rPr>
          <w:spacing w:val="-8"/>
          <w:w w:val="105"/>
          <w:sz w:val="21"/>
        </w:rPr>
        <w:t> </w:t>
      </w:r>
      <w:r>
        <w:rPr>
          <w:spacing w:val="-3"/>
          <w:w w:val="105"/>
          <w:sz w:val="21"/>
        </w:rPr>
        <w:t>intended</w:t>
      </w:r>
      <w:r>
        <w:rPr>
          <w:spacing w:val="-8"/>
          <w:w w:val="105"/>
          <w:sz w:val="21"/>
        </w:rPr>
        <w:t> </w:t>
      </w:r>
      <w:r>
        <w:rPr>
          <w:spacing w:val="-3"/>
          <w:w w:val="105"/>
          <w:sz w:val="21"/>
        </w:rPr>
        <w:t>to</w:t>
      </w:r>
      <w:r>
        <w:rPr>
          <w:spacing w:val="-8"/>
          <w:w w:val="105"/>
          <w:sz w:val="21"/>
        </w:rPr>
        <w:t> </w:t>
      </w:r>
      <w:r>
        <w:rPr>
          <w:w w:val="105"/>
          <w:sz w:val="21"/>
        </w:rPr>
        <w:t>help</w:t>
      </w:r>
      <w:r>
        <w:rPr>
          <w:spacing w:val="-9"/>
          <w:w w:val="105"/>
          <w:sz w:val="21"/>
        </w:rPr>
        <w:t> </w:t>
      </w:r>
      <w:r>
        <w:rPr>
          <w:w w:val="105"/>
          <w:sz w:val="21"/>
        </w:rPr>
        <w:t>prospective</w:t>
      </w:r>
      <w:r>
        <w:rPr>
          <w:spacing w:val="-8"/>
          <w:w w:val="105"/>
          <w:sz w:val="21"/>
        </w:rPr>
        <w:t> </w:t>
      </w:r>
      <w:r>
        <w:rPr>
          <w:w w:val="105"/>
          <w:sz w:val="21"/>
        </w:rPr>
        <w:t>buyers</w:t>
      </w:r>
      <w:r>
        <w:rPr>
          <w:spacing w:val="-8"/>
          <w:w w:val="105"/>
          <w:sz w:val="21"/>
        </w:rPr>
        <w:t> </w:t>
      </w:r>
      <w:r>
        <w:rPr>
          <w:w w:val="105"/>
          <w:sz w:val="21"/>
        </w:rPr>
        <w:t>in</w:t>
      </w:r>
      <w:r>
        <w:rPr>
          <w:spacing w:val="-8"/>
          <w:w w:val="105"/>
          <w:sz w:val="21"/>
        </w:rPr>
        <w:t> </w:t>
      </w:r>
      <w:r>
        <w:rPr>
          <w:w w:val="105"/>
          <w:sz w:val="21"/>
        </w:rPr>
        <w:t>‘identifying</w:t>
      </w:r>
      <w:r>
        <w:rPr>
          <w:spacing w:val="-8"/>
          <w:w w:val="105"/>
          <w:sz w:val="21"/>
        </w:rPr>
        <w:t> </w:t>
      </w:r>
      <w:r>
        <w:rPr>
          <w:spacing w:val="-3"/>
          <w:w w:val="105"/>
          <w:sz w:val="21"/>
        </w:rPr>
        <w:t>information</w:t>
      </w:r>
      <w:r>
        <w:rPr>
          <w:spacing w:val="-9"/>
          <w:w w:val="105"/>
          <w:sz w:val="21"/>
        </w:rPr>
        <w:t> </w:t>
      </w:r>
      <w:r>
        <w:rPr>
          <w:w w:val="105"/>
          <w:sz w:val="21"/>
        </w:rPr>
        <w:t>they</w:t>
      </w:r>
      <w:r>
        <w:rPr>
          <w:spacing w:val="-8"/>
          <w:w w:val="105"/>
          <w:sz w:val="21"/>
        </w:rPr>
        <w:t> </w:t>
      </w:r>
      <w:r>
        <w:rPr>
          <w:spacing w:val="-3"/>
          <w:w w:val="105"/>
          <w:sz w:val="21"/>
        </w:rPr>
        <w:t>may</w:t>
      </w:r>
      <w:r>
        <w:rPr>
          <w:spacing w:val="-8"/>
          <w:w w:val="105"/>
          <w:sz w:val="21"/>
        </w:rPr>
        <w:t> </w:t>
      </w:r>
      <w:r>
        <w:rPr>
          <w:w w:val="105"/>
          <w:sz w:val="21"/>
        </w:rPr>
        <w:t>wish </w:t>
      </w:r>
      <w:r>
        <w:rPr>
          <w:spacing w:val="-3"/>
          <w:w w:val="105"/>
          <w:sz w:val="21"/>
        </w:rPr>
        <w:t>to </w:t>
      </w:r>
      <w:r>
        <w:rPr>
          <w:w w:val="105"/>
          <w:sz w:val="21"/>
        </w:rPr>
        <w:t>obtain in respect of the </w:t>
      </w:r>
      <w:r>
        <w:rPr>
          <w:spacing w:val="-3"/>
          <w:w w:val="105"/>
          <w:sz w:val="21"/>
        </w:rPr>
        <w:t>land for </w:t>
      </w:r>
      <w:r>
        <w:rPr>
          <w:spacing w:val="-6"/>
          <w:w w:val="105"/>
          <w:sz w:val="21"/>
        </w:rPr>
        <w:t>sale’.</w:t>
      </w:r>
      <w:r>
        <w:rPr>
          <w:spacing w:val="-6"/>
          <w:w w:val="105"/>
          <w:position w:val="7"/>
          <w:sz w:val="12"/>
        </w:rPr>
        <w:t>105 </w:t>
      </w:r>
      <w:r>
        <w:rPr>
          <w:w w:val="105"/>
          <w:sz w:val="21"/>
        </w:rPr>
        <w:t>It must be provided </w:t>
      </w:r>
      <w:r>
        <w:rPr>
          <w:spacing w:val="-3"/>
          <w:w w:val="105"/>
          <w:sz w:val="21"/>
        </w:rPr>
        <w:t>to </w:t>
      </w:r>
      <w:r>
        <w:rPr>
          <w:w w:val="105"/>
          <w:sz w:val="21"/>
        </w:rPr>
        <w:t>prospective buyers by the vendor or an agent </w:t>
      </w:r>
      <w:r>
        <w:rPr>
          <w:spacing w:val="-3"/>
          <w:w w:val="105"/>
          <w:sz w:val="21"/>
        </w:rPr>
        <w:t>from </w:t>
      </w:r>
      <w:r>
        <w:rPr>
          <w:w w:val="105"/>
          <w:sz w:val="21"/>
        </w:rPr>
        <w:t>the time the </w:t>
      </w:r>
      <w:r>
        <w:rPr>
          <w:spacing w:val="-3"/>
          <w:w w:val="105"/>
          <w:sz w:val="21"/>
        </w:rPr>
        <w:t>land </w:t>
      </w:r>
      <w:r>
        <w:rPr>
          <w:w w:val="105"/>
          <w:sz w:val="21"/>
        </w:rPr>
        <w:t>is offered </w:t>
      </w:r>
      <w:r>
        <w:rPr>
          <w:spacing w:val="-3"/>
          <w:w w:val="105"/>
          <w:sz w:val="21"/>
        </w:rPr>
        <w:t>for </w:t>
      </w:r>
      <w:r>
        <w:rPr>
          <w:spacing w:val="-4"/>
          <w:w w:val="105"/>
          <w:sz w:val="21"/>
        </w:rPr>
        <w:t>sale,</w:t>
      </w:r>
      <w:r>
        <w:rPr>
          <w:spacing w:val="-4"/>
          <w:w w:val="105"/>
          <w:position w:val="7"/>
          <w:sz w:val="12"/>
        </w:rPr>
        <w:t>106 </w:t>
      </w:r>
      <w:r>
        <w:rPr>
          <w:w w:val="105"/>
          <w:sz w:val="21"/>
        </w:rPr>
        <w:t>in the </w:t>
      </w:r>
      <w:r>
        <w:rPr>
          <w:spacing w:val="-3"/>
          <w:w w:val="105"/>
          <w:sz w:val="21"/>
        </w:rPr>
        <w:t>form published </w:t>
      </w:r>
      <w:r>
        <w:rPr>
          <w:w w:val="105"/>
          <w:sz w:val="21"/>
        </w:rPr>
        <w:t>by </w:t>
      </w:r>
      <w:r>
        <w:rPr>
          <w:spacing w:val="-4"/>
          <w:w w:val="105"/>
          <w:sz w:val="21"/>
        </w:rPr>
        <w:t>Consumer </w:t>
      </w:r>
      <w:r>
        <w:rPr>
          <w:spacing w:val="-3"/>
          <w:w w:val="105"/>
          <w:sz w:val="21"/>
        </w:rPr>
        <w:t>Affairs </w:t>
      </w:r>
      <w:r>
        <w:rPr>
          <w:spacing w:val="-4"/>
          <w:w w:val="105"/>
          <w:sz w:val="21"/>
        </w:rPr>
        <w:t>Victoria.</w:t>
      </w:r>
      <w:r>
        <w:rPr>
          <w:spacing w:val="-4"/>
          <w:w w:val="105"/>
          <w:position w:val="7"/>
          <w:sz w:val="12"/>
        </w:rPr>
        <w:t>107 </w:t>
      </w:r>
      <w:r>
        <w:rPr>
          <w:w w:val="105"/>
          <w:sz w:val="21"/>
        </w:rPr>
        <w:t>The </w:t>
      </w:r>
      <w:r>
        <w:rPr>
          <w:spacing w:val="-3"/>
          <w:w w:val="105"/>
          <w:sz w:val="21"/>
        </w:rPr>
        <w:t>Checklist contains </w:t>
      </w:r>
      <w:r>
        <w:rPr>
          <w:w w:val="105"/>
          <w:sz w:val="21"/>
        </w:rPr>
        <w:t>general </w:t>
      </w:r>
      <w:r>
        <w:rPr>
          <w:spacing w:val="-3"/>
          <w:w w:val="105"/>
          <w:sz w:val="21"/>
        </w:rPr>
        <w:t>information </w:t>
      </w:r>
      <w:r>
        <w:rPr>
          <w:w w:val="105"/>
          <w:sz w:val="21"/>
        </w:rPr>
        <w:t>about a </w:t>
      </w:r>
      <w:r>
        <w:rPr>
          <w:spacing w:val="-3"/>
          <w:w w:val="105"/>
          <w:sz w:val="21"/>
        </w:rPr>
        <w:t>range </w:t>
      </w:r>
      <w:r>
        <w:rPr>
          <w:w w:val="105"/>
          <w:sz w:val="21"/>
        </w:rPr>
        <w:t>of issues </w:t>
      </w:r>
      <w:r>
        <w:rPr>
          <w:spacing w:val="-3"/>
          <w:w w:val="105"/>
          <w:sz w:val="21"/>
        </w:rPr>
        <w:t>that may </w:t>
      </w:r>
      <w:r>
        <w:rPr>
          <w:w w:val="105"/>
          <w:sz w:val="21"/>
        </w:rPr>
        <w:t>affect the property and impose restrictions or </w:t>
      </w:r>
      <w:r>
        <w:rPr>
          <w:spacing w:val="-3"/>
          <w:w w:val="105"/>
          <w:sz w:val="21"/>
        </w:rPr>
        <w:t>obligations </w:t>
      </w:r>
      <w:r>
        <w:rPr>
          <w:w w:val="105"/>
          <w:sz w:val="21"/>
        </w:rPr>
        <w:t>on </w:t>
      </w:r>
      <w:r>
        <w:rPr>
          <w:spacing w:val="-4"/>
          <w:w w:val="105"/>
          <w:sz w:val="21"/>
        </w:rPr>
        <w:t>them.</w:t>
      </w:r>
      <w:r>
        <w:rPr>
          <w:spacing w:val="-4"/>
          <w:w w:val="105"/>
          <w:position w:val="7"/>
          <w:sz w:val="12"/>
        </w:rPr>
        <w:t>108</w:t>
      </w:r>
      <w:r>
        <w:rPr>
          <w:spacing w:val="-4"/>
          <w:w w:val="105"/>
          <w:sz w:val="12"/>
        </w:rPr>
        <w:t> </w:t>
      </w:r>
      <w:r>
        <w:rPr>
          <w:w w:val="105"/>
          <w:sz w:val="21"/>
        </w:rPr>
        <w:t>The checklist should be amended </w:t>
      </w:r>
      <w:r>
        <w:rPr>
          <w:spacing w:val="-3"/>
          <w:w w:val="105"/>
          <w:sz w:val="21"/>
        </w:rPr>
        <w:t>to include information </w:t>
      </w:r>
      <w:r>
        <w:rPr>
          <w:w w:val="105"/>
          <w:sz w:val="21"/>
        </w:rPr>
        <w:t>about how the </w:t>
      </w:r>
      <w:r>
        <w:rPr>
          <w:spacing w:val="-3"/>
          <w:w w:val="105"/>
          <w:sz w:val="21"/>
        </w:rPr>
        <w:t>land may </w:t>
      </w:r>
      <w:r>
        <w:rPr>
          <w:w w:val="105"/>
          <w:sz w:val="21"/>
        </w:rPr>
        <w:t>be affected by legal action and orders under the new</w:t>
      </w:r>
      <w:r>
        <w:rPr>
          <w:spacing w:val="36"/>
          <w:w w:val="105"/>
          <w:sz w:val="21"/>
        </w:rPr>
        <w:t> </w:t>
      </w:r>
      <w:r>
        <w:rPr>
          <w:w w:val="105"/>
          <w:sz w:val="21"/>
        </w:rPr>
        <w:t>Act.</w:t>
      </w:r>
    </w:p>
    <w:p>
      <w:pPr>
        <w:pStyle w:val="Heading7"/>
        <w:spacing w:before="159"/>
      </w:pPr>
      <w:r>
        <w:rPr>
          <w:w w:val="115"/>
        </w:rPr>
        <w:t>Vendor Statement</w:t>
      </w:r>
    </w:p>
    <w:p>
      <w:pPr>
        <w:pStyle w:val="ListParagraph"/>
        <w:numPr>
          <w:ilvl w:val="1"/>
          <w:numId w:val="16"/>
        </w:numPr>
        <w:tabs>
          <w:tab w:pos="2381" w:val="left" w:leader="none"/>
        </w:tabs>
        <w:spacing w:line="242" w:lineRule="auto" w:before="143" w:after="0"/>
        <w:ind w:left="2381" w:right="1908" w:hanging="794"/>
        <w:jc w:val="both"/>
        <w:rPr>
          <w:sz w:val="21"/>
        </w:rPr>
      </w:pPr>
      <w:r>
        <w:rPr>
          <w:w w:val="105"/>
          <w:sz w:val="21"/>
        </w:rPr>
        <w:t>The Section </w:t>
      </w:r>
      <w:r>
        <w:rPr>
          <w:spacing w:val="-4"/>
          <w:w w:val="105"/>
          <w:sz w:val="21"/>
        </w:rPr>
        <w:t>32 </w:t>
      </w:r>
      <w:r>
        <w:rPr>
          <w:w w:val="105"/>
          <w:sz w:val="21"/>
        </w:rPr>
        <w:t>of the Sale of Land Act </w:t>
      </w:r>
      <w:r>
        <w:rPr>
          <w:spacing w:val="-3"/>
          <w:w w:val="105"/>
          <w:sz w:val="21"/>
        </w:rPr>
        <w:t>requires </w:t>
      </w:r>
      <w:r>
        <w:rPr>
          <w:w w:val="105"/>
          <w:sz w:val="21"/>
        </w:rPr>
        <w:t>a </w:t>
      </w:r>
      <w:r>
        <w:rPr>
          <w:spacing w:val="-3"/>
          <w:w w:val="105"/>
          <w:sz w:val="21"/>
        </w:rPr>
        <w:t>Vendor Statement to </w:t>
      </w:r>
      <w:r>
        <w:rPr>
          <w:w w:val="105"/>
          <w:sz w:val="21"/>
        </w:rPr>
        <w:t>be provided </w:t>
      </w:r>
      <w:r>
        <w:rPr>
          <w:spacing w:val="-3"/>
          <w:w w:val="105"/>
          <w:sz w:val="21"/>
        </w:rPr>
        <w:t>to </w:t>
      </w:r>
      <w:r>
        <w:rPr>
          <w:w w:val="105"/>
          <w:sz w:val="21"/>
        </w:rPr>
        <w:t>a </w:t>
      </w:r>
      <w:r>
        <w:rPr>
          <w:spacing w:val="-5"/>
          <w:w w:val="105"/>
          <w:sz w:val="21"/>
        </w:rPr>
        <w:t>purchaser.</w:t>
      </w:r>
      <w:r>
        <w:rPr>
          <w:spacing w:val="-5"/>
          <w:w w:val="105"/>
          <w:position w:val="7"/>
          <w:sz w:val="12"/>
        </w:rPr>
        <w:t>109 </w:t>
      </w:r>
      <w:r>
        <w:rPr>
          <w:w w:val="105"/>
          <w:sz w:val="21"/>
        </w:rPr>
        <w:t>The Section </w:t>
      </w:r>
      <w:r>
        <w:rPr>
          <w:spacing w:val="-4"/>
          <w:w w:val="105"/>
          <w:sz w:val="21"/>
        </w:rPr>
        <w:t>32 </w:t>
      </w:r>
      <w:r>
        <w:rPr>
          <w:spacing w:val="-3"/>
          <w:w w:val="105"/>
          <w:sz w:val="21"/>
        </w:rPr>
        <w:t>Vendor Statement </w:t>
      </w:r>
      <w:r>
        <w:rPr>
          <w:w w:val="105"/>
          <w:sz w:val="21"/>
        </w:rPr>
        <w:t>is a legal document and </w:t>
      </w:r>
      <w:r>
        <w:rPr>
          <w:spacing w:val="-3"/>
          <w:w w:val="105"/>
          <w:sz w:val="21"/>
        </w:rPr>
        <w:t>requires </w:t>
      </w:r>
      <w:r>
        <w:rPr>
          <w:w w:val="105"/>
          <w:sz w:val="21"/>
        </w:rPr>
        <w:t>the vendor</w:t>
      </w:r>
      <w:r>
        <w:rPr>
          <w:spacing w:val="-11"/>
          <w:w w:val="105"/>
          <w:sz w:val="21"/>
        </w:rPr>
        <w:t> </w:t>
      </w:r>
      <w:r>
        <w:rPr>
          <w:spacing w:val="-3"/>
          <w:w w:val="105"/>
          <w:sz w:val="21"/>
        </w:rPr>
        <w:t>to</w:t>
      </w:r>
      <w:r>
        <w:rPr>
          <w:spacing w:val="-10"/>
          <w:w w:val="105"/>
          <w:sz w:val="21"/>
        </w:rPr>
        <w:t> </w:t>
      </w:r>
      <w:r>
        <w:rPr>
          <w:w w:val="105"/>
          <w:sz w:val="21"/>
        </w:rPr>
        <w:t>disclose</w:t>
      </w:r>
      <w:r>
        <w:rPr>
          <w:spacing w:val="-10"/>
          <w:w w:val="105"/>
          <w:sz w:val="21"/>
        </w:rPr>
        <w:t> </w:t>
      </w:r>
      <w:r>
        <w:rPr>
          <w:w w:val="105"/>
          <w:sz w:val="21"/>
        </w:rPr>
        <w:t>certain</w:t>
      </w:r>
      <w:r>
        <w:rPr>
          <w:spacing w:val="-11"/>
          <w:w w:val="105"/>
          <w:sz w:val="21"/>
        </w:rPr>
        <w:t> </w:t>
      </w:r>
      <w:r>
        <w:rPr>
          <w:w w:val="105"/>
          <w:sz w:val="21"/>
        </w:rPr>
        <w:t>matters</w:t>
      </w:r>
      <w:r>
        <w:rPr>
          <w:spacing w:val="-10"/>
          <w:w w:val="105"/>
          <w:sz w:val="21"/>
        </w:rPr>
        <w:t> </w:t>
      </w:r>
      <w:r>
        <w:rPr>
          <w:spacing w:val="-3"/>
          <w:w w:val="105"/>
          <w:sz w:val="21"/>
        </w:rPr>
        <w:t>to</w:t>
      </w:r>
      <w:r>
        <w:rPr>
          <w:spacing w:val="-10"/>
          <w:w w:val="105"/>
          <w:sz w:val="21"/>
        </w:rPr>
        <w:t> </w:t>
      </w:r>
      <w:r>
        <w:rPr>
          <w:w w:val="105"/>
          <w:sz w:val="21"/>
        </w:rPr>
        <w:t>the</w:t>
      </w:r>
      <w:r>
        <w:rPr>
          <w:spacing w:val="-11"/>
          <w:w w:val="105"/>
          <w:sz w:val="21"/>
        </w:rPr>
        <w:t> </w:t>
      </w:r>
      <w:r>
        <w:rPr>
          <w:spacing w:val="-3"/>
          <w:w w:val="105"/>
          <w:sz w:val="21"/>
        </w:rPr>
        <w:t>purchaser</w:t>
      </w:r>
      <w:r>
        <w:rPr>
          <w:spacing w:val="-10"/>
          <w:w w:val="105"/>
          <w:sz w:val="21"/>
        </w:rPr>
        <w:t> </w:t>
      </w:r>
      <w:r>
        <w:rPr>
          <w:spacing w:val="-3"/>
          <w:w w:val="105"/>
          <w:sz w:val="21"/>
        </w:rPr>
        <w:t>before</w:t>
      </w:r>
      <w:r>
        <w:rPr>
          <w:spacing w:val="-11"/>
          <w:w w:val="105"/>
          <w:sz w:val="21"/>
        </w:rPr>
        <w:t> </w:t>
      </w:r>
      <w:r>
        <w:rPr>
          <w:w w:val="105"/>
          <w:sz w:val="21"/>
        </w:rPr>
        <w:t>they</w:t>
      </w:r>
      <w:r>
        <w:rPr>
          <w:spacing w:val="-10"/>
          <w:w w:val="105"/>
          <w:sz w:val="21"/>
        </w:rPr>
        <w:t> </w:t>
      </w:r>
      <w:r>
        <w:rPr>
          <w:spacing w:val="-3"/>
          <w:w w:val="105"/>
          <w:sz w:val="21"/>
        </w:rPr>
        <w:t>enter</w:t>
      </w:r>
      <w:r>
        <w:rPr>
          <w:spacing w:val="-10"/>
          <w:w w:val="105"/>
          <w:sz w:val="21"/>
        </w:rPr>
        <w:t> </w:t>
      </w:r>
      <w:r>
        <w:rPr>
          <w:spacing w:val="-4"/>
          <w:w w:val="105"/>
          <w:sz w:val="21"/>
        </w:rPr>
        <w:t>into</w:t>
      </w:r>
      <w:r>
        <w:rPr>
          <w:spacing w:val="-11"/>
          <w:w w:val="105"/>
          <w:sz w:val="21"/>
        </w:rPr>
        <w:t> </w:t>
      </w:r>
      <w:r>
        <w:rPr>
          <w:w w:val="105"/>
          <w:sz w:val="21"/>
        </w:rPr>
        <w:t>a</w:t>
      </w:r>
      <w:r>
        <w:rPr>
          <w:spacing w:val="-10"/>
          <w:w w:val="105"/>
          <w:sz w:val="21"/>
        </w:rPr>
        <w:t> </w:t>
      </w:r>
      <w:r>
        <w:rPr>
          <w:w w:val="105"/>
          <w:sz w:val="21"/>
        </w:rPr>
        <w:t>contract</w:t>
      </w:r>
      <w:r>
        <w:rPr>
          <w:spacing w:val="-10"/>
          <w:w w:val="105"/>
          <w:sz w:val="21"/>
        </w:rPr>
        <w:t> </w:t>
      </w:r>
      <w:r>
        <w:rPr>
          <w:w w:val="105"/>
          <w:sz w:val="21"/>
        </w:rPr>
        <w:t>of</w:t>
      </w:r>
    </w:p>
    <w:p>
      <w:pPr>
        <w:pStyle w:val="BodyText"/>
        <w:spacing w:line="242" w:lineRule="auto" w:before="3"/>
        <w:ind w:left="2381" w:right="1764" w:hanging="1"/>
      </w:pPr>
      <w:r>
        <w:rPr>
          <w:spacing w:val="-6"/>
          <w:w w:val="105"/>
        </w:rPr>
        <w:t>sale.</w:t>
      </w:r>
      <w:r>
        <w:rPr>
          <w:spacing w:val="-6"/>
          <w:w w:val="105"/>
          <w:position w:val="7"/>
          <w:sz w:val="12"/>
        </w:rPr>
        <w:t>110 </w:t>
      </w:r>
      <w:r>
        <w:rPr>
          <w:spacing w:val="-3"/>
          <w:w w:val="105"/>
        </w:rPr>
        <w:t>Many </w:t>
      </w:r>
      <w:r>
        <w:rPr>
          <w:w w:val="105"/>
        </w:rPr>
        <w:t>of the matters in the </w:t>
      </w:r>
      <w:r>
        <w:rPr>
          <w:spacing w:val="-4"/>
          <w:w w:val="105"/>
        </w:rPr>
        <w:t>Vendor’s </w:t>
      </w:r>
      <w:r>
        <w:rPr>
          <w:spacing w:val="-3"/>
          <w:w w:val="105"/>
        </w:rPr>
        <w:t>Statement elaborate </w:t>
      </w:r>
      <w:r>
        <w:rPr>
          <w:w w:val="105"/>
        </w:rPr>
        <w:t>on matters </w:t>
      </w:r>
      <w:r>
        <w:rPr>
          <w:spacing w:val="-3"/>
          <w:w w:val="105"/>
        </w:rPr>
        <w:t>that </w:t>
      </w:r>
      <w:r>
        <w:rPr>
          <w:w w:val="105"/>
        </w:rPr>
        <w:t>appear in the </w:t>
      </w:r>
      <w:r>
        <w:rPr>
          <w:spacing w:val="-3"/>
          <w:w w:val="105"/>
        </w:rPr>
        <w:t>Checklist. </w:t>
      </w:r>
      <w:r>
        <w:rPr>
          <w:w w:val="105"/>
        </w:rPr>
        <w:t>This </w:t>
      </w:r>
      <w:r>
        <w:rPr>
          <w:spacing w:val="-3"/>
          <w:w w:val="105"/>
        </w:rPr>
        <w:t>means that potential purchasers could </w:t>
      </w:r>
      <w:r>
        <w:rPr>
          <w:w w:val="105"/>
        </w:rPr>
        <w:t>be provided with </w:t>
      </w:r>
      <w:r>
        <w:rPr>
          <w:spacing w:val="-3"/>
          <w:w w:val="105"/>
        </w:rPr>
        <w:t>notice through </w:t>
      </w:r>
      <w:r>
        <w:rPr>
          <w:w w:val="105"/>
        </w:rPr>
        <w:t>both the </w:t>
      </w:r>
      <w:r>
        <w:rPr>
          <w:spacing w:val="-3"/>
          <w:w w:val="105"/>
        </w:rPr>
        <w:t>Checklist </w:t>
      </w:r>
      <w:r>
        <w:rPr>
          <w:w w:val="105"/>
        </w:rPr>
        <w:t>and more </w:t>
      </w:r>
      <w:r>
        <w:rPr>
          <w:spacing w:val="-3"/>
          <w:w w:val="105"/>
        </w:rPr>
        <w:t>thoroughly </w:t>
      </w:r>
      <w:r>
        <w:rPr>
          <w:w w:val="105"/>
        </w:rPr>
        <w:t>in the </w:t>
      </w:r>
      <w:r>
        <w:rPr>
          <w:spacing w:val="-4"/>
          <w:w w:val="105"/>
        </w:rPr>
        <w:t>Vendor’s </w:t>
      </w:r>
      <w:r>
        <w:rPr>
          <w:spacing w:val="-3"/>
          <w:w w:val="105"/>
        </w:rPr>
        <w:t>Statement.</w:t>
      </w:r>
    </w:p>
    <w:p>
      <w:pPr>
        <w:pStyle w:val="ListParagraph"/>
        <w:numPr>
          <w:ilvl w:val="1"/>
          <w:numId w:val="16"/>
        </w:numPr>
        <w:tabs>
          <w:tab w:pos="2381" w:val="left" w:leader="none"/>
          <w:tab w:pos="2382" w:val="left" w:leader="none"/>
        </w:tabs>
        <w:spacing w:line="242" w:lineRule="auto" w:before="124" w:after="0"/>
        <w:ind w:left="2381" w:right="2067" w:hanging="794"/>
        <w:jc w:val="left"/>
        <w:rPr>
          <w:sz w:val="21"/>
        </w:rPr>
      </w:pPr>
      <w:r>
        <w:rPr>
          <w:w w:val="105"/>
          <w:sz w:val="21"/>
        </w:rPr>
        <w:t>A </w:t>
      </w:r>
      <w:r>
        <w:rPr>
          <w:spacing w:val="-3"/>
          <w:w w:val="105"/>
          <w:sz w:val="21"/>
        </w:rPr>
        <w:t>Vendor Statement </w:t>
      </w:r>
      <w:r>
        <w:rPr>
          <w:w w:val="105"/>
          <w:sz w:val="21"/>
        </w:rPr>
        <w:t>is </w:t>
      </w:r>
      <w:r>
        <w:rPr>
          <w:spacing w:val="-2"/>
          <w:w w:val="105"/>
          <w:sz w:val="21"/>
        </w:rPr>
        <w:t>not </w:t>
      </w:r>
      <w:r>
        <w:rPr>
          <w:spacing w:val="-3"/>
          <w:w w:val="105"/>
          <w:sz w:val="21"/>
        </w:rPr>
        <w:t>currently required to </w:t>
      </w:r>
      <w:r>
        <w:rPr>
          <w:w w:val="105"/>
          <w:sz w:val="21"/>
        </w:rPr>
        <w:t>disclose matters </w:t>
      </w:r>
      <w:r>
        <w:rPr>
          <w:spacing w:val="-3"/>
          <w:w w:val="105"/>
          <w:sz w:val="21"/>
        </w:rPr>
        <w:t>relating to </w:t>
      </w:r>
      <w:r>
        <w:rPr>
          <w:w w:val="105"/>
          <w:sz w:val="21"/>
        </w:rPr>
        <w:t>trees or vegetation on the </w:t>
      </w:r>
      <w:r>
        <w:rPr>
          <w:spacing w:val="-3"/>
          <w:w w:val="105"/>
          <w:sz w:val="21"/>
        </w:rPr>
        <w:t>land. </w:t>
      </w:r>
      <w:r>
        <w:rPr>
          <w:w w:val="105"/>
          <w:sz w:val="21"/>
        </w:rPr>
        <w:t>It is recommended </w:t>
      </w:r>
      <w:r>
        <w:rPr>
          <w:spacing w:val="-3"/>
          <w:w w:val="105"/>
          <w:sz w:val="21"/>
        </w:rPr>
        <w:t>that </w:t>
      </w:r>
      <w:r>
        <w:rPr>
          <w:w w:val="105"/>
          <w:sz w:val="21"/>
        </w:rPr>
        <w:t>the Sale of Land Act is amended </w:t>
      </w:r>
      <w:r>
        <w:rPr>
          <w:spacing w:val="-3"/>
          <w:w w:val="105"/>
          <w:sz w:val="21"/>
        </w:rPr>
        <w:t>to include </w:t>
      </w:r>
      <w:r>
        <w:rPr>
          <w:w w:val="105"/>
          <w:sz w:val="21"/>
        </w:rPr>
        <w:t>a </w:t>
      </w:r>
      <w:r>
        <w:rPr>
          <w:spacing w:val="-3"/>
          <w:w w:val="105"/>
          <w:sz w:val="21"/>
        </w:rPr>
        <w:t>provision </w:t>
      </w:r>
      <w:r>
        <w:rPr>
          <w:w w:val="105"/>
          <w:sz w:val="21"/>
        </w:rPr>
        <w:t>in Part 2 </w:t>
      </w:r>
      <w:r>
        <w:rPr>
          <w:spacing w:val="-3"/>
          <w:w w:val="105"/>
          <w:sz w:val="21"/>
        </w:rPr>
        <w:t>to </w:t>
      </w:r>
      <w:r>
        <w:rPr>
          <w:w w:val="105"/>
          <w:sz w:val="21"/>
        </w:rPr>
        <w:t>expand the Section </w:t>
      </w:r>
      <w:r>
        <w:rPr>
          <w:spacing w:val="-4"/>
          <w:w w:val="105"/>
          <w:sz w:val="21"/>
        </w:rPr>
        <w:t>32 </w:t>
      </w:r>
      <w:r>
        <w:rPr>
          <w:spacing w:val="-3"/>
          <w:w w:val="105"/>
          <w:sz w:val="21"/>
        </w:rPr>
        <w:t>provisions to require disclosure </w:t>
      </w:r>
      <w:r>
        <w:rPr>
          <w:w w:val="105"/>
          <w:sz w:val="21"/>
        </w:rPr>
        <w:t>of ongoing legal action under the new Act at the time of </w:t>
      </w:r>
      <w:r>
        <w:rPr>
          <w:spacing w:val="-3"/>
          <w:w w:val="105"/>
          <w:sz w:val="21"/>
        </w:rPr>
        <w:t>sale, </w:t>
      </w:r>
      <w:r>
        <w:rPr>
          <w:w w:val="105"/>
          <w:sz w:val="21"/>
        </w:rPr>
        <w:t>or if legal action</w:t>
      </w:r>
      <w:r>
        <w:rPr>
          <w:spacing w:val="-2"/>
          <w:w w:val="105"/>
          <w:sz w:val="21"/>
        </w:rPr>
        <w:t> has</w:t>
      </w:r>
    </w:p>
    <w:p>
      <w:pPr>
        <w:pStyle w:val="BodyText"/>
        <w:spacing w:line="242" w:lineRule="auto" w:before="4"/>
        <w:ind w:left="2381" w:right="1558"/>
      </w:pPr>
      <w:r>
        <w:rPr>
          <w:spacing w:val="-3"/>
          <w:w w:val="105"/>
        </w:rPr>
        <w:t>concluded, information </w:t>
      </w:r>
      <w:r>
        <w:rPr>
          <w:w w:val="105"/>
        </w:rPr>
        <w:t>about </w:t>
      </w:r>
      <w:r>
        <w:rPr>
          <w:spacing w:val="-3"/>
          <w:w w:val="105"/>
        </w:rPr>
        <w:t>incomplete </w:t>
      </w:r>
      <w:r>
        <w:rPr>
          <w:w w:val="105"/>
        </w:rPr>
        <w:t>or ongoing orders. For clarity and </w:t>
      </w:r>
      <w:r>
        <w:rPr>
          <w:spacing w:val="-3"/>
          <w:w w:val="105"/>
        </w:rPr>
        <w:t>transparency, </w:t>
      </w:r>
      <w:r>
        <w:rPr>
          <w:w w:val="105"/>
        </w:rPr>
        <w:t>copies of the application or orders should be provided </w:t>
      </w:r>
      <w:r>
        <w:rPr>
          <w:spacing w:val="-3"/>
          <w:w w:val="105"/>
        </w:rPr>
        <w:t>to </w:t>
      </w:r>
      <w:r>
        <w:rPr>
          <w:w w:val="105"/>
        </w:rPr>
        <w:t>the </w:t>
      </w:r>
      <w:r>
        <w:rPr>
          <w:spacing w:val="-4"/>
          <w:w w:val="105"/>
        </w:rPr>
        <w:t>purchaser. </w:t>
      </w:r>
      <w:r>
        <w:rPr>
          <w:w w:val="105"/>
        </w:rPr>
        <w:t>The </w:t>
      </w:r>
      <w:r>
        <w:rPr>
          <w:spacing w:val="-3"/>
          <w:w w:val="105"/>
        </w:rPr>
        <w:t>Commission </w:t>
      </w:r>
      <w:r>
        <w:rPr>
          <w:w w:val="105"/>
        </w:rPr>
        <w:t>considers </w:t>
      </w:r>
      <w:r>
        <w:rPr>
          <w:spacing w:val="-3"/>
          <w:w w:val="105"/>
        </w:rPr>
        <w:t>that </w:t>
      </w:r>
      <w:r>
        <w:rPr>
          <w:w w:val="105"/>
        </w:rPr>
        <w:t>this would be a straightforward </w:t>
      </w:r>
      <w:r>
        <w:rPr>
          <w:spacing w:val="-3"/>
          <w:w w:val="105"/>
        </w:rPr>
        <w:t>amendment.</w:t>
      </w:r>
    </w:p>
    <w:p>
      <w:pPr>
        <w:pStyle w:val="BodyText"/>
        <w:spacing w:before="4"/>
        <w:rPr>
          <w:sz w:val="20"/>
        </w:rPr>
      </w:pPr>
    </w:p>
    <w:p>
      <w:pPr>
        <w:pStyle w:val="Heading5"/>
      </w:pPr>
      <w:r>
        <w:rPr>
          <w:w w:val="110"/>
        </w:rPr>
        <w:t>If purchasers are not informed</w:t>
      </w:r>
    </w:p>
    <w:p>
      <w:pPr>
        <w:pStyle w:val="ListParagraph"/>
        <w:numPr>
          <w:ilvl w:val="1"/>
          <w:numId w:val="16"/>
        </w:numPr>
        <w:tabs>
          <w:tab w:pos="2381" w:val="left" w:leader="none"/>
          <w:tab w:pos="2382" w:val="left" w:leader="none"/>
        </w:tabs>
        <w:spacing w:line="242" w:lineRule="auto" w:before="137" w:after="0"/>
        <w:ind w:left="2381" w:right="1917" w:hanging="794"/>
        <w:jc w:val="left"/>
        <w:rPr>
          <w:sz w:val="21"/>
        </w:rPr>
      </w:pPr>
      <w:r>
        <w:rPr>
          <w:sz w:val="21"/>
        </w:rPr>
        <w:t>If a </w:t>
      </w:r>
      <w:r>
        <w:rPr>
          <w:spacing w:val="-3"/>
          <w:sz w:val="21"/>
        </w:rPr>
        <w:t>purchaser </w:t>
      </w:r>
      <w:r>
        <w:rPr>
          <w:sz w:val="21"/>
        </w:rPr>
        <w:t>is </w:t>
      </w:r>
      <w:r>
        <w:rPr>
          <w:spacing w:val="-2"/>
          <w:sz w:val="21"/>
        </w:rPr>
        <w:t>not </w:t>
      </w:r>
      <w:r>
        <w:rPr>
          <w:sz w:val="21"/>
        </w:rPr>
        <w:t>properly </w:t>
      </w:r>
      <w:r>
        <w:rPr>
          <w:spacing w:val="-3"/>
          <w:sz w:val="21"/>
        </w:rPr>
        <w:t>informed </w:t>
      </w:r>
      <w:r>
        <w:rPr>
          <w:sz w:val="21"/>
        </w:rPr>
        <w:t>about legal action or orders, the </w:t>
      </w:r>
      <w:r>
        <w:rPr>
          <w:spacing w:val="-3"/>
          <w:sz w:val="21"/>
        </w:rPr>
        <w:t>purchaser may </w:t>
      </w:r>
      <w:r>
        <w:rPr>
          <w:sz w:val="21"/>
        </w:rPr>
        <w:t>seek recourse under the Sale of Land</w:t>
      </w:r>
      <w:r>
        <w:rPr>
          <w:spacing w:val="15"/>
          <w:sz w:val="21"/>
        </w:rPr>
        <w:t> </w:t>
      </w:r>
      <w:r>
        <w:rPr>
          <w:sz w:val="21"/>
        </w:rPr>
        <w:t>Act.</w:t>
      </w:r>
    </w:p>
    <w:p>
      <w:pPr>
        <w:pStyle w:val="ListParagraph"/>
        <w:numPr>
          <w:ilvl w:val="1"/>
          <w:numId w:val="16"/>
        </w:numPr>
        <w:tabs>
          <w:tab w:pos="2381" w:val="left" w:leader="none"/>
          <w:tab w:pos="2382" w:val="left" w:leader="none"/>
        </w:tabs>
        <w:spacing w:line="242" w:lineRule="auto" w:before="122" w:after="0"/>
        <w:ind w:left="2381" w:right="1703" w:hanging="794"/>
        <w:jc w:val="left"/>
        <w:rPr>
          <w:sz w:val="21"/>
        </w:rPr>
      </w:pPr>
      <w:r>
        <w:rPr>
          <w:w w:val="105"/>
          <w:sz w:val="21"/>
        </w:rPr>
        <w:t>The </w:t>
      </w:r>
      <w:r>
        <w:rPr>
          <w:spacing w:val="-3"/>
          <w:w w:val="105"/>
          <w:sz w:val="21"/>
        </w:rPr>
        <w:t>Queensland </w:t>
      </w:r>
      <w:r>
        <w:rPr>
          <w:w w:val="105"/>
          <w:sz w:val="21"/>
        </w:rPr>
        <w:t>and </w:t>
      </w:r>
      <w:r>
        <w:rPr>
          <w:spacing w:val="-4"/>
          <w:w w:val="105"/>
          <w:sz w:val="21"/>
        </w:rPr>
        <w:t>Tasmanian </w:t>
      </w:r>
      <w:r>
        <w:rPr>
          <w:w w:val="105"/>
          <w:sz w:val="21"/>
        </w:rPr>
        <w:t>Acts </w:t>
      </w:r>
      <w:r>
        <w:rPr>
          <w:spacing w:val="-3"/>
          <w:w w:val="105"/>
          <w:sz w:val="21"/>
        </w:rPr>
        <w:t>include </w:t>
      </w:r>
      <w:r>
        <w:rPr>
          <w:w w:val="105"/>
          <w:sz w:val="21"/>
        </w:rPr>
        <w:t>penalties </w:t>
      </w:r>
      <w:r>
        <w:rPr>
          <w:spacing w:val="-3"/>
          <w:w w:val="105"/>
          <w:sz w:val="21"/>
        </w:rPr>
        <w:t>for </w:t>
      </w:r>
      <w:r>
        <w:rPr>
          <w:spacing w:val="-4"/>
          <w:w w:val="105"/>
          <w:sz w:val="21"/>
        </w:rPr>
        <w:t>failing </w:t>
      </w:r>
      <w:r>
        <w:rPr>
          <w:spacing w:val="-3"/>
          <w:w w:val="105"/>
          <w:sz w:val="21"/>
        </w:rPr>
        <w:t>to </w:t>
      </w:r>
      <w:r>
        <w:rPr>
          <w:w w:val="105"/>
          <w:sz w:val="21"/>
        </w:rPr>
        <w:t>give </w:t>
      </w:r>
      <w:r>
        <w:rPr>
          <w:spacing w:val="-3"/>
          <w:w w:val="105"/>
          <w:sz w:val="21"/>
        </w:rPr>
        <w:t>purchasers notice </w:t>
      </w:r>
      <w:r>
        <w:rPr>
          <w:w w:val="105"/>
          <w:sz w:val="21"/>
        </w:rPr>
        <w:t>of an application or order </w:t>
      </w:r>
      <w:r>
        <w:rPr>
          <w:spacing w:val="-3"/>
          <w:w w:val="105"/>
          <w:sz w:val="21"/>
        </w:rPr>
        <w:t>before </w:t>
      </w:r>
      <w:r>
        <w:rPr>
          <w:w w:val="105"/>
          <w:sz w:val="21"/>
        </w:rPr>
        <w:t>they </w:t>
      </w:r>
      <w:r>
        <w:rPr>
          <w:spacing w:val="-7"/>
          <w:w w:val="105"/>
          <w:sz w:val="21"/>
        </w:rPr>
        <w:t>buy.</w:t>
      </w:r>
      <w:r>
        <w:rPr>
          <w:spacing w:val="-7"/>
          <w:w w:val="105"/>
          <w:position w:val="7"/>
          <w:sz w:val="12"/>
        </w:rPr>
        <w:t>111</w:t>
      </w:r>
      <w:r>
        <w:rPr>
          <w:spacing w:val="-7"/>
          <w:w w:val="105"/>
          <w:sz w:val="21"/>
        </w:rPr>
        <w:t>The </w:t>
      </w:r>
      <w:r>
        <w:rPr>
          <w:spacing w:val="-3"/>
          <w:w w:val="105"/>
          <w:sz w:val="21"/>
        </w:rPr>
        <w:t>Commission </w:t>
      </w:r>
      <w:r>
        <w:rPr>
          <w:w w:val="105"/>
          <w:sz w:val="21"/>
        </w:rPr>
        <w:t>is of the view </w:t>
      </w:r>
      <w:r>
        <w:rPr>
          <w:spacing w:val="-3"/>
          <w:w w:val="105"/>
          <w:sz w:val="21"/>
        </w:rPr>
        <w:t>that </w:t>
      </w:r>
      <w:r>
        <w:rPr>
          <w:w w:val="105"/>
          <w:sz w:val="21"/>
        </w:rPr>
        <w:t>existing penalties under the Sale of Land Act </w:t>
      </w:r>
      <w:r>
        <w:rPr>
          <w:spacing w:val="-3"/>
          <w:w w:val="105"/>
          <w:sz w:val="21"/>
        </w:rPr>
        <w:t>are satisfactory. </w:t>
      </w:r>
      <w:r>
        <w:rPr>
          <w:w w:val="105"/>
          <w:sz w:val="21"/>
        </w:rPr>
        <w:t>If prospective </w:t>
      </w:r>
      <w:r>
        <w:rPr>
          <w:spacing w:val="-3"/>
          <w:w w:val="105"/>
          <w:sz w:val="21"/>
        </w:rPr>
        <w:t>purchasers are </w:t>
      </w:r>
      <w:r>
        <w:rPr>
          <w:spacing w:val="-2"/>
          <w:w w:val="105"/>
          <w:sz w:val="21"/>
        </w:rPr>
        <w:t>not </w:t>
      </w:r>
      <w:r>
        <w:rPr>
          <w:w w:val="105"/>
          <w:sz w:val="21"/>
        </w:rPr>
        <w:t>given copies of the Due </w:t>
      </w:r>
      <w:r>
        <w:rPr>
          <w:spacing w:val="-3"/>
          <w:w w:val="105"/>
          <w:sz w:val="21"/>
        </w:rPr>
        <w:t>Diligence Checklist </w:t>
      </w:r>
      <w:r>
        <w:rPr>
          <w:w w:val="105"/>
          <w:sz w:val="21"/>
        </w:rPr>
        <w:t>as </w:t>
      </w:r>
      <w:r>
        <w:rPr>
          <w:spacing w:val="-3"/>
          <w:w w:val="105"/>
          <w:sz w:val="21"/>
        </w:rPr>
        <w:t>required </w:t>
      </w:r>
      <w:r>
        <w:rPr>
          <w:w w:val="105"/>
          <w:sz w:val="21"/>
        </w:rPr>
        <w:t>by the Sale of Land Act, a maximum penalty of 60 penalty units </w:t>
      </w:r>
      <w:r>
        <w:rPr>
          <w:spacing w:val="-3"/>
          <w:w w:val="105"/>
          <w:sz w:val="21"/>
        </w:rPr>
        <w:t>($9,671.40)</w:t>
      </w:r>
      <w:r>
        <w:rPr>
          <w:spacing w:val="31"/>
          <w:w w:val="105"/>
          <w:sz w:val="21"/>
        </w:rPr>
        <w:t> </w:t>
      </w:r>
      <w:r>
        <w:rPr>
          <w:spacing w:val="-5"/>
          <w:w w:val="105"/>
          <w:sz w:val="21"/>
        </w:rPr>
        <w:t>applies.</w:t>
      </w:r>
      <w:r>
        <w:rPr>
          <w:spacing w:val="-5"/>
          <w:w w:val="105"/>
          <w:position w:val="7"/>
          <w:sz w:val="12"/>
        </w:rPr>
        <w:t>112</w:t>
      </w:r>
    </w:p>
    <w:p>
      <w:pPr>
        <w:pStyle w:val="ListParagraph"/>
        <w:numPr>
          <w:ilvl w:val="1"/>
          <w:numId w:val="16"/>
        </w:numPr>
        <w:tabs>
          <w:tab w:pos="2380" w:val="left" w:leader="none"/>
          <w:tab w:pos="2381" w:val="left" w:leader="none"/>
        </w:tabs>
        <w:spacing w:line="242" w:lineRule="auto" w:before="126" w:after="0"/>
        <w:ind w:left="2381" w:right="1925" w:hanging="794"/>
        <w:jc w:val="left"/>
        <w:rPr>
          <w:sz w:val="21"/>
        </w:rPr>
      </w:pPr>
      <w:r>
        <w:rPr>
          <w:sz w:val="21"/>
        </w:rPr>
        <w:t>The </w:t>
      </w:r>
      <w:r>
        <w:rPr>
          <w:spacing w:val="-4"/>
          <w:sz w:val="21"/>
        </w:rPr>
        <w:t>failure </w:t>
      </w:r>
      <w:r>
        <w:rPr>
          <w:sz w:val="21"/>
        </w:rPr>
        <w:t>of the vendor </w:t>
      </w:r>
      <w:r>
        <w:rPr>
          <w:spacing w:val="-3"/>
          <w:sz w:val="21"/>
        </w:rPr>
        <w:t>to </w:t>
      </w:r>
      <w:r>
        <w:rPr>
          <w:sz w:val="21"/>
        </w:rPr>
        <w:t>provide </w:t>
      </w:r>
      <w:r>
        <w:rPr>
          <w:spacing w:val="-3"/>
          <w:sz w:val="21"/>
        </w:rPr>
        <w:t>accurate information </w:t>
      </w:r>
      <w:r>
        <w:rPr>
          <w:sz w:val="21"/>
        </w:rPr>
        <w:t>in a Section </w:t>
      </w:r>
      <w:r>
        <w:rPr>
          <w:spacing w:val="-4"/>
          <w:sz w:val="21"/>
        </w:rPr>
        <w:t>32 </w:t>
      </w:r>
      <w:r>
        <w:rPr>
          <w:spacing w:val="-3"/>
          <w:sz w:val="21"/>
        </w:rPr>
        <w:t>Vendor Statement </w:t>
      </w:r>
      <w:r>
        <w:rPr>
          <w:sz w:val="21"/>
        </w:rPr>
        <w:t>gives the </w:t>
      </w:r>
      <w:r>
        <w:rPr>
          <w:spacing w:val="-3"/>
          <w:sz w:val="21"/>
        </w:rPr>
        <w:t>purchaser </w:t>
      </w:r>
      <w:r>
        <w:rPr>
          <w:sz w:val="21"/>
        </w:rPr>
        <w:t>the </w:t>
      </w:r>
      <w:r>
        <w:rPr>
          <w:spacing w:val="-3"/>
          <w:sz w:val="21"/>
        </w:rPr>
        <w:t>right to rescind </w:t>
      </w:r>
      <w:r>
        <w:rPr>
          <w:sz w:val="21"/>
        </w:rPr>
        <w:t>the contract at </w:t>
      </w:r>
      <w:r>
        <w:rPr>
          <w:spacing w:val="-3"/>
          <w:sz w:val="21"/>
        </w:rPr>
        <w:t>any </w:t>
      </w:r>
      <w:r>
        <w:rPr>
          <w:sz w:val="21"/>
        </w:rPr>
        <w:t>time </w:t>
      </w:r>
      <w:r>
        <w:rPr>
          <w:spacing w:val="-3"/>
          <w:sz w:val="21"/>
        </w:rPr>
        <w:t>before </w:t>
      </w:r>
      <w:r>
        <w:rPr>
          <w:sz w:val="21"/>
        </w:rPr>
        <w:t>settlement or </w:t>
      </w:r>
      <w:r>
        <w:rPr>
          <w:spacing w:val="-3"/>
          <w:sz w:val="21"/>
        </w:rPr>
        <w:t>acceptance </w:t>
      </w:r>
      <w:r>
        <w:rPr>
          <w:sz w:val="21"/>
        </w:rPr>
        <w:t>of </w:t>
      </w:r>
      <w:r>
        <w:rPr>
          <w:spacing w:val="-6"/>
          <w:sz w:val="21"/>
        </w:rPr>
        <w:t>title.</w:t>
      </w:r>
      <w:r>
        <w:rPr>
          <w:spacing w:val="-6"/>
          <w:position w:val="7"/>
          <w:sz w:val="12"/>
        </w:rPr>
        <w:t>113</w:t>
      </w:r>
      <w:r>
        <w:rPr>
          <w:spacing w:val="15"/>
          <w:position w:val="7"/>
          <w:sz w:val="12"/>
        </w:rPr>
        <w:t> </w:t>
      </w:r>
      <w:r>
        <w:rPr>
          <w:sz w:val="21"/>
        </w:rPr>
        <w:t>Knowingly or recklessly </w:t>
      </w:r>
      <w:r>
        <w:rPr>
          <w:spacing w:val="-3"/>
          <w:sz w:val="21"/>
        </w:rPr>
        <w:t>supplying  false  information  to </w:t>
      </w:r>
      <w:r>
        <w:rPr>
          <w:sz w:val="21"/>
        </w:rPr>
        <w:t>the </w:t>
      </w:r>
      <w:r>
        <w:rPr>
          <w:spacing w:val="-3"/>
          <w:sz w:val="21"/>
        </w:rPr>
        <w:t>purchaser </w:t>
      </w:r>
      <w:r>
        <w:rPr>
          <w:sz w:val="21"/>
        </w:rPr>
        <w:t>is a </w:t>
      </w:r>
      <w:r>
        <w:rPr>
          <w:spacing w:val="-3"/>
          <w:sz w:val="21"/>
        </w:rPr>
        <w:t>criminal offence equating to </w:t>
      </w:r>
      <w:r>
        <w:rPr>
          <w:sz w:val="21"/>
        </w:rPr>
        <w:t>a maximum of 60 penalty</w:t>
      </w:r>
      <w:r>
        <w:rPr>
          <w:spacing w:val="-18"/>
          <w:sz w:val="21"/>
        </w:rPr>
        <w:t> </w:t>
      </w:r>
      <w:r>
        <w:rPr>
          <w:sz w:val="21"/>
        </w:rPr>
        <w:t>units</w:t>
      </w:r>
    </w:p>
    <w:p>
      <w:pPr>
        <w:pStyle w:val="BodyText"/>
        <w:spacing w:line="242" w:lineRule="auto" w:before="4"/>
        <w:ind w:left="2381" w:right="1636" w:hanging="1"/>
        <w:rPr>
          <w:sz w:val="12"/>
        </w:rPr>
      </w:pPr>
      <w:r>
        <w:rPr>
          <w:spacing w:val="-4"/>
          <w:w w:val="105"/>
        </w:rPr>
        <w:t>($9671.40).</w:t>
      </w:r>
      <w:r>
        <w:rPr>
          <w:spacing w:val="-4"/>
          <w:w w:val="105"/>
          <w:position w:val="7"/>
          <w:sz w:val="12"/>
        </w:rPr>
        <w:t>114 </w:t>
      </w:r>
      <w:r>
        <w:rPr>
          <w:w w:val="105"/>
        </w:rPr>
        <w:t>There is also a general maximum penalty of </w:t>
      </w:r>
      <w:r>
        <w:rPr>
          <w:spacing w:val="-6"/>
          <w:w w:val="105"/>
        </w:rPr>
        <w:t>10 </w:t>
      </w:r>
      <w:r>
        <w:rPr>
          <w:w w:val="105"/>
        </w:rPr>
        <w:t>penalty units </w:t>
      </w:r>
      <w:r>
        <w:rPr>
          <w:spacing w:val="-8"/>
          <w:w w:val="105"/>
        </w:rPr>
        <w:t>($1611.90) </w:t>
      </w:r>
      <w:r>
        <w:rPr>
          <w:spacing w:val="-3"/>
          <w:w w:val="105"/>
        </w:rPr>
        <w:t>for contravention </w:t>
      </w:r>
      <w:r>
        <w:rPr>
          <w:w w:val="105"/>
        </w:rPr>
        <w:t>of the Sale of Land </w:t>
      </w:r>
      <w:r>
        <w:rPr>
          <w:spacing w:val="-6"/>
          <w:w w:val="105"/>
        </w:rPr>
        <w:t>Act.</w:t>
      </w:r>
      <w:r>
        <w:rPr>
          <w:spacing w:val="-6"/>
          <w:w w:val="105"/>
          <w:position w:val="7"/>
          <w:sz w:val="12"/>
        </w:rPr>
        <w:t>115</w:t>
      </w:r>
    </w:p>
    <w:p>
      <w:pPr>
        <w:pStyle w:val="BodyText"/>
        <w:rPr>
          <w:sz w:val="20"/>
        </w:rPr>
      </w:pPr>
    </w:p>
    <w:p>
      <w:pPr>
        <w:pStyle w:val="BodyText"/>
        <w:spacing w:before="10"/>
        <w:rPr>
          <w:sz w:val="28"/>
        </w:rPr>
      </w:pPr>
      <w:r>
        <w:rPr/>
        <w:pict>
          <v:line style="position:absolute;mso-position-horizontal-relative:page;mso-position-vertical-relative:paragraph;z-index:11144;mso-wrap-distance-left:0;mso-wrap-distance-right:0" from="79.370003pt,20.072947pt" to="515.905003pt,20.07294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93"/>
        </w:numPr>
        <w:tabs>
          <w:tab w:pos="2380" w:val="left" w:leader="none"/>
          <w:tab w:pos="2382" w:val="left" w:leader="none"/>
        </w:tabs>
        <w:spacing w:line="240" w:lineRule="auto" w:before="48" w:after="0"/>
        <w:ind w:left="2381" w:right="0" w:hanging="794"/>
        <w:jc w:val="left"/>
        <w:rPr>
          <w:sz w:val="13"/>
        </w:rPr>
      </w:pPr>
      <w:r>
        <w:rPr>
          <w:i/>
          <w:w w:val="105"/>
          <w:sz w:val="13"/>
        </w:rPr>
        <w:t>Sale of Land Act 1962 </w:t>
      </w:r>
      <w:r>
        <w:rPr>
          <w:spacing w:val="2"/>
          <w:w w:val="105"/>
          <w:sz w:val="13"/>
        </w:rPr>
        <w:t>(Vic) </w:t>
      </w:r>
      <w:r>
        <w:rPr>
          <w:w w:val="105"/>
          <w:sz w:val="13"/>
        </w:rPr>
        <w:t>s 33A.</w:t>
      </w:r>
    </w:p>
    <w:p>
      <w:pPr>
        <w:tabs>
          <w:tab w:pos="2380" w:val="left" w:leader="none"/>
        </w:tabs>
        <w:spacing w:before="1"/>
        <w:ind w:left="1587" w:right="0" w:firstLine="0"/>
        <w:jc w:val="left"/>
        <w:rPr>
          <w:sz w:val="13"/>
        </w:rPr>
      </w:pPr>
      <w:r>
        <w:rPr>
          <w:w w:val="105"/>
          <w:sz w:val="13"/>
        </w:rPr>
        <w:t>106</w:t>
        <w:tab/>
        <w:t>Ibid ss</w:t>
      </w:r>
      <w:r>
        <w:rPr>
          <w:spacing w:val="9"/>
          <w:w w:val="105"/>
          <w:sz w:val="13"/>
        </w:rPr>
        <w:t> </w:t>
      </w:r>
      <w:r>
        <w:rPr>
          <w:w w:val="105"/>
          <w:sz w:val="13"/>
        </w:rPr>
        <w:t>33B(1),5).</w:t>
      </w:r>
    </w:p>
    <w:p>
      <w:pPr>
        <w:tabs>
          <w:tab w:pos="2380" w:val="left" w:leader="none"/>
        </w:tabs>
        <w:spacing w:before="2"/>
        <w:ind w:left="1587" w:right="0" w:firstLine="0"/>
        <w:jc w:val="left"/>
        <w:rPr>
          <w:sz w:val="13"/>
        </w:rPr>
      </w:pPr>
      <w:r>
        <w:rPr>
          <w:w w:val="105"/>
          <w:sz w:val="13"/>
        </w:rPr>
        <w:t>107</w:t>
        <w:tab/>
        <w:t>Ibid ss</w:t>
      </w:r>
      <w:r>
        <w:rPr>
          <w:spacing w:val="9"/>
          <w:w w:val="105"/>
          <w:sz w:val="13"/>
        </w:rPr>
        <w:t> </w:t>
      </w:r>
      <w:r>
        <w:rPr>
          <w:spacing w:val="2"/>
          <w:w w:val="105"/>
          <w:sz w:val="13"/>
        </w:rPr>
        <w:t>33B(2),(5).</w:t>
      </w:r>
    </w:p>
    <w:p>
      <w:pPr>
        <w:pStyle w:val="ListParagraph"/>
        <w:numPr>
          <w:ilvl w:val="0"/>
          <w:numId w:val="196"/>
        </w:numPr>
        <w:tabs>
          <w:tab w:pos="2380" w:val="left" w:leader="none"/>
          <w:tab w:pos="2382" w:val="left" w:leader="none"/>
        </w:tabs>
        <w:spacing w:line="240" w:lineRule="auto" w:before="1" w:after="0"/>
        <w:ind w:left="2381" w:right="0" w:hanging="794"/>
        <w:jc w:val="left"/>
        <w:rPr>
          <w:sz w:val="13"/>
        </w:rPr>
      </w:pPr>
      <w:r>
        <w:rPr>
          <w:w w:val="105"/>
          <w:sz w:val="13"/>
        </w:rPr>
        <w:t>Consumer Affairs Victoria, </w:t>
      </w:r>
      <w:r>
        <w:rPr>
          <w:i/>
          <w:w w:val="105"/>
          <w:sz w:val="13"/>
        </w:rPr>
        <w:t>Due Diligence Checklist - For Home and Residential </w:t>
      </w:r>
      <w:r>
        <w:rPr>
          <w:i/>
          <w:spacing w:val="2"/>
          <w:w w:val="105"/>
          <w:sz w:val="13"/>
        </w:rPr>
        <w:t>Property </w:t>
      </w:r>
      <w:r>
        <w:rPr>
          <w:i/>
          <w:w w:val="105"/>
          <w:sz w:val="13"/>
        </w:rPr>
        <w:t>Buyers </w:t>
      </w:r>
      <w:r>
        <w:rPr>
          <w:spacing w:val="-3"/>
          <w:w w:val="105"/>
          <w:sz w:val="13"/>
        </w:rPr>
        <w:t>(15 </w:t>
      </w:r>
      <w:r>
        <w:rPr>
          <w:w w:val="105"/>
          <w:sz w:val="13"/>
        </w:rPr>
        <w:t>January 2019) &lt;https://www.consumer. </w:t>
      </w:r>
      <w:r>
        <w:rPr>
          <w:spacing w:val="2"/>
          <w:w w:val="105"/>
          <w:sz w:val="13"/>
        </w:rPr>
        <w:t>vic.gov.au/housing/buying-and-selling-property/checklists/due-diligence&gt;.</w:t>
      </w:r>
    </w:p>
    <w:p>
      <w:pPr>
        <w:pStyle w:val="ListParagraph"/>
        <w:numPr>
          <w:ilvl w:val="0"/>
          <w:numId w:val="196"/>
        </w:numPr>
        <w:tabs>
          <w:tab w:pos="2380" w:val="left" w:leader="none"/>
          <w:tab w:pos="2382" w:val="left" w:leader="none"/>
        </w:tabs>
        <w:spacing w:line="240" w:lineRule="auto" w:before="3" w:after="0"/>
        <w:ind w:left="2381" w:right="416" w:hanging="794"/>
        <w:jc w:val="left"/>
        <w:rPr>
          <w:sz w:val="13"/>
        </w:rPr>
      </w:pPr>
      <w:r>
        <w:rPr>
          <w:w w:val="105"/>
          <w:sz w:val="13"/>
        </w:rPr>
        <w:t>Consumer Affairs Victoria, </w:t>
      </w:r>
      <w:r>
        <w:rPr>
          <w:i/>
          <w:w w:val="105"/>
          <w:sz w:val="13"/>
        </w:rPr>
        <w:t>Conveyancing and Contracts for Sellers </w:t>
      </w:r>
      <w:r>
        <w:rPr>
          <w:w w:val="105"/>
          <w:sz w:val="13"/>
        </w:rPr>
        <w:t>(Web Page, 8 January 2019) &lt;https://</w:t>
      </w:r>
      <w:hyperlink r:id="rId312">
        <w:r>
          <w:rPr>
            <w:w w:val="105"/>
            <w:sz w:val="13"/>
          </w:rPr>
          <w:t>www.consumer.vic.gov.au/</w:t>
        </w:r>
      </w:hyperlink>
      <w:r>
        <w:rPr>
          <w:w w:val="105"/>
          <w:sz w:val="13"/>
        </w:rPr>
        <w:t> housing/buying-and-selling-property/selling-property/conveyancing-and-contracts-for-sellers&gt;.</w:t>
      </w:r>
    </w:p>
    <w:p>
      <w:pPr>
        <w:pStyle w:val="ListParagraph"/>
        <w:numPr>
          <w:ilvl w:val="0"/>
          <w:numId w:val="196"/>
        </w:numPr>
        <w:tabs>
          <w:tab w:pos="2380" w:val="left" w:leader="none"/>
          <w:tab w:pos="2382" w:val="left" w:leader="none"/>
        </w:tabs>
        <w:spacing w:line="240" w:lineRule="auto" w:before="2" w:after="0"/>
        <w:ind w:left="2381" w:right="0" w:hanging="794"/>
        <w:jc w:val="left"/>
        <w:rPr>
          <w:sz w:val="13"/>
        </w:rPr>
      </w:pPr>
      <w:r>
        <w:rPr>
          <w:i/>
          <w:w w:val="105"/>
          <w:sz w:val="13"/>
        </w:rPr>
        <w:t>Sale of Land Act 1962 </w:t>
      </w:r>
      <w:r>
        <w:rPr>
          <w:spacing w:val="2"/>
          <w:w w:val="105"/>
          <w:sz w:val="13"/>
        </w:rPr>
        <w:t>(Vic) </w:t>
      </w:r>
      <w:r>
        <w:rPr>
          <w:w w:val="105"/>
          <w:sz w:val="13"/>
        </w:rPr>
        <w:t>s</w:t>
      </w:r>
      <w:r>
        <w:rPr>
          <w:spacing w:val="30"/>
          <w:w w:val="105"/>
          <w:sz w:val="13"/>
        </w:rPr>
        <w:t> </w:t>
      </w:r>
      <w:r>
        <w:rPr>
          <w:w w:val="105"/>
          <w:sz w:val="13"/>
        </w:rPr>
        <w:t>32(1)</w:t>
      </w:r>
    </w:p>
    <w:p>
      <w:pPr>
        <w:pStyle w:val="ListParagraph"/>
        <w:numPr>
          <w:ilvl w:val="0"/>
          <w:numId w:val="196"/>
        </w:numPr>
        <w:tabs>
          <w:tab w:pos="2380" w:val="left" w:leader="none"/>
          <w:tab w:pos="2382" w:val="left" w:leader="none"/>
        </w:tabs>
        <w:spacing w:line="240" w:lineRule="auto" w:before="2" w:after="0"/>
        <w:ind w:left="2381" w:right="0" w:hanging="794"/>
        <w:jc w:val="left"/>
        <w:rPr>
          <w:sz w:val="13"/>
        </w:rPr>
      </w:pPr>
      <w:r>
        <w:rPr>
          <w:i/>
          <w:w w:val="105"/>
          <w:sz w:val="13"/>
        </w:rPr>
        <w:t>Neighbourhood</w:t>
      </w:r>
      <w:r>
        <w:rPr>
          <w:i/>
          <w:spacing w:val="9"/>
          <w:w w:val="105"/>
          <w:sz w:val="13"/>
        </w:rPr>
        <w:t> </w:t>
      </w:r>
      <w:r>
        <w:rPr>
          <w:i/>
          <w:w w:val="105"/>
          <w:sz w:val="13"/>
        </w:rPr>
        <w:t>Disputes</w:t>
      </w:r>
      <w:r>
        <w:rPr>
          <w:i/>
          <w:spacing w:val="9"/>
          <w:w w:val="105"/>
          <w:sz w:val="13"/>
        </w:rPr>
        <w:t> </w:t>
      </w:r>
      <w:r>
        <w:rPr>
          <w:i/>
          <w:w w:val="105"/>
          <w:sz w:val="13"/>
        </w:rPr>
        <w:t>(Dividing</w:t>
      </w:r>
      <w:r>
        <w:rPr>
          <w:i/>
          <w:spacing w:val="9"/>
          <w:w w:val="105"/>
          <w:sz w:val="13"/>
        </w:rPr>
        <w:t> </w:t>
      </w:r>
      <w:r>
        <w:rPr>
          <w:i/>
          <w:w w:val="105"/>
          <w:sz w:val="13"/>
        </w:rPr>
        <w:t>Fences</w:t>
      </w:r>
      <w:r>
        <w:rPr>
          <w:i/>
          <w:spacing w:val="9"/>
          <w:w w:val="105"/>
          <w:sz w:val="13"/>
        </w:rPr>
        <w:t> </w:t>
      </w:r>
      <w:r>
        <w:rPr>
          <w:i/>
          <w:w w:val="105"/>
          <w:sz w:val="13"/>
        </w:rPr>
        <w:t>and</w:t>
      </w:r>
      <w:r>
        <w:rPr>
          <w:i/>
          <w:spacing w:val="9"/>
          <w:w w:val="105"/>
          <w:sz w:val="13"/>
        </w:rPr>
        <w:t> </w:t>
      </w:r>
      <w:r>
        <w:rPr>
          <w:i/>
          <w:w w:val="105"/>
          <w:sz w:val="13"/>
        </w:rPr>
        <w:t>Trees)</w:t>
      </w:r>
      <w:r>
        <w:rPr>
          <w:i/>
          <w:spacing w:val="9"/>
          <w:w w:val="105"/>
          <w:sz w:val="13"/>
        </w:rPr>
        <w:t> </w:t>
      </w:r>
      <w:r>
        <w:rPr>
          <w:i/>
          <w:w w:val="105"/>
          <w:sz w:val="13"/>
        </w:rPr>
        <w:t>Act</w:t>
      </w:r>
      <w:r>
        <w:rPr>
          <w:i/>
          <w:spacing w:val="9"/>
          <w:w w:val="105"/>
          <w:sz w:val="13"/>
        </w:rPr>
        <w:t> </w:t>
      </w:r>
      <w:r>
        <w:rPr>
          <w:i/>
          <w:spacing w:val="-4"/>
          <w:w w:val="105"/>
          <w:sz w:val="13"/>
        </w:rPr>
        <w:t>2011</w:t>
      </w:r>
      <w:r>
        <w:rPr>
          <w:i/>
          <w:spacing w:val="9"/>
          <w:w w:val="105"/>
          <w:sz w:val="13"/>
        </w:rPr>
        <w:t> </w:t>
      </w:r>
      <w:r>
        <w:rPr>
          <w:spacing w:val="2"/>
          <w:w w:val="105"/>
          <w:sz w:val="13"/>
        </w:rPr>
        <w:t>(Qld)</w:t>
      </w:r>
      <w:r>
        <w:rPr>
          <w:spacing w:val="9"/>
          <w:w w:val="105"/>
          <w:sz w:val="13"/>
        </w:rPr>
        <w:t> </w:t>
      </w:r>
      <w:r>
        <w:rPr>
          <w:w w:val="105"/>
          <w:sz w:val="13"/>
        </w:rPr>
        <w:t>s</w:t>
      </w:r>
      <w:r>
        <w:rPr>
          <w:spacing w:val="9"/>
          <w:w w:val="105"/>
          <w:sz w:val="13"/>
        </w:rPr>
        <w:t> </w:t>
      </w:r>
      <w:r>
        <w:rPr>
          <w:spacing w:val="2"/>
          <w:w w:val="105"/>
          <w:sz w:val="13"/>
        </w:rPr>
        <w:t>83;</w:t>
      </w:r>
      <w:r>
        <w:rPr>
          <w:spacing w:val="9"/>
          <w:w w:val="105"/>
          <w:sz w:val="13"/>
        </w:rPr>
        <w:t> </w:t>
      </w:r>
      <w:r>
        <w:rPr>
          <w:i/>
          <w:w w:val="105"/>
          <w:sz w:val="13"/>
        </w:rPr>
        <w:t>Neighbourhood</w:t>
      </w:r>
      <w:r>
        <w:rPr>
          <w:i/>
          <w:spacing w:val="9"/>
          <w:w w:val="105"/>
          <w:sz w:val="13"/>
        </w:rPr>
        <w:t> </w:t>
      </w:r>
      <w:r>
        <w:rPr>
          <w:i/>
          <w:w w:val="105"/>
          <w:sz w:val="13"/>
        </w:rPr>
        <w:t>Disputes</w:t>
      </w:r>
      <w:r>
        <w:rPr>
          <w:i/>
          <w:spacing w:val="9"/>
          <w:w w:val="105"/>
          <w:sz w:val="13"/>
        </w:rPr>
        <w:t> </w:t>
      </w:r>
      <w:r>
        <w:rPr>
          <w:i/>
          <w:w w:val="105"/>
          <w:sz w:val="13"/>
        </w:rPr>
        <w:t>About</w:t>
      </w:r>
      <w:r>
        <w:rPr>
          <w:i/>
          <w:spacing w:val="9"/>
          <w:w w:val="105"/>
          <w:sz w:val="13"/>
        </w:rPr>
        <w:t> </w:t>
      </w:r>
      <w:r>
        <w:rPr>
          <w:i/>
          <w:w w:val="105"/>
          <w:sz w:val="13"/>
        </w:rPr>
        <w:t>Plants</w:t>
      </w:r>
      <w:r>
        <w:rPr>
          <w:i/>
          <w:spacing w:val="9"/>
          <w:w w:val="105"/>
          <w:sz w:val="13"/>
        </w:rPr>
        <w:t> </w:t>
      </w:r>
      <w:r>
        <w:rPr>
          <w:i/>
          <w:w w:val="105"/>
          <w:sz w:val="13"/>
        </w:rPr>
        <w:t>Act</w:t>
      </w:r>
      <w:r>
        <w:rPr>
          <w:i/>
          <w:spacing w:val="9"/>
          <w:w w:val="105"/>
          <w:sz w:val="13"/>
        </w:rPr>
        <w:t> </w:t>
      </w:r>
      <w:r>
        <w:rPr>
          <w:i/>
          <w:spacing w:val="-4"/>
          <w:w w:val="105"/>
          <w:sz w:val="13"/>
        </w:rPr>
        <w:t>2017</w:t>
      </w:r>
      <w:r>
        <w:rPr>
          <w:i/>
          <w:spacing w:val="9"/>
          <w:w w:val="105"/>
          <w:sz w:val="13"/>
        </w:rPr>
        <w:t> </w:t>
      </w:r>
      <w:r>
        <w:rPr>
          <w:i/>
          <w:w w:val="105"/>
          <w:sz w:val="13"/>
        </w:rPr>
        <w:t>(</w:t>
      </w:r>
      <w:r>
        <w:rPr>
          <w:i/>
          <w:spacing w:val="-17"/>
          <w:w w:val="105"/>
          <w:sz w:val="13"/>
        </w:rPr>
        <w:t> </w:t>
      </w:r>
      <w:r>
        <w:rPr>
          <w:w w:val="105"/>
          <w:sz w:val="13"/>
        </w:rPr>
        <w:t>Tas)</w:t>
      </w:r>
      <w:r>
        <w:rPr>
          <w:spacing w:val="9"/>
          <w:w w:val="105"/>
          <w:sz w:val="13"/>
        </w:rPr>
        <w:t> </w:t>
      </w:r>
      <w:r>
        <w:rPr>
          <w:w w:val="105"/>
          <w:sz w:val="13"/>
        </w:rPr>
        <w:t>s</w:t>
      </w:r>
      <w:r>
        <w:rPr>
          <w:spacing w:val="9"/>
          <w:w w:val="105"/>
          <w:sz w:val="13"/>
        </w:rPr>
        <w:t> </w:t>
      </w:r>
      <w:r>
        <w:rPr>
          <w:w w:val="105"/>
          <w:sz w:val="13"/>
        </w:rPr>
        <w:t>16(1).</w:t>
      </w:r>
    </w:p>
    <w:p>
      <w:pPr>
        <w:pStyle w:val="ListParagraph"/>
        <w:numPr>
          <w:ilvl w:val="0"/>
          <w:numId w:val="196"/>
        </w:numPr>
        <w:tabs>
          <w:tab w:pos="2380" w:val="left" w:leader="none"/>
          <w:tab w:pos="2382" w:val="left" w:leader="none"/>
        </w:tabs>
        <w:spacing w:line="240" w:lineRule="auto" w:before="1" w:after="0"/>
        <w:ind w:left="2381" w:right="308" w:hanging="794"/>
        <w:jc w:val="both"/>
        <w:rPr>
          <w:sz w:val="13"/>
        </w:rPr>
      </w:pPr>
      <w:r>
        <w:rPr>
          <w:i/>
          <w:w w:val="105"/>
          <w:sz w:val="13"/>
        </w:rPr>
        <w:t>Sale of Land Act 1962 </w:t>
      </w:r>
      <w:r>
        <w:rPr>
          <w:spacing w:val="2"/>
          <w:w w:val="105"/>
          <w:sz w:val="13"/>
        </w:rPr>
        <w:t>(Vic) </w:t>
      </w:r>
      <w:r>
        <w:rPr>
          <w:w w:val="105"/>
          <w:sz w:val="13"/>
        </w:rPr>
        <w:t>ss 33B(1), </w:t>
      </w:r>
      <w:r>
        <w:rPr>
          <w:spacing w:val="3"/>
          <w:w w:val="105"/>
          <w:sz w:val="13"/>
        </w:rPr>
        <w:t>(4). </w:t>
      </w:r>
      <w:r>
        <w:rPr>
          <w:w w:val="105"/>
          <w:sz w:val="13"/>
        </w:rPr>
        <w:t>The current value of a penalty unit is </w:t>
      </w:r>
      <w:r>
        <w:rPr>
          <w:spacing w:val="-5"/>
          <w:w w:val="105"/>
          <w:sz w:val="13"/>
        </w:rPr>
        <w:t>$161.19 </w:t>
      </w:r>
      <w:r>
        <w:rPr>
          <w:w w:val="105"/>
          <w:sz w:val="13"/>
        </w:rPr>
        <w:t>(as at 1 July 2018): Department of Justice and Community Safety </w:t>
      </w:r>
      <w:r>
        <w:rPr>
          <w:spacing w:val="2"/>
          <w:w w:val="105"/>
          <w:sz w:val="13"/>
        </w:rPr>
        <w:t>(Vic), </w:t>
      </w:r>
      <w:r>
        <w:rPr>
          <w:i/>
          <w:w w:val="105"/>
          <w:sz w:val="13"/>
        </w:rPr>
        <w:t>Penalties and Values </w:t>
      </w:r>
      <w:r>
        <w:rPr>
          <w:w w:val="105"/>
          <w:sz w:val="13"/>
        </w:rPr>
        <w:t>(Web Page, </w:t>
      </w:r>
      <w:r>
        <w:rPr>
          <w:spacing w:val="-3"/>
          <w:w w:val="105"/>
          <w:sz w:val="13"/>
        </w:rPr>
        <w:t>14 </w:t>
      </w:r>
      <w:r>
        <w:rPr>
          <w:w w:val="105"/>
          <w:sz w:val="13"/>
        </w:rPr>
        <w:t>August 2018) </w:t>
      </w:r>
      <w:r>
        <w:rPr>
          <w:spacing w:val="2"/>
          <w:w w:val="105"/>
          <w:sz w:val="13"/>
        </w:rPr>
        <w:t>&lt;https://</w:t>
      </w:r>
      <w:hyperlink r:id="rId313">
        <w:r>
          <w:rPr>
            <w:spacing w:val="2"/>
            <w:w w:val="105"/>
            <w:sz w:val="13"/>
          </w:rPr>
          <w:t>www.justice.vic.gov.au/justice-system/fines-and-</w:t>
        </w:r>
      </w:hyperlink>
      <w:r>
        <w:rPr>
          <w:spacing w:val="2"/>
          <w:w w:val="105"/>
          <w:sz w:val="13"/>
        </w:rPr>
        <w:t> </w:t>
      </w:r>
      <w:r>
        <w:rPr>
          <w:w w:val="105"/>
          <w:sz w:val="13"/>
        </w:rPr>
        <w:t>penalties/penalties-and-values&gt;.</w:t>
      </w:r>
    </w:p>
    <w:p>
      <w:pPr>
        <w:pStyle w:val="ListParagraph"/>
        <w:numPr>
          <w:ilvl w:val="0"/>
          <w:numId w:val="196"/>
        </w:numPr>
        <w:tabs>
          <w:tab w:pos="2380" w:val="left" w:leader="none"/>
          <w:tab w:pos="2382" w:val="left" w:leader="none"/>
        </w:tabs>
        <w:spacing w:line="240" w:lineRule="auto" w:before="4" w:after="0"/>
        <w:ind w:left="2381" w:right="0" w:hanging="794"/>
        <w:jc w:val="left"/>
        <w:rPr>
          <w:sz w:val="13"/>
        </w:rPr>
      </w:pPr>
      <w:r>
        <w:rPr>
          <w:i/>
          <w:w w:val="105"/>
          <w:sz w:val="13"/>
        </w:rPr>
        <w:t>Sale of Land Act 1962 </w:t>
      </w:r>
      <w:r>
        <w:rPr>
          <w:spacing w:val="2"/>
          <w:w w:val="105"/>
          <w:sz w:val="13"/>
        </w:rPr>
        <w:t>(Vic) </w:t>
      </w:r>
      <w:r>
        <w:rPr>
          <w:w w:val="105"/>
          <w:sz w:val="13"/>
        </w:rPr>
        <w:t>s 32K.</w:t>
      </w:r>
    </w:p>
    <w:p>
      <w:pPr>
        <w:pStyle w:val="ListParagraph"/>
        <w:numPr>
          <w:ilvl w:val="0"/>
          <w:numId w:val="196"/>
        </w:numPr>
        <w:tabs>
          <w:tab w:pos="2380" w:val="left" w:leader="none"/>
          <w:tab w:pos="2382" w:val="left" w:leader="none"/>
        </w:tabs>
        <w:spacing w:line="240" w:lineRule="auto" w:before="1" w:after="0"/>
        <w:ind w:left="2381" w:right="209" w:hanging="794"/>
        <w:jc w:val="left"/>
        <w:rPr>
          <w:sz w:val="13"/>
        </w:rPr>
      </w:pPr>
      <w:r>
        <w:rPr>
          <w:w w:val="105"/>
          <w:sz w:val="13"/>
        </w:rPr>
        <w:t>Ibid s 32L. Or, </w:t>
      </w:r>
      <w:r>
        <w:rPr>
          <w:spacing w:val="2"/>
          <w:w w:val="105"/>
          <w:sz w:val="13"/>
        </w:rPr>
        <w:t>300 </w:t>
      </w:r>
      <w:r>
        <w:rPr>
          <w:w w:val="105"/>
          <w:sz w:val="13"/>
        </w:rPr>
        <w:t>penalty units in the case of a body corporate. The current value of a penalty unit is </w:t>
      </w:r>
      <w:r>
        <w:rPr>
          <w:spacing w:val="-5"/>
          <w:w w:val="105"/>
          <w:sz w:val="13"/>
        </w:rPr>
        <w:t>$161.19 </w:t>
      </w:r>
      <w:r>
        <w:rPr>
          <w:w w:val="105"/>
          <w:sz w:val="13"/>
        </w:rPr>
        <w:t>(as at 1 July 2018): Department of Justice and Community Safety </w:t>
      </w:r>
      <w:r>
        <w:rPr>
          <w:spacing w:val="2"/>
          <w:w w:val="105"/>
          <w:sz w:val="13"/>
        </w:rPr>
        <w:t>(Vic), </w:t>
      </w:r>
      <w:r>
        <w:rPr>
          <w:i/>
          <w:w w:val="105"/>
          <w:sz w:val="13"/>
        </w:rPr>
        <w:t>Penalties and Values </w:t>
      </w:r>
      <w:r>
        <w:rPr>
          <w:w w:val="105"/>
          <w:sz w:val="13"/>
        </w:rPr>
        <w:t>(Web Page, </w:t>
      </w:r>
      <w:r>
        <w:rPr>
          <w:spacing w:val="-3"/>
          <w:w w:val="105"/>
          <w:sz w:val="13"/>
        </w:rPr>
        <w:t>14 </w:t>
      </w:r>
      <w:r>
        <w:rPr>
          <w:w w:val="105"/>
          <w:sz w:val="13"/>
        </w:rPr>
        <w:t>August 2018) &lt;https://</w:t>
      </w:r>
      <w:hyperlink r:id="rId314">
        <w:r>
          <w:rPr>
            <w:w w:val="105"/>
            <w:sz w:val="13"/>
          </w:rPr>
          <w:t>www.justice.vic.gov.au/</w:t>
        </w:r>
      </w:hyperlink>
      <w:r>
        <w:rPr>
          <w:w w:val="105"/>
          <w:sz w:val="13"/>
        </w:rPr>
        <w:t> </w:t>
      </w:r>
      <w:r>
        <w:rPr>
          <w:spacing w:val="2"/>
          <w:w w:val="105"/>
          <w:sz w:val="13"/>
        </w:rPr>
        <w:t>justice-system/fines-and-penalties/penalties-and-values&gt;.</w:t>
      </w:r>
    </w:p>
    <w:p>
      <w:pPr>
        <w:pStyle w:val="ListParagraph"/>
        <w:numPr>
          <w:ilvl w:val="0"/>
          <w:numId w:val="196"/>
        </w:numPr>
        <w:tabs>
          <w:tab w:pos="2380" w:val="left" w:leader="none"/>
          <w:tab w:pos="2382" w:val="left" w:leader="none"/>
        </w:tabs>
        <w:spacing w:line="240" w:lineRule="auto" w:before="4" w:after="0"/>
        <w:ind w:left="2381" w:right="0" w:hanging="794"/>
        <w:jc w:val="left"/>
        <w:rPr>
          <w:sz w:val="13"/>
        </w:rPr>
      </w:pPr>
      <w:r>
        <w:rPr>
          <w:i/>
          <w:w w:val="105"/>
          <w:sz w:val="13"/>
        </w:rPr>
        <w:t>Sale</w:t>
      </w:r>
      <w:r>
        <w:rPr>
          <w:i/>
          <w:spacing w:val="4"/>
          <w:w w:val="105"/>
          <w:sz w:val="13"/>
        </w:rPr>
        <w:t> </w:t>
      </w:r>
      <w:r>
        <w:rPr>
          <w:i/>
          <w:w w:val="105"/>
          <w:sz w:val="13"/>
        </w:rPr>
        <w:t>of</w:t>
      </w:r>
      <w:r>
        <w:rPr>
          <w:i/>
          <w:spacing w:val="5"/>
          <w:w w:val="105"/>
          <w:sz w:val="13"/>
        </w:rPr>
        <w:t> </w:t>
      </w:r>
      <w:r>
        <w:rPr>
          <w:i/>
          <w:w w:val="105"/>
          <w:sz w:val="13"/>
        </w:rPr>
        <w:t>Land</w:t>
      </w:r>
      <w:r>
        <w:rPr>
          <w:i/>
          <w:spacing w:val="4"/>
          <w:w w:val="105"/>
          <w:sz w:val="13"/>
        </w:rPr>
        <w:t> </w:t>
      </w:r>
      <w:r>
        <w:rPr>
          <w:i/>
          <w:w w:val="105"/>
          <w:sz w:val="13"/>
        </w:rPr>
        <w:t>Act</w:t>
      </w:r>
      <w:r>
        <w:rPr>
          <w:i/>
          <w:spacing w:val="5"/>
          <w:w w:val="105"/>
          <w:sz w:val="13"/>
        </w:rPr>
        <w:t> </w:t>
      </w:r>
      <w:r>
        <w:rPr>
          <w:i/>
          <w:w w:val="105"/>
          <w:sz w:val="13"/>
        </w:rPr>
        <w:t>1962</w:t>
      </w:r>
      <w:r>
        <w:rPr>
          <w:i/>
          <w:spacing w:val="5"/>
          <w:w w:val="105"/>
          <w:sz w:val="13"/>
        </w:rPr>
        <w:t> </w:t>
      </w:r>
      <w:r>
        <w:rPr>
          <w:spacing w:val="2"/>
          <w:w w:val="105"/>
          <w:sz w:val="13"/>
        </w:rPr>
        <w:t>(Vic)</w:t>
      </w:r>
      <w:r>
        <w:rPr>
          <w:spacing w:val="4"/>
          <w:w w:val="105"/>
          <w:sz w:val="13"/>
        </w:rPr>
        <w:t> </w:t>
      </w:r>
      <w:r>
        <w:rPr>
          <w:w w:val="105"/>
          <w:sz w:val="13"/>
        </w:rPr>
        <w:t>s</w:t>
      </w:r>
      <w:r>
        <w:rPr>
          <w:spacing w:val="5"/>
          <w:w w:val="105"/>
          <w:sz w:val="13"/>
        </w:rPr>
        <w:t> </w:t>
      </w:r>
      <w:r>
        <w:rPr>
          <w:w w:val="105"/>
          <w:sz w:val="13"/>
        </w:rPr>
        <w:t>16.</w:t>
      </w:r>
      <w:r>
        <w:rPr>
          <w:spacing w:val="4"/>
          <w:w w:val="105"/>
          <w:sz w:val="13"/>
        </w:rPr>
        <w:t> </w:t>
      </w:r>
      <w:r>
        <w:rPr>
          <w:w w:val="105"/>
          <w:sz w:val="13"/>
        </w:rPr>
        <w:t>This</w:t>
      </w:r>
      <w:r>
        <w:rPr>
          <w:spacing w:val="5"/>
          <w:w w:val="105"/>
          <w:sz w:val="13"/>
        </w:rPr>
        <w:t> </w:t>
      </w:r>
      <w:r>
        <w:rPr>
          <w:w w:val="105"/>
          <w:sz w:val="13"/>
        </w:rPr>
        <w:t>penalty</w:t>
      </w:r>
      <w:r>
        <w:rPr>
          <w:spacing w:val="5"/>
          <w:w w:val="105"/>
          <w:sz w:val="13"/>
        </w:rPr>
        <w:t> </w:t>
      </w:r>
      <w:r>
        <w:rPr>
          <w:w w:val="105"/>
          <w:sz w:val="13"/>
        </w:rPr>
        <w:t>may</w:t>
      </w:r>
      <w:r>
        <w:rPr>
          <w:spacing w:val="4"/>
          <w:w w:val="105"/>
          <w:sz w:val="13"/>
        </w:rPr>
        <w:t> </w:t>
      </w:r>
      <w:r>
        <w:rPr>
          <w:w w:val="105"/>
          <w:sz w:val="13"/>
        </w:rPr>
        <w:t>be</w:t>
      </w:r>
      <w:r>
        <w:rPr>
          <w:spacing w:val="5"/>
          <w:w w:val="105"/>
          <w:sz w:val="13"/>
        </w:rPr>
        <w:t> </w:t>
      </w:r>
      <w:r>
        <w:rPr>
          <w:w w:val="105"/>
          <w:sz w:val="13"/>
        </w:rPr>
        <w:t>applied</w:t>
      </w:r>
      <w:r>
        <w:rPr>
          <w:spacing w:val="4"/>
          <w:w w:val="105"/>
          <w:sz w:val="13"/>
        </w:rPr>
        <w:t> </w:t>
      </w:r>
      <w:r>
        <w:rPr>
          <w:w w:val="105"/>
          <w:sz w:val="13"/>
        </w:rPr>
        <w:t>‘where</w:t>
      </w:r>
      <w:r>
        <w:rPr>
          <w:spacing w:val="5"/>
          <w:w w:val="105"/>
          <w:sz w:val="13"/>
        </w:rPr>
        <w:t> </w:t>
      </w:r>
      <w:r>
        <w:rPr>
          <w:w w:val="105"/>
          <w:sz w:val="13"/>
        </w:rPr>
        <w:t>no</w:t>
      </w:r>
      <w:r>
        <w:rPr>
          <w:spacing w:val="5"/>
          <w:w w:val="105"/>
          <w:sz w:val="13"/>
        </w:rPr>
        <w:t> </w:t>
      </w:r>
      <w:r>
        <w:rPr>
          <w:w w:val="105"/>
          <w:sz w:val="13"/>
        </w:rPr>
        <w:t>other</w:t>
      </w:r>
      <w:r>
        <w:rPr>
          <w:spacing w:val="4"/>
          <w:w w:val="105"/>
          <w:sz w:val="13"/>
        </w:rPr>
        <w:t> </w:t>
      </w:r>
      <w:r>
        <w:rPr>
          <w:w w:val="105"/>
          <w:sz w:val="13"/>
        </w:rPr>
        <w:t>penalty</w:t>
      </w:r>
      <w:r>
        <w:rPr>
          <w:spacing w:val="5"/>
          <w:w w:val="105"/>
          <w:sz w:val="13"/>
        </w:rPr>
        <w:t> </w:t>
      </w:r>
      <w:r>
        <w:rPr>
          <w:w w:val="105"/>
          <w:sz w:val="13"/>
        </w:rPr>
        <w:t>is</w:t>
      </w:r>
      <w:r>
        <w:rPr>
          <w:spacing w:val="5"/>
          <w:w w:val="105"/>
          <w:sz w:val="13"/>
        </w:rPr>
        <w:t> </w:t>
      </w:r>
      <w:r>
        <w:rPr>
          <w:w w:val="105"/>
          <w:sz w:val="13"/>
        </w:rPr>
        <w:t>expressly</w:t>
      </w:r>
      <w:r>
        <w:rPr>
          <w:spacing w:val="4"/>
          <w:w w:val="105"/>
          <w:sz w:val="13"/>
        </w:rPr>
        <w:t> </w:t>
      </w:r>
      <w:r>
        <w:rPr>
          <w:w w:val="105"/>
          <w:sz w:val="13"/>
        </w:rPr>
        <w:t>provided’.</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7"/>
        </w:rPr>
      </w:pPr>
    </w:p>
    <w:p>
      <w:pPr>
        <w:spacing w:before="0"/>
        <w:ind w:left="604" w:right="575" w:firstLine="0"/>
        <w:jc w:val="center"/>
        <w:rPr>
          <w:b/>
          <w:sz w:val="24"/>
        </w:rPr>
      </w:pPr>
      <w:r>
        <w:rPr>
          <w:b/>
          <w:color w:val="658464"/>
          <w:w w:val="110"/>
          <w:sz w:val="24"/>
        </w:rPr>
        <w:t>271</w:t>
      </w:r>
    </w:p>
    <w:p>
      <w:pPr>
        <w:spacing w:after="0"/>
        <w:jc w:val="center"/>
        <w:rPr>
          <w:sz w:val="24"/>
        </w:rPr>
        <w:sectPr>
          <w:type w:val="continuous"/>
          <w:pgSz w:w="11910" w:h="16840"/>
          <w:pgMar w:top="300" w:bottom="280" w:left="0" w:right="0"/>
          <w:cols w:num="2" w:equalWidth="0">
            <w:col w:w="10249" w:space="40"/>
            <w:col w:w="1621"/>
          </w:cols>
        </w:sectPr>
      </w:pPr>
    </w:p>
    <w:p>
      <w:pPr>
        <w:pStyle w:val="BodyText"/>
        <w:spacing w:before="9"/>
        <w:rPr>
          <w:b/>
          <w:sz w:val="22"/>
        </w:rPr>
      </w:pPr>
    </w:p>
    <w:p>
      <w:pPr>
        <w:pStyle w:val="ListParagraph"/>
        <w:numPr>
          <w:ilvl w:val="1"/>
          <w:numId w:val="16"/>
        </w:numPr>
        <w:tabs>
          <w:tab w:pos="2380" w:val="left" w:leader="none"/>
          <w:tab w:pos="2381" w:val="left" w:leader="none"/>
        </w:tabs>
        <w:spacing w:line="242" w:lineRule="auto" w:before="92" w:after="0"/>
        <w:ind w:left="2381" w:right="1783" w:hanging="794"/>
        <w:jc w:val="left"/>
        <w:rPr>
          <w:sz w:val="21"/>
        </w:rPr>
      </w:pPr>
      <w:bookmarkStart w:name="_bookmark148" w:id="318"/>
      <w:bookmarkEnd w:id="318"/>
      <w:r>
        <w:rPr/>
      </w:r>
      <w:bookmarkStart w:name="_bookmark148" w:id="319"/>
      <w:bookmarkEnd w:id="319"/>
      <w:r>
        <w:rPr>
          <w:w w:val="105"/>
          <w:sz w:val="21"/>
        </w:rPr>
        <w:t>A</w:t>
      </w:r>
      <w:r>
        <w:rPr>
          <w:w w:val="105"/>
          <w:sz w:val="21"/>
        </w:rPr>
        <w:t>s</w:t>
      </w:r>
      <w:r>
        <w:rPr>
          <w:spacing w:val="-5"/>
          <w:w w:val="105"/>
          <w:sz w:val="21"/>
        </w:rPr>
        <w:t> </w:t>
      </w:r>
      <w:r>
        <w:rPr>
          <w:w w:val="105"/>
          <w:sz w:val="21"/>
        </w:rPr>
        <w:t>the</w:t>
      </w:r>
      <w:r>
        <w:rPr>
          <w:spacing w:val="-5"/>
          <w:w w:val="105"/>
          <w:sz w:val="21"/>
        </w:rPr>
        <w:t> </w:t>
      </w:r>
      <w:r>
        <w:rPr>
          <w:w w:val="105"/>
          <w:sz w:val="21"/>
        </w:rPr>
        <w:t>Sale</w:t>
      </w:r>
      <w:r>
        <w:rPr>
          <w:spacing w:val="-5"/>
          <w:w w:val="105"/>
          <w:sz w:val="21"/>
        </w:rPr>
        <w:t> </w:t>
      </w:r>
      <w:r>
        <w:rPr>
          <w:w w:val="105"/>
          <w:sz w:val="21"/>
        </w:rPr>
        <w:t>of</w:t>
      </w:r>
      <w:r>
        <w:rPr>
          <w:spacing w:val="-5"/>
          <w:w w:val="105"/>
          <w:sz w:val="21"/>
        </w:rPr>
        <w:t> </w:t>
      </w:r>
      <w:r>
        <w:rPr>
          <w:w w:val="105"/>
          <w:sz w:val="21"/>
        </w:rPr>
        <w:t>Land</w:t>
      </w:r>
      <w:r>
        <w:rPr>
          <w:spacing w:val="-5"/>
          <w:w w:val="105"/>
          <w:sz w:val="21"/>
        </w:rPr>
        <w:t> </w:t>
      </w:r>
      <w:r>
        <w:rPr>
          <w:w w:val="105"/>
          <w:sz w:val="21"/>
        </w:rPr>
        <w:t>Act</w:t>
      </w:r>
      <w:r>
        <w:rPr>
          <w:spacing w:val="-5"/>
          <w:w w:val="105"/>
          <w:sz w:val="21"/>
        </w:rPr>
        <w:t> </w:t>
      </w:r>
      <w:r>
        <w:rPr>
          <w:spacing w:val="-3"/>
          <w:w w:val="105"/>
          <w:sz w:val="21"/>
        </w:rPr>
        <w:t>already</w:t>
      </w:r>
      <w:r>
        <w:rPr>
          <w:spacing w:val="-5"/>
          <w:w w:val="105"/>
          <w:sz w:val="21"/>
        </w:rPr>
        <w:t> </w:t>
      </w:r>
      <w:r>
        <w:rPr>
          <w:w w:val="105"/>
          <w:sz w:val="21"/>
        </w:rPr>
        <w:t>provides</w:t>
      </w:r>
      <w:r>
        <w:rPr>
          <w:spacing w:val="-5"/>
          <w:w w:val="105"/>
          <w:sz w:val="21"/>
        </w:rPr>
        <w:t> </w:t>
      </w:r>
      <w:r>
        <w:rPr>
          <w:w w:val="105"/>
          <w:sz w:val="21"/>
        </w:rPr>
        <w:t>penalties</w:t>
      </w:r>
      <w:r>
        <w:rPr>
          <w:spacing w:val="-5"/>
          <w:w w:val="105"/>
          <w:sz w:val="21"/>
        </w:rPr>
        <w:t> </w:t>
      </w:r>
      <w:r>
        <w:rPr>
          <w:spacing w:val="-3"/>
          <w:w w:val="105"/>
          <w:sz w:val="21"/>
        </w:rPr>
        <w:t>for</w:t>
      </w:r>
      <w:r>
        <w:rPr>
          <w:spacing w:val="-5"/>
          <w:w w:val="105"/>
          <w:sz w:val="21"/>
        </w:rPr>
        <w:t> </w:t>
      </w:r>
      <w:r>
        <w:rPr>
          <w:spacing w:val="-4"/>
          <w:w w:val="105"/>
          <w:sz w:val="21"/>
        </w:rPr>
        <w:t>failure</w:t>
      </w:r>
      <w:r>
        <w:rPr>
          <w:spacing w:val="-5"/>
          <w:w w:val="105"/>
          <w:sz w:val="21"/>
        </w:rPr>
        <w:t> </w:t>
      </w:r>
      <w:r>
        <w:rPr>
          <w:spacing w:val="-3"/>
          <w:w w:val="105"/>
          <w:sz w:val="21"/>
        </w:rPr>
        <w:t>to</w:t>
      </w:r>
      <w:r>
        <w:rPr>
          <w:spacing w:val="-5"/>
          <w:w w:val="105"/>
          <w:sz w:val="21"/>
        </w:rPr>
        <w:t> </w:t>
      </w:r>
      <w:r>
        <w:rPr>
          <w:w w:val="105"/>
          <w:sz w:val="21"/>
        </w:rPr>
        <w:t>disclose</w:t>
      </w:r>
      <w:r>
        <w:rPr>
          <w:spacing w:val="-5"/>
          <w:w w:val="105"/>
          <w:sz w:val="21"/>
        </w:rPr>
        <w:t> </w:t>
      </w:r>
      <w:r>
        <w:rPr>
          <w:w w:val="105"/>
          <w:sz w:val="21"/>
        </w:rPr>
        <w:t>the</w:t>
      </w:r>
      <w:r>
        <w:rPr>
          <w:spacing w:val="-5"/>
          <w:w w:val="105"/>
          <w:sz w:val="21"/>
        </w:rPr>
        <w:t> </w:t>
      </w:r>
      <w:r>
        <w:rPr>
          <w:spacing w:val="-3"/>
          <w:w w:val="105"/>
          <w:sz w:val="21"/>
        </w:rPr>
        <w:t>Commission </w:t>
      </w:r>
      <w:r>
        <w:rPr>
          <w:w w:val="105"/>
          <w:sz w:val="21"/>
        </w:rPr>
        <w:t>does </w:t>
      </w:r>
      <w:r>
        <w:rPr>
          <w:spacing w:val="-2"/>
          <w:w w:val="105"/>
          <w:sz w:val="21"/>
        </w:rPr>
        <w:t>not </w:t>
      </w:r>
      <w:r>
        <w:rPr>
          <w:w w:val="105"/>
          <w:sz w:val="21"/>
        </w:rPr>
        <w:t>support </w:t>
      </w:r>
      <w:r>
        <w:rPr>
          <w:spacing w:val="-3"/>
          <w:w w:val="105"/>
          <w:sz w:val="21"/>
        </w:rPr>
        <w:t>duplicating </w:t>
      </w:r>
      <w:r>
        <w:rPr>
          <w:w w:val="105"/>
          <w:sz w:val="21"/>
        </w:rPr>
        <w:t>these penalties and </w:t>
      </w:r>
      <w:r>
        <w:rPr>
          <w:spacing w:val="-3"/>
          <w:w w:val="105"/>
          <w:sz w:val="21"/>
        </w:rPr>
        <w:t>provisions </w:t>
      </w:r>
      <w:r>
        <w:rPr>
          <w:w w:val="105"/>
          <w:sz w:val="21"/>
        </w:rPr>
        <w:t>in the new</w:t>
      </w:r>
      <w:r>
        <w:rPr>
          <w:spacing w:val="24"/>
          <w:w w:val="105"/>
          <w:sz w:val="21"/>
        </w:rPr>
        <w:t> </w:t>
      </w:r>
      <w:r>
        <w:rPr>
          <w:w w:val="105"/>
          <w:sz w:val="21"/>
        </w:rPr>
        <w:t>Act.</w:t>
      </w:r>
    </w:p>
    <w:p>
      <w:pPr>
        <w:pStyle w:val="BodyText"/>
        <w:spacing w:before="2"/>
        <w:rPr>
          <w:sz w:val="23"/>
        </w:rPr>
      </w:pPr>
      <w:r>
        <w:rPr/>
        <w:pict>
          <v:group style="position:absolute;margin-left:62.362202pt;margin-top:16.105152pt;width:479.1pt;height:238.4pt;mso-position-horizontal-relative:page;mso-position-vertical-relative:paragraph;z-index:11216;mso-wrap-distance-left:0;mso-wrap-distance-right:0" coordorigin="1247,322" coordsize="9582,4768">
            <v:rect style="position:absolute;left:1587;top:322;width:8731;height:4768" filled="true" fillcolor="#dbe0dd" stroked="false">
              <v:fill type="solid"/>
            </v:rect>
            <v:line style="position:absolute" from="1247,1069" to="10828,1069" stroked="true" strokeweight="2.5pt" strokecolor="#ffffff">
              <v:stroke dashstyle="solid"/>
            </v:line>
            <v:shape style="position:absolute;left:1587;top:1094;width:8731;height:3996" type="#_x0000_t202" filled="true" fillcolor="#dbe0dd" stroked="false">
              <v:textbox inset="0,0,0,0">
                <w:txbxContent>
                  <w:p>
                    <w:pPr>
                      <w:numPr>
                        <w:ilvl w:val="0"/>
                        <w:numId w:val="197"/>
                      </w:numPr>
                      <w:tabs>
                        <w:tab w:pos="793" w:val="left" w:leader="none"/>
                        <w:tab w:pos="794" w:val="left" w:leader="none"/>
                      </w:tabs>
                      <w:spacing w:line="242" w:lineRule="auto" w:before="208"/>
                      <w:ind w:left="793" w:right="439" w:hanging="567"/>
                      <w:jc w:val="left"/>
                      <w:rPr>
                        <w:sz w:val="21"/>
                      </w:rPr>
                    </w:pPr>
                    <w:r>
                      <w:rPr>
                        <w:w w:val="115"/>
                        <w:sz w:val="21"/>
                      </w:rPr>
                      <w:t>The Act should state that purchasers should be notified of </w:t>
                    </w:r>
                    <w:r>
                      <w:rPr>
                        <w:spacing w:val="-2"/>
                        <w:w w:val="115"/>
                        <w:sz w:val="21"/>
                      </w:rPr>
                      <w:t>any </w:t>
                    </w:r>
                    <w:r>
                      <w:rPr>
                        <w:w w:val="115"/>
                        <w:sz w:val="21"/>
                      </w:rPr>
                      <w:t>legal action commenced or underway at the time of the sale, or orders made under the Act.</w:t>
                    </w:r>
                    <w:r>
                      <w:rPr>
                        <w:spacing w:val="-5"/>
                        <w:w w:val="115"/>
                        <w:sz w:val="21"/>
                      </w:rPr>
                      <w:t> </w:t>
                    </w:r>
                    <w:r>
                      <w:rPr>
                        <w:w w:val="115"/>
                        <w:sz w:val="21"/>
                      </w:rPr>
                      <w:t>The</w:t>
                    </w:r>
                    <w:r>
                      <w:rPr>
                        <w:spacing w:val="-5"/>
                        <w:w w:val="115"/>
                        <w:sz w:val="21"/>
                      </w:rPr>
                      <w:t> </w:t>
                    </w:r>
                    <w:r>
                      <w:rPr>
                        <w:w w:val="115"/>
                        <w:sz w:val="21"/>
                      </w:rPr>
                      <w:t>Act</w:t>
                    </w:r>
                    <w:r>
                      <w:rPr>
                        <w:spacing w:val="-5"/>
                        <w:w w:val="115"/>
                        <w:sz w:val="21"/>
                      </w:rPr>
                      <w:t> </w:t>
                    </w:r>
                    <w:r>
                      <w:rPr>
                        <w:w w:val="115"/>
                        <w:sz w:val="21"/>
                      </w:rPr>
                      <w:t>should</w:t>
                    </w:r>
                    <w:r>
                      <w:rPr>
                        <w:spacing w:val="-5"/>
                        <w:w w:val="115"/>
                        <w:sz w:val="21"/>
                      </w:rPr>
                      <w:t> </w:t>
                    </w:r>
                    <w:r>
                      <w:rPr>
                        <w:w w:val="115"/>
                        <w:sz w:val="21"/>
                      </w:rPr>
                      <w:t>further</w:t>
                    </w:r>
                    <w:r>
                      <w:rPr>
                        <w:spacing w:val="-5"/>
                        <w:w w:val="115"/>
                        <w:sz w:val="21"/>
                      </w:rPr>
                      <w:t> </w:t>
                    </w:r>
                    <w:r>
                      <w:rPr>
                        <w:w w:val="115"/>
                        <w:sz w:val="21"/>
                      </w:rPr>
                      <w:t>state</w:t>
                    </w:r>
                    <w:r>
                      <w:rPr>
                        <w:spacing w:val="-5"/>
                        <w:w w:val="115"/>
                        <w:sz w:val="21"/>
                      </w:rPr>
                      <w:t> </w:t>
                    </w:r>
                    <w:r>
                      <w:rPr>
                        <w:w w:val="115"/>
                        <w:sz w:val="21"/>
                      </w:rPr>
                      <w:t>that</w:t>
                    </w:r>
                    <w:r>
                      <w:rPr>
                        <w:spacing w:val="-5"/>
                        <w:w w:val="115"/>
                        <w:sz w:val="21"/>
                      </w:rPr>
                      <w:t> </w:t>
                    </w:r>
                    <w:r>
                      <w:rPr>
                        <w:w w:val="115"/>
                        <w:sz w:val="21"/>
                      </w:rPr>
                      <w:t>copies</w:t>
                    </w:r>
                    <w:r>
                      <w:rPr>
                        <w:spacing w:val="-5"/>
                        <w:w w:val="115"/>
                        <w:sz w:val="21"/>
                      </w:rPr>
                      <w:t> </w:t>
                    </w:r>
                    <w:r>
                      <w:rPr>
                        <w:w w:val="115"/>
                        <w:sz w:val="21"/>
                      </w:rPr>
                      <w:t>of</w:t>
                    </w:r>
                    <w:r>
                      <w:rPr>
                        <w:spacing w:val="-5"/>
                        <w:w w:val="115"/>
                        <w:sz w:val="21"/>
                      </w:rPr>
                      <w:t> </w:t>
                    </w:r>
                    <w:r>
                      <w:rPr>
                        <w:w w:val="115"/>
                        <w:sz w:val="21"/>
                      </w:rPr>
                      <w:t>the</w:t>
                    </w:r>
                    <w:r>
                      <w:rPr>
                        <w:spacing w:val="-5"/>
                        <w:w w:val="115"/>
                        <w:sz w:val="21"/>
                      </w:rPr>
                      <w:t> </w:t>
                    </w:r>
                    <w:r>
                      <w:rPr>
                        <w:w w:val="115"/>
                        <w:sz w:val="21"/>
                      </w:rPr>
                      <w:t>application</w:t>
                    </w:r>
                    <w:r>
                      <w:rPr>
                        <w:spacing w:val="-5"/>
                        <w:w w:val="115"/>
                        <w:sz w:val="21"/>
                      </w:rPr>
                      <w:t> </w:t>
                    </w:r>
                    <w:r>
                      <w:rPr>
                        <w:w w:val="115"/>
                        <w:sz w:val="21"/>
                      </w:rPr>
                      <w:t>or</w:t>
                    </w:r>
                    <w:r>
                      <w:rPr>
                        <w:spacing w:val="-5"/>
                        <w:w w:val="115"/>
                        <w:sz w:val="21"/>
                      </w:rPr>
                      <w:t> </w:t>
                    </w:r>
                    <w:r>
                      <w:rPr>
                        <w:w w:val="115"/>
                        <w:sz w:val="21"/>
                      </w:rPr>
                      <w:t>order</w:t>
                    </w:r>
                    <w:r>
                      <w:rPr>
                        <w:spacing w:val="-5"/>
                        <w:w w:val="115"/>
                        <w:sz w:val="21"/>
                      </w:rPr>
                      <w:t> </w:t>
                    </w:r>
                    <w:r>
                      <w:rPr>
                        <w:w w:val="115"/>
                        <w:sz w:val="21"/>
                      </w:rPr>
                      <w:t>must be provided with a Section 32 </w:t>
                    </w:r>
                    <w:r>
                      <w:rPr>
                        <w:spacing w:val="-3"/>
                        <w:w w:val="115"/>
                        <w:sz w:val="21"/>
                      </w:rPr>
                      <w:t>Vendor</w:t>
                    </w:r>
                    <w:r>
                      <w:rPr>
                        <w:spacing w:val="-1"/>
                        <w:w w:val="115"/>
                        <w:sz w:val="21"/>
                      </w:rPr>
                      <w:t> </w:t>
                    </w:r>
                    <w:r>
                      <w:rPr>
                        <w:w w:val="115"/>
                        <w:sz w:val="21"/>
                      </w:rPr>
                      <w:t>Statement.</w:t>
                    </w:r>
                  </w:p>
                  <w:p>
                    <w:pPr>
                      <w:numPr>
                        <w:ilvl w:val="0"/>
                        <w:numId w:val="197"/>
                      </w:numPr>
                      <w:tabs>
                        <w:tab w:pos="793" w:val="left" w:leader="none"/>
                        <w:tab w:pos="794" w:val="left" w:leader="none"/>
                      </w:tabs>
                      <w:spacing w:line="242" w:lineRule="auto" w:before="121"/>
                      <w:ind w:left="793" w:right="430" w:hanging="567"/>
                      <w:jc w:val="left"/>
                      <w:rPr>
                        <w:sz w:val="21"/>
                      </w:rPr>
                    </w:pPr>
                    <w:r>
                      <w:rPr>
                        <w:w w:val="115"/>
                        <w:sz w:val="21"/>
                      </w:rPr>
                      <w:t>The</w:t>
                    </w:r>
                    <w:r>
                      <w:rPr>
                        <w:spacing w:val="-24"/>
                        <w:w w:val="115"/>
                        <w:sz w:val="21"/>
                      </w:rPr>
                      <w:t> </w:t>
                    </w:r>
                    <w:r>
                      <w:rPr>
                        <w:w w:val="115"/>
                        <w:sz w:val="21"/>
                      </w:rPr>
                      <w:t>Due</w:t>
                    </w:r>
                    <w:r>
                      <w:rPr>
                        <w:spacing w:val="-23"/>
                        <w:w w:val="115"/>
                        <w:sz w:val="21"/>
                      </w:rPr>
                      <w:t> </w:t>
                    </w:r>
                    <w:r>
                      <w:rPr>
                        <w:w w:val="115"/>
                        <w:sz w:val="21"/>
                      </w:rPr>
                      <w:t>Diligence</w:t>
                    </w:r>
                    <w:r>
                      <w:rPr>
                        <w:spacing w:val="-23"/>
                        <w:w w:val="115"/>
                        <w:sz w:val="21"/>
                      </w:rPr>
                      <w:t> </w:t>
                    </w:r>
                    <w:r>
                      <w:rPr>
                        <w:w w:val="115"/>
                        <w:sz w:val="21"/>
                      </w:rPr>
                      <w:t>Checklist</w:t>
                    </w:r>
                    <w:r>
                      <w:rPr>
                        <w:spacing w:val="-24"/>
                        <w:w w:val="115"/>
                        <w:sz w:val="21"/>
                      </w:rPr>
                      <w:t> </w:t>
                    </w:r>
                    <w:r>
                      <w:rPr>
                        <w:w w:val="115"/>
                        <w:sz w:val="21"/>
                      </w:rPr>
                      <w:t>under</w:t>
                    </w:r>
                    <w:r>
                      <w:rPr>
                        <w:spacing w:val="-23"/>
                        <w:w w:val="115"/>
                        <w:sz w:val="21"/>
                      </w:rPr>
                      <w:t> </w:t>
                    </w:r>
                    <w:r>
                      <w:rPr>
                        <w:w w:val="115"/>
                        <w:sz w:val="21"/>
                      </w:rPr>
                      <w:t>Division</w:t>
                    </w:r>
                    <w:r>
                      <w:rPr>
                        <w:spacing w:val="-23"/>
                        <w:w w:val="115"/>
                        <w:sz w:val="21"/>
                      </w:rPr>
                      <w:t> </w:t>
                    </w:r>
                    <w:r>
                      <w:rPr>
                        <w:w w:val="115"/>
                        <w:sz w:val="21"/>
                      </w:rPr>
                      <w:t>2A</w:t>
                    </w:r>
                    <w:r>
                      <w:rPr>
                        <w:spacing w:val="-23"/>
                        <w:w w:val="115"/>
                        <w:sz w:val="21"/>
                      </w:rPr>
                      <w:t> </w:t>
                    </w:r>
                    <w:r>
                      <w:rPr>
                        <w:w w:val="115"/>
                        <w:sz w:val="21"/>
                      </w:rPr>
                      <w:t>of</w:t>
                    </w:r>
                    <w:r>
                      <w:rPr>
                        <w:spacing w:val="-24"/>
                        <w:w w:val="115"/>
                        <w:sz w:val="21"/>
                      </w:rPr>
                      <w:t> </w:t>
                    </w:r>
                    <w:r>
                      <w:rPr>
                        <w:w w:val="115"/>
                        <w:sz w:val="21"/>
                      </w:rPr>
                      <w:t>the</w:t>
                    </w:r>
                    <w:r>
                      <w:rPr>
                        <w:spacing w:val="-23"/>
                        <w:w w:val="115"/>
                        <w:sz w:val="21"/>
                      </w:rPr>
                      <w:t> </w:t>
                    </w:r>
                    <w:r>
                      <w:rPr>
                        <w:rFonts w:ascii="Lucida Sans"/>
                        <w:i/>
                        <w:w w:val="115"/>
                        <w:sz w:val="21"/>
                      </w:rPr>
                      <w:t>Sale</w:t>
                    </w:r>
                    <w:r>
                      <w:rPr>
                        <w:rFonts w:ascii="Lucida Sans"/>
                        <w:i/>
                        <w:spacing w:val="-45"/>
                        <w:w w:val="115"/>
                        <w:sz w:val="21"/>
                      </w:rPr>
                      <w:t> </w:t>
                    </w:r>
                    <w:r>
                      <w:rPr>
                        <w:rFonts w:ascii="Lucida Sans"/>
                        <w:i/>
                        <w:w w:val="115"/>
                        <w:sz w:val="21"/>
                      </w:rPr>
                      <w:t>of</w:t>
                    </w:r>
                    <w:r>
                      <w:rPr>
                        <w:rFonts w:ascii="Lucida Sans"/>
                        <w:i/>
                        <w:spacing w:val="-45"/>
                        <w:w w:val="115"/>
                        <w:sz w:val="21"/>
                      </w:rPr>
                      <w:t> </w:t>
                    </w:r>
                    <w:r>
                      <w:rPr>
                        <w:rFonts w:ascii="Lucida Sans"/>
                        <w:i/>
                        <w:w w:val="115"/>
                        <w:sz w:val="21"/>
                      </w:rPr>
                      <w:t>Land</w:t>
                    </w:r>
                    <w:r>
                      <w:rPr>
                        <w:rFonts w:ascii="Lucida Sans"/>
                        <w:i/>
                        <w:spacing w:val="-45"/>
                        <w:w w:val="115"/>
                        <w:sz w:val="21"/>
                      </w:rPr>
                      <w:t> </w:t>
                    </w:r>
                    <w:r>
                      <w:rPr>
                        <w:rFonts w:ascii="Lucida Sans"/>
                        <w:i/>
                        <w:w w:val="115"/>
                        <w:sz w:val="21"/>
                      </w:rPr>
                      <w:t>Act</w:t>
                    </w:r>
                    <w:r>
                      <w:rPr>
                        <w:rFonts w:ascii="Lucida Sans"/>
                        <w:i/>
                        <w:spacing w:val="-46"/>
                        <w:w w:val="115"/>
                        <w:sz w:val="21"/>
                      </w:rPr>
                      <w:t> </w:t>
                    </w:r>
                    <w:r>
                      <w:rPr>
                        <w:rFonts w:ascii="Lucida Sans"/>
                        <w:i/>
                        <w:spacing w:val="-3"/>
                        <w:w w:val="115"/>
                        <w:sz w:val="21"/>
                      </w:rPr>
                      <w:t>1962 </w:t>
                    </w:r>
                    <w:r>
                      <w:rPr>
                        <w:w w:val="115"/>
                        <w:sz w:val="21"/>
                      </w:rPr>
                      <w:t>(Vic)</w:t>
                    </w:r>
                    <w:r>
                      <w:rPr>
                        <w:spacing w:val="-8"/>
                        <w:w w:val="115"/>
                        <w:sz w:val="21"/>
                      </w:rPr>
                      <w:t> </w:t>
                    </w:r>
                    <w:r>
                      <w:rPr>
                        <w:w w:val="115"/>
                        <w:sz w:val="21"/>
                      </w:rPr>
                      <w:t>should</w:t>
                    </w:r>
                    <w:r>
                      <w:rPr>
                        <w:spacing w:val="-7"/>
                        <w:w w:val="115"/>
                        <w:sz w:val="21"/>
                      </w:rPr>
                      <w:t> </w:t>
                    </w:r>
                    <w:r>
                      <w:rPr>
                        <w:w w:val="115"/>
                        <w:sz w:val="21"/>
                      </w:rPr>
                      <w:t>be</w:t>
                    </w:r>
                    <w:r>
                      <w:rPr>
                        <w:spacing w:val="-7"/>
                        <w:w w:val="115"/>
                        <w:sz w:val="21"/>
                      </w:rPr>
                      <w:t> </w:t>
                    </w:r>
                    <w:r>
                      <w:rPr>
                        <w:w w:val="115"/>
                        <w:sz w:val="21"/>
                      </w:rPr>
                      <w:t>amended</w:t>
                    </w:r>
                    <w:r>
                      <w:rPr>
                        <w:spacing w:val="-7"/>
                        <w:w w:val="115"/>
                        <w:sz w:val="21"/>
                      </w:rPr>
                      <w:t> </w:t>
                    </w:r>
                    <w:r>
                      <w:rPr>
                        <w:w w:val="115"/>
                        <w:sz w:val="21"/>
                      </w:rPr>
                      <w:t>by</w:t>
                    </w:r>
                    <w:r>
                      <w:rPr>
                        <w:spacing w:val="-7"/>
                        <w:w w:val="115"/>
                        <w:sz w:val="21"/>
                      </w:rPr>
                      <w:t> </w:t>
                    </w:r>
                    <w:r>
                      <w:rPr>
                        <w:w w:val="115"/>
                        <w:sz w:val="21"/>
                      </w:rPr>
                      <w:t>Consumer</w:t>
                    </w:r>
                    <w:r>
                      <w:rPr>
                        <w:spacing w:val="-7"/>
                        <w:w w:val="115"/>
                        <w:sz w:val="21"/>
                      </w:rPr>
                      <w:t> </w:t>
                    </w:r>
                    <w:r>
                      <w:rPr>
                        <w:w w:val="115"/>
                        <w:sz w:val="21"/>
                      </w:rPr>
                      <w:t>Affairs</w:t>
                    </w:r>
                    <w:r>
                      <w:rPr>
                        <w:spacing w:val="-7"/>
                        <w:w w:val="115"/>
                        <w:sz w:val="21"/>
                      </w:rPr>
                      <w:t> </w:t>
                    </w:r>
                    <w:r>
                      <w:rPr>
                        <w:w w:val="115"/>
                        <w:sz w:val="21"/>
                      </w:rPr>
                      <w:t>Victoria</w:t>
                    </w:r>
                    <w:r>
                      <w:rPr>
                        <w:spacing w:val="-7"/>
                        <w:w w:val="115"/>
                        <w:sz w:val="21"/>
                      </w:rPr>
                      <w:t> </w:t>
                    </w:r>
                    <w:r>
                      <w:rPr>
                        <w:w w:val="115"/>
                        <w:sz w:val="21"/>
                      </w:rPr>
                      <w:t>to</w:t>
                    </w:r>
                    <w:r>
                      <w:rPr>
                        <w:spacing w:val="-7"/>
                        <w:w w:val="115"/>
                        <w:sz w:val="21"/>
                      </w:rPr>
                      <w:t> </w:t>
                    </w:r>
                    <w:r>
                      <w:rPr>
                        <w:w w:val="115"/>
                        <w:sz w:val="21"/>
                      </w:rPr>
                      <w:t>include</w:t>
                    </w:r>
                    <w:r>
                      <w:rPr>
                        <w:spacing w:val="-7"/>
                        <w:w w:val="115"/>
                        <w:sz w:val="21"/>
                      </w:rPr>
                      <w:t> </w:t>
                    </w:r>
                    <w:r>
                      <w:rPr>
                        <w:w w:val="115"/>
                        <w:sz w:val="21"/>
                      </w:rPr>
                      <w:t>information about the effect on new owners of legal action and orders made under the proposed Act.</w:t>
                    </w:r>
                  </w:p>
                  <w:p>
                    <w:pPr>
                      <w:numPr>
                        <w:ilvl w:val="0"/>
                        <w:numId w:val="197"/>
                      </w:numPr>
                      <w:tabs>
                        <w:tab w:pos="793" w:val="left" w:leader="none"/>
                        <w:tab w:pos="794" w:val="left" w:leader="none"/>
                      </w:tabs>
                      <w:spacing w:line="242" w:lineRule="auto" w:before="122"/>
                      <w:ind w:left="793" w:right="530" w:hanging="567"/>
                      <w:jc w:val="left"/>
                      <w:rPr>
                        <w:sz w:val="21"/>
                      </w:rPr>
                    </w:pPr>
                    <w:r>
                      <w:rPr>
                        <w:w w:val="110"/>
                        <w:sz w:val="21"/>
                      </w:rPr>
                      <w:t>The </w:t>
                    </w:r>
                    <w:r>
                      <w:rPr>
                        <w:rFonts w:ascii="Lucida Sans"/>
                        <w:i/>
                        <w:w w:val="110"/>
                        <w:sz w:val="21"/>
                      </w:rPr>
                      <w:t>Sale of Land Act </w:t>
                    </w:r>
                    <w:r>
                      <w:rPr>
                        <w:rFonts w:ascii="Lucida Sans"/>
                        <w:i/>
                        <w:spacing w:val="-3"/>
                        <w:w w:val="110"/>
                        <w:sz w:val="21"/>
                      </w:rPr>
                      <w:t>1962 </w:t>
                    </w:r>
                    <w:r>
                      <w:rPr>
                        <w:w w:val="110"/>
                        <w:sz w:val="21"/>
                      </w:rPr>
                      <w:t>(Vic) should be amended to include a provision under Section 32 that requires disclosure of legal action under the proposed Act at the time of sale, or if legal action has concluded, disclosure of incomplete or ongoing orders. The </w:t>
                    </w:r>
                    <w:r>
                      <w:rPr>
                        <w:rFonts w:ascii="Lucida Sans"/>
                        <w:i/>
                        <w:w w:val="110"/>
                        <w:sz w:val="21"/>
                      </w:rPr>
                      <w:t>Sale of Land Act </w:t>
                    </w:r>
                    <w:r>
                      <w:rPr>
                        <w:rFonts w:ascii="Lucida Sans"/>
                        <w:i/>
                        <w:spacing w:val="-3"/>
                        <w:w w:val="110"/>
                        <w:sz w:val="21"/>
                      </w:rPr>
                      <w:t>1962 </w:t>
                    </w:r>
                    <w:r>
                      <w:rPr>
                        <w:w w:val="110"/>
                        <w:sz w:val="21"/>
                      </w:rPr>
                      <w:t>(Vic) should also stipulate</w:t>
                    </w:r>
                    <w:r>
                      <w:rPr>
                        <w:spacing w:val="10"/>
                        <w:w w:val="110"/>
                        <w:sz w:val="21"/>
                      </w:rPr>
                      <w:t> </w:t>
                    </w:r>
                    <w:r>
                      <w:rPr>
                        <w:w w:val="110"/>
                        <w:sz w:val="21"/>
                      </w:rPr>
                      <w:t>that</w:t>
                    </w:r>
                    <w:r>
                      <w:rPr>
                        <w:spacing w:val="10"/>
                        <w:w w:val="110"/>
                        <w:sz w:val="21"/>
                      </w:rPr>
                      <w:t> </w:t>
                    </w:r>
                    <w:r>
                      <w:rPr>
                        <w:w w:val="110"/>
                        <w:sz w:val="21"/>
                      </w:rPr>
                      <w:t>copies</w:t>
                    </w:r>
                    <w:r>
                      <w:rPr>
                        <w:spacing w:val="11"/>
                        <w:w w:val="110"/>
                        <w:sz w:val="21"/>
                      </w:rPr>
                      <w:t> </w:t>
                    </w:r>
                    <w:r>
                      <w:rPr>
                        <w:w w:val="110"/>
                        <w:sz w:val="21"/>
                      </w:rPr>
                      <w:t>of</w:t>
                    </w:r>
                    <w:r>
                      <w:rPr>
                        <w:spacing w:val="10"/>
                        <w:w w:val="110"/>
                        <w:sz w:val="21"/>
                      </w:rPr>
                      <w:t> </w:t>
                    </w:r>
                    <w:r>
                      <w:rPr>
                        <w:w w:val="110"/>
                        <w:sz w:val="21"/>
                      </w:rPr>
                      <w:t>the</w:t>
                    </w:r>
                    <w:r>
                      <w:rPr>
                        <w:spacing w:val="10"/>
                        <w:w w:val="110"/>
                        <w:sz w:val="21"/>
                      </w:rPr>
                      <w:t> </w:t>
                    </w:r>
                    <w:r>
                      <w:rPr>
                        <w:w w:val="110"/>
                        <w:sz w:val="21"/>
                      </w:rPr>
                      <w:t>application</w:t>
                    </w:r>
                    <w:r>
                      <w:rPr>
                        <w:spacing w:val="11"/>
                        <w:w w:val="110"/>
                        <w:sz w:val="21"/>
                      </w:rPr>
                      <w:t> </w:t>
                    </w:r>
                    <w:r>
                      <w:rPr>
                        <w:w w:val="110"/>
                        <w:sz w:val="21"/>
                      </w:rPr>
                      <w:t>and</w:t>
                    </w:r>
                    <w:r>
                      <w:rPr>
                        <w:spacing w:val="10"/>
                        <w:w w:val="110"/>
                        <w:sz w:val="21"/>
                      </w:rPr>
                      <w:t> </w:t>
                    </w:r>
                    <w:r>
                      <w:rPr>
                        <w:w w:val="110"/>
                        <w:sz w:val="21"/>
                      </w:rPr>
                      <w:t>order</w:t>
                    </w:r>
                    <w:r>
                      <w:rPr>
                        <w:spacing w:val="11"/>
                        <w:w w:val="110"/>
                        <w:sz w:val="21"/>
                      </w:rPr>
                      <w:t> </w:t>
                    </w:r>
                    <w:r>
                      <w:rPr>
                        <w:w w:val="110"/>
                        <w:sz w:val="21"/>
                      </w:rPr>
                      <w:t>are</w:t>
                    </w:r>
                    <w:r>
                      <w:rPr>
                        <w:spacing w:val="10"/>
                        <w:w w:val="110"/>
                        <w:sz w:val="21"/>
                      </w:rPr>
                      <w:t> </w:t>
                    </w:r>
                    <w:r>
                      <w:rPr>
                        <w:w w:val="110"/>
                        <w:sz w:val="21"/>
                      </w:rPr>
                      <w:t>to</w:t>
                    </w:r>
                    <w:r>
                      <w:rPr>
                        <w:spacing w:val="10"/>
                        <w:w w:val="110"/>
                        <w:sz w:val="21"/>
                      </w:rPr>
                      <w:t> </w:t>
                    </w:r>
                    <w:r>
                      <w:rPr>
                        <w:w w:val="110"/>
                        <w:sz w:val="21"/>
                      </w:rPr>
                      <w:t>be</w:t>
                    </w:r>
                    <w:r>
                      <w:rPr>
                        <w:spacing w:val="11"/>
                        <w:w w:val="110"/>
                        <w:sz w:val="21"/>
                      </w:rPr>
                      <w:t> </w:t>
                    </w:r>
                    <w:r>
                      <w:rPr>
                        <w:w w:val="110"/>
                        <w:sz w:val="21"/>
                      </w:rPr>
                      <w:t>provided.</w:t>
                    </w:r>
                  </w:p>
                </w:txbxContent>
              </v:textbox>
              <v:fill type="solid"/>
              <w10:wrap type="none"/>
            </v:shape>
            <v:shape style="position:absolute;left:1587;top:322;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Recommendations</w:t>
                    </w:r>
                  </w:p>
                </w:txbxContent>
              </v:textbox>
              <v:fill type="solid"/>
              <w10:wrap type="none"/>
            </v:shape>
            <w10:wrap type="topAndBottom"/>
          </v:group>
        </w:pict>
      </w:r>
    </w:p>
    <w:p>
      <w:pPr>
        <w:pStyle w:val="BodyText"/>
        <w:rPr>
          <w:sz w:val="20"/>
        </w:rPr>
      </w:pPr>
    </w:p>
    <w:p>
      <w:pPr>
        <w:pStyle w:val="BodyText"/>
        <w:rPr>
          <w:sz w:val="22"/>
        </w:rPr>
      </w:pPr>
    </w:p>
    <w:p>
      <w:pPr>
        <w:pStyle w:val="Heading5"/>
        <w:spacing w:before="96"/>
      </w:pPr>
      <w:r>
        <w:rPr>
          <w:w w:val="115"/>
        </w:rPr>
        <w:t>Joining new parties to</w:t>
      </w:r>
      <w:r>
        <w:rPr>
          <w:spacing w:val="-40"/>
          <w:w w:val="115"/>
        </w:rPr>
        <w:t> </w:t>
      </w:r>
      <w:r>
        <w:rPr>
          <w:w w:val="115"/>
        </w:rPr>
        <w:t>proceedings</w:t>
      </w:r>
    </w:p>
    <w:p>
      <w:pPr>
        <w:pStyle w:val="ListParagraph"/>
        <w:numPr>
          <w:ilvl w:val="1"/>
          <w:numId w:val="16"/>
        </w:numPr>
        <w:tabs>
          <w:tab w:pos="2382" w:val="left" w:leader="none"/>
        </w:tabs>
        <w:spacing w:line="242" w:lineRule="auto" w:before="137" w:after="0"/>
        <w:ind w:left="2381" w:right="2259" w:hanging="794"/>
        <w:jc w:val="both"/>
        <w:rPr>
          <w:sz w:val="21"/>
        </w:rPr>
      </w:pPr>
      <w:r>
        <w:rPr>
          <w:w w:val="105"/>
          <w:sz w:val="21"/>
        </w:rPr>
        <w:t>There is </w:t>
      </w:r>
      <w:r>
        <w:rPr>
          <w:spacing w:val="-3"/>
          <w:w w:val="105"/>
          <w:sz w:val="21"/>
        </w:rPr>
        <w:t>potential for </w:t>
      </w:r>
      <w:r>
        <w:rPr>
          <w:w w:val="105"/>
          <w:sz w:val="21"/>
        </w:rPr>
        <w:t>a </w:t>
      </w:r>
      <w:r>
        <w:rPr>
          <w:spacing w:val="-4"/>
          <w:w w:val="105"/>
          <w:sz w:val="21"/>
        </w:rPr>
        <w:t>mistrial</w:t>
      </w:r>
      <w:r>
        <w:rPr>
          <w:spacing w:val="-4"/>
          <w:w w:val="105"/>
          <w:position w:val="7"/>
          <w:sz w:val="12"/>
        </w:rPr>
        <w:t>116 </w:t>
      </w:r>
      <w:r>
        <w:rPr>
          <w:w w:val="105"/>
          <w:sz w:val="21"/>
        </w:rPr>
        <w:t>where the ownership of a tree </w:t>
      </w:r>
      <w:r>
        <w:rPr>
          <w:spacing w:val="-3"/>
          <w:w w:val="105"/>
          <w:sz w:val="21"/>
        </w:rPr>
        <w:t>changes </w:t>
      </w:r>
      <w:r>
        <w:rPr>
          <w:w w:val="105"/>
          <w:sz w:val="21"/>
        </w:rPr>
        <w:t>part </w:t>
      </w:r>
      <w:r>
        <w:rPr>
          <w:spacing w:val="-3"/>
          <w:w w:val="105"/>
          <w:sz w:val="21"/>
        </w:rPr>
        <w:t>way through </w:t>
      </w:r>
      <w:r>
        <w:rPr>
          <w:w w:val="105"/>
          <w:sz w:val="21"/>
        </w:rPr>
        <w:t>legal </w:t>
      </w:r>
      <w:r>
        <w:rPr>
          <w:spacing w:val="-3"/>
          <w:w w:val="105"/>
          <w:sz w:val="21"/>
        </w:rPr>
        <w:t>proceedings, resulting </w:t>
      </w:r>
      <w:r>
        <w:rPr>
          <w:w w:val="105"/>
          <w:sz w:val="21"/>
        </w:rPr>
        <w:t>in the wrong party being </w:t>
      </w:r>
      <w:r>
        <w:rPr>
          <w:spacing w:val="-3"/>
          <w:w w:val="105"/>
          <w:sz w:val="21"/>
        </w:rPr>
        <w:t>sued. </w:t>
      </w:r>
      <w:r>
        <w:rPr>
          <w:w w:val="105"/>
          <w:sz w:val="21"/>
        </w:rPr>
        <w:t>This </w:t>
      </w:r>
      <w:r>
        <w:rPr>
          <w:spacing w:val="-3"/>
          <w:w w:val="105"/>
          <w:sz w:val="21"/>
        </w:rPr>
        <w:t>occurred </w:t>
      </w:r>
      <w:r>
        <w:rPr>
          <w:w w:val="105"/>
          <w:sz w:val="21"/>
        </w:rPr>
        <w:t>in a </w:t>
      </w:r>
      <w:r>
        <w:rPr>
          <w:spacing w:val="-3"/>
          <w:w w:val="105"/>
          <w:sz w:val="21"/>
        </w:rPr>
        <w:t>Queensland </w:t>
      </w:r>
      <w:r>
        <w:rPr>
          <w:w w:val="105"/>
          <w:sz w:val="21"/>
        </w:rPr>
        <w:t>case where the tree </w:t>
      </w:r>
      <w:r>
        <w:rPr>
          <w:spacing w:val="-4"/>
          <w:w w:val="105"/>
          <w:sz w:val="21"/>
        </w:rPr>
        <w:t>owner, </w:t>
      </w:r>
      <w:r>
        <w:rPr>
          <w:w w:val="105"/>
          <w:sz w:val="21"/>
        </w:rPr>
        <w:t>a </w:t>
      </w:r>
      <w:r>
        <w:rPr>
          <w:spacing w:val="-3"/>
          <w:w w:val="105"/>
          <w:sz w:val="21"/>
        </w:rPr>
        <w:t>corporation, </w:t>
      </w:r>
      <w:r>
        <w:rPr>
          <w:w w:val="105"/>
          <w:sz w:val="21"/>
        </w:rPr>
        <w:t>sold its </w:t>
      </w:r>
      <w:r>
        <w:rPr>
          <w:spacing w:val="-3"/>
          <w:w w:val="105"/>
          <w:sz w:val="21"/>
        </w:rPr>
        <w:t>land to</w:t>
      </w:r>
      <w:r>
        <w:rPr>
          <w:spacing w:val="-34"/>
          <w:w w:val="105"/>
          <w:sz w:val="21"/>
        </w:rPr>
        <w:t> </w:t>
      </w:r>
      <w:r>
        <w:rPr>
          <w:spacing w:val="-3"/>
          <w:w w:val="105"/>
          <w:sz w:val="21"/>
        </w:rPr>
        <w:t>another</w:t>
      </w:r>
    </w:p>
    <w:p>
      <w:pPr>
        <w:pStyle w:val="BodyText"/>
        <w:spacing w:line="242" w:lineRule="auto" w:before="3"/>
        <w:ind w:left="2381" w:right="1636"/>
      </w:pPr>
      <w:r>
        <w:rPr>
          <w:spacing w:val="-3"/>
          <w:w w:val="105"/>
        </w:rPr>
        <w:t>corporation </w:t>
      </w:r>
      <w:r>
        <w:rPr>
          <w:w w:val="105"/>
        </w:rPr>
        <w:t>in the time between the </w:t>
      </w:r>
      <w:r>
        <w:rPr>
          <w:spacing w:val="-3"/>
          <w:w w:val="105"/>
        </w:rPr>
        <w:t>commencement </w:t>
      </w:r>
      <w:r>
        <w:rPr>
          <w:w w:val="105"/>
        </w:rPr>
        <w:t>of the matter and the </w:t>
      </w:r>
      <w:r>
        <w:rPr>
          <w:spacing w:val="-3"/>
          <w:w w:val="105"/>
        </w:rPr>
        <w:t>hearing. </w:t>
      </w:r>
      <w:r>
        <w:rPr>
          <w:w w:val="105"/>
        </w:rPr>
        <w:t>The </w:t>
      </w:r>
      <w:r>
        <w:rPr>
          <w:spacing w:val="-3"/>
          <w:w w:val="105"/>
        </w:rPr>
        <w:t>original </w:t>
      </w:r>
      <w:r>
        <w:rPr>
          <w:w w:val="105"/>
        </w:rPr>
        <w:t>owner did </w:t>
      </w:r>
      <w:r>
        <w:rPr>
          <w:spacing w:val="-2"/>
          <w:w w:val="105"/>
        </w:rPr>
        <w:t>not </w:t>
      </w:r>
      <w:r>
        <w:rPr>
          <w:spacing w:val="-3"/>
          <w:w w:val="105"/>
        </w:rPr>
        <w:t>inform </w:t>
      </w:r>
      <w:r>
        <w:rPr>
          <w:spacing w:val="-4"/>
          <w:w w:val="105"/>
        </w:rPr>
        <w:t>QCAT </w:t>
      </w:r>
      <w:r>
        <w:rPr>
          <w:w w:val="105"/>
        </w:rPr>
        <w:t>of the </w:t>
      </w:r>
      <w:r>
        <w:rPr>
          <w:spacing w:val="-3"/>
          <w:w w:val="105"/>
        </w:rPr>
        <w:t>change </w:t>
      </w:r>
      <w:r>
        <w:rPr>
          <w:w w:val="105"/>
        </w:rPr>
        <w:t>in </w:t>
      </w:r>
      <w:r>
        <w:rPr>
          <w:spacing w:val="-3"/>
          <w:w w:val="105"/>
        </w:rPr>
        <w:t>ownership. </w:t>
      </w:r>
      <w:r>
        <w:rPr>
          <w:spacing w:val="-4"/>
          <w:w w:val="105"/>
        </w:rPr>
        <w:t>QCAT </w:t>
      </w:r>
      <w:r>
        <w:rPr>
          <w:w w:val="105"/>
        </w:rPr>
        <w:t>held there </w:t>
      </w:r>
      <w:r>
        <w:rPr>
          <w:spacing w:val="-2"/>
          <w:w w:val="105"/>
        </w:rPr>
        <w:t>had </w:t>
      </w:r>
      <w:r>
        <w:rPr>
          <w:w w:val="105"/>
        </w:rPr>
        <w:t>been a mistrial and explained:</w:t>
      </w:r>
    </w:p>
    <w:p>
      <w:pPr>
        <w:spacing w:line="254" w:lineRule="auto" w:before="133"/>
        <w:ind w:left="2834" w:right="1510" w:firstLine="0"/>
        <w:jc w:val="left"/>
        <w:rPr>
          <w:sz w:val="11"/>
        </w:rPr>
      </w:pPr>
      <w:r>
        <w:rPr>
          <w:w w:val="105"/>
          <w:sz w:val="20"/>
        </w:rPr>
        <w:t>The </w:t>
      </w:r>
      <w:r>
        <w:rPr>
          <w:spacing w:val="-4"/>
          <w:w w:val="105"/>
          <w:sz w:val="20"/>
        </w:rPr>
        <w:t>Tribunal </w:t>
      </w:r>
      <w:r>
        <w:rPr>
          <w:w w:val="115"/>
          <w:sz w:val="20"/>
        </w:rPr>
        <w:t>… </w:t>
      </w:r>
      <w:r>
        <w:rPr>
          <w:w w:val="105"/>
          <w:sz w:val="20"/>
        </w:rPr>
        <w:t>has jurisdiction to </w:t>
      </w:r>
      <w:r>
        <w:rPr>
          <w:spacing w:val="-3"/>
          <w:w w:val="105"/>
          <w:sz w:val="20"/>
        </w:rPr>
        <w:t>make </w:t>
      </w:r>
      <w:r>
        <w:rPr>
          <w:w w:val="105"/>
          <w:sz w:val="20"/>
        </w:rPr>
        <w:t>orders only in respect of those matters which parliament has given it jurisdiction. In this case, it can </w:t>
      </w:r>
      <w:r>
        <w:rPr>
          <w:spacing w:val="-3"/>
          <w:w w:val="105"/>
          <w:sz w:val="20"/>
        </w:rPr>
        <w:t>make </w:t>
      </w:r>
      <w:r>
        <w:rPr>
          <w:w w:val="105"/>
          <w:sz w:val="20"/>
        </w:rPr>
        <w:t>orders in relation to tree disputes, in essence between tree-keepers and </w:t>
      </w:r>
      <w:r>
        <w:rPr>
          <w:spacing w:val="-3"/>
          <w:w w:val="105"/>
          <w:sz w:val="20"/>
        </w:rPr>
        <w:t>neighbours...The </w:t>
      </w:r>
      <w:r>
        <w:rPr>
          <w:spacing w:val="-4"/>
          <w:w w:val="105"/>
          <w:sz w:val="20"/>
        </w:rPr>
        <w:t>Tribunal </w:t>
      </w:r>
      <w:r>
        <w:rPr>
          <w:w w:val="105"/>
          <w:sz w:val="20"/>
        </w:rPr>
        <w:t>cannot proceed to </w:t>
      </w:r>
      <w:r>
        <w:rPr>
          <w:spacing w:val="-3"/>
          <w:w w:val="105"/>
          <w:sz w:val="20"/>
        </w:rPr>
        <w:t>make </w:t>
      </w:r>
      <w:r>
        <w:rPr>
          <w:w w:val="105"/>
          <w:sz w:val="20"/>
        </w:rPr>
        <w:t>orders about the tree dispute in these circumstances as between [the two corporations] as though the transfer to [the new owner] had not </w:t>
      </w:r>
      <w:r>
        <w:rPr>
          <w:spacing w:val="-2"/>
          <w:w w:val="105"/>
          <w:sz w:val="20"/>
        </w:rPr>
        <w:t>occurred. </w:t>
      </w:r>
      <w:r>
        <w:rPr>
          <w:w w:val="105"/>
          <w:sz w:val="20"/>
        </w:rPr>
        <w:t>It has no power to do so. [The new owner] is the tree-keeper and the proper respondent. </w:t>
      </w:r>
      <w:r>
        <w:rPr>
          <w:spacing w:val="-3"/>
          <w:w w:val="105"/>
          <w:sz w:val="20"/>
        </w:rPr>
        <w:t>Further, </w:t>
      </w:r>
      <w:r>
        <w:rPr>
          <w:w w:val="105"/>
          <w:sz w:val="20"/>
        </w:rPr>
        <w:t>the sale and transfer of the property to [the new owner] and the</w:t>
      </w:r>
      <w:r>
        <w:rPr>
          <w:spacing w:val="-5"/>
          <w:w w:val="105"/>
          <w:sz w:val="20"/>
        </w:rPr>
        <w:t> failure…to </w:t>
      </w:r>
      <w:r>
        <w:rPr>
          <w:w w:val="105"/>
          <w:sz w:val="20"/>
        </w:rPr>
        <w:t>disclose that sale and transfer raises issues affecting the substantial merits of the </w:t>
      </w:r>
      <w:r>
        <w:rPr>
          <w:spacing w:val="-6"/>
          <w:w w:val="105"/>
          <w:sz w:val="20"/>
        </w:rPr>
        <w:t>case.</w:t>
      </w:r>
      <w:r>
        <w:rPr>
          <w:spacing w:val="-6"/>
          <w:w w:val="105"/>
          <w:position w:val="7"/>
          <w:sz w:val="11"/>
        </w:rPr>
        <w:t>117</w:t>
      </w:r>
    </w:p>
    <w:p>
      <w:pPr>
        <w:pStyle w:val="ListParagraph"/>
        <w:numPr>
          <w:ilvl w:val="1"/>
          <w:numId w:val="16"/>
        </w:numPr>
        <w:tabs>
          <w:tab w:pos="2381" w:val="left" w:leader="none"/>
          <w:tab w:pos="2382" w:val="left" w:leader="none"/>
        </w:tabs>
        <w:spacing w:line="242" w:lineRule="auto" w:before="120" w:after="0"/>
        <w:ind w:left="2381" w:right="1793" w:hanging="794"/>
        <w:jc w:val="left"/>
        <w:rPr>
          <w:sz w:val="21"/>
        </w:rPr>
      </w:pPr>
      <w:r>
        <w:rPr>
          <w:w w:val="105"/>
          <w:sz w:val="21"/>
        </w:rPr>
        <w:t>The</w:t>
      </w:r>
      <w:r>
        <w:rPr>
          <w:spacing w:val="-7"/>
          <w:w w:val="105"/>
          <w:sz w:val="21"/>
        </w:rPr>
        <w:t> </w:t>
      </w:r>
      <w:r>
        <w:rPr>
          <w:spacing w:val="-3"/>
          <w:w w:val="105"/>
          <w:sz w:val="21"/>
        </w:rPr>
        <w:t>Commission</w:t>
      </w:r>
      <w:r>
        <w:rPr>
          <w:spacing w:val="-7"/>
          <w:w w:val="105"/>
          <w:sz w:val="21"/>
        </w:rPr>
        <w:t> </w:t>
      </w:r>
      <w:r>
        <w:rPr>
          <w:spacing w:val="-3"/>
          <w:w w:val="105"/>
          <w:sz w:val="21"/>
        </w:rPr>
        <w:t>intends</w:t>
      </w:r>
      <w:r>
        <w:rPr>
          <w:spacing w:val="-7"/>
          <w:w w:val="105"/>
          <w:sz w:val="21"/>
        </w:rPr>
        <w:t> </w:t>
      </w:r>
      <w:r>
        <w:rPr>
          <w:spacing w:val="-3"/>
          <w:w w:val="105"/>
          <w:sz w:val="21"/>
        </w:rPr>
        <w:t>to</w:t>
      </w:r>
      <w:r>
        <w:rPr>
          <w:spacing w:val="-6"/>
          <w:w w:val="105"/>
          <w:sz w:val="21"/>
        </w:rPr>
        <w:t> </w:t>
      </w:r>
      <w:r>
        <w:rPr>
          <w:spacing w:val="-3"/>
          <w:w w:val="105"/>
          <w:sz w:val="21"/>
        </w:rPr>
        <w:t>limit</w:t>
      </w:r>
      <w:r>
        <w:rPr>
          <w:spacing w:val="-7"/>
          <w:w w:val="105"/>
          <w:sz w:val="21"/>
        </w:rPr>
        <w:t> </w:t>
      </w:r>
      <w:r>
        <w:rPr>
          <w:w w:val="105"/>
          <w:sz w:val="21"/>
        </w:rPr>
        <w:t>the</w:t>
      </w:r>
      <w:r>
        <w:rPr>
          <w:spacing w:val="-7"/>
          <w:w w:val="105"/>
          <w:sz w:val="21"/>
        </w:rPr>
        <w:t> </w:t>
      </w:r>
      <w:r>
        <w:rPr>
          <w:w w:val="105"/>
          <w:sz w:val="21"/>
        </w:rPr>
        <w:t>possibility</w:t>
      </w:r>
      <w:r>
        <w:rPr>
          <w:spacing w:val="-6"/>
          <w:w w:val="105"/>
          <w:sz w:val="21"/>
        </w:rPr>
        <w:t> </w:t>
      </w:r>
      <w:r>
        <w:rPr>
          <w:w w:val="105"/>
          <w:sz w:val="21"/>
        </w:rPr>
        <w:t>of</w:t>
      </w:r>
      <w:r>
        <w:rPr>
          <w:spacing w:val="-7"/>
          <w:w w:val="105"/>
          <w:sz w:val="21"/>
        </w:rPr>
        <w:t> </w:t>
      </w:r>
      <w:r>
        <w:rPr>
          <w:w w:val="105"/>
          <w:sz w:val="21"/>
        </w:rPr>
        <w:t>a</w:t>
      </w:r>
      <w:r>
        <w:rPr>
          <w:spacing w:val="-7"/>
          <w:w w:val="105"/>
          <w:sz w:val="21"/>
        </w:rPr>
        <w:t> </w:t>
      </w:r>
      <w:r>
        <w:rPr>
          <w:w w:val="105"/>
          <w:sz w:val="21"/>
        </w:rPr>
        <w:t>mistrial</w:t>
      </w:r>
      <w:r>
        <w:rPr>
          <w:spacing w:val="-7"/>
          <w:w w:val="105"/>
          <w:sz w:val="21"/>
        </w:rPr>
        <w:t> </w:t>
      </w:r>
      <w:r>
        <w:rPr>
          <w:w w:val="105"/>
          <w:sz w:val="21"/>
        </w:rPr>
        <w:t>in</w:t>
      </w:r>
      <w:r>
        <w:rPr>
          <w:spacing w:val="-6"/>
          <w:w w:val="105"/>
          <w:sz w:val="21"/>
        </w:rPr>
        <w:t> </w:t>
      </w:r>
      <w:r>
        <w:rPr>
          <w:spacing w:val="-3"/>
          <w:w w:val="105"/>
          <w:sz w:val="21"/>
        </w:rPr>
        <w:t>such</w:t>
      </w:r>
      <w:r>
        <w:rPr>
          <w:spacing w:val="-7"/>
          <w:w w:val="105"/>
          <w:sz w:val="21"/>
        </w:rPr>
        <w:t> </w:t>
      </w:r>
      <w:r>
        <w:rPr>
          <w:spacing w:val="-3"/>
          <w:w w:val="105"/>
          <w:sz w:val="21"/>
        </w:rPr>
        <w:t>circumstances.</w:t>
      </w:r>
      <w:r>
        <w:rPr>
          <w:spacing w:val="-7"/>
          <w:w w:val="105"/>
          <w:sz w:val="21"/>
        </w:rPr>
        <w:t> </w:t>
      </w:r>
      <w:r>
        <w:rPr>
          <w:spacing w:val="-3"/>
          <w:w w:val="105"/>
          <w:sz w:val="21"/>
        </w:rPr>
        <w:t>While </w:t>
      </w:r>
      <w:r>
        <w:rPr>
          <w:w w:val="105"/>
          <w:sz w:val="21"/>
        </w:rPr>
        <w:t>this </w:t>
      </w:r>
      <w:r>
        <w:rPr>
          <w:spacing w:val="-3"/>
          <w:w w:val="105"/>
          <w:sz w:val="21"/>
        </w:rPr>
        <w:t>could </w:t>
      </w:r>
      <w:r>
        <w:rPr>
          <w:w w:val="105"/>
          <w:sz w:val="21"/>
        </w:rPr>
        <w:t>be </w:t>
      </w:r>
      <w:r>
        <w:rPr>
          <w:spacing w:val="-3"/>
          <w:w w:val="105"/>
          <w:sz w:val="21"/>
        </w:rPr>
        <w:t>achieved through automatic </w:t>
      </w:r>
      <w:r>
        <w:rPr>
          <w:w w:val="105"/>
          <w:sz w:val="21"/>
        </w:rPr>
        <w:t>joinder of the new parties—as occurs in </w:t>
      </w:r>
      <w:r>
        <w:rPr>
          <w:spacing w:val="-3"/>
          <w:w w:val="105"/>
          <w:sz w:val="21"/>
        </w:rPr>
        <w:t>Queensland </w:t>
      </w:r>
      <w:r>
        <w:rPr>
          <w:w w:val="105"/>
          <w:sz w:val="21"/>
        </w:rPr>
        <w:t>and </w:t>
      </w:r>
      <w:r>
        <w:rPr>
          <w:spacing w:val="-5"/>
          <w:w w:val="105"/>
          <w:sz w:val="21"/>
        </w:rPr>
        <w:t>Tasmania—</w:t>
      </w:r>
      <w:r>
        <w:rPr>
          <w:spacing w:val="-5"/>
          <w:w w:val="105"/>
          <w:position w:val="7"/>
          <w:sz w:val="12"/>
        </w:rPr>
        <w:t>118 </w:t>
      </w:r>
      <w:r>
        <w:rPr>
          <w:w w:val="105"/>
          <w:sz w:val="21"/>
        </w:rPr>
        <w:t>this </w:t>
      </w:r>
      <w:r>
        <w:rPr>
          <w:spacing w:val="-3"/>
          <w:w w:val="105"/>
          <w:sz w:val="21"/>
        </w:rPr>
        <w:t>may </w:t>
      </w:r>
      <w:r>
        <w:rPr>
          <w:w w:val="105"/>
          <w:sz w:val="21"/>
        </w:rPr>
        <w:t>cause</w:t>
      </w:r>
      <w:r>
        <w:rPr>
          <w:spacing w:val="13"/>
          <w:w w:val="105"/>
          <w:sz w:val="21"/>
        </w:rPr>
        <w:t> </w:t>
      </w:r>
      <w:r>
        <w:rPr>
          <w:w w:val="105"/>
          <w:sz w:val="21"/>
        </w:rPr>
        <w:t>problems:</w:t>
      </w:r>
    </w:p>
    <w:p>
      <w:pPr>
        <w:pStyle w:val="ListParagraph"/>
        <w:numPr>
          <w:ilvl w:val="0"/>
          <w:numId w:val="198"/>
        </w:numPr>
        <w:tabs>
          <w:tab w:pos="2722" w:val="left" w:leader="none"/>
        </w:tabs>
        <w:spacing w:line="242" w:lineRule="auto" w:before="124" w:after="0"/>
        <w:ind w:left="2721" w:right="1756" w:hanging="340"/>
        <w:jc w:val="left"/>
        <w:rPr>
          <w:sz w:val="21"/>
        </w:rPr>
      </w:pPr>
      <w:r>
        <w:rPr>
          <w:w w:val="105"/>
          <w:sz w:val="21"/>
        </w:rPr>
        <w:t>A </w:t>
      </w:r>
      <w:r>
        <w:rPr>
          <w:spacing w:val="-3"/>
          <w:w w:val="105"/>
          <w:sz w:val="21"/>
        </w:rPr>
        <w:t>purchaser may </w:t>
      </w:r>
      <w:r>
        <w:rPr>
          <w:spacing w:val="-2"/>
          <w:w w:val="105"/>
          <w:sz w:val="21"/>
        </w:rPr>
        <w:t>resent </w:t>
      </w:r>
      <w:r>
        <w:rPr>
          <w:spacing w:val="-3"/>
          <w:w w:val="105"/>
          <w:sz w:val="21"/>
        </w:rPr>
        <w:t>having to </w:t>
      </w:r>
      <w:r>
        <w:rPr>
          <w:w w:val="105"/>
          <w:sz w:val="21"/>
        </w:rPr>
        <w:t>become </w:t>
      </w:r>
      <w:r>
        <w:rPr>
          <w:spacing w:val="-3"/>
          <w:w w:val="105"/>
          <w:sz w:val="21"/>
        </w:rPr>
        <w:t>involved </w:t>
      </w:r>
      <w:r>
        <w:rPr>
          <w:w w:val="105"/>
          <w:sz w:val="21"/>
        </w:rPr>
        <w:t>in legal </w:t>
      </w:r>
      <w:r>
        <w:rPr>
          <w:spacing w:val="-3"/>
          <w:w w:val="105"/>
          <w:sz w:val="21"/>
        </w:rPr>
        <w:t>proceedings </w:t>
      </w:r>
      <w:r>
        <w:rPr>
          <w:w w:val="105"/>
          <w:sz w:val="21"/>
        </w:rPr>
        <w:t>when they buy a property. Indeed the prospect of being joined as a party </w:t>
      </w:r>
      <w:r>
        <w:rPr>
          <w:spacing w:val="-3"/>
          <w:w w:val="105"/>
          <w:sz w:val="21"/>
        </w:rPr>
        <w:t>may discourage </w:t>
      </w:r>
      <w:r>
        <w:rPr>
          <w:w w:val="105"/>
          <w:sz w:val="21"/>
        </w:rPr>
        <w:t>the </w:t>
      </w:r>
      <w:r>
        <w:rPr>
          <w:spacing w:val="-3"/>
          <w:w w:val="105"/>
          <w:sz w:val="21"/>
        </w:rPr>
        <w:t>sale.</w:t>
      </w:r>
      <w:r>
        <w:rPr>
          <w:spacing w:val="-7"/>
          <w:w w:val="105"/>
          <w:sz w:val="21"/>
        </w:rPr>
        <w:t> </w:t>
      </w:r>
      <w:r>
        <w:rPr>
          <w:w w:val="105"/>
          <w:sz w:val="21"/>
        </w:rPr>
        <w:t>It</w:t>
      </w:r>
      <w:r>
        <w:rPr>
          <w:spacing w:val="-6"/>
          <w:w w:val="105"/>
          <w:sz w:val="21"/>
        </w:rPr>
        <w:t> </w:t>
      </w:r>
      <w:r>
        <w:rPr>
          <w:w w:val="105"/>
          <w:sz w:val="21"/>
        </w:rPr>
        <w:t>would</w:t>
      </w:r>
      <w:r>
        <w:rPr>
          <w:spacing w:val="-7"/>
          <w:w w:val="105"/>
          <w:sz w:val="21"/>
        </w:rPr>
        <w:t> </w:t>
      </w:r>
      <w:r>
        <w:rPr>
          <w:w w:val="105"/>
          <w:sz w:val="21"/>
        </w:rPr>
        <w:t>probably</w:t>
      </w:r>
      <w:r>
        <w:rPr>
          <w:spacing w:val="-6"/>
          <w:w w:val="105"/>
          <w:sz w:val="21"/>
        </w:rPr>
        <w:t> </w:t>
      </w:r>
      <w:r>
        <w:rPr>
          <w:spacing w:val="-3"/>
          <w:w w:val="105"/>
          <w:sz w:val="21"/>
        </w:rPr>
        <w:t>require</w:t>
      </w:r>
      <w:r>
        <w:rPr>
          <w:spacing w:val="-7"/>
          <w:w w:val="105"/>
          <w:sz w:val="21"/>
        </w:rPr>
        <w:t> </w:t>
      </w:r>
      <w:r>
        <w:rPr>
          <w:w w:val="105"/>
          <w:sz w:val="21"/>
        </w:rPr>
        <w:t>the</w:t>
      </w:r>
      <w:r>
        <w:rPr>
          <w:spacing w:val="-6"/>
          <w:w w:val="105"/>
          <w:sz w:val="21"/>
        </w:rPr>
        <w:t> </w:t>
      </w:r>
      <w:r>
        <w:rPr>
          <w:spacing w:val="-3"/>
          <w:w w:val="105"/>
          <w:sz w:val="21"/>
        </w:rPr>
        <w:t>purchaser</w:t>
      </w:r>
      <w:r>
        <w:rPr>
          <w:spacing w:val="-7"/>
          <w:w w:val="105"/>
          <w:sz w:val="21"/>
        </w:rPr>
        <w:t> </w:t>
      </w:r>
      <w:r>
        <w:rPr>
          <w:spacing w:val="-3"/>
          <w:w w:val="105"/>
          <w:sz w:val="21"/>
        </w:rPr>
        <w:t>to</w:t>
      </w:r>
      <w:r>
        <w:rPr>
          <w:spacing w:val="-6"/>
          <w:w w:val="105"/>
          <w:sz w:val="21"/>
        </w:rPr>
        <w:t> </w:t>
      </w:r>
      <w:r>
        <w:rPr>
          <w:w w:val="105"/>
          <w:sz w:val="21"/>
        </w:rPr>
        <w:t>obtain</w:t>
      </w:r>
      <w:r>
        <w:rPr>
          <w:spacing w:val="-7"/>
          <w:w w:val="105"/>
          <w:sz w:val="21"/>
        </w:rPr>
        <w:t> </w:t>
      </w:r>
      <w:r>
        <w:rPr>
          <w:spacing w:val="-3"/>
          <w:w w:val="105"/>
          <w:sz w:val="21"/>
        </w:rPr>
        <w:t>additional</w:t>
      </w:r>
      <w:r>
        <w:rPr>
          <w:spacing w:val="-6"/>
          <w:w w:val="105"/>
          <w:sz w:val="21"/>
        </w:rPr>
        <w:t> </w:t>
      </w:r>
      <w:r>
        <w:rPr>
          <w:w w:val="105"/>
          <w:sz w:val="21"/>
        </w:rPr>
        <w:t>legal</w:t>
      </w:r>
      <w:r>
        <w:rPr>
          <w:spacing w:val="-6"/>
          <w:w w:val="105"/>
          <w:sz w:val="21"/>
        </w:rPr>
        <w:t> </w:t>
      </w:r>
      <w:r>
        <w:rPr>
          <w:spacing w:val="-3"/>
          <w:w w:val="105"/>
          <w:sz w:val="21"/>
        </w:rPr>
        <w:t>advice,</w:t>
      </w:r>
      <w:r>
        <w:rPr>
          <w:spacing w:val="-7"/>
          <w:w w:val="105"/>
          <w:sz w:val="21"/>
        </w:rPr>
        <w:t> </w:t>
      </w:r>
      <w:r>
        <w:rPr>
          <w:w w:val="105"/>
          <w:sz w:val="21"/>
        </w:rPr>
        <w:t>which would be</w:t>
      </w:r>
      <w:r>
        <w:rPr>
          <w:spacing w:val="10"/>
          <w:w w:val="105"/>
          <w:sz w:val="21"/>
        </w:rPr>
        <w:t> </w:t>
      </w:r>
      <w:r>
        <w:rPr>
          <w:spacing w:val="-4"/>
          <w:w w:val="105"/>
          <w:sz w:val="21"/>
        </w:rPr>
        <w:t>costly.</w:t>
      </w:r>
    </w:p>
    <w:p>
      <w:pPr>
        <w:pStyle w:val="ListParagraph"/>
        <w:numPr>
          <w:ilvl w:val="0"/>
          <w:numId w:val="198"/>
        </w:numPr>
        <w:tabs>
          <w:tab w:pos="2722" w:val="left" w:leader="none"/>
        </w:tabs>
        <w:spacing w:line="240" w:lineRule="auto" w:before="89" w:after="0"/>
        <w:ind w:left="2721" w:right="0" w:hanging="340"/>
        <w:jc w:val="left"/>
        <w:rPr>
          <w:sz w:val="21"/>
        </w:rPr>
      </w:pPr>
      <w:r>
        <w:rPr>
          <w:w w:val="105"/>
          <w:sz w:val="21"/>
        </w:rPr>
        <w:t>The sale </w:t>
      </w:r>
      <w:r>
        <w:rPr>
          <w:spacing w:val="-3"/>
          <w:w w:val="105"/>
          <w:sz w:val="21"/>
        </w:rPr>
        <w:t>may </w:t>
      </w:r>
      <w:r>
        <w:rPr>
          <w:spacing w:val="-4"/>
          <w:w w:val="105"/>
          <w:sz w:val="21"/>
        </w:rPr>
        <w:t>fall </w:t>
      </w:r>
      <w:r>
        <w:rPr>
          <w:spacing w:val="-3"/>
          <w:w w:val="105"/>
          <w:sz w:val="21"/>
        </w:rPr>
        <w:t>through, making </w:t>
      </w:r>
      <w:r>
        <w:rPr>
          <w:w w:val="105"/>
          <w:sz w:val="21"/>
        </w:rPr>
        <w:t>the legal action even more</w:t>
      </w:r>
      <w:r>
        <w:rPr>
          <w:spacing w:val="6"/>
          <w:w w:val="105"/>
          <w:sz w:val="21"/>
        </w:rPr>
        <w:t> </w:t>
      </w:r>
      <w:r>
        <w:rPr>
          <w:w w:val="105"/>
          <w:sz w:val="21"/>
        </w:rPr>
        <w:t>complex.</w:t>
      </w:r>
    </w:p>
    <w:p>
      <w:pPr>
        <w:pStyle w:val="BodyText"/>
        <w:rPr>
          <w:sz w:val="20"/>
        </w:rPr>
      </w:pPr>
    </w:p>
    <w:p>
      <w:pPr>
        <w:pStyle w:val="BodyText"/>
        <w:rPr>
          <w:sz w:val="20"/>
        </w:rPr>
      </w:pPr>
    </w:p>
    <w:p>
      <w:pPr>
        <w:pStyle w:val="BodyText"/>
        <w:rPr>
          <w:sz w:val="16"/>
        </w:rPr>
      </w:pPr>
      <w:r>
        <w:rPr/>
        <w:pict>
          <v:line style="position:absolute;mso-position-horizontal-relative:page;mso-position-vertical-relative:paragraph;z-index:11240;mso-wrap-distance-left:0;mso-wrap-distance-right:0" from="79.370102pt,12.22779pt" to="515.905102pt,12.22779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spacing w:before="8"/>
        <w:rPr>
          <w:sz w:val="34"/>
        </w:rPr>
      </w:pPr>
    </w:p>
    <w:p>
      <w:pPr>
        <w:spacing w:before="0"/>
        <w:ind w:left="720" w:right="0" w:firstLine="0"/>
        <w:jc w:val="left"/>
        <w:rPr>
          <w:b/>
          <w:sz w:val="24"/>
        </w:rPr>
      </w:pPr>
      <w:r>
        <w:rPr>
          <w:b/>
          <w:color w:val="658464"/>
          <w:spacing w:val="-3"/>
          <w:w w:val="110"/>
          <w:sz w:val="24"/>
        </w:rPr>
        <w:t>272</w:t>
      </w:r>
    </w:p>
    <w:p>
      <w:pPr>
        <w:pStyle w:val="ListParagraph"/>
        <w:numPr>
          <w:ilvl w:val="0"/>
          <w:numId w:val="196"/>
        </w:numPr>
        <w:tabs>
          <w:tab w:pos="1227" w:val="left" w:leader="none"/>
          <w:tab w:pos="1229" w:val="left" w:leader="none"/>
        </w:tabs>
        <w:spacing w:line="240" w:lineRule="auto" w:before="48" w:after="0"/>
        <w:ind w:left="1228" w:right="1744" w:hanging="794"/>
        <w:jc w:val="left"/>
        <w:rPr>
          <w:sz w:val="13"/>
        </w:rPr>
      </w:pPr>
      <w:r>
        <w:rPr>
          <w:w w:val="115"/>
          <w:sz w:val="13"/>
        </w:rPr>
        <w:br w:type="column"/>
      </w:r>
      <w:r>
        <w:rPr>
          <w:sz w:val="13"/>
        </w:rPr>
        <w:t>A trial that must be aborted and from which no valid outcome results: Trischa Mann, </w:t>
      </w:r>
      <w:r>
        <w:rPr>
          <w:i/>
          <w:sz w:val="13"/>
        </w:rPr>
        <w:t>Oxford Australian Law Dictionary </w:t>
      </w:r>
      <w:r>
        <w:rPr>
          <w:spacing w:val="2"/>
          <w:sz w:val="13"/>
        </w:rPr>
        <w:t>(Oxford </w:t>
      </w:r>
      <w:r>
        <w:rPr>
          <w:sz w:val="13"/>
        </w:rPr>
        <w:t>University        Press,</w:t>
      </w:r>
      <w:r>
        <w:rPr>
          <w:spacing w:val="6"/>
          <w:sz w:val="13"/>
        </w:rPr>
        <w:t> </w:t>
      </w:r>
      <w:r>
        <w:rPr>
          <w:sz w:val="13"/>
        </w:rPr>
        <w:t>2010).</w:t>
      </w:r>
    </w:p>
    <w:p>
      <w:pPr>
        <w:pStyle w:val="ListParagraph"/>
        <w:numPr>
          <w:ilvl w:val="0"/>
          <w:numId w:val="196"/>
        </w:numPr>
        <w:tabs>
          <w:tab w:pos="1227" w:val="left" w:leader="none"/>
          <w:tab w:pos="1229" w:val="left" w:leader="none"/>
        </w:tabs>
        <w:spacing w:line="240" w:lineRule="auto" w:before="3" w:after="0"/>
        <w:ind w:left="1228" w:right="0" w:hanging="794"/>
        <w:jc w:val="left"/>
        <w:rPr>
          <w:sz w:val="13"/>
        </w:rPr>
      </w:pPr>
      <w:r>
        <w:rPr>
          <w:i/>
          <w:sz w:val="13"/>
        </w:rPr>
        <w:t>PGC</w:t>
      </w:r>
      <w:r>
        <w:rPr>
          <w:i/>
          <w:spacing w:val="6"/>
          <w:sz w:val="13"/>
        </w:rPr>
        <w:t> </w:t>
      </w:r>
      <w:r>
        <w:rPr>
          <w:i/>
          <w:sz w:val="13"/>
        </w:rPr>
        <w:t>Holdings</w:t>
      </w:r>
      <w:r>
        <w:rPr>
          <w:i/>
          <w:spacing w:val="7"/>
          <w:sz w:val="13"/>
        </w:rPr>
        <w:t> </w:t>
      </w:r>
      <w:r>
        <w:rPr>
          <w:i/>
          <w:spacing w:val="3"/>
          <w:sz w:val="13"/>
        </w:rPr>
        <w:t>Pty</w:t>
      </w:r>
      <w:r>
        <w:rPr>
          <w:i/>
          <w:spacing w:val="7"/>
          <w:sz w:val="13"/>
        </w:rPr>
        <w:t> </w:t>
      </w:r>
      <w:r>
        <w:rPr>
          <w:i/>
          <w:sz w:val="13"/>
        </w:rPr>
        <w:t>Ltd</w:t>
      </w:r>
      <w:r>
        <w:rPr>
          <w:i/>
          <w:spacing w:val="7"/>
          <w:sz w:val="13"/>
        </w:rPr>
        <w:t> </w:t>
      </w:r>
      <w:r>
        <w:rPr>
          <w:i/>
          <w:sz w:val="13"/>
        </w:rPr>
        <w:t>v</w:t>
      </w:r>
      <w:r>
        <w:rPr>
          <w:i/>
          <w:spacing w:val="7"/>
          <w:sz w:val="13"/>
        </w:rPr>
        <w:t> </w:t>
      </w:r>
      <w:r>
        <w:rPr>
          <w:i/>
          <w:sz w:val="13"/>
        </w:rPr>
        <w:t>Jalfire</w:t>
      </w:r>
      <w:r>
        <w:rPr>
          <w:i/>
          <w:spacing w:val="7"/>
          <w:sz w:val="13"/>
        </w:rPr>
        <w:t> </w:t>
      </w:r>
      <w:r>
        <w:rPr>
          <w:i/>
          <w:spacing w:val="3"/>
          <w:sz w:val="13"/>
        </w:rPr>
        <w:t>Pty</w:t>
      </w:r>
      <w:r>
        <w:rPr>
          <w:i/>
          <w:spacing w:val="7"/>
          <w:sz w:val="13"/>
        </w:rPr>
        <w:t> </w:t>
      </w:r>
      <w:r>
        <w:rPr>
          <w:i/>
          <w:sz w:val="13"/>
        </w:rPr>
        <w:t>Ltd</w:t>
      </w:r>
      <w:r>
        <w:rPr>
          <w:i/>
          <w:spacing w:val="7"/>
          <w:sz w:val="13"/>
        </w:rPr>
        <w:t> </w:t>
      </w:r>
      <w:r>
        <w:rPr>
          <w:sz w:val="13"/>
        </w:rPr>
        <w:t>[2018]</w:t>
      </w:r>
      <w:r>
        <w:rPr>
          <w:spacing w:val="7"/>
          <w:sz w:val="13"/>
        </w:rPr>
        <w:t> </w:t>
      </w:r>
      <w:r>
        <w:rPr>
          <w:sz w:val="13"/>
        </w:rPr>
        <w:t>QCAT</w:t>
      </w:r>
      <w:r>
        <w:rPr>
          <w:spacing w:val="7"/>
          <w:sz w:val="13"/>
        </w:rPr>
        <w:t> </w:t>
      </w:r>
      <w:r>
        <w:rPr>
          <w:sz w:val="13"/>
        </w:rPr>
        <w:t>29</w:t>
      </w:r>
      <w:r>
        <w:rPr>
          <w:spacing w:val="7"/>
          <w:sz w:val="13"/>
        </w:rPr>
        <w:t> </w:t>
      </w:r>
      <w:r>
        <w:rPr>
          <w:spacing w:val="2"/>
          <w:sz w:val="13"/>
        </w:rPr>
        <w:t>[17]–[18].</w:t>
      </w:r>
    </w:p>
    <w:p>
      <w:pPr>
        <w:pStyle w:val="ListParagraph"/>
        <w:numPr>
          <w:ilvl w:val="0"/>
          <w:numId w:val="196"/>
        </w:numPr>
        <w:tabs>
          <w:tab w:pos="1227" w:val="left" w:leader="none"/>
          <w:tab w:pos="1229" w:val="left" w:leader="none"/>
        </w:tabs>
        <w:spacing w:line="240" w:lineRule="auto" w:before="1" w:after="0"/>
        <w:ind w:left="1228" w:right="0" w:hanging="794"/>
        <w:jc w:val="left"/>
        <w:rPr>
          <w:sz w:val="13"/>
        </w:rPr>
      </w:pPr>
      <w:r>
        <w:rPr>
          <w:i/>
          <w:w w:val="105"/>
          <w:sz w:val="13"/>
        </w:rPr>
        <w:t>Neighbourhood</w:t>
      </w:r>
      <w:r>
        <w:rPr>
          <w:i/>
          <w:spacing w:val="6"/>
          <w:w w:val="105"/>
          <w:sz w:val="13"/>
        </w:rPr>
        <w:t> </w:t>
      </w:r>
      <w:r>
        <w:rPr>
          <w:i/>
          <w:w w:val="105"/>
          <w:sz w:val="13"/>
        </w:rPr>
        <w:t>Disputes</w:t>
      </w:r>
      <w:r>
        <w:rPr>
          <w:i/>
          <w:spacing w:val="6"/>
          <w:w w:val="105"/>
          <w:sz w:val="13"/>
        </w:rPr>
        <w:t> </w:t>
      </w:r>
      <w:r>
        <w:rPr>
          <w:i/>
          <w:w w:val="105"/>
          <w:sz w:val="13"/>
        </w:rPr>
        <w:t>(Dividing</w:t>
      </w:r>
      <w:r>
        <w:rPr>
          <w:i/>
          <w:spacing w:val="6"/>
          <w:w w:val="105"/>
          <w:sz w:val="13"/>
        </w:rPr>
        <w:t> </w:t>
      </w:r>
      <w:r>
        <w:rPr>
          <w:i/>
          <w:w w:val="105"/>
          <w:sz w:val="13"/>
        </w:rPr>
        <w:t>Fences</w:t>
      </w:r>
      <w:r>
        <w:rPr>
          <w:i/>
          <w:spacing w:val="6"/>
          <w:w w:val="105"/>
          <w:sz w:val="13"/>
        </w:rPr>
        <w:t> </w:t>
      </w:r>
      <w:r>
        <w:rPr>
          <w:i/>
          <w:w w:val="105"/>
          <w:sz w:val="13"/>
        </w:rPr>
        <w:t>and</w:t>
      </w:r>
      <w:r>
        <w:rPr>
          <w:i/>
          <w:spacing w:val="7"/>
          <w:w w:val="105"/>
          <w:sz w:val="13"/>
        </w:rPr>
        <w:t> </w:t>
      </w:r>
      <w:r>
        <w:rPr>
          <w:i/>
          <w:w w:val="105"/>
          <w:sz w:val="13"/>
        </w:rPr>
        <w:t>Trees)</w:t>
      </w:r>
      <w:r>
        <w:rPr>
          <w:i/>
          <w:spacing w:val="6"/>
          <w:w w:val="105"/>
          <w:sz w:val="13"/>
        </w:rPr>
        <w:t> </w:t>
      </w:r>
      <w:r>
        <w:rPr>
          <w:i/>
          <w:w w:val="105"/>
          <w:sz w:val="13"/>
        </w:rPr>
        <w:t>Act</w:t>
      </w:r>
      <w:r>
        <w:rPr>
          <w:i/>
          <w:spacing w:val="6"/>
          <w:w w:val="105"/>
          <w:sz w:val="13"/>
        </w:rPr>
        <w:t> </w:t>
      </w:r>
      <w:r>
        <w:rPr>
          <w:i/>
          <w:spacing w:val="-4"/>
          <w:w w:val="105"/>
          <w:sz w:val="13"/>
        </w:rPr>
        <w:t>2011</w:t>
      </w:r>
      <w:r>
        <w:rPr>
          <w:i/>
          <w:spacing w:val="6"/>
          <w:w w:val="105"/>
          <w:sz w:val="13"/>
        </w:rPr>
        <w:t> </w:t>
      </w:r>
      <w:r>
        <w:rPr>
          <w:spacing w:val="2"/>
          <w:w w:val="105"/>
          <w:sz w:val="13"/>
        </w:rPr>
        <w:t>(Qld)</w:t>
      </w:r>
      <w:r>
        <w:rPr>
          <w:spacing w:val="6"/>
          <w:w w:val="105"/>
          <w:sz w:val="13"/>
        </w:rPr>
        <w:t> </w:t>
      </w:r>
      <w:r>
        <w:rPr>
          <w:w w:val="105"/>
          <w:sz w:val="13"/>
        </w:rPr>
        <w:t>s</w:t>
      </w:r>
      <w:r>
        <w:rPr>
          <w:spacing w:val="7"/>
          <w:w w:val="105"/>
          <w:sz w:val="13"/>
        </w:rPr>
        <w:t> </w:t>
      </w:r>
      <w:r>
        <w:rPr>
          <w:spacing w:val="3"/>
          <w:w w:val="105"/>
          <w:sz w:val="13"/>
        </w:rPr>
        <w:t>84;</w:t>
      </w:r>
      <w:r>
        <w:rPr>
          <w:spacing w:val="6"/>
          <w:w w:val="105"/>
          <w:sz w:val="13"/>
        </w:rPr>
        <w:t> </w:t>
      </w:r>
      <w:r>
        <w:rPr>
          <w:i/>
          <w:w w:val="105"/>
          <w:sz w:val="13"/>
        </w:rPr>
        <w:t>Neighbourhood</w:t>
      </w:r>
      <w:r>
        <w:rPr>
          <w:i/>
          <w:spacing w:val="6"/>
          <w:w w:val="105"/>
          <w:sz w:val="13"/>
        </w:rPr>
        <w:t> </w:t>
      </w:r>
      <w:r>
        <w:rPr>
          <w:i/>
          <w:w w:val="105"/>
          <w:sz w:val="13"/>
        </w:rPr>
        <w:t>Disputes</w:t>
      </w:r>
      <w:r>
        <w:rPr>
          <w:i/>
          <w:spacing w:val="6"/>
          <w:w w:val="105"/>
          <w:sz w:val="13"/>
        </w:rPr>
        <w:t> </w:t>
      </w:r>
      <w:r>
        <w:rPr>
          <w:i/>
          <w:w w:val="105"/>
          <w:sz w:val="13"/>
        </w:rPr>
        <w:t>About</w:t>
      </w:r>
      <w:r>
        <w:rPr>
          <w:i/>
          <w:spacing w:val="6"/>
          <w:w w:val="105"/>
          <w:sz w:val="13"/>
        </w:rPr>
        <w:t> </w:t>
      </w:r>
      <w:r>
        <w:rPr>
          <w:i/>
          <w:w w:val="105"/>
          <w:sz w:val="13"/>
        </w:rPr>
        <w:t>Plants</w:t>
      </w:r>
      <w:r>
        <w:rPr>
          <w:i/>
          <w:spacing w:val="6"/>
          <w:w w:val="105"/>
          <w:sz w:val="13"/>
        </w:rPr>
        <w:t> </w:t>
      </w:r>
      <w:r>
        <w:rPr>
          <w:i/>
          <w:w w:val="105"/>
          <w:sz w:val="13"/>
        </w:rPr>
        <w:t>Act</w:t>
      </w:r>
      <w:r>
        <w:rPr>
          <w:i/>
          <w:spacing w:val="7"/>
          <w:w w:val="105"/>
          <w:sz w:val="13"/>
        </w:rPr>
        <w:t> </w:t>
      </w:r>
      <w:r>
        <w:rPr>
          <w:i/>
          <w:spacing w:val="-4"/>
          <w:w w:val="105"/>
          <w:sz w:val="13"/>
        </w:rPr>
        <w:t>2017</w:t>
      </w:r>
      <w:r>
        <w:rPr>
          <w:i/>
          <w:spacing w:val="6"/>
          <w:w w:val="105"/>
          <w:sz w:val="13"/>
        </w:rPr>
        <w:t> </w:t>
      </w:r>
      <w:r>
        <w:rPr>
          <w:w w:val="105"/>
          <w:sz w:val="13"/>
        </w:rPr>
        <w:t>(Tas)</w:t>
      </w:r>
      <w:r>
        <w:rPr>
          <w:spacing w:val="6"/>
          <w:w w:val="105"/>
          <w:sz w:val="13"/>
        </w:rPr>
        <w:t> </w:t>
      </w:r>
      <w:r>
        <w:rPr>
          <w:w w:val="105"/>
          <w:sz w:val="13"/>
        </w:rPr>
        <w:t>s</w:t>
      </w:r>
      <w:r>
        <w:rPr>
          <w:spacing w:val="6"/>
          <w:w w:val="105"/>
          <w:sz w:val="13"/>
        </w:rPr>
        <w:t> </w:t>
      </w:r>
      <w:r>
        <w:rPr>
          <w:spacing w:val="3"/>
          <w:w w:val="105"/>
          <w:sz w:val="13"/>
        </w:rPr>
        <w:t>34(2).</w:t>
      </w:r>
    </w:p>
    <w:p>
      <w:pPr>
        <w:spacing w:after="0" w:line="240" w:lineRule="auto"/>
        <w:jc w:val="left"/>
        <w:rPr>
          <w:sz w:val="13"/>
        </w:rPr>
        <w:sectPr>
          <w:type w:val="continuous"/>
          <w:pgSz w:w="11910" w:h="16840"/>
          <w:pgMar w:top="300" w:bottom="280" w:left="0" w:right="0"/>
          <w:cols w:num="2" w:equalWidth="0">
            <w:col w:w="1114" w:space="40"/>
            <w:col w:w="10756"/>
          </w:cols>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691" w:hanging="794"/>
        <w:jc w:val="left"/>
        <w:rPr>
          <w:sz w:val="21"/>
        </w:rPr>
      </w:pPr>
      <w:bookmarkStart w:name="_bookmark149" w:id="320"/>
      <w:bookmarkEnd w:id="320"/>
      <w:r>
        <w:rPr/>
      </w:r>
      <w:bookmarkStart w:name="_bookmark149" w:id="321"/>
      <w:bookmarkEnd w:id="321"/>
      <w:r>
        <w:rPr>
          <w:w w:val="105"/>
          <w:sz w:val="21"/>
        </w:rPr>
        <w:t>A</w:t>
      </w:r>
      <w:r>
        <w:rPr>
          <w:w w:val="105"/>
          <w:sz w:val="21"/>
        </w:rPr>
        <w:t> better approach would be </w:t>
      </w:r>
      <w:r>
        <w:rPr>
          <w:spacing w:val="-3"/>
          <w:w w:val="105"/>
          <w:sz w:val="21"/>
        </w:rPr>
        <w:t>for </w:t>
      </w:r>
      <w:r>
        <w:rPr>
          <w:w w:val="105"/>
          <w:sz w:val="21"/>
        </w:rPr>
        <w:t>the vendor </w:t>
      </w:r>
      <w:r>
        <w:rPr>
          <w:spacing w:val="-3"/>
          <w:w w:val="105"/>
          <w:sz w:val="21"/>
        </w:rPr>
        <w:t>to </w:t>
      </w:r>
      <w:r>
        <w:rPr>
          <w:w w:val="105"/>
          <w:sz w:val="21"/>
        </w:rPr>
        <w:t>notify </w:t>
      </w:r>
      <w:r>
        <w:rPr>
          <w:spacing w:val="-5"/>
          <w:w w:val="105"/>
          <w:sz w:val="21"/>
        </w:rPr>
        <w:t>VCAT </w:t>
      </w:r>
      <w:r>
        <w:rPr>
          <w:spacing w:val="-3"/>
          <w:w w:val="105"/>
          <w:sz w:val="21"/>
        </w:rPr>
        <w:t>immediately </w:t>
      </w:r>
      <w:r>
        <w:rPr>
          <w:w w:val="105"/>
          <w:sz w:val="21"/>
        </w:rPr>
        <w:t>after a contract of sale is </w:t>
      </w:r>
      <w:r>
        <w:rPr>
          <w:spacing w:val="-3"/>
          <w:w w:val="105"/>
          <w:sz w:val="21"/>
        </w:rPr>
        <w:t>fully </w:t>
      </w:r>
      <w:r>
        <w:rPr>
          <w:w w:val="105"/>
          <w:sz w:val="21"/>
        </w:rPr>
        <w:t>executed as occurs in </w:t>
      </w:r>
      <w:r>
        <w:rPr>
          <w:spacing w:val="-6"/>
          <w:w w:val="105"/>
          <w:sz w:val="21"/>
        </w:rPr>
        <w:t>Tasmania.</w:t>
      </w:r>
      <w:r>
        <w:rPr>
          <w:spacing w:val="-6"/>
          <w:w w:val="105"/>
          <w:position w:val="7"/>
          <w:sz w:val="12"/>
        </w:rPr>
        <w:t>119 </w:t>
      </w:r>
      <w:r>
        <w:rPr>
          <w:spacing w:val="-5"/>
          <w:w w:val="105"/>
          <w:sz w:val="21"/>
        </w:rPr>
        <w:t>VCAT </w:t>
      </w:r>
      <w:r>
        <w:rPr>
          <w:w w:val="105"/>
          <w:sz w:val="21"/>
        </w:rPr>
        <w:t>should decide whether </w:t>
      </w:r>
      <w:r>
        <w:rPr>
          <w:spacing w:val="-3"/>
          <w:w w:val="105"/>
          <w:sz w:val="21"/>
        </w:rPr>
        <w:t>to </w:t>
      </w:r>
      <w:r>
        <w:rPr>
          <w:w w:val="105"/>
          <w:sz w:val="21"/>
        </w:rPr>
        <w:t>join the parties depending on the facts of the </w:t>
      </w:r>
      <w:r>
        <w:rPr>
          <w:spacing w:val="-3"/>
          <w:w w:val="105"/>
          <w:sz w:val="21"/>
        </w:rPr>
        <w:t>case. </w:t>
      </w:r>
      <w:r>
        <w:rPr>
          <w:w w:val="105"/>
          <w:sz w:val="21"/>
        </w:rPr>
        <w:t>The </w:t>
      </w:r>
      <w:r>
        <w:rPr>
          <w:spacing w:val="-5"/>
          <w:w w:val="105"/>
          <w:sz w:val="21"/>
        </w:rPr>
        <w:t>VCAT </w:t>
      </w:r>
      <w:r>
        <w:rPr>
          <w:w w:val="105"/>
          <w:sz w:val="21"/>
        </w:rPr>
        <w:t>Act provides </w:t>
      </w:r>
      <w:r>
        <w:rPr>
          <w:spacing w:val="-5"/>
          <w:w w:val="105"/>
          <w:sz w:val="21"/>
        </w:rPr>
        <w:t>VCAT </w:t>
      </w:r>
      <w:r>
        <w:rPr>
          <w:w w:val="105"/>
          <w:sz w:val="21"/>
        </w:rPr>
        <w:t>with the power </w:t>
      </w:r>
      <w:r>
        <w:rPr>
          <w:spacing w:val="-3"/>
          <w:w w:val="105"/>
          <w:sz w:val="21"/>
        </w:rPr>
        <w:t>to </w:t>
      </w:r>
      <w:r>
        <w:rPr>
          <w:w w:val="105"/>
          <w:sz w:val="21"/>
        </w:rPr>
        <w:t>do this if it considers ‘that the person </w:t>
      </w:r>
      <w:r>
        <w:rPr>
          <w:spacing w:val="-3"/>
          <w:w w:val="105"/>
          <w:sz w:val="21"/>
        </w:rPr>
        <w:t>ought to </w:t>
      </w:r>
      <w:r>
        <w:rPr>
          <w:w w:val="105"/>
          <w:sz w:val="21"/>
        </w:rPr>
        <w:t>be bound </w:t>
      </w:r>
      <w:r>
        <w:rPr>
          <w:spacing w:val="-6"/>
          <w:w w:val="105"/>
          <w:sz w:val="21"/>
        </w:rPr>
        <w:t>by, </w:t>
      </w:r>
      <w:r>
        <w:rPr>
          <w:w w:val="105"/>
          <w:sz w:val="21"/>
        </w:rPr>
        <w:t>or </w:t>
      </w:r>
      <w:r>
        <w:rPr>
          <w:spacing w:val="-3"/>
          <w:w w:val="105"/>
          <w:sz w:val="21"/>
        </w:rPr>
        <w:t>have </w:t>
      </w:r>
      <w:r>
        <w:rPr>
          <w:w w:val="105"/>
          <w:sz w:val="21"/>
        </w:rPr>
        <w:t>the benefit </w:t>
      </w:r>
      <w:r>
        <w:rPr>
          <w:spacing w:val="-6"/>
          <w:w w:val="105"/>
          <w:sz w:val="21"/>
        </w:rPr>
        <w:t>of, </w:t>
      </w:r>
      <w:r>
        <w:rPr>
          <w:w w:val="105"/>
          <w:sz w:val="21"/>
        </w:rPr>
        <w:t>an Order of the </w:t>
      </w:r>
      <w:r>
        <w:rPr>
          <w:spacing w:val="-5"/>
          <w:w w:val="105"/>
          <w:sz w:val="21"/>
        </w:rPr>
        <w:t>Tribunal </w:t>
      </w:r>
      <w:r>
        <w:rPr>
          <w:w w:val="105"/>
          <w:sz w:val="21"/>
        </w:rPr>
        <w:t>in the proceeding; the </w:t>
      </w:r>
      <w:r>
        <w:rPr>
          <w:spacing w:val="-3"/>
          <w:w w:val="105"/>
          <w:sz w:val="21"/>
        </w:rPr>
        <w:t>person’s </w:t>
      </w:r>
      <w:r>
        <w:rPr>
          <w:w w:val="105"/>
          <w:sz w:val="21"/>
        </w:rPr>
        <w:t>interests </w:t>
      </w:r>
      <w:r>
        <w:rPr>
          <w:spacing w:val="-3"/>
          <w:w w:val="105"/>
          <w:sz w:val="21"/>
        </w:rPr>
        <w:t>are </w:t>
      </w:r>
      <w:r>
        <w:rPr>
          <w:w w:val="105"/>
          <w:sz w:val="21"/>
        </w:rPr>
        <w:t>affected by the proceeding;</w:t>
      </w:r>
      <w:r>
        <w:rPr>
          <w:spacing w:val="-6"/>
          <w:w w:val="105"/>
          <w:sz w:val="21"/>
        </w:rPr>
        <w:t> </w:t>
      </w:r>
      <w:r>
        <w:rPr>
          <w:w w:val="105"/>
          <w:sz w:val="21"/>
        </w:rPr>
        <w:t>or</w:t>
      </w:r>
      <w:r>
        <w:rPr>
          <w:spacing w:val="-6"/>
          <w:w w:val="105"/>
          <w:sz w:val="21"/>
        </w:rPr>
        <w:t> </w:t>
      </w:r>
      <w:r>
        <w:rPr>
          <w:spacing w:val="-3"/>
          <w:w w:val="105"/>
          <w:sz w:val="21"/>
        </w:rPr>
        <w:t>for</w:t>
      </w:r>
      <w:r>
        <w:rPr>
          <w:spacing w:val="-5"/>
          <w:w w:val="105"/>
          <w:sz w:val="21"/>
        </w:rPr>
        <w:t> </w:t>
      </w:r>
      <w:r>
        <w:rPr>
          <w:spacing w:val="-3"/>
          <w:w w:val="105"/>
          <w:sz w:val="21"/>
        </w:rPr>
        <w:t>any</w:t>
      </w:r>
      <w:r>
        <w:rPr>
          <w:spacing w:val="-6"/>
          <w:w w:val="105"/>
          <w:sz w:val="21"/>
        </w:rPr>
        <w:t> </w:t>
      </w:r>
      <w:r>
        <w:rPr>
          <w:w w:val="105"/>
          <w:sz w:val="21"/>
        </w:rPr>
        <w:t>other</w:t>
      </w:r>
      <w:r>
        <w:rPr>
          <w:spacing w:val="-5"/>
          <w:w w:val="105"/>
          <w:sz w:val="21"/>
        </w:rPr>
        <w:t> </w:t>
      </w:r>
      <w:r>
        <w:rPr>
          <w:w w:val="105"/>
          <w:sz w:val="21"/>
        </w:rPr>
        <w:t>reason</w:t>
      </w:r>
      <w:r>
        <w:rPr>
          <w:spacing w:val="-6"/>
          <w:w w:val="105"/>
          <w:sz w:val="21"/>
        </w:rPr>
        <w:t> </w:t>
      </w:r>
      <w:r>
        <w:rPr>
          <w:w w:val="105"/>
          <w:sz w:val="21"/>
        </w:rPr>
        <w:t>it</w:t>
      </w:r>
      <w:r>
        <w:rPr>
          <w:spacing w:val="-6"/>
          <w:w w:val="105"/>
          <w:sz w:val="21"/>
        </w:rPr>
        <w:t> </w:t>
      </w:r>
      <w:r>
        <w:rPr>
          <w:w w:val="105"/>
          <w:sz w:val="21"/>
        </w:rPr>
        <w:t>is</w:t>
      </w:r>
      <w:r>
        <w:rPr>
          <w:spacing w:val="-5"/>
          <w:w w:val="105"/>
          <w:sz w:val="21"/>
        </w:rPr>
        <w:t> </w:t>
      </w:r>
      <w:r>
        <w:rPr>
          <w:spacing w:val="-3"/>
          <w:w w:val="105"/>
          <w:sz w:val="21"/>
        </w:rPr>
        <w:t>desirable</w:t>
      </w:r>
      <w:r>
        <w:rPr>
          <w:spacing w:val="-6"/>
          <w:w w:val="105"/>
          <w:sz w:val="21"/>
        </w:rPr>
        <w:t> </w:t>
      </w:r>
      <w:r>
        <w:rPr>
          <w:spacing w:val="-3"/>
          <w:w w:val="105"/>
          <w:sz w:val="21"/>
        </w:rPr>
        <w:t>that</w:t>
      </w:r>
      <w:r>
        <w:rPr>
          <w:spacing w:val="-5"/>
          <w:w w:val="105"/>
          <w:sz w:val="21"/>
        </w:rPr>
        <w:t> </w:t>
      </w:r>
      <w:r>
        <w:rPr>
          <w:w w:val="105"/>
          <w:sz w:val="21"/>
        </w:rPr>
        <w:t>the</w:t>
      </w:r>
      <w:r>
        <w:rPr>
          <w:spacing w:val="-6"/>
          <w:w w:val="105"/>
          <w:sz w:val="21"/>
        </w:rPr>
        <w:t> </w:t>
      </w:r>
      <w:r>
        <w:rPr>
          <w:w w:val="105"/>
          <w:sz w:val="21"/>
        </w:rPr>
        <w:t>person</w:t>
      </w:r>
      <w:r>
        <w:rPr>
          <w:spacing w:val="-5"/>
          <w:w w:val="105"/>
          <w:sz w:val="21"/>
        </w:rPr>
        <w:t> </w:t>
      </w:r>
      <w:r>
        <w:rPr>
          <w:w w:val="105"/>
          <w:sz w:val="21"/>
        </w:rPr>
        <w:t>be</w:t>
      </w:r>
      <w:r>
        <w:rPr>
          <w:spacing w:val="-6"/>
          <w:w w:val="105"/>
          <w:sz w:val="21"/>
        </w:rPr>
        <w:t> </w:t>
      </w:r>
      <w:r>
        <w:rPr>
          <w:w w:val="105"/>
          <w:sz w:val="21"/>
        </w:rPr>
        <w:t>joined</w:t>
      </w:r>
      <w:r>
        <w:rPr>
          <w:spacing w:val="-6"/>
          <w:w w:val="105"/>
          <w:sz w:val="21"/>
        </w:rPr>
        <w:t> </w:t>
      </w:r>
      <w:r>
        <w:rPr>
          <w:w w:val="105"/>
          <w:sz w:val="21"/>
        </w:rPr>
        <w:t>as</w:t>
      </w:r>
      <w:r>
        <w:rPr>
          <w:spacing w:val="-5"/>
          <w:w w:val="105"/>
          <w:sz w:val="21"/>
        </w:rPr>
        <w:t> </w:t>
      </w:r>
      <w:r>
        <w:rPr>
          <w:w w:val="105"/>
          <w:sz w:val="21"/>
        </w:rPr>
        <w:t>a</w:t>
      </w:r>
      <w:r>
        <w:rPr>
          <w:spacing w:val="-6"/>
          <w:w w:val="105"/>
          <w:sz w:val="21"/>
        </w:rPr>
        <w:t> </w:t>
      </w:r>
      <w:r>
        <w:rPr>
          <w:spacing w:val="-5"/>
          <w:w w:val="105"/>
          <w:sz w:val="21"/>
        </w:rPr>
        <w:t>party’.</w:t>
      </w:r>
      <w:r>
        <w:rPr>
          <w:spacing w:val="-5"/>
          <w:w w:val="105"/>
          <w:position w:val="7"/>
          <w:sz w:val="12"/>
        </w:rPr>
        <w:t>120</w:t>
      </w:r>
    </w:p>
    <w:p>
      <w:pPr>
        <w:pStyle w:val="ListParagraph"/>
        <w:numPr>
          <w:ilvl w:val="1"/>
          <w:numId w:val="16"/>
        </w:numPr>
        <w:tabs>
          <w:tab w:pos="2381" w:val="left" w:leader="none"/>
          <w:tab w:pos="2382" w:val="left" w:leader="none"/>
        </w:tabs>
        <w:spacing w:line="242" w:lineRule="auto" w:before="127" w:after="0"/>
        <w:ind w:left="2381" w:right="1627" w:hanging="794"/>
        <w:jc w:val="left"/>
        <w:rPr>
          <w:sz w:val="21"/>
        </w:rPr>
      </w:pPr>
      <w:r>
        <w:rPr>
          <w:w w:val="105"/>
          <w:sz w:val="21"/>
        </w:rPr>
        <w:t>When</w:t>
      </w:r>
      <w:r>
        <w:rPr>
          <w:spacing w:val="-5"/>
          <w:w w:val="105"/>
          <w:sz w:val="21"/>
        </w:rPr>
        <w:t> </w:t>
      </w:r>
      <w:r>
        <w:rPr>
          <w:spacing w:val="-3"/>
          <w:w w:val="105"/>
          <w:sz w:val="21"/>
        </w:rPr>
        <w:t>making</w:t>
      </w:r>
      <w:r>
        <w:rPr>
          <w:spacing w:val="-5"/>
          <w:w w:val="105"/>
          <w:sz w:val="21"/>
        </w:rPr>
        <w:t> </w:t>
      </w:r>
      <w:r>
        <w:rPr>
          <w:w w:val="105"/>
          <w:sz w:val="21"/>
        </w:rPr>
        <w:t>an</w:t>
      </w:r>
      <w:r>
        <w:rPr>
          <w:spacing w:val="-5"/>
          <w:w w:val="105"/>
          <w:sz w:val="21"/>
        </w:rPr>
        <w:t> </w:t>
      </w:r>
      <w:r>
        <w:rPr>
          <w:w w:val="105"/>
          <w:sz w:val="21"/>
        </w:rPr>
        <w:t>application</w:t>
      </w:r>
      <w:r>
        <w:rPr>
          <w:spacing w:val="-5"/>
          <w:w w:val="105"/>
          <w:sz w:val="21"/>
        </w:rPr>
        <w:t> </w:t>
      </w:r>
      <w:r>
        <w:rPr>
          <w:spacing w:val="-3"/>
          <w:w w:val="105"/>
          <w:sz w:val="21"/>
        </w:rPr>
        <w:t>to</w:t>
      </w:r>
      <w:r>
        <w:rPr>
          <w:spacing w:val="-5"/>
          <w:w w:val="105"/>
          <w:sz w:val="21"/>
        </w:rPr>
        <w:t> </w:t>
      </w:r>
      <w:r>
        <w:rPr>
          <w:spacing w:val="-3"/>
          <w:w w:val="105"/>
          <w:sz w:val="21"/>
        </w:rPr>
        <w:t>initiate</w:t>
      </w:r>
      <w:r>
        <w:rPr>
          <w:spacing w:val="-4"/>
          <w:w w:val="105"/>
          <w:sz w:val="21"/>
        </w:rPr>
        <w:t> </w:t>
      </w:r>
      <w:r>
        <w:rPr>
          <w:w w:val="105"/>
          <w:sz w:val="21"/>
        </w:rPr>
        <w:t>a</w:t>
      </w:r>
      <w:r>
        <w:rPr>
          <w:spacing w:val="-5"/>
          <w:w w:val="105"/>
          <w:sz w:val="21"/>
        </w:rPr>
        <w:t> </w:t>
      </w:r>
      <w:r>
        <w:rPr>
          <w:w w:val="105"/>
          <w:sz w:val="21"/>
        </w:rPr>
        <w:t>matter</w:t>
      </w:r>
      <w:r>
        <w:rPr>
          <w:spacing w:val="-5"/>
          <w:w w:val="105"/>
          <w:sz w:val="21"/>
        </w:rPr>
        <w:t> </w:t>
      </w:r>
      <w:r>
        <w:rPr>
          <w:w w:val="105"/>
          <w:sz w:val="21"/>
        </w:rPr>
        <w:t>under</w:t>
      </w:r>
      <w:r>
        <w:rPr>
          <w:spacing w:val="-5"/>
          <w:w w:val="105"/>
          <w:sz w:val="21"/>
        </w:rPr>
        <w:t> </w:t>
      </w:r>
      <w:r>
        <w:rPr>
          <w:w w:val="105"/>
          <w:sz w:val="21"/>
        </w:rPr>
        <w:t>the</w:t>
      </w:r>
      <w:r>
        <w:rPr>
          <w:spacing w:val="-5"/>
          <w:w w:val="105"/>
          <w:sz w:val="21"/>
        </w:rPr>
        <w:t> </w:t>
      </w:r>
      <w:r>
        <w:rPr>
          <w:w w:val="105"/>
          <w:sz w:val="21"/>
        </w:rPr>
        <w:t>new</w:t>
      </w:r>
      <w:r>
        <w:rPr>
          <w:spacing w:val="-4"/>
          <w:w w:val="105"/>
          <w:sz w:val="21"/>
        </w:rPr>
        <w:t> </w:t>
      </w:r>
      <w:r>
        <w:rPr>
          <w:w w:val="105"/>
          <w:sz w:val="21"/>
        </w:rPr>
        <w:t>Act,</w:t>
      </w:r>
      <w:r>
        <w:rPr>
          <w:spacing w:val="-5"/>
          <w:w w:val="105"/>
          <w:sz w:val="21"/>
        </w:rPr>
        <w:t> </w:t>
      </w:r>
      <w:r>
        <w:rPr>
          <w:spacing w:val="-3"/>
          <w:w w:val="105"/>
          <w:sz w:val="21"/>
        </w:rPr>
        <w:t>all</w:t>
      </w:r>
      <w:r>
        <w:rPr>
          <w:spacing w:val="-5"/>
          <w:w w:val="105"/>
          <w:sz w:val="21"/>
        </w:rPr>
        <w:t> </w:t>
      </w:r>
      <w:r>
        <w:rPr>
          <w:w w:val="105"/>
          <w:sz w:val="21"/>
        </w:rPr>
        <w:t>parties</w:t>
      </w:r>
      <w:r>
        <w:rPr>
          <w:spacing w:val="-5"/>
          <w:w w:val="105"/>
          <w:sz w:val="21"/>
        </w:rPr>
        <w:t> </w:t>
      </w:r>
      <w:r>
        <w:rPr>
          <w:spacing w:val="-3"/>
          <w:w w:val="105"/>
          <w:sz w:val="21"/>
        </w:rPr>
        <w:t>involved</w:t>
      </w:r>
      <w:r>
        <w:rPr>
          <w:spacing w:val="-5"/>
          <w:w w:val="105"/>
          <w:sz w:val="21"/>
        </w:rPr>
        <w:t> </w:t>
      </w:r>
      <w:r>
        <w:rPr>
          <w:w w:val="105"/>
          <w:sz w:val="21"/>
        </w:rPr>
        <w:t>in the </w:t>
      </w:r>
      <w:r>
        <w:rPr>
          <w:spacing w:val="-3"/>
          <w:w w:val="105"/>
          <w:sz w:val="21"/>
        </w:rPr>
        <w:t>dispute </w:t>
      </w:r>
      <w:r>
        <w:rPr>
          <w:w w:val="105"/>
          <w:sz w:val="21"/>
        </w:rPr>
        <w:t>should be obliged </w:t>
      </w:r>
      <w:r>
        <w:rPr>
          <w:spacing w:val="-3"/>
          <w:w w:val="105"/>
          <w:sz w:val="21"/>
        </w:rPr>
        <w:t>to reveal </w:t>
      </w:r>
      <w:r>
        <w:rPr>
          <w:w w:val="105"/>
          <w:sz w:val="21"/>
        </w:rPr>
        <w:t>whether they </w:t>
      </w:r>
      <w:r>
        <w:rPr>
          <w:spacing w:val="-3"/>
          <w:w w:val="105"/>
          <w:sz w:val="21"/>
        </w:rPr>
        <w:t>have entered </w:t>
      </w:r>
      <w:r>
        <w:rPr>
          <w:spacing w:val="-4"/>
          <w:w w:val="105"/>
          <w:sz w:val="21"/>
        </w:rPr>
        <w:t>into </w:t>
      </w:r>
      <w:r>
        <w:rPr>
          <w:w w:val="105"/>
          <w:sz w:val="21"/>
        </w:rPr>
        <w:t>a contract of sale of</w:t>
      </w:r>
      <w:r>
        <w:rPr>
          <w:spacing w:val="-5"/>
          <w:w w:val="105"/>
          <w:sz w:val="21"/>
        </w:rPr>
        <w:t> </w:t>
      </w:r>
      <w:r>
        <w:rPr>
          <w:spacing w:val="-3"/>
          <w:w w:val="105"/>
          <w:sz w:val="21"/>
        </w:rPr>
        <w:t>land</w:t>
      </w:r>
      <w:r>
        <w:rPr>
          <w:spacing w:val="-5"/>
          <w:w w:val="105"/>
          <w:sz w:val="21"/>
        </w:rPr>
        <w:t> </w:t>
      </w:r>
      <w:r>
        <w:rPr>
          <w:w w:val="105"/>
          <w:sz w:val="21"/>
        </w:rPr>
        <w:t>at</w:t>
      </w:r>
      <w:r>
        <w:rPr>
          <w:spacing w:val="-5"/>
          <w:w w:val="105"/>
          <w:sz w:val="21"/>
        </w:rPr>
        <w:t> </w:t>
      </w:r>
      <w:r>
        <w:rPr>
          <w:w w:val="105"/>
          <w:sz w:val="21"/>
        </w:rPr>
        <w:t>the</w:t>
      </w:r>
      <w:r>
        <w:rPr>
          <w:spacing w:val="-4"/>
          <w:w w:val="105"/>
          <w:sz w:val="21"/>
        </w:rPr>
        <w:t> </w:t>
      </w:r>
      <w:r>
        <w:rPr>
          <w:spacing w:val="-3"/>
          <w:w w:val="105"/>
          <w:sz w:val="21"/>
        </w:rPr>
        <w:t>time.</w:t>
      </w:r>
      <w:r>
        <w:rPr>
          <w:spacing w:val="-5"/>
          <w:w w:val="105"/>
          <w:sz w:val="21"/>
        </w:rPr>
        <w:t> </w:t>
      </w:r>
      <w:r>
        <w:rPr>
          <w:w w:val="105"/>
          <w:sz w:val="21"/>
        </w:rPr>
        <w:t>This</w:t>
      </w:r>
      <w:r>
        <w:rPr>
          <w:spacing w:val="-5"/>
          <w:w w:val="105"/>
          <w:sz w:val="21"/>
        </w:rPr>
        <w:t> </w:t>
      </w:r>
      <w:r>
        <w:rPr>
          <w:w w:val="105"/>
          <w:sz w:val="21"/>
        </w:rPr>
        <w:t>should</w:t>
      </w:r>
      <w:r>
        <w:rPr>
          <w:spacing w:val="-5"/>
          <w:w w:val="105"/>
          <w:sz w:val="21"/>
        </w:rPr>
        <w:t> </w:t>
      </w:r>
      <w:r>
        <w:rPr>
          <w:w w:val="105"/>
          <w:sz w:val="21"/>
        </w:rPr>
        <w:t>be</w:t>
      </w:r>
      <w:r>
        <w:rPr>
          <w:spacing w:val="-5"/>
          <w:w w:val="105"/>
          <w:sz w:val="21"/>
        </w:rPr>
        <w:t> </w:t>
      </w:r>
      <w:r>
        <w:rPr>
          <w:w w:val="105"/>
          <w:sz w:val="21"/>
        </w:rPr>
        <w:t>one</w:t>
      </w:r>
      <w:r>
        <w:rPr>
          <w:spacing w:val="-4"/>
          <w:w w:val="105"/>
          <w:sz w:val="21"/>
        </w:rPr>
        <w:t> </w:t>
      </w:r>
      <w:r>
        <w:rPr>
          <w:w w:val="105"/>
          <w:sz w:val="21"/>
        </w:rPr>
        <w:t>of</w:t>
      </w:r>
      <w:r>
        <w:rPr>
          <w:spacing w:val="-5"/>
          <w:w w:val="105"/>
          <w:sz w:val="21"/>
        </w:rPr>
        <w:t> </w:t>
      </w:r>
      <w:r>
        <w:rPr>
          <w:w w:val="105"/>
          <w:sz w:val="21"/>
        </w:rPr>
        <w:t>the</w:t>
      </w:r>
      <w:r>
        <w:rPr>
          <w:spacing w:val="-5"/>
          <w:w w:val="105"/>
          <w:sz w:val="21"/>
        </w:rPr>
        <w:t> </w:t>
      </w:r>
      <w:r>
        <w:rPr>
          <w:w w:val="105"/>
          <w:sz w:val="21"/>
        </w:rPr>
        <w:t>details</w:t>
      </w:r>
      <w:r>
        <w:rPr>
          <w:spacing w:val="-5"/>
          <w:w w:val="105"/>
          <w:sz w:val="21"/>
        </w:rPr>
        <w:t> </w:t>
      </w:r>
      <w:r>
        <w:rPr>
          <w:spacing w:val="-3"/>
          <w:w w:val="105"/>
          <w:sz w:val="21"/>
        </w:rPr>
        <w:t>included</w:t>
      </w:r>
      <w:r>
        <w:rPr>
          <w:spacing w:val="-4"/>
          <w:w w:val="105"/>
          <w:sz w:val="21"/>
        </w:rPr>
        <w:t> </w:t>
      </w:r>
      <w:r>
        <w:rPr>
          <w:w w:val="105"/>
          <w:sz w:val="21"/>
        </w:rPr>
        <w:t>in</w:t>
      </w:r>
      <w:r>
        <w:rPr>
          <w:spacing w:val="-5"/>
          <w:w w:val="105"/>
          <w:sz w:val="21"/>
        </w:rPr>
        <w:t> </w:t>
      </w:r>
      <w:r>
        <w:rPr>
          <w:w w:val="105"/>
          <w:sz w:val="21"/>
        </w:rPr>
        <w:t>the</w:t>
      </w:r>
      <w:r>
        <w:rPr>
          <w:spacing w:val="-5"/>
          <w:w w:val="105"/>
          <w:sz w:val="21"/>
        </w:rPr>
        <w:t> </w:t>
      </w:r>
      <w:r>
        <w:rPr>
          <w:w w:val="105"/>
          <w:sz w:val="21"/>
        </w:rPr>
        <w:t>application</w:t>
      </w:r>
      <w:r>
        <w:rPr>
          <w:spacing w:val="-5"/>
          <w:w w:val="105"/>
          <w:sz w:val="21"/>
        </w:rPr>
        <w:t> </w:t>
      </w:r>
      <w:r>
        <w:rPr>
          <w:spacing w:val="-3"/>
          <w:w w:val="105"/>
          <w:sz w:val="21"/>
        </w:rPr>
        <w:t>form.</w:t>
      </w:r>
      <w:r>
        <w:rPr>
          <w:spacing w:val="-4"/>
          <w:w w:val="105"/>
          <w:sz w:val="21"/>
        </w:rPr>
        <w:t> </w:t>
      </w:r>
      <w:r>
        <w:rPr>
          <w:w w:val="105"/>
          <w:sz w:val="21"/>
        </w:rPr>
        <w:t>See </w:t>
      </w:r>
      <w:r>
        <w:rPr>
          <w:spacing w:val="-4"/>
          <w:w w:val="105"/>
          <w:sz w:val="21"/>
        </w:rPr>
        <w:t>Chapter</w:t>
      </w:r>
      <w:r>
        <w:rPr>
          <w:spacing w:val="5"/>
          <w:w w:val="105"/>
          <w:sz w:val="21"/>
        </w:rPr>
        <w:t> </w:t>
      </w:r>
      <w:r>
        <w:rPr>
          <w:w w:val="105"/>
          <w:sz w:val="21"/>
        </w:rPr>
        <w:t>5.</w:t>
      </w:r>
    </w:p>
    <w:p>
      <w:pPr>
        <w:pStyle w:val="BodyText"/>
        <w:spacing w:before="2"/>
        <w:rPr>
          <w:sz w:val="19"/>
        </w:rPr>
      </w:pPr>
      <w:r>
        <w:rPr/>
        <w:pict>
          <v:group style="position:absolute;margin-left:62.362202pt;margin-top:13.671674pt;width:479.1pt;height:109.4pt;mso-position-horizontal-relative:page;mso-position-vertical-relative:paragraph;z-index:11312;mso-wrap-distance-left:0;mso-wrap-distance-right:0" coordorigin="1247,273" coordsize="9582,2188">
            <v:rect style="position:absolute;left:1587;top:273;width:8731;height:2188" filled="true" fillcolor="#dbe0dd" stroked="false">
              <v:fill type="solid"/>
            </v:rect>
            <v:line style="position:absolute" from="1247,1020" to="10828,1020" stroked="true" strokeweight="2.5pt" strokecolor="#ffffff">
              <v:stroke dashstyle="solid"/>
            </v:line>
            <v:shape style="position:absolute;left:1587;top:1045;width:8731;height:1416" type="#_x0000_t202" filled="true" fillcolor="#dbe0dd" stroked="false">
              <v:textbox inset="0,0,0,0">
                <w:txbxContent>
                  <w:p>
                    <w:pPr>
                      <w:tabs>
                        <w:tab w:pos="793" w:val="left" w:leader="none"/>
                      </w:tabs>
                      <w:spacing w:line="242" w:lineRule="auto" w:before="208"/>
                      <w:ind w:left="793" w:right="464" w:hanging="567"/>
                      <w:jc w:val="left"/>
                      <w:rPr>
                        <w:sz w:val="21"/>
                      </w:rPr>
                    </w:pPr>
                    <w:r>
                      <w:rPr>
                        <w:b/>
                        <w:w w:val="115"/>
                        <w:sz w:val="21"/>
                      </w:rPr>
                      <w:t>56</w:t>
                      <w:tab/>
                    </w:r>
                    <w:r>
                      <w:rPr>
                        <w:w w:val="115"/>
                        <w:sz w:val="21"/>
                      </w:rPr>
                      <w:t>If a party to a tree dispute enters into a contract of sale of land while legal action under the Act is underway, the Act should require that party to</w:t>
                    </w:r>
                    <w:r>
                      <w:rPr>
                        <w:spacing w:val="-38"/>
                        <w:w w:val="115"/>
                        <w:sz w:val="21"/>
                      </w:rPr>
                      <w:t> </w:t>
                    </w:r>
                    <w:r>
                      <w:rPr>
                        <w:w w:val="115"/>
                        <w:sz w:val="21"/>
                      </w:rPr>
                      <w:t>notify the Victorian Civil and Administrative </w:t>
                    </w:r>
                    <w:r>
                      <w:rPr>
                        <w:spacing w:val="-4"/>
                        <w:w w:val="115"/>
                        <w:sz w:val="21"/>
                      </w:rPr>
                      <w:t>Tribunal </w:t>
                    </w:r>
                    <w:r>
                      <w:rPr>
                        <w:w w:val="115"/>
                        <w:sz w:val="21"/>
                      </w:rPr>
                      <w:t>about the sale as soon as possible after the contract of sale has been fully</w:t>
                    </w:r>
                    <w:r>
                      <w:rPr>
                        <w:spacing w:val="-14"/>
                        <w:w w:val="115"/>
                        <w:sz w:val="21"/>
                      </w:rPr>
                      <w:t> </w:t>
                    </w:r>
                    <w:r>
                      <w:rPr>
                        <w:w w:val="115"/>
                        <w:sz w:val="21"/>
                      </w:rPr>
                      <w:t>executed.</w:t>
                    </w:r>
                  </w:p>
                </w:txbxContent>
              </v:textbox>
              <v:fill type="solid"/>
              <w10:wrap type="none"/>
            </v:shape>
            <v:shape style="position:absolute;left:1587;top:273;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w:t>
                    </w:r>
                  </w:p>
                </w:txbxContent>
              </v:textbox>
              <v:fill type="solid"/>
              <w10:wrap type="none"/>
            </v:shape>
            <w10:wrap type="topAndBottom"/>
          </v:group>
        </w:pict>
      </w:r>
    </w:p>
    <w:p>
      <w:pPr>
        <w:pStyle w:val="BodyText"/>
        <w:rPr>
          <w:sz w:val="20"/>
        </w:rPr>
      </w:pPr>
    </w:p>
    <w:p>
      <w:pPr>
        <w:pStyle w:val="BodyText"/>
        <w:spacing w:before="4"/>
        <w:rPr>
          <w:sz w:val="16"/>
        </w:rPr>
      </w:pPr>
    </w:p>
    <w:p>
      <w:pPr>
        <w:pStyle w:val="Heading5"/>
        <w:spacing w:before="96"/>
      </w:pPr>
      <w:r>
        <w:rPr>
          <w:w w:val="110"/>
        </w:rPr>
        <w:t>Not recommended: a searchable database of orders</w:t>
      </w:r>
    </w:p>
    <w:p>
      <w:pPr>
        <w:pStyle w:val="ListParagraph"/>
        <w:numPr>
          <w:ilvl w:val="1"/>
          <w:numId w:val="16"/>
        </w:numPr>
        <w:tabs>
          <w:tab w:pos="2380" w:val="left" w:leader="none"/>
          <w:tab w:pos="2381" w:val="left" w:leader="none"/>
        </w:tabs>
        <w:spacing w:line="242" w:lineRule="auto" w:before="138" w:after="0"/>
        <w:ind w:left="2381" w:right="1623" w:hanging="794"/>
        <w:jc w:val="left"/>
        <w:rPr>
          <w:sz w:val="21"/>
        </w:rPr>
      </w:pPr>
      <w:r>
        <w:rPr>
          <w:w w:val="105"/>
          <w:sz w:val="21"/>
        </w:rPr>
        <w:t>Although</w:t>
      </w:r>
      <w:r>
        <w:rPr>
          <w:spacing w:val="-6"/>
          <w:w w:val="105"/>
          <w:sz w:val="21"/>
        </w:rPr>
        <w:t> </w:t>
      </w:r>
      <w:r>
        <w:rPr>
          <w:w w:val="105"/>
          <w:sz w:val="21"/>
        </w:rPr>
        <w:t>there</w:t>
      </w:r>
      <w:r>
        <w:rPr>
          <w:spacing w:val="-6"/>
          <w:w w:val="105"/>
          <w:sz w:val="21"/>
        </w:rPr>
        <w:t> </w:t>
      </w:r>
      <w:r>
        <w:rPr>
          <w:w w:val="105"/>
          <w:sz w:val="21"/>
        </w:rPr>
        <w:t>was</w:t>
      </w:r>
      <w:r>
        <w:rPr>
          <w:spacing w:val="-6"/>
          <w:w w:val="105"/>
          <w:sz w:val="21"/>
        </w:rPr>
        <w:t> </w:t>
      </w:r>
      <w:r>
        <w:rPr>
          <w:spacing w:val="-3"/>
          <w:w w:val="105"/>
          <w:sz w:val="21"/>
        </w:rPr>
        <w:t>considerable</w:t>
      </w:r>
      <w:r>
        <w:rPr>
          <w:spacing w:val="-6"/>
          <w:w w:val="105"/>
          <w:sz w:val="21"/>
        </w:rPr>
        <w:t> </w:t>
      </w:r>
      <w:r>
        <w:rPr>
          <w:w w:val="105"/>
          <w:sz w:val="21"/>
        </w:rPr>
        <w:t>support</w:t>
      </w:r>
      <w:r>
        <w:rPr>
          <w:spacing w:val="-6"/>
          <w:w w:val="105"/>
          <w:sz w:val="21"/>
        </w:rPr>
        <w:t> </w:t>
      </w:r>
      <w:r>
        <w:rPr>
          <w:spacing w:val="-3"/>
          <w:w w:val="105"/>
          <w:sz w:val="21"/>
        </w:rPr>
        <w:t>for</w:t>
      </w:r>
      <w:r>
        <w:rPr>
          <w:spacing w:val="-6"/>
          <w:w w:val="105"/>
          <w:sz w:val="21"/>
        </w:rPr>
        <w:t> </w:t>
      </w:r>
      <w:r>
        <w:rPr>
          <w:w w:val="105"/>
          <w:sz w:val="21"/>
        </w:rPr>
        <w:t>the</w:t>
      </w:r>
      <w:r>
        <w:rPr>
          <w:spacing w:val="-6"/>
          <w:w w:val="105"/>
          <w:sz w:val="21"/>
        </w:rPr>
        <w:t> </w:t>
      </w:r>
      <w:r>
        <w:rPr>
          <w:w w:val="105"/>
          <w:sz w:val="21"/>
        </w:rPr>
        <w:t>idea</w:t>
      </w:r>
      <w:r>
        <w:rPr>
          <w:spacing w:val="-6"/>
          <w:w w:val="105"/>
          <w:sz w:val="21"/>
        </w:rPr>
        <w:t> </w:t>
      </w:r>
      <w:r>
        <w:rPr>
          <w:w w:val="105"/>
          <w:sz w:val="21"/>
        </w:rPr>
        <w:t>of</w:t>
      </w:r>
      <w:r>
        <w:rPr>
          <w:spacing w:val="-6"/>
          <w:w w:val="105"/>
          <w:sz w:val="21"/>
        </w:rPr>
        <w:t> </w:t>
      </w:r>
      <w:r>
        <w:rPr>
          <w:w w:val="105"/>
          <w:sz w:val="21"/>
        </w:rPr>
        <w:t>a</w:t>
      </w:r>
      <w:r>
        <w:rPr>
          <w:spacing w:val="-6"/>
          <w:w w:val="105"/>
          <w:sz w:val="21"/>
        </w:rPr>
        <w:t> </w:t>
      </w:r>
      <w:r>
        <w:rPr>
          <w:spacing w:val="-3"/>
          <w:w w:val="105"/>
          <w:sz w:val="21"/>
        </w:rPr>
        <w:t>searchable</w:t>
      </w:r>
      <w:r>
        <w:rPr>
          <w:spacing w:val="-5"/>
          <w:w w:val="105"/>
          <w:sz w:val="21"/>
        </w:rPr>
        <w:t> </w:t>
      </w:r>
      <w:r>
        <w:rPr>
          <w:w w:val="105"/>
          <w:sz w:val="21"/>
        </w:rPr>
        <w:t>database</w:t>
      </w:r>
      <w:r>
        <w:rPr>
          <w:spacing w:val="-6"/>
          <w:w w:val="105"/>
          <w:sz w:val="21"/>
        </w:rPr>
        <w:t> </w:t>
      </w:r>
      <w:r>
        <w:rPr>
          <w:w w:val="105"/>
          <w:sz w:val="21"/>
        </w:rPr>
        <w:t>of</w:t>
      </w:r>
      <w:r>
        <w:rPr>
          <w:spacing w:val="-6"/>
          <w:w w:val="105"/>
          <w:sz w:val="21"/>
        </w:rPr>
        <w:t> </w:t>
      </w:r>
      <w:r>
        <w:rPr>
          <w:w w:val="105"/>
          <w:sz w:val="21"/>
        </w:rPr>
        <w:t>orders, its</w:t>
      </w:r>
      <w:r>
        <w:rPr>
          <w:spacing w:val="-12"/>
          <w:w w:val="105"/>
          <w:sz w:val="21"/>
        </w:rPr>
        <w:t> </w:t>
      </w:r>
      <w:r>
        <w:rPr>
          <w:w w:val="105"/>
          <w:sz w:val="21"/>
        </w:rPr>
        <w:t>introduction</w:t>
      </w:r>
      <w:r>
        <w:rPr>
          <w:spacing w:val="-12"/>
          <w:w w:val="105"/>
          <w:sz w:val="21"/>
        </w:rPr>
        <w:t> </w:t>
      </w:r>
      <w:r>
        <w:rPr>
          <w:w w:val="105"/>
          <w:sz w:val="21"/>
        </w:rPr>
        <w:t>in</w:t>
      </w:r>
      <w:r>
        <w:rPr>
          <w:spacing w:val="-11"/>
          <w:w w:val="105"/>
          <w:sz w:val="21"/>
        </w:rPr>
        <w:t> </w:t>
      </w:r>
      <w:r>
        <w:rPr>
          <w:w w:val="105"/>
          <w:sz w:val="21"/>
        </w:rPr>
        <w:t>Victoria</w:t>
      </w:r>
      <w:r>
        <w:rPr>
          <w:spacing w:val="-12"/>
          <w:w w:val="105"/>
          <w:sz w:val="21"/>
        </w:rPr>
        <w:t> </w:t>
      </w:r>
      <w:r>
        <w:rPr>
          <w:w w:val="105"/>
          <w:sz w:val="21"/>
        </w:rPr>
        <w:t>is</w:t>
      </w:r>
      <w:r>
        <w:rPr>
          <w:spacing w:val="-11"/>
          <w:w w:val="105"/>
          <w:sz w:val="21"/>
        </w:rPr>
        <w:t> </w:t>
      </w:r>
      <w:r>
        <w:rPr>
          <w:spacing w:val="-2"/>
          <w:w w:val="105"/>
          <w:sz w:val="21"/>
        </w:rPr>
        <w:t>not</w:t>
      </w:r>
      <w:r>
        <w:rPr>
          <w:spacing w:val="-12"/>
          <w:w w:val="105"/>
          <w:sz w:val="21"/>
        </w:rPr>
        <w:t> </w:t>
      </w:r>
      <w:r>
        <w:rPr>
          <w:w w:val="105"/>
          <w:sz w:val="21"/>
        </w:rPr>
        <w:t>recommended</w:t>
      </w:r>
      <w:r>
        <w:rPr>
          <w:spacing w:val="-11"/>
          <w:w w:val="105"/>
          <w:sz w:val="21"/>
        </w:rPr>
        <w:t> </w:t>
      </w:r>
      <w:r>
        <w:rPr>
          <w:w w:val="105"/>
          <w:sz w:val="21"/>
        </w:rPr>
        <w:t>as</w:t>
      </w:r>
      <w:r>
        <w:rPr>
          <w:spacing w:val="-12"/>
          <w:w w:val="105"/>
          <w:sz w:val="21"/>
        </w:rPr>
        <w:t> </w:t>
      </w:r>
      <w:r>
        <w:rPr>
          <w:w w:val="105"/>
          <w:sz w:val="21"/>
        </w:rPr>
        <w:t>it</w:t>
      </w:r>
      <w:r>
        <w:rPr>
          <w:spacing w:val="-11"/>
          <w:w w:val="105"/>
          <w:sz w:val="21"/>
        </w:rPr>
        <w:t> </w:t>
      </w:r>
      <w:r>
        <w:rPr>
          <w:spacing w:val="-3"/>
          <w:w w:val="105"/>
          <w:sz w:val="21"/>
        </w:rPr>
        <w:t>may</w:t>
      </w:r>
      <w:r>
        <w:rPr>
          <w:spacing w:val="-12"/>
          <w:w w:val="105"/>
          <w:sz w:val="21"/>
        </w:rPr>
        <w:t> </w:t>
      </w:r>
      <w:r>
        <w:rPr>
          <w:spacing w:val="-3"/>
          <w:w w:val="105"/>
          <w:sz w:val="21"/>
        </w:rPr>
        <w:t>result</w:t>
      </w:r>
      <w:r>
        <w:rPr>
          <w:spacing w:val="-11"/>
          <w:w w:val="105"/>
          <w:sz w:val="21"/>
        </w:rPr>
        <w:t> </w:t>
      </w:r>
      <w:r>
        <w:rPr>
          <w:w w:val="105"/>
          <w:sz w:val="21"/>
        </w:rPr>
        <w:t>in</w:t>
      </w:r>
      <w:r>
        <w:rPr>
          <w:spacing w:val="-12"/>
          <w:w w:val="105"/>
          <w:sz w:val="21"/>
        </w:rPr>
        <w:t> </w:t>
      </w:r>
      <w:r>
        <w:rPr>
          <w:w w:val="105"/>
          <w:sz w:val="21"/>
        </w:rPr>
        <w:t>unnecessary</w:t>
      </w:r>
      <w:r>
        <w:rPr>
          <w:spacing w:val="-12"/>
          <w:w w:val="105"/>
          <w:sz w:val="21"/>
        </w:rPr>
        <w:t> </w:t>
      </w:r>
      <w:r>
        <w:rPr>
          <w:spacing w:val="-3"/>
          <w:w w:val="105"/>
          <w:sz w:val="21"/>
        </w:rPr>
        <w:t>duplication </w:t>
      </w:r>
      <w:r>
        <w:rPr>
          <w:w w:val="105"/>
          <w:sz w:val="21"/>
        </w:rPr>
        <w:t>of </w:t>
      </w:r>
      <w:r>
        <w:rPr>
          <w:spacing w:val="-3"/>
          <w:w w:val="105"/>
          <w:sz w:val="21"/>
        </w:rPr>
        <w:t>information to </w:t>
      </w:r>
      <w:r>
        <w:rPr>
          <w:w w:val="105"/>
          <w:sz w:val="21"/>
        </w:rPr>
        <w:t>be disclosed </w:t>
      </w:r>
      <w:r>
        <w:rPr>
          <w:spacing w:val="-3"/>
          <w:w w:val="105"/>
          <w:sz w:val="21"/>
        </w:rPr>
        <w:t>through </w:t>
      </w:r>
      <w:r>
        <w:rPr>
          <w:w w:val="105"/>
          <w:sz w:val="21"/>
        </w:rPr>
        <w:t>a Section </w:t>
      </w:r>
      <w:r>
        <w:rPr>
          <w:spacing w:val="-4"/>
          <w:w w:val="105"/>
          <w:sz w:val="21"/>
        </w:rPr>
        <w:t>32 </w:t>
      </w:r>
      <w:r>
        <w:rPr>
          <w:spacing w:val="-3"/>
          <w:w w:val="105"/>
          <w:sz w:val="21"/>
        </w:rPr>
        <w:t>Vendor Statement. </w:t>
      </w:r>
      <w:r>
        <w:rPr>
          <w:w w:val="105"/>
          <w:sz w:val="21"/>
        </w:rPr>
        <w:t>The amended </w:t>
      </w:r>
      <w:r>
        <w:rPr>
          <w:spacing w:val="-4"/>
          <w:w w:val="105"/>
          <w:sz w:val="21"/>
        </w:rPr>
        <w:t>Vendor’s </w:t>
      </w:r>
      <w:r>
        <w:rPr>
          <w:spacing w:val="-3"/>
          <w:w w:val="105"/>
          <w:sz w:val="21"/>
        </w:rPr>
        <w:t>Statement </w:t>
      </w:r>
      <w:r>
        <w:rPr>
          <w:w w:val="105"/>
          <w:sz w:val="21"/>
        </w:rPr>
        <w:t>would provide sufficient </w:t>
      </w:r>
      <w:r>
        <w:rPr>
          <w:spacing w:val="-3"/>
          <w:w w:val="105"/>
          <w:sz w:val="21"/>
        </w:rPr>
        <w:t>notice </w:t>
      </w:r>
      <w:r>
        <w:rPr>
          <w:w w:val="105"/>
          <w:sz w:val="21"/>
        </w:rPr>
        <w:t>and </w:t>
      </w:r>
      <w:r>
        <w:rPr>
          <w:spacing w:val="-3"/>
          <w:w w:val="105"/>
          <w:sz w:val="21"/>
        </w:rPr>
        <w:t>information to purchasers. Furthermore,</w:t>
      </w:r>
      <w:r>
        <w:rPr>
          <w:spacing w:val="-8"/>
          <w:w w:val="105"/>
          <w:sz w:val="21"/>
        </w:rPr>
        <w:t> </w:t>
      </w:r>
      <w:r>
        <w:rPr>
          <w:w w:val="105"/>
          <w:sz w:val="21"/>
        </w:rPr>
        <w:t>unless</w:t>
      </w:r>
      <w:r>
        <w:rPr>
          <w:spacing w:val="-8"/>
          <w:w w:val="105"/>
          <w:sz w:val="21"/>
        </w:rPr>
        <w:t> </w:t>
      </w:r>
      <w:r>
        <w:rPr>
          <w:w w:val="105"/>
          <w:sz w:val="21"/>
        </w:rPr>
        <w:t>the</w:t>
      </w:r>
      <w:r>
        <w:rPr>
          <w:spacing w:val="-8"/>
          <w:w w:val="105"/>
          <w:sz w:val="21"/>
        </w:rPr>
        <w:t> </w:t>
      </w:r>
      <w:r>
        <w:rPr>
          <w:w w:val="105"/>
          <w:sz w:val="21"/>
        </w:rPr>
        <w:t>database</w:t>
      </w:r>
      <w:r>
        <w:rPr>
          <w:spacing w:val="-8"/>
          <w:w w:val="105"/>
          <w:sz w:val="21"/>
        </w:rPr>
        <w:t> </w:t>
      </w:r>
      <w:r>
        <w:rPr>
          <w:w w:val="105"/>
          <w:sz w:val="21"/>
        </w:rPr>
        <w:t>is</w:t>
      </w:r>
      <w:r>
        <w:rPr>
          <w:spacing w:val="-8"/>
          <w:w w:val="105"/>
          <w:sz w:val="21"/>
        </w:rPr>
        <w:t> </w:t>
      </w:r>
      <w:r>
        <w:rPr>
          <w:w w:val="105"/>
          <w:sz w:val="21"/>
        </w:rPr>
        <w:t>widely</w:t>
      </w:r>
      <w:r>
        <w:rPr>
          <w:spacing w:val="-8"/>
          <w:w w:val="105"/>
          <w:sz w:val="21"/>
        </w:rPr>
        <w:t> </w:t>
      </w:r>
      <w:r>
        <w:rPr>
          <w:spacing w:val="-3"/>
          <w:w w:val="105"/>
          <w:sz w:val="21"/>
        </w:rPr>
        <w:t>publicised</w:t>
      </w:r>
      <w:r>
        <w:rPr>
          <w:spacing w:val="-8"/>
          <w:w w:val="105"/>
          <w:sz w:val="21"/>
        </w:rPr>
        <w:t> </w:t>
      </w:r>
      <w:r>
        <w:rPr>
          <w:w w:val="105"/>
          <w:sz w:val="21"/>
        </w:rPr>
        <w:t>and</w:t>
      </w:r>
      <w:r>
        <w:rPr>
          <w:spacing w:val="-7"/>
          <w:w w:val="105"/>
          <w:sz w:val="21"/>
        </w:rPr>
        <w:t> </w:t>
      </w:r>
      <w:r>
        <w:rPr>
          <w:w w:val="105"/>
          <w:sz w:val="21"/>
        </w:rPr>
        <w:t>freely</w:t>
      </w:r>
      <w:r>
        <w:rPr>
          <w:spacing w:val="-8"/>
          <w:w w:val="105"/>
          <w:sz w:val="21"/>
        </w:rPr>
        <w:t> </w:t>
      </w:r>
      <w:r>
        <w:rPr>
          <w:spacing w:val="-5"/>
          <w:w w:val="105"/>
          <w:sz w:val="21"/>
        </w:rPr>
        <w:t>available,</w:t>
      </w:r>
      <w:r>
        <w:rPr>
          <w:spacing w:val="-5"/>
          <w:w w:val="105"/>
          <w:position w:val="7"/>
          <w:sz w:val="12"/>
        </w:rPr>
        <w:t>121</w:t>
      </w:r>
      <w:r>
        <w:rPr>
          <w:spacing w:val="15"/>
          <w:w w:val="105"/>
          <w:position w:val="7"/>
          <w:sz w:val="12"/>
        </w:rPr>
        <w:t> </w:t>
      </w:r>
      <w:r>
        <w:rPr>
          <w:w w:val="105"/>
          <w:sz w:val="21"/>
        </w:rPr>
        <w:t>it</w:t>
      </w:r>
      <w:r>
        <w:rPr>
          <w:spacing w:val="-8"/>
          <w:w w:val="105"/>
          <w:sz w:val="21"/>
        </w:rPr>
        <w:t> </w:t>
      </w:r>
      <w:r>
        <w:rPr>
          <w:spacing w:val="-3"/>
          <w:w w:val="105"/>
          <w:sz w:val="21"/>
        </w:rPr>
        <w:t>may</w:t>
      </w:r>
      <w:r>
        <w:rPr>
          <w:spacing w:val="-8"/>
          <w:w w:val="105"/>
          <w:sz w:val="21"/>
        </w:rPr>
        <w:t> </w:t>
      </w:r>
      <w:r>
        <w:rPr>
          <w:spacing w:val="-2"/>
          <w:w w:val="105"/>
          <w:sz w:val="21"/>
        </w:rPr>
        <w:t>not</w:t>
      </w:r>
      <w:r>
        <w:rPr>
          <w:spacing w:val="-8"/>
          <w:w w:val="105"/>
          <w:sz w:val="21"/>
        </w:rPr>
        <w:t> </w:t>
      </w:r>
      <w:r>
        <w:rPr>
          <w:w w:val="105"/>
          <w:sz w:val="21"/>
        </w:rPr>
        <w:t>be used, and it would be costly </w:t>
      </w:r>
      <w:r>
        <w:rPr>
          <w:spacing w:val="-3"/>
          <w:w w:val="105"/>
          <w:sz w:val="21"/>
        </w:rPr>
        <w:t>to monitor </w:t>
      </w:r>
      <w:r>
        <w:rPr>
          <w:w w:val="105"/>
          <w:sz w:val="21"/>
        </w:rPr>
        <w:t>and</w:t>
      </w:r>
      <w:r>
        <w:rPr>
          <w:spacing w:val="45"/>
          <w:w w:val="105"/>
          <w:sz w:val="21"/>
        </w:rPr>
        <w:t> </w:t>
      </w:r>
      <w:r>
        <w:rPr>
          <w:spacing w:val="-3"/>
          <w:w w:val="105"/>
          <w:sz w:val="21"/>
        </w:rPr>
        <w:t>update.</w:t>
      </w:r>
    </w:p>
    <w:p>
      <w:pPr>
        <w:pStyle w:val="ListParagraph"/>
        <w:numPr>
          <w:ilvl w:val="1"/>
          <w:numId w:val="16"/>
        </w:numPr>
        <w:tabs>
          <w:tab w:pos="2381" w:val="left" w:leader="none"/>
          <w:tab w:pos="2382" w:val="left" w:leader="none"/>
        </w:tabs>
        <w:spacing w:line="242" w:lineRule="auto" w:before="126" w:after="0"/>
        <w:ind w:left="2381" w:right="1603" w:hanging="794"/>
        <w:jc w:val="left"/>
        <w:rPr>
          <w:sz w:val="21"/>
        </w:rPr>
      </w:pPr>
      <w:r>
        <w:rPr>
          <w:w w:val="105"/>
          <w:sz w:val="21"/>
        </w:rPr>
        <w:t>Some responses </w:t>
      </w:r>
      <w:r>
        <w:rPr>
          <w:spacing w:val="-3"/>
          <w:w w:val="105"/>
          <w:sz w:val="21"/>
        </w:rPr>
        <w:t>favoured </w:t>
      </w:r>
      <w:r>
        <w:rPr>
          <w:w w:val="105"/>
          <w:sz w:val="21"/>
        </w:rPr>
        <w:t>a </w:t>
      </w:r>
      <w:r>
        <w:rPr>
          <w:spacing w:val="-3"/>
          <w:w w:val="105"/>
          <w:sz w:val="21"/>
        </w:rPr>
        <w:t>searchable </w:t>
      </w:r>
      <w:r>
        <w:rPr>
          <w:w w:val="105"/>
          <w:sz w:val="21"/>
        </w:rPr>
        <w:t>database because it </w:t>
      </w:r>
      <w:r>
        <w:rPr>
          <w:spacing w:val="-3"/>
          <w:w w:val="105"/>
          <w:sz w:val="21"/>
        </w:rPr>
        <w:t>might </w:t>
      </w:r>
      <w:r>
        <w:rPr>
          <w:w w:val="105"/>
          <w:sz w:val="21"/>
        </w:rPr>
        <w:t>assist the members of the wider community who </w:t>
      </w:r>
      <w:r>
        <w:rPr>
          <w:spacing w:val="-3"/>
          <w:w w:val="105"/>
          <w:sz w:val="21"/>
        </w:rPr>
        <w:t>may have concerns </w:t>
      </w:r>
      <w:r>
        <w:rPr>
          <w:w w:val="105"/>
          <w:sz w:val="21"/>
        </w:rPr>
        <w:t>about the </w:t>
      </w:r>
      <w:r>
        <w:rPr>
          <w:spacing w:val="-3"/>
          <w:w w:val="105"/>
          <w:sz w:val="21"/>
        </w:rPr>
        <w:t>tree. </w:t>
      </w:r>
      <w:r>
        <w:rPr>
          <w:spacing w:val="-4"/>
          <w:w w:val="105"/>
          <w:sz w:val="21"/>
        </w:rPr>
        <w:t>However, </w:t>
      </w:r>
      <w:r>
        <w:rPr>
          <w:w w:val="105"/>
          <w:sz w:val="21"/>
        </w:rPr>
        <w:t>tree </w:t>
      </w:r>
      <w:r>
        <w:rPr>
          <w:spacing w:val="-3"/>
          <w:w w:val="105"/>
          <w:sz w:val="21"/>
        </w:rPr>
        <w:t>disputes </w:t>
      </w:r>
      <w:r>
        <w:rPr>
          <w:w w:val="105"/>
          <w:sz w:val="21"/>
        </w:rPr>
        <w:t>do </w:t>
      </w:r>
      <w:r>
        <w:rPr>
          <w:spacing w:val="-2"/>
          <w:w w:val="105"/>
          <w:sz w:val="21"/>
        </w:rPr>
        <w:t>not </w:t>
      </w:r>
      <w:r>
        <w:rPr>
          <w:w w:val="105"/>
          <w:sz w:val="21"/>
        </w:rPr>
        <w:t>typically impact people other </w:t>
      </w:r>
      <w:r>
        <w:rPr>
          <w:spacing w:val="-3"/>
          <w:w w:val="105"/>
          <w:sz w:val="21"/>
        </w:rPr>
        <w:t>than </w:t>
      </w:r>
      <w:r>
        <w:rPr>
          <w:w w:val="105"/>
          <w:sz w:val="21"/>
        </w:rPr>
        <w:t>the parties </w:t>
      </w:r>
      <w:r>
        <w:rPr>
          <w:spacing w:val="-3"/>
          <w:w w:val="105"/>
          <w:sz w:val="21"/>
        </w:rPr>
        <w:t>involved </w:t>
      </w:r>
      <w:r>
        <w:rPr>
          <w:w w:val="105"/>
          <w:sz w:val="21"/>
        </w:rPr>
        <w:t>and the </w:t>
      </w:r>
      <w:r>
        <w:rPr>
          <w:spacing w:val="-3"/>
          <w:w w:val="105"/>
          <w:sz w:val="21"/>
        </w:rPr>
        <w:t>Commission </w:t>
      </w:r>
      <w:r>
        <w:rPr>
          <w:spacing w:val="-2"/>
          <w:w w:val="105"/>
          <w:sz w:val="21"/>
        </w:rPr>
        <w:t>has not </w:t>
      </w:r>
      <w:r>
        <w:rPr>
          <w:w w:val="105"/>
          <w:sz w:val="21"/>
        </w:rPr>
        <w:t>recommended</w:t>
      </w:r>
      <w:r>
        <w:rPr>
          <w:spacing w:val="-11"/>
          <w:w w:val="105"/>
          <w:sz w:val="21"/>
        </w:rPr>
        <w:t> </w:t>
      </w:r>
      <w:r>
        <w:rPr>
          <w:spacing w:val="-3"/>
          <w:w w:val="105"/>
          <w:sz w:val="21"/>
        </w:rPr>
        <w:t>that</w:t>
      </w:r>
      <w:r>
        <w:rPr>
          <w:spacing w:val="-10"/>
          <w:w w:val="105"/>
          <w:sz w:val="21"/>
        </w:rPr>
        <w:t> </w:t>
      </w:r>
      <w:r>
        <w:rPr>
          <w:w w:val="105"/>
          <w:sz w:val="21"/>
        </w:rPr>
        <w:t>orders</w:t>
      </w:r>
      <w:r>
        <w:rPr>
          <w:spacing w:val="-10"/>
          <w:w w:val="105"/>
          <w:sz w:val="21"/>
        </w:rPr>
        <w:t> </w:t>
      </w:r>
      <w:r>
        <w:rPr>
          <w:w w:val="105"/>
          <w:sz w:val="21"/>
        </w:rPr>
        <w:t>run</w:t>
      </w:r>
      <w:r>
        <w:rPr>
          <w:spacing w:val="-11"/>
          <w:w w:val="105"/>
          <w:sz w:val="21"/>
        </w:rPr>
        <w:t> </w:t>
      </w:r>
      <w:r>
        <w:rPr>
          <w:w w:val="105"/>
          <w:sz w:val="21"/>
        </w:rPr>
        <w:t>with</w:t>
      </w:r>
      <w:r>
        <w:rPr>
          <w:spacing w:val="-10"/>
          <w:w w:val="105"/>
          <w:sz w:val="21"/>
        </w:rPr>
        <w:t> </w:t>
      </w:r>
      <w:r>
        <w:rPr>
          <w:w w:val="105"/>
          <w:sz w:val="21"/>
        </w:rPr>
        <w:t>the</w:t>
      </w:r>
      <w:r>
        <w:rPr>
          <w:spacing w:val="-10"/>
          <w:w w:val="105"/>
          <w:sz w:val="21"/>
        </w:rPr>
        <w:t> </w:t>
      </w:r>
      <w:r>
        <w:rPr>
          <w:spacing w:val="-3"/>
          <w:w w:val="105"/>
          <w:sz w:val="21"/>
        </w:rPr>
        <w:t>land</w:t>
      </w:r>
      <w:r>
        <w:rPr>
          <w:spacing w:val="-10"/>
          <w:w w:val="105"/>
          <w:sz w:val="21"/>
        </w:rPr>
        <w:t> </w:t>
      </w:r>
      <w:r>
        <w:rPr>
          <w:spacing w:val="-3"/>
          <w:w w:val="105"/>
          <w:sz w:val="21"/>
        </w:rPr>
        <w:t>indefinitely.</w:t>
      </w:r>
      <w:r>
        <w:rPr>
          <w:spacing w:val="-11"/>
          <w:w w:val="105"/>
          <w:sz w:val="21"/>
        </w:rPr>
        <w:t> </w:t>
      </w:r>
      <w:r>
        <w:rPr>
          <w:w w:val="105"/>
          <w:sz w:val="21"/>
        </w:rPr>
        <w:t>The</w:t>
      </w:r>
      <w:r>
        <w:rPr>
          <w:spacing w:val="-10"/>
          <w:w w:val="105"/>
          <w:sz w:val="21"/>
        </w:rPr>
        <w:t> </w:t>
      </w:r>
      <w:r>
        <w:rPr>
          <w:w w:val="105"/>
          <w:sz w:val="21"/>
        </w:rPr>
        <w:t>decision-making</w:t>
      </w:r>
      <w:r>
        <w:rPr>
          <w:spacing w:val="-10"/>
          <w:w w:val="105"/>
          <w:sz w:val="21"/>
        </w:rPr>
        <w:t> </w:t>
      </w:r>
      <w:r>
        <w:rPr>
          <w:spacing w:val="-3"/>
          <w:w w:val="105"/>
          <w:sz w:val="21"/>
        </w:rPr>
        <w:t>principles</w:t>
      </w:r>
      <w:r>
        <w:rPr>
          <w:spacing w:val="-10"/>
          <w:w w:val="105"/>
          <w:sz w:val="21"/>
        </w:rPr>
        <w:t> </w:t>
      </w:r>
      <w:r>
        <w:rPr>
          <w:w w:val="105"/>
          <w:sz w:val="21"/>
        </w:rPr>
        <w:t>in </w:t>
      </w:r>
      <w:r>
        <w:rPr>
          <w:spacing w:val="-4"/>
          <w:w w:val="105"/>
          <w:sz w:val="21"/>
        </w:rPr>
        <w:t>Chapter </w:t>
      </w:r>
      <w:r>
        <w:rPr>
          <w:w w:val="105"/>
          <w:sz w:val="21"/>
        </w:rPr>
        <w:t>8 should be enough </w:t>
      </w:r>
      <w:r>
        <w:rPr>
          <w:spacing w:val="-3"/>
          <w:w w:val="105"/>
          <w:sz w:val="21"/>
        </w:rPr>
        <w:t>to ensure that any </w:t>
      </w:r>
      <w:r>
        <w:rPr>
          <w:w w:val="105"/>
          <w:sz w:val="21"/>
        </w:rPr>
        <w:t>wider benefits of the tree </w:t>
      </w:r>
      <w:r>
        <w:rPr>
          <w:spacing w:val="-3"/>
          <w:w w:val="105"/>
          <w:sz w:val="21"/>
        </w:rPr>
        <w:t>are considered. </w:t>
      </w:r>
      <w:r>
        <w:rPr>
          <w:w w:val="105"/>
          <w:sz w:val="21"/>
        </w:rPr>
        <w:t>These </w:t>
      </w:r>
      <w:r>
        <w:rPr>
          <w:spacing w:val="-3"/>
          <w:w w:val="105"/>
          <w:sz w:val="21"/>
        </w:rPr>
        <w:t>principles </w:t>
      </w:r>
      <w:r>
        <w:rPr>
          <w:w w:val="105"/>
          <w:sz w:val="21"/>
        </w:rPr>
        <w:t>reflect broader </w:t>
      </w:r>
      <w:r>
        <w:rPr>
          <w:spacing w:val="-3"/>
          <w:w w:val="105"/>
          <w:sz w:val="21"/>
        </w:rPr>
        <w:t>considerations </w:t>
      </w:r>
      <w:r>
        <w:rPr>
          <w:w w:val="105"/>
          <w:sz w:val="21"/>
        </w:rPr>
        <w:t>in </w:t>
      </w:r>
      <w:r>
        <w:rPr>
          <w:spacing w:val="-3"/>
          <w:w w:val="105"/>
          <w:sz w:val="21"/>
        </w:rPr>
        <w:t>planning </w:t>
      </w:r>
      <w:r>
        <w:rPr>
          <w:w w:val="105"/>
          <w:sz w:val="21"/>
        </w:rPr>
        <w:t>laws which </w:t>
      </w:r>
      <w:r>
        <w:rPr>
          <w:spacing w:val="-3"/>
          <w:w w:val="105"/>
          <w:sz w:val="21"/>
        </w:rPr>
        <w:t>have </w:t>
      </w:r>
      <w:r>
        <w:rPr>
          <w:w w:val="105"/>
          <w:sz w:val="21"/>
        </w:rPr>
        <w:t>a broader community</w:t>
      </w:r>
      <w:r>
        <w:rPr>
          <w:spacing w:val="5"/>
          <w:w w:val="105"/>
          <w:sz w:val="21"/>
        </w:rPr>
        <w:t> </w:t>
      </w:r>
      <w:r>
        <w:rPr>
          <w:spacing w:val="-3"/>
          <w:w w:val="105"/>
          <w:sz w:val="21"/>
        </w:rPr>
        <w:t>focus.</w:t>
      </w:r>
    </w:p>
    <w:p>
      <w:pPr>
        <w:pStyle w:val="ListParagraph"/>
        <w:numPr>
          <w:ilvl w:val="1"/>
          <w:numId w:val="16"/>
        </w:numPr>
        <w:tabs>
          <w:tab w:pos="2380" w:val="left" w:leader="none"/>
          <w:tab w:pos="2381" w:val="left" w:leader="none"/>
        </w:tabs>
        <w:spacing w:line="242" w:lineRule="auto" w:before="128" w:after="0"/>
        <w:ind w:left="2380" w:right="1657" w:hanging="793"/>
        <w:jc w:val="left"/>
        <w:rPr>
          <w:sz w:val="21"/>
        </w:rPr>
      </w:pPr>
      <w:r>
        <w:rPr>
          <w:w w:val="105"/>
          <w:sz w:val="21"/>
        </w:rPr>
        <w:t>Notice</w:t>
      </w:r>
      <w:r>
        <w:rPr>
          <w:spacing w:val="-4"/>
          <w:w w:val="105"/>
          <w:sz w:val="21"/>
        </w:rPr>
        <w:t> </w:t>
      </w:r>
      <w:r>
        <w:rPr>
          <w:w w:val="105"/>
          <w:sz w:val="21"/>
        </w:rPr>
        <w:t>of</w:t>
      </w:r>
      <w:r>
        <w:rPr>
          <w:spacing w:val="-4"/>
          <w:w w:val="105"/>
          <w:sz w:val="21"/>
        </w:rPr>
        <w:t> </w:t>
      </w:r>
      <w:r>
        <w:rPr>
          <w:w w:val="105"/>
          <w:sz w:val="21"/>
        </w:rPr>
        <w:t>an</w:t>
      </w:r>
      <w:r>
        <w:rPr>
          <w:spacing w:val="-3"/>
          <w:w w:val="105"/>
          <w:sz w:val="21"/>
        </w:rPr>
        <w:t> </w:t>
      </w:r>
      <w:r>
        <w:rPr>
          <w:w w:val="105"/>
          <w:sz w:val="21"/>
        </w:rPr>
        <w:t>application</w:t>
      </w:r>
      <w:r>
        <w:rPr>
          <w:spacing w:val="-4"/>
          <w:w w:val="105"/>
          <w:sz w:val="21"/>
        </w:rPr>
        <w:t> </w:t>
      </w:r>
      <w:r>
        <w:rPr>
          <w:w w:val="105"/>
          <w:sz w:val="21"/>
        </w:rPr>
        <w:t>under</w:t>
      </w:r>
      <w:r>
        <w:rPr>
          <w:spacing w:val="-4"/>
          <w:w w:val="105"/>
          <w:sz w:val="21"/>
        </w:rPr>
        <w:t> </w:t>
      </w:r>
      <w:r>
        <w:rPr>
          <w:w w:val="105"/>
          <w:sz w:val="21"/>
        </w:rPr>
        <w:t>the</w:t>
      </w:r>
      <w:r>
        <w:rPr>
          <w:spacing w:val="-4"/>
          <w:w w:val="105"/>
          <w:sz w:val="21"/>
        </w:rPr>
        <w:t> </w:t>
      </w:r>
      <w:r>
        <w:rPr>
          <w:w w:val="105"/>
          <w:sz w:val="21"/>
        </w:rPr>
        <w:t>new</w:t>
      </w:r>
      <w:r>
        <w:rPr>
          <w:spacing w:val="-3"/>
          <w:w w:val="105"/>
          <w:sz w:val="21"/>
        </w:rPr>
        <w:t> </w:t>
      </w:r>
      <w:r>
        <w:rPr>
          <w:w w:val="105"/>
          <w:sz w:val="21"/>
        </w:rPr>
        <w:t>Act</w:t>
      </w:r>
      <w:r>
        <w:rPr>
          <w:spacing w:val="-4"/>
          <w:w w:val="105"/>
          <w:sz w:val="21"/>
        </w:rPr>
        <w:t> </w:t>
      </w:r>
      <w:r>
        <w:rPr>
          <w:spacing w:val="-3"/>
          <w:w w:val="105"/>
          <w:sz w:val="21"/>
        </w:rPr>
        <w:t>will</w:t>
      </w:r>
      <w:r>
        <w:rPr>
          <w:spacing w:val="-4"/>
          <w:w w:val="105"/>
          <w:sz w:val="21"/>
        </w:rPr>
        <w:t> </w:t>
      </w:r>
      <w:r>
        <w:rPr>
          <w:w w:val="105"/>
          <w:sz w:val="21"/>
        </w:rPr>
        <w:t>be</w:t>
      </w:r>
      <w:r>
        <w:rPr>
          <w:spacing w:val="-3"/>
          <w:w w:val="105"/>
          <w:sz w:val="21"/>
        </w:rPr>
        <w:t> </w:t>
      </w:r>
      <w:r>
        <w:rPr>
          <w:w w:val="105"/>
          <w:sz w:val="21"/>
        </w:rPr>
        <w:t>provided</w:t>
      </w:r>
      <w:r>
        <w:rPr>
          <w:spacing w:val="-4"/>
          <w:w w:val="105"/>
          <w:sz w:val="21"/>
        </w:rPr>
        <w:t> </w:t>
      </w:r>
      <w:r>
        <w:rPr>
          <w:spacing w:val="-3"/>
          <w:w w:val="105"/>
          <w:sz w:val="21"/>
        </w:rPr>
        <w:t>to</w:t>
      </w:r>
      <w:r>
        <w:rPr>
          <w:spacing w:val="-4"/>
          <w:w w:val="105"/>
          <w:sz w:val="21"/>
        </w:rPr>
        <w:t> </w:t>
      </w:r>
      <w:r>
        <w:rPr>
          <w:spacing w:val="-3"/>
          <w:w w:val="105"/>
          <w:sz w:val="21"/>
        </w:rPr>
        <w:t>anyone </w:t>
      </w:r>
      <w:r>
        <w:rPr>
          <w:w w:val="105"/>
          <w:sz w:val="21"/>
        </w:rPr>
        <w:t>who</w:t>
      </w:r>
      <w:r>
        <w:rPr>
          <w:spacing w:val="-4"/>
          <w:w w:val="105"/>
          <w:sz w:val="21"/>
        </w:rPr>
        <w:t> </w:t>
      </w:r>
      <w:r>
        <w:rPr>
          <w:w w:val="105"/>
          <w:sz w:val="21"/>
        </w:rPr>
        <w:t>the</w:t>
      </w:r>
      <w:r>
        <w:rPr>
          <w:spacing w:val="-4"/>
          <w:w w:val="105"/>
          <w:sz w:val="21"/>
        </w:rPr>
        <w:t> </w:t>
      </w:r>
      <w:r>
        <w:rPr>
          <w:spacing w:val="-3"/>
          <w:w w:val="105"/>
          <w:sz w:val="21"/>
        </w:rPr>
        <w:t>applicant </w:t>
      </w:r>
      <w:r>
        <w:rPr>
          <w:spacing w:val="-2"/>
          <w:w w:val="105"/>
          <w:sz w:val="21"/>
        </w:rPr>
        <w:t>has </w:t>
      </w:r>
      <w:r>
        <w:rPr>
          <w:w w:val="105"/>
          <w:sz w:val="21"/>
        </w:rPr>
        <w:t>reason </w:t>
      </w:r>
      <w:r>
        <w:rPr>
          <w:spacing w:val="-3"/>
          <w:w w:val="105"/>
          <w:sz w:val="21"/>
        </w:rPr>
        <w:t>to </w:t>
      </w:r>
      <w:r>
        <w:rPr>
          <w:w w:val="105"/>
          <w:sz w:val="21"/>
        </w:rPr>
        <w:t>believe </w:t>
      </w:r>
      <w:r>
        <w:rPr>
          <w:spacing w:val="-3"/>
          <w:w w:val="105"/>
          <w:sz w:val="21"/>
        </w:rPr>
        <w:t>may </w:t>
      </w:r>
      <w:r>
        <w:rPr>
          <w:w w:val="105"/>
          <w:sz w:val="21"/>
        </w:rPr>
        <w:t>be affected by the </w:t>
      </w:r>
      <w:r>
        <w:rPr>
          <w:spacing w:val="-3"/>
          <w:w w:val="105"/>
          <w:sz w:val="21"/>
        </w:rPr>
        <w:t>outcome </w:t>
      </w:r>
      <w:r>
        <w:rPr>
          <w:w w:val="105"/>
          <w:sz w:val="21"/>
        </w:rPr>
        <w:t>of an </w:t>
      </w:r>
      <w:r>
        <w:rPr>
          <w:spacing w:val="-4"/>
          <w:w w:val="105"/>
          <w:sz w:val="21"/>
        </w:rPr>
        <w:t>order. </w:t>
      </w:r>
      <w:r>
        <w:rPr>
          <w:spacing w:val="-3"/>
          <w:w w:val="105"/>
          <w:sz w:val="21"/>
        </w:rPr>
        <w:t>Therefore,</w:t>
      </w:r>
      <w:r>
        <w:rPr>
          <w:spacing w:val="-18"/>
          <w:w w:val="105"/>
          <w:sz w:val="21"/>
        </w:rPr>
        <w:t> </w:t>
      </w:r>
      <w:r>
        <w:rPr>
          <w:w w:val="105"/>
          <w:sz w:val="21"/>
        </w:rPr>
        <w:t>there</w:t>
      </w:r>
    </w:p>
    <w:p>
      <w:pPr>
        <w:pStyle w:val="BodyText"/>
        <w:spacing w:line="242" w:lineRule="auto" w:before="2"/>
        <w:ind w:left="2380" w:right="1558"/>
      </w:pPr>
      <w:r>
        <w:rPr>
          <w:w w:val="105"/>
        </w:rPr>
        <w:t>is little benefit in </w:t>
      </w:r>
      <w:r>
        <w:rPr>
          <w:spacing w:val="-3"/>
          <w:w w:val="105"/>
        </w:rPr>
        <w:t>allowing </w:t>
      </w:r>
      <w:r>
        <w:rPr>
          <w:w w:val="105"/>
        </w:rPr>
        <w:t>a </w:t>
      </w:r>
      <w:r>
        <w:rPr>
          <w:spacing w:val="-3"/>
          <w:w w:val="105"/>
        </w:rPr>
        <w:t>searchable </w:t>
      </w:r>
      <w:r>
        <w:rPr>
          <w:w w:val="105"/>
        </w:rPr>
        <w:t>database of orders </w:t>
      </w:r>
      <w:r>
        <w:rPr>
          <w:spacing w:val="-3"/>
          <w:w w:val="105"/>
        </w:rPr>
        <w:t>that </w:t>
      </w:r>
      <w:r>
        <w:rPr>
          <w:w w:val="105"/>
        </w:rPr>
        <w:t>other residents in the neighbourhood </w:t>
      </w:r>
      <w:r>
        <w:rPr>
          <w:spacing w:val="-3"/>
          <w:w w:val="105"/>
        </w:rPr>
        <w:t>may </w:t>
      </w:r>
      <w:r>
        <w:rPr>
          <w:w w:val="105"/>
        </w:rPr>
        <w:t>inspect. Other databases </w:t>
      </w:r>
      <w:r>
        <w:rPr>
          <w:spacing w:val="-3"/>
          <w:w w:val="105"/>
        </w:rPr>
        <w:t>already inform </w:t>
      </w:r>
      <w:r>
        <w:rPr>
          <w:w w:val="105"/>
        </w:rPr>
        <w:t>the community about matters </w:t>
      </w:r>
      <w:r>
        <w:rPr>
          <w:spacing w:val="-3"/>
          <w:w w:val="105"/>
        </w:rPr>
        <w:t>relating to </w:t>
      </w:r>
      <w:r>
        <w:rPr>
          <w:w w:val="105"/>
        </w:rPr>
        <w:t>trees: the Victorian Heritage </w:t>
      </w:r>
      <w:r>
        <w:rPr>
          <w:spacing w:val="-3"/>
          <w:w w:val="105"/>
        </w:rPr>
        <w:t>Database, </w:t>
      </w:r>
      <w:r>
        <w:rPr>
          <w:w w:val="105"/>
        </w:rPr>
        <w:t>the </w:t>
      </w:r>
      <w:r>
        <w:rPr>
          <w:spacing w:val="-3"/>
          <w:w w:val="105"/>
        </w:rPr>
        <w:t>National </w:t>
      </w:r>
      <w:r>
        <w:rPr>
          <w:spacing w:val="-4"/>
          <w:w w:val="105"/>
        </w:rPr>
        <w:t>Trust’s </w:t>
      </w:r>
      <w:r>
        <w:rPr>
          <w:spacing w:val="-3"/>
          <w:w w:val="105"/>
        </w:rPr>
        <w:t>Significant </w:t>
      </w:r>
      <w:r>
        <w:rPr>
          <w:spacing w:val="-5"/>
          <w:w w:val="105"/>
        </w:rPr>
        <w:t>Tree </w:t>
      </w:r>
      <w:r>
        <w:rPr>
          <w:spacing w:val="-4"/>
          <w:w w:val="105"/>
        </w:rPr>
        <w:t>Register, </w:t>
      </w:r>
      <w:r>
        <w:rPr>
          <w:w w:val="105"/>
        </w:rPr>
        <w:t>and </w:t>
      </w:r>
      <w:r>
        <w:rPr>
          <w:spacing w:val="-3"/>
          <w:w w:val="105"/>
        </w:rPr>
        <w:t>significant </w:t>
      </w:r>
      <w:r>
        <w:rPr>
          <w:w w:val="105"/>
        </w:rPr>
        <w:t>tree registers of local </w:t>
      </w:r>
      <w:r>
        <w:rPr>
          <w:spacing w:val="-5"/>
          <w:w w:val="105"/>
        </w:rPr>
        <w:t>councils.</w:t>
      </w:r>
      <w:r>
        <w:rPr>
          <w:spacing w:val="-5"/>
          <w:w w:val="105"/>
          <w:position w:val="7"/>
          <w:sz w:val="12"/>
        </w:rPr>
        <w:t>122 </w:t>
      </w:r>
      <w:r>
        <w:rPr>
          <w:w w:val="105"/>
        </w:rPr>
        <w:t>The subject matter of those databases is in the wider </w:t>
      </w:r>
      <w:r>
        <w:rPr>
          <w:spacing w:val="-3"/>
          <w:w w:val="105"/>
        </w:rPr>
        <w:t>public interest.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r>
        <w:rPr/>
        <w:pict>
          <v:line style="position:absolute;mso-position-horizontal-relative:page;mso-position-vertical-relative:paragraph;z-index:11336;mso-wrap-distance-left:0;mso-wrap-distance-right:0" from="79.370102pt,12.941817pt" to="515.905102pt,12.94181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196"/>
        </w:numPr>
        <w:tabs>
          <w:tab w:pos="2381" w:val="left" w:leader="none"/>
          <w:tab w:pos="2382" w:val="left" w:leader="none"/>
        </w:tabs>
        <w:spacing w:line="240" w:lineRule="auto" w:before="48" w:after="0"/>
        <w:ind w:left="2381" w:right="0" w:hanging="794"/>
        <w:jc w:val="left"/>
        <w:rPr>
          <w:sz w:val="13"/>
        </w:rPr>
      </w:pPr>
      <w:r>
        <w:rPr>
          <w:i/>
          <w:w w:val="105"/>
          <w:sz w:val="13"/>
        </w:rPr>
        <w:t>Neighbourhood Disputes About Plants Act </w:t>
      </w:r>
      <w:r>
        <w:rPr>
          <w:i/>
          <w:spacing w:val="-4"/>
          <w:w w:val="105"/>
          <w:sz w:val="13"/>
        </w:rPr>
        <w:t>2017 </w:t>
      </w:r>
      <w:r>
        <w:rPr>
          <w:w w:val="105"/>
          <w:sz w:val="13"/>
        </w:rPr>
        <w:t>(Tas) s</w:t>
      </w:r>
      <w:r>
        <w:rPr>
          <w:spacing w:val="16"/>
          <w:w w:val="105"/>
          <w:sz w:val="13"/>
        </w:rPr>
        <w:t> </w:t>
      </w:r>
      <w:r>
        <w:rPr>
          <w:spacing w:val="2"/>
          <w:w w:val="105"/>
          <w:sz w:val="13"/>
        </w:rPr>
        <w:t>16(2).</w:t>
      </w:r>
    </w:p>
    <w:p>
      <w:pPr>
        <w:pStyle w:val="ListParagraph"/>
        <w:numPr>
          <w:ilvl w:val="0"/>
          <w:numId w:val="196"/>
        </w:numPr>
        <w:tabs>
          <w:tab w:pos="2381" w:val="left" w:leader="none"/>
          <w:tab w:pos="2382" w:val="left" w:leader="none"/>
        </w:tabs>
        <w:spacing w:line="240" w:lineRule="auto" w:before="1" w:after="0"/>
        <w:ind w:left="2381" w:right="0" w:hanging="794"/>
        <w:jc w:val="left"/>
        <w:rPr>
          <w:sz w:val="13"/>
        </w:rPr>
      </w:pPr>
      <w:r>
        <w:rPr>
          <w:i/>
          <w:sz w:val="13"/>
        </w:rPr>
        <w:t>Victorian</w:t>
      </w:r>
      <w:r>
        <w:rPr>
          <w:i/>
          <w:spacing w:val="7"/>
          <w:sz w:val="13"/>
        </w:rPr>
        <w:t> </w:t>
      </w:r>
      <w:r>
        <w:rPr>
          <w:i/>
          <w:sz w:val="13"/>
        </w:rPr>
        <w:t>Civil</w:t>
      </w:r>
      <w:r>
        <w:rPr>
          <w:i/>
          <w:spacing w:val="7"/>
          <w:sz w:val="13"/>
        </w:rPr>
        <w:t> </w:t>
      </w:r>
      <w:r>
        <w:rPr>
          <w:i/>
          <w:sz w:val="13"/>
        </w:rPr>
        <w:t>and</w:t>
      </w:r>
      <w:r>
        <w:rPr>
          <w:i/>
          <w:spacing w:val="7"/>
          <w:sz w:val="13"/>
        </w:rPr>
        <w:t> </w:t>
      </w:r>
      <w:r>
        <w:rPr>
          <w:i/>
          <w:sz w:val="13"/>
        </w:rPr>
        <w:t>Administrative</w:t>
      </w:r>
      <w:r>
        <w:rPr>
          <w:i/>
          <w:spacing w:val="8"/>
          <w:sz w:val="13"/>
        </w:rPr>
        <w:t> </w:t>
      </w:r>
      <w:r>
        <w:rPr>
          <w:i/>
          <w:sz w:val="13"/>
        </w:rPr>
        <w:t>Tribunal</w:t>
      </w:r>
      <w:r>
        <w:rPr>
          <w:i/>
          <w:spacing w:val="7"/>
          <w:sz w:val="13"/>
        </w:rPr>
        <w:t> </w:t>
      </w:r>
      <w:r>
        <w:rPr>
          <w:i/>
          <w:sz w:val="13"/>
        </w:rPr>
        <w:t>Act</w:t>
      </w:r>
      <w:r>
        <w:rPr>
          <w:i/>
          <w:spacing w:val="7"/>
          <w:sz w:val="13"/>
        </w:rPr>
        <w:t> </w:t>
      </w:r>
      <w:r>
        <w:rPr>
          <w:i/>
          <w:sz w:val="13"/>
        </w:rPr>
        <w:t>1998</w:t>
      </w:r>
      <w:r>
        <w:rPr>
          <w:i/>
          <w:spacing w:val="8"/>
          <w:sz w:val="13"/>
        </w:rPr>
        <w:t> </w:t>
      </w:r>
      <w:r>
        <w:rPr>
          <w:spacing w:val="2"/>
          <w:sz w:val="13"/>
        </w:rPr>
        <w:t>(Vic)</w:t>
      </w:r>
      <w:r>
        <w:rPr>
          <w:spacing w:val="7"/>
          <w:sz w:val="13"/>
        </w:rPr>
        <w:t> </w:t>
      </w:r>
      <w:r>
        <w:rPr>
          <w:sz w:val="13"/>
        </w:rPr>
        <w:t>s</w:t>
      </w:r>
      <w:r>
        <w:rPr>
          <w:spacing w:val="7"/>
          <w:sz w:val="13"/>
        </w:rPr>
        <w:t> </w:t>
      </w:r>
      <w:r>
        <w:rPr>
          <w:spacing w:val="2"/>
          <w:sz w:val="13"/>
        </w:rPr>
        <w:t>60(1).</w:t>
      </w:r>
    </w:p>
    <w:p>
      <w:pPr>
        <w:pStyle w:val="ListParagraph"/>
        <w:numPr>
          <w:ilvl w:val="0"/>
          <w:numId w:val="196"/>
        </w:numPr>
        <w:tabs>
          <w:tab w:pos="2381" w:val="left" w:leader="none"/>
          <w:tab w:pos="2382" w:val="left" w:leader="none"/>
        </w:tabs>
        <w:spacing w:line="240" w:lineRule="auto" w:before="2" w:after="0"/>
        <w:ind w:left="2381" w:right="0" w:hanging="794"/>
        <w:jc w:val="left"/>
        <w:rPr>
          <w:sz w:val="13"/>
        </w:rPr>
      </w:pPr>
      <w:r>
        <w:rPr>
          <w:w w:val="105"/>
          <w:sz w:val="13"/>
        </w:rPr>
        <w:t>It costs individuals $23.70 to search the database pursuant to s 37(4) of the </w:t>
      </w:r>
      <w:r>
        <w:rPr>
          <w:i/>
          <w:w w:val="105"/>
          <w:sz w:val="13"/>
        </w:rPr>
        <w:t>Neighbourhood Disputes About Plants Act </w:t>
      </w:r>
      <w:r>
        <w:rPr>
          <w:i/>
          <w:spacing w:val="-4"/>
          <w:w w:val="105"/>
          <w:sz w:val="13"/>
        </w:rPr>
        <w:t>2017 </w:t>
      </w:r>
      <w:r>
        <w:rPr>
          <w:w w:val="105"/>
          <w:sz w:val="13"/>
        </w:rPr>
        <w:t>(Tas): Resource Management</w:t>
      </w:r>
      <w:r>
        <w:rPr>
          <w:spacing w:val="4"/>
          <w:w w:val="105"/>
          <w:sz w:val="13"/>
        </w:rPr>
        <w:t> </w:t>
      </w:r>
      <w:r>
        <w:rPr>
          <w:w w:val="105"/>
          <w:sz w:val="13"/>
        </w:rPr>
        <w:t>&amp;</w:t>
      </w:r>
      <w:r>
        <w:rPr>
          <w:spacing w:val="4"/>
          <w:w w:val="105"/>
          <w:sz w:val="13"/>
        </w:rPr>
        <w:t> </w:t>
      </w:r>
      <w:r>
        <w:rPr>
          <w:w w:val="105"/>
          <w:sz w:val="13"/>
        </w:rPr>
        <w:t>Planning</w:t>
      </w:r>
      <w:r>
        <w:rPr>
          <w:spacing w:val="4"/>
          <w:w w:val="105"/>
          <w:sz w:val="13"/>
        </w:rPr>
        <w:t> </w:t>
      </w:r>
      <w:r>
        <w:rPr>
          <w:w w:val="105"/>
          <w:sz w:val="13"/>
        </w:rPr>
        <w:t>Appeal</w:t>
      </w:r>
      <w:r>
        <w:rPr>
          <w:spacing w:val="4"/>
          <w:w w:val="105"/>
          <w:sz w:val="13"/>
        </w:rPr>
        <w:t> </w:t>
      </w:r>
      <w:r>
        <w:rPr>
          <w:w w:val="105"/>
          <w:sz w:val="13"/>
        </w:rPr>
        <w:t>Tribunal,</w:t>
      </w:r>
      <w:r>
        <w:rPr>
          <w:spacing w:val="5"/>
          <w:w w:val="105"/>
          <w:sz w:val="13"/>
        </w:rPr>
        <w:t> </w:t>
      </w:r>
      <w:r>
        <w:rPr>
          <w:i/>
          <w:w w:val="105"/>
          <w:sz w:val="13"/>
        </w:rPr>
        <w:t>Table</w:t>
      </w:r>
      <w:r>
        <w:rPr>
          <w:i/>
          <w:spacing w:val="4"/>
          <w:w w:val="105"/>
          <w:sz w:val="13"/>
        </w:rPr>
        <w:t> </w:t>
      </w:r>
      <w:r>
        <w:rPr>
          <w:i/>
          <w:w w:val="105"/>
          <w:sz w:val="13"/>
        </w:rPr>
        <w:t>of</w:t>
      </w:r>
      <w:r>
        <w:rPr>
          <w:i/>
          <w:spacing w:val="4"/>
          <w:w w:val="105"/>
          <w:sz w:val="13"/>
        </w:rPr>
        <w:t> </w:t>
      </w:r>
      <w:r>
        <w:rPr>
          <w:i/>
          <w:w w:val="105"/>
          <w:sz w:val="13"/>
        </w:rPr>
        <w:t>Fees</w:t>
      </w:r>
      <w:r>
        <w:rPr>
          <w:i/>
          <w:spacing w:val="4"/>
          <w:w w:val="105"/>
          <w:sz w:val="13"/>
        </w:rPr>
        <w:t> </w:t>
      </w:r>
      <w:r>
        <w:rPr>
          <w:w w:val="105"/>
          <w:sz w:val="13"/>
        </w:rPr>
        <w:t>(Web</w:t>
      </w:r>
      <w:r>
        <w:rPr>
          <w:spacing w:val="4"/>
          <w:w w:val="105"/>
          <w:sz w:val="13"/>
        </w:rPr>
        <w:t> </w:t>
      </w:r>
      <w:r>
        <w:rPr>
          <w:w w:val="105"/>
          <w:sz w:val="13"/>
        </w:rPr>
        <w:t>Page,</w:t>
      </w:r>
      <w:r>
        <w:rPr>
          <w:spacing w:val="5"/>
          <w:w w:val="105"/>
          <w:sz w:val="13"/>
        </w:rPr>
        <w:t> </w:t>
      </w:r>
      <w:r>
        <w:rPr>
          <w:w w:val="105"/>
          <w:sz w:val="13"/>
        </w:rPr>
        <w:t>effective</w:t>
      </w:r>
      <w:r>
        <w:rPr>
          <w:spacing w:val="4"/>
          <w:w w:val="105"/>
          <w:sz w:val="13"/>
        </w:rPr>
        <w:t> </w:t>
      </w:r>
      <w:r>
        <w:rPr>
          <w:w w:val="105"/>
          <w:sz w:val="13"/>
        </w:rPr>
        <w:t>from</w:t>
      </w:r>
      <w:r>
        <w:rPr>
          <w:spacing w:val="4"/>
          <w:w w:val="105"/>
          <w:sz w:val="13"/>
        </w:rPr>
        <w:t> </w:t>
      </w:r>
      <w:r>
        <w:rPr>
          <w:w w:val="105"/>
          <w:sz w:val="13"/>
        </w:rPr>
        <w:t>1</w:t>
      </w:r>
      <w:r>
        <w:rPr>
          <w:spacing w:val="4"/>
          <w:w w:val="105"/>
          <w:sz w:val="13"/>
        </w:rPr>
        <w:t> </w:t>
      </w:r>
      <w:r>
        <w:rPr>
          <w:w w:val="105"/>
          <w:sz w:val="13"/>
        </w:rPr>
        <w:t>July</w:t>
      </w:r>
      <w:r>
        <w:rPr>
          <w:spacing w:val="4"/>
          <w:w w:val="105"/>
          <w:sz w:val="13"/>
        </w:rPr>
        <w:t> </w:t>
      </w:r>
      <w:r>
        <w:rPr>
          <w:w w:val="105"/>
          <w:sz w:val="13"/>
        </w:rPr>
        <w:t>2018)</w:t>
      </w:r>
      <w:r>
        <w:rPr>
          <w:spacing w:val="5"/>
          <w:w w:val="105"/>
          <w:sz w:val="13"/>
        </w:rPr>
        <w:t> </w:t>
      </w:r>
      <w:r>
        <w:rPr>
          <w:spacing w:val="2"/>
          <w:w w:val="105"/>
          <w:sz w:val="13"/>
        </w:rPr>
        <w:t>&lt;https://</w:t>
      </w:r>
      <w:hyperlink r:id="rId310">
        <w:r>
          <w:rPr>
            <w:spacing w:val="2"/>
            <w:w w:val="105"/>
            <w:sz w:val="13"/>
          </w:rPr>
          <w:t>www.rmpat.tas.gov.au/fees</w:t>
        </w:r>
      </w:hyperlink>
      <w:r>
        <w:rPr>
          <w:spacing w:val="2"/>
          <w:w w:val="105"/>
          <w:sz w:val="13"/>
        </w:rPr>
        <w:t>&gt;.</w:t>
      </w:r>
    </w:p>
    <w:p>
      <w:pPr>
        <w:pStyle w:val="ListParagraph"/>
        <w:numPr>
          <w:ilvl w:val="0"/>
          <w:numId w:val="196"/>
        </w:numPr>
        <w:tabs>
          <w:tab w:pos="2381" w:val="left" w:leader="none"/>
          <w:tab w:pos="2382" w:val="left" w:leader="none"/>
        </w:tabs>
        <w:spacing w:line="240" w:lineRule="auto" w:before="2" w:after="0"/>
        <w:ind w:left="2381" w:right="241" w:hanging="794"/>
        <w:jc w:val="left"/>
        <w:rPr>
          <w:sz w:val="13"/>
        </w:rPr>
      </w:pPr>
      <w:r>
        <w:rPr>
          <w:sz w:val="13"/>
        </w:rPr>
        <w:t>See, eg, Heritage Council Victoria, </w:t>
      </w:r>
      <w:r>
        <w:rPr>
          <w:i/>
          <w:sz w:val="13"/>
        </w:rPr>
        <w:t>Victoria’s  Significant  Heritage  Places  and  </w:t>
      </w:r>
      <w:r>
        <w:rPr>
          <w:i/>
          <w:spacing w:val="2"/>
          <w:sz w:val="13"/>
        </w:rPr>
        <w:t>Objects  </w:t>
      </w:r>
      <w:r>
        <w:rPr>
          <w:i/>
          <w:sz w:val="13"/>
        </w:rPr>
        <w:t>&lt;</w:t>
      </w:r>
      <w:hyperlink r:id="rId315">
        <w:r>
          <w:rPr>
            <w:sz w:val="13"/>
          </w:rPr>
          <w:t>https://vhd.heritagecouncil.vic.gov.au/</w:t>
        </w:r>
      </w:hyperlink>
      <w:r>
        <w:rPr>
          <w:sz w:val="13"/>
        </w:rPr>
        <w:t>&gt;;  National  Trust, </w:t>
      </w:r>
      <w:r>
        <w:rPr>
          <w:i/>
          <w:sz w:val="13"/>
        </w:rPr>
        <w:t>Significant Tree Register </w:t>
      </w:r>
      <w:r>
        <w:rPr>
          <w:sz w:val="13"/>
        </w:rPr>
        <w:t>(Web Page, 2019) </w:t>
      </w:r>
      <w:r>
        <w:rPr>
          <w:spacing w:val="2"/>
          <w:sz w:val="13"/>
        </w:rPr>
        <w:t>&lt;https://</w:t>
      </w:r>
      <w:hyperlink r:id="rId316">
        <w:r>
          <w:rPr>
            <w:spacing w:val="2"/>
            <w:sz w:val="13"/>
          </w:rPr>
          <w:t>www.nationaltrust.org.au/services/significant-tree-register/</w:t>
        </w:r>
      </w:hyperlink>
      <w:r>
        <w:rPr>
          <w:spacing w:val="2"/>
          <w:sz w:val="13"/>
        </w:rPr>
        <w:t>&gt;;  </w:t>
      </w:r>
      <w:r>
        <w:rPr>
          <w:sz w:val="13"/>
        </w:rPr>
        <w:t>Bayside  City Council,</w:t>
      </w:r>
      <w:r>
        <w:rPr>
          <w:spacing w:val="13"/>
          <w:sz w:val="13"/>
        </w:rPr>
        <w:t> </w:t>
      </w:r>
      <w:r>
        <w:rPr>
          <w:i/>
          <w:sz w:val="13"/>
        </w:rPr>
        <w:t>Significant</w:t>
      </w:r>
      <w:r>
        <w:rPr>
          <w:i/>
          <w:spacing w:val="14"/>
          <w:sz w:val="13"/>
        </w:rPr>
        <w:t> </w:t>
      </w:r>
      <w:r>
        <w:rPr>
          <w:i/>
          <w:sz w:val="13"/>
        </w:rPr>
        <w:t>Tree</w:t>
      </w:r>
      <w:r>
        <w:rPr>
          <w:i/>
          <w:spacing w:val="13"/>
          <w:sz w:val="13"/>
        </w:rPr>
        <w:t> </w:t>
      </w:r>
      <w:r>
        <w:rPr>
          <w:i/>
          <w:sz w:val="13"/>
        </w:rPr>
        <w:t>Register</w:t>
      </w:r>
      <w:r>
        <w:rPr>
          <w:i/>
          <w:spacing w:val="14"/>
          <w:sz w:val="13"/>
        </w:rPr>
        <w:t> </w:t>
      </w:r>
      <w:r>
        <w:rPr>
          <w:sz w:val="13"/>
        </w:rPr>
        <w:t>(Web</w:t>
      </w:r>
      <w:r>
        <w:rPr>
          <w:spacing w:val="13"/>
          <w:sz w:val="13"/>
        </w:rPr>
        <w:t> </w:t>
      </w:r>
      <w:r>
        <w:rPr>
          <w:sz w:val="13"/>
        </w:rPr>
        <w:t>Page,</w:t>
      </w:r>
      <w:r>
        <w:rPr>
          <w:spacing w:val="14"/>
          <w:sz w:val="13"/>
        </w:rPr>
        <w:t> </w:t>
      </w:r>
      <w:r>
        <w:rPr>
          <w:sz w:val="13"/>
        </w:rPr>
        <w:t>2019)</w:t>
      </w:r>
      <w:r>
        <w:rPr>
          <w:spacing w:val="13"/>
          <w:sz w:val="13"/>
        </w:rPr>
        <w:t> </w:t>
      </w:r>
      <w:r>
        <w:rPr>
          <w:sz w:val="13"/>
        </w:rPr>
        <w:t>&lt;https://</w:t>
      </w:r>
      <w:hyperlink r:id="rId317">
        <w:r>
          <w:rPr>
            <w:sz w:val="13"/>
          </w:rPr>
          <w:t>www.bayside.vic.gov.au/significant-tree-register</w:t>
        </w:r>
      </w:hyperlink>
      <w:r>
        <w:rPr>
          <w:sz w:val="13"/>
        </w:rPr>
        <w:t>&gt;.</w:t>
      </w:r>
    </w:p>
    <w:p>
      <w:pPr>
        <w:pStyle w:val="BodyText"/>
        <w:rPr>
          <w:sz w:val="28"/>
        </w:rPr>
      </w:pPr>
      <w:r>
        <w:rPr/>
        <w:br w:type="column"/>
      </w:r>
      <w:r>
        <w:rPr>
          <w:sz w:val="28"/>
        </w:rPr>
      </w:r>
    </w:p>
    <w:p>
      <w:pPr>
        <w:pStyle w:val="BodyText"/>
        <w:rPr>
          <w:sz w:val="28"/>
        </w:rPr>
      </w:pPr>
    </w:p>
    <w:p>
      <w:pPr>
        <w:spacing w:before="220"/>
        <w:ind w:left="557" w:right="573" w:firstLine="0"/>
        <w:jc w:val="center"/>
        <w:rPr>
          <w:b/>
          <w:sz w:val="24"/>
        </w:rPr>
      </w:pPr>
      <w:r>
        <w:rPr>
          <w:b/>
          <w:color w:val="658464"/>
          <w:w w:val="110"/>
          <w:sz w:val="24"/>
        </w:rPr>
        <w:t>273</w:t>
      </w:r>
    </w:p>
    <w:p>
      <w:pPr>
        <w:spacing w:after="0"/>
        <w:jc w:val="center"/>
        <w:rPr>
          <w:sz w:val="24"/>
        </w:rPr>
        <w:sectPr>
          <w:type w:val="continuous"/>
          <w:pgSz w:w="11910" w:h="16840"/>
          <w:pgMar w:top="300" w:bottom="280" w:left="0" w:right="0"/>
          <w:cols w:num="2" w:equalWidth="0">
            <w:col w:w="10297" w:space="40"/>
            <w:col w:w="1573"/>
          </w:cols>
        </w:sectPr>
      </w:pPr>
    </w:p>
    <w:p>
      <w:pPr>
        <w:pStyle w:val="BodyText"/>
        <w:rPr>
          <w:b/>
          <w:sz w:val="20"/>
        </w:rPr>
      </w:pPr>
      <w:r>
        <w:rPr/>
        <w:pict>
          <v:rect style="position:absolute;margin-left:79.370003pt;margin-top:0pt;width:515.906000pt;height:841.890015pt;mso-position-horizontal-relative:page;mso-position-vertical-relative:page;z-index:13408" filled="true" fillcolor="#ecefee" stroked="false">
            <v:fill type="solid"/>
            <w10:wrap type="none"/>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6"/>
        </w:rPr>
      </w:pPr>
    </w:p>
    <w:p>
      <w:pPr>
        <w:spacing w:before="96"/>
        <w:ind w:left="720" w:right="0" w:firstLine="0"/>
        <w:jc w:val="left"/>
        <w:rPr>
          <w:b/>
          <w:sz w:val="24"/>
        </w:rPr>
      </w:pPr>
      <w:r>
        <w:rPr>
          <w:b/>
          <w:color w:val="658464"/>
          <w:w w:val="110"/>
          <w:sz w:val="24"/>
        </w:rPr>
        <w:t>274</w:t>
      </w:r>
    </w:p>
    <w:p>
      <w:pPr>
        <w:spacing w:after="0"/>
        <w:jc w:val="left"/>
        <w:rPr>
          <w:sz w:val="24"/>
        </w:rPr>
        <w:sectPr>
          <w:headerReference w:type="even" r:id="rId318"/>
          <w:pgSz w:w="11910" w:h="16840"/>
          <w:pgMar w:header="0" w:footer="0" w:top="158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445624" filled="true" fillcolor="#ecefee" stroked="false">
            <v:fill type="solid"/>
            <w10:wrap type="none"/>
          </v:rect>
        </w:pict>
      </w:r>
      <w:r>
        <w:rPr>
          <w:b/>
          <w:color w:val="FFFFFF"/>
          <w:w w:val="122"/>
          <w:sz w:val="48"/>
          <w:shd w:fill="658464" w:color="auto" w:val="clear"/>
        </w:rPr>
        <w:t> </w:t>
      </w:r>
      <w:r>
        <w:rPr>
          <w:b/>
          <w:color w:val="FFFFFF"/>
          <w:spacing w:val="41"/>
          <w:sz w:val="48"/>
          <w:shd w:fill="658464" w:color="auto" w:val="clear"/>
        </w:rPr>
        <w:t> </w:t>
      </w:r>
      <w:r>
        <w:rPr>
          <w:b/>
          <w:color w:val="FFFFFF"/>
          <w:spacing w:val="-11"/>
          <w:w w:val="105"/>
          <w:sz w:val="48"/>
          <w:shd w:fill="658464" w:color="auto" w:val="clear"/>
        </w:rPr>
        <w:t>12</w:t>
      </w:r>
      <w:r>
        <w:rPr>
          <w:b/>
          <w:color w:val="FFFFFF"/>
          <w:spacing w:val="-11"/>
          <w:sz w:val="48"/>
          <w:shd w:fill="658464"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tabs>
          <w:tab w:pos="1587" w:val="left" w:leader="none"/>
          <w:tab w:pos="11198" w:val="left" w:leader="none"/>
        </w:tabs>
        <w:spacing w:before="84"/>
        <w:ind w:left="0" w:right="0" w:firstLine="0"/>
        <w:jc w:val="left"/>
        <w:rPr>
          <w:b/>
          <w:sz w:val="96"/>
        </w:rPr>
      </w:pPr>
      <w:r>
        <w:rPr>
          <w:b/>
          <w:color w:val="658464"/>
          <w:w w:val="122"/>
          <w:sz w:val="96"/>
          <w:shd w:fill="FFFFFF" w:color="auto" w:val="clear"/>
        </w:rPr>
        <w:t> </w:t>
      </w:r>
      <w:r>
        <w:rPr>
          <w:b/>
          <w:color w:val="658464"/>
          <w:sz w:val="96"/>
          <w:shd w:fill="FFFFFF" w:color="auto" w:val="clear"/>
        </w:rPr>
        <w:tab/>
      </w:r>
      <w:r>
        <w:rPr>
          <w:b/>
          <w:color w:val="658464"/>
          <w:spacing w:val="-24"/>
          <w:w w:val="110"/>
          <w:sz w:val="96"/>
          <w:shd w:fill="FFFFFF" w:color="auto" w:val="clear"/>
        </w:rPr>
        <w:t>Community</w:t>
      </w:r>
      <w:r>
        <w:rPr>
          <w:b/>
          <w:color w:val="658464"/>
          <w:spacing w:val="160"/>
          <w:w w:val="110"/>
          <w:sz w:val="96"/>
          <w:shd w:fill="FFFFFF" w:color="auto" w:val="clear"/>
        </w:rPr>
        <w:t> </w:t>
      </w:r>
      <w:r>
        <w:rPr>
          <w:b/>
          <w:color w:val="658464"/>
          <w:spacing w:val="-24"/>
          <w:w w:val="110"/>
          <w:sz w:val="96"/>
          <w:shd w:fill="FFFFFF" w:color="auto" w:val="clear"/>
        </w:rPr>
        <w:t>resources</w:t>
      </w:r>
      <w:r>
        <w:rPr>
          <w:b/>
          <w:color w:val="658464"/>
          <w:spacing w:val="-24"/>
          <w:sz w:val="96"/>
          <w:shd w:fill="FFFFFF" w:color="auto" w:val="clear"/>
        </w:rPr>
        <w:tab/>
      </w:r>
    </w:p>
    <w:p>
      <w:pPr>
        <w:pStyle w:val="BodyText"/>
        <w:rPr>
          <w:sz w:val="20"/>
        </w:rPr>
      </w:pPr>
      <w:r>
        <w:rPr>
          <w:sz w:val="20"/>
        </w:rPr>
        <w:pict>
          <v:shape style="width:505.75pt;height:52pt;mso-position-horizontal-relative:char;mso-position-vertical-relative:line" type="#_x0000_t202" filled="true" fillcolor="#ffffff" stroked="false">
            <w10:anchorlock/>
            <v:textbox inset="0,0,0,0">
              <w:txbxContent>
                <w:p>
                  <w:pPr>
                    <w:spacing w:line="1040" w:lineRule="exact" w:before="0"/>
                    <w:ind w:left="1587" w:right="0" w:firstLine="0"/>
                    <w:jc w:val="left"/>
                    <w:rPr>
                      <w:b/>
                      <w:sz w:val="96"/>
                    </w:rPr>
                  </w:pPr>
                  <w:r>
                    <w:rPr>
                      <w:b/>
                      <w:color w:val="658464"/>
                      <w:spacing w:val="-22"/>
                      <w:w w:val="115"/>
                      <w:sz w:val="96"/>
                    </w:rPr>
                    <w:t>for </w:t>
                  </w:r>
                  <w:r>
                    <w:rPr>
                      <w:b/>
                      <w:color w:val="658464"/>
                      <w:spacing w:val="-25"/>
                      <w:w w:val="115"/>
                      <w:sz w:val="96"/>
                    </w:rPr>
                    <w:t>neighbourhood</w:t>
                  </w:r>
                </w:p>
              </w:txbxContent>
            </v:textbox>
            <v:fill type="solid"/>
          </v:shape>
        </w:pict>
      </w:r>
      <w:r>
        <w:rPr>
          <w:sz w:val="20"/>
        </w:rPr>
      </w:r>
    </w:p>
    <w:p>
      <w:pPr>
        <w:pStyle w:val="BodyText"/>
        <w:spacing w:before="1"/>
        <w:rPr>
          <w:b/>
          <w:sz w:val="3"/>
        </w:rPr>
      </w:pPr>
    </w:p>
    <w:p>
      <w:pPr>
        <w:pStyle w:val="BodyText"/>
        <w:rPr>
          <w:sz w:val="20"/>
        </w:rPr>
      </w:pPr>
      <w:r>
        <w:rPr>
          <w:sz w:val="20"/>
        </w:rPr>
        <w:pict>
          <v:shape style="width:373.3pt;height:52pt;mso-position-horizontal-relative:char;mso-position-vertical-relative:line" type="#_x0000_t202" filled="true" fillcolor="#ffffff" stroked="false">
            <w10:anchorlock/>
            <v:textbox inset="0,0,0,0">
              <w:txbxContent>
                <w:p>
                  <w:pPr>
                    <w:spacing w:line="1040" w:lineRule="exact" w:before="0"/>
                    <w:ind w:left="1587" w:right="0" w:firstLine="0"/>
                    <w:jc w:val="left"/>
                    <w:rPr>
                      <w:b/>
                      <w:sz w:val="96"/>
                    </w:rPr>
                  </w:pPr>
                  <w:r>
                    <w:rPr>
                      <w:b/>
                      <w:color w:val="658464"/>
                      <w:spacing w:val="-18"/>
                      <w:w w:val="110"/>
                      <w:sz w:val="96"/>
                    </w:rPr>
                    <w:t>tree</w:t>
                  </w:r>
                  <w:r>
                    <w:rPr>
                      <w:b/>
                      <w:color w:val="658464"/>
                      <w:spacing w:val="41"/>
                      <w:w w:val="110"/>
                      <w:sz w:val="96"/>
                    </w:rPr>
                    <w:t> </w:t>
                  </w:r>
                  <w:r>
                    <w:rPr>
                      <w:b/>
                      <w:color w:val="658464"/>
                      <w:spacing w:val="-24"/>
                      <w:w w:val="110"/>
                      <w:sz w:val="96"/>
                    </w:rPr>
                    <w:t>disputes</w:t>
                  </w:r>
                </w:p>
              </w:txbxContent>
            </v:textbox>
            <v:fill type="solid"/>
          </v:shape>
        </w:pict>
      </w:r>
      <w:r>
        <w:rPr>
          <w:sz w:val="20"/>
        </w:rPr>
      </w:r>
    </w:p>
    <w:p>
      <w:pPr>
        <w:pStyle w:val="BodyText"/>
        <w:rPr>
          <w:b/>
          <w:sz w:val="20"/>
        </w:rPr>
      </w:pPr>
    </w:p>
    <w:p>
      <w:pPr>
        <w:pStyle w:val="BodyText"/>
        <w:rPr>
          <w:b/>
          <w:sz w:val="20"/>
        </w:rPr>
      </w:pPr>
    </w:p>
    <w:p>
      <w:pPr>
        <w:pStyle w:val="BodyText"/>
        <w:rPr>
          <w:b/>
          <w:sz w:val="20"/>
        </w:rPr>
      </w:pPr>
    </w:p>
    <w:p>
      <w:pPr>
        <w:pStyle w:val="BodyText"/>
        <w:spacing w:before="2" w:after="1"/>
        <w:rPr>
          <w:b/>
          <w:sz w:val="18"/>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6111"/>
      </w:tblGrid>
      <w:tr>
        <w:trPr>
          <w:trHeight w:val="335" w:hRule="atLeast"/>
        </w:trPr>
        <w:tc>
          <w:tcPr>
            <w:tcW w:w="510" w:type="dxa"/>
            <w:tcBorders>
              <w:bottom w:val="single" w:sz="18" w:space="0" w:color="FFFFFF"/>
            </w:tcBorders>
            <w:shd w:val="clear" w:color="auto" w:fill="ECEFEE"/>
          </w:tcPr>
          <w:p>
            <w:pPr>
              <w:pStyle w:val="TableParagraph"/>
              <w:spacing w:line="289" w:lineRule="exact"/>
              <w:rPr>
                <w:b/>
                <w:sz w:val="24"/>
              </w:rPr>
            </w:pPr>
            <w:hyperlink w:history="true" w:anchor="_bookmark150">
              <w:r>
                <w:rPr>
                  <w:b/>
                  <w:w w:val="110"/>
                  <w:sz w:val="24"/>
                </w:rPr>
                <w:t>276</w:t>
              </w:r>
            </w:hyperlink>
          </w:p>
        </w:tc>
        <w:tc>
          <w:tcPr>
            <w:tcW w:w="6111" w:type="dxa"/>
            <w:shd w:val="clear" w:color="auto" w:fill="ECEFEE"/>
          </w:tcPr>
          <w:p>
            <w:pPr>
              <w:pStyle w:val="TableParagraph"/>
              <w:spacing w:line="289" w:lineRule="exact"/>
              <w:ind w:left="56"/>
              <w:rPr>
                <w:b/>
                <w:sz w:val="24"/>
              </w:rPr>
            </w:pPr>
            <w:hyperlink w:history="true" w:anchor="_bookmark150">
              <w:r>
                <w:rPr>
                  <w:b/>
                  <w:w w:val="110"/>
                  <w:sz w:val="24"/>
                </w:rPr>
                <w:t>Introduction</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9"/>
              <w:rPr>
                <w:b/>
                <w:sz w:val="24"/>
              </w:rPr>
            </w:pPr>
            <w:hyperlink w:history="true" w:anchor="_bookmark150">
              <w:r>
                <w:rPr>
                  <w:b/>
                  <w:w w:val="110"/>
                  <w:sz w:val="24"/>
                </w:rPr>
                <w:t>276</w:t>
              </w:r>
            </w:hyperlink>
          </w:p>
        </w:tc>
        <w:tc>
          <w:tcPr>
            <w:tcW w:w="6111" w:type="dxa"/>
            <w:shd w:val="clear" w:color="auto" w:fill="ECEFEE"/>
          </w:tcPr>
          <w:p>
            <w:pPr>
              <w:pStyle w:val="TableParagraph"/>
              <w:spacing w:before="89"/>
              <w:ind w:left="56"/>
              <w:rPr>
                <w:b/>
                <w:sz w:val="24"/>
              </w:rPr>
            </w:pPr>
            <w:hyperlink w:history="true" w:anchor="_bookmark150">
              <w:r>
                <w:rPr>
                  <w:b/>
                  <w:w w:val="110"/>
                  <w:sz w:val="24"/>
                </w:rPr>
                <w:t>Current resources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54">
              <w:r>
                <w:rPr>
                  <w:b/>
                  <w:w w:val="110"/>
                  <w:sz w:val="24"/>
                </w:rPr>
                <w:t>280</w:t>
              </w:r>
            </w:hyperlink>
          </w:p>
        </w:tc>
        <w:tc>
          <w:tcPr>
            <w:tcW w:w="6111" w:type="dxa"/>
            <w:shd w:val="clear" w:color="auto" w:fill="ECEFEE"/>
          </w:tcPr>
          <w:p>
            <w:pPr>
              <w:pStyle w:val="TableParagraph"/>
              <w:spacing w:before="88"/>
              <w:ind w:left="56"/>
              <w:rPr>
                <w:b/>
                <w:sz w:val="24"/>
              </w:rPr>
            </w:pPr>
            <w:hyperlink w:history="true" w:anchor="_bookmark154">
              <w:r>
                <w:rPr>
                  <w:b/>
                  <w:w w:val="110"/>
                  <w:sz w:val="24"/>
                </w:rPr>
                <w:t>Other jurisdictions—community resources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55">
              <w:r>
                <w:rPr>
                  <w:b/>
                  <w:w w:val="110"/>
                  <w:sz w:val="24"/>
                </w:rPr>
                <w:t>282</w:t>
              </w:r>
            </w:hyperlink>
          </w:p>
        </w:tc>
        <w:tc>
          <w:tcPr>
            <w:tcW w:w="6111" w:type="dxa"/>
            <w:shd w:val="clear" w:color="auto" w:fill="ECEFEE"/>
          </w:tcPr>
          <w:p>
            <w:pPr>
              <w:pStyle w:val="TableParagraph"/>
              <w:spacing w:before="88"/>
              <w:ind w:left="56"/>
              <w:rPr>
                <w:b/>
                <w:sz w:val="24"/>
              </w:rPr>
            </w:pPr>
            <w:hyperlink w:history="true" w:anchor="_bookmark155">
              <w:r>
                <w:rPr>
                  <w:b/>
                  <w:w w:val="110"/>
                  <w:sz w:val="24"/>
                </w:rPr>
                <w:t>Community responses—community resources</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56">
              <w:r>
                <w:rPr>
                  <w:b/>
                  <w:w w:val="110"/>
                  <w:sz w:val="24"/>
                </w:rPr>
                <w:t>283</w:t>
              </w:r>
            </w:hyperlink>
          </w:p>
        </w:tc>
        <w:tc>
          <w:tcPr>
            <w:tcW w:w="6111" w:type="dxa"/>
            <w:shd w:val="clear" w:color="auto" w:fill="ECEFEE"/>
          </w:tcPr>
          <w:p>
            <w:pPr>
              <w:pStyle w:val="TableParagraph"/>
              <w:spacing w:before="88"/>
              <w:ind w:left="56"/>
              <w:rPr>
                <w:b/>
                <w:sz w:val="24"/>
              </w:rPr>
            </w:pPr>
            <w:hyperlink w:history="true" w:anchor="_bookmark156">
              <w:r>
                <w:rPr>
                  <w:b/>
                  <w:w w:val="110"/>
                  <w:sz w:val="24"/>
                </w:rPr>
                <w:t>The Commission’s conclusions</w:t>
              </w:r>
            </w:hyperlink>
            <w:r>
              <w:rPr>
                <w:b/>
                <w:w w:val="110"/>
                <w:sz w:val="24"/>
              </w:rPr>
              <w:t>—community resources</w:t>
            </w:r>
          </w:p>
        </w:tc>
      </w:tr>
    </w:tbl>
    <w:p>
      <w:pPr>
        <w:spacing w:after="0"/>
        <w:rPr>
          <w:sz w:val="24"/>
        </w:rPr>
        <w:sectPr>
          <w:headerReference w:type="default" r:id="rId319"/>
          <w:headerReference w:type="even" r:id="rId320"/>
          <w:pgSz w:w="11910" w:h="16840"/>
          <w:pgMar w:header="0" w:footer="0" w:top="720" w:bottom="280" w:left="0" w:right="0"/>
        </w:sectPr>
      </w:pPr>
    </w:p>
    <w:p>
      <w:pPr>
        <w:pStyle w:val="BodyText"/>
        <w:spacing w:before="10"/>
        <w:rPr>
          <w:b/>
          <w:sz w:val="18"/>
        </w:rPr>
      </w:pPr>
    </w:p>
    <w:p>
      <w:pPr>
        <w:pStyle w:val="ListParagraph"/>
        <w:numPr>
          <w:ilvl w:val="0"/>
          <w:numId w:val="16"/>
        </w:numPr>
        <w:tabs>
          <w:tab w:pos="1248" w:val="left" w:leader="none"/>
        </w:tabs>
        <w:spacing w:line="232" w:lineRule="auto" w:before="106" w:after="0"/>
        <w:ind w:left="1247" w:right="4666" w:hanging="681"/>
        <w:jc w:val="left"/>
        <w:rPr>
          <w:b/>
          <w:sz w:val="44"/>
        </w:rPr>
      </w:pPr>
      <w:bookmarkStart w:name="12. Community resources for neighbourhoo" w:id="322"/>
      <w:bookmarkEnd w:id="322"/>
      <w:r>
        <w:rPr/>
      </w:r>
      <w:bookmarkStart w:name="Introduction" w:id="323"/>
      <w:bookmarkEnd w:id="323"/>
      <w:r>
        <w:rPr/>
      </w:r>
      <w:bookmarkStart w:name="Current resources" w:id="324"/>
      <w:bookmarkEnd w:id="324"/>
      <w:r>
        <w:rPr/>
      </w:r>
      <w:bookmarkStart w:name="_bookmark150" w:id="325"/>
      <w:bookmarkEnd w:id="325"/>
      <w:r>
        <w:rPr/>
      </w:r>
      <w:bookmarkStart w:name="_bookmark150" w:id="326"/>
      <w:bookmarkEnd w:id="326"/>
      <w:r>
        <w:rPr>
          <w:b/>
          <w:color w:val="658464"/>
          <w:spacing w:val="-3"/>
          <w:w w:val="115"/>
          <w:sz w:val="44"/>
        </w:rPr>
        <w:t>C</w:t>
      </w:r>
      <w:r>
        <w:rPr>
          <w:b/>
          <w:color w:val="658464"/>
          <w:spacing w:val="-3"/>
          <w:w w:val="115"/>
          <w:sz w:val="44"/>
        </w:rPr>
        <w:t>ommunity resources for neighbourhood </w:t>
      </w:r>
      <w:r>
        <w:rPr>
          <w:b/>
          <w:color w:val="658464"/>
          <w:w w:val="115"/>
          <w:sz w:val="44"/>
        </w:rPr>
        <w:t>tree</w:t>
      </w:r>
      <w:r>
        <w:rPr>
          <w:b/>
          <w:color w:val="658464"/>
          <w:spacing w:val="-61"/>
          <w:w w:val="115"/>
          <w:sz w:val="44"/>
        </w:rPr>
        <w:t> </w:t>
      </w:r>
      <w:r>
        <w:rPr>
          <w:b/>
          <w:color w:val="658464"/>
          <w:spacing w:val="-3"/>
          <w:w w:val="115"/>
          <w:sz w:val="44"/>
        </w:rPr>
        <w:t>disputes</w:t>
      </w:r>
    </w:p>
    <w:p>
      <w:pPr>
        <w:pStyle w:val="BodyText"/>
        <w:rPr>
          <w:b/>
          <w:sz w:val="52"/>
        </w:rPr>
      </w:pPr>
    </w:p>
    <w:p>
      <w:pPr>
        <w:pStyle w:val="BodyText"/>
        <w:rPr>
          <w:b/>
          <w:sz w:val="52"/>
        </w:rPr>
      </w:pPr>
    </w:p>
    <w:p>
      <w:pPr>
        <w:pStyle w:val="BodyText"/>
        <w:rPr>
          <w:b/>
          <w:sz w:val="52"/>
        </w:rPr>
      </w:pPr>
    </w:p>
    <w:p>
      <w:pPr>
        <w:pStyle w:val="BodyText"/>
        <w:spacing w:before="5"/>
        <w:rPr>
          <w:b/>
          <w:sz w:val="57"/>
        </w:rPr>
      </w:pPr>
    </w:p>
    <w:p>
      <w:pPr>
        <w:spacing w:before="1"/>
        <w:ind w:left="1587" w:right="0" w:firstLine="0"/>
        <w:jc w:val="left"/>
        <w:rPr>
          <w:b/>
          <w:sz w:val="28"/>
        </w:rPr>
      </w:pPr>
      <w:r>
        <w:rPr>
          <w:b/>
          <w:color w:val="658464"/>
          <w:w w:val="110"/>
          <w:sz w:val="28"/>
        </w:rPr>
        <w:t>Introduction</w:t>
      </w:r>
    </w:p>
    <w:p>
      <w:pPr>
        <w:pStyle w:val="ListParagraph"/>
        <w:numPr>
          <w:ilvl w:val="1"/>
          <w:numId w:val="16"/>
        </w:numPr>
        <w:tabs>
          <w:tab w:pos="2381" w:val="left" w:leader="none"/>
          <w:tab w:pos="2382" w:val="left" w:leader="none"/>
        </w:tabs>
        <w:spacing w:line="242" w:lineRule="auto" w:before="155" w:after="0"/>
        <w:ind w:left="2381" w:right="1913" w:hanging="794"/>
        <w:jc w:val="left"/>
        <w:rPr>
          <w:sz w:val="21"/>
        </w:rPr>
      </w:pPr>
      <w:r>
        <w:rPr>
          <w:w w:val="105"/>
          <w:sz w:val="21"/>
        </w:rPr>
        <w:t>The resolution of tree </w:t>
      </w:r>
      <w:r>
        <w:rPr>
          <w:spacing w:val="-3"/>
          <w:w w:val="105"/>
          <w:sz w:val="21"/>
        </w:rPr>
        <w:t>disputes </w:t>
      </w:r>
      <w:r>
        <w:rPr>
          <w:w w:val="105"/>
          <w:sz w:val="21"/>
        </w:rPr>
        <w:t>is </w:t>
      </w:r>
      <w:r>
        <w:rPr>
          <w:spacing w:val="-3"/>
          <w:w w:val="105"/>
          <w:sz w:val="21"/>
        </w:rPr>
        <w:t>hindered </w:t>
      </w:r>
      <w:r>
        <w:rPr>
          <w:w w:val="105"/>
          <w:sz w:val="21"/>
        </w:rPr>
        <w:t>by a poor understanding of the law and a lack</w:t>
      </w:r>
      <w:r>
        <w:rPr>
          <w:spacing w:val="-8"/>
          <w:w w:val="105"/>
          <w:sz w:val="21"/>
        </w:rPr>
        <w:t> </w:t>
      </w:r>
      <w:r>
        <w:rPr>
          <w:w w:val="105"/>
          <w:sz w:val="21"/>
        </w:rPr>
        <w:t>of</w:t>
      </w:r>
      <w:r>
        <w:rPr>
          <w:spacing w:val="-7"/>
          <w:w w:val="105"/>
          <w:sz w:val="21"/>
        </w:rPr>
        <w:t> </w:t>
      </w:r>
      <w:r>
        <w:rPr>
          <w:w w:val="105"/>
          <w:sz w:val="21"/>
        </w:rPr>
        <w:t>supporting</w:t>
      </w:r>
      <w:r>
        <w:rPr>
          <w:spacing w:val="-8"/>
          <w:w w:val="105"/>
          <w:sz w:val="21"/>
        </w:rPr>
        <w:t> </w:t>
      </w:r>
      <w:r>
        <w:rPr>
          <w:spacing w:val="-3"/>
          <w:w w:val="105"/>
          <w:sz w:val="21"/>
        </w:rPr>
        <w:t>information.</w:t>
      </w:r>
      <w:r>
        <w:rPr>
          <w:spacing w:val="-7"/>
          <w:w w:val="105"/>
          <w:sz w:val="21"/>
        </w:rPr>
        <w:t> </w:t>
      </w:r>
      <w:r>
        <w:rPr>
          <w:spacing w:val="-3"/>
          <w:w w:val="105"/>
          <w:sz w:val="21"/>
        </w:rPr>
        <w:t>Community</w:t>
      </w:r>
      <w:r>
        <w:rPr>
          <w:spacing w:val="-7"/>
          <w:w w:val="105"/>
          <w:sz w:val="21"/>
        </w:rPr>
        <w:t> </w:t>
      </w:r>
      <w:r>
        <w:rPr>
          <w:w w:val="105"/>
          <w:sz w:val="21"/>
        </w:rPr>
        <w:t>members</w:t>
      </w:r>
      <w:r>
        <w:rPr>
          <w:spacing w:val="-8"/>
          <w:w w:val="105"/>
          <w:sz w:val="21"/>
        </w:rPr>
        <w:t> </w:t>
      </w:r>
      <w:r>
        <w:rPr>
          <w:w w:val="105"/>
          <w:sz w:val="21"/>
        </w:rPr>
        <w:t>must</w:t>
      </w:r>
      <w:r>
        <w:rPr>
          <w:spacing w:val="-7"/>
          <w:w w:val="105"/>
          <w:sz w:val="21"/>
        </w:rPr>
        <w:t> </w:t>
      </w:r>
      <w:r>
        <w:rPr>
          <w:w w:val="105"/>
          <w:sz w:val="21"/>
        </w:rPr>
        <w:t>piece</w:t>
      </w:r>
      <w:r>
        <w:rPr>
          <w:spacing w:val="-7"/>
          <w:w w:val="105"/>
          <w:sz w:val="21"/>
        </w:rPr>
        <w:t> </w:t>
      </w:r>
      <w:r>
        <w:rPr>
          <w:w w:val="105"/>
          <w:sz w:val="21"/>
        </w:rPr>
        <w:t>together</w:t>
      </w:r>
      <w:r>
        <w:rPr>
          <w:spacing w:val="-8"/>
          <w:w w:val="105"/>
          <w:sz w:val="21"/>
        </w:rPr>
        <w:t> </w:t>
      </w:r>
      <w:r>
        <w:rPr>
          <w:spacing w:val="-3"/>
          <w:w w:val="105"/>
          <w:sz w:val="21"/>
        </w:rPr>
        <w:t>information published </w:t>
      </w:r>
      <w:r>
        <w:rPr>
          <w:w w:val="105"/>
          <w:sz w:val="21"/>
        </w:rPr>
        <w:t>by </w:t>
      </w:r>
      <w:r>
        <w:rPr>
          <w:spacing w:val="-3"/>
          <w:w w:val="105"/>
          <w:sz w:val="21"/>
        </w:rPr>
        <w:t>different government </w:t>
      </w:r>
      <w:r>
        <w:rPr>
          <w:w w:val="105"/>
          <w:sz w:val="21"/>
        </w:rPr>
        <w:t>and community agencies </w:t>
      </w:r>
      <w:r>
        <w:rPr>
          <w:spacing w:val="-3"/>
          <w:w w:val="105"/>
          <w:sz w:val="21"/>
        </w:rPr>
        <w:t>to </w:t>
      </w:r>
      <w:r>
        <w:rPr>
          <w:w w:val="105"/>
          <w:sz w:val="21"/>
        </w:rPr>
        <w:t>work out a</w:t>
      </w:r>
      <w:r>
        <w:rPr>
          <w:spacing w:val="-12"/>
          <w:w w:val="105"/>
          <w:sz w:val="21"/>
        </w:rPr>
        <w:t> </w:t>
      </w:r>
      <w:r>
        <w:rPr>
          <w:w w:val="105"/>
          <w:sz w:val="21"/>
        </w:rPr>
        <w:t>possible</w:t>
      </w:r>
    </w:p>
    <w:p>
      <w:pPr>
        <w:pStyle w:val="BodyText"/>
        <w:spacing w:line="242" w:lineRule="auto" w:before="3"/>
        <w:ind w:left="2381" w:right="1534"/>
      </w:pPr>
      <w:r>
        <w:rPr>
          <w:w w:val="105"/>
        </w:rPr>
        <w:t>resolution process. The </w:t>
      </w:r>
      <w:r>
        <w:rPr>
          <w:spacing w:val="-3"/>
          <w:w w:val="105"/>
        </w:rPr>
        <w:t>Commission </w:t>
      </w:r>
      <w:r>
        <w:rPr>
          <w:spacing w:val="-2"/>
          <w:w w:val="105"/>
        </w:rPr>
        <w:t>has </w:t>
      </w:r>
      <w:r>
        <w:rPr>
          <w:w w:val="105"/>
        </w:rPr>
        <w:t>also been told </w:t>
      </w:r>
      <w:r>
        <w:rPr>
          <w:spacing w:val="-3"/>
          <w:w w:val="105"/>
        </w:rPr>
        <w:t>that </w:t>
      </w:r>
      <w:r>
        <w:rPr>
          <w:w w:val="105"/>
        </w:rPr>
        <w:t>the community does </w:t>
      </w:r>
      <w:r>
        <w:rPr>
          <w:spacing w:val="-2"/>
          <w:w w:val="105"/>
        </w:rPr>
        <w:t>not </w:t>
      </w:r>
      <w:r>
        <w:rPr>
          <w:spacing w:val="-3"/>
          <w:w w:val="105"/>
        </w:rPr>
        <w:t>have </w:t>
      </w:r>
      <w:r>
        <w:rPr>
          <w:w w:val="105"/>
        </w:rPr>
        <w:t>a good understanding of which experts can assist them. In </w:t>
      </w:r>
      <w:r>
        <w:rPr>
          <w:spacing w:val="-3"/>
          <w:w w:val="105"/>
        </w:rPr>
        <w:t>particular, </w:t>
      </w:r>
      <w:r>
        <w:rPr>
          <w:w w:val="105"/>
        </w:rPr>
        <w:t>there is </w:t>
      </w:r>
      <w:r>
        <w:rPr>
          <w:spacing w:val="-3"/>
          <w:w w:val="105"/>
        </w:rPr>
        <w:t>limited </w:t>
      </w:r>
      <w:r>
        <w:rPr>
          <w:w w:val="105"/>
        </w:rPr>
        <w:t>awareness of the role and </w:t>
      </w:r>
      <w:r>
        <w:rPr>
          <w:spacing w:val="-3"/>
          <w:w w:val="105"/>
        </w:rPr>
        <w:t>qualifications </w:t>
      </w:r>
      <w:r>
        <w:rPr>
          <w:w w:val="105"/>
        </w:rPr>
        <w:t>of arborists.</w:t>
      </w:r>
    </w:p>
    <w:p>
      <w:pPr>
        <w:pStyle w:val="ListParagraph"/>
        <w:numPr>
          <w:ilvl w:val="1"/>
          <w:numId w:val="16"/>
        </w:numPr>
        <w:tabs>
          <w:tab w:pos="2381" w:val="left" w:leader="none"/>
          <w:tab w:pos="2382" w:val="left" w:leader="none"/>
        </w:tabs>
        <w:spacing w:line="242" w:lineRule="auto" w:before="123" w:after="0"/>
        <w:ind w:left="2381" w:right="1616" w:hanging="794"/>
        <w:jc w:val="left"/>
        <w:rPr>
          <w:sz w:val="21"/>
        </w:rPr>
      </w:pPr>
      <w:r>
        <w:rPr>
          <w:w w:val="105"/>
          <w:sz w:val="21"/>
        </w:rPr>
        <w:t>This</w:t>
      </w:r>
      <w:r>
        <w:rPr>
          <w:spacing w:val="-11"/>
          <w:w w:val="105"/>
          <w:sz w:val="21"/>
        </w:rPr>
        <w:t> </w:t>
      </w:r>
      <w:r>
        <w:rPr>
          <w:spacing w:val="-3"/>
          <w:w w:val="105"/>
          <w:sz w:val="21"/>
        </w:rPr>
        <w:t>chapter</w:t>
      </w:r>
      <w:r>
        <w:rPr>
          <w:spacing w:val="-11"/>
          <w:w w:val="105"/>
          <w:sz w:val="21"/>
        </w:rPr>
        <w:t> </w:t>
      </w:r>
      <w:r>
        <w:rPr>
          <w:w w:val="105"/>
          <w:sz w:val="21"/>
        </w:rPr>
        <w:t>considers</w:t>
      </w:r>
      <w:r>
        <w:rPr>
          <w:spacing w:val="-11"/>
          <w:w w:val="105"/>
          <w:sz w:val="21"/>
        </w:rPr>
        <w:t> </w:t>
      </w:r>
      <w:r>
        <w:rPr>
          <w:w w:val="105"/>
          <w:sz w:val="21"/>
        </w:rPr>
        <w:t>what</w:t>
      </w:r>
      <w:r>
        <w:rPr>
          <w:spacing w:val="-11"/>
          <w:w w:val="105"/>
          <w:sz w:val="21"/>
        </w:rPr>
        <w:t> </w:t>
      </w:r>
      <w:r>
        <w:rPr>
          <w:w w:val="105"/>
          <w:sz w:val="21"/>
        </w:rPr>
        <w:t>supporting</w:t>
      </w:r>
      <w:r>
        <w:rPr>
          <w:spacing w:val="-11"/>
          <w:w w:val="105"/>
          <w:sz w:val="21"/>
        </w:rPr>
        <w:t> </w:t>
      </w:r>
      <w:r>
        <w:rPr>
          <w:spacing w:val="-3"/>
          <w:w w:val="105"/>
          <w:sz w:val="21"/>
        </w:rPr>
        <w:t>material</w:t>
      </w:r>
      <w:r>
        <w:rPr>
          <w:spacing w:val="-11"/>
          <w:w w:val="105"/>
          <w:sz w:val="21"/>
        </w:rPr>
        <w:t> </w:t>
      </w:r>
      <w:r>
        <w:rPr>
          <w:w w:val="105"/>
          <w:sz w:val="21"/>
        </w:rPr>
        <w:t>should</w:t>
      </w:r>
      <w:r>
        <w:rPr>
          <w:spacing w:val="-11"/>
          <w:w w:val="105"/>
          <w:sz w:val="21"/>
        </w:rPr>
        <w:t> </w:t>
      </w:r>
      <w:r>
        <w:rPr>
          <w:w w:val="105"/>
          <w:sz w:val="21"/>
        </w:rPr>
        <w:t>be</w:t>
      </w:r>
      <w:r>
        <w:rPr>
          <w:spacing w:val="-11"/>
          <w:w w:val="105"/>
          <w:sz w:val="21"/>
        </w:rPr>
        <w:t> </w:t>
      </w:r>
      <w:r>
        <w:rPr>
          <w:spacing w:val="-3"/>
          <w:w w:val="105"/>
          <w:sz w:val="21"/>
        </w:rPr>
        <w:t>created</w:t>
      </w:r>
      <w:r>
        <w:rPr>
          <w:spacing w:val="-11"/>
          <w:w w:val="105"/>
          <w:sz w:val="21"/>
        </w:rPr>
        <w:t> </w:t>
      </w:r>
      <w:r>
        <w:rPr>
          <w:spacing w:val="-3"/>
          <w:w w:val="105"/>
          <w:sz w:val="21"/>
        </w:rPr>
        <w:t>to</w:t>
      </w:r>
      <w:r>
        <w:rPr>
          <w:spacing w:val="-11"/>
          <w:w w:val="105"/>
          <w:sz w:val="21"/>
        </w:rPr>
        <w:t> </w:t>
      </w:r>
      <w:r>
        <w:rPr>
          <w:w w:val="105"/>
          <w:sz w:val="21"/>
        </w:rPr>
        <w:t>help</w:t>
      </w:r>
      <w:r>
        <w:rPr>
          <w:spacing w:val="-11"/>
          <w:w w:val="105"/>
          <w:sz w:val="21"/>
        </w:rPr>
        <w:t> </w:t>
      </w:r>
      <w:r>
        <w:rPr>
          <w:w w:val="105"/>
          <w:sz w:val="21"/>
        </w:rPr>
        <w:t>the</w:t>
      </w:r>
      <w:r>
        <w:rPr>
          <w:spacing w:val="-11"/>
          <w:w w:val="105"/>
          <w:sz w:val="21"/>
        </w:rPr>
        <w:t> </w:t>
      </w:r>
      <w:r>
        <w:rPr>
          <w:w w:val="105"/>
          <w:sz w:val="21"/>
        </w:rPr>
        <w:t>community </w:t>
      </w:r>
      <w:r>
        <w:rPr>
          <w:spacing w:val="-3"/>
          <w:w w:val="105"/>
          <w:sz w:val="21"/>
        </w:rPr>
        <w:t>to </w:t>
      </w:r>
      <w:r>
        <w:rPr>
          <w:w w:val="105"/>
          <w:sz w:val="21"/>
        </w:rPr>
        <w:t>understand how the new Act works in practice and better </w:t>
      </w:r>
      <w:r>
        <w:rPr>
          <w:spacing w:val="-3"/>
          <w:w w:val="105"/>
          <w:sz w:val="21"/>
        </w:rPr>
        <w:t>prepare </w:t>
      </w:r>
      <w:r>
        <w:rPr>
          <w:w w:val="105"/>
          <w:sz w:val="21"/>
        </w:rPr>
        <w:t>people </w:t>
      </w:r>
      <w:r>
        <w:rPr>
          <w:spacing w:val="-3"/>
          <w:w w:val="105"/>
          <w:sz w:val="21"/>
        </w:rPr>
        <w:t>to </w:t>
      </w:r>
      <w:r>
        <w:rPr>
          <w:w w:val="105"/>
          <w:sz w:val="21"/>
        </w:rPr>
        <w:t>resolve their </w:t>
      </w:r>
      <w:r>
        <w:rPr>
          <w:spacing w:val="-3"/>
          <w:w w:val="105"/>
          <w:sz w:val="21"/>
        </w:rPr>
        <w:t>disputes </w:t>
      </w:r>
      <w:r>
        <w:rPr>
          <w:w w:val="105"/>
          <w:sz w:val="21"/>
        </w:rPr>
        <w:t>both </w:t>
      </w:r>
      <w:r>
        <w:rPr>
          <w:spacing w:val="-3"/>
          <w:w w:val="105"/>
          <w:sz w:val="21"/>
        </w:rPr>
        <w:t>through </w:t>
      </w:r>
      <w:r>
        <w:rPr>
          <w:w w:val="105"/>
          <w:sz w:val="21"/>
        </w:rPr>
        <w:t>the Victorian </w:t>
      </w:r>
      <w:r>
        <w:rPr>
          <w:spacing w:val="-3"/>
          <w:w w:val="105"/>
          <w:sz w:val="21"/>
        </w:rPr>
        <w:t>Civil </w:t>
      </w:r>
      <w:r>
        <w:rPr>
          <w:w w:val="105"/>
          <w:sz w:val="21"/>
        </w:rPr>
        <w:t>and </w:t>
      </w:r>
      <w:r>
        <w:rPr>
          <w:spacing w:val="-3"/>
          <w:w w:val="105"/>
          <w:sz w:val="21"/>
        </w:rPr>
        <w:t>Administrative </w:t>
      </w:r>
      <w:r>
        <w:rPr>
          <w:spacing w:val="-5"/>
          <w:w w:val="105"/>
          <w:sz w:val="21"/>
        </w:rPr>
        <w:t>Tribunal </w:t>
      </w:r>
      <w:r>
        <w:rPr>
          <w:w w:val="105"/>
          <w:sz w:val="21"/>
        </w:rPr>
        <w:t>(VCAT) and </w:t>
      </w:r>
      <w:r>
        <w:rPr>
          <w:spacing w:val="-4"/>
          <w:w w:val="105"/>
          <w:sz w:val="21"/>
        </w:rPr>
        <w:t>informally.</w:t>
      </w:r>
    </w:p>
    <w:p>
      <w:pPr>
        <w:pStyle w:val="BodyText"/>
        <w:spacing w:before="11"/>
      </w:pPr>
    </w:p>
    <w:p>
      <w:pPr>
        <w:pStyle w:val="Heading4"/>
        <w:spacing w:before="1"/>
      </w:pPr>
      <w:r>
        <w:rPr>
          <w:color w:val="658464"/>
          <w:w w:val="110"/>
        </w:rPr>
        <w:t>Current resources</w:t>
      </w:r>
    </w:p>
    <w:p>
      <w:pPr>
        <w:pStyle w:val="ListParagraph"/>
        <w:numPr>
          <w:ilvl w:val="1"/>
          <w:numId w:val="16"/>
        </w:numPr>
        <w:tabs>
          <w:tab w:pos="2380" w:val="left" w:leader="none"/>
          <w:tab w:pos="2381" w:val="left" w:leader="none"/>
        </w:tabs>
        <w:spacing w:line="242" w:lineRule="auto" w:before="154" w:after="0"/>
        <w:ind w:left="2381" w:right="1609" w:hanging="794"/>
        <w:jc w:val="left"/>
        <w:rPr>
          <w:sz w:val="21"/>
        </w:rPr>
      </w:pPr>
      <w:r>
        <w:rPr>
          <w:sz w:val="21"/>
        </w:rPr>
        <w:t>There </w:t>
      </w:r>
      <w:r>
        <w:rPr>
          <w:spacing w:val="-3"/>
          <w:sz w:val="21"/>
        </w:rPr>
        <w:t>are already </w:t>
      </w:r>
      <w:r>
        <w:rPr>
          <w:sz w:val="21"/>
        </w:rPr>
        <w:t>some </w:t>
      </w:r>
      <w:r>
        <w:rPr>
          <w:spacing w:val="-3"/>
          <w:sz w:val="21"/>
        </w:rPr>
        <w:t>information sources available to </w:t>
      </w:r>
      <w:r>
        <w:rPr>
          <w:sz w:val="21"/>
        </w:rPr>
        <w:t>the  community  </w:t>
      </w:r>
      <w:r>
        <w:rPr>
          <w:spacing w:val="-3"/>
          <w:sz w:val="21"/>
        </w:rPr>
        <w:t>to  </w:t>
      </w:r>
      <w:r>
        <w:rPr>
          <w:sz w:val="21"/>
        </w:rPr>
        <w:t>help  </w:t>
      </w:r>
      <w:r>
        <w:rPr>
          <w:spacing w:val="-3"/>
          <w:sz w:val="21"/>
        </w:rPr>
        <w:t>prevent </w:t>
      </w:r>
      <w:r>
        <w:rPr>
          <w:sz w:val="21"/>
        </w:rPr>
        <w:t>tree </w:t>
      </w:r>
      <w:r>
        <w:rPr>
          <w:spacing w:val="-3"/>
          <w:sz w:val="21"/>
        </w:rPr>
        <w:t>disputes </w:t>
      </w:r>
      <w:r>
        <w:rPr>
          <w:sz w:val="21"/>
        </w:rPr>
        <w:t>and </w:t>
      </w:r>
      <w:r>
        <w:rPr>
          <w:spacing w:val="-3"/>
          <w:sz w:val="21"/>
        </w:rPr>
        <w:t>to </w:t>
      </w:r>
      <w:r>
        <w:rPr>
          <w:sz w:val="21"/>
        </w:rPr>
        <w:t>resolve them as they </w:t>
      </w:r>
      <w:r>
        <w:rPr>
          <w:spacing w:val="-3"/>
          <w:sz w:val="21"/>
        </w:rPr>
        <w:t>arise. </w:t>
      </w:r>
      <w:r>
        <w:rPr>
          <w:sz w:val="21"/>
        </w:rPr>
        <w:t>These </w:t>
      </w:r>
      <w:r>
        <w:rPr>
          <w:spacing w:val="-3"/>
          <w:sz w:val="21"/>
        </w:rPr>
        <w:t>range from information </w:t>
      </w:r>
      <w:r>
        <w:rPr>
          <w:sz w:val="21"/>
        </w:rPr>
        <w:t>about </w:t>
      </w:r>
      <w:r>
        <w:rPr>
          <w:spacing w:val="-3"/>
          <w:sz w:val="21"/>
        </w:rPr>
        <w:t>responsible </w:t>
      </w:r>
      <w:r>
        <w:rPr>
          <w:sz w:val="21"/>
        </w:rPr>
        <w:t>tree </w:t>
      </w:r>
      <w:r>
        <w:rPr>
          <w:spacing w:val="-3"/>
          <w:sz w:val="21"/>
        </w:rPr>
        <w:t>planting to  information  that  </w:t>
      </w:r>
      <w:r>
        <w:rPr>
          <w:sz w:val="21"/>
        </w:rPr>
        <w:t>supports  </w:t>
      </w:r>
      <w:r>
        <w:rPr>
          <w:spacing w:val="-3"/>
          <w:sz w:val="21"/>
        </w:rPr>
        <w:t>alternative  dispute  resolution.  </w:t>
      </w:r>
      <w:r>
        <w:rPr>
          <w:sz w:val="21"/>
        </w:rPr>
        <w:t>Not </w:t>
      </w:r>
      <w:r>
        <w:rPr>
          <w:spacing w:val="-3"/>
          <w:sz w:val="21"/>
        </w:rPr>
        <w:t>all </w:t>
      </w:r>
      <w:r>
        <w:rPr>
          <w:sz w:val="21"/>
        </w:rPr>
        <w:t>of these </w:t>
      </w:r>
      <w:r>
        <w:rPr>
          <w:spacing w:val="-3"/>
          <w:sz w:val="21"/>
        </w:rPr>
        <w:t>resources are </w:t>
      </w:r>
      <w:r>
        <w:rPr>
          <w:sz w:val="21"/>
        </w:rPr>
        <w:t>easy </w:t>
      </w:r>
      <w:r>
        <w:rPr>
          <w:spacing w:val="-3"/>
          <w:sz w:val="21"/>
        </w:rPr>
        <w:t>to </w:t>
      </w:r>
      <w:r>
        <w:rPr>
          <w:sz w:val="21"/>
        </w:rPr>
        <w:t>find and they </w:t>
      </w:r>
      <w:r>
        <w:rPr>
          <w:spacing w:val="-3"/>
          <w:sz w:val="21"/>
        </w:rPr>
        <w:t>are </w:t>
      </w:r>
      <w:r>
        <w:rPr>
          <w:spacing w:val="-2"/>
          <w:sz w:val="21"/>
        </w:rPr>
        <w:t>not </w:t>
      </w:r>
      <w:r>
        <w:rPr>
          <w:sz w:val="21"/>
        </w:rPr>
        <w:t>universally </w:t>
      </w:r>
      <w:r>
        <w:rPr>
          <w:spacing w:val="-3"/>
          <w:sz w:val="21"/>
        </w:rPr>
        <w:t>available </w:t>
      </w:r>
      <w:r>
        <w:rPr>
          <w:sz w:val="21"/>
        </w:rPr>
        <w:t>across Victoria.</w:t>
      </w:r>
    </w:p>
    <w:p>
      <w:pPr>
        <w:pStyle w:val="BodyText"/>
        <w:spacing w:before="5"/>
        <w:rPr>
          <w:sz w:val="20"/>
        </w:rPr>
      </w:pPr>
    </w:p>
    <w:p>
      <w:pPr>
        <w:pStyle w:val="Heading5"/>
      </w:pPr>
      <w:r>
        <w:rPr>
          <w:w w:val="115"/>
        </w:rPr>
        <w:t>Responsible tree planting</w:t>
      </w:r>
    </w:p>
    <w:p>
      <w:pPr>
        <w:pStyle w:val="ListParagraph"/>
        <w:numPr>
          <w:ilvl w:val="1"/>
          <w:numId w:val="16"/>
        </w:numPr>
        <w:tabs>
          <w:tab w:pos="2381" w:val="left" w:leader="none"/>
          <w:tab w:pos="2382" w:val="left" w:leader="none"/>
        </w:tabs>
        <w:spacing w:line="242" w:lineRule="auto" w:before="138" w:after="0"/>
        <w:ind w:left="2381" w:right="1812" w:hanging="794"/>
        <w:jc w:val="left"/>
        <w:rPr>
          <w:sz w:val="21"/>
        </w:rPr>
      </w:pPr>
      <w:r>
        <w:rPr>
          <w:w w:val="105"/>
          <w:sz w:val="21"/>
        </w:rPr>
        <w:t>It was widely recognised in responses </w:t>
      </w:r>
      <w:r>
        <w:rPr>
          <w:spacing w:val="-3"/>
          <w:w w:val="105"/>
          <w:sz w:val="21"/>
        </w:rPr>
        <w:t>to </w:t>
      </w:r>
      <w:r>
        <w:rPr>
          <w:w w:val="105"/>
          <w:sz w:val="21"/>
        </w:rPr>
        <w:t>the </w:t>
      </w:r>
      <w:r>
        <w:rPr>
          <w:spacing w:val="-3"/>
          <w:w w:val="105"/>
          <w:sz w:val="21"/>
        </w:rPr>
        <w:t>Commission that appropriate planting </w:t>
      </w:r>
      <w:r>
        <w:rPr>
          <w:w w:val="105"/>
          <w:sz w:val="21"/>
        </w:rPr>
        <w:t>of trees—by</w:t>
      </w:r>
      <w:r>
        <w:rPr>
          <w:spacing w:val="-8"/>
          <w:w w:val="105"/>
          <w:sz w:val="21"/>
        </w:rPr>
        <w:t> </w:t>
      </w:r>
      <w:r>
        <w:rPr>
          <w:w w:val="105"/>
          <w:sz w:val="21"/>
        </w:rPr>
        <w:t>species</w:t>
      </w:r>
      <w:r>
        <w:rPr>
          <w:spacing w:val="-8"/>
          <w:w w:val="105"/>
          <w:sz w:val="21"/>
        </w:rPr>
        <w:t> </w:t>
      </w:r>
      <w:r>
        <w:rPr>
          <w:w w:val="105"/>
          <w:sz w:val="21"/>
        </w:rPr>
        <w:t>and</w:t>
      </w:r>
      <w:r>
        <w:rPr>
          <w:spacing w:val="-8"/>
          <w:w w:val="105"/>
          <w:sz w:val="21"/>
        </w:rPr>
        <w:t> </w:t>
      </w:r>
      <w:r>
        <w:rPr>
          <w:w w:val="105"/>
          <w:sz w:val="21"/>
        </w:rPr>
        <w:t>location—may</w:t>
      </w:r>
      <w:r>
        <w:rPr>
          <w:spacing w:val="-7"/>
          <w:w w:val="105"/>
          <w:sz w:val="21"/>
        </w:rPr>
        <w:t> </w:t>
      </w:r>
      <w:r>
        <w:rPr>
          <w:spacing w:val="-3"/>
          <w:w w:val="105"/>
          <w:sz w:val="21"/>
        </w:rPr>
        <w:t>minimise</w:t>
      </w:r>
      <w:r>
        <w:rPr>
          <w:spacing w:val="-8"/>
          <w:w w:val="105"/>
          <w:sz w:val="21"/>
        </w:rPr>
        <w:t> </w:t>
      </w:r>
      <w:r>
        <w:rPr>
          <w:w w:val="105"/>
          <w:sz w:val="21"/>
        </w:rPr>
        <w:t>the</w:t>
      </w:r>
      <w:r>
        <w:rPr>
          <w:spacing w:val="-8"/>
          <w:w w:val="105"/>
          <w:sz w:val="21"/>
        </w:rPr>
        <w:t> </w:t>
      </w:r>
      <w:r>
        <w:rPr>
          <w:spacing w:val="-3"/>
          <w:w w:val="105"/>
          <w:sz w:val="21"/>
        </w:rPr>
        <w:t>occurrence</w:t>
      </w:r>
      <w:r>
        <w:rPr>
          <w:spacing w:val="-7"/>
          <w:w w:val="105"/>
          <w:sz w:val="21"/>
        </w:rPr>
        <w:t> </w:t>
      </w:r>
      <w:r>
        <w:rPr>
          <w:w w:val="105"/>
          <w:sz w:val="21"/>
        </w:rPr>
        <w:t>of</w:t>
      </w:r>
      <w:r>
        <w:rPr>
          <w:spacing w:val="-8"/>
          <w:w w:val="105"/>
          <w:sz w:val="21"/>
        </w:rPr>
        <w:t> </w:t>
      </w:r>
      <w:r>
        <w:rPr>
          <w:w w:val="105"/>
          <w:sz w:val="21"/>
        </w:rPr>
        <w:t>tree</w:t>
      </w:r>
      <w:r>
        <w:rPr>
          <w:spacing w:val="-8"/>
          <w:w w:val="105"/>
          <w:sz w:val="21"/>
        </w:rPr>
        <w:t> </w:t>
      </w:r>
      <w:r>
        <w:rPr>
          <w:spacing w:val="-5"/>
          <w:w w:val="105"/>
          <w:sz w:val="21"/>
        </w:rPr>
        <w:t>disputes.</w:t>
      </w:r>
      <w:r>
        <w:rPr>
          <w:spacing w:val="-5"/>
          <w:w w:val="105"/>
          <w:position w:val="7"/>
          <w:sz w:val="12"/>
        </w:rPr>
        <w:t>1</w:t>
      </w:r>
      <w:r>
        <w:rPr>
          <w:spacing w:val="16"/>
          <w:w w:val="105"/>
          <w:position w:val="7"/>
          <w:sz w:val="12"/>
        </w:rPr>
        <w:t> </w:t>
      </w:r>
      <w:r>
        <w:rPr>
          <w:spacing w:val="-2"/>
          <w:w w:val="105"/>
          <w:sz w:val="21"/>
        </w:rPr>
        <w:t>Around </w:t>
      </w:r>
      <w:r>
        <w:rPr>
          <w:w w:val="105"/>
          <w:sz w:val="21"/>
        </w:rPr>
        <w:t>Victoria some </w:t>
      </w:r>
      <w:r>
        <w:rPr>
          <w:spacing w:val="-3"/>
          <w:w w:val="105"/>
          <w:sz w:val="21"/>
        </w:rPr>
        <w:t>councils </w:t>
      </w:r>
      <w:r>
        <w:rPr>
          <w:w w:val="105"/>
          <w:sz w:val="21"/>
        </w:rPr>
        <w:t>provide </w:t>
      </w:r>
      <w:r>
        <w:rPr>
          <w:spacing w:val="-3"/>
          <w:w w:val="105"/>
          <w:sz w:val="21"/>
        </w:rPr>
        <w:t>information to </w:t>
      </w:r>
      <w:r>
        <w:rPr>
          <w:w w:val="105"/>
          <w:sz w:val="21"/>
        </w:rPr>
        <w:t>residents about </w:t>
      </w:r>
      <w:r>
        <w:rPr>
          <w:spacing w:val="-3"/>
          <w:w w:val="105"/>
          <w:sz w:val="21"/>
        </w:rPr>
        <w:t>sustainable planting </w:t>
      </w:r>
      <w:r>
        <w:rPr>
          <w:w w:val="105"/>
          <w:sz w:val="21"/>
        </w:rPr>
        <w:t>and some provide </w:t>
      </w:r>
      <w:r>
        <w:rPr>
          <w:spacing w:val="-3"/>
          <w:w w:val="105"/>
          <w:sz w:val="21"/>
        </w:rPr>
        <w:t>helpful guidance </w:t>
      </w:r>
      <w:r>
        <w:rPr>
          <w:w w:val="105"/>
          <w:sz w:val="21"/>
        </w:rPr>
        <w:t>about </w:t>
      </w:r>
      <w:r>
        <w:rPr>
          <w:spacing w:val="-3"/>
          <w:w w:val="105"/>
          <w:sz w:val="21"/>
        </w:rPr>
        <w:t>planting </w:t>
      </w:r>
      <w:r>
        <w:rPr>
          <w:w w:val="105"/>
          <w:sz w:val="21"/>
        </w:rPr>
        <w:t>more</w:t>
      </w:r>
      <w:r>
        <w:rPr>
          <w:spacing w:val="38"/>
          <w:w w:val="105"/>
          <w:sz w:val="21"/>
        </w:rPr>
        <w:t> </w:t>
      </w:r>
      <w:r>
        <w:rPr>
          <w:spacing w:val="-4"/>
          <w:w w:val="105"/>
          <w:sz w:val="21"/>
        </w:rPr>
        <w:t>generally.</w:t>
      </w:r>
    </w:p>
    <w:p>
      <w:pPr>
        <w:pStyle w:val="ListParagraph"/>
        <w:numPr>
          <w:ilvl w:val="1"/>
          <w:numId w:val="16"/>
        </w:numPr>
        <w:tabs>
          <w:tab w:pos="2380" w:val="left" w:leader="none"/>
          <w:tab w:pos="2381" w:val="left" w:leader="none"/>
        </w:tabs>
        <w:spacing w:line="242" w:lineRule="auto" w:before="124" w:after="0"/>
        <w:ind w:left="2380" w:right="2011" w:hanging="793"/>
        <w:jc w:val="left"/>
        <w:rPr>
          <w:sz w:val="21"/>
        </w:rPr>
      </w:pPr>
      <w:r>
        <w:rPr>
          <w:spacing w:val="-3"/>
          <w:w w:val="105"/>
          <w:sz w:val="21"/>
        </w:rPr>
        <w:t>Sustainable Gardening Australia </w:t>
      </w:r>
      <w:r>
        <w:rPr>
          <w:w w:val="105"/>
          <w:sz w:val="21"/>
        </w:rPr>
        <w:t>(SGA) </w:t>
      </w:r>
      <w:r>
        <w:rPr>
          <w:spacing w:val="-2"/>
          <w:w w:val="105"/>
          <w:sz w:val="21"/>
        </w:rPr>
        <w:t>has </w:t>
      </w:r>
      <w:r>
        <w:rPr>
          <w:spacing w:val="-3"/>
          <w:w w:val="105"/>
          <w:sz w:val="21"/>
        </w:rPr>
        <w:t>produced comprehensive </w:t>
      </w:r>
      <w:r>
        <w:rPr>
          <w:w w:val="105"/>
          <w:sz w:val="21"/>
        </w:rPr>
        <w:t>booklets on </w:t>
      </w:r>
      <w:r>
        <w:rPr>
          <w:spacing w:val="-3"/>
          <w:w w:val="105"/>
          <w:sz w:val="21"/>
        </w:rPr>
        <w:t>sustainable gardening for </w:t>
      </w:r>
      <w:r>
        <w:rPr>
          <w:w w:val="105"/>
          <w:sz w:val="21"/>
        </w:rPr>
        <w:t>some local </w:t>
      </w:r>
      <w:r>
        <w:rPr>
          <w:spacing w:val="-3"/>
          <w:w w:val="105"/>
          <w:sz w:val="21"/>
        </w:rPr>
        <w:t>government areas within </w:t>
      </w:r>
      <w:r>
        <w:rPr>
          <w:w w:val="105"/>
          <w:sz w:val="21"/>
        </w:rPr>
        <w:t>Victoria.</w:t>
      </w:r>
      <w:r>
        <w:rPr>
          <w:w w:val="105"/>
          <w:position w:val="7"/>
          <w:sz w:val="12"/>
        </w:rPr>
        <w:t>2 </w:t>
      </w:r>
      <w:r>
        <w:rPr>
          <w:w w:val="105"/>
          <w:sz w:val="21"/>
        </w:rPr>
        <w:t>The booklets </w:t>
      </w:r>
      <w:r>
        <w:rPr>
          <w:spacing w:val="-3"/>
          <w:w w:val="105"/>
          <w:sz w:val="21"/>
        </w:rPr>
        <w:t>contain information </w:t>
      </w:r>
      <w:r>
        <w:rPr>
          <w:w w:val="105"/>
          <w:sz w:val="21"/>
        </w:rPr>
        <w:t>on </w:t>
      </w:r>
      <w:r>
        <w:rPr>
          <w:spacing w:val="-3"/>
          <w:w w:val="105"/>
          <w:sz w:val="21"/>
        </w:rPr>
        <w:t>plant </w:t>
      </w:r>
      <w:r>
        <w:rPr>
          <w:w w:val="105"/>
          <w:sz w:val="21"/>
        </w:rPr>
        <w:t>selection </w:t>
      </w:r>
      <w:r>
        <w:rPr>
          <w:spacing w:val="-3"/>
          <w:w w:val="105"/>
          <w:sz w:val="21"/>
        </w:rPr>
        <w:t>to suit </w:t>
      </w:r>
      <w:r>
        <w:rPr>
          <w:w w:val="105"/>
          <w:sz w:val="21"/>
        </w:rPr>
        <w:t>local </w:t>
      </w:r>
      <w:r>
        <w:rPr>
          <w:spacing w:val="-3"/>
          <w:w w:val="105"/>
          <w:sz w:val="21"/>
        </w:rPr>
        <w:t>conditions </w:t>
      </w:r>
      <w:r>
        <w:rPr>
          <w:w w:val="105"/>
          <w:sz w:val="21"/>
        </w:rPr>
        <w:t>of soil and</w:t>
      </w:r>
      <w:r>
        <w:rPr>
          <w:spacing w:val="15"/>
          <w:w w:val="105"/>
          <w:sz w:val="21"/>
        </w:rPr>
        <w:t> </w:t>
      </w:r>
      <w:r>
        <w:rPr>
          <w:spacing w:val="-4"/>
          <w:w w:val="105"/>
          <w:sz w:val="21"/>
        </w:rPr>
        <w:t>climate.</w:t>
      </w:r>
    </w:p>
    <w:p>
      <w:pPr>
        <w:pStyle w:val="ListParagraph"/>
        <w:numPr>
          <w:ilvl w:val="1"/>
          <w:numId w:val="16"/>
        </w:numPr>
        <w:tabs>
          <w:tab w:pos="2381" w:val="left" w:leader="none"/>
          <w:tab w:pos="2382" w:val="left" w:leader="none"/>
        </w:tabs>
        <w:spacing w:line="242" w:lineRule="auto" w:before="124" w:after="0"/>
        <w:ind w:left="2381" w:right="1629" w:hanging="794"/>
        <w:jc w:val="left"/>
        <w:rPr>
          <w:sz w:val="21"/>
        </w:rPr>
      </w:pPr>
      <w:r>
        <w:rPr>
          <w:w w:val="105"/>
          <w:sz w:val="21"/>
        </w:rPr>
        <w:t>For </w:t>
      </w:r>
      <w:r>
        <w:rPr>
          <w:spacing w:val="-3"/>
          <w:w w:val="105"/>
          <w:sz w:val="21"/>
        </w:rPr>
        <w:t>example, </w:t>
      </w:r>
      <w:r>
        <w:rPr>
          <w:w w:val="105"/>
          <w:sz w:val="21"/>
        </w:rPr>
        <w:t>the </w:t>
      </w:r>
      <w:r>
        <w:rPr>
          <w:spacing w:val="-3"/>
          <w:w w:val="105"/>
          <w:sz w:val="21"/>
        </w:rPr>
        <w:t>City </w:t>
      </w:r>
      <w:r>
        <w:rPr>
          <w:w w:val="105"/>
          <w:sz w:val="21"/>
        </w:rPr>
        <w:t>of </w:t>
      </w:r>
      <w:r>
        <w:rPr>
          <w:spacing w:val="-3"/>
          <w:w w:val="105"/>
          <w:sz w:val="21"/>
        </w:rPr>
        <w:t>Mildura Rural City </w:t>
      </w:r>
      <w:r>
        <w:rPr>
          <w:spacing w:val="-4"/>
          <w:w w:val="105"/>
          <w:sz w:val="21"/>
        </w:rPr>
        <w:t>Council </w:t>
      </w:r>
      <w:r>
        <w:rPr>
          <w:w w:val="105"/>
          <w:sz w:val="21"/>
        </w:rPr>
        <w:t>SGA booklet classifies a </w:t>
      </w:r>
      <w:r>
        <w:rPr>
          <w:spacing w:val="-3"/>
          <w:w w:val="105"/>
          <w:sz w:val="21"/>
        </w:rPr>
        <w:t>range </w:t>
      </w:r>
      <w:r>
        <w:rPr>
          <w:w w:val="105"/>
          <w:sz w:val="21"/>
        </w:rPr>
        <w:t>of  plants </w:t>
      </w:r>
      <w:r>
        <w:rPr>
          <w:spacing w:val="-3"/>
          <w:w w:val="105"/>
          <w:sz w:val="21"/>
        </w:rPr>
        <w:t>according to </w:t>
      </w:r>
      <w:r>
        <w:rPr>
          <w:w w:val="105"/>
          <w:sz w:val="21"/>
        </w:rPr>
        <w:t>their </w:t>
      </w:r>
      <w:r>
        <w:rPr>
          <w:spacing w:val="-3"/>
          <w:w w:val="105"/>
          <w:sz w:val="21"/>
        </w:rPr>
        <w:t>growing requirements </w:t>
      </w:r>
      <w:r>
        <w:rPr>
          <w:w w:val="105"/>
          <w:sz w:val="21"/>
        </w:rPr>
        <w:t>(such as </w:t>
      </w:r>
      <w:r>
        <w:rPr>
          <w:spacing w:val="-3"/>
          <w:w w:val="105"/>
          <w:sz w:val="21"/>
        </w:rPr>
        <w:t>drought-tolerant), </w:t>
      </w:r>
      <w:r>
        <w:rPr>
          <w:w w:val="105"/>
          <w:sz w:val="21"/>
        </w:rPr>
        <w:t>the </w:t>
      </w:r>
      <w:r>
        <w:rPr>
          <w:spacing w:val="-3"/>
          <w:w w:val="105"/>
          <w:sz w:val="21"/>
        </w:rPr>
        <w:t>origin </w:t>
      </w:r>
      <w:r>
        <w:rPr>
          <w:w w:val="105"/>
          <w:sz w:val="21"/>
        </w:rPr>
        <w:t>of the</w:t>
      </w:r>
      <w:r>
        <w:rPr>
          <w:spacing w:val="-7"/>
          <w:w w:val="105"/>
          <w:sz w:val="21"/>
        </w:rPr>
        <w:t> </w:t>
      </w:r>
      <w:r>
        <w:rPr>
          <w:spacing w:val="-3"/>
          <w:w w:val="105"/>
          <w:sz w:val="21"/>
        </w:rPr>
        <w:t>plant</w:t>
      </w:r>
      <w:r>
        <w:rPr>
          <w:spacing w:val="-6"/>
          <w:w w:val="105"/>
          <w:sz w:val="21"/>
        </w:rPr>
        <w:t> </w:t>
      </w:r>
      <w:r>
        <w:rPr>
          <w:w w:val="105"/>
          <w:sz w:val="21"/>
        </w:rPr>
        <w:t>(native</w:t>
      </w:r>
      <w:r>
        <w:rPr>
          <w:spacing w:val="-6"/>
          <w:w w:val="105"/>
          <w:sz w:val="21"/>
        </w:rPr>
        <w:t> </w:t>
      </w:r>
      <w:r>
        <w:rPr>
          <w:w w:val="105"/>
          <w:sz w:val="21"/>
        </w:rPr>
        <w:t>or</w:t>
      </w:r>
      <w:r>
        <w:rPr>
          <w:spacing w:val="-7"/>
          <w:w w:val="105"/>
          <w:sz w:val="21"/>
        </w:rPr>
        <w:t> </w:t>
      </w:r>
      <w:r>
        <w:rPr>
          <w:w w:val="105"/>
          <w:sz w:val="21"/>
        </w:rPr>
        <w:t>nonnative)</w:t>
      </w:r>
      <w:r>
        <w:rPr>
          <w:spacing w:val="-6"/>
          <w:w w:val="105"/>
          <w:sz w:val="21"/>
        </w:rPr>
        <w:t> </w:t>
      </w:r>
      <w:r>
        <w:rPr>
          <w:w w:val="105"/>
          <w:sz w:val="21"/>
        </w:rPr>
        <w:t>and</w:t>
      </w:r>
      <w:r>
        <w:rPr>
          <w:spacing w:val="-6"/>
          <w:w w:val="105"/>
          <w:sz w:val="21"/>
        </w:rPr>
        <w:t> </w:t>
      </w:r>
      <w:r>
        <w:rPr>
          <w:w w:val="105"/>
          <w:sz w:val="21"/>
        </w:rPr>
        <w:t>the</w:t>
      </w:r>
      <w:r>
        <w:rPr>
          <w:spacing w:val="-6"/>
          <w:w w:val="105"/>
          <w:sz w:val="21"/>
        </w:rPr>
        <w:t> </w:t>
      </w:r>
      <w:r>
        <w:rPr>
          <w:spacing w:val="-3"/>
          <w:w w:val="105"/>
          <w:sz w:val="21"/>
        </w:rPr>
        <w:t>growing</w:t>
      </w:r>
      <w:r>
        <w:rPr>
          <w:spacing w:val="-7"/>
          <w:w w:val="105"/>
          <w:sz w:val="21"/>
        </w:rPr>
        <w:t> </w:t>
      </w:r>
      <w:r>
        <w:rPr>
          <w:spacing w:val="-3"/>
          <w:w w:val="105"/>
          <w:sz w:val="21"/>
        </w:rPr>
        <w:t>habit</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w w:val="105"/>
          <w:sz w:val="21"/>
        </w:rPr>
        <w:t>plants</w:t>
      </w:r>
      <w:r>
        <w:rPr>
          <w:spacing w:val="-7"/>
          <w:w w:val="105"/>
          <w:sz w:val="21"/>
        </w:rPr>
        <w:t> </w:t>
      </w:r>
      <w:r>
        <w:rPr>
          <w:w w:val="105"/>
          <w:sz w:val="21"/>
        </w:rPr>
        <w:t>(such</w:t>
      </w:r>
      <w:r>
        <w:rPr>
          <w:spacing w:val="-6"/>
          <w:w w:val="105"/>
          <w:sz w:val="21"/>
        </w:rPr>
        <w:t> </w:t>
      </w:r>
      <w:r>
        <w:rPr>
          <w:w w:val="105"/>
          <w:sz w:val="21"/>
        </w:rPr>
        <w:t>as</w:t>
      </w:r>
      <w:r>
        <w:rPr>
          <w:spacing w:val="-6"/>
          <w:w w:val="105"/>
          <w:sz w:val="21"/>
        </w:rPr>
        <w:t> </w:t>
      </w:r>
      <w:r>
        <w:rPr>
          <w:w w:val="105"/>
          <w:sz w:val="21"/>
        </w:rPr>
        <w:t>its</w:t>
      </w:r>
      <w:r>
        <w:rPr>
          <w:spacing w:val="-6"/>
          <w:w w:val="105"/>
          <w:sz w:val="21"/>
        </w:rPr>
        <w:t> </w:t>
      </w:r>
      <w:r>
        <w:rPr>
          <w:spacing w:val="-3"/>
          <w:w w:val="105"/>
          <w:sz w:val="21"/>
        </w:rPr>
        <w:t>anticipated</w:t>
      </w:r>
    </w:p>
    <w:p>
      <w:pPr>
        <w:pStyle w:val="BodyText"/>
        <w:rPr>
          <w:sz w:val="20"/>
        </w:rPr>
      </w:pPr>
    </w:p>
    <w:p>
      <w:pPr>
        <w:pStyle w:val="BodyText"/>
        <w:rPr>
          <w:sz w:val="20"/>
        </w:rPr>
      </w:pPr>
    </w:p>
    <w:p>
      <w:pPr>
        <w:pStyle w:val="BodyText"/>
        <w:spacing w:before="4"/>
        <w:rPr>
          <w:sz w:val="20"/>
        </w:rPr>
      </w:pPr>
      <w:r>
        <w:rPr/>
        <w:pict>
          <v:line style="position:absolute;mso-position-horizontal-relative:page;mso-position-vertical-relative:paragraph;z-index:11456;mso-wrap-distance-left:0;mso-wrap-distance-right:0" from="79.370102pt,14.877719pt" to="515.905102pt,14.877719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spacing w:before="1"/>
        <w:rPr>
          <w:sz w:val="31"/>
        </w:rPr>
      </w:pPr>
    </w:p>
    <w:p>
      <w:pPr>
        <w:spacing w:before="0"/>
        <w:ind w:left="720" w:right="0" w:firstLine="0"/>
        <w:jc w:val="left"/>
        <w:rPr>
          <w:b/>
          <w:sz w:val="24"/>
        </w:rPr>
      </w:pPr>
      <w:r>
        <w:rPr>
          <w:b/>
          <w:color w:val="658464"/>
          <w:spacing w:val="-7"/>
          <w:w w:val="110"/>
          <w:sz w:val="24"/>
        </w:rPr>
        <w:t>276</w:t>
      </w:r>
    </w:p>
    <w:p>
      <w:pPr>
        <w:pStyle w:val="ListParagraph"/>
        <w:numPr>
          <w:ilvl w:val="0"/>
          <w:numId w:val="199"/>
        </w:numPr>
        <w:tabs>
          <w:tab w:pos="1238" w:val="left" w:leader="none"/>
          <w:tab w:pos="1239" w:val="left" w:leader="none"/>
        </w:tabs>
        <w:spacing w:line="240" w:lineRule="auto" w:before="48" w:after="0"/>
        <w:ind w:left="1238" w:right="1723" w:hanging="793"/>
        <w:jc w:val="left"/>
        <w:rPr>
          <w:sz w:val="13"/>
        </w:rPr>
      </w:pPr>
      <w:r>
        <w:rPr>
          <w:w w:val="108"/>
          <w:sz w:val="13"/>
        </w:rPr>
        <w:br w:type="column"/>
      </w:r>
      <w:r>
        <w:rPr>
          <w:w w:val="105"/>
          <w:sz w:val="13"/>
        </w:rPr>
        <w:t>Submissions 1 </w:t>
      </w:r>
      <w:r>
        <w:rPr>
          <w:spacing w:val="2"/>
          <w:w w:val="105"/>
          <w:sz w:val="13"/>
        </w:rPr>
        <w:t>(Ian </w:t>
      </w:r>
      <w:r>
        <w:rPr>
          <w:w w:val="105"/>
          <w:sz w:val="13"/>
        </w:rPr>
        <w:t>Collier), 5 </w:t>
      </w:r>
      <w:r>
        <w:rPr>
          <w:spacing w:val="2"/>
          <w:w w:val="105"/>
          <w:sz w:val="13"/>
        </w:rPr>
        <w:t>(Name </w:t>
      </w:r>
      <w:r>
        <w:rPr>
          <w:w w:val="105"/>
          <w:sz w:val="13"/>
        </w:rPr>
        <w:t>withheld), 22 </w:t>
      </w:r>
      <w:r>
        <w:rPr>
          <w:spacing w:val="2"/>
          <w:w w:val="105"/>
          <w:sz w:val="13"/>
        </w:rPr>
        <w:t>(Name </w:t>
      </w:r>
      <w:r>
        <w:rPr>
          <w:w w:val="105"/>
          <w:sz w:val="13"/>
        </w:rPr>
        <w:t>withheld), 24 </w:t>
      </w:r>
      <w:r>
        <w:rPr>
          <w:spacing w:val="2"/>
          <w:w w:val="105"/>
          <w:sz w:val="13"/>
        </w:rPr>
        <w:t>(Name </w:t>
      </w:r>
      <w:r>
        <w:rPr>
          <w:w w:val="105"/>
          <w:sz w:val="13"/>
        </w:rPr>
        <w:t>withheld); Consultations 4 (Participants in facilitated discussion at </w:t>
      </w:r>
      <w:r>
        <w:rPr>
          <w:spacing w:val="4"/>
          <w:w w:val="105"/>
          <w:sz w:val="13"/>
        </w:rPr>
        <w:t>VTIO </w:t>
      </w:r>
      <w:r>
        <w:rPr>
          <w:w w:val="105"/>
          <w:sz w:val="13"/>
        </w:rPr>
        <w:t>ArborCamp2018), 10 </w:t>
      </w:r>
      <w:r>
        <w:rPr>
          <w:spacing w:val="2"/>
          <w:w w:val="105"/>
          <w:sz w:val="13"/>
        </w:rPr>
        <w:t>(Baw </w:t>
      </w:r>
      <w:r>
        <w:rPr>
          <w:w w:val="105"/>
          <w:sz w:val="13"/>
        </w:rPr>
        <w:t>Baw Shire Council), </w:t>
      </w:r>
      <w:r>
        <w:rPr>
          <w:spacing w:val="-6"/>
          <w:w w:val="105"/>
          <w:sz w:val="13"/>
        </w:rPr>
        <w:t>11 </w:t>
      </w:r>
      <w:r>
        <w:rPr>
          <w:spacing w:val="2"/>
          <w:w w:val="105"/>
          <w:sz w:val="13"/>
        </w:rPr>
        <w:t>(Land </w:t>
      </w:r>
      <w:r>
        <w:rPr>
          <w:w w:val="105"/>
          <w:sz w:val="13"/>
        </w:rPr>
        <w:t>and Environment Court of New South Wales), </w:t>
      </w:r>
      <w:r>
        <w:rPr>
          <w:spacing w:val="-4"/>
          <w:w w:val="105"/>
          <w:sz w:val="13"/>
        </w:rPr>
        <w:t>12 </w:t>
      </w:r>
      <w:r>
        <w:rPr>
          <w:w w:val="105"/>
          <w:sz w:val="13"/>
        </w:rPr>
        <w:t>(City of Port Phillip); Survey Respondents </w:t>
      </w:r>
      <w:r>
        <w:rPr>
          <w:spacing w:val="-3"/>
          <w:w w:val="105"/>
          <w:sz w:val="13"/>
        </w:rPr>
        <w:t>1, </w:t>
      </w:r>
      <w:r>
        <w:rPr>
          <w:w w:val="105"/>
          <w:sz w:val="13"/>
        </w:rPr>
        <w:t>3, 18, 20, </w:t>
      </w:r>
      <w:r>
        <w:rPr>
          <w:spacing w:val="-5"/>
          <w:w w:val="105"/>
          <w:sz w:val="13"/>
        </w:rPr>
        <w:t>27, 51, </w:t>
      </w:r>
      <w:r>
        <w:rPr>
          <w:w w:val="105"/>
          <w:sz w:val="13"/>
        </w:rPr>
        <w:t>52, 59, 76, 93, 109,</w:t>
      </w:r>
      <w:r>
        <w:rPr>
          <w:spacing w:val="24"/>
          <w:w w:val="105"/>
          <w:sz w:val="13"/>
        </w:rPr>
        <w:t> </w:t>
      </w:r>
      <w:r>
        <w:rPr>
          <w:spacing w:val="-7"/>
          <w:w w:val="105"/>
          <w:sz w:val="13"/>
        </w:rPr>
        <w:t>111, </w:t>
      </w:r>
      <w:r>
        <w:rPr>
          <w:w w:val="105"/>
          <w:sz w:val="13"/>
        </w:rPr>
        <w:t>123.</w:t>
      </w:r>
    </w:p>
    <w:p>
      <w:pPr>
        <w:pStyle w:val="ListParagraph"/>
        <w:numPr>
          <w:ilvl w:val="0"/>
          <w:numId w:val="199"/>
        </w:numPr>
        <w:tabs>
          <w:tab w:pos="1238" w:val="left" w:leader="none"/>
          <w:tab w:pos="1239" w:val="left" w:leader="none"/>
        </w:tabs>
        <w:spacing w:line="240" w:lineRule="auto" w:before="4" w:after="0"/>
        <w:ind w:left="1238" w:right="1686" w:hanging="793"/>
        <w:jc w:val="left"/>
        <w:rPr>
          <w:sz w:val="13"/>
        </w:rPr>
      </w:pPr>
      <w:r>
        <w:rPr>
          <w:w w:val="105"/>
          <w:sz w:val="13"/>
        </w:rPr>
        <w:t>Sustainable Gardening Australia, </w:t>
      </w:r>
      <w:r>
        <w:rPr>
          <w:i/>
          <w:w w:val="105"/>
          <w:sz w:val="13"/>
        </w:rPr>
        <w:t>Gardening Booklets for Local Areas </w:t>
      </w:r>
      <w:r>
        <w:rPr>
          <w:spacing w:val="2"/>
          <w:w w:val="105"/>
          <w:sz w:val="13"/>
        </w:rPr>
        <w:t>(Booklets, </w:t>
      </w:r>
      <w:r>
        <w:rPr>
          <w:w w:val="105"/>
          <w:sz w:val="13"/>
        </w:rPr>
        <w:t>2019) </w:t>
      </w:r>
      <w:r>
        <w:rPr>
          <w:spacing w:val="2"/>
          <w:w w:val="105"/>
          <w:sz w:val="13"/>
        </w:rPr>
        <w:t>&lt;https://</w:t>
      </w:r>
      <w:hyperlink r:id="rId321">
        <w:r>
          <w:rPr>
            <w:spacing w:val="2"/>
            <w:w w:val="105"/>
            <w:sz w:val="13"/>
          </w:rPr>
          <w:t>www.sgaonline.org.au/sustainable-</w:t>
        </w:r>
      </w:hyperlink>
      <w:r>
        <w:rPr>
          <w:spacing w:val="2"/>
          <w:w w:val="105"/>
          <w:sz w:val="13"/>
        </w:rPr>
        <w:t> gardening-booklets/&gt;. </w:t>
      </w:r>
      <w:r>
        <w:rPr>
          <w:w w:val="105"/>
          <w:sz w:val="13"/>
        </w:rPr>
        <w:t>Sustainable Gardening Australia is a not-for-profit organisation promoting environmentally sustainable gardening.     It offers gardening booklets for these local government areas: Brimbank, Casey, Darebin, East Gippsland and Wellington Shire, Frankston, Hobsons Bay, City of Melbourne, Hume, Melton, Mildura Region, Mitchell/Strathbogie, Moonee Valley, Moreland, Nillumbik, Stonnington, Whittlesea, Wyndham and the Yarra</w:t>
      </w:r>
      <w:r>
        <w:rPr>
          <w:spacing w:val="23"/>
          <w:w w:val="105"/>
          <w:sz w:val="13"/>
        </w:rPr>
        <w:t> </w:t>
      </w:r>
      <w:r>
        <w:rPr>
          <w:w w:val="105"/>
          <w:sz w:val="13"/>
        </w:rPr>
        <w:t>Ranges.</w:t>
      </w:r>
    </w:p>
    <w:p>
      <w:pPr>
        <w:spacing w:after="0" w:line="240" w:lineRule="auto"/>
        <w:jc w:val="left"/>
        <w:rPr>
          <w:sz w:val="13"/>
        </w:rPr>
        <w:sectPr>
          <w:type w:val="continuous"/>
          <w:pgSz w:w="11910" w:h="16840"/>
          <w:pgMar w:top="300" w:bottom="280" w:left="0" w:right="0"/>
          <w:cols w:num="2" w:equalWidth="0">
            <w:col w:w="1103" w:space="40"/>
            <w:col w:w="10767"/>
          </w:cols>
        </w:sectPr>
      </w:pPr>
    </w:p>
    <w:p>
      <w:pPr>
        <w:pStyle w:val="BodyText"/>
        <w:rPr>
          <w:sz w:val="20"/>
        </w:rPr>
      </w:pPr>
    </w:p>
    <w:p>
      <w:pPr>
        <w:pStyle w:val="BodyText"/>
        <w:spacing w:before="9"/>
        <w:rPr>
          <w:sz w:val="18"/>
        </w:rPr>
      </w:pPr>
    </w:p>
    <w:p>
      <w:pPr>
        <w:pStyle w:val="BodyText"/>
        <w:spacing w:line="242" w:lineRule="auto" w:before="91"/>
        <w:ind w:left="2381" w:right="1810" w:hanging="1"/>
        <w:rPr>
          <w:sz w:val="12"/>
        </w:rPr>
      </w:pPr>
      <w:bookmarkStart w:name="_bookmark151" w:id="327"/>
      <w:bookmarkEnd w:id="327"/>
      <w:r>
        <w:rPr/>
      </w:r>
      <w:r>
        <w:rPr/>
        <w:t>height and width).</w:t>
      </w:r>
      <w:r>
        <w:rPr>
          <w:position w:val="7"/>
          <w:sz w:val="12"/>
        </w:rPr>
        <w:t>3 </w:t>
      </w:r>
      <w:r>
        <w:rPr/>
        <w:t>It also lists plant species that are invasive in the Mildura area and should not be considered for planting.</w:t>
      </w:r>
      <w:r>
        <w:rPr>
          <w:position w:val="7"/>
          <w:sz w:val="12"/>
        </w:rPr>
        <w:t>4</w:t>
      </w:r>
    </w:p>
    <w:p>
      <w:pPr>
        <w:pStyle w:val="ListParagraph"/>
        <w:numPr>
          <w:ilvl w:val="1"/>
          <w:numId w:val="16"/>
        </w:numPr>
        <w:tabs>
          <w:tab w:pos="2380" w:val="left" w:leader="none"/>
          <w:tab w:pos="2381" w:val="left" w:leader="none"/>
        </w:tabs>
        <w:spacing w:line="242" w:lineRule="auto" w:before="123" w:after="0"/>
        <w:ind w:left="2381" w:right="2085" w:hanging="794"/>
        <w:jc w:val="left"/>
        <w:rPr>
          <w:sz w:val="21"/>
        </w:rPr>
      </w:pPr>
      <w:r>
        <w:rPr>
          <w:w w:val="105"/>
          <w:sz w:val="21"/>
        </w:rPr>
        <w:t>Some</w:t>
      </w:r>
      <w:r>
        <w:rPr>
          <w:spacing w:val="-10"/>
          <w:w w:val="105"/>
          <w:sz w:val="21"/>
        </w:rPr>
        <w:t> </w:t>
      </w:r>
      <w:r>
        <w:rPr>
          <w:spacing w:val="-3"/>
          <w:w w:val="105"/>
          <w:sz w:val="21"/>
        </w:rPr>
        <w:t>council</w:t>
      </w:r>
      <w:r>
        <w:rPr>
          <w:spacing w:val="-9"/>
          <w:w w:val="105"/>
          <w:sz w:val="21"/>
        </w:rPr>
        <w:t> </w:t>
      </w:r>
      <w:r>
        <w:rPr>
          <w:w w:val="105"/>
          <w:sz w:val="21"/>
        </w:rPr>
        <w:t>nurseries</w:t>
      </w:r>
      <w:r>
        <w:rPr>
          <w:spacing w:val="-9"/>
          <w:w w:val="105"/>
          <w:sz w:val="21"/>
        </w:rPr>
        <w:t> </w:t>
      </w:r>
      <w:r>
        <w:rPr>
          <w:spacing w:val="-3"/>
          <w:w w:val="105"/>
          <w:sz w:val="21"/>
        </w:rPr>
        <w:t>are</w:t>
      </w:r>
      <w:r>
        <w:rPr>
          <w:spacing w:val="-9"/>
          <w:w w:val="105"/>
          <w:sz w:val="21"/>
        </w:rPr>
        <w:t> </w:t>
      </w:r>
      <w:r>
        <w:rPr>
          <w:w w:val="105"/>
          <w:sz w:val="21"/>
        </w:rPr>
        <w:t>directly</w:t>
      </w:r>
      <w:r>
        <w:rPr>
          <w:spacing w:val="-9"/>
          <w:w w:val="105"/>
          <w:sz w:val="21"/>
        </w:rPr>
        <w:t> </w:t>
      </w:r>
      <w:r>
        <w:rPr>
          <w:spacing w:val="-3"/>
          <w:w w:val="105"/>
          <w:sz w:val="21"/>
        </w:rPr>
        <w:t>involved</w:t>
      </w:r>
      <w:r>
        <w:rPr>
          <w:spacing w:val="-9"/>
          <w:w w:val="105"/>
          <w:sz w:val="21"/>
        </w:rPr>
        <w:t> </w:t>
      </w:r>
      <w:r>
        <w:rPr>
          <w:w w:val="105"/>
          <w:sz w:val="21"/>
        </w:rPr>
        <w:t>in</w:t>
      </w:r>
      <w:r>
        <w:rPr>
          <w:spacing w:val="-9"/>
          <w:w w:val="105"/>
          <w:sz w:val="21"/>
        </w:rPr>
        <w:t> </w:t>
      </w:r>
      <w:r>
        <w:rPr>
          <w:spacing w:val="-3"/>
          <w:w w:val="105"/>
          <w:sz w:val="21"/>
        </w:rPr>
        <w:t>sustainable</w:t>
      </w:r>
      <w:r>
        <w:rPr>
          <w:spacing w:val="-9"/>
          <w:w w:val="105"/>
          <w:sz w:val="21"/>
        </w:rPr>
        <w:t> </w:t>
      </w:r>
      <w:r>
        <w:rPr>
          <w:spacing w:val="-3"/>
          <w:w w:val="105"/>
          <w:sz w:val="21"/>
        </w:rPr>
        <w:t>planning</w:t>
      </w:r>
      <w:r>
        <w:rPr>
          <w:spacing w:val="-9"/>
          <w:w w:val="105"/>
          <w:sz w:val="21"/>
        </w:rPr>
        <w:t> </w:t>
      </w:r>
      <w:r>
        <w:rPr>
          <w:spacing w:val="-3"/>
          <w:w w:val="105"/>
          <w:sz w:val="21"/>
        </w:rPr>
        <w:t>programs</w:t>
      </w:r>
      <w:r>
        <w:rPr>
          <w:spacing w:val="-9"/>
          <w:w w:val="105"/>
          <w:sz w:val="21"/>
        </w:rPr>
        <w:t> </w:t>
      </w:r>
      <w:r>
        <w:rPr>
          <w:w w:val="105"/>
          <w:sz w:val="21"/>
        </w:rPr>
        <w:t>in</w:t>
      </w:r>
      <w:r>
        <w:rPr>
          <w:spacing w:val="-9"/>
          <w:w w:val="105"/>
          <w:sz w:val="21"/>
        </w:rPr>
        <w:t> </w:t>
      </w:r>
      <w:r>
        <w:rPr>
          <w:w w:val="105"/>
          <w:sz w:val="21"/>
        </w:rPr>
        <w:t>their </w:t>
      </w:r>
      <w:r>
        <w:rPr>
          <w:spacing w:val="-3"/>
          <w:w w:val="105"/>
          <w:sz w:val="21"/>
        </w:rPr>
        <w:t>communities. </w:t>
      </w:r>
      <w:r>
        <w:rPr>
          <w:w w:val="105"/>
          <w:sz w:val="21"/>
        </w:rPr>
        <w:t>The </w:t>
      </w:r>
      <w:r>
        <w:rPr>
          <w:spacing w:val="-3"/>
          <w:w w:val="105"/>
          <w:sz w:val="21"/>
        </w:rPr>
        <w:t>Mornington Peninsula Shire </w:t>
      </w:r>
      <w:r>
        <w:rPr>
          <w:w w:val="105"/>
          <w:sz w:val="21"/>
        </w:rPr>
        <w:t>nursery grows an extensive </w:t>
      </w:r>
      <w:r>
        <w:rPr>
          <w:spacing w:val="-3"/>
          <w:w w:val="105"/>
          <w:sz w:val="21"/>
        </w:rPr>
        <w:t>range </w:t>
      </w:r>
      <w:r>
        <w:rPr>
          <w:w w:val="105"/>
          <w:sz w:val="21"/>
        </w:rPr>
        <w:t>of </w:t>
      </w:r>
      <w:r>
        <w:rPr>
          <w:spacing w:val="-3"/>
          <w:w w:val="105"/>
          <w:sz w:val="21"/>
        </w:rPr>
        <w:t>indigenous </w:t>
      </w:r>
      <w:r>
        <w:rPr>
          <w:w w:val="105"/>
          <w:sz w:val="21"/>
        </w:rPr>
        <w:t>plants </w:t>
      </w:r>
      <w:r>
        <w:rPr>
          <w:spacing w:val="-3"/>
          <w:w w:val="105"/>
          <w:sz w:val="21"/>
        </w:rPr>
        <w:t>from </w:t>
      </w:r>
      <w:r>
        <w:rPr>
          <w:w w:val="105"/>
          <w:sz w:val="21"/>
        </w:rPr>
        <w:t>locally collected seed </w:t>
      </w:r>
      <w:r>
        <w:rPr>
          <w:spacing w:val="-3"/>
          <w:w w:val="105"/>
          <w:sz w:val="21"/>
        </w:rPr>
        <w:t>for retail </w:t>
      </w:r>
      <w:r>
        <w:rPr>
          <w:w w:val="105"/>
          <w:sz w:val="21"/>
        </w:rPr>
        <w:t>sale </w:t>
      </w:r>
      <w:r>
        <w:rPr>
          <w:spacing w:val="-3"/>
          <w:w w:val="105"/>
          <w:sz w:val="21"/>
        </w:rPr>
        <w:t>to </w:t>
      </w:r>
      <w:r>
        <w:rPr>
          <w:w w:val="105"/>
          <w:sz w:val="21"/>
        </w:rPr>
        <w:t>the </w:t>
      </w:r>
      <w:r>
        <w:rPr>
          <w:spacing w:val="-3"/>
          <w:w w:val="105"/>
          <w:sz w:val="21"/>
        </w:rPr>
        <w:t>public.</w:t>
      </w:r>
      <w:r>
        <w:rPr>
          <w:spacing w:val="-3"/>
          <w:w w:val="105"/>
          <w:position w:val="7"/>
          <w:sz w:val="12"/>
        </w:rPr>
        <w:t>5 </w:t>
      </w:r>
      <w:r>
        <w:rPr>
          <w:w w:val="105"/>
          <w:sz w:val="21"/>
        </w:rPr>
        <w:t>The </w:t>
      </w:r>
      <w:r>
        <w:rPr>
          <w:spacing w:val="-3"/>
          <w:w w:val="105"/>
          <w:sz w:val="21"/>
        </w:rPr>
        <w:t>range includes groundcovers, </w:t>
      </w:r>
      <w:r>
        <w:rPr>
          <w:w w:val="105"/>
          <w:sz w:val="21"/>
        </w:rPr>
        <w:t>grasses, wildflowers, </w:t>
      </w:r>
      <w:r>
        <w:rPr>
          <w:spacing w:val="-3"/>
          <w:w w:val="105"/>
          <w:sz w:val="21"/>
        </w:rPr>
        <w:t>shrubs </w:t>
      </w:r>
      <w:r>
        <w:rPr>
          <w:w w:val="105"/>
          <w:sz w:val="21"/>
        </w:rPr>
        <w:t>and trees. </w:t>
      </w:r>
      <w:r>
        <w:rPr>
          <w:spacing w:val="-3"/>
          <w:w w:val="105"/>
          <w:sz w:val="21"/>
        </w:rPr>
        <w:t>Banyule City </w:t>
      </w:r>
      <w:r>
        <w:rPr>
          <w:spacing w:val="-4"/>
          <w:w w:val="105"/>
          <w:sz w:val="21"/>
        </w:rPr>
        <w:t>Council </w:t>
      </w:r>
      <w:r>
        <w:rPr>
          <w:w w:val="105"/>
          <w:sz w:val="21"/>
        </w:rPr>
        <w:t>also </w:t>
      </w:r>
      <w:r>
        <w:rPr>
          <w:spacing w:val="-3"/>
          <w:w w:val="105"/>
          <w:sz w:val="21"/>
        </w:rPr>
        <w:t>encourages </w:t>
      </w:r>
      <w:r>
        <w:rPr>
          <w:w w:val="105"/>
          <w:sz w:val="21"/>
        </w:rPr>
        <w:t>the </w:t>
      </w:r>
      <w:r>
        <w:rPr>
          <w:spacing w:val="-3"/>
          <w:w w:val="105"/>
          <w:sz w:val="21"/>
        </w:rPr>
        <w:t>planting </w:t>
      </w:r>
      <w:r>
        <w:rPr>
          <w:w w:val="105"/>
          <w:sz w:val="21"/>
        </w:rPr>
        <w:t>of </w:t>
      </w:r>
      <w:r>
        <w:rPr>
          <w:spacing w:val="-3"/>
          <w:w w:val="105"/>
          <w:sz w:val="21"/>
        </w:rPr>
        <w:t>native </w:t>
      </w:r>
      <w:r>
        <w:rPr>
          <w:w w:val="105"/>
          <w:sz w:val="21"/>
        </w:rPr>
        <w:t>tree species and provides a buy-one-get-one- free voucher as an </w:t>
      </w:r>
      <w:r>
        <w:rPr>
          <w:spacing w:val="-3"/>
          <w:w w:val="105"/>
          <w:sz w:val="21"/>
        </w:rPr>
        <w:t>incentive for </w:t>
      </w:r>
      <w:r>
        <w:rPr>
          <w:w w:val="105"/>
          <w:sz w:val="21"/>
        </w:rPr>
        <w:t>residents </w:t>
      </w:r>
      <w:r>
        <w:rPr>
          <w:spacing w:val="-3"/>
          <w:w w:val="105"/>
          <w:sz w:val="21"/>
        </w:rPr>
        <w:t>to </w:t>
      </w:r>
      <w:r>
        <w:rPr>
          <w:w w:val="105"/>
          <w:sz w:val="21"/>
        </w:rPr>
        <w:t>select </w:t>
      </w:r>
      <w:r>
        <w:rPr>
          <w:spacing w:val="-3"/>
          <w:w w:val="105"/>
          <w:sz w:val="21"/>
        </w:rPr>
        <w:t>native </w:t>
      </w:r>
      <w:r>
        <w:rPr>
          <w:w w:val="105"/>
          <w:sz w:val="21"/>
        </w:rPr>
        <w:t>plants.</w:t>
      </w:r>
      <w:r>
        <w:rPr>
          <w:w w:val="105"/>
          <w:position w:val="7"/>
          <w:sz w:val="12"/>
        </w:rPr>
        <w:t>6 </w:t>
      </w:r>
      <w:r>
        <w:rPr>
          <w:spacing w:val="-3"/>
          <w:w w:val="105"/>
          <w:sz w:val="21"/>
        </w:rPr>
        <w:t>Vouchers</w:t>
      </w:r>
      <w:r>
        <w:rPr>
          <w:spacing w:val="-35"/>
          <w:w w:val="105"/>
          <w:sz w:val="21"/>
        </w:rPr>
        <w:t> </w:t>
      </w:r>
      <w:r>
        <w:rPr>
          <w:w w:val="105"/>
          <w:sz w:val="21"/>
        </w:rPr>
        <w:t>can</w:t>
      </w:r>
    </w:p>
    <w:p>
      <w:pPr>
        <w:pStyle w:val="BodyText"/>
        <w:spacing w:line="242" w:lineRule="auto" w:before="6"/>
        <w:ind w:left="2381" w:right="1636"/>
        <w:rPr>
          <w:sz w:val="12"/>
        </w:rPr>
      </w:pPr>
      <w:r>
        <w:rPr/>
        <w:t>be redeemed at selected nurseries, with a link to the Victorian Indigenous Nurseries Cooperative provided on council’s website.</w:t>
      </w:r>
      <w:r>
        <w:rPr>
          <w:position w:val="7"/>
          <w:sz w:val="12"/>
        </w:rPr>
        <w:t>7 </w:t>
      </w:r>
      <w:r>
        <w:rPr/>
        <w:t>In this way, council nurseries play a role in advising people about what species are appropriate to plant on their land.</w:t>
      </w:r>
      <w:r>
        <w:rPr>
          <w:position w:val="7"/>
          <w:sz w:val="12"/>
        </w:rPr>
        <w:t>8</w:t>
      </w:r>
    </w:p>
    <w:p>
      <w:pPr>
        <w:pStyle w:val="ListParagraph"/>
        <w:numPr>
          <w:ilvl w:val="1"/>
          <w:numId w:val="16"/>
        </w:numPr>
        <w:tabs>
          <w:tab w:pos="2381" w:val="left" w:leader="none"/>
          <w:tab w:pos="2382" w:val="left" w:leader="none"/>
        </w:tabs>
        <w:spacing w:line="242" w:lineRule="auto" w:before="123" w:after="0"/>
        <w:ind w:left="2381" w:right="1695" w:hanging="794"/>
        <w:jc w:val="left"/>
        <w:rPr>
          <w:sz w:val="21"/>
        </w:rPr>
      </w:pPr>
      <w:r>
        <w:rPr>
          <w:w w:val="105"/>
          <w:sz w:val="21"/>
        </w:rPr>
        <w:t>In </w:t>
      </w:r>
      <w:r>
        <w:rPr>
          <w:spacing w:val="-3"/>
          <w:w w:val="105"/>
          <w:sz w:val="21"/>
        </w:rPr>
        <w:t>addition, </w:t>
      </w:r>
      <w:r>
        <w:rPr>
          <w:w w:val="105"/>
          <w:sz w:val="21"/>
        </w:rPr>
        <w:t>some </w:t>
      </w:r>
      <w:r>
        <w:rPr>
          <w:spacing w:val="-3"/>
          <w:w w:val="105"/>
          <w:sz w:val="21"/>
        </w:rPr>
        <w:t>councils have helpful information </w:t>
      </w:r>
      <w:r>
        <w:rPr>
          <w:w w:val="105"/>
          <w:sz w:val="21"/>
        </w:rPr>
        <w:t>on their </w:t>
      </w:r>
      <w:r>
        <w:rPr>
          <w:spacing w:val="-3"/>
          <w:w w:val="105"/>
          <w:sz w:val="21"/>
        </w:rPr>
        <w:t>websites </w:t>
      </w:r>
      <w:r>
        <w:rPr>
          <w:w w:val="105"/>
          <w:sz w:val="21"/>
        </w:rPr>
        <w:t>and in policy documents about which </w:t>
      </w:r>
      <w:r>
        <w:rPr>
          <w:spacing w:val="-3"/>
          <w:w w:val="105"/>
          <w:sz w:val="21"/>
        </w:rPr>
        <w:t>plant </w:t>
      </w:r>
      <w:r>
        <w:rPr>
          <w:w w:val="105"/>
          <w:sz w:val="21"/>
        </w:rPr>
        <w:t>species </w:t>
      </w:r>
      <w:r>
        <w:rPr>
          <w:spacing w:val="-3"/>
          <w:w w:val="105"/>
          <w:sz w:val="21"/>
        </w:rPr>
        <w:t>are </w:t>
      </w:r>
      <w:r>
        <w:rPr>
          <w:w w:val="105"/>
          <w:sz w:val="21"/>
        </w:rPr>
        <w:t>most suitable </w:t>
      </w:r>
      <w:r>
        <w:rPr>
          <w:spacing w:val="-3"/>
          <w:w w:val="105"/>
          <w:sz w:val="21"/>
        </w:rPr>
        <w:t>for </w:t>
      </w:r>
      <w:r>
        <w:rPr>
          <w:w w:val="105"/>
          <w:sz w:val="21"/>
        </w:rPr>
        <w:t>the local </w:t>
      </w:r>
      <w:r>
        <w:rPr>
          <w:spacing w:val="-4"/>
          <w:w w:val="105"/>
          <w:sz w:val="21"/>
        </w:rPr>
        <w:t>environment.</w:t>
      </w:r>
      <w:r>
        <w:rPr>
          <w:spacing w:val="-4"/>
          <w:w w:val="105"/>
          <w:position w:val="7"/>
          <w:sz w:val="12"/>
        </w:rPr>
        <w:t>9 </w:t>
      </w:r>
      <w:r>
        <w:rPr>
          <w:w w:val="105"/>
          <w:sz w:val="21"/>
        </w:rPr>
        <w:t>For </w:t>
      </w:r>
      <w:r>
        <w:rPr>
          <w:spacing w:val="-3"/>
          <w:w w:val="105"/>
          <w:sz w:val="21"/>
        </w:rPr>
        <w:t>example, </w:t>
      </w:r>
      <w:r>
        <w:rPr>
          <w:w w:val="105"/>
          <w:sz w:val="21"/>
        </w:rPr>
        <w:t>the </w:t>
      </w:r>
      <w:r>
        <w:rPr>
          <w:spacing w:val="-3"/>
          <w:w w:val="105"/>
          <w:sz w:val="21"/>
        </w:rPr>
        <w:t>City </w:t>
      </w:r>
      <w:r>
        <w:rPr>
          <w:w w:val="105"/>
          <w:sz w:val="21"/>
        </w:rPr>
        <w:t>of </w:t>
      </w:r>
      <w:r>
        <w:rPr>
          <w:spacing w:val="-3"/>
          <w:w w:val="105"/>
          <w:sz w:val="21"/>
        </w:rPr>
        <w:t>Boroondara </w:t>
      </w:r>
      <w:r>
        <w:rPr>
          <w:spacing w:val="-2"/>
          <w:w w:val="105"/>
          <w:sz w:val="21"/>
        </w:rPr>
        <w:t>has </w:t>
      </w:r>
      <w:r>
        <w:rPr>
          <w:w w:val="105"/>
          <w:sz w:val="21"/>
        </w:rPr>
        <w:t>a </w:t>
      </w:r>
      <w:r>
        <w:rPr>
          <w:spacing w:val="-3"/>
          <w:w w:val="105"/>
          <w:sz w:val="21"/>
        </w:rPr>
        <w:t>website </w:t>
      </w:r>
      <w:r>
        <w:rPr>
          <w:w w:val="105"/>
          <w:sz w:val="21"/>
        </w:rPr>
        <w:t>dedicated </w:t>
      </w:r>
      <w:r>
        <w:rPr>
          <w:spacing w:val="-3"/>
          <w:w w:val="105"/>
          <w:sz w:val="21"/>
        </w:rPr>
        <w:t>to </w:t>
      </w:r>
      <w:r>
        <w:rPr>
          <w:spacing w:val="-4"/>
          <w:w w:val="105"/>
          <w:sz w:val="21"/>
        </w:rPr>
        <w:t>‘choosing </w:t>
      </w:r>
      <w:r>
        <w:rPr>
          <w:w w:val="105"/>
          <w:sz w:val="21"/>
        </w:rPr>
        <w:t>suitable trees’ and advises</w:t>
      </w:r>
      <w:r>
        <w:rPr>
          <w:spacing w:val="-14"/>
          <w:w w:val="105"/>
          <w:sz w:val="21"/>
        </w:rPr>
        <w:t> </w:t>
      </w:r>
      <w:r>
        <w:rPr>
          <w:w w:val="105"/>
          <w:sz w:val="21"/>
        </w:rPr>
        <w:t>residents</w:t>
      </w:r>
      <w:r>
        <w:rPr>
          <w:spacing w:val="-14"/>
          <w:w w:val="105"/>
          <w:sz w:val="21"/>
        </w:rPr>
        <w:t> </w:t>
      </w:r>
      <w:r>
        <w:rPr>
          <w:spacing w:val="-3"/>
          <w:w w:val="105"/>
          <w:sz w:val="21"/>
        </w:rPr>
        <w:t>to</w:t>
      </w:r>
      <w:r>
        <w:rPr>
          <w:spacing w:val="-13"/>
          <w:w w:val="105"/>
          <w:sz w:val="21"/>
        </w:rPr>
        <w:t> </w:t>
      </w:r>
      <w:r>
        <w:rPr>
          <w:spacing w:val="-3"/>
          <w:w w:val="105"/>
          <w:sz w:val="21"/>
        </w:rPr>
        <w:t>take</w:t>
      </w:r>
      <w:r>
        <w:rPr>
          <w:spacing w:val="-14"/>
          <w:w w:val="105"/>
          <w:sz w:val="21"/>
        </w:rPr>
        <w:t> </w:t>
      </w:r>
      <w:r>
        <w:rPr>
          <w:w w:val="105"/>
          <w:sz w:val="21"/>
        </w:rPr>
        <w:t>certain</w:t>
      </w:r>
      <w:r>
        <w:rPr>
          <w:spacing w:val="-13"/>
          <w:w w:val="105"/>
          <w:sz w:val="21"/>
        </w:rPr>
        <w:t> </w:t>
      </w:r>
      <w:r>
        <w:rPr>
          <w:w w:val="105"/>
          <w:sz w:val="21"/>
        </w:rPr>
        <w:t>steps</w:t>
      </w:r>
      <w:r>
        <w:rPr>
          <w:spacing w:val="-14"/>
          <w:w w:val="105"/>
          <w:sz w:val="21"/>
        </w:rPr>
        <w:t> </w:t>
      </w:r>
      <w:r>
        <w:rPr>
          <w:w w:val="105"/>
          <w:sz w:val="21"/>
        </w:rPr>
        <w:t>prior</w:t>
      </w:r>
      <w:r>
        <w:rPr>
          <w:spacing w:val="-14"/>
          <w:w w:val="105"/>
          <w:sz w:val="21"/>
        </w:rPr>
        <w:t> </w:t>
      </w:r>
      <w:r>
        <w:rPr>
          <w:spacing w:val="-3"/>
          <w:w w:val="105"/>
          <w:sz w:val="21"/>
        </w:rPr>
        <w:t>to</w:t>
      </w:r>
      <w:r>
        <w:rPr>
          <w:spacing w:val="-13"/>
          <w:w w:val="105"/>
          <w:sz w:val="21"/>
        </w:rPr>
        <w:t> </w:t>
      </w:r>
      <w:r>
        <w:rPr>
          <w:w w:val="105"/>
          <w:sz w:val="21"/>
        </w:rPr>
        <w:t>selecting</w:t>
      </w:r>
      <w:r>
        <w:rPr>
          <w:spacing w:val="-14"/>
          <w:w w:val="105"/>
          <w:sz w:val="21"/>
        </w:rPr>
        <w:t> </w:t>
      </w:r>
      <w:r>
        <w:rPr>
          <w:w w:val="105"/>
          <w:sz w:val="21"/>
        </w:rPr>
        <w:t>trees.</w:t>
      </w:r>
      <w:r>
        <w:rPr>
          <w:spacing w:val="-13"/>
          <w:w w:val="105"/>
          <w:sz w:val="21"/>
        </w:rPr>
        <w:t> </w:t>
      </w:r>
      <w:r>
        <w:rPr>
          <w:w w:val="105"/>
          <w:sz w:val="21"/>
        </w:rPr>
        <w:t>These</w:t>
      </w:r>
      <w:r>
        <w:rPr>
          <w:spacing w:val="-14"/>
          <w:w w:val="105"/>
          <w:sz w:val="21"/>
        </w:rPr>
        <w:t> </w:t>
      </w:r>
      <w:r>
        <w:rPr>
          <w:spacing w:val="-3"/>
          <w:w w:val="105"/>
          <w:sz w:val="21"/>
        </w:rPr>
        <w:t>include</w:t>
      </w:r>
      <w:r>
        <w:rPr>
          <w:spacing w:val="-14"/>
          <w:w w:val="105"/>
          <w:sz w:val="21"/>
        </w:rPr>
        <w:t> </w:t>
      </w:r>
      <w:r>
        <w:rPr>
          <w:w w:val="105"/>
          <w:sz w:val="21"/>
        </w:rPr>
        <w:t>considering:</w:t>
      </w:r>
    </w:p>
    <w:p>
      <w:pPr>
        <w:pStyle w:val="ListParagraph"/>
        <w:numPr>
          <w:ilvl w:val="2"/>
          <w:numId w:val="16"/>
        </w:numPr>
        <w:tabs>
          <w:tab w:pos="2721" w:val="left" w:leader="none"/>
          <w:tab w:pos="2722" w:val="left" w:leader="none"/>
        </w:tabs>
        <w:spacing w:line="240" w:lineRule="auto" w:before="125" w:after="0"/>
        <w:ind w:left="2721" w:right="0" w:hanging="340"/>
        <w:jc w:val="left"/>
        <w:rPr>
          <w:sz w:val="21"/>
        </w:rPr>
      </w:pPr>
      <w:r>
        <w:rPr>
          <w:sz w:val="21"/>
        </w:rPr>
        <w:t>whether</w:t>
      </w:r>
      <w:r>
        <w:rPr>
          <w:spacing w:val="9"/>
          <w:sz w:val="21"/>
        </w:rPr>
        <w:t> </w:t>
      </w:r>
      <w:r>
        <w:rPr>
          <w:sz w:val="21"/>
        </w:rPr>
        <w:t>the</w:t>
      </w:r>
      <w:r>
        <w:rPr>
          <w:spacing w:val="10"/>
          <w:sz w:val="21"/>
        </w:rPr>
        <w:t> </w:t>
      </w:r>
      <w:r>
        <w:rPr>
          <w:sz w:val="21"/>
        </w:rPr>
        <w:t>tree</w:t>
      </w:r>
      <w:r>
        <w:rPr>
          <w:spacing w:val="9"/>
          <w:sz w:val="21"/>
        </w:rPr>
        <w:t> </w:t>
      </w:r>
      <w:r>
        <w:rPr>
          <w:spacing w:val="-3"/>
          <w:sz w:val="21"/>
        </w:rPr>
        <w:t>will</w:t>
      </w:r>
      <w:r>
        <w:rPr>
          <w:spacing w:val="10"/>
          <w:sz w:val="21"/>
        </w:rPr>
        <w:t> </w:t>
      </w:r>
      <w:r>
        <w:rPr>
          <w:spacing w:val="-3"/>
          <w:sz w:val="21"/>
        </w:rPr>
        <w:t>have</w:t>
      </w:r>
      <w:r>
        <w:rPr>
          <w:spacing w:val="9"/>
          <w:sz w:val="21"/>
        </w:rPr>
        <w:t> </w:t>
      </w:r>
      <w:r>
        <w:rPr>
          <w:sz w:val="21"/>
        </w:rPr>
        <w:t>enough</w:t>
      </w:r>
      <w:r>
        <w:rPr>
          <w:spacing w:val="10"/>
          <w:sz w:val="21"/>
        </w:rPr>
        <w:t> </w:t>
      </w:r>
      <w:r>
        <w:rPr>
          <w:sz w:val="21"/>
        </w:rPr>
        <w:t>space</w:t>
      </w:r>
      <w:r>
        <w:rPr>
          <w:spacing w:val="9"/>
          <w:sz w:val="21"/>
        </w:rPr>
        <w:t> </w:t>
      </w:r>
      <w:r>
        <w:rPr>
          <w:spacing w:val="-3"/>
          <w:sz w:val="21"/>
        </w:rPr>
        <w:t>to</w:t>
      </w:r>
      <w:r>
        <w:rPr>
          <w:spacing w:val="10"/>
          <w:sz w:val="21"/>
        </w:rPr>
        <w:t> </w:t>
      </w:r>
      <w:r>
        <w:rPr>
          <w:spacing w:val="-3"/>
          <w:sz w:val="21"/>
        </w:rPr>
        <w:t>grow</w:t>
      </w:r>
      <w:r>
        <w:rPr>
          <w:spacing w:val="9"/>
          <w:sz w:val="21"/>
        </w:rPr>
        <w:t> </w:t>
      </w:r>
      <w:r>
        <w:rPr>
          <w:spacing w:val="-3"/>
          <w:sz w:val="21"/>
        </w:rPr>
        <w:t>healthily</w:t>
      </w:r>
    </w:p>
    <w:p>
      <w:pPr>
        <w:pStyle w:val="ListParagraph"/>
        <w:numPr>
          <w:ilvl w:val="2"/>
          <w:numId w:val="16"/>
        </w:numPr>
        <w:tabs>
          <w:tab w:pos="2721" w:val="left" w:leader="none"/>
          <w:tab w:pos="2722" w:val="left" w:leader="none"/>
        </w:tabs>
        <w:spacing w:line="242" w:lineRule="auto" w:before="89" w:after="0"/>
        <w:ind w:left="2721" w:right="1599" w:hanging="340"/>
        <w:jc w:val="left"/>
        <w:rPr>
          <w:sz w:val="21"/>
        </w:rPr>
      </w:pPr>
      <w:r>
        <w:rPr>
          <w:w w:val="105"/>
          <w:sz w:val="21"/>
        </w:rPr>
        <w:t>whether</w:t>
      </w:r>
      <w:r>
        <w:rPr>
          <w:spacing w:val="-5"/>
          <w:w w:val="105"/>
          <w:sz w:val="21"/>
        </w:rPr>
        <w:t> </w:t>
      </w:r>
      <w:r>
        <w:rPr>
          <w:w w:val="105"/>
          <w:sz w:val="21"/>
        </w:rPr>
        <w:t>the</w:t>
      </w:r>
      <w:r>
        <w:rPr>
          <w:spacing w:val="-5"/>
          <w:w w:val="105"/>
          <w:sz w:val="21"/>
        </w:rPr>
        <w:t> </w:t>
      </w:r>
      <w:r>
        <w:rPr>
          <w:spacing w:val="-3"/>
          <w:w w:val="105"/>
          <w:sz w:val="21"/>
        </w:rPr>
        <w:t>size</w:t>
      </w:r>
      <w:r>
        <w:rPr>
          <w:spacing w:val="-4"/>
          <w:w w:val="105"/>
          <w:sz w:val="21"/>
        </w:rPr>
        <w:t> </w:t>
      </w:r>
      <w:r>
        <w:rPr>
          <w:w w:val="105"/>
          <w:sz w:val="21"/>
        </w:rPr>
        <w:t>of</w:t>
      </w:r>
      <w:r>
        <w:rPr>
          <w:spacing w:val="-5"/>
          <w:w w:val="105"/>
          <w:sz w:val="21"/>
        </w:rPr>
        <w:t> </w:t>
      </w:r>
      <w:r>
        <w:rPr>
          <w:w w:val="105"/>
          <w:sz w:val="21"/>
        </w:rPr>
        <w:t>the</w:t>
      </w:r>
      <w:r>
        <w:rPr>
          <w:spacing w:val="-5"/>
          <w:w w:val="105"/>
          <w:sz w:val="21"/>
        </w:rPr>
        <w:t> </w:t>
      </w:r>
      <w:r>
        <w:rPr>
          <w:w w:val="105"/>
          <w:sz w:val="21"/>
        </w:rPr>
        <w:t>tree</w:t>
      </w:r>
      <w:r>
        <w:rPr>
          <w:spacing w:val="-4"/>
          <w:w w:val="105"/>
          <w:sz w:val="21"/>
        </w:rPr>
        <w:t> </w:t>
      </w:r>
      <w:r>
        <w:rPr>
          <w:w w:val="105"/>
          <w:sz w:val="21"/>
        </w:rPr>
        <w:t>when</w:t>
      </w:r>
      <w:r>
        <w:rPr>
          <w:spacing w:val="-5"/>
          <w:w w:val="105"/>
          <w:sz w:val="21"/>
        </w:rPr>
        <w:t> </w:t>
      </w:r>
      <w:r>
        <w:rPr>
          <w:spacing w:val="-3"/>
          <w:w w:val="105"/>
          <w:sz w:val="21"/>
        </w:rPr>
        <w:t>fully</w:t>
      </w:r>
      <w:r>
        <w:rPr>
          <w:spacing w:val="-5"/>
          <w:w w:val="105"/>
          <w:sz w:val="21"/>
        </w:rPr>
        <w:t> </w:t>
      </w:r>
      <w:r>
        <w:rPr>
          <w:w w:val="105"/>
          <w:sz w:val="21"/>
        </w:rPr>
        <w:t>grown</w:t>
      </w:r>
      <w:r>
        <w:rPr>
          <w:spacing w:val="-4"/>
          <w:w w:val="105"/>
          <w:sz w:val="21"/>
        </w:rPr>
        <w:t> </w:t>
      </w:r>
      <w:r>
        <w:rPr>
          <w:spacing w:val="-3"/>
          <w:w w:val="105"/>
          <w:sz w:val="21"/>
        </w:rPr>
        <w:t>could</w:t>
      </w:r>
      <w:r>
        <w:rPr>
          <w:spacing w:val="-5"/>
          <w:w w:val="105"/>
          <w:sz w:val="21"/>
        </w:rPr>
        <w:t> </w:t>
      </w:r>
      <w:r>
        <w:rPr>
          <w:w w:val="105"/>
          <w:sz w:val="21"/>
        </w:rPr>
        <w:t>affect</w:t>
      </w:r>
      <w:r>
        <w:rPr>
          <w:spacing w:val="-5"/>
          <w:w w:val="105"/>
          <w:sz w:val="21"/>
        </w:rPr>
        <w:t> </w:t>
      </w:r>
      <w:r>
        <w:rPr>
          <w:spacing w:val="-3"/>
          <w:w w:val="105"/>
          <w:sz w:val="21"/>
        </w:rPr>
        <w:t>built</w:t>
      </w:r>
      <w:r>
        <w:rPr>
          <w:spacing w:val="-4"/>
          <w:w w:val="105"/>
          <w:sz w:val="21"/>
        </w:rPr>
        <w:t> </w:t>
      </w:r>
      <w:r>
        <w:rPr>
          <w:w w:val="105"/>
          <w:sz w:val="21"/>
        </w:rPr>
        <w:t>structures</w:t>
      </w:r>
      <w:r>
        <w:rPr>
          <w:spacing w:val="-5"/>
          <w:w w:val="105"/>
          <w:sz w:val="21"/>
        </w:rPr>
        <w:t> </w:t>
      </w:r>
      <w:r>
        <w:rPr>
          <w:w w:val="105"/>
          <w:sz w:val="21"/>
        </w:rPr>
        <w:t>on</w:t>
      </w:r>
      <w:r>
        <w:rPr>
          <w:spacing w:val="-5"/>
          <w:w w:val="105"/>
          <w:sz w:val="21"/>
        </w:rPr>
        <w:t> </w:t>
      </w:r>
      <w:r>
        <w:rPr>
          <w:w w:val="105"/>
          <w:sz w:val="21"/>
        </w:rPr>
        <w:t>the</w:t>
      </w:r>
      <w:r>
        <w:rPr>
          <w:spacing w:val="-4"/>
          <w:w w:val="105"/>
          <w:sz w:val="21"/>
        </w:rPr>
        <w:t> </w:t>
      </w:r>
      <w:r>
        <w:rPr>
          <w:spacing w:val="-3"/>
          <w:w w:val="105"/>
          <w:sz w:val="21"/>
        </w:rPr>
        <w:t>land </w:t>
      </w:r>
      <w:r>
        <w:rPr>
          <w:w w:val="105"/>
          <w:sz w:val="21"/>
        </w:rPr>
        <w:t>and on </w:t>
      </w:r>
      <w:r>
        <w:rPr>
          <w:spacing w:val="-3"/>
          <w:w w:val="105"/>
          <w:sz w:val="21"/>
        </w:rPr>
        <w:t>neighbouring</w:t>
      </w:r>
      <w:r>
        <w:rPr>
          <w:spacing w:val="17"/>
          <w:w w:val="105"/>
          <w:sz w:val="21"/>
        </w:rPr>
        <w:t> </w:t>
      </w:r>
      <w:r>
        <w:rPr>
          <w:spacing w:val="-3"/>
          <w:w w:val="105"/>
          <w:sz w:val="21"/>
        </w:rPr>
        <w:t>land</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w w:val="105"/>
          <w:sz w:val="21"/>
        </w:rPr>
        <w:t>whether root growth </w:t>
      </w:r>
      <w:r>
        <w:rPr>
          <w:spacing w:val="-3"/>
          <w:w w:val="105"/>
          <w:sz w:val="21"/>
        </w:rPr>
        <w:t>could </w:t>
      </w:r>
      <w:r>
        <w:rPr>
          <w:w w:val="105"/>
          <w:sz w:val="21"/>
        </w:rPr>
        <w:t>cause damage </w:t>
      </w:r>
      <w:r>
        <w:rPr>
          <w:spacing w:val="-3"/>
          <w:w w:val="105"/>
          <w:sz w:val="21"/>
        </w:rPr>
        <w:t>to underground</w:t>
      </w:r>
      <w:r>
        <w:rPr>
          <w:spacing w:val="-2"/>
          <w:w w:val="105"/>
          <w:sz w:val="21"/>
        </w:rPr>
        <w:t> </w:t>
      </w:r>
      <w:r>
        <w:rPr>
          <w:spacing w:val="-5"/>
          <w:w w:val="105"/>
          <w:sz w:val="21"/>
        </w:rPr>
        <w:t>pipes.</w:t>
      </w:r>
      <w:r>
        <w:rPr>
          <w:spacing w:val="-5"/>
          <w:w w:val="105"/>
          <w:position w:val="7"/>
          <w:sz w:val="12"/>
        </w:rPr>
        <w:t>10</w:t>
      </w:r>
    </w:p>
    <w:p>
      <w:pPr>
        <w:pStyle w:val="Heading5"/>
        <w:spacing w:before="213"/>
      </w:pPr>
      <w:r>
        <w:rPr>
          <w:spacing w:val="-4"/>
          <w:w w:val="115"/>
        </w:rPr>
        <w:t>Talking </w:t>
      </w:r>
      <w:r>
        <w:rPr>
          <w:w w:val="115"/>
        </w:rPr>
        <w:t>with </w:t>
      </w:r>
      <w:r>
        <w:rPr>
          <w:spacing w:val="-3"/>
          <w:w w:val="115"/>
        </w:rPr>
        <w:t>your</w:t>
      </w:r>
      <w:r>
        <w:rPr>
          <w:spacing w:val="8"/>
          <w:w w:val="115"/>
        </w:rPr>
        <w:t> </w:t>
      </w:r>
      <w:r>
        <w:rPr>
          <w:w w:val="115"/>
        </w:rPr>
        <w:t>neighbour</w:t>
      </w:r>
    </w:p>
    <w:p>
      <w:pPr>
        <w:pStyle w:val="ListParagraph"/>
        <w:numPr>
          <w:ilvl w:val="1"/>
          <w:numId w:val="16"/>
        </w:numPr>
        <w:tabs>
          <w:tab w:pos="2380" w:val="left" w:leader="none"/>
          <w:tab w:pos="2381" w:val="left" w:leader="none"/>
        </w:tabs>
        <w:spacing w:line="242" w:lineRule="auto" w:before="138" w:after="0"/>
        <w:ind w:left="2381" w:right="2128" w:hanging="794"/>
        <w:jc w:val="left"/>
        <w:rPr>
          <w:sz w:val="21"/>
        </w:rPr>
      </w:pPr>
      <w:r>
        <w:rPr>
          <w:spacing w:val="-4"/>
          <w:w w:val="105"/>
          <w:sz w:val="21"/>
        </w:rPr>
        <w:t>Chapter </w:t>
      </w:r>
      <w:r>
        <w:rPr>
          <w:w w:val="105"/>
          <w:sz w:val="21"/>
        </w:rPr>
        <w:t>2 identifies </w:t>
      </w:r>
      <w:r>
        <w:rPr>
          <w:spacing w:val="-3"/>
          <w:w w:val="105"/>
          <w:sz w:val="21"/>
        </w:rPr>
        <w:t>that </w:t>
      </w:r>
      <w:r>
        <w:rPr>
          <w:w w:val="105"/>
          <w:sz w:val="21"/>
        </w:rPr>
        <w:t>a </w:t>
      </w:r>
      <w:r>
        <w:rPr>
          <w:spacing w:val="-3"/>
          <w:w w:val="105"/>
          <w:sz w:val="21"/>
        </w:rPr>
        <w:t>break-down </w:t>
      </w:r>
      <w:r>
        <w:rPr>
          <w:w w:val="105"/>
          <w:sz w:val="21"/>
        </w:rPr>
        <w:t>in </w:t>
      </w:r>
      <w:r>
        <w:rPr>
          <w:spacing w:val="-3"/>
          <w:w w:val="105"/>
          <w:sz w:val="21"/>
        </w:rPr>
        <w:t>communication </w:t>
      </w:r>
      <w:r>
        <w:rPr>
          <w:w w:val="105"/>
          <w:sz w:val="21"/>
        </w:rPr>
        <w:t>between neighbours is an underlying factor </w:t>
      </w:r>
      <w:r>
        <w:rPr>
          <w:spacing w:val="-3"/>
          <w:w w:val="105"/>
          <w:sz w:val="21"/>
        </w:rPr>
        <w:t>that contributes to </w:t>
      </w:r>
      <w:r>
        <w:rPr>
          <w:w w:val="105"/>
          <w:sz w:val="21"/>
        </w:rPr>
        <w:t>tree </w:t>
      </w:r>
      <w:r>
        <w:rPr>
          <w:spacing w:val="-3"/>
          <w:w w:val="105"/>
          <w:sz w:val="21"/>
        </w:rPr>
        <w:t>disputes </w:t>
      </w:r>
      <w:r>
        <w:rPr>
          <w:w w:val="105"/>
          <w:sz w:val="21"/>
        </w:rPr>
        <w:t>in our</w:t>
      </w:r>
      <w:r>
        <w:rPr>
          <w:spacing w:val="27"/>
          <w:w w:val="105"/>
          <w:sz w:val="21"/>
        </w:rPr>
        <w:t> </w:t>
      </w:r>
      <w:r>
        <w:rPr>
          <w:spacing w:val="-4"/>
          <w:w w:val="105"/>
          <w:sz w:val="21"/>
        </w:rPr>
        <w:t>community.</w:t>
      </w:r>
    </w:p>
    <w:p>
      <w:pPr>
        <w:pStyle w:val="ListParagraph"/>
        <w:numPr>
          <w:ilvl w:val="1"/>
          <w:numId w:val="16"/>
        </w:numPr>
        <w:tabs>
          <w:tab w:pos="2380" w:val="left" w:leader="none"/>
          <w:tab w:pos="2381" w:val="left" w:leader="none"/>
        </w:tabs>
        <w:spacing w:line="242" w:lineRule="auto" w:before="122" w:after="0"/>
        <w:ind w:left="2380" w:right="1753" w:hanging="793"/>
        <w:jc w:val="left"/>
        <w:rPr>
          <w:sz w:val="21"/>
        </w:rPr>
      </w:pPr>
      <w:r>
        <w:rPr>
          <w:w w:val="105"/>
          <w:sz w:val="21"/>
        </w:rPr>
        <w:t>Some </w:t>
      </w:r>
      <w:r>
        <w:rPr>
          <w:spacing w:val="-3"/>
          <w:w w:val="105"/>
          <w:sz w:val="21"/>
        </w:rPr>
        <w:t>government </w:t>
      </w:r>
      <w:r>
        <w:rPr>
          <w:w w:val="105"/>
          <w:sz w:val="21"/>
        </w:rPr>
        <w:t>and community </w:t>
      </w:r>
      <w:r>
        <w:rPr>
          <w:spacing w:val="-3"/>
          <w:w w:val="105"/>
          <w:sz w:val="21"/>
        </w:rPr>
        <w:t>organisations have published useful resources </w:t>
      </w:r>
      <w:r>
        <w:rPr>
          <w:w w:val="105"/>
          <w:sz w:val="21"/>
        </w:rPr>
        <w:t>aimed at</w:t>
      </w:r>
      <w:r>
        <w:rPr>
          <w:spacing w:val="-9"/>
          <w:w w:val="105"/>
          <w:sz w:val="21"/>
        </w:rPr>
        <w:t> </w:t>
      </w:r>
      <w:r>
        <w:rPr>
          <w:spacing w:val="-3"/>
          <w:w w:val="105"/>
          <w:sz w:val="21"/>
        </w:rPr>
        <w:t>helping</w:t>
      </w:r>
      <w:r>
        <w:rPr>
          <w:spacing w:val="-8"/>
          <w:w w:val="105"/>
          <w:sz w:val="21"/>
        </w:rPr>
        <w:t> </w:t>
      </w:r>
      <w:r>
        <w:rPr>
          <w:w w:val="105"/>
          <w:sz w:val="21"/>
        </w:rPr>
        <w:t>neighbours</w:t>
      </w:r>
      <w:r>
        <w:rPr>
          <w:spacing w:val="-8"/>
          <w:w w:val="105"/>
          <w:sz w:val="21"/>
        </w:rPr>
        <w:t> </w:t>
      </w:r>
      <w:r>
        <w:rPr>
          <w:spacing w:val="-3"/>
          <w:w w:val="105"/>
          <w:sz w:val="21"/>
        </w:rPr>
        <w:t>to</w:t>
      </w:r>
      <w:r>
        <w:rPr>
          <w:spacing w:val="-9"/>
          <w:w w:val="105"/>
          <w:sz w:val="21"/>
        </w:rPr>
        <w:t> </w:t>
      </w:r>
      <w:r>
        <w:rPr>
          <w:w w:val="105"/>
          <w:sz w:val="21"/>
        </w:rPr>
        <w:t>resolve</w:t>
      </w:r>
      <w:r>
        <w:rPr>
          <w:spacing w:val="-8"/>
          <w:w w:val="105"/>
          <w:sz w:val="21"/>
        </w:rPr>
        <w:t> </w:t>
      </w:r>
      <w:r>
        <w:rPr>
          <w:w w:val="105"/>
          <w:sz w:val="21"/>
        </w:rPr>
        <w:t>their</w:t>
      </w:r>
      <w:r>
        <w:rPr>
          <w:spacing w:val="-8"/>
          <w:w w:val="105"/>
          <w:sz w:val="21"/>
        </w:rPr>
        <w:t> </w:t>
      </w:r>
      <w:r>
        <w:rPr>
          <w:w w:val="105"/>
          <w:sz w:val="21"/>
        </w:rPr>
        <w:t>tree</w:t>
      </w:r>
      <w:r>
        <w:rPr>
          <w:spacing w:val="-8"/>
          <w:w w:val="105"/>
          <w:sz w:val="21"/>
        </w:rPr>
        <w:t> </w:t>
      </w:r>
      <w:r>
        <w:rPr>
          <w:spacing w:val="-3"/>
          <w:w w:val="105"/>
          <w:sz w:val="21"/>
        </w:rPr>
        <w:t>disputes.</w:t>
      </w:r>
      <w:r>
        <w:rPr>
          <w:spacing w:val="-9"/>
          <w:w w:val="105"/>
          <w:sz w:val="21"/>
        </w:rPr>
        <w:t> </w:t>
      </w:r>
      <w:r>
        <w:rPr>
          <w:spacing w:val="-4"/>
          <w:w w:val="105"/>
          <w:sz w:val="21"/>
        </w:rPr>
        <w:t>Chapter</w:t>
      </w:r>
      <w:r>
        <w:rPr>
          <w:spacing w:val="-8"/>
          <w:w w:val="105"/>
          <w:sz w:val="21"/>
        </w:rPr>
        <w:t> </w:t>
      </w:r>
      <w:r>
        <w:rPr>
          <w:w w:val="105"/>
          <w:sz w:val="21"/>
        </w:rPr>
        <w:t>3</w:t>
      </w:r>
      <w:r>
        <w:rPr>
          <w:spacing w:val="-8"/>
          <w:w w:val="105"/>
          <w:sz w:val="21"/>
        </w:rPr>
        <w:t> </w:t>
      </w:r>
      <w:r>
        <w:rPr>
          <w:w w:val="105"/>
          <w:sz w:val="21"/>
        </w:rPr>
        <w:t>briefly</w:t>
      </w:r>
      <w:r>
        <w:rPr>
          <w:spacing w:val="-9"/>
          <w:w w:val="105"/>
          <w:sz w:val="21"/>
        </w:rPr>
        <w:t> </w:t>
      </w:r>
      <w:r>
        <w:rPr>
          <w:w w:val="105"/>
          <w:sz w:val="21"/>
        </w:rPr>
        <w:t>canvassed</w:t>
      </w:r>
      <w:r>
        <w:rPr>
          <w:spacing w:val="-8"/>
          <w:w w:val="105"/>
          <w:sz w:val="21"/>
        </w:rPr>
        <w:t> </w:t>
      </w:r>
      <w:r>
        <w:rPr>
          <w:w w:val="105"/>
          <w:sz w:val="21"/>
        </w:rPr>
        <w:t>some</w:t>
      </w:r>
      <w:r>
        <w:rPr>
          <w:spacing w:val="-8"/>
          <w:w w:val="105"/>
          <w:sz w:val="21"/>
        </w:rPr>
        <w:t> </w:t>
      </w:r>
      <w:r>
        <w:rPr>
          <w:w w:val="105"/>
          <w:sz w:val="21"/>
        </w:rPr>
        <w:t>of the </w:t>
      </w:r>
      <w:r>
        <w:rPr>
          <w:spacing w:val="-2"/>
          <w:w w:val="105"/>
          <w:sz w:val="21"/>
        </w:rPr>
        <w:t>strategies </w:t>
      </w:r>
      <w:r>
        <w:rPr>
          <w:spacing w:val="-3"/>
          <w:w w:val="105"/>
          <w:sz w:val="21"/>
        </w:rPr>
        <w:t>promoted </w:t>
      </w:r>
      <w:r>
        <w:rPr>
          <w:w w:val="105"/>
          <w:sz w:val="21"/>
        </w:rPr>
        <w:t>in these </w:t>
      </w:r>
      <w:r>
        <w:rPr>
          <w:spacing w:val="-3"/>
          <w:w w:val="105"/>
          <w:sz w:val="21"/>
        </w:rPr>
        <w:t>materials </w:t>
      </w:r>
      <w:r>
        <w:rPr>
          <w:w w:val="105"/>
          <w:sz w:val="21"/>
        </w:rPr>
        <w:t>about how </w:t>
      </w:r>
      <w:r>
        <w:rPr>
          <w:spacing w:val="-3"/>
          <w:w w:val="105"/>
          <w:sz w:val="21"/>
        </w:rPr>
        <w:t>to negotiate </w:t>
      </w:r>
      <w:r>
        <w:rPr>
          <w:w w:val="105"/>
          <w:sz w:val="21"/>
        </w:rPr>
        <w:t>effectively with your </w:t>
      </w:r>
      <w:r>
        <w:rPr>
          <w:spacing w:val="-4"/>
          <w:w w:val="105"/>
          <w:sz w:val="21"/>
        </w:rPr>
        <w:t>neighbour.</w:t>
      </w:r>
    </w:p>
    <w:p>
      <w:pPr>
        <w:pStyle w:val="ListParagraph"/>
        <w:numPr>
          <w:ilvl w:val="1"/>
          <w:numId w:val="16"/>
        </w:numPr>
        <w:tabs>
          <w:tab w:pos="2380" w:val="left" w:leader="none"/>
          <w:tab w:pos="2381" w:val="left" w:leader="none"/>
        </w:tabs>
        <w:spacing w:line="242" w:lineRule="auto" w:before="124" w:after="0"/>
        <w:ind w:left="2380" w:right="1808" w:hanging="794"/>
        <w:jc w:val="left"/>
        <w:rPr>
          <w:sz w:val="21"/>
        </w:rPr>
      </w:pPr>
      <w:r>
        <w:rPr>
          <w:sz w:val="21"/>
        </w:rPr>
        <w:t>The </w:t>
      </w:r>
      <w:r>
        <w:rPr>
          <w:spacing w:val="-3"/>
          <w:sz w:val="21"/>
        </w:rPr>
        <w:t>Dispute </w:t>
      </w:r>
      <w:r>
        <w:rPr>
          <w:sz w:val="21"/>
        </w:rPr>
        <w:t>Settlement </w:t>
      </w:r>
      <w:r>
        <w:rPr>
          <w:spacing w:val="-4"/>
          <w:sz w:val="21"/>
        </w:rPr>
        <w:t>Centre </w:t>
      </w:r>
      <w:r>
        <w:rPr>
          <w:sz w:val="21"/>
        </w:rPr>
        <w:t>of Victoria (DSCV) </w:t>
      </w:r>
      <w:r>
        <w:rPr>
          <w:spacing w:val="-2"/>
          <w:sz w:val="21"/>
        </w:rPr>
        <w:t>has </w:t>
      </w:r>
      <w:r>
        <w:rPr>
          <w:sz w:val="21"/>
        </w:rPr>
        <w:t>a section on its </w:t>
      </w:r>
      <w:r>
        <w:rPr>
          <w:spacing w:val="-3"/>
          <w:sz w:val="21"/>
        </w:rPr>
        <w:t>website </w:t>
      </w:r>
      <w:r>
        <w:rPr>
          <w:sz w:val="21"/>
        </w:rPr>
        <w:t>about resolving tree </w:t>
      </w:r>
      <w:r>
        <w:rPr>
          <w:spacing w:val="-3"/>
          <w:sz w:val="21"/>
        </w:rPr>
        <w:t>disputes. </w:t>
      </w:r>
      <w:r>
        <w:rPr>
          <w:sz w:val="21"/>
        </w:rPr>
        <w:t>It advises affected neighbours </w:t>
      </w:r>
      <w:r>
        <w:rPr>
          <w:spacing w:val="-3"/>
          <w:sz w:val="21"/>
        </w:rPr>
        <w:t>to </w:t>
      </w:r>
      <w:r>
        <w:rPr>
          <w:sz w:val="21"/>
        </w:rPr>
        <w:t>engage a tree </w:t>
      </w:r>
      <w:r>
        <w:rPr>
          <w:spacing w:val="-3"/>
          <w:sz w:val="21"/>
        </w:rPr>
        <w:t>professional </w:t>
      </w:r>
      <w:r>
        <w:rPr>
          <w:sz w:val="21"/>
        </w:rPr>
        <w:t>and obtain a </w:t>
      </w:r>
      <w:r>
        <w:rPr>
          <w:spacing w:val="-3"/>
          <w:sz w:val="21"/>
        </w:rPr>
        <w:t>quote </w:t>
      </w:r>
      <w:r>
        <w:rPr>
          <w:sz w:val="21"/>
        </w:rPr>
        <w:t>about </w:t>
      </w:r>
      <w:r>
        <w:rPr>
          <w:spacing w:val="-3"/>
          <w:sz w:val="21"/>
        </w:rPr>
        <w:t>any </w:t>
      </w:r>
      <w:r>
        <w:rPr>
          <w:sz w:val="21"/>
        </w:rPr>
        <w:t>proposed tree works prior </w:t>
      </w:r>
      <w:r>
        <w:rPr>
          <w:spacing w:val="-3"/>
          <w:sz w:val="21"/>
        </w:rPr>
        <w:t>to talking </w:t>
      </w:r>
      <w:r>
        <w:rPr>
          <w:sz w:val="21"/>
        </w:rPr>
        <w:t>with the tree </w:t>
      </w:r>
      <w:r>
        <w:rPr>
          <w:spacing w:val="-7"/>
          <w:sz w:val="21"/>
        </w:rPr>
        <w:t>owner.</w:t>
      </w:r>
      <w:r>
        <w:rPr>
          <w:spacing w:val="-7"/>
          <w:position w:val="7"/>
          <w:sz w:val="12"/>
        </w:rPr>
        <w:t>11 </w:t>
      </w:r>
      <w:r>
        <w:rPr>
          <w:sz w:val="21"/>
        </w:rPr>
        <w:t>It suggests the </w:t>
      </w:r>
      <w:r>
        <w:rPr>
          <w:spacing w:val="-3"/>
          <w:sz w:val="21"/>
        </w:rPr>
        <w:t>following</w:t>
      </w:r>
      <w:r>
        <w:rPr>
          <w:spacing w:val="27"/>
          <w:sz w:val="21"/>
        </w:rPr>
        <w:t> </w:t>
      </w:r>
      <w:r>
        <w:rPr>
          <w:sz w:val="21"/>
        </w:rPr>
        <w:t>approach:</w:t>
      </w:r>
    </w:p>
    <w:p>
      <w:pPr>
        <w:spacing w:line="374" w:lineRule="auto" w:before="134"/>
        <w:ind w:left="2834" w:right="2669" w:firstLine="0"/>
        <w:jc w:val="left"/>
        <w:rPr>
          <w:sz w:val="20"/>
        </w:rPr>
      </w:pPr>
      <w:r>
        <w:rPr>
          <w:w w:val="105"/>
          <w:sz w:val="20"/>
        </w:rPr>
        <w:t>Find out your </w:t>
      </w:r>
      <w:r>
        <w:rPr>
          <w:spacing w:val="-3"/>
          <w:w w:val="105"/>
          <w:sz w:val="20"/>
        </w:rPr>
        <w:t>neighbour’s </w:t>
      </w:r>
      <w:r>
        <w:rPr>
          <w:w w:val="105"/>
          <w:sz w:val="20"/>
        </w:rPr>
        <w:t>concerns over an </w:t>
      </w:r>
      <w:r>
        <w:rPr>
          <w:spacing w:val="-3"/>
          <w:w w:val="105"/>
          <w:sz w:val="20"/>
        </w:rPr>
        <w:t>informal chat. </w:t>
      </w:r>
      <w:r>
        <w:rPr>
          <w:w w:val="105"/>
          <w:sz w:val="20"/>
        </w:rPr>
        <w:t>Ask yourself: </w:t>
      </w:r>
      <w:r>
        <w:rPr>
          <w:spacing w:val="-3"/>
          <w:w w:val="105"/>
          <w:sz w:val="20"/>
        </w:rPr>
        <w:t>“Have </w:t>
      </w:r>
      <w:r>
        <w:rPr>
          <w:w w:val="105"/>
          <w:sz w:val="20"/>
        </w:rPr>
        <w:t>I really listened to them and tried to come up with a solution?” “What am I willing to negotiate </w:t>
      </w:r>
      <w:r>
        <w:rPr>
          <w:spacing w:val="-3"/>
          <w:w w:val="105"/>
          <w:sz w:val="20"/>
        </w:rPr>
        <w:t>over?”</w:t>
      </w:r>
    </w:p>
    <w:p>
      <w:pPr>
        <w:spacing w:line="242" w:lineRule="exact" w:before="0"/>
        <w:ind w:left="2834" w:right="0" w:firstLine="0"/>
        <w:jc w:val="left"/>
        <w:rPr>
          <w:sz w:val="11"/>
        </w:rPr>
      </w:pPr>
      <w:r>
        <w:rPr>
          <w:w w:val="105"/>
          <w:sz w:val="20"/>
        </w:rPr>
        <w:t>“Is there a different way to resolve this?”</w:t>
      </w:r>
      <w:r>
        <w:rPr>
          <w:w w:val="105"/>
          <w:position w:val="7"/>
          <w:sz w:val="11"/>
        </w:rPr>
        <w:t>12</w:t>
      </w:r>
    </w:p>
    <w:p>
      <w:pPr>
        <w:pStyle w:val="ListParagraph"/>
        <w:numPr>
          <w:ilvl w:val="1"/>
          <w:numId w:val="16"/>
        </w:numPr>
        <w:tabs>
          <w:tab w:pos="2380" w:val="left" w:leader="none"/>
          <w:tab w:pos="2381" w:val="left" w:leader="none"/>
        </w:tabs>
        <w:spacing w:line="242" w:lineRule="auto" w:before="126" w:after="0"/>
        <w:ind w:left="2381" w:right="1627" w:hanging="794"/>
        <w:jc w:val="left"/>
        <w:rPr>
          <w:sz w:val="21"/>
        </w:rPr>
      </w:pPr>
      <w:r>
        <w:rPr>
          <w:w w:val="105"/>
          <w:sz w:val="21"/>
        </w:rPr>
        <w:t>If an </w:t>
      </w:r>
      <w:r>
        <w:rPr>
          <w:spacing w:val="-3"/>
          <w:w w:val="105"/>
          <w:sz w:val="21"/>
        </w:rPr>
        <w:t>informal </w:t>
      </w:r>
      <w:r>
        <w:rPr>
          <w:w w:val="105"/>
          <w:sz w:val="21"/>
        </w:rPr>
        <w:t>discussion does </w:t>
      </w:r>
      <w:r>
        <w:rPr>
          <w:spacing w:val="-2"/>
          <w:w w:val="105"/>
          <w:sz w:val="21"/>
        </w:rPr>
        <w:t>not </w:t>
      </w:r>
      <w:r>
        <w:rPr>
          <w:w w:val="105"/>
          <w:sz w:val="21"/>
        </w:rPr>
        <w:t>resolve the issue and the parties </w:t>
      </w:r>
      <w:r>
        <w:rPr>
          <w:spacing w:val="-3"/>
          <w:w w:val="105"/>
          <w:sz w:val="21"/>
        </w:rPr>
        <w:t>have </w:t>
      </w:r>
      <w:r>
        <w:rPr>
          <w:w w:val="105"/>
          <w:sz w:val="21"/>
        </w:rPr>
        <w:t>been </w:t>
      </w:r>
      <w:r>
        <w:rPr>
          <w:spacing w:val="-3"/>
          <w:w w:val="105"/>
          <w:sz w:val="21"/>
        </w:rPr>
        <w:t>unable to reach</w:t>
      </w:r>
      <w:r>
        <w:rPr>
          <w:spacing w:val="-8"/>
          <w:w w:val="105"/>
          <w:sz w:val="21"/>
        </w:rPr>
        <w:t> </w:t>
      </w:r>
      <w:r>
        <w:rPr>
          <w:w w:val="105"/>
          <w:sz w:val="21"/>
        </w:rPr>
        <w:t>a</w:t>
      </w:r>
      <w:r>
        <w:rPr>
          <w:spacing w:val="-8"/>
          <w:w w:val="105"/>
          <w:sz w:val="21"/>
        </w:rPr>
        <w:t> </w:t>
      </w:r>
      <w:r>
        <w:rPr>
          <w:w w:val="105"/>
          <w:sz w:val="21"/>
        </w:rPr>
        <w:t>solution</w:t>
      </w:r>
      <w:r>
        <w:rPr>
          <w:spacing w:val="-8"/>
          <w:w w:val="105"/>
          <w:sz w:val="21"/>
        </w:rPr>
        <w:t> </w:t>
      </w:r>
      <w:r>
        <w:rPr>
          <w:w w:val="105"/>
          <w:sz w:val="21"/>
        </w:rPr>
        <w:t>on</w:t>
      </w:r>
      <w:r>
        <w:rPr>
          <w:spacing w:val="-8"/>
          <w:w w:val="105"/>
          <w:sz w:val="21"/>
        </w:rPr>
        <w:t> </w:t>
      </w:r>
      <w:r>
        <w:rPr>
          <w:w w:val="105"/>
          <w:sz w:val="21"/>
        </w:rPr>
        <w:t>their</w:t>
      </w:r>
      <w:r>
        <w:rPr>
          <w:spacing w:val="-8"/>
          <w:w w:val="105"/>
          <w:sz w:val="21"/>
        </w:rPr>
        <w:t> </w:t>
      </w:r>
      <w:r>
        <w:rPr>
          <w:w w:val="105"/>
          <w:sz w:val="21"/>
        </w:rPr>
        <w:t>own,</w:t>
      </w:r>
      <w:r>
        <w:rPr>
          <w:spacing w:val="-8"/>
          <w:w w:val="105"/>
          <w:sz w:val="21"/>
        </w:rPr>
        <w:t> </w:t>
      </w:r>
      <w:r>
        <w:rPr>
          <w:w w:val="105"/>
          <w:sz w:val="21"/>
        </w:rPr>
        <w:t>DSCV</w:t>
      </w:r>
      <w:r>
        <w:rPr>
          <w:spacing w:val="-8"/>
          <w:w w:val="105"/>
          <w:sz w:val="21"/>
        </w:rPr>
        <w:t> </w:t>
      </w:r>
      <w:r>
        <w:rPr>
          <w:spacing w:val="-3"/>
          <w:w w:val="105"/>
          <w:sz w:val="21"/>
        </w:rPr>
        <w:t>recommends</w:t>
      </w:r>
      <w:r>
        <w:rPr>
          <w:spacing w:val="-7"/>
          <w:w w:val="105"/>
          <w:sz w:val="21"/>
        </w:rPr>
        <w:t> </w:t>
      </w:r>
      <w:r>
        <w:rPr>
          <w:w w:val="105"/>
          <w:sz w:val="21"/>
        </w:rPr>
        <w:t>its</w:t>
      </w:r>
      <w:r>
        <w:rPr>
          <w:spacing w:val="-8"/>
          <w:w w:val="105"/>
          <w:sz w:val="21"/>
        </w:rPr>
        <w:t> </w:t>
      </w:r>
      <w:r>
        <w:rPr>
          <w:w w:val="105"/>
          <w:sz w:val="21"/>
        </w:rPr>
        <w:t>free</w:t>
      </w:r>
      <w:r>
        <w:rPr>
          <w:spacing w:val="-8"/>
          <w:w w:val="105"/>
          <w:sz w:val="21"/>
        </w:rPr>
        <w:t> </w:t>
      </w:r>
      <w:r>
        <w:rPr>
          <w:w w:val="105"/>
          <w:sz w:val="21"/>
        </w:rPr>
        <w:t>mediation</w:t>
      </w:r>
      <w:r>
        <w:rPr>
          <w:spacing w:val="-8"/>
          <w:w w:val="105"/>
          <w:sz w:val="21"/>
        </w:rPr>
        <w:t> </w:t>
      </w:r>
      <w:r>
        <w:rPr>
          <w:w w:val="105"/>
          <w:sz w:val="21"/>
        </w:rPr>
        <w:t>services</w:t>
      </w:r>
      <w:r>
        <w:rPr>
          <w:spacing w:val="-8"/>
          <w:w w:val="105"/>
          <w:sz w:val="21"/>
        </w:rPr>
        <w:t> </w:t>
      </w:r>
      <w:r>
        <w:rPr>
          <w:w w:val="105"/>
          <w:sz w:val="21"/>
        </w:rPr>
        <w:t>as</w:t>
      </w:r>
      <w:r>
        <w:rPr>
          <w:spacing w:val="-8"/>
          <w:w w:val="105"/>
          <w:sz w:val="21"/>
        </w:rPr>
        <w:t> </w:t>
      </w:r>
      <w:r>
        <w:rPr>
          <w:w w:val="105"/>
          <w:sz w:val="21"/>
        </w:rPr>
        <w:t>a</w:t>
      </w:r>
      <w:r>
        <w:rPr>
          <w:spacing w:val="-8"/>
          <w:w w:val="105"/>
          <w:sz w:val="21"/>
        </w:rPr>
        <w:t> </w:t>
      </w:r>
      <w:r>
        <w:rPr>
          <w:w w:val="105"/>
          <w:sz w:val="21"/>
        </w:rPr>
        <w:t>possible next</w:t>
      </w:r>
      <w:r>
        <w:rPr>
          <w:spacing w:val="5"/>
          <w:w w:val="105"/>
          <w:sz w:val="21"/>
        </w:rPr>
        <w:t> </w:t>
      </w:r>
      <w:r>
        <w:rPr>
          <w:spacing w:val="-4"/>
          <w:w w:val="105"/>
          <w:sz w:val="21"/>
        </w:rPr>
        <w:t>step.</w:t>
      </w:r>
    </w:p>
    <w:p>
      <w:pPr>
        <w:pStyle w:val="BodyText"/>
        <w:rPr>
          <w:sz w:val="20"/>
        </w:rPr>
      </w:pPr>
    </w:p>
    <w:p>
      <w:pPr>
        <w:pStyle w:val="BodyText"/>
        <w:spacing w:before="3"/>
        <w:rPr>
          <w:sz w:val="12"/>
        </w:rPr>
      </w:pPr>
      <w:r>
        <w:rPr/>
        <w:pict>
          <v:line style="position:absolute;mso-position-horizontal-relative:page;mso-position-vertical-relative:paragraph;z-index:11480;mso-wrap-distance-left:0;mso-wrap-distance-right:0" from="79.370102pt,9.92586pt" to="515.905102pt,9.92586pt" stroked="true" strokeweight="1pt" strokecolor="#c9d2cb">
            <v:stroke dashstyle="solid"/>
            <w10:wrap type="topAndBottom"/>
          </v:line>
        </w:pict>
      </w:r>
    </w:p>
    <w:p>
      <w:pPr>
        <w:pStyle w:val="BodyText"/>
        <w:spacing w:before="8"/>
        <w:rPr>
          <w:sz w:val="5"/>
        </w:rPr>
      </w:pPr>
    </w:p>
    <w:p>
      <w:pPr>
        <w:spacing w:after="0"/>
        <w:rPr>
          <w:sz w:val="5"/>
        </w:rPr>
        <w:sectPr>
          <w:headerReference w:type="default" r:id="rId322"/>
          <w:headerReference w:type="even" r:id="rId323"/>
          <w:pgSz w:w="11910" w:h="16840"/>
          <w:pgMar w:header="808" w:footer="0" w:top="1360" w:bottom="280" w:left="0" w:right="0"/>
        </w:sectPr>
      </w:pPr>
    </w:p>
    <w:p>
      <w:pPr>
        <w:pStyle w:val="ListParagraph"/>
        <w:numPr>
          <w:ilvl w:val="0"/>
          <w:numId w:val="199"/>
        </w:numPr>
        <w:tabs>
          <w:tab w:pos="2380" w:val="left" w:leader="none"/>
          <w:tab w:pos="2382" w:val="left" w:leader="none"/>
        </w:tabs>
        <w:spacing w:line="240" w:lineRule="auto" w:before="48" w:after="0"/>
        <w:ind w:left="2381" w:right="0" w:hanging="794"/>
        <w:jc w:val="left"/>
        <w:rPr>
          <w:sz w:val="13"/>
        </w:rPr>
      </w:pPr>
      <w:r>
        <w:rPr>
          <w:w w:val="105"/>
          <w:sz w:val="13"/>
        </w:rPr>
        <w:t>Mildura</w:t>
      </w:r>
      <w:r>
        <w:rPr>
          <w:spacing w:val="6"/>
          <w:w w:val="105"/>
          <w:sz w:val="13"/>
        </w:rPr>
        <w:t> </w:t>
      </w:r>
      <w:r>
        <w:rPr>
          <w:w w:val="105"/>
          <w:sz w:val="13"/>
        </w:rPr>
        <w:t>Rural</w:t>
      </w:r>
      <w:r>
        <w:rPr>
          <w:spacing w:val="7"/>
          <w:w w:val="105"/>
          <w:sz w:val="13"/>
        </w:rPr>
        <w:t> </w:t>
      </w:r>
      <w:r>
        <w:rPr>
          <w:w w:val="105"/>
          <w:sz w:val="13"/>
        </w:rPr>
        <w:t>City</w:t>
      </w:r>
      <w:r>
        <w:rPr>
          <w:spacing w:val="7"/>
          <w:w w:val="105"/>
          <w:sz w:val="13"/>
        </w:rPr>
        <w:t> </w:t>
      </w:r>
      <w:r>
        <w:rPr>
          <w:w w:val="105"/>
          <w:sz w:val="13"/>
        </w:rPr>
        <w:t>Council</w:t>
      </w:r>
      <w:r>
        <w:rPr>
          <w:spacing w:val="7"/>
          <w:w w:val="105"/>
          <w:sz w:val="13"/>
        </w:rPr>
        <w:t> </w:t>
      </w:r>
      <w:r>
        <w:rPr>
          <w:w w:val="105"/>
          <w:sz w:val="13"/>
        </w:rPr>
        <w:t>and</w:t>
      </w:r>
      <w:r>
        <w:rPr>
          <w:spacing w:val="7"/>
          <w:w w:val="105"/>
          <w:sz w:val="13"/>
        </w:rPr>
        <w:t> </w:t>
      </w:r>
      <w:r>
        <w:rPr>
          <w:w w:val="105"/>
          <w:sz w:val="13"/>
        </w:rPr>
        <w:t>Sustainable</w:t>
      </w:r>
      <w:r>
        <w:rPr>
          <w:spacing w:val="7"/>
          <w:w w:val="105"/>
          <w:sz w:val="13"/>
        </w:rPr>
        <w:t> </w:t>
      </w:r>
      <w:r>
        <w:rPr>
          <w:w w:val="105"/>
          <w:sz w:val="13"/>
        </w:rPr>
        <w:t>Gardening</w:t>
      </w:r>
      <w:r>
        <w:rPr>
          <w:spacing w:val="7"/>
          <w:w w:val="105"/>
          <w:sz w:val="13"/>
        </w:rPr>
        <w:t> </w:t>
      </w:r>
      <w:r>
        <w:rPr>
          <w:w w:val="105"/>
          <w:sz w:val="13"/>
        </w:rPr>
        <w:t>Australia,</w:t>
      </w:r>
      <w:r>
        <w:rPr>
          <w:spacing w:val="7"/>
          <w:w w:val="105"/>
          <w:sz w:val="13"/>
        </w:rPr>
        <w:t> </w:t>
      </w:r>
      <w:r>
        <w:rPr>
          <w:i/>
          <w:w w:val="105"/>
          <w:sz w:val="13"/>
        </w:rPr>
        <w:t>Sustainable</w:t>
      </w:r>
      <w:r>
        <w:rPr>
          <w:i/>
          <w:spacing w:val="6"/>
          <w:w w:val="105"/>
          <w:sz w:val="13"/>
        </w:rPr>
        <w:t> </w:t>
      </w:r>
      <w:r>
        <w:rPr>
          <w:i/>
          <w:w w:val="105"/>
          <w:sz w:val="13"/>
        </w:rPr>
        <w:t>Gardening</w:t>
      </w:r>
      <w:r>
        <w:rPr>
          <w:i/>
          <w:spacing w:val="7"/>
          <w:w w:val="105"/>
          <w:sz w:val="13"/>
        </w:rPr>
        <w:t> </w:t>
      </w:r>
      <w:r>
        <w:rPr>
          <w:i/>
          <w:w w:val="105"/>
          <w:sz w:val="13"/>
        </w:rPr>
        <w:t>in</w:t>
      </w:r>
      <w:r>
        <w:rPr>
          <w:i/>
          <w:spacing w:val="7"/>
          <w:w w:val="105"/>
          <w:sz w:val="13"/>
        </w:rPr>
        <w:t> </w:t>
      </w:r>
      <w:r>
        <w:rPr>
          <w:i/>
          <w:w w:val="105"/>
          <w:sz w:val="13"/>
        </w:rPr>
        <w:t>the</w:t>
      </w:r>
      <w:r>
        <w:rPr>
          <w:i/>
          <w:spacing w:val="7"/>
          <w:w w:val="105"/>
          <w:sz w:val="13"/>
        </w:rPr>
        <w:t> </w:t>
      </w:r>
      <w:r>
        <w:rPr>
          <w:i/>
          <w:w w:val="105"/>
          <w:sz w:val="13"/>
        </w:rPr>
        <w:t>Mildura</w:t>
      </w:r>
      <w:r>
        <w:rPr>
          <w:i/>
          <w:spacing w:val="7"/>
          <w:w w:val="105"/>
          <w:sz w:val="13"/>
        </w:rPr>
        <w:t> </w:t>
      </w:r>
      <w:r>
        <w:rPr>
          <w:i/>
          <w:w w:val="105"/>
          <w:sz w:val="13"/>
        </w:rPr>
        <w:t>Region</w:t>
      </w:r>
      <w:r>
        <w:rPr>
          <w:i/>
          <w:spacing w:val="7"/>
          <w:w w:val="105"/>
          <w:sz w:val="13"/>
        </w:rPr>
        <w:t> </w:t>
      </w:r>
      <w:r>
        <w:rPr>
          <w:spacing w:val="2"/>
          <w:w w:val="105"/>
          <w:sz w:val="13"/>
        </w:rPr>
        <w:t>(Booklet,</w:t>
      </w:r>
      <w:r>
        <w:rPr>
          <w:spacing w:val="7"/>
          <w:w w:val="105"/>
          <w:sz w:val="13"/>
        </w:rPr>
        <w:t> </w:t>
      </w:r>
      <w:r>
        <w:rPr>
          <w:spacing w:val="-4"/>
          <w:w w:val="105"/>
          <w:sz w:val="13"/>
        </w:rPr>
        <w:t>2011)</w:t>
      </w:r>
      <w:r>
        <w:rPr>
          <w:spacing w:val="6"/>
          <w:w w:val="105"/>
          <w:sz w:val="13"/>
        </w:rPr>
        <w:t> </w:t>
      </w:r>
      <w:r>
        <w:rPr>
          <w:w w:val="105"/>
          <w:sz w:val="13"/>
        </w:rPr>
        <w:t>21–31.</w:t>
      </w:r>
    </w:p>
    <w:p>
      <w:pPr>
        <w:pStyle w:val="ListParagraph"/>
        <w:numPr>
          <w:ilvl w:val="0"/>
          <w:numId w:val="199"/>
        </w:numPr>
        <w:tabs>
          <w:tab w:pos="2380"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w w:val="105"/>
          <w:sz w:val="13"/>
        </w:rPr>
        <w:t>33.</w:t>
      </w:r>
    </w:p>
    <w:p>
      <w:pPr>
        <w:pStyle w:val="ListParagraph"/>
        <w:numPr>
          <w:ilvl w:val="0"/>
          <w:numId w:val="199"/>
        </w:numPr>
        <w:tabs>
          <w:tab w:pos="2380" w:val="left" w:leader="none"/>
          <w:tab w:pos="2382" w:val="left" w:leader="none"/>
        </w:tabs>
        <w:spacing w:line="240" w:lineRule="auto" w:before="2" w:after="0"/>
        <w:ind w:left="2381" w:right="0" w:hanging="794"/>
        <w:jc w:val="left"/>
        <w:rPr>
          <w:sz w:val="13"/>
        </w:rPr>
      </w:pPr>
      <w:r>
        <w:rPr>
          <w:sz w:val="13"/>
        </w:rPr>
        <w:t>Morning Peninsula Shire, </w:t>
      </w:r>
      <w:r>
        <w:rPr>
          <w:i/>
          <w:sz w:val="13"/>
        </w:rPr>
        <w:t>Shire </w:t>
      </w:r>
      <w:r>
        <w:rPr>
          <w:i/>
          <w:spacing w:val="2"/>
          <w:sz w:val="13"/>
        </w:rPr>
        <w:t>(Briars) Nursery </w:t>
      </w:r>
      <w:r>
        <w:rPr>
          <w:sz w:val="13"/>
        </w:rPr>
        <w:t>(Web Page, 2019)</w:t>
      </w:r>
      <w:r>
        <w:rPr>
          <w:spacing w:val="2"/>
          <w:sz w:val="13"/>
        </w:rPr>
        <w:t> &lt;https://</w:t>
      </w:r>
      <w:hyperlink r:id="rId324">
        <w:r>
          <w:rPr>
            <w:spacing w:val="2"/>
            <w:sz w:val="13"/>
          </w:rPr>
          <w:t>www.mornpen.vic.gov.au/Activities/The-Briars/Shire-Nursery</w:t>
        </w:r>
      </w:hyperlink>
      <w:r>
        <w:rPr>
          <w:spacing w:val="2"/>
          <w:sz w:val="13"/>
        </w:rPr>
        <w:t>&gt;.</w:t>
      </w:r>
    </w:p>
    <w:p>
      <w:pPr>
        <w:pStyle w:val="ListParagraph"/>
        <w:numPr>
          <w:ilvl w:val="0"/>
          <w:numId w:val="199"/>
        </w:numPr>
        <w:tabs>
          <w:tab w:pos="2380" w:val="left" w:leader="none"/>
          <w:tab w:pos="2382" w:val="left" w:leader="none"/>
        </w:tabs>
        <w:spacing w:line="240" w:lineRule="auto" w:before="1" w:after="0"/>
        <w:ind w:left="2381" w:right="156" w:hanging="794"/>
        <w:jc w:val="left"/>
        <w:rPr>
          <w:sz w:val="13"/>
        </w:rPr>
      </w:pPr>
      <w:r>
        <w:rPr>
          <w:sz w:val="13"/>
        </w:rPr>
        <w:t>Banyule City Council, </w:t>
      </w:r>
      <w:r>
        <w:rPr>
          <w:i/>
          <w:sz w:val="13"/>
        </w:rPr>
        <w:t>Native Plant Vouchers </w:t>
      </w:r>
      <w:r>
        <w:rPr>
          <w:sz w:val="13"/>
        </w:rPr>
        <w:t>(Web Page) &lt;https://</w:t>
      </w:r>
      <w:hyperlink r:id="rId325">
        <w:r>
          <w:rPr>
            <w:sz w:val="13"/>
          </w:rPr>
          <w:t>www.banyule.vic.gov.au/Council/Environment-and-Sustainability/Trees-</w:t>
        </w:r>
      </w:hyperlink>
      <w:r>
        <w:rPr>
          <w:sz w:val="13"/>
        </w:rPr>
        <w:t> and-Plants/Native-Plant-Vouchers&gt;.</w:t>
      </w:r>
    </w:p>
    <w:p>
      <w:pPr>
        <w:pStyle w:val="ListParagraph"/>
        <w:numPr>
          <w:ilvl w:val="0"/>
          <w:numId w:val="199"/>
        </w:numPr>
        <w:tabs>
          <w:tab w:pos="2380"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199"/>
        </w:numPr>
        <w:tabs>
          <w:tab w:pos="2380" w:val="left" w:leader="none"/>
          <w:tab w:pos="2382" w:val="left" w:leader="none"/>
        </w:tabs>
        <w:spacing w:line="240" w:lineRule="auto" w:before="1"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199"/>
        </w:numPr>
        <w:tabs>
          <w:tab w:pos="2380" w:val="left" w:leader="none"/>
          <w:tab w:pos="2382" w:val="left" w:leader="none"/>
        </w:tabs>
        <w:spacing w:line="240" w:lineRule="auto" w:before="1" w:after="0"/>
        <w:ind w:left="2381" w:right="137" w:hanging="794"/>
        <w:jc w:val="left"/>
        <w:rPr>
          <w:sz w:val="13"/>
        </w:rPr>
      </w:pPr>
      <w:r>
        <w:rPr>
          <w:w w:val="105"/>
          <w:sz w:val="13"/>
        </w:rPr>
        <w:t>See, eg, Moreland City Council, </w:t>
      </w:r>
      <w:r>
        <w:rPr>
          <w:i/>
          <w:w w:val="105"/>
          <w:sz w:val="13"/>
        </w:rPr>
        <w:t>Gardening with Indigenous Plants </w:t>
      </w:r>
      <w:r>
        <w:rPr>
          <w:w w:val="105"/>
          <w:sz w:val="13"/>
        </w:rPr>
        <w:t>(Web Page) &lt;</w:t>
      </w:r>
      <w:hyperlink r:id="rId326">
        <w:r>
          <w:rPr>
            <w:w w:val="105"/>
            <w:sz w:val="13"/>
          </w:rPr>
          <w:t>https://www.moreland.vic.gov.au/environment-bins/</w:t>
        </w:r>
      </w:hyperlink>
      <w:hyperlink r:id="rId326">
        <w:r>
          <w:rPr>
            <w:w w:val="105"/>
            <w:sz w:val="13"/>
          </w:rPr>
          <w:t> gardening-and-food/gardening-indigenous-plants/</w:t>
        </w:r>
      </w:hyperlink>
      <w:r>
        <w:rPr>
          <w:w w:val="105"/>
          <w:sz w:val="13"/>
        </w:rPr>
        <w:t>&gt;; City of Casey and Cardinia Shire Council, </w:t>
      </w:r>
      <w:r>
        <w:rPr>
          <w:i/>
          <w:w w:val="105"/>
          <w:sz w:val="13"/>
        </w:rPr>
        <w:t>Indigenous Plant Guide </w:t>
      </w:r>
      <w:r>
        <w:rPr>
          <w:spacing w:val="2"/>
          <w:w w:val="105"/>
          <w:sz w:val="13"/>
        </w:rPr>
        <w:t>(Booklet) </w:t>
      </w:r>
      <w:r>
        <w:rPr>
          <w:spacing w:val="3"/>
          <w:w w:val="105"/>
          <w:sz w:val="13"/>
        </w:rPr>
        <w:t>&lt;https://</w:t>
      </w:r>
      <w:hyperlink r:id="rId327">
        <w:r>
          <w:rPr>
            <w:spacing w:val="3"/>
            <w:w w:val="105"/>
            <w:sz w:val="13"/>
          </w:rPr>
          <w:t> </w:t>
        </w:r>
        <w:r>
          <w:rPr>
            <w:w w:val="105"/>
            <w:sz w:val="13"/>
          </w:rPr>
          <w:t>www.casey.vic.gov.au/indigenous-plants</w:t>
        </w:r>
      </w:hyperlink>
      <w:r>
        <w:rPr>
          <w:w w:val="105"/>
          <w:sz w:val="13"/>
        </w:rPr>
        <w:t>&gt;; City of Boroondara, </w:t>
      </w:r>
      <w:r>
        <w:rPr>
          <w:i/>
          <w:w w:val="105"/>
          <w:sz w:val="13"/>
        </w:rPr>
        <w:t>Choosing Suitable Trees </w:t>
      </w:r>
      <w:r>
        <w:rPr>
          <w:w w:val="105"/>
          <w:sz w:val="13"/>
        </w:rPr>
        <w:t>(Web Page, 2019) </w:t>
      </w:r>
      <w:r>
        <w:rPr>
          <w:spacing w:val="2"/>
          <w:w w:val="105"/>
          <w:sz w:val="13"/>
        </w:rPr>
        <w:t>&lt;https://</w:t>
      </w:r>
      <w:hyperlink r:id="rId328">
        <w:r>
          <w:rPr>
            <w:spacing w:val="2"/>
            <w:w w:val="105"/>
            <w:sz w:val="13"/>
          </w:rPr>
          <w:t>www.boroondara.vic.</w:t>
        </w:r>
      </w:hyperlink>
      <w:r>
        <w:rPr>
          <w:spacing w:val="2"/>
          <w:w w:val="105"/>
          <w:sz w:val="13"/>
        </w:rPr>
        <w:t> </w:t>
      </w:r>
      <w:r>
        <w:rPr>
          <w:w w:val="105"/>
          <w:sz w:val="13"/>
        </w:rPr>
        <w:t>gov.au/waste-environment/trees-and-naturestrips/choosing-suitable-trees&gt;.</w:t>
      </w:r>
    </w:p>
    <w:p>
      <w:pPr>
        <w:pStyle w:val="ListParagraph"/>
        <w:numPr>
          <w:ilvl w:val="0"/>
          <w:numId w:val="199"/>
        </w:numPr>
        <w:tabs>
          <w:tab w:pos="2380" w:val="left" w:leader="none"/>
          <w:tab w:pos="2382" w:val="left" w:leader="none"/>
        </w:tabs>
        <w:spacing w:line="240" w:lineRule="auto" w:before="6" w:after="0"/>
        <w:ind w:left="2381" w:right="441" w:hanging="794"/>
        <w:jc w:val="left"/>
        <w:rPr>
          <w:sz w:val="13"/>
        </w:rPr>
      </w:pPr>
      <w:r>
        <w:rPr>
          <w:w w:val="105"/>
          <w:sz w:val="13"/>
        </w:rPr>
        <w:t>City of Boroondara, </w:t>
      </w:r>
      <w:r>
        <w:rPr>
          <w:i/>
          <w:w w:val="105"/>
          <w:sz w:val="13"/>
        </w:rPr>
        <w:t>Choosing Suitable Trees </w:t>
      </w:r>
      <w:r>
        <w:rPr>
          <w:w w:val="105"/>
          <w:sz w:val="13"/>
        </w:rPr>
        <w:t>(Web Page, 2019) </w:t>
      </w:r>
      <w:r>
        <w:rPr>
          <w:spacing w:val="2"/>
          <w:w w:val="105"/>
          <w:sz w:val="13"/>
        </w:rPr>
        <w:t>&lt;https://</w:t>
      </w:r>
      <w:hyperlink r:id="rId59">
        <w:r>
          <w:rPr>
            <w:spacing w:val="2"/>
            <w:w w:val="105"/>
            <w:sz w:val="13"/>
          </w:rPr>
          <w:t>www.boroondara.vic.gov.au/waste-environment/trees-and-</w:t>
        </w:r>
      </w:hyperlink>
      <w:r>
        <w:rPr>
          <w:spacing w:val="2"/>
          <w:w w:val="105"/>
          <w:sz w:val="13"/>
        </w:rPr>
        <w:t> </w:t>
      </w:r>
      <w:r>
        <w:rPr>
          <w:w w:val="105"/>
          <w:sz w:val="13"/>
        </w:rPr>
        <w:t>naturestrips/choosing-suitable-trees&gt;.</w:t>
      </w:r>
    </w:p>
    <w:p>
      <w:pPr>
        <w:pStyle w:val="ListParagraph"/>
        <w:numPr>
          <w:ilvl w:val="0"/>
          <w:numId w:val="199"/>
        </w:numPr>
        <w:tabs>
          <w:tab w:pos="2381" w:val="left" w:leader="none"/>
          <w:tab w:pos="2382" w:val="left" w:leader="none"/>
        </w:tabs>
        <w:spacing w:line="240" w:lineRule="auto" w:before="2" w:after="0"/>
        <w:ind w:left="2381" w:right="0" w:hanging="794"/>
        <w:jc w:val="left"/>
        <w:rPr>
          <w:sz w:val="13"/>
        </w:rPr>
      </w:pPr>
      <w:r>
        <w:rPr>
          <w:w w:val="105"/>
          <w:sz w:val="13"/>
        </w:rPr>
        <w:t>Dispute Settlement Centre of Victoria, </w:t>
      </w:r>
      <w:r>
        <w:rPr>
          <w:i/>
          <w:w w:val="105"/>
          <w:sz w:val="13"/>
        </w:rPr>
        <w:t>Trees </w:t>
      </w:r>
      <w:r>
        <w:rPr>
          <w:w w:val="105"/>
          <w:sz w:val="13"/>
        </w:rPr>
        <w:t>(Web Page, 24 April 2019)</w:t>
      </w:r>
      <w:r>
        <w:rPr>
          <w:spacing w:val="7"/>
          <w:w w:val="105"/>
          <w:sz w:val="13"/>
        </w:rPr>
        <w:t> </w:t>
      </w:r>
      <w:r>
        <w:rPr>
          <w:spacing w:val="2"/>
          <w:w w:val="105"/>
          <w:sz w:val="13"/>
        </w:rPr>
        <w:t>&lt;https://</w:t>
      </w:r>
      <w:hyperlink r:id="rId329">
        <w:r>
          <w:rPr>
            <w:spacing w:val="2"/>
            <w:w w:val="105"/>
            <w:sz w:val="13"/>
          </w:rPr>
          <w:t>www.disputes.vic.gov.au/information-and-advice/trees-0</w:t>
        </w:r>
      </w:hyperlink>
      <w:r>
        <w:rPr>
          <w:spacing w:val="2"/>
          <w:w w:val="105"/>
          <w:sz w:val="13"/>
        </w:rPr>
        <w:t>&gt;.</w:t>
      </w:r>
    </w:p>
    <w:p>
      <w:pPr>
        <w:pStyle w:val="ListParagraph"/>
        <w:numPr>
          <w:ilvl w:val="0"/>
          <w:numId w:val="199"/>
        </w:numPr>
        <w:tabs>
          <w:tab w:pos="2381" w:val="left" w:leader="none"/>
          <w:tab w:pos="2382" w:val="left" w:leader="none"/>
        </w:tabs>
        <w:spacing w:line="240" w:lineRule="auto" w:before="2" w:after="0"/>
        <w:ind w:left="2381" w:right="0" w:hanging="794"/>
        <w:jc w:val="left"/>
        <w:rPr>
          <w:sz w:val="13"/>
        </w:rPr>
      </w:pPr>
      <w:r>
        <w:rPr>
          <w:sz w:val="13"/>
        </w:rPr>
        <w:t>Ibid.</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38"/>
        </w:rPr>
      </w:pPr>
    </w:p>
    <w:p>
      <w:pPr>
        <w:spacing w:before="0"/>
        <w:ind w:left="530" w:right="567" w:firstLine="0"/>
        <w:jc w:val="center"/>
        <w:rPr>
          <w:b/>
          <w:sz w:val="24"/>
        </w:rPr>
      </w:pPr>
      <w:r>
        <w:rPr>
          <w:b/>
          <w:color w:val="658464"/>
          <w:w w:val="110"/>
          <w:sz w:val="24"/>
        </w:rPr>
        <w:t>277</w:t>
      </w:r>
    </w:p>
    <w:p>
      <w:pPr>
        <w:spacing w:after="0"/>
        <w:jc w:val="center"/>
        <w:rPr>
          <w:sz w:val="24"/>
        </w:rPr>
        <w:sectPr>
          <w:type w:val="continuous"/>
          <w:pgSz w:w="11910" w:h="16840"/>
          <w:pgMar w:top="300" w:bottom="280" w:left="0" w:right="0"/>
          <w:cols w:num="2" w:equalWidth="0">
            <w:col w:w="10319" w:space="40"/>
            <w:col w:w="1551"/>
          </w:cols>
        </w:sectPr>
      </w:pPr>
    </w:p>
    <w:p>
      <w:pPr>
        <w:pStyle w:val="BodyText"/>
        <w:spacing w:before="8"/>
        <w:rPr>
          <w:b/>
          <w:sz w:val="22"/>
        </w:rPr>
      </w:pPr>
    </w:p>
    <w:p>
      <w:pPr>
        <w:pStyle w:val="ListParagraph"/>
        <w:numPr>
          <w:ilvl w:val="1"/>
          <w:numId w:val="16"/>
        </w:numPr>
        <w:tabs>
          <w:tab w:pos="2380" w:val="left" w:leader="none"/>
          <w:tab w:pos="2381" w:val="left" w:leader="none"/>
        </w:tabs>
        <w:spacing w:line="242" w:lineRule="auto" w:before="93" w:after="0"/>
        <w:ind w:left="2381" w:right="1628" w:hanging="794"/>
        <w:jc w:val="left"/>
        <w:rPr>
          <w:sz w:val="21"/>
        </w:rPr>
      </w:pPr>
      <w:bookmarkStart w:name="_bookmark152" w:id="328"/>
      <w:bookmarkEnd w:id="328"/>
      <w:r>
        <w:rPr/>
      </w:r>
      <w:bookmarkStart w:name="_bookmark152" w:id="329"/>
      <w:bookmarkEnd w:id="329"/>
      <w:r>
        <w:rPr>
          <w:w w:val="105"/>
          <w:sz w:val="21"/>
        </w:rPr>
        <w:t>T</w:t>
      </w:r>
      <w:r>
        <w:rPr>
          <w:w w:val="105"/>
          <w:sz w:val="21"/>
        </w:rPr>
        <w:t>he</w:t>
      </w:r>
      <w:r>
        <w:rPr>
          <w:spacing w:val="-9"/>
          <w:w w:val="105"/>
          <w:sz w:val="21"/>
        </w:rPr>
        <w:t> </w:t>
      </w:r>
      <w:r>
        <w:rPr>
          <w:w w:val="105"/>
          <w:sz w:val="21"/>
        </w:rPr>
        <w:t>Fitzroy</w:t>
      </w:r>
      <w:r>
        <w:rPr>
          <w:spacing w:val="-8"/>
          <w:w w:val="105"/>
          <w:sz w:val="21"/>
        </w:rPr>
        <w:t> </w:t>
      </w:r>
      <w:r>
        <w:rPr>
          <w:w w:val="105"/>
          <w:sz w:val="21"/>
        </w:rPr>
        <w:t>Legal</w:t>
      </w:r>
      <w:r>
        <w:rPr>
          <w:spacing w:val="-9"/>
          <w:w w:val="105"/>
          <w:sz w:val="21"/>
        </w:rPr>
        <w:t> </w:t>
      </w:r>
      <w:r>
        <w:rPr>
          <w:spacing w:val="-2"/>
          <w:w w:val="105"/>
          <w:sz w:val="21"/>
        </w:rPr>
        <w:t>Service’s</w:t>
      </w:r>
      <w:r>
        <w:rPr>
          <w:spacing w:val="-8"/>
          <w:w w:val="105"/>
          <w:sz w:val="21"/>
        </w:rPr>
        <w:t> </w:t>
      </w:r>
      <w:r>
        <w:rPr>
          <w:i/>
          <w:w w:val="105"/>
          <w:sz w:val="21"/>
        </w:rPr>
        <w:t>Law</w:t>
      </w:r>
      <w:r>
        <w:rPr>
          <w:i/>
          <w:spacing w:val="-9"/>
          <w:w w:val="105"/>
          <w:sz w:val="21"/>
        </w:rPr>
        <w:t> </w:t>
      </w:r>
      <w:r>
        <w:rPr>
          <w:i/>
          <w:w w:val="105"/>
          <w:sz w:val="21"/>
        </w:rPr>
        <w:t>Handbook</w:t>
      </w:r>
      <w:r>
        <w:rPr>
          <w:i/>
          <w:spacing w:val="-8"/>
          <w:w w:val="105"/>
          <w:sz w:val="21"/>
        </w:rPr>
        <w:t> </w:t>
      </w:r>
      <w:r>
        <w:rPr>
          <w:w w:val="105"/>
          <w:sz w:val="21"/>
        </w:rPr>
        <w:t>offers</w:t>
      </w:r>
      <w:r>
        <w:rPr>
          <w:spacing w:val="-9"/>
          <w:w w:val="105"/>
          <w:sz w:val="21"/>
        </w:rPr>
        <w:t> </w:t>
      </w:r>
      <w:r>
        <w:rPr>
          <w:w w:val="105"/>
          <w:sz w:val="21"/>
        </w:rPr>
        <w:t>practical</w:t>
      </w:r>
      <w:r>
        <w:rPr>
          <w:spacing w:val="-8"/>
          <w:w w:val="105"/>
          <w:sz w:val="21"/>
        </w:rPr>
        <w:t> </w:t>
      </w:r>
      <w:r>
        <w:rPr>
          <w:w w:val="105"/>
          <w:sz w:val="21"/>
        </w:rPr>
        <w:t>tips</w:t>
      </w:r>
      <w:r>
        <w:rPr>
          <w:spacing w:val="-9"/>
          <w:w w:val="105"/>
          <w:sz w:val="21"/>
        </w:rPr>
        <w:t> </w:t>
      </w:r>
      <w:r>
        <w:rPr>
          <w:w w:val="105"/>
          <w:sz w:val="21"/>
        </w:rPr>
        <w:t>and</w:t>
      </w:r>
      <w:r>
        <w:rPr>
          <w:spacing w:val="-8"/>
          <w:w w:val="105"/>
          <w:sz w:val="21"/>
        </w:rPr>
        <w:t> </w:t>
      </w:r>
      <w:r>
        <w:rPr>
          <w:spacing w:val="-3"/>
          <w:w w:val="105"/>
          <w:sz w:val="21"/>
        </w:rPr>
        <w:t>encourages</w:t>
      </w:r>
      <w:r>
        <w:rPr>
          <w:spacing w:val="-8"/>
          <w:w w:val="105"/>
          <w:sz w:val="21"/>
        </w:rPr>
        <w:t> </w:t>
      </w:r>
      <w:r>
        <w:rPr>
          <w:w w:val="105"/>
          <w:sz w:val="21"/>
        </w:rPr>
        <w:t>neighbours </w:t>
      </w:r>
      <w:r>
        <w:rPr>
          <w:spacing w:val="-3"/>
          <w:w w:val="105"/>
          <w:sz w:val="21"/>
        </w:rPr>
        <w:t>to </w:t>
      </w:r>
      <w:r>
        <w:rPr>
          <w:w w:val="105"/>
          <w:sz w:val="21"/>
        </w:rPr>
        <w:t>resolve </w:t>
      </w:r>
      <w:r>
        <w:rPr>
          <w:spacing w:val="-3"/>
          <w:w w:val="105"/>
          <w:sz w:val="21"/>
        </w:rPr>
        <w:t>disputes</w:t>
      </w:r>
      <w:r>
        <w:rPr>
          <w:spacing w:val="17"/>
          <w:w w:val="105"/>
          <w:sz w:val="21"/>
        </w:rPr>
        <w:t> </w:t>
      </w:r>
      <w:r>
        <w:rPr>
          <w:spacing w:val="-3"/>
          <w:w w:val="105"/>
          <w:sz w:val="21"/>
        </w:rPr>
        <w:t>informally:</w:t>
      </w:r>
    </w:p>
    <w:p>
      <w:pPr>
        <w:spacing w:line="254" w:lineRule="auto" w:before="131"/>
        <w:ind w:left="2834" w:right="1636" w:firstLine="0"/>
        <w:jc w:val="left"/>
        <w:rPr>
          <w:sz w:val="11"/>
        </w:rPr>
      </w:pPr>
      <w:r>
        <w:rPr>
          <w:w w:val="105"/>
          <w:sz w:val="20"/>
        </w:rPr>
        <w:t>Clear and open communication between neighbours with the aim of working out a dispute in a cooperative and friendly way is more likely to bring about a long-term outcome that all parties are able to live with.</w:t>
      </w:r>
      <w:r>
        <w:rPr>
          <w:w w:val="105"/>
          <w:position w:val="7"/>
          <w:sz w:val="11"/>
        </w:rPr>
        <w:t>13</w:t>
      </w:r>
    </w:p>
    <w:p>
      <w:pPr>
        <w:pStyle w:val="ListParagraph"/>
        <w:numPr>
          <w:ilvl w:val="1"/>
          <w:numId w:val="16"/>
        </w:numPr>
        <w:tabs>
          <w:tab w:pos="2381" w:val="left" w:leader="none"/>
        </w:tabs>
        <w:spacing w:line="242" w:lineRule="auto" w:before="114" w:after="0"/>
        <w:ind w:left="2381" w:right="2065" w:hanging="794"/>
        <w:jc w:val="both"/>
        <w:rPr>
          <w:sz w:val="21"/>
        </w:rPr>
      </w:pPr>
      <w:r>
        <w:rPr>
          <w:w w:val="105"/>
          <w:sz w:val="21"/>
        </w:rPr>
        <w:t>The </w:t>
      </w:r>
      <w:r>
        <w:rPr>
          <w:i/>
          <w:w w:val="105"/>
          <w:sz w:val="21"/>
        </w:rPr>
        <w:t>Law Handbook </w:t>
      </w:r>
      <w:r>
        <w:rPr>
          <w:w w:val="105"/>
          <w:sz w:val="21"/>
        </w:rPr>
        <w:t>provides a brief overview of the </w:t>
      </w:r>
      <w:r>
        <w:rPr>
          <w:spacing w:val="-2"/>
          <w:w w:val="105"/>
          <w:sz w:val="21"/>
        </w:rPr>
        <w:t>common </w:t>
      </w:r>
      <w:r>
        <w:rPr>
          <w:w w:val="105"/>
          <w:sz w:val="21"/>
        </w:rPr>
        <w:t>law action in </w:t>
      </w:r>
      <w:r>
        <w:rPr>
          <w:spacing w:val="-3"/>
          <w:w w:val="105"/>
          <w:sz w:val="21"/>
        </w:rPr>
        <w:t>nuisance </w:t>
      </w:r>
      <w:r>
        <w:rPr>
          <w:w w:val="105"/>
          <w:sz w:val="21"/>
        </w:rPr>
        <w:t>as</w:t>
      </w:r>
      <w:r>
        <w:rPr>
          <w:spacing w:val="-7"/>
          <w:w w:val="105"/>
          <w:sz w:val="21"/>
        </w:rPr>
        <w:t> </w:t>
      </w:r>
      <w:r>
        <w:rPr>
          <w:spacing w:val="-3"/>
          <w:w w:val="105"/>
          <w:sz w:val="21"/>
        </w:rPr>
        <w:t>well</w:t>
      </w:r>
      <w:r>
        <w:rPr>
          <w:spacing w:val="-7"/>
          <w:w w:val="105"/>
          <w:sz w:val="21"/>
        </w:rPr>
        <w:t> </w:t>
      </w:r>
      <w:r>
        <w:rPr>
          <w:w w:val="105"/>
          <w:sz w:val="21"/>
        </w:rPr>
        <w:t>as</w:t>
      </w:r>
      <w:r>
        <w:rPr>
          <w:spacing w:val="-6"/>
          <w:w w:val="105"/>
          <w:sz w:val="21"/>
        </w:rPr>
        <w:t> </w:t>
      </w:r>
      <w:r>
        <w:rPr>
          <w:w w:val="105"/>
          <w:sz w:val="21"/>
        </w:rPr>
        <w:t>the</w:t>
      </w:r>
      <w:r>
        <w:rPr>
          <w:spacing w:val="-7"/>
          <w:w w:val="105"/>
          <w:sz w:val="21"/>
        </w:rPr>
        <w:t> </w:t>
      </w:r>
      <w:r>
        <w:rPr>
          <w:w w:val="105"/>
          <w:sz w:val="21"/>
        </w:rPr>
        <w:t>self-help</w:t>
      </w:r>
      <w:r>
        <w:rPr>
          <w:spacing w:val="-7"/>
          <w:w w:val="105"/>
          <w:sz w:val="21"/>
        </w:rPr>
        <w:t> </w:t>
      </w:r>
      <w:r>
        <w:rPr>
          <w:w w:val="105"/>
          <w:sz w:val="21"/>
        </w:rPr>
        <w:t>remedy</w:t>
      </w:r>
      <w:r>
        <w:rPr>
          <w:spacing w:val="-6"/>
          <w:w w:val="105"/>
          <w:sz w:val="21"/>
        </w:rPr>
        <w:t> </w:t>
      </w:r>
      <w:r>
        <w:rPr>
          <w:w w:val="105"/>
          <w:sz w:val="21"/>
        </w:rPr>
        <w:t>of</w:t>
      </w:r>
      <w:r>
        <w:rPr>
          <w:spacing w:val="-7"/>
          <w:w w:val="105"/>
          <w:sz w:val="21"/>
        </w:rPr>
        <w:t> </w:t>
      </w:r>
      <w:r>
        <w:rPr>
          <w:spacing w:val="-4"/>
          <w:w w:val="105"/>
          <w:sz w:val="21"/>
        </w:rPr>
        <w:t>abatement.</w:t>
      </w:r>
      <w:r>
        <w:rPr>
          <w:spacing w:val="-4"/>
          <w:w w:val="105"/>
          <w:position w:val="7"/>
          <w:sz w:val="12"/>
        </w:rPr>
        <w:t>14</w:t>
      </w:r>
      <w:r>
        <w:rPr>
          <w:spacing w:val="16"/>
          <w:w w:val="105"/>
          <w:position w:val="7"/>
          <w:sz w:val="12"/>
        </w:rPr>
        <w:t> </w:t>
      </w:r>
      <w:r>
        <w:rPr>
          <w:w w:val="105"/>
          <w:sz w:val="21"/>
        </w:rPr>
        <w:t>People</w:t>
      </w:r>
      <w:r>
        <w:rPr>
          <w:spacing w:val="-6"/>
          <w:w w:val="105"/>
          <w:sz w:val="21"/>
        </w:rPr>
        <w:t> </w:t>
      </w:r>
      <w:r>
        <w:rPr>
          <w:spacing w:val="-3"/>
          <w:w w:val="105"/>
          <w:sz w:val="21"/>
        </w:rPr>
        <w:t>are</w:t>
      </w:r>
      <w:r>
        <w:rPr>
          <w:spacing w:val="-7"/>
          <w:w w:val="105"/>
          <w:sz w:val="21"/>
        </w:rPr>
        <w:t> </w:t>
      </w:r>
      <w:r>
        <w:rPr>
          <w:spacing w:val="-3"/>
          <w:w w:val="105"/>
          <w:sz w:val="21"/>
        </w:rPr>
        <w:t>encouraged</w:t>
      </w:r>
      <w:r>
        <w:rPr>
          <w:spacing w:val="-7"/>
          <w:w w:val="105"/>
          <w:sz w:val="21"/>
        </w:rPr>
        <w:t> </w:t>
      </w:r>
      <w:r>
        <w:rPr>
          <w:spacing w:val="-3"/>
          <w:w w:val="105"/>
          <w:sz w:val="21"/>
        </w:rPr>
        <w:t>to</w:t>
      </w:r>
      <w:r>
        <w:rPr>
          <w:spacing w:val="-6"/>
          <w:w w:val="105"/>
          <w:sz w:val="21"/>
        </w:rPr>
        <w:t> </w:t>
      </w:r>
      <w:r>
        <w:rPr>
          <w:w w:val="105"/>
          <w:sz w:val="21"/>
        </w:rPr>
        <w:t>discuss</w:t>
      </w:r>
      <w:r>
        <w:rPr>
          <w:spacing w:val="-7"/>
          <w:w w:val="105"/>
          <w:sz w:val="21"/>
        </w:rPr>
        <w:t> </w:t>
      </w:r>
      <w:r>
        <w:rPr>
          <w:spacing w:val="-3"/>
          <w:w w:val="105"/>
          <w:sz w:val="21"/>
        </w:rPr>
        <w:t>any </w:t>
      </w:r>
      <w:r>
        <w:rPr>
          <w:w w:val="105"/>
          <w:sz w:val="21"/>
        </w:rPr>
        <w:t>proposed </w:t>
      </w:r>
      <w:r>
        <w:rPr>
          <w:spacing w:val="-3"/>
          <w:w w:val="105"/>
          <w:sz w:val="21"/>
        </w:rPr>
        <w:t>branch removal </w:t>
      </w:r>
      <w:r>
        <w:rPr>
          <w:w w:val="105"/>
          <w:sz w:val="21"/>
        </w:rPr>
        <w:t>with neighbours prior </w:t>
      </w:r>
      <w:r>
        <w:rPr>
          <w:spacing w:val="-3"/>
          <w:w w:val="105"/>
          <w:sz w:val="21"/>
        </w:rPr>
        <w:t>to </w:t>
      </w:r>
      <w:r>
        <w:rPr>
          <w:w w:val="105"/>
          <w:sz w:val="21"/>
        </w:rPr>
        <w:t>undertaking the</w:t>
      </w:r>
      <w:r>
        <w:rPr>
          <w:spacing w:val="20"/>
          <w:w w:val="105"/>
          <w:sz w:val="21"/>
        </w:rPr>
        <w:t> </w:t>
      </w:r>
      <w:r>
        <w:rPr>
          <w:spacing w:val="-6"/>
          <w:w w:val="105"/>
          <w:sz w:val="21"/>
        </w:rPr>
        <w:t>work.</w:t>
      </w:r>
      <w:r>
        <w:rPr>
          <w:spacing w:val="-6"/>
          <w:w w:val="105"/>
          <w:position w:val="7"/>
          <w:sz w:val="12"/>
        </w:rPr>
        <w:t>15</w:t>
      </w:r>
    </w:p>
    <w:p>
      <w:pPr>
        <w:pStyle w:val="ListParagraph"/>
        <w:numPr>
          <w:ilvl w:val="1"/>
          <w:numId w:val="16"/>
        </w:numPr>
        <w:tabs>
          <w:tab w:pos="2381" w:val="left" w:leader="none"/>
          <w:tab w:pos="2382" w:val="left" w:leader="none"/>
        </w:tabs>
        <w:spacing w:line="242" w:lineRule="auto" w:before="124" w:after="0"/>
        <w:ind w:left="2381" w:right="1676" w:hanging="794"/>
        <w:jc w:val="left"/>
        <w:rPr>
          <w:sz w:val="21"/>
        </w:rPr>
      </w:pPr>
      <w:r>
        <w:rPr>
          <w:sz w:val="21"/>
        </w:rPr>
        <w:t>The Victorian Law Foundation </w:t>
      </w:r>
      <w:r>
        <w:rPr>
          <w:spacing w:val="-2"/>
          <w:sz w:val="21"/>
        </w:rPr>
        <w:t>has </w:t>
      </w:r>
      <w:r>
        <w:rPr>
          <w:spacing w:val="-3"/>
          <w:sz w:val="21"/>
        </w:rPr>
        <w:t>published  </w:t>
      </w:r>
      <w:r>
        <w:rPr>
          <w:sz w:val="21"/>
        </w:rPr>
        <w:t>a </w:t>
      </w:r>
      <w:r>
        <w:rPr>
          <w:spacing w:val="-3"/>
          <w:sz w:val="21"/>
        </w:rPr>
        <w:t>guide,</w:t>
      </w:r>
      <w:r>
        <w:rPr>
          <w:spacing w:val="41"/>
          <w:sz w:val="21"/>
        </w:rPr>
        <w:t> </w:t>
      </w:r>
      <w:r>
        <w:rPr>
          <w:sz w:val="21"/>
        </w:rPr>
        <w:t>Neighbours, the Law and </w:t>
      </w:r>
      <w:r>
        <w:rPr>
          <w:spacing w:val="-6"/>
          <w:sz w:val="21"/>
        </w:rPr>
        <w:t>You,  </w:t>
      </w:r>
      <w:r>
        <w:rPr>
          <w:sz w:val="21"/>
        </w:rPr>
        <w:t>on  how </w:t>
      </w:r>
      <w:r>
        <w:rPr>
          <w:spacing w:val="-3"/>
          <w:sz w:val="21"/>
        </w:rPr>
        <w:t>to </w:t>
      </w:r>
      <w:r>
        <w:rPr>
          <w:sz w:val="21"/>
        </w:rPr>
        <w:t>be  a  good  </w:t>
      </w:r>
      <w:r>
        <w:rPr>
          <w:spacing w:val="-4"/>
          <w:sz w:val="21"/>
        </w:rPr>
        <w:t>neighbour,  </w:t>
      </w:r>
      <w:r>
        <w:rPr>
          <w:spacing w:val="-3"/>
          <w:sz w:val="21"/>
        </w:rPr>
        <w:t>explaining  individual  </w:t>
      </w:r>
      <w:r>
        <w:rPr>
          <w:sz w:val="21"/>
        </w:rPr>
        <w:t>rights  and  </w:t>
      </w:r>
      <w:r>
        <w:rPr>
          <w:spacing w:val="-3"/>
          <w:sz w:val="21"/>
        </w:rPr>
        <w:t>responsibilities  </w:t>
      </w:r>
      <w:r>
        <w:rPr>
          <w:sz w:val="21"/>
        </w:rPr>
        <w:t>in  </w:t>
      </w:r>
      <w:r>
        <w:rPr>
          <w:spacing w:val="-3"/>
          <w:sz w:val="21"/>
        </w:rPr>
        <w:t>relation to </w:t>
      </w:r>
      <w:r>
        <w:rPr>
          <w:spacing w:val="-2"/>
          <w:sz w:val="21"/>
        </w:rPr>
        <w:t>common </w:t>
      </w:r>
      <w:r>
        <w:rPr>
          <w:sz w:val="21"/>
        </w:rPr>
        <w:t>issues </w:t>
      </w:r>
      <w:r>
        <w:rPr>
          <w:spacing w:val="-3"/>
          <w:sz w:val="21"/>
        </w:rPr>
        <w:t>that </w:t>
      </w:r>
      <w:r>
        <w:rPr>
          <w:sz w:val="21"/>
        </w:rPr>
        <w:t>arise </w:t>
      </w:r>
      <w:r>
        <w:rPr>
          <w:spacing w:val="-3"/>
          <w:sz w:val="21"/>
        </w:rPr>
        <w:t>such </w:t>
      </w:r>
      <w:r>
        <w:rPr>
          <w:sz w:val="21"/>
        </w:rPr>
        <w:t>as </w:t>
      </w:r>
      <w:r>
        <w:rPr>
          <w:spacing w:val="-3"/>
          <w:sz w:val="21"/>
        </w:rPr>
        <w:t>overhanging </w:t>
      </w:r>
      <w:r>
        <w:rPr>
          <w:sz w:val="21"/>
        </w:rPr>
        <w:t>tree </w:t>
      </w:r>
      <w:r>
        <w:rPr>
          <w:spacing w:val="-3"/>
          <w:sz w:val="21"/>
        </w:rPr>
        <w:t>branches </w:t>
      </w:r>
      <w:r>
        <w:rPr>
          <w:sz w:val="21"/>
        </w:rPr>
        <w:t>or </w:t>
      </w:r>
      <w:r>
        <w:rPr>
          <w:spacing w:val="-5"/>
          <w:sz w:val="21"/>
        </w:rPr>
        <w:t>roots.</w:t>
      </w:r>
      <w:r>
        <w:rPr>
          <w:spacing w:val="-5"/>
          <w:position w:val="7"/>
          <w:sz w:val="12"/>
        </w:rPr>
        <w:t>16  </w:t>
      </w:r>
      <w:r>
        <w:rPr>
          <w:sz w:val="21"/>
        </w:rPr>
        <w:t>The  guide provides </w:t>
      </w:r>
      <w:r>
        <w:rPr>
          <w:spacing w:val="-3"/>
          <w:sz w:val="21"/>
        </w:rPr>
        <w:t>information </w:t>
      </w:r>
      <w:r>
        <w:rPr>
          <w:sz w:val="21"/>
        </w:rPr>
        <w:t>about how local </w:t>
      </w:r>
      <w:r>
        <w:rPr>
          <w:spacing w:val="-3"/>
          <w:sz w:val="21"/>
        </w:rPr>
        <w:t>councils may  </w:t>
      </w:r>
      <w:r>
        <w:rPr>
          <w:sz w:val="21"/>
        </w:rPr>
        <w:t>be able </w:t>
      </w:r>
      <w:r>
        <w:rPr>
          <w:spacing w:val="-3"/>
          <w:sz w:val="21"/>
        </w:rPr>
        <w:t>to</w:t>
      </w:r>
      <w:r>
        <w:rPr>
          <w:spacing w:val="41"/>
          <w:sz w:val="21"/>
        </w:rPr>
        <w:t> </w:t>
      </w:r>
      <w:r>
        <w:rPr>
          <w:sz w:val="21"/>
        </w:rPr>
        <w:t>help because actions </w:t>
      </w:r>
      <w:r>
        <w:rPr>
          <w:spacing w:val="-3"/>
          <w:sz w:val="21"/>
        </w:rPr>
        <w:t>could  </w:t>
      </w:r>
      <w:r>
        <w:rPr>
          <w:sz w:val="21"/>
        </w:rPr>
        <w:t>be dependent on local law and </w:t>
      </w:r>
      <w:r>
        <w:rPr>
          <w:spacing w:val="-3"/>
          <w:sz w:val="21"/>
        </w:rPr>
        <w:t>planning </w:t>
      </w:r>
      <w:r>
        <w:rPr>
          <w:sz w:val="21"/>
        </w:rPr>
        <w:t>schemes. It also </w:t>
      </w:r>
      <w:r>
        <w:rPr>
          <w:spacing w:val="-3"/>
          <w:sz w:val="21"/>
        </w:rPr>
        <w:t>includes information </w:t>
      </w:r>
      <w:r>
        <w:rPr>
          <w:sz w:val="21"/>
        </w:rPr>
        <w:t>about </w:t>
      </w:r>
      <w:r>
        <w:rPr>
          <w:spacing w:val="-3"/>
          <w:sz w:val="21"/>
        </w:rPr>
        <w:t>abatement, </w:t>
      </w:r>
      <w:r>
        <w:rPr>
          <w:sz w:val="21"/>
        </w:rPr>
        <w:t>and provides links </w:t>
      </w:r>
      <w:r>
        <w:rPr>
          <w:spacing w:val="-3"/>
          <w:sz w:val="21"/>
        </w:rPr>
        <w:t>to </w:t>
      </w:r>
      <w:r>
        <w:rPr>
          <w:sz w:val="21"/>
        </w:rPr>
        <w:t>DSCV and </w:t>
      </w:r>
      <w:r>
        <w:rPr>
          <w:spacing w:val="-3"/>
          <w:sz w:val="21"/>
        </w:rPr>
        <w:t>to  </w:t>
      </w:r>
      <w:r>
        <w:rPr>
          <w:sz w:val="21"/>
        </w:rPr>
        <w:t>the  </w:t>
      </w:r>
      <w:r>
        <w:rPr>
          <w:spacing w:val="-3"/>
          <w:sz w:val="21"/>
        </w:rPr>
        <w:t>Magistrates’  Court  websites.  </w:t>
      </w:r>
      <w:r>
        <w:rPr>
          <w:sz w:val="21"/>
        </w:rPr>
        <w:t>The </w:t>
      </w:r>
      <w:r>
        <w:rPr>
          <w:spacing w:val="-3"/>
          <w:sz w:val="21"/>
        </w:rPr>
        <w:t>clearing </w:t>
      </w:r>
      <w:r>
        <w:rPr>
          <w:sz w:val="21"/>
        </w:rPr>
        <w:t>of vegetation in </w:t>
      </w:r>
      <w:r>
        <w:rPr>
          <w:spacing w:val="-3"/>
          <w:sz w:val="21"/>
        </w:rPr>
        <w:t>rural areas </w:t>
      </w:r>
      <w:r>
        <w:rPr>
          <w:sz w:val="21"/>
        </w:rPr>
        <w:t>is also addressed, with </w:t>
      </w:r>
      <w:r>
        <w:rPr>
          <w:spacing w:val="-3"/>
          <w:sz w:val="21"/>
        </w:rPr>
        <w:t>individuals  </w:t>
      </w:r>
      <w:r>
        <w:rPr>
          <w:sz w:val="21"/>
        </w:rPr>
        <w:t>advised </w:t>
      </w:r>
      <w:r>
        <w:rPr>
          <w:spacing w:val="-3"/>
          <w:sz w:val="21"/>
        </w:rPr>
        <w:t>to</w:t>
      </w:r>
      <w:r>
        <w:rPr>
          <w:spacing w:val="41"/>
          <w:sz w:val="21"/>
        </w:rPr>
        <w:t> </w:t>
      </w:r>
      <w:r>
        <w:rPr>
          <w:sz w:val="21"/>
        </w:rPr>
        <w:t>contact the </w:t>
      </w:r>
      <w:r>
        <w:rPr>
          <w:spacing w:val="-3"/>
          <w:sz w:val="21"/>
        </w:rPr>
        <w:t>Country Fire </w:t>
      </w:r>
      <w:r>
        <w:rPr>
          <w:sz w:val="21"/>
        </w:rPr>
        <w:t>Authority or the Metropolitan </w:t>
      </w:r>
      <w:r>
        <w:rPr>
          <w:spacing w:val="-3"/>
          <w:sz w:val="21"/>
        </w:rPr>
        <w:t>Fire </w:t>
      </w:r>
      <w:r>
        <w:rPr>
          <w:sz w:val="21"/>
        </w:rPr>
        <w:t>Brigade if they </w:t>
      </w:r>
      <w:r>
        <w:rPr>
          <w:spacing w:val="-3"/>
          <w:sz w:val="21"/>
        </w:rPr>
        <w:t>are concerned </w:t>
      </w:r>
      <w:r>
        <w:rPr>
          <w:sz w:val="21"/>
        </w:rPr>
        <w:t>about vegetation</w:t>
      </w:r>
      <w:r>
        <w:rPr>
          <w:spacing w:val="11"/>
          <w:sz w:val="21"/>
        </w:rPr>
        <w:t> </w:t>
      </w:r>
      <w:r>
        <w:rPr>
          <w:sz w:val="21"/>
        </w:rPr>
        <w:t>on</w:t>
      </w:r>
      <w:r>
        <w:rPr>
          <w:spacing w:val="11"/>
          <w:sz w:val="21"/>
        </w:rPr>
        <w:t> </w:t>
      </w:r>
      <w:r>
        <w:rPr>
          <w:spacing w:val="-3"/>
          <w:sz w:val="21"/>
        </w:rPr>
        <w:t>neighbouring</w:t>
      </w:r>
      <w:r>
        <w:rPr>
          <w:spacing w:val="11"/>
          <w:sz w:val="21"/>
        </w:rPr>
        <w:t> </w:t>
      </w:r>
      <w:r>
        <w:rPr>
          <w:spacing w:val="-3"/>
          <w:sz w:val="21"/>
        </w:rPr>
        <w:t>land</w:t>
      </w:r>
      <w:r>
        <w:rPr>
          <w:spacing w:val="12"/>
          <w:sz w:val="21"/>
        </w:rPr>
        <w:t> </w:t>
      </w:r>
      <w:r>
        <w:rPr>
          <w:spacing w:val="-3"/>
          <w:sz w:val="21"/>
        </w:rPr>
        <w:t>posing</w:t>
      </w:r>
      <w:r>
        <w:rPr>
          <w:spacing w:val="11"/>
          <w:sz w:val="21"/>
        </w:rPr>
        <w:t> </w:t>
      </w:r>
      <w:r>
        <w:rPr>
          <w:sz w:val="21"/>
        </w:rPr>
        <w:t>a</w:t>
      </w:r>
      <w:r>
        <w:rPr>
          <w:spacing w:val="11"/>
          <w:sz w:val="21"/>
        </w:rPr>
        <w:t> </w:t>
      </w:r>
      <w:r>
        <w:rPr>
          <w:spacing w:val="-3"/>
          <w:sz w:val="21"/>
        </w:rPr>
        <w:t>bushfire</w:t>
      </w:r>
      <w:r>
        <w:rPr>
          <w:spacing w:val="12"/>
          <w:sz w:val="21"/>
        </w:rPr>
        <w:t> </w:t>
      </w:r>
      <w:r>
        <w:rPr>
          <w:spacing w:val="-3"/>
          <w:sz w:val="21"/>
        </w:rPr>
        <w:t>risk.</w:t>
      </w:r>
    </w:p>
    <w:p>
      <w:pPr>
        <w:pStyle w:val="ListParagraph"/>
        <w:numPr>
          <w:ilvl w:val="1"/>
          <w:numId w:val="16"/>
        </w:numPr>
        <w:tabs>
          <w:tab w:pos="2381" w:val="left" w:leader="none"/>
          <w:tab w:pos="2382" w:val="left" w:leader="none"/>
        </w:tabs>
        <w:spacing w:line="242" w:lineRule="auto" w:before="130" w:after="0"/>
        <w:ind w:left="2381" w:right="1586" w:hanging="794"/>
        <w:jc w:val="left"/>
        <w:rPr>
          <w:sz w:val="21"/>
        </w:rPr>
      </w:pPr>
      <w:r>
        <w:rPr>
          <w:w w:val="105"/>
          <w:sz w:val="21"/>
        </w:rPr>
        <w:t>Local </w:t>
      </w:r>
      <w:r>
        <w:rPr>
          <w:spacing w:val="-3"/>
          <w:w w:val="105"/>
          <w:sz w:val="21"/>
        </w:rPr>
        <w:t>council websites </w:t>
      </w:r>
      <w:r>
        <w:rPr>
          <w:w w:val="105"/>
          <w:sz w:val="21"/>
        </w:rPr>
        <w:t>and customer service </w:t>
      </w:r>
      <w:r>
        <w:rPr>
          <w:spacing w:val="-3"/>
          <w:w w:val="105"/>
          <w:sz w:val="21"/>
        </w:rPr>
        <w:t>centres </w:t>
      </w:r>
      <w:r>
        <w:rPr>
          <w:w w:val="105"/>
          <w:sz w:val="21"/>
        </w:rPr>
        <w:t>often provide a </w:t>
      </w:r>
      <w:r>
        <w:rPr>
          <w:spacing w:val="-3"/>
          <w:w w:val="105"/>
          <w:sz w:val="21"/>
        </w:rPr>
        <w:t>range </w:t>
      </w:r>
      <w:r>
        <w:rPr>
          <w:w w:val="105"/>
          <w:sz w:val="21"/>
        </w:rPr>
        <w:t>of </w:t>
      </w:r>
      <w:r>
        <w:rPr>
          <w:spacing w:val="-3"/>
          <w:w w:val="105"/>
          <w:sz w:val="21"/>
        </w:rPr>
        <w:t>information </w:t>
      </w:r>
      <w:r>
        <w:rPr>
          <w:w w:val="105"/>
          <w:sz w:val="21"/>
        </w:rPr>
        <w:t>and</w:t>
      </w:r>
      <w:r>
        <w:rPr>
          <w:spacing w:val="-6"/>
          <w:w w:val="105"/>
          <w:sz w:val="21"/>
        </w:rPr>
        <w:t> </w:t>
      </w:r>
      <w:r>
        <w:rPr>
          <w:w w:val="105"/>
          <w:sz w:val="21"/>
        </w:rPr>
        <w:t>links,</w:t>
      </w:r>
      <w:r>
        <w:rPr>
          <w:spacing w:val="-6"/>
          <w:w w:val="105"/>
          <w:sz w:val="21"/>
        </w:rPr>
        <w:t> </w:t>
      </w:r>
      <w:r>
        <w:rPr>
          <w:w w:val="105"/>
          <w:sz w:val="21"/>
        </w:rPr>
        <w:t>with</w:t>
      </w:r>
      <w:r>
        <w:rPr>
          <w:spacing w:val="-5"/>
          <w:w w:val="105"/>
          <w:sz w:val="21"/>
        </w:rPr>
        <w:t> </w:t>
      </w:r>
      <w:r>
        <w:rPr>
          <w:spacing w:val="-3"/>
          <w:w w:val="105"/>
          <w:sz w:val="21"/>
        </w:rPr>
        <w:t>significant</w:t>
      </w:r>
      <w:r>
        <w:rPr>
          <w:spacing w:val="-6"/>
          <w:w w:val="105"/>
          <w:sz w:val="21"/>
        </w:rPr>
        <w:t> </w:t>
      </w:r>
      <w:r>
        <w:rPr>
          <w:spacing w:val="-3"/>
          <w:w w:val="105"/>
          <w:sz w:val="21"/>
        </w:rPr>
        <w:t>variation</w:t>
      </w:r>
      <w:r>
        <w:rPr>
          <w:spacing w:val="-5"/>
          <w:w w:val="105"/>
          <w:sz w:val="21"/>
        </w:rPr>
        <w:t> </w:t>
      </w:r>
      <w:r>
        <w:rPr>
          <w:w w:val="105"/>
          <w:sz w:val="21"/>
        </w:rPr>
        <w:t>in</w:t>
      </w:r>
      <w:r>
        <w:rPr>
          <w:spacing w:val="-6"/>
          <w:w w:val="105"/>
          <w:sz w:val="21"/>
        </w:rPr>
        <w:t> </w:t>
      </w:r>
      <w:r>
        <w:rPr>
          <w:w w:val="105"/>
          <w:sz w:val="21"/>
        </w:rPr>
        <w:t>detail</w:t>
      </w:r>
      <w:r>
        <w:rPr>
          <w:spacing w:val="-6"/>
          <w:w w:val="105"/>
          <w:sz w:val="21"/>
        </w:rPr>
        <w:t> </w:t>
      </w:r>
      <w:r>
        <w:rPr>
          <w:w w:val="105"/>
          <w:sz w:val="21"/>
        </w:rPr>
        <w:t>between</w:t>
      </w:r>
      <w:r>
        <w:rPr>
          <w:spacing w:val="-5"/>
          <w:w w:val="105"/>
          <w:sz w:val="21"/>
        </w:rPr>
        <w:t> </w:t>
      </w:r>
      <w:r>
        <w:rPr>
          <w:spacing w:val="-3"/>
          <w:w w:val="105"/>
          <w:sz w:val="21"/>
        </w:rPr>
        <w:t>councils.</w:t>
      </w:r>
      <w:r>
        <w:rPr>
          <w:spacing w:val="-6"/>
          <w:w w:val="105"/>
          <w:sz w:val="21"/>
        </w:rPr>
        <w:t> </w:t>
      </w:r>
      <w:r>
        <w:rPr>
          <w:spacing w:val="-3"/>
          <w:w w:val="105"/>
          <w:sz w:val="21"/>
        </w:rPr>
        <w:t>Individuals</w:t>
      </w:r>
      <w:r>
        <w:rPr>
          <w:spacing w:val="-5"/>
          <w:w w:val="105"/>
          <w:sz w:val="21"/>
        </w:rPr>
        <w:t> </w:t>
      </w:r>
      <w:r>
        <w:rPr>
          <w:w w:val="105"/>
          <w:sz w:val="21"/>
        </w:rPr>
        <w:t>can</w:t>
      </w:r>
      <w:r>
        <w:rPr>
          <w:spacing w:val="-6"/>
          <w:w w:val="105"/>
          <w:sz w:val="21"/>
        </w:rPr>
        <w:t> </w:t>
      </w:r>
      <w:r>
        <w:rPr>
          <w:w w:val="105"/>
          <w:sz w:val="21"/>
        </w:rPr>
        <w:t>find</w:t>
      </w:r>
      <w:r>
        <w:rPr>
          <w:spacing w:val="-6"/>
          <w:w w:val="105"/>
          <w:sz w:val="21"/>
        </w:rPr>
        <w:t> </w:t>
      </w:r>
      <w:r>
        <w:rPr>
          <w:spacing w:val="-3"/>
          <w:w w:val="105"/>
          <w:sz w:val="21"/>
        </w:rPr>
        <w:t>relevant information </w:t>
      </w:r>
      <w:r>
        <w:rPr>
          <w:w w:val="105"/>
          <w:sz w:val="21"/>
        </w:rPr>
        <w:t>about their local </w:t>
      </w:r>
      <w:r>
        <w:rPr>
          <w:spacing w:val="-3"/>
          <w:w w:val="105"/>
          <w:sz w:val="21"/>
        </w:rPr>
        <w:t>council </w:t>
      </w:r>
      <w:r>
        <w:rPr>
          <w:w w:val="105"/>
          <w:sz w:val="21"/>
        </w:rPr>
        <w:t>on a dedicated </w:t>
      </w:r>
      <w:r>
        <w:rPr>
          <w:spacing w:val="-3"/>
          <w:w w:val="105"/>
          <w:sz w:val="21"/>
        </w:rPr>
        <w:t>government</w:t>
      </w:r>
      <w:r>
        <w:rPr>
          <w:spacing w:val="29"/>
          <w:w w:val="105"/>
          <w:sz w:val="21"/>
        </w:rPr>
        <w:t> </w:t>
      </w:r>
      <w:r>
        <w:rPr>
          <w:spacing w:val="-6"/>
          <w:w w:val="105"/>
          <w:sz w:val="21"/>
        </w:rPr>
        <w:t>website.</w:t>
      </w:r>
      <w:r>
        <w:rPr>
          <w:spacing w:val="-6"/>
          <w:w w:val="105"/>
          <w:position w:val="7"/>
          <w:sz w:val="12"/>
        </w:rPr>
        <w:t>17</w:t>
      </w:r>
    </w:p>
    <w:p>
      <w:pPr>
        <w:pStyle w:val="BodyText"/>
        <w:spacing w:before="3"/>
        <w:rPr>
          <w:sz w:val="20"/>
        </w:rPr>
      </w:pPr>
    </w:p>
    <w:p>
      <w:pPr>
        <w:pStyle w:val="Heading5"/>
      </w:pPr>
      <w:r>
        <w:rPr>
          <w:w w:val="115"/>
        </w:rPr>
        <w:t>Engaging an arborist</w:t>
      </w:r>
    </w:p>
    <w:p>
      <w:pPr>
        <w:pStyle w:val="ListParagraph"/>
        <w:numPr>
          <w:ilvl w:val="1"/>
          <w:numId w:val="16"/>
        </w:numPr>
        <w:tabs>
          <w:tab w:pos="2380" w:val="left" w:leader="none"/>
          <w:tab w:pos="2381" w:val="left" w:leader="none"/>
        </w:tabs>
        <w:spacing w:line="242" w:lineRule="auto" w:before="138" w:after="0"/>
        <w:ind w:left="2381" w:right="1802" w:hanging="794"/>
        <w:jc w:val="left"/>
        <w:rPr>
          <w:sz w:val="21"/>
        </w:rPr>
      </w:pPr>
      <w:r>
        <w:rPr>
          <w:w w:val="105"/>
          <w:sz w:val="21"/>
        </w:rPr>
        <w:t>The </w:t>
      </w:r>
      <w:r>
        <w:rPr>
          <w:spacing w:val="-3"/>
          <w:w w:val="105"/>
          <w:sz w:val="21"/>
        </w:rPr>
        <w:t>City </w:t>
      </w:r>
      <w:r>
        <w:rPr>
          <w:w w:val="105"/>
          <w:sz w:val="21"/>
        </w:rPr>
        <w:t>of Port </w:t>
      </w:r>
      <w:r>
        <w:rPr>
          <w:spacing w:val="-3"/>
          <w:w w:val="105"/>
          <w:sz w:val="21"/>
        </w:rPr>
        <w:t>Phillip noted that </w:t>
      </w:r>
      <w:r>
        <w:rPr>
          <w:w w:val="105"/>
          <w:sz w:val="21"/>
        </w:rPr>
        <w:t>the community is </w:t>
      </w:r>
      <w:r>
        <w:rPr>
          <w:spacing w:val="-3"/>
          <w:w w:val="105"/>
          <w:sz w:val="21"/>
        </w:rPr>
        <w:t>generally unaware </w:t>
      </w:r>
      <w:r>
        <w:rPr>
          <w:w w:val="105"/>
          <w:sz w:val="21"/>
        </w:rPr>
        <w:t>of how </w:t>
      </w:r>
      <w:r>
        <w:rPr>
          <w:spacing w:val="-3"/>
          <w:w w:val="105"/>
          <w:sz w:val="21"/>
        </w:rPr>
        <w:t>to </w:t>
      </w:r>
      <w:r>
        <w:rPr>
          <w:w w:val="105"/>
          <w:sz w:val="21"/>
        </w:rPr>
        <w:t>obtain advice </w:t>
      </w:r>
      <w:r>
        <w:rPr>
          <w:spacing w:val="-3"/>
          <w:w w:val="105"/>
          <w:sz w:val="21"/>
        </w:rPr>
        <w:t>from </w:t>
      </w:r>
      <w:r>
        <w:rPr>
          <w:w w:val="105"/>
          <w:sz w:val="21"/>
        </w:rPr>
        <w:t>a suitably qualified</w:t>
      </w:r>
      <w:r>
        <w:rPr>
          <w:spacing w:val="25"/>
          <w:w w:val="105"/>
          <w:sz w:val="21"/>
        </w:rPr>
        <w:t> </w:t>
      </w:r>
      <w:r>
        <w:rPr>
          <w:spacing w:val="-5"/>
          <w:w w:val="105"/>
          <w:sz w:val="21"/>
        </w:rPr>
        <w:t>arborist.</w:t>
      </w:r>
      <w:r>
        <w:rPr>
          <w:spacing w:val="-5"/>
          <w:w w:val="105"/>
          <w:position w:val="7"/>
          <w:sz w:val="12"/>
        </w:rPr>
        <w:t>18</w:t>
      </w:r>
    </w:p>
    <w:p>
      <w:pPr>
        <w:pStyle w:val="ListParagraph"/>
        <w:numPr>
          <w:ilvl w:val="1"/>
          <w:numId w:val="16"/>
        </w:numPr>
        <w:tabs>
          <w:tab w:pos="2381" w:val="left" w:leader="none"/>
          <w:tab w:pos="2382" w:val="left" w:leader="none"/>
        </w:tabs>
        <w:spacing w:line="242" w:lineRule="auto" w:before="122" w:after="0"/>
        <w:ind w:left="2381" w:right="2012" w:hanging="794"/>
        <w:jc w:val="left"/>
        <w:rPr>
          <w:sz w:val="21"/>
        </w:rPr>
      </w:pPr>
      <w:r>
        <w:rPr>
          <w:spacing w:val="-3"/>
          <w:sz w:val="21"/>
        </w:rPr>
        <w:t>Many </w:t>
      </w:r>
      <w:r>
        <w:rPr>
          <w:sz w:val="21"/>
        </w:rPr>
        <w:t>people work in the tree care industry and some </w:t>
      </w:r>
      <w:r>
        <w:rPr>
          <w:spacing w:val="-3"/>
          <w:sz w:val="21"/>
        </w:rPr>
        <w:t>have </w:t>
      </w:r>
      <w:r>
        <w:rPr>
          <w:sz w:val="21"/>
        </w:rPr>
        <w:t>undertaken little or no </w:t>
      </w:r>
      <w:r>
        <w:rPr>
          <w:spacing w:val="-5"/>
          <w:sz w:val="21"/>
        </w:rPr>
        <w:t>training.</w:t>
      </w:r>
      <w:r>
        <w:rPr>
          <w:spacing w:val="-5"/>
          <w:position w:val="7"/>
          <w:sz w:val="12"/>
        </w:rPr>
        <w:t>19 </w:t>
      </w:r>
      <w:r>
        <w:rPr>
          <w:spacing w:val="-4"/>
          <w:sz w:val="21"/>
        </w:rPr>
        <w:t>However, </w:t>
      </w:r>
      <w:r>
        <w:rPr>
          <w:sz w:val="21"/>
        </w:rPr>
        <w:t>Dr Gregory Moore OAM </w:t>
      </w:r>
      <w:r>
        <w:rPr>
          <w:spacing w:val="-3"/>
          <w:sz w:val="21"/>
        </w:rPr>
        <w:t>noted that </w:t>
      </w:r>
      <w:r>
        <w:rPr>
          <w:sz w:val="21"/>
        </w:rPr>
        <w:t>arborists in  Victoria  </w:t>
      </w:r>
      <w:r>
        <w:rPr>
          <w:spacing w:val="-3"/>
          <w:sz w:val="21"/>
        </w:rPr>
        <w:t>are generally well trained. </w:t>
      </w:r>
      <w:r>
        <w:rPr>
          <w:sz w:val="21"/>
        </w:rPr>
        <w:t>He suggested </w:t>
      </w:r>
      <w:r>
        <w:rPr>
          <w:spacing w:val="-3"/>
          <w:sz w:val="21"/>
        </w:rPr>
        <w:t>that </w:t>
      </w:r>
      <w:r>
        <w:rPr>
          <w:sz w:val="21"/>
        </w:rPr>
        <w:t>there </w:t>
      </w:r>
      <w:r>
        <w:rPr>
          <w:spacing w:val="-3"/>
          <w:sz w:val="21"/>
        </w:rPr>
        <w:t>are approximately </w:t>
      </w:r>
      <w:r>
        <w:rPr>
          <w:sz w:val="21"/>
        </w:rPr>
        <w:t>1000 arborists with </w:t>
      </w:r>
      <w:r>
        <w:rPr>
          <w:spacing w:val="-3"/>
          <w:sz w:val="21"/>
        </w:rPr>
        <w:t>qualifications </w:t>
      </w:r>
      <w:r>
        <w:rPr>
          <w:sz w:val="21"/>
        </w:rPr>
        <w:t>of level 4 or</w:t>
      </w:r>
      <w:r>
        <w:rPr>
          <w:spacing w:val="47"/>
          <w:sz w:val="21"/>
        </w:rPr>
        <w:t> </w:t>
      </w:r>
      <w:r>
        <w:rPr>
          <w:sz w:val="21"/>
        </w:rPr>
        <w:t>above.</w:t>
      </w:r>
      <w:r>
        <w:rPr>
          <w:position w:val="7"/>
          <w:sz w:val="12"/>
        </w:rPr>
        <w:t>20</w:t>
      </w:r>
    </w:p>
    <w:p>
      <w:pPr>
        <w:pStyle w:val="ListParagraph"/>
        <w:numPr>
          <w:ilvl w:val="1"/>
          <w:numId w:val="16"/>
        </w:numPr>
        <w:tabs>
          <w:tab w:pos="2381" w:val="left" w:leader="none"/>
          <w:tab w:pos="2382" w:val="left" w:leader="none"/>
        </w:tabs>
        <w:spacing w:line="242" w:lineRule="auto" w:before="124" w:after="0"/>
        <w:ind w:left="2381" w:right="1790" w:hanging="794"/>
        <w:jc w:val="left"/>
        <w:rPr>
          <w:sz w:val="21"/>
        </w:rPr>
      </w:pPr>
      <w:r>
        <w:rPr>
          <w:spacing w:val="-3"/>
          <w:w w:val="105"/>
          <w:sz w:val="21"/>
        </w:rPr>
        <w:t>ENSPEC noted that </w:t>
      </w:r>
      <w:r>
        <w:rPr>
          <w:spacing w:val="-4"/>
          <w:w w:val="105"/>
          <w:sz w:val="21"/>
        </w:rPr>
        <w:t>‘arboriculture </w:t>
      </w:r>
      <w:r>
        <w:rPr>
          <w:w w:val="105"/>
          <w:sz w:val="21"/>
        </w:rPr>
        <w:t>is an </w:t>
      </w:r>
      <w:r>
        <w:rPr>
          <w:spacing w:val="-3"/>
          <w:w w:val="105"/>
          <w:sz w:val="21"/>
        </w:rPr>
        <w:t>unregulated profession, meaning that </w:t>
      </w:r>
      <w:r>
        <w:rPr>
          <w:w w:val="105"/>
          <w:sz w:val="21"/>
        </w:rPr>
        <w:t>there is a wide</w:t>
      </w:r>
      <w:r>
        <w:rPr>
          <w:spacing w:val="-7"/>
          <w:w w:val="105"/>
          <w:sz w:val="21"/>
        </w:rPr>
        <w:t> </w:t>
      </w:r>
      <w:r>
        <w:rPr>
          <w:spacing w:val="-3"/>
          <w:w w:val="105"/>
          <w:sz w:val="21"/>
        </w:rPr>
        <w:t>variation</w:t>
      </w:r>
      <w:r>
        <w:rPr>
          <w:spacing w:val="-7"/>
          <w:w w:val="105"/>
          <w:sz w:val="21"/>
        </w:rPr>
        <w:t> </w:t>
      </w:r>
      <w:r>
        <w:rPr>
          <w:w w:val="105"/>
          <w:sz w:val="21"/>
        </w:rPr>
        <w:t>in</w:t>
      </w:r>
      <w:r>
        <w:rPr>
          <w:spacing w:val="-7"/>
          <w:w w:val="105"/>
          <w:sz w:val="21"/>
        </w:rPr>
        <w:t> </w:t>
      </w:r>
      <w:r>
        <w:rPr>
          <w:w w:val="105"/>
          <w:sz w:val="21"/>
        </w:rPr>
        <w:t>the</w:t>
      </w:r>
      <w:r>
        <w:rPr>
          <w:spacing w:val="-7"/>
          <w:w w:val="105"/>
          <w:sz w:val="21"/>
        </w:rPr>
        <w:t> </w:t>
      </w:r>
      <w:r>
        <w:rPr>
          <w:w w:val="105"/>
          <w:sz w:val="21"/>
        </w:rPr>
        <w:t>quality</w:t>
      </w:r>
      <w:r>
        <w:rPr>
          <w:spacing w:val="-7"/>
          <w:w w:val="105"/>
          <w:sz w:val="21"/>
        </w:rPr>
        <w:t> </w:t>
      </w:r>
      <w:r>
        <w:rPr>
          <w:w w:val="105"/>
          <w:sz w:val="21"/>
        </w:rPr>
        <w:t>of</w:t>
      </w:r>
      <w:r>
        <w:rPr>
          <w:spacing w:val="-7"/>
          <w:w w:val="105"/>
          <w:sz w:val="21"/>
        </w:rPr>
        <w:t> </w:t>
      </w:r>
      <w:r>
        <w:rPr>
          <w:spacing w:val="-3"/>
          <w:w w:val="105"/>
          <w:sz w:val="21"/>
        </w:rPr>
        <w:t>training,</w:t>
      </w:r>
      <w:r>
        <w:rPr>
          <w:spacing w:val="-7"/>
          <w:w w:val="105"/>
          <w:sz w:val="21"/>
        </w:rPr>
        <w:t> </w:t>
      </w:r>
      <w:r>
        <w:rPr>
          <w:w w:val="105"/>
          <w:sz w:val="21"/>
        </w:rPr>
        <w:t>experience</w:t>
      </w:r>
      <w:r>
        <w:rPr>
          <w:spacing w:val="-7"/>
          <w:w w:val="105"/>
          <w:sz w:val="21"/>
        </w:rPr>
        <w:t> </w:t>
      </w:r>
      <w:r>
        <w:rPr>
          <w:w w:val="105"/>
          <w:sz w:val="21"/>
        </w:rPr>
        <w:t>and</w:t>
      </w:r>
      <w:r>
        <w:rPr>
          <w:spacing w:val="-7"/>
          <w:w w:val="105"/>
          <w:sz w:val="21"/>
        </w:rPr>
        <w:t> </w:t>
      </w:r>
      <w:r>
        <w:rPr>
          <w:w w:val="105"/>
          <w:sz w:val="21"/>
        </w:rPr>
        <w:t>up-to-date</w:t>
      </w:r>
      <w:r>
        <w:rPr>
          <w:spacing w:val="-6"/>
          <w:w w:val="105"/>
          <w:sz w:val="21"/>
        </w:rPr>
        <w:t> </w:t>
      </w:r>
      <w:r>
        <w:rPr>
          <w:w w:val="105"/>
          <w:sz w:val="21"/>
        </w:rPr>
        <w:t>knowledge</w:t>
      </w:r>
      <w:r>
        <w:rPr>
          <w:spacing w:val="-7"/>
          <w:w w:val="105"/>
          <w:sz w:val="21"/>
        </w:rPr>
        <w:t> </w:t>
      </w:r>
      <w:r>
        <w:rPr>
          <w:w w:val="105"/>
          <w:sz w:val="21"/>
        </w:rPr>
        <w:t>amongst practitioners. There is also no </w:t>
      </w:r>
      <w:r>
        <w:rPr>
          <w:spacing w:val="-3"/>
          <w:w w:val="105"/>
          <w:sz w:val="21"/>
        </w:rPr>
        <w:t>professional </w:t>
      </w:r>
      <w:r>
        <w:rPr>
          <w:w w:val="105"/>
          <w:sz w:val="21"/>
        </w:rPr>
        <w:t>recourse </w:t>
      </w:r>
      <w:r>
        <w:rPr>
          <w:spacing w:val="-3"/>
          <w:w w:val="105"/>
          <w:sz w:val="21"/>
        </w:rPr>
        <w:t>to </w:t>
      </w:r>
      <w:r>
        <w:rPr>
          <w:w w:val="105"/>
          <w:sz w:val="21"/>
        </w:rPr>
        <w:t>address </w:t>
      </w:r>
      <w:r>
        <w:rPr>
          <w:spacing w:val="-3"/>
          <w:w w:val="105"/>
          <w:sz w:val="21"/>
        </w:rPr>
        <w:t>unethical </w:t>
      </w:r>
      <w:r>
        <w:rPr>
          <w:w w:val="105"/>
          <w:sz w:val="21"/>
        </w:rPr>
        <w:t>behaviour as there is in </w:t>
      </w:r>
      <w:r>
        <w:rPr>
          <w:spacing w:val="-3"/>
          <w:w w:val="105"/>
          <w:sz w:val="21"/>
        </w:rPr>
        <w:t>licenced </w:t>
      </w:r>
      <w:r>
        <w:rPr>
          <w:spacing w:val="-4"/>
          <w:w w:val="105"/>
          <w:sz w:val="21"/>
        </w:rPr>
        <w:t>professions.’</w:t>
      </w:r>
      <w:r>
        <w:rPr>
          <w:spacing w:val="-4"/>
          <w:w w:val="105"/>
          <w:position w:val="7"/>
          <w:sz w:val="12"/>
        </w:rPr>
        <w:t>21 </w:t>
      </w:r>
      <w:r>
        <w:rPr>
          <w:spacing w:val="-3"/>
          <w:w w:val="105"/>
          <w:sz w:val="21"/>
        </w:rPr>
        <w:t>Arboriculture Australia, </w:t>
      </w:r>
      <w:r>
        <w:rPr>
          <w:w w:val="105"/>
          <w:sz w:val="21"/>
        </w:rPr>
        <w:t>the </w:t>
      </w:r>
      <w:r>
        <w:rPr>
          <w:spacing w:val="-3"/>
          <w:w w:val="105"/>
          <w:sz w:val="21"/>
        </w:rPr>
        <w:t>national </w:t>
      </w:r>
      <w:r>
        <w:rPr>
          <w:w w:val="105"/>
          <w:sz w:val="21"/>
        </w:rPr>
        <w:t>peak body </w:t>
      </w:r>
      <w:r>
        <w:rPr>
          <w:spacing w:val="-3"/>
          <w:w w:val="105"/>
          <w:sz w:val="21"/>
        </w:rPr>
        <w:t>for </w:t>
      </w:r>
      <w:r>
        <w:rPr>
          <w:w w:val="105"/>
          <w:sz w:val="21"/>
        </w:rPr>
        <w:t>arborists,</w:t>
      </w:r>
      <w:r>
        <w:rPr>
          <w:spacing w:val="-8"/>
          <w:w w:val="105"/>
          <w:sz w:val="21"/>
        </w:rPr>
        <w:t> </w:t>
      </w:r>
      <w:r>
        <w:rPr>
          <w:spacing w:val="-2"/>
          <w:w w:val="105"/>
          <w:sz w:val="21"/>
        </w:rPr>
        <w:t>has</w:t>
      </w:r>
      <w:r>
        <w:rPr>
          <w:spacing w:val="-7"/>
          <w:w w:val="105"/>
          <w:sz w:val="21"/>
        </w:rPr>
        <w:t> </w:t>
      </w:r>
      <w:r>
        <w:rPr>
          <w:spacing w:val="-3"/>
          <w:w w:val="105"/>
          <w:sz w:val="21"/>
        </w:rPr>
        <w:t>introduced</w:t>
      </w:r>
      <w:r>
        <w:rPr>
          <w:spacing w:val="-7"/>
          <w:w w:val="105"/>
          <w:sz w:val="21"/>
        </w:rPr>
        <w:t> </w:t>
      </w:r>
      <w:r>
        <w:rPr>
          <w:w w:val="105"/>
          <w:sz w:val="21"/>
        </w:rPr>
        <w:t>a</w:t>
      </w:r>
      <w:r>
        <w:rPr>
          <w:spacing w:val="-7"/>
          <w:w w:val="105"/>
          <w:sz w:val="21"/>
        </w:rPr>
        <w:t> </w:t>
      </w:r>
      <w:r>
        <w:rPr>
          <w:w w:val="105"/>
          <w:sz w:val="21"/>
        </w:rPr>
        <w:t>voluntary</w:t>
      </w:r>
      <w:r>
        <w:rPr>
          <w:spacing w:val="-8"/>
          <w:w w:val="105"/>
          <w:sz w:val="21"/>
        </w:rPr>
        <w:t> </w:t>
      </w:r>
      <w:r>
        <w:rPr>
          <w:w w:val="105"/>
          <w:sz w:val="21"/>
        </w:rPr>
        <w:t>industry</w:t>
      </w:r>
      <w:r>
        <w:rPr>
          <w:spacing w:val="-7"/>
          <w:w w:val="105"/>
          <w:sz w:val="21"/>
        </w:rPr>
        <w:t> </w:t>
      </w:r>
      <w:r>
        <w:rPr>
          <w:spacing w:val="-3"/>
          <w:w w:val="105"/>
          <w:sz w:val="21"/>
        </w:rPr>
        <w:t>licence</w:t>
      </w:r>
      <w:r>
        <w:rPr>
          <w:spacing w:val="-7"/>
          <w:w w:val="105"/>
          <w:sz w:val="21"/>
        </w:rPr>
        <w:t> </w:t>
      </w:r>
      <w:r>
        <w:rPr>
          <w:spacing w:val="-3"/>
          <w:w w:val="105"/>
          <w:sz w:val="21"/>
        </w:rPr>
        <w:t>to</w:t>
      </w:r>
      <w:r>
        <w:rPr>
          <w:spacing w:val="-7"/>
          <w:w w:val="105"/>
          <w:sz w:val="21"/>
        </w:rPr>
        <w:t> </w:t>
      </w:r>
      <w:r>
        <w:rPr>
          <w:spacing w:val="-3"/>
          <w:w w:val="105"/>
          <w:sz w:val="21"/>
        </w:rPr>
        <w:t>promote</w:t>
      </w:r>
      <w:r>
        <w:rPr>
          <w:spacing w:val="-8"/>
          <w:w w:val="105"/>
          <w:sz w:val="21"/>
        </w:rPr>
        <w:t> </w:t>
      </w:r>
      <w:r>
        <w:rPr>
          <w:w w:val="105"/>
          <w:sz w:val="21"/>
        </w:rPr>
        <w:t>quality</w:t>
      </w:r>
      <w:r>
        <w:rPr>
          <w:spacing w:val="-7"/>
          <w:w w:val="105"/>
          <w:sz w:val="21"/>
        </w:rPr>
        <w:t> </w:t>
      </w:r>
      <w:r>
        <w:rPr>
          <w:w w:val="105"/>
          <w:sz w:val="21"/>
        </w:rPr>
        <w:t>of</w:t>
      </w:r>
      <w:r>
        <w:rPr>
          <w:spacing w:val="-7"/>
          <w:w w:val="105"/>
          <w:sz w:val="21"/>
        </w:rPr>
        <w:t> </w:t>
      </w:r>
      <w:r>
        <w:rPr>
          <w:w w:val="105"/>
          <w:sz w:val="21"/>
        </w:rPr>
        <w:t>practice.</w:t>
      </w:r>
      <w:r>
        <w:rPr>
          <w:w w:val="105"/>
          <w:position w:val="7"/>
          <w:sz w:val="12"/>
        </w:rPr>
        <w:t>22</w:t>
      </w:r>
    </w:p>
    <w:p>
      <w:pPr>
        <w:pStyle w:val="ListParagraph"/>
        <w:numPr>
          <w:ilvl w:val="1"/>
          <w:numId w:val="16"/>
        </w:numPr>
        <w:tabs>
          <w:tab w:pos="2381" w:val="left" w:leader="none"/>
          <w:tab w:pos="2382" w:val="left" w:leader="none"/>
        </w:tabs>
        <w:spacing w:line="242" w:lineRule="auto" w:before="126" w:after="0"/>
        <w:ind w:left="2381" w:right="1739" w:hanging="794"/>
        <w:jc w:val="left"/>
        <w:rPr>
          <w:sz w:val="21"/>
        </w:rPr>
      </w:pPr>
      <w:r>
        <w:rPr>
          <w:w w:val="105"/>
          <w:sz w:val="21"/>
        </w:rPr>
        <w:t>The</w:t>
      </w:r>
      <w:r>
        <w:rPr>
          <w:spacing w:val="-5"/>
          <w:w w:val="105"/>
          <w:sz w:val="21"/>
        </w:rPr>
        <w:t> </w:t>
      </w:r>
      <w:r>
        <w:rPr>
          <w:spacing w:val="-3"/>
          <w:w w:val="105"/>
          <w:sz w:val="21"/>
        </w:rPr>
        <w:t>City</w:t>
      </w:r>
      <w:r>
        <w:rPr>
          <w:spacing w:val="-4"/>
          <w:w w:val="105"/>
          <w:sz w:val="21"/>
        </w:rPr>
        <w:t> </w:t>
      </w:r>
      <w:r>
        <w:rPr>
          <w:w w:val="105"/>
          <w:sz w:val="21"/>
        </w:rPr>
        <w:t>of</w:t>
      </w:r>
      <w:r>
        <w:rPr>
          <w:spacing w:val="-4"/>
          <w:w w:val="105"/>
          <w:sz w:val="21"/>
        </w:rPr>
        <w:t> </w:t>
      </w:r>
      <w:r>
        <w:rPr>
          <w:w w:val="105"/>
          <w:sz w:val="21"/>
        </w:rPr>
        <w:t>Port</w:t>
      </w:r>
      <w:r>
        <w:rPr>
          <w:spacing w:val="-5"/>
          <w:w w:val="105"/>
          <w:sz w:val="21"/>
        </w:rPr>
        <w:t> </w:t>
      </w:r>
      <w:r>
        <w:rPr>
          <w:spacing w:val="-3"/>
          <w:w w:val="105"/>
          <w:sz w:val="21"/>
        </w:rPr>
        <w:t>Phillip</w:t>
      </w:r>
      <w:r>
        <w:rPr>
          <w:spacing w:val="-4"/>
          <w:w w:val="105"/>
          <w:sz w:val="21"/>
        </w:rPr>
        <w:t> </w:t>
      </w:r>
      <w:r>
        <w:rPr>
          <w:w w:val="105"/>
          <w:sz w:val="21"/>
        </w:rPr>
        <w:t>advises</w:t>
      </w:r>
      <w:r>
        <w:rPr>
          <w:spacing w:val="-5"/>
          <w:w w:val="105"/>
          <w:sz w:val="21"/>
        </w:rPr>
        <w:t> </w:t>
      </w:r>
      <w:r>
        <w:rPr>
          <w:w w:val="105"/>
          <w:sz w:val="21"/>
        </w:rPr>
        <w:t>the</w:t>
      </w:r>
      <w:r>
        <w:rPr>
          <w:spacing w:val="-4"/>
          <w:w w:val="105"/>
          <w:sz w:val="21"/>
        </w:rPr>
        <w:t> </w:t>
      </w:r>
      <w:r>
        <w:rPr>
          <w:w w:val="105"/>
          <w:sz w:val="21"/>
        </w:rPr>
        <w:t>community</w:t>
      </w:r>
      <w:r>
        <w:rPr>
          <w:spacing w:val="-4"/>
          <w:w w:val="105"/>
          <w:sz w:val="21"/>
        </w:rPr>
        <w:t> </w:t>
      </w:r>
      <w:r>
        <w:rPr>
          <w:spacing w:val="-3"/>
          <w:w w:val="105"/>
          <w:sz w:val="21"/>
        </w:rPr>
        <w:t>to</w:t>
      </w:r>
      <w:r>
        <w:rPr>
          <w:spacing w:val="-5"/>
          <w:w w:val="105"/>
          <w:sz w:val="21"/>
        </w:rPr>
        <w:t> </w:t>
      </w:r>
      <w:r>
        <w:rPr>
          <w:w w:val="105"/>
          <w:sz w:val="21"/>
        </w:rPr>
        <w:t>‘be</w:t>
      </w:r>
      <w:r>
        <w:rPr>
          <w:spacing w:val="-4"/>
          <w:w w:val="105"/>
          <w:sz w:val="21"/>
        </w:rPr>
        <w:t> </w:t>
      </w:r>
      <w:r>
        <w:rPr>
          <w:spacing w:val="-3"/>
          <w:w w:val="105"/>
          <w:sz w:val="21"/>
        </w:rPr>
        <w:t>aware</w:t>
      </w:r>
      <w:r>
        <w:rPr>
          <w:spacing w:val="-4"/>
          <w:w w:val="105"/>
          <w:sz w:val="21"/>
        </w:rPr>
        <w:t> </w:t>
      </w:r>
      <w:r>
        <w:rPr>
          <w:w w:val="105"/>
          <w:sz w:val="21"/>
        </w:rPr>
        <w:t>of</w:t>
      </w:r>
      <w:r>
        <w:rPr>
          <w:spacing w:val="-5"/>
          <w:w w:val="105"/>
          <w:sz w:val="21"/>
        </w:rPr>
        <w:t> </w:t>
      </w:r>
      <w:r>
        <w:rPr>
          <w:spacing w:val="-3"/>
          <w:w w:val="105"/>
          <w:sz w:val="21"/>
        </w:rPr>
        <w:t>unsolicited</w:t>
      </w:r>
      <w:r>
        <w:rPr>
          <w:spacing w:val="-4"/>
          <w:w w:val="105"/>
          <w:sz w:val="21"/>
        </w:rPr>
        <w:t> </w:t>
      </w:r>
      <w:r>
        <w:rPr>
          <w:w w:val="105"/>
          <w:sz w:val="21"/>
        </w:rPr>
        <w:t>door</w:t>
      </w:r>
      <w:r>
        <w:rPr>
          <w:spacing w:val="-4"/>
          <w:w w:val="105"/>
          <w:sz w:val="21"/>
        </w:rPr>
        <w:t> </w:t>
      </w:r>
      <w:r>
        <w:rPr>
          <w:spacing w:val="-3"/>
          <w:w w:val="105"/>
          <w:sz w:val="21"/>
        </w:rPr>
        <w:t>knockers’ </w:t>
      </w:r>
      <w:r>
        <w:rPr>
          <w:w w:val="105"/>
          <w:sz w:val="21"/>
        </w:rPr>
        <w:t>who </w:t>
      </w:r>
      <w:r>
        <w:rPr>
          <w:spacing w:val="-3"/>
          <w:w w:val="105"/>
          <w:sz w:val="21"/>
        </w:rPr>
        <w:t>are usually ‘unqualified </w:t>
      </w:r>
      <w:r>
        <w:rPr>
          <w:w w:val="105"/>
          <w:sz w:val="21"/>
        </w:rPr>
        <w:t>tree loppers who try </w:t>
      </w:r>
      <w:r>
        <w:rPr>
          <w:spacing w:val="-3"/>
          <w:w w:val="105"/>
          <w:sz w:val="21"/>
        </w:rPr>
        <w:t>to intimidate </w:t>
      </w:r>
      <w:r>
        <w:rPr>
          <w:w w:val="105"/>
          <w:sz w:val="21"/>
        </w:rPr>
        <w:t>people </w:t>
      </w:r>
      <w:r>
        <w:rPr>
          <w:w w:val="115"/>
          <w:sz w:val="21"/>
        </w:rPr>
        <w:t>… </w:t>
      </w:r>
      <w:r>
        <w:rPr>
          <w:spacing w:val="-4"/>
          <w:w w:val="105"/>
          <w:sz w:val="21"/>
        </w:rPr>
        <w:t>into </w:t>
      </w:r>
      <w:r>
        <w:rPr>
          <w:spacing w:val="-3"/>
          <w:w w:val="105"/>
          <w:sz w:val="21"/>
        </w:rPr>
        <w:t>removing healthy</w:t>
      </w:r>
      <w:r>
        <w:rPr>
          <w:spacing w:val="5"/>
          <w:w w:val="105"/>
          <w:sz w:val="21"/>
        </w:rPr>
        <w:t> </w:t>
      </w:r>
      <w:r>
        <w:rPr>
          <w:spacing w:val="-4"/>
          <w:w w:val="105"/>
          <w:sz w:val="21"/>
        </w:rPr>
        <w:t>trees’.</w:t>
      </w:r>
      <w:r>
        <w:rPr>
          <w:spacing w:val="-4"/>
          <w:w w:val="105"/>
          <w:position w:val="7"/>
          <w:sz w:val="12"/>
        </w:rPr>
        <w:t>23</w:t>
      </w:r>
    </w:p>
    <w:p>
      <w:pPr>
        <w:pStyle w:val="ListParagraph"/>
        <w:numPr>
          <w:ilvl w:val="1"/>
          <w:numId w:val="16"/>
        </w:numPr>
        <w:tabs>
          <w:tab w:pos="2381" w:val="left" w:leader="none"/>
          <w:tab w:pos="2382" w:val="left" w:leader="none"/>
        </w:tabs>
        <w:spacing w:line="242" w:lineRule="auto" w:before="123" w:after="0"/>
        <w:ind w:left="2381" w:right="1891" w:hanging="794"/>
        <w:jc w:val="left"/>
        <w:rPr>
          <w:sz w:val="21"/>
        </w:rPr>
      </w:pPr>
      <w:r>
        <w:rPr>
          <w:w w:val="105"/>
          <w:sz w:val="21"/>
        </w:rPr>
        <w:t>Arborist</w:t>
      </w:r>
      <w:r>
        <w:rPr>
          <w:spacing w:val="-10"/>
          <w:w w:val="105"/>
          <w:sz w:val="21"/>
        </w:rPr>
        <w:t> </w:t>
      </w:r>
      <w:r>
        <w:rPr>
          <w:w w:val="105"/>
          <w:sz w:val="21"/>
        </w:rPr>
        <w:t>Robert</w:t>
      </w:r>
      <w:r>
        <w:rPr>
          <w:spacing w:val="-10"/>
          <w:w w:val="105"/>
          <w:sz w:val="21"/>
        </w:rPr>
        <w:t> </w:t>
      </w:r>
      <w:r>
        <w:rPr>
          <w:w w:val="105"/>
          <w:sz w:val="21"/>
        </w:rPr>
        <w:t>Mineo</w:t>
      </w:r>
      <w:r>
        <w:rPr>
          <w:spacing w:val="-10"/>
          <w:w w:val="105"/>
          <w:sz w:val="21"/>
        </w:rPr>
        <w:t> </w:t>
      </w:r>
      <w:r>
        <w:rPr>
          <w:spacing w:val="-3"/>
          <w:w w:val="105"/>
          <w:sz w:val="21"/>
        </w:rPr>
        <w:t>commented</w:t>
      </w:r>
      <w:r>
        <w:rPr>
          <w:spacing w:val="-10"/>
          <w:w w:val="105"/>
          <w:sz w:val="21"/>
        </w:rPr>
        <w:t> </w:t>
      </w:r>
      <w:r>
        <w:rPr>
          <w:spacing w:val="-3"/>
          <w:w w:val="105"/>
          <w:sz w:val="21"/>
        </w:rPr>
        <w:t>that</w:t>
      </w:r>
      <w:r>
        <w:rPr>
          <w:spacing w:val="-10"/>
          <w:w w:val="105"/>
          <w:sz w:val="21"/>
        </w:rPr>
        <w:t> </w:t>
      </w:r>
      <w:r>
        <w:rPr>
          <w:w w:val="105"/>
          <w:sz w:val="21"/>
        </w:rPr>
        <w:t>the</w:t>
      </w:r>
      <w:r>
        <w:rPr>
          <w:spacing w:val="-9"/>
          <w:w w:val="105"/>
          <w:sz w:val="21"/>
        </w:rPr>
        <w:t> </w:t>
      </w:r>
      <w:r>
        <w:rPr>
          <w:w w:val="105"/>
          <w:sz w:val="21"/>
        </w:rPr>
        <w:t>community</w:t>
      </w:r>
      <w:r>
        <w:rPr>
          <w:spacing w:val="-10"/>
          <w:w w:val="105"/>
          <w:sz w:val="21"/>
        </w:rPr>
        <w:t> </w:t>
      </w:r>
      <w:r>
        <w:rPr>
          <w:w w:val="105"/>
          <w:sz w:val="21"/>
        </w:rPr>
        <w:t>does</w:t>
      </w:r>
      <w:r>
        <w:rPr>
          <w:spacing w:val="-10"/>
          <w:w w:val="105"/>
          <w:sz w:val="21"/>
        </w:rPr>
        <w:t> </w:t>
      </w:r>
      <w:r>
        <w:rPr>
          <w:spacing w:val="-2"/>
          <w:w w:val="105"/>
          <w:sz w:val="21"/>
        </w:rPr>
        <w:t>not</w:t>
      </w:r>
      <w:r>
        <w:rPr>
          <w:spacing w:val="-10"/>
          <w:w w:val="105"/>
          <w:sz w:val="21"/>
        </w:rPr>
        <w:t> </w:t>
      </w:r>
      <w:r>
        <w:rPr>
          <w:spacing w:val="-3"/>
          <w:w w:val="105"/>
          <w:sz w:val="21"/>
        </w:rPr>
        <w:t>generally</w:t>
      </w:r>
      <w:r>
        <w:rPr>
          <w:spacing w:val="-10"/>
          <w:w w:val="105"/>
          <w:sz w:val="21"/>
        </w:rPr>
        <w:t> </w:t>
      </w:r>
      <w:r>
        <w:rPr>
          <w:w w:val="105"/>
          <w:sz w:val="21"/>
        </w:rPr>
        <w:t>understand the </w:t>
      </w:r>
      <w:r>
        <w:rPr>
          <w:spacing w:val="-3"/>
          <w:w w:val="105"/>
          <w:sz w:val="21"/>
        </w:rPr>
        <w:t>different </w:t>
      </w:r>
      <w:r>
        <w:rPr>
          <w:spacing w:val="-2"/>
          <w:w w:val="105"/>
          <w:sz w:val="21"/>
        </w:rPr>
        <w:t>qualification </w:t>
      </w:r>
      <w:r>
        <w:rPr>
          <w:spacing w:val="-3"/>
          <w:w w:val="105"/>
          <w:sz w:val="21"/>
        </w:rPr>
        <w:t>levels </w:t>
      </w:r>
      <w:r>
        <w:rPr>
          <w:w w:val="105"/>
          <w:sz w:val="21"/>
        </w:rPr>
        <w:t>of</w:t>
      </w:r>
      <w:r>
        <w:rPr>
          <w:spacing w:val="29"/>
          <w:w w:val="105"/>
          <w:sz w:val="21"/>
        </w:rPr>
        <w:t> </w:t>
      </w:r>
      <w:r>
        <w:rPr>
          <w:w w:val="105"/>
          <w:sz w:val="21"/>
        </w:rPr>
        <w:t>arborists.</w:t>
      </w:r>
      <w:r>
        <w:rPr>
          <w:w w:val="105"/>
          <w:position w:val="7"/>
          <w:sz w:val="12"/>
        </w:rPr>
        <w:t>24</w:t>
      </w:r>
    </w:p>
    <w:p>
      <w:pPr>
        <w:pStyle w:val="BodyText"/>
        <w:rPr>
          <w:sz w:val="20"/>
        </w:rPr>
      </w:pPr>
    </w:p>
    <w:p>
      <w:pPr>
        <w:pStyle w:val="BodyText"/>
        <w:rPr>
          <w:sz w:val="20"/>
        </w:rPr>
      </w:pPr>
    </w:p>
    <w:p>
      <w:pPr>
        <w:pStyle w:val="BodyText"/>
        <w:spacing w:before="10"/>
        <w:rPr>
          <w:sz w:val="22"/>
        </w:rPr>
      </w:pPr>
      <w:r>
        <w:rPr/>
        <w:pict>
          <v:line style="position:absolute;mso-position-horizontal-relative:page;mso-position-vertical-relative:paragraph;z-index:11504;mso-wrap-distance-left:0;mso-wrap-distance-right:0" from="79.370102pt,16.408405pt" to="515.905102pt,16.40840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38"/>
        </w:rPr>
      </w:pPr>
    </w:p>
    <w:p>
      <w:pPr>
        <w:spacing w:before="0"/>
        <w:ind w:left="720" w:right="0" w:firstLine="0"/>
        <w:jc w:val="left"/>
        <w:rPr>
          <w:b/>
          <w:sz w:val="24"/>
        </w:rPr>
      </w:pPr>
      <w:r>
        <w:rPr>
          <w:b/>
          <w:color w:val="658464"/>
          <w:spacing w:val="-3"/>
          <w:w w:val="110"/>
          <w:sz w:val="24"/>
        </w:rPr>
        <w:t>278</w:t>
      </w:r>
    </w:p>
    <w:p>
      <w:pPr>
        <w:pStyle w:val="ListParagraph"/>
        <w:numPr>
          <w:ilvl w:val="0"/>
          <w:numId w:val="199"/>
        </w:numPr>
        <w:tabs>
          <w:tab w:pos="1227" w:val="left" w:leader="none"/>
          <w:tab w:pos="1228" w:val="left" w:leader="none"/>
        </w:tabs>
        <w:spacing w:line="240" w:lineRule="auto" w:before="48" w:after="0"/>
        <w:ind w:left="1227" w:right="1908" w:hanging="794"/>
        <w:jc w:val="left"/>
        <w:rPr>
          <w:sz w:val="13"/>
        </w:rPr>
      </w:pPr>
      <w:r>
        <w:rPr>
          <w:spacing w:val="1"/>
          <w:w w:val="96"/>
          <w:sz w:val="13"/>
        </w:rPr>
        <w:br w:type="column"/>
      </w:r>
      <w:r>
        <w:rPr>
          <w:w w:val="105"/>
          <w:sz w:val="13"/>
        </w:rPr>
        <w:t>Peter Cotter, ‘Neighbour Disputes’ in Naomi Saligari </w:t>
      </w:r>
      <w:r>
        <w:rPr>
          <w:spacing w:val="2"/>
          <w:w w:val="105"/>
          <w:sz w:val="13"/>
        </w:rPr>
        <w:t>(ed), </w:t>
      </w:r>
      <w:r>
        <w:rPr>
          <w:i/>
          <w:w w:val="105"/>
          <w:sz w:val="13"/>
        </w:rPr>
        <w:t>The Law Handbook 2019: Your Practical Guide to the Law in Victoria </w:t>
      </w:r>
      <w:r>
        <w:rPr>
          <w:w w:val="105"/>
          <w:sz w:val="13"/>
        </w:rPr>
        <w:t>(Fitzroy Legal Service, </w:t>
      </w:r>
      <w:r>
        <w:rPr>
          <w:spacing w:val="-3"/>
          <w:w w:val="105"/>
          <w:sz w:val="13"/>
        </w:rPr>
        <w:t>41st </w:t>
      </w:r>
      <w:r>
        <w:rPr>
          <w:w w:val="105"/>
          <w:sz w:val="13"/>
        </w:rPr>
        <w:t>ed, 2019)</w:t>
      </w:r>
      <w:r>
        <w:rPr>
          <w:spacing w:val="26"/>
          <w:w w:val="105"/>
          <w:sz w:val="13"/>
        </w:rPr>
        <w:t> </w:t>
      </w:r>
      <w:r>
        <w:rPr>
          <w:w w:val="105"/>
          <w:sz w:val="13"/>
        </w:rPr>
        <w:t>539.</w:t>
      </w:r>
    </w:p>
    <w:p>
      <w:pPr>
        <w:tabs>
          <w:tab w:pos="1227" w:val="left" w:leader="none"/>
        </w:tabs>
        <w:spacing w:before="3"/>
        <w:ind w:left="433" w:right="0" w:firstLine="0"/>
        <w:jc w:val="left"/>
        <w:rPr>
          <w:sz w:val="13"/>
        </w:rPr>
      </w:pPr>
      <w:r>
        <w:rPr>
          <w:spacing w:val="-3"/>
          <w:w w:val="105"/>
          <w:sz w:val="13"/>
        </w:rPr>
        <w:t>14</w:t>
        <w:tab/>
      </w:r>
      <w:r>
        <w:rPr>
          <w:w w:val="105"/>
          <w:sz w:val="13"/>
        </w:rPr>
        <w:t>Ibid</w:t>
      </w:r>
      <w:r>
        <w:rPr>
          <w:spacing w:val="4"/>
          <w:w w:val="105"/>
          <w:sz w:val="13"/>
        </w:rPr>
        <w:t> </w:t>
      </w:r>
      <w:r>
        <w:rPr>
          <w:w w:val="105"/>
          <w:sz w:val="13"/>
        </w:rPr>
        <w:t>542–3.</w:t>
      </w:r>
    </w:p>
    <w:p>
      <w:pPr>
        <w:pStyle w:val="ListParagraph"/>
        <w:numPr>
          <w:ilvl w:val="0"/>
          <w:numId w:val="200"/>
        </w:numPr>
        <w:tabs>
          <w:tab w:pos="1227" w:val="left" w:leader="none"/>
          <w:tab w:pos="1228" w:val="left" w:leader="none"/>
        </w:tabs>
        <w:spacing w:line="240" w:lineRule="auto" w:before="1" w:after="0"/>
        <w:ind w:left="1227" w:right="0" w:hanging="794"/>
        <w:jc w:val="left"/>
        <w:rPr>
          <w:sz w:val="13"/>
        </w:rPr>
      </w:pPr>
      <w:r>
        <w:rPr>
          <w:sz w:val="13"/>
        </w:rPr>
        <w:t>Ibid.</w:t>
      </w:r>
    </w:p>
    <w:p>
      <w:pPr>
        <w:pStyle w:val="ListParagraph"/>
        <w:numPr>
          <w:ilvl w:val="0"/>
          <w:numId w:val="200"/>
        </w:numPr>
        <w:tabs>
          <w:tab w:pos="1227" w:val="left" w:leader="none"/>
          <w:tab w:pos="1228" w:val="left" w:leader="none"/>
        </w:tabs>
        <w:spacing w:line="240" w:lineRule="auto" w:before="1" w:after="0"/>
        <w:ind w:left="1227" w:right="1953" w:hanging="794"/>
        <w:jc w:val="left"/>
        <w:rPr>
          <w:sz w:val="13"/>
        </w:rPr>
      </w:pPr>
      <w:r>
        <w:rPr>
          <w:w w:val="105"/>
          <w:sz w:val="13"/>
        </w:rPr>
        <w:t>Victoria Law Foundation, </w:t>
      </w:r>
      <w:r>
        <w:rPr>
          <w:i/>
          <w:w w:val="105"/>
          <w:sz w:val="13"/>
        </w:rPr>
        <w:t>Neighbours, the Law and You: Your Guide to Neighbourhood Laws in Victoria, Victoria Legal Aid </w:t>
      </w:r>
      <w:r>
        <w:rPr>
          <w:w w:val="105"/>
          <w:sz w:val="13"/>
        </w:rPr>
        <w:t>(Brochure, March 2015)</w:t>
      </w:r>
      <w:r>
        <w:rPr>
          <w:spacing w:val="-6"/>
          <w:w w:val="105"/>
          <w:sz w:val="13"/>
        </w:rPr>
        <w:t> </w:t>
      </w:r>
      <w:r>
        <w:rPr>
          <w:w w:val="105"/>
          <w:sz w:val="13"/>
        </w:rPr>
        <w:t>&lt;https://</w:t>
      </w:r>
      <w:hyperlink r:id="rId58">
        <w:r>
          <w:rPr>
            <w:w w:val="105"/>
            <w:sz w:val="13"/>
          </w:rPr>
          <w:t>www.legalaid.vic.gov.au/find-legal-answers/free-publications-and-resources/neighbours-law-and-you</w:t>
        </w:r>
      </w:hyperlink>
      <w:r>
        <w:rPr>
          <w:w w:val="105"/>
          <w:sz w:val="13"/>
        </w:rPr>
        <w:t>&gt;.</w:t>
      </w:r>
    </w:p>
    <w:p>
      <w:pPr>
        <w:pStyle w:val="ListParagraph"/>
        <w:numPr>
          <w:ilvl w:val="0"/>
          <w:numId w:val="200"/>
        </w:numPr>
        <w:tabs>
          <w:tab w:pos="1227" w:val="left" w:leader="none"/>
          <w:tab w:pos="1228" w:val="left" w:leader="none"/>
        </w:tabs>
        <w:spacing w:line="240" w:lineRule="auto" w:before="3" w:after="0"/>
        <w:ind w:left="1227" w:right="0" w:hanging="794"/>
        <w:jc w:val="left"/>
        <w:rPr>
          <w:sz w:val="13"/>
        </w:rPr>
      </w:pPr>
      <w:r>
        <w:rPr>
          <w:w w:val="105"/>
          <w:sz w:val="13"/>
        </w:rPr>
        <w:t>Victorian Government, </w:t>
      </w:r>
      <w:r>
        <w:rPr>
          <w:i/>
          <w:w w:val="105"/>
          <w:sz w:val="13"/>
        </w:rPr>
        <w:t>Know Your Council </w:t>
      </w:r>
      <w:r>
        <w:rPr>
          <w:w w:val="105"/>
          <w:sz w:val="13"/>
        </w:rPr>
        <w:t>(Web Page)</w:t>
      </w:r>
      <w:r>
        <w:rPr>
          <w:spacing w:val="6"/>
          <w:w w:val="105"/>
          <w:sz w:val="13"/>
        </w:rPr>
        <w:t> </w:t>
      </w:r>
      <w:r>
        <w:rPr>
          <w:w w:val="105"/>
          <w:sz w:val="13"/>
        </w:rPr>
        <w:t>&lt;https://knowyourcouncil.vic.gov.au/home&gt;.</w:t>
      </w:r>
    </w:p>
    <w:p>
      <w:pPr>
        <w:pStyle w:val="ListParagraph"/>
        <w:numPr>
          <w:ilvl w:val="0"/>
          <w:numId w:val="200"/>
        </w:numPr>
        <w:tabs>
          <w:tab w:pos="1227" w:val="left" w:leader="none"/>
          <w:tab w:pos="1228" w:val="left" w:leader="none"/>
        </w:tabs>
        <w:spacing w:line="240" w:lineRule="auto" w:before="1" w:after="0"/>
        <w:ind w:left="1227" w:right="0" w:hanging="794"/>
        <w:jc w:val="left"/>
        <w:rPr>
          <w:sz w:val="13"/>
        </w:rPr>
      </w:pPr>
      <w:r>
        <w:rPr>
          <w:w w:val="105"/>
          <w:sz w:val="13"/>
        </w:rPr>
        <w:t>Consultation </w:t>
      </w:r>
      <w:r>
        <w:rPr>
          <w:spacing w:val="-4"/>
          <w:w w:val="105"/>
          <w:sz w:val="13"/>
        </w:rPr>
        <w:t>12 </w:t>
      </w:r>
      <w:r>
        <w:rPr>
          <w:w w:val="105"/>
          <w:sz w:val="13"/>
        </w:rPr>
        <w:t>(City of Port Phillip).</w:t>
      </w:r>
    </w:p>
    <w:p>
      <w:pPr>
        <w:pStyle w:val="ListParagraph"/>
        <w:numPr>
          <w:ilvl w:val="0"/>
          <w:numId w:val="200"/>
        </w:numPr>
        <w:tabs>
          <w:tab w:pos="1227" w:val="left" w:leader="none"/>
          <w:tab w:pos="1228" w:val="left" w:leader="none"/>
        </w:tabs>
        <w:spacing w:line="240" w:lineRule="auto" w:before="2" w:after="0"/>
        <w:ind w:left="1227" w:right="1997" w:hanging="794"/>
        <w:jc w:val="left"/>
        <w:rPr>
          <w:sz w:val="13"/>
        </w:rPr>
      </w:pPr>
      <w:r>
        <w:rPr>
          <w:sz w:val="13"/>
        </w:rPr>
        <w:t>Consultation </w:t>
      </w:r>
      <w:r>
        <w:rPr>
          <w:spacing w:val="-4"/>
          <w:sz w:val="13"/>
        </w:rPr>
        <w:t>12 </w:t>
      </w:r>
      <w:r>
        <w:rPr>
          <w:sz w:val="13"/>
        </w:rPr>
        <w:t>(City of Port Phillip). This is also recognised by Arboriculture Australia, </w:t>
      </w:r>
      <w:r>
        <w:rPr>
          <w:i/>
          <w:sz w:val="13"/>
        </w:rPr>
        <w:t>Australian Qualification Framework (AQF) and </w:t>
      </w:r>
      <w:r>
        <w:rPr>
          <w:i/>
          <w:sz w:val="13"/>
        </w:rPr>
        <w:t>Australian Training Programs </w:t>
      </w:r>
      <w:r>
        <w:rPr>
          <w:sz w:val="13"/>
        </w:rPr>
        <w:t>(Web Page)</w:t>
      </w:r>
      <w:r>
        <w:rPr>
          <w:spacing w:val="15"/>
          <w:sz w:val="13"/>
        </w:rPr>
        <w:t> </w:t>
      </w:r>
      <w:r>
        <w:rPr>
          <w:sz w:val="13"/>
        </w:rPr>
        <w:t>&lt;</w:t>
      </w:r>
      <w:hyperlink r:id="rId44">
        <w:r>
          <w:rPr>
            <w:sz w:val="13"/>
          </w:rPr>
          <w:t>http://arboriculture.org.au/Qualification</w:t>
        </w:r>
      </w:hyperlink>
      <w:r>
        <w:rPr>
          <w:sz w:val="13"/>
        </w:rPr>
        <w:t>&gt;.</w:t>
      </w:r>
    </w:p>
    <w:p>
      <w:pPr>
        <w:pStyle w:val="ListParagraph"/>
        <w:numPr>
          <w:ilvl w:val="0"/>
          <w:numId w:val="200"/>
        </w:numPr>
        <w:tabs>
          <w:tab w:pos="1227" w:val="left" w:leader="none"/>
          <w:tab w:pos="1228" w:val="left" w:leader="none"/>
        </w:tabs>
        <w:spacing w:line="240" w:lineRule="auto" w:before="2" w:after="0"/>
        <w:ind w:left="1227" w:right="0" w:hanging="794"/>
        <w:jc w:val="left"/>
        <w:rPr>
          <w:sz w:val="13"/>
        </w:rPr>
      </w:pPr>
      <w:r>
        <w:rPr>
          <w:w w:val="105"/>
          <w:sz w:val="13"/>
        </w:rPr>
        <w:t>Consultation 2 </w:t>
      </w:r>
      <w:r>
        <w:rPr>
          <w:spacing w:val="3"/>
          <w:w w:val="105"/>
          <w:sz w:val="13"/>
        </w:rPr>
        <w:t>(Dr </w:t>
      </w:r>
      <w:r>
        <w:rPr>
          <w:w w:val="105"/>
          <w:sz w:val="13"/>
        </w:rPr>
        <w:t>Gregory Moore</w:t>
      </w:r>
      <w:r>
        <w:rPr>
          <w:spacing w:val="20"/>
          <w:w w:val="105"/>
          <w:sz w:val="13"/>
        </w:rPr>
        <w:t> </w:t>
      </w:r>
      <w:r>
        <w:rPr>
          <w:spacing w:val="2"/>
          <w:w w:val="105"/>
          <w:sz w:val="13"/>
        </w:rPr>
        <w:t>OAM).</w:t>
      </w:r>
    </w:p>
    <w:p>
      <w:pPr>
        <w:pStyle w:val="ListParagraph"/>
        <w:numPr>
          <w:ilvl w:val="0"/>
          <w:numId w:val="200"/>
        </w:numPr>
        <w:tabs>
          <w:tab w:pos="1227" w:val="left" w:leader="none"/>
          <w:tab w:pos="1228" w:val="left" w:leader="none"/>
        </w:tabs>
        <w:spacing w:line="240" w:lineRule="auto" w:before="2" w:after="0"/>
        <w:ind w:left="1227" w:right="0" w:hanging="794"/>
        <w:jc w:val="left"/>
        <w:rPr>
          <w:sz w:val="13"/>
        </w:rPr>
      </w:pPr>
      <w:r>
        <w:rPr>
          <w:w w:val="105"/>
          <w:sz w:val="13"/>
        </w:rPr>
        <w:t>Submission 18</w:t>
      </w:r>
      <w:r>
        <w:rPr>
          <w:spacing w:val="9"/>
          <w:w w:val="105"/>
          <w:sz w:val="13"/>
        </w:rPr>
        <w:t> </w:t>
      </w:r>
      <w:r>
        <w:rPr>
          <w:w w:val="105"/>
          <w:sz w:val="13"/>
        </w:rPr>
        <w:t>(ENSPEC).</w:t>
      </w:r>
    </w:p>
    <w:p>
      <w:pPr>
        <w:pStyle w:val="ListParagraph"/>
        <w:numPr>
          <w:ilvl w:val="0"/>
          <w:numId w:val="200"/>
        </w:numPr>
        <w:tabs>
          <w:tab w:pos="1227" w:val="left" w:leader="none"/>
          <w:tab w:pos="1228" w:val="left" w:leader="none"/>
        </w:tabs>
        <w:spacing w:line="240" w:lineRule="auto" w:before="1" w:after="0"/>
        <w:ind w:left="1227" w:right="0" w:hanging="794"/>
        <w:jc w:val="left"/>
        <w:rPr>
          <w:sz w:val="13"/>
        </w:rPr>
      </w:pPr>
      <w:r>
        <w:rPr>
          <w:sz w:val="13"/>
        </w:rPr>
        <w:t>Arboriculture</w:t>
      </w:r>
      <w:r>
        <w:rPr>
          <w:spacing w:val="9"/>
          <w:sz w:val="13"/>
        </w:rPr>
        <w:t> </w:t>
      </w:r>
      <w:r>
        <w:rPr>
          <w:sz w:val="13"/>
        </w:rPr>
        <w:t>Australia,</w:t>
      </w:r>
      <w:r>
        <w:rPr>
          <w:spacing w:val="10"/>
          <w:sz w:val="13"/>
        </w:rPr>
        <w:t> </w:t>
      </w:r>
      <w:r>
        <w:rPr>
          <w:i/>
          <w:sz w:val="13"/>
        </w:rPr>
        <w:t>Australian</w:t>
      </w:r>
      <w:r>
        <w:rPr>
          <w:i/>
          <w:spacing w:val="10"/>
          <w:sz w:val="13"/>
        </w:rPr>
        <w:t> </w:t>
      </w:r>
      <w:r>
        <w:rPr>
          <w:i/>
          <w:sz w:val="13"/>
        </w:rPr>
        <w:t>Arborist</w:t>
      </w:r>
      <w:r>
        <w:rPr>
          <w:i/>
          <w:spacing w:val="9"/>
          <w:sz w:val="13"/>
        </w:rPr>
        <w:t> </w:t>
      </w:r>
      <w:r>
        <w:rPr>
          <w:i/>
          <w:sz w:val="13"/>
        </w:rPr>
        <w:t>Industry</w:t>
      </w:r>
      <w:r>
        <w:rPr>
          <w:i/>
          <w:spacing w:val="10"/>
          <w:sz w:val="13"/>
        </w:rPr>
        <w:t> </w:t>
      </w:r>
      <w:r>
        <w:rPr>
          <w:i/>
          <w:sz w:val="13"/>
        </w:rPr>
        <w:t>Licence</w:t>
      </w:r>
      <w:r>
        <w:rPr>
          <w:i/>
          <w:spacing w:val="10"/>
          <w:sz w:val="13"/>
        </w:rPr>
        <w:t> </w:t>
      </w:r>
      <w:r>
        <w:rPr>
          <w:sz w:val="13"/>
        </w:rPr>
        <w:t>(Brochure,</w:t>
      </w:r>
      <w:r>
        <w:rPr>
          <w:spacing w:val="9"/>
          <w:sz w:val="13"/>
        </w:rPr>
        <w:t> </w:t>
      </w:r>
      <w:r>
        <w:rPr>
          <w:sz w:val="13"/>
        </w:rPr>
        <w:t>version</w:t>
      </w:r>
      <w:r>
        <w:rPr>
          <w:spacing w:val="10"/>
          <w:sz w:val="13"/>
        </w:rPr>
        <w:t> </w:t>
      </w:r>
      <w:r>
        <w:rPr>
          <w:sz w:val="13"/>
        </w:rPr>
        <w:t>4,</w:t>
      </w:r>
      <w:r>
        <w:rPr>
          <w:spacing w:val="10"/>
          <w:sz w:val="13"/>
        </w:rPr>
        <w:t> </w:t>
      </w:r>
      <w:r>
        <w:rPr>
          <w:sz w:val="13"/>
        </w:rPr>
        <w:t>2017)</w:t>
      </w:r>
      <w:r>
        <w:rPr>
          <w:spacing w:val="10"/>
          <w:sz w:val="13"/>
        </w:rPr>
        <w:t> </w:t>
      </w:r>
      <w:r>
        <w:rPr>
          <w:spacing w:val="2"/>
          <w:sz w:val="13"/>
        </w:rPr>
        <w:t>&lt;</w:t>
      </w:r>
      <w:hyperlink r:id="rId45">
        <w:r>
          <w:rPr>
            <w:spacing w:val="2"/>
            <w:sz w:val="13"/>
          </w:rPr>
          <w:t>http://arboriculture.org.au/License</w:t>
        </w:r>
      </w:hyperlink>
      <w:r>
        <w:rPr>
          <w:spacing w:val="2"/>
          <w:sz w:val="13"/>
        </w:rPr>
        <w:t>&gt;.</w:t>
      </w:r>
    </w:p>
    <w:p>
      <w:pPr>
        <w:pStyle w:val="ListParagraph"/>
        <w:numPr>
          <w:ilvl w:val="0"/>
          <w:numId w:val="200"/>
        </w:numPr>
        <w:tabs>
          <w:tab w:pos="1227" w:val="left" w:leader="none"/>
          <w:tab w:pos="1228" w:val="left" w:leader="none"/>
        </w:tabs>
        <w:spacing w:line="240" w:lineRule="auto" w:before="1" w:after="0"/>
        <w:ind w:left="1227" w:right="0" w:hanging="794"/>
        <w:jc w:val="left"/>
        <w:rPr>
          <w:sz w:val="13"/>
        </w:rPr>
      </w:pPr>
      <w:r>
        <w:rPr>
          <w:w w:val="105"/>
          <w:sz w:val="13"/>
        </w:rPr>
        <w:t>Consultation</w:t>
      </w:r>
      <w:r>
        <w:rPr>
          <w:spacing w:val="4"/>
          <w:w w:val="105"/>
          <w:sz w:val="13"/>
        </w:rPr>
        <w:t> </w:t>
      </w:r>
      <w:r>
        <w:rPr>
          <w:spacing w:val="-4"/>
          <w:w w:val="105"/>
          <w:sz w:val="13"/>
        </w:rPr>
        <w:t>12</w:t>
      </w:r>
      <w:r>
        <w:rPr>
          <w:spacing w:val="5"/>
          <w:w w:val="105"/>
          <w:sz w:val="13"/>
        </w:rPr>
        <w:t> </w:t>
      </w:r>
      <w:r>
        <w:rPr>
          <w:w w:val="105"/>
          <w:sz w:val="13"/>
        </w:rPr>
        <w:t>(City</w:t>
      </w:r>
      <w:r>
        <w:rPr>
          <w:spacing w:val="5"/>
          <w:w w:val="105"/>
          <w:sz w:val="13"/>
        </w:rPr>
        <w:t> </w:t>
      </w:r>
      <w:r>
        <w:rPr>
          <w:w w:val="105"/>
          <w:sz w:val="13"/>
        </w:rPr>
        <w:t>of</w:t>
      </w:r>
      <w:r>
        <w:rPr>
          <w:spacing w:val="4"/>
          <w:w w:val="105"/>
          <w:sz w:val="13"/>
        </w:rPr>
        <w:t> </w:t>
      </w:r>
      <w:r>
        <w:rPr>
          <w:w w:val="105"/>
          <w:sz w:val="13"/>
        </w:rPr>
        <w:t>Port</w:t>
      </w:r>
      <w:r>
        <w:rPr>
          <w:spacing w:val="5"/>
          <w:w w:val="105"/>
          <w:sz w:val="13"/>
        </w:rPr>
        <w:t> </w:t>
      </w:r>
      <w:r>
        <w:rPr>
          <w:w w:val="105"/>
          <w:sz w:val="13"/>
        </w:rPr>
        <w:t>Phillip);</w:t>
      </w:r>
      <w:r>
        <w:rPr>
          <w:spacing w:val="5"/>
          <w:w w:val="105"/>
          <w:sz w:val="13"/>
        </w:rPr>
        <w:t> </w:t>
      </w:r>
      <w:r>
        <w:rPr>
          <w:w w:val="105"/>
          <w:sz w:val="13"/>
        </w:rPr>
        <w:t>see</w:t>
      </w:r>
      <w:r>
        <w:rPr>
          <w:spacing w:val="4"/>
          <w:w w:val="105"/>
          <w:sz w:val="13"/>
        </w:rPr>
        <w:t> </w:t>
      </w:r>
      <w:r>
        <w:rPr>
          <w:w w:val="105"/>
          <w:sz w:val="13"/>
        </w:rPr>
        <w:t>also</w:t>
      </w:r>
      <w:r>
        <w:rPr>
          <w:spacing w:val="5"/>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Port</w:t>
      </w:r>
      <w:r>
        <w:rPr>
          <w:spacing w:val="4"/>
          <w:w w:val="105"/>
          <w:sz w:val="13"/>
        </w:rPr>
        <w:t> </w:t>
      </w:r>
      <w:r>
        <w:rPr>
          <w:w w:val="105"/>
          <w:sz w:val="13"/>
        </w:rPr>
        <w:t>Phillip,</w:t>
      </w:r>
      <w:r>
        <w:rPr>
          <w:spacing w:val="5"/>
          <w:w w:val="105"/>
          <w:sz w:val="13"/>
        </w:rPr>
        <w:t> </w:t>
      </w:r>
      <w:r>
        <w:rPr>
          <w:i/>
          <w:w w:val="105"/>
          <w:sz w:val="13"/>
        </w:rPr>
        <w:t>City</w:t>
      </w:r>
      <w:r>
        <w:rPr>
          <w:i/>
          <w:spacing w:val="5"/>
          <w:w w:val="105"/>
          <w:sz w:val="13"/>
        </w:rPr>
        <w:t> </w:t>
      </w:r>
      <w:r>
        <w:rPr>
          <w:i/>
          <w:spacing w:val="2"/>
          <w:w w:val="105"/>
          <w:sz w:val="13"/>
        </w:rPr>
        <w:t>Permits—Fact</w:t>
      </w:r>
      <w:r>
        <w:rPr>
          <w:i/>
          <w:spacing w:val="4"/>
          <w:w w:val="105"/>
          <w:sz w:val="13"/>
        </w:rPr>
        <w:t> </w:t>
      </w:r>
      <w:r>
        <w:rPr>
          <w:i/>
          <w:w w:val="105"/>
          <w:sz w:val="13"/>
        </w:rPr>
        <w:t>Sheet</w:t>
      </w:r>
      <w:r>
        <w:rPr>
          <w:i/>
          <w:spacing w:val="5"/>
          <w:w w:val="105"/>
          <w:sz w:val="13"/>
        </w:rPr>
        <w:t> </w:t>
      </w:r>
      <w:r>
        <w:rPr>
          <w:i/>
          <w:w w:val="105"/>
          <w:sz w:val="13"/>
        </w:rPr>
        <w:t>Significant</w:t>
      </w:r>
      <w:r>
        <w:rPr>
          <w:i/>
          <w:spacing w:val="5"/>
          <w:w w:val="105"/>
          <w:sz w:val="13"/>
        </w:rPr>
        <w:t> </w:t>
      </w:r>
      <w:r>
        <w:rPr>
          <w:i/>
          <w:w w:val="105"/>
          <w:sz w:val="13"/>
        </w:rPr>
        <w:t>Tree</w:t>
      </w:r>
      <w:r>
        <w:rPr>
          <w:i/>
          <w:spacing w:val="5"/>
          <w:w w:val="105"/>
          <w:sz w:val="13"/>
        </w:rPr>
        <w:t> </w:t>
      </w:r>
      <w:r>
        <w:rPr>
          <w:i/>
          <w:w w:val="105"/>
          <w:sz w:val="13"/>
        </w:rPr>
        <w:t>Permits</w:t>
      </w:r>
      <w:r>
        <w:rPr>
          <w:i/>
          <w:spacing w:val="4"/>
          <w:w w:val="105"/>
          <w:sz w:val="13"/>
        </w:rPr>
        <w:t> </w:t>
      </w:r>
      <w:r>
        <w:rPr>
          <w:w w:val="105"/>
          <w:sz w:val="13"/>
        </w:rPr>
        <w:t>(29</w:t>
      </w:r>
      <w:r>
        <w:rPr>
          <w:spacing w:val="5"/>
          <w:w w:val="105"/>
          <w:sz w:val="13"/>
        </w:rPr>
        <w:t> </w:t>
      </w:r>
      <w:r>
        <w:rPr>
          <w:w w:val="105"/>
          <w:sz w:val="13"/>
        </w:rPr>
        <w:t>November</w:t>
      </w:r>
      <w:r>
        <w:rPr>
          <w:spacing w:val="5"/>
          <w:w w:val="105"/>
          <w:sz w:val="13"/>
        </w:rPr>
        <w:t> </w:t>
      </w:r>
      <w:r>
        <w:rPr>
          <w:w w:val="105"/>
          <w:sz w:val="13"/>
        </w:rPr>
        <w:t>2017)</w:t>
      </w:r>
      <w:r>
        <w:rPr>
          <w:spacing w:val="4"/>
          <w:w w:val="105"/>
          <w:sz w:val="13"/>
        </w:rPr>
        <w:t> </w:t>
      </w:r>
      <w:r>
        <w:rPr>
          <w:w w:val="105"/>
          <w:sz w:val="13"/>
        </w:rPr>
        <w:t>2.</w:t>
      </w:r>
    </w:p>
    <w:p>
      <w:pPr>
        <w:pStyle w:val="ListParagraph"/>
        <w:numPr>
          <w:ilvl w:val="0"/>
          <w:numId w:val="200"/>
        </w:numPr>
        <w:tabs>
          <w:tab w:pos="1227" w:val="left" w:leader="none"/>
          <w:tab w:pos="1228" w:val="left" w:leader="none"/>
        </w:tabs>
        <w:spacing w:line="240" w:lineRule="auto" w:before="2" w:after="0"/>
        <w:ind w:left="1227" w:right="0" w:hanging="794"/>
        <w:jc w:val="left"/>
        <w:rPr>
          <w:sz w:val="13"/>
        </w:rPr>
      </w:pPr>
      <w:r>
        <w:rPr>
          <w:w w:val="105"/>
          <w:sz w:val="13"/>
        </w:rPr>
        <w:t>Consultation </w:t>
      </w:r>
      <w:r>
        <w:rPr>
          <w:spacing w:val="-3"/>
          <w:w w:val="105"/>
          <w:sz w:val="13"/>
        </w:rPr>
        <w:t>14 </w:t>
      </w:r>
      <w:r>
        <w:rPr>
          <w:spacing w:val="2"/>
          <w:w w:val="105"/>
          <w:sz w:val="13"/>
        </w:rPr>
        <w:t>(Robert</w:t>
      </w:r>
      <w:r>
        <w:rPr>
          <w:spacing w:val="16"/>
          <w:w w:val="105"/>
          <w:sz w:val="13"/>
        </w:rPr>
        <w:t> </w:t>
      </w:r>
      <w:r>
        <w:rPr>
          <w:spacing w:val="2"/>
          <w:w w:val="105"/>
          <w:sz w:val="13"/>
        </w:rPr>
        <w:t>Mineo).</w:t>
      </w:r>
    </w:p>
    <w:p>
      <w:pPr>
        <w:spacing w:after="0" w:line="240" w:lineRule="auto"/>
        <w:jc w:val="left"/>
        <w:rPr>
          <w:sz w:val="13"/>
        </w:rPr>
        <w:sectPr>
          <w:type w:val="continuous"/>
          <w:pgSz w:w="11910" w:h="16840"/>
          <w:pgMar w:top="300" w:bottom="280" w:left="0" w:right="0"/>
          <w:cols w:num="2" w:equalWidth="0">
            <w:col w:w="1114" w:space="40"/>
            <w:col w:w="10756"/>
          </w:cols>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803" w:hanging="794"/>
        <w:jc w:val="left"/>
        <w:rPr>
          <w:sz w:val="21"/>
        </w:rPr>
      </w:pPr>
      <w:bookmarkStart w:name="_bookmark153" w:id="330"/>
      <w:bookmarkEnd w:id="330"/>
      <w:r>
        <w:rPr/>
      </w:r>
      <w:bookmarkStart w:name="_bookmark153" w:id="331"/>
      <w:bookmarkEnd w:id="331"/>
      <w:r>
        <w:rPr>
          <w:spacing w:val="-3"/>
          <w:w w:val="105"/>
          <w:sz w:val="21"/>
        </w:rPr>
        <w:t>A</w:t>
      </w:r>
      <w:r>
        <w:rPr>
          <w:spacing w:val="-3"/>
          <w:w w:val="105"/>
          <w:sz w:val="21"/>
        </w:rPr>
        <w:t>rboriculture Australia, </w:t>
      </w:r>
      <w:r>
        <w:rPr>
          <w:w w:val="105"/>
          <w:sz w:val="21"/>
        </w:rPr>
        <w:t>the peak </w:t>
      </w:r>
      <w:r>
        <w:rPr>
          <w:spacing w:val="-3"/>
          <w:w w:val="105"/>
          <w:sz w:val="21"/>
        </w:rPr>
        <w:t>national organisation promoting </w:t>
      </w:r>
      <w:r>
        <w:rPr>
          <w:w w:val="105"/>
          <w:sz w:val="21"/>
        </w:rPr>
        <w:t>and </w:t>
      </w:r>
      <w:r>
        <w:rPr>
          <w:spacing w:val="-3"/>
          <w:w w:val="105"/>
          <w:sz w:val="21"/>
        </w:rPr>
        <w:t>representing </w:t>
      </w:r>
      <w:r>
        <w:rPr>
          <w:w w:val="105"/>
          <w:sz w:val="21"/>
        </w:rPr>
        <w:t>arborists, </w:t>
      </w:r>
      <w:r>
        <w:rPr>
          <w:spacing w:val="-2"/>
          <w:w w:val="105"/>
          <w:sz w:val="21"/>
        </w:rPr>
        <w:t>has </w:t>
      </w:r>
      <w:r>
        <w:rPr>
          <w:w w:val="105"/>
          <w:sz w:val="21"/>
        </w:rPr>
        <w:t>established an </w:t>
      </w:r>
      <w:r>
        <w:rPr>
          <w:spacing w:val="-3"/>
          <w:w w:val="105"/>
          <w:sz w:val="21"/>
        </w:rPr>
        <w:t>online </w:t>
      </w:r>
      <w:r>
        <w:rPr>
          <w:w w:val="105"/>
          <w:sz w:val="21"/>
        </w:rPr>
        <w:t>directory </w:t>
      </w:r>
      <w:r>
        <w:rPr>
          <w:spacing w:val="-3"/>
          <w:w w:val="105"/>
          <w:sz w:val="21"/>
        </w:rPr>
        <w:t>for consulting </w:t>
      </w:r>
      <w:r>
        <w:rPr>
          <w:w w:val="105"/>
          <w:sz w:val="21"/>
        </w:rPr>
        <w:t>and practising arborists.</w:t>
      </w:r>
      <w:r>
        <w:rPr>
          <w:w w:val="105"/>
          <w:position w:val="7"/>
          <w:sz w:val="12"/>
        </w:rPr>
        <w:t>25</w:t>
      </w:r>
      <w:r>
        <w:rPr>
          <w:w w:val="105"/>
          <w:sz w:val="12"/>
        </w:rPr>
        <w:t> </w:t>
      </w:r>
      <w:r>
        <w:rPr>
          <w:spacing w:val="-3"/>
          <w:w w:val="105"/>
          <w:sz w:val="21"/>
        </w:rPr>
        <w:t>Arboriculture</w:t>
      </w:r>
      <w:r>
        <w:rPr>
          <w:spacing w:val="-8"/>
          <w:w w:val="105"/>
          <w:sz w:val="21"/>
        </w:rPr>
        <w:t> </w:t>
      </w:r>
      <w:r>
        <w:rPr>
          <w:spacing w:val="-3"/>
          <w:w w:val="105"/>
          <w:sz w:val="21"/>
        </w:rPr>
        <w:t>Australia</w:t>
      </w:r>
      <w:r>
        <w:rPr>
          <w:spacing w:val="-8"/>
          <w:w w:val="105"/>
          <w:sz w:val="21"/>
        </w:rPr>
        <w:t> </w:t>
      </w:r>
      <w:r>
        <w:rPr>
          <w:spacing w:val="-3"/>
          <w:w w:val="105"/>
          <w:sz w:val="21"/>
        </w:rPr>
        <w:t>distinguishes</w:t>
      </w:r>
      <w:r>
        <w:rPr>
          <w:spacing w:val="-8"/>
          <w:w w:val="105"/>
          <w:sz w:val="21"/>
        </w:rPr>
        <w:t> </w:t>
      </w:r>
      <w:r>
        <w:rPr>
          <w:w w:val="105"/>
          <w:sz w:val="21"/>
        </w:rPr>
        <w:t>between</w:t>
      </w:r>
      <w:r>
        <w:rPr>
          <w:spacing w:val="-7"/>
          <w:w w:val="105"/>
          <w:sz w:val="21"/>
        </w:rPr>
        <w:t> </w:t>
      </w:r>
      <w:r>
        <w:rPr>
          <w:w w:val="105"/>
          <w:sz w:val="21"/>
        </w:rPr>
        <w:t>practising</w:t>
      </w:r>
      <w:r>
        <w:rPr>
          <w:spacing w:val="-8"/>
          <w:w w:val="105"/>
          <w:sz w:val="21"/>
        </w:rPr>
        <w:t> </w:t>
      </w:r>
      <w:r>
        <w:rPr>
          <w:w w:val="105"/>
          <w:sz w:val="21"/>
        </w:rPr>
        <w:t>and</w:t>
      </w:r>
      <w:r>
        <w:rPr>
          <w:spacing w:val="-8"/>
          <w:w w:val="105"/>
          <w:sz w:val="21"/>
        </w:rPr>
        <w:t> </w:t>
      </w:r>
      <w:r>
        <w:rPr>
          <w:spacing w:val="-3"/>
          <w:w w:val="105"/>
          <w:sz w:val="21"/>
        </w:rPr>
        <w:t>consulting</w:t>
      </w:r>
      <w:r>
        <w:rPr>
          <w:spacing w:val="-8"/>
          <w:w w:val="105"/>
          <w:sz w:val="21"/>
        </w:rPr>
        <w:t> </w:t>
      </w:r>
      <w:r>
        <w:rPr>
          <w:w w:val="105"/>
          <w:sz w:val="21"/>
        </w:rPr>
        <w:t>arborists</w:t>
      </w:r>
      <w:r>
        <w:rPr>
          <w:spacing w:val="-7"/>
          <w:w w:val="105"/>
          <w:sz w:val="21"/>
        </w:rPr>
        <w:t> </w:t>
      </w:r>
      <w:r>
        <w:rPr>
          <w:spacing w:val="-3"/>
          <w:w w:val="105"/>
          <w:sz w:val="21"/>
        </w:rPr>
        <w:t>to</w:t>
      </w:r>
      <w:r>
        <w:rPr>
          <w:spacing w:val="-8"/>
          <w:w w:val="105"/>
          <w:sz w:val="21"/>
        </w:rPr>
        <w:t> </w:t>
      </w:r>
      <w:r>
        <w:rPr>
          <w:w w:val="105"/>
          <w:sz w:val="21"/>
        </w:rPr>
        <w:t>help the community </w:t>
      </w:r>
      <w:r>
        <w:rPr>
          <w:spacing w:val="-3"/>
          <w:w w:val="105"/>
          <w:sz w:val="21"/>
        </w:rPr>
        <w:t>to </w:t>
      </w:r>
      <w:r>
        <w:rPr>
          <w:w w:val="105"/>
          <w:sz w:val="21"/>
        </w:rPr>
        <w:t>understand arborist</w:t>
      </w:r>
      <w:r>
        <w:rPr>
          <w:spacing w:val="20"/>
          <w:w w:val="105"/>
          <w:sz w:val="21"/>
        </w:rPr>
        <w:t> </w:t>
      </w:r>
      <w:r>
        <w:rPr>
          <w:spacing w:val="-2"/>
          <w:w w:val="105"/>
          <w:sz w:val="21"/>
        </w:rPr>
        <w:t>qualifications.</w:t>
      </w:r>
      <w:r>
        <w:rPr>
          <w:spacing w:val="-2"/>
          <w:w w:val="105"/>
          <w:position w:val="7"/>
          <w:sz w:val="12"/>
        </w:rPr>
        <w:t>26</w:t>
      </w:r>
    </w:p>
    <w:p>
      <w:pPr>
        <w:pStyle w:val="BodyText"/>
        <w:spacing w:before="5"/>
        <w:rPr>
          <w:sz w:val="20"/>
        </w:rPr>
      </w:pPr>
    </w:p>
    <w:p>
      <w:pPr>
        <w:pStyle w:val="Heading5"/>
        <w:spacing w:before="1"/>
      </w:pPr>
      <w:r>
        <w:rPr>
          <w:w w:val="115"/>
        </w:rPr>
        <w:t>Alternative dispute resolution</w:t>
      </w:r>
    </w:p>
    <w:p>
      <w:pPr>
        <w:pStyle w:val="ListParagraph"/>
        <w:numPr>
          <w:ilvl w:val="1"/>
          <w:numId w:val="16"/>
        </w:numPr>
        <w:tabs>
          <w:tab w:pos="2381" w:val="left" w:leader="none"/>
          <w:tab w:pos="2382" w:val="left" w:leader="none"/>
        </w:tabs>
        <w:spacing w:line="242" w:lineRule="auto" w:before="137" w:after="0"/>
        <w:ind w:left="2381" w:right="1801" w:hanging="794"/>
        <w:jc w:val="left"/>
        <w:rPr>
          <w:sz w:val="21"/>
        </w:rPr>
      </w:pPr>
      <w:r>
        <w:rPr>
          <w:sz w:val="21"/>
        </w:rPr>
        <w:t>DSCV </w:t>
      </w:r>
      <w:r>
        <w:rPr>
          <w:spacing w:val="-3"/>
          <w:sz w:val="21"/>
        </w:rPr>
        <w:t>maintains </w:t>
      </w:r>
      <w:r>
        <w:rPr>
          <w:sz w:val="21"/>
        </w:rPr>
        <w:t>a </w:t>
      </w:r>
      <w:r>
        <w:rPr>
          <w:spacing w:val="-3"/>
          <w:sz w:val="21"/>
        </w:rPr>
        <w:t>comprehensive  </w:t>
      </w:r>
      <w:r>
        <w:rPr>
          <w:sz w:val="21"/>
        </w:rPr>
        <w:t>and </w:t>
      </w:r>
      <w:r>
        <w:rPr>
          <w:spacing w:val="-3"/>
          <w:sz w:val="21"/>
        </w:rPr>
        <w:t>informative</w:t>
      </w:r>
      <w:r>
        <w:rPr>
          <w:spacing w:val="41"/>
          <w:sz w:val="21"/>
        </w:rPr>
        <w:t> </w:t>
      </w:r>
      <w:r>
        <w:rPr>
          <w:spacing w:val="-3"/>
          <w:sz w:val="21"/>
        </w:rPr>
        <w:t>website  </w:t>
      </w:r>
      <w:r>
        <w:rPr>
          <w:sz w:val="21"/>
        </w:rPr>
        <w:t>which gives a general </w:t>
      </w:r>
      <w:r>
        <w:rPr>
          <w:spacing w:val="-3"/>
          <w:sz w:val="21"/>
        </w:rPr>
        <w:t>outline  </w:t>
      </w:r>
      <w:r>
        <w:rPr>
          <w:sz w:val="21"/>
        </w:rPr>
        <w:t>of the </w:t>
      </w:r>
      <w:r>
        <w:rPr>
          <w:spacing w:val="-5"/>
          <w:sz w:val="21"/>
        </w:rPr>
        <w:t>law, </w:t>
      </w:r>
      <w:r>
        <w:rPr>
          <w:sz w:val="21"/>
        </w:rPr>
        <w:t>sets out answers </w:t>
      </w:r>
      <w:r>
        <w:rPr>
          <w:spacing w:val="-3"/>
          <w:sz w:val="21"/>
        </w:rPr>
        <w:t>to frequently asked </w:t>
      </w:r>
      <w:r>
        <w:rPr>
          <w:sz w:val="21"/>
        </w:rPr>
        <w:t>questions about trees, and provides a step-by-step guide </w:t>
      </w:r>
      <w:r>
        <w:rPr>
          <w:spacing w:val="-3"/>
          <w:sz w:val="21"/>
        </w:rPr>
        <w:t>to </w:t>
      </w:r>
      <w:r>
        <w:rPr>
          <w:sz w:val="21"/>
        </w:rPr>
        <w:t>seeking a </w:t>
      </w:r>
      <w:r>
        <w:rPr>
          <w:spacing w:val="-3"/>
          <w:sz w:val="21"/>
        </w:rPr>
        <w:t>reasonable </w:t>
      </w:r>
      <w:r>
        <w:rPr>
          <w:sz w:val="21"/>
        </w:rPr>
        <w:t>resolution.</w:t>
      </w:r>
      <w:r>
        <w:rPr>
          <w:position w:val="7"/>
          <w:sz w:val="12"/>
        </w:rPr>
        <w:t>27 </w:t>
      </w:r>
      <w:r>
        <w:rPr>
          <w:spacing w:val="-3"/>
          <w:sz w:val="21"/>
        </w:rPr>
        <w:t>During consultations </w:t>
      </w:r>
      <w:r>
        <w:rPr>
          <w:sz w:val="21"/>
        </w:rPr>
        <w:t>Baw  </w:t>
      </w:r>
      <w:r>
        <w:rPr>
          <w:spacing w:val="-3"/>
          <w:sz w:val="21"/>
        </w:rPr>
        <w:t>Baw Shire </w:t>
      </w:r>
      <w:r>
        <w:rPr>
          <w:spacing w:val="-4"/>
          <w:sz w:val="21"/>
        </w:rPr>
        <w:t>Council </w:t>
      </w:r>
      <w:r>
        <w:rPr>
          <w:sz w:val="21"/>
        </w:rPr>
        <w:t>commended </w:t>
      </w:r>
      <w:r>
        <w:rPr>
          <w:spacing w:val="-3"/>
          <w:sz w:val="21"/>
        </w:rPr>
        <w:t>DSCV’s website, </w:t>
      </w:r>
      <w:r>
        <w:rPr>
          <w:sz w:val="21"/>
        </w:rPr>
        <w:t>especially the case studies, as </w:t>
      </w:r>
      <w:r>
        <w:rPr>
          <w:spacing w:val="-3"/>
          <w:sz w:val="21"/>
        </w:rPr>
        <w:t>providing information that </w:t>
      </w:r>
      <w:r>
        <w:rPr>
          <w:sz w:val="21"/>
        </w:rPr>
        <w:t>is </w:t>
      </w:r>
      <w:r>
        <w:rPr>
          <w:spacing w:val="-5"/>
          <w:sz w:val="21"/>
        </w:rPr>
        <w:t>clear, </w:t>
      </w:r>
      <w:r>
        <w:rPr>
          <w:spacing w:val="-3"/>
          <w:sz w:val="21"/>
        </w:rPr>
        <w:t>simple </w:t>
      </w:r>
      <w:r>
        <w:rPr>
          <w:sz w:val="21"/>
        </w:rPr>
        <w:t>and</w:t>
      </w:r>
      <w:r>
        <w:rPr>
          <w:spacing w:val="30"/>
          <w:sz w:val="21"/>
        </w:rPr>
        <w:t> </w:t>
      </w:r>
      <w:r>
        <w:rPr>
          <w:spacing w:val="-3"/>
          <w:sz w:val="21"/>
        </w:rPr>
        <w:t>helpful.</w:t>
      </w:r>
      <w:r>
        <w:rPr>
          <w:spacing w:val="-3"/>
          <w:position w:val="7"/>
          <w:sz w:val="12"/>
        </w:rPr>
        <w:t>28</w:t>
      </w:r>
    </w:p>
    <w:p>
      <w:pPr>
        <w:pStyle w:val="ListParagraph"/>
        <w:numPr>
          <w:ilvl w:val="1"/>
          <w:numId w:val="16"/>
        </w:numPr>
        <w:tabs>
          <w:tab w:pos="2380" w:val="left" w:leader="none"/>
          <w:tab w:pos="2381" w:val="left" w:leader="none"/>
        </w:tabs>
        <w:spacing w:line="242" w:lineRule="auto" w:before="125" w:after="0"/>
        <w:ind w:left="2381" w:right="1685" w:hanging="794"/>
        <w:jc w:val="left"/>
        <w:rPr>
          <w:sz w:val="21"/>
        </w:rPr>
      </w:pPr>
      <w:r>
        <w:rPr>
          <w:w w:val="105"/>
          <w:sz w:val="21"/>
        </w:rPr>
        <w:t>A </w:t>
      </w:r>
      <w:r>
        <w:rPr>
          <w:spacing w:val="-3"/>
          <w:w w:val="105"/>
          <w:sz w:val="21"/>
        </w:rPr>
        <w:t>helpful </w:t>
      </w:r>
      <w:r>
        <w:rPr>
          <w:w w:val="105"/>
          <w:sz w:val="21"/>
        </w:rPr>
        <w:t>case study of a mediation on </w:t>
      </w:r>
      <w:r>
        <w:rPr>
          <w:spacing w:val="-3"/>
          <w:w w:val="105"/>
          <w:sz w:val="21"/>
        </w:rPr>
        <w:t>DSCV’s website </w:t>
      </w:r>
      <w:r>
        <w:rPr>
          <w:w w:val="105"/>
          <w:sz w:val="21"/>
        </w:rPr>
        <w:t>steps the community </w:t>
      </w:r>
      <w:r>
        <w:rPr>
          <w:spacing w:val="-3"/>
          <w:w w:val="105"/>
          <w:sz w:val="21"/>
        </w:rPr>
        <w:t>through </w:t>
      </w:r>
      <w:r>
        <w:rPr>
          <w:w w:val="105"/>
          <w:sz w:val="21"/>
        </w:rPr>
        <w:t>the process and </w:t>
      </w:r>
      <w:r>
        <w:rPr>
          <w:spacing w:val="-3"/>
          <w:w w:val="105"/>
          <w:sz w:val="21"/>
        </w:rPr>
        <w:t>explains </w:t>
      </w:r>
      <w:r>
        <w:rPr>
          <w:w w:val="105"/>
          <w:sz w:val="21"/>
        </w:rPr>
        <w:t>what </w:t>
      </w:r>
      <w:r>
        <w:rPr>
          <w:spacing w:val="-3"/>
          <w:w w:val="105"/>
          <w:sz w:val="21"/>
        </w:rPr>
        <w:t>to </w:t>
      </w:r>
      <w:r>
        <w:rPr>
          <w:w w:val="105"/>
          <w:sz w:val="21"/>
        </w:rPr>
        <w:t>expect.</w:t>
      </w:r>
      <w:r>
        <w:rPr>
          <w:w w:val="105"/>
          <w:position w:val="7"/>
          <w:sz w:val="12"/>
        </w:rPr>
        <w:t>29 </w:t>
      </w:r>
      <w:r>
        <w:rPr>
          <w:w w:val="105"/>
          <w:sz w:val="21"/>
        </w:rPr>
        <w:t>It also </w:t>
      </w:r>
      <w:r>
        <w:rPr>
          <w:spacing w:val="-3"/>
          <w:w w:val="105"/>
          <w:sz w:val="21"/>
        </w:rPr>
        <w:t>includes information </w:t>
      </w:r>
      <w:r>
        <w:rPr>
          <w:w w:val="105"/>
          <w:sz w:val="21"/>
        </w:rPr>
        <w:t>about community mediation more </w:t>
      </w:r>
      <w:r>
        <w:rPr>
          <w:spacing w:val="-3"/>
          <w:w w:val="105"/>
          <w:sz w:val="21"/>
        </w:rPr>
        <w:t>generally that </w:t>
      </w:r>
      <w:r>
        <w:rPr>
          <w:w w:val="105"/>
          <w:sz w:val="21"/>
        </w:rPr>
        <w:t>covers </w:t>
      </w:r>
      <w:r>
        <w:rPr>
          <w:spacing w:val="-3"/>
          <w:w w:val="105"/>
          <w:sz w:val="21"/>
        </w:rPr>
        <w:t>determining </w:t>
      </w:r>
      <w:r>
        <w:rPr>
          <w:w w:val="105"/>
          <w:sz w:val="21"/>
        </w:rPr>
        <w:t>whether a matter is suitable </w:t>
      </w:r>
      <w:r>
        <w:rPr>
          <w:spacing w:val="-3"/>
          <w:w w:val="105"/>
          <w:sz w:val="21"/>
        </w:rPr>
        <w:t>for mediation, </w:t>
      </w:r>
      <w:r>
        <w:rPr>
          <w:w w:val="105"/>
          <w:sz w:val="21"/>
        </w:rPr>
        <w:t>what happens in mediation and the benefits of</w:t>
      </w:r>
      <w:r>
        <w:rPr>
          <w:spacing w:val="21"/>
          <w:w w:val="105"/>
          <w:sz w:val="21"/>
        </w:rPr>
        <w:t> </w:t>
      </w:r>
      <w:r>
        <w:rPr>
          <w:w w:val="105"/>
          <w:sz w:val="21"/>
        </w:rPr>
        <w:t>mediation.</w:t>
      </w:r>
      <w:r>
        <w:rPr>
          <w:w w:val="105"/>
          <w:position w:val="7"/>
          <w:sz w:val="12"/>
        </w:rPr>
        <w:t>30</w:t>
      </w:r>
    </w:p>
    <w:p>
      <w:pPr>
        <w:pStyle w:val="BodyText"/>
        <w:spacing w:before="5"/>
        <w:rPr>
          <w:sz w:val="20"/>
        </w:rPr>
      </w:pPr>
    </w:p>
    <w:p>
      <w:pPr>
        <w:pStyle w:val="Heading5"/>
      </w:pPr>
      <w:r>
        <w:rPr>
          <w:w w:val="110"/>
        </w:rPr>
        <w:t>Court/Tribunal resources</w:t>
      </w:r>
    </w:p>
    <w:p>
      <w:pPr>
        <w:pStyle w:val="ListParagraph"/>
        <w:numPr>
          <w:ilvl w:val="1"/>
          <w:numId w:val="16"/>
        </w:numPr>
        <w:tabs>
          <w:tab w:pos="2380" w:val="left" w:leader="none"/>
          <w:tab w:pos="2381" w:val="left" w:leader="none"/>
        </w:tabs>
        <w:spacing w:line="242" w:lineRule="auto" w:before="138" w:after="0"/>
        <w:ind w:left="2381" w:right="1794" w:hanging="794"/>
        <w:jc w:val="left"/>
        <w:rPr>
          <w:sz w:val="21"/>
        </w:rPr>
      </w:pPr>
      <w:r>
        <w:rPr>
          <w:spacing w:val="-5"/>
          <w:w w:val="105"/>
          <w:sz w:val="21"/>
        </w:rPr>
        <w:t>VCAT </w:t>
      </w:r>
      <w:r>
        <w:rPr>
          <w:spacing w:val="-2"/>
          <w:w w:val="105"/>
          <w:sz w:val="21"/>
        </w:rPr>
        <w:t>has </w:t>
      </w:r>
      <w:r>
        <w:rPr>
          <w:w w:val="105"/>
          <w:sz w:val="21"/>
        </w:rPr>
        <w:t>existing </w:t>
      </w:r>
      <w:r>
        <w:rPr>
          <w:spacing w:val="-3"/>
          <w:w w:val="105"/>
          <w:sz w:val="21"/>
        </w:rPr>
        <w:t>online resources to </w:t>
      </w:r>
      <w:r>
        <w:rPr>
          <w:w w:val="105"/>
          <w:sz w:val="21"/>
        </w:rPr>
        <w:t>help parties </w:t>
      </w:r>
      <w:r>
        <w:rPr>
          <w:spacing w:val="-3"/>
          <w:w w:val="105"/>
          <w:sz w:val="21"/>
        </w:rPr>
        <w:t>to </w:t>
      </w:r>
      <w:r>
        <w:rPr>
          <w:w w:val="105"/>
          <w:sz w:val="21"/>
        </w:rPr>
        <w:t>resolve their case in a </w:t>
      </w:r>
      <w:r>
        <w:rPr>
          <w:spacing w:val="-4"/>
          <w:w w:val="105"/>
          <w:sz w:val="21"/>
        </w:rPr>
        <w:t>timely, </w:t>
      </w:r>
      <w:r>
        <w:rPr>
          <w:spacing w:val="-3"/>
          <w:w w:val="105"/>
          <w:sz w:val="21"/>
        </w:rPr>
        <w:t>cost- </w:t>
      </w:r>
      <w:r>
        <w:rPr>
          <w:w w:val="105"/>
          <w:sz w:val="21"/>
        </w:rPr>
        <w:t>effective and efficient </w:t>
      </w:r>
      <w:r>
        <w:rPr>
          <w:spacing w:val="-5"/>
          <w:w w:val="105"/>
          <w:sz w:val="21"/>
        </w:rPr>
        <w:t>way.</w:t>
      </w:r>
      <w:r>
        <w:rPr>
          <w:spacing w:val="-5"/>
          <w:w w:val="105"/>
          <w:position w:val="7"/>
          <w:sz w:val="12"/>
        </w:rPr>
        <w:t>31 </w:t>
      </w:r>
      <w:r>
        <w:rPr>
          <w:spacing w:val="-2"/>
          <w:w w:val="105"/>
          <w:sz w:val="21"/>
        </w:rPr>
        <w:t>Resources </w:t>
      </w:r>
      <w:r>
        <w:rPr>
          <w:spacing w:val="-3"/>
          <w:w w:val="105"/>
          <w:sz w:val="21"/>
        </w:rPr>
        <w:t>include </w:t>
      </w:r>
      <w:r>
        <w:rPr>
          <w:w w:val="105"/>
          <w:sz w:val="21"/>
        </w:rPr>
        <w:t>practice </w:t>
      </w:r>
      <w:r>
        <w:rPr>
          <w:spacing w:val="-3"/>
          <w:w w:val="105"/>
          <w:sz w:val="21"/>
        </w:rPr>
        <w:t>notes </w:t>
      </w:r>
      <w:r>
        <w:rPr>
          <w:w w:val="105"/>
          <w:sz w:val="21"/>
        </w:rPr>
        <w:t>and factsheets, as </w:t>
      </w:r>
      <w:r>
        <w:rPr>
          <w:spacing w:val="-3"/>
          <w:w w:val="105"/>
          <w:sz w:val="21"/>
        </w:rPr>
        <w:t>well </w:t>
      </w:r>
      <w:r>
        <w:rPr>
          <w:w w:val="105"/>
          <w:sz w:val="21"/>
        </w:rPr>
        <w:t>as application guides </w:t>
      </w:r>
      <w:r>
        <w:rPr>
          <w:spacing w:val="-3"/>
          <w:w w:val="105"/>
          <w:sz w:val="21"/>
        </w:rPr>
        <w:t>for </w:t>
      </w:r>
      <w:r>
        <w:rPr>
          <w:w w:val="105"/>
          <w:sz w:val="21"/>
        </w:rPr>
        <w:t>particular types of </w:t>
      </w:r>
      <w:r>
        <w:rPr>
          <w:spacing w:val="-3"/>
          <w:w w:val="105"/>
          <w:sz w:val="21"/>
        </w:rPr>
        <w:t>dispute.</w:t>
      </w:r>
      <w:r>
        <w:rPr>
          <w:spacing w:val="-3"/>
          <w:w w:val="105"/>
          <w:position w:val="7"/>
          <w:sz w:val="12"/>
        </w:rPr>
        <w:t>32 </w:t>
      </w:r>
      <w:r>
        <w:rPr>
          <w:spacing w:val="-6"/>
          <w:w w:val="105"/>
          <w:sz w:val="21"/>
        </w:rPr>
        <w:t>VCAT’s </w:t>
      </w:r>
      <w:r>
        <w:rPr>
          <w:spacing w:val="-3"/>
          <w:w w:val="105"/>
          <w:sz w:val="21"/>
        </w:rPr>
        <w:t>website </w:t>
      </w:r>
      <w:r>
        <w:rPr>
          <w:w w:val="105"/>
          <w:sz w:val="21"/>
        </w:rPr>
        <w:t>clearly </w:t>
      </w:r>
      <w:r>
        <w:rPr>
          <w:spacing w:val="-3"/>
          <w:w w:val="105"/>
          <w:sz w:val="21"/>
        </w:rPr>
        <w:t>outlines </w:t>
      </w:r>
      <w:r>
        <w:rPr>
          <w:w w:val="105"/>
          <w:sz w:val="21"/>
        </w:rPr>
        <w:t>the </w:t>
      </w:r>
      <w:r>
        <w:rPr>
          <w:spacing w:val="-3"/>
          <w:w w:val="105"/>
          <w:sz w:val="21"/>
        </w:rPr>
        <w:t>‘Steps to </w:t>
      </w:r>
      <w:r>
        <w:rPr>
          <w:w w:val="105"/>
          <w:sz w:val="21"/>
        </w:rPr>
        <w:t>Resolve </w:t>
      </w:r>
      <w:r>
        <w:rPr>
          <w:spacing w:val="-6"/>
          <w:w w:val="105"/>
          <w:sz w:val="21"/>
        </w:rPr>
        <w:t>Your </w:t>
      </w:r>
      <w:r>
        <w:rPr>
          <w:spacing w:val="-3"/>
          <w:w w:val="105"/>
          <w:sz w:val="21"/>
        </w:rPr>
        <w:t>Case’ from lodging </w:t>
      </w:r>
      <w:r>
        <w:rPr>
          <w:w w:val="105"/>
          <w:sz w:val="21"/>
        </w:rPr>
        <w:t>an application with </w:t>
      </w:r>
      <w:r>
        <w:rPr>
          <w:spacing w:val="-5"/>
          <w:w w:val="105"/>
          <w:sz w:val="21"/>
        </w:rPr>
        <w:t>VCAT </w:t>
      </w:r>
      <w:r>
        <w:rPr>
          <w:spacing w:val="-3"/>
          <w:w w:val="105"/>
          <w:sz w:val="21"/>
        </w:rPr>
        <w:t>through to </w:t>
      </w:r>
      <w:r>
        <w:rPr>
          <w:w w:val="105"/>
          <w:sz w:val="21"/>
        </w:rPr>
        <w:t>what </w:t>
      </w:r>
      <w:r>
        <w:rPr>
          <w:spacing w:val="-3"/>
          <w:w w:val="105"/>
          <w:sz w:val="21"/>
        </w:rPr>
        <w:t>to </w:t>
      </w:r>
      <w:r>
        <w:rPr>
          <w:w w:val="105"/>
          <w:sz w:val="21"/>
        </w:rPr>
        <w:t>expect at the final</w:t>
      </w:r>
      <w:r>
        <w:rPr>
          <w:spacing w:val="21"/>
          <w:w w:val="105"/>
          <w:sz w:val="21"/>
        </w:rPr>
        <w:t> </w:t>
      </w:r>
      <w:r>
        <w:rPr>
          <w:spacing w:val="-3"/>
          <w:w w:val="105"/>
          <w:sz w:val="21"/>
        </w:rPr>
        <w:t>hearing.</w:t>
      </w:r>
      <w:r>
        <w:rPr>
          <w:spacing w:val="-3"/>
          <w:w w:val="105"/>
          <w:position w:val="7"/>
          <w:sz w:val="12"/>
        </w:rPr>
        <w:t>33</w:t>
      </w:r>
    </w:p>
    <w:p>
      <w:pPr>
        <w:pStyle w:val="ListParagraph"/>
        <w:numPr>
          <w:ilvl w:val="1"/>
          <w:numId w:val="16"/>
        </w:numPr>
        <w:tabs>
          <w:tab w:pos="2381" w:val="left" w:leader="none"/>
          <w:tab w:pos="2382" w:val="left" w:leader="none"/>
        </w:tabs>
        <w:spacing w:line="242" w:lineRule="auto" w:before="125" w:after="0"/>
        <w:ind w:left="2381" w:right="1924" w:hanging="794"/>
        <w:jc w:val="left"/>
        <w:rPr>
          <w:sz w:val="21"/>
        </w:rPr>
      </w:pPr>
      <w:r>
        <w:rPr>
          <w:sz w:val="21"/>
        </w:rPr>
        <w:t>The </w:t>
      </w:r>
      <w:r>
        <w:rPr>
          <w:spacing w:val="-3"/>
          <w:sz w:val="21"/>
        </w:rPr>
        <w:t>website encourages </w:t>
      </w:r>
      <w:r>
        <w:rPr>
          <w:sz w:val="21"/>
        </w:rPr>
        <w:t>applicants </w:t>
      </w:r>
      <w:r>
        <w:rPr>
          <w:spacing w:val="-3"/>
          <w:sz w:val="21"/>
        </w:rPr>
        <w:t>to  represent  </w:t>
      </w:r>
      <w:r>
        <w:rPr>
          <w:sz w:val="21"/>
        </w:rPr>
        <w:t>themselves,  </w:t>
      </w:r>
      <w:r>
        <w:rPr>
          <w:spacing w:val="-3"/>
          <w:sz w:val="21"/>
        </w:rPr>
        <w:t>discussing  </w:t>
      </w:r>
      <w:r>
        <w:rPr>
          <w:sz w:val="21"/>
        </w:rPr>
        <w:t>the  resolution of cases by </w:t>
      </w:r>
      <w:r>
        <w:rPr>
          <w:spacing w:val="-2"/>
          <w:sz w:val="21"/>
        </w:rPr>
        <w:t>agreement </w:t>
      </w:r>
      <w:r>
        <w:rPr>
          <w:sz w:val="21"/>
        </w:rPr>
        <w:t>and </w:t>
      </w:r>
      <w:r>
        <w:rPr>
          <w:spacing w:val="-3"/>
          <w:sz w:val="21"/>
        </w:rPr>
        <w:t>detailing </w:t>
      </w:r>
      <w:r>
        <w:rPr>
          <w:sz w:val="21"/>
        </w:rPr>
        <w:t>the </w:t>
      </w:r>
      <w:r>
        <w:rPr>
          <w:spacing w:val="-3"/>
          <w:sz w:val="21"/>
        </w:rPr>
        <w:t>alternative dispute </w:t>
      </w:r>
      <w:r>
        <w:rPr>
          <w:sz w:val="21"/>
        </w:rPr>
        <w:t>resolution services </w:t>
      </w:r>
      <w:r>
        <w:rPr>
          <w:spacing w:val="-3"/>
          <w:sz w:val="21"/>
        </w:rPr>
        <w:t>that are available </w:t>
      </w:r>
      <w:r>
        <w:rPr>
          <w:sz w:val="21"/>
        </w:rPr>
        <w:t>at </w:t>
      </w:r>
      <w:r>
        <w:rPr>
          <w:spacing w:val="-8"/>
          <w:sz w:val="21"/>
        </w:rPr>
        <w:t>VCAT. </w:t>
      </w:r>
      <w:r>
        <w:rPr>
          <w:spacing w:val="-3"/>
          <w:sz w:val="21"/>
        </w:rPr>
        <w:t>Making </w:t>
      </w:r>
      <w:r>
        <w:rPr>
          <w:sz w:val="21"/>
        </w:rPr>
        <w:t>an </w:t>
      </w:r>
      <w:r>
        <w:rPr>
          <w:spacing w:val="-2"/>
          <w:sz w:val="21"/>
        </w:rPr>
        <w:t>agreement legally </w:t>
      </w:r>
      <w:r>
        <w:rPr>
          <w:spacing w:val="-3"/>
          <w:sz w:val="21"/>
        </w:rPr>
        <w:t>binding  </w:t>
      </w:r>
      <w:r>
        <w:rPr>
          <w:sz w:val="21"/>
        </w:rPr>
        <w:t>via </w:t>
      </w:r>
      <w:r>
        <w:rPr>
          <w:spacing w:val="-4"/>
          <w:sz w:val="21"/>
        </w:rPr>
        <w:t>Consent  </w:t>
      </w:r>
      <w:r>
        <w:rPr>
          <w:sz w:val="21"/>
        </w:rPr>
        <w:t>Orders at </w:t>
      </w:r>
      <w:r>
        <w:rPr>
          <w:spacing w:val="-5"/>
          <w:sz w:val="21"/>
        </w:rPr>
        <w:t>VCAT  </w:t>
      </w:r>
      <w:r>
        <w:rPr>
          <w:sz w:val="21"/>
        </w:rPr>
        <w:t>is  also</w:t>
      </w:r>
      <w:r>
        <w:rPr>
          <w:spacing w:val="8"/>
          <w:sz w:val="21"/>
        </w:rPr>
        <w:t> </w:t>
      </w:r>
      <w:r>
        <w:rPr>
          <w:sz w:val="21"/>
        </w:rPr>
        <w:t>canvassed.</w:t>
      </w:r>
    </w:p>
    <w:p>
      <w:pPr>
        <w:pStyle w:val="ListParagraph"/>
        <w:numPr>
          <w:ilvl w:val="1"/>
          <w:numId w:val="16"/>
        </w:numPr>
        <w:tabs>
          <w:tab w:pos="2380" w:val="left" w:leader="none"/>
          <w:tab w:pos="2381" w:val="left" w:leader="none"/>
        </w:tabs>
        <w:spacing w:line="242" w:lineRule="auto" w:before="125" w:after="0"/>
        <w:ind w:left="2381" w:right="1669" w:hanging="794"/>
        <w:jc w:val="left"/>
        <w:rPr>
          <w:sz w:val="21"/>
        </w:rPr>
      </w:pPr>
      <w:r>
        <w:rPr>
          <w:w w:val="105"/>
          <w:sz w:val="21"/>
        </w:rPr>
        <w:t>Some people </w:t>
      </w:r>
      <w:r>
        <w:rPr>
          <w:spacing w:val="-3"/>
          <w:w w:val="105"/>
          <w:sz w:val="21"/>
        </w:rPr>
        <w:t>commented </w:t>
      </w:r>
      <w:r>
        <w:rPr>
          <w:w w:val="105"/>
          <w:sz w:val="21"/>
        </w:rPr>
        <w:t>on the effectiveness of </w:t>
      </w:r>
      <w:r>
        <w:rPr>
          <w:spacing w:val="-3"/>
          <w:w w:val="105"/>
          <w:sz w:val="21"/>
        </w:rPr>
        <w:t>proceedings </w:t>
      </w:r>
      <w:r>
        <w:rPr>
          <w:w w:val="105"/>
          <w:sz w:val="21"/>
        </w:rPr>
        <w:t>in the </w:t>
      </w:r>
      <w:r>
        <w:rPr>
          <w:spacing w:val="-3"/>
          <w:w w:val="105"/>
          <w:sz w:val="21"/>
        </w:rPr>
        <w:t>Magistrates’ Court </w:t>
      </w:r>
      <w:r>
        <w:rPr>
          <w:w w:val="105"/>
          <w:sz w:val="21"/>
        </w:rPr>
        <w:t>under the </w:t>
      </w:r>
      <w:r>
        <w:rPr>
          <w:i/>
          <w:w w:val="105"/>
          <w:sz w:val="21"/>
        </w:rPr>
        <w:t>Fences Act </w:t>
      </w:r>
      <w:r>
        <w:rPr>
          <w:i/>
          <w:spacing w:val="-4"/>
          <w:w w:val="105"/>
          <w:sz w:val="21"/>
        </w:rPr>
        <w:t>1968 </w:t>
      </w:r>
      <w:r>
        <w:rPr>
          <w:w w:val="105"/>
          <w:sz w:val="21"/>
        </w:rPr>
        <w:t>(Vic).</w:t>
      </w:r>
      <w:r>
        <w:rPr>
          <w:w w:val="105"/>
          <w:position w:val="7"/>
          <w:sz w:val="12"/>
        </w:rPr>
        <w:t>34 </w:t>
      </w:r>
      <w:r>
        <w:rPr>
          <w:w w:val="105"/>
          <w:sz w:val="21"/>
        </w:rPr>
        <w:t>The </w:t>
      </w:r>
      <w:r>
        <w:rPr>
          <w:spacing w:val="-3"/>
          <w:w w:val="105"/>
          <w:sz w:val="21"/>
        </w:rPr>
        <w:t>Magistrates’ Court </w:t>
      </w:r>
      <w:r>
        <w:rPr>
          <w:w w:val="105"/>
          <w:sz w:val="21"/>
        </w:rPr>
        <w:t>provides </w:t>
      </w:r>
      <w:r>
        <w:rPr>
          <w:spacing w:val="-3"/>
          <w:w w:val="105"/>
          <w:sz w:val="21"/>
        </w:rPr>
        <w:t>helpful information for</w:t>
      </w:r>
      <w:r>
        <w:rPr>
          <w:spacing w:val="-6"/>
          <w:w w:val="105"/>
          <w:sz w:val="21"/>
        </w:rPr>
        <w:t> </w:t>
      </w:r>
      <w:r>
        <w:rPr>
          <w:w w:val="105"/>
          <w:sz w:val="21"/>
        </w:rPr>
        <w:t>neighbours</w:t>
      </w:r>
      <w:r>
        <w:rPr>
          <w:spacing w:val="-5"/>
          <w:w w:val="105"/>
          <w:sz w:val="21"/>
        </w:rPr>
        <w:t> </w:t>
      </w:r>
      <w:r>
        <w:rPr>
          <w:spacing w:val="-3"/>
          <w:w w:val="105"/>
          <w:sz w:val="21"/>
        </w:rPr>
        <w:t>contemplating</w:t>
      </w:r>
      <w:r>
        <w:rPr>
          <w:spacing w:val="-5"/>
          <w:w w:val="105"/>
          <w:sz w:val="21"/>
        </w:rPr>
        <w:t> </w:t>
      </w:r>
      <w:r>
        <w:rPr>
          <w:w w:val="105"/>
          <w:sz w:val="21"/>
        </w:rPr>
        <w:t>action</w:t>
      </w:r>
      <w:r>
        <w:rPr>
          <w:spacing w:val="-5"/>
          <w:w w:val="105"/>
          <w:sz w:val="21"/>
        </w:rPr>
        <w:t> </w:t>
      </w:r>
      <w:r>
        <w:rPr>
          <w:w w:val="105"/>
          <w:sz w:val="21"/>
        </w:rPr>
        <w:t>under</w:t>
      </w:r>
      <w:r>
        <w:rPr>
          <w:spacing w:val="-5"/>
          <w:w w:val="105"/>
          <w:sz w:val="21"/>
        </w:rPr>
        <w:t> </w:t>
      </w:r>
      <w:r>
        <w:rPr>
          <w:w w:val="105"/>
          <w:sz w:val="21"/>
        </w:rPr>
        <w:t>the</w:t>
      </w:r>
      <w:r>
        <w:rPr>
          <w:spacing w:val="-5"/>
          <w:w w:val="105"/>
          <w:sz w:val="21"/>
        </w:rPr>
        <w:t> </w:t>
      </w:r>
      <w:r>
        <w:rPr>
          <w:w w:val="105"/>
          <w:sz w:val="21"/>
        </w:rPr>
        <w:t>Fences</w:t>
      </w:r>
      <w:r>
        <w:rPr>
          <w:spacing w:val="-5"/>
          <w:w w:val="105"/>
          <w:sz w:val="21"/>
        </w:rPr>
        <w:t> </w:t>
      </w:r>
      <w:r>
        <w:rPr>
          <w:w w:val="105"/>
          <w:sz w:val="21"/>
        </w:rPr>
        <w:t>Act.</w:t>
      </w:r>
      <w:r>
        <w:rPr>
          <w:spacing w:val="-5"/>
          <w:w w:val="105"/>
          <w:sz w:val="21"/>
        </w:rPr>
        <w:t> </w:t>
      </w:r>
      <w:r>
        <w:rPr>
          <w:w w:val="105"/>
          <w:sz w:val="21"/>
        </w:rPr>
        <w:t>A</w:t>
      </w:r>
      <w:r>
        <w:rPr>
          <w:spacing w:val="-5"/>
          <w:w w:val="105"/>
          <w:sz w:val="21"/>
        </w:rPr>
        <w:t> </w:t>
      </w:r>
      <w:r>
        <w:rPr>
          <w:spacing w:val="-3"/>
          <w:w w:val="105"/>
          <w:sz w:val="21"/>
        </w:rPr>
        <w:t>comprehensive</w:t>
      </w:r>
      <w:r>
        <w:rPr>
          <w:spacing w:val="-5"/>
          <w:w w:val="105"/>
          <w:sz w:val="21"/>
        </w:rPr>
        <w:t> </w:t>
      </w:r>
      <w:r>
        <w:rPr>
          <w:spacing w:val="-3"/>
          <w:w w:val="105"/>
          <w:sz w:val="21"/>
        </w:rPr>
        <w:t>Information </w:t>
      </w:r>
      <w:r>
        <w:rPr>
          <w:w w:val="105"/>
          <w:sz w:val="21"/>
        </w:rPr>
        <w:t>Guide provides general </w:t>
      </w:r>
      <w:r>
        <w:rPr>
          <w:spacing w:val="-3"/>
          <w:w w:val="105"/>
          <w:sz w:val="21"/>
        </w:rPr>
        <w:t>information </w:t>
      </w:r>
      <w:r>
        <w:rPr>
          <w:w w:val="105"/>
          <w:sz w:val="21"/>
        </w:rPr>
        <w:t>about the civil process </w:t>
      </w:r>
      <w:r>
        <w:rPr>
          <w:spacing w:val="-3"/>
          <w:w w:val="105"/>
          <w:sz w:val="21"/>
        </w:rPr>
        <w:t>for fencing disputes </w:t>
      </w:r>
      <w:r>
        <w:rPr>
          <w:w w:val="105"/>
          <w:sz w:val="21"/>
        </w:rPr>
        <w:t>in the </w:t>
      </w:r>
      <w:r>
        <w:rPr>
          <w:spacing w:val="-3"/>
          <w:w w:val="105"/>
          <w:sz w:val="21"/>
        </w:rPr>
        <w:t>Court </w:t>
      </w:r>
      <w:r>
        <w:rPr>
          <w:w w:val="105"/>
          <w:sz w:val="21"/>
        </w:rPr>
        <w:t>and </w:t>
      </w:r>
      <w:r>
        <w:rPr>
          <w:spacing w:val="-3"/>
          <w:w w:val="105"/>
          <w:sz w:val="21"/>
        </w:rPr>
        <w:t>outlines </w:t>
      </w:r>
      <w:r>
        <w:rPr>
          <w:spacing w:val="-4"/>
          <w:w w:val="105"/>
          <w:sz w:val="21"/>
        </w:rPr>
        <w:t>key </w:t>
      </w:r>
      <w:r>
        <w:rPr>
          <w:w w:val="105"/>
          <w:sz w:val="21"/>
        </w:rPr>
        <w:t>definitions under the Fences </w:t>
      </w:r>
      <w:r>
        <w:rPr>
          <w:i/>
          <w:spacing w:val="-3"/>
          <w:w w:val="105"/>
          <w:sz w:val="21"/>
        </w:rPr>
        <w:t>Act.</w:t>
      </w:r>
      <w:r>
        <w:rPr>
          <w:spacing w:val="-3"/>
          <w:w w:val="105"/>
          <w:position w:val="7"/>
          <w:sz w:val="12"/>
        </w:rPr>
        <w:t>35 </w:t>
      </w:r>
      <w:r>
        <w:rPr>
          <w:w w:val="105"/>
          <w:sz w:val="21"/>
        </w:rPr>
        <w:t>The guide strongly advises people </w:t>
      </w:r>
      <w:r>
        <w:rPr>
          <w:spacing w:val="-3"/>
          <w:w w:val="105"/>
          <w:sz w:val="21"/>
        </w:rPr>
        <w:t>to </w:t>
      </w:r>
      <w:r>
        <w:rPr>
          <w:w w:val="105"/>
          <w:sz w:val="21"/>
        </w:rPr>
        <w:t>seek advice or mediation </w:t>
      </w:r>
      <w:r>
        <w:rPr>
          <w:spacing w:val="-3"/>
          <w:w w:val="105"/>
          <w:sz w:val="21"/>
        </w:rPr>
        <w:t>through </w:t>
      </w:r>
      <w:r>
        <w:rPr>
          <w:w w:val="105"/>
          <w:sz w:val="21"/>
        </w:rPr>
        <w:t>DSCV and also </w:t>
      </w:r>
      <w:r>
        <w:rPr>
          <w:spacing w:val="-3"/>
          <w:w w:val="105"/>
          <w:sz w:val="21"/>
        </w:rPr>
        <w:t>outlines </w:t>
      </w:r>
      <w:r>
        <w:rPr>
          <w:w w:val="105"/>
          <w:sz w:val="21"/>
        </w:rPr>
        <w:t>how </w:t>
      </w:r>
      <w:r>
        <w:rPr>
          <w:spacing w:val="-3"/>
          <w:w w:val="105"/>
          <w:sz w:val="21"/>
        </w:rPr>
        <w:t>to commence </w:t>
      </w:r>
      <w:r>
        <w:rPr>
          <w:w w:val="105"/>
          <w:sz w:val="21"/>
        </w:rPr>
        <w:t>a proceeding.</w:t>
      </w:r>
      <w:r>
        <w:rPr>
          <w:w w:val="105"/>
          <w:position w:val="7"/>
          <w:sz w:val="12"/>
        </w:rPr>
        <w:t>36</w:t>
      </w:r>
    </w:p>
    <w:p>
      <w:pPr>
        <w:pStyle w:val="ListParagraph"/>
        <w:numPr>
          <w:ilvl w:val="1"/>
          <w:numId w:val="16"/>
        </w:numPr>
        <w:tabs>
          <w:tab w:pos="2381" w:val="left" w:leader="none"/>
          <w:tab w:pos="2382" w:val="left" w:leader="none"/>
        </w:tabs>
        <w:spacing w:line="242" w:lineRule="auto" w:before="127" w:after="0"/>
        <w:ind w:left="2381" w:right="1768" w:hanging="794"/>
        <w:jc w:val="left"/>
        <w:rPr>
          <w:sz w:val="21"/>
        </w:rPr>
      </w:pPr>
      <w:r>
        <w:rPr>
          <w:w w:val="105"/>
          <w:sz w:val="21"/>
        </w:rPr>
        <w:t>These</w:t>
      </w:r>
      <w:r>
        <w:rPr>
          <w:spacing w:val="-10"/>
          <w:w w:val="105"/>
          <w:sz w:val="21"/>
        </w:rPr>
        <w:t> </w:t>
      </w:r>
      <w:r>
        <w:rPr>
          <w:spacing w:val="-3"/>
          <w:w w:val="105"/>
          <w:sz w:val="21"/>
        </w:rPr>
        <w:t>resources</w:t>
      </w:r>
      <w:r>
        <w:rPr>
          <w:spacing w:val="-9"/>
          <w:w w:val="105"/>
          <w:sz w:val="21"/>
        </w:rPr>
        <w:t> </w:t>
      </w:r>
      <w:r>
        <w:rPr>
          <w:w w:val="105"/>
          <w:sz w:val="21"/>
        </w:rPr>
        <w:t>provide</w:t>
      </w:r>
      <w:r>
        <w:rPr>
          <w:spacing w:val="-9"/>
          <w:w w:val="105"/>
          <w:sz w:val="21"/>
        </w:rPr>
        <w:t> </w:t>
      </w:r>
      <w:r>
        <w:rPr>
          <w:w w:val="105"/>
          <w:sz w:val="21"/>
        </w:rPr>
        <w:t>a</w:t>
      </w:r>
      <w:r>
        <w:rPr>
          <w:spacing w:val="-9"/>
          <w:w w:val="105"/>
          <w:sz w:val="21"/>
        </w:rPr>
        <w:t> </w:t>
      </w:r>
      <w:r>
        <w:rPr>
          <w:spacing w:val="-3"/>
          <w:w w:val="105"/>
          <w:sz w:val="21"/>
        </w:rPr>
        <w:t>useful</w:t>
      </w:r>
      <w:r>
        <w:rPr>
          <w:spacing w:val="-9"/>
          <w:w w:val="105"/>
          <w:sz w:val="21"/>
        </w:rPr>
        <w:t> </w:t>
      </w:r>
      <w:r>
        <w:rPr>
          <w:spacing w:val="-3"/>
          <w:w w:val="105"/>
          <w:sz w:val="21"/>
        </w:rPr>
        <w:t>foundation</w:t>
      </w:r>
      <w:r>
        <w:rPr>
          <w:spacing w:val="-10"/>
          <w:w w:val="105"/>
          <w:sz w:val="21"/>
        </w:rPr>
        <w:t> </w:t>
      </w:r>
      <w:r>
        <w:rPr>
          <w:spacing w:val="-3"/>
          <w:w w:val="105"/>
          <w:sz w:val="21"/>
        </w:rPr>
        <w:t>for</w:t>
      </w:r>
      <w:r>
        <w:rPr>
          <w:spacing w:val="-9"/>
          <w:w w:val="105"/>
          <w:sz w:val="21"/>
        </w:rPr>
        <w:t> </w:t>
      </w:r>
      <w:r>
        <w:rPr>
          <w:w w:val="105"/>
          <w:sz w:val="21"/>
        </w:rPr>
        <w:t>the</w:t>
      </w:r>
      <w:r>
        <w:rPr>
          <w:spacing w:val="-9"/>
          <w:w w:val="105"/>
          <w:sz w:val="21"/>
        </w:rPr>
        <w:t> </w:t>
      </w:r>
      <w:r>
        <w:rPr>
          <w:w w:val="105"/>
          <w:sz w:val="21"/>
        </w:rPr>
        <w:t>development</w:t>
      </w:r>
      <w:r>
        <w:rPr>
          <w:spacing w:val="-9"/>
          <w:w w:val="105"/>
          <w:sz w:val="21"/>
        </w:rPr>
        <w:t> </w:t>
      </w:r>
      <w:r>
        <w:rPr>
          <w:w w:val="105"/>
          <w:sz w:val="21"/>
        </w:rPr>
        <w:t>of</w:t>
      </w:r>
      <w:r>
        <w:rPr>
          <w:spacing w:val="-9"/>
          <w:w w:val="105"/>
          <w:sz w:val="21"/>
        </w:rPr>
        <w:t> </w:t>
      </w:r>
      <w:r>
        <w:rPr>
          <w:w w:val="105"/>
          <w:sz w:val="21"/>
        </w:rPr>
        <w:t>specific</w:t>
      </w:r>
      <w:r>
        <w:rPr>
          <w:spacing w:val="-9"/>
          <w:w w:val="105"/>
          <w:sz w:val="21"/>
        </w:rPr>
        <w:t> </w:t>
      </w:r>
      <w:r>
        <w:rPr>
          <w:spacing w:val="-3"/>
          <w:w w:val="105"/>
          <w:sz w:val="21"/>
        </w:rPr>
        <w:t>materials</w:t>
      </w:r>
      <w:r>
        <w:rPr>
          <w:spacing w:val="-10"/>
          <w:w w:val="105"/>
          <w:sz w:val="21"/>
        </w:rPr>
        <w:t> </w:t>
      </w:r>
      <w:r>
        <w:rPr>
          <w:spacing w:val="-3"/>
          <w:w w:val="105"/>
          <w:sz w:val="21"/>
        </w:rPr>
        <w:t>to underpin </w:t>
      </w:r>
      <w:r>
        <w:rPr>
          <w:w w:val="105"/>
          <w:sz w:val="21"/>
        </w:rPr>
        <w:t>the new</w:t>
      </w:r>
      <w:r>
        <w:rPr>
          <w:spacing w:val="19"/>
          <w:w w:val="105"/>
          <w:sz w:val="21"/>
        </w:rPr>
        <w:t> </w:t>
      </w:r>
      <w:r>
        <w:rPr>
          <w:w w:val="105"/>
          <w:sz w:val="21"/>
        </w:rPr>
        <w:t>Act.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r>
        <w:rPr/>
        <w:pict>
          <v:line style="position:absolute;mso-position-horizontal-relative:page;mso-position-vertical-relative:paragraph;z-index:11528;mso-wrap-distance-left:0;mso-wrap-distance-right:0" from="79.370003pt,15.238322pt" to="515.905003pt,15.238322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200"/>
        </w:numPr>
        <w:tabs>
          <w:tab w:pos="2380" w:val="left" w:leader="none"/>
          <w:tab w:pos="2382" w:val="left" w:leader="none"/>
        </w:tabs>
        <w:spacing w:line="240" w:lineRule="auto" w:before="48" w:after="0"/>
        <w:ind w:left="2381" w:right="3" w:hanging="794"/>
        <w:jc w:val="left"/>
        <w:rPr>
          <w:sz w:val="13"/>
        </w:rPr>
      </w:pPr>
      <w:r>
        <w:rPr>
          <w:sz w:val="13"/>
        </w:rPr>
        <w:t>Arboriculture Australia, </w:t>
      </w:r>
      <w:r>
        <w:rPr>
          <w:i/>
          <w:spacing w:val="2"/>
          <w:sz w:val="13"/>
        </w:rPr>
        <w:t>Directory </w:t>
      </w:r>
      <w:r>
        <w:rPr>
          <w:i/>
          <w:sz w:val="13"/>
        </w:rPr>
        <w:t>Listing </w:t>
      </w:r>
      <w:r>
        <w:rPr>
          <w:sz w:val="13"/>
        </w:rPr>
        <w:t>(Online Directory) &lt;</w:t>
      </w:r>
      <w:hyperlink r:id="rId330">
        <w:r>
          <w:rPr>
            <w:sz w:val="13"/>
          </w:rPr>
          <w:t>http://arboriculture.org.au/listings.aspx</w:t>
        </w:r>
      </w:hyperlink>
      <w:r>
        <w:rPr>
          <w:sz w:val="13"/>
        </w:rPr>
        <w:t>&gt;. Arboriculture Australia arborists are  qualified</w:t>
      </w:r>
      <w:r>
        <w:rPr>
          <w:spacing w:val="13"/>
          <w:sz w:val="13"/>
        </w:rPr>
        <w:t> </w:t>
      </w:r>
      <w:r>
        <w:rPr>
          <w:sz w:val="13"/>
        </w:rPr>
        <w:t>to</w:t>
      </w:r>
      <w:r>
        <w:rPr>
          <w:spacing w:val="14"/>
          <w:sz w:val="13"/>
        </w:rPr>
        <w:t> </w:t>
      </w:r>
      <w:r>
        <w:rPr>
          <w:sz w:val="13"/>
        </w:rPr>
        <w:t>at</w:t>
      </w:r>
      <w:r>
        <w:rPr>
          <w:spacing w:val="14"/>
          <w:sz w:val="13"/>
        </w:rPr>
        <w:t> </w:t>
      </w:r>
      <w:r>
        <w:rPr>
          <w:sz w:val="13"/>
        </w:rPr>
        <w:t>least</w:t>
      </w:r>
      <w:r>
        <w:rPr>
          <w:spacing w:val="14"/>
          <w:sz w:val="13"/>
        </w:rPr>
        <w:t> </w:t>
      </w:r>
      <w:r>
        <w:rPr>
          <w:sz w:val="13"/>
        </w:rPr>
        <w:t>AQF</w:t>
      </w:r>
      <w:r>
        <w:rPr>
          <w:spacing w:val="14"/>
          <w:sz w:val="13"/>
        </w:rPr>
        <w:t> </w:t>
      </w:r>
      <w:r>
        <w:rPr>
          <w:sz w:val="13"/>
        </w:rPr>
        <w:t>Level</w:t>
      </w:r>
      <w:r>
        <w:rPr>
          <w:spacing w:val="13"/>
          <w:sz w:val="13"/>
        </w:rPr>
        <w:t> </w:t>
      </w:r>
      <w:r>
        <w:rPr>
          <w:sz w:val="13"/>
        </w:rPr>
        <w:t>3</w:t>
      </w:r>
      <w:r>
        <w:rPr>
          <w:spacing w:val="14"/>
          <w:sz w:val="13"/>
        </w:rPr>
        <w:t> </w:t>
      </w:r>
      <w:r>
        <w:rPr>
          <w:sz w:val="13"/>
        </w:rPr>
        <w:t>and</w:t>
      </w:r>
      <w:r>
        <w:rPr>
          <w:spacing w:val="14"/>
          <w:sz w:val="13"/>
        </w:rPr>
        <w:t> </w:t>
      </w:r>
      <w:r>
        <w:rPr>
          <w:sz w:val="13"/>
        </w:rPr>
        <w:t>are</w:t>
      </w:r>
      <w:r>
        <w:rPr>
          <w:spacing w:val="14"/>
          <w:sz w:val="13"/>
        </w:rPr>
        <w:t> </w:t>
      </w:r>
      <w:r>
        <w:rPr>
          <w:sz w:val="13"/>
        </w:rPr>
        <w:t>required</w:t>
      </w:r>
      <w:r>
        <w:rPr>
          <w:spacing w:val="13"/>
          <w:sz w:val="13"/>
        </w:rPr>
        <w:t> </w:t>
      </w:r>
      <w:r>
        <w:rPr>
          <w:sz w:val="13"/>
        </w:rPr>
        <w:t>to</w:t>
      </w:r>
      <w:r>
        <w:rPr>
          <w:spacing w:val="14"/>
          <w:sz w:val="13"/>
        </w:rPr>
        <w:t> </w:t>
      </w:r>
      <w:r>
        <w:rPr>
          <w:sz w:val="13"/>
        </w:rPr>
        <w:t>continually</w:t>
      </w:r>
      <w:r>
        <w:rPr>
          <w:spacing w:val="14"/>
          <w:sz w:val="13"/>
        </w:rPr>
        <w:t> </w:t>
      </w:r>
      <w:r>
        <w:rPr>
          <w:sz w:val="13"/>
        </w:rPr>
        <w:t>update</w:t>
      </w:r>
      <w:r>
        <w:rPr>
          <w:spacing w:val="14"/>
          <w:sz w:val="13"/>
        </w:rPr>
        <w:t> </w:t>
      </w:r>
      <w:r>
        <w:rPr>
          <w:sz w:val="13"/>
        </w:rPr>
        <w:t>their</w:t>
      </w:r>
      <w:r>
        <w:rPr>
          <w:spacing w:val="14"/>
          <w:sz w:val="13"/>
        </w:rPr>
        <w:t> </w:t>
      </w:r>
      <w:r>
        <w:rPr>
          <w:sz w:val="13"/>
        </w:rPr>
        <w:t>knowledge</w:t>
      </w:r>
      <w:r>
        <w:rPr>
          <w:spacing w:val="13"/>
          <w:sz w:val="13"/>
        </w:rPr>
        <w:t> </w:t>
      </w:r>
      <w:r>
        <w:rPr>
          <w:sz w:val="13"/>
        </w:rPr>
        <w:t>on</w:t>
      </w:r>
      <w:r>
        <w:rPr>
          <w:spacing w:val="14"/>
          <w:sz w:val="13"/>
        </w:rPr>
        <w:t> </w:t>
      </w:r>
      <w:r>
        <w:rPr>
          <w:sz w:val="13"/>
        </w:rPr>
        <w:t>the</w:t>
      </w:r>
      <w:r>
        <w:rPr>
          <w:spacing w:val="14"/>
          <w:sz w:val="13"/>
        </w:rPr>
        <w:t> </w:t>
      </w:r>
      <w:r>
        <w:rPr>
          <w:sz w:val="13"/>
        </w:rPr>
        <w:t>latest</w:t>
      </w:r>
      <w:r>
        <w:rPr>
          <w:spacing w:val="14"/>
          <w:sz w:val="13"/>
        </w:rPr>
        <w:t> </w:t>
      </w:r>
      <w:r>
        <w:rPr>
          <w:sz w:val="13"/>
        </w:rPr>
        <w:t>arboricultural</w:t>
      </w:r>
      <w:r>
        <w:rPr>
          <w:spacing w:val="14"/>
          <w:sz w:val="13"/>
        </w:rPr>
        <w:t> </w:t>
      </w:r>
      <w:r>
        <w:rPr>
          <w:sz w:val="13"/>
        </w:rPr>
        <w:t>techniques.</w:t>
      </w:r>
    </w:p>
    <w:p>
      <w:pPr>
        <w:pStyle w:val="ListParagraph"/>
        <w:numPr>
          <w:ilvl w:val="0"/>
          <w:numId w:val="200"/>
        </w:numPr>
        <w:tabs>
          <w:tab w:pos="2381" w:val="left" w:leader="none"/>
          <w:tab w:pos="2382" w:val="left" w:leader="none"/>
        </w:tabs>
        <w:spacing w:line="240" w:lineRule="auto" w:before="3" w:after="0"/>
        <w:ind w:left="2381" w:right="56" w:hanging="794"/>
        <w:jc w:val="left"/>
        <w:rPr>
          <w:sz w:val="13"/>
        </w:rPr>
      </w:pPr>
      <w:r>
        <w:rPr>
          <w:sz w:val="13"/>
        </w:rPr>
        <w:t>Consultation 8 (City of Boroondara). Practising arborists are  able  to  undertake  practical  operations  in  tree  care,  for  example  to  </w:t>
      </w:r>
      <w:r>
        <w:rPr>
          <w:spacing w:val="2"/>
          <w:sz w:val="13"/>
        </w:rPr>
        <w:t>carry  </w:t>
      </w:r>
      <w:r>
        <w:rPr>
          <w:sz w:val="13"/>
        </w:rPr>
        <w:t>out tree pruning. Consulting arborists  have  the  skills,  experience  and  educational  backgrounds  to  provide  specialised  arboricultural  services, such as tree hazard and risk assessments: Arboriculture Australia, </w:t>
      </w:r>
      <w:r>
        <w:rPr>
          <w:i/>
          <w:spacing w:val="2"/>
          <w:sz w:val="13"/>
        </w:rPr>
        <w:t>Directory </w:t>
      </w:r>
      <w:r>
        <w:rPr>
          <w:i/>
          <w:sz w:val="13"/>
        </w:rPr>
        <w:t>Listing  </w:t>
      </w:r>
      <w:r>
        <w:rPr>
          <w:sz w:val="13"/>
        </w:rPr>
        <w:t>(Online  Directory)  </w:t>
      </w:r>
      <w:r>
        <w:rPr>
          <w:spacing w:val="2"/>
          <w:sz w:val="13"/>
        </w:rPr>
        <w:t>&lt;</w:t>
      </w:r>
      <w:hyperlink r:id="rId331">
        <w:r>
          <w:rPr>
            <w:spacing w:val="2"/>
            <w:sz w:val="13"/>
          </w:rPr>
          <w:t>http://arboriculture.org.au/listings.</w:t>
        </w:r>
      </w:hyperlink>
      <w:r>
        <w:rPr>
          <w:spacing w:val="2"/>
          <w:sz w:val="13"/>
        </w:rPr>
        <w:t> </w:t>
      </w:r>
      <w:r>
        <w:rPr>
          <w:sz w:val="13"/>
        </w:rPr>
        <w:t>aspx&gt;.</w:t>
      </w:r>
    </w:p>
    <w:p>
      <w:pPr>
        <w:pStyle w:val="ListParagraph"/>
        <w:numPr>
          <w:ilvl w:val="0"/>
          <w:numId w:val="200"/>
        </w:numPr>
        <w:tabs>
          <w:tab w:pos="2381" w:val="left" w:leader="none"/>
          <w:tab w:pos="2382" w:val="left" w:leader="none"/>
        </w:tabs>
        <w:spacing w:line="240" w:lineRule="auto" w:before="5" w:after="0"/>
        <w:ind w:left="2381" w:right="0" w:hanging="794"/>
        <w:jc w:val="left"/>
        <w:rPr>
          <w:sz w:val="13"/>
        </w:rPr>
      </w:pPr>
      <w:r>
        <w:rPr>
          <w:w w:val="105"/>
          <w:sz w:val="13"/>
        </w:rPr>
        <w:t>Dispute Settlement Centre of Victoria, </w:t>
      </w:r>
      <w:r>
        <w:rPr>
          <w:i/>
          <w:w w:val="105"/>
          <w:sz w:val="13"/>
        </w:rPr>
        <w:t>Trees </w:t>
      </w:r>
      <w:r>
        <w:rPr>
          <w:w w:val="105"/>
          <w:sz w:val="13"/>
        </w:rPr>
        <w:t>(Web Page, 6 June 2019)</w:t>
      </w:r>
      <w:r>
        <w:rPr>
          <w:spacing w:val="4"/>
          <w:w w:val="105"/>
          <w:sz w:val="13"/>
        </w:rPr>
        <w:t> </w:t>
      </w:r>
      <w:r>
        <w:rPr>
          <w:spacing w:val="2"/>
          <w:w w:val="105"/>
          <w:sz w:val="13"/>
        </w:rPr>
        <w:t>&lt;https://</w:t>
      </w:r>
      <w:hyperlink r:id="rId329">
        <w:r>
          <w:rPr>
            <w:spacing w:val="2"/>
            <w:w w:val="105"/>
            <w:sz w:val="13"/>
          </w:rPr>
          <w:t>www.disputes.vic.gov.au/information-and-advice/trees-0</w:t>
        </w:r>
      </w:hyperlink>
      <w:r>
        <w:rPr>
          <w:spacing w:val="2"/>
          <w:w w:val="105"/>
          <w:sz w:val="13"/>
        </w:rPr>
        <w:t>&gt;.</w:t>
      </w:r>
    </w:p>
    <w:p>
      <w:pPr>
        <w:pStyle w:val="ListParagraph"/>
        <w:numPr>
          <w:ilvl w:val="0"/>
          <w:numId w:val="200"/>
        </w:numPr>
        <w:tabs>
          <w:tab w:pos="2381" w:val="left" w:leader="none"/>
          <w:tab w:pos="2382" w:val="left" w:leader="none"/>
        </w:tabs>
        <w:spacing w:line="240" w:lineRule="auto" w:before="1"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200"/>
        </w:numPr>
        <w:tabs>
          <w:tab w:pos="2381" w:val="left" w:leader="none"/>
          <w:tab w:pos="2382" w:val="left" w:leader="none"/>
        </w:tabs>
        <w:spacing w:line="240" w:lineRule="auto" w:before="2" w:after="0"/>
        <w:ind w:left="2381" w:right="37" w:hanging="794"/>
        <w:jc w:val="left"/>
        <w:rPr>
          <w:sz w:val="13"/>
        </w:rPr>
      </w:pPr>
      <w:r>
        <w:rPr>
          <w:w w:val="105"/>
          <w:sz w:val="13"/>
        </w:rPr>
        <w:t>Dispute Settlement Centre of Victoria, </w:t>
      </w:r>
      <w:r>
        <w:rPr>
          <w:i/>
          <w:w w:val="105"/>
          <w:sz w:val="13"/>
        </w:rPr>
        <w:t>Case study—Tree Dispute </w:t>
      </w:r>
      <w:r>
        <w:rPr>
          <w:w w:val="105"/>
          <w:sz w:val="13"/>
        </w:rPr>
        <w:t>(Web Page, 3 June 2019) &lt;https://</w:t>
      </w:r>
      <w:hyperlink r:id="rId232">
        <w:r>
          <w:rPr>
            <w:w w:val="105"/>
            <w:sz w:val="13"/>
          </w:rPr>
          <w:t>www.disputes.vic.gov.au/information-</w:t>
        </w:r>
      </w:hyperlink>
      <w:r>
        <w:rPr>
          <w:w w:val="105"/>
          <w:sz w:val="13"/>
        </w:rPr>
        <w:t> </w:t>
      </w:r>
      <w:r>
        <w:rPr>
          <w:spacing w:val="2"/>
          <w:w w:val="105"/>
          <w:sz w:val="13"/>
        </w:rPr>
        <w:t>and-advice/trees/case-study-tree-dispute&gt;.</w:t>
      </w:r>
    </w:p>
    <w:p>
      <w:pPr>
        <w:pStyle w:val="ListParagraph"/>
        <w:numPr>
          <w:ilvl w:val="0"/>
          <w:numId w:val="200"/>
        </w:numPr>
        <w:tabs>
          <w:tab w:pos="2381" w:val="left" w:leader="none"/>
          <w:tab w:pos="2382" w:val="left" w:leader="none"/>
        </w:tabs>
        <w:spacing w:line="240" w:lineRule="auto" w:before="2" w:after="0"/>
        <w:ind w:left="2381" w:right="0" w:hanging="794"/>
        <w:jc w:val="left"/>
        <w:rPr>
          <w:sz w:val="13"/>
        </w:rPr>
      </w:pPr>
      <w:r>
        <w:rPr>
          <w:w w:val="105"/>
          <w:sz w:val="13"/>
        </w:rPr>
        <w:t>Dispute Settlement Centre of Victoria, </w:t>
      </w:r>
      <w:r>
        <w:rPr>
          <w:i/>
          <w:w w:val="105"/>
          <w:sz w:val="13"/>
        </w:rPr>
        <w:t>Mediation </w:t>
      </w:r>
      <w:r>
        <w:rPr>
          <w:w w:val="105"/>
          <w:sz w:val="13"/>
        </w:rPr>
        <w:t>(Web Page, 3 June 2019)</w:t>
      </w:r>
      <w:r>
        <w:rPr>
          <w:spacing w:val="4"/>
          <w:w w:val="105"/>
          <w:sz w:val="13"/>
        </w:rPr>
        <w:t> </w:t>
      </w:r>
      <w:r>
        <w:rPr>
          <w:spacing w:val="2"/>
          <w:w w:val="105"/>
          <w:sz w:val="13"/>
        </w:rPr>
        <w:t>&lt;https://</w:t>
      </w:r>
      <w:hyperlink r:id="rId62">
        <w:r>
          <w:rPr>
            <w:spacing w:val="2"/>
            <w:w w:val="105"/>
            <w:sz w:val="13"/>
          </w:rPr>
          <w:t>www.disputes.vic.gov.au/about-us/mediation-0</w:t>
        </w:r>
      </w:hyperlink>
      <w:r>
        <w:rPr>
          <w:spacing w:val="2"/>
          <w:w w:val="105"/>
          <w:sz w:val="13"/>
        </w:rPr>
        <w:t>&gt;.</w:t>
      </w:r>
    </w:p>
    <w:p>
      <w:pPr>
        <w:pStyle w:val="ListParagraph"/>
        <w:numPr>
          <w:ilvl w:val="0"/>
          <w:numId w:val="200"/>
        </w:numPr>
        <w:tabs>
          <w:tab w:pos="2381" w:val="left" w:leader="none"/>
          <w:tab w:pos="2382" w:val="left" w:leader="none"/>
        </w:tabs>
        <w:spacing w:line="240" w:lineRule="auto" w:before="2" w:after="0"/>
        <w:ind w:left="2381" w:right="0" w:hanging="794"/>
        <w:jc w:val="left"/>
        <w:rPr>
          <w:sz w:val="13"/>
        </w:rPr>
      </w:pPr>
      <w:r>
        <w:rPr>
          <w:w w:val="105"/>
          <w:sz w:val="13"/>
        </w:rPr>
        <w:t>Victorian</w:t>
      </w:r>
      <w:r>
        <w:rPr>
          <w:spacing w:val="6"/>
          <w:w w:val="105"/>
          <w:sz w:val="13"/>
        </w:rPr>
        <w:t> </w:t>
      </w:r>
      <w:r>
        <w:rPr>
          <w:w w:val="105"/>
          <w:sz w:val="13"/>
        </w:rPr>
        <w:t>Civil</w:t>
      </w:r>
      <w:r>
        <w:rPr>
          <w:spacing w:val="6"/>
          <w:w w:val="105"/>
          <w:sz w:val="13"/>
        </w:rPr>
        <w:t> </w:t>
      </w:r>
      <w:r>
        <w:rPr>
          <w:w w:val="105"/>
          <w:sz w:val="13"/>
        </w:rPr>
        <w:t>and</w:t>
      </w:r>
      <w:r>
        <w:rPr>
          <w:spacing w:val="6"/>
          <w:w w:val="105"/>
          <w:sz w:val="13"/>
        </w:rPr>
        <w:t> </w:t>
      </w:r>
      <w:r>
        <w:rPr>
          <w:w w:val="105"/>
          <w:sz w:val="13"/>
        </w:rPr>
        <w:t>Administrative</w:t>
      </w:r>
      <w:r>
        <w:rPr>
          <w:spacing w:val="7"/>
          <w:w w:val="105"/>
          <w:sz w:val="13"/>
        </w:rPr>
        <w:t> </w:t>
      </w:r>
      <w:r>
        <w:rPr>
          <w:w w:val="105"/>
          <w:sz w:val="13"/>
        </w:rPr>
        <w:t>Tribunal,</w:t>
      </w:r>
      <w:r>
        <w:rPr>
          <w:spacing w:val="6"/>
          <w:w w:val="105"/>
          <w:sz w:val="13"/>
        </w:rPr>
        <w:t> </w:t>
      </w:r>
      <w:r>
        <w:rPr>
          <w:i/>
          <w:w w:val="105"/>
          <w:sz w:val="13"/>
        </w:rPr>
        <w:t>Forms,</w:t>
      </w:r>
      <w:r>
        <w:rPr>
          <w:i/>
          <w:spacing w:val="6"/>
          <w:w w:val="105"/>
          <w:sz w:val="13"/>
        </w:rPr>
        <w:t> </w:t>
      </w:r>
      <w:r>
        <w:rPr>
          <w:i/>
          <w:w w:val="105"/>
          <w:sz w:val="13"/>
        </w:rPr>
        <w:t>Guides</w:t>
      </w:r>
      <w:r>
        <w:rPr>
          <w:i/>
          <w:spacing w:val="7"/>
          <w:w w:val="105"/>
          <w:sz w:val="13"/>
        </w:rPr>
        <w:t> </w:t>
      </w:r>
      <w:r>
        <w:rPr>
          <w:i/>
          <w:w w:val="105"/>
          <w:sz w:val="13"/>
        </w:rPr>
        <w:t>and</w:t>
      </w:r>
      <w:r>
        <w:rPr>
          <w:i/>
          <w:spacing w:val="6"/>
          <w:w w:val="105"/>
          <w:sz w:val="13"/>
        </w:rPr>
        <w:t> </w:t>
      </w:r>
      <w:r>
        <w:rPr>
          <w:i/>
          <w:w w:val="105"/>
          <w:sz w:val="13"/>
        </w:rPr>
        <w:t>Resources</w:t>
      </w:r>
      <w:r>
        <w:rPr>
          <w:i/>
          <w:spacing w:val="6"/>
          <w:w w:val="105"/>
          <w:sz w:val="13"/>
        </w:rPr>
        <w:t> </w:t>
      </w:r>
      <w:r>
        <w:rPr>
          <w:w w:val="105"/>
          <w:sz w:val="13"/>
        </w:rPr>
        <w:t>(Web</w:t>
      </w:r>
      <w:r>
        <w:rPr>
          <w:spacing w:val="6"/>
          <w:w w:val="105"/>
          <w:sz w:val="13"/>
        </w:rPr>
        <w:t> </w:t>
      </w:r>
      <w:r>
        <w:rPr>
          <w:w w:val="105"/>
          <w:sz w:val="13"/>
        </w:rPr>
        <w:t>Page)</w:t>
      </w:r>
      <w:r>
        <w:rPr>
          <w:spacing w:val="7"/>
          <w:w w:val="105"/>
          <w:sz w:val="13"/>
        </w:rPr>
        <w:t> </w:t>
      </w:r>
      <w:r>
        <w:rPr>
          <w:w w:val="105"/>
          <w:sz w:val="13"/>
        </w:rPr>
        <w:t>&lt;https://</w:t>
      </w:r>
      <w:hyperlink r:id="rId332">
        <w:r>
          <w:rPr>
            <w:w w:val="105"/>
            <w:sz w:val="13"/>
          </w:rPr>
          <w:t>www.vcat.vic.gov.au/resources</w:t>
        </w:r>
      </w:hyperlink>
      <w:r>
        <w:rPr>
          <w:w w:val="105"/>
          <w:sz w:val="13"/>
        </w:rPr>
        <w:t>&gt;.</w:t>
      </w:r>
    </w:p>
    <w:p>
      <w:pPr>
        <w:pStyle w:val="ListParagraph"/>
        <w:numPr>
          <w:ilvl w:val="0"/>
          <w:numId w:val="200"/>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200"/>
        </w:numPr>
        <w:tabs>
          <w:tab w:pos="2381" w:val="left" w:leader="none"/>
          <w:tab w:pos="2382" w:val="left" w:leader="none"/>
        </w:tabs>
        <w:spacing w:line="240" w:lineRule="auto" w:before="1" w:after="0"/>
        <w:ind w:left="2381" w:right="196" w:hanging="794"/>
        <w:jc w:val="left"/>
        <w:rPr>
          <w:sz w:val="13"/>
        </w:rPr>
      </w:pPr>
      <w:r>
        <w:rPr>
          <w:w w:val="105"/>
          <w:sz w:val="13"/>
        </w:rPr>
        <w:t>Victorian Civil and Administrative Tribunal, </w:t>
      </w:r>
      <w:r>
        <w:rPr>
          <w:i/>
          <w:w w:val="105"/>
          <w:sz w:val="13"/>
        </w:rPr>
        <w:t>Steps to Resolve Your Case </w:t>
      </w:r>
      <w:r>
        <w:rPr>
          <w:w w:val="105"/>
          <w:sz w:val="13"/>
        </w:rPr>
        <w:t>(Web Page) &lt;https://</w:t>
      </w:r>
      <w:hyperlink r:id="rId333">
        <w:r>
          <w:rPr>
            <w:w w:val="105"/>
            <w:sz w:val="13"/>
          </w:rPr>
          <w:t>www.vcat.vic.gov.au/steps-to-resolve-your-</w:t>
        </w:r>
      </w:hyperlink>
      <w:r>
        <w:rPr>
          <w:w w:val="105"/>
          <w:sz w:val="13"/>
        </w:rPr>
        <w:t> case&gt;.</w:t>
      </w:r>
    </w:p>
    <w:p>
      <w:pPr>
        <w:pStyle w:val="ListParagraph"/>
        <w:numPr>
          <w:ilvl w:val="0"/>
          <w:numId w:val="200"/>
        </w:numPr>
        <w:tabs>
          <w:tab w:pos="2381" w:val="left" w:leader="none"/>
          <w:tab w:pos="2382" w:val="left" w:leader="none"/>
        </w:tabs>
        <w:spacing w:line="240" w:lineRule="auto" w:before="3" w:after="0"/>
        <w:ind w:left="2381" w:right="0" w:hanging="794"/>
        <w:jc w:val="left"/>
        <w:rPr>
          <w:sz w:val="13"/>
        </w:rPr>
      </w:pPr>
      <w:r>
        <w:rPr>
          <w:w w:val="105"/>
          <w:sz w:val="13"/>
        </w:rPr>
        <w:t>Submissions 21 (Pointon Partners </w:t>
      </w:r>
      <w:r>
        <w:rPr>
          <w:spacing w:val="2"/>
          <w:w w:val="105"/>
          <w:sz w:val="13"/>
        </w:rPr>
        <w:t>Lawyers); </w:t>
      </w:r>
      <w:r>
        <w:rPr>
          <w:w w:val="105"/>
          <w:sz w:val="13"/>
        </w:rPr>
        <w:t>Consultation 3 </w:t>
      </w:r>
      <w:r>
        <w:rPr>
          <w:spacing w:val="3"/>
          <w:w w:val="105"/>
          <w:sz w:val="13"/>
        </w:rPr>
        <w:t>(HVP</w:t>
      </w:r>
      <w:r>
        <w:rPr>
          <w:spacing w:val="34"/>
          <w:w w:val="105"/>
          <w:sz w:val="13"/>
        </w:rPr>
        <w:t> </w:t>
      </w:r>
      <w:r>
        <w:rPr>
          <w:w w:val="105"/>
          <w:sz w:val="13"/>
        </w:rPr>
        <w:t>Plantations).</w:t>
      </w:r>
    </w:p>
    <w:p>
      <w:pPr>
        <w:pStyle w:val="ListParagraph"/>
        <w:numPr>
          <w:ilvl w:val="0"/>
          <w:numId w:val="200"/>
        </w:numPr>
        <w:tabs>
          <w:tab w:pos="2381" w:val="left" w:leader="none"/>
          <w:tab w:pos="2382" w:val="left" w:leader="none"/>
        </w:tabs>
        <w:spacing w:line="240" w:lineRule="auto" w:before="1" w:after="0"/>
        <w:ind w:left="2381" w:right="483" w:hanging="794"/>
        <w:jc w:val="left"/>
        <w:rPr>
          <w:sz w:val="13"/>
        </w:rPr>
      </w:pPr>
      <w:r>
        <w:rPr>
          <w:w w:val="105"/>
          <w:sz w:val="13"/>
        </w:rPr>
        <w:t>Magistrates’ Court of Victoria, </w:t>
      </w:r>
      <w:r>
        <w:rPr>
          <w:i/>
          <w:w w:val="105"/>
          <w:sz w:val="13"/>
        </w:rPr>
        <w:t>Fencing Disputes Information Guide </w:t>
      </w:r>
      <w:r>
        <w:rPr>
          <w:spacing w:val="2"/>
          <w:w w:val="105"/>
          <w:sz w:val="13"/>
        </w:rPr>
        <w:t>(9 </w:t>
      </w:r>
      <w:r>
        <w:rPr>
          <w:w w:val="105"/>
          <w:sz w:val="13"/>
        </w:rPr>
        <w:t>January 2019) </w:t>
      </w:r>
      <w:r>
        <w:rPr>
          <w:spacing w:val="2"/>
          <w:w w:val="105"/>
          <w:sz w:val="13"/>
        </w:rPr>
        <w:t>&lt;https://mcv.vic.gov.au/news-and-resources/ </w:t>
      </w:r>
      <w:r>
        <w:rPr>
          <w:w w:val="105"/>
          <w:sz w:val="13"/>
        </w:rPr>
        <w:t>publications/fencing-disputes-information-guide&gt;.</w:t>
      </w:r>
    </w:p>
    <w:p>
      <w:pPr>
        <w:pStyle w:val="ListParagraph"/>
        <w:numPr>
          <w:ilvl w:val="0"/>
          <w:numId w:val="200"/>
        </w:numPr>
        <w:tabs>
          <w:tab w:pos="2381" w:val="left" w:leader="none"/>
          <w:tab w:pos="2382" w:val="left" w:leader="none"/>
        </w:tabs>
        <w:spacing w:line="240" w:lineRule="auto" w:before="3" w:after="0"/>
        <w:ind w:left="2381" w:right="0" w:hanging="794"/>
        <w:jc w:val="left"/>
        <w:rPr>
          <w:sz w:val="13"/>
        </w:rPr>
      </w:pPr>
      <w:r>
        <w:rPr>
          <w:sz w:val="13"/>
        </w:rPr>
        <w:t>Ibid.</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35"/>
        </w:rPr>
      </w:pPr>
    </w:p>
    <w:p>
      <w:pPr>
        <w:spacing w:before="0"/>
        <w:ind w:left="614" w:right="574" w:firstLine="0"/>
        <w:jc w:val="center"/>
        <w:rPr>
          <w:b/>
          <w:sz w:val="24"/>
        </w:rPr>
      </w:pPr>
      <w:r>
        <w:rPr>
          <w:b/>
          <w:color w:val="658464"/>
          <w:w w:val="110"/>
          <w:sz w:val="24"/>
        </w:rPr>
        <w:t>279</w:t>
      </w:r>
    </w:p>
    <w:p>
      <w:pPr>
        <w:spacing w:after="0"/>
        <w:jc w:val="center"/>
        <w:rPr>
          <w:sz w:val="24"/>
        </w:rPr>
        <w:sectPr>
          <w:type w:val="continuous"/>
          <w:pgSz w:w="11910" w:h="16840"/>
          <w:pgMar w:top="300" w:bottom="280" w:left="0" w:right="0"/>
          <w:cols w:num="2" w:equalWidth="0">
            <w:col w:w="10239" w:space="40"/>
            <w:col w:w="1631"/>
          </w:cols>
        </w:sectPr>
      </w:pPr>
    </w:p>
    <w:p>
      <w:pPr>
        <w:pStyle w:val="BodyText"/>
        <w:spacing w:before="3"/>
        <w:rPr>
          <w:b/>
        </w:rPr>
      </w:pPr>
    </w:p>
    <w:p>
      <w:pPr>
        <w:spacing w:before="96"/>
        <w:ind w:left="1587" w:right="0" w:firstLine="0"/>
        <w:jc w:val="left"/>
        <w:rPr>
          <w:b/>
          <w:sz w:val="28"/>
        </w:rPr>
      </w:pPr>
      <w:bookmarkStart w:name="Other jurisdictions—community resources" w:id="332"/>
      <w:bookmarkEnd w:id="332"/>
      <w:r>
        <w:rPr/>
      </w:r>
      <w:bookmarkStart w:name="_bookmark154" w:id="333"/>
      <w:bookmarkEnd w:id="333"/>
      <w:r>
        <w:rPr/>
      </w:r>
      <w:r>
        <w:rPr>
          <w:b/>
          <w:color w:val="658464"/>
          <w:w w:val="110"/>
          <w:sz w:val="28"/>
        </w:rPr>
        <w:t>Other jurisdictions—community resources</w:t>
      </w:r>
    </w:p>
    <w:p>
      <w:pPr>
        <w:pStyle w:val="ListParagraph"/>
        <w:numPr>
          <w:ilvl w:val="1"/>
          <w:numId w:val="16"/>
        </w:numPr>
        <w:tabs>
          <w:tab w:pos="2381" w:val="left" w:leader="none"/>
          <w:tab w:pos="2382" w:val="left" w:leader="none"/>
        </w:tabs>
        <w:spacing w:line="242" w:lineRule="auto" w:before="155" w:after="0"/>
        <w:ind w:left="2381" w:right="1641" w:hanging="794"/>
        <w:jc w:val="left"/>
        <w:rPr>
          <w:sz w:val="21"/>
        </w:rPr>
      </w:pPr>
      <w:r>
        <w:rPr>
          <w:sz w:val="21"/>
        </w:rPr>
        <w:t>Interstate jurisdictions </w:t>
      </w:r>
      <w:r>
        <w:rPr>
          <w:spacing w:val="-3"/>
          <w:sz w:val="21"/>
        </w:rPr>
        <w:t>that have </w:t>
      </w:r>
      <w:r>
        <w:rPr>
          <w:sz w:val="21"/>
        </w:rPr>
        <w:t>enacted specific tree </w:t>
      </w:r>
      <w:r>
        <w:rPr>
          <w:spacing w:val="-3"/>
          <w:sz w:val="21"/>
        </w:rPr>
        <w:t>dispute </w:t>
      </w:r>
      <w:r>
        <w:rPr>
          <w:sz w:val="21"/>
        </w:rPr>
        <w:t>Acts </w:t>
      </w:r>
      <w:r>
        <w:rPr>
          <w:spacing w:val="-3"/>
          <w:sz w:val="21"/>
        </w:rPr>
        <w:t>have  produced  </w:t>
      </w:r>
      <w:r>
        <w:rPr>
          <w:sz w:val="21"/>
        </w:rPr>
        <w:t>a </w:t>
      </w:r>
      <w:r>
        <w:rPr>
          <w:spacing w:val="-3"/>
          <w:sz w:val="21"/>
        </w:rPr>
        <w:t>range </w:t>
      </w:r>
      <w:r>
        <w:rPr>
          <w:sz w:val="21"/>
        </w:rPr>
        <w:t>of</w:t>
      </w:r>
      <w:r>
        <w:rPr>
          <w:spacing w:val="9"/>
          <w:sz w:val="21"/>
        </w:rPr>
        <w:t> </w:t>
      </w:r>
      <w:r>
        <w:rPr>
          <w:sz w:val="21"/>
        </w:rPr>
        <w:t>very</w:t>
      </w:r>
      <w:r>
        <w:rPr>
          <w:spacing w:val="9"/>
          <w:sz w:val="21"/>
        </w:rPr>
        <w:t> </w:t>
      </w:r>
      <w:r>
        <w:rPr>
          <w:spacing w:val="-3"/>
          <w:sz w:val="21"/>
        </w:rPr>
        <w:t>helpful</w:t>
      </w:r>
      <w:r>
        <w:rPr>
          <w:spacing w:val="9"/>
          <w:sz w:val="21"/>
        </w:rPr>
        <w:t> </w:t>
      </w:r>
      <w:r>
        <w:rPr>
          <w:spacing w:val="-3"/>
          <w:sz w:val="21"/>
        </w:rPr>
        <w:t>material</w:t>
      </w:r>
      <w:r>
        <w:rPr>
          <w:spacing w:val="10"/>
          <w:sz w:val="21"/>
        </w:rPr>
        <w:t> </w:t>
      </w:r>
      <w:r>
        <w:rPr>
          <w:spacing w:val="-3"/>
          <w:sz w:val="21"/>
        </w:rPr>
        <w:t>to</w:t>
      </w:r>
      <w:r>
        <w:rPr>
          <w:spacing w:val="9"/>
          <w:sz w:val="21"/>
        </w:rPr>
        <w:t> </w:t>
      </w:r>
      <w:r>
        <w:rPr>
          <w:sz w:val="21"/>
        </w:rPr>
        <w:t>assist</w:t>
      </w:r>
      <w:r>
        <w:rPr>
          <w:spacing w:val="9"/>
          <w:sz w:val="21"/>
        </w:rPr>
        <w:t> </w:t>
      </w:r>
      <w:r>
        <w:rPr>
          <w:sz w:val="21"/>
        </w:rPr>
        <w:t>the</w:t>
      </w:r>
      <w:r>
        <w:rPr>
          <w:spacing w:val="9"/>
          <w:sz w:val="21"/>
        </w:rPr>
        <w:t> </w:t>
      </w:r>
      <w:r>
        <w:rPr>
          <w:spacing w:val="-4"/>
          <w:sz w:val="21"/>
        </w:rPr>
        <w:t>community.</w:t>
      </w:r>
    </w:p>
    <w:p>
      <w:pPr>
        <w:pStyle w:val="BodyText"/>
        <w:spacing w:before="2"/>
        <w:rPr>
          <w:sz w:val="20"/>
        </w:rPr>
      </w:pPr>
    </w:p>
    <w:p>
      <w:pPr>
        <w:pStyle w:val="Heading5"/>
        <w:spacing w:before="1"/>
      </w:pPr>
      <w:r>
        <w:rPr>
          <w:w w:val="115"/>
        </w:rPr>
        <w:t>New South Wales</w:t>
      </w:r>
    </w:p>
    <w:p>
      <w:pPr>
        <w:pStyle w:val="ListParagraph"/>
        <w:numPr>
          <w:ilvl w:val="1"/>
          <w:numId w:val="16"/>
        </w:numPr>
        <w:tabs>
          <w:tab w:pos="2381" w:val="left" w:leader="none"/>
          <w:tab w:pos="2382" w:val="left" w:leader="none"/>
        </w:tabs>
        <w:spacing w:line="242" w:lineRule="auto" w:before="137" w:after="0"/>
        <w:ind w:left="2381" w:right="1729" w:hanging="794"/>
        <w:jc w:val="left"/>
        <w:rPr>
          <w:sz w:val="21"/>
        </w:rPr>
      </w:pPr>
      <w:r>
        <w:rPr>
          <w:spacing w:val="-3"/>
          <w:w w:val="105"/>
          <w:sz w:val="21"/>
        </w:rPr>
        <w:t>Community</w:t>
      </w:r>
      <w:r>
        <w:rPr>
          <w:spacing w:val="-9"/>
          <w:w w:val="105"/>
          <w:sz w:val="21"/>
        </w:rPr>
        <w:t> </w:t>
      </w:r>
      <w:r>
        <w:rPr>
          <w:w w:val="105"/>
          <w:sz w:val="21"/>
        </w:rPr>
        <w:t>Justice</w:t>
      </w:r>
      <w:r>
        <w:rPr>
          <w:spacing w:val="-8"/>
          <w:w w:val="105"/>
          <w:sz w:val="21"/>
        </w:rPr>
        <w:t> </w:t>
      </w:r>
      <w:r>
        <w:rPr>
          <w:spacing w:val="-4"/>
          <w:w w:val="105"/>
          <w:sz w:val="21"/>
        </w:rPr>
        <w:t>Centres</w:t>
      </w:r>
      <w:r>
        <w:rPr>
          <w:spacing w:val="-9"/>
          <w:w w:val="105"/>
          <w:sz w:val="21"/>
        </w:rPr>
        <w:t> </w:t>
      </w:r>
      <w:r>
        <w:rPr>
          <w:w w:val="105"/>
          <w:sz w:val="21"/>
        </w:rPr>
        <w:t>(CJCs)</w:t>
      </w:r>
      <w:r>
        <w:rPr>
          <w:spacing w:val="-8"/>
          <w:w w:val="105"/>
          <w:sz w:val="21"/>
        </w:rPr>
        <w:t> </w:t>
      </w:r>
      <w:r>
        <w:rPr>
          <w:w w:val="105"/>
          <w:sz w:val="21"/>
        </w:rPr>
        <w:t>provide</w:t>
      </w:r>
      <w:r>
        <w:rPr>
          <w:spacing w:val="-9"/>
          <w:w w:val="105"/>
          <w:sz w:val="21"/>
        </w:rPr>
        <w:t> </w:t>
      </w:r>
      <w:r>
        <w:rPr>
          <w:w w:val="105"/>
          <w:sz w:val="21"/>
        </w:rPr>
        <w:t>free</w:t>
      </w:r>
      <w:r>
        <w:rPr>
          <w:spacing w:val="-8"/>
          <w:w w:val="105"/>
          <w:sz w:val="21"/>
        </w:rPr>
        <w:t> </w:t>
      </w:r>
      <w:r>
        <w:rPr>
          <w:w w:val="105"/>
          <w:sz w:val="21"/>
        </w:rPr>
        <w:t>mediation</w:t>
      </w:r>
      <w:r>
        <w:rPr>
          <w:spacing w:val="-9"/>
          <w:w w:val="105"/>
          <w:sz w:val="21"/>
        </w:rPr>
        <w:t> </w:t>
      </w:r>
      <w:r>
        <w:rPr>
          <w:w w:val="105"/>
          <w:sz w:val="21"/>
        </w:rPr>
        <w:t>services</w:t>
      </w:r>
      <w:r>
        <w:rPr>
          <w:spacing w:val="-8"/>
          <w:w w:val="105"/>
          <w:sz w:val="21"/>
        </w:rPr>
        <w:t> </w:t>
      </w:r>
      <w:r>
        <w:rPr>
          <w:w w:val="105"/>
          <w:sz w:val="21"/>
        </w:rPr>
        <w:t>and</w:t>
      </w:r>
      <w:r>
        <w:rPr>
          <w:spacing w:val="-8"/>
          <w:w w:val="105"/>
          <w:sz w:val="21"/>
        </w:rPr>
        <w:t> </w:t>
      </w:r>
      <w:r>
        <w:rPr>
          <w:spacing w:val="-3"/>
          <w:w w:val="105"/>
          <w:sz w:val="21"/>
        </w:rPr>
        <w:t>encourage</w:t>
      </w:r>
      <w:r>
        <w:rPr>
          <w:spacing w:val="-9"/>
          <w:w w:val="105"/>
          <w:sz w:val="21"/>
        </w:rPr>
        <w:t> </w:t>
      </w:r>
      <w:r>
        <w:rPr>
          <w:w w:val="105"/>
          <w:sz w:val="21"/>
        </w:rPr>
        <w:t>parties </w:t>
      </w:r>
      <w:r>
        <w:rPr>
          <w:spacing w:val="-3"/>
          <w:w w:val="105"/>
          <w:sz w:val="21"/>
        </w:rPr>
        <w:t>to</w:t>
      </w:r>
      <w:r>
        <w:rPr>
          <w:spacing w:val="-7"/>
          <w:w w:val="105"/>
          <w:sz w:val="21"/>
        </w:rPr>
        <w:t> </w:t>
      </w:r>
      <w:r>
        <w:rPr>
          <w:w w:val="105"/>
          <w:sz w:val="21"/>
        </w:rPr>
        <w:t>resolve</w:t>
      </w:r>
      <w:r>
        <w:rPr>
          <w:spacing w:val="-7"/>
          <w:w w:val="105"/>
          <w:sz w:val="21"/>
        </w:rPr>
        <w:t> </w:t>
      </w:r>
      <w:r>
        <w:rPr>
          <w:w w:val="105"/>
          <w:sz w:val="21"/>
        </w:rPr>
        <w:t>their</w:t>
      </w:r>
      <w:r>
        <w:rPr>
          <w:spacing w:val="-7"/>
          <w:w w:val="105"/>
          <w:sz w:val="21"/>
        </w:rPr>
        <w:t> </w:t>
      </w:r>
      <w:r>
        <w:rPr>
          <w:spacing w:val="-3"/>
          <w:w w:val="105"/>
          <w:sz w:val="21"/>
        </w:rPr>
        <w:t>dispute</w:t>
      </w:r>
      <w:r>
        <w:rPr>
          <w:spacing w:val="-6"/>
          <w:w w:val="105"/>
          <w:sz w:val="21"/>
        </w:rPr>
        <w:t> </w:t>
      </w:r>
      <w:r>
        <w:rPr>
          <w:spacing w:val="-3"/>
          <w:w w:val="105"/>
          <w:sz w:val="21"/>
        </w:rPr>
        <w:t>before</w:t>
      </w:r>
      <w:r>
        <w:rPr>
          <w:spacing w:val="-7"/>
          <w:w w:val="105"/>
          <w:sz w:val="21"/>
        </w:rPr>
        <w:t> </w:t>
      </w:r>
      <w:r>
        <w:rPr>
          <w:w w:val="105"/>
          <w:sz w:val="21"/>
        </w:rPr>
        <w:t>taking</w:t>
      </w:r>
      <w:r>
        <w:rPr>
          <w:spacing w:val="-7"/>
          <w:w w:val="105"/>
          <w:sz w:val="21"/>
        </w:rPr>
        <w:t> </w:t>
      </w:r>
      <w:r>
        <w:rPr>
          <w:w w:val="105"/>
          <w:sz w:val="21"/>
        </w:rPr>
        <w:t>the</w:t>
      </w:r>
      <w:r>
        <w:rPr>
          <w:spacing w:val="-7"/>
          <w:w w:val="105"/>
          <w:sz w:val="21"/>
        </w:rPr>
        <w:t> </w:t>
      </w:r>
      <w:r>
        <w:rPr>
          <w:w w:val="105"/>
          <w:sz w:val="21"/>
        </w:rPr>
        <w:t>matter</w:t>
      </w:r>
      <w:r>
        <w:rPr>
          <w:spacing w:val="-6"/>
          <w:w w:val="105"/>
          <w:sz w:val="21"/>
        </w:rPr>
        <w:t> </w:t>
      </w:r>
      <w:r>
        <w:rPr>
          <w:spacing w:val="-3"/>
          <w:w w:val="105"/>
          <w:sz w:val="21"/>
        </w:rPr>
        <w:t>to</w:t>
      </w:r>
      <w:r>
        <w:rPr>
          <w:spacing w:val="-7"/>
          <w:w w:val="105"/>
          <w:sz w:val="21"/>
        </w:rPr>
        <w:t> </w:t>
      </w:r>
      <w:r>
        <w:rPr>
          <w:w w:val="105"/>
          <w:sz w:val="21"/>
        </w:rPr>
        <w:t>court.</w:t>
      </w:r>
      <w:r>
        <w:rPr>
          <w:spacing w:val="-7"/>
          <w:w w:val="105"/>
          <w:sz w:val="21"/>
        </w:rPr>
        <w:t> </w:t>
      </w:r>
      <w:r>
        <w:rPr>
          <w:w w:val="105"/>
          <w:sz w:val="21"/>
        </w:rPr>
        <w:t>The</w:t>
      </w:r>
      <w:r>
        <w:rPr>
          <w:spacing w:val="-6"/>
          <w:w w:val="105"/>
          <w:sz w:val="21"/>
        </w:rPr>
        <w:t> </w:t>
      </w:r>
      <w:r>
        <w:rPr>
          <w:spacing w:val="-3"/>
          <w:w w:val="105"/>
          <w:sz w:val="21"/>
        </w:rPr>
        <w:t>Community</w:t>
      </w:r>
      <w:r>
        <w:rPr>
          <w:spacing w:val="-7"/>
          <w:w w:val="105"/>
          <w:sz w:val="21"/>
        </w:rPr>
        <w:t> </w:t>
      </w:r>
      <w:r>
        <w:rPr>
          <w:w w:val="105"/>
          <w:sz w:val="21"/>
        </w:rPr>
        <w:t>Justice</w:t>
      </w:r>
      <w:r>
        <w:rPr>
          <w:spacing w:val="-7"/>
          <w:w w:val="105"/>
          <w:sz w:val="21"/>
        </w:rPr>
        <w:t> </w:t>
      </w:r>
      <w:r>
        <w:rPr>
          <w:spacing w:val="-4"/>
          <w:w w:val="105"/>
          <w:sz w:val="21"/>
        </w:rPr>
        <w:t>Centre </w:t>
      </w:r>
      <w:r>
        <w:rPr>
          <w:spacing w:val="-3"/>
          <w:w w:val="105"/>
          <w:sz w:val="21"/>
        </w:rPr>
        <w:t>website </w:t>
      </w:r>
      <w:r>
        <w:rPr>
          <w:w w:val="105"/>
          <w:sz w:val="21"/>
        </w:rPr>
        <w:t>provides </w:t>
      </w:r>
      <w:r>
        <w:rPr>
          <w:spacing w:val="-3"/>
          <w:w w:val="105"/>
          <w:sz w:val="21"/>
        </w:rPr>
        <w:t>information </w:t>
      </w:r>
      <w:r>
        <w:rPr>
          <w:w w:val="105"/>
          <w:sz w:val="21"/>
        </w:rPr>
        <w:t>about resolving neighbourhood </w:t>
      </w:r>
      <w:r>
        <w:rPr>
          <w:spacing w:val="-3"/>
          <w:w w:val="105"/>
          <w:sz w:val="21"/>
        </w:rPr>
        <w:t>disputes, including talking to</w:t>
      </w:r>
      <w:r>
        <w:rPr>
          <w:spacing w:val="4"/>
          <w:w w:val="105"/>
          <w:sz w:val="21"/>
        </w:rPr>
        <w:t> </w:t>
      </w:r>
      <w:r>
        <w:rPr>
          <w:w w:val="105"/>
          <w:sz w:val="21"/>
        </w:rPr>
        <w:t>your</w:t>
      </w:r>
      <w:r>
        <w:rPr>
          <w:spacing w:val="4"/>
          <w:w w:val="105"/>
          <w:sz w:val="21"/>
        </w:rPr>
        <w:t> </w:t>
      </w:r>
      <w:r>
        <w:rPr>
          <w:spacing w:val="-4"/>
          <w:w w:val="105"/>
          <w:sz w:val="21"/>
        </w:rPr>
        <w:t>neighbour,</w:t>
      </w:r>
      <w:r>
        <w:rPr>
          <w:spacing w:val="4"/>
          <w:w w:val="105"/>
          <w:sz w:val="21"/>
        </w:rPr>
        <w:t> </w:t>
      </w:r>
      <w:r>
        <w:rPr>
          <w:spacing w:val="-3"/>
          <w:w w:val="105"/>
          <w:sz w:val="21"/>
        </w:rPr>
        <w:t>asking</w:t>
      </w:r>
      <w:r>
        <w:rPr>
          <w:spacing w:val="5"/>
          <w:w w:val="105"/>
          <w:sz w:val="21"/>
        </w:rPr>
        <w:t> </w:t>
      </w:r>
      <w:r>
        <w:rPr>
          <w:w w:val="105"/>
          <w:sz w:val="21"/>
        </w:rPr>
        <w:t>a</w:t>
      </w:r>
      <w:r>
        <w:rPr>
          <w:spacing w:val="4"/>
          <w:w w:val="105"/>
          <w:sz w:val="21"/>
        </w:rPr>
        <w:t> </w:t>
      </w:r>
      <w:r>
        <w:rPr>
          <w:spacing w:val="-3"/>
          <w:w w:val="105"/>
          <w:sz w:val="21"/>
        </w:rPr>
        <w:t>third</w:t>
      </w:r>
      <w:r>
        <w:rPr>
          <w:spacing w:val="4"/>
          <w:w w:val="105"/>
          <w:sz w:val="21"/>
        </w:rPr>
        <w:t> </w:t>
      </w:r>
      <w:r>
        <w:rPr>
          <w:w w:val="105"/>
          <w:sz w:val="21"/>
        </w:rPr>
        <w:t>party</w:t>
      </w:r>
      <w:r>
        <w:rPr>
          <w:spacing w:val="5"/>
          <w:w w:val="105"/>
          <w:sz w:val="21"/>
        </w:rPr>
        <w:t> </w:t>
      </w:r>
      <w:r>
        <w:rPr>
          <w:spacing w:val="-3"/>
          <w:w w:val="105"/>
          <w:sz w:val="21"/>
        </w:rPr>
        <w:t>for</w:t>
      </w:r>
      <w:r>
        <w:rPr>
          <w:spacing w:val="4"/>
          <w:w w:val="105"/>
          <w:sz w:val="21"/>
        </w:rPr>
        <w:t> </w:t>
      </w:r>
      <w:r>
        <w:rPr>
          <w:w w:val="105"/>
          <w:sz w:val="21"/>
        </w:rPr>
        <w:t>help</w:t>
      </w:r>
      <w:r>
        <w:rPr>
          <w:spacing w:val="4"/>
          <w:w w:val="105"/>
          <w:sz w:val="21"/>
        </w:rPr>
        <w:t> </w:t>
      </w:r>
      <w:r>
        <w:rPr>
          <w:w w:val="105"/>
          <w:sz w:val="21"/>
        </w:rPr>
        <w:t>and</w:t>
      </w:r>
      <w:r>
        <w:rPr>
          <w:spacing w:val="4"/>
          <w:w w:val="105"/>
          <w:sz w:val="21"/>
        </w:rPr>
        <w:t> </w:t>
      </w:r>
      <w:r>
        <w:rPr>
          <w:w w:val="105"/>
          <w:sz w:val="21"/>
        </w:rPr>
        <w:t>contacting</w:t>
      </w:r>
      <w:r>
        <w:rPr>
          <w:spacing w:val="5"/>
          <w:w w:val="105"/>
          <w:sz w:val="21"/>
        </w:rPr>
        <w:t> </w:t>
      </w:r>
      <w:r>
        <w:rPr>
          <w:w w:val="105"/>
          <w:sz w:val="21"/>
        </w:rPr>
        <w:t>the</w:t>
      </w:r>
      <w:r>
        <w:rPr>
          <w:spacing w:val="4"/>
          <w:w w:val="105"/>
          <w:sz w:val="21"/>
        </w:rPr>
        <w:t> </w:t>
      </w:r>
      <w:r>
        <w:rPr>
          <w:w w:val="105"/>
          <w:sz w:val="21"/>
        </w:rPr>
        <w:t>CJC</w:t>
      </w:r>
      <w:r>
        <w:rPr>
          <w:spacing w:val="4"/>
          <w:w w:val="105"/>
          <w:sz w:val="21"/>
        </w:rPr>
        <w:t> </w:t>
      </w:r>
      <w:r>
        <w:rPr>
          <w:spacing w:val="-3"/>
          <w:w w:val="105"/>
          <w:sz w:val="21"/>
        </w:rPr>
        <w:t>to</w:t>
      </w:r>
      <w:r>
        <w:rPr>
          <w:spacing w:val="5"/>
          <w:w w:val="105"/>
          <w:sz w:val="21"/>
        </w:rPr>
        <w:t> </w:t>
      </w:r>
      <w:r>
        <w:rPr>
          <w:spacing w:val="-3"/>
          <w:w w:val="105"/>
          <w:sz w:val="21"/>
        </w:rPr>
        <w:t>arrange</w:t>
      </w:r>
    </w:p>
    <w:p>
      <w:pPr>
        <w:pStyle w:val="BodyText"/>
        <w:spacing w:line="242" w:lineRule="auto" w:before="4"/>
        <w:ind w:left="2381" w:right="2195"/>
        <w:rPr>
          <w:sz w:val="12"/>
        </w:rPr>
      </w:pPr>
      <w:r>
        <w:rPr>
          <w:w w:val="105"/>
        </w:rPr>
        <w:t>a </w:t>
      </w:r>
      <w:r>
        <w:rPr>
          <w:spacing w:val="-3"/>
          <w:w w:val="105"/>
        </w:rPr>
        <w:t>mediation.</w:t>
      </w:r>
      <w:r>
        <w:rPr>
          <w:spacing w:val="-3"/>
          <w:w w:val="105"/>
          <w:position w:val="7"/>
          <w:sz w:val="12"/>
        </w:rPr>
        <w:t>37 </w:t>
      </w:r>
      <w:r>
        <w:rPr>
          <w:w w:val="105"/>
        </w:rPr>
        <w:t>The </w:t>
      </w:r>
      <w:r>
        <w:rPr>
          <w:spacing w:val="-3"/>
          <w:w w:val="105"/>
        </w:rPr>
        <w:t>website </w:t>
      </w:r>
      <w:r>
        <w:rPr>
          <w:w w:val="105"/>
        </w:rPr>
        <w:t>refers people </w:t>
      </w:r>
      <w:r>
        <w:rPr>
          <w:spacing w:val="-3"/>
          <w:w w:val="105"/>
        </w:rPr>
        <w:t>to </w:t>
      </w:r>
      <w:r>
        <w:rPr>
          <w:w w:val="105"/>
        </w:rPr>
        <w:t>a NSW </w:t>
      </w:r>
      <w:r>
        <w:rPr>
          <w:spacing w:val="-3"/>
          <w:w w:val="105"/>
        </w:rPr>
        <w:t>State </w:t>
      </w:r>
      <w:r>
        <w:rPr>
          <w:w w:val="105"/>
        </w:rPr>
        <w:t>Library-published guide </w:t>
      </w:r>
      <w:r>
        <w:rPr>
          <w:spacing w:val="-3"/>
          <w:w w:val="105"/>
        </w:rPr>
        <w:t>to </w:t>
      </w:r>
      <w:r>
        <w:rPr>
          <w:w w:val="105"/>
        </w:rPr>
        <w:t>neighbours and the law which covers tree issues.</w:t>
      </w:r>
      <w:r>
        <w:rPr>
          <w:w w:val="105"/>
          <w:position w:val="7"/>
          <w:sz w:val="12"/>
        </w:rPr>
        <w:t>38</w:t>
      </w:r>
    </w:p>
    <w:p>
      <w:pPr>
        <w:pStyle w:val="ListParagraph"/>
        <w:numPr>
          <w:ilvl w:val="1"/>
          <w:numId w:val="16"/>
        </w:numPr>
        <w:tabs>
          <w:tab w:pos="2381" w:val="left" w:leader="none"/>
          <w:tab w:pos="2382" w:val="left" w:leader="none"/>
        </w:tabs>
        <w:spacing w:line="242" w:lineRule="auto" w:before="122" w:after="0"/>
        <w:ind w:left="2381" w:right="1647" w:hanging="794"/>
        <w:jc w:val="left"/>
        <w:rPr>
          <w:sz w:val="21"/>
        </w:rPr>
      </w:pPr>
      <w:r>
        <w:rPr>
          <w:w w:val="105"/>
          <w:sz w:val="21"/>
        </w:rPr>
        <w:t>The NSW Act is supported by a wide </w:t>
      </w:r>
      <w:r>
        <w:rPr>
          <w:spacing w:val="-3"/>
          <w:w w:val="105"/>
          <w:sz w:val="21"/>
        </w:rPr>
        <w:t>range </w:t>
      </w:r>
      <w:r>
        <w:rPr>
          <w:w w:val="105"/>
          <w:sz w:val="21"/>
        </w:rPr>
        <w:t>of </w:t>
      </w:r>
      <w:r>
        <w:rPr>
          <w:spacing w:val="-3"/>
          <w:w w:val="105"/>
          <w:sz w:val="21"/>
        </w:rPr>
        <w:t>useful resources for </w:t>
      </w:r>
      <w:r>
        <w:rPr>
          <w:w w:val="105"/>
          <w:sz w:val="21"/>
        </w:rPr>
        <w:t>the </w:t>
      </w:r>
      <w:r>
        <w:rPr>
          <w:spacing w:val="-4"/>
          <w:w w:val="105"/>
          <w:sz w:val="21"/>
        </w:rPr>
        <w:t>community. </w:t>
      </w:r>
      <w:r>
        <w:rPr>
          <w:w w:val="105"/>
          <w:sz w:val="21"/>
        </w:rPr>
        <w:t>The </w:t>
      </w:r>
      <w:r>
        <w:rPr>
          <w:spacing w:val="-3"/>
          <w:w w:val="105"/>
          <w:sz w:val="21"/>
        </w:rPr>
        <w:t>Commission</w:t>
      </w:r>
      <w:r>
        <w:rPr>
          <w:spacing w:val="-8"/>
          <w:w w:val="105"/>
          <w:sz w:val="21"/>
        </w:rPr>
        <w:t> </w:t>
      </w:r>
      <w:r>
        <w:rPr>
          <w:spacing w:val="-2"/>
          <w:w w:val="105"/>
          <w:sz w:val="21"/>
        </w:rPr>
        <w:t>has</w:t>
      </w:r>
      <w:r>
        <w:rPr>
          <w:spacing w:val="-7"/>
          <w:w w:val="105"/>
          <w:sz w:val="21"/>
        </w:rPr>
        <w:t> </w:t>
      </w:r>
      <w:r>
        <w:rPr>
          <w:w w:val="105"/>
          <w:sz w:val="21"/>
        </w:rPr>
        <w:t>been</w:t>
      </w:r>
      <w:r>
        <w:rPr>
          <w:spacing w:val="-7"/>
          <w:w w:val="105"/>
          <w:sz w:val="21"/>
        </w:rPr>
        <w:t> </w:t>
      </w:r>
      <w:r>
        <w:rPr>
          <w:w w:val="105"/>
          <w:sz w:val="21"/>
        </w:rPr>
        <w:t>impressed</w:t>
      </w:r>
      <w:r>
        <w:rPr>
          <w:spacing w:val="-8"/>
          <w:w w:val="105"/>
          <w:sz w:val="21"/>
        </w:rPr>
        <w:t> </w:t>
      </w:r>
      <w:r>
        <w:rPr>
          <w:w w:val="105"/>
          <w:sz w:val="21"/>
        </w:rPr>
        <w:t>by</w:t>
      </w:r>
      <w:r>
        <w:rPr>
          <w:spacing w:val="-7"/>
          <w:w w:val="105"/>
          <w:sz w:val="21"/>
        </w:rPr>
        <w:t> </w:t>
      </w:r>
      <w:r>
        <w:rPr>
          <w:w w:val="105"/>
          <w:sz w:val="21"/>
        </w:rPr>
        <w:t>this</w:t>
      </w:r>
      <w:r>
        <w:rPr>
          <w:spacing w:val="-7"/>
          <w:w w:val="105"/>
          <w:sz w:val="21"/>
        </w:rPr>
        <w:t> </w:t>
      </w:r>
      <w:r>
        <w:rPr>
          <w:spacing w:val="-3"/>
          <w:w w:val="105"/>
          <w:sz w:val="21"/>
        </w:rPr>
        <w:t>information</w:t>
      </w:r>
      <w:r>
        <w:rPr>
          <w:spacing w:val="-7"/>
          <w:w w:val="105"/>
          <w:sz w:val="21"/>
        </w:rPr>
        <w:t> </w:t>
      </w:r>
      <w:r>
        <w:rPr>
          <w:w w:val="105"/>
          <w:sz w:val="21"/>
        </w:rPr>
        <w:t>and</w:t>
      </w:r>
      <w:r>
        <w:rPr>
          <w:spacing w:val="-8"/>
          <w:w w:val="105"/>
          <w:sz w:val="21"/>
        </w:rPr>
        <w:t> </w:t>
      </w:r>
      <w:r>
        <w:rPr>
          <w:spacing w:val="-3"/>
          <w:w w:val="105"/>
          <w:sz w:val="21"/>
        </w:rPr>
        <w:t>found</w:t>
      </w:r>
      <w:r>
        <w:rPr>
          <w:spacing w:val="-7"/>
          <w:w w:val="105"/>
          <w:sz w:val="21"/>
        </w:rPr>
        <w:t> </w:t>
      </w:r>
      <w:r>
        <w:rPr>
          <w:w w:val="105"/>
          <w:sz w:val="21"/>
        </w:rPr>
        <w:t>it</w:t>
      </w:r>
      <w:r>
        <w:rPr>
          <w:spacing w:val="-7"/>
          <w:w w:val="105"/>
          <w:sz w:val="21"/>
        </w:rPr>
        <w:t> </w:t>
      </w:r>
      <w:r>
        <w:rPr>
          <w:w w:val="105"/>
          <w:sz w:val="21"/>
        </w:rPr>
        <w:t>particularly</w:t>
      </w:r>
      <w:r>
        <w:rPr>
          <w:spacing w:val="-7"/>
          <w:w w:val="105"/>
          <w:sz w:val="21"/>
        </w:rPr>
        <w:t> </w:t>
      </w:r>
      <w:r>
        <w:rPr>
          <w:spacing w:val="-3"/>
          <w:w w:val="105"/>
          <w:sz w:val="21"/>
        </w:rPr>
        <w:t>helpful</w:t>
      </w:r>
      <w:r>
        <w:rPr>
          <w:spacing w:val="-8"/>
          <w:w w:val="105"/>
          <w:sz w:val="21"/>
        </w:rPr>
        <w:t> </w:t>
      </w:r>
      <w:r>
        <w:rPr>
          <w:w w:val="105"/>
          <w:sz w:val="21"/>
        </w:rPr>
        <w:t>in</w:t>
      </w:r>
      <w:r>
        <w:rPr>
          <w:spacing w:val="-7"/>
          <w:w w:val="105"/>
          <w:sz w:val="21"/>
        </w:rPr>
        <w:t> </w:t>
      </w:r>
      <w:r>
        <w:rPr>
          <w:w w:val="105"/>
          <w:sz w:val="21"/>
        </w:rPr>
        <w:t>its </w:t>
      </w:r>
      <w:r>
        <w:rPr>
          <w:spacing w:val="-3"/>
          <w:w w:val="105"/>
          <w:sz w:val="21"/>
        </w:rPr>
        <w:t>preliminary research for </w:t>
      </w:r>
      <w:r>
        <w:rPr>
          <w:w w:val="105"/>
          <w:sz w:val="21"/>
        </w:rPr>
        <w:t>this</w:t>
      </w:r>
      <w:r>
        <w:rPr>
          <w:spacing w:val="27"/>
          <w:w w:val="105"/>
          <w:sz w:val="21"/>
        </w:rPr>
        <w:t> </w:t>
      </w:r>
      <w:r>
        <w:rPr>
          <w:spacing w:val="-4"/>
          <w:w w:val="105"/>
          <w:sz w:val="21"/>
        </w:rPr>
        <w:t>inquiry.</w:t>
      </w:r>
    </w:p>
    <w:p>
      <w:pPr>
        <w:pStyle w:val="ListParagraph"/>
        <w:numPr>
          <w:ilvl w:val="1"/>
          <w:numId w:val="16"/>
        </w:numPr>
        <w:tabs>
          <w:tab w:pos="2381" w:val="left" w:leader="none"/>
          <w:tab w:pos="2382" w:val="left" w:leader="none"/>
        </w:tabs>
        <w:spacing w:line="242" w:lineRule="auto" w:before="124" w:after="0"/>
        <w:ind w:left="2381" w:right="2089" w:hanging="794"/>
        <w:jc w:val="left"/>
        <w:rPr>
          <w:sz w:val="21"/>
        </w:rPr>
      </w:pPr>
      <w:r>
        <w:rPr>
          <w:w w:val="105"/>
          <w:sz w:val="21"/>
        </w:rPr>
        <w:t>First,</w:t>
      </w:r>
      <w:r>
        <w:rPr>
          <w:spacing w:val="-9"/>
          <w:w w:val="105"/>
          <w:sz w:val="21"/>
        </w:rPr>
        <w:t> </w:t>
      </w:r>
      <w:r>
        <w:rPr>
          <w:w w:val="105"/>
          <w:sz w:val="21"/>
        </w:rPr>
        <w:t>the</w:t>
      </w:r>
      <w:r>
        <w:rPr>
          <w:spacing w:val="-8"/>
          <w:w w:val="105"/>
          <w:sz w:val="21"/>
        </w:rPr>
        <w:t> </w:t>
      </w:r>
      <w:r>
        <w:rPr>
          <w:w w:val="105"/>
          <w:sz w:val="21"/>
        </w:rPr>
        <w:t>NSWLEC</w:t>
      </w:r>
      <w:r>
        <w:rPr>
          <w:spacing w:val="-8"/>
          <w:w w:val="105"/>
          <w:sz w:val="21"/>
        </w:rPr>
        <w:t> </w:t>
      </w:r>
      <w:r>
        <w:rPr>
          <w:spacing w:val="-3"/>
          <w:w w:val="105"/>
          <w:sz w:val="21"/>
        </w:rPr>
        <w:t>maintains</w:t>
      </w:r>
      <w:r>
        <w:rPr>
          <w:spacing w:val="-9"/>
          <w:w w:val="105"/>
          <w:sz w:val="21"/>
        </w:rPr>
        <w:t> </w:t>
      </w:r>
      <w:r>
        <w:rPr>
          <w:w w:val="105"/>
          <w:sz w:val="21"/>
        </w:rPr>
        <w:t>a</w:t>
      </w:r>
      <w:r>
        <w:rPr>
          <w:spacing w:val="-8"/>
          <w:w w:val="105"/>
          <w:sz w:val="21"/>
        </w:rPr>
        <w:t> </w:t>
      </w:r>
      <w:r>
        <w:rPr>
          <w:spacing w:val="-3"/>
          <w:w w:val="105"/>
          <w:sz w:val="21"/>
        </w:rPr>
        <w:t>comprehensive</w:t>
      </w:r>
      <w:r>
        <w:rPr>
          <w:spacing w:val="-8"/>
          <w:w w:val="105"/>
          <w:sz w:val="21"/>
        </w:rPr>
        <w:t> </w:t>
      </w:r>
      <w:r>
        <w:rPr>
          <w:spacing w:val="-3"/>
          <w:w w:val="105"/>
          <w:sz w:val="21"/>
        </w:rPr>
        <w:t>website</w:t>
      </w:r>
      <w:r>
        <w:rPr>
          <w:spacing w:val="-9"/>
          <w:w w:val="105"/>
          <w:sz w:val="21"/>
        </w:rPr>
        <w:t> </w:t>
      </w:r>
      <w:r>
        <w:rPr>
          <w:w w:val="105"/>
          <w:sz w:val="21"/>
        </w:rPr>
        <w:t>dedicated</w:t>
      </w:r>
      <w:r>
        <w:rPr>
          <w:spacing w:val="-8"/>
          <w:w w:val="105"/>
          <w:sz w:val="21"/>
        </w:rPr>
        <w:t> </w:t>
      </w:r>
      <w:r>
        <w:rPr>
          <w:spacing w:val="-3"/>
          <w:w w:val="105"/>
          <w:sz w:val="21"/>
        </w:rPr>
        <w:t>to</w:t>
      </w:r>
      <w:r>
        <w:rPr>
          <w:spacing w:val="-8"/>
          <w:w w:val="105"/>
          <w:sz w:val="21"/>
        </w:rPr>
        <w:t> </w:t>
      </w:r>
      <w:r>
        <w:rPr>
          <w:w w:val="105"/>
          <w:sz w:val="21"/>
        </w:rPr>
        <w:t>the</w:t>
      </w:r>
      <w:r>
        <w:rPr>
          <w:spacing w:val="-8"/>
          <w:w w:val="105"/>
          <w:sz w:val="21"/>
        </w:rPr>
        <w:t> </w:t>
      </w:r>
      <w:r>
        <w:rPr>
          <w:w w:val="105"/>
          <w:sz w:val="21"/>
        </w:rPr>
        <w:t>resolution</w:t>
      </w:r>
      <w:r>
        <w:rPr>
          <w:spacing w:val="-9"/>
          <w:w w:val="105"/>
          <w:sz w:val="21"/>
        </w:rPr>
        <w:t> </w:t>
      </w:r>
      <w:r>
        <w:rPr>
          <w:w w:val="105"/>
          <w:sz w:val="21"/>
        </w:rPr>
        <w:t>of neighbourhood tree disputes.</w:t>
      </w:r>
      <w:r>
        <w:rPr>
          <w:w w:val="105"/>
          <w:position w:val="7"/>
          <w:sz w:val="12"/>
        </w:rPr>
        <w:t>39 </w:t>
      </w:r>
      <w:r>
        <w:rPr>
          <w:spacing w:val="-3"/>
          <w:w w:val="105"/>
          <w:sz w:val="21"/>
        </w:rPr>
        <w:t>Helpful materials</w:t>
      </w:r>
      <w:r>
        <w:rPr>
          <w:spacing w:val="12"/>
          <w:w w:val="105"/>
          <w:sz w:val="21"/>
        </w:rPr>
        <w:t> </w:t>
      </w:r>
      <w:r>
        <w:rPr>
          <w:w w:val="105"/>
          <w:sz w:val="21"/>
        </w:rPr>
        <w:t>include:</w:t>
      </w:r>
    </w:p>
    <w:p>
      <w:pPr>
        <w:pStyle w:val="ListParagraph"/>
        <w:numPr>
          <w:ilvl w:val="2"/>
          <w:numId w:val="16"/>
        </w:numPr>
        <w:tabs>
          <w:tab w:pos="2721" w:val="left" w:leader="none"/>
          <w:tab w:pos="2722" w:val="left" w:leader="none"/>
        </w:tabs>
        <w:spacing w:line="242" w:lineRule="auto" w:before="122" w:after="0"/>
        <w:ind w:left="2721" w:right="1960" w:hanging="340"/>
        <w:jc w:val="left"/>
        <w:rPr>
          <w:sz w:val="21"/>
        </w:rPr>
      </w:pPr>
      <w:r>
        <w:rPr>
          <w:w w:val="105"/>
          <w:sz w:val="21"/>
        </w:rPr>
        <w:t>a</w:t>
      </w:r>
      <w:r>
        <w:rPr>
          <w:spacing w:val="-10"/>
          <w:w w:val="105"/>
          <w:sz w:val="21"/>
        </w:rPr>
        <w:t> </w:t>
      </w:r>
      <w:r>
        <w:rPr>
          <w:w w:val="105"/>
          <w:sz w:val="21"/>
        </w:rPr>
        <w:t>detailed</w:t>
      </w:r>
      <w:r>
        <w:rPr>
          <w:spacing w:val="-9"/>
          <w:w w:val="105"/>
          <w:sz w:val="21"/>
        </w:rPr>
        <w:t> </w:t>
      </w:r>
      <w:r>
        <w:rPr>
          <w:w w:val="105"/>
          <w:sz w:val="21"/>
        </w:rPr>
        <w:t>step-by-step</w:t>
      </w:r>
      <w:r>
        <w:rPr>
          <w:spacing w:val="-10"/>
          <w:w w:val="105"/>
          <w:sz w:val="21"/>
        </w:rPr>
        <w:t> </w:t>
      </w:r>
      <w:r>
        <w:rPr>
          <w:spacing w:val="-3"/>
          <w:w w:val="105"/>
          <w:sz w:val="21"/>
        </w:rPr>
        <w:t>Plain</w:t>
      </w:r>
      <w:r>
        <w:rPr>
          <w:spacing w:val="-9"/>
          <w:w w:val="105"/>
          <w:sz w:val="21"/>
        </w:rPr>
        <w:t> </w:t>
      </w:r>
      <w:r>
        <w:rPr>
          <w:spacing w:val="-3"/>
          <w:w w:val="105"/>
          <w:sz w:val="21"/>
        </w:rPr>
        <w:t>English</w:t>
      </w:r>
      <w:r>
        <w:rPr>
          <w:spacing w:val="-10"/>
          <w:w w:val="105"/>
          <w:sz w:val="21"/>
        </w:rPr>
        <w:t> </w:t>
      </w:r>
      <w:r>
        <w:rPr>
          <w:w w:val="105"/>
          <w:sz w:val="21"/>
        </w:rPr>
        <w:t>guide</w:t>
      </w:r>
      <w:r>
        <w:rPr>
          <w:spacing w:val="-9"/>
          <w:w w:val="105"/>
          <w:sz w:val="21"/>
        </w:rPr>
        <w:t> </w:t>
      </w:r>
      <w:r>
        <w:rPr>
          <w:spacing w:val="-3"/>
          <w:w w:val="105"/>
          <w:sz w:val="21"/>
        </w:rPr>
        <w:t>to</w:t>
      </w:r>
      <w:r>
        <w:rPr>
          <w:spacing w:val="-10"/>
          <w:w w:val="105"/>
          <w:sz w:val="21"/>
        </w:rPr>
        <w:t> </w:t>
      </w:r>
      <w:r>
        <w:rPr>
          <w:w w:val="105"/>
          <w:sz w:val="21"/>
        </w:rPr>
        <w:t>understanding</w:t>
      </w:r>
      <w:r>
        <w:rPr>
          <w:spacing w:val="-9"/>
          <w:w w:val="105"/>
          <w:sz w:val="21"/>
        </w:rPr>
        <w:t> </w:t>
      </w:r>
      <w:r>
        <w:rPr>
          <w:w w:val="105"/>
          <w:sz w:val="21"/>
        </w:rPr>
        <w:t>the</w:t>
      </w:r>
      <w:r>
        <w:rPr>
          <w:spacing w:val="-10"/>
          <w:w w:val="105"/>
          <w:sz w:val="21"/>
        </w:rPr>
        <w:t> </w:t>
      </w:r>
      <w:r>
        <w:rPr>
          <w:w w:val="105"/>
          <w:sz w:val="21"/>
        </w:rPr>
        <w:t>application</w:t>
      </w:r>
      <w:r>
        <w:rPr>
          <w:spacing w:val="-9"/>
          <w:w w:val="105"/>
          <w:sz w:val="21"/>
        </w:rPr>
        <w:t> </w:t>
      </w:r>
      <w:r>
        <w:rPr>
          <w:w w:val="105"/>
          <w:sz w:val="21"/>
        </w:rPr>
        <w:t>of</w:t>
      </w:r>
      <w:r>
        <w:rPr>
          <w:spacing w:val="-10"/>
          <w:w w:val="105"/>
          <w:sz w:val="21"/>
        </w:rPr>
        <w:t> </w:t>
      </w:r>
      <w:r>
        <w:rPr>
          <w:w w:val="105"/>
          <w:sz w:val="21"/>
        </w:rPr>
        <w:t>the NSW</w:t>
      </w:r>
      <w:r>
        <w:rPr>
          <w:spacing w:val="5"/>
          <w:w w:val="105"/>
          <w:sz w:val="21"/>
        </w:rPr>
        <w:t> </w:t>
      </w:r>
      <w:r>
        <w:rPr>
          <w:w w:val="105"/>
          <w:sz w:val="21"/>
        </w:rPr>
        <w:t>Act</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w w:val="105"/>
          <w:sz w:val="21"/>
        </w:rPr>
        <w:t>an </w:t>
      </w:r>
      <w:r>
        <w:rPr>
          <w:spacing w:val="-3"/>
          <w:w w:val="105"/>
          <w:sz w:val="21"/>
        </w:rPr>
        <w:t>annotated </w:t>
      </w:r>
      <w:r>
        <w:rPr>
          <w:w w:val="105"/>
          <w:sz w:val="21"/>
        </w:rPr>
        <w:t>version of the NSW Act</w:t>
      </w:r>
      <w:r>
        <w:rPr>
          <w:spacing w:val="17"/>
          <w:w w:val="105"/>
          <w:sz w:val="21"/>
        </w:rPr>
        <w:t> </w:t>
      </w:r>
      <w:r>
        <w:rPr>
          <w:spacing w:val="4"/>
          <w:w w:val="105"/>
          <w:position w:val="7"/>
          <w:sz w:val="12"/>
        </w:rPr>
        <w:t>40</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z w:val="21"/>
        </w:rPr>
        <w:t>tree </w:t>
      </w:r>
      <w:r>
        <w:rPr>
          <w:spacing w:val="-3"/>
          <w:sz w:val="21"/>
        </w:rPr>
        <w:t>dispute principles </w:t>
      </w:r>
      <w:r>
        <w:rPr>
          <w:sz w:val="21"/>
        </w:rPr>
        <w:t>which guide the community on the </w:t>
      </w:r>
      <w:r>
        <w:rPr>
          <w:spacing w:val="-3"/>
          <w:sz w:val="21"/>
        </w:rPr>
        <w:t>interpretation </w:t>
      </w:r>
      <w:r>
        <w:rPr>
          <w:sz w:val="21"/>
        </w:rPr>
        <w:t>of the</w:t>
      </w:r>
      <w:r>
        <w:rPr>
          <w:spacing w:val="18"/>
          <w:sz w:val="21"/>
        </w:rPr>
        <w:t> </w:t>
      </w:r>
      <w:r>
        <w:rPr>
          <w:sz w:val="21"/>
        </w:rPr>
        <w:t>Act</w:t>
      </w:r>
      <w:r>
        <w:rPr>
          <w:position w:val="7"/>
          <w:sz w:val="12"/>
        </w:rPr>
        <w:t>41</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z w:val="21"/>
        </w:rPr>
        <w:t>case</w:t>
      </w:r>
      <w:r>
        <w:rPr>
          <w:spacing w:val="8"/>
          <w:sz w:val="21"/>
        </w:rPr>
        <w:t> </w:t>
      </w:r>
      <w:r>
        <w:rPr>
          <w:sz w:val="21"/>
        </w:rPr>
        <w:t>studies</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z w:val="21"/>
        </w:rPr>
        <w:t>a Practice</w:t>
      </w:r>
      <w:r>
        <w:rPr>
          <w:spacing w:val="16"/>
          <w:sz w:val="21"/>
        </w:rPr>
        <w:t> </w:t>
      </w:r>
      <w:r>
        <w:rPr>
          <w:sz w:val="21"/>
        </w:rPr>
        <w:t>Note</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court </w:t>
      </w:r>
      <w:r>
        <w:rPr>
          <w:spacing w:val="-3"/>
          <w:w w:val="105"/>
          <w:sz w:val="21"/>
        </w:rPr>
        <w:t>forms </w:t>
      </w:r>
      <w:r>
        <w:rPr>
          <w:w w:val="105"/>
          <w:sz w:val="21"/>
        </w:rPr>
        <w:t>and</w:t>
      </w:r>
      <w:r>
        <w:rPr>
          <w:spacing w:val="18"/>
          <w:w w:val="105"/>
          <w:sz w:val="21"/>
        </w:rPr>
        <w:t> </w:t>
      </w:r>
      <w:r>
        <w:rPr>
          <w:w w:val="105"/>
          <w:sz w:val="21"/>
        </w:rPr>
        <w:t>fees.</w:t>
      </w:r>
    </w:p>
    <w:p>
      <w:pPr>
        <w:pStyle w:val="ListParagraph"/>
        <w:numPr>
          <w:ilvl w:val="1"/>
          <w:numId w:val="16"/>
        </w:numPr>
        <w:tabs>
          <w:tab w:pos="2382" w:val="left" w:leader="none"/>
        </w:tabs>
        <w:spacing w:line="242" w:lineRule="auto" w:before="88" w:after="0"/>
        <w:ind w:left="2381" w:right="1857" w:hanging="794"/>
        <w:jc w:val="both"/>
        <w:rPr>
          <w:sz w:val="21"/>
        </w:rPr>
      </w:pPr>
      <w:r>
        <w:rPr>
          <w:w w:val="105"/>
          <w:sz w:val="21"/>
        </w:rPr>
        <w:t>The NSWLEC emphasised the usefulness of its step-by-step </w:t>
      </w:r>
      <w:r>
        <w:rPr>
          <w:spacing w:val="-3"/>
          <w:w w:val="105"/>
          <w:sz w:val="21"/>
        </w:rPr>
        <w:t>Plain English guide,</w:t>
      </w:r>
      <w:r>
        <w:rPr>
          <w:spacing w:val="-3"/>
          <w:w w:val="105"/>
          <w:position w:val="7"/>
          <w:sz w:val="12"/>
        </w:rPr>
        <w:t>42 </w:t>
      </w:r>
      <w:r>
        <w:rPr>
          <w:w w:val="105"/>
          <w:sz w:val="21"/>
        </w:rPr>
        <w:t>which </w:t>
      </w:r>
      <w:r>
        <w:rPr>
          <w:spacing w:val="-3"/>
          <w:w w:val="105"/>
          <w:sz w:val="21"/>
        </w:rPr>
        <w:t>explains </w:t>
      </w:r>
      <w:r>
        <w:rPr>
          <w:w w:val="105"/>
          <w:sz w:val="21"/>
        </w:rPr>
        <w:t>the </w:t>
      </w:r>
      <w:r>
        <w:rPr>
          <w:spacing w:val="-3"/>
          <w:w w:val="105"/>
          <w:sz w:val="21"/>
        </w:rPr>
        <w:t>requirements </w:t>
      </w:r>
      <w:r>
        <w:rPr>
          <w:w w:val="105"/>
          <w:sz w:val="21"/>
        </w:rPr>
        <w:t>and process at each stage of the </w:t>
      </w:r>
      <w:r>
        <w:rPr>
          <w:spacing w:val="-3"/>
          <w:w w:val="105"/>
          <w:sz w:val="21"/>
        </w:rPr>
        <w:t>Court proceedings, helping </w:t>
      </w:r>
      <w:r>
        <w:rPr>
          <w:w w:val="105"/>
          <w:sz w:val="21"/>
        </w:rPr>
        <w:t>parties </w:t>
      </w:r>
      <w:r>
        <w:rPr>
          <w:spacing w:val="-3"/>
          <w:w w:val="105"/>
          <w:sz w:val="21"/>
        </w:rPr>
        <w:t>to </w:t>
      </w:r>
      <w:r>
        <w:rPr>
          <w:w w:val="105"/>
          <w:sz w:val="21"/>
        </w:rPr>
        <w:t>be better </w:t>
      </w:r>
      <w:r>
        <w:rPr>
          <w:spacing w:val="-3"/>
          <w:w w:val="105"/>
          <w:sz w:val="21"/>
        </w:rPr>
        <w:t>prepared for </w:t>
      </w:r>
      <w:r>
        <w:rPr>
          <w:w w:val="105"/>
          <w:sz w:val="21"/>
        </w:rPr>
        <w:t>their court</w:t>
      </w:r>
      <w:r>
        <w:rPr>
          <w:spacing w:val="29"/>
          <w:w w:val="105"/>
          <w:sz w:val="21"/>
        </w:rPr>
        <w:t> </w:t>
      </w:r>
      <w:r>
        <w:rPr>
          <w:w w:val="105"/>
          <w:sz w:val="21"/>
        </w:rPr>
        <w:t>appearances.</w:t>
      </w:r>
      <w:r>
        <w:rPr>
          <w:w w:val="105"/>
          <w:position w:val="7"/>
          <w:sz w:val="12"/>
        </w:rPr>
        <w:t>43</w:t>
      </w:r>
    </w:p>
    <w:p>
      <w:pPr>
        <w:pStyle w:val="ListParagraph"/>
        <w:numPr>
          <w:ilvl w:val="1"/>
          <w:numId w:val="16"/>
        </w:numPr>
        <w:tabs>
          <w:tab w:pos="2381" w:val="left" w:leader="none"/>
          <w:tab w:pos="2382" w:val="left" w:leader="none"/>
        </w:tabs>
        <w:spacing w:line="242" w:lineRule="auto" w:before="124" w:after="0"/>
        <w:ind w:left="2381" w:right="2123" w:hanging="794"/>
        <w:jc w:val="left"/>
        <w:rPr>
          <w:sz w:val="21"/>
        </w:rPr>
      </w:pPr>
      <w:r>
        <w:rPr>
          <w:w w:val="105"/>
          <w:sz w:val="21"/>
        </w:rPr>
        <w:t>The </w:t>
      </w:r>
      <w:r>
        <w:rPr>
          <w:spacing w:val="-3"/>
          <w:w w:val="105"/>
          <w:sz w:val="21"/>
        </w:rPr>
        <w:t>annotated </w:t>
      </w:r>
      <w:r>
        <w:rPr>
          <w:w w:val="105"/>
          <w:sz w:val="21"/>
        </w:rPr>
        <w:t>version of the NSW Act </w:t>
      </w:r>
      <w:r>
        <w:rPr>
          <w:spacing w:val="-3"/>
          <w:w w:val="105"/>
          <w:sz w:val="21"/>
        </w:rPr>
        <w:t>available </w:t>
      </w:r>
      <w:r>
        <w:rPr>
          <w:w w:val="105"/>
          <w:sz w:val="21"/>
        </w:rPr>
        <w:t>on the NSWLEC </w:t>
      </w:r>
      <w:r>
        <w:rPr>
          <w:spacing w:val="-3"/>
          <w:w w:val="105"/>
          <w:sz w:val="21"/>
        </w:rPr>
        <w:t>website outlines </w:t>
      </w:r>
      <w:r>
        <w:rPr>
          <w:spacing w:val="-4"/>
          <w:w w:val="105"/>
          <w:sz w:val="21"/>
        </w:rPr>
        <w:t>key </w:t>
      </w:r>
      <w:r>
        <w:rPr>
          <w:w w:val="105"/>
          <w:sz w:val="21"/>
        </w:rPr>
        <w:t>cases </w:t>
      </w:r>
      <w:r>
        <w:rPr>
          <w:spacing w:val="-3"/>
          <w:w w:val="105"/>
          <w:sz w:val="21"/>
        </w:rPr>
        <w:t>to elaborate </w:t>
      </w:r>
      <w:r>
        <w:rPr>
          <w:w w:val="105"/>
          <w:sz w:val="21"/>
        </w:rPr>
        <w:t>on sections of the NSW Act and </w:t>
      </w:r>
      <w:r>
        <w:rPr>
          <w:spacing w:val="-3"/>
          <w:w w:val="105"/>
          <w:sz w:val="21"/>
        </w:rPr>
        <w:t>explains </w:t>
      </w:r>
      <w:r>
        <w:rPr>
          <w:w w:val="105"/>
          <w:sz w:val="21"/>
        </w:rPr>
        <w:t>how the law applies </w:t>
      </w:r>
      <w:r>
        <w:rPr>
          <w:spacing w:val="-3"/>
          <w:w w:val="105"/>
          <w:sz w:val="21"/>
        </w:rPr>
        <w:t>to </w:t>
      </w:r>
      <w:r>
        <w:rPr>
          <w:w w:val="105"/>
          <w:sz w:val="21"/>
        </w:rPr>
        <w:t>particular fact </w:t>
      </w:r>
      <w:r>
        <w:rPr>
          <w:spacing w:val="-3"/>
          <w:w w:val="105"/>
          <w:sz w:val="21"/>
        </w:rPr>
        <w:t>scenarios. </w:t>
      </w:r>
      <w:r>
        <w:rPr>
          <w:w w:val="105"/>
          <w:sz w:val="21"/>
        </w:rPr>
        <w:t>A 2009 review of the NSW Act undertaken by the NSW Department of Justice and </w:t>
      </w:r>
      <w:r>
        <w:rPr>
          <w:spacing w:val="-3"/>
          <w:w w:val="105"/>
          <w:sz w:val="21"/>
        </w:rPr>
        <w:t>Attorney </w:t>
      </w:r>
      <w:r>
        <w:rPr>
          <w:w w:val="105"/>
          <w:sz w:val="21"/>
        </w:rPr>
        <w:t>General</w:t>
      </w:r>
      <w:r>
        <w:rPr>
          <w:spacing w:val="26"/>
          <w:w w:val="105"/>
          <w:sz w:val="21"/>
        </w:rPr>
        <w:t> </w:t>
      </w:r>
      <w:r>
        <w:rPr>
          <w:w w:val="105"/>
          <w:sz w:val="21"/>
        </w:rPr>
        <w:t>found:</w:t>
      </w:r>
    </w:p>
    <w:p>
      <w:pPr>
        <w:spacing w:line="254" w:lineRule="auto" w:before="134"/>
        <w:ind w:left="2834" w:right="1810" w:firstLine="0"/>
        <w:jc w:val="left"/>
        <w:rPr>
          <w:sz w:val="11"/>
        </w:rPr>
      </w:pPr>
      <w:r>
        <w:rPr>
          <w:sz w:val="20"/>
        </w:rPr>
        <w:t>Generally, annotated legislation is published in textbook or looseleaf format, and is not available for free. It is highly unusual – if not unique – for a Court to have developed, published and maintained such a valuable resource, and made it available without charge.</w:t>
      </w:r>
      <w:r>
        <w:rPr>
          <w:position w:val="7"/>
          <w:sz w:val="11"/>
        </w:rPr>
        <w:t>44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11552;mso-wrap-distance-left:0;mso-wrap-distance-right:0" from="79.370102pt,8.990007pt" to="515.905102pt,8.990007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7"/>
        </w:rPr>
      </w:pPr>
    </w:p>
    <w:p>
      <w:pPr>
        <w:spacing w:before="0"/>
        <w:ind w:left="720" w:right="0" w:firstLine="0"/>
        <w:jc w:val="left"/>
        <w:rPr>
          <w:b/>
          <w:sz w:val="24"/>
        </w:rPr>
      </w:pPr>
      <w:r>
        <w:rPr>
          <w:b/>
          <w:color w:val="658464"/>
          <w:w w:val="110"/>
          <w:sz w:val="24"/>
        </w:rPr>
        <w:t>280</w:t>
      </w:r>
    </w:p>
    <w:p>
      <w:pPr>
        <w:pStyle w:val="ListParagraph"/>
        <w:numPr>
          <w:ilvl w:val="0"/>
          <w:numId w:val="200"/>
        </w:numPr>
        <w:tabs>
          <w:tab w:pos="1216" w:val="left" w:leader="none"/>
          <w:tab w:pos="1217" w:val="left" w:leader="none"/>
        </w:tabs>
        <w:spacing w:line="240" w:lineRule="auto" w:before="48" w:after="0"/>
        <w:ind w:left="1216" w:right="1913" w:hanging="793"/>
        <w:jc w:val="left"/>
        <w:rPr>
          <w:sz w:val="13"/>
        </w:rPr>
      </w:pPr>
      <w:r>
        <w:rPr>
          <w:spacing w:val="2"/>
          <w:w w:val="108"/>
          <w:sz w:val="13"/>
        </w:rPr>
        <w:br w:type="column"/>
      </w:r>
      <w:r>
        <w:rPr>
          <w:w w:val="105"/>
          <w:sz w:val="13"/>
        </w:rPr>
        <w:t>Department of Justice </w:t>
      </w:r>
      <w:r>
        <w:rPr>
          <w:spacing w:val="3"/>
          <w:w w:val="105"/>
          <w:sz w:val="13"/>
        </w:rPr>
        <w:t>(NSW), </w:t>
      </w:r>
      <w:r>
        <w:rPr>
          <w:i/>
          <w:w w:val="105"/>
          <w:sz w:val="13"/>
        </w:rPr>
        <w:t>Neighbours </w:t>
      </w:r>
      <w:r>
        <w:rPr>
          <w:w w:val="105"/>
          <w:sz w:val="13"/>
        </w:rPr>
        <w:t>(Web Page, 5 June 2018) </w:t>
      </w:r>
      <w:r>
        <w:rPr>
          <w:spacing w:val="2"/>
          <w:w w:val="105"/>
          <w:sz w:val="13"/>
        </w:rPr>
        <w:t>&lt;</w:t>
      </w:r>
      <w:hyperlink r:id="rId334">
        <w:r>
          <w:rPr>
            <w:spacing w:val="2"/>
            <w:w w:val="105"/>
            <w:sz w:val="13"/>
          </w:rPr>
          <w:t>http://www.cjc.justice.nsw.gov.au/Pages/cjc_whatis_mediation/</w:t>
        </w:r>
      </w:hyperlink>
      <w:r>
        <w:rPr>
          <w:spacing w:val="2"/>
          <w:w w:val="105"/>
          <w:sz w:val="13"/>
        </w:rPr>
        <w:t> </w:t>
      </w:r>
      <w:r>
        <w:rPr>
          <w:w w:val="105"/>
          <w:sz w:val="13"/>
        </w:rPr>
        <w:t>com_justice_neighbours.aspx&gt;.</w:t>
      </w:r>
    </w:p>
    <w:p>
      <w:pPr>
        <w:pStyle w:val="ListParagraph"/>
        <w:numPr>
          <w:ilvl w:val="0"/>
          <w:numId w:val="200"/>
        </w:numPr>
        <w:tabs>
          <w:tab w:pos="1216" w:val="left" w:leader="none"/>
          <w:tab w:pos="1217" w:val="left" w:leader="none"/>
        </w:tabs>
        <w:spacing w:line="240" w:lineRule="auto" w:before="3" w:after="0"/>
        <w:ind w:left="1216" w:right="1955" w:hanging="793"/>
        <w:jc w:val="left"/>
        <w:rPr>
          <w:sz w:val="13"/>
        </w:rPr>
      </w:pPr>
      <w:r>
        <w:rPr>
          <w:w w:val="105"/>
          <w:sz w:val="13"/>
        </w:rPr>
        <w:t>Nadine Behan, </w:t>
      </w:r>
      <w:r>
        <w:rPr>
          <w:i/>
          <w:w w:val="105"/>
          <w:sz w:val="13"/>
        </w:rPr>
        <w:t>Neighbours and The Law </w:t>
      </w:r>
      <w:r>
        <w:rPr>
          <w:w w:val="105"/>
          <w:sz w:val="13"/>
        </w:rPr>
        <w:t>(LIAC, State Library of New South Wales, 2nd ed, 2017) &lt;https://legalanswers.sl.nsw.gov.au/ neighbours-and-law&gt;.</w:t>
      </w:r>
    </w:p>
    <w:p>
      <w:pPr>
        <w:pStyle w:val="ListParagraph"/>
        <w:numPr>
          <w:ilvl w:val="0"/>
          <w:numId w:val="200"/>
        </w:numPr>
        <w:tabs>
          <w:tab w:pos="1216" w:val="left" w:leader="none"/>
          <w:tab w:pos="1218" w:val="left" w:leader="none"/>
        </w:tabs>
        <w:spacing w:line="240" w:lineRule="auto" w:before="2" w:after="0"/>
        <w:ind w:left="1217" w:right="2051" w:hanging="794"/>
        <w:jc w:val="left"/>
        <w:rPr>
          <w:sz w:val="13"/>
        </w:rPr>
      </w:pPr>
      <w:r>
        <w:rPr>
          <w:w w:val="105"/>
          <w:sz w:val="13"/>
        </w:rPr>
        <w:t>Land and Environment Court of New South Wales, </w:t>
      </w:r>
      <w:r>
        <w:rPr>
          <w:i/>
          <w:w w:val="105"/>
          <w:sz w:val="13"/>
        </w:rPr>
        <w:t>Helpful Materials </w:t>
      </w:r>
      <w:r>
        <w:rPr>
          <w:w w:val="105"/>
          <w:sz w:val="13"/>
        </w:rPr>
        <w:t>(Web Page 22 November 2018) &lt;</w:t>
      </w:r>
      <w:hyperlink r:id="rId112">
        <w:r>
          <w:rPr>
            <w:w w:val="105"/>
            <w:sz w:val="13"/>
          </w:rPr>
          <w:t>http://www.lec.justice.nsw.</w:t>
        </w:r>
      </w:hyperlink>
      <w:r>
        <w:rPr>
          <w:w w:val="105"/>
          <w:sz w:val="13"/>
        </w:rPr>
        <w:t> </w:t>
      </w:r>
      <w:r>
        <w:rPr>
          <w:spacing w:val="2"/>
          <w:sz w:val="13"/>
        </w:rPr>
        <w:t>gov.au/Pages/types_of_disputes/class_2/Trees-hedge-disputes-process/Treedisputes-helpfulmaterials/treedisputes_helpfulmaterial. </w:t>
      </w:r>
      <w:r>
        <w:rPr>
          <w:w w:val="105"/>
          <w:sz w:val="13"/>
        </w:rPr>
        <w:t>aspx#Legislation&gt;.</w:t>
      </w:r>
    </w:p>
    <w:p>
      <w:pPr>
        <w:pStyle w:val="ListParagraph"/>
        <w:numPr>
          <w:ilvl w:val="0"/>
          <w:numId w:val="200"/>
        </w:numPr>
        <w:tabs>
          <w:tab w:pos="1216" w:val="left" w:leader="none"/>
          <w:tab w:pos="1218" w:val="left" w:leader="none"/>
        </w:tabs>
        <w:spacing w:line="240" w:lineRule="auto" w:before="4" w:after="0"/>
        <w:ind w:left="1217" w:right="0" w:hanging="794"/>
        <w:jc w:val="left"/>
        <w:rPr>
          <w:sz w:val="13"/>
        </w:rPr>
      </w:pPr>
      <w:r>
        <w:rPr>
          <w:w w:val="105"/>
          <w:sz w:val="13"/>
        </w:rPr>
        <w:t>Land</w:t>
      </w:r>
      <w:r>
        <w:rPr>
          <w:spacing w:val="6"/>
          <w:w w:val="105"/>
          <w:sz w:val="13"/>
        </w:rPr>
        <w:t> </w:t>
      </w:r>
      <w:r>
        <w:rPr>
          <w:w w:val="105"/>
          <w:sz w:val="13"/>
        </w:rPr>
        <w:t>and</w:t>
      </w:r>
      <w:r>
        <w:rPr>
          <w:spacing w:val="6"/>
          <w:w w:val="105"/>
          <w:sz w:val="13"/>
        </w:rPr>
        <w:t> </w:t>
      </w:r>
      <w:r>
        <w:rPr>
          <w:w w:val="105"/>
          <w:sz w:val="13"/>
        </w:rPr>
        <w:t>Environment</w:t>
      </w:r>
      <w:r>
        <w:rPr>
          <w:spacing w:val="6"/>
          <w:w w:val="105"/>
          <w:sz w:val="13"/>
        </w:rPr>
        <w:t> </w:t>
      </w:r>
      <w:r>
        <w:rPr>
          <w:w w:val="105"/>
          <w:sz w:val="13"/>
        </w:rPr>
        <w:t>Court</w:t>
      </w:r>
      <w:r>
        <w:rPr>
          <w:spacing w:val="6"/>
          <w:w w:val="105"/>
          <w:sz w:val="13"/>
        </w:rPr>
        <w:t> </w:t>
      </w:r>
      <w:r>
        <w:rPr>
          <w:w w:val="105"/>
          <w:sz w:val="13"/>
        </w:rPr>
        <w:t>of</w:t>
      </w:r>
      <w:r>
        <w:rPr>
          <w:spacing w:val="6"/>
          <w:w w:val="105"/>
          <w:sz w:val="13"/>
        </w:rPr>
        <w:t> </w:t>
      </w:r>
      <w:r>
        <w:rPr>
          <w:w w:val="105"/>
          <w:sz w:val="13"/>
        </w:rPr>
        <w:t>New</w:t>
      </w:r>
      <w:r>
        <w:rPr>
          <w:spacing w:val="6"/>
          <w:w w:val="105"/>
          <w:sz w:val="13"/>
        </w:rPr>
        <w:t> </w:t>
      </w:r>
      <w:r>
        <w:rPr>
          <w:w w:val="105"/>
          <w:sz w:val="13"/>
        </w:rPr>
        <w:t>South</w:t>
      </w:r>
      <w:r>
        <w:rPr>
          <w:spacing w:val="6"/>
          <w:w w:val="105"/>
          <w:sz w:val="13"/>
        </w:rPr>
        <w:t> </w:t>
      </w:r>
      <w:r>
        <w:rPr>
          <w:w w:val="105"/>
          <w:sz w:val="13"/>
        </w:rPr>
        <w:t>Wales,</w:t>
      </w:r>
      <w:r>
        <w:rPr>
          <w:spacing w:val="6"/>
          <w:w w:val="105"/>
          <w:sz w:val="13"/>
        </w:rPr>
        <w:t> </w:t>
      </w:r>
      <w:r>
        <w:rPr>
          <w:i/>
          <w:w w:val="105"/>
          <w:sz w:val="13"/>
        </w:rPr>
        <w:t>Annotated</w:t>
      </w:r>
      <w:r>
        <w:rPr>
          <w:i/>
          <w:spacing w:val="6"/>
          <w:w w:val="105"/>
          <w:sz w:val="13"/>
        </w:rPr>
        <w:t> </w:t>
      </w:r>
      <w:r>
        <w:rPr>
          <w:i/>
          <w:w w:val="105"/>
          <w:sz w:val="13"/>
        </w:rPr>
        <w:t>Trees</w:t>
      </w:r>
      <w:r>
        <w:rPr>
          <w:i/>
          <w:spacing w:val="6"/>
          <w:w w:val="105"/>
          <w:sz w:val="13"/>
        </w:rPr>
        <w:t> </w:t>
      </w:r>
      <w:r>
        <w:rPr>
          <w:i/>
          <w:w w:val="105"/>
          <w:sz w:val="13"/>
        </w:rPr>
        <w:t>(Disputes</w:t>
      </w:r>
      <w:r>
        <w:rPr>
          <w:i/>
          <w:spacing w:val="6"/>
          <w:w w:val="105"/>
          <w:sz w:val="13"/>
        </w:rPr>
        <w:t> </w:t>
      </w:r>
      <w:r>
        <w:rPr>
          <w:i/>
          <w:w w:val="105"/>
          <w:sz w:val="13"/>
        </w:rPr>
        <w:t>Between</w:t>
      </w:r>
      <w:r>
        <w:rPr>
          <w:i/>
          <w:spacing w:val="6"/>
          <w:w w:val="105"/>
          <w:sz w:val="13"/>
        </w:rPr>
        <w:t> </w:t>
      </w:r>
      <w:r>
        <w:rPr>
          <w:i/>
          <w:w w:val="105"/>
          <w:sz w:val="13"/>
        </w:rPr>
        <w:t>Neighbours)</w:t>
      </w:r>
      <w:r>
        <w:rPr>
          <w:i/>
          <w:spacing w:val="6"/>
          <w:w w:val="105"/>
          <w:sz w:val="13"/>
        </w:rPr>
        <w:t> </w:t>
      </w:r>
      <w:r>
        <w:rPr>
          <w:i/>
          <w:w w:val="105"/>
          <w:sz w:val="13"/>
        </w:rPr>
        <w:t>Act</w:t>
      </w:r>
      <w:r>
        <w:rPr>
          <w:i/>
          <w:spacing w:val="6"/>
          <w:w w:val="105"/>
          <w:sz w:val="13"/>
        </w:rPr>
        <w:t> </w:t>
      </w:r>
      <w:r>
        <w:rPr>
          <w:i/>
          <w:w w:val="105"/>
          <w:sz w:val="13"/>
        </w:rPr>
        <w:t>2006</w:t>
      </w:r>
      <w:r>
        <w:rPr>
          <w:i/>
          <w:spacing w:val="6"/>
          <w:w w:val="105"/>
          <w:sz w:val="13"/>
        </w:rPr>
        <w:t> </w:t>
      </w:r>
      <w:r>
        <w:rPr>
          <w:spacing w:val="-3"/>
          <w:w w:val="105"/>
          <w:sz w:val="13"/>
        </w:rPr>
        <w:t>(14</w:t>
      </w:r>
      <w:r>
        <w:rPr>
          <w:spacing w:val="7"/>
          <w:w w:val="105"/>
          <w:sz w:val="13"/>
        </w:rPr>
        <w:t> </w:t>
      </w:r>
      <w:r>
        <w:rPr>
          <w:w w:val="105"/>
          <w:sz w:val="13"/>
        </w:rPr>
        <w:t>January</w:t>
      </w:r>
      <w:r>
        <w:rPr>
          <w:spacing w:val="6"/>
          <w:w w:val="105"/>
          <w:sz w:val="13"/>
        </w:rPr>
        <w:t> </w:t>
      </w:r>
      <w:r>
        <w:rPr>
          <w:w w:val="105"/>
          <w:sz w:val="13"/>
        </w:rPr>
        <w:t>2013)</w:t>
      </w:r>
      <w:r>
        <w:rPr>
          <w:spacing w:val="6"/>
          <w:w w:val="105"/>
          <w:sz w:val="13"/>
        </w:rPr>
        <w:t> </w:t>
      </w:r>
      <w:r>
        <w:rPr>
          <w:w w:val="105"/>
          <w:sz w:val="13"/>
        </w:rPr>
        <w:t>24.</w:t>
      </w:r>
    </w:p>
    <w:p>
      <w:pPr>
        <w:pStyle w:val="ListParagraph"/>
        <w:numPr>
          <w:ilvl w:val="0"/>
          <w:numId w:val="200"/>
        </w:numPr>
        <w:tabs>
          <w:tab w:pos="1216" w:val="left" w:leader="none"/>
          <w:tab w:pos="1218" w:val="left" w:leader="none"/>
        </w:tabs>
        <w:spacing w:line="240" w:lineRule="auto" w:before="2" w:after="0"/>
        <w:ind w:left="1217" w:right="1613" w:hanging="794"/>
        <w:jc w:val="left"/>
        <w:rPr>
          <w:sz w:val="13"/>
        </w:rPr>
      </w:pPr>
      <w:r>
        <w:rPr>
          <w:w w:val="105"/>
          <w:sz w:val="13"/>
        </w:rPr>
        <w:t>The NSWLEC website states that a tree dispute principle is </w:t>
      </w:r>
      <w:r>
        <w:rPr>
          <w:spacing w:val="-3"/>
          <w:w w:val="105"/>
          <w:sz w:val="13"/>
        </w:rPr>
        <w:t>‘a  </w:t>
      </w:r>
      <w:r>
        <w:rPr>
          <w:w w:val="105"/>
          <w:sz w:val="13"/>
        </w:rPr>
        <w:t>statement of a probable outcome from a chain of reasoning aimed at reaching    a</w:t>
      </w:r>
      <w:r>
        <w:rPr>
          <w:spacing w:val="5"/>
          <w:w w:val="105"/>
          <w:sz w:val="13"/>
        </w:rPr>
        <w:t> </w:t>
      </w:r>
      <w:r>
        <w:rPr>
          <w:w w:val="105"/>
          <w:sz w:val="13"/>
        </w:rPr>
        <w:t>list</w:t>
      </w:r>
      <w:r>
        <w:rPr>
          <w:spacing w:val="5"/>
          <w:w w:val="105"/>
          <w:sz w:val="13"/>
        </w:rPr>
        <w:t> </w:t>
      </w:r>
      <w:r>
        <w:rPr>
          <w:w w:val="105"/>
          <w:sz w:val="13"/>
        </w:rPr>
        <w:t>of</w:t>
      </w:r>
      <w:r>
        <w:rPr>
          <w:spacing w:val="5"/>
          <w:w w:val="105"/>
          <w:sz w:val="13"/>
        </w:rPr>
        <w:t> </w:t>
      </w:r>
      <w:r>
        <w:rPr>
          <w:w w:val="105"/>
          <w:sz w:val="13"/>
        </w:rPr>
        <w:t>appropriate</w:t>
      </w:r>
      <w:r>
        <w:rPr>
          <w:spacing w:val="6"/>
          <w:w w:val="105"/>
          <w:sz w:val="13"/>
        </w:rPr>
        <w:t> </w:t>
      </w:r>
      <w:r>
        <w:rPr>
          <w:w w:val="105"/>
          <w:sz w:val="13"/>
        </w:rPr>
        <w:t>matters</w:t>
      </w:r>
      <w:r>
        <w:rPr>
          <w:spacing w:val="5"/>
          <w:w w:val="105"/>
          <w:sz w:val="13"/>
        </w:rPr>
        <w:t> </w:t>
      </w:r>
      <w:r>
        <w:rPr>
          <w:w w:val="105"/>
          <w:sz w:val="13"/>
        </w:rPr>
        <w:t>to</w:t>
      </w:r>
      <w:r>
        <w:rPr>
          <w:spacing w:val="5"/>
          <w:w w:val="105"/>
          <w:sz w:val="13"/>
        </w:rPr>
        <w:t> </w:t>
      </w:r>
      <w:r>
        <w:rPr>
          <w:w w:val="105"/>
          <w:sz w:val="13"/>
        </w:rPr>
        <w:t>be</w:t>
      </w:r>
      <w:r>
        <w:rPr>
          <w:spacing w:val="6"/>
          <w:w w:val="105"/>
          <w:sz w:val="13"/>
        </w:rPr>
        <w:t> </w:t>
      </w:r>
      <w:r>
        <w:rPr>
          <w:w w:val="105"/>
          <w:sz w:val="13"/>
        </w:rPr>
        <w:t>considered</w:t>
      </w:r>
      <w:r>
        <w:rPr>
          <w:spacing w:val="5"/>
          <w:w w:val="105"/>
          <w:sz w:val="13"/>
        </w:rPr>
        <w:t> </w:t>
      </w:r>
      <w:r>
        <w:rPr>
          <w:w w:val="105"/>
          <w:sz w:val="13"/>
        </w:rPr>
        <w:t>in</w:t>
      </w:r>
      <w:r>
        <w:rPr>
          <w:spacing w:val="5"/>
          <w:w w:val="105"/>
          <w:sz w:val="13"/>
        </w:rPr>
        <w:t> </w:t>
      </w:r>
      <w:r>
        <w:rPr>
          <w:w w:val="105"/>
          <w:sz w:val="13"/>
        </w:rPr>
        <w:t>making</w:t>
      </w:r>
      <w:r>
        <w:rPr>
          <w:spacing w:val="5"/>
          <w:w w:val="105"/>
          <w:sz w:val="13"/>
        </w:rPr>
        <w:t> </w:t>
      </w:r>
      <w:r>
        <w:rPr>
          <w:w w:val="105"/>
          <w:sz w:val="13"/>
        </w:rPr>
        <w:t>a</w:t>
      </w:r>
      <w:r>
        <w:rPr>
          <w:spacing w:val="6"/>
          <w:w w:val="105"/>
          <w:sz w:val="13"/>
        </w:rPr>
        <w:t> </w:t>
      </w:r>
      <w:r>
        <w:rPr>
          <w:w w:val="105"/>
          <w:sz w:val="13"/>
        </w:rPr>
        <w:t>decision</w:t>
      </w:r>
      <w:r>
        <w:rPr>
          <w:spacing w:val="5"/>
          <w:w w:val="105"/>
          <w:sz w:val="13"/>
        </w:rPr>
        <w:t> </w:t>
      </w:r>
      <w:r>
        <w:rPr>
          <w:w w:val="105"/>
          <w:sz w:val="13"/>
        </w:rPr>
        <w:t>concerning</w:t>
      </w:r>
      <w:r>
        <w:rPr>
          <w:spacing w:val="5"/>
          <w:w w:val="105"/>
          <w:sz w:val="13"/>
        </w:rPr>
        <w:t> </w:t>
      </w:r>
      <w:r>
        <w:rPr>
          <w:w w:val="105"/>
          <w:sz w:val="13"/>
        </w:rPr>
        <w:t>an</w:t>
      </w:r>
      <w:r>
        <w:rPr>
          <w:spacing w:val="6"/>
          <w:w w:val="105"/>
          <w:sz w:val="13"/>
        </w:rPr>
        <w:t> </w:t>
      </w:r>
      <w:r>
        <w:rPr>
          <w:w w:val="105"/>
          <w:sz w:val="13"/>
        </w:rPr>
        <w:t>application</w:t>
      </w:r>
      <w:r>
        <w:rPr>
          <w:spacing w:val="5"/>
          <w:w w:val="105"/>
          <w:sz w:val="13"/>
        </w:rPr>
        <w:t> </w:t>
      </w:r>
      <w:r>
        <w:rPr>
          <w:w w:val="105"/>
          <w:sz w:val="13"/>
        </w:rPr>
        <w:t>which</w:t>
      </w:r>
      <w:r>
        <w:rPr>
          <w:spacing w:val="5"/>
          <w:w w:val="105"/>
          <w:sz w:val="13"/>
        </w:rPr>
        <w:t> </w:t>
      </w:r>
      <w:r>
        <w:rPr>
          <w:w w:val="105"/>
          <w:sz w:val="13"/>
        </w:rPr>
        <w:t>has</w:t>
      </w:r>
      <w:r>
        <w:rPr>
          <w:spacing w:val="6"/>
          <w:w w:val="105"/>
          <w:sz w:val="13"/>
        </w:rPr>
        <w:t> </w:t>
      </w:r>
      <w:r>
        <w:rPr>
          <w:w w:val="105"/>
          <w:sz w:val="13"/>
        </w:rPr>
        <w:t>been</w:t>
      </w:r>
      <w:r>
        <w:rPr>
          <w:spacing w:val="5"/>
          <w:w w:val="105"/>
          <w:sz w:val="13"/>
        </w:rPr>
        <w:t> </w:t>
      </w:r>
      <w:r>
        <w:rPr>
          <w:w w:val="105"/>
          <w:sz w:val="13"/>
        </w:rPr>
        <w:t>made</w:t>
      </w:r>
      <w:r>
        <w:rPr>
          <w:spacing w:val="5"/>
          <w:w w:val="105"/>
          <w:sz w:val="13"/>
        </w:rPr>
        <w:t> </w:t>
      </w:r>
      <w:r>
        <w:rPr>
          <w:w w:val="105"/>
          <w:sz w:val="13"/>
        </w:rPr>
        <w:t>pursuant</w:t>
      </w:r>
      <w:r>
        <w:rPr>
          <w:spacing w:val="5"/>
          <w:w w:val="105"/>
          <w:sz w:val="13"/>
        </w:rPr>
        <w:t> </w:t>
      </w:r>
      <w:r>
        <w:rPr>
          <w:w w:val="105"/>
          <w:sz w:val="13"/>
        </w:rPr>
        <w:t>to</w:t>
      </w:r>
      <w:r>
        <w:rPr>
          <w:spacing w:val="6"/>
          <w:w w:val="105"/>
          <w:sz w:val="13"/>
        </w:rPr>
        <w:t> </w:t>
      </w:r>
      <w:hyperlink r:id="rId335">
        <w:r>
          <w:rPr>
            <w:w w:val="105"/>
            <w:sz w:val="13"/>
          </w:rPr>
          <w:t>s</w:t>
        </w:r>
        <w:r>
          <w:rPr>
            <w:spacing w:val="5"/>
            <w:w w:val="105"/>
            <w:sz w:val="13"/>
          </w:rPr>
          <w:t> </w:t>
        </w:r>
        <w:r>
          <w:rPr>
            <w:w w:val="105"/>
            <w:sz w:val="13"/>
          </w:rPr>
          <w:t>7</w:t>
        </w:r>
        <w:r>
          <w:rPr>
            <w:spacing w:val="5"/>
            <w:w w:val="105"/>
            <w:sz w:val="13"/>
          </w:rPr>
          <w:t> </w:t>
        </w:r>
      </w:hyperlink>
      <w:r>
        <w:rPr>
          <w:w w:val="105"/>
          <w:sz w:val="13"/>
        </w:rPr>
        <w:t>of</w:t>
      </w:r>
    </w:p>
    <w:p>
      <w:pPr>
        <w:spacing w:before="2"/>
        <w:ind w:left="1217" w:right="1560" w:firstLine="0"/>
        <w:jc w:val="left"/>
        <w:rPr>
          <w:sz w:val="13"/>
        </w:rPr>
      </w:pPr>
      <w:r>
        <w:rPr>
          <w:w w:val="105"/>
          <w:sz w:val="13"/>
        </w:rPr>
        <w:t>the </w:t>
      </w:r>
      <w:r>
        <w:rPr>
          <w:i/>
          <w:w w:val="105"/>
          <w:sz w:val="13"/>
        </w:rPr>
        <w:t>Trees (Disputes Between Neighbours) Act 2006 </w:t>
      </w:r>
      <w:r>
        <w:rPr>
          <w:w w:val="105"/>
          <w:sz w:val="13"/>
        </w:rPr>
        <w:t>(NSW)’: Land and Environment Court of New South Wales, </w:t>
      </w:r>
      <w:r>
        <w:rPr>
          <w:i/>
          <w:w w:val="105"/>
          <w:sz w:val="13"/>
        </w:rPr>
        <w:t>Tree Dispute Principles </w:t>
      </w:r>
      <w:r>
        <w:rPr>
          <w:w w:val="105"/>
          <w:sz w:val="13"/>
        </w:rPr>
        <w:t>(Web Page, 25 September 2017) &lt;</w:t>
      </w:r>
      <w:hyperlink r:id="rId336">
        <w:r>
          <w:rPr>
            <w:w w:val="105"/>
            <w:sz w:val="13"/>
          </w:rPr>
          <w:t>http://www.lec.justice.nsw.gov.au/Pages/practice_procedure/principles/tree_principles.aspx</w:t>
        </w:r>
      </w:hyperlink>
      <w:r>
        <w:rPr>
          <w:w w:val="105"/>
          <w:sz w:val="13"/>
        </w:rPr>
        <w:t>&gt;.</w:t>
      </w:r>
    </w:p>
    <w:p>
      <w:pPr>
        <w:pStyle w:val="ListParagraph"/>
        <w:numPr>
          <w:ilvl w:val="0"/>
          <w:numId w:val="200"/>
        </w:numPr>
        <w:tabs>
          <w:tab w:pos="1216" w:val="left" w:leader="none"/>
          <w:tab w:pos="1218" w:val="left" w:leader="none"/>
        </w:tabs>
        <w:spacing w:line="240" w:lineRule="auto" w:before="3" w:after="0"/>
        <w:ind w:left="1217" w:right="1633" w:hanging="794"/>
        <w:jc w:val="left"/>
        <w:rPr>
          <w:sz w:val="13"/>
        </w:rPr>
      </w:pPr>
      <w:r>
        <w:rPr>
          <w:w w:val="105"/>
          <w:sz w:val="13"/>
        </w:rPr>
        <w:t>Land and Environment Court of New South Wales, </w:t>
      </w:r>
      <w:r>
        <w:rPr>
          <w:i/>
          <w:w w:val="105"/>
          <w:sz w:val="13"/>
        </w:rPr>
        <w:t>Tree Disputes: Understanding the Law </w:t>
      </w:r>
      <w:r>
        <w:rPr>
          <w:w w:val="105"/>
          <w:sz w:val="13"/>
        </w:rPr>
        <w:t>(Information Sheet) &lt;</w:t>
      </w:r>
      <w:hyperlink r:id="rId112">
        <w:r>
          <w:rPr>
            <w:w w:val="105"/>
            <w:sz w:val="13"/>
          </w:rPr>
          <w:t>http://www.lec.justice.nsw.</w:t>
        </w:r>
      </w:hyperlink>
      <w:r>
        <w:rPr>
          <w:w w:val="105"/>
          <w:sz w:val="13"/>
        </w:rPr>
        <w:t> </w:t>
      </w:r>
      <w:r>
        <w:rPr>
          <w:spacing w:val="2"/>
          <w:w w:val="105"/>
          <w:sz w:val="13"/>
        </w:rPr>
        <w:t>gov.au/Pages/types_of_disputes/class_2/trees_and_hedges.aspx&gt;</w:t>
      </w:r>
    </w:p>
    <w:p>
      <w:pPr>
        <w:pStyle w:val="ListParagraph"/>
        <w:numPr>
          <w:ilvl w:val="0"/>
          <w:numId w:val="200"/>
        </w:numPr>
        <w:tabs>
          <w:tab w:pos="1216" w:val="left" w:leader="none"/>
          <w:tab w:pos="1218" w:val="left" w:leader="none"/>
        </w:tabs>
        <w:spacing w:line="240" w:lineRule="auto" w:before="3" w:after="0"/>
        <w:ind w:left="1217"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2"/>
          <w:w w:val="105"/>
          <w:sz w:val="13"/>
        </w:rPr>
        <w:t> </w:t>
      </w:r>
      <w:r>
        <w:rPr>
          <w:w w:val="105"/>
          <w:sz w:val="13"/>
        </w:rPr>
        <w:t>Wales).</w:t>
      </w:r>
    </w:p>
    <w:p>
      <w:pPr>
        <w:pStyle w:val="ListParagraph"/>
        <w:numPr>
          <w:ilvl w:val="0"/>
          <w:numId w:val="200"/>
        </w:numPr>
        <w:tabs>
          <w:tab w:pos="1216" w:val="left" w:leader="none"/>
          <w:tab w:pos="1218" w:val="left" w:leader="none"/>
        </w:tabs>
        <w:spacing w:line="240" w:lineRule="auto" w:before="1" w:after="0"/>
        <w:ind w:left="1217" w:right="1759" w:hanging="794"/>
        <w:jc w:val="left"/>
        <w:rPr>
          <w:sz w:val="13"/>
        </w:rPr>
      </w:pPr>
      <w:r>
        <w:rPr>
          <w:w w:val="105"/>
          <w:sz w:val="13"/>
        </w:rPr>
        <w:t>Department of Justice and Attorney General </w:t>
      </w:r>
      <w:r>
        <w:rPr>
          <w:spacing w:val="3"/>
          <w:w w:val="105"/>
          <w:sz w:val="13"/>
        </w:rPr>
        <w:t>(NSW), </w:t>
      </w:r>
      <w:r>
        <w:rPr>
          <w:i/>
          <w:w w:val="105"/>
          <w:sz w:val="13"/>
        </w:rPr>
        <w:t>Review of the Trees (Disputes Between Neighbours) Act 2006 </w:t>
      </w:r>
      <w:r>
        <w:rPr>
          <w:i/>
          <w:spacing w:val="3"/>
          <w:w w:val="105"/>
          <w:sz w:val="13"/>
        </w:rPr>
        <w:t>(NSW) </w:t>
      </w:r>
      <w:r>
        <w:rPr>
          <w:spacing w:val="2"/>
          <w:w w:val="105"/>
          <w:sz w:val="13"/>
        </w:rPr>
        <w:t>(Report, 2009)  </w:t>
      </w:r>
      <w:r>
        <w:rPr>
          <w:spacing w:val="-3"/>
          <w:w w:val="105"/>
          <w:sz w:val="13"/>
        </w:rPr>
        <w:t>12.</w:t>
      </w:r>
    </w:p>
    <w:p>
      <w:pPr>
        <w:spacing w:after="0" w:line="240" w:lineRule="auto"/>
        <w:jc w:val="left"/>
        <w:rPr>
          <w:sz w:val="13"/>
        </w:rPr>
        <w:sectPr>
          <w:type w:val="continuous"/>
          <w:pgSz w:w="11910" w:h="16840"/>
          <w:pgMar w:top="300" w:bottom="280" w:left="0" w:right="0"/>
          <w:cols w:num="2" w:equalWidth="0">
            <w:col w:w="1125" w:space="40"/>
            <w:col w:w="10745"/>
          </w:cols>
        </w:sectPr>
      </w:pPr>
    </w:p>
    <w:p>
      <w:pPr>
        <w:pStyle w:val="BodyText"/>
        <w:rPr>
          <w:sz w:val="20"/>
        </w:rPr>
      </w:pPr>
    </w:p>
    <w:p>
      <w:pPr>
        <w:pStyle w:val="BodyText"/>
        <w:spacing w:before="9"/>
        <w:rPr>
          <w:sz w:val="18"/>
        </w:rPr>
      </w:pPr>
    </w:p>
    <w:p>
      <w:pPr>
        <w:pStyle w:val="ListParagraph"/>
        <w:numPr>
          <w:ilvl w:val="1"/>
          <w:numId w:val="16"/>
        </w:numPr>
        <w:tabs>
          <w:tab w:pos="2380" w:val="left" w:leader="none"/>
          <w:tab w:pos="2381" w:val="left" w:leader="none"/>
        </w:tabs>
        <w:spacing w:line="240" w:lineRule="auto" w:before="91" w:after="0"/>
        <w:ind w:left="2381" w:right="0" w:hanging="794"/>
        <w:jc w:val="left"/>
        <w:rPr>
          <w:sz w:val="21"/>
        </w:rPr>
      </w:pPr>
      <w:r>
        <w:rPr>
          <w:w w:val="105"/>
          <w:sz w:val="21"/>
        </w:rPr>
        <w:t>In a </w:t>
      </w:r>
      <w:r>
        <w:rPr>
          <w:spacing w:val="-3"/>
          <w:w w:val="105"/>
          <w:sz w:val="21"/>
        </w:rPr>
        <w:t>submission to that </w:t>
      </w:r>
      <w:r>
        <w:rPr>
          <w:spacing w:val="-4"/>
          <w:w w:val="105"/>
          <w:sz w:val="21"/>
        </w:rPr>
        <w:t>review,</w:t>
      </w:r>
      <w:r>
        <w:rPr>
          <w:spacing w:val="10"/>
          <w:w w:val="105"/>
          <w:sz w:val="21"/>
        </w:rPr>
        <w:t> </w:t>
      </w:r>
      <w:r>
        <w:rPr>
          <w:w w:val="105"/>
          <w:sz w:val="21"/>
        </w:rPr>
        <w:t>the Law Society of NSW commented:</w:t>
      </w:r>
    </w:p>
    <w:p>
      <w:pPr>
        <w:spacing w:line="254" w:lineRule="auto" w:before="134"/>
        <w:ind w:left="2834" w:right="1817" w:firstLine="0"/>
        <w:jc w:val="left"/>
        <w:rPr>
          <w:sz w:val="11"/>
        </w:rPr>
      </w:pPr>
      <w:r>
        <w:rPr>
          <w:w w:val="105"/>
          <w:sz w:val="20"/>
        </w:rPr>
        <w:t>The level of </w:t>
      </w:r>
      <w:r>
        <w:rPr>
          <w:spacing w:val="-3"/>
          <w:w w:val="105"/>
          <w:sz w:val="20"/>
        </w:rPr>
        <w:t>information </w:t>
      </w:r>
      <w:r>
        <w:rPr>
          <w:w w:val="105"/>
          <w:sz w:val="20"/>
        </w:rPr>
        <w:t>and assistance provided to applicants, tree owners and Local </w:t>
      </w:r>
      <w:r>
        <w:rPr>
          <w:spacing w:val="-4"/>
          <w:w w:val="105"/>
          <w:sz w:val="20"/>
        </w:rPr>
        <w:t>Councils </w:t>
      </w:r>
      <w:r>
        <w:rPr>
          <w:spacing w:val="-3"/>
          <w:w w:val="105"/>
          <w:sz w:val="20"/>
        </w:rPr>
        <w:t>contributes </w:t>
      </w:r>
      <w:r>
        <w:rPr>
          <w:w w:val="105"/>
          <w:sz w:val="20"/>
        </w:rPr>
        <w:t>greatly to the Court being able to deliver a simple and low cost dispute resolution system.</w:t>
      </w:r>
      <w:r>
        <w:rPr>
          <w:w w:val="105"/>
          <w:position w:val="7"/>
          <w:sz w:val="11"/>
        </w:rPr>
        <w:t>45</w:t>
      </w:r>
    </w:p>
    <w:p>
      <w:pPr>
        <w:pStyle w:val="ListParagraph"/>
        <w:numPr>
          <w:ilvl w:val="1"/>
          <w:numId w:val="16"/>
        </w:numPr>
        <w:tabs>
          <w:tab w:pos="2381" w:val="left" w:leader="none"/>
          <w:tab w:pos="2382" w:val="left" w:leader="none"/>
        </w:tabs>
        <w:spacing w:line="242" w:lineRule="auto" w:before="114" w:after="0"/>
        <w:ind w:left="2381" w:right="1790" w:hanging="794"/>
        <w:jc w:val="left"/>
        <w:rPr>
          <w:sz w:val="21"/>
        </w:rPr>
      </w:pPr>
      <w:r>
        <w:rPr>
          <w:w w:val="105"/>
          <w:sz w:val="21"/>
        </w:rPr>
        <w:t>In </w:t>
      </w:r>
      <w:r>
        <w:rPr>
          <w:spacing w:val="-3"/>
          <w:w w:val="105"/>
          <w:sz w:val="21"/>
        </w:rPr>
        <w:t>terms </w:t>
      </w:r>
      <w:r>
        <w:rPr>
          <w:w w:val="105"/>
          <w:sz w:val="21"/>
        </w:rPr>
        <w:t>of </w:t>
      </w:r>
      <w:r>
        <w:rPr>
          <w:spacing w:val="-3"/>
          <w:w w:val="105"/>
          <w:sz w:val="21"/>
        </w:rPr>
        <w:t>educating </w:t>
      </w:r>
      <w:r>
        <w:rPr>
          <w:w w:val="105"/>
          <w:sz w:val="21"/>
        </w:rPr>
        <w:t>the community about the NSW Act, the NSWLEC </w:t>
      </w:r>
      <w:r>
        <w:rPr>
          <w:spacing w:val="-2"/>
          <w:w w:val="105"/>
          <w:sz w:val="21"/>
        </w:rPr>
        <w:t>has </w:t>
      </w:r>
      <w:r>
        <w:rPr>
          <w:w w:val="105"/>
          <w:sz w:val="21"/>
        </w:rPr>
        <w:t>run seminars in conjunction with </w:t>
      </w:r>
      <w:r>
        <w:rPr>
          <w:spacing w:val="-3"/>
          <w:w w:val="105"/>
          <w:sz w:val="21"/>
        </w:rPr>
        <w:t>professional </w:t>
      </w:r>
      <w:r>
        <w:rPr>
          <w:w w:val="105"/>
          <w:sz w:val="21"/>
        </w:rPr>
        <w:t>bodies, </w:t>
      </w:r>
      <w:r>
        <w:rPr>
          <w:spacing w:val="-3"/>
          <w:w w:val="105"/>
          <w:sz w:val="21"/>
        </w:rPr>
        <w:t>such </w:t>
      </w:r>
      <w:r>
        <w:rPr>
          <w:w w:val="105"/>
          <w:sz w:val="21"/>
        </w:rPr>
        <w:t>as the Law Society of NSW.</w:t>
      </w:r>
      <w:r>
        <w:rPr>
          <w:w w:val="105"/>
          <w:position w:val="7"/>
          <w:sz w:val="12"/>
        </w:rPr>
        <w:t>46</w:t>
      </w:r>
      <w:r>
        <w:rPr>
          <w:w w:val="105"/>
          <w:sz w:val="12"/>
        </w:rPr>
        <w:t> </w:t>
      </w:r>
      <w:r>
        <w:rPr>
          <w:spacing w:val="-3"/>
          <w:w w:val="105"/>
          <w:sz w:val="21"/>
        </w:rPr>
        <w:t>Commissioners have </w:t>
      </w:r>
      <w:r>
        <w:rPr>
          <w:w w:val="105"/>
          <w:sz w:val="21"/>
        </w:rPr>
        <w:t>also given speeches </w:t>
      </w:r>
      <w:r>
        <w:rPr>
          <w:spacing w:val="-3"/>
          <w:w w:val="105"/>
          <w:sz w:val="21"/>
        </w:rPr>
        <w:t>to </w:t>
      </w:r>
      <w:r>
        <w:rPr>
          <w:w w:val="105"/>
          <w:sz w:val="21"/>
        </w:rPr>
        <w:t>tertiary </w:t>
      </w:r>
      <w:r>
        <w:rPr>
          <w:spacing w:val="-3"/>
          <w:w w:val="105"/>
          <w:sz w:val="21"/>
        </w:rPr>
        <w:t>institutions </w:t>
      </w:r>
      <w:r>
        <w:rPr>
          <w:w w:val="105"/>
          <w:sz w:val="21"/>
        </w:rPr>
        <w:t>and </w:t>
      </w:r>
      <w:r>
        <w:rPr>
          <w:spacing w:val="-3"/>
          <w:w w:val="105"/>
          <w:sz w:val="21"/>
        </w:rPr>
        <w:t>professional arboricultural</w:t>
      </w:r>
      <w:r>
        <w:rPr>
          <w:spacing w:val="-6"/>
          <w:w w:val="105"/>
          <w:sz w:val="21"/>
        </w:rPr>
        <w:t> </w:t>
      </w:r>
      <w:r>
        <w:rPr>
          <w:w w:val="105"/>
          <w:sz w:val="21"/>
        </w:rPr>
        <w:t>associations.</w:t>
      </w:r>
      <w:r>
        <w:rPr>
          <w:spacing w:val="-5"/>
          <w:w w:val="105"/>
          <w:sz w:val="21"/>
        </w:rPr>
        <w:t> </w:t>
      </w:r>
      <w:r>
        <w:rPr>
          <w:w w:val="105"/>
          <w:sz w:val="21"/>
        </w:rPr>
        <w:t>A</w:t>
      </w:r>
      <w:r>
        <w:rPr>
          <w:spacing w:val="-6"/>
          <w:w w:val="105"/>
          <w:sz w:val="21"/>
        </w:rPr>
        <w:t> </w:t>
      </w:r>
      <w:r>
        <w:rPr>
          <w:spacing w:val="-3"/>
          <w:w w:val="105"/>
          <w:sz w:val="21"/>
        </w:rPr>
        <w:t>journal</w:t>
      </w:r>
      <w:r>
        <w:rPr>
          <w:spacing w:val="-5"/>
          <w:w w:val="105"/>
          <w:sz w:val="21"/>
        </w:rPr>
        <w:t> </w:t>
      </w:r>
      <w:r>
        <w:rPr>
          <w:w w:val="105"/>
          <w:sz w:val="21"/>
        </w:rPr>
        <w:t>article</w:t>
      </w:r>
      <w:r>
        <w:rPr>
          <w:spacing w:val="-6"/>
          <w:w w:val="105"/>
          <w:sz w:val="21"/>
        </w:rPr>
        <w:t> </w:t>
      </w:r>
      <w:r>
        <w:rPr>
          <w:w w:val="105"/>
          <w:sz w:val="21"/>
        </w:rPr>
        <w:t>was</w:t>
      </w:r>
      <w:r>
        <w:rPr>
          <w:spacing w:val="-5"/>
          <w:w w:val="105"/>
          <w:sz w:val="21"/>
        </w:rPr>
        <w:t> </w:t>
      </w:r>
      <w:r>
        <w:rPr>
          <w:w w:val="105"/>
          <w:sz w:val="21"/>
        </w:rPr>
        <w:t>also</w:t>
      </w:r>
      <w:r>
        <w:rPr>
          <w:spacing w:val="-6"/>
          <w:w w:val="105"/>
          <w:sz w:val="21"/>
        </w:rPr>
        <w:t> </w:t>
      </w:r>
      <w:r>
        <w:rPr>
          <w:spacing w:val="-3"/>
          <w:w w:val="105"/>
          <w:sz w:val="21"/>
        </w:rPr>
        <w:t>published</w:t>
      </w:r>
      <w:r>
        <w:rPr>
          <w:spacing w:val="-5"/>
          <w:w w:val="105"/>
          <w:sz w:val="21"/>
        </w:rPr>
        <w:t> </w:t>
      </w:r>
      <w:r>
        <w:rPr>
          <w:spacing w:val="-3"/>
          <w:w w:val="105"/>
          <w:sz w:val="21"/>
        </w:rPr>
        <w:t>detailing</w:t>
      </w:r>
      <w:r>
        <w:rPr>
          <w:spacing w:val="-6"/>
          <w:w w:val="105"/>
          <w:sz w:val="21"/>
        </w:rPr>
        <w:t> </w:t>
      </w:r>
      <w:r>
        <w:rPr>
          <w:w w:val="105"/>
          <w:sz w:val="21"/>
        </w:rPr>
        <w:t>the</w:t>
      </w:r>
      <w:r>
        <w:rPr>
          <w:spacing w:val="-5"/>
          <w:w w:val="105"/>
          <w:sz w:val="21"/>
        </w:rPr>
        <w:t> </w:t>
      </w:r>
      <w:r>
        <w:rPr>
          <w:spacing w:val="-4"/>
          <w:w w:val="105"/>
          <w:sz w:val="21"/>
        </w:rPr>
        <w:t>background </w:t>
      </w:r>
      <w:r>
        <w:rPr>
          <w:w w:val="105"/>
          <w:sz w:val="21"/>
        </w:rPr>
        <w:t>and operation of the</w:t>
      </w:r>
      <w:r>
        <w:rPr>
          <w:spacing w:val="20"/>
          <w:w w:val="105"/>
          <w:sz w:val="21"/>
        </w:rPr>
        <w:t> </w:t>
      </w:r>
      <w:r>
        <w:rPr>
          <w:w w:val="105"/>
          <w:sz w:val="21"/>
        </w:rPr>
        <w:t>Act.</w:t>
      </w:r>
      <w:r>
        <w:rPr>
          <w:w w:val="105"/>
          <w:position w:val="7"/>
          <w:sz w:val="12"/>
        </w:rPr>
        <w:t>47</w:t>
      </w:r>
    </w:p>
    <w:p>
      <w:pPr>
        <w:pStyle w:val="BodyText"/>
        <w:spacing w:before="6"/>
        <w:rPr>
          <w:sz w:val="20"/>
        </w:rPr>
      </w:pPr>
    </w:p>
    <w:p>
      <w:pPr>
        <w:pStyle w:val="Heading5"/>
      </w:pPr>
      <w:r>
        <w:rPr>
          <w:w w:val="115"/>
        </w:rPr>
        <w:t>Queensland</w:t>
      </w:r>
    </w:p>
    <w:p>
      <w:pPr>
        <w:pStyle w:val="ListParagraph"/>
        <w:numPr>
          <w:ilvl w:val="1"/>
          <w:numId w:val="16"/>
        </w:numPr>
        <w:tabs>
          <w:tab w:pos="2380" w:val="left" w:leader="none"/>
          <w:tab w:pos="2381" w:val="left" w:leader="none"/>
        </w:tabs>
        <w:spacing w:line="242" w:lineRule="auto" w:before="137" w:after="0"/>
        <w:ind w:left="2381" w:right="1675" w:hanging="794"/>
        <w:jc w:val="left"/>
        <w:rPr>
          <w:sz w:val="21"/>
        </w:rPr>
      </w:pPr>
      <w:r>
        <w:rPr>
          <w:spacing w:val="-4"/>
          <w:sz w:val="21"/>
        </w:rPr>
        <w:t>QCAT </w:t>
      </w:r>
      <w:r>
        <w:rPr>
          <w:spacing w:val="-2"/>
          <w:sz w:val="21"/>
        </w:rPr>
        <w:t>has </w:t>
      </w:r>
      <w:r>
        <w:rPr>
          <w:sz w:val="21"/>
        </w:rPr>
        <w:t>a </w:t>
      </w:r>
      <w:r>
        <w:rPr>
          <w:spacing w:val="-3"/>
          <w:sz w:val="21"/>
        </w:rPr>
        <w:t>website </w:t>
      </w:r>
      <w:r>
        <w:rPr>
          <w:sz w:val="21"/>
        </w:rPr>
        <w:t>dedicated </w:t>
      </w:r>
      <w:r>
        <w:rPr>
          <w:spacing w:val="-3"/>
          <w:sz w:val="21"/>
        </w:rPr>
        <w:t>to </w:t>
      </w:r>
      <w:r>
        <w:rPr>
          <w:sz w:val="21"/>
        </w:rPr>
        <w:t>tree </w:t>
      </w:r>
      <w:r>
        <w:rPr>
          <w:spacing w:val="-3"/>
          <w:sz w:val="21"/>
        </w:rPr>
        <w:t>dispute </w:t>
      </w:r>
      <w:r>
        <w:rPr>
          <w:sz w:val="21"/>
        </w:rPr>
        <w:t>hearings.</w:t>
      </w:r>
      <w:r>
        <w:rPr>
          <w:position w:val="7"/>
          <w:sz w:val="12"/>
        </w:rPr>
        <w:t>48 </w:t>
      </w:r>
      <w:r>
        <w:rPr>
          <w:sz w:val="21"/>
        </w:rPr>
        <w:t>It </w:t>
      </w:r>
      <w:r>
        <w:rPr>
          <w:spacing w:val="-2"/>
          <w:sz w:val="21"/>
        </w:rPr>
        <w:t>has </w:t>
      </w:r>
      <w:r>
        <w:rPr>
          <w:sz w:val="21"/>
        </w:rPr>
        <w:t>links </w:t>
      </w:r>
      <w:r>
        <w:rPr>
          <w:spacing w:val="-3"/>
          <w:sz w:val="21"/>
        </w:rPr>
        <w:t>to various resources, including:</w:t>
      </w:r>
    </w:p>
    <w:p>
      <w:pPr>
        <w:pStyle w:val="ListParagraph"/>
        <w:numPr>
          <w:ilvl w:val="2"/>
          <w:numId w:val="16"/>
        </w:numPr>
        <w:tabs>
          <w:tab w:pos="2721" w:val="left" w:leader="none"/>
          <w:tab w:pos="2722" w:val="left" w:leader="none"/>
        </w:tabs>
        <w:spacing w:line="240" w:lineRule="auto" w:before="122" w:after="0"/>
        <w:ind w:left="2721" w:right="0" w:hanging="340"/>
        <w:jc w:val="left"/>
        <w:rPr>
          <w:sz w:val="21"/>
        </w:rPr>
      </w:pPr>
      <w:r>
        <w:rPr>
          <w:w w:val="105"/>
          <w:sz w:val="21"/>
        </w:rPr>
        <w:t>an </w:t>
      </w:r>
      <w:r>
        <w:rPr>
          <w:spacing w:val="-3"/>
          <w:w w:val="105"/>
          <w:sz w:val="21"/>
        </w:rPr>
        <w:t>information </w:t>
      </w:r>
      <w:r>
        <w:rPr>
          <w:w w:val="105"/>
          <w:sz w:val="21"/>
        </w:rPr>
        <w:t>guide about the </w:t>
      </w:r>
      <w:r>
        <w:rPr>
          <w:spacing w:val="-3"/>
          <w:w w:val="105"/>
          <w:sz w:val="21"/>
        </w:rPr>
        <w:t>Queensland</w:t>
      </w:r>
      <w:r>
        <w:rPr>
          <w:spacing w:val="34"/>
          <w:w w:val="105"/>
          <w:sz w:val="21"/>
        </w:rPr>
        <w:t> </w:t>
      </w:r>
      <w:r>
        <w:rPr>
          <w:w w:val="105"/>
          <w:sz w:val="21"/>
        </w:rPr>
        <w:t>Act</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an application</w:t>
      </w:r>
      <w:r>
        <w:rPr>
          <w:spacing w:val="10"/>
          <w:w w:val="105"/>
          <w:sz w:val="21"/>
        </w:rPr>
        <w:t> </w:t>
      </w:r>
      <w:r>
        <w:rPr>
          <w:w w:val="105"/>
          <w:sz w:val="21"/>
        </w:rPr>
        <w:t>checklist</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a fact sheet on </w:t>
      </w:r>
      <w:r>
        <w:rPr>
          <w:spacing w:val="-3"/>
          <w:w w:val="105"/>
          <w:sz w:val="21"/>
        </w:rPr>
        <w:t>overhanging branches </w:t>
      </w:r>
      <w:r>
        <w:rPr>
          <w:w w:val="105"/>
          <w:sz w:val="21"/>
        </w:rPr>
        <w:t>and debt</w:t>
      </w:r>
      <w:r>
        <w:rPr>
          <w:spacing w:val="42"/>
          <w:w w:val="105"/>
          <w:sz w:val="21"/>
        </w:rPr>
        <w:t> </w:t>
      </w:r>
      <w:r>
        <w:rPr>
          <w:w w:val="105"/>
          <w:sz w:val="21"/>
        </w:rPr>
        <w:t>recovery</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a list of </w:t>
      </w:r>
      <w:r>
        <w:rPr>
          <w:spacing w:val="-3"/>
          <w:w w:val="105"/>
          <w:sz w:val="21"/>
        </w:rPr>
        <w:t>frequently asked</w:t>
      </w:r>
      <w:r>
        <w:rPr>
          <w:spacing w:val="27"/>
          <w:w w:val="105"/>
          <w:sz w:val="21"/>
        </w:rPr>
        <w:t> </w:t>
      </w:r>
      <w:r>
        <w:rPr>
          <w:w w:val="105"/>
          <w:sz w:val="21"/>
        </w:rPr>
        <w:t>questions</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z w:val="21"/>
        </w:rPr>
        <w:t>a list of tree </w:t>
      </w:r>
      <w:r>
        <w:rPr>
          <w:spacing w:val="-3"/>
          <w:sz w:val="21"/>
        </w:rPr>
        <w:t>professionals </w:t>
      </w:r>
      <w:r>
        <w:rPr>
          <w:sz w:val="21"/>
        </w:rPr>
        <w:t>at the </w:t>
      </w:r>
      <w:r>
        <w:rPr>
          <w:spacing w:val="-3"/>
          <w:sz w:val="21"/>
        </w:rPr>
        <w:t>Queensland Arboricultural</w:t>
      </w:r>
      <w:r>
        <w:rPr>
          <w:spacing w:val="11"/>
          <w:sz w:val="21"/>
        </w:rPr>
        <w:t> </w:t>
      </w:r>
      <w:r>
        <w:rPr>
          <w:sz w:val="21"/>
        </w:rPr>
        <w:t>Association</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z w:val="21"/>
        </w:rPr>
        <w:t>a tree order</w:t>
      </w:r>
      <w:r>
        <w:rPr>
          <w:spacing w:val="24"/>
          <w:sz w:val="21"/>
        </w:rPr>
        <w:t> </w:t>
      </w:r>
      <w:r>
        <w:rPr>
          <w:spacing w:val="-3"/>
          <w:sz w:val="21"/>
        </w:rPr>
        <w:t>register</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a neighbourhood mediation</w:t>
      </w:r>
      <w:r>
        <w:rPr>
          <w:spacing w:val="15"/>
          <w:w w:val="105"/>
          <w:sz w:val="21"/>
        </w:rPr>
        <w:t> </w:t>
      </w:r>
      <w:r>
        <w:rPr>
          <w:w w:val="105"/>
          <w:sz w:val="21"/>
        </w:rPr>
        <w:t>kit</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w w:val="105"/>
          <w:sz w:val="21"/>
        </w:rPr>
        <w:t>tips on how </w:t>
      </w:r>
      <w:r>
        <w:rPr>
          <w:spacing w:val="-3"/>
          <w:w w:val="105"/>
          <w:sz w:val="21"/>
        </w:rPr>
        <w:t>to manage</w:t>
      </w:r>
      <w:r>
        <w:rPr>
          <w:spacing w:val="30"/>
          <w:w w:val="105"/>
          <w:sz w:val="21"/>
        </w:rPr>
        <w:t> </w:t>
      </w:r>
      <w:r>
        <w:rPr>
          <w:w w:val="105"/>
          <w:sz w:val="21"/>
        </w:rPr>
        <w:t>conflict.</w:t>
      </w:r>
    </w:p>
    <w:p>
      <w:pPr>
        <w:pStyle w:val="ListParagraph"/>
        <w:numPr>
          <w:ilvl w:val="1"/>
          <w:numId w:val="16"/>
        </w:numPr>
        <w:tabs>
          <w:tab w:pos="2382" w:val="left" w:leader="none"/>
        </w:tabs>
        <w:spacing w:line="242" w:lineRule="auto" w:before="89" w:after="0"/>
        <w:ind w:left="2381" w:right="1732" w:hanging="794"/>
        <w:jc w:val="both"/>
        <w:rPr>
          <w:sz w:val="21"/>
        </w:rPr>
      </w:pPr>
      <w:r>
        <w:rPr>
          <w:sz w:val="21"/>
        </w:rPr>
        <w:t>The application checklist </w:t>
      </w:r>
      <w:r>
        <w:rPr>
          <w:spacing w:val="-3"/>
          <w:sz w:val="21"/>
        </w:rPr>
        <w:t>requires </w:t>
      </w:r>
      <w:r>
        <w:rPr>
          <w:sz w:val="21"/>
        </w:rPr>
        <w:t>applicants </w:t>
      </w:r>
      <w:r>
        <w:rPr>
          <w:spacing w:val="-3"/>
          <w:sz w:val="21"/>
        </w:rPr>
        <w:t>to ensure upfront that </w:t>
      </w:r>
      <w:r>
        <w:rPr>
          <w:sz w:val="21"/>
        </w:rPr>
        <w:t>their tree </w:t>
      </w:r>
      <w:r>
        <w:rPr>
          <w:spacing w:val="-3"/>
          <w:sz w:val="21"/>
        </w:rPr>
        <w:t>dispute </w:t>
      </w:r>
      <w:r>
        <w:rPr>
          <w:spacing w:val="-4"/>
          <w:sz w:val="21"/>
        </w:rPr>
        <w:t>falls </w:t>
      </w:r>
      <w:r>
        <w:rPr>
          <w:spacing w:val="-3"/>
          <w:sz w:val="21"/>
        </w:rPr>
        <w:t>within </w:t>
      </w:r>
      <w:r>
        <w:rPr>
          <w:spacing w:val="-5"/>
          <w:sz w:val="21"/>
        </w:rPr>
        <w:t>QCAT’s </w:t>
      </w:r>
      <w:r>
        <w:rPr>
          <w:sz w:val="21"/>
        </w:rPr>
        <w:t>jurisdiction. It also </w:t>
      </w:r>
      <w:r>
        <w:rPr>
          <w:spacing w:val="-3"/>
          <w:sz w:val="21"/>
        </w:rPr>
        <w:t>informs </w:t>
      </w:r>
      <w:r>
        <w:rPr>
          <w:sz w:val="21"/>
        </w:rPr>
        <w:t>them about fees and provides links </w:t>
      </w:r>
      <w:r>
        <w:rPr>
          <w:spacing w:val="-3"/>
          <w:sz w:val="21"/>
        </w:rPr>
        <w:t>to relevant </w:t>
      </w:r>
      <w:r>
        <w:rPr>
          <w:spacing w:val="-5"/>
          <w:sz w:val="21"/>
        </w:rPr>
        <w:t>Tribunal</w:t>
      </w:r>
      <w:r>
        <w:rPr>
          <w:spacing w:val="8"/>
          <w:sz w:val="21"/>
        </w:rPr>
        <w:t> </w:t>
      </w:r>
      <w:r>
        <w:rPr>
          <w:sz w:val="21"/>
        </w:rPr>
        <w:t>forms.</w:t>
      </w:r>
      <w:r>
        <w:rPr>
          <w:position w:val="7"/>
          <w:sz w:val="12"/>
        </w:rPr>
        <w:t>49</w:t>
      </w:r>
    </w:p>
    <w:p>
      <w:pPr>
        <w:pStyle w:val="ListParagraph"/>
        <w:numPr>
          <w:ilvl w:val="1"/>
          <w:numId w:val="16"/>
        </w:numPr>
        <w:tabs>
          <w:tab w:pos="2381" w:val="left" w:leader="none"/>
          <w:tab w:pos="2382" w:val="left" w:leader="none"/>
        </w:tabs>
        <w:spacing w:line="242" w:lineRule="auto" w:before="123" w:after="0"/>
        <w:ind w:left="2381" w:right="1795" w:hanging="794"/>
        <w:jc w:val="left"/>
        <w:rPr>
          <w:sz w:val="21"/>
        </w:rPr>
      </w:pPr>
      <w:r>
        <w:rPr>
          <w:w w:val="105"/>
          <w:sz w:val="21"/>
        </w:rPr>
        <w:t>The neighbourhood mediation kit </w:t>
      </w:r>
      <w:r>
        <w:rPr>
          <w:spacing w:val="-3"/>
          <w:w w:val="105"/>
          <w:sz w:val="21"/>
        </w:rPr>
        <w:t>contains information </w:t>
      </w:r>
      <w:r>
        <w:rPr>
          <w:w w:val="105"/>
          <w:sz w:val="21"/>
        </w:rPr>
        <w:t>about the mediation process at a </w:t>
      </w:r>
      <w:r>
        <w:rPr>
          <w:spacing w:val="-3"/>
          <w:w w:val="105"/>
          <w:sz w:val="21"/>
        </w:rPr>
        <w:t>Dispute </w:t>
      </w:r>
      <w:r>
        <w:rPr>
          <w:w w:val="105"/>
          <w:sz w:val="21"/>
        </w:rPr>
        <w:t>Resolution </w:t>
      </w:r>
      <w:r>
        <w:rPr>
          <w:spacing w:val="-4"/>
          <w:w w:val="105"/>
          <w:sz w:val="21"/>
        </w:rPr>
        <w:t>Centre </w:t>
      </w:r>
      <w:r>
        <w:rPr>
          <w:spacing w:val="-3"/>
          <w:w w:val="105"/>
          <w:sz w:val="21"/>
        </w:rPr>
        <w:t>within Queensland </w:t>
      </w:r>
      <w:r>
        <w:rPr>
          <w:w w:val="105"/>
          <w:sz w:val="21"/>
        </w:rPr>
        <w:t>and </w:t>
      </w:r>
      <w:r>
        <w:rPr>
          <w:spacing w:val="-3"/>
          <w:w w:val="105"/>
          <w:sz w:val="21"/>
        </w:rPr>
        <w:t>contains </w:t>
      </w:r>
      <w:r>
        <w:rPr>
          <w:w w:val="105"/>
          <w:sz w:val="21"/>
        </w:rPr>
        <w:t>a workbook </w:t>
      </w:r>
      <w:r>
        <w:rPr>
          <w:spacing w:val="-3"/>
          <w:w w:val="105"/>
          <w:sz w:val="21"/>
        </w:rPr>
        <w:t>for individuals to </w:t>
      </w:r>
      <w:r>
        <w:rPr>
          <w:w w:val="105"/>
          <w:sz w:val="21"/>
        </w:rPr>
        <w:t>fill out in </w:t>
      </w:r>
      <w:r>
        <w:rPr>
          <w:spacing w:val="-3"/>
          <w:w w:val="105"/>
          <w:sz w:val="21"/>
        </w:rPr>
        <w:t>preparation for mediation. </w:t>
      </w:r>
      <w:r>
        <w:rPr>
          <w:w w:val="105"/>
          <w:sz w:val="21"/>
        </w:rPr>
        <w:t>The workbook helps people </w:t>
      </w:r>
      <w:r>
        <w:rPr>
          <w:spacing w:val="-3"/>
          <w:w w:val="105"/>
          <w:sz w:val="21"/>
        </w:rPr>
        <w:t>to organise </w:t>
      </w:r>
      <w:r>
        <w:rPr>
          <w:w w:val="105"/>
          <w:sz w:val="21"/>
        </w:rPr>
        <w:t>their thoughts and </w:t>
      </w:r>
      <w:r>
        <w:rPr>
          <w:spacing w:val="-3"/>
          <w:w w:val="105"/>
          <w:sz w:val="21"/>
        </w:rPr>
        <w:t>think </w:t>
      </w:r>
      <w:r>
        <w:rPr>
          <w:w w:val="105"/>
          <w:sz w:val="21"/>
        </w:rPr>
        <w:t>about how and what they </w:t>
      </w:r>
      <w:r>
        <w:rPr>
          <w:spacing w:val="-3"/>
          <w:w w:val="105"/>
          <w:sz w:val="21"/>
        </w:rPr>
        <w:t>may </w:t>
      </w:r>
      <w:r>
        <w:rPr>
          <w:w w:val="105"/>
          <w:sz w:val="21"/>
        </w:rPr>
        <w:t>wish </w:t>
      </w:r>
      <w:r>
        <w:rPr>
          <w:spacing w:val="-3"/>
          <w:w w:val="105"/>
          <w:sz w:val="21"/>
        </w:rPr>
        <w:t>to </w:t>
      </w:r>
      <w:r>
        <w:rPr>
          <w:w w:val="105"/>
          <w:sz w:val="21"/>
        </w:rPr>
        <w:t>say </w:t>
      </w:r>
      <w:r>
        <w:rPr>
          <w:spacing w:val="-3"/>
          <w:w w:val="105"/>
          <w:sz w:val="21"/>
        </w:rPr>
        <w:t>during </w:t>
      </w:r>
      <w:r>
        <w:rPr>
          <w:w w:val="105"/>
          <w:sz w:val="21"/>
        </w:rPr>
        <w:t>the</w:t>
      </w:r>
      <w:r>
        <w:rPr>
          <w:spacing w:val="-6"/>
          <w:w w:val="105"/>
          <w:sz w:val="21"/>
        </w:rPr>
        <w:t> </w:t>
      </w:r>
      <w:r>
        <w:rPr>
          <w:w w:val="105"/>
          <w:sz w:val="21"/>
        </w:rPr>
        <w:t>mediation.</w:t>
      </w:r>
      <w:r>
        <w:rPr>
          <w:w w:val="105"/>
          <w:position w:val="7"/>
          <w:sz w:val="12"/>
        </w:rPr>
        <w:t>50</w:t>
      </w:r>
    </w:p>
    <w:p>
      <w:pPr>
        <w:pStyle w:val="ListParagraph"/>
        <w:numPr>
          <w:ilvl w:val="1"/>
          <w:numId w:val="16"/>
        </w:numPr>
        <w:tabs>
          <w:tab w:pos="2381" w:val="left" w:leader="none"/>
          <w:tab w:pos="2382" w:val="left" w:leader="none"/>
        </w:tabs>
        <w:spacing w:line="242" w:lineRule="auto" w:before="125" w:after="0"/>
        <w:ind w:left="2381" w:right="1614" w:hanging="794"/>
        <w:jc w:val="left"/>
        <w:rPr>
          <w:sz w:val="21"/>
        </w:rPr>
      </w:pPr>
      <w:r>
        <w:rPr>
          <w:w w:val="105"/>
          <w:sz w:val="21"/>
        </w:rPr>
        <w:t>The</w:t>
      </w:r>
      <w:r>
        <w:rPr>
          <w:spacing w:val="-8"/>
          <w:w w:val="105"/>
          <w:sz w:val="21"/>
        </w:rPr>
        <w:t> </w:t>
      </w:r>
      <w:r>
        <w:rPr>
          <w:w w:val="105"/>
          <w:sz w:val="21"/>
        </w:rPr>
        <w:t>tree</w:t>
      </w:r>
      <w:r>
        <w:rPr>
          <w:spacing w:val="-7"/>
          <w:w w:val="105"/>
          <w:sz w:val="21"/>
        </w:rPr>
        <w:t> </w:t>
      </w:r>
      <w:r>
        <w:rPr>
          <w:w w:val="105"/>
          <w:sz w:val="21"/>
        </w:rPr>
        <w:t>order</w:t>
      </w:r>
      <w:r>
        <w:rPr>
          <w:spacing w:val="-7"/>
          <w:w w:val="105"/>
          <w:sz w:val="21"/>
        </w:rPr>
        <w:t> </w:t>
      </w:r>
      <w:r>
        <w:rPr>
          <w:spacing w:val="-3"/>
          <w:w w:val="105"/>
          <w:sz w:val="21"/>
        </w:rPr>
        <w:t>register</w:t>
      </w:r>
      <w:r>
        <w:rPr>
          <w:spacing w:val="-7"/>
          <w:w w:val="105"/>
          <w:sz w:val="21"/>
        </w:rPr>
        <w:t> </w:t>
      </w:r>
      <w:r>
        <w:rPr>
          <w:w w:val="105"/>
          <w:sz w:val="21"/>
        </w:rPr>
        <w:t>enables</w:t>
      </w:r>
      <w:r>
        <w:rPr>
          <w:spacing w:val="-7"/>
          <w:w w:val="105"/>
          <w:sz w:val="21"/>
        </w:rPr>
        <w:t> </w:t>
      </w:r>
      <w:r>
        <w:rPr>
          <w:spacing w:val="-3"/>
          <w:w w:val="105"/>
          <w:sz w:val="21"/>
        </w:rPr>
        <w:t>individuals</w:t>
      </w:r>
      <w:r>
        <w:rPr>
          <w:spacing w:val="-7"/>
          <w:w w:val="105"/>
          <w:sz w:val="21"/>
        </w:rPr>
        <w:t> </w:t>
      </w:r>
      <w:r>
        <w:rPr>
          <w:spacing w:val="-3"/>
          <w:w w:val="105"/>
          <w:sz w:val="21"/>
        </w:rPr>
        <w:t>to</w:t>
      </w:r>
      <w:r>
        <w:rPr>
          <w:spacing w:val="-8"/>
          <w:w w:val="105"/>
          <w:sz w:val="21"/>
        </w:rPr>
        <w:t> </w:t>
      </w:r>
      <w:r>
        <w:rPr>
          <w:spacing w:val="-3"/>
          <w:w w:val="105"/>
          <w:sz w:val="21"/>
        </w:rPr>
        <w:t>search</w:t>
      </w:r>
      <w:r>
        <w:rPr>
          <w:spacing w:val="-7"/>
          <w:w w:val="105"/>
          <w:sz w:val="21"/>
        </w:rPr>
        <w:t> </w:t>
      </w:r>
      <w:r>
        <w:rPr>
          <w:spacing w:val="-3"/>
          <w:w w:val="105"/>
          <w:sz w:val="21"/>
        </w:rPr>
        <w:t>for</w:t>
      </w:r>
      <w:r>
        <w:rPr>
          <w:spacing w:val="-7"/>
          <w:w w:val="105"/>
          <w:sz w:val="21"/>
        </w:rPr>
        <w:t> </w:t>
      </w:r>
      <w:r>
        <w:rPr>
          <w:w w:val="105"/>
          <w:sz w:val="21"/>
        </w:rPr>
        <w:t>a</w:t>
      </w:r>
      <w:r>
        <w:rPr>
          <w:spacing w:val="-7"/>
          <w:w w:val="105"/>
          <w:sz w:val="21"/>
        </w:rPr>
        <w:t> </w:t>
      </w:r>
      <w:r>
        <w:rPr>
          <w:w w:val="105"/>
          <w:sz w:val="21"/>
        </w:rPr>
        <w:t>tree</w:t>
      </w:r>
      <w:r>
        <w:rPr>
          <w:spacing w:val="-7"/>
          <w:w w:val="105"/>
          <w:sz w:val="21"/>
        </w:rPr>
        <w:t> </w:t>
      </w:r>
      <w:r>
        <w:rPr>
          <w:w w:val="105"/>
          <w:sz w:val="21"/>
        </w:rPr>
        <w:t>order</w:t>
      </w:r>
      <w:r>
        <w:rPr>
          <w:spacing w:val="-7"/>
          <w:w w:val="105"/>
          <w:sz w:val="21"/>
        </w:rPr>
        <w:t> </w:t>
      </w:r>
      <w:r>
        <w:rPr>
          <w:w w:val="105"/>
          <w:sz w:val="21"/>
        </w:rPr>
        <w:t>made</w:t>
      </w:r>
      <w:r>
        <w:rPr>
          <w:spacing w:val="-8"/>
          <w:w w:val="105"/>
          <w:sz w:val="21"/>
        </w:rPr>
        <w:t> </w:t>
      </w:r>
      <w:r>
        <w:rPr>
          <w:w w:val="105"/>
          <w:sz w:val="21"/>
        </w:rPr>
        <w:t>by</w:t>
      </w:r>
      <w:r>
        <w:rPr>
          <w:spacing w:val="-7"/>
          <w:w w:val="105"/>
          <w:sz w:val="21"/>
        </w:rPr>
        <w:t> QCAT, </w:t>
      </w:r>
      <w:r>
        <w:rPr>
          <w:w w:val="105"/>
          <w:sz w:val="21"/>
        </w:rPr>
        <w:t>either by location or the name of the </w:t>
      </w:r>
      <w:r>
        <w:rPr>
          <w:spacing w:val="-3"/>
          <w:w w:val="105"/>
          <w:sz w:val="21"/>
        </w:rPr>
        <w:t>applicant </w:t>
      </w:r>
      <w:r>
        <w:rPr>
          <w:w w:val="105"/>
          <w:sz w:val="21"/>
        </w:rPr>
        <w:t>or the respondent in the </w:t>
      </w:r>
      <w:r>
        <w:rPr>
          <w:spacing w:val="-5"/>
          <w:w w:val="105"/>
          <w:sz w:val="21"/>
        </w:rPr>
        <w:t>matter.</w:t>
      </w:r>
      <w:r>
        <w:rPr>
          <w:spacing w:val="-5"/>
          <w:w w:val="105"/>
          <w:position w:val="7"/>
          <w:sz w:val="12"/>
        </w:rPr>
        <w:t>51 </w:t>
      </w:r>
      <w:r>
        <w:rPr>
          <w:w w:val="105"/>
          <w:sz w:val="21"/>
        </w:rPr>
        <w:t>The </w:t>
      </w:r>
      <w:r>
        <w:rPr>
          <w:spacing w:val="-3"/>
          <w:w w:val="105"/>
          <w:sz w:val="21"/>
        </w:rPr>
        <w:t>register </w:t>
      </w:r>
      <w:r>
        <w:rPr>
          <w:w w:val="105"/>
          <w:sz w:val="21"/>
        </w:rPr>
        <w:t>shows what </w:t>
      </w:r>
      <w:r>
        <w:rPr>
          <w:spacing w:val="-3"/>
          <w:w w:val="105"/>
          <w:sz w:val="21"/>
        </w:rPr>
        <w:t>land </w:t>
      </w:r>
      <w:r>
        <w:rPr>
          <w:w w:val="105"/>
          <w:sz w:val="21"/>
        </w:rPr>
        <w:t>is affected by an order and </w:t>
      </w:r>
      <w:r>
        <w:rPr>
          <w:spacing w:val="-3"/>
          <w:w w:val="105"/>
          <w:sz w:val="21"/>
        </w:rPr>
        <w:t>includes </w:t>
      </w:r>
      <w:r>
        <w:rPr>
          <w:w w:val="105"/>
          <w:sz w:val="21"/>
        </w:rPr>
        <w:t>who is </w:t>
      </w:r>
      <w:r>
        <w:rPr>
          <w:spacing w:val="-3"/>
          <w:w w:val="105"/>
          <w:sz w:val="21"/>
        </w:rPr>
        <w:t>responsible for </w:t>
      </w:r>
      <w:r>
        <w:rPr>
          <w:w w:val="105"/>
          <w:sz w:val="21"/>
        </w:rPr>
        <w:t>carrying out the order and in what</w:t>
      </w:r>
      <w:r>
        <w:rPr>
          <w:spacing w:val="24"/>
          <w:w w:val="105"/>
          <w:sz w:val="21"/>
        </w:rPr>
        <w:t> </w:t>
      </w:r>
      <w:r>
        <w:rPr>
          <w:spacing w:val="-3"/>
          <w:w w:val="105"/>
          <w:sz w:val="21"/>
        </w:rPr>
        <w:t>timeframe.</w:t>
      </w:r>
      <w:r>
        <w:rPr>
          <w:spacing w:val="-3"/>
          <w:w w:val="105"/>
          <w:position w:val="7"/>
          <w:sz w:val="12"/>
        </w:rPr>
        <w:t>52</w:t>
      </w:r>
    </w:p>
    <w:p>
      <w:pPr>
        <w:pStyle w:val="ListParagraph"/>
        <w:numPr>
          <w:ilvl w:val="1"/>
          <w:numId w:val="16"/>
        </w:numPr>
        <w:tabs>
          <w:tab w:pos="2380" w:val="left" w:leader="none"/>
          <w:tab w:pos="2381" w:val="left" w:leader="none"/>
        </w:tabs>
        <w:spacing w:line="242" w:lineRule="auto" w:before="124" w:after="0"/>
        <w:ind w:left="2381" w:right="1770" w:hanging="794"/>
        <w:jc w:val="left"/>
        <w:rPr>
          <w:sz w:val="21"/>
        </w:rPr>
      </w:pPr>
      <w:r>
        <w:rPr>
          <w:spacing w:val="-4"/>
          <w:w w:val="105"/>
          <w:sz w:val="21"/>
        </w:rPr>
        <w:t>QCAT </w:t>
      </w:r>
      <w:r>
        <w:rPr>
          <w:spacing w:val="-2"/>
          <w:w w:val="105"/>
          <w:sz w:val="21"/>
        </w:rPr>
        <w:t>has </w:t>
      </w:r>
      <w:r>
        <w:rPr>
          <w:spacing w:val="-3"/>
          <w:w w:val="105"/>
          <w:sz w:val="21"/>
        </w:rPr>
        <w:t>recently introduced </w:t>
      </w:r>
      <w:r>
        <w:rPr>
          <w:w w:val="105"/>
          <w:sz w:val="21"/>
        </w:rPr>
        <w:t>a </w:t>
      </w:r>
      <w:r>
        <w:rPr>
          <w:spacing w:val="-2"/>
          <w:w w:val="105"/>
          <w:sz w:val="21"/>
        </w:rPr>
        <w:t>chatbot</w:t>
      </w:r>
      <w:r>
        <w:rPr>
          <w:spacing w:val="-2"/>
          <w:w w:val="105"/>
          <w:position w:val="7"/>
          <w:sz w:val="12"/>
        </w:rPr>
        <w:t>53 </w:t>
      </w:r>
      <w:r>
        <w:rPr>
          <w:w w:val="105"/>
          <w:sz w:val="21"/>
        </w:rPr>
        <w:t>on its </w:t>
      </w:r>
      <w:r>
        <w:rPr>
          <w:spacing w:val="-3"/>
          <w:w w:val="105"/>
          <w:sz w:val="21"/>
        </w:rPr>
        <w:t>website, </w:t>
      </w:r>
      <w:r>
        <w:rPr>
          <w:w w:val="105"/>
          <w:sz w:val="21"/>
        </w:rPr>
        <w:t>known as SANDI. People can type in questions, or </w:t>
      </w:r>
      <w:r>
        <w:rPr>
          <w:spacing w:val="-3"/>
          <w:w w:val="105"/>
          <w:sz w:val="21"/>
        </w:rPr>
        <w:t>note </w:t>
      </w:r>
      <w:r>
        <w:rPr>
          <w:w w:val="105"/>
          <w:sz w:val="21"/>
        </w:rPr>
        <w:t>issues </w:t>
      </w:r>
      <w:r>
        <w:rPr>
          <w:spacing w:val="-3"/>
          <w:w w:val="105"/>
          <w:sz w:val="21"/>
        </w:rPr>
        <w:t>such </w:t>
      </w:r>
      <w:r>
        <w:rPr>
          <w:w w:val="105"/>
          <w:sz w:val="21"/>
        </w:rPr>
        <w:t>as </w:t>
      </w:r>
      <w:r>
        <w:rPr>
          <w:spacing w:val="-4"/>
          <w:w w:val="105"/>
          <w:sz w:val="21"/>
        </w:rPr>
        <w:t>‘overhanging </w:t>
      </w:r>
      <w:r>
        <w:rPr>
          <w:spacing w:val="-3"/>
          <w:w w:val="105"/>
          <w:sz w:val="21"/>
        </w:rPr>
        <w:t>branches’ </w:t>
      </w:r>
      <w:r>
        <w:rPr>
          <w:w w:val="105"/>
          <w:sz w:val="21"/>
        </w:rPr>
        <w:t>in a </w:t>
      </w:r>
      <w:r>
        <w:rPr>
          <w:spacing w:val="-3"/>
          <w:w w:val="105"/>
          <w:sz w:val="21"/>
        </w:rPr>
        <w:t>search </w:t>
      </w:r>
      <w:r>
        <w:rPr>
          <w:w w:val="105"/>
          <w:sz w:val="21"/>
        </w:rPr>
        <w:t>box, and SANDI responds by </w:t>
      </w:r>
      <w:r>
        <w:rPr>
          <w:spacing w:val="-3"/>
          <w:w w:val="105"/>
          <w:sz w:val="21"/>
        </w:rPr>
        <w:t>providing information </w:t>
      </w:r>
      <w:r>
        <w:rPr>
          <w:w w:val="105"/>
          <w:sz w:val="21"/>
        </w:rPr>
        <w:t>and links </w:t>
      </w:r>
      <w:r>
        <w:rPr>
          <w:spacing w:val="-3"/>
          <w:w w:val="105"/>
          <w:sz w:val="21"/>
        </w:rPr>
        <w:t>to </w:t>
      </w:r>
      <w:r>
        <w:rPr>
          <w:w w:val="105"/>
          <w:sz w:val="21"/>
        </w:rPr>
        <w:t>the </w:t>
      </w:r>
      <w:r>
        <w:rPr>
          <w:spacing w:val="-4"/>
          <w:w w:val="105"/>
          <w:sz w:val="21"/>
        </w:rPr>
        <w:t>QCAT </w:t>
      </w:r>
      <w:r>
        <w:rPr>
          <w:w w:val="105"/>
          <w:sz w:val="21"/>
        </w:rPr>
        <w:t>webpages and</w:t>
      </w:r>
      <w:r>
        <w:rPr>
          <w:spacing w:val="18"/>
          <w:w w:val="105"/>
          <w:sz w:val="21"/>
        </w:rPr>
        <w:t> </w:t>
      </w:r>
      <w:r>
        <w:rPr>
          <w:w w:val="105"/>
          <w:sz w:val="21"/>
        </w:rPr>
        <w:t>forms.</w:t>
      </w:r>
      <w:r>
        <w:rPr>
          <w:w w:val="105"/>
          <w:position w:val="7"/>
          <w:sz w:val="12"/>
        </w:rPr>
        <w:t>54</w:t>
      </w:r>
    </w:p>
    <w:p>
      <w:pPr>
        <w:pStyle w:val="BodyText"/>
        <w:rPr>
          <w:sz w:val="20"/>
        </w:rPr>
      </w:pPr>
    </w:p>
    <w:p>
      <w:pPr>
        <w:pStyle w:val="BodyText"/>
        <w:spacing w:before="4"/>
        <w:rPr>
          <w:sz w:val="18"/>
        </w:rPr>
      </w:pPr>
      <w:r>
        <w:rPr/>
        <w:pict>
          <v:line style="position:absolute;mso-position-horizontal-relative:page;mso-position-vertical-relative:paragraph;z-index:11576;mso-wrap-distance-left:0;mso-wrap-distance-right:0" from="79.370102pt,13.645846pt" to="515.905102pt,13.645846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200"/>
        </w:numPr>
        <w:tabs>
          <w:tab w:pos="2380" w:val="left" w:leader="none"/>
          <w:tab w:pos="2382" w:val="left" w:leader="none"/>
        </w:tabs>
        <w:spacing w:line="240" w:lineRule="auto" w:before="48" w:after="0"/>
        <w:ind w:left="2381" w:right="63" w:hanging="794"/>
        <w:jc w:val="left"/>
        <w:rPr>
          <w:sz w:val="13"/>
        </w:rPr>
      </w:pPr>
      <w:r>
        <w:rPr>
          <w:w w:val="105"/>
          <w:sz w:val="13"/>
        </w:rPr>
        <w:t>Department of Justice and Attorney General </w:t>
      </w:r>
      <w:r>
        <w:rPr>
          <w:spacing w:val="3"/>
          <w:w w:val="105"/>
          <w:sz w:val="13"/>
        </w:rPr>
        <w:t>(NSW), </w:t>
      </w:r>
      <w:r>
        <w:rPr>
          <w:i/>
          <w:w w:val="105"/>
          <w:sz w:val="13"/>
        </w:rPr>
        <w:t>Review of the Trees (Disputes Between Neighbours) Act 2006 </w:t>
      </w:r>
      <w:r>
        <w:rPr>
          <w:i/>
          <w:spacing w:val="3"/>
          <w:w w:val="105"/>
          <w:sz w:val="13"/>
        </w:rPr>
        <w:t>(NSW) </w:t>
      </w:r>
      <w:r>
        <w:rPr>
          <w:spacing w:val="2"/>
          <w:w w:val="105"/>
          <w:sz w:val="13"/>
        </w:rPr>
        <w:t>(Report, 2009)  </w:t>
      </w:r>
      <w:r>
        <w:rPr>
          <w:spacing w:val="-3"/>
          <w:w w:val="105"/>
          <w:sz w:val="13"/>
        </w:rPr>
        <w:t>13.</w:t>
      </w:r>
    </w:p>
    <w:p>
      <w:pPr>
        <w:pStyle w:val="ListParagraph"/>
        <w:numPr>
          <w:ilvl w:val="0"/>
          <w:numId w:val="200"/>
        </w:numPr>
        <w:tabs>
          <w:tab w:pos="2380"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200"/>
        </w:numPr>
        <w:tabs>
          <w:tab w:pos="2381" w:val="left" w:leader="none"/>
          <w:tab w:pos="2382" w:val="left" w:leader="none"/>
        </w:tabs>
        <w:spacing w:line="240" w:lineRule="auto" w:before="1" w:after="0"/>
        <w:ind w:left="2381" w:right="210" w:hanging="794"/>
        <w:jc w:val="left"/>
        <w:rPr>
          <w:sz w:val="13"/>
        </w:rPr>
      </w:pPr>
      <w:r>
        <w:rPr>
          <w:w w:val="105"/>
          <w:sz w:val="13"/>
        </w:rPr>
        <w:t>The Hon Justice Brian J Preston and Commissioner Tim Moore, </w:t>
      </w:r>
      <w:r>
        <w:rPr>
          <w:spacing w:val="2"/>
          <w:w w:val="105"/>
          <w:sz w:val="13"/>
        </w:rPr>
        <w:t>‘The </w:t>
      </w:r>
      <w:r>
        <w:rPr>
          <w:w w:val="105"/>
          <w:sz w:val="13"/>
        </w:rPr>
        <w:t>Trees (Disputes Between Neighbours) Act </w:t>
      </w:r>
      <w:r>
        <w:rPr>
          <w:spacing w:val="2"/>
          <w:w w:val="105"/>
          <w:sz w:val="13"/>
        </w:rPr>
        <w:t>2006—Background </w:t>
      </w:r>
      <w:r>
        <w:rPr>
          <w:w w:val="105"/>
          <w:sz w:val="13"/>
        </w:rPr>
        <w:t>and Operation’ </w:t>
      </w:r>
      <w:r>
        <w:rPr>
          <w:spacing w:val="2"/>
          <w:w w:val="105"/>
          <w:sz w:val="13"/>
        </w:rPr>
        <w:t>(2008) </w:t>
      </w:r>
      <w:r>
        <w:rPr>
          <w:spacing w:val="-3"/>
          <w:w w:val="105"/>
          <w:sz w:val="13"/>
        </w:rPr>
        <w:t>14 </w:t>
      </w:r>
      <w:r>
        <w:rPr>
          <w:w w:val="105"/>
          <w:sz w:val="13"/>
        </w:rPr>
        <w:t>Local Government Law Journal</w:t>
      </w:r>
      <w:r>
        <w:rPr>
          <w:spacing w:val="4"/>
          <w:w w:val="105"/>
          <w:sz w:val="13"/>
        </w:rPr>
        <w:t> </w:t>
      </w:r>
      <w:r>
        <w:rPr>
          <w:spacing w:val="2"/>
          <w:w w:val="105"/>
          <w:sz w:val="13"/>
        </w:rPr>
        <w:t>84.</w:t>
      </w:r>
    </w:p>
    <w:p>
      <w:pPr>
        <w:pStyle w:val="ListParagraph"/>
        <w:numPr>
          <w:ilvl w:val="0"/>
          <w:numId w:val="200"/>
        </w:numPr>
        <w:tabs>
          <w:tab w:pos="2381" w:val="left" w:leader="none"/>
          <w:tab w:pos="2382" w:val="left" w:leader="none"/>
        </w:tabs>
        <w:spacing w:line="240" w:lineRule="auto" w:before="3" w:after="0"/>
        <w:ind w:left="2381" w:right="117" w:hanging="794"/>
        <w:jc w:val="left"/>
        <w:rPr>
          <w:sz w:val="13"/>
        </w:rPr>
      </w:pPr>
      <w:r>
        <w:rPr>
          <w:w w:val="105"/>
          <w:sz w:val="13"/>
        </w:rPr>
        <w:t>Queensland Civil and Administrative Tribunal, </w:t>
      </w:r>
      <w:r>
        <w:rPr>
          <w:i/>
          <w:w w:val="105"/>
          <w:sz w:val="13"/>
        </w:rPr>
        <w:t>Tree Disputes </w:t>
      </w:r>
      <w:r>
        <w:rPr>
          <w:w w:val="105"/>
          <w:sz w:val="13"/>
        </w:rPr>
        <w:t>(Web Page, 29 February 2019) </w:t>
      </w:r>
      <w:r>
        <w:rPr>
          <w:spacing w:val="2"/>
          <w:w w:val="105"/>
          <w:sz w:val="13"/>
        </w:rPr>
        <w:t>&lt;https://</w:t>
      </w:r>
      <w:hyperlink r:id="rId217">
        <w:r>
          <w:rPr>
            <w:spacing w:val="2"/>
            <w:w w:val="105"/>
            <w:sz w:val="13"/>
          </w:rPr>
          <w:t>www.qcat.qld.gov.au/matter-types/</w:t>
        </w:r>
      </w:hyperlink>
      <w:r>
        <w:rPr>
          <w:spacing w:val="2"/>
          <w:w w:val="105"/>
          <w:sz w:val="13"/>
        </w:rPr>
        <w:t> </w:t>
      </w:r>
      <w:r>
        <w:rPr>
          <w:w w:val="105"/>
          <w:sz w:val="13"/>
        </w:rPr>
        <w:t>tree-disputes&gt;.</w:t>
      </w:r>
    </w:p>
    <w:p>
      <w:pPr>
        <w:pStyle w:val="ListParagraph"/>
        <w:numPr>
          <w:ilvl w:val="0"/>
          <w:numId w:val="200"/>
        </w:numPr>
        <w:tabs>
          <w:tab w:pos="2381" w:val="left" w:leader="none"/>
          <w:tab w:pos="2382" w:val="left" w:leader="none"/>
        </w:tabs>
        <w:spacing w:line="240" w:lineRule="auto" w:before="2" w:after="0"/>
        <w:ind w:left="2381" w:right="0" w:hanging="794"/>
        <w:jc w:val="left"/>
        <w:rPr>
          <w:sz w:val="13"/>
        </w:rPr>
      </w:pPr>
      <w:r>
        <w:rPr>
          <w:w w:val="105"/>
          <w:sz w:val="13"/>
        </w:rPr>
        <w:t>Queensland</w:t>
      </w:r>
      <w:r>
        <w:rPr>
          <w:spacing w:val="5"/>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6"/>
          <w:w w:val="105"/>
          <w:sz w:val="13"/>
        </w:rPr>
        <w:t> </w:t>
      </w:r>
      <w:r>
        <w:rPr>
          <w:w w:val="105"/>
          <w:sz w:val="13"/>
        </w:rPr>
        <w:t>Tribunal,</w:t>
      </w:r>
      <w:r>
        <w:rPr>
          <w:spacing w:val="5"/>
          <w:w w:val="105"/>
          <w:sz w:val="13"/>
        </w:rPr>
        <w:t> </w:t>
      </w:r>
      <w:r>
        <w:rPr>
          <w:i/>
          <w:w w:val="105"/>
          <w:sz w:val="13"/>
        </w:rPr>
        <w:t>Application</w:t>
      </w:r>
      <w:r>
        <w:rPr>
          <w:i/>
          <w:spacing w:val="5"/>
          <w:w w:val="105"/>
          <w:sz w:val="13"/>
        </w:rPr>
        <w:t> </w:t>
      </w:r>
      <w:r>
        <w:rPr>
          <w:i/>
          <w:w w:val="105"/>
          <w:sz w:val="13"/>
        </w:rPr>
        <w:t>Checklist:</w:t>
      </w:r>
      <w:r>
        <w:rPr>
          <w:i/>
          <w:spacing w:val="6"/>
          <w:w w:val="105"/>
          <w:sz w:val="13"/>
        </w:rPr>
        <w:t> </w:t>
      </w:r>
      <w:r>
        <w:rPr>
          <w:i/>
          <w:w w:val="105"/>
          <w:sz w:val="13"/>
        </w:rPr>
        <w:t>Tree</w:t>
      </w:r>
      <w:r>
        <w:rPr>
          <w:i/>
          <w:spacing w:val="5"/>
          <w:w w:val="105"/>
          <w:sz w:val="13"/>
        </w:rPr>
        <w:t> </w:t>
      </w:r>
      <w:r>
        <w:rPr>
          <w:i/>
          <w:w w:val="105"/>
          <w:sz w:val="13"/>
        </w:rPr>
        <w:t>Dispute</w:t>
      </w:r>
      <w:r>
        <w:rPr>
          <w:i/>
          <w:spacing w:val="5"/>
          <w:w w:val="105"/>
          <w:sz w:val="13"/>
        </w:rPr>
        <w:t> </w:t>
      </w:r>
      <w:r>
        <w:rPr>
          <w:i/>
          <w:w w:val="105"/>
          <w:sz w:val="13"/>
        </w:rPr>
        <w:t>Resolution</w:t>
      </w:r>
      <w:r>
        <w:rPr>
          <w:i/>
          <w:spacing w:val="6"/>
          <w:w w:val="105"/>
          <w:sz w:val="13"/>
        </w:rPr>
        <w:t> </w:t>
      </w:r>
      <w:r>
        <w:rPr>
          <w:spacing w:val="2"/>
          <w:w w:val="105"/>
          <w:sz w:val="13"/>
        </w:rPr>
        <w:t>(Form,</w:t>
      </w:r>
      <w:r>
        <w:rPr>
          <w:spacing w:val="5"/>
          <w:w w:val="105"/>
          <w:sz w:val="13"/>
        </w:rPr>
        <w:t> </w:t>
      </w:r>
      <w:r>
        <w:rPr>
          <w:w w:val="105"/>
          <w:sz w:val="13"/>
        </w:rPr>
        <w:t>version</w:t>
      </w:r>
      <w:r>
        <w:rPr>
          <w:spacing w:val="5"/>
          <w:w w:val="105"/>
          <w:sz w:val="13"/>
        </w:rPr>
        <w:t> </w:t>
      </w:r>
      <w:r>
        <w:rPr>
          <w:w w:val="105"/>
          <w:sz w:val="13"/>
        </w:rPr>
        <w:t>3,</w:t>
      </w:r>
      <w:r>
        <w:rPr>
          <w:spacing w:val="6"/>
          <w:w w:val="105"/>
          <w:sz w:val="13"/>
        </w:rPr>
        <w:t> </w:t>
      </w:r>
      <w:r>
        <w:rPr>
          <w:w w:val="105"/>
          <w:sz w:val="13"/>
        </w:rPr>
        <w:t>3</w:t>
      </w:r>
      <w:r>
        <w:rPr>
          <w:spacing w:val="5"/>
          <w:w w:val="105"/>
          <w:sz w:val="13"/>
        </w:rPr>
        <w:t> </w:t>
      </w:r>
      <w:r>
        <w:rPr>
          <w:w w:val="105"/>
          <w:sz w:val="13"/>
        </w:rPr>
        <w:t>March</w:t>
      </w:r>
      <w:r>
        <w:rPr>
          <w:spacing w:val="5"/>
          <w:w w:val="105"/>
          <w:sz w:val="13"/>
        </w:rPr>
        <w:t> </w:t>
      </w:r>
      <w:r>
        <w:rPr>
          <w:w w:val="105"/>
          <w:sz w:val="13"/>
        </w:rPr>
        <w:t>2017)</w:t>
      </w:r>
    </w:p>
    <w:p>
      <w:pPr>
        <w:spacing w:before="2"/>
        <w:ind w:left="2381" w:right="0" w:firstLine="0"/>
        <w:jc w:val="left"/>
        <w:rPr>
          <w:sz w:val="13"/>
        </w:rPr>
      </w:pPr>
      <w:r>
        <w:rPr>
          <w:sz w:val="13"/>
        </w:rPr>
        <w:t>&lt;</w:t>
      </w:r>
      <w:hyperlink r:id="rId118">
        <w:r>
          <w:rPr>
            <w:sz w:val="13"/>
          </w:rPr>
          <w:t>http://www.qcat.qld.gov.au/matter-types/tree-disputes</w:t>
        </w:r>
      </w:hyperlink>
      <w:r>
        <w:rPr>
          <w:sz w:val="13"/>
        </w:rPr>
        <w:t>&gt;.</w:t>
      </w:r>
    </w:p>
    <w:p>
      <w:pPr>
        <w:pStyle w:val="ListParagraph"/>
        <w:numPr>
          <w:ilvl w:val="0"/>
          <w:numId w:val="200"/>
        </w:numPr>
        <w:tabs>
          <w:tab w:pos="2381" w:val="left" w:leader="none"/>
          <w:tab w:pos="2382" w:val="left" w:leader="none"/>
        </w:tabs>
        <w:spacing w:line="240" w:lineRule="auto" w:before="1" w:after="0"/>
        <w:ind w:left="2381" w:right="0" w:hanging="794"/>
        <w:jc w:val="left"/>
        <w:rPr>
          <w:i/>
          <w:sz w:val="13"/>
        </w:rPr>
      </w:pPr>
      <w:r>
        <w:rPr>
          <w:w w:val="105"/>
          <w:sz w:val="13"/>
        </w:rPr>
        <w:t>Department of Justice and Attorney General </w:t>
      </w:r>
      <w:r>
        <w:rPr>
          <w:spacing w:val="2"/>
          <w:w w:val="105"/>
          <w:sz w:val="13"/>
        </w:rPr>
        <w:t>(Qld), </w:t>
      </w:r>
      <w:r>
        <w:rPr>
          <w:i/>
          <w:w w:val="105"/>
          <w:sz w:val="13"/>
        </w:rPr>
        <w:t>Neighbourhood Mediation Kit </w:t>
      </w:r>
      <w:r>
        <w:rPr>
          <w:spacing w:val="-3"/>
          <w:w w:val="105"/>
          <w:sz w:val="13"/>
        </w:rPr>
        <w:t>(19 </w:t>
      </w:r>
      <w:r>
        <w:rPr>
          <w:w w:val="105"/>
          <w:sz w:val="13"/>
        </w:rPr>
        <w:t>May 2015) </w:t>
      </w:r>
      <w:r>
        <w:rPr>
          <w:spacing w:val="2"/>
          <w:w w:val="105"/>
          <w:sz w:val="13"/>
        </w:rPr>
        <w:t>&lt;https://publications.qld.gov.au/dataset/ </w:t>
      </w:r>
      <w:r>
        <w:rPr>
          <w:w w:val="105"/>
          <w:sz w:val="13"/>
        </w:rPr>
        <w:t>neighbourhood-mediation-kit/resource/050c6991-1e22-4933-b185-c92f770eb78a&gt;</w:t>
      </w:r>
      <w:r>
        <w:rPr>
          <w:i/>
          <w:w w:val="105"/>
          <w:sz w:val="13"/>
        </w:rPr>
        <w:t>.</w:t>
      </w:r>
    </w:p>
    <w:p>
      <w:pPr>
        <w:pStyle w:val="ListParagraph"/>
        <w:numPr>
          <w:ilvl w:val="0"/>
          <w:numId w:val="200"/>
        </w:numPr>
        <w:tabs>
          <w:tab w:pos="2381" w:val="left" w:leader="none"/>
          <w:tab w:pos="2382" w:val="left" w:leader="none"/>
        </w:tabs>
        <w:spacing w:line="240" w:lineRule="auto" w:before="3" w:after="0"/>
        <w:ind w:left="2381" w:right="174" w:hanging="794"/>
        <w:jc w:val="left"/>
        <w:rPr>
          <w:sz w:val="13"/>
        </w:rPr>
      </w:pPr>
      <w:r>
        <w:rPr>
          <w:sz w:val="13"/>
        </w:rPr>
        <w:t>Queensland Civil and Administrative Tribunal, </w:t>
      </w:r>
      <w:r>
        <w:rPr>
          <w:i/>
          <w:sz w:val="13"/>
        </w:rPr>
        <w:t>Tree Orders Register </w:t>
      </w:r>
      <w:r>
        <w:rPr>
          <w:sz w:val="13"/>
        </w:rPr>
        <w:t>(Database, 21 February 2019) &lt;</w:t>
      </w:r>
      <w:hyperlink r:id="rId337">
        <w:r>
          <w:rPr>
            <w:sz w:val="13"/>
          </w:rPr>
          <w:t>http://www.qcat.qld.gov.au/matter-</w:t>
        </w:r>
      </w:hyperlink>
      <w:r>
        <w:rPr>
          <w:sz w:val="13"/>
        </w:rPr>
        <w:t> </w:t>
      </w:r>
      <w:r>
        <w:rPr>
          <w:spacing w:val="2"/>
          <w:sz w:val="13"/>
        </w:rPr>
        <w:t>types/tree-disputes/tree-orders-register&gt;.</w:t>
      </w:r>
    </w:p>
    <w:p>
      <w:pPr>
        <w:pStyle w:val="ListParagraph"/>
        <w:numPr>
          <w:ilvl w:val="0"/>
          <w:numId w:val="200"/>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200"/>
        </w:numPr>
        <w:tabs>
          <w:tab w:pos="2381" w:val="left" w:leader="none"/>
          <w:tab w:pos="2382" w:val="left" w:leader="none"/>
        </w:tabs>
        <w:spacing w:line="240" w:lineRule="auto" w:before="2" w:after="0"/>
        <w:ind w:left="2381" w:right="335" w:hanging="794"/>
        <w:jc w:val="left"/>
        <w:rPr>
          <w:sz w:val="13"/>
        </w:rPr>
      </w:pPr>
      <w:r>
        <w:rPr>
          <w:w w:val="105"/>
          <w:sz w:val="13"/>
        </w:rPr>
        <w:t>A Chatbot is a conversational agent that creates live conversational interaction between the chatbot and another user through voice commands or </w:t>
      </w:r>
      <w:r>
        <w:rPr>
          <w:spacing w:val="2"/>
          <w:w w:val="105"/>
          <w:sz w:val="13"/>
        </w:rPr>
        <w:t>text: </w:t>
      </w:r>
      <w:r>
        <w:rPr>
          <w:w w:val="105"/>
          <w:sz w:val="13"/>
        </w:rPr>
        <w:t>Joanna Goodman, </w:t>
      </w:r>
      <w:r>
        <w:rPr>
          <w:i/>
          <w:w w:val="105"/>
          <w:sz w:val="13"/>
        </w:rPr>
        <w:t>‘</w:t>
      </w:r>
      <w:r>
        <w:rPr>
          <w:w w:val="105"/>
          <w:sz w:val="13"/>
        </w:rPr>
        <w:t>Chatbot Pioneer Builds Free Tool for Law Firms’ </w:t>
      </w:r>
      <w:r>
        <w:rPr>
          <w:spacing w:val="-3"/>
          <w:w w:val="105"/>
          <w:sz w:val="13"/>
        </w:rPr>
        <w:t>(17 </w:t>
      </w:r>
      <w:r>
        <w:rPr>
          <w:w w:val="105"/>
          <w:sz w:val="13"/>
        </w:rPr>
        <w:t>October 2016) </w:t>
      </w:r>
      <w:r>
        <w:rPr>
          <w:i/>
          <w:w w:val="105"/>
          <w:sz w:val="13"/>
        </w:rPr>
        <w:t>The Law Society Gazette </w:t>
      </w:r>
      <w:r>
        <w:rPr>
          <w:spacing w:val="2"/>
          <w:w w:val="105"/>
          <w:sz w:val="13"/>
        </w:rPr>
        <w:t>(Online)</w:t>
      </w:r>
      <w:r>
        <w:rPr>
          <w:spacing w:val="7"/>
          <w:w w:val="105"/>
          <w:sz w:val="13"/>
        </w:rPr>
        <w:t> </w:t>
      </w:r>
      <w:r>
        <w:rPr>
          <w:w w:val="105"/>
          <w:sz w:val="13"/>
        </w:rPr>
        <w:t>&lt;https://</w:t>
      </w:r>
      <w:hyperlink r:id="rId338">
        <w:r>
          <w:rPr>
            <w:w w:val="105"/>
            <w:sz w:val="13"/>
          </w:rPr>
          <w:t>www.lawgazette.co.uk/news/chatbot-pioneer-builds-free-tool-for-law-firms/5058339.article</w:t>
        </w:r>
      </w:hyperlink>
      <w:r>
        <w:rPr>
          <w:w w:val="105"/>
          <w:sz w:val="13"/>
        </w:rPr>
        <w:t>&gt;.</w:t>
      </w:r>
    </w:p>
    <w:p>
      <w:pPr>
        <w:pStyle w:val="ListParagraph"/>
        <w:numPr>
          <w:ilvl w:val="0"/>
          <w:numId w:val="200"/>
        </w:numPr>
        <w:tabs>
          <w:tab w:pos="2381" w:val="left" w:leader="none"/>
          <w:tab w:pos="2382" w:val="left" w:leader="none"/>
        </w:tabs>
        <w:spacing w:line="240" w:lineRule="auto" w:before="4" w:after="0"/>
        <w:ind w:left="2381" w:right="0" w:hanging="794"/>
        <w:jc w:val="left"/>
        <w:rPr>
          <w:sz w:val="13"/>
        </w:rPr>
      </w:pPr>
      <w:r>
        <w:rPr>
          <w:w w:val="105"/>
          <w:sz w:val="13"/>
        </w:rPr>
        <w:t>Queensland</w:t>
      </w:r>
      <w:r>
        <w:rPr>
          <w:spacing w:val="5"/>
          <w:w w:val="105"/>
          <w:sz w:val="13"/>
        </w:rPr>
        <w:t> </w:t>
      </w:r>
      <w:r>
        <w:rPr>
          <w:w w:val="105"/>
          <w:sz w:val="13"/>
        </w:rPr>
        <w:t>Civil</w:t>
      </w:r>
      <w:r>
        <w:rPr>
          <w:spacing w:val="6"/>
          <w:w w:val="105"/>
          <w:sz w:val="13"/>
        </w:rPr>
        <w:t> </w:t>
      </w:r>
      <w:r>
        <w:rPr>
          <w:w w:val="105"/>
          <w:sz w:val="13"/>
        </w:rPr>
        <w:t>and</w:t>
      </w:r>
      <w:r>
        <w:rPr>
          <w:spacing w:val="5"/>
          <w:w w:val="105"/>
          <w:sz w:val="13"/>
        </w:rPr>
        <w:t> </w:t>
      </w:r>
      <w:r>
        <w:rPr>
          <w:w w:val="105"/>
          <w:sz w:val="13"/>
        </w:rPr>
        <w:t>Administrative</w:t>
      </w:r>
      <w:r>
        <w:rPr>
          <w:spacing w:val="6"/>
          <w:w w:val="105"/>
          <w:sz w:val="13"/>
        </w:rPr>
        <w:t> </w:t>
      </w:r>
      <w:r>
        <w:rPr>
          <w:w w:val="105"/>
          <w:sz w:val="13"/>
        </w:rPr>
        <w:t>Tribunal,</w:t>
      </w:r>
      <w:r>
        <w:rPr>
          <w:spacing w:val="5"/>
          <w:w w:val="105"/>
          <w:sz w:val="13"/>
        </w:rPr>
        <w:t> </w:t>
      </w:r>
      <w:r>
        <w:rPr>
          <w:i/>
          <w:w w:val="105"/>
          <w:sz w:val="13"/>
        </w:rPr>
        <w:t>QCAT</w:t>
      </w:r>
      <w:r>
        <w:rPr>
          <w:i/>
          <w:spacing w:val="6"/>
          <w:w w:val="105"/>
          <w:sz w:val="13"/>
        </w:rPr>
        <w:t> </w:t>
      </w:r>
      <w:r>
        <w:rPr>
          <w:i/>
          <w:w w:val="105"/>
          <w:sz w:val="13"/>
        </w:rPr>
        <w:t>Welcomes</w:t>
      </w:r>
      <w:r>
        <w:rPr>
          <w:i/>
          <w:spacing w:val="5"/>
          <w:w w:val="105"/>
          <w:sz w:val="13"/>
        </w:rPr>
        <w:t> </w:t>
      </w:r>
      <w:r>
        <w:rPr>
          <w:i/>
          <w:spacing w:val="2"/>
          <w:w w:val="105"/>
          <w:sz w:val="13"/>
        </w:rPr>
        <w:t>SANDI</w:t>
      </w:r>
      <w:r>
        <w:rPr>
          <w:i/>
          <w:spacing w:val="6"/>
          <w:w w:val="105"/>
          <w:sz w:val="13"/>
        </w:rPr>
        <w:t> </w:t>
      </w:r>
      <w:r>
        <w:rPr>
          <w:i/>
          <w:w w:val="105"/>
          <w:sz w:val="13"/>
        </w:rPr>
        <w:t>to</w:t>
      </w:r>
      <w:r>
        <w:rPr>
          <w:i/>
          <w:spacing w:val="6"/>
          <w:w w:val="105"/>
          <w:sz w:val="13"/>
        </w:rPr>
        <w:t> </w:t>
      </w:r>
      <w:r>
        <w:rPr>
          <w:i/>
          <w:w w:val="105"/>
          <w:sz w:val="13"/>
        </w:rPr>
        <w:t>the</w:t>
      </w:r>
      <w:r>
        <w:rPr>
          <w:i/>
          <w:spacing w:val="5"/>
          <w:w w:val="105"/>
          <w:sz w:val="13"/>
        </w:rPr>
        <w:t> </w:t>
      </w:r>
      <w:r>
        <w:rPr>
          <w:i/>
          <w:w w:val="105"/>
          <w:sz w:val="13"/>
        </w:rPr>
        <w:t>Team!</w:t>
      </w:r>
      <w:r>
        <w:rPr>
          <w:i/>
          <w:spacing w:val="6"/>
          <w:w w:val="105"/>
          <w:sz w:val="13"/>
        </w:rPr>
        <w:t> </w:t>
      </w:r>
      <w:r>
        <w:rPr>
          <w:w w:val="105"/>
          <w:sz w:val="13"/>
        </w:rPr>
        <w:t>(Web</w:t>
      </w:r>
      <w:r>
        <w:rPr>
          <w:spacing w:val="5"/>
          <w:w w:val="105"/>
          <w:sz w:val="13"/>
        </w:rPr>
        <w:t> </w:t>
      </w:r>
      <w:r>
        <w:rPr>
          <w:w w:val="105"/>
          <w:sz w:val="13"/>
        </w:rPr>
        <w:t>Page,</w:t>
      </w:r>
      <w:r>
        <w:rPr>
          <w:spacing w:val="6"/>
          <w:w w:val="105"/>
          <w:sz w:val="13"/>
        </w:rPr>
        <w:t> </w:t>
      </w:r>
      <w:r>
        <w:rPr>
          <w:spacing w:val="-4"/>
          <w:w w:val="105"/>
          <w:sz w:val="13"/>
        </w:rPr>
        <w:t>12</w:t>
      </w:r>
      <w:r>
        <w:rPr>
          <w:spacing w:val="5"/>
          <w:w w:val="105"/>
          <w:sz w:val="13"/>
        </w:rPr>
        <w:t> </w:t>
      </w:r>
      <w:r>
        <w:rPr>
          <w:w w:val="105"/>
          <w:sz w:val="13"/>
        </w:rPr>
        <w:t>February</w:t>
      </w:r>
      <w:r>
        <w:rPr>
          <w:spacing w:val="6"/>
          <w:w w:val="105"/>
          <w:sz w:val="13"/>
        </w:rPr>
        <w:t> </w:t>
      </w:r>
      <w:r>
        <w:rPr>
          <w:w w:val="105"/>
          <w:sz w:val="13"/>
        </w:rPr>
        <w:t>2019)</w:t>
      </w:r>
    </w:p>
    <w:p>
      <w:pPr>
        <w:spacing w:before="1"/>
        <w:ind w:left="2381" w:right="0" w:firstLine="0"/>
        <w:jc w:val="left"/>
        <w:rPr>
          <w:sz w:val="13"/>
        </w:rPr>
      </w:pPr>
      <w:r>
        <w:rPr>
          <w:w w:val="105"/>
          <w:sz w:val="13"/>
        </w:rPr>
        <w:t>&lt;https://</w:t>
      </w:r>
      <w:hyperlink r:id="rId339">
        <w:r>
          <w:rPr>
            <w:w w:val="105"/>
            <w:sz w:val="13"/>
          </w:rPr>
          <w:t>www.qcat.qld.gov.au/about-qcat/sandi</w:t>
        </w:r>
      </w:hyperlink>
      <w:r>
        <w:rPr>
          <w:w w:val="105"/>
          <w:sz w:val="13"/>
        </w:rPr>
        <w:t>&gt;.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35"/>
        </w:rPr>
      </w:pPr>
    </w:p>
    <w:p>
      <w:pPr>
        <w:spacing w:before="0"/>
        <w:ind w:left="640" w:right="577" w:firstLine="0"/>
        <w:jc w:val="center"/>
        <w:rPr>
          <w:b/>
          <w:sz w:val="24"/>
        </w:rPr>
      </w:pPr>
      <w:r>
        <w:rPr>
          <w:b/>
          <w:color w:val="658464"/>
          <w:w w:val="110"/>
          <w:sz w:val="24"/>
        </w:rPr>
        <w:t>281</w:t>
      </w:r>
    </w:p>
    <w:p>
      <w:pPr>
        <w:spacing w:after="0"/>
        <w:jc w:val="center"/>
        <w:rPr>
          <w:sz w:val="24"/>
        </w:rPr>
        <w:sectPr>
          <w:type w:val="continuous"/>
          <w:pgSz w:w="11910" w:h="16840"/>
          <w:pgMar w:top="300" w:bottom="280" w:left="0" w:right="0"/>
          <w:cols w:num="2" w:equalWidth="0">
            <w:col w:w="10211" w:space="40"/>
            <w:col w:w="1659"/>
          </w:cols>
        </w:sectPr>
      </w:pPr>
    </w:p>
    <w:p>
      <w:pPr>
        <w:pStyle w:val="BodyText"/>
        <w:spacing w:before="9"/>
        <w:rPr>
          <w:b/>
          <w:sz w:val="22"/>
        </w:rPr>
      </w:pPr>
    </w:p>
    <w:p>
      <w:pPr>
        <w:pStyle w:val="ListParagraph"/>
        <w:numPr>
          <w:ilvl w:val="1"/>
          <w:numId w:val="16"/>
        </w:numPr>
        <w:tabs>
          <w:tab w:pos="2380" w:val="left" w:leader="none"/>
          <w:tab w:pos="2381" w:val="left" w:leader="none"/>
        </w:tabs>
        <w:spacing w:line="242" w:lineRule="auto" w:before="92" w:after="0"/>
        <w:ind w:left="2381" w:right="2479" w:hanging="794"/>
        <w:jc w:val="left"/>
        <w:rPr>
          <w:sz w:val="21"/>
        </w:rPr>
      </w:pPr>
      <w:bookmarkStart w:name="Community responses—community resources" w:id="334"/>
      <w:bookmarkEnd w:id="334"/>
      <w:r>
        <w:rPr/>
      </w:r>
      <w:bookmarkStart w:name="_bookmark155" w:id="335"/>
      <w:bookmarkEnd w:id="335"/>
      <w:r>
        <w:rPr/>
      </w:r>
      <w:bookmarkStart w:name="_bookmark155" w:id="336"/>
      <w:bookmarkEnd w:id="336"/>
      <w:r>
        <w:rPr>
          <w:spacing w:val="-4"/>
          <w:w w:val="105"/>
          <w:sz w:val="21"/>
        </w:rPr>
        <w:t>Q</w:t>
      </w:r>
      <w:r>
        <w:rPr>
          <w:spacing w:val="-4"/>
          <w:w w:val="105"/>
          <w:sz w:val="21"/>
        </w:rPr>
        <w:t>CAT </w:t>
      </w:r>
      <w:r>
        <w:rPr>
          <w:w w:val="105"/>
          <w:sz w:val="21"/>
        </w:rPr>
        <w:t>told the </w:t>
      </w:r>
      <w:r>
        <w:rPr>
          <w:spacing w:val="-3"/>
          <w:w w:val="105"/>
          <w:sz w:val="21"/>
        </w:rPr>
        <w:t>Commission that </w:t>
      </w:r>
      <w:r>
        <w:rPr>
          <w:w w:val="105"/>
          <w:sz w:val="21"/>
        </w:rPr>
        <w:t>the </w:t>
      </w:r>
      <w:r>
        <w:rPr>
          <w:spacing w:val="-3"/>
          <w:w w:val="105"/>
          <w:sz w:val="21"/>
        </w:rPr>
        <w:t>range </w:t>
      </w:r>
      <w:r>
        <w:rPr>
          <w:w w:val="105"/>
          <w:sz w:val="21"/>
        </w:rPr>
        <w:t>of </w:t>
      </w:r>
      <w:r>
        <w:rPr>
          <w:spacing w:val="-3"/>
          <w:w w:val="105"/>
          <w:sz w:val="21"/>
        </w:rPr>
        <w:t>resources currently available to </w:t>
      </w:r>
      <w:r>
        <w:rPr>
          <w:w w:val="105"/>
          <w:sz w:val="21"/>
        </w:rPr>
        <w:t>the community is </w:t>
      </w:r>
      <w:r>
        <w:rPr>
          <w:spacing w:val="-3"/>
          <w:w w:val="105"/>
          <w:sz w:val="21"/>
        </w:rPr>
        <w:t>working </w:t>
      </w:r>
      <w:r>
        <w:rPr>
          <w:w w:val="105"/>
          <w:sz w:val="21"/>
        </w:rPr>
        <w:t>effectively </w:t>
      </w:r>
      <w:r>
        <w:rPr>
          <w:spacing w:val="-3"/>
          <w:w w:val="105"/>
          <w:sz w:val="21"/>
        </w:rPr>
        <w:t>to </w:t>
      </w:r>
      <w:r>
        <w:rPr>
          <w:w w:val="105"/>
          <w:sz w:val="21"/>
        </w:rPr>
        <w:t>help people </w:t>
      </w:r>
      <w:r>
        <w:rPr>
          <w:spacing w:val="-3"/>
          <w:w w:val="105"/>
          <w:sz w:val="21"/>
        </w:rPr>
        <w:t>to </w:t>
      </w:r>
      <w:r>
        <w:rPr>
          <w:w w:val="105"/>
          <w:sz w:val="21"/>
        </w:rPr>
        <w:t>resolve their</w:t>
      </w:r>
      <w:r>
        <w:rPr>
          <w:spacing w:val="-27"/>
          <w:w w:val="105"/>
          <w:sz w:val="21"/>
        </w:rPr>
        <w:t> </w:t>
      </w:r>
      <w:r>
        <w:rPr>
          <w:spacing w:val="-3"/>
          <w:w w:val="105"/>
          <w:sz w:val="21"/>
        </w:rPr>
        <w:t>disputes.</w:t>
      </w:r>
      <w:r>
        <w:rPr>
          <w:spacing w:val="-3"/>
          <w:w w:val="105"/>
          <w:position w:val="7"/>
          <w:sz w:val="12"/>
        </w:rPr>
        <w:t>55</w:t>
      </w:r>
    </w:p>
    <w:p>
      <w:pPr>
        <w:pStyle w:val="ListParagraph"/>
        <w:numPr>
          <w:ilvl w:val="1"/>
          <w:numId w:val="16"/>
        </w:numPr>
        <w:tabs>
          <w:tab w:pos="2381" w:val="left" w:leader="none"/>
          <w:tab w:pos="2382" w:val="left" w:leader="none"/>
        </w:tabs>
        <w:spacing w:line="242" w:lineRule="auto" w:before="122" w:after="0"/>
        <w:ind w:left="2381" w:right="1703" w:hanging="794"/>
        <w:jc w:val="left"/>
        <w:rPr>
          <w:sz w:val="21"/>
        </w:rPr>
      </w:pPr>
      <w:r>
        <w:rPr>
          <w:w w:val="105"/>
          <w:sz w:val="21"/>
        </w:rPr>
        <w:t>The </w:t>
      </w:r>
      <w:r>
        <w:rPr>
          <w:spacing w:val="-3"/>
          <w:w w:val="105"/>
          <w:sz w:val="21"/>
        </w:rPr>
        <w:t>Queensland Government </w:t>
      </w:r>
      <w:r>
        <w:rPr>
          <w:w w:val="105"/>
          <w:sz w:val="21"/>
        </w:rPr>
        <w:t>also </w:t>
      </w:r>
      <w:r>
        <w:rPr>
          <w:spacing w:val="-2"/>
          <w:w w:val="105"/>
          <w:sz w:val="21"/>
        </w:rPr>
        <w:t>has </w:t>
      </w:r>
      <w:r>
        <w:rPr>
          <w:w w:val="105"/>
          <w:sz w:val="21"/>
        </w:rPr>
        <w:t>a webpage about resolving </w:t>
      </w:r>
      <w:r>
        <w:rPr>
          <w:spacing w:val="-3"/>
          <w:w w:val="105"/>
          <w:sz w:val="21"/>
        </w:rPr>
        <w:t>disputes </w:t>
      </w:r>
      <w:r>
        <w:rPr>
          <w:w w:val="105"/>
          <w:sz w:val="21"/>
        </w:rPr>
        <w:t>about </w:t>
      </w:r>
      <w:r>
        <w:rPr>
          <w:spacing w:val="-3"/>
          <w:w w:val="105"/>
          <w:sz w:val="21"/>
        </w:rPr>
        <w:t>fences, </w:t>
      </w:r>
      <w:r>
        <w:rPr>
          <w:w w:val="105"/>
          <w:sz w:val="21"/>
        </w:rPr>
        <w:t>trees and </w:t>
      </w:r>
      <w:r>
        <w:rPr>
          <w:spacing w:val="-3"/>
          <w:w w:val="105"/>
          <w:sz w:val="21"/>
        </w:rPr>
        <w:t>buildings.</w:t>
      </w:r>
      <w:r>
        <w:rPr>
          <w:spacing w:val="-3"/>
          <w:w w:val="105"/>
          <w:position w:val="7"/>
          <w:sz w:val="12"/>
        </w:rPr>
        <w:t>56 </w:t>
      </w:r>
      <w:r>
        <w:rPr>
          <w:w w:val="105"/>
          <w:sz w:val="21"/>
        </w:rPr>
        <w:t>It </w:t>
      </w:r>
      <w:r>
        <w:rPr>
          <w:spacing w:val="-3"/>
          <w:w w:val="105"/>
          <w:sz w:val="21"/>
        </w:rPr>
        <w:t>contains information </w:t>
      </w:r>
      <w:r>
        <w:rPr>
          <w:w w:val="105"/>
          <w:sz w:val="21"/>
        </w:rPr>
        <w:t>about </w:t>
      </w:r>
      <w:r>
        <w:rPr>
          <w:spacing w:val="-3"/>
          <w:w w:val="105"/>
          <w:sz w:val="21"/>
        </w:rPr>
        <w:t>avoiding </w:t>
      </w:r>
      <w:r>
        <w:rPr>
          <w:w w:val="105"/>
          <w:sz w:val="21"/>
        </w:rPr>
        <w:t>tree </w:t>
      </w:r>
      <w:r>
        <w:rPr>
          <w:spacing w:val="-3"/>
          <w:w w:val="105"/>
          <w:sz w:val="21"/>
        </w:rPr>
        <w:t>disputes, for example, </w:t>
      </w:r>
      <w:r>
        <w:rPr>
          <w:w w:val="105"/>
          <w:sz w:val="21"/>
        </w:rPr>
        <w:t>by </w:t>
      </w:r>
      <w:r>
        <w:rPr>
          <w:spacing w:val="-3"/>
          <w:w w:val="105"/>
          <w:sz w:val="21"/>
        </w:rPr>
        <w:t>keeping </w:t>
      </w:r>
      <w:r>
        <w:rPr>
          <w:w w:val="105"/>
          <w:sz w:val="21"/>
        </w:rPr>
        <w:t>on good </w:t>
      </w:r>
      <w:r>
        <w:rPr>
          <w:spacing w:val="-3"/>
          <w:w w:val="105"/>
          <w:sz w:val="21"/>
        </w:rPr>
        <w:t>terms </w:t>
      </w:r>
      <w:r>
        <w:rPr>
          <w:w w:val="105"/>
          <w:sz w:val="21"/>
        </w:rPr>
        <w:t>with neighbours and putting some </w:t>
      </w:r>
      <w:r>
        <w:rPr>
          <w:spacing w:val="-3"/>
          <w:w w:val="105"/>
          <w:sz w:val="21"/>
        </w:rPr>
        <w:t>thought </w:t>
      </w:r>
      <w:r>
        <w:rPr>
          <w:spacing w:val="-4"/>
          <w:w w:val="105"/>
          <w:sz w:val="21"/>
        </w:rPr>
        <w:t>into </w:t>
      </w:r>
      <w:r>
        <w:rPr>
          <w:spacing w:val="-3"/>
          <w:w w:val="105"/>
          <w:sz w:val="21"/>
        </w:rPr>
        <w:t>appropriate planting. </w:t>
      </w:r>
      <w:r>
        <w:rPr>
          <w:w w:val="105"/>
          <w:sz w:val="21"/>
        </w:rPr>
        <w:t>A step-by-step guide </w:t>
      </w:r>
      <w:r>
        <w:rPr>
          <w:spacing w:val="-3"/>
          <w:w w:val="105"/>
          <w:sz w:val="21"/>
        </w:rPr>
        <w:t>to </w:t>
      </w:r>
      <w:r>
        <w:rPr>
          <w:w w:val="105"/>
          <w:sz w:val="21"/>
        </w:rPr>
        <w:t>resolving tree </w:t>
      </w:r>
      <w:r>
        <w:rPr>
          <w:spacing w:val="-3"/>
          <w:w w:val="105"/>
          <w:sz w:val="21"/>
        </w:rPr>
        <w:t>disputes </w:t>
      </w:r>
      <w:r>
        <w:rPr>
          <w:w w:val="105"/>
          <w:sz w:val="21"/>
        </w:rPr>
        <w:t>provides </w:t>
      </w:r>
      <w:r>
        <w:rPr>
          <w:spacing w:val="-3"/>
          <w:w w:val="105"/>
          <w:sz w:val="21"/>
        </w:rPr>
        <w:t>information </w:t>
      </w:r>
      <w:r>
        <w:rPr>
          <w:w w:val="105"/>
          <w:sz w:val="21"/>
        </w:rPr>
        <w:t>about mediation </w:t>
      </w:r>
      <w:r>
        <w:rPr>
          <w:spacing w:val="-3"/>
          <w:w w:val="105"/>
          <w:sz w:val="21"/>
        </w:rPr>
        <w:t>through dispute </w:t>
      </w:r>
      <w:r>
        <w:rPr>
          <w:w w:val="105"/>
          <w:sz w:val="21"/>
        </w:rPr>
        <w:t>resolution bodies, and </w:t>
      </w:r>
      <w:r>
        <w:rPr>
          <w:spacing w:val="-3"/>
          <w:w w:val="105"/>
          <w:sz w:val="21"/>
        </w:rPr>
        <w:t>explains </w:t>
      </w:r>
      <w:r>
        <w:rPr>
          <w:w w:val="105"/>
          <w:sz w:val="21"/>
        </w:rPr>
        <w:t>how tree </w:t>
      </w:r>
      <w:r>
        <w:rPr>
          <w:spacing w:val="-3"/>
          <w:w w:val="105"/>
          <w:sz w:val="21"/>
        </w:rPr>
        <w:t>disputes </w:t>
      </w:r>
      <w:r>
        <w:rPr>
          <w:w w:val="105"/>
          <w:sz w:val="21"/>
        </w:rPr>
        <w:t>can be resolved at</w:t>
      </w:r>
      <w:r>
        <w:rPr>
          <w:spacing w:val="11"/>
          <w:w w:val="105"/>
          <w:sz w:val="21"/>
        </w:rPr>
        <w:t> </w:t>
      </w:r>
      <w:r>
        <w:rPr>
          <w:spacing w:val="-7"/>
          <w:w w:val="105"/>
          <w:sz w:val="21"/>
        </w:rPr>
        <w:t>QCAT.</w:t>
      </w:r>
    </w:p>
    <w:p>
      <w:pPr>
        <w:pStyle w:val="ListParagraph"/>
        <w:numPr>
          <w:ilvl w:val="1"/>
          <w:numId w:val="16"/>
        </w:numPr>
        <w:tabs>
          <w:tab w:pos="2380" w:val="left" w:leader="none"/>
          <w:tab w:pos="2382" w:val="left" w:leader="none"/>
        </w:tabs>
        <w:spacing w:line="242" w:lineRule="auto" w:before="126" w:after="0"/>
        <w:ind w:left="2381" w:right="1627" w:hanging="794"/>
        <w:jc w:val="left"/>
        <w:rPr>
          <w:sz w:val="21"/>
        </w:rPr>
      </w:pPr>
      <w:r>
        <w:rPr>
          <w:w w:val="105"/>
          <w:sz w:val="21"/>
        </w:rPr>
        <w:t>The</w:t>
      </w:r>
      <w:r>
        <w:rPr>
          <w:spacing w:val="-13"/>
          <w:w w:val="105"/>
          <w:sz w:val="21"/>
        </w:rPr>
        <w:t> </w:t>
      </w:r>
      <w:r>
        <w:rPr>
          <w:spacing w:val="-3"/>
          <w:w w:val="105"/>
          <w:sz w:val="21"/>
        </w:rPr>
        <w:t>Queensland</w:t>
      </w:r>
      <w:r>
        <w:rPr>
          <w:spacing w:val="-12"/>
          <w:w w:val="105"/>
          <w:sz w:val="21"/>
        </w:rPr>
        <w:t> </w:t>
      </w:r>
      <w:r>
        <w:rPr>
          <w:spacing w:val="-3"/>
          <w:w w:val="105"/>
          <w:sz w:val="21"/>
        </w:rPr>
        <w:t>Government</w:t>
      </w:r>
      <w:r>
        <w:rPr>
          <w:spacing w:val="-12"/>
          <w:w w:val="105"/>
          <w:sz w:val="21"/>
        </w:rPr>
        <w:t> </w:t>
      </w:r>
      <w:r>
        <w:rPr>
          <w:spacing w:val="-3"/>
          <w:w w:val="105"/>
          <w:sz w:val="21"/>
        </w:rPr>
        <w:t>website</w:t>
      </w:r>
      <w:r>
        <w:rPr>
          <w:spacing w:val="-12"/>
          <w:w w:val="105"/>
          <w:sz w:val="21"/>
        </w:rPr>
        <w:t> </w:t>
      </w:r>
      <w:r>
        <w:rPr>
          <w:w w:val="105"/>
          <w:sz w:val="21"/>
        </w:rPr>
        <w:t>directs</w:t>
      </w:r>
      <w:r>
        <w:rPr>
          <w:spacing w:val="-12"/>
          <w:w w:val="105"/>
          <w:sz w:val="21"/>
        </w:rPr>
        <w:t> </w:t>
      </w:r>
      <w:r>
        <w:rPr>
          <w:w w:val="105"/>
          <w:sz w:val="21"/>
        </w:rPr>
        <w:t>users</w:t>
      </w:r>
      <w:r>
        <w:rPr>
          <w:spacing w:val="-12"/>
          <w:w w:val="105"/>
          <w:sz w:val="21"/>
        </w:rPr>
        <w:t> </w:t>
      </w:r>
      <w:r>
        <w:rPr>
          <w:spacing w:val="-3"/>
          <w:w w:val="105"/>
          <w:sz w:val="21"/>
        </w:rPr>
        <w:t>to</w:t>
      </w:r>
      <w:r>
        <w:rPr>
          <w:spacing w:val="-12"/>
          <w:w w:val="105"/>
          <w:sz w:val="21"/>
        </w:rPr>
        <w:t> </w:t>
      </w:r>
      <w:r>
        <w:rPr>
          <w:spacing w:val="-3"/>
          <w:w w:val="105"/>
          <w:sz w:val="21"/>
        </w:rPr>
        <w:t>resources</w:t>
      </w:r>
      <w:r>
        <w:rPr>
          <w:spacing w:val="-12"/>
          <w:w w:val="105"/>
          <w:sz w:val="21"/>
        </w:rPr>
        <w:t> </w:t>
      </w:r>
      <w:r>
        <w:rPr>
          <w:spacing w:val="-3"/>
          <w:w w:val="105"/>
          <w:sz w:val="21"/>
        </w:rPr>
        <w:t>to</w:t>
      </w:r>
      <w:r>
        <w:rPr>
          <w:spacing w:val="-12"/>
          <w:w w:val="105"/>
          <w:sz w:val="21"/>
        </w:rPr>
        <w:t> </w:t>
      </w:r>
      <w:r>
        <w:rPr>
          <w:w w:val="105"/>
          <w:sz w:val="21"/>
        </w:rPr>
        <w:t>resolve</w:t>
      </w:r>
      <w:r>
        <w:rPr>
          <w:spacing w:val="-13"/>
          <w:w w:val="105"/>
          <w:sz w:val="21"/>
        </w:rPr>
        <w:t> </w:t>
      </w:r>
      <w:r>
        <w:rPr>
          <w:w w:val="105"/>
          <w:sz w:val="21"/>
        </w:rPr>
        <w:t>particular</w:t>
      </w:r>
      <w:r>
        <w:rPr>
          <w:spacing w:val="-12"/>
          <w:w w:val="105"/>
          <w:sz w:val="21"/>
        </w:rPr>
        <w:t> </w:t>
      </w:r>
      <w:r>
        <w:rPr>
          <w:w w:val="105"/>
          <w:sz w:val="21"/>
        </w:rPr>
        <w:t>types of neighbourhood </w:t>
      </w:r>
      <w:r>
        <w:rPr>
          <w:spacing w:val="-3"/>
          <w:w w:val="105"/>
          <w:sz w:val="21"/>
        </w:rPr>
        <w:t>dispute, including </w:t>
      </w:r>
      <w:r>
        <w:rPr>
          <w:w w:val="105"/>
          <w:sz w:val="21"/>
        </w:rPr>
        <w:t>problems with next-door-neighbours about trees.</w:t>
      </w:r>
      <w:r>
        <w:rPr>
          <w:w w:val="105"/>
          <w:position w:val="7"/>
          <w:sz w:val="12"/>
        </w:rPr>
        <w:t>57</w:t>
      </w:r>
      <w:r>
        <w:rPr>
          <w:w w:val="105"/>
          <w:sz w:val="12"/>
        </w:rPr>
        <w:t> </w:t>
      </w:r>
      <w:r>
        <w:rPr>
          <w:w w:val="105"/>
          <w:sz w:val="21"/>
        </w:rPr>
        <w:t>This </w:t>
      </w:r>
      <w:r>
        <w:rPr>
          <w:spacing w:val="-3"/>
          <w:w w:val="105"/>
          <w:sz w:val="21"/>
        </w:rPr>
        <w:t>website aims to </w:t>
      </w:r>
      <w:r>
        <w:rPr>
          <w:spacing w:val="-4"/>
          <w:w w:val="105"/>
          <w:sz w:val="21"/>
        </w:rPr>
        <w:t>make </w:t>
      </w:r>
      <w:r>
        <w:rPr>
          <w:w w:val="105"/>
          <w:sz w:val="21"/>
        </w:rPr>
        <w:t>services </w:t>
      </w:r>
      <w:r>
        <w:rPr>
          <w:spacing w:val="-2"/>
          <w:w w:val="105"/>
          <w:sz w:val="21"/>
        </w:rPr>
        <w:t>easier </w:t>
      </w:r>
      <w:r>
        <w:rPr>
          <w:spacing w:val="-3"/>
          <w:w w:val="105"/>
          <w:sz w:val="21"/>
        </w:rPr>
        <w:t>to </w:t>
      </w:r>
      <w:r>
        <w:rPr>
          <w:w w:val="105"/>
          <w:sz w:val="21"/>
        </w:rPr>
        <w:t>find and</w:t>
      </w:r>
      <w:r>
        <w:rPr>
          <w:spacing w:val="5"/>
          <w:w w:val="105"/>
          <w:sz w:val="21"/>
        </w:rPr>
        <w:t> </w:t>
      </w:r>
      <w:r>
        <w:rPr>
          <w:spacing w:val="-2"/>
          <w:w w:val="105"/>
          <w:sz w:val="21"/>
        </w:rPr>
        <w:t>use.</w:t>
      </w:r>
      <w:r>
        <w:rPr>
          <w:spacing w:val="-2"/>
          <w:w w:val="105"/>
          <w:position w:val="7"/>
          <w:sz w:val="12"/>
        </w:rPr>
        <w:t>58</w:t>
      </w:r>
    </w:p>
    <w:p>
      <w:pPr>
        <w:pStyle w:val="ListParagraph"/>
        <w:numPr>
          <w:ilvl w:val="1"/>
          <w:numId w:val="16"/>
        </w:numPr>
        <w:tabs>
          <w:tab w:pos="2380" w:val="left" w:leader="none"/>
          <w:tab w:pos="2381" w:val="left" w:leader="none"/>
        </w:tabs>
        <w:spacing w:line="242" w:lineRule="auto" w:before="124" w:after="0"/>
        <w:ind w:left="2381" w:right="2054" w:hanging="794"/>
        <w:jc w:val="left"/>
        <w:rPr>
          <w:sz w:val="21"/>
        </w:rPr>
      </w:pPr>
      <w:r>
        <w:rPr>
          <w:w w:val="105"/>
          <w:sz w:val="21"/>
        </w:rPr>
        <w:t>The </w:t>
      </w:r>
      <w:r>
        <w:rPr>
          <w:spacing w:val="-3"/>
          <w:w w:val="105"/>
          <w:sz w:val="21"/>
        </w:rPr>
        <w:t>Queensland Government website </w:t>
      </w:r>
      <w:r>
        <w:rPr>
          <w:spacing w:val="-2"/>
          <w:w w:val="105"/>
          <w:sz w:val="21"/>
        </w:rPr>
        <w:t>has </w:t>
      </w:r>
      <w:r>
        <w:rPr>
          <w:w w:val="105"/>
          <w:sz w:val="21"/>
        </w:rPr>
        <w:t>also </w:t>
      </w:r>
      <w:r>
        <w:rPr>
          <w:spacing w:val="-3"/>
          <w:w w:val="105"/>
          <w:sz w:val="21"/>
        </w:rPr>
        <w:t>introduced </w:t>
      </w:r>
      <w:r>
        <w:rPr>
          <w:w w:val="105"/>
          <w:sz w:val="21"/>
        </w:rPr>
        <w:t>a </w:t>
      </w:r>
      <w:r>
        <w:rPr>
          <w:spacing w:val="-3"/>
          <w:w w:val="105"/>
          <w:sz w:val="21"/>
        </w:rPr>
        <w:t>chatbot, </w:t>
      </w:r>
      <w:r>
        <w:rPr>
          <w:w w:val="105"/>
          <w:sz w:val="21"/>
        </w:rPr>
        <w:t>named MANDI, which</w:t>
      </w:r>
      <w:r>
        <w:rPr>
          <w:spacing w:val="-8"/>
          <w:w w:val="105"/>
          <w:sz w:val="21"/>
        </w:rPr>
        <w:t> </w:t>
      </w:r>
      <w:r>
        <w:rPr>
          <w:w w:val="105"/>
          <w:sz w:val="21"/>
        </w:rPr>
        <w:t>provides</w:t>
      </w:r>
      <w:r>
        <w:rPr>
          <w:spacing w:val="-8"/>
          <w:w w:val="105"/>
          <w:sz w:val="21"/>
        </w:rPr>
        <w:t> </w:t>
      </w:r>
      <w:r>
        <w:rPr>
          <w:spacing w:val="-3"/>
          <w:w w:val="105"/>
          <w:sz w:val="21"/>
        </w:rPr>
        <w:t>information</w:t>
      </w:r>
      <w:r>
        <w:rPr>
          <w:spacing w:val="-8"/>
          <w:w w:val="105"/>
          <w:sz w:val="21"/>
        </w:rPr>
        <w:t> </w:t>
      </w:r>
      <w:r>
        <w:rPr>
          <w:w w:val="105"/>
          <w:sz w:val="21"/>
        </w:rPr>
        <w:t>about</w:t>
      </w:r>
      <w:r>
        <w:rPr>
          <w:spacing w:val="-8"/>
          <w:w w:val="105"/>
          <w:sz w:val="21"/>
        </w:rPr>
        <w:t> </w:t>
      </w:r>
      <w:r>
        <w:rPr>
          <w:spacing w:val="-2"/>
          <w:w w:val="105"/>
          <w:sz w:val="21"/>
        </w:rPr>
        <w:t>common</w:t>
      </w:r>
      <w:r>
        <w:rPr>
          <w:spacing w:val="-8"/>
          <w:w w:val="105"/>
          <w:sz w:val="21"/>
        </w:rPr>
        <w:t> </w:t>
      </w:r>
      <w:r>
        <w:rPr>
          <w:w w:val="105"/>
          <w:sz w:val="21"/>
        </w:rPr>
        <w:t>neighbourhood</w:t>
      </w:r>
      <w:r>
        <w:rPr>
          <w:spacing w:val="-7"/>
          <w:w w:val="105"/>
          <w:sz w:val="21"/>
        </w:rPr>
        <w:t> </w:t>
      </w:r>
      <w:r>
        <w:rPr>
          <w:w w:val="105"/>
          <w:sz w:val="21"/>
        </w:rPr>
        <w:t>issues,</w:t>
      </w:r>
      <w:r>
        <w:rPr>
          <w:spacing w:val="-8"/>
          <w:w w:val="105"/>
          <w:sz w:val="21"/>
        </w:rPr>
        <w:t> </w:t>
      </w:r>
      <w:r>
        <w:rPr>
          <w:spacing w:val="-3"/>
          <w:w w:val="105"/>
          <w:sz w:val="21"/>
        </w:rPr>
        <w:t>including</w:t>
      </w:r>
      <w:r>
        <w:rPr>
          <w:spacing w:val="-8"/>
          <w:w w:val="105"/>
          <w:sz w:val="21"/>
        </w:rPr>
        <w:t> </w:t>
      </w:r>
      <w:r>
        <w:rPr>
          <w:w w:val="105"/>
          <w:sz w:val="21"/>
        </w:rPr>
        <w:t>trees.</w:t>
      </w:r>
      <w:r>
        <w:rPr>
          <w:w w:val="105"/>
          <w:position w:val="7"/>
          <w:sz w:val="12"/>
        </w:rPr>
        <w:t>59</w:t>
      </w:r>
    </w:p>
    <w:p>
      <w:pPr>
        <w:pStyle w:val="BodyText"/>
        <w:spacing w:before="2"/>
        <w:rPr>
          <w:sz w:val="20"/>
        </w:rPr>
      </w:pPr>
    </w:p>
    <w:p>
      <w:pPr>
        <w:pStyle w:val="Heading5"/>
        <w:spacing w:before="1"/>
      </w:pPr>
      <w:r>
        <w:rPr>
          <w:w w:val="110"/>
        </w:rPr>
        <w:t>Tasmania</w:t>
      </w:r>
    </w:p>
    <w:p>
      <w:pPr>
        <w:pStyle w:val="ListParagraph"/>
        <w:numPr>
          <w:ilvl w:val="1"/>
          <w:numId w:val="16"/>
        </w:numPr>
        <w:tabs>
          <w:tab w:pos="2380" w:val="left" w:leader="none"/>
          <w:tab w:pos="2381" w:val="left" w:leader="none"/>
        </w:tabs>
        <w:spacing w:line="242" w:lineRule="auto" w:before="137" w:after="0"/>
        <w:ind w:left="2381" w:right="1585" w:hanging="794"/>
        <w:jc w:val="left"/>
        <w:rPr>
          <w:sz w:val="21"/>
        </w:rPr>
      </w:pPr>
      <w:r>
        <w:rPr>
          <w:w w:val="105"/>
          <w:sz w:val="21"/>
        </w:rPr>
        <w:t>A Practice Direction </w:t>
      </w:r>
      <w:r>
        <w:rPr>
          <w:spacing w:val="-3"/>
          <w:w w:val="105"/>
          <w:sz w:val="21"/>
        </w:rPr>
        <w:t>published </w:t>
      </w:r>
      <w:r>
        <w:rPr>
          <w:w w:val="105"/>
          <w:sz w:val="21"/>
        </w:rPr>
        <w:t>by </w:t>
      </w:r>
      <w:r>
        <w:rPr>
          <w:spacing w:val="-6"/>
          <w:w w:val="105"/>
          <w:sz w:val="21"/>
        </w:rPr>
        <w:t>RMPAT </w:t>
      </w:r>
      <w:r>
        <w:rPr>
          <w:w w:val="105"/>
          <w:sz w:val="21"/>
        </w:rPr>
        <w:t>in September </w:t>
      </w:r>
      <w:r>
        <w:rPr>
          <w:spacing w:val="-7"/>
          <w:w w:val="105"/>
          <w:sz w:val="21"/>
        </w:rPr>
        <w:t>2018 </w:t>
      </w:r>
      <w:r>
        <w:rPr>
          <w:w w:val="105"/>
          <w:sz w:val="21"/>
        </w:rPr>
        <w:t>is </w:t>
      </w:r>
      <w:r>
        <w:rPr>
          <w:spacing w:val="-3"/>
          <w:w w:val="105"/>
          <w:sz w:val="21"/>
        </w:rPr>
        <w:t>available </w:t>
      </w:r>
      <w:r>
        <w:rPr>
          <w:w w:val="105"/>
          <w:sz w:val="21"/>
        </w:rPr>
        <w:t>on </w:t>
      </w:r>
      <w:r>
        <w:rPr>
          <w:spacing w:val="-6"/>
          <w:w w:val="105"/>
          <w:sz w:val="21"/>
        </w:rPr>
        <w:t>RMPAT’s </w:t>
      </w:r>
      <w:r>
        <w:rPr>
          <w:spacing w:val="-3"/>
          <w:w w:val="105"/>
          <w:sz w:val="21"/>
        </w:rPr>
        <w:t>website.</w:t>
      </w:r>
      <w:r>
        <w:rPr>
          <w:spacing w:val="-3"/>
          <w:w w:val="105"/>
          <w:position w:val="7"/>
          <w:sz w:val="12"/>
        </w:rPr>
        <w:t>60 </w:t>
      </w:r>
      <w:r>
        <w:rPr>
          <w:w w:val="105"/>
          <w:sz w:val="21"/>
        </w:rPr>
        <w:t>It provides a guide </w:t>
      </w:r>
      <w:r>
        <w:rPr>
          <w:spacing w:val="-3"/>
          <w:w w:val="105"/>
          <w:sz w:val="21"/>
        </w:rPr>
        <w:t>to completing </w:t>
      </w:r>
      <w:r>
        <w:rPr>
          <w:w w:val="105"/>
          <w:sz w:val="21"/>
        </w:rPr>
        <w:t>the application </w:t>
      </w:r>
      <w:r>
        <w:rPr>
          <w:spacing w:val="-3"/>
          <w:w w:val="105"/>
          <w:sz w:val="21"/>
        </w:rPr>
        <w:t>forms </w:t>
      </w:r>
      <w:r>
        <w:rPr>
          <w:w w:val="105"/>
          <w:sz w:val="21"/>
        </w:rPr>
        <w:t>and </w:t>
      </w:r>
      <w:r>
        <w:rPr>
          <w:spacing w:val="-3"/>
          <w:w w:val="105"/>
          <w:sz w:val="21"/>
        </w:rPr>
        <w:t>information </w:t>
      </w:r>
      <w:r>
        <w:rPr>
          <w:w w:val="105"/>
          <w:sz w:val="21"/>
        </w:rPr>
        <w:t>about the</w:t>
      </w:r>
      <w:r>
        <w:rPr>
          <w:spacing w:val="-7"/>
          <w:w w:val="105"/>
          <w:sz w:val="21"/>
        </w:rPr>
        <w:t> </w:t>
      </w:r>
      <w:r>
        <w:rPr>
          <w:spacing w:val="-3"/>
          <w:w w:val="105"/>
          <w:sz w:val="21"/>
        </w:rPr>
        <w:t>tribunal</w:t>
      </w:r>
      <w:r>
        <w:rPr>
          <w:spacing w:val="-6"/>
          <w:w w:val="105"/>
          <w:sz w:val="21"/>
        </w:rPr>
        <w:t> </w:t>
      </w:r>
      <w:r>
        <w:rPr>
          <w:spacing w:val="-3"/>
          <w:w w:val="105"/>
          <w:sz w:val="21"/>
        </w:rPr>
        <w:t>process.</w:t>
      </w:r>
      <w:r>
        <w:rPr>
          <w:spacing w:val="-3"/>
          <w:w w:val="105"/>
          <w:position w:val="7"/>
          <w:sz w:val="12"/>
        </w:rPr>
        <w:t>61</w:t>
      </w:r>
      <w:r>
        <w:rPr>
          <w:spacing w:val="15"/>
          <w:w w:val="105"/>
          <w:position w:val="7"/>
          <w:sz w:val="12"/>
        </w:rPr>
        <w:t> </w:t>
      </w:r>
      <w:r>
        <w:rPr>
          <w:w w:val="105"/>
          <w:sz w:val="21"/>
        </w:rPr>
        <w:t>A</w:t>
      </w:r>
      <w:r>
        <w:rPr>
          <w:spacing w:val="-6"/>
          <w:w w:val="105"/>
          <w:sz w:val="21"/>
        </w:rPr>
        <w:t> </w:t>
      </w:r>
      <w:r>
        <w:rPr>
          <w:spacing w:val="-3"/>
          <w:w w:val="105"/>
          <w:sz w:val="21"/>
        </w:rPr>
        <w:t>link</w:t>
      </w:r>
      <w:r>
        <w:rPr>
          <w:spacing w:val="-7"/>
          <w:w w:val="105"/>
          <w:sz w:val="21"/>
        </w:rPr>
        <w:t> </w:t>
      </w:r>
      <w:r>
        <w:rPr>
          <w:w w:val="105"/>
          <w:sz w:val="21"/>
        </w:rPr>
        <w:t>is</w:t>
      </w:r>
      <w:r>
        <w:rPr>
          <w:spacing w:val="-6"/>
          <w:w w:val="105"/>
          <w:sz w:val="21"/>
        </w:rPr>
        <w:t> </w:t>
      </w:r>
      <w:r>
        <w:rPr>
          <w:w w:val="105"/>
          <w:sz w:val="21"/>
        </w:rPr>
        <w:t>also</w:t>
      </w:r>
      <w:r>
        <w:rPr>
          <w:spacing w:val="-6"/>
          <w:w w:val="105"/>
          <w:sz w:val="21"/>
        </w:rPr>
        <w:t> </w:t>
      </w:r>
      <w:r>
        <w:rPr>
          <w:w w:val="105"/>
          <w:sz w:val="21"/>
        </w:rPr>
        <w:t>provided</w:t>
      </w:r>
      <w:r>
        <w:rPr>
          <w:spacing w:val="-7"/>
          <w:w w:val="105"/>
          <w:sz w:val="21"/>
        </w:rPr>
        <w:t> </w:t>
      </w:r>
      <w:r>
        <w:rPr>
          <w:spacing w:val="-3"/>
          <w:w w:val="105"/>
          <w:sz w:val="21"/>
        </w:rPr>
        <w:t>to</w:t>
      </w:r>
      <w:r>
        <w:rPr>
          <w:spacing w:val="-6"/>
          <w:w w:val="105"/>
          <w:sz w:val="21"/>
        </w:rPr>
        <w:t> </w:t>
      </w:r>
      <w:r>
        <w:rPr>
          <w:w w:val="105"/>
          <w:sz w:val="21"/>
        </w:rPr>
        <w:t>the</w:t>
      </w:r>
      <w:r>
        <w:rPr>
          <w:spacing w:val="-7"/>
          <w:w w:val="105"/>
          <w:sz w:val="21"/>
        </w:rPr>
        <w:t> </w:t>
      </w:r>
      <w:r>
        <w:rPr>
          <w:spacing w:val="-4"/>
          <w:w w:val="105"/>
          <w:sz w:val="21"/>
        </w:rPr>
        <w:t>Tasmanian</w:t>
      </w:r>
      <w:r>
        <w:rPr>
          <w:spacing w:val="-6"/>
          <w:w w:val="105"/>
          <w:sz w:val="21"/>
        </w:rPr>
        <w:t> </w:t>
      </w:r>
      <w:r>
        <w:rPr>
          <w:spacing w:val="-3"/>
          <w:w w:val="105"/>
          <w:sz w:val="21"/>
        </w:rPr>
        <w:t>Government</w:t>
      </w:r>
      <w:r>
        <w:rPr>
          <w:spacing w:val="-6"/>
          <w:w w:val="105"/>
          <w:sz w:val="21"/>
        </w:rPr>
        <w:t> </w:t>
      </w:r>
      <w:r>
        <w:rPr>
          <w:w w:val="105"/>
          <w:sz w:val="21"/>
        </w:rPr>
        <w:t>Department</w:t>
      </w:r>
      <w:r>
        <w:rPr>
          <w:spacing w:val="-7"/>
          <w:w w:val="105"/>
          <w:sz w:val="21"/>
        </w:rPr>
        <w:t> </w:t>
      </w:r>
      <w:r>
        <w:rPr>
          <w:w w:val="105"/>
          <w:sz w:val="21"/>
        </w:rPr>
        <w:t>of Justice </w:t>
      </w:r>
      <w:r>
        <w:rPr>
          <w:spacing w:val="-3"/>
          <w:w w:val="105"/>
          <w:sz w:val="21"/>
        </w:rPr>
        <w:t>website </w:t>
      </w:r>
      <w:r>
        <w:rPr>
          <w:w w:val="105"/>
          <w:sz w:val="21"/>
        </w:rPr>
        <w:t>where there is a detailed overview of the </w:t>
      </w:r>
      <w:r>
        <w:rPr>
          <w:spacing w:val="-4"/>
          <w:w w:val="105"/>
          <w:sz w:val="21"/>
        </w:rPr>
        <w:t>Tasmanian </w:t>
      </w:r>
      <w:r>
        <w:rPr>
          <w:w w:val="105"/>
          <w:sz w:val="21"/>
        </w:rPr>
        <w:t>Act and </w:t>
      </w:r>
      <w:r>
        <w:rPr>
          <w:spacing w:val="-3"/>
          <w:w w:val="105"/>
          <w:sz w:val="21"/>
        </w:rPr>
        <w:t>information </w:t>
      </w:r>
      <w:r>
        <w:rPr>
          <w:w w:val="105"/>
          <w:sz w:val="21"/>
        </w:rPr>
        <w:t>about how </w:t>
      </w:r>
      <w:r>
        <w:rPr>
          <w:spacing w:val="-3"/>
          <w:w w:val="105"/>
          <w:sz w:val="21"/>
        </w:rPr>
        <w:t>to </w:t>
      </w:r>
      <w:r>
        <w:rPr>
          <w:w w:val="105"/>
          <w:sz w:val="21"/>
        </w:rPr>
        <w:t>resolve tree </w:t>
      </w:r>
      <w:r>
        <w:rPr>
          <w:spacing w:val="-3"/>
          <w:w w:val="105"/>
          <w:sz w:val="21"/>
        </w:rPr>
        <w:t>disputes</w:t>
      </w:r>
      <w:r>
        <w:rPr>
          <w:spacing w:val="29"/>
          <w:w w:val="105"/>
          <w:sz w:val="21"/>
        </w:rPr>
        <w:t> </w:t>
      </w:r>
      <w:r>
        <w:rPr>
          <w:spacing w:val="-4"/>
          <w:w w:val="105"/>
          <w:sz w:val="21"/>
        </w:rPr>
        <w:t>informally.</w:t>
      </w:r>
      <w:r>
        <w:rPr>
          <w:spacing w:val="-4"/>
          <w:w w:val="105"/>
          <w:position w:val="7"/>
          <w:sz w:val="12"/>
        </w:rPr>
        <w:t>62</w:t>
      </w:r>
    </w:p>
    <w:p>
      <w:pPr>
        <w:pStyle w:val="ListParagraph"/>
        <w:numPr>
          <w:ilvl w:val="1"/>
          <w:numId w:val="16"/>
        </w:numPr>
        <w:tabs>
          <w:tab w:pos="2381" w:val="left" w:leader="none"/>
          <w:tab w:pos="2382" w:val="left" w:leader="none"/>
        </w:tabs>
        <w:spacing w:line="242" w:lineRule="auto" w:before="125" w:after="0"/>
        <w:ind w:left="2381" w:right="1713" w:hanging="794"/>
        <w:jc w:val="left"/>
        <w:rPr>
          <w:sz w:val="21"/>
        </w:rPr>
      </w:pPr>
      <w:r>
        <w:rPr>
          <w:sz w:val="21"/>
        </w:rPr>
        <w:t>A database </w:t>
      </w:r>
      <w:r>
        <w:rPr>
          <w:spacing w:val="-3"/>
          <w:sz w:val="21"/>
        </w:rPr>
        <w:t>containing </w:t>
      </w:r>
      <w:r>
        <w:rPr>
          <w:sz w:val="21"/>
        </w:rPr>
        <w:t>details of orders and </w:t>
      </w:r>
      <w:r>
        <w:rPr>
          <w:spacing w:val="-3"/>
          <w:sz w:val="21"/>
        </w:rPr>
        <w:t>applications </w:t>
      </w:r>
      <w:r>
        <w:rPr>
          <w:spacing w:val="-2"/>
          <w:sz w:val="21"/>
        </w:rPr>
        <w:t>has </w:t>
      </w:r>
      <w:r>
        <w:rPr>
          <w:sz w:val="21"/>
        </w:rPr>
        <w:t>been established by </w:t>
      </w:r>
      <w:r>
        <w:rPr>
          <w:spacing w:val="-7"/>
          <w:sz w:val="21"/>
        </w:rPr>
        <w:t>RMPAT. </w:t>
      </w:r>
      <w:r>
        <w:rPr>
          <w:sz w:val="21"/>
        </w:rPr>
        <w:t>People can </w:t>
      </w:r>
      <w:r>
        <w:rPr>
          <w:spacing w:val="-3"/>
          <w:sz w:val="21"/>
        </w:rPr>
        <w:t>search </w:t>
      </w:r>
      <w:r>
        <w:rPr>
          <w:sz w:val="21"/>
        </w:rPr>
        <w:t>the database by </w:t>
      </w:r>
      <w:r>
        <w:rPr>
          <w:spacing w:val="-3"/>
          <w:sz w:val="21"/>
        </w:rPr>
        <w:t>submitting </w:t>
      </w:r>
      <w:r>
        <w:rPr>
          <w:sz w:val="21"/>
        </w:rPr>
        <w:t>an application and </w:t>
      </w:r>
      <w:r>
        <w:rPr>
          <w:spacing w:val="-3"/>
          <w:sz w:val="21"/>
        </w:rPr>
        <w:t>paying </w:t>
      </w:r>
      <w:r>
        <w:rPr>
          <w:sz w:val="21"/>
        </w:rPr>
        <w:t>the prescribed </w:t>
      </w:r>
      <w:r>
        <w:rPr>
          <w:spacing w:val="-3"/>
          <w:sz w:val="21"/>
        </w:rPr>
        <w:t>fee.</w:t>
      </w:r>
      <w:r>
        <w:rPr>
          <w:spacing w:val="-3"/>
          <w:position w:val="7"/>
          <w:sz w:val="12"/>
        </w:rPr>
        <w:t>63 </w:t>
      </w:r>
      <w:r>
        <w:rPr>
          <w:spacing w:val="-3"/>
          <w:sz w:val="21"/>
        </w:rPr>
        <w:t>Information </w:t>
      </w:r>
      <w:r>
        <w:rPr>
          <w:sz w:val="21"/>
        </w:rPr>
        <w:t>in the database includes: the </w:t>
      </w:r>
      <w:r>
        <w:rPr>
          <w:spacing w:val="-3"/>
          <w:sz w:val="21"/>
        </w:rPr>
        <w:t>terms </w:t>
      </w:r>
      <w:r>
        <w:rPr>
          <w:sz w:val="21"/>
        </w:rPr>
        <w:t>of the </w:t>
      </w:r>
      <w:r>
        <w:rPr>
          <w:spacing w:val="-4"/>
          <w:sz w:val="21"/>
        </w:rPr>
        <w:t>order, </w:t>
      </w:r>
      <w:r>
        <w:rPr>
          <w:sz w:val="21"/>
        </w:rPr>
        <w:t>when it </w:t>
      </w:r>
      <w:r>
        <w:rPr>
          <w:spacing w:val="-3"/>
          <w:sz w:val="21"/>
        </w:rPr>
        <w:t>takes </w:t>
      </w:r>
      <w:r>
        <w:rPr>
          <w:sz w:val="21"/>
        </w:rPr>
        <w:t>effect, when</w:t>
      </w:r>
      <w:r>
        <w:rPr>
          <w:spacing w:val="9"/>
          <w:sz w:val="21"/>
        </w:rPr>
        <w:t> </w:t>
      </w:r>
      <w:r>
        <w:rPr>
          <w:spacing w:val="-3"/>
          <w:sz w:val="21"/>
        </w:rPr>
        <w:t>any</w:t>
      </w:r>
      <w:r>
        <w:rPr>
          <w:spacing w:val="10"/>
          <w:sz w:val="21"/>
        </w:rPr>
        <w:t> </w:t>
      </w:r>
      <w:r>
        <w:rPr>
          <w:sz w:val="21"/>
        </w:rPr>
        <w:t>work</w:t>
      </w:r>
      <w:r>
        <w:rPr>
          <w:spacing w:val="10"/>
          <w:sz w:val="21"/>
        </w:rPr>
        <w:t> </w:t>
      </w:r>
      <w:r>
        <w:rPr>
          <w:sz w:val="21"/>
        </w:rPr>
        <w:t>is</w:t>
      </w:r>
      <w:r>
        <w:rPr>
          <w:spacing w:val="10"/>
          <w:sz w:val="21"/>
        </w:rPr>
        <w:t> </w:t>
      </w:r>
      <w:r>
        <w:rPr>
          <w:spacing w:val="-3"/>
          <w:sz w:val="21"/>
        </w:rPr>
        <w:t>to</w:t>
      </w:r>
      <w:r>
        <w:rPr>
          <w:spacing w:val="10"/>
          <w:sz w:val="21"/>
        </w:rPr>
        <w:t> </w:t>
      </w:r>
      <w:r>
        <w:rPr>
          <w:sz w:val="21"/>
        </w:rPr>
        <w:t>be</w:t>
      </w:r>
      <w:r>
        <w:rPr>
          <w:spacing w:val="9"/>
          <w:sz w:val="21"/>
        </w:rPr>
        <w:t> </w:t>
      </w:r>
      <w:r>
        <w:rPr>
          <w:sz w:val="21"/>
        </w:rPr>
        <w:t>carried</w:t>
      </w:r>
      <w:r>
        <w:rPr>
          <w:spacing w:val="10"/>
          <w:sz w:val="21"/>
        </w:rPr>
        <w:t> </w:t>
      </w:r>
      <w:r>
        <w:rPr>
          <w:sz w:val="21"/>
        </w:rPr>
        <w:t>out</w:t>
      </w:r>
      <w:r>
        <w:rPr>
          <w:spacing w:val="10"/>
          <w:sz w:val="21"/>
        </w:rPr>
        <w:t> </w:t>
      </w:r>
      <w:r>
        <w:rPr>
          <w:sz w:val="21"/>
        </w:rPr>
        <w:t>and</w:t>
      </w:r>
      <w:r>
        <w:rPr>
          <w:spacing w:val="10"/>
          <w:sz w:val="21"/>
        </w:rPr>
        <w:t> </w:t>
      </w:r>
      <w:r>
        <w:rPr>
          <w:sz w:val="21"/>
        </w:rPr>
        <w:t>by</w:t>
      </w:r>
      <w:r>
        <w:rPr>
          <w:spacing w:val="10"/>
          <w:sz w:val="21"/>
        </w:rPr>
        <w:t> </w:t>
      </w:r>
      <w:r>
        <w:rPr>
          <w:sz w:val="21"/>
        </w:rPr>
        <w:t>whom.</w:t>
      </w:r>
      <w:r>
        <w:rPr>
          <w:position w:val="7"/>
          <w:sz w:val="12"/>
        </w:rPr>
        <w:t>64</w:t>
      </w:r>
    </w:p>
    <w:p>
      <w:pPr>
        <w:pStyle w:val="BodyText"/>
        <w:spacing w:before="12"/>
      </w:pPr>
    </w:p>
    <w:p>
      <w:pPr>
        <w:pStyle w:val="Heading4"/>
      </w:pPr>
      <w:r>
        <w:rPr>
          <w:color w:val="658464"/>
          <w:w w:val="110"/>
        </w:rPr>
        <w:t>Community responses—community resources</w:t>
      </w:r>
    </w:p>
    <w:p>
      <w:pPr>
        <w:pStyle w:val="ListParagraph"/>
        <w:numPr>
          <w:ilvl w:val="1"/>
          <w:numId w:val="16"/>
        </w:numPr>
        <w:tabs>
          <w:tab w:pos="2381" w:val="left" w:leader="none"/>
          <w:tab w:pos="2382" w:val="left" w:leader="none"/>
        </w:tabs>
        <w:spacing w:line="242" w:lineRule="auto" w:before="155" w:after="0"/>
        <w:ind w:left="2381" w:right="1652" w:hanging="794"/>
        <w:jc w:val="left"/>
        <w:rPr>
          <w:sz w:val="21"/>
        </w:rPr>
      </w:pPr>
      <w:r>
        <w:rPr>
          <w:spacing w:val="-4"/>
          <w:w w:val="105"/>
          <w:sz w:val="21"/>
        </w:rPr>
        <w:t>Chapter </w:t>
      </w:r>
      <w:r>
        <w:rPr>
          <w:w w:val="105"/>
          <w:sz w:val="21"/>
        </w:rPr>
        <w:t>2 canvassed community </w:t>
      </w:r>
      <w:r>
        <w:rPr>
          <w:spacing w:val="-3"/>
          <w:w w:val="105"/>
          <w:sz w:val="21"/>
        </w:rPr>
        <w:t>concerns </w:t>
      </w:r>
      <w:r>
        <w:rPr>
          <w:w w:val="105"/>
          <w:sz w:val="21"/>
        </w:rPr>
        <w:t>about the lack of </w:t>
      </w:r>
      <w:r>
        <w:rPr>
          <w:spacing w:val="-3"/>
          <w:w w:val="105"/>
          <w:sz w:val="21"/>
        </w:rPr>
        <w:t>information </w:t>
      </w:r>
      <w:r>
        <w:rPr>
          <w:w w:val="105"/>
          <w:sz w:val="21"/>
        </w:rPr>
        <w:t>and assistance </w:t>
      </w:r>
      <w:r>
        <w:rPr>
          <w:spacing w:val="-3"/>
          <w:w w:val="105"/>
          <w:sz w:val="21"/>
        </w:rPr>
        <w:t>available to </w:t>
      </w:r>
      <w:r>
        <w:rPr>
          <w:w w:val="105"/>
          <w:sz w:val="21"/>
        </w:rPr>
        <w:t>help people resolve tree </w:t>
      </w:r>
      <w:r>
        <w:rPr>
          <w:spacing w:val="-3"/>
          <w:w w:val="105"/>
          <w:sz w:val="21"/>
        </w:rPr>
        <w:t>disputes </w:t>
      </w:r>
      <w:r>
        <w:rPr>
          <w:w w:val="105"/>
          <w:sz w:val="21"/>
        </w:rPr>
        <w:t>in Victoria. DSCV </w:t>
      </w:r>
      <w:r>
        <w:rPr>
          <w:spacing w:val="-3"/>
          <w:w w:val="105"/>
          <w:sz w:val="21"/>
        </w:rPr>
        <w:t>highlighted that </w:t>
      </w:r>
      <w:r>
        <w:rPr>
          <w:w w:val="105"/>
          <w:sz w:val="21"/>
        </w:rPr>
        <w:t>there is low awareness in the community about existing rights and </w:t>
      </w:r>
      <w:r>
        <w:rPr>
          <w:spacing w:val="-3"/>
          <w:w w:val="105"/>
          <w:sz w:val="21"/>
        </w:rPr>
        <w:t>obligations </w:t>
      </w:r>
      <w:r>
        <w:rPr>
          <w:w w:val="105"/>
          <w:sz w:val="21"/>
        </w:rPr>
        <w:t>and </w:t>
      </w:r>
      <w:r>
        <w:rPr>
          <w:spacing w:val="-3"/>
          <w:w w:val="105"/>
          <w:sz w:val="21"/>
        </w:rPr>
        <w:t>that many </w:t>
      </w:r>
      <w:r>
        <w:rPr>
          <w:w w:val="105"/>
          <w:sz w:val="21"/>
        </w:rPr>
        <w:t>people contact DSCV </w:t>
      </w:r>
      <w:r>
        <w:rPr>
          <w:spacing w:val="-4"/>
          <w:w w:val="105"/>
          <w:sz w:val="21"/>
        </w:rPr>
        <w:t>‘purely </w:t>
      </w:r>
      <w:r>
        <w:rPr>
          <w:spacing w:val="-3"/>
          <w:w w:val="105"/>
          <w:sz w:val="21"/>
        </w:rPr>
        <w:t>to enquire </w:t>
      </w:r>
      <w:r>
        <w:rPr>
          <w:w w:val="105"/>
          <w:sz w:val="21"/>
        </w:rPr>
        <w:t>about their rights and </w:t>
      </w:r>
      <w:r>
        <w:rPr>
          <w:spacing w:val="-3"/>
          <w:w w:val="105"/>
          <w:sz w:val="21"/>
        </w:rPr>
        <w:t>obligations </w:t>
      </w:r>
      <w:r>
        <w:rPr>
          <w:w w:val="105"/>
          <w:sz w:val="21"/>
        </w:rPr>
        <w:t>with </w:t>
      </w:r>
      <w:r>
        <w:rPr>
          <w:spacing w:val="-3"/>
          <w:w w:val="105"/>
          <w:sz w:val="21"/>
        </w:rPr>
        <w:t>regards to </w:t>
      </w:r>
      <w:r>
        <w:rPr>
          <w:w w:val="105"/>
          <w:sz w:val="21"/>
        </w:rPr>
        <w:t>tree</w:t>
      </w:r>
      <w:r>
        <w:rPr>
          <w:spacing w:val="5"/>
          <w:w w:val="105"/>
          <w:sz w:val="21"/>
        </w:rPr>
        <w:t> </w:t>
      </w:r>
      <w:r>
        <w:rPr>
          <w:spacing w:val="-4"/>
          <w:w w:val="105"/>
          <w:sz w:val="21"/>
        </w:rPr>
        <w:t>issues’.</w:t>
      </w:r>
      <w:r>
        <w:rPr>
          <w:spacing w:val="-4"/>
          <w:w w:val="105"/>
          <w:position w:val="7"/>
          <w:sz w:val="12"/>
        </w:rPr>
        <w:t>65</w:t>
      </w:r>
    </w:p>
    <w:p>
      <w:pPr>
        <w:pStyle w:val="ListParagraph"/>
        <w:numPr>
          <w:ilvl w:val="1"/>
          <w:numId w:val="16"/>
        </w:numPr>
        <w:tabs>
          <w:tab w:pos="2380" w:val="left" w:leader="none"/>
          <w:tab w:pos="2381" w:val="left" w:leader="none"/>
        </w:tabs>
        <w:spacing w:line="240" w:lineRule="auto" w:before="125" w:after="0"/>
        <w:ind w:left="2381" w:right="0" w:hanging="794"/>
        <w:jc w:val="left"/>
        <w:rPr>
          <w:sz w:val="21"/>
        </w:rPr>
      </w:pPr>
      <w:r>
        <w:rPr>
          <w:w w:val="105"/>
          <w:sz w:val="21"/>
        </w:rPr>
        <w:t>Specific suggestions </w:t>
      </w:r>
      <w:r>
        <w:rPr>
          <w:spacing w:val="-3"/>
          <w:w w:val="105"/>
          <w:sz w:val="21"/>
        </w:rPr>
        <w:t>from </w:t>
      </w:r>
      <w:r>
        <w:rPr>
          <w:w w:val="105"/>
          <w:sz w:val="21"/>
        </w:rPr>
        <w:t>the community</w:t>
      </w:r>
      <w:r>
        <w:rPr>
          <w:spacing w:val="25"/>
          <w:w w:val="105"/>
          <w:sz w:val="21"/>
        </w:rPr>
        <w:t> </w:t>
      </w:r>
      <w:r>
        <w:rPr>
          <w:w w:val="105"/>
          <w:sz w:val="21"/>
        </w:rPr>
        <w:t>included:</w:t>
      </w:r>
    </w:p>
    <w:p>
      <w:pPr>
        <w:pStyle w:val="ListParagraph"/>
        <w:numPr>
          <w:ilvl w:val="2"/>
          <w:numId w:val="16"/>
        </w:numPr>
        <w:tabs>
          <w:tab w:pos="2721" w:val="left" w:leader="none"/>
          <w:tab w:pos="2722" w:val="left" w:leader="none"/>
        </w:tabs>
        <w:spacing w:line="242" w:lineRule="auto" w:before="124" w:after="0"/>
        <w:ind w:left="2721" w:right="2252" w:hanging="340"/>
        <w:jc w:val="left"/>
        <w:rPr>
          <w:sz w:val="21"/>
        </w:rPr>
      </w:pPr>
      <w:r>
        <w:rPr>
          <w:sz w:val="21"/>
        </w:rPr>
        <w:t>a dedicated </w:t>
      </w:r>
      <w:r>
        <w:rPr>
          <w:spacing w:val="-3"/>
          <w:sz w:val="21"/>
        </w:rPr>
        <w:t>website that promotes informal dispute </w:t>
      </w:r>
      <w:r>
        <w:rPr>
          <w:sz w:val="21"/>
        </w:rPr>
        <w:t>resolution as a first step </w:t>
      </w:r>
      <w:r>
        <w:rPr>
          <w:spacing w:val="-3"/>
          <w:sz w:val="21"/>
        </w:rPr>
        <w:t>to </w:t>
      </w:r>
      <w:r>
        <w:rPr>
          <w:sz w:val="21"/>
        </w:rPr>
        <w:t>resolving tree</w:t>
      </w:r>
      <w:r>
        <w:rPr>
          <w:spacing w:val="16"/>
          <w:sz w:val="21"/>
        </w:rPr>
        <w:t> </w:t>
      </w:r>
      <w:r>
        <w:rPr>
          <w:sz w:val="21"/>
        </w:rPr>
        <w:t>disputes</w:t>
      </w:r>
      <w:r>
        <w:rPr>
          <w:position w:val="7"/>
          <w:sz w:val="12"/>
        </w:rPr>
        <w:t>66</w:t>
      </w:r>
    </w:p>
    <w:p>
      <w:pPr>
        <w:pStyle w:val="BodyText"/>
        <w:rPr>
          <w:sz w:val="20"/>
        </w:rPr>
      </w:pPr>
    </w:p>
    <w:p>
      <w:pPr>
        <w:pStyle w:val="BodyText"/>
        <w:rPr>
          <w:sz w:val="10"/>
        </w:rPr>
      </w:pPr>
      <w:r>
        <w:rPr/>
        <w:pict>
          <v:line style="position:absolute;mso-position-horizontal-relative:page;mso-position-vertical-relative:paragraph;z-index:11600;mso-wrap-distance-left:0;mso-wrap-distance-right:0" from="79.370102pt,8.591413pt" to="515.905102pt,8.59141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05"/>
        <w:ind w:left="720" w:right="0" w:firstLine="0"/>
        <w:jc w:val="left"/>
        <w:rPr>
          <w:b/>
          <w:sz w:val="24"/>
        </w:rPr>
      </w:pPr>
      <w:r>
        <w:rPr>
          <w:b/>
          <w:color w:val="658464"/>
          <w:w w:val="110"/>
          <w:sz w:val="24"/>
        </w:rPr>
        <w:t>282</w:t>
      </w:r>
    </w:p>
    <w:p>
      <w:pPr>
        <w:pStyle w:val="ListParagraph"/>
        <w:numPr>
          <w:ilvl w:val="0"/>
          <w:numId w:val="200"/>
        </w:numPr>
        <w:tabs>
          <w:tab w:pos="1219" w:val="left" w:leader="none"/>
          <w:tab w:pos="1220" w:val="left" w:leader="none"/>
        </w:tabs>
        <w:spacing w:line="240" w:lineRule="auto" w:before="48" w:after="0"/>
        <w:ind w:left="1219" w:right="0" w:hanging="793"/>
        <w:jc w:val="left"/>
        <w:rPr>
          <w:sz w:val="13"/>
        </w:rPr>
      </w:pPr>
      <w:r>
        <w:rPr>
          <w:spacing w:val="-3"/>
          <w:w w:val="125"/>
          <w:sz w:val="13"/>
        </w:rPr>
        <w:br w:type="column"/>
      </w:r>
      <w:r>
        <w:rPr>
          <w:w w:val="105"/>
          <w:sz w:val="13"/>
        </w:rPr>
        <w:t>Consultation </w:t>
      </w:r>
      <w:r>
        <w:rPr>
          <w:spacing w:val="-3"/>
          <w:w w:val="105"/>
          <w:sz w:val="13"/>
        </w:rPr>
        <w:t>15 </w:t>
      </w:r>
      <w:r>
        <w:rPr>
          <w:w w:val="105"/>
          <w:sz w:val="13"/>
        </w:rPr>
        <w:t>(Queensland Civil and Administrative Tribunal).</w:t>
      </w:r>
    </w:p>
    <w:p>
      <w:pPr>
        <w:pStyle w:val="ListParagraph"/>
        <w:numPr>
          <w:ilvl w:val="0"/>
          <w:numId w:val="200"/>
        </w:numPr>
        <w:tabs>
          <w:tab w:pos="1219" w:val="left" w:leader="none"/>
          <w:tab w:pos="1220" w:val="left" w:leader="none"/>
        </w:tabs>
        <w:spacing w:line="240" w:lineRule="auto" w:before="1" w:after="0"/>
        <w:ind w:left="1219" w:right="1872" w:hanging="793"/>
        <w:jc w:val="left"/>
        <w:rPr>
          <w:sz w:val="13"/>
        </w:rPr>
      </w:pPr>
      <w:r>
        <w:rPr>
          <w:w w:val="105"/>
          <w:sz w:val="13"/>
        </w:rPr>
        <w:t>Queensland Government, </w:t>
      </w:r>
      <w:r>
        <w:rPr>
          <w:i/>
          <w:w w:val="105"/>
          <w:sz w:val="13"/>
        </w:rPr>
        <w:t>Ways to Approach Your Neighbour </w:t>
      </w:r>
      <w:r>
        <w:rPr>
          <w:w w:val="105"/>
          <w:sz w:val="13"/>
        </w:rPr>
        <w:t>(Web Page, 8 January 2019) </w:t>
      </w:r>
      <w:r>
        <w:rPr>
          <w:spacing w:val="2"/>
          <w:w w:val="105"/>
          <w:sz w:val="13"/>
        </w:rPr>
        <w:t>&lt;https://</w:t>
      </w:r>
      <w:hyperlink r:id="rId124">
        <w:r>
          <w:rPr>
            <w:spacing w:val="2"/>
            <w:w w:val="105"/>
            <w:sz w:val="13"/>
          </w:rPr>
          <w:t>www.qld.gov.au/law/housing-and-</w:t>
        </w:r>
      </w:hyperlink>
      <w:r>
        <w:rPr>
          <w:spacing w:val="2"/>
          <w:w w:val="105"/>
          <w:sz w:val="13"/>
        </w:rPr>
        <w:t> </w:t>
      </w:r>
      <w:r>
        <w:rPr>
          <w:w w:val="105"/>
          <w:sz w:val="13"/>
        </w:rPr>
        <w:t>neighbours/disputes-about-fences-trees-and-buildings&gt;.</w:t>
      </w:r>
    </w:p>
    <w:p>
      <w:pPr>
        <w:pStyle w:val="ListParagraph"/>
        <w:numPr>
          <w:ilvl w:val="0"/>
          <w:numId w:val="200"/>
        </w:numPr>
        <w:tabs>
          <w:tab w:pos="1219" w:val="left" w:leader="none"/>
          <w:tab w:pos="1220" w:val="left" w:leader="none"/>
        </w:tabs>
        <w:spacing w:line="240" w:lineRule="auto" w:before="3" w:after="0"/>
        <w:ind w:left="1219" w:right="1600" w:hanging="793"/>
        <w:jc w:val="left"/>
        <w:rPr>
          <w:sz w:val="13"/>
        </w:rPr>
      </w:pPr>
      <w:r>
        <w:rPr>
          <w:w w:val="105"/>
          <w:sz w:val="13"/>
        </w:rPr>
        <w:t>Queensland Government, </w:t>
      </w:r>
      <w:r>
        <w:rPr>
          <w:i/>
          <w:w w:val="105"/>
          <w:sz w:val="13"/>
        </w:rPr>
        <w:t>How to Resolve Neighbourhood Disputes </w:t>
      </w:r>
      <w:r>
        <w:rPr>
          <w:w w:val="105"/>
          <w:sz w:val="13"/>
        </w:rPr>
        <w:t>(Web Page, 2 September 2015) </w:t>
      </w:r>
      <w:r>
        <w:rPr>
          <w:spacing w:val="2"/>
          <w:w w:val="105"/>
          <w:sz w:val="13"/>
        </w:rPr>
        <w:t>&lt;https://</w:t>
      </w:r>
      <w:hyperlink r:id="rId340">
        <w:r>
          <w:rPr>
            <w:spacing w:val="2"/>
            <w:w w:val="105"/>
            <w:sz w:val="13"/>
          </w:rPr>
          <w:t>www.qld.gov.au/law/housing-</w:t>
        </w:r>
      </w:hyperlink>
      <w:r>
        <w:rPr>
          <w:spacing w:val="2"/>
          <w:w w:val="105"/>
          <w:sz w:val="13"/>
        </w:rPr>
        <w:t> </w:t>
      </w:r>
      <w:r>
        <w:rPr>
          <w:w w:val="105"/>
          <w:sz w:val="13"/>
        </w:rPr>
        <w:t>and-neighbours/resolve-disputes&gt;. This website was discussed as the key online tool for community members to use to resolve issues about trees: 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 2015)</w:t>
      </w:r>
      <w:r>
        <w:rPr>
          <w:spacing w:val="9"/>
          <w:w w:val="105"/>
          <w:sz w:val="13"/>
        </w:rPr>
        <w:t> </w:t>
      </w:r>
      <w:r>
        <w:rPr>
          <w:w w:val="105"/>
          <w:sz w:val="13"/>
        </w:rPr>
        <w:t>192.</w:t>
      </w:r>
    </w:p>
    <w:p>
      <w:pPr>
        <w:pStyle w:val="ListParagraph"/>
        <w:numPr>
          <w:ilvl w:val="0"/>
          <w:numId w:val="200"/>
        </w:numPr>
        <w:tabs>
          <w:tab w:pos="1219" w:val="left" w:leader="none"/>
          <w:tab w:pos="1220" w:val="left" w:leader="none"/>
        </w:tabs>
        <w:spacing w:line="240" w:lineRule="auto" w:before="5" w:after="0"/>
        <w:ind w:left="1219" w:right="0" w:hanging="793"/>
        <w:jc w:val="left"/>
        <w:rPr>
          <w:sz w:val="13"/>
        </w:rPr>
      </w:pPr>
      <w:r>
        <w:rPr>
          <w:sz w:val="13"/>
        </w:rPr>
        <w:t>Ibid.</w:t>
      </w:r>
    </w:p>
    <w:p>
      <w:pPr>
        <w:pStyle w:val="ListParagraph"/>
        <w:numPr>
          <w:ilvl w:val="0"/>
          <w:numId w:val="200"/>
        </w:numPr>
        <w:tabs>
          <w:tab w:pos="1219" w:val="left" w:leader="none"/>
          <w:tab w:pos="1220" w:val="left" w:leader="none"/>
        </w:tabs>
        <w:spacing w:line="240" w:lineRule="auto" w:before="2" w:after="0"/>
        <w:ind w:left="1219" w:right="1872" w:hanging="793"/>
        <w:jc w:val="left"/>
        <w:rPr>
          <w:sz w:val="13"/>
        </w:rPr>
      </w:pPr>
      <w:r>
        <w:rPr>
          <w:w w:val="105"/>
          <w:sz w:val="13"/>
        </w:rPr>
        <w:t>Queensland Government, </w:t>
      </w:r>
      <w:r>
        <w:rPr>
          <w:i/>
          <w:w w:val="105"/>
          <w:sz w:val="13"/>
        </w:rPr>
        <w:t>Ways to Approach Your Neighbour </w:t>
      </w:r>
      <w:r>
        <w:rPr>
          <w:w w:val="105"/>
          <w:sz w:val="13"/>
        </w:rPr>
        <w:t>(Web Page, 8 January 2019) </w:t>
      </w:r>
      <w:r>
        <w:rPr>
          <w:spacing w:val="2"/>
          <w:w w:val="105"/>
          <w:sz w:val="13"/>
        </w:rPr>
        <w:t>&lt;https://</w:t>
      </w:r>
      <w:hyperlink r:id="rId124">
        <w:r>
          <w:rPr>
            <w:spacing w:val="2"/>
            <w:w w:val="105"/>
            <w:sz w:val="13"/>
          </w:rPr>
          <w:t>www.qld.gov.au/law/housing-and-</w:t>
        </w:r>
      </w:hyperlink>
      <w:r>
        <w:rPr>
          <w:spacing w:val="2"/>
          <w:w w:val="105"/>
          <w:sz w:val="13"/>
        </w:rPr>
        <w:t> </w:t>
      </w:r>
      <w:r>
        <w:rPr>
          <w:w w:val="105"/>
          <w:sz w:val="13"/>
        </w:rPr>
        <w:t>neighbours/disputes-about-fences-trees-and-buildings&gt;.</w:t>
      </w:r>
    </w:p>
    <w:p>
      <w:pPr>
        <w:pStyle w:val="ListParagraph"/>
        <w:numPr>
          <w:ilvl w:val="0"/>
          <w:numId w:val="200"/>
        </w:numPr>
        <w:tabs>
          <w:tab w:pos="1219" w:val="left" w:leader="none"/>
          <w:tab w:pos="1220" w:val="left" w:leader="none"/>
        </w:tabs>
        <w:spacing w:line="240" w:lineRule="auto" w:before="2" w:after="0"/>
        <w:ind w:left="1219" w:right="1723" w:hanging="793"/>
        <w:jc w:val="left"/>
        <w:rPr>
          <w:sz w:val="13"/>
        </w:rPr>
      </w:pPr>
      <w:r>
        <w:rPr>
          <w:w w:val="105"/>
          <w:sz w:val="13"/>
        </w:rPr>
        <w:t>Resource Management and Planning Appeal Tribunal, </w:t>
      </w:r>
      <w:r>
        <w:rPr>
          <w:i/>
          <w:w w:val="105"/>
          <w:sz w:val="13"/>
        </w:rPr>
        <w:t>Practice Directions </w:t>
      </w:r>
      <w:r>
        <w:rPr>
          <w:w w:val="105"/>
          <w:sz w:val="13"/>
        </w:rPr>
        <w:t>(Web Page, 8 November 2018) </w:t>
      </w:r>
      <w:r>
        <w:rPr>
          <w:spacing w:val="2"/>
          <w:w w:val="105"/>
          <w:sz w:val="13"/>
        </w:rPr>
        <w:t>&lt;https://</w:t>
      </w:r>
      <w:hyperlink r:id="rId187">
        <w:r>
          <w:rPr>
            <w:spacing w:val="2"/>
            <w:w w:val="105"/>
            <w:sz w:val="13"/>
          </w:rPr>
          <w:t>www.rmpat.tas.gov.au/</w:t>
        </w:r>
      </w:hyperlink>
      <w:r>
        <w:rPr>
          <w:spacing w:val="2"/>
          <w:w w:val="105"/>
          <w:sz w:val="13"/>
        </w:rPr>
        <w:t> </w:t>
      </w:r>
      <w:r>
        <w:rPr>
          <w:w w:val="105"/>
          <w:sz w:val="13"/>
        </w:rPr>
        <w:t>practice_directions&gt;.</w:t>
      </w:r>
    </w:p>
    <w:p>
      <w:pPr>
        <w:pStyle w:val="ListParagraph"/>
        <w:numPr>
          <w:ilvl w:val="0"/>
          <w:numId w:val="200"/>
        </w:numPr>
        <w:tabs>
          <w:tab w:pos="1219" w:val="left" w:leader="none"/>
          <w:tab w:pos="1220" w:val="left" w:leader="none"/>
        </w:tabs>
        <w:spacing w:line="240" w:lineRule="auto" w:before="3" w:after="0"/>
        <w:ind w:left="1219" w:right="1848" w:hanging="793"/>
        <w:jc w:val="left"/>
        <w:rPr>
          <w:sz w:val="13"/>
        </w:rPr>
      </w:pPr>
      <w:r>
        <w:rPr>
          <w:w w:val="105"/>
          <w:sz w:val="13"/>
        </w:rPr>
        <w:t>Resource Management and Planning Appeal Tribunal, </w:t>
      </w:r>
      <w:r>
        <w:rPr>
          <w:i/>
          <w:w w:val="105"/>
          <w:sz w:val="13"/>
        </w:rPr>
        <w:t>Practice Direction No 18: Applications Under the Neighbourhood Disputes About </w:t>
      </w:r>
      <w:r>
        <w:rPr>
          <w:i/>
          <w:w w:val="105"/>
          <w:sz w:val="13"/>
        </w:rPr>
        <w:t>Plants Act </w:t>
      </w:r>
      <w:r>
        <w:rPr>
          <w:i/>
          <w:spacing w:val="-4"/>
          <w:w w:val="105"/>
          <w:sz w:val="13"/>
        </w:rPr>
        <w:t>2017 </w:t>
      </w:r>
      <w:r>
        <w:rPr>
          <w:w w:val="105"/>
          <w:sz w:val="13"/>
        </w:rPr>
        <w:t>(Practice Document, </w:t>
      </w:r>
      <w:r>
        <w:rPr>
          <w:spacing w:val="-3"/>
          <w:w w:val="105"/>
          <w:sz w:val="13"/>
        </w:rPr>
        <w:t>19 </w:t>
      </w:r>
      <w:r>
        <w:rPr>
          <w:w w:val="105"/>
          <w:sz w:val="13"/>
        </w:rPr>
        <w:t>November 2018</w:t>
      </w:r>
      <w:r>
        <w:rPr>
          <w:spacing w:val="16"/>
          <w:w w:val="105"/>
          <w:sz w:val="13"/>
        </w:rPr>
        <w:t> </w:t>
      </w:r>
      <w:r>
        <w:rPr>
          <w:spacing w:val="2"/>
          <w:w w:val="105"/>
          <w:sz w:val="13"/>
        </w:rPr>
        <w:t>&lt;https://</w:t>
      </w:r>
      <w:hyperlink r:id="rId187">
        <w:r>
          <w:rPr>
            <w:spacing w:val="2"/>
            <w:w w:val="105"/>
            <w:sz w:val="13"/>
          </w:rPr>
          <w:t>www.rmpat.tas.gov.au/</w:t>
        </w:r>
      </w:hyperlink>
      <w:r>
        <w:rPr>
          <w:spacing w:val="2"/>
          <w:w w:val="105"/>
          <w:sz w:val="13"/>
        </w:rPr>
        <w:t>&gt;.</w:t>
      </w:r>
    </w:p>
    <w:p>
      <w:pPr>
        <w:pStyle w:val="ListParagraph"/>
        <w:numPr>
          <w:ilvl w:val="0"/>
          <w:numId w:val="200"/>
        </w:numPr>
        <w:tabs>
          <w:tab w:pos="1219" w:val="left" w:leader="none"/>
          <w:tab w:pos="1220" w:val="left" w:leader="none"/>
        </w:tabs>
        <w:spacing w:line="240" w:lineRule="auto" w:before="3" w:after="0"/>
        <w:ind w:left="1219" w:right="1697" w:hanging="793"/>
        <w:jc w:val="left"/>
        <w:rPr>
          <w:sz w:val="13"/>
        </w:rPr>
      </w:pPr>
      <w:r>
        <w:rPr>
          <w:w w:val="105"/>
          <w:sz w:val="13"/>
        </w:rPr>
        <w:t>Department of Justice (Tas), </w:t>
      </w:r>
      <w:r>
        <w:rPr>
          <w:i/>
          <w:w w:val="105"/>
          <w:sz w:val="13"/>
        </w:rPr>
        <w:t>Neighbourhood Disputes About Plants </w:t>
      </w:r>
      <w:r>
        <w:rPr>
          <w:w w:val="105"/>
          <w:sz w:val="13"/>
        </w:rPr>
        <w:t>(Web Page) </w:t>
      </w:r>
      <w:r>
        <w:rPr>
          <w:spacing w:val="2"/>
          <w:w w:val="105"/>
          <w:sz w:val="13"/>
        </w:rPr>
        <w:t>&lt;https://</w:t>
      </w:r>
      <w:hyperlink r:id="rId132">
        <w:r>
          <w:rPr>
            <w:spacing w:val="2"/>
            <w:w w:val="105"/>
            <w:sz w:val="13"/>
          </w:rPr>
          <w:t>www.justice.tas.gov.au/mediation_and_dispute_</w:t>
        </w:r>
      </w:hyperlink>
      <w:r>
        <w:rPr>
          <w:spacing w:val="2"/>
          <w:w w:val="105"/>
          <w:sz w:val="13"/>
        </w:rPr>
        <w:t> </w:t>
      </w:r>
      <w:r>
        <w:rPr>
          <w:w w:val="105"/>
          <w:sz w:val="13"/>
        </w:rPr>
        <w:t>resolution/neighbourhood-disputes-about-plants&gt;.</w:t>
      </w:r>
    </w:p>
    <w:p>
      <w:pPr>
        <w:pStyle w:val="ListParagraph"/>
        <w:numPr>
          <w:ilvl w:val="0"/>
          <w:numId w:val="200"/>
        </w:numPr>
        <w:tabs>
          <w:tab w:pos="1219" w:val="left" w:leader="none"/>
          <w:tab w:pos="1220" w:val="left" w:leader="none"/>
        </w:tabs>
        <w:spacing w:line="240" w:lineRule="auto" w:before="2" w:after="0"/>
        <w:ind w:left="1219" w:right="0" w:hanging="793"/>
        <w:jc w:val="left"/>
        <w:rPr>
          <w:sz w:val="13"/>
        </w:rPr>
      </w:pPr>
      <w:r>
        <w:rPr>
          <w:w w:val="105"/>
          <w:sz w:val="13"/>
        </w:rPr>
        <w:t>Resource</w:t>
      </w:r>
      <w:r>
        <w:rPr>
          <w:spacing w:val="5"/>
          <w:w w:val="105"/>
          <w:sz w:val="13"/>
        </w:rPr>
        <w:t> </w:t>
      </w:r>
      <w:r>
        <w:rPr>
          <w:w w:val="105"/>
          <w:sz w:val="13"/>
        </w:rPr>
        <w:t>Management</w:t>
      </w:r>
      <w:r>
        <w:rPr>
          <w:spacing w:val="5"/>
          <w:w w:val="105"/>
          <w:sz w:val="13"/>
        </w:rPr>
        <w:t> </w:t>
      </w:r>
      <w:r>
        <w:rPr>
          <w:w w:val="105"/>
          <w:sz w:val="13"/>
        </w:rPr>
        <w:t>and</w:t>
      </w:r>
      <w:r>
        <w:rPr>
          <w:spacing w:val="6"/>
          <w:w w:val="105"/>
          <w:sz w:val="13"/>
        </w:rPr>
        <w:t> </w:t>
      </w:r>
      <w:r>
        <w:rPr>
          <w:w w:val="105"/>
          <w:sz w:val="13"/>
        </w:rPr>
        <w:t>Planning</w:t>
      </w:r>
      <w:r>
        <w:rPr>
          <w:spacing w:val="5"/>
          <w:w w:val="105"/>
          <w:sz w:val="13"/>
        </w:rPr>
        <w:t> </w:t>
      </w:r>
      <w:r>
        <w:rPr>
          <w:w w:val="105"/>
          <w:sz w:val="13"/>
        </w:rPr>
        <w:t>Appeal</w:t>
      </w:r>
      <w:r>
        <w:rPr>
          <w:spacing w:val="6"/>
          <w:w w:val="105"/>
          <w:sz w:val="13"/>
        </w:rPr>
        <w:t> </w:t>
      </w:r>
      <w:r>
        <w:rPr>
          <w:w w:val="105"/>
          <w:sz w:val="13"/>
        </w:rPr>
        <w:t>Tribunal,</w:t>
      </w:r>
      <w:r>
        <w:rPr>
          <w:spacing w:val="5"/>
          <w:w w:val="105"/>
          <w:sz w:val="13"/>
        </w:rPr>
        <w:t> </w:t>
      </w:r>
      <w:r>
        <w:rPr>
          <w:i/>
          <w:w w:val="105"/>
          <w:sz w:val="13"/>
        </w:rPr>
        <w:t>Neighbourhood</w:t>
      </w:r>
      <w:r>
        <w:rPr>
          <w:i/>
          <w:spacing w:val="6"/>
          <w:w w:val="105"/>
          <w:sz w:val="13"/>
        </w:rPr>
        <w:t> </w:t>
      </w:r>
      <w:r>
        <w:rPr>
          <w:i/>
          <w:w w:val="105"/>
          <w:sz w:val="13"/>
        </w:rPr>
        <w:t>Disputes</w:t>
      </w:r>
      <w:r>
        <w:rPr>
          <w:i/>
          <w:spacing w:val="5"/>
          <w:w w:val="105"/>
          <w:sz w:val="13"/>
        </w:rPr>
        <w:t> </w:t>
      </w:r>
      <w:r>
        <w:rPr>
          <w:i/>
          <w:w w:val="105"/>
          <w:sz w:val="13"/>
        </w:rPr>
        <w:t>About</w:t>
      </w:r>
      <w:r>
        <w:rPr>
          <w:i/>
          <w:spacing w:val="6"/>
          <w:w w:val="105"/>
          <w:sz w:val="13"/>
        </w:rPr>
        <w:t> </w:t>
      </w:r>
      <w:r>
        <w:rPr>
          <w:i/>
          <w:w w:val="105"/>
          <w:sz w:val="13"/>
        </w:rPr>
        <w:t>Plants</w:t>
      </w:r>
      <w:r>
        <w:rPr>
          <w:i/>
          <w:spacing w:val="5"/>
          <w:w w:val="105"/>
          <w:sz w:val="13"/>
        </w:rPr>
        <w:t> </w:t>
      </w:r>
      <w:r>
        <w:rPr>
          <w:i/>
          <w:w w:val="105"/>
          <w:sz w:val="13"/>
        </w:rPr>
        <w:t>Act</w:t>
      </w:r>
      <w:r>
        <w:rPr>
          <w:i/>
          <w:spacing w:val="6"/>
          <w:w w:val="105"/>
          <w:sz w:val="13"/>
        </w:rPr>
        <w:t> </w:t>
      </w:r>
      <w:r>
        <w:rPr>
          <w:i/>
          <w:spacing w:val="-4"/>
          <w:w w:val="105"/>
          <w:sz w:val="13"/>
        </w:rPr>
        <w:t>2017</w:t>
      </w:r>
      <w:r>
        <w:rPr>
          <w:i/>
          <w:spacing w:val="5"/>
          <w:w w:val="105"/>
          <w:sz w:val="13"/>
        </w:rPr>
        <w:t> </w:t>
      </w:r>
      <w:r>
        <w:rPr>
          <w:w w:val="105"/>
          <w:sz w:val="13"/>
        </w:rPr>
        <w:t>(Web</w:t>
      </w:r>
      <w:r>
        <w:rPr>
          <w:spacing w:val="6"/>
          <w:w w:val="105"/>
          <w:sz w:val="13"/>
        </w:rPr>
        <w:t> </w:t>
      </w:r>
      <w:r>
        <w:rPr>
          <w:w w:val="105"/>
          <w:sz w:val="13"/>
        </w:rPr>
        <w:t>Page)</w:t>
      </w:r>
    </w:p>
    <w:p>
      <w:pPr>
        <w:spacing w:before="2"/>
        <w:ind w:left="1219" w:right="2087" w:firstLine="0"/>
        <w:jc w:val="left"/>
        <w:rPr>
          <w:sz w:val="13"/>
        </w:rPr>
      </w:pPr>
      <w:r>
        <w:rPr>
          <w:w w:val="105"/>
          <w:sz w:val="13"/>
        </w:rPr>
        <w:t>&lt;https://</w:t>
      </w:r>
      <w:hyperlink r:id="rId341">
        <w:r>
          <w:rPr>
            <w:w w:val="105"/>
            <w:sz w:val="13"/>
          </w:rPr>
          <w:t>www.rmpat.tas.gov.au/neighbourhood-disputes-about-plants</w:t>
        </w:r>
      </w:hyperlink>
      <w:r>
        <w:rPr>
          <w:w w:val="105"/>
          <w:sz w:val="13"/>
        </w:rPr>
        <w:t>&gt;. It costs individuals $23.70 to search the database pursuant   to section 37(4) of the </w:t>
      </w:r>
      <w:r>
        <w:rPr>
          <w:i/>
          <w:w w:val="105"/>
          <w:sz w:val="13"/>
        </w:rPr>
        <w:t>Neighbourhood Disputes About Plants Act </w:t>
      </w:r>
      <w:r>
        <w:rPr>
          <w:i/>
          <w:spacing w:val="-4"/>
          <w:w w:val="105"/>
          <w:sz w:val="13"/>
        </w:rPr>
        <w:t>2017 </w:t>
      </w:r>
      <w:r>
        <w:rPr>
          <w:w w:val="105"/>
          <w:sz w:val="13"/>
        </w:rPr>
        <w:t>(Tas): Resource Management and Planning Appeal Tribunal, </w:t>
      </w:r>
      <w:r>
        <w:rPr>
          <w:i/>
          <w:w w:val="105"/>
          <w:sz w:val="13"/>
        </w:rPr>
        <w:t>Table of Fees </w:t>
      </w:r>
      <w:r>
        <w:rPr>
          <w:w w:val="105"/>
          <w:sz w:val="13"/>
        </w:rPr>
        <w:t>(effective from 1 July 2018)</w:t>
      </w:r>
      <w:r>
        <w:rPr>
          <w:spacing w:val="2"/>
          <w:w w:val="105"/>
          <w:sz w:val="13"/>
        </w:rPr>
        <w:t> &lt;https://</w:t>
      </w:r>
      <w:hyperlink r:id="rId310">
        <w:r>
          <w:rPr>
            <w:spacing w:val="2"/>
            <w:w w:val="105"/>
            <w:sz w:val="13"/>
          </w:rPr>
          <w:t>www.rmpat.tas.gov.au/fees</w:t>
        </w:r>
      </w:hyperlink>
      <w:r>
        <w:rPr>
          <w:spacing w:val="2"/>
          <w:w w:val="105"/>
          <w:sz w:val="13"/>
        </w:rPr>
        <w:t>&gt;.</w:t>
      </w:r>
    </w:p>
    <w:p>
      <w:pPr>
        <w:pStyle w:val="ListParagraph"/>
        <w:numPr>
          <w:ilvl w:val="0"/>
          <w:numId w:val="200"/>
        </w:numPr>
        <w:tabs>
          <w:tab w:pos="1219" w:val="left" w:leader="none"/>
          <w:tab w:pos="1221" w:val="left" w:leader="none"/>
        </w:tabs>
        <w:spacing w:line="240" w:lineRule="auto" w:before="4" w:after="0"/>
        <w:ind w:left="1220" w:right="0" w:hanging="794"/>
        <w:jc w:val="left"/>
        <w:rPr>
          <w:sz w:val="13"/>
        </w:rPr>
      </w:pPr>
      <w:r>
        <w:rPr>
          <w:sz w:val="13"/>
        </w:rPr>
        <w:t>Tasmania, </w:t>
      </w:r>
      <w:r>
        <w:rPr>
          <w:i/>
          <w:sz w:val="13"/>
        </w:rPr>
        <w:t>Parliamentary Debates, Legislative Council, </w:t>
      </w:r>
      <w:r>
        <w:rPr>
          <w:sz w:val="13"/>
        </w:rPr>
        <w:t>22 June </w:t>
      </w:r>
      <w:r>
        <w:rPr>
          <w:spacing w:val="-3"/>
          <w:sz w:val="13"/>
        </w:rPr>
        <w:t>2017 </w:t>
      </w:r>
      <w:r>
        <w:rPr>
          <w:spacing w:val="2"/>
          <w:sz w:val="13"/>
        </w:rPr>
        <w:t>(Leonie</w:t>
      </w:r>
      <w:r>
        <w:rPr>
          <w:spacing w:val="12"/>
          <w:sz w:val="13"/>
        </w:rPr>
        <w:t> </w:t>
      </w:r>
      <w:r>
        <w:rPr>
          <w:sz w:val="13"/>
        </w:rPr>
        <w:t>Hiscutt).</w:t>
      </w:r>
    </w:p>
    <w:p>
      <w:pPr>
        <w:pStyle w:val="ListParagraph"/>
        <w:numPr>
          <w:ilvl w:val="0"/>
          <w:numId w:val="200"/>
        </w:numPr>
        <w:tabs>
          <w:tab w:pos="1219" w:val="left" w:leader="none"/>
          <w:tab w:pos="1221" w:val="left" w:leader="none"/>
        </w:tabs>
        <w:spacing w:line="240" w:lineRule="auto" w:before="1" w:after="0"/>
        <w:ind w:left="1220" w:right="2044" w:hanging="794"/>
        <w:jc w:val="left"/>
        <w:rPr>
          <w:sz w:val="13"/>
        </w:rPr>
      </w:pPr>
      <w:r>
        <w:rPr>
          <w:w w:val="105"/>
          <w:sz w:val="13"/>
        </w:rPr>
        <w:t>Information provided by the Dispute Settlement Centre of Victoria as part of a data request from the Commission, August </w:t>
      </w:r>
      <w:r>
        <w:rPr>
          <w:spacing w:val="-3"/>
          <w:w w:val="105"/>
          <w:sz w:val="13"/>
        </w:rPr>
        <w:t>2017 </w:t>
      </w:r>
      <w:r>
        <w:rPr>
          <w:w w:val="105"/>
          <w:sz w:val="13"/>
        </w:rPr>
        <w:t>and clarification of data provided in May</w:t>
      </w:r>
      <w:r>
        <w:rPr>
          <w:spacing w:val="27"/>
          <w:w w:val="105"/>
          <w:sz w:val="13"/>
        </w:rPr>
        <w:t> </w:t>
      </w:r>
      <w:r>
        <w:rPr>
          <w:w w:val="105"/>
          <w:sz w:val="13"/>
        </w:rPr>
        <w:t>2019.</w:t>
      </w:r>
    </w:p>
    <w:p>
      <w:pPr>
        <w:pStyle w:val="ListParagraph"/>
        <w:numPr>
          <w:ilvl w:val="0"/>
          <w:numId w:val="200"/>
        </w:numPr>
        <w:tabs>
          <w:tab w:pos="1219" w:val="left" w:leader="none"/>
          <w:tab w:pos="1221" w:val="left" w:leader="none"/>
        </w:tabs>
        <w:spacing w:line="240" w:lineRule="auto" w:before="3" w:after="0"/>
        <w:ind w:left="1220" w:right="0" w:hanging="794"/>
        <w:jc w:val="left"/>
        <w:rPr>
          <w:sz w:val="13"/>
        </w:rPr>
      </w:pPr>
      <w:r>
        <w:rPr>
          <w:w w:val="105"/>
          <w:sz w:val="13"/>
        </w:rPr>
        <w:t>Submission</w:t>
      </w:r>
      <w:r>
        <w:rPr>
          <w:spacing w:val="4"/>
          <w:w w:val="105"/>
          <w:sz w:val="13"/>
        </w:rPr>
        <w:t> </w:t>
      </w:r>
      <w:r>
        <w:rPr>
          <w:w w:val="105"/>
          <w:sz w:val="13"/>
        </w:rPr>
        <w:t>4</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Consultation</w:t>
      </w:r>
      <w:r>
        <w:rPr>
          <w:spacing w:val="5"/>
          <w:w w:val="105"/>
          <w:sz w:val="13"/>
        </w:rPr>
        <w:t> </w:t>
      </w:r>
      <w:r>
        <w:rPr>
          <w:w w:val="105"/>
          <w:sz w:val="13"/>
        </w:rPr>
        <w:t>8</w:t>
      </w:r>
      <w:r>
        <w:rPr>
          <w:spacing w:val="5"/>
          <w:w w:val="105"/>
          <w:sz w:val="13"/>
        </w:rPr>
        <w:t> </w:t>
      </w:r>
      <w:r>
        <w:rPr>
          <w:w w:val="105"/>
          <w:sz w:val="13"/>
        </w:rPr>
        <w:t>(City</w:t>
      </w:r>
      <w:r>
        <w:rPr>
          <w:spacing w:val="5"/>
          <w:w w:val="105"/>
          <w:sz w:val="13"/>
        </w:rPr>
        <w:t> </w:t>
      </w:r>
      <w:r>
        <w:rPr>
          <w:w w:val="105"/>
          <w:sz w:val="13"/>
        </w:rPr>
        <w:t>of</w:t>
      </w:r>
      <w:r>
        <w:rPr>
          <w:spacing w:val="4"/>
          <w:w w:val="105"/>
          <w:sz w:val="13"/>
        </w:rPr>
        <w:t> </w:t>
      </w:r>
      <w:r>
        <w:rPr>
          <w:w w:val="105"/>
          <w:sz w:val="13"/>
        </w:rPr>
        <w:t>Boroondara);</w:t>
      </w:r>
      <w:r>
        <w:rPr>
          <w:spacing w:val="5"/>
          <w:w w:val="105"/>
          <w:sz w:val="13"/>
        </w:rPr>
        <w:t> </w:t>
      </w:r>
      <w:r>
        <w:rPr>
          <w:w w:val="105"/>
          <w:sz w:val="13"/>
        </w:rPr>
        <w:t>Survey</w:t>
      </w:r>
      <w:r>
        <w:rPr>
          <w:spacing w:val="5"/>
          <w:w w:val="105"/>
          <w:sz w:val="13"/>
        </w:rPr>
        <w:t> </w:t>
      </w:r>
      <w:r>
        <w:rPr>
          <w:w w:val="105"/>
          <w:sz w:val="13"/>
        </w:rPr>
        <w:t>Respondent</w:t>
      </w:r>
      <w:r>
        <w:rPr>
          <w:spacing w:val="5"/>
          <w:w w:val="105"/>
          <w:sz w:val="13"/>
        </w:rPr>
        <w:t> </w:t>
      </w:r>
      <w:r>
        <w:rPr>
          <w:w w:val="105"/>
          <w:sz w:val="13"/>
        </w:rPr>
        <w:t>19.</w:t>
      </w:r>
    </w:p>
    <w:p>
      <w:pPr>
        <w:spacing w:after="0" w:line="240" w:lineRule="auto"/>
        <w:jc w:val="left"/>
        <w:rPr>
          <w:sz w:val="13"/>
        </w:rPr>
        <w:sectPr>
          <w:type w:val="continuous"/>
          <w:pgSz w:w="11910" w:h="16840"/>
          <w:pgMar w:top="300" w:bottom="280" w:left="0" w:right="0"/>
          <w:cols w:num="2" w:equalWidth="0">
            <w:col w:w="1122" w:space="40"/>
            <w:col w:w="10748"/>
          </w:cols>
        </w:sectPr>
      </w:pPr>
    </w:p>
    <w:p>
      <w:pPr>
        <w:pStyle w:val="BodyText"/>
        <w:rPr>
          <w:sz w:val="20"/>
        </w:rPr>
      </w:pPr>
    </w:p>
    <w:p>
      <w:pPr>
        <w:pStyle w:val="BodyText"/>
        <w:spacing w:before="9"/>
        <w:rPr>
          <w:sz w:val="18"/>
        </w:rPr>
      </w:pPr>
    </w:p>
    <w:p>
      <w:pPr>
        <w:pStyle w:val="ListParagraph"/>
        <w:numPr>
          <w:ilvl w:val="1"/>
          <w:numId w:val="200"/>
        </w:numPr>
        <w:tabs>
          <w:tab w:pos="2721" w:val="left" w:leader="none"/>
          <w:tab w:pos="2722" w:val="left" w:leader="none"/>
        </w:tabs>
        <w:spacing w:line="242" w:lineRule="auto" w:before="91" w:after="0"/>
        <w:ind w:left="2721" w:right="1887" w:hanging="340"/>
        <w:jc w:val="left"/>
        <w:rPr>
          <w:sz w:val="12"/>
        </w:rPr>
      </w:pPr>
      <w:bookmarkStart w:name="The Commission’s conclusions—community r" w:id="337"/>
      <w:bookmarkEnd w:id="337"/>
      <w:r>
        <w:rPr/>
      </w:r>
      <w:bookmarkStart w:name="_bookmark156" w:id="338"/>
      <w:bookmarkEnd w:id="338"/>
      <w:r>
        <w:rPr/>
      </w:r>
      <w:bookmarkStart w:name="_bookmark156" w:id="339"/>
      <w:bookmarkEnd w:id="339"/>
      <w:r>
        <w:rPr>
          <w:spacing w:val="-3"/>
          <w:w w:val="105"/>
          <w:sz w:val="21"/>
        </w:rPr>
        <w:t>i</w:t>
      </w:r>
      <w:r>
        <w:rPr>
          <w:spacing w:val="-3"/>
          <w:w w:val="105"/>
          <w:sz w:val="21"/>
        </w:rPr>
        <w:t>nformation</w:t>
      </w:r>
      <w:r>
        <w:rPr>
          <w:spacing w:val="-6"/>
          <w:w w:val="105"/>
          <w:sz w:val="21"/>
        </w:rPr>
        <w:t> </w:t>
      </w:r>
      <w:r>
        <w:rPr>
          <w:w w:val="105"/>
          <w:sz w:val="21"/>
        </w:rPr>
        <w:t>about</w:t>
      </w:r>
      <w:r>
        <w:rPr>
          <w:spacing w:val="-5"/>
          <w:w w:val="105"/>
          <w:sz w:val="21"/>
        </w:rPr>
        <w:t> </w:t>
      </w:r>
      <w:r>
        <w:rPr>
          <w:spacing w:val="-3"/>
          <w:w w:val="105"/>
          <w:sz w:val="21"/>
        </w:rPr>
        <w:t>responsible</w:t>
      </w:r>
      <w:r>
        <w:rPr>
          <w:spacing w:val="-5"/>
          <w:w w:val="105"/>
          <w:sz w:val="21"/>
        </w:rPr>
        <w:t> </w:t>
      </w:r>
      <w:r>
        <w:rPr>
          <w:w w:val="105"/>
          <w:sz w:val="21"/>
        </w:rPr>
        <w:t>tree</w:t>
      </w:r>
      <w:r>
        <w:rPr>
          <w:spacing w:val="-5"/>
          <w:w w:val="105"/>
          <w:sz w:val="21"/>
        </w:rPr>
        <w:t> </w:t>
      </w:r>
      <w:r>
        <w:rPr>
          <w:spacing w:val="-3"/>
          <w:w w:val="105"/>
          <w:sz w:val="21"/>
        </w:rPr>
        <w:t>planting,</w:t>
      </w:r>
      <w:r>
        <w:rPr>
          <w:spacing w:val="-6"/>
          <w:w w:val="105"/>
          <w:sz w:val="21"/>
        </w:rPr>
        <w:t> </w:t>
      </w:r>
      <w:r>
        <w:rPr>
          <w:spacing w:val="-3"/>
          <w:w w:val="105"/>
          <w:sz w:val="21"/>
        </w:rPr>
        <w:t>including</w:t>
      </w:r>
      <w:r>
        <w:rPr>
          <w:spacing w:val="-5"/>
          <w:w w:val="105"/>
          <w:sz w:val="21"/>
        </w:rPr>
        <w:t> </w:t>
      </w:r>
      <w:r>
        <w:rPr>
          <w:w w:val="105"/>
          <w:sz w:val="21"/>
        </w:rPr>
        <w:t>types</w:t>
      </w:r>
      <w:r>
        <w:rPr>
          <w:spacing w:val="-5"/>
          <w:w w:val="105"/>
          <w:sz w:val="21"/>
        </w:rPr>
        <w:t> </w:t>
      </w:r>
      <w:r>
        <w:rPr>
          <w:w w:val="105"/>
          <w:sz w:val="21"/>
        </w:rPr>
        <w:t>of</w:t>
      </w:r>
      <w:r>
        <w:rPr>
          <w:spacing w:val="-5"/>
          <w:w w:val="105"/>
          <w:sz w:val="21"/>
        </w:rPr>
        <w:t> </w:t>
      </w:r>
      <w:r>
        <w:rPr>
          <w:w w:val="105"/>
          <w:sz w:val="21"/>
        </w:rPr>
        <w:t>species</w:t>
      </w:r>
      <w:r>
        <w:rPr>
          <w:spacing w:val="-6"/>
          <w:w w:val="105"/>
          <w:sz w:val="21"/>
        </w:rPr>
        <w:t> </w:t>
      </w:r>
      <w:r>
        <w:rPr>
          <w:w w:val="105"/>
          <w:sz w:val="21"/>
        </w:rPr>
        <w:t>and</w:t>
      </w:r>
      <w:r>
        <w:rPr>
          <w:spacing w:val="-5"/>
          <w:w w:val="105"/>
          <w:sz w:val="21"/>
        </w:rPr>
        <w:t> </w:t>
      </w:r>
      <w:r>
        <w:rPr>
          <w:spacing w:val="-3"/>
          <w:w w:val="105"/>
          <w:sz w:val="21"/>
        </w:rPr>
        <w:t>suitable </w:t>
      </w:r>
      <w:r>
        <w:rPr>
          <w:w w:val="105"/>
          <w:sz w:val="21"/>
        </w:rPr>
        <w:t>locations</w:t>
      </w:r>
      <w:r>
        <w:rPr>
          <w:w w:val="105"/>
          <w:position w:val="7"/>
          <w:sz w:val="12"/>
        </w:rPr>
        <w:t>67</w:t>
      </w:r>
    </w:p>
    <w:p>
      <w:pPr>
        <w:pStyle w:val="ListParagraph"/>
        <w:numPr>
          <w:ilvl w:val="1"/>
          <w:numId w:val="200"/>
        </w:numPr>
        <w:tabs>
          <w:tab w:pos="2721" w:val="left" w:leader="none"/>
          <w:tab w:pos="2722" w:val="left" w:leader="none"/>
        </w:tabs>
        <w:spacing w:line="242" w:lineRule="auto" w:before="88" w:after="0"/>
        <w:ind w:left="2721" w:right="1787" w:hanging="340"/>
        <w:jc w:val="left"/>
        <w:rPr>
          <w:sz w:val="12"/>
        </w:rPr>
      </w:pPr>
      <w:r>
        <w:rPr>
          <w:spacing w:val="-3"/>
          <w:w w:val="105"/>
          <w:sz w:val="21"/>
        </w:rPr>
        <w:t>information</w:t>
      </w:r>
      <w:r>
        <w:rPr>
          <w:spacing w:val="-13"/>
          <w:w w:val="105"/>
          <w:sz w:val="21"/>
        </w:rPr>
        <w:t> </w:t>
      </w:r>
      <w:r>
        <w:rPr>
          <w:spacing w:val="-3"/>
          <w:w w:val="105"/>
          <w:sz w:val="21"/>
        </w:rPr>
        <w:t>to</w:t>
      </w:r>
      <w:r>
        <w:rPr>
          <w:spacing w:val="-12"/>
          <w:w w:val="105"/>
          <w:sz w:val="21"/>
        </w:rPr>
        <w:t> </w:t>
      </w:r>
      <w:r>
        <w:rPr>
          <w:w w:val="105"/>
          <w:sz w:val="21"/>
        </w:rPr>
        <w:t>help</w:t>
      </w:r>
      <w:r>
        <w:rPr>
          <w:spacing w:val="-12"/>
          <w:w w:val="105"/>
          <w:sz w:val="21"/>
        </w:rPr>
        <w:t> </w:t>
      </w:r>
      <w:r>
        <w:rPr>
          <w:w w:val="105"/>
          <w:sz w:val="21"/>
        </w:rPr>
        <w:t>applicants</w:t>
      </w:r>
      <w:r>
        <w:rPr>
          <w:spacing w:val="-12"/>
          <w:w w:val="105"/>
          <w:sz w:val="21"/>
        </w:rPr>
        <w:t> </w:t>
      </w:r>
      <w:r>
        <w:rPr>
          <w:w w:val="105"/>
          <w:sz w:val="21"/>
        </w:rPr>
        <w:t>fill</w:t>
      </w:r>
      <w:r>
        <w:rPr>
          <w:spacing w:val="-12"/>
          <w:w w:val="105"/>
          <w:sz w:val="21"/>
        </w:rPr>
        <w:t> </w:t>
      </w:r>
      <w:r>
        <w:rPr>
          <w:w w:val="105"/>
          <w:sz w:val="21"/>
        </w:rPr>
        <w:t>out</w:t>
      </w:r>
      <w:r>
        <w:rPr>
          <w:spacing w:val="-13"/>
          <w:w w:val="105"/>
          <w:sz w:val="21"/>
        </w:rPr>
        <w:t> </w:t>
      </w:r>
      <w:r>
        <w:rPr>
          <w:w w:val="105"/>
          <w:sz w:val="21"/>
        </w:rPr>
        <w:t>prescribed</w:t>
      </w:r>
      <w:r>
        <w:rPr>
          <w:spacing w:val="-12"/>
          <w:w w:val="105"/>
          <w:sz w:val="21"/>
        </w:rPr>
        <w:t> </w:t>
      </w:r>
      <w:r>
        <w:rPr>
          <w:spacing w:val="-3"/>
          <w:w w:val="105"/>
          <w:sz w:val="21"/>
        </w:rPr>
        <w:t>forms</w:t>
      </w:r>
      <w:r>
        <w:rPr>
          <w:spacing w:val="-12"/>
          <w:w w:val="105"/>
          <w:sz w:val="21"/>
        </w:rPr>
        <w:t> </w:t>
      </w:r>
      <w:r>
        <w:rPr>
          <w:w w:val="105"/>
          <w:sz w:val="21"/>
        </w:rPr>
        <w:t>and</w:t>
      </w:r>
      <w:r>
        <w:rPr>
          <w:spacing w:val="-12"/>
          <w:w w:val="105"/>
          <w:sz w:val="21"/>
        </w:rPr>
        <w:t> </w:t>
      </w:r>
      <w:r>
        <w:rPr>
          <w:spacing w:val="-3"/>
          <w:w w:val="105"/>
          <w:sz w:val="21"/>
        </w:rPr>
        <w:t>navigate</w:t>
      </w:r>
      <w:r>
        <w:rPr>
          <w:spacing w:val="-12"/>
          <w:w w:val="105"/>
          <w:sz w:val="21"/>
        </w:rPr>
        <w:t> </w:t>
      </w:r>
      <w:r>
        <w:rPr>
          <w:w w:val="105"/>
          <w:sz w:val="21"/>
        </w:rPr>
        <w:t>other</w:t>
      </w:r>
      <w:r>
        <w:rPr>
          <w:spacing w:val="-13"/>
          <w:w w:val="105"/>
          <w:sz w:val="21"/>
        </w:rPr>
        <w:t> </w:t>
      </w:r>
      <w:r>
        <w:rPr>
          <w:w w:val="105"/>
          <w:sz w:val="21"/>
        </w:rPr>
        <w:t>processes under new</w:t>
      </w:r>
      <w:r>
        <w:rPr>
          <w:spacing w:val="10"/>
          <w:w w:val="105"/>
          <w:sz w:val="21"/>
        </w:rPr>
        <w:t> </w:t>
      </w:r>
      <w:r>
        <w:rPr>
          <w:w w:val="105"/>
          <w:sz w:val="21"/>
        </w:rPr>
        <w:t>laws</w:t>
      </w:r>
      <w:r>
        <w:rPr>
          <w:w w:val="105"/>
          <w:position w:val="7"/>
          <w:sz w:val="12"/>
        </w:rPr>
        <w:t>68</w:t>
      </w:r>
    </w:p>
    <w:p>
      <w:pPr>
        <w:pStyle w:val="ListParagraph"/>
        <w:numPr>
          <w:ilvl w:val="1"/>
          <w:numId w:val="200"/>
        </w:numPr>
        <w:tabs>
          <w:tab w:pos="2721" w:val="left" w:leader="none"/>
          <w:tab w:pos="2722" w:val="left" w:leader="none"/>
        </w:tabs>
        <w:spacing w:line="240" w:lineRule="auto" w:before="87" w:after="0"/>
        <w:ind w:left="2721" w:right="0" w:hanging="340"/>
        <w:jc w:val="left"/>
        <w:rPr>
          <w:sz w:val="12"/>
        </w:rPr>
      </w:pPr>
      <w:r>
        <w:rPr>
          <w:spacing w:val="-3"/>
          <w:sz w:val="21"/>
        </w:rPr>
        <w:t>information</w:t>
      </w:r>
      <w:r>
        <w:rPr>
          <w:spacing w:val="10"/>
          <w:sz w:val="21"/>
        </w:rPr>
        <w:t> </w:t>
      </w:r>
      <w:r>
        <w:rPr>
          <w:sz w:val="21"/>
        </w:rPr>
        <w:t>about</w:t>
      </w:r>
      <w:r>
        <w:rPr>
          <w:spacing w:val="11"/>
          <w:sz w:val="21"/>
        </w:rPr>
        <w:t> </w:t>
      </w:r>
      <w:r>
        <w:rPr>
          <w:sz w:val="21"/>
        </w:rPr>
        <w:t>where</w:t>
      </w:r>
      <w:r>
        <w:rPr>
          <w:spacing w:val="11"/>
          <w:sz w:val="21"/>
        </w:rPr>
        <w:t> </w:t>
      </w:r>
      <w:r>
        <w:rPr>
          <w:spacing w:val="-3"/>
          <w:sz w:val="21"/>
        </w:rPr>
        <w:t>to</w:t>
      </w:r>
      <w:r>
        <w:rPr>
          <w:spacing w:val="11"/>
          <w:sz w:val="21"/>
        </w:rPr>
        <w:t> </w:t>
      </w:r>
      <w:r>
        <w:rPr>
          <w:sz w:val="21"/>
        </w:rPr>
        <w:t>go</w:t>
      </w:r>
      <w:r>
        <w:rPr>
          <w:spacing w:val="11"/>
          <w:sz w:val="21"/>
        </w:rPr>
        <w:t> </w:t>
      </w:r>
      <w:r>
        <w:rPr>
          <w:spacing w:val="-3"/>
          <w:sz w:val="21"/>
        </w:rPr>
        <w:t>for</w:t>
      </w:r>
      <w:r>
        <w:rPr>
          <w:spacing w:val="11"/>
          <w:sz w:val="21"/>
        </w:rPr>
        <w:t> </w:t>
      </w:r>
      <w:r>
        <w:rPr>
          <w:spacing w:val="-3"/>
          <w:sz w:val="21"/>
        </w:rPr>
        <w:t>professional</w:t>
      </w:r>
      <w:r>
        <w:rPr>
          <w:spacing w:val="11"/>
          <w:sz w:val="21"/>
        </w:rPr>
        <w:t> </w:t>
      </w:r>
      <w:r>
        <w:rPr>
          <w:spacing w:val="-3"/>
          <w:sz w:val="21"/>
        </w:rPr>
        <w:t>arboricultural</w:t>
      </w:r>
      <w:r>
        <w:rPr>
          <w:spacing w:val="11"/>
          <w:sz w:val="21"/>
        </w:rPr>
        <w:t> </w:t>
      </w:r>
      <w:r>
        <w:rPr>
          <w:sz w:val="21"/>
        </w:rPr>
        <w:t>advice</w:t>
      </w:r>
      <w:r>
        <w:rPr>
          <w:position w:val="7"/>
          <w:sz w:val="12"/>
        </w:rPr>
        <w:t>69</w:t>
      </w:r>
    </w:p>
    <w:p>
      <w:pPr>
        <w:pStyle w:val="ListParagraph"/>
        <w:numPr>
          <w:ilvl w:val="1"/>
          <w:numId w:val="200"/>
        </w:numPr>
        <w:tabs>
          <w:tab w:pos="2721" w:val="left" w:leader="none"/>
          <w:tab w:pos="2722" w:val="left" w:leader="none"/>
        </w:tabs>
        <w:spacing w:line="240" w:lineRule="auto" w:before="89" w:after="0"/>
        <w:ind w:left="2721" w:right="0" w:hanging="340"/>
        <w:jc w:val="left"/>
        <w:rPr>
          <w:sz w:val="12"/>
        </w:rPr>
      </w:pPr>
      <w:r>
        <w:rPr>
          <w:sz w:val="21"/>
        </w:rPr>
        <w:t>a tree order </w:t>
      </w:r>
      <w:r>
        <w:rPr>
          <w:spacing w:val="-3"/>
          <w:sz w:val="21"/>
        </w:rPr>
        <w:t>register </w:t>
      </w:r>
      <w:r>
        <w:rPr>
          <w:sz w:val="21"/>
        </w:rPr>
        <w:t>or</w:t>
      </w:r>
      <w:r>
        <w:rPr>
          <w:spacing w:val="45"/>
          <w:sz w:val="21"/>
        </w:rPr>
        <w:t> </w:t>
      </w:r>
      <w:r>
        <w:rPr>
          <w:spacing w:val="-3"/>
          <w:sz w:val="21"/>
        </w:rPr>
        <w:t>database.</w:t>
      </w:r>
      <w:r>
        <w:rPr>
          <w:spacing w:val="-3"/>
          <w:position w:val="7"/>
          <w:sz w:val="12"/>
        </w:rPr>
        <w:t>70</w:t>
      </w:r>
    </w:p>
    <w:p>
      <w:pPr>
        <w:pStyle w:val="ListParagraph"/>
        <w:numPr>
          <w:ilvl w:val="1"/>
          <w:numId w:val="16"/>
        </w:numPr>
        <w:tabs>
          <w:tab w:pos="2381" w:val="left" w:leader="none"/>
          <w:tab w:pos="2382" w:val="left" w:leader="none"/>
        </w:tabs>
        <w:spacing w:line="242" w:lineRule="auto" w:before="88" w:after="0"/>
        <w:ind w:left="2381" w:right="1755" w:hanging="794"/>
        <w:jc w:val="left"/>
        <w:rPr>
          <w:sz w:val="21"/>
        </w:rPr>
      </w:pPr>
      <w:r>
        <w:rPr>
          <w:spacing w:val="-3"/>
          <w:w w:val="105"/>
          <w:sz w:val="21"/>
        </w:rPr>
        <w:t>Pointon </w:t>
      </w:r>
      <w:r>
        <w:rPr>
          <w:w w:val="105"/>
          <w:sz w:val="21"/>
        </w:rPr>
        <w:t>Partners emphasised </w:t>
      </w:r>
      <w:r>
        <w:rPr>
          <w:spacing w:val="-3"/>
          <w:w w:val="105"/>
          <w:sz w:val="21"/>
        </w:rPr>
        <w:t>that </w:t>
      </w:r>
      <w:r>
        <w:rPr>
          <w:w w:val="105"/>
          <w:sz w:val="21"/>
        </w:rPr>
        <w:t>assisting the community </w:t>
      </w:r>
      <w:r>
        <w:rPr>
          <w:spacing w:val="-3"/>
          <w:w w:val="105"/>
          <w:sz w:val="21"/>
        </w:rPr>
        <w:t>to </w:t>
      </w:r>
      <w:r>
        <w:rPr>
          <w:spacing w:val="-2"/>
          <w:w w:val="105"/>
          <w:sz w:val="21"/>
        </w:rPr>
        <w:t>access </w:t>
      </w:r>
      <w:r>
        <w:rPr>
          <w:spacing w:val="-3"/>
          <w:w w:val="105"/>
          <w:sz w:val="21"/>
        </w:rPr>
        <w:t>relevant planning </w:t>
      </w:r>
      <w:r>
        <w:rPr>
          <w:w w:val="105"/>
          <w:sz w:val="21"/>
        </w:rPr>
        <w:t>and local law </w:t>
      </w:r>
      <w:r>
        <w:rPr>
          <w:spacing w:val="-3"/>
          <w:w w:val="105"/>
          <w:sz w:val="21"/>
        </w:rPr>
        <w:t>controls </w:t>
      </w:r>
      <w:r>
        <w:rPr>
          <w:w w:val="105"/>
          <w:sz w:val="21"/>
        </w:rPr>
        <w:t>would be of </w:t>
      </w:r>
      <w:r>
        <w:rPr>
          <w:spacing w:val="-3"/>
          <w:w w:val="105"/>
          <w:sz w:val="21"/>
        </w:rPr>
        <w:t>great assistance.</w:t>
      </w:r>
      <w:r>
        <w:rPr>
          <w:spacing w:val="-3"/>
          <w:w w:val="105"/>
          <w:position w:val="7"/>
          <w:sz w:val="12"/>
        </w:rPr>
        <w:t>71 </w:t>
      </w:r>
      <w:r>
        <w:rPr>
          <w:w w:val="105"/>
          <w:sz w:val="21"/>
        </w:rPr>
        <w:t>This view was echoed by </w:t>
      </w:r>
      <w:r>
        <w:rPr>
          <w:spacing w:val="-3"/>
          <w:w w:val="105"/>
          <w:sz w:val="21"/>
        </w:rPr>
        <w:t>Nillumbik Shire </w:t>
      </w:r>
      <w:r>
        <w:rPr>
          <w:spacing w:val="-4"/>
          <w:w w:val="105"/>
          <w:sz w:val="21"/>
        </w:rPr>
        <w:t>Council </w:t>
      </w:r>
      <w:r>
        <w:rPr>
          <w:w w:val="105"/>
          <w:sz w:val="21"/>
        </w:rPr>
        <w:t>in </w:t>
      </w:r>
      <w:r>
        <w:rPr>
          <w:spacing w:val="-3"/>
          <w:w w:val="105"/>
          <w:sz w:val="21"/>
        </w:rPr>
        <w:t>relation to planning </w:t>
      </w:r>
      <w:r>
        <w:rPr>
          <w:w w:val="105"/>
          <w:sz w:val="21"/>
        </w:rPr>
        <w:t>scheme </w:t>
      </w:r>
      <w:r>
        <w:rPr>
          <w:spacing w:val="-3"/>
          <w:w w:val="105"/>
          <w:sz w:val="21"/>
        </w:rPr>
        <w:t>provisions.</w:t>
      </w:r>
      <w:r>
        <w:rPr>
          <w:spacing w:val="-3"/>
          <w:w w:val="105"/>
          <w:position w:val="7"/>
          <w:sz w:val="12"/>
        </w:rPr>
        <w:t>72</w:t>
      </w:r>
    </w:p>
    <w:p>
      <w:pPr>
        <w:pStyle w:val="ListParagraph"/>
        <w:numPr>
          <w:ilvl w:val="1"/>
          <w:numId w:val="16"/>
        </w:numPr>
        <w:tabs>
          <w:tab w:pos="2380" w:val="left" w:leader="none"/>
          <w:tab w:pos="2381" w:val="left" w:leader="none"/>
        </w:tabs>
        <w:spacing w:line="242" w:lineRule="auto" w:before="124" w:after="0"/>
        <w:ind w:left="2381" w:right="1933" w:hanging="794"/>
        <w:jc w:val="left"/>
        <w:rPr>
          <w:sz w:val="21"/>
        </w:rPr>
      </w:pPr>
      <w:r>
        <w:rPr>
          <w:w w:val="105"/>
          <w:sz w:val="21"/>
        </w:rPr>
        <w:t>The </w:t>
      </w:r>
      <w:r>
        <w:rPr>
          <w:spacing w:val="-3"/>
          <w:w w:val="105"/>
          <w:sz w:val="21"/>
        </w:rPr>
        <w:t>Commission </w:t>
      </w:r>
      <w:r>
        <w:rPr>
          <w:w w:val="105"/>
          <w:sz w:val="21"/>
        </w:rPr>
        <w:t>met with some </w:t>
      </w:r>
      <w:r>
        <w:rPr>
          <w:spacing w:val="-3"/>
          <w:w w:val="105"/>
          <w:sz w:val="21"/>
        </w:rPr>
        <w:t>councils </w:t>
      </w:r>
      <w:r>
        <w:rPr>
          <w:w w:val="105"/>
          <w:sz w:val="21"/>
        </w:rPr>
        <w:t>who provided </w:t>
      </w:r>
      <w:r>
        <w:rPr>
          <w:spacing w:val="-3"/>
          <w:w w:val="105"/>
          <w:sz w:val="21"/>
        </w:rPr>
        <w:t>information </w:t>
      </w:r>
      <w:r>
        <w:rPr>
          <w:w w:val="105"/>
          <w:sz w:val="21"/>
        </w:rPr>
        <w:t>about ways </w:t>
      </w:r>
      <w:r>
        <w:rPr>
          <w:spacing w:val="-3"/>
          <w:w w:val="105"/>
          <w:sz w:val="21"/>
        </w:rPr>
        <w:t>to  </w:t>
      </w:r>
      <w:r>
        <w:rPr>
          <w:w w:val="105"/>
          <w:sz w:val="21"/>
        </w:rPr>
        <w:t>get</w:t>
      </w:r>
      <w:r>
        <w:rPr>
          <w:spacing w:val="3"/>
          <w:w w:val="105"/>
          <w:sz w:val="21"/>
        </w:rPr>
        <w:t> </w:t>
      </w:r>
      <w:r>
        <w:rPr>
          <w:spacing w:val="-3"/>
          <w:w w:val="105"/>
          <w:sz w:val="21"/>
        </w:rPr>
        <w:t>information</w:t>
      </w:r>
      <w:r>
        <w:rPr>
          <w:spacing w:val="4"/>
          <w:w w:val="105"/>
          <w:sz w:val="21"/>
        </w:rPr>
        <w:t> </w:t>
      </w:r>
      <w:r>
        <w:rPr>
          <w:spacing w:val="-3"/>
          <w:w w:val="105"/>
          <w:sz w:val="21"/>
        </w:rPr>
        <w:t>to</w:t>
      </w:r>
      <w:r>
        <w:rPr>
          <w:spacing w:val="3"/>
          <w:w w:val="105"/>
          <w:sz w:val="21"/>
        </w:rPr>
        <w:t> </w:t>
      </w:r>
      <w:r>
        <w:rPr>
          <w:w w:val="105"/>
          <w:sz w:val="21"/>
        </w:rPr>
        <w:t>the</w:t>
      </w:r>
      <w:r>
        <w:rPr>
          <w:spacing w:val="4"/>
          <w:w w:val="105"/>
          <w:sz w:val="21"/>
        </w:rPr>
        <w:t> </w:t>
      </w:r>
      <w:r>
        <w:rPr>
          <w:spacing w:val="-4"/>
          <w:w w:val="105"/>
          <w:sz w:val="21"/>
        </w:rPr>
        <w:t>community.</w:t>
      </w:r>
      <w:r>
        <w:rPr>
          <w:spacing w:val="3"/>
          <w:w w:val="105"/>
          <w:sz w:val="21"/>
        </w:rPr>
        <w:t> </w:t>
      </w:r>
      <w:r>
        <w:rPr>
          <w:spacing w:val="-3"/>
          <w:w w:val="105"/>
          <w:sz w:val="21"/>
        </w:rPr>
        <w:t>Nillumbik</w:t>
      </w:r>
      <w:r>
        <w:rPr>
          <w:spacing w:val="4"/>
          <w:w w:val="105"/>
          <w:sz w:val="21"/>
        </w:rPr>
        <w:t> </w:t>
      </w:r>
      <w:r>
        <w:rPr>
          <w:spacing w:val="-3"/>
          <w:w w:val="105"/>
          <w:sz w:val="21"/>
        </w:rPr>
        <w:t>Shire</w:t>
      </w:r>
      <w:r>
        <w:rPr>
          <w:spacing w:val="3"/>
          <w:w w:val="105"/>
          <w:sz w:val="21"/>
        </w:rPr>
        <w:t> </w:t>
      </w:r>
      <w:r>
        <w:rPr>
          <w:spacing w:val="-4"/>
          <w:w w:val="105"/>
          <w:sz w:val="21"/>
        </w:rPr>
        <w:t>Council</w:t>
      </w:r>
      <w:r>
        <w:rPr>
          <w:spacing w:val="4"/>
          <w:w w:val="105"/>
          <w:sz w:val="21"/>
        </w:rPr>
        <w:t> </w:t>
      </w:r>
      <w:r>
        <w:rPr>
          <w:w w:val="105"/>
          <w:sz w:val="21"/>
        </w:rPr>
        <w:t>and</w:t>
      </w:r>
      <w:r>
        <w:rPr>
          <w:spacing w:val="3"/>
          <w:w w:val="105"/>
          <w:sz w:val="21"/>
        </w:rPr>
        <w:t> </w:t>
      </w:r>
      <w:r>
        <w:rPr>
          <w:w w:val="105"/>
          <w:sz w:val="21"/>
        </w:rPr>
        <w:t>Baw</w:t>
      </w:r>
      <w:r>
        <w:rPr>
          <w:spacing w:val="4"/>
          <w:w w:val="105"/>
          <w:sz w:val="21"/>
        </w:rPr>
        <w:t> </w:t>
      </w:r>
      <w:r>
        <w:rPr>
          <w:w w:val="105"/>
          <w:sz w:val="21"/>
        </w:rPr>
        <w:t>Baw</w:t>
      </w:r>
      <w:r>
        <w:rPr>
          <w:spacing w:val="3"/>
          <w:w w:val="105"/>
          <w:sz w:val="21"/>
        </w:rPr>
        <w:t> </w:t>
      </w:r>
      <w:r>
        <w:rPr>
          <w:spacing w:val="-3"/>
          <w:w w:val="105"/>
          <w:sz w:val="21"/>
        </w:rPr>
        <w:t>Shire</w:t>
      </w:r>
      <w:r>
        <w:rPr>
          <w:spacing w:val="4"/>
          <w:w w:val="105"/>
          <w:sz w:val="21"/>
        </w:rPr>
        <w:t> </w:t>
      </w:r>
      <w:r>
        <w:rPr>
          <w:spacing w:val="-4"/>
          <w:w w:val="105"/>
          <w:sz w:val="21"/>
        </w:rPr>
        <w:t>Council</w:t>
      </w:r>
    </w:p>
    <w:p>
      <w:pPr>
        <w:pStyle w:val="BodyText"/>
        <w:spacing w:line="242" w:lineRule="auto" w:before="2"/>
        <w:ind w:left="2380" w:right="1558"/>
        <w:rPr>
          <w:sz w:val="12"/>
        </w:rPr>
      </w:pPr>
      <w:r>
        <w:rPr>
          <w:w w:val="105"/>
        </w:rPr>
        <w:t>suggested </w:t>
      </w:r>
      <w:r>
        <w:rPr>
          <w:spacing w:val="-3"/>
          <w:w w:val="105"/>
        </w:rPr>
        <w:t>that </w:t>
      </w:r>
      <w:r>
        <w:rPr>
          <w:w w:val="105"/>
        </w:rPr>
        <w:t>they </w:t>
      </w:r>
      <w:r>
        <w:rPr>
          <w:spacing w:val="-3"/>
          <w:w w:val="105"/>
        </w:rPr>
        <w:t>may </w:t>
      </w:r>
      <w:r>
        <w:rPr>
          <w:w w:val="105"/>
        </w:rPr>
        <w:t>be in a position </w:t>
      </w:r>
      <w:r>
        <w:rPr>
          <w:spacing w:val="-3"/>
          <w:w w:val="105"/>
        </w:rPr>
        <w:t>to </w:t>
      </w:r>
      <w:r>
        <w:rPr>
          <w:w w:val="105"/>
        </w:rPr>
        <w:t>provide </w:t>
      </w:r>
      <w:r>
        <w:rPr>
          <w:spacing w:val="-3"/>
          <w:w w:val="105"/>
        </w:rPr>
        <w:t>educational resources to </w:t>
      </w:r>
      <w:r>
        <w:rPr>
          <w:w w:val="105"/>
        </w:rPr>
        <w:t>support new </w:t>
      </w:r>
      <w:r>
        <w:rPr>
          <w:spacing w:val="-3"/>
          <w:w w:val="105"/>
        </w:rPr>
        <w:t>laws.</w:t>
      </w:r>
      <w:r>
        <w:rPr>
          <w:spacing w:val="-3"/>
          <w:w w:val="105"/>
          <w:position w:val="7"/>
          <w:sz w:val="12"/>
        </w:rPr>
        <w:t>73 </w:t>
      </w:r>
      <w:r>
        <w:rPr>
          <w:w w:val="105"/>
        </w:rPr>
        <w:t>The </w:t>
      </w:r>
      <w:r>
        <w:rPr>
          <w:spacing w:val="-3"/>
          <w:w w:val="105"/>
        </w:rPr>
        <w:t>City </w:t>
      </w:r>
      <w:r>
        <w:rPr>
          <w:w w:val="105"/>
        </w:rPr>
        <w:t>of Port </w:t>
      </w:r>
      <w:r>
        <w:rPr>
          <w:spacing w:val="-3"/>
          <w:w w:val="105"/>
        </w:rPr>
        <w:t>Phillip </w:t>
      </w:r>
      <w:r>
        <w:rPr>
          <w:w w:val="105"/>
        </w:rPr>
        <w:t>believed it </w:t>
      </w:r>
      <w:r>
        <w:rPr>
          <w:spacing w:val="-3"/>
          <w:w w:val="105"/>
        </w:rPr>
        <w:t>could play </w:t>
      </w:r>
      <w:r>
        <w:rPr>
          <w:w w:val="105"/>
        </w:rPr>
        <w:t>a role </w:t>
      </w:r>
      <w:r>
        <w:rPr>
          <w:spacing w:val="-3"/>
          <w:w w:val="105"/>
        </w:rPr>
        <w:t>recommending sensible </w:t>
      </w:r>
      <w:r>
        <w:rPr>
          <w:w w:val="105"/>
        </w:rPr>
        <w:t>tree </w:t>
      </w:r>
      <w:r>
        <w:rPr>
          <w:spacing w:val="-3"/>
          <w:w w:val="105"/>
        </w:rPr>
        <w:t>planting guidelines to prevent </w:t>
      </w:r>
      <w:r>
        <w:rPr>
          <w:w w:val="105"/>
        </w:rPr>
        <w:t>tree </w:t>
      </w:r>
      <w:r>
        <w:rPr>
          <w:spacing w:val="-4"/>
          <w:w w:val="105"/>
        </w:rPr>
        <w:t>disputes.</w:t>
      </w:r>
      <w:r>
        <w:rPr>
          <w:spacing w:val="-4"/>
          <w:w w:val="105"/>
          <w:position w:val="7"/>
          <w:sz w:val="12"/>
        </w:rPr>
        <w:t>74</w:t>
      </w:r>
    </w:p>
    <w:p>
      <w:pPr>
        <w:pStyle w:val="ListParagraph"/>
        <w:numPr>
          <w:ilvl w:val="1"/>
          <w:numId w:val="16"/>
        </w:numPr>
        <w:tabs>
          <w:tab w:pos="2380" w:val="left" w:leader="none"/>
          <w:tab w:pos="2381" w:val="left" w:leader="none"/>
        </w:tabs>
        <w:spacing w:line="242" w:lineRule="auto" w:before="123" w:after="0"/>
        <w:ind w:left="2381" w:right="2016" w:hanging="794"/>
        <w:jc w:val="left"/>
        <w:rPr>
          <w:sz w:val="21"/>
        </w:rPr>
      </w:pPr>
      <w:r>
        <w:rPr>
          <w:w w:val="105"/>
          <w:sz w:val="21"/>
        </w:rPr>
        <w:t>Baw Baw </w:t>
      </w:r>
      <w:r>
        <w:rPr>
          <w:spacing w:val="-3"/>
          <w:w w:val="105"/>
          <w:sz w:val="21"/>
        </w:rPr>
        <w:t>Shire </w:t>
      </w:r>
      <w:r>
        <w:rPr>
          <w:spacing w:val="-4"/>
          <w:w w:val="105"/>
          <w:sz w:val="21"/>
        </w:rPr>
        <w:t>Council </w:t>
      </w:r>
      <w:r>
        <w:rPr>
          <w:w w:val="105"/>
          <w:sz w:val="21"/>
        </w:rPr>
        <w:t>emphasised </w:t>
      </w:r>
      <w:r>
        <w:rPr>
          <w:spacing w:val="-3"/>
          <w:w w:val="105"/>
          <w:sz w:val="21"/>
        </w:rPr>
        <w:t>that planting guidelines </w:t>
      </w:r>
      <w:r>
        <w:rPr>
          <w:w w:val="105"/>
          <w:sz w:val="21"/>
        </w:rPr>
        <w:t>about what people </w:t>
      </w:r>
      <w:r>
        <w:rPr>
          <w:spacing w:val="-3"/>
          <w:w w:val="105"/>
          <w:sz w:val="21"/>
        </w:rPr>
        <w:t>could plant </w:t>
      </w:r>
      <w:r>
        <w:rPr>
          <w:w w:val="105"/>
          <w:sz w:val="21"/>
        </w:rPr>
        <w:t>in their backyards should </w:t>
      </w:r>
      <w:r>
        <w:rPr>
          <w:spacing w:val="-3"/>
          <w:w w:val="105"/>
          <w:sz w:val="21"/>
        </w:rPr>
        <w:t>complement </w:t>
      </w:r>
      <w:r>
        <w:rPr>
          <w:w w:val="105"/>
          <w:sz w:val="21"/>
        </w:rPr>
        <w:t>new</w:t>
      </w:r>
      <w:r>
        <w:rPr>
          <w:spacing w:val="34"/>
          <w:w w:val="105"/>
          <w:sz w:val="21"/>
        </w:rPr>
        <w:t> </w:t>
      </w:r>
      <w:r>
        <w:rPr>
          <w:spacing w:val="-3"/>
          <w:w w:val="105"/>
          <w:sz w:val="21"/>
        </w:rPr>
        <w:t>laws.</w:t>
      </w:r>
      <w:r>
        <w:rPr>
          <w:spacing w:val="-3"/>
          <w:w w:val="105"/>
          <w:position w:val="7"/>
          <w:sz w:val="12"/>
        </w:rPr>
        <w:t>75</w:t>
      </w:r>
    </w:p>
    <w:p>
      <w:pPr>
        <w:pStyle w:val="ListParagraph"/>
        <w:numPr>
          <w:ilvl w:val="1"/>
          <w:numId w:val="16"/>
        </w:numPr>
        <w:tabs>
          <w:tab w:pos="2381" w:val="left" w:leader="none"/>
          <w:tab w:pos="2382" w:val="left" w:leader="none"/>
        </w:tabs>
        <w:spacing w:line="242" w:lineRule="auto" w:before="122" w:after="0"/>
        <w:ind w:left="2381" w:right="1595" w:hanging="794"/>
        <w:jc w:val="left"/>
        <w:rPr>
          <w:sz w:val="21"/>
        </w:rPr>
      </w:pPr>
      <w:r>
        <w:rPr>
          <w:w w:val="105"/>
          <w:sz w:val="21"/>
        </w:rPr>
        <w:t>Some arborists explained </w:t>
      </w:r>
      <w:r>
        <w:rPr>
          <w:spacing w:val="-3"/>
          <w:w w:val="105"/>
          <w:sz w:val="21"/>
        </w:rPr>
        <w:t>that </w:t>
      </w:r>
      <w:r>
        <w:rPr>
          <w:w w:val="105"/>
          <w:sz w:val="21"/>
        </w:rPr>
        <w:t>they often educate neighbours about the </w:t>
      </w:r>
      <w:r>
        <w:rPr>
          <w:spacing w:val="-5"/>
          <w:w w:val="105"/>
          <w:sz w:val="21"/>
        </w:rPr>
        <w:t>law.</w:t>
      </w:r>
      <w:r>
        <w:rPr>
          <w:spacing w:val="-5"/>
          <w:w w:val="105"/>
          <w:position w:val="7"/>
          <w:sz w:val="12"/>
        </w:rPr>
        <w:t>76 </w:t>
      </w:r>
      <w:r>
        <w:rPr>
          <w:w w:val="105"/>
          <w:sz w:val="21"/>
        </w:rPr>
        <w:t>Arborists can help parties with tree </w:t>
      </w:r>
      <w:r>
        <w:rPr>
          <w:spacing w:val="-3"/>
          <w:w w:val="105"/>
          <w:sz w:val="21"/>
        </w:rPr>
        <w:t>disputes </w:t>
      </w:r>
      <w:r>
        <w:rPr>
          <w:w w:val="105"/>
          <w:sz w:val="21"/>
        </w:rPr>
        <w:t>at </w:t>
      </w:r>
      <w:r>
        <w:rPr>
          <w:spacing w:val="-3"/>
          <w:w w:val="105"/>
          <w:sz w:val="21"/>
        </w:rPr>
        <w:t>multiple </w:t>
      </w:r>
      <w:r>
        <w:rPr>
          <w:w w:val="105"/>
          <w:sz w:val="21"/>
        </w:rPr>
        <w:t>stages, </w:t>
      </w:r>
      <w:r>
        <w:rPr>
          <w:spacing w:val="-3"/>
          <w:w w:val="105"/>
          <w:sz w:val="21"/>
        </w:rPr>
        <w:t>from initially communicating </w:t>
      </w:r>
      <w:r>
        <w:rPr>
          <w:w w:val="105"/>
          <w:sz w:val="21"/>
        </w:rPr>
        <w:t>with neighbours </w:t>
      </w:r>
      <w:r>
        <w:rPr>
          <w:spacing w:val="-3"/>
          <w:w w:val="105"/>
          <w:sz w:val="21"/>
        </w:rPr>
        <w:t>to providing </w:t>
      </w:r>
      <w:r>
        <w:rPr>
          <w:w w:val="105"/>
          <w:sz w:val="21"/>
        </w:rPr>
        <w:t>expert evidence </w:t>
      </w:r>
      <w:r>
        <w:rPr>
          <w:spacing w:val="-3"/>
          <w:w w:val="105"/>
          <w:sz w:val="21"/>
        </w:rPr>
        <w:t>during </w:t>
      </w:r>
      <w:r>
        <w:rPr>
          <w:w w:val="105"/>
          <w:sz w:val="21"/>
        </w:rPr>
        <w:t>the </w:t>
      </w:r>
      <w:r>
        <w:rPr>
          <w:spacing w:val="-3"/>
          <w:w w:val="105"/>
          <w:sz w:val="21"/>
        </w:rPr>
        <w:t>formal </w:t>
      </w:r>
      <w:r>
        <w:rPr>
          <w:w w:val="105"/>
          <w:sz w:val="21"/>
        </w:rPr>
        <w:t>resolution of </w:t>
      </w:r>
      <w:r>
        <w:rPr>
          <w:spacing w:val="-3"/>
          <w:w w:val="105"/>
          <w:sz w:val="21"/>
        </w:rPr>
        <w:t>disputes. </w:t>
      </w:r>
      <w:r>
        <w:rPr>
          <w:w w:val="105"/>
          <w:sz w:val="21"/>
        </w:rPr>
        <w:t>One arborist explained </w:t>
      </w:r>
      <w:r>
        <w:rPr>
          <w:spacing w:val="-3"/>
          <w:w w:val="105"/>
          <w:sz w:val="21"/>
        </w:rPr>
        <w:t>that </w:t>
      </w:r>
      <w:r>
        <w:rPr>
          <w:w w:val="105"/>
          <w:sz w:val="21"/>
        </w:rPr>
        <w:t>he is </w:t>
      </w:r>
      <w:r>
        <w:rPr>
          <w:spacing w:val="-3"/>
          <w:w w:val="105"/>
          <w:sz w:val="21"/>
        </w:rPr>
        <w:t>usually </w:t>
      </w:r>
      <w:r>
        <w:rPr>
          <w:w w:val="105"/>
          <w:sz w:val="21"/>
        </w:rPr>
        <w:t>called </w:t>
      </w:r>
      <w:r>
        <w:rPr>
          <w:spacing w:val="-6"/>
          <w:w w:val="105"/>
          <w:sz w:val="21"/>
        </w:rPr>
        <w:t>‘at </w:t>
      </w:r>
      <w:r>
        <w:rPr>
          <w:w w:val="105"/>
          <w:sz w:val="21"/>
        </w:rPr>
        <w:t>the </w:t>
      </w:r>
      <w:r>
        <w:rPr>
          <w:spacing w:val="-3"/>
          <w:w w:val="105"/>
          <w:sz w:val="21"/>
        </w:rPr>
        <w:t>quoting </w:t>
      </w:r>
      <w:r>
        <w:rPr>
          <w:w w:val="105"/>
          <w:sz w:val="21"/>
        </w:rPr>
        <w:t>stage’ and can sometimes end up</w:t>
      </w:r>
      <w:r>
        <w:rPr>
          <w:spacing w:val="-5"/>
          <w:w w:val="105"/>
          <w:sz w:val="21"/>
        </w:rPr>
        <w:t> </w:t>
      </w:r>
      <w:r>
        <w:rPr>
          <w:w w:val="105"/>
          <w:sz w:val="21"/>
        </w:rPr>
        <w:t>next</w:t>
      </w:r>
      <w:r>
        <w:rPr>
          <w:spacing w:val="-5"/>
          <w:w w:val="105"/>
          <w:sz w:val="21"/>
        </w:rPr>
        <w:t> </w:t>
      </w:r>
      <w:r>
        <w:rPr>
          <w:w w:val="105"/>
          <w:sz w:val="21"/>
        </w:rPr>
        <w:t>door</w:t>
      </w:r>
      <w:r>
        <w:rPr>
          <w:spacing w:val="-5"/>
          <w:w w:val="105"/>
          <w:sz w:val="21"/>
        </w:rPr>
        <w:t> </w:t>
      </w:r>
      <w:r>
        <w:rPr>
          <w:spacing w:val="-3"/>
          <w:w w:val="105"/>
          <w:sz w:val="21"/>
        </w:rPr>
        <w:t>to</w:t>
      </w:r>
      <w:r>
        <w:rPr>
          <w:spacing w:val="-5"/>
          <w:w w:val="105"/>
          <w:sz w:val="21"/>
        </w:rPr>
        <w:t> </w:t>
      </w:r>
      <w:r>
        <w:rPr>
          <w:w w:val="105"/>
          <w:sz w:val="21"/>
        </w:rPr>
        <w:t>talk</w:t>
      </w:r>
      <w:r>
        <w:rPr>
          <w:spacing w:val="-5"/>
          <w:w w:val="105"/>
          <w:sz w:val="21"/>
        </w:rPr>
        <w:t> </w:t>
      </w:r>
      <w:r>
        <w:rPr>
          <w:spacing w:val="-3"/>
          <w:w w:val="105"/>
          <w:sz w:val="21"/>
        </w:rPr>
        <w:t>to</w:t>
      </w:r>
      <w:r>
        <w:rPr>
          <w:spacing w:val="-5"/>
          <w:w w:val="105"/>
          <w:sz w:val="21"/>
        </w:rPr>
        <w:t> </w:t>
      </w:r>
      <w:r>
        <w:rPr>
          <w:w w:val="105"/>
          <w:sz w:val="21"/>
        </w:rPr>
        <w:t>the</w:t>
      </w:r>
      <w:r>
        <w:rPr>
          <w:spacing w:val="-5"/>
          <w:w w:val="105"/>
          <w:sz w:val="21"/>
        </w:rPr>
        <w:t> </w:t>
      </w:r>
      <w:r>
        <w:rPr>
          <w:w w:val="105"/>
          <w:sz w:val="21"/>
        </w:rPr>
        <w:t>other</w:t>
      </w:r>
      <w:r>
        <w:rPr>
          <w:spacing w:val="-5"/>
          <w:w w:val="105"/>
          <w:sz w:val="21"/>
        </w:rPr>
        <w:t> </w:t>
      </w:r>
      <w:r>
        <w:rPr>
          <w:w w:val="105"/>
          <w:sz w:val="21"/>
        </w:rPr>
        <w:t>party</w:t>
      </w:r>
      <w:r>
        <w:rPr>
          <w:spacing w:val="-5"/>
          <w:w w:val="105"/>
          <w:sz w:val="21"/>
        </w:rPr>
        <w:t> </w:t>
      </w:r>
      <w:r>
        <w:rPr>
          <w:w w:val="105"/>
          <w:sz w:val="21"/>
        </w:rPr>
        <w:t>about</w:t>
      </w:r>
      <w:r>
        <w:rPr>
          <w:spacing w:val="-5"/>
          <w:w w:val="105"/>
          <w:sz w:val="21"/>
        </w:rPr>
        <w:t> </w:t>
      </w:r>
      <w:r>
        <w:rPr>
          <w:w w:val="105"/>
          <w:sz w:val="21"/>
        </w:rPr>
        <w:t>the</w:t>
      </w:r>
      <w:r>
        <w:rPr>
          <w:spacing w:val="-5"/>
          <w:w w:val="105"/>
          <w:sz w:val="21"/>
        </w:rPr>
        <w:t> </w:t>
      </w:r>
      <w:r>
        <w:rPr>
          <w:spacing w:val="-3"/>
          <w:w w:val="105"/>
          <w:sz w:val="21"/>
        </w:rPr>
        <w:t>tree,</w:t>
      </w:r>
      <w:r>
        <w:rPr>
          <w:spacing w:val="-5"/>
          <w:w w:val="105"/>
          <w:sz w:val="21"/>
        </w:rPr>
        <w:t> </w:t>
      </w:r>
      <w:r>
        <w:rPr>
          <w:spacing w:val="-3"/>
          <w:w w:val="105"/>
          <w:sz w:val="21"/>
        </w:rPr>
        <w:t>manage</w:t>
      </w:r>
      <w:r>
        <w:rPr>
          <w:spacing w:val="-5"/>
          <w:w w:val="105"/>
          <w:sz w:val="21"/>
        </w:rPr>
        <w:t> </w:t>
      </w:r>
      <w:r>
        <w:rPr>
          <w:w w:val="105"/>
          <w:sz w:val="21"/>
        </w:rPr>
        <w:t>the</w:t>
      </w:r>
      <w:r>
        <w:rPr>
          <w:spacing w:val="-5"/>
          <w:w w:val="105"/>
          <w:sz w:val="21"/>
        </w:rPr>
        <w:t> </w:t>
      </w:r>
      <w:r>
        <w:rPr>
          <w:spacing w:val="-3"/>
          <w:w w:val="105"/>
          <w:sz w:val="21"/>
        </w:rPr>
        <w:t>dispute</w:t>
      </w:r>
      <w:r>
        <w:rPr>
          <w:spacing w:val="-5"/>
          <w:w w:val="105"/>
          <w:sz w:val="21"/>
        </w:rPr>
        <w:t> </w:t>
      </w:r>
      <w:r>
        <w:rPr>
          <w:w w:val="105"/>
          <w:sz w:val="21"/>
        </w:rPr>
        <w:t>and</w:t>
      </w:r>
      <w:r>
        <w:rPr>
          <w:spacing w:val="-5"/>
          <w:w w:val="105"/>
          <w:sz w:val="21"/>
        </w:rPr>
        <w:t> </w:t>
      </w:r>
      <w:r>
        <w:rPr>
          <w:w w:val="105"/>
          <w:sz w:val="21"/>
        </w:rPr>
        <w:t>effectively act</w:t>
      </w:r>
      <w:r>
        <w:rPr>
          <w:spacing w:val="-6"/>
          <w:w w:val="105"/>
          <w:sz w:val="21"/>
        </w:rPr>
        <w:t> </w:t>
      </w:r>
      <w:r>
        <w:rPr>
          <w:w w:val="105"/>
          <w:sz w:val="21"/>
        </w:rPr>
        <w:t>as</w:t>
      </w:r>
      <w:r>
        <w:rPr>
          <w:spacing w:val="-5"/>
          <w:w w:val="105"/>
          <w:sz w:val="21"/>
        </w:rPr>
        <w:t> </w:t>
      </w:r>
      <w:r>
        <w:rPr>
          <w:w w:val="105"/>
          <w:sz w:val="21"/>
        </w:rPr>
        <w:t>a</w:t>
      </w:r>
      <w:r>
        <w:rPr>
          <w:spacing w:val="-5"/>
          <w:w w:val="105"/>
          <w:sz w:val="21"/>
        </w:rPr>
        <w:t> </w:t>
      </w:r>
      <w:r>
        <w:rPr>
          <w:spacing w:val="-4"/>
          <w:w w:val="105"/>
          <w:sz w:val="21"/>
        </w:rPr>
        <w:t>mediator.</w:t>
      </w:r>
      <w:r>
        <w:rPr>
          <w:spacing w:val="-5"/>
          <w:w w:val="105"/>
          <w:sz w:val="21"/>
        </w:rPr>
        <w:t> </w:t>
      </w:r>
      <w:r>
        <w:rPr>
          <w:w w:val="105"/>
          <w:sz w:val="21"/>
        </w:rPr>
        <w:t>The</w:t>
      </w:r>
      <w:r>
        <w:rPr>
          <w:spacing w:val="-5"/>
          <w:w w:val="105"/>
          <w:sz w:val="21"/>
        </w:rPr>
        <w:t> </w:t>
      </w:r>
      <w:r>
        <w:rPr>
          <w:w w:val="105"/>
          <w:sz w:val="21"/>
        </w:rPr>
        <w:t>arborist</w:t>
      </w:r>
      <w:r>
        <w:rPr>
          <w:spacing w:val="-6"/>
          <w:w w:val="105"/>
          <w:sz w:val="21"/>
        </w:rPr>
        <w:t> </w:t>
      </w:r>
      <w:r>
        <w:rPr>
          <w:spacing w:val="-2"/>
          <w:w w:val="105"/>
          <w:sz w:val="21"/>
        </w:rPr>
        <w:t>estimated</w:t>
      </w:r>
      <w:r>
        <w:rPr>
          <w:spacing w:val="-5"/>
          <w:w w:val="105"/>
          <w:sz w:val="21"/>
        </w:rPr>
        <w:t> </w:t>
      </w:r>
      <w:r>
        <w:rPr>
          <w:spacing w:val="-3"/>
          <w:w w:val="105"/>
          <w:sz w:val="21"/>
        </w:rPr>
        <w:t>that</w:t>
      </w:r>
      <w:r>
        <w:rPr>
          <w:spacing w:val="-5"/>
          <w:w w:val="105"/>
          <w:sz w:val="21"/>
        </w:rPr>
        <w:t> </w:t>
      </w:r>
      <w:r>
        <w:rPr>
          <w:w w:val="105"/>
          <w:sz w:val="21"/>
        </w:rPr>
        <w:t>he</w:t>
      </w:r>
      <w:r>
        <w:rPr>
          <w:spacing w:val="-5"/>
          <w:w w:val="105"/>
          <w:sz w:val="21"/>
        </w:rPr>
        <w:t> </w:t>
      </w:r>
      <w:r>
        <w:rPr>
          <w:spacing w:val="-3"/>
          <w:w w:val="105"/>
          <w:sz w:val="21"/>
        </w:rPr>
        <w:t>achieves</w:t>
      </w:r>
      <w:r>
        <w:rPr>
          <w:spacing w:val="-5"/>
          <w:w w:val="105"/>
          <w:sz w:val="21"/>
        </w:rPr>
        <w:t> </w:t>
      </w:r>
      <w:r>
        <w:rPr>
          <w:w w:val="105"/>
          <w:sz w:val="21"/>
        </w:rPr>
        <w:t>good</w:t>
      </w:r>
      <w:r>
        <w:rPr>
          <w:spacing w:val="-6"/>
          <w:w w:val="105"/>
          <w:sz w:val="21"/>
        </w:rPr>
        <w:t> </w:t>
      </w:r>
      <w:r>
        <w:rPr>
          <w:spacing w:val="-3"/>
          <w:w w:val="105"/>
          <w:sz w:val="21"/>
        </w:rPr>
        <w:t>outcomes</w:t>
      </w:r>
      <w:r>
        <w:rPr>
          <w:spacing w:val="-5"/>
          <w:w w:val="105"/>
          <w:sz w:val="21"/>
        </w:rPr>
        <w:t> </w:t>
      </w:r>
      <w:r>
        <w:rPr>
          <w:spacing w:val="-3"/>
          <w:w w:val="105"/>
          <w:sz w:val="21"/>
        </w:rPr>
        <w:t>for</w:t>
      </w:r>
      <w:r>
        <w:rPr>
          <w:spacing w:val="-5"/>
          <w:w w:val="105"/>
          <w:sz w:val="21"/>
        </w:rPr>
        <w:t> </w:t>
      </w:r>
      <w:r>
        <w:rPr>
          <w:w w:val="105"/>
          <w:sz w:val="21"/>
        </w:rPr>
        <w:t>both</w:t>
      </w:r>
      <w:r>
        <w:rPr>
          <w:spacing w:val="-5"/>
          <w:w w:val="105"/>
          <w:sz w:val="21"/>
        </w:rPr>
        <w:t> </w:t>
      </w:r>
      <w:r>
        <w:rPr>
          <w:w w:val="105"/>
          <w:sz w:val="21"/>
        </w:rPr>
        <w:t>parties </w:t>
      </w:r>
      <w:r>
        <w:rPr>
          <w:spacing w:val="-3"/>
          <w:w w:val="105"/>
          <w:sz w:val="21"/>
        </w:rPr>
        <w:t>nine</w:t>
      </w:r>
      <w:r>
        <w:rPr>
          <w:spacing w:val="-4"/>
          <w:w w:val="105"/>
          <w:sz w:val="21"/>
        </w:rPr>
        <w:t> </w:t>
      </w:r>
      <w:r>
        <w:rPr>
          <w:w w:val="105"/>
          <w:sz w:val="21"/>
        </w:rPr>
        <w:t>times</w:t>
      </w:r>
      <w:r>
        <w:rPr>
          <w:spacing w:val="-4"/>
          <w:w w:val="105"/>
          <w:sz w:val="21"/>
        </w:rPr>
        <w:t> </w:t>
      </w:r>
      <w:r>
        <w:rPr>
          <w:w w:val="105"/>
          <w:sz w:val="21"/>
        </w:rPr>
        <w:t>out</w:t>
      </w:r>
      <w:r>
        <w:rPr>
          <w:spacing w:val="-3"/>
          <w:w w:val="105"/>
          <w:sz w:val="21"/>
        </w:rPr>
        <w:t> </w:t>
      </w:r>
      <w:r>
        <w:rPr>
          <w:w w:val="105"/>
          <w:sz w:val="21"/>
        </w:rPr>
        <w:t>of</w:t>
      </w:r>
      <w:r>
        <w:rPr>
          <w:spacing w:val="-4"/>
          <w:w w:val="105"/>
          <w:sz w:val="21"/>
        </w:rPr>
        <w:t> ten.</w:t>
      </w:r>
      <w:r>
        <w:rPr>
          <w:spacing w:val="-4"/>
          <w:w w:val="105"/>
          <w:position w:val="7"/>
          <w:sz w:val="12"/>
        </w:rPr>
        <w:t>77</w:t>
      </w:r>
      <w:r>
        <w:rPr>
          <w:spacing w:val="19"/>
          <w:w w:val="105"/>
          <w:position w:val="7"/>
          <w:sz w:val="12"/>
        </w:rPr>
        <w:t> </w:t>
      </w:r>
      <w:r>
        <w:rPr>
          <w:w w:val="105"/>
          <w:sz w:val="21"/>
        </w:rPr>
        <w:t>It</w:t>
      </w:r>
      <w:r>
        <w:rPr>
          <w:spacing w:val="-3"/>
          <w:w w:val="105"/>
          <w:sz w:val="21"/>
        </w:rPr>
        <w:t> will</w:t>
      </w:r>
      <w:r>
        <w:rPr>
          <w:spacing w:val="-4"/>
          <w:w w:val="105"/>
          <w:sz w:val="21"/>
        </w:rPr>
        <w:t> </w:t>
      </w:r>
      <w:r>
        <w:rPr>
          <w:w w:val="105"/>
          <w:sz w:val="21"/>
        </w:rPr>
        <w:t>be</w:t>
      </w:r>
      <w:r>
        <w:rPr>
          <w:spacing w:val="-4"/>
          <w:w w:val="105"/>
          <w:sz w:val="21"/>
        </w:rPr>
        <w:t> </w:t>
      </w:r>
      <w:r>
        <w:rPr>
          <w:w w:val="105"/>
          <w:sz w:val="21"/>
        </w:rPr>
        <w:t>important</w:t>
      </w:r>
      <w:r>
        <w:rPr>
          <w:spacing w:val="-3"/>
          <w:w w:val="105"/>
          <w:sz w:val="21"/>
        </w:rPr>
        <w:t> that</w:t>
      </w:r>
      <w:r>
        <w:rPr>
          <w:spacing w:val="-4"/>
          <w:w w:val="105"/>
          <w:sz w:val="21"/>
        </w:rPr>
        <w:t> </w:t>
      </w:r>
      <w:r>
        <w:rPr>
          <w:w w:val="105"/>
          <w:sz w:val="21"/>
        </w:rPr>
        <w:t>arborists</w:t>
      </w:r>
      <w:r>
        <w:rPr>
          <w:spacing w:val="-4"/>
          <w:w w:val="105"/>
          <w:sz w:val="21"/>
        </w:rPr>
        <w:t> </w:t>
      </w:r>
      <w:r>
        <w:rPr>
          <w:w w:val="105"/>
          <w:sz w:val="21"/>
        </w:rPr>
        <w:t>understand</w:t>
      </w:r>
      <w:r>
        <w:rPr>
          <w:spacing w:val="-3"/>
          <w:w w:val="105"/>
          <w:sz w:val="21"/>
        </w:rPr>
        <w:t> </w:t>
      </w:r>
      <w:r>
        <w:rPr>
          <w:w w:val="105"/>
          <w:sz w:val="21"/>
        </w:rPr>
        <w:t>the</w:t>
      </w:r>
      <w:r>
        <w:rPr>
          <w:spacing w:val="-4"/>
          <w:w w:val="105"/>
          <w:sz w:val="21"/>
        </w:rPr>
        <w:t> </w:t>
      </w:r>
      <w:r>
        <w:rPr>
          <w:w w:val="105"/>
          <w:sz w:val="21"/>
        </w:rPr>
        <w:t>operation</w:t>
      </w:r>
      <w:r>
        <w:rPr>
          <w:spacing w:val="-3"/>
          <w:w w:val="105"/>
          <w:sz w:val="21"/>
        </w:rPr>
        <w:t> </w:t>
      </w:r>
      <w:r>
        <w:rPr>
          <w:w w:val="105"/>
          <w:sz w:val="21"/>
        </w:rPr>
        <w:t>of</w:t>
      </w:r>
    </w:p>
    <w:p>
      <w:pPr>
        <w:pStyle w:val="BodyText"/>
        <w:spacing w:before="8"/>
        <w:ind w:left="2381"/>
      </w:pPr>
      <w:r>
        <w:rPr/>
        <w:t>the new Act, given their central role as information disseminators in the community.</w:t>
      </w:r>
    </w:p>
    <w:p>
      <w:pPr>
        <w:pStyle w:val="ListParagraph"/>
        <w:numPr>
          <w:ilvl w:val="1"/>
          <w:numId w:val="16"/>
        </w:numPr>
        <w:tabs>
          <w:tab w:pos="2380" w:val="left" w:leader="none"/>
          <w:tab w:pos="2381" w:val="left" w:leader="none"/>
        </w:tabs>
        <w:spacing w:line="242" w:lineRule="auto" w:before="124" w:after="0"/>
        <w:ind w:left="2380" w:right="1712" w:hanging="793"/>
        <w:jc w:val="left"/>
        <w:rPr>
          <w:sz w:val="21"/>
        </w:rPr>
      </w:pPr>
      <w:r>
        <w:rPr>
          <w:w w:val="105"/>
          <w:sz w:val="21"/>
        </w:rPr>
        <w:t>Some</w:t>
      </w:r>
      <w:r>
        <w:rPr>
          <w:spacing w:val="-5"/>
          <w:w w:val="105"/>
          <w:sz w:val="21"/>
        </w:rPr>
        <w:t> </w:t>
      </w:r>
      <w:r>
        <w:rPr>
          <w:w w:val="105"/>
          <w:sz w:val="21"/>
        </w:rPr>
        <w:t>arborists</w:t>
      </w:r>
      <w:r>
        <w:rPr>
          <w:spacing w:val="-5"/>
          <w:w w:val="105"/>
          <w:sz w:val="21"/>
        </w:rPr>
        <w:t> </w:t>
      </w:r>
      <w:r>
        <w:rPr>
          <w:spacing w:val="-3"/>
          <w:w w:val="105"/>
          <w:sz w:val="21"/>
        </w:rPr>
        <w:t>noted</w:t>
      </w:r>
      <w:r>
        <w:rPr>
          <w:spacing w:val="-5"/>
          <w:w w:val="105"/>
          <w:sz w:val="21"/>
        </w:rPr>
        <w:t> </w:t>
      </w:r>
      <w:r>
        <w:rPr>
          <w:spacing w:val="-3"/>
          <w:w w:val="105"/>
          <w:sz w:val="21"/>
        </w:rPr>
        <w:t>that</w:t>
      </w:r>
      <w:r>
        <w:rPr>
          <w:spacing w:val="-5"/>
          <w:w w:val="105"/>
          <w:sz w:val="21"/>
        </w:rPr>
        <w:t> </w:t>
      </w:r>
      <w:r>
        <w:rPr>
          <w:w w:val="105"/>
          <w:sz w:val="21"/>
        </w:rPr>
        <w:t>contracts</w:t>
      </w:r>
      <w:r>
        <w:rPr>
          <w:spacing w:val="-5"/>
          <w:w w:val="105"/>
          <w:sz w:val="21"/>
        </w:rPr>
        <w:t> </w:t>
      </w:r>
      <w:r>
        <w:rPr>
          <w:spacing w:val="-3"/>
          <w:w w:val="105"/>
          <w:sz w:val="21"/>
        </w:rPr>
        <w:t>for</w:t>
      </w:r>
      <w:r>
        <w:rPr>
          <w:spacing w:val="-5"/>
          <w:w w:val="105"/>
          <w:sz w:val="21"/>
        </w:rPr>
        <w:t> </w:t>
      </w:r>
      <w:r>
        <w:rPr>
          <w:w w:val="105"/>
          <w:sz w:val="21"/>
        </w:rPr>
        <w:t>sale</w:t>
      </w:r>
      <w:r>
        <w:rPr>
          <w:spacing w:val="-5"/>
          <w:w w:val="105"/>
          <w:sz w:val="21"/>
        </w:rPr>
        <w:t> </w:t>
      </w:r>
      <w:r>
        <w:rPr>
          <w:w w:val="105"/>
          <w:sz w:val="21"/>
        </w:rPr>
        <w:t>of</w:t>
      </w:r>
      <w:r>
        <w:rPr>
          <w:spacing w:val="-5"/>
          <w:w w:val="105"/>
          <w:sz w:val="21"/>
        </w:rPr>
        <w:t> </w:t>
      </w:r>
      <w:r>
        <w:rPr>
          <w:spacing w:val="-3"/>
          <w:w w:val="105"/>
          <w:sz w:val="21"/>
        </w:rPr>
        <w:t>land</w:t>
      </w:r>
      <w:r>
        <w:rPr>
          <w:spacing w:val="-4"/>
          <w:w w:val="105"/>
          <w:sz w:val="21"/>
        </w:rPr>
        <w:t> </w:t>
      </w:r>
      <w:r>
        <w:rPr>
          <w:w w:val="105"/>
          <w:sz w:val="21"/>
        </w:rPr>
        <w:t>should</w:t>
      </w:r>
      <w:r>
        <w:rPr>
          <w:spacing w:val="-5"/>
          <w:w w:val="105"/>
          <w:sz w:val="21"/>
        </w:rPr>
        <w:t> </w:t>
      </w:r>
      <w:r>
        <w:rPr>
          <w:w w:val="105"/>
          <w:sz w:val="21"/>
        </w:rPr>
        <w:t>be</w:t>
      </w:r>
      <w:r>
        <w:rPr>
          <w:spacing w:val="-5"/>
          <w:w w:val="105"/>
          <w:sz w:val="21"/>
        </w:rPr>
        <w:t> </w:t>
      </w:r>
      <w:r>
        <w:rPr>
          <w:spacing w:val="-3"/>
          <w:w w:val="105"/>
          <w:sz w:val="21"/>
        </w:rPr>
        <w:t>required</w:t>
      </w:r>
      <w:r>
        <w:rPr>
          <w:spacing w:val="-5"/>
          <w:w w:val="105"/>
          <w:sz w:val="21"/>
        </w:rPr>
        <w:t> </w:t>
      </w:r>
      <w:r>
        <w:rPr>
          <w:w w:val="105"/>
          <w:sz w:val="21"/>
        </w:rPr>
        <w:t>by</w:t>
      </w:r>
      <w:r>
        <w:rPr>
          <w:spacing w:val="-5"/>
          <w:w w:val="105"/>
          <w:sz w:val="21"/>
        </w:rPr>
        <w:t> </w:t>
      </w:r>
      <w:r>
        <w:rPr>
          <w:w w:val="105"/>
          <w:sz w:val="21"/>
        </w:rPr>
        <w:t>law</w:t>
      </w:r>
      <w:r>
        <w:rPr>
          <w:spacing w:val="-5"/>
          <w:w w:val="105"/>
          <w:sz w:val="21"/>
        </w:rPr>
        <w:t> </w:t>
      </w:r>
      <w:r>
        <w:rPr>
          <w:spacing w:val="-3"/>
          <w:w w:val="105"/>
          <w:sz w:val="21"/>
        </w:rPr>
        <w:t>to</w:t>
      </w:r>
      <w:r>
        <w:rPr>
          <w:spacing w:val="-5"/>
          <w:w w:val="105"/>
          <w:sz w:val="21"/>
        </w:rPr>
        <w:t> </w:t>
      </w:r>
      <w:r>
        <w:rPr>
          <w:spacing w:val="-3"/>
          <w:w w:val="105"/>
          <w:sz w:val="21"/>
        </w:rPr>
        <w:t>contain information </w:t>
      </w:r>
      <w:r>
        <w:rPr>
          <w:w w:val="105"/>
          <w:sz w:val="21"/>
        </w:rPr>
        <w:t>and </w:t>
      </w:r>
      <w:r>
        <w:rPr>
          <w:spacing w:val="-3"/>
          <w:w w:val="105"/>
          <w:sz w:val="21"/>
        </w:rPr>
        <w:t>guidelines </w:t>
      </w:r>
      <w:r>
        <w:rPr>
          <w:w w:val="105"/>
          <w:sz w:val="21"/>
        </w:rPr>
        <w:t>about how </w:t>
      </w:r>
      <w:r>
        <w:rPr>
          <w:spacing w:val="-3"/>
          <w:w w:val="105"/>
          <w:sz w:val="21"/>
        </w:rPr>
        <w:t>to </w:t>
      </w:r>
      <w:r>
        <w:rPr>
          <w:w w:val="105"/>
          <w:sz w:val="21"/>
        </w:rPr>
        <w:t>live with neighbours so </w:t>
      </w:r>
      <w:r>
        <w:rPr>
          <w:spacing w:val="-3"/>
          <w:w w:val="105"/>
          <w:sz w:val="21"/>
        </w:rPr>
        <w:t>that </w:t>
      </w:r>
      <w:r>
        <w:rPr>
          <w:w w:val="105"/>
          <w:sz w:val="21"/>
        </w:rPr>
        <w:t>new owners understand</w:t>
      </w:r>
      <w:r>
        <w:rPr>
          <w:spacing w:val="-13"/>
          <w:w w:val="105"/>
          <w:sz w:val="21"/>
        </w:rPr>
        <w:t> </w:t>
      </w:r>
      <w:r>
        <w:rPr>
          <w:w w:val="105"/>
          <w:sz w:val="21"/>
        </w:rPr>
        <w:t>their</w:t>
      </w:r>
      <w:r>
        <w:rPr>
          <w:spacing w:val="-12"/>
          <w:w w:val="105"/>
          <w:sz w:val="21"/>
        </w:rPr>
        <w:t> </w:t>
      </w:r>
      <w:r>
        <w:rPr>
          <w:spacing w:val="-3"/>
          <w:w w:val="105"/>
          <w:sz w:val="21"/>
        </w:rPr>
        <w:t>responsibilities</w:t>
      </w:r>
      <w:r>
        <w:rPr>
          <w:spacing w:val="-12"/>
          <w:w w:val="105"/>
          <w:sz w:val="21"/>
        </w:rPr>
        <w:t> </w:t>
      </w:r>
      <w:r>
        <w:rPr>
          <w:w w:val="105"/>
          <w:sz w:val="21"/>
        </w:rPr>
        <w:t>about</w:t>
      </w:r>
      <w:r>
        <w:rPr>
          <w:spacing w:val="-12"/>
          <w:w w:val="105"/>
          <w:sz w:val="21"/>
        </w:rPr>
        <w:t> </w:t>
      </w:r>
      <w:r>
        <w:rPr>
          <w:w w:val="105"/>
          <w:sz w:val="21"/>
        </w:rPr>
        <w:t>trees,</w:t>
      </w:r>
      <w:r>
        <w:rPr>
          <w:spacing w:val="-12"/>
          <w:w w:val="105"/>
          <w:sz w:val="21"/>
        </w:rPr>
        <w:t> </w:t>
      </w:r>
      <w:r>
        <w:rPr>
          <w:spacing w:val="-3"/>
          <w:w w:val="105"/>
          <w:sz w:val="21"/>
        </w:rPr>
        <w:t>fences,</w:t>
      </w:r>
      <w:r>
        <w:rPr>
          <w:spacing w:val="-12"/>
          <w:w w:val="105"/>
          <w:sz w:val="21"/>
        </w:rPr>
        <w:t> </w:t>
      </w:r>
      <w:r>
        <w:rPr>
          <w:spacing w:val="-4"/>
          <w:w w:val="105"/>
          <w:sz w:val="21"/>
        </w:rPr>
        <w:t>drainage,</w:t>
      </w:r>
      <w:r>
        <w:rPr>
          <w:spacing w:val="-12"/>
          <w:w w:val="105"/>
          <w:sz w:val="21"/>
        </w:rPr>
        <w:t> </w:t>
      </w:r>
      <w:r>
        <w:rPr>
          <w:w w:val="105"/>
          <w:sz w:val="21"/>
        </w:rPr>
        <w:t>and</w:t>
      </w:r>
      <w:r>
        <w:rPr>
          <w:spacing w:val="-13"/>
          <w:w w:val="105"/>
          <w:sz w:val="21"/>
        </w:rPr>
        <w:t> </w:t>
      </w:r>
      <w:r>
        <w:rPr>
          <w:w w:val="105"/>
          <w:sz w:val="21"/>
        </w:rPr>
        <w:t>other</w:t>
      </w:r>
      <w:r>
        <w:rPr>
          <w:spacing w:val="-12"/>
          <w:w w:val="105"/>
          <w:sz w:val="21"/>
        </w:rPr>
        <w:t> </w:t>
      </w:r>
      <w:r>
        <w:rPr>
          <w:w w:val="105"/>
          <w:sz w:val="21"/>
        </w:rPr>
        <w:t>matters</w:t>
      </w:r>
      <w:r>
        <w:rPr>
          <w:spacing w:val="-12"/>
          <w:w w:val="105"/>
          <w:sz w:val="21"/>
        </w:rPr>
        <w:t> </w:t>
      </w:r>
      <w:r>
        <w:rPr>
          <w:spacing w:val="-4"/>
          <w:w w:val="105"/>
          <w:sz w:val="21"/>
        </w:rPr>
        <w:t>likely</w:t>
      </w:r>
      <w:r>
        <w:rPr>
          <w:spacing w:val="-12"/>
          <w:w w:val="105"/>
          <w:sz w:val="21"/>
        </w:rPr>
        <w:t> </w:t>
      </w:r>
      <w:r>
        <w:rPr>
          <w:spacing w:val="-3"/>
          <w:w w:val="105"/>
          <w:sz w:val="21"/>
        </w:rPr>
        <w:t>to </w:t>
      </w:r>
      <w:r>
        <w:rPr>
          <w:w w:val="105"/>
          <w:sz w:val="21"/>
        </w:rPr>
        <w:t>be subject </w:t>
      </w:r>
      <w:r>
        <w:rPr>
          <w:spacing w:val="-3"/>
          <w:w w:val="105"/>
          <w:sz w:val="21"/>
        </w:rPr>
        <w:t>to </w:t>
      </w:r>
      <w:r>
        <w:rPr>
          <w:w w:val="105"/>
          <w:sz w:val="21"/>
        </w:rPr>
        <w:t>neighbourhood</w:t>
      </w:r>
      <w:r>
        <w:rPr>
          <w:spacing w:val="22"/>
          <w:w w:val="105"/>
          <w:sz w:val="21"/>
        </w:rPr>
        <w:t> </w:t>
      </w:r>
      <w:r>
        <w:rPr>
          <w:spacing w:val="-3"/>
          <w:w w:val="105"/>
          <w:sz w:val="21"/>
        </w:rPr>
        <w:t>disputes.</w:t>
      </w:r>
      <w:r>
        <w:rPr>
          <w:spacing w:val="-3"/>
          <w:w w:val="105"/>
          <w:position w:val="7"/>
          <w:sz w:val="12"/>
        </w:rPr>
        <w:t>78</w:t>
      </w:r>
    </w:p>
    <w:p>
      <w:pPr>
        <w:pStyle w:val="BodyText"/>
        <w:spacing w:before="11"/>
      </w:pPr>
    </w:p>
    <w:p>
      <w:pPr>
        <w:pStyle w:val="Heading4"/>
      </w:pPr>
      <w:r>
        <w:rPr>
          <w:color w:val="658464"/>
          <w:w w:val="110"/>
        </w:rPr>
        <w:t>The Commission’s conclusions—community resources</w:t>
      </w:r>
    </w:p>
    <w:p>
      <w:pPr>
        <w:pStyle w:val="Heading5"/>
        <w:spacing w:before="280"/>
      </w:pPr>
      <w:r>
        <w:rPr>
          <w:w w:val="115"/>
        </w:rPr>
        <w:t>A new tree disputes website</w:t>
      </w:r>
    </w:p>
    <w:p>
      <w:pPr>
        <w:pStyle w:val="ListParagraph"/>
        <w:numPr>
          <w:ilvl w:val="1"/>
          <w:numId w:val="16"/>
        </w:numPr>
        <w:tabs>
          <w:tab w:pos="2381" w:val="left" w:leader="none"/>
          <w:tab w:pos="2382" w:val="left" w:leader="none"/>
        </w:tabs>
        <w:spacing w:line="242" w:lineRule="auto" w:before="137" w:after="0"/>
        <w:ind w:left="2381" w:right="1659" w:hanging="794"/>
        <w:jc w:val="left"/>
        <w:rPr>
          <w:sz w:val="21"/>
        </w:rPr>
      </w:pPr>
      <w:r>
        <w:rPr>
          <w:w w:val="105"/>
          <w:sz w:val="21"/>
        </w:rPr>
        <w:t>The </w:t>
      </w:r>
      <w:r>
        <w:rPr>
          <w:spacing w:val="-3"/>
          <w:w w:val="105"/>
          <w:sz w:val="21"/>
        </w:rPr>
        <w:t>Commission </w:t>
      </w:r>
      <w:r>
        <w:rPr>
          <w:w w:val="105"/>
          <w:sz w:val="21"/>
        </w:rPr>
        <w:t>agrees with the </w:t>
      </w:r>
      <w:r>
        <w:rPr>
          <w:spacing w:val="-3"/>
          <w:w w:val="105"/>
          <w:sz w:val="21"/>
        </w:rPr>
        <w:t>community’s </w:t>
      </w:r>
      <w:r>
        <w:rPr>
          <w:w w:val="105"/>
          <w:sz w:val="21"/>
        </w:rPr>
        <w:t>views about the need </w:t>
      </w:r>
      <w:r>
        <w:rPr>
          <w:spacing w:val="-3"/>
          <w:w w:val="105"/>
          <w:sz w:val="21"/>
        </w:rPr>
        <w:t>for </w:t>
      </w:r>
      <w:r>
        <w:rPr>
          <w:w w:val="105"/>
          <w:sz w:val="21"/>
        </w:rPr>
        <w:t>a </w:t>
      </w:r>
      <w:r>
        <w:rPr>
          <w:spacing w:val="-3"/>
          <w:w w:val="105"/>
          <w:sz w:val="21"/>
        </w:rPr>
        <w:t>website </w:t>
      </w:r>
      <w:r>
        <w:rPr>
          <w:w w:val="105"/>
          <w:sz w:val="21"/>
        </w:rPr>
        <w:t>dedicated</w:t>
      </w:r>
      <w:r>
        <w:rPr>
          <w:spacing w:val="-8"/>
          <w:w w:val="105"/>
          <w:sz w:val="21"/>
        </w:rPr>
        <w:t> </w:t>
      </w:r>
      <w:r>
        <w:rPr>
          <w:spacing w:val="-3"/>
          <w:w w:val="105"/>
          <w:sz w:val="21"/>
        </w:rPr>
        <w:t>to</w:t>
      </w:r>
      <w:r>
        <w:rPr>
          <w:spacing w:val="-8"/>
          <w:w w:val="105"/>
          <w:sz w:val="21"/>
        </w:rPr>
        <w:t> </w:t>
      </w:r>
      <w:r>
        <w:rPr>
          <w:w w:val="105"/>
          <w:sz w:val="21"/>
        </w:rPr>
        <w:t>the</w:t>
      </w:r>
      <w:r>
        <w:rPr>
          <w:spacing w:val="-8"/>
          <w:w w:val="105"/>
          <w:sz w:val="21"/>
        </w:rPr>
        <w:t> </w:t>
      </w:r>
      <w:r>
        <w:rPr>
          <w:w w:val="105"/>
          <w:sz w:val="21"/>
        </w:rPr>
        <w:t>resolution</w:t>
      </w:r>
      <w:r>
        <w:rPr>
          <w:spacing w:val="-7"/>
          <w:w w:val="105"/>
          <w:sz w:val="21"/>
        </w:rPr>
        <w:t> </w:t>
      </w:r>
      <w:r>
        <w:rPr>
          <w:w w:val="105"/>
          <w:sz w:val="21"/>
        </w:rPr>
        <w:t>of</w:t>
      </w:r>
      <w:r>
        <w:rPr>
          <w:spacing w:val="-8"/>
          <w:w w:val="105"/>
          <w:sz w:val="21"/>
        </w:rPr>
        <w:t> </w:t>
      </w:r>
      <w:r>
        <w:rPr>
          <w:w w:val="105"/>
          <w:sz w:val="21"/>
        </w:rPr>
        <w:t>neighbourhood</w:t>
      </w:r>
      <w:r>
        <w:rPr>
          <w:spacing w:val="-8"/>
          <w:w w:val="105"/>
          <w:sz w:val="21"/>
        </w:rPr>
        <w:t> </w:t>
      </w:r>
      <w:r>
        <w:rPr>
          <w:w w:val="105"/>
          <w:sz w:val="21"/>
        </w:rPr>
        <w:t>tree</w:t>
      </w:r>
      <w:r>
        <w:rPr>
          <w:spacing w:val="-8"/>
          <w:w w:val="105"/>
          <w:sz w:val="21"/>
        </w:rPr>
        <w:t> </w:t>
      </w:r>
      <w:r>
        <w:rPr>
          <w:spacing w:val="-3"/>
          <w:w w:val="105"/>
          <w:sz w:val="21"/>
        </w:rPr>
        <w:t>disputes.</w:t>
      </w:r>
      <w:r>
        <w:rPr>
          <w:spacing w:val="-7"/>
          <w:w w:val="105"/>
          <w:sz w:val="21"/>
        </w:rPr>
        <w:t> </w:t>
      </w:r>
      <w:r>
        <w:rPr>
          <w:w w:val="105"/>
          <w:sz w:val="21"/>
        </w:rPr>
        <w:t>A</w:t>
      </w:r>
      <w:r>
        <w:rPr>
          <w:spacing w:val="-8"/>
          <w:w w:val="105"/>
          <w:sz w:val="21"/>
        </w:rPr>
        <w:t> </w:t>
      </w:r>
      <w:r>
        <w:rPr>
          <w:spacing w:val="-3"/>
          <w:w w:val="105"/>
          <w:sz w:val="21"/>
        </w:rPr>
        <w:t>website</w:t>
      </w:r>
      <w:r>
        <w:rPr>
          <w:spacing w:val="-8"/>
          <w:w w:val="105"/>
          <w:sz w:val="21"/>
        </w:rPr>
        <w:t> </w:t>
      </w:r>
      <w:r>
        <w:rPr>
          <w:w w:val="105"/>
          <w:sz w:val="21"/>
        </w:rPr>
        <w:t>would</w:t>
      </w:r>
      <w:r>
        <w:rPr>
          <w:spacing w:val="-8"/>
          <w:w w:val="105"/>
          <w:sz w:val="21"/>
        </w:rPr>
        <w:t> </w:t>
      </w:r>
      <w:r>
        <w:rPr>
          <w:spacing w:val="-3"/>
          <w:w w:val="105"/>
          <w:sz w:val="21"/>
        </w:rPr>
        <w:t>ensure</w:t>
      </w:r>
      <w:r>
        <w:rPr>
          <w:spacing w:val="-7"/>
          <w:w w:val="105"/>
          <w:sz w:val="21"/>
        </w:rPr>
        <w:t> </w:t>
      </w:r>
      <w:r>
        <w:rPr>
          <w:spacing w:val="-3"/>
          <w:w w:val="105"/>
          <w:sz w:val="21"/>
        </w:rPr>
        <w:t>that information </w:t>
      </w:r>
      <w:r>
        <w:rPr>
          <w:w w:val="105"/>
          <w:sz w:val="21"/>
        </w:rPr>
        <w:t>is widely </w:t>
      </w:r>
      <w:r>
        <w:rPr>
          <w:spacing w:val="-3"/>
          <w:w w:val="105"/>
          <w:sz w:val="21"/>
        </w:rPr>
        <w:t>available, including </w:t>
      </w:r>
      <w:r>
        <w:rPr>
          <w:w w:val="105"/>
          <w:sz w:val="21"/>
        </w:rPr>
        <w:t>in </w:t>
      </w:r>
      <w:r>
        <w:rPr>
          <w:spacing w:val="-3"/>
          <w:w w:val="105"/>
          <w:sz w:val="21"/>
        </w:rPr>
        <w:t>regional</w:t>
      </w:r>
      <w:r>
        <w:rPr>
          <w:spacing w:val="39"/>
          <w:w w:val="105"/>
          <w:sz w:val="21"/>
        </w:rPr>
        <w:t> </w:t>
      </w:r>
      <w:r>
        <w:rPr>
          <w:spacing w:val="-3"/>
          <w:w w:val="105"/>
          <w:sz w:val="21"/>
        </w:rPr>
        <w:t>areas.</w:t>
      </w:r>
    </w:p>
    <w:p>
      <w:pPr>
        <w:pStyle w:val="ListParagraph"/>
        <w:numPr>
          <w:ilvl w:val="1"/>
          <w:numId w:val="16"/>
        </w:numPr>
        <w:tabs>
          <w:tab w:pos="2381" w:val="left" w:leader="none"/>
          <w:tab w:pos="2382" w:val="left" w:leader="none"/>
        </w:tabs>
        <w:spacing w:line="242" w:lineRule="auto" w:before="123" w:after="0"/>
        <w:ind w:left="2381" w:right="1596" w:hanging="794"/>
        <w:jc w:val="left"/>
        <w:rPr>
          <w:sz w:val="21"/>
        </w:rPr>
      </w:pPr>
      <w:r>
        <w:rPr>
          <w:w w:val="105"/>
          <w:sz w:val="21"/>
        </w:rPr>
        <w:t>The </w:t>
      </w:r>
      <w:r>
        <w:rPr>
          <w:spacing w:val="-3"/>
          <w:w w:val="105"/>
          <w:sz w:val="21"/>
        </w:rPr>
        <w:t>Commission recommends that </w:t>
      </w:r>
      <w:r>
        <w:rPr>
          <w:w w:val="105"/>
          <w:sz w:val="21"/>
        </w:rPr>
        <w:t>this </w:t>
      </w:r>
      <w:r>
        <w:rPr>
          <w:spacing w:val="-3"/>
          <w:w w:val="105"/>
          <w:sz w:val="21"/>
        </w:rPr>
        <w:t>website </w:t>
      </w:r>
      <w:r>
        <w:rPr>
          <w:w w:val="105"/>
          <w:sz w:val="21"/>
        </w:rPr>
        <w:t>be established and hosted by the Department of Justice and </w:t>
      </w:r>
      <w:r>
        <w:rPr>
          <w:spacing w:val="-3"/>
          <w:w w:val="105"/>
          <w:sz w:val="21"/>
        </w:rPr>
        <w:t>Community Safety. </w:t>
      </w:r>
      <w:r>
        <w:rPr>
          <w:w w:val="105"/>
          <w:sz w:val="21"/>
        </w:rPr>
        <w:t>This department </w:t>
      </w:r>
      <w:r>
        <w:rPr>
          <w:spacing w:val="-3"/>
          <w:w w:val="105"/>
          <w:sz w:val="21"/>
        </w:rPr>
        <w:t>already </w:t>
      </w:r>
      <w:r>
        <w:rPr>
          <w:w w:val="105"/>
          <w:sz w:val="21"/>
        </w:rPr>
        <w:t>hosts a </w:t>
      </w:r>
      <w:r>
        <w:rPr>
          <w:spacing w:val="-3"/>
          <w:w w:val="105"/>
          <w:sz w:val="21"/>
        </w:rPr>
        <w:t>helpful </w:t>
      </w:r>
      <w:r>
        <w:rPr>
          <w:w w:val="105"/>
          <w:sz w:val="21"/>
        </w:rPr>
        <w:t>webpage</w:t>
      </w:r>
      <w:r>
        <w:rPr>
          <w:spacing w:val="-6"/>
          <w:w w:val="105"/>
          <w:sz w:val="21"/>
        </w:rPr>
        <w:t> </w:t>
      </w:r>
      <w:r>
        <w:rPr>
          <w:w w:val="105"/>
          <w:sz w:val="21"/>
        </w:rPr>
        <w:t>about</w:t>
      </w:r>
      <w:r>
        <w:rPr>
          <w:spacing w:val="-5"/>
          <w:w w:val="105"/>
          <w:sz w:val="21"/>
        </w:rPr>
        <w:t> </w:t>
      </w:r>
      <w:r>
        <w:rPr>
          <w:w w:val="105"/>
          <w:sz w:val="21"/>
        </w:rPr>
        <w:t>the</w:t>
      </w:r>
      <w:r>
        <w:rPr>
          <w:spacing w:val="-5"/>
          <w:w w:val="105"/>
          <w:sz w:val="21"/>
        </w:rPr>
        <w:t> </w:t>
      </w:r>
      <w:r>
        <w:rPr>
          <w:w w:val="105"/>
          <w:sz w:val="21"/>
        </w:rPr>
        <w:t>Fences</w:t>
      </w:r>
      <w:r>
        <w:rPr>
          <w:spacing w:val="-5"/>
          <w:w w:val="105"/>
          <w:sz w:val="21"/>
        </w:rPr>
        <w:t> </w:t>
      </w:r>
      <w:r>
        <w:rPr>
          <w:w w:val="105"/>
          <w:sz w:val="21"/>
        </w:rPr>
        <w:t>Act.</w:t>
      </w:r>
      <w:r>
        <w:rPr>
          <w:spacing w:val="-5"/>
          <w:w w:val="105"/>
          <w:sz w:val="21"/>
        </w:rPr>
        <w:t> </w:t>
      </w:r>
      <w:r>
        <w:rPr>
          <w:spacing w:val="-3"/>
          <w:w w:val="105"/>
          <w:sz w:val="21"/>
        </w:rPr>
        <w:t>Information</w:t>
      </w:r>
      <w:r>
        <w:rPr>
          <w:spacing w:val="-5"/>
          <w:w w:val="105"/>
          <w:sz w:val="21"/>
        </w:rPr>
        <w:t> </w:t>
      </w:r>
      <w:r>
        <w:rPr>
          <w:w w:val="105"/>
          <w:sz w:val="21"/>
        </w:rPr>
        <w:t>about</w:t>
      </w:r>
      <w:r>
        <w:rPr>
          <w:spacing w:val="-5"/>
          <w:w w:val="105"/>
          <w:sz w:val="21"/>
        </w:rPr>
        <w:t> </w:t>
      </w:r>
      <w:r>
        <w:rPr>
          <w:w w:val="105"/>
          <w:sz w:val="21"/>
        </w:rPr>
        <w:t>the</w:t>
      </w:r>
      <w:r>
        <w:rPr>
          <w:spacing w:val="-5"/>
          <w:w w:val="105"/>
          <w:sz w:val="21"/>
        </w:rPr>
        <w:t> </w:t>
      </w:r>
      <w:r>
        <w:rPr>
          <w:w w:val="105"/>
          <w:sz w:val="21"/>
        </w:rPr>
        <w:t>new</w:t>
      </w:r>
      <w:r>
        <w:rPr>
          <w:spacing w:val="-5"/>
          <w:w w:val="105"/>
          <w:sz w:val="21"/>
        </w:rPr>
        <w:t> </w:t>
      </w:r>
      <w:r>
        <w:rPr>
          <w:w w:val="105"/>
          <w:sz w:val="21"/>
        </w:rPr>
        <w:t>Neighbourhood</w:t>
      </w:r>
      <w:r>
        <w:rPr>
          <w:spacing w:val="-5"/>
          <w:w w:val="105"/>
          <w:sz w:val="21"/>
        </w:rPr>
        <w:t> Tree </w:t>
      </w:r>
      <w:r>
        <w:rPr>
          <w:spacing w:val="-3"/>
          <w:w w:val="105"/>
          <w:sz w:val="21"/>
        </w:rPr>
        <w:t>Disputes </w:t>
      </w:r>
      <w:r>
        <w:rPr>
          <w:w w:val="105"/>
          <w:sz w:val="21"/>
        </w:rPr>
        <w:t>Act </w:t>
      </w:r>
      <w:r>
        <w:rPr>
          <w:spacing w:val="-3"/>
          <w:w w:val="105"/>
          <w:sz w:val="21"/>
        </w:rPr>
        <w:t>could </w:t>
      </w:r>
      <w:r>
        <w:rPr>
          <w:w w:val="105"/>
          <w:sz w:val="21"/>
        </w:rPr>
        <w:t>be co-located with</w:t>
      </w:r>
      <w:r>
        <w:rPr>
          <w:spacing w:val="30"/>
          <w:w w:val="105"/>
          <w:sz w:val="21"/>
        </w:rPr>
        <w:t> </w:t>
      </w:r>
      <w:r>
        <w:rPr>
          <w:spacing w:val="-3"/>
          <w:w w:val="105"/>
          <w:sz w:val="21"/>
        </w:rPr>
        <w:t>this.</w:t>
      </w:r>
      <w:r>
        <w:rPr>
          <w:spacing w:val="-3"/>
          <w:w w:val="105"/>
          <w:position w:val="7"/>
          <w:sz w:val="12"/>
        </w:rPr>
        <w:t>79</w:t>
      </w:r>
    </w:p>
    <w:p>
      <w:pPr>
        <w:pStyle w:val="BodyText"/>
        <w:rPr>
          <w:sz w:val="20"/>
        </w:rPr>
      </w:pPr>
    </w:p>
    <w:p>
      <w:pPr>
        <w:pStyle w:val="BodyText"/>
        <w:spacing w:before="6"/>
        <w:rPr>
          <w:sz w:val="13"/>
        </w:rPr>
      </w:pPr>
      <w:r>
        <w:rPr/>
        <w:pict>
          <v:line style="position:absolute;mso-position-horizontal-relative:page;mso-position-vertical-relative:paragraph;z-index:11624;mso-wrap-distance-left:0;mso-wrap-distance-right:0" from="79.370003pt,10.716985pt" to="515.905003pt,10.71698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200"/>
        </w:numPr>
        <w:tabs>
          <w:tab w:pos="2381" w:val="left" w:leader="none"/>
          <w:tab w:pos="2382" w:val="left" w:leader="none"/>
        </w:tabs>
        <w:spacing w:line="240" w:lineRule="auto" w:before="48" w:after="0"/>
        <w:ind w:left="2381" w:right="83" w:hanging="794"/>
        <w:jc w:val="left"/>
        <w:rPr>
          <w:sz w:val="13"/>
        </w:rPr>
      </w:pPr>
      <w:r>
        <w:rPr>
          <w:w w:val="105"/>
          <w:sz w:val="13"/>
        </w:rPr>
        <w:t>Submissions 1 </w:t>
      </w:r>
      <w:r>
        <w:rPr>
          <w:spacing w:val="2"/>
          <w:w w:val="105"/>
          <w:sz w:val="13"/>
        </w:rPr>
        <w:t>(Ian </w:t>
      </w:r>
      <w:r>
        <w:rPr>
          <w:w w:val="105"/>
          <w:sz w:val="13"/>
        </w:rPr>
        <w:t>Collier), 5 </w:t>
      </w:r>
      <w:r>
        <w:rPr>
          <w:spacing w:val="2"/>
          <w:w w:val="105"/>
          <w:sz w:val="13"/>
        </w:rPr>
        <w:t>(Name </w:t>
      </w:r>
      <w:r>
        <w:rPr>
          <w:w w:val="105"/>
          <w:sz w:val="13"/>
        </w:rPr>
        <w:t>withheld), 22 </w:t>
      </w:r>
      <w:r>
        <w:rPr>
          <w:spacing w:val="2"/>
          <w:w w:val="105"/>
          <w:sz w:val="13"/>
        </w:rPr>
        <w:t>(Name </w:t>
      </w:r>
      <w:r>
        <w:rPr>
          <w:w w:val="105"/>
          <w:sz w:val="13"/>
        </w:rPr>
        <w:t>withheld), 24 </w:t>
      </w:r>
      <w:r>
        <w:rPr>
          <w:spacing w:val="2"/>
          <w:w w:val="105"/>
          <w:sz w:val="13"/>
        </w:rPr>
        <w:t>(Name </w:t>
      </w:r>
      <w:r>
        <w:rPr>
          <w:w w:val="105"/>
          <w:sz w:val="13"/>
        </w:rPr>
        <w:t>withheld); Consultations 4 (Participants in facilitated discussion at </w:t>
      </w:r>
      <w:r>
        <w:rPr>
          <w:spacing w:val="4"/>
          <w:w w:val="105"/>
          <w:sz w:val="13"/>
        </w:rPr>
        <w:t>VTIO </w:t>
      </w:r>
      <w:r>
        <w:rPr>
          <w:w w:val="105"/>
          <w:sz w:val="13"/>
        </w:rPr>
        <w:t>ArborCamp2018), 10 </w:t>
      </w:r>
      <w:r>
        <w:rPr>
          <w:spacing w:val="2"/>
          <w:w w:val="105"/>
          <w:sz w:val="13"/>
        </w:rPr>
        <w:t>(Baw </w:t>
      </w:r>
      <w:r>
        <w:rPr>
          <w:w w:val="105"/>
          <w:sz w:val="13"/>
        </w:rPr>
        <w:t>Baw Shire</w:t>
      </w:r>
      <w:r>
        <w:rPr>
          <w:spacing w:val="3"/>
          <w:w w:val="105"/>
          <w:sz w:val="13"/>
        </w:rPr>
        <w:t> </w:t>
      </w:r>
      <w:r>
        <w:rPr>
          <w:w w:val="105"/>
          <w:sz w:val="13"/>
        </w:rPr>
        <w:t>Council).</w:t>
      </w:r>
    </w:p>
    <w:p>
      <w:pPr>
        <w:pStyle w:val="ListParagraph"/>
        <w:numPr>
          <w:ilvl w:val="0"/>
          <w:numId w:val="200"/>
        </w:numPr>
        <w:tabs>
          <w:tab w:pos="2381" w:val="left" w:leader="none"/>
          <w:tab w:pos="2382" w:val="left" w:leader="none"/>
        </w:tabs>
        <w:spacing w:line="240" w:lineRule="auto" w:before="3" w:after="0"/>
        <w:ind w:left="2381" w:right="0" w:hanging="794"/>
        <w:jc w:val="left"/>
        <w:rPr>
          <w:sz w:val="13"/>
        </w:rPr>
      </w:pPr>
      <w:r>
        <w:rPr>
          <w:w w:val="105"/>
          <w:sz w:val="13"/>
        </w:rPr>
        <w:t>Submissions </w:t>
      </w:r>
      <w:r>
        <w:rPr>
          <w:spacing w:val="-3"/>
          <w:w w:val="105"/>
          <w:sz w:val="13"/>
        </w:rPr>
        <w:t>19</w:t>
      </w:r>
      <w:r>
        <w:rPr>
          <w:spacing w:val="10"/>
          <w:w w:val="105"/>
          <w:sz w:val="13"/>
        </w:rPr>
        <w:t> </w:t>
      </w:r>
      <w:r>
        <w:rPr>
          <w:spacing w:val="2"/>
          <w:w w:val="105"/>
          <w:sz w:val="13"/>
        </w:rPr>
        <w:t>(Name </w:t>
      </w:r>
      <w:r>
        <w:rPr>
          <w:w w:val="105"/>
          <w:sz w:val="13"/>
        </w:rPr>
        <w:t>withheld), 20 </w:t>
      </w:r>
      <w:r>
        <w:rPr>
          <w:spacing w:val="2"/>
          <w:w w:val="105"/>
          <w:sz w:val="13"/>
        </w:rPr>
        <w:t>(Name </w:t>
      </w:r>
      <w:r>
        <w:rPr>
          <w:w w:val="105"/>
          <w:sz w:val="13"/>
        </w:rPr>
        <w:t>withheld); Survey Respondent 123.</w:t>
      </w:r>
    </w:p>
    <w:p>
      <w:pPr>
        <w:pStyle w:val="ListParagraph"/>
        <w:numPr>
          <w:ilvl w:val="0"/>
          <w:numId w:val="200"/>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5"/>
          <w:w w:val="105"/>
          <w:sz w:val="13"/>
        </w:rPr>
        <w:t> </w:t>
      </w:r>
      <w:r>
        <w:rPr>
          <w:w w:val="105"/>
          <w:sz w:val="13"/>
        </w:rPr>
        <w:t>2</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9</w:t>
      </w:r>
      <w:r>
        <w:rPr>
          <w:spacing w:val="5"/>
          <w:w w:val="105"/>
          <w:sz w:val="13"/>
        </w:rPr>
        <w:t> </w:t>
      </w:r>
      <w:r>
        <w:rPr>
          <w:spacing w:val="3"/>
          <w:w w:val="105"/>
          <w:sz w:val="13"/>
        </w:rPr>
        <w:t>(Dr</w:t>
      </w:r>
      <w:r>
        <w:rPr>
          <w:spacing w:val="6"/>
          <w:w w:val="105"/>
          <w:sz w:val="13"/>
        </w:rPr>
        <w:t> </w:t>
      </w:r>
      <w:r>
        <w:rPr>
          <w:w w:val="105"/>
          <w:sz w:val="13"/>
        </w:rPr>
        <w:t>Karen</w:t>
      </w:r>
      <w:r>
        <w:rPr>
          <w:spacing w:val="5"/>
          <w:w w:val="105"/>
          <w:sz w:val="13"/>
        </w:rPr>
        <w:t> </w:t>
      </w:r>
      <w:r>
        <w:rPr>
          <w:w w:val="105"/>
          <w:sz w:val="13"/>
        </w:rPr>
        <w:t>Smith);</w:t>
      </w:r>
      <w:r>
        <w:rPr>
          <w:spacing w:val="5"/>
          <w:w w:val="105"/>
          <w:sz w:val="13"/>
        </w:rPr>
        <w:t> </w:t>
      </w:r>
      <w:r>
        <w:rPr>
          <w:w w:val="105"/>
          <w:sz w:val="13"/>
        </w:rPr>
        <w:t>Consultations</w:t>
      </w:r>
      <w:r>
        <w:rPr>
          <w:spacing w:val="5"/>
          <w:w w:val="105"/>
          <w:sz w:val="13"/>
        </w:rPr>
        <w:t> </w:t>
      </w:r>
      <w:r>
        <w:rPr>
          <w:w w:val="105"/>
          <w:sz w:val="13"/>
        </w:rPr>
        <w:t>8</w:t>
      </w:r>
      <w:r>
        <w:rPr>
          <w:spacing w:val="5"/>
          <w:w w:val="105"/>
          <w:sz w:val="13"/>
        </w:rPr>
        <w:t> </w:t>
      </w:r>
      <w:r>
        <w:rPr>
          <w:w w:val="105"/>
          <w:sz w:val="13"/>
        </w:rPr>
        <w:t>(City</w:t>
      </w:r>
      <w:r>
        <w:rPr>
          <w:spacing w:val="6"/>
          <w:w w:val="105"/>
          <w:sz w:val="13"/>
        </w:rPr>
        <w:t> </w:t>
      </w:r>
      <w:r>
        <w:rPr>
          <w:w w:val="105"/>
          <w:sz w:val="13"/>
        </w:rPr>
        <w:t>of</w:t>
      </w:r>
      <w:r>
        <w:rPr>
          <w:spacing w:val="5"/>
          <w:w w:val="105"/>
          <w:sz w:val="13"/>
        </w:rPr>
        <w:t> </w:t>
      </w:r>
      <w:r>
        <w:rPr>
          <w:w w:val="105"/>
          <w:sz w:val="13"/>
        </w:rPr>
        <w:t>Boroondara),</w:t>
      </w:r>
      <w:r>
        <w:rPr>
          <w:spacing w:val="5"/>
          <w:w w:val="105"/>
          <w:sz w:val="13"/>
        </w:rPr>
        <w:t> </w:t>
      </w:r>
      <w:r>
        <w:rPr>
          <w:spacing w:val="-3"/>
          <w:w w:val="105"/>
          <w:sz w:val="13"/>
        </w:rPr>
        <w:t>14</w:t>
      </w:r>
      <w:r>
        <w:rPr>
          <w:spacing w:val="5"/>
          <w:w w:val="105"/>
          <w:sz w:val="13"/>
        </w:rPr>
        <w:t> </w:t>
      </w:r>
      <w:r>
        <w:rPr>
          <w:spacing w:val="2"/>
          <w:w w:val="105"/>
          <w:sz w:val="13"/>
        </w:rPr>
        <w:t>(Robert</w:t>
      </w:r>
      <w:r>
        <w:rPr>
          <w:spacing w:val="5"/>
          <w:w w:val="105"/>
          <w:sz w:val="13"/>
        </w:rPr>
        <w:t> </w:t>
      </w:r>
      <w:r>
        <w:rPr>
          <w:spacing w:val="2"/>
          <w:w w:val="105"/>
          <w:sz w:val="13"/>
        </w:rPr>
        <w:t>Mineo).</w:t>
      </w:r>
    </w:p>
    <w:p>
      <w:pPr>
        <w:pStyle w:val="ListParagraph"/>
        <w:numPr>
          <w:ilvl w:val="0"/>
          <w:numId w:val="200"/>
        </w:numPr>
        <w:tabs>
          <w:tab w:pos="2381" w:val="left" w:leader="none"/>
          <w:tab w:pos="2382" w:val="left" w:leader="none"/>
        </w:tabs>
        <w:spacing w:line="240" w:lineRule="auto" w:before="1" w:after="0"/>
        <w:ind w:left="2381" w:right="0" w:hanging="794"/>
        <w:jc w:val="left"/>
        <w:rPr>
          <w:sz w:val="13"/>
        </w:rPr>
      </w:pPr>
      <w:r>
        <w:rPr>
          <w:w w:val="105"/>
          <w:sz w:val="13"/>
        </w:rPr>
        <w:t>Consultation 9 (Nillumbik Shire</w:t>
      </w:r>
      <w:r>
        <w:rPr>
          <w:spacing w:val="19"/>
          <w:w w:val="105"/>
          <w:sz w:val="13"/>
        </w:rPr>
        <w:t> </w:t>
      </w:r>
      <w:r>
        <w:rPr>
          <w:w w:val="105"/>
          <w:sz w:val="13"/>
        </w:rPr>
        <w:t>Council).</w:t>
      </w:r>
    </w:p>
    <w:p>
      <w:pPr>
        <w:pStyle w:val="ListParagraph"/>
        <w:numPr>
          <w:ilvl w:val="0"/>
          <w:numId w:val="200"/>
        </w:numPr>
        <w:tabs>
          <w:tab w:pos="2381" w:val="left" w:leader="none"/>
          <w:tab w:pos="2382" w:val="left" w:leader="none"/>
        </w:tabs>
        <w:spacing w:line="240" w:lineRule="auto" w:before="2" w:after="0"/>
        <w:ind w:left="2381" w:right="0" w:hanging="794"/>
        <w:jc w:val="left"/>
        <w:rPr>
          <w:sz w:val="13"/>
        </w:rPr>
      </w:pPr>
      <w:r>
        <w:rPr>
          <w:w w:val="105"/>
          <w:sz w:val="13"/>
        </w:rPr>
        <w:t>Submission 21 (Pointon Partners</w:t>
      </w:r>
      <w:r>
        <w:rPr>
          <w:spacing w:val="17"/>
          <w:w w:val="105"/>
          <w:sz w:val="13"/>
        </w:rPr>
        <w:t> </w:t>
      </w:r>
      <w:r>
        <w:rPr>
          <w:spacing w:val="2"/>
          <w:w w:val="105"/>
          <w:sz w:val="13"/>
        </w:rPr>
        <w:t>Lawyers).</w:t>
      </w:r>
    </w:p>
    <w:p>
      <w:pPr>
        <w:pStyle w:val="ListParagraph"/>
        <w:numPr>
          <w:ilvl w:val="0"/>
          <w:numId w:val="200"/>
        </w:numPr>
        <w:tabs>
          <w:tab w:pos="2381" w:val="left" w:leader="none"/>
          <w:tab w:pos="2382" w:val="left" w:leader="none"/>
        </w:tabs>
        <w:spacing w:line="240" w:lineRule="auto" w:before="1" w:after="0"/>
        <w:ind w:left="2381" w:right="0" w:hanging="794"/>
        <w:jc w:val="left"/>
        <w:rPr>
          <w:sz w:val="13"/>
        </w:rPr>
      </w:pPr>
      <w:r>
        <w:rPr>
          <w:w w:val="105"/>
          <w:sz w:val="13"/>
        </w:rPr>
        <w:t>Consultation 9 (Nillumbik Shire</w:t>
      </w:r>
      <w:r>
        <w:rPr>
          <w:spacing w:val="19"/>
          <w:w w:val="105"/>
          <w:sz w:val="13"/>
        </w:rPr>
        <w:t> </w:t>
      </w:r>
      <w:r>
        <w:rPr>
          <w:w w:val="105"/>
          <w:sz w:val="13"/>
        </w:rPr>
        <w:t>Council).</w:t>
      </w:r>
    </w:p>
    <w:p>
      <w:pPr>
        <w:pStyle w:val="ListParagraph"/>
        <w:numPr>
          <w:ilvl w:val="0"/>
          <w:numId w:val="200"/>
        </w:numPr>
        <w:tabs>
          <w:tab w:pos="2381" w:val="left" w:leader="none"/>
          <w:tab w:pos="2382" w:val="left" w:leader="none"/>
        </w:tabs>
        <w:spacing w:line="240" w:lineRule="auto" w:before="1" w:after="0"/>
        <w:ind w:left="2381" w:right="0" w:hanging="794"/>
        <w:jc w:val="left"/>
        <w:rPr>
          <w:sz w:val="13"/>
        </w:rPr>
      </w:pPr>
      <w:r>
        <w:rPr>
          <w:w w:val="105"/>
          <w:sz w:val="13"/>
        </w:rPr>
        <w:t>Ibid,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200"/>
        </w:numPr>
        <w:tabs>
          <w:tab w:pos="2381" w:val="left" w:leader="none"/>
          <w:tab w:pos="2382" w:val="left" w:leader="none"/>
        </w:tabs>
        <w:spacing w:line="240" w:lineRule="auto" w:before="2" w:after="0"/>
        <w:ind w:left="2381" w:right="0" w:hanging="794"/>
        <w:jc w:val="left"/>
        <w:rPr>
          <w:sz w:val="13"/>
        </w:rPr>
      </w:pPr>
      <w:r>
        <w:rPr>
          <w:w w:val="105"/>
          <w:sz w:val="13"/>
        </w:rPr>
        <w:t>Consultation </w:t>
      </w:r>
      <w:r>
        <w:rPr>
          <w:spacing w:val="-4"/>
          <w:w w:val="105"/>
          <w:sz w:val="13"/>
        </w:rPr>
        <w:t>12 </w:t>
      </w:r>
      <w:r>
        <w:rPr>
          <w:w w:val="105"/>
          <w:sz w:val="13"/>
        </w:rPr>
        <w:t>(City of Port Phillip).</w:t>
      </w:r>
    </w:p>
    <w:p>
      <w:pPr>
        <w:pStyle w:val="ListParagraph"/>
        <w:numPr>
          <w:ilvl w:val="0"/>
          <w:numId w:val="200"/>
        </w:numPr>
        <w:tabs>
          <w:tab w:pos="2381" w:val="left" w:leader="none"/>
          <w:tab w:pos="2382" w:val="left" w:leader="none"/>
        </w:tabs>
        <w:spacing w:line="240" w:lineRule="auto" w:before="1" w:after="0"/>
        <w:ind w:left="2381" w:right="0" w:hanging="794"/>
        <w:jc w:val="left"/>
        <w:rPr>
          <w:sz w:val="13"/>
        </w:rPr>
      </w:pPr>
      <w:r>
        <w:rPr>
          <w:w w:val="105"/>
          <w:sz w:val="13"/>
        </w:rPr>
        <w:t>Consultation 10 </w:t>
      </w:r>
      <w:r>
        <w:rPr>
          <w:spacing w:val="2"/>
          <w:w w:val="105"/>
          <w:sz w:val="13"/>
        </w:rPr>
        <w:t>(Baw </w:t>
      </w:r>
      <w:r>
        <w:rPr>
          <w:w w:val="105"/>
          <w:sz w:val="13"/>
        </w:rPr>
        <w:t>Baw Shire</w:t>
      </w:r>
      <w:r>
        <w:rPr>
          <w:spacing w:val="21"/>
          <w:w w:val="105"/>
          <w:sz w:val="13"/>
        </w:rPr>
        <w:t> </w:t>
      </w:r>
      <w:r>
        <w:rPr>
          <w:w w:val="105"/>
          <w:sz w:val="13"/>
        </w:rPr>
        <w:t>Council).</w:t>
      </w:r>
    </w:p>
    <w:p>
      <w:pPr>
        <w:pStyle w:val="ListParagraph"/>
        <w:numPr>
          <w:ilvl w:val="0"/>
          <w:numId w:val="200"/>
        </w:numPr>
        <w:tabs>
          <w:tab w:pos="2381" w:val="left" w:leader="none"/>
          <w:tab w:pos="2382" w:val="left" w:leader="none"/>
        </w:tabs>
        <w:spacing w:line="240" w:lineRule="auto" w:before="1" w:after="0"/>
        <w:ind w:left="2381" w:right="0" w:hanging="794"/>
        <w:jc w:val="left"/>
        <w:rPr>
          <w:sz w:val="13"/>
        </w:rPr>
      </w:pPr>
      <w:r>
        <w:rPr>
          <w:w w:val="105"/>
          <w:sz w:val="13"/>
        </w:rPr>
        <w:t>Consultation 4 (Participants in facilitated discussion at </w:t>
      </w:r>
      <w:r>
        <w:rPr>
          <w:spacing w:val="4"/>
          <w:w w:val="105"/>
          <w:sz w:val="13"/>
        </w:rPr>
        <w:t>VTIO</w:t>
      </w:r>
      <w:r>
        <w:rPr>
          <w:spacing w:val="5"/>
          <w:w w:val="105"/>
          <w:sz w:val="13"/>
        </w:rPr>
        <w:t> </w:t>
      </w:r>
      <w:r>
        <w:rPr>
          <w:w w:val="105"/>
          <w:sz w:val="13"/>
        </w:rPr>
        <w:t>ArborCamp2018).</w:t>
      </w:r>
    </w:p>
    <w:p>
      <w:pPr>
        <w:pStyle w:val="ListParagraph"/>
        <w:numPr>
          <w:ilvl w:val="0"/>
          <w:numId w:val="200"/>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200"/>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200"/>
        </w:numPr>
        <w:tabs>
          <w:tab w:pos="2381" w:val="left" w:leader="none"/>
          <w:tab w:pos="2382" w:val="left" w:leader="none"/>
        </w:tabs>
        <w:spacing w:line="240" w:lineRule="auto" w:before="1" w:after="0"/>
        <w:ind w:left="2381" w:right="0" w:hanging="794"/>
        <w:jc w:val="left"/>
        <w:rPr>
          <w:sz w:val="13"/>
        </w:rPr>
      </w:pPr>
      <w:r>
        <w:rPr>
          <w:w w:val="105"/>
          <w:sz w:val="13"/>
        </w:rPr>
        <w:t>Department of Justice and Community Safety, </w:t>
      </w:r>
      <w:r>
        <w:rPr>
          <w:i/>
          <w:w w:val="105"/>
          <w:sz w:val="13"/>
        </w:rPr>
        <w:t>Fencing Law in Victoria </w:t>
      </w:r>
      <w:r>
        <w:rPr>
          <w:w w:val="105"/>
          <w:sz w:val="13"/>
        </w:rPr>
        <w:t>(Web Page, 31 January 2019) &lt;https://</w:t>
      </w:r>
      <w:hyperlink r:id="rId314">
        <w:r>
          <w:rPr>
            <w:w w:val="105"/>
            <w:sz w:val="13"/>
          </w:rPr>
          <w:t>www.justice.vic.gov.au/</w:t>
        </w:r>
      </w:hyperlink>
      <w:r>
        <w:rPr>
          <w:w w:val="105"/>
          <w:sz w:val="13"/>
        </w:rPr>
        <w:t> </w:t>
      </w:r>
      <w:r>
        <w:rPr>
          <w:spacing w:val="2"/>
          <w:w w:val="105"/>
          <w:sz w:val="13"/>
        </w:rPr>
        <w:t>justice-system/laws-and-regulation/civil-law/fencing-law-in-victoria&gt;.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38"/>
        </w:rPr>
      </w:pPr>
    </w:p>
    <w:p>
      <w:pPr>
        <w:spacing w:before="0"/>
        <w:ind w:left="942" w:right="0" w:firstLine="0"/>
        <w:jc w:val="left"/>
        <w:rPr>
          <w:b/>
          <w:sz w:val="24"/>
        </w:rPr>
      </w:pPr>
      <w:r>
        <w:rPr>
          <w:b/>
          <w:color w:val="658464"/>
          <w:w w:val="110"/>
          <w:sz w:val="24"/>
        </w:rPr>
        <w:t>283</w:t>
      </w:r>
    </w:p>
    <w:p>
      <w:pPr>
        <w:spacing w:after="0"/>
        <w:jc w:val="left"/>
        <w:rPr>
          <w:sz w:val="24"/>
        </w:rPr>
        <w:sectPr>
          <w:type w:val="continuous"/>
          <w:pgSz w:w="11910" w:h="16840"/>
          <w:pgMar w:top="300" w:bottom="280" w:left="0" w:right="0"/>
          <w:cols w:num="2" w:equalWidth="0">
            <w:col w:w="9930" w:space="40"/>
            <w:col w:w="1940"/>
          </w:cols>
        </w:sectPr>
      </w:pPr>
    </w:p>
    <w:p>
      <w:pPr>
        <w:pStyle w:val="BodyText"/>
        <w:spacing w:before="9"/>
        <w:rPr>
          <w:b/>
          <w:sz w:val="22"/>
        </w:rPr>
      </w:pPr>
    </w:p>
    <w:p>
      <w:pPr>
        <w:pStyle w:val="ListParagraph"/>
        <w:numPr>
          <w:ilvl w:val="1"/>
          <w:numId w:val="16"/>
        </w:numPr>
        <w:tabs>
          <w:tab w:pos="2380" w:val="left" w:leader="none"/>
          <w:tab w:pos="2381" w:val="left" w:leader="none"/>
        </w:tabs>
        <w:spacing w:line="240" w:lineRule="auto" w:before="92" w:after="0"/>
        <w:ind w:left="2381" w:right="0" w:hanging="794"/>
        <w:jc w:val="left"/>
        <w:rPr>
          <w:sz w:val="21"/>
        </w:rPr>
      </w:pPr>
      <w:r>
        <w:rPr>
          <w:w w:val="105"/>
          <w:sz w:val="21"/>
        </w:rPr>
        <w:t>The </w:t>
      </w:r>
      <w:r>
        <w:rPr>
          <w:spacing w:val="-3"/>
          <w:w w:val="105"/>
          <w:sz w:val="21"/>
        </w:rPr>
        <w:t>website </w:t>
      </w:r>
      <w:r>
        <w:rPr>
          <w:w w:val="105"/>
          <w:sz w:val="21"/>
        </w:rPr>
        <w:t>should </w:t>
      </w:r>
      <w:r>
        <w:rPr>
          <w:spacing w:val="-3"/>
          <w:w w:val="105"/>
          <w:sz w:val="21"/>
        </w:rPr>
        <w:t>include </w:t>
      </w:r>
      <w:r>
        <w:rPr>
          <w:w w:val="105"/>
          <w:sz w:val="21"/>
        </w:rPr>
        <w:t>the </w:t>
      </w:r>
      <w:r>
        <w:rPr>
          <w:spacing w:val="-3"/>
          <w:w w:val="105"/>
          <w:sz w:val="21"/>
        </w:rPr>
        <w:t>following </w:t>
      </w:r>
      <w:r>
        <w:rPr>
          <w:spacing w:val="-4"/>
          <w:w w:val="105"/>
          <w:sz w:val="21"/>
        </w:rPr>
        <w:t>key</w:t>
      </w:r>
      <w:r>
        <w:rPr>
          <w:spacing w:val="-2"/>
          <w:w w:val="105"/>
          <w:sz w:val="21"/>
        </w:rPr>
        <w:t> </w:t>
      </w:r>
      <w:r>
        <w:rPr>
          <w:spacing w:val="-3"/>
          <w:w w:val="105"/>
          <w:sz w:val="21"/>
        </w:rPr>
        <w:t>information:</w:t>
      </w:r>
    </w:p>
    <w:p>
      <w:pPr>
        <w:pStyle w:val="ListParagraph"/>
        <w:numPr>
          <w:ilvl w:val="2"/>
          <w:numId w:val="16"/>
        </w:numPr>
        <w:tabs>
          <w:tab w:pos="2721" w:val="left" w:leader="none"/>
          <w:tab w:pos="2722" w:val="left" w:leader="none"/>
        </w:tabs>
        <w:spacing w:line="242" w:lineRule="auto" w:before="123" w:after="0"/>
        <w:ind w:left="2721" w:right="1698" w:hanging="340"/>
        <w:jc w:val="left"/>
        <w:rPr>
          <w:sz w:val="21"/>
        </w:rPr>
      </w:pPr>
      <w:r>
        <w:rPr>
          <w:spacing w:val="-3"/>
          <w:w w:val="105"/>
          <w:sz w:val="21"/>
        </w:rPr>
        <w:t>guidance </w:t>
      </w:r>
      <w:r>
        <w:rPr>
          <w:w w:val="105"/>
          <w:sz w:val="21"/>
        </w:rPr>
        <w:t>on how </w:t>
      </w:r>
      <w:r>
        <w:rPr>
          <w:spacing w:val="-3"/>
          <w:w w:val="105"/>
          <w:sz w:val="21"/>
        </w:rPr>
        <w:t>to negotiate </w:t>
      </w:r>
      <w:r>
        <w:rPr>
          <w:w w:val="105"/>
          <w:sz w:val="21"/>
        </w:rPr>
        <w:t>with your </w:t>
      </w:r>
      <w:r>
        <w:rPr>
          <w:spacing w:val="-4"/>
          <w:w w:val="105"/>
          <w:sz w:val="21"/>
        </w:rPr>
        <w:t>neighbour, </w:t>
      </w:r>
      <w:r>
        <w:rPr>
          <w:spacing w:val="-3"/>
          <w:w w:val="105"/>
          <w:sz w:val="21"/>
        </w:rPr>
        <w:t>including </w:t>
      </w:r>
      <w:r>
        <w:rPr>
          <w:w w:val="105"/>
          <w:sz w:val="21"/>
        </w:rPr>
        <w:t>a sample standard letter</w:t>
      </w:r>
      <w:r>
        <w:rPr>
          <w:spacing w:val="-8"/>
          <w:w w:val="105"/>
          <w:sz w:val="21"/>
        </w:rPr>
        <w:t> </w:t>
      </w:r>
      <w:r>
        <w:rPr>
          <w:w w:val="105"/>
          <w:sz w:val="21"/>
        </w:rPr>
        <w:t>which</w:t>
      </w:r>
      <w:r>
        <w:rPr>
          <w:spacing w:val="-8"/>
          <w:w w:val="105"/>
          <w:sz w:val="21"/>
        </w:rPr>
        <w:t> </w:t>
      </w:r>
      <w:r>
        <w:rPr>
          <w:w w:val="105"/>
          <w:sz w:val="21"/>
        </w:rPr>
        <w:t>affected</w:t>
      </w:r>
      <w:r>
        <w:rPr>
          <w:spacing w:val="-8"/>
          <w:w w:val="105"/>
          <w:sz w:val="21"/>
        </w:rPr>
        <w:t> </w:t>
      </w:r>
      <w:r>
        <w:rPr>
          <w:w w:val="105"/>
          <w:sz w:val="21"/>
        </w:rPr>
        <w:t>neighbours</w:t>
      </w:r>
      <w:r>
        <w:rPr>
          <w:spacing w:val="-8"/>
          <w:w w:val="105"/>
          <w:sz w:val="21"/>
        </w:rPr>
        <w:t> </w:t>
      </w:r>
      <w:r>
        <w:rPr>
          <w:w w:val="105"/>
          <w:sz w:val="21"/>
        </w:rPr>
        <w:t>can</w:t>
      </w:r>
      <w:r>
        <w:rPr>
          <w:spacing w:val="-8"/>
          <w:w w:val="105"/>
          <w:sz w:val="21"/>
        </w:rPr>
        <w:t> </w:t>
      </w:r>
      <w:r>
        <w:rPr>
          <w:w w:val="105"/>
          <w:sz w:val="21"/>
        </w:rPr>
        <w:t>use</w:t>
      </w:r>
      <w:r>
        <w:rPr>
          <w:spacing w:val="-7"/>
          <w:w w:val="105"/>
          <w:sz w:val="21"/>
        </w:rPr>
        <w:t> </w:t>
      </w:r>
      <w:r>
        <w:rPr>
          <w:spacing w:val="-3"/>
          <w:w w:val="105"/>
          <w:sz w:val="21"/>
        </w:rPr>
        <w:t>to</w:t>
      </w:r>
      <w:r>
        <w:rPr>
          <w:spacing w:val="-8"/>
          <w:w w:val="105"/>
          <w:sz w:val="21"/>
        </w:rPr>
        <w:t> </w:t>
      </w:r>
      <w:r>
        <w:rPr>
          <w:spacing w:val="-3"/>
          <w:w w:val="105"/>
          <w:sz w:val="21"/>
        </w:rPr>
        <w:t>communicate</w:t>
      </w:r>
      <w:r>
        <w:rPr>
          <w:spacing w:val="-8"/>
          <w:w w:val="105"/>
          <w:sz w:val="21"/>
        </w:rPr>
        <w:t> </w:t>
      </w:r>
      <w:r>
        <w:rPr>
          <w:w w:val="105"/>
          <w:sz w:val="21"/>
        </w:rPr>
        <w:t>with</w:t>
      </w:r>
      <w:r>
        <w:rPr>
          <w:spacing w:val="-8"/>
          <w:w w:val="105"/>
          <w:sz w:val="21"/>
        </w:rPr>
        <w:t> </w:t>
      </w:r>
      <w:r>
        <w:rPr>
          <w:w w:val="105"/>
          <w:sz w:val="21"/>
        </w:rPr>
        <w:t>the</w:t>
      </w:r>
      <w:r>
        <w:rPr>
          <w:spacing w:val="-8"/>
          <w:w w:val="105"/>
          <w:sz w:val="21"/>
        </w:rPr>
        <w:t> </w:t>
      </w:r>
      <w:r>
        <w:rPr>
          <w:w w:val="105"/>
          <w:sz w:val="21"/>
        </w:rPr>
        <w:t>tree</w:t>
      </w:r>
      <w:r>
        <w:rPr>
          <w:spacing w:val="-8"/>
          <w:w w:val="105"/>
          <w:sz w:val="21"/>
        </w:rPr>
        <w:t> </w:t>
      </w:r>
      <w:r>
        <w:rPr>
          <w:w w:val="105"/>
          <w:sz w:val="21"/>
        </w:rPr>
        <w:t>owner</w:t>
      </w:r>
      <w:r>
        <w:rPr>
          <w:spacing w:val="-7"/>
          <w:w w:val="105"/>
          <w:sz w:val="21"/>
        </w:rPr>
        <w:t> </w:t>
      </w:r>
      <w:r>
        <w:rPr>
          <w:w w:val="105"/>
          <w:sz w:val="21"/>
        </w:rPr>
        <w:t>about a problem</w:t>
      </w:r>
      <w:r>
        <w:rPr>
          <w:spacing w:val="10"/>
          <w:w w:val="105"/>
          <w:sz w:val="21"/>
        </w:rPr>
        <w:t> </w:t>
      </w:r>
      <w:r>
        <w:rPr>
          <w:w w:val="105"/>
          <w:sz w:val="21"/>
        </w:rPr>
        <w:t>tree</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w w:val="105"/>
          <w:sz w:val="21"/>
        </w:rPr>
        <w:t>information </w:t>
      </w:r>
      <w:r>
        <w:rPr>
          <w:w w:val="105"/>
          <w:sz w:val="21"/>
        </w:rPr>
        <w:t>about </w:t>
      </w:r>
      <w:r>
        <w:rPr>
          <w:spacing w:val="-3"/>
          <w:w w:val="105"/>
          <w:sz w:val="21"/>
        </w:rPr>
        <w:t>informal </w:t>
      </w:r>
      <w:r>
        <w:rPr>
          <w:w w:val="105"/>
          <w:sz w:val="21"/>
        </w:rPr>
        <w:t>resolution options, </w:t>
      </w:r>
      <w:r>
        <w:rPr>
          <w:spacing w:val="-3"/>
          <w:w w:val="105"/>
          <w:sz w:val="21"/>
        </w:rPr>
        <w:t>including</w:t>
      </w:r>
      <w:r>
        <w:rPr>
          <w:spacing w:val="30"/>
          <w:w w:val="105"/>
          <w:sz w:val="21"/>
        </w:rPr>
        <w:t> </w:t>
      </w:r>
      <w:r>
        <w:rPr>
          <w:spacing w:val="-3"/>
          <w:w w:val="105"/>
          <w:sz w:val="21"/>
        </w:rPr>
        <w:t>abatement</w:t>
      </w:r>
    </w:p>
    <w:p>
      <w:pPr>
        <w:pStyle w:val="ListParagraph"/>
        <w:numPr>
          <w:ilvl w:val="2"/>
          <w:numId w:val="16"/>
        </w:numPr>
        <w:tabs>
          <w:tab w:pos="2722" w:val="left" w:leader="none"/>
        </w:tabs>
        <w:spacing w:line="242" w:lineRule="auto" w:before="88" w:after="0"/>
        <w:ind w:left="2721" w:right="1855" w:hanging="340"/>
        <w:jc w:val="both"/>
        <w:rPr>
          <w:sz w:val="21"/>
        </w:rPr>
      </w:pPr>
      <w:r>
        <w:rPr>
          <w:w w:val="105"/>
          <w:sz w:val="21"/>
        </w:rPr>
        <w:t>detailed </w:t>
      </w:r>
      <w:r>
        <w:rPr>
          <w:spacing w:val="-3"/>
          <w:w w:val="105"/>
          <w:sz w:val="21"/>
        </w:rPr>
        <w:t>information </w:t>
      </w:r>
      <w:r>
        <w:rPr>
          <w:w w:val="105"/>
          <w:sz w:val="21"/>
        </w:rPr>
        <w:t>on </w:t>
      </w:r>
      <w:r>
        <w:rPr>
          <w:spacing w:val="-3"/>
          <w:w w:val="105"/>
          <w:sz w:val="21"/>
        </w:rPr>
        <w:t>alternative dispute </w:t>
      </w:r>
      <w:r>
        <w:rPr>
          <w:w w:val="105"/>
          <w:sz w:val="21"/>
        </w:rPr>
        <w:t>resolution (ADR) and a </w:t>
      </w:r>
      <w:r>
        <w:rPr>
          <w:spacing w:val="-3"/>
          <w:w w:val="105"/>
          <w:sz w:val="21"/>
        </w:rPr>
        <w:t>link to </w:t>
      </w:r>
      <w:r>
        <w:rPr>
          <w:w w:val="105"/>
          <w:sz w:val="21"/>
        </w:rPr>
        <w:t>the DSCV </w:t>
      </w:r>
      <w:r>
        <w:rPr>
          <w:spacing w:val="-3"/>
          <w:w w:val="105"/>
          <w:sz w:val="21"/>
        </w:rPr>
        <w:t>website</w:t>
      </w:r>
      <w:r>
        <w:rPr>
          <w:spacing w:val="-5"/>
          <w:w w:val="105"/>
          <w:sz w:val="21"/>
        </w:rPr>
        <w:t> </w:t>
      </w:r>
      <w:r>
        <w:rPr>
          <w:spacing w:val="-3"/>
          <w:w w:val="105"/>
          <w:sz w:val="21"/>
        </w:rPr>
        <w:t>highlighting</w:t>
      </w:r>
      <w:r>
        <w:rPr>
          <w:spacing w:val="-5"/>
          <w:w w:val="105"/>
          <w:sz w:val="21"/>
        </w:rPr>
        <w:t> </w:t>
      </w:r>
      <w:r>
        <w:rPr>
          <w:spacing w:val="-3"/>
          <w:w w:val="105"/>
          <w:sz w:val="21"/>
        </w:rPr>
        <w:t>that</w:t>
      </w:r>
      <w:r>
        <w:rPr>
          <w:spacing w:val="-4"/>
          <w:w w:val="105"/>
          <w:sz w:val="21"/>
        </w:rPr>
        <w:t> </w:t>
      </w:r>
      <w:r>
        <w:rPr>
          <w:w w:val="105"/>
          <w:sz w:val="21"/>
        </w:rPr>
        <w:t>DSCV</w:t>
      </w:r>
      <w:r>
        <w:rPr>
          <w:spacing w:val="-5"/>
          <w:w w:val="105"/>
          <w:sz w:val="21"/>
        </w:rPr>
        <w:t> </w:t>
      </w:r>
      <w:r>
        <w:rPr>
          <w:w w:val="105"/>
          <w:sz w:val="21"/>
        </w:rPr>
        <w:t>provides</w:t>
      </w:r>
      <w:r>
        <w:rPr>
          <w:spacing w:val="-5"/>
          <w:w w:val="105"/>
          <w:sz w:val="21"/>
        </w:rPr>
        <w:t> </w:t>
      </w:r>
      <w:r>
        <w:rPr>
          <w:w w:val="105"/>
          <w:sz w:val="21"/>
        </w:rPr>
        <w:t>a</w:t>
      </w:r>
      <w:r>
        <w:rPr>
          <w:spacing w:val="-4"/>
          <w:w w:val="105"/>
          <w:sz w:val="21"/>
        </w:rPr>
        <w:t> </w:t>
      </w:r>
      <w:r>
        <w:rPr>
          <w:w w:val="105"/>
          <w:sz w:val="21"/>
        </w:rPr>
        <w:t>free</w:t>
      </w:r>
      <w:r>
        <w:rPr>
          <w:spacing w:val="-5"/>
          <w:w w:val="105"/>
          <w:sz w:val="21"/>
        </w:rPr>
        <w:t> </w:t>
      </w:r>
      <w:r>
        <w:rPr>
          <w:w w:val="105"/>
          <w:sz w:val="21"/>
        </w:rPr>
        <w:t>service</w:t>
      </w:r>
      <w:r>
        <w:rPr>
          <w:spacing w:val="-5"/>
          <w:w w:val="105"/>
          <w:sz w:val="21"/>
        </w:rPr>
        <w:t> </w:t>
      </w:r>
      <w:r>
        <w:rPr>
          <w:spacing w:val="-3"/>
          <w:w w:val="105"/>
          <w:sz w:val="21"/>
        </w:rPr>
        <w:t>to</w:t>
      </w:r>
      <w:r>
        <w:rPr>
          <w:spacing w:val="-4"/>
          <w:w w:val="105"/>
          <w:sz w:val="21"/>
        </w:rPr>
        <w:t> </w:t>
      </w:r>
      <w:r>
        <w:rPr>
          <w:w w:val="105"/>
          <w:sz w:val="21"/>
        </w:rPr>
        <w:t>the</w:t>
      </w:r>
      <w:r>
        <w:rPr>
          <w:spacing w:val="-5"/>
          <w:w w:val="105"/>
          <w:sz w:val="21"/>
        </w:rPr>
        <w:t> </w:t>
      </w:r>
      <w:r>
        <w:rPr>
          <w:w w:val="105"/>
          <w:sz w:val="21"/>
        </w:rPr>
        <w:t>community</w:t>
      </w:r>
      <w:r>
        <w:rPr>
          <w:spacing w:val="-4"/>
          <w:w w:val="105"/>
          <w:sz w:val="21"/>
        </w:rPr>
        <w:t> </w:t>
      </w:r>
      <w:r>
        <w:rPr>
          <w:w w:val="105"/>
          <w:sz w:val="21"/>
        </w:rPr>
        <w:t>outside</w:t>
      </w:r>
      <w:r>
        <w:rPr>
          <w:spacing w:val="-5"/>
          <w:w w:val="105"/>
          <w:sz w:val="21"/>
        </w:rPr>
        <w:t> </w:t>
      </w:r>
      <w:r>
        <w:rPr>
          <w:w w:val="105"/>
          <w:sz w:val="21"/>
        </w:rPr>
        <w:t>of the </w:t>
      </w:r>
      <w:r>
        <w:rPr>
          <w:spacing w:val="-5"/>
          <w:w w:val="105"/>
          <w:sz w:val="21"/>
        </w:rPr>
        <w:t>VCAT </w:t>
      </w:r>
      <w:r>
        <w:rPr>
          <w:spacing w:val="-3"/>
          <w:w w:val="105"/>
          <w:sz w:val="21"/>
        </w:rPr>
        <w:t>hearing</w:t>
      </w:r>
      <w:r>
        <w:rPr>
          <w:spacing w:val="21"/>
          <w:w w:val="105"/>
          <w:sz w:val="21"/>
        </w:rPr>
        <w:t> </w:t>
      </w:r>
      <w:r>
        <w:rPr>
          <w:w w:val="105"/>
          <w:sz w:val="21"/>
        </w:rPr>
        <w:t>process</w:t>
      </w:r>
    </w:p>
    <w:p>
      <w:pPr>
        <w:pStyle w:val="ListParagraph"/>
        <w:numPr>
          <w:ilvl w:val="2"/>
          <w:numId w:val="16"/>
        </w:numPr>
        <w:tabs>
          <w:tab w:pos="2721" w:val="left" w:leader="none"/>
          <w:tab w:pos="2722" w:val="left" w:leader="none"/>
        </w:tabs>
        <w:spacing w:line="242" w:lineRule="auto" w:before="89" w:after="0"/>
        <w:ind w:left="2721" w:right="1804" w:hanging="340"/>
        <w:jc w:val="left"/>
        <w:rPr>
          <w:sz w:val="21"/>
        </w:rPr>
      </w:pPr>
      <w:r>
        <w:rPr>
          <w:spacing w:val="-3"/>
          <w:sz w:val="21"/>
        </w:rPr>
        <w:t>guidance </w:t>
      </w:r>
      <w:r>
        <w:rPr>
          <w:sz w:val="21"/>
        </w:rPr>
        <w:t>on </w:t>
      </w:r>
      <w:r>
        <w:rPr>
          <w:spacing w:val="-3"/>
          <w:sz w:val="21"/>
        </w:rPr>
        <w:t>engaging appropriately </w:t>
      </w:r>
      <w:r>
        <w:rPr>
          <w:sz w:val="21"/>
        </w:rPr>
        <w:t>qualified arborists </w:t>
      </w:r>
      <w:r>
        <w:rPr>
          <w:spacing w:val="-3"/>
          <w:sz w:val="21"/>
        </w:rPr>
        <w:t>to </w:t>
      </w:r>
      <w:r>
        <w:rPr>
          <w:sz w:val="21"/>
        </w:rPr>
        <w:t>help resolve tree </w:t>
      </w:r>
      <w:r>
        <w:rPr>
          <w:spacing w:val="-3"/>
          <w:sz w:val="21"/>
        </w:rPr>
        <w:t>disputes, </w:t>
      </w:r>
      <w:r>
        <w:rPr>
          <w:sz w:val="21"/>
        </w:rPr>
        <w:t>with</w:t>
      </w:r>
      <w:r>
        <w:rPr>
          <w:spacing w:val="13"/>
          <w:sz w:val="21"/>
        </w:rPr>
        <w:t> </w:t>
      </w:r>
      <w:r>
        <w:rPr>
          <w:sz w:val="21"/>
        </w:rPr>
        <w:t>a</w:t>
      </w:r>
      <w:r>
        <w:rPr>
          <w:spacing w:val="13"/>
          <w:sz w:val="21"/>
        </w:rPr>
        <w:t> </w:t>
      </w:r>
      <w:r>
        <w:rPr>
          <w:spacing w:val="-3"/>
          <w:sz w:val="21"/>
        </w:rPr>
        <w:t>link</w:t>
      </w:r>
      <w:r>
        <w:rPr>
          <w:spacing w:val="14"/>
          <w:sz w:val="21"/>
        </w:rPr>
        <w:t> </w:t>
      </w:r>
      <w:r>
        <w:rPr>
          <w:spacing w:val="-3"/>
          <w:sz w:val="21"/>
        </w:rPr>
        <w:t>to</w:t>
      </w:r>
      <w:r>
        <w:rPr>
          <w:spacing w:val="13"/>
          <w:sz w:val="21"/>
        </w:rPr>
        <w:t> </w:t>
      </w:r>
      <w:r>
        <w:rPr>
          <w:sz w:val="21"/>
        </w:rPr>
        <w:t>the</w:t>
      </w:r>
      <w:r>
        <w:rPr>
          <w:spacing w:val="13"/>
          <w:sz w:val="21"/>
        </w:rPr>
        <w:t> </w:t>
      </w:r>
      <w:r>
        <w:rPr>
          <w:spacing w:val="-3"/>
          <w:sz w:val="21"/>
        </w:rPr>
        <w:t>online</w:t>
      </w:r>
      <w:r>
        <w:rPr>
          <w:spacing w:val="14"/>
          <w:sz w:val="21"/>
        </w:rPr>
        <w:t> </w:t>
      </w:r>
      <w:r>
        <w:rPr>
          <w:sz w:val="21"/>
        </w:rPr>
        <w:t>directory</w:t>
      </w:r>
      <w:r>
        <w:rPr>
          <w:spacing w:val="13"/>
          <w:sz w:val="21"/>
        </w:rPr>
        <w:t> </w:t>
      </w:r>
      <w:r>
        <w:rPr>
          <w:spacing w:val="-3"/>
          <w:sz w:val="21"/>
        </w:rPr>
        <w:t>maintained</w:t>
      </w:r>
      <w:r>
        <w:rPr>
          <w:spacing w:val="13"/>
          <w:sz w:val="21"/>
        </w:rPr>
        <w:t> </w:t>
      </w:r>
      <w:r>
        <w:rPr>
          <w:sz w:val="21"/>
        </w:rPr>
        <w:t>by</w:t>
      </w:r>
      <w:r>
        <w:rPr>
          <w:spacing w:val="14"/>
          <w:sz w:val="21"/>
        </w:rPr>
        <w:t> </w:t>
      </w:r>
      <w:r>
        <w:rPr>
          <w:spacing w:val="-3"/>
          <w:sz w:val="21"/>
        </w:rPr>
        <w:t>Aboriculture</w:t>
      </w:r>
      <w:r>
        <w:rPr>
          <w:spacing w:val="13"/>
          <w:sz w:val="21"/>
        </w:rPr>
        <w:t> </w:t>
      </w:r>
      <w:r>
        <w:rPr>
          <w:spacing w:val="-3"/>
          <w:sz w:val="21"/>
        </w:rPr>
        <w:t>Australia</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w w:val="105"/>
          <w:sz w:val="21"/>
        </w:rPr>
        <w:t>a step-by-step overview of the</w:t>
      </w:r>
      <w:r>
        <w:rPr>
          <w:spacing w:val="24"/>
          <w:w w:val="105"/>
          <w:sz w:val="21"/>
        </w:rPr>
        <w:t> </w:t>
      </w:r>
      <w:r>
        <w:rPr>
          <w:w w:val="105"/>
          <w:sz w:val="21"/>
        </w:rPr>
        <w:t>law</w:t>
      </w:r>
    </w:p>
    <w:p>
      <w:pPr>
        <w:pStyle w:val="ListParagraph"/>
        <w:numPr>
          <w:ilvl w:val="2"/>
          <w:numId w:val="16"/>
        </w:numPr>
        <w:tabs>
          <w:tab w:pos="2721" w:val="left" w:leader="none"/>
          <w:tab w:pos="2722" w:val="left" w:leader="none"/>
        </w:tabs>
        <w:spacing w:line="242" w:lineRule="auto" w:before="88" w:after="0"/>
        <w:ind w:left="2721" w:right="1870" w:hanging="340"/>
        <w:jc w:val="left"/>
        <w:rPr>
          <w:sz w:val="21"/>
        </w:rPr>
      </w:pPr>
      <w:r>
        <w:rPr>
          <w:spacing w:val="-3"/>
          <w:w w:val="105"/>
          <w:sz w:val="21"/>
        </w:rPr>
        <w:t>information</w:t>
      </w:r>
      <w:r>
        <w:rPr>
          <w:spacing w:val="-7"/>
          <w:w w:val="105"/>
          <w:sz w:val="21"/>
        </w:rPr>
        <w:t> </w:t>
      </w:r>
      <w:r>
        <w:rPr>
          <w:spacing w:val="-3"/>
          <w:w w:val="105"/>
          <w:sz w:val="21"/>
        </w:rPr>
        <w:t>to</w:t>
      </w:r>
      <w:r>
        <w:rPr>
          <w:spacing w:val="-7"/>
          <w:w w:val="105"/>
          <w:sz w:val="21"/>
        </w:rPr>
        <w:t> </w:t>
      </w:r>
      <w:r>
        <w:rPr>
          <w:w w:val="105"/>
          <w:sz w:val="21"/>
        </w:rPr>
        <w:t>help</w:t>
      </w:r>
      <w:r>
        <w:rPr>
          <w:spacing w:val="-7"/>
          <w:w w:val="105"/>
          <w:sz w:val="21"/>
        </w:rPr>
        <w:t> </w:t>
      </w:r>
      <w:r>
        <w:rPr>
          <w:w w:val="105"/>
          <w:sz w:val="21"/>
        </w:rPr>
        <w:t>people</w:t>
      </w:r>
      <w:r>
        <w:rPr>
          <w:spacing w:val="-7"/>
          <w:w w:val="105"/>
          <w:sz w:val="21"/>
        </w:rPr>
        <w:t> </w:t>
      </w:r>
      <w:r>
        <w:rPr>
          <w:w w:val="105"/>
          <w:sz w:val="21"/>
        </w:rPr>
        <w:t>decide</w:t>
      </w:r>
      <w:r>
        <w:rPr>
          <w:spacing w:val="-7"/>
          <w:w w:val="105"/>
          <w:sz w:val="21"/>
        </w:rPr>
        <w:t> </w:t>
      </w:r>
      <w:r>
        <w:rPr>
          <w:w w:val="105"/>
          <w:sz w:val="21"/>
        </w:rPr>
        <w:t>whether</w:t>
      </w:r>
      <w:r>
        <w:rPr>
          <w:spacing w:val="-6"/>
          <w:w w:val="105"/>
          <w:sz w:val="21"/>
        </w:rPr>
        <w:t> </w:t>
      </w:r>
      <w:r>
        <w:rPr>
          <w:w w:val="105"/>
          <w:sz w:val="21"/>
        </w:rPr>
        <w:t>they</w:t>
      </w:r>
      <w:r>
        <w:rPr>
          <w:spacing w:val="-7"/>
          <w:w w:val="105"/>
          <w:sz w:val="21"/>
        </w:rPr>
        <w:t> </w:t>
      </w:r>
      <w:r>
        <w:rPr>
          <w:w w:val="105"/>
          <w:sz w:val="21"/>
        </w:rPr>
        <w:t>can</w:t>
      </w:r>
      <w:r>
        <w:rPr>
          <w:spacing w:val="-7"/>
          <w:w w:val="105"/>
          <w:sz w:val="21"/>
        </w:rPr>
        <w:t> </w:t>
      </w:r>
      <w:r>
        <w:rPr>
          <w:spacing w:val="-3"/>
          <w:w w:val="105"/>
          <w:sz w:val="21"/>
        </w:rPr>
        <w:t>commence</w:t>
      </w:r>
      <w:r>
        <w:rPr>
          <w:spacing w:val="-7"/>
          <w:w w:val="105"/>
          <w:sz w:val="21"/>
        </w:rPr>
        <w:t> </w:t>
      </w:r>
      <w:r>
        <w:rPr>
          <w:spacing w:val="-3"/>
          <w:w w:val="105"/>
          <w:sz w:val="21"/>
        </w:rPr>
        <w:t>proceedings</w:t>
      </w:r>
      <w:r>
        <w:rPr>
          <w:spacing w:val="-7"/>
          <w:w w:val="105"/>
          <w:sz w:val="21"/>
        </w:rPr>
        <w:t> </w:t>
      </w:r>
      <w:r>
        <w:rPr>
          <w:w w:val="105"/>
          <w:sz w:val="21"/>
        </w:rPr>
        <w:t>under the new Act and how </w:t>
      </w:r>
      <w:r>
        <w:rPr>
          <w:spacing w:val="-3"/>
          <w:w w:val="105"/>
          <w:sz w:val="21"/>
        </w:rPr>
        <w:t>to </w:t>
      </w:r>
      <w:r>
        <w:rPr>
          <w:w w:val="105"/>
          <w:sz w:val="21"/>
        </w:rPr>
        <w:t>go about doing this, with links </w:t>
      </w:r>
      <w:r>
        <w:rPr>
          <w:spacing w:val="-3"/>
          <w:w w:val="105"/>
          <w:sz w:val="21"/>
        </w:rPr>
        <w:t>to </w:t>
      </w:r>
      <w:r>
        <w:rPr>
          <w:w w:val="105"/>
          <w:sz w:val="21"/>
        </w:rPr>
        <w:t>the </w:t>
      </w:r>
      <w:r>
        <w:rPr>
          <w:spacing w:val="-5"/>
          <w:w w:val="105"/>
          <w:sz w:val="21"/>
        </w:rPr>
        <w:t>VCAT </w:t>
      </w:r>
      <w:r>
        <w:rPr>
          <w:w w:val="105"/>
          <w:sz w:val="21"/>
        </w:rPr>
        <w:t>webpage </w:t>
      </w:r>
      <w:r>
        <w:rPr>
          <w:spacing w:val="-3"/>
          <w:w w:val="105"/>
          <w:sz w:val="21"/>
        </w:rPr>
        <w:t>containing </w:t>
      </w:r>
      <w:r>
        <w:rPr>
          <w:w w:val="105"/>
          <w:sz w:val="21"/>
        </w:rPr>
        <w:t>application </w:t>
      </w:r>
      <w:r>
        <w:rPr>
          <w:spacing w:val="-3"/>
          <w:w w:val="105"/>
          <w:sz w:val="21"/>
        </w:rPr>
        <w:t>forms </w:t>
      </w:r>
      <w:r>
        <w:rPr>
          <w:w w:val="105"/>
          <w:sz w:val="21"/>
        </w:rPr>
        <w:t>and prescribed</w:t>
      </w:r>
      <w:r>
        <w:rPr>
          <w:spacing w:val="25"/>
          <w:w w:val="105"/>
          <w:sz w:val="21"/>
        </w:rPr>
        <w:t> </w:t>
      </w:r>
      <w:r>
        <w:rPr>
          <w:w w:val="105"/>
          <w:sz w:val="21"/>
        </w:rPr>
        <w:t>fees</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spacing w:val="-3"/>
          <w:w w:val="105"/>
          <w:sz w:val="21"/>
        </w:rPr>
        <w:t>information </w:t>
      </w:r>
      <w:r>
        <w:rPr>
          <w:w w:val="105"/>
          <w:sz w:val="21"/>
        </w:rPr>
        <w:t>about how </w:t>
      </w:r>
      <w:r>
        <w:rPr>
          <w:spacing w:val="-3"/>
          <w:w w:val="105"/>
          <w:sz w:val="21"/>
        </w:rPr>
        <w:t>to </w:t>
      </w:r>
      <w:r>
        <w:rPr>
          <w:w w:val="105"/>
          <w:sz w:val="21"/>
        </w:rPr>
        <w:t>identify their local </w:t>
      </w:r>
      <w:r>
        <w:rPr>
          <w:spacing w:val="-3"/>
          <w:w w:val="105"/>
          <w:sz w:val="21"/>
        </w:rPr>
        <w:t>council, </w:t>
      </w:r>
      <w:r>
        <w:rPr>
          <w:w w:val="105"/>
          <w:sz w:val="21"/>
        </w:rPr>
        <w:t>and the </w:t>
      </w:r>
      <w:r>
        <w:rPr>
          <w:spacing w:val="-3"/>
          <w:w w:val="105"/>
          <w:sz w:val="21"/>
        </w:rPr>
        <w:t>zone </w:t>
      </w:r>
      <w:r>
        <w:rPr>
          <w:w w:val="105"/>
          <w:sz w:val="21"/>
        </w:rPr>
        <w:t>of the</w:t>
      </w:r>
      <w:r>
        <w:rPr>
          <w:spacing w:val="42"/>
          <w:w w:val="105"/>
          <w:sz w:val="21"/>
        </w:rPr>
        <w:t> </w:t>
      </w:r>
      <w:r>
        <w:rPr>
          <w:w w:val="105"/>
          <w:sz w:val="21"/>
        </w:rPr>
        <w:t>property.</w:t>
      </w:r>
    </w:p>
    <w:p>
      <w:pPr>
        <w:pStyle w:val="ListParagraph"/>
        <w:numPr>
          <w:ilvl w:val="2"/>
          <w:numId w:val="16"/>
        </w:numPr>
        <w:tabs>
          <w:tab w:pos="2721" w:val="left" w:leader="none"/>
          <w:tab w:pos="2722" w:val="left" w:leader="none"/>
        </w:tabs>
        <w:spacing w:line="242" w:lineRule="auto" w:before="88" w:after="0"/>
        <w:ind w:left="2721" w:right="1743" w:hanging="340"/>
        <w:jc w:val="left"/>
        <w:rPr>
          <w:sz w:val="21"/>
        </w:rPr>
      </w:pPr>
      <w:r>
        <w:rPr>
          <w:sz w:val="21"/>
        </w:rPr>
        <w:t>other laws </w:t>
      </w:r>
      <w:r>
        <w:rPr>
          <w:spacing w:val="-3"/>
          <w:sz w:val="21"/>
        </w:rPr>
        <w:t>(planning </w:t>
      </w:r>
      <w:r>
        <w:rPr>
          <w:sz w:val="21"/>
        </w:rPr>
        <w:t>scheme </w:t>
      </w:r>
      <w:r>
        <w:rPr>
          <w:spacing w:val="-3"/>
          <w:sz w:val="21"/>
        </w:rPr>
        <w:t>overlays </w:t>
      </w:r>
      <w:r>
        <w:rPr>
          <w:sz w:val="21"/>
        </w:rPr>
        <w:t>and local, </w:t>
      </w:r>
      <w:r>
        <w:rPr>
          <w:spacing w:val="-3"/>
          <w:sz w:val="21"/>
        </w:rPr>
        <w:t>environmental </w:t>
      </w:r>
      <w:r>
        <w:rPr>
          <w:sz w:val="21"/>
        </w:rPr>
        <w:t>or heritage laws) </w:t>
      </w:r>
      <w:r>
        <w:rPr>
          <w:spacing w:val="-3"/>
          <w:sz w:val="21"/>
        </w:rPr>
        <w:t>that may </w:t>
      </w:r>
      <w:r>
        <w:rPr>
          <w:sz w:val="21"/>
        </w:rPr>
        <w:t>apply </w:t>
      </w:r>
      <w:r>
        <w:rPr>
          <w:spacing w:val="-3"/>
          <w:sz w:val="21"/>
        </w:rPr>
        <w:t>to </w:t>
      </w:r>
      <w:r>
        <w:rPr>
          <w:sz w:val="21"/>
        </w:rPr>
        <w:t>the problem tree and links </w:t>
      </w:r>
      <w:r>
        <w:rPr>
          <w:spacing w:val="-3"/>
          <w:sz w:val="21"/>
        </w:rPr>
        <w:t>to relevant government  </w:t>
      </w:r>
      <w:r>
        <w:rPr>
          <w:sz w:val="21"/>
        </w:rPr>
        <w:t>authorities </w:t>
      </w:r>
      <w:r>
        <w:rPr>
          <w:spacing w:val="-3"/>
          <w:sz w:val="21"/>
        </w:rPr>
        <w:t>such</w:t>
      </w:r>
      <w:r>
        <w:rPr>
          <w:spacing w:val="41"/>
          <w:sz w:val="21"/>
        </w:rPr>
        <w:t> </w:t>
      </w:r>
      <w:r>
        <w:rPr>
          <w:sz w:val="21"/>
        </w:rPr>
        <w:t>as the Department of </w:t>
      </w:r>
      <w:r>
        <w:rPr>
          <w:spacing w:val="-3"/>
          <w:sz w:val="21"/>
        </w:rPr>
        <w:t>Environment, </w:t>
      </w:r>
      <w:r>
        <w:rPr>
          <w:sz w:val="21"/>
        </w:rPr>
        <w:t>Land, </w:t>
      </w:r>
      <w:r>
        <w:rPr>
          <w:spacing w:val="-4"/>
          <w:sz w:val="21"/>
        </w:rPr>
        <w:t>Water </w:t>
      </w:r>
      <w:r>
        <w:rPr>
          <w:sz w:val="21"/>
        </w:rPr>
        <w:t>and </w:t>
      </w:r>
      <w:r>
        <w:rPr>
          <w:spacing w:val="-3"/>
          <w:sz w:val="21"/>
        </w:rPr>
        <w:t>Planning, </w:t>
      </w:r>
      <w:r>
        <w:rPr>
          <w:sz w:val="21"/>
        </w:rPr>
        <w:t>Heritage Victoria and </w:t>
      </w:r>
      <w:r>
        <w:rPr>
          <w:spacing w:val="-3"/>
          <w:sz w:val="21"/>
        </w:rPr>
        <w:t>Aboriginal</w:t>
      </w:r>
      <w:r>
        <w:rPr>
          <w:spacing w:val="8"/>
          <w:sz w:val="21"/>
        </w:rPr>
        <w:t> </w:t>
      </w:r>
      <w:r>
        <w:rPr>
          <w:sz w:val="21"/>
        </w:rPr>
        <w:t>Victoria.</w:t>
      </w:r>
    </w:p>
    <w:p>
      <w:pPr>
        <w:pStyle w:val="ListParagraph"/>
        <w:numPr>
          <w:ilvl w:val="1"/>
          <w:numId w:val="16"/>
        </w:numPr>
        <w:tabs>
          <w:tab w:pos="2380" w:val="left" w:leader="none"/>
          <w:tab w:pos="2381" w:val="left" w:leader="none"/>
        </w:tabs>
        <w:spacing w:line="242" w:lineRule="auto" w:before="90" w:after="0"/>
        <w:ind w:left="2381" w:right="1614" w:hanging="794"/>
        <w:jc w:val="left"/>
        <w:rPr>
          <w:sz w:val="21"/>
        </w:rPr>
      </w:pPr>
      <w:r>
        <w:rPr>
          <w:w w:val="105"/>
          <w:sz w:val="21"/>
        </w:rPr>
        <w:t>The</w:t>
      </w:r>
      <w:r>
        <w:rPr>
          <w:spacing w:val="-6"/>
          <w:w w:val="105"/>
          <w:sz w:val="21"/>
        </w:rPr>
        <w:t> </w:t>
      </w:r>
      <w:r>
        <w:rPr>
          <w:w w:val="105"/>
          <w:sz w:val="21"/>
        </w:rPr>
        <w:t>Department</w:t>
      </w:r>
      <w:r>
        <w:rPr>
          <w:spacing w:val="-5"/>
          <w:w w:val="105"/>
          <w:sz w:val="21"/>
        </w:rPr>
        <w:t> </w:t>
      </w:r>
      <w:r>
        <w:rPr>
          <w:w w:val="105"/>
          <w:sz w:val="21"/>
        </w:rPr>
        <w:t>of</w:t>
      </w:r>
      <w:r>
        <w:rPr>
          <w:spacing w:val="-6"/>
          <w:w w:val="105"/>
          <w:sz w:val="21"/>
        </w:rPr>
        <w:t> </w:t>
      </w:r>
      <w:r>
        <w:rPr>
          <w:spacing w:val="-3"/>
          <w:w w:val="105"/>
          <w:sz w:val="21"/>
        </w:rPr>
        <w:t>Environment,</w:t>
      </w:r>
      <w:r>
        <w:rPr>
          <w:spacing w:val="-5"/>
          <w:w w:val="105"/>
          <w:sz w:val="21"/>
        </w:rPr>
        <w:t> </w:t>
      </w:r>
      <w:r>
        <w:rPr>
          <w:w w:val="105"/>
          <w:sz w:val="21"/>
        </w:rPr>
        <w:t>Land,</w:t>
      </w:r>
      <w:r>
        <w:rPr>
          <w:spacing w:val="-5"/>
          <w:w w:val="105"/>
          <w:sz w:val="21"/>
        </w:rPr>
        <w:t> </w:t>
      </w:r>
      <w:r>
        <w:rPr>
          <w:spacing w:val="-4"/>
          <w:w w:val="105"/>
          <w:sz w:val="21"/>
        </w:rPr>
        <w:t>Water</w:t>
      </w:r>
      <w:r>
        <w:rPr>
          <w:spacing w:val="-6"/>
          <w:w w:val="105"/>
          <w:sz w:val="21"/>
        </w:rPr>
        <w:t> </w:t>
      </w:r>
      <w:r>
        <w:rPr>
          <w:w w:val="105"/>
          <w:sz w:val="21"/>
        </w:rPr>
        <w:t>and</w:t>
      </w:r>
      <w:r>
        <w:rPr>
          <w:spacing w:val="-5"/>
          <w:w w:val="105"/>
          <w:sz w:val="21"/>
        </w:rPr>
        <w:t> </w:t>
      </w:r>
      <w:r>
        <w:rPr>
          <w:spacing w:val="-3"/>
          <w:w w:val="105"/>
          <w:sz w:val="21"/>
        </w:rPr>
        <w:t>Planning</w:t>
      </w:r>
      <w:r>
        <w:rPr>
          <w:spacing w:val="-6"/>
          <w:w w:val="105"/>
          <w:sz w:val="21"/>
        </w:rPr>
        <w:t> </w:t>
      </w:r>
      <w:r>
        <w:rPr>
          <w:spacing w:val="-2"/>
          <w:w w:val="105"/>
          <w:sz w:val="21"/>
        </w:rPr>
        <w:t>has</w:t>
      </w:r>
      <w:r>
        <w:rPr>
          <w:spacing w:val="-5"/>
          <w:w w:val="105"/>
          <w:sz w:val="21"/>
        </w:rPr>
        <w:t> </w:t>
      </w:r>
      <w:r>
        <w:rPr>
          <w:w w:val="105"/>
          <w:sz w:val="21"/>
        </w:rPr>
        <w:t>a</w:t>
      </w:r>
      <w:r>
        <w:rPr>
          <w:spacing w:val="-5"/>
          <w:w w:val="105"/>
          <w:sz w:val="21"/>
        </w:rPr>
        <w:t> </w:t>
      </w:r>
      <w:r>
        <w:rPr>
          <w:spacing w:val="-3"/>
          <w:w w:val="105"/>
          <w:sz w:val="21"/>
        </w:rPr>
        <w:t>website</w:t>
      </w:r>
      <w:r>
        <w:rPr>
          <w:spacing w:val="-6"/>
          <w:w w:val="105"/>
          <w:sz w:val="21"/>
        </w:rPr>
        <w:t> </w:t>
      </w:r>
      <w:r>
        <w:rPr>
          <w:w w:val="105"/>
          <w:sz w:val="21"/>
        </w:rPr>
        <w:t>where</w:t>
      </w:r>
      <w:r>
        <w:rPr>
          <w:spacing w:val="-5"/>
          <w:w w:val="105"/>
          <w:sz w:val="21"/>
        </w:rPr>
        <w:t> </w:t>
      </w:r>
      <w:r>
        <w:rPr>
          <w:w w:val="105"/>
          <w:sz w:val="21"/>
        </w:rPr>
        <w:t>property reports can be </w:t>
      </w:r>
      <w:r>
        <w:rPr>
          <w:spacing w:val="-3"/>
          <w:w w:val="105"/>
          <w:sz w:val="21"/>
        </w:rPr>
        <w:t>generated </w:t>
      </w:r>
      <w:r>
        <w:rPr>
          <w:w w:val="105"/>
          <w:sz w:val="21"/>
        </w:rPr>
        <w:t>free of </w:t>
      </w:r>
      <w:r>
        <w:rPr>
          <w:spacing w:val="-2"/>
          <w:w w:val="105"/>
          <w:sz w:val="21"/>
        </w:rPr>
        <w:t>charge.</w:t>
      </w:r>
      <w:r>
        <w:rPr>
          <w:spacing w:val="-2"/>
          <w:w w:val="105"/>
          <w:position w:val="7"/>
          <w:sz w:val="12"/>
        </w:rPr>
        <w:t>80 </w:t>
      </w:r>
      <w:r>
        <w:rPr>
          <w:w w:val="105"/>
          <w:sz w:val="21"/>
        </w:rPr>
        <w:t>A ‘Basic Property Report’ identifies the </w:t>
      </w:r>
      <w:r>
        <w:rPr>
          <w:spacing w:val="-3"/>
          <w:w w:val="105"/>
          <w:sz w:val="21"/>
        </w:rPr>
        <w:t>relevant council, </w:t>
      </w:r>
      <w:r>
        <w:rPr>
          <w:w w:val="105"/>
          <w:sz w:val="21"/>
        </w:rPr>
        <w:t>the </w:t>
      </w:r>
      <w:r>
        <w:rPr>
          <w:spacing w:val="-3"/>
          <w:w w:val="105"/>
          <w:sz w:val="21"/>
        </w:rPr>
        <w:t>planning </w:t>
      </w:r>
      <w:r>
        <w:rPr>
          <w:spacing w:val="-4"/>
          <w:w w:val="105"/>
          <w:sz w:val="21"/>
        </w:rPr>
        <w:t>zone, </w:t>
      </w:r>
      <w:r>
        <w:rPr>
          <w:w w:val="105"/>
          <w:sz w:val="21"/>
        </w:rPr>
        <w:t>the application of </w:t>
      </w:r>
      <w:r>
        <w:rPr>
          <w:spacing w:val="-3"/>
          <w:w w:val="105"/>
          <w:sz w:val="21"/>
        </w:rPr>
        <w:t>any planning overlays,</w:t>
      </w:r>
      <w:r>
        <w:rPr>
          <w:spacing w:val="17"/>
          <w:w w:val="105"/>
          <w:sz w:val="21"/>
        </w:rPr>
        <w:t> </w:t>
      </w:r>
      <w:r>
        <w:rPr>
          <w:w w:val="105"/>
          <w:sz w:val="21"/>
        </w:rPr>
        <w:t>whether</w:t>
      </w:r>
    </w:p>
    <w:p>
      <w:pPr>
        <w:pStyle w:val="BodyText"/>
        <w:spacing w:line="242" w:lineRule="auto" w:before="3"/>
        <w:ind w:left="2381" w:right="1636"/>
        <w:rPr>
          <w:sz w:val="12"/>
        </w:rPr>
      </w:pPr>
      <w:r>
        <w:rPr>
          <w:w w:val="105"/>
        </w:rPr>
        <w:t>the </w:t>
      </w:r>
      <w:r>
        <w:rPr>
          <w:spacing w:val="-3"/>
          <w:w w:val="105"/>
        </w:rPr>
        <w:t>area </w:t>
      </w:r>
      <w:r>
        <w:rPr>
          <w:w w:val="105"/>
        </w:rPr>
        <w:t>is of </w:t>
      </w:r>
      <w:r>
        <w:rPr>
          <w:spacing w:val="-3"/>
          <w:w w:val="105"/>
        </w:rPr>
        <w:t>Aboriginal </w:t>
      </w:r>
      <w:r>
        <w:rPr>
          <w:spacing w:val="-4"/>
          <w:w w:val="105"/>
        </w:rPr>
        <w:t>Cultural </w:t>
      </w:r>
      <w:r>
        <w:rPr>
          <w:w w:val="105"/>
        </w:rPr>
        <w:t>Heritage </w:t>
      </w:r>
      <w:r>
        <w:rPr>
          <w:spacing w:val="-3"/>
          <w:w w:val="105"/>
        </w:rPr>
        <w:t>Sensitivity, </w:t>
      </w:r>
      <w:r>
        <w:rPr>
          <w:w w:val="105"/>
        </w:rPr>
        <w:t>and whether the property is in a </w:t>
      </w:r>
      <w:r>
        <w:rPr>
          <w:spacing w:val="-3"/>
          <w:w w:val="105"/>
        </w:rPr>
        <w:t>designated bushfire </w:t>
      </w:r>
      <w:r>
        <w:rPr>
          <w:w w:val="105"/>
        </w:rPr>
        <w:t>prone </w:t>
      </w:r>
      <w:r>
        <w:rPr>
          <w:spacing w:val="-3"/>
          <w:w w:val="105"/>
        </w:rPr>
        <w:t>area. </w:t>
      </w:r>
      <w:r>
        <w:rPr>
          <w:w w:val="105"/>
        </w:rPr>
        <w:t>There is also a downloadable </w:t>
      </w:r>
      <w:r>
        <w:rPr>
          <w:spacing w:val="-3"/>
          <w:w w:val="105"/>
        </w:rPr>
        <w:t>PlanningVIC </w:t>
      </w:r>
      <w:r>
        <w:rPr>
          <w:w w:val="105"/>
        </w:rPr>
        <w:t>app </w:t>
      </w:r>
      <w:r>
        <w:rPr>
          <w:spacing w:val="-3"/>
          <w:w w:val="105"/>
        </w:rPr>
        <w:t>for </w:t>
      </w:r>
      <w:r>
        <w:rPr>
          <w:w w:val="105"/>
        </w:rPr>
        <w:t>Apple and </w:t>
      </w:r>
      <w:r>
        <w:rPr>
          <w:spacing w:val="-3"/>
          <w:w w:val="105"/>
        </w:rPr>
        <w:t>android </w:t>
      </w:r>
      <w:r>
        <w:rPr>
          <w:w w:val="105"/>
        </w:rPr>
        <w:t>phones.</w:t>
      </w:r>
      <w:r>
        <w:rPr>
          <w:w w:val="105"/>
          <w:position w:val="7"/>
          <w:sz w:val="12"/>
        </w:rPr>
        <w:t>81</w:t>
      </w:r>
    </w:p>
    <w:p>
      <w:pPr>
        <w:pStyle w:val="ListParagraph"/>
        <w:numPr>
          <w:ilvl w:val="1"/>
          <w:numId w:val="16"/>
        </w:numPr>
        <w:tabs>
          <w:tab w:pos="2381" w:val="left" w:leader="none"/>
          <w:tab w:pos="2382" w:val="left" w:leader="none"/>
        </w:tabs>
        <w:spacing w:line="242" w:lineRule="auto" w:before="124" w:after="0"/>
        <w:ind w:left="2381" w:right="1777" w:hanging="794"/>
        <w:jc w:val="left"/>
        <w:rPr>
          <w:sz w:val="21"/>
        </w:rPr>
      </w:pPr>
      <w:r>
        <w:rPr>
          <w:sz w:val="21"/>
        </w:rPr>
        <w:t>The recommended </w:t>
      </w:r>
      <w:r>
        <w:rPr>
          <w:spacing w:val="-3"/>
          <w:sz w:val="21"/>
        </w:rPr>
        <w:t>website could prompt </w:t>
      </w:r>
      <w:r>
        <w:rPr>
          <w:sz w:val="21"/>
        </w:rPr>
        <w:t>people </w:t>
      </w:r>
      <w:r>
        <w:rPr>
          <w:spacing w:val="-3"/>
          <w:sz w:val="21"/>
        </w:rPr>
        <w:t>to </w:t>
      </w:r>
      <w:r>
        <w:rPr>
          <w:sz w:val="21"/>
        </w:rPr>
        <w:t>ask their </w:t>
      </w:r>
      <w:r>
        <w:rPr>
          <w:spacing w:val="-3"/>
          <w:sz w:val="21"/>
        </w:rPr>
        <w:t>councils </w:t>
      </w:r>
      <w:r>
        <w:rPr>
          <w:sz w:val="21"/>
        </w:rPr>
        <w:t>whether local tree protection laws apply </w:t>
      </w:r>
      <w:r>
        <w:rPr>
          <w:spacing w:val="-3"/>
          <w:sz w:val="21"/>
        </w:rPr>
        <w:t>to </w:t>
      </w:r>
      <w:r>
        <w:rPr>
          <w:sz w:val="21"/>
        </w:rPr>
        <w:t>the </w:t>
      </w:r>
      <w:r>
        <w:rPr>
          <w:spacing w:val="-3"/>
          <w:sz w:val="21"/>
        </w:rPr>
        <w:t>land that </w:t>
      </w:r>
      <w:r>
        <w:rPr>
          <w:sz w:val="21"/>
        </w:rPr>
        <w:t>the tree is </w:t>
      </w:r>
      <w:r>
        <w:rPr>
          <w:spacing w:val="-3"/>
          <w:sz w:val="21"/>
        </w:rPr>
        <w:t>situated </w:t>
      </w:r>
      <w:r>
        <w:rPr>
          <w:sz w:val="21"/>
        </w:rPr>
        <w:t>on or the tree</w:t>
      </w:r>
      <w:r>
        <w:rPr>
          <w:spacing w:val="-7"/>
          <w:sz w:val="21"/>
        </w:rPr>
        <w:t> </w:t>
      </w:r>
      <w:r>
        <w:rPr>
          <w:spacing w:val="-3"/>
          <w:sz w:val="21"/>
        </w:rPr>
        <w:t>itself.</w:t>
      </w:r>
    </w:p>
    <w:p>
      <w:pPr>
        <w:pStyle w:val="ListParagraph"/>
        <w:numPr>
          <w:ilvl w:val="1"/>
          <w:numId w:val="16"/>
        </w:numPr>
        <w:tabs>
          <w:tab w:pos="2381" w:val="left" w:leader="none"/>
          <w:tab w:pos="2382" w:val="left" w:leader="none"/>
        </w:tabs>
        <w:spacing w:line="242" w:lineRule="auto" w:before="122" w:after="0"/>
        <w:ind w:left="2381" w:right="1948" w:hanging="794"/>
        <w:jc w:val="left"/>
        <w:rPr>
          <w:sz w:val="21"/>
        </w:rPr>
      </w:pPr>
      <w:r>
        <w:rPr>
          <w:w w:val="105"/>
          <w:sz w:val="21"/>
        </w:rPr>
        <w:t>The recommended sample letter </w:t>
      </w:r>
      <w:r>
        <w:rPr>
          <w:spacing w:val="-3"/>
          <w:w w:val="105"/>
          <w:sz w:val="21"/>
        </w:rPr>
        <w:t>for communicating </w:t>
      </w:r>
      <w:r>
        <w:rPr>
          <w:w w:val="105"/>
          <w:sz w:val="21"/>
        </w:rPr>
        <w:t>with neighbours </w:t>
      </w:r>
      <w:r>
        <w:rPr>
          <w:spacing w:val="-3"/>
          <w:w w:val="105"/>
          <w:sz w:val="21"/>
        </w:rPr>
        <w:t>could </w:t>
      </w:r>
      <w:r>
        <w:rPr>
          <w:w w:val="105"/>
          <w:sz w:val="21"/>
        </w:rPr>
        <w:t>be </w:t>
      </w:r>
      <w:r>
        <w:rPr>
          <w:spacing w:val="-3"/>
          <w:w w:val="105"/>
          <w:sz w:val="21"/>
        </w:rPr>
        <w:t>similar </w:t>
      </w:r>
      <w:r>
        <w:rPr>
          <w:w w:val="105"/>
          <w:sz w:val="21"/>
        </w:rPr>
        <w:t>in </w:t>
      </w:r>
      <w:r>
        <w:rPr>
          <w:spacing w:val="-3"/>
          <w:w w:val="105"/>
          <w:sz w:val="21"/>
        </w:rPr>
        <w:t>format to </w:t>
      </w:r>
      <w:r>
        <w:rPr>
          <w:w w:val="105"/>
          <w:sz w:val="21"/>
        </w:rPr>
        <w:t>the letter </w:t>
      </w:r>
      <w:r>
        <w:rPr>
          <w:spacing w:val="-3"/>
          <w:w w:val="105"/>
          <w:sz w:val="21"/>
        </w:rPr>
        <w:t>published </w:t>
      </w:r>
      <w:r>
        <w:rPr>
          <w:w w:val="105"/>
          <w:sz w:val="21"/>
        </w:rPr>
        <w:t>by </w:t>
      </w:r>
      <w:r>
        <w:rPr>
          <w:spacing w:val="-3"/>
          <w:w w:val="105"/>
          <w:sz w:val="21"/>
        </w:rPr>
        <w:t>Community </w:t>
      </w:r>
      <w:r>
        <w:rPr>
          <w:w w:val="105"/>
          <w:sz w:val="21"/>
        </w:rPr>
        <w:t>Legal </w:t>
      </w:r>
      <w:r>
        <w:rPr>
          <w:spacing w:val="-4"/>
          <w:w w:val="105"/>
          <w:sz w:val="21"/>
        </w:rPr>
        <w:t>Centres </w:t>
      </w:r>
      <w:r>
        <w:rPr>
          <w:spacing w:val="-3"/>
          <w:w w:val="105"/>
          <w:sz w:val="21"/>
        </w:rPr>
        <w:t>Queensland, </w:t>
      </w:r>
      <w:r>
        <w:rPr>
          <w:w w:val="105"/>
          <w:sz w:val="21"/>
        </w:rPr>
        <w:t>suggesting affected</w:t>
      </w:r>
      <w:r>
        <w:rPr>
          <w:spacing w:val="5"/>
          <w:w w:val="105"/>
          <w:sz w:val="21"/>
        </w:rPr>
        <w:t> </w:t>
      </w:r>
      <w:r>
        <w:rPr>
          <w:w w:val="105"/>
          <w:sz w:val="21"/>
        </w:rPr>
        <w:t>neighbours:</w:t>
      </w:r>
    </w:p>
    <w:p>
      <w:pPr>
        <w:pStyle w:val="ListParagraph"/>
        <w:numPr>
          <w:ilvl w:val="2"/>
          <w:numId w:val="16"/>
        </w:numPr>
        <w:tabs>
          <w:tab w:pos="2721" w:val="left" w:leader="none"/>
          <w:tab w:pos="2722" w:val="left" w:leader="none"/>
        </w:tabs>
        <w:spacing w:line="242" w:lineRule="auto" w:before="123" w:after="0"/>
        <w:ind w:left="2721" w:right="1602" w:hanging="340"/>
        <w:jc w:val="left"/>
        <w:rPr>
          <w:sz w:val="21"/>
        </w:rPr>
      </w:pPr>
      <w:r>
        <w:rPr>
          <w:sz w:val="21"/>
        </w:rPr>
        <w:t>identify themselves, their address and the problem tree (this </w:t>
      </w:r>
      <w:r>
        <w:rPr>
          <w:spacing w:val="-3"/>
          <w:sz w:val="21"/>
        </w:rPr>
        <w:t>may include </w:t>
      </w:r>
      <w:r>
        <w:rPr>
          <w:sz w:val="21"/>
        </w:rPr>
        <w:t>a </w:t>
      </w:r>
      <w:r>
        <w:rPr>
          <w:spacing w:val="-4"/>
          <w:sz w:val="21"/>
        </w:rPr>
        <w:t>sketch </w:t>
      </w:r>
      <w:r>
        <w:rPr>
          <w:sz w:val="21"/>
        </w:rPr>
        <w:t>plan </w:t>
      </w:r>
      <w:r>
        <w:rPr>
          <w:spacing w:val="-3"/>
          <w:sz w:val="21"/>
        </w:rPr>
        <w:t>showing </w:t>
      </w:r>
      <w:r>
        <w:rPr>
          <w:sz w:val="21"/>
        </w:rPr>
        <w:t>the location of the</w:t>
      </w:r>
      <w:r>
        <w:rPr>
          <w:spacing w:val="46"/>
          <w:sz w:val="21"/>
        </w:rPr>
        <w:t> </w:t>
      </w:r>
      <w:r>
        <w:rPr>
          <w:sz w:val="21"/>
        </w:rPr>
        <w:t>tree)</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spacing w:val="-3"/>
          <w:sz w:val="21"/>
        </w:rPr>
        <w:t>outline</w:t>
      </w:r>
      <w:r>
        <w:rPr>
          <w:spacing w:val="9"/>
          <w:sz w:val="21"/>
        </w:rPr>
        <w:t> </w:t>
      </w:r>
      <w:r>
        <w:rPr>
          <w:sz w:val="21"/>
        </w:rPr>
        <w:t>how</w:t>
      </w:r>
      <w:r>
        <w:rPr>
          <w:spacing w:val="10"/>
          <w:sz w:val="21"/>
        </w:rPr>
        <w:t> </w:t>
      </w:r>
      <w:r>
        <w:rPr>
          <w:sz w:val="21"/>
        </w:rPr>
        <w:t>the</w:t>
      </w:r>
      <w:r>
        <w:rPr>
          <w:spacing w:val="10"/>
          <w:sz w:val="21"/>
        </w:rPr>
        <w:t> </w:t>
      </w:r>
      <w:r>
        <w:rPr>
          <w:sz w:val="21"/>
        </w:rPr>
        <w:t>problem</w:t>
      </w:r>
      <w:r>
        <w:rPr>
          <w:spacing w:val="10"/>
          <w:sz w:val="21"/>
        </w:rPr>
        <w:t> </w:t>
      </w:r>
      <w:r>
        <w:rPr>
          <w:sz w:val="21"/>
        </w:rPr>
        <w:t>tree</w:t>
      </w:r>
      <w:r>
        <w:rPr>
          <w:spacing w:val="10"/>
          <w:sz w:val="21"/>
        </w:rPr>
        <w:t> </w:t>
      </w:r>
      <w:r>
        <w:rPr>
          <w:sz w:val="21"/>
        </w:rPr>
        <w:t>is</w:t>
      </w:r>
      <w:r>
        <w:rPr>
          <w:spacing w:val="10"/>
          <w:sz w:val="21"/>
        </w:rPr>
        <w:t> </w:t>
      </w:r>
      <w:r>
        <w:rPr>
          <w:sz w:val="21"/>
        </w:rPr>
        <w:t>affecting</w:t>
      </w:r>
      <w:r>
        <w:rPr>
          <w:spacing w:val="10"/>
          <w:sz w:val="21"/>
        </w:rPr>
        <w:t> </w:t>
      </w:r>
      <w:r>
        <w:rPr>
          <w:sz w:val="21"/>
        </w:rPr>
        <w:t>their</w:t>
      </w:r>
      <w:r>
        <w:rPr>
          <w:spacing w:val="10"/>
          <w:sz w:val="21"/>
        </w:rPr>
        <w:t> </w:t>
      </w:r>
      <w:r>
        <w:rPr>
          <w:spacing w:val="-3"/>
          <w:sz w:val="21"/>
        </w:rPr>
        <w:t>land</w:t>
      </w:r>
      <w:r>
        <w:rPr>
          <w:spacing w:val="10"/>
          <w:sz w:val="21"/>
        </w:rPr>
        <w:t> </w:t>
      </w:r>
      <w:r>
        <w:rPr>
          <w:sz w:val="21"/>
        </w:rPr>
        <w:t>or</w:t>
      </w:r>
      <w:r>
        <w:rPr>
          <w:spacing w:val="10"/>
          <w:sz w:val="21"/>
        </w:rPr>
        <w:t> </w:t>
      </w:r>
      <w:r>
        <w:rPr>
          <w:sz w:val="21"/>
        </w:rPr>
        <w:t>property</w:t>
      </w:r>
      <w:r>
        <w:rPr>
          <w:spacing w:val="10"/>
          <w:sz w:val="21"/>
        </w:rPr>
        <w:t> </w:t>
      </w:r>
      <w:r>
        <w:rPr>
          <w:sz w:val="21"/>
        </w:rPr>
        <w:t>on</w:t>
      </w:r>
      <w:r>
        <w:rPr>
          <w:spacing w:val="10"/>
          <w:sz w:val="21"/>
        </w:rPr>
        <w:t> </w:t>
      </w:r>
      <w:r>
        <w:rPr>
          <w:sz w:val="21"/>
        </w:rPr>
        <w:t>their</w:t>
      </w:r>
      <w:r>
        <w:rPr>
          <w:spacing w:val="10"/>
          <w:sz w:val="21"/>
        </w:rPr>
        <w:t> </w:t>
      </w:r>
      <w:r>
        <w:rPr>
          <w:spacing w:val="-3"/>
          <w:sz w:val="21"/>
        </w:rPr>
        <w:t>land</w:t>
      </w:r>
    </w:p>
    <w:p>
      <w:pPr>
        <w:pStyle w:val="ListParagraph"/>
        <w:numPr>
          <w:ilvl w:val="2"/>
          <w:numId w:val="16"/>
        </w:numPr>
        <w:tabs>
          <w:tab w:pos="2721" w:val="left" w:leader="none"/>
          <w:tab w:pos="2722" w:val="left" w:leader="none"/>
        </w:tabs>
        <w:spacing w:line="242" w:lineRule="auto" w:before="89" w:after="0"/>
        <w:ind w:left="2721" w:right="1777" w:hanging="340"/>
        <w:jc w:val="left"/>
        <w:rPr>
          <w:sz w:val="21"/>
        </w:rPr>
      </w:pPr>
      <w:r>
        <w:rPr>
          <w:sz w:val="21"/>
        </w:rPr>
        <w:t>ask the tree owner if they would be </w:t>
      </w:r>
      <w:r>
        <w:rPr>
          <w:spacing w:val="-3"/>
          <w:sz w:val="21"/>
        </w:rPr>
        <w:t>willing to </w:t>
      </w:r>
      <w:r>
        <w:rPr>
          <w:sz w:val="21"/>
        </w:rPr>
        <w:t>set aside a time </w:t>
      </w:r>
      <w:r>
        <w:rPr>
          <w:spacing w:val="-3"/>
          <w:sz w:val="21"/>
        </w:rPr>
        <w:t>to </w:t>
      </w:r>
      <w:r>
        <w:rPr>
          <w:sz w:val="21"/>
        </w:rPr>
        <w:t>discuss the issue </w:t>
      </w:r>
      <w:r>
        <w:rPr>
          <w:spacing w:val="-3"/>
          <w:sz w:val="21"/>
        </w:rPr>
        <w:t>to determine </w:t>
      </w:r>
      <w:r>
        <w:rPr>
          <w:sz w:val="21"/>
        </w:rPr>
        <w:t>whether the issue can be</w:t>
      </w:r>
      <w:r>
        <w:rPr>
          <w:spacing w:val="9"/>
          <w:sz w:val="21"/>
        </w:rPr>
        <w:t> </w:t>
      </w:r>
      <w:r>
        <w:rPr>
          <w:sz w:val="21"/>
        </w:rPr>
        <w:t>resolved.</w:t>
      </w:r>
      <w:r>
        <w:rPr>
          <w:position w:val="7"/>
          <w:sz w:val="12"/>
        </w:rPr>
        <w:t>82</w:t>
      </w:r>
    </w:p>
    <w:p>
      <w:pPr>
        <w:pStyle w:val="ListParagraph"/>
        <w:numPr>
          <w:ilvl w:val="1"/>
          <w:numId w:val="16"/>
        </w:numPr>
        <w:tabs>
          <w:tab w:pos="2381" w:val="left" w:leader="none"/>
          <w:tab w:pos="2382" w:val="left" w:leader="none"/>
        </w:tabs>
        <w:spacing w:line="242" w:lineRule="auto" w:before="87" w:after="0"/>
        <w:ind w:left="2381" w:right="1851" w:hanging="794"/>
        <w:jc w:val="left"/>
        <w:rPr>
          <w:sz w:val="21"/>
        </w:rPr>
      </w:pPr>
      <w:r>
        <w:rPr>
          <w:w w:val="105"/>
          <w:sz w:val="21"/>
        </w:rPr>
        <w:t>Another </w:t>
      </w:r>
      <w:r>
        <w:rPr>
          <w:spacing w:val="-3"/>
          <w:w w:val="105"/>
          <w:sz w:val="21"/>
        </w:rPr>
        <w:t>useful </w:t>
      </w:r>
      <w:r>
        <w:rPr>
          <w:w w:val="105"/>
          <w:sz w:val="21"/>
        </w:rPr>
        <w:t>guide </w:t>
      </w:r>
      <w:r>
        <w:rPr>
          <w:spacing w:val="-3"/>
          <w:w w:val="105"/>
          <w:sz w:val="21"/>
        </w:rPr>
        <w:t>for material to include </w:t>
      </w:r>
      <w:r>
        <w:rPr>
          <w:w w:val="105"/>
          <w:sz w:val="21"/>
        </w:rPr>
        <w:t>in a standard letter is </w:t>
      </w:r>
      <w:r>
        <w:rPr>
          <w:spacing w:val="-3"/>
          <w:w w:val="105"/>
          <w:sz w:val="21"/>
        </w:rPr>
        <w:t>contained </w:t>
      </w:r>
      <w:r>
        <w:rPr>
          <w:w w:val="105"/>
          <w:sz w:val="21"/>
        </w:rPr>
        <w:t>in the prescribed </w:t>
      </w:r>
      <w:r>
        <w:rPr>
          <w:spacing w:val="-3"/>
          <w:w w:val="105"/>
          <w:sz w:val="21"/>
        </w:rPr>
        <w:t>notice </w:t>
      </w:r>
      <w:r>
        <w:rPr>
          <w:w w:val="105"/>
          <w:sz w:val="21"/>
        </w:rPr>
        <w:t>under section 22 of the </w:t>
      </w:r>
      <w:r>
        <w:rPr>
          <w:spacing w:val="-4"/>
          <w:w w:val="105"/>
          <w:sz w:val="21"/>
        </w:rPr>
        <w:t>Tasmanian </w:t>
      </w:r>
      <w:r>
        <w:rPr>
          <w:w w:val="105"/>
          <w:sz w:val="21"/>
        </w:rPr>
        <w:t>Act. This </w:t>
      </w:r>
      <w:r>
        <w:rPr>
          <w:spacing w:val="-3"/>
          <w:w w:val="105"/>
          <w:sz w:val="21"/>
        </w:rPr>
        <w:t>notice </w:t>
      </w:r>
      <w:r>
        <w:rPr>
          <w:w w:val="105"/>
          <w:sz w:val="21"/>
        </w:rPr>
        <w:t>can be used when a </w:t>
      </w:r>
      <w:r>
        <w:rPr>
          <w:spacing w:val="-3"/>
          <w:w w:val="105"/>
          <w:sz w:val="21"/>
        </w:rPr>
        <w:t>formal branch removal notice cannot </w:t>
      </w:r>
      <w:r>
        <w:rPr>
          <w:w w:val="105"/>
          <w:sz w:val="21"/>
        </w:rPr>
        <w:t>be issued under the </w:t>
      </w:r>
      <w:r>
        <w:rPr>
          <w:spacing w:val="-4"/>
          <w:w w:val="105"/>
          <w:sz w:val="21"/>
        </w:rPr>
        <w:t>Tasmanian </w:t>
      </w:r>
      <w:r>
        <w:rPr>
          <w:w w:val="105"/>
          <w:sz w:val="21"/>
        </w:rPr>
        <w:t>Act.</w:t>
      </w:r>
      <w:r>
        <w:rPr>
          <w:w w:val="105"/>
          <w:position w:val="7"/>
          <w:sz w:val="12"/>
        </w:rPr>
        <w:t>83</w:t>
      </w:r>
      <w:r>
        <w:rPr>
          <w:spacing w:val="22"/>
          <w:w w:val="105"/>
          <w:position w:val="7"/>
          <w:sz w:val="12"/>
        </w:rPr>
        <w:t> </w:t>
      </w:r>
      <w:r>
        <w:rPr>
          <w:w w:val="105"/>
          <w:sz w:val="21"/>
        </w:rPr>
        <w:t>The</w:t>
      </w:r>
    </w:p>
    <w:p>
      <w:pPr>
        <w:pStyle w:val="BodyText"/>
        <w:spacing w:line="242" w:lineRule="auto" w:before="3"/>
        <w:ind w:left="2381" w:right="1765"/>
      </w:pPr>
      <w:r>
        <w:rPr>
          <w:spacing w:val="-3"/>
          <w:w w:val="105"/>
        </w:rPr>
        <w:t>Commission notes that </w:t>
      </w:r>
      <w:r>
        <w:rPr>
          <w:w w:val="105"/>
        </w:rPr>
        <w:t>this prescribed </w:t>
      </w:r>
      <w:r>
        <w:rPr>
          <w:spacing w:val="-3"/>
          <w:w w:val="105"/>
        </w:rPr>
        <w:t>notice </w:t>
      </w:r>
      <w:r>
        <w:rPr>
          <w:w w:val="105"/>
        </w:rPr>
        <w:t>is more </w:t>
      </w:r>
      <w:r>
        <w:rPr>
          <w:spacing w:val="-3"/>
          <w:w w:val="105"/>
        </w:rPr>
        <w:t>formal than that </w:t>
      </w:r>
      <w:r>
        <w:rPr>
          <w:w w:val="105"/>
        </w:rPr>
        <w:t>envisaged </w:t>
      </w:r>
      <w:r>
        <w:rPr>
          <w:spacing w:val="-3"/>
          <w:w w:val="105"/>
        </w:rPr>
        <w:t>for </w:t>
      </w:r>
      <w:r>
        <w:rPr>
          <w:w w:val="105"/>
        </w:rPr>
        <w:t>the new Act but it asks </w:t>
      </w:r>
      <w:r>
        <w:rPr>
          <w:spacing w:val="-3"/>
          <w:w w:val="105"/>
        </w:rPr>
        <w:t>for useful information such </w:t>
      </w:r>
      <w:r>
        <w:rPr>
          <w:w w:val="105"/>
        </w:rPr>
        <w:t>as how the </w:t>
      </w:r>
      <w:r>
        <w:rPr>
          <w:spacing w:val="-3"/>
          <w:w w:val="105"/>
        </w:rPr>
        <w:t>plant </w:t>
      </w:r>
      <w:r>
        <w:rPr>
          <w:w w:val="105"/>
        </w:rPr>
        <w:t>affects the </w:t>
      </w:r>
      <w:r>
        <w:rPr>
          <w:spacing w:val="-3"/>
          <w:w w:val="105"/>
        </w:rPr>
        <w:t>neighbour’s land </w:t>
      </w:r>
      <w:r>
        <w:rPr>
          <w:w w:val="105"/>
        </w:rPr>
        <w:t>and what actions the affected </w:t>
      </w:r>
      <w:r>
        <w:rPr>
          <w:spacing w:val="-3"/>
          <w:w w:val="105"/>
        </w:rPr>
        <w:t>neighbour </w:t>
      </w:r>
      <w:r>
        <w:rPr>
          <w:w w:val="105"/>
        </w:rPr>
        <w:t>would </w:t>
      </w:r>
      <w:r>
        <w:rPr>
          <w:spacing w:val="-4"/>
          <w:w w:val="105"/>
        </w:rPr>
        <w:t>like </w:t>
      </w:r>
      <w:r>
        <w:rPr>
          <w:w w:val="105"/>
        </w:rPr>
        <w:t>the tree owner </w:t>
      </w:r>
      <w:r>
        <w:rPr>
          <w:spacing w:val="-3"/>
          <w:w w:val="105"/>
        </w:rPr>
        <w:t>to take to </w:t>
      </w:r>
      <w:r>
        <w:rPr>
          <w:w w:val="105"/>
        </w:rPr>
        <w:t>resolve the </w:t>
      </w:r>
      <w:r>
        <w:rPr>
          <w:spacing w:val="-3"/>
          <w:w w:val="105"/>
        </w:rPr>
        <w:t>issue.</w:t>
      </w:r>
    </w:p>
    <w:p>
      <w:pPr>
        <w:pStyle w:val="BodyText"/>
        <w:rPr>
          <w:sz w:val="20"/>
        </w:rPr>
      </w:pPr>
    </w:p>
    <w:p>
      <w:pPr>
        <w:pStyle w:val="BodyText"/>
        <w:spacing w:before="11"/>
        <w:rPr>
          <w:sz w:val="11"/>
        </w:rPr>
      </w:pPr>
      <w:r>
        <w:rPr/>
        <w:pict>
          <v:line style="position:absolute;mso-position-horizontal-relative:page;mso-position-vertical-relative:paragraph;z-index:11648;mso-wrap-distance-left:0;mso-wrap-distance-right:0" from="79.370102pt,9.720924pt" to="515.905102pt,9.72092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spacing w:before="198"/>
        <w:ind w:left="720" w:right="0" w:firstLine="0"/>
        <w:jc w:val="left"/>
        <w:rPr>
          <w:b/>
          <w:sz w:val="24"/>
        </w:rPr>
      </w:pPr>
      <w:r>
        <w:rPr>
          <w:b/>
          <w:color w:val="658464"/>
          <w:w w:val="110"/>
          <w:sz w:val="24"/>
        </w:rPr>
        <w:t>284</w:t>
      </w:r>
    </w:p>
    <w:p>
      <w:pPr>
        <w:pStyle w:val="ListParagraph"/>
        <w:numPr>
          <w:ilvl w:val="0"/>
          <w:numId w:val="200"/>
        </w:numPr>
        <w:tabs>
          <w:tab w:pos="1215" w:val="left" w:leader="none"/>
          <w:tab w:pos="1216" w:val="left" w:leader="none"/>
        </w:tabs>
        <w:spacing w:line="240" w:lineRule="auto" w:before="48" w:after="0"/>
        <w:ind w:left="1215" w:right="2267" w:hanging="793"/>
        <w:jc w:val="left"/>
        <w:rPr>
          <w:sz w:val="13"/>
        </w:rPr>
      </w:pPr>
      <w:r>
        <w:rPr>
          <w:spacing w:val="2"/>
          <w:w w:val="108"/>
          <w:sz w:val="13"/>
        </w:rPr>
        <w:br w:type="column"/>
      </w:r>
      <w:r>
        <w:rPr>
          <w:w w:val="105"/>
          <w:sz w:val="13"/>
        </w:rPr>
        <w:t>Department of Environment, Water, Land and Planning </w:t>
      </w:r>
      <w:r>
        <w:rPr>
          <w:spacing w:val="2"/>
          <w:w w:val="105"/>
          <w:sz w:val="13"/>
        </w:rPr>
        <w:t>(Vic), </w:t>
      </w:r>
      <w:r>
        <w:rPr>
          <w:i/>
          <w:w w:val="105"/>
          <w:sz w:val="13"/>
        </w:rPr>
        <w:t>Land.vic.gov.au </w:t>
      </w:r>
      <w:r>
        <w:rPr>
          <w:w w:val="105"/>
          <w:sz w:val="13"/>
        </w:rPr>
        <w:t>(Database, 2017) &lt;https://services.land.vic.gov.au/ landchannel/content/addressSearch&gt;.</w:t>
      </w:r>
    </w:p>
    <w:p>
      <w:pPr>
        <w:pStyle w:val="ListParagraph"/>
        <w:numPr>
          <w:ilvl w:val="0"/>
          <w:numId w:val="200"/>
        </w:numPr>
        <w:tabs>
          <w:tab w:pos="1215" w:val="left" w:leader="none"/>
          <w:tab w:pos="1216" w:val="left" w:leader="none"/>
        </w:tabs>
        <w:spacing w:line="240" w:lineRule="auto" w:before="3" w:after="0"/>
        <w:ind w:left="1215" w:right="0" w:hanging="793"/>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5"/>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5"/>
          <w:w w:val="105"/>
          <w:sz w:val="13"/>
        </w:rPr>
        <w:t> </w:t>
      </w:r>
      <w:r>
        <w:rPr>
          <w:i/>
          <w:w w:val="105"/>
          <w:sz w:val="13"/>
        </w:rPr>
        <w:t>PlanningVIC:</w:t>
      </w:r>
      <w:r>
        <w:rPr>
          <w:i/>
          <w:spacing w:val="5"/>
          <w:w w:val="105"/>
          <w:sz w:val="13"/>
        </w:rPr>
        <w:t> </w:t>
      </w:r>
      <w:r>
        <w:rPr>
          <w:i/>
          <w:w w:val="105"/>
          <w:sz w:val="13"/>
        </w:rPr>
        <w:t>Planning</w:t>
      </w:r>
      <w:r>
        <w:rPr>
          <w:i/>
          <w:spacing w:val="5"/>
          <w:w w:val="105"/>
          <w:sz w:val="13"/>
        </w:rPr>
        <w:t> </w:t>
      </w:r>
      <w:r>
        <w:rPr>
          <w:i/>
          <w:spacing w:val="2"/>
          <w:w w:val="105"/>
          <w:sz w:val="13"/>
        </w:rPr>
        <w:t>Property</w:t>
      </w:r>
      <w:r>
        <w:rPr>
          <w:i/>
          <w:spacing w:val="5"/>
          <w:w w:val="105"/>
          <w:sz w:val="13"/>
        </w:rPr>
        <w:t> </w:t>
      </w:r>
      <w:r>
        <w:rPr>
          <w:i/>
          <w:spacing w:val="2"/>
          <w:w w:val="105"/>
          <w:sz w:val="13"/>
        </w:rPr>
        <w:t>Report</w:t>
      </w:r>
      <w:r>
        <w:rPr>
          <w:i/>
          <w:spacing w:val="5"/>
          <w:w w:val="105"/>
          <w:sz w:val="13"/>
        </w:rPr>
        <w:t> </w:t>
      </w:r>
      <w:r>
        <w:rPr>
          <w:i/>
          <w:w w:val="105"/>
          <w:sz w:val="13"/>
        </w:rPr>
        <w:t>Mobile</w:t>
      </w:r>
      <w:r>
        <w:rPr>
          <w:i/>
          <w:spacing w:val="5"/>
          <w:w w:val="105"/>
          <w:sz w:val="13"/>
        </w:rPr>
        <w:t> </w:t>
      </w:r>
      <w:r>
        <w:rPr>
          <w:i/>
          <w:w w:val="105"/>
          <w:sz w:val="13"/>
        </w:rPr>
        <w:t>App</w:t>
      </w:r>
      <w:r>
        <w:rPr>
          <w:i/>
          <w:spacing w:val="5"/>
          <w:w w:val="105"/>
          <w:sz w:val="13"/>
        </w:rPr>
        <w:t> </w:t>
      </w:r>
      <w:r>
        <w:rPr>
          <w:w w:val="105"/>
          <w:sz w:val="13"/>
        </w:rPr>
        <w:t>(27</w:t>
      </w:r>
      <w:r>
        <w:rPr>
          <w:spacing w:val="5"/>
          <w:w w:val="105"/>
          <w:sz w:val="13"/>
        </w:rPr>
        <w:t> </w:t>
      </w:r>
      <w:r>
        <w:rPr>
          <w:w w:val="105"/>
          <w:sz w:val="13"/>
        </w:rPr>
        <w:t>April</w:t>
      </w:r>
      <w:r>
        <w:rPr>
          <w:spacing w:val="5"/>
          <w:w w:val="105"/>
          <w:sz w:val="13"/>
        </w:rPr>
        <w:t> </w:t>
      </w:r>
      <w:r>
        <w:rPr>
          <w:w w:val="105"/>
          <w:sz w:val="13"/>
        </w:rPr>
        <w:t>2018)</w:t>
      </w:r>
    </w:p>
    <w:p>
      <w:pPr>
        <w:spacing w:before="1"/>
        <w:ind w:left="1215" w:right="2065" w:firstLine="0"/>
        <w:jc w:val="left"/>
        <w:rPr>
          <w:sz w:val="13"/>
        </w:rPr>
      </w:pPr>
      <w:r>
        <w:rPr>
          <w:w w:val="105"/>
          <w:sz w:val="13"/>
        </w:rPr>
        <w:t>&lt;https://</w:t>
      </w:r>
      <w:hyperlink r:id="rId342">
        <w:r>
          <w:rPr>
            <w:w w:val="105"/>
            <w:sz w:val="13"/>
          </w:rPr>
          <w:t>www.planning.vic.gov.au/schemes-and-amendments/get-information-about-your-planning-scheme/planningvic-planning-</w:t>
        </w:r>
      </w:hyperlink>
      <w:r>
        <w:rPr>
          <w:w w:val="105"/>
          <w:sz w:val="13"/>
        </w:rPr>
        <w:t> property-report-mobile-app&gt;.</w:t>
      </w:r>
    </w:p>
    <w:p>
      <w:pPr>
        <w:pStyle w:val="ListParagraph"/>
        <w:numPr>
          <w:ilvl w:val="0"/>
          <w:numId w:val="200"/>
        </w:numPr>
        <w:tabs>
          <w:tab w:pos="1215" w:val="left" w:leader="none"/>
          <w:tab w:pos="1216" w:val="left" w:leader="none"/>
        </w:tabs>
        <w:spacing w:line="240" w:lineRule="auto" w:before="3" w:after="0"/>
        <w:ind w:left="1215" w:right="1938" w:hanging="793"/>
        <w:jc w:val="left"/>
        <w:rPr>
          <w:sz w:val="13"/>
        </w:rPr>
      </w:pPr>
      <w:r>
        <w:rPr>
          <w:w w:val="105"/>
          <w:sz w:val="13"/>
        </w:rPr>
        <w:t>See, eg, Community Legal Centres Queensland, </w:t>
      </w:r>
      <w:r>
        <w:rPr>
          <w:i/>
          <w:w w:val="105"/>
          <w:sz w:val="13"/>
        </w:rPr>
        <w:t>Writing to Your Neighbour </w:t>
      </w:r>
      <w:r>
        <w:rPr>
          <w:spacing w:val="2"/>
          <w:w w:val="105"/>
          <w:sz w:val="13"/>
        </w:rPr>
        <w:t>(Letter </w:t>
      </w:r>
      <w:r>
        <w:rPr>
          <w:w w:val="105"/>
          <w:sz w:val="13"/>
        </w:rPr>
        <w:t>Template) </w:t>
      </w:r>
      <w:r>
        <w:rPr>
          <w:spacing w:val="2"/>
          <w:w w:val="105"/>
          <w:sz w:val="13"/>
        </w:rPr>
        <w:t>&lt;https://</w:t>
      </w:r>
      <w:hyperlink r:id="rId343">
        <w:r>
          <w:rPr>
            <w:spacing w:val="2"/>
            <w:w w:val="105"/>
            <w:sz w:val="13"/>
          </w:rPr>
          <w:t>www.qldneighbourhoods.com/</w:t>
        </w:r>
      </w:hyperlink>
      <w:r>
        <w:rPr>
          <w:spacing w:val="2"/>
          <w:w w:val="105"/>
          <w:sz w:val="13"/>
        </w:rPr>
        <w:t> </w:t>
      </w:r>
      <w:r>
        <w:rPr>
          <w:w w:val="105"/>
          <w:sz w:val="13"/>
        </w:rPr>
        <w:t>writing-to-your-neighbour.html&gt;.</w:t>
      </w:r>
    </w:p>
    <w:p>
      <w:pPr>
        <w:pStyle w:val="ListParagraph"/>
        <w:numPr>
          <w:ilvl w:val="0"/>
          <w:numId w:val="200"/>
        </w:numPr>
        <w:tabs>
          <w:tab w:pos="1215" w:val="left" w:leader="none"/>
          <w:tab w:pos="1216" w:val="left" w:leader="none"/>
        </w:tabs>
        <w:spacing w:line="240" w:lineRule="auto" w:before="2" w:after="0"/>
        <w:ind w:left="1215" w:right="0" w:hanging="793"/>
        <w:jc w:val="left"/>
        <w:rPr>
          <w:i/>
          <w:sz w:val="13"/>
        </w:rPr>
      </w:pPr>
      <w:r>
        <w:rPr>
          <w:i/>
          <w:w w:val="105"/>
          <w:sz w:val="13"/>
        </w:rPr>
        <w:t>Neighbourhood</w:t>
      </w:r>
      <w:r>
        <w:rPr>
          <w:i/>
          <w:spacing w:val="6"/>
          <w:w w:val="105"/>
          <w:sz w:val="13"/>
        </w:rPr>
        <w:t> </w:t>
      </w:r>
      <w:r>
        <w:rPr>
          <w:i/>
          <w:w w:val="105"/>
          <w:sz w:val="13"/>
        </w:rPr>
        <w:t>Disputes</w:t>
      </w:r>
      <w:r>
        <w:rPr>
          <w:i/>
          <w:spacing w:val="6"/>
          <w:w w:val="105"/>
          <w:sz w:val="13"/>
        </w:rPr>
        <w:t> </w:t>
      </w:r>
      <w:r>
        <w:rPr>
          <w:i/>
          <w:w w:val="105"/>
          <w:sz w:val="13"/>
        </w:rPr>
        <w:t>About</w:t>
      </w:r>
      <w:r>
        <w:rPr>
          <w:i/>
          <w:spacing w:val="6"/>
          <w:w w:val="105"/>
          <w:sz w:val="13"/>
        </w:rPr>
        <w:t> </w:t>
      </w:r>
      <w:r>
        <w:rPr>
          <w:i/>
          <w:w w:val="105"/>
          <w:sz w:val="13"/>
        </w:rPr>
        <w:t>Plants</w:t>
      </w:r>
      <w:r>
        <w:rPr>
          <w:i/>
          <w:spacing w:val="6"/>
          <w:w w:val="105"/>
          <w:sz w:val="13"/>
        </w:rPr>
        <w:t> </w:t>
      </w:r>
      <w:r>
        <w:rPr>
          <w:i/>
          <w:w w:val="105"/>
          <w:sz w:val="13"/>
        </w:rPr>
        <w:t>Act</w:t>
      </w:r>
      <w:r>
        <w:rPr>
          <w:i/>
          <w:spacing w:val="6"/>
          <w:w w:val="105"/>
          <w:sz w:val="13"/>
        </w:rPr>
        <w:t> </w:t>
      </w:r>
      <w:r>
        <w:rPr>
          <w:i/>
          <w:spacing w:val="-4"/>
          <w:w w:val="105"/>
          <w:sz w:val="13"/>
        </w:rPr>
        <w:t>2017</w:t>
      </w:r>
      <w:r>
        <w:rPr>
          <w:i/>
          <w:spacing w:val="6"/>
          <w:w w:val="105"/>
          <w:sz w:val="13"/>
        </w:rPr>
        <w:t> </w:t>
      </w:r>
      <w:r>
        <w:rPr>
          <w:w w:val="105"/>
          <w:sz w:val="13"/>
        </w:rPr>
        <w:t>(Tas)</w:t>
      </w:r>
      <w:r>
        <w:rPr>
          <w:spacing w:val="6"/>
          <w:w w:val="105"/>
          <w:sz w:val="13"/>
        </w:rPr>
        <w:t> </w:t>
      </w:r>
      <w:r>
        <w:rPr>
          <w:w w:val="105"/>
          <w:sz w:val="13"/>
        </w:rPr>
        <w:t>s</w:t>
      </w:r>
      <w:r>
        <w:rPr>
          <w:spacing w:val="6"/>
          <w:w w:val="105"/>
          <w:sz w:val="13"/>
        </w:rPr>
        <w:t> </w:t>
      </w:r>
      <w:r>
        <w:rPr>
          <w:w w:val="105"/>
          <w:sz w:val="13"/>
        </w:rPr>
        <w:t>22;</w:t>
      </w:r>
      <w:r>
        <w:rPr>
          <w:spacing w:val="6"/>
          <w:w w:val="105"/>
          <w:sz w:val="13"/>
        </w:rPr>
        <w:t> </w:t>
      </w:r>
      <w:r>
        <w:rPr>
          <w:w w:val="105"/>
          <w:sz w:val="13"/>
        </w:rPr>
        <w:t>see</w:t>
      </w:r>
      <w:r>
        <w:rPr>
          <w:spacing w:val="6"/>
          <w:w w:val="105"/>
          <w:sz w:val="13"/>
        </w:rPr>
        <w:t> </w:t>
      </w:r>
      <w:r>
        <w:rPr>
          <w:w w:val="105"/>
          <w:sz w:val="13"/>
        </w:rPr>
        <w:t>also</w:t>
      </w:r>
      <w:r>
        <w:rPr>
          <w:spacing w:val="6"/>
          <w:w w:val="105"/>
          <w:sz w:val="13"/>
        </w:rPr>
        <w:t> </w:t>
      </w:r>
      <w:r>
        <w:rPr>
          <w:i/>
          <w:w w:val="105"/>
          <w:sz w:val="13"/>
        </w:rPr>
        <w:t>Department</w:t>
      </w:r>
      <w:r>
        <w:rPr>
          <w:i/>
          <w:spacing w:val="6"/>
          <w:w w:val="105"/>
          <w:sz w:val="13"/>
        </w:rPr>
        <w:t> </w:t>
      </w:r>
      <w:r>
        <w:rPr>
          <w:i/>
          <w:w w:val="105"/>
          <w:sz w:val="13"/>
        </w:rPr>
        <w:t>of</w:t>
      </w:r>
      <w:r>
        <w:rPr>
          <w:i/>
          <w:spacing w:val="6"/>
          <w:w w:val="105"/>
          <w:sz w:val="13"/>
        </w:rPr>
        <w:t> </w:t>
      </w:r>
      <w:r>
        <w:rPr>
          <w:i/>
          <w:w w:val="105"/>
          <w:sz w:val="13"/>
        </w:rPr>
        <w:t>Justice</w:t>
      </w:r>
      <w:r>
        <w:rPr>
          <w:i/>
          <w:spacing w:val="7"/>
          <w:w w:val="105"/>
          <w:sz w:val="13"/>
        </w:rPr>
        <w:t> </w:t>
      </w:r>
      <w:r>
        <w:rPr>
          <w:w w:val="105"/>
          <w:sz w:val="13"/>
        </w:rPr>
        <w:t>(Tas),</w:t>
      </w:r>
      <w:r>
        <w:rPr>
          <w:spacing w:val="6"/>
          <w:w w:val="105"/>
          <w:sz w:val="13"/>
        </w:rPr>
        <w:t> </w:t>
      </w:r>
      <w:r>
        <w:rPr>
          <w:i/>
          <w:w w:val="105"/>
          <w:sz w:val="13"/>
        </w:rPr>
        <w:t>Neighbourhood</w:t>
      </w:r>
      <w:r>
        <w:rPr>
          <w:i/>
          <w:spacing w:val="6"/>
          <w:w w:val="105"/>
          <w:sz w:val="13"/>
        </w:rPr>
        <w:t> </w:t>
      </w:r>
      <w:r>
        <w:rPr>
          <w:i/>
          <w:w w:val="105"/>
          <w:sz w:val="13"/>
        </w:rPr>
        <w:t>Disputes</w:t>
      </w:r>
      <w:r>
        <w:rPr>
          <w:i/>
          <w:spacing w:val="6"/>
          <w:w w:val="105"/>
          <w:sz w:val="13"/>
        </w:rPr>
        <w:t> </w:t>
      </w:r>
      <w:r>
        <w:rPr>
          <w:i/>
          <w:w w:val="105"/>
          <w:sz w:val="13"/>
        </w:rPr>
        <w:t>About</w:t>
      </w:r>
      <w:r>
        <w:rPr>
          <w:i/>
          <w:spacing w:val="6"/>
          <w:w w:val="105"/>
          <w:sz w:val="13"/>
        </w:rPr>
        <w:t> </w:t>
      </w:r>
      <w:r>
        <w:rPr>
          <w:i/>
          <w:w w:val="105"/>
          <w:sz w:val="13"/>
        </w:rPr>
        <w:t>Plants</w:t>
      </w:r>
    </w:p>
    <w:p>
      <w:pPr>
        <w:spacing w:before="2"/>
        <w:ind w:left="1215" w:right="0" w:firstLine="0"/>
        <w:jc w:val="left"/>
        <w:rPr>
          <w:sz w:val="13"/>
        </w:rPr>
      </w:pPr>
      <w:r>
        <w:rPr>
          <w:sz w:val="13"/>
        </w:rPr>
        <w:t>(Web Page) &lt;https://</w:t>
      </w:r>
      <w:hyperlink r:id="rId133">
        <w:r>
          <w:rPr>
            <w:sz w:val="13"/>
          </w:rPr>
          <w:t>www.justice.tas.gov.au/mediation_and_dispute_resolution/neighbourhood-disputes-about-plants</w:t>
        </w:r>
      </w:hyperlink>
      <w:r>
        <w:rPr>
          <w:sz w:val="13"/>
        </w:rPr>
        <w:t>&gt;.</w:t>
      </w:r>
    </w:p>
    <w:p>
      <w:pPr>
        <w:spacing w:after="0"/>
        <w:jc w:val="left"/>
        <w:rPr>
          <w:sz w:val="13"/>
        </w:rPr>
        <w:sectPr>
          <w:type w:val="continuous"/>
          <w:pgSz w:w="11910" w:h="16840"/>
          <w:pgMar w:top="300" w:bottom="280" w:left="0" w:right="0"/>
          <w:cols w:num="2" w:equalWidth="0">
            <w:col w:w="1126" w:space="40"/>
            <w:col w:w="10744"/>
          </w:cols>
        </w:sectPr>
      </w:pPr>
    </w:p>
    <w:p>
      <w:pPr>
        <w:pStyle w:val="BodyText"/>
        <w:rPr>
          <w:sz w:val="20"/>
        </w:rPr>
      </w:pPr>
    </w:p>
    <w:p>
      <w:pPr>
        <w:pStyle w:val="BodyText"/>
        <w:spacing w:before="11"/>
        <w:rPr>
          <w:sz w:val="17"/>
        </w:rPr>
      </w:pPr>
    </w:p>
    <w:p>
      <w:pPr>
        <w:pStyle w:val="Heading5"/>
        <w:spacing w:before="96"/>
      </w:pPr>
      <w:bookmarkStart w:name="_bookmark157" w:id="340"/>
      <w:bookmarkEnd w:id="340"/>
      <w:r>
        <w:rPr>
          <w:b w:val="0"/>
        </w:rPr>
      </w:r>
      <w:r>
        <w:rPr>
          <w:w w:val="115"/>
        </w:rPr>
        <w:t>Information provided by VCAT</w:t>
      </w:r>
    </w:p>
    <w:p>
      <w:pPr>
        <w:pStyle w:val="ListParagraph"/>
        <w:numPr>
          <w:ilvl w:val="1"/>
          <w:numId w:val="16"/>
        </w:numPr>
        <w:tabs>
          <w:tab w:pos="2381" w:val="left" w:leader="none"/>
          <w:tab w:pos="2382" w:val="left" w:leader="none"/>
        </w:tabs>
        <w:spacing w:line="242" w:lineRule="auto" w:before="137" w:after="0"/>
        <w:ind w:left="2381" w:right="1808" w:hanging="794"/>
        <w:jc w:val="left"/>
        <w:rPr>
          <w:sz w:val="21"/>
        </w:rPr>
      </w:pPr>
      <w:r>
        <w:rPr>
          <w:w w:val="105"/>
          <w:sz w:val="21"/>
        </w:rPr>
        <w:t>The </w:t>
      </w:r>
      <w:r>
        <w:rPr>
          <w:spacing w:val="-5"/>
          <w:w w:val="105"/>
          <w:sz w:val="21"/>
        </w:rPr>
        <w:t>VCAT </w:t>
      </w:r>
      <w:r>
        <w:rPr>
          <w:w w:val="105"/>
          <w:sz w:val="21"/>
        </w:rPr>
        <w:t>Practice Note </w:t>
      </w:r>
      <w:r>
        <w:rPr>
          <w:spacing w:val="-3"/>
          <w:w w:val="105"/>
          <w:sz w:val="21"/>
        </w:rPr>
        <w:t>for </w:t>
      </w:r>
      <w:r>
        <w:rPr>
          <w:w w:val="105"/>
          <w:sz w:val="21"/>
        </w:rPr>
        <w:t>matters in the </w:t>
      </w:r>
      <w:r>
        <w:rPr>
          <w:spacing w:val="-3"/>
          <w:w w:val="105"/>
          <w:sz w:val="21"/>
        </w:rPr>
        <w:t>Planning </w:t>
      </w:r>
      <w:r>
        <w:rPr>
          <w:w w:val="105"/>
          <w:sz w:val="21"/>
        </w:rPr>
        <w:t>and </w:t>
      </w:r>
      <w:r>
        <w:rPr>
          <w:spacing w:val="-3"/>
          <w:w w:val="105"/>
          <w:sz w:val="21"/>
        </w:rPr>
        <w:t>Environment </w:t>
      </w:r>
      <w:r>
        <w:rPr>
          <w:w w:val="105"/>
          <w:sz w:val="21"/>
        </w:rPr>
        <w:t>List is </w:t>
      </w:r>
      <w:r>
        <w:rPr>
          <w:spacing w:val="-3"/>
          <w:w w:val="105"/>
          <w:sz w:val="21"/>
        </w:rPr>
        <w:t>helpful </w:t>
      </w:r>
      <w:r>
        <w:rPr>
          <w:w w:val="105"/>
          <w:sz w:val="21"/>
        </w:rPr>
        <w:t>and </w:t>
      </w:r>
      <w:r>
        <w:rPr>
          <w:spacing w:val="-3"/>
          <w:w w:val="105"/>
          <w:sz w:val="21"/>
        </w:rPr>
        <w:t>outlines </w:t>
      </w:r>
      <w:r>
        <w:rPr>
          <w:w w:val="105"/>
          <w:sz w:val="21"/>
        </w:rPr>
        <w:t>general </w:t>
      </w:r>
      <w:r>
        <w:rPr>
          <w:spacing w:val="-3"/>
          <w:w w:val="105"/>
          <w:sz w:val="21"/>
        </w:rPr>
        <w:t>procedures </w:t>
      </w:r>
      <w:r>
        <w:rPr>
          <w:w w:val="105"/>
          <w:sz w:val="21"/>
        </w:rPr>
        <w:t>and </w:t>
      </w:r>
      <w:r>
        <w:rPr>
          <w:spacing w:val="-3"/>
          <w:w w:val="105"/>
          <w:sz w:val="21"/>
        </w:rPr>
        <w:t>timeframes for </w:t>
      </w:r>
      <w:r>
        <w:rPr>
          <w:w w:val="105"/>
          <w:sz w:val="21"/>
        </w:rPr>
        <w:t>matters in </w:t>
      </w:r>
      <w:r>
        <w:rPr>
          <w:spacing w:val="-3"/>
          <w:w w:val="105"/>
          <w:sz w:val="21"/>
        </w:rPr>
        <w:t>that </w:t>
      </w:r>
      <w:r>
        <w:rPr>
          <w:w w:val="105"/>
          <w:sz w:val="21"/>
        </w:rPr>
        <w:t>list.</w:t>
      </w:r>
      <w:r>
        <w:rPr>
          <w:w w:val="105"/>
          <w:position w:val="7"/>
          <w:sz w:val="12"/>
        </w:rPr>
        <w:t>84 </w:t>
      </w:r>
      <w:r>
        <w:rPr>
          <w:w w:val="105"/>
          <w:sz w:val="21"/>
        </w:rPr>
        <w:t>The </w:t>
      </w:r>
      <w:r>
        <w:rPr>
          <w:spacing w:val="-3"/>
          <w:w w:val="105"/>
          <w:sz w:val="21"/>
        </w:rPr>
        <w:t>Commission </w:t>
      </w:r>
      <w:r>
        <w:rPr>
          <w:w w:val="105"/>
          <w:sz w:val="21"/>
        </w:rPr>
        <w:t>considers </w:t>
      </w:r>
      <w:r>
        <w:rPr>
          <w:spacing w:val="-3"/>
          <w:w w:val="105"/>
          <w:sz w:val="21"/>
        </w:rPr>
        <w:t>that </w:t>
      </w:r>
      <w:r>
        <w:rPr>
          <w:w w:val="105"/>
          <w:sz w:val="21"/>
        </w:rPr>
        <w:t>a more detailed </w:t>
      </w:r>
      <w:r>
        <w:rPr>
          <w:spacing w:val="-3"/>
          <w:w w:val="105"/>
          <w:sz w:val="21"/>
        </w:rPr>
        <w:t>guide, similar </w:t>
      </w:r>
      <w:r>
        <w:rPr>
          <w:w w:val="105"/>
          <w:sz w:val="21"/>
        </w:rPr>
        <w:t>in </w:t>
      </w:r>
      <w:r>
        <w:rPr>
          <w:spacing w:val="-3"/>
          <w:w w:val="105"/>
          <w:sz w:val="21"/>
        </w:rPr>
        <w:t>format to </w:t>
      </w:r>
      <w:r>
        <w:rPr>
          <w:w w:val="105"/>
          <w:sz w:val="21"/>
        </w:rPr>
        <w:t>the guide developed by the </w:t>
      </w:r>
      <w:r>
        <w:rPr>
          <w:spacing w:val="-3"/>
          <w:w w:val="105"/>
          <w:sz w:val="21"/>
        </w:rPr>
        <w:t>Magistrates’</w:t>
      </w:r>
      <w:r>
        <w:rPr>
          <w:spacing w:val="-6"/>
          <w:w w:val="105"/>
          <w:sz w:val="21"/>
        </w:rPr>
        <w:t> </w:t>
      </w:r>
      <w:r>
        <w:rPr>
          <w:spacing w:val="-3"/>
          <w:w w:val="105"/>
          <w:sz w:val="21"/>
        </w:rPr>
        <w:t>Court</w:t>
      </w:r>
      <w:r>
        <w:rPr>
          <w:spacing w:val="-5"/>
          <w:w w:val="105"/>
          <w:sz w:val="21"/>
        </w:rPr>
        <w:t> </w:t>
      </w:r>
      <w:r>
        <w:rPr>
          <w:spacing w:val="-3"/>
          <w:w w:val="105"/>
          <w:sz w:val="21"/>
        </w:rPr>
        <w:t>for</w:t>
      </w:r>
      <w:r>
        <w:rPr>
          <w:spacing w:val="-6"/>
          <w:w w:val="105"/>
          <w:sz w:val="21"/>
        </w:rPr>
        <w:t> </w:t>
      </w:r>
      <w:r>
        <w:rPr>
          <w:spacing w:val="-3"/>
          <w:w w:val="105"/>
          <w:sz w:val="21"/>
        </w:rPr>
        <w:t>fencing</w:t>
      </w:r>
      <w:r>
        <w:rPr>
          <w:spacing w:val="-5"/>
          <w:w w:val="105"/>
          <w:sz w:val="21"/>
        </w:rPr>
        <w:t> </w:t>
      </w:r>
      <w:r>
        <w:rPr>
          <w:spacing w:val="-3"/>
          <w:w w:val="105"/>
          <w:sz w:val="21"/>
        </w:rPr>
        <w:t>disputes,</w:t>
      </w:r>
      <w:r>
        <w:rPr>
          <w:spacing w:val="-6"/>
          <w:w w:val="105"/>
          <w:sz w:val="21"/>
        </w:rPr>
        <w:t> </w:t>
      </w:r>
      <w:r>
        <w:rPr>
          <w:w w:val="105"/>
          <w:sz w:val="21"/>
        </w:rPr>
        <w:t>would</w:t>
      </w:r>
      <w:r>
        <w:rPr>
          <w:spacing w:val="-5"/>
          <w:w w:val="105"/>
          <w:sz w:val="21"/>
        </w:rPr>
        <w:t> </w:t>
      </w:r>
      <w:r>
        <w:rPr>
          <w:spacing w:val="-3"/>
          <w:w w:val="105"/>
          <w:sz w:val="21"/>
        </w:rPr>
        <w:t>greatly</w:t>
      </w:r>
      <w:r>
        <w:rPr>
          <w:spacing w:val="-6"/>
          <w:w w:val="105"/>
          <w:sz w:val="21"/>
        </w:rPr>
        <w:t> </w:t>
      </w:r>
      <w:r>
        <w:rPr>
          <w:w w:val="105"/>
          <w:sz w:val="21"/>
        </w:rPr>
        <w:t>assist</w:t>
      </w:r>
      <w:r>
        <w:rPr>
          <w:spacing w:val="-5"/>
          <w:w w:val="105"/>
          <w:sz w:val="21"/>
        </w:rPr>
        <w:t> </w:t>
      </w:r>
      <w:r>
        <w:rPr>
          <w:w w:val="105"/>
          <w:sz w:val="21"/>
        </w:rPr>
        <w:t>applicants</w:t>
      </w:r>
      <w:r>
        <w:rPr>
          <w:spacing w:val="-6"/>
          <w:w w:val="105"/>
          <w:sz w:val="21"/>
        </w:rPr>
        <w:t> </w:t>
      </w:r>
      <w:r>
        <w:rPr>
          <w:w w:val="105"/>
          <w:sz w:val="21"/>
        </w:rPr>
        <w:t>in</w:t>
      </w:r>
      <w:r>
        <w:rPr>
          <w:spacing w:val="-5"/>
          <w:w w:val="105"/>
          <w:sz w:val="21"/>
        </w:rPr>
        <w:t> </w:t>
      </w:r>
      <w:r>
        <w:rPr>
          <w:w w:val="105"/>
          <w:sz w:val="21"/>
        </w:rPr>
        <w:t>matters</w:t>
      </w:r>
      <w:r>
        <w:rPr>
          <w:spacing w:val="-6"/>
          <w:w w:val="105"/>
          <w:sz w:val="21"/>
        </w:rPr>
        <w:t> </w:t>
      </w:r>
      <w:r>
        <w:rPr>
          <w:w w:val="105"/>
          <w:sz w:val="21"/>
        </w:rPr>
        <w:t>under the new</w:t>
      </w:r>
      <w:r>
        <w:rPr>
          <w:spacing w:val="11"/>
          <w:w w:val="105"/>
          <w:sz w:val="21"/>
        </w:rPr>
        <w:t> </w:t>
      </w:r>
      <w:r>
        <w:rPr>
          <w:w w:val="105"/>
          <w:sz w:val="21"/>
        </w:rPr>
        <w:t>Act.</w:t>
      </w:r>
    </w:p>
    <w:p>
      <w:pPr>
        <w:pStyle w:val="ListParagraph"/>
        <w:numPr>
          <w:ilvl w:val="1"/>
          <w:numId w:val="16"/>
        </w:numPr>
        <w:tabs>
          <w:tab w:pos="2381" w:val="left" w:leader="none"/>
          <w:tab w:pos="2382" w:val="left" w:leader="none"/>
        </w:tabs>
        <w:spacing w:line="242" w:lineRule="auto" w:before="125" w:after="0"/>
        <w:ind w:left="2381" w:right="1622" w:hanging="794"/>
        <w:jc w:val="left"/>
        <w:rPr>
          <w:sz w:val="21"/>
        </w:rPr>
      </w:pPr>
      <w:r>
        <w:rPr>
          <w:sz w:val="21"/>
        </w:rPr>
        <w:t>A further </w:t>
      </w:r>
      <w:r>
        <w:rPr>
          <w:spacing w:val="-3"/>
          <w:sz w:val="21"/>
        </w:rPr>
        <w:t>consideration  </w:t>
      </w:r>
      <w:r>
        <w:rPr>
          <w:sz w:val="21"/>
        </w:rPr>
        <w:t>is  </w:t>
      </w:r>
      <w:r>
        <w:rPr>
          <w:spacing w:val="-3"/>
          <w:sz w:val="21"/>
        </w:rPr>
        <w:t>making  </w:t>
      </w:r>
      <w:r>
        <w:rPr>
          <w:sz w:val="21"/>
        </w:rPr>
        <w:t>the  </w:t>
      </w:r>
      <w:r>
        <w:rPr>
          <w:spacing w:val="-3"/>
          <w:sz w:val="21"/>
        </w:rPr>
        <w:t>reasoning  </w:t>
      </w:r>
      <w:r>
        <w:rPr>
          <w:sz w:val="21"/>
        </w:rPr>
        <w:t>behind  tree  </w:t>
      </w:r>
      <w:r>
        <w:rPr>
          <w:spacing w:val="-3"/>
          <w:sz w:val="21"/>
        </w:rPr>
        <w:t>dispute  outcomes  public. </w:t>
      </w:r>
      <w:r>
        <w:rPr>
          <w:sz w:val="21"/>
        </w:rPr>
        <w:t>This would enable people </w:t>
      </w:r>
      <w:r>
        <w:rPr>
          <w:spacing w:val="-3"/>
          <w:sz w:val="21"/>
        </w:rPr>
        <w:t>to </w:t>
      </w:r>
      <w:r>
        <w:rPr>
          <w:sz w:val="21"/>
        </w:rPr>
        <w:t>understand how and why tree </w:t>
      </w:r>
      <w:r>
        <w:rPr>
          <w:spacing w:val="-3"/>
          <w:sz w:val="21"/>
        </w:rPr>
        <w:t>disputes </w:t>
      </w:r>
      <w:r>
        <w:rPr>
          <w:sz w:val="21"/>
        </w:rPr>
        <w:t>decisions </w:t>
      </w:r>
      <w:r>
        <w:rPr>
          <w:spacing w:val="-3"/>
          <w:sz w:val="21"/>
        </w:rPr>
        <w:t>have </w:t>
      </w:r>
      <w:r>
        <w:rPr>
          <w:sz w:val="21"/>
        </w:rPr>
        <w:t>been made and help them </w:t>
      </w:r>
      <w:r>
        <w:rPr>
          <w:spacing w:val="-3"/>
          <w:sz w:val="21"/>
        </w:rPr>
        <w:t>to anticipate </w:t>
      </w:r>
      <w:r>
        <w:rPr>
          <w:sz w:val="21"/>
        </w:rPr>
        <w:t>how their matters </w:t>
      </w:r>
      <w:r>
        <w:rPr>
          <w:spacing w:val="-3"/>
          <w:sz w:val="21"/>
        </w:rPr>
        <w:t>might </w:t>
      </w:r>
      <w:r>
        <w:rPr>
          <w:sz w:val="21"/>
        </w:rPr>
        <w:t>be resolved. It would also give the</w:t>
      </w:r>
      <w:r>
        <w:rPr>
          <w:spacing w:val="10"/>
          <w:sz w:val="21"/>
        </w:rPr>
        <w:t> </w:t>
      </w:r>
      <w:r>
        <w:rPr>
          <w:sz w:val="21"/>
        </w:rPr>
        <w:t>community</w:t>
      </w:r>
      <w:r>
        <w:rPr>
          <w:spacing w:val="10"/>
          <w:sz w:val="21"/>
        </w:rPr>
        <w:t> </w:t>
      </w:r>
      <w:r>
        <w:rPr>
          <w:spacing w:val="-3"/>
          <w:sz w:val="21"/>
        </w:rPr>
        <w:t>information</w:t>
      </w:r>
      <w:r>
        <w:rPr>
          <w:spacing w:val="10"/>
          <w:sz w:val="21"/>
        </w:rPr>
        <w:t> </w:t>
      </w:r>
      <w:r>
        <w:rPr>
          <w:sz w:val="21"/>
        </w:rPr>
        <w:t>about</w:t>
      </w:r>
      <w:r>
        <w:rPr>
          <w:spacing w:val="10"/>
          <w:sz w:val="21"/>
        </w:rPr>
        <w:t> </w:t>
      </w:r>
      <w:r>
        <w:rPr>
          <w:sz w:val="21"/>
        </w:rPr>
        <w:t>how</w:t>
      </w:r>
      <w:r>
        <w:rPr>
          <w:spacing w:val="10"/>
          <w:sz w:val="21"/>
        </w:rPr>
        <w:t> </w:t>
      </w:r>
      <w:r>
        <w:rPr>
          <w:sz w:val="21"/>
        </w:rPr>
        <w:t>the</w:t>
      </w:r>
      <w:r>
        <w:rPr>
          <w:spacing w:val="10"/>
          <w:sz w:val="21"/>
        </w:rPr>
        <w:t> </w:t>
      </w:r>
      <w:r>
        <w:rPr>
          <w:sz w:val="21"/>
        </w:rPr>
        <w:t>law</w:t>
      </w:r>
      <w:r>
        <w:rPr>
          <w:spacing w:val="11"/>
          <w:sz w:val="21"/>
        </w:rPr>
        <w:t> </w:t>
      </w:r>
      <w:r>
        <w:rPr>
          <w:spacing w:val="-3"/>
          <w:sz w:val="21"/>
        </w:rPr>
        <w:t>applies.</w:t>
      </w:r>
    </w:p>
    <w:p>
      <w:pPr>
        <w:pStyle w:val="ListParagraph"/>
        <w:numPr>
          <w:ilvl w:val="1"/>
          <w:numId w:val="16"/>
        </w:numPr>
        <w:tabs>
          <w:tab w:pos="2380" w:val="left" w:leader="none"/>
          <w:tab w:pos="2381" w:val="left" w:leader="none"/>
        </w:tabs>
        <w:spacing w:line="242" w:lineRule="auto" w:before="125" w:after="0"/>
        <w:ind w:left="2380" w:right="1610" w:hanging="793"/>
        <w:jc w:val="left"/>
        <w:rPr>
          <w:sz w:val="21"/>
        </w:rPr>
      </w:pPr>
      <w:r>
        <w:rPr>
          <w:sz w:val="21"/>
        </w:rPr>
        <w:t>It is </w:t>
      </w:r>
      <w:r>
        <w:rPr>
          <w:spacing w:val="-6"/>
          <w:sz w:val="21"/>
        </w:rPr>
        <w:t>VCAT’s </w:t>
      </w:r>
      <w:r>
        <w:rPr>
          <w:spacing w:val="-3"/>
          <w:sz w:val="21"/>
        </w:rPr>
        <w:t>current </w:t>
      </w:r>
      <w:r>
        <w:rPr>
          <w:sz w:val="21"/>
        </w:rPr>
        <w:t>practice </w:t>
      </w:r>
      <w:r>
        <w:rPr>
          <w:spacing w:val="-3"/>
          <w:sz w:val="21"/>
        </w:rPr>
        <w:t>to publish all </w:t>
      </w:r>
      <w:r>
        <w:rPr>
          <w:sz w:val="21"/>
        </w:rPr>
        <w:t>written decisions on the </w:t>
      </w:r>
      <w:r>
        <w:rPr>
          <w:spacing w:val="-3"/>
          <w:sz w:val="21"/>
        </w:rPr>
        <w:t>Australian  </w:t>
      </w:r>
      <w:r>
        <w:rPr>
          <w:sz w:val="21"/>
        </w:rPr>
        <w:t>Legal </w:t>
      </w:r>
      <w:r>
        <w:rPr>
          <w:spacing w:val="-3"/>
          <w:sz w:val="21"/>
        </w:rPr>
        <w:t>Information Institute website </w:t>
      </w:r>
      <w:r>
        <w:rPr>
          <w:sz w:val="21"/>
        </w:rPr>
        <w:t>(AustLII). </w:t>
      </w:r>
      <w:r>
        <w:rPr>
          <w:spacing w:val="-5"/>
          <w:sz w:val="21"/>
        </w:rPr>
        <w:t>VCAT </w:t>
      </w:r>
      <w:r>
        <w:rPr>
          <w:sz w:val="21"/>
        </w:rPr>
        <w:t>also </w:t>
      </w:r>
      <w:r>
        <w:rPr>
          <w:spacing w:val="-3"/>
          <w:sz w:val="21"/>
        </w:rPr>
        <w:t>publishes </w:t>
      </w:r>
      <w:r>
        <w:rPr>
          <w:sz w:val="21"/>
        </w:rPr>
        <w:t>high-profile decisions on its </w:t>
      </w:r>
      <w:r>
        <w:rPr>
          <w:spacing w:val="-3"/>
          <w:sz w:val="21"/>
        </w:rPr>
        <w:t>website.</w:t>
      </w:r>
      <w:r>
        <w:rPr>
          <w:spacing w:val="-3"/>
          <w:position w:val="7"/>
          <w:sz w:val="12"/>
        </w:rPr>
        <w:t>85 </w:t>
      </w:r>
      <w:r>
        <w:rPr>
          <w:sz w:val="21"/>
        </w:rPr>
        <w:t>Decisions </w:t>
      </w:r>
      <w:r>
        <w:rPr>
          <w:spacing w:val="-3"/>
          <w:sz w:val="21"/>
        </w:rPr>
        <w:t>that are </w:t>
      </w:r>
      <w:r>
        <w:rPr>
          <w:spacing w:val="-2"/>
          <w:sz w:val="21"/>
        </w:rPr>
        <w:t>handed </w:t>
      </w:r>
      <w:r>
        <w:rPr>
          <w:sz w:val="21"/>
        </w:rPr>
        <w:t>down  </w:t>
      </w:r>
      <w:r>
        <w:rPr>
          <w:spacing w:val="-3"/>
          <w:sz w:val="21"/>
        </w:rPr>
        <w:t>orally  are  </w:t>
      </w:r>
      <w:r>
        <w:rPr>
          <w:spacing w:val="-2"/>
          <w:sz w:val="21"/>
        </w:rPr>
        <w:t>not  </w:t>
      </w:r>
      <w:r>
        <w:rPr>
          <w:sz w:val="21"/>
        </w:rPr>
        <w:t>always  </w:t>
      </w:r>
      <w:r>
        <w:rPr>
          <w:spacing w:val="-3"/>
          <w:sz w:val="21"/>
        </w:rPr>
        <w:t>published,  </w:t>
      </w:r>
      <w:r>
        <w:rPr>
          <w:sz w:val="21"/>
        </w:rPr>
        <w:t>but  a  party can request written </w:t>
      </w:r>
      <w:r>
        <w:rPr>
          <w:spacing w:val="-3"/>
          <w:sz w:val="21"/>
        </w:rPr>
        <w:t>reasons for </w:t>
      </w:r>
      <w:r>
        <w:rPr>
          <w:sz w:val="21"/>
        </w:rPr>
        <w:t>final orders under section </w:t>
      </w:r>
      <w:r>
        <w:rPr>
          <w:spacing w:val="-14"/>
          <w:sz w:val="21"/>
        </w:rPr>
        <w:t>117 </w:t>
      </w:r>
      <w:r>
        <w:rPr>
          <w:sz w:val="21"/>
        </w:rPr>
        <w:t>of the </w:t>
      </w:r>
      <w:r>
        <w:rPr>
          <w:i/>
          <w:sz w:val="21"/>
        </w:rPr>
        <w:t>Victorian Civil and </w:t>
      </w:r>
      <w:r>
        <w:rPr>
          <w:i/>
          <w:spacing w:val="-3"/>
          <w:sz w:val="21"/>
        </w:rPr>
        <w:t>Administrative </w:t>
      </w:r>
      <w:r>
        <w:rPr>
          <w:i/>
          <w:spacing w:val="-4"/>
          <w:sz w:val="21"/>
        </w:rPr>
        <w:t>Tribunal </w:t>
      </w:r>
      <w:r>
        <w:rPr>
          <w:i/>
          <w:sz w:val="21"/>
        </w:rPr>
        <w:t>Act </w:t>
      </w:r>
      <w:r>
        <w:rPr>
          <w:i/>
          <w:spacing w:val="-5"/>
          <w:sz w:val="21"/>
        </w:rPr>
        <w:t>1998 </w:t>
      </w:r>
      <w:r>
        <w:rPr>
          <w:sz w:val="21"/>
        </w:rPr>
        <w:t>(Vic). </w:t>
      </w:r>
      <w:r>
        <w:rPr>
          <w:spacing w:val="-5"/>
          <w:sz w:val="21"/>
        </w:rPr>
        <w:t>Currently,  </w:t>
      </w:r>
      <w:r>
        <w:rPr>
          <w:sz w:val="21"/>
        </w:rPr>
        <w:t>under  </w:t>
      </w:r>
      <w:r>
        <w:rPr>
          <w:spacing w:val="-3"/>
          <w:sz w:val="21"/>
        </w:rPr>
        <w:t>clause  </w:t>
      </w:r>
      <w:r>
        <w:rPr>
          <w:sz w:val="21"/>
        </w:rPr>
        <w:t>4J  of  schedule  1  </w:t>
      </w:r>
      <w:r>
        <w:rPr>
          <w:spacing w:val="-3"/>
          <w:sz w:val="21"/>
        </w:rPr>
        <w:t>to  </w:t>
      </w:r>
      <w:r>
        <w:rPr>
          <w:sz w:val="21"/>
        </w:rPr>
        <w:t>the </w:t>
      </w:r>
      <w:r>
        <w:rPr>
          <w:spacing w:val="-5"/>
          <w:sz w:val="21"/>
        </w:rPr>
        <w:t>VCAT </w:t>
      </w:r>
      <w:r>
        <w:rPr>
          <w:sz w:val="21"/>
        </w:rPr>
        <w:t>Act, a request </w:t>
      </w:r>
      <w:r>
        <w:rPr>
          <w:spacing w:val="-3"/>
          <w:sz w:val="21"/>
        </w:rPr>
        <w:t>for  </w:t>
      </w:r>
      <w:r>
        <w:rPr>
          <w:sz w:val="21"/>
        </w:rPr>
        <w:t>written </w:t>
      </w:r>
      <w:r>
        <w:rPr>
          <w:spacing w:val="-3"/>
          <w:sz w:val="21"/>
        </w:rPr>
        <w:t>reasons</w:t>
      </w:r>
      <w:r>
        <w:rPr>
          <w:spacing w:val="41"/>
          <w:sz w:val="21"/>
        </w:rPr>
        <w:t> </w:t>
      </w:r>
      <w:r>
        <w:rPr>
          <w:sz w:val="21"/>
        </w:rPr>
        <w:t>in a </w:t>
      </w:r>
      <w:r>
        <w:rPr>
          <w:spacing w:val="-3"/>
          <w:sz w:val="21"/>
        </w:rPr>
        <w:t>small  claim  proceeding  </w:t>
      </w:r>
      <w:r>
        <w:rPr>
          <w:sz w:val="21"/>
        </w:rPr>
        <w:t>must be made </w:t>
      </w:r>
      <w:r>
        <w:rPr>
          <w:spacing w:val="-3"/>
          <w:sz w:val="21"/>
        </w:rPr>
        <w:t>before  </w:t>
      </w:r>
      <w:r>
        <w:rPr>
          <w:sz w:val="21"/>
        </w:rPr>
        <w:t>or at the time of the </w:t>
      </w:r>
      <w:r>
        <w:rPr>
          <w:spacing w:val="-3"/>
          <w:sz w:val="21"/>
        </w:rPr>
        <w:t>hearing. </w:t>
      </w:r>
      <w:r>
        <w:rPr>
          <w:sz w:val="21"/>
        </w:rPr>
        <w:t>Under the Justice </w:t>
      </w:r>
      <w:r>
        <w:rPr>
          <w:spacing w:val="-3"/>
          <w:sz w:val="21"/>
        </w:rPr>
        <w:t>Legislation </w:t>
      </w:r>
      <w:r>
        <w:rPr>
          <w:sz w:val="21"/>
        </w:rPr>
        <w:t>Amendment (Access </w:t>
      </w:r>
      <w:r>
        <w:rPr>
          <w:spacing w:val="-3"/>
          <w:sz w:val="21"/>
        </w:rPr>
        <w:t>to </w:t>
      </w:r>
      <w:r>
        <w:rPr>
          <w:sz w:val="21"/>
        </w:rPr>
        <w:t>Justice) Act </w:t>
      </w:r>
      <w:r>
        <w:rPr>
          <w:spacing w:val="-7"/>
          <w:sz w:val="21"/>
        </w:rPr>
        <w:t>2018 </w:t>
      </w:r>
      <w:r>
        <w:rPr>
          <w:spacing w:val="-3"/>
          <w:sz w:val="21"/>
        </w:rPr>
        <w:t>clause </w:t>
      </w:r>
      <w:r>
        <w:rPr>
          <w:sz w:val="21"/>
        </w:rPr>
        <w:t>4J </w:t>
      </w:r>
      <w:r>
        <w:rPr>
          <w:spacing w:val="-3"/>
          <w:sz w:val="21"/>
        </w:rPr>
        <w:t>will  </w:t>
      </w:r>
      <w:r>
        <w:rPr>
          <w:sz w:val="21"/>
        </w:rPr>
        <w:t>be  repealed  </w:t>
      </w:r>
      <w:r>
        <w:rPr>
          <w:spacing w:val="-3"/>
          <w:sz w:val="21"/>
        </w:rPr>
        <w:t>thereby  allowing  </w:t>
      </w:r>
      <w:r>
        <w:rPr>
          <w:sz w:val="21"/>
        </w:rPr>
        <w:t>parties  </w:t>
      </w:r>
      <w:r>
        <w:rPr>
          <w:spacing w:val="-3"/>
          <w:sz w:val="21"/>
        </w:rPr>
        <w:t>to  </w:t>
      </w:r>
      <w:r>
        <w:rPr>
          <w:sz w:val="21"/>
        </w:rPr>
        <w:t>request  written  </w:t>
      </w:r>
      <w:r>
        <w:rPr>
          <w:spacing w:val="-3"/>
          <w:sz w:val="21"/>
        </w:rPr>
        <w:t>reasons for </w:t>
      </w:r>
      <w:r>
        <w:rPr>
          <w:sz w:val="21"/>
        </w:rPr>
        <w:t>decisions </w:t>
      </w:r>
      <w:r>
        <w:rPr>
          <w:spacing w:val="-3"/>
          <w:sz w:val="21"/>
        </w:rPr>
        <w:t>for small claims within </w:t>
      </w:r>
      <w:r>
        <w:rPr>
          <w:spacing w:val="-7"/>
          <w:sz w:val="21"/>
        </w:rPr>
        <w:t>14 </w:t>
      </w:r>
      <w:r>
        <w:rPr>
          <w:sz w:val="21"/>
        </w:rPr>
        <w:t>days of the </w:t>
      </w:r>
      <w:r>
        <w:rPr>
          <w:spacing w:val="-3"/>
          <w:sz w:val="21"/>
        </w:rPr>
        <w:t>hearing </w:t>
      </w:r>
      <w:r>
        <w:rPr>
          <w:sz w:val="21"/>
        </w:rPr>
        <w:t>in </w:t>
      </w:r>
      <w:r>
        <w:rPr>
          <w:spacing w:val="-3"/>
          <w:sz w:val="21"/>
        </w:rPr>
        <w:t>accordance</w:t>
      </w:r>
      <w:r>
        <w:rPr>
          <w:spacing w:val="-26"/>
          <w:sz w:val="21"/>
        </w:rPr>
        <w:t> </w:t>
      </w:r>
      <w:r>
        <w:rPr>
          <w:sz w:val="21"/>
        </w:rPr>
        <w:t>with s </w:t>
      </w:r>
      <w:r>
        <w:rPr>
          <w:spacing w:val="-16"/>
          <w:sz w:val="21"/>
        </w:rPr>
        <w:t>117.</w:t>
      </w:r>
    </w:p>
    <w:p>
      <w:pPr>
        <w:pStyle w:val="BodyText"/>
        <w:spacing w:line="242" w:lineRule="auto" w:before="9"/>
        <w:ind w:left="2381" w:right="1807"/>
        <w:rPr>
          <w:sz w:val="12"/>
        </w:rPr>
      </w:pPr>
      <w:r>
        <w:rPr>
          <w:w w:val="105"/>
        </w:rPr>
        <w:t>This reform is expected to commence by 1 July 2019.</w:t>
      </w:r>
      <w:r>
        <w:rPr>
          <w:w w:val="105"/>
          <w:position w:val="7"/>
          <w:sz w:val="12"/>
        </w:rPr>
        <w:t>86 </w:t>
      </w:r>
      <w:r>
        <w:rPr>
          <w:w w:val="105"/>
        </w:rPr>
        <w:t>It was suggested that proposed changes could lead to fewer oral decisions being made at VCAT.</w:t>
      </w:r>
      <w:r>
        <w:rPr>
          <w:w w:val="105"/>
          <w:position w:val="7"/>
          <w:sz w:val="12"/>
        </w:rPr>
        <w:t>87</w:t>
      </w:r>
    </w:p>
    <w:p>
      <w:pPr>
        <w:pStyle w:val="ListParagraph"/>
        <w:numPr>
          <w:ilvl w:val="1"/>
          <w:numId w:val="16"/>
        </w:numPr>
        <w:tabs>
          <w:tab w:pos="2380" w:val="left" w:leader="none"/>
          <w:tab w:pos="2381" w:val="left" w:leader="none"/>
        </w:tabs>
        <w:spacing w:line="242" w:lineRule="auto" w:before="123" w:after="0"/>
        <w:ind w:left="2381" w:right="1627" w:hanging="794"/>
        <w:jc w:val="left"/>
        <w:rPr>
          <w:sz w:val="21"/>
        </w:rPr>
      </w:pPr>
      <w:r>
        <w:rPr>
          <w:w w:val="105"/>
          <w:sz w:val="21"/>
        </w:rPr>
        <w:t>The </w:t>
      </w:r>
      <w:r>
        <w:rPr>
          <w:spacing w:val="-3"/>
          <w:w w:val="105"/>
          <w:sz w:val="21"/>
        </w:rPr>
        <w:t>Commission </w:t>
      </w:r>
      <w:r>
        <w:rPr>
          <w:spacing w:val="-2"/>
          <w:w w:val="105"/>
          <w:sz w:val="21"/>
        </w:rPr>
        <w:t>has </w:t>
      </w:r>
      <w:r>
        <w:rPr>
          <w:w w:val="105"/>
          <w:sz w:val="21"/>
        </w:rPr>
        <w:t>been </w:t>
      </w:r>
      <w:r>
        <w:rPr>
          <w:spacing w:val="-3"/>
          <w:w w:val="105"/>
          <w:sz w:val="21"/>
        </w:rPr>
        <w:t>informed that NSWLEC’s </w:t>
      </w:r>
      <w:r>
        <w:rPr>
          <w:w w:val="105"/>
          <w:sz w:val="21"/>
        </w:rPr>
        <w:t>an </w:t>
      </w:r>
      <w:r>
        <w:rPr>
          <w:spacing w:val="-3"/>
          <w:w w:val="105"/>
          <w:sz w:val="21"/>
        </w:rPr>
        <w:t>annotated </w:t>
      </w:r>
      <w:r>
        <w:rPr>
          <w:w w:val="105"/>
          <w:sz w:val="21"/>
        </w:rPr>
        <w:t>version of the NSW   Act is ‘very </w:t>
      </w:r>
      <w:r>
        <w:rPr>
          <w:spacing w:val="-3"/>
          <w:w w:val="105"/>
          <w:sz w:val="21"/>
        </w:rPr>
        <w:t>helpful to </w:t>
      </w:r>
      <w:r>
        <w:rPr>
          <w:w w:val="105"/>
          <w:sz w:val="21"/>
        </w:rPr>
        <w:t>community members’ and it is of the view </w:t>
      </w:r>
      <w:r>
        <w:rPr>
          <w:spacing w:val="-3"/>
          <w:w w:val="105"/>
          <w:sz w:val="21"/>
        </w:rPr>
        <w:t>that such </w:t>
      </w:r>
      <w:r>
        <w:rPr>
          <w:w w:val="105"/>
          <w:sz w:val="21"/>
        </w:rPr>
        <w:t>a </w:t>
      </w:r>
      <w:r>
        <w:rPr>
          <w:spacing w:val="-3"/>
          <w:w w:val="105"/>
          <w:sz w:val="21"/>
        </w:rPr>
        <w:t>resource </w:t>
      </w:r>
      <w:r>
        <w:rPr>
          <w:w w:val="105"/>
          <w:sz w:val="21"/>
        </w:rPr>
        <w:t>would assist both </w:t>
      </w:r>
      <w:r>
        <w:rPr>
          <w:spacing w:val="-3"/>
          <w:w w:val="105"/>
          <w:sz w:val="21"/>
        </w:rPr>
        <w:t>informal </w:t>
      </w:r>
      <w:r>
        <w:rPr>
          <w:w w:val="105"/>
          <w:sz w:val="21"/>
        </w:rPr>
        <w:t>and </w:t>
      </w:r>
      <w:r>
        <w:rPr>
          <w:spacing w:val="-3"/>
          <w:w w:val="105"/>
          <w:sz w:val="21"/>
        </w:rPr>
        <w:t>formal dispute </w:t>
      </w:r>
      <w:r>
        <w:rPr>
          <w:w w:val="105"/>
          <w:sz w:val="21"/>
        </w:rPr>
        <w:t>resolution processes.</w:t>
      </w:r>
      <w:r>
        <w:rPr>
          <w:w w:val="105"/>
          <w:position w:val="7"/>
          <w:sz w:val="12"/>
        </w:rPr>
        <w:t>88 </w:t>
      </w:r>
      <w:r>
        <w:rPr>
          <w:spacing w:val="-5"/>
          <w:w w:val="105"/>
          <w:sz w:val="21"/>
        </w:rPr>
        <w:t>VCAT </w:t>
      </w:r>
      <w:r>
        <w:rPr>
          <w:w w:val="105"/>
          <w:sz w:val="21"/>
        </w:rPr>
        <w:t>advised the </w:t>
      </w:r>
      <w:r>
        <w:rPr>
          <w:spacing w:val="-3"/>
          <w:w w:val="105"/>
          <w:sz w:val="21"/>
        </w:rPr>
        <w:t>Commission that </w:t>
      </w:r>
      <w:r>
        <w:rPr>
          <w:w w:val="105"/>
          <w:sz w:val="21"/>
        </w:rPr>
        <w:t>it </w:t>
      </w:r>
      <w:r>
        <w:rPr>
          <w:spacing w:val="-2"/>
          <w:w w:val="105"/>
          <w:sz w:val="21"/>
        </w:rPr>
        <w:t>has </w:t>
      </w:r>
      <w:r>
        <w:rPr>
          <w:spacing w:val="-3"/>
          <w:w w:val="105"/>
          <w:sz w:val="21"/>
        </w:rPr>
        <w:t>prepared annotated </w:t>
      </w:r>
      <w:r>
        <w:rPr>
          <w:w w:val="105"/>
          <w:sz w:val="21"/>
        </w:rPr>
        <w:t>Acts </w:t>
      </w:r>
      <w:r>
        <w:rPr>
          <w:spacing w:val="-3"/>
          <w:w w:val="105"/>
          <w:sz w:val="21"/>
        </w:rPr>
        <w:t>for </w:t>
      </w:r>
      <w:r>
        <w:rPr>
          <w:w w:val="105"/>
          <w:sz w:val="21"/>
        </w:rPr>
        <w:t>Owners </w:t>
      </w:r>
      <w:r>
        <w:rPr>
          <w:spacing w:val="-3"/>
          <w:w w:val="105"/>
          <w:sz w:val="21"/>
        </w:rPr>
        <w:t>Corporations </w:t>
      </w:r>
      <w:r>
        <w:rPr>
          <w:w w:val="105"/>
          <w:sz w:val="21"/>
        </w:rPr>
        <w:t>and </w:t>
      </w:r>
      <w:r>
        <w:rPr>
          <w:spacing w:val="-3"/>
          <w:w w:val="105"/>
          <w:sz w:val="21"/>
        </w:rPr>
        <w:t>Residential </w:t>
      </w:r>
      <w:r>
        <w:rPr>
          <w:spacing w:val="-4"/>
          <w:w w:val="105"/>
          <w:sz w:val="21"/>
        </w:rPr>
        <w:t>Tenancies </w:t>
      </w:r>
      <w:r>
        <w:rPr>
          <w:spacing w:val="-3"/>
          <w:w w:val="105"/>
          <w:sz w:val="21"/>
        </w:rPr>
        <w:t>legislation </w:t>
      </w:r>
      <w:r>
        <w:rPr>
          <w:w w:val="105"/>
          <w:sz w:val="21"/>
        </w:rPr>
        <w:t>which </w:t>
      </w:r>
      <w:r>
        <w:rPr>
          <w:spacing w:val="-3"/>
          <w:w w:val="105"/>
          <w:sz w:val="21"/>
        </w:rPr>
        <w:t>are published </w:t>
      </w:r>
      <w:r>
        <w:rPr>
          <w:w w:val="105"/>
          <w:sz w:val="21"/>
        </w:rPr>
        <w:t>by </w:t>
      </w:r>
      <w:r>
        <w:rPr>
          <w:spacing w:val="-6"/>
          <w:w w:val="105"/>
          <w:sz w:val="21"/>
        </w:rPr>
        <w:t>ANSTAT. </w:t>
      </w:r>
      <w:r>
        <w:rPr>
          <w:spacing w:val="-5"/>
          <w:w w:val="105"/>
          <w:sz w:val="21"/>
        </w:rPr>
        <w:t>ANSTAT </w:t>
      </w:r>
      <w:r>
        <w:rPr>
          <w:w w:val="105"/>
          <w:sz w:val="21"/>
        </w:rPr>
        <w:t>then </w:t>
      </w:r>
      <w:r>
        <w:rPr>
          <w:spacing w:val="-3"/>
          <w:w w:val="105"/>
          <w:sz w:val="21"/>
        </w:rPr>
        <w:t>publishes </w:t>
      </w:r>
      <w:r>
        <w:rPr>
          <w:w w:val="105"/>
          <w:sz w:val="21"/>
        </w:rPr>
        <w:t>and </w:t>
      </w:r>
      <w:r>
        <w:rPr>
          <w:spacing w:val="-3"/>
          <w:w w:val="105"/>
          <w:sz w:val="21"/>
        </w:rPr>
        <w:t>maintains </w:t>
      </w:r>
      <w:r>
        <w:rPr>
          <w:w w:val="105"/>
          <w:sz w:val="21"/>
        </w:rPr>
        <w:t>the electronic versions of these Acts </w:t>
      </w:r>
      <w:r>
        <w:rPr>
          <w:spacing w:val="-3"/>
          <w:w w:val="105"/>
          <w:sz w:val="21"/>
        </w:rPr>
        <w:t>for </w:t>
      </w:r>
      <w:r>
        <w:rPr>
          <w:spacing w:val="-8"/>
          <w:w w:val="105"/>
          <w:sz w:val="21"/>
        </w:rPr>
        <w:t>VCAT. </w:t>
      </w:r>
      <w:r>
        <w:rPr>
          <w:w w:val="105"/>
          <w:sz w:val="21"/>
        </w:rPr>
        <w:t>The </w:t>
      </w:r>
      <w:r>
        <w:rPr>
          <w:spacing w:val="-3"/>
          <w:w w:val="105"/>
          <w:sz w:val="21"/>
        </w:rPr>
        <w:t>Commission </w:t>
      </w:r>
      <w:r>
        <w:rPr>
          <w:w w:val="105"/>
          <w:sz w:val="21"/>
        </w:rPr>
        <w:t>observes </w:t>
      </w:r>
      <w:r>
        <w:rPr>
          <w:spacing w:val="-3"/>
          <w:w w:val="105"/>
          <w:sz w:val="21"/>
        </w:rPr>
        <w:t>that </w:t>
      </w:r>
      <w:r>
        <w:rPr>
          <w:w w:val="105"/>
          <w:sz w:val="21"/>
        </w:rPr>
        <w:t>free </w:t>
      </w:r>
      <w:r>
        <w:rPr>
          <w:spacing w:val="-3"/>
          <w:w w:val="105"/>
          <w:sz w:val="21"/>
        </w:rPr>
        <w:t>public </w:t>
      </w:r>
      <w:r>
        <w:rPr>
          <w:spacing w:val="-2"/>
          <w:w w:val="105"/>
          <w:sz w:val="21"/>
        </w:rPr>
        <w:t>access </w:t>
      </w:r>
      <w:r>
        <w:rPr>
          <w:spacing w:val="-3"/>
          <w:w w:val="105"/>
          <w:sz w:val="21"/>
        </w:rPr>
        <w:t>to </w:t>
      </w:r>
      <w:r>
        <w:rPr>
          <w:w w:val="105"/>
          <w:sz w:val="21"/>
        </w:rPr>
        <w:t>an </w:t>
      </w:r>
      <w:r>
        <w:rPr>
          <w:spacing w:val="-3"/>
          <w:w w:val="105"/>
          <w:sz w:val="21"/>
        </w:rPr>
        <w:t>annotated </w:t>
      </w:r>
      <w:r>
        <w:rPr>
          <w:w w:val="105"/>
          <w:sz w:val="21"/>
        </w:rPr>
        <w:t>Act is important. Any cost associated with its use </w:t>
      </w:r>
      <w:r>
        <w:rPr>
          <w:spacing w:val="-3"/>
          <w:w w:val="105"/>
          <w:sz w:val="21"/>
        </w:rPr>
        <w:t>may limit </w:t>
      </w:r>
      <w:r>
        <w:rPr>
          <w:w w:val="105"/>
          <w:sz w:val="21"/>
        </w:rPr>
        <w:t>its usefulness </w:t>
      </w:r>
      <w:r>
        <w:rPr>
          <w:spacing w:val="-3"/>
          <w:w w:val="105"/>
          <w:sz w:val="21"/>
        </w:rPr>
        <w:t>to</w:t>
      </w:r>
      <w:r>
        <w:rPr>
          <w:spacing w:val="21"/>
          <w:w w:val="105"/>
          <w:sz w:val="21"/>
        </w:rPr>
        <w:t> </w:t>
      </w:r>
      <w:r>
        <w:rPr>
          <w:spacing w:val="-3"/>
          <w:w w:val="105"/>
          <w:sz w:val="21"/>
        </w:rPr>
        <w:t>professionals.</w:t>
      </w:r>
    </w:p>
    <w:p>
      <w:pPr>
        <w:pStyle w:val="ListParagraph"/>
        <w:numPr>
          <w:ilvl w:val="1"/>
          <w:numId w:val="16"/>
        </w:numPr>
        <w:tabs>
          <w:tab w:pos="2381" w:val="left" w:leader="none"/>
          <w:tab w:pos="2382" w:val="left" w:leader="none"/>
        </w:tabs>
        <w:spacing w:line="242" w:lineRule="auto" w:before="128" w:after="0"/>
        <w:ind w:left="2381" w:right="2152" w:hanging="794"/>
        <w:jc w:val="left"/>
        <w:rPr>
          <w:sz w:val="21"/>
        </w:rPr>
      </w:pPr>
      <w:r>
        <w:rPr>
          <w:w w:val="105"/>
          <w:sz w:val="21"/>
        </w:rPr>
        <w:t>In</w:t>
      </w:r>
      <w:r>
        <w:rPr>
          <w:spacing w:val="-5"/>
          <w:w w:val="105"/>
          <w:sz w:val="21"/>
        </w:rPr>
        <w:t> </w:t>
      </w:r>
      <w:r>
        <w:rPr>
          <w:spacing w:val="-4"/>
          <w:w w:val="105"/>
          <w:sz w:val="21"/>
        </w:rPr>
        <w:t>Chapter </w:t>
      </w:r>
      <w:r>
        <w:rPr>
          <w:w w:val="105"/>
          <w:sz w:val="21"/>
        </w:rPr>
        <w:t>8</w:t>
      </w:r>
      <w:r>
        <w:rPr>
          <w:spacing w:val="-4"/>
          <w:w w:val="105"/>
          <w:sz w:val="21"/>
        </w:rPr>
        <w:t> </w:t>
      </w:r>
      <w:r>
        <w:rPr>
          <w:w w:val="105"/>
          <w:sz w:val="21"/>
        </w:rPr>
        <w:t>it</w:t>
      </w:r>
      <w:r>
        <w:rPr>
          <w:spacing w:val="-5"/>
          <w:w w:val="105"/>
          <w:sz w:val="21"/>
        </w:rPr>
        <w:t> </w:t>
      </w:r>
      <w:r>
        <w:rPr>
          <w:w w:val="105"/>
          <w:sz w:val="21"/>
        </w:rPr>
        <w:t>was</w:t>
      </w:r>
      <w:r>
        <w:rPr>
          <w:spacing w:val="-4"/>
          <w:w w:val="105"/>
          <w:sz w:val="21"/>
        </w:rPr>
        <w:t> </w:t>
      </w:r>
      <w:r>
        <w:rPr>
          <w:w w:val="105"/>
          <w:sz w:val="21"/>
        </w:rPr>
        <w:t>recommended</w:t>
      </w:r>
      <w:r>
        <w:rPr>
          <w:spacing w:val="-4"/>
          <w:w w:val="105"/>
          <w:sz w:val="21"/>
        </w:rPr>
        <w:t> </w:t>
      </w:r>
      <w:r>
        <w:rPr>
          <w:spacing w:val="-3"/>
          <w:w w:val="105"/>
          <w:sz w:val="21"/>
        </w:rPr>
        <w:t>that</w:t>
      </w:r>
      <w:r>
        <w:rPr>
          <w:spacing w:val="-5"/>
          <w:w w:val="105"/>
          <w:sz w:val="21"/>
        </w:rPr>
        <w:t> VCAT</w:t>
      </w:r>
      <w:r>
        <w:rPr>
          <w:spacing w:val="-4"/>
          <w:w w:val="105"/>
          <w:sz w:val="21"/>
        </w:rPr>
        <w:t> </w:t>
      </w:r>
      <w:r>
        <w:rPr>
          <w:w w:val="105"/>
          <w:sz w:val="21"/>
        </w:rPr>
        <w:t>develop</w:t>
      </w:r>
      <w:r>
        <w:rPr>
          <w:spacing w:val="-4"/>
          <w:w w:val="105"/>
          <w:sz w:val="21"/>
        </w:rPr>
        <w:t> </w:t>
      </w:r>
      <w:r>
        <w:rPr>
          <w:w w:val="105"/>
          <w:sz w:val="21"/>
        </w:rPr>
        <w:t>a</w:t>
      </w:r>
      <w:r>
        <w:rPr>
          <w:spacing w:val="-5"/>
          <w:w w:val="105"/>
          <w:sz w:val="21"/>
        </w:rPr>
        <w:t> </w:t>
      </w:r>
      <w:r>
        <w:rPr>
          <w:w w:val="105"/>
          <w:sz w:val="21"/>
        </w:rPr>
        <w:t>specific</w:t>
      </w:r>
      <w:r>
        <w:rPr>
          <w:spacing w:val="-4"/>
          <w:w w:val="105"/>
          <w:sz w:val="21"/>
        </w:rPr>
        <w:t> </w:t>
      </w:r>
      <w:r>
        <w:rPr>
          <w:w w:val="105"/>
          <w:sz w:val="21"/>
        </w:rPr>
        <w:t>Practice</w:t>
      </w:r>
      <w:r>
        <w:rPr>
          <w:spacing w:val="-4"/>
          <w:w w:val="105"/>
          <w:sz w:val="21"/>
        </w:rPr>
        <w:t> </w:t>
      </w:r>
      <w:r>
        <w:rPr>
          <w:w w:val="105"/>
          <w:sz w:val="21"/>
        </w:rPr>
        <w:t>Note</w:t>
      </w:r>
      <w:r>
        <w:rPr>
          <w:spacing w:val="-5"/>
          <w:w w:val="105"/>
          <w:sz w:val="21"/>
        </w:rPr>
        <w:t> </w:t>
      </w:r>
      <w:r>
        <w:rPr>
          <w:w w:val="105"/>
          <w:sz w:val="21"/>
        </w:rPr>
        <w:t>about the need </w:t>
      </w:r>
      <w:r>
        <w:rPr>
          <w:spacing w:val="-3"/>
          <w:w w:val="105"/>
          <w:sz w:val="21"/>
        </w:rPr>
        <w:t>for </w:t>
      </w:r>
      <w:r>
        <w:rPr>
          <w:w w:val="105"/>
          <w:sz w:val="21"/>
        </w:rPr>
        <w:t>a causal </w:t>
      </w:r>
      <w:r>
        <w:rPr>
          <w:spacing w:val="-3"/>
          <w:w w:val="105"/>
          <w:sz w:val="21"/>
        </w:rPr>
        <w:t>link </w:t>
      </w:r>
      <w:r>
        <w:rPr>
          <w:w w:val="105"/>
          <w:sz w:val="21"/>
        </w:rPr>
        <w:t>between the tree and </w:t>
      </w:r>
      <w:r>
        <w:rPr>
          <w:spacing w:val="-3"/>
          <w:w w:val="105"/>
          <w:sz w:val="21"/>
        </w:rPr>
        <w:t>any harm that </w:t>
      </w:r>
      <w:r>
        <w:rPr>
          <w:w w:val="105"/>
          <w:sz w:val="21"/>
        </w:rPr>
        <w:t>is the subject of</w:t>
      </w:r>
      <w:r>
        <w:rPr>
          <w:spacing w:val="-28"/>
          <w:w w:val="105"/>
          <w:sz w:val="21"/>
        </w:rPr>
        <w:t> </w:t>
      </w:r>
      <w:r>
        <w:rPr>
          <w:w w:val="105"/>
          <w:sz w:val="21"/>
        </w:rPr>
        <w:t>an</w:t>
      </w:r>
    </w:p>
    <w:p>
      <w:pPr>
        <w:pStyle w:val="BodyText"/>
        <w:spacing w:line="242" w:lineRule="auto" w:before="3"/>
        <w:ind w:left="2381" w:right="1569"/>
      </w:pPr>
      <w:r>
        <w:rPr>
          <w:spacing w:val="-3"/>
          <w:w w:val="105"/>
        </w:rPr>
        <w:t>application.</w:t>
      </w:r>
      <w:r>
        <w:rPr>
          <w:spacing w:val="-8"/>
          <w:w w:val="105"/>
        </w:rPr>
        <w:t> </w:t>
      </w:r>
      <w:r>
        <w:rPr>
          <w:w w:val="105"/>
        </w:rPr>
        <w:t>It</w:t>
      </w:r>
      <w:r>
        <w:rPr>
          <w:spacing w:val="-8"/>
          <w:w w:val="105"/>
        </w:rPr>
        <w:t> </w:t>
      </w:r>
      <w:r>
        <w:rPr>
          <w:w w:val="105"/>
        </w:rPr>
        <w:t>was</w:t>
      </w:r>
      <w:r>
        <w:rPr>
          <w:spacing w:val="-8"/>
          <w:w w:val="105"/>
        </w:rPr>
        <w:t> </w:t>
      </w:r>
      <w:r>
        <w:rPr>
          <w:w w:val="105"/>
        </w:rPr>
        <w:t>also</w:t>
      </w:r>
      <w:r>
        <w:rPr>
          <w:spacing w:val="-7"/>
          <w:w w:val="105"/>
        </w:rPr>
        <w:t> </w:t>
      </w:r>
      <w:r>
        <w:rPr>
          <w:w w:val="105"/>
        </w:rPr>
        <w:t>recommended</w:t>
      </w:r>
      <w:r>
        <w:rPr>
          <w:spacing w:val="-8"/>
          <w:w w:val="105"/>
        </w:rPr>
        <w:t> </w:t>
      </w:r>
      <w:r>
        <w:rPr>
          <w:spacing w:val="-3"/>
          <w:w w:val="105"/>
        </w:rPr>
        <w:t>that</w:t>
      </w:r>
      <w:r>
        <w:rPr>
          <w:spacing w:val="-8"/>
          <w:w w:val="105"/>
        </w:rPr>
        <w:t> </w:t>
      </w:r>
      <w:r>
        <w:rPr>
          <w:spacing w:val="-6"/>
          <w:w w:val="105"/>
        </w:rPr>
        <w:t>VCAT’s</w:t>
      </w:r>
      <w:r>
        <w:rPr>
          <w:spacing w:val="-8"/>
          <w:w w:val="105"/>
        </w:rPr>
        <w:t> </w:t>
      </w:r>
      <w:r>
        <w:rPr>
          <w:w w:val="105"/>
        </w:rPr>
        <w:t>Practice</w:t>
      </w:r>
      <w:r>
        <w:rPr>
          <w:spacing w:val="-7"/>
          <w:w w:val="105"/>
        </w:rPr>
        <w:t> </w:t>
      </w:r>
      <w:r>
        <w:rPr>
          <w:w w:val="105"/>
        </w:rPr>
        <w:t>Note</w:t>
      </w:r>
      <w:r>
        <w:rPr>
          <w:spacing w:val="-8"/>
          <w:w w:val="105"/>
        </w:rPr>
        <w:t> </w:t>
      </w:r>
      <w:r>
        <w:rPr>
          <w:w w:val="105"/>
        </w:rPr>
        <w:t>about</w:t>
      </w:r>
      <w:r>
        <w:rPr>
          <w:spacing w:val="-8"/>
          <w:w w:val="105"/>
        </w:rPr>
        <w:t> </w:t>
      </w:r>
      <w:r>
        <w:rPr>
          <w:w w:val="105"/>
        </w:rPr>
        <w:t>expert</w:t>
      </w:r>
      <w:r>
        <w:rPr>
          <w:spacing w:val="-8"/>
          <w:w w:val="105"/>
        </w:rPr>
        <w:t> </w:t>
      </w:r>
      <w:r>
        <w:rPr>
          <w:w w:val="105"/>
        </w:rPr>
        <w:t>evidence</w:t>
      </w:r>
      <w:r>
        <w:rPr>
          <w:spacing w:val="-7"/>
          <w:w w:val="105"/>
        </w:rPr>
        <w:t> </w:t>
      </w:r>
      <w:r>
        <w:rPr>
          <w:w w:val="105"/>
        </w:rPr>
        <w:t>be modified </w:t>
      </w:r>
      <w:r>
        <w:rPr>
          <w:spacing w:val="-3"/>
          <w:w w:val="105"/>
        </w:rPr>
        <w:t>to include additional requirements for </w:t>
      </w:r>
      <w:r>
        <w:rPr>
          <w:w w:val="105"/>
        </w:rPr>
        <w:t>tree </w:t>
      </w:r>
      <w:r>
        <w:rPr>
          <w:spacing w:val="-3"/>
          <w:w w:val="105"/>
        </w:rPr>
        <w:t>disputes. </w:t>
      </w:r>
      <w:r>
        <w:rPr>
          <w:w w:val="105"/>
        </w:rPr>
        <w:t>The </w:t>
      </w:r>
      <w:r>
        <w:rPr>
          <w:spacing w:val="-3"/>
          <w:w w:val="105"/>
        </w:rPr>
        <w:t>Commission </w:t>
      </w:r>
      <w:r>
        <w:rPr>
          <w:w w:val="105"/>
        </w:rPr>
        <w:t>considers </w:t>
      </w:r>
      <w:r>
        <w:rPr>
          <w:spacing w:val="-3"/>
          <w:w w:val="105"/>
        </w:rPr>
        <w:t>that information </w:t>
      </w:r>
      <w:r>
        <w:rPr>
          <w:w w:val="105"/>
        </w:rPr>
        <w:t>about the new Act on </w:t>
      </w:r>
      <w:r>
        <w:rPr>
          <w:spacing w:val="-6"/>
          <w:w w:val="105"/>
        </w:rPr>
        <w:t>VCAT’s </w:t>
      </w:r>
      <w:r>
        <w:rPr>
          <w:spacing w:val="-3"/>
          <w:w w:val="105"/>
        </w:rPr>
        <w:t>website </w:t>
      </w:r>
      <w:r>
        <w:rPr>
          <w:w w:val="105"/>
        </w:rPr>
        <w:t>should </w:t>
      </w:r>
      <w:r>
        <w:rPr>
          <w:spacing w:val="-3"/>
          <w:w w:val="105"/>
        </w:rPr>
        <w:t>include </w:t>
      </w:r>
      <w:r>
        <w:rPr>
          <w:w w:val="105"/>
        </w:rPr>
        <w:t>a </w:t>
      </w:r>
      <w:r>
        <w:rPr>
          <w:spacing w:val="-3"/>
          <w:w w:val="105"/>
        </w:rPr>
        <w:t>link to </w:t>
      </w:r>
      <w:r>
        <w:rPr>
          <w:w w:val="105"/>
        </w:rPr>
        <w:t>the recommended</w:t>
      </w:r>
      <w:r>
        <w:rPr>
          <w:spacing w:val="-15"/>
          <w:w w:val="105"/>
        </w:rPr>
        <w:t> </w:t>
      </w:r>
      <w:r>
        <w:rPr>
          <w:w w:val="105"/>
        </w:rPr>
        <w:t>Practice</w:t>
      </w:r>
      <w:r>
        <w:rPr>
          <w:spacing w:val="-15"/>
          <w:w w:val="105"/>
        </w:rPr>
        <w:t> </w:t>
      </w:r>
      <w:r>
        <w:rPr>
          <w:w w:val="105"/>
        </w:rPr>
        <w:t>Note</w:t>
      </w:r>
      <w:r>
        <w:rPr>
          <w:spacing w:val="-14"/>
          <w:w w:val="105"/>
        </w:rPr>
        <w:t> </w:t>
      </w:r>
      <w:r>
        <w:rPr>
          <w:w w:val="105"/>
        </w:rPr>
        <w:t>about</w:t>
      </w:r>
      <w:r>
        <w:rPr>
          <w:spacing w:val="-15"/>
          <w:w w:val="105"/>
        </w:rPr>
        <w:t> </w:t>
      </w:r>
      <w:r>
        <w:rPr>
          <w:spacing w:val="-3"/>
          <w:w w:val="105"/>
        </w:rPr>
        <w:t>establishing</w:t>
      </w:r>
      <w:r>
        <w:rPr>
          <w:spacing w:val="-14"/>
          <w:w w:val="105"/>
        </w:rPr>
        <w:t> </w:t>
      </w:r>
      <w:r>
        <w:rPr>
          <w:spacing w:val="-3"/>
          <w:w w:val="105"/>
        </w:rPr>
        <w:t>harm</w:t>
      </w:r>
      <w:r>
        <w:rPr>
          <w:spacing w:val="-15"/>
          <w:w w:val="105"/>
        </w:rPr>
        <w:t> </w:t>
      </w:r>
      <w:r>
        <w:rPr>
          <w:w w:val="105"/>
        </w:rPr>
        <w:t>and</w:t>
      </w:r>
      <w:r>
        <w:rPr>
          <w:spacing w:val="-14"/>
          <w:w w:val="105"/>
        </w:rPr>
        <w:t> </w:t>
      </w:r>
      <w:r>
        <w:rPr>
          <w:spacing w:val="-3"/>
          <w:w w:val="105"/>
        </w:rPr>
        <w:t>to</w:t>
      </w:r>
      <w:r>
        <w:rPr>
          <w:spacing w:val="-15"/>
          <w:w w:val="105"/>
        </w:rPr>
        <w:t> </w:t>
      </w:r>
      <w:r>
        <w:rPr>
          <w:w w:val="105"/>
        </w:rPr>
        <w:t>other</w:t>
      </w:r>
      <w:r>
        <w:rPr>
          <w:spacing w:val="-14"/>
          <w:w w:val="105"/>
        </w:rPr>
        <w:t> </w:t>
      </w:r>
      <w:r>
        <w:rPr>
          <w:spacing w:val="-3"/>
          <w:w w:val="105"/>
        </w:rPr>
        <w:t>relevant</w:t>
      </w:r>
      <w:r>
        <w:rPr>
          <w:spacing w:val="-15"/>
          <w:w w:val="105"/>
        </w:rPr>
        <w:t> </w:t>
      </w:r>
      <w:r>
        <w:rPr>
          <w:w w:val="105"/>
        </w:rPr>
        <w:t>Practice</w:t>
      </w:r>
      <w:r>
        <w:rPr>
          <w:spacing w:val="-14"/>
          <w:w w:val="105"/>
        </w:rPr>
        <w:t> </w:t>
      </w:r>
      <w:r>
        <w:rPr>
          <w:w w:val="105"/>
        </w:rPr>
        <w:t>Notes, </w:t>
      </w:r>
      <w:r>
        <w:rPr>
          <w:spacing w:val="-3"/>
          <w:w w:val="105"/>
        </w:rPr>
        <w:t>including </w:t>
      </w:r>
      <w:r>
        <w:rPr>
          <w:w w:val="105"/>
        </w:rPr>
        <w:t>those about expert evidence</w:t>
      </w:r>
      <w:r>
        <w:rPr>
          <w:w w:val="105"/>
          <w:position w:val="7"/>
          <w:sz w:val="12"/>
        </w:rPr>
        <w:t>89 </w:t>
      </w:r>
      <w:r>
        <w:rPr>
          <w:w w:val="105"/>
        </w:rPr>
        <w:t>and ADR.</w:t>
      </w:r>
      <w:r>
        <w:rPr>
          <w:w w:val="105"/>
          <w:position w:val="7"/>
          <w:sz w:val="12"/>
        </w:rPr>
        <w:t>90 </w:t>
      </w:r>
      <w:r>
        <w:rPr>
          <w:spacing w:val="-3"/>
          <w:w w:val="105"/>
        </w:rPr>
        <w:t>Reminding </w:t>
      </w:r>
      <w:r>
        <w:rPr>
          <w:w w:val="105"/>
        </w:rPr>
        <w:t>parties about </w:t>
      </w:r>
      <w:r>
        <w:rPr>
          <w:spacing w:val="-6"/>
          <w:w w:val="105"/>
        </w:rPr>
        <w:t>VCAT’s </w:t>
      </w:r>
      <w:r>
        <w:rPr>
          <w:w w:val="105"/>
        </w:rPr>
        <w:t>powers </w:t>
      </w:r>
      <w:r>
        <w:rPr>
          <w:spacing w:val="-3"/>
          <w:w w:val="105"/>
        </w:rPr>
        <w:t>to refer </w:t>
      </w:r>
      <w:r>
        <w:rPr>
          <w:w w:val="105"/>
        </w:rPr>
        <w:t>parties </w:t>
      </w:r>
      <w:r>
        <w:rPr>
          <w:spacing w:val="-3"/>
          <w:w w:val="105"/>
        </w:rPr>
        <w:t>to </w:t>
      </w:r>
      <w:r>
        <w:rPr>
          <w:w w:val="105"/>
        </w:rPr>
        <w:t>mediation and other ADR processes </w:t>
      </w:r>
      <w:r>
        <w:rPr>
          <w:spacing w:val="-3"/>
          <w:w w:val="105"/>
        </w:rPr>
        <w:t>may encourage </w:t>
      </w:r>
      <w:r>
        <w:rPr>
          <w:w w:val="105"/>
        </w:rPr>
        <w:t>them </w:t>
      </w:r>
      <w:r>
        <w:rPr>
          <w:spacing w:val="-3"/>
          <w:w w:val="105"/>
        </w:rPr>
        <w:t>to </w:t>
      </w:r>
      <w:r>
        <w:rPr>
          <w:w w:val="105"/>
        </w:rPr>
        <w:t>use community-based mediation </w:t>
      </w:r>
      <w:r>
        <w:rPr>
          <w:spacing w:val="-3"/>
          <w:w w:val="105"/>
        </w:rPr>
        <w:t>before initiating </w:t>
      </w:r>
      <w:r>
        <w:rPr>
          <w:w w:val="105"/>
        </w:rPr>
        <w:t>an</w:t>
      </w:r>
      <w:r>
        <w:rPr>
          <w:spacing w:val="26"/>
          <w:w w:val="105"/>
        </w:rPr>
        <w:t> </w:t>
      </w:r>
      <w:r>
        <w:rPr>
          <w:spacing w:val="-3"/>
          <w:w w:val="105"/>
        </w:rPr>
        <w:t>application.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3"/>
        </w:rPr>
      </w:pPr>
      <w:r>
        <w:rPr/>
        <w:pict>
          <v:line style="position:absolute;mso-position-horizontal-relative:page;mso-position-vertical-relative:paragraph;z-index:11672;mso-wrap-distance-left:0;mso-wrap-distance-right:0" from="79.370102pt,10.753178pt" to="515.905102pt,10.75317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200"/>
        </w:numPr>
        <w:tabs>
          <w:tab w:pos="2380" w:val="left" w:leader="none"/>
          <w:tab w:pos="2382" w:val="left" w:leader="none"/>
        </w:tabs>
        <w:spacing w:line="240" w:lineRule="auto" w:before="48" w:after="0"/>
        <w:ind w:left="2381" w:right="0" w:hanging="794"/>
        <w:jc w:val="left"/>
        <w:rPr>
          <w:sz w:val="13"/>
        </w:rPr>
      </w:pPr>
      <w:r>
        <w:rPr>
          <w:w w:val="105"/>
          <w:sz w:val="13"/>
        </w:rPr>
        <w:t>Victorian</w:t>
      </w:r>
      <w:r>
        <w:rPr>
          <w:spacing w:val="5"/>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5"/>
          <w:w w:val="105"/>
          <w:sz w:val="13"/>
        </w:rPr>
        <w:t> </w:t>
      </w:r>
      <w:r>
        <w:rPr>
          <w:w w:val="105"/>
          <w:sz w:val="13"/>
        </w:rPr>
        <w:t>Tribunal,</w:t>
      </w:r>
      <w:r>
        <w:rPr>
          <w:spacing w:val="6"/>
          <w:w w:val="105"/>
          <w:sz w:val="13"/>
        </w:rPr>
        <w:t> </w:t>
      </w:r>
      <w:r>
        <w:rPr>
          <w:i/>
          <w:w w:val="105"/>
          <w:sz w:val="13"/>
        </w:rPr>
        <w:t>Practice</w:t>
      </w:r>
      <w:r>
        <w:rPr>
          <w:i/>
          <w:spacing w:val="5"/>
          <w:w w:val="105"/>
          <w:sz w:val="13"/>
        </w:rPr>
        <w:t> </w:t>
      </w:r>
      <w:r>
        <w:rPr>
          <w:i/>
          <w:w w:val="105"/>
          <w:sz w:val="13"/>
        </w:rPr>
        <w:t>Note</w:t>
      </w:r>
      <w:r>
        <w:rPr>
          <w:i/>
          <w:spacing w:val="5"/>
          <w:w w:val="105"/>
          <w:sz w:val="13"/>
        </w:rPr>
        <w:t> </w:t>
      </w:r>
      <w:r>
        <w:rPr>
          <w:i/>
          <w:w w:val="105"/>
          <w:sz w:val="13"/>
        </w:rPr>
        <w:t>PNPE1:</w:t>
      </w:r>
      <w:r>
        <w:rPr>
          <w:i/>
          <w:spacing w:val="5"/>
          <w:w w:val="105"/>
          <w:sz w:val="13"/>
        </w:rPr>
        <w:t> </w:t>
      </w:r>
      <w:r>
        <w:rPr>
          <w:i/>
          <w:w w:val="105"/>
          <w:sz w:val="13"/>
        </w:rPr>
        <w:t>Planning</w:t>
      </w:r>
      <w:r>
        <w:rPr>
          <w:i/>
          <w:spacing w:val="6"/>
          <w:w w:val="105"/>
          <w:sz w:val="13"/>
        </w:rPr>
        <w:t> </w:t>
      </w:r>
      <w:r>
        <w:rPr>
          <w:i/>
          <w:w w:val="105"/>
          <w:sz w:val="13"/>
        </w:rPr>
        <w:t>and</w:t>
      </w:r>
      <w:r>
        <w:rPr>
          <w:i/>
          <w:spacing w:val="5"/>
          <w:w w:val="105"/>
          <w:sz w:val="13"/>
        </w:rPr>
        <w:t> </w:t>
      </w:r>
      <w:r>
        <w:rPr>
          <w:i/>
          <w:w w:val="105"/>
          <w:sz w:val="13"/>
        </w:rPr>
        <w:t>Environment</w:t>
      </w:r>
      <w:r>
        <w:rPr>
          <w:i/>
          <w:spacing w:val="5"/>
          <w:w w:val="105"/>
          <w:sz w:val="13"/>
        </w:rPr>
        <w:t> </w:t>
      </w:r>
      <w:r>
        <w:rPr>
          <w:i/>
          <w:w w:val="105"/>
          <w:sz w:val="13"/>
        </w:rPr>
        <w:t>List</w:t>
      </w:r>
      <w:r>
        <w:rPr>
          <w:i/>
          <w:spacing w:val="5"/>
          <w:w w:val="105"/>
          <w:sz w:val="13"/>
        </w:rPr>
        <w:t> </w:t>
      </w:r>
      <w:r>
        <w:rPr>
          <w:i/>
          <w:w w:val="105"/>
          <w:sz w:val="13"/>
        </w:rPr>
        <w:t>General</w:t>
      </w:r>
      <w:r>
        <w:rPr>
          <w:i/>
          <w:spacing w:val="6"/>
          <w:w w:val="105"/>
          <w:sz w:val="13"/>
        </w:rPr>
        <w:t> </w:t>
      </w:r>
      <w:r>
        <w:rPr>
          <w:i/>
          <w:w w:val="105"/>
          <w:sz w:val="13"/>
        </w:rPr>
        <w:t>Procedures</w:t>
      </w:r>
      <w:r>
        <w:rPr>
          <w:w w:val="105"/>
          <w:sz w:val="13"/>
        </w:rPr>
        <w:t>,</w:t>
      </w:r>
      <w:r>
        <w:rPr>
          <w:spacing w:val="5"/>
          <w:w w:val="105"/>
          <w:sz w:val="13"/>
        </w:rPr>
        <w:t> </w:t>
      </w:r>
      <w:r>
        <w:rPr>
          <w:w w:val="105"/>
          <w:sz w:val="13"/>
        </w:rPr>
        <w:t>31</w:t>
      </w:r>
      <w:r>
        <w:rPr>
          <w:spacing w:val="5"/>
          <w:w w:val="105"/>
          <w:sz w:val="13"/>
        </w:rPr>
        <w:t> </w:t>
      </w:r>
      <w:r>
        <w:rPr>
          <w:w w:val="105"/>
          <w:sz w:val="13"/>
        </w:rPr>
        <w:t>December</w:t>
      </w:r>
      <w:r>
        <w:rPr>
          <w:spacing w:val="5"/>
          <w:w w:val="105"/>
          <w:sz w:val="13"/>
        </w:rPr>
        <w:t> </w:t>
      </w:r>
      <w:r>
        <w:rPr>
          <w:w w:val="105"/>
          <w:sz w:val="13"/>
        </w:rPr>
        <w:t>2018</w:t>
      </w:r>
    </w:p>
    <w:p>
      <w:pPr>
        <w:spacing w:before="1"/>
        <w:ind w:left="2381" w:right="0" w:firstLine="0"/>
        <w:jc w:val="left"/>
        <w:rPr>
          <w:sz w:val="13"/>
        </w:rPr>
      </w:pPr>
      <w:r>
        <w:rPr>
          <w:w w:val="105"/>
          <w:sz w:val="13"/>
        </w:rPr>
        <w:t>&lt;https://</w:t>
      </w:r>
      <w:hyperlink r:id="rId344">
        <w:r>
          <w:rPr>
            <w:w w:val="105"/>
            <w:sz w:val="13"/>
          </w:rPr>
          <w:t>www.vcat.vic.gov.au/resources/practice-note-pnpe1-planning-and-environment-list-general-procedures</w:t>
        </w:r>
      </w:hyperlink>
      <w:r>
        <w:rPr>
          <w:w w:val="105"/>
          <w:sz w:val="13"/>
        </w:rPr>
        <w:t>&gt;.</w:t>
      </w:r>
    </w:p>
    <w:p>
      <w:pPr>
        <w:pStyle w:val="ListParagraph"/>
        <w:numPr>
          <w:ilvl w:val="0"/>
          <w:numId w:val="200"/>
        </w:numPr>
        <w:tabs>
          <w:tab w:pos="2380" w:val="left" w:leader="none"/>
          <w:tab w:pos="2382" w:val="left" w:leader="none"/>
        </w:tabs>
        <w:spacing w:line="240" w:lineRule="auto" w:before="2" w:after="0"/>
        <w:ind w:left="2381" w:right="0" w:hanging="794"/>
        <w:jc w:val="left"/>
        <w:rPr>
          <w:sz w:val="13"/>
        </w:rPr>
      </w:pPr>
      <w:r>
        <w:rPr>
          <w:w w:val="105"/>
          <w:sz w:val="13"/>
        </w:rPr>
        <w:t>Victorian</w:t>
      </w:r>
      <w:r>
        <w:rPr>
          <w:spacing w:val="5"/>
          <w:w w:val="105"/>
          <w:sz w:val="13"/>
        </w:rPr>
        <w:t> </w:t>
      </w:r>
      <w:r>
        <w:rPr>
          <w:w w:val="105"/>
          <w:sz w:val="13"/>
        </w:rPr>
        <w:t>Civil</w:t>
      </w:r>
      <w:r>
        <w:rPr>
          <w:spacing w:val="5"/>
          <w:w w:val="105"/>
          <w:sz w:val="13"/>
        </w:rPr>
        <w:t> </w:t>
      </w:r>
      <w:r>
        <w:rPr>
          <w:w w:val="105"/>
          <w:sz w:val="13"/>
        </w:rPr>
        <w:t>and</w:t>
      </w:r>
      <w:r>
        <w:rPr>
          <w:spacing w:val="6"/>
          <w:w w:val="105"/>
          <w:sz w:val="13"/>
        </w:rPr>
        <w:t> </w:t>
      </w:r>
      <w:r>
        <w:rPr>
          <w:w w:val="105"/>
          <w:sz w:val="13"/>
        </w:rPr>
        <w:t>Administrative</w:t>
      </w:r>
      <w:r>
        <w:rPr>
          <w:spacing w:val="5"/>
          <w:w w:val="105"/>
          <w:sz w:val="13"/>
        </w:rPr>
        <w:t> </w:t>
      </w:r>
      <w:r>
        <w:rPr>
          <w:w w:val="105"/>
          <w:sz w:val="13"/>
        </w:rPr>
        <w:t>Tribunal,</w:t>
      </w:r>
      <w:r>
        <w:rPr>
          <w:spacing w:val="6"/>
          <w:w w:val="105"/>
          <w:sz w:val="13"/>
        </w:rPr>
        <w:t> </w:t>
      </w:r>
      <w:r>
        <w:rPr>
          <w:i/>
          <w:w w:val="105"/>
          <w:sz w:val="13"/>
        </w:rPr>
        <w:t>Decisions</w:t>
      </w:r>
      <w:r>
        <w:rPr>
          <w:i/>
          <w:spacing w:val="5"/>
          <w:w w:val="105"/>
          <w:sz w:val="13"/>
        </w:rPr>
        <w:t> </w:t>
      </w:r>
      <w:r>
        <w:rPr>
          <w:w w:val="105"/>
          <w:sz w:val="13"/>
        </w:rPr>
        <w:t>(Web</w:t>
      </w:r>
      <w:r>
        <w:rPr>
          <w:spacing w:val="6"/>
          <w:w w:val="105"/>
          <w:sz w:val="13"/>
        </w:rPr>
        <w:t> </w:t>
      </w:r>
      <w:r>
        <w:rPr>
          <w:w w:val="105"/>
          <w:sz w:val="13"/>
        </w:rPr>
        <w:t>Page)</w:t>
      </w:r>
      <w:r>
        <w:rPr>
          <w:spacing w:val="5"/>
          <w:w w:val="105"/>
          <w:sz w:val="13"/>
        </w:rPr>
        <w:t> </w:t>
      </w:r>
      <w:r>
        <w:rPr>
          <w:w w:val="105"/>
          <w:sz w:val="13"/>
        </w:rPr>
        <w:t>&lt;https://</w:t>
      </w:r>
      <w:hyperlink r:id="rId345">
        <w:r>
          <w:rPr>
            <w:w w:val="105"/>
            <w:sz w:val="13"/>
          </w:rPr>
          <w:t>www.vcat.vic.gov.au/decisions</w:t>
        </w:r>
      </w:hyperlink>
      <w:r>
        <w:rPr>
          <w:w w:val="105"/>
          <w:sz w:val="13"/>
        </w:rPr>
        <w:t>&gt;.</w:t>
      </w:r>
    </w:p>
    <w:p>
      <w:pPr>
        <w:pStyle w:val="ListParagraph"/>
        <w:numPr>
          <w:ilvl w:val="0"/>
          <w:numId w:val="200"/>
        </w:numPr>
        <w:tabs>
          <w:tab w:pos="2380" w:val="left" w:leader="none"/>
          <w:tab w:pos="2382" w:val="left" w:leader="none"/>
        </w:tabs>
        <w:spacing w:line="240" w:lineRule="auto" w:before="1" w:after="0"/>
        <w:ind w:left="2381" w:right="0" w:hanging="794"/>
        <w:jc w:val="left"/>
        <w:rPr>
          <w:sz w:val="13"/>
        </w:rPr>
      </w:pPr>
      <w:r>
        <w:rPr>
          <w:w w:val="105"/>
          <w:sz w:val="13"/>
        </w:rPr>
        <w:t>Supplementary Consultation 1 (Victorian Civil and Administrative</w:t>
      </w:r>
      <w:r>
        <w:rPr>
          <w:spacing w:val="2"/>
          <w:w w:val="105"/>
          <w:sz w:val="13"/>
        </w:rPr>
        <w:t> </w:t>
      </w:r>
      <w:r>
        <w:rPr>
          <w:w w:val="105"/>
          <w:sz w:val="13"/>
        </w:rPr>
        <w:t>Tribunal).</w:t>
      </w:r>
    </w:p>
    <w:p>
      <w:pPr>
        <w:pStyle w:val="ListParagraph"/>
        <w:numPr>
          <w:ilvl w:val="0"/>
          <w:numId w:val="200"/>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200"/>
        </w:numPr>
        <w:tabs>
          <w:tab w:pos="2380" w:val="left" w:leader="none"/>
          <w:tab w:pos="2382" w:val="left" w:leader="none"/>
        </w:tabs>
        <w:spacing w:line="240" w:lineRule="auto" w:before="2" w:after="0"/>
        <w:ind w:left="2381" w:right="0" w:hanging="794"/>
        <w:jc w:val="left"/>
        <w:rPr>
          <w:sz w:val="13"/>
        </w:rPr>
      </w:pPr>
      <w:r>
        <w:rPr>
          <w:w w:val="105"/>
          <w:sz w:val="13"/>
        </w:rPr>
        <w:t>Consultation </w:t>
      </w:r>
      <w:r>
        <w:rPr>
          <w:spacing w:val="-6"/>
          <w:w w:val="105"/>
          <w:sz w:val="13"/>
        </w:rPr>
        <w:t>11 </w:t>
      </w:r>
      <w:r>
        <w:rPr>
          <w:spacing w:val="2"/>
          <w:w w:val="105"/>
          <w:sz w:val="13"/>
        </w:rPr>
        <w:t>(Land </w:t>
      </w:r>
      <w:r>
        <w:rPr>
          <w:w w:val="105"/>
          <w:sz w:val="13"/>
        </w:rPr>
        <w:t>and Environment Court of New South</w:t>
      </w:r>
      <w:r>
        <w:rPr>
          <w:spacing w:val="23"/>
          <w:w w:val="105"/>
          <w:sz w:val="13"/>
        </w:rPr>
        <w:t> </w:t>
      </w:r>
      <w:r>
        <w:rPr>
          <w:w w:val="105"/>
          <w:sz w:val="13"/>
        </w:rPr>
        <w:t>Wales).</w:t>
      </w:r>
    </w:p>
    <w:p>
      <w:pPr>
        <w:pStyle w:val="ListParagraph"/>
        <w:numPr>
          <w:ilvl w:val="0"/>
          <w:numId w:val="200"/>
        </w:numPr>
        <w:tabs>
          <w:tab w:pos="2381" w:val="left" w:leader="none"/>
          <w:tab w:pos="2382" w:val="left" w:leader="none"/>
        </w:tabs>
        <w:spacing w:line="240" w:lineRule="auto" w:before="1" w:after="0"/>
        <w:ind w:left="2381" w:right="0" w:hanging="794"/>
        <w:jc w:val="left"/>
        <w:rPr>
          <w:i/>
          <w:sz w:val="13"/>
        </w:rPr>
      </w:pPr>
      <w:r>
        <w:rPr>
          <w:w w:val="105"/>
          <w:sz w:val="13"/>
        </w:rPr>
        <w:t>Victorian</w:t>
      </w:r>
      <w:r>
        <w:rPr>
          <w:spacing w:val="5"/>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5"/>
          <w:w w:val="105"/>
          <w:sz w:val="13"/>
        </w:rPr>
        <w:t> </w:t>
      </w:r>
      <w:r>
        <w:rPr>
          <w:w w:val="105"/>
          <w:sz w:val="13"/>
        </w:rPr>
        <w:t>Tribunal,</w:t>
      </w:r>
      <w:r>
        <w:rPr>
          <w:spacing w:val="5"/>
          <w:w w:val="105"/>
          <w:sz w:val="13"/>
        </w:rPr>
        <w:t> </w:t>
      </w:r>
      <w:r>
        <w:rPr>
          <w:i/>
          <w:w w:val="105"/>
          <w:sz w:val="13"/>
        </w:rPr>
        <w:t>Practice</w:t>
      </w:r>
      <w:r>
        <w:rPr>
          <w:i/>
          <w:spacing w:val="5"/>
          <w:w w:val="105"/>
          <w:sz w:val="13"/>
        </w:rPr>
        <w:t> </w:t>
      </w:r>
      <w:r>
        <w:rPr>
          <w:i/>
          <w:w w:val="105"/>
          <w:sz w:val="13"/>
        </w:rPr>
        <w:t>Note</w:t>
      </w:r>
      <w:r>
        <w:rPr>
          <w:i/>
          <w:spacing w:val="5"/>
          <w:w w:val="105"/>
          <w:sz w:val="13"/>
        </w:rPr>
        <w:t> </w:t>
      </w:r>
      <w:r>
        <w:rPr>
          <w:i/>
          <w:w w:val="105"/>
          <w:sz w:val="13"/>
        </w:rPr>
        <w:t>PNVCAT2:</w:t>
      </w:r>
      <w:r>
        <w:rPr>
          <w:i/>
          <w:spacing w:val="5"/>
          <w:w w:val="105"/>
          <w:sz w:val="13"/>
        </w:rPr>
        <w:t> </w:t>
      </w:r>
      <w:r>
        <w:rPr>
          <w:i/>
          <w:spacing w:val="2"/>
          <w:w w:val="105"/>
          <w:sz w:val="13"/>
        </w:rPr>
        <w:t>Expert</w:t>
      </w:r>
      <w:r>
        <w:rPr>
          <w:i/>
          <w:spacing w:val="6"/>
          <w:w w:val="105"/>
          <w:sz w:val="13"/>
        </w:rPr>
        <w:t> </w:t>
      </w:r>
      <w:r>
        <w:rPr>
          <w:i/>
          <w:w w:val="105"/>
          <w:sz w:val="13"/>
        </w:rPr>
        <w:t>Evidence,</w:t>
      </w:r>
      <w:r>
        <w:rPr>
          <w:i/>
          <w:spacing w:val="5"/>
          <w:w w:val="105"/>
          <w:sz w:val="13"/>
        </w:rPr>
        <w:t> </w:t>
      </w:r>
      <w:r>
        <w:rPr>
          <w:i/>
          <w:w w:val="105"/>
          <w:sz w:val="13"/>
        </w:rPr>
        <w:t>1</w:t>
      </w:r>
      <w:r>
        <w:rPr>
          <w:i/>
          <w:spacing w:val="5"/>
          <w:w w:val="105"/>
          <w:sz w:val="13"/>
        </w:rPr>
        <w:t> </w:t>
      </w:r>
      <w:r>
        <w:rPr>
          <w:i/>
          <w:spacing w:val="2"/>
          <w:w w:val="105"/>
          <w:sz w:val="13"/>
        </w:rPr>
        <w:t>October</w:t>
      </w:r>
      <w:r>
        <w:rPr>
          <w:i/>
          <w:spacing w:val="5"/>
          <w:w w:val="105"/>
          <w:sz w:val="13"/>
        </w:rPr>
        <w:t> </w:t>
      </w:r>
      <w:r>
        <w:rPr>
          <w:i/>
          <w:w w:val="105"/>
          <w:sz w:val="13"/>
        </w:rPr>
        <w:t>2014.</w:t>
      </w:r>
    </w:p>
    <w:p>
      <w:pPr>
        <w:pStyle w:val="ListParagraph"/>
        <w:numPr>
          <w:ilvl w:val="0"/>
          <w:numId w:val="200"/>
        </w:numPr>
        <w:tabs>
          <w:tab w:pos="2381" w:val="left" w:leader="none"/>
          <w:tab w:pos="2382" w:val="left" w:leader="none"/>
        </w:tabs>
        <w:spacing w:line="240" w:lineRule="auto" w:before="1" w:after="0"/>
        <w:ind w:left="2381" w:right="0" w:hanging="794"/>
        <w:jc w:val="left"/>
        <w:rPr>
          <w:sz w:val="13"/>
        </w:rPr>
      </w:pPr>
      <w:r>
        <w:rPr>
          <w:w w:val="105"/>
          <w:sz w:val="13"/>
        </w:rPr>
        <w:t>Victorian</w:t>
      </w:r>
      <w:r>
        <w:rPr>
          <w:spacing w:val="6"/>
          <w:w w:val="105"/>
          <w:sz w:val="13"/>
        </w:rPr>
        <w:t> </w:t>
      </w:r>
      <w:r>
        <w:rPr>
          <w:w w:val="105"/>
          <w:sz w:val="13"/>
        </w:rPr>
        <w:t>Civil</w:t>
      </w:r>
      <w:r>
        <w:rPr>
          <w:spacing w:val="6"/>
          <w:w w:val="105"/>
          <w:sz w:val="13"/>
        </w:rPr>
        <w:t> </w:t>
      </w:r>
      <w:r>
        <w:rPr>
          <w:w w:val="105"/>
          <w:sz w:val="13"/>
        </w:rPr>
        <w:t>and</w:t>
      </w:r>
      <w:r>
        <w:rPr>
          <w:spacing w:val="6"/>
          <w:w w:val="105"/>
          <w:sz w:val="13"/>
        </w:rPr>
        <w:t> </w:t>
      </w:r>
      <w:r>
        <w:rPr>
          <w:w w:val="105"/>
          <w:sz w:val="13"/>
        </w:rPr>
        <w:t>Administrative</w:t>
      </w:r>
      <w:r>
        <w:rPr>
          <w:spacing w:val="6"/>
          <w:w w:val="105"/>
          <w:sz w:val="13"/>
        </w:rPr>
        <w:t> </w:t>
      </w:r>
      <w:r>
        <w:rPr>
          <w:w w:val="105"/>
          <w:sz w:val="13"/>
        </w:rPr>
        <w:t>Tribunal,</w:t>
      </w:r>
      <w:r>
        <w:rPr>
          <w:spacing w:val="6"/>
          <w:w w:val="105"/>
          <w:sz w:val="13"/>
        </w:rPr>
        <w:t> </w:t>
      </w:r>
      <w:r>
        <w:rPr>
          <w:i/>
          <w:w w:val="105"/>
          <w:sz w:val="13"/>
        </w:rPr>
        <w:t>Practice</w:t>
      </w:r>
      <w:r>
        <w:rPr>
          <w:i/>
          <w:spacing w:val="6"/>
          <w:w w:val="105"/>
          <w:sz w:val="13"/>
        </w:rPr>
        <w:t> </w:t>
      </w:r>
      <w:r>
        <w:rPr>
          <w:i/>
          <w:w w:val="105"/>
          <w:sz w:val="13"/>
        </w:rPr>
        <w:t>Note</w:t>
      </w:r>
      <w:r>
        <w:rPr>
          <w:i/>
          <w:spacing w:val="6"/>
          <w:w w:val="105"/>
          <w:sz w:val="13"/>
        </w:rPr>
        <w:t> </w:t>
      </w:r>
      <w:r>
        <w:rPr>
          <w:i/>
          <w:w w:val="105"/>
          <w:sz w:val="13"/>
        </w:rPr>
        <w:t>PNVCAT4:</w:t>
      </w:r>
      <w:r>
        <w:rPr>
          <w:i/>
          <w:spacing w:val="6"/>
          <w:w w:val="105"/>
          <w:sz w:val="13"/>
        </w:rPr>
        <w:t> </w:t>
      </w:r>
      <w:r>
        <w:rPr>
          <w:i/>
          <w:w w:val="105"/>
          <w:sz w:val="13"/>
        </w:rPr>
        <w:t>Alternative</w:t>
      </w:r>
      <w:r>
        <w:rPr>
          <w:i/>
          <w:spacing w:val="6"/>
          <w:w w:val="105"/>
          <w:sz w:val="13"/>
        </w:rPr>
        <w:t> </w:t>
      </w:r>
      <w:r>
        <w:rPr>
          <w:i/>
          <w:w w:val="105"/>
          <w:sz w:val="13"/>
        </w:rPr>
        <w:t>Dispute</w:t>
      </w:r>
      <w:r>
        <w:rPr>
          <w:i/>
          <w:spacing w:val="6"/>
          <w:w w:val="105"/>
          <w:sz w:val="13"/>
        </w:rPr>
        <w:t> </w:t>
      </w:r>
      <w:r>
        <w:rPr>
          <w:i/>
          <w:w w:val="105"/>
          <w:sz w:val="13"/>
        </w:rPr>
        <w:t>Resolution</w:t>
      </w:r>
      <w:r>
        <w:rPr>
          <w:i/>
          <w:spacing w:val="6"/>
          <w:w w:val="105"/>
          <w:sz w:val="13"/>
        </w:rPr>
        <w:t> </w:t>
      </w:r>
      <w:r>
        <w:rPr>
          <w:spacing w:val="3"/>
          <w:w w:val="105"/>
          <w:sz w:val="13"/>
        </w:rPr>
        <w:t>(ADR),</w:t>
      </w:r>
      <w:r>
        <w:rPr>
          <w:spacing w:val="6"/>
          <w:w w:val="105"/>
          <w:sz w:val="13"/>
        </w:rPr>
        <w:t> </w:t>
      </w:r>
      <w:r>
        <w:rPr>
          <w:spacing w:val="-3"/>
          <w:w w:val="105"/>
          <w:sz w:val="13"/>
        </w:rPr>
        <w:t>19</w:t>
      </w:r>
      <w:r>
        <w:rPr>
          <w:spacing w:val="6"/>
          <w:w w:val="105"/>
          <w:sz w:val="13"/>
        </w:rPr>
        <w:t> </w:t>
      </w:r>
      <w:r>
        <w:rPr>
          <w:w w:val="105"/>
          <w:sz w:val="13"/>
        </w:rPr>
        <w:t>December</w:t>
      </w:r>
      <w:r>
        <w:rPr>
          <w:spacing w:val="6"/>
          <w:w w:val="105"/>
          <w:sz w:val="13"/>
        </w:rPr>
        <w:t> </w:t>
      </w:r>
      <w:r>
        <w:rPr>
          <w:w w:val="105"/>
          <w:sz w:val="13"/>
        </w:rPr>
        <w:t>2018.</w:t>
      </w:r>
    </w:p>
    <w:p>
      <w:pPr>
        <w:pStyle w:val="BodyText"/>
        <w:rPr>
          <w:sz w:val="28"/>
        </w:rPr>
      </w:pPr>
      <w:r>
        <w:rPr/>
        <w:br w:type="column"/>
      </w:r>
      <w:r>
        <w:rPr>
          <w:sz w:val="28"/>
        </w:rPr>
      </w:r>
    </w:p>
    <w:p>
      <w:pPr>
        <w:pStyle w:val="BodyText"/>
        <w:rPr>
          <w:sz w:val="28"/>
        </w:rPr>
      </w:pPr>
    </w:p>
    <w:p>
      <w:pPr>
        <w:pStyle w:val="BodyText"/>
        <w:spacing w:before="1"/>
        <w:rPr>
          <w:sz w:val="31"/>
        </w:rPr>
      </w:pPr>
    </w:p>
    <w:p>
      <w:pPr>
        <w:spacing w:before="0"/>
        <w:ind w:left="835" w:right="0" w:firstLine="0"/>
        <w:jc w:val="left"/>
        <w:rPr>
          <w:b/>
          <w:sz w:val="24"/>
        </w:rPr>
      </w:pPr>
      <w:r>
        <w:rPr>
          <w:b/>
          <w:color w:val="658464"/>
          <w:w w:val="110"/>
          <w:sz w:val="24"/>
        </w:rPr>
        <w:t>285</w:t>
      </w:r>
    </w:p>
    <w:p>
      <w:pPr>
        <w:spacing w:after="0"/>
        <w:jc w:val="left"/>
        <w:rPr>
          <w:sz w:val="24"/>
        </w:rPr>
        <w:sectPr>
          <w:type w:val="continuous"/>
          <w:pgSz w:w="11910" w:h="16840"/>
          <w:pgMar w:top="300" w:bottom="280" w:left="0" w:right="0"/>
          <w:cols w:num="2" w:equalWidth="0">
            <w:col w:w="10036" w:space="40"/>
            <w:col w:w="1834"/>
          </w:cols>
        </w:sectPr>
      </w:pPr>
    </w:p>
    <w:p>
      <w:pPr>
        <w:pStyle w:val="BodyText"/>
        <w:spacing w:before="11"/>
        <w:rPr>
          <w:b/>
        </w:rPr>
      </w:pPr>
    </w:p>
    <w:p>
      <w:pPr>
        <w:spacing w:before="96"/>
        <w:ind w:left="1587" w:right="0" w:firstLine="0"/>
        <w:jc w:val="left"/>
        <w:rPr>
          <w:b/>
          <w:sz w:val="24"/>
        </w:rPr>
      </w:pPr>
      <w:bookmarkStart w:name="_bookmark158" w:id="341"/>
      <w:bookmarkEnd w:id="341"/>
      <w:r>
        <w:rPr/>
      </w:r>
      <w:r>
        <w:rPr>
          <w:b/>
          <w:w w:val="115"/>
          <w:sz w:val="24"/>
        </w:rPr>
        <w:t>Improving awareness of DSCV</w:t>
      </w:r>
    </w:p>
    <w:p>
      <w:pPr>
        <w:pStyle w:val="ListParagraph"/>
        <w:numPr>
          <w:ilvl w:val="1"/>
          <w:numId w:val="16"/>
        </w:numPr>
        <w:tabs>
          <w:tab w:pos="2380" w:val="left" w:leader="none"/>
          <w:tab w:pos="2381" w:val="left" w:leader="none"/>
        </w:tabs>
        <w:spacing w:line="242" w:lineRule="auto" w:before="137" w:after="0"/>
        <w:ind w:left="2381" w:right="2316" w:hanging="794"/>
        <w:jc w:val="left"/>
        <w:rPr>
          <w:sz w:val="21"/>
        </w:rPr>
      </w:pPr>
      <w:r>
        <w:rPr>
          <w:sz w:val="21"/>
        </w:rPr>
        <w:t>DSCV receives a large number of </w:t>
      </w:r>
      <w:r>
        <w:rPr>
          <w:spacing w:val="-3"/>
          <w:sz w:val="21"/>
        </w:rPr>
        <w:t>enquiries </w:t>
      </w:r>
      <w:r>
        <w:rPr>
          <w:sz w:val="21"/>
        </w:rPr>
        <w:t>about tree </w:t>
      </w:r>
      <w:r>
        <w:rPr>
          <w:spacing w:val="-3"/>
          <w:sz w:val="21"/>
        </w:rPr>
        <w:t>disputes.</w:t>
      </w:r>
      <w:r>
        <w:rPr>
          <w:spacing w:val="-3"/>
          <w:position w:val="7"/>
          <w:sz w:val="12"/>
        </w:rPr>
        <w:t>91 </w:t>
      </w:r>
      <w:r>
        <w:rPr>
          <w:spacing w:val="-4"/>
          <w:sz w:val="21"/>
        </w:rPr>
        <w:t>However, </w:t>
      </w:r>
      <w:r>
        <w:rPr>
          <w:sz w:val="21"/>
        </w:rPr>
        <w:t>the </w:t>
      </w:r>
      <w:r>
        <w:rPr>
          <w:spacing w:val="-3"/>
          <w:sz w:val="21"/>
        </w:rPr>
        <w:t>Commission </w:t>
      </w:r>
      <w:r>
        <w:rPr>
          <w:sz w:val="21"/>
        </w:rPr>
        <w:t>was told </w:t>
      </w:r>
      <w:r>
        <w:rPr>
          <w:spacing w:val="-3"/>
          <w:sz w:val="21"/>
        </w:rPr>
        <w:t>that </w:t>
      </w:r>
      <w:r>
        <w:rPr>
          <w:sz w:val="21"/>
        </w:rPr>
        <w:t>its services </w:t>
      </w:r>
      <w:r>
        <w:rPr>
          <w:spacing w:val="-3"/>
          <w:sz w:val="21"/>
        </w:rPr>
        <w:t>are </w:t>
      </w:r>
      <w:r>
        <w:rPr>
          <w:spacing w:val="-2"/>
          <w:sz w:val="21"/>
        </w:rPr>
        <w:t>not </w:t>
      </w:r>
      <w:r>
        <w:rPr>
          <w:sz w:val="21"/>
        </w:rPr>
        <w:t>widely known </w:t>
      </w:r>
      <w:r>
        <w:rPr>
          <w:spacing w:val="-3"/>
          <w:sz w:val="21"/>
        </w:rPr>
        <w:t>to </w:t>
      </w:r>
      <w:r>
        <w:rPr>
          <w:sz w:val="21"/>
        </w:rPr>
        <w:t>arborists</w:t>
      </w:r>
      <w:r>
        <w:rPr>
          <w:position w:val="7"/>
          <w:sz w:val="12"/>
        </w:rPr>
        <w:t>92 </w:t>
      </w:r>
      <w:r>
        <w:rPr>
          <w:sz w:val="21"/>
        </w:rPr>
        <w:t>or some </w:t>
      </w:r>
      <w:r>
        <w:rPr>
          <w:spacing w:val="-3"/>
          <w:sz w:val="21"/>
        </w:rPr>
        <w:t>councils.</w:t>
      </w:r>
      <w:r>
        <w:rPr>
          <w:spacing w:val="-3"/>
          <w:position w:val="7"/>
          <w:sz w:val="12"/>
        </w:rPr>
        <w:t>93 </w:t>
      </w:r>
      <w:r>
        <w:rPr>
          <w:sz w:val="21"/>
        </w:rPr>
        <w:t>This should be addressed because arborists often act as </w:t>
      </w:r>
      <w:r>
        <w:rPr>
          <w:spacing w:val="-3"/>
          <w:sz w:val="21"/>
        </w:rPr>
        <w:t>intermediaries </w:t>
      </w:r>
      <w:r>
        <w:rPr>
          <w:sz w:val="21"/>
        </w:rPr>
        <w:t>between </w:t>
      </w:r>
      <w:r>
        <w:rPr>
          <w:spacing w:val="-3"/>
          <w:sz w:val="21"/>
        </w:rPr>
        <w:t>disputing </w:t>
      </w:r>
      <w:r>
        <w:rPr>
          <w:sz w:val="21"/>
        </w:rPr>
        <w:t>neighbours</w:t>
      </w:r>
      <w:r>
        <w:rPr>
          <w:position w:val="7"/>
          <w:sz w:val="12"/>
        </w:rPr>
        <w:t>94 </w:t>
      </w:r>
      <w:r>
        <w:rPr>
          <w:sz w:val="21"/>
        </w:rPr>
        <w:t>and often </w:t>
      </w:r>
      <w:r>
        <w:rPr>
          <w:spacing w:val="-3"/>
          <w:sz w:val="21"/>
        </w:rPr>
        <w:t>play </w:t>
      </w:r>
      <w:r>
        <w:rPr>
          <w:sz w:val="21"/>
        </w:rPr>
        <w:t>a pivotal role in </w:t>
      </w:r>
      <w:r>
        <w:rPr>
          <w:spacing w:val="-3"/>
          <w:sz w:val="21"/>
        </w:rPr>
        <w:t>helping to </w:t>
      </w:r>
      <w:r>
        <w:rPr>
          <w:sz w:val="21"/>
        </w:rPr>
        <w:t>resolve </w:t>
      </w:r>
      <w:r>
        <w:rPr>
          <w:spacing w:val="-3"/>
          <w:sz w:val="21"/>
        </w:rPr>
        <w:t>disputes. </w:t>
      </w:r>
      <w:r>
        <w:rPr>
          <w:sz w:val="21"/>
        </w:rPr>
        <w:t>It would </w:t>
      </w:r>
      <w:r>
        <w:rPr>
          <w:spacing w:val="-3"/>
          <w:sz w:val="21"/>
        </w:rPr>
        <w:t>therefore </w:t>
      </w:r>
      <w:r>
        <w:rPr>
          <w:sz w:val="21"/>
        </w:rPr>
        <w:t>be beneficial </w:t>
      </w:r>
      <w:r>
        <w:rPr>
          <w:spacing w:val="-3"/>
          <w:sz w:val="21"/>
        </w:rPr>
        <w:t>for </w:t>
      </w:r>
      <w:r>
        <w:rPr>
          <w:sz w:val="21"/>
        </w:rPr>
        <w:t>arborists </w:t>
      </w:r>
      <w:r>
        <w:rPr>
          <w:spacing w:val="-3"/>
          <w:sz w:val="21"/>
        </w:rPr>
        <w:t>to refer </w:t>
      </w:r>
      <w:r>
        <w:rPr>
          <w:sz w:val="21"/>
        </w:rPr>
        <w:t>parties </w:t>
      </w:r>
      <w:r>
        <w:rPr>
          <w:spacing w:val="-3"/>
          <w:sz w:val="21"/>
        </w:rPr>
        <w:t>to</w:t>
      </w:r>
      <w:r>
        <w:rPr>
          <w:spacing w:val="-6"/>
          <w:sz w:val="21"/>
        </w:rPr>
        <w:t> </w:t>
      </w:r>
      <w:r>
        <w:rPr>
          <w:spacing w:val="-5"/>
          <w:sz w:val="21"/>
        </w:rPr>
        <w:t>DSCV.</w:t>
      </w:r>
    </w:p>
    <w:p>
      <w:pPr>
        <w:pStyle w:val="ListParagraph"/>
        <w:numPr>
          <w:ilvl w:val="1"/>
          <w:numId w:val="16"/>
        </w:numPr>
        <w:tabs>
          <w:tab w:pos="2380" w:val="left" w:leader="none"/>
          <w:tab w:pos="2381" w:val="left" w:leader="none"/>
        </w:tabs>
        <w:spacing w:line="242" w:lineRule="auto" w:before="126" w:after="0"/>
        <w:ind w:left="2380" w:right="1842" w:hanging="793"/>
        <w:jc w:val="left"/>
        <w:rPr>
          <w:sz w:val="21"/>
        </w:rPr>
      </w:pPr>
      <w:r>
        <w:rPr>
          <w:w w:val="105"/>
          <w:sz w:val="21"/>
        </w:rPr>
        <w:t>DSCV undertakes community education workshops </w:t>
      </w:r>
      <w:r>
        <w:rPr>
          <w:spacing w:val="-3"/>
          <w:w w:val="105"/>
          <w:sz w:val="21"/>
        </w:rPr>
        <w:t>including </w:t>
      </w:r>
      <w:r>
        <w:rPr>
          <w:w w:val="105"/>
          <w:sz w:val="21"/>
        </w:rPr>
        <w:t>sessions about the services offered by </w:t>
      </w:r>
      <w:r>
        <w:rPr>
          <w:spacing w:val="-5"/>
          <w:w w:val="105"/>
          <w:sz w:val="21"/>
        </w:rPr>
        <w:t>DSCV.</w:t>
      </w:r>
      <w:r>
        <w:rPr>
          <w:spacing w:val="-5"/>
          <w:w w:val="105"/>
          <w:position w:val="7"/>
          <w:sz w:val="12"/>
        </w:rPr>
        <w:t>95 </w:t>
      </w:r>
      <w:r>
        <w:rPr>
          <w:w w:val="105"/>
          <w:sz w:val="21"/>
        </w:rPr>
        <w:t>Arborists and </w:t>
      </w:r>
      <w:r>
        <w:rPr>
          <w:spacing w:val="-3"/>
          <w:w w:val="105"/>
          <w:sz w:val="21"/>
        </w:rPr>
        <w:t>councils </w:t>
      </w:r>
      <w:r>
        <w:rPr>
          <w:w w:val="105"/>
          <w:sz w:val="21"/>
        </w:rPr>
        <w:t>should be targeted </w:t>
      </w:r>
      <w:r>
        <w:rPr>
          <w:spacing w:val="-3"/>
          <w:w w:val="105"/>
          <w:sz w:val="21"/>
        </w:rPr>
        <w:t>for such information</w:t>
      </w:r>
      <w:r>
        <w:rPr>
          <w:spacing w:val="-10"/>
          <w:w w:val="105"/>
          <w:sz w:val="21"/>
        </w:rPr>
        <w:t> </w:t>
      </w:r>
      <w:r>
        <w:rPr>
          <w:w w:val="105"/>
          <w:sz w:val="21"/>
        </w:rPr>
        <w:t>sessions</w:t>
      </w:r>
      <w:r>
        <w:rPr>
          <w:spacing w:val="-10"/>
          <w:w w:val="105"/>
          <w:sz w:val="21"/>
        </w:rPr>
        <w:t> </w:t>
      </w:r>
      <w:r>
        <w:rPr>
          <w:w w:val="105"/>
          <w:sz w:val="21"/>
        </w:rPr>
        <w:t>about</w:t>
      </w:r>
      <w:r>
        <w:rPr>
          <w:spacing w:val="-10"/>
          <w:w w:val="105"/>
          <w:sz w:val="21"/>
        </w:rPr>
        <w:t> </w:t>
      </w:r>
      <w:r>
        <w:rPr>
          <w:w w:val="105"/>
          <w:sz w:val="21"/>
        </w:rPr>
        <w:t>the</w:t>
      </w:r>
      <w:r>
        <w:rPr>
          <w:spacing w:val="-10"/>
          <w:w w:val="105"/>
          <w:sz w:val="21"/>
        </w:rPr>
        <w:t> </w:t>
      </w:r>
      <w:r>
        <w:rPr>
          <w:w w:val="105"/>
          <w:sz w:val="21"/>
        </w:rPr>
        <w:t>services</w:t>
      </w:r>
      <w:r>
        <w:rPr>
          <w:spacing w:val="-10"/>
          <w:w w:val="105"/>
          <w:sz w:val="21"/>
        </w:rPr>
        <w:t> </w:t>
      </w:r>
      <w:r>
        <w:rPr>
          <w:w w:val="105"/>
          <w:sz w:val="21"/>
        </w:rPr>
        <w:t>offered</w:t>
      </w:r>
      <w:r>
        <w:rPr>
          <w:spacing w:val="-10"/>
          <w:w w:val="105"/>
          <w:sz w:val="21"/>
        </w:rPr>
        <w:t> </w:t>
      </w:r>
      <w:r>
        <w:rPr>
          <w:w w:val="105"/>
          <w:sz w:val="21"/>
        </w:rPr>
        <w:t>by</w:t>
      </w:r>
      <w:r>
        <w:rPr>
          <w:spacing w:val="-10"/>
          <w:w w:val="105"/>
          <w:sz w:val="21"/>
        </w:rPr>
        <w:t> </w:t>
      </w:r>
      <w:r>
        <w:rPr>
          <w:w w:val="105"/>
          <w:sz w:val="21"/>
        </w:rPr>
        <w:t>DSCV</w:t>
      </w:r>
      <w:r>
        <w:rPr>
          <w:spacing w:val="-10"/>
          <w:w w:val="105"/>
          <w:sz w:val="21"/>
        </w:rPr>
        <w:t> </w:t>
      </w:r>
      <w:r>
        <w:rPr>
          <w:spacing w:val="-3"/>
          <w:w w:val="105"/>
          <w:sz w:val="21"/>
        </w:rPr>
        <w:t>to</w:t>
      </w:r>
      <w:r>
        <w:rPr>
          <w:spacing w:val="-10"/>
          <w:w w:val="105"/>
          <w:sz w:val="21"/>
        </w:rPr>
        <w:t> </w:t>
      </w:r>
      <w:r>
        <w:rPr>
          <w:w w:val="105"/>
          <w:sz w:val="21"/>
        </w:rPr>
        <w:t>assist</w:t>
      </w:r>
      <w:r>
        <w:rPr>
          <w:spacing w:val="-10"/>
          <w:w w:val="105"/>
          <w:sz w:val="21"/>
        </w:rPr>
        <w:t> </w:t>
      </w:r>
      <w:r>
        <w:rPr>
          <w:w w:val="105"/>
          <w:sz w:val="21"/>
        </w:rPr>
        <w:t>with</w:t>
      </w:r>
      <w:r>
        <w:rPr>
          <w:spacing w:val="-10"/>
          <w:w w:val="105"/>
          <w:sz w:val="21"/>
        </w:rPr>
        <w:t> </w:t>
      </w:r>
      <w:r>
        <w:rPr>
          <w:w w:val="105"/>
          <w:sz w:val="21"/>
        </w:rPr>
        <w:t>the</w:t>
      </w:r>
      <w:r>
        <w:rPr>
          <w:spacing w:val="-9"/>
          <w:w w:val="105"/>
          <w:sz w:val="21"/>
        </w:rPr>
        <w:t> </w:t>
      </w:r>
      <w:r>
        <w:rPr>
          <w:w w:val="105"/>
          <w:sz w:val="21"/>
        </w:rPr>
        <w:t>resolution</w:t>
      </w:r>
      <w:r>
        <w:rPr>
          <w:spacing w:val="-10"/>
          <w:w w:val="105"/>
          <w:sz w:val="21"/>
        </w:rPr>
        <w:t> </w:t>
      </w:r>
      <w:r>
        <w:rPr>
          <w:w w:val="105"/>
          <w:sz w:val="21"/>
        </w:rPr>
        <w:t>of neighbourhood tree</w:t>
      </w:r>
      <w:r>
        <w:rPr>
          <w:spacing w:val="10"/>
          <w:w w:val="105"/>
          <w:sz w:val="21"/>
        </w:rPr>
        <w:t> </w:t>
      </w:r>
      <w:r>
        <w:rPr>
          <w:spacing w:val="-3"/>
          <w:w w:val="105"/>
          <w:sz w:val="21"/>
        </w:rPr>
        <w:t>disputes.</w:t>
      </w:r>
    </w:p>
    <w:p>
      <w:pPr>
        <w:pStyle w:val="BodyText"/>
        <w:spacing w:before="4"/>
        <w:rPr>
          <w:sz w:val="20"/>
        </w:rPr>
      </w:pPr>
    </w:p>
    <w:p>
      <w:pPr>
        <w:pStyle w:val="Heading5"/>
        <w:spacing w:before="1"/>
      </w:pPr>
      <w:r>
        <w:rPr>
          <w:w w:val="110"/>
        </w:rPr>
        <w:t>Local council resources</w:t>
      </w:r>
    </w:p>
    <w:p>
      <w:pPr>
        <w:pStyle w:val="ListParagraph"/>
        <w:numPr>
          <w:ilvl w:val="1"/>
          <w:numId w:val="16"/>
        </w:numPr>
        <w:tabs>
          <w:tab w:pos="2381" w:val="left" w:leader="none"/>
          <w:tab w:pos="2382" w:val="left" w:leader="none"/>
        </w:tabs>
        <w:spacing w:line="242" w:lineRule="auto" w:before="137" w:after="0"/>
        <w:ind w:left="2381" w:right="1665" w:hanging="794"/>
        <w:jc w:val="left"/>
        <w:rPr>
          <w:sz w:val="21"/>
        </w:rPr>
      </w:pPr>
      <w:r>
        <w:rPr>
          <w:sz w:val="21"/>
        </w:rPr>
        <w:t>The </w:t>
      </w:r>
      <w:r>
        <w:rPr>
          <w:spacing w:val="-3"/>
          <w:sz w:val="21"/>
        </w:rPr>
        <w:t>Commission </w:t>
      </w:r>
      <w:r>
        <w:rPr>
          <w:sz w:val="21"/>
        </w:rPr>
        <w:t>is cautious about </w:t>
      </w:r>
      <w:r>
        <w:rPr>
          <w:spacing w:val="-3"/>
          <w:sz w:val="21"/>
        </w:rPr>
        <w:t>recommending that councils take </w:t>
      </w:r>
      <w:r>
        <w:rPr>
          <w:sz w:val="21"/>
        </w:rPr>
        <w:t>on </w:t>
      </w:r>
      <w:r>
        <w:rPr>
          <w:spacing w:val="-3"/>
          <w:sz w:val="21"/>
        </w:rPr>
        <w:t>additional responsibilities </w:t>
      </w:r>
      <w:r>
        <w:rPr>
          <w:sz w:val="21"/>
        </w:rPr>
        <w:t>given </w:t>
      </w:r>
      <w:r>
        <w:rPr>
          <w:spacing w:val="-3"/>
          <w:sz w:val="21"/>
        </w:rPr>
        <w:t>that public land </w:t>
      </w:r>
      <w:r>
        <w:rPr>
          <w:sz w:val="21"/>
        </w:rPr>
        <w:t>is  outside  the  scope  of  the  new  Act.  </w:t>
      </w:r>
      <w:r>
        <w:rPr>
          <w:spacing w:val="-4"/>
          <w:sz w:val="21"/>
        </w:rPr>
        <w:t>However, </w:t>
      </w:r>
      <w:r>
        <w:rPr>
          <w:sz w:val="21"/>
        </w:rPr>
        <w:t>some </w:t>
      </w:r>
      <w:r>
        <w:rPr>
          <w:spacing w:val="-3"/>
          <w:sz w:val="21"/>
        </w:rPr>
        <w:t>councils have </w:t>
      </w:r>
      <w:r>
        <w:rPr>
          <w:sz w:val="21"/>
        </w:rPr>
        <w:t>advised </w:t>
      </w:r>
      <w:r>
        <w:rPr>
          <w:spacing w:val="-3"/>
          <w:sz w:val="21"/>
        </w:rPr>
        <w:t>that </w:t>
      </w:r>
      <w:r>
        <w:rPr>
          <w:sz w:val="21"/>
        </w:rPr>
        <w:t>they </w:t>
      </w:r>
      <w:r>
        <w:rPr>
          <w:spacing w:val="-3"/>
          <w:sz w:val="21"/>
        </w:rPr>
        <w:t>are </w:t>
      </w:r>
      <w:r>
        <w:rPr>
          <w:sz w:val="21"/>
        </w:rPr>
        <w:t>often contacted </w:t>
      </w:r>
      <w:r>
        <w:rPr>
          <w:spacing w:val="-3"/>
          <w:sz w:val="21"/>
        </w:rPr>
        <w:t>for </w:t>
      </w:r>
      <w:r>
        <w:rPr>
          <w:sz w:val="21"/>
        </w:rPr>
        <w:t>advice </w:t>
      </w:r>
      <w:r>
        <w:rPr>
          <w:spacing w:val="-3"/>
          <w:sz w:val="21"/>
        </w:rPr>
        <w:t>from </w:t>
      </w:r>
      <w:r>
        <w:rPr>
          <w:sz w:val="21"/>
        </w:rPr>
        <w:t>residents about </w:t>
      </w:r>
      <w:r>
        <w:rPr>
          <w:spacing w:val="-3"/>
          <w:sz w:val="21"/>
        </w:rPr>
        <w:t>private disputes </w:t>
      </w:r>
      <w:r>
        <w:rPr>
          <w:sz w:val="21"/>
        </w:rPr>
        <w:t>and </w:t>
      </w:r>
      <w:r>
        <w:rPr>
          <w:spacing w:val="-3"/>
          <w:sz w:val="21"/>
        </w:rPr>
        <w:t>are therefore </w:t>
      </w:r>
      <w:r>
        <w:rPr>
          <w:sz w:val="21"/>
        </w:rPr>
        <w:t>in a good position </w:t>
      </w:r>
      <w:r>
        <w:rPr>
          <w:spacing w:val="-3"/>
          <w:sz w:val="21"/>
        </w:rPr>
        <w:t>to </w:t>
      </w:r>
      <w:r>
        <w:rPr>
          <w:sz w:val="21"/>
        </w:rPr>
        <w:t>direct parties </w:t>
      </w:r>
      <w:r>
        <w:rPr>
          <w:spacing w:val="-3"/>
          <w:sz w:val="21"/>
        </w:rPr>
        <w:t>towards </w:t>
      </w:r>
      <w:r>
        <w:rPr>
          <w:sz w:val="21"/>
        </w:rPr>
        <w:t>practical </w:t>
      </w:r>
      <w:r>
        <w:rPr>
          <w:spacing w:val="-3"/>
          <w:sz w:val="21"/>
        </w:rPr>
        <w:t>information</w:t>
      </w:r>
      <w:r>
        <w:rPr>
          <w:spacing w:val="15"/>
          <w:sz w:val="21"/>
        </w:rPr>
        <w:t> </w:t>
      </w:r>
      <w:r>
        <w:rPr>
          <w:spacing w:val="-3"/>
          <w:sz w:val="21"/>
        </w:rPr>
        <w:t>that</w:t>
      </w:r>
      <w:r>
        <w:rPr>
          <w:spacing w:val="15"/>
          <w:sz w:val="21"/>
        </w:rPr>
        <w:t> </w:t>
      </w:r>
      <w:r>
        <w:rPr>
          <w:spacing w:val="-3"/>
          <w:sz w:val="21"/>
        </w:rPr>
        <w:t>may</w:t>
      </w:r>
      <w:r>
        <w:rPr>
          <w:spacing w:val="15"/>
          <w:sz w:val="21"/>
        </w:rPr>
        <w:t> </w:t>
      </w:r>
      <w:r>
        <w:rPr>
          <w:spacing w:val="-3"/>
          <w:sz w:val="21"/>
        </w:rPr>
        <w:t>prevent</w:t>
      </w:r>
      <w:r>
        <w:rPr>
          <w:spacing w:val="15"/>
          <w:sz w:val="21"/>
        </w:rPr>
        <w:t> </w:t>
      </w:r>
      <w:r>
        <w:rPr>
          <w:sz w:val="21"/>
        </w:rPr>
        <w:t>these</w:t>
      </w:r>
      <w:r>
        <w:rPr>
          <w:spacing w:val="15"/>
          <w:sz w:val="21"/>
        </w:rPr>
        <w:t> </w:t>
      </w:r>
      <w:r>
        <w:rPr>
          <w:spacing w:val="-3"/>
          <w:sz w:val="21"/>
        </w:rPr>
        <w:t>disputes</w:t>
      </w:r>
      <w:r>
        <w:rPr>
          <w:spacing w:val="16"/>
          <w:sz w:val="21"/>
        </w:rPr>
        <w:t> </w:t>
      </w:r>
      <w:r>
        <w:rPr>
          <w:spacing w:val="-3"/>
          <w:sz w:val="21"/>
        </w:rPr>
        <w:t>arising,</w:t>
      </w:r>
      <w:r>
        <w:rPr>
          <w:spacing w:val="15"/>
          <w:sz w:val="21"/>
        </w:rPr>
        <w:t> </w:t>
      </w:r>
      <w:r>
        <w:rPr>
          <w:sz w:val="21"/>
        </w:rPr>
        <w:t>or</w:t>
      </w:r>
      <w:r>
        <w:rPr>
          <w:spacing w:val="15"/>
          <w:sz w:val="21"/>
        </w:rPr>
        <w:t> </w:t>
      </w:r>
      <w:r>
        <w:rPr>
          <w:spacing w:val="-3"/>
          <w:sz w:val="21"/>
        </w:rPr>
        <w:t>ensure</w:t>
      </w:r>
      <w:r>
        <w:rPr>
          <w:spacing w:val="15"/>
          <w:sz w:val="21"/>
        </w:rPr>
        <w:t> </w:t>
      </w:r>
      <w:r>
        <w:rPr>
          <w:spacing w:val="-3"/>
          <w:sz w:val="21"/>
        </w:rPr>
        <w:t>that</w:t>
      </w:r>
      <w:r>
        <w:rPr>
          <w:spacing w:val="15"/>
          <w:sz w:val="21"/>
        </w:rPr>
        <w:t> </w:t>
      </w:r>
      <w:r>
        <w:rPr>
          <w:sz w:val="21"/>
        </w:rPr>
        <w:t>they</w:t>
      </w:r>
      <w:r>
        <w:rPr>
          <w:spacing w:val="16"/>
          <w:sz w:val="21"/>
        </w:rPr>
        <w:t> </w:t>
      </w:r>
      <w:r>
        <w:rPr>
          <w:spacing w:val="-3"/>
          <w:sz w:val="21"/>
        </w:rPr>
        <w:t>are</w:t>
      </w:r>
      <w:r>
        <w:rPr>
          <w:spacing w:val="15"/>
          <w:sz w:val="21"/>
        </w:rPr>
        <w:t> </w:t>
      </w:r>
      <w:r>
        <w:rPr>
          <w:sz w:val="21"/>
        </w:rPr>
        <w:t>resolved</w:t>
      </w:r>
    </w:p>
    <w:p>
      <w:pPr>
        <w:pStyle w:val="BodyText"/>
        <w:spacing w:line="242" w:lineRule="auto" w:before="5"/>
        <w:ind w:left="2381" w:right="1590"/>
      </w:pPr>
      <w:r>
        <w:rPr>
          <w:w w:val="105"/>
        </w:rPr>
        <w:t>swiftly.</w:t>
      </w:r>
      <w:r>
        <w:rPr>
          <w:w w:val="105"/>
          <w:position w:val="7"/>
          <w:sz w:val="12"/>
        </w:rPr>
        <w:t>96 </w:t>
      </w:r>
      <w:r>
        <w:rPr>
          <w:w w:val="105"/>
        </w:rPr>
        <w:t>The </w:t>
      </w:r>
      <w:r>
        <w:rPr>
          <w:spacing w:val="-4"/>
          <w:w w:val="105"/>
        </w:rPr>
        <w:t>Commission’s </w:t>
      </w:r>
      <w:r>
        <w:rPr>
          <w:spacing w:val="-3"/>
          <w:w w:val="105"/>
        </w:rPr>
        <w:t>recommendations </w:t>
      </w:r>
      <w:r>
        <w:rPr>
          <w:w w:val="105"/>
        </w:rPr>
        <w:t>below </w:t>
      </w:r>
      <w:r>
        <w:rPr>
          <w:spacing w:val="-3"/>
          <w:w w:val="105"/>
        </w:rPr>
        <w:t>are within </w:t>
      </w:r>
      <w:r>
        <w:rPr>
          <w:w w:val="105"/>
        </w:rPr>
        <w:t>the scope of activities </w:t>
      </w:r>
      <w:r>
        <w:rPr>
          <w:spacing w:val="-3"/>
          <w:w w:val="105"/>
        </w:rPr>
        <w:t>that councils currently </w:t>
      </w:r>
      <w:r>
        <w:rPr>
          <w:w w:val="105"/>
        </w:rPr>
        <w:t>perform. The </w:t>
      </w:r>
      <w:r>
        <w:rPr>
          <w:spacing w:val="-3"/>
          <w:w w:val="105"/>
        </w:rPr>
        <w:t>Commission </w:t>
      </w:r>
      <w:r>
        <w:rPr>
          <w:w w:val="105"/>
        </w:rPr>
        <w:t>also </w:t>
      </w:r>
      <w:r>
        <w:rPr>
          <w:spacing w:val="-3"/>
          <w:w w:val="105"/>
        </w:rPr>
        <w:t>notes that </w:t>
      </w:r>
      <w:r>
        <w:rPr>
          <w:w w:val="105"/>
        </w:rPr>
        <w:t>a </w:t>
      </w:r>
      <w:r>
        <w:rPr>
          <w:spacing w:val="-3"/>
          <w:w w:val="105"/>
        </w:rPr>
        <w:t>continuing </w:t>
      </w:r>
      <w:r>
        <w:rPr>
          <w:w w:val="105"/>
        </w:rPr>
        <w:t>role </w:t>
      </w:r>
      <w:r>
        <w:rPr>
          <w:spacing w:val="-3"/>
          <w:w w:val="105"/>
        </w:rPr>
        <w:t>for councils </w:t>
      </w:r>
      <w:r>
        <w:rPr>
          <w:w w:val="105"/>
        </w:rPr>
        <w:t>is </w:t>
      </w:r>
      <w:r>
        <w:rPr>
          <w:spacing w:val="-3"/>
          <w:w w:val="105"/>
        </w:rPr>
        <w:t>contemplated </w:t>
      </w:r>
      <w:r>
        <w:rPr>
          <w:w w:val="105"/>
        </w:rPr>
        <w:t>in the </w:t>
      </w:r>
      <w:r>
        <w:rPr>
          <w:spacing w:val="-3"/>
          <w:w w:val="105"/>
        </w:rPr>
        <w:t>recommendations that consider </w:t>
      </w:r>
      <w:r>
        <w:rPr>
          <w:w w:val="105"/>
        </w:rPr>
        <w:t>the </w:t>
      </w:r>
      <w:r>
        <w:rPr>
          <w:spacing w:val="-3"/>
          <w:w w:val="105"/>
        </w:rPr>
        <w:t>overlap </w:t>
      </w:r>
      <w:r>
        <w:rPr>
          <w:w w:val="105"/>
        </w:rPr>
        <w:t>between the new Act and existing local laws in </w:t>
      </w:r>
      <w:r>
        <w:rPr>
          <w:spacing w:val="-4"/>
          <w:w w:val="105"/>
        </w:rPr>
        <w:t>Chapter</w:t>
      </w:r>
      <w:r>
        <w:rPr>
          <w:spacing w:val="31"/>
          <w:w w:val="105"/>
        </w:rPr>
        <w:t> </w:t>
      </w:r>
      <w:r>
        <w:rPr>
          <w:spacing w:val="-5"/>
          <w:w w:val="105"/>
        </w:rPr>
        <w:t>10.</w:t>
      </w:r>
    </w:p>
    <w:p>
      <w:pPr>
        <w:pStyle w:val="Heading7"/>
        <w:spacing w:before="155"/>
      </w:pPr>
      <w:r>
        <w:rPr>
          <w:w w:val="115"/>
        </w:rPr>
        <w:t>Responsible planting</w:t>
      </w:r>
    </w:p>
    <w:p>
      <w:pPr>
        <w:pStyle w:val="ListParagraph"/>
        <w:numPr>
          <w:ilvl w:val="1"/>
          <w:numId w:val="16"/>
        </w:numPr>
        <w:tabs>
          <w:tab w:pos="2381" w:val="left" w:leader="none"/>
          <w:tab w:pos="2382" w:val="left" w:leader="none"/>
        </w:tabs>
        <w:spacing w:line="242" w:lineRule="auto" w:before="143" w:after="0"/>
        <w:ind w:left="2381" w:right="1637" w:hanging="794"/>
        <w:jc w:val="left"/>
        <w:rPr>
          <w:sz w:val="21"/>
        </w:rPr>
      </w:pPr>
      <w:r>
        <w:rPr>
          <w:w w:val="105"/>
          <w:sz w:val="21"/>
        </w:rPr>
        <w:t>Supporting new laws with </w:t>
      </w:r>
      <w:r>
        <w:rPr>
          <w:spacing w:val="-3"/>
          <w:w w:val="105"/>
          <w:sz w:val="21"/>
        </w:rPr>
        <w:t>information </w:t>
      </w:r>
      <w:r>
        <w:rPr>
          <w:w w:val="105"/>
          <w:sz w:val="21"/>
        </w:rPr>
        <w:t>about </w:t>
      </w:r>
      <w:r>
        <w:rPr>
          <w:spacing w:val="-3"/>
          <w:w w:val="105"/>
          <w:sz w:val="21"/>
        </w:rPr>
        <w:t>responsible planting </w:t>
      </w:r>
      <w:r>
        <w:rPr>
          <w:w w:val="105"/>
          <w:sz w:val="21"/>
        </w:rPr>
        <w:t>would help </w:t>
      </w:r>
      <w:r>
        <w:rPr>
          <w:spacing w:val="-3"/>
          <w:w w:val="105"/>
          <w:sz w:val="21"/>
        </w:rPr>
        <w:t>prevent </w:t>
      </w:r>
      <w:r>
        <w:rPr>
          <w:w w:val="105"/>
          <w:sz w:val="21"/>
        </w:rPr>
        <w:t>tree </w:t>
      </w:r>
      <w:r>
        <w:rPr>
          <w:spacing w:val="-3"/>
          <w:w w:val="105"/>
          <w:sz w:val="21"/>
        </w:rPr>
        <w:t>disputes occurring. </w:t>
      </w:r>
      <w:r>
        <w:rPr>
          <w:w w:val="105"/>
          <w:sz w:val="21"/>
        </w:rPr>
        <w:t>This </w:t>
      </w:r>
      <w:r>
        <w:rPr>
          <w:spacing w:val="-3"/>
          <w:w w:val="105"/>
          <w:sz w:val="21"/>
        </w:rPr>
        <w:t>information </w:t>
      </w:r>
      <w:r>
        <w:rPr>
          <w:w w:val="105"/>
          <w:sz w:val="21"/>
        </w:rPr>
        <w:t>should </w:t>
      </w:r>
      <w:r>
        <w:rPr>
          <w:spacing w:val="-3"/>
          <w:w w:val="105"/>
          <w:sz w:val="21"/>
        </w:rPr>
        <w:t>include guidance </w:t>
      </w:r>
      <w:r>
        <w:rPr>
          <w:w w:val="105"/>
          <w:sz w:val="21"/>
        </w:rPr>
        <w:t>about what species would be </w:t>
      </w:r>
      <w:r>
        <w:rPr>
          <w:spacing w:val="-3"/>
          <w:w w:val="105"/>
          <w:sz w:val="21"/>
        </w:rPr>
        <w:t>sensible to plant </w:t>
      </w:r>
      <w:r>
        <w:rPr>
          <w:w w:val="105"/>
          <w:sz w:val="21"/>
        </w:rPr>
        <w:t>and where </w:t>
      </w:r>
      <w:r>
        <w:rPr>
          <w:spacing w:val="-3"/>
          <w:w w:val="105"/>
          <w:sz w:val="21"/>
        </w:rPr>
        <w:t>to plant </w:t>
      </w:r>
      <w:r>
        <w:rPr>
          <w:w w:val="105"/>
          <w:sz w:val="21"/>
        </w:rPr>
        <w:t>these in </w:t>
      </w:r>
      <w:r>
        <w:rPr>
          <w:spacing w:val="-3"/>
          <w:w w:val="105"/>
          <w:sz w:val="21"/>
        </w:rPr>
        <w:t>relation to neighbouring land. </w:t>
      </w:r>
      <w:r>
        <w:rPr>
          <w:w w:val="105"/>
          <w:sz w:val="21"/>
        </w:rPr>
        <w:t>This </w:t>
      </w:r>
      <w:r>
        <w:rPr>
          <w:spacing w:val="-3"/>
          <w:w w:val="105"/>
          <w:sz w:val="21"/>
        </w:rPr>
        <w:t>information will encourage </w:t>
      </w:r>
      <w:r>
        <w:rPr>
          <w:w w:val="105"/>
          <w:sz w:val="21"/>
        </w:rPr>
        <w:t>property owners </w:t>
      </w:r>
      <w:r>
        <w:rPr>
          <w:spacing w:val="-3"/>
          <w:w w:val="105"/>
          <w:sz w:val="21"/>
        </w:rPr>
        <w:t>to think </w:t>
      </w:r>
      <w:r>
        <w:rPr>
          <w:w w:val="105"/>
          <w:sz w:val="21"/>
        </w:rPr>
        <w:t>more </w:t>
      </w:r>
      <w:r>
        <w:rPr>
          <w:spacing w:val="-3"/>
          <w:w w:val="105"/>
          <w:sz w:val="21"/>
        </w:rPr>
        <w:t>carefully </w:t>
      </w:r>
      <w:r>
        <w:rPr>
          <w:w w:val="105"/>
          <w:sz w:val="21"/>
        </w:rPr>
        <w:t>about how particular plants </w:t>
      </w:r>
      <w:r>
        <w:rPr>
          <w:spacing w:val="-3"/>
          <w:w w:val="105"/>
          <w:sz w:val="21"/>
        </w:rPr>
        <w:t>grow </w:t>
      </w:r>
      <w:r>
        <w:rPr>
          <w:w w:val="105"/>
          <w:sz w:val="21"/>
        </w:rPr>
        <w:t>and whether they </w:t>
      </w:r>
      <w:r>
        <w:rPr>
          <w:spacing w:val="-3"/>
          <w:w w:val="105"/>
          <w:sz w:val="21"/>
        </w:rPr>
        <w:t>are </w:t>
      </w:r>
      <w:r>
        <w:rPr>
          <w:spacing w:val="-4"/>
          <w:w w:val="105"/>
          <w:sz w:val="21"/>
        </w:rPr>
        <w:t>likely </w:t>
      </w:r>
      <w:r>
        <w:rPr>
          <w:spacing w:val="-3"/>
          <w:w w:val="105"/>
          <w:sz w:val="21"/>
        </w:rPr>
        <w:t>to </w:t>
      </w:r>
      <w:r>
        <w:rPr>
          <w:w w:val="105"/>
          <w:sz w:val="21"/>
        </w:rPr>
        <w:t>drop </w:t>
      </w:r>
      <w:r>
        <w:rPr>
          <w:spacing w:val="-3"/>
          <w:w w:val="105"/>
          <w:sz w:val="21"/>
        </w:rPr>
        <w:t>fruit </w:t>
      </w:r>
      <w:r>
        <w:rPr>
          <w:w w:val="105"/>
          <w:sz w:val="21"/>
        </w:rPr>
        <w:t>and </w:t>
      </w:r>
      <w:r>
        <w:rPr>
          <w:spacing w:val="-3"/>
          <w:w w:val="105"/>
          <w:sz w:val="21"/>
        </w:rPr>
        <w:t>leaves. </w:t>
      </w:r>
      <w:r>
        <w:rPr>
          <w:w w:val="105"/>
          <w:sz w:val="21"/>
        </w:rPr>
        <w:t>It </w:t>
      </w:r>
      <w:r>
        <w:rPr>
          <w:spacing w:val="-3"/>
          <w:w w:val="105"/>
          <w:sz w:val="21"/>
        </w:rPr>
        <w:t>will </w:t>
      </w:r>
      <w:r>
        <w:rPr>
          <w:w w:val="105"/>
          <w:sz w:val="21"/>
        </w:rPr>
        <w:t>also </w:t>
      </w:r>
      <w:r>
        <w:rPr>
          <w:spacing w:val="-3"/>
          <w:w w:val="105"/>
          <w:sz w:val="21"/>
        </w:rPr>
        <w:t>encourage </w:t>
      </w:r>
      <w:r>
        <w:rPr>
          <w:w w:val="105"/>
          <w:sz w:val="21"/>
        </w:rPr>
        <w:t>people </w:t>
      </w:r>
      <w:r>
        <w:rPr>
          <w:spacing w:val="-3"/>
          <w:w w:val="105"/>
          <w:sz w:val="21"/>
        </w:rPr>
        <w:t>to think </w:t>
      </w:r>
      <w:r>
        <w:rPr>
          <w:w w:val="105"/>
          <w:sz w:val="21"/>
        </w:rPr>
        <w:t>about the </w:t>
      </w:r>
      <w:r>
        <w:rPr>
          <w:spacing w:val="-3"/>
          <w:w w:val="105"/>
          <w:sz w:val="21"/>
        </w:rPr>
        <w:t>longterm consequences </w:t>
      </w:r>
      <w:r>
        <w:rPr>
          <w:w w:val="105"/>
          <w:sz w:val="21"/>
        </w:rPr>
        <w:t>of </w:t>
      </w:r>
      <w:r>
        <w:rPr>
          <w:spacing w:val="-3"/>
          <w:w w:val="105"/>
          <w:sz w:val="21"/>
        </w:rPr>
        <w:t>planting </w:t>
      </w:r>
      <w:r>
        <w:rPr>
          <w:w w:val="105"/>
          <w:sz w:val="21"/>
        </w:rPr>
        <w:t>particular species on their properties.</w:t>
      </w:r>
    </w:p>
    <w:p>
      <w:pPr>
        <w:pStyle w:val="ListParagraph"/>
        <w:numPr>
          <w:ilvl w:val="1"/>
          <w:numId w:val="16"/>
        </w:numPr>
        <w:tabs>
          <w:tab w:pos="2381" w:val="left" w:leader="none"/>
          <w:tab w:pos="2382" w:val="left" w:leader="none"/>
        </w:tabs>
        <w:spacing w:line="242" w:lineRule="auto" w:before="128" w:after="0"/>
        <w:ind w:left="2381" w:right="2028" w:hanging="794"/>
        <w:jc w:val="left"/>
        <w:rPr>
          <w:sz w:val="21"/>
        </w:rPr>
      </w:pPr>
      <w:r>
        <w:rPr>
          <w:spacing w:val="-4"/>
          <w:w w:val="105"/>
          <w:sz w:val="21"/>
        </w:rPr>
        <w:t>Councils </w:t>
      </w:r>
      <w:r>
        <w:rPr>
          <w:w w:val="105"/>
          <w:sz w:val="21"/>
        </w:rPr>
        <w:t>should be </w:t>
      </w:r>
      <w:r>
        <w:rPr>
          <w:spacing w:val="-3"/>
          <w:w w:val="105"/>
          <w:sz w:val="21"/>
        </w:rPr>
        <w:t>encouraged to </w:t>
      </w:r>
      <w:r>
        <w:rPr>
          <w:w w:val="105"/>
          <w:sz w:val="21"/>
        </w:rPr>
        <w:t>develop tree </w:t>
      </w:r>
      <w:r>
        <w:rPr>
          <w:spacing w:val="-3"/>
          <w:w w:val="105"/>
          <w:sz w:val="21"/>
        </w:rPr>
        <w:t>planting guidelines to disseminate to </w:t>
      </w:r>
      <w:r>
        <w:rPr>
          <w:w w:val="105"/>
          <w:sz w:val="21"/>
        </w:rPr>
        <w:t>the</w:t>
      </w:r>
      <w:r>
        <w:rPr>
          <w:spacing w:val="-5"/>
          <w:w w:val="105"/>
          <w:sz w:val="21"/>
        </w:rPr>
        <w:t> </w:t>
      </w:r>
      <w:r>
        <w:rPr>
          <w:w w:val="105"/>
          <w:sz w:val="21"/>
        </w:rPr>
        <w:t>local</w:t>
      </w:r>
      <w:r>
        <w:rPr>
          <w:spacing w:val="-5"/>
          <w:w w:val="105"/>
          <w:sz w:val="21"/>
        </w:rPr>
        <w:t> </w:t>
      </w:r>
      <w:r>
        <w:rPr>
          <w:spacing w:val="-4"/>
          <w:w w:val="105"/>
          <w:sz w:val="21"/>
        </w:rPr>
        <w:t>community. </w:t>
      </w:r>
      <w:r>
        <w:rPr>
          <w:w w:val="105"/>
          <w:sz w:val="21"/>
        </w:rPr>
        <w:t>As</w:t>
      </w:r>
      <w:r>
        <w:rPr>
          <w:spacing w:val="-5"/>
          <w:w w:val="105"/>
          <w:sz w:val="21"/>
        </w:rPr>
        <w:t> </w:t>
      </w:r>
      <w:r>
        <w:rPr>
          <w:spacing w:val="-3"/>
          <w:w w:val="105"/>
          <w:sz w:val="21"/>
        </w:rPr>
        <w:t>noted</w:t>
      </w:r>
      <w:r>
        <w:rPr>
          <w:spacing w:val="-5"/>
          <w:w w:val="105"/>
          <w:sz w:val="21"/>
        </w:rPr>
        <w:t> </w:t>
      </w:r>
      <w:r>
        <w:rPr>
          <w:spacing w:val="-4"/>
          <w:w w:val="105"/>
          <w:sz w:val="21"/>
        </w:rPr>
        <w:t>earlier, </w:t>
      </w:r>
      <w:r>
        <w:rPr>
          <w:w w:val="105"/>
          <w:sz w:val="21"/>
        </w:rPr>
        <w:t>some</w:t>
      </w:r>
      <w:r>
        <w:rPr>
          <w:spacing w:val="-5"/>
          <w:w w:val="105"/>
          <w:sz w:val="21"/>
        </w:rPr>
        <w:t> </w:t>
      </w:r>
      <w:r>
        <w:rPr>
          <w:spacing w:val="-3"/>
          <w:w w:val="105"/>
          <w:sz w:val="21"/>
        </w:rPr>
        <w:t>councils</w:t>
      </w:r>
      <w:r>
        <w:rPr>
          <w:spacing w:val="-5"/>
          <w:w w:val="105"/>
          <w:sz w:val="21"/>
        </w:rPr>
        <w:t> </w:t>
      </w:r>
      <w:r>
        <w:rPr>
          <w:spacing w:val="-3"/>
          <w:w w:val="105"/>
          <w:sz w:val="21"/>
        </w:rPr>
        <w:t>already</w:t>
      </w:r>
      <w:r>
        <w:rPr>
          <w:spacing w:val="-4"/>
          <w:w w:val="105"/>
          <w:sz w:val="21"/>
        </w:rPr>
        <w:t> </w:t>
      </w:r>
      <w:r>
        <w:rPr>
          <w:w w:val="105"/>
          <w:sz w:val="21"/>
        </w:rPr>
        <w:t>do</w:t>
      </w:r>
      <w:r>
        <w:rPr>
          <w:spacing w:val="-5"/>
          <w:w w:val="105"/>
          <w:sz w:val="21"/>
        </w:rPr>
        <w:t> </w:t>
      </w:r>
      <w:r>
        <w:rPr>
          <w:w w:val="105"/>
          <w:sz w:val="21"/>
        </w:rPr>
        <w:t>this.</w:t>
      </w:r>
      <w:r>
        <w:rPr>
          <w:spacing w:val="-4"/>
          <w:w w:val="105"/>
          <w:sz w:val="21"/>
        </w:rPr>
        <w:t> </w:t>
      </w:r>
      <w:r>
        <w:rPr>
          <w:w w:val="105"/>
          <w:sz w:val="21"/>
        </w:rPr>
        <w:t>This</w:t>
      </w:r>
      <w:r>
        <w:rPr>
          <w:spacing w:val="-5"/>
          <w:w w:val="105"/>
          <w:sz w:val="21"/>
        </w:rPr>
        <w:t> </w:t>
      </w:r>
      <w:r>
        <w:rPr>
          <w:spacing w:val="-3"/>
          <w:w w:val="105"/>
          <w:sz w:val="21"/>
        </w:rPr>
        <w:t>information</w:t>
      </w:r>
    </w:p>
    <w:p>
      <w:pPr>
        <w:pStyle w:val="BodyText"/>
        <w:spacing w:line="242" w:lineRule="auto" w:before="2"/>
        <w:ind w:left="2381" w:right="1636"/>
        <w:rPr>
          <w:sz w:val="12"/>
        </w:rPr>
      </w:pPr>
      <w:r>
        <w:rPr>
          <w:w w:val="105"/>
        </w:rPr>
        <w:t>should</w:t>
      </w:r>
      <w:r>
        <w:rPr>
          <w:spacing w:val="-14"/>
          <w:w w:val="105"/>
        </w:rPr>
        <w:t> </w:t>
      </w:r>
      <w:r>
        <w:rPr>
          <w:w w:val="105"/>
        </w:rPr>
        <w:t>be</w:t>
      </w:r>
      <w:r>
        <w:rPr>
          <w:spacing w:val="-13"/>
          <w:w w:val="105"/>
        </w:rPr>
        <w:t> </w:t>
      </w:r>
      <w:r>
        <w:rPr>
          <w:w w:val="105"/>
        </w:rPr>
        <w:t>more</w:t>
      </w:r>
      <w:r>
        <w:rPr>
          <w:spacing w:val="-13"/>
          <w:w w:val="105"/>
        </w:rPr>
        <w:t> </w:t>
      </w:r>
      <w:r>
        <w:rPr>
          <w:w w:val="105"/>
        </w:rPr>
        <w:t>broadly</w:t>
      </w:r>
      <w:r>
        <w:rPr>
          <w:spacing w:val="-13"/>
          <w:w w:val="105"/>
        </w:rPr>
        <w:t> </w:t>
      </w:r>
      <w:r>
        <w:rPr>
          <w:spacing w:val="-3"/>
          <w:w w:val="105"/>
        </w:rPr>
        <w:t>available</w:t>
      </w:r>
      <w:r>
        <w:rPr>
          <w:spacing w:val="-13"/>
          <w:w w:val="105"/>
        </w:rPr>
        <w:t> </w:t>
      </w:r>
      <w:r>
        <w:rPr>
          <w:w w:val="105"/>
        </w:rPr>
        <w:t>across</w:t>
      </w:r>
      <w:r>
        <w:rPr>
          <w:spacing w:val="-14"/>
          <w:w w:val="105"/>
        </w:rPr>
        <w:t> </w:t>
      </w:r>
      <w:r>
        <w:rPr>
          <w:w w:val="105"/>
        </w:rPr>
        <w:t>our</w:t>
      </w:r>
      <w:r>
        <w:rPr>
          <w:spacing w:val="-13"/>
          <w:w w:val="105"/>
        </w:rPr>
        <w:t> </w:t>
      </w:r>
      <w:r>
        <w:rPr>
          <w:spacing w:val="-3"/>
          <w:w w:val="105"/>
        </w:rPr>
        <w:t>communities.</w:t>
      </w:r>
      <w:r>
        <w:rPr>
          <w:spacing w:val="-13"/>
          <w:w w:val="105"/>
        </w:rPr>
        <w:t> </w:t>
      </w:r>
      <w:r>
        <w:rPr>
          <w:w w:val="105"/>
        </w:rPr>
        <w:t>For</w:t>
      </w:r>
      <w:r>
        <w:rPr>
          <w:spacing w:val="-13"/>
          <w:w w:val="105"/>
        </w:rPr>
        <w:t> </w:t>
      </w:r>
      <w:r>
        <w:rPr>
          <w:w w:val="105"/>
        </w:rPr>
        <w:t>neighbourhoods</w:t>
      </w:r>
      <w:r>
        <w:rPr>
          <w:spacing w:val="-13"/>
          <w:w w:val="105"/>
        </w:rPr>
        <w:t> </w:t>
      </w:r>
      <w:r>
        <w:rPr>
          <w:w w:val="105"/>
        </w:rPr>
        <w:t>with</w:t>
      </w:r>
      <w:r>
        <w:rPr>
          <w:spacing w:val="-14"/>
          <w:w w:val="105"/>
        </w:rPr>
        <w:t> </w:t>
      </w:r>
      <w:r>
        <w:rPr>
          <w:w w:val="105"/>
        </w:rPr>
        <w:t>little vegetation, </w:t>
      </w:r>
      <w:r>
        <w:rPr>
          <w:spacing w:val="-3"/>
          <w:w w:val="105"/>
        </w:rPr>
        <w:t>guidance could </w:t>
      </w:r>
      <w:r>
        <w:rPr>
          <w:w w:val="105"/>
        </w:rPr>
        <w:t>simply </w:t>
      </w:r>
      <w:r>
        <w:rPr>
          <w:spacing w:val="-3"/>
          <w:w w:val="105"/>
        </w:rPr>
        <w:t>consist </w:t>
      </w:r>
      <w:r>
        <w:rPr>
          <w:w w:val="105"/>
        </w:rPr>
        <w:t>of advice about which types of trees </w:t>
      </w:r>
      <w:r>
        <w:rPr>
          <w:spacing w:val="-3"/>
          <w:w w:val="105"/>
        </w:rPr>
        <w:t>may </w:t>
      </w:r>
      <w:r>
        <w:rPr>
          <w:spacing w:val="-2"/>
          <w:w w:val="105"/>
        </w:rPr>
        <w:t>not </w:t>
      </w:r>
      <w:r>
        <w:rPr>
          <w:w w:val="105"/>
        </w:rPr>
        <w:t>be </w:t>
      </w:r>
      <w:r>
        <w:rPr>
          <w:spacing w:val="-3"/>
          <w:w w:val="105"/>
        </w:rPr>
        <w:t>suited to </w:t>
      </w:r>
      <w:r>
        <w:rPr>
          <w:w w:val="105"/>
        </w:rPr>
        <w:t>urban spaces or </w:t>
      </w:r>
      <w:r>
        <w:rPr>
          <w:spacing w:val="-3"/>
          <w:w w:val="105"/>
        </w:rPr>
        <w:t>fence lines. </w:t>
      </w:r>
      <w:r>
        <w:rPr>
          <w:spacing w:val="-4"/>
          <w:w w:val="105"/>
        </w:rPr>
        <w:t>Councils </w:t>
      </w:r>
      <w:r>
        <w:rPr>
          <w:spacing w:val="-3"/>
          <w:w w:val="105"/>
        </w:rPr>
        <w:t>may </w:t>
      </w:r>
      <w:r>
        <w:rPr>
          <w:w w:val="105"/>
        </w:rPr>
        <w:t>also provide </w:t>
      </w:r>
      <w:r>
        <w:rPr>
          <w:spacing w:val="-3"/>
          <w:w w:val="105"/>
        </w:rPr>
        <w:t>useful information </w:t>
      </w:r>
      <w:r>
        <w:rPr>
          <w:w w:val="105"/>
        </w:rPr>
        <w:t>about tree </w:t>
      </w:r>
      <w:r>
        <w:rPr>
          <w:spacing w:val="-3"/>
          <w:w w:val="105"/>
        </w:rPr>
        <w:t>height relevant to </w:t>
      </w:r>
      <w:r>
        <w:rPr>
          <w:w w:val="105"/>
        </w:rPr>
        <w:t>the </w:t>
      </w:r>
      <w:r>
        <w:rPr>
          <w:spacing w:val="-3"/>
          <w:w w:val="105"/>
        </w:rPr>
        <w:t>size </w:t>
      </w:r>
      <w:r>
        <w:rPr>
          <w:w w:val="105"/>
        </w:rPr>
        <w:t>of the</w:t>
      </w:r>
      <w:r>
        <w:rPr>
          <w:spacing w:val="2"/>
          <w:w w:val="105"/>
        </w:rPr>
        <w:t> </w:t>
      </w:r>
      <w:r>
        <w:rPr>
          <w:spacing w:val="-4"/>
          <w:w w:val="105"/>
        </w:rPr>
        <w:t>land.</w:t>
      </w:r>
      <w:r>
        <w:rPr>
          <w:spacing w:val="-4"/>
          <w:w w:val="105"/>
          <w:position w:val="7"/>
          <w:sz w:val="12"/>
        </w:rPr>
        <w:t>97</w:t>
      </w:r>
    </w:p>
    <w:p>
      <w:pPr>
        <w:pStyle w:val="Heading7"/>
        <w:spacing w:before="155"/>
      </w:pPr>
      <w:r>
        <w:rPr>
          <w:w w:val="115"/>
        </w:rPr>
        <w:t>More</w:t>
      </w:r>
      <w:r>
        <w:rPr>
          <w:spacing w:val="-11"/>
          <w:w w:val="115"/>
        </w:rPr>
        <w:t> </w:t>
      </w:r>
      <w:r>
        <w:rPr>
          <w:w w:val="115"/>
        </w:rPr>
        <w:t>accessible</w:t>
      </w:r>
      <w:r>
        <w:rPr>
          <w:spacing w:val="-11"/>
          <w:w w:val="115"/>
        </w:rPr>
        <w:t> </w:t>
      </w:r>
      <w:r>
        <w:rPr>
          <w:w w:val="115"/>
        </w:rPr>
        <w:t>information</w:t>
      </w:r>
      <w:r>
        <w:rPr>
          <w:spacing w:val="-11"/>
          <w:w w:val="115"/>
        </w:rPr>
        <w:t> </w:t>
      </w:r>
      <w:r>
        <w:rPr>
          <w:w w:val="115"/>
        </w:rPr>
        <w:t>about</w:t>
      </w:r>
      <w:r>
        <w:rPr>
          <w:spacing w:val="-11"/>
          <w:w w:val="115"/>
        </w:rPr>
        <w:t> </w:t>
      </w:r>
      <w:r>
        <w:rPr>
          <w:w w:val="115"/>
        </w:rPr>
        <w:t>local</w:t>
      </w:r>
      <w:r>
        <w:rPr>
          <w:spacing w:val="-11"/>
          <w:w w:val="115"/>
        </w:rPr>
        <w:t> </w:t>
      </w:r>
      <w:r>
        <w:rPr>
          <w:w w:val="115"/>
        </w:rPr>
        <w:t>laws</w:t>
      </w:r>
    </w:p>
    <w:p>
      <w:pPr>
        <w:pStyle w:val="ListParagraph"/>
        <w:numPr>
          <w:ilvl w:val="1"/>
          <w:numId w:val="16"/>
        </w:numPr>
        <w:tabs>
          <w:tab w:pos="2381" w:val="left" w:leader="none"/>
          <w:tab w:pos="2382" w:val="left" w:leader="none"/>
        </w:tabs>
        <w:spacing w:line="242" w:lineRule="auto" w:before="142" w:after="0"/>
        <w:ind w:left="2381" w:right="1585" w:hanging="794"/>
        <w:jc w:val="left"/>
        <w:rPr>
          <w:sz w:val="21"/>
        </w:rPr>
      </w:pPr>
      <w:r>
        <w:rPr>
          <w:spacing w:val="-4"/>
          <w:w w:val="105"/>
          <w:sz w:val="21"/>
        </w:rPr>
        <w:t>Chapter </w:t>
      </w:r>
      <w:r>
        <w:rPr>
          <w:spacing w:val="-6"/>
          <w:w w:val="105"/>
          <w:sz w:val="21"/>
        </w:rPr>
        <w:t>10 </w:t>
      </w:r>
      <w:r>
        <w:rPr>
          <w:w w:val="105"/>
          <w:sz w:val="21"/>
        </w:rPr>
        <w:t>identified </w:t>
      </w:r>
      <w:r>
        <w:rPr>
          <w:spacing w:val="-3"/>
          <w:w w:val="105"/>
          <w:sz w:val="21"/>
        </w:rPr>
        <w:t>that </w:t>
      </w:r>
      <w:r>
        <w:rPr>
          <w:w w:val="105"/>
          <w:sz w:val="21"/>
        </w:rPr>
        <w:t>it would be </w:t>
      </w:r>
      <w:r>
        <w:rPr>
          <w:spacing w:val="-3"/>
          <w:w w:val="105"/>
          <w:sz w:val="21"/>
        </w:rPr>
        <w:t>helpful for </w:t>
      </w:r>
      <w:r>
        <w:rPr>
          <w:w w:val="105"/>
          <w:sz w:val="21"/>
        </w:rPr>
        <w:t>the community </w:t>
      </w:r>
      <w:r>
        <w:rPr>
          <w:spacing w:val="-3"/>
          <w:w w:val="105"/>
          <w:sz w:val="21"/>
        </w:rPr>
        <w:t>to have </w:t>
      </w:r>
      <w:r>
        <w:rPr>
          <w:w w:val="105"/>
          <w:sz w:val="21"/>
        </w:rPr>
        <w:t>better </w:t>
      </w:r>
      <w:r>
        <w:rPr>
          <w:spacing w:val="-2"/>
          <w:w w:val="105"/>
          <w:sz w:val="21"/>
        </w:rPr>
        <w:t>access </w:t>
      </w:r>
      <w:r>
        <w:rPr>
          <w:spacing w:val="-3"/>
          <w:w w:val="105"/>
          <w:sz w:val="21"/>
        </w:rPr>
        <w:t>to information </w:t>
      </w:r>
      <w:r>
        <w:rPr>
          <w:w w:val="105"/>
          <w:sz w:val="21"/>
        </w:rPr>
        <w:t>about the local laws </w:t>
      </w:r>
      <w:r>
        <w:rPr>
          <w:spacing w:val="-3"/>
          <w:w w:val="105"/>
          <w:sz w:val="21"/>
        </w:rPr>
        <w:t>that </w:t>
      </w:r>
      <w:r>
        <w:rPr>
          <w:w w:val="105"/>
          <w:sz w:val="21"/>
        </w:rPr>
        <w:t>apply </w:t>
      </w:r>
      <w:r>
        <w:rPr>
          <w:spacing w:val="-3"/>
          <w:w w:val="105"/>
          <w:sz w:val="21"/>
        </w:rPr>
        <w:t>to </w:t>
      </w:r>
      <w:r>
        <w:rPr>
          <w:w w:val="105"/>
          <w:sz w:val="21"/>
        </w:rPr>
        <w:t>trees in </w:t>
      </w:r>
      <w:r>
        <w:rPr>
          <w:spacing w:val="-3"/>
          <w:w w:val="105"/>
          <w:sz w:val="21"/>
        </w:rPr>
        <w:t>council areas </w:t>
      </w:r>
      <w:r>
        <w:rPr>
          <w:w w:val="105"/>
          <w:sz w:val="21"/>
        </w:rPr>
        <w:t>and how these laws work. There is </w:t>
      </w:r>
      <w:r>
        <w:rPr>
          <w:spacing w:val="-3"/>
          <w:w w:val="105"/>
          <w:sz w:val="21"/>
        </w:rPr>
        <w:t>confusion </w:t>
      </w:r>
      <w:r>
        <w:rPr>
          <w:w w:val="105"/>
          <w:sz w:val="21"/>
        </w:rPr>
        <w:t>in the community about how and when local laws </w:t>
      </w:r>
      <w:r>
        <w:rPr>
          <w:spacing w:val="-3"/>
          <w:w w:val="105"/>
          <w:sz w:val="21"/>
        </w:rPr>
        <w:t>may </w:t>
      </w:r>
      <w:r>
        <w:rPr>
          <w:w w:val="105"/>
          <w:sz w:val="21"/>
        </w:rPr>
        <w:t>apply </w:t>
      </w:r>
      <w:r>
        <w:rPr>
          <w:spacing w:val="-3"/>
          <w:w w:val="105"/>
          <w:sz w:val="21"/>
        </w:rPr>
        <w:t>to </w:t>
      </w:r>
      <w:r>
        <w:rPr>
          <w:w w:val="105"/>
          <w:sz w:val="21"/>
        </w:rPr>
        <w:t>trees</w:t>
      </w:r>
      <w:r>
        <w:rPr>
          <w:spacing w:val="-8"/>
          <w:w w:val="105"/>
          <w:sz w:val="21"/>
        </w:rPr>
        <w:t> </w:t>
      </w:r>
      <w:r>
        <w:rPr>
          <w:w w:val="105"/>
          <w:sz w:val="21"/>
        </w:rPr>
        <w:t>on</w:t>
      </w:r>
      <w:r>
        <w:rPr>
          <w:spacing w:val="-7"/>
          <w:w w:val="105"/>
          <w:sz w:val="21"/>
        </w:rPr>
        <w:t> </w:t>
      </w:r>
      <w:r>
        <w:rPr>
          <w:spacing w:val="-3"/>
          <w:w w:val="105"/>
          <w:sz w:val="21"/>
        </w:rPr>
        <w:t>private</w:t>
      </w:r>
      <w:r>
        <w:rPr>
          <w:spacing w:val="-8"/>
          <w:w w:val="105"/>
          <w:sz w:val="21"/>
        </w:rPr>
        <w:t> </w:t>
      </w:r>
      <w:r>
        <w:rPr>
          <w:spacing w:val="-3"/>
          <w:w w:val="105"/>
          <w:sz w:val="21"/>
        </w:rPr>
        <w:t>land.</w:t>
      </w:r>
      <w:r>
        <w:rPr>
          <w:spacing w:val="-7"/>
          <w:w w:val="105"/>
          <w:sz w:val="21"/>
        </w:rPr>
        <w:t> </w:t>
      </w:r>
      <w:r>
        <w:rPr>
          <w:w w:val="105"/>
          <w:sz w:val="21"/>
        </w:rPr>
        <w:t>This</w:t>
      </w:r>
      <w:r>
        <w:rPr>
          <w:spacing w:val="-8"/>
          <w:w w:val="105"/>
          <w:sz w:val="21"/>
        </w:rPr>
        <w:t> </w:t>
      </w:r>
      <w:r>
        <w:rPr>
          <w:w w:val="105"/>
          <w:sz w:val="21"/>
        </w:rPr>
        <w:t>was</w:t>
      </w:r>
      <w:r>
        <w:rPr>
          <w:spacing w:val="-7"/>
          <w:w w:val="105"/>
          <w:sz w:val="21"/>
        </w:rPr>
        <w:t> </w:t>
      </w:r>
      <w:r>
        <w:rPr>
          <w:w w:val="105"/>
          <w:sz w:val="21"/>
        </w:rPr>
        <w:t>also</w:t>
      </w:r>
      <w:r>
        <w:rPr>
          <w:spacing w:val="-7"/>
          <w:w w:val="105"/>
          <w:sz w:val="21"/>
        </w:rPr>
        <w:t> </w:t>
      </w:r>
      <w:r>
        <w:rPr>
          <w:w w:val="105"/>
          <w:sz w:val="21"/>
        </w:rPr>
        <w:t>recognised</w:t>
      </w:r>
      <w:r>
        <w:rPr>
          <w:spacing w:val="-8"/>
          <w:w w:val="105"/>
          <w:sz w:val="21"/>
        </w:rPr>
        <w:t> </w:t>
      </w:r>
      <w:r>
        <w:rPr>
          <w:w w:val="105"/>
          <w:sz w:val="21"/>
        </w:rPr>
        <w:t>as</w:t>
      </w:r>
      <w:r>
        <w:rPr>
          <w:spacing w:val="-7"/>
          <w:w w:val="105"/>
          <w:sz w:val="21"/>
        </w:rPr>
        <w:t> </w:t>
      </w:r>
      <w:r>
        <w:rPr>
          <w:w w:val="105"/>
          <w:sz w:val="21"/>
        </w:rPr>
        <w:t>an</w:t>
      </w:r>
      <w:r>
        <w:rPr>
          <w:spacing w:val="-8"/>
          <w:w w:val="105"/>
          <w:sz w:val="21"/>
        </w:rPr>
        <w:t> </w:t>
      </w:r>
      <w:r>
        <w:rPr>
          <w:w w:val="105"/>
          <w:sz w:val="21"/>
        </w:rPr>
        <w:t>issue</w:t>
      </w:r>
      <w:r>
        <w:rPr>
          <w:spacing w:val="-7"/>
          <w:w w:val="105"/>
          <w:sz w:val="21"/>
        </w:rPr>
        <w:t> </w:t>
      </w:r>
      <w:r>
        <w:rPr>
          <w:w w:val="105"/>
          <w:sz w:val="21"/>
        </w:rPr>
        <w:t>in</w:t>
      </w:r>
      <w:r>
        <w:rPr>
          <w:spacing w:val="-8"/>
          <w:w w:val="105"/>
          <w:sz w:val="21"/>
        </w:rPr>
        <w:t> </w:t>
      </w:r>
      <w:r>
        <w:rPr>
          <w:w w:val="105"/>
          <w:sz w:val="21"/>
        </w:rPr>
        <w:t>the</w:t>
      </w:r>
      <w:r>
        <w:rPr>
          <w:spacing w:val="-7"/>
          <w:w w:val="105"/>
          <w:sz w:val="21"/>
        </w:rPr>
        <w:t> </w:t>
      </w:r>
      <w:r>
        <w:rPr>
          <w:w w:val="105"/>
          <w:sz w:val="21"/>
        </w:rPr>
        <w:t>review</w:t>
      </w:r>
      <w:r>
        <w:rPr>
          <w:spacing w:val="-8"/>
          <w:w w:val="105"/>
          <w:sz w:val="21"/>
        </w:rPr>
        <w:t> </w:t>
      </w:r>
      <w:r>
        <w:rPr>
          <w:w w:val="105"/>
          <w:sz w:val="21"/>
        </w:rPr>
        <w:t>of</w:t>
      </w:r>
      <w:r>
        <w:rPr>
          <w:spacing w:val="-7"/>
          <w:w w:val="105"/>
          <w:sz w:val="21"/>
        </w:rPr>
        <w:t> </w:t>
      </w:r>
      <w:r>
        <w:rPr>
          <w:w w:val="105"/>
          <w:sz w:val="21"/>
        </w:rPr>
        <w:t>the</w:t>
      </w:r>
      <w:r>
        <w:rPr>
          <w:spacing w:val="-7"/>
          <w:w w:val="105"/>
          <w:sz w:val="21"/>
        </w:rPr>
        <w:t> </w:t>
      </w:r>
      <w:r>
        <w:rPr>
          <w:spacing w:val="-3"/>
          <w:w w:val="105"/>
          <w:sz w:val="21"/>
        </w:rPr>
        <w:t>Queensland </w:t>
      </w:r>
      <w:r>
        <w:rPr>
          <w:w w:val="105"/>
          <w:sz w:val="21"/>
        </w:rPr>
        <w:t>Act.</w:t>
      </w:r>
      <w:r>
        <w:rPr>
          <w:w w:val="105"/>
          <w:position w:val="7"/>
          <w:sz w:val="12"/>
        </w:rPr>
        <w:t>98</w:t>
      </w:r>
    </w:p>
    <w:p>
      <w:pPr>
        <w:pStyle w:val="BodyText"/>
        <w:rPr>
          <w:sz w:val="20"/>
        </w:rPr>
      </w:pPr>
    </w:p>
    <w:p>
      <w:pPr>
        <w:pStyle w:val="BodyText"/>
        <w:rPr>
          <w:sz w:val="20"/>
        </w:rPr>
      </w:pPr>
    </w:p>
    <w:p>
      <w:pPr>
        <w:pStyle w:val="BodyText"/>
        <w:spacing w:before="10"/>
        <w:rPr>
          <w:sz w:val="20"/>
        </w:rPr>
      </w:pPr>
      <w:r>
        <w:rPr/>
        <w:pict>
          <v:line style="position:absolute;mso-position-horizontal-relative:page;mso-position-vertical-relative:paragraph;z-index:11696;mso-wrap-distance-left:0;mso-wrap-distance-right:0" from="79.370102pt,15.197041pt" to="515.905102pt,15.197041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spacing w:before="4"/>
        <w:rPr>
          <w:sz w:val="29"/>
        </w:rPr>
      </w:pPr>
    </w:p>
    <w:p>
      <w:pPr>
        <w:spacing w:before="0"/>
        <w:ind w:left="720" w:right="0" w:firstLine="0"/>
        <w:jc w:val="left"/>
        <w:rPr>
          <w:b/>
          <w:sz w:val="24"/>
        </w:rPr>
      </w:pPr>
      <w:r>
        <w:rPr>
          <w:b/>
          <w:color w:val="658464"/>
          <w:w w:val="110"/>
          <w:sz w:val="24"/>
        </w:rPr>
        <w:t>286</w:t>
      </w:r>
    </w:p>
    <w:p>
      <w:pPr>
        <w:pStyle w:val="ListParagraph"/>
        <w:numPr>
          <w:ilvl w:val="0"/>
          <w:numId w:val="200"/>
        </w:numPr>
        <w:tabs>
          <w:tab w:pos="1218" w:val="left" w:leader="none"/>
          <w:tab w:pos="1219" w:val="left" w:leader="none"/>
        </w:tabs>
        <w:spacing w:line="240" w:lineRule="auto" w:before="48" w:after="0"/>
        <w:ind w:left="1218" w:right="0" w:hanging="794"/>
        <w:jc w:val="left"/>
        <w:rPr>
          <w:sz w:val="13"/>
        </w:rPr>
      </w:pPr>
      <w:r>
        <w:rPr>
          <w:spacing w:val="-3"/>
          <w:w w:val="125"/>
          <w:sz w:val="13"/>
        </w:rPr>
        <w:br w:type="column"/>
      </w:r>
      <w:r>
        <w:rPr>
          <w:w w:val="105"/>
          <w:sz w:val="13"/>
        </w:rPr>
        <w:t>Consultation</w:t>
      </w:r>
      <w:r>
        <w:rPr>
          <w:spacing w:val="4"/>
          <w:w w:val="105"/>
          <w:sz w:val="13"/>
        </w:rPr>
        <w:t> </w:t>
      </w:r>
      <w:r>
        <w:rPr>
          <w:w w:val="105"/>
          <w:sz w:val="13"/>
        </w:rPr>
        <w:t>7</w:t>
      </w:r>
      <w:r>
        <w:rPr>
          <w:spacing w:val="5"/>
          <w:w w:val="105"/>
          <w:sz w:val="13"/>
        </w:rPr>
        <w:t> </w:t>
      </w:r>
      <w:r>
        <w:rPr>
          <w:w w:val="105"/>
          <w:sz w:val="13"/>
        </w:rPr>
        <w:t>(Dispute</w:t>
      </w:r>
      <w:r>
        <w:rPr>
          <w:spacing w:val="5"/>
          <w:w w:val="105"/>
          <w:sz w:val="13"/>
        </w:rPr>
        <w:t> </w:t>
      </w:r>
      <w:r>
        <w:rPr>
          <w:w w:val="105"/>
          <w:sz w:val="13"/>
        </w:rPr>
        <w:t>Settlement</w:t>
      </w:r>
      <w:r>
        <w:rPr>
          <w:spacing w:val="4"/>
          <w:w w:val="105"/>
          <w:sz w:val="13"/>
        </w:rPr>
        <w:t> </w:t>
      </w:r>
      <w:r>
        <w:rPr>
          <w:w w:val="105"/>
          <w:sz w:val="13"/>
        </w:rPr>
        <w:t>Centre</w:t>
      </w:r>
      <w:r>
        <w:rPr>
          <w:spacing w:val="5"/>
          <w:w w:val="105"/>
          <w:sz w:val="13"/>
        </w:rPr>
        <w:t> </w:t>
      </w:r>
      <w:r>
        <w:rPr>
          <w:w w:val="105"/>
          <w:sz w:val="13"/>
        </w:rPr>
        <w:t>of</w:t>
      </w:r>
      <w:r>
        <w:rPr>
          <w:spacing w:val="5"/>
          <w:w w:val="105"/>
          <w:sz w:val="13"/>
        </w:rPr>
        <w:t> </w:t>
      </w:r>
      <w:r>
        <w:rPr>
          <w:spacing w:val="2"/>
          <w:w w:val="105"/>
          <w:sz w:val="13"/>
        </w:rPr>
        <w:t>Victoria).</w:t>
      </w:r>
      <w:r>
        <w:rPr>
          <w:spacing w:val="5"/>
          <w:w w:val="105"/>
          <w:sz w:val="13"/>
        </w:rPr>
        <w:t> </w:t>
      </w:r>
      <w:r>
        <w:rPr>
          <w:w w:val="105"/>
          <w:sz w:val="13"/>
        </w:rPr>
        <w:t>See</w:t>
      </w:r>
      <w:r>
        <w:rPr>
          <w:spacing w:val="4"/>
          <w:w w:val="105"/>
          <w:sz w:val="13"/>
        </w:rPr>
        <w:t> </w:t>
      </w:r>
      <w:r>
        <w:rPr>
          <w:w w:val="105"/>
          <w:sz w:val="13"/>
        </w:rPr>
        <w:t>Ch</w:t>
      </w:r>
      <w:r>
        <w:rPr>
          <w:spacing w:val="5"/>
          <w:w w:val="105"/>
          <w:sz w:val="13"/>
        </w:rPr>
        <w:t> </w:t>
      </w:r>
      <w:r>
        <w:rPr>
          <w:w w:val="105"/>
          <w:sz w:val="13"/>
        </w:rPr>
        <w:t>2</w:t>
      </w:r>
      <w:r>
        <w:rPr>
          <w:spacing w:val="5"/>
          <w:w w:val="105"/>
          <w:sz w:val="13"/>
        </w:rPr>
        <w:t> </w:t>
      </w:r>
      <w:r>
        <w:rPr>
          <w:w w:val="105"/>
          <w:sz w:val="13"/>
        </w:rPr>
        <w:t>for</w:t>
      </w:r>
      <w:r>
        <w:rPr>
          <w:spacing w:val="5"/>
          <w:w w:val="105"/>
          <w:sz w:val="13"/>
        </w:rPr>
        <w:t> </w:t>
      </w:r>
      <w:r>
        <w:rPr>
          <w:w w:val="105"/>
          <w:sz w:val="13"/>
        </w:rPr>
        <w:t>more</w:t>
      </w:r>
      <w:r>
        <w:rPr>
          <w:spacing w:val="4"/>
          <w:w w:val="105"/>
          <w:sz w:val="13"/>
        </w:rPr>
        <w:t> </w:t>
      </w:r>
      <w:r>
        <w:rPr>
          <w:w w:val="105"/>
          <w:sz w:val="13"/>
        </w:rPr>
        <w:t>information.</w:t>
      </w:r>
    </w:p>
    <w:p>
      <w:pPr>
        <w:pStyle w:val="ListParagraph"/>
        <w:numPr>
          <w:ilvl w:val="0"/>
          <w:numId w:val="200"/>
        </w:numPr>
        <w:tabs>
          <w:tab w:pos="1218" w:val="left" w:leader="none"/>
          <w:tab w:pos="1219" w:val="left" w:leader="none"/>
        </w:tabs>
        <w:spacing w:line="240" w:lineRule="auto" w:before="1" w:after="0"/>
        <w:ind w:left="1218" w:right="0" w:hanging="794"/>
        <w:jc w:val="left"/>
        <w:rPr>
          <w:sz w:val="13"/>
        </w:rPr>
      </w:pPr>
      <w:r>
        <w:rPr>
          <w:w w:val="105"/>
          <w:sz w:val="13"/>
        </w:rPr>
        <w:t>Consultation</w:t>
      </w:r>
      <w:r>
        <w:rPr>
          <w:spacing w:val="4"/>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at</w:t>
      </w:r>
      <w:r>
        <w:rPr>
          <w:spacing w:val="5"/>
          <w:w w:val="105"/>
          <w:sz w:val="13"/>
        </w:rPr>
        <w:t> </w:t>
      </w:r>
      <w:r>
        <w:rPr>
          <w:w w:val="105"/>
          <w:sz w:val="13"/>
        </w:rPr>
        <w:t>facilitated</w:t>
      </w:r>
      <w:r>
        <w:rPr>
          <w:spacing w:val="5"/>
          <w:w w:val="105"/>
          <w:sz w:val="13"/>
        </w:rPr>
        <w:t> </w:t>
      </w:r>
      <w:r>
        <w:rPr>
          <w:w w:val="105"/>
          <w:sz w:val="13"/>
        </w:rPr>
        <w:t>discussion</w:t>
      </w:r>
      <w:r>
        <w:rPr>
          <w:spacing w:val="5"/>
          <w:w w:val="105"/>
          <w:sz w:val="13"/>
        </w:rPr>
        <w:t> </w:t>
      </w:r>
      <w:r>
        <w:rPr>
          <w:w w:val="105"/>
          <w:sz w:val="13"/>
        </w:rPr>
        <w:t>at</w:t>
      </w:r>
      <w:r>
        <w:rPr>
          <w:spacing w:val="5"/>
          <w:w w:val="105"/>
          <w:sz w:val="13"/>
        </w:rPr>
        <w:t> </w:t>
      </w:r>
      <w:r>
        <w:rPr>
          <w:w w:val="105"/>
          <w:sz w:val="13"/>
        </w:rPr>
        <w:t>VITO</w:t>
      </w:r>
      <w:r>
        <w:rPr>
          <w:spacing w:val="5"/>
          <w:w w:val="105"/>
          <w:sz w:val="13"/>
        </w:rPr>
        <w:t> </w:t>
      </w:r>
      <w:r>
        <w:rPr>
          <w:w w:val="105"/>
          <w:sz w:val="13"/>
        </w:rPr>
        <w:t>ArborCamp</w:t>
      </w:r>
      <w:r>
        <w:rPr>
          <w:spacing w:val="5"/>
          <w:w w:val="105"/>
          <w:sz w:val="13"/>
        </w:rPr>
        <w:t> </w:t>
      </w:r>
      <w:r>
        <w:rPr>
          <w:w w:val="105"/>
          <w:sz w:val="13"/>
        </w:rPr>
        <w:t>2018).</w:t>
      </w:r>
    </w:p>
    <w:p>
      <w:pPr>
        <w:pStyle w:val="ListParagraph"/>
        <w:numPr>
          <w:ilvl w:val="0"/>
          <w:numId w:val="200"/>
        </w:numPr>
        <w:tabs>
          <w:tab w:pos="1218" w:val="left" w:leader="none"/>
          <w:tab w:pos="1219" w:val="left" w:leader="none"/>
        </w:tabs>
        <w:spacing w:line="240" w:lineRule="auto" w:before="2" w:after="0"/>
        <w:ind w:left="1218" w:right="0" w:hanging="794"/>
        <w:jc w:val="left"/>
        <w:rPr>
          <w:sz w:val="13"/>
        </w:rPr>
      </w:pPr>
      <w:r>
        <w:rPr>
          <w:w w:val="105"/>
          <w:sz w:val="13"/>
        </w:rPr>
        <w:t>Consultations</w:t>
      </w:r>
      <w:r>
        <w:rPr>
          <w:spacing w:val="5"/>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5"/>
          <w:w w:val="105"/>
          <w:sz w:val="13"/>
        </w:rPr>
        <w:t> </w:t>
      </w:r>
      <w:r>
        <w:rPr>
          <w:w w:val="105"/>
          <w:sz w:val="13"/>
        </w:rPr>
        <w:t>at</w:t>
      </w:r>
      <w:r>
        <w:rPr>
          <w:spacing w:val="5"/>
          <w:w w:val="105"/>
          <w:sz w:val="13"/>
        </w:rPr>
        <w:t> </w:t>
      </w:r>
      <w:r>
        <w:rPr>
          <w:spacing w:val="4"/>
          <w:w w:val="105"/>
          <w:sz w:val="13"/>
        </w:rPr>
        <w:t>VTIO</w:t>
      </w:r>
      <w:r>
        <w:rPr>
          <w:spacing w:val="5"/>
          <w:w w:val="105"/>
          <w:sz w:val="13"/>
        </w:rPr>
        <w:t> </w:t>
      </w:r>
      <w:r>
        <w:rPr>
          <w:w w:val="105"/>
          <w:sz w:val="13"/>
        </w:rPr>
        <w:t>ArborCamp2018);</w:t>
      </w:r>
      <w:r>
        <w:rPr>
          <w:spacing w:val="5"/>
          <w:w w:val="105"/>
          <w:sz w:val="13"/>
        </w:rPr>
        <w:t> </w:t>
      </w:r>
      <w:r>
        <w:rPr>
          <w:w w:val="105"/>
          <w:sz w:val="13"/>
        </w:rPr>
        <w:t>7</w:t>
      </w:r>
      <w:r>
        <w:rPr>
          <w:spacing w:val="5"/>
          <w:w w:val="105"/>
          <w:sz w:val="13"/>
        </w:rPr>
        <w:t> </w:t>
      </w:r>
      <w:r>
        <w:rPr>
          <w:w w:val="105"/>
          <w:sz w:val="13"/>
        </w:rPr>
        <w:t>(Dispute</w:t>
      </w:r>
      <w:r>
        <w:rPr>
          <w:spacing w:val="5"/>
          <w:w w:val="105"/>
          <w:sz w:val="13"/>
        </w:rPr>
        <w:t> </w:t>
      </w:r>
      <w:r>
        <w:rPr>
          <w:w w:val="105"/>
          <w:sz w:val="13"/>
        </w:rPr>
        <w:t>Settlement</w:t>
      </w:r>
      <w:r>
        <w:rPr>
          <w:spacing w:val="5"/>
          <w:w w:val="105"/>
          <w:sz w:val="13"/>
        </w:rPr>
        <w:t> </w:t>
      </w:r>
      <w:r>
        <w:rPr>
          <w:w w:val="105"/>
          <w:sz w:val="13"/>
        </w:rPr>
        <w:t>Centre</w:t>
      </w:r>
      <w:r>
        <w:rPr>
          <w:spacing w:val="5"/>
          <w:w w:val="105"/>
          <w:sz w:val="13"/>
        </w:rPr>
        <w:t> </w:t>
      </w:r>
      <w:r>
        <w:rPr>
          <w:w w:val="105"/>
          <w:sz w:val="13"/>
        </w:rPr>
        <w:t>of</w:t>
      </w:r>
      <w:r>
        <w:rPr>
          <w:spacing w:val="5"/>
          <w:w w:val="105"/>
          <w:sz w:val="13"/>
        </w:rPr>
        <w:t> </w:t>
      </w:r>
      <w:r>
        <w:rPr>
          <w:spacing w:val="2"/>
          <w:w w:val="105"/>
          <w:sz w:val="13"/>
        </w:rPr>
        <w:t>Victoria).</w:t>
      </w:r>
    </w:p>
    <w:p>
      <w:pPr>
        <w:pStyle w:val="ListParagraph"/>
        <w:numPr>
          <w:ilvl w:val="0"/>
          <w:numId w:val="200"/>
        </w:numPr>
        <w:tabs>
          <w:tab w:pos="1218" w:val="left" w:leader="none"/>
          <w:tab w:pos="1219" w:val="left" w:leader="none"/>
        </w:tabs>
        <w:spacing w:line="240" w:lineRule="auto" w:before="1" w:after="0"/>
        <w:ind w:left="1218" w:right="0" w:hanging="794"/>
        <w:jc w:val="left"/>
        <w:rPr>
          <w:sz w:val="13"/>
        </w:rPr>
      </w:pPr>
      <w:r>
        <w:rPr>
          <w:w w:val="105"/>
          <w:sz w:val="13"/>
        </w:rPr>
        <w:t>Consultations</w:t>
      </w:r>
      <w:r>
        <w:rPr>
          <w:spacing w:val="4"/>
          <w:w w:val="105"/>
          <w:sz w:val="13"/>
        </w:rPr>
        <w:t> </w:t>
      </w:r>
      <w:r>
        <w:rPr>
          <w:w w:val="105"/>
          <w:sz w:val="13"/>
        </w:rPr>
        <w:t>4</w:t>
      </w:r>
      <w:r>
        <w:rPr>
          <w:spacing w:val="5"/>
          <w:w w:val="105"/>
          <w:sz w:val="13"/>
        </w:rPr>
        <w:t> </w:t>
      </w:r>
      <w:r>
        <w:rPr>
          <w:w w:val="105"/>
          <w:sz w:val="13"/>
        </w:rPr>
        <w:t>(Participants</w:t>
      </w:r>
      <w:r>
        <w:rPr>
          <w:spacing w:val="5"/>
          <w:w w:val="105"/>
          <w:sz w:val="13"/>
        </w:rPr>
        <w:t> </w:t>
      </w:r>
      <w:r>
        <w:rPr>
          <w:w w:val="105"/>
          <w:sz w:val="13"/>
        </w:rPr>
        <w:t>in</w:t>
      </w:r>
      <w:r>
        <w:rPr>
          <w:spacing w:val="5"/>
          <w:w w:val="105"/>
          <w:sz w:val="13"/>
        </w:rPr>
        <w:t> </w:t>
      </w:r>
      <w:r>
        <w:rPr>
          <w:w w:val="105"/>
          <w:sz w:val="13"/>
        </w:rPr>
        <w:t>facilitated</w:t>
      </w:r>
      <w:r>
        <w:rPr>
          <w:spacing w:val="5"/>
          <w:w w:val="105"/>
          <w:sz w:val="13"/>
        </w:rPr>
        <w:t> </w:t>
      </w:r>
      <w:r>
        <w:rPr>
          <w:w w:val="105"/>
          <w:sz w:val="13"/>
        </w:rPr>
        <w:t>discussion</w:t>
      </w:r>
      <w:r>
        <w:rPr>
          <w:spacing w:val="5"/>
          <w:w w:val="105"/>
          <w:sz w:val="13"/>
        </w:rPr>
        <w:t> </w:t>
      </w:r>
      <w:r>
        <w:rPr>
          <w:w w:val="105"/>
          <w:sz w:val="13"/>
        </w:rPr>
        <w:t>at</w:t>
      </w:r>
      <w:r>
        <w:rPr>
          <w:spacing w:val="5"/>
          <w:w w:val="105"/>
          <w:sz w:val="13"/>
        </w:rPr>
        <w:t> </w:t>
      </w:r>
      <w:r>
        <w:rPr>
          <w:spacing w:val="4"/>
          <w:w w:val="105"/>
          <w:sz w:val="13"/>
        </w:rPr>
        <w:t>VTIO</w:t>
      </w:r>
      <w:r>
        <w:rPr>
          <w:spacing w:val="5"/>
          <w:w w:val="105"/>
          <w:sz w:val="13"/>
        </w:rPr>
        <w:t> </w:t>
      </w:r>
      <w:r>
        <w:rPr>
          <w:w w:val="105"/>
          <w:sz w:val="13"/>
        </w:rPr>
        <w:t>ArborCamp2018),</w:t>
      </w:r>
      <w:r>
        <w:rPr>
          <w:spacing w:val="5"/>
          <w:w w:val="105"/>
          <w:sz w:val="13"/>
        </w:rPr>
        <w:t> </w:t>
      </w:r>
      <w:r>
        <w:rPr>
          <w:w w:val="105"/>
          <w:sz w:val="13"/>
        </w:rPr>
        <w:t>6</w:t>
      </w:r>
      <w:r>
        <w:rPr>
          <w:spacing w:val="5"/>
          <w:w w:val="105"/>
          <w:sz w:val="13"/>
        </w:rPr>
        <w:t> </w:t>
      </w:r>
      <w:r>
        <w:rPr>
          <w:spacing w:val="2"/>
          <w:w w:val="105"/>
          <w:sz w:val="13"/>
        </w:rPr>
        <w:t>(Ben</w:t>
      </w:r>
      <w:r>
        <w:rPr>
          <w:spacing w:val="5"/>
          <w:w w:val="105"/>
          <w:sz w:val="13"/>
        </w:rPr>
        <w:t> </w:t>
      </w:r>
      <w:r>
        <w:rPr>
          <w:w w:val="105"/>
          <w:sz w:val="13"/>
        </w:rPr>
        <w:t>Kenyon).</w:t>
      </w:r>
    </w:p>
    <w:p>
      <w:pPr>
        <w:pStyle w:val="ListParagraph"/>
        <w:numPr>
          <w:ilvl w:val="0"/>
          <w:numId w:val="200"/>
        </w:numPr>
        <w:tabs>
          <w:tab w:pos="1218" w:val="left" w:leader="none"/>
          <w:tab w:pos="1219" w:val="left" w:leader="none"/>
        </w:tabs>
        <w:spacing w:line="240" w:lineRule="auto" w:before="1" w:after="0"/>
        <w:ind w:left="1218" w:right="1619" w:hanging="794"/>
        <w:jc w:val="left"/>
        <w:rPr>
          <w:sz w:val="13"/>
        </w:rPr>
      </w:pPr>
      <w:r>
        <w:rPr>
          <w:w w:val="105"/>
          <w:sz w:val="13"/>
        </w:rPr>
        <w:t>Dispute Settlement Centre of Victoria, </w:t>
      </w:r>
      <w:r>
        <w:rPr>
          <w:i/>
          <w:w w:val="105"/>
          <w:sz w:val="13"/>
        </w:rPr>
        <w:t>Community Engagement Workshops </w:t>
      </w:r>
      <w:r>
        <w:rPr>
          <w:w w:val="105"/>
          <w:sz w:val="13"/>
        </w:rPr>
        <w:t>(Web Page, 21 March 2019) &lt;https://</w:t>
      </w:r>
      <w:hyperlink r:id="rId346">
        <w:r>
          <w:rPr>
            <w:w w:val="105"/>
            <w:sz w:val="13"/>
          </w:rPr>
          <w:t>www.disputes.vic.gov.au/</w:t>
        </w:r>
      </w:hyperlink>
      <w:r>
        <w:rPr>
          <w:w w:val="105"/>
          <w:sz w:val="13"/>
        </w:rPr>
        <w:t> training-and-room-hire/community-engagement-workshops&gt;.</w:t>
      </w:r>
    </w:p>
    <w:p>
      <w:pPr>
        <w:pStyle w:val="ListParagraph"/>
        <w:numPr>
          <w:ilvl w:val="0"/>
          <w:numId w:val="200"/>
        </w:numPr>
        <w:tabs>
          <w:tab w:pos="1218" w:val="left" w:leader="none"/>
          <w:tab w:pos="1219" w:val="left" w:leader="none"/>
        </w:tabs>
        <w:spacing w:line="240" w:lineRule="auto" w:before="3" w:after="0"/>
        <w:ind w:left="1218" w:right="0" w:hanging="794"/>
        <w:jc w:val="left"/>
        <w:rPr>
          <w:sz w:val="13"/>
        </w:rPr>
      </w:pPr>
      <w:r>
        <w:rPr>
          <w:w w:val="105"/>
          <w:sz w:val="13"/>
        </w:rPr>
        <w:t>Consultations</w:t>
      </w:r>
      <w:r>
        <w:rPr>
          <w:spacing w:val="5"/>
          <w:w w:val="105"/>
          <w:sz w:val="13"/>
        </w:rPr>
        <w:t> </w:t>
      </w:r>
      <w:r>
        <w:rPr>
          <w:w w:val="105"/>
          <w:sz w:val="13"/>
        </w:rPr>
        <w:t>8</w:t>
      </w:r>
      <w:r>
        <w:rPr>
          <w:spacing w:val="5"/>
          <w:w w:val="105"/>
          <w:sz w:val="13"/>
        </w:rPr>
        <w:t> </w:t>
      </w:r>
      <w:r>
        <w:rPr>
          <w:w w:val="105"/>
          <w:sz w:val="13"/>
        </w:rPr>
        <w:t>(City</w:t>
      </w:r>
      <w:r>
        <w:rPr>
          <w:spacing w:val="6"/>
          <w:w w:val="105"/>
          <w:sz w:val="13"/>
        </w:rPr>
        <w:t> </w:t>
      </w:r>
      <w:r>
        <w:rPr>
          <w:w w:val="105"/>
          <w:sz w:val="13"/>
        </w:rPr>
        <w:t>of</w:t>
      </w:r>
      <w:r>
        <w:rPr>
          <w:spacing w:val="5"/>
          <w:w w:val="105"/>
          <w:sz w:val="13"/>
        </w:rPr>
        <w:t> </w:t>
      </w:r>
      <w:r>
        <w:rPr>
          <w:w w:val="105"/>
          <w:sz w:val="13"/>
        </w:rPr>
        <w:t>Boroondara),</w:t>
      </w:r>
      <w:r>
        <w:rPr>
          <w:spacing w:val="6"/>
          <w:w w:val="105"/>
          <w:sz w:val="13"/>
        </w:rPr>
        <w:t> </w:t>
      </w:r>
      <w:r>
        <w:rPr>
          <w:w w:val="105"/>
          <w:sz w:val="13"/>
        </w:rPr>
        <w:t>9</w:t>
      </w:r>
      <w:r>
        <w:rPr>
          <w:spacing w:val="5"/>
          <w:w w:val="105"/>
          <w:sz w:val="13"/>
        </w:rPr>
        <w:t> </w:t>
      </w:r>
      <w:r>
        <w:rPr>
          <w:w w:val="105"/>
          <w:sz w:val="13"/>
        </w:rPr>
        <w:t>(Nillumbik</w:t>
      </w:r>
      <w:r>
        <w:rPr>
          <w:spacing w:val="5"/>
          <w:w w:val="105"/>
          <w:sz w:val="13"/>
        </w:rPr>
        <w:t> </w:t>
      </w:r>
      <w:r>
        <w:rPr>
          <w:w w:val="105"/>
          <w:sz w:val="13"/>
        </w:rPr>
        <w:t>Shire</w:t>
      </w:r>
      <w:r>
        <w:rPr>
          <w:spacing w:val="6"/>
          <w:w w:val="105"/>
          <w:sz w:val="13"/>
        </w:rPr>
        <w:t> </w:t>
      </w:r>
      <w:r>
        <w:rPr>
          <w:w w:val="105"/>
          <w:sz w:val="13"/>
        </w:rPr>
        <w:t>Council),</w:t>
      </w:r>
      <w:r>
        <w:rPr>
          <w:spacing w:val="5"/>
          <w:w w:val="105"/>
          <w:sz w:val="13"/>
        </w:rPr>
        <w:t> </w:t>
      </w:r>
      <w:r>
        <w:rPr>
          <w:w w:val="105"/>
          <w:sz w:val="13"/>
        </w:rPr>
        <w:t>10</w:t>
      </w:r>
      <w:r>
        <w:rPr>
          <w:spacing w:val="6"/>
          <w:w w:val="105"/>
          <w:sz w:val="13"/>
        </w:rPr>
        <w:t> </w:t>
      </w:r>
      <w:r>
        <w:rPr>
          <w:spacing w:val="2"/>
          <w:w w:val="105"/>
          <w:sz w:val="13"/>
        </w:rPr>
        <w:t>(Baw</w:t>
      </w:r>
      <w:r>
        <w:rPr>
          <w:spacing w:val="5"/>
          <w:w w:val="105"/>
          <w:sz w:val="13"/>
        </w:rPr>
        <w:t> </w:t>
      </w:r>
      <w:r>
        <w:rPr>
          <w:w w:val="105"/>
          <w:sz w:val="13"/>
        </w:rPr>
        <w:t>Baw</w:t>
      </w:r>
      <w:r>
        <w:rPr>
          <w:spacing w:val="5"/>
          <w:w w:val="105"/>
          <w:sz w:val="13"/>
        </w:rPr>
        <w:t> </w:t>
      </w:r>
      <w:r>
        <w:rPr>
          <w:w w:val="105"/>
          <w:sz w:val="13"/>
        </w:rPr>
        <w:t>Shire</w:t>
      </w:r>
      <w:r>
        <w:rPr>
          <w:spacing w:val="6"/>
          <w:w w:val="105"/>
          <w:sz w:val="13"/>
        </w:rPr>
        <w:t> </w:t>
      </w:r>
      <w:r>
        <w:rPr>
          <w:w w:val="105"/>
          <w:sz w:val="13"/>
        </w:rPr>
        <w:t>Council),</w:t>
      </w:r>
      <w:r>
        <w:rPr>
          <w:spacing w:val="5"/>
          <w:w w:val="105"/>
          <w:sz w:val="13"/>
        </w:rPr>
        <w:t> </w:t>
      </w:r>
      <w:r>
        <w:rPr>
          <w:spacing w:val="-4"/>
          <w:w w:val="105"/>
          <w:sz w:val="13"/>
        </w:rPr>
        <w:t>12</w:t>
      </w:r>
      <w:r>
        <w:rPr>
          <w:spacing w:val="6"/>
          <w:w w:val="105"/>
          <w:sz w:val="13"/>
        </w:rPr>
        <w:t> </w:t>
      </w:r>
      <w:r>
        <w:rPr>
          <w:w w:val="105"/>
          <w:sz w:val="13"/>
        </w:rPr>
        <w:t>(City</w:t>
      </w:r>
      <w:r>
        <w:rPr>
          <w:spacing w:val="5"/>
          <w:w w:val="105"/>
          <w:sz w:val="13"/>
        </w:rPr>
        <w:t> </w:t>
      </w:r>
      <w:r>
        <w:rPr>
          <w:w w:val="105"/>
          <w:sz w:val="13"/>
        </w:rPr>
        <w:t>of</w:t>
      </w:r>
      <w:r>
        <w:rPr>
          <w:spacing w:val="5"/>
          <w:w w:val="105"/>
          <w:sz w:val="13"/>
        </w:rPr>
        <w:t> </w:t>
      </w:r>
      <w:r>
        <w:rPr>
          <w:w w:val="105"/>
          <w:sz w:val="13"/>
        </w:rPr>
        <w:t>Port</w:t>
      </w:r>
      <w:r>
        <w:rPr>
          <w:spacing w:val="6"/>
          <w:w w:val="105"/>
          <w:sz w:val="13"/>
        </w:rPr>
        <w:t> </w:t>
      </w:r>
      <w:r>
        <w:rPr>
          <w:w w:val="105"/>
          <w:sz w:val="13"/>
        </w:rPr>
        <w:t>Phillip).</w:t>
      </w:r>
    </w:p>
    <w:p>
      <w:pPr>
        <w:pStyle w:val="ListParagraph"/>
        <w:numPr>
          <w:ilvl w:val="0"/>
          <w:numId w:val="200"/>
        </w:numPr>
        <w:tabs>
          <w:tab w:pos="1218" w:val="left" w:leader="none"/>
          <w:tab w:pos="1219" w:val="left" w:leader="none"/>
        </w:tabs>
        <w:spacing w:line="240" w:lineRule="auto" w:before="1" w:after="0"/>
        <w:ind w:left="1218" w:right="0" w:hanging="793"/>
        <w:jc w:val="left"/>
        <w:rPr>
          <w:sz w:val="13"/>
        </w:rPr>
      </w:pPr>
      <w:r>
        <w:rPr>
          <w:w w:val="105"/>
          <w:sz w:val="13"/>
        </w:rPr>
        <w:t>Consultation </w:t>
      </w:r>
      <w:r>
        <w:rPr>
          <w:spacing w:val="-4"/>
          <w:w w:val="105"/>
          <w:sz w:val="13"/>
        </w:rPr>
        <w:t>12 </w:t>
      </w:r>
      <w:r>
        <w:rPr>
          <w:w w:val="105"/>
          <w:sz w:val="13"/>
        </w:rPr>
        <w:t>(City of Port Phillip).</w:t>
      </w:r>
    </w:p>
    <w:p>
      <w:pPr>
        <w:pStyle w:val="ListParagraph"/>
        <w:numPr>
          <w:ilvl w:val="0"/>
          <w:numId w:val="200"/>
        </w:numPr>
        <w:tabs>
          <w:tab w:pos="1218" w:val="left" w:leader="none"/>
          <w:tab w:pos="1219" w:val="left" w:leader="none"/>
        </w:tabs>
        <w:spacing w:line="240" w:lineRule="auto" w:before="2" w:after="0"/>
        <w:ind w:left="1218" w:right="2114" w:hanging="793"/>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 2015)</w:t>
      </w:r>
      <w:r>
        <w:rPr>
          <w:spacing w:val="9"/>
          <w:w w:val="105"/>
          <w:sz w:val="13"/>
        </w:rPr>
        <w:t> </w:t>
      </w:r>
      <w:r>
        <w:rPr>
          <w:w w:val="105"/>
          <w:sz w:val="13"/>
        </w:rPr>
        <w:t>[3.126].</w:t>
      </w:r>
    </w:p>
    <w:p>
      <w:pPr>
        <w:spacing w:after="0" w:line="240" w:lineRule="auto"/>
        <w:jc w:val="left"/>
        <w:rPr>
          <w:sz w:val="13"/>
        </w:rPr>
        <w:sectPr>
          <w:type w:val="continuous"/>
          <w:pgSz w:w="11910" w:h="16840"/>
          <w:pgMar w:top="300" w:bottom="280" w:left="0" w:right="0"/>
          <w:cols w:num="2" w:equalWidth="0">
            <w:col w:w="1123" w:space="40"/>
            <w:col w:w="10747"/>
          </w:cols>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669" w:hanging="794"/>
        <w:jc w:val="left"/>
        <w:rPr>
          <w:sz w:val="21"/>
        </w:rPr>
      </w:pPr>
      <w:bookmarkStart w:name="_bookmark159" w:id="342"/>
      <w:bookmarkEnd w:id="342"/>
      <w:r>
        <w:rPr/>
      </w:r>
      <w:bookmarkStart w:name="_bookmark159" w:id="343"/>
      <w:bookmarkEnd w:id="343"/>
      <w:r>
        <w:rPr>
          <w:spacing w:val="-4"/>
          <w:w w:val="105"/>
          <w:sz w:val="21"/>
        </w:rPr>
        <w:t>C</w:t>
      </w:r>
      <w:r>
        <w:rPr>
          <w:spacing w:val="-4"/>
          <w:w w:val="105"/>
          <w:sz w:val="21"/>
        </w:rPr>
        <w:t>ouncils </w:t>
      </w:r>
      <w:r>
        <w:rPr>
          <w:w w:val="105"/>
          <w:sz w:val="21"/>
        </w:rPr>
        <w:t>with local tree protection laws should </w:t>
      </w:r>
      <w:r>
        <w:rPr>
          <w:spacing w:val="-3"/>
          <w:w w:val="105"/>
          <w:sz w:val="21"/>
        </w:rPr>
        <w:t>ensure </w:t>
      </w:r>
      <w:r>
        <w:rPr>
          <w:w w:val="105"/>
          <w:sz w:val="21"/>
        </w:rPr>
        <w:t>there is </w:t>
      </w:r>
      <w:r>
        <w:rPr>
          <w:spacing w:val="-3"/>
          <w:w w:val="105"/>
          <w:sz w:val="21"/>
        </w:rPr>
        <w:t>publicly accessible information </w:t>
      </w:r>
      <w:r>
        <w:rPr>
          <w:w w:val="105"/>
          <w:sz w:val="21"/>
        </w:rPr>
        <w:t>about these laws on </w:t>
      </w:r>
      <w:r>
        <w:rPr>
          <w:spacing w:val="-3"/>
          <w:w w:val="105"/>
          <w:sz w:val="21"/>
        </w:rPr>
        <w:t>council websites. </w:t>
      </w:r>
      <w:r>
        <w:rPr>
          <w:w w:val="105"/>
          <w:sz w:val="21"/>
        </w:rPr>
        <w:t>This </w:t>
      </w:r>
      <w:r>
        <w:rPr>
          <w:spacing w:val="-3"/>
          <w:w w:val="105"/>
          <w:sz w:val="21"/>
        </w:rPr>
        <w:t>information, </w:t>
      </w:r>
      <w:r>
        <w:rPr>
          <w:w w:val="105"/>
          <w:sz w:val="21"/>
        </w:rPr>
        <w:t>even when </w:t>
      </w:r>
      <w:r>
        <w:rPr>
          <w:spacing w:val="-3"/>
          <w:w w:val="105"/>
          <w:sz w:val="21"/>
        </w:rPr>
        <w:t>available </w:t>
      </w:r>
      <w:r>
        <w:rPr>
          <w:w w:val="105"/>
          <w:sz w:val="21"/>
        </w:rPr>
        <w:t>on </w:t>
      </w:r>
      <w:r>
        <w:rPr>
          <w:spacing w:val="-3"/>
          <w:w w:val="105"/>
          <w:sz w:val="21"/>
        </w:rPr>
        <w:t>websites, </w:t>
      </w:r>
      <w:r>
        <w:rPr>
          <w:w w:val="105"/>
          <w:sz w:val="21"/>
        </w:rPr>
        <w:t>is often </w:t>
      </w:r>
      <w:r>
        <w:rPr>
          <w:spacing w:val="-3"/>
          <w:w w:val="105"/>
          <w:sz w:val="21"/>
        </w:rPr>
        <w:t>hard to </w:t>
      </w:r>
      <w:r>
        <w:rPr>
          <w:w w:val="105"/>
          <w:sz w:val="21"/>
        </w:rPr>
        <w:t>find. The </w:t>
      </w:r>
      <w:r>
        <w:rPr>
          <w:spacing w:val="-3"/>
          <w:w w:val="105"/>
          <w:sz w:val="21"/>
        </w:rPr>
        <w:t>City </w:t>
      </w:r>
      <w:r>
        <w:rPr>
          <w:w w:val="105"/>
          <w:sz w:val="21"/>
        </w:rPr>
        <w:t>of Port </w:t>
      </w:r>
      <w:r>
        <w:rPr>
          <w:spacing w:val="-3"/>
          <w:w w:val="105"/>
          <w:sz w:val="21"/>
        </w:rPr>
        <w:t>Phillip </w:t>
      </w:r>
      <w:r>
        <w:rPr>
          <w:spacing w:val="-2"/>
          <w:w w:val="105"/>
          <w:sz w:val="21"/>
        </w:rPr>
        <w:t>has </w:t>
      </w:r>
      <w:r>
        <w:rPr>
          <w:spacing w:val="-3"/>
          <w:w w:val="105"/>
          <w:sz w:val="21"/>
        </w:rPr>
        <w:t>published </w:t>
      </w:r>
      <w:r>
        <w:rPr>
          <w:w w:val="105"/>
          <w:sz w:val="21"/>
        </w:rPr>
        <w:t>a factsheet about local</w:t>
      </w:r>
      <w:r>
        <w:rPr>
          <w:spacing w:val="-7"/>
          <w:w w:val="105"/>
          <w:sz w:val="21"/>
        </w:rPr>
        <w:t> </w:t>
      </w:r>
      <w:r>
        <w:rPr>
          <w:w w:val="105"/>
          <w:sz w:val="21"/>
        </w:rPr>
        <w:t>tree</w:t>
      </w:r>
      <w:r>
        <w:rPr>
          <w:spacing w:val="-7"/>
          <w:w w:val="105"/>
          <w:sz w:val="21"/>
        </w:rPr>
        <w:t> </w:t>
      </w:r>
      <w:r>
        <w:rPr>
          <w:w w:val="105"/>
          <w:sz w:val="21"/>
        </w:rPr>
        <w:t>protection</w:t>
      </w:r>
      <w:r>
        <w:rPr>
          <w:spacing w:val="-7"/>
          <w:w w:val="105"/>
          <w:sz w:val="21"/>
        </w:rPr>
        <w:t> </w:t>
      </w:r>
      <w:r>
        <w:rPr>
          <w:w w:val="105"/>
          <w:sz w:val="21"/>
        </w:rPr>
        <w:t>laws.</w:t>
      </w:r>
      <w:r>
        <w:rPr>
          <w:spacing w:val="-7"/>
          <w:w w:val="105"/>
          <w:sz w:val="21"/>
        </w:rPr>
        <w:t> </w:t>
      </w:r>
      <w:r>
        <w:rPr>
          <w:w w:val="105"/>
          <w:sz w:val="21"/>
        </w:rPr>
        <w:t>This</w:t>
      </w:r>
      <w:r>
        <w:rPr>
          <w:spacing w:val="-7"/>
          <w:w w:val="105"/>
          <w:sz w:val="21"/>
        </w:rPr>
        <w:t> </w:t>
      </w:r>
      <w:r>
        <w:rPr>
          <w:w w:val="105"/>
          <w:sz w:val="21"/>
        </w:rPr>
        <w:t>is</w:t>
      </w:r>
      <w:r>
        <w:rPr>
          <w:spacing w:val="-7"/>
          <w:w w:val="105"/>
          <w:sz w:val="21"/>
        </w:rPr>
        <w:t> </w:t>
      </w:r>
      <w:r>
        <w:rPr>
          <w:w w:val="105"/>
          <w:sz w:val="21"/>
        </w:rPr>
        <w:t>a</w:t>
      </w:r>
      <w:r>
        <w:rPr>
          <w:spacing w:val="-7"/>
          <w:w w:val="105"/>
          <w:sz w:val="21"/>
        </w:rPr>
        <w:t> </w:t>
      </w:r>
      <w:r>
        <w:rPr>
          <w:w w:val="105"/>
          <w:sz w:val="21"/>
        </w:rPr>
        <w:t>good</w:t>
      </w:r>
      <w:r>
        <w:rPr>
          <w:spacing w:val="-7"/>
          <w:w w:val="105"/>
          <w:sz w:val="21"/>
        </w:rPr>
        <w:t> </w:t>
      </w:r>
      <w:r>
        <w:rPr>
          <w:w w:val="105"/>
          <w:sz w:val="21"/>
        </w:rPr>
        <w:t>example</w:t>
      </w:r>
      <w:r>
        <w:rPr>
          <w:spacing w:val="-7"/>
          <w:w w:val="105"/>
          <w:sz w:val="21"/>
        </w:rPr>
        <w:t> </w:t>
      </w:r>
      <w:r>
        <w:rPr>
          <w:w w:val="105"/>
          <w:sz w:val="21"/>
        </w:rPr>
        <w:t>of</w:t>
      </w:r>
      <w:r>
        <w:rPr>
          <w:spacing w:val="-7"/>
          <w:w w:val="105"/>
          <w:sz w:val="21"/>
        </w:rPr>
        <w:t> </w:t>
      </w:r>
      <w:r>
        <w:rPr>
          <w:w w:val="105"/>
          <w:sz w:val="21"/>
        </w:rPr>
        <w:t>the</w:t>
      </w:r>
      <w:r>
        <w:rPr>
          <w:spacing w:val="-7"/>
          <w:w w:val="105"/>
          <w:sz w:val="21"/>
        </w:rPr>
        <w:t> </w:t>
      </w:r>
      <w:r>
        <w:rPr>
          <w:spacing w:val="-3"/>
          <w:w w:val="105"/>
          <w:sz w:val="21"/>
        </w:rPr>
        <w:t>information</w:t>
      </w:r>
      <w:r>
        <w:rPr>
          <w:spacing w:val="-7"/>
          <w:w w:val="105"/>
          <w:sz w:val="21"/>
        </w:rPr>
        <w:t> </w:t>
      </w:r>
      <w:r>
        <w:rPr>
          <w:spacing w:val="-3"/>
          <w:w w:val="105"/>
          <w:sz w:val="21"/>
        </w:rPr>
        <w:t>that</w:t>
      </w:r>
      <w:r>
        <w:rPr>
          <w:spacing w:val="-7"/>
          <w:w w:val="105"/>
          <w:sz w:val="21"/>
        </w:rPr>
        <w:t> </w:t>
      </w:r>
      <w:r>
        <w:rPr>
          <w:w w:val="105"/>
          <w:sz w:val="21"/>
        </w:rPr>
        <w:t>should</w:t>
      </w:r>
      <w:r>
        <w:rPr>
          <w:spacing w:val="-7"/>
          <w:w w:val="105"/>
          <w:sz w:val="21"/>
        </w:rPr>
        <w:t> </w:t>
      </w:r>
      <w:r>
        <w:rPr>
          <w:w w:val="105"/>
          <w:sz w:val="21"/>
        </w:rPr>
        <w:t>be</w:t>
      </w:r>
      <w:r>
        <w:rPr>
          <w:spacing w:val="-7"/>
          <w:w w:val="105"/>
          <w:sz w:val="21"/>
        </w:rPr>
        <w:t> </w:t>
      </w:r>
      <w:r>
        <w:rPr>
          <w:w w:val="105"/>
          <w:sz w:val="21"/>
        </w:rPr>
        <w:t>more widely</w:t>
      </w:r>
      <w:r>
        <w:rPr>
          <w:spacing w:val="5"/>
          <w:w w:val="105"/>
          <w:sz w:val="21"/>
        </w:rPr>
        <w:t> </w:t>
      </w:r>
      <w:r>
        <w:rPr>
          <w:spacing w:val="-3"/>
          <w:w w:val="105"/>
          <w:sz w:val="21"/>
        </w:rPr>
        <w:t>available.</w:t>
      </w:r>
      <w:r>
        <w:rPr>
          <w:spacing w:val="-3"/>
          <w:w w:val="105"/>
          <w:position w:val="7"/>
          <w:sz w:val="12"/>
        </w:rPr>
        <w:t>99</w:t>
      </w:r>
    </w:p>
    <w:p>
      <w:pPr>
        <w:pStyle w:val="Heading7"/>
        <w:spacing w:before="156"/>
      </w:pPr>
      <w:r>
        <w:rPr>
          <w:w w:val="115"/>
        </w:rPr>
        <w:t>Guidance about hiring an arborist</w:t>
      </w:r>
    </w:p>
    <w:p>
      <w:pPr>
        <w:pStyle w:val="ListParagraph"/>
        <w:numPr>
          <w:ilvl w:val="1"/>
          <w:numId w:val="16"/>
        </w:numPr>
        <w:tabs>
          <w:tab w:pos="2380" w:val="left" w:leader="none"/>
          <w:tab w:pos="2381" w:val="left" w:leader="none"/>
        </w:tabs>
        <w:spacing w:line="242" w:lineRule="auto" w:before="143" w:after="0"/>
        <w:ind w:left="2381" w:right="1670" w:hanging="794"/>
        <w:jc w:val="left"/>
        <w:rPr>
          <w:sz w:val="21"/>
        </w:rPr>
      </w:pPr>
      <w:r>
        <w:rPr>
          <w:w w:val="105"/>
          <w:sz w:val="21"/>
        </w:rPr>
        <w:t>The </w:t>
      </w:r>
      <w:r>
        <w:rPr>
          <w:spacing w:val="-3"/>
          <w:w w:val="105"/>
          <w:sz w:val="21"/>
        </w:rPr>
        <w:t>Commission </w:t>
      </w:r>
      <w:r>
        <w:rPr>
          <w:w w:val="105"/>
          <w:sz w:val="21"/>
        </w:rPr>
        <w:t>was told </w:t>
      </w:r>
      <w:r>
        <w:rPr>
          <w:spacing w:val="-3"/>
          <w:w w:val="105"/>
          <w:sz w:val="21"/>
        </w:rPr>
        <w:t>that councils regularly </w:t>
      </w:r>
      <w:r>
        <w:rPr>
          <w:w w:val="105"/>
          <w:sz w:val="21"/>
        </w:rPr>
        <w:t>employ arborists </w:t>
      </w:r>
      <w:r>
        <w:rPr>
          <w:spacing w:val="-3"/>
          <w:w w:val="105"/>
          <w:sz w:val="21"/>
        </w:rPr>
        <w:t>to </w:t>
      </w:r>
      <w:r>
        <w:rPr>
          <w:w w:val="105"/>
          <w:sz w:val="21"/>
        </w:rPr>
        <w:t>protect, </w:t>
      </w:r>
      <w:r>
        <w:rPr>
          <w:spacing w:val="-3"/>
          <w:w w:val="105"/>
          <w:sz w:val="21"/>
        </w:rPr>
        <w:t>maintain </w:t>
      </w:r>
      <w:r>
        <w:rPr>
          <w:w w:val="105"/>
          <w:sz w:val="21"/>
        </w:rPr>
        <w:t>and </w:t>
      </w:r>
      <w:r>
        <w:rPr>
          <w:spacing w:val="-3"/>
          <w:w w:val="105"/>
          <w:sz w:val="21"/>
        </w:rPr>
        <w:t>plant </w:t>
      </w:r>
      <w:r>
        <w:rPr>
          <w:w w:val="105"/>
          <w:sz w:val="21"/>
        </w:rPr>
        <w:t>new trees on </w:t>
      </w:r>
      <w:r>
        <w:rPr>
          <w:spacing w:val="-3"/>
          <w:w w:val="105"/>
          <w:sz w:val="21"/>
        </w:rPr>
        <w:t>public </w:t>
      </w:r>
      <w:r>
        <w:rPr>
          <w:spacing w:val="-4"/>
          <w:w w:val="105"/>
          <w:sz w:val="21"/>
        </w:rPr>
        <w:t>land.</w:t>
      </w:r>
      <w:r>
        <w:rPr>
          <w:spacing w:val="-4"/>
          <w:w w:val="105"/>
          <w:position w:val="7"/>
          <w:sz w:val="12"/>
        </w:rPr>
        <w:t>100 </w:t>
      </w:r>
      <w:r>
        <w:rPr>
          <w:spacing w:val="-4"/>
          <w:w w:val="105"/>
          <w:sz w:val="21"/>
        </w:rPr>
        <w:t>Councils </w:t>
      </w:r>
      <w:r>
        <w:rPr>
          <w:spacing w:val="-3"/>
          <w:w w:val="105"/>
          <w:sz w:val="21"/>
        </w:rPr>
        <w:t>are well </w:t>
      </w:r>
      <w:r>
        <w:rPr>
          <w:spacing w:val="-2"/>
          <w:w w:val="105"/>
          <w:sz w:val="21"/>
        </w:rPr>
        <w:t>placed </w:t>
      </w:r>
      <w:r>
        <w:rPr>
          <w:spacing w:val="-3"/>
          <w:w w:val="105"/>
          <w:sz w:val="21"/>
        </w:rPr>
        <w:t>to </w:t>
      </w:r>
      <w:r>
        <w:rPr>
          <w:w w:val="105"/>
          <w:sz w:val="21"/>
        </w:rPr>
        <w:t>give local residents </w:t>
      </w:r>
      <w:r>
        <w:rPr>
          <w:spacing w:val="-3"/>
          <w:w w:val="105"/>
          <w:sz w:val="21"/>
        </w:rPr>
        <w:t>information </w:t>
      </w:r>
      <w:r>
        <w:rPr>
          <w:w w:val="105"/>
          <w:sz w:val="21"/>
        </w:rPr>
        <w:t>about what </w:t>
      </w:r>
      <w:r>
        <w:rPr>
          <w:spacing w:val="-3"/>
          <w:w w:val="105"/>
          <w:sz w:val="21"/>
        </w:rPr>
        <w:t>to </w:t>
      </w:r>
      <w:r>
        <w:rPr>
          <w:w w:val="105"/>
          <w:sz w:val="21"/>
        </w:rPr>
        <w:t>look </w:t>
      </w:r>
      <w:r>
        <w:rPr>
          <w:spacing w:val="-3"/>
          <w:w w:val="105"/>
          <w:sz w:val="21"/>
        </w:rPr>
        <w:t>for </w:t>
      </w:r>
      <w:r>
        <w:rPr>
          <w:w w:val="105"/>
          <w:sz w:val="21"/>
        </w:rPr>
        <w:t>in an arborist; how arborists can help with </w:t>
      </w:r>
      <w:r>
        <w:rPr>
          <w:spacing w:val="-2"/>
          <w:w w:val="105"/>
          <w:sz w:val="21"/>
        </w:rPr>
        <w:t>disputes; </w:t>
      </w:r>
      <w:r>
        <w:rPr>
          <w:w w:val="105"/>
          <w:sz w:val="21"/>
        </w:rPr>
        <w:t>and arborists’ </w:t>
      </w:r>
      <w:r>
        <w:rPr>
          <w:spacing w:val="-2"/>
          <w:w w:val="105"/>
          <w:sz w:val="21"/>
        </w:rPr>
        <w:t>qualification </w:t>
      </w:r>
      <w:r>
        <w:rPr>
          <w:spacing w:val="-3"/>
          <w:w w:val="105"/>
          <w:sz w:val="21"/>
        </w:rPr>
        <w:t>levels. </w:t>
      </w:r>
      <w:r>
        <w:rPr>
          <w:w w:val="105"/>
          <w:sz w:val="21"/>
        </w:rPr>
        <w:t>Some </w:t>
      </w:r>
      <w:r>
        <w:rPr>
          <w:spacing w:val="-3"/>
          <w:w w:val="105"/>
          <w:sz w:val="21"/>
        </w:rPr>
        <w:t>councils already </w:t>
      </w:r>
      <w:r>
        <w:rPr>
          <w:w w:val="105"/>
          <w:sz w:val="21"/>
        </w:rPr>
        <w:t>provide good </w:t>
      </w:r>
      <w:r>
        <w:rPr>
          <w:spacing w:val="-3"/>
          <w:w w:val="105"/>
          <w:sz w:val="21"/>
        </w:rPr>
        <w:t>information </w:t>
      </w:r>
      <w:r>
        <w:rPr>
          <w:w w:val="105"/>
          <w:sz w:val="21"/>
        </w:rPr>
        <w:t>and this </w:t>
      </w:r>
      <w:r>
        <w:rPr>
          <w:spacing w:val="-3"/>
          <w:w w:val="105"/>
          <w:sz w:val="21"/>
        </w:rPr>
        <w:t>could </w:t>
      </w:r>
      <w:r>
        <w:rPr>
          <w:w w:val="105"/>
          <w:sz w:val="21"/>
        </w:rPr>
        <w:t>be </w:t>
      </w:r>
      <w:r>
        <w:rPr>
          <w:spacing w:val="-3"/>
          <w:w w:val="105"/>
          <w:sz w:val="21"/>
        </w:rPr>
        <w:t>supplemented </w:t>
      </w:r>
      <w:r>
        <w:rPr>
          <w:w w:val="105"/>
          <w:sz w:val="21"/>
        </w:rPr>
        <w:t>with a </w:t>
      </w:r>
      <w:r>
        <w:rPr>
          <w:spacing w:val="-3"/>
          <w:w w:val="105"/>
          <w:sz w:val="21"/>
        </w:rPr>
        <w:t>link to Arboriculture Australia that could </w:t>
      </w:r>
      <w:r>
        <w:rPr>
          <w:w w:val="105"/>
          <w:sz w:val="21"/>
        </w:rPr>
        <w:t>provide </w:t>
      </w:r>
      <w:r>
        <w:rPr>
          <w:spacing w:val="-3"/>
          <w:w w:val="105"/>
          <w:sz w:val="21"/>
        </w:rPr>
        <w:t>easily accessible information </w:t>
      </w:r>
      <w:r>
        <w:rPr>
          <w:w w:val="105"/>
          <w:sz w:val="21"/>
        </w:rPr>
        <w:t>about qualification</w:t>
      </w:r>
      <w:r>
        <w:rPr>
          <w:spacing w:val="22"/>
          <w:w w:val="105"/>
          <w:sz w:val="21"/>
        </w:rPr>
        <w:t> </w:t>
      </w:r>
      <w:r>
        <w:rPr>
          <w:spacing w:val="-3"/>
          <w:w w:val="105"/>
          <w:sz w:val="21"/>
        </w:rPr>
        <w:t>levels.</w:t>
      </w:r>
    </w:p>
    <w:p>
      <w:pPr>
        <w:pStyle w:val="BodyText"/>
        <w:spacing w:before="7"/>
        <w:rPr>
          <w:sz w:val="20"/>
        </w:rPr>
      </w:pPr>
    </w:p>
    <w:p>
      <w:pPr>
        <w:pStyle w:val="Heading5"/>
      </w:pPr>
      <w:r>
        <w:rPr>
          <w:w w:val="110"/>
        </w:rPr>
        <w:t>Further community education</w:t>
      </w:r>
    </w:p>
    <w:p>
      <w:pPr>
        <w:pStyle w:val="ListParagraph"/>
        <w:numPr>
          <w:ilvl w:val="1"/>
          <w:numId w:val="16"/>
        </w:numPr>
        <w:tabs>
          <w:tab w:pos="2381" w:val="left" w:leader="none"/>
          <w:tab w:pos="2382" w:val="left" w:leader="none"/>
        </w:tabs>
        <w:spacing w:line="242" w:lineRule="auto" w:before="138" w:after="0"/>
        <w:ind w:left="2381" w:right="1701" w:hanging="794"/>
        <w:jc w:val="left"/>
        <w:rPr>
          <w:sz w:val="21"/>
        </w:rPr>
      </w:pPr>
      <w:r>
        <w:rPr>
          <w:w w:val="105"/>
          <w:sz w:val="21"/>
        </w:rPr>
        <w:t>The proposed Act </w:t>
      </w:r>
      <w:r>
        <w:rPr>
          <w:spacing w:val="-3"/>
          <w:w w:val="105"/>
          <w:sz w:val="21"/>
        </w:rPr>
        <w:t>will </w:t>
      </w:r>
      <w:r>
        <w:rPr>
          <w:spacing w:val="-2"/>
          <w:w w:val="105"/>
          <w:sz w:val="21"/>
        </w:rPr>
        <w:t>not </w:t>
      </w:r>
      <w:r>
        <w:rPr>
          <w:w w:val="105"/>
          <w:sz w:val="21"/>
        </w:rPr>
        <w:t>only impact the parties </w:t>
      </w:r>
      <w:r>
        <w:rPr>
          <w:spacing w:val="-3"/>
          <w:w w:val="105"/>
          <w:sz w:val="21"/>
        </w:rPr>
        <w:t>to </w:t>
      </w:r>
      <w:r>
        <w:rPr>
          <w:w w:val="105"/>
          <w:sz w:val="21"/>
        </w:rPr>
        <w:t>a </w:t>
      </w:r>
      <w:r>
        <w:rPr>
          <w:spacing w:val="-3"/>
          <w:w w:val="105"/>
          <w:sz w:val="21"/>
        </w:rPr>
        <w:t>dispute </w:t>
      </w:r>
      <w:r>
        <w:rPr>
          <w:w w:val="105"/>
          <w:sz w:val="21"/>
        </w:rPr>
        <w:t>but also </w:t>
      </w:r>
      <w:r>
        <w:rPr>
          <w:spacing w:val="-3"/>
          <w:w w:val="105"/>
          <w:sz w:val="21"/>
        </w:rPr>
        <w:t>professional </w:t>
      </w:r>
      <w:r>
        <w:rPr>
          <w:w w:val="105"/>
          <w:sz w:val="21"/>
        </w:rPr>
        <w:t>bodies, in particular arborists. For </w:t>
      </w:r>
      <w:r>
        <w:rPr>
          <w:spacing w:val="-3"/>
          <w:w w:val="105"/>
          <w:sz w:val="21"/>
        </w:rPr>
        <w:t>example, </w:t>
      </w:r>
      <w:r>
        <w:rPr>
          <w:w w:val="105"/>
          <w:sz w:val="21"/>
        </w:rPr>
        <w:t>the new Act </w:t>
      </w:r>
      <w:r>
        <w:rPr>
          <w:spacing w:val="-3"/>
          <w:w w:val="105"/>
          <w:sz w:val="21"/>
        </w:rPr>
        <w:t>will </w:t>
      </w:r>
      <w:r>
        <w:rPr>
          <w:w w:val="105"/>
          <w:sz w:val="21"/>
        </w:rPr>
        <w:t>modify </w:t>
      </w:r>
      <w:r>
        <w:rPr>
          <w:spacing w:val="-3"/>
          <w:w w:val="105"/>
          <w:sz w:val="21"/>
        </w:rPr>
        <w:t>abatement </w:t>
      </w:r>
      <w:r>
        <w:rPr>
          <w:w w:val="105"/>
          <w:sz w:val="21"/>
        </w:rPr>
        <w:t>and </w:t>
      </w:r>
      <w:r>
        <w:rPr>
          <w:spacing w:val="-3"/>
          <w:w w:val="105"/>
          <w:sz w:val="21"/>
        </w:rPr>
        <w:t>outline </w:t>
      </w:r>
      <w:r>
        <w:rPr>
          <w:w w:val="105"/>
          <w:sz w:val="21"/>
        </w:rPr>
        <w:t>decision-making </w:t>
      </w:r>
      <w:r>
        <w:rPr>
          <w:spacing w:val="-3"/>
          <w:w w:val="105"/>
          <w:sz w:val="21"/>
        </w:rPr>
        <w:t>principles to </w:t>
      </w:r>
      <w:r>
        <w:rPr>
          <w:w w:val="105"/>
          <w:sz w:val="21"/>
        </w:rPr>
        <w:t>guide the resolution of tree </w:t>
      </w:r>
      <w:r>
        <w:rPr>
          <w:spacing w:val="-3"/>
          <w:w w:val="105"/>
          <w:sz w:val="21"/>
        </w:rPr>
        <w:t>disputes </w:t>
      </w:r>
      <w:r>
        <w:rPr>
          <w:w w:val="105"/>
          <w:sz w:val="21"/>
        </w:rPr>
        <w:t>in </w:t>
      </w:r>
      <w:r>
        <w:rPr>
          <w:spacing w:val="-5"/>
          <w:w w:val="105"/>
          <w:sz w:val="21"/>
        </w:rPr>
        <w:t>VCAT </w:t>
      </w:r>
      <w:r>
        <w:rPr>
          <w:w w:val="105"/>
          <w:sz w:val="21"/>
        </w:rPr>
        <w:t>and </w:t>
      </w:r>
      <w:r>
        <w:rPr>
          <w:spacing w:val="-3"/>
          <w:w w:val="105"/>
          <w:sz w:val="21"/>
        </w:rPr>
        <w:t>include</w:t>
      </w:r>
      <w:r>
        <w:rPr>
          <w:spacing w:val="-10"/>
          <w:w w:val="105"/>
          <w:sz w:val="21"/>
        </w:rPr>
        <w:t> </w:t>
      </w:r>
      <w:r>
        <w:rPr>
          <w:spacing w:val="-3"/>
          <w:w w:val="105"/>
          <w:sz w:val="21"/>
        </w:rPr>
        <w:t>requirements</w:t>
      </w:r>
      <w:r>
        <w:rPr>
          <w:spacing w:val="-10"/>
          <w:w w:val="105"/>
          <w:sz w:val="21"/>
        </w:rPr>
        <w:t> </w:t>
      </w:r>
      <w:r>
        <w:rPr>
          <w:spacing w:val="-3"/>
          <w:w w:val="105"/>
          <w:sz w:val="21"/>
        </w:rPr>
        <w:t>for</w:t>
      </w:r>
      <w:r>
        <w:rPr>
          <w:spacing w:val="-10"/>
          <w:w w:val="105"/>
          <w:sz w:val="21"/>
        </w:rPr>
        <w:t> </w:t>
      </w:r>
      <w:r>
        <w:rPr>
          <w:w w:val="105"/>
          <w:sz w:val="21"/>
        </w:rPr>
        <w:t>expert</w:t>
      </w:r>
      <w:r>
        <w:rPr>
          <w:spacing w:val="-10"/>
          <w:w w:val="105"/>
          <w:sz w:val="21"/>
        </w:rPr>
        <w:t> </w:t>
      </w:r>
      <w:r>
        <w:rPr>
          <w:spacing w:val="-3"/>
          <w:w w:val="105"/>
          <w:sz w:val="21"/>
        </w:rPr>
        <w:t>evidence.</w:t>
      </w:r>
      <w:r>
        <w:rPr>
          <w:spacing w:val="-10"/>
          <w:w w:val="105"/>
          <w:sz w:val="21"/>
        </w:rPr>
        <w:t> </w:t>
      </w:r>
      <w:r>
        <w:rPr>
          <w:w w:val="105"/>
          <w:sz w:val="21"/>
        </w:rPr>
        <w:t>Given</w:t>
      </w:r>
      <w:r>
        <w:rPr>
          <w:spacing w:val="-10"/>
          <w:w w:val="105"/>
          <w:sz w:val="21"/>
        </w:rPr>
        <w:t> </w:t>
      </w:r>
      <w:r>
        <w:rPr>
          <w:spacing w:val="-3"/>
          <w:w w:val="105"/>
          <w:sz w:val="21"/>
        </w:rPr>
        <w:t>that</w:t>
      </w:r>
      <w:r>
        <w:rPr>
          <w:spacing w:val="-9"/>
          <w:w w:val="105"/>
          <w:sz w:val="21"/>
        </w:rPr>
        <w:t> </w:t>
      </w:r>
      <w:r>
        <w:rPr>
          <w:w w:val="105"/>
          <w:sz w:val="21"/>
        </w:rPr>
        <w:t>arborists</w:t>
      </w:r>
      <w:r>
        <w:rPr>
          <w:spacing w:val="-10"/>
          <w:w w:val="105"/>
          <w:sz w:val="21"/>
        </w:rPr>
        <w:t> </w:t>
      </w:r>
      <w:r>
        <w:rPr>
          <w:spacing w:val="-3"/>
          <w:w w:val="105"/>
          <w:sz w:val="21"/>
        </w:rPr>
        <w:t>are</w:t>
      </w:r>
      <w:r>
        <w:rPr>
          <w:spacing w:val="-10"/>
          <w:w w:val="105"/>
          <w:sz w:val="21"/>
        </w:rPr>
        <w:t> </w:t>
      </w:r>
      <w:r>
        <w:rPr>
          <w:w w:val="105"/>
          <w:sz w:val="21"/>
        </w:rPr>
        <w:t>often</w:t>
      </w:r>
      <w:r>
        <w:rPr>
          <w:spacing w:val="-10"/>
          <w:w w:val="105"/>
          <w:sz w:val="21"/>
        </w:rPr>
        <w:t> </w:t>
      </w:r>
      <w:r>
        <w:rPr>
          <w:spacing w:val="-3"/>
          <w:w w:val="105"/>
          <w:sz w:val="21"/>
        </w:rPr>
        <w:t>involved</w:t>
      </w:r>
      <w:r>
        <w:rPr>
          <w:spacing w:val="-10"/>
          <w:w w:val="105"/>
          <w:sz w:val="21"/>
        </w:rPr>
        <w:t> </w:t>
      </w:r>
      <w:r>
        <w:rPr>
          <w:w w:val="105"/>
          <w:sz w:val="21"/>
        </w:rPr>
        <w:t>early</w:t>
      </w:r>
      <w:r>
        <w:rPr>
          <w:spacing w:val="-10"/>
          <w:w w:val="105"/>
          <w:sz w:val="21"/>
        </w:rPr>
        <w:t> </w:t>
      </w:r>
      <w:r>
        <w:rPr>
          <w:w w:val="105"/>
          <w:sz w:val="21"/>
        </w:rPr>
        <w:t>on in</w:t>
      </w:r>
      <w:r>
        <w:rPr>
          <w:spacing w:val="-8"/>
          <w:w w:val="105"/>
          <w:sz w:val="21"/>
        </w:rPr>
        <w:t> </w:t>
      </w:r>
      <w:r>
        <w:rPr>
          <w:w w:val="105"/>
          <w:sz w:val="21"/>
        </w:rPr>
        <w:t>tree</w:t>
      </w:r>
      <w:r>
        <w:rPr>
          <w:spacing w:val="-7"/>
          <w:w w:val="105"/>
          <w:sz w:val="21"/>
        </w:rPr>
        <w:t> </w:t>
      </w:r>
      <w:r>
        <w:rPr>
          <w:spacing w:val="-3"/>
          <w:w w:val="105"/>
          <w:sz w:val="21"/>
        </w:rPr>
        <w:t>disputes,</w:t>
      </w:r>
      <w:r>
        <w:rPr>
          <w:spacing w:val="-8"/>
          <w:w w:val="105"/>
          <w:sz w:val="21"/>
        </w:rPr>
        <w:t> </w:t>
      </w:r>
      <w:r>
        <w:rPr>
          <w:w w:val="105"/>
          <w:sz w:val="21"/>
        </w:rPr>
        <w:t>it</w:t>
      </w:r>
      <w:r>
        <w:rPr>
          <w:spacing w:val="-7"/>
          <w:w w:val="105"/>
          <w:sz w:val="21"/>
        </w:rPr>
        <w:t> </w:t>
      </w:r>
      <w:r>
        <w:rPr>
          <w:w w:val="105"/>
          <w:sz w:val="21"/>
        </w:rPr>
        <w:t>is</w:t>
      </w:r>
      <w:r>
        <w:rPr>
          <w:spacing w:val="-7"/>
          <w:w w:val="105"/>
          <w:sz w:val="21"/>
        </w:rPr>
        <w:t> </w:t>
      </w:r>
      <w:r>
        <w:rPr>
          <w:w w:val="105"/>
          <w:sz w:val="21"/>
        </w:rPr>
        <w:t>vital</w:t>
      </w:r>
      <w:r>
        <w:rPr>
          <w:spacing w:val="-8"/>
          <w:w w:val="105"/>
          <w:sz w:val="21"/>
        </w:rPr>
        <w:t> </w:t>
      </w:r>
      <w:r>
        <w:rPr>
          <w:spacing w:val="-3"/>
          <w:w w:val="105"/>
          <w:sz w:val="21"/>
        </w:rPr>
        <w:t>that</w:t>
      </w:r>
      <w:r>
        <w:rPr>
          <w:spacing w:val="-7"/>
          <w:w w:val="105"/>
          <w:sz w:val="21"/>
        </w:rPr>
        <w:t> </w:t>
      </w:r>
      <w:r>
        <w:rPr>
          <w:w w:val="105"/>
          <w:sz w:val="21"/>
        </w:rPr>
        <w:t>they</w:t>
      </w:r>
      <w:r>
        <w:rPr>
          <w:spacing w:val="-7"/>
          <w:w w:val="105"/>
          <w:sz w:val="21"/>
        </w:rPr>
        <w:t> </w:t>
      </w:r>
      <w:r>
        <w:rPr>
          <w:spacing w:val="-3"/>
          <w:w w:val="105"/>
          <w:sz w:val="21"/>
        </w:rPr>
        <w:t>have</w:t>
      </w:r>
      <w:r>
        <w:rPr>
          <w:spacing w:val="-8"/>
          <w:w w:val="105"/>
          <w:sz w:val="21"/>
        </w:rPr>
        <w:t> </w:t>
      </w:r>
      <w:r>
        <w:rPr>
          <w:spacing w:val="-2"/>
          <w:w w:val="105"/>
          <w:sz w:val="21"/>
        </w:rPr>
        <w:t>access</w:t>
      </w:r>
      <w:r>
        <w:rPr>
          <w:spacing w:val="-7"/>
          <w:w w:val="105"/>
          <w:sz w:val="21"/>
        </w:rPr>
        <w:t> </w:t>
      </w:r>
      <w:r>
        <w:rPr>
          <w:spacing w:val="-3"/>
          <w:w w:val="105"/>
          <w:sz w:val="21"/>
        </w:rPr>
        <w:t>to</w:t>
      </w:r>
      <w:r>
        <w:rPr>
          <w:spacing w:val="-7"/>
          <w:w w:val="105"/>
          <w:sz w:val="21"/>
        </w:rPr>
        <w:t> </w:t>
      </w:r>
      <w:r>
        <w:rPr>
          <w:spacing w:val="-3"/>
          <w:w w:val="105"/>
          <w:sz w:val="21"/>
        </w:rPr>
        <w:t>information</w:t>
      </w:r>
      <w:r>
        <w:rPr>
          <w:spacing w:val="-8"/>
          <w:w w:val="105"/>
          <w:sz w:val="21"/>
        </w:rPr>
        <w:t> </w:t>
      </w:r>
      <w:r>
        <w:rPr>
          <w:w w:val="105"/>
          <w:sz w:val="21"/>
        </w:rPr>
        <w:t>about</w:t>
      </w:r>
      <w:r>
        <w:rPr>
          <w:spacing w:val="-7"/>
          <w:w w:val="105"/>
          <w:sz w:val="21"/>
        </w:rPr>
        <w:t> </w:t>
      </w:r>
      <w:r>
        <w:rPr>
          <w:w w:val="105"/>
          <w:sz w:val="21"/>
        </w:rPr>
        <w:t>the</w:t>
      </w:r>
      <w:r>
        <w:rPr>
          <w:spacing w:val="-8"/>
          <w:w w:val="105"/>
          <w:sz w:val="21"/>
        </w:rPr>
        <w:t> </w:t>
      </w:r>
      <w:r>
        <w:rPr>
          <w:w w:val="105"/>
          <w:sz w:val="21"/>
        </w:rPr>
        <w:t>operation</w:t>
      </w:r>
      <w:r>
        <w:rPr>
          <w:spacing w:val="-7"/>
          <w:w w:val="105"/>
          <w:sz w:val="21"/>
        </w:rPr>
        <w:t> </w:t>
      </w:r>
      <w:r>
        <w:rPr>
          <w:w w:val="105"/>
          <w:sz w:val="21"/>
        </w:rPr>
        <w:t>of</w:t>
      </w:r>
      <w:r>
        <w:rPr>
          <w:spacing w:val="-7"/>
          <w:w w:val="105"/>
          <w:sz w:val="21"/>
        </w:rPr>
        <w:t> </w:t>
      </w:r>
      <w:r>
        <w:rPr>
          <w:w w:val="105"/>
          <w:sz w:val="21"/>
        </w:rPr>
        <w:t>the new</w:t>
      </w:r>
      <w:r>
        <w:rPr>
          <w:spacing w:val="5"/>
          <w:w w:val="105"/>
          <w:sz w:val="21"/>
        </w:rPr>
        <w:t> </w:t>
      </w:r>
      <w:r>
        <w:rPr>
          <w:w w:val="105"/>
          <w:sz w:val="21"/>
        </w:rPr>
        <w:t>Act.</w:t>
      </w:r>
    </w:p>
    <w:p>
      <w:pPr>
        <w:pStyle w:val="ListParagraph"/>
        <w:numPr>
          <w:ilvl w:val="1"/>
          <w:numId w:val="16"/>
        </w:numPr>
        <w:tabs>
          <w:tab w:pos="2380" w:val="left" w:leader="none"/>
          <w:tab w:pos="2381" w:val="left" w:leader="none"/>
        </w:tabs>
        <w:spacing w:line="242" w:lineRule="auto" w:before="126" w:after="0"/>
        <w:ind w:left="2381" w:right="1667" w:hanging="794"/>
        <w:jc w:val="left"/>
        <w:rPr>
          <w:sz w:val="21"/>
        </w:rPr>
      </w:pPr>
      <w:r>
        <w:rPr>
          <w:spacing w:val="-7"/>
          <w:sz w:val="21"/>
        </w:rPr>
        <w:t>To </w:t>
      </w:r>
      <w:r>
        <w:rPr>
          <w:spacing w:val="-3"/>
          <w:sz w:val="21"/>
        </w:rPr>
        <w:t>that </w:t>
      </w:r>
      <w:r>
        <w:rPr>
          <w:sz w:val="21"/>
        </w:rPr>
        <w:t>end the </w:t>
      </w:r>
      <w:r>
        <w:rPr>
          <w:spacing w:val="-3"/>
          <w:sz w:val="21"/>
        </w:rPr>
        <w:t>Commission </w:t>
      </w:r>
      <w:r>
        <w:rPr>
          <w:sz w:val="21"/>
        </w:rPr>
        <w:t>is of the view </w:t>
      </w:r>
      <w:r>
        <w:rPr>
          <w:spacing w:val="-3"/>
          <w:sz w:val="21"/>
        </w:rPr>
        <w:t>that educational </w:t>
      </w:r>
      <w:r>
        <w:rPr>
          <w:sz w:val="21"/>
        </w:rPr>
        <w:t>sessions should </w:t>
      </w:r>
      <w:r>
        <w:rPr>
          <w:spacing w:val="-3"/>
          <w:sz w:val="21"/>
        </w:rPr>
        <w:t>occur for arboricultural groups, councils, </w:t>
      </w:r>
      <w:r>
        <w:rPr>
          <w:sz w:val="21"/>
        </w:rPr>
        <w:t>DSCV and other </w:t>
      </w:r>
      <w:r>
        <w:rPr>
          <w:spacing w:val="-3"/>
          <w:sz w:val="21"/>
        </w:rPr>
        <w:t>interested organisation </w:t>
      </w:r>
      <w:r>
        <w:rPr>
          <w:sz w:val="21"/>
        </w:rPr>
        <w:t>or bodies </w:t>
      </w:r>
      <w:r>
        <w:rPr>
          <w:spacing w:val="-3"/>
          <w:sz w:val="21"/>
        </w:rPr>
        <w:t>that are </w:t>
      </w:r>
      <w:r>
        <w:rPr>
          <w:spacing w:val="-4"/>
          <w:sz w:val="21"/>
        </w:rPr>
        <w:t>likely</w:t>
      </w:r>
      <w:r>
        <w:rPr>
          <w:spacing w:val="12"/>
          <w:sz w:val="21"/>
        </w:rPr>
        <w:t> </w:t>
      </w:r>
      <w:r>
        <w:rPr>
          <w:spacing w:val="-3"/>
          <w:sz w:val="21"/>
        </w:rPr>
        <w:t>to</w:t>
      </w:r>
      <w:r>
        <w:rPr>
          <w:spacing w:val="13"/>
          <w:sz w:val="21"/>
        </w:rPr>
        <w:t> </w:t>
      </w:r>
      <w:r>
        <w:rPr>
          <w:sz w:val="21"/>
        </w:rPr>
        <w:t>be</w:t>
      </w:r>
      <w:r>
        <w:rPr>
          <w:spacing w:val="13"/>
          <w:sz w:val="21"/>
        </w:rPr>
        <w:t> </w:t>
      </w:r>
      <w:r>
        <w:rPr>
          <w:spacing w:val="-3"/>
          <w:sz w:val="21"/>
        </w:rPr>
        <w:t>involved</w:t>
      </w:r>
      <w:r>
        <w:rPr>
          <w:spacing w:val="12"/>
          <w:sz w:val="21"/>
        </w:rPr>
        <w:t> </w:t>
      </w:r>
      <w:r>
        <w:rPr>
          <w:spacing w:val="-3"/>
          <w:sz w:val="21"/>
        </w:rPr>
        <w:t>in,</w:t>
      </w:r>
      <w:r>
        <w:rPr>
          <w:spacing w:val="13"/>
          <w:sz w:val="21"/>
        </w:rPr>
        <w:t> </w:t>
      </w:r>
      <w:r>
        <w:rPr>
          <w:sz w:val="21"/>
        </w:rPr>
        <w:t>or</w:t>
      </w:r>
      <w:r>
        <w:rPr>
          <w:spacing w:val="13"/>
          <w:sz w:val="21"/>
        </w:rPr>
        <w:t> </w:t>
      </w:r>
      <w:r>
        <w:rPr>
          <w:sz w:val="21"/>
        </w:rPr>
        <w:t>contacted</w:t>
      </w:r>
      <w:r>
        <w:rPr>
          <w:spacing w:val="12"/>
          <w:sz w:val="21"/>
        </w:rPr>
        <w:t> </w:t>
      </w:r>
      <w:r>
        <w:rPr>
          <w:spacing w:val="-3"/>
          <w:sz w:val="21"/>
        </w:rPr>
        <w:t>for</w:t>
      </w:r>
      <w:r>
        <w:rPr>
          <w:spacing w:val="13"/>
          <w:sz w:val="21"/>
        </w:rPr>
        <w:t> </w:t>
      </w:r>
      <w:r>
        <w:rPr>
          <w:spacing w:val="-3"/>
          <w:sz w:val="21"/>
        </w:rPr>
        <w:t>information</w:t>
      </w:r>
      <w:r>
        <w:rPr>
          <w:spacing w:val="13"/>
          <w:sz w:val="21"/>
        </w:rPr>
        <w:t> </w:t>
      </w:r>
      <w:r>
        <w:rPr>
          <w:sz w:val="21"/>
        </w:rPr>
        <w:t>about,</w:t>
      </w:r>
      <w:r>
        <w:rPr>
          <w:spacing w:val="12"/>
          <w:sz w:val="21"/>
        </w:rPr>
        <w:t> </w:t>
      </w:r>
      <w:r>
        <w:rPr>
          <w:sz w:val="21"/>
        </w:rPr>
        <w:t>the</w:t>
      </w:r>
      <w:r>
        <w:rPr>
          <w:spacing w:val="13"/>
          <w:sz w:val="21"/>
        </w:rPr>
        <w:t> </w:t>
      </w:r>
      <w:r>
        <w:rPr>
          <w:sz w:val="21"/>
        </w:rPr>
        <w:t>new</w:t>
      </w:r>
      <w:r>
        <w:rPr>
          <w:spacing w:val="13"/>
          <w:sz w:val="21"/>
        </w:rPr>
        <w:t> </w:t>
      </w:r>
      <w:r>
        <w:rPr>
          <w:sz w:val="21"/>
        </w:rPr>
        <w:t>Act.</w:t>
      </w:r>
    </w:p>
    <w:p>
      <w:pPr>
        <w:pStyle w:val="BodyText"/>
        <w:spacing w:before="7"/>
        <w:rPr>
          <w:sz w:val="17"/>
        </w:rPr>
      </w:pPr>
      <w:r>
        <w:rPr/>
        <w:pict>
          <v:group style="position:absolute;margin-left:62.362202pt;margin-top:12.714905pt;width:479.1pt;height:268.4pt;mso-position-horizontal-relative:page;mso-position-vertical-relative:paragraph;z-index:11768;mso-wrap-distance-left:0;mso-wrap-distance-right:0" coordorigin="1247,254" coordsize="9582,5368">
            <v:rect style="position:absolute;left:1587;top:254;width:8731;height:5368" filled="true" fillcolor="#dbe0dd" stroked="false">
              <v:fill type="solid"/>
            </v:rect>
            <v:line style="position:absolute" from="1247,1001" to="10828,1001" stroked="true" strokeweight="2.5pt" strokecolor="#ffffff">
              <v:stroke dashstyle="solid"/>
            </v:line>
            <v:shape style="position:absolute;left:1587;top:1026;width:8731;height:4596" type="#_x0000_t202" filled="true" fillcolor="#dbe0dd" stroked="false">
              <v:textbox inset="0,0,0,0">
                <w:txbxContent>
                  <w:p>
                    <w:pPr>
                      <w:tabs>
                        <w:tab w:pos="793" w:val="left" w:leader="none"/>
                      </w:tabs>
                      <w:spacing w:line="242" w:lineRule="auto" w:before="208"/>
                      <w:ind w:left="793" w:right="320" w:hanging="567"/>
                      <w:jc w:val="left"/>
                      <w:rPr>
                        <w:sz w:val="21"/>
                      </w:rPr>
                    </w:pPr>
                    <w:r>
                      <w:rPr>
                        <w:b/>
                        <w:w w:val="115"/>
                        <w:sz w:val="21"/>
                      </w:rPr>
                      <w:t>57</w:t>
                      <w:tab/>
                    </w:r>
                    <w:r>
                      <w:rPr>
                        <w:w w:val="115"/>
                        <w:sz w:val="21"/>
                      </w:rPr>
                      <w:t>A</w:t>
                    </w:r>
                    <w:r>
                      <w:rPr>
                        <w:spacing w:val="-8"/>
                        <w:w w:val="115"/>
                        <w:sz w:val="21"/>
                      </w:rPr>
                      <w:t> </w:t>
                    </w:r>
                    <w:r>
                      <w:rPr>
                        <w:w w:val="115"/>
                        <w:sz w:val="21"/>
                      </w:rPr>
                      <w:t>website</w:t>
                    </w:r>
                    <w:r>
                      <w:rPr>
                        <w:spacing w:val="-7"/>
                        <w:w w:val="115"/>
                        <w:sz w:val="21"/>
                      </w:rPr>
                      <w:t> </w:t>
                    </w:r>
                    <w:r>
                      <w:rPr>
                        <w:w w:val="115"/>
                        <w:sz w:val="21"/>
                      </w:rPr>
                      <w:t>should</w:t>
                    </w:r>
                    <w:r>
                      <w:rPr>
                        <w:spacing w:val="-8"/>
                        <w:w w:val="115"/>
                        <w:sz w:val="21"/>
                      </w:rPr>
                      <w:t> </w:t>
                    </w:r>
                    <w:r>
                      <w:rPr>
                        <w:w w:val="115"/>
                        <w:sz w:val="21"/>
                      </w:rPr>
                      <w:t>be</w:t>
                    </w:r>
                    <w:r>
                      <w:rPr>
                        <w:spacing w:val="-7"/>
                        <w:w w:val="115"/>
                        <w:sz w:val="21"/>
                      </w:rPr>
                      <w:t> </w:t>
                    </w:r>
                    <w:r>
                      <w:rPr>
                        <w:w w:val="115"/>
                        <w:sz w:val="21"/>
                      </w:rPr>
                      <w:t>established</w:t>
                    </w:r>
                    <w:r>
                      <w:rPr>
                        <w:spacing w:val="-7"/>
                        <w:w w:val="115"/>
                        <w:sz w:val="21"/>
                      </w:rPr>
                      <w:t> </w:t>
                    </w:r>
                    <w:r>
                      <w:rPr>
                        <w:w w:val="115"/>
                        <w:sz w:val="21"/>
                      </w:rPr>
                      <w:t>by</w:t>
                    </w:r>
                    <w:r>
                      <w:rPr>
                        <w:spacing w:val="-8"/>
                        <w:w w:val="115"/>
                        <w:sz w:val="21"/>
                      </w:rPr>
                      <w:t> </w:t>
                    </w:r>
                    <w:r>
                      <w:rPr>
                        <w:w w:val="115"/>
                        <w:sz w:val="21"/>
                      </w:rPr>
                      <w:t>the</w:t>
                    </w:r>
                    <w:r>
                      <w:rPr>
                        <w:spacing w:val="-7"/>
                        <w:w w:val="115"/>
                        <w:sz w:val="21"/>
                      </w:rPr>
                      <w:t> </w:t>
                    </w:r>
                    <w:r>
                      <w:rPr>
                        <w:w w:val="115"/>
                        <w:sz w:val="21"/>
                      </w:rPr>
                      <w:t>Department</w:t>
                    </w:r>
                    <w:r>
                      <w:rPr>
                        <w:spacing w:val="-7"/>
                        <w:w w:val="115"/>
                        <w:sz w:val="21"/>
                      </w:rPr>
                      <w:t> </w:t>
                    </w:r>
                    <w:r>
                      <w:rPr>
                        <w:w w:val="115"/>
                        <w:sz w:val="21"/>
                      </w:rPr>
                      <w:t>of</w:t>
                    </w:r>
                    <w:r>
                      <w:rPr>
                        <w:spacing w:val="-8"/>
                        <w:w w:val="115"/>
                        <w:sz w:val="21"/>
                      </w:rPr>
                      <w:t> </w:t>
                    </w:r>
                    <w:r>
                      <w:rPr>
                        <w:w w:val="115"/>
                        <w:sz w:val="21"/>
                      </w:rPr>
                      <w:t>Justice</w:t>
                    </w:r>
                    <w:r>
                      <w:rPr>
                        <w:spacing w:val="-7"/>
                        <w:w w:val="115"/>
                        <w:sz w:val="21"/>
                      </w:rPr>
                      <w:t> </w:t>
                    </w:r>
                    <w:r>
                      <w:rPr>
                        <w:w w:val="115"/>
                        <w:sz w:val="21"/>
                      </w:rPr>
                      <w:t>and</w:t>
                    </w:r>
                    <w:r>
                      <w:rPr>
                        <w:spacing w:val="-8"/>
                        <w:w w:val="115"/>
                        <w:sz w:val="21"/>
                      </w:rPr>
                      <w:t> </w:t>
                    </w:r>
                    <w:r>
                      <w:rPr>
                        <w:w w:val="115"/>
                        <w:sz w:val="21"/>
                      </w:rPr>
                      <w:t>Community Safety which would</w:t>
                    </w:r>
                    <w:r>
                      <w:rPr>
                        <w:spacing w:val="1"/>
                        <w:w w:val="115"/>
                        <w:sz w:val="21"/>
                      </w:rPr>
                      <w:t> </w:t>
                    </w:r>
                    <w:r>
                      <w:rPr>
                        <w:w w:val="115"/>
                        <w:sz w:val="21"/>
                      </w:rPr>
                      <w:t>provide:</w:t>
                    </w:r>
                  </w:p>
                  <w:p>
                    <w:pPr>
                      <w:numPr>
                        <w:ilvl w:val="0"/>
                        <w:numId w:val="201"/>
                      </w:numPr>
                      <w:tabs>
                        <w:tab w:pos="1360" w:val="left" w:leader="none"/>
                        <w:tab w:pos="1361" w:val="left" w:leader="none"/>
                      </w:tabs>
                      <w:spacing w:line="242" w:lineRule="auto" w:before="122"/>
                      <w:ind w:left="1360" w:right="431" w:hanging="567"/>
                      <w:jc w:val="left"/>
                      <w:rPr>
                        <w:sz w:val="21"/>
                      </w:rPr>
                    </w:pPr>
                    <w:r>
                      <w:rPr>
                        <w:w w:val="115"/>
                        <w:sz w:val="21"/>
                      </w:rPr>
                      <w:t>guidance on how to negotiate with your </w:t>
                    </w:r>
                    <w:r>
                      <w:rPr>
                        <w:spacing w:val="-3"/>
                        <w:w w:val="115"/>
                        <w:sz w:val="21"/>
                      </w:rPr>
                      <w:t>neighbour, </w:t>
                    </w:r>
                    <w:r>
                      <w:rPr>
                        <w:w w:val="115"/>
                        <w:sz w:val="21"/>
                      </w:rPr>
                      <w:t>including a sample standard letter that affected neighbours can use to communicate with the tree owner about a problem</w:t>
                    </w:r>
                    <w:r>
                      <w:rPr>
                        <w:spacing w:val="1"/>
                        <w:w w:val="115"/>
                        <w:sz w:val="21"/>
                      </w:rPr>
                      <w:t> </w:t>
                    </w:r>
                    <w:r>
                      <w:rPr>
                        <w:w w:val="115"/>
                        <w:sz w:val="21"/>
                      </w:rPr>
                      <w:t>tree</w:t>
                    </w:r>
                  </w:p>
                  <w:p>
                    <w:pPr>
                      <w:numPr>
                        <w:ilvl w:val="0"/>
                        <w:numId w:val="201"/>
                      </w:numPr>
                      <w:tabs>
                        <w:tab w:pos="1360" w:val="left" w:leader="none"/>
                        <w:tab w:pos="1361" w:val="left" w:leader="none"/>
                      </w:tabs>
                      <w:spacing w:before="124"/>
                      <w:ind w:left="1360" w:right="0" w:hanging="567"/>
                      <w:jc w:val="left"/>
                      <w:rPr>
                        <w:sz w:val="21"/>
                      </w:rPr>
                    </w:pPr>
                    <w:r>
                      <w:rPr>
                        <w:w w:val="115"/>
                        <w:sz w:val="21"/>
                      </w:rPr>
                      <w:t>information about informal dispute resolution</w:t>
                    </w:r>
                    <w:r>
                      <w:rPr>
                        <w:spacing w:val="-11"/>
                        <w:w w:val="115"/>
                        <w:sz w:val="21"/>
                      </w:rPr>
                      <w:t> </w:t>
                    </w:r>
                    <w:r>
                      <w:rPr>
                        <w:w w:val="115"/>
                        <w:sz w:val="21"/>
                      </w:rPr>
                      <w:t>mechanisms</w:t>
                    </w:r>
                  </w:p>
                  <w:p>
                    <w:pPr>
                      <w:numPr>
                        <w:ilvl w:val="0"/>
                        <w:numId w:val="201"/>
                      </w:numPr>
                      <w:tabs>
                        <w:tab w:pos="1360" w:val="left" w:leader="none"/>
                        <w:tab w:pos="1361" w:val="left" w:leader="none"/>
                      </w:tabs>
                      <w:spacing w:line="242" w:lineRule="auto" w:before="124"/>
                      <w:ind w:left="1360" w:right="459" w:hanging="567"/>
                      <w:jc w:val="left"/>
                      <w:rPr>
                        <w:sz w:val="21"/>
                      </w:rPr>
                    </w:pPr>
                    <w:r>
                      <w:rPr>
                        <w:w w:val="115"/>
                        <w:sz w:val="21"/>
                      </w:rPr>
                      <w:t>detailed</w:t>
                    </w:r>
                    <w:r>
                      <w:rPr>
                        <w:spacing w:val="-5"/>
                        <w:w w:val="115"/>
                        <w:sz w:val="21"/>
                      </w:rPr>
                      <w:t> </w:t>
                    </w:r>
                    <w:r>
                      <w:rPr>
                        <w:w w:val="115"/>
                        <w:sz w:val="21"/>
                      </w:rPr>
                      <w:t>information</w:t>
                    </w:r>
                    <w:r>
                      <w:rPr>
                        <w:spacing w:val="-4"/>
                        <w:w w:val="115"/>
                        <w:sz w:val="21"/>
                      </w:rPr>
                      <w:t> </w:t>
                    </w:r>
                    <w:r>
                      <w:rPr>
                        <w:w w:val="115"/>
                        <w:sz w:val="21"/>
                      </w:rPr>
                      <w:t>on</w:t>
                    </w:r>
                    <w:r>
                      <w:rPr>
                        <w:spacing w:val="-4"/>
                        <w:w w:val="115"/>
                        <w:sz w:val="21"/>
                      </w:rPr>
                      <w:t> </w:t>
                    </w:r>
                    <w:r>
                      <w:rPr>
                        <w:w w:val="115"/>
                        <w:sz w:val="21"/>
                      </w:rPr>
                      <w:t>alternative</w:t>
                    </w:r>
                    <w:r>
                      <w:rPr>
                        <w:spacing w:val="-5"/>
                        <w:w w:val="115"/>
                        <w:sz w:val="21"/>
                      </w:rPr>
                      <w:t> </w:t>
                    </w:r>
                    <w:r>
                      <w:rPr>
                        <w:w w:val="115"/>
                        <w:sz w:val="21"/>
                      </w:rPr>
                      <w:t>dispute</w:t>
                    </w:r>
                    <w:r>
                      <w:rPr>
                        <w:spacing w:val="-4"/>
                        <w:w w:val="115"/>
                        <w:sz w:val="21"/>
                      </w:rPr>
                      <w:t> </w:t>
                    </w:r>
                    <w:r>
                      <w:rPr>
                        <w:w w:val="115"/>
                        <w:sz w:val="21"/>
                      </w:rPr>
                      <w:t>resolution</w:t>
                    </w:r>
                    <w:r>
                      <w:rPr>
                        <w:spacing w:val="-4"/>
                        <w:w w:val="115"/>
                        <w:sz w:val="21"/>
                      </w:rPr>
                      <w:t> </w:t>
                    </w:r>
                    <w:r>
                      <w:rPr>
                        <w:w w:val="115"/>
                        <w:sz w:val="21"/>
                      </w:rPr>
                      <w:t>and</w:t>
                    </w:r>
                    <w:r>
                      <w:rPr>
                        <w:spacing w:val="-5"/>
                        <w:w w:val="115"/>
                        <w:sz w:val="21"/>
                      </w:rPr>
                      <w:t> </w:t>
                    </w:r>
                    <w:r>
                      <w:rPr>
                        <w:w w:val="115"/>
                        <w:sz w:val="21"/>
                      </w:rPr>
                      <w:t>a</w:t>
                    </w:r>
                    <w:r>
                      <w:rPr>
                        <w:spacing w:val="-4"/>
                        <w:w w:val="115"/>
                        <w:sz w:val="21"/>
                      </w:rPr>
                      <w:t> </w:t>
                    </w:r>
                    <w:r>
                      <w:rPr>
                        <w:spacing w:val="-3"/>
                        <w:w w:val="115"/>
                        <w:sz w:val="21"/>
                      </w:rPr>
                      <w:t>link</w:t>
                    </w:r>
                    <w:r>
                      <w:rPr>
                        <w:spacing w:val="-4"/>
                        <w:w w:val="115"/>
                        <w:sz w:val="21"/>
                      </w:rPr>
                      <w:t> </w:t>
                    </w:r>
                    <w:r>
                      <w:rPr>
                        <w:w w:val="115"/>
                        <w:sz w:val="21"/>
                      </w:rPr>
                      <w:t>to</w:t>
                    </w:r>
                    <w:r>
                      <w:rPr>
                        <w:spacing w:val="-5"/>
                        <w:w w:val="115"/>
                        <w:sz w:val="21"/>
                      </w:rPr>
                      <w:t> </w:t>
                    </w:r>
                    <w:r>
                      <w:rPr>
                        <w:w w:val="115"/>
                        <w:sz w:val="21"/>
                      </w:rPr>
                      <w:t>the Dispute Settlement Centre of Victoria</w:t>
                    </w:r>
                    <w:r>
                      <w:rPr>
                        <w:spacing w:val="-3"/>
                        <w:w w:val="115"/>
                        <w:sz w:val="21"/>
                      </w:rPr>
                      <w:t> </w:t>
                    </w:r>
                    <w:r>
                      <w:rPr>
                        <w:w w:val="115"/>
                        <w:sz w:val="21"/>
                      </w:rPr>
                      <w:t>website</w:t>
                    </w:r>
                  </w:p>
                  <w:p>
                    <w:pPr>
                      <w:numPr>
                        <w:ilvl w:val="0"/>
                        <w:numId w:val="201"/>
                      </w:numPr>
                      <w:tabs>
                        <w:tab w:pos="1360" w:val="left" w:leader="none"/>
                        <w:tab w:pos="1361" w:val="left" w:leader="none"/>
                      </w:tabs>
                      <w:spacing w:before="122"/>
                      <w:ind w:left="1360" w:right="0" w:hanging="567"/>
                      <w:jc w:val="left"/>
                      <w:rPr>
                        <w:sz w:val="21"/>
                      </w:rPr>
                    </w:pPr>
                    <w:r>
                      <w:rPr>
                        <w:w w:val="115"/>
                        <w:sz w:val="21"/>
                      </w:rPr>
                      <w:t>guidance on engaging appropriately qualified</w:t>
                    </w:r>
                    <w:r>
                      <w:rPr>
                        <w:spacing w:val="3"/>
                        <w:w w:val="115"/>
                        <w:sz w:val="21"/>
                      </w:rPr>
                      <w:t> </w:t>
                    </w:r>
                    <w:r>
                      <w:rPr>
                        <w:w w:val="115"/>
                        <w:sz w:val="21"/>
                      </w:rPr>
                      <w:t>arborists</w:t>
                    </w:r>
                  </w:p>
                  <w:p>
                    <w:pPr>
                      <w:numPr>
                        <w:ilvl w:val="0"/>
                        <w:numId w:val="201"/>
                      </w:numPr>
                      <w:tabs>
                        <w:tab w:pos="1360" w:val="left" w:leader="none"/>
                        <w:tab w:pos="1361" w:val="left" w:leader="none"/>
                      </w:tabs>
                      <w:spacing w:before="124"/>
                      <w:ind w:left="1360" w:right="0" w:hanging="567"/>
                      <w:jc w:val="left"/>
                      <w:rPr>
                        <w:sz w:val="21"/>
                      </w:rPr>
                    </w:pPr>
                    <w:r>
                      <w:rPr>
                        <w:w w:val="115"/>
                        <w:sz w:val="21"/>
                      </w:rPr>
                      <w:t>a step-by-step overview of the</w:t>
                    </w:r>
                    <w:r>
                      <w:rPr>
                        <w:spacing w:val="1"/>
                        <w:w w:val="115"/>
                        <w:sz w:val="21"/>
                      </w:rPr>
                      <w:t> </w:t>
                    </w:r>
                    <w:r>
                      <w:rPr>
                        <w:w w:val="115"/>
                        <w:sz w:val="21"/>
                      </w:rPr>
                      <w:t>Act</w:t>
                    </w:r>
                  </w:p>
                  <w:p>
                    <w:pPr>
                      <w:numPr>
                        <w:ilvl w:val="0"/>
                        <w:numId w:val="201"/>
                      </w:numPr>
                      <w:tabs>
                        <w:tab w:pos="1360" w:val="left" w:leader="none"/>
                        <w:tab w:pos="1361" w:val="left" w:leader="none"/>
                      </w:tabs>
                      <w:spacing w:before="123"/>
                      <w:ind w:left="1360" w:right="0" w:hanging="567"/>
                      <w:jc w:val="left"/>
                      <w:rPr>
                        <w:sz w:val="21"/>
                      </w:rPr>
                    </w:pPr>
                    <w:r>
                      <w:rPr>
                        <w:w w:val="115"/>
                        <w:sz w:val="21"/>
                      </w:rPr>
                      <w:t>information on how to commence</w:t>
                    </w:r>
                    <w:r>
                      <w:rPr>
                        <w:spacing w:val="-2"/>
                        <w:w w:val="115"/>
                        <w:sz w:val="21"/>
                      </w:rPr>
                      <w:t> </w:t>
                    </w:r>
                    <w:r>
                      <w:rPr>
                        <w:w w:val="115"/>
                        <w:sz w:val="21"/>
                      </w:rPr>
                      <w:t>proceedings</w:t>
                    </w:r>
                  </w:p>
                  <w:p>
                    <w:pPr>
                      <w:numPr>
                        <w:ilvl w:val="0"/>
                        <w:numId w:val="201"/>
                      </w:numPr>
                      <w:tabs>
                        <w:tab w:pos="1360" w:val="left" w:leader="none"/>
                        <w:tab w:pos="1361" w:val="left" w:leader="none"/>
                      </w:tabs>
                      <w:spacing w:line="242" w:lineRule="auto" w:before="124"/>
                      <w:ind w:left="1360" w:right="746" w:hanging="567"/>
                      <w:jc w:val="left"/>
                      <w:rPr>
                        <w:sz w:val="21"/>
                      </w:rPr>
                    </w:pPr>
                    <w:r>
                      <w:rPr>
                        <w:w w:val="115"/>
                        <w:sz w:val="21"/>
                      </w:rPr>
                      <w:t>guidance</w:t>
                    </w:r>
                    <w:r>
                      <w:rPr>
                        <w:spacing w:val="-5"/>
                        <w:w w:val="115"/>
                        <w:sz w:val="21"/>
                      </w:rPr>
                      <w:t> </w:t>
                    </w:r>
                    <w:r>
                      <w:rPr>
                        <w:w w:val="115"/>
                        <w:sz w:val="21"/>
                      </w:rPr>
                      <w:t>about</w:t>
                    </w:r>
                    <w:r>
                      <w:rPr>
                        <w:spacing w:val="-4"/>
                        <w:w w:val="115"/>
                        <w:sz w:val="21"/>
                      </w:rPr>
                      <w:t> </w:t>
                    </w:r>
                    <w:r>
                      <w:rPr>
                        <w:w w:val="115"/>
                        <w:sz w:val="21"/>
                      </w:rPr>
                      <w:t>how</w:t>
                    </w:r>
                    <w:r>
                      <w:rPr>
                        <w:spacing w:val="-5"/>
                        <w:w w:val="115"/>
                        <w:sz w:val="21"/>
                      </w:rPr>
                      <w:t> </w:t>
                    </w:r>
                    <w:r>
                      <w:rPr>
                        <w:w w:val="115"/>
                        <w:sz w:val="21"/>
                      </w:rPr>
                      <w:t>to</w:t>
                    </w:r>
                    <w:r>
                      <w:rPr>
                        <w:spacing w:val="-4"/>
                        <w:w w:val="115"/>
                        <w:sz w:val="21"/>
                      </w:rPr>
                      <w:t> </w:t>
                    </w:r>
                    <w:r>
                      <w:rPr>
                        <w:w w:val="115"/>
                        <w:sz w:val="21"/>
                      </w:rPr>
                      <w:t>seek</w:t>
                    </w:r>
                    <w:r>
                      <w:rPr>
                        <w:spacing w:val="-5"/>
                        <w:w w:val="115"/>
                        <w:sz w:val="21"/>
                      </w:rPr>
                      <w:t> </w:t>
                    </w:r>
                    <w:r>
                      <w:rPr>
                        <w:w w:val="115"/>
                        <w:sz w:val="21"/>
                      </w:rPr>
                      <w:t>information</w:t>
                    </w:r>
                    <w:r>
                      <w:rPr>
                        <w:spacing w:val="-4"/>
                        <w:w w:val="115"/>
                        <w:sz w:val="21"/>
                      </w:rPr>
                      <w:t> </w:t>
                    </w:r>
                    <w:r>
                      <w:rPr>
                        <w:w w:val="115"/>
                        <w:sz w:val="21"/>
                      </w:rPr>
                      <w:t>about</w:t>
                    </w:r>
                    <w:r>
                      <w:rPr>
                        <w:spacing w:val="-5"/>
                        <w:w w:val="115"/>
                        <w:sz w:val="21"/>
                      </w:rPr>
                      <w:t> </w:t>
                    </w:r>
                    <w:r>
                      <w:rPr>
                        <w:w w:val="115"/>
                        <w:sz w:val="21"/>
                      </w:rPr>
                      <w:t>other</w:t>
                    </w:r>
                    <w:r>
                      <w:rPr>
                        <w:spacing w:val="-4"/>
                        <w:w w:val="115"/>
                        <w:sz w:val="21"/>
                      </w:rPr>
                      <w:t> </w:t>
                    </w:r>
                    <w:r>
                      <w:rPr>
                        <w:w w:val="115"/>
                        <w:sz w:val="21"/>
                      </w:rPr>
                      <w:t>laws</w:t>
                    </w:r>
                    <w:r>
                      <w:rPr>
                        <w:spacing w:val="-4"/>
                        <w:w w:val="115"/>
                        <w:sz w:val="21"/>
                      </w:rPr>
                      <w:t> </w:t>
                    </w:r>
                    <w:r>
                      <w:rPr>
                        <w:w w:val="115"/>
                        <w:sz w:val="21"/>
                      </w:rPr>
                      <w:t>that</w:t>
                    </w:r>
                    <w:r>
                      <w:rPr>
                        <w:spacing w:val="-5"/>
                        <w:w w:val="115"/>
                        <w:sz w:val="21"/>
                      </w:rPr>
                      <w:t> </w:t>
                    </w:r>
                    <w:r>
                      <w:rPr>
                        <w:w w:val="115"/>
                        <w:sz w:val="21"/>
                      </w:rPr>
                      <w:t>may apply from government authorities and local</w:t>
                    </w:r>
                    <w:r>
                      <w:rPr>
                        <w:spacing w:val="-11"/>
                        <w:w w:val="115"/>
                        <w:sz w:val="21"/>
                      </w:rPr>
                      <w:t> </w:t>
                    </w:r>
                    <w:r>
                      <w:rPr>
                        <w:w w:val="115"/>
                        <w:sz w:val="21"/>
                      </w:rPr>
                      <w:t>councils.</w:t>
                    </w:r>
                  </w:p>
                </w:txbxContent>
              </v:textbox>
              <v:fill type="solid"/>
              <w10:wrap type="none"/>
            </v:shape>
            <v:shape style="position:absolute;left:1587;top:254;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Recommendations</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r>
        <w:rPr/>
        <w:pict>
          <v:line style="position:absolute;mso-position-horizontal-relative:page;mso-position-vertical-relative:paragraph;z-index:11792;mso-wrap-distance-left:0;mso-wrap-distance-right:0" from="79.370102pt,15.242344pt" to="515.905102pt,15.24234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200"/>
        </w:numPr>
        <w:tabs>
          <w:tab w:pos="2380" w:val="left" w:leader="none"/>
          <w:tab w:pos="2382" w:val="left" w:leader="none"/>
        </w:tabs>
        <w:spacing w:line="240" w:lineRule="auto" w:before="48" w:after="0"/>
        <w:ind w:left="2381" w:right="0" w:hanging="794"/>
        <w:jc w:val="left"/>
        <w:rPr>
          <w:sz w:val="13"/>
        </w:rPr>
      </w:pPr>
      <w:r>
        <w:rPr>
          <w:w w:val="105"/>
          <w:sz w:val="13"/>
        </w:rPr>
        <w:t>See, eg, City of Port Phillip, </w:t>
      </w:r>
      <w:r>
        <w:rPr>
          <w:i/>
          <w:w w:val="105"/>
          <w:sz w:val="13"/>
        </w:rPr>
        <w:t>City </w:t>
      </w:r>
      <w:r>
        <w:rPr>
          <w:i/>
          <w:spacing w:val="2"/>
          <w:w w:val="105"/>
          <w:sz w:val="13"/>
        </w:rPr>
        <w:t>Permits—Fact </w:t>
      </w:r>
      <w:r>
        <w:rPr>
          <w:i/>
          <w:w w:val="105"/>
          <w:sz w:val="13"/>
        </w:rPr>
        <w:t>Sheet Significant Tree Permits </w:t>
      </w:r>
      <w:r>
        <w:rPr>
          <w:w w:val="105"/>
          <w:sz w:val="13"/>
        </w:rPr>
        <w:t>(29 November 2017) </w:t>
      </w:r>
      <w:r>
        <w:rPr>
          <w:spacing w:val="2"/>
          <w:w w:val="105"/>
          <w:sz w:val="13"/>
        </w:rPr>
        <w:t>&lt;</w:t>
      </w:r>
      <w:hyperlink r:id="rId266">
        <w:r>
          <w:rPr>
            <w:spacing w:val="2"/>
            <w:w w:val="105"/>
            <w:sz w:val="13"/>
          </w:rPr>
          <w:t>http://www.portphillip.vic.gov.au/</w:t>
        </w:r>
      </w:hyperlink>
      <w:hyperlink r:id="rId266">
        <w:r>
          <w:rPr>
            <w:spacing w:val="2"/>
            <w:w w:val="105"/>
            <w:sz w:val="13"/>
          </w:rPr>
          <w:t> </w:t>
        </w:r>
        <w:r>
          <w:rPr>
            <w:w w:val="105"/>
            <w:sz w:val="13"/>
          </w:rPr>
          <w:t>significant-tree-permit.htm</w:t>
        </w:r>
      </w:hyperlink>
      <w:r>
        <w:rPr>
          <w:w w:val="105"/>
          <w:sz w:val="13"/>
        </w:rPr>
        <w:t>&gt;.</w:t>
      </w:r>
    </w:p>
    <w:p>
      <w:pPr>
        <w:pStyle w:val="ListParagraph"/>
        <w:numPr>
          <w:ilvl w:val="0"/>
          <w:numId w:val="200"/>
        </w:numPr>
        <w:tabs>
          <w:tab w:pos="2380" w:val="left" w:leader="none"/>
          <w:tab w:pos="2381" w:val="left" w:leader="none"/>
        </w:tabs>
        <w:spacing w:line="240" w:lineRule="auto" w:before="3" w:after="0"/>
        <w:ind w:left="2380" w:right="0" w:hanging="793"/>
        <w:jc w:val="left"/>
        <w:rPr>
          <w:sz w:val="13"/>
        </w:rPr>
      </w:pPr>
      <w:r>
        <w:rPr>
          <w:w w:val="105"/>
          <w:sz w:val="13"/>
        </w:rPr>
        <w:t>Consultations</w:t>
      </w:r>
      <w:r>
        <w:rPr>
          <w:spacing w:val="6"/>
          <w:w w:val="105"/>
          <w:sz w:val="13"/>
        </w:rPr>
        <w:t> </w:t>
      </w:r>
      <w:r>
        <w:rPr>
          <w:w w:val="105"/>
          <w:sz w:val="13"/>
        </w:rPr>
        <w:t>8</w:t>
      </w:r>
      <w:r>
        <w:rPr>
          <w:spacing w:val="6"/>
          <w:w w:val="105"/>
          <w:sz w:val="13"/>
        </w:rPr>
        <w:t> </w:t>
      </w:r>
      <w:r>
        <w:rPr>
          <w:w w:val="105"/>
          <w:sz w:val="13"/>
        </w:rPr>
        <w:t>(City</w:t>
      </w:r>
      <w:r>
        <w:rPr>
          <w:spacing w:val="7"/>
          <w:w w:val="105"/>
          <w:sz w:val="13"/>
        </w:rPr>
        <w:t> </w:t>
      </w:r>
      <w:r>
        <w:rPr>
          <w:w w:val="105"/>
          <w:sz w:val="13"/>
        </w:rPr>
        <w:t>of</w:t>
      </w:r>
      <w:r>
        <w:rPr>
          <w:spacing w:val="6"/>
          <w:w w:val="105"/>
          <w:sz w:val="13"/>
        </w:rPr>
        <w:t> </w:t>
      </w:r>
      <w:r>
        <w:rPr>
          <w:w w:val="105"/>
          <w:sz w:val="13"/>
        </w:rPr>
        <w:t>Boroondara),</w:t>
      </w:r>
      <w:r>
        <w:rPr>
          <w:spacing w:val="7"/>
          <w:w w:val="105"/>
          <w:sz w:val="13"/>
        </w:rPr>
        <w:t> </w:t>
      </w:r>
      <w:r>
        <w:rPr>
          <w:w w:val="105"/>
          <w:sz w:val="13"/>
        </w:rPr>
        <w:t>9</w:t>
      </w:r>
      <w:r>
        <w:rPr>
          <w:spacing w:val="6"/>
          <w:w w:val="105"/>
          <w:sz w:val="13"/>
        </w:rPr>
        <w:t> </w:t>
      </w:r>
      <w:r>
        <w:rPr>
          <w:w w:val="105"/>
          <w:sz w:val="13"/>
        </w:rPr>
        <w:t>(Nillumbik</w:t>
      </w:r>
      <w:r>
        <w:rPr>
          <w:spacing w:val="7"/>
          <w:w w:val="105"/>
          <w:sz w:val="13"/>
        </w:rPr>
        <w:t> </w:t>
      </w:r>
      <w:r>
        <w:rPr>
          <w:w w:val="105"/>
          <w:sz w:val="13"/>
        </w:rPr>
        <w:t>Shire</w:t>
      </w:r>
      <w:r>
        <w:rPr>
          <w:spacing w:val="6"/>
          <w:w w:val="105"/>
          <w:sz w:val="13"/>
        </w:rPr>
        <w:t> </w:t>
      </w:r>
      <w:r>
        <w:rPr>
          <w:w w:val="105"/>
          <w:sz w:val="13"/>
        </w:rPr>
        <w:t>Council),</w:t>
      </w:r>
      <w:r>
        <w:rPr>
          <w:spacing w:val="7"/>
          <w:w w:val="105"/>
          <w:sz w:val="13"/>
        </w:rPr>
        <w:t> </w:t>
      </w:r>
      <w:r>
        <w:rPr>
          <w:w w:val="105"/>
          <w:sz w:val="13"/>
        </w:rPr>
        <w:t>10</w:t>
      </w:r>
      <w:r>
        <w:rPr>
          <w:spacing w:val="6"/>
          <w:w w:val="105"/>
          <w:sz w:val="13"/>
        </w:rPr>
        <w:t> </w:t>
      </w:r>
      <w:r>
        <w:rPr>
          <w:spacing w:val="2"/>
          <w:w w:val="105"/>
          <w:sz w:val="13"/>
        </w:rPr>
        <w:t>(Baw</w:t>
      </w:r>
      <w:r>
        <w:rPr>
          <w:spacing w:val="6"/>
          <w:w w:val="105"/>
          <w:sz w:val="13"/>
        </w:rPr>
        <w:t> </w:t>
      </w:r>
      <w:r>
        <w:rPr>
          <w:w w:val="105"/>
          <w:sz w:val="13"/>
        </w:rPr>
        <w:t>Baw</w:t>
      </w:r>
      <w:r>
        <w:rPr>
          <w:spacing w:val="7"/>
          <w:w w:val="105"/>
          <w:sz w:val="13"/>
        </w:rPr>
        <w:t> </w:t>
      </w:r>
      <w:r>
        <w:rPr>
          <w:w w:val="105"/>
          <w:sz w:val="13"/>
        </w:rPr>
        <w:t>Shire</w:t>
      </w:r>
      <w:r>
        <w:rPr>
          <w:spacing w:val="6"/>
          <w:w w:val="105"/>
          <w:sz w:val="13"/>
        </w:rPr>
        <w:t> </w:t>
      </w:r>
      <w:r>
        <w:rPr>
          <w:w w:val="105"/>
          <w:sz w:val="13"/>
        </w:rPr>
        <w:t>Council),</w:t>
      </w:r>
      <w:r>
        <w:rPr>
          <w:spacing w:val="7"/>
          <w:w w:val="105"/>
          <w:sz w:val="13"/>
        </w:rPr>
        <w:t> </w:t>
      </w:r>
      <w:r>
        <w:rPr>
          <w:spacing w:val="-4"/>
          <w:w w:val="105"/>
          <w:sz w:val="13"/>
        </w:rPr>
        <w:t>12</w:t>
      </w:r>
      <w:r>
        <w:rPr>
          <w:spacing w:val="6"/>
          <w:w w:val="105"/>
          <w:sz w:val="13"/>
        </w:rPr>
        <w:t> </w:t>
      </w:r>
      <w:r>
        <w:rPr>
          <w:w w:val="105"/>
          <w:sz w:val="13"/>
        </w:rPr>
        <w:t>(City</w:t>
      </w:r>
      <w:r>
        <w:rPr>
          <w:spacing w:val="7"/>
          <w:w w:val="105"/>
          <w:sz w:val="13"/>
        </w:rPr>
        <w:t> </w:t>
      </w:r>
      <w:r>
        <w:rPr>
          <w:w w:val="105"/>
          <w:sz w:val="13"/>
        </w:rPr>
        <w:t>of</w:t>
      </w:r>
      <w:r>
        <w:rPr>
          <w:spacing w:val="6"/>
          <w:w w:val="105"/>
          <w:sz w:val="13"/>
        </w:rPr>
        <w:t> </w:t>
      </w:r>
      <w:r>
        <w:rPr>
          <w:w w:val="105"/>
          <w:sz w:val="13"/>
        </w:rPr>
        <w:t>Port</w:t>
      </w:r>
      <w:r>
        <w:rPr>
          <w:spacing w:val="7"/>
          <w:w w:val="105"/>
          <w:sz w:val="13"/>
        </w:rPr>
        <w:t> </w:t>
      </w:r>
      <w:r>
        <w:rPr>
          <w:w w:val="105"/>
          <w:sz w:val="13"/>
        </w:rPr>
        <w:t>Phillip).</w:t>
      </w:r>
    </w:p>
    <w:p>
      <w:pPr>
        <w:pStyle w:val="BodyText"/>
        <w:spacing w:before="7"/>
      </w:pPr>
      <w:r>
        <w:rPr/>
        <w:br w:type="column"/>
      </w:r>
      <w:r>
        <w:rPr/>
      </w:r>
    </w:p>
    <w:p>
      <w:pPr>
        <w:spacing w:before="0"/>
        <w:ind w:left="898" w:right="0" w:firstLine="0"/>
        <w:jc w:val="left"/>
        <w:rPr>
          <w:b/>
          <w:sz w:val="24"/>
        </w:rPr>
      </w:pPr>
      <w:r>
        <w:rPr>
          <w:b/>
          <w:color w:val="658464"/>
          <w:w w:val="110"/>
          <w:sz w:val="24"/>
        </w:rPr>
        <w:t>287</w:t>
      </w:r>
    </w:p>
    <w:p>
      <w:pPr>
        <w:spacing w:after="0"/>
        <w:jc w:val="left"/>
        <w:rPr>
          <w:sz w:val="24"/>
        </w:rPr>
        <w:sectPr>
          <w:type w:val="continuous"/>
          <w:pgSz w:w="11910" w:h="16840"/>
          <w:pgMar w:top="300" w:bottom="280" w:left="0" w:right="0"/>
          <w:cols w:num="2" w:equalWidth="0">
            <w:col w:w="9974" w:space="40"/>
            <w:col w:w="1896"/>
          </w:cols>
        </w:sectPr>
      </w:pPr>
    </w:p>
    <w:p>
      <w:pPr>
        <w:pStyle w:val="BodyText"/>
        <w:rPr>
          <w:b/>
          <w:sz w:val="20"/>
        </w:rPr>
      </w:pPr>
    </w:p>
    <w:p>
      <w:pPr>
        <w:pStyle w:val="BodyText"/>
        <w:spacing w:before="3"/>
        <w:rPr>
          <w:b/>
          <w:sz w:val="19"/>
        </w:rPr>
      </w:pPr>
    </w:p>
    <w:p>
      <w:pPr>
        <w:spacing w:before="95"/>
        <w:ind w:left="1814" w:right="0" w:firstLine="0"/>
        <w:jc w:val="left"/>
        <w:rPr>
          <w:b/>
          <w:sz w:val="32"/>
        </w:rPr>
      </w:pPr>
      <w:r>
        <w:rPr/>
        <w:pict>
          <v:group style="position:absolute;margin-left:62.362202pt;margin-top:-3.354124pt;width:479.1pt;height:409.4pt;mso-position-horizontal-relative:page;mso-position-vertical-relative:paragraph;z-index:-445240" coordorigin="1247,-67" coordsize="9582,8188">
            <v:rect style="position:absolute;left:1587;top:-68;width:8731;height:8188" filled="true" fillcolor="#dbe0dd" stroked="false">
              <v:fill type="solid"/>
            </v:rect>
            <v:line style="position:absolute" from="1247,680" to="10828,680" stroked="true" strokeweight="2.5pt" strokecolor="#ffffff">
              <v:stroke dashstyle="solid"/>
            </v:line>
            <w10:wrap type="none"/>
          </v:group>
        </w:pict>
      </w:r>
      <w:r>
        <w:rPr>
          <w:b/>
          <w:color w:val="658464"/>
          <w:w w:val="110"/>
          <w:sz w:val="32"/>
        </w:rPr>
        <w:t>Recommendations</w:t>
      </w:r>
    </w:p>
    <w:p>
      <w:pPr>
        <w:pStyle w:val="BodyText"/>
        <w:rPr>
          <w:b/>
          <w:sz w:val="35"/>
        </w:rPr>
      </w:pPr>
    </w:p>
    <w:p>
      <w:pPr>
        <w:pStyle w:val="ListParagraph"/>
        <w:numPr>
          <w:ilvl w:val="0"/>
          <w:numId w:val="202"/>
        </w:numPr>
        <w:tabs>
          <w:tab w:pos="2381" w:val="left" w:leader="none"/>
          <w:tab w:pos="2382" w:val="left" w:leader="none"/>
        </w:tabs>
        <w:spacing w:line="242" w:lineRule="auto" w:before="0" w:after="0"/>
        <w:ind w:left="2381" w:right="1917" w:hanging="567"/>
        <w:jc w:val="left"/>
        <w:rPr>
          <w:sz w:val="21"/>
        </w:rPr>
      </w:pPr>
      <w:r>
        <w:rPr>
          <w:w w:val="115"/>
          <w:sz w:val="21"/>
        </w:rPr>
        <w:t>The Victorian Civil and Administrative </w:t>
      </w:r>
      <w:r>
        <w:rPr>
          <w:spacing w:val="-4"/>
          <w:w w:val="115"/>
          <w:sz w:val="21"/>
        </w:rPr>
        <w:t>Tribunal </w:t>
      </w:r>
      <w:r>
        <w:rPr>
          <w:w w:val="115"/>
          <w:sz w:val="21"/>
        </w:rPr>
        <w:t>should provide supporting information</w:t>
      </w:r>
      <w:r>
        <w:rPr>
          <w:spacing w:val="-5"/>
          <w:w w:val="115"/>
          <w:sz w:val="21"/>
        </w:rPr>
        <w:t> </w:t>
      </w:r>
      <w:r>
        <w:rPr>
          <w:w w:val="115"/>
          <w:sz w:val="21"/>
        </w:rPr>
        <w:t>for</w:t>
      </w:r>
      <w:r>
        <w:rPr>
          <w:spacing w:val="-5"/>
          <w:w w:val="115"/>
          <w:sz w:val="21"/>
        </w:rPr>
        <w:t> </w:t>
      </w:r>
      <w:r>
        <w:rPr>
          <w:w w:val="115"/>
          <w:sz w:val="21"/>
        </w:rPr>
        <w:t>parties</w:t>
      </w:r>
      <w:r>
        <w:rPr>
          <w:spacing w:val="-5"/>
          <w:w w:val="115"/>
          <w:sz w:val="21"/>
        </w:rPr>
        <w:t> </w:t>
      </w:r>
      <w:r>
        <w:rPr>
          <w:w w:val="115"/>
          <w:sz w:val="21"/>
        </w:rPr>
        <w:t>about</w:t>
      </w:r>
      <w:r>
        <w:rPr>
          <w:spacing w:val="-4"/>
          <w:w w:val="115"/>
          <w:sz w:val="21"/>
        </w:rPr>
        <w:t> </w:t>
      </w:r>
      <w:r>
        <w:rPr>
          <w:w w:val="115"/>
          <w:sz w:val="21"/>
        </w:rPr>
        <w:t>the</w:t>
      </w:r>
      <w:r>
        <w:rPr>
          <w:spacing w:val="-5"/>
          <w:w w:val="115"/>
          <w:sz w:val="21"/>
        </w:rPr>
        <w:t> </w:t>
      </w:r>
      <w:r>
        <w:rPr>
          <w:w w:val="115"/>
          <w:sz w:val="21"/>
        </w:rPr>
        <w:t>operation</w:t>
      </w:r>
      <w:r>
        <w:rPr>
          <w:spacing w:val="-5"/>
          <w:w w:val="115"/>
          <w:sz w:val="21"/>
        </w:rPr>
        <w:t> </w:t>
      </w:r>
      <w:r>
        <w:rPr>
          <w:w w:val="115"/>
          <w:sz w:val="21"/>
        </w:rPr>
        <w:t>of</w:t>
      </w:r>
      <w:r>
        <w:rPr>
          <w:spacing w:val="-5"/>
          <w:w w:val="115"/>
          <w:sz w:val="21"/>
        </w:rPr>
        <w:t> </w:t>
      </w:r>
      <w:r>
        <w:rPr>
          <w:w w:val="115"/>
          <w:sz w:val="21"/>
        </w:rPr>
        <w:t>the</w:t>
      </w:r>
      <w:r>
        <w:rPr>
          <w:spacing w:val="-4"/>
          <w:w w:val="115"/>
          <w:sz w:val="21"/>
        </w:rPr>
        <w:t> </w:t>
      </w:r>
      <w:r>
        <w:rPr>
          <w:w w:val="115"/>
          <w:sz w:val="21"/>
        </w:rPr>
        <w:t>Act</w:t>
      </w:r>
      <w:r>
        <w:rPr>
          <w:spacing w:val="-5"/>
          <w:w w:val="115"/>
          <w:sz w:val="21"/>
        </w:rPr>
        <w:t> </w:t>
      </w:r>
      <w:r>
        <w:rPr>
          <w:w w:val="115"/>
          <w:sz w:val="21"/>
        </w:rPr>
        <w:t>and</w:t>
      </w:r>
      <w:r>
        <w:rPr>
          <w:spacing w:val="-5"/>
          <w:w w:val="115"/>
          <w:sz w:val="21"/>
        </w:rPr>
        <w:t> </w:t>
      </w:r>
      <w:r>
        <w:rPr>
          <w:spacing w:val="-4"/>
          <w:w w:val="115"/>
          <w:sz w:val="21"/>
        </w:rPr>
        <w:t>Tribunal</w:t>
      </w:r>
      <w:r>
        <w:rPr>
          <w:spacing w:val="-5"/>
          <w:w w:val="115"/>
          <w:sz w:val="21"/>
        </w:rPr>
        <w:t> </w:t>
      </w:r>
      <w:r>
        <w:rPr>
          <w:w w:val="115"/>
          <w:sz w:val="21"/>
        </w:rPr>
        <w:t>processes. Resources could include:</w:t>
      </w:r>
    </w:p>
    <w:p>
      <w:pPr>
        <w:pStyle w:val="ListParagraph"/>
        <w:numPr>
          <w:ilvl w:val="1"/>
          <w:numId w:val="202"/>
        </w:numPr>
        <w:tabs>
          <w:tab w:pos="2948" w:val="left" w:leader="none"/>
          <w:tab w:pos="2949" w:val="left" w:leader="none"/>
        </w:tabs>
        <w:spacing w:line="242" w:lineRule="auto" w:before="123" w:after="0"/>
        <w:ind w:left="2948" w:right="1814" w:hanging="567"/>
        <w:jc w:val="left"/>
        <w:rPr>
          <w:sz w:val="21"/>
        </w:rPr>
      </w:pPr>
      <w:r>
        <w:rPr>
          <w:w w:val="115"/>
          <w:sz w:val="21"/>
        </w:rPr>
        <w:t>a detailed information guide, </w:t>
      </w:r>
      <w:r>
        <w:rPr>
          <w:spacing w:val="-3"/>
          <w:w w:val="115"/>
          <w:sz w:val="21"/>
        </w:rPr>
        <w:t>similar </w:t>
      </w:r>
      <w:r>
        <w:rPr>
          <w:w w:val="115"/>
          <w:sz w:val="21"/>
        </w:rPr>
        <w:t>in format to the guide developed by the Magistrates’ Court for fencing</w:t>
      </w:r>
      <w:r>
        <w:rPr>
          <w:spacing w:val="-1"/>
          <w:w w:val="115"/>
          <w:sz w:val="21"/>
        </w:rPr>
        <w:t> </w:t>
      </w:r>
      <w:r>
        <w:rPr>
          <w:w w:val="115"/>
          <w:sz w:val="21"/>
        </w:rPr>
        <w:t>disputes</w:t>
      </w:r>
    </w:p>
    <w:p>
      <w:pPr>
        <w:pStyle w:val="ListParagraph"/>
        <w:numPr>
          <w:ilvl w:val="1"/>
          <w:numId w:val="202"/>
        </w:numPr>
        <w:tabs>
          <w:tab w:pos="2948" w:val="left" w:leader="none"/>
          <w:tab w:pos="2949" w:val="left" w:leader="none"/>
        </w:tabs>
        <w:spacing w:line="240" w:lineRule="auto" w:before="123" w:after="0"/>
        <w:ind w:left="2948" w:right="0" w:hanging="567"/>
        <w:jc w:val="left"/>
        <w:rPr>
          <w:sz w:val="21"/>
        </w:rPr>
      </w:pPr>
      <w:r>
        <w:rPr>
          <w:w w:val="115"/>
          <w:sz w:val="21"/>
        </w:rPr>
        <w:t>information about </w:t>
      </w:r>
      <w:r>
        <w:rPr>
          <w:spacing w:val="-4"/>
          <w:w w:val="115"/>
          <w:sz w:val="21"/>
        </w:rPr>
        <w:t>key </w:t>
      </w:r>
      <w:r>
        <w:rPr>
          <w:w w:val="115"/>
          <w:sz w:val="21"/>
        </w:rPr>
        <w:t>decisions made under the</w:t>
      </w:r>
      <w:r>
        <w:rPr>
          <w:spacing w:val="5"/>
          <w:w w:val="115"/>
          <w:sz w:val="21"/>
        </w:rPr>
        <w:t> </w:t>
      </w:r>
      <w:r>
        <w:rPr>
          <w:w w:val="115"/>
          <w:sz w:val="21"/>
        </w:rPr>
        <w:t>Act</w:t>
      </w:r>
    </w:p>
    <w:p>
      <w:pPr>
        <w:pStyle w:val="ListParagraph"/>
        <w:numPr>
          <w:ilvl w:val="1"/>
          <w:numId w:val="202"/>
        </w:numPr>
        <w:tabs>
          <w:tab w:pos="2948" w:val="left" w:leader="none"/>
          <w:tab w:pos="2949" w:val="left" w:leader="none"/>
        </w:tabs>
        <w:spacing w:line="242" w:lineRule="auto" w:before="123" w:after="0"/>
        <w:ind w:left="2948" w:right="2810" w:hanging="567"/>
        <w:jc w:val="left"/>
        <w:rPr>
          <w:sz w:val="21"/>
        </w:rPr>
      </w:pPr>
      <w:r>
        <w:rPr>
          <w:w w:val="115"/>
          <w:sz w:val="21"/>
        </w:rPr>
        <w:t>an annotated version of the Act </w:t>
      </w:r>
      <w:r>
        <w:rPr>
          <w:spacing w:val="-3"/>
          <w:w w:val="115"/>
          <w:sz w:val="21"/>
        </w:rPr>
        <w:t>outlining </w:t>
      </w:r>
      <w:r>
        <w:rPr>
          <w:w w:val="115"/>
          <w:sz w:val="21"/>
        </w:rPr>
        <w:t>how the </w:t>
      </w:r>
      <w:r>
        <w:rPr>
          <w:spacing w:val="-4"/>
          <w:w w:val="115"/>
          <w:sz w:val="21"/>
        </w:rPr>
        <w:t>Tribunal </w:t>
      </w:r>
      <w:r>
        <w:rPr>
          <w:w w:val="115"/>
          <w:sz w:val="21"/>
        </w:rPr>
        <w:t>has interpreted particular provisions and </w:t>
      </w:r>
      <w:r>
        <w:rPr>
          <w:spacing w:val="-3"/>
          <w:w w:val="115"/>
          <w:sz w:val="21"/>
        </w:rPr>
        <w:t>highlighting </w:t>
      </w:r>
      <w:r>
        <w:rPr>
          <w:spacing w:val="-4"/>
          <w:w w:val="115"/>
          <w:sz w:val="21"/>
        </w:rPr>
        <w:t>key</w:t>
      </w:r>
      <w:r>
        <w:rPr>
          <w:spacing w:val="-6"/>
          <w:w w:val="115"/>
          <w:sz w:val="21"/>
        </w:rPr>
        <w:t> </w:t>
      </w:r>
      <w:r>
        <w:rPr>
          <w:w w:val="115"/>
          <w:sz w:val="21"/>
        </w:rPr>
        <w:t>cases</w:t>
      </w:r>
    </w:p>
    <w:p>
      <w:pPr>
        <w:pStyle w:val="ListParagraph"/>
        <w:numPr>
          <w:ilvl w:val="1"/>
          <w:numId w:val="202"/>
        </w:numPr>
        <w:tabs>
          <w:tab w:pos="2948" w:val="left" w:leader="none"/>
          <w:tab w:pos="2949" w:val="left" w:leader="none"/>
        </w:tabs>
        <w:spacing w:line="240" w:lineRule="auto" w:before="123" w:after="0"/>
        <w:ind w:left="2948" w:right="0" w:hanging="567"/>
        <w:jc w:val="left"/>
        <w:rPr>
          <w:sz w:val="21"/>
        </w:rPr>
      </w:pPr>
      <w:r>
        <w:rPr>
          <w:w w:val="115"/>
          <w:sz w:val="21"/>
        </w:rPr>
        <w:t>a </w:t>
      </w:r>
      <w:r>
        <w:rPr>
          <w:spacing w:val="-3"/>
          <w:w w:val="115"/>
          <w:sz w:val="21"/>
        </w:rPr>
        <w:t>link </w:t>
      </w:r>
      <w:r>
        <w:rPr>
          <w:w w:val="115"/>
          <w:sz w:val="21"/>
        </w:rPr>
        <w:t>to the Dispute Settlement Centre of Victoria</w:t>
      </w:r>
      <w:r>
        <w:rPr>
          <w:spacing w:val="3"/>
          <w:w w:val="115"/>
          <w:sz w:val="21"/>
        </w:rPr>
        <w:t> </w:t>
      </w:r>
      <w:r>
        <w:rPr>
          <w:w w:val="115"/>
          <w:sz w:val="21"/>
        </w:rPr>
        <w:t>website</w:t>
      </w:r>
    </w:p>
    <w:p>
      <w:pPr>
        <w:pStyle w:val="ListParagraph"/>
        <w:numPr>
          <w:ilvl w:val="1"/>
          <w:numId w:val="202"/>
        </w:numPr>
        <w:tabs>
          <w:tab w:pos="2948" w:val="left" w:leader="none"/>
          <w:tab w:pos="2949" w:val="left" w:leader="none"/>
        </w:tabs>
        <w:spacing w:line="242" w:lineRule="auto" w:before="123" w:after="0"/>
        <w:ind w:left="2948" w:right="2413" w:hanging="567"/>
        <w:jc w:val="left"/>
        <w:rPr>
          <w:sz w:val="21"/>
        </w:rPr>
      </w:pPr>
      <w:r>
        <w:rPr>
          <w:spacing w:val="-4"/>
          <w:w w:val="115"/>
          <w:sz w:val="21"/>
        </w:rPr>
        <w:t>key</w:t>
      </w:r>
      <w:r>
        <w:rPr>
          <w:spacing w:val="-10"/>
          <w:w w:val="115"/>
          <w:sz w:val="21"/>
        </w:rPr>
        <w:t> </w:t>
      </w:r>
      <w:r>
        <w:rPr>
          <w:w w:val="115"/>
          <w:sz w:val="21"/>
        </w:rPr>
        <w:t>Practice</w:t>
      </w:r>
      <w:r>
        <w:rPr>
          <w:spacing w:val="-10"/>
          <w:w w:val="115"/>
          <w:sz w:val="21"/>
        </w:rPr>
        <w:t> </w:t>
      </w:r>
      <w:r>
        <w:rPr>
          <w:w w:val="115"/>
          <w:sz w:val="21"/>
        </w:rPr>
        <w:t>Notes</w:t>
      </w:r>
      <w:r>
        <w:rPr>
          <w:spacing w:val="-10"/>
          <w:w w:val="115"/>
          <w:sz w:val="21"/>
        </w:rPr>
        <w:t> </w:t>
      </w:r>
      <w:r>
        <w:rPr>
          <w:spacing w:val="-3"/>
          <w:w w:val="115"/>
          <w:sz w:val="21"/>
        </w:rPr>
        <w:t>relevant</w:t>
      </w:r>
      <w:r>
        <w:rPr>
          <w:spacing w:val="-9"/>
          <w:w w:val="115"/>
          <w:sz w:val="21"/>
        </w:rPr>
        <w:t> </w:t>
      </w:r>
      <w:r>
        <w:rPr>
          <w:w w:val="115"/>
          <w:sz w:val="21"/>
        </w:rPr>
        <w:t>to</w:t>
      </w:r>
      <w:r>
        <w:rPr>
          <w:spacing w:val="-10"/>
          <w:w w:val="115"/>
          <w:sz w:val="21"/>
        </w:rPr>
        <w:t> </w:t>
      </w:r>
      <w:r>
        <w:rPr>
          <w:w w:val="115"/>
          <w:sz w:val="21"/>
        </w:rPr>
        <w:t>tree</w:t>
      </w:r>
      <w:r>
        <w:rPr>
          <w:spacing w:val="-10"/>
          <w:w w:val="115"/>
          <w:sz w:val="21"/>
        </w:rPr>
        <w:t> </w:t>
      </w:r>
      <w:r>
        <w:rPr>
          <w:w w:val="115"/>
          <w:sz w:val="21"/>
        </w:rPr>
        <w:t>disputes,</w:t>
      </w:r>
      <w:r>
        <w:rPr>
          <w:spacing w:val="-10"/>
          <w:w w:val="115"/>
          <w:sz w:val="21"/>
        </w:rPr>
        <w:t> </w:t>
      </w:r>
      <w:r>
        <w:rPr>
          <w:w w:val="115"/>
          <w:sz w:val="21"/>
        </w:rPr>
        <w:t>for</w:t>
      </w:r>
      <w:r>
        <w:rPr>
          <w:spacing w:val="-9"/>
          <w:w w:val="115"/>
          <w:sz w:val="21"/>
        </w:rPr>
        <w:t> </w:t>
      </w:r>
      <w:r>
        <w:rPr>
          <w:w w:val="115"/>
          <w:sz w:val="21"/>
        </w:rPr>
        <w:t>example,</w:t>
      </w:r>
      <w:r>
        <w:rPr>
          <w:spacing w:val="-10"/>
          <w:w w:val="115"/>
          <w:sz w:val="21"/>
        </w:rPr>
        <w:t> </w:t>
      </w:r>
      <w:r>
        <w:rPr>
          <w:w w:val="115"/>
          <w:sz w:val="21"/>
        </w:rPr>
        <w:t>about</w:t>
      </w:r>
      <w:r>
        <w:rPr>
          <w:spacing w:val="-10"/>
          <w:w w:val="115"/>
          <w:sz w:val="21"/>
        </w:rPr>
        <w:t> </w:t>
      </w:r>
      <w:r>
        <w:rPr>
          <w:w w:val="115"/>
          <w:sz w:val="21"/>
        </w:rPr>
        <w:t>the provision</w:t>
      </w:r>
      <w:r>
        <w:rPr>
          <w:spacing w:val="-7"/>
          <w:w w:val="115"/>
          <w:sz w:val="21"/>
        </w:rPr>
        <w:t> </w:t>
      </w:r>
      <w:r>
        <w:rPr>
          <w:w w:val="115"/>
          <w:sz w:val="21"/>
        </w:rPr>
        <w:t>of</w:t>
      </w:r>
      <w:r>
        <w:rPr>
          <w:spacing w:val="-7"/>
          <w:w w:val="115"/>
          <w:sz w:val="21"/>
        </w:rPr>
        <w:t> </w:t>
      </w:r>
      <w:r>
        <w:rPr>
          <w:w w:val="115"/>
          <w:sz w:val="21"/>
        </w:rPr>
        <w:t>expert</w:t>
      </w:r>
      <w:r>
        <w:rPr>
          <w:spacing w:val="-6"/>
          <w:w w:val="115"/>
          <w:sz w:val="21"/>
        </w:rPr>
        <w:t> </w:t>
      </w:r>
      <w:r>
        <w:rPr>
          <w:w w:val="115"/>
          <w:sz w:val="21"/>
        </w:rPr>
        <w:t>evidence</w:t>
      </w:r>
      <w:r>
        <w:rPr>
          <w:spacing w:val="-7"/>
          <w:w w:val="115"/>
          <w:sz w:val="21"/>
        </w:rPr>
        <w:t> </w:t>
      </w:r>
      <w:r>
        <w:rPr>
          <w:w w:val="115"/>
          <w:sz w:val="21"/>
        </w:rPr>
        <w:t>and</w:t>
      </w:r>
      <w:r>
        <w:rPr>
          <w:spacing w:val="-6"/>
          <w:w w:val="115"/>
          <w:sz w:val="21"/>
        </w:rPr>
        <w:t> </w:t>
      </w:r>
      <w:r>
        <w:rPr>
          <w:w w:val="115"/>
          <w:sz w:val="21"/>
        </w:rPr>
        <w:t>alternative</w:t>
      </w:r>
      <w:r>
        <w:rPr>
          <w:spacing w:val="-7"/>
          <w:w w:val="115"/>
          <w:sz w:val="21"/>
        </w:rPr>
        <w:t> </w:t>
      </w:r>
      <w:r>
        <w:rPr>
          <w:w w:val="115"/>
          <w:sz w:val="21"/>
        </w:rPr>
        <w:t>dispute</w:t>
      </w:r>
      <w:r>
        <w:rPr>
          <w:spacing w:val="-6"/>
          <w:w w:val="115"/>
          <w:sz w:val="21"/>
        </w:rPr>
        <w:t> </w:t>
      </w:r>
      <w:r>
        <w:rPr>
          <w:w w:val="115"/>
          <w:sz w:val="21"/>
        </w:rPr>
        <w:t>resolution.</w:t>
      </w:r>
    </w:p>
    <w:p>
      <w:pPr>
        <w:pStyle w:val="ListParagraph"/>
        <w:numPr>
          <w:ilvl w:val="0"/>
          <w:numId w:val="202"/>
        </w:numPr>
        <w:tabs>
          <w:tab w:pos="2381" w:val="left" w:leader="none"/>
          <w:tab w:pos="2382" w:val="left" w:leader="none"/>
        </w:tabs>
        <w:spacing w:line="242" w:lineRule="auto" w:before="123" w:after="0"/>
        <w:ind w:left="2381" w:right="1873" w:hanging="567"/>
        <w:jc w:val="left"/>
        <w:rPr>
          <w:sz w:val="21"/>
        </w:rPr>
      </w:pPr>
      <w:r>
        <w:rPr>
          <w:w w:val="115"/>
          <w:sz w:val="21"/>
        </w:rPr>
        <w:t>The services of the Dispute Settlement Centre of Victoria should be promoted more </w:t>
      </w:r>
      <w:r>
        <w:rPr>
          <w:spacing w:val="-3"/>
          <w:w w:val="115"/>
          <w:sz w:val="21"/>
        </w:rPr>
        <w:t>broadly. </w:t>
      </w:r>
      <w:r>
        <w:rPr>
          <w:w w:val="115"/>
          <w:sz w:val="21"/>
        </w:rPr>
        <w:t>Community engagement workshops could be conducted for the</w:t>
      </w:r>
      <w:r>
        <w:rPr>
          <w:spacing w:val="-13"/>
          <w:w w:val="115"/>
          <w:sz w:val="21"/>
        </w:rPr>
        <w:t> </w:t>
      </w:r>
      <w:r>
        <w:rPr>
          <w:w w:val="115"/>
          <w:sz w:val="21"/>
        </w:rPr>
        <w:t>arboricultural</w:t>
      </w:r>
      <w:r>
        <w:rPr>
          <w:spacing w:val="-13"/>
          <w:w w:val="115"/>
          <w:sz w:val="21"/>
        </w:rPr>
        <w:t> </w:t>
      </w:r>
      <w:r>
        <w:rPr>
          <w:w w:val="115"/>
          <w:sz w:val="21"/>
        </w:rPr>
        <w:t>industry</w:t>
      </w:r>
      <w:r>
        <w:rPr>
          <w:spacing w:val="-13"/>
          <w:w w:val="115"/>
          <w:sz w:val="21"/>
        </w:rPr>
        <w:t> </w:t>
      </w:r>
      <w:r>
        <w:rPr>
          <w:w w:val="115"/>
          <w:sz w:val="21"/>
        </w:rPr>
        <w:t>and</w:t>
      </w:r>
      <w:r>
        <w:rPr>
          <w:spacing w:val="-12"/>
          <w:w w:val="115"/>
          <w:sz w:val="21"/>
        </w:rPr>
        <w:t> </w:t>
      </w:r>
      <w:r>
        <w:rPr>
          <w:w w:val="115"/>
          <w:sz w:val="21"/>
        </w:rPr>
        <w:t>other</w:t>
      </w:r>
      <w:r>
        <w:rPr>
          <w:spacing w:val="-13"/>
          <w:w w:val="115"/>
          <w:sz w:val="21"/>
        </w:rPr>
        <w:t> </w:t>
      </w:r>
      <w:r>
        <w:rPr>
          <w:w w:val="115"/>
          <w:sz w:val="21"/>
        </w:rPr>
        <w:t>interested</w:t>
      </w:r>
      <w:r>
        <w:rPr>
          <w:spacing w:val="-13"/>
          <w:w w:val="115"/>
          <w:sz w:val="21"/>
        </w:rPr>
        <w:t> </w:t>
      </w:r>
      <w:r>
        <w:rPr>
          <w:w w:val="115"/>
          <w:sz w:val="21"/>
        </w:rPr>
        <w:t>organisations</w:t>
      </w:r>
      <w:r>
        <w:rPr>
          <w:spacing w:val="-13"/>
          <w:w w:val="115"/>
          <w:sz w:val="21"/>
        </w:rPr>
        <w:t> </w:t>
      </w:r>
      <w:r>
        <w:rPr>
          <w:w w:val="115"/>
          <w:sz w:val="21"/>
        </w:rPr>
        <w:t>and</w:t>
      </w:r>
      <w:r>
        <w:rPr>
          <w:spacing w:val="-12"/>
          <w:w w:val="115"/>
          <w:sz w:val="21"/>
        </w:rPr>
        <w:t> </w:t>
      </w:r>
      <w:r>
        <w:rPr>
          <w:w w:val="115"/>
          <w:sz w:val="21"/>
        </w:rPr>
        <w:t>professional bodies.</w:t>
      </w:r>
    </w:p>
    <w:p>
      <w:pPr>
        <w:pStyle w:val="ListParagraph"/>
        <w:numPr>
          <w:ilvl w:val="0"/>
          <w:numId w:val="202"/>
        </w:numPr>
        <w:tabs>
          <w:tab w:pos="2381" w:val="left" w:leader="none"/>
          <w:tab w:pos="2382" w:val="left" w:leader="none"/>
        </w:tabs>
        <w:spacing w:line="242" w:lineRule="auto" w:before="124" w:after="0"/>
        <w:ind w:left="2381" w:right="1928" w:hanging="567"/>
        <w:jc w:val="left"/>
        <w:rPr>
          <w:sz w:val="21"/>
        </w:rPr>
      </w:pPr>
      <w:r>
        <w:rPr>
          <w:w w:val="115"/>
          <w:sz w:val="21"/>
        </w:rPr>
        <w:t>Local</w:t>
      </w:r>
      <w:r>
        <w:rPr>
          <w:spacing w:val="-15"/>
          <w:w w:val="115"/>
          <w:sz w:val="21"/>
        </w:rPr>
        <w:t> </w:t>
      </w:r>
      <w:r>
        <w:rPr>
          <w:w w:val="115"/>
          <w:sz w:val="21"/>
        </w:rPr>
        <w:t>councils</w:t>
      </w:r>
      <w:r>
        <w:rPr>
          <w:spacing w:val="-15"/>
          <w:w w:val="115"/>
          <w:sz w:val="21"/>
        </w:rPr>
        <w:t> </w:t>
      </w:r>
      <w:r>
        <w:rPr>
          <w:w w:val="115"/>
          <w:sz w:val="21"/>
        </w:rPr>
        <w:t>should</w:t>
      </w:r>
      <w:r>
        <w:rPr>
          <w:spacing w:val="-14"/>
          <w:w w:val="115"/>
          <w:sz w:val="21"/>
        </w:rPr>
        <w:t> </w:t>
      </w:r>
      <w:r>
        <w:rPr>
          <w:w w:val="115"/>
          <w:sz w:val="21"/>
        </w:rPr>
        <w:t>continue</w:t>
      </w:r>
      <w:r>
        <w:rPr>
          <w:spacing w:val="-15"/>
          <w:w w:val="115"/>
          <w:sz w:val="21"/>
        </w:rPr>
        <w:t> </w:t>
      </w:r>
      <w:r>
        <w:rPr>
          <w:w w:val="115"/>
          <w:sz w:val="21"/>
        </w:rPr>
        <w:t>to</w:t>
      </w:r>
      <w:r>
        <w:rPr>
          <w:spacing w:val="-14"/>
          <w:w w:val="115"/>
          <w:sz w:val="21"/>
        </w:rPr>
        <w:t> </w:t>
      </w:r>
      <w:r>
        <w:rPr>
          <w:w w:val="115"/>
          <w:sz w:val="21"/>
        </w:rPr>
        <w:t>provide</w:t>
      </w:r>
      <w:r>
        <w:rPr>
          <w:spacing w:val="-15"/>
          <w:w w:val="115"/>
          <w:sz w:val="21"/>
        </w:rPr>
        <w:t> </w:t>
      </w:r>
      <w:r>
        <w:rPr>
          <w:w w:val="115"/>
          <w:sz w:val="21"/>
        </w:rPr>
        <w:t>resources</w:t>
      </w:r>
      <w:r>
        <w:rPr>
          <w:spacing w:val="-15"/>
          <w:w w:val="115"/>
          <w:sz w:val="21"/>
        </w:rPr>
        <w:t> </w:t>
      </w:r>
      <w:r>
        <w:rPr>
          <w:w w:val="115"/>
          <w:sz w:val="21"/>
        </w:rPr>
        <w:t>to</w:t>
      </w:r>
      <w:r>
        <w:rPr>
          <w:spacing w:val="-14"/>
          <w:w w:val="115"/>
          <w:sz w:val="21"/>
        </w:rPr>
        <w:t> </w:t>
      </w:r>
      <w:r>
        <w:rPr>
          <w:w w:val="115"/>
          <w:sz w:val="21"/>
        </w:rPr>
        <w:t>the</w:t>
      </w:r>
      <w:r>
        <w:rPr>
          <w:spacing w:val="-15"/>
          <w:w w:val="115"/>
          <w:sz w:val="21"/>
        </w:rPr>
        <w:t> </w:t>
      </w:r>
      <w:r>
        <w:rPr>
          <w:w w:val="115"/>
          <w:sz w:val="21"/>
        </w:rPr>
        <w:t>community</w:t>
      </w:r>
      <w:r>
        <w:rPr>
          <w:spacing w:val="-14"/>
          <w:w w:val="115"/>
          <w:sz w:val="21"/>
        </w:rPr>
        <w:t> </w:t>
      </w:r>
      <w:r>
        <w:rPr>
          <w:spacing w:val="-3"/>
          <w:w w:val="115"/>
          <w:sz w:val="21"/>
        </w:rPr>
        <w:t>relevant </w:t>
      </w:r>
      <w:r>
        <w:rPr>
          <w:w w:val="115"/>
          <w:sz w:val="21"/>
        </w:rPr>
        <w:t>to tree disputes. These resources could</w:t>
      </w:r>
      <w:r>
        <w:rPr>
          <w:spacing w:val="-9"/>
          <w:w w:val="115"/>
          <w:sz w:val="21"/>
        </w:rPr>
        <w:t> </w:t>
      </w:r>
      <w:r>
        <w:rPr>
          <w:w w:val="115"/>
          <w:sz w:val="21"/>
        </w:rPr>
        <w:t>include:</w:t>
      </w:r>
    </w:p>
    <w:p>
      <w:pPr>
        <w:pStyle w:val="ListParagraph"/>
        <w:numPr>
          <w:ilvl w:val="1"/>
          <w:numId w:val="202"/>
        </w:numPr>
        <w:tabs>
          <w:tab w:pos="2948" w:val="left" w:leader="none"/>
          <w:tab w:pos="2949" w:val="left" w:leader="none"/>
        </w:tabs>
        <w:spacing w:line="240" w:lineRule="auto" w:before="122" w:after="0"/>
        <w:ind w:left="2948" w:right="0" w:hanging="567"/>
        <w:jc w:val="left"/>
        <w:rPr>
          <w:sz w:val="21"/>
        </w:rPr>
      </w:pPr>
      <w:r>
        <w:rPr>
          <w:w w:val="115"/>
          <w:sz w:val="21"/>
        </w:rPr>
        <w:t>tree planting guidelines suited to local</w:t>
      </w:r>
      <w:r>
        <w:rPr>
          <w:spacing w:val="1"/>
          <w:w w:val="115"/>
          <w:sz w:val="21"/>
        </w:rPr>
        <w:t> </w:t>
      </w:r>
      <w:r>
        <w:rPr>
          <w:w w:val="115"/>
          <w:sz w:val="21"/>
        </w:rPr>
        <w:t>areas</w:t>
      </w:r>
    </w:p>
    <w:p>
      <w:pPr>
        <w:pStyle w:val="ListParagraph"/>
        <w:numPr>
          <w:ilvl w:val="1"/>
          <w:numId w:val="202"/>
        </w:numPr>
        <w:tabs>
          <w:tab w:pos="2948" w:val="left" w:leader="none"/>
          <w:tab w:pos="2949" w:val="left" w:leader="none"/>
        </w:tabs>
        <w:spacing w:line="240" w:lineRule="auto" w:before="124" w:after="0"/>
        <w:ind w:left="2948" w:right="0" w:hanging="567"/>
        <w:jc w:val="left"/>
        <w:rPr>
          <w:sz w:val="21"/>
        </w:rPr>
      </w:pPr>
      <w:r>
        <w:rPr>
          <w:w w:val="115"/>
          <w:sz w:val="21"/>
        </w:rPr>
        <w:t>fact sheets on the application of local tree protection</w:t>
      </w:r>
      <w:r>
        <w:rPr>
          <w:spacing w:val="-2"/>
          <w:w w:val="115"/>
          <w:sz w:val="21"/>
        </w:rPr>
        <w:t> </w:t>
      </w:r>
      <w:r>
        <w:rPr>
          <w:w w:val="115"/>
          <w:sz w:val="21"/>
        </w:rPr>
        <w:t>laws</w:t>
      </w:r>
    </w:p>
    <w:p>
      <w:pPr>
        <w:pStyle w:val="ListParagraph"/>
        <w:numPr>
          <w:ilvl w:val="1"/>
          <w:numId w:val="202"/>
        </w:numPr>
        <w:tabs>
          <w:tab w:pos="2948" w:val="left" w:leader="none"/>
          <w:tab w:pos="2949" w:val="left" w:leader="none"/>
        </w:tabs>
        <w:spacing w:line="240" w:lineRule="auto" w:before="124" w:after="0"/>
        <w:ind w:left="2948" w:right="0" w:hanging="567"/>
        <w:jc w:val="left"/>
        <w:rPr>
          <w:sz w:val="21"/>
        </w:rPr>
      </w:pPr>
      <w:r>
        <w:rPr>
          <w:w w:val="115"/>
          <w:sz w:val="21"/>
        </w:rPr>
        <w:t>information about engaging appropriately qualified</w:t>
      </w:r>
      <w:r>
        <w:rPr>
          <w:spacing w:val="3"/>
          <w:w w:val="115"/>
          <w:sz w:val="21"/>
        </w:rPr>
        <w:t> </w:t>
      </w:r>
      <w:r>
        <w:rPr>
          <w:w w:val="115"/>
          <w:sz w:val="21"/>
        </w:rPr>
        <w:t>arborists.</w:t>
      </w:r>
    </w:p>
    <w:p>
      <w:pPr>
        <w:pStyle w:val="ListParagraph"/>
        <w:numPr>
          <w:ilvl w:val="0"/>
          <w:numId w:val="202"/>
        </w:numPr>
        <w:tabs>
          <w:tab w:pos="2381" w:val="left" w:leader="none"/>
          <w:tab w:pos="2382" w:val="left" w:leader="none"/>
        </w:tabs>
        <w:spacing w:line="242" w:lineRule="auto" w:before="124" w:after="0"/>
        <w:ind w:left="2381" w:right="2040" w:hanging="567"/>
        <w:jc w:val="left"/>
        <w:rPr>
          <w:sz w:val="21"/>
        </w:rPr>
      </w:pPr>
      <w:r>
        <w:rPr>
          <w:w w:val="115"/>
          <w:sz w:val="21"/>
        </w:rPr>
        <w:t>The arboricultural industry should provide information to the community about how people can identify and engage appropriately qualified</w:t>
      </w:r>
      <w:r>
        <w:rPr>
          <w:spacing w:val="-15"/>
          <w:w w:val="115"/>
          <w:sz w:val="21"/>
        </w:rPr>
        <w:t> </w:t>
      </w:r>
      <w:r>
        <w:rPr>
          <w:w w:val="115"/>
          <w:sz w:val="21"/>
        </w:rPr>
        <w:t>arborists.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spacing w:before="96"/>
        <w:ind w:left="720" w:right="0" w:firstLine="0"/>
        <w:jc w:val="left"/>
        <w:rPr>
          <w:b/>
          <w:sz w:val="24"/>
        </w:rPr>
      </w:pPr>
      <w:r>
        <w:rPr>
          <w:b/>
          <w:color w:val="658464"/>
          <w:w w:val="110"/>
          <w:sz w:val="24"/>
        </w:rPr>
        <w:t>288</w:t>
      </w:r>
    </w:p>
    <w:p>
      <w:pPr>
        <w:spacing w:after="0"/>
        <w:jc w:val="left"/>
        <w:rPr>
          <w:sz w:val="24"/>
        </w:rPr>
        <w:sectPr>
          <w:pgSz w:w="11910" w:h="16840"/>
          <w:pgMar w:header="546" w:footer="0" w:top="156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445216" filled="true" fillcolor="#ecefee" stroked="false">
            <v:fill type="solid"/>
            <w10:wrap type="none"/>
          </v:rect>
        </w:pict>
      </w:r>
      <w:r>
        <w:rPr>
          <w:b/>
          <w:color w:val="FFFFFF"/>
          <w:w w:val="122"/>
          <w:sz w:val="48"/>
          <w:shd w:fill="658464" w:color="auto" w:val="clear"/>
        </w:rPr>
        <w:t> </w:t>
      </w:r>
      <w:r>
        <w:rPr>
          <w:b/>
          <w:color w:val="FFFFFF"/>
          <w:spacing w:val="41"/>
          <w:sz w:val="48"/>
          <w:shd w:fill="658464" w:color="auto" w:val="clear"/>
        </w:rPr>
        <w:t> </w:t>
      </w:r>
      <w:r>
        <w:rPr>
          <w:b/>
          <w:color w:val="FFFFFF"/>
          <w:spacing w:val="-11"/>
          <w:w w:val="105"/>
          <w:sz w:val="48"/>
          <w:shd w:fill="658464" w:color="auto" w:val="clear"/>
        </w:rPr>
        <w:t>13</w:t>
      </w:r>
      <w:r>
        <w:rPr>
          <w:b/>
          <w:color w:val="FFFFFF"/>
          <w:spacing w:val="-11"/>
          <w:sz w:val="48"/>
          <w:shd w:fill="658464"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p>
    <w:p>
      <w:pPr>
        <w:tabs>
          <w:tab w:pos="1587" w:val="left" w:leader="none"/>
          <w:tab w:pos="7972" w:val="left" w:leader="none"/>
        </w:tabs>
        <w:spacing w:line="1146" w:lineRule="exact" w:before="84"/>
        <w:ind w:left="0" w:right="0" w:firstLine="0"/>
        <w:jc w:val="left"/>
        <w:rPr>
          <w:b/>
          <w:sz w:val="96"/>
        </w:rPr>
      </w:pPr>
      <w:r>
        <w:rPr>
          <w:b/>
          <w:color w:val="658464"/>
          <w:w w:val="122"/>
          <w:sz w:val="96"/>
          <w:shd w:fill="FFFFFF" w:color="auto" w:val="clear"/>
        </w:rPr>
        <w:t> </w:t>
      </w:r>
      <w:r>
        <w:rPr>
          <w:b/>
          <w:color w:val="658464"/>
          <w:sz w:val="96"/>
          <w:shd w:fill="FFFFFF" w:color="auto" w:val="clear"/>
        </w:rPr>
        <w:tab/>
      </w:r>
      <w:r>
        <w:rPr>
          <w:b/>
          <w:color w:val="658464"/>
          <w:spacing w:val="-19"/>
          <w:w w:val="110"/>
          <w:sz w:val="96"/>
          <w:shd w:fill="FFFFFF" w:color="auto" w:val="clear"/>
        </w:rPr>
        <w:t>Other</w:t>
      </w:r>
      <w:r>
        <w:rPr>
          <w:b/>
          <w:color w:val="658464"/>
          <w:spacing w:val="92"/>
          <w:w w:val="110"/>
          <w:sz w:val="96"/>
          <w:shd w:fill="FFFFFF" w:color="auto" w:val="clear"/>
        </w:rPr>
        <w:t> </w:t>
      </w:r>
      <w:r>
        <w:rPr>
          <w:b/>
          <w:color w:val="658464"/>
          <w:spacing w:val="-21"/>
          <w:w w:val="110"/>
          <w:sz w:val="96"/>
          <w:shd w:fill="FFFFFF" w:color="auto" w:val="clear"/>
        </w:rPr>
        <w:t>matters</w:t>
      </w:r>
      <w:r>
        <w:rPr>
          <w:b/>
          <w:color w:val="658464"/>
          <w:spacing w:val="-21"/>
          <w:sz w:val="96"/>
          <w:shd w:fill="FFFFFF" w:color="auto" w:val="clear"/>
        </w:rPr>
        <w:tab/>
      </w:r>
    </w:p>
    <w:p>
      <w:pPr>
        <w:tabs>
          <w:tab w:pos="1587" w:val="left" w:leader="none"/>
          <w:tab w:pos="8678" w:val="left" w:leader="none"/>
        </w:tabs>
        <w:spacing w:line="1146" w:lineRule="exact" w:before="0"/>
        <w:ind w:left="0" w:right="0" w:firstLine="0"/>
        <w:jc w:val="left"/>
        <w:rPr>
          <w:b/>
          <w:sz w:val="96"/>
        </w:rPr>
      </w:pPr>
      <w:r>
        <w:rPr>
          <w:b/>
          <w:color w:val="658464"/>
          <w:w w:val="122"/>
          <w:sz w:val="96"/>
          <w:shd w:fill="FFFFFF" w:color="auto" w:val="clear"/>
        </w:rPr>
        <w:t> </w:t>
      </w:r>
      <w:r>
        <w:rPr>
          <w:b/>
          <w:color w:val="658464"/>
          <w:sz w:val="96"/>
          <w:shd w:fill="FFFFFF" w:color="auto" w:val="clear"/>
        </w:rPr>
        <w:tab/>
      </w:r>
      <w:r>
        <w:rPr>
          <w:b/>
          <w:color w:val="658464"/>
          <w:spacing w:val="-18"/>
          <w:w w:val="110"/>
          <w:sz w:val="96"/>
          <w:shd w:fill="FFFFFF" w:color="auto" w:val="clear"/>
        </w:rPr>
        <w:t>and</w:t>
      </w:r>
      <w:r>
        <w:rPr>
          <w:b/>
          <w:color w:val="658464"/>
          <w:spacing w:val="143"/>
          <w:w w:val="110"/>
          <w:sz w:val="96"/>
          <w:shd w:fill="FFFFFF" w:color="auto" w:val="clear"/>
        </w:rPr>
        <w:t> </w:t>
      </w:r>
      <w:r>
        <w:rPr>
          <w:b/>
          <w:color w:val="658464"/>
          <w:spacing w:val="-25"/>
          <w:w w:val="110"/>
          <w:sz w:val="96"/>
          <w:shd w:fill="FFFFFF" w:color="auto" w:val="clear"/>
        </w:rPr>
        <w:t>conclusions</w:t>
      </w:r>
      <w:r>
        <w:rPr>
          <w:b/>
          <w:color w:val="658464"/>
          <w:spacing w:val="-25"/>
          <w:sz w:val="96"/>
          <w:shd w:fill="FFFFFF" w:color="auto" w:val="clear"/>
        </w:rPr>
        <w:tab/>
      </w:r>
    </w:p>
    <w:p>
      <w:pPr>
        <w:pStyle w:val="BodyText"/>
        <w:rPr>
          <w:b/>
          <w:sz w:val="20"/>
        </w:rPr>
      </w:pPr>
    </w:p>
    <w:p>
      <w:pPr>
        <w:pStyle w:val="BodyText"/>
        <w:rPr>
          <w:b/>
          <w:sz w:val="20"/>
        </w:rPr>
      </w:pPr>
    </w:p>
    <w:p>
      <w:pPr>
        <w:pStyle w:val="BodyText"/>
        <w:rPr>
          <w:b/>
          <w:sz w:val="20"/>
        </w:rPr>
      </w:pPr>
    </w:p>
    <w:p>
      <w:pPr>
        <w:pStyle w:val="BodyText"/>
        <w:spacing w:before="3"/>
        <w:rPr>
          <w:b/>
          <w:sz w:val="12"/>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4480"/>
      </w:tblGrid>
      <w:tr>
        <w:trPr>
          <w:trHeight w:val="335" w:hRule="atLeast"/>
        </w:trPr>
        <w:tc>
          <w:tcPr>
            <w:tcW w:w="510" w:type="dxa"/>
            <w:tcBorders>
              <w:bottom w:val="single" w:sz="18" w:space="0" w:color="FFFFFF"/>
            </w:tcBorders>
            <w:shd w:val="clear" w:color="auto" w:fill="ECEFEE"/>
          </w:tcPr>
          <w:p>
            <w:pPr>
              <w:pStyle w:val="TableParagraph"/>
              <w:spacing w:line="289" w:lineRule="exact"/>
              <w:rPr>
                <w:b/>
                <w:sz w:val="24"/>
              </w:rPr>
            </w:pPr>
            <w:hyperlink w:history="true" w:anchor="_bookmark160">
              <w:r>
                <w:rPr>
                  <w:b/>
                  <w:w w:val="110"/>
                  <w:sz w:val="24"/>
                </w:rPr>
                <w:t>290</w:t>
              </w:r>
            </w:hyperlink>
          </w:p>
        </w:tc>
        <w:tc>
          <w:tcPr>
            <w:tcW w:w="4480" w:type="dxa"/>
            <w:shd w:val="clear" w:color="auto" w:fill="ECEFEE"/>
          </w:tcPr>
          <w:p>
            <w:pPr>
              <w:pStyle w:val="TableParagraph"/>
              <w:spacing w:line="289" w:lineRule="exact"/>
              <w:ind w:left="57"/>
              <w:rPr>
                <w:b/>
                <w:sz w:val="24"/>
              </w:rPr>
            </w:pPr>
            <w:hyperlink w:history="true" w:anchor="_bookmark160">
              <w:r>
                <w:rPr>
                  <w:b/>
                  <w:w w:val="110"/>
                  <w:sz w:val="24"/>
                </w:rPr>
                <w:t>Introduction</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9"/>
              <w:rPr>
                <w:b/>
                <w:sz w:val="24"/>
              </w:rPr>
            </w:pPr>
            <w:hyperlink w:history="true" w:anchor="_bookmark160">
              <w:r>
                <w:rPr>
                  <w:b/>
                  <w:w w:val="110"/>
                  <w:sz w:val="24"/>
                </w:rPr>
                <w:t>290</w:t>
              </w:r>
            </w:hyperlink>
          </w:p>
        </w:tc>
        <w:tc>
          <w:tcPr>
            <w:tcW w:w="4480" w:type="dxa"/>
            <w:shd w:val="clear" w:color="auto" w:fill="ECEFEE"/>
          </w:tcPr>
          <w:p>
            <w:pPr>
              <w:pStyle w:val="TableParagraph"/>
              <w:spacing w:before="89"/>
              <w:ind w:left="56"/>
              <w:rPr>
                <w:b/>
                <w:sz w:val="24"/>
              </w:rPr>
            </w:pPr>
            <w:hyperlink w:history="true" w:anchor="_bookmark160">
              <w:r>
                <w:rPr>
                  <w:b/>
                  <w:w w:val="115"/>
                  <w:sz w:val="24"/>
                </w:rPr>
                <w:t>Online dispute resolution</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62">
              <w:r>
                <w:rPr>
                  <w:b/>
                  <w:w w:val="110"/>
                  <w:sz w:val="24"/>
                </w:rPr>
                <w:t>293</w:t>
              </w:r>
            </w:hyperlink>
          </w:p>
        </w:tc>
        <w:tc>
          <w:tcPr>
            <w:tcW w:w="4480" w:type="dxa"/>
            <w:shd w:val="clear" w:color="auto" w:fill="ECEFEE"/>
          </w:tcPr>
          <w:p>
            <w:pPr>
              <w:pStyle w:val="TableParagraph"/>
              <w:spacing w:before="88"/>
              <w:ind w:left="56"/>
              <w:rPr>
                <w:b/>
                <w:sz w:val="24"/>
              </w:rPr>
            </w:pPr>
            <w:hyperlink w:history="true" w:anchor="_bookmark162">
              <w:r>
                <w:rPr>
                  <w:b/>
                  <w:w w:val="115"/>
                  <w:sz w:val="24"/>
                </w:rPr>
                <w:t>Other options for law reform</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64">
              <w:r>
                <w:rPr>
                  <w:b/>
                  <w:w w:val="110"/>
                  <w:sz w:val="24"/>
                </w:rPr>
                <w:t>297</w:t>
              </w:r>
            </w:hyperlink>
          </w:p>
        </w:tc>
        <w:tc>
          <w:tcPr>
            <w:tcW w:w="4480" w:type="dxa"/>
            <w:shd w:val="clear" w:color="auto" w:fill="ECEFEE"/>
          </w:tcPr>
          <w:p>
            <w:pPr>
              <w:pStyle w:val="TableParagraph"/>
              <w:spacing w:before="88"/>
              <w:ind w:left="56"/>
              <w:rPr>
                <w:b/>
                <w:sz w:val="24"/>
              </w:rPr>
            </w:pPr>
            <w:hyperlink w:history="true" w:anchor="_bookmark164">
              <w:r>
                <w:rPr>
                  <w:b/>
                  <w:w w:val="115"/>
                  <w:sz w:val="24"/>
                </w:rPr>
                <w:t>Issues </w:t>
              </w:r>
              <w:r>
                <w:rPr>
                  <w:b/>
                  <w:spacing w:val="-2"/>
                  <w:w w:val="115"/>
                  <w:sz w:val="24"/>
                </w:rPr>
                <w:t>beyond </w:t>
              </w:r>
              <w:r>
                <w:rPr>
                  <w:b/>
                  <w:w w:val="115"/>
                  <w:sz w:val="24"/>
                </w:rPr>
                <w:t>the scope of this inquiry</w:t>
              </w:r>
            </w:hyperlink>
          </w:p>
        </w:tc>
      </w:tr>
      <w:tr>
        <w:trPr>
          <w:trHeight w:val="428" w:hRule="atLeast"/>
        </w:trPr>
        <w:tc>
          <w:tcPr>
            <w:tcW w:w="510" w:type="dxa"/>
            <w:tcBorders>
              <w:top w:val="single" w:sz="18" w:space="0" w:color="FFFFFF"/>
              <w:bottom w:val="single" w:sz="18" w:space="0" w:color="FFFFFF"/>
            </w:tcBorders>
            <w:shd w:val="clear" w:color="auto" w:fill="ECEFEE"/>
          </w:tcPr>
          <w:p>
            <w:pPr>
              <w:pStyle w:val="TableParagraph"/>
              <w:spacing w:before="88"/>
              <w:rPr>
                <w:b/>
                <w:sz w:val="24"/>
              </w:rPr>
            </w:pPr>
            <w:hyperlink w:history="true" w:anchor="_bookmark167">
              <w:r>
                <w:rPr>
                  <w:b/>
                  <w:w w:val="110"/>
                  <w:sz w:val="24"/>
                </w:rPr>
                <w:t>301</w:t>
              </w:r>
            </w:hyperlink>
          </w:p>
        </w:tc>
        <w:tc>
          <w:tcPr>
            <w:tcW w:w="4480" w:type="dxa"/>
            <w:shd w:val="clear" w:color="auto" w:fill="ECEFEE"/>
          </w:tcPr>
          <w:p>
            <w:pPr>
              <w:pStyle w:val="TableParagraph"/>
              <w:spacing w:before="88"/>
              <w:ind w:left="56"/>
              <w:rPr>
                <w:b/>
                <w:sz w:val="24"/>
              </w:rPr>
            </w:pPr>
            <w:hyperlink w:history="true" w:anchor="_bookmark167">
              <w:r>
                <w:rPr>
                  <w:b/>
                  <w:w w:val="115"/>
                  <w:sz w:val="24"/>
                </w:rPr>
                <w:t>Review of the new Act</w:t>
              </w:r>
            </w:hyperlink>
          </w:p>
        </w:tc>
      </w:tr>
    </w:tbl>
    <w:p>
      <w:pPr>
        <w:spacing w:after="0"/>
        <w:rPr>
          <w:sz w:val="24"/>
        </w:rPr>
        <w:sectPr>
          <w:headerReference w:type="default" r:id="rId347"/>
          <w:headerReference w:type="even" r:id="rId348"/>
          <w:pgSz w:w="11910" w:h="16840"/>
          <w:pgMar w:header="0" w:footer="0" w:top="720" w:bottom="280" w:left="0" w:right="0"/>
        </w:sectPr>
      </w:pPr>
    </w:p>
    <w:p>
      <w:pPr>
        <w:pStyle w:val="BodyText"/>
        <w:spacing w:before="10"/>
        <w:rPr>
          <w:b/>
          <w:sz w:val="18"/>
        </w:rPr>
      </w:pPr>
    </w:p>
    <w:p>
      <w:pPr>
        <w:pStyle w:val="ListParagraph"/>
        <w:numPr>
          <w:ilvl w:val="0"/>
          <w:numId w:val="16"/>
        </w:numPr>
        <w:tabs>
          <w:tab w:pos="1248" w:val="left" w:leader="none"/>
        </w:tabs>
        <w:spacing w:line="240" w:lineRule="auto" w:before="93" w:after="0"/>
        <w:ind w:left="1247" w:right="0" w:hanging="681"/>
        <w:jc w:val="left"/>
        <w:rPr>
          <w:b/>
          <w:sz w:val="44"/>
        </w:rPr>
      </w:pPr>
      <w:bookmarkStart w:name="13. Other matters and conclusions" w:id="344"/>
      <w:bookmarkEnd w:id="344"/>
      <w:r>
        <w:rPr/>
      </w:r>
      <w:bookmarkStart w:name="Introduction" w:id="345"/>
      <w:bookmarkEnd w:id="345"/>
      <w:r>
        <w:rPr/>
      </w:r>
      <w:bookmarkStart w:name="Online dispute resolution" w:id="346"/>
      <w:bookmarkEnd w:id="346"/>
      <w:r>
        <w:rPr/>
      </w:r>
      <w:bookmarkStart w:name="_bookmark160" w:id="347"/>
      <w:bookmarkEnd w:id="347"/>
      <w:r>
        <w:rPr/>
      </w:r>
      <w:bookmarkStart w:name="_bookmark160" w:id="348"/>
      <w:bookmarkEnd w:id="348"/>
      <w:r>
        <w:rPr>
          <w:b/>
          <w:color w:val="658464"/>
          <w:w w:val="110"/>
          <w:sz w:val="44"/>
        </w:rPr>
        <w:t>O</w:t>
      </w:r>
      <w:r>
        <w:rPr>
          <w:b/>
          <w:color w:val="658464"/>
          <w:w w:val="110"/>
          <w:sz w:val="44"/>
        </w:rPr>
        <w:t>ther matters and</w:t>
      </w:r>
      <w:r>
        <w:rPr>
          <w:b/>
          <w:color w:val="658464"/>
          <w:spacing w:val="43"/>
          <w:w w:val="110"/>
          <w:sz w:val="44"/>
        </w:rPr>
        <w:t> </w:t>
      </w:r>
      <w:r>
        <w:rPr>
          <w:b/>
          <w:color w:val="658464"/>
          <w:spacing w:val="-3"/>
          <w:w w:val="110"/>
          <w:sz w:val="44"/>
        </w:rPr>
        <w:t>conclusions</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spacing w:before="11"/>
        <w:rPr>
          <w:b/>
          <w:sz w:val="47"/>
        </w:rPr>
      </w:pPr>
    </w:p>
    <w:p>
      <w:pPr>
        <w:spacing w:before="0"/>
        <w:ind w:left="1587" w:right="0" w:firstLine="0"/>
        <w:jc w:val="left"/>
        <w:rPr>
          <w:b/>
          <w:sz w:val="28"/>
        </w:rPr>
      </w:pPr>
      <w:r>
        <w:rPr>
          <w:b/>
          <w:color w:val="658464"/>
          <w:w w:val="110"/>
          <w:sz w:val="28"/>
        </w:rPr>
        <w:t>Introduction</w:t>
      </w:r>
    </w:p>
    <w:p>
      <w:pPr>
        <w:pStyle w:val="ListParagraph"/>
        <w:numPr>
          <w:ilvl w:val="1"/>
          <w:numId w:val="16"/>
        </w:numPr>
        <w:tabs>
          <w:tab w:pos="2380" w:val="left" w:leader="none"/>
          <w:tab w:pos="2381" w:val="left" w:leader="none"/>
        </w:tabs>
        <w:spacing w:line="242" w:lineRule="auto" w:before="155" w:after="0"/>
        <w:ind w:left="2381" w:right="1937" w:hanging="794"/>
        <w:jc w:val="left"/>
        <w:rPr>
          <w:sz w:val="21"/>
        </w:rPr>
      </w:pPr>
      <w:r>
        <w:rPr>
          <w:sz w:val="21"/>
        </w:rPr>
        <w:t>This </w:t>
      </w:r>
      <w:r>
        <w:rPr>
          <w:spacing w:val="-3"/>
          <w:sz w:val="21"/>
        </w:rPr>
        <w:t>chapter </w:t>
      </w:r>
      <w:r>
        <w:rPr>
          <w:sz w:val="21"/>
        </w:rPr>
        <w:t>looks at a </w:t>
      </w:r>
      <w:r>
        <w:rPr>
          <w:spacing w:val="-3"/>
          <w:sz w:val="21"/>
        </w:rPr>
        <w:t>range </w:t>
      </w:r>
      <w:r>
        <w:rPr>
          <w:sz w:val="21"/>
        </w:rPr>
        <w:t>of final  issues.  It  </w:t>
      </w:r>
      <w:r>
        <w:rPr>
          <w:spacing w:val="-2"/>
          <w:sz w:val="21"/>
        </w:rPr>
        <w:t>examines  </w:t>
      </w:r>
      <w:r>
        <w:rPr>
          <w:spacing w:val="-3"/>
          <w:sz w:val="21"/>
        </w:rPr>
        <w:t>online  dispute  </w:t>
      </w:r>
      <w:r>
        <w:rPr>
          <w:sz w:val="21"/>
        </w:rPr>
        <w:t>resolution (ODR)</w:t>
      </w:r>
      <w:r>
        <w:rPr>
          <w:spacing w:val="15"/>
          <w:sz w:val="21"/>
        </w:rPr>
        <w:t> </w:t>
      </w:r>
      <w:r>
        <w:rPr>
          <w:sz w:val="21"/>
        </w:rPr>
        <w:t>and</w:t>
      </w:r>
      <w:r>
        <w:rPr>
          <w:spacing w:val="16"/>
          <w:sz w:val="21"/>
        </w:rPr>
        <w:t> </w:t>
      </w:r>
      <w:r>
        <w:rPr>
          <w:sz w:val="21"/>
        </w:rPr>
        <w:t>how</w:t>
      </w:r>
      <w:r>
        <w:rPr>
          <w:spacing w:val="15"/>
          <w:sz w:val="21"/>
        </w:rPr>
        <w:t> </w:t>
      </w:r>
      <w:r>
        <w:rPr>
          <w:sz w:val="21"/>
        </w:rPr>
        <w:t>it</w:t>
      </w:r>
      <w:r>
        <w:rPr>
          <w:spacing w:val="16"/>
          <w:sz w:val="21"/>
        </w:rPr>
        <w:t> </w:t>
      </w:r>
      <w:r>
        <w:rPr>
          <w:spacing w:val="-3"/>
          <w:sz w:val="21"/>
        </w:rPr>
        <w:t>could</w:t>
      </w:r>
      <w:r>
        <w:rPr>
          <w:spacing w:val="15"/>
          <w:sz w:val="21"/>
        </w:rPr>
        <w:t> </w:t>
      </w:r>
      <w:r>
        <w:rPr>
          <w:sz w:val="21"/>
        </w:rPr>
        <w:t>be</w:t>
      </w:r>
      <w:r>
        <w:rPr>
          <w:spacing w:val="16"/>
          <w:sz w:val="21"/>
        </w:rPr>
        <w:t> </w:t>
      </w:r>
      <w:r>
        <w:rPr>
          <w:sz w:val="21"/>
        </w:rPr>
        <w:t>used</w:t>
      </w:r>
      <w:r>
        <w:rPr>
          <w:spacing w:val="15"/>
          <w:sz w:val="21"/>
        </w:rPr>
        <w:t> </w:t>
      </w:r>
      <w:r>
        <w:rPr>
          <w:spacing w:val="-3"/>
          <w:sz w:val="21"/>
        </w:rPr>
        <w:t>to</w:t>
      </w:r>
      <w:r>
        <w:rPr>
          <w:spacing w:val="16"/>
          <w:sz w:val="21"/>
        </w:rPr>
        <w:t> </w:t>
      </w:r>
      <w:r>
        <w:rPr>
          <w:sz w:val="21"/>
        </w:rPr>
        <w:t>aid</w:t>
      </w:r>
      <w:r>
        <w:rPr>
          <w:spacing w:val="15"/>
          <w:sz w:val="21"/>
        </w:rPr>
        <w:t> </w:t>
      </w:r>
      <w:r>
        <w:rPr>
          <w:sz w:val="21"/>
        </w:rPr>
        <w:t>the</w:t>
      </w:r>
      <w:r>
        <w:rPr>
          <w:spacing w:val="16"/>
          <w:sz w:val="21"/>
        </w:rPr>
        <w:t> </w:t>
      </w:r>
      <w:r>
        <w:rPr>
          <w:sz w:val="21"/>
        </w:rPr>
        <w:t>resolution</w:t>
      </w:r>
      <w:r>
        <w:rPr>
          <w:spacing w:val="15"/>
          <w:sz w:val="21"/>
        </w:rPr>
        <w:t> </w:t>
      </w:r>
      <w:r>
        <w:rPr>
          <w:sz w:val="21"/>
        </w:rPr>
        <w:t>of</w:t>
      </w:r>
      <w:r>
        <w:rPr>
          <w:spacing w:val="16"/>
          <w:sz w:val="21"/>
        </w:rPr>
        <w:t> </w:t>
      </w:r>
      <w:r>
        <w:rPr>
          <w:sz w:val="21"/>
        </w:rPr>
        <w:t>tree</w:t>
      </w:r>
      <w:r>
        <w:rPr>
          <w:spacing w:val="16"/>
          <w:sz w:val="21"/>
        </w:rPr>
        <w:t> </w:t>
      </w:r>
      <w:r>
        <w:rPr>
          <w:spacing w:val="-3"/>
          <w:sz w:val="21"/>
        </w:rPr>
        <w:t>disputes.</w:t>
      </w:r>
      <w:r>
        <w:rPr>
          <w:spacing w:val="15"/>
          <w:sz w:val="21"/>
        </w:rPr>
        <w:t> </w:t>
      </w:r>
      <w:r>
        <w:rPr>
          <w:sz w:val="21"/>
        </w:rPr>
        <w:t>It</w:t>
      </w:r>
      <w:r>
        <w:rPr>
          <w:spacing w:val="16"/>
          <w:sz w:val="21"/>
        </w:rPr>
        <w:t> </w:t>
      </w:r>
      <w:r>
        <w:rPr>
          <w:sz w:val="21"/>
        </w:rPr>
        <w:t>also</w:t>
      </w:r>
      <w:r>
        <w:rPr>
          <w:spacing w:val="15"/>
          <w:sz w:val="21"/>
        </w:rPr>
        <w:t> </w:t>
      </w:r>
      <w:r>
        <w:rPr>
          <w:sz w:val="21"/>
        </w:rPr>
        <w:t>considers</w:t>
      </w:r>
    </w:p>
    <w:p>
      <w:pPr>
        <w:pStyle w:val="BodyText"/>
        <w:spacing w:line="242" w:lineRule="auto" w:before="2"/>
        <w:ind w:left="2380" w:right="1636"/>
      </w:pPr>
      <w:r>
        <w:rPr/>
        <w:t>community suggestions for reform that were different to those raised for discussion in the consultation paper.</w:t>
      </w:r>
    </w:p>
    <w:p>
      <w:pPr>
        <w:pStyle w:val="ListParagraph"/>
        <w:numPr>
          <w:ilvl w:val="1"/>
          <w:numId w:val="16"/>
        </w:numPr>
        <w:tabs>
          <w:tab w:pos="2380" w:val="left" w:leader="none"/>
          <w:tab w:pos="2381" w:val="left" w:leader="none"/>
        </w:tabs>
        <w:spacing w:line="242" w:lineRule="auto" w:before="122" w:after="0"/>
        <w:ind w:left="2381" w:right="1620" w:hanging="794"/>
        <w:jc w:val="left"/>
        <w:rPr>
          <w:sz w:val="21"/>
        </w:rPr>
      </w:pPr>
      <w:r>
        <w:rPr>
          <w:sz w:val="21"/>
        </w:rPr>
        <w:t>Some issues </w:t>
      </w:r>
      <w:r>
        <w:rPr>
          <w:spacing w:val="-3"/>
          <w:sz w:val="21"/>
        </w:rPr>
        <w:t>that were </w:t>
      </w:r>
      <w:r>
        <w:rPr>
          <w:spacing w:val="-2"/>
          <w:sz w:val="21"/>
        </w:rPr>
        <w:t>raised </w:t>
      </w:r>
      <w:r>
        <w:rPr>
          <w:sz w:val="21"/>
        </w:rPr>
        <w:t>in responses but </w:t>
      </w:r>
      <w:r>
        <w:rPr>
          <w:spacing w:val="-3"/>
          <w:sz w:val="21"/>
        </w:rPr>
        <w:t>are </w:t>
      </w:r>
      <w:r>
        <w:rPr>
          <w:sz w:val="21"/>
        </w:rPr>
        <w:t>outside the </w:t>
      </w:r>
      <w:r>
        <w:rPr>
          <w:spacing w:val="-4"/>
          <w:sz w:val="21"/>
        </w:rPr>
        <w:t>Commission’s </w:t>
      </w:r>
      <w:r>
        <w:rPr>
          <w:spacing w:val="-3"/>
          <w:sz w:val="21"/>
        </w:rPr>
        <w:t>terms </w:t>
      </w:r>
      <w:r>
        <w:rPr>
          <w:sz w:val="21"/>
        </w:rPr>
        <w:t>of </w:t>
      </w:r>
      <w:r>
        <w:rPr>
          <w:spacing w:val="-3"/>
          <w:sz w:val="21"/>
        </w:rPr>
        <w:t>reference for </w:t>
      </w:r>
      <w:r>
        <w:rPr>
          <w:sz w:val="21"/>
        </w:rPr>
        <w:t>this inquiry </w:t>
      </w:r>
      <w:r>
        <w:rPr>
          <w:spacing w:val="-3"/>
          <w:sz w:val="21"/>
        </w:rPr>
        <w:t>are </w:t>
      </w:r>
      <w:r>
        <w:rPr>
          <w:sz w:val="21"/>
        </w:rPr>
        <w:t>also identified. These issues </w:t>
      </w:r>
      <w:r>
        <w:rPr>
          <w:spacing w:val="-3"/>
          <w:sz w:val="21"/>
        </w:rPr>
        <w:t>are </w:t>
      </w:r>
      <w:r>
        <w:rPr>
          <w:spacing w:val="-4"/>
          <w:sz w:val="21"/>
        </w:rPr>
        <w:t>likely  </w:t>
      </w:r>
      <w:r>
        <w:rPr>
          <w:spacing w:val="-3"/>
          <w:sz w:val="21"/>
        </w:rPr>
        <w:t>to require consideration   </w:t>
      </w:r>
      <w:r>
        <w:rPr>
          <w:sz w:val="21"/>
        </w:rPr>
        <w:t>if the new Act is </w:t>
      </w:r>
      <w:r>
        <w:rPr>
          <w:spacing w:val="-3"/>
          <w:sz w:val="21"/>
        </w:rPr>
        <w:t>implemented. Preliminary </w:t>
      </w:r>
      <w:r>
        <w:rPr>
          <w:sz w:val="21"/>
        </w:rPr>
        <w:t>views on these issues </w:t>
      </w:r>
      <w:r>
        <w:rPr>
          <w:spacing w:val="-3"/>
          <w:sz w:val="21"/>
        </w:rPr>
        <w:t>are</w:t>
      </w:r>
      <w:r>
        <w:rPr>
          <w:spacing w:val="19"/>
          <w:sz w:val="21"/>
        </w:rPr>
        <w:t> </w:t>
      </w:r>
      <w:r>
        <w:rPr>
          <w:spacing w:val="-2"/>
          <w:sz w:val="21"/>
        </w:rPr>
        <w:t>provided.</w:t>
      </w:r>
    </w:p>
    <w:p>
      <w:pPr>
        <w:pStyle w:val="ListParagraph"/>
        <w:numPr>
          <w:ilvl w:val="1"/>
          <w:numId w:val="16"/>
        </w:numPr>
        <w:tabs>
          <w:tab w:pos="2380" w:val="left" w:leader="none"/>
          <w:tab w:pos="2381" w:val="left" w:leader="none"/>
        </w:tabs>
        <w:spacing w:line="242" w:lineRule="auto" w:before="123" w:after="0"/>
        <w:ind w:left="2380" w:right="2064" w:hanging="793"/>
        <w:jc w:val="left"/>
        <w:rPr>
          <w:sz w:val="21"/>
        </w:rPr>
      </w:pPr>
      <w:r>
        <w:rPr>
          <w:sz w:val="21"/>
        </w:rPr>
        <w:t>The </w:t>
      </w:r>
      <w:r>
        <w:rPr>
          <w:spacing w:val="-3"/>
          <w:sz w:val="21"/>
        </w:rPr>
        <w:t>chapter concludes </w:t>
      </w:r>
      <w:r>
        <w:rPr>
          <w:sz w:val="21"/>
        </w:rPr>
        <w:t>with a </w:t>
      </w:r>
      <w:r>
        <w:rPr>
          <w:spacing w:val="-3"/>
          <w:sz w:val="21"/>
        </w:rPr>
        <w:t>recommendation for </w:t>
      </w:r>
      <w:r>
        <w:rPr>
          <w:sz w:val="21"/>
        </w:rPr>
        <w:t>review of the new Act after it </w:t>
      </w:r>
      <w:r>
        <w:rPr>
          <w:spacing w:val="-2"/>
          <w:sz w:val="21"/>
        </w:rPr>
        <w:t>has </w:t>
      </w:r>
      <w:r>
        <w:rPr>
          <w:sz w:val="21"/>
        </w:rPr>
        <w:t>been</w:t>
      </w:r>
      <w:r>
        <w:rPr>
          <w:spacing w:val="10"/>
          <w:sz w:val="21"/>
        </w:rPr>
        <w:t> </w:t>
      </w:r>
      <w:r>
        <w:rPr>
          <w:spacing w:val="-3"/>
          <w:sz w:val="21"/>
        </w:rPr>
        <w:t>operational</w:t>
      </w:r>
      <w:r>
        <w:rPr>
          <w:spacing w:val="11"/>
          <w:sz w:val="21"/>
        </w:rPr>
        <w:t> </w:t>
      </w:r>
      <w:r>
        <w:rPr>
          <w:spacing w:val="-3"/>
          <w:sz w:val="21"/>
        </w:rPr>
        <w:t>for</w:t>
      </w:r>
      <w:r>
        <w:rPr>
          <w:spacing w:val="11"/>
          <w:sz w:val="21"/>
        </w:rPr>
        <w:t> </w:t>
      </w:r>
      <w:r>
        <w:rPr>
          <w:sz w:val="21"/>
        </w:rPr>
        <w:t>five</w:t>
      </w:r>
      <w:r>
        <w:rPr>
          <w:spacing w:val="10"/>
          <w:sz w:val="21"/>
        </w:rPr>
        <w:t> </w:t>
      </w:r>
      <w:r>
        <w:rPr>
          <w:sz w:val="21"/>
        </w:rPr>
        <w:t>years</w:t>
      </w:r>
      <w:r>
        <w:rPr>
          <w:spacing w:val="11"/>
          <w:sz w:val="21"/>
        </w:rPr>
        <w:t> </w:t>
      </w:r>
      <w:r>
        <w:rPr>
          <w:spacing w:val="-3"/>
          <w:sz w:val="21"/>
        </w:rPr>
        <w:t>to</w:t>
      </w:r>
      <w:r>
        <w:rPr>
          <w:spacing w:val="11"/>
          <w:sz w:val="21"/>
        </w:rPr>
        <w:t> </w:t>
      </w:r>
      <w:r>
        <w:rPr>
          <w:spacing w:val="-3"/>
          <w:sz w:val="21"/>
        </w:rPr>
        <w:t>ensure</w:t>
      </w:r>
      <w:r>
        <w:rPr>
          <w:spacing w:val="10"/>
          <w:sz w:val="21"/>
        </w:rPr>
        <w:t> </w:t>
      </w:r>
      <w:r>
        <w:rPr>
          <w:spacing w:val="-3"/>
          <w:sz w:val="21"/>
        </w:rPr>
        <w:t>that</w:t>
      </w:r>
      <w:r>
        <w:rPr>
          <w:spacing w:val="11"/>
          <w:sz w:val="21"/>
        </w:rPr>
        <w:t> </w:t>
      </w:r>
      <w:r>
        <w:rPr>
          <w:sz w:val="21"/>
        </w:rPr>
        <w:t>it</w:t>
      </w:r>
      <w:r>
        <w:rPr>
          <w:spacing w:val="11"/>
          <w:sz w:val="21"/>
        </w:rPr>
        <w:t> </w:t>
      </w:r>
      <w:r>
        <w:rPr>
          <w:sz w:val="21"/>
        </w:rPr>
        <w:t>is</w:t>
      </w:r>
      <w:r>
        <w:rPr>
          <w:spacing w:val="10"/>
          <w:sz w:val="21"/>
        </w:rPr>
        <w:t> </w:t>
      </w:r>
      <w:r>
        <w:rPr>
          <w:sz w:val="21"/>
        </w:rPr>
        <w:t>meeting</w:t>
      </w:r>
      <w:r>
        <w:rPr>
          <w:spacing w:val="11"/>
          <w:sz w:val="21"/>
        </w:rPr>
        <w:t> </w:t>
      </w:r>
      <w:r>
        <w:rPr>
          <w:sz w:val="21"/>
        </w:rPr>
        <w:t>its</w:t>
      </w:r>
      <w:r>
        <w:rPr>
          <w:spacing w:val="10"/>
          <w:sz w:val="21"/>
        </w:rPr>
        <w:t> </w:t>
      </w:r>
      <w:r>
        <w:rPr>
          <w:sz w:val="21"/>
        </w:rPr>
        <w:t>objectives.</w:t>
      </w:r>
    </w:p>
    <w:p>
      <w:pPr>
        <w:pStyle w:val="BodyText"/>
        <w:spacing w:before="9"/>
      </w:pPr>
    </w:p>
    <w:p>
      <w:pPr>
        <w:pStyle w:val="Heading4"/>
        <w:spacing w:before="1"/>
      </w:pPr>
      <w:r>
        <w:rPr>
          <w:color w:val="658464"/>
          <w:w w:val="115"/>
        </w:rPr>
        <w:t>Online</w:t>
      </w:r>
      <w:r>
        <w:rPr>
          <w:color w:val="658464"/>
          <w:spacing w:val="-42"/>
          <w:w w:val="115"/>
        </w:rPr>
        <w:t> </w:t>
      </w:r>
      <w:r>
        <w:rPr>
          <w:color w:val="658464"/>
          <w:w w:val="115"/>
        </w:rPr>
        <w:t>dispute</w:t>
      </w:r>
      <w:r>
        <w:rPr>
          <w:color w:val="658464"/>
          <w:spacing w:val="-41"/>
          <w:w w:val="115"/>
        </w:rPr>
        <w:t> </w:t>
      </w:r>
      <w:r>
        <w:rPr>
          <w:color w:val="658464"/>
          <w:w w:val="115"/>
        </w:rPr>
        <w:t>resolution</w:t>
      </w:r>
    </w:p>
    <w:p>
      <w:pPr>
        <w:pStyle w:val="ListParagraph"/>
        <w:numPr>
          <w:ilvl w:val="1"/>
          <w:numId w:val="16"/>
        </w:numPr>
        <w:tabs>
          <w:tab w:pos="2380" w:val="left" w:leader="none"/>
          <w:tab w:pos="2381" w:val="left" w:leader="none"/>
        </w:tabs>
        <w:spacing w:line="242" w:lineRule="auto" w:before="155" w:after="0"/>
        <w:ind w:left="2381" w:right="2345" w:hanging="794"/>
        <w:jc w:val="left"/>
        <w:rPr>
          <w:sz w:val="21"/>
        </w:rPr>
      </w:pPr>
      <w:r>
        <w:rPr>
          <w:w w:val="105"/>
          <w:sz w:val="21"/>
        </w:rPr>
        <w:t>ODR</w:t>
      </w:r>
      <w:r>
        <w:rPr>
          <w:spacing w:val="-6"/>
          <w:w w:val="105"/>
          <w:sz w:val="21"/>
        </w:rPr>
        <w:t> </w:t>
      </w:r>
      <w:r>
        <w:rPr>
          <w:w w:val="105"/>
          <w:sz w:val="21"/>
        </w:rPr>
        <w:t>is</w:t>
      </w:r>
      <w:r>
        <w:rPr>
          <w:spacing w:val="-5"/>
          <w:w w:val="105"/>
          <w:sz w:val="21"/>
        </w:rPr>
        <w:t> </w:t>
      </w:r>
      <w:r>
        <w:rPr>
          <w:w w:val="105"/>
          <w:sz w:val="21"/>
        </w:rPr>
        <w:t>a</w:t>
      </w:r>
      <w:r>
        <w:rPr>
          <w:spacing w:val="-5"/>
          <w:w w:val="105"/>
          <w:sz w:val="21"/>
        </w:rPr>
        <w:t> </w:t>
      </w:r>
      <w:r>
        <w:rPr>
          <w:w w:val="105"/>
          <w:sz w:val="21"/>
        </w:rPr>
        <w:t>general</w:t>
      </w:r>
      <w:r>
        <w:rPr>
          <w:spacing w:val="-5"/>
          <w:w w:val="105"/>
          <w:sz w:val="21"/>
        </w:rPr>
        <w:t> </w:t>
      </w:r>
      <w:r>
        <w:rPr>
          <w:spacing w:val="-3"/>
          <w:w w:val="105"/>
          <w:sz w:val="21"/>
        </w:rPr>
        <w:t>term,</w:t>
      </w:r>
      <w:r>
        <w:rPr>
          <w:spacing w:val="-5"/>
          <w:w w:val="105"/>
          <w:sz w:val="21"/>
        </w:rPr>
        <w:t> </w:t>
      </w:r>
      <w:r>
        <w:rPr>
          <w:w w:val="105"/>
          <w:sz w:val="21"/>
        </w:rPr>
        <w:t>describing</w:t>
      </w:r>
      <w:r>
        <w:rPr>
          <w:spacing w:val="-5"/>
          <w:w w:val="105"/>
          <w:sz w:val="21"/>
        </w:rPr>
        <w:t> </w:t>
      </w:r>
      <w:r>
        <w:rPr>
          <w:w w:val="105"/>
          <w:sz w:val="21"/>
        </w:rPr>
        <w:t>a</w:t>
      </w:r>
      <w:r>
        <w:rPr>
          <w:spacing w:val="-6"/>
          <w:w w:val="105"/>
          <w:sz w:val="21"/>
        </w:rPr>
        <w:t> </w:t>
      </w:r>
      <w:r>
        <w:rPr>
          <w:spacing w:val="-3"/>
          <w:w w:val="105"/>
          <w:sz w:val="21"/>
        </w:rPr>
        <w:t>range</w:t>
      </w:r>
      <w:r>
        <w:rPr>
          <w:spacing w:val="-5"/>
          <w:w w:val="105"/>
          <w:sz w:val="21"/>
        </w:rPr>
        <w:t> </w:t>
      </w:r>
      <w:r>
        <w:rPr>
          <w:w w:val="105"/>
          <w:sz w:val="21"/>
        </w:rPr>
        <w:t>of</w:t>
      </w:r>
      <w:r>
        <w:rPr>
          <w:spacing w:val="-5"/>
          <w:w w:val="105"/>
          <w:sz w:val="21"/>
        </w:rPr>
        <w:t> </w:t>
      </w:r>
      <w:r>
        <w:rPr>
          <w:w w:val="105"/>
          <w:sz w:val="21"/>
        </w:rPr>
        <w:t>technology-assisted</w:t>
      </w:r>
      <w:r>
        <w:rPr>
          <w:spacing w:val="-5"/>
          <w:w w:val="105"/>
          <w:sz w:val="21"/>
        </w:rPr>
        <w:t> </w:t>
      </w:r>
      <w:r>
        <w:rPr>
          <w:spacing w:val="-3"/>
          <w:w w:val="105"/>
          <w:sz w:val="21"/>
        </w:rPr>
        <w:t>forms</w:t>
      </w:r>
      <w:r>
        <w:rPr>
          <w:spacing w:val="-5"/>
          <w:w w:val="105"/>
          <w:sz w:val="21"/>
        </w:rPr>
        <w:t> </w:t>
      </w:r>
      <w:r>
        <w:rPr>
          <w:w w:val="105"/>
          <w:sz w:val="21"/>
        </w:rPr>
        <w:t>of</w:t>
      </w:r>
      <w:r>
        <w:rPr>
          <w:spacing w:val="-5"/>
          <w:w w:val="105"/>
          <w:sz w:val="21"/>
        </w:rPr>
        <w:t> </w:t>
      </w:r>
      <w:r>
        <w:rPr>
          <w:spacing w:val="-3"/>
          <w:w w:val="105"/>
          <w:sz w:val="21"/>
        </w:rPr>
        <w:t>dispute resolution. </w:t>
      </w:r>
      <w:r>
        <w:rPr>
          <w:w w:val="105"/>
          <w:sz w:val="21"/>
        </w:rPr>
        <w:t>The styles of ODR </w:t>
      </w:r>
      <w:r>
        <w:rPr>
          <w:spacing w:val="-3"/>
          <w:w w:val="105"/>
          <w:sz w:val="21"/>
        </w:rPr>
        <w:t>are outlined </w:t>
      </w:r>
      <w:r>
        <w:rPr>
          <w:w w:val="105"/>
          <w:sz w:val="21"/>
        </w:rPr>
        <w:t>in the </w:t>
      </w:r>
      <w:r>
        <w:rPr>
          <w:i/>
          <w:w w:val="105"/>
          <w:sz w:val="21"/>
        </w:rPr>
        <w:t>Access to </w:t>
      </w:r>
      <w:r>
        <w:rPr>
          <w:i/>
          <w:spacing w:val="-3"/>
          <w:w w:val="105"/>
          <w:sz w:val="21"/>
        </w:rPr>
        <w:t>Justice</w:t>
      </w:r>
      <w:r>
        <w:rPr>
          <w:i/>
          <w:spacing w:val="21"/>
          <w:w w:val="105"/>
          <w:sz w:val="21"/>
        </w:rPr>
        <w:t> </w:t>
      </w:r>
      <w:r>
        <w:rPr>
          <w:w w:val="105"/>
          <w:sz w:val="21"/>
        </w:rPr>
        <w:t>Review:</w:t>
      </w:r>
    </w:p>
    <w:p>
      <w:pPr>
        <w:spacing w:line="254" w:lineRule="auto" w:before="131"/>
        <w:ind w:left="2834" w:right="1558" w:firstLine="0"/>
        <w:jc w:val="left"/>
        <w:rPr>
          <w:sz w:val="11"/>
        </w:rPr>
      </w:pPr>
      <w:r>
        <w:rPr>
          <w:w w:val="105"/>
          <w:sz w:val="20"/>
        </w:rPr>
        <w:t>Online</w:t>
      </w:r>
      <w:r>
        <w:rPr>
          <w:spacing w:val="-13"/>
          <w:w w:val="105"/>
          <w:sz w:val="20"/>
        </w:rPr>
        <w:t> </w:t>
      </w:r>
      <w:r>
        <w:rPr>
          <w:w w:val="105"/>
          <w:sz w:val="20"/>
        </w:rPr>
        <w:t>dispute</w:t>
      </w:r>
      <w:r>
        <w:rPr>
          <w:spacing w:val="-12"/>
          <w:w w:val="105"/>
          <w:sz w:val="20"/>
        </w:rPr>
        <w:t> </w:t>
      </w:r>
      <w:r>
        <w:rPr>
          <w:w w:val="105"/>
          <w:sz w:val="20"/>
        </w:rPr>
        <w:t>resolution</w:t>
      </w:r>
      <w:r>
        <w:rPr>
          <w:spacing w:val="-12"/>
          <w:w w:val="105"/>
          <w:sz w:val="20"/>
        </w:rPr>
        <w:t> </w:t>
      </w:r>
      <w:r>
        <w:rPr>
          <w:w w:val="105"/>
          <w:sz w:val="20"/>
        </w:rPr>
        <w:t>techniques</w:t>
      </w:r>
      <w:r>
        <w:rPr>
          <w:spacing w:val="-12"/>
          <w:w w:val="105"/>
          <w:sz w:val="20"/>
        </w:rPr>
        <w:t> </w:t>
      </w:r>
      <w:r>
        <w:rPr>
          <w:w w:val="105"/>
          <w:sz w:val="20"/>
        </w:rPr>
        <w:t>range</w:t>
      </w:r>
      <w:r>
        <w:rPr>
          <w:spacing w:val="-12"/>
          <w:w w:val="105"/>
          <w:sz w:val="20"/>
        </w:rPr>
        <w:t> </w:t>
      </w:r>
      <w:r>
        <w:rPr>
          <w:w w:val="105"/>
          <w:sz w:val="20"/>
        </w:rPr>
        <w:t>from</w:t>
      </w:r>
      <w:r>
        <w:rPr>
          <w:spacing w:val="-12"/>
          <w:w w:val="105"/>
          <w:sz w:val="20"/>
        </w:rPr>
        <w:t> </w:t>
      </w:r>
      <w:r>
        <w:rPr>
          <w:w w:val="105"/>
          <w:sz w:val="20"/>
        </w:rPr>
        <w:t>methods</w:t>
      </w:r>
      <w:r>
        <w:rPr>
          <w:spacing w:val="-12"/>
          <w:w w:val="105"/>
          <w:sz w:val="20"/>
        </w:rPr>
        <w:t> </w:t>
      </w:r>
      <w:r>
        <w:rPr>
          <w:w w:val="105"/>
          <w:sz w:val="20"/>
        </w:rPr>
        <w:t>where</w:t>
      </w:r>
      <w:r>
        <w:rPr>
          <w:spacing w:val="-12"/>
          <w:w w:val="105"/>
          <w:sz w:val="20"/>
        </w:rPr>
        <w:t> </w:t>
      </w:r>
      <w:r>
        <w:rPr>
          <w:w w:val="105"/>
          <w:sz w:val="20"/>
        </w:rPr>
        <w:t>parties</w:t>
      </w:r>
      <w:r>
        <w:rPr>
          <w:spacing w:val="-12"/>
          <w:w w:val="105"/>
          <w:sz w:val="20"/>
        </w:rPr>
        <w:t> </w:t>
      </w:r>
      <w:r>
        <w:rPr>
          <w:spacing w:val="-3"/>
          <w:w w:val="105"/>
          <w:sz w:val="20"/>
        </w:rPr>
        <w:t>have</w:t>
      </w:r>
      <w:r>
        <w:rPr>
          <w:spacing w:val="-12"/>
          <w:w w:val="105"/>
          <w:sz w:val="20"/>
        </w:rPr>
        <w:t> </w:t>
      </w:r>
      <w:r>
        <w:rPr>
          <w:spacing w:val="-3"/>
          <w:w w:val="105"/>
          <w:sz w:val="20"/>
        </w:rPr>
        <w:t>full</w:t>
      </w:r>
      <w:r>
        <w:rPr>
          <w:spacing w:val="-12"/>
          <w:w w:val="105"/>
          <w:sz w:val="20"/>
        </w:rPr>
        <w:t> </w:t>
      </w:r>
      <w:r>
        <w:rPr>
          <w:spacing w:val="-3"/>
          <w:w w:val="105"/>
          <w:sz w:val="20"/>
        </w:rPr>
        <w:t>control </w:t>
      </w:r>
      <w:r>
        <w:rPr>
          <w:w w:val="105"/>
          <w:sz w:val="20"/>
        </w:rPr>
        <w:t>of the </w:t>
      </w:r>
      <w:r>
        <w:rPr>
          <w:spacing w:val="-3"/>
          <w:w w:val="105"/>
          <w:sz w:val="20"/>
        </w:rPr>
        <w:t>procedure, </w:t>
      </w:r>
      <w:r>
        <w:rPr>
          <w:w w:val="105"/>
          <w:sz w:val="20"/>
        </w:rPr>
        <w:t>such as in an online negotiation, to methods where a neutral </w:t>
      </w:r>
      <w:r>
        <w:rPr>
          <w:spacing w:val="-3"/>
          <w:w w:val="105"/>
          <w:sz w:val="20"/>
        </w:rPr>
        <w:t>third </w:t>
      </w:r>
      <w:r>
        <w:rPr>
          <w:w w:val="105"/>
          <w:sz w:val="20"/>
        </w:rPr>
        <w:t>party is in </w:t>
      </w:r>
      <w:r>
        <w:rPr>
          <w:spacing w:val="-3"/>
          <w:w w:val="105"/>
          <w:sz w:val="20"/>
        </w:rPr>
        <w:t>control </w:t>
      </w:r>
      <w:r>
        <w:rPr>
          <w:w w:val="105"/>
          <w:sz w:val="20"/>
        </w:rPr>
        <w:t>of both the process and the </w:t>
      </w:r>
      <w:r>
        <w:rPr>
          <w:spacing w:val="-3"/>
          <w:w w:val="105"/>
          <w:sz w:val="20"/>
        </w:rPr>
        <w:t>outcome, </w:t>
      </w:r>
      <w:r>
        <w:rPr>
          <w:w w:val="105"/>
          <w:sz w:val="20"/>
        </w:rPr>
        <w:t>such as online arbitration. In online dispute resolution, the </w:t>
      </w:r>
      <w:r>
        <w:rPr>
          <w:spacing w:val="-3"/>
          <w:w w:val="105"/>
          <w:sz w:val="20"/>
        </w:rPr>
        <w:t>information </w:t>
      </w:r>
      <w:r>
        <w:rPr>
          <w:w w:val="105"/>
          <w:sz w:val="20"/>
        </w:rPr>
        <w:t>management role is often carried out not by physical persons, but by computers and</w:t>
      </w:r>
      <w:r>
        <w:rPr>
          <w:spacing w:val="25"/>
          <w:w w:val="105"/>
          <w:sz w:val="20"/>
        </w:rPr>
        <w:t> </w:t>
      </w:r>
      <w:r>
        <w:rPr>
          <w:spacing w:val="-3"/>
          <w:w w:val="105"/>
          <w:sz w:val="20"/>
        </w:rPr>
        <w:t>software.</w:t>
      </w:r>
      <w:r>
        <w:rPr>
          <w:spacing w:val="-3"/>
          <w:w w:val="105"/>
          <w:position w:val="7"/>
          <w:sz w:val="11"/>
        </w:rPr>
        <w:t>1</w:t>
      </w:r>
    </w:p>
    <w:p>
      <w:pPr>
        <w:pStyle w:val="ListParagraph"/>
        <w:numPr>
          <w:ilvl w:val="1"/>
          <w:numId w:val="16"/>
        </w:numPr>
        <w:tabs>
          <w:tab w:pos="2381" w:val="left" w:leader="none"/>
          <w:tab w:pos="2382" w:val="left" w:leader="none"/>
        </w:tabs>
        <w:spacing w:line="242" w:lineRule="auto" w:before="117" w:after="0"/>
        <w:ind w:left="2381" w:right="1725" w:hanging="794"/>
        <w:jc w:val="left"/>
        <w:rPr>
          <w:sz w:val="21"/>
        </w:rPr>
      </w:pPr>
      <w:r>
        <w:rPr>
          <w:sz w:val="21"/>
        </w:rPr>
        <w:t>There is no one </w:t>
      </w:r>
      <w:r>
        <w:rPr>
          <w:spacing w:val="-3"/>
          <w:sz w:val="21"/>
        </w:rPr>
        <w:t>format </w:t>
      </w:r>
      <w:r>
        <w:rPr>
          <w:sz w:val="21"/>
        </w:rPr>
        <w:t>of ODR. It </w:t>
      </w:r>
      <w:r>
        <w:rPr>
          <w:spacing w:val="-3"/>
          <w:sz w:val="21"/>
        </w:rPr>
        <w:t>makes </w:t>
      </w:r>
      <w:r>
        <w:rPr>
          <w:sz w:val="21"/>
        </w:rPr>
        <w:t>use of a </w:t>
      </w:r>
      <w:r>
        <w:rPr>
          <w:spacing w:val="-3"/>
          <w:sz w:val="21"/>
        </w:rPr>
        <w:t>range </w:t>
      </w:r>
      <w:r>
        <w:rPr>
          <w:sz w:val="21"/>
        </w:rPr>
        <w:t>of tools in </w:t>
      </w:r>
      <w:r>
        <w:rPr>
          <w:spacing w:val="-3"/>
          <w:sz w:val="21"/>
        </w:rPr>
        <w:t>combination </w:t>
      </w:r>
      <w:r>
        <w:rPr>
          <w:sz w:val="21"/>
        </w:rPr>
        <w:t>with </w:t>
      </w:r>
      <w:r>
        <w:rPr>
          <w:spacing w:val="-3"/>
          <w:sz w:val="21"/>
        </w:rPr>
        <w:t>traditional </w:t>
      </w:r>
      <w:r>
        <w:rPr>
          <w:sz w:val="21"/>
        </w:rPr>
        <w:t>legal  </w:t>
      </w:r>
      <w:r>
        <w:rPr>
          <w:spacing w:val="-3"/>
          <w:sz w:val="21"/>
        </w:rPr>
        <w:t>dispute  </w:t>
      </w:r>
      <w:r>
        <w:rPr>
          <w:sz w:val="21"/>
        </w:rPr>
        <w:t>resolution  tools.</w:t>
      </w:r>
      <w:r>
        <w:rPr>
          <w:position w:val="7"/>
          <w:sz w:val="12"/>
        </w:rPr>
        <w:t>2  </w:t>
      </w:r>
      <w:r>
        <w:rPr>
          <w:sz w:val="21"/>
        </w:rPr>
        <w:t>The  Victorian  </w:t>
      </w:r>
      <w:r>
        <w:rPr>
          <w:spacing w:val="-3"/>
          <w:sz w:val="21"/>
        </w:rPr>
        <w:t>Civil  </w:t>
      </w:r>
      <w:r>
        <w:rPr>
          <w:sz w:val="21"/>
        </w:rPr>
        <w:t>and  </w:t>
      </w:r>
      <w:r>
        <w:rPr>
          <w:spacing w:val="-3"/>
          <w:sz w:val="21"/>
        </w:rPr>
        <w:t>Administrative </w:t>
      </w:r>
      <w:r>
        <w:rPr>
          <w:spacing w:val="-5"/>
          <w:sz w:val="21"/>
        </w:rPr>
        <w:t>Tribunal’s </w:t>
      </w:r>
      <w:r>
        <w:rPr>
          <w:sz w:val="21"/>
        </w:rPr>
        <w:t>(VCAT) </w:t>
      </w:r>
      <w:r>
        <w:rPr>
          <w:spacing w:val="-3"/>
          <w:sz w:val="21"/>
        </w:rPr>
        <w:t>Residential </w:t>
      </w:r>
      <w:r>
        <w:rPr>
          <w:spacing w:val="-4"/>
          <w:sz w:val="21"/>
        </w:rPr>
        <w:t>Tenancies </w:t>
      </w:r>
      <w:r>
        <w:rPr>
          <w:sz w:val="21"/>
        </w:rPr>
        <w:t>Hub enables </w:t>
      </w:r>
      <w:r>
        <w:rPr>
          <w:spacing w:val="-3"/>
          <w:sz w:val="21"/>
        </w:rPr>
        <w:t>tenants </w:t>
      </w:r>
      <w:r>
        <w:rPr>
          <w:sz w:val="21"/>
        </w:rPr>
        <w:t>and </w:t>
      </w:r>
      <w:r>
        <w:rPr>
          <w:spacing w:val="-3"/>
          <w:sz w:val="21"/>
        </w:rPr>
        <w:t>landlords </w:t>
      </w:r>
      <w:r>
        <w:rPr>
          <w:sz w:val="21"/>
        </w:rPr>
        <w:t>with a </w:t>
      </w:r>
      <w:r>
        <w:rPr>
          <w:spacing w:val="-3"/>
          <w:sz w:val="21"/>
        </w:rPr>
        <w:t>renting dispute to </w:t>
      </w:r>
      <w:r>
        <w:rPr>
          <w:sz w:val="21"/>
        </w:rPr>
        <w:t>use an </w:t>
      </w:r>
      <w:r>
        <w:rPr>
          <w:spacing w:val="-3"/>
          <w:sz w:val="21"/>
        </w:rPr>
        <w:t>online </w:t>
      </w:r>
      <w:r>
        <w:rPr>
          <w:sz w:val="21"/>
        </w:rPr>
        <w:t>system </w:t>
      </w:r>
      <w:r>
        <w:rPr>
          <w:spacing w:val="-3"/>
          <w:sz w:val="21"/>
        </w:rPr>
        <w:t>to </w:t>
      </w:r>
      <w:r>
        <w:rPr>
          <w:sz w:val="21"/>
        </w:rPr>
        <w:t>apply </w:t>
      </w:r>
      <w:r>
        <w:rPr>
          <w:spacing w:val="-3"/>
          <w:sz w:val="21"/>
        </w:rPr>
        <w:t>to have </w:t>
      </w:r>
      <w:r>
        <w:rPr>
          <w:sz w:val="21"/>
        </w:rPr>
        <w:t>their matter </w:t>
      </w:r>
      <w:r>
        <w:rPr>
          <w:spacing w:val="-3"/>
          <w:sz w:val="21"/>
        </w:rPr>
        <w:t>heard </w:t>
      </w:r>
      <w:r>
        <w:rPr>
          <w:sz w:val="21"/>
        </w:rPr>
        <w:t>in </w:t>
      </w:r>
      <w:r>
        <w:rPr>
          <w:spacing w:val="-8"/>
          <w:sz w:val="21"/>
        </w:rPr>
        <w:t>VCAT.  </w:t>
      </w:r>
      <w:r>
        <w:rPr>
          <w:spacing w:val="-2"/>
          <w:sz w:val="21"/>
        </w:rPr>
        <w:t>Registered </w:t>
      </w:r>
      <w:r>
        <w:rPr>
          <w:sz w:val="21"/>
        </w:rPr>
        <w:t>users </w:t>
      </w:r>
      <w:r>
        <w:rPr>
          <w:spacing w:val="-3"/>
          <w:sz w:val="21"/>
        </w:rPr>
        <w:t>are </w:t>
      </w:r>
      <w:r>
        <w:rPr>
          <w:sz w:val="21"/>
        </w:rPr>
        <w:t>able </w:t>
      </w:r>
      <w:r>
        <w:rPr>
          <w:spacing w:val="-3"/>
          <w:sz w:val="21"/>
        </w:rPr>
        <w:t>to </w:t>
      </w:r>
      <w:r>
        <w:rPr>
          <w:spacing w:val="-2"/>
          <w:sz w:val="21"/>
        </w:rPr>
        <w:t>pay </w:t>
      </w:r>
      <w:r>
        <w:rPr>
          <w:sz w:val="21"/>
        </w:rPr>
        <w:t>their application fee </w:t>
      </w:r>
      <w:r>
        <w:rPr>
          <w:spacing w:val="-4"/>
          <w:sz w:val="21"/>
        </w:rPr>
        <w:t>online, </w:t>
      </w:r>
      <w:r>
        <w:rPr>
          <w:sz w:val="21"/>
        </w:rPr>
        <w:t>receive their </w:t>
      </w:r>
      <w:r>
        <w:rPr>
          <w:spacing w:val="-3"/>
          <w:sz w:val="21"/>
        </w:rPr>
        <w:t>hearing </w:t>
      </w:r>
      <w:r>
        <w:rPr>
          <w:spacing w:val="-4"/>
          <w:sz w:val="21"/>
        </w:rPr>
        <w:t>date,  </w:t>
      </w:r>
      <w:r>
        <w:rPr>
          <w:sz w:val="21"/>
        </w:rPr>
        <w:t>and even </w:t>
      </w:r>
      <w:r>
        <w:rPr>
          <w:spacing w:val="-3"/>
          <w:sz w:val="21"/>
        </w:rPr>
        <w:t>create notices relating to </w:t>
      </w:r>
      <w:r>
        <w:rPr>
          <w:sz w:val="21"/>
        </w:rPr>
        <w:t>requests </w:t>
      </w:r>
      <w:r>
        <w:rPr>
          <w:spacing w:val="-3"/>
          <w:sz w:val="21"/>
        </w:rPr>
        <w:t>for housing </w:t>
      </w:r>
      <w:r>
        <w:rPr>
          <w:sz w:val="21"/>
        </w:rPr>
        <w:t>repairs or </w:t>
      </w:r>
      <w:r>
        <w:rPr>
          <w:spacing w:val="-3"/>
          <w:sz w:val="21"/>
        </w:rPr>
        <w:t>ending </w:t>
      </w:r>
      <w:r>
        <w:rPr>
          <w:sz w:val="21"/>
        </w:rPr>
        <w:t>the  </w:t>
      </w:r>
      <w:r>
        <w:rPr>
          <w:spacing w:val="-3"/>
          <w:sz w:val="21"/>
        </w:rPr>
        <w:t>tenancy.</w:t>
      </w:r>
      <w:r>
        <w:rPr>
          <w:spacing w:val="-3"/>
          <w:position w:val="7"/>
          <w:sz w:val="12"/>
        </w:rPr>
        <w:t>3  </w:t>
      </w:r>
      <w:r>
        <w:rPr>
          <w:sz w:val="21"/>
        </w:rPr>
        <w:t>In  </w:t>
      </w:r>
      <w:r>
        <w:rPr>
          <w:spacing w:val="-3"/>
          <w:sz w:val="21"/>
        </w:rPr>
        <w:t>other online  </w:t>
      </w:r>
      <w:r>
        <w:rPr>
          <w:sz w:val="21"/>
        </w:rPr>
        <w:t>platforms, </w:t>
      </w:r>
      <w:r>
        <w:rPr>
          <w:spacing w:val="-3"/>
          <w:sz w:val="21"/>
        </w:rPr>
        <w:t>for</w:t>
      </w:r>
      <w:r>
        <w:rPr>
          <w:spacing w:val="41"/>
          <w:sz w:val="21"/>
        </w:rPr>
        <w:t> </w:t>
      </w:r>
      <w:r>
        <w:rPr>
          <w:sz w:val="21"/>
        </w:rPr>
        <w:t>example in </w:t>
      </w:r>
      <w:r>
        <w:rPr>
          <w:spacing w:val="-4"/>
          <w:sz w:val="21"/>
        </w:rPr>
        <w:t>Canada,  </w:t>
      </w:r>
      <w:r>
        <w:rPr>
          <w:sz w:val="21"/>
        </w:rPr>
        <w:t>agreements </w:t>
      </w:r>
      <w:r>
        <w:rPr>
          <w:spacing w:val="-3"/>
          <w:sz w:val="21"/>
        </w:rPr>
        <w:t>reached  </w:t>
      </w:r>
      <w:r>
        <w:rPr>
          <w:sz w:val="21"/>
        </w:rPr>
        <w:t>via the use of ODR tools  can be converted </w:t>
      </w:r>
      <w:r>
        <w:rPr>
          <w:spacing w:val="-4"/>
          <w:sz w:val="21"/>
        </w:rPr>
        <w:t>into </w:t>
      </w:r>
      <w:r>
        <w:rPr>
          <w:spacing w:val="-3"/>
          <w:sz w:val="21"/>
        </w:rPr>
        <w:t>formal </w:t>
      </w:r>
      <w:r>
        <w:rPr>
          <w:sz w:val="21"/>
        </w:rPr>
        <w:t>orders or </w:t>
      </w:r>
      <w:r>
        <w:rPr>
          <w:spacing w:val="-3"/>
          <w:sz w:val="21"/>
        </w:rPr>
        <w:t>transferred to </w:t>
      </w:r>
      <w:r>
        <w:rPr>
          <w:sz w:val="21"/>
        </w:rPr>
        <w:t>a court/tribunal </w:t>
      </w:r>
      <w:r>
        <w:rPr>
          <w:spacing w:val="-3"/>
          <w:sz w:val="21"/>
        </w:rPr>
        <w:t>hearing </w:t>
      </w:r>
      <w:r>
        <w:rPr>
          <w:sz w:val="21"/>
        </w:rPr>
        <w:t>when they </w:t>
      </w:r>
      <w:r>
        <w:rPr>
          <w:spacing w:val="-3"/>
          <w:sz w:val="21"/>
        </w:rPr>
        <w:t>cannot </w:t>
      </w:r>
      <w:r>
        <w:rPr>
          <w:sz w:val="21"/>
        </w:rPr>
        <w:t>be</w:t>
      </w:r>
      <w:r>
        <w:rPr>
          <w:spacing w:val="19"/>
          <w:sz w:val="21"/>
        </w:rPr>
        <w:t> </w:t>
      </w:r>
      <w:r>
        <w:rPr>
          <w:sz w:val="21"/>
        </w:rPr>
        <w:t>resolved.</w:t>
      </w:r>
      <w:r>
        <w:rPr>
          <w:position w:val="7"/>
          <w:sz w:val="12"/>
        </w:rPr>
        <w:t>4</w:t>
      </w:r>
    </w:p>
    <w:p>
      <w:pPr>
        <w:pStyle w:val="ListParagraph"/>
        <w:numPr>
          <w:ilvl w:val="1"/>
          <w:numId w:val="16"/>
        </w:numPr>
        <w:tabs>
          <w:tab w:pos="2381" w:val="left" w:leader="none"/>
          <w:tab w:pos="2382" w:val="left" w:leader="none"/>
        </w:tabs>
        <w:spacing w:line="242" w:lineRule="auto" w:before="130" w:after="0"/>
        <w:ind w:left="2381" w:right="1646" w:hanging="794"/>
        <w:jc w:val="left"/>
        <w:rPr>
          <w:sz w:val="21"/>
        </w:rPr>
      </w:pPr>
      <w:r>
        <w:rPr>
          <w:w w:val="105"/>
          <w:sz w:val="21"/>
        </w:rPr>
        <w:t>ODR is </w:t>
      </w:r>
      <w:r>
        <w:rPr>
          <w:spacing w:val="-3"/>
          <w:w w:val="105"/>
          <w:sz w:val="21"/>
        </w:rPr>
        <w:t>generally </w:t>
      </w:r>
      <w:r>
        <w:rPr>
          <w:w w:val="105"/>
          <w:sz w:val="21"/>
        </w:rPr>
        <w:t>used </w:t>
      </w:r>
      <w:r>
        <w:rPr>
          <w:spacing w:val="-3"/>
          <w:w w:val="105"/>
          <w:sz w:val="21"/>
        </w:rPr>
        <w:t>for </w:t>
      </w:r>
      <w:r>
        <w:rPr>
          <w:spacing w:val="-5"/>
          <w:w w:val="105"/>
          <w:sz w:val="21"/>
        </w:rPr>
        <w:t>smaller, </w:t>
      </w:r>
      <w:r>
        <w:rPr>
          <w:spacing w:val="-3"/>
          <w:w w:val="105"/>
          <w:sz w:val="21"/>
        </w:rPr>
        <w:t>simpler disputes, </w:t>
      </w:r>
      <w:r>
        <w:rPr>
          <w:w w:val="105"/>
          <w:sz w:val="21"/>
        </w:rPr>
        <w:t>which can be ‘triaged’ with </w:t>
      </w:r>
      <w:r>
        <w:rPr>
          <w:spacing w:val="-3"/>
          <w:w w:val="105"/>
          <w:sz w:val="21"/>
        </w:rPr>
        <w:t>threshold </w:t>
      </w:r>
      <w:r>
        <w:rPr>
          <w:w w:val="105"/>
          <w:sz w:val="21"/>
        </w:rPr>
        <w:t>questions,</w:t>
      </w:r>
      <w:r>
        <w:rPr>
          <w:spacing w:val="-8"/>
          <w:w w:val="105"/>
          <w:sz w:val="21"/>
        </w:rPr>
        <w:t> </w:t>
      </w:r>
      <w:r>
        <w:rPr>
          <w:w w:val="105"/>
          <w:sz w:val="21"/>
        </w:rPr>
        <w:t>and</w:t>
      </w:r>
      <w:r>
        <w:rPr>
          <w:spacing w:val="-7"/>
          <w:w w:val="105"/>
          <w:sz w:val="21"/>
        </w:rPr>
        <w:t> </w:t>
      </w:r>
      <w:r>
        <w:rPr>
          <w:spacing w:val="-3"/>
          <w:w w:val="105"/>
          <w:sz w:val="21"/>
        </w:rPr>
        <w:t>potentially</w:t>
      </w:r>
      <w:r>
        <w:rPr>
          <w:spacing w:val="-8"/>
          <w:w w:val="105"/>
          <w:sz w:val="21"/>
        </w:rPr>
        <w:t> </w:t>
      </w:r>
      <w:r>
        <w:rPr>
          <w:w w:val="105"/>
          <w:sz w:val="21"/>
        </w:rPr>
        <w:t>resolved</w:t>
      </w:r>
      <w:r>
        <w:rPr>
          <w:spacing w:val="-7"/>
          <w:w w:val="105"/>
          <w:sz w:val="21"/>
        </w:rPr>
        <w:t> </w:t>
      </w:r>
      <w:r>
        <w:rPr>
          <w:spacing w:val="-3"/>
          <w:w w:val="105"/>
          <w:sz w:val="21"/>
        </w:rPr>
        <w:t>using</w:t>
      </w:r>
      <w:r>
        <w:rPr>
          <w:spacing w:val="-7"/>
          <w:w w:val="105"/>
          <w:sz w:val="21"/>
        </w:rPr>
        <w:t> </w:t>
      </w:r>
      <w:r>
        <w:rPr>
          <w:w w:val="105"/>
          <w:sz w:val="21"/>
        </w:rPr>
        <w:t>good</w:t>
      </w:r>
      <w:r>
        <w:rPr>
          <w:spacing w:val="-8"/>
          <w:w w:val="105"/>
          <w:sz w:val="21"/>
        </w:rPr>
        <w:t> </w:t>
      </w:r>
      <w:r>
        <w:rPr>
          <w:w w:val="105"/>
          <w:sz w:val="21"/>
        </w:rPr>
        <w:t>quality</w:t>
      </w:r>
      <w:r>
        <w:rPr>
          <w:spacing w:val="-7"/>
          <w:w w:val="105"/>
          <w:sz w:val="21"/>
        </w:rPr>
        <w:t> </w:t>
      </w:r>
      <w:r>
        <w:rPr>
          <w:spacing w:val="-3"/>
          <w:w w:val="105"/>
          <w:sz w:val="21"/>
        </w:rPr>
        <w:t>information</w:t>
      </w:r>
      <w:r>
        <w:rPr>
          <w:spacing w:val="-7"/>
          <w:w w:val="105"/>
          <w:sz w:val="21"/>
        </w:rPr>
        <w:t> </w:t>
      </w:r>
      <w:r>
        <w:rPr>
          <w:w w:val="105"/>
          <w:sz w:val="21"/>
        </w:rPr>
        <w:t>and</w:t>
      </w:r>
      <w:r>
        <w:rPr>
          <w:spacing w:val="-8"/>
          <w:w w:val="105"/>
          <w:sz w:val="21"/>
        </w:rPr>
        <w:t> </w:t>
      </w:r>
      <w:r>
        <w:rPr>
          <w:w w:val="105"/>
          <w:sz w:val="21"/>
        </w:rPr>
        <w:t>tools.</w:t>
      </w:r>
      <w:r>
        <w:rPr>
          <w:spacing w:val="-7"/>
          <w:w w:val="105"/>
          <w:sz w:val="21"/>
        </w:rPr>
        <w:t> </w:t>
      </w:r>
      <w:r>
        <w:rPr>
          <w:w w:val="105"/>
          <w:sz w:val="21"/>
        </w:rPr>
        <w:t>Some</w:t>
      </w:r>
      <w:r>
        <w:rPr>
          <w:spacing w:val="-7"/>
          <w:w w:val="105"/>
          <w:sz w:val="21"/>
        </w:rPr>
        <w:t> </w:t>
      </w:r>
      <w:r>
        <w:rPr>
          <w:w w:val="105"/>
          <w:sz w:val="21"/>
        </w:rPr>
        <w:t>of</w:t>
      </w:r>
      <w:r>
        <w:rPr>
          <w:spacing w:val="-8"/>
          <w:w w:val="105"/>
          <w:sz w:val="21"/>
        </w:rPr>
        <w:t> </w:t>
      </w:r>
      <w:r>
        <w:rPr>
          <w:w w:val="105"/>
          <w:sz w:val="21"/>
        </w:rPr>
        <w:t>the benefits of ODR methods </w:t>
      </w:r>
      <w:r>
        <w:rPr>
          <w:spacing w:val="-3"/>
          <w:w w:val="105"/>
          <w:sz w:val="21"/>
        </w:rPr>
        <w:t>may</w:t>
      </w:r>
      <w:r>
        <w:rPr>
          <w:spacing w:val="24"/>
          <w:w w:val="105"/>
          <w:sz w:val="21"/>
        </w:rPr>
        <w:t> </w:t>
      </w:r>
      <w:r>
        <w:rPr>
          <w:w w:val="105"/>
          <w:sz w:val="21"/>
        </w:rPr>
        <w:t>include:</w:t>
      </w:r>
    </w:p>
    <w:p>
      <w:pPr>
        <w:pStyle w:val="BodyText"/>
        <w:spacing w:before="10"/>
        <w:rPr>
          <w:sz w:val="10"/>
        </w:rPr>
      </w:pPr>
      <w:r>
        <w:rPr/>
        <w:pict>
          <v:line style="position:absolute;mso-position-horizontal-relative:page;mso-position-vertical-relative:paragraph;z-index:11864;mso-wrap-distance-left:0;mso-wrap-distance-right:0" from="79.370102pt,9.054716pt" to="515.905102pt,9.054716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spacing w:before="1"/>
        <w:rPr>
          <w:sz w:val="31"/>
        </w:rPr>
      </w:pPr>
    </w:p>
    <w:p>
      <w:pPr>
        <w:spacing w:before="0"/>
        <w:ind w:left="720" w:right="0" w:firstLine="0"/>
        <w:jc w:val="left"/>
        <w:rPr>
          <w:b/>
          <w:sz w:val="24"/>
        </w:rPr>
      </w:pPr>
      <w:r>
        <w:rPr>
          <w:b/>
          <w:color w:val="658464"/>
          <w:w w:val="110"/>
          <w:sz w:val="24"/>
        </w:rPr>
        <w:t>290</w:t>
      </w:r>
    </w:p>
    <w:p>
      <w:pPr>
        <w:pStyle w:val="ListParagraph"/>
        <w:numPr>
          <w:ilvl w:val="0"/>
          <w:numId w:val="203"/>
        </w:numPr>
        <w:tabs>
          <w:tab w:pos="1218" w:val="left" w:leader="none"/>
          <w:tab w:pos="1219" w:val="left" w:leader="none"/>
        </w:tabs>
        <w:spacing w:line="240" w:lineRule="auto" w:before="48" w:after="0"/>
        <w:ind w:left="1218" w:right="1591" w:hanging="794"/>
        <w:jc w:val="left"/>
        <w:rPr>
          <w:sz w:val="13"/>
        </w:rPr>
      </w:pPr>
      <w:r>
        <w:rPr>
          <w:spacing w:val="2"/>
          <w:w w:val="108"/>
          <w:sz w:val="13"/>
        </w:rPr>
        <w:br w:type="column"/>
      </w:r>
      <w:r>
        <w:rPr>
          <w:w w:val="105"/>
          <w:sz w:val="13"/>
        </w:rPr>
        <w:t>Department of Justice and Regulation </w:t>
      </w:r>
      <w:r>
        <w:rPr>
          <w:spacing w:val="2"/>
          <w:w w:val="105"/>
          <w:sz w:val="13"/>
        </w:rPr>
        <w:t>(Vic), </w:t>
      </w:r>
      <w:r>
        <w:rPr>
          <w:i/>
          <w:w w:val="105"/>
          <w:sz w:val="13"/>
        </w:rPr>
        <w:t>Access to Justice Review </w:t>
      </w:r>
      <w:r>
        <w:rPr>
          <w:i/>
          <w:spacing w:val="2"/>
          <w:w w:val="105"/>
          <w:sz w:val="13"/>
        </w:rPr>
        <w:t>Report </w:t>
      </w:r>
      <w:r>
        <w:rPr>
          <w:i/>
          <w:w w:val="105"/>
          <w:sz w:val="13"/>
        </w:rPr>
        <w:t>and Recommendations </w:t>
      </w:r>
      <w:r>
        <w:rPr>
          <w:w w:val="105"/>
          <w:sz w:val="13"/>
        </w:rPr>
        <w:t>(2016) vol </w:t>
      </w:r>
      <w:r>
        <w:rPr>
          <w:spacing w:val="-3"/>
          <w:w w:val="105"/>
          <w:sz w:val="13"/>
        </w:rPr>
        <w:t>1, </w:t>
      </w:r>
      <w:r>
        <w:rPr>
          <w:w w:val="105"/>
          <w:sz w:val="13"/>
        </w:rPr>
        <w:t>272; see also Pablo Cortes, ‘Online</w:t>
      </w:r>
      <w:r>
        <w:rPr>
          <w:spacing w:val="6"/>
          <w:w w:val="105"/>
          <w:sz w:val="13"/>
        </w:rPr>
        <w:t> </w:t>
      </w:r>
      <w:r>
        <w:rPr>
          <w:w w:val="105"/>
          <w:sz w:val="13"/>
        </w:rPr>
        <w:t>Dispute</w:t>
      </w:r>
      <w:r>
        <w:rPr>
          <w:spacing w:val="6"/>
          <w:w w:val="105"/>
          <w:sz w:val="13"/>
        </w:rPr>
        <w:t> </w:t>
      </w:r>
      <w:r>
        <w:rPr>
          <w:w w:val="105"/>
          <w:sz w:val="13"/>
        </w:rPr>
        <w:t>Resolution</w:t>
      </w:r>
      <w:r>
        <w:rPr>
          <w:spacing w:val="6"/>
          <w:w w:val="105"/>
          <w:sz w:val="13"/>
        </w:rPr>
        <w:t> </w:t>
      </w:r>
      <w:r>
        <w:rPr>
          <w:spacing w:val="2"/>
          <w:w w:val="105"/>
          <w:sz w:val="13"/>
        </w:rPr>
        <w:t>Services:</w:t>
      </w:r>
      <w:r>
        <w:rPr>
          <w:spacing w:val="6"/>
          <w:w w:val="105"/>
          <w:sz w:val="13"/>
        </w:rPr>
        <w:t> </w:t>
      </w:r>
      <w:r>
        <w:rPr>
          <w:w w:val="105"/>
          <w:sz w:val="13"/>
        </w:rPr>
        <w:t>A</w:t>
      </w:r>
      <w:r>
        <w:rPr>
          <w:spacing w:val="7"/>
          <w:w w:val="105"/>
          <w:sz w:val="13"/>
        </w:rPr>
        <w:t> </w:t>
      </w:r>
      <w:r>
        <w:rPr>
          <w:w w:val="105"/>
          <w:sz w:val="13"/>
        </w:rPr>
        <w:t>Selected</w:t>
      </w:r>
      <w:r>
        <w:rPr>
          <w:spacing w:val="6"/>
          <w:w w:val="105"/>
          <w:sz w:val="13"/>
        </w:rPr>
        <w:t> </w:t>
      </w:r>
      <w:r>
        <w:rPr>
          <w:w w:val="105"/>
          <w:sz w:val="13"/>
        </w:rPr>
        <w:t>Number</w:t>
      </w:r>
      <w:r>
        <w:rPr>
          <w:spacing w:val="6"/>
          <w:w w:val="105"/>
          <w:sz w:val="13"/>
        </w:rPr>
        <w:t> </w:t>
      </w:r>
      <w:r>
        <w:rPr>
          <w:w w:val="105"/>
          <w:sz w:val="13"/>
        </w:rPr>
        <w:t>of</w:t>
      </w:r>
      <w:r>
        <w:rPr>
          <w:spacing w:val="6"/>
          <w:w w:val="105"/>
          <w:sz w:val="13"/>
        </w:rPr>
        <w:t> </w:t>
      </w:r>
      <w:r>
        <w:rPr>
          <w:w w:val="105"/>
          <w:sz w:val="13"/>
        </w:rPr>
        <w:t>Case</w:t>
      </w:r>
      <w:r>
        <w:rPr>
          <w:spacing w:val="7"/>
          <w:w w:val="105"/>
          <w:sz w:val="13"/>
        </w:rPr>
        <w:t> </w:t>
      </w:r>
      <w:r>
        <w:rPr>
          <w:w w:val="105"/>
          <w:sz w:val="13"/>
        </w:rPr>
        <w:t>Studies’</w:t>
      </w:r>
      <w:r>
        <w:rPr>
          <w:spacing w:val="6"/>
          <w:w w:val="105"/>
          <w:sz w:val="13"/>
        </w:rPr>
        <w:t> </w:t>
      </w:r>
      <w:r>
        <w:rPr>
          <w:w w:val="105"/>
          <w:sz w:val="13"/>
        </w:rPr>
        <w:t>(2014)</w:t>
      </w:r>
      <w:r>
        <w:rPr>
          <w:spacing w:val="6"/>
          <w:w w:val="105"/>
          <w:sz w:val="13"/>
        </w:rPr>
        <w:t> </w:t>
      </w:r>
      <w:r>
        <w:rPr>
          <w:w w:val="105"/>
          <w:sz w:val="13"/>
        </w:rPr>
        <w:t>6</w:t>
      </w:r>
      <w:r>
        <w:rPr>
          <w:spacing w:val="6"/>
          <w:w w:val="105"/>
          <w:sz w:val="13"/>
        </w:rPr>
        <w:t> </w:t>
      </w:r>
      <w:r>
        <w:rPr>
          <w:i/>
          <w:w w:val="105"/>
          <w:sz w:val="13"/>
        </w:rPr>
        <w:t>Computer</w:t>
      </w:r>
      <w:r>
        <w:rPr>
          <w:i/>
          <w:spacing w:val="7"/>
          <w:w w:val="105"/>
          <w:sz w:val="13"/>
        </w:rPr>
        <w:t> </w:t>
      </w:r>
      <w:r>
        <w:rPr>
          <w:i/>
          <w:w w:val="105"/>
          <w:sz w:val="13"/>
        </w:rPr>
        <w:t>and</w:t>
      </w:r>
      <w:r>
        <w:rPr>
          <w:i/>
          <w:spacing w:val="6"/>
          <w:w w:val="105"/>
          <w:sz w:val="13"/>
        </w:rPr>
        <w:t> </w:t>
      </w:r>
      <w:r>
        <w:rPr>
          <w:i/>
          <w:w w:val="105"/>
          <w:sz w:val="13"/>
        </w:rPr>
        <w:t>Telecommunications</w:t>
      </w:r>
      <w:r>
        <w:rPr>
          <w:i/>
          <w:spacing w:val="6"/>
          <w:w w:val="105"/>
          <w:sz w:val="13"/>
        </w:rPr>
        <w:t> </w:t>
      </w:r>
      <w:r>
        <w:rPr>
          <w:i/>
          <w:w w:val="105"/>
          <w:sz w:val="13"/>
        </w:rPr>
        <w:t>Law</w:t>
      </w:r>
      <w:r>
        <w:rPr>
          <w:i/>
          <w:spacing w:val="6"/>
          <w:w w:val="105"/>
          <w:sz w:val="13"/>
        </w:rPr>
        <w:t> </w:t>
      </w:r>
      <w:r>
        <w:rPr>
          <w:i/>
          <w:w w:val="105"/>
          <w:sz w:val="13"/>
        </w:rPr>
        <w:t>Review</w:t>
      </w:r>
      <w:r>
        <w:rPr>
          <w:i/>
          <w:spacing w:val="7"/>
          <w:w w:val="105"/>
          <w:sz w:val="13"/>
        </w:rPr>
        <w:t> </w:t>
      </w:r>
      <w:r>
        <w:rPr>
          <w:w w:val="105"/>
          <w:sz w:val="13"/>
        </w:rPr>
        <w:t>172.</w:t>
      </w:r>
    </w:p>
    <w:p>
      <w:pPr>
        <w:pStyle w:val="ListParagraph"/>
        <w:numPr>
          <w:ilvl w:val="0"/>
          <w:numId w:val="203"/>
        </w:numPr>
        <w:tabs>
          <w:tab w:pos="1218" w:val="left" w:leader="none"/>
          <w:tab w:pos="1219" w:val="left" w:leader="none"/>
        </w:tabs>
        <w:spacing w:line="240" w:lineRule="auto" w:before="3" w:after="0"/>
        <w:ind w:left="1218" w:right="0" w:hanging="794"/>
        <w:jc w:val="left"/>
        <w:rPr>
          <w:i/>
          <w:sz w:val="13"/>
        </w:rPr>
      </w:pPr>
      <w:r>
        <w:rPr>
          <w:w w:val="105"/>
          <w:sz w:val="13"/>
        </w:rPr>
        <w:t>See,</w:t>
      </w:r>
      <w:r>
        <w:rPr>
          <w:spacing w:val="5"/>
          <w:w w:val="105"/>
          <w:sz w:val="13"/>
        </w:rPr>
        <w:t> </w:t>
      </w:r>
      <w:r>
        <w:rPr>
          <w:w w:val="105"/>
          <w:sz w:val="13"/>
        </w:rPr>
        <w:t>eg,</w:t>
      </w:r>
      <w:r>
        <w:rPr>
          <w:spacing w:val="6"/>
          <w:w w:val="105"/>
          <w:sz w:val="13"/>
        </w:rPr>
        <w:t> </w:t>
      </w:r>
      <w:r>
        <w:rPr>
          <w:w w:val="105"/>
          <w:sz w:val="13"/>
        </w:rPr>
        <w:t>Nussen</w:t>
      </w:r>
      <w:r>
        <w:rPr>
          <w:spacing w:val="6"/>
          <w:w w:val="105"/>
          <w:sz w:val="13"/>
        </w:rPr>
        <w:t> </w:t>
      </w:r>
      <w:r>
        <w:rPr>
          <w:w w:val="105"/>
          <w:sz w:val="13"/>
        </w:rPr>
        <w:t>Ainsworth</w:t>
      </w:r>
      <w:r>
        <w:rPr>
          <w:spacing w:val="5"/>
          <w:w w:val="105"/>
          <w:sz w:val="13"/>
        </w:rPr>
        <w:t> </w:t>
      </w:r>
      <w:r>
        <w:rPr>
          <w:w w:val="105"/>
          <w:sz w:val="13"/>
        </w:rPr>
        <w:t>and</w:t>
      </w:r>
      <w:r>
        <w:rPr>
          <w:spacing w:val="6"/>
          <w:w w:val="105"/>
          <w:sz w:val="13"/>
        </w:rPr>
        <w:t> </w:t>
      </w:r>
      <w:r>
        <w:rPr>
          <w:w w:val="105"/>
          <w:sz w:val="13"/>
        </w:rPr>
        <w:t>Meghann</w:t>
      </w:r>
      <w:r>
        <w:rPr>
          <w:spacing w:val="6"/>
          <w:w w:val="105"/>
          <w:sz w:val="13"/>
        </w:rPr>
        <w:t> </w:t>
      </w:r>
      <w:r>
        <w:rPr>
          <w:w w:val="105"/>
          <w:sz w:val="13"/>
        </w:rPr>
        <w:t>Clark,</w:t>
      </w:r>
      <w:r>
        <w:rPr>
          <w:spacing w:val="6"/>
          <w:w w:val="105"/>
          <w:sz w:val="13"/>
        </w:rPr>
        <w:t> </w:t>
      </w:r>
      <w:r>
        <w:rPr>
          <w:w w:val="105"/>
          <w:sz w:val="13"/>
        </w:rPr>
        <w:t>‘Technology</w:t>
      </w:r>
      <w:r>
        <w:rPr>
          <w:spacing w:val="5"/>
          <w:w w:val="105"/>
          <w:sz w:val="13"/>
        </w:rPr>
        <w:t> </w:t>
      </w:r>
      <w:r>
        <w:rPr>
          <w:w w:val="105"/>
          <w:sz w:val="13"/>
        </w:rPr>
        <w:t>in</w:t>
      </w:r>
      <w:r>
        <w:rPr>
          <w:spacing w:val="6"/>
          <w:w w:val="105"/>
          <w:sz w:val="13"/>
        </w:rPr>
        <w:t> </w:t>
      </w:r>
      <w:r>
        <w:rPr>
          <w:w w:val="105"/>
          <w:sz w:val="13"/>
        </w:rPr>
        <w:t>Mediation’</w:t>
      </w:r>
      <w:r>
        <w:rPr>
          <w:spacing w:val="6"/>
          <w:w w:val="105"/>
          <w:sz w:val="13"/>
        </w:rPr>
        <w:t> </w:t>
      </w:r>
      <w:r>
        <w:rPr>
          <w:w w:val="105"/>
          <w:sz w:val="13"/>
        </w:rPr>
        <w:t>(1</w:t>
      </w:r>
      <w:r>
        <w:rPr>
          <w:spacing w:val="6"/>
          <w:w w:val="105"/>
          <w:sz w:val="13"/>
        </w:rPr>
        <w:t> </w:t>
      </w:r>
      <w:r>
        <w:rPr>
          <w:w w:val="105"/>
          <w:sz w:val="13"/>
        </w:rPr>
        <w:t>April</w:t>
      </w:r>
      <w:r>
        <w:rPr>
          <w:spacing w:val="5"/>
          <w:w w:val="105"/>
          <w:sz w:val="13"/>
        </w:rPr>
        <w:t> </w:t>
      </w:r>
      <w:r>
        <w:rPr>
          <w:w w:val="105"/>
          <w:sz w:val="13"/>
        </w:rPr>
        <w:t>2016),</w:t>
      </w:r>
      <w:r>
        <w:rPr>
          <w:spacing w:val="6"/>
          <w:w w:val="105"/>
          <w:sz w:val="13"/>
        </w:rPr>
        <w:t> </w:t>
      </w:r>
      <w:r>
        <w:rPr>
          <w:spacing w:val="4"/>
          <w:w w:val="105"/>
          <w:sz w:val="13"/>
        </w:rPr>
        <w:t>90(4)</w:t>
      </w:r>
      <w:r>
        <w:rPr>
          <w:spacing w:val="6"/>
          <w:w w:val="105"/>
          <w:sz w:val="13"/>
        </w:rPr>
        <w:t> </w:t>
      </w:r>
      <w:r>
        <w:rPr>
          <w:i/>
          <w:w w:val="105"/>
          <w:sz w:val="13"/>
        </w:rPr>
        <w:t>Law</w:t>
      </w:r>
      <w:r>
        <w:rPr>
          <w:i/>
          <w:spacing w:val="5"/>
          <w:w w:val="105"/>
          <w:sz w:val="13"/>
        </w:rPr>
        <w:t> </w:t>
      </w:r>
      <w:r>
        <w:rPr>
          <w:i/>
          <w:w w:val="105"/>
          <w:sz w:val="13"/>
        </w:rPr>
        <w:t>Institute</w:t>
      </w:r>
      <w:r>
        <w:rPr>
          <w:i/>
          <w:spacing w:val="6"/>
          <w:w w:val="105"/>
          <w:sz w:val="13"/>
        </w:rPr>
        <w:t> </w:t>
      </w:r>
      <w:r>
        <w:rPr>
          <w:i/>
          <w:w w:val="105"/>
          <w:sz w:val="13"/>
        </w:rPr>
        <w:t>Journal</w:t>
      </w:r>
      <w:r>
        <w:rPr>
          <w:i/>
          <w:spacing w:val="6"/>
          <w:w w:val="105"/>
          <w:sz w:val="13"/>
        </w:rPr>
        <w:t> </w:t>
      </w:r>
      <w:r>
        <w:rPr>
          <w:i/>
          <w:spacing w:val="3"/>
          <w:w w:val="105"/>
          <w:sz w:val="13"/>
        </w:rPr>
        <w:t>38–40</w:t>
      </w:r>
    </w:p>
    <w:p>
      <w:pPr>
        <w:spacing w:before="1"/>
        <w:ind w:left="1218" w:right="0" w:firstLine="0"/>
        <w:jc w:val="left"/>
        <w:rPr>
          <w:sz w:val="13"/>
        </w:rPr>
      </w:pPr>
      <w:r>
        <w:rPr>
          <w:i/>
          <w:sz w:val="13"/>
        </w:rPr>
        <w:t>&lt;</w:t>
      </w:r>
      <w:hyperlink r:id="rId349">
        <w:r>
          <w:rPr>
            <w:sz w:val="13"/>
          </w:rPr>
          <w:t>https://www.liv.asn.au/Staying-Informed/LIJ/LIJ/April-2016/Technology-in-mediation</w:t>
        </w:r>
      </w:hyperlink>
      <w:r>
        <w:rPr>
          <w:sz w:val="13"/>
        </w:rPr>
        <w:t>&gt;.</w:t>
      </w:r>
    </w:p>
    <w:p>
      <w:pPr>
        <w:pStyle w:val="ListParagraph"/>
        <w:numPr>
          <w:ilvl w:val="0"/>
          <w:numId w:val="203"/>
        </w:numPr>
        <w:tabs>
          <w:tab w:pos="1218" w:val="left" w:leader="none"/>
          <w:tab w:pos="1219" w:val="left" w:leader="none"/>
        </w:tabs>
        <w:spacing w:line="240" w:lineRule="auto" w:before="1" w:after="0"/>
        <w:ind w:left="1218" w:right="0" w:hanging="794"/>
        <w:jc w:val="left"/>
        <w:rPr>
          <w:sz w:val="13"/>
        </w:rPr>
      </w:pPr>
      <w:r>
        <w:rPr>
          <w:w w:val="105"/>
          <w:sz w:val="13"/>
        </w:rPr>
        <w:t>Victorian</w:t>
      </w:r>
      <w:r>
        <w:rPr>
          <w:spacing w:val="4"/>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5"/>
          <w:w w:val="105"/>
          <w:sz w:val="13"/>
        </w:rPr>
        <w:t> </w:t>
      </w:r>
      <w:r>
        <w:rPr>
          <w:w w:val="105"/>
          <w:sz w:val="13"/>
        </w:rPr>
        <w:t>Tribunal,</w:t>
      </w:r>
      <w:r>
        <w:rPr>
          <w:spacing w:val="5"/>
          <w:w w:val="105"/>
          <w:sz w:val="13"/>
        </w:rPr>
        <w:t> </w:t>
      </w:r>
      <w:r>
        <w:rPr>
          <w:i/>
          <w:w w:val="105"/>
          <w:sz w:val="13"/>
        </w:rPr>
        <w:t>Online</w:t>
      </w:r>
      <w:r>
        <w:rPr>
          <w:i/>
          <w:spacing w:val="5"/>
          <w:w w:val="105"/>
          <w:sz w:val="13"/>
        </w:rPr>
        <w:t> </w:t>
      </w:r>
      <w:r>
        <w:rPr>
          <w:i/>
          <w:w w:val="105"/>
          <w:sz w:val="13"/>
        </w:rPr>
        <w:t>Tool</w:t>
      </w:r>
      <w:r>
        <w:rPr>
          <w:i/>
          <w:spacing w:val="5"/>
          <w:w w:val="105"/>
          <w:sz w:val="13"/>
        </w:rPr>
        <w:t> </w:t>
      </w:r>
      <w:r>
        <w:rPr>
          <w:i/>
          <w:w w:val="105"/>
          <w:sz w:val="13"/>
        </w:rPr>
        <w:t>to</w:t>
      </w:r>
      <w:r>
        <w:rPr>
          <w:i/>
          <w:spacing w:val="5"/>
          <w:w w:val="105"/>
          <w:sz w:val="13"/>
        </w:rPr>
        <w:t> </w:t>
      </w:r>
      <w:r>
        <w:rPr>
          <w:i/>
          <w:w w:val="105"/>
          <w:sz w:val="13"/>
        </w:rPr>
        <w:t>Help</w:t>
      </w:r>
      <w:r>
        <w:rPr>
          <w:i/>
          <w:spacing w:val="5"/>
          <w:w w:val="105"/>
          <w:sz w:val="13"/>
        </w:rPr>
        <w:t> </w:t>
      </w:r>
      <w:r>
        <w:rPr>
          <w:i/>
          <w:w w:val="105"/>
          <w:sz w:val="13"/>
        </w:rPr>
        <w:t>Tenants</w:t>
      </w:r>
      <w:r>
        <w:rPr>
          <w:i/>
          <w:spacing w:val="5"/>
          <w:w w:val="105"/>
          <w:sz w:val="13"/>
        </w:rPr>
        <w:t> </w:t>
      </w:r>
      <w:r>
        <w:rPr>
          <w:i/>
          <w:w w:val="105"/>
          <w:sz w:val="13"/>
        </w:rPr>
        <w:t>and</w:t>
      </w:r>
      <w:r>
        <w:rPr>
          <w:i/>
          <w:spacing w:val="5"/>
          <w:w w:val="105"/>
          <w:sz w:val="13"/>
        </w:rPr>
        <w:t> </w:t>
      </w:r>
      <w:r>
        <w:rPr>
          <w:i/>
          <w:w w:val="105"/>
          <w:sz w:val="13"/>
        </w:rPr>
        <w:t>Landlords</w:t>
      </w:r>
      <w:r>
        <w:rPr>
          <w:i/>
          <w:spacing w:val="5"/>
          <w:w w:val="105"/>
          <w:sz w:val="13"/>
        </w:rPr>
        <w:t> </w:t>
      </w:r>
      <w:r>
        <w:rPr>
          <w:i/>
          <w:w w:val="105"/>
          <w:sz w:val="13"/>
        </w:rPr>
        <w:t>at</w:t>
      </w:r>
      <w:r>
        <w:rPr>
          <w:i/>
          <w:spacing w:val="5"/>
          <w:w w:val="105"/>
          <w:sz w:val="13"/>
        </w:rPr>
        <w:t> </w:t>
      </w:r>
      <w:r>
        <w:rPr>
          <w:i/>
          <w:w w:val="105"/>
          <w:sz w:val="13"/>
        </w:rPr>
        <w:t>VCAT</w:t>
      </w:r>
      <w:r>
        <w:rPr>
          <w:i/>
          <w:spacing w:val="5"/>
          <w:w w:val="105"/>
          <w:sz w:val="13"/>
        </w:rPr>
        <w:t> </w:t>
      </w:r>
      <w:r>
        <w:rPr>
          <w:w w:val="105"/>
          <w:sz w:val="13"/>
        </w:rPr>
        <w:t>(Web</w:t>
      </w:r>
      <w:r>
        <w:rPr>
          <w:spacing w:val="5"/>
          <w:w w:val="105"/>
          <w:sz w:val="13"/>
        </w:rPr>
        <w:t> </w:t>
      </w:r>
      <w:r>
        <w:rPr>
          <w:w w:val="105"/>
          <w:sz w:val="13"/>
        </w:rPr>
        <w:t>Page,</w:t>
      </w:r>
      <w:r>
        <w:rPr>
          <w:spacing w:val="5"/>
          <w:w w:val="105"/>
          <w:sz w:val="13"/>
        </w:rPr>
        <w:t> </w:t>
      </w:r>
      <w:r>
        <w:rPr>
          <w:spacing w:val="-4"/>
          <w:w w:val="105"/>
          <w:sz w:val="13"/>
        </w:rPr>
        <w:t>17</w:t>
      </w:r>
      <w:r>
        <w:rPr>
          <w:spacing w:val="5"/>
          <w:w w:val="105"/>
          <w:sz w:val="13"/>
        </w:rPr>
        <w:t> </w:t>
      </w:r>
      <w:r>
        <w:rPr>
          <w:w w:val="105"/>
          <w:sz w:val="13"/>
        </w:rPr>
        <w:t>November</w:t>
      </w:r>
      <w:r>
        <w:rPr>
          <w:spacing w:val="5"/>
          <w:w w:val="105"/>
          <w:sz w:val="13"/>
        </w:rPr>
        <w:t> </w:t>
      </w:r>
      <w:r>
        <w:rPr>
          <w:w w:val="105"/>
          <w:sz w:val="13"/>
        </w:rPr>
        <w:t>2015)</w:t>
      </w:r>
    </w:p>
    <w:p>
      <w:pPr>
        <w:spacing w:before="2"/>
        <w:ind w:left="1218" w:right="0" w:firstLine="0"/>
        <w:jc w:val="left"/>
        <w:rPr>
          <w:sz w:val="13"/>
        </w:rPr>
      </w:pPr>
      <w:r>
        <w:rPr>
          <w:w w:val="105"/>
          <w:sz w:val="13"/>
        </w:rPr>
        <w:t>&lt;https://</w:t>
      </w:r>
      <w:hyperlink r:id="rId350">
        <w:r>
          <w:rPr>
            <w:w w:val="105"/>
            <w:sz w:val="13"/>
          </w:rPr>
          <w:t>www.vcat.vic.gov.au/news/online-tool-to-help-tenants-and-landlords-at-vcat</w:t>
        </w:r>
      </w:hyperlink>
      <w:r>
        <w:rPr>
          <w:w w:val="105"/>
          <w:sz w:val="13"/>
        </w:rPr>
        <w:t>&gt;.</w:t>
      </w:r>
    </w:p>
    <w:p>
      <w:pPr>
        <w:pStyle w:val="ListParagraph"/>
        <w:numPr>
          <w:ilvl w:val="0"/>
          <w:numId w:val="203"/>
        </w:numPr>
        <w:tabs>
          <w:tab w:pos="1218" w:val="left" w:leader="none"/>
          <w:tab w:pos="1219" w:val="left" w:leader="none"/>
        </w:tabs>
        <w:spacing w:line="240" w:lineRule="auto" w:before="1" w:after="0"/>
        <w:ind w:left="1218" w:right="2566" w:hanging="794"/>
        <w:jc w:val="left"/>
        <w:rPr>
          <w:sz w:val="13"/>
        </w:rPr>
      </w:pPr>
      <w:r>
        <w:rPr>
          <w:w w:val="105"/>
          <w:sz w:val="13"/>
        </w:rPr>
        <w:t>See, eg, Civil Resolution Tribunal, </w:t>
      </w:r>
      <w:r>
        <w:rPr>
          <w:i/>
          <w:w w:val="105"/>
          <w:sz w:val="13"/>
        </w:rPr>
        <w:t>How the Dispute Resolution Process Ends </w:t>
      </w:r>
      <w:r>
        <w:rPr>
          <w:w w:val="105"/>
          <w:sz w:val="13"/>
        </w:rPr>
        <w:t>(Web Page, 2019) </w:t>
      </w:r>
      <w:r>
        <w:rPr>
          <w:spacing w:val="2"/>
          <w:w w:val="105"/>
          <w:sz w:val="13"/>
        </w:rPr>
        <w:t>&lt;https://civilresolutionbc.ca/ how-the-crt-works/how-the-process-ends/#what-if-i-dont-agree-with-the-decision&gt;.</w:t>
      </w:r>
    </w:p>
    <w:p>
      <w:pPr>
        <w:spacing w:after="0" w:line="240" w:lineRule="auto"/>
        <w:jc w:val="left"/>
        <w:rPr>
          <w:sz w:val="13"/>
        </w:rPr>
        <w:sectPr>
          <w:type w:val="continuous"/>
          <w:pgSz w:w="11910" w:h="16840"/>
          <w:pgMar w:top="300" w:bottom="280" w:left="0" w:right="0"/>
          <w:cols w:num="2" w:equalWidth="0">
            <w:col w:w="1123" w:space="40"/>
            <w:col w:w="10747"/>
          </w:cols>
        </w:sectPr>
      </w:pPr>
    </w:p>
    <w:p>
      <w:pPr>
        <w:pStyle w:val="BodyText"/>
        <w:rPr>
          <w:sz w:val="20"/>
        </w:rPr>
      </w:pPr>
    </w:p>
    <w:p>
      <w:pPr>
        <w:pStyle w:val="BodyText"/>
        <w:spacing w:before="9"/>
        <w:rPr>
          <w:sz w:val="18"/>
        </w:rPr>
      </w:pPr>
    </w:p>
    <w:p>
      <w:pPr>
        <w:pStyle w:val="ListParagraph"/>
        <w:numPr>
          <w:ilvl w:val="1"/>
          <w:numId w:val="203"/>
        </w:numPr>
        <w:tabs>
          <w:tab w:pos="2721" w:val="left" w:leader="none"/>
          <w:tab w:pos="2722" w:val="left" w:leader="none"/>
        </w:tabs>
        <w:spacing w:line="242" w:lineRule="auto" w:before="91" w:after="0"/>
        <w:ind w:left="2721" w:right="1758" w:hanging="340"/>
        <w:jc w:val="left"/>
        <w:rPr>
          <w:sz w:val="21"/>
        </w:rPr>
      </w:pPr>
      <w:r>
        <w:rPr>
          <w:spacing w:val="-3"/>
          <w:sz w:val="21"/>
        </w:rPr>
        <w:t>Accessibility. </w:t>
      </w:r>
      <w:r>
        <w:rPr>
          <w:sz w:val="21"/>
        </w:rPr>
        <w:t>People in non-metro </w:t>
      </w:r>
      <w:r>
        <w:rPr>
          <w:spacing w:val="-3"/>
          <w:sz w:val="21"/>
        </w:rPr>
        <w:t>areas, </w:t>
      </w:r>
      <w:r>
        <w:rPr>
          <w:sz w:val="21"/>
        </w:rPr>
        <w:t>or without </w:t>
      </w:r>
      <w:r>
        <w:rPr>
          <w:spacing w:val="-2"/>
          <w:sz w:val="21"/>
        </w:rPr>
        <w:t>access </w:t>
      </w:r>
      <w:r>
        <w:rPr>
          <w:spacing w:val="-3"/>
          <w:sz w:val="21"/>
        </w:rPr>
        <w:t>to </w:t>
      </w:r>
      <w:r>
        <w:rPr>
          <w:sz w:val="21"/>
        </w:rPr>
        <w:t>a physical court or </w:t>
      </w:r>
      <w:r>
        <w:rPr>
          <w:spacing w:val="-3"/>
          <w:sz w:val="21"/>
        </w:rPr>
        <w:t>tribunal may </w:t>
      </w:r>
      <w:r>
        <w:rPr>
          <w:sz w:val="21"/>
        </w:rPr>
        <w:t>find it </w:t>
      </w:r>
      <w:r>
        <w:rPr>
          <w:spacing w:val="-2"/>
          <w:sz w:val="21"/>
        </w:rPr>
        <w:t>easier </w:t>
      </w:r>
      <w:r>
        <w:rPr>
          <w:spacing w:val="-3"/>
          <w:sz w:val="21"/>
        </w:rPr>
        <w:t>to interact </w:t>
      </w:r>
      <w:r>
        <w:rPr>
          <w:sz w:val="21"/>
        </w:rPr>
        <w:t>with </w:t>
      </w:r>
      <w:r>
        <w:rPr>
          <w:spacing w:val="-3"/>
          <w:sz w:val="21"/>
        </w:rPr>
        <w:t>online </w:t>
      </w:r>
      <w:r>
        <w:rPr>
          <w:sz w:val="21"/>
        </w:rPr>
        <w:t>tools and processes. ODR tools </w:t>
      </w:r>
      <w:r>
        <w:rPr>
          <w:spacing w:val="-3"/>
          <w:sz w:val="21"/>
        </w:rPr>
        <w:t>may </w:t>
      </w:r>
      <w:r>
        <w:rPr>
          <w:sz w:val="21"/>
        </w:rPr>
        <w:t>also be </w:t>
      </w:r>
      <w:r>
        <w:rPr>
          <w:spacing w:val="-3"/>
          <w:sz w:val="21"/>
        </w:rPr>
        <w:t>available around  </w:t>
      </w:r>
      <w:r>
        <w:rPr>
          <w:sz w:val="21"/>
        </w:rPr>
        <w:t>the clock, </w:t>
      </w:r>
      <w:r>
        <w:rPr>
          <w:spacing w:val="-3"/>
          <w:sz w:val="21"/>
        </w:rPr>
        <w:t>meaning</w:t>
      </w:r>
      <w:r>
        <w:rPr>
          <w:spacing w:val="41"/>
          <w:sz w:val="21"/>
        </w:rPr>
        <w:t> </w:t>
      </w:r>
      <w:r>
        <w:rPr>
          <w:spacing w:val="-3"/>
          <w:sz w:val="21"/>
        </w:rPr>
        <w:t>that  </w:t>
      </w:r>
      <w:r>
        <w:rPr>
          <w:sz w:val="21"/>
        </w:rPr>
        <w:t>parties need </w:t>
      </w:r>
      <w:r>
        <w:rPr>
          <w:spacing w:val="-2"/>
          <w:sz w:val="21"/>
        </w:rPr>
        <w:t>not  </w:t>
      </w:r>
      <w:r>
        <w:rPr>
          <w:sz w:val="21"/>
        </w:rPr>
        <w:t>be in the same </w:t>
      </w:r>
      <w:r>
        <w:rPr>
          <w:spacing w:val="-3"/>
          <w:sz w:val="21"/>
        </w:rPr>
        <w:t>place</w:t>
      </w:r>
      <w:r>
        <w:rPr>
          <w:spacing w:val="9"/>
          <w:sz w:val="21"/>
        </w:rPr>
        <w:t> </w:t>
      </w:r>
      <w:r>
        <w:rPr>
          <w:sz w:val="21"/>
        </w:rPr>
        <w:t>at</w:t>
      </w:r>
      <w:r>
        <w:rPr>
          <w:spacing w:val="9"/>
          <w:sz w:val="21"/>
        </w:rPr>
        <w:t> </w:t>
      </w:r>
      <w:r>
        <w:rPr>
          <w:sz w:val="21"/>
        </w:rPr>
        <w:t>the</w:t>
      </w:r>
      <w:r>
        <w:rPr>
          <w:spacing w:val="9"/>
          <w:sz w:val="21"/>
        </w:rPr>
        <w:t> </w:t>
      </w:r>
      <w:r>
        <w:rPr>
          <w:sz w:val="21"/>
        </w:rPr>
        <w:t>same</w:t>
      </w:r>
      <w:r>
        <w:rPr>
          <w:spacing w:val="9"/>
          <w:sz w:val="21"/>
        </w:rPr>
        <w:t> </w:t>
      </w:r>
      <w:r>
        <w:rPr>
          <w:sz w:val="21"/>
        </w:rPr>
        <w:t>time</w:t>
      </w:r>
      <w:r>
        <w:rPr>
          <w:spacing w:val="10"/>
          <w:sz w:val="21"/>
        </w:rPr>
        <w:t> </w:t>
      </w:r>
      <w:r>
        <w:rPr>
          <w:spacing w:val="-3"/>
          <w:sz w:val="21"/>
        </w:rPr>
        <w:t>to</w:t>
      </w:r>
      <w:r>
        <w:rPr>
          <w:spacing w:val="9"/>
          <w:sz w:val="21"/>
        </w:rPr>
        <w:t> </w:t>
      </w:r>
      <w:r>
        <w:rPr>
          <w:sz w:val="21"/>
        </w:rPr>
        <w:t>participate</w:t>
      </w:r>
      <w:r>
        <w:rPr>
          <w:spacing w:val="9"/>
          <w:sz w:val="21"/>
        </w:rPr>
        <w:t> </w:t>
      </w:r>
      <w:r>
        <w:rPr>
          <w:sz w:val="21"/>
        </w:rPr>
        <w:t>in</w:t>
      </w:r>
      <w:r>
        <w:rPr>
          <w:spacing w:val="9"/>
          <w:sz w:val="21"/>
        </w:rPr>
        <w:t> </w:t>
      </w:r>
      <w:r>
        <w:rPr>
          <w:sz w:val="21"/>
        </w:rPr>
        <w:t>resolving</w:t>
      </w:r>
      <w:r>
        <w:rPr>
          <w:spacing w:val="9"/>
          <w:sz w:val="21"/>
        </w:rPr>
        <w:t> </w:t>
      </w:r>
      <w:r>
        <w:rPr>
          <w:sz w:val="21"/>
        </w:rPr>
        <w:t>their</w:t>
      </w:r>
      <w:r>
        <w:rPr>
          <w:spacing w:val="10"/>
          <w:sz w:val="21"/>
        </w:rPr>
        <w:t> </w:t>
      </w:r>
      <w:r>
        <w:rPr>
          <w:spacing w:val="-3"/>
          <w:sz w:val="21"/>
        </w:rPr>
        <w:t>dispute.</w:t>
      </w:r>
    </w:p>
    <w:p>
      <w:pPr>
        <w:pStyle w:val="ListParagraph"/>
        <w:numPr>
          <w:ilvl w:val="1"/>
          <w:numId w:val="203"/>
        </w:numPr>
        <w:tabs>
          <w:tab w:pos="2721" w:val="left" w:leader="none"/>
          <w:tab w:pos="2722" w:val="left" w:leader="none"/>
        </w:tabs>
        <w:spacing w:line="242" w:lineRule="auto" w:before="90" w:after="0"/>
        <w:ind w:left="2721" w:right="1607" w:hanging="340"/>
        <w:jc w:val="left"/>
        <w:rPr>
          <w:sz w:val="21"/>
        </w:rPr>
      </w:pPr>
      <w:r>
        <w:rPr>
          <w:sz w:val="21"/>
        </w:rPr>
        <w:t>Physical separation of parties. In some cases, being in a room together can </w:t>
      </w:r>
      <w:r>
        <w:rPr>
          <w:spacing w:val="-3"/>
          <w:sz w:val="21"/>
        </w:rPr>
        <w:t>exacerbate </w:t>
      </w:r>
      <w:r>
        <w:rPr>
          <w:sz w:val="21"/>
        </w:rPr>
        <w:t>the</w:t>
      </w:r>
      <w:r>
        <w:rPr>
          <w:spacing w:val="11"/>
          <w:sz w:val="21"/>
        </w:rPr>
        <w:t> </w:t>
      </w:r>
      <w:r>
        <w:rPr>
          <w:spacing w:val="-3"/>
          <w:sz w:val="21"/>
        </w:rPr>
        <w:t>problem.</w:t>
      </w:r>
      <w:r>
        <w:rPr>
          <w:spacing w:val="12"/>
          <w:sz w:val="21"/>
        </w:rPr>
        <w:t> </w:t>
      </w:r>
      <w:r>
        <w:rPr>
          <w:sz w:val="21"/>
        </w:rPr>
        <w:t>In</w:t>
      </w:r>
      <w:r>
        <w:rPr>
          <w:spacing w:val="12"/>
          <w:sz w:val="21"/>
        </w:rPr>
        <w:t> </w:t>
      </w:r>
      <w:r>
        <w:rPr>
          <w:sz w:val="21"/>
        </w:rPr>
        <w:t>ODR,</w:t>
      </w:r>
      <w:r>
        <w:rPr>
          <w:spacing w:val="12"/>
          <w:sz w:val="21"/>
        </w:rPr>
        <w:t> </w:t>
      </w:r>
      <w:r>
        <w:rPr>
          <w:sz w:val="21"/>
        </w:rPr>
        <w:t>there</w:t>
      </w:r>
      <w:r>
        <w:rPr>
          <w:spacing w:val="12"/>
          <w:sz w:val="21"/>
        </w:rPr>
        <w:t> </w:t>
      </w:r>
      <w:r>
        <w:rPr>
          <w:sz w:val="21"/>
        </w:rPr>
        <w:t>is</w:t>
      </w:r>
      <w:r>
        <w:rPr>
          <w:spacing w:val="12"/>
          <w:sz w:val="21"/>
        </w:rPr>
        <w:t> </w:t>
      </w:r>
      <w:r>
        <w:rPr>
          <w:sz w:val="21"/>
        </w:rPr>
        <w:t>no</w:t>
      </w:r>
      <w:r>
        <w:rPr>
          <w:spacing w:val="12"/>
          <w:sz w:val="21"/>
        </w:rPr>
        <w:t> </w:t>
      </w:r>
      <w:r>
        <w:rPr>
          <w:sz w:val="21"/>
        </w:rPr>
        <w:t>need</w:t>
      </w:r>
      <w:r>
        <w:rPr>
          <w:spacing w:val="12"/>
          <w:sz w:val="21"/>
        </w:rPr>
        <w:t> </w:t>
      </w:r>
      <w:r>
        <w:rPr>
          <w:spacing w:val="-3"/>
          <w:sz w:val="21"/>
        </w:rPr>
        <w:t>to</w:t>
      </w:r>
      <w:r>
        <w:rPr>
          <w:spacing w:val="12"/>
          <w:sz w:val="21"/>
        </w:rPr>
        <w:t> </w:t>
      </w:r>
      <w:r>
        <w:rPr>
          <w:sz w:val="21"/>
        </w:rPr>
        <w:t>meet</w:t>
      </w:r>
      <w:r>
        <w:rPr>
          <w:spacing w:val="11"/>
          <w:sz w:val="21"/>
        </w:rPr>
        <w:t> </w:t>
      </w:r>
      <w:r>
        <w:rPr>
          <w:sz w:val="21"/>
        </w:rPr>
        <w:t>or</w:t>
      </w:r>
      <w:r>
        <w:rPr>
          <w:spacing w:val="12"/>
          <w:sz w:val="21"/>
        </w:rPr>
        <w:t> </w:t>
      </w:r>
      <w:r>
        <w:rPr>
          <w:sz w:val="21"/>
        </w:rPr>
        <w:t>speak</w:t>
      </w:r>
      <w:r>
        <w:rPr>
          <w:spacing w:val="12"/>
          <w:sz w:val="21"/>
        </w:rPr>
        <w:t> </w:t>
      </w:r>
      <w:r>
        <w:rPr>
          <w:sz w:val="21"/>
        </w:rPr>
        <w:t>with</w:t>
      </w:r>
      <w:r>
        <w:rPr>
          <w:spacing w:val="12"/>
          <w:sz w:val="21"/>
        </w:rPr>
        <w:t> </w:t>
      </w:r>
      <w:r>
        <w:rPr>
          <w:sz w:val="21"/>
        </w:rPr>
        <w:t>the</w:t>
      </w:r>
      <w:r>
        <w:rPr>
          <w:spacing w:val="12"/>
          <w:sz w:val="21"/>
        </w:rPr>
        <w:t> </w:t>
      </w:r>
      <w:r>
        <w:rPr>
          <w:sz w:val="21"/>
        </w:rPr>
        <w:t>other</w:t>
      </w:r>
      <w:r>
        <w:rPr>
          <w:spacing w:val="12"/>
          <w:sz w:val="21"/>
        </w:rPr>
        <w:t> </w:t>
      </w:r>
      <w:r>
        <w:rPr>
          <w:sz w:val="21"/>
        </w:rPr>
        <w:t>party.</w:t>
      </w:r>
    </w:p>
    <w:p>
      <w:pPr>
        <w:pStyle w:val="ListParagraph"/>
        <w:numPr>
          <w:ilvl w:val="1"/>
          <w:numId w:val="203"/>
        </w:numPr>
        <w:tabs>
          <w:tab w:pos="2721" w:val="left" w:leader="none"/>
          <w:tab w:pos="2722" w:val="left" w:leader="none"/>
        </w:tabs>
        <w:spacing w:line="242" w:lineRule="auto" w:before="87" w:after="0"/>
        <w:ind w:left="2721" w:right="1605" w:hanging="340"/>
        <w:jc w:val="left"/>
        <w:rPr>
          <w:sz w:val="21"/>
        </w:rPr>
      </w:pPr>
      <w:r>
        <w:rPr>
          <w:sz w:val="21"/>
        </w:rPr>
        <w:t>Lower cost. The cost </w:t>
      </w:r>
      <w:r>
        <w:rPr>
          <w:spacing w:val="-3"/>
          <w:sz w:val="21"/>
        </w:rPr>
        <w:t>to </w:t>
      </w:r>
      <w:r>
        <w:rPr>
          <w:sz w:val="21"/>
        </w:rPr>
        <w:t>the user (parties) is </w:t>
      </w:r>
      <w:r>
        <w:rPr>
          <w:spacing w:val="-3"/>
          <w:sz w:val="21"/>
        </w:rPr>
        <w:t>generally </w:t>
      </w:r>
      <w:r>
        <w:rPr>
          <w:sz w:val="21"/>
        </w:rPr>
        <w:t>much lower </w:t>
      </w:r>
      <w:r>
        <w:rPr>
          <w:spacing w:val="-3"/>
          <w:sz w:val="21"/>
        </w:rPr>
        <w:t>than </w:t>
      </w:r>
      <w:r>
        <w:rPr>
          <w:sz w:val="21"/>
        </w:rPr>
        <w:t>in </w:t>
      </w:r>
      <w:r>
        <w:rPr>
          <w:spacing w:val="-3"/>
          <w:sz w:val="21"/>
        </w:rPr>
        <w:t>traditional adjudication </w:t>
      </w:r>
      <w:r>
        <w:rPr>
          <w:sz w:val="21"/>
        </w:rPr>
        <w:t>processes. The </w:t>
      </w:r>
      <w:r>
        <w:rPr>
          <w:spacing w:val="-3"/>
          <w:sz w:val="21"/>
        </w:rPr>
        <w:t>successful </w:t>
      </w:r>
      <w:r>
        <w:rPr>
          <w:sz w:val="21"/>
        </w:rPr>
        <w:t>resolution of matters with ODR prior </w:t>
      </w:r>
      <w:r>
        <w:rPr>
          <w:spacing w:val="-3"/>
          <w:sz w:val="21"/>
        </w:rPr>
        <w:t>to hearing may</w:t>
      </w:r>
      <w:r>
        <w:rPr>
          <w:spacing w:val="9"/>
          <w:sz w:val="21"/>
        </w:rPr>
        <w:t> </w:t>
      </w:r>
      <w:r>
        <w:rPr>
          <w:sz w:val="21"/>
        </w:rPr>
        <w:t>also</w:t>
      </w:r>
      <w:r>
        <w:rPr>
          <w:spacing w:val="10"/>
          <w:sz w:val="21"/>
        </w:rPr>
        <w:t> </w:t>
      </w:r>
      <w:r>
        <w:rPr>
          <w:spacing w:val="-3"/>
          <w:sz w:val="21"/>
        </w:rPr>
        <w:t>represent</w:t>
      </w:r>
      <w:r>
        <w:rPr>
          <w:spacing w:val="9"/>
          <w:sz w:val="21"/>
        </w:rPr>
        <w:t> </w:t>
      </w:r>
      <w:r>
        <w:rPr>
          <w:spacing w:val="-3"/>
          <w:sz w:val="21"/>
        </w:rPr>
        <w:t>significant</w:t>
      </w:r>
      <w:r>
        <w:rPr>
          <w:spacing w:val="10"/>
          <w:sz w:val="21"/>
        </w:rPr>
        <w:t> </w:t>
      </w:r>
      <w:r>
        <w:rPr>
          <w:spacing w:val="-3"/>
          <w:sz w:val="21"/>
        </w:rPr>
        <w:t>savings</w:t>
      </w:r>
      <w:r>
        <w:rPr>
          <w:spacing w:val="10"/>
          <w:sz w:val="21"/>
        </w:rPr>
        <w:t> </w:t>
      </w:r>
      <w:r>
        <w:rPr>
          <w:sz w:val="21"/>
        </w:rPr>
        <w:t>in</w:t>
      </w:r>
      <w:r>
        <w:rPr>
          <w:spacing w:val="9"/>
          <w:sz w:val="21"/>
        </w:rPr>
        <w:t> </w:t>
      </w:r>
      <w:r>
        <w:rPr>
          <w:sz w:val="21"/>
        </w:rPr>
        <w:t>costs.</w:t>
      </w:r>
    </w:p>
    <w:p>
      <w:pPr>
        <w:pStyle w:val="ListParagraph"/>
        <w:numPr>
          <w:ilvl w:val="1"/>
          <w:numId w:val="203"/>
        </w:numPr>
        <w:tabs>
          <w:tab w:pos="2721" w:val="left" w:leader="none"/>
          <w:tab w:pos="2722" w:val="left" w:leader="none"/>
        </w:tabs>
        <w:spacing w:line="242" w:lineRule="auto" w:before="88" w:after="0"/>
        <w:ind w:left="2721" w:right="2231" w:hanging="340"/>
        <w:jc w:val="left"/>
        <w:rPr>
          <w:sz w:val="21"/>
        </w:rPr>
      </w:pPr>
      <w:r>
        <w:rPr>
          <w:w w:val="105"/>
          <w:sz w:val="21"/>
        </w:rPr>
        <w:t>Ease</w:t>
      </w:r>
      <w:r>
        <w:rPr>
          <w:spacing w:val="-9"/>
          <w:w w:val="105"/>
          <w:sz w:val="21"/>
        </w:rPr>
        <w:t> </w:t>
      </w:r>
      <w:r>
        <w:rPr>
          <w:w w:val="105"/>
          <w:sz w:val="21"/>
        </w:rPr>
        <w:t>of</w:t>
      </w:r>
      <w:r>
        <w:rPr>
          <w:spacing w:val="-8"/>
          <w:w w:val="105"/>
          <w:sz w:val="21"/>
        </w:rPr>
        <w:t> </w:t>
      </w:r>
      <w:r>
        <w:rPr>
          <w:spacing w:val="-3"/>
          <w:w w:val="105"/>
          <w:sz w:val="21"/>
        </w:rPr>
        <w:t>use.</w:t>
      </w:r>
      <w:r>
        <w:rPr>
          <w:spacing w:val="-8"/>
          <w:w w:val="105"/>
          <w:sz w:val="21"/>
        </w:rPr>
        <w:t> </w:t>
      </w:r>
      <w:r>
        <w:rPr>
          <w:w w:val="105"/>
          <w:sz w:val="21"/>
        </w:rPr>
        <w:t>Assuming</w:t>
      </w:r>
      <w:r>
        <w:rPr>
          <w:spacing w:val="-9"/>
          <w:w w:val="105"/>
          <w:sz w:val="21"/>
        </w:rPr>
        <w:t> </w:t>
      </w:r>
      <w:r>
        <w:rPr>
          <w:w w:val="105"/>
          <w:sz w:val="21"/>
        </w:rPr>
        <w:t>a</w:t>
      </w:r>
      <w:r>
        <w:rPr>
          <w:spacing w:val="-8"/>
          <w:w w:val="105"/>
          <w:sz w:val="21"/>
        </w:rPr>
        <w:t> </w:t>
      </w:r>
      <w:r>
        <w:rPr>
          <w:w w:val="105"/>
          <w:sz w:val="21"/>
        </w:rPr>
        <w:t>certain</w:t>
      </w:r>
      <w:r>
        <w:rPr>
          <w:spacing w:val="-8"/>
          <w:w w:val="105"/>
          <w:sz w:val="21"/>
        </w:rPr>
        <w:t> </w:t>
      </w:r>
      <w:r>
        <w:rPr>
          <w:w w:val="105"/>
          <w:sz w:val="21"/>
        </w:rPr>
        <w:t>level</w:t>
      </w:r>
      <w:r>
        <w:rPr>
          <w:spacing w:val="-8"/>
          <w:w w:val="105"/>
          <w:sz w:val="21"/>
        </w:rPr>
        <w:t> </w:t>
      </w:r>
      <w:r>
        <w:rPr>
          <w:w w:val="105"/>
          <w:sz w:val="21"/>
        </w:rPr>
        <w:t>of</w:t>
      </w:r>
      <w:r>
        <w:rPr>
          <w:spacing w:val="-9"/>
          <w:w w:val="105"/>
          <w:sz w:val="21"/>
        </w:rPr>
        <w:t> </w:t>
      </w:r>
      <w:r>
        <w:rPr>
          <w:w w:val="105"/>
          <w:sz w:val="21"/>
        </w:rPr>
        <w:t>technological</w:t>
      </w:r>
      <w:r>
        <w:rPr>
          <w:spacing w:val="-8"/>
          <w:w w:val="105"/>
          <w:sz w:val="21"/>
        </w:rPr>
        <w:t> </w:t>
      </w:r>
      <w:r>
        <w:rPr>
          <w:spacing w:val="-4"/>
          <w:w w:val="105"/>
          <w:sz w:val="21"/>
        </w:rPr>
        <w:t>literacy,</w:t>
      </w:r>
      <w:r>
        <w:rPr>
          <w:spacing w:val="-8"/>
          <w:w w:val="105"/>
          <w:sz w:val="21"/>
        </w:rPr>
        <w:t> </w:t>
      </w:r>
      <w:r>
        <w:rPr>
          <w:w w:val="105"/>
          <w:sz w:val="21"/>
        </w:rPr>
        <w:t>ODR</w:t>
      </w:r>
      <w:r>
        <w:rPr>
          <w:spacing w:val="-8"/>
          <w:w w:val="105"/>
          <w:sz w:val="21"/>
        </w:rPr>
        <w:t> </w:t>
      </w:r>
      <w:r>
        <w:rPr>
          <w:w w:val="105"/>
          <w:sz w:val="21"/>
        </w:rPr>
        <w:t>systems</w:t>
      </w:r>
      <w:r>
        <w:rPr>
          <w:spacing w:val="-9"/>
          <w:w w:val="105"/>
          <w:sz w:val="21"/>
        </w:rPr>
        <w:t> </w:t>
      </w:r>
      <w:r>
        <w:rPr>
          <w:spacing w:val="-3"/>
          <w:w w:val="105"/>
          <w:sz w:val="21"/>
        </w:rPr>
        <w:t>are generally simple </w:t>
      </w:r>
      <w:r>
        <w:rPr>
          <w:w w:val="105"/>
          <w:sz w:val="21"/>
        </w:rPr>
        <w:t>and</w:t>
      </w:r>
      <w:r>
        <w:rPr>
          <w:spacing w:val="20"/>
          <w:w w:val="105"/>
          <w:sz w:val="21"/>
        </w:rPr>
        <w:t> </w:t>
      </w:r>
      <w:r>
        <w:rPr>
          <w:spacing w:val="-4"/>
          <w:w w:val="105"/>
          <w:sz w:val="21"/>
        </w:rPr>
        <w:t>user-friendly.</w:t>
      </w:r>
    </w:p>
    <w:p>
      <w:pPr>
        <w:pStyle w:val="ListParagraph"/>
        <w:numPr>
          <w:ilvl w:val="1"/>
          <w:numId w:val="203"/>
        </w:numPr>
        <w:tabs>
          <w:tab w:pos="2721" w:val="left" w:leader="none"/>
          <w:tab w:pos="2722" w:val="left" w:leader="none"/>
        </w:tabs>
        <w:spacing w:line="242" w:lineRule="auto" w:before="87" w:after="0"/>
        <w:ind w:left="2721" w:right="1863" w:hanging="340"/>
        <w:jc w:val="left"/>
        <w:rPr>
          <w:sz w:val="12"/>
        </w:rPr>
      </w:pPr>
      <w:r>
        <w:rPr>
          <w:w w:val="105"/>
          <w:sz w:val="21"/>
        </w:rPr>
        <w:t>Secure and documented </w:t>
      </w:r>
      <w:r>
        <w:rPr>
          <w:spacing w:val="-3"/>
          <w:w w:val="105"/>
          <w:sz w:val="21"/>
        </w:rPr>
        <w:t>communications. Conducting negotiations online </w:t>
      </w:r>
      <w:r>
        <w:rPr>
          <w:w w:val="105"/>
          <w:sz w:val="21"/>
        </w:rPr>
        <w:t>provides better</w:t>
      </w:r>
      <w:r>
        <w:rPr>
          <w:spacing w:val="-12"/>
          <w:w w:val="105"/>
          <w:sz w:val="21"/>
        </w:rPr>
        <w:t> </w:t>
      </w:r>
      <w:r>
        <w:rPr>
          <w:w w:val="105"/>
          <w:sz w:val="21"/>
        </w:rPr>
        <w:t>opportunities</w:t>
      </w:r>
      <w:r>
        <w:rPr>
          <w:spacing w:val="-11"/>
          <w:w w:val="105"/>
          <w:sz w:val="21"/>
        </w:rPr>
        <w:t> </w:t>
      </w:r>
      <w:r>
        <w:rPr>
          <w:spacing w:val="-3"/>
          <w:w w:val="105"/>
          <w:sz w:val="21"/>
        </w:rPr>
        <w:t>to</w:t>
      </w:r>
      <w:r>
        <w:rPr>
          <w:spacing w:val="-12"/>
          <w:w w:val="105"/>
          <w:sz w:val="21"/>
        </w:rPr>
        <w:t> </w:t>
      </w:r>
      <w:r>
        <w:rPr>
          <w:spacing w:val="-3"/>
          <w:w w:val="105"/>
          <w:sz w:val="21"/>
        </w:rPr>
        <w:t>accurately</w:t>
      </w:r>
      <w:r>
        <w:rPr>
          <w:spacing w:val="-11"/>
          <w:w w:val="105"/>
          <w:sz w:val="21"/>
        </w:rPr>
        <w:t> </w:t>
      </w:r>
      <w:r>
        <w:rPr>
          <w:spacing w:val="-3"/>
          <w:w w:val="105"/>
          <w:sz w:val="21"/>
        </w:rPr>
        <w:t>record</w:t>
      </w:r>
      <w:r>
        <w:rPr>
          <w:spacing w:val="-11"/>
          <w:w w:val="105"/>
          <w:sz w:val="21"/>
        </w:rPr>
        <w:t> </w:t>
      </w:r>
      <w:r>
        <w:rPr>
          <w:w w:val="105"/>
          <w:sz w:val="21"/>
        </w:rPr>
        <w:t>and</w:t>
      </w:r>
      <w:r>
        <w:rPr>
          <w:spacing w:val="-12"/>
          <w:w w:val="105"/>
          <w:sz w:val="21"/>
        </w:rPr>
        <w:t> </w:t>
      </w:r>
      <w:r>
        <w:rPr>
          <w:w w:val="105"/>
          <w:sz w:val="21"/>
        </w:rPr>
        <w:t>document</w:t>
      </w:r>
      <w:r>
        <w:rPr>
          <w:spacing w:val="-11"/>
          <w:w w:val="105"/>
          <w:sz w:val="21"/>
        </w:rPr>
        <w:t> </w:t>
      </w:r>
      <w:r>
        <w:rPr>
          <w:w w:val="105"/>
          <w:sz w:val="21"/>
        </w:rPr>
        <w:t>each</w:t>
      </w:r>
      <w:r>
        <w:rPr>
          <w:spacing w:val="-11"/>
          <w:w w:val="105"/>
          <w:sz w:val="21"/>
        </w:rPr>
        <w:t> </w:t>
      </w:r>
      <w:r>
        <w:rPr>
          <w:w w:val="105"/>
          <w:sz w:val="21"/>
        </w:rPr>
        <w:t>stage</w:t>
      </w:r>
      <w:r>
        <w:rPr>
          <w:spacing w:val="-12"/>
          <w:w w:val="105"/>
          <w:sz w:val="21"/>
        </w:rPr>
        <w:t> </w:t>
      </w:r>
      <w:r>
        <w:rPr>
          <w:w w:val="105"/>
          <w:sz w:val="21"/>
        </w:rPr>
        <w:t>of</w:t>
      </w:r>
      <w:r>
        <w:rPr>
          <w:spacing w:val="-11"/>
          <w:w w:val="105"/>
          <w:sz w:val="21"/>
        </w:rPr>
        <w:t> </w:t>
      </w:r>
      <w:r>
        <w:rPr>
          <w:w w:val="105"/>
          <w:sz w:val="21"/>
        </w:rPr>
        <w:t>the</w:t>
      </w:r>
      <w:r>
        <w:rPr>
          <w:spacing w:val="-11"/>
          <w:w w:val="105"/>
          <w:sz w:val="21"/>
        </w:rPr>
        <w:t> </w:t>
      </w:r>
      <w:r>
        <w:rPr>
          <w:w w:val="105"/>
          <w:sz w:val="21"/>
        </w:rPr>
        <w:t>process.</w:t>
      </w:r>
      <w:r>
        <w:rPr>
          <w:w w:val="105"/>
          <w:position w:val="7"/>
          <w:sz w:val="12"/>
        </w:rPr>
        <w:t>5</w:t>
      </w:r>
    </w:p>
    <w:p>
      <w:pPr>
        <w:pStyle w:val="Heading7"/>
        <w:spacing w:before="118"/>
      </w:pPr>
      <w:r>
        <w:rPr>
          <w:w w:val="115"/>
        </w:rPr>
        <w:t>Other jurisdictions and pilot programs</w:t>
      </w:r>
    </w:p>
    <w:p>
      <w:pPr>
        <w:pStyle w:val="ListParagraph"/>
        <w:numPr>
          <w:ilvl w:val="1"/>
          <w:numId w:val="16"/>
        </w:numPr>
        <w:tabs>
          <w:tab w:pos="2381" w:val="left" w:leader="none"/>
          <w:tab w:pos="2382" w:val="left" w:leader="none"/>
        </w:tabs>
        <w:spacing w:line="242" w:lineRule="auto" w:before="143" w:after="0"/>
        <w:ind w:left="2381" w:right="1780" w:hanging="794"/>
        <w:jc w:val="left"/>
        <w:rPr>
          <w:sz w:val="21"/>
        </w:rPr>
      </w:pPr>
      <w:r>
        <w:rPr>
          <w:sz w:val="21"/>
        </w:rPr>
        <w:t>An ODR </w:t>
      </w:r>
      <w:r>
        <w:rPr>
          <w:spacing w:val="-3"/>
          <w:sz w:val="21"/>
        </w:rPr>
        <w:t>pilot program </w:t>
      </w:r>
      <w:r>
        <w:rPr>
          <w:sz w:val="21"/>
        </w:rPr>
        <w:t>was conducted in the  NSW  </w:t>
      </w:r>
      <w:r>
        <w:rPr>
          <w:spacing w:val="-3"/>
          <w:sz w:val="21"/>
        </w:rPr>
        <w:t>Civil  </w:t>
      </w:r>
      <w:r>
        <w:rPr>
          <w:sz w:val="21"/>
        </w:rPr>
        <w:t>and  </w:t>
      </w:r>
      <w:r>
        <w:rPr>
          <w:spacing w:val="-3"/>
          <w:sz w:val="21"/>
        </w:rPr>
        <w:t>Administrative  </w:t>
      </w:r>
      <w:r>
        <w:rPr>
          <w:spacing w:val="-5"/>
          <w:sz w:val="21"/>
        </w:rPr>
        <w:t>Tribunal </w:t>
      </w:r>
      <w:r>
        <w:rPr>
          <w:sz w:val="21"/>
        </w:rPr>
        <w:t>(NCAT) in </w:t>
      </w:r>
      <w:r>
        <w:rPr>
          <w:spacing w:val="-7"/>
          <w:sz w:val="21"/>
        </w:rPr>
        <w:t>2014. </w:t>
      </w:r>
      <w:r>
        <w:rPr>
          <w:sz w:val="21"/>
        </w:rPr>
        <w:t>The  </w:t>
      </w:r>
      <w:r>
        <w:rPr>
          <w:spacing w:val="-3"/>
          <w:sz w:val="21"/>
        </w:rPr>
        <w:t>pilot  </w:t>
      </w:r>
      <w:r>
        <w:rPr>
          <w:sz w:val="21"/>
        </w:rPr>
        <w:t>focused  on  selected,  single-issue  </w:t>
      </w:r>
      <w:r>
        <w:rPr>
          <w:spacing w:val="-3"/>
          <w:sz w:val="21"/>
        </w:rPr>
        <w:t>consumer  disputes  </w:t>
      </w:r>
      <w:r>
        <w:rPr>
          <w:sz w:val="21"/>
        </w:rPr>
        <w:t>under the </w:t>
      </w:r>
      <w:r>
        <w:rPr>
          <w:spacing w:val="-3"/>
          <w:sz w:val="21"/>
        </w:rPr>
        <w:t>value </w:t>
      </w:r>
      <w:r>
        <w:rPr>
          <w:sz w:val="21"/>
        </w:rPr>
        <w:t>of $5000.</w:t>
      </w:r>
      <w:r>
        <w:rPr>
          <w:position w:val="7"/>
          <w:sz w:val="12"/>
        </w:rPr>
        <w:t>6 </w:t>
      </w:r>
      <w:r>
        <w:rPr>
          <w:sz w:val="21"/>
        </w:rPr>
        <w:t>Analysis of the </w:t>
      </w:r>
      <w:r>
        <w:rPr>
          <w:spacing w:val="-3"/>
          <w:sz w:val="21"/>
        </w:rPr>
        <w:t>uptake </w:t>
      </w:r>
      <w:r>
        <w:rPr>
          <w:sz w:val="21"/>
        </w:rPr>
        <w:t>of matters </w:t>
      </w:r>
      <w:r>
        <w:rPr>
          <w:spacing w:val="-3"/>
          <w:sz w:val="21"/>
        </w:rPr>
        <w:t>included </w:t>
      </w:r>
      <w:r>
        <w:rPr>
          <w:sz w:val="21"/>
        </w:rPr>
        <w:t>in the </w:t>
      </w:r>
      <w:r>
        <w:rPr>
          <w:spacing w:val="-3"/>
          <w:sz w:val="21"/>
        </w:rPr>
        <w:t>pilot </w:t>
      </w:r>
      <w:r>
        <w:rPr>
          <w:spacing w:val="-2"/>
          <w:sz w:val="21"/>
        </w:rPr>
        <w:t>showed </w:t>
      </w:r>
      <w:r>
        <w:rPr>
          <w:sz w:val="21"/>
        </w:rPr>
        <w:t>an </w:t>
      </w:r>
      <w:r>
        <w:rPr>
          <w:spacing w:val="-3"/>
          <w:sz w:val="21"/>
        </w:rPr>
        <w:t>increase </w:t>
      </w:r>
      <w:r>
        <w:rPr>
          <w:sz w:val="21"/>
        </w:rPr>
        <w:t>in </w:t>
      </w:r>
      <w:r>
        <w:rPr>
          <w:spacing w:val="-3"/>
          <w:sz w:val="21"/>
        </w:rPr>
        <w:t>finalisations before hearing,  </w:t>
      </w:r>
      <w:r>
        <w:rPr>
          <w:sz w:val="21"/>
        </w:rPr>
        <w:t>an </w:t>
      </w:r>
      <w:r>
        <w:rPr>
          <w:spacing w:val="-3"/>
          <w:sz w:val="21"/>
        </w:rPr>
        <w:t>increase</w:t>
      </w:r>
      <w:r>
        <w:rPr>
          <w:spacing w:val="41"/>
          <w:sz w:val="21"/>
        </w:rPr>
        <w:t> </w:t>
      </w:r>
      <w:r>
        <w:rPr>
          <w:sz w:val="21"/>
        </w:rPr>
        <w:t>in </w:t>
      </w:r>
      <w:r>
        <w:rPr>
          <w:spacing w:val="-3"/>
          <w:sz w:val="21"/>
        </w:rPr>
        <w:t>resolutions  </w:t>
      </w:r>
      <w:r>
        <w:rPr>
          <w:sz w:val="21"/>
        </w:rPr>
        <w:t>at </w:t>
      </w:r>
      <w:r>
        <w:rPr>
          <w:spacing w:val="-3"/>
          <w:sz w:val="21"/>
        </w:rPr>
        <w:t>hearing,  </w:t>
      </w:r>
      <w:r>
        <w:rPr>
          <w:sz w:val="21"/>
        </w:rPr>
        <w:t>a reduction of adjournments at </w:t>
      </w:r>
      <w:r>
        <w:rPr>
          <w:spacing w:val="-3"/>
          <w:sz w:val="21"/>
        </w:rPr>
        <w:t>hearing, </w:t>
      </w:r>
      <w:r>
        <w:rPr>
          <w:sz w:val="21"/>
        </w:rPr>
        <w:t>and an </w:t>
      </w:r>
      <w:r>
        <w:rPr>
          <w:spacing w:val="-3"/>
          <w:sz w:val="21"/>
        </w:rPr>
        <w:t>overall </w:t>
      </w:r>
      <w:r>
        <w:rPr>
          <w:sz w:val="21"/>
        </w:rPr>
        <w:t>projected saving of </w:t>
      </w:r>
      <w:r>
        <w:rPr>
          <w:spacing w:val="-9"/>
          <w:sz w:val="21"/>
        </w:rPr>
        <w:t>12  </w:t>
      </w:r>
      <w:r>
        <w:rPr>
          <w:spacing w:val="-3"/>
          <w:sz w:val="21"/>
        </w:rPr>
        <w:t>hearing  </w:t>
      </w:r>
      <w:r>
        <w:rPr>
          <w:sz w:val="21"/>
        </w:rPr>
        <w:t>days  per </w:t>
      </w:r>
      <w:r>
        <w:rPr>
          <w:spacing w:val="-4"/>
          <w:sz w:val="21"/>
        </w:rPr>
        <w:t>month.</w:t>
      </w:r>
      <w:r>
        <w:rPr>
          <w:spacing w:val="-4"/>
          <w:position w:val="7"/>
          <w:sz w:val="12"/>
        </w:rPr>
        <w:t>7</w:t>
      </w:r>
    </w:p>
    <w:p>
      <w:pPr>
        <w:pStyle w:val="ListParagraph"/>
        <w:numPr>
          <w:ilvl w:val="1"/>
          <w:numId w:val="16"/>
        </w:numPr>
        <w:tabs>
          <w:tab w:pos="2380" w:val="left" w:leader="none"/>
          <w:tab w:pos="2381" w:val="left" w:leader="none"/>
        </w:tabs>
        <w:spacing w:line="242" w:lineRule="auto" w:before="127" w:after="0"/>
        <w:ind w:left="2381" w:right="1745" w:hanging="794"/>
        <w:jc w:val="left"/>
        <w:rPr>
          <w:sz w:val="21"/>
        </w:rPr>
      </w:pPr>
      <w:r>
        <w:rPr>
          <w:w w:val="105"/>
          <w:sz w:val="21"/>
        </w:rPr>
        <w:t>ODR is </w:t>
      </w:r>
      <w:r>
        <w:rPr>
          <w:spacing w:val="-3"/>
          <w:w w:val="105"/>
          <w:sz w:val="21"/>
        </w:rPr>
        <w:t>currently </w:t>
      </w:r>
      <w:r>
        <w:rPr>
          <w:w w:val="105"/>
          <w:sz w:val="21"/>
        </w:rPr>
        <w:t>in use in Victoria </w:t>
      </w:r>
      <w:r>
        <w:rPr>
          <w:spacing w:val="-3"/>
          <w:w w:val="105"/>
          <w:sz w:val="21"/>
        </w:rPr>
        <w:t>for </w:t>
      </w:r>
      <w:r>
        <w:rPr>
          <w:w w:val="105"/>
          <w:sz w:val="21"/>
        </w:rPr>
        <w:t>resolving some Worksafe </w:t>
      </w:r>
      <w:r>
        <w:rPr>
          <w:spacing w:val="-3"/>
          <w:w w:val="105"/>
          <w:sz w:val="21"/>
        </w:rPr>
        <w:t>disputes.</w:t>
      </w:r>
      <w:r>
        <w:rPr>
          <w:spacing w:val="-3"/>
          <w:w w:val="105"/>
          <w:position w:val="7"/>
          <w:sz w:val="12"/>
        </w:rPr>
        <w:t>8 </w:t>
      </w:r>
      <w:r>
        <w:rPr>
          <w:w w:val="105"/>
          <w:sz w:val="21"/>
        </w:rPr>
        <w:t>For </w:t>
      </w:r>
      <w:r>
        <w:rPr>
          <w:spacing w:val="-3"/>
          <w:w w:val="105"/>
          <w:sz w:val="21"/>
        </w:rPr>
        <w:t>example, </w:t>
      </w:r>
      <w:r>
        <w:rPr>
          <w:w w:val="105"/>
          <w:sz w:val="21"/>
        </w:rPr>
        <w:t>the </w:t>
      </w:r>
      <w:r>
        <w:rPr>
          <w:spacing w:val="-3"/>
          <w:w w:val="105"/>
          <w:sz w:val="21"/>
        </w:rPr>
        <w:t>Accident Compensation </w:t>
      </w:r>
      <w:r>
        <w:rPr>
          <w:spacing w:val="-4"/>
          <w:w w:val="105"/>
          <w:sz w:val="21"/>
        </w:rPr>
        <w:t>Conciliation </w:t>
      </w:r>
      <w:r>
        <w:rPr>
          <w:w w:val="105"/>
          <w:sz w:val="21"/>
        </w:rPr>
        <w:t>Service</w:t>
      </w:r>
      <w:r>
        <w:rPr>
          <w:w w:val="105"/>
          <w:position w:val="7"/>
          <w:sz w:val="12"/>
        </w:rPr>
        <w:t>9 </w:t>
      </w:r>
      <w:r>
        <w:rPr>
          <w:spacing w:val="-5"/>
          <w:w w:val="105"/>
          <w:sz w:val="21"/>
        </w:rPr>
        <w:t>(ACCS) </w:t>
      </w:r>
      <w:r>
        <w:rPr>
          <w:w w:val="105"/>
          <w:sz w:val="21"/>
        </w:rPr>
        <w:t>acts as a first step </w:t>
      </w:r>
      <w:r>
        <w:rPr>
          <w:spacing w:val="-3"/>
          <w:w w:val="105"/>
          <w:sz w:val="21"/>
        </w:rPr>
        <w:t>online conciliator for injured workers </w:t>
      </w:r>
      <w:r>
        <w:rPr>
          <w:w w:val="105"/>
          <w:sz w:val="21"/>
        </w:rPr>
        <w:t>and their employers </w:t>
      </w:r>
      <w:r>
        <w:rPr>
          <w:spacing w:val="-3"/>
          <w:w w:val="105"/>
          <w:sz w:val="21"/>
        </w:rPr>
        <w:t>to </w:t>
      </w:r>
      <w:r>
        <w:rPr>
          <w:w w:val="105"/>
          <w:sz w:val="21"/>
        </w:rPr>
        <w:t>resolve </w:t>
      </w:r>
      <w:r>
        <w:rPr>
          <w:spacing w:val="-4"/>
          <w:w w:val="105"/>
          <w:sz w:val="21"/>
        </w:rPr>
        <w:t>disputes.</w:t>
      </w:r>
      <w:r>
        <w:rPr>
          <w:spacing w:val="-4"/>
          <w:w w:val="105"/>
          <w:position w:val="7"/>
          <w:sz w:val="12"/>
        </w:rPr>
        <w:t>10 </w:t>
      </w:r>
      <w:r>
        <w:rPr>
          <w:w w:val="105"/>
          <w:sz w:val="21"/>
        </w:rPr>
        <w:t>The </w:t>
      </w:r>
      <w:r>
        <w:rPr>
          <w:spacing w:val="-7"/>
          <w:w w:val="105"/>
          <w:sz w:val="21"/>
        </w:rPr>
        <w:t>ACCS </w:t>
      </w:r>
      <w:r>
        <w:rPr>
          <w:w w:val="105"/>
          <w:sz w:val="21"/>
        </w:rPr>
        <w:t>uses ODR</w:t>
      </w:r>
      <w:r>
        <w:rPr>
          <w:spacing w:val="-10"/>
          <w:w w:val="105"/>
          <w:sz w:val="21"/>
        </w:rPr>
        <w:t> </w:t>
      </w:r>
      <w:r>
        <w:rPr>
          <w:spacing w:val="-3"/>
          <w:w w:val="105"/>
          <w:sz w:val="21"/>
        </w:rPr>
        <w:t>to</w:t>
      </w:r>
      <w:r>
        <w:rPr>
          <w:spacing w:val="-10"/>
          <w:w w:val="105"/>
          <w:sz w:val="21"/>
        </w:rPr>
        <w:t> </w:t>
      </w:r>
      <w:r>
        <w:rPr>
          <w:spacing w:val="-4"/>
          <w:w w:val="105"/>
          <w:sz w:val="21"/>
        </w:rPr>
        <w:t>‘encourage</w:t>
      </w:r>
      <w:r>
        <w:rPr>
          <w:spacing w:val="-9"/>
          <w:w w:val="105"/>
          <w:sz w:val="21"/>
        </w:rPr>
        <w:t> </w:t>
      </w:r>
      <w:r>
        <w:rPr>
          <w:spacing w:val="-3"/>
          <w:w w:val="105"/>
          <w:sz w:val="21"/>
        </w:rPr>
        <w:t>workers</w:t>
      </w:r>
      <w:r>
        <w:rPr>
          <w:spacing w:val="-10"/>
          <w:w w:val="105"/>
          <w:sz w:val="21"/>
        </w:rPr>
        <w:t> </w:t>
      </w:r>
      <w:r>
        <w:rPr>
          <w:w w:val="105"/>
          <w:sz w:val="21"/>
        </w:rPr>
        <w:t>and</w:t>
      </w:r>
      <w:r>
        <w:rPr>
          <w:spacing w:val="-9"/>
          <w:w w:val="105"/>
          <w:sz w:val="21"/>
        </w:rPr>
        <w:t> </w:t>
      </w:r>
      <w:r>
        <w:rPr>
          <w:w w:val="105"/>
          <w:sz w:val="21"/>
        </w:rPr>
        <w:t>employers</w:t>
      </w:r>
      <w:r>
        <w:rPr>
          <w:spacing w:val="-10"/>
          <w:w w:val="105"/>
          <w:sz w:val="21"/>
        </w:rPr>
        <w:t> </w:t>
      </w:r>
      <w:r>
        <w:rPr>
          <w:w w:val="105"/>
          <w:sz w:val="21"/>
        </w:rPr>
        <w:t>participation</w:t>
      </w:r>
      <w:r>
        <w:rPr>
          <w:spacing w:val="-9"/>
          <w:w w:val="105"/>
          <w:sz w:val="21"/>
        </w:rPr>
        <w:t> </w:t>
      </w:r>
      <w:r>
        <w:rPr>
          <w:w w:val="105"/>
          <w:sz w:val="21"/>
        </w:rPr>
        <w:t>where</w:t>
      </w:r>
      <w:r>
        <w:rPr>
          <w:spacing w:val="-10"/>
          <w:w w:val="105"/>
          <w:sz w:val="21"/>
        </w:rPr>
        <w:t> </w:t>
      </w:r>
      <w:r>
        <w:rPr>
          <w:w w:val="105"/>
          <w:sz w:val="21"/>
        </w:rPr>
        <w:t>those</w:t>
      </w:r>
      <w:r>
        <w:rPr>
          <w:spacing w:val="-9"/>
          <w:w w:val="105"/>
          <w:sz w:val="21"/>
        </w:rPr>
        <w:t> </w:t>
      </w:r>
      <w:r>
        <w:rPr>
          <w:w w:val="105"/>
          <w:sz w:val="21"/>
        </w:rPr>
        <w:t>participants</w:t>
      </w:r>
      <w:r>
        <w:rPr>
          <w:spacing w:val="-10"/>
          <w:w w:val="105"/>
          <w:sz w:val="21"/>
        </w:rPr>
        <w:t> </w:t>
      </w:r>
      <w:r>
        <w:rPr>
          <w:spacing w:val="-3"/>
          <w:w w:val="105"/>
          <w:sz w:val="21"/>
        </w:rPr>
        <w:t>would </w:t>
      </w:r>
      <w:r>
        <w:rPr>
          <w:w w:val="105"/>
          <w:sz w:val="21"/>
        </w:rPr>
        <w:t>otherwise </w:t>
      </w:r>
      <w:r>
        <w:rPr>
          <w:spacing w:val="-2"/>
          <w:w w:val="105"/>
          <w:sz w:val="21"/>
        </w:rPr>
        <w:t>not </w:t>
      </w:r>
      <w:r>
        <w:rPr>
          <w:w w:val="105"/>
          <w:sz w:val="21"/>
        </w:rPr>
        <w:t>be able </w:t>
      </w:r>
      <w:r>
        <w:rPr>
          <w:spacing w:val="-3"/>
          <w:w w:val="105"/>
          <w:sz w:val="21"/>
        </w:rPr>
        <w:t>to </w:t>
      </w:r>
      <w:r>
        <w:rPr>
          <w:w w:val="105"/>
          <w:sz w:val="21"/>
        </w:rPr>
        <w:t>be </w:t>
      </w:r>
      <w:r>
        <w:rPr>
          <w:spacing w:val="-3"/>
          <w:w w:val="105"/>
          <w:sz w:val="21"/>
        </w:rPr>
        <w:t>involved </w:t>
      </w:r>
      <w:r>
        <w:rPr>
          <w:w w:val="105"/>
          <w:sz w:val="21"/>
        </w:rPr>
        <w:t>in the </w:t>
      </w:r>
      <w:r>
        <w:rPr>
          <w:spacing w:val="-6"/>
          <w:w w:val="105"/>
          <w:sz w:val="21"/>
        </w:rPr>
        <w:t>conference’.</w:t>
      </w:r>
      <w:r>
        <w:rPr>
          <w:spacing w:val="-6"/>
          <w:w w:val="105"/>
          <w:position w:val="7"/>
          <w:sz w:val="12"/>
        </w:rPr>
        <w:t>11 </w:t>
      </w:r>
      <w:r>
        <w:rPr>
          <w:w w:val="105"/>
          <w:sz w:val="21"/>
        </w:rPr>
        <w:t>ODR is </w:t>
      </w:r>
      <w:r>
        <w:rPr>
          <w:spacing w:val="-3"/>
          <w:w w:val="105"/>
          <w:sz w:val="21"/>
        </w:rPr>
        <w:t>generally </w:t>
      </w:r>
      <w:r>
        <w:rPr>
          <w:w w:val="105"/>
          <w:sz w:val="21"/>
        </w:rPr>
        <w:t>seen </w:t>
      </w:r>
      <w:r>
        <w:rPr>
          <w:spacing w:val="-3"/>
          <w:w w:val="105"/>
          <w:sz w:val="21"/>
        </w:rPr>
        <w:t>to supplement rather than replace face-to-face</w:t>
      </w:r>
      <w:r>
        <w:rPr>
          <w:spacing w:val="37"/>
          <w:w w:val="105"/>
          <w:sz w:val="21"/>
        </w:rPr>
        <w:t> </w:t>
      </w:r>
      <w:r>
        <w:rPr>
          <w:spacing w:val="-5"/>
          <w:w w:val="105"/>
          <w:sz w:val="21"/>
        </w:rPr>
        <w:t>conferencing.</w:t>
      </w:r>
      <w:r>
        <w:rPr>
          <w:spacing w:val="-5"/>
          <w:w w:val="105"/>
          <w:position w:val="7"/>
          <w:sz w:val="12"/>
        </w:rPr>
        <w:t>12</w:t>
      </w:r>
    </w:p>
    <w:p>
      <w:pPr>
        <w:pStyle w:val="ListParagraph"/>
        <w:numPr>
          <w:ilvl w:val="1"/>
          <w:numId w:val="16"/>
        </w:numPr>
        <w:tabs>
          <w:tab w:pos="2381" w:val="left" w:leader="none"/>
          <w:tab w:pos="2382" w:val="left" w:leader="none"/>
        </w:tabs>
        <w:spacing w:line="240" w:lineRule="auto" w:before="126" w:after="0"/>
        <w:ind w:left="2381" w:right="0" w:hanging="794"/>
        <w:jc w:val="left"/>
        <w:rPr>
          <w:sz w:val="21"/>
        </w:rPr>
      </w:pPr>
      <w:r>
        <w:rPr>
          <w:w w:val="105"/>
          <w:sz w:val="21"/>
        </w:rPr>
        <w:t>In </w:t>
      </w:r>
      <w:r>
        <w:rPr>
          <w:spacing w:val="-12"/>
          <w:w w:val="105"/>
          <w:sz w:val="21"/>
        </w:rPr>
        <w:t>2017, </w:t>
      </w:r>
      <w:r>
        <w:rPr>
          <w:spacing w:val="-3"/>
          <w:w w:val="105"/>
          <w:sz w:val="21"/>
        </w:rPr>
        <w:t>following </w:t>
      </w:r>
      <w:r>
        <w:rPr>
          <w:w w:val="105"/>
          <w:sz w:val="21"/>
        </w:rPr>
        <w:t>the </w:t>
      </w:r>
      <w:r>
        <w:rPr>
          <w:i/>
          <w:w w:val="105"/>
          <w:sz w:val="21"/>
        </w:rPr>
        <w:t>Access to </w:t>
      </w:r>
      <w:r>
        <w:rPr>
          <w:i/>
          <w:spacing w:val="-3"/>
          <w:w w:val="105"/>
          <w:sz w:val="21"/>
        </w:rPr>
        <w:t>Justice </w:t>
      </w:r>
      <w:r>
        <w:rPr>
          <w:spacing w:val="-4"/>
          <w:w w:val="105"/>
          <w:sz w:val="21"/>
        </w:rPr>
        <w:t>Review, </w:t>
      </w:r>
      <w:r>
        <w:rPr>
          <w:w w:val="105"/>
          <w:sz w:val="21"/>
        </w:rPr>
        <w:t>the Victorian </w:t>
      </w:r>
      <w:r>
        <w:rPr>
          <w:spacing w:val="-3"/>
          <w:w w:val="105"/>
          <w:sz w:val="21"/>
        </w:rPr>
        <w:t>Government </w:t>
      </w:r>
      <w:r>
        <w:rPr>
          <w:w w:val="105"/>
          <w:sz w:val="21"/>
        </w:rPr>
        <w:t>pledged</w:t>
      </w:r>
      <w:r>
        <w:rPr>
          <w:spacing w:val="10"/>
          <w:w w:val="105"/>
          <w:sz w:val="21"/>
        </w:rPr>
        <w:t> </w:t>
      </w:r>
      <w:r>
        <w:rPr>
          <w:w w:val="105"/>
          <w:sz w:val="21"/>
        </w:rPr>
        <w:t>nearly</w:t>
      </w:r>
    </w:p>
    <w:p>
      <w:pPr>
        <w:pStyle w:val="BodyText"/>
        <w:spacing w:line="242" w:lineRule="auto" w:before="4"/>
        <w:ind w:left="2381" w:right="1652"/>
      </w:pPr>
      <w:r>
        <w:rPr>
          <w:w w:val="105"/>
        </w:rPr>
        <w:t>$800,000 </w:t>
      </w:r>
      <w:r>
        <w:rPr>
          <w:spacing w:val="-3"/>
          <w:w w:val="105"/>
        </w:rPr>
        <w:t>to </w:t>
      </w:r>
      <w:r>
        <w:rPr>
          <w:w w:val="105"/>
        </w:rPr>
        <w:t>establish an </w:t>
      </w:r>
      <w:r>
        <w:rPr>
          <w:spacing w:val="-3"/>
          <w:w w:val="105"/>
        </w:rPr>
        <w:t>online dispute </w:t>
      </w:r>
      <w:r>
        <w:rPr>
          <w:w w:val="105"/>
        </w:rPr>
        <w:t>resolution </w:t>
      </w:r>
      <w:r>
        <w:rPr>
          <w:spacing w:val="-3"/>
          <w:w w:val="105"/>
        </w:rPr>
        <w:t>pilot </w:t>
      </w:r>
      <w:r>
        <w:rPr>
          <w:w w:val="105"/>
        </w:rPr>
        <w:t>led by the Department of Justice and </w:t>
      </w:r>
      <w:r>
        <w:rPr>
          <w:spacing w:val="-3"/>
          <w:w w:val="105"/>
        </w:rPr>
        <w:t>Regulation </w:t>
      </w:r>
      <w:r>
        <w:rPr>
          <w:w w:val="105"/>
        </w:rPr>
        <w:t>Victoria and a </w:t>
      </w:r>
      <w:r>
        <w:rPr>
          <w:spacing w:val="-7"/>
          <w:w w:val="105"/>
        </w:rPr>
        <w:t>$1.98 </w:t>
      </w:r>
      <w:r>
        <w:rPr>
          <w:spacing w:val="-3"/>
          <w:w w:val="105"/>
        </w:rPr>
        <w:t>million investment to </w:t>
      </w:r>
      <w:r>
        <w:rPr>
          <w:w w:val="105"/>
        </w:rPr>
        <w:t>help the courts </w:t>
      </w:r>
      <w:r>
        <w:rPr>
          <w:spacing w:val="-3"/>
          <w:w w:val="105"/>
        </w:rPr>
        <w:t>improve </w:t>
      </w:r>
      <w:r>
        <w:rPr>
          <w:w w:val="105"/>
        </w:rPr>
        <w:t>their </w:t>
      </w:r>
      <w:r>
        <w:rPr>
          <w:spacing w:val="-5"/>
          <w:w w:val="105"/>
        </w:rPr>
        <w:t>websites.</w:t>
      </w:r>
      <w:r>
        <w:rPr>
          <w:spacing w:val="-5"/>
          <w:w w:val="105"/>
          <w:position w:val="7"/>
          <w:sz w:val="12"/>
        </w:rPr>
        <w:t>13 </w:t>
      </w:r>
      <w:r>
        <w:rPr>
          <w:w w:val="105"/>
        </w:rPr>
        <w:t>The </w:t>
      </w:r>
      <w:r>
        <w:rPr>
          <w:spacing w:val="-3"/>
          <w:w w:val="105"/>
        </w:rPr>
        <w:t>aim </w:t>
      </w:r>
      <w:r>
        <w:rPr>
          <w:w w:val="105"/>
        </w:rPr>
        <w:t>of the </w:t>
      </w:r>
      <w:r>
        <w:rPr>
          <w:spacing w:val="-3"/>
          <w:w w:val="105"/>
        </w:rPr>
        <w:t>pilot program </w:t>
      </w:r>
      <w:r>
        <w:rPr>
          <w:w w:val="105"/>
        </w:rPr>
        <w:t>was </w:t>
      </w:r>
      <w:r>
        <w:rPr>
          <w:spacing w:val="-3"/>
          <w:w w:val="105"/>
        </w:rPr>
        <w:t>to </w:t>
      </w:r>
      <w:r>
        <w:rPr>
          <w:w w:val="105"/>
        </w:rPr>
        <w:t>gauge the suitability of the broader introduction of ODR in </w:t>
      </w:r>
      <w:r>
        <w:rPr>
          <w:spacing w:val="-4"/>
          <w:w w:val="105"/>
        </w:rPr>
        <w:t>Victoria.</w:t>
      </w:r>
      <w:r>
        <w:rPr>
          <w:spacing w:val="-4"/>
          <w:w w:val="105"/>
          <w:position w:val="7"/>
          <w:sz w:val="12"/>
        </w:rPr>
        <w:t>14 </w:t>
      </w:r>
      <w:r>
        <w:rPr>
          <w:w w:val="105"/>
        </w:rPr>
        <w:t>The review also recommended the establishment of an </w:t>
      </w:r>
      <w:r>
        <w:rPr>
          <w:spacing w:val="-3"/>
          <w:w w:val="105"/>
        </w:rPr>
        <w:t>online dispute </w:t>
      </w:r>
      <w:r>
        <w:rPr>
          <w:w w:val="105"/>
        </w:rPr>
        <w:t>resolution advisory </w:t>
      </w:r>
      <w:r>
        <w:rPr>
          <w:spacing w:val="-3"/>
          <w:w w:val="105"/>
        </w:rPr>
        <w:t>panel.</w:t>
      </w:r>
    </w:p>
    <w:p>
      <w:pPr>
        <w:pStyle w:val="ListParagraph"/>
        <w:numPr>
          <w:ilvl w:val="1"/>
          <w:numId w:val="16"/>
        </w:numPr>
        <w:tabs>
          <w:tab w:pos="2381" w:val="left" w:leader="none"/>
          <w:tab w:pos="2382" w:val="left" w:leader="none"/>
        </w:tabs>
        <w:spacing w:line="242" w:lineRule="auto" w:before="125" w:after="0"/>
        <w:ind w:left="2381" w:right="1842" w:hanging="794"/>
        <w:jc w:val="left"/>
        <w:rPr>
          <w:sz w:val="21"/>
        </w:rPr>
      </w:pPr>
      <w:r>
        <w:rPr>
          <w:spacing w:val="-5"/>
          <w:w w:val="105"/>
          <w:sz w:val="21"/>
        </w:rPr>
        <w:t>VCAT </w:t>
      </w:r>
      <w:r>
        <w:rPr>
          <w:spacing w:val="-2"/>
          <w:w w:val="105"/>
          <w:sz w:val="21"/>
        </w:rPr>
        <w:t>has </w:t>
      </w:r>
      <w:r>
        <w:rPr>
          <w:spacing w:val="-3"/>
          <w:w w:val="105"/>
          <w:sz w:val="21"/>
        </w:rPr>
        <w:t>recently concluded </w:t>
      </w:r>
      <w:r>
        <w:rPr>
          <w:w w:val="105"/>
          <w:sz w:val="21"/>
        </w:rPr>
        <w:t>its ODR </w:t>
      </w:r>
      <w:r>
        <w:rPr>
          <w:spacing w:val="-3"/>
          <w:w w:val="105"/>
          <w:sz w:val="21"/>
        </w:rPr>
        <w:t>pilot for small </w:t>
      </w:r>
      <w:r>
        <w:rPr>
          <w:w w:val="105"/>
          <w:sz w:val="21"/>
        </w:rPr>
        <w:t>civil </w:t>
      </w:r>
      <w:r>
        <w:rPr>
          <w:spacing w:val="-5"/>
          <w:w w:val="105"/>
          <w:sz w:val="21"/>
        </w:rPr>
        <w:t>claims.</w:t>
      </w:r>
      <w:r>
        <w:rPr>
          <w:spacing w:val="-5"/>
          <w:w w:val="105"/>
          <w:position w:val="7"/>
          <w:sz w:val="12"/>
        </w:rPr>
        <w:t>15 </w:t>
      </w:r>
      <w:r>
        <w:rPr>
          <w:w w:val="105"/>
          <w:sz w:val="21"/>
        </w:rPr>
        <w:t>The </w:t>
      </w:r>
      <w:r>
        <w:rPr>
          <w:spacing w:val="-3"/>
          <w:w w:val="105"/>
          <w:sz w:val="21"/>
        </w:rPr>
        <w:t>pilot ran for four </w:t>
      </w:r>
      <w:r>
        <w:rPr>
          <w:w w:val="105"/>
          <w:sz w:val="21"/>
        </w:rPr>
        <w:t>weeks</w:t>
      </w:r>
      <w:r>
        <w:rPr>
          <w:spacing w:val="-7"/>
          <w:w w:val="105"/>
          <w:sz w:val="21"/>
        </w:rPr>
        <w:t> </w:t>
      </w:r>
      <w:r>
        <w:rPr>
          <w:spacing w:val="-3"/>
          <w:w w:val="105"/>
          <w:sz w:val="21"/>
        </w:rPr>
        <w:t>from</w:t>
      </w:r>
      <w:r>
        <w:rPr>
          <w:spacing w:val="-6"/>
          <w:w w:val="105"/>
          <w:sz w:val="21"/>
        </w:rPr>
        <w:t> </w:t>
      </w:r>
      <w:r>
        <w:rPr>
          <w:w w:val="105"/>
          <w:sz w:val="21"/>
        </w:rPr>
        <w:t>September</w:t>
      </w:r>
      <w:r>
        <w:rPr>
          <w:spacing w:val="-6"/>
          <w:w w:val="105"/>
          <w:sz w:val="21"/>
        </w:rPr>
        <w:t> </w:t>
      </w:r>
      <w:r>
        <w:rPr>
          <w:spacing w:val="-7"/>
          <w:w w:val="105"/>
          <w:sz w:val="21"/>
        </w:rPr>
        <w:t>2018</w:t>
      </w:r>
      <w:r>
        <w:rPr>
          <w:spacing w:val="-6"/>
          <w:w w:val="105"/>
          <w:sz w:val="21"/>
        </w:rPr>
        <w:t> </w:t>
      </w:r>
      <w:r>
        <w:rPr>
          <w:w w:val="105"/>
          <w:sz w:val="21"/>
        </w:rPr>
        <w:t>and</w:t>
      </w:r>
      <w:r>
        <w:rPr>
          <w:spacing w:val="-7"/>
          <w:w w:val="105"/>
          <w:sz w:val="21"/>
        </w:rPr>
        <w:t> </w:t>
      </w:r>
      <w:r>
        <w:rPr>
          <w:w w:val="105"/>
          <w:sz w:val="21"/>
        </w:rPr>
        <w:t>tested</w:t>
      </w:r>
      <w:r>
        <w:rPr>
          <w:spacing w:val="-6"/>
          <w:w w:val="105"/>
          <w:sz w:val="21"/>
        </w:rPr>
        <w:t> </w:t>
      </w:r>
      <w:r>
        <w:rPr>
          <w:w w:val="105"/>
          <w:sz w:val="21"/>
        </w:rPr>
        <w:t>whether</w:t>
      </w:r>
      <w:r>
        <w:rPr>
          <w:spacing w:val="-6"/>
          <w:w w:val="105"/>
          <w:sz w:val="21"/>
        </w:rPr>
        <w:t> </w:t>
      </w:r>
      <w:r>
        <w:rPr>
          <w:w w:val="105"/>
          <w:sz w:val="21"/>
        </w:rPr>
        <w:t>ODR</w:t>
      </w:r>
      <w:r>
        <w:rPr>
          <w:spacing w:val="-6"/>
          <w:w w:val="105"/>
          <w:sz w:val="21"/>
        </w:rPr>
        <w:t> </w:t>
      </w:r>
      <w:r>
        <w:rPr>
          <w:w w:val="105"/>
          <w:sz w:val="21"/>
        </w:rPr>
        <w:t>was</w:t>
      </w:r>
      <w:r>
        <w:rPr>
          <w:spacing w:val="-7"/>
          <w:w w:val="105"/>
          <w:sz w:val="21"/>
        </w:rPr>
        <w:t> </w:t>
      </w:r>
      <w:r>
        <w:rPr>
          <w:w w:val="105"/>
          <w:sz w:val="21"/>
        </w:rPr>
        <w:t>suitable</w:t>
      </w:r>
      <w:r>
        <w:rPr>
          <w:spacing w:val="-6"/>
          <w:w w:val="105"/>
          <w:sz w:val="21"/>
        </w:rPr>
        <w:t> </w:t>
      </w:r>
      <w:r>
        <w:rPr>
          <w:spacing w:val="-3"/>
          <w:w w:val="105"/>
          <w:sz w:val="21"/>
        </w:rPr>
        <w:t>for</w:t>
      </w:r>
      <w:r>
        <w:rPr>
          <w:spacing w:val="-6"/>
          <w:w w:val="105"/>
          <w:sz w:val="21"/>
        </w:rPr>
        <w:t> </w:t>
      </w:r>
      <w:r>
        <w:rPr>
          <w:w w:val="105"/>
          <w:sz w:val="21"/>
        </w:rPr>
        <w:t>people</w:t>
      </w:r>
      <w:r>
        <w:rPr>
          <w:spacing w:val="-6"/>
          <w:w w:val="105"/>
          <w:sz w:val="21"/>
        </w:rPr>
        <w:t> </w:t>
      </w:r>
      <w:r>
        <w:rPr>
          <w:spacing w:val="-3"/>
          <w:w w:val="105"/>
          <w:sz w:val="21"/>
        </w:rPr>
        <w:t>involved </w:t>
      </w:r>
      <w:r>
        <w:rPr>
          <w:w w:val="105"/>
          <w:sz w:val="21"/>
        </w:rPr>
        <w:t>in </w:t>
      </w:r>
      <w:r>
        <w:rPr>
          <w:spacing w:val="-3"/>
          <w:w w:val="105"/>
          <w:sz w:val="21"/>
        </w:rPr>
        <w:t>disputes </w:t>
      </w:r>
      <w:r>
        <w:rPr>
          <w:w w:val="105"/>
          <w:sz w:val="21"/>
        </w:rPr>
        <w:t>about goods and services under </w:t>
      </w:r>
      <w:r>
        <w:rPr>
          <w:spacing w:val="-6"/>
          <w:w w:val="105"/>
          <w:sz w:val="21"/>
        </w:rPr>
        <w:t>$10,000.</w:t>
      </w:r>
      <w:r>
        <w:rPr>
          <w:spacing w:val="-6"/>
          <w:w w:val="105"/>
          <w:position w:val="7"/>
          <w:sz w:val="12"/>
        </w:rPr>
        <w:t>16 </w:t>
      </w:r>
      <w:r>
        <w:rPr>
          <w:spacing w:val="-5"/>
          <w:w w:val="105"/>
          <w:sz w:val="21"/>
        </w:rPr>
        <w:t>VCAT </w:t>
      </w:r>
      <w:r>
        <w:rPr>
          <w:spacing w:val="-3"/>
          <w:w w:val="105"/>
          <w:sz w:val="21"/>
        </w:rPr>
        <w:t>heard 65 </w:t>
      </w:r>
      <w:r>
        <w:rPr>
          <w:w w:val="105"/>
          <w:sz w:val="21"/>
        </w:rPr>
        <w:t>cases </w:t>
      </w:r>
      <w:r>
        <w:rPr>
          <w:spacing w:val="-3"/>
          <w:w w:val="105"/>
          <w:sz w:val="21"/>
        </w:rPr>
        <w:t>using </w:t>
      </w:r>
      <w:r>
        <w:rPr>
          <w:w w:val="105"/>
          <w:sz w:val="21"/>
        </w:rPr>
        <w:t>ODR </w:t>
      </w:r>
      <w:r>
        <w:rPr>
          <w:spacing w:val="-3"/>
          <w:w w:val="105"/>
          <w:sz w:val="21"/>
        </w:rPr>
        <w:t>technology, </w:t>
      </w:r>
      <w:r>
        <w:rPr>
          <w:w w:val="105"/>
          <w:sz w:val="21"/>
        </w:rPr>
        <w:t>with </w:t>
      </w:r>
      <w:r>
        <w:rPr>
          <w:spacing w:val="-6"/>
          <w:w w:val="105"/>
          <w:sz w:val="21"/>
        </w:rPr>
        <w:t>71 </w:t>
      </w:r>
      <w:r>
        <w:rPr>
          <w:w w:val="105"/>
          <w:sz w:val="21"/>
        </w:rPr>
        <w:t>parties participating in </w:t>
      </w:r>
      <w:r>
        <w:rPr>
          <w:spacing w:val="-3"/>
          <w:w w:val="105"/>
          <w:sz w:val="21"/>
        </w:rPr>
        <w:t>online hearings. </w:t>
      </w:r>
      <w:r>
        <w:rPr>
          <w:w w:val="105"/>
          <w:sz w:val="21"/>
        </w:rPr>
        <w:t>A </w:t>
      </w:r>
      <w:r>
        <w:rPr>
          <w:spacing w:val="-3"/>
          <w:w w:val="105"/>
          <w:sz w:val="21"/>
        </w:rPr>
        <w:t>total </w:t>
      </w:r>
      <w:r>
        <w:rPr>
          <w:w w:val="105"/>
          <w:sz w:val="21"/>
        </w:rPr>
        <w:t>of </w:t>
      </w:r>
      <w:r>
        <w:rPr>
          <w:spacing w:val="-7"/>
          <w:w w:val="105"/>
          <w:sz w:val="21"/>
        </w:rPr>
        <w:t>21</w:t>
      </w:r>
      <w:r>
        <w:rPr>
          <w:spacing w:val="6"/>
          <w:w w:val="105"/>
          <w:sz w:val="21"/>
        </w:rPr>
        <w:t> </w:t>
      </w:r>
      <w:r>
        <w:rPr>
          <w:w w:val="105"/>
          <w:sz w:val="21"/>
        </w:rPr>
        <w:t>cases</w:t>
      </w:r>
    </w:p>
    <w:p>
      <w:pPr>
        <w:pStyle w:val="BodyText"/>
        <w:rPr>
          <w:sz w:val="26"/>
        </w:rPr>
      </w:pPr>
      <w:r>
        <w:rPr/>
        <w:pict>
          <v:line style="position:absolute;mso-position-horizontal-relative:page;mso-position-vertical-relative:paragraph;z-index:11888;mso-wrap-distance-left:0;mso-wrap-distance-right:0" from="79.370102pt,18.345598pt" to="515.905102pt,18.345598pt" stroked="true" strokeweight="1pt" strokecolor="#c9d2cb">
            <v:stroke dashstyle="solid"/>
            <w10:wrap type="topAndBottom"/>
          </v:line>
        </w:pict>
      </w:r>
    </w:p>
    <w:p>
      <w:pPr>
        <w:pStyle w:val="BodyText"/>
        <w:spacing w:before="8"/>
        <w:rPr>
          <w:sz w:val="5"/>
        </w:rPr>
      </w:pPr>
    </w:p>
    <w:p>
      <w:pPr>
        <w:spacing w:after="0"/>
        <w:rPr>
          <w:sz w:val="5"/>
        </w:rPr>
        <w:sectPr>
          <w:headerReference w:type="default" r:id="rId351"/>
          <w:headerReference w:type="even" r:id="rId352"/>
          <w:pgSz w:w="11910" w:h="16840"/>
          <w:pgMar w:header="808" w:footer="0" w:top="1360" w:bottom="280" w:left="0" w:right="0"/>
        </w:sectPr>
      </w:pPr>
    </w:p>
    <w:p>
      <w:pPr>
        <w:pStyle w:val="ListParagraph"/>
        <w:numPr>
          <w:ilvl w:val="0"/>
          <w:numId w:val="203"/>
        </w:numPr>
        <w:tabs>
          <w:tab w:pos="2380" w:val="left" w:leader="none"/>
          <w:tab w:pos="2382" w:val="left" w:leader="none"/>
        </w:tabs>
        <w:spacing w:line="240" w:lineRule="auto" w:before="48" w:after="0"/>
        <w:ind w:left="2381" w:right="0" w:hanging="794"/>
        <w:jc w:val="left"/>
        <w:rPr>
          <w:sz w:val="13"/>
        </w:rPr>
      </w:pPr>
      <w:r>
        <w:rPr>
          <w:sz w:val="13"/>
        </w:rPr>
        <w:t>See generally Michael Legg, </w:t>
      </w:r>
      <w:r>
        <w:rPr>
          <w:spacing w:val="2"/>
          <w:sz w:val="13"/>
        </w:rPr>
        <w:t>‘The </w:t>
      </w:r>
      <w:r>
        <w:rPr>
          <w:sz w:val="13"/>
        </w:rPr>
        <w:t>Future of Dispute Resolution: Online </w:t>
      </w:r>
      <w:r>
        <w:rPr>
          <w:spacing w:val="2"/>
          <w:sz w:val="13"/>
        </w:rPr>
        <w:t>ADR </w:t>
      </w:r>
      <w:r>
        <w:rPr>
          <w:sz w:val="13"/>
        </w:rPr>
        <w:t>and Online  Courts’  (2016)  27(4)  </w:t>
      </w:r>
      <w:r>
        <w:rPr>
          <w:i/>
          <w:sz w:val="13"/>
        </w:rPr>
        <w:t>Australasian  Dispute  Resolution </w:t>
      </w:r>
      <w:r>
        <w:rPr>
          <w:i/>
          <w:sz w:val="13"/>
        </w:rPr>
        <w:t>Journal</w:t>
      </w:r>
      <w:r>
        <w:rPr>
          <w:i/>
          <w:spacing w:val="18"/>
          <w:sz w:val="13"/>
        </w:rPr>
        <w:t> </w:t>
      </w:r>
      <w:r>
        <w:rPr>
          <w:sz w:val="13"/>
        </w:rPr>
        <w:t>227–35;</w:t>
      </w:r>
      <w:r>
        <w:rPr>
          <w:spacing w:val="18"/>
          <w:sz w:val="13"/>
        </w:rPr>
        <w:t> </w:t>
      </w:r>
      <w:r>
        <w:rPr>
          <w:sz w:val="13"/>
        </w:rPr>
        <w:t>see</w:t>
      </w:r>
      <w:r>
        <w:rPr>
          <w:spacing w:val="18"/>
          <w:sz w:val="13"/>
        </w:rPr>
        <w:t> </w:t>
      </w:r>
      <w:r>
        <w:rPr>
          <w:sz w:val="13"/>
        </w:rPr>
        <w:t>also</w:t>
      </w:r>
      <w:r>
        <w:rPr>
          <w:spacing w:val="19"/>
          <w:sz w:val="13"/>
        </w:rPr>
        <w:t> </w:t>
      </w:r>
      <w:r>
        <w:rPr>
          <w:sz w:val="13"/>
        </w:rPr>
        <w:t>National</w:t>
      </w:r>
      <w:r>
        <w:rPr>
          <w:spacing w:val="18"/>
          <w:sz w:val="13"/>
        </w:rPr>
        <w:t> </w:t>
      </w:r>
      <w:r>
        <w:rPr>
          <w:sz w:val="13"/>
        </w:rPr>
        <w:t>Alternative</w:t>
      </w:r>
      <w:r>
        <w:rPr>
          <w:spacing w:val="18"/>
          <w:sz w:val="13"/>
        </w:rPr>
        <w:t> </w:t>
      </w:r>
      <w:r>
        <w:rPr>
          <w:sz w:val="13"/>
        </w:rPr>
        <w:t>Dispute</w:t>
      </w:r>
      <w:r>
        <w:rPr>
          <w:spacing w:val="18"/>
          <w:sz w:val="13"/>
        </w:rPr>
        <w:t> </w:t>
      </w:r>
      <w:r>
        <w:rPr>
          <w:sz w:val="13"/>
        </w:rPr>
        <w:t>Resolution</w:t>
      </w:r>
      <w:r>
        <w:rPr>
          <w:spacing w:val="19"/>
          <w:sz w:val="13"/>
        </w:rPr>
        <w:t> </w:t>
      </w:r>
      <w:r>
        <w:rPr>
          <w:sz w:val="13"/>
        </w:rPr>
        <w:t>Advisory</w:t>
      </w:r>
      <w:r>
        <w:rPr>
          <w:spacing w:val="18"/>
          <w:sz w:val="13"/>
        </w:rPr>
        <w:t> </w:t>
      </w:r>
      <w:r>
        <w:rPr>
          <w:sz w:val="13"/>
        </w:rPr>
        <w:t>Council,</w:t>
      </w:r>
      <w:r>
        <w:rPr>
          <w:spacing w:val="18"/>
          <w:sz w:val="13"/>
        </w:rPr>
        <w:t> </w:t>
      </w:r>
      <w:r>
        <w:rPr>
          <w:i/>
          <w:sz w:val="13"/>
        </w:rPr>
        <w:t>On-line</w:t>
      </w:r>
      <w:r>
        <w:rPr>
          <w:i/>
          <w:spacing w:val="18"/>
          <w:sz w:val="13"/>
        </w:rPr>
        <w:t> </w:t>
      </w:r>
      <w:r>
        <w:rPr>
          <w:i/>
          <w:sz w:val="13"/>
        </w:rPr>
        <w:t>ADR</w:t>
      </w:r>
      <w:r>
        <w:rPr>
          <w:i/>
          <w:spacing w:val="19"/>
          <w:sz w:val="13"/>
        </w:rPr>
        <w:t> </w:t>
      </w:r>
      <w:r>
        <w:rPr>
          <w:i/>
          <w:sz w:val="13"/>
        </w:rPr>
        <w:t>Background</w:t>
      </w:r>
      <w:r>
        <w:rPr>
          <w:i/>
          <w:spacing w:val="18"/>
          <w:sz w:val="13"/>
        </w:rPr>
        <w:t> </w:t>
      </w:r>
      <w:r>
        <w:rPr>
          <w:i/>
          <w:sz w:val="13"/>
        </w:rPr>
        <w:t>Paper</w:t>
      </w:r>
      <w:r>
        <w:rPr>
          <w:i/>
          <w:spacing w:val="18"/>
          <w:sz w:val="13"/>
        </w:rPr>
        <w:t> </w:t>
      </w:r>
      <w:r>
        <w:rPr>
          <w:sz w:val="13"/>
        </w:rPr>
        <w:t>(January</w:t>
      </w:r>
      <w:r>
        <w:rPr>
          <w:spacing w:val="18"/>
          <w:sz w:val="13"/>
        </w:rPr>
        <w:t> </w:t>
      </w:r>
      <w:r>
        <w:rPr>
          <w:sz w:val="13"/>
        </w:rPr>
        <w:t>2001)</w:t>
      </w:r>
    </w:p>
    <w:p>
      <w:pPr>
        <w:spacing w:before="3"/>
        <w:ind w:left="2381" w:right="0" w:firstLine="0"/>
        <w:jc w:val="left"/>
        <w:rPr>
          <w:sz w:val="13"/>
        </w:rPr>
      </w:pPr>
      <w:r>
        <w:rPr>
          <w:w w:val="105"/>
          <w:sz w:val="13"/>
        </w:rPr>
        <w:t>&lt;https://</w:t>
      </w:r>
      <w:hyperlink r:id="rId353">
        <w:r>
          <w:rPr>
            <w:w w:val="105"/>
            <w:sz w:val="13"/>
          </w:rPr>
          <w:t>www.ag.gov.au/LegalSystem/AlternateDisputeResolution/Pages/NADRACPublications-A-Z.aspx</w:t>
        </w:r>
      </w:hyperlink>
      <w:r>
        <w:rPr>
          <w:w w:val="105"/>
          <w:sz w:val="13"/>
        </w:rPr>
        <w:t>&gt;.</w:t>
      </w:r>
    </w:p>
    <w:p>
      <w:pPr>
        <w:pStyle w:val="ListParagraph"/>
        <w:numPr>
          <w:ilvl w:val="0"/>
          <w:numId w:val="203"/>
        </w:numPr>
        <w:tabs>
          <w:tab w:pos="2380" w:val="left" w:leader="none"/>
          <w:tab w:pos="2382" w:val="left" w:leader="none"/>
        </w:tabs>
        <w:spacing w:line="240" w:lineRule="auto" w:before="1" w:after="0"/>
        <w:ind w:left="2381" w:right="0" w:hanging="794"/>
        <w:jc w:val="left"/>
        <w:rPr>
          <w:sz w:val="13"/>
        </w:rPr>
      </w:pPr>
      <w:r>
        <w:rPr>
          <w:w w:val="105"/>
          <w:sz w:val="13"/>
        </w:rPr>
        <w:t>NSW</w:t>
      </w:r>
      <w:r>
        <w:rPr>
          <w:spacing w:val="4"/>
          <w:w w:val="105"/>
          <w:sz w:val="13"/>
        </w:rPr>
        <w:t> </w:t>
      </w:r>
      <w:r>
        <w:rPr>
          <w:w w:val="105"/>
          <w:sz w:val="13"/>
        </w:rPr>
        <w:t>Civil</w:t>
      </w:r>
      <w:r>
        <w:rPr>
          <w:spacing w:val="5"/>
          <w:w w:val="105"/>
          <w:sz w:val="13"/>
        </w:rPr>
        <w:t> </w:t>
      </w:r>
      <w:r>
        <w:rPr>
          <w:w w:val="105"/>
          <w:sz w:val="13"/>
        </w:rPr>
        <w:t>and</w:t>
      </w:r>
      <w:r>
        <w:rPr>
          <w:spacing w:val="5"/>
          <w:w w:val="105"/>
          <w:sz w:val="13"/>
        </w:rPr>
        <w:t> </w:t>
      </w:r>
      <w:r>
        <w:rPr>
          <w:w w:val="105"/>
          <w:sz w:val="13"/>
        </w:rPr>
        <w:t>Administrative</w:t>
      </w:r>
      <w:r>
        <w:rPr>
          <w:spacing w:val="4"/>
          <w:w w:val="105"/>
          <w:sz w:val="13"/>
        </w:rPr>
        <w:t> </w:t>
      </w:r>
      <w:r>
        <w:rPr>
          <w:w w:val="105"/>
          <w:sz w:val="13"/>
        </w:rPr>
        <w:t>Tribunal,</w:t>
      </w:r>
      <w:r>
        <w:rPr>
          <w:spacing w:val="5"/>
          <w:w w:val="105"/>
          <w:sz w:val="13"/>
        </w:rPr>
        <w:t> </w:t>
      </w:r>
      <w:r>
        <w:rPr>
          <w:i/>
          <w:w w:val="105"/>
          <w:sz w:val="13"/>
        </w:rPr>
        <w:t>Annual</w:t>
      </w:r>
      <w:r>
        <w:rPr>
          <w:i/>
          <w:spacing w:val="5"/>
          <w:w w:val="105"/>
          <w:sz w:val="13"/>
        </w:rPr>
        <w:t> </w:t>
      </w:r>
      <w:r>
        <w:rPr>
          <w:i/>
          <w:spacing w:val="2"/>
          <w:w w:val="105"/>
          <w:sz w:val="13"/>
        </w:rPr>
        <w:t>Report</w:t>
      </w:r>
      <w:r>
        <w:rPr>
          <w:i/>
          <w:spacing w:val="5"/>
          <w:w w:val="105"/>
          <w:sz w:val="13"/>
        </w:rPr>
        <w:t> </w:t>
      </w:r>
      <w:r>
        <w:rPr>
          <w:i/>
          <w:w w:val="105"/>
          <w:sz w:val="13"/>
        </w:rPr>
        <w:t>2014–2015</w:t>
      </w:r>
      <w:r>
        <w:rPr>
          <w:i/>
          <w:spacing w:val="4"/>
          <w:w w:val="105"/>
          <w:sz w:val="13"/>
        </w:rPr>
        <w:t> </w:t>
      </w:r>
      <w:r>
        <w:rPr>
          <w:spacing w:val="2"/>
          <w:w w:val="105"/>
          <w:sz w:val="13"/>
        </w:rPr>
        <w:t>(Report,</w:t>
      </w:r>
      <w:r>
        <w:rPr>
          <w:spacing w:val="5"/>
          <w:w w:val="105"/>
          <w:sz w:val="13"/>
        </w:rPr>
        <w:t> </w:t>
      </w:r>
      <w:r>
        <w:rPr>
          <w:w w:val="105"/>
          <w:sz w:val="13"/>
        </w:rPr>
        <w:t>2015)</w:t>
      </w:r>
      <w:r>
        <w:rPr>
          <w:spacing w:val="5"/>
          <w:w w:val="105"/>
          <w:sz w:val="13"/>
        </w:rPr>
        <w:t> </w:t>
      </w:r>
      <w:r>
        <w:rPr>
          <w:w w:val="105"/>
          <w:sz w:val="13"/>
        </w:rPr>
        <w:t>79.</w:t>
      </w:r>
    </w:p>
    <w:p>
      <w:pPr>
        <w:pStyle w:val="ListParagraph"/>
        <w:numPr>
          <w:ilvl w:val="0"/>
          <w:numId w:val="203"/>
        </w:numPr>
        <w:tabs>
          <w:tab w:pos="2380" w:val="left" w:leader="none"/>
          <w:tab w:pos="2382" w:val="left" w:leader="none"/>
        </w:tabs>
        <w:spacing w:line="240" w:lineRule="auto" w:before="1" w:after="0"/>
        <w:ind w:left="2381" w:right="0" w:hanging="794"/>
        <w:jc w:val="left"/>
        <w:rPr>
          <w:sz w:val="13"/>
        </w:rPr>
      </w:pPr>
      <w:r>
        <w:rPr>
          <w:w w:val="105"/>
          <w:sz w:val="13"/>
        </w:rPr>
        <w:t>Louise</w:t>
      </w:r>
      <w:r>
        <w:rPr>
          <w:spacing w:val="8"/>
          <w:w w:val="105"/>
          <w:sz w:val="13"/>
        </w:rPr>
        <w:t> </w:t>
      </w:r>
      <w:r>
        <w:rPr>
          <w:w w:val="105"/>
          <w:sz w:val="13"/>
        </w:rPr>
        <w:t>Clegg,</w:t>
      </w:r>
      <w:r>
        <w:rPr>
          <w:spacing w:val="9"/>
          <w:w w:val="105"/>
          <w:sz w:val="13"/>
        </w:rPr>
        <w:t> </w:t>
      </w:r>
      <w:r>
        <w:rPr>
          <w:w w:val="105"/>
          <w:sz w:val="13"/>
        </w:rPr>
        <w:t>‘Achieving</w:t>
      </w:r>
      <w:r>
        <w:rPr>
          <w:spacing w:val="9"/>
          <w:w w:val="105"/>
          <w:sz w:val="13"/>
        </w:rPr>
        <w:t> </w:t>
      </w:r>
      <w:r>
        <w:rPr>
          <w:w w:val="105"/>
          <w:sz w:val="13"/>
        </w:rPr>
        <w:t>Efficiency—NCAT</w:t>
      </w:r>
      <w:r>
        <w:rPr>
          <w:spacing w:val="9"/>
          <w:w w:val="105"/>
          <w:sz w:val="13"/>
        </w:rPr>
        <w:t> </w:t>
      </w:r>
      <w:r>
        <w:rPr>
          <w:w w:val="105"/>
          <w:sz w:val="13"/>
        </w:rPr>
        <w:t>Online</w:t>
      </w:r>
      <w:r>
        <w:rPr>
          <w:spacing w:val="9"/>
          <w:w w:val="105"/>
          <w:sz w:val="13"/>
        </w:rPr>
        <w:t> </w:t>
      </w:r>
      <w:r>
        <w:rPr>
          <w:w w:val="105"/>
          <w:sz w:val="13"/>
        </w:rPr>
        <w:t>Dispute</w:t>
      </w:r>
      <w:r>
        <w:rPr>
          <w:spacing w:val="8"/>
          <w:w w:val="105"/>
          <w:sz w:val="13"/>
        </w:rPr>
        <w:t> </w:t>
      </w:r>
      <w:r>
        <w:rPr>
          <w:w w:val="105"/>
          <w:sz w:val="13"/>
        </w:rPr>
        <w:t>Resolution</w:t>
      </w:r>
      <w:r>
        <w:rPr>
          <w:spacing w:val="9"/>
          <w:w w:val="105"/>
          <w:sz w:val="13"/>
        </w:rPr>
        <w:t> </w:t>
      </w:r>
      <w:r>
        <w:rPr>
          <w:w w:val="105"/>
          <w:sz w:val="13"/>
        </w:rPr>
        <w:t>Pilot’</w:t>
      </w:r>
      <w:r>
        <w:rPr>
          <w:spacing w:val="9"/>
          <w:w w:val="105"/>
          <w:sz w:val="13"/>
        </w:rPr>
        <w:t> </w:t>
      </w:r>
      <w:r>
        <w:rPr>
          <w:w w:val="105"/>
          <w:sz w:val="13"/>
        </w:rPr>
        <w:t>(Speech,</w:t>
      </w:r>
      <w:r>
        <w:rPr>
          <w:spacing w:val="9"/>
          <w:w w:val="105"/>
          <w:sz w:val="13"/>
        </w:rPr>
        <w:t> </w:t>
      </w:r>
      <w:r>
        <w:rPr>
          <w:spacing w:val="-3"/>
          <w:w w:val="105"/>
          <w:sz w:val="13"/>
        </w:rPr>
        <w:t>COAT</w:t>
      </w:r>
      <w:r>
        <w:rPr>
          <w:spacing w:val="9"/>
          <w:w w:val="105"/>
          <w:sz w:val="13"/>
        </w:rPr>
        <w:t> </w:t>
      </w:r>
      <w:r>
        <w:rPr>
          <w:w w:val="105"/>
          <w:sz w:val="13"/>
        </w:rPr>
        <w:t>National</w:t>
      </w:r>
      <w:r>
        <w:rPr>
          <w:spacing w:val="8"/>
          <w:w w:val="105"/>
          <w:sz w:val="13"/>
        </w:rPr>
        <w:t> </w:t>
      </w:r>
      <w:r>
        <w:rPr>
          <w:w w:val="105"/>
          <w:sz w:val="13"/>
        </w:rPr>
        <w:t>Conference,</w:t>
      </w:r>
      <w:r>
        <w:rPr>
          <w:spacing w:val="9"/>
          <w:w w:val="105"/>
          <w:sz w:val="13"/>
        </w:rPr>
        <w:t> </w:t>
      </w:r>
      <w:r>
        <w:rPr>
          <w:spacing w:val="3"/>
          <w:w w:val="105"/>
          <w:sz w:val="13"/>
        </w:rPr>
        <w:t>4–5</w:t>
      </w:r>
      <w:r>
        <w:rPr>
          <w:spacing w:val="9"/>
          <w:w w:val="105"/>
          <w:sz w:val="13"/>
        </w:rPr>
        <w:t> </w:t>
      </w:r>
      <w:r>
        <w:rPr>
          <w:w w:val="105"/>
          <w:sz w:val="13"/>
        </w:rPr>
        <w:t>June</w:t>
      </w:r>
      <w:r>
        <w:rPr>
          <w:spacing w:val="9"/>
          <w:w w:val="105"/>
          <w:sz w:val="13"/>
        </w:rPr>
        <w:t> </w:t>
      </w:r>
      <w:r>
        <w:rPr>
          <w:w w:val="105"/>
          <w:sz w:val="13"/>
        </w:rPr>
        <w:t>2015)</w:t>
      </w:r>
    </w:p>
    <w:p>
      <w:pPr>
        <w:spacing w:before="2"/>
        <w:ind w:left="2381" w:right="0" w:firstLine="0"/>
        <w:jc w:val="left"/>
        <w:rPr>
          <w:sz w:val="13"/>
        </w:rPr>
      </w:pPr>
      <w:r>
        <w:rPr>
          <w:sz w:val="13"/>
        </w:rPr>
        <w:t>&lt;</w:t>
      </w:r>
      <w:hyperlink r:id="rId354">
        <w:r>
          <w:rPr>
            <w:sz w:val="13"/>
          </w:rPr>
          <w:t>https://coat.asn.au/events/2015-coat-national-conference/</w:t>
        </w:r>
      </w:hyperlink>
      <w:r>
        <w:rPr>
          <w:sz w:val="13"/>
        </w:rPr>
        <w:t>&gt;.</w:t>
      </w:r>
    </w:p>
    <w:p>
      <w:pPr>
        <w:pStyle w:val="ListParagraph"/>
        <w:numPr>
          <w:ilvl w:val="0"/>
          <w:numId w:val="203"/>
        </w:numPr>
        <w:tabs>
          <w:tab w:pos="2380" w:val="left" w:leader="none"/>
          <w:tab w:pos="2381" w:val="left" w:leader="none"/>
        </w:tabs>
        <w:spacing w:line="240" w:lineRule="auto" w:before="1" w:after="0"/>
        <w:ind w:left="2380" w:right="644" w:hanging="793"/>
        <w:jc w:val="left"/>
        <w:rPr>
          <w:sz w:val="13"/>
        </w:rPr>
      </w:pPr>
      <w:r>
        <w:rPr>
          <w:w w:val="105"/>
          <w:sz w:val="13"/>
        </w:rPr>
        <w:t>Accident Compensation Conciliation Service, </w:t>
      </w:r>
      <w:r>
        <w:rPr>
          <w:i/>
          <w:w w:val="105"/>
          <w:sz w:val="13"/>
        </w:rPr>
        <w:t>Online Dispute Resolution </w:t>
      </w:r>
      <w:r>
        <w:rPr>
          <w:w w:val="105"/>
          <w:sz w:val="13"/>
        </w:rPr>
        <w:t>(Web Page, 2013) &lt;</w:t>
      </w:r>
      <w:hyperlink r:id="rId355">
        <w:r>
          <w:rPr>
            <w:w w:val="105"/>
            <w:sz w:val="13"/>
          </w:rPr>
          <w:t>https://www.conciliation.vic.gov.au/</w:t>
        </w:r>
      </w:hyperlink>
      <w:hyperlink r:id="rId355">
        <w:r>
          <w:rPr>
            <w:w w:val="105"/>
            <w:sz w:val="13"/>
          </w:rPr>
          <w:t> conciliation-process/conferences/online-dispute-resolution</w:t>
        </w:r>
      </w:hyperlink>
      <w:r>
        <w:rPr>
          <w:w w:val="105"/>
          <w:sz w:val="13"/>
        </w:rPr>
        <w:t>&gt;.</w:t>
      </w:r>
    </w:p>
    <w:p>
      <w:pPr>
        <w:pStyle w:val="ListParagraph"/>
        <w:numPr>
          <w:ilvl w:val="0"/>
          <w:numId w:val="203"/>
        </w:numPr>
        <w:tabs>
          <w:tab w:pos="2380" w:val="left" w:leader="none"/>
          <w:tab w:pos="2381" w:val="left" w:leader="none"/>
        </w:tabs>
        <w:spacing w:line="240" w:lineRule="auto" w:before="3" w:after="0"/>
        <w:ind w:left="2380" w:right="55" w:hanging="793"/>
        <w:jc w:val="left"/>
        <w:rPr>
          <w:sz w:val="13"/>
        </w:rPr>
      </w:pPr>
      <w:r>
        <w:rPr>
          <w:w w:val="105"/>
          <w:sz w:val="13"/>
        </w:rPr>
        <w:t>The ACCS is an independent statutory body corporate established under section 52A of  the  </w:t>
      </w:r>
      <w:r>
        <w:rPr>
          <w:i/>
          <w:w w:val="105"/>
          <w:sz w:val="13"/>
        </w:rPr>
        <w:t>Accident  Compensation  Act  1985  </w:t>
      </w:r>
      <w:r>
        <w:rPr>
          <w:w w:val="105"/>
          <w:sz w:val="13"/>
        </w:rPr>
        <w:t>and continues in force under section </w:t>
      </w:r>
      <w:r>
        <w:rPr>
          <w:spacing w:val="-4"/>
          <w:w w:val="105"/>
          <w:sz w:val="13"/>
        </w:rPr>
        <w:t>519 </w:t>
      </w:r>
      <w:r>
        <w:rPr>
          <w:w w:val="105"/>
          <w:sz w:val="13"/>
        </w:rPr>
        <w:t>of the </w:t>
      </w:r>
      <w:r>
        <w:rPr>
          <w:i/>
          <w:w w:val="105"/>
          <w:sz w:val="13"/>
        </w:rPr>
        <w:t>Workplace Injury Rehabilitation and Compensation Act </w:t>
      </w:r>
      <w:r>
        <w:rPr>
          <w:i/>
          <w:spacing w:val="-3"/>
          <w:w w:val="105"/>
          <w:sz w:val="13"/>
        </w:rPr>
        <w:t>2013 </w:t>
      </w:r>
      <w:r>
        <w:rPr>
          <w:w w:val="105"/>
          <w:sz w:val="13"/>
        </w:rPr>
        <w:t>to provide conciliation services for worker’s compensation disputes in</w:t>
      </w:r>
      <w:r>
        <w:rPr>
          <w:spacing w:val="18"/>
          <w:w w:val="105"/>
          <w:sz w:val="13"/>
        </w:rPr>
        <w:t> </w:t>
      </w:r>
      <w:r>
        <w:rPr>
          <w:w w:val="105"/>
          <w:sz w:val="13"/>
        </w:rPr>
        <w:t>Victoria.</w:t>
      </w:r>
    </w:p>
    <w:p>
      <w:pPr>
        <w:pStyle w:val="ListParagraph"/>
        <w:numPr>
          <w:ilvl w:val="0"/>
          <w:numId w:val="203"/>
        </w:numPr>
        <w:tabs>
          <w:tab w:pos="2380" w:val="left" w:leader="none"/>
          <w:tab w:pos="2381" w:val="left" w:leader="none"/>
        </w:tabs>
        <w:spacing w:line="240" w:lineRule="auto" w:before="4" w:after="0"/>
        <w:ind w:left="2380" w:right="72" w:hanging="793"/>
        <w:jc w:val="left"/>
        <w:rPr>
          <w:sz w:val="13"/>
        </w:rPr>
      </w:pPr>
      <w:r>
        <w:rPr>
          <w:w w:val="105"/>
          <w:sz w:val="13"/>
        </w:rPr>
        <w:t>Accident Compensation Conciliation Service, </w:t>
      </w:r>
      <w:r>
        <w:rPr>
          <w:i/>
          <w:w w:val="105"/>
          <w:sz w:val="13"/>
        </w:rPr>
        <w:t>Guide to Conciliation—Video </w:t>
      </w:r>
      <w:r>
        <w:rPr>
          <w:w w:val="105"/>
          <w:sz w:val="13"/>
        </w:rPr>
        <w:t>(Web Page, 2013) &lt;</w:t>
      </w:r>
      <w:hyperlink r:id="rId356">
        <w:r>
          <w:rPr>
            <w:w w:val="105"/>
            <w:sz w:val="13"/>
          </w:rPr>
          <w:t>https://www.conciliation.vic.gov.au/about-</w:t>
        </w:r>
      </w:hyperlink>
      <w:hyperlink r:id="rId356">
        <w:r>
          <w:rPr>
            <w:w w:val="105"/>
            <w:sz w:val="13"/>
          </w:rPr>
          <w:t> us/preparing-for-conciliation</w:t>
        </w:r>
      </w:hyperlink>
      <w:r>
        <w:rPr>
          <w:w w:val="105"/>
          <w:sz w:val="13"/>
        </w:rPr>
        <w:t>&gt;.</w:t>
      </w:r>
    </w:p>
    <w:p>
      <w:pPr>
        <w:pStyle w:val="ListParagraph"/>
        <w:numPr>
          <w:ilvl w:val="0"/>
          <w:numId w:val="203"/>
        </w:numPr>
        <w:tabs>
          <w:tab w:pos="2380" w:val="left" w:leader="none"/>
          <w:tab w:pos="2381" w:val="left" w:leader="none"/>
        </w:tabs>
        <w:spacing w:line="240" w:lineRule="auto" w:before="2" w:after="0"/>
        <w:ind w:left="2380" w:right="644" w:hanging="793"/>
        <w:jc w:val="left"/>
        <w:rPr>
          <w:sz w:val="13"/>
        </w:rPr>
      </w:pPr>
      <w:r>
        <w:rPr>
          <w:w w:val="105"/>
          <w:sz w:val="13"/>
        </w:rPr>
        <w:t>Accident Compensation Conciliation Service, </w:t>
      </w:r>
      <w:r>
        <w:rPr>
          <w:i/>
          <w:w w:val="105"/>
          <w:sz w:val="13"/>
        </w:rPr>
        <w:t>Online Dispute Resolution </w:t>
      </w:r>
      <w:r>
        <w:rPr>
          <w:w w:val="105"/>
          <w:sz w:val="13"/>
        </w:rPr>
        <w:t>(Web Page, 2013) &lt;</w:t>
      </w:r>
      <w:hyperlink r:id="rId355">
        <w:r>
          <w:rPr>
            <w:w w:val="105"/>
            <w:sz w:val="13"/>
          </w:rPr>
          <w:t>https://www.conciliation.vic.gov.au/</w:t>
        </w:r>
      </w:hyperlink>
      <w:hyperlink r:id="rId355">
        <w:r>
          <w:rPr>
            <w:w w:val="105"/>
            <w:sz w:val="13"/>
          </w:rPr>
          <w:t> conciliation-process/conferences/online-dispute-resolution</w:t>
        </w:r>
      </w:hyperlink>
      <w:r>
        <w:rPr>
          <w:w w:val="105"/>
          <w:sz w:val="13"/>
        </w:rPr>
        <w:t>&gt;.</w:t>
      </w:r>
    </w:p>
    <w:p>
      <w:pPr>
        <w:pStyle w:val="ListParagraph"/>
        <w:numPr>
          <w:ilvl w:val="0"/>
          <w:numId w:val="203"/>
        </w:numPr>
        <w:tabs>
          <w:tab w:pos="2380" w:val="left" w:leader="none"/>
          <w:tab w:pos="2381" w:val="left" w:leader="none"/>
        </w:tabs>
        <w:spacing w:line="240" w:lineRule="auto" w:before="3" w:after="0"/>
        <w:ind w:left="2380" w:right="0" w:hanging="793"/>
        <w:jc w:val="left"/>
        <w:rPr>
          <w:sz w:val="13"/>
        </w:rPr>
      </w:pPr>
      <w:r>
        <w:rPr>
          <w:sz w:val="13"/>
        </w:rPr>
        <w:t>Ibid.</w:t>
      </w:r>
    </w:p>
    <w:p>
      <w:pPr>
        <w:pStyle w:val="ListParagraph"/>
        <w:numPr>
          <w:ilvl w:val="0"/>
          <w:numId w:val="203"/>
        </w:numPr>
        <w:tabs>
          <w:tab w:pos="2380" w:val="left" w:leader="none"/>
          <w:tab w:pos="2381" w:val="left" w:leader="none"/>
        </w:tabs>
        <w:spacing w:line="240" w:lineRule="auto" w:before="1" w:after="0"/>
        <w:ind w:left="2380" w:right="198" w:hanging="793"/>
        <w:jc w:val="left"/>
        <w:rPr>
          <w:sz w:val="13"/>
        </w:rPr>
      </w:pPr>
      <w:r>
        <w:rPr>
          <w:w w:val="105"/>
          <w:sz w:val="13"/>
        </w:rPr>
        <w:t>Now the Department of Justice and Community Safety. Victorian Civil and Administrative Tribunal, </w:t>
      </w:r>
      <w:r>
        <w:rPr>
          <w:i/>
          <w:w w:val="105"/>
          <w:sz w:val="13"/>
        </w:rPr>
        <w:t>Access to Justice Funding to Enhance </w:t>
      </w:r>
      <w:r>
        <w:rPr>
          <w:i/>
          <w:w w:val="105"/>
          <w:sz w:val="13"/>
        </w:rPr>
        <w:t>Services </w:t>
      </w:r>
      <w:r>
        <w:rPr>
          <w:w w:val="105"/>
          <w:sz w:val="13"/>
        </w:rPr>
        <w:t>(Web Page, 24 May 2017)</w:t>
      </w:r>
      <w:r>
        <w:rPr>
          <w:spacing w:val="11"/>
          <w:w w:val="105"/>
          <w:sz w:val="13"/>
        </w:rPr>
        <w:t> </w:t>
      </w:r>
      <w:r>
        <w:rPr>
          <w:w w:val="105"/>
          <w:sz w:val="13"/>
        </w:rPr>
        <w:t>&lt;https://</w:t>
      </w:r>
      <w:hyperlink r:id="rId357">
        <w:r>
          <w:rPr>
            <w:w w:val="105"/>
            <w:sz w:val="13"/>
          </w:rPr>
          <w:t>www.vcat.vic.gov.au/news/access-to-justice-funding-to-enhance-services</w:t>
        </w:r>
      </w:hyperlink>
      <w:r>
        <w:rPr>
          <w:w w:val="105"/>
          <w:sz w:val="13"/>
        </w:rPr>
        <w:t>&gt;.</w:t>
      </w:r>
    </w:p>
    <w:p>
      <w:pPr>
        <w:pStyle w:val="ListParagraph"/>
        <w:numPr>
          <w:ilvl w:val="0"/>
          <w:numId w:val="203"/>
        </w:numPr>
        <w:tabs>
          <w:tab w:pos="2380" w:val="left" w:leader="none"/>
          <w:tab w:pos="2381" w:val="left" w:leader="none"/>
        </w:tabs>
        <w:spacing w:line="240" w:lineRule="auto" w:before="3" w:after="0"/>
        <w:ind w:left="2380" w:right="0" w:hanging="793"/>
        <w:jc w:val="left"/>
        <w:rPr>
          <w:sz w:val="13"/>
        </w:rPr>
      </w:pPr>
      <w:r>
        <w:rPr>
          <w:w w:val="105"/>
          <w:sz w:val="13"/>
        </w:rPr>
        <w:t>Department</w:t>
      </w:r>
      <w:r>
        <w:rPr>
          <w:spacing w:val="5"/>
          <w:w w:val="105"/>
          <w:sz w:val="13"/>
        </w:rPr>
        <w:t> </w:t>
      </w:r>
      <w:r>
        <w:rPr>
          <w:w w:val="105"/>
          <w:sz w:val="13"/>
        </w:rPr>
        <w:t>of</w:t>
      </w:r>
      <w:r>
        <w:rPr>
          <w:spacing w:val="6"/>
          <w:w w:val="105"/>
          <w:sz w:val="13"/>
        </w:rPr>
        <w:t> </w:t>
      </w:r>
      <w:r>
        <w:rPr>
          <w:w w:val="105"/>
          <w:sz w:val="13"/>
        </w:rPr>
        <w:t>Justice</w:t>
      </w:r>
      <w:r>
        <w:rPr>
          <w:spacing w:val="5"/>
          <w:w w:val="105"/>
          <w:sz w:val="13"/>
        </w:rPr>
        <w:t> </w:t>
      </w:r>
      <w:r>
        <w:rPr>
          <w:w w:val="105"/>
          <w:sz w:val="13"/>
        </w:rPr>
        <w:t>and</w:t>
      </w:r>
      <w:r>
        <w:rPr>
          <w:spacing w:val="6"/>
          <w:w w:val="105"/>
          <w:sz w:val="13"/>
        </w:rPr>
        <w:t> </w:t>
      </w:r>
      <w:r>
        <w:rPr>
          <w:w w:val="105"/>
          <w:sz w:val="13"/>
        </w:rPr>
        <w:t>Regulation</w:t>
      </w:r>
      <w:r>
        <w:rPr>
          <w:spacing w:val="5"/>
          <w:w w:val="105"/>
          <w:sz w:val="13"/>
        </w:rPr>
        <w:t> </w:t>
      </w:r>
      <w:r>
        <w:rPr>
          <w:spacing w:val="2"/>
          <w:w w:val="105"/>
          <w:sz w:val="13"/>
        </w:rPr>
        <w:t>(Vic),</w:t>
      </w:r>
      <w:r>
        <w:rPr>
          <w:spacing w:val="6"/>
          <w:w w:val="105"/>
          <w:sz w:val="13"/>
        </w:rPr>
        <w:t> </w:t>
      </w:r>
      <w:r>
        <w:rPr>
          <w:i/>
          <w:w w:val="105"/>
          <w:sz w:val="13"/>
        </w:rPr>
        <w:t>Access</w:t>
      </w:r>
      <w:r>
        <w:rPr>
          <w:i/>
          <w:spacing w:val="5"/>
          <w:w w:val="105"/>
          <w:sz w:val="13"/>
        </w:rPr>
        <w:t> </w:t>
      </w:r>
      <w:r>
        <w:rPr>
          <w:i/>
          <w:w w:val="105"/>
          <w:sz w:val="13"/>
        </w:rPr>
        <w:t>to</w:t>
      </w:r>
      <w:r>
        <w:rPr>
          <w:i/>
          <w:spacing w:val="6"/>
          <w:w w:val="105"/>
          <w:sz w:val="13"/>
        </w:rPr>
        <w:t> </w:t>
      </w:r>
      <w:r>
        <w:rPr>
          <w:i/>
          <w:w w:val="105"/>
          <w:sz w:val="13"/>
        </w:rPr>
        <w:t>Justice</w:t>
      </w:r>
      <w:r>
        <w:rPr>
          <w:i/>
          <w:spacing w:val="6"/>
          <w:w w:val="105"/>
          <w:sz w:val="13"/>
        </w:rPr>
        <w:t> </w:t>
      </w:r>
      <w:r>
        <w:rPr>
          <w:i/>
          <w:w w:val="105"/>
          <w:sz w:val="13"/>
        </w:rPr>
        <w:t>Review</w:t>
      </w:r>
      <w:r>
        <w:rPr>
          <w:i/>
          <w:spacing w:val="5"/>
          <w:w w:val="105"/>
          <w:sz w:val="13"/>
        </w:rPr>
        <w:t> </w:t>
      </w:r>
      <w:r>
        <w:rPr>
          <w:i/>
          <w:spacing w:val="2"/>
          <w:w w:val="105"/>
          <w:sz w:val="13"/>
        </w:rPr>
        <w:t>Report</w:t>
      </w:r>
      <w:r>
        <w:rPr>
          <w:i/>
          <w:spacing w:val="6"/>
          <w:w w:val="105"/>
          <w:sz w:val="13"/>
        </w:rPr>
        <w:t> </w:t>
      </w:r>
      <w:r>
        <w:rPr>
          <w:i/>
          <w:w w:val="105"/>
          <w:sz w:val="13"/>
        </w:rPr>
        <w:t>and</w:t>
      </w:r>
      <w:r>
        <w:rPr>
          <w:i/>
          <w:spacing w:val="5"/>
          <w:w w:val="105"/>
          <w:sz w:val="13"/>
        </w:rPr>
        <w:t> </w:t>
      </w:r>
      <w:r>
        <w:rPr>
          <w:i/>
          <w:w w:val="105"/>
          <w:sz w:val="13"/>
        </w:rPr>
        <w:t>Recommendations</w:t>
      </w:r>
      <w:r>
        <w:rPr>
          <w:i/>
          <w:spacing w:val="7"/>
          <w:w w:val="105"/>
          <w:sz w:val="13"/>
        </w:rPr>
        <w:t> </w:t>
      </w:r>
      <w:r>
        <w:rPr>
          <w:w w:val="105"/>
          <w:sz w:val="13"/>
        </w:rPr>
        <w:t>(2016)</w:t>
      </w:r>
      <w:r>
        <w:rPr>
          <w:spacing w:val="5"/>
          <w:w w:val="105"/>
          <w:sz w:val="13"/>
        </w:rPr>
        <w:t> </w:t>
      </w:r>
      <w:r>
        <w:rPr>
          <w:w w:val="105"/>
          <w:sz w:val="13"/>
        </w:rPr>
        <w:t>vol</w:t>
      </w:r>
      <w:r>
        <w:rPr>
          <w:spacing w:val="6"/>
          <w:w w:val="105"/>
          <w:sz w:val="13"/>
        </w:rPr>
        <w:t> </w:t>
      </w:r>
      <w:r>
        <w:rPr>
          <w:spacing w:val="-3"/>
          <w:w w:val="105"/>
          <w:sz w:val="13"/>
        </w:rPr>
        <w:t>1,</w:t>
      </w:r>
      <w:r>
        <w:rPr>
          <w:spacing w:val="6"/>
          <w:w w:val="105"/>
          <w:sz w:val="13"/>
        </w:rPr>
        <w:t> </w:t>
      </w:r>
      <w:r>
        <w:rPr>
          <w:spacing w:val="-3"/>
          <w:w w:val="105"/>
          <w:sz w:val="13"/>
        </w:rPr>
        <w:t>277.</w:t>
      </w:r>
    </w:p>
    <w:p>
      <w:pPr>
        <w:pStyle w:val="ListParagraph"/>
        <w:numPr>
          <w:ilvl w:val="0"/>
          <w:numId w:val="203"/>
        </w:numPr>
        <w:tabs>
          <w:tab w:pos="2380" w:val="left" w:leader="none"/>
          <w:tab w:pos="2381" w:val="left" w:leader="none"/>
        </w:tabs>
        <w:spacing w:line="240" w:lineRule="auto" w:before="1" w:after="0"/>
        <w:ind w:left="2380" w:right="261" w:hanging="793"/>
        <w:jc w:val="left"/>
        <w:rPr>
          <w:sz w:val="13"/>
        </w:rPr>
      </w:pPr>
      <w:r>
        <w:rPr>
          <w:w w:val="105"/>
          <w:sz w:val="13"/>
        </w:rPr>
        <w:t>The pilot was funded by the then Department of Justice and Regulation and delivered on a recommendation from the Access to Justice Review.</w:t>
      </w:r>
    </w:p>
    <w:p>
      <w:pPr>
        <w:pStyle w:val="ListParagraph"/>
        <w:numPr>
          <w:ilvl w:val="0"/>
          <w:numId w:val="203"/>
        </w:numPr>
        <w:tabs>
          <w:tab w:pos="2380" w:val="left" w:leader="none"/>
          <w:tab w:pos="2382" w:val="left" w:leader="none"/>
        </w:tabs>
        <w:spacing w:line="240" w:lineRule="auto" w:before="3"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VCAT</w:t>
      </w:r>
      <w:r>
        <w:rPr>
          <w:spacing w:val="5"/>
          <w:w w:val="105"/>
          <w:sz w:val="13"/>
        </w:rPr>
        <w:t> </w:t>
      </w:r>
      <w:r>
        <w:rPr>
          <w:w w:val="105"/>
          <w:sz w:val="13"/>
        </w:rPr>
        <w:t>to</w:t>
      </w:r>
      <w:r>
        <w:rPr>
          <w:spacing w:val="5"/>
          <w:w w:val="105"/>
          <w:sz w:val="13"/>
        </w:rPr>
        <w:t> </w:t>
      </w:r>
      <w:r>
        <w:rPr>
          <w:w w:val="105"/>
          <w:sz w:val="13"/>
        </w:rPr>
        <w:t>the</w:t>
      </w:r>
      <w:r>
        <w:rPr>
          <w:spacing w:val="4"/>
          <w:w w:val="105"/>
          <w:sz w:val="13"/>
        </w:rPr>
        <w:t> </w:t>
      </w:r>
      <w:r>
        <w:rPr>
          <w:w w:val="105"/>
          <w:sz w:val="13"/>
        </w:rPr>
        <w:t>Commission,</w:t>
      </w:r>
      <w:r>
        <w:rPr>
          <w:spacing w:val="5"/>
          <w:w w:val="105"/>
          <w:sz w:val="13"/>
        </w:rPr>
        <w:t> </w:t>
      </w:r>
      <w:r>
        <w:rPr>
          <w:w w:val="105"/>
          <w:sz w:val="13"/>
        </w:rPr>
        <w:t>26</w:t>
      </w:r>
      <w:r>
        <w:rPr>
          <w:spacing w:val="5"/>
          <w:w w:val="105"/>
          <w:sz w:val="13"/>
        </w:rPr>
        <w:t> </w:t>
      </w:r>
      <w:r>
        <w:rPr>
          <w:w w:val="105"/>
          <w:sz w:val="13"/>
        </w:rPr>
        <w:t>March</w:t>
      </w:r>
      <w:r>
        <w:rPr>
          <w:spacing w:val="5"/>
          <w:w w:val="105"/>
          <w:sz w:val="13"/>
        </w:rPr>
        <w:t> </w:t>
      </w:r>
      <w:r>
        <w:rPr>
          <w:w w:val="105"/>
          <w:sz w:val="13"/>
        </w:rPr>
        <w:t>2019.</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27"/>
        <w:ind w:left="557" w:right="573" w:firstLine="0"/>
        <w:jc w:val="center"/>
        <w:rPr>
          <w:b/>
          <w:sz w:val="24"/>
        </w:rPr>
      </w:pPr>
      <w:r>
        <w:rPr>
          <w:b/>
          <w:color w:val="658464"/>
          <w:w w:val="110"/>
          <w:sz w:val="24"/>
        </w:rPr>
        <w:t>291</w:t>
      </w:r>
    </w:p>
    <w:p>
      <w:pPr>
        <w:spacing w:after="0"/>
        <w:jc w:val="center"/>
        <w:rPr>
          <w:sz w:val="24"/>
        </w:rPr>
        <w:sectPr>
          <w:type w:val="continuous"/>
          <w:pgSz w:w="11910" w:h="16840"/>
          <w:pgMar w:top="300" w:bottom="280" w:left="0" w:right="0"/>
          <w:cols w:num="2" w:equalWidth="0">
            <w:col w:w="10292" w:space="40"/>
            <w:col w:w="1578"/>
          </w:cols>
        </w:sectPr>
      </w:pPr>
    </w:p>
    <w:p>
      <w:pPr>
        <w:pStyle w:val="BodyText"/>
        <w:spacing w:before="9"/>
        <w:rPr>
          <w:b/>
          <w:sz w:val="22"/>
        </w:rPr>
      </w:pPr>
    </w:p>
    <w:p>
      <w:pPr>
        <w:pStyle w:val="BodyText"/>
        <w:spacing w:line="242" w:lineRule="auto" w:before="92"/>
        <w:ind w:left="2381" w:right="1636"/>
        <w:rPr>
          <w:sz w:val="12"/>
        </w:rPr>
      </w:pPr>
      <w:bookmarkStart w:name="_bookmark161" w:id="349"/>
      <w:bookmarkEnd w:id="349"/>
      <w:r>
        <w:rPr/>
      </w:r>
      <w:r>
        <w:rPr>
          <w:w w:val="105"/>
        </w:rPr>
        <w:t>settled </w:t>
      </w:r>
      <w:r>
        <w:rPr>
          <w:spacing w:val="-3"/>
          <w:w w:val="105"/>
        </w:rPr>
        <w:t>beforehand, demonstrating </w:t>
      </w:r>
      <w:r>
        <w:rPr>
          <w:w w:val="105"/>
        </w:rPr>
        <w:t>the </w:t>
      </w:r>
      <w:r>
        <w:rPr>
          <w:spacing w:val="-3"/>
          <w:w w:val="105"/>
        </w:rPr>
        <w:t>‘indirect result </w:t>
      </w:r>
      <w:r>
        <w:rPr>
          <w:w w:val="105"/>
        </w:rPr>
        <w:t>of </w:t>
      </w:r>
      <w:r>
        <w:rPr>
          <w:spacing w:val="-3"/>
          <w:w w:val="105"/>
        </w:rPr>
        <w:t>online dispute </w:t>
      </w:r>
      <w:r>
        <w:rPr>
          <w:w w:val="105"/>
        </w:rPr>
        <w:t>resolution case </w:t>
      </w:r>
      <w:r>
        <w:rPr>
          <w:spacing w:val="-5"/>
          <w:w w:val="105"/>
        </w:rPr>
        <w:t>management’.</w:t>
      </w:r>
      <w:r>
        <w:rPr>
          <w:spacing w:val="-5"/>
          <w:w w:val="105"/>
          <w:position w:val="7"/>
          <w:sz w:val="12"/>
        </w:rPr>
        <w:t>17 </w:t>
      </w:r>
      <w:r>
        <w:rPr>
          <w:w w:val="105"/>
        </w:rPr>
        <w:t>The ODR </w:t>
      </w:r>
      <w:r>
        <w:rPr>
          <w:spacing w:val="-3"/>
          <w:w w:val="105"/>
        </w:rPr>
        <w:t>pilot </w:t>
      </w:r>
      <w:r>
        <w:rPr>
          <w:w w:val="105"/>
        </w:rPr>
        <w:t>shows </w:t>
      </w:r>
      <w:r>
        <w:rPr>
          <w:spacing w:val="-4"/>
          <w:w w:val="105"/>
        </w:rPr>
        <w:t>‘exciting </w:t>
      </w:r>
      <w:r>
        <w:rPr>
          <w:spacing w:val="-3"/>
          <w:w w:val="105"/>
        </w:rPr>
        <w:t>potential </w:t>
      </w:r>
      <w:r>
        <w:rPr>
          <w:w w:val="105"/>
        </w:rPr>
        <w:t>benefits’ </w:t>
      </w:r>
      <w:r>
        <w:rPr>
          <w:spacing w:val="-3"/>
          <w:w w:val="105"/>
        </w:rPr>
        <w:t>for </w:t>
      </w:r>
      <w:r>
        <w:rPr>
          <w:w w:val="105"/>
        </w:rPr>
        <w:t>the Victorian </w:t>
      </w:r>
      <w:r>
        <w:rPr>
          <w:spacing w:val="-5"/>
          <w:w w:val="105"/>
        </w:rPr>
        <w:t>community.</w:t>
      </w:r>
      <w:r>
        <w:rPr>
          <w:spacing w:val="-5"/>
          <w:w w:val="105"/>
          <w:position w:val="7"/>
          <w:sz w:val="12"/>
        </w:rPr>
        <w:t>18</w:t>
      </w:r>
    </w:p>
    <w:p>
      <w:pPr>
        <w:pStyle w:val="ListParagraph"/>
        <w:numPr>
          <w:ilvl w:val="1"/>
          <w:numId w:val="16"/>
        </w:numPr>
        <w:tabs>
          <w:tab w:pos="2381" w:val="left" w:leader="none"/>
          <w:tab w:pos="2382" w:val="left" w:leader="none"/>
        </w:tabs>
        <w:spacing w:line="242" w:lineRule="auto" w:before="123" w:after="0"/>
        <w:ind w:left="2381" w:right="1742" w:hanging="794"/>
        <w:jc w:val="left"/>
        <w:rPr>
          <w:sz w:val="21"/>
        </w:rPr>
      </w:pPr>
      <w:r>
        <w:rPr>
          <w:spacing w:val="-5"/>
          <w:w w:val="105"/>
          <w:sz w:val="21"/>
        </w:rPr>
        <w:t>VCAT </w:t>
      </w:r>
      <w:r>
        <w:rPr>
          <w:w w:val="105"/>
          <w:sz w:val="21"/>
        </w:rPr>
        <w:t>explained </w:t>
      </w:r>
      <w:r>
        <w:rPr>
          <w:spacing w:val="-3"/>
          <w:w w:val="105"/>
          <w:sz w:val="21"/>
        </w:rPr>
        <w:t>that </w:t>
      </w:r>
      <w:r>
        <w:rPr>
          <w:w w:val="105"/>
          <w:sz w:val="21"/>
        </w:rPr>
        <w:t>ODR </w:t>
      </w:r>
      <w:r>
        <w:rPr>
          <w:spacing w:val="-3"/>
          <w:w w:val="105"/>
          <w:sz w:val="21"/>
        </w:rPr>
        <w:t>requires </w:t>
      </w:r>
      <w:r>
        <w:rPr>
          <w:spacing w:val="-5"/>
          <w:w w:val="105"/>
          <w:sz w:val="21"/>
        </w:rPr>
        <w:t>VCAT </w:t>
      </w:r>
      <w:r>
        <w:rPr>
          <w:w w:val="105"/>
          <w:sz w:val="21"/>
        </w:rPr>
        <w:t>members or the Registry </w:t>
      </w:r>
      <w:r>
        <w:rPr>
          <w:spacing w:val="-3"/>
          <w:w w:val="105"/>
          <w:sz w:val="21"/>
        </w:rPr>
        <w:t>to administer </w:t>
      </w:r>
      <w:r>
        <w:rPr>
          <w:w w:val="105"/>
          <w:sz w:val="21"/>
        </w:rPr>
        <w:t>the process</w:t>
      </w:r>
      <w:r>
        <w:rPr>
          <w:spacing w:val="-8"/>
          <w:w w:val="105"/>
          <w:sz w:val="21"/>
        </w:rPr>
        <w:t> </w:t>
      </w:r>
      <w:r>
        <w:rPr>
          <w:w w:val="105"/>
          <w:sz w:val="21"/>
        </w:rPr>
        <w:t>behind</w:t>
      </w:r>
      <w:r>
        <w:rPr>
          <w:spacing w:val="-8"/>
          <w:w w:val="105"/>
          <w:sz w:val="21"/>
        </w:rPr>
        <w:t> </w:t>
      </w:r>
      <w:r>
        <w:rPr>
          <w:w w:val="105"/>
          <w:sz w:val="21"/>
        </w:rPr>
        <w:t>the</w:t>
      </w:r>
      <w:r>
        <w:rPr>
          <w:spacing w:val="-8"/>
          <w:w w:val="105"/>
          <w:sz w:val="21"/>
        </w:rPr>
        <w:t> </w:t>
      </w:r>
      <w:r>
        <w:rPr>
          <w:spacing w:val="-3"/>
          <w:w w:val="105"/>
          <w:sz w:val="21"/>
        </w:rPr>
        <w:t>online</w:t>
      </w:r>
      <w:r>
        <w:rPr>
          <w:spacing w:val="-7"/>
          <w:w w:val="105"/>
          <w:sz w:val="21"/>
        </w:rPr>
        <w:t> </w:t>
      </w:r>
      <w:r>
        <w:rPr>
          <w:w w:val="105"/>
          <w:sz w:val="21"/>
        </w:rPr>
        <w:t>platform</w:t>
      </w:r>
      <w:r>
        <w:rPr>
          <w:spacing w:val="-8"/>
          <w:w w:val="105"/>
          <w:sz w:val="21"/>
        </w:rPr>
        <w:t> </w:t>
      </w:r>
      <w:r>
        <w:rPr>
          <w:spacing w:val="-3"/>
          <w:w w:val="105"/>
          <w:sz w:val="21"/>
        </w:rPr>
        <w:t>to</w:t>
      </w:r>
      <w:r>
        <w:rPr>
          <w:spacing w:val="-8"/>
          <w:w w:val="105"/>
          <w:sz w:val="21"/>
        </w:rPr>
        <w:t> </w:t>
      </w:r>
      <w:r>
        <w:rPr>
          <w:spacing w:val="-3"/>
          <w:w w:val="105"/>
          <w:sz w:val="21"/>
        </w:rPr>
        <w:t>ensure</w:t>
      </w:r>
      <w:r>
        <w:rPr>
          <w:spacing w:val="-7"/>
          <w:w w:val="105"/>
          <w:sz w:val="21"/>
        </w:rPr>
        <w:t> </w:t>
      </w:r>
      <w:r>
        <w:rPr>
          <w:w w:val="105"/>
          <w:sz w:val="21"/>
        </w:rPr>
        <w:t>parties</w:t>
      </w:r>
      <w:r>
        <w:rPr>
          <w:spacing w:val="-8"/>
          <w:w w:val="105"/>
          <w:sz w:val="21"/>
        </w:rPr>
        <w:t> </w:t>
      </w:r>
      <w:r>
        <w:rPr>
          <w:w w:val="105"/>
          <w:sz w:val="21"/>
        </w:rPr>
        <w:t>progress</w:t>
      </w:r>
      <w:r>
        <w:rPr>
          <w:spacing w:val="-8"/>
          <w:w w:val="105"/>
          <w:sz w:val="21"/>
        </w:rPr>
        <w:t> </w:t>
      </w:r>
      <w:r>
        <w:rPr>
          <w:spacing w:val="-3"/>
          <w:w w:val="105"/>
          <w:sz w:val="21"/>
        </w:rPr>
        <w:t>through</w:t>
      </w:r>
      <w:r>
        <w:rPr>
          <w:spacing w:val="-7"/>
          <w:w w:val="105"/>
          <w:sz w:val="21"/>
        </w:rPr>
        <w:t> </w:t>
      </w:r>
      <w:r>
        <w:rPr>
          <w:w w:val="105"/>
          <w:sz w:val="21"/>
        </w:rPr>
        <w:t>the</w:t>
      </w:r>
      <w:r>
        <w:rPr>
          <w:spacing w:val="-8"/>
          <w:w w:val="105"/>
          <w:sz w:val="21"/>
        </w:rPr>
        <w:t> </w:t>
      </w:r>
      <w:r>
        <w:rPr>
          <w:w w:val="105"/>
          <w:sz w:val="21"/>
        </w:rPr>
        <w:t>system.</w:t>
      </w:r>
      <w:r>
        <w:rPr>
          <w:spacing w:val="-8"/>
          <w:w w:val="105"/>
          <w:sz w:val="21"/>
        </w:rPr>
        <w:t> </w:t>
      </w:r>
      <w:r>
        <w:rPr>
          <w:spacing w:val="-5"/>
          <w:w w:val="105"/>
          <w:sz w:val="21"/>
        </w:rPr>
        <w:t>VCAT </w:t>
      </w:r>
      <w:r>
        <w:rPr>
          <w:spacing w:val="-3"/>
          <w:w w:val="105"/>
          <w:sz w:val="21"/>
        </w:rPr>
        <w:t>notes that establishing </w:t>
      </w:r>
      <w:r>
        <w:rPr>
          <w:w w:val="105"/>
          <w:sz w:val="21"/>
        </w:rPr>
        <w:t>ODR at the </w:t>
      </w:r>
      <w:r>
        <w:rPr>
          <w:spacing w:val="-5"/>
          <w:w w:val="105"/>
          <w:sz w:val="21"/>
        </w:rPr>
        <w:t>Tribunal </w:t>
      </w:r>
      <w:r>
        <w:rPr>
          <w:w w:val="105"/>
          <w:sz w:val="21"/>
        </w:rPr>
        <w:t>would </w:t>
      </w:r>
      <w:r>
        <w:rPr>
          <w:spacing w:val="-3"/>
          <w:w w:val="105"/>
          <w:sz w:val="21"/>
        </w:rPr>
        <w:t>require significant</w:t>
      </w:r>
      <w:r>
        <w:rPr>
          <w:spacing w:val="4"/>
          <w:w w:val="105"/>
          <w:sz w:val="21"/>
        </w:rPr>
        <w:t> </w:t>
      </w:r>
      <w:r>
        <w:rPr>
          <w:spacing w:val="-5"/>
          <w:w w:val="105"/>
          <w:sz w:val="21"/>
        </w:rPr>
        <w:t>resourcing.</w:t>
      </w:r>
      <w:r>
        <w:rPr>
          <w:spacing w:val="-5"/>
          <w:w w:val="105"/>
          <w:position w:val="7"/>
          <w:sz w:val="12"/>
        </w:rPr>
        <w:t>19</w:t>
      </w:r>
    </w:p>
    <w:p>
      <w:pPr>
        <w:pStyle w:val="ListParagraph"/>
        <w:numPr>
          <w:ilvl w:val="1"/>
          <w:numId w:val="16"/>
        </w:numPr>
        <w:tabs>
          <w:tab w:pos="2381" w:val="left" w:leader="none"/>
          <w:tab w:pos="2382" w:val="left" w:leader="none"/>
        </w:tabs>
        <w:spacing w:line="242" w:lineRule="auto" w:before="123" w:after="0"/>
        <w:ind w:left="2381" w:right="1744" w:hanging="794"/>
        <w:jc w:val="left"/>
        <w:rPr>
          <w:sz w:val="21"/>
        </w:rPr>
      </w:pPr>
      <w:r>
        <w:rPr>
          <w:sz w:val="21"/>
        </w:rPr>
        <w:t>One of the most </w:t>
      </w:r>
      <w:r>
        <w:rPr>
          <w:spacing w:val="-3"/>
          <w:sz w:val="21"/>
        </w:rPr>
        <w:t>successful </w:t>
      </w:r>
      <w:r>
        <w:rPr>
          <w:sz w:val="21"/>
        </w:rPr>
        <w:t>examples of ODR is the </w:t>
      </w:r>
      <w:r>
        <w:rPr>
          <w:spacing w:val="-3"/>
          <w:sz w:val="21"/>
        </w:rPr>
        <w:t>Civil  </w:t>
      </w:r>
      <w:r>
        <w:rPr>
          <w:sz w:val="21"/>
        </w:rPr>
        <w:t>Resolution  </w:t>
      </w:r>
      <w:r>
        <w:rPr>
          <w:spacing w:val="-5"/>
          <w:sz w:val="21"/>
        </w:rPr>
        <w:t>Tribunal  </w:t>
      </w:r>
      <w:r>
        <w:rPr>
          <w:sz w:val="21"/>
        </w:rPr>
        <w:t>(CRT)  in </w:t>
      </w:r>
      <w:r>
        <w:rPr>
          <w:spacing w:val="-3"/>
          <w:sz w:val="21"/>
        </w:rPr>
        <w:t>British </w:t>
      </w:r>
      <w:r>
        <w:rPr>
          <w:spacing w:val="-4"/>
          <w:sz w:val="21"/>
        </w:rPr>
        <w:t>Columbia, Canada, </w:t>
      </w:r>
      <w:r>
        <w:rPr>
          <w:sz w:val="21"/>
        </w:rPr>
        <w:t>which deals with matters </w:t>
      </w:r>
      <w:r>
        <w:rPr>
          <w:spacing w:val="-3"/>
          <w:sz w:val="21"/>
        </w:rPr>
        <w:t>including </w:t>
      </w:r>
      <w:r>
        <w:rPr>
          <w:sz w:val="21"/>
        </w:rPr>
        <w:t>debts, personal property </w:t>
      </w:r>
      <w:r>
        <w:rPr>
          <w:spacing w:val="-3"/>
          <w:sz w:val="21"/>
        </w:rPr>
        <w:t>disputes, </w:t>
      </w:r>
      <w:r>
        <w:rPr>
          <w:sz w:val="21"/>
        </w:rPr>
        <w:t>strata title </w:t>
      </w:r>
      <w:r>
        <w:rPr>
          <w:spacing w:val="-3"/>
          <w:sz w:val="21"/>
        </w:rPr>
        <w:t>disputes, </w:t>
      </w:r>
      <w:r>
        <w:rPr>
          <w:sz w:val="21"/>
        </w:rPr>
        <w:t>and some personal injury disputes.</w:t>
      </w:r>
      <w:r>
        <w:rPr>
          <w:position w:val="7"/>
          <w:sz w:val="12"/>
        </w:rPr>
        <w:t>20 </w:t>
      </w:r>
      <w:r>
        <w:rPr>
          <w:sz w:val="21"/>
        </w:rPr>
        <w:t>The </w:t>
      </w:r>
      <w:r>
        <w:rPr>
          <w:spacing w:val="-4"/>
          <w:sz w:val="21"/>
        </w:rPr>
        <w:t>CRT </w:t>
      </w:r>
      <w:r>
        <w:rPr>
          <w:sz w:val="21"/>
        </w:rPr>
        <w:t>uses a </w:t>
      </w:r>
      <w:r>
        <w:rPr>
          <w:spacing w:val="-3"/>
          <w:sz w:val="21"/>
        </w:rPr>
        <w:t>cumulative </w:t>
      </w:r>
      <w:r>
        <w:rPr>
          <w:sz w:val="21"/>
        </w:rPr>
        <w:t>model of ODR, </w:t>
      </w:r>
      <w:r>
        <w:rPr>
          <w:spacing w:val="-3"/>
          <w:sz w:val="21"/>
        </w:rPr>
        <w:t>offering different levels </w:t>
      </w:r>
      <w:r>
        <w:rPr>
          <w:sz w:val="21"/>
        </w:rPr>
        <w:t>of support if </w:t>
      </w:r>
      <w:r>
        <w:rPr>
          <w:spacing w:val="-3"/>
          <w:sz w:val="21"/>
        </w:rPr>
        <w:t>disputes cannot </w:t>
      </w:r>
      <w:r>
        <w:rPr>
          <w:sz w:val="21"/>
        </w:rPr>
        <w:t>be resolved.</w:t>
      </w:r>
      <w:r>
        <w:rPr>
          <w:position w:val="7"/>
          <w:sz w:val="12"/>
        </w:rPr>
        <w:t>21 </w:t>
      </w:r>
      <w:r>
        <w:rPr>
          <w:sz w:val="21"/>
        </w:rPr>
        <w:t>This </w:t>
      </w:r>
      <w:r>
        <w:rPr>
          <w:spacing w:val="-3"/>
          <w:sz w:val="21"/>
        </w:rPr>
        <w:t>program </w:t>
      </w:r>
      <w:r>
        <w:rPr>
          <w:spacing w:val="-2"/>
          <w:sz w:val="21"/>
        </w:rPr>
        <w:t>has </w:t>
      </w:r>
      <w:r>
        <w:rPr>
          <w:sz w:val="21"/>
        </w:rPr>
        <w:t>been </w:t>
      </w:r>
      <w:r>
        <w:rPr>
          <w:spacing w:val="-3"/>
          <w:sz w:val="21"/>
        </w:rPr>
        <w:t>successful </w:t>
      </w:r>
      <w:r>
        <w:rPr>
          <w:sz w:val="21"/>
        </w:rPr>
        <w:t>because of the </w:t>
      </w:r>
      <w:r>
        <w:rPr>
          <w:spacing w:val="-3"/>
          <w:sz w:val="21"/>
        </w:rPr>
        <w:t>user-friendly nature </w:t>
      </w:r>
      <w:r>
        <w:rPr>
          <w:sz w:val="21"/>
        </w:rPr>
        <w:t>of </w:t>
      </w:r>
      <w:r>
        <w:rPr>
          <w:spacing w:val="-5"/>
          <w:sz w:val="21"/>
        </w:rPr>
        <w:t>CRT’s </w:t>
      </w:r>
      <w:r>
        <w:rPr>
          <w:spacing w:val="-3"/>
          <w:sz w:val="21"/>
        </w:rPr>
        <w:t>online </w:t>
      </w:r>
      <w:r>
        <w:rPr>
          <w:sz w:val="21"/>
        </w:rPr>
        <w:t>services and the </w:t>
      </w:r>
      <w:r>
        <w:rPr>
          <w:spacing w:val="-3"/>
          <w:sz w:val="21"/>
        </w:rPr>
        <w:t>professionalism </w:t>
      </w:r>
      <w:r>
        <w:rPr>
          <w:sz w:val="21"/>
        </w:rPr>
        <w:t>of </w:t>
      </w:r>
      <w:r>
        <w:rPr>
          <w:spacing w:val="-4"/>
          <w:sz w:val="21"/>
        </w:rPr>
        <w:t>CRT </w:t>
      </w:r>
      <w:r>
        <w:rPr>
          <w:sz w:val="21"/>
        </w:rPr>
        <w:t>staff </w:t>
      </w:r>
      <w:r>
        <w:rPr>
          <w:spacing w:val="-3"/>
          <w:sz w:val="21"/>
        </w:rPr>
        <w:t>to </w:t>
      </w:r>
      <w:r>
        <w:rPr>
          <w:sz w:val="21"/>
        </w:rPr>
        <w:t>assist with </w:t>
      </w:r>
      <w:r>
        <w:rPr>
          <w:spacing w:val="-3"/>
          <w:sz w:val="21"/>
        </w:rPr>
        <w:t>dispute</w:t>
      </w:r>
      <w:r>
        <w:rPr>
          <w:spacing w:val="-1"/>
          <w:sz w:val="21"/>
        </w:rPr>
        <w:t> </w:t>
      </w:r>
      <w:r>
        <w:rPr>
          <w:spacing w:val="-3"/>
          <w:sz w:val="21"/>
        </w:rPr>
        <w:t>resolution.</w:t>
      </w:r>
    </w:p>
    <w:p>
      <w:pPr>
        <w:pStyle w:val="BodyText"/>
        <w:spacing w:before="7"/>
        <w:rPr>
          <w:sz w:val="20"/>
        </w:rPr>
      </w:pPr>
    </w:p>
    <w:p>
      <w:pPr>
        <w:pStyle w:val="Heading5"/>
      </w:pPr>
      <w:r>
        <w:rPr>
          <w:w w:val="115"/>
        </w:rPr>
        <w:t>Community responses—online dispute resolution</w:t>
      </w:r>
    </w:p>
    <w:p>
      <w:pPr>
        <w:pStyle w:val="ListParagraph"/>
        <w:numPr>
          <w:ilvl w:val="1"/>
          <w:numId w:val="16"/>
        </w:numPr>
        <w:tabs>
          <w:tab w:pos="2381" w:val="left" w:leader="none"/>
          <w:tab w:pos="2382" w:val="left" w:leader="none"/>
        </w:tabs>
        <w:spacing w:line="242" w:lineRule="auto" w:before="138" w:after="0"/>
        <w:ind w:left="2381" w:right="1598" w:hanging="794"/>
        <w:jc w:val="left"/>
        <w:rPr>
          <w:sz w:val="21"/>
        </w:rPr>
      </w:pPr>
      <w:r>
        <w:rPr>
          <w:w w:val="105"/>
          <w:sz w:val="21"/>
        </w:rPr>
        <w:t>The </w:t>
      </w:r>
      <w:r>
        <w:rPr>
          <w:spacing w:val="-3"/>
          <w:w w:val="105"/>
          <w:sz w:val="21"/>
        </w:rPr>
        <w:t>consultation </w:t>
      </w:r>
      <w:r>
        <w:rPr>
          <w:w w:val="105"/>
          <w:sz w:val="21"/>
        </w:rPr>
        <w:t>paper </w:t>
      </w:r>
      <w:r>
        <w:rPr>
          <w:spacing w:val="-3"/>
          <w:w w:val="105"/>
          <w:sz w:val="21"/>
        </w:rPr>
        <w:t>asked </w:t>
      </w:r>
      <w:r>
        <w:rPr>
          <w:w w:val="105"/>
          <w:sz w:val="21"/>
        </w:rPr>
        <w:t>the community whether an </w:t>
      </w:r>
      <w:r>
        <w:rPr>
          <w:spacing w:val="-3"/>
          <w:w w:val="105"/>
          <w:sz w:val="21"/>
        </w:rPr>
        <w:t>online dispute </w:t>
      </w:r>
      <w:r>
        <w:rPr>
          <w:w w:val="105"/>
          <w:sz w:val="21"/>
        </w:rPr>
        <w:t>resolution platform</w:t>
      </w:r>
      <w:r>
        <w:rPr>
          <w:spacing w:val="-10"/>
          <w:w w:val="105"/>
          <w:sz w:val="21"/>
        </w:rPr>
        <w:t> </w:t>
      </w:r>
      <w:r>
        <w:rPr>
          <w:w w:val="105"/>
          <w:sz w:val="21"/>
        </w:rPr>
        <w:t>dedicated</w:t>
      </w:r>
      <w:r>
        <w:rPr>
          <w:spacing w:val="-9"/>
          <w:w w:val="105"/>
          <w:sz w:val="21"/>
        </w:rPr>
        <w:t> </w:t>
      </w:r>
      <w:r>
        <w:rPr>
          <w:spacing w:val="-3"/>
          <w:w w:val="105"/>
          <w:sz w:val="21"/>
        </w:rPr>
        <w:t>to</w:t>
      </w:r>
      <w:r>
        <w:rPr>
          <w:spacing w:val="-9"/>
          <w:w w:val="105"/>
          <w:sz w:val="21"/>
        </w:rPr>
        <w:t> </w:t>
      </w:r>
      <w:r>
        <w:rPr>
          <w:w w:val="105"/>
          <w:sz w:val="21"/>
        </w:rPr>
        <w:t>neighbourhood</w:t>
      </w:r>
      <w:r>
        <w:rPr>
          <w:spacing w:val="-10"/>
          <w:w w:val="105"/>
          <w:sz w:val="21"/>
        </w:rPr>
        <w:t> </w:t>
      </w:r>
      <w:r>
        <w:rPr>
          <w:w w:val="105"/>
          <w:sz w:val="21"/>
        </w:rPr>
        <w:t>tree</w:t>
      </w:r>
      <w:r>
        <w:rPr>
          <w:spacing w:val="-9"/>
          <w:w w:val="105"/>
          <w:sz w:val="21"/>
        </w:rPr>
        <w:t> </w:t>
      </w:r>
      <w:r>
        <w:rPr>
          <w:spacing w:val="-3"/>
          <w:w w:val="105"/>
          <w:sz w:val="21"/>
        </w:rPr>
        <w:t>disputes</w:t>
      </w:r>
      <w:r>
        <w:rPr>
          <w:spacing w:val="-9"/>
          <w:w w:val="105"/>
          <w:sz w:val="21"/>
        </w:rPr>
        <w:t> </w:t>
      </w:r>
      <w:r>
        <w:rPr>
          <w:w w:val="105"/>
          <w:sz w:val="21"/>
        </w:rPr>
        <w:t>should</w:t>
      </w:r>
      <w:r>
        <w:rPr>
          <w:spacing w:val="-9"/>
          <w:w w:val="105"/>
          <w:sz w:val="21"/>
        </w:rPr>
        <w:t> </w:t>
      </w:r>
      <w:r>
        <w:rPr>
          <w:w w:val="105"/>
          <w:sz w:val="21"/>
        </w:rPr>
        <w:t>be</w:t>
      </w:r>
      <w:r>
        <w:rPr>
          <w:spacing w:val="-10"/>
          <w:w w:val="105"/>
          <w:sz w:val="21"/>
        </w:rPr>
        <w:t> </w:t>
      </w:r>
      <w:r>
        <w:rPr>
          <w:spacing w:val="-3"/>
          <w:w w:val="105"/>
          <w:sz w:val="21"/>
        </w:rPr>
        <w:t>introduced</w:t>
      </w:r>
      <w:r>
        <w:rPr>
          <w:spacing w:val="-9"/>
          <w:w w:val="105"/>
          <w:sz w:val="21"/>
        </w:rPr>
        <w:t> </w:t>
      </w:r>
      <w:r>
        <w:rPr>
          <w:w w:val="105"/>
          <w:sz w:val="21"/>
        </w:rPr>
        <w:t>in</w:t>
      </w:r>
      <w:r>
        <w:rPr>
          <w:spacing w:val="-9"/>
          <w:w w:val="105"/>
          <w:sz w:val="21"/>
        </w:rPr>
        <w:t> </w:t>
      </w:r>
      <w:r>
        <w:rPr>
          <w:w w:val="105"/>
          <w:sz w:val="21"/>
        </w:rPr>
        <w:t>Victoria.</w:t>
      </w:r>
      <w:r>
        <w:rPr>
          <w:spacing w:val="-10"/>
          <w:w w:val="105"/>
          <w:sz w:val="21"/>
        </w:rPr>
        <w:t> </w:t>
      </w:r>
      <w:r>
        <w:rPr>
          <w:w w:val="105"/>
          <w:sz w:val="21"/>
        </w:rPr>
        <w:t>If</w:t>
      </w:r>
      <w:r>
        <w:rPr>
          <w:spacing w:val="-9"/>
          <w:w w:val="105"/>
          <w:sz w:val="21"/>
        </w:rPr>
        <w:t> </w:t>
      </w:r>
      <w:r>
        <w:rPr>
          <w:spacing w:val="-3"/>
          <w:w w:val="105"/>
          <w:sz w:val="21"/>
        </w:rPr>
        <w:t>so, </w:t>
      </w:r>
      <w:r>
        <w:rPr>
          <w:w w:val="105"/>
          <w:sz w:val="21"/>
        </w:rPr>
        <w:t>community</w:t>
      </w:r>
      <w:r>
        <w:rPr>
          <w:spacing w:val="-6"/>
          <w:w w:val="105"/>
          <w:sz w:val="21"/>
        </w:rPr>
        <w:t> </w:t>
      </w:r>
      <w:r>
        <w:rPr>
          <w:w w:val="105"/>
          <w:sz w:val="21"/>
        </w:rPr>
        <w:t>members</w:t>
      </w:r>
      <w:r>
        <w:rPr>
          <w:spacing w:val="-6"/>
          <w:w w:val="105"/>
          <w:sz w:val="21"/>
        </w:rPr>
        <w:t> </w:t>
      </w:r>
      <w:r>
        <w:rPr>
          <w:spacing w:val="-3"/>
          <w:w w:val="105"/>
          <w:sz w:val="21"/>
        </w:rPr>
        <w:t>were</w:t>
      </w:r>
      <w:r>
        <w:rPr>
          <w:spacing w:val="-5"/>
          <w:w w:val="105"/>
          <w:sz w:val="21"/>
        </w:rPr>
        <w:t> </w:t>
      </w:r>
      <w:r>
        <w:rPr>
          <w:spacing w:val="-3"/>
          <w:w w:val="105"/>
          <w:sz w:val="21"/>
        </w:rPr>
        <w:t>asked</w:t>
      </w:r>
      <w:r>
        <w:rPr>
          <w:spacing w:val="-6"/>
          <w:w w:val="105"/>
          <w:sz w:val="21"/>
        </w:rPr>
        <w:t> </w:t>
      </w:r>
      <w:r>
        <w:rPr>
          <w:spacing w:val="-3"/>
          <w:w w:val="105"/>
          <w:sz w:val="21"/>
        </w:rPr>
        <w:t>to</w:t>
      </w:r>
      <w:r>
        <w:rPr>
          <w:spacing w:val="-5"/>
          <w:w w:val="105"/>
          <w:sz w:val="21"/>
        </w:rPr>
        <w:t> </w:t>
      </w:r>
      <w:r>
        <w:rPr>
          <w:spacing w:val="-3"/>
          <w:w w:val="105"/>
          <w:sz w:val="21"/>
        </w:rPr>
        <w:t>comment</w:t>
      </w:r>
      <w:r>
        <w:rPr>
          <w:spacing w:val="-6"/>
          <w:w w:val="105"/>
          <w:sz w:val="21"/>
        </w:rPr>
        <w:t> </w:t>
      </w:r>
      <w:r>
        <w:rPr>
          <w:w w:val="105"/>
          <w:sz w:val="21"/>
        </w:rPr>
        <w:t>on</w:t>
      </w:r>
      <w:r>
        <w:rPr>
          <w:spacing w:val="-5"/>
          <w:w w:val="105"/>
          <w:sz w:val="21"/>
        </w:rPr>
        <w:t> </w:t>
      </w:r>
      <w:r>
        <w:rPr>
          <w:w w:val="105"/>
          <w:sz w:val="21"/>
        </w:rPr>
        <w:t>what</w:t>
      </w:r>
      <w:r>
        <w:rPr>
          <w:spacing w:val="-6"/>
          <w:w w:val="105"/>
          <w:sz w:val="21"/>
        </w:rPr>
        <w:t> </w:t>
      </w:r>
      <w:r>
        <w:rPr>
          <w:w w:val="105"/>
          <w:sz w:val="21"/>
        </w:rPr>
        <w:t>tools</w:t>
      </w:r>
      <w:r>
        <w:rPr>
          <w:spacing w:val="-5"/>
          <w:w w:val="105"/>
          <w:sz w:val="21"/>
        </w:rPr>
        <w:t> </w:t>
      </w:r>
      <w:r>
        <w:rPr>
          <w:w w:val="105"/>
          <w:sz w:val="21"/>
        </w:rPr>
        <w:t>should</w:t>
      </w:r>
      <w:r>
        <w:rPr>
          <w:spacing w:val="-6"/>
          <w:w w:val="105"/>
          <w:sz w:val="21"/>
        </w:rPr>
        <w:t> </w:t>
      </w:r>
      <w:r>
        <w:rPr>
          <w:w w:val="105"/>
          <w:sz w:val="21"/>
        </w:rPr>
        <w:t>be</w:t>
      </w:r>
      <w:r>
        <w:rPr>
          <w:spacing w:val="-5"/>
          <w:w w:val="105"/>
          <w:sz w:val="21"/>
        </w:rPr>
        <w:t> </w:t>
      </w:r>
      <w:r>
        <w:rPr>
          <w:w w:val="105"/>
          <w:sz w:val="21"/>
        </w:rPr>
        <w:t>made</w:t>
      </w:r>
      <w:r>
        <w:rPr>
          <w:spacing w:val="-6"/>
          <w:w w:val="105"/>
          <w:sz w:val="21"/>
        </w:rPr>
        <w:t> </w:t>
      </w:r>
      <w:r>
        <w:rPr>
          <w:spacing w:val="-3"/>
          <w:w w:val="105"/>
          <w:sz w:val="21"/>
        </w:rPr>
        <w:t>available</w:t>
      </w:r>
      <w:r>
        <w:rPr>
          <w:spacing w:val="-5"/>
          <w:w w:val="105"/>
          <w:sz w:val="21"/>
        </w:rPr>
        <w:t> </w:t>
      </w:r>
      <w:r>
        <w:rPr>
          <w:w w:val="105"/>
          <w:sz w:val="21"/>
        </w:rPr>
        <w:t>on this platform and who should </w:t>
      </w:r>
      <w:r>
        <w:rPr>
          <w:spacing w:val="-3"/>
          <w:w w:val="105"/>
          <w:sz w:val="21"/>
        </w:rPr>
        <w:t>administer</w:t>
      </w:r>
      <w:r>
        <w:rPr>
          <w:spacing w:val="26"/>
          <w:w w:val="105"/>
          <w:sz w:val="21"/>
        </w:rPr>
        <w:t> </w:t>
      </w:r>
      <w:r>
        <w:rPr>
          <w:w w:val="105"/>
          <w:sz w:val="21"/>
        </w:rPr>
        <w:t>it.</w:t>
      </w:r>
    </w:p>
    <w:p>
      <w:pPr>
        <w:pStyle w:val="ListParagraph"/>
        <w:numPr>
          <w:ilvl w:val="1"/>
          <w:numId w:val="16"/>
        </w:numPr>
        <w:tabs>
          <w:tab w:pos="2381" w:val="left" w:leader="none"/>
          <w:tab w:pos="2382" w:val="left" w:leader="none"/>
        </w:tabs>
        <w:spacing w:line="242" w:lineRule="auto" w:before="124" w:after="0"/>
        <w:ind w:left="2381" w:right="1700" w:hanging="794"/>
        <w:jc w:val="left"/>
        <w:rPr>
          <w:sz w:val="21"/>
        </w:rPr>
      </w:pPr>
      <w:r>
        <w:rPr>
          <w:w w:val="105"/>
          <w:sz w:val="21"/>
        </w:rPr>
        <w:t>A</w:t>
      </w:r>
      <w:r>
        <w:rPr>
          <w:spacing w:val="-10"/>
          <w:w w:val="105"/>
          <w:sz w:val="21"/>
        </w:rPr>
        <w:t> </w:t>
      </w:r>
      <w:r>
        <w:rPr>
          <w:w w:val="105"/>
          <w:sz w:val="21"/>
        </w:rPr>
        <w:t>large</w:t>
      </w:r>
      <w:r>
        <w:rPr>
          <w:spacing w:val="-10"/>
          <w:w w:val="105"/>
          <w:sz w:val="21"/>
        </w:rPr>
        <w:t> </w:t>
      </w:r>
      <w:r>
        <w:rPr>
          <w:w w:val="105"/>
          <w:sz w:val="21"/>
        </w:rPr>
        <w:t>number</w:t>
      </w:r>
      <w:r>
        <w:rPr>
          <w:spacing w:val="-10"/>
          <w:w w:val="105"/>
          <w:sz w:val="21"/>
        </w:rPr>
        <w:t> </w:t>
      </w:r>
      <w:r>
        <w:rPr>
          <w:w w:val="105"/>
          <w:sz w:val="21"/>
        </w:rPr>
        <w:t>of</w:t>
      </w:r>
      <w:r>
        <w:rPr>
          <w:spacing w:val="-10"/>
          <w:w w:val="105"/>
          <w:sz w:val="21"/>
        </w:rPr>
        <w:t> </w:t>
      </w:r>
      <w:r>
        <w:rPr>
          <w:w w:val="105"/>
          <w:sz w:val="21"/>
        </w:rPr>
        <w:t>responses</w:t>
      </w:r>
      <w:r>
        <w:rPr>
          <w:spacing w:val="-10"/>
          <w:w w:val="105"/>
          <w:sz w:val="21"/>
        </w:rPr>
        <w:t> </w:t>
      </w:r>
      <w:r>
        <w:rPr>
          <w:spacing w:val="-3"/>
          <w:w w:val="105"/>
          <w:sz w:val="21"/>
        </w:rPr>
        <w:t>were</w:t>
      </w:r>
      <w:r>
        <w:rPr>
          <w:spacing w:val="-9"/>
          <w:w w:val="105"/>
          <w:sz w:val="21"/>
        </w:rPr>
        <w:t> </w:t>
      </w:r>
      <w:r>
        <w:rPr>
          <w:w w:val="105"/>
          <w:sz w:val="21"/>
        </w:rPr>
        <w:t>received</w:t>
      </w:r>
      <w:r>
        <w:rPr>
          <w:spacing w:val="-10"/>
          <w:w w:val="105"/>
          <w:sz w:val="21"/>
        </w:rPr>
        <w:t> </w:t>
      </w:r>
      <w:r>
        <w:rPr>
          <w:w w:val="105"/>
          <w:sz w:val="21"/>
        </w:rPr>
        <w:t>on</w:t>
      </w:r>
      <w:r>
        <w:rPr>
          <w:spacing w:val="-10"/>
          <w:w w:val="105"/>
          <w:sz w:val="21"/>
        </w:rPr>
        <w:t> </w:t>
      </w:r>
      <w:r>
        <w:rPr>
          <w:w w:val="105"/>
          <w:sz w:val="21"/>
        </w:rPr>
        <w:t>this</w:t>
      </w:r>
      <w:r>
        <w:rPr>
          <w:spacing w:val="-10"/>
          <w:w w:val="105"/>
          <w:sz w:val="21"/>
        </w:rPr>
        <w:t> </w:t>
      </w:r>
      <w:r>
        <w:rPr>
          <w:spacing w:val="-3"/>
          <w:w w:val="105"/>
          <w:sz w:val="21"/>
        </w:rPr>
        <w:t>issue,</w:t>
      </w:r>
      <w:r>
        <w:rPr>
          <w:spacing w:val="-10"/>
          <w:w w:val="105"/>
          <w:sz w:val="21"/>
        </w:rPr>
        <w:t> </w:t>
      </w:r>
      <w:r>
        <w:rPr>
          <w:w w:val="105"/>
          <w:sz w:val="21"/>
        </w:rPr>
        <w:t>with</w:t>
      </w:r>
      <w:r>
        <w:rPr>
          <w:spacing w:val="-9"/>
          <w:w w:val="105"/>
          <w:sz w:val="21"/>
        </w:rPr>
        <w:t> </w:t>
      </w:r>
      <w:r>
        <w:rPr>
          <w:w w:val="105"/>
          <w:sz w:val="21"/>
        </w:rPr>
        <w:t>most</w:t>
      </w:r>
      <w:r>
        <w:rPr>
          <w:spacing w:val="-10"/>
          <w:w w:val="105"/>
          <w:sz w:val="21"/>
        </w:rPr>
        <w:t> </w:t>
      </w:r>
      <w:r>
        <w:rPr>
          <w:w w:val="105"/>
          <w:sz w:val="21"/>
        </w:rPr>
        <w:t>people</w:t>
      </w:r>
      <w:r>
        <w:rPr>
          <w:spacing w:val="-10"/>
          <w:w w:val="105"/>
          <w:sz w:val="21"/>
        </w:rPr>
        <w:t> </w:t>
      </w:r>
      <w:r>
        <w:rPr>
          <w:w w:val="105"/>
          <w:sz w:val="21"/>
        </w:rPr>
        <w:t>supportive</w:t>
      </w:r>
      <w:r>
        <w:rPr>
          <w:spacing w:val="-10"/>
          <w:w w:val="105"/>
          <w:sz w:val="21"/>
        </w:rPr>
        <w:t> </w:t>
      </w:r>
      <w:r>
        <w:rPr>
          <w:w w:val="105"/>
          <w:sz w:val="21"/>
        </w:rPr>
        <w:t>of </w:t>
      </w:r>
      <w:r>
        <w:rPr>
          <w:spacing w:val="-3"/>
          <w:w w:val="105"/>
          <w:sz w:val="21"/>
        </w:rPr>
        <w:t>introducing </w:t>
      </w:r>
      <w:r>
        <w:rPr>
          <w:w w:val="105"/>
          <w:sz w:val="21"/>
        </w:rPr>
        <w:t>an ODR platform in Victoria </w:t>
      </w:r>
      <w:r>
        <w:rPr>
          <w:spacing w:val="-3"/>
          <w:w w:val="105"/>
          <w:sz w:val="21"/>
        </w:rPr>
        <w:t>to </w:t>
      </w:r>
      <w:r>
        <w:rPr>
          <w:w w:val="105"/>
          <w:sz w:val="21"/>
        </w:rPr>
        <w:t>help resolve neighbourhood tree disputes.</w:t>
      </w:r>
      <w:r>
        <w:rPr>
          <w:w w:val="105"/>
          <w:position w:val="7"/>
          <w:sz w:val="12"/>
        </w:rPr>
        <w:t>22</w:t>
      </w:r>
      <w:r>
        <w:rPr>
          <w:w w:val="105"/>
          <w:sz w:val="12"/>
        </w:rPr>
        <w:t> </w:t>
      </w:r>
      <w:r>
        <w:rPr>
          <w:w w:val="105"/>
          <w:sz w:val="21"/>
        </w:rPr>
        <w:t>Some</w:t>
      </w:r>
      <w:r>
        <w:rPr>
          <w:spacing w:val="-13"/>
          <w:w w:val="105"/>
          <w:sz w:val="21"/>
        </w:rPr>
        <w:t> </w:t>
      </w:r>
      <w:r>
        <w:rPr>
          <w:w w:val="105"/>
          <w:sz w:val="21"/>
        </w:rPr>
        <w:t>community</w:t>
      </w:r>
      <w:r>
        <w:rPr>
          <w:spacing w:val="-13"/>
          <w:w w:val="105"/>
          <w:sz w:val="21"/>
        </w:rPr>
        <w:t> </w:t>
      </w:r>
      <w:r>
        <w:rPr>
          <w:w w:val="105"/>
          <w:sz w:val="21"/>
        </w:rPr>
        <w:t>members</w:t>
      </w:r>
      <w:r>
        <w:rPr>
          <w:spacing w:val="-13"/>
          <w:w w:val="105"/>
          <w:sz w:val="21"/>
        </w:rPr>
        <w:t> </w:t>
      </w:r>
      <w:r>
        <w:rPr>
          <w:w w:val="105"/>
          <w:sz w:val="21"/>
        </w:rPr>
        <w:t>questioned</w:t>
      </w:r>
      <w:r>
        <w:rPr>
          <w:spacing w:val="-13"/>
          <w:w w:val="105"/>
          <w:sz w:val="21"/>
        </w:rPr>
        <w:t> </w:t>
      </w:r>
      <w:r>
        <w:rPr>
          <w:w w:val="105"/>
          <w:sz w:val="21"/>
        </w:rPr>
        <w:t>whether</w:t>
      </w:r>
      <w:r>
        <w:rPr>
          <w:spacing w:val="-13"/>
          <w:w w:val="105"/>
          <w:sz w:val="21"/>
        </w:rPr>
        <w:t> </w:t>
      </w:r>
      <w:r>
        <w:rPr>
          <w:w w:val="105"/>
          <w:sz w:val="21"/>
        </w:rPr>
        <w:t>ODR</w:t>
      </w:r>
      <w:r>
        <w:rPr>
          <w:spacing w:val="-13"/>
          <w:w w:val="105"/>
          <w:sz w:val="21"/>
        </w:rPr>
        <w:t> </w:t>
      </w:r>
      <w:r>
        <w:rPr>
          <w:w w:val="105"/>
          <w:sz w:val="21"/>
        </w:rPr>
        <w:t>platforms</w:t>
      </w:r>
      <w:r>
        <w:rPr>
          <w:spacing w:val="-13"/>
          <w:w w:val="105"/>
          <w:sz w:val="21"/>
        </w:rPr>
        <w:t> </w:t>
      </w:r>
      <w:r>
        <w:rPr>
          <w:w w:val="105"/>
          <w:sz w:val="21"/>
        </w:rPr>
        <w:t>would</w:t>
      </w:r>
      <w:r>
        <w:rPr>
          <w:spacing w:val="-13"/>
          <w:w w:val="105"/>
          <w:sz w:val="21"/>
        </w:rPr>
        <w:t> </w:t>
      </w:r>
      <w:r>
        <w:rPr>
          <w:spacing w:val="-3"/>
          <w:w w:val="105"/>
          <w:sz w:val="21"/>
        </w:rPr>
        <w:t>have</w:t>
      </w:r>
      <w:r>
        <w:rPr>
          <w:spacing w:val="-13"/>
          <w:w w:val="105"/>
          <w:sz w:val="21"/>
        </w:rPr>
        <w:t> </w:t>
      </w:r>
      <w:r>
        <w:rPr>
          <w:w w:val="105"/>
          <w:sz w:val="21"/>
        </w:rPr>
        <w:t>the</w:t>
      </w:r>
      <w:r>
        <w:rPr>
          <w:spacing w:val="-13"/>
          <w:w w:val="105"/>
          <w:sz w:val="21"/>
        </w:rPr>
        <w:t> </w:t>
      </w:r>
      <w:r>
        <w:rPr>
          <w:w w:val="105"/>
          <w:sz w:val="21"/>
        </w:rPr>
        <w:t>capacity </w:t>
      </w:r>
      <w:r>
        <w:rPr>
          <w:spacing w:val="-3"/>
          <w:w w:val="105"/>
          <w:sz w:val="21"/>
        </w:rPr>
        <w:t>to adjudicate disputes </w:t>
      </w:r>
      <w:r>
        <w:rPr>
          <w:w w:val="105"/>
          <w:sz w:val="21"/>
        </w:rPr>
        <w:t>in the same </w:t>
      </w:r>
      <w:r>
        <w:rPr>
          <w:spacing w:val="-3"/>
          <w:w w:val="105"/>
          <w:sz w:val="21"/>
        </w:rPr>
        <w:t>way </w:t>
      </w:r>
      <w:r>
        <w:rPr>
          <w:w w:val="105"/>
          <w:sz w:val="21"/>
        </w:rPr>
        <w:t>as </w:t>
      </w:r>
      <w:r>
        <w:rPr>
          <w:spacing w:val="-3"/>
          <w:w w:val="105"/>
          <w:sz w:val="21"/>
        </w:rPr>
        <w:t>faceto-face dispute </w:t>
      </w:r>
      <w:r>
        <w:rPr>
          <w:w w:val="105"/>
          <w:sz w:val="21"/>
        </w:rPr>
        <w:t>resolution</w:t>
      </w:r>
      <w:r>
        <w:rPr>
          <w:spacing w:val="14"/>
          <w:w w:val="105"/>
          <w:sz w:val="21"/>
        </w:rPr>
        <w:t> </w:t>
      </w:r>
      <w:r>
        <w:rPr>
          <w:w w:val="105"/>
          <w:sz w:val="21"/>
        </w:rPr>
        <w:t>forums.</w:t>
      </w:r>
      <w:r>
        <w:rPr>
          <w:w w:val="105"/>
          <w:position w:val="7"/>
          <w:sz w:val="12"/>
        </w:rPr>
        <w:t>23</w:t>
      </w:r>
    </w:p>
    <w:p>
      <w:pPr>
        <w:pStyle w:val="ListParagraph"/>
        <w:numPr>
          <w:ilvl w:val="1"/>
          <w:numId w:val="16"/>
        </w:numPr>
        <w:tabs>
          <w:tab w:pos="2381" w:val="left" w:leader="none"/>
          <w:tab w:pos="2382" w:val="left" w:leader="none"/>
        </w:tabs>
        <w:spacing w:line="242" w:lineRule="auto" w:before="124" w:after="0"/>
        <w:ind w:left="2381" w:right="2019" w:hanging="794"/>
        <w:jc w:val="left"/>
        <w:rPr>
          <w:sz w:val="21"/>
        </w:rPr>
      </w:pPr>
      <w:r>
        <w:rPr>
          <w:spacing w:val="-3"/>
          <w:w w:val="105"/>
          <w:sz w:val="21"/>
        </w:rPr>
        <w:t>Overall, </w:t>
      </w:r>
      <w:r>
        <w:rPr>
          <w:w w:val="105"/>
          <w:sz w:val="21"/>
        </w:rPr>
        <w:t>community members suggested </w:t>
      </w:r>
      <w:r>
        <w:rPr>
          <w:spacing w:val="-3"/>
          <w:w w:val="105"/>
          <w:sz w:val="21"/>
        </w:rPr>
        <w:t>that </w:t>
      </w:r>
      <w:r>
        <w:rPr>
          <w:w w:val="105"/>
          <w:sz w:val="21"/>
        </w:rPr>
        <w:t>the platform should be </w:t>
      </w:r>
      <w:r>
        <w:rPr>
          <w:spacing w:val="-3"/>
          <w:w w:val="105"/>
          <w:sz w:val="21"/>
        </w:rPr>
        <w:t>administered through councils,</w:t>
      </w:r>
      <w:r>
        <w:rPr>
          <w:spacing w:val="-3"/>
          <w:w w:val="105"/>
          <w:position w:val="7"/>
          <w:sz w:val="12"/>
        </w:rPr>
        <w:t>24 </w:t>
      </w:r>
      <w:r>
        <w:rPr>
          <w:spacing w:val="-4"/>
          <w:w w:val="105"/>
          <w:sz w:val="21"/>
        </w:rPr>
        <w:t>VCAT</w:t>
      </w:r>
      <w:r>
        <w:rPr>
          <w:spacing w:val="-4"/>
          <w:w w:val="105"/>
          <w:position w:val="7"/>
          <w:sz w:val="12"/>
        </w:rPr>
        <w:t>25 </w:t>
      </w:r>
      <w:r>
        <w:rPr>
          <w:w w:val="105"/>
          <w:sz w:val="21"/>
        </w:rPr>
        <w:t>or </w:t>
      </w:r>
      <w:r>
        <w:rPr>
          <w:spacing w:val="-4"/>
          <w:w w:val="105"/>
          <w:sz w:val="21"/>
        </w:rPr>
        <w:t>DSCV.</w:t>
      </w:r>
      <w:r>
        <w:rPr>
          <w:spacing w:val="-4"/>
          <w:w w:val="105"/>
          <w:position w:val="7"/>
          <w:sz w:val="12"/>
        </w:rPr>
        <w:t>26 </w:t>
      </w:r>
      <w:r>
        <w:rPr>
          <w:w w:val="105"/>
          <w:sz w:val="21"/>
        </w:rPr>
        <w:t>One community member suggested </w:t>
      </w:r>
      <w:r>
        <w:rPr>
          <w:spacing w:val="-3"/>
          <w:w w:val="105"/>
          <w:sz w:val="21"/>
        </w:rPr>
        <w:t>that </w:t>
      </w:r>
      <w:r>
        <w:rPr>
          <w:w w:val="105"/>
          <w:sz w:val="21"/>
        </w:rPr>
        <w:t>‘tools should </w:t>
      </w:r>
      <w:r>
        <w:rPr>
          <w:spacing w:val="-3"/>
          <w:w w:val="105"/>
          <w:sz w:val="21"/>
        </w:rPr>
        <w:t>include </w:t>
      </w:r>
      <w:r>
        <w:rPr>
          <w:w w:val="105"/>
          <w:sz w:val="21"/>
        </w:rPr>
        <w:t>a </w:t>
      </w:r>
      <w:r>
        <w:rPr>
          <w:spacing w:val="-3"/>
          <w:w w:val="105"/>
          <w:sz w:val="21"/>
        </w:rPr>
        <w:t>facility to </w:t>
      </w:r>
      <w:r>
        <w:rPr>
          <w:w w:val="105"/>
          <w:sz w:val="21"/>
        </w:rPr>
        <w:t>present </w:t>
      </w:r>
      <w:r>
        <w:rPr>
          <w:spacing w:val="-3"/>
          <w:w w:val="105"/>
          <w:sz w:val="21"/>
        </w:rPr>
        <w:t>photographs </w:t>
      </w:r>
      <w:r>
        <w:rPr>
          <w:w w:val="105"/>
          <w:sz w:val="21"/>
        </w:rPr>
        <w:t>of troublesome</w:t>
      </w:r>
      <w:r>
        <w:rPr>
          <w:spacing w:val="25"/>
          <w:w w:val="105"/>
          <w:sz w:val="21"/>
        </w:rPr>
        <w:t> </w:t>
      </w:r>
      <w:r>
        <w:rPr>
          <w:spacing w:val="-4"/>
          <w:w w:val="105"/>
          <w:sz w:val="21"/>
        </w:rPr>
        <w:t>trees’.</w:t>
      </w:r>
      <w:r>
        <w:rPr>
          <w:spacing w:val="-4"/>
          <w:w w:val="105"/>
          <w:position w:val="7"/>
          <w:sz w:val="12"/>
        </w:rPr>
        <w:t>27</w:t>
      </w:r>
    </w:p>
    <w:p>
      <w:pPr>
        <w:pStyle w:val="ListParagraph"/>
        <w:numPr>
          <w:ilvl w:val="1"/>
          <w:numId w:val="16"/>
        </w:numPr>
        <w:tabs>
          <w:tab w:pos="2380" w:val="left" w:leader="none"/>
          <w:tab w:pos="2381" w:val="left" w:leader="none"/>
        </w:tabs>
        <w:spacing w:line="242" w:lineRule="auto" w:before="124" w:after="0"/>
        <w:ind w:left="2381" w:right="2090" w:hanging="794"/>
        <w:jc w:val="left"/>
        <w:rPr>
          <w:sz w:val="21"/>
        </w:rPr>
      </w:pPr>
      <w:r>
        <w:rPr>
          <w:w w:val="105"/>
          <w:sz w:val="21"/>
        </w:rPr>
        <w:t>DSCV </w:t>
      </w:r>
      <w:r>
        <w:rPr>
          <w:spacing w:val="-2"/>
          <w:w w:val="105"/>
          <w:sz w:val="21"/>
        </w:rPr>
        <w:t>has </w:t>
      </w:r>
      <w:r>
        <w:rPr>
          <w:w w:val="105"/>
          <w:sz w:val="21"/>
        </w:rPr>
        <w:t>also been </w:t>
      </w:r>
      <w:r>
        <w:rPr>
          <w:spacing w:val="-3"/>
          <w:w w:val="105"/>
          <w:sz w:val="21"/>
        </w:rPr>
        <w:t>considering </w:t>
      </w:r>
      <w:r>
        <w:rPr>
          <w:w w:val="105"/>
          <w:sz w:val="21"/>
        </w:rPr>
        <w:t>how the use of ODR </w:t>
      </w:r>
      <w:r>
        <w:rPr>
          <w:spacing w:val="-3"/>
          <w:w w:val="105"/>
          <w:sz w:val="21"/>
        </w:rPr>
        <w:t>could increase accessibility </w:t>
      </w:r>
      <w:r>
        <w:rPr>
          <w:w w:val="105"/>
          <w:sz w:val="21"/>
        </w:rPr>
        <w:t>and efficiency </w:t>
      </w:r>
      <w:r>
        <w:rPr>
          <w:spacing w:val="-3"/>
          <w:w w:val="105"/>
          <w:sz w:val="21"/>
        </w:rPr>
        <w:t>for </w:t>
      </w:r>
      <w:r>
        <w:rPr>
          <w:w w:val="105"/>
          <w:sz w:val="21"/>
        </w:rPr>
        <w:t>some types of</w:t>
      </w:r>
      <w:r>
        <w:rPr>
          <w:spacing w:val="27"/>
          <w:w w:val="105"/>
          <w:sz w:val="21"/>
        </w:rPr>
        <w:t> </w:t>
      </w:r>
      <w:r>
        <w:rPr>
          <w:spacing w:val="-3"/>
          <w:w w:val="105"/>
          <w:sz w:val="21"/>
        </w:rPr>
        <w:t>dispute.</w:t>
      </w:r>
      <w:r>
        <w:rPr>
          <w:spacing w:val="-3"/>
          <w:w w:val="105"/>
          <w:position w:val="7"/>
          <w:sz w:val="12"/>
        </w:rPr>
        <w:t>28</w:t>
      </w:r>
    </w:p>
    <w:p>
      <w:pPr>
        <w:pStyle w:val="BodyText"/>
        <w:spacing w:before="2"/>
        <w:rPr>
          <w:sz w:val="20"/>
        </w:rPr>
      </w:pPr>
    </w:p>
    <w:p>
      <w:pPr>
        <w:pStyle w:val="Heading5"/>
        <w:spacing w:before="1"/>
      </w:pPr>
      <w:r>
        <w:rPr>
          <w:w w:val="110"/>
        </w:rPr>
        <w:t>The Commission’s conclusions—online dispute resolution</w:t>
      </w:r>
    </w:p>
    <w:p>
      <w:pPr>
        <w:pStyle w:val="ListParagraph"/>
        <w:numPr>
          <w:ilvl w:val="1"/>
          <w:numId w:val="16"/>
        </w:numPr>
        <w:tabs>
          <w:tab w:pos="2381" w:val="left" w:leader="none"/>
          <w:tab w:pos="2382" w:val="left" w:leader="none"/>
        </w:tabs>
        <w:spacing w:line="242" w:lineRule="auto" w:before="137" w:after="0"/>
        <w:ind w:left="2381" w:right="1632" w:hanging="794"/>
        <w:jc w:val="left"/>
        <w:rPr>
          <w:sz w:val="21"/>
        </w:rPr>
      </w:pPr>
      <w:r>
        <w:rPr>
          <w:w w:val="105"/>
          <w:sz w:val="21"/>
        </w:rPr>
        <w:t>The</w:t>
      </w:r>
      <w:r>
        <w:rPr>
          <w:spacing w:val="-6"/>
          <w:w w:val="105"/>
          <w:sz w:val="21"/>
        </w:rPr>
        <w:t> </w:t>
      </w:r>
      <w:r>
        <w:rPr>
          <w:spacing w:val="-3"/>
          <w:w w:val="105"/>
          <w:sz w:val="21"/>
        </w:rPr>
        <w:t>Commission</w:t>
      </w:r>
      <w:r>
        <w:rPr>
          <w:spacing w:val="-6"/>
          <w:w w:val="105"/>
          <w:sz w:val="21"/>
        </w:rPr>
        <w:t> </w:t>
      </w:r>
      <w:r>
        <w:rPr>
          <w:w w:val="105"/>
          <w:sz w:val="21"/>
        </w:rPr>
        <w:t>is</w:t>
      </w:r>
      <w:r>
        <w:rPr>
          <w:spacing w:val="-6"/>
          <w:w w:val="105"/>
          <w:sz w:val="21"/>
        </w:rPr>
        <w:t> </w:t>
      </w:r>
      <w:r>
        <w:rPr>
          <w:spacing w:val="-3"/>
          <w:w w:val="105"/>
          <w:sz w:val="21"/>
        </w:rPr>
        <w:t>generally</w:t>
      </w:r>
      <w:r>
        <w:rPr>
          <w:spacing w:val="-6"/>
          <w:w w:val="105"/>
          <w:sz w:val="21"/>
        </w:rPr>
        <w:t> </w:t>
      </w:r>
      <w:r>
        <w:rPr>
          <w:w w:val="105"/>
          <w:sz w:val="21"/>
        </w:rPr>
        <w:t>supportive</w:t>
      </w:r>
      <w:r>
        <w:rPr>
          <w:spacing w:val="-5"/>
          <w:w w:val="105"/>
          <w:sz w:val="21"/>
        </w:rPr>
        <w:t> </w:t>
      </w:r>
      <w:r>
        <w:rPr>
          <w:w w:val="105"/>
          <w:sz w:val="21"/>
        </w:rPr>
        <w:t>of</w:t>
      </w:r>
      <w:r>
        <w:rPr>
          <w:spacing w:val="-6"/>
          <w:w w:val="105"/>
          <w:sz w:val="21"/>
        </w:rPr>
        <w:t> </w:t>
      </w:r>
      <w:r>
        <w:rPr>
          <w:w w:val="105"/>
          <w:sz w:val="21"/>
        </w:rPr>
        <w:t>the</w:t>
      </w:r>
      <w:r>
        <w:rPr>
          <w:spacing w:val="-6"/>
          <w:w w:val="105"/>
          <w:sz w:val="21"/>
        </w:rPr>
        <w:t> </w:t>
      </w:r>
      <w:r>
        <w:rPr>
          <w:w w:val="105"/>
          <w:sz w:val="21"/>
        </w:rPr>
        <w:t>use</w:t>
      </w:r>
      <w:r>
        <w:rPr>
          <w:spacing w:val="-6"/>
          <w:w w:val="105"/>
          <w:sz w:val="21"/>
        </w:rPr>
        <w:t> </w:t>
      </w:r>
      <w:r>
        <w:rPr>
          <w:w w:val="105"/>
          <w:sz w:val="21"/>
        </w:rPr>
        <w:t>of</w:t>
      </w:r>
      <w:r>
        <w:rPr>
          <w:spacing w:val="-6"/>
          <w:w w:val="105"/>
          <w:sz w:val="21"/>
        </w:rPr>
        <w:t> </w:t>
      </w:r>
      <w:r>
        <w:rPr>
          <w:w w:val="105"/>
          <w:sz w:val="21"/>
        </w:rPr>
        <w:t>ODR</w:t>
      </w:r>
      <w:r>
        <w:rPr>
          <w:spacing w:val="-5"/>
          <w:w w:val="105"/>
          <w:sz w:val="21"/>
        </w:rPr>
        <w:t> </w:t>
      </w:r>
      <w:r>
        <w:rPr>
          <w:spacing w:val="-3"/>
          <w:w w:val="105"/>
          <w:sz w:val="21"/>
        </w:rPr>
        <w:t>to</w:t>
      </w:r>
      <w:r>
        <w:rPr>
          <w:spacing w:val="-6"/>
          <w:w w:val="105"/>
          <w:sz w:val="21"/>
        </w:rPr>
        <w:t> </w:t>
      </w:r>
      <w:r>
        <w:rPr>
          <w:w w:val="105"/>
          <w:sz w:val="21"/>
        </w:rPr>
        <w:t>help</w:t>
      </w:r>
      <w:r>
        <w:rPr>
          <w:spacing w:val="-6"/>
          <w:w w:val="105"/>
          <w:sz w:val="21"/>
        </w:rPr>
        <w:t> </w:t>
      </w:r>
      <w:r>
        <w:rPr>
          <w:w w:val="105"/>
          <w:sz w:val="21"/>
        </w:rPr>
        <w:t>resolve</w:t>
      </w:r>
      <w:r>
        <w:rPr>
          <w:spacing w:val="-6"/>
          <w:w w:val="105"/>
          <w:sz w:val="21"/>
        </w:rPr>
        <w:t> </w:t>
      </w:r>
      <w:r>
        <w:rPr>
          <w:w w:val="105"/>
          <w:sz w:val="21"/>
        </w:rPr>
        <w:t>neighbourhood tree </w:t>
      </w:r>
      <w:r>
        <w:rPr>
          <w:spacing w:val="-3"/>
          <w:w w:val="105"/>
          <w:sz w:val="21"/>
        </w:rPr>
        <w:t>disputes. </w:t>
      </w:r>
      <w:r>
        <w:rPr>
          <w:w w:val="105"/>
          <w:sz w:val="21"/>
        </w:rPr>
        <w:t>ODR is </w:t>
      </w:r>
      <w:r>
        <w:rPr>
          <w:spacing w:val="-4"/>
          <w:w w:val="105"/>
          <w:sz w:val="21"/>
        </w:rPr>
        <w:t>likely </w:t>
      </w:r>
      <w:r>
        <w:rPr>
          <w:spacing w:val="-3"/>
          <w:w w:val="105"/>
          <w:sz w:val="21"/>
        </w:rPr>
        <w:t>to </w:t>
      </w:r>
      <w:r>
        <w:rPr>
          <w:w w:val="105"/>
          <w:sz w:val="21"/>
        </w:rPr>
        <w:t>provide parties with </w:t>
      </w:r>
      <w:r>
        <w:rPr>
          <w:spacing w:val="-3"/>
          <w:w w:val="105"/>
          <w:sz w:val="21"/>
        </w:rPr>
        <w:t>greater </w:t>
      </w:r>
      <w:r>
        <w:rPr>
          <w:w w:val="105"/>
          <w:sz w:val="21"/>
        </w:rPr>
        <w:t>flexibility about how they participate</w:t>
      </w:r>
      <w:r>
        <w:rPr>
          <w:spacing w:val="-18"/>
          <w:w w:val="105"/>
          <w:sz w:val="21"/>
        </w:rPr>
        <w:t> </w:t>
      </w:r>
      <w:r>
        <w:rPr>
          <w:w w:val="105"/>
          <w:sz w:val="21"/>
        </w:rPr>
        <w:t>in</w:t>
      </w:r>
      <w:r>
        <w:rPr>
          <w:spacing w:val="-18"/>
          <w:w w:val="105"/>
          <w:sz w:val="21"/>
        </w:rPr>
        <w:t> </w:t>
      </w:r>
      <w:r>
        <w:rPr>
          <w:spacing w:val="-3"/>
          <w:w w:val="105"/>
          <w:sz w:val="21"/>
        </w:rPr>
        <w:t>negotiations,</w:t>
      </w:r>
      <w:r>
        <w:rPr>
          <w:spacing w:val="-18"/>
          <w:w w:val="105"/>
          <w:sz w:val="21"/>
        </w:rPr>
        <w:t> </w:t>
      </w:r>
      <w:r>
        <w:rPr>
          <w:w w:val="105"/>
          <w:sz w:val="21"/>
        </w:rPr>
        <w:t>provide</w:t>
      </w:r>
      <w:r>
        <w:rPr>
          <w:spacing w:val="-17"/>
          <w:w w:val="105"/>
          <w:sz w:val="21"/>
        </w:rPr>
        <w:t> </w:t>
      </w:r>
      <w:r>
        <w:rPr>
          <w:w w:val="105"/>
          <w:sz w:val="21"/>
        </w:rPr>
        <w:t>targeted</w:t>
      </w:r>
      <w:r>
        <w:rPr>
          <w:spacing w:val="-18"/>
          <w:w w:val="105"/>
          <w:sz w:val="21"/>
        </w:rPr>
        <w:t> </w:t>
      </w:r>
      <w:r>
        <w:rPr>
          <w:w w:val="105"/>
          <w:sz w:val="21"/>
        </w:rPr>
        <w:t>advice</w:t>
      </w:r>
      <w:r>
        <w:rPr>
          <w:spacing w:val="-18"/>
          <w:w w:val="105"/>
          <w:sz w:val="21"/>
        </w:rPr>
        <w:t> </w:t>
      </w:r>
      <w:r>
        <w:rPr>
          <w:w w:val="105"/>
          <w:sz w:val="21"/>
        </w:rPr>
        <w:t>about</w:t>
      </w:r>
      <w:r>
        <w:rPr>
          <w:spacing w:val="-17"/>
          <w:w w:val="105"/>
          <w:sz w:val="21"/>
        </w:rPr>
        <w:t> </w:t>
      </w:r>
      <w:r>
        <w:rPr>
          <w:w w:val="105"/>
          <w:sz w:val="21"/>
        </w:rPr>
        <w:t>resolution</w:t>
      </w:r>
      <w:r>
        <w:rPr>
          <w:spacing w:val="-18"/>
          <w:w w:val="105"/>
          <w:sz w:val="21"/>
        </w:rPr>
        <w:t> </w:t>
      </w:r>
      <w:r>
        <w:rPr>
          <w:w w:val="105"/>
          <w:sz w:val="21"/>
        </w:rPr>
        <w:t>options</w:t>
      </w:r>
      <w:r>
        <w:rPr>
          <w:spacing w:val="-18"/>
          <w:w w:val="105"/>
          <w:sz w:val="21"/>
        </w:rPr>
        <w:t> </w:t>
      </w:r>
      <w:r>
        <w:rPr>
          <w:w w:val="105"/>
          <w:sz w:val="21"/>
        </w:rPr>
        <w:t>and</w:t>
      </w:r>
      <w:r>
        <w:rPr>
          <w:spacing w:val="-18"/>
          <w:w w:val="105"/>
          <w:sz w:val="21"/>
        </w:rPr>
        <w:t> </w:t>
      </w:r>
      <w:r>
        <w:rPr>
          <w:w w:val="105"/>
          <w:sz w:val="21"/>
        </w:rPr>
        <w:t>establish a seamless </w:t>
      </w:r>
      <w:r>
        <w:rPr>
          <w:spacing w:val="-3"/>
          <w:w w:val="105"/>
          <w:sz w:val="21"/>
        </w:rPr>
        <w:t>way </w:t>
      </w:r>
      <w:r>
        <w:rPr>
          <w:w w:val="105"/>
          <w:sz w:val="21"/>
        </w:rPr>
        <w:t>of </w:t>
      </w:r>
      <w:r>
        <w:rPr>
          <w:spacing w:val="-3"/>
          <w:w w:val="105"/>
          <w:sz w:val="21"/>
        </w:rPr>
        <w:t>communicating formally </w:t>
      </w:r>
      <w:r>
        <w:rPr>
          <w:w w:val="105"/>
          <w:sz w:val="21"/>
        </w:rPr>
        <w:t>with the </w:t>
      </w:r>
      <w:r>
        <w:rPr>
          <w:spacing w:val="-5"/>
          <w:w w:val="105"/>
          <w:sz w:val="21"/>
        </w:rPr>
        <w:t>Tribunal. </w:t>
      </w:r>
      <w:r>
        <w:rPr>
          <w:w w:val="105"/>
          <w:sz w:val="21"/>
        </w:rPr>
        <w:t>ODR </w:t>
      </w:r>
      <w:r>
        <w:rPr>
          <w:spacing w:val="-3"/>
          <w:w w:val="105"/>
          <w:sz w:val="21"/>
        </w:rPr>
        <w:t>may </w:t>
      </w:r>
      <w:r>
        <w:rPr>
          <w:w w:val="105"/>
          <w:sz w:val="21"/>
        </w:rPr>
        <w:t>also </w:t>
      </w:r>
      <w:r>
        <w:rPr>
          <w:spacing w:val="-3"/>
          <w:w w:val="105"/>
          <w:sz w:val="21"/>
        </w:rPr>
        <w:t>improve regional </w:t>
      </w:r>
      <w:r>
        <w:rPr>
          <w:spacing w:val="-2"/>
          <w:w w:val="105"/>
          <w:sz w:val="21"/>
        </w:rPr>
        <w:t>access </w:t>
      </w:r>
      <w:r>
        <w:rPr>
          <w:spacing w:val="-3"/>
          <w:w w:val="105"/>
          <w:sz w:val="21"/>
        </w:rPr>
        <w:t>to </w:t>
      </w:r>
      <w:r>
        <w:rPr>
          <w:spacing w:val="-5"/>
          <w:w w:val="105"/>
          <w:sz w:val="21"/>
        </w:rPr>
        <w:t>VCAT </w:t>
      </w:r>
      <w:r>
        <w:rPr>
          <w:w w:val="105"/>
          <w:sz w:val="21"/>
        </w:rPr>
        <w:t>processes. ODR </w:t>
      </w:r>
      <w:r>
        <w:rPr>
          <w:spacing w:val="-3"/>
          <w:w w:val="105"/>
          <w:sz w:val="21"/>
        </w:rPr>
        <w:t>may </w:t>
      </w:r>
      <w:r>
        <w:rPr>
          <w:w w:val="105"/>
          <w:sz w:val="21"/>
        </w:rPr>
        <w:t>also assist </w:t>
      </w:r>
      <w:r>
        <w:rPr>
          <w:spacing w:val="-5"/>
          <w:w w:val="105"/>
          <w:sz w:val="21"/>
        </w:rPr>
        <w:t>VCAT </w:t>
      </w:r>
      <w:r>
        <w:rPr>
          <w:spacing w:val="-3"/>
          <w:w w:val="105"/>
          <w:sz w:val="21"/>
        </w:rPr>
        <w:t>to </w:t>
      </w:r>
      <w:r>
        <w:rPr>
          <w:w w:val="105"/>
          <w:sz w:val="21"/>
        </w:rPr>
        <w:t>deliver affordable and efficient </w:t>
      </w:r>
      <w:r>
        <w:rPr>
          <w:spacing w:val="-3"/>
          <w:w w:val="105"/>
          <w:sz w:val="21"/>
        </w:rPr>
        <w:t>justice </w:t>
      </w:r>
      <w:r>
        <w:rPr>
          <w:w w:val="105"/>
          <w:sz w:val="21"/>
        </w:rPr>
        <w:t>and </w:t>
      </w:r>
      <w:r>
        <w:rPr>
          <w:spacing w:val="-3"/>
          <w:w w:val="105"/>
          <w:sz w:val="21"/>
        </w:rPr>
        <w:t>to </w:t>
      </w:r>
      <w:r>
        <w:rPr>
          <w:spacing w:val="-4"/>
          <w:w w:val="105"/>
          <w:sz w:val="21"/>
        </w:rPr>
        <w:t>make </w:t>
      </w:r>
      <w:r>
        <w:rPr>
          <w:w w:val="105"/>
          <w:sz w:val="21"/>
        </w:rPr>
        <w:t>the most efficient use of its </w:t>
      </w:r>
      <w:r>
        <w:rPr>
          <w:spacing w:val="-3"/>
          <w:w w:val="105"/>
          <w:sz w:val="21"/>
        </w:rPr>
        <w:t>resources. </w:t>
      </w:r>
      <w:r>
        <w:rPr>
          <w:spacing w:val="-7"/>
          <w:w w:val="105"/>
          <w:sz w:val="21"/>
        </w:rPr>
        <w:t>To </w:t>
      </w:r>
      <w:r>
        <w:rPr>
          <w:w w:val="105"/>
          <w:sz w:val="21"/>
        </w:rPr>
        <w:t>this </w:t>
      </w:r>
      <w:r>
        <w:rPr>
          <w:spacing w:val="-3"/>
          <w:w w:val="105"/>
          <w:sz w:val="21"/>
        </w:rPr>
        <w:t>end, </w:t>
      </w:r>
      <w:r>
        <w:rPr>
          <w:w w:val="105"/>
          <w:sz w:val="21"/>
        </w:rPr>
        <w:t>Justice Michelle </w:t>
      </w:r>
      <w:r>
        <w:rPr>
          <w:spacing w:val="-4"/>
          <w:w w:val="105"/>
          <w:sz w:val="21"/>
        </w:rPr>
        <w:t>Quigley, </w:t>
      </w:r>
      <w:r>
        <w:rPr>
          <w:spacing w:val="-5"/>
          <w:w w:val="105"/>
          <w:sz w:val="21"/>
        </w:rPr>
        <w:t>VCAT </w:t>
      </w:r>
      <w:r>
        <w:rPr>
          <w:w w:val="105"/>
          <w:sz w:val="21"/>
        </w:rPr>
        <w:t>President, is </w:t>
      </w:r>
      <w:r>
        <w:rPr>
          <w:spacing w:val="-4"/>
          <w:w w:val="105"/>
          <w:sz w:val="21"/>
        </w:rPr>
        <w:t>‘determined </w:t>
      </w:r>
      <w:r>
        <w:rPr>
          <w:spacing w:val="-3"/>
          <w:w w:val="105"/>
          <w:sz w:val="21"/>
        </w:rPr>
        <w:t>to champion </w:t>
      </w:r>
      <w:r>
        <w:rPr>
          <w:w w:val="105"/>
          <w:sz w:val="21"/>
        </w:rPr>
        <w:t>the </w:t>
      </w:r>
      <w:r>
        <w:rPr>
          <w:spacing w:val="-3"/>
          <w:w w:val="105"/>
          <w:sz w:val="21"/>
        </w:rPr>
        <w:t>online revolution</w:t>
      </w:r>
      <w:r>
        <w:rPr>
          <w:spacing w:val="-4"/>
          <w:w w:val="105"/>
          <w:sz w:val="21"/>
        </w:rPr>
        <w:t> </w:t>
      </w:r>
      <w:r>
        <w:rPr>
          <w:spacing w:val="-3"/>
          <w:w w:val="105"/>
          <w:sz w:val="21"/>
        </w:rPr>
        <w:t>that</w:t>
      </w:r>
    </w:p>
    <w:p>
      <w:pPr>
        <w:pStyle w:val="BodyText"/>
        <w:rPr>
          <w:sz w:val="20"/>
        </w:rPr>
      </w:pPr>
    </w:p>
    <w:p>
      <w:pPr>
        <w:pStyle w:val="BodyText"/>
        <w:rPr>
          <w:sz w:val="24"/>
        </w:rPr>
      </w:pPr>
      <w:r>
        <w:rPr/>
        <w:pict>
          <v:line style="position:absolute;mso-position-horizontal-relative:page;mso-position-vertical-relative:paragraph;z-index:11912;mso-wrap-distance-left:0;mso-wrap-distance-right:0" from="79.370003pt,17.123884pt" to="515.905003pt,17.12388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33"/>
        </w:rPr>
      </w:pPr>
    </w:p>
    <w:p>
      <w:pPr>
        <w:spacing w:before="0"/>
        <w:ind w:left="720" w:right="0" w:firstLine="0"/>
        <w:jc w:val="left"/>
        <w:rPr>
          <w:b/>
          <w:sz w:val="24"/>
        </w:rPr>
      </w:pPr>
      <w:r>
        <w:rPr>
          <w:b/>
          <w:color w:val="658464"/>
          <w:spacing w:val="-2"/>
          <w:w w:val="110"/>
          <w:sz w:val="24"/>
        </w:rPr>
        <w:t>292</w:t>
      </w:r>
    </w:p>
    <w:p>
      <w:pPr>
        <w:pStyle w:val="ListParagraph"/>
        <w:numPr>
          <w:ilvl w:val="0"/>
          <w:numId w:val="203"/>
        </w:numPr>
        <w:tabs>
          <w:tab w:pos="1225" w:val="left" w:leader="none"/>
          <w:tab w:pos="1226" w:val="left" w:leader="none"/>
        </w:tabs>
        <w:spacing w:line="240" w:lineRule="auto" w:before="48" w:after="0"/>
        <w:ind w:left="1225" w:right="0" w:hanging="793"/>
        <w:jc w:val="left"/>
        <w:rPr>
          <w:sz w:val="13"/>
        </w:rPr>
      </w:pPr>
      <w:r>
        <w:rPr>
          <w:spacing w:val="3"/>
          <w:w w:val="88"/>
          <w:sz w:val="13"/>
        </w:rPr>
        <w:br w:type="column"/>
      </w:r>
      <w:r>
        <w:rPr>
          <w:sz w:val="13"/>
        </w:rPr>
        <w:t>Ibid.</w:t>
      </w:r>
    </w:p>
    <w:p>
      <w:pPr>
        <w:pStyle w:val="ListParagraph"/>
        <w:numPr>
          <w:ilvl w:val="0"/>
          <w:numId w:val="203"/>
        </w:numPr>
        <w:tabs>
          <w:tab w:pos="1225" w:val="left" w:leader="none"/>
          <w:tab w:pos="1226" w:val="left" w:leader="none"/>
        </w:tabs>
        <w:spacing w:line="240" w:lineRule="auto" w:before="1" w:after="0"/>
        <w:ind w:left="1225" w:right="0" w:hanging="793"/>
        <w:jc w:val="left"/>
        <w:rPr>
          <w:sz w:val="13"/>
        </w:rPr>
      </w:pPr>
      <w:r>
        <w:rPr>
          <w:sz w:val="13"/>
        </w:rPr>
        <w:t>Ibid.</w:t>
      </w:r>
    </w:p>
    <w:p>
      <w:pPr>
        <w:pStyle w:val="ListParagraph"/>
        <w:numPr>
          <w:ilvl w:val="0"/>
          <w:numId w:val="203"/>
        </w:numPr>
        <w:tabs>
          <w:tab w:pos="1225" w:val="left" w:leader="none"/>
          <w:tab w:pos="1226" w:val="left" w:leader="none"/>
        </w:tabs>
        <w:spacing w:line="240" w:lineRule="auto" w:before="2" w:after="0"/>
        <w:ind w:left="1225" w:right="0" w:hanging="793"/>
        <w:jc w:val="left"/>
        <w:rPr>
          <w:sz w:val="13"/>
        </w:rPr>
      </w:pPr>
      <w:r>
        <w:rPr>
          <w:w w:val="105"/>
          <w:sz w:val="13"/>
        </w:rPr>
        <w:t>Supplementary Consultation 1 (Victorian Civil and Administrative</w:t>
      </w:r>
      <w:r>
        <w:rPr>
          <w:spacing w:val="2"/>
          <w:w w:val="105"/>
          <w:sz w:val="13"/>
        </w:rPr>
        <w:t> </w:t>
      </w:r>
      <w:r>
        <w:rPr>
          <w:w w:val="105"/>
          <w:sz w:val="13"/>
        </w:rPr>
        <w:t>Tribunal).</w:t>
      </w:r>
    </w:p>
    <w:p>
      <w:pPr>
        <w:pStyle w:val="ListParagraph"/>
        <w:numPr>
          <w:ilvl w:val="0"/>
          <w:numId w:val="203"/>
        </w:numPr>
        <w:tabs>
          <w:tab w:pos="1225" w:val="left" w:leader="none"/>
          <w:tab w:pos="1226" w:val="left" w:leader="none"/>
        </w:tabs>
        <w:spacing w:line="240" w:lineRule="auto" w:before="1" w:after="0"/>
        <w:ind w:left="1225" w:right="1658" w:hanging="793"/>
        <w:jc w:val="left"/>
        <w:rPr>
          <w:sz w:val="13"/>
        </w:rPr>
      </w:pPr>
      <w:r>
        <w:rPr>
          <w:w w:val="105"/>
          <w:sz w:val="13"/>
        </w:rPr>
        <w:t>Civil Resolution Tribunal, </w:t>
      </w:r>
      <w:r>
        <w:rPr>
          <w:i/>
          <w:w w:val="105"/>
          <w:sz w:val="13"/>
        </w:rPr>
        <w:t>What Kinds of Disputes Can the CRT Help With? </w:t>
      </w:r>
      <w:r>
        <w:rPr>
          <w:w w:val="105"/>
          <w:sz w:val="13"/>
        </w:rPr>
        <w:t>(Web Page, 2019) </w:t>
      </w:r>
      <w:r>
        <w:rPr>
          <w:spacing w:val="2"/>
          <w:w w:val="105"/>
          <w:sz w:val="13"/>
        </w:rPr>
        <w:t>&lt;https://civilresolutionbc.ca/resources/crt- jurisdiction/#what-types-of-disputes-cant-be-taken-to-the-crt&gt;; </w:t>
      </w:r>
      <w:r>
        <w:rPr>
          <w:w w:val="105"/>
          <w:sz w:val="13"/>
        </w:rPr>
        <w:t>see also Civil Resolution Tribunal, </w:t>
      </w:r>
      <w:r>
        <w:rPr>
          <w:i/>
          <w:w w:val="105"/>
          <w:sz w:val="13"/>
        </w:rPr>
        <w:t>Participant Satisfaction Survey—January </w:t>
      </w:r>
      <w:r>
        <w:rPr>
          <w:i/>
          <w:spacing w:val="-3"/>
          <w:w w:val="105"/>
          <w:sz w:val="13"/>
        </w:rPr>
        <w:t>2019</w:t>
      </w:r>
      <w:r>
        <w:rPr>
          <w:i/>
          <w:spacing w:val="4"/>
          <w:w w:val="105"/>
          <w:sz w:val="13"/>
        </w:rPr>
        <w:t> </w:t>
      </w:r>
      <w:r>
        <w:rPr>
          <w:w w:val="105"/>
          <w:sz w:val="13"/>
        </w:rPr>
        <w:t>&lt;https://civilresolutionbc.ca/participant-satisfaction-survey-january-2019/&gt;.</w:t>
      </w:r>
    </w:p>
    <w:p>
      <w:pPr>
        <w:pStyle w:val="ListParagraph"/>
        <w:numPr>
          <w:ilvl w:val="0"/>
          <w:numId w:val="203"/>
        </w:numPr>
        <w:tabs>
          <w:tab w:pos="1225" w:val="left" w:leader="none"/>
          <w:tab w:pos="1226" w:val="left" w:leader="none"/>
        </w:tabs>
        <w:spacing w:line="240" w:lineRule="auto" w:before="4" w:after="0"/>
        <w:ind w:left="1225" w:right="1997" w:hanging="793"/>
        <w:jc w:val="left"/>
        <w:rPr>
          <w:sz w:val="13"/>
        </w:rPr>
      </w:pPr>
      <w:r>
        <w:rPr>
          <w:sz w:val="13"/>
        </w:rPr>
        <w:t>The CRT process  can  be  divided  into  four  main  </w:t>
      </w:r>
      <w:r>
        <w:rPr>
          <w:spacing w:val="2"/>
          <w:sz w:val="13"/>
        </w:rPr>
        <w:t>stages:  </w:t>
      </w:r>
      <w:r>
        <w:rPr>
          <w:sz w:val="13"/>
        </w:rPr>
        <w:t>1)  Solution  Explorer:  self-help  tools  to  help  parties  understand  their  rights and obligations and to explore solutions before hearing; 2) Negotiations: tools and guidance for </w:t>
      </w:r>
      <w:r>
        <w:rPr>
          <w:spacing w:val="2"/>
          <w:sz w:val="13"/>
        </w:rPr>
        <w:t>party-to-party </w:t>
      </w:r>
      <w:r>
        <w:rPr>
          <w:sz w:val="13"/>
        </w:rPr>
        <w:t>negotiations; </w:t>
      </w:r>
      <w:r>
        <w:rPr>
          <w:spacing w:val="2"/>
          <w:sz w:val="13"/>
        </w:rPr>
        <w:t>3)</w:t>
      </w:r>
      <w:r>
        <w:rPr>
          <w:spacing w:val="3"/>
          <w:sz w:val="13"/>
        </w:rPr>
        <w:t> </w:t>
      </w:r>
      <w:r>
        <w:rPr>
          <w:sz w:val="13"/>
        </w:rPr>
        <w:t>Case</w:t>
      </w:r>
    </w:p>
    <w:p>
      <w:pPr>
        <w:spacing w:before="3"/>
        <w:ind w:left="1225" w:right="1823" w:firstLine="0"/>
        <w:jc w:val="left"/>
        <w:rPr>
          <w:sz w:val="13"/>
        </w:rPr>
      </w:pPr>
      <w:r>
        <w:rPr>
          <w:w w:val="105"/>
          <w:sz w:val="13"/>
        </w:rPr>
        <w:t>management: a CRT case manager facilitates negotiation between the parties. Agreements can then be referred to a Tribunal member     to be converted into a binding order of the CRT; </w:t>
      </w:r>
      <w:r>
        <w:rPr>
          <w:spacing w:val="2"/>
          <w:w w:val="105"/>
          <w:sz w:val="13"/>
        </w:rPr>
        <w:t>4) </w:t>
      </w:r>
      <w:r>
        <w:rPr>
          <w:w w:val="105"/>
          <w:sz w:val="13"/>
        </w:rPr>
        <w:t>Adjudication: if a matter has not resolved it can be transferred to hearing (usually on the</w:t>
      </w:r>
      <w:r>
        <w:rPr>
          <w:spacing w:val="3"/>
          <w:w w:val="105"/>
          <w:sz w:val="13"/>
        </w:rPr>
        <w:t> </w:t>
      </w:r>
      <w:r>
        <w:rPr>
          <w:w w:val="105"/>
          <w:sz w:val="13"/>
        </w:rPr>
        <w:t>papers)</w:t>
      </w:r>
      <w:r>
        <w:rPr>
          <w:spacing w:val="4"/>
          <w:w w:val="105"/>
          <w:sz w:val="13"/>
        </w:rPr>
        <w:t> </w:t>
      </w:r>
      <w:r>
        <w:rPr>
          <w:w w:val="105"/>
          <w:sz w:val="13"/>
        </w:rPr>
        <w:t>by</w:t>
      </w:r>
      <w:r>
        <w:rPr>
          <w:spacing w:val="4"/>
          <w:w w:val="105"/>
          <w:sz w:val="13"/>
        </w:rPr>
        <w:t> </w:t>
      </w:r>
      <w:r>
        <w:rPr>
          <w:w w:val="105"/>
          <w:sz w:val="13"/>
        </w:rPr>
        <w:t>a</w:t>
      </w:r>
      <w:r>
        <w:rPr>
          <w:spacing w:val="4"/>
          <w:w w:val="105"/>
          <w:sz w:val="13"/>
        </w:rPr>
        <w:t> </w:t>
      </w:r>
      <w:r>
        <w:rPr>
          <w:w w:val="105"/>
          <w:sz w:val="13"/>
        </w:rPr>
        <w:t>tribunal</w:t>
      </w:r>
      <w:r>
        <w:rPr>
          <w:spacing w:val="3"/>
          <w:w w:val="105"/>
          <w:sz w:val="13"/>
        </w:rPr>
        <w:t> </w:t>
      </w:r>
      <w:r>
        <w:rPr>
          <w:w w:val="105"/>
          <w:sz w:val="13"/>
        </w:rPr>
        <w:t>member</w:t>
      </w:r>
      <w:r>
        <w:rPr>
          <w:spacing w:val="4"/>
          <w:w w:val="105"/>
          <w:sz w:val="13"/>
        </w:rPr>
        <w:t> </w:t>
      </w:r>
      <w:r>
        <w:rPr>
          <w:w w:val="105"/>
          <w:sz w:val="13"/>
        </w:rPr>
        <w:t>with</w:t>
      </w:r>
      <w:r>
        <w:rPr>
          <w:spacing w:val="4"/>
          <w:w w:val="105"/>
          <w:sz w:val="13"/>
        </w:rPr>
        <w:t> </w:t>
      </w:r>
      <w:r>
        <w:rPr>
          <w:w w:val="105"/>
          <w:sz w:val="13"/>
        </w:rPr>
        <w:t>relevant</w:t>
      </w:r>
      <w:r>
        <w:rPr>
          <w:spacing w:val="4"/>
          <w:w w:val="105"/>
          <w:sz w:val="13"/>
        </w:rPr>
        <w:t> </w:t>
      </w:r>
      <w:r>
        <w:rPr>
          <w:w w:val="105"/>
          <w:sz w:val="13"/>
        </w:rPr>
        <w:t>specialist</w:t>
      </w:r>
      <w:r>
        <w:rPr>
          <w:spacing w:val="4"/>
          <w:w w:val="105"/>
          <w:sz w:val="13"/>
        </w:rPr>
        <w:t> </w:t>
      </w:r>
      <w:r>
        <w:rPr>
          <w:spacing w:val="2"/>
          <w:w w:val="105"/>
          <w:sz w:val="13"/>
        </w:rPr>
        <w:t>expertise:</w:t>
      </w:r>
      <w:r>
        <w:rPr>
          <w:spacing w:val="3"/>
          <w:w w:val="105"/>
          <w:sz w:val="13"/>
        </w:rPr>
        <w:t> </w:t>
      </w:r>
      <w:r>
        <w:rPr>
          <w:w w:val="105"/>
          <w:sz w:val="13"/>
        </w:rPr>
        <w:t>See</w:t>
      </w:r>
      <w:r>
        <w:rPr>
          <w:spacing w:val="4"/>
          <w:w w:val="105"/>
          <w:sz w:val="13"/>
        </w:rPr>
        <w:t> </w:t>
      </w:r>
      <w:r>
        <w:rPr>
          <w:w w:val="105"/>
          <w:sz w:val="13"/>
        </w:rPr>
        <w:t>Civil</w:t>
      </w:r>
      <w:r>
        <w:rPr>
          <w:spacing w:val="4"/>
          <w:w w:val="105"/>
          <w:sz w:val="13"/>
        </w:rPr>
        <w:t> </w:t>
      </w:r>
      <w:r>
        <w:rPr>
          <w:w w:val="105"/>
          <w:sz w:val="13"/>
        </w:rPr>
        <w:t>Resolution</w:t>
      </w:r>
      <w:r>
        <w:rPr>
          <w:spacing w:val="4"/>
          <w:w w:val="105"/>
          <w:sz w:val="13"/>
        </w:rPr>
        <w:t> </w:t>
      </w:r>
      <w:r>
        <w:rPr>
          <w:w w:val="105"/>
          <w:sz w:val="13"/>
        </w:rPr>
        <w:t>Tribunal,</w:t>
      </w:r>
      <w:r>
        <w:rPr>
          <w:spacing w:val="4"/>
          <w:w w:val="105"/>
          <w:sz w:val="13"/>
        </w:rPr>
        <w:t> </w:t>
      </w:r>
      <w:r>
        <w:rPr>
          <w:i/>
          <w:w w:val="105"/>
          <w:sz w:val="13"/>
        </w:rPr>
        <w:t>How</w:t>
      </w:r>
      <w:r>
        <w:rPr>
          <w:i/>
          <w:spacing w:val="3"/>
          <w:w w:val="105"/>
          <w:sz w:val="13"/>
        </w:rPr>
        <w:t> </w:t>
      </w:r>
      <w:r>
        <w:rPr>
          <w:i/>
          <w:w w:val="105"/>
          <w:sz w:val="13"/>
        </w:rPr>
        <w:t>the</w:t>
      </w:r>
      <w:r>
        <w:rPr>
          <w:i/>
          <w:spacing w:val="4"/>
          <w:w w:val="105"/>
          <w:sz w:val="13"/>
        </w:rPr>
        <w:t> </w:t>
      </w:r>
      <w:r>
        <w:rPr>
          <w:i/>
          <w:w w:val="105"/>
          <w:sz w:val="13"/>
        </w:rPr>
        <w:t>CRT</w:t>
      </w:r>
      <w:r>
        <w:rPr>
          <w:i/>
          <w:spacing w:val="4"/>
          <w:w w:val="105"/>
          <w:sz w:val="13"/>
        </w:rPr>
        <w:t> </w:t>
      </w:r>
      <w:r>
        <w:rPr>
          <w:i/>
          <w:w w:val="105"/>
          <w:sz w:val="13"/>
        </w:rPr>
        <w:t>Works</w:t>
      </w:r>
      <w:r>
        <w:rPr>
          <w:i/>
          <w:spacing w:val="4"/>
          <w:w w:val="105"/>
          <w:sz w:val="13"/>
        </w:rPr>
        <w:t> </w:t>
      </w:r>
      <w:r>
        <w:rPr>
          <w:w w:val="105"/>
          <w:sz w:val="13"/>
        </w:rPr>
        <w:t>(Web</w:t>
      </w:r>
      <w:r>
        <w:rPr>
          <w:spacing w:val="3"/>
          <w:w w:val="105"/>
          <w:sz w:val="13"/>
        </w:rPr>
        <w:t> </w:t>
      </w:r>
      <w:r>
        <w:rPr>
          <w:w w:val="105"/>
          <w:sz w:val="13"/>
        </w:rPr>
        <w:t>Page,</w:t>
      </w:r>
      <w:r>
        <w:rPr>
          <w:spacing w:val="4"/>
          <w:w w:val="105"/>
          <w:sz w:val="13"/>
        </w:rPr>
        <w:t> </w:t>
      </w:r>
      <w:r>
        <w:rPr>
          <w:w w:val="105"/>
          <w:sz w:val="13"/>
        </w:rPr>
        <w:t>2019)</w:t>
      </w:r>
    </w:p>
    <w:p>
      <w:pPr>
        <w:spacing w:before="4"/>
        <w:ind w:left="1225" w:right="0" w:firstLine="0"/>
        <w:jc w:val="left"/>
        <w:rPr>
          <w:sz w:val="13"/>
        </w:rPr>
      </w:pPr>
      <w:r>
        <w:rPr>
          <w:sz w:val="13"/>
        </w:rPr>
        <w:t>&lt;https://civilresolutionbc.ca/how-the-crt-works/&gt;.</w:t>
      </w:r>
    </w:p>
    <w:p>
      <w:pPr>
        <w:pStyle w:val="ListParagraph"/>
        <w:numPr>
          <w:ilvl w:val="0"/>
          <w:numId w:val="203"/>
        </w:numPr>
        <w:tabs>
          <w:tab w:pos="1225" w:val="left" w:leader="none"/>
          <w:tab w:pos="1226" w:val="left" w:leader="none"/>
        </w:tabs>
        <w:spacing w:line="240" w:lineRule="auto" w:before="1" w:after="0"/>
        <w:ind w:left="1225" w:right="1840" w:hanging="793"/>
        <w:jc w:val="left"/>
        <w:rPr>
          <w:sz w:val="13"/>
        </w:rPr>
      </w:pPr>
      <w:r>
        <w:rPr>
          <w:w w:val="105"/>
          <w:sz w:val="13"/>
        </w:rPr>
        <w:t>Submissions 4 </w:t>
      </w:r>
      <w:r>
        <w:rPr>
          <w:spacing w:val="2"/>
          <w:w w:val="105"/>
          <w:sz w:val="13"/>
        </w:rPr>
        <w:t>(Name </w:t>
      </w:r>
      <w:r>
        <w:rPr>
          <w:w w:val="105"/>
          <w:sz w:val="13"/>
        </w:rPr>
        <w:t>withheld), 5 </w:t>
      </w:r>
      <w:r>
        <w:rPr>
          <w:spacing w:val="2"/>
          <w:w w:val="105"/>
          <w:sz w:val="13"/>
        </w:rPr>
        <w:t>(Name </w:t>
      </w:r>
      <w:r>
        <w:rPr>
          <w:w w:val="105"/>
          <w:sz w:val="13"/>
        </w:rPr>
        <w:t>withheld), 9 </w:t>
      </w:r>
      <w:r>
        <w:rPr>
          <w:spacing w:val="3"/>
          <w:w w:val="105"/>
          <w:sz w:val="13"/>
        </w:rPr>
        <w:t>(Dr </w:t>
      </w:r>
      <w:r>
        <w:rPr>
          <w:w w:val="105"/>
          <w:sz w:val="13"/>
        </w:rPr>
        <w:t>Karen Smith), </w:t>
      </w:r>
      <w:r>
        <w:rPr>
          <w:spacing w:val="-6"/>
          <w:w w:val="105"/>
          <w:sz w:val="13"/>
        </w:rPr>
        <w:t>11 </w:t>
      </w:r>
      <w:r>
        <w:rPr>
          <w:spacing w:val="2"/>
          <w:w w:val="105"/>
          <w:sz w:val="13"/>
        </w:rPr>
        <w:t>(Name </w:t>
      </w:r>
      <w:r>
        <w:rPr>
          <w:w w:val="105"/>
          <w:sz w:val="13"/>
        </w:rPr>
        <w:t>withheld), </w:t>
      </w:r>
      <w:r>
        <w:rPr>
          <w:spacing w:val="-3"/>
          <w:w w:val="105"/>
          <w:sz w:val="13"/>
        </w:rPr>
        <w:t>19 </w:t>
      </w:r>
      <w:r>
        <w:rPr>
          <w:spacing w:val="2"/>
          <w:w w:val="105"/>
          <w:sz w:val="13"/>
        </w:rPr>
        <w:t>(Name </w:t>
      </w:r>
      <w:r>
        <w:rPr>
          <w:w w:val="105"/>
          <w:sz w:val="13"/>
        </w:rPr>
        <w:t>withheld), 21 (Pointon Partners </w:t>
      </w:r>
      <w:r>
        <w:rPr>
          <w:spacing w:val="2"/>
          <w:w w:val="105"/>
          <w:sz w:val="13"/>
        </w:rPr>
        <w:t>Lawyers), </w:t>
      </w:r>
      <w:r>
        <w:rPr>
          <w:w w:val="105"/>
          <w:sz w:val="13"/>
        </w:rPr>
        <w:t>23 </w:t>
      </w:r>
      <w:r>
        <w:rPr>
          <w:spacing w:val="2"/>
          <w:w w:val="105"/>
          <w:sz w:val="13"/>
        </w:rPr>
        <w:t>(Name </w:t>
      </w:r>
      <w:r>
        <w:rPr>
          <w:w w:val="105"/>
          <w:sz w:val="13"/>
        </w:rPr>
        <w:t>withheld), 27 </w:t>
      </w:r>
      <w:r>
        <w:rPr>
          <w:spacing w:val="2"/>
          <w:w w:val="105"/>
          <w:sz w:val="13"/>
        </w:rPr>
        <w:t>(Name</w:t>
      </w:r>
      <w:r>
        <w:rPr>
          <w:spacing w:val="23"/>
          <w:w w:val="105"/>
          <w:sz w:val="13"/>
        </w:rPr>
        <w:t> </w:t>
      </w:r>
      <w:r>
        <w:rPr>
          <w:w w:val="105"/>
          <w:sz w:val="13"/>
        </w:rPr>
        <w:t>withheld).</w:t>
      </w:r>
    </w:p>
    <w:p>
      <w:pPr>
        <w:pStyle w:val="ListParagraph"/>
        <w:numPr>
          <w:ilvl w:val="0"/>
          <w:numId w:val="203"/>
        </w:numPr>
        <w:tabs>
          <w:tab w:pos="1225" w:val="left" w:leader="none"/>
          <w:tab w:pos="1226" w:val="left" w:leader="none"/>
        </w:tabs>
        <w:spacing w:line="240" w:lineRule="auto" w:before="3" w:after="0"/>
        <w:ind w:left="1225" w:right="0" w:hanging="793"/>
        <w:jc w:val="left"/>
        <w:rPr>
          <w:sz w:val="13"/>
        </w:rPr>
      </w:pPr>
      <w:r>
        <w:rPr>
          <w:w w:val="105"/>
          <w:sz w:val="13"/>
        </w:rPr>
        <w:t>Submissions 6 </w:t>
      </w:r>
      <w:r>
        <w:rPr>
          <w:spacing w:val="2"/>
          <w:w w:val="105"/>
          <w:sz w:val="13"/>
        </w:rPr>
        <w:t>(Name </w:t>
      </w:r>
      <w:r>
        <w:rPr>
          <w:w w:val="105"/>
          <w:sz w:val="13"/>
        </w:rPr>
        <w:t>withheld), 20 </w:t>
      </w:r>
      <w:r>
        <w:rPr>
          <w:spacing w:val="2"/>
          <w:w w:val="105"/>
          <w:sz w:val="13"/>
        </w:rPr>
        <w:t>(Name</w:t>
      </w:r>
      <w:r>
        <w:rPr>
          <w:spacing w:val="25"/>
          <w:w w:val="105"/>
          <w:sz w:val="13"/>
        </w:rPr>
        <w:t> </w:t>
      </w:r>
      <w:r>
        <w:rPr>
          <w:w w:val="105"/>
          <w:sz w:val="13"/>
        </w:rPr>
        <w:t>withheld).</w:t>
      </w:r>
    </w:p>
    <w:p>
      <w:pPr>
        <w:pStyle w:val="ListParagraph"/>
        <w:numPr>
          <w:ilvl w:val="0"/>
          <w:numId w:val="203"/>
        </w:numPr>
        <w:tabs>
          <w:tab w:pos="1225" w:val="left" w:leader="none"/>
          <w:tab w:pos="1226" w:val="left" w:leader="none"/>
        </w:tabs>
        <w:spacing w:line="240" w:lineRule="auto" w:before="1" w:after="0"/>
        <w:ind w:left="1225" w:right="0" w:hanging="793"/>
        <w:jc w:val="left"/>
        <w:rPr>
          <w:sz w:val="13"/>
        </w:rPr>
      </w:pPr>
      <w:r>
        <w:rPr>
          <w:w w:val="105"/>
          <w:sz w:val="13"/>
        </w:rPr>
        <w:t>Submission 4 </w:t>
      </w:r>
      <w:r>
        <w:rPr>
          <w:spacing w:val="2"/>
          <w:w w:val="105"/>
          <w:sz w:val="13"/>
        </w:rPr>
        <w:t>(Name</w:t>
      </w:r>
      <w:r>
        <w:rPr>
          <w:spacing w:val="13"/>
          <w:w w:val="105"/>
          <w:sz w:val="13"/>
        </w:rPr>
        <w:t> </w:t>
      </w:r>
      <w:r>
        <w:rPr>
          <w:w w:val="105"/>
          <w:sz w:val="13"/>
        </w:rPr>
        <w:t>withheld).</w:t>
      </w:r>
    </w:p>
    <w:p>
      <w:pPr>
        <w:pStyle w:val="ListParagraph"/>
        <w:numPr>
          <w:ilvl w:val="0"/>
          <w:numId w:val="203"/>
        </w:numPr>
        <w:tabs>
          <w:tab w:pos="1225" w:val="left" w:leader="none"/>
          <w:tab w:pos="1226" w:val="left" w:leader="none"/>
        </w:tabs>
        <w:spacing w:line="240" w:lineRule="auto" w:before="1" w:after="0"/>
        <w:ind w:left="1225" w:right="0" w:hanging="793"/>
        <w:jc w:val="left"/>
        <w:rPr>
          <w:sz w:val="13"/>
        </w:rPr>
      </w:pPr>
      <w:r>
        <w:rPr>
          <w:w w:val="105"/>
          <w:sz w:val="13"/>
        </w:rPr>
        <w:t>Submission 23 </w:t>
      </w:r>
      <w:r>
        <w:rPr>
          <w:spacing w:val="2"/>
          <w:w w:val="105"/>
          <w:sz w:val="13"/>
        </w:rPr>
        <w:t>(Name</w:t>
      </w:r>
      <w:r>
        <w:rPr>
          <w:spacing w:val="13"/>
          <w:w w:val="105"/>
          <w:sz w:val="13"/>
        </w:rPr>
        <w:t> </w:t>
      </w:r>
      <w:r>
        <w:rPr>
          <w:w w:val="105"/>
          <w:sz w:val="13"/>
        </w:rPr>
        <w:t>withheld).</w:t>
      </w:r>
    </w:p>
    <w:p>
      <w:pPr>
        <w:pStyle w:val="ListParagraph"/>
        <w:numPr>
          <w:ilvl w:val="0"/>
          <w:numId w:val="203"/>
        </w:numPr>
        <w:tabs>
          <w:tab w:pos="1225" w:val="left" w:leader="none"/>
          <w:tab w:pos="1226" w:val="left" w:leader="none"/>
        </w:tabs>
        <w:spacing w:line="240" w:lineRule="auto" w:before="2" w:after="0"/>
        <w:ind w:left="1225" w:right="0" w:hanging="793"/>
        <w:jc w:val="left"/>
        <w:rPr>
          <w:sz w:val="13"/>
        </w:rPr>
      </w:pPr>
      <w:r>
        <w:rPr>
          <w:w w:val="105"/>
          <w:sz w:val="13"/>
        </w:rPr>
        <w:t>Submissions </w:t>
      </w:r>
      <w:r>
        <w:rPr>
          <w:spacing w:val="-6"/>
          <w:w w:val="105"/>
          <w:sz w:val="13"/>
        </w:rPr>
        <w:t>11 </w:t>
      </w:r>
      <w:r>
        <w:rPr>
          <w:spacing w:val="2"/>
          <w:w w:val="105"/>
          <w:sz w:val="13"/>
        </w:rPr>
        <w:t>(Name </w:t>
      </w:r>
      <w:r>
        <w:rPr>
          <w:w w:val="105"/>
          <w:sz w:val="13"/>
        </w:rPr>
        <w:t>withheld), 23 </w:t>
      </w:r>
      <w:r>
        <w:rPr>
          <w:spacing w:val="2"/>
          <w:w w:val="105"/>
          <w:sz w:val="13"/>
        </w:rPr>
        <w:t>(Name</w:t>
      </w:r>
      <w:r>
        <w:rPr>
          <w:spacing w:val="6"/>
          <w:w w:val="105"/>
          <w:sz w:val="13"/>
        </w:rPr>
        <w:t> </w:t>
      </w:r>
      <w:r>
        <w:rPr>
          <w:w w:val="105"/>
          <w:sz w:val="13"/>
        </w:rPr>
        <w:t>withheld).</w:t>
      </w:r>
    </w:p>
    <w:p>
      <w:pPr>
        <w:pStyle w:val="ListParagraph"/>
        <w:numPr>
          <w:ilvl w:val="0"/>
          <w:numId w:val="203"/>
        </w:numPr>
        <w:tabs>
          <w:tab w:pos="1225" w:val="left" w:leader="none"/>
          <w:tab w:pos="1227" w:val="left" w:leader="none"/>
        </w:tabs>
        <w:spacing w:line="240" w:lineRule="auto" w:before="1" w:after="0"/>
        <w:ind w:left="1226" w:right="0" w:hanging="794"/>
        <w:jc w:val="left"/>
        <w:rPr>
          <w:sz w:val="13"/>
        </w:rPr>
      </w:pPr>
      <w:r>
        <w:rPr>
          <w:w w:val="105"/>
          <w:sz w:val="13"/>
        </w:rPr>
        <w:t>Submission </w:t>
      </w:r>
      <w:r>
        <w:rPr>
          <w:spacing w:val="-3"/>
          <w:w w:val="105"/>
          <w:sz w:val="13"/>
        </w:rPr>
        <w:t>19 </w:t>
      </w:r>
      <w:r>
        <w:rPr>
          <w:spacing w:val="2"/>
          <w:w w:val="105"/>
          <w:sz w:val="13"/>
        </w:rPr>
        <w:t>(Name</w:t>
      </w:r>
      <w:r>
        <w:rPr>
          <w:spacing w:val="16"/>
          <w:w w:val="105"/>
          <w:sz w:val="13"/>
        </w:rPr>
        <w:t> </w:t>
      </w:r>
      <w:r>
        <w:rPr>
          <w:w w:val="105"/>
          <w:sz w:val="13"/>
        </w:rPr>
        <w:t>withheld).</w:t>
      </w:r>
    </w:p>
    <w:p>
      <w:pPr>
        <w:pStyle w:val="ListParagraph"/>
        <w:numPr>
          <w:ilvl w:val="0"/>
          <w:numId w:val="203"/>
        </w:numPr>
        <w:tabs>
          <w:tab w:pos="1225" w:val="left" w:leader="none"/>
          <w:tab w:pos="1227" w:val="left" w:leader="none"/>
        </w:tabs>
        <w:spacing w:line="240" w:lineRule="auto" w:before="1" w:after="0"/>
        <w:ind w:left="1226" w:right="1798" w:hanging="794"/>
        <w:jc w:val="left"/>
        <w:rPr>
          <w:sz w:val="13"/>
        </w:rPr>
      </w:pPr>
      <w:r>
        <w:rPr>
          <w:w w:val="105"/>
          <w:sz w:val="13"/>
        </w:rPr>
        <w:t>Information provided by DSCV as part of a data request from the Commission, November 2018 and clarification of data provided in May 2019.</w:t>
      </w:r>
    </w:p>
    <w:p>
      <w:pPr>
        <w:spacing w:after="0" w:line="240" w:lineRule="auto"/>
        <w:jc w:val="left"/>
        <w:rPr>
          <w:sz w:val="13"/>
        </w:rPr>
        <w:sectPr>
          <w:type w:val="continuous"/>
          <w:pgSz w:w="11910" w:h="16840"/>
          <w:pgMar w:top="300" w:bottom="280" w:left="0" w:right="0"/>
          <w:cols w:num="2" w:equalWidth="0">
            <w:col w:w="1116" w:space="40"/>
            <w:col w:w="10754"/>
          </w:cols>
        </w:sectPr>
      </w:pPr>
    </w:p>
    <w:p>
      <w:pPr>
        <w:pStyle w:val="BodyText"/>
        <w:rPr>
          <w:sz w:val="20"/>
        </w:rPr>
      </w:pPr>
    </w:p>
    <w:p>
      <w:pPr>
        <w:pStyle w:val="BodyText"/>
        <w:spacing w:before="9"/>
        <w:rPr>
          <w:sz w:val="18"/>
        </w:rPr>
      </w:pPr>
    </w:p>
    <w:p>
      <w:pPr>
        <w:pStyle w:val="BodyText"/>
        <w:spacing w:line="242" w:lineRule="auto" w:before="91"/>
        <w:ind w:left="2381" w:right="1821"/>
      </w:pPr>
      <w:bookmarkStart w:name="Other options for law reform" w:id="350"/>
      <w:bookmarkEnd w:id="350"/>
      <w:r>
        <w:rPr/>
      </w:r>
      <w:bookmarkStart w:name="_bookmark162" w:id="351"/>
      <w:bookmarkEnd w:id="351"/>
      <w:r>
        <w:rPr/>
      </w:r>
      <w:r>
        <w:rPr>
          <w:w w:val="105"/>
        </w:rPr>
        <w:t>has started at the tribunal’.</w:t>
      </w:r>
      <w:r>
        <w:rPr>
          <w:w w:val="105"/>
          <w:position w:val="7"/>
          <w:sz w:val="12"/>
        </w:rPr>
        <w:t>29 </w:t>
      </w:r>
      <w:r>
        <w:rPr>
          <w:w w:val="105"/>
        </w:rPr>
        <w:t>ODR tools could make use of the new website and public information sources recommended in Chapter 12.</w:t>
      </w:r>
    </w:p>
    <w:p>
      <w:pPr>
        <w:pStyle w:val="ListParagraph"/>
        <w:numPr>
          <w:ilvl w:val="1"/>
          <w:numId w:val="16"/>
        </w:numPr>
        <w:tabs>
          <w:tab w:pos="2380" w:val="left" w:leader="none"/>
          <w:tab w:pos="2381" w:val="left" w:leader="none"/>
        </w:tabs>
        <w:spacing w:line="242" w:lineRule="auto" w:before="123" w:after="0"/>
        <w:ind w:left="2380" w:right="1906" w:hanging="793"/>
        <w:jc w:val="left"/>
        <w:rPr>
          <w:sz w:val="21"/>
        </w:rPr>
      </w:pPr>
      <w:r>
        <w:rPr>
          <w:sz w:val="21"/>
        </w:rPr>
        <w:t>While ODR provides some </w:t>
      </w:r>
      <w:r>
        <w:rPr>
          <w:spacing w:val="-3"/>
          <w:sz w:val="21"/>
        </w:rPr>
        <w:t>clear  </w:t>
      </w:r>
      <w:r>
        <w:rPr>
          <w:sz w:val="21"/>
        </w:rPr>
        <w:t>benefits </w:t>
      </w:r>
      <w:r>
        <w:rPr>
          <w:spacing w:val="-3"/>
          <w:sz w:val="21"/>
        </w:rPr>
        <w:t>for</w:t>
      </w:r>
      <w:r>
        <w:rPr>
          <w:spacing w:val="41"/>
          <w:sz w:val="21"/>
        </w:rPr>
        <w:t> </w:t>
      </w:r>
      <w:r>
        <w:rPr>
          <w:sz w:val="21"/>
        </w:rPr>
        <w:t>tree </w:t>
      </w:r>
      <w:r>
        <w:rPr>
          <w:spacing w:val="-3"/>
          <w:sz w:val="21"/>
        </w:rPr>
        <w:t>disputes,  </w:t>
      </w:r>
      <w:r>
        <w:rPr>
          <w:sz w:val="21"/>
        </w:rPr>
        <w:t>it </w:t>
      </w:r>
      <w:r>
        <w:rPr>
          <w:spacing w:val="-3"/>
          <w:sz w:val="21"/>
        </w:rPr>
        <w:t>may  </w:t>
      </w:r>
      <w:r>
        <w:rPr>
          <w:spacing w:val="-2"/>
          <w:sz w:val="21"/>
        </w:rPr>
        <w:t>not  </w:t>
      </w:r>
      <w:r>
        <w:rPr>
          <w:sz w:val="21"/>
        </w:rPr>
        <w:t>be </w:t>
      </w:r>
      <w:r>
        <w:rPr>
          <w:spacing w:val="-3"/>
          <w:sz w:val="21"/>
        </w:rPr>
        <w:t>appropriate   for all </w:t>
      </w:r>
      <w:r>
        <w:rPr>
          <w:sz w:val="21"/>
        </w:rPr>
        <w:t>cases or </w:t>
      </w:r>
      <w:r>
        <w:rPr>
          <w:spacing w:val="-3"/>
          <w:sz w:val="21"/>
        </w:rPr>
        <w:t>for all </w:t>
      </w:r>
      <w:r>
        <w:rPr>
          <w:sz w:val="21"/>
        </w:rPr>
        <w:t>steps in the </w:t>
      </w:r>
      <w:r>
        <w:rPr>
          <w:spacing w:val="-5"/>
          <w:sz w:val="21"/>
        </w:rPr>
        <w:t>VCAT </w:t>
      </w:r>
      <w:r>
        <w:rPr>
          <w:spacing w:val="-3"/>
          <w:sz w:val="21"/>
        </w:rPr>
        <w:t>adjudication </w:t>
      </w:r>
      <w:r>
        <w:rPr>
          <w:sz w:val="21"/>
        </w:rPr>
        <w:t>process. The </w:t>
      </w:r>
      <w:r>
        <w:rPr>
          <w:spacing w:val="-3"/>
          <w:sz w:val="21"/>
        </w:rPr>
        <w:t>remote nature </w:t>
      </w:r>
      <w:r>
        <w:rPr>
          <w:sz w:val="21"/>
        </w:rPr>
        <w:t>of</w:t>
      </w:r>
      <w:r>
        <w:rPr>
          <w:spacing w:val="-18"/>
          <w:sz w:val="21"/>
        </w:rPr>
        <w:t> </w:t>
      </w:r>
      <w:r>
        <w:rPr>
          <w:sz w:val="21"/>
        </w:rPr>
        <w:t>the</w:t>
      </w:r>
    </w:p>
    <w:p>
      <w:pPr>
        <w:pStyle w:val="BodyText"/>
        <w:spacing w:line="242" w:lineRule="auto" w:before="2"/>
        <w:ind w:left="2380" w:right="1667"/>
      </w:pPr>
      <w:r>
        <w:rPr/>
        <w:t>ODR </w:t>
      </w:r>
      <w:r>
        <w:rPr>
          <w:spacing w:val="-3"/>
        </w:rPr>
        <w:t>hearing </w:t>
      </w:r>
      <w:r>
        <w:rPr/>
        <w:t>process and the distance this </w:t>
      </w:r>
      <w:r>
        <w:rPr>
          <w:spacing w:val="-3"/>
        </w:rPr>
        <w:t>creates </w:t>
      </w:r>
      <w:r>
        <w:rPr/>
        <w:t>between the parties </w:t>
      </w:r>
      <w:r>
        <w:rPr>
          <w:spacing w:val="-3"/>
        </w:rPr>
        <w:t>will </w:t>
      </w:r>
      <w:r>
        <w:rPr/>
        <w:t>be </w:t>
      </w:r>
      <w:r>
        <w:rPr>
          <w:spacing w:val="-3"/>
        </w:rPr>
        <w:t>helpful </w:t>
      </w:r>
      <w:r>
        <w:rPr/>
        <w:t>in emotive </w:t>
      </w:r>
      <w:r>
        <w:rPr>
          <w:spacing w:val="-3"/>
        </w:rPr>
        <w:t>disputes. </w:t>
      </w:r>
      <w:r>
        <w:rPr>
          <w:spacing w:val="-4"/>
        </w:rPr>
        <w:t>However, </w:t>
      </w:r>
      <w:r>
        <w:rPr/>
        <w:t>some </w:t>
      </w:r>
      <w:r>
        <w:rPr>
          <w:spacing w:val="-3"/>
        </w:rPr>
        <w:t>disputes will </w:t>
      </w:r>
      <w:r>
        <w:rPr/>
        <w:t>be better </w:t>
      </w:r>
      <w:r>
        <w:rPr>
          <w:spacing w:val="-3"/>
        </w:rPr>
        <w:t>suited to face-to-face resolution. Face-to-face </w:t>
      </w:r>
      <w:r>
        <w:rPr/>
        <w:t>negotiation </w:t>
      </w:r>
      <w:r>
        <w:rPr>
          <w:spacing w:val="-3"/>
        </w:rPr>
        <w:t>may encourage  </w:t>
      </w:r>
      <w:r>
        <w:rPr/>
        <w:t>parties </w:t>
      </w:r>
      <w:r>
        <w:rPr>
          <w:spacing w:val="-3"/>
        </w:rPr>
        <w:t>to</w:t>
      </w:r>
      <w:r>
        <w:rPr>
          <w:spacing w:val="41"/>
        </w:rPr>
        <w:t> </w:t>
      </w:r>
      <w:r>
        <w:rPr>
          <w:spacing w:val="-3"/>
        </w:rPr>
        <w:t>negotiate  </w:t>
      </w:r>
      <w:r>
        <w:rPr/>
        <w:t>a solution </w:t>
      </w:r>
      <w:r>
        <w:rPr>
          <w:spacing w:val="-3"/>
        </w:rPr>
        <w:t>that  </w:t>
      </w:r>
      <w:r>
        <w:rPr/>
        <w:t>they can </w:t>
      </w:r>
      <w:r>
        <w:rPr>
          <w:spacing w:val="-3"/>
        </w:rPr>
        <w:t>all ‘live with’ </w:t>
      </w:r>
      <w:r>
        <w:rPr/>
        <w:t>because of the </w:t>
      </w:r>
      <w:r>
        <w:rPr>
          <w:spacing w:val="-3"/>
        </w:rPr>
        <w:t>proximity </w:t>
      </w:r>
      <w:r>
        <w:rPr/>
        <w:t>of neighbours and their ongoing </w:t>
      </w:r>
      <w:r>
        <w:rPr>
          <w:spacing w:val="-3"/>
        </w:rPr>
        <w:t>relationship. </w:t>
      </w:r>
      <w:r>
        <w:rPr/>
        <w:t>This is important.</w:t>
      </w:r>
    </w:p>
    <w:p>
      <w:pPr>
        <w:pStyle w:val="ListParagraph"/>
        <w:numPr>
          <w:ilvl w:val="1"/>
          <w:numId w:val="16"/>
        </w:numPr>
        <w:tabs>
          <w:tab w:pos="2380" w:val="left" w:leader="none"/>
          <w:tab w:pos="2381" w:val="left" w:leader="none"/>
        </w:tabs>
        <w:spacing w:line="242" w:lineRule="auto" w:before="125" w:after="0"/>
        <w:ind w:left="2380" w:right="1895" w:hanging="793"/>
        <w:jc w:val="left"/>
        <w:rPr>
          <w:sz w:val="21"/>
        </w:rPr>
      </w:pPr>
      <w:r>
        <w:rPr>
          <w:spacing w:val="-4"/>
          <w:w w:val="105"/>
          <w:sz w:val="21"/>
        </w:rPr>
        <w:t>Chapter</w:t>
      </w:r>
      <w:r>
        <w:rPr>
          <w:spacing w:val="-9"/>
          <w:w w:val="105"/>
          <w:sz w:val="21"/>
        </w:rPr>
        <w:t> </w:t>
      </w:r>
      <w:r>
        <w:rPr>
          <w:w w:val="105"/>
          <w:sz w:val="21"/>
        </w:rPr>
        <w:t>7</w:t>
      </w:r>
      <w:r>
        <w:rPr>
          <w:spacing w:val="-9"/>
          <w:w w:val="105"/>
          <w:sz w:val="21"/>
        </w:rPr>
        <w:t> </w:t>
      </w:r>
      <w:r>
        <w:rPr>
          <w:w w:val="105"/>
          <w:sz w:val="21"/>
        </w:rPr>
        <w:t>identified</w:t>
      </w:r>
      <w:r>
        <w:rPr>
          <w:spacing w:val="-8"/>
          <w:w w:val="105"/>
          <w:sz w:val="21"/>
        </w:rPr>
        <w:t> </w:t>
      </w:r>
      <w:r>
        <w:rPr>
          <w:w w:val="105"/>
          <w:sz w:val="21"/>
        </w:rPr>
        <w:t>the</w:t>
      </w:r>
      <w:r>
        <w:rPr>
          <w:spacing w:val="-9"/>
          <w:w w:val="105"/>
          <w:sz w:val="21"/>
        </w:rPr>
        <w:t> </w:t>
      </w:r>
      <w:r>
        <w:rPr>
          <w:w w:val="105"/>
          <w:sz w:val="21"/>
        </w:rPr>
        <w:t>important</w:t>
      </w:r>
      <w:r>
        <w:rPr>
          <w:spacing w:val="-8"/>
          <w:w w:val="105"/>
          <w:sz w:val="21"/>
        </w:rPr>
        <w:t> </w:t>
      </w:r>
      <w:r>
        <w:rPr>
          <w:w w:val="105"/>
          <w:sz w:val="21"/>
        </w:rPr>
        <w:t>role</w:t>
      </w:r>
      <w:r>
        <w:rPr>
          <w:spacing w:val="-9"/>
          <w:w w:val="105"/>
          <w:sz w:val="21"/>
        </w:rPr>
        <w:t> </w:t>
      </w:r>
      <w:r>
        <w:rPr>
          <w:spacing w:val="-3"/>
          <w:w w:val="105"/>
          <w:sz w:val="21"/>
        </w:rPr>
        <w:t>that</w:t>
      </w:r>
      <w:r>
        <w:rPr>
          <w:spacing w:val="-8"/>
          <w:w w:val="105"/>
          <w:sz w:val="21"/>
        </w:rPr>
        <w:t> </w:t>
      </w:r>
      <w:r>
        <w:rPr>
          <w:w w:val="105"/>
          <w:sz w:val="21"/>
        </w:rPr>
        <w:t>on-site</w:t>
      </w:r>
      <w:r>
        <w:rPr>
          <w:spacing w:val="-9"/>
          <w:w w:val="105"/>
          <w:sz w:val="21"/>
        </w:rPr>
        <w:t> </w:t>
      </w:r>
      <w:r>
        <w:rPr>
          <w:w w:val="105"/>
          <w:sz w:val="21"/>
        </w:rPr>
        <w:t>final</w:t>
      </w:r>
      <w:r>
        <w:rPr>
          <w:spacing w:val="-9"/>
          <w:w w:val="105"/>
          <w:sz w:val="21"/>
        </w:rPr>
        <w:t> </w:t>
      </w:r>
      <w:r>
        <w:rPr>
          <w:spacing w:val="-3"/>
          <w:w w:val="105"/>
          <w:sz w:val="21"/>
        </w:rPr>
        <w:t>hearings</w:t>
      </w:r>
      <w:r>
        <w:rPr>
          <w:spacing w:val="-8"/>
          <w:w w:val="105"/>
          <w:sz w:val="21"/>
        </w:rPr>
        <w:t> </w:t>
      </w:r>
      <w:r>
        <w:rPr>
          <w:spacing w:val="-3"/>
          <w:w w:val="105"/>
          <w:sz w:val="21"/>
        </w:rPr>
        <w:t>play</w:t>
      </w:r>
      <w:r>
        <w:rPr>
          <w:spacing w:val="-9"/>
          <w:w w:val="105"/>
          <w:sz w:val="21"/>
        </w:rPr>
        <w:t> </w:t>
      </w:r>
      <w:r>
        <w:rPr>
          <w:w w:val="105"/>
          <w:sz w:val="21"/>
        </w:rPr>
        <w:t>in</w:t>
      </w:r>
      <w:r>
        <w:rPr>
          <w:spacing w:val="-8"/>
          <w:w w:val="105"/>
          <w:sz w:val="21"/>
        </w:rPr>
        <w:t> </w:t>
      </w:r>
      <w:r>
        <w:rPr>
          <w:w w:val="105"/>
          <w:sz w:val="21"/>
        </w:rPr>
        <w:t>the</w:t>
      </w:r>
      <w:r>
        <w:rPr>
          <w:spacing w:val="-9"/>
          <w:w w:val="105"/>
          <w:sz w:val="21"/>
        </w:rPr>
        <w:t> </w:t>
      </w:r>
      <w:r>
        <w:rPr>
          <w:w w:val="105"/>
          <w:sz w:val="21"/>
        </w:rPr>
        <w:t>resolution of tree </w:t>
      </w:r>
      <w:r>
        <w:rPr>
          <w:spacing w:val="-3"/>
          <w:w w:val="105"/>
          <w:sz w:val="21"/>
        </w:rPr>
        <w:t>disputes </w:t>
      </w:r>
      <w:r>
        <w:rPr>
          <w:w w:val="105"/>
          <w:sz w:val="21"/>
        </w:rPr>
        <w:t>in New South </w:t>
      </w:r>
      <w:r>
        <w:rPr>
          <w:spacing w:val="-3"/>
          <w:w w:val="105"/>
          <w:sz w:val="21"/>
        </w:rPr>
        <w:t>Wales </w:t>
      </w:r>
      <w:r>
        <w:rPr>
          <w:w w:val="105"/>
          <w:sz w:val="21"/>
        </w:rPr>
        <w:t>and in the </w:t>
      </w:r>
      <w:r>
        <w:rPr>
          <w:spacing w:val="-3"/>
          <w:w w:val="105"/>
          <w:sz w:val="21"/>
        </w:rPr>
        <w:t>success </w:t>
      </w:r>
      <w:r>
        <w:rPr>
          <w:w w:val="105"/>
          <w:sz w:val="21"/>
        </w:rPr>
        <w:t>of the NSW </w:t>
      </w:r>
      <w:r>
        <w:rPr>
          <w:spacing w:val="-3"/>
          <w:w w:val="105"/>
          <w:sz w:val="21"/>
        </w:rPr>
        <w:t>scheme. </w:t>
      </w:r>
      <w:r>
        <w:rPr>
          <w:w w:val="105"/>
          <w:sz w:val="21"/>
        </w:rPr>
        <w:t>The </w:t>
      </w:r>
      <w:r>
        <w:rPr>
          <w:spacing w:val="-3"/>
          <w:w w:val="105"/>
          <w:sz w:val="21"/>
        </w:rPr>
        <w:t>Commission </w:t>
      </w:r>
      <w:r>
        <w:rPr>
          <w:spacing w:val="-2"/>
          <w:w w:val="105"/>
          <w:sz w:val="21"/>
        </w:rPr>
        <w:t>has </w:t>
      </w:r>
      <w:r>
        <w:rPr>
          <w:spacing w:val="-3"/>
          <w:w w:val="105"/>
          <w:sz w:val="21"/>
        </w:rPr>
        <w:t>heard that physically </w:t>
      </w:r>
      <w:r>
        <w:rPr>
          <w:w w:val="105"/>
          <w:sz w:val="21"/>
        </w:rPr>
        <w:t>viewing the tree and the problem in context </w:t>
      </w:r>
      <w:r>
        <w:rPr>
          <w:spacing w:val="-3"/>
          <w:w w:val="105"/>
          <w:sz w:val="21"/>
        </w:rPr>
        <w:t>greatly</w:t>
      </w:r>
      <w:r>
        <w:rPr>
          <w:spacing w:val="-10"/>
          <w:w w:val="105"/>
          <w:sz w:val="21"/>
        </w:rPr>
        <w:t> </w:t>
      </w:r>
      <w:r>
        <w:rPr>
          <w:w w:val="105"/>
          <w:sz w:val="21"/>
        </w:rPr>
        <w:t>assists</w:t>
      </w:r>
      <w:r>
        <w:rPr>
          <w:spacing w:val="-10"/>
          <w:w w:val="105"/>
          <w:sz w:val="21"/>
        </w:rPr>
        <w:t> </w:t>
      </w:r>
      <w:r>
        <w:rPr>
          <w:w w:val="105"/>
          <w:sz w:val="21"/>
        </w:rPr>
        <w:t>the</w:t>
      </w:r>
      <w:r>
        <w:rPr>
          <w:spacing w:val="-10"/>
          <w:w w:val="105"/>
          <w:sz w:val="21"/>
        </w:rPr>
        <w:t> </w:t>
      </w:r>
      <w:r>
        <w:rPr>
          <w:w w:val="105"/>
          <w:sz w:val="21"/>
        </w:rPr>
        <w:t>court</w:t>
      </w:r>
      <w:r>
        <w:rPr>
          <w:spacing w:val="-10"/>
          <w:w w:val="105"/>
          <w:sz w:val="21"/>
        </w:rPr>
        <w:t> </w:t>
      </w:r>
      <w:r>
        <w:rPr>
          <w:spacing w:val="-3"/>
          <w:w w:val="105"/>
          <w:sz w:val="21"/>
        </w:rPr>
        <w:t>to</w:t>
      </w:r>
      <w:r>
        <w:rPr>
          <w:spacing w:val="-10"/>
          <w:w w:val="105"/>
          <w:sz w:val="21"/>
        </w:rPr>
        <w:t> </w:t>
      </w:r>
      <w:r>
        <w:rPr>
          <w:w w:val="105"/>
          <w:sz w:val="21"/>
        </w:rPr>
        <w:t>deliver</w:t>
      </w:r>
      <w:r>
        <w:rPr>
          <w:spacing w:val="-10"/>
          <w:w w:val="105"/>
          <w:sz w:val="21"/>
        </w:rPr>
        <w:t> </w:t>
      </w:r>
      <w:r>
        <w:rPr>
          <w:w w:val="105"/>
          <w:sz w:val="21"/>
        </w:rPr>
        <w:t>practical</w:t>
      </w:r>
      <w:r>
        <w:rPr>
          <w:spacing w:val="-10"/>
          <w:w w:val="105"/>
          <w:sz w:val="21"/>
        </w:rPr>
        <w:t> </w:t>
      </w:r>
      <w:r>
        <w:rPr>
          <w:w w:val="105"/>
          <w:sz w:val="21"/>
        </w:rPr>
        <w:t>and</w:t>
      </w:r>
      <w:r>
        <w:rPr>
          <w:spacing w:val="-10"/>
          <w:w w:val="105"/>
          <w:sz w:val="21"/>
        </w:rPr>
        <w:t> </w:t>
      </w:r>
      <w:r>
        <w:rPr>
          <w:w w:val="105"/>
          <w:sz w:val="21"/>
        </w:rPr>
        <w:t>robust</w:t>
      </w:r>
      <w:r>
        <w:rPr>
          <w:spacing w:val="-10"/>
          <w:w w:val="105"/>
          <w:sz w:val="21"/>
        </w:rPr>
        <w:t> </w:t>
      </w:r>
      <w:r>
        <w:rPr>
          <w:w w:val="105"/>
          <w:sz w:val="21"/>
        </w:rPr>
        <w:t>solutions</w:t>
      </w:r>
      <w:r>
        <w:rPr>
          <w:spacing w:val="-10"/>
          <w:w w:val="105"/>
          <w:sz w:val="21"/>
        </w:rPr>
        <w:t> </w:t>
      </w:r>
      <w:r>
        <w:rPr>
          <w:spacing w:val="-3"/>
          <w:w w:val="105"/>
          <w:sz w:val="21"/>
        </w:rPr>
        <w:t>to</w:t>
      </w:r>
      <w:r>
        <w:rPr>
          <w:spacing w:val="-10"/>
          <w:w w:val="105"/>
          <w:sz w:val="21"/>
        </w:rPr>
        <w:t> </w:t>
      </w:r>
      <w:r>
        <w:rPr>
          <w:w w:val="105"/>
          <w:sz w:val="21"/>
        </w:rPr>
        <w:t>the</w:t>
      </w:r>
      <w:r>
        <w:rPr>
          <w:spacing w:val="-10"/>
          <w:w w:val="105"/>
          <w:sz w:val="21"/>
        </w:rPr>
        <w:t> </w:t>
      </w:r>
      <w:r>
        <w:rPr>
          <w:spacing w:val="-3"/>
          <w:w w:val="105"/>
          <w:sz w:val="21"/>
        </w:rPr>
        <w:t>problem.</w:t>
      </w:r>
      <w:r>
        <w:rPr>
          <w:spacing w:val="-10"/>
          <w:w w:val="105"/>
          <w:sz w:val="21"/>
        </w:rPr>
        <w:t> </w:t>
      </w:r>
      <w:r>
        <w:rPr>
          <w:w w:val="105"/>
          <w:sz w:val="21"/>
        </w:rPr>
        <w:t>It</w:t>
      </w:r>
      <w:r>
        <w:rPr>
          <w:spacing w:val="-10"/>
          <w:w w:val="105"/>
          <w:sz w:val="21"/>
        </w:rPr>
        <w:t> </w:t>
      </w:r>
      <w:r>
        <w:rPr>
          <w:w w:val="105"/>
          <w:sz w:val="21"/>
        </w:rPr>
        <w:t>was recommended </w:t>
      </w:r>
      <w:r>
        <w:rPr>
          <w:spacing w:val="-3"/>
          <w:w w:val="105"/>
          <w:sz w:val="21"/>
        </w:rPr>
        <w:t>that </w:t>
      </w:r>
      <w:r>
        <w:rPr>
          <w:spacing w:val="-5"/>
          <w:w w:val="105"/>
          <w:sz w:val="21"/>
        </w:rPr>
        <w:t>VCAT </w:t>
      </w:r>
      <w:r>
        <w:rPr>
          <w:w w:val="105"/>
          <w:sz w:val="21"/>
        </w:rPr>
        <w:t>conduct on-site final </w:t>
      </w:r>
      <w:r>
        <w:rPr>
          <w:spacing w:val="-3"/>
          <w:w w:val="105"/>
          <w:sz w:val="21"/>
        </w:rPr>
        <w:t>hearings for </w:t>
      </w:r>
      <w:r>
        <w:rPr>
          <w:w w:val="105"/>
          <w:sz w:val="21"/>
        </w:rPr>
        <w:t>tree </w:t>
      </w:r>
      <w:r>
        <w:rPr>
          <w:spacing w:val="-3"/>
          <w:w w:val="105"/>
          <w:sz w:val="21"/>
        </w:rPr>
        <w:t>disputes </w:t>
      </w:r>
      <w:r>
        <w:rPr>
          <w:w w:val="105"/>
          <w:sz w:val="21"/>
        </w:rPr>
        <w:t>or</w:t>
      </w:r>
      <w:r>
        <w:rPr>
          <w:spacing w:val="-5"/>
          <w:w w:val="105"/>
          <w:sz w:val="21"/>
        </w:rPr>
        <w:t> </w:t>
      </w:r>
      <w:r>
        <w:rPr>
          <w:w w:val="105"/>
          <w:sz w:val="21"/>
        </w:rPr>
        <w:t>on-site</w:t>
      </w:r>
    </w:p>
    <w:p>
      <w:pPr>
        <w:pStyle w:val="BodyText"/>
        <w:spacing w:line="242" w:lineRule="auto" w:before="6"/>
        <w:ind w:left="2380" w:right="1750"/>
      </w:pPr>
      <w:r>
        <w:rPr/>
        <w:t>inspections modelled on the </w:t>
      </w:r>
      <w:r>
        <w:rPr>
          <w:spacing w:val="-3"/>
        </w:rPr>
        <w:t>Queensland  approach.  </w:t>
      </w:r>
      <w:r>
        <w:rPr/>
        <w:t>End-to-end ODR </w:t>
      </w:r>
      <w:r>
        <w:rPr>
          <w:spacing w:val="-3"/>
        </w:rPr>
        <w:t>may</w:t>
      </w:r>
      <w:r>
        <w:rPr>
          <w:spacing w:val="41"/>
        </w:rPr>
        <w:t> </w:t>
      </w:r>
      <w:r>
        <w:rPr/>
        <w:t>be better </w:t>
      </w:r>
      <w:r>
        <w:rPr>
          <w:spacing w:val="-3"/>
        </w:rPr>
        <w:t>suited  to </w:t>
      </w:r>
      <w:r>
        <w:rPr/>
        <w:t>less hostile and less complex tree </w:t>
      </w:r>
      <w:r>
        <w:rPr>
          <w:spacing w:val="-3"/>
        </w:rPr>
        <w:t>disputes. </w:t>
      </w:r>
      <w:r>
        <w:rPr/>
        <w:t>In other cases it </w:t>
      </w:r>
      <w:r>
        <w:rPr>
          <w:spacing w:val="-3"/>
        </w:rPr>
        <w:t>will </w:t>
      </w:r>
      <w:r>
        <w:rPr/>
        <w:t>be important</w:t>
      </w:r>
      <w:r>
        <w:rPr>
          <w:spacing w:val="42"/>
        </w:rPr>
        <w:t> </w:t>
      </w:r>
      <w:r>
        <w:rPr>
          <w:spacing w:val="-3"/>
        </w:rPr>
        <w:t>that</w:t>
      </w:r>
    </w:p>
    <w:p>
      <w:pPr>
        <w:pStyle w:val="BodyText"/>
        <w:spacing w:line="242" w:lineRule="auto" w:before="2"/>
        <w:ind w:left="2380" w:right="1636"/>
      </w:pPr>
      <w:r>
        <w:rPr/>
        <w:t>on-site hearings or inspections are able to feed into any future ODR framework for tree disputes.</w:t>
      </w:r>
    </w:p>
    <w:p>
      <w:pPr>
        <w:pStyle w:val="BodyText"/>
        <w:spacing w:before="9"/>
      </w:pPr>
    </w:p>
    <w:p>
      <w:pPr>
        <w:pStyle w:val="Heading4"/>
      </w:pPr>
      <w:r>
        <w:rPr>
          <w:color w:val="658464"/>
          <w:w w:val="115"/>
        </w:rPr>
        <w:t>Other options for law reform</w:t>
      </w:r>
    </w:p>
    <w:p>
      <w:pPr>
        <w:pStyle w:val="ListParagraph"/>
        <w:numPr>
          <w:ilvl w:val="1"/>
          <w:numId w:val="16"/>
        </w:numPr>
        <w:tabs>
          <w:tab w:pos="2381" w:val="left" w:leader="none"/>
          <w:tab w:pos="2382" w:val="left" w:leader="none"/>
        </w:tabs>
        <w:spacing w:line="242" w:lineRule="auto" w:before="155" w:after="0"/>
        <w:ind w:left="2381" w:right="1795" w:hanging="794"/>
        <w:jc w:val="left"/>
        <w:rPr>
          <w:sz w:val="21"/>
        </w:rPr>
      </w:pPr>
      <w:r>
        <w:rPr>
          <w:sz w:val="21"/>
        </w:rPr>
        <w:t>The community was </w:t>
      </w:r>
      <w:r>
        <w:rPr>
          <w:spacing w:val="-3"/>
          <w:sz w:val="21"/>
        </w:rPr>
        <w:t>invited to </w:t>
      </w:r>
      <w:r>
        <w:rPr>
          <w:sz w:val="21"/>
        </w:rPr>
        <w:t>propose </w:t>
      </w:r>
      <w:r>
        <w:rPr>
          <w:spacing w:val="-3"/>
          <w:sz w:val="21"/>
        </w:rPr>
        <w:t>alternative </w:t>
      </w:r>
      <w:r>
        <w:rPr>
          <w:sz w:val="21"/>
        </w:rPr>
        <w:t>options </w:t>
      </w:r>
      <w:r>
        <w:rPr>
          <w:spacing w:val="-3"/>
          <w:sz w:val="21"/>
        </w:rPr>
        <w:t>for reform  to  </w:t>
      </w:r>
      <w:r>
        <w:rPr>
          <w:sz w:val="21"/>
        </w:rPr>
        <w:t>those proposed by the </w:t>
      </w:r>
      <w:r>
        <w:rPr>
          <w:spacing w:val="-3"/>
          <w:sz w:val="21"/>
        </w:rPr>
        <w:t>Commission </w:t>
      </w:r>
      <w:r>
        <w:rPr>
          <w:sz w:val="21"/>
        </w:rPr>
        <w:t>in the </w:t>
      </w:r>
      <w:r>
        <w:rPr>
          <w:spacing w:val="-3"/>
          <w:sz w:val="21"/>
        </w:rPr>
        <w:t>consultation </w:t>
      </w:r>
      <w:r>
        <w:rPr>
          <w:spacing w:val="-4"/>
          <w:sz w:val="21"/>
        </w:rPr>
        <w:t>paper. </w:t>
      </w:r>
      <w:r>
        <w:rPr>
          <w:sz w:val="21"/>
        </w:rPr>
        <w:t>Ideas </w:t>
      </w:r>
      <w:r>
        <w:rPr>
          <w:spacing w:val="-3"/>
          <w:sz w:val="21"/>
        </w:rPr>
        <w:t>were</w:t>
      </w:r>
      <w:r>
        <w:rPr>
          <w:spacing w:val="1"/>
          <w:sz w:val="21"/>
        </w:rPr>
        <w:t> </w:t>
      </w:r>
      <w:r>
        <w:rPr>
          <w:sz w:val="21"/>
        </w:rPr>
        <w:t>received about:</w:t>
      </w:r>
    </w:p>
    <w:p>
      <w:pPr>
        <w:pStyle w:val="ListParagraph"/>
        <w:numPr>
          <w:ilvl w:val="2"/>
          <w:numId w:val="16"/>
        </w:numPr>
        <w:tabs>
          <w:tab w:pos="2721" w:val="left" w:leader="none"/>
          <w:tab w:pos="2722" w:val="left" w:leader="none"/>
        </w:tabs>
        <w:spacing w:line="242" w:lineRule="auto" w:before="122" w:after="0"/>
        <w:ind w:left="2721" w:right="1705" w:hanging="340"/>
        <w:jc w:val="left"/>
        <w:rPr>
          <w:sz w:val="21"/>
        </w:rPr>
      </w:pPr>
      <w:r>
        <w:rPr>
          <w:spacing w:val="-3"/>
          <w:w w:val="105"/>
          <w:sz w:val="21"/>
        </w:rPr>
        <w:t>addressing </w:t>
      </w:r>
      <w:r>
        <w:rPr>
          <w:spacing w:val="-2"/>
          <w:w w:val="105"/>
          <w:sz w:val="21"/>
        </w:rPr>
        <w:t>problems </w:t>
      </w:r>
      <w:r>
        <w:rPr>
          <w:w w:val="105"/>
          <w:sz w:val="21"/>
        </w:rPr>
        <w:t>with local laws and </w:t>
      </w:r>
      <w:r>
        <w:rPr>
          <w:spacing w:val="-3"/>
          <w:w w:val="105"/>
          <w:sz w:val="21"/>
        </w:rPr>
        <w:t>increasing councils’ </w:t>
      </w:r>
      <w:r>
        <w:rPr>
          <w:w w:val="105"/>
          <w:sz w:val="21"/>
        </w:rPr>
        <w:t>role in the </w:t>
      </w:r>
      <w:r>
        <w:rPr>
          <w:spacing w:val="-3"/>
          <w:w w:val="105"/>
          <w:sz w:val="21"/>
        </w:rPr>
        <w:t>management </w:t>
      </w:r>
      <w:r>
        <w:rPr>
          <w:w w:val="105"/>
          <w:sz w:val="21"/>
        </w:rPr>
        <w:t>of vegetation on </w:t>
      </w:r>
      <w:r>
        <w:rPr>
          <w:spacing w:val="-3"/>
          <w:w w:val="105"/>
          <w:sz w:val="21"/>
        </w:rPr>
        <w:t>private</w:t>
      </w:r>
      <w:r>
        <w:rPr>
          <w:spacing w:val="20"/>
          <w:w w:val="105"/>
          <w:sz w:val="21"/>
        </w:rPr>
        <w:t> </w:t>
      </w:r>
      <w:r>
        <w:rPr>
          <w:w w:val="105"/>
          <w:sz w:val="21"/>
        </w:rPr>
        <w:t>land</w:t>
      </w:r>
      <w:r>
        <w:rPr>
          <w:w w:val="105"/>
          <w:position w:val="7"/>
          <w:sz w:val="12"/>
        </w:rPr>
        <w:t>30</w:t>
      </w:r>
    </w:p>
    <w:p>
      <w:pPr>
        <w:pStyle w:val="ListParagraph"/>
        <w:numPr>
          <w:ilvl w:val="2"/>
          <w:numId w:val="16"/>
        </w:numPr>
        <w:tabs>
          <w:tab w:pos="2721" w:val="left" w:leader="none"/>
          <w:tab w:pos="2722" w:val="left" w:leader="none"/>
        </w:tabs>
        <w:spacing w:line="240" w:lineRule="auto" w:before="87" w:after="0"/>
        <w:ind w:left="2721" w:right="0" w:hanging="340"/>
        <w:jc w:val="left"/>
        <w:rPr>
          <w:sz w:val="21"/>
        </w:rPr>
      </w:pPr>
      <w:r>
        <w:rPr>
          <w:w w:val="105"/>
          <w:sz w:val="21"/>
        </w:rPr>
        <w:t>the</w:t>
      </w:r>
      <w:r>
        <w:rPr>
          <w:spacing w:val="4"/>
          <w:w w:val="105"/>
          <w:sz w:val="21"/>
        </w:rPr>
        <w:t> </w:t>
      </w:r>
      <w:r>
        <w:rPr>
          <w:spacing w:val="-3"/>
          <w:w w:val="105"/>
          <w:sz w:val="21"/>
        </w:rPr>
        <w:t>creation</w:t>
      </w:r>
      <w:r>
        <w:rPr>
          <w:spacing w:val="4"/>
          <w:w w:val="105"/>
          <w:sz w:val="21"/>
        </w:rPr>
        <w:t> </w:t>
      </w:r>
      <w:r>
        <w:rPr>
          <w:w w:val="105"/>
          <w:sz w:val="21"/>
        </w:rPr>
        <w:t>of</w:t>
      </w:r>
      <w:r>
        <w:rPr>
          <w:spacing w:val="4"/>
          <w:w w:val="105"/>
          <w:sz w:val="21"/>
        </w:rPr>
        <w:t> </w:t>
      </w:r>
      <w:r>
        <w:rPr>
          <w:spacing w:val="-3"/>
          <w:w w:val="105"/>
          <w:sz w:val="21"/>
        </w:rPr>
        <w:t>binding</w:t>
      </w:r>
      <w:r>
        <w:rPr>
          <w:spacing w:val="4"/>
          <w:w w:val="105"/>
          <w:sz w:val="21"/>
        </w:rPr>
        <w:t> </w:t>
      </w:r>
      <w:r>
        <w:rPr>
          <w:spacing w:val="-3"/>
          <w:w w:val="105"/>
          <w:sz w:val="21"/>
        </w:rPr>
        <w:t>obligations</w:t>
      </w:r>
      <w:r>
        <w:rPr>
          <w:spacing w:val="4"/>
          <w:w w:val="105"/>
          <w:sz w:val="21"/>
        </w:rPr>
        <w:t> </w:t>
      </w:r>
      <w:r>
        <w:rPr>
          <w:w w:val="105"/>
          <w:sz w:val="21"/>
        </w:rPr>
        <w:t>about</w:t>
      </w:r>
      <w:r>
        <w:rPr>
          <w:spacing w:val="5"/>
          <w:w w:val="105"/>
          <w:sz w:val="21"/>
        </w:rPr>
        <w:t> </w:t>
      </w:r>
      <w:r>
        <w:rPr>
          <w:spacing w:val="-3"/>
          <w:w w:val="105"/>
          <w:sz w:val="21"/>
        </w:rPr>
        <w:t>significant</w:t>
      </w:r>
      <w:r>
        <w:rPr>
          <w:spacing w:val="4"/>
          <w:w w:val="105"/>
          <w:sz w:val="21"/>
        </w:rPr>
        <w:t> </w:t>
      </w:r>
      <w:r>
        <w:rPr>
          <w:w w:val="105"/>
          <w:sz w:val="21"/>
        </w:rPr>
        <w:t>trees</w:t>
      </w:r>
      <w:r>
        <w:rPr>
          <w:spacing w:val="4"/>
          <w:w w:val="105"/>
          <w:sz w:val="21"/>
        </w:rPr>
        <w:t> </w:t>
      </w:r>
      <w:r>
        <w:rPr>
          <w:spacing w:val="-3"/>
          <w:w w:val="105"/>
          <w:sz w:val="21"/>
        </w:rPr>
        <w:t>that</w:t>
      </w:r>
      <w:r>
        <w:rPr>
          <w:spacing w:val="4"/>
          <w:w w:val="105"/>
          <w:sz w:val="21"/>
        </w:rPr>
        <w:t> </w:t>
      </w:r>
      <w:r>
        <w:rPr>
          <w:w w:val="105"/>
          <w:sz w:val="21"/>
        </w:rPr>
        <w:t>run</w:t>
      </w:r>
      <w:r>
        <w:rPr>
          <w:spacing w:val="4"/>
          <w:w w:val="105"/>
          <w:sz w:val="21"/>
        </w:rPr>
        <w:t> </w:t>
      </w:r>
      <w:r>
        <w:rPr>
          <w:w w:val="105"/>
          <w:sz w:val="21"/>
        </w:rPr>
        <w:t>with</w:t>
      </w:r>
      <w:r>
        <w:rPr>
          <w:spacing w:val="4"/>
          <w:w w:val="105"/>
          <w:sz w:val="21"/>
        </w:rPr>
        <w:t> </w:t>
      </w:r>
      <w:r>
        <w:rPr>
          <w:w w:val="105"/>
          <w:sz w:val="21"/>
        </w:rPr>
        <w:t>the</w:t>
      </w:r>
      <w:r>
        <w:rPr>
          <w:spacing w:val="5"/>
          <w:w w:val="105"/>
          <w:sz w:val="21"/>
        </w:rPr>
        <w:t> </w:t>
      </w:r>
      <w:r>
        <w:rPr>
          <w:spacing w:val="-4"/>
          <w:w w:val="105"/>
          <w:sz w:val="21"/>
        </w:rPr>
        <w:t>land</w:t>
      </w:r>
      <w:r>
        <w:rPr>
          <w:spacing w:val="-4"/>
          <w:w w:val="105"/>
          <w:position w:val="7"/>
          <w:sz w:val="12"/>
        </w:rPr>
        <w:t>31</w:t>
      </w:r>
    </w:p>
    <w:p>
      <w:pPr>
        <w:pStyle w:val="ListParagraph"/>
        <w:numPr>
          <w:ilvl w:val="2"/>
          <w:numId w:val="16"/>
        </w:numPr>
        <w:tabs>
          <w:tab w:pos="2721" w:val="left" w:leader="none"/>
          <w:tab w:pos="2722" w:val="left" w:leader="none"/>
        </w:tabs>
        <w:spacing w:line="242" w:lineRule="auto" w:before="89" w:after="0"/>
        <w:ind w:left="2721" w:right="1729" w:hanging="340"/>
        <w:jc w:val="left"/>
        <w:rPr>
          <w:sz w:val="21"/>
        </w:rPr>
      </w:pPr>
      <w:r>
        <w:rPr>
          <w:spacing w:val="-3"/>
          <w:w w:val="105"/>
          <w:sz w:val="21"/>
        </w:rPr>
        <w:t>valuing</w:t>
      </w:r>
      <w:r>
        <w:rPr>
          <w:spacing w:val="-8"/>
          <w:w w:val="105"/>
          <w:sz w:val="21"/>
        </w:rPr>
        <w:t> </w:t>
      </w:r>
      <w:r>
        <w:rPr>
          <w:w w:val="105"/>
          <w:sz w:val="21"/>
        </w:rPr>
        <w:t>trees</w:t>
      </w:r>
      <w:r>
        <w:rPr>
          <w:spacing w:val="-8"/>
          <w:w w:val="105"/>
          <w:sz w:val="21"/>
        </w:rPr>
        <w:t> </w:t>
      </w:r>
      <w:r>
        <w:rPr>
          <w:spacing w:val="-3"/>
          <w:w w:val="105"/>
          <w:sz w:val="21"/>
        </w:rPr>
        <w:t>to</w:t>
      </w:r>
      <w:r>
        <w:rPr>
          <w:spacing w:val="-8"/>
          <w:w w:val="105"/>
          <w:sz w:val="21"/>
        </w:rPr>
        <w:t> </w:t>
      </w:r>
      <w:r>
        <w:rPr>
          <w:spacing w:val="-3"/>
          <w:w w:val="105"/>
          <w:sz w:val="21"/>
        </w:rPr>
        <w:t>recognise</w:t>
      </w:r>
      <w:r>
        <w:rPr>
          <w:spacing w:val="-7"/>
          <w:w w:val="105"/>
          <w:sz w:val="21"/>
        </w:rPr>
        <w:t> </w:t>
      </w:r>
      <w:r>
        <w:rPr>
          <w:w w:val="105"/>
          <w:sz w:val="21"/>
        </w:rPr>
        <w:t>them</w:t>
      </w:r>
      <w:r>
        <w:rPr>
          <w:spacing w:val="-8"/>
          <w:w w:val="105"/>
          <w:sz w:val="21"/>
        </w:rPr>
        <w:t> </w:t>
      </w:r>
      <w:r>
        <w:rPr>
          <w:w w:val="105"/>
          <w:sz w:val="21"/>
        </w:rPr>
        <w:t>as</w:t>
      </w:r>
      <w:r>
        <w:rPr>
          <w:spacing w:val="-8"/>
          <w:w w:val="105"/>
          <w:sz w:val="21"/>
        </w:rPr>
        <w:t> </w:t>
      </w:r>
      <w:r>
        <w:rPr>
          <w:w w:val="105"/>
          <w:sz w:val="21"/>
        </w:rPr>
        <w:t>community</w:t>
      </w:r>
      <w:r>
        <w:rPr>
          <w:spacing w:val="-8"/>
          <w:w w:val="105"/>
          <w:sz w:val="21"/>
        </w:rPr>
        <w:t> </w:t>
      </w:r>
      <w:r>
        <w:rPr>
          <w:w w:val="105"/>
          <w:sz w:val="21"/>
        </w:rPr>
        <w:t>assets</w:t>
      </w:r>
      <w:r>
        <w:rPr>
          <w:w w:val="105"/>
          <w:position w:val="7"/>
          <w:sz w:val="12"/>
        </w:rPr>
        <w:t>32</w:t>
      </w:r>
      <w:r>
        <w:rPr>
          <w:spacing w:val="15"/>
          <w:w w:val="105"/>
          <w:position w:val="7"/>
          <w:sz w:val="12"/>
        </w:rPr>
        <w:t> </w:t>
      </w:r>
      <w:r>
        <w:rPr>
          <w:w w:val="105"/>
          <w:sz w:val="21"/>
        </w:rPr>
        <w:t>and</w:t>
      </w:r>
      <w:r>
        <w:rPr>
          <w:spacing w:val="-7"/>
          <w:w w:val="105"/>
          <w:sz w:val="21"/>
        </w:rPr>
        <w:t> </w:t>
      </w:r>
      <w:r>
        <w:rPr>
          <w:spacing w:val="-3"/>
          <w:w w:val="105"/>
          <w:sz w:val="21"/>
        </w:rPr>
        <w:t>providing</w:t>
      </w:r>
      <w:r>
        <w:rPr>
          <w:spacing w:val="-8"/>
          <w:w w:val="105"/>
          <w:sz w:val="21"/>
        </w:rPr>
        <w:t> </w:t>
      </w:r>
      <w:r>
        <w:rPr>
          <w:spacing w:val="-3"/>
          <w:w w:val="105"/>
          <w:sz w:val="21"/>
        </w:rPr>
        <w:t>rate</w:t>
      </w:r>
      <w:r>
        <w:rPr>
          <w:spacing w:val="-8"/>
          <w:w w:val="105"/>
          <w:sz w:val="21"/>
        </w:rPr>
        <w:t> </w:t>
      </w:r>
      <w:r>
        <w:rPr>
          <w:w w:val="105"/>
          <w:sz w:val="21"/>
        </w:rPr>
        <w:t>deductions </w:t>
      </w:r>
      <w:r>
        <w:rPr>
          <w:spacing w:val="-3"/>
          <w:w w:val="105"/>
          <w:sz w:val="21"/>
        </w:rPr>
        <w:t>to</w:t>
      </w:r>
      <w:r>
        <w:rPr>
          <w:spacing w:val="-7"/>
          <w:w w:val="105"/>
          <w:sz w:val="21"/>
        </w:rPr>
        <w:t> </w:t>
      </w:r>
      <w:r>
        <w:rPr>
          <w:w w:val="105"/>
          <w:sz w:val="21"/>
        </w:rPr>
        <w:t>property</w:t>
      </w:r>
      <w:r>
        <w:rPr>
          <w:spacing w:val="-7"/>
          <w:w w:val="105"/>
          <w:sz w:val="21"/>
        </w:rPr>
        <w:t> </w:t>
      </w:r>
      <w:r>
        <w:rPr>
          <w:w w:val="105"/>
          <w:sz w:val="21"/>
        </w:rPr>
        <w:t>owners</w:t>
      </w:r>
      <w:r>
        <w:rPr>
          <w:spacing w:val="-7"/>
          <w:w w:val="105"/>
          <w:sz w:val="21"/>
        </w:rPr>
        <w:t> </w:t>
      </w:r>
      <w:r>
        <w:rPr>
          <w:spacing w:val="-3"/>
          <w:w w:val="105"/>
          <w:sz w:val="21"/>
        </w:rPr>
        <w:t>to</w:t>
      </w:r>
      <w:r>
        <w:rPr>
          <w:spacing w:val="-7"/>
          <w:w w:val="105"/>
          <w:sz w:val="21"/>
        </w:rPr>
        <w:t> </w:t>
      </w:r>
      <w:r>
        <w:rPr>
          <w:spacing w:val="-3"/>
          <w:w w:val="105"/>
          <w:sz w:val="21"/>
        </w:rPr>
        <w:t>compensate</w:t>
      </w:r>
      <w:r>
        <w:rPr>
          <w:spacing w:val="-6"/>
          <w:w w:val="105"/>
          <w:sz w:val="21"/>
        </w:rPr>
        <w:t> </w:t>
      </w:r>
      <w:r>
        <w:rPr>
          <w:w w:val="105"/>
          <w:sz w:val="21"/>
        </w:rPr>
        <w:t>them</w:t>
      </w:r>
      <w:r>
        <w:rPr>
          <w:spacing w:val="-7"/>
          <w:w w:val="105"/>
          <w:sz w:val="21"/>
        </w:rPr>
        <w:t> </w:t>
      </w:r>
      <w:r>
        <w:rPr>
          <w:spacing w:val="-3"/>
          <w:w w:val="105"/>
          <w:sz w:val="21"/>
        </w:rPr>
        <w:t>for</w:t>
      </w:r>
      <w:r>
        <w:rPr>
          <w:spacing w:val="-7"/>
          <w:w w:val="105"/>
          <w:sz w:val="21"/>
        </w:rPr>
        <w:t> </w:t>
      </w:r>
      <w:r>
        <w:rPr>
          <w:w w:val="105"/>
          <w:sz w:val="21"/>
        </w:rPr>
        <w:t>tree-related</w:t>
      </w:r>
      <w:r>
        <w:rPr>
          <w:spacing w:val="-7"/>
          <w:w w:val="105"/>
          <w:sz w:val="21"/>
        </w:rPr>
        <w:t> </w:t>
      </w:r>
      <w:r>
        <w:rPr>
          <w:spacing w:val="-3"/>
          <w:w w:val="105"/>
          <w:sz w:val="21"/>
        </w:rPr>
        <w:t>maintenance</w:t>
      </w:r>
      <w:r>
        <w:rPr>
          <w:spacing w:val="-6"/>
          <w:w w:val="105"/>
          <w:sz w:val="21"/>
        </w:rPr>
        <w:t> </w:t>
      </w:r>
      <w:r>
        <w:rPr>
          <w:w w:val="105"/>
          <w:sz w:val="21"/>
        </w:rPr>
        <w:t>expenses.</w:t>
      </w:r>
      <w:r>
        <w:rPr>
          <w:w w:val="105"/>
          <w:position w:val="7"/>
          <w:sz w:val="12"/>
        </w:rPr>
        <w:t>33</w:t>
      </w:r>
    </w:p>
    <w:p>
      <w:pPr>
        <w:pStyle w:val="ListParagraph"/>
        <w:numPr>
          <w:ilvl w:val="1"/>
          <w:numId w:val="16"/>
        </w:numPr>
        <w:tabs>
          <w:tab w:pos="2380" w:val="left" w:leader="none"/>
          <w:tab w:pos="2381" w:val="left" w:leader="none"/>
        </w:tabs>
        <w:spacing w:line="242" w:lineRule="auto" w:before="87" w:after="0"/>
        <w:ind w:left="2381" w:right="1813" w:hanging="794"/>
        <w:jc w:val="left"/>
        <w:rPr>
          <w:sz w:val="21"/>
        </w:rPr>
      </w:pPr>
      <w:r>
        <w:rPr>
          <w:w w:val="105"/>
          <w:sz w:val="21"/>
        </w:rPr>
        <w:t>The </w:t>
      </w:r>
      <w:r>
        <w:rPr>
          <w:spacing w:val="-3"/>
          <w:w w:val="105"/>
          <w:sz w:val="21"/>
        </w:rPr>
        <w:t>Commission </w:t>
      </w:r>
      <w:r>
        <w:rPr>
          <w:w w:val="105"/>
          <w:sz w:val="21"/>
        </w:rPr>
        <w:t>acknowledges the </w:t>
      </w:r>
      <w:r>
        <w:rPr>
          <w:spacing w:val="-3"/>
          <w:w w:val="105"/>
          <w:sz w:val="21"/>
        </w:rPr>
        <w:t>contribution </w:t>
      </w:r>
      <w:r>
        <w:rPr>
          <w:w w:val="105"/>
          <w:sz w:val="21"/>
        </w:rPr>
        <w:t>of those who submitted </w:t>
      </w:r>
      <w:r>
        <w:rPr>
          <w:spacing w:val="-3"/>
          <w:w w:val="105"/>
          <w:sz w:val="21"/>
        </w:rPr>
        <w:t>alternative </w:t>
      </w:r>
      <w:r>
        <w:rPr>
          <w:w w:val="105"/>
          <w:sz w:val="21"/>
        </w:rPr>
        <w:t>options </w:t>
      </w:r>
      <w:r>
        <w:rPr>
          <w:spacing w:val="-3"/>
          <w:w w:val="105"/>
          <w:sz w:val="21"/>
        </w:rPr>
        <w:t>for reform. </w:t>
      </w:r>
      <w:r>
        <w:rPr>
          <w:w w:val="105"/>
          <w:sz w:val="21"/>
        </w:rPr>
        <w:t>Each of them </w:t>
      </w:r>
      <w:r>
        <w:rPr>
          <w:spacing w:val="-3"/>
          <w:w w:val="105"/>
          <w:sz w:val="21"/>
        </w:rPr>
        <w:t>gave thoughtful consideration to </w:t>
      </w:r>
      <w:r>
        <w:rPr>
          <w:w w:val="105"/>
          <w:sz w:val="21"/>
        </w:rPr>
        <w:t>how neighbourhood tree </w:t>
      </w:r>
      <w:r>
        <w:rPr>
          <w:spacing w:val="-3"/>
          <w:w w:val="105"/>
          <w:sz w:val="21"/>
        </w:rPr>
        <w:t>disputes may </w:t>
      </w:r>
      <w:r>
        <w:rPr>
          <w:w w:val="105"/>
          <w:sz w:val="21"/>
        </w:rPr>
        <w:t>be resolved in </w:t>
      </w:r>
      <w:r>
        <w:rPr>
          <w:spacing w:val="-4"/>
          <w:w w:val="105"/>
          <w:sz w:val="21"/>
        </w:rPr>
        <w:t>simpler, </w:t>
      </w:r>
      <w:r>
        <w:rPr>
          <w:spacing w:val="-3"/>
          <w:w w:val="105"/>
          <w:sz w:val="21"/>
        </w:rPr>
        <w:t>clearer </w:t>
      </w:r>
      <w:r>
        <w:rPr>
          <w:w w:val="105"/>
          <w:sz w:val="21"/>
        </w:rPr>
        <w:t>and </w:t>
      </w:r>
      <w:r>
        <w:rPr>
          <w:spacing w:val="-4"/>
          <w:w w:val="105"/>
          <w:sz w:val="21"/>
        </w:rPr>
        <w:t>fairer</w:t>
      </w:r>
      <w:r>
        <w:rPr>
          <w:spacing w:val="35"/>
          <w:w w:val="105"/>
          <w:sz w:val="21"/>
        </w:rPr>
        <w:t> </w:t>
      </w:r>
      <w:r>
        <w:rPr>
          <w:spacing w:val="-3"/>
          <w:w w:val="105"/>
          <w:sz w:val="21"/>
        </w:rPr>
        <w:t>ways.</w:t>
      </w:r>
    </w:p>
    <w:p>
      <w:pPr>
        <w:pStyle w:val="BodyText"/>
        <w:spacing w:before="4"/>
        <w:rPr>
          <w:sz w:val="20"/>
        </w:rPr>
      </w:pPr>
    </w:p>
    <w:p>
      <w:pPr>
        <w:pStyle w:val="Heading5"/>
      </w:pPr>
      <w:r>
        <w:rPr>
          <w:w w:val="115"/>
        </w:rPr>
        <w:t>Improving local laws and a greater role for councils</w:t>
      </w:r>
    </w:p>
    <w:p>
      <w:pPr>
        <w:pStyle w:val="ListParagraph"/>
        <w:numPr>
          <w:ilvl w:val="1"/>
          <w:numId w:val="16"/>
        </w:numPr>
        <w:tabs>
          <w:tab w:pos="2381" w:val="left" w:leader="none"/>
          <w:tab w:pos="2382" w:val="left" w:leader="none"/>
        </w:tabs>
        <w:spacing w:line="242" w:lineRule="auto" w:before="138" w:after="0"/>
        <w:ind w:left="2381" w:right="2502" w:hanging="794"/>
        <w:jc w:val="left"/>
        <w:rPr>
          <w:sz w:val="21"/>
        </w:rPr>
      </w:pPr>
      <w:r>
        <w:rPr>
          <w:spacing w:val="-3"/>
          <w:sz w:val="21"/>
        </w:rPr>
        <w:t>Several reform </w:t>
      </w:r>
      <w:r>
        <w:rPr>
          <w:sz w:val="21"/>
        </w:rPr>
        <w:t>ideas </w:t>
      </w:r>
      <w:r>
        <w:rPr>
          <w:spacing w:val="-3"/>
          <w:sz w:val="21"/>
        </w:rPr>
        <w:t>were </w:t>
      </w:r>
      <w:r>
        <w:rPr>
          <w:sz w:val="21"/>
        </w:rPr>
        <w:t>proposed about </w:t>
      </w:r>
      <w:r>
        <w:rPr>
          <w:spacing w:val="-3"/>
          <w:sz w:val="21"/>
        </w:rPr>
        <w:t>improving </w:t>
      </w:r>
      <w:r>
        <w:rPr>
          <w:sz w:val="21"/>
        </w:rPr>
        <w:t>the operation of local tree protection laws</w:t>
      </w:r>
      <w:r>
        <w:rPr>
          <w:spacing w:val="16"/>
          <w:sz w:val="21"/>
        </w:rPr>
        <w:t> </w:t>
      </w:r>
      <w:r>
        <w:rPr>
          <w:sz w:val="21"/>
        </w:rPr>
        <w:t>by:</w:t>
      </w:r>
    </w:p>
    <w:p>
      <w:pPr>
        <w:pStyle w:val="ListParagraph"/>
        <w:numPr>
          <w:ilvl w:val="2"/>
          <w:numId w:val="16"/>
        </w:numPr>
        <w:tabs>
          <w:tab w:pos="2721" w:val="left" w:leader="none"/>
          <w:tab w:pos="2722" w:val="left" w:leader="none"/>
        </w:tabs>
        <w:spacing w:line="242" w:lineRule="auto" w:before="122" w:after="0"/>
        <w:ind w:left="2721" w:right="2274" w:hanging="340"/>
        <w:jc w:val="left"/>
        <w:rPr>
          <w:sz w:val="21"/>
        </w:rPr>
      </w:pPr>
      <w:r>
        <w:rPr>
          <w:spacing w:val="-3"/>
          <w:sz w:val="21"/>
        </w:rPr>
        <w:t>increasing </w:t>
      </w:r>
      <w:r>
        <w:rPr>
          <w:sz w:val="21"/>
        </w:rPr>
        <w:t>penalties </w:t>
      </w:r>
      <w:r>
        <w:rPr>
          <w:spacing w:val="-3"/>
          <w:sz w:val="21"/>
        </w:rPr>
        <w:t>for </w:t>
      </w:r>
      <w:r>
        <w:rPr>
          <w:sz w:val="21"/>
        </w:rPr>
        <w:t>damage or </w:t>
      </w:r>
      <w:r>
        <w:rPr>
          <w:spacing w:val="-3"/>
          <w:sz w:val="21"/>
        </w:rPr>
        <w:t>harm </w:t>
      </w:r>
      <w:r>
        <w:rPr>
          <w:sz w:val="21"/>
        </w:rPr>
        <w:t>caused </w:t>
      </w:r>
      <w:r>
        <w:rPr>
          <w:spacing w:val="-3"/>
          <w:sz w:val="21"/>
        </w:rPr>
        <w:t>to </w:t>
      </w:r>
      <w:r>
        <w:rPr>
          <w:sz w:val="21"/>
        </w:rPr>
        <w:t>trees in </w:t>
      </w:r>
      <w:r>
        <w:rPr>
          <w:spacing w:val="-3"/>
          <w:sz w:val="21"/>
        </w:rPr>
        <w:t>breach </w:t>
      </w:r>
      <w:r>
        <w:rPr>
          <w:sz w:val="21"/>
        </w:rPr>
        <w:t>of local tree protection</w:t>
      </w:r>
      <w:r>
        <w:rPr>
          <w:spacing w:val="8"/>
          <w:sz w:val="21"/>
        </w:rPr>
        <w:t> </w:t>
      </w:r>
      <w:r>
        <w:rPr>
          <w:sz w:val="21"/>
        </w:rPr>
        <w:t>laws</w:t>
      </w:r>
      <w:r>
        <w:rPr>
          <w:position w:val="7"/>
          <w:sz w:val="12"/>
        </w:rPr>
        <w:t>34</w:t>
      </w:r>
    </w:p>
    <w:p>
      <w:pPr>
        <w:pStyle w:val="ListParagraph"/>
        <w:numPr>
          <w:ilvl w:val="2"/>
          <w:numId w:val="16"/>
        </w:numPr>
        <w:tabs>
          <w:tab w:pos="2721" w:val="left" w:leader="none"/>
          <w:tab w:pos="2722" w:val="left" w:leader="none"/>
        </w:tabs>
        <w:spacing w:line="242" w:lineRule="auto" w:before="87" w:after="0"/>
        <w:ind w:left="2721" w:right="1945" w:hanging="340"/>
        <w:jc w:val="left"/>
        <w:rPr>
          <w:sz w:val="21"/>
        </w:rPr>
      </w:pPr>
      <w:r>
        <w:rPr>
          <w:spacing w:val="-3"/>
          <w:w w:val="105"/>
          <w:sz w:val="21"/>
        </w:rPr>
        <w:t>enabling</w:t>
      </w:r>
      <w:r>
        <w:rPr>
          <w:spacing w:val="-10"/>
          <w:w w:val="105"/>
          <w:sz w:val="21"/>
        </w:rPr>
        <w:t> </w:t>
      </w:r>
      <w:r>
        <w:rPr>
          <w:w w:val="105"/>
          <w:sz w:val="21"/>
        </w:rPr>
        <w:t>applicants</w:t>
      </w:r>
      <w:r>
        <w:rPr>
          <w:spacing w:val="-9"/>
          <w:w w:val="105"/>
          <w:sz w:val="21"/>
        </w:rPr>
        <w:t> </w:t>
      </w:r>
      <w:r>
        <w:rPr>
          <w:spacing w:val="-3"/>
          <w:w w:val="105"/>
          <w:sz w:val="21"/>
        </w:rPr>
        <w:t>to</w:t>
      </w:r>
      <w:r>
        <w:rPr>
          <w:spacing w:val="-9"/>
          <w:w w:val="105"/>
          <w:sz w:val="21"/>
        </w:rPr>
        <w:t> </w:t>
      </w:r>
      <w:r>
        <w:rPr>
          <w:w w:val="105"/>
          <w:sz w:val="21"/>
        </w:rPr>
        <w:t>appeal</w:t>
      </w:r>
      <w:r>
        <w:rPr>
          <w:spacing w:val="-9"/>
          <w:w w:val="105"/>
          <w:sz w:val="21"/>
        </w:rPr>
        <w:t> </w:t>
      </w:r>
      <w:r>
        <w:rPr>
          <w:w w:val="105"/>
          <w:sz w:val="21"/>
        </w:rPr>
        <w:t>decisions</w:t>
      </w:r>
      <w:r>
        <w:rPr>
          <w:spacing w:val="-9"/>
          <w:w w:val="105"/>
          <w:sz w:val="21"/>
        </w:rPr>
        <w:t> </w:t>
      </w:r>
      <w:r>
        <w:rPr>
          <w:w w:val="105"/>
          <w:sz w:val="21"/>
        </w:rPr>
        <w:t>made</w:t>
      </w:r>
      <w:r>
        <w:rPr>
          <w:spacing w:val="-9"/>
          <w:w w:val="105"/>
          <w:sz w:val="21"/>
        </w:rPr>
        <w:t> </w:t>
      </w:r>
      <w:r>
        <w:rPr>
          <w:w w:val="105"/>
          <w:sz w:val="21"/>
        </w:rPr>
        <w:t>under</w:t>
      </w:r>
      <w:r>
        <w:rPr>
          <w:spacing w:val="-9"/>
          <w:w w:val="105"/>
          <w:sz w:val="21"/>
        </w:rPr>
        <w:t> </w:t>
      </w:r>
      <w:r>
        <w:rPr>
          <w:w w:val="105"/>
          <w:sz w:val="21"/>
        </w:rPr>
        <w:t>local</w:t>
      </w:r>
      <w:r>
        <w:rPr>
          <w:spacing w:val="-9"/>
          <w:w w:val="105"/>
          <w:sz w:val="21"/>
        </w:rPr>
        <w:t> </w:t>
      </w:r>
      <w:r>
        <w:rPr>
          <w:w w:val="105"/>
          <w:sz w:val="21"/>
        </w:rPr>
        <w:t>laws</w:t>
      </w:r>
      <w:r>
        <w:rPr>
          <w:spacing w:val="-9"/>
          <w:w w:val="105"/>
          <w:sz w:val="21"/>
        </w:rPr>
        <w:t> </w:t>
      </w:r>
      <w:r>
        <w:rPr>
          <w:spacing w:val="-3"/>
          <w:w w:val="105"/>
          <w:sz w:val="21"/>
        </w:rPr>
        <w:t>to</w:t>
      </w:r>
      <w:r>
        <w:rPr>
          <w:spacing w:val="-9"/>
          <w:w w:val="105"/>
          <w:sz w:val="21"/>
        </w:rPr>
        <w:t> </w:t>
      </w:r>
      <w:r>
        <w:rPr>
          <w:w w:val="105"/>
          <w:sz w:val="21"/>
        </w:rPr>
        <w:t>an</w:t>
      </w:r>
      <w:r>
        <w:rPr>
          <w:spacing w:val="-9"/>
          <w:w w:val="105"/>
          <w:sz w:val="21"/>
        </w:rPr>
        <w:t> </w:t>
      </w:r>
      <w:r>
        <w:rPr>
          <w:w w:val="105"/>
          <w:sz w:val="21"/>
        </w:rPr>
        <w:t>external</w:t>
      </w:r>
      <w:r>
        <w:rPr>
          <w:spacing w:val="-9"/>
          <w:w w:val="105"/>
          <w:sz w:val="21"/>
        </w:rPr>
        <w:t> </w:t>
      </w:r>
      <w:r>
        <w:rPr>
          <w:w w:val="105"/>
          <w:sz w:val="21"/>
        </w:rPr>
        <w:t>body </w:t>
      </w:r>
      <w:r>
        <w:rPr>
          <w:spacing w:val="-3"/>
          <w:w w:val="105"/>
          <w:sz w:val="21"/>
        </w:rPr>
        <w:t>(that</w:t>
      </w:r>
      <w:r>
        <w:rPr>
          <w:spacing w:val="-6"/>
          <w:w w:val="105"/>
          <w:sz w:val="21"/>
        </w:rPr>
        <w:t> </w:t>
      </w:r>
      <w:r>
        <w:rPr>
          <w:w w:val="105"/>
          <w:sz w:val="21"/>
        </w:rPr>
        <w:t>is,</w:t>
      </w:r>
      <w:r>
        <w:rPr>
          <w:spacing w:val="-5"/>
          <w:w w:val="105"/>
          <w:sz w:val="21"/>
        </w:rPr>
        <w:t> </w:t>
      </w:r>
      <w:r>
        <w:rPr>
          <w:w w:val="105"/>
          <w:sz w:val="21"/>
        </w:rPr>
        <w:t>independent</w:t>
      </w:r>
      <w:r>
        <w:rPr>
          <w:spacing w:val="-5"/>
          <w:w w:val="105"/>
          <w:sz w:val="21"/>
        </w:rPr>
        <w:t> </w:t>
      </w:r>
      <w:r>
        <w:rPr>
          <w:w w:val="105"/>
          <w:sz w:val="21"/>
        </w:rPr>
        <w:t>of</w:t>
      </w:r>
      <w:r>
        <w:rPr>
          <w:spacing w:val="-6"/>
          <w:w w:val="105"/>
          <w:sz w:val="21"/>
        </w:rPr>
        <w:t> </w:t>
      </w:r>
      <w:r>
        <w:rPr>
          <w:w w:val="105"/>
          <w:sz w:val="21"/>
        </w:rPr>
        <w:t>the</w:t>
      </w:r>
      <w:r>
        <w:rPr>
          <w:spacing w:val="-5"/>
          <w:w w:val="105"/>
          <w:sz w:val="21"/>
        </w:rPr>
        <w:t> </w:t>
      </w:r>
      <w:r>
        <w:rPr>
          <w:spacing w:val="-3"/>
          <w:w w:val="105"/>
          <w:sz w:val="21"/>
        </w:rPr>
        <w:t>responsible</w:t>
      </w:r>
      <w:r>
        <w:rPr>
          <w:spacing w:val="-5"/>
          <w:w w:val="105"/>
          <w:sz w:val="21"/>
        </w:rPr>
        <w:t> </w:t>
      </w:r>
      <w:r>
        <w:rPr>
          <w:w w:val="105"/>
          <w:sz w:val="21"/>
        </w:rPr>
        <w:t>authority</w:t>
      </w:r>
      <w:r>
        <w:rPr>
          <w:spacing w:val="-6"/>
          <w:w w:val="105"/>
          <w:sz w:val="21"/>
        </w:rPr>
        <w:t> </w:t>
      </w:r>
      <w:r>
        <w:rPr>
          <w:spacing w:val="-3"/>
          <w:w w:val="105"/>
          <w:sz w:val="21"/>
        </w:rPr>
        <w:t>administering</w:t>
      </w:r>
      <w:r>
        <w:rPr>
          <w:spacing w:val="-5"/>
          <w:w w:val="105"/>
          <w:sz w:val="21"/>
        </w:rPr>
        <w:t> </w:t>
      </w:r>
      <w:r>
        <w:rPr>
          <w:w w:val="105"/>
          <w:sz w:val="21"/>
        </w:rPr>
        <w:t>the</w:t>
      </w:r>
      <w:r>
        <w:rPr>
          <w:spacing w:val="-5"/>
          <w:w w:val="105"/>
          <w:sz w:val="21"/>
        </w:rPr>
        <w:t> </w:t>
      </w:r>
      <w:r>
        <w:rPr>
          <w:w w:val="105"/>
          <w:sz w:val="21"/>
        </w:rPr>
        <w:t>local</w:t>
      </w:r>
      <w:r>
        <w:rPr>
          <w:spacing w:val="-6"/>
          <w:w w:val="105"/>
          <w:sz w:val="21"/>
        </w:rPr>
        <w:t> </w:t>
      </w:r>
      <w:r>
        <w:rPr>
          <w:w w:val="105"/>
          <w:sz w:val="21"/>
        </w:rPr>
        <w:t>law).</w:t>
      </w:r>
      <w:r>
        <w:rPr>
          <w:w w:val="105"/>
          <w:position w:val="7"/>
          <w:sz w:val="12"/>
        </w:rPr>
        <w:t>35</w:t>
      </w:r>
    </w:p>
    <w:p>
      <w:pPr>
        <w:pStyle w:val="ListParagraph"/>
        <w:numPr>
          <w:ilvl w:val="1"/>
          <w:numId w:val="16"/>
        </w:numPr>
        <w:tabs>
          <w:tab w:pos="2381" w:val="left" w:leader="none"/>
          <w:tab w:pos="2382" w:val="left" w:leader="none"/>
        </w:tabs>
        <w:spacing w:line="242" w:lineRule="auto" w:before="87" w:after="0"/>
        <w:ind w:left="2381" w:right="2213" w:hanging="794"/>
        <w:jc w:val="left"/>
        <w:rPr>
          <w:sz w:val="21"/>
        </w:rPr>
      </w:pPr>
      <w:r>
        <w:rPr>
          <w:spacing w:val="-4"/>
          <w:w w:val="105"/>
          <w:sz w:val="21"/>
        </w:rPr>
        <w:t>Chapter </w:t>
      </w:r>
      <w:r>
        <w:rPr>
          <w:spacing w:val="-6"/>
          <w:w w:val="105"/>
          <w:sz w:val="21"/>
        </w:rPr>
        <w:t>10 </w:t>
      </w:r>
      <w:r>
        <w:rPr>
          <w:spacing w:val="-3"/>
          <w:w w:val="105"/>
          <w:sz w:val="21"/>
        </w:rPr>
        <w:t>makes recommendations </w:t>
      </w:r>
      <w:r>
        <w:rPr>
          <w:w w:val="105"/>
          <w:sz w:val="21"/>
        </w:rPr>
        <w:t>about how the new Act should </w:t>
      </w:r>
      <w:r>
        <w:rPr>
          <w:spacing w:val="-3"/>
          <w:w w:val="105"/>
          <w:sz w:val="21"/>
        </w:rPr>
        <w:t>interact </w:t>
      </w:r>
      <w:r>
        <w:rPr>
          <w:w w:val="105"/>
          <w:sz w:val="21"/>
        </w:rPr>
        <w:t>with local law permit </w:t>
      </w:r>
      <w:r>
        <w:rPr>
          <w:spacing w:val="-3"/>
          <w:w w:val="105"/>
          <w:sz w:val="21"/>
        </w:rPr>
        <w:t>requirements. </w:t>
      </w:r>
      <w:r>
        <w:rPr>
          <w:w w:val="105"/>
          <w:sz w:val="21"/>
        </w:rPr>
        <w:t>The </w:t>
      </w:r>
      <w:r>
        <w:rPr>
          <w:spacing w:val="-3"/>
          <w:w w:val="105"/>
          <w:sz w:val="21"/>
        </w:rPr>
        <w:t>Commission concludes that </w:t>
      </w:r>
      <w:r>
        <w:rPr>
          <w:w w:val="105"/>
          <w:sz w:val="21"/>
        </w:rPr>
        <w:t>the new Act should </w:t>
      </w:r>
      <w:r>
        <w:rPr>
          <w:spacing w:val="-3"/>
          <w:w w:val="105"/>
          <w:sz w:val="21"/>
        </w:rPr>
        <w:t>limit</w:t>
      </w:r>
      <w:r>
        <w:rPr>
          <w:spacing w:val="-9"/>
          <w:w w:val="105"/>
          <w:sz w:val="21"/>
        </w:rPr>
        <w:t> </w:t>
      </w:r>
      <w:r>
        <w:rPr>
          <w:w w:val="105"/>
          <w:sz w:val="21"/>
        </w:rPr>
        <w:t>the</w:t>
      </w:r>
      <w:r>
        <w:rPr>
          <w:spacing w:val="-9"/>
          <w:w w:val="105"/>
          <w:sz w:val="21"/>
        </w:rPr>
        <w:t> </w:t>
      </w:r>
      <w:r>
        <w:rPr>
          <w:w w:val="105"/>
          <w:sz w:val="21"/>
        </w:rPr>
        <w:t>operation</w:t>
      </w:r>
      <w:r>
        <w:rPr>
          <w:spacing w:val="-9"/>
          <w:w w:val="105"/>
          <w:sz w:val="21"/>
        </w:rPr>
        <w:t> </w:t>
      </w:r>
      <w:r>
        <w:rPr>
          <w:w w:val="105"/>
          <w:sz w:val="21"/>
        </w:rPr>
        <w:t>of</w:t>
      </w:r>
      <w:r>
        <w:rPr>
          <w:spacing w:val="-9"/>
          <w:w w:val="105"/>
          <w:sz w:val="21"/>
        </w:rPr>
        <w:t> </w:t>
      </w:r>
      <w:r>
        <w:rPr>
          <w:w w:val="105"/>
          <w:sz w:val="21"/>
        </w:rPr>
        <w:t>local</w:t>
      </w:r>
      <w:r>
        <w:rPr>
          <w:spacing w:val="-9"/>
          <w:w w:val="105"/>
          <w:sz w:val="21"/>
        </w:rPr>
        <w:t> </w:t>
      </w:r>
      <w:r>
        <w:rPr>
          <w:w w:val="105"/>
          <w:sz w:val="21"/>
        </w:rPr>
        <w:t>laws</w:t>
      </w:r>
      <w:r>
        <w:rPr>
          <w:spacing w:val="-9"/>
          <w:w w:val="105"/>
          <w:sz w:val="21"/>
        </w:rPr>
        <w:t> </w:t>
      </w:r>
      <w:r>
        <w:rPr>
          <w:w w:val="105"/>
          <w:sz w:val="21"/>
        </w:rPr>
        <w:t>subject</w:t>
      </w:r>
      <w:r>
        <w:rPr>
          <w:spacing w:val="-9"/>
          <w:w w:val="105"/>
          <w:sz w:val="21"/>
        </w:rPr>
        <w:t> </w:t>
      </w:r>
      <w:r>
        <w:rPr>
          <w:spacing w:val="-3"/>
          <w:w w:val="105"/>
          <w:sz w:val="21"/>
        </w:rPr>
        <w:t>to</w:t>
      </w:r>
      <w:r>
        <w:rPr>
          <w:spacing w:val="-9"/>
          <w:w w:val="105"/>
          <w:sz w:val="21"/>
        </w:rPr>
        <w:t> </w:t>
      </w:r>
      <w:r>
        <w:rPr>
          <w:spacing w:val="-3"/>
          <w:w w:val="105"/>
          <w:sz w:val="21"/>
        </w:rPr>
        <w:t>safeguards</w:t>
      </w:r>
      <w:r>
        <w:rPr>
          <w:spacing w:val="-9"/>
          <w:w w:val="105"/>
          <w:sz w:val="21"/>
        </w:rPr>
        <w:t> </w:t>
      </w:r>
      <w:r>
        <w:rPr>
          <w:w w:val="105"/>
          <w:sz w:val="21"/>
        </w:rPr>
        <w:t>designed</w:t>
      </w:r>
      <w:r>
        <w:rPr>
          <w:spacing w:val="-9"/>
          <w:w w:val="105"/>
          <w:sz w:val="21"/>
        </w:rPr>
        <w:t> </w:t>
      </w:r>
      <w:r>
        <w:rPr>
          <w:spacing w:val="-3"/>
          <w:w w:val="105"/>
          <w:sz w:val="21"/>
        </w:rPr>
        <w:t>to</w:t>
      </w:r>
      <w:r>
        <w:rPr>
          <w:spacing w:val="-9"/>
          <w:w w:val="105"/>
          <w:sz w:val="21"/>
        </w:rPr>
        <w:t> </w:t>
      </w:r>
      <w:r>
        <w:rPr>
          <w:spacing w:val="-3"/>
          <w:w w:val="105"/>
          <w:sz w:val="21"/>
        </w:rPr>
        <w:t>mirror</w:t>
      </w:r>
      <w:r>
        <w:rPr>
          <w:spacing w:val="-9"/>
          <w:w w:val="105"/>
          <w:sz w:val="21"/>
        </w:rPr>
        <w:t> </w:t>
      </w:r>
      <w:r>
        <w:rPr>
          <w:w w:val="105"/>
          <w:sz w:val="21"/>
        </w:rPr>
        <w:t>processes</w:t>
      </w:r>
    </w:p>
    <w:p>
      <w:pPr>
        <w:pStyle w:val="BodyText"/>
        <w:spacing w:line="242" w:lineRule="auto" w:before="3"/>
        <w:ind w:left="2381" w:right="1636"/>
      </w:pPr>
      <w:r>
        <w:rPr/>
        <w:t>contained in local laws. It is outside the scope of the current inquiry to review and make recommendations about the broader utility of local laws.</w:t>
      </w:r>
    </w:p>
    <w:p>
      <w:pPr>
        <w:pStyle w:val="BodyText"/>
        <w:rPr>
          <w:sz w:val="20"/>
        </w:rPr>
      </w:pPr>
    </w:p>
    <w:p>
      <w:pPr>
        <w:pStyle w:val="BodyText"/>
        <w:spacing w:before="11"/>
        <w:rPr>
          <w:sz w:val="12"/>
        </w:rPr>
      </w:pPr>
      <w:r>
        <w:rPr/>
        <w:pict>
          <v:line style="position:absolute;mso-position-horizontal-relative:page;mso-position-vertical-relative:paragraph;z-index:11936;mso-wrap-distance-left:0;mso-wrap-distance-right:0" from="79.370102pt,10.371879pt" to="515.905102pt,10.371879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203"/>
        </w:numPr>
        <w:tabs>
          <w:tab w:pos="2380" w:val="left" w:leader="none"/>
          <w:tab w:pos="2382" w:val="left" w:leader="none"/>
        </w:tabs>
        <w:spacing w:line="240" w:lineRule="auto" w:before="48" w:after="0"/>
        <w:ind w:left="2381" w:right="0" w:hanging="794"/>
        <w:jc w:val="left"/>
        <w:rPr>
          <w:sz w:val="13"/>
        </w:rPr>
      </w:pPr>
      <w:r>
        <w:rPr>
          <w:w w:val="105"/>
          <w:sz w:val="13"/>
        </w:rPr>
        <w:t>Victorian Civil and Administrative Tribunal, </w:t>
      </w:r>
      <w:r>
        <w:rPr>
          <w:i/>
          <w:w w:val="105"/>
          <w:sz w:val="13"/>
        </w:rPr>
        <w:t>Annual </w:t>
      </w:r>
      <w:r>
        <w:rPr>
          <w:i/>
          <w:spacing w:val="2"/>
          <w:w w:val="105"/>
          <w:sz w:val="13"/>
        </w:rPr>
        <w:t>Report </w:t>
      </w:r>
      <w:r>
        <w:rPr>
          <w:i/>
          <w:spacing w:val="-3"/>
          <w:w w:val="105"/>
          <w:sz w:val="13"/>
        </w:rPr>
        <w:t>2017–2018</w:t>
      </w:r>
      <w:r>
        <w:rPr>
          <w:i/>
          <w:spacing w:val="12"/>
          <w:w w:val="105"/>
          <w:sz w:val="13"/>
        </w:rPr>
        <w:t> </w:t>
      </w:r>
      <w:r>
        <w:rPr>
          <w:spacing w:val="2"/>
          <w:w w:val="105"/>
          <w:sz w:val="13"/>
        </w:rPr>
        <w:t>(Report, </w:t>
      </w:r>
      <w:r>
        <w:rPr>
          <w:w w:val="105"/>
          <w:sz w:val="13"/>
        </w:rPr>
        <w:t>2018).</w:t>
      </w:r>
    </w:p>
    <w:p>
      <w:pPr>
        <w:pStyle w:val="ListParagraph"/>
        <w:numPr>
          <w:ilvl w:val="0"/>
          <w:numId w:val="203"/>
        </w:numPr>
        <w:tabs>
          <w:tab w:pos="2380" w:val="left" w:leader="none"/>
          <w:tab w:pos="2382" w:val="left" w:leader="none"/>
        </w:tabs>
        <w:spacing w:line="240" w:lineRule="auto" w:before="1" w:after="0"/>
        <w:ind w:left="2381" w:right="0" w:hanging="794"/>
        <w:jc w:val="left"/>
        <w:rPr>
          <w:sz w:val="13"/>
        </w:rPr>
      </w:pPr>
      <w:r>
        <w:rPr>
          <w:w w:val="105"/>
          <w:sz w:val="13"/>
        </w:rPr>
        <w:t>Submissions 5 </w:t>
      </w:r>
      <w:r>
        <w:rPr>
          <w:spacing w:val="2"/>
          <w:w w:val="105"/>
          <w:sz w:val="13"/>
        </w:rPr>
        <w:t>(Name </w:t>
      </w:r>
      <w:r>
        <w:rPr>
          <w:w w:val="105"/>
          <w:sz w:val="13"/>
        </w:rPr>
        <w:t>withheld), 6 </w:t>
      </w:r>
      <w:r>
        <w:rPr>
          <w:spacing w:val="2"/>
          <w:w w:val="105"/>
          <w:sz w:val="13"/>
        </w:rPr>
        <w:t>(Name </w:t>
      </w:r>
      <w:r>
        <w:rPr>
          <w:w w:val="105"/>
          <w:sz w:val="13"/>
        </w:rPr>
        <w:t>withheld), </w:t>
      </w:r>
      <w:r>
        <w:rPr>
          <w:spacing w:val="-4"/>
          <w:w w:val="105"/>
          <w:sz w:val="13"/>
        </w:rPr>
        <w:t>17 </w:t>
      </w:r>
      <w:r>
        <w:rPr>
          <w:spacing w:val="2"/>
          <w:w w:val="105"/>
          <w:sz w:val="13"/>
        </w:rPr>
        <w:t>(Name </w:t>
      </w:r>
      <w:r>
        <w:rPr>
          <w:w w:val="105"/>
          <w:sz w:val="13"/>
        </w:rPr>
        <w:t>withheld), 37 </w:t>
      </w:r>
      <w:r>
        <w:rPr>
          <w:spacing w:val="2"/>
          <w:w w:val="105"/>
          <w:sz w:val="13"/>
        </w:rPr>
        <w:t>(Ian </w:t>
      </w:r>
      <w:r>
        <w:rPr>
          <w:w w:val="105"/>
          <w:sz w:val="13"/>
        </w:rPr>
        <w:t>Hundley), 38 </w:t>
      </w:r>
      <w:r>
        <w:rPr>
          <w:spacing w:val="3"/>
          <w:w w:val="105"/>
          <w:sz w:val="13"/>
        </w:rPr>
        <w:t>(L. </w:t>
      </w:r>
      <w:r>
        <w:rPr>
          <w:spacing w:val="2"/>
          <w:w w:val="105"/>
          <w:sz w:val="13"/>
        </w:rPr>
        <w:t>Barry </w:t>
      </w:r>
      <w:r>
        <w:rPr>
          <w:w w:val="105"/>
          <w:sz w:val="13"/>
        </w:rPr>
        <w:t>Wollmer); Survey Respondents 3, 19, </w:t>
      </w:r>
      <w:r>
        <w:rPr>
          <w:spacing w:val="-4"/>
          <w:w w:val="105"/>
          <w:sz w:val="13"/>
        </w:rPr>
        <w:t>57, </w:t>
      </w:r>
      <w:r>
        <w:rPr>
          <w:w w:val="105"/>
          <w:sz w:val="13"/>
        </w:rPr>
        <w:t>83, </w:t>
      </w:r>
      <w:r>
        <w:rPr>
          <w:spacing w:val="2"/>
          <w:w w:val="105"/>
          <w:sz w:val="13"/>
        </w:rPr>
        <w:t>88, </w:t>
      </w:r>
      <w:r>
        <w:rPr>
          <w:w w:val="105"/>
          <w:sz w:val="13"/>
        </w:rPr>
        <w:t>108, </w:t>
      </w:r>
      <w:r>
        <w:rPr>
          <w:spacing w:val="-4"/>
          <w:w w:val="105"/>
          <w:sz w:val="13"/>
        </w:rPr>
        <w:t>110,</w:t>
      </w:r>
      <w:r>
        <w:rPr>
          <w:spacing w:val="4"/>
          <w:w w:val="105"/>
          <w:sz w:val="13"/>
        </w:rPr>
        <w:t> </w:t>
      </w:r>
      <w:r>
        <w:rPr>
          <w:spacing w:val="-3"/>
          <w:w w:val="105"/>
          <w:sz w:val="13"/>
        </w:rPr>
        <w:t>118.</w:t>
      </w:r>
    </w:p>
    <w:p>
      <w:pPr>
        <w:pStyle w:val="ListParagraph"/>
        <w:numPr>
          <w:ilvl w:val="0"/>
          <w:numId w:val="203"/>
        </w:numPr>
        <w:tabs>
          <w:tab w:pos="2380" w:val="left" w:leader="none"/>
          <w:tab w:pos="2382" w:val="left" w:leader="none"/>
        </w:tabs>
        <w:spacing w:line="240" w:lineRule="auto" w:before="3" w:after="0"/>
        <w:ind w:left="2381" w:right="0" w:hanging="794"/>
        <w:jc w:val="left"/>
        <w:rPr>
          <w:sz w:val="13"/>
        </w:rPr>
      </w:pPr>
      <w:r>
        <w:rPr>
          <w:w w:val="105"/>
          <w:sz w:val="13"/>
        </w:rPr>
        <w:t>Consultation 4 (Participants in facilitated discussion at </w:t>
      </w:r>
      <w:r>
        <w:rPr>
          <w:spacing w:val="4"/>
          <w:w w:val="105"/>
          <w:sz w:val="13"/>
        </w:rPr>
        <w:t>VTIO</w:t>
      </w:r>
      <w:r>
        <w:rPr>
          <w:spacing w:val="5"/>
          <w:w w:val="105"/>
          <w:sz w:val="13"/>
        </w:rPr>
        <w:t> </w:t>
      </w:r>
      <w:r>
        <w:rPr>
          <w:w w:val="105"/>
          <w:sz w:val="13"/>
        </w:rPr>
        <w:t>ArborCamp2018).</w:t>
      </w:r>
    </w:p>
    <w:p>
      <w:pPr>
        <w:pStyle w:val="ListParagraph"/>
        <w:numPr>
          <w:ilvl w:val="0"/>
          <w:numId w:val="203"/>
        </w:numPr>
        <w:tabs>
          <w:tab w:pos="2380" w:val="left" w:leader="none"/>
          <w:tab w:pos="2382" w:val="left" w:leader="none"/>
        </w:tabs>
        <w:spacing w:line="240" w:lineRule="auto" w:before="1" w:after="0"/>
        <w:ind w:left="2381" w:right="0" w:hanging="794"/>
        <w:jc w:val="left"/>
        <w:rPr>
          <w:sz w:val="13"/>
        </w:rPr>
      </w:pPr>
      <w:r>
        <w:rPr>
          <w:w w:val="105"/>
          <w:sz w:val="13"/>
        </w:rPr>
        <w:t>Submission </w:t>
      </w:r>
      <w:r>
        <w:rPr>
          <w:spacing w:val="-4"/>
          <w:w w:val="105"/>
          <w:sz w:val="13"/>
        </w:rPr>
        <w:t>12 </w:t>
      </w:r>
      <w:r>
        <w:rPr>
          <w:spacing w:val="3"/>
          <w:w w:val="105"/>
          <w:sz w:val="13"/>
        </w:rPr>
        <w:t>(Dr </w:t>
      </w:r>
      <w:r>
        <w:rPr>
          <w:w w:val="105"/>
          <w:sz w:val="13"/>
        </w:rPr>
        <w:t>Gregory Moore </w:t>
      </w:r>
      <w:r>
        <w:rPr>
          <w:spacing w:val="2"/>
          <w:w w:val="105"/>
          <w:sz w:val="13"/>
        </w:rPr>
        <w:t>OAM); </w:t>
      </w:r>
      <w:r>
        <w:rPr>
          <w:w w:val="105"/>
          <w:sz w:val="13"/>
        </w:rPr>
        <w:t>Consultation 6 </w:t>
      </w:r>
      <w:r>
        <w:rPr>
          <w:spacing w:val="2"/>
          <w:w w:val="105"/>
          <w:sz w:val="13"/>
        </w:rPr>
        <w:t>(Ben </w:t>
      </w:r>
      <w:r>
        <w:rPr>
          <w:w w:val="105"/>
          <w:sz w:val="13"/>
        </w:rPr>
        <w:t>Kenyon); Survey Respondents 2, </w:t>
      </w:r>
      <w:r>
        <w:rPr>
          <w:spacing w:val="-3"/>
          <w:w w:val="105"/>
          <w:sz w:val="13"/>
        </w:rPr>
        <w:t>13, </w:t>
      </w:r>
      <w:r>
        <w:rPr>
          <w:w w:val="105"/>
          <w:sz w:val="13"/>
        </w:rPr>
        <w:t>55, 89.</w:t>
      </w:r>
    </w:p>
    <w:p>
      <w:pPr>
        <w:pStyle w:val="ListParagraph"/>
        <w:numPr>
          <w:ilvl w:val="0"/>
          <w:numId w:val="203"/>
        </w:numPr>
        <w:tabs>
          <w:tab w:pos="2380" w:val="left" w:leader="none"/>
          <w:tab w:pos="2382" w:val="left" w:leader="none"/>
        </w:tabs>
        <w:spacing w:line="240" w:lineRule="auto" w:before="2" w:after="0"/>
        <w:ind w:left="2381" w:right="0" w:hanging="794"/>
        <w:jc w:val="left"/>
        <w:rPr>
          <w:sz w:val="13"/>
        </w:rPr>
      </w:pPr>
      <w:r>
        <w:rPr>
          <w:w w:val="105"/>
          <w:sz w:val="13"/>
        </w:rPr>
        <w:t>Submission </w:t>
      </w:r>
      <w:r>
        <w:rPr>
          <w:spacing w:val="-4"/>
          <w:w w:val="105"/>
          <w:sz w:val="13"/>
        </w:rPr>
        <w:t>12 </w:t>
      </w:r>
      <w:r>
        <w:rPr>
          <w:spacing w:val="3"/>
          <w:w w:val="105"/>
          <w:sz w:val="13"/>
        </w:rPr>
        <w:t>(Dr </w:t>
      </w:r>
      <w:r>
        <w:rPr>
          <w:w w:val="105"/>
          <w:sz w:val="13"/>
        </w:rPr>
        <w:t>Gregory Moore</w:t>
      </w:r>
      <w:r>
        <w:rPr>
          <w:spacing w:val="-3"/>
          <w:w w:val="105"/>
          <w:sz w:val="13"/>
        </w:rPr>
        <w:t> </w:t>
      </w:r>
      <w:r>
        <w:rPr>
          <w:spacing w:val="2"/>
          <w:w w:val="105"/>
          <w:sz w:val="13"/>
        </w:rPr>
        <w:t>OAM).</w:t>
      </w:r>
    </w:p>
    <w:p>
      <w:pPr>
        <w:pStyle w:val="ListParagraph"/>
        <w:numPr>
          <w:ilvl w:val="0"/>
          <w:numId w:val="203"/>
        </w:numPr>
        <w:tabs>
          <w:tab w:pos="2381" w:val="left" w:leader="none"/>
          <w:tab w:pos="2382" w:val="left" w:leader="none"/>
        </w:tabs>
        <w:spacing w:line="240" w:lineRule="auto" w:before="1" w:after="0"/>
        <w:ind w:left="2381" w:right="0" w:hanging="794"/>
        <w:jc w:val="left"/>
        <w:rPr>
          <w:sz w:val="13"/>
        </w:rPr>
      </w:pPr>
      <w:r>
        <w:rPr>
          <w:w w:val="105"/>
          <w:sz w:val="13"/>
        </w:rPr>
        <w:t>Submission 37 </w:t>
      </w:r>
      <w:r>
        <w:rPr>
          <w:spacing w:val="2"/>
          <w:w w:val="105"/>
          <w:sz w:val="13"/>
        </w:rPr>
        <w:t>(Ian</w:t>
      </w:r>
      <w:r>
        <w:rPr>
          <w:spacing w:val="13"/>
          <w:w w:val="105"/>
          <w:sz w:val="13"/>
        </w:rPr>
        <w:t> </w:t>
      </w:r>
      <w:r>
        <w:rPr>
          <w:w w:val="105"/>
          <w:sz w:val="13"/>
        </w:rPr>
        <w:t>Hundley).</w:t>
      </w:r>
    </w:p>
    <w:p>
      <w:pPr>
        <w:pStyle w:val="ListParagraph"/>
        <w:numPr>
          <w:ilvl w:val="0"/>
          <w:numId w:val="203"/>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4"/>
          <w:w w:val="105"/>
          <w:sz w:val="13"/>
        </w:rPr>
        <w:t>17 </w:t>
      </w:r>
      <w:r>
        <w:rPr>
          <w:spacing w:val="2"/>
          <w:w w:val="105"/>
          <w:sz w:val="13"/>
        </w:rPr>
        <w:t>(Name </w:t>
      </w:r>
      <w:r>
        <w:rPr>
          <w:w w:val="105"/>
          <w:sz w:val="13"/>
        </w:rPr>
        <w:t>withheld); Survey Respondents 83,</w:t>
      </w:r>
      <w:r>
        <w:rPr>
          <w:spacing w:val="8"/>
          <w:w w:val="105"/>
          <w:sz w:val="13"/>
        </w:rPr>
        <w:t> </w:t>
      </w:r>
      <w:r>
        <w:rPr>
          <w:w w:val="105"/>
          <w:sz w:val="13"/>
        </w:rPr>
        <w:t>108.</w:t>
      </w:r>
    </w:p>
    <w:p>
      <w:pPr>
        <w:pStyle w:val="BodyText"/>
        <w:rPr>
          <w:sz w:val="28"/>
        </w:rPr>
      </w:pPr>
      <w:r>
        <w:rPr/>
        <w:br w:type="column"/>
      </w:r>
      <w:r>
        <w:rPr>
          <w:sz w:val="28"/>
        </w:rPr>
      </w:r>
    </w:p>
    <w:p>
      <w:pPr>
        <w:pStyle w:val="BodyText"/>
        <w:rPr>
          <w:sz w:val="28"/>
        </w:rPr>
      </w:pPr>
    </w:p>
    <w:p>
      <w:pPr>
        <w:pStyle w:val="BodyText"/>
        <w:spacing w:before="1"/>
        <w:rPr>
          <w:sz w:val="31"/>
        </w:rPr>
      </w:pPr>
    </w:p>
    <w:p>
      <w:pPr>
        <w:spacing w:before="0"/>
        <w:ind w:left="695" w:right="576" w:firstLine="0"/>
        <w:jc w:val="center"/>
        <w:rPr>
          <w:b/>
          <w:sz w:val="24"/>
        </w:rPr>
      </w:pPr>
      <w:r>
        <w:rPr>
          <w:b/>
          <w:color w:val="658464"/>
          <w:w w:val="110"/>
          <w:sz w:val="24"/>
        </w:rPr>
        <w:t>293</w:t>
      </w:r>
    </w:p>
    <w:p>
      <w:pPr>
        <w:spacing w:after="0"/>
        <w:jc w:val="center"/>
        <w:rPr>
          <w:sz w:val="24"/>
        </w:rPr>
        <w:sectPr>
          <w:type w:val="continuous"/>
          <w:pgSz w:w="11910" w:h="16840"/>
          <w:pgMar w:top="300" w:bottom="280" w:left="0" w:right="0"/>
          <w:cols w:num="2" w:equalWidth="0">
            <w:col w:w="10157" w:space="40"/>
            <w:col w:w="1713"/>
          </w:cols>
        </w:sectPr>
      </w:pPr>
    </w:p>
    <w:p>
      <w:pPr>
        <w:pStyle w:val="BodyText"/>
        <w:spacing w:before="9"/>
        <w:rPr>
          <w:b/>
          <w:sz w:val="22"/>
        </w:rPr>
      </w:pPr>
    </w:p>
    <w:p>
      <w:pPr>
        <w:pStyle w:val="ListParagraph"/>
        <w:numPr>
          <w:ilvl w:val="1"/>
          <w:numId w:val="16"/>
        </w:numPr>
        <w:tabs>
          <w:tab w:pos="2381" w:val="left" w:leader="none"/>
          <w:tab w:pos="2382" w:val="left" w:leader="none"/>
        </w:tabs>
        <w:spacing w:line="242" w:lineRule="auto" w:before="92" w:after="0"/>
        <w:ind w:left="2381" w:right="1866" w:hanging="794"/>
        <w:jc w:val="left"/>
        <w:rPr>
          <w:sz w:val="21"/>
        </w:rPr>
      </w:pPr>
      <w:bookmarkStart w:name="_bookmark163" w:id="352"/>
      <w:bookmarkEnd w:id="352"/>
      <w:r>
        <w:rPr/>
      </w:r>
      <w:bookmarkStart w:name="_bookmark163" w:id="353"/>
      <w:bookmarkEnd w:id="353"/>
      <w:r>
        <w:rPr>
          <w:sz w:val="21"/>
        </w:rPr>
        <w:t>T</w:t>
      </w:r>
      <w:r>
        <w:rPr>
          <w:sz w:val="21"/>
        </w:rPr>
        <w:t>he </w:t>
      </w:r>
      <w:r>
        <w:rPr>
          <w:spacing w:val="-3"/>
          <w:sz w:val="21"/>
        </w:rPr>
        <w:t>Commission </w:t>
      </w:r>
      <w:r>
        <w:rPr>
          <w:sz w:val="21"/>
        </w:rPr>
        <w:t>acknowledges the </w:t>
      </w:r>
      <w:r>
        <w:rPr>
          <w:spacing w:val="-3"/>
          <w:sz w:val="21"/>
        </w:rPr>
        <w:t>concerns </w:t>
      </w:r>
      <w:r>
        <w:rPr>
          <w:spacing w:val="-2"/>
          <w:sz w:val="21"/>
        </w:rPr>
        <w:t>raised </w:t>
      </w:r>
      <w:r>
        <w:rPr>
          <w:sz w:val="21"/>
        </w:rPr>
        <w:t>by community members about </w:t>
      </w:r>
      <w:r>
        <w:rPr>
          <w:spacing w:val="-2"/>
          <w:sz w:val="21"/>
        </w:rPr>
        <w:t>not </w:t>
      </w:r>
      <w:r>
        <w:rPr>
          <w:spacing w:val="-3"/>
          <w:sz w:val="21"/>
        </w:rPr>
        <w:t>having any </w:t>
      </w:r>
      <w:r>
        <w:rPr>
          <w:sz w:val="21"/>
        </w:rPr>
        <w:t>external </w:t>
      </w:r>
      <w:r>
        <w:rPr>
          <w:spacing w:val="-3"/>
          <w:sz w:val="21"/>
        </w:rPr>
        <w:t>right </w:t>
      </w:r>
      <w:r>
        <w:rPr>
          <w:sz w:val="21"/>
        </w:rPr>
        <w:t>of review under local laws. An </w:t>
      </w:r>
      <w:r>
        <w:rPr>
          <w:spacing w:val="-3"/>
          <w:sz w:val="21"/>
        </w:rPr>
        <w:t>internal </w:t>
      </w:r>
      <w:r>
        <w:rPr>
          <w:sz w:val="21"/>
        </w:rPr>
        <w:t>review process </w:t>
      </w:r>
      <w:r>
        <w:rPr>
          <w:spacing w:val="-3"/>
          <w:sz w:val="21"/>
        </w:rPr>
        <w:t>may </w:t>
      </w:r>
      <w:r>
        <w:rPr>
          <w:sz w:val="21"/>
        </w:rPr>
        <w:t>be </w:t>
      </w:r>
      <w:r>
        <w:rPr>
          <w:spacing w:val="-3"/>
          <w:sz w:val="21"/>
        </w:rPr>
        <w:t>available to </w:t>
      </w:r>
      <w:r>
        <w:rPr>
          <w:sz w:val="21"/>
        </w:rPr>
        <w:t>applicants who </w:t>
      </w:r>
      <w:r>
        <w:rPr>
          <w:spacing w:val="-3"/>
          <w:sz w:val="21"/>
        </w:rPr>
        <w:t>are </w:t>
      </w:r>
      <w:r>
        <w:rPr>
          <w:sz w:val="21"/>
        </w:rPr>
        <w:t>aggrieved by the </w:t>
      </w:r>
      <w:r>
        <w:rPr>
          <w:spacing w:val="-3"/>
          <w:sz w:val="21"/>
        </w:rPr>
        <w:t>initial </w:t>
      </w:r>
      <w:r>
        <w:rPr>
          <w:sz w:val="21"/>
        </w:rPr>
        <w:t>decision made by </w:t>
      </w:r>
      <w:r>
        <w:rPr>
          <w:spacing w:val="-3"/>
          <w:sz w:val="21"/>
        </w:rPr>
        <w:t>council. </w:t>
      </w:r>
      <w:r>
        <w:rPr>
          <w:sz w:val="21"/>
        </w:rPr>
        <w:t>For </w:t>
      </w:r>
      <w:r>
        <w:rPr>
          <w:spacing w:val="-3"/>
          <w:sz w:val="21"/>
        </w:rPr>
        <w:t>example, </w:t>
      </w:r>
      <w:r>
        <w:rPr>
          <w:sz w:val="21"/>
        </w:rPr>
        <w:t>the </w:t>
      </w:r>
      <w:r>
        <w:rPr>
          <w:spacing w:val="-3"/>
          <w:sz w:val="21"/>
        </w:rPr>
        <w:t>City </w:t>
      </w:r>
      <w:r>
        <w:rPr>
          <w:sz w:val="21"/>
        </w:rPr>
        <w:t>of </w:t>
      </w:r>
      <w:r>
        <w:rPr>
          <w:spacing w:val="-3"/>
          <w:sz w:val="21"/>
        </w:rPr>
        <w:t>Boroondara </w:t>
      </w:r>
      <w:r>
        <w:rPr>
          <w:sz w:val="21"/>
        </w:rPr>
        <w:t>advised </w:t>
      </w:r>
      <w:r>
        <w:rPr>
          <w:spacing w:val="-3"/>
          <w:sz w:val="21"/>
        </w:rPr>
        <w:t>‘it </w:t>
      </w:r>
      <w:r>
        <w:rPr>
          <w:sz w:val="21"/>
        </w:rPr>
        <w:t>is </w:t>
      </w:r>
      <w:r>
        <w:rPr>
          <w:spacing w:val="-2"/>
          <w:sz w:val="21"/>
        </w:rPr>
        <w:t>not </w:t>
      </w:r>
      <w:r>
        <w:rPr>
          <w:spacing w:val="-3"/>
          <w:sz w:val="21"/>
        </w:rPr>
        <w:t>uncommon for </w:t>
      </w:r>
      <w:r>
        <w:rPr>
          <w:sz w:val="21"/>
        </w:rPr>
        <w:t>appeals </w:t>
      </w:r>
      <w:r>
        <w:rPr>
          <w:spacing w:val="-3"/>
          <w:sz w:val="21"/>
        </w:rPr>
        <w:t>to result </w:t>
      </w:r>
      <w:r>
        <w:rPr>
          <w:sz w:val="21"/>
        </w:rPr>
        <w:t>in </w:t>
      </w:r>
      <w:r>
        <w:rPr>
          <w:spacing w:val="-3"/>
          <w:sz w:val="21"/>
        </w:rPr>
        <w:t>different outcomes to </w:t>
      </w:r>
      <w:r>
        <w:rPr>
          <w:sz w:val="21"/>
        </w:rPr>
        <w:t>the </w:t>
      </w:r>
      <w:r>
        <w:rPr>
          <w:spacing w:val="-3"/>
          <w:sz w:val="21"/>
        </w:rPr>
        <w:t>original decision, </w:t>
      </w:r>
      <w:r>
        <w:rPr>
          <w:sz w:val="21"/>
        </w:rPr>
        <w:t>especially in cases where the </w:t>
      </w:r>
      <w:r>
        <w:rPr>
          <w:spacing w:val="-3"/>
          <w:sz w:val="21"/>
        </w:rPr>
        <w:t>applicant </w:t>
      </w:r>
      <w:r>
        <w:rPr>
          <w:spacing w:val="-2"/>
          <w:sz w:val="21"/>
        </w:rPr>
        <w:t>has </w:t>
      </w:r>
      <w:r>
        <w:rPr>
          <w:sz w:val="21"/>
        </w:rPr>
        <w:t>provided more </w:t>
      </w:r>
      <w:r>
        <w:rPr>
          <w:spacing w:val="-3"/>
          <w:sz w:val="21"/>
        </w:rPr>
        <w:t>comprehensive</w:t>
      </w:r>
      <w:r>
        <w:rPr>
          <w:spacing w:val="27"/>
          <w:sz w:val="21"/>
        </w:rPr>
        <w:t> </w:t>
      </w:r>
      <w:r>
        <w:rPr>
          <w:spacing w:val="-4"/>
          <w:sz w:val="21"/>
        </w:rPr>
        <w:t>evidence’.</w:t>
      </w:r>
      <w:r>
        <w:rPr>
          <w:spacing w:val="-4"/>
          <w:position w:val="7"/>
          <w:sz w:val="12"/>
        </w:rPr>
        <w:t>36</w:t>
      </w:r>
    </w:p>
    <w:p>
      <w:pPr>
        <w:pStyle w:val="ListParagraph"/>
        <w:numPr>
          <w:ilvl w:val="1"/>
          <w:numId w:val="16"/>
        </w:numPr>
        <w:tabs>
          <w:tab w:pos="2380" w:val="left" w:leader="none"/>
          <w:tab w:pos="2381" w:val="left" w:leader="none"/>
        </w:tabs>
        <w:spacing w:line="242" w:lineRule="auto" w:before="126" w:after="0"/>
        <w:ind w:left="2381" w:right="1653" w:hanging="794"/>
        <w:jc w:val="left"/>
        <w:rPr>
          <w:sz w:val="21"/>
        </w:rPr>
      </w:pPr>
      <w:r>
        <w:rPr>
          <w:sz w:val="21"/>
        </w:rPr>
        <w:t>The </w:t>
      </w:r>
      <w:r>
        <w:rPr>
          <w:spacing w:val="-3"/>
          <w:sz w:val="21"/>
        </w:rPr>
        <w:t>Commission </w:t>
      </w:r>
      <w:r>
        <w:rPr>
          <w:sz w:val="21"/>
        </w:rPr>
        <w:t>observes </w:t>
      </w:r>
      <w:r>
        <w:rPr>
          <w:spacing w:val="-3"/>
          <w:sz w:val="21"/>
        </w:rPr>
        <w:t>that </w:t>
      </w:r>
      <w:r>
        <w:rPr>
          <w:sz w:val="21"/>
        </w:rPr>
        <w:t>penalties imposed under local  laws  </w:t>
      </w:r>
      <w:r>
        <w:rPr>
          <w:spacing w:val="-3"/>
          <w:sz w:val="21"/>
        </w:rPr>
        <w:t>have  remained  </w:t>
      </w:r>
      <w:r>
        <w:rPr>
          <w:sz w:val="21"/>
        </w:rPr>
        <w:t>the same </w:t>
      </w:r>
      <w:r>
        <w:rPr>
          <w:spacing w:val="-3"/>
          <w:sz w:val="21"/>
        </w:rPr>
        <w:t>since </w:t>
      </w:r>
      <w:r>
        <w:rPr>
          <w:spacing w:val="-6"/>
          <w:sz w:val="21"/>
        </w:rPr>
        <w:t>1991 </w:t>
      </w:r>
      <w:r>
        <w:rPr>
          <w:sz w:val="21"/>
        </w:rPr>
        <w:t>and as a </w:t>
      </w:r>
      <w:r>
        <w:rPr>
          <w:spacing w:val="-3"/>
          <w:sz w:val="21"/>
        </w:rPr>
        <w:t>consequence are  </w:t>
      </w:r>
      <w:r>
        <w:rPr>
          <w:spacing w:val="-4"/>
          <w:sz w:val="21"/>
        </w:rPr>
        <w:t>likely  </w:t>
      </w:r>
      <w:r>
        <w:rPr>
          <w:spacing w:val="-3"/>
          <w:sz w:val="21"/>
        </w:rPr>
        <w:t>to  </w:t>
      </w:r>
      <w:r>
        <w:rPr>
          <w:sz w:val="21"/>
        </w:rPr>
        <w:t>be </w:t>
      </w:r>
      <w:r>
        <w:rPr>
          <w:spacing w:val="-3"/>
          <w:sz w:val="21"/>
        </w:rPr>
        <w:t>inadequate</w:t>
      </w:r>
      <w:r>
        <w:rPr>
          <w:spacing w:val="41"/>
          <w:sz w:val="21"/>
        </w:rPr>
        <w:t> </w:t>
      </w:r>
      <w:r>
        <w:rPr>
          <w:sz w:val="21"/>
        </w:rPr>
        <w:t>as a </w:t>
      </w:r>
      <w:r>
        <w:rPr>
          <w:spacing w:val="-3"/>
          <w:sz w:val="21"/>
        </w:rPr>
        <w:t>deterrent.</w:t>
      </w:r>
      <w:r>
        <w:rPr>
          <w:spacing w:val="-3"/>
          <w:position w:val="7"/>
          <w:sz w:val="12"/>
        </w:rPr>
        <w:t>37  </w:t>
      </w:r>
      <w:r>
        <w:rPr>
          <w:sz w:val="21"/>
        </w:rPr>
        <w:t>The </w:t>
      </w:r>
      <w:r>
        <w:rPr>
          <w:i/>
          <w:sz w:val="21"/>
        </w:rPr>
        <w:t>Local </w:t>
      </w:r>
      <w:r>
        <w:rPr>
          <w:i/>
          <w:spacing w:val="-3"/>
          <w:sz w:val="21"/>
        </w:rPr>
        <w:t>Government </w:t>
      </w:r>
      <w:r>
        <w:rPr>
          <w:i/>
          <w:sz w:val="21"/>
        </w:rPr>
        <w:t>Act </w:t>
      </w:r>
      <w:r>
        <w:rPr>
          <w:i/>
          <w:spacing w:val="-5"/>
          <w:sz w:val="21"/>
        </w:rPr>
        <w:t>1989 </w:t>
      </w:r>
      <w:r>
        <w:rPr>
          <w:sz w:val="21"/>
        </w:rPr>
        <w:t>(Vic) </w:t>
      </w:r>
      <w:r>
        <w:rPr>
          <w:spacing w:val="-2"/>
          <w:sz w:val="21"/>
        </w:rPr>
        <w:t>has </w:t>
      </w:r>
      <w:r>
        <w:rPr>
          <w:spacing w:val="-3"/>
          <w:sz w:val="21"/>
        </w:rPr>
        <w:t>recently </w:t>
      </w:r>
      <w:r>
        <w:rPr>
          <w:sz w:val="21"/>
        </w:rPr>
        <w:t>undergone an extensive review process, </w:t>
      </w:r>
      <w:r>
        <w:rPr>
          <w:spacing w:val="-3"/>
          <w:sz w:val="21"/>
        </w:rPr>
        <w:t>including consideration </w:t>
      </w:r>
      <w:r>
        <w:rPr>
          <w:sz w:val="21"/>
        </w:rPr>
        <w:t>of the </w:t>
      </w:r>
      <w:r>
        <w:rPr>
          <w:spacing w:val="-3"/>
          <w:sz w:val="21"/>
        </w:rPr>
        <w:t>value </w:t>
      </w:r>
      <w:r>
        <w:rPr>
          <w:sz w:val="21"/>
        </w:rPr>
        <w:t>of penalty units under local laws,  with  Local </w:t>
      </w:r>
      <w:r>
        <w:rPr>
          <w:spacing w:val="-3"/>
          <w:sz w:val="21"/>
        </w:rPr>
        <w:t>Government </w:t>
      </w:r>
      <w:r>
        <w:rPr>
          <w:sz w:val="21"/>
        </w:rPr>
        <w:t>Victoria </w:t>
      </w:r>
      <w:r>
        <w:rPr>
          <w:spacing w:val="-3"/>
          <w:sz w:val="21"/>
        </w:rPr>
        <w:t>finding </w:t>
      </w:r>
      <w:r>
        <w:rPr>
          <w:sz w:val="21"/>
        </w:rPr>
        <w:t>‘there  </w:t>
      </w:r>
      <w:r>
        <w:rPr>
          <w:spacing w:val="-3"/>
          <w:sz w:val="21"/>
        </w:rPr>
        <w:t>are  grounds  for  considering  </w:t>
      </w:r>
      <w:r>
        <w:rPr>
          <w:sz w:val="21"/>
        </w:rPr>
        <w:t>indexation  of  penalty units if </w:t>
      </w:r>
      <w:r>
        <w:rPr>
          <w:spacing w:val="-3"/>
          <w:sz w:val="21"/>
        </w:rPr>
        <w:t>breaches </w:t>
      </w:r>
      <w:r>
        <w:rPr>
          <w:sz w:val="21"/>
        </w:rPr>
        <w:t>of local laws </w:t>
      </w:r>
      <w:r>
        <w:rPr>
          <w:spacing w:val="-3"/>
          <w:sz w:val="21"/>
        </w:rPr>
        <w:t>are  to  </w:t>
      </w:r>
      <w:r>
        <w:rPr>
          <w:sz w:val="21"/>
        </w:rPr>
        <w:t>be </w:t>
      </w:r>
      <w:r>
        <w:rPr>
          <w:spacing w:val="-3"/>
          <w:sz w:val="21"/>
        </w:rPr>
        <w:t>rigorously</w:t>
      </w:r>
      <w:r>
        <w:rPr>
          <w:spacing w:val="41"/>
          <w:sz w:val="21"/>
        </w:rPr>
        <w:t> </w:t>
      </w:r>
      <w:r>
        <w:rPr>
          <w:spacing w:val="-4"/>
          <w:sz w:val="21"/>
        </w:rPr>
        <w:t>enforced’.</w:t>
      </w:r>
      <w:r>
        <w:rPr>
          <w:spacing w:val="-4"/>
          <w:position w:val="7"/>
          <w:sz w:val="12"/>
        </w:rPr>
        <w:t>38  </w:t>
      </w:r>
      <w:r>
        <w:rPr>
          <w:sz w:val="21"/>
        </w:rPr>
        <w:t>This was reflected in the  Local </w:t>
      </w:r>
      <w:r>
        <w:rPr>
          <w:spacing w:val="-3"/>
          <w:sz w:val="21"/>
        </w:rPr>
        <w:t>Government Bill </w:t>
      </w:r>
      <w:r>
        <w:rPr>
          <w:spacing w:val="-6"/>
          <w:sz w:val="21"/>
        </w:rPr>
        <w:t>2018, </w:t>
      </w:r>
      <w:r>
        <w:rPr>
          <w:sz w:val="21"/>
        </w:rPr>
        <w:t>now  lapsed,  which  put  forward  </w:t>
      </w:r>
      <w:r>
        <w:rPr>
          <w:spacing w:val="-3"/>
          <w:sz w:val="21"/>
        </w:rPr>
        <w:t>consequential  </w:t>
      </w:r>
      <w:r>
        <w:rPr>
          <w:sz w:val="21"/>
        </w:rPr>
        <w:t>amendments </w:t>
      </w:r>
      <w:r>
        <w:rPr>
          <w:spacing w:val="-3"/>
          <w:sz w:val="21"/>
        </w:rPr>
        <w:t>to </w:t>
      </w:r>
      <w:r>
        <w:rPr>
          <w:sz w:val="21"/>
        </w:rPr>
        <w:t>the </w:t>
      </w:r>
      <w:r>
        <w:rPr>
          <w:i/>
          <w:spacing w:val="-3"/>
          <w:sz w:val="21"/>
        </w:rPr>
        <w:t>Sentencing </w:t>
      </w:r>
      <w:r>
        <w:rPr>
          <w:i/>
          <w:sz w:val="21"/>
        </w:rPr>
        <w:t>Act </w:t>
      </w:r>
      <w:r>
        <w:rPr>
          <w:i/>
          <w:spacing w:val="-8"/>
          <w:sz w:val="21"/>
        </w:rPr>
        <w:t>1991 </w:t>
      </w:r>
      <w:r>
        <w:rPr>
          <w:sz w:val="21"/>
        </w:rPr>
        <w:t>(Vic).</w:t>
      </w:r>
      <w:r>
        <w:rPr>
          <w:position w:val="7"/>
          <w:sz w:val="12"/>
        </w:rPr>
        <w:t>39 </w:t>
      </w:r>
      <w:r>
        <w:rPr>
          <w:sz w:val="21"/>
        </w:rPr>
        <w:t>These amendments  would  </w:t>
      </w:r>
      <w:r>
        <w:rPr>
          <w:spacing w:val="-3"/>
          <w:sz w:val="21"/>
        </w:rPr>
        <w:t>have  </w:t>
      </w:r>
      <w:r>
        <w:rPr>
          <w:sz w:val="21"/>
        </w:rPr>
        <w:t>dispensed  with  the fixed penalty </w:t>
      </w:r>
      <w:r>
        <w:rPr>
          <w:spacing w:val="-3"/>
          <w:sz w:val="21"/>
        </w:rPr>
        <w:t>amount </w:t>
      </w:r>
      <w:r>
        <w:rPr>
          <w:sz w:val="21"/>
        </w:rPr>
        <w:t>of </w:t>
      </w:r>
      <w:r>
        <w:rPr>
          <w:spacing w:val="-5"/>
          <w:sz w:val="21"/>
        </w:rPr>
        <w:t>$100 </w:t>
      </w:r>
      <w:r>
        <w:rPr>
          <w:sz w:val="21"/>
        </w:rPr>
        <w:t>in </w:t>
      </w:r>
      <w:r>
        <w:rPr>
          <w:spacing w:val="-3"/>
          <w:sz w:val="21"/>
        </w:rPr>
        <w:t>favour </w:t>
      </w:r>
      <w:r>
        <w:rPr>
          <w:sz w:val="21"/>
        </w:rPr>
        <w:t>of </w:t>
      </w:r>
      <w:r>
        <w:rPr>
          <w:spacing w:val="-3"/>
          <w:sz w:val="21"/>
        </w:rPr>
        <w:t>annual determinations to </w:t>
      </w:r>
      <w:r>
        <w:rPr>
          <w:sz w:val="21"/>
        </w:rPr>
        <w:t>be made  by  the </w:t>
      </w:r>
      <w:r>
        <w:rPr>
          <w:spacing w:val="-5"/>
          <w:sz w:val="21"/>
        </w:rPr>
        <w:t>Treasurer </w:t>
      </w:r>
      <w:r>
        <w:rPr>
          <w:sz w:val="21"/>
        </w:rPr>
        <w:t>under the </w:t>
      </w:r>
      <w:r>
        <w:rPr>
          <w:i/>
          <w:sz w:val="21"/>
        </w:rPr>
        <w:t>Monetary Units Act 2004 </w:t>
      </w:r>
      <w:r>
        <w:rPr>
          <w:sz w:val="21"/>
        </w:rPr>
        <w:t>(Vic). </w:t>
      </w:r>
      <w:r>
        <w:rPr>
          <w:spacing w:val="-4"/>
          <w:sz w:val="21"/>
        </w:rPr>
        <w:t>However, </w:t>
      </w:r>
      <w:r>
        <w:rPr>
          <w:sz w:val="21"/>
        </w:rPr>
        <w:t>the </w:t>
      </w:r>
      <w:r>
        <w:rPr>
          <w:spacing w:val="-3"/>
          <w:sz w:val="21"/>
        </w:rPr>
        <w:t>Bill </w:t>
      </w:r>
      <w:r>
        <w:rPr>
          <w:spacing w:val="-2"/>
          <w:sz w:val="21"/>
        </w:rPr>
        <w:t>has </w:t>
      </w:r>
      <w:r>
        <w:rPr>
          <w:sz w:val="21"/>
        </w:rPr>
        <w:t>now lapsed and  the </w:t>
      </w:r>
      <w:r>
        <w:rPr>
          <w:i/>
          <w:sz w:val="21"/>
        </w:rPr>
        <w:t>Local </w:t>
      </w:r>
      <w:r>
        <w:rPr>
          <w:i/>
          <w:spacing w:val="-3"/>
          <w:sz w:val="21"/>
        </w:rPr>
        <w:t>Government  </w:t>
      </w:r>
      <w:r>
        <w:rPr>
          <w:i/>
          <w:sz w:val="21"/>
        </w:rPr>
        <w:t>Act </w:t>
      </w:r>
      <w:r>
        <w:rPr>
          <w:i/>
          <w:spacing w:val="-5"/>
          <w:sz w:val="21"/>
        </w:rPr>
        <w:t>1989  </w:t>
      </w:r>
      <w:r>
        <w:rPr>
          <w:sz w:val="21"/>
        </w:rPr>
        <w:t>(Vic) </w:t>
      </w:r>
      <w:r>
        <w:rPr>
          <w:spacing w:val="-3"/>
          <w:sz w:val="21"/>
        </w:rPr>
        <w:t>continues  to  form  </w:t>
      </w:r>
      <w:r>
        <w:rPr>
          <w:sz w:val="21"/>
        </w:rPr>
        <w:t>the basis of the legal </w:t>
      </w:r>
      <w:r>
        <w:rPr>
          <w:spacing w:val="-3"/>
          <w:sz w:val="21"/>
        </w:rPr>
        <w:t>framework  for </w:t>
      </w:r>
      <w:r>
        <w:rPr>
          <w:sz w:val="21"/>
        </w:rPr>
        <w:t>Victorian</w:t>
      </w:r>
      <w:r>
        <w:rPr>
          <w:spacing w:val="20"/>
          <w:sz w:val="21"/>
        </w:rPr>
        <w:t> </w:t>
      </w:r>
      <w:r>
        <w:rPr>
          <w:spacing w:val="-3"/>
          <w:sz w:val="21"/>
        </w:rPr>
        <w:t>councils.</w:t>
      </w:r>
    </w:p>
    <w:p>
      <w:pPr>
        <w:pStyle w:val="ListParagraph"/>
        <w:numPr>
          <w:ilvl w:val="1"/>
          <w:numId w:val="16"/>
        </w:numPr>
        <w:tabs>
          <w:tab w:pos="2381" w:val="left" w:leader="none"/>
          <w:tab w:pos="2382" w:val="left" w:leader="none"/>
        </w:tabs>
        <w:spacing w:line="242" w:lineRule="auto" w:before="133" w:after="0"/>
        <w:ind w:left="2381" w:right="1593" w:hanging="794"/>
        <w:jc w:val="left"/>
        <w:rPr>
          <w:sz w:val="21"/>
        </w:rPr>
      </w:pPr>
      <w:r>
        <w:rPr>
          <w:w w:val="105"/>
          <w:sz w:val="21"/>
        </w:rPr>
        <w:t>The</w:t>
      </w:r>
      <w:r>
        <w:rPr>
          <w:spacing w:val="-7"/>
          <w:w w:val="105"/>
          <w:sz w:val="21"/>
        </w:rPr>
        <w:t> </w:t>
      </w:r>
      <w:r>
        <w:rPr>
          <w:spacing w:val="-3"/>
          <w:w w:val="105"/>
          <w:sz w:val="21"/>
        </w:rPr>
        <w:t>Commission</w:t>
      </w:r>
      <w:r>
        <w:rPr>
          <w:spacing w:val="-7"/>
          <w:w w:val="105"/>
          <w:sz w:val="21"/>
        </w:rPr>
        <w:t> </w:t>
      </w:r>
      <w:r>
        <w:rPr>
          <w:spacing w:val="-2"/>
          <w:w w:val="105"/>
          <w:sz w:val="21"/>
        </w:rPr>
        <w:t>has</w:t>
      </w:r>
      <w:r>
        <w:rPr>
          <w:spacing w:val="-7"/>
          <w:w w:val="105"/>
          <w:sz w:val="21"/>
        </w:rPr>
        <w:t> </w:t>
      </w:r>
      <w:r>
        <w:rPr>
          <w:w w:val="105"/>
          <w:sz w:val="21"/>
        </w:rPr>
        <w:t>been</w:t>
      </w:r>
      <w:r>
        <w:rPr>
          <w:spacing w:val="-7"/>
          <w:w w:val="105"/>
          <w:sz w:val="21"/>
        </w:rPr>
        <w:t> </w:t>
      </w:r>
      <w:r>
        <w:rPr>
          <w:spacing w:val="-3"/>
          <w:w w:val="105"/>
          <w:sz w:val="21"/>
        </w:rPr>
        <w:t>informed</w:t>
      </w:r>
      <w:r>
        <w:rPr>
          <w:spacing w:val="-7"/>
          <w:w w:val="105"/>
          <w:sz w:val="21"/>
        </w:rPr>
        <w:t> </w:t>
      </w:r>
      <w:r>
        <w:rPr>
          <w:spacing w:val="-3"/>
          <w:w w:val="105"/>
          <w:sz w:val="21"/>
        </w:rPr>
        <w:t>that</w:t>
      </w:r>
      <w:r>
        <w:rPr>
          <w:spacing w:val="-7"/>
          <w:w w:val="105"/>
          <w:sz w:val="21"/>
        </w:rPr>
        <w:t> </w:t>
      </w:r>
      <w:r>
        <w:rPr>
          <w:w w:val="105"/>
          <w:sz w:val="21"/>
        </w:rPr>
        <w:t>the</w:t>
      </w:r>
      <w:r>
        <w:rPr>
          <w:spacing w:val="-6"/>
          <w:w w:val="105"/>
          <w:sz w:val="21"/>
        </w:rPr>
        <w:t> </w:t>
      </w:r>
      <w:r>
        <w:rPr>
          <w:w w:val="105"/>
          <w:sz w:val="21"/>
        </w:rPr>
        <w:t>application</w:t>
      </w:r>
      <w:r>
        <w:rPr>
          <w:spacing w:val="-7"/>
          <w:w w:val="105"/>
          <w:sz w:val="21"/>
        </w:rPr>
        <w:t> </w:t>
      </w:r>
      <w:r>
        <w:rPr>
          <w:w w:val="105"/>
          <w:sz w:val="21"/>
        </w:rPr>
        <w:t>of</w:t>
      </w:r>
      <w:r>
        <w:rPr>
          <w:spacing w:val="-7"/>
          <w:w w:val="105"/>
          <w:sz w:val="21"/>
        </w:rPr>
        <w:t> </w:t>
      </w:r>
      <w:r>
        <w:rPr>
          <w:w w:val="105"/>
          <w:sz w:val="21"/>
        </w:rPr>
        <w:t>local</w:t>
      </w:r>
      <w:r>
        <w:rPr>
          <w:spacing w:val="-7"/>
          <w:w w:val="105"/>
          <w:sz w:val="21"/>
        </w:rPr>
        <w:t> </w:t>
      </w:r>
      <w:r>
        <w:rPr>
          <w:w w:val="105"/>
          <w:sz w:val="21"/>
        </w:rPr>
        <w:t>tree</w:t>
      </w:r>
      <w:r>
        <w:rPr>
          <w:spacing w:val="-7"/>
          <w:w w:val="105"/>
          <w:sz w:val="21"/>
        </w:rPr>
        <w:t> </w:t>
      </w:r>
      <w:r>
        <w:rPr>
          <w:w w:val="105"/>
          <w:sz w:val="21"/>
        </w:rPr>
        <w:t>protection</w:t>
      </w:r>
      <w:r>
        <w:rPr>
          <w:spacing w:val="-7"/>
          <w:w w:val="105"/>
          <w:sz w:val="21"/>
        </w:rPr>
        <w:t> </w:t>
      </w:r>
      <w:r>
        <w:rPr>
          <w:w w:val="105"/>
          <w:sz w:val="21"/>
        </w:rPr>
        <w:t>laws</w:t>
      </w:r>
      <w:r>
        <w:rPr>
          <w:spacing w:val="-6"/>
          <w:w w:val="105"/>
          <w:sz w:val="21"/>
        </w:rPr>
        <w:t> </w:t>
      </w:r>
      <w:r>
        <w:rPr>
          <w:w w:val="105"/>
          <w:sz w:val="21"/>
        </w:rPr>
        <w:t>adds complexity </w:t>
      </w:r>
      <w:r>
        <w:rPr>
          <w:spacing w:val="-3"/>
          <w:w w:val="105"/>
          <w:sz w:val="21"/>
        </w:rPr>
        <w:t>to </w:t>
      </w:r>
      <w:r>
        <w:rPr>
          <w:w w:val="105"/>
          <w:sz w:val="21"/>
        </w:rPr>
        <w:t>the resolution of tree </w:t>
      </w:r>
      <w:r>
        <w:rPr>
          <w:spacing w:val="-3"/>
          <w:w w:val="105"/>
          <w:sz w:val="21"/>
        </w:rPr>
        <w:t>disputes </w:t>
      </w:r>
      <w:r>
        <w:rPr>
          <w:w w:val="105"/>
          <w:sz w:val="21"/>
        </w:rPr>
        <w:t>and it is </w:t>
      </w:r>
      <w:r>
        <w:rPr>
          <w:spacing w:val="-2"/>
          <w:w w:val="105"/>
          <w:sz w:val="21"/>
        </w:rPr>
        <w:t>not </w:t>
      </w:r>
      <w:r>
        <w:rPr>
          <w:w w:val="105"/>
          <w:sz w:val="21"/>
        </w:rPr>
        <w:t>always </w:t>
      </w:r>
      <w:r>
        <w:rPr>
          <w:spacing w:val="-3"/>
          <w:w w:val="105"/>
          <w:sz w:val="21"/>
        </w:rPr>
        <w:t>clear </w:t>
      </w:r>
      <w:r>
        <w:rPr>
          <w:w w:val="105"/>
          <w:sz w:val="21"/>
        </w:rPr>
        <w:t>how these laws </w:t>
      </w:r>
      <w:r>
        <w:rPr>
          <w:spacing w:val="-3"/>
          <w:w w:val="105"/>
          <w:sz w:val="21"/>
        </w:rPr>
        <w:t>apply.</w:t>
      </w:r>
      <w:r>
        <w:rPr>
          <w:spacing w:val="-3"/>
          <w:w w:val="105"/>
          <w:position w:val="7"/>
          <w:sz w:val="12"/>
        </w:rPr>
        <w:t>40 </w:t>
      </w:r>
      <w:r>
        <w:rPr>
          <w:spacing w:val="-4"/>
          <w:w w:val="105"/>
          <w:sz w:val="21"/>
        </w:rPr>
        <w:t>Chapter </w:t>
      </w:r>
      <w:r>
        <w:rPr>
          <w:spacing w:val="-9"/>
          <w:w w:val="105"/>
          <w:sz w:val="21"/>
        </w:rPr>
        <w:t>12 </w:t>
      </w:r>
      <w:r>
        <w:rPr>
          <w:spacing w:val="-3"/>
          <w:w w:val="105"/>
          <w:sz w:val="21"/>
        </w:rPr>
        <w:t>recommends that councils </w:t>
      </w:r>
      <w:r>
        <w:rPr>
          <w:w w:val="105"/>
          <w:sz w:val="21"/>
        </w:rPr>
        <w:t>provide </w:t>
      </w:r>
      <w:r>
        <w:rPr>
          <w:spacing w:val="-3"/>
          <w:w w:val="105"/>
          <w:sz w:val="21"/>
        </w:rPr>
        <w:t>clear </w:t>
      </w:r>
      <w:r>
        <w:rPr>
          <w:w w:val="105"/>
          <w:sz w:val="21"/>
        </w:rPr>
        <w:t>and </w:t>
      </w:r>
      <w:r>
        <w:rPr>
          <w:spacing w:val="-3"/>
          <w:w w:val="105"/>
          <w:sz w:val="21"/>
        </w:rPr>
        <w:t>accessible information </w:t>
      </w:r>
      <w:r>
        <w:rPr>
          <w:w w:val="105"/>
          <w:sz w:val="21"/>
        </w:rPr>
        <w:t>about local laws applying </w:t>
      </w:r>
      <w:r>
        <w:rPr>
          <w:spacing w:val="-3"/>
          <w:w w:val="105"/>
          <w:sz w:val="21"/>
        </w:rPr>
        <w:t>to </w:t>
      </w:r>
      <w:r>
        <w:rPr>
          <w:w w:val="105"/>
          <w:sz w:val="21"/>
        </w:rPr>
        <w:t>vegetation on </w:t>
      </w:r>
      <w:r>
        <w:rPr>
          <w:spacing w:val="-3"/>
          <w:w w:val="105"/>
          <w:sz w:val="21"/>
        </w:rPr>
        <w:t>private land </w:t>
      </w:r>
      <w:r>
        <w:rPr>
          <w:w w:val="105"/>
          <w:sz w:val="21"/>
        </w:rPr>
        <w:t>in </w:t>
      </w:r>
      <w:r>
        <w:rPr>
          <w:spacing w:val="-3"/>
          <w:w w:val="105"/>
          <w:sz w:val="21"/>
        </w:rPr>
        <w:t>council areas. </w:t>
      </w:r>
      <w:r>
        <w:rPr>
          <w:w w:val="105"/>
          <w:sz w:val="21"/>
        </w:rPr>
        <w:t>This should </w:t>
      </w:r>
      <w:r>
        <w:rPr>
          <w:spacing w:val="-3"/>
          <w:w w:val="105"/>
          <w:sz w:val="21"/>
        </w:rPr>
        <w:t>include information </w:t>
      </w:r>
      <w:r>
        <w:rPr>
          <w:w w:val="105"/>
          <w:sz w:val="21"/>
        </w:rPr>
        <w:t>about how these laws</w:t>
      </w:r>
      <w:r>
        <w:rPr>
          <w:spacing w:val="33"/>
          <w:w w:val="105"/>
          <w:sz w:val="21"/>
        </w:rPr>
        <w:t> </w:t>
      </w:r>
      <w:r>
        <w:rPr>
          <w:spacing w:val="-3"/>
          <w:w w:val="105"/>
          <w:sz w:val="21"/>
        </w:rPr>
        <w:t>operate.</w:t>
      </w:r>
    </w:p>
    <w:p>
      <w:pPr>
        <w:pStyle w:val="ListParagraph"/>
        <w:numPr>
          <w:ilvl w:val="1"/>
          <w:numId w:val="16"/>
        </w:numPr>
        <w:tabs>
          <w:tab w:pos="2381" w:val="left" w:leader="none"/>
          <w:tab w:pos="2382" w:val="left" w:leader="none"/>
        </w:tabs>
        <w:spacing w:line="242" w:lineRule="auto" w:before="126" w:after="0"/>
        <w:ind w:left="2381" w:right="2011" w:hanging="794"/>
        <w:jc w:val="left"/>
        <w:rPr>
          <w:sz w:val="21"/>
        </w:rPr>
      </w:pPr>
      <w:r>
        <w:rPr>
          <w:w w:val="105"/>
          <w:sz w:val="21"/>
        </w:rPr>
        <w:t>Another </w:t>
      </w:r>
      <w:r>
        <w:rPr>
          <w:spacing w:val="-3"/>
          <w:w w:val="105"/>
          <w:sz w:val="21"/>
        </w:rPr>
        <w:t>reform </w:t>
      </w:r>
      <w:r>
        <w:rPr>
          <w:w w:val="105"/>
          <w:sz w:val="21"/>
        </w:rPr>
        <w:t>proposal was the introduction of </w:t>
      </w:r>
      <w:r>
        <w:rPr>
          <w:spacing w:val="-3"/>
          <w:w w:val="105"/>
          <w:sz w:val="21"/>
        </w:rPr>
        <w:t>council-approved </w:t>
      </w:r>
      <w:r>
        <w:rPr>
          <w:w w:val="105"/>
          <w:sz w:val="21"/>
        </w:rPr>
        <w:t>tree contractors </w:t>
      </w:r>
      <w:r>
        <w:rPr>
          <w:spacing w:val="-3"/>
          <w:w w:val="105"/>
          <w:sz w:val="21"/>
        </w:rPr>
        <w:t>to</w:t>
      </w:r>
      <w:r>
        <w:rPr>
          <w:spacing w:val="-12"/>
          <w:w w:val="105"/>
          <w:sz w:val="21"/>
        </w:rPr>
        <w:t> </w:t>
      </w:r>
      <w:r>
        <w:rPr>
          <w:w w:val="105"/>
          <w:sz w:val="21"/>
        </w:rPr>
        <w:t>help</w:t>
      </w:r>
      <w:r>
        <w:rPr>
          <w:spacing w:val="-12"/>
          <w:w w:val="105"/>
          <w:sz w:val="21"/>
        </w:rPr>
        <w:t> </w:t>
      </w:r>
      <w:r>
        <w:rPr>
          <w:w w:val="105"/>
          <w:sz w:val="21"/>
        </w:rPr>
        <w:t>residents</w:t>
      </w:r>
      <w:r>
        <w:rPr>
          <w:spacing w:val="-12"/>
          <w:w w:val="105"/>
          <w:sz w:val="21"/>
        </w:rPr>
        <w:t> </w:t>
      </w:r>
      <w:r>
        <w:rPr>
          <w:spacing w:val="-3"/>
          <w:w w:val="105"/>
          <w:sz w:val="21"/>
        </w:rPr>
        <w:t>to</w:t>
      </w:r>
      <w:r>
        <w:rPr>
          <w:spacing w:val="-12"/>
          <w:w w:val="105"/>
          <w:sz w:val="21"/>
        </w:rPr>
        <w:t> </w:t>
      </w:r>
      <w:r>
        <w:rPr>
          <w:w w:val="105"/>
          <w:sz w:val="21"/>
        </w:rPr>
        <w:t>understand</w:t>
      </w:r>
      <w:r>
        <w:rPr>
          <w:spacing w:val="-12"/>
          <w:w w:val="105"/>
          <w:sz w:val="21"/>
        </w:rPr>
        <w:t> </w:t>
      </w:r>
      <w:r>
        <w:rPr>
          <w:spacing w:val="-3"/>
          <w:w w:val="105"/>
          <w:sz w:val="21"/>
        </w:rPr>
        <w:t>council</w:t>
      </w:r>
      <w:r>
        <w:rPr>
          <w:spacing w:val="-12"/>
          <w:w w:val="105"/>
          <w:sz w:val="21"/>
        </w:rPr>
        <w:t> </w:t>
      </w:r>
      <w:r>
        <w:rPr>
          <w:w w:val="105"/>
          <w:sz w:val="21"/>
        </w:rPr>
        <w:t>vegetation</w:t>
      </w:r>
      <w:r>
        <w:rPr>
          <w:spacing w:val="-12"/>
          <w:w w:val="105"/>
          <w:sz w:val="21"/>
        </w:rPr>
        <w:t> </w:t>
      </w:r>
      <w:r>
        <w:rPr>
          <w:w w:val="105"/>
          <w:sz w:val="21"/>
        </w:rPr>
        <w:t>policies</w:t>
      </w:r>
      <w:r>
        <w:rPr>
          <w:spacing w:val="-12"/>
          <w:w w:val="105"/>
          <w:sz w:val="21"/>
        </w:rPr>
        <w:t> </w:t>
      </w:r>
      <w:r>
        <w:rPr>
          <w:w w:val="105"/>
          <w:sz w:val="21"/>
        </w:rPr>
        <w:t>and</w:t>
      </w:r>
      <w:r>
        <w:rPr>
          <w:spacing w:val="-12"/>
          <w:w w:val="105"/>
          <w:sz w:val="21"/>
        </w:rPr>
        <w:t> </w:t>
      </w:r>
      <w:r>
        <w:rPr>
          <w:w w:val="105"/>
          <w:sz w:val="21"/>
        </w:rPr>
        <w:t>objectives</w:t>
      </w:r>
      <w:r>
        <w:rPr>
          <w:spacing w:val="-12"/>
          <w:w w:val="105"/>
          <w:sz w:val="21"/>
        </w:rPr>
        <w:t> </w:t>
      </w:r>
      <w:r>
        <w:rPr>
          <w:w w:val="105"/>
          <w:sz w:val="21"/>
        </w:rPr>
        <w:t>and</w:t>
      </w:r>
      <w:r>
        <w:rPr>
          <w:spacing w:val="-12"/>
          <w:w w:val="105"/>
          <w:sz w:val="21"/>
        </w:rPr>
        <w:t> </w:t>
      </w:r>
      <w:r>
        <w:rPr>
          <w:spacing w:val="-3"/>
          <w:w w:val="105"/>
          <w:sz w:val="21"/>
        </w:rPr>
        <w:t>to</w:t>
      </w:r>
      <w:r>
        <w:rPr>
          <w:spacing w:val="-12"/>
          <w:w w:val="105"/>
          <w:sz w:val="21"/>
        </w:rPr>
        <w:t> </w:t>
      </w:r>
      <w:r>
        <w:rPr>
          <w:w w:val="105"/>
          <w:sz w:val="21"/>
        </w:rPr>
        <w:t>help them </w:t>
      </w:r>
      <w:r>
        <w:rPr>
          <w:spacing w:val="-3"/>
          <w:w w:val="105"/>
          <w:sz w:val="21"/>
        </w:rPr>
        <w:t>to manage </w:t>
      </w:r>
      <w:r>
        <w:rPr>
          <w:w w:val="105"/>
          <w:sz w:val="21"/>
        </w:rPr>
        <w:t>vegetation on </w:t>
      </w:r>
      <w:r>
        <w:rPr>
          <w:spacing w:val="-3"/>
          <w:w w:val="105"/>
          <w:sz w:val="21"/>
        </w:rPr>
        <w:t>private land.</w:t>
      </w:r>
      <w:r>
        <w:rPr>
          <w:spacing w:val="-3"/>
          <w:w w:val="105"/>
          <w:position w:val="7"/>
          <w:sz w:val="12"/>
        </w:rPr>
        <w:t>41 </w:t>
      </w:r>
      <w:r>
        <w:rPr>
          <w:w w:val="105"/>
          <w:sz w:val="21"/>
        </w:rPr>
        <w:t>The </w:t>
      </w:r>
      <w:r>
        <w:rPr>
          <w:spacing w:val="-3"/>
          <w:w w:val="105"/>
          <w:sz w:val="21"/>
        </w:rPr>
        <w:t>Commission </w:t>
      </w:r>
      <w:r>
        <w:rPr>
          <w:w w:val="105"/>
          <w:sz w:val="21"/>
        </w:rPr>
        <w:t>is cautious about </w:t>
      </w:r>
      <w:r>
        <w:rPr>
          <w:spacing w:val="-3"/>
          <w:w w:val="105"/>
          <w:sz w:val="21"/>
        </w:rPr>
        <w:t>recommending that councils take </w:t>
      </w:r>
      <w:r>
        <w:rPr>
          <w:w w:val="105"/>
          <w:sz w:val="21"/>
        </w:rPr>
        <w:t>on </w:t>
      </w:r>
      <w:r>
        <w:rPr>
          <w:spacing w:val="-3"/>
          <w:w w:val="105"/>
          <w:sz w:val="21"/>
        </w:rPr>
        <w:t>additional responsibilities </w:t>
      </w:r>
      <w:r>
        <w:rPr>
          <w:w w:val="105"/>
          <w:sz w:val="21"/>
        </w:rPr>
        <w:t>when the new Act </w:t>
      </w:r>
      <w:r>
        <w:rPr>
          <w:spacing w:val="-3"/>
          <w:w w:val="105"/>
          <w:sz w:val="21"/>
        </w:rPr>
        <w:t>will </w:t>
      </w:r>
      <w:r>
        <w:rPr>
          <w:spacing w:val="-2"/>
          <w:w w:val="105"/>
          <w:sz w:val="21"/>
        </w:rPr>
        <w:t>not </w:t>
      </w:r>
      <w:r>
        <w:rPr>
          <w:w w:val="105"/>
          <w:sz w:val="21"/>
        </w:rPr>
        <w:t>apply </w:t>
      </w:r>
      <w:r>
        <w:rPr>
          <w:spacing w:val="-3"/>
          <w:w w:val="105"/>
          <w:sz w:val="21"/>
        </w:rPr>
        <w:t>to public land. </w:t>
      </w:r>
      <w:r>
        <w:rPr>
          <w:w w:val="105"/>
          <w:sz w:val="21"/>
        </w:rPr>
        <w:t>The </w:t>
      </w:r>
      <w:r>
        <w:rPr>
          <w:spacing w:val="-3"/>
          <w:w w:val="105"/>
          <w:sz w:val="21"/>
        </w:rPr>
        <w:t>Commission </w:t>
      </w:r>
      <w:r>
        <w:rPr>
          <w:w w:val="105"/>
          <w:sz w:val="21"/>
        </w:rPr>
        <w:t>is </w:t>
      </w:r>
      <w:r>
        <w:rPr>
          <w:spacing w:val="-4"/>
          <w:w w:val="105"/>
          <w:sz w:val="21"/>
        </w:rPr>
        <w:t>aware, however, </w:t>
      </w:r>
      <w:r>
        <w:rPr>
          <w:spacing w:val="-3"/>
          <w:w w:val="105"/>
          <w:sz w:val="21"/>
        </w:rPr>
        <w:t>that </w:t>
      </w:r>
      <w:r>
        <w:rPr>
          <w:w w:val="105"/>
          <w:sz w:val="21"/>
        </w:rPr>
        <w:t>Whitehorse</w:t>
      </w:r>
      <w:r>
        <w:rPr>
          <w:spacing w:val="40"/>
          <w:w w:val="105"/>
          <w:sz w:val="21"/>
        </w:rPr>
        <w:t> </w:t>
      </w:r>
      <w:r>
        <w:rPr>
          <w:spacing w:val="-3"/>
          <w:w w:val="105"/>
          <w:sz w:val="21"/>
        </w:rPr>
        <w:t>City</w:t>
      </w:r>
    </w:p>
    <w:p>
      <w:pPr>
        <w:pStyle w:val="BodyText"/>
        <w:spacing w:line="242" w:lineRule="auto" w:before="5"/>
        <w:ind w:left="2381" w:right="1636"/>
      </w:pPr>
      <w:r>
        <w:rPr>
          <w:spacing w:val="-4"/>
          <w:w w:val="105"/>
        </w:rPr>
        <w:t>Council, </w:t>
      </w:r>
      <w:r>
        <w:rPr>
          <w:w w:val="105"/>
        </w:rPr>
        <w:t>as an </w:t>
      </w:r>
      <w:r>
        <w:rPr>
          <w:spacing w:val="-3"/>
          <w:w w:val="105"/>
        </w:rPr>
        <w:t>example, </w:t>
      </w:r>
      <w:r>
        <w:rPr>
          <w:spacing w:val="-2"/>
          <w:w w:val="105"/>
        </w:rPr>
        <w:t>has </w:t>
      </w:r>
      <w:r>
        <w:rPr>
          <w:w w:val="105"/>
        </w:rPr>
        <w:t>a </w:t>
      </w:r>
      <w:r>
        <w:rPr>
          <w:spacing w:val="-5"/>
          <w:w w:val="105"/>
        </w:rPr>
        <w:t>Tree </w:t>
      </w:r>
      <w:r>
        <w:rPr>
          <w:spacing w:val="-3"/>
          <w:w w:val="105"/>
        </w:rPr>
        <w:t>Education Program to raise </w:t>
      </w:r>
      <w:r>
        <w:rPr>
          <w:w w:val="105"/>
        </w:rPr>
        <w:t>awareness of the benefits of trees in an urban </w:t>
      </w:r>
      <w:r>
        <w:rPr>
          <w:spacing w:val="-3"/>
          <w:w w:val="105"/>
        </w:rPr>
        <w:t>environment </w:t>
      </w:r>
      <w:r>
        <w:rPr>
          <w:w w:val="105"/>
        </w:rPr>
        <w:t>and </w:t>
      </w:r>
      <w:r>
        <w:rPr>
          <w:spacing w:val="-3"/>
          <w:w w:val="105"/>
        </w:rPr>
        <w:t>to </w:t>
      </w:r>
      <w:r>
        <w:rPr>
          <w:w w:val="105"/>
        </w:rPr>
        <w:t>educate the community about trees.</w:t>
      </w:r>
      <w:r>
        <w:rPr>
          <w:w w:val="105"/>
          <w:position w:val="7"/>
          <w:sz w:val="12"/>
        </w:rPr>
        <w:t>42 </w:t>
      </w:r>
      <w:r>
        <w:rPr>
          <w:w w:val="105"/>
        </w:rPr>
        <w:t>The </w:t>
      </w:r>
      <w:r>
        <w:rPr>
          <w:spacing w:val="-3"/>
          <w:w w:val="105"/>
        </w:rPr>
        <w:t>Commission </w:t>
      </w:r>
      <w:r>
        <w:rPr>
          <w:w w:val="105"/>
        </w:rPr>
        <w:t>is supportive of </w:t>
      </w:r>
      <w:r>
        <w:rPr>
          <w:spacing w:val="-3"/>
          <w:w w:val="105"/>
        </w:rPr>
        <w:t>such programs </w:t>
      </w:r>
      <w:r>
        <w:rPr>
          <w:w w:val="105"/>
        </w:rPr>
        <w:t>but is also </w:t>
      </w:r>
      <w:r>
        <w:rPr>
          <w:spacing w:val="-3"/>
          <w:w w:val="105"/>
        </w:rPr>
        <w:t>mindful </w:t>
      </w:r>
      <w:r>
        <w:rPr>
          <w:w w:val="105"/>
        </w:rPr>
        <w:t>of </w:t>
      </w:r>
      <w:r>
        <w:rPr>
          <w:spacing w:val="-3"/>
          <w:w w:val="105"/>
        </w:rPr>
        <w:t>resourcing limitations. Recommendations </w:t>
      </w:r>
      <w:r>
        <w:rPr>
          <w:w w:val="105"/>
        </w:rPr>
        <w:t>in </w:t>
      </w:r>
      <w:r>
        <w:rPr>
          <w:spacing w:val="-4"/>
          <w:w w:val="105"/>
        </w:rPr>
        <w:t>Chapter </w:t>
      </w:r>
      <w:r>
        <w:rPr>
          <w:spacing w:val="-9"/>
          <w:w w:val="105"/>
        </w:rPr>
        <w:t>12 </w:t>
      </w:r>
      <w:r>
        <w:rPr>
          <w:spacing w:val="-3"/>
          <w:w w:val="105"/>
        </w:rPr>
        <w:t>encourage </w:t>
      </w:r>
      <w:r>
        <w:rPr>
          <w:w w:val="105"/>
        </w:rPr>
        <w:t>local </w:t>
      </w:r>
      <w:r>
        <w:rPr>
          <w:spacing w:val="-3"/>
          <w:w w:val="105"/>
        </w:rPr>
        <w:t>councils to </w:t>
      </w:r>
      <w:r>
        <w:rPr>
          <w:w w:val="105"/>
        </w:rPr>
        <w:t>develop tree </w:t>
      </w:r>
      <w:r>
        <w:rPr>
          <w:spacing w:val="-3"/>
          <w:w w:val="105"/>
        </w:rPr>
        <w:t>planting guidelines to disseminate to </w:t>
      </w:r>
      <w:r>
        <w:rPr>
          <w:w w:val="105"/>
        </w:rPr>
        <w:t>residents </w:t>
      </w:r>
      <w:r>
        <w:rPr>
          <w:spacing w:val="-3"/>
          <w:w w:val="105"/>
        </w:rPr>
        <w:t>to </w:t>
      </w:r>
      <w:r>
        <w:rPr>
          <w:w w:val="105"/>
        </w:rPr>
        <w:t>help </w:t>
      </w:r>
      <w:r>
        <w:rPr>
          <w:spacing w:val="-3"/>
          <w:w w:val="105"/>
        </w:rPr>
        <w:t>to </w:t>
      </w:r>
      <w:r>
        <w:rPr>
          <w:w w:val="105"/>
        </w:rPr>
        <w:t>avoid tree </w:t>
      </w:r>
      <w:r>
        <w:rPr>
          <w:spacing w:val="-3"/>
          <w:w w:val="105"/>
        </w:rPr>
        <w:t>disputes arising.</w:t>
      </w:r>
    </w:p>
    <w:p>
      <w:pPr>
        <w:pStyle w:val="BodyText"/>
        <w:spacing w:before="6"/>
        <w:rPr>
          <w:sz w:val="20"/>
        </w:rPr>
      </w:pPr>
    </w:p>
    <w:p>
      <w:pPr>
        <w:pStyle w:val="Heading5"/>
      </w:pPr>
      <w:r>
        <w:rPr>
          <w:w w:val="115"/>
        </w:rPr>
        <w:t>Greater recognition of the benefits of trees</w:t>
      </w:r>
    </w:p>
    <w:p>
      <w:pPr>
        <w:pStyle w:val="ListParagraph"/>
        <w:numPr>
          <w:ilvl w:val="1"/>
          <w:numId w:val="16"/>
        </w:numPr>
        <w:tabs>
          <w:tab w:pos="2381" w:val="left" w:leader="none"/>
          <w:tab w:pos="2382" w:val="left" w:leader="none"/>
        </w:tabs>
        <w:spacing w:line="242" w:lineRule="auto" w:before="138" w:after="0"/>
        <w:ind w:left="2381" w:right="1612" w:hanging="794"/>
        <w:jc w:val="left"/>
        <w:rPr>
          <w:sz w:val="21"/>
        </w:rPr>
      </w:pPr>
      <w:r>
        <w:rPr>
          <w:w w:val="105"/>
          <w:sz w:val="21"/>
        </w:rPr>
        <w:t>In </w:t>
      </w:r>
      <w:r>
        <w:rPr>
          <w:spacing w:val="-4"/>
          <w:w w:val="105"/>
          <w:sz w:val="21"/>
        </w:rPr>
        <w:t>Chapter </w:t>
      </w:r>
      <w:r>
        <w:rPr>
          <w:w w:val="105"/>
          <w:sz w:val="21"/>
        </w:rPr>
        <w:t>2 the </w:t>
      </w:r>
      <w:r>
        <w:rPr>
          <w:spacing w:val="-3"/>
          <w:w w:val="105"/>
          <w:sz w:val="21"/>
        </w:rPr>
        <w:t>Commission </w:t>
      </w:r>
      <w:r>
        <w:rPr>
          <w:w w:val="105"/>
          <w:sz w:val="21"/>
        </w:rPr>
        <w:t>identified </w:t>
      </w:r>
      <w:r>
        <w:rPr>
          <w:spacing w:val="-3"/>
          <w:w w:val="105"/>
          <w:sz w:val="21"/>
        </w:rPr>
        <w:t>that </w:t>
      </w:r>
      <w:r>
        <w:rPr>
          <w:w w:val="105"/>
          <w:sz w:val="21"/>
        </w:rPr>
        <w:t>the community is </w:t>
      </w:r>
      <w:r>
        <w:rPr>
          <w:spacing w:val="-2"/>
          <w:w w:val="105"/>
          <w:sz w:val="21"/>
        </w:rPr>
        <w:t>becoming </w:t>
      </w:r>
      <w:r>
        <w:rPr>
          <w:spacing w:val="-3"/>
          <w:w w:val="105"/>
          <w:sz w:val="21"/>
        </w:rPr>
        <w:t>increasingly aware</w:t>
      </w:r>
      <w:r>
        <w:rPr>
          <w:spacing w:val="-6"/>
          <w:w w:val="105"/>
          <w:sz w:val="21"/>
        </w:rPr>
        <w:t> </w:t>
      </w:r>
      <w:r>
        <w:rPr>
          <w:w w:val="105"/>
          <w:sz w:val="21"/>
        </w:rPr>
        <w:t>of</w:t>
      </w:r>
      <w:r>
        <w:rPr>
          <w:spacing w:val="-5"/>
          <w:w w:val="105"/>
          <w:sz w:val="21"/>
        </w:rPr>
        <w:t> </w:t>
      </w:r>
      <w:r>
        <w:rPr>
          <w:w w:val="105"/>
          <w:sz w:val="21"/>
        </w:rPr>
        <w:t>the</w:t>
      </w:r>
      <w:r>
        <w:rPr>
          <w:spacing w:val="-5"/>
          <w:w w:val="105"/>
          <w:sz w:val="21"/>
        </w:rPr>
        <w:t> </w:t>
      </w:r>
      <w:r>
        <w:rPr>
          <w:w w:val="105"/>
          <w:sz w:val="21"/>
        </w:rPr>
        <w:t>importance</w:t>
      </w:r>
      <w:r>
        <w:rPr>
          <w:spacing w:val="-5"/>
          <w:w w:val="105"/>
          <w:sz w:val="21"/>
        </w:rPr>
        <w:t> </w:t>
      </w:r>
      <w:r>
        <w:rPr>
          <w:w w:val="105"/>
          <w:sz w:val="21"/>
        </w:rPr>
        <w:t>of</w:t>
      </w:r>
      <w:r>
        <w:rPr>
          <w:spacing w:val="-5"/>
          <w:w w:val="105"/>
          <w:sz w:val="21"/>
        </w:rPr>
        <w:t> </w:t>
      </w:r>
      <w:r>
        <w:rPr>
          <w:w w:val="105"/>
          <w:sz w:val="21"/>
        </w:rPr>
        <w:t>vegetation</w:t>
      </w:r>
      <w:r>
        <w:rPr>
          <w:spacing w:val="-5"/>
          <w:w w:val="105"/>
          <w:sz w:val="21"/>
        </w:rPr>
        <w:t> </w:t>
      </w:r>
      <w:r>
        <w:rPr>
          <w:w w:val="105"/>
          <w:sz w:val="21"/>
        </w:rPr>
        <w:t>and</w:t>
      </w:r>
      <w:r>
        <w:rPr>
          <w:spacing w:val="-5"/>
          <w:w w:val="105"/>
          <w:sz w:val="21"/>
        </w:rPr>
        <w:t> </w:t>
      </w:r>
      <w:r>
        <w:rPr>
          <w:w w:val="105"/>
          <w:sz w:val="21"/>
        </w:rPr>
        <w:t>the</w:t>
      </w:r>
      <w:r>
        <w:rPr>
          <w:spacing w:val="-5"/>
          <w:w w:val="105"/>
          <w:sz w:val="21"/>
        </w:rPr>
        <w:t> </w:t>
      </w:r>
      <w:r>
        <w:rPr>
          <w:w w:val="105"/>
          <w:sz w:val="21"/>
        </w:rPr>
        <w:t>need</w:t>
      </w:r>
      <w:r>
        <w:rPr>
          <w:spacing w:val="-5"/>
          <w:w w:val="105"/>
          <w:sz w:val="21"/>
        </w:rPr>
        <w:t> </w:t>
      </w:r>
      <w:r>
        <w:rPr>
          <w:spacing w:val="-3"/>
          <w:w w:val="105"/>
          <w:sz w:val="21"/>
        </w:rPr>
        <w:t>to</w:t>
      </w:r>
      <w:r>
        <w:rPr>
          <w:spacing w:val="-5"/>
          <w:w w:val="105"/>
          <w:sz w:val="21"/>
        </w:rPr>
        <w:t> </w:t>
      </w:r>
      <w:r>
        <w:rPr>
          <w:spacing w:val="-3"/>
          <w:w w:val="105"/>
          <w:sz w:val="21"/>
        </w:rPr>
        <w:t>retain</w:t>
      </w:r>
      <w:r>
        <w:rPr>
          <w:spacing w:val="-5"/>
          <w:w w:val="105"/>
          <w:sz w:val="21"/>
        </w:rPr>
        <w:t> </w:t>
      </w:r>
      <w:r>
        <w:rPr>
          <w:w w:val="105"/>
          <w:sz w:val="21"/>
        </w:rPr>
        <w:t>it.</w:t>
      </w:r>
      <w:r>
        <w:rPr>
          <w:spacing w:val="-5"/>
          <w:w w:val="105"/>
          <w:sz w:val="21"/>
        </w:rPr>
        <w:t> </w:t>
      </w:r>
      <w:r>
        <w:rPr>
          <w:w w:val="105"/>
          <w:sz w:val="21"/>
        </w:rPr>
        <w:t>Another</w:t>
      </w:r>
      <w:r>
        <w:rPr>
          <w:spacing w:val="-5"/>
          <w:w w:val="105"/>
          <w:sz w:val="21"/>
        </w:rPr>
        <w:t> </w:t>
      </w:r>
      <w:r>
        <w:rPr>
          <w:spacing w:val="-3"/>
          <w:w w:val="105"/>
          <w:sz w:val="21"/>
        </w:rPr>
        <w:t>source</w:t>
      </w:r>
      <w:r>
        <w:rPr>
          <w:spacing w:val="-5"/>
          <w:w w:val="105"/>
          <w:sz w:val="21"/>
        </w:rPr>
        <w:t> </w:t>
      </w:r>
      <w:r>
        <w:rPr>
          <w:spacing w:val="-3"/>
          <w:w w:val="105"/>
          <w:sz w:val="21"/>
        </w:rPr>
        <w:t>outlining </w:t>
      </w:r>
      <w:r>
        <w:rPr>
          <w:w w:val="105"/>
          <w:sz w:val="21"/>
        </w:rPr>
        <w:t>the</w:t>
      </w:r>
      <w:r>
        <w:rPr>
          <w:spacing w:val="-4"/>
          <w:w w:val="105"/>
          <w:sz w:val="21"/>
        </w:rPr>
        <w:t> </w:t>
      </w:r>
      <w:r>
        <w:rPr>
          <w:w w:val="105"/>
          <w:sz w:val="21"/>
        </w:rPr>
        <w:t>benefits</w:t>
      </w:r>
      <w:r>
        <w:rPr>
          <w:spacing w:val="-4"/>
          <w:w w:val="105"/>
          <w:sz w:val="21"/>
        </w:rPr>
        <w:t> </w:t>
      </w:r>
      <w:r>
        <w:rPr>
          <w:w w:val="105"/>
          <w:sz w:val="21"/>
        </w:rPr>
        <w:t>of</w:t>
      </w:r>
      <w:r>
        <w:rPr>
          <w:spacing w:val="-4"/>
          <w:w w:val="105"/>
          <w:sz w:val="21"/>
        </w:rPr>
        <w:t> </w:t>
      </w:r>
      <w:r>
        <w:rPr>
          <w:w w:val="105"/>
          <w:sz w:val="21"/>
        </w:rPr>
        <w:t>trees</w:t>
      </w:r>
      <w:r>
        <w:rPr>
          <w:spacing w:val="-4"/>
          <w:w w:val="105"/>
          <w:sz w:val="21"/>
        </w:rPr>
        <w:t> </w:t>
      </w:r>
      <w:r>
        <w:rPr>
          <w:spacing w:val="-3"/>
          <w:w w:val="105"/>
          <w:sz w:val="21"/>
        </w:rPr>
        <w:t>to</w:t>
      </w:r>
      <w:r>
        <w:rPr>
          <w:spacing w:val="-4"/>
          <w:w w:val="105"/>
          <w:sz w:val="21"/>
        </w:rPr>
        <w:t> </w:t>
      </w:r>
      <w:r>
        <w:rPr>
          <w:w w:val="105"/>
          <w:sz w:val="21"/>
        </w:rPr>
        <w:t>the</w:t>
      </w:r>
      <w:r>
        <w:rPr>
          <w:spacing w:val="-4"/>
          <w:w w:val="105"/>
          <w:sz w:val="21"/>
        </w:rPr>
        <w:t> </w:t>
      </w:r>
      <w:r>
        <w:rPr>
          <w:w w:val="105"/>
          <w:sz w:val="21"/>
        </w:rPr>
        <w:t>community</w:t>
      </w:r>
      <w:r>
        <w:rPr>
          <w:spacing w:val="-4"/>
          <w:w w:val="105"/>
          <w:sz w:val="21"/>
        </w:rPr>
        <w:t> </w:t>
      </w:r>
      <w:r>
        <w:rPr>
          <w:w w:val="105"/>
          <w:sz w:val="21"/>
        </w:rPr>
        <w:t>can</w:t>
      </w:r>
      <w:r>
        <w:rPr>
          <w:spacing w:val="-4"/>
          <w:w w:val="105"/>
          <w:sz w:val="21"/>
        </w:rPr>
        <w:t> </w:t>
      </w:r>
      <w:r>
        <w:rPr>
          <w:w w:val="105"/>
          <w:sz w:val="21"/>
        </w:rPr>
        <w:t>be</w:t>
      </w:r>
      <w:r>
        <w:rPr>
          <w:spacing w:val="-4"/>
          <w:w w:val="105"/>
          <w:sz w:val="21"/>
        </w:rPr>
        <w:t> </w:t>
      </w:r>
      <w:r>
        <w:rPr>
          <w:spacing w:val="-3"/>
          <w:w w:val="105"/>
          <w:sz w:val="21"/>
        </w:rPr>
        <w:t>found</w:t>
      </w:r>
      <w:r>
        <w:rPr>
          <w:spacing w:val="-4"/>
          <w:w w:val="105"/>
          <w:sz w:val="21"/>
        </w:rPr>
        <w:t> </w:t>
      </w:r>
      <w:r>
        <w:rPr>
          <w:w w:val="105"/>
          <w:sz w:val="21"/>
        </w:rPr>
        <w:t>in</w:t>
      </w:r>
      <w:r>
        <w:rPr>
          <w:spacing w:val="-4"/>
          <w:w w:val="105"/>
          <w:sz w:val="21"/>
        </w:rPr>
        <w:t> </w:t>
      </w:r>
      <w:r>
        <w:rPr>
          <w:w w:val="105"/>
          <w:sz w:val="21"/>
        </w:rPr>
        <w:t>the</w:t>
      </w:r>
      <w:r>
        <w:rPr>
          <w:spacing w:val="-4"/>
          <w:w w:val="105"/>
          <w:sz w:val="21"/>
        </w:rPr>
        <w:t> </w:t>
      </w:r>
      <w:r>
        <w:rPr>
          <w:w w:val="105"/>
          <w:sz w:val="21"/>
        </w:rPr>
        <w:t>thesis</w:t>
      </w:r>
      <w:r>
        <w:rPr>
          <w:spacing w:val="-3"/>
          <w:w w:val="105"/>
          <w:sz w:val="21"/>
        </w:rPr>
        <w:t> </w:t>
      </w:r>
      <w:r>
        <w:rPr>
          <w:w w:val="105"/>
          <w:sz w:val="21"/>
        </w:rPr>
        <w:t>of</w:t>
      </w:r>
      <w:r>
        <w:rPr>
          <w:spacing w:val="-4"/>
          <w:w w:val="105"/>
          <w:sz w:val="21"/>
        </w:rPr>
        <w:t> </w:t>
      </w:r>
      <w:r>
        <w:rPr>
          <w:w w:val="105"/>
          <w:sz w:val="21"/>
        </w:rPr>
        <w:t>Andrew</w:t>
      </w:r>
      <w:r>
        <w:rPr>
          <w:spacing w:val="-4"/>
          <w:w w:val="105"/>
          <w:sz w:val="21"/>
        </w:rPr>
        <w:t> </w:t>
      </w:r>
      <w:r>
        <w:rPr>
          <w:w w:val="105"/>
          <w:sz w:val="21"/>
        </w:rPr>
        <w:t>Simpson.</w:t>
      </w:r>
      <w:r>
        <w:rPr>
          <w:w w:val="105"/>
          <w:position w:val="7"/>
          <w:sz w:val="12"/>
        </w:rPr>
        <w:t>43</w:t>
      </w:r>
    </w:p>
    <w:p>
      <w:pPr>
        <w:pStyle w:val="BodyText"/>
        <w:rPr>
          <w:sz w:val="20"/>
        </w:rPr>
      </w:pP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11960;mso-wrap-distance-left:0;mso-wrap-distance-right:0" from="79.370102pt,10.233564pt" to="515.905102pt,10.23356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22"/>
        </w:rPr>
      </w:pPr>
    </w:p>
    <w:p>
      <w:pPr>
        <w:spacing w:before="0"/>
        <w:ind w:left="720" w:right="0" w:firstLine="0"/>
        <w:jc w:val="left"/>
        <w:rPr>
          <w:b/>
          <w:sz w:val="24"/>
        </w:rPr>
      </w:pPr>
      <w:r>
        <w:rPr>
          <w:b/>
          <w:color w:val="658464"/>
          <w:w w:val="110"/>
          <w:sz w:val="24"/>
        </w:rPr>
        <w:t>294</w:t>
      </w:r>
    </w:p>
    <w:p>
      <w:pPr>
        <w:pStyle w:val="ListParagraph"/>
        <w:numPr>
          <w:ilvl w:val="0"/>
          <w:numId w:val="203"/>
        </w:numPr>
        <w:tabs>
          <w:tab w:pos="1219" w:val="left" w:leader="none"/>
          <w:tab w:pos="1220" w:val="left" w:leader="none"/>
        </w:tabs>
        <w:spacing w:line="240" w:lineRule="auto" w:before="48" w:after="0"/>
        <w:ind w:left="1219" w:right="0" w:hanging="794"/>
        <w:jc w:val="left"/>
        <w:rPr>
          <w:sz w:val="13"/>
        </w:rPr>
      </w:pPr>
      <w:r>
        <w:rPr>
          <w:spacing w:val="-3"/>
          <w:w w:val="125"/>
          <w:sz w:val="13"/>
        </w:rPr>
        <w:br w:type="column"/>
      </w:r>
      <w:r>
        <w:rPr>
          <w:w w:val="105"/>
          <w:sz w:val="13"/>
        </w:rPr>
        <w:t>Consultation 8 (City of</w:t>
      </w:r>
      <w:r>
        <w:rPr>
          <w:spacing w:val="18"/>
          <w:w w:val="105"/>
          <w:sz w:val="13"/>
        </w:rPr>
        <w:t> </w:t>
      </w:r>
      <w:r>
        <w:rPr>
          <w:w w:val="105"/>
          <w:sz w:val="13"/>
        </w:rPr>
        <w:t>Boroondara).</w:t>
      </w:r>
    </w:p>
    <w:p>
      <w:pPr>
        <w:pStyle w:val="ListParagraph"/>
        <w:numPr>
          <w:ilvl w:val="0"/>
          <w:numId w:val="203"/>
        </w:numPr>
        <w:tabs>
          <w:tab w:pos="1219" w:val="left" w:leader="none"/>
          <w:tab w:pos="1220" w:val="left" w:leader="none"/>
        </w:tabs>
        <w:spacing w:line="240" w:lineRule="auto" w:before="1" w:after="0"/>
        <w:ind w:left="1219" w:right="1727" w:hanging="794"/>
        <w:jc w:val="left"/>
        <w:rPr>
          <w:sz w:val="13"/>
        </w:rPr>
      </w:pPr>
      <w:r>
        <w:rPr>
          <w:w w:val="105"/>
          <w:sz w:val="13"/>
        </w:rPr>
        <w:t>Submission 37 </w:t>
      </w:r>
      <w:r>
        <w:rPr>
          <w:spacing w:val="2"/>
          <w:w w:val="105"/>
          <w:sz w:val="13"/>
        </w:rPr>
        <w:t>(Ian </w:t>
      </w:r>
      <w:r>
        <w:rPr>
          <w:w w:val="105"/>
          <w:sz w:val="13"/>
        </w:rPr>
        <w:t>Hundley). They are governed by both the </w:t>
      </w:r>
      <w:r>
        <w:rPr>
          <w:i/>
          <w:w w:val="105"/>
          <w:sz w:val="13"/>
        </w:rPr>
        <w:t>Sentencing Act </w:t>
      </w:r>
      <w:r>
        <w:rPr>
          <w:i/>
          <w:spacing w:val="-3"/>
          <w:w w:val="105"/>
          <w:sz w:val="13"/>
        </w:rPr>
        <w:t>1991 </w:t>
      </w:r>
      <w:r>
        <w:rPr>
          <w:spacing w:val="2"/>
          <w:w w:val="105"/>
          <w:sz w:val="13"/>
        </w:rPr>
        <w:t>(Vic) </w:t>
      </w:r>
      <w:r>
        <w:rPr>
          <w:w w:val="105"/>
          <w:sz w:val="13"/>
        </w:rPr>
        <w:t>and the </w:t>
      </w:r>
      <w:r>
        <w:rPr>
          <w:i/>
          <w:w w:val="105"/>
          <w:sz w:val="13"/>
        </w:rPr>
        <w:t>Local Government Act 1989 </w:t>
      </w:r>
      <w:r>
        <w:rPr>
          <w:spacing w:val="2"/>
          <w:w w:val="105"/>
          <w:sz w:val="13"/>
        </w:rPr>
        <w:t>(Vic). </w:t>
      </w:r>
      <w:r>
        <w:rPr>
          <w:w w:val="105"/>
          <w:sz w:val="13"/>
        </w:rPr>
        <w:t>Penalty units for local laws have been capped at $100 per unit since 1991 (</w:t>
      </w:r>
      <w:r>
        <w:rPr>
          <w:i/>
          <w:w w:val="105"/>
          <w:sz w:val="13"/>
        </w:rPr>
        <w:t>Sentencing Act </w:t>
      </w:r>
      <w:r>
        <w:rPr>
          <w:i/>
          <w:spacing w:val="-3"/>
          <w:w w:val="105"/>
          <w:sz w:val="13"/>
        </w:rPr>
        <w:t>1991  </w:t>
      </w:r>
      <w:r>
        <w:rPr>
          <w:spacing w:val="2"/>
          <w:w w:val="105"/>
          <w:sz w:val="13"/>
        </w:rPr>
        <w:t>(Vic) </w:t>
      </w:r>
      <w:r>
        <w:rPr>
          <w:w w:val="105"/>
          <w:sz w:val="13"/>
        </w:rPr>
        <w:t>s 110(2)). The maximum penalty under a      local</w:t>
      </w:r>
      <w:r>
        <w:rPr>
          <w:spacing w:val="7"/>
          <w:w w:val="105"/>
          <w:sz w:val="13"/>
        </w:rPr>
        <w:t> </w:t>
      </w:r>
      <w:r>
        <w:rPr>
          <w:w w:val="105"/>
          <w:sz w:val="13"/>
        </w:rPr>
        <w:t>law</w:t>
      </w:r>
      <w:r>
        <w:rPr>
          <w:spacing w:val="7"/>
          <w:w w:val="105"/>
          <w:sz w:val="13"/>
        </w:rPr>
        <w:t> </w:t>
      </w:r>
      <w:r>
        <w:rPr>
          <w:w w:val="105"/>
          <w:sz w:val="13"/>
        </w:rPr>
        <w:t>is</w:t>
      </w:r>
      <w:r>
        <w:rPr>
          <w:spacing w:val="7"/>
          <w:w w:val="105"/>
          <w:sz w:val="13"/>
        </w:rPr>
        <w:t> </w:t>
      </w:r>
      <w:r>
        <w:rPr>
          <w:w w:val="105"/>
          <w:sz w:val="13"/>
        </w:rPr>
        <w:t>20</w:t>
      </w:r>
      <w:r>
        <w:rPr>
          <w:spacing w:val="7"/>
          <w:w w:val="105"/>
          <w:sz w:val="13"/>
        </w:rPr>
        <w:t> </w:t>
      </w:r>
      <w:r>
        <w:rPr>
          <w:w w:val="105"/>
          <w:sz w:val="13"/>
        </w:rPr>
        <w:t>penalty</w:t>
      </w:r>
      <w:r>
        <w:rPr>
          <w:spacing w:val="7"/>
          <w:w w:val="105"/>
          <w:sz w:val="13"/>
        </w:rPr>
        <w:t> </w:t>
      </w:r>
      <w:r>
        <w:rPr>
          <w:w w:val="105"/>
          <w:sz w:val="13"/>
        </w:rPr>
        <w:t>units</w:t>
      </w:r>
      <w:r>
        <w:rPr>
          <w:spacing w:val="7"/>
          <w:w w:val="105"/>
          <w:sz w:val="13"/>
        </w:rPr>
        <w:t> </w:t>
      </w:r>
      <w:r>
        <w:rPr>
          <w:spacing w:val="3"/>
          <w:w w:val="105"/>
          <w:sz w:val="13"/>
        </w:rPr>
        <w:t>($2000):</w:t>
      </w:r>
      <w:r>
        <w:rPr>
          <w:spacing w:val="7"/>
          <w:w w:val="105"/>
          <w:sz w:val="13"/>
        </w:rPr>
        <w:t> </w:t>
      </w:r>
      <w:r>
        <w:rPr>
          <w:i/>
          <w:w w:val="105"/>
          <w:sz w:val="13"/>
        </w:rPr>
        <w:t>Local</w:t>
      </w:r>
      <w:r>
        <w:rPr>
          <w:i/>
          <w:spacing w:val="7"/>
          <w:w w:val="105"/>
          <w:sz w:val="13"/>
        </w:rPr>
        <w:t> </w:t>
      </w:r>
      <w:r>
        <w:rPr>
          <w:i/>
          <w:w w:val="105"/>
          <w:sz w:val="13"/>
        </w:rPr>
        <w:t>Government</w:t>
      </w:r>
      <w:r>
        <w:rPr>
          <w:i/>
          <w:spacing w:val="7"/>
          <w:w w:val="105"/>
          <w:sz w:val="13"/>
        </w:rPr>
        <w:t> </w:t>
      </w:r>
      <w:r>
        <w:rPr>
          <w:i/>
          <w:w w:val="105"/>
          <w:sz w:val="13"/>
        </w:rPr>
        <w:t>Act</w:t>
      </w:r>
      <w:r>
        <w:rPr>
          <w:i/>
          <w:spacing w:val="7"/>
          <w:w w:val="105"/>
          <w:sz w:val="13"/>
        </w:rPr>
        <w:t> </w:t>
      </w:r>
      <w:r>
        <w:rPr>
          <w:i/>
          <w:w w:val="105"/>
          <w:sz w:val="13"/>
        </w:rPr>
        <w:t>1989</w:t>
      </w:r>
      <w:r>
        <w:rPr>
          <w:i/>
          <w:spacing w:val="7"/>
          <w:w w:val="105"/>
          <w:sz w:val="13"/>
        </w:rPr>
        <w:t> </w:t>
      </w:r>
      <w:r>
        <w:rPr>
          <w:spacing w:val="2"/>
          <w:w w:val="105"/>
          <w:sz w:val="13"/>
        </w:rPr>
        <w:t>(Vic)</w:t>
      </w:r>
      <w:r>
        <w:rPr>
          <w:spacing w:val="7"/>
          <w:w w:val="105"/>
          <w:sz w:val="13"/>
        </w:rPr>
        <w:t> </w:t>
      </w:r>
      <w:r>
        <w:rPr>
          <w:w w:val="105"/>
          <w:sz w:val="13"/>
        </w:rPr>
        <w:t>s</w:t>
      </w:r>
      <w:r>
        <w:rPr>
          <w:spacing w:val="7"/>
          <w:w w:val="105"/>
          <w:sz w:val="13"/>
        </w:rPr>
        <w:t> </w:t>
      </w:r>
      <w:r>
        <w:rPr>
          <w:spacing w:val="-4"/>
          <w:w w:val="105"/>
          <w:sz w:val="13"/>
        </w:rPr>
        <w:t>115.</w:t>
      </w:r>
      <w:r>
        <w:rPr>
          <w:spacing w:val="7"/>
          <w:w w:val="105"/>
          <w:sz w:val="13"/>
        </w:rPr>
        <w:t> </w:t>
      </w:r>
      <w:r>
        <w:rPr>
          <w:w w:val="105"/>
          <w:sz w:val="13"/>
        </w:rPr>
        <w:t>The</w:t>
      </w:r>
      <w:r>
        <w:rPr>
          <w:spacing w:val="7"/>
          <w:w w:val="105"/>
          <w:sz w:val="13"/>
        </w:rPr>
        <w:t> </w:t>
      </w:r>
      <w:r>
        <w:rPr>
          <w:w w:val="105"/>
          <w:sz w:val="13"/>
        </w:rPr>
        <w:t>Commission</w:t>
      </w:r>
      <w:r>
        <w:rPr>
          <w:spacing w:val="8"/>
          <w:w w:val="105"/>
          <w:sz w:val="13"/>
        </w:rPr>
        <w:t> </w:t>
      </w:r>
      <w:r>
        <w:rPr>
          <w:w w:val="105"/>
          <w:sz w:val="13"/>
        </w:rPr>
        <w:t>also</w:t>
      </w:r>
      <w:r>
        <w:rPr>
          <w:spacing w:val="7"/>
          <w:w w:val="105"/>
          <w:sz w:val="13"/>
        </w:rPr>
        <w:t> </w:t>
      </w:r>
      <w:r>
        <w:rPr>
          <w:w w:val="105"/>
          <w:sz w:val="13"/>
        </w:rPr>
        <w:t>understand</w:t>
      </w:r>
      <w:r>
        <w:rPr>
          <w:spacing w:val="7"/>
          <w:w w:val="105"/>
          <w:sz w:val="13"/>
        </w:rPr>
        <w:t> </w:t>
      </w:r>
      <w:r>
        <w:rPr>
          <w:w w:val="105"/>
          <w:sz w:val="13"/>
        </w:rPr>
        <w:t>that</w:t>
      </w:r>
      <w:r>
        <w:rPr>
          <w:spacing w:val="7"/>
          <w:w w:val="105"/>
          <w:sz w:val="13"/>
        </w:rPr>
        <w:t> </w:t>
      </w:r>
      <w:r>
        <w:rPr>
          <w:w w:val="105"/>
          <w:sz w:val="13"/>
        </w:rPr>
        <w:t>councils</w:t>
      </w:r>
      <w:r>
        <w:rPr>
          <w:spacing w:val="7"/>
          <w:w w:val="105"/>
          <w:sz w:val="13"/>
        </w:rPr>
        <w:t> </w:t>
      </w:r>
      <w:r>
        <w:rPr>
          <w:w w:val="105"/>
          <w:sz w:val="13"/>
        </w:rPr>
        <w:t>can</w:t>
      </w:r>
      <w:r>
        <w:rPr>
          <w:spacing w:val="7"/>
          <w:w w:val="105"/>
          <w:sz w:val="13"/>
        </w:rPr>
        <w:t> </w:t>
      </w:r>
      <w:r>
        <w:rPr>
          <w:w w:val="105"/>
          <w:sz w:val="13"/>
        </w:rPr>
        <w:t>elect</w:t>
      </w:r>
      <w:r>
        <w:rPr>
          <w:spacing w:val="7"/>
          <w:w w:val="105"/>
          <w:sz w:val="13"/>
        </w:rPr>
        <w:t> </w:t>
      </w:r>
      <w:r>
        <w:rPr>
          <w:w w:val="105"/>
          <w:sz w:val="13"/>
        </w:rPr>
        <w:t>to</w:t>
      </w:r>
    </w:p>
    <w:p>
      <w:pPr>
        <w:spacing w:before="4"/>
        <w:ind w:left="1219" w:right="1567" w:firstLine="0"/>
        <w:jc w:val="left"/>
        <w:rPr>
          <w:sz w:val="13"/>
        </w:rPr>
      </w:pPr>
      <w:r>
        <w:rPr>
          <w:w w:val="105"/>
          <w:sz w:val="13"/>
        </w:rPr>
        <w:t>prosecute an offence under local law in the Magistrates’ Court; this is an infringement offence within the meaning of the </w:t>
      </w:r>
      <w:r>
        <w:rPr>
          <w:i/>
          <w:w w:val="105"/>
          <w:sz w:val="13"/>
        </w:rPr>
        <w:t>Infringements Act </w:t>
      </w:r>
      <w:r>
        <w:rPr>
          <w:i/>
          <w:w w:val="105"/>
          <w:sz w:val="13"/>
        </w:rPr>
        <w:t>2006 </w:t>
      </w:r>
      <w:r>
        <w:rPr>
          <w:w w:val="105"/>
          <w:sz w:val="13"/>
        </w:rPr>
        <w:t>(Vic): </w:t>
      </w:r>
      <w:r>
        <w:rPr>
          <w:i/>
          <w:w w:val="105"/>
          <w:sz w:val="13"/>
        </w:rPr>
        <w:t>Local Government Act 1989 </w:t>
      </w:r>
      <w:r>
        <w:rPr>
          <w:w w:val="105"/>
          <w:sz w:val="13"/>
        </w:rPr>
        <w:t>(Vic) s 117(1A).</w:t>
      </w:r>
    </w:p>
    <w:p>
      <w:pPr>
        <w:pStyle w:val="ListParagraph"/>
        <w:numPr>
          <w:ilvl w:val="0"/>
          <w:numId w:val="203"/>
        </w:numPr>
        <w:tabs>
          <w:tab w:pos="1219" w:val="left" w:leader="none"/>
          <w:tab w:pos="1220" w:val="left" w:leader="none"/>
        </w:tabs>
        <w:spacing w:line="240" w:lineRule="auto" w:before="3" w:after="0"/>
        <w:ind w:left="1219" w:right="1690" w:hanging="794"/>
        <w:jc w:val="left"/>
        <w:rPr>
          <w:sz w:val="13"/>
        </w:rPr>
      </w:pPr>
      <w:r>
        <w:rPr>
          <w:w w:val="105"/>
          <w:sz w:val="13"/>
        </w:rPr>
        <w:t>See, eg, Department of Environment, Land, Water and Planning </w:t>
      </w:r>
      <w:r>
        <w:rPr>
          <w:spacing w:val="2"/>
          <w:w w:val="105"/>
          <w:sz w:val="13"/>
        </w:rPr>
        <w:t>(Vic), </w:t>
      </w:r>
      <w:r>
        <w:rPr>
          <w:i/>
          <w:w w:val="105"/>
          <w:sz w:val="13"/>
        </w:rPr>
        <w:t>Act for The Future: Directions for a New Local Government Act     </w:t>
      </w:r>
      <w:r>
        <w:rPr>
          <w:w w:val="105"/>
          <w:sz w:val="13"/>
        </w:rPr>
        <w:t>(Paper, 2016) &lt;https://</w:t>
      </w:r>
      <w:hyperlink r:id="rId358">
        <w:r>
          <w:rPr>
            <w:w w:val="105"/>
            <w:sz w:val="13"/>
          </w:rPr>
          <w:t>www.localgovernment.vic.gov.au/council-governance/local-government-act-review</w:t>
        </w:r>
      </w:hyperlink>
      <w:r>
        <w:rPr>
          <w:w w:val="105"/>
          <w:sz w:val="13"/>
        </w:rPr>
        <w:t>&gt;. Local Government  Victoria, part of the Department of Environment, Land, Water and Planning </w:t>
      </w:r>
      <w:r>
        <w:rPr>
          <w:spacing w:val="2"/>
          <w:w w:val="105"/>
          <w:sz w:val="13"/>
        </w:rPr>
        <w:t>(Vic), </w:t>
      </w:r>
      <w:r>
        <w:rPr>
          <w:w w:val="105"/>
          <w:sz w:val="13"/>
        </w:rPr>
        <w:t>has carried out a comprehensive review of the </w:t>
      </w:r>
      <w:r>
        <w:rPr>
          <w:i/>
          <w:w w:val="105"/>
          <w:sz w:val="13"/>
        </w:rPr>
        <w:t>Local Government </w:t>
      </w:r>
      <w:r>
        <w:rPr>
          <w:i/>
          <w:w w:val="105"/>
          <w:sz w:val="13"/>
        </w:rPr>
        <w:t>Act 1989 </w:t>
      </w:r>
      <w:r>
        <w:rPr>
          <w:spacing w:val="2"/>
          <w:w w:val="105"/>
          <w:sz w:val="13"/>
        </w:rPr>
        <w:t>(Vic), </w:t>
      </w:r>
      <w:r>
        <w:rPr>
          <w:w w:val="105"/>
          <w:sz w:val="13"/>
        </w:rPr>
        <w:t>with contributions from councils and the community. The review resulted in the Local Government Bill 2018 being   introduced into Parliament on 23 May 2018. However, the Bill has now lapsed and the </w:t>
      </w:r>
      <w:r>
        <w:rPr>
          <w:i/>
          <w:w w:val="105"/>
          <w:sz w:val="13"/>
        </w:rPr>
        <w:t>Local Government Act 1989 </w:t>
      </w:r>
      <w:r>
        <w:rPr>
          <w:spacing w:val="2"/>
          <w:w w:val="105"/>
          <w:sz w:val="13"/>
        </w:rPr>
        <w:t>(Vic) </w:t>
      </w:r>
      <w:r>
        <w:rPr>
          <w:w w:val="105"/>
          <w:sz w:val="13"/>
        </w:rPr>
        <w:t>continues to form the basis of the legal framework for Victorian</w:t>
      </w:r>
      <w:r>
        <w:rPr>
          <w:spacing w:val="6"/>
          <w:w w:val="105"/>
          <w:sz w:val="13"/>
        </w:rPr>
        <w:t> </w:t>
      </w:r>
      <w:r>
        <w:rPr>
          <w:w w:val="105"/>
          <w:sz w:val="13"/>
        </w:rPr>
        <w:t>councils.</w:t>
      </w:r>
    </w:p>
    <w:p>
      <w:pPr>
        <w:pStyle w:val="ListParagraph"/>
        <w:numPr>
          <w:ilvl w:val="0"/>
          <w:numId w:val="203"/>
        </w:numPr>
        <w:tabs>
          <w:tab w:pos="1219" w:val="left" w:leader="none"/>
          <w:tab w:pos="1220" w:val="left" w:leader="none"/>
        </w:tabs>
        <w:spacing w:line="240" w:lineRule="auto" w:before="8" w:after="0"/>
        <w:ind w:left="425" w:right="4962" w:firstLine="0"/>
        <w:jc w:val="left"/>
        <w:rPr>
          <w:sz w:val="13"/>
        </w:rPr>
      </w:pPr>
      <w:r>
        <w:rPr>
          <w:w w:val="105"/>
          <w:sz w:val="13"/>
        </w:rPr>
        <w:t>Explanatory Memorandum, Local Government Bill 2018 </w:t>
      </w:r>
      <w:r>
        <w:rPr>
          <w:spacing w:val="2"/>
          <w:w w:val="105"/>
          <w:sz w:val="13"/>
        </w:rPr>
        <w:t>(Vic) </w:t>
      </w:r>
      <w:r>
        <w:rPr>
          <w:w w:val="105"/>
          <w:sz w:val="13"/>
        </w:rPr>
        <w:t>cl </w:t>
      </w:r>
      <w:r>
        <w:rPr>
          <w:spacing w:val="-3"/>
          <w:w w:val="105"/>
          <w:sz w:val="13"/>
        </w:rPr>
        <w:t>74 </w:t>
      </w:r>
      <w:r>
        <w:rPr>
          <w:w w:val="105"/>
          <w:sz w:val="13"/>
        </w:rPr>
        <w:t>sch 1 item 92. 40</w:t>
        <w:tab/>
        <w:t>Survey Respondents 3, 19, </w:t>
      </w:r>
      <w:r>
        <w:rPr>
          <w:spacing w:val="-4"/>
          <w:w w:val="105"/>
          <w:sz w:val="13"/>
        </w:rPr>
        <w:t>57, </w:t>
      </w:r>
      <w:r>
        <w:rPr>
          <w:w w:val="105"/>
          <w:sz w:val="13"/>
        </w:rPr>
        <w:t>83, </w:t>
      </w:r>
      <w:r>
        <w:rPr>
          <w:spacing w:val="2"/>
          <w:w w:val="105"/>
          <w:sz w:val="13"/>
        </w:rPr>
        <w:t>88,</w:t>
      </w:r>
      <w:r>
        <w:rPr>
          <w:spacing w:val="13"/>
          <w:w w:val="105"/>
          <w:sz w:val="13"/>
        </w:rPr>
        <w:t> </w:t>
      </w:r>
      <w:r>
        <w:rPr>
          <w:spacing w:val="-4"/>
          <w:w w:val="105"/>
          <w:sz w:val="13"/>
        </w:rPr>
        <w:t>110.</w:t>
      </w:r>
    </w:p>
    <w:p>
      <w:pPr>
        <w:pStyle w:val="ListParagraph"/>
        <w:numPr>
          <w:ilvl w:val="0"/>
          <w:numId w:val="204"/>
        </w:numPr>
        <w:tabs>
          <w:tab w:pos="1219" w:val="left" w:leader="none"/>
          <w:tab w:pos="1220" w:val="left" w:leader="none"/>
        </w:tabs>
        <w:spacing w:line="240" w:lineRule="auto" w:before="3" w:after="0"/>
        <w:ind w:left="1219" w:right="0" w:hanging="794"/>
        <w:jc w:val="left"/>
        <w:rPr>
          <w:sz w:val="13"/>
        </w:rPr>
      </w:pPr>
      <w:r>
        <w:rPr>
          <w:w w:val="105"/>
          <w:sz w:val="13"/>
        </w:rPr>
        <w:t>Confidential</w:t>
      </w:r>
      <w:r>
        <w:rPr>
          <w:spacing w:val="4"/>
          <w:w w:val="105"/>
          <w:sz w:val="13"/>
        </w:rPr>
        <w:t> </w:t>
      </w:r>
      <w:r>
        <w:rPr>
          <w:w w:val="105"/>
          <w:sz w:val="13"/>
        </w:rPr>
        <w:t>submission.</w:t>
      </w:r>
    </w:p>
    <w:p>
      <w:pPr>
        <w:pStyle w:val="ListParagraph"/>
        <w:numPr>
          <w:ilvl w:val="0"/>
          <w:numId w:val="204"/>
        </w:numPr>
        <w:tabs>
          <w:tab w:pos="1219" w:val="left" w:leader="none"/>
          <w:tab w:pos="1220" w:val="left" w:leader="none"/>
        </w:tabs>
        <w:spacing w:line="240" w:lineRule="auto" w:before="1" w:after="0"/>
        <w:ind w:left="1219" w:right="0" w:hanging="794"/>
        <w:jc w:val="left"/>
        <w:rPr>
          <w:sz w:val="13"/>
        </w:rPr>
      </w:pPr>
      <w:r>
        <w:rPr>
          <w:w w:val="105"/>
          <w:sz w:val="13"/>
        </w:rPr>
        <w:t>City</w:t>
      </w:r>
      <w:r>
        <w:rPr>
          <w:spacing w:val="5"/>
          <w:w w:val="105"/>
          <w:sz w:val="13"/>
        </w:rPr>
        <w:t> </w:t>
      </w:r>
      <w:r>
        <w:rPr>
          <w:w w:val="105"/>
          <w:sz w:val="13"/>
        </w:rPr>
        <w:t>of</w:t>
      </w:r>
      <w:r>
        <w:rPr>
          <w:spacing w:val="6"/>
          <w:w w:val="105"/>
          <w:sz w:val="13"/>
        </w:rPr>
        <w:t> </w:t>
      </w:r>
      <w:r>
        <w:rPr>
          <w:w w:val="105"/>
          <w:sz w:val="13"/>
        </w:rPr>
        <w:t>Whitehorse,</w:t>
      </w:r>
      <w:r>
        <w:rPr>
          <w:spacing w:val="6"/>
          <w:w w:val="105"/>
          <w:sz w:val="13"/>
        </w:rPr>
        <w:t> </w:t>
      </w:r>
      <w:r>
        <w:rPr>
          <w:i/>
          <w:w w:val="105"/>
          <w:sz w:val="13"/>
        </w:rPr>
        <w:t>Whitehorse</w:t>
      </w:r>
      <w:r>
        <w:rPr>
          <w:i/>
          <w:spacing w:val="6"/>
          <w:w w:val="105"/>
          <w:sz w:val="13"/>
        </w:rPr>
        <w:t> </w:t>
      </w:r>
      <w:r>
        <w:rPr>
          <w:i/>
          <w:w w:val="105"/>
          <w:sz w:val="13"/>
        </w:rPr>
        <w:t>Tree</w:t>
      </w:r>
      <w:r>
        <w:rPr>
          <w:i/>
          <w:spacing w:val="6"/>
          <w:w w:val="105"/>
          <w:sz w:val="13"/>
        </w:rPr>
        <w:t> </w:t>
      </w:r>
      <w:r>
        <w:rPr>
          <w:i/>
          <w:w w:val="105"/>
          <w:sz w:val="13"/>
        </w:rPr>
        <w:t>Education</w:t>
      </w:r>
      <w:r>
        <w:rPr>
          <w:i/>
          <w:spacing w:val="6"/>
          <w:w w:val="105"/>
          <w:sz w:val="13"/>
        </w:rPr>
        <w:t> </w:t>
      </w:r>
      <w:r>
        <w:rPr>
          <w:i/>
          <w:w w:val="105"/>
          <w:sz w:val="13"/>
        </w:rPr>
        <w:t>Program</w:t>
      </w:r>
      <w:r>
        <w:rPr>
          <w:i/>
          <w:spacing w:val="6"/>
          <w:w w:val="105"/>
          <w:sz w:val="13"/>
        </w:rPr>
        <w:t> </w:t>
      </w:r>
      <w:r>
        <w:rPr>
          <w:w w:val="105"/>
          <w:sz w:val="13"/>
        </w:rPr>
        <w:t>(Web</w:t>
      </w:r>
      <w:r>
        <w:rPr>
          <w:spacing w:val="6"/>
          <w:w w:val="105"/>
          <w:sz w:val="13"/>
        </w:rPr>
        <w:t> </w:t>
      </w:r>
      <w:r>
        <w:rPr>
          <w:w w:val="105"/>
          <w:sz w:val="13"/>
        </w:rPr>
        <w:t>Page)</w:t>
      </w:r>
      <w:r>
        <w:rPr>
          <w:spacing w:val="6"/>
          <w:w w:val="105"/>
          <w:sz w:val="13"/>
        </w:rPr>
        <w:t> </w:t>
      </w:r>
      <w:r>
        <w:rPr>
          <w:w w:val="105"/>
          <w:sz w:val="13"/>
        </w:rPr>
        <w:t>&lt;</w:t>
      </w:r>
      <w:hyperlink r:id="rId359">
        <w:r>
          <w:rPr>
            <w:w w:val="105"/>
            <w:sz w:val="13"/>
          </w:rPr>
          <w:t>http://www.whitehorse.vic.gov.au/Tree-Education-Program.html</w:t>
        </w:r>
      </w:hyperlink>
      <w:r>
        <w:rPr>
          <w:w w:val="105"/>
          <w:sz w:val="13"/>
        </w:rPr>
        <w:t>&gt;.</w:t>
      </w:r>
    </w:p>
    <w:p>
      <w:pPr>
        <w:pStyle w:val="ListParagraph"/>
        <w:numPr>
          <w:ilvl w:val="0"/>
          <w:numId w:val="204"/>
        </w:numPr>
        <w:tabs>
          <w:tab w:pos="1219" w:val="left" w:leader="none"/>
          <w:tab w:pos="1220" w:val="left" w:leader="none"/>
        </w:tabs>
        <w:spacing w:line="240" w:lineRule="auto" w:before="1" w:after="0"/>
        <w:ind w:left="1219" w:right="1630" w:hanging="794"/>
        <w:jc w:val="left"/>
        <w:rPr>
          <w:sz w:val="13"/>
        </w:rPr>
      </w:pPr>
      <w:r>
        <w:rPr>
          <w:w w:val="105"/>
          <w:sz w:val="13"/>
        </w:rPr>
        <w:t>Andrew Simpson, ‘Alternate Dispute Resolution for Neighbour Tree Conflicts and the Role of Local Government’ </w:t>
      </w:r>
      <w:r>
        <w:rPr>
          <w:spacing w:val="2"/>
          <w:w w:val="105"/>
          <w:sz w:val="13"/>
        </w:rPr>
        <w:t>(Masters </w:t>
      </w:r>
      <w:r>
        <w:rPr>
          <w:w w:val="105"/>
          <w:sz w:val="13"/>
        </w:rPr>
        <w:t>Thesis, University</w:t>
      </w:r>
      <w:r>
        <w:rPr>
          <w:spacing w:val="30"/>
          <w:w w:val="105"/>
          <w:sz w:val="13"/>
        </w:rPr>
        <w:t> </w:t>
      </w:r>
      <w:r>
        <w:rPr>
          <w:w w:val="105"/>
          <w:sz w:val="13"/>
        </w:rPr>
        <w:t>of Technology Sydney,</w:t>
      </w:r>
      <w:r>
        <w:rPr>
          <w:spacing w:val="13"/>
          <w:w w:val="105"/>
          <w:sz w:val="13"/>
        </w:rPr>
        <w:t> </w:t>
      </w:r>
      <w:r>
        <w:rPr>
          <w:w w:val="105"/>
          <w:sz w:val="13"/>
        </w:rPr>
        <w:t>2018).</w:t>
      </w:r>
    </w:p>
    <w:p>
      <w:pPr>
        <w:spacing w:after="0" w:line="240" w:lineRule="auto"/>
        <w:jc w:val="left"/>
        <w:rPr>
          <w:sz w:val="13"/>
        </w:rPr>
        <w:sectPr>
          <w:type w:val="continuous"/>
          <w:pgSz w:w="11910" w:h="16840"/>
          <w:pgMar w:top="300" w:bottom="280" w:left="0" w:right="0"/>
          <w:cols w:num="2" w:equalWidth="0">
            <w:col w:w="1122" w:space="40"/>
            <w:col w:w="10748"/>
          </w:cols>
        </w:sectPr>
      </w:pPr>
    </w:p>
    <w:p>
      <w:pPr>
        <w:pStyle w:val="BodyText"/>
        <w:rPr>
          <w:sz w:val="20"/>
        </w:rPr>
      </w:pPr>
    </w:p>
    <w:p>
      <w:pPr>
        <w:pStyle w:val="BodyText"/>
        <w:spacing w:before="9"/>
        <w:rPr>
          <w:sz w:val="18"/>
        </w:rPr>
      </w:pPr>
    </w:p>
    <w:p>
      <w:pPr>
        <w:pStyle w:val="ListParagraph"/>
        <w:numPr>
          <w:ilvl w:val="1"/>
          <w:numId w:val="16"/>
        </w:numPr>
        <w:tabs>
          <w:tab w:pos="2380" w:val="left" w:leader="none"/>
          <w:tab w:pos="2381" w:val="left" w:leader="none"/>
        </w:tabs>
        <w:spacing w:line="242" w:lineRule="auto" w:before="91" w:after="0"/>
        <w:ind w:left="2381" w:right="1805" w:hanging="794"/>
        <w:jc w:val="left"/>
        <w:rPr>
          <w:sz w:val="21"/>
        </w:rPr>
      </w:pPr>
      <w:r>
        <w:rPr>
          <w:sz w:val="21"/>
        </w:rPr>
        <w:t>Another </w:t>
      </w:r>
      <w:r>
        <w:rPr>
          <w:spacing w:val="-3"/>
          <w:sz w:val="21"/>
        </w:rPr>
        <w:t>reform </w:t>
      </w:r>
      <w:r>
        <w:rPr>
          <w:sz w:val="21"/>
        </w:rPr>
        <w:t>idea was </w:t>
      </w:r>
      <w:r>
        <w:rPr>
          <w:spacing w:val="-3"/>
          <w:sz w:val="21"/>
        </w:rPr>
        <w:t>to </w:t>
      </w:r>
      <w:r>
        <w:rPr>
          <w:spacing w:val="-2"/>
          <w:sz w:val="21"/>
        </w:rPr>
        <w:t>legally </w:t>
      </w:r>
      <w:r>
        <w:rPr>
          <w:spacing w:val="-3"/>
          <w:sz w:val="21"/>
        </w:rPr>
        <w:t>recognise </w:t>
      </w:r>
      <w:r>
        <w:rPr>
          <w:sz w:val="21"/>
        </w:rPr>
        <w:t>the </w:t>
      </w:r>
      <w:r>
        <w:rPr>
          <w:spacing w:val="-3"/>
          <w:sz w:val="21"/>
        </w:rPr>
        <w:t>significance </w:t>
      </w:r>
      <w:r>
        <w:rPr>
          <w:sz w:val="21"/>
        </w:rPr>
        <w:t>of trees in a </w:t>
      </w:r>
      <w:r>
        <w:rPr>
          <w:spacing w:val="-3"/>
          <w:sz w:val="21"/>
        </w:rPr>
        <w:t>way that runs </w:t>
      </w:r>
      <w:r>
        <w:rPr>
          <w:sz w:val="21"/>
        </w:rPr>
        <w:t>with the </w:t>
      </w:r>
      <w:r>
        <w:rPr>
          <w:spacing w:val="-3"/>
          <w:sz w:val="21"/>
        </w:rPr>
        <w:t>land to bind future  </w:t>
      </w:r>
      <w:r>
        <w:rPr>
          <w:sz w:val="21"/>
        </w:rPr>
        <w:t>owners. It was also emphasised </w:t>
      </w:r>
      <w:r>
        <w:rPr>
          <w:spacing w:val="-3"/>
          <w:sz w:val="21"/>
        </w:rPr>
        <w:t>that</w:t>
      </w:r>
      <w:r>
        <w:rPr>
          <w:spacing w:val="41"/>
          <w:sz w:val="21"/>
        </w:rPr>
        <w:t> </w:t>
      </w:r>
      <w:r>
        <w:rPr>
          <w:sz w:val="21"/>
        </w:rPr>
        <w:t>there needs </w:t>
      </w:r>
      <w:r>
        <w:rPr>
          <w:spacing w:val="-3"/>
          <w:sz w:val="21"/>
        </w:rPr>
        <w:t>to  </w:t>
      </w:r>
      <w:r>
        <w:rPr>
          <w:sz w:val="21"/>
        </w:rPr>
        <w:t>be a more holistic approach </w:t>
      </w:r>
      <w:r>
        <w:rPr>
          <w:spacing w:val="-3"/>
          <w:sz w:val="21"/>
        </w:rPr>
        <w:t>to </w:t>
      </w:r>
      <w:r>
        <w:rPr>
          <w:sz w:val="21"/>
        </w:rPr>
        <w:t>resolving tree </w:t>
      </w:r>
      <w:r>
        <w:rPr>
          <w:spacing w:val="-3"/>
          <w:sz w:val="21"/>
        </w:rPr>
        <w:t>disputes </w:t>
      </w:r>
      <w:r>
        <w:rPr>
          <w:sz w:val="21"/>
        </w:rPr>
        <w:t>where the law and </w:t>
      </w:r>
      <w:r>
        <w:rPr>
          <w:spacing w:val="-3"/>
          <w:sz w:val="21"/>
        </w:rPr>
        <w:t>aboriculture </w:t>
      </w:r>
      <w:r>
        <w:rPr>
          <w:sz w:val="21"/>
        </w:rPr>
        <w:t>work together</w:t>
      </w:r>
      <w:r>
        <w:rPr>
          <w:spacing w:val="14"/>
          <w:sz w:val="21"/>
        </w:rPr>
        <w:t> </w:t>
      </w:r>
      <w:r>
        <w:rPr>
          <w:spacing w:val="-3"/>
          <w:sz w:val="21"/>
        </w:rPr>
        <w:t>to</w:t>
      </w:r>
      <w:r>
        <w:rPr>
          <w:spacing w:val="14"/>
          <w:sz w:val="21"/>
        </w:rPr>
        <w:t> </w:t>
      </w:r>
      <w:r>
        <w:rPr>
          <w:sz w:val="21"/>
        </w:rPr>
        <w:t>protect</w:t>
      </w:r>
      <w:r>
        <w:rPr>
          <w:spacing w:val="15"/>
          <w:sz w:val="21"/>
        </w:rPr>
        <w:t> </w:t>
      </w:r>
      <w:r>
        <w:rPr>
          <w:spacing w:val="-3"/>
          <w:sz w:val="21"/>
        </w:rPr>
        <w:t>significant</w:t>
      </w:r>
      <w:r>
        <w:rPr>
          <w:spacing w:val="14"/>
          <w:sz w:val="21"/>
        </w:rPr>
        <w:t> </w:t>
      </w:r>
      <w:r>
        <w:rPr>
          <w:sz w:val="21"/>
        </w:rPr>
        <w:t>trees</w:t>
      </w:r>
      <w:r>
        <w:rPr>
          <w:spacing w:val="14"/>
          <w:sz w:val="21"/>
        </w:rPr>
        <w:t> </w:t>
      </w:r>
      <w:r>
        <w:rPr>
          <w:spacing w:val="-3"/>
          <w:sz w:val="21"/>
        </w:rPr>
        <w:t>that</w:t>
      </w:r>
      <w:r>
        <w:rPr>
          <w:spacing w:val="15"/>
          <w:sz w:val="21"/>
        </w:rPr>
        <w:t> </w:t>
      </w:r>
      <w:r>
        <w:rPr>
          <w:spacing w:val="-3"/>
          <w:sz w:val="21"/>
        </w:rPr>
        <w:t>may</w:t>
      </w:r>
      <w:r>
        <w:rPr>
          <w:spacing w:val="14"/>
          <w:sz w:val="21"/>
        </w:rPr>
        <w:t> </w:t>
      </w:r>
      <w:r>
        <w:rPr>
          <w:sz w:val="21"/>
        </w:rPr>
        <w:t>live</w:t>
      </w:r>
      <w:r>
        <w:rPr>
          <w:spacing w:val="15"/>
          <w:sz w:val="21"/>
        </w:rPr>
        <w:t> </w:t>
      </w:r>
      <w:r>
        <w:rPr>
          <w:spacing w:val="-3"/>
          <w:sz w:val="21"/>
        </w:rPr>
        <w:t>through</w:t>
      </w:r>
      <w:r>
        <w:rPr>
          <w:spacing w:val="14"/>
          <w:sz w:val="21"/>
        </w:rPr>
        <w:t> </w:t>
      </w:r>
      <w:r>
        <w:rPr>
          <w:spacing w:val="-3"/>
          <w:sz w:val="21"/>
        </w:rPr>
        <w:t>multiple</w:t>
      </w:r>
      <w:r>
        <w:rPr>
          <w:spacing w:val="14"/>
          <w:sz w:val="21"/>
        </w:rPr>
        <w:t> </w:t>
      </w:r>
      <w:r>
        <w:rPr>
          <w:sz w:val="21"/>
        </w:rPr>
        <w:t>owners.</w:t>
      </w:r>
      <w:r>
        <w:rPr>
          <w:position w:val="7"/>
          <w:sz w:val="12"/>
        </w:rPr>
        <w:t>44</w:t>
      </w:r>
    </w:p>
    <w:p>
      <w:pPr>
        <w:pStyle w:val="ListParagraph"/>
        <w:numPr>
          <w:ilvl w:val="1"/>
          <w:numId w:val="16"/>
        </w:numPr>
        <w:tabs>
          <w:tab w:pos="2380" w:val="left" w:leader="none"/>
          <w:tab w:pos="2382" w:val="left" w:leader="none"/>
        </w:tabs>
        <w:spacing w:line="242" w:lineRule="auto" w:before="125" w:after="0"/>
        <w:ind w:left="2381" w:right="1698" w:hanging="794"/>
        <w:jc w:val="left"/>
        <w:rPr>
          <w:sz w:val="21"/>
        </w:rPr>
      </w:pPr>
      <w:r>
        <w:rPr>
          <w:w w:val="105"/>
          <w:sz w:val="21"/>
        </w:rPr>
        <w:t>The </w:t>
      </w:r>
      <w:r>
        <w:rPr>
          <w:spacing w:val="-3"/>
          <w:w w:val="105"/>
          <w:sz w:val="21"/>
        </w:rPr>
        <w:t>current </w:t>
      </w:r>
      <w:r>
        <w:rPr>
          <w:w w:val="105"/>
          <w:sz w:val="21"/>
        </w:rPr>
        <w:t>law provides some scope </w:t>
      </w:r>
      <w:r>
        <w:rPr>
          <w:spacing w:val="-3"/>
          <w:w w:val="105"/>
          <w:sz w:val="21"/>
        </w:rPr>
        <w:t>for </w:t>
      </w:r>
      <w:r>
        <w:rPr>
          <w:w w:val="105"/>
          <w:sz w:val="21"/>
        </w:rPr>
        <w:t>trees </w:t>
      </w:r>
      <w:r>
        <w:rPr>
          <w:spacing w:val="-3"/>
          <w:w w:val="105"/>
          <w:sz w:val="21"/>
        </w:rPr>
        <w:t>to </w:t>
      </w:r>
      <w:r>
        <w:rPr>
          <w:w w:val="105"/>
          <w:sz w:val="21"/>
        </w:rPr>
        <w:t>be </w:t>
      </w:r>
      <w:r>
        <w:rPr>
          <w:spacing w:val="-3"/>
          <w:w w:val="105"/>
          <w:sz w:val="21"/>
        </w:rPr>
        <w:t>regulated </w:t>
      </w:r>
      <w:r>
        <w:rPr>
          <w:spacing w:val="-4"/>
          <w:w w:val="105"/>
          <w:sz w:val="21"/>
        </w:rPr>
        <w:t>into </w:t>
      </w:r>
      <w:r>
        <w:rPr>
          <w:w w:val="105"/>
          <w:sz w:val="21"/>
        </w:rPr>
        <w:t>the </w:t>
      </w:r>
      <w:r>
        <w:rPr>
          <w:spacing w:val="-3"/>
          <w:w w:val="105"/>
          <w:sz w:val="21"/>
        </w:rPr>
        <w:t>future through </w:t>
      </w:r>
      <w:r>
        <w:rPr>
          <w:w w:val="105"/>
          <w:sz w:val="21"/>
        </w:rPr>
        <w:t>section </w:t>
      </w:r>
      <w:r>
        <w:rPr>
          <w:spacing w:val="-8"/>
          <w:w w:val="105"/>
          <w:sz w:val="21"/>
        </w:rPr>
        <w:t>173 </w:t>
      </w:r>
      <w:r>
        <w:rPr>
          <w:w w:val="105"/>
          <w:sz w:val="21"/>
        </w:rPr>
        <w:t>Agreements, </w:t>
      </w:r>
      <w:r>
        <w:rPr>
          <w:spacing w:val="-4"/>
          <w:w w:val="105"/>
          <w:sz w:val="21"/>
        </w:rPr>
        <w:t>Trust </w:t>
      </w:r>
      <w:r>
        <w:rPr>
          <w:spacing w:val="-3"/>
          <w:w w:val="105"/>
          <w:sz w:val="21"/>
        </w:rPr>
        <w:t>for Nature covenants </w:t>
      </w:r>
      <w:r>
        <w:rPr>
          <w:w w:val="105"/>
          <w:sz w:val="21"/>
        </w:rPr>
        <w:t>or </w:t>
      </w:r>
      <w:r>
        <w:rPr>
          <w:spacing w:val="-3"/>
          <w:w w:val="105"/>
          <w:sz w:val="21"/>
        </w:rPr>
        <w:t>land management </w:t>
      </w:r>
      <w:r>
        <w:rPr>
          <w:w w:val="105"/>
          <w:sz w:val="21"/>
        </w:rPr>
        <w:t>agreements under section </w:t>
      </w:r>
      <w:r>
        <w:rPr>
          <w:spacing w:val="-3"/>
          <w:w w:val="105"/>
          <w:sz w:val="21"/>
        </w:rPr>
        <w:t>69 </w:t>
      </w:r>
      <w:r>
        <w:rPr>
          <w:w w:val="105"/>
          <w:sz w:val="21"/>
        </w:rPr>
        <w:t>of the </w:t>
      </w:r>
      <w:r>
        <w:rPr>
          <w:i/>
          <w:spacing w:val="-3"/>
          <w:w w:val="105"/>
          <w:sz w:val="21"/>
        </w:rPr>
        <w:t>Conservation, </w:t>
      </w:r>
      <w:r>
        <w:rPr>
          <w:i/>
          <w:w w:val="105"/>
          <w:sz w:val="21"/>
        </w:rPr>
        <w:t>Forests and Land Act </w:t>
      </w:r>
      <w:r>
        <w:rPr>
          <w:i/>
          <w:spacing w:val="-4"/>
          <w:w w:val="105"/>
          <w:sz w:val="21"/>
        </w:rPr>
        <w:t>1984 </w:t>
      </w:r>
      <w:r>
        <w:rPr>
          <w:w w:val="105"/>
          <w:sz w:val="21"/>
        </w:rPr>
        <w:t>(Vic).</w:t>
      </w:r>
      <w:r>
        <w:rPr>
          <w:w w:val="105"/>
          <w:position w:val="7"/>
          <w:sz w:val="12"/>
        </w:rPr>
        <w:t>45 </w:t>
      </w:r>
      <w:r>
        <w:rPr>
          <w:w w:val="105"/>
          <w:sz w:val="21"/>
        </w:rPr>
        <w:t>These </w:t>
      </w:r>
      <w:r>
        <w:rPr>
          <w:spacing w:val="-4"/>
          <w:w w:val="105"/>
          <w:sz w:val="21"/>
        </w:rPr>
        <w:t>are </w:t>
      </w:r>
      <w:r>
        <w:rPr>
          <w:w w:val="105"/>
          <w:sz w:val="21"/>
        </w:rPr>
        <w:t>discussed in </w:t>
      </w:r>
      <w:r>
        <w:rPr>
          <w:spacing w:val="-4"/>
          <w:w w:val="105"/>
          <w:sz w:val="21"/>
        </w:rPr>
        <w:t>Chapter </w:t>
      </w:r>
      <w:r>
        <w:rPr>
          <w:spacing w:val="-5"/>
          <w:w w:val="105"/>
          <w:sz w:val="21"/>
        </w:rPr>
        <w:t>10. </w:t>
      </w:r>
      <w:r>
        <w:rPr>
          <w:spacing w:val="-3"/>
          <w:w w:val="105"/>
          <w:sz w:val="21"/>
        </w:rPr>
        <w:t>Recommendations to bind future purchasers </w:t>
      </w:r>
      <w:r>
        <w:rPr>
          <w:w w:val="105"/>
          <w:sz w:val="21"/>
        </w:rPr>
        <w:t>of </w:t>
      </w:r>
      <w:r>
        <w:rPr>
          <w:spacing w:val="-3"/>
          <w:w w:val="105"/>
          <w:sz w:val="21"/>
        </w:rPr>
        <w:t>land to </w:t>
      </w:r>
      <w:r>
        <w:rPr>
          <w:w w:val="105"/>
          <w:sz w:val="21"/>
        </w:rPr>
        <w:t>the legal </w:t>
      </w:r>
      <w:r>
        <w:rPr>
          <w:spacing w:val="-3"/>
          <w:w w:val="105"/>
          <w:sz w:val="21"/>
        </w:rPr>
        <w:t>outcomes </w:t>
      </w:r>
      <w:r>
        <w:rPr>
          <w:w w:val="105"/>
          <w:sz w:val="21"/>
        </w:rPr>
        <w:t>of tree </w:t>
      </w:r>
      <w:r>
        <w:rPr>
          <w:spacing w:val="-3"/>
          <w:w w:val="105"/>
          <w:sz w:val="21"/>
        </w:rPr>
        <w:t>dispute hearings </w:t>
      </w:r>
      <w:r>
        <w:rPr>
          <w:w w:val="105"/>
          <w:sz w:val="21"/>
        </w:rPr>
        <w:t>subject </w:t>
      </w:r>
      <w:r>
        <w:rPr>
          <w:spacing w:val="-3"/>
          <w:w w:val="105"/>
          <w:sz w:val="21"/>
        </w:rPr>
        <w:t>to </w:t>
      </w:r>
      <w:r>
        <w:rPr>
          <w:w w:val="105"/>
          <w:sz w:val="21"/>
        </w:rPr>
        <w:t>certain </w:t>
      </w:r>
      <w:r>
        <w:rPr>
          <w:spacing w:val="-3"/>
          <w:w w:val="105"/>
          <w:sz w:val="21"/>
        </w:rPr>
        <w:t>safeguards are </w:t>
      </w:r>
      <w:r>
        <w:rPr>
          <w:w w:val="105"/>
          <w:sz w:val="21"/>
        </w:rPr>
        <w:t>discussed in</w:t>
      </w:r>
      <w:r>
        <w:rPr>
          <w:spacing w:val="-36"/>
          <w:w w:val="105"/>
          <w:sz w:val="21"/>
        </w:rPr>
        <w:t> </w:t>
      </w:r>
      <w:r>
        <w:rPr>
          <w:spacing w:val="-4"/>
          <w:w w:val="105"/>
          <w:sz w:val="21"/>
        </w:rPr>
        <w:t>Chapter</w:t>
      </w:r>
    </w:p>
    <w:p>
      <w:pPr>
        <w:pStyle w:val="BodyText"/>
        <w:spacing w:line="242" w:lineRule="auto" w:before="5"/>
        <w:ind w:left="2381" w:right="1636"/>
      </w:pPr>
      <w:r>
        <w:rPr>
          <w:spacing w:val="-13"/>
          <w:w w:val="105"/>
        </w:rPr>
        <w:t>11.</w:t>
      </w:r>
      <w:r>
        <w:rPr>
          <w:spacing w:val="-5"/>
          <w:w w:val="105"/>
        </w:rPr>
        <w:t> </w:t>
      </w:r>
      <w:r>
        <w:rPr>
          <w:w w:val="105"/>
        </w:rPr>
        <w:t>The</w:t>
      </w:r>
      <w:r>
        <w:rPr>
          <w:spacing w:val="-6"/>
          <w:w w:val="105"/>
        </w:rPr>
        <w:t> </w:t>
      </w:r>
      <w:r>
        <w:rPr>
          <w:spacing w:val="-3"/>
          <w:w w:val="105"/>
        </w:rPr>
        <w:t>aim</w:t>
      </w:r>
      <w:r>
        <w:rPr>
          <w:spacing w:val="-5"/>
          <w:w w:val="105"/>
        </w:rPr>
        <w:t> </w:t>
      </w:r>
      <w:r>
        <w:rPr>
          <w:w w:val="105"/>
        </w:rPr>
        <w:t>is</w:t>
      </w:r>
      <w:r>
        <w:rPr>
          <w:spacing w:val="-5"/>
          <w:w w:val="105"/>
        </w:rPr>
        <w:t> </w:t>
      </w:r>
      <w:r>
        <w:rPr>
          <w:spacing w:val="-3"/>
          <w:w w:val="105"/>
        </w:rPr>
        <w:t>to</w:t>
      </w:r>
      <w:r>
        <w:rPr>
          <w:spacing w:val="-5"/>
          <w:w w:val="105"/>
        </w:rPr>
        <w:t> </w:t>
      </w:r>
      <w:r>
        <w:rPr>
          <w:w w:val="105"/>
        </w:rPr>
        <w:t>provide</w:t>
      </w:r>
      <w:r>
        <w:rPr>
          <w:spacing w:val="-5"/>
          <w:w w:val="105"/>
        </w:rPr>
        <w:t> </w:t>
      </w:r>
      <w:r>
        <w:rPr>
          <w:w w:val="105"/>
        </w:rPr>
        <w:t>certainty</w:t>
      </w:r>
      <w:r>
        <w:rPr>
          <w:spacing w:val="-5"/>
          <w:w w:val="105"/>
        </w:rPr>
        <w:t> </w:t>
      </w:r>
      <w:r>
        <w:rPr>
          <w:w w:val="105"/>
        </w:rPr>
        <w:t>about</w:t>
      </w:r>
      <w:r>
        <w:rPr>
          <w:spacing w:val="-5"/>
          <w:w w:val="105"/>
        </w:rPr>
        <w:t> </w:t>
      </w:r>
      <w:r>
        <w:rPr>
          <w:w w:val="105"/>
        </w:rPr>
        <w:t>the</w:t>
      </w:r>
      <w:r>
        <w:rPr>
          <w:spacing w:val="-5"/>
          <w:w w:val="105"/>
        </w:rPr>
        <w:t> </w:t>
      </w:r>
      <w:r>
        <w:rPr>
          <w:spacing w:val="-3"/>
          <w:w w:val="105"/>
        </w:rPr>
        <w:t>management</w:t>
      </w:r>
      <w:r>
        <w:rPr>
          <w:spacing w:val="-5"/>
          <w:w w:val="105"/>
        </w:rPr>
        <w:t> </w:t>
      </w:r>
      <w:r>
        <w:rPr>
          <w:w w:val="105"/>
        </w:rPr>
        <w:t>of</w:t>
      </w:r>
      <w:r>
        <w:rPr>
          <w:spacing w:val="-5"/>
          <w:w w:val="105"/>
        </w:rPr>
        <w:t> </w:t>
      </w:r>
      <w:r>
        <w:rPr>
          <w:w w:val="105"/>
        </w:rPr>
        <w:t>trees</w:t>
      </w:r>
      <w:r>
        <w:rPr>
          <w:spacing w:val="-5"/>
          <w:w w:val="105"/>
        </w:rPr>
        <w:t> </w:t>
      </w:r>
      <w:r>
        <w:rPr>
          <w:spacing w:val="-3"/>
          <w:w w:val="105"/>
        </w:rPr>
        <w:t>that</w:t>
      </w:r>
      <w:r>
        <w:rPr>
          <w:spacing w:val="-5"/>
          <w:w w:val="105"/>
        </w:rPr>
        <w:t> </w:t>
      </w:r>
      <w:r>
        <w:rPr>
          <w:w w:val="105"/>
        </w:rPr>
        <w:t>cause</w:t>
      </w:r>
      <w:r>
        <w:rPr>
          <w:spacing w:val="-5"/>
          <w:w w:val="105"/>
        </w:rPr>
        <w:t> </w:t>
      </w:r>
      <w:r>
        <w:rPr>
          <w:w w:val="105"/>
        </w:rPr>
        <w:t>damage</w:t>
      </w:r>
      <w:r>
        <w:rPr>
          <w:spacing w:val="-5"/>
          <w:w w:val="105"/>
        </w:rPr>
        <w:t> </w:t>
      </w:r>
      <w:r>
        <w:rPr>
          <w:w w:val="105"/>
        </w:rPr>
        <w:t>or </w:t>
      </w:r>
      <w:r>
        <w:rPr>
          <w:spacing w:val="-3"/>
          <w:w w:val="105"/>
        </w:rPr>
        <w:t>are </w:t>
      </w:r>
      <w:r>
        <w:rPr>
          <w:spacing w:val="-4"/>
          <w:w w:val="105"/>
        </w:rPr>
        <w:t>likely </w:t>
      </w:r>
      <w:r>
        <w:rPr>
          <w:spacing w:val="-3"/>
          <w:w w:val="105"/>
        </w:rPr>
        <w:t>to </w:t>
      </w:r>
      <w:r>
        <w:rPr>
          <w:w w:val="105"/>
        </w:rPr>
        <w:t>cause damage or</w:t>
      </w:r>
      <w:r>
        <w:rPr>
          <w:spacing w:val="39"/>
          <w:w w:val="105"/>
        </w:rPr>
        <w:t> </w:t>
      </w:r>
      <w:r>
        <w:rPr>
          <w:spacing w:val="-3"/>
          <w:w w:val="105"/>
        </w:rPr>
        <w:t>harm.</w:t>
      </w:r>
    </w:p>
    <w:p>
      <w:pPr>
        <w:pStyle w:val="ListParagraph"/>
        <w:numPr>
          <w:ilvl w:val="1"/>
          <w:numId w:val="16"/>
        </w:numPr>
        <w:tabs>
          <w:tab w:pos="2380" w:val="left" w:leader="none"/>
          <w:tab w:pos="2382" w:val="left" w:leader="none"/>
        </w:tabs>
        <w:spacing w:line="242" w:lineRule="auto" w:before="122" w:after="0"/>
        <w:ind w:left="2381" w:right="1709" w:hanging="794"/>
        <w:jc w:val="left"/>
        <w:rPr>
          <w:sz w:val="21"/>
        </w:rPr>
      </w:pPr>
      <w:r>
        <w:rPr>
          <w:w w:val="105"/>
          <w:sz w:val="21"/>
        </w:rPr>
        <w:t>Some community members suggested </w:t>
      </w:r>
      <w:r>
        <w:rPr>
          <w:spacing w:val="-3"/>
          <w:w w:val="105"/>
          <w:sz w:val="21"/>
        </w:rPr>
        <w:t>that </w:t>
      </w:r>
      <w:r>
        <w:rPr>
          <w:w w:val="105"/>
          <w:sz w:val="21"/>
        </w:rPr>
        <w:t>a new Act should provide more protection </w:t>
      </w:r>
      <w:r>
        <w:rPr>
          <w:spacing w:val="-3"/>
          <w:w w:val="105"/>
          <w:sz w:val="21"/>
        </w:rPr>
        <w:t>for</w:t>
      </w:r>
      <w:r>
        <w:rPr>
          <w:spacing w:val="-15"/>
          <w:w w:val="105"/>
          <w:sz w:val="21"/>
        </w:rPr>
        <w:t> </w:t>
      </w:r>
      <w:r>
        <w:rPr>
          <w:w w:val="105"/>
          <w:sz w:val="21"/>
        </w:rPr>
        <w:t>trees</w:t>
      </w:r>
      <w:r>
        <w:rPr>
          <w:spacing w:val="-15"/>
          <w:w w:val="105"/>
          <w:sz w:val="21"/>
        </w:rPr>
        <w:t> </w:t>
      </w:r>
      <w:r>
        <w:rPr>
          <w:w w:val="105"/>
          <w:sz w:val="21"/>
        </w:rPr>
        <w:t>by</w:t>
      </w:r>
      <w:r>
        <w:rPr>
          <w:spacing w:val="-15"/>
          <w:w w:val="105"/>
          <w:sz w:val="21"/>
        </w:rPr>
        <w:t> </w:t>
      </w:r>
      <w:r>
        <w:rPr>
          <w:spacing w:val="-3"/>
          <w:w w:val="105"/>
          <w:sz w:val="21"/>
        </w:rPr>
        <w:t>recognising</w:t>
      </w:r>
      <w:r>
        <w:rPr>
          <w:spacing w:val="-14"/>
          <w:w w:val="105"/>
          <w:sz w:val="21"/>
        </w:rPr>
        <w:t> </w:t>
      </w:r>
      <w:r>
        <w:rPr>
          <w:w w:val="105"/>
          <w:sz w:val="21"/>
        </w:rPr>
        <w:t>trees</w:t>
      </w:r>
      <w:r>
        <w:rPr>
          <w:spacing w:val="-15"/>
          <w:w w:val="105"/>
          <w:sz w:val="21"/>
        </w:rPr>
        <w:t> </w:t>
      </w:r>
      <w:r>
        <w:rPr>
          <w:w w:val="105"/>
          <w:sz w:val="21"/>
        </w:rPr>
        <w:t>as</w:t>
      </w:r>
      <w:r>
        <w:rPr>
          <w:spacing w:val="-15"/>
          <w:w w:val="105"/>
          <w:sz w:val="21"/>
        </w:rPr>
        <w:t> </w:t>
      </w:r>
      <w:r>
        <w:rPr>
          <w:w w:val="105"/>
          <w:sz w:val="21"/>
        </w:rPr>
        <w:t>community</w:t>
      </w:r>
      <w:r>
        <w:rPr>
          <w:spacing w:val="-14"/>
          <w:w w:val="105"/>
          <w:sz w:val="21"/>
        </w:rPr>
        <w:t> </w:t>
      </w:r>
      <w:r>
        <w:rPr>
          <w:w w:val="105"/>
          <w:sz w:val="21"/>
        </w:rPr>
        <w:t>assets.</w:t>
      </w:r>
      <w:r>
        <w:rPr>
          <w:w w:val="105"/>
          <w:position w:val="7"/>
          <w:sz w:val="12"/>
        </w:rPr>
        <w:t>46</w:t>
      </w:r>
      <w:r>
        <w:rPr>
          <w:spacing w:val="-8"/>
          <w:w w:val="105"/>
          <w:position w:val="7"/>
          <w:sz w:val="12"/>
        </w:rPr>
        <w:t> </w:t>
      </w:r>
      <w:r>
        <w:rPr>
          <w:w w:val="105"/>
          <w:sz w:val="21"/>
        </w:rPr>
        <w:t>One</w:t>
      </w:r>
      <w:r>
        <w:rPr>
          <w:spacing w:val="-15"/>
          <w:w w:val="105"/>
          <w:sz w:val="21"/>
        </w:rPr>
        <w:t> </w:t>
      </w:r>
      <w:r>
        <w:rPr>
          <w:w w:val="105"/>
          <w:sz w:val="21"/>
        </w:rPr>
        <w:t>survey</w:t>
      </w:r>
      <w:r>
        <w:rPr>
          <w:spacing w:val="-14"/>
          <w:w w:val="105"/>
          <w:sz w:val="21"/>
        </w:rPr>
        <w:t> </w:t>
      </w:r>
      <w:r>
        <w:rPr>
          <w:w w:val="105"/>
          <w:sz w:val="21"/>
        </w:rPr>
        <w:t>respondent</w:t>
      </w:r>
      <w:r>
        <w:rPr>
          <w:spacing w:val="-15"/>
          <w:w w:val="105"/>
          <w:sz w:val="21"/>
        </w:rPr>
        <w:t> </w:t>
      </w:r>
      <w:r>
        <w:rPr>
          <w:w w:val="105"/>
          <w:sz w:val="21"/>
        </w:rPr>
        <w:t>stated</w:t>
      </w:r>
      <w:r>
        <w:rPr>
          <w:spacing w:val="-15"/>
          <w:w w:val="105"/>
          <w:sz w:val="21"/>
        </w:rPr>
        <w:t> </w:t>
      </w:r>
      <w:r>
        <w:rPr>
          <w:w w:val="105"/>
          <w:sz w:val="21"/>
        </w:rPr>
        <w:t>‘trees </w:t>
      </w:r>
      <w:r>
        <w:rPr>
          <w:spacing w:val="-3"/>
          <w:w w:val="105"/>
          <w:sz w:val="21"/>
        </w:rPr>
        <w:t>are</w:t>
      </w:r>
      <w:r>
        <w:rPr>
          <w:spacing w:val="-9"/>
          <w:w w:val="105"/>
          <w:sz w:val="21"/>
        </w:rPr>
        <w:t> </w:t>
      </w:r>
      <w:r>
        <w:rPr>
          <w:w w:val="105"/>
          <w:sz w:val="21"/>
        </w:rPr>
        <w:t>an</w:t>
      </w:r>
      <w:r>
        <w:rPr>
          <w:spacing w:val="-9"/>
          <w:w w:val="105"/>
          <w:sz w:val="21"/>
        </w:rPr>
        <w:t> </w:t>
      </w:r>
      <w:r>
        <w:rPr>
          <w:w w:val="105"/>
          <w:sz w:val="21"/>
        </w:rPr>
        <w:t>essential</w:t>
      </w:r>
      <w:r>
        <w:rPr>
          <w:spacing w:val="-9"/>
          <w:w w:val="105"/>
          <w:sz w:val="21"/>
        </w:rPr>
        <w:t> </w:t>
      </w:r>
      <w:r>
        <w:rPr>
          <w:w w:val="105"/>
          <w:sz w:val="21"/>
        </w:rPr>
        <w:t>part</w:t>
      </w:r>
      <w:r>
        <w:rPr>
          <w:spacing w:val="-9"/>
          <w:w w:val="105"/>
          <w:sz w:val="21"/>
        </w:rPr>
        <w:t> </w:t>
      </w:r>
      <w:r>
        <w:rPr>
          <w:w w:val="105"/>
          <w:sz w:val="21"/>
        </w:rPr>
        <w:t>of</w:t>
      </w:r>
      <w:r>
        <w:rPr>
          <w:spacing w:val="-9"/>
          <w:w w:val="105"/>
          <w:sz w:val="21"/>
        </w:rPr>
        <w:t> </w:t>
      </w:r>
      <w:r>
        <w:rPr>
          <w:w w:val="105"/>
          <w:sz w:val="21"/>
        </w:rPr>
        <w:t>the</w:t>
      </w:r>
      <w:r>
        <w:rPr>
          <w:spacing w:val="-8"/>
          <w:w w:val="105"/>
          <w:sz w:val="21"/>
        </w:rPr>
        <w:t> </w:t>
      </w:r>
      <w:r>
        <w:rPr>
          <w:w w:val="105"/>
          <w:sz w:val="21"/>
        </w:rPr>
        <w:t>urban</w:t>
      </w:r>
      <w:r>
        <w:rPr>
          <w:spacing w:val="-9"/>
          <w:w w:val="105"/>
          <w:sz w:val="21"/>
        </w:rPr>
        <w:t> </w:t>
      </w:r>
      <w:r>
        <w:rPr>
          <w:spacing w:val="-3"/>
          <w:w w:val="105"/>
          <w:sz w:val="21"/>
        </w:rPr>
        <w:t>environment</w:t>
      </w:r>
      <w:r>
        <w:rPr>
          <w:spacing w:val="-9"/>
          <w:w w:val="105"/>
          <w:sz w:val="21"/>
        </w:rPr>
        <w:t> </w:t>
      </w:r>
      <w:r>
        <w:rPr>
          <w:w w:val="105"/>
          <w:sz w:val="21"/>
        </w:rPr>
        <w:t>and</w:t>
      </w:r>
      <w:r>
        <w:rPr>
          <w:spacing w:val="-9"/>
          <w:w w:val="105"/>
          <w:sz w:val="21"/>
        </w:rPr>
        <w:t> </w:t>
      </w:r>
      <w:r>
        <w:rPr>
          <w:w w:val="105"/>
          <w:sz w:val="21"/>
        </w:rPr>
        <w:t>their</w:t>
      </w:r>
      <w:r>
        <w:rPr>
          <w:spacing w:val="-9"/>
          <w:w w:val="105"/>
          <w:sz w:val="21"/>
        </w:rPr>
        <w:t> </w:t>
      </w:r>
      <w:r>
        <w:rPr>
          <w:spacing w:val="-3"/>
          <w:w w:val="105"/>
          <w:sz w:val="21"/>
        </w:rPr>
        <w:t>value</w:t>
      </w:r>
      <w:r>
        <w:rPr>
          <w:spacing w:val="-9"/>
          <w:w w:val="105"/>
          <w:sz w:val="21"/>
        </w:rPr>
        <w:t> </w:t>
      </w:r>
      <w:r>
        <w:rPr>
          <w:w w:val="105"/>
          <w:sz w:val="21"/>
        </w:rPr>
        <w:t>is</w:t>
      </w:r>
      <w:r>
        <w:rPr>
          <w:spacing w:val="-8"/>
          <w:w w:val="105"/>
          <w:sz w:val="21"/>
        </w:rPr>
        <w:t> </w:t>
      </w:r>
      <w:r>
        <w:rPr>
          <w:spacing w:val="-3"/>
          <w:w w:val="105"/>
          <w:sz w:val="21"/>
        </w:rPr>
        <w:t>underestimated</w:t>
      </w:r>
      <w:r>
        <w:rPr>
          <w:spacing w:val="-9"/>
          <w:w w:val="105"/>
          <w:sz w:val="21"/>
        </w:rPr>
        <w:t> </w:t>
      </w:r>
      <w:r>
        <w:rPr>
          <w:w w:val="105"/>
          <w:sz w:val="21"/>
        </w:rPr>
        <w:t>in</w:t>
      </w:r>
      <w:r>
        <w:rPr>
          <w:spacing w:val="-9"/>
          <w:w w:val="105"/>
          <w:sz w:val="21"/>
        </w:rPr>
        <w:t> </w:t>
      </w:r>
      <w:r>
        <w:rPr>
          <w:w w:val="105"/>
          <w:sz w:val="21"/>
        </w:rPr>
        <w:t>most </w:t>
      </w:r>
      <w:r>
        <w:rPr>
          <w:spacing w:val="-4"/>
          <w:w w:val="105"/>
          <w:sz w:val="21"/>
        </w:rPr>
        <w:t>cases’.</w:t>
      </w:r>
      <w:r>
        <w:rPr>
          <w:spacing w:val="-4"/>
          <w:w w:val="105"/>
          <w:position w:val="7"/>
          <w:sz w:val="12"/>
        </w:rPr>
        <w:t>47 </w:t>
      </w:r>
      <w:r>
        <w:rPr>
          <w:w w:val="105"/>
          <w:sz w:val="21"/>
        </w:rPr>
        <w:t>Another community member </w:t>
      </w:r>
      <w:r>
        <w:rPr>
          <w:spacing w:val="-3"/>
          <w:w w:val="105"/>
          <w:sz w:val="21"/>
        </w:rPr>
        <w:t>informed </w:t>
      </w:r>
      <w:r>
        <w:rPr>
          <w:w w:val="105"/>
          <w:sz w:val="21"/>
        </w:rPr>
        <w:t>the </w:t>
      </w:r>
      <w:r>
        <w:rPr>
          <w:spacing w:val="-3"/>
          <w:w w:val="105"/>
          <w:sz w:val="21"/>
        </w:rPr>
        <w:t>Commission that </w:t>
      </w:r>
      <w:r>
        <w:rPr>
          <w:w w:val="105"/>
          <w:sz w:val="21"/>
        </w:rPr>
        <w:t>there should be an industry-accepted standard </w:t>
      </w:r>
      <w:r>
        <w:rPr>
          <w:spacing w:val="-3"/>
          <w:w w:val="105"/>
          <w:sz w:val="21"/>
        </w:rPr>
        <w:t>to place </w:t>
      </w:r>
      <w:r>
        <w:rPr>
          <w:w w:val="105"/>
          <w:sz w:val="21"/>
        </w:rPr>
        <w:t>a monetary </w:t>
      </w:r>
      <w:r>
        <w:rPr>
          <w:spacing w:val="-3"/>
          <w:w w:val="105"/>
          <w:sz w:val="21"/>
        </w:rPr>
        <w:t>value </w:t>
      </w:r>
      <w:r>
        <w:rPr>
          <w:w w:val="105"/>
          <w:sz w:val="21"/>
        </w:rPr>
        <w:t>on trees.</w:t>
      </w:r>
      <w:r>
        <w:rPr>
          <w:w w:val="105"/>
          <w:position w:val="7"/>
          <w:sz w:val="12"/>
        </w:rPr>
        <w:t>48 </w:t>
      </w:r>
      <w:r>
        <w:rPr>
          <w:w w:val="105"/>
          <w:sz w:val="21"/>
        </w:rPr>
        <w:t>Arborist Ben </w:t>
      </w:r>
      <w:r>
        <w:rPr>
          <w:spacing w:val="-3"/>
          <w:w w:val="105"/>
          <w:sz w:val="21"/>
        </w:rPr>
        <w:t>Kenyon noted</w:t>
      </w:r>
      <w:r>
        <w:rPr>
          <w:spacing w:val="5"/>
          <w:w w:val="105"/>
          <w:sz w:val="21"/>
        </w:rPr>
        <w:t> </w:t>
      </w:r>
      <w:r>
        <w:rPr>
          <w:w w:val="105"/>
          <w:sz w:val="21"/>
        </w:rPr>
        <w:t>that:</w:t>
      </w:r>
    </w:p>
    <w:p>
      <w:pPr>
        <w:spacing w:line="254" w:lineRule="auto" w:before="137"/>
        <w:ind w:left="2834" w:right="1636" w:firstLine="0"/>
        <w:jc w:val="left"/>
        <w:rPr>
          <w:sz w:val="11"/>
        </w:rPr>
      </w:pPr>
      <w:r>
        <w:rPr>
          <w:sz w:val="20"/>
        </w:rPr>
        <w:t>because trees are not viewed as assets, many people believe they can deal with them however they like and view their protection as cumbersome or unnecessary.</w:t>
      </w:r>
      <w:r>
        <w:rPr>
          <w:position w:val="7"/>
          <w:sz w:val="11"/>
        </w:rPr>
        <w:t>49</w:t>
      </w:r>
    </w:p>
    <w:p>
      <w:pPr>
        <w:pStyle w:val="ListParagraph"/>
        <w:numPr>
          <w:ilvl w:val="1"/>
          <w:numId w:val="16"/>
        </w:numPr>
        <w:tabs>
          <w:tab w:pos="2381" w:val="left" w:leader="none"/>
          <w:tab w:pos="2382" w:val="left" w:leader="none"/>
        </w:tabs>
        <w:spacing w:line="242" w:lineRule="auto" w:before="112" w:after="0"/>
        <w:ind w:left="2381" w:right="1637" w:hanging="794"/>
        <w:jc w:val="left"/>
        <w:rPr>
          <w:sz w:val="21"/>
        </w:rPr>
      </w:pPr>
      <w:r>
        <w:rPr>
          <w:w w:val="105"/>
          <w:sz w:val="21"/>
        </w:rPr>
        <w:t>In addition </w:t>
      </w:r>
      <w:r>
        <w:rPr>
          <w:spacing w:val="-3"/>
          <w:w w:val="105"/>
          <w:sz w:val="21"/>
        </w:rPr>
        <w:t>to </w:t>
      </w:r>
      <w:r>
        <w:rPr>
          <w:w w:val="105"/>
          <w:sz w:val="21"/>
        </w:rPr>
        <w:t>the </w:t>
      </w:r>
      <w:r>
        <w:rPr>
          <w:spacing w:val="-3"/>
          <w:w w:val="105"/>
          <w:sz w:val="21"/>
        </w:rPr>
        <w:t>environmental </w:t>
      </w:r>
      <w:r>
        <w:rPr>
          <w:w w:val="105"/>
          <w:sz w:val="21"/>
        </w:rPr>
        <w:t>and amenity benefits of trees, the </w:t>
      </w:r>
      <w:r>
        <w:rPr>
          <w:spacing w:val="-3"/>
          <w:w w:val="105"/>
          <w:sz w:val="21"/>
        </w:rPr>
        <w:t>Commission </w:t>
      </w:r>
      <w:r>
        <w:rPr>
          <w:spacing w:val="-2"/>
          <w:w w:val="105"/>
          <w:sz w:val="21"/>
        </w:rPr>
        <w:t>has </w:t>
      </w:r>
      <w:r>
        <w:rPr>
          <w:spacing w:val="-3"/>
          <w:w w:val="105"/>
          <w:sz w:val="21"/>
        </w:rPr>
        <w:t>learnt that </w:t>
      </w:r>
      <w:r>
        <w:rPr>
          <w:w w:val="105"/>
          <w:sz w:val="21"/>
        </w:rPr>
        <w:t>there </w:t>
      </w:r>
      <w:r>
        <w:rPr>
          <w:spacing w:val="-3"/>
          <w:w w:val="105"/>
          <w:sz w:val="21"/>
        </w:rPr>
        <w:t>are numerous </w:t>
      </w:r>
      <w:r>
        <w:rPr>
          <w:w w:val="105"/>
          <w:sz w:val="21"/>
        </w:rPr>
        <w:t>tree </w:t>
      </w:r>
      <w:r>
        <w:rPr>
          <w:spacing w:val="-3"/>
          <w:w w:val="105"/>
          <w:sz w:val="21"/>
        </w:rPr>
        <w:t>valuation </w:t>
      </w:r>
      <w:r>
        <w:rPr>
          <w:w w:val="105"/>
          <w:sz w:val="21"/>
        </w:rPr>
        <w:t>methodologies based on amenity </w:t>
      </w:r>
      <w:r>
        <w:rPr>
          <w:spacing w:val="-3"/>
          <w:w w:val="105"/>
          <w:sz w:val="21"/>
        </w:rPr>
        <w:t>that are </w:t>
      </w:r>
      <w:r>
        <w:rPr>
          <w:w w:val="105"/>
          <w:sz w:val="21"/>
        </w:rPr>
        <w:t>used worldwide.</w:t>
      </w:r>
      <w:r>
        <w:rPr>
          <w:w w:val="105"/>
          <w:position w:val="7"/>
          <w:sz w:val="12"/>
        </w:rPr>
        <w:t>50 </w:t>
      </w:r>
      <w:r>
        <w:rPr>
          <w:w w:val="105"/>
          <w:sz w:val="21"/>
        </w:rPr>
        <w:t>For </w:t>
      </w:r>
      <w:r>
        <w:rPr>
          <w:spacing w:val="-3"/>
          <w:w w:val="105"/>
          <w:sz w:val="21"/>
        </w:rPr>
        <w:t>example, </w:t>
      </w:r>
      <w:r>
        <w:rPr>
          <w:w w:val="105"/>
          <w:sz w:val="21"/>
        </w:rPr>
        <w:t>Dr Gregory Moore OAM advised </w:t>
      </w:r>
      <w:r>
        <w:rPr>
          <w:spacing w:val="-3"/>
          <w:w w:val="105"/>
          <w:sz w:val="21"/>
        </w:rPr>
        <w:t>that </w:t>
      </w:r>
      <w:r>
        <w:rPr>
          <w:w w:val="105"/>
          <w:sz w:val="21"/>
        </w:rPr>
        <w:t>in </w:t>
      </w:r>
      <w:r>
        <w:rPr>
          <w:spacing w:val="-3"/>
          <w:w w:val="105"/>
          <w:sz w:val="21"/>
        </w:rPr>
        <w:t>Germany </w:t>
      </w:r>
      <w:r>
        <w:rPr>
          <w:w w:val="105"/>
          <w:sz w:val="21"/>
        </w:rPr>
        <w:t>the </w:t>
      </w:r>
      <w:r>
        <w:rPr>
          <w:spacing w:val="-3"/>
          <w:w w:val="105"/>
          <w:sz w:val="21"/>
        </w:rPr>
        <w:t>Koch </w:t>
      </w:r>
      <w:r>
        <w:rPr>
          <w:w w:val="105"/>
          <w:sz w:val="21"/>
        </w:rPr>
        <w:t>method of </w:t>
      </w:r>
      <w:r>
        <w:rPr>
          <w:spacing w:val="-3"/>
          <w:w w:val="105"/>
          <w:sz w:val="21"/>
        </w:rPr>
        <w:t>calculating </w:t>
      </w:r>
      <w:r>
        <w:rPr>
          <w:w w:val="105"/>
          <w:sz w:val="21"/>
        </w:rPr>
        <w:t>the monetary </w:t>
      </w:r>
      <w:r>
        <w:rPr>
          <w:spacing w:val="-3"/>
          <w:w w:val="105"/>
          <w:sz w:val="21"/>
        </w:rPr>
        <w:t>value </w:t>
      </w:r>
      <w:r>
        <w:rPr>
          <w:w w:val="105"/>
          <w:sz w:val="21"/>
        </w:rPr>
        <w:t>of </w:t>
      </w:r>
      <w:r>
        <w:rPr>
          <w:spacing w:val="-3"/>
          <w:w w:val="105"/>
          <w:sz w:val="21"/>
        </w:rPr>
        <w:t>ornamental </w:t>
      </w:r>
      <w:r>
        <w:rPr>
          <w:w w:val="105"/>
          <w:sz w:val="21"/>
        </w:rPr>
        <w:t>trees is a </w:t>
      </w:r>
      <w:r>
        <w:rPr>
          <w:spacing w:val="-2"/>
          <w:w w:val="105"/>
          <w:sz w:val="21"/>
        </w:rPr>
        <w:t>common </w:t>
      </w:r>
      <w:r>
        <w:rPr>
          <w:w w:val="105"/>
          <w:sz w:val="21"/>
        </w:rPr>
        <w:t>and universally recognised </w:t>
      </w:r>
      <w:r>
        <w:rPr>
          <w:spacing w:val="-3"/>
          <w:w w:val="105"/>
          <w:sz w:val="21"/>
        </w:rPr>
        <w:t>method.</w:t>
      </w:r>
      <w:r>
        <w:rPr>
          <w:spacing w:val="-3"/>
          <w:w w:val="105"/>
          <w:position w:val="7"/>
          <w:sz w:val="12"/>
        </w:rPr>
        <w:t>51 </w:t>
      </w:r>
      <w:r>
        <w:rPr>
          <w:w w:val="105"/>
          <w:sz w:val="21"/>
        </w:rPr>
        <w:t>Dr Moore </w:t>
      </w:r>
      <w:r>
        <w:rPr>
          <w:spacing w:val="-3"/>
          <w:w w:val="105"/>
          <w:sz w:val="21"/>
        </w:rPr>
        <w:t>commented that </w:t>
      </w:r>
      <w:r>
        <w:rPr>
          <w:w w:val="105"/>
          <w:sz w:val="21"/>
        </w:rPr>
        <w:t>this simplifies the process, </w:t>
      </w:r>
      <w:r>
        <w:rPr>
          <w:spacing w:val="-3"/>
          <w:w w:val="105"/>
          <w:sz w:val="21"/>
        </w:rPr>
        <w:t>reduces</w:t>
      </w:r>
      <w:r>
        <w:rPr>
          <w:spacing w:val="-6"/>
          <w:w w:val="105"/>
          <w:sz w:val="21"/>
        </w:rPr>
        <w:t> </w:t>
      </w:r>
      <w:r>
        <w:rPr>
          <w:w w:val="105"/>
          <w:sz w:val="21"/>
        </w:rPr>
        <w:t>the</w:t>
      </w:r>
      <w:r>
        <w:rPr>
          <w:spacing w:val="-6"/>
          <w:w w:val="105"/>
          <w:sz w:val="21"/>
        </w:rPr>
        <w:t> </w:t>
      </w:r>
      <w:r>
        <w:rPr>
          <w:w w:val="105"/>
          <w:sz w:val="21"/>
        </w:rPr>
        <w:t>elements</w:t>
      </w:r>
      <w:r>
        <w:rPr>
          <w:spacing w:val="-6"/>
          <w:w w:val="105"/>
          <w:sz w:val="21"/>
        </w:rPr>
        <w:t> </w:t>
      </w:r>
      <w:r>
        <w:rPr>
          <w:w w:val="105"/>
          <w:sz w:val="21"/>
        </w:rPr>
        <w:t>in</w:t>
      </w:r>
      <w:r>
        <w:rPr>
          <w:spacing w:val="-6"/>
          <w:w w:val="105"/>
          <w:sz w:val="21"/>
        </w:rPr>
        <w:t> </w:t>
      </w:r>
      <w:r>
        <w:rPr>
          <w:spacing w:val="-3"/>
          <w:w w:val="105"/>
          <w:sz w:val="21"/>
        </w:rPr>
        <w:t>dispute</w:t>
      </w:r>
      <w:r>
        <w:rPr>
          <w:spacing w:val="-6"/>
          <w:w w:val="105"/>
          <w:sz w:val="21"/>
        </w:rPr>
        <w:t> </w:t>
      </w:r>
      <w:r>
        <w:rPr>
          <w:w w:val="105"/>
          <w:sz w:val="21"/>
        </w:rPr>
        <w:t>and</w:t>
      </w:r>
      <w:r>
        <w:rPr>
          <w:spacing w:val="-5"/>
          <w:w w:val="105"/>
          <w:sz w:val="21"/>
        </w:rPr>
        <w:t> </w:t>
      </w:r>
      <w:r>
        <w:rPr>
          <w:w w:val="105"/>
          <w:sz w:val="21"/>
        </w:rPr>
        <w:t>lowers</w:t>
      </w:r>
      <w:r>
        <w:rPr>
          <w:spacing w:val="-6"/>
          <w:w w:val="105"/>
          <w:sz w:val="21"/>
        </w:rPr>
        <w:t> </w:t>
      </w:r>
      <w:r>
        <w:rPr>
          <w:w w:val="105"/>
          <w:sz w:val="21"/>
        </w:rPr>
        <w:t>costs.</w:t>
      </w:r>
      <w:r>
        <w:rPr>
          <w:w w:val="105"/>
          <w:position w:val="7"/>
          <w:sz w:val="12"/>
        </w:rPr>
        <w:t>52</w:t>
      </w:r>
      <w:r>
        <w:rPr>
          <w:spacing w:val="17"/>
          <w:w w:val="105"/>
          <w:position w:val="7"/>
          <w:sz w:val="12"/>
        </w:rPr>
        <w:t> </w:t>
      </w:r>
      <w:r>
        <w:rPr>
          <w:w w:val="105"/>
          <w:sz w:val="21"/>
        </w:rPr>
        <w:t>Applying</w:t>
      </w:r>
      <w:r>
        <w:rPr>
          <w:spacing w:val="-6"/>
          <w:w w:val="105"/>
          <w:sz w:val="21"/>
        </w:rPr>
        <w:t> </w:t>
      </w:r>
      <w:r>
        <w:rPr>
          <w:w w:val="105"/>
          <w:sz w:val="21"/>
        </w:rPr>
        <w:t>a</w:t>
      </w:r>
      <w:r>
        <w:rPr>
          <w:spacing w:val="-6"/>
          <w:w w:val="105"/>
          <w:sz w:val="21"/>
        </w:rPr>
        <w:t> </w:t>
      </w:r>
      <w:r>
        <w:rPr>
          <w:spacing w:val="-2"/>
          <w:w w:val="105"/>
          <w:sz w:val="21"/>
        </w:rPr>
        <w:t>dollar</w:t>
      </w:r>
      <w:r>
        <w:rPr>
          <w:spacing w:val="-6"/>
          <w:w w:val="105"/>
          <w:sz w:val="21"/>
        </w:rPr>
        <w:t> </w:t>
      </w:r>
      <w:r>
        <w:rPr>
          <w:spacing w:val="-3"/>
          <w:w w:val="105"/>
          <w:sz w:val="21"/>
        </w:rPr>
        <w:t>amount</w:t>
      </w:r>
      <w:r>
        <w:rPr>
          <w:spacing w:val="-6"/>
          <w:w w:val="105"/>
          <w:sz w:val="21"/>
        </w:rPr>
        <w:t> </w:t>
      </w:r>
      <w:r>
        <w:rPr>
          <w:spacing w:val="-3"/>
          <w:w w:val="105"/>
          <w:sz w:val="21"/>
        </w:rPr>
        <w:t>to</w:t>
      </w:r>
      <w:r>
        <w:rPr>
          <w:spacing w:val="-6"/>
          <w:w w:val="105"/>
          <w:sz w:val="21"/>
        </w:rPr>
        <w:t> </w:t>
      </w:r>
      <w:r>
        <w:rPr>
          <w:w w:val="105"/>
          <w:sz w:val="21"/>
        </w:rPr>
        <w:t>trees</w:t>
      </w:r>
      <w:r>
        <w:rPr>
          <w:spacing w:val="-5"/>
          <w:w w:val="105"/>
          <w:sz w:val="21"/>
        </w:rPr>
        <w:t> </w:t>
      </w:r>
      <w:r>
        <w:rPr>
          <w:w w:val="105"/>
          <w:sz w:val="21"/>
        </w:rPr>
        <w:t>can </w:t>
      </w:r>
      <w:r>
        <w:rPr>
          <w:spacing w:val="-3"/>
          <w:w w:val="105"/>
          <w:sz w:val="21"/>
        </w:rPr>
        <w:t>discourage interference </w:t>
      </w:r>
      <w:r>
        <w:rPr>
          <w:w w:val="105"/>
          <w:sz w:val="21"/>
        </w:rPr>
        <w:t>with trees of </w:t>
      </w:r>
      <w:r>
        <w:rPr>
          <w:spacing w:val="-3"/>
          <w:w w:val="105"/>
          <w:sz w:val="21"/>
        </w:rPr>
        <w:t>high retention value </w:t>
      </w:r>
      <w:r>
        <w:rPr>
          <w:w w:val="105"/>
          <w:sz w:val="21"/>
        </w:rPr>
        <w:t>while </w:t>
      </w:r>
      <w:r>
        <w:rPr>
          <w:spacing w:val="-3"/>
          <w:w w:val="105"/>
          <w:sz w:val="21"/>
        </w:rPr>
        <w:t>enabling </w:t>
      </w:r>
      <w:r>
        <w:rPr>
          <w:w w:val="105"/>
          <w:sz w:val="21"/>
        </w:rPr>
        <w:t>tree works </w:t>
      </w:r>
      <w:r>
        <w:rPr>
          <w:spacing w:val="-3"/>
          <w:w w:val="105"/>
          <w:sz w:val="21"/>
        </w:rPr>
        <w:t>to </w:t>
      </w:r>
      <w:r>
        <w:rPr>
          <w:w w:val="105"/>
          <w:sz w:val="21"/>
        </w:rPr>
        <w:t>be undertaken on trees of low </w:t>
      </w:r>
      <w:r>
        <w:rPr>
          <w:spacing w:val="-3"/>
          <w:w w:val="105"/>
          <w:sz w:val="21"/>
        </w:rPr>
        <w:t>retention</w:t>
      </w:r>
      <w:r>
        <w:rPr>
          <w:spacing w:val="26"/>
          <w:w w:val="105"/>
          <w:sz w:val="21"/>
        </w:rPr>
        <w:t> </w:t>
      </w:r>
      <w:r>
        <w:rPr>
          <w:spacing w:val="-3"/>
          <w:w w:val="105"/>
          <w:sz w:val="21"/>
        </w:rPr>
        <w:t>value.</w:t>
      </w:r>
      <w:r>
        <w:rPr>
          <w:spacing w:val="-3"/>
          <w:w w:val="105"/>
          <w:position w:val="7"/>
          <w:sz w:val="12"/>
        </w:rPr>
        <w:t>53</w:t>
      </w:r>
    </w:p>
    <w:p>
      <w:pPr>
        <w:pStyle w:val="ListParagraph"/>
        <w:numPr>
          <w:ilvl w:val="1"/>
          <w:numId w:val="16"/>
        </w:numPr>
        <w:tabs>
          <w:tab w:pos="2381" w:val="left" w:leader="none"/>
        </w:tabs>
        <w:spacing w:line="242" w:lineRule="auto" w:before="129" w:after="0"/>
        <w:ind w:left="2381" w:right="2145" w:hanging="794"/>
        <w:jc w:val="both"/>
        <w:rPr>
          <w:sz w:val="21"/>
        </w:rPr>
      </w:pPr>
      <w:r>
        <w:rPr>
          <w:spacing w:val="-4"/>
          <w:w w:val="105"/>
          <w:sz w:val="21"/>
        </w:rPr>
        <w:t>However,</w:t>
      </w:r>
      <w:r>
        <w:rPr>
          <w:spacing w:val="-9"/>
          <w:w w:val="105"/>
          <w:sz w:val="21"/>
        </w:rPr>
        <w:t> </w:t>
      </w:r>
      <w:r>
        <w:rPr>
          <w:w w:val="105"/>
          <w:sz w:val="21"/>
        </w:rPr>
        <w:t>there</w:t>
      </w:r>
      <w:r>
        <w:rPr>
          <w:spacing w:val="-8"/>
          <w:w w:val="105"/>
          <w:sz w:val="21"/>
        </w:rPr>
        <w:t> </w:t>
      </w:r>
      <w:r>
        <w:rPr>
          <w:w w:val="105"/>
          <w:sz w:val="21"/>
        </w:rPr>
        <w:t>is</w:t>
      </w:r>
      <w:r>
        <w:rPr>
          <w:spacing w:val="-8"/>
          <w:w w:val="105"/>
          <w:sz w:val="21"/>
        </w:rPr>
        <w:t> </w:t>
      </w:r>
      <w:r>
        <w:rPr>
          <w:w w:val="105"/>
          <w:sz w:val="21"/>
        </w:rPr>
        <w:t>no</w:t>
      </w:r>
      <w:r>
        <w:rPr>
          <w:spacing w:val="-9"/>
          <w:w w:val="105"/>
          <w:sz w:val="21"/>
        </w:rPr>
        <w:t> </w:t>
      </w:r>
      <w:r>
        <w:rPr>
          <w:spacing w:val="-3"/>
          <w:w w:val="105"/>
          <w:sz w:val="21"/>
        </w:rPr>
        <w:t>consensus</w:t>
      </w:r>
      <w:r>
        <w:rPr>
          <w:spacing w:val="-8"/>
          <w:w w:val="105"/>
          <w:sz w:val="21"/>
        </w:rPr>
        <w:t> </w:t>
      </w:r>
      <w:r>
        <w:rPr>
          <w:w w:val="105"/>
          <w:sz w:val="21"/>
        </w:rPr>
        <w:t>on</w:t>
      </w:r>
      <w:r>
        <w:rPr>
          <w:spacing w:val="-8"/>
          <w:w w:val="105"/>
          <w:sz w:val="21"/>
        </w:rPr>
        <w:t> </w:t>
      </w:r>
      <w:r>
        <w:rPr>
          <w:w w:val="105"/>
          <w:sz w:val="21"/>
        </w:rPr>
        <w:t>a</w:t>
      </w:r>
      <w:r>
        <w:rPr>
          <w:spacing w:val="-9"/>
          <w:w w:val="105"/>
          <w:sz w:val="21"/>
        </w:rPr>
        <w:t> </w:t>
      </w:r>
      <w:r>
        <w:rPr>
          <w:w w:val="105"/>
          <w:sz w:val="21"/>
        </w:rPr>
        <w:t>standard</w:t>
      </w:r>
      <w:r>
        <w:rPr>
          <w:spacing w:val="-8"/>
          <w:w w:val="105"/>
          <w:sz w:val="21"/>
        </w:rPr>
        <w:t> </w:t>
      </w:r>
      <w:r>
        <w:rPr>
          <w:w w:val="105"/>
          <w:sz w:val="21"/>
        </w:rPr>
        <w:t>method</w:t>
      </w:r>
      <w:r>
        <w:rPr>
          <w:spacing w:val="-8"/>
          <w:w w:val="105"/>
          <w:sz w:val="21"/>
        </w:rPr>
        <w:t> </w:t>
      </w:r>
      <w:r>
        <w:rPr>
          <w:spacing w:val="-3"/>
          <w:w w:val="105"/>
          <w:sz w:val="21"/>
        </w:rPr>
        <w:t>to</w:t>
      </w:r>
      <w:r>
        <w:rPr>
          <w:spacing w:val="-9"/>
          <w:w w:val="105"/>
          <w:sz w:val="21"/>
        </w:rPr>
        <w:t> </w:t>
      </w:r>
      <w:r>
        <w:rPr>
          <w:w w:val="105"/>
          <w:sz w:val="21"/>
        </w:rPr>
        <w:t>assess</w:t>
      </w:r>
      <w:r>
        <w:rPr>
          <w:spacing w:val="-8"/>
          <w:w w:val="105"/>
          <w:sz w:val="21"/>
        </w:rPr>
        <w:t> </w:t>
      </w:r>
      <w:r>
        <w:rPr>
          <w:w w:val="105"/>
          <w:sz w:val="21"/>
        </w:rPr>
        <w:t>the</w:t>
      </w:r>
      <w:r>
        <w:rPr>
          <w:spacing w:val="-8"/>
          <w:w w:val="105"/>
          <w:sz w:val="21"/>
        </w:rPr>
        <w:t> </w:t>
      </w:r>
      <w:r>
        <w:rPr>
          <w:w w:val="105"/>
          <w:sz w:val="21"/>
        </w:rPr>
        <w:t>monetary</w:t>
      </w:r>
      <w:r>
        <w:rPr>
          <w:spacing w:val="-9"/>
          <w:w w:val="105"/>
          <w:sz w:val="21"/>
        </w:rPr>
        <w:t> </w:t>
      </w:r>
      <w:r>
        <w:rPr>
          <w:spacing w:val="-3"/>
          <w:w w:val="105"/>
          <w:sz w:val="21"/>
        </w:rPr>
        <w:t>value </w:t>
      </w:r>
      <w:r>
        <w:rPr>
          <w:w w:val="105"/>
          <w:sz w:val="21"/>
        </w:rPr>
        <w:t>of trees </w:t>
      </w:r>
      <w:r>
        <w:rPr>
          <w:spacing w:val="-3"/>
          <w:w w:val="105"/>
          <w:sz w:val="21"/>
        </w:rPr>
        <w:t>within Australia.</w:t>
      </w:r>
      <w:r>
        <w:rPr>
          <w:spacing w:val="-3"/>
          <w:w w:val="105"/>
          <w:position w:val="7"/>
          <w:sz w:val="12"/>
        </w:rPr>
        <w:t>54 </w:t>
      </w:r>
      <w:r>
        <w:rPr>
          <w:spacing w:val="-3"/>
          <w:w w:val="105"/>
          <w:sz w:val="21"/>
        </w:rPr>
        <w:t>Therefore, </w:t>
      </w:r>
      <w:r>
        <w:rPr>
          <w:w w:val="105"/>
          <w:sz w:val="21"/>
        </w:rPr>
        <w:t>the </w:t>
      </w:r>
      <w:r>
        <w:rPr>
          <w:spacing w:val="-3"/>
          <w:w w:val="105"/>
          <w:sz w:val="21"/>
        </w:rPr>
        <w:t>Commission </w:t>
      </w:r>
      <w:r>
        <w:rPr>
          <w:w w:val="105"/>
          <w:sz w:val="21"/>
        </w:rPr>
        <w:t>does </w:t>
      </w:r>
      <w:r>
        <w:rPr>
          <w:spacing w:val="-2"/>
          <w:w w:val="105"/>
          <w:sz w:val="21"/>
        </w:rPr>
        <w:t>not </w:t>
      </w:r>
      <w:r>
        <w:rPr>
          <w:spacing w:val="-3"/>
          <w:w w:val="105"/>
          <w:sz w:val="21"/>
        </w:rPr>
        <w:t>recommend placing </w:t>
      </w:r>
      <w:r>
        <w:rPr>
          <w:w w:val="105"/>
          <w:sz w:val="21"/>
        </w:rPr>
        <w:t>a</w:t>
      </w:r>
      <w:r>
        <w:rPr>
          <w:spacing w:val="-7"/>
          <w:w w:val="105"/>
          <w:sz w:val="21"/>
        </w:rPr>
        <w:t> </w:t>
      </w:r>
      <w:r>
        <w:rPr>
          <w:w w:val="105"/>
          <w:sz w:val="21"/>
        </w:rPr>
        <w:t>monetary</w:t>
      </w:r>
      <w:r>
        <w:rPr>
          <w:spacing w:val="-7"/>
          <w:w w:val="105"/>
          <w:sz w:val="21"/>
        </w:rPr>
        <w:t> </w:t>
      </w:r>
      <w:r>
        <w:rPr>
          <w:spacing w:val="-3"/>
          <w:w w:val="105"/>
          <w:sz w:val="21"/>
        </w:rPr>
        <w:t>amount</w:t>
      </w:r>
      <w:r>
        <w:rPr>
          <w:spacing w:val="-7"/>
          <w:w w:val="105"/>
          <w:sz w:val="21"/>
        </w:rPr>
        <w:t> </w:t>
      </w:r>
      <w:r>
        <w:rPr>
          <w:w w:val="105"/>
          <w:sz w:val="21"/>
        </w:rPr>
        <w:t>on</w:t>
      </w:r>
      <w:r>
        <w:rPr>
          <w:spacing w:val="-7"/>
          <w:w w:val="105"/>
          <w:sz w:val="21"/>
        </w:rPr>
        <w:t> </w:t>
      </w:r>
      <w:r>
        <w:rPr>
          <w:w w:val="105"/>
          <w:sz w:val="21"/>
        </w:rPr>
        <w:t>trees</w:t>
      </w:r>
      <w:r>
        <w:rPr>
          <w:spacing w:val="-7"/>
          <w:w w:val="105"/>
          <w:sz w:val="21"/>
        </w:rPr>
        <w:t> </w:t>
      </w:r>
      <w:r>
        <w:rPr>
          <w:w w:val="105"/>
          <w:sz w:val="21"/>
        </w:rPr>
        <w:t>as</w:t>
      </w:r>
      <w:r>
        <w:rPr>
          <w:spacing w:val="-6"/>
          <w:w w:val="105"/>
          <w:sz w:val="21"/>
        </w:rPr>
        <w:t> </w:t>
      </w:r>
      <w:r>
        <w:rPr>
          <w:w w:val="105"/>
          <w:sz w:val="21"/>
        </w:rPr>
        <w:t>part</w:t>
      </w:r>
      <w:r>
        <w:rPr>
          <w:spacing w:val="-7"/>
          <w:w w:val="105"/>
          <w:sz w:val="21"/>
        </w:rPr>
        <w:t> </w:t>
      </w:r>
      <w:r>
        <w:rPr>
          <w:w w:val="105"/>
          <w:sz w:val="21"/>
        </w:rPr>
        <w:t>of</w:t>
      </w:r>
      <w:r>
        <w:rPr>
          <w:spacing w:val="-7"/>
          <w:w w:val="105"/>
          <w:sz w:val="21"/>
        </w:rPr>
        <w:t> </w:t>
      </w:r>
      <w:r>
        <w:rPr>
          <w:w w:val="105"/>
          <w:sz w:val="21"/>
        </w:rPr>
        <w:t>the</w:t>
      </w:r>
      <w:r>
        <w:rPr>
          <w:spacing w:val="-7"/>
          <w:w w:val="105"/>
          <w:sz w:val="21"/>
        </w:rPr>
        <w:t> </w:t>
      </w:r>
      <w:r>
        <w:rPr>
          <w:w w:val="105"/>
          <w:sz w:val="21"/>
        </w:rPr>
        <w:t>decision-making</w:t>
      </w:r>
      <w:r>
        <w:rPr>
          <w:spacing w:val="-7"/>
          <w:w w:val="105"/>
          <w:sz w:val="21"/>
        </w:rPr>
        <w:t> </w:t>
      </w:r>
      <w:r>
        <w:rPr>
          <w:w w:val="105"/>
          <w:sz w:val="21"/>
        </w:rPr>
        <w:t>process</w:t>
      </w:r>
      <w:r>
        <w:rPr>
          <w:spacing w:val="-6"/>
          <w:w w:val="105"/>
          <w:sz w:val="21"/>
        </w:rPr>
        <w:t> </w:t>
      </w:r>
      <w:r>
        <w:rPr>
          <w:w w:val="105"/>
          <w:sz w:val="21"/>
        </w:rPr>
        <w:t>under</w:t>
      </w:r>
      <w:r>
        <w:rPr>
          <w:spacing w:val="-7"/>
          <w:w w:val="105"/>
          <w:sz w:val="21"/>
        </w:rPr>
        <w:t> </w:t>
      </w:r>
      <w:r>
        <w:rPr>
          <w:w w:val="105"/>
          <w:sz w:val="21"/>
        </w:rPr>
        <w:t>the</w:t>
      </w:r>
      <w:r>
        <w:rPr>
          <w:spacing w:val="-7"/>
          <w:w w:val="105"/>
          <w:sz w:val="21"/>
        </w:rPr>
        <w:t> </w:t>
      </w:r>
      <w:r>
        <w:rPr>
          <w:w w:val="105"/>
          <w:sz w:val="21"/>
        </w:rPr>
        <w:t>new</w:t>
      </w:r>
    </w:p>
    <w:p>
      <w:pPr>
        <w:spacing w:line="242" w:lineRule="auto" w:before="3"/>
        <w:ind w:left="2381" w:right="1891" w:firstLine="0"/>
        <w:jc w:val="left"/>
        <w:rPr>
          <w:sz w:val="21"/>
        </w:rPr>
      </w:pPr>
      <w:r>
        <w:rPr>
          <w:w w:val="105"/>
          <w:sz w:val="21"/>
        </w:rPr>
        <w:t>Act. This approach is reflected in the explanatory </w:t>
      </w:r>
      <w:r>
        <w:rPr>
          <w:spacing w:val="-3"/>
          <w:w w:val="105"/>
          <w:sz w:val="21"/>
        </w:rPr>
        <w:t>notes preceding </w:t>
      </w:r>
      <w:r>
        <w:rPr>
          <w:w w:val="105"/>
          <w:sz w:val="21"/>
        </w:rPr>
        <w:t>the </w:t>
      </w:r>
      <w:r>
        <w:rPr>
          <w:i/>
          <w:w w:val="105"/>
          <w:sz w:val="21"/>
        </w:rPr>
        <w:t>Neighbourhood </w:t>
      </w:r>
      <w:r>
        <w:rPr>
          <w:i/>
          <w:spacing w:val="-3"/>
          <w:w w:val="105"/>
          <w:sz w:val="21"/>
        </w:rPr>
        <w:t>Disputes </w:t>
      </w:r>
      <w:r>
        <w:rPr>
          <w:i/>
          <w:w w:val="105"/>
          <w:sz w:val="21"/>
        </w:rPr>
        <w:t>(Dividing Fences and </w:t>
      </w:r>
      <w:r>
        <w:rPr>
          <w:i/>
          <w:spacing w:val="-3"/>
          <w:w w:val="105"/>
          <w:sz w:val="21"/>
        </w:rPr>
        <w:t>Trees) </w:t>
      </w:r>
      <w:r>
        <w:rPr>
          <w:i/>
          <w:w w:val="105"/>
          <w:sz w:val="21"/>
        </w:rPr>
        <w:t>Act </w:t>
      </w:r>
      <w:r>
        <w:rPr>
          <w:i/>
          <w:spacing w:val="-11"/>
          <w:w w:val="105"/>
          <w:sz w:val="21"/>
        </w:rPr>
        <w:t>2011 </w:t>
      </w:r>
      <w:r>
        <w:rPr>
          <w:w w:val="105"/>
          <w:sz w:val="21"/>
        </w:rPr>
        <w:t>(Qld):</w:t>
      </w:r>
    </w:p>
    <w:p>
      <w:pPr>
        <w:spacing w:line="254" w:lineRule="auto" w:before="132"/>
        <w:ind w:left="2834" w:right="2326" w:firstLine="0"/>
        <w:jc w:val="left"/>
        <w:rPr>
          <w:sz w:val="20"/>
        </w:rPr>
      </w:pPr>
      <w:r>
        <w:rPr>
          <w:sz w:val="20"/>
        </w:rPr>
        <w:t>No financial value or carbon trading value may be placed on a </w:t>
      </w:r>
      <w:r>
        <w:rPr>
          <w:spacing w:val="-3"/>
          <w:sz w:val="20"/>
        </w:rPr>
        <w:t>tree. </w:t>
      </w:r>
      <w:r>
        <w:rPr>
          <w:sz w:val="20"/>
        </w:rPr>
        <w:t>The process  for</w:t>
      </w:r>
      <w:r>
        <w:rPr>
          <w:spacing w:val="16"/>
          <w:sz w:val="20"/>
        </w:rPr>
        <w:t> </w:t>
      </w:r>
      <w:r>
        <w:rPr>
          <w:spacing w:val="-3"/>
          <w:sz w:val="20"/>
        </w:rPr>
        <w:t>valuing</w:t>
      </w:r>
      <w:r>
        <w:rPr>
          <w:spacing w:val="16"/>
          <w:sz w:val="20"/>
        </w:rPr>
        <w:t> </w:t>
      </w:r>
      <w:r>
        <w:rPr>
          <w:sz w:val="20"/>
        </w:rPr>
        <w:t>trees</w:t>
      </w:r>
      <w:r>
        <w:rPr>
          <w:spacing w:val="16"/>
          <w:sz w:val="20"/>
        </w:rPr>
        <w:t> </w:t>
      </w:r>
      <w:r>
        <w:rPr>
          <w:sz w:val="20"/>
        </w:rPr>
        <w:t>in</w:t>
      </w:r>
      <w:r>
        <w:rPr>
          <w:spacing w:val="16"/>
          <w:sz w:val="20"/>
        </w:rPr>
        <w:t> </w:t>
      </w:r>
      <w:r>
        <w:rPr>
          <w:sz w:val="20"/>
        </w:rPr>
        <w:t>the</w:t>
      </w:r>
      <w:r>
        <w:rPr>
          <w:spacing w:val="16"/>
          <w:sz w:val="20"/>
        </w:rPr>
        <w:t> </w:t>
      </w:r>
      <w:r>
        <w:rPr>
          <w:sz w:val="20"/>
        </w:rPr>
        <w:t>urban</w:t>
      </w:r>
      <w:r>
        <w:rPr>
          <w:spacing w:val="17"/>
          <w:sz w:val="20"/>
        </w:rPr>
        <w:t> </w:t>
      </w:r>
      <w:r>
        <w:rPr>
          <w:spacing w:val="-3"/>
          <w:sz w:val="20"/>
        </w:rPr>
        <w:t>environment</w:t>
      </w:r>
      <w:r>
        <w:rPr>
          <w:spacing w:val="16"/>
          <w:sz w:val="20"/>
        </w:rPr>
        <w:t> </w:t>
      </w:r>
      <w:r>
        <w:rPr>
          <w:sz w:val="20"/>
        </w:rPr>
        <w:t>is</w:t>
      </w:r>
      <w:r>
        <w:rPr>
          <w:spacing w:val="16"/>
          <w:sz w:val="20"/>
        </w:rPr>
        <w:t> </w:t>
      </w:r>
      <w:r>
        <w:rPr>
          <w:sz w:val="20"/>
        </w:rPr>
        <w:t>unsettled</w:t>
      </w:r>
      <w:r>
        <w:rPr>
          <w:spacing w:val="16"/>
          <w:sz w:val="20"/>
        </w:rPr>
        <w:t> </w:t>
      </w:r>
      <w:r>
        <w:rPr>
          <w:sz w:val="20"/>
        </w:rPr>
        <w:t>and</w:t>
      </w:r>
      <w:r>
        <w:rPr>
          <w:spacing w:val="16"/>
          <w:sz w:val="20"/>
        </w:rPr>
        <w:t> </w:t>
      </w:r>
      <w:r>
        <w:rPr>
          <w:sz w:val="20"/>
        </w:rPr>
        <w:t>subject</w:t>
      </w:r>
      <w:r>
        <w:rPr>
          <w:spacing w:val="17"/>
          <w:sz w:val="20"/>
        </w:rPr>
        <w:t> </w:t>
      </w:r>
      <w:r>
        <w:rPr>
          <w:sz w:val="20"/>
        </w:rPr>
        <w:t>to</w:t>
      </w:r>
      <w:r>
        <w:rPr>
          <w:spacing w:val="16"/>
          <w:sz w:val="20"/>
        </w:rPr>
        <w:t> </w:t>
      </w:r>
      <w:r>
        <w:rPr>
          <w:sz w:val="20"/>
        </w:rPr>
        <w:t>varied</w:t>
      </w:r>
      <w:r>
        <w:rPr>
          <w:spacing w:val="16"/>
          <w:sz w:val="20"/>
        </w:rPr>
        <w:t> </w:t>
      </w:r>
      <w:r>
        <w:rPr>
          <w:sz w:val="20"/>
        </w:rPr>
        <w:t>and</w:t>
      </w:r>
    </w:p>
    <w:p>
      <w:pPr>
        <w:spacing w:line="254" w:lineRule="auto" w:before="3"/>
        <w:ind w:left="2834" w:right="1636" w:firstLine="0"/>
        <w:jc w:val="left"/>
        <w:rPr>
          <w:sz w:val="11"/>
        </w:rPr>
      </w:pPr>
      <w:r>
        <w:rPr>
          <w:spacing w:val="-3"/>
          <w:w w:val="105"/>
          <w:sz w:val="20"/>
        </w:rPr>
        <w:t>controversial valuing </w:t>
      </w:r>
      <w:r>
        <w:rPr>
          <w:w w:val="105"/>
          <w:sz w:val="20"/>
        </w:rPr>
        <w:t>methods. This clause </w:t>
      </w:r>
      <w:r>
        <w:rPr>
          <w:spacing w:val="-3"/>
          <w:w w:val="105"/>
          <w:sz w:val="20"/>
        </w:rPr>
        <w:t>ensures </w:t>
      </w:r>
      <w:r>
        <w:rPr>
          <w:w w:val="105"/>
          <w:sz w:val="20"/>
        </w:rPr>
        <w:t>that the object of the </w:t>
      </w:r>
      <w:r>
        <w:rPr>
          <w:spacing w:val="-3"/>
          <w:w w:val="105"/>
          <w:sz w:val="20"/>
        </w:rPr>
        <w:t>Bill, </w:t>
      </w:r>
      <w:r>
        <w:rPr>
          <w:w w:val="105"/>
          <w:sz w:val="20"/>
        </w:rPr>
        <w:t>to provide a</w:t>
      </w:r>
      <w:r>
        <w:rPr>
          <w:spacing w:val="-8"/>
          <w:w w:val="105"/>
          <w:sz w:val="20"/>
        </w:rPr>
        <w:t> </w:t>
      </w:r>
      <w:r>
        <w:rPr>
          <w:w w:val="105"/>
          <w:sz w:val="20"/>
        </w:rPr>
        <w:t>statutory</w:t>
      </w:r>
      <w:r>
        <w:rPr>
          <w:spacing w:val="-7"/>
          <w:w w:val="105"/>
          <w:sz w:val="20"/>
        </w:rPr>
        <w:t> </w:t>
      </w:r>
      <w:r>
        <w:rPr>
          <w:w w:val="105"/>
          <w:sz w:val="20"/>
        </w:rPr>
        <w:t>remedy</w:t>
      </w:r>
      <w:r>
        <w:rPr>
          <w:spacing w:val="-7"/>
          <w:w w:val="105"/>
          <w:sz w:val="20"/>
        </w:rPr>
        <w:t> </w:t>
      </w:r>
      <w:r>
        <w:rPr>
          <w:w w:val="105"/>
          <w:sz w:val="20"/>
        </w:rPr>
        <w:t>for</w:t>
      </w:r>
      <w:r>
        <w:rPr>
          <w:spacing w:val="-7"/>
          <w:w w:val="105"/>
          <w:sz w:val="20"/>
        </w:rPr>
        <w:t> </w:t>
      </w:r>
      <w:r>
        <w:rPr>
          <w:w w:val="105"/>
          <w:sz w:val="20"/>
        </w:rPr>
        <w:t>a</w:t>
      </w:r>
      <w:r>
        <w:rPr>
          <w:spacing w:val="-8"/>
          <w:w w:val="105"/>
          <w:sz w:val="20"/>
        </w:rPr>
        <w:t> </w:t>
      </w:r>
      <w:r>
        <w:rPr>
          <w:w w:val="105"/>
          <w:sz w:val="20"/>
        </w:rPr>
        <w:t>nuisance</w:t>
      </w:r>
      <w:r>
        <w:rPr>
          <w:spacing w:val="-7"/>
          <w:w w:val="105"/>
          <w:sz w:val="20"/>
        </w:rPr>
        <w:t> </w:t>
      </w:r>
      <w:r>
        <w:rPr>
          <w:w w:val="105"/>
          <w:sz w:val="20"/>
        </w:rPr>
        <w:t>caused</w:t>
      </w:r>
      <w:r>
        <w:rPr>
          <w:spacing w:val="-7"/>
          <w:w w:val="105"/>
          <w:sz w:val="20"/>
        </w:rPr>
        <w:t> </w:t>
      </w:r>
      <w:r>
        <w:rPr>
          <w:w w:val="105"/>
          <w:sz w:val="20"/>
        </w:rPr>
        <w:t>by</w:t>
      </w:r>
      <w:r>
        <w:rPr>
          <w:spacing w:val="-7"/>
          <w:w w:val="105"/>
          <w:sz w:val="20"/>
        </w:rPr>
        <w:t> </w:t>
      </w:r>
      <w:r>
        <w:rPr>
          <w:w w:val="105"/>
          <w:sz w:val="20"/>
        </w:rPr>
        <w:t>trees</w:t>
      </w:r>
      <w:r>
        <w:rPr>
          <w:spacing w:val="-8"/>
          <w:w w:val="105"/>
          <w:sz w:val="20"/>
        </w:rPr>
        <w:t> </w:t>
      </w:r>
      <w:r>
        <w:rPr>
          <w:w w:val="105"/>
          <w:sz w:val="20"/>
        </w:rPr>
        <w:t>growing</w:t>
      </w:r>
      <w:r>
        <w:rPr>
          <w:spacing w:val="-7"/>
          <w:w w:val="105"/>
          <w:sz w:val="20"/>
        </w:rPr>
        <w:t> </w:t>
      </w:r>
      <w:r>
        <w:rPr>
          <w:w w:val="105"/>
          <w:sz w:val="20"/>
        </w:rPr>
        <w:t>in</w:t>
      </w:r>
      <w:r>
        <w:rPr>
          <w:spacing w:val="-7"/>
          <w:w w:val="105"/>
          <w:sz w:val="20"/>
        </w:rPr>
        <w:t> </w:t>
      </w:r>
      <w:r>
        <w:rPr>
          <w:w w:val="105"/>
          <w:sz w:val="20"/>
        </w:rPr>
        <w:t>the</w:t>
      </w:r>
      <w:r>
        <w:rPr>
          <w:spacing w:val="-7"/>
          <w:w w:val="105"/>
          <w:sz w:val="20"/>
        </w:rPr>
        <w:t> </w:t>
      </w:r>
      <w:r>
        <w:rPr>
          <w:w w:val="105"/>
          <w:sz w:val="20"/>
        </w:rPr>
        <w:t>neighbourhood,</w:t>
      </w:r>
      <w:r>
        <w:rPr>
          <w:spacing w:val="-7"/>
          <w:w w:val="105"/>
          <w:sz w:val="20"/>
        </w:rPr>
        <w:t> </w:t>
      </w:r>
      <w:r>
        <w:rPr>
          <w:w w:val="105"/>
          <w:sz w:val="20"/>
        </w:rPr>
        <w:t>is</w:t>
      </w:r>
      <w:r>
        <w:rPr>
          <w:spacing w:val="-8"/>
          <w:w w:val="105"/>
          <w:sz w:val="20"/>
        </w:rPr>
        <w:t> </w:t>
      </w:r>
      <w:r>
        <w:rPr>
          <w:w w:val="105"/>
          <w:sz w:val="20"/>
        </w:rPr>
        <w:t>not affected or </w:t>
      </w:r>
      <w:r>
        <w:rPr>
          <w:spacing w:val="-3"/>
          <w:w w:val="105"/>
          <w:sz w:val="20"/>
        </w:rPr>
        <w:t>frustrated </w:t>
      </w:r>
      <w:r>
        <w:rPr>
          <w:w w:val="105"/>
          <w:sz w:val="20"/>
        </w:rPr>
        <w:t>by unsettled methods of </w:t>
      </w:r>
      <w:r>
        <w:rPr>
          <w:spacing w:val="-3"/>
          <w:w w:val="105"/>
          <w:sz w:val="20"/>
        </w:rPr>
        <w:t>calculating </w:t>
      </w:r>
      <w:r>
        <w:rPr>
          <w:w w:val="105"/>
          <w:sz w:val="20"/>
        </w:rPr>
        <w:t>the monetary value of trees for </w:t>
      </w:r>
      <w:r>
        <w:rPr>
          <w:spacing w:val="-3"/>
          <w:w w:val="105"/>
          <w:sz w:val="20"/>
        </w:rPr>
        <w:t>natural </w:t>
      </w:r>
      <w:r>
        <w:rPr>
          <w:w w:val="105"/>
          <w:sz w:val="20"/>
        </w:rPr>
        <w:t>asset purposes or carbon</w:t>
      </w:r>
      <w:r>
        <w:rPr>
          <w:spacing w:val="32"/>
          <w:w w:val="105"/>
          <w:sz w:val="20"/>
        </w:rPr>
        <w:t> </w:t>
      </w:r>
      <w:r>
        <w:rPr>
          <w:spacing w:val="-3"/>
          <w:w w:val="105"/>
          <w:sz w:val="20"/>
        </w:rPr>
        <w:t>trading.</w:t>
      </w:r>
      <w:r>
        <w:rPr>
          <w:spacing w:val="-3"/>
          <w:w w:val="105"/>
          <w:position w:val="7"/>
          <w:sz w:val="11"/>
        </w:rPr>
        <w:t>55</w:t>
      </w:r>
    </w:p>
    <w:p>
      <w:pPr>
        <w:pStyle w:val="BodyText"/>
        <w:rPr>
          <w:sz w:val="20"/>
        </w:rPr>
      </w:pPr>
    </w:p>
    <w:p>
      <w:pPr>
        <w:pStyle w:val="BodyText"/>
        <w:rPr>
          <w:sz w:val="20"/>
        </w:rPr>
      </w:pPr>
    </w:p>
    <w:p>
      <w:pPr>
        <w:pStyle w:val="BodyText"/>
        <w:spacing w:before="3"/>
        <w:rPr>
          <w:sz w:val="15"/>
        </w:rPr>
      </w:pPr>
      <w:r>
        <w:rPr/>
        <w:pict>
          <v:line style="position:absolute;mso-position-horizontal-relative:page;mso-position-vertical-relative:paragraph;z-index:11984;mso-wrap-distance-left:0;mso-wrap-distance-right:0" from="79.370102pt,11.793254pt" to="515.905102pt,11.79325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204"/>
        </w:numPr>
        <w:tabs>
          <w:tab w:pos="2380" w:val="left" w:leader="none"/>
          <w:tab w:pos="2382" w:val="left" w:leader="none"/>
        </w:tabs>
        <w:spacing w:line="240" w:lineRule="auto" w:before="48" w:after="0"/>
        <w:ind w:left="2381" w:right="0" w:hanging="794"/>
        <w:jc w:val="left"/>
        <w:rPr>
          <w:sz w:val="13"/>
        </w:rPr>
      </w:pPr>
      <w:r>
        <w:rPr>
          <w:w w:val="105"/>
          <w:sz w:val="13"/>
        </w:rPr>
        <w:t>Consultation 4 (Participants in facilitated discussion at </w:t>
      </w:r>
      <w:r>
        <w:rPr>
          <w:spacing w:val="4"/>
          <w:w w:val="105"/>
          <w:sz w:val="13"/>
        </w:rPr>
        <w:t>VTIO</w:t>
      </w:r>
      <w:r>
        <w:rPr>
          <w:spacing w:val="5"/>
          <w:w w:val="105"/>
          <w:sz w:val="13"/>
        </w:rPr>
        <w:t> </w:t>
      </w:r>
      <w:r>
        <w:rPr>
          <w:w w:val="105"/>
          <w:sz w:val="13"/>
        </w:rPr>
        <w:t>ArborCamp2018).</w:t>
      </w:r>
    </w:p>
    <w:p>
      <w:pPr>
        <w:pStyle w:val="ListParagraph"/>
        <w:numPr>
          <w:ilvl w:val="0"/>
          <w:numId w:val="204"/>
        </w:numPr>
        <w:tabs>
          <w:tab w:pos="2380" w:val="left" w:leader="none"/>
          <w:tab w:pos="2382" w:val="left" w:leader="none"/>
        </w:tabs>
        <w:spacing w:line="240" w:lineRule="auto" w:before="1" w:after="0"/>
        <w:ind w:left="2381" w:right="40" w:hanging="794"/>
        <w:jc w:val="left"/>
        <w:rPr>
          <w:sz w:val="13"/>
        </w:rPr>
      </w:pPr>
      <w:r>
        <w:rPr>
          <w:w w:val="105"/>
          <w:sz w:val="13"/>
        </w:rPr>
        <w:t>See </w:t>
      </w:r>
      <w:r>
        <w:rPr>
          <w:i/>
          <w:w w:val="105"/>
          <w:sz w:val="13"/>
        </w:rPr>
        <w:t>Planning and Environment Act 1987 </w:t>
      </w:r>
      <w:r>
        <w:rPr>
          <w:spacing w:val="2"/>
          <w:w w:val="105"/>
          <w:sz w:val="13"/>
        </w:rPr>
        <w:t>(Vic) </w:t>
      </w:r>
      <w:r>
        <w:rPr>
          <w:w w:val="105"/>
          <w:sz w:val="13"/>
        </w:rPr>
        <w:t>s 173; </w:t>
      </w:r>
      <w:r>
        <w:rPr>
          <w:i/>
          <w:w w:val="105"/>
          <w:sz w:val="13"/>
        </w:rPr>
        <w:t>Victorian Conservation Trust Act </w:t>
      </w:r>
      <w:r>
        <w:rPr>
          <w:i/>
          <w:spacing w:val="-3"/>
          <w:w w:val="105"/>
          <w:sz w:val="13"/>
        </w:rPr>
        <w:t>1972 </w:t>
      </w:r>
      <w:r>
        <w:rPr>
          <w:spacing w:val="2"/>
          <w:w w:val="105"/>
          <w:sz w:val="13"/>
        </w:rPr>
        <w:t>(Vic) </w:t>
      </w:r>
      <w:r>
        <w:rPr>
          <w:w w:val="105"/>
          <w:sz w:val="13"/>
        </w:rPr>
        <w:t>s 3A; </w:t>
      </w:r>
      <w:r>
        <w:rPr>
          <w:i/>
          <w:w w:val="105"/>
          <w:sz w:val="13"/>
        </w:rPr>
        <w:t>Conservation, </w:t>
      </w:r>
      <w:r>
        <w:rPr>
          <w:i/>
          <w:spacing w:val="2"/>
          <w:w w:val="105"/>
          <w:sz w:val="13"/>
        </w:rPr>
        <w:t>Forests </w:t>
      </w:r>
      <w:r>
        <w:rPr>
          <w:i/>
          <w:w w:val="105"/>
          <w:sz w:val="13"/>
        </w:rPr>
        <w:t>and Lands Act </w:t>
      </w:r>
      <w:r>
        <w:rPr>
          <w:i/>
          <w:w w:val="105"/>
          <w:sz w:val="13"/>
        </w:rPr>
        <w:t>1969 </w:t>
      </w:r>
      <w:r>
        <w:rPr>
          <w:spacing w:val="2"/>
          <w:w w:val="105"/>
          <w:sz w:val="13"/>
        </w:rPr>
        <w:t>(Vic). </w:t>
      </w:r>
      <w:r>
        <w:rPr>
          <w:w w:val="105"/>
          <w:sz w:val="13"/>
        </w:rPr>
        <w:t>These </w:t>
      </w:r>
      <w:r>
        <w:rPr>
          <w:spacing w:val="2"/>
          <w:w w:val="105"/>
          <w:sz w:val="13"/>
        </w:rPr>
        <w:t>Acts </w:t>
      </w:r>
      <w:r>
        <w:rPr>
          <w:w w:val="105"/>
          <w:sz w:val="13"/>
        </w:rPr>
        <w:t>are discussed in Ch</w:t>
      </w:r>
      <w:r>
        <w:rPr>
          <w:spacing w:val="2"/>
          <w:w w:val="105"/>
          <w:sz w:val="13"/>
        </w:rPr>
        <w:t> </w:t>
      </w:r>
      <w:r>
        <w:rPr>
          <w:w w:val="105"/>
          <w:sz w:val="13"/>
        </w:rPr>
        <w:t>10.</w:t>
      </w:r>
    </w:p>
    <w:p>
      <w:pPr>
        <w:pStyle w:val="ListParagraph"/>
        <w:numPr>
          <w:ilvl w:val="0"/>
          <w:numId w:val="204"/>
        </w:numPr>
        <w:tabs>
          <w:tab w:pos="2380" w:val="left" w:leader="none"/>
          <w:tab w:pos="2382" w:val="left" w:leader="none"/>
        </w:tabs>
        <w:spacing w:line="240" w:lineRule="auto" w:before="3" w:after="0"/>
        <w:ind w:left="2381" w:right="0" w:hanging="794"/>
        <w:jc w:val="left"/>
        <w:rPr>
          <w:sz w:val="13"/>
        </w:rPr>
      </w:pPr>
      <w:r>
        <w:rPr>
          <w:w w:val="105"/>
          <w:sz w:val="13"/>
        </w:rPr>
        <w:t>Submission </w:t>
      </w:r>
      <w:r>
        <w:rPr>
          <w:spacing w:val="-4"/>
          <w:w w:val="105"/>
          <w:sz w:val="13"/>
        </w:rPr>
        <w:t>12 </w:t>
      </w:r>
      <w:r>
        <w:rPr>
          <w:spacing w:val="3"/>
          <w:w w:val="105"/>
          <w:sz w:val="13"/>
        </w:rPr>
        <w:t>(Dr </w:t>
      </w:r>
      <w:r>
        <w:rPr>
          <w:w w:val="105"/>
          <w:sz w:val="13"/>
        </w:rPr>
        <w:t>Gregory Moore </w:t>
      </w:r>
      <w:r>
        <w:rPr>
          <w:spacing w:val="2"/>
          <w:w w:val="105"/>
          <w:sz w:val="13"/>
        </w:rPr>
        <w:t>OAM); </w:t>
      </w:r>
      <w:r>
        <w:rPr>
          <w:w w:val="105"/>
          <w:sz w:val="13"/>
        </w:rPr>
        <w:t>Consultation 6 </w:t>
      </w:r>
      <w:r>
        <w:rPr>
          <w:spacing w:val="2"/>
          <w:w w:val="105"/>
          <w:sz w:val="13"/>
        </w:rPr>
        <w:t>(Ben </w:t>
      </w:r>
      <w:r>
        <w:rPr>
          <w:w w:val="105"/>
          <w:sz w:val="13"/>
        </w:rPr>
        <w:t>Kenyon); Survey Respondents 2, </w:t>
      </w:r>
      <w:r>
        <w:rPr>
          <w:spacing w:val="-3"/>
          <w:w w:val="105"/>
          <w:sz w:val="13"/>
        </w:rPr>
        <w:t>13, </w:t>
      </w:r>
      <w:r>
        <w:rPr>
          <w:w w:val="105"/>
          <w:sz w:val="13"/>
        </w:rPr>
        <w:t>55,</w:t>
      </w:r>
      <w:r>
        <w:rPr>
          <w:spacing w:val="30"/>
          <w:w w:val="105"/>
          <w:sz w:val="13"/>
        </w:rPr>
        <w:t> </w:t>
      </w:r>
      <w:r>
        <w:rPr>
          <w:w w:val="105"/>
          <w:sz w:val="13"/>
        </w:rPr>
        <w:t>89.</w:t>
      </w:r>
    </w:p>
    <w:p>
      <w:pPr>
        <w:pStyle w:val="ListParagraph"/>
        <w:numPr>
          <w:ilvl w:val="0"/>
          <w:numId w:val="204"/>
        </w:numPr>
        <w:tabs>
          <w:tab w:pos="2381" w:val="left" w:leader="none"/>
          <w:tab w:pos="2382" w:val="left" w:leader="none"/>
        </w:tabs>
        <w:spacing w:line="240" w:lineRule="auto" w:before="1" w:after="0"/>
        <w:ind w:left="2381" w:right="0" w:hanging="794"/>
        <w:jc w:val="left"/>
        <w:rPr>
          <w:sz w:val="13"/>
        </w:rPr>
      </w:pPr>
      <w:r>
        <w:rPr>
          <w:w w:val="105"/>
          <w:sz w:val="13"/>
        </w:rPr>
        <w:t>Survey Respondent</w:t>
      </w:r>
      <w:r>
        <w:rPr>
          <w:spacing w:val="9"/>
          <w:w w:val="105"/>
          <w:sz w:val="13"/>
        </w:rPr>
        <w:t> </w:t>
      </w:r>
      <w:r>
        <w:rPr>
          <w:w w:val="105"/>
          <w:sz w:val="13"/>
        </w:rPr>
        <w:t>2.</w:t>
      </w:r>
    </w:p>
    <w:p>
      <w:pPr>
        <w:pStyle w:val="ListParagraph"/>
        <w:numPr>
          <w:ilvl w:val="0"/>
          <w:numId w:val="204"/>
        </w:numPr>
        <w:tabs>
          <w:tab w:pos="2381" w:val="left" w:leader="none"/>
          <w:tab w:pos="2382" w:val="left" w:leader="none"/>
        </w:tabs>
        <w:spacing w:line="240" w:lineRule="auto" w:before="2" w:after="0"/>
        <w:ind w:left="2381" w:right="0" w:hanging="794"/>
        <w:jc w:val="left"/>
        <w:rPr>
          <w:sz w:val="13"/>
        </w:rPr>
      </w:pPr>
      <w:r>
        <w:rPr>
          <w:w w:val="105"/>
          <w:sz w:val="13"/>
        </w:rPr>
        <w:t>Survey Respondent</w:t>
      </w:r>
      <w:r>
        <w:rPr>
          <w:spacing w:val="9"/>
          <w:w w:val="105"/>
          <w:sz w:val="13"/>
        </w:rPr>
        <w:t> </w:t>
      </w:r>
      <w:r>
        <w:rPr>
          <w:w w:val="105"/>
          <w:sz w:val="13"/>
        </w:rPr>
        <w:t>55.</w:t>
      </w:r>
    </w:p>
    <w:p>
      <w:pPr>
        <w:pStyle w:val="ListParagraph"/>
        <w:numPr>
          <w:ilvl w:val="0"/>
          <w:numId w:val="204"/>
        </w:numPr>
        <w:tabs>
          <w:tab w:pos="2381" w:val="left" w:leader="none"/>
          <w:tab w:pos="2382" w:val="left" w:leader="none"/>
        </w:tabs>
        <w:spacing w:line="240" w:lineRule="auto" w:before="1" w:after="0"/>
        <w:ind w:left="2381" w:right="0" w:hanging="794"/>
        <w:jc w:val="left"/>
        <w:rPr>
          <w:sz w:val="13"/>
        </w:rPr>
      </w:pPr>
      <w:r>
        <w:rPr>
          <w:w w:val="105"/>
          <w:sz w:val="13"/>
        </w:rPr>
        <w:t>Consultation 6 </w:t>
      </w:r>
      <w:r>
        <w:rPr>
          <w:spacing w:val="2"/>
          <w:w w:val="105"/>
          <w:sz w:val="13"/>
        </w:rPr>
        <w:t>(Ben</w:t>
      </w:r>
      <w:r>
        <w:rPr>
          <w:spacing w:val="13"/>
          <w:w w:val="105"/>
          <w:sz w:val="13"/>
        </w:rPr>
        <w:t> </w:t>
      </w:r>
      <w:r>
        <w:rPr>
          <w:w w:val="105"/>
          <w:sz w:val="13"/>
        </w:rPr>
        <w:t>Kenyon).</w:t>
      </w:r>
    </w:p>
    <w:p>
      <w:pPr>
        <w:pStyle w:val="ListParagraph"/>
        <w:numPr>
          <w:ilvl w:val="0"/>
          <w:numId w:val="204"/>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6"/>
          <w:w w:val="105"/>
          <w:sz w:val="13"/>
        </w:rPr>
        <w:t> </w:t>
      </w:r>
      <w:r>
        <w:rPr>
          <w:w w:val="105"/>
          <w:sz w:val="13"/>
        </w:rPr>
        <w:t>eg,</w:t>
      </w:r>
      <w:r>
        <w:rPr>
          <w:spacing w:val="6"/>
          <w:w w:val="105"/>
          <w:sz w:val="13"/>
        </w:rPr>
        <w:t> </w:t>
      </w:r>
      <w:r>
        <w:rPr>
          <w:w w:val="105"/>
          <w:sz w:val="13"/>
        </w:rPr>
        <w:t>Gary</w:t>
      </w:r>
      <w:r>
        <w:rPr>
          <w:spacing w:val="6"/>
          <w:w w:val="105"/>
          <w:sz w:val="13"/>
        </w:rPr>
        <w:t> </w:t>
      </w:r>
      <w:r>
        <w:rPr>
          <w:w w:val="105"/>
          <w:sz w:val="13"/>
        </w:rPr>
        <w:t>Watson,</w:t>
      </w:r>
      <w:r>
        <w:rPr>
          <w:spacing w:val="6"/>
          <w:w w:val="105"/>
          <w:sz w:val="13"/>
        </w:rPr>
        <w:t> </w:t>
      </w:r>
      <w:r>
        <w:rPr>
          <w:w w:val="105"/>
          <w:sz w:val="13"/>
        </w:rPr>
        <w:t>‘Comparing</w:t>
      </w:r>
      <w:r>
        <w:rPr>
          <w:spacing w:val="6"/>
          <w:w w:val="105"/>
          <w:sz w:val="13"/>
        </w:rPr>
        <w:t> </w:t>
      </w:r>
      <w:r>
        <w:rPr>
          <w:w w:val="105"/>
          <w:sz w:val="13"/>
        </w:rPr>
        <w:t>Formula</w:t>
      </w:r>
      <w:r>
        <w:rPr>
          <w:spacing w:val="6"/>
          <w:w w:val="105"/>
          <w:sz w:val="13"/>
        </w:rPr>
        <w:t> </w:t>
      </w:r>
      <w:r>
        <w:rPr>
          <w:w w:val="105"/>
          <w:sz w:val="13"/>
        </w:rPr>
        <w:t>Methods</w:t>
      </w:r>
      <w:r>
        <w:rPr>
          <w:spacing w:val="6"/>
          <w:w w:val="105"/>
          <w:sz w:val="13"/>
        </w:rPr>
        <w:t> </w:t>
      </w:r>
      <w:r>
        <w:rPr>
          <w:w w:val="105"/>
          <w:sz w:val="13"/>
        </w:rPr>
        <w:t>of</w:t>
      </w:r>
      <w:r>
        <w:rPr>
          <w:spacing w:val="6"/>
          <w:w w:val="105"/>
          <w:sz w:val="13"/>
        </w:rPr>
        <w:t> </w:t>
      </w:r>
      <w:r>
        <w:rPr>
          <w:w w:val="105"/>
          <w:sz w:val="13"/>
        </w:rPr>
        <w:t>Tree</w:t>
      </w:r>
      <w:r>
        <w:rPr>
          <w:spacing w:val="7"/>
          <w:w w:val="105"/>
          <w:sz w:val="13"/>
        </w:rPr>
        <w:t> </w:t>
      </w:r>
      <w:r>
        <w:rPr>
          <w:w w:val="105"/>
          <w:sz w:val="13"/>
        </w:rPr>
        <w:t>Appraisal’</w:t>
      </w:r>
      <w:r>
        <w:rPr>
          <w:spacing w:val="6"/>
          <w:w w:val="105"/>
          <w:sz w:val="13"/>
        </w:rPr>
        <w:t> </w:t>
      </w:r>
      <w:r>
        <w:rPr>
          <w:w w:val="105"/>
          <w:sz w:val="13"/>
        </w:rPr>
        <w:t>(2002)</w:t>
      </w:r>
      <w:r>
        <w:rPr>
          <w:spacing w:val="6"/>
          <w:w w:val="105"/>
          <w:sz w:val="13"/>
        </w:rPr>
        <w:t> </w:t>
      </w:r>
      <w:r>
        <w:rPr>
          <w:w w:val="105"/>
          <w:sz w:val="13"/>
        </w:rPr>
        <w:t>28(1)</w:t>
      </w:r>
      <w:r>
        <w:rPr>
          <w:spacing w:val="6"/>
          <w:w w:val="105"/>
          <w:sz w:val="13"/>
        </w:rPr>
        <w:t> </w:t>
      </w:r>
      <w:r>
        <w:rPr>
          <w:i/>
          <w:w w:val="105"/>
          <w:sz w:val="13"/>
        </w:rPr>
        <w:t>Journal</w:t>
      </w:r>
      <w:r>
        <w:rPr>
          <w:i/>
          <w:spacing w:val="6"/>
          <w:w w:val="105"/>
          <w:sz w:val="13"/>
        </w:rPr>
        <w:t> </w:t>
      </w:r>
      <w:r>
        <w:rPr>
          <w:i/>
          <w:w w:val="105"/>
          <w:sz w:val="13"/>
        </w:rPr>
        <w:t>of</w:t>
      </w:r>
      <w:r>
        <w:rPr>
          <w:i/>
          <w:spacing w:val="6"/>
          <w:w w:val="105"/>
          <w:sz w:val="13"/>
        </w:rPr>
        <w:t> </w:t>
      </w:r>
      <w:r>
        <w:rPr>
          <w:i/>
          <w:w w:val="105"/>
          <w:sz w:val="13"/>
        </w:rPr>
        <w:t>Aboriculture</w:t>
      </w:r>
      <w:r>
        <w:rPr>
          <w:i/>
          <w:spacing w:val="6"/>
          <w:w w:val="105"/>
          <w:sz w:val="13"/>
        </w:rPr>
        <w:t> </w:t>
      </w:r>
      <w:r>
        <w:rPr>
          <w:w w:val="105"/>
          <w:sz w:val="13"/>
        </w:rPr>
        <w:t>14.</w:t>
      </w:r>
    </w:p>
    <w:p>
      <w:pPr>
        <w:pStyle w:val="ListParagraph"/>
        <w:numPr>
          <w:ilvl w:val="0"/>
          <w:numId w:val="204"/>
        </w:numPr>
        <w:tabs>
          <w:tab w:pos="2381" w:val="left" w:leader="none"/>
          <w:tab w:pos="2382" w:val="left" w:leader="none"/>
        </w:tabs>
        <w:spacing w:line="240" w:lineRule="auto" w:before="2" w:after="0"/>
        <w:ind w:left="2381" w:right="0" w:hanging="794"/>
        <w:jc w:val="left"/>
        <w:rPr>
          <w:sz w:val="13"/>
        </w:rPr>
      </w:pPr>
      <w:r>
        <w:rPr>
          <w:w w:val="105"/>
          <w:sz w:val="13"/>
        </w:rPr>
        <w:t>Submission </w:t>
      </w:r>
      <w:r>
        <w:rPr>
          <w:spacing w:val="-4"/>
          <w:w w:val="105"/>
          <w:sz w:val="13"/>
        </w:rPr>
        <w:t>12  </w:t>
      </w:r>
      <w:r>
        <w:rPr>
          <w:spacing w:val="3"/>
          <w:w w:val="105"/>
          <w:sz w:val="13"/>
        </w:rPr>
        <w:t>(Dr </w:t>
      </w:r>
      <w:r>
        <w:rPr>
          <w:w w:val="105"/>
          <w:sz w:val="13"/>
        </w:rPr>
        <w:t>Gregory Moore </w:t>
      </w:r>
      <w:r>
        <w:rPr>
          <w:spacing w:val="2"/>
          <w:w w:val="105"/>
          <w:sz w:val="13"/>
        </w:rPr>
        <w:t>OAM). </w:t>
      </w:r>
      <w:r>
        <w:rPr>
          <w:w w:val="105"/>
          <w:sz w:val="13"/>
        </w:rPr>
        <w:t>The Koch method is often employed in cases of ‘destruction, damage or expropriation’ of trees</w:t>
      </w:r>
      <w:r>
        <w:rPr>
          <w:spacing w:val="30"/>
          <w:w w:val="105"/>
          <w:sz w:val="13"/>
        </w:rPr>
        <w:t> </w:t>
      </w:r>
      <w:r>
        <w:rPr>
          <w:w w:val="105"/>
          <w:sz w:val="13"/>
        </w:rPr>
        <w:t>and is ‘based on interest paid on costs invested in woody plants growing up to their maturity stage minus deductions for age, defects and damage incurred prior to the determining event: </w:t>
      </w:r>
      <w:r>
        <w:rPr>
          <w:spacing w:val="-6"/>
          <w:w w:val="105"/>
          <w:sz w:val="13"/>
        </w:rPr>
        <w:t>P. </w:t>
      </w:r>
      <w:r>
        <w:rPr>
          <w:w w:val="105"/>
          <w:sz w:val="13"/>
        </w:rPr>
        <w:t>Bulí, ‘Testing of Koch Method Applied For Evaluation of Ornamental Trees in The Czech Republic’ </w:t>
      </w:r>
      <w:r>
        <w:rPr>
          <w:spacing w:val="2"/>
          <w:w w:val="105"/>
          <w:sz w:val="13"/>
        </w:rPr>
        <w:t>(2009) </w:t>
      </w:r>
      <w:r>
        <w:rPr>
          <w:spacing w:val="3"/>
          <w:w w:val="105"/>
          <w:sz w:val="13"/>
        </w:rPr>
        <w:t>36(4) </w:t>
      </w:r>
      <w:r>
        <w:rPr>
          <w:i/>
          <w:w w:val="105"/>
          <w:sz w:val="13"/>
        </w:rPr>
        <w:t>Horticultural Science </w:t>
      </w:r>
      <w:r>
        <w:rPr>
          <w:w w:val="105"/>
          <w:sz w:val="13"/>
        </w:rPr>
        <w:t>(Prague) 154–61,</w:t>
      </w:r>
      <w:r>
        <w:rPr>
          <w:spacing w:val="30"/>
          <w:w w:val="105"/>
          <w:sz w:val="13"/>
        </w:rPr>
        <w:t> </w:t>
      </w:r>
      <w:r>
        <w:rPr>
          <w:w w:val="105"/>
          <w:sz w:val="13"/>
        </w:rPr>
        <w:t>154.</w:t>
      </w:r>
    </w:p>
    <w:p>
      <w:pPr>
        <w:pStyle w:val="ListParagraph"/>
        <w:numPr>
          <w:ilvl w:val="0"/>
          <w:numId w:val="204"/>
        </w:numPr>
        <w:tabs>
          <w:tab w:pos="2381" w:val="left" w:leader="none"/>
          <w:tab w:pos="2382" w:val="left" w:leader="none"/>
        </w:tabs>
        <w:spacing w:line="240" w:lineRule="auto" w:before="5" w:after="0"/>
        <w:ind w:left="2381" w:right="0" w:hanging="794"/>
        <w:jc w:val="left"/>
        <w:rPr>
          <w:sz w:val="13"/>
        </w:rPr>
      </w:pPr>
      <w:r>
        <w:rPr>
          <w:w w:val="105"/>
          <w:sz w:val="13"/>
        </w:rPr>
        <w:t>Submission </w:t>
      </w:r>
      <w:r>
        <w:rPr>
          <w:spacing w:val="-4"/>
          <w:w w:val="105"/>
          <w:sz w:val="13"/>
        </w:rPr>
        <w:t>12 </w:t>
      </w:r>
      <w:r>
        <w:rPr>
          <w:spacing w:val="3"/>
          <w:w w:val="105"/>
          <w:sz w:val="13"/>
        </w:rPr>
        <w:t>(Dr </w:t>
      </w:r>
      <w:r>
        <w:rPr>
          <w:w w:val="105"/>
          <w:sz w:val="13"/>
        </w:rPr>
        <w:t>Gregory Moore</w:t>
      </w:r>
      <w:r>
        <w:rPr>
          <w:spacing w:val="-3"/>
          <w:w w:val="105"/>
          <w:sz w:val="13"/>
        </w:rPr>
        <w:t> </w:t>
      </w:r>
      <w:r>
        <w:rPr>
          <w:spacing w:val="2"/>
          <w:w w:val="105"/>
          <w:sz w:val="13"/>
        </w:rPr>
        <w:t>OAM).</w:t>
      </w:r>
    </w:p>
    <w:p>
      <w:pPr>
        <w:pStyle w:val="ListParagraph"/>
        <w:numPr>
          <w:ilvl w:val="0"/>
          <w:numId w:val="204"/>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204"/>
        </w:numPr>
        <w:tabs>
          <w:tab w:pos="2381" w:val="left" w:leader="none"/>
          <w:tab w:pos="2382" w:val="left" w:leader="none"/>
        </w:tabs>
        <w:spacing w:line="240" w:lineRule="auto" w:before="2" w:after="0"/>
        <w:ind w:left="2381" w:right="281" w:hanging="794"/>
        <w:jc w:val="left"/>
        <w:rPr>
          <w:sz w:val="13"/>
        </w:rPr>
      </w:pPr>
      <w:r>
        <w:rPr>
          <w:w w:val="105"/>
          <w:sz w:val="13"/>
        </w:rPr>
        <w:t>Submission </w:t>
      </w:r>
      <w:r>
        <w:rPr>
          <w:spacing w:val="-4"/>
          <w:w w:val="105"/>
          <w:sz w:val="13"/>
        </w:rPr>
        <w:t>12 </w:t>
      </w:r>
      <w:r>
        <w:rPr>
          <w:spacing w:val="3"/>
          <w:w w:val="105"/>
          <w:sz w:val="13"/>
        </w:rPr>
        <w:t>(Dr </w:t>
      </w:r>
      <w:r>
        <w:rPr>
          <w:w w:val="105"/>
          <w:sz w:val="13"/>
        </w:rPr>
        <w:t>Gregory Moore </w:t>
      </w:r>
      <w:r>
        <w:rPr>
          <w:spacing w:val="2"/>
          <w:w w:val="105"/>
          <w:sz w:val="13"/>
        </w:rPr>
        <w:t>OAM). </w:t>
      </w:r>
      <w:r>
        <w:rPr>
          <w:w w:val="105"/>
          <w:sz w:val="13"/>
        </w:rPr>
        <w:t>Different methods will produce varying results, and  different  practitioners  applying  the same method will also produce varying results: Gary Watson, ‘Comparing Formula Methods of Tree Appraisal’ (2002) 28(1) </w:t>
      </w:r>
      <w:r>
        <w:rPr>
          <w:i/>
          <w:w w:val="105"/>
          <w:sz w:val="13"/>
        </w:rPr>
        <w:t>Journal of </w:t>
      </w:r>
      <w:r>
        <w:rPr>
          <w:i/>
          <w:w w:val="105"/>
          <w:sz w:val="13"/>
        </w:rPr>
        <w:t>Aboriculture</w:t>
      </w:r>
      <w:r>
        <w:rPr>
          <w:i/>
          <w:spacing w:val="4"/>
          <w:w w:val="105"/>
          <w:sz w:val="13"/>
        </w:rPr>
        <w:t> </w:t>
      </w:r>
      <w:r>
        <w:rPr>
          <w:w w:val="105"/>
          <w:sz w:val="13"/>
        </w:rPr>
        <w:t>14.</w:t>
      </w:r>
    </w:p>
    <w:p>
      <w:pPr>
        <w:pStyle w:val="ListParagraph"/>
        <w:numPr>
          <w:ilvl w:val="0"/>
          <w:numId w:val="204"/>
        </w:numPr>
        <w:tabs>
          <w:tab w:pos="2381" w:val="left" w:leader="none"/>
          <w:tab w:pos="2382" w:val="left" w:leader="none"/>
        </w:tabs>
        <w:spacing w:line="240" w:lineRule="auto" w:before="4" w:after="0"/>
        <w:ind w:left="2381" w:right="0" w:hanging="794"/>
        <w:jc w:val="left"/>
        <w:rPr>
          <w:sz w:val="13"/>
        </w:rPr>
      </w:pPr>
      <w:r>
        <w:rPr>
          <w:w w:val="105"/>
          <w:sz w:val="13"/>
        </w:rPr>
        <w:t>Explanatory</w:t>
      </w:r>
      <w:r>
        <w:rPr>
          <w:spacing w:val="4"/>
          <w:w w:val="105"/>
          <w:sz w:val="13"/>
        </w:rPr>
        <w:t> </w:t>
      </w:r>
      <w:r>
        <w:rPr>
          <w:w w:val="105"/>
          <w:sz w:val="13"/>
        </w:rPr>
        <w:t>Notes,</w:t>
      </w:r>
      <w:r>
        <w:rPr>
          <w:spacing w:val="5"/>
          <w:w w:val="105"/>
          <w:sz w:val="13"/>
        </w:rPr>
        <w:t> </w:t>
      </w:r>
      <w:r>
        <w:rPr>
          <w:w w:val="105"/>
          <w:sz w:val="13"/>
        </w:rPr>
        <w:t>Neighbourhood</w:t>
      </w:r>
      <w:r>
        <w:rPr>
          <w:spacing w:val="5"/>
          <w:w w:val="105"/>
          <w:sz w:val="13"/>
        </w:rPr>
        <w:t> </w:t>
      </w:r>
      <w:r>
        <w:rPr>
          <w:w w:val="105"/>
          <w:sz w:val="13"/>
        </w:rPr>
        <w:t>Disputes</w:t>
      </w:r>
      <w:r>
        <w:rPr>
          <w:spacing w:val="5"/>
          <w:w w:val="105"/>
          <w:sz w:val="13"/>
        </w:rPr>
        <w:t> </w:t>
      </w:r>
      <w:r>
        <w:rPr>
          <w:w w:val="105"/>
          <w:sz w:val="13"/>
        </w:rPr>
        <w:t>Resolution</w:t>
      </w:r>
      <w:r>
        <w:rPr>
          <w:spacing w:val="4"/>
          <w:w w:val="105"/>
          <w:sz w:val="13"/>
        </w:rPr>
        <w:t> </w:t>
      </w:r>
      <w:r>
        <w:rPr>
          <w:w w:val="105"/>
          <w:sz w:val="13"/>
        </w:rPr>
        <w:t>Bill</w:t>
      </w:r>
      <w:r>
        <w:rPr>
          <w:spacing w:val="5"/>
          <w:w w:val="105"/>
          <w:sz w:val="13"/>
        </w:rPr>
        <w:t> </w:t>
      </w:r>
      <w:r>
        <w:rPr>
          <w:w w:val="105"/>
          <w:sz w:val="13"/>
        </w:rPr>
        <w:t>2010</w:t>
      </w:r>
      <w:r>
        <w:rPr>
          <w:spacing w:val="5"/>
          <w:w w:val="105"/>
          <w:sz w:val="13"/>
        </w:rPr>
        <w:t> </w:t>
      </w:r>
      <w:r>
        <w:rPr>
          <w:spacing w:val="2"/>
          <w:w w:val="105"/>
          <w:sz w:val="13"/>
        </w:rPr>
        <w:t>(Qld)</w:t>
      </w:r>
      <w:r>
        <w:rPr>
          <w:spacing w:val="5"/>
          <w:w w:val="105"/>
          <w:sz w:val="13"/>
        </w:rPr>
        <w:t> </w:t>
      </w:r>
      <w:r>
        <w:rPr>
          <w:w w:val="105"/>
          <w:sz w:val="13"/>
        </w:rPr>
        <w:t>cl</w:t>
      </w:r>
      <w:r>
        <w:rPr>
          <w:spacing w:val="4"/>
          <w:w w:val="105"/>
          <w:sz w:val="13"/>
        </w:rPr>
        <w:t> </w:t>
      </w:r>
      <w:r>
        <w:rPr>
          <w:w w:val="105"/>
          <w:sz w:val="13"/>
        </w:rPr>
        <w:t>73.</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22"/>
        </w:rPr>
      </w:pPr>
    </w:p>
    <w:p>
      <w:pPr>
        <w:spacing w:before="0"/>
        <w:ind w:left="611" w:right="575" w:firstLine="0"/>
        <w:jc w:val="center"/>
        <w:rPr>
          <w:b/>
          <w:sz w:val="24"/>
        </w:rPr>
      </w:pPr>
      <w:r>
        <w:rPr>
          <w:b/>
          <w:color w:val="658464"/>
          <w:w w:val="110"/>
          <w:sz w:val="24"/>
        </w:rPr>
        <w:t>295</w:t>
      </w:r>
    </w:p>
    <w:p>
      <w:pPr>
        <w:spacing w:after="0"/>
        <w:jc w:val="center"/>
        <w:rPr>
          <w:sz w:val="24"/>
        </w:rPr>
        <w:sectPr>
          <w:type w:val="continuous"/>
          <w:pgSz w:w="11910" w:h="16840"/>
          <w:pgMar w:top="300" w:bottom="280" w:left="0" w:right="0"/>
          <w:cols w:num="2" w:equalWidth="0">
            <w:col w:w="10242" w:space="40"/>
            <w:col w:w="1628"/>
          </w:cols>
        </w:sectPr>
      </w:pPr>
    </w:p>
    <w:p>
      <w:pPr>
        <w:pStyle w:val="BodyText"/>
        <w:spacing w:before="9"/>
        <w:rPr>
          <w:b/>
          <w:sz w:val="22"/>
        </w:rPr>
      </w:pPr>
    </w:p>
    <w:p>
      <w:pPr>
        <w:pStyle w:val="ListParagraph"/>
        <w:numPr>
          <w:ilvl w:val="1"/>
          <w:numId w:val="16"/>
        </w:numPr>
        <w:tabs>
          <w:tab w:pos="2380" w:val="left" w:leader="none"/>
          <w:tab w:pos="2381" w:val="left" w:leader="none"/>
        </w:tabs>
        <w:spacing w:line="242" w:lineRule="auto" w:before="92" w:after="0"/>
        <w:ind w:left="2381" w:right="1968" w:hanging="794"/>
        <w:jc w:val="left"/>
        <w:rPr>
          <w:sz w:val="21"/>
        </w:rPr>
      </w:pPr>
      <w:r>
        <w:rPr>
          <w:w w:val="105"/>
          <w:sz w:val="21"/>
        </w:rPr>
        <w:t>Dr Gregory Moore OAM also suggested a scheme </w:t>
      </w:r>
      <w:r>
        <w:rPr>
          <w:spacing w:val="-3"/>
          <w:w w:val="105"/>
          <w:sz w:val="21"/>
        </w:rPr>
        <w:t>to </w:t>
      </w:r>
      <w:r>
        <w:rPr>
          <w:w w:val="105"/>
          <w:sz w:val="21"/>
        </w:rPr>
        <w:t>offer </w:t>
      </w:r>
      <w:r>
        <w:rPr>
          <w:spacing w:val="-3"/>
          <w:w w:val="105"/>
          <w:sz w:val="21"/>
        </w:rPr>
        <w:t>rate remissions </w:t>
      </w:r>
      <w:r>
        <w:rPr>
          <w:w w:val="105"/>
          <w:sz w:val="21"/>
        </w:rPr>
        <w:t>or tax deductions</w:t>
      </w:r>
      <w:r>
        <w:rPr>
          <w:spacing w:val="-13"/>
          <w:w w:val="105"/>
          <w:sz w:val="21"/>
        </w:rPr>
        <w:t> </w:t>
      </w:r>
      <w:r>
        <w:rPr>
          <w:spacing w:val="-3"/>
          <w:w w:val="105"/>
          <w:sz w:val="21"/>
        </w:rPr>
        <w:t>for</w:t>
      </w:r>
      <w:r>
        <w:rPr>
          <w:spacing w:val="-12"/>
          <w:w w:val="105"/>
          <w:sz w:val="21"/>
        </w:rPr>
        <w:t> </w:t>
      </w:r>
      <w:r>
        <w:rPr>
          <w:w w:val="105"/>
          <w:sz w:val="21"/>
        </w:rPr>
        <w:t>tree-related</w:t>
      </w:r>
      <w:r>
        <w:rPr>
          <w:spacing w:val="-12"/>
          <w:w w:val="105"/>
          <w:sz w:val="21"/>
        </w:rPr>
        <w:t> </w:t>
      </w:r>
      <w:r>
        <w:rPr>
          <w:w w:val="105"/>
          <w:sz w:val="21"/>
        </w:rPr>
        <w:t>expenses</w:t>
      </w:r>
      <w:r>
        <w:rPr>
          <w:spacing w:val="-12"/>
          <w:w w:val="105"/>
          <w:sz w:val="21"/>
        </w:rPr>
        <w:t> </w:t>
      </w:r>
      <w:r>
        <w:rPr>
          <w:spacing w:val="-3"/>
          <w:w w:val="105"/>
          <w:sz w:val="21"/>
        </w:rPr>
        <w:t>to</w:t>
      </w:r>
      <w:r>
        <w:rPr>
          <w:spacing w:val="-12"/>
          <w:w w:val="105"/>
          <w:sz w:val="21"/>
        </w:rPr>
        <w:t> </w:t>
      </w:r>
      <w:r>
        <w:rPr>
          <w:spacing w:val="-3"/>
          <w:w w:val="105"/>
          <w:sz w:val="21"/>
        </w:rPr>
        <w:t>ensure</w:t>
      </w:r>
      <w:r>
        <w:rPr>
          <w:spacing w:val="-12"/>
          <w:w w:val="105"/>
          <w:sz w:val="21"/>
        </w:rPr>
        <w:t> </w:t>
      </w:r>
      <w:r>
        <w:rPr>
          <w:spacing w:val="-3"/>
          <w:w w:val="105"/>
          <w:sz w:val="21"/>
        </w:rPr>
        <w:t>that</w:t>
      </w:r>
      <w:r>
        <w:rPr>
          <w:spacing w:val="-13"/>
          <w:w w:val="105"/>
          <w:sz w:val="21"/>
        </w:rPr>
        <w:t> </w:t>
      </w:r>
      <w:r>
        <w:rPr>
          <w:w w:val="105"/>
          <w:sz w:val="21"/>
        </w:rPr>
        <w:t>owners</w:t>
      </w:r>
      <w:r>
        <w:rPr>
          <w:spacing w:val="-12"/>
          <w:w w:val="105"/>
          <w:sz w:val="21"/>
        </w:rPr>
        <w:t> </w:t>
      </w:r>
      <w:r>
        <w:rPr>
          <w:spacing w:val="-3"/>
          <w:w w:val="105"/>
          <w:sz w:val="21"/>
        </w:rPr>
        <w:t>were</w:t>
      </w:r>
      <w:r>
        <w:rPr>
          <w:spacing w:val="-12"/>
          <w:w w:val="105"/>
          <w:sz w:val="21"/>
        </w:rPr>
        <w:t> </w:t>
      </w:r>
      <w:r>
        <w:rPr>
          <w:w w:val="105"/>
          <w:sz w:val="21"/>
        </w:rPr>
        <w:t>more</w:t>
      </w:r>
      <w:r>
        <w:rPr>
          <w:spacing w:val="-12"/>
          <w:w w:val="105"/>
          <w:sz w:val="21"/>
        </w:rPr>
        <w:t> </w:t>
      </w:r>
      <w:r>
        <w:rPr>
          <w:spacing w:val="-3"/>
          <w:w w:val="105"/>
          <w:sz w:val="21"/>
        </w:rPr>
        <w:t>invested</w:t>
      </w:r>
      <w:r>
        <w:rPr>
          <w:spacing w:val="-12"/>
          <w:w w:val="105"/>
          <w:sz w:val="21"/>
        </w:rPr>
        <w:t> </w:t>
      </w:r>
      <w:r>
        <w:rPr>
          <w:w w:val="105"/>
          <w:sz w:val="21"/>
        </w:rPr>
        <w:t>in</w:t>
      </w:r>
      <w:r>
        <w:rPr>
          <w:spacing w:val="-12"/>
          <w:w w:val="105"/>
          <w:sz w:val="21"/>
        </w:rPr>
        <w:t> </w:t>
      </w:r>
      <w:r>
        <w:rPr>
          <w:w w:val="105"/>
          <w:sz w:val="21"/>
        </w:rPr>
        <w:t>the </w:t>
      </w:r>
      <w:r>
        <w:rPr>
          <w:spacing w:val="-3"/>
          <w:w w:val="105"/>
          <w:sz w:val="21"/>
        </w:rPr>
        <w:t>management </w:t>
      </w:r>
      <w:r>
        <w:rPr>
          <w:w w:val="105"/>
          <w:sz w:val="21"/>
        </w:rPr>
        <w:t>and </w:t>
      </w:r>
      <w:r>
        <w:rPr>
          <w:spacing w:val="-3"/>
          <w:w w:val="105"/>
          <w:sz w:val="21"/>
        </w:rPr>
        <w:t>maintenance </w:t>
      </w:r>
      <w:r>
        <w:rPr>
          <w:w w:val="105"/>
          <w:sz w:val="21"/>
        </w:rPr>
        <w:t>of trees and in </w:t>
      </w:r>
      <w:r>
        <w:rPr>
          <w:spacing w:val="-3"/>
          <w:w w:val="105"/>
          <w:sz w:val="21"/>
        </w:rPr>
        <w:t>recognition </w:t>
      </w:r>
      <w:r>
        <w:rPr>
          <w:w w:val="105"/>
          <w:sz w:val="21"/>
        </w:rPr>
        <w:t>of the benefit </w:t>
      </w:r>
      <w:r>
        <w:rPr>
          <w:spacing w:val="-3"/>
          <w:w w:val="105"/>
          <w:sz w:val="21"/>
        </w:rPr>
        <w:t>that </w:t>
      </w:r>
      <w:r>
        <w:rPr>
          <w:w w:val="105"/>
          <w:sz w:val="21"/>
        </w:rPr>
        <w:t>trees provide </w:t>
      </w:r>
      <w:r>
        <w:rPr>
          <w:spacing w:val="-3"/>
          <w:w w:val="105"/>
          <w:sz w:val="21"/>
        </w:rPr>
        <w:t>to </w:t>
      </w:r>
      <w:r>
        <w:rPr>
          <w:w w:val="105"/>
          <w:sz w:val="21"/>
        </w:rPr>
        <w:t>the </w:t>
      </w:r>
      <w:r>
        <w:rPr>
          <w:spacing w:val="-4"/>
          <w:w w:val="105"/>
          <w:sz w:val="21"/>
        </w:rPr>
        <w:t>community. </w:t>
      </w:r>
      <w:r>
        <w:rPr>
          <w:w w:val="105"/>
          <w:sz w:val="21"/>
        </w:rPr>
        <w:t>Dr Moore</w:t>
      </w:r>
      <w:r>
        <w:rPr>
          <w:spacing w:val="31"/>
          <w:w w:val="105"/>
          <w:sz w:val="21"/>
        </w:rPr>
        <w:t> </w:t>
      </w:r>
      <w:r>
        <w:rPr>
          <w:w w:val="105"/>
          <w:sz w:val="21"/>
        </w:rPr>
        <w:t>explained:</w:t>
      </w:r>
    </w:p>
    <w:p>
      <w:pPr>
        <w:spacing w:line="254" w:lineRule="auto" w:before="134"/>
        <w:ind w:left="2834" w:right="1731" w:firstLine="0"/>
        <w:jc w:val="left"/>
        <w:rPr>
          <w:sz w:val="20"/>
        </w:rPr>
      </w:pPr>
      <w:r>
        <w:rPr>
          <w:sz w:val="20"/>
        </w:rPr>
        <w:t>There is an issue that trees provide community benefits to </w:t>
      </w:r>
      <w:r>
        <w:rPr>
          <w:spacing w:val="-3"/>
          <w:sz w:val="20"/>
        </w:rPr>
        <w:t>all,  </w:t>
      </w:r>
      <w:r>
        <w:rPr>
          <w:sz w:val="20"/>
        </w:rPr>
        <w:t>but costs are borne by    the owner of the </w:t>
      </w:r>
      <w:r>
        <w:rPr>
          <w:spacing w:val="-3"/>
          <w:sz w:val="20"/>
        </w:rPr>
        <w:t>tree. </w:t>
      </w:r>
      <w:r>
        <w:rPr>
          <w:sz w:val="20"/>
        </w:rPr>
        <w:t>If the community benefits are of such significance then there  needs to be some community contribution to costs. While subsidies or grants are often suggested, I tend to </w:t>
      </w:r>
      <w:r>
        <w:rPr>
          <w:spacing w:val="-3"/>
          <w:sz w:val="20"/>
        </w:rPr>
        <w:t>prefer </w:t>
      </w:r>
      <w:r>
        <w:rPr>
          <w:sz w:val="20"/>
        </w:rPr>
        <w:t>some sort of concession over the longer term such as a remission</w:t>
      </w:r>
      <w:r>
        <w:rPr>
          <w:spacing w:val="13"/>
          <w:sz w:val="20"/>
        </w:rPr>
        <w:t> </w:t>
      </w:r>
      <w:r>
        <w:rPr>
          <w:sz w:val="20"/>
        </w:rPr>
        <w:t>in</w:t>
      </w:r>
      <w:r>
        <w:rPr>
          <w:spacing w:val="14"/>
          <w:sz w:val="20"/>
        </w:rPr>
        <w:t> </w:t>
      </w:r>
      <w:r>
        <w:rPr>
          <w:spacing w:val="-3"/>
          <w:sz w:val="20"/>
        </w:rPr>
        <w:t>rates</w:t>
      </w:r>
      <w:r>
        <w:rPr>
          <w:spacing w:val="14"/>
          <w:sz w:val="20"/>
        </w:rPr>
        <w:t> </w:t>
      </w:r>
      <w:r>
        <w:rPr>
          <w:sz w:val="20"/>
        </w:rPr>
        <w:t>or</w:t>
      </w:r>
      <w:r>
        <w:rPr>
          <w:spacing w:val="13"/>
          <w:sz w:val="20"/>
        </w:rPr>
        <w:t> </w:t>
      </w:r>
      <w:r>
        <w:rPr>
          <w:sz w:val="20"/>
        </w:rPr>
        <w:t>tax</w:t>
      </w:r>
      <w:r>
        <w:rPr>
          <w:spacing w:val="14"/>
          <w:sz w:val="20"/>
        </w:rPr>
        <w:t> </w:t>
      </w:r>
      <w:r>
        <w:rPr>
          <w:sz w:val="20"/>
        </w:rPr>
        <w:t>deductibility</w:t>
      </w:r>
      <w:r>
        <w:rPr>
          <w:spacing w:val="14"/>
          <w:sz w:val="20"/>
        </w:rPr>
        <w:t> </w:t>
      </w:r>
      <w:r>
        <w:rPr>
          <w:sz w:val="20"/>
        </w:rPr>
        <w:t>for</w:t>
      </w:r>
      <w:r>
        <w:rPr>
          <w:spacing w:val="14"/>
          <w:sz w:val="20"/>
        </w:rPr>
        <w:t> </w:t>
      </w:r>
      <w:r>
        <w:rPr>
          <w:sz w:val="20"/>
        </w:rPr>
        <w:t>tree</w:t>
      </w:r>
      <w:r>
        <w:rPr>
          <w:spacing w:val="13"/>
          <w:sz w:val="20"/>
        </w:rPr>
        <w:t> </w:t>
      </w:r>
      <w:r>
        <w:rPr>
          <w:spacing w:val="-3"/>
          <w:sz w:val="20"/>
        </w:rPr>
        <w:t>related</w:t>
      </w:r>
      <w:r>
        <w:rPr>
          <w:spacing w:val="14"/>
          <w:sz w:val="20"/>
        </w:rPr>
        <w:t> </w:t>
      </w:r>
      <w:r>
        <w:rPr>
          <w:sz w:val="20"/>
        </w:rPr>
        <w:t>expenses.</w:t>
      </w:r>
      <w:r>
        <w:rPr>
          <w:spacing w:val="14"/>
          <w:sz w:val="20"/>
        </w:rPr>
        <w:t> </w:t>
      </w:r>
      <w:r>
        <w:rPr>
          <w:sz w:val="20"/>
        </w:rPr>
        <w:t>This</w:t>
      </w:r>
      <w:r>
        <w:rPr>
          <w:spacing w:val="14"/>
          <w:sz w:val="20"/>
        </w:rPr>
        <w:t> </w:t>
      </w:r>
      <w:r>
        <w:rPr>
          <w:sz w:val="20"/>
        </w:rPr>
        <w:t>would</w:t>
      </w:r>
      <w:r>
        <w:rPr>
          <w:spacing w:val="13"/>
          <w:sz w:val="20"/>
        </w:rPr>
        <w:t> </w:t>
      </w:r>
      <w:r>
        <w:rPr>
          <w:sz w:val="20"/>
        </w:rPr>
        <w:t>allow</w:t>
      </w:r>
      <w:r>
        <w:rPr>
          <w:spacing w:val="14"/>
          <w:sz w:val="20"/>
        </w:rPr>
        <w:t> </w:t>
      </w:r>
      <w:r>
        <w:rPr>
          <w:sz w:val="20"/>
        </w:rPr>
        <w:t>proper</w:t>
      </w:r>
    </w:p>
    <w:p>
      <w:pPr>
        <w:spacing w:line="254" w:lineRule="auto" w:before="6"/>
        <w:ind w:left="2834" w:right="1523" w:firstLine="0"/>
        <w:jc w:val="left"/>
        <w:rPr>
          <w:sz w:val="11"/>
        </w:rPr>
      </w:pPr>
      <w:r>
        <w:rPr>
          <w:spacing w:val="-3"/>
          <w:w w:val="105"/>
          <w:sz w:val="20"/>
        </w:rPr>
        <w:t>maintenance </w:t>
      </w:r>
      <w:r>
        <w:rPr>
          <w:w w:val="105"/>
          <w:sz w:val="20"/>
        </w:rPr>
        <w:t>of the tree over the longer term of its lifespan and give the owner a </w:t>
      </w:r>
      <w:r>
        <w:rPr>
          <w:spacing w:val="-3"/>
          <w:w w:val="105"/>
          <w:sz w:val="20"/>
        </w:rPr>
        <w:t>greater </w:t>
      </w:r>
      <w:r>
        <w:rPr>
          <w:w w:val="105"/>
          <w:sz w:val="20"/>
        </w:rPr>
        <w:t>stake in its proper management. In short the tree becomes recognised as the asset that it is.</w:t>
      </w:r>
      <w:r>
        <w:rPr>
          <w:w w:val="105"/>
          <w:position w:val="7"/>
          <w:sz w:val="11"/>
        </w:rPr>
        <w:t>56</w:t>
      </w:r>
    </w:p>
    <w:p>
      <w:pPr>
        <w:pStyle w:val="ListParagraph"/>
        <w:numPr>
          <w:ilvl w:val="1"/>
          <w:numId w:val="16"/>
        </w:numPr>
        <w:tabs>
          <w:tab w:pos="2381" w:val="left" w:leader="none"/>
          <w:tab w:pos="2382" w:val="left" w:leader="none"/>
        </w:tabs>
        <w:spacing w:line="242" w:lineRule="auto" w:before="114" w:after="0"/>
        <w:ind w:left="2381" w:right="2080" w:hanging="794"/>
        <w:jc w:val="left"/>
        <w:rPr>
          <w:sz w:val="21"/>
        </w:rPr>
      </w:pPr>
      <w:r>
        <w:rPr>
          <w:w w:val="105"/>
          <w:sz w:val="21"/>
        </w:rPr>
        <w:t>The </w:t>
      </w:r>
      <w:r>
        <w:rPr>
          <w:spacing w:val="-3"/>
          <w:w w:val="105"/>
          <w:sz w:val="21"/>
        </w:rPr>
        <w:t>Commission </w:t>
      </w:r>
      <w:r>
        <w:rPr>
          <w:w w:val="105"/>
          <w:sz w:val="21"/>
        </w:rPr>
        <w:t>acknowledges Dr </w:t>
      </w:r>
      <w:r>
        <w:rPr>
          <w:spacing w:val="-3"/>
          <w:w w:val="105"/>
          <w:sz w:val="21"/>
        </w:rPr>
        <w:t>Moore’s </w:t>
      </w:r>
      <w:r>
        <w:rPr>
          <w:w w:val="105"/>
          <w:sz w:val="21"/>
        </w:rPr>
        <w:t>suggestion but </w:t>
      </w:r>
      <w:r>
        <w:rPr>
          <w:spacing w:val="-3"/>
          <w:w w:val="105"/>
          <w:sz w:val="21"/>
        </w:rPr>
        <w:t>notes that </w:t>
      </w:r>
      <w:r>
        <w:rPr>
          <w:w w:val="105"/>
          <w:sz w:val="21"/>
        </w:rPr>
        <w:t>it is beyond the scope of the review </w:t>
      </w:r>
      <w:r>
        <w:rPr>
          <w:spacing w:val="-3"/>
          <w:w w:val="105"/>
          <w:sz w:val="21"/>
        </w:rPr>
        <w:t>to </w:t>
      </w:r>
      <w:r>
        <w:rPr>
          <w:w w:val="105"/>
          <w:sz w:val="21"/>
        </w:rPr>
        <w:t>report more broadly about the protection of vegetation in our </w:t>
      </w:r>
      <w:r>
        <w:rPr>
          <w:spacing w:val="-3"/>
          <w:w w:val="105"/>
          <w:sz w:val="21"/>
        </w:rPr>
        <w:t>communities. </w:t>
      </w:r>
      <w:r>
        <w:rPr>
          <w:w w:val="105"/>
          <w:sz w:val="21"/>
        </w:rPr>
        <w:t>These broader </w:t>
      </w:r>
      <w:r>
        <w:rPr>
          <w:spacing w:val="-3"/>
          <w:w w:val="105"/>
          <w:sz w:val="21"/>
        </w:rPr>
        <w:t>considerations are included </w:t>
      </w:r>
      <w:r>
        <w:rPr>
          <w:w w:val="105"/>
          <w:sz w:val="21"/>
        </w:rPr>
        <w:t>in </w:t>
      </w:r>
      <w:r>
        <w:rPr>
          <w:spacing w:val="-3"/>
          <w:w w:val="105"/>
          <w:sz w:val="21"/>
        </w:rPr>
        <w:t>planning </w:t>
      </w:r>
      <w:r>
        <w:rPr>
          <w:w w:val="105"/>
          <w:sz w:val="21"/>
        </w:rPr>
        <w:t>schemes in</w:t>
      </w:r>
      <w:r>
        <w:rPr>
          <w:spacing w:val="-12"/>
          <w:w w:val="105"/>
          <w:sz w:val="21"/>
        </w:rPr>
        <w:t> </w:t>
      </w:r>
      <w:r>
        <w:rPr>
          <w:w w:val="105"/>
          <w:sz w:val="21"/>
        </w:rPr>
        <w:t>the</w:t>
      </w:r>
      <w:r>
        <w:rPr>
          <w:spacing w:val="-12"/>
          <w:w w:val="105"/>
          <w:sz w:val="21"/>
        </w:rPr>
        <w:t> </w:t>
      </w:r>
      <w:r>
        <w:rPr>
          <w:w w:val="105"/>
          <w:sz w:val="21"/>
        </w:rPr>
        <w:t>Victorian</w:t>
      </w:r>
      <w:r>
        <w:rPr>
          <w:spacing w:val="-11"/>
          <w:w w:val="105"/>
          <w:sz w:val="21"/>
        </w:rPr>
        <w:t> </w:t>
      </w:r>
      <w:r>
        <w:rPr>
          <w:w w:val="105"/>
          <w:sz w:val="21"/>
        </w:rPr>
        <w:t>community</w:t>
      </w:r>
      <w:r>
        <w:rPr>
          <w:spacing w:val="-12"/>
          <w:w w:val="105"/>
          <w:sz w:val="21"/>
        </w:rPr>
        <w:t> </w:t>
      </w:r>
      <w:r>
        <w:rPr>
          <w:w w:val="105"/>
          <w:sz w:val="21"/>
        </w:rPr>
        <w:t>and</w:t>
      </w:r>
      <w:r>
        <w:rPr>
          <w:spacing w:val="-11"/>
          <w:w w:val="105"/>
          <w:sz w:val="21"/>
        </w:rPr>
        <w:t> </w:t>
      </w:r>
      <w:r>
        <w:rPr>
          <w:spacing w:val="-3"/>
          <w:w w:val="105"/>
          <w:sz w:val="21"/>
        </w:rPr>
        <w:t>environmental</w:t>
      </w:r>
      <w:r>
        <w:rPr>
          <w:spacing w:val="-12"/>
          <w:w w:val="105"/>
          <w:sz w:val="21"/>
        </w:rPr>
        <w:t> </w:t>
      </w:r>
      <w:r>
        <w:rPr>
          <w:w w:val="105"/>
          <w:sz w:val="21"/>
        </w:rPr>
        <w:t>protection</w:t>
      </w:r>
      <w:r>
        <w:rPr>
          <w:spacing w:val="-11"/>
          <w:w w:val="105"/>
          <w:sz w:val="21"/>
        </w:rPr>
        <w:t> </w:t>
      </w:r>
      <w:r>
        <w:rPr>
          <w:spacing w:val="-3"/>
          <w:w w:val="105"/>
          <w:sz w:val="21"/>
        </w:rPr>
        <w:t>legislation</w:t>
      </w:r>
      <w:r>
        <w:rPr>
          <w:spacing w:val="-12"/>
          <w:w w:val="105"/>
          <w:sz w:val="21"/>
        </w:rPr>
        <w:t> </w:t>
      </w:r>
      <w:r>
        <w:rPr>
          <w:w w:val="105"/>
          <w:sz w:val="21"/>
        </w:rPr>
        <w:t>at</w:t>
      </w:r>
      <w:r>
        <w:rPr>
          <w:spacing w:val="-11"/>
          <w:w w:val="105"/>
          <w:sz w:val="21"/>
        </w:rPr>
        <w:t> </w:t>
      </w:r>
      <w:r>
        <w:rPr>
          <w:w w:val="105"/>
          <w:sz w:val="21"/>
        </w:rPr>
        <w:t>the</w:t>
      </w:r>
      <w:r>
        <w:rPr>
          <w:spacing w:val="-12"/>
          <w:w w:val="105"/>
          <w:sz w:val="21"/>
        </w:rPr>
        <w:t> </w:t>
      </w:r>
      <w:r>
        <w:rPr>
          <w:w w:val="105"/>
          <w:sz w:val="21"/>
        </w:rPr>
        <w:t>state</w:t>
      </w:r>
      <w:r>
        <w:rPr>
          <w:spacing w:val="-11"/>
          <w:w w:val="105"/>
          <w:sz w:val="21"/>
        </w:rPr>
        <w:t> </w:t>
      </w:r>
      <w:r>
        <w:rPr>
          <w:w w:val="105"/>
          <w:sz w:val="21"/>
        </w:rPr>
        <w:t>and </w:t>
      </w:r>
      <w:r>
        <w:rPr>
          <w:spacing w:val="-4"/>
          <w:w w:val="105"/>
          <w:sz w:val="21"/>
        </w:rPr>
        <w:t>Commonwealth</w:t>
      </w:r>
      <w:r>
        <w:rPr>
          <w:spacing w:val="5"/>
          <w:w w:val="105"/>
          <w:sz w:val="21"/>
        </w:rPr>
        <w:t> </w:t>
      </w:r>
      <w:r>
        <w:rPr>
          <w:spacing w:val="-3"/>
          <w:w w:val="105"/>
          <w:sz w:val="21"/>
        </w:rPr>
        <w:t>level.</w:t>
      </w:r>
      <w:r>
        <w:rPr>
          <w:spacing w:val="-3"/>
          <w:w w:val="105"/>
          <w:position w:val="7"/>
          <w:sz w:val="12"/>
        </w:rPr>
        <w:t>57</w:t>
      </w:r>
    </w:p>
    <w:p>
      <w:pPr>
        <w:pStyle w:val="ListParagraph"/>
        <w:numPr>
          <w:ilvl w:val="1"/>
          <w:numId w:val="16"/>
        </w:numPr>
        <w:tabs>
          <w:tab w:pos="2381" w:val="left" w:leader="none"/>
          <w:tab w:pos="2382" w:val="left" w:leader="none"/>
        </w:tabs>
        <w:spacing w:line="242" w:lineRule="auto" w:before="125" w:after="0"/>
        <w:ind w:left="2381" w:right="1702" w:hanging="794"/>
        <w:jc w:val="left"/>
        <w:rPr>
          <w:sz w:val="21"/>
        </w:rPr>
      </w:pPr>
      <w:r>
        <w:rPr>
          <w:spacing w:val="-4"/>
          <w:w w:val="105"/>
          <w:sz w:val="21"/>
        </w:rPr>
        <w:t>Chapter </w:t>
      </w:r>
      <w:r>
        <w:rPr>
          <w:w w:val="105"/>
          <w:sz w:val="21"/>
        </w:rPr>
        <w:t>8 </w:t>
      </w:r>
      <w:r>
        <w:rPr>
          <w:spacing w:val="-3"/>
          <w:w w:val="105"/>
          <w:sz w:val="21"/>
        </w:rPr>
        <w:t>recommends that </w:t>
      </w:r>
      <w:r>
        <w:rPr>
          <w:spacing w:val="-5"/>
          <w:w w:val="105"/>
          <w:sz w:val="21"/>
        </w:rPr>
        <w:t>VCAT  </w:t>
      </w:r>
      <w:r>
        <w:rPr>
          <w:spacing w:val="-3"/>
          <w:w w:val="105"/>
          <w:sz w:val="21"/>
        </w:rPr>
        <w:t>consider </w:t>
      </w:r>
      <w:r>
        <w:rPr>
          <w:w w:val="105"/>
          <w:sz w:val="21"/>
        </w:rPr>
        <w:t>the broader benefits of the </w:t>
      </w:r>
      <w:r>
        <w:rPr>
          <w:spacing w:val="-3"/>
          <w:w w:val="105"/>
          <w:sz w:val="21"/>
        </w:rPr>
        <w:t>tree, including  </w:t>
      </w:r>
      <w:r>
        <w:rPr>
          <w:w w:val="105"/>
          <w:sz w:val="21"/>
        </w:rPr>
        <w:t>its</w:t>
      </w:r>
      <w:r>
        <w:rPr>
          <w:spacing w:val="-7"/>
          <w:w w:val="105"/>
          <w:sz w:val="21"/>
        </w:rPr>
        <w:t> </w:t>
      </w:r>
      <w:r>
        <w:rPr>
          <w:spacing w:val="-3"/>
          <w:w w:val="105"/>
          <w:sz w:val="21"/>
        </w:rPr>
        <w:t>historical,</w:t>
      </w:r>
      <w:r>
        <w:rPr>
          <w:spacing w:val="-7"/>
          <w:w w:val="105"/>
          <w:sz w:val="21"/>
        </w:rPr>
        <w:t> </w:t>
      </w:r>
      <w:r>
        <w:rPr>
          <w:spacing w:val="-4"/>
          <w:w w:val="105"/>
          <w:sz w:val="21"/>
        </w:rPr>
        <w:t>cultural,</w:t>
      </w:r>
      <w:r>
        <w:rPr>
          <w:spacing w:val="-6"/>
          <w:w w:val="105"/>
          <w:sz w:val="21"/>
        </w:rPr>
        <w:t> </w:t>
      </w:r>
      <w:r>
        <w:rPr>
          <w:w w:val="105"/>
          <w:sz w:val="21"/>
        </w:rPr>
        <w:t>social</w:t>
      </w:r>
      <w:r>
        <w:rPr>
          <w:spacing w:val="-7"/>
          <w:w w:val="105"/>
          <w:sz w:val="21"/>
        </w:rPr>
        <w:t> </w:t>
      </w:r>
      <w:r>
        <w:rPr>
          <w:w w:val="105"/>
          <w:sz w:val="21"/>
        </w:rPr>
        <w:t>or</w:t>
      </w:r>
      <w:r>
        <w:rPr>
          <w:spacing w:val="-7"/>
          <w:w w:val="105"/>
          <w:sz w:val="21"/>
        </w:rPr>
        <w:t> </w:t>
      </w:r>
      <w:r>
        <w:rPr>
          <w:w w:val="105"/>
          <w:sz w:val="21"/>
        </w:rPr>
        <w:t>scientific</w:t>
      </w:r>
      <w:r>
        <w:rPr>
          <w:spacing w:val="-6"/>
          <w:w w:val="105"/>
          <w:sz w:val="21"/>
        </w:rPr>
        <w:t> </w:t>
      </w:r>
      <w:r>
        <w:rPr>
          <w:spacing w:val="-4"/>
          <w:w w:val="105"/>
          <w:sz w:val="21"/>
        </w:rPr>
        <w:t>value,</w:t>
      </w:r>
      <w:r>
        <w:rPr>
          <w:spacing w:val="-7"/>
          <w:w w:val="105"/>
          <w:sz w:val="21"/>
        </w:rPr>
        <w:t> </w:t>
      </w:r>
      <w:r>
        <w:rPr>
          <w:w w:val="105"/>
          <w:sz w:val="21"/>
        </w:rPr>
        <w:t>as</w:t>
      </w:r>
      <w:r>
        <w:rPr>
          <w:spacing w:val="-7"/>
          <w:w w:val="105"/>
          <w:sz w:val="21"/>
        </w:rPr>
        <w:t> </w:t>
      </w:r>
      <w:r>
        <w:rPr>
          <w:spacing w:val="-3"/>
          <w:w w:val="105"/>
          <w:sz w:val="21"/>
        </w:rPr>
        <w:t>well</w:t>
      </w:r>
      <w:r>
        <w:rPr>
          <w:spacing w:val="-6"/>
          <w:w w:val="105"/>
          <w:sz w:val="21"/>
        </w:rPr>
        <w:t> </w:t>
      </w:r>
      <w:r>
        <w:rPr>
          <w:w w:val="105"/>
          <w:sz w:val="21"/>
        </w:rPr>
        <w:t>as</w:t>
      </w:r>
      <w:r>
        <w:rPr>
          <w:spacing w:val="-7"/>
          <w:w w:val="105"/>
          <w:sz w:val="21"/>
        </w:rPr>
        <w:t> </w:t>
      </w:r>
      <w:r>
        <w:rPr>
          <w:w w:val="105"/>
          <w:sz w:val="21"/>
        </w:rPr>
        <w:t>the</w:t>
      </w:r>
      <w:r>
        <w:rPr>
          <w:spacing w:val="-7"/>
          <w:w w:val="105"/>
          <w:sz w:val="21"/>
        </w:rPr>
        <w:t> </w:t>
      </w:r>
      <w:r>
        <w:rPr>
          <w:spacing w:val="-3"/>
          <w:w w:val="105"/>
          <w:sz w:val="21"/>
        </w:rPr>
        <w:t>value</w:t>
      </w:r>
      <w:r>
        <w:rPr>
          <w:spacing w:val="-6"/>
          <w:w w:val="105"/>
          <w:sz w:val="21"/>
        </w:rPr>
        <w:t> </w:t>
      </w:r>
      <w:r>
        <w:rPr>
          <w:w w:val="105"/>
          <w:sz w:val="21"/>
        </w:rPr>
        <w:t>of</w:t>
      </w:r>
      <w:r>
        <w:rPr>
          <w:spacing w:val="-7"/>
          <w:w w:val="105"/>
          <w:sz w:val="21"/>
        </w:rPr>
        <w:t> </w:t>
      </w:r>
      <w:r>
        <w:rPr>
          <w:w w:val="105"/>
          <w:sz w:val="21"/>
        </w:rPr>
        <w:t>the</w:t>
      </w:r>
      <w:r>
        <w:rPr>
          <w:spacing w:val="-7"/>
          <w:w w:val="105"/>
          <w:sz w:val="21"/>
        </w:rPr>
        <w:t> </w:t>
      </w:r>
      <w:r>
        <w:rPr>
          <w:w w:val="105"/>
          <w:sz w:val="21"/>
        </w:rPr>
        <w:t>tree</w:t>
      </w:r>
      <w:r>
        <w:rPr>
          <w:spacing w:val="-6"/>
          <w:w w:val="105"/>
          <w:sz w:val="21"/>
        </w:rPr>
        <w:t> </w:t>
      </w:r>
      <w:r>
        <w:rPr>
          <w:w w:val="105"/>
          <w:sz w:val="21"/>
        </w:rPr>
        <w:t>as</w:t>
      </w:r>
      <w:r>
        <w:rPr>
          <w:spacing w:val="-7"/>
          <w:w w:val="105"/>
          <w:sz w:val="21"/>
        </w:rPr>
        <w:t> </w:t>
      </w:r>
      <w:r>
        <w:rPr>
          <w:w w:val="105"/>
          <w:sz w:val="21"/>
        </w:rPr>
        <w:t>a</w:t>
      </w:r>
      <w:r>
        <w:rPr>
          <w:spacing w:val="-7"/>
          <w:w w:val="105"/>
          <w:sz w:val="21"/>
        </w:rPr>
        <w:t> </w:t>
      </w:r>
      <w:r>
        <w:rPr>
          <w:w w:val="105"/>
          <w:sz w:val="21"/>
        </w:rPr>
        <w:t>benefit </w:t>
      </w:r>
      <w:r>
        <w:rPr>
          <w:spacing w:val="-3"/>
          <w:w w:val="105"/>
          <w:sz w:val="21"/>
        </w:rPr>
        <w:t>to </w:t>
      </w:r>
      <w:r>
        <w:rPr>
          <w:w w:val="105"/>
          <w:sz w:val="21"/>
        </w:rPr>
        <w:t>the community when </w:t>
      </w:r>
      <w:r>
        <w:rPr>
          <w:spacing w:val="-3"/>
          <w:w w:val="105"/>
          <w:sz w:val="21"/>
        </w:rPr>
        <w:t>determining </w:t>
      </w:r>
      <w:r>
        <w:rPr>
          <w:w w:val="105"/>
          <w:sz w:val="21"/>
        </w:rPr>
        <w:t>a </w:t>
      </w:r>
      <w:r>
        <w:rPr>
          <w:spacing w:val="-3"/>
          <w:w w:val="105"/>
          <w:sz w:val="21"/>
        </w:rPr>
        <w:t>private </w:t>
      </w:r>
      <w:r>
        <w:rPr>
          <w:w w:val="105"/>
          <w:sz w:val="21"/>
        </w:rPr>
        <w:t>tree </w:t>
      </w:r>
      <w:r>
        <w:rPr>
          <w:spacing w:val="-3"/>
          <w:w w:val="105"/>
          <w:sz w:val="21"/>
        </w:rPr>
        <w:t>dispute. </w:t>
      </w:r>
      <w:r>
        <w:rPr>
          <w:w w:val="105"/>
          <w:sz w:val="21"/>
        </w:rPr>
        <w:t>Other </w:t>
      </w:r>
      <w:r>
        <w:rPr>
          <w:spacing w:val="-3"/>
          <w:w w:val="105"/>
          <w:sz w:val="21"/>
        </w:rPr>
        <w:t>recommendations aim to ensure that </w:t>
      </w:r>
      <w:r>
        <w:rPr>
          <w:spacing w:val="-5"/>
          <w:w w:val="105"/>
          <w:sz w:val="21"/>
        </w:rPr>
        <w:t>VCAT </w:t>
      </w:r>
      <w:r>
        <w:rPr>
          <w:w w:val="105"/>
          <w:sz w:val="21"/>
        </w:rPr>
        <w:t>decisions </w:t>
      </w:r>
      <w:r>
        <w:rPr>
          <w:spacing w:val="-3"/>
          <w:w w:val="105"/>
          <w:sz w:val="21"/>
        </w:rPr>
        <w:t>are underpinned </w:t>
      </w:r>
      <w:r>
        <w:rPr>
          <w:w w:val="105"/>
          <w:sz w:val="21"/>
        </w:rPr>
        <w:t>by evidence-based decision-making </w:t>
      </w:r>
      <w:r>
        <w:rPr>
          <w:spacing w:val="-3"/>
          <w:w w:val="105"/>
          <w:sz w:val="21"/>
        </w:rPr>
        <w:t>that </w:t>
      </w:r>
      <w:r>
        <w:rPr>
          <w:w w:val="105"/>
          <w:sz w:val="21"/>
        </w:rPr>
        <w:t>draws on the experience of</w:t>
      </w:r>
      <w:r>
        <w:rPr>
          <w:spacing w:val="21"/>
          <w:w w:val="105"/>
          <w:sz w:val="21"/>
        </w:rPr>
        <w:t> </w:t>
      </w:r>
      <w:r>
        <w:rPr>
          <w:w w:val="105"/>
          <w:sz w:val="21"/>
        </w:rPr>
        <w:t>arborists.</w:t>
      </w:r>
    </w:p>
    <w:p>
      <w:pPr>
        <w:pStyle w:val="ListParagraph"/>
        <w:numPr>
          <w:ilvl w:val="1"/>
          <w:numId w:val="16"/>
        </w:numPr>
        <w:tabs>
          <w:tab w:pos="2380" w:val="left" w:leader="none"/>
          <w:tab w:pos="2381" w:val="left" w:leader="none"/>
        </w:tabs>
        <w:spacing w:line="242" w:lineRule="auto" w:before="126" w:after="0"/>
        <w:ind w:left="2380" w:right="1695" w:hanging="793"/>
        <w:jc w:val="left"/>
        <w:rPr>
          <w:sz w:val="21"/>
        </w:rPr>
      </w:pPr>
      <w:r>
        <w:rPr>
          <w:w w:val="105"/>
          <w:sz w:val="21"/>
        </w:rPr>
        <w:t>The </w:t>
      </w:r>
      <w:r>
        <w:rPr>
          <w:spacing w:val="-3"/>
          <w:w w:val="105"/>
          <w:sz w:val="21"/>
        </w:rPr>
        <w:t>Commission </w:t>
      </w:r>
      <w:r>
        <w:rPr>
          <w:w w:val="105"/>
          <w:sz w:val="21"/>
        </w:rPr>
        <w:t>observes </w:t>
      </w:r>
      <w:r>
        <w:rPr>
          <w:spacing w:val="-3"/>
          <w:w w:val="105"/>
          <w:sz w:val="21"/>
        </w:rPr>
        <w:t>that councils are increasingly leading </w:t>
      </w:r>
      <w:r>
        <w:rPr>
          <w:w w:val="105"/>
          <w:sz w:val="21"/>
        </w:rPr>
        <w:t>the </w:t>
      </w:r>
      <w:r>
        <w:rPr>
          <w:spacing w:val="-3"/>
          <w:w w:val="105"/>
          <w:sz w:val="21"/>
        </w:rPr>
        <w:t>way </w:t>
      </w:r>
      <w:r>
        <w:rPr>
          <w:w w:val="105"/>
          <w:sz w:val="21"/>
        </w:rPr>
        <w:t>with modern and evolving urban </w:t>
      </w:r>
      <w:r>
        <w:rPr>
          <w:spacing w:val="-2"/>
          <w:w w:val="105"/>
          <w:sz w:val="21"/>
        </w:rPr>
        <w:t>forest </w:t>
      </w:r>
      <w:r>
        <w:rPr>
          <w:w w:val="105"/>
          <w:sz w:val="21"/>
        </w:rPr>
        <w:t>policies. For </w:t>
      </w:r>
      <w:r>
        <w:rPr>
          <w:spacing w:val="-3"/>
          <w:w w:val="105"/>
          <w:sz w:val="21"/>
        </w:rPr>
        <w:t>example, </w:t>
      </w:r>
      <w:r>
        <w:rPr>
          <w:w w:val="105"/>
          <w:sz w:val="21"/>
        </w:rPr>
        <w:t>the </w:t>
      </w:r>
      <w:r>
        <w:rPr>
          <w:spacing w:val="-3"/>
          <w:w w:val="105"/>
          <w:sz w:val="21"/>
        </w:rPr>
        <w:t>City </w:t>
      </w:r>
      <w:r>
        <w:rPr>
          <w:w w:val="105"/>
          <w:sz w:val="21"/>
        </w:rPr>
        <w:t>of </w:t>
      </w:r>
      <w:r>
        <w:rPr>
          <w:spacing w:val="-3"/>
          <w:w w:val="105"/>
          <w:sz w:val="21"/>
        </w:rPr>
        <w:t>Greater </w:t>
      </w:r>
      <w:r>
        <w:rPr>
          <w:w w:val="105"/>
          <w:sz w:val="21"/>
        </w:rPr>
        <w:t>Bendigo </w:t>
      </w:r>
      <w:r>
        <w:rPr>
          <w:spacing w:val="-2"/>
          <w:w w:val="105"/>
          <w:sz w:val="21"/>
        </w:rPr>
        <w:t>has </w:t>
      </w:r>
      <w:r>
        <w:rPr>
          <w:w w:val="105"/>
          <w:sz w:val="21"/>
        </w:rPr>
        <w:t>a </w:t>
      </w:r>
      <w:r>
        <w:rPr>
          <w:spacing w:val="-3"/>
          <w:w w:val="105"/>
          <w:sz w:val="21"/>
        </w:rPr>
        <w:t>significant</w:t>
      </w:r>
      <w:r>
        <w:rPr>
          <w:spacing w:val="-9"/>
          <w:w w:val="105"/>
          <w:sz w:val="21"/>
        </w:rPr>
        <w:t> </w:t>
      </w:r>
      <w:r>
        <w:rPr>
          <w:w w:val="105"/>
          <w:sz w:val="21"/>
        </w:rPr>
        <w:t>tree</w:t>
      </w:r>
      <w:r>
        <w:rPr>
          <w:spacing w:val="-8"/>
          <w:w w:val="105"/>
          <w:sz w:val="21"/>
        </w:rPr>
        <w:t> </w:t>
      </w:r>
      <w:r>
        <w:rPr>
          <w:spacing w:val="-3"/>
          <w:w w:val="105"/>
          <w:sz w:val="21"/>
        </w:rPr>
        <w:t>register</w:t>
      </w:r>
      <w:r>
        <w:rPr>
          <w:spacing w:val="-9"/>
          <w:w w:val="105"/>
          <w:sz w:val="21"/>
        </w:rPr>
        <w:t> </w:t>
      </w:r>
      <w:r>
        <w:rPr>
          <w:w w:val="105"/>
          <w:sz w:val="21"/>
        </w:rPr>
        <w:t>and</w:t>
      </w:r>
      <w:r>
        <w:rPr>
          <w:spacing w:val="-8"/>
          <w:w w:val="105"/>
          <w:sz w:val="21"/>
        </w:rPr>
        <w:t> </w:t>
      </w:r>
      <w:r>
        <w:rPr>
          <w:w w:val="105"/>
          <w:sz w:val="21"/>
        </w:rPr>
        <w:t>an</w:t>
      </w:r>
      <w:r>
        <w:rPr>
          <w:spacing w:val="-9"/>
          <w:w w:val="105"/>
          <w:sz w:val="21"/>
        </w:rPr>
        <w:t> </w:t>
      </w:r>
      <w:r>
        <w:rPr>
          <w:w w:val="105"/>
          <w:sz w:val="21"/>
        </w:rPr>
        <w:t>Urban</w:t>
      </w:r>
      <w:r>
        <w:rPr>
          <w:spacing w:val="-8"/>
          <w:w w:val="105"/>
          <w:sz w:val="21"/>
        </w:rPr>
        <w:t> </w:t>
      </w:r>
      <w:r>
        <w:rPr>
          <w:spacing w:val="-5"/>
          <w:w w:val="105"/>
          <w:sz w:val="21"/>
        </w:rPr>
        <w:t>Tree</w:t>
      </w:r>
      <w:r>
        <w:rPr>
          <w:spacing w:val="-8"/>
          <w:w w:val="105"/>
          <w:sz w:val="21"/>
        </w:rPr>
        <w:t> </w:t>
      </w:r>
      <w:r>
        <w:rPr>
          <w:spacing w:val="-3"/>
          <w:w w:val="105"/>
          <w:sz w:val="21"/>
        </w:rPr>
        <w:t>Management</w:t>
      </w:r>
      <w:r>
        <w:rPr>
          <w:spacing w:val="-9"/>
          <w:w w:val="105"/>
          <w:sz w:val="21"/>
        </w:rPr>
        <w:t> </w:t>
      </w:r>
      <w:r>
        <w:rPr>
          <w:w w:val="105"/>
          <w:sz w:val="21"/>
        </w:rPr>
        <w:t>Policy</w:t>
      </w:r>
      <w:r>
        <w:rPr>
          <w:spacing w:val="-8"/>
          <w:w w:val="105"/>
          <w:sz w:val="21"/>
        </w:rPr>
        <w:t> </w:t>
      </w:r>
      <w:r>
        <w:rPr>
          <w:spacing w:val="-3"/>
          <w:w w:val="105"/>
          <w:sz w:val="21"/>
        </w:rPr>
        <w:t>that</w:t>
      </w:r>
      <w:r>
        <w:rPr>
          <w:spacing w:val="-9"/>
          <w:w w:val="105"/>
          <w:sz w:val="21"/>
        </w:rPr>
        <w:t> </w:t>
      </w:r>
      <w:r>
        <w:rPr>
          <w:w w:val="105"/>
          <w:sz w:val="21"/>
        </w:rPr>
        <w:t>states</w:t>
      </w:r>
      <w:r>
        <w:rPr>
          <w:spacing w:val="-8"/>
          <w:w w:val="105"/>
          <w:sz w:val="21"/>
        </w:rPr>
        <w:t> </w:t>
      </w:r>
      <w:r>
        <w:rPr>
          <w:w w:val="105"/>
          <w:sz w:val="21"/>
        </w:rPr>
        <w:t>‘the</w:t>
      </w:r>
      <w:r>
        <w:rPr>
          <w:spacing w:val="-8"/>
          <w:w w:val="105"/>
          <w:sz w:val="21"/>
        </w:rPr>
        <w:t> </w:t>
      </w:r>
      <w:r>
        <w:rPr>
          <w:w w:val="105"/>
          <w:sz w:val="21"/>
        </w:rPr>
        <w:t>protection of existing trees and </w:t>
      </w:r>
      <w:r>
        <w:rPr>
          <w:spacing w:val="-3"/>
          <w:w w:val="105"/>
          <w:sz w:val="21"/>
        </w:rPr>
        <w:t>enhancement </w:t>
      </w:r>
      <w:r>
        <w:rPr>
          <w:w w:val="105"/>
          <w:sz w:val="21"/>
        </w:rPr>
        <w:t>of </w:t>
      </w:r>
      <w:r>
        <w:rPr>
          <w:spacing w:val="-3"/>
          <w:w w:val="105"/>
          <w:sz w:val="21"/>
        </w:rPr>
        <w:t>Bendigo’s </w:t>
      </w:r>
      <w:r>
        <w:rPr>
          <w:w w:val="105"/>
          <w:sz w:val="21"/>
        </w:rPr>
        <w:t>urban </w:t>
      </w:r>
      <w:r>
        <w:rPr>
          <w:spacing w:val="-2"/>
          <w:w w:val="105"/>
          <w:sz w:val="21"/>
        </w:rPr>
        <w:t>forest </w:t>
      </w:r>
      <w:r>
        <w:rPr>
          <w:w w:val="105"/>
          <w:sz w:val="21"/>
        </w:rPr>
        <w:t>is pivotal </w:t>
      </w:r>
      <w:r>
        <w:rPr>
          <w:spacing w:val="-3"/>
          <w:w w:val="105"/>
          <w:sz w:val="21"/>
        </w:rPr>
        <w:t>to </w:t>
      </w:r>
      <w:r>
        <w:rPr>
          <w:w w:val="115"/>
          <w:sz w:val="21"/>
        </w:rPr>
        <w:t>… </w:t>
      </w:r>
      <w:r>
        <w:rPr>
          <w:spacing w:val="-3"/>
          <w:w w:val="105"/>
          <w:sz w:val="21"/>
        </w:rPr>
        <w:t>realising </w:t>
      </w:r>
      <w:r>
        <w:rPr>
          <w:w w:val="105"/>
          <w:sz w:val="21"/>
        </w:rPr>
        <w:t>its vision: </w:t>
      </w:r>
      <w:r>
        <w:rPr>
          <w:spacing w:val="-4"/>
          <w:w w:val="105"/>
          <w:sz w:val="21"/>
        </w:rPr>
        <w:t>‘Greater </w:t>
      </w:r>
      <w:r>
        <w:rPr>
          <w:w w:val="105"/>
          <w:sz w:val="21"/>
        </w:rPr>
        <w:t>Bendigo – </w:t>
      </w:r>
      <w:r>
        <w:rPr>
          <w:spacing w:val="-3"/>
          <w:w w:val="105"/>
          <w:sz w:val="21"/>
        </w:rPr>
        <w:t>creating </w:t>
      </w:r>
      <w:r>
        <w:rPr>
          <w:w w:val="105"/>
          <w:sz w:val="21"/>
        </w:rPr>
        <w:t>the </w:t>
      </w:r>
      <w:r>
        <w:rPr>
          <w:spacing w:val="-3"/>
          <w:w w:val="105"/>
          <w:sz w:val="21"/>
        </w:rPr>
        <w:t>world’s </w:t>
      </w:r>
      <w:r>
        <w:rPr>
          <w:w w:val="105"/>
          <w:sz w:val="21"/>
        </w:rPr>
        <w:t>most </w:t>
      </w:r>
      <w:r>
        <w:rPr>
          <w:spacing w:val="-3"/>
          <w:w w:val="105"/>
          <w:sz w:val="21"/>
        </w:rPr>
        <w:t>liveable </w:t>
      </w:r>
      <w:r>
        <w:rPr>
          <w:spacing w:val="-4"/>
          <w:w w:val="105"/>
          <w:sz w:val="21"/>
        </w:rPr>
        <w:t>community’.</w:t>
      </w:r>
      <w:r>
        <w:rPr>
          <w:spacing w:val="-4"/>
          <w:w w:val="105"/>
          <w:position w:val="7"/>
          <w:sz w:val="12"/>
        </w:rPr>
        <w:t>58 </w:t>
      </w:r>
      <w:r>
        <w:rPr>
          <w:w w:val="105"/>
          <w:sz w:val="21"/>
        </w:rPr>
        <w:t>The</w:t>
      </w:r>
      <w:r>
        <w:rPr>
          <w:spacing w:val="32"/>
          <w:w w:val="105"/>
          <w:sz w:val="21"/>
        </w:rPr>
        <w:t> </w:t>
      </w:r>
      <w:r>
        <w:rPr>
          <w:spacing w:val="-3"/>
          <w:w w:val="105"/>
          <w:sz w:val="21"/>
        </w:rPr>
        <w:t>City</w:t>
      </w:r>
    </w:p>
    <w:p>
      <w:pPr>
        <w:pStyle w:val="BodyText"/>
        <w:spacing w:line="242" w:lineRule="auto" w:before="5"/>
        <w:ind w:left="2381" w:right="1636"/>
        <w:rPr>
          <w:sz w:val="12"/>
        </w:rPr>
      </w:pPr>
      <w:r>
        <w:rPr>
          <w:w w:val="105"/>
        </w:rPr>
        <w:t>of </w:t>
      </w:r>
      <w:r>
        <w:rPr>
          <w:spacing w:val="-4"/>
          <w:w w:val="105"/>
        </w:rPr>
        <w:t>Stonnington </w:t>
      </w:r>
      <w:r>
        <w:rPr>
          <w:spacing w:val="-2"/>
          <w:w w:val="105"/>
        </w:rPr>
        <w:t>has </w:t>
      </w:r>
      <w:r>
        <w:rPr>
          <w:w w:val="105"/>
        </w:rPr>
        <w:t>developed an Urban Forest </w:t>
      </w:r>
      <w:r>
        <w:rPr>
          <w:spacing w:val="-3"/>
          <w:w w:val="105"/>
        </w:rPr>
        <w:t>Strategy </w:t>
      </w:r>
      <w:r>
        <w:rPr>
          <w:spacing w:val="-7"/>
          <w:w w:val="105"/>
        </w:rPr>
        <w:t>2017–2022 </w:t>
      </w:r>
      <w:r>
        <w:rPr>
          <w:spacing w:val="-3"/>
          <w:w w:val="105"/>
        </w:rPr>
        <w:t>to ‘help </w:t>
      </w:r>
      <w:r>
        <w:rPr>
          <w:w w:val="105"/>
        </w:rPr>
        <w:t>enable the protection and </w:t>
      </w:r>
      <w:r>
        <w:rPr>
          <w:spacing w:val="-3"/>
          <w:w w:val="105"/>
        </w:rPr>
        <w:t>enhancement </w:t>
      </w:r>
      <w:r>
        <w:rPr>
          <w:w w:val="105"/>
        </w:rPr>
        <w:t>of the urban </w:t>
      </w:r>
      <w:r>
        <w:rPr>
          <w:spacing w:val="-2"/>
          <w:w w:val="105"/>
        </w:rPr>
        <w:t>forest </w:t>
      </w:r>
      <w:r>
        <w:rPr>
          <w:w w:val="105"/>
        </w:rPr>
        <w:t>in the </w:t>
      </w:r>
      <w:r>
        <w:rPr>
          <w:spacing w:val="-3"/>
          <w:w w:val="105"/>
        </w:rPr>
        <w:t>face </w:t>
      </w:r>
      <w:r>
        <w:rPr>
          <w:w w:val="105"/>
        </w:rPr>
        <w:t>of </w:t>
      </w:r>
      <w:r>
        <w:rPr>
          <w:spacing w:val="-3"/>
          <w:w w:val="105"/>
        </w:rPr>
        <w:t>many challenges that </w:t>
      </w:r>
      <w:r>
        <w:rPr>
          <w:w w:val="105"/>
        </w:rPr>
        <w:t>affect urban </w:t>
      </w:r>
      <w:r>
        <w:rPr>
          <w:spacing w:val="-5"/>
          <w:w w:val="105"/>
        </w:rPr>
        <w:t>trees’.</w:t>
      </w:r>
      <w:r>
        <w:rPr>
          <w:spacing w:val="-5"/>
          <w:w w:val="105"/>
          <w:position w:val="7"/>
          <w:sz w:val="12"/>
        </w:rPr>
        <w:t>59</w:t>
      </w:r>
    </w:p>
    <w:p>
      <w:pPr>
        <w:pStyle w:val="ListParagraph"/>
        <w:numPr>
          <w:ilvl w:val="1"/>
          <w:numId w:val="16"/>
        </w:numPr>
        <w:tabs>
          <w:tab w:pos="2381" w:val="left" w:leader="none"/>
          <w:tab w:pos="2382" w:val="left" w:leader="none"/>
        </w:tabs>
        <w:spacing w:line="242" w:lineRule="auto" w:before="123" w:after="0"/>
        <w:ind w:left="2381" w:right="1664" w:hanging="794"/>
        <w:jc w:val="left"/>
        <w:rPr>
          <w:sz w:val="21"/>
        </w:rPr>
      </w:pPr>
      <w:r>
        <w:rPr>
          <w:sz w:val="21"/>
        </w:rPr>
        <w:t>The </w:t>
      </w:r>
      <w:r>
        <w:rPr>
          <w:spacing w:val="-3"/>
          <w:sz w:val="21"/>
        </w:rPr>
        <w:t>City </w:t>
      </w:r>
      <w:r>
        <w:rPr>
          <w:sz w:val="21"/>
        </w:rPr>
        <w:t>of </w:t>
      </w:r>
      <w:r>
        <w:rPr>
          <w:spacing w:val="-3"/>
          <w:sz w:val="21"/>
        </w:rPr>
        <w:t>Ballarat </w:t>
      </w:r>
      <w:r>
        <w:rPr>
          <w:spacing w:val="-2"/>
          <w:sz w:val="21"/>
        </w:rPr>
        <w:t>has </w:t>
      </w:r>
      <w:r>
        <w:rPr>
          <w:sz w:val="21"/>
        </w:rPr>
        <w:t>adopted an </w:t>
      </w:r>
      <w:r>
        <w:rPr>
          <w:spacing w:val="-3"/>
          <w:sz w:val="21"/>
        </w:rPr>
        <w:t>Exceptional </w:t>
      </w:r>
      <w:r>
        <w:rPr>
          <w:spacing w:val="-5"/>
          <w:sz w:val="21"/>
        </w:rPr>
        <w:t>Tree </w:t>
      </w:r>
      <w:r>
        <w:rPr>
          <w:sz w:val="21"/>
        </w:rPr>
        <w:t>Register </w:t>
      </w:r>
      <w:r>
        <w:rPr>
          <w:spacing w:val="-3"/>
          <w:sz w:val="21"/>
        </w:rPr>
        <w:t>that </w:t>
      </w:r>
      <w:r>
        <w:rPr>
          <w:sz w:val="21"/>
        </w:rPr>
        <w:t>lists trees on </w:t>
      </w:r>
      <w:r>
        <w:rPr>
          <w:spacing w:val="-3"/>
          <w:sz w:val="21"/>
        </w:rPr>
        <w:t>public </w:t>
      </w:r>
      <w:r>
        <w:rPr>
          <w:sz w:val="21"/>
        </w:rPr>
        <w:t>and </w:t>
      </w:r>
      <w:r>
        <w:rPr>
          <w:spacing w:val="-3"/>
          <w:sz w:val="21"/>
        </w:rPr>
        <w:t>private land within </w:t>
      </w:r>
      <w:r>
        <w:rPr>
          <w:sz w:val="21"/>
        </w:rPr>
        <w:t>the </w:t>
      </w:r>
      <w:r>
        <w:rPr>
          <w:spacing w:val="-3"/>
          <w:sz w:val="21"/>
        </w:rPr>
        <w:t>municipality </w:t>
      </w:r>
      <w:r>
        <w:rPr>
          <w:sz w:val="21"/>
        </w:rPr>
        <w:t>because these trees </w:t>
      </w:r>
      <w:r>
        <w:rPr>
          <w:spacing w:val="-3"/>
          <w:sz w:val="21"/>
        </w:rPr>
        <w:t>are </w:t>
      </w:r>
      <w:r>
        <w:rPr>
          <w:spacing w:val="-6"/>
          <w:sz w:val="21"/>
        </w:rPr>
        <w:t>‘an </w:t>
      </w:r>
      <w:r>
        <w:rPr>
          <w:sz w:val="21"/>
        </w:rPr>
        <w:t>important and </w:t>
      </w:r>
      <w:r>
        <w:rPr>
          <w:spacing w:val="-3"/>
          <w:sz w:val="21"/>
        </w:rPr>
        <w:t>integral </w:t>
      </w:r>
      <w:r>
        <w:rPr>
          <w:sz w:val="21"/>
        </w:rPr>
        <w:t>community  and  heritage  asset  </w:t>
      </w:r>
      <w:r>
        <w:rPr>
          <w:spacing w:val="-3"/>
          <w:sz w:val="21"/>
        </w:rPr>
        <w:t>to  </w:t>
      </w:r>
      <w:r>
        <w:rPr>
          <w:spacing w:val="-4"/>
          <w:sz w:val="21"/>
        </w:rPr>
        <w:t>Ballarat’.</w:t>
      </w:r>
      <w:r>
        <w:rPr>
          <w:spacing w:val="-4"/>
          <w:position w:val="7"/>
          <w:sz w:val="12"/>
        </w:rPr>
        <w:t>60  </w:t>
      </w:r>
      <w:r>
        <w:rPr>
          <w:spacing w:val="-4"/>
          <w:sz w:val="21"/>
        </w:rPr>
        <w:t>Moreover,  </w:t>
      </w:r>
      <w:r>
        <w:rPr>
          <w:sz w:val="21"/>
        </w:rPr>
        <w:t>South  </w:t>
      </w:r>
      <w:r>
        <w:rPr>
          <w:spacing w:val="-3"/>
          <w:sz w:val="21"/>
        </w:rPr>
        <w:t>Gippsland  Shire  </w:t>
      </w:r>
      <w:r>
        <w:rPr>
          <w:spacing w:val="-4"/>
          <w:sz w:val="21"/>
        </w:rPr>
        <w:t>Council </w:t>
      </w:r>
      <w:r>
        <w:rPr>
          <w:spacing w:val="-2"/>
          <w:sz w:val="21"/>
        </w:rPr>
        <w:t>has </w:t>
      </w:r>
      <w:r>
        <w:rPr>
          <w:sz w:val="21"/>
        </w:rPr>
        <w:t>a </w:t>
      </w:r>
      <w:r>
        <w:rPr>
          <w:spacing w:val="-5"/>
          <w:sz w:val="21"/>
        </w:rPr>
        <w:t>Tree </w:t>
      </w:r>
      <w:r>
        <w:rPr>
          <w:spacing w:val="-3"/>
          <w:sz w:val="21"/>
        </w:rPr>
        <w:t>Management  </w:t>
      </w:r>
      <w:r>
        <w:rPr>
          <w:sz w:val="21"/>
        </w:rPr>
        <w:t>Plan in </w:t>
      </w:r>
      <w:r>
        <w:rPr>
          <w:spacing w:val="-3"/>
          <w:sz w:val="21"/>
        </w:rPr>
        <w:t>recognition</w:t>
      </w:r>
      <w:r>
        <w:rPr>
          <w:spacing w:val="41"/>
          <w:sz w:val="21"/>
        </w:rPr>
        <w:t> </w:t>
      </w:r>
      <w:r>
        <w:rPr>
          <w:sz w:val="21"/>
        </w:rPr>
        <w:t>of the fact </w:t>
      </w:r>
      <w:r>
        <w:rPr>
          <w:spacing w:val="-3"/>
          <w:sz w:val="21"/>
        </w:rPr>
        <w:t>that  </w:t>
      </w:r>
      <w:r>
        <w:rPr>
          <w:sz w:val="21"/>
        </w:rPr>
        <w:t>‘trees </w:t>
      </w:r>
      <w:r>
        <w:rPr>
          <w:spacing w:val="-3"/>
          <w:sz w:val="21"/>
        </w:rPr>
        <w:t>are  </w:t>
      </w:r>
      <w:r>
        <w:rPr>
          <w:sz w:val="21"/>
        </w:rPr>
        <w:t>a </w:t>
      </w:r>
      <w:r>
        <w:rPr>
          <w:spacing w:val="-3"/>
          <w:sz w:val="21"/>
        </w:rPr>
        <w:t>significant  </w:t>
      </w:r>
      <w:r>
        <w:rPr>
          <w:sz w:val="21"/>
        </w:rPr>
        <w:t>asset </w:t>
      </w:r>
      <w:r>
        <w:rPr>
          <w:spacing w:val="-3"/>
          <w:sz w:val="21"/>
        </w:rPr>
        <w:t>that are </w:t>
      </w:r>
      <w:r>
        <w:rPr>
          <w:sz w:val="21"/>
        </w:rPr>
        <w:t>of </w:t>
      </w:r>
      <w:r>
        <w:rPr>
          <w:spacing w:val="-3"/>
          <w:sz w:val="21"/>
        </w:rPr>
        <w:t>high value to </w:t>
      </w:r>
      <w:r>
        <w:rPr>
          <w:sz w:val="21"/>
        </w:rPr>
        <w:t>the community and </w:t>
      </w:r>
      <w:r>
        <w:rPr>
          <w:spacing w:val="-3"/>
          <w:sz w:val="21"/>
        </w:rPr>
        <w:t>contribute greatly to </w:t>
      </w:r>
      <w:r>
        <w:rPr>
          <w:sz w:val="21"/>
        </w:rPr>
        <w:t>the amenity of </w:t>
      </w:r>
      <w:r>
        <w:rPr>
          <w:spacing w:val="-3"/>
          <w:sz w:val="21"/>
        </w:rPr>
        <w:t>built environments within </w:t>
      </w:r>
      <w:r>
        <w:rPr>
          <w:sz w:val="21"/>
        </w:rPr>
        <w:t>the</w:t>
      </w:r>
      <w:r>
        <w:rPr>
          <w:spacing w:val="33"/>
          <w:sz w:val="21"/>
        </w:rPr>
        <w:t> </w:t>
      </w:r>
      <w:r>
        <w:rPr>
          <w:spacing w:val="-6"/>
          <w:sz w:val="21"/>
        </w:rPr>
        <w:t>Shire’.</w:t>
      </w:r>
      <w:r>
        <w:rPr>
          <w:spacing w:val="-6"/>
          <w:position w:val="7"/>
          <w:sz w:val="12"/>
        </w:rPr>
        <w:t>61</w:t>
      </w:r>
    </w:p>
    <w:p>
      <w:pPr>
        <w:pStyle w:val="ListParagraph"/>
        <w:numPr>
          <w:ilvl w:val="1"/>
          <w:numId w:val="16"/>
        </w:numPr>
        <w:tabs>
          <w:tab w:pos="2381" w:val="left" w:leader="none"/>
          <w:tab w:pos="2382" w:val="left" w:leader="none"/>
        </w:tabs>
        <w:spacing w:line="242" w:lineRule="auto" w:before="127" w:after="0"/>
        <w:ind w:left="2381" w:right="1742" w:hanging="794"/>
        <w:jc w:val="left"/>
        <w:rPr>
          <w:sz w:val="21"/>
        </w:rPr>
      </w:pPr>
      <w:r>
        <w:rPr>
          <w:w w:val="105"/>
          <w:sz w:val="21"/>
        </w:rPr>
        <w:t>HVP </w:t>
      </w:r>
      <w:r>
        <w:rPr>
          <w:spacing w:val="-3"/>
          <w:w w:val="105"/>
          <w:sz w:val="21"/>
        </w:rPr>
        <w:t>Plantations </w:t>
      </w:r>
      <w:r>
        <w:rPr>
          <w:w w:val="105"/>
          <w:sz w:val="21"/>
        </w:rPr>
        <w:t>suggested </w:t>
      </w:r>
      <w:r>
        <w:rPr>
          <w:spacing w:val="-3"/>
          <w:w w:val="105"/>
          <w:sz w:val="21"/>
        </w:rPr>
        <w:t>that </w:t>
      </w:r>
      <w:r>
        <w:rPr>
          <w:w w:val="105"/>
          <w:sz w:val="21"/>
        </w:rPr>
        <w:t>where </w:t>
      </w:r>
      <w:r>
        <w:rPr>
          <w:spacing w:val="-3"/>
          <w:w w:val="105"/>
          <w:sz w:val="21"/>
        </w:rPr>
        <w:t>rural land </w:t>
      </w:r>
      <w:r>
        <w:rPr>
          <w:w w:val="105"/>
          <w:sz w:val="21"/>
        </w:rPr>
        <w:t>is subdivided so </w:t>
      </w:r>
      <w:r>
        <w:rPr>
          <w:spacing w:val="-3"/>
          <w:w w:val="105"/>
          <w:sz w:val="21"/>
        </w:rPr>
        <w:t>that </w:t>
      </w:r>
      <w:r>
        <w:rPr>
          <w:w w:val="105"/>
          <w:sz w:val="21"/>
        </w:rPr>
        <w:t>a </w:t>
      </w:r>
      <w:r>
        <w:rPr>
          <w:spacing w:val="-3"/>
          <w:w w:val="105"/>
          <w:sz w:val="21"/>
        </w:rPr>
        <w:t>remaining rural land </w:t>
      </w:r>
      <w:r>
        <w:rPr>
          <w:w w:val="105"/>
          <w:sz w:val="21"/>
        </w:rPr>
        <w:t>holder </w:t>
      </w:r>
      <w:r>
        <w:rPr>
          <w:spacing w:val="-2"/>
          <w:w w:val="105"/>
          <w:sz w:val="21"/>
        </w:rPr>
        <w:t>has </w:t>
      </w:r>
      <w:r>
        <w:rPr>
          <w:spacing w:val="-3"/>
          <w:w w:val="105"/>
          <w:sz w:val="21"/>
        </w:rPr>
        <w:t>many </w:t>
      </w:r>
      <w:r>
        <w:rPr>
          <w:w w:val="105"/>
          <w:sz w:val="21"/>
        </w:rPr>
        <w:t>new neighbours and </w:t>
      </w:r>
      <w:r>
        <w:rPr>
          <w:spacing w:val="-3"/>
          <w:w w:val="105"/>
          <w:sz w:val="21"/>
        </w:rPr>
        <w:t>potentially </w:t>
      </w:r>
      <w:r>
        <w:rPr>
          <w:w w:val="105"/>
          <w:sz w:val="21"/>
        </w:rPr>
        <w:t>new </w:t>
      </w:r>
      <w:r>
        <w:rPr>
          <w:spacing w:val="-3"/>
          <w:w w:val="105"/>
          <w:sz w:val="21"/>
        </w:rPr>
        <w:t>obligations to maintain </w:t>
      </w:r>
      <w:r>
        <w:rPr>
          <w:w w:val="105"/>
          <w:sz w:val="21"/>
        </w:rPr>
        <w:t>trees on</w:t>
      </w:r>
      <w:r>
        <w:rPr>
          <w:spacing w:val="-6"/>
          <w:w w:val="105"/>
          <w:sz w:val="21"/>
        </w:rPr>
        <w:t> </w:t>
      </w:r>
      <w:r>
        <w:rPr>
          <w:w w:val="105"/>
          <w:sz w:val="21"/>
        </w:rPr>
        <w:t>boundary</w:t>
      </w:r>
      <w:r>
        <w:rPr>
          <w:spacing w:val="-6"/>
          <w:w w:val="105"/>
          <w:sz w:val="21"/>
        </w:rPr>
        <w:t> </w:t>
      </w:r>
      <w:r>
        <w:rPr>
          <w:spacing w:val="-3"/>
          <w:w w:val="105"/>
          <w:sz w:val="21"/>
        </w:rPr>
        <w:t>lines</w:t>
      </w:r>
      <w:r>
        <w:rPr>
          <w:spacing w:val="-5"/>
          <w:w w:val="105"/>
          <w:sz w:val="21"/>
        </w:rPr>
        <w:t> </w:t>
      </w:r>
      <w:r>
        <w:rPr>
          <w:w w:val="105"/>
          <w:sz w:val="21"/>
        </w:rPr>
        <w:t>and</w:t>
      </w:r>
      <w:r>
        <w:rPr>
          <w:spacing w:val="-6"/>
          <w:w w:val="105"/>
          <w:sz w:val="21"/>
        </w:rPr>
        <w:t> </w:t>
      </w:r>
      <w:r>
        <w:rPr>
          <w:w w:val="105"/>
          <w:sz w:val="21"/>
        </w:rPr>
        <w:t>associated</w:t>
      </w:r>
      <w:r>
        <w:rPr>
          <w:spacing w:val="-6"/>
          <w:w w:val="105"/>
          <w:sz w:val="21"/>
        </w:rPr>
        <w:t> </w:t>
      </w:r>
      <w:r>
        <w:rPr>
          <w:w w:val="105"/>
          <w:sz w:val="21"/>
        </w:rPr>
        <w:t>costs</w:t>
      </w:r>
      <w:r>
        <w:rPr>
          <w:spacing w:val="-5"/>
          <w:w w:val="105"/>
          <w:sz w:val="21"/>
        </w:rPr>
        <w:t> </w:t>
      </w:r>
      <w:r>
        <w:rPr>
          <w:spacing w:val="-3"/>
          <w:w w:val="105"/>
          <w:sz w:val="21"/>
        </w:rPr>
        <w:t>‘it</w:t>
      </w:r>
      <w:r>
        <w:rPr>
          <w:spacing w:val="-6"/>
          <w:w w:val="105"/>
          <w:sz w:val="21"/>
        </w:rPr>
        <w:t> </w:t>
      </w:r>
      <w:r>
        <w:rPr>
          <w:w w:val="105"/>
          <w:sz w:val="21"/>
        </w:rPr>
        <w:t>would</w:t>
      </w:r>
      <w:r>
        <w:rPr>
          <w:spacing w:val="-5"/>
          <w:w w:val="105"/>
          <w:sz w:val="21"/>
        </w:rPr>
        <w:t> </w:t>
      </w:r>
      <w:r>
        <w:rPr>
          <w:w w:val="105"/>
          <w:sz w:val="21"/>
        </w:rPr>
        <w:t>be</w:t>
      </w:r>
      <w:r>
        <w:rPr>
          <w:spacing w:val="-6"/>
          <w:w w:val="105"/>
          <w:sz w:val="21"/>
        </w:rPr>
        <w:t> </w:t>
      </w:r>
      <w:r>
        <w:rPr>
          <w:w w:val="105"/>
          <w:sz w:val="21"/>
        </w:rPr>
        <w:t>just</w:t>
      </w:r>
      <w:r>
        <w:rPr>
          <w:spacing w:val="-6"/>
          <w:w w:val="105"/>
          <w:sz w:val="21"/>
        </w:rPr>
        <w:t> </w:t>
      </w:r>
      <w:r>
        <w:rPr>
          <w:spacing w:val="-3"/>
          <w:w w:val="105"/>
          <w:sz w:val="21"/>
        </w:rPr>
        <w:t>for</w:t>
      </w:r>
      <w:r>
        <w:rPr>
          <w:spacing w:val="-5"/>
          <w:w w:val="105"/>
          <w:sz w:val="21"/>
        </w:rPr>
        <w:t> </w:t>
      </w:r>
      <w:r>
        <w:rPr>
          <w:w w:val="105"/>
          <w:sz w:val="21"/>
        </w:rPr>
        <w:t>a</w:t>
      </w:r>
      <w:r>
        <w:rPr>
          <w:spacing w:val="-6"/>
          <w:w w:val="105"/>
          <w:sz w:val="21"/>
        </w:rPr>
        <w:t> </w:t>
      </w:r>
      <w:r>
        <w:rPr>
          <w:spacing w:val="-3"/>
          <w:w w:val="105"/>
          <w:sz w:val="21"/>
        </w:rPr>
        <w:t>rural</w:t>
      </w:r>
      <w:r>
        <w:rPr>
          <w:spacing w:val="-6"/>
          <w:w w:val="105"/>
          <w:sz w:val="21"/>
        </w:rPr>
        <w:t> </w:t>
      </w:r>
      <w:r>
        <w:rPr>
          <w:w w:val="105"/>
          <w:sz w:val="21"/>
        </w:rPr>
        <w:t>landowner</w:t>
      </w:r>
      <w:r>
        <w:rPr>
          <w:spacing w:val="-5"/>
          <w:w w:val="105"/>
          <w:sz w:val="21"/>
        </w:rPr>
        <w:t> </w:t>
      </w:r>
      <w:r>
        <w:rPr>
          <w:spacing w:val="-3"/>
          <w:w w:val="105"/>
          <w:sz w:val="21"/>
        </w:rPr>
        <w:t>to</w:t>
      </w:r>
      <w:r>
        <w:rPr>
          <w:spacing w:val="-6"/>
          <w:w w:val="105"/>
          <w:sz w:val="21"/>
        </w:rPr>
        <w:t> </w:t>
      </w:r>
      <w:r>
        <w:rPr>
          <w:w w:val="105"/>
          <w:sz w:val="21"/>
        </w:rPr>
        <w:t>be</w:t>
      </w:r>
      <w:r>
        <w:rPr>
          <w:spacing w:val="-5"/>
          <w:w w:val="105"/>
          <w:sz w:val="21"/>
        </w:rPr>
        <w:t> </w:t>
      </w:r>
      <w:r>
        <w:rPr>
          <w:w w:val="105"/>
          <w:sz w:val="21"/>
        </w:rPr>
        <w:t>able </w:t>
      </w:r>
      <w:r>
        <w:rPr>
          <w:spacing w:val="-3"/>
          <w:w w:val="105"/>
          <w:sz w:val="21"/>
        </w:rPr>
        <w:t>to</w:t>
      </w:r>
      <w:r>
        <w:rPr>
          <w:spacing w:val="-6"/>
          <w:w w:val="105"/>
          <w:sz w:val="21"/>
        </w:rPr>
        <w:t> </w:t>
      </w:r>
      <w:r>
        <w:rPr>
          <w:spacing w:val="-3"/>
          <w:w w:val="105"/>
          <w:sz w:val="21"/>
        </w:rPr>
        <w:t>claim</w:t>
      </w:r>
      <w:r>
        <w:rPr>
          <w:spacing w:val="-5"/>
          <w:w w:val="105"/>
          <w:sz w:val="21"/>
        </w:rPr>
        <w:t> </w:t>
      </w:r>
      <w:r>
        <w:rPr>
          <w:w w:val="105"/>
          <w:sz w:val="21"/>
        </w:rPr>
        <w:t>compensation</w:t>
      </w:r>
      <w:r>
        <w:rPr>
          <w:spacing w:val="-5"/>
          <w:w w:val="105"/>
          <w:sz w:val="21"/>
        </w:rPr>
        <w:t> </w:t>
      </w:r>
      <w:r>
        <w:rPr>
          <w:spacing w:val="-3"/>
          <w:w w:val="105"/>
          <w:sz w:val="21"/>
        </w:rPr>
        <w:t>from</w:t>
      </w:r>
      <w:r>
        <w:rPr>
          <w:spacing w:val="-5"/>
          <w:w w:val="105"/>
          <w:sz w:val="21"/>
        </w:rPr>
        <w:t> </w:t>
      </w:r>
      <w:r>
        <w:rPr>
          <w:w w:val="105"/>
          <w:sz w:val="21"/>
        </w:rPr>
        <w:t>a</w:t>
      </w:r>
      <w:r>
        <w:rPr>
          <w:spacing w:val="-5"/>
          <w:w w:val="105"/>
          <w:sz w:val="21"/>
        </w:rPr>
        <w:t> </w:t>
      </w:r>
      <w:r>
        <w:rPr>
          <w:w w:val="105"/>
          <w:sz w:val="21"/>
        </w:rPr>
        <w:t>developer</w:t>
      </w:r>
      <w:r>
        <w:rPr>
          <w:spacing w:val="-5"/>
          <w:w w:val="105"/>
          <w:sz w:val="21"/>
        </w:rPr>
        <w:t> </w:t>
      </w:r>
      <w:r>
        <w:rPr>
          <w:spacing w:val="-3"/>
          <w:w w:val="105"/>
          <w:sz w:val="21"/>
        </w:rPr>
        <w:t>for</w:t>
      </w:r>
      <w:r>
        <w:rPr>
          <w:spacing w:val="-5"/>
          <w:w w:val="105"/>
          <w:sz w:val="21"/>
        </w:rPr>
        <w:t> </w:t>
      </w:r>
      <w:r>
        <w:rPr>
          <w:w w:val="105"/>
          <w:sz w:val="21"/>
        </w:rPr>
        <w:t>the</w:t>
      </w:r>
      <w:r>
        <w:rPr>
          <w:spacing w:val="-5"/>
          <w:w w:val="105"/>
          <w:sz w:val="21"/>
        </w:rPr>
        <w:t> </w:t>
      </w:r>
      <w:r>
        <w:rPr>
          <w:spacing w:val="-3"/>
          <w:w w:val="105"/>
          <w:sz w:val="21"/>
        </w:rPr>
        <w:t>imposition</w:t>
      </w:r>
      <w:r>
        <w:rPr>
          <w:spacing w:val="-5"/>
          <w:w w:val="105"/>
          <w:sz w:val="21"/>
        </w:rPr>
        <w:t> </w:t>
      </w:r>
      <w:r>
        <w:rPr>
          <w:w w:val="105"/>
          <w:sz w:val="21"/>
        </w:rPr>
        <w:t>of</w:t>
      </w:r>
      <w:r>
        <w:rPr>
          <w:spacing w:val="-5"/>
          <w:w w:val="105"/>
          <w:sz w:val="21"/>
        </w:rPr>
        <w:t> </w:t>
      </w:r>
      <w:r>
        <w:rPr>
          <w:w w:val="105"/>
          <w:sz w:val="21"/>
        </w:rPr>
        <w:t>these</w:t>
      </w:r>
      <w:r>
        <w:rPr>
          <w:spacing w:val="-5"/>
          <w:w w:val="105"/>
          <w:sz w:val="21"/>
        </w:rPr>
        <w:t> </w:t>
      </w:r>
      <w:r>
        <w:rPr>
          <w:w w:val="105"/>
          <w:sz w:val="21"/>
        </w:rPr>
        <w:t>costs</w:t>
      </w:r>
      <w:r>
        <w:rPr>
          <w:spacing w:val="-5"/>
          <w:w w:val="105"/>
          <w:sz w:val="21"/>
        </w:rPr>
        <w:t> </w:t>
      </w:r>
      <w:r>
        <w:rPr>
          <w:w w:val="105"/>
          <w:sz w:val="21"/>
        </w:rPr>
        <w:t>as</w:t>
      </w:r>
      <w:r>
        <w:rPr>
          <w:spacing w:val="-5"/>
          <w:w w:val="105"/>
          <w:sz w:val="21"/>
        </w:rPr>
        <w:t> </w:t>
      </w:r>
      <w:r>
        <w:rPr>
          <w:w w:val="105"/>
          <w:sz w:val="21"/>
        </w:rPr>
        <w:t>a</w:t>
      </w:r>
      <w:r>
        <w:rPr>
          <w:spacing w:val="-5"/>
          <w:w w:val="105"/>
          <w:sz w:val="21"/>
        </w:rPr>
        <w:t> </w:t>
      </w:r>
      <w:r>
        <w:rPr>
          <w:spacing w:val="-3"/>
          <w:w w:val="105"/>
          <w:sz w:val="21"/>
        </w:rPr>
        <w:t>lump</w:t>
      </w:r>
      <w:r>
        <w:rPr>
          <w:spacing w:val="-5"/>
          <w:w w:val="105"/>
          <w:sz w:val="21"/>
        </w:rPr>
        <w:t> </w:t>
      </w:r>
      <w:r>
        <w:rPr>
          <w:spacing w:val="-3"/>
          <w:w w:val="105"/>
          <w:sz w:val="21"/>
        </w:rPr>
        <w:t>sum </w:t>
      </w:r>
      <w:r>
        <w:rPr>
          <w:w w:val="105"/>
          <w:sz w:val="21"/>
        </w:rPr>
        <w:t>at the time of </w:t>
      </w:r>
      <w:r>
        <w:rPr>
          <w:spacing w:val="-4"/>
          <w:w w:val="105"/>
          <w:sz w:val="21"/>
        </w:rPr>
        <w:t>subdivision’.</w:t>
      </w:r>
      <w:r>
        <w:rPr>
          <w:spacing w:val="-4"/>
          <w:w w:val="105"/>
          <w:position w:val="7"/>
          <w:sz w:val="12"/>
        </w:rPr>
        <w:t>62 </w:t>
      </w:r>
      <w:r>
        <w:rPr>
          <w:w w:val="105"/>
          <w:sz w:val="21"/>
        </w:rPr>
        <w:t>This is a matter </w:t>
      </w:r>
      <w:r>
        <w:rPr>
          <w:spacing w:val="-3"/>
          <w:w w:val="105"/>
          <w:sz w:val="21"/>
        </w:rPr>
        <w:t>that </w:t>
      </w:r>
      <w:r>
        <w:rPr>
          <w:w w:val="105"/>
          <w:sz w:val="21"/>
        </w:rPr>
        <w:t>is outside the scope of this inquiry and </w:t>
      </w:r>
      <w:r>
        <w:rPr>
          <w:spacing w:val="-3"/>
          <w:w w:val="105"/>
          <w:sz w:val="21"/>
        </w:rPr>
        <w:t>could </w:t>
      </w:r>
      <w:r>
        <w:rPr>
          <w:w w:val="105"/>
          <w:sz w:val="21"/>
        </w:rPr>
        <w:t>be </w:t>
      </w:r>
      <w:r>
        <w:rPr>
          <w:spacing w:val="-3"/>
          <w:w w:val="105"/>
          <w:sz w:val="21"/>
        </w:rPr>
        <w:t>considered </w:t>
      </w:r>
      <w:r>
        <w:rPr>
          <w:w w:val="105"/>
          <w:sz w:val="21"/>
        </w:rPr>
        <w:t>when the Act is reviewed as recommended </w:t>
      </w:r>
      <w:r>
        <w:rPr>
          <w:spacing w:val="-3"/>
          <w:w w:val="105"/>
          <w:sz w:val="21"/>
        </w:rPr>
        <w:t>later </w:t>
      </w:r>
      <w:r>
        <w:rPr>
          <w:w w:val="105"/>
          <w:sz w:val="21"/>
        </w:rPr>
        <w:t>in this</w:t>
      </w:r>
      <w:r>
        <w:rPr>
          <w:spacing w:val="-21"/>
          <w:w w:val="105"/>
          <w:sz w:val="21"/>
        </w:rPr>
        <w:t> </w:t>
      </w:r>
      <w:r>
        <w:rPr>
          <w:spacing w:val="-5"/>
          <w:w w:val="105"/>
          <w:sz w:val="21"/>
        </w:rPr>
        <w:t>Chapter.</w:t>
      </w:r>
    </w:p>
    <w:p>
      <w:pPr>
        <w:pStyle w:val="BodyText"/>
        <w:spacing w:before="4"/>
        <w:rPr>
          <w:sz w:val="10"/>
        </w:rPr>
      </w:pPr>
      <w:r>
        <w:rPr/>
        <w:pict>
          <v:line style="position:absolute;mso-position-horizontal-relative:page;mso-position-vertical-relative:paragraph;z-index:12008;mso-wrap-distance-left:0;mso-wrap-distance-right:0" from="79.370102pt,8.785615pt" to="515.905102pt,8.785615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38"/>
        </w:rPr>
      </w:pPr>
    </w:p>
    <w:p>
      <w:pPr>
        <w:spacing w:before="0"/>
        <w:ind w:left="720" w:right="0" w:firstLine="0"/>
        <w:jc w:val="left"/>
        <w:rPr>
          <w:b/>
          <w:sz w:val="24"/>
        </w:rPr>
      </w:pPr>
      <w:r>
        <w:rPr>
          <w:b/>
          <w:color w:val="658464"/>
          <w:w w:val="110"/>
          <w:sz w:val="24"/>
        </w:rPr>
        <w:t>296</w:t>
      </w:r>
    </w:p>
    <w:p>
      <w:pPr>
        <w:pStyle w:val="ListParagraph"/>
        <w:numPr>
          <w:ilvl w:val="0"/>
          <w:numId w:val="204"/>
        </w:numPr>
        <w:tabs>
          <w:tab w:pos="1219" w:val="left" w:leader="none"/>
          <w:tab w:pos="1221" w:val="left" w:leader="none"/>
        </w:tabs>
        <w:spacing w:line="240" w:lineRule="auto" w:before="48" w:after="0"/>
        <w:ind w:left="1220" w:right="0" w:hanging="794"/>
        <w:jc w:val="left"/>
        <w:rPr>
          <w:sz w:val="13"/>
        </w:rPr>
      </w:pPr>
      <w:r>
        <w:rPr>
          <w:w w:val="108"/>
          <w:sz w:val="13"/>
        </w:rPr>
        <w:br w:type="column"/>
      </w:r>
      <w:r>
        <w:rPr>
          <w:w w:val="105"/>
          <w:sz w:val="13"/>
        </w:rPr>
        <w:t>Submission </w:t>
      </w:r>
      <w:r>
        <w:rPr>
          <w:spacing w:val="-4"/>
          <w:w w:val="105"/>
          <w:sz w:val="13"/>
        </w:rPr>
        <w:t>12 </w:t>
      </w:r>
      <w:r>
        <w:rPr>
          <w:spacing w:val="3"/>
          <w:w w:val="105"/>
          <w:sz w:val="13"/>
        </w:rPr>
        <w:t>(Dr </w:t>
      </w:r>
      <w:r>
        <w:rPr>
          <w:w w:val="105"/>
          <w:sz w:val="13"/>
        </w:rPr>
        <w:t>Gregory Moore</w:t>
      </w:r>
      <w:r>
        <w:rPr>
          <w:spacing w:val="-3"/>
          <w:w w:val="105"/>
          <w:sz w:val="13"/>
        </w:rPr>
        <w:t> </w:t>
      </w:r>
      <w:r>
        <w:rPr>
          <w:spacing w:val="2"/>
          <w:w w:val="105"/>
          <w:sz w:val="13"/>
        </w:rPr>
        <w:t>OAM).</w:t>
      </w:r>
    </w:p>
    <w:p>
      <w:pPr>
        <w:pStyle w:val="ListParagraph"/>
        <w:numPr>
          <w:ilvl w:val="0"/>
          <w:numId w:val="204"/>
        </w:numPr>
        <w:tabs>
          <w:tab w:pos="1220" w:val="left" w:leader="none"/>
          <w:tab w:pos="1221" w:val="left" w:leader="none"/>
        </w:tabs>
        <w:spacing w:line="240" w:lineRule="auto" w:before="1" w:after="0"/>
        <w:ind w:left="1220" w:right="1826" w:hanging="794"/>
        <w:jc w:val="left"/>
        <w:rPr>
          <w:sz w:val="13"/>
        </w:rPr>
      </w:pPr>
      <w:r>
        <w:rPr>
          <w:w w:val="105"/>
          <w:sz w:val="13"/>
        </w:rPr>
        <w:t>See, eg, </w:t>
      </w:r>
      <w:r>
        <w:rPr>
          <w:i/>
          <w:w w:val="105"/>
          <w:sz w:val="13"/>
        </w:rPr>
        <w:t>Planning and Environment Act 1987 </w:t>
      </w:r>
      <w:r>
        <w:rPr>
          <w:spacing w:val="2"/>
          <w:w w:val="105"/>
          <w:sz w:val="13"/>
        </w:rPr>
        <w:t>(Vic); </w:t>
      </w:r>
      <w:r>
        <w:rPr>
          <w:i/>
          <w:w w:val="105"/>
          <w:sz w:val="13"/>
        </w:rPr>
        <w:t>Victorian Conservation Trust Act </w:t>
      </w:r>
      <w:r>
        <w:rPr>
          <w:i/>
          <w:spacing w:val="-3"/>
          <w:w w:val="105"/>
          <w:sz w:val="13"/>
        </w:rPr>
        <w:t>1972  </w:t>
      </w:r>
      <w:r>
        <w:rPr>
          <w:spacing w:val="2"/>
          <w:w w:val="105"/>
          <w:sz w:val="13"/>
        </w:rPr>
        <w:t>(Vic) </w:t>
      </w:r>
      <w:r>
        <w:rPr>
          <w:w w:val="105"/>
          <w:sz w:val="13"/>
        </w:rPr>
        <w:t>s </w:t>
      </w:r>
      <w:r>
        <w:rPr>
          <w:spacing w:val="2"/>
          <w:w w:val="105"/>
          <w:sz w:val="13"/>
        </w:rPr>
        <w:t>3B; </w:t>
      </w:r>
      <w:r>
        <w:rPr>
          <w:i/>
          <w:w w:val="105"/>
          <w:sz w:val="13"/>
        </w:rPr>
        <w:t>Conservation, </w:t>
      </w:r>
      <w:r>
        <w:rPr>
          <w:i/>
          <w:spacing w:val="2"/>
          <w:w w:val="105"/>
          <w:sz w:val="13"/>
        </w:rPr>
        <w:t>Forests </w:t>
      </w:r>
      <w:r>
        <w:rPr>
          <w:i/>
          <w:w w:val="105"/>
          <w:sz w:val="13"/>
        </w:rPr>
        <w:t>and Lands       </w:t>
      </w:r>
      <w:r>
        <w:rPr>
          <w:i/>
          <w:w w:val="105"/>
          <w:sz w:val="13"/>
        </w:rPr>
        <w:t>Act 1987 </w:t>
      </w:r>
      <w:r>
        <w:rPr>
          <w:spacing w:val="2"/>
          <w:w w:val="105"/>
          <w:sz w:val="13"/>
        </w:rPr>
        <w:t>(Vic); </w:t>
      </w:r>
      <w:r>
        <w:rPr>
          <w:i/>
          <w:w w:val="105"/>
          <w:sz w:val="13"/>
        </w:rPr>
        <w:t>Environment Protection and Biodiversity Conservation Act 1999 </w:t>
      </w:r>
      <w:r>
        <w:rPr>
          <w:w w:val="105"/>
          <w:sz w:val="13"/>
        </w:rPr>
        <w:t>(Cth). The Commission notes that if the preservation of</w:t>
      </w:r>
      <w:r>
        <w:rPr>
          <w:spacing w:val="30"/>
          <w:w w:val="105"/>
          <w:sz w:val="13"/>
        </w:rPr>
        <w:t> </w:t>
      </w:r>
      <w:r>
        <w:rPr>
          <w:w w:val="105"/>
          <w:sz w:val="13"/>
        </w:rPr>
        <w:t>land</w:t>
      </w:r>
      <w:r>
        <w:rPr>
          <w:spacing w:val="2"/>
          <w:w w:val="105"/>
          <w:sz w:val="13"/>
        </w:rPr>
        <w:t> </w:t>
      </w:r>
      <w:r>
        <w:rPr>
          <w:w w:val="105"/>
          <w:sz w:val="13"/>
        </w:rPr>
        <w:t>subject</w:t>
      </w:r>
      <w:r>
        <w:rPr>
          <w:spacing w:val="3"/>
          <w:w w:val="105"/>
          <w:sz w:val="13"/>
        </w:rPr>
        <w:t> </w:t>
      </w:r>
      <w:r>
        <w:rPr>
          <w:w w:val="105"/>
          <w:sz w:val="13"/>
        </w:rPr>
        <w:t>to</w:t>
      </w:r>
      <w:r>
        <w:rPr>
          <w:spacing w:val="3"/>
          <w:w w:val="105"/>
          <w:sz w:val="13"/>
        </w:rPr>
        <w:t> </w:t>
      </w:r>
      <w:r>
        <w:rPr>
          <w:w w:val="105"/>
          <w:sz w:val="13"/>
        </w:rPr>
        <w:t>a</w:t>
      </w:r>
      <w:r>
        <w:rPr>
          <w:spacing w:val="3"/>
          <w:w w:val="105"/>
          <w:sz w:val="13"/>
        </w:rPr>
        <w:t> </w:t>
      </w:r>
      <w:r>
        <w:rPr>
          <w:w w:val="105"/>
          <w:sz w:val="13"/>
        </w:rPr>
        <w:t>conservation</w:t>
      </w:r>
      <w:r>
        <w:rPr>
          <w:spacing w:val="2"/>
          <w:w w:val="105"/>
          <w:sz w:val="13"/>
        </w:rPr>
        <w:t> </w:t>
      </w:r>
      <w:r>
        <w:rPr>
          <w:w w:val="105"/>
          <w:sz w:val="13"/>
        </w:rPr>
        <w:t>covenant</w:t>
      </w:r>
      <w:r>
        <w:rPr>
          <w:spacing w:val="3"/>
          <w:w w:val="105"/>
          <w:sz w:val="13"/>
        </w:rPr>
        <w:t> </w:t>
      </w:r>
      <w:r>
        <w:rPr>
          <w:w w:val="105"/>
          <w:sz w:val="13"/>
        </w:rPr>
        <w:t>is</w:t>
      </w:r>
      <w:r>
        <w:rPr>
          <w:spacing w:val="3"/>
          <w:w w:val="105"/>
          <w:sz w:val="13"/>
        </w:rPr>
        <w:t> </w:t>
      </w:r>
      <w:r>
        <w:rPr>
          <w:w w:val="105"/>
          <w:sz w:val="13"/>
        </w:rPr>
        <w:t>not</w:t>
      </w:r>
      <w:r>
        <w:rPr>
          <w:spacing w:val="3"/>
          <w:w w:val="105"/>
          <w:sz w:val="13"/>
        </w:rPr>
        <w:t> </w:t>
      </w:r>
      <w:r>
        <w:rPr>
          <w:w w:val="105"/>
          <w:sz w:val="13"/>
        </w:rPr>
        <w:t>economically</w:t>
      </w:r>
      <w:r>
        <w:rPr>
          <w:spacing w:val="3"/>
          <w:w w:val="105"/>
          <w:sz w:val="13"/>
        </w:rPr>
        <w:t> </w:t>
      </w:r>
      <w:r>
        <w:rPr>
          <w:w w:val="105"/>
          <w:sz w:val="13"/>
        </w:rPr>
        <w:t>feasible</w:t>
      </w:r>
      <w:r>
        <w:rPr>
          <w:spacing w:val="2"/>
          <w:w w:val="105"/>
          <w:sz w:val="13"/>
        </w:rPr>
        <w:t> </w:t>
      </w:r>
      <w:r>
        <w:rPr>
          <w:w w:val="105"/>
          <w:sz w:val="13"/>
        </w:rPr>
        <w:t>and</w:t>
      </w:r>
      <w:r>
        <w:rPr>
          <w:spacing w:val="3"/>
          <w:w w:val="105"/>
          <w:sz w:val="13"/>
        </w:rPr>
        <w:t> </w:t>
      </w:r>
      <w:r>
        <w:rPr>
          <w:w w:val="105"/>
          <w:sz w:val="13"/>
        </w:rPr>
        <w:t>preservation</w:t>
      </w:r>
      <w:r>
        <w:rPr>
          <w:spacing w:val="3"/>
          <w:w w:val="105"/>
          <w:sz w:val="13"/>
        </w:rPr>
        <w:t> </w:t>
      </w:r>
      <w:r>
        <w:rPr>
          <w:w w:val="105"/>
          <w:sz w:val="13"/>
        </w:rPr>
        <w:t>is</w:t>
      </w:r>
      <w:r>
        <w:rPr>
          <w:spacing w:val="3"/>
          <w:w w:val="105"/>
          <w:sz w:val="13"/>
        </w:rPr>
        <w:t> </w:t>
      </w:r>
      <w:r>
        <w:rPr>
          <w:w w:val="105"/>
          <w:sz w:val="13"/>
        </w:rPr>
        <w:t>thereby</w:t>
      </w:r>
      <w:r>
        <w:rPr>
          <w:spacing w:val="2"/>
          <w:w w:val="105"/>
          <w:sz w:val="13"/>
        </w:rPr>
        <w:t> </w:t>
      </w:r>
      <w:r>
        <w:rPr>
          <w:w w:val="105"/>
          <w:sz w:val="13"/>
        </w:rPr>
        <w:t>endangered,</w:t>
      </w:r>
      <w:r>
        <w:rPr>
          <w:spacing w:val="3"/>
          <w:w w:val="105"/>
          <w:sz w:val="13"/>
        </w:rPr>
        <w:t> </w:t>
      </w:r>
      <w:r>
        <w:rPr>
          <w:w w:val="105"/>
          <w:sz w:val="13"/>
        </w:rPr>
        <w:t>the</w:t>
      </w:r>
      <w:r>
        <w:rPr>
          <w:spacing w:val="3"/>
          <w:w w:val="105"/>
          <w:sz w:val="13"/>
        </w:rPr>
        <w:t> </w:t>
      </w:r>
      <w:r>
        <w:rPr>
          <w:w w:val="105"/>
          <w:sz w:val="13"/>
        </w:rPr>
        <w:t>Minister</w:t>
      </w:r>
      <w:r>
        <w:rPr>
          <w:spacing w:val="3"/>
          <w:w w:val="105"/>
          <w:sz w:val="13"/>
        </w:rPr>
        <w:t> </w:t>
      </w:r>
      <w:r>
        <w:rPr>
          <w:w w:val="105"/>
          <w:sz w:val="13"/>
        </w:rPr>
        <w:t>may</w:t>
      </w:r>
      <w:r>
        <w:rPr>
          <w:spacing w:val="3"/>
          <w:w w:val="105"/>
          <w:sz w:val="13"/>
        </w:rPr>
        <w:t> </w:t>
      </w:r>
      <w:r>
        <w:rPr>
          <w:w w:val="105"/>
          <w:sz w:val="13"/>
        </w:rPr>
        <w:t>remit</w:t>
      </w:r>
      <w:r>
        <w:rPr>
          <w:spacing w:val="2"/>
          <w:w w:val="105"/>
          <w:sz w:val="13"/>
        </w:rPr>
        <w:t> </w:t>
      </w:r>
      <w:r>
        <w:rPr>
          <w:w w:val="105"/>
          <w:sz w:val="13"/>
        </w:rPr>
        <w:t>the</w:t>
      </w:r>
    </w:p>
    <w:p>
      <w:pPr>
        <w:spacing w:before="4"/>
        <w:ind w:left="1220" w:right="1567" w:firstLine="0"/>
        <w:jc w:val="left"/>
        <w:rPr>
          <w:sz w:val="13"/>
        </w:rPr>
      </w:pPr>
      <w:r>
        <w:rPr>
          <w:w w:val="105"/>
          <w:sz w:val="13"/>
        </w:rPr>
        <w:t>whole or any part of the tax payable by the owner under the </w:t>
      </w:r>
      <w:r>
        <w:rPr>
          <w:i/>
          <w:w w:val="105"/>
          <w:sz w:val="13"/>
        </w:rPr>
        <w:t>Land Tax Act 1958 </w:t>
      </w:r>
      <w:r>
        <w:rPr>
          <w:w w:val="105"/>
          <w:sz w:val="13"/>
        </w:rPr>
        <w:t>(Vic) that is attributable to the land concerned: </w:t>
      </w:r>
      <w:r>
        <w:rPr>
          <w:i/>
          <w:w w:val="105"/>
          <w:sz w:val="13"/>
        </w:rPr>
        <w:t>Victorian </w:t>
      </w:r>
      <w:r>
        <w:rPr>
          <w:i/>
          <w:w w:val="105"/>
          <w:sz w:val="13"/>
        </w:rPr>
        <w:t>Conservation Trust Act 1972 </w:t>
      </w:r>
      <w:r>
        <w:rPr>
          <w:w w:val="105"/>
          <w:sz w:val="13"/>
        </w:rPr>
        <w:t>(Vic) s 3B.</w:t>
      </w:r>
    </w:p>
    <w:p>
      <w:pPr>
        <w:pStyle w:val="ListParagraph"/>
        <w:numPr>
          <w:ilvl w:val="0"/>
          <w:numId w:val="204"/>
        </w:numPr>
        <w:tabs>
          <w:tab w:pos="1220" w:val="left" w:leader="none"/>
          <w:tab w:pos="1221" w:val="left" w:leader="none"/>
        </w:tabs>
        <w:spacing w:line="240" w:lineRule="auto" w:before="3" w:after="0"/>
        <w:ind w:left="1220" w:right="1746" w:hanging="794"/>
        <w:jc w:val="left"/>
        <w:rPr>
          <w:sz w:val="13"/>
        </w:rPr>
      </w:pPr>
      <w:r>
        <w:rPr>
          <w:w w:val="105"/>
          <w:sz w:val="13"/>
        </w:rPr>
        <w:t>City of Greater Bendigo, </w:t>
      </w:r>
      <w:r>
        <w:rPr>
          <w:i/>
          <w:w w:val="105"/>
          <w:sz w:val="13"/>
        </w:rPr>
        <w:t>Urban Tree Management Policy </w:t>
      </w:r>
      <w:r>
        <w:rPr>
          <w:spacing w:val="-2"/>
          <w:w w:val="105"/>
          <w:sz w:val="13"/>
        </w:rPr>
        <w:t>(16  </w:t>
      </w:r>
      <w:r>
        <w:rPr>
          <w:w w:val="105"/>
          <w:sz w:val="13"/>
        </w:rPr>
        <w:t>August 2017) </w:t>
      </w:r>
      <w:r>
        <w:rPr>
          <w:spacing w:val="2"/>
          <w:w w:val="105"/>
          <w:sz w:val="13"/>
        </w:rPr>
        <w:t>4; </w:t>
      </w:r>
      <w:r>
        <w:rPr>
          <w:w w:val="105"/>
          <w:sz w:val="13"/>
        </w:rPr>
        <w:t>see also City of Melbourne, </w:t>
      </w:r>
      <w:r>
        <w:rPr>
          <w:i/>
          <w:w w:val="105"/>
          <w:sz w:val="13"/>
        </w:rPr>
        <w:t>Urban Forest Strategy—Making     </w:t>
      </w:r>
      <w:r>
        <w:rPr>
          <w:i/>
          <w:w w:val="105"/>
          <w:sz w:val="13"/>
        </w:rPr>
        <w:t>a Great City Greener 2012–2032 </w:t>
      </w:r>
      <w:r>
        <w:rPr>
          <w:spacing w:val="2"/>
          <w:w w:val="105"/>
          <w:sz w:val="13"/>
        </w:rPr>
        <w:t>&lt;https://</w:t>
      </w:r>
      <w:hyperlink r:id="rId360">
        <w:r>
          <w:rPr>
            <w:spacing w:val="2"/>
            <w:w w:val="105"/>
            <w:sz w:val="13"/>
          </w:rPr>
          <w:t>www.melbourne.vic.gov.au/community/parks-open-spaces/urban-forest/Pages/urban-forest-</w:t>
        </w:r>
      </w:hyperlink>
      <w:r>
        <w:rPr>
          <w:spacing w:val="2"/>
          <w:w w:val="105"/>
          <w:sz w:val="13"/>
        </w:rPr>
        <w:t> </w:t>
      </w:r>
      <w:r>
        <w:rPr>
          <w:w w:val="105"/>
          <w:sz w:val="13"/>
        </w:rPr>
        <w:t>strategy.aspx&gt;.</w:t>
      </w:r>
    </w:p>
    <w:p>
      <w:pPr>
        <w:pStyle w:val="ListParagraph"/>
        <w:numPr>
          <w:ilvl w:val="0"/>
          <w:numId w:val="204"/>
        </w:numPr>
        <w:tabs>
          <w:tab w:pos="1220" w:val="left" w:leader="none"/>
          <w:tab w:pos="1221" w:val="left" w:leader="none"/>
        </w:tabs>
        <w:spacing w:line="240" w:lineRule="auto" w:before="4" w:after="0"/>
        <w:ind w:left="1220" w:right="1945" w:hanging="794"/>
        <w:jc w:val="left"/>
        <w:rPr>
          <w:sz w:val="13"/>
        </w:rPr>
      </w:pPr>
      <w:r>
        <w:rPr>
          <w:w w:val="105"/>
          <w:sz w:val="13"/>
        </w:rPr>
        <w:t>City of Stonnington, </w:t>
      </w:r>
      <w:r>
        <w:rPr>
          <w:i/>
          <w:w w:val="105"/>
          <w:sz w:val="13"/>
        </w:rPr>
        <w:t>Urban Forest Strategy 2017–2022 </w:t>
      </w:r>
      <w:r>
        <w:rPr>
          <w:w w:val="105"/>
          <w:sz w:val="13"/>
        </w:rPr>
        <w:t>(June 2017) 4 </w:t>
      </w:r>
      <w:r>
        <w:rPr>
          <w:spacing w:val="2"/>
          <w:w w:val="105"/>
          <w:sz w:val="13"/>
        </w:rPr>
        <w:t>&lt;https://</w:t>
      </w:r>
      <w:hyperlink r:id="rId361">
        <w:r>
          <w:rPr>
            <w:spacing w:val="2"/>
            <w:w w:val="105"/>
            <w:sz w:val="13"/>
          </w:rPr>
          <w:t>www.stonnington.vic.gov.au/Live/Urban-Forest/Urban-</w:t>
        </w:r>
      </w:hyperlink>
      <w:r>
        <w:rPr>
          <w:spacing w:val="2"/>
          <w:w w:val="105"/>
          <w:sz w:val="13"/>
        </w:rPr>
        <w:t> </w:t>
      </w:r>
      <w:r>
        <w:rPr>
          <w:w w:val="105"/>
          <w:sz w:val="13"/>
        </w:rPr>
        <w:t>Forest-Strategy&gt;.</w:t>
      </w:r>
    </w:p>
    <w:p>
      <w:pPr>
        <w:pStyle w:val="ListParagraph"/>
        <w:numPr>
          <w:ilvl w:val="0"/>
          <w:numId w:val="204"/>
        </w:numPr>
        <w:tabs>
          <w:tab w:pos="1220" w:val="left" w:leader="none"/>
          <w:tab w:pos="1221" w:val="left" w:leader="none"/>
        </w:tabs>
        <w:spacing w:line="240" w:lineRule="auto" w:before="3" w:after="0"/>
        <w:ind w:left="1220" w:right="1643" w:hanging="794"/>
        <w:jc w:val="left"/>
        <w:rPr>
          <w:sz w:val="13"/>
        </w:rPr>
      </w:pPr>
      <w:r>
        <w:rPr>
          <w:w w:val="105"/>
          <w:sz w:val="13"/>
        </w:rPr>
        <w:t>City of Ballarat, ‘Exceptional Tree Register’, </w:t>
      </w:r>
      <w:r>
        <w:rPr>
          <w:i/>
          <w:w w:val="105"/>
          <w:sz w:val="13"/>
        </w:rPr>
        <w:t>Tree Management </w:t>
      </w:r>
      <w:r>
        <w:rPr>
          <w:w w:val="105"/>
          <w:sz w:val="13"/>
        </w:rPr>
        <w:t>(Web Page, 2019) </w:t>
      </w:r>
      <w:r>
        <w:rPr>
          <w:spacing w:val="2"/>
          <w:w w:val="105"/>
          <w:sz w:val="13"/>
        </w:rPr>
        <w:t>&lt;</w:t>
      </w:r>
      <w:hyperlink r:id="rId82">
        <w:r>
          <w:rPr>
            <w:spacing w:val="2"/>
            <w:w w:val="105"/>
            <w:sz w:val="13"/>
          </w:rPr>
          <w:t>http://www.ballarat.vic.gov.au/city/parks-and-outdoors/</w:t>
        </w:r>
      </w:hyperlink>
      <w:r>
        <w:rPr>
          <w:spacing w:val="2"/>
          <w:w w:val="105"/>
          <w:sz w:val="13"/>
        </w:rPr>
        <w:t> </w:t>
      </w:r>
      <w:r>
        <w:rPr>
          <w:w w:val="105"/>
          <w:sz w:val="13"/>
        </w:rPr>
        <w:t>tree-management&gt;.</w:t>
      </w:r>
    </w:p>
    <w:p>
      <w:pPr>
        <w:pStyle w:val="ListParagraph"/>
        <w:numPr>
          <w:ilvl w:val="0"/>
          <w:numId w:val="204"/>
        </w:numPr>
        <w:tabs>
          <w:tab w:pos="1220" w:val="left" w:leader="none"/>
          <w:tab w:pos="1221" w:val="left" w:leader="none"/>
        </w:tabs>
        <w:spacing w:line="240" w:lineRule="auto" w:before="2" w:after="0"/>
        <w:ind w:left="1220" w:right="0" w:hanging="794"/>
        <w:jc w:val="left"/>
        <w:rPr>
          <w:sz w:val="13"/>
        </w:rPr>
      </w:pPr>
      <w:r>
        <w:rPr>
          <w:w w:val="105"/>
          <w:sz w:val="13"/>
        </w:rPr>
        <w:t>South Gippsland Shire Council, </w:t>
      </w:r>
      <w:r>
        <w:rPr>
          <w:i/>
          <w:w w:val="105"/>
          <w:sz w:val="13"/>
        </w:rPr>
        <w:t>Tree Management Plan </w:t>
      </w:r>
      <w:r>
        <w:rPr>
          <w:i/>
          <w:spacing w:val="-4"/>
          <w:w w:val="105"/>
          <w:sz w:val="13"/>
        </w:rPr>
        <w:t>2017 </w:t>
      </w:r>
      <w:r>
        <w:rPr>
          <w:w w:val="105"/>
          <w:sz w:val="13"/>
        </w:rPr>
        <w:t>(26 July 2017)</w:t>
      </w:r>
      <w:r>
        <w:rPr>
          <w:spacing w:val="29"/>
          <w:w w:val="105"/>
          <w:sz w:val="13"/>
        </w:rPr>
        <w:t> </w:t>
      </w:r>
      <w:r>
        <w:rPr>
          <w:w w:val="105"/>
          <w:sz w:val="13"/>
        </w:rPr>
        <w:t>4.</w:t>
      </w:r>
    </w:p>
    <w:p>
      <w:pPr>
        <w:pStyle w:val="ListParagraph"/>
        <w:numPr>
          <w:ilvl w:val="0"/>
          <w:numId w:val="204"/>
        </w:numPr>
        <w:tabs>
          <w:tab w:pos="1220" w:val="left" w:leader="none"/>
          <w:tab w:pos="1221" w:val="left" w:leader="none"/>
        </w:tabs>
        <w:spacing w:line="240" w:lineRule="auto" w:before="2" w:after="0"/>
        <w:ind w:left="1220" w:right="0" w:hanging="794"/>
        <w:jc w:val="left"/>
        <w:rPr>
          <w:sz w:val="13"/>
        </w:rPr>
      </w:pPr>
      <w:r>
        <w:rPr>
          <w:w w:val="105"/>
          <w:sz w:val="13"/>
        </w:rPr>
        <w:t>Submission 28 </w:t>
      </w:r>
      <w:r>
        <w:rPr>
          <w:spacing w:val="3"/>
          <w:w w:val="105"/>
          <w:sz w:val="13"/>
        </w:rPr>
        <w:t>(HVP</w:t>
      </w:r>
      <w:r>
        <w:rPr>
          <w:spacing w:val="13"/>
          <w:w w:val="105"/>
          <w:sz w:val="13"/>
        </w:rPr>
        <w:t> </w:t>
      </w:r>
      <w:r>
        <w:rPr>
          <w:w w:val="105"/>
          <w:sz w:val="13"/>
        </w:rPr>
        <w:t>Plantations).</w:t>
      </w:r>
    </w:p>
    <w:p>
      <w:pPr>
        <w:spacing w:after="0" w:line="240" w:lineRule="auto"/>
        <w:jc w:val="left"/>
        <w:rPr>
          <w:sz w:val="13"/>
        </w:rPr>
        <w:sectPr>
          <w:type w:val="continuous"/>
          <w:pgSz w:w="11910" w:h="16840"/>
          <w:pgMar w:top="300" w:bottom="280" w:left="0" w:right="0"/>
          <w:cols w:num="2" w:equalWidth="0">
            <w:col w:w="1122" w:space="40"/>
            <w:col w:w="10748"/>
          </w:cols>
        </w:sectPr>
      </w:pPr>
    </w:p>
    <w:p>
      <w:pPr>
        <w:pStyle w:val="BodyText"/>
        <w:rPr>
          <w:sz w:val="20"/>
        </w:rPr>
      </w:pPr>
    </w:p>
    <w:p>
      <w:pPr>
        <w:pStyle w:val="BodyText"/>
        <w:spacing w:before="3"/>
        <w:rPr>
          <w:sz w:val="17"/>
        </w:rPr>
      </w:pPr>
    </w:p>
    <w:p>
      <w:pPr>
        <w:pStyle w:val="Heading4"/>
        <w:spacing w:before="96"/>
      </w:pPr>
      <w:bookmarkStart w:name="_bookmark164" w:id="354"/>
      <w:bookmarkEnd w:id="354"/>
      <w:r>
        <w:rPr>
          <w:b w:val="0"/>
        </w:rPr>
      </w:r>
      <w:r>
        <w:rPr>
          <w:color w:val="658464"/>
          <w:w w:val="115"/>
        </w:rPr>
        <w:t>Issues beyond the scope of this inquiry</w:t>
      </w:r>
    </w:p>
    <w:p>
      <w:pPr>
        <w:pStyle w:val="ListParagraph"/>
        <w:numPr>
          <w:ilvl w:val="1"/>
          <w:numId w:val="16"/>
        </w:numPr>
        <w:tabs>
          <w:tab w:pos="2380" w:val="left" w:leader="none"/>
          <w:tab w:pos="2381" w:val="left" w:leader="none"/>
        </w:tabs>
        <w:spacing w:line="242" w:lineRule="auto" w:before="154" w:after="0"/>
        <w:ind w:left="2381" w:right="1754" w:hanging="794"/>
        <w:jc w:val="left"/>
        <w:rPr>
          <w:sz w:val="21"/>
        </w:rPr>
      </w:pPr>
      <w:r>
        <w:rPr>
          <w:sz w:val="21"/>
        </w:rPr>
        <w:t>In performing its functions in </w:t>
      </w:r>
      <w:r>
        <w:rPr>
          <w:spacing w:val="-3"/>
          <w:sz w:val="21"/>
        </w:rPr>
        <w:t>relation to </w:t>
      </w:r>
      <w:r>
        <w:rPr>
          <w:sz w:val="21"/>
        </w:rPr>
        <w:t>this </w:t>
      </w:r>
      <w:r>
        <w:rPr>
          <w:spacing w:val="-4"/>
          <w:sz w:val="21"/>
        </w:rPr>
        <w:t>inquiry, </w:t>
      </w:r>
      <w:r>
        <w:rPr>
          <w:sz w:val="21"/>
        </w:rPr>
        <w:t>the </w:t>
      </w:r>
      <w:r>
        <w:rPr>
          <w:spacing w:val="-3"/>
          <w:sz w:val="21"/>
        </w:rPr>
        <w:t>Commission </w:t>
      </w:r>
      <w:r>
        <w:rPr>
          <w:spacing w:val="-2"/>
          <w:sz w:val="21"/>
        </w:rPr>
        <w:t>has not </w:t>
      </w:r>
      <w:r>
        <w:rPr>
          <w:spacing w:val="-3"/>
          <w:sz w:val="21"/>
        </w:rPr>
        <w:t>considered </w:t>
      </w:r>
      <w:r>
        <w:rPr>
          <w:sz w:val="21"/>
        </w:rPr>
        <w:t>other matters </w:t>
      </w:r>
      <w:r>
        <w:rPr>
          <w:spacing w:val="-3"/>
          <w:sz w:val="21"/>
        </w:rPr>
        <w:t>that have </w:t>
      </w:r>
      <w:r>
        <w:rPr>
          <w:sz w:val="21"/>
        </w:rPr>
        <w:t>been identified by members of the community</w:t>
      </w:r>
      <w:r>
        <w:rPr>
          <w:spacing w:val="21"/>
          <w:sz w:val="21"/>
        </w:rPr>
        <w:t> </w:t>
      </w:r>
      <w:r>
        <w:rPr>
          <w:spacing w:val="-3"/>
          <w:sz w:val="21"/>
        </w:rPr>
        <w:t>including:</w:t>
      </w:r>
    </w:p>
    <w:p>
      <w:pPr>
        <w:pStyle w:val="ListParagraph"/>
        <w:numPr>
          <w:ilvl w:val="2"/>
          <w:numId w:val="16"/>
        </w:numPr>
        <w:tabs>
          <w:tab w:pos="2721" w:val="left" w:leader="none"/>
          <w:tab w:pos="2722" w:val="left" w:leader="none"/>
        </w:tabs>
        <w:spacing w:line="240" w:lineRule="auto" w:before="123" w:after="0"/>
        <w:ind w:left="2721" w:right="0" w:hanging="340"/>
        <w:jc w:val="left"/>
        <w:rPr>
          <w:sz w:val="21"/>
        </w:rPr>
      </w:pPr>
      <w:r>
        <w:rPr>
          <w:sz w:val="21"/>
        </w:rPr>
        <w:t>trees</w:t>
      </w:r>
      <w:r>
        <w:rPr>
          <w:spacing w:val="9"/>
          <w:sz w:val="21"/>
        </w:rPr>
        <w:t> </w:t>
      </w:r>
      <w:r>
        <w:rPr>
          <w:sz w:val="21"/>
        </w:rPr>
        <w:t>located</w:t>
      </w:r>
      <w:r>
        <w:rPr>
          <w:spacing w:val="10"/>
          <w:sz w:val="21"/>
        </w:rPr>
        <w:t> </w:t>
      </w:r>
      <w:r>
        <w:rPr>
          <w:sz w:val="21"/>
        </w:rPr>
        <w:t>on</w:t>
      </w:r>
      <w:r>
        <w:rPr>
          <w:spacing w:val="10"/>
          <w:sz w:val="21"/>
        </w:rPr>
        <w:t> </w:t>
      </w:r>
      <w:r>
        <w:rPr>
          <w:spacing w:val="-3"/>
          <w:sz w:val="21"/>
        </w:rPr>
        <w:t>public</w:t>
      </w:r>
      <w:r>
        <w:rPr>
          <w:spacing w:val="9"/>
          <w:sz w:val="21"/>
        </w:rPr>
        <w:t> </w:t>
      </w:r>
      <w:r>
        <w:rPr>
          <w:sz w:val="21"/>
        </w:rPr>
        <w:t>land</w:t>
      </w:r>
      <w:r>
        <w:rPr>
          <w:position w:val="7"/>
          <w:sz w:val="12"/>
        </w:rPr>
        <w:t>63</w:t>
      </w:r>
      <w:r>
        <w:rPr>
          <w:spacing w:val="5"/>
          <w:position w:val="7"/>
          <w:sz w:val="12"/>
        </w:rPr>
        <w:t> </w:t>
      </w:r>
      <w:r>
        <w:rPr>
          <w:spacing w:val="-3"/>
          <w:sz w:val="21"/>
        </w:rPr>
        <w:t>(for</w:t>
      </w:r>
      <w:r>
        <w:rPr>
          <w:spacing w:val="10"/>
          <w:sz w:val="21"/>
        </w:rPr>
        <w:t> </w:t>
      </w:r>
      <w:r>
        <w:rPr>
          <w:spacing w:val="-3"/>
          <w:sz w:val="21"/>
        </w:rPr>
        <w:t>example,</w:t>
      </w:r>
      <w:r>
        <w:rPr>
          <w:spacing w:val="9"/>
          <w:sz w:val="21"/>
        </w:rPr>
        <w:t> </w:t>
      </w:r>
      <w:r>
        <w:rPr>
          <w:sz w:val="21"/>
        </w:rPr>
        <w:t>trees</w:t>
      </w:r>
      <w:r>
        <w:rPr>
          <w:spacing w:val="10"/>
          <w:sz w:val="21"/>
        </w:rPr>
        <w:t> </w:t>
      </w:r>
      <w:r>
        <w:rPr>
          <w:sz w:val="21"/>
        </w:rPr>
        <w:t>on</w:t>
      </w:r>
      <w:r>
        <w:rPr>
          <w:spacing w:val="10"/>
          <w:sz w:val="21"/>
        </w:rPr>
        <w:t> </w:t>
      </w:r>
      <w:r>
        <w:rPr>
          <w:sz w:val="21"/>
        </w:rPr>
        <w:t>a</w:t>
      </w:r>
      <w:r>
        <w:rPr>
          <w:spacing w:val="9"/>
          <w:sz w:val="21"/>
        </w:rPr>
        <w:t> </w:t>
      </w:r>
      <w:r>
        <w:rPr>
          <w:spacing w:val="-3"/>
          <w:sz w:val="21"/>
        </w:rPr>
        <w:t>nature</w:t>
      </w:r>
      <w:r>
        <w:rPr>
          <w:spacing w:val="10"/>
          <w:sz w:val="21"/>
        </w:rPr>
        <w:t> </w:t>
      </w:r>
      <w:r>
        <w:rPr>
          <w:sz w:val="21"/>
        </w:rPr>
        <w:t>strip</w:t>
      </w:r>
      <w:r>
        <w:rPr>
          <w:spacing w:val="10"/>
          <w:sz w:val="21"/>
        </w:rPr>
        <w:t> </w:t>
      </w:r>
      <w:r>
        <w:rPr>
          <w:sz w:val="21"/>
        </w:rPr>
        <w:t>or</w:t>
      </w:r>
      <w:r>
        <w:rPr>
          <w:spacing w:val="9"/>
          <w:sz w:val="21"/>
        </w:rPr>
        <w:t> </w:t>
      </w:r>
      <w:r>
        <w:rPr>
          <w:sz w:val="21"/>
        </w:rPr>
        <w:t>reserve);</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w w:val="105"/>
          <w:sz w:val="21"/>
        </w:rPr>
        <w:t>trees blocking </w:t>
      </w:r>
      <w:r>
        <w:rPr>
          <w:spacing w:val="-2"/>
          <w:w w:val="105"/>
          <w:sz w:val="21"/>
        </w:rPr>
        <w:t>access </w:t>
      </w:r>
      <w:r>
        <w:rPr>
          <w:spacing w:val="-3"/>
          <w:w w:val="105"/>
          <w:sz w:val="21"/>
        </w:rPr>
        <w:t>to </w:t>
      </w:r>
      <w:r>
        <w:rPr>
          <w:spacing w:val="-4"/>
          <w:w w:val="105"/>
          <w:sz w:val="21"/>
        </w:rPr>
        <w:t>sunlight </w:t>
      </w:r>
      <w:r>
        <w:rPr>
          <w:w w:val="105"/>
          <w:sz w:val="21"/>
        </w:rPr>
        <w:t>and views </w:t>
      </w:r>
      <w:r>
        <w:rPr>
          <w:spacing w:val="-3"/>
          <w:w w:val="105"/>
          <w:sz w:val="21"/>
        </w:rPr>
        <w:t>(including high</w:t>
      </w:r>
      <w:r>
        <w:rPr>
          <w:spacing w:val="6"/>
          <w:w w:val="105"/>
          <w:sz w:val="21"/>
        </w:rPr>
        <w:t> </w:t>
      </w:r>
      <w:r>
        <w:rPr>
          <w:w w:val="105"/>
          <w:sz w:val="21"/>
        </w:rPr>
        <w:t>hedges)</w:t>
      </w:r>
    </w:p>
    <w:p>
      <w:pPr>
        <w:pStyle w:val="ListParagraph"/>
        <w:numPr>
          <w:ilvl w:val="2"/>
          <w:numId w:val="16"/>
        </w:numPr>
        <w:tabs>
          <w:tab w:pos="2721" w:val="left" w:leader="none"/>
          <w:tab w:pos="2722" w:val="left" w:leader="none"/>
        </w:tabs>
        <w:spacing w:line="240" w:lineRule="auto" w:before="89" w:after="0"/>
        <w:ind w:left="2721" w:right="0" w:hanging="340"/>
        <w:jc w:val="left"/>
        <w:rPr>
          <w:sz w:val="21"/>
        </w:rPr>
      </w:pPr>
      <w:r>
        <w:rPr>
          <w:w w:val="105"/>
          <w:sz w:val="21"/>
        </w:rPr>
        <w:t>the </w:t>
      </w:r>
      <w:r>
        <w:rPr>
          <w:spacing w:val="-3"/>
          <w:w w:val="105"/>
          <w:sz w:val="21"/>
        </w:rPr>
        <w:t>illegal removal </w:t>
      </w:r>
      <w:r>
        <w:rPr>
          <w:w w:val="105"/>
          <w:sz w:val="21"/>
        </w:rPr>
        <w:t>of</w:t>
      </w:r>
      <w:r>
        <w:rPr>
          <w:spacing w:val="26"/>
          <w:w w:val="105"/>
          <w:sz w:val="21"/>
        </w:rPr>
        <w:t> </w:t>
      </w:r>
      <w:r>
        <w:rPr>
          <w:w w:val="105"/>
          <w:sz w:val="21"/>
        </w:rPr>
        <w:t>vegetation.</w:t>
      </w:r>
    </w:p>
    <w:p>
      <w:pPr>
        <w:pStyle w:val="ListParagraph"/>
        <w:numPr>
          <w:ilvl w:val="1"/>
          <w:numId w:val="16"/>
        </w:numPr>
        <w:tabs>
          <w:tab w:pos="2380" w:val="left" w:leader="none"/>
          <w:tab w:pos="2381" w:val="left" w:leader="none"/>
        </w:tabs>
        <w:spacing w:line="242" w:lineRule="auto" w:before="89" w:after="0"/>
        <w:ind w:left="2381" w:right="2033" w:hanging="794"/>
        <w:jc w:val="left"/>
        <w:rPr>
          <w:sz w:val="21"/>
        </w:rPr>
      </w:pPr>
      <w:r>
        <w:rPr>
          <w:sz w:val="21"/>
        </w:rPr>
        <w:t>These issues </w:t>
      </w:r>
      <w:r>
        <w:rPr>
          <w:spacing w:val="-3"/>
          <w:sz w:val="21"/>
        </w:rPr>
        <w:t>are </w:t>
      </w:r>
      <w:r>
        <w:rPr>
          <w:sz w:val="21"/>
        </w:rPr>
        <w:t>beyond the scope of the </w:t>
      </w:r>
      <w:r>
        <w:rPr>
          <w:spacing w:val="-5"/>
          <w:sz w:val="21"/>
        </w:rPr>
        <w:t>Terms </w:t>
      </w:r>
      <w:r>
        <w:rPr>
          <w:sz w:val="21"/>
        </w:rPr>
        <w:t>of </w:t>
      </w:r>
      <w:r>
        <w:rPr>
          <w:spacing w:val="-3"/>
          <w:sz w:val="21"/>
        </w:rPr>
        <w:t>Reference that </w:t>
      </w:r>
      <w:r>
        <w:rPr>
          <w:sz w:val="21"/>
        </w:rPr>
        <w:t>govern this </w:t>
      </w:r>
      <w:r>
        <w:rPr>
          <w:spacing w:val="-4"/>
          <w:sz w:val="21"/>
        </w:rPr>
        <w:t>inquiry. </w:t>
      </w:r>
      <w:r>
        <w:rPr>
          <w:sz w:val="21"/>
        </w:rPr>
        <w:t>Nonetheless, </w:t>
      </w:r>
      <w:r>
        <w:rPr>
          <w:spacing w:val="-3"/>
          <w:sz w:val="21"/>
        </w:rPr>
        <w:t>preliminary </w:t>
      </w:r>
      <w:r>
        <w:rPr>
          <w:sz w:val="21"/>
        </w:rPr>
        <w:t>views on these issues </w:t>
      </w:r>
      <w:r>
        <w:rPr>
          <w:spacing w:val="-3"/>
          <w:sz w:val="21"/>
        </w:rPr>
        <w:t>are </w:t>
      </w:r>
      <w:r>
        <w:rPr>
          <w:sz w:val="21"/>
        </w:rPr>
        <w:t>provided because they </w:t>
      </w:r>
      <w:r>
        <w:rPr>
          <w:spacing w:val="-3"/>
          <w:sz w:val="21"/>
        </w:rPr>
        <w:t>will </w:t>
      </w:r>
      <w:r>
        <w:rPr>
          <w:sz w:val="21"/>
        </w:rPr>
        <w:t>be important </w:t>
      </w:r>
      <w:r>
        <w:rPr>
          <w:spacing w:val="-3"/>
          <w:sz w:val="21"/>
        </w:rPr>
        <w:t>considerations </w:t>
      </w:r>
      <w:r>
        <w:rPr>
          <w:sz w:val="21"/>
        </w:rPr>
        <w:t>if the new Act is</w:t>
      </w:r>
      <w:r>
        <w:rPr>
          <w:spacing w:val="32"/>
          <w:sz w:val="21"/>
        </w:rPr>
        <w:t> </w:t>
      </w:r>
      <w:r>
        <w:rPr>
          <w:spacing w:val="-3"/>
          <w:sz w:val="21"/>
        </w:rPr>
        <w:t>implemented.</w:t>
      </w:r>
    </w:p>
    <w:p>
      <w:pPr>
        <w:pStyle w:val="BodyText"/>
        <w:spacing w:before="3"/>
        <w:rPr>
          <w:sz w:val="20"/>
        </w:rPr>
      </w:pPr>
    </w:p>
    <w:p>
      <w:pPr>
        <w:pStyle w:val="Heading5"/>
        <w:spacing w:before="1"/>
      </w:pPr>
      <w:r>
        <w:rPr>
          <w:w w:val="115"/>
        </w:rPr>
        <w:t>Trees on public land</w:t>
      </w:r>
    </w:p>
    <w:p>
      <w:pPr>
        <w:pStyle w:val="ListParagraph"/>
        <w:numPr>
          <w:ilvl w:val="1"/>
          <w:numId w:val="16"/>
        </w:numPr>
        <w:tabs>
          <w:tab w:pos="2381" w:val="left" w:leader="none"/>
          <w:tab w:pos="2382" w:val="left" w:leader="none"/>
        </w:tabs>
        <w:spacing w:line="240" w:lineRule="auto" w:before="137" w:after="0"/>
        <w:ind w:left="2381" w:right="0" w:hanging="794"/>
        <w:jc w:val="left"/>
        <w:rPr>
          <w:sz w:val="21"/>
        </w:rPr>
      </w:pPr>
      <w:r>
        <w:rPr>
          <w:spacing w:val="-3"/>
          <w:w w:val="105"/>
          <w:sz w:val="21"/>
        </w:rPr>
        <w:t>Disputes involving </w:t>
      </w:r>
      <w:r>
        <w:rPr>
          <w:w w:val="105"/>
          <w:sz w:val="21"/>
        </w:rPr>
        <w:t>trees on </w:t>
      </w:r>
      <w:r>
        <w:rPr>
          <w:spacing w:val="-3"/>
          <w:w w:val="105"/>
          <w:sz w:val="21"/>
        </w:rPr>
        <w:t>public land are</w:t>
      </w:r>
      <w:r>
        <w:rPr>
          <w:spacing w:val="8"/>
          <w:w w:val="105"/>
          <w:sz w:val="21"/>
        </w:rPr>
        <w:t> </w:t>
      </w:r>
      <w:r>
        <w:rPr>
          <w:w w:val="105"/>
          <w:sz w:val="21"/>
        </w:rPr>
        <w:t>beyond the scope of this </w:t>
      </w:r>
      <w:r>
        <w:rPr>
          <w:spacing w:val="-4"/>
          <w:w w:val="105"/>
          <w:sz w:val="21"/>
        </w:rPr>
        <w:t>inquiry.</w:t>
      </w:r>
    </w:p>
    <w:p>
      <w:pPr>
        <w:pStyle w:val="ListParagraph"/>
        <w:numPr>
          <w:ilvl w:val="1"/>
          <w:numId w:val="16"/>
        </w:numPr>
        <w:tabs>
          <w:tab w:pos="2380" w:val="left" w:leader="none"/>
          <w:tab w:pos="2381" w:val="left" w:leader="none"/>
        </w:tabs>
        <w:spacing w:line="242" w:lineRule="auto" w:before="124" w:after="0"/>
        <w:ind w:left="2381" w:right="1791" w:hanging="794"/>
        <w:jc w:val="left"/>
        <w:rPr>
          <w:sz w:val="21"/>
        </w:rPr>
      </w:pPr>
      <w:r>
        <w:rPr>
          <w:spacing w:val="-3"/>
          <w:w w:val="105"/>
          <w:sz w:val="21"/>
        </w:rPr>
        <w:t>Disputes</w:t>
      </w:r>
      <w:r>
        <w:rPr>
          <w:spacing w:val="-8"/>
          <w:w w:val="105"/>
          <w:sz w:val="21"/>
        </w:rPr>
        <w:t> </w:t>
      </w:r>
      <w:r>
        <w:rPr>
          <w:w w:val="105"/>
          <w:sz w:val="21"/>
        </w:rPr>
        <w:t>about</w:t>
      </w:r>
      <w:r>
        <w:rPr>
          <w:spacing w:val="-8"/>
          <w:w w:val="105"/>
          <w:sz w:val="21"/>
        </w:rPr>
        <w:t> </w:t>
      </w:r>
      <w:r>
        <w:rPr>
          <w:w w:val="105"/>
          <w:sz w:val="21"/>
        </w:rPr>
        <w:t>trees</w:t>
      </w:r>
      <w:r>
        <w:rPr>
          <w:spacing w:val="-8"/>
          <w:w w:val="105"/>
          <w:sz w:val="21"/>
        </w:rPr>
        <w:t> </w:t>
      </w:r>
      <w:r>
        <w:rPr>
          <w:w w:val="105"/>
          <w:sz w:val="21"/>
        </w:rPr>
        <w:t>on</w:t>
      </w:r>
      <w:r>
        <w:rPr>
          <w:spacing w:val="-8"/>
          <w:w w:val="105"/>
          <w:sz w:val="21"/>
        </w:rPr>
        <w:t> </w:t>
      </w:r>
      <w:r>
        <w:rPr>
          <w:spacing w:val="-3"/>
          <w:w w:val="105"/>
          <w:sz w:val="21"/>
        </w:rPr>
        <w:t>public</w:t>
      </w:r>
      <w:r>
        <w:rPr>
          <w:spacing w:val="-7"/>
          <w:w w:val="105"/>
          <w:sz w:val="21"/>
        </w:rPr>
        <w:t> </w:t>
      </w:r>
      <w:r>
        <w:rPr>
          <w:spacing w:val="-3"/>
          <w:w w:val="105"/>
          <w:sz w:val="21"/>
        </w:rPr>
        <w:t>land</w:t>
      </w:r>
      <w:r>
        <w:rPr>
          <w:spacing w:val="-8"/>
          <w:w w:val="105"/>
          <w:sz w:val="21"/>
        </w:rPr>
        <w:t> </w:t>
      </w:r>
      <w:r>
        <w:rPr>
          <w:w w:val="105"/>
          <w:sz w:val="21"/>
        </w:rPr>
        <w:t>trigger</w:t>
      </w:r>
      <w:r>
        <w:rPr>
          <w:spacing w:val="-8"/>
          <w:w w:val="105"/>
          <w:sz w:val="21"/>
        </w:rPr>
        <w:t> </w:t>
      </w:r>
      <w:r>
        <w:rPr>
          <w:w w:val="105"/>
          <w:sz w:val="21"/>
        </w:rPr>
        <w:t>a</w:t>
      </w:r>
      <w:r>
        <w:rPr>
          <w:spacing w:val="-8"/>
          <w:w w:val="105"/>
          <w:sz w:val="21"/>
        </w:rPr>
        <w:t> </w:t>
      </w:r>
      <w:r>
        <w:rPr>
          <w:spacing w:val="-3"/>
          <w:w w:val="105"/>
          <w:sz w:val="21"/>
        </w:rPr>
        <w:t>separate</w:t>
      </w:r>
      <w:r>
        <w:rPr>
          <w:spacing w:val="-7"/>
          <w:w w:val="105"/>
          <w:sz w:val="21"/>
        </w:rPr>
        <w:t> </w:t>
      </w:r>
      <w:r>
        <w:rPr>
          <w:w w:val="105"/>
          <w:sz w:val="21"/>
        </w:rPr>
        <w:t>resolution</w:t>
      </w:r>
      <w:r>
        <w:rPr>
          <w:spacing w:val="-8"/>
          <w:w w:val="105"/>
          <w:sz w:val="21"/>
        </w:rPr>
        <w:t> </w:t>
      </w:r>
      <w:r>
        <w:rPr>
          <w:w w:val="105"/>
          <w:sz w:val="21"/>
        </w:rPr>
        <w:t>process.</w:t>
      </w:r>
      <w:r>
        <w:rPr>
          <w:w w:val="105"/>
          <w:position w:val="7"/>
          <w:sz w:val="12"/>
        </w:rPr>
        <w:t>64</w:t>
      </w:r>
      <w:r>
        <w:rPr>
          <w:spacing w:val="15"/>
          <w:w w:val="105"/>
          <w:position w:val="7"/>
          <w:sz w:val="12"/>
        </w:rPr>
        <w:t> </w:t>
      </w:r>
      <w:r>
        <w:rPr>
          <w:w w:val="105"/>
          <w:sz w:val="21"/>
        </w:rPr>
        <w:t>For</w:t>
      </w:r>
      <w:r>
        <w:rPr>
          <w:spacing w:val="-8"/>
          <w:w w:val="105"/>
          <w:sz w:val="21"/>
        </w:rPr>
        <w:t> </w:t>
      </w:r>
      <w:r>
        <w:rPr>
          <w:spacing w:val="-3"/>
          <w:w w:val="105"/>
          <w:sz w:val="21"/>
        </w:rPr>
        <w:t>example, councils have </w:t>
      </w:r>
      <w:r>
        <w:rPr>
          <w:w w:val="105"/>
          <w:sz w:val="21"/>
        </w:rPr>
        <w:t>a duty of care </w:t>
      </w:r>
      <w:r>
        <w:rPr>
          <w:spacing w:val="-3"/>
          <w:w w:val="105"/>
          <w:sz w:val="21"/>
        </w:rPr>
        <w:t>to all </w:t>
      </w:r>
      <w:r>
        <w:rPr>
          <w:w w:val="105"/>
          <w:sz w:val="21"/>
        </w:rPr>
        <w:t>members of the </w:t>
      </w:r>
      <w:r>
        <w:rPr>
          <w:spacing w:val="-3"/>
          <w:w w:val="105"/>
          <w:sz w:val="21"/>
        </w:rPr>
        <w:t>public </w:t>
      </w:r>
      <w:r>
        <w:rPr>
          <w:w w:val="105"/>
          <w:sz w:val="21"/>
        </w:rPr>
        <w:t>on </w:t>
      </w:r>
      <w:r>
        <w:rPr>
          <w:spacing w:val="-3"/>
          <w:w w:val="105"/>
          <w:sz w:val="21"/>
        </w:rPr>
        <w:t>land </w:t>
      </w:r>
      <w:r>
        <w:rPr>
          <w:w w:val="105"/>
          <w:sz w:val="21"/>
        </w:rPr>
        <w:t>vested in or</w:t>
      </w:r>
      <w:r>
        <w:rPr>
          <w:spacing w:val="1"/>
          <w:w w:val="105"/>
          <w:sz w:val="21"/>
        </w:rPr>
        <w:t> </w:t>
      </w:r>
      <w:r>
        <w:rPr>
          <w:w w:val="105"/>
          <w:sz w:val="21"/>
        </w:rPr>
        <w:t>owned</w:t>
      </w:r>
    </w:p>
    <w:p>
      <w:pPr>
        <w:pStyle w:val="BodyText"/>
        <w:spacing w:line="242" w:lineRule="auto" w:before="2"/>
        <w:ind w:left="2381" w:right="1844"/>
        <w:rPr>
          <w:sz w:val="12"/>
        </w:rPr>
      </w:pPr>
      <w:r>
        <w:rPr>
          <w:w w:val="105"/>
        </w:rPr>
        <w:t>by them. </w:t>
      </w:r>
      <w:r>
        <w:rPr>
          <w:spacing w:val="-4"/>
          <w:w w:val="105"/>
        </w:rPr>
        <w:t>Councils </w:t>
      </w:r>
      <w:r>
        <w:rPr>
          <w:w w:val="105"/>
        </w:rPr>
        <w:t>can </w:t>
      </w:r>
      <w:r>
        <w:rPr>
          <w:spacing w:val="-3"/>
          <w:w w:val="105"/>
        </w:rPr>
        <w:t>therefore </w:t>
      </w:r>
      <w:r>
        <w:rPr>
          <w:w w:val="105"/>
        </w:rPr>
        <w:t>be </w:t>
      </w:r>
      <w:r>
        <w:rPr>
          <w:spacing w:val="-3"/>
          <w:w w:val="105"/>
        </w:rPr>
        <w:t>found liable </w:t>
      </w:r>
      <w:r>
        <w:rPr>
          <w:w w:val="105"/>
        </w:rPr>
        <w:t>under the </w:t>
      </w:r>
      <w:r>
        <w:rPr>
          <w:spacing w:val="-2"/>
          <w:w w:val="105"/>
        </w:rPr>
        <w:t>common </w:t>
      </w:r>
      <w:r>
        <w:rPr>
          <w:w w:val="105"/>
        </w:rPr>
        <w:t>law if a tree causes damage </w:t>
      </w:r>
      <w:r>
        <w:rPr>
          <w:spacing w:val="-3"/>
          <w:w w:val="105"/>
        </w:rPr>
        <w:t>to </w:t>
      </w:r>
      <w:r>
        <w:rPr>
          <w:w w:val="105"/>
        </w:rPr>
        <w:t>property or injury </w:t>
      </w:r>
      <w:r>
        <w:rPr>
          <w:spacing w:val="-3"/>
          <w:w w:val="105"/>
        </w:rPr>
        <w:t>to </w:t>
      </w:r>
      <w:r>
        <w:rPr>
          <w:w w:val="105"/>
        </w:rPr>
        <w:t>persons on </w:t>
      </w:r>
      <w:r>
        <w:rPr>
          <w:spacing w:val="-3"/>
          <w:w w:val="105"/>
        </w:rPr>
        <w:t>land </w:t>
      </w:r>
      <w:r>
        <w:rPr>
          <w:w w:val="105"/>
        </w:rPr>
        <w:t>owned or managed by </w:t>
      </w:r>
      <w:r>
        <w:rPr>
          <w:spacing w:val="-3"/>
          <w:w w:val="105"/>
        </w:rPr>
        <w:t>council.</w:t>
      </w:r>
      <w:r>
        <w:rPr>
          <w:spacing w:val="-3"/>
          <w:w w:val="105"/>
          <w:position w:val="7"/>
          <w:sz w:val="12"/>
        </w:rPr>
        <w:t>65</w:t>
      </w:r>
    </w:p>
    <w:p>
      <w:pPr>
        <w:pStyle w:val="ListParagraph"/>
        <w:numPr>
          <w:ilvl w:val="1"/>
          <w:numId w:val="16"/>
        </w:numPr>
        <w:tabs>
          <w:tab w:pos="2380" w:val="left" w:leader="none"/>
          <w:tab w:pos="2381" w:val="left" w:leader="none"/>
        </w:tabs>
        <w:spacing w:line="242" w:lineRule="auto" w:before="122" w:after="0"/>
        <w:ind w:left="2381" w:right="1593" w:hanging="794"/>
        <w:jc w:val="left"/>
        <w:rPr>
          <w:sz w:val="21"/>
        </w:rPr>
      </w:pPr>
      <w:r>
        <w:rPr>
          <w:w w:val="105"/>
          <w:sz w:val="21"/>
        </w:rPr>
        <w:t>The NSW Act does </w:t>
      </w:r>
      <w:r>
        <w:rPr>
          <w:spacing w:val="-2"/>
          <w:w w:val="105"/>
          <w:sz w:val="21"/>
        </w:rPr>
        <w:t>not </w:t>
      </w:r>
      <w:r>
        <w:rPr>
          <w:w w:val="105"/>
          <w:sz w:val="21"/>
        </w:rPr>
        <w:t>apply </w:t>
      </w:r>
      <w:r>
        <w:rPr>
          <w:spacing w:val="-3"/>
          <w:w w:val="105"/>
          <w:sz w:val="21"/>
        </w:rPr>
        <w:t>to any land that </w:t>
      </w:r>
      <w:r>
        <w:rPr>
          <w:w w:val="105"/>
          <w:sz w:val="21"/>
        </w:rPr>
        <w:t>is vested </w:t>
      </w:r>
      <w:r>
        <w:rPr>
          <w:spacing w:val="-3"/>
          <w:w w:val="105"/>
          <w:sz w:val="21"/>
        </w:rPr>
        <w:t>in, </w:t>
      </w:r>
      <w:r>
        <w:rPr>
          <w:w w:val="105"/>
          <w:sz w:val="21"/>
        </w:rPr>
        <w:t>or managed </w:t>
      </w:r>
      <w:r>
        <w:rPr>
          <w:spacing w:val="-6"/>
          <w:w w:val="105"/>
          <w:sz w:val="21"/>
        </w:rPr>
        <w:t>by, </w:t>
      </w:r>
      <w:r>
        <w:rPr>
          <w:w w:val="105"/>
          <w:sz w:val="21"/>
        </w:rPr>
        <w:t>a </w:t>
      </w:r>
      <w:r>
        <w:rPr>
          <w:spacing w:val="-3"/>
          <w:w w:val="105"/>
          <w:sz w:val="21"/>
        </w:rPr>
        <w:t>council.</w:t>
      </w:r>
      <w:r>
        <w:rPr>
          <w:spacing w:val="-3"/>
          <w:w w:val="105"/>
          <w:position w:val="7"/>
          <w:sz w:val="12"/>
        </w:rPr>
        <w:t>66 </w:t>
      </w:r>
      <w:r>
        <w:rPr>
          <w:w w:val="105"/>
          <w:sz w:val="21"/>
        </w:rPr>
        <w:t>The Department of Justice and </w:t>
      </w:r>
      <w:r>
        <w:rPr>
          <w:spacing w:val="-3"/>
          <w:w w:val="105"/>
          <w:sz w:val="21"/>
        </w:rPr>
        <w:t>Attorney </w:t>
      </w:r>
      <w:r>
        <w:rPr>
          <w:w w:val="105"/>
          <w:sz w:val="21"/>
        </w:rPr>
        <w:t>General review of the NSW Act did </w:t>
      </w:r>
      <w:r>
        <w:rPr>
          <w:spacing w:val="-2"/>
          <w:w w:val="105"/>
          <w:sz w:val="21"/>
        </w:rPr>
        <w:t>not </w:t>
      </w:r>
      <w:r>
        <w:rPr>
          <w:spacing w:val="-3"/>
          <w:w w:val="105"/>
          <w:sz w:val="21"/>
        </w:rPr>
        <w:t>recommend </w:t>
      </w:r>
      <w:r>
        <w:rPr>
          <w:w w:val="105"/>
          <w:sz w:val="21"/>
        </w:rPr>
        <w:t>an expansion on the Act </w:t>
      </w:r>
      <w:r>
        <w:rPr>
          <w:spacing w:val="-3"/>
          <w:w w:val="105"/>
          <w:sz w:val="21"/>
        </w:rPr>
        <w:t>to cover disputes </w:t>
      </w:r>
      <w:r>
        <w:rPr>
          <w:w w:val="105"/>
          <w:sz w:val="21"/>
        </w:rPr>
        <w:t>about trees on </w:t>
      </w:r>
      <w:r>
        <w:rPr>
          <w:spacing w:val="-3"/>
          <w:w w:val="105"/>
          <w:sz w:val="21"/>
        </w:rPr>
        <w:t>council land. </w:t>
      </w:r>
      <w:r>
        <w:rPr>
          <w:w w:val="105"/>
          <w:sz w:val="21"/>
        </w:rPr>
        <w:t>This </w:t>
      </w:r>
      <w:r>
        <w:rPr>
          <w:spacing w:val="-3"/>
          <w:w w:val="105"/>
          <w:sz w:val="21"/>
        </w:rPr>
        <w:t>conclusion </w:t>
      </w:r>
      <w:r>
        <w:rPr>
          <w:w w:val="105"/>
          <w:sz w:val="21"/>
        </w:rPr>
        <w:t>was </w:t>
      </w:r>
      <w:r>
        <w:rPr>
          <w:spacing w:val="-3"/>
          <w:w w:val="105"/>
          <w:sz w:val="21"/>
        </w:rPr>
        <w:t>reached </w:t>
      </w:r>
      <w:r>
        <w:rPr>
          <w:w w:val="105"/>
          <w:sz w:val="21"/>
        </w:rPr>
        <w:t>because </w:t>
      </w:r>
      <w:r>
        <w:rPr>
          <w:spacing w:val="-5"/>
          <w:w w:val="105"/>
          <w:sz w:val="21"/>
        </w:rPr>
        <w:t>‘of </w:t>
      </w:r>
      <w:r>
        <w:rPr>
          <w:w w:val="105"/>
          <w:sz w:val="21"/>
        </w:rPr>
        <w:t>the </w:t>
      </w:r>
      <w:r>
        <w:rPr>
          <w:spacing w:val="-3"/>
          <w:w w:val="105"/>
          <w:sz w:val="21"/>
        </w:rPr>
        <w:t>significant resource </w:t>
      </w:r>
      <w:r>
        <w:rPr>
          <w:w w:val="105"/>
          <w:sz w:val="21"/>
        </w:rPr>
        <w:t>and </w:t>
      </w:r>
      <w:r>
        <w:rPr>
          <w:spacing w:val="-3"/>
          <w:w w:val="105"/>
          <w:sz w:val="21"/>
        </w:rPr>
        <w:t>risk-management implications </w:t>
      </w:r>
      <w:r>
        <w:rPr>
          <w:w w:val="105"/>
          <w:sz w:val="21"/>
        </w:rPr>
        <w:t>of </w:t>
      </w:r>
      <w:r>
        <w:rPr>
          <w:spacing w:val="-3"/>
          <w:w w:val="105"/>
          <w:sz w:val="21"/>
        </w:rPr>
        <w:t>such </w:t>
      </w:r>
      <w:r>
        <w:rPr>
          <w:w w:val="105"/>
          <w:sz w:val="21"/>
        </w:rPr>
        <w:t>a </w:t>
      </w:r>
      <w:r>
        <w:rPr>
          <w:spacing w:val="-3"/>
          <w:w w:val="105"/>
          <w:sz w:val="21"/>
        </w:rPr>
        <w:t>change’ </w:t>
      </w:r>
      <w:r>
        <w:rPr>
          <w:w w:val="105"/>
          <w:sz w:val="21"/>
        </w:rPr>
        <w:t>and ‘the fact </w:t>
      </w:r>
      <w:r>
        <w:rPr>
          <w:spacing w:val="-3"/>
          <w:w w:val="105"/>
          <w:sz w:val="21"/>
        </w:rPr>
        <w:t>that </w:t>
      </w:r>
      <w:r>
        <w:rPr>
          <w:spacing w:val="-4"/>
          <w:w w:val="105"/>
          <w:sz w:val="21"/>
        </w:rPr>
        <w:t>Councils (unlike </w:t>
      </w:r>
      <w:r>
        <w:rPr>
          <w:spacing w:val="-3"/>
          <w:w w:val="105"/>
          <w:sz w:val="21"/>
        </w:rPr>
        <w:t>private </w:t>
      </w:r>
      <w:r>
        <w:rPr>
          <w:w w:val="105"/>
          <w:sz w:val="21"/>
        </w:rPr>
        <w:t>landholders) employ </w:t>
      </w:r>
      <w:r>
        <w:rPr>
          <w:spacing w:val="-3"/>
          <w:w w:val="105"/>
          <w:sz w:val="21"/>
        </w:rPr>
        <w:t>professional </w:t>
      </w:r>
      <w:r>
        <w:rPr>
          <w:w w:val="105"/>
          <w:sz w:val="21"/>
        </w:rPr>
        <w:t>tree </w:t>
      </w:r>
      <w:r>
        <w:rPr>
          <w:spacing w:val="-3"/>
          <w:w w:val="105"/>
          <w:sz w:val="21"/>
        </w:rPr>
        <w:t>management </w:t>
      </w:r>
      <w:r>
        <w:rPr>
          <w:w w:val="105"/>
          <w:sz w:val="21"/>
        </w:rPr>
        <w:t>staff and </w:t>
      </w:r>
      <w:r>
        <w:rPr>
          <w:spacing w:val="-3"/>
          <w:w w:val="105"/>
          <w:sz w:val="21"/>
        </w:rPr>
        <w:t>already have procedures </w:t>
      </w:r>
      <w:r>
        <w:rPr>
          <w:w w:val="105"/>
          <w:sz w:val="21"/>
        </w:rPr>
        <w:t>in </w:t>
      </w:r>
      <w:r>
        <w:rPr>
          <w:spacing w:val="-3"/>
          <w:w w:val="105"/>
          <w:sz w:val="21"/>
        </w:rPr>
        <w:t>place to </w:t>
      </w:r>
      <w:r>
        <w:rPr>
          <w:w w:val="105"/>
          <w:sz w:val="21"/>
        </w:rPr>
        <w:t>respond </w:t>
      </w:r>
      <w:r>
        <w:rPr>
          <w:spacing w:val="-3"/>
          <w:w w:val="105"/>
          <w:sz w:val="21"/>
        </w:rPr>
        <w:t>to concerns </w:t>
      </w:r>
      <w:r>
        <w:rPr>
          <w:w w:val="105"/>
          <w:sz w:val="21"/>
        </w:rPr>
        <w:t>about</w:t>
      </w:r>
      <w:r>
        <w:rPr>
          <w:spacing w:val="5"/>
          <w:w w:val="105"/>
          <w:sz w:val="21"/>
        </w:rPr>
        <w:t> </w:t>
      </w:r>
      <w:r>
        <w:rPr>
          <w:spacing w:val="-4"/>
          <w:w w:val="105"/>
          <w:sz w:val="21"/>
        </w:rPr>
        <w:t>trees’.</w:t>
      </w:r>
      <w:r>
        <w:rPr>
          <w:spacing w:val="-4"/>
          <w:w w:val="105"/>
          <w:position w:val="7"/>
          <w:sz w:val="12"/>
        </w:rPr>
        <w:t>67</w:t>
      </w:r>
    </w:p>
    <w:p>
      <w:pPr>
        <w:pStyle w:val="ListParagraph"/>
        <w:numPr>
          <w:ilvl w:val="1"/>
          <w:numId w:val="16"/>
        </w:numPr>
        <w:tabs>
          <w:tab w:pos="2381" w:val="left" w:leader="none"/>
          <w:tab w:pos="2382" w:val="left" w:leader="none"/>
        </w:tabs>
        <w:spacing w:line="242" w:lineRule="auto" w:before="128" w:after="0"/>
        <w:ind w:left="2381" w:right="1585" w:hanging="794"/>
        <w:jc w:val="left"/>
        <w:rPr>
          <w:sz w:val="21"/>
        </w:rPr>
      </w:pPr>
      <w:r>
        <w:rPr>
          <w:spacing w:val="-3"/>
          <w:w w:val="105"/>
          <w:sz w:val="21"/>
        </w:rPr>
        <w:t>Similar to </w:t>
      </w:r>
      <w:r>
        <w:rPr>
          <w:w w:val="105"/>
          <w:sz w:val="21"/>
        </w:rPr>
        <w:t>New South </w:t>
      </w:r>
      <w:r>
        <w:rPr>
          <w:spacing w:val="-3"/>
          <w:w w:val="105"/>
          <w:sz w:val="21"/>
        </w:rPr>
        <w:t>Wales, </w:t>
      </w:r>
      <w:r>
        <w:rPr>
          <w:w w:val="105"/>
          <w:sz w:val="21"/>
        </w:rPr>
        <w:t>neither the </w:t>
      </w:r>
      <w:r>
        <w:rPr>
          <w:spacing w:val="-3"/>
          <w:w w:val="105"/>
          <w:sz w:val="21"/>
        </w:rPr>
        <w:t>Queensland </w:t>
      </w:r>
      <w:r>
        <w:rPr>
          <w:w w:val="105"/>
          <w:sz w:val="21"/>
        </w:rPr>
        <w:t>nor </w:t>
      </w:r>
      <w:r>
        <w:rPr>
          <w:spacing w:val="-4"/>
          <w:w w:val="105"/>
          <w:sz w:val="21"/>
        </w:rPr>
        <w:t>Tasmanian </w:t>
      </w:r>
      <w:r>
        <w:rPr>
          <w:w w:val="105"/>
          <w:sz w:val="21"/>
        </w:rPr>
        <w:t>Acts </w:t>
      </w:r>
      <w:r>
        <w:rPr>
          <w:spacing w:val="-3"/>
          <w:w w:val="105"/>
          <w:sz w:val="21"/>
        </w:rPr>
        <w:t>captures </w:t>
      </w:r>
      <w:r>
        <w:rPr>
          <w:w w:val="105"/>
          <w:sz w:val="21"/>
        </w:rPr>
        <w:t>trees </w:t>
      </w:r>
      <w:r>
        <w:rPr>
          <w:spacing w:val="-3"/>
          <w:w w:val="105"/>
          <w:sz w:val="21"/>
        </w:rPr>
        <w:t>situated </w:t>
      </w:r>
      <w:r>
        <w:rPr>
          <w:w w:val="105"/>
          <w:sz w:val="21"/>
        </w:rPr>
        <w:t>on </w:t>
      </w:r>
      <w:r>
        <w:rPr>
          <w:spacing w:val="-2"/>
          <w:w w:val="105"/>
          <w:sz w:val="21"/>
        </w:rPr>
        <w:t>council-managed </w:t>
      </w:r>
      <w:r>
        <w:rPr>
          <w:spacing w:val="-3"/>
          <w:w w:val="105"/>
          <w:sz w:val="21"/>
        </w:rPr>
        <w:t>land. </w:t>
      </w:r>
      <w:r>
        <w:rPr>
          <w:w w:val="105"/>
          <w:sz w:val="21"/>
        </w:rPr>
        <w:t>In the statutory review of the </w:t>
      </w:r>
      <w:r>
        <w:rPr>
          <w:spacing w:val="-3"/>
          <w:w w:val="105"/>
          <w:sz w:val="21"/>
        </w:rPr>
        <w:t>Queensland </w:t>
      </w:r>
      <w:r>
        <w:rPr>
          <w:w w:val="105"/>
          <w:sz w:val="21"/>
        </w:rPr>
        <w:t>Act, the </w:t>
      </w:r>
      <w:r>
        <w:rPr>
          <w:spacing w:val="-3"/>
          <w:w w:val="105"/>
          <w:sz w:val="21"/>
        </w:rPr>
        <w:t>Queensland </w:t>
      </w:r>
      <w:r>
        <w:rPr>
          <w:w w:val="105"/>
          <w:sz w:val="21"/>
        </w:rPr>
        <w:t>Law </w:t>
      </w:r>
      <w:r>
        <w:rPr>
          <w:spacing w:val="-3"/>
          <w:w w:val="105"/>
          <w:sz w:val="21"/>
        </w:rPr>
        <w:t>Reform Commission </w:t>
      </w:r>
      <w:r>
        <w:rPr>
          <w:w w:val="105"/>
          <w:sz w:val="21"/>
        </w:rPr>
        <w:t>(QLRC) recommended </w:t>
      </w:r>
      <w:r>
        <w:rPr>
          <w:spacing w:val="-3"/>
          <w:w w:val="105"/>
          <w:sz w:val="21"/>
        </w:rPr>
        <w:t>that </w:t>
      </w:r>
      <w:r>
        <w:rPr>
          <w:w w:val="105"/>
          <w:sz w:val="21"/>
        </w:rPr>
        <w:t>the Act </w:t>
      </w:r>
      <w:r>
        <w:rPr>
          <w:spacing w:val="-2"/>
          <w:w w:val="105"/>
          <w:sz w:val="21"/>
        </w:rPr>
        <w:t>not </w:t>
      </w:r>
      <w:r>
        <w:rPr>
          <w:w w:val="105"/>
          <w:sz w:val="21"/>
        </w:rPr>
        <w:t>be extended </w:t>
      </w:r>
      <w:r>
        <w:rPr>
          <w:spacing w:val="-3"/>
          <w:w w:val="105"/>
          <w:sz w:val="21"/>
        </w:rPr>
        <w:t>to </w:t>
      </w:r>
      <w:r>
        <w:rPr>
          <w:w w:val="105"/>
          <w:sz w:val="21"/>
        </w:rPr>
        <w:t>encompass trees on </w:t>
      </w:r>
      <w:r>
        <w:rPr>
          <w:spacing w:val="-3"/>
          <w:w w:val="105"/>
          <w:sz w:val="21"/>
        </w:rPr>
        <w:t>land controlled </w:t>
      </w:r>
      <w:r>
        <w:rPr>
          <w:w w:val="105"/>
          <w:sz w:val="21"/>
        </w:rPr>
        <w:t>by the state and local governments. It expressed </w:t>
      </w:r>
      <w:r>
        <w:rPr>
          <w:spacing w:val="-3"/>
          <w:w w:val="105"/>
          <w:sz w:val="21"/>
        </w:rPr>
        <w:t>concern </w:t>
      </w:r>
      <w:r>
        <w:rPr>
          <w:w w:val="105"/>
          <w:sz w:val="21"/>
        </w:rPr>
        <w:t>about the </w:t>
      </w:r>
      <w:r>
        <w:rPr>
          <w:spacing w:val="-3"/>
          <w:w w:val="105"/>
          <w:sz w:val="21"/>
        </w:rPr>
        <w:t>significant </w:t>
      </w:r>
      <w:r>
        <w:rPr>
          <w:w w:val="105"/>
          <w:sz w:val="21"/>
        </w:rPr>
        <w:t>impact on local </w:t>
      </w:r>
      <w:r>
        <w:rPr>
          <w:spacing w:val="-3"/>
          <w:w w:val="105"/>
          <w:sz w:val="21"/>
        </w:rPr>
        <w:t>government </w:t>
      </w:r>
      <w:r>
        <w:rPr>
          <w:w w:val="105"/>
          <w:sz w:val="21"/>
        </w:rPr>
        <w:t>if it became </w:t>
      </w:r>
      <w:r>
        <w:rPr>
          <w:spacing w:val="-3"/>
          <w:w w:val="105"/>
          <w:sz w:val="21"/>
        </w:rPr>
        <w:t>responsible for all </w:t>
      </w:r>
      <w:r>
        <w:rPr>
          <w:w w:val="105"/>
          <w:sz w:val="21"/>
        </w:rPr>
        <w:t>trees</w:t>
      </w:r>
      <w:r>
        <w:rPr>
          <w:spacing w:val="-8"/>
          <w:w w:val="105"/>
          <w:sz w:val="21"/>
        </w:rPr>
        <w:t> </w:t>
      </w:r>
      <w:r>
        <w:rPr>
          <w:spacing w:val="-3"/>
          <w:w w:val="105"/>
          <w:sz w:val="21"/>
        </w:rPr>
        <w:t>adjoining</w:t>
      </w:r>
      <w:r>
        <w:rPr>
          <w:spacing w:val="-8"/>
          <w:w w:val="105"/>
          <w:sz w:val="21"/>
        </w:rPr>
        <w:t> </w:t>
      </w:r>
      <w:r>
        <w:rPr>
          <w:w w:val="105"/>
          <w:sz w:val="21"/>
        </w:rPr>
        <w:t>and</w:t>
      </w:r>
      <w:r>
        <w:rPr>
          <w:spacing w:val="-8"/>
          <w:w w:val="105"/>
          <w:sz w:val="21"/>
        </w:rPr>
        <w:t> </w:t>
      </w:r>
      <w:r>
        <w:rPr>
          <w:spacing w:val="-3"/>
          <w:w w:val="105"/>
          <w:sz w:val="21"/>
        </w:rPr>
        <w:t>overhanging</w:t>
      </w:r>
      <w:r>
        <w:rPr>
          <w:spacing w:val="-8"/>
          <w:w w:val="105"/>
          <w:sz w:val="21"/>
        </w:rPr>
        <w:t> </w:t>
      </w:r>
      <w:r>
        <w:rPr>
          <w:w w:val="105"/>
          <w:sz w:val="21"/>
        </w:rPr>
        <w:t>the</w:t>
      </w:r>
      <w:r>
        <w:rPr>
          <w:spacing w:val="-8"/>
          <w:w w:val="105"/>
          <w:sz w:val="21"/>
        </w:rPr>
        <w:t> </w:t>
      </w:r>
      <w:r>
        <w:rPr>
          <w:w w:val="105"/>
          <w:sz w:val="21"/>
        </w:rPr>
        <w:t>boundaries</w:t>
      </w:r>
      <w:r>
        <w:rPr>
          <w:spacing w:val="-8"/>
          <w:w w:val="105"/>
          <w:sz w:val="21"/>
        </w:rPr>
        <w:t> </w:t>
      </w:r>
      <w:r>
        <w:rPr>
          <w:w w:val="105"/>
          <w:sz w:val="21"/>
        </w:rPr>
        <w:t>of</w:t>
      </w:r>
      <w:r>
        <w:rPr>
          <w:spacing w:val="-8"/>
          <w:w w:val="105"/>
          <w:sz w:val="21"/>
        </w:rPr>
        <w:t> </w:t>
      </w:r>
      <w:r>
        <w:rPr>
          <w:spacing w:val="-3"/>
          <w:w w:val="105"/>
          <w:sz w:val="21"/>
        </w:rPr>
        <w:t>all</w:t>
      </w:r>
      <w:r>
        <w:rPr>
          <w:spacing w:val="-7"/>
          <w:w w:val="105"/>
          <w:sz w:val="21"/>
        </w:rPr>
        <w:t> </w:t>
      </w:r>
      <w:r>
        <w:rPr>
          <w:w w:val="105"/>
          <w:sz w:val="21"/>
        </w:rPr>
        <w:t>the</w:t>
      </w:r>
      <w:r>
        <w:rPr>
          <w:spacing w:val="-8"/>
          <w:w w:val="105"/>
          <w:sz w:val="21"/>
        </w:rPr>
        <w:t> </w:t>
      </w:r>
      <w:r>
        <w:rPr>
          <w:spacing w:val="-3"/>
          <w:w w:val="105"/>
          <w:sz w:val="21"/>
        </w:rPr>
        <w:t>land</w:t>
      </w:r>
      <w:r>
        <w:rPr>
          <w:spacing w:val="-8"/>
          <w:w w:val="105"/>
          <w:sz w:val="21"/>
        </w:rPr>
        <w:t> </w:t>
      </w:r>
      <w:r>
        <w:rPr>
          <w:w w:val="105"/>
          <w:sz w:val="21"/>
        </w:rPr>
        <w:t>under</w:t>
      </w:r>
      <w:r>
        <w:rPr>
          <w:spacing w:val="-8"/>
          <w:w w:val="105"/>
          <w:sz w:val="21"/>
        </w:rPr>
        <w:t> </w:t>
      </w:r>
      <w:r>
        <w:rPr>
          <w:w w:val="105"/>
          <w:sz w:val="21"/>
        </w:rPr>
        <w:t>its</w:t>
      </w:r>
      <w:r>
        <w:rPr>
          <w:spacing w:val="-8"/>
          <w:w w:val="105"/>
          <w:sz w:val="21"/>
        </w:rPr>
        <w:t> </w:t>
      </w:r>
      <w:r>
        <w:rPr>
          <w:spacing w:val="-3"/>
          <w:w w:val="105"/>
          <w:sz w:val="21"/>
        </w:rPr>
        <w:t>control.</w:t>
      </w:r>
      <w:r>
        <w:rPr>
          <w:spacing w:val="-3"/>
          <w:w w:val="105"/>
          <w:position w:val="7"/>
          <w:sz w:val="12"/>
        </w:rPr>
        <w:t>68</w:t>
      </w:r>
      <w:r>
        <w:rPr>
          <w:spacing w:val="14"/>
          <w:w w:val="105"/>
          <w:position w:val="7"/>
          <w:sz w:val="12"/>
        </w:rPr>
        <w:t> </w:t>
      </w:r>
      <w:r>
        <w:rPr>
          <w:spacing w:val="-4"/>
          <w:w w:val="105"/>
          <w:sz w:val="21"/>
        </w:rPr>
        <w:t>Similarly, </w:t>
      </w:r>
      <w:r>
        <w:rPr>
          <w:w w:val="105"/>
          <w:sz w:val="21"/>
        </w:rPr>
        <w:t>the </w:t>
      </w:r>
      <w:r>
        <w:rPr>
          <w:spacing w:val="-4"/>
          <w:w w:val="105"/>
          <w:sz w:val="21"/>
        </w:rPr>
        <w:t>Tasmanian </w:t>
      </w:r>
      <w:r>
        <w:rPr>
          <w:w w:val="105"/>
          <w:sz w:val="21"/>
        </w:rPr>
        <w:t>scheme </w:t>
      </w:r>
      <w:r>
        <w:rPr>
          <w:spacing w:val="-3"/>
          <w:w w:val="105"/>
          <w:sz w:val="21"/>
        </w:rPr>
        <w:t>excludes land that </w:t>
      </w:r>
      <w:r>
        <w:rPr>
          <w:w w:val="105"/>
          <w:sz w:val="21"/>
        </w:rPr>
        <w:t>is owned or managed by a </w:t>
      </w:r>
      <w:r>
        <w:rPr>
          <w:spacing w:val="-3"/>
          <w:w w:val="105"/>
          <w:sz w:val="21"/>
        </w:rPr>
        <w:t>council </w:t>
      </w:r>
      <w:r>
        <w:rPr>
          <w:w w:val="105"/>
          <w:sz w:val="21"/>
        </w:rPr>
        <w:t>and is used as a </w:t>
      </w:r>
      <w:r>
        <w:rPr>
          <w:spacing w:val="-3"/>
          <w:w w:val="105"/>
          <w:sz w:val="21"/>
        </w:rPr>
        <w:t>public </w:t>
      </w:r>
      <w:r>
        <w:rPr>
          <w:w w:val="105"/>
          <w:sz w:val="21"/>
        </w:rPr>
        <w:t>park or </w:t>
      </w:r>
      <w:r>
        <w:rPr>
          <w:spacing w:val="-3"/>
          <w:w w:val="105"/>
          <w:sz w:val="21"/>
        </w:rPr>
        <w:t>garden, </w:t>
      </w:r>
      <w:r>
        <w:rPr>
          <w:w w:val="105"/>
          <w:sz w:val="21"/>
        </w:rPr>
        <w:t>or a reserve or </w:t>
      </w:r>
      <w:r>
        <w:rPr>
          <w:spacing w:val="-3"/>
          <w:w w:val="105"/>
          <w:sz w:val="21"/>
        </w:rPr>
        <w:t>public </w:t>
      </w:r>
      <w:r>
        <w:rPr>
          <w:w w:val="105"/>
          <w:sz w:val="21"/>
        </w:rPr>
        <w:t>open space or </w:t>
      </w:r>
      <w:r>
        <w:rPr>
          <w:spacing w:val="-3"/>
          <w:w w:val="105"/>
          <w:sz w:val="21"/>
        </w:rPr>
        <w:t>for </w:t>
      </w:r>
      <w:r>
        <w:rPr>
          <w:w w:val="105"/>
          <w:sz w:val="21"/>
        </w:rPr>
        <w:t>the purposes of conservation.</w:t>
      </w:r>
      <w:r>
        <w:rPr>
          <w:w w:val="105"/>
          <w:position w:val="7"/>
          <w:sz w:val="12"/>
        </w:rPr>
        <w:t>69</w:t>
      </w:r>
    </w:p>
    <w:p>
      <w:pPr>
        <w:pStyle w:val="ListParagraph"/>
        <w:numPr>
          <w:ilvl w:val="1"/>
          <w:numId w:val="16"/>
        </w:numPr>
        <w:tabs>
          <w:tab w:pos="2381" w:val="left" w:leader="none"/>
          <w:tab w:pos="2382" w:val="left" w:leader="none"/>
        </w:tabs>
        <w:spacing w:line="242" w:lineRule="auto" w:before="129" w:after="0"/>
        <w:ind w:left="2381" w:right="1783" w:hanging="794"/>
        <w:jc w:val="left"/>
        <w:rPr>
          <w:sz w:val="21"/>
        </w:rPr>
      </w:pPr>
      <w:r>
        <w:rPr>
          <w:sz w:val="21"/>
        </w:rPr>
        <w:t>The </w:t>
      </w:r>
      <w:r>
        <w:rPr>
          <w:spacing w:val="-3"/>
          <w:sz w:val="21"/>
        </w:rPr>
        <w:t>Municipal </w:t>
      </w:r>
      <w:r>
        <w:rPr>
          <w:sz w:val="21"/>
        </w:rPr>
        <w:t>Association of Victoria </w:t>
      </w:r>
      <w:r>
        <w:rPr>
          <w:spacing w:val="-3"/>
          <w:sz w:val="21"/>
        </w:rPr>
        <w:t>considered </w:t>
      </w:r>
      <w:r>
        <w:rPr>
          <w:sz w:val="21"/>
        </w:rPr>
        <w:t>it ‘important </w:t>
      </w:r>
      <w:r>
        <w:rPr>
          <w:spacing w:val="-3"/>
          <w:sz w:val="21"/>
        </w:rPr>
        <w:t>that  </w:t>
      </w:r>
      <w:r>
        <w:rPr>
          <w:sz w:val="21"/>
        </w:rPr>
        <w:t>trees on </w:t>
      </w:r>
      <w:r>
        <w:rPr>
          <w:spacing w:val="-3"/>
          <w:sz w:val="21"/>
        </w:rPr>
        <w:t>public</w:t>
      </w:r>
      <w:r>
        <w:rPr>
          <w:spacing w:val="41"/>
          <w:sz w:val="21"/>
        </w:rPr>
        <w:t> </w:t>
      </w:r>
      <w:r>
        <w:rPr>
          <w:spacing w:val="-3"/>
          <w:sz w:val="21"/>
        </w:rPr>
        <w:t>land  </w:t>
      </w:r>
      <w:r>
        <w:rPr>
          <w:spacing w:val="-2"/>
          <w:sz w:val="21"/>
        </w:rPr>
        <w:t>not </w:t>
      </w:r>
      <w:r>
        <w:rPr>
          <w:sz w:val="21"/>
        </w:rPr>
        <w:t>be </w:t>
      </w:r>
      <w:r>
        <w:rPr>
          <w:spacing w:val="-2"/>
          <w:sz w:val="21"/>
        </w:rPr>
        <w:t>included’ </w:t>
      </w:r>
      <w:r>
        <w:rPr>
          <w:sz w:val="21"/>
        </w:rPr>
        <w:t>in this inquiry because it </w:t>
      </w:r>
      <w:r>
        <w:rPr>
          <w:spacing w:val="-3"/>
          <w:sz w:val="21"/>
        </w:rPr>
        <w:t>could </w:t>
      </w:r>
      <w:r>
        <w:rPr>
          <w:sz w:val="21"/>
        </w:rPr>
        <w:t>impede the </w:t>
      </w:r>
      <w:r>
        <w:rPr>
          <w:spacing w:val="-3"/>
          <w:sz w:val="21"/>
        </w:rPr>
        <w:t>responsibilities </w:t>
      </w:r>
      <w:r>
        <w:rPr>
          <w:sz w:val="21"/>
        </w:rPr>
        <w:t>of </w:t>
      </w:r>
      <w:r>
        <w:rPr>
          <w:spacing w:val="-3"/>
          <w:sz w:val="21"/>
        </w:rPr>
        <w:t>councils </w:t>
      </w:r>
      <w:r>
        <w:rPr>
          <w:sz w:val="21"/>
        </w:rPr>
        <w:t>in </w:t>
      </w:r>
      <w:r>
        <w:rPr>
          <w:spacing w:val="-3"/>
          <w:sz w:val="21"/>
        </w:rPr>
        <w:t>relation </w:t>
      </w:r>
      <w:r>
        <w:rPr>
          <w:sz w:val="21"/>
        </w:rPr>
        <w:t>their </w:t>
      </w:r>
      <w:r>
        <w:rPr>
          <w:spacing w:val="-3"/>
          <w:sz w:val="21"/>
        </w:rPr>
        <w:t>responsibilities </w:t>
      </w:r>
      <w:r>
        <w:rPr>
          <w:sz w:val="21"/>
        </w:rPr>
        <w:t>under other</w:t>
      </w:r>
      <w:r>
        <w:rPr>
          <w:spacing w:val="3"/>
          <w:sz w:val="21"/>
        </w:rPr>
        <w:t> </w:t>
      </w:r>
      <w:r>
        <w:rPr>
          <w:sz w:val="21"/>
        </w:rPr>
        <w:t>Acts.</w:t>
      </w:r>
      <w:r>
        <w:rPr>
          <w:position w:val="7"/>
          <w:sz w:val="12"/>
        </w:rPr>
        <w:t>70</w:t>
      </w:r>
    </w:p>
    <w:p>
      <w:pPr>
        <w:pStyle w:val="BodyText"/>
        <w:spacing w:before="6"/>
        <w:rPr>
          <w:sz w:val="25"/>
        </w:rPr>
      </w:pPr>
      <w:r>
        <w:rPr/>
        <w:pict>
          <v:line style="position:absolute;mso-position-horizontal-relative:page;mso-position-vertical-relative:paragraph;z-index:12032;mso-wrap-distance-left:0;mso-wrap-distance-right:0" from="79.370003pt,18.010063pt" to="515.905003pt,18.010063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204"/>
        </w:numPr>
        <w:tabs>
          <w:tab w:pos="2380" w:val="left" w:leader="none"/>
          <w:tab w:pos="2382" w:val="left" w:leader="none"/>
        </w:tabs>
        <w:spacing w:line="240" w:lineRule="auto" w:before="48" w:after="0"/>
        <w:ind w:left="2381" w:right="132" w:hanging="794"/>
        <w:jc w:val="left"/>
        <w:rPr>
          <w:i/>
          <w:sz w:val="13"/>
        </w:rPr>
      </w:pPr>
      <w:r>
        <w:rPr>
          <w:sz w:val="13"/>
        </w:rPr>
        <w:t>Public land is not defined in the Victoria Planning Provisions or the </w:t>
      </w:r>
      <w:r>
        <w:rPr>
          <w:i/>
          <w:sz w:val="13"/>
        </w:rPr>
        <w:t>Planning and Environment Act 1987 </w:t>
      </w:r>
      <w:r>
        <w:rPr>
          <w:spacing w:val="2"/>
          <w:sz w:val="13"/>
        </w:rPr>
        <w:t>(Vic), </w:t>
      </w:r>
      <w:r>
        <w:rPr>
          <w:sz w:val="13"/>
        </w:rPr>
        <w:t>but it is commonly accepted           that public land comprises: Crown land; land vested in or  owned  by  a  Minister,  government  department,  public  authority  or  municipal council;</w:t>
      </w:r>
      <w:r>
        <w:rPr>
          <w:spacing w:val="20"/>
          <w:sz w:val="13"/>
        </w:rPr>
        <w:t> </w:t>
      </w:r>
      <w:r>
        <w:rPr>
          <w:sz w:val="13"/>
        </w:rPr>
        <w:t>land</w:t>
      </w:r>
      <w:r>
        <w:rPr>
          <w:spacing w:val="21"/>
          <w:sz w:val="13"/>
        </w:rPr>
        <w:t> </w:t>
      </w:r>
      <w:r>
        <w:rPr>
          <w:sz w:val="13"/>
        </w:rPr>
        <w:t>otherwise</w:t>
      </w:r>
      <w:r>
        <w:rPr>
          <w:spacing w:val="21"/>
          <w:sz w:val="13"/>
        </w:rPr>
        <w:t> </w:t>
      </w:r>
      <w:r>
        <w:rPr>
          <w:sz w:val="13"/>
        </w:rPr>
        <w:t>used</w:t>
      </w:r>
      <w:r>
        <w:rPr>
          <w:spacing w:val="21"/>
          <w:sz w:val="13"/>
        </w:rPr>
        <w:t> </w:t>
      </w:r>
      <w:r>
        <w:rPr>
          <w:sz w:val="13"/>
        </w:rPr>
        <w:t>for</w:t>
      </w:r>
      <w:r>
        <w:rPr>
          <w:spacing w:val="21"/>
          <w:sz w:val="13"/>
        </w:rPr>
        <w:t> </w:t>
      </w:r>
      <w:r>
        <w:rPr>
          <w:sz w:val="13"/>
        </w:rPr>
        <w:t>a</w:t>
      </w:r>
      <w:r>
        <w:rPr>
          <w:spacing w:val="21"/>
          <w:sz w:val="13"/>
        </w:rPr>
        <w:t> </w:t>
      </w:r>
      <w:r>
        <w:rPr>
          <w:sz w:val="13"/>
        </w:rPr>
        <w:t>public</w:t>
      </w:r>
      <w:r>
        <w:rPr>
          <w:spacing w:val="21"/>
          <w:sz w:val="13"/>
        </w:rPr>
        <w:t> </w:t>
      </w:r>
      <w:r>
        <w:rPr>
          <w:sz w:val="13"/>
        </w:rPr>
        <w:t>purpose:</w:t>
      </w:r>
      <w:r>
        <w:rPr>
          <w:spacing w:val="21"/>
          <w:sz w:val="13"/>
        </w:rPr>
        <w:t> </w:t>
      </w:r>
      <w:r>
        <w:rPr>
          <w:sz w:val="13"/>
        </w:rPr>
        <w:t>Department</w:t>
      </w:r>
      <w:r>
        <w:rPr>
          <w:spacing w:val="21"/>
          <w:sz w:val="13"/>
        </w:rPr>
        <w:t> </w:t>
      </w:r>
      <w:r>
        <w:rPr>
          <w:sz w:val="13"/>
        </w:rPr>
        <w:t>of</w:t>
      </w:r>
      <w:r>
        <w:rPr>
          <w:spacing w:val="21"/>
          <w:sz w:val="13"/>
        </w:rPr>
        <w:t> </w:t>
      </w:r>
      <w:r>
        <w:rPr>
          <w:sz w:val="13"/>
        </w:rPr>
        <w:t>Environment,</w:t>
      </w:r>
      <w:r>
        <w:rPr>
          <w:spacing w:val="21"/>
          <w:sz w:val="13"/>
        </w:rPr>
        <w:t> </w:t>
      </w:r>
      <w:r>
        <w:rPr>
          <w:sz w:val="13"/>
        </w:rPr>
        <w:t>Land,</w:t>
      </w:r>
      <w:r>
        <w:rPr>
          <w:spacing w:val="21"/>
          <w:sz w:val="13"/>
        </w:rPr>
        <w:t> </w:t>
      </w:r>
      <w:r>
        <w:rPr>
          <w:sz w:val="13"/>
        </w:rPr>
        <w:t>Water</w:t>
      </w:r>
      <w:r>
        <w:rPr>
          <w:spacing w:val="21"/>
          <w:sz w:val="13"/>
        </w:rPr>
        <w:t> </w:t>
      </w:r>
      <w:r>
        <w:rPr>
          <w:sz w:val="13"/>
        </w:rPr>
        <w:t>and</w:t>
      </w:r>
      <w:r>
        <w:rPr>
          <w:spacing w:val="21"/>
          <w:sz w:val="13"/>
        </w:rPr>
        <w:t> </w:t>
      </w:r>
      <w:r>
        <w:rPr>
          <w:sz w:val="13"/>
        </w:rPr>
        <w:t>Planning</w:t>
      </w:r>
      <w:r>
        <w:rPr>
          <w:spacing w:val="21"/>
          <w:sz w:val="13"/>
        </w:rPr>
        <w:t> </w:t>
      </w:r>
      <w:r>
        <w:rPr>
          <w:spacing w:val="2"/>
          <w:sz w:val="13"/>
        </w:rPr>
        <w:t>(Vic),</w:t>
      </w:r>
      <w:r>
        <w:rPr>
          <w:spacing w:val="21"/>
          <w:sz w:val="13"/>
        </w:rPr>
        <w:t> </w:t>
      </w:r>
      <w:r>
        <w:rPr>
          <w:i/>
          <w:sz w:val="13"/>
        </w:rPr>
        <w:t>A</w:t>
      </w:r>
      <w:r>
        <w:rPr>
          <w:i/>
          <w:spacing w:val="21"/>
          <w:sz w:val="13"/>
        </w:rPr>
        <w:t> </w:t>
      </w:r>
      <w:r>
        <w:rPr>
          <w:i/>
          <w:sz w:val="13"/>
        </w:rPr>
        <w:t>Practitioner’s</w:t>
      </w:r>
      <w:r>
        <w:rPr>
          <w:i/>
          <w:spacing w:val="21"/>
          <w:sz w:val="13"/>
        </w:rPr>
        <w:t> </w:t>
      </w:r>
      <w:r>
        <w:rPr>
          <w:i/>
          <w:sz w:val="13"/>
        </w:rPr>
        <w:t>Guide</w:t>
      </w:r>
    </w:p>
    <w:p>
      <w:pPr>
        <w:spacing w:before="4"/>
        <w:ind w:left="2381" w:right="250" w:firstLine="0"/>
        <w:jc w:val="left"/>
        <w:rPr>
          <w:sz w:val="13"/>
        </w:rPr>
      </w:pPr>
      <w:r>
        <w:rPr>
          <w:i/>
          <w:w w:val="105"/>
          <w:sz w:val="13"/>
        </w:rPr>
        <w:t>to Victorian Planning Schemes </w:t>
      </w:r>
      <w:r>
        <w:rPr>
          <w:w w:val="105"/>
          <w:sz w:val="13"/>
        </w:rPr>
        <w:t>(Version 1.1, October 2018) 31–3; See also Department of Environment, </w:t>
      </w:r>
      <w:r>
        <w:rPr>
          <w:i/>
          <w:w w:val="105"/>
          <w:sz w:val="13"/>
        </w:rPr>
        <w:t>Land, Water and Planning </w:t>
      </w:r>
      <w:r>
        <w:rPr>
          <w:w w:val="105"/>
          <w:sz w:val="13"/>
        </w:rPr>
        <w:t>(Vic), Planning Practice Note 2: Public Land Zones (Practice Document, January 2018) &lt;https://</w:t>
      </w:r>
      <w:hyperlink r:id="rId258">
        <w:r>
          <w:rPr>
            <w:w w:val="105"/>
            <w:sz w:val="13"/>
          </w:rPr>
          <w:t>www.planning.vic.gov.au/resource-library/</w:t>
        </w:r>
      </w:hyperlink>
      <w:r>
        <w:rPr>
          <w:w w:val="105"/>
          <w:sz w:val="13"/>
        </w:rPr>
        <w:t> planning-practice-notes&gt;.</w:t>
      </w:r>
    </w:p>
    <w:p>
      <w:pPr>
        <w:pStyle w:val="ListParagraph"/>
        <w:numPr>
          <w:ilvl w:val="0"/>
          <w:numId w:val="204"/>
        </w:numPr>
        <w:tabs>
          <w:tab w:pos="2381" w:val="left" w:leader="none"/>
          <w:tab w:pos="2382" w:val="left" w:leader="none"/>
        </w:tabs>
        <w:spacing w:line="240" w:lineRule="auto" w:before="4" w:after="0"/>
        <w:ind w:left="2381" w:right="50" w:hanging="794"/>
        <w:jc w:val="left"/>
        <w:rPr>
          <w:sz w:val="13"/>
        </w:rPr>
      </w:pPr>
      <w:r>
        <w:rPr>
          <w:w w:val="105"/>
          <w:sz w:val="13"/>
        </w:rPr>
        <w:t>For, eg, the role of local councils in tree management is particularly complicated. Their obligations in a particular case will be affected in    part by where the tree is located—for example on a road, council </w:t>
      </w:r>
      <w:r>
        <w:rPr>
          <w:spacing w:val="2"/>
          <w:w w:val="105"/>
          <w:sz w:val="13"/>
        </w:rPr>
        <w:t>property </w:t>
      </w:r>
      <w:r>
        <w:rPr>
          <w:w w:val="105"/>
          <w:sz w:val="13"/>
        </w:rPr>
        <w:t>and Crown land—and which laws apply in each case, whether       it be the </w:t>
      </w:r>
      <w:r>
        <w:rPr>
          <w:i/>
          <w:w w:val="105"/>
          <w:sz w:val="13"/>
        </w:rPr>
        <w:t>Local Government Act 1989 </w:t>
      </w:r>
      <w:r>
        <w:rPr>
          <w:spacing w:val="2"/>
          <w:w w:val="105"/>
          <w:sz w:val="13"/>
        </w:rPr>
        <w:t>(Vic), </w:t>
      </w:r>
      <w:r>
        <w:rPr>
          <w:w w:val="105"/>
          <w:sz w:val="13"/>
        </w:rPr>
        <w:t>the </w:t>
      </w:r>
      <w:r>
        <w:rPr>
          <w:i/>
          <w:w w:val="105"/>
          <w:sz w:val="13"/>
        </w:rPr>
        <w:t>Crown Land </w:t>
      </w:r>
      <w:r>
        <w:rPr>
          <w:i/>
          <w:spacing w:val="2"/>
          <w:w w:val="105"/>
          <w:sz w:val="13"/>
        </w:rPr>
        <w:t>(Reserves) </w:t>
      </w:r>
      <w:r>
        <w:rPr>
          <w:i/>
          <w:w w:val="105"/>
          <w:sz w:val="13"/>
        </w:rPr>
        <w:t>Act </w:t>
      </w:r>
      <w:r>
        <w:rPr>
          <w:i/>
          <w:spacing w:val="-4"/>
          <w:w w:val="105"/>
          <w:sz w:val="13"/>
        </w:rPr>
        <w:t>1978  </w:t>
      </w:r>
      <w:r>
        <w:rPr>
          <w:spacing w:val="2"/>
          <w:w w:val="105"/>
          <w:sz w:val="13"/>
        </w:rPr>
        <w:t>(Vic) </w:t>
      </w:r>
      <w:r>
        <w:rPr>
          <w:w w:val="105"/>
          <w:sz w:val="13"/>
        </w:rPr>
        <w:t>, the </w:t>
      </w:r>
      <w:r>
        <w:rPr>
          <w:i/>
          <w:w w:val="105"/>
          <w:sz w:val="13"/>
        </w:rPr>
        <w:t>Road Management Act 2004 </w:t>
      </w:r>
      <w:r>
        <w:rPr>
          <w:spacing w:val="2"/>
          <w:w w:val="105"/>
          <w:sz w:val="13"/>
        </w:rPr>
        <w:t>(Vic), </w:t>
      </w:r>
      <w:r>
        <w:rPr>
          <w:w w:val="105"/>
          <w:sz w:val="13"/>
        </w:rPr>
        <w:t>the </w:t>
      </w:r>
      <w:r>
        <w:rPr>
          <w:i/>
          <w:w w:val="105"/>
          <w:sz w:val="13"/>
        </w:rPr>
        <w:t>Country </w:t>
      </w:r>
      <w:r>
        <w:rPr>
          <w:i/>
          <w:spacing w:val="30"/>
          <w:w w:val="105"/>
          <w:sz w:val="13"/>
        </w:rPr>
        <w:t> </w:t>
      </w:r>
      <w:r>
        <w:rPr>
          <w:i/>
          <w:w w:val="105"/>
          <w:sz w:val="13"/>
        </w:rPr>
        <w:t>Fire Authority Act 1958 </w:t>
      </w:r>
      <w:r>
        <w:rPr>
          <w:spacing w:val="2"/>
          <w:w w:val="105"/>
          <w:sz w:val="13"/>
        </w:rPr>
        <w:t>(Vic) </w:t>
      </w:r>
      <w:r>
        <w:rPr>
          <w:w w:val="105"/>
          <w:sz w:val="13"/>
        </w:rPr>
        <w:t>(where an emergency has occurred) </w:t>
      </w:r>
      <w:r>
        <w:rPr>
          <w:spacing w:val="2"/>
          <w:w w:val="105"/>
          <w:sz w:val="13"/>
        </w:rPr>
        <w:t>and/or </w:t>
      </w:r>
      <w:r>
        <w:rPr>
          <w:w w:val="105"/>
          <w:sz w:val="13"/>
        </w:rPr>
        <w:t>the common law duty of care: Department of Environment, Land, Water</w:t>
      </w:r>
      <w:r>
        <w:rPr>
          <w:spacing w:val="4"/>
          <w:w w:val="105"/>
          <w:sz w:val="13"/>
        </w:rPr>
        <w:t> </w:t>
      </w:r>
      <w:r>
        <w:rPr>
          <w:w w:val="105"/>
          <w:sz w:val="13"/>
        </w:rPr>
        <w:t>and</w:t>
      </w:r>
      <w:r>
        <w:rPr>
          <w:spacing w:val="5"/>
          <w:w w:val="105"/>
          <w:sz w:val="13"/>
        </w:rPr>
        <w:t> </w:t>
      </w:r>
      <w:r>
        <w:rPr>
          <w:w w:val="105"/>
          <w:sz w:val="13"/>
        </w:rPr>
        <w:t>Planning</w:t>
      </w:r>
      <w:r>
        <w:rPr>
          <w:spacing w:val="5"/>
          <w:w w:val="105"/>
          <w:sz w:val="13"/>
        </w:rPr>
        <w:t> </w:t>
      </w:r>
      <w:r>
        <w:rPr>
          <w:spacing w:val="2"/>
          <w:w w:val="105"/>
          <w:sz w:val="13"/>
        </w:rPr>
        <w:t>(Vic)</w:t>
      </w:r>
      <w:r>
        <w:rPr>
          <w:spacing w:val="4"/>
          <w:w w:val="105"/>
          <w:sz w:val="13"/>
        </w:rPr>
        <w:t> </w:t>
      </w:r>
      <w:r>
        <w:rPr>
          <w:i/>
          <w:w w:val="105"/>
          <w:sz w:val="13"/>
        </w:rPr>
        <w:t>Review</w:t>
      </w:r>
      <w:r>
        <w:rPr>
          <w:i/>
          <w:spacing w:val="5"/>
          <w:w w:val="105"/>
          <w:sz w:val="13"/>
        </w:rPr>
        <w:t> </w:t>
      </w:r>
      <w:r>
        <w:rPr>
          <w:i/>
          <w:w w:val="105"/>
          <w:sz w:val="13"/>
        </w:rPr>
        <w:t>of</w:t>
      </w:r>
      <w:r>
        <w:rPr>
          <w:i/>
          <w:spacing w:val="5"/>
          <w:w w:val="105"/>
          <w:sz w:val="13"/>
        </w:rPr>
        <w:t> </w:t>
      </w:r>
      <w:r>
        <w:rPr>
          <w:i/>
          <w:w w:val="105"/>
          <w:sz w:val="13"/>
        </w:rPr>
        <w:t>the</w:t>
      </w:r>
      <w:r>
        <w:rPr>
          <w:i/>
          <w:spacing w:val="5"/>
          <w:w w:val="105"/>
          <w:sz w:val="13"/>
        </w:rPr>
        <w:t> </w:t>
      </w:r>
      <w:r>
        <w:rPr>
          <w:i/>
          <w:w w:val="105"/>
          <w:sz w:val="13"/>
        </w:rPr>
        <w:t>Local</w:t>
      </w:r>
      <w:r>
        <w:rPr>
          <w:i/>
          <w:spacing w:val="4"/>
          <w:w w:val="105"/>
          <w:sz w:val="13"/>
        </w:rPr>
        <w:t> </w:t>
      </w:r>
      <w:r>
        <w:rPr>
          <w:i/>
          <w:w w:val="105"/>
          <w:sz w:val="13"/>
        </w:rPr>
        <w:t>Government</w:t>
      </w:r>
      <w:r>
        <w:rPr>
          <w:i/>
          <w:spacing w:val="5"/>
          <w:w w:val="105"/>
          <w:sz w:val="13"/>
        </w:rPr>
        <w:t> </w:t>
      </w:r>
      <w:r>
        <w:rPr>
          <w:i/>
          <w:w w:val="105"/>
          <w:sz w:val="13"/>
        </w:rPr>
        <w:t>Act</w:t>
      </w:r>
      <w:r>
        <w:rPr>
          <w:i/>
          <w:spacing w:val="5"/>
          <w:w w:val="105"/>
          <w:sz w:val="13"/>
        </w:rPr>
        <w:t> </w:t>
      </w:r>
      <w:r>
        <w:rPr>
          <w:spacing w:val="2"/>
          <w:w w:val="105"/>
          <w:sz w:val="13"/>
        </w:rPr>
        <w:t>(Discussion</w:t>
      </w:r>
      <w:r>
        <w:rPr>
          <w:spacing w:val="5"/>
          <w:w w:val="105"/>
          <w:sz w:val="13"/>
        </w:rPr>
        <w:t> </w:t>
      </w:r>
      <w:r>
        <w:rPr>
          <w:w w:val="105"/>
          <w:sz w:val="13"/>
        </w:rPr>
        <w:t>Paper,</w:t>
      </w:r>
      <w:r>
        <w:rPr>
          <w:spacing w:val="4"/>
          <w:w w:val="105"/>
          <w:sz w:val="13"/>
        </w:rPr>
        <w:t> </w:t>
      </w:r>
      <w:r>
        <w:rPr>
          <w:w w:val="105"/>
          <w:sz w:val="13"/>
        </w:rPr>
        <w:t>2015)</w:t>
      </w:r>
      <w:r>
        <w:rPr>
          <w:spacing w:val="5"/>
          <w:w w:val="105"/>
          <w:sz w:val="13"/>
        </w:rPr>
        <w:t> </w:t>
      </w:r>
      <w:r>
        <w:rPr>
          <w:spacing w:val="-5"/>
          <w:w w:val="105"/>
          <w:sz w:val="13"/>
        </w:rPr>
        <w:t>113.</w:t>
      </w:r>
    </w:p>
    <w:p>
      <w:pPr>
        <w:pStyle w:val="ListParagraph"/>
        <w:numPr>
          <w:ilvl w:val="0"/>
          <w:numId w:val="204"/>
        </w:numPr>
        <w:tabs>
          <w:tab w:pos="2381" w:val="left" w:leader="none"/>
          <w:tab w:pos="2382" w:val="left" w:leader="none"/>
        </w:tabs>
        <w:spacing w:line="240" w:lineRule="auto" w:before="7" w:after="0"/>
        <w:ind w:left="2381" w:right="37" w:hanging="794"/>
        <w:jc w:val="left"/>
        <w:rPr>
          <w:sz w:val="13"/>
        </w:rPr>
      </w:pPr>
      <w:r>
        <w:rPr>
          <w:w w:val="105"/>
          <w:sz w:val="13"/>
        </w:rPr>
        <w:t>See, eg, </w:t>
      </w:r>
      <w:r>
        <w:rPr>
          <w:i/>
          <w:w w:val="105"/>
          <w:sz w:val="13"/>
        </w:rPr>
        <w:t>Timbs v Shoalhaven City Council </w:t>
      </w:r>
      <w:r>
        <w:rPr>
          <w:spacing w:val="2"/>
          <w:w w:val="105"/>
          <w:sz w:val="13"/>
        </w:rPr>
        <w:t>(2004) </w:t>
      </w:r>
      <w:r>
        <w:rPr>
          <w:spacing w:val="-3"/>
          <w:w w:val="105"/>
          <w:sz w:val="13"/>
        </w:rPr>
        <w:t>132  </w:t>
      </w:r>
      <w:r>
        <w:rPr>
          <w:w w:val="105"/>
          <w:sz w:val="13"/>
        </w:rPr>
        <w:t>LGERA 397—this case illustrates how death may be caused by falling trees, although        it is not a neighbourhood dispute as defined by the terms of reference of this inquiry. In this case, a subject tree protected by council fell      on the tree owner’s own land, killing him in the process. See also Coroners Court of New South Wales, </w:t>
      </w:r>
      <w:r>
        <w:rPr>
          <w:i/>
          <w:w w:val="105"/>
          <w:sz w:val="13"/>
        </w:rPr>
        <w:t>Finding into Death with Inquest of </w:t>
      </w:r>
      <w:r>
        <w:rPr>
          <w:i/>
          <w:w w:val="105"/>
          <w:sz w:val="13"/>
        </w:rPr>
        <w:t>Bridget Wright </w:t>
      </w:r>
      <w:r>
        <w:rPr>
          <w:w w:val="105"/>
          <w:sz w:val="13"/>
        </w:rPr>
        <w:t>(2014/56521) (20 November 2015) and Coroners Court of Victoria, </w:t>
      </w:r>
      <w:r>
        <w:rPr>
          <w:i/>
          <w:w w:val="105"/>
          <w:sz w:val="13"/>
        </w:rPr>
        <w:t>Finding into Death with Inquest of Patiya May Schreiber</w:t>
      </w:r>
      <w:r>
        <w:rPr>
          <w:w w:val="105"/>
          <w:sz w:val="13"/>
        </w:rPr>
        <w:t>, (2013/6032)</w:t>
      </w:r>
      <w:r>
        <w:rPr>
          <w:spacing w:val="4"/>
          <w:w w:val="105"/>
          <w:sz w:val="13"/>
        </w:rPr>
        <w:t> </w:t>
      </w:r>
      <w:r>
        <w:rPr>
          <w:spacing w:val="-2"/>
          <w:w w:val="105"/>
          <w:sz w:val="13"/>
        </w:rPr>
        <w:t>(10</w:t>
      </w:r>
      <w:r>
        <w:rPr>
          <w:spacing w:val="5"/>
          <w:w w:val="105"/>
          <w:sz w:val="13"/>
        </w:rPr>
        <w:t> </w:t>
      </w:r>
      <w:r>
        <w:rPr>
          <w:w w:val="105"/>
          <w:sz w:val="13"/>
        </w:rPr>
        <w:t>September</w:t>
      </w:r>
      <w:r>
        <w:rPr>
          <w:spacing w:val="5"/>
          <w:w w:val="105"/>
          <w:sz w:val="13"/>
        </w:rPr>
        <w:t> </w:t>
      </w:r>
      <w:r>
        <w:rPr>
          <w:w w:val="105"/>
          <w:sz w:val="13"/>
        </w:rPr>
        <w:t>2015),</w:t>
      </w:r>
      <w:r>
        <w:rPr>
          <w:spacing w:val="4"/>
          <w:w w:val="105"/>
          <w:sz w:val="13"/>
        </w:rPr>
        <w:t> </w:t>
      </w:r>
      <w:r>
        <w:rPr>
          <w:w w:val="105"/>
          <w:sz w:val="13"/>
        </w:rPr>
        <w:t>where</w:t>
      </w:r>
      <w:r>
        <w:rPr>
          <w:spacing w:val="5"/>
          <w:w w:val="105"/>
          <w:sz w:val="13"/>
        </w:rPr>
        <w:t> </w:t>
      </w:r>
      <w:r>
        <w:rPr>
          <w:w w:val="105"/>
          <w:sz w:val="13"/>
        </w:rPr>
        <w:t>the</w:t>
      </w:r>
      <w:r>
        <w:rPr>
          <w:spacing w:val="5"/>
          <w:w w:val="105"/>
          <w:sz w:val="13"/>
        </w:rPr>
        <w:t> </w:t>
      </w:r>
      <w:r>
        <w:rPr>
          <w:w w:val="105"/>
          <w:sz w:val="13"/>
        </w:rPr>
        <w:t>deceased</w:t>
      </w:r>
      <w:r>
        <w:rPr>
          <w:spacing w:val="5"/>
          <w:w w:val="105"/>
          <w:sz w:val="13"/>
        </w:rPr>
        <w:t> </w:t>
      </w:r>
      <w:r>
        <w:rPr>
          <w:w w:val="105"/>
          <w:sz w:val="13"/>
        </w:rPr>
        <w:t>persons</w:t>
      </w:r>
      <w:r>
        <w:rPr>
          <w:spacing w:val="4"/>
          <w:w w:val="105"/>
          <w:sz w:val="13"/>
        </w:rPr>
        <w:t> </w:t>
      </w:r>
      <w:r>
        <w:rPr>
          <w:w w:val="105"/>
          <w:sz w:val="13"/>
        </w:rPr>
        <w:t>were</w:t>
      </w:r>
      <w:r>
        <w:rPr>
          <w:spacing w:val="5"/>
          <w:w w:val="105"/>
          <w:sz w:val="13"/>
        </w:rPr>
        <w:t> </w:t>
      </w:r>
      <w:r>
        <w:rPr>
          <w:w w:val="105"/>
          <w:sz w:val="13"/>
        </w:rPr>
        <w:t>each</w:t>
      </w:r>
      <w:r>
        <w:rPr>
          <w:spacing w:val="5"/>
          <w:w w:val="105"/>
          <w:sz w:val="13"/>
        </w:rPr>
        <w:t> </w:t>
      </w:r>
      <w:r>
        <w:rPr>
          <w:w w:val="105"/>
          <w:sz w:val="13"/>
        </w:rPr>
        <w:t>killed</w:t>
      </w:r>
      <w:r>
        <w:rPr>
          <w:spacing w:val="5"/>
          <w:w w:val="105"/>
          <w:sz w:val="13"/>
        </w:rPr>
        <w:t> </w:t>
      </w:r>
      <w:r>
        <w:rPr>
          <w:w w:val="105"/>
          <w:sz w:val="13"/>
        </w:rPr>
        <w:t>by</w:t>
      </w:r>
      <w:r>
        <w:rPr>
          <w:spacing w:val="4"/>
          <w:w w:val="105"/>
          <w:sz w:val="13"/>
        </w:rPr>
        <w:t> </w:t>
      </w:r>
      <w:r>
        <w:rPr>
          <w:w w:val="105"/>
          <w:sz w:val="13"/>
        </w:rPr>
        <w:t>a</w:t>
      </w:r>
      <w:r>
        <w:rPr>
          <w:spacing w:val="5"/>
          <w:w w:val="105"/>
          <w:sz w:val="13"/>
        </w:rPr>
        <w:t> </w:t>
      </w:r>
      <w:r>
        <w:rPr>
          <w:w w:val="105"/>
          <w:sz w:val="13"/>
        </w:rPr>
        <w:t>falling</w:t>
      </w:r>
      <w:r>
        <w:rPr>
          <w:spacing w:val="5"/>
          <w:w w:val="105"/>
          <w:sz w:val="13"/>
        </w:rPr>
        <w:t> </w:t>
      </w:r>
      <w:r>
        <w:rPr>
          <w:w w:val="105"/>
          <w:sz w:val="13"/>
        </w:rPr>
        <w:t>branch.</w:t>
      </w:r>
    </w:p>
    <w:p>
      <w:pPr>
        <w:pStyle w:val="ListParagraph"/>
        <w:numPr>
          <w:ilvl w:val="0"/>
          <w:numId w:val="204"/>
        </w:numPr>
        <w:tabs>
          <w:tab w:pos="2381" w:val="left" w:leader="none"/>
          <w:tab w:pos="2382" w:val="left" w:leader="none"/>
        </w:tabs>
        <w:spacing w:line="240" w:lineRule="auto" w:before="6" w:after="0"/>
        <w:ind w:left="2381" w:right="0" w:hanging="794"/>
        <w:jc w:val="left"/>
        <w:rPr>
          <w:sz w:val="13"/>
        </w:rPr>
      </w:pPr>
      <w:r>
        <w:rPr>
          <w:i/>
          <w:w w:val="105"/>
          <w:sz w:val="13"/>
        </w:rPr>
        <w:t>Trees (Disputes Between Neighbours) Act 2006 </w:t>
      </w:r>
      <w:r>
        <w:rPr>
          <w:spacing w:val="3"/>
          <w:w w:val="105"/>
          <w:sz w:val="13"/>
        </w:rPr>
        <w:t>(NSW) </w:t>
      </w:r>
      <w:r>
        <w:rPr>
          <w:w w:val="105"/>
          <w:sz w:val="13"/>
        </w:rPr>
        <w:t>s</w:t>
      </w:r>
      <w:r>
        <w:rPr>
          <w:spacing w:val="4"/>
          <w:w w:val="105"/>
          <w:sz w:val="13"/>
        </w:rPr>
        <w:t> 4(2)(a).</w:t>
      </w:r>
    </w:p>
    <w:p>
      <w:pPr>
        <w:pStyle w:val="ListParagraph"/>
        <w:numPr>
          <w:ilvl w:val="0"/>
          <w:numId w:val="204"/>
        </w:numPr>
        <w:tabs>
          <w:tab w:pos="2381" w:val="left" w:leader="none"/>
          <w:tab w:pos="2382" w:val="left" w:leader="none"/>
        </w:tabs>
        <w:spacing w:line="240" w:lineRule="auto" w:before="2" w:after="0"/>
        <w:ind w:left="2381" w:right="0" w:hanging="794"/>
        <w:jc w:val="left"/>
        <w:rPr>
          <w:sz w:val="13"/>
        </w:rPr>
      </w:pPr>
      <w:r>
        <w:rPr>
          <w:w w:val="105"/>
          <w:sz w:val="13"/>
        </w:rPr>
        <w:t>Department</w:t>
      </w:r>
      <w:r>
        <w:rPr>
          <w:spacing w:val="8"/>
          <w:w w:val="105"/>
          <w:sz w:val="13"/>
        </w:rPr>
        <w:t> </w:t>
      </w:r>
      <w:r>
        <w:rPr>
          <w:w w:val="105"/>
          <w:sz w:val="13"/>
        </w:rPr>
        <w:t>of</w:t>
      </w:r>
      <w:r>
        <w:rPr>
          <w:spacing w:val="9"/>
          <w:w w:val="105"/>
          <w:sz w:val="13"/>
        </w:rPr>
        <w:t> </w:t>
      </w:r>
      <w:r>
        <w:rPr>
          <w:w w:val="105"/>
          <w:sz w:val="13"/>
        </w:rPr>
        <w:t>Justice</w:t>
      </w:r>
      <w:r>
        <w:rPr>
          <w:spacing w:val="8"/>
          <w:w w:val="105"/>
          <w:sz w:val="13"/>
        </w:rPr>
        <w:t> </w:t>
      </w:r>
      <w:r>
        <w:rPr>
          <w:w w:val="105"/>
          <w:sz w:val="13"/>
        </w:rPr>
        <w:t>and</w:t>
      </w:r>
      <w:r>
        <w:rPr>
          <w:spacing w:val="9"/>
          <w:w w:val="105"/>
          <w:sz w:val="13"/>
        </w:rPr>
        <w:t> </w:t>
      </w:r>
      <w:r>
        <w:rPr>
          <w:w w:val="105"/>
          <w:sz w:val="13"/>
        </w:rPr>
        <w:t>Attorney</w:t>
      </w:r>
      <w:r>
        <w:rPr>
          <w:spacing w:val="8"/>
          <w:w w:val="105"/>
          <w:sz w:val="13"/>
        </w:rPr>
        <w:t> </w:t>
      </w:r>
      <w:r>
        <w:rPr>
          <w:w w:val="105"/>
          <w:sz w:val="13"/>
        </w:rPr>
        <w:t>General</w:t>
      </w:r>
      <w:r>
        <w:rPr>
          <w:spacing w:val="9"/>
          <w:w w:val="105"/>
          <w:sz w:val="13"/>
        </w:rPr>
        <w:t> </w:t>
      </w:r>
      <w:r>
        <w:rPr>
          <w:spacing w:val="3"/>
          <w:w w:val="105"/>
          <w:sz w:val="13"/>
        </w:rPr>
        <w:t>(NSW),</w:t>
      </w:r>
      <w:r>
        <w:rPr>
          <w:spacing w:val="8"/>
          <w:w w:val="105"/>
          <w:sz w:val="13"/>
        </w:rPr>
        <w:t> </w:t>
      </w:r>
      <w:r>
        <w:rPr>
          <w:i/>
          <w:w w:val="105"/>
          <w:sz w:val="13"/>
        </w:rPr>
        <w:t>Review</w:t>
      </w:r>
      <w:r>
        <w:rPr>
          <w:i/>
          <w:spacing w:val="9"/>
          <w:w w:val="105"/>
          <w:sz w:val="13"/>
        </w:rPr>
        <w:t> </w:t>
      </w:r>
      <w:r>
        <w:rPr>
          <w:i/>
          <w:w w:val="105"/>
          <w:sz w:val="13"/>
        </w:rPr>
        <w:t>of</w:t>
      </w:r>
      <w:r>
        <w:rPr>
          <w:i/>
          <w:spacing w:val="8"/>
          <w:w w:val="105"/>
          <w:sz w:val="13"/>
        </w:rPr>
        <w:t> </w:t>
      </w:r>
      <w:r>
        <w:rPr>
          <w:i/>
          <w:w w:val="105"/>
          <w:sz w:val="13"/>
        </w:rPr>
        <w:t>the</w:t>
      </w:r>
      <w:r>
        <w:rPr>
          <w:i/>
          <w:spacing w:val="9"/>
          <w:w w:val="105"/>
          <w:sz w:val="13"/>
        </w:rPr>
        <w:t> </w:t>
      </w:r>
      <w:r>
        <w:rPr>
          <w:i/>
          <w:w w:val="105"/>
          <w:sz w:val="13"/>
        </w:rPr>
        <w:t>Trees</w:t>
      </w:r>
      <w:r>
        <w:rPr>
          <w:i/>
          <w:spacing w:val="8"/>
          <w:w w:val="105"/>
          <w:sz w:val="13"/>
        </w:rPr>
        <w:t> </w:t>
      </w:r>
      <w:r>
        <w:rPr>
          <w:i/>
          <w:w w:val="105"/>
          <w:sz w:val="13"/>
        </w:rPr>
        <w:t>(Disputes</w:t>
      </w:r>
      <w:r>
        <w:rPr>
          <w:i/>
          <w:spacing w:val="9"/>
          <w:w w:val="105"/>
          <w:sz w:val="13"/>
        </w:rPr>
        <w:t> </w:t>
      </w:r>
      <w:r>
        <w:rPr>
          <w:i/>
          <w:w w:val="105"/>
          <w:sz w:val="13"/>
        </w:rPr>
        <w:t>Between</w:t>
      </w:r>
      <w:r>
        <w:rPr>
          <w:i/>
          <w:spacing w:val="8"/>
          <w:w w:val="105"/>
          <w:sz w:val="13"/>
        </w:rPr>
        <w:t> </w:t>
      </w:r>
      <w:r>
        <w:rPr>
          <w:i/>
          <w:w w:val="105"/>
          <w:sz w:val="13"/>
        </w:rPr>
        <w:t>Neighbours)</w:t>
      </w:r>
      <w:r>
        <w:rPr>
          <w:i/>
          <w:spacing w:val="9"/>
          <w:w w:val="105"/>
          <w:sz w:val="13"/>
        </w:rPr>
        <w:t> </w:t>
      </w:r>
      <w:r>
        <w:rPr>
          <w:i/>
          <w:w w:val="105"/>
          <w:sz w:val="13"/>
        </w:rPr>
        <w:t>Act</w:t>
      </w:r>
      <w:r>
        <w:rPr>
          <w:i/>
          <w:spacing w:val="9"/>
          <w:w w:val="105"/>
          <w:sz w:val="13"/>
        </w:rPr>
        <w:t> </w:t>
      </w:r>
      <w:r>
        <w:rPr>
          <w:i/>
          <w:w w:val="105"/>
          <w:sz w:val="13"/>
        </w:rPr>
        <w:t>2006</w:t>
      </w:r>
      <w:r>
        <w:rPr>
          <w:i/>
          <w:spacing w:val="8"/>
          <w:w w:val="105"/>
          <w:sz w:val="13"/>
        </w:rPr>
        <w:t> </w:t>
      </w:r>
      <w:r>
        <w:rPr>
          <w:spacing w:val="3"/>
          <w:w w:val="105"/>
          <w:sz w:val="13"/>
        </w:rPr>
        <w:t>(NSW)</w:t>
      </w:r>
      <w:r>
        <w:rPr>
          <w:spacing w:val="9"/>
          <w:w w:val="105"/>
          <w:sz w:val="13"/>
        </w:rPr>
        <w:t> </w:t>
      </w:r>
      <w:r>
        <w:rPr>
          <w:spacing w:val="2"/>
          <w:w w:val="105"/>
          <w:sz w:val="13"/>
        </w:rPr>
        <w:t>(Report,</w:t>
      </w:r>
      <w:r>
        <w:rPr>
          <w:spacing w:val="8"/>
          <w:w w:val="105"/>
          <w:sz w:val="13"/>
        </w:rPr>
        <w:t> </w:t>
      </w:r>
      <w:r>
        <w:rPr>
          <w:spacing w:val="2"/>
          <w:w w:val="105"/>
          <w:sz w:val="13"/>
        </w:rPr>
        <w:t>2009)</w:t>
      </w:r>
      <w:r>
        <w:rPr>
          <w:spacing w:val="9"/>
          <w:w w:val="105"/>
          <w:sz w:val="13"/>
        </w:rPr>
        <w:t> </w:t>
      </w:r>
      <w:r>
        <w:rPr>
          <w:w w:val="105"/>
          <w:sz w:val="13"/>
        </w:rPr>
        <w:t>3.</w:t>
      </w:r>
    </w:p>
    <w:p>
      <w:pPr>
        <w:pStyle w:val="ListParagraph"/>
        <w:numPr>
          <w:ilvl w:val="0"/>
          <w:numId w:val="204"/>
        </w:numPr>
        <w:tabs>
          <w:tab w:pos="2381" w:val="left" w:leader="none"/>
          <w:tab w:pos="2382" w:val="left" w:leader="none"/>
        </w:tabs>
        <w:spacing w:line="240" w:lineRule="auto" w:before="1" w:after="0"/>
        <w:ind w:left="2381" w:right="500" w:hanging="794"/>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 2015)</w:t>
      </w:r>
      <w:r>
        <w:rPr>
          <w:spacing w:val="9"/>
          <w:w w:val="105"/>
          <w:sz w:val="13"/>
        </w:rPr>
        <w:t> </w:t>
      </w:r>
      <w:r>
        <w:rPr>
          <w:spacing w:val="2"/>
          <w:w w:val="105"/>
          <w:sz w:val="13"/>
        </w:rPr>
        <w:t>77–8.</w:t>
      </w:r>
    </w:p>
    <w:p>
      <w:pPr>
        <w:pStyle w:val="ListParagraph"/>
        <w:numPr>
          <w:ilvl w:val="0"/>
          <w:numId w:val="204"/>
        </w:numPr>
        <w:tabs>
          <w:tab w:pos="2381" w:val="left" w:leader="none"/>
          <w:tab w:pos="2382" w:val="left" w:leader="none"/>
        </w:tabs>
        <w:spacing w:line="240" w:lineRule="auto" w:before="3" w:after="0"/>
        <w:ind w:left="2381" w:right="0" w:hanging="794"/>
        <w:jc w:val="left"/>
        <w:rPr>
          <w:sz w:val="13"/>
        </w:rPr>
      </w:pPr>
      <w:r>
        <w:rPr>
          <w:i/>
          <w:w w:val="105"/>
          <w:sz w:val="13"/>
        </w:rPr>
        <w:t>Neighbourhood Disputes About Plants Act </w:t>
      </w:r>
      <w:r>
        <w:rPr>
          <w:i/>
          <w:spacing w:val="-4"/>
          <w:w w:val="105"/>
          <w:sz w:val="13"/>
        </w:rPr>
        <w:t>2017 </w:t>
      </w:r>
      <w:r>
        <w:rPr>
          <w:w w:val="105"/>
          <w:sz w:val="13"/>
        </w:rPr>
        <w:t>(Tas) s</w:t>
      </w:r>
      <w:r>
        <w:rPr>
          <w:spacing w:val="16"/>
          <w:w w:val="105"/>
          <w:sz w:val="13"/>
        </w:rPr>
        <w:t> </w:t>
      </w:r>
      <w:r>
        <w:rPr>
          <w:spacing w:val="4"/>
          <w:w w:val="105"/>
          <w:sz w:val="13"/>
        </w:rPr>
        <w:t>9(a).</w:t>
      </w:r>
    </w:p>
    <w:p>
      <w:pPr>
        <w:pStyle w:val="ListParagraph"/>
        <w:numPr>
          <w:ilvl w:val="0"/>
          <w:numId w:val="204"/>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5"/>
          <w:w w:val="105"/>
          <w:sz w:val="13"/>
        </w:rPr>
        <w:t> </w:t>
      </w:r>
      <w:r>
        <w:rPr>
          <w:w w:val="105"/>
          <w:sz w:val="13"/>
        </w:rPr>
        <w:t>eg,</w:t>
      </w:r>
      <w:r>
        <w:rPr>
          <w:spacing w:val="5"/>
          <w:w w:val="105"/>
          <w:sz w:val="13"/>
        </w:rPr>
        <w:t> </w:t>
      </w:r>
      <w:r>
        <w:rPr>
          <w:i/>
          <w:w w:val="105"/>
          <w:sz w:val="13"/>
        </w:rPr>
        <w:t>Road</w:t>
      </w:r>
      <w:r>
        <w:rPr>
          <w:i/>
          <w:spacing w:val="6"/>
          <w:w w:val="105"/>
          <w:sz w:val="13"/>
        </w:rPr>
        <w:t> </w:t>
      </w:r>
      <w:r>
        <w:rPr>
          <w:i/>
          <w:w w:val="105"/>
          <w:sz w:val="13"/>
        </w:rPr>
        <w:t>Management</w:t>
      </w:r>
      <w:r>
        <w:rPr>
          <w:i/>
          <w:spacing w:val="5"/>
          <w:w w:val="105"/>
          <w:sz w:val="13"/>
        </w:rPr>
        <w:t> </w:t>
      </w:r>
      <w:r>
        <w:rPr>
          <w:i/>
          <w:w w:val="105"/>
          <w:sz w:val="13"/>
        </w:rPr>
        <w:t>Act</w:t>
      </w:r>
      <w:r>
        <w:rPr>
          <w:i/>
          <w:spacing w:val="5"/>
          <w:w w:val="105"/>
          <w:sz w:val="13"/>
        </w:rPr>
        <w:t> </w:t>
      </w:r>
      <w:r>
        <w:rPr>
          <w:i/>
          <w:w w:val="105"/>
          <w:sz w:val="13"/>
        </w:rPr>
        <w:t>2004</w:t>
      </w:r>
      <w:r>
        <w:rPr>
          <w:i/>
          <w:spacing w:val="5"/>
          <w:w w:val="105"/>
          <w:sz w:val="13"/>
        </w:rPr>
        <w:t> </w:t>
      </w:r>
      <w:r>
        <w:rPr>
          <w:spacing w:val="2"/>
          <w:w w:val="105"/>
          <w:sz w:val="13"/>
        </w:rPr>
        <w:t>(Vic);</w:t>
      </w:r>
      <w:r>
        <w:rPr>
          <w:spacing w:val="6"/>
          <w:w w:val="105"/>
          <w:sz w:val="13"/>
        </w:rPr>
        <w:t> </w:t>
      </w:r>
      <w:r>
        <w:rPr>
          <w:w w:val="105"/>
          <w:sz w:val="13"/>
        </w:rPr>
        <w:t>Submission</w:t>
      </w:r>
      <w:r>
        <w:rPr>
          <w:spacing w:val="5"/>
          <w:w w:val="105"/>
          <w:sz w:val="13"/>
        </w:rPr>
        <w:t> </w:t>
      </w:r>
      <w:r>
        <w:rPr>
          <w:w w:val="105"/>
          <w:sz w:val="13"/>
        </w:rPr>
        <w:t>32</w:t>
      </w:r>
      <w:r>
        <w:rPr>
          <w:spacing w:val="5"/>
          <w:w w:val="105"/>
          <w:sz w:val="13"/>
        </w:rPr>
        <w:t> </w:t>
      </w:r>
      <w:r>
        <w:rPr>
          <w:w w:val="105"/>
          <w:sz w:val="13"/>
        </w:rPr>
        <w:t>(Municipal</w:t>
      </w:r>
      <w:r>
        <w:rPr>
          <w:spacing w:val="6"/>
          <w:w w:val="105"/>
          <w:sz w:val="13"/>
        </w:rPr>
        <w:t> </w:t>
      </w:r>
      <w:r>
        <w:rPr>
          <w:w w:val="105"/>
          <w:sz w:val="13"/>
        </w:rPr>
        <w:t>Association</w:t>
      </w:r>
      <w:r>
        <w:rPr>
          <w:spacing w:val="5"/>
          <w:w w:val="105"/>
          <w:sz w:val="13"/>
        </w:rPr>
        <w:t> </w:t>
      </w:r>
      <w:r>
        <w:rPr>
          <w:w w:val="105"/>
          <w:sz w:val="13"/>
        </w:rPr>
        <w:t>of</w:t>
      </w:r>
      <w:r>
        <w:rPr>
          <w:spacing w:val="5"/>
          <w:w w:val="105"/>
          <w:sz w:val="13"/>
        </w:rPr>
        <w:t> </w:t>
      </w:r>
      <w:r>
        <w:rPr>
          <w:spacing w:val="2"/>
          <w:w w:val="105"/>
          <w:sz w:val="13"/>
        </w:rPr>
        <w:t>Victoria).</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27"/>
        <w:ind w:left="562" w:right="572" w:firstLine="0"/>
        <w:jc w:val="center"/>
        <w:rPr>
          <w:b/>
          <w:sz w:val="24"/>
        </w:rPr>
      </w:pPr>
      <w:r>
        <w:rPr>
          <w:b/>
          <w:color w:val="658464"/>
          <w:w w:val="110"/>
          <w:sz w:val="24"/>
        </w:rPr>
        <w:t>297</w:t>
      </w:r>
    </w:p>
    <w:p>
      <w:pPr>
        <w:spacing w:after="0"/>
        <w:jc w:val="center"/>
        <w:rPr>
          <w:sz w:val="24"/>
        </w:rPr>
        <w:sectPr>
          <w:type w:val="continuous"/>
          <w:pgSz w:w="11910" w:h="16840"/>
          <w:pgMar w:top="300" w:bottom="280" w:left="0" w:right="0"/>
          <w:cols w:num="2" w:equalWidth="0">
            <w:col w:w="10291" w:space="40"/>
            <w:col w:w="1579"/>
          </w:cols>
        </w:sectPr>
      </w:pPr>
    </w:p>
    <w:p>
      <w:pPr>
        <w:pStyle w:val="BodyText"/>
        <w:spacing w:before="9"/>
        <w:rPr>
          <w:b/>
          <w:sz w:val="22"/>
        </w:rPr>
      </w:pPr>
    </w:p>
    <w:p>
      <w:pPr>
        <w:pStyle w:val="ListParagraph"/>
        <w:numPr>
          <w:ilvl w:val="1"/>
          <w:numId w:val="16"/>
        </w:numPr>
        <w:tabs>
          <w:tab w:pos="2380" w:val="left" w:leader="none"/>
          <w:tab w:pos="2381" w:val="left" w:leader="none"/>
        </w:tabs>
        <w:spacing w:line="242" w:lineRule="auto" w:before="92" w:after="0"/>
        <w:ind w:left="2381" w:right="1626" w:hanging="794"/>
        <w:jc w:val="left"/>
        <w:rPr>
          <w:sz w:val="21"/>
        </w:rPr>
      </w:pPr>
      <w:bookmarkStart w:name="_bookmark165" w:id="355"/>
      <w:bookmarkEnd w:id="355"/>
      <w:r>
        <w:rPr/>
      </w:r>
      <w:bookmarkStart w:name="_bookmark165" w:id="356"/>
      <w:bookmarkEnd w:id="356"/>
      <w:r>
        <w:rPr>
          <w:w w:val="105"/>
          <w:sz w:val="21"/>
        </w:rPr>
        <w:t>A</w:t>
      </w:r>
      <w:r>
        <w:rPr>
          <w:w w:val="105"/>
          <w:sz w:val="21"/>
        </w:rPr>
        <w:t>lthough there </w:t>
      </w:r>
      <w:r>
        <w:rPr>
          <w:spacing w:val="-3"/>
          <w:w w:val="105"/>
          <w:sz w:val="21"/>
        </w:rPr>
        <w:t>are many </w:t>
      </w:r>
      <w:r>
        <w:rPr>
          <w:w w:val="105"/>
          <w:sz w:val="21"/>
        </w:rPr>
        <w:t>trees on </w:t>
      </w:r>
      <w:r>
        <w:rPr>
          <w:spacing w:val="-3"/>
          <w:w w:val="105"/>
          <w:sz w:val="21"/>
        </w:rPr>
        <w:t>public land that may potentially </w:t>
      </w:r>
      <w:r>
        <w:rPr>
          <w:w w:val="105"/>
          <w:sz w:val="21"/>
        </w:rPr>
        <w:t>cause damage or </w:t>
      </w:r>
      <w:r>
        <w:rPr>
          <w:spacing w:val="-3"/>
          <w:w w:val="105"/>
          <w:sz w:val="21"/>
        </w:rPr>
        <w:t>harm, </w:t>
      </w:r>
      <w:r>
        <w:rPr>
          <w:w w:val="105"/>
          <w:sz w:val="21"/>
        </w:rPr>
        <w:t>the </w:t>
      </w:r>
      <w:r>
        <w:rPr>
          <w:spacing w:val="-3"/>
          <w:w w:val="105"/>
          <w:sz w:val="21"/>
        </w:rPr>
        <w:t>Commission </w:t>
      </w:r>
      <w:r>
        <w:rPr>
          <w:w w:val="105"/>
          <w:sz w:val="21"/>
        </w:rPr>
        <w:t>is of the view </w:t>
      </w:r>
      <w:r>
        <w:rPr>
          <w:spacing w:val="-3"/>
          <w:w w:val="105"/>
          <w:sz w:val="21"/>
        </w:rPr>
        <w:t>that </w:t>
      </w:r>
      <w:r>
        <w:rPr>
          <w:w w:val="105"/>
          <w:sz w:val="21"/>
        </w:rPr>
        <w:t>it would </w:t>
      </w:r>
      <w:r>
        <w:rPr>
          <w:spacing w:val="-3"/>
          <w:w w:val="105"/>
          <w:sz w:val="21"/>
        </w:rPr>
        <w:t>place </w:t>
      </w:r>
      <w:r>
        <w:rPr>
          <w:w w:val="105"/>
          <w:sz w:val="21"/>
        </w:rPr>
        <w:t>an </w:t>
      </w:r>
      <w:r>
        <w:rPr>
          <w:spacing w:val="-3"/>
          <w:w w:val="105"/>
          <w:sz w:val="21"/>
        </w:rPr>
        <w:t>undue administrative </w:t>
      </w:r>
      <w:r>
        <w:rPr>
          <w:w w:val="105"/>
          <w:sz w:val="21"/>
        </w:rPr>
        <w:t>and cost burden on local </w:t>
      </w:r>
      <w:r>
        <w:rPr>
          <w:spacing w:val="-3"/>
          <w:w w:val="105"/>
          <w:sz w:val="21"/>
        </w:rPr>
        <w:t>councils to incorporate public land </w:t>
      </w:r>
      <w:r>
        <w:rPr>
          <w:spacing w:val="-4"/>
          <w:w w:val="105"/>
          <w:sz w:val="21"/>
        </w:rPr>
        <w:t>into </w:t>
      </w:r>
      <w:r>
        <w:rPr>
          <w:w w:val="105"/>
          <w:sz w:val="21"/>
        </w:rPr>
        <w:t>the new Act. The </w:t>
      </w:r>
      <w:r>
        <w:rPr>
          <w:spacing w:val="-3"/>
          <w:w w:val="105"/>
          <w:sz w:val="21"/>
        </w:rPr>
        <w:t>Commission </w:t>
      </w:r>
      <w:r>
        <w:rPr>
          <w:w w:val="105"/>
          <w:sz w:val="21"/>
        </w:rPr>
        <w:t>is </w:t>
      </w:r>
      <w:r>
        <w:rPr>
          <w:spacing w:val="-3"/>
          <w:w w:val="105"/>
          <w:sz w:val="21"/>
        </w:rPr>
        <w:t>mindful </w:t>
      </w:r>
      <w:r>
        <w:rPr>
          <w:w w:val="105"/>
          <w:sz w:val="21"/>
        </w:rPr>
        <w:t>of the </w:t>
      </w:r>
      <w:r>
        <w:rPr>
          <w:spacing w:val="-4"/>
          <w:w w:val="105"/>
          <w:sz w:val="21"/>
        </w:rPr>
        <w:t>QLRC’s </w:t>
      </w:r>
      <w:r>
        <w:rPr>
          <w:w w:val="105"/>
          <w:sz w:val="21"/>
        </w:rPr>
        <w:t>comments </w:t>
      </w:r>
      <w:r>
        <w:rPr>
          <w:spacing w:val="-3"/>
          <w:w w:val="105"/>
          <w:sz w:val="21"/>
        </w:rPr>
        <w:t>that </w:t>
      </w:r>
      <w:r>
        <w:rPr>
          <w:w w:val="105"/>
          <w:sz w:val="21"/>
        </w:rPr>
        <w:t>there is </w:t>
      </w:r>
      <w:r>
        <w:rPr>
          <w:spacing w:val="-3"/>
          <w:w w:val="105"/>
          <w:sz w:val="21"/>
        </w:rPr>
        <w:t>confusion </w:t>
      </w:r>
      <w:r>
        <w:rPr>
          <w:w w:val="105"/>
          <w:sz w:val="21"/>
        </w:rPr>
        <w:t>in the </w:t>
      </w:r>
      <w:r>
        <w:rPr>
          <w:spacing w:val="-3"/>
          <w:w w:val="105"/>
          <w:sz w:val="21"/>
        </w:rPr>
        <w:t>Queensland </w:t>
      </w:r>
      <w:r>
        <w:rPr>
          <w:w w:val="105"/>
          <w:sz w:val="21"/>
        </w:rPr>
        <w:t>community about whether the </w:t>
      </w:r>
      <w:r>
        <w:rPr>
          <w:spacing w:val="-3"/>
          <w:w w:val="105"/>
          <w:sz w:val="21"/>
        </w:rPr>
        <w:t>Queensland </w:t>
      </w:r>
      <w:r>
        <w:rPr>
          <w:w w:val="105"/>
          <w:sz w:val="21"/>
        </w:rPr>
        <w:t>Act applies </w:t>
      </w:r>
      <w:r>
        <w:rPr>
          <w:spacing w:val="-3"/>
          <w:w w:val="105"/>
          <w:sz w:val="21"/>
        </w:rPr>
        <w:t>to public land </w:t>
      </w:r>
      <w:r>
        <w:rPr>
          <w:w w:val="105"/>
          <w:sz w:val="21"/>
        </w:rPr>
        <w:t>or </w:t>
      </w:r>
      <w:r>
        <w:rPr>
          <w:spacing w:val="-2"/>
          <w:w w:val="105"/>
          <w:sz w:val="21"/>
        </w:rPr>
        <w:t>not </w:t>
      </w:r>
      <w:r>
        <w:rPr>
          <w:w w:val="105"/>
          <w:sz w:val="21"/>
        </w:rPr>
        <w:t>and the </w:t>
      </w:r>
      <w:r>
        <w:rPr>
          <w:spacing w:val="-4"/>
          <w:w w:val="105"/>
          <w:sz w:val="21"/>
        </w:rPr>
        <w:t>QLRC’s </w:t>
      </w:r>
      <w:r>
        <w:rPr>
          <w:spacing w:val="-3"/>
          <w:w w:val="105"/>
          <w:sz w:val="21"/>
        </w:rPr>
        <w:t>recommendation that </w:t>
      </w:r>
      <w:r>
        <w:rPr>
          <w:w w:val="105"/>
          <w:sz w:val="21"/>
        </w:rPr>
        <w:t>this should be remedied by </w:t>
      </w:r>
      <w:r>
        <w:rPr>
          <w:spacing w:val="-3"/>
          <w:w w:val="105"/>
          <w:sz w:val="21"/>
        </w:rPr>
        <w:t>including </w:t>
      </w:r>
      <w:r>
        <w:rPr>
          <w:w w:val="105"/>
          <w:sz w:val="21"/>
        </w:rPr>
        <w:t>a </w:t>
      </w:r>
      <w:r>
        <w:rPr>
          <w:spacing w:val="-3"/>
          <w:w w:val="105"/>
          <w:sz w:val="21"/>
        </w:rPr>
        <w:t>provision </w:t>
      </w:r>
      <w:r>
        <w:rPr>
          <w:w w:val="105"/>
          <w:sz w:val="21"/>
        </w:rPr>
        <w:t>in the </w:t>
      </w:r>
      <w:r>
        <w:rPr>
          <w:spacing w:val="-3"/>
          <w:w w:val="105"/>
          <w:sz w:val="21"/>
        </w:rPr>
        <w:t>Queensland </w:t>
      </w:r>
      <w:r>
        <w:rPr>
          <w:w w:val="105"/>
          <w:sz w:val="21"/>
        </w:rPr>
        <w:t>Act </w:t>
      </w:r>
      <w:r>
        <w:rPr>
          <w:spacing w:val="-3"/>
          <w:w w:val="105"/>
          <w:sz w:val="21"/>
        </w:rPr>
        <w:t>that </w:t>
      </w:r>
      <w:r>
        <w:rPr>
          <w:w w:val="105"/>
          <w:sz w:val="21"/>
        </w:rPr>
        <w:t>states </w:t>
      </w:r>
      <w:r>
        <w:rPr>
          <w:spacing w:val="-3"/>
          <w:w w:val="105"/>
          <w:sz w:val="21"/>
        </w:rPr>
        <w:t>that </w:t>
      </w:r>
      <w:r>
        <w:rPr>
          <w:w w:val="105"/>
          <w:sz w:val="21"/>
        </w:rPr>
        <w:t>it does </w:t>
      </w:r>
      <w:r>
        <w:rPr>
          <w:spacing w:val="-2"/>
          <w:w w:val="105"/>
          <w:sz w:val="21"/>
        </w:rPr>
        <w:t>not </w:t>
      </w:r>
      <w:r>
        <w:rPr>
          <w:w w:val="105"/>
          <w:sz w:val="21"/>
        </w:rPr>
        <w:t>apply </w:t>
      </w:r>
      <w:r>
        <w:rPr>
          <w:spacing w:val="-3"/>
          <w:w w:val="105"/>
          <w:sz w:val="21"/>
        </w:rPr>
        <w:t>to public </w:t>
      </w:r>
      <w:r>
        <w:rPr>
          <w:spacing w:val="-4"/>
          <w:w w:val="105"/>
          <w:sz w:val="21"/>
        </w:rPr>
        <w:t>land.</w:t>
      </w:r>
      <w:r>
        <w:rPr>
          <w:spacing w:val="-4"/>
          <w:w w:val="105"/>
          <w:position w:val="7"/>
          <w:sz w:val="12"/>
        </w:rPr>
        <w:t>71 </w:t>
      </w:r>
      <w:r>
        <w:rPr>
          <w:w w:val="105"/>
          <w:sz w:val="21"/>
        </w:rPr>
        <w:t>This approach </w:t>
      </w:r>
      <w:r>
        <w:rPr>
          <w:spacing w:val="-3"/>
          <w:w w:val="105"/>
          <w:sz w:val="21"/>
        </w:rPr>
        <w:t>may </w:t>
      </w:r>
      <w:r>
        <w:rPr>
          <w:w w:val="105"/>
          <w:sz w:val="21"/>
        </w:rPr>
        <w:t>also be </w:t>
      </w:r>
      <w:r>
        <w:rPr>
          <w:spacing w:val="-3"/>
          <w:w w:val="105"/>
          <w:sz w:val="21"/>
        </w:rPr>
        <w:t>helpful for </w:t>
      </w:r>
      <w:r>
        <w:rPr>
          <w:w w:val="105"/>
          <w:sz w:val="21"/>
        </w:rPr>
        <w:t>the new</w:t>
      </w:r>
      <w:r>
        <w:rPr>
          <w:spacing w:val="19"/>
          <w:w w:val="105"/>
          <w:sz w:val="21"/>
        </w:rPr>
        <w:t> </w:t>
      </w:r>
      <w:r>
        <w:rPr>
          <w:w w:val="105"/>
          <w:sz w:val="21"/>
        </w:rPr>
        <w:t>Act.</w:t>
      </w:r>
    </w:p>
    <w:p>
      <w:pPr>
        <w:pStyle w:val="BodyText"/>
        <w:spacing w:before="9"/>
        <w:rPr>
          <w:sz w:val="20"/>
        </w:rPr>
      </w:pPr>
    </w:p>
    <w:p>
      <w:pPr>
        <w:pStyle w:val="Heading5"/>
      </w:pPr>
      <w:r>
        <w:rPr>
          <w:w w:val="115"/>
        </w:rPr>
        <w:t>Access to sunlight and views</w:t>
      </w:r>
    </w:p>
    <w:p>
      <w:pPr>
        <w:pStyle w:val="ListParagraph"/>
        <w:numPr>
          <w:ilvl w:val="1"/>
          <w:numId w:val="16"/>
        </w:numPr>
        <w:tabs>
          <w:tab w:pos="2380" w:val="left" w:leader="none"/>
          <w:tab w:pos="2381" w:val="left" w:leader="none"/>
        </w:tabs>
        <w:spacing w:line="242" w:lineRule="auto" w:before="137" w:after="0"/>
        <w:ind w:left="2381" w:right="1857" w:hanging="794"/>
        <w:jc w:val="left"/>
        <w:rPr>
          <w:sz w:val="21"/>
        </w:rPr>
      </w:pPr>
      <w:r>
        <w:rPr>
          <w:w w:val="105"/>
          <w:sz w:val="21"/>
        </w:rPr>
        <w:t>Some community members suggested </w:t>
      </w:r>
      <w:r>
        <w:rPr>
          <w:spacing w:val="-3"/>
          <w:w w:val="105"/>
          <w:sz w:val="21"/>
        </w:rPr>
        <w:t>that </w:t>
      </w:r>
      <w:r>
        <w:rPr>
          <w:w w:val="105"/>
          <w:sz w:val="21"/>
        </w:rPr>
        <w:t>a new Act should </w:t>
      </w:r>
      <w:r>
        <w:rPr>
          <w:spacing w:val="-3"/>
          <w:w w:val="105"/>
          <w:sz w:val="21"/>
        </w:rPr>
        <w:t>consider </w:t>
      </w:r>
      <w:r>
        <w:rPr>
          <w:w w:val="105"/>
          <w:sz w:val="21"/>
        </w:rPr>
        <w:t>trees </w:t>
      </w:r>
      <w:r>
        <w:rPr>
          <w:spacing w:val="-3"/>
          <w:w w:val="105"/>
          <w:sz w:val="21"/>
        </w:rPr>
        <w:t>that </w:t>
      </w:r>
      <w:r>
        <w:rPr>
          <w:w w:val="105"/>
          <w:sz w:val="21"/>
        </w:rPr>
        <w:t>block </w:t>
      </w:r>
      <w:r>
        <w:rPr>
          <w:spacing w:val="-2"/>
          <w:w w:val="105"/>
          <w:sz w:val="21"/>
        </w:rPr>
        <w:t>access </w:t>
      </w:r>
      <w:r>
        <w:rPr>
          <w:spacing w:val="-3"/>
          <w:w w:val="105"/>
          <w:sz w:val="21"/>
        </w:rPr>
        <w:t>to </w:t>
      </w:r>
      <w:r>
        <w:rPr>
          <w:spacing w:val="-4"/>
          <w:w w:val="105"/>
          <w:sz w:val="21"/>
        </w:rPr>
        <w:t>sunlight </w:t>
      </w:r>
      <w:r>
        <w:rPr>
          <w:w w:val="105"/>
          <w:sz w:val="21"/>
        </w:rPr>
        <w:t>and </w:t>
      </w:r>
      <w:r>
        <w:rPr>
          <w:spacing w:val="-3"/>
          <w:w w:val="105"/>
          <w:sz w:val="21"/>
        </w:rPr>
        <w:t>views.</w:t>
      </w:r>
      <w:r>
        <w:rPr>
          <w:spacing w:val="-3"/>
          <w:w w:val="105"/>
          <w:position w:val="7"/>
          <w:sz w:val="12"/>
        </w:rPr>
        <w:t>72 </w:t>
      </w:r>
      <w:r>
        <w:rPr>
          <w:w w:val="105"/>
          <w:sz w:val="21"/>
        </w:rPr>
        <w:t>One </w:t>
      </w:r>
      <w:r>
        <w:rPr>
          <w:spacing w:val="-3"/>
          <w:w w:val="105"/>
          <w:sz w:val="21"/>
        </w:rPr>
        <w:t>submission </w:t>
      </w:r>
      <w:r>
        <w:rPr>
          <w:w w:val="105"/>
          <w:sz w:val="21"/>
        </w:rPr>
        <w:t>and two survey respondents specifically addressed the issue of trees blocking </w:t>
      </w:r>
      <w:r>
        <w:rPr>
          <w:spacing w:val="-4"/>
          <w:w w:val="105"/>
          <w:sz w:val="21"/>
        </w:rPr>
        <w:t>sunlight </w:t>
      </w:r>
      <w:r>
        <w:rPr>
          <w:spacing w:val="-3"/>
          <w:w w:val="105"/>
          <w:sz w:val="21"/>
        </w:rPr>
        <w:t>to </w:t>
      </w:r>
      <w:r>
        <w:rPr>
          <w:w w:val="105"/>
          <w:sz w:val="21"/>
        </w:rPr>
        <w:t>solar </w:t>
      </w:r>
      <w:r>
        <w:rPr>
          <w:spacing w:val="-3"/>
          <w:w w:val="105"/>
          <w:sz w:val="21"/>
        </w:rPr>
        <w:t>panels.</w:t>
      </w:r>
      <w:r>
        <w:rPr>
          <w:spacing w:val="-3"/>
          <w:w w:val="105"/>
          <w:position w:val="7"/>
          <w:sz w:val="12"/>
        </w:rPr>
        <w:t>73 </w:t>
      </w:r>
      <w:r>
        <w:rPr>
          <w:w w:val="105"/>
          <w:sz w:val="21"/>
        </w:rPr>
        <w:t>One </w:t>
      </w:r>
      <w:r>
        <w:rPr>
          <w:spacing w:val="-3"/>
          <w:w w:val="105"/>
          <w:sz w:val="21"/>
        </w:rPr>
        <w:t>submission </w:t>
      </w:r>
      <w:r>
        <w:rPr>
          <w:spacing w:val="-2"/>
          <w:w w:val="105"/>
          <w:sz w:val="21"/>
        </w:rPr>
        <w:t>raised </w:t>
      </w:r>
      <w:r>
        <w:rPr>
          <w:w w:val="105"/>
          <w:sz w:val="21"/>
        </w:rPr>
        <w:t>the</w:t>
      </w:r>
      <w:r>
        <w:rPr>
          <w:spacing w:val="-8"/>
          <w:w w:val="105"/>
          <w:sz w:val="21"/>
        </w:rPr>
        <w:t> </w:t>
      </w:r>
      <w:r>
        <w:rPr>
          <w:w w:val="105"/>
          <w:sz w:val="21"/>
        </w:rPr>
        <w:t>issue</w:t>
      </w:r>
      <w:r>
        <w:rPr>
          <w:spacing w:val="-8"/>
          <w:w w:val="105"/>
          <w:sz w:val="21"/>
        </w:rPr>
        <w:t> </w:t>
      </w:r>
      <w:r>
        <w:rPr>
          <w:w w:val="105"/>
          <w:sz w:val="21"/>
        </w:rPr>
        <w:t>of</w:t>
      </w:r>
      <w:r>
        <w:rPr>
          <w:spacing w:val="-7"/>
          <w:w w:val="105"/>
          <w:sz w:val="21"/>
        </w:rPr>
        <w:t> </w:t>
      </w:r>
      <w:r>
        <w:rPr>
          <w:w w:val="105"/>
          <w:sz w:val="21"/>
        </w:rPr>
        <w:t>cypress</w:t>
      </w:r>
      <w:r>
        <w:rPr>
          <w:spacing w:val="-8"/>
          <w:w w:val="105"/>
          <w:sz w:val="21"/>
        </w:rPr>
        <w:t> </w:t>
      </w:r>
      <w:r>
        <w:rPr>
          <w:w w:val="105"/>
          <w:sz w:val="21"/>
        </w:rPr>
        <w:t>hedges</w:t>
      </w:r>
      <w:r>
        <w:rPr>
          <w:spacing w:val="-8"/>
          <w:w w:val="105"/>
          <w:sz w:val="21"/>
        </w:rPr>
        <w:t> </w:t>
      </w:r>
      <w:r>
        <w:rPr>
          <w:w w:val="105"/>
          <w:sz w:val="21"/>
        </w:rPr>
        <w:t>blocking</w:t>
      </w:r>
      <w:r>
        <w:rPr>
          <w:spacing w:val="-7"/>
          <w:w w:val="105"/>
          <w:sz w:val="21"/>
        </w:rPr>
        <w:t> </w:t>
      </w:r>
      <w:r>
        <w:rPr>
          <w:spacing w:val="-5"/>
          <w:w w:val="105"/>
          <w:sz w:val="21"/>
        </w:rPr>
        <w:t>sunlight.</w:t>
      </w:r>
      <w:r>
        <w:rPr>
          <w:spacing w:val="-5"/>
          <w:w w:val="105"/>
          <w:position w:val="7"/>
          <w:sz w:val="12"/>
        </w:rPr>
        <w:t>74</w:t>
      </w:r>
      <w:r>
        <w:rPr>
          <w:spacing w:val="15"/>
          <w:w w:val="105"/>
          <w:position w:val="7"/>
          <w:sz w:val="12"/>
        </w:rPr>
        <w:t> </w:t>
      </w:r>
      <w:r>
        <w:rPr>
          <w:w w:val="105"/>
          <w:sz w:val="21"/>
        </w:rPr>
        <w:t>Another</w:t>
      </w:r>
      <w:r>
        <w:rPr>
          <w:spacing w:val="-8"/>
          <w:w w:val="105"/>
          <w:sz w:val="21"/>
        </w:rPr>
        <w:t> </w:t>
      </w:r>
      <w:r>
        <w:rPr>
          <w:w w:val="105"/>
          <w:sz w:val="21"/>
        </w:rPr>
        <w:t>survey</w:t>
      </w:r>
      <w:r>
        <w:rPr>
          <w:spacing w:val="-7"/>
          <w:w w:val="105"/>
          <w:sz w:val="21"/>
        </w:rPr>
        <w:t> </w:t>
      </w:r>
      <w:r>
        <w:rPr>
          <w:w w:val="105"/>
          <w:sz w:val="21"/>
        </w:rPr>
        <w:t>respondent</w:t>
      </w:r>
      <w:r>
        <w:rPr>
          <w:spacing w:val="-8"/>
          <w:w w:val="105"/>
          <w:sz w:val="21"/>
        </w:rPr>
        <w:t> </w:t>
      </w:r>
      <w:r>
        <w:rPr>
          <w:spacing w:val="-3"/>
          <w:w w:val="105"/>
          <w:sz w:val="21"/>
        </w:rPr>
        <w:t>pointed</w:t>
      </w:r>
      <w:r>
        <w:rPr>
          <w:spacing w:val="-8"/>
          <w:w w:val="105"/>
          <w:sz w:val="21"/>
        </w:rPr>
        <w:t> </w:t>
      </w:r>
      <w:r>
        <w:rPr>
          <w:w w:val="105"/>
          <w:sz w:val="21"/>
        </w:rPr>
        <w:t>out </w:t>
      </w:r>
      <w:r>
        <w:rPr>
          <w:spacing w:val="-3"/>
          <w:w w:val="105"/>
          <w:sz w:val="21"/>
        </w:rPr>
        <w:t>that </w:t>
      </w:r>
      <w:r>
        <w:rPr>
          <w:w w:val="105"/>
          <w:sz w:val="21"/>
        </w:rPr>
        <w:t>there was no </w:t>
      </w:r>
      <w:r>
        <w:rPr>
          <w:spacing w:val="-3"/>
          <w:w w:val="105"/>
          <w:sz w:val="21"/>
        </w:rPr>
        <w:t>legislation to </w:t>
      </w:r>
      <w:r>
        <w:rPr>
          <w:w w:val="105"/>
          <w:sz w:val="21"/>
        </w:rPr>
        <w:t>govern </w:t>
      </w:r>
      <w:r>
        <w:rPr>
          <w:spacing w:val="-3"/>
          <w:w w:val="105"/>
          <w:sz w:val="21"/>
        </w:rPr>
        <w:t>disputes </w:t>
      </w:r>
      <w:r>
        <w:rPr>
          <w:w w:val="105"/>
          <w:sz w:val="21"/>
        </w:rPr>
        <w:t>about </w:t>
      </w:r>
      <w:r>
        <w:rPr>
          <w:spacing w:val="-3"/>
          <w:w w:val="105"/>
          <w:sz w:val="21"/>
        </w:rPr>
        <w:t>high </w:t>
      </w:r>
      <w:r>
        <w:rPr>
          <w:w w:val="105"/>
          <w:sz w:val="21"/>
        </w:rPr>
        <w:t>hedges and recommended </w:t>
      </w:r>
      <w:r>
        <w:rPr>
          <w:spacing w:val="-3"/>
          <w:w w:val="105"/>
          <w:sz w:val="21"/>
        </w:rPr>
        <w:t>legislative reform </w:t>
      </w:r>
      <w:r>
        <w:rPr>
          <w:w w:val="105"/>
          <w:sz w:val="21"/>
        </w:rPr>
        <w:t>in this</w:t>
      </w:r>
      <w:r>
        <w:rPr>
          <w:spacing w:val="26"/>
          <w:w w:val="105"/>
          <w:sz w:val="21"/>
        </w:rPr>
        <w:t> </w:t>
      </w:r>
      <w:r>
        <w:rPr>
          <w:spacing w:val="-4"/>
          <w:w w:val="105"/>
          <w:sz w:val="21"/>
        </w:rPr>
        <w:t>area.</w:t>
      </w:r>
      <w:r>
        <w:rPr>
          <w:spacing w:val="-4"/>
          <w:w w:val="105"/>
          <w:position w:val="7"/>
          <w:sz w:val="12"/>
        </w:rPr>
        <w:t>75</w:t>
      </w:r>
    </w:p>
    <w:p>
      <w:pPr>
        <w:pStyle w:val="ListParagraph"/>
        <w:numPr>
          <w:ilvl w:val="1"/>
          <w:numId w:val="16"/>
        </w:numPr>
        <w:tabs>
          <w:tab w:pos="2380" w:val="left" w:leader="none"/>
          <w:tab w:pos="2381" w:val="left" w:leader="none"/>
        </w:tabs>
        <w:spacing w:line="242" w:lineRule="auto" w:before="127" w:after="0"/>
        <w:ind w:left="2381" w:right="1643" w:hanging="794"/>
        <w:jc w:val="left"/>
        <w:rPr>
          <w:sz w:val="21"/>
        </w:rPr>
      </w:pPr>
      <w:r>
        <w:rPr>
          <w:spacing w:val="-4"/>
          <w:sz w:val="21"/>
        </w:rPr>
        <w:t>Trees </w:t>
      </w:r>
      <w:r>
        <w:rPr>
          <w:sz w:val="21"/>
        </w:rPr>
        <w:t>blocking </w:t>
      </w:r>
      <w:r>
        <w:rPr>
          <w:spacing w:val="-2"/>
          <w:sz w:val="21"/>
        </w:rPr>
        <w:t>access </w:t>
      </w:r>
      <w:r>
        <w:rPr>
          <w:spacing w:val="-3"/>
          <w:sz w:val="21"/>
        </w:rPr>
        <w:t>to </w:t>
      </w:r>
      <w:r>
        <w:rPr>
          <w:spacing w:val="-4"/>
          <w:sz w:val="21"/>
        </w:rPr>
        <w:t>sunlight </w:t>
      </w:r>
      <w:r>
        <w:rPr>
          <w:sz w:val="21"/>
        </w:rPr>
        <w:t>and views </w:t>
      </w:r>
      <w:r>
        <w:rPr>
          <w:spacing w:val="-3"/>
          <w:sz w:val="21"/>
        </w:rPr>
        <w:t>are covered </w:t>
      </w:r>
      <w:r>
        <w:rPr>
          <w:sz w:val="21"/>
        </w:rPr>
        <w:t>in </w:t>
      </w:r>
      <w:r>
        <w:rPr>
          <w:spacing w:val="-3"/>
          <w:sz w:val="21"/>
        </w:rPr>
        <w:t>different </w:t>
      </w:r>
      <w:r>
        <w:rPr>
          <w:sz w:val="21"/>
        </w:rPr>
        <w:t>ways  under  the interstate statutory schemes discussed </w:t>
      </w:r>
      <w:r>
        <w:rPr>
          <w:spacing w:val="-3"/>
          <w:sz w:val="21"/>
        </w:rPr>
        <w:t>throughout </w:t>
      </w:r>
      <w:r>
        <w:rPr>
          <w:sz w:val="21"/>
        </w:rPr>
        <w:t>this report. Jurisdictions in the </w:t>
      </w:r>
      <w:r>
        <w:rPr>
          <w:spacing w:val="-3"/>
          <w:sz w:val="21"/>
        </w:rPr>
        <w:t>United Kingdom</w:t>
      </w:r>
      <w:r>
        <w:rPr>
          <w:spacing w:val="-3"/>
          <w:position w:val="7"/>
          <w:sz w:val="12"/>
        </w:rPr>
        <w:t>76 </w:t>
      </w:r>
      <w:r>
        <w:rPr>
          <w:sz w:val="21"/>
        </w:rPr>
        <w:t>and New </w:t>
      </w:r>
      <w:r>
        <w:rPr>
          <w:spacing w:val="-3"/>
          <w:sz w:val="21"/>
        </w:rPr>
        <w:t>Zealand</w:t>
      </w:r>
      <w:r>
        <w:rPr>
          <w:spacing w:val="-3"/>
          <w:position w:val="7"/>
          <w:sz w:val="12"/>
        </w:rPr>
        <w:t>77 </w:t>
      </w:r>
      <w:r>
        <w:rPr>
          <w:sz w:val="21"/>
        </w:rPr>
        <w:t>also </w:t>
      </w:r>
      <w:r>
        <w:rPr>
          <w:spacing w:val="-3"/>
          <w:sz w:val="21"/>
        </w:rPr>
        <w:t>have legislation </w:t>
      </w:r>
      <w:r>
        <w:rPr>
          <w:sz w:val="21"/>
        </w:rPr>
        <w:t>in </w:t>
      </w:r>
      <w:r>
        <w:rPr>
          <w:spacing w:val="-3"/>
          <w:sz w:val="21"/>
        </w:rPr>
        <w:t>place to </w:t>
      </w:r>
      <w:r>
        <w:rPr>
          <w:sz w:val="21"/>
        </w:rPr>
        <w:t>resolve </w:t>
      </w:r>
      <w:r>
        <w:rPr>
          <w:spacing w:val="-3"/>
          <w:sz w:val="21"/>
        </w:rPr>
        <w:t>disputes </w:t>
      </w:r>
      <w:r>
        <w:rPr>
          <w:sz w:val="21"/>
        </w:rPr>
        <w:t>about </w:t>
      </w:r>
      <w:r>
        <w:rPr>
          <w:spacing w:val="-3"/>
          <w:sz w:val="21"/>
        </w:rPr>
        <w:t>high </w:t>
      </w:r>
      <w:r>
        <w:rPr>
          <w:sz w:val="21"/>
        </w:rPr>
        <w:t>hedges.</w:t>
      </w:r>
    </w:p>
    <w:p>
      <w:pPr>
        <w:pStyle w:val="ListParagraph"/>
        <w:numPr>
          <w:ilvl w:val="1"/>
          <w:numId w:val="16"/>
        </w:numPr>
        <w:tabs>
          <w:tab w:pos="2380" w:val="left" w:leader="none"/>
          <w:tab w:pos="2382" w:val="left" w:leader="none"/>
        </w:tabs>
        <w:spacing w:line="242" w:lineRule="auto" w:before="124" w:after="0"/>
        <w:ind w:left="2381" w:right="2015" w:hanging="794"/>
        <w:jc w:val="left"/>
        <w:rPr>
          <w:sz w:val="21"/>
        </w:rPr>
      </w:pPr>
      <w:r>
        <w:rPr>
          <w:w w:val="105"/>
          <w:sz w:val="21"/>
        </w:rPr>
        <w:t>The NSW Act allows an affected </w:t>
      </w:r>
      <w:r>
        <w:rPr>
          <w:spacing w:val="-3"/>
          <w:w w:val="105"/>
          <w:sz w:val="21"/>
        </w:rPr>
        <w:t>neighbour to bring </w:t>
      </w:r>
      <w:r>
        <w:rPr>
          <w:w w:val="105"/>
          <w:sz w:val="21"/>
        </w:rPr>
        <w:t>legal action in </w:t>
      </w:r>
      <w:r>
        <w:rPr>
          <w:spacing w:val="-3"/>
          <w:w w:val="105"/>
          <w:sz w:val="21"/>
        </w:rPr>
        <w:t>relation to high </w:t>
      </w:r>
      <w:r>
        <w:rPr>
          <w:w w:val="105"/>
          <w:sz w:val="21"/>
        </w:rPr>
        <w:t>hedges </w:t>
      </w:r>
      <w:r>
        <w:rPr>
          <w:spacing w:val="-3"/>
          <w:w w:val="105"/>
          <w:sz w:val="21"/>
        </w:rPr>
        <w:t>that </w:t>
      </w:r>
      <w:r>
        <w:rPr>
          <w:w w:val="105"/>
          <w:sz w:val="21"/>
        </w:rPr>
        <w:t>severely obstruct </w:t>
      </w:r>
      <w:r>
        <w:rPr>
          <w:spacing w:val="-4"/>
          <w:w w:val="105"/>
          <w:sz w:val="21"/>
        </w:rPr>
        <w:t>sunlight </w:t>
      </w:r>
      <w:r>
        <w:rPr>
          <w:w w:val="105"/>
          <w:sz w:val="21"/>
        </w:rPr>
        <w:t>or </w:t>
      </w:r>
      <w:r>
        <w:rPr>
          <w:spacing w:val="-3"/>
          <w:w w:val="105"/>
          <w:sz w:val="21"/>
        </w:rPr>
        <w:t>views.</w:t>
      </w:r>
      <w:r>
        <w:rPr>
          <w:spacing w:val="-3"/>
          <w:w w:val="105"/>
          <w:position w:val="7"/>
          <w:sz w:val="12"/>
        </w:rPr>
        <w:t>78 </w:t>
      </w:r>
      <w:r>
        <w:rPr>
          <w:w w:val="105"/>
          <w:sz w:val="21"/>
        </w:rPr>
        <w:t>The Act is </w:t>
      </w:r>
      <w:r>
        <w:rPr>
          <w:spacing w:val="-3"/>
          <w:w w:val="105"/>
          <w:sz w:val="21"/>
        </w:rPr>
        <w:t>concerned </w:t>
      </w:r>
      <w:r>
        <w:rPr>
          <w:w w:val="105"/>
          <w:sz w:val="21"/>
        </w:rPr>
        <w:t>with the obstruction of </w:t>
      </w:r>
      <w:r>
        <w:rPr>
          <w:spacing w:val="-4"/>
          <w:w w:val="105"/>
          <w:sz w:val="21"/>
        </w:rPr>
        <w:t>sunlight </w:t>
      </w:r>
      <w:r>
        <w:rPr>
          <w:spacing w:val="-3"/>
          <w:w w:val="105"/>
          <w:sz w:val="21"/>
        </w:rPr>
        <w:t>to </w:t>
      </w:r>
      <w:r>
        <w:rPr>
          <w:w w:val="105"/>
          <w:sz w:val="21"/>
        </w:rPr>
        <w:t>a window of a </w:t>
      </w:r>
      <w:r>
        <w:rPr>
          <w:spacing w:val="-3"/>
          <w:w w:val="105"/>
          <w:sz w:val="21"/>
        </w:rPr>
        <w:t>dwelling </w:t>
      </w:r>
      <w:r>
        <w:rPr>
          <w:w w:val="105"/>
          <w:sz w:val="21"/>
        </w:rPr>
        <w:t>and the obstruction of views </w:t>
      </w:r>
      <w:r>
        <w:rPr>
          <w:spacing w:val="-3"/>
          <w:w w:val="105"/>
          <w:sz w:val="21"/>
        </w:rPr>
        <w:t>from </w:t>
      </w:r>
      <w:r>
        <w:rPr>
          <w:w w:val="105"/>
          <w:sz w:val="21"/>
        </w:rPr>
        <w:t>a </w:t>
      </w:r>
      <w:r>
        <w:rPr>
          <w:spacing w:val="-3"/>
          <w:w w:val="105"/>
          <w:sz w:val="21"/>
        </w:rPr>
        <w:t>dwelling. </w:t>
      </w:r>
      <w:r>
        <w:rPr>
          <w:w w:val="105"/>
          <w:sz w:val="21"/>
        </w:rPr>
        <w:t>The NSW scheme was expanded </w:t>
      </w:r>
      <w:r>
        <w:rPr>
          <w:spacing w:val="-3"/>
          <w:w w:val="105"/>
          <w:sz w:val="21"/>
        </w:rPr>
        <w:t>to allow </w:t>
      </w:r>
      <w:r>
        <w:rPr>
          <w:w w:val="105"/>
          <w:sz w:val="21"/>
        </w:rPr>
        <w:t>the NSWLEC </w:t>
      </w:r>
      <w:r>
        <w:rPr>
          <w:spacing w:val="-3"/>
          <w:w w:val="105"/>
          <w:sz w:val="21"/>
        </w:rPr>
        <w:t>to </w:t>
      </w:r>
      <w:r>
        <w:rPr>
          <w:spacing w:val="-4"/>
          <w:w w:val="105"/>
          <w:sz w:val="21"/>
        </w:rPr>
        <w:t>make </w:t>
      </w:r>
      <w:r>
        <w:rPr>
          <w:w w:val="105"/>
          <w:sz w:val="21"/>
        </w:rPr>
        <w:t>orders </w:t>
      </w:r>
      <w:r>
        <w:rPr>
          <w:spacing w:val="-3"/>
          <w:w w:val="105"/>
          <w:sz w:val="21"/>
        </w:rPr>
        <w:t>to interfere</w:t>
      </w:r>
      <w:r>
        <w:rPr>
          <w:spacing w:val="-4"/>
          <w:w w:val="105"/>
          <w:sz w:val="21"/>
        </w:rPr>
        <w:t> </w:t>
      </w:r>
      <w:r>
        <w:rPr>
          <w:w w:val="105"/>
          <w:sz w:val="21"/>
        </w:rPr>
        <w:t>with</w:t>
      </w:r>
      <w:r>
        <w:rPr>
          <w:spacing w:val="-4"/>
          <w:w w:val="105"/>
          <w:sz w:val="21"/>
        </w:rPr>
        <w:t> </w:t>
      </w:r>
      <w:r>
        <w:rPr>
          <w:w w:val="105"/>
          <w:sz w:val="21"/>
        </w:rPr>
        <w:t>trees</w:t>
      </w:r>
      <w:r>
        <w:rPr>
          <w:spacing w:val="-4"/>
          <w:w w:val="105"/>
          <w:sz w:val="21"/>
        </w:rPr>
        <w:t> </w:t>
      </w:r>
      <w:r>
        <w:rPr>
          <w:w w:val="105"/>
          <w:sz w:val="21"/>
        </w:rPr>
        <w:t>on</w:t>
      </w:r>
      <w:r>
        <w:rPr>
          <w:spacing w:val="-4"/>
          <w:w w:val="105"/>
          <w:sz w:val="21"/>
        </w:rPr>
        <w:t> </w:t>
      </w:r>
      <w:r>
        <w:rPr>
          <w:w w:val="105"/>
          <w:sz w:val="21"/>
        </w:rPr>
        <w:t>the</w:t>
      </w:r>
      <w:r>
        <w:rPr>
          <w:spacing w:val="-4"/>
          <w:w w:val="105"/>
          <w:sz w:val="21"/>
        </w:rPr>
        <w:t> </w:t>
      </w:r>
      <w:r>
        <w:rPr>
          <w:w w:val="105"/>
          <w:sz w:val="21"/>
        </w:rPr>
        <w:t>sole</w:t>
      </w:r>
      <w:r>
        <w:rPr>
          <w:spacing w:val="-4"/>
          <w:w w:val="105"/>
          <w:sz w:val="21"/>
        </w:rPr>
        <w:t> </w:t>
      </w:r>
      <w:r>
        <w:rPr>
          <w:spacing w:val="-3"/>
          <w:w w:val="105"/>
          <w:sz w:val="21"/>
        </w:rPr>
        <w:t>ground</w:t>
      </w:r>
      <w:r>
        <w:rPr>
          <w:spacing w:val="-4"/>
          <w:w w:val="105"/>
          <w:sz w:val="21"/>
        </w:rPr>
        <w:t> </w:t>
      </w:r>
      <w:r>
        <w:rPr>
          <w:w w:val="105"/>
          <w:sz w:val="21"/>
        </w:rPr>
        <w:t>of</w:t>
      </w:r>
      <w:r>
        <w:rPr>
          <w:spacing w:val="-4"/>
          <w:w w:val="105"/>
          <w:sz w:val="21"/>
        </w:rPr>
        <w:t> </w:t>
      </w:r>
      <w:r>
        <w:rPr>
          <w:spacing w:val="-2"/>
          <w:w w:val="105"/>
          <w:sz w:val="21"/>
        </w:rPr>
        <w:t>access</w:t>
      </w:r>
      <w:r>
        <w:rPr>
          <w:spacing w:val="-3"/>
          <w:w w:val="105"/>
          <w:sz w:val="21"/>
        </w:rPr>
        <w:t> to</w:t>
      </w:r>
      <w:r>
        <w:rPr>
          <w:spacing w:val="-4"/>
          <w:w w:val="105"/>
          <w:sz w:val="21"/>
        </w:rPr>
        <w:t> </w:t>
      </w:r>
      <w:r>
        <w:rPr>
          <w:spacing w:val="-3"/>
          <w:w w:val="105"/>
          <w:sz w:val="21"/>
        </w:rPr>
        <w:t>light</w:t>
      </w:r>
      <w:r>
        <w:rPr>
          <w:spacing w:val="-4"/>
          <w:w w:val="105"/>
          <w:sz w:val="21"/>
        </w:rPr>
        <w:t> </w:t>
      </w:r>
      <w:r>
        <w:rPr>
          <w:w w:val="105"/>
          <w:sz w:val="21"/>
        </w:rPr>
        <w:t>and</w:t>
      </w:r>
      <w:r>
        <w:rPr>
          <w:spacing w:val="-4"/>
          <w:w w:val="105"/>
          <w:sz w:val="21"/>
        </w:rPr>
        <w:t> </w:t>
      </w:r>
      <w:r>
        <w:rPr>
          <w:w w:val="105"/>
          <w:sz w:val="21"/>
        </w:rPr>
        <w:t>view</w:t>
      </w:r>
      <w:r>
        <w:rPr>
          <w:spacing w:val="-4"/>
          <w:w w:val="105"/>
          <w:sz w:val="21"/>
        </w:rPr>
        <w:t> </w:t>
      </w:r>
      <w:r>
        <w:rPr>
          <w:spacing w:val="-3"/>
          <w:w w:val="105"/>
          <w:sz w:val="21"/>
        </w:rPr>
        <w:t>following</w:t>
      </w:r>
      <w:r>
        <w:rPr>
          <w:spacing w:val="-4"/>
          <w:w w:val="105"/>
          <w:sz w:val="21"/>
        </w:rPr>
        <w:t> </w:t>
      </w:r>
      <w:r>
        <w:rPr>
          <w:w w:val="105"/>
          <w:sz w:val="21"/>
        </w:rPr>
        <w:t>statutory</w:t>
      </w:r>
    </w:p>
    <w:p>
      <w:pPr>
        <w:pStyle w:val="BodyText"/>
        <w:spacing w:line="242" w:lineRule="auto" w:before="6"/>
        <w:ind w:left="2381" w:right="1636"/>
      </w:pPr>
      <w:r>
        <w:rPr>
          <w:w w:val="105"/>
        </w:rPr>
        <w:t>review of the Act in 2009 by the NSW Department of Justice and Attorney General.</w:t>
      </w:r>
      <w:r>
        <w:rPr>
          <w:w w:val="105"/>
          <w:position w:val="7"/>
          <w:sz w:val="12"/>
        </w:rPr>
        <w:t>79 </w:t>
      </w:r>
      <w:r>
        <w:rPr>
          <w:w w:val="105"/>
        </w:rPr>
        <w:t>It concluded:</w:t>
      </w:r>
    </w:p>
    <w:p>
      <w:pPr>
        <w:spacing w:line="254" w:lineRule="auto" w:before="131"/>
        <w:ind w:left="2834" w:right="1666" w:firstLine="0"/>
        <w:jc w:val="left"/>
        <w:rPr>
          <w:sz w:val="20"/>
        </w:rPr>
      </w:pPr>
      <w:r>
        <w:rPr>
          <w:sz w:val="20"/>
        </w:rPr>
        <w:t>the most frequent and most serious concerns raised in submissions to the review </w:t>
      </w:r>
      <w:r>
        <w:rPr>
          <w:spacing w:val="-3"/>
          <w:sz w:val="20"/>
        </w:rPr>
        <w:t>related </w:t>
      </w:r>
      <w:r>
        <w:rPr>
          <w:sz w:val="20"/>
        </w:rPr>
        <w:t>to </w:t>
      </w:r>
      <w:r>
        <w:rPr>
          <w:spacing w:val="-3"/>
          <w:sz w:val="20"/>
        </w:rPr>
        <w:t>high, </w:t>
      </w:r>
      <w:r>
        <w:rPr>
          <w:sz w:val="20"/>
        </w:rPr>
        <w:t>dense hedges on immediately adjoining private properties, where the hedge is </w:t>
      </w:r>
      <w:r>
        <w:rPr>
          <w:spacing w:val="-3"/>
          <w:sz w:val="20"/>
        </w:rPr>
        <w:t>wall-like, </w:t>
      </w:r>
      <w:r>
        <w:rPr>
          <w:sz w:val="20"/>
        </w:rPr>
        <w:t>and severely obstructs solar access </w:t>
      </w:r>
      <w:r>
        <w:rPr>
          <w:spacing w:val="-4"/>
          <w:sz w:val="20"/>
        </w:rPr>
        <w:t>to, </w:t>
      </w:r>
      <w:r>
        <w:rPr>
          <w:sz w:val="20"/>
        </w:rPr>
        <w:t>or views </w:t>
      </w:r>
      <w:r>
        <w:rPr>
          <w:spacing w:val="-3"/>
          <w:sz w:val="20"/>
        </w:rPr>
        <w:t>from, </w:t>
      </w:r>
      <w:r>
        <w:rPr>
          <w:sz w:val="20"/>
        </w:rPr>
        <w:t>a</w:t>
      </w:r>
      <w:r>
        <w:rPr>
          <w:spacing w:val="11"/>
          <w:sz w:val="20"/>
        </w:rPr>
        <w:t> </w:t>
      </w:r>
      <w:r>
        <w:rPr>
          <w:sz w:val="20"/>
        </w:rPr>
        <w:t>dwelling.</w:t>
      </w:r>
    </w:p>
    <w:p>
      <w:pPr>
        <w:spacing w:line="254" w:lineRule="auto" w:before="124"/>
        <w:ind w:left="2834" w:right="1778" w:firstLine="0"/>
        <w:jc w:val="left"/>
        <w:rPr>
          <w:sz w:val="11"/>
        </w:rPr>
      </w:pPr>
      <w:r>
        <w:rPr>
          <w:w w:val="105"/>
          <w:sz w:val="20"/>
        </w:rPr>
        <w:t>It appears feasible to create a strictly limited avenue in the Land and Environment Court for seeking orders in relation to such hedges. This would be consistent with the accepted practice of regulating the height of fences and other built barriers between neighbours.</w:t>
      </w:r>
      <w:r>
        <w:rPr>
          <w:w w:val="105"/>
          <w:position w:val="7"/>
          <w:sz w:val="11"/>
        </w:rPr>
        <w:t>80</w:t>
      </w:r>
    </w:p>
    <w:p>
      <w:pPr>
        <w:pStyle w:val="ListParagraph"/>
        <w:numPr>
          <w:ilvl w:val="1"/>
          <w:numId w:val="16"/>
        </w:numPr>
        <w:tabs>
          <w:tab w:pos="2381" w:val="left" w:leader="none"/>
          <w:tab w:pos="2382" w:val="left" w:leader="none"/>
        </w:tabs>
        <w:spacing w:line="242" w:lineRule="auto" w:before="115" w:after="0"/>
        <w:ind w:left="2381" w:right="1752" w:hanging="794"/>
        <w:jc w:val="left"/>
        <w:rPr>
          <w:sz w:val="21"/>
        </w:rPr>
      </w:pPr>
      <w:r>
        <w:rPr>
          <w:sz w:val="21"/>
        </w:rPr>
        <w:t>The 2009 review by the NSW Act </w:t>
      </w:r>
      <w:r>
        <w:rPr>
          <w:spacing w:val="-3"/>
          <w:sz w:val="21"/>
        </w:rPr>
        <w:t>noted that </w:t>
      </w:r>
      <w:r>
        <w:rPr>
          <w:sz w:val="21"/>
        </w:rPr>
        <w:t>it was </w:t>
      </w:r>
      <w:r>
        <w:rPr>
          <w:spacing w:val="-2"/>
          <w:sz w:val="21"/>
        </w:rPr>
        <w:t>not </w:t>
      </w:r>
      <w:r>
        <w:rPr>
          <w:spacing w:val="-3"/>
          <w:sz w:val="21"/>
        </w:rPr>
        <w:t>appropriate for  </w:t>
      </w:r>
      <w:r>
        <w:rPr>
          <w:sz w:val="21"/>
        </w:rPr>
        <w:t>views or solar  </w:t>
      </w:r>
      <w:r>
        <w:rPr>
          <w:spacing w:val="-2"/>
          <w:sz w:val="21"/>
        </w:rPr>
        <w:t>access </w:t>
      </w:r>
      <w:r>
        <w:rPr>
          <w:spacing w:val="-3"/>
          <w:sz w:val="21"/>
        </w:rPr>
        <w:t>to </w:t>
      </w:r>
      <w:r>
        <w:rPr>
          <w:sz w:val="21"/>
        </w:rPr>
        <w:t>override privacy and other </w:t>
      </w:r>
      <w:r>
        <w:rPr>
          <w:spacing w:val="-3"/>
          <w:sz w:val="21"/>
        </w:rPr>
        <w:t>concerns </w:t>
      </w:r>
      <w:r>
        <w:rPr>
          <w:sz w:val="21"/>
        </w:rPr>
        <w:t>of the hedge-owner, or the broader community benefits of </w:t>
      </w:r>
      <w:r>
        <w:rPr>
          <w:spacing w:val="-3"/>
          <w:sz w:val="21"/>
        </w:rPr>
        <w:t>maintaining </w:t>
      </w:r>
      <w:r>
        <w:rPr>
          <w:sz w:val="21"/>
        </w:rPr>
        <w:t>the hedge.</w:t>
      </w:r>
      <w:r>
        <w:rPr>
          <w:position w:val="7"/>
          <w:sz w:val="12"/>
        </w:rPr>
        <w:t>81 </w:t>
      </w:r>
      <w:r>
        <w:rPr>
          <w:sz w:val="21"/>
        </w:rPr>
        <w:t>It </w:t>
      </w:r>
      <w:r>
        <w:rPr>
          <w:spacing w:val="-3"/>
          <w:sz w:val="21"/>
        </w:rPr>
        <w:t>follows that </w:t>
      </w:r>
      <w:r>
        <w:rPr>
          <w:sz w:val="21"/>
        </w:rPr>
        <w:t>the NSWLEC is </w:t>
      </w:r>
      <w:r>
        <w:rPr>
          <w:spacing w:val="-3"/>
          <w:sz w:val="21"/>
        </w:rPr>
        <w:t>unable to </w:t>
      </w:r>
      <w:r>
        <w:rPr>
          <w:spacing w:val="-4"/>
          <w:sz w:val="21"/>
        </w:rPr>
        <w:t>make </w:t>
      </w:r>
      <w:r>
        <w:rPr>
          <w:sz w:val="21"/>
        </w:rPr>
        <w:t>an order with respect </w:t>
      </w:r>
      <w:r>
        <w:rPr>
          <w:spacing w:val="-3"/>
          <w:sz w:val="21"/>
        </w:rPr>
        <w:t>to </w:t>
      </w:r>
      <w:r>
        <w:rPr>
          <w:sz w:val="21"/>
        </w:rPr>
        <w:t>a hedge unless it is satisfied </w:t>
      </w:r>
      <w:r>
        <w:rPr>
          <w:spacing w:val="-3"/>
          <w:sz w:val="21"/>
        </w:rPr>
        <w:t>that </w:t>
      </w:r>
      <w:r>
        <w:rPr>
          <w:sz w:val="21"/>
        </w:rPr>
        <w:t>the obstruction is </w:t>
      </w:r>
      <w:r>
        <w:rPr>
          <w:spacing w:val="-3"/>
          <w:sz w:val="21"/>
        </w:rPr>
        <w:t>severe </w:t>
      </w:r>
      <w:r>
        <w:rPr>
          <w:sz w:val="21"/>
        </w:rPr>
        <w:t>and outweighs </w:t>
      </w:r>
      <w:r>
        <w:rPr>
          <w:spacing w:val="-6"/>
          <w:sz w:val="21"/>
        </w:rPr>
        <w:t>‘any </w:t>
      </w:r>
      <w:r>
        <w:rPr>
          <w:spacing w:val="-3"/>
          <w:sz w:val="21"/>
        </w:rPr>
        <w:t>undesirability </w:t>
      </w:r>
      <w:r>
        <w:rPr>
          <w:sz w:val="21"/>
        </w:rPr>
        <w:t>of </w:t>
      </w:r>
      <w:r>
        <w:rPr>
          <w:spacing w:val="-3"/>
          <w:sz w:val="21"/>
        </w:rPr>
        <w:t>disturbing </w:t>
      </w:r>
      <w:r>
        <w:rPr>
          <w:sz w:val="21"/>
        </w:rPr>
        <w:t>or </w:t>
      </w:r>
      <w:r>
        <w:rPr>
          <w:spacing w:val="-3"/>
          <w:sz w:val="21"/>
        </w:rPr>
        <w:t>interfering </w:t>
      </w:r>
      <w:r>
        <w:rPr>
          <w:sz w:val="21"/>
        </w:rPr>
        <w:t>with the</w:t>
      </w:r>
      <w:r>
        <w:rPr>
          <w:spacing w:val="-1"/>
          <w:sz w:val="21"/>
        </w:rPr>
        <w:t> </w:t>
      </w:r>
      <w:r>
        <w:rPr>
          <w:spacing w:val="-4"/>
          <w:sz w:val="21"/>
        </w:rPr>
        <w:t>trees’.</w:t>
      </w:r>
      <w:r>
        <w:rPr>
          <w:spacing w:val="-4"/>
          <w:position w:val="7"/>
          <w:sz w:val="12"/>
        </w:rPr>
        <w:t>82</w:t>
      </w:r>
    </w:p>
    <w:p>
      <w:pPr>
        <w:pStyle w:val="BodyText"/>
        <w:spacing w:before="11"/>
        <w:rPr>
          <w:sz w:val="18"/>
        </w:rPr>
      </w:pPr>
      <w:r>
        <w:rPr/>
        <w:pict>
          <v:line style="position:absolute;mso-position-horizontal-relative:page;mso-position-vertical-relative:paragraph;z-index:12056;mso-wrap-distance-left:0;mso-wrap-distance-right:0" from="79.370102pt,14.001326pt" to="515.905102pt,14.001326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35"/>
        </w:rPr>
      </w:pPr>
    </w:p>
    <w:p>
      <w:pPr>
        <w:spacing w:before="0"/>
        <w:ind w:left="720" w:right="0" w:firstLine="0"/>
        <w:jc w:val="left"/>
        <w:rPr>
          <w:b/>
          <w:sz w:val="24"/>
        </w:rPr>
      </w:pPr>
      <w:r>
        <w:rPr>
          <w:b/>
          <w:color w:val="658464"/>
          <w:w w:val="105"/>
          <w:sz w:val="24"/>
        </w:rPr>
        <w:t>298</w:t>
      </w:r>
    </w:p>
    <w:p>
      <w:pPr>
        <w:pStyle w:val="ListParagraph"/>
        <w:numPr>
          <w:ilvl w:val="0"/>
          <w:numId w:val="204"/>
        </w:numPr>
        <w:tabs>
          <w:tab w:pos="1220" w:val="left" w:leader="none"/>
          <w:tab w:pos="1221" w:val="left" w:leader="none"/>
        </w:tabs>
        <w:spacing w:line="240" w:lineRule="auto" w:before="48" w:after="0"/>
        <w:ind w:left="1220" w:right="2114" w:hanging="794"/>
        <w:jc w:val="left"/>
        <w:rPr>
          <w:sz w:val="13"/>
        </w:rPr>
      </w:pPr>
      <w:r>
        <w:rPr>
          <w:spacing w:val="2"/>
          <w:w w:val="107"/>
          <w:sz w:val="13"/>
        </w:rPr>
        <w:br w:type="column"/>
      </w: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 2015) Recommendation</w:t>
      </w:r>
      <w:r>
        <w:rPr>
          <w:spacing w:val="13"/>
          <w:w w:val="105"/>
          <w:sz w:val="13"/>
        </w:rPr>
        <w:t> </w:t>
      </w:r>
      <w:r>
        <w:rPr>
          <w:w w:val="105"/>
          <w:sz w:val="13"/>
        </w:rPr>
        <w:t>3-3.</w:t>
      </w:r>
    </w:p>
    <w:p>
      <w:pPr>
        <w:pStyle w:val="ListParagraph"/>
        <w:numPr>
          <w:ilvl w:val="0"/>
          <w:numId w:val="204"/>
        </w:numPr>
        <w:tabs>
          <w:tab w:pos="1220" w:val="left" w:leader="none"/>
          <w:tab w:pos="1221" w:val="left" w:leader="none"/>
        </w:tabs>
        <w:spacing w:line="240" w:lineRule="auto" w:before="3" w:after="0"/>
        <w:ind w:left="1220" w:right="0" w:hanging="794"/>
        <w:jc w:val="left"/>
        <w:rPr>
          <w:sz w:val="13"/>
        </w:rPr>
      </w:pPr>
      <w:r>
        <w:rPr>
          <w:w w:val="105"/>
          <w:sz w:val="13"/>
        </w:rPr>
        <w:t>Submissions </w:t>
      </w:r>
      <w:r>
        <w:rPr>
          <w:spacing w:val="-3"/>
          <w:w w:val="105"/>
          <w:sz w:val="13"/>
        </w:rPr>
        <w:t>19 </w:t>
      </w:r>
      <w:r>
        <w:rPr>
          <w:spacing w:val="2"/>
          <w:w w:val="105"/>
          <w:sz w:val="13"/>
        </w:rPr>
        <w:t>(Name </w:t>
      </w:r>
      <w:r>
        <w:rPr>
          <w:w w:val="105"/>
          <w:sz w:val="13"/>
        </w:rPr>
        <w:t>withheld); Survey Respondents 43, 72,</w:t>
      </w:r>
      <w:r>
        <w:rPr>
          <w:spacing w:val="8"/>
          <w:w w:val="105"/>
          <w:sz w:val="13"/>
        </w:rPr>
        <w:t> </w:t>
      </w:r>
      <w:r>
        <w:rPr>
          <w:spacing w:val="-7"/>
          <w:w w:val="105"/>
          <w:sz w:val="13"/>
        </w:rPr>
        <w:t>111.</w:t>
      </w:r>
    </w:p>
    <w:p>
      <w:pPr>
        <w:pStyle w:val="ListParagraph"/>
        <w:numPr>
          <w:ilvl w:val="0"/>
          <w:numId w:val="204"/>
        </w:numPr>
        <w:tabs>
          <w:tab w:pos="1220" w:val="left" w:leader="none"/>
          <w:tab w:pos="1221" w:val="left" w:leader="none"/>
        </w:tabs>
        <w:spacing w:line="240" w:lineRule="auto" w:before="1" w:after="0"/>
        <w:ind w:left="1220" w:right="0" w:hanging="794"/>
        <w:jc w:val="left"/>
        <w:rPr>
          <w:sz w:val="13"/>
        </w:rPr>
      </w:pPr>
      <w:r>
        <w:rPr>
          <w:w w:val="105"/>
          <w:sz w:val="13"/>
        </w:rPr>
        <w:t>Submission 22 </w:t>
      </w:r>
      <w:r>
        <w:rPr>
          <w:spacing w:val="2"/>
          <w:w w:val="105"/>
          <w:sz w:val="13"/>
        </w:rPr>
        <w:t>(Name </w:t>
      </w:r>
      <w:r>
        <w:rPr>
          <w:w w:val="105"/>
          <w:sz w:val="13"/>
        </w:rPr>
        <w:t>withheld); Survey Respondents 43,</w:t>
      </w:r>
      <w:r>
        <w:rPr>
          <w:spacing w:val="30"/>
          <w:w w:val="105"/>
          <w:sz w:val="13"/>
        </w:rPr>
        <w:t> </w:t>
      </w:r>
      <w:r>
        <w:rPr>
          <w:w w:val="105"/>
          <w:sz w:val="13"/>
        </w:rPr>
        <w:t>72.</w:t>
      </w:r>
    </w:p>
    <w:p>
      <w:pPr>
        <w:pStyle w:val="ListParagraph"/>
        <w:numPr>
          <w:ilvl w:val="0"/>
          <w:numId w:val="204"/>
        </w:numPr>
        <w:tabs>
          <w:tab w:pos="1220" w:val="left" w:leader="none"/>
          <w:tab w:pos="1221" w:val="left" w:leader="none"/>
        </w:tabs>
        <w:spacing w:line="240" w:lineRule="auto" w:before="1" w:after="0"/>
        <w:ind w:left="1220" w:right="0" w:hanging="794"/>
        <w:jc w:val="left"/>
        <w:rPr>
          <w:sz w:val="13"/>
        </w:rPr>
      </w:pPr>
      <w:r>
        <w:rPr>
          <w:w w:val="105"/>
          <w:sz w:val="13"/>
        </w:rPr>
        <w:t>Submission </w:t>
      </w:r>
      <w:r>
        <w:rPr>
          <w:spacing w:val="-3"/>
          <w:w w:val="105"/>
          <w:sz w:val="13"/>
        </w:rPr>
        <w:t>19 </w:t>
      </w:r>
      <w:r>
        <w:rPr>
          <w:spacing w:val="2"/>
          <w:w w:val="105"/>
          <w:sz w:val="13"/>
        </w:rPr>
        <w:t>(Name</w:t>
      </w:r>
      <w:r>
        <w:rPr>
          <w:spacing w:val="16"/>
          <w:w w:val="105"/>
          <w:sz w:val="13"/>
        </w:rPr>
        <w:t> </w:t>
      </w:r>
      <w:r>
        <w:rPr>
          <w:w w:val="105"/>
          <w:sz w:val="13"/>
        </w:rPr>
        <w:t>withheld).</w:t>
      </w:r>
    </w:p>
    <w:p>
      <w:pPr>
        <w:pStyle w:val="ListParagraph"/>
        <w:numPr>
          <w:ilvl w:val="0"/>
          <w:numId w:val="204"/>
        </w:numPr>
        <w:tabs>
          <w:tab w:pos="1220" w:val="left" w:leader="none"/>
          <w:tab w:pos="1221" w:val="left" w:leader="none"/>
        </w:tabs>
        <w:spacing w:line="240" w:lineRule="auto" w:before="2" w:after="0"/>
        <w:ind w:left="1220" w:right="0" w:hanging="794"/>
        <w:jc w:val="left"/>
        <w:rPr>
          <w:sz w:val="13"/>
        </w:rPr>
      </w:pPr>
      <w:r>
        <w:rPr>
          <w:w w:val="105"/>
          <w:sz w:val="13"/>
        </w:rPr>
        <w:t>Survey Respondent</w:t>
      </w:r>
      <w:r>
        <w:rPr>
          <w:spacing w:val="9"/>
          <w:w w:val="105"/>
          <w:sz w:val="13"/>
        </w:rPr>
        <w:t> </w:t>
      </w:r>
      <w:r>
        <w:rPr>
          <w:w w:val="105"/>
          <w:sz w:val="13"/>
        </w:rPr>
        <w:t>75.</w:t>
      </w:r>
    </w:p>
    <w:p>
      <w:pPr>
        <w:pStyle w:val="ListParagraph"/>
        <w:numPr>
          <w:ilvl w:val="0"/>
          <w:numId w:val="204"/>
        </w:numPr>
        <w:tabs>
          <w:tab w:pos="1220" w:val="left" w:leader="none"/>
          <w:tab w:pos="1221" w:val="left" w:leader="none"/>
        </w:tabs>
        <w:spacing w:line="240" w:lineRule="auto" w:before="1" w:after="0"/>
        <w:ind w:left="1220" w:right="1637" w:hanging="794"/>
        <w:jc w:val="left"/>
        <w:rPr>
          <w:sz w:val="13"/>
        </w:rPr>
      </w:pPr>
      <w:r>
        <w:rPr>
          <w:i/>
          <w:w w:val="105"/>
          <w:sz w:val="13"/>
        </w:rPr>
        <w:t>Anti-social Behaviour Act 2003 </w:t>
      </w:r>
      <w:r>
        <w:rPr>
          <w:spacing w:val="3"/>
          <w:w w:val="105"/>
          <w:sz w:val="13"/>
        </w:rPr>
        <w:t>(UK) </w:t>
      </w:r>
      <w:r>
        <w:rPr>
          <w:w w:val="105"/>
          <w:sz w:val="13"/>
        </w:rPr>
        <w:t>c 38. pt </w:t>
      </w:r>
      <w:r>
        <w:rPr>
          <w:spacing w:val="3"/>
          <w:w w:val="105"/>
          <w:sz w:val="13"/>
        </w:rPr>
        <w:t>8; </w:t>
      </w:r>
      <w:r>
        <w:rPr>
          <w:i/>
          <w:w w:val="105"/>
          <w:sz w:val="13"/>
        </w:rPr>
        <w:t>High Hedges (Scotland) Act </w:t>
      </w:r>
      <w:r>
        <w:rPr>
          <w:i/>
          <w:spacing w:val="-3"/>
          <w:w w:val="105"/>
          <w:sz w:val="13"/>
        </w:rPr>
        <w:t>2013  </w:t>
      </w:r>
      <w:r>
        <w:rPr>
          <w:w w:val="105"/>
          <w:sz w:val="13"/>
        </w:rPr>
        <w:t>(Scot) asp </w:t>
      </w:r>
      <w:r>
        <w:rPr>
          <w:spacing w:val="2"/>
          <w:w w:val="105"/>
          <w:sz w:val="13"/>
        </w:rPr>
        <w:t>6; </w:t>
      </w:r>
      <w:r>
        <w:rPr>
          <w:i/>
          <w:w w:val="105"/>
          <w:sz w:val="13"/>
        </w:rPr>
        <w:t>High Hedges Act </w:t>
      </w:r>
      <w:r>
        <w:rPr>
          <w:i/>
          <w:spacing w:val="2"/>
          <w:w w:val="105"/>
          <w:sz w:val="13"/>
        </w:rPr>
        <w:t>(Northern </w:t>
      </w:r>
      <w:r>
        <w:rPr>
          <w:i/>
          <w:w w:val="105"/>
          <w:sz w:val="13"/>
        </w:rPr>
        <w:t>Ireland) </w:t>
      </w:r>
      <w:r>
        <w:rPr>
          <w:w w:val="105"/>
          <w:sz w:val="13"/>
        </w:rPr>
        <w:t>2011(NI)       c</w:t>
      </w:r>
      <w:r>
        <w:rPr>
          <w:spacing w:val="4"/>
          <w:w w:val="105"/>
          <w:sz w:val="13"/>
        </w:rPr>
        <w:t> </w:t>
      </w:r>
      <w:r>
        <w:rPr>
          <w:spacing w:val="-5"/>
          <w:w w:val="105"/>
          <w:sz w:val="13"/>
        </w:rPr>
        <w:t>21.</w:t>
      </w:r>
    </w:p>
    <w:p>
      <w:pPr>
        <w:pStyle w:val="ListParagraph"/>
        <w:numPr>
          <w:ilvl w:val="0"/>
          <w:numId w:val="204"/>
        </w:numPr>
        <w:tabs>
          <w:tab w:pos="1220" w:val="left" w:leader="none"/>
          <w:tab w:pos="1221" w:val="left" w:leader="none"/>
        </w:tabs>
        <w:spacing w:line="240" w:lineRule="auto" w:before="3" w:after="0"/>
        <w:ind w:left="1220" w:right="0" w:hanging="794"/>
        <w:jc w:val="left"/>
        <w:rPr>
          <w:sz w:val="13"/>
        </w:rPr>
      </w:pPr>
      <w:r>
        <w:rPr>
          <w:i/>
          <w:spacing w:val="2"/>
          <w:w w:val="105"/>
          <w:sz w:val="13"/>
        </w:rPr>
        <w:t>Property </w:t>
      </w:r>
      <w:r>
        <w:rPr>
          <w:i/>
          <w:w w:val="105"/>
          <w:sz w:val="13"/>
        </w:rPr>
        <w:t>Law Act 2007 </w:t>
      </w:r>
      <w:r>
        <w:rPr>
          <w:spacing w:val="3"/>
          <w:w w:val="105"/>
          <w:sz w:val="13"/>
        </w:rPr>
        <w:t>(NZ) </w:t>
      </w:r>
      <w:r>
        <w:rPr>
          <w:w w:val="105"/>
          <w:sz w:val="13"/>
        </w:rPr>
        <w:t>ss</w:t>
      </w:r>
      <w:r>
        <w:rPr>
          <w:spacing w:val="22"/>
          <w:w w:val="105"/>
          <w:sz w:val="13"/>
        </w:rPr>
        <w:t> </w:t>
      </w:r>
      <w:r>
        <w:rPr>
          <w:w w:val="105"/>
          <w:sz w:val="13"/>
        </w:rPr>
        <w:t>332–338.</w:t>
      </w:r>
    </w:p>
    <w:p>
      <w:pPr>
        <w:pStyle w:val="ListParagraph"/>
        <w:numPr>
          <w:ilvl w:val="0"/>
          <w:numId w:val="204"/>
        </w:numPr>
        <w:tabs>
          <w:tab w:pos="1220" w:val="left" w:leader="none"/>
          <w:tab w:pos="1221" w:val="left" w:leader="none"/>
        </w:tabs>
        <w:spacing w:line="240" w:lineRule="auto" w:before="1" w:after="0"/>
        <w:ind w:left="1220" w:right="1642" w:hanging="794"/>
        <w:jc w:val="left"/>
        <w:rPr>
          <w:sz w:val="13"/>
        </w:rPr>
      </w:pPr>
      <w:r>
        <w:rPr>
          <w:i/>
          <w:w w:val="105"/>
          <w:sz w:val="13"/>
        </w:rPr>
        <w:t>Trees (Disputes Between Neighbours) Act 2006 </w:t>
      </w:r>
      <w:r>
        <w:rPr>
          <w:spacing w:val="3"/>
          <w:w w:val="105"/>
          <w:sz w:val="13"/>
        </w:rPr>
        <w:t>(NSW) </w:t>
      </w:r>
      <w:r>
        <w:rPr>
          <w:w w:val="105"/>
          <w:sz w:val="13"/>
        </w:rPr>
        <w:t>pt </w:t>
      </w:r>
      <w:r>
        <w:rPr>
          <w:spacing w:val="2"/>
          <w:w w:val="105"/>
          <w:sz w:val="13"/>
        </w:rPr>
        <w:t>2A. </w:t>
      </w:r>
      <w:r>
        <w:rPr>
          <w:w w:val="105"/>
          <w:sz w:val="13"/>
        </w:rPr>
        <w:t>This part applies only to groups of two or more trees that: </w:t>
      </w:r>
      <w:r>
        <w:rPr>
          <w:spacing w:val="2"/>
          <w:w w:val="105"/>
          <w:sz w:val="13"/>
        </w:rPr>
        <w:t>(a) </w:t>
      </w:r>
      <w:r>
        <w:rPr>
          <w:w w:val="105"/>
          <w:sz w:val="13"/>
        </w:rPr>
        <w:t>are planted (whether in the ground or otherwise) so as to form a hedge, and </w:t>
      </w:r>
      <w:r>
        <w:rPr>
          <w:spacing w:val="2"/>
          <w:w w:val="105"/>
          <w:sz w:val="13"/>
        </w:rPr>
        <w:t>(b) </w:t>
      </w:r>
      <w:r>
        <w:rPr>
          <w:w w:val="105"/>
          <w:sz w:val="13"/>
        </w:rPr>
        <w:t>rise to a height of at least 2.5 metres (above existing ground level).       The Act also allows an affected neighbour to bring action for obstruction of sunlight to a window of a dwelling and views from a dwelling:        s</w:t>
      </w:r>
      <w:r>
        <w:rPr>
          <w:spacing w:val="4"/>
          <w:w w:val="105"/>
          <w:sz w:val="13"/>
        </w:rPr>
        <w:t> </w:t>
      </w:r>
      <w:r>
        <w:rPr>
          <w:w w:val="105"/>
          <w:sz w:val="13"/>
        </w:rPr>
        <w:t>14B.</w:t>
      </w:r>
      <w:r>
        <w:rPr>
          <w:spacing w:val="5"/>
          <w:w w:val="105"/>
          <w:sz w:val="13"/>
        </w:rPr>
        <w:t> </w:t>
      </w:r>
      <w:r>
        <w:rPr>
          <w:spacing w:val="3"/>
          <w:w w:val="105"/>
          <w:sz w:val="13"/>
        </w:rPr>
        <w:t>NB:</w:t>
      </w:r>
      <w:r>
        <w:rPr>
          <w:spacing w:val="5"/>
          <w:w w:val="105"/>
          <w:sz w:val="13"/>
        </w:rPr>
        <w:t> </w:t>
      </w:r>
      <w:r>
        <w:rPr>
          <w:w w:val="105"/>
          <w:sz w:val="13"/>
        </w:rPr>
        <w:t>Not</w:t>
      </w:r>
      <w:r>
        <w:rPr>
          <w:spacing w:val="5"/>
          <w:w w:val="105"/>
          <w:sz w:val="13"/>
        </w:rPr>
        <w:t> </w:t>
      </w:r>
      <w:r>
        <w:rPr>
          <w:w w:val="105"/>
          <w:sz w:val="13"/>
        </w:rPr>
        <w:t>obstruction</w:t>
      </w:r>
      <w:r>
        <w:rPr>
          <w:spacing w:val="4"/>
          <w:w w:val="105"/>
          <w:sz w:val="13"/>
        </w:rPr>
        <w:t> </w:t>
      </w:r>
      <w:r>
        <w:rPr>
          <w:w w:val="105"/>
          <w:sz w:val="13"/>
        </w:rPr>
        <w:t>of</w:t>
      </w:r>
      <w:r>
        <w:rPr>
          <w:spacing w:val="5"/>
          <w:w w:val="105"/>
          <w:sz w:val="13"/>
        </w:rPr>
        <w:t> </w:t>
      </w:r>
      <w:r>
        <w:rPr>
          <w:w w:val="105"/>
          <w:sz w:val="13"/>
        </w:rPr>
        <w:t>sunlight</w:t>
      </w:r>
      <w:r>
        <w:rPr>
          <w:spacing w:val="5"/>
          <w:w w:val="105"/>
          <w:sz w:val="13"/>
        </w:rPr>
        <w:t> </w:t>
      </w:r>
      <w:r>
        <w:rPr>
          <w:w w:val="105"/>
          <w:sz w:val="13"/>
        </w:rPr>
        <w:t>to</w:t>
      </w:r>
      <w:r>
        <w:rPr>
          <w:spacing w:val="5"/>
          <w:w w:val="105"/>
          <w:sz w:val="13"/>
        </w:rPr>
        <w:t> </w:t>
      </w:r>
      <w:r>
        <w:rPr>
          <w:w w:val="105"/>
          <w:sz w:val="13"/>
        </w:rPr>
        <w:t>a</w:t>
      </w:r>
      <w:r>
        <w:rPr>
          <w:spacing w:val="4"/>
          <w:w w:val="105"/>
          <w:sz w:val="13"/>
        </w:rPr>
        <w:t> </w:t>
      </w:r>
      <w:r>
        <w:rPr>
          <w:w w:val="105"/>
          <w:sz w:val="13"/>
        </w:rPr>
        <w:t>roof</w:t>
      </w:r>
      <w:r>
        <w:rPr>
          <w:spacing w:val="5"/>
          <w:w w:val="105"/>
          <w:sz w:val="13"/>
        </w:rPr>
        <w:t> </w:t>
      </w:r>
      <w:r>
        <w:rPr>
          <w:w w:val="105"/>
          <w:sz w:val="13"/>
        </w:rPr>
        <w:t>of</w:t>
      </w:r>
      <w:r>
        <w:rPr>
          <w:spacing w:val="5"/>
          <w:w w:val="105"/>
          <w:sz w:val="13"/>
        </w:rPr>
        <w:t> </w:t>
      </w:r>
      <w:r>
        <w:rPr>
          <w:w w:val="105"/>
          <w:sz w:val="13"/>
        </w:rPr>
        <w:t>a</w:t>
      </w:r>
      <w:r>
        <w:rPr>
          <w:spacing w:val="5"/>
          <w:w w:val="105"/>
          <w:sz w:val="13"/>
        </w:rPr>
        <w:t> </w:t>
      </w:r>
      <w:r>
        <w:rPr>
          <w:w w:val="105"/>
          <w:sz w:val="13"/>
        </w:rPr>
        <w:t>dwelling.</w:t>
      </w:r>
    </w:p>
    <w:p>
      <w:pPr>
        <w:pStyle w:val="ListParagraph"/>
        <w:numPr>
          <w:ilvl w:val="0"/>
          <w:numId w:val="204"/>
        </w:numPr>
        <w:tabs>
          <w:tab w:pos="1220" w:val="left" w:leader="none"/>
          <w:tab w:pos="1221" w:val="left" w:leader="none"/>
        </w:tabs>
        <w:spacing w:line="240" w:lineRule="auto" w:before="5" w:after="0"/>
        <w:ind w:left="1220" w:right="1631" w:hanging="794"/>
        <w:jc w:val="left"/>
        <w:rPr>
          <w:sz w:val="13"/>
        </w:rPr>
      </w:pPr>
      <w:r>
        <w:rPr>
          <w:w w:val="105"/>
          <w:sz w:val="13"/>
        </w:rPr>
        <w:t>Department of Justice and Attorney General </w:t>
      </w:r>
      <w:r>
        <w:rPr>
          <w:spacing w:val="3"/>
          <w:w w:val="105"/>
          <w:sz w:val="13"/>
        </w:rPr>
        <w:t>(NSW), </w:t>
      </w:r>
      <w:r>
        <w:rPr>
          <w:i/>
          <w:w w:val="105"/>
          <w:sz w:val="13"/>
        </w:rPr>
        <w:t>Review of the Trees (Disputes Between Neighbours) Act 2006 </w:t>
      </w:r>
      <w:r>
        <w:rPr>
          <w:spacing w:val="3"/>
          <w:w w:val="105"/>
          <w:sz w:val="13"/>
        </w:rPr>
        <w:t>(NSW) </w:t>
      </w:r>
      <w:r>
        <w:rPr>
          <w:spacing w:val="2"/>
          <w:w w:val="105"/>
          <w:sz w:val="13"/>
        </w:rPr>
        <w:t>(Report, 2009).   </w:t>
      </w:r>
      <w:r>
        <w:rPr>
          <w:w w:val="105"/>
          <w:sz w:val="13"/>
        </w:rPr>
        <w:t>This review received </w:t>
      </w:r>
      <w:r>
        <w:rPr>
          <w:spacing w:val="-3"/>
          <w:w w:val="105"/>
          <w:sz w:val="13"/>
        </w:rPr>
        <w:t>127 </w:t>
      </w:r>
      <w:r>
        <w:rPr>
          <w:w w:val="105"/>
          <w:sz w:val="13"/>
        </w:rPr>
        <w:t>submissions concerned about high hedges, </w:t>
      </w:r>
      <w:r>
        <w:rPr>
          <w:spacing w:val="-3"/>
          <w:w w:val="105"/>
          <w:sz w:val="13"/>
        </w:rPr>
        <w:t>125 </w:t>
      </w:r>
      <w:r>
        <w:rPr>
          <w:w w:val="105"/>
          <w:sz w:val="13"/>
        </w:rPr>
        <w:t>of which argued that trees that block light should be covered, and</w:t>
      </w:r>
      <w:r>
        <w:rPr>
          <w:spacing w:val="30"/>
          <w:w w:val="105"/>
          <w:sz w:val="13"/>
        </w:rPr>
        <w:t> </w:t>
      </w:r>
      <w:r>
        <w:rPr>
          <w:spacing w:val="-6"/>
          <w:w w:val="105"/>
          <w:sz w:val="13"/>
        </w:rPr>
        <w:t>115</w:t>
      </w:r>
      <w:r>
        <w:rPr>
          <w:spacing w:val="4"/>
          <w:w w:val="105"/>
          <w:sz w:val="13"/>
        </w:rPr>
        <w:t> </w:t>
      </w:r>
      <w:r>
        <w:rPr>
          <w:w w:val="105"/>
          <w:sz w:val="13"/>
        </w:rPr>
        <w:t>of</w:t>
      </w:r>
      <w:r>
        <w:rPr>
          <w:spacing w:val="5"/>
          <w:w w:val="105"/>
          <w:sz w:val="13"/>
        </w:rPr>
        <w:t> </w:t>
      </w:r>
      <w:r>
        <w:rPr>
          <w:w w:val="105"/>
          <w:sz w:val="13"/>
        </w:rPr>
        <w:t>which</w:t>
      </w:r>
      <w:r>
        <w:rPr>
          <w:spacing w:val="5"/>
          <w:w w:val="105"/>
          <w:sz w:val="13"/>
        </w:rPr>
        <w:t> </w:t>
      </w:r>
      <w:r>
        <w:rPr>
          <w:w w:val="105"/>
          <w:sz w:val="13"/>
        </w:rPr>
        <w:t>argued</w:t>
      </w:r>
      <w:r>
        <w:rPr>
          <w:spacing w:val="5"/>
          <w:w w:val="105"/>
          <w:sz w:val="13"/>
        </w:rPr>
        <w:t> </w:t>
      </w:r>
      <w:r>
        <w:rPr>
          <w:w w:val="105"/>
          <w:sz w:val="13"/>
        </w:rPr>
        <w:t>that</w:t>
      </w:r>
      <w:r>
        <w:rPr>
          <w:spacing w:val="5"/>
          <w:w w:val="105"/>
          <w:sz w:val="13"/>
        </w:rPr>
        <w:t> </w:t>
      </w:r>
      <w:r>
        <w:rPr>
          <w:w w:val="105"/>
          <w:sz w:val="13"/>
        </w:rPr>
        <w:t>a</w:t>
      </w:r>
      <w:r>
        <w:rPr>
          <w:spacing w:val="5"/>
          <w:w w:val="105"/>
          <w:sz w:val="13"/>
        </w:rPr>
        <w:t> </w:t>
      </w:r>
      <w:r>
        <w:rPr>
          <w:w w:val="105"/>
          <w:sz w:val="13"/>
        </w:rPr>
        <w:t>blocked</w:t>
      </w:r>
      <w:r>
        <w:rPr>
          <w:spacing w:val="5"/>
          <w:w w:val="105"/>
          <w:sz w:val="13"/>
        </w:rPr>
        <w:t> </w:t>
      </w:r>
      <w:r>
        <w:rPr>
          <w:w w:val="105"/>
          <w:sz w:val="13"/>
        </w:rPr>
        <w:t>view</w:t>
      </w:r>
      <w:r>
        <w:rPr>
          <w:spacing w:val="5"/>
          <w:w w:val="105"/>
          <w:sz w:val="13"/>
        </w:rPr>
        <w:t> </w:t>
      </w:r>
      <w:r>
        <w:rPr>
          <w:w w:val="105"/>
          <w:sz w:val="13"/>
        </w:rPr>
        <w:t>should</w:t>
      </w:r>
      <w:r>
        <w:rPr>
          <w:spacing w:val="5"/>
          <w:w w:val="105"/>
          <w:sz w:val="13"/>
        </w:rPr>
        <w:t> </w:t>
      </w:r>
      <w:r>
        <w:rPr>
          <w:w w:val="105"/>
          <w:sz w:val="13"/>
        </w:rPr>
        <w:t>also</w:t>
      </w:r>
      <w:r>
        <w:rPr>
          <w:spacing w:val="5"/>
          <w:w w:val="105"/>
          <w:sz w:val="13"/>
        </w:rPr>
        <w:t> </w:t>
      </w:r>
      <w:r>
        <w:rPr>
          <w:w w:val="105"/>
          <w:sz w:val="13"/>
        </w:rPr>
        <w:t>be</w:t>
      </w:r>
      <w:r>
        <w:rPr>
          <w:spacing w:val="5"/>
          <w:w w:val="105"/>
          <w:sz w:val="13"/>
        </w:rPr>
        <w:t> </w:t>
      </w:r>
      <w:r>
        <w:rPr>
          <w:w w:val="105"/>
          <w:sz w:val="13"/>
        </w:rPr>
        <w:t>a</w:t>
      </w:r>
      <w:r>
        <w:rPr>
          <w:spacing w:val="5"/>
          <w:w w:val="105"/>
          <w:sz w:val="13"/>
        </w:rPr>
        <w:t> </w:t>
      </w:r>
      <w:r>
        <w:rPr>
          <w:w w:val="105"/>
          <w:sz w:val="13"/>
        </w:rPr>
        <w:t>ground</w:t>
      </w:r>
      <w:r>
        <w:rPr>
          <w:spacing w:val="5"/>
          <w:w w:val="105"/>
          <w:sz w:val="13"/>
        </w:rPr>
        <w:t> </w:t>
      </w:r>
      <w:r>
        <w:rPr>
          <w:w w:val="105"/>
          <w:sz w:val="13"/>
        </w:rPr>
        <w:t>for</w:t>
      </w:r>
      <w:r>
        <w:rPr>
          <w:spacing w:val="5"/>
          <w:w w:val="105"/>
          <w:sz w:val="13"/>
        </w:rPr>
        <w:t> </w:t>
      </w:r>
      <w:r>
        <w:rPr>
          <w:w w:val="105"/>
          <w:sz w:val="13"/>
        </w:rPr>
        <w:t>interfering</w:t>
      </w:r>
      <w:r>
        <w:rPr>
          <w:spacing w:val="5"/>
          <w:w w:val="105"/>
          <w:sz w:val="13"/>
        </w:rPr>
        <w:t> </w:t>
      </w:r>
      <w:r>
        <w:rPr>
          <w:w w:val="105"/>
          <w:sz w:val="13"/>
        </w:rPr>
        <w:t>with</w:t>
      </w:r>
      <w:r>
        <w:rPr>
          <w:spacing w:val="5"/>
          <w:w w:val="105"/>
          <w:sz w:val="13"/>
        </w:rPr>
        <w:t> </w:t>
      </w:r>
      <w:r>
        <w:rPr>
          <w:w w:val="105"/>
          <w:sz w:val="13"/>
        </w:rPr>
        <w:t>a</w:t>
      </w:r>
      <w:r>
        <w:rPr>
          <w:spacing w:val="5"/>
          <w:w w:val="105"/>
          <w:sz w:val="13"/>
        </w:rPr>
        <w:t> </w:t>
      </w:r>
      <w:r>
        <w:rPr>
          <w:w w:val="105"/>
          <w:sz w:val="13"/>
        </w:rPr>
        <w:t>tree.</w:t>
      </w:r>
    </w:p>
    <w:p>
      <w:pPr>
        <w:pStyle w:val="ListParagraph"/>
        <w:numPr>
          <w:ilvl w:val="0"/>
          <w:numId w:val="204"/>
        </w:numPr>
        <w:tabs>
          <w:tab w:pos="1220" w:val="left" w:leader="none"/>
          <w:tab w:pos="1221" w:val="left" w:leader="none"/>
        </w:tabs>
        <w:spacing w:line="240" w:lineRule="auto" w:before="4" w:after="0"/>
        <w:ind w:left="1220" w:right="0" w:hanging="794"/>
        <w:jc w:val="left"/>
        <w:rPr>
          <w:sz w:val="13"/>
        </w:rPr>
      </w:pPr>
      <w:r>
        <w:rPr>
          <w:w w:val="105"/>
          <w:sz w:val="13"/>
        </w:rPr>
        <w:t>Ibid</w:t>
      </w:r>
      <w:r>
        <w:rPr>
          <w:spacing w:val="16"/>
          <w:w w:val="105"/>
          <w:sz w:val="13"/>
        </w:rPr>
        <w:t> </w:t>
      </w:r>
      <w:r>
        <w:rPr>
          <w:w w:val="105"/>
          <w:sz w:val="13"/>
        </w:rPr>
        <w:t>34.</w:t>
      </w:r>
    </w:p>
    <w:p>
      <w:pPr>
        <w:pStyle w:val="ListParagraph"/>
        <w:numPr>
          <w:ilvl w:val="0"/>
          <w:numId w:val="204"/>
        </w:numPr>
        <w:tabs>
          <w:tab w:pos="1220" w:val="left" w:leader="none"/>
          <w:tab w:pos="1221" w:val="left" w:leader="none"/>
        </w:tabs>
        <w:spacing w:line="240" w:lineRule="auto" w:before="2" w:after="0"/>
        <w:ind w:left="1220" w:right="0" w:hanging="794"/>
        <w:jc w:val="left"/>
        <w:rPr>
          <w:sz w:val="13"/>
        </w:rPr>
      </w:pPr>
      <w:r>
        <w:rPr>
          <w:w w:val="105"/>
          <w:sz w:val="13"/>
        </w:rPr>
        <w:t>Ibid</w:t>
      </w:r>
      <w:r>
        <w:rPr>
          <w:spacing w:val="11"/>
          <w:w w:val="105"/>
          <w:sz w:val="13"/>
        </w:rPr>
        <w:t> </w:t>
      </w:r>
      <w:r>
        <w:rPr>
          <w:spacing w:val="-7"/>
          <w:w w:val="105"/>
          <w:sz w:val="13"/>
        </w:rPr>
        <w:t>37.</w:t>
      </w:r>
    </w:p>
    <w:p>
      <w:pPr>
        <w:pStyle w:val="ListParagraph"/>
        <w:numPr>
          <w:ilvl w:val="0"/>
          <w:numId w:val="204"/>
        </w:numPr>
        <w:tabs>
          <w:tab w:pos="1220" w:val="left" w:leader="none"/>
          <w:tab w:pos="1221" w:val="left" w:leader="none"/>
        </w:tabs>
        <w:spacing w:line="240" w:lineRule="auto" w:before="1" w:after="0"/>
        <w:ind w:left="1220" w:right="0" w:hanging="794"/>
        <w:jc w:val="left"/>
        <w:rPr>
          <w:sz w:val="13"/>
        </w:rPr>
      </w:pPr>
      <w:r>
        <w:rPr>
          <w:i/>
          <w:w w:val="105"/>
          <w:sz w:val="13"/>
        </w:rPr>
        <w:t>Trees (Disputes Between Neighbours) Act 2006 </w:t>
      </w:r>
      <w:r>
        <w:rPr>
          <w:spacing w:val="3"/>
          <w:w w:val="105"/>
          <w:sz w:val="13"/>
        </w:rPr>
        <w:t>(NSW) </w:t>
      </w:r>
      <w:r>
        <w:rPr>
          <w:w w:val="105"/>
          <w:sz w:val="13"/>
        </w:rPr>
        <w:t>s</w:t>
      </w:r>
      <w:r>
        <w:rPr>
          <w:spacing w:val="4"/>
          <w:w w:val="105"/>
          <w:sz w:val="13"/>
        </w:rPr>
        <w:t> </w:t>
      </w:r>
      <w:r>
        <w:rPr>
          <w:spacing w:val="2"/>
          <w:w w:val="105"/>
          <w:sz w:val="13"/>
        </w:rPr>
        <w:t>14E(2)(b).</w:t>
      </w:r>
    </w:p>
    <w:p>
      <w:pPr>
        <w:spacing w:after="0" w:line="240" w:lineRule="auto"/>
        <w:jc w:val="left"/>
        <w:rPr>
          <w:sz w:val="13"/>
        </w:rPr>
        <w:sectPr>
          <w:type w:val="continuous"/>
          <w:pgSz w:w="11910" w:h="16840"/>
          <w:pgMar w:top="300" w:bottom="280" w:left="0" w:right="0"/>
          <w:cols w:num="2" w:equalWidth="0">
            <w:col w:w="1121" w:space="40"/>
            <w:col w:w="10749"/>
          </w:cols>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1586" w:hanging="794"/>
        <w:jc w:val="left"/>
        <w:rPr>
          <w:sz w:val="21"/>
        </w:rPr>
      </w:pPr>
      <w:r>
        <w:rPr>
          <w:w w:val="105"/>
          <w:sz w:val="21"/>
        </w:rPr>
        <w:t>The </w:t>
      </w:r>
      <w:r>
        <w:rPr>
          <w:spacing w:val="-3"/>
          <w:w w:val="105"/>
          <w:sz w:val="21"/>
        </w:rPr>
        <w:t>high </w:t>
      </w:r>
      <w:r>
        <w:rPr>
          <w:w w:val="105"/>
          <w:sz w:val="21"/>
        </w:rPr>
        <w:t>hedges </w:t>
      </w:r>
      <w:r>
        <w:rPr>
          <w:spacing w:val="-3"/>
          <w:w w:val="105"/>
          <w:sz w:val="21"/>
        </w:rPr>
        <w:t>provisions were </w:t>
      </w:r>
      <w:r>
        <w:rPr>
          <w:w w:val="105"/>
          <w:sz w:val="21"/>
        </w:rPr>
        <w:t>reviewed in </w:t>
      </w:r>
      <w:r>
        <w:rPr>
          <w:spacing w:val="-6"/>
          <w:w w:val="105"/>
          <w:sz w:val="21"/>
        </w:rPr>
        <w:t>2013.</w:t>
      </w:r>
      <w:r>
        <w:rPr>
          <w:spacing w:val="-6"/>
          <w:w w:val="105"/>
          <w:position w:val="7"/>
          <w:sz w:val="12"/>
        </w:rPr>
        <w:t>83   </w:t>
      </w:r>
      <w:r>
        <w:rPr>
          <w:w w:val="105"/>
          <w:sz w:val="21"/>
        </w:rPr>
        <w:t>The review </w:t>
      </w:r>
      <w:r>
        <w:rPr>
          <w:spacing w:val="-3"/>
          <w:w w:val="105"/>
          <w:sz w:val="21"/>
        </w:rPr>
        <w:t>concluded that </w:t>
      </w:r>
      <w:r>
        <w:rPr>
          <w:w w:val="105"/>
          <w:sz w:val="21"/>
        </w:rPr>
        <w:t>Part 2A of</w:t>
      </w:r>
      <w:r>
        <w:rPr>
          <w:spacing w:val="-5"/>
          <w:w w:val="105"/>
          <w:sz w:val="21"/>
        </w:rPr>
        <w:t> </w:t>
      </w:r>
      <w:r>
        <w:rPr>
          <w:w w:val="105"/>
          <w:sz w:val="21"/>
        </w:rPr>
        <w:t>the</w:t>
      </w:r>
      <w:r>
        <w:rPr>
          <w:spacing w:val="-4"/>
          <w:w w:val="105"/>
          <w:sz w:val="21"/>
        </w:rPr>
        <w:t> </w:t>
      </w:r>
      <w:r>
        <w:rPr>
          <w:w w:val="105"/>
          <w:sz w:val="21"/>
        </w:rPr>
        <w:t>NSW</w:t>
      </w:r>
      <w:r>
        <w:rPr>
          <w:spacing w:val="-5"/>
          <w:w w:val="105"/>
          <w:sz w:val="21"/>
        </w:rPr>
        <w:t> </w:t>
      </w:r>
      <w:r>
        <w:rPr>
          <w:w w:val="105"/>
          <w:sz w:val="21"/>
        </w:rPr>
        <w:t>scheme</w:t>
      </w:r>
      <w:r>
        <w:rPr>
          <w:spacing w:val="-4"/>
          <w:w w:val="105"/>
          <w:sz w:val="21"/>
        </w:rPr>
        <w:t> </w:t>
      </w:r>
      <w:r>
        <w:rPr>
          <w:w w:val="105"/>
          <w:sz w:val="21"/>
        </w:rPr>
        <w:t>was</w:t>
      </w:r>
      <w:r>
        <w:rPr>
          <w:spacing w:val="-5"/>
          <w:w w:val="105"/>
          <w:sz w:val="21"/>
        </w:rPr>
        <w:t> </w:t>
      </w:r>
      <w:r>
        <w:rPr>
          <w:w w:val="105"/>
          <w:sz w:val="21"/>
        </w:rPr>
        <w:t>a</w:t>
      </w:r>
      <w:r>
        <w:rPr>
          <w:spacing w:val="-4"/>
          <w:w w:val="105"/>
          <w:sz w:val="21"/>
        </w:rPr>
        <w:t> ‘limited</w:t>
      </w:r>
      <w:r>
        <w:rPr>
          <w:spacing w:val="-5"/>
          <w:w w:val="105"/>
          <w:sz w:val="21"/>
        </w:rPr>
        <w:t> </w:t>
      </w:r>
      <w:r>
        <w:rPr>
          <w:w w:val="105"/>
          <w:sz w:val="21"/>
        </w:rPr>
        <w:t>but</w:t>
      </w:r>
      <w:r>
        <w:rPr>
          <w:spacing w:val="-4"/>
          <w:w w:val="105"/>
          <w:sz w:val="21"/>
        </w:rPr>
        <w:t> </w:t>
      </w:r>
      <w:r>
        <w:rPr>
          <w:w w:val="105"/>
          <w:sz w:val="21"/>
        </w:rPr>
        <w:t>effective’</w:t>
      </w:r>
      <w:r>
        <w:rPr>
          <w:spacing w:val="-5"/>
          <w:w w:val="105"/>
          <w:sz w:val="21"/>
        </w:rPr>
        <w:t> </w:t>
      </w:r>
      <w:r>
        <w:rPr>
          <w:w w:val="105"/>
          <w:sz w:val="21"/>
        </w:rPr>
        <w:t>jurisdiction</w:t>
      </w:r>
      <w:r>
        <w:rPr>
          <w:spacing w:val="-4"/>
          <w:w w:val="105"/>
          <w:sz w:val="21"/>
        </w:rPr>
        <w:t> </w:t>
      </w:r>
      <w:r>
        <w:rPr>
          <w:w w:val="105"/>
          <w:sz w:val="21"/>
        </w:rPr>
        <w:t>in</w:t>
      </w:r>
      <w:r>
        <w:rPr>
          <w:spacing w:val="-5"/>
          <w:w w:val="105"/>
          <w:sz w:val="21"/>
        </w:rPr>
        <w:t> </w:t>
      </w:r>
      <w:r>
        <w:rPr>
          <w:w w:val="105"/>
          <w:sz w:val="21"/>
        </w:rPr>
        <w:t>the</w:t>
      </w:r>
      <w:r>
        <w:rPr>
          <w:spacing w:val="-4"/>
          <w:w w:val="105"/>
          <w:sz w:val="21"/>
        </w:rPr>
        <w:t> </w:t>
      </w:r>
      <w:r>
        <w:rPr>
          <w:w w:val="105"/>
          <w:sz w:val="21"/>
        </w:rPr>
        <w:t>NSWLEC</w:t>
      </w:r>
      <w:r>
        <w:rPr>
          <w:spacing w:val="-5"/>
          <w:w w:val="105"/>
          <w:sz w:val="21"/>
        </w:rPr>
        <w:t> </w:t>
      </w:r>
      <w:r>
        <w:rPr>
          <w:spacing w:val="-3"/>
          <w:w w:val="105"/>
          <w:sz w:val="21"/>
        </w:rPr>
        <w:t>to</w:t>
      </w:r>
      <w:r>
        <w:rPr>
          <w:spacing w:val="-4"/>
          <w:w w:val="105"/>
          <w:sz w:val="21"/>
        </w:rPr>
        <w:t> </w:t>
      </w:r>
      <w:r>
        <w:rPr>
          <w:w w:val="105"/>
          <w:sz w:val="21"/>
        </w:rPr>
        <w:t>hear</w:t>
      </w:r>
      <w:r>
        <w:rPr>
          <w:spacing w:val="-4"/>
          <w:w w:val="105"/>
          <w:sz w:val="21"/>
        </w:rPr>
        <w:t> </w:t>
      </w:r>
      <w:r>
        <w:rPr>
          <w:w w:val="105"/>
          <w:sz w:val="21"/>
        </w:rPr>
        <w:t>hedge disputes.</w:t>
      </w:r>
      <w:r>
        <w:rPr>
          <w:w w:val="105"/>
          <w:position w:val="7"/>
          <w:sz w:val="12"/>
        </w:rPr>
        <w:t>84 </w:t>
      </w:r>
      <w:r>
        <w:rPr>
          <w:w w:val="105"/>
          <w:sz w:val="21"/>
        </w:rPr>
        <w:t>The </w:t>
      </w:r>
      <w:r>
        <w:rPr>
          <w:spacing w:val="-9"/>
          <w:w w:val="105"/>
          <w:sz w:val="21"/>
        </w:rPr>
        <w:t>2013 </w:t>
      </w:r>
      <w:r>
        <w:rPr>
          <w:w w:val="105"/>
          <w:sz w:val="21"/>
        </w:rPr>
        <w:t>review </w:t>
      </w:r>
      <w:r>
        <w:rPr>
          <w:spacing w:val="-3"/>
          <w:w w:val="105"/>
          <w:sz w:val="21"/>
        </w:rPr>
        <w:t>concluded that </w:t>
      </w:r>
      <w:r>
        <w:rPr>
          <w:w w:val="105"/>
          <w:sz w:val="21"/>
        </w:rPr>
        <w:t>there was insufficient evidence </w:t>
      </w:r>
      <w:r>
        <w:rPr>
          <w:spacing w:val="-3"/>
          <w:w w:val="105"/>
          <w:sz w:val="21"/>
        </w:rPr>
        <w:t>to </w:t>
      </w:r>
      <w:r>
        <w:rPr>
          <w:w w:val="105"/>
          <w:sz w:val="21"/>
        </w:rPr>
        <w:t>support a </w:t>
      </w:r>
      <w:r>
        <w:rPr>
          <w:spacing w:val="-3"/>
          <w:w w:val="105"/>
          <w:sz w:val="21"/>
        </w:rPr>
        <w:t>significant</w:t>
      </w:r>
      <w:r>
        <w:rPr>
          <w:spacing w:val="-9"/>
          <w:w w:val="105"/>
          <w:sz w:val="21"/>
        </w:rPr>
        <w:t> </w:t>
      </w:r>
      <w:r>
        <w:rPr>
          <w:w w:val="105"/>
          <w:sz w:val="21"/>
        </w:rPr>
        <w:t>policy</w:t>
      </w:r>
      <w:r>
        <w:rPr>
          <w:spacing w:val="-9"/>
          <w:w w:val="105"/>
          <w:sz w:val="21"/>
        </w:rPr>
        <w:t> </w:t>
      </w:r>
      <w:r>
        <w:rPr>
          <w:w w:val="105"/>
          <w:sz w:val="21"/>
        </w:rPr>
        <w:t>shift</w:t>
      </w:r>
      <w:r>
        <w:rPr>
          <w:spacing w:val="-8"/>
          <w:w w:val="105"/>
          <w:sz w:val="21"/>
        </w:rPr>
        <w:t> </w:t>
      </w:r>
      <w:r>
        <w:rPr>
          <w:spacing w:val="-3"/>
          <w:w w:val="105"/>
          <w:sz w:val="21"/>
        </w:rPr>
        <w:t>to</w:t>
      </w:r>
      <w:r>
        <w:rPr>
          <w:spacing w:val="-9"/>
          <w:w w:val="105"/>
          <w:sz w:val="21"/>
        </w:rPr>
        <w:t> </w:t>
      </w:r>
      <w:r>
        <w:rPr>
          <w:w w:val="105"/>
          <w:sz w:val="21"/>
        </w:rPr>
        <w:t>broaden</w:t>
      </w:r>
      <w:r>
        <w:rPr>
          <w:spacing w:val="-9"/>
          <w:w w:val="105"/>
          <w:sz w:val="21"/>
        </w:rPr>
        <w:t> </w:t>
      </w:r>
      <w:r>
        <w:rPr>
          <w:w w:val="105"/>
          <w:sz w:val="21"/>
        </w:rPr>
        <w:t>the</w:t>
      </w:r>
      <w:r>
        <w:rPr>
          <w:spacing w:val="-8"/>
          <w:w w:val="105"/>
          <w:sz w:val="21"/>
        </w:rPr>
        <w:t> </w:t>
      </w:r>
      <w:r>
        <w:rPr>
          <w:w w:val="105"/>
          <w:sz w:val="21"/>
        </w:rPr>
        <w:t>existing</w:t>
      </w:r>
      <w:r>
        <w:rPr>
          <w:spacing w:val="-9"/>
          <w:w w:val="105"/>
          <w:sz w:val="21"/>
        </w:rPr>
        <w:t> </w:t>
      </w:r>
      <w:r>
        <w:rPr>
          <w:spacing w:val="-3"/>
          <w:w w:val="105"/>
          <w:sz w:val="21"/>
        </w:rPr>
        <w:t>provisions</w:t>
      </w:r>
      <w:r>
        <w:rPr>
          <w:spacing w:val="-9"/>
          <w:w w:val="105"/>
          <w:sz w:val="21"/>
        </w:rPr>
        <w:t> </w:t>
      </w:r>
      <w:r>
        <w:rPr>
          <w:spacing w:val="-3"/>
          <w:w w:val="105"/>
          <w:sz w:val="21"/>
        </w:rPr>
        <w:t>to</w:t>
      </w:r>
      <w:r>
        <w:rPr>
          <w:spacing w:val="-8"/>
          <w:w w:val="105"/>
          <w:sz w:val="21"/>
        </w:rPr>
        <w:t> </w:t>
      </w:r>
      <w:r>
        <w:rPr>
          <w:spacing w:val="-3"/>
          <w:w w:val="105"/>
          <w:sz w:val="21"/>
        </w:rPr>
        <w:t>cover</w:t>
      </w:r>
      <w:r>
        <w:rPr>
          <w:spacing w:val="-9"/>
          <w:w w:val="105"/>
          <w:sz w:val="21"/>
        </w:rPr>
        <w:t> </w:t>
      </w:r>
      <w:r>
        <w:rPr>
          <w:w w:val="105"/>
          <w:sz w:val="21"/>
        </w:rPr>
        <w:t>solar</w:t>
      </w:r>
      <w:r>
        <w:rPr>
          <w:spacing w:val="-9"/>
          <w:w w:val="105"/>
          <w:sz w:val="21"/>
        </w:rPr>
        <w:t> </w:t>
      </w:r>
      <w:r>
        <w:rPr>
          <w:w w:val="105"/>
          <w:sz w:val="21"/>
        </w:rPr>
        <w:t>access.</w:t>
      </w:r>
      <w:r>
        <w:rPr>
          <w:w w:val="105"/>
          <w:position w:val="7"/>
          <w:sz w:val="12"/>
        </w:rPr>
        <w:t>85</w:t>
      </w:r>
      <w:r>
        <w:rPr>
          <w:spacing w:val="15"/>
          <w:w w:val="105"/>
          <w:position w:val="7"/>
          <w:sz w:val="12"/>
        </w:rPr>
        <w:t> </w:t>
      </w:r>
      <w:r>
        <w:rPr>
          <w:w w:val="105"/>
          <w:sz w:val="21"/>
        </w:rPr>
        <w:t>Thirty-two per </w:t>
      </w:r>
      <w:r>
        <w:rPr>
          <w:spacing w:val="-3"/>
          <w:w w:val="105"/>
          <w:sz w:val="21"/>
        </w:rPr>
        <w:t>cent </w:t>
      </w:r>
      <w:r>
        <w:rPr>
          <w:w w:val="105"/>
          <w:sz w:val="21"/>
        </w:rPr>
        <w:t>of tree </w:t>
      </w:r>
      <w:r>
        <w:rPr>
          <w:spacing w:val="-3"/>
          <w:w w:val="105"/>
          <w:sz w:val="21"/>
        </w:rPr>
        <w:t>disputes finalised </w:t>
      </w:r>
      <w:r>
        <w:rPr>
          <w:w w:val="105"/>
          <w:sz w:val="21"/>
        </w:rPr>
        <w:t>in the NSWLEC in </w:t>
      </w:r>
      <w:r>
        <w:rPr>
          <w:spacing w:val="-9"/>
          <w:w w:val="105"/>
          <w:sz w:val="21"/>
        </w:rPr>
        <w:t>2017 </w:t>
      </w:r>
      <w:r>
        <w:rPr>
          <w:spacing w:val="-3"/>
          <w:w w:val="105"/>
          <w:sz w:val="21"/>
        </w:rPr>
        <w:t>were applications concerning </w:t>
      </w:r>
      <w:r>
        <w:rPr>
          <w:w w:val="105"/>
          <w:sz w:val="21"/>
        </w:rPr>
        <w:t>a hedge severely obstructing </w:t>
      </w:r>
      <w:r>
        <w:rPr>
          <w:spacing w:val="-4"/>
          <w:w w:val="105"/>
          <w:sz w:val="21"/>
        </w:rPr>
        <w:t>sunlight </w:t>
      </w:r>
      <w:r>
        <w:rPr>
          <w:w w:val="105"/>
          <w:sz w:val="21"/>
        </w:rPr>
        <w:t>or</w:t>
      </w:r>
      <w:r>
        <w:rPr>
          <w:spacing w:val="26"/>
          <w:w w:val="105"/>
          <w:sz w:val="21"/>
        </w:rPr>
        <w:t> </w:t>
      </w:r>
      <w:r>
        <w:rPr>
          <w:w w:val="105"/>
          <w:sz w:val="21"/>
        </w:rPr>
        <w:t>views.</w:t>
      </w:r>
      <w:r>
        <w:rPr>
          <w:w w:val="105"/>
          <w:position w:val="7"/>
          <w:sz w:val="12"/>
        </w:rPr>
        <w:t>86</w:t>
      </w:r>
    </w:p>
    <w:p>
      <w:pPr>
        <w:pStyle w:val="ListParagraph"/>
        <w:numPr>
          <w:ilvl w:val="1"/>
          <w:numId w:val="16"/>
        </w:numPr>
        <w:tabs>
          <w:tab w:pos="2381" w:val="left" w:leader="none"/>
          <w:tab w:pos="2382" w:val="left" w:leader="none"/>
        </w:tabs>
        <w:spacing w:line="242" w:lineRule="auto" w:before="127" w:after="0"/>
        <w:ind w:left="2381" w:right="1607" w:hanging="794"/>
        <w:jc w:val="left"/>
        <w:rPr>
          <w:sz w:val="21"/>
        </w:rPr>
      </w:pPr>
      <w:r>
        <w:rPr>
          <w:w w:val="105"/>
          <w:sz w:val="21"/>
        </w:rPr>
        <w:t>The</w:t>
      </w:r>
      <w:r>
        <w:rPr>
          <w:spacing w:val="-7"/>
          <w:w w:val="105"/>
          <w:sz w:val="21"/>
        </w:rPr>
        <w:t> </w:t>
      </w:r>
      <w:r>
        <w:rPr>
          <w:spacing w:val="-3"/>
          <w:w w:val="105"/>
          <w:sz w:val="21"/>
        </w:rPr>
        <w:t>Queensland</w:t>
      </w:r>
      <w:r>
        <w:rPr>
          <w:spacing w:val="-7"/>
          <w:w w:val="105"/>
          <w:sz w:val="21"/>
        </w:rPr>
        <w:t> </w:t>
      </w:r>
      <w:r>
        <w:rPr>
          <w:w w:val="105"/>
          <w:sz w:val="21"/>
        </w:rPr>
        <w:t>scheme</w:t>
      </w:r>
      <w:r>
        <w:rPr>
          <w:spacing w:val="-7"/>
          <w:w w:val="105"/>
          <w:sz w:val="21"/>
        </w:rPr>
        <w:t> </w:t>
      </w:r>
      <w:r>
        <w:rPr>
          <w:w w:val="105"/>
          <w:sz w:val="21"/>
        </w:rPr>
        <w:t>differs</w:t>
      </w:r>
      <w:r>
        <w:rPr>
          <w:spacing w:val="-7"/>
          <w:w w:val="105"/>
          <w:sz w:val="21"/>
        </w:rPr>
        <w:t> </w:t>
      </w:r>
      <w:r>
        <w:rPr>
          <w:spacing w:val="-3"/>
          <w:w w:val="105"/>
          <w:sz w:val="21"/>
        </w:rPr>
        <w:t>from</w:t>
      </w:r>
      <w:r>
        <w:rPr>
          <w:spacing w:val="-7"/>
          <w:w w:val="105"/>
          <w:sz w:val="21"/>
        </w:rPr>
        <w:t> </w:t>
      </w:r>
      <w:r>
        <w:rPr>
          <w:w w:val="105"/>
          <w:sz w:val="21"/>
        </w:rPr>
        <w:t>the</w:t>
      </w:r>
      <w:r>
        <w:rPr>
          <w:spacing w:val="-7"/>
          <w:w w:val="105"/>
          <w:sz w:val="21"/>
        </w:rPr>
        <w:t> </w:t>
      </w:r>
      <w:r>
        <w:rPr>
          <w:w w:val="105"/>
          <w:sz w:val="21"/>
        </w:rPr>
        <w:t>NSW</w:t>
      </w:r>
      <w:r>
        <w:rPr>
          <w:spacing w:val="-7"/>
          <w:w w:val="105"/>
          <w:sz w:val="21"/>
        </w:rPr>
        <w:t> </w:t>
      </w:r>
      <w:r>
        <w:rPr>
          <w:w w:val="105"/>
          <w:sz w:val="21"/>
        </w:rPr>
        <w:t>scheme</w:t>
      </w:r>
      <w:r>
        <w:rPr>
          <w:spacing w:val="-7"/>
          <w:w w:val="105"/>
          <w:sz w:val="21"/>
        </w:rPr>
        <w:t> </w:t>
      </w:r>
      <w:r>
        <w:rPr>
          <w:w w:val="105"/>
          <w:sz w:val="21"/>
        </w:rPr>
        <w:t>as</w:t>
      </w:r>
      <w:r>
        <w:rPr>
          <w:spacing w:val="-7"/>
          <w:w w:val="105"/>
          <w:sz w:val="21"/>
        </w:rPr>
        <w:t> </w:t>
      </w:r>
      <w:r>
        <w:rPr>
          <w:w w:val="105"/>
          <w:sz w:val="21"/>
        </w:rPr>
        <w:t>it</w:t>
      </w:r>
      <w:r>
        <w:rPr>
          <w:spacing w:val="-6"/>
          <w:w w:val="105"/>
          <w:sz w:val="21"/>
        </w:rPr>
        <w:t> </w:t>
      </w:r>
      <w:r>
        <w:rPr>
          <w:spacing w:val="-3"/>
          <w:w w:val="105"/>
          <w:sz w:val="21"/>
        </w:rPr>
        <w:t>includes</w:t>
      </w:r>
      <w:r>
        <w:rPr>
          <w:spacing w:val="-7"/>
          <w:w w:val="105"/>
          <w:sz w:val="21"/>
        </w:rPr>
        <w:t> </w:t>
      </w:r>
      <w:r>
        <w:rPr>
          <w:spacing w:val="-3"/>
          <w:w w:val="105"/>
          <w:sz w:val="21"/>
        </w:rPr>
        <w:t>severe</w:t>
      </w:r>
      <w:r>
        <w:rPr>
          <w:spacing w:val="-7"/>
          <w:w w:val="105"/>
          <w:sz w:val="21"/>
        </w:rPr>
        <w:t> </w:t>
      </w:r>
      <w:r>
        <w:rPr>
          <w:w w:val="105"/>
          <w:sz w:val="21"/>
        </w:rPr>
        <w:t>obstruction</w:t>
      </w:r>
      <w:r>
        <w:rPr>
          <w:spacing w:val="-7"/>
          <w:w w:val="105"/>
          <w:sz w:val="21"/>
        </w:rPr>
        <w:t> </w:t>
      </w:r>
      <w:r>
        <w:rPr>
          <w:w w:val="105"/>
          <w:sz w:val="21"/>
        </w:rPr>
        <w:t>of </w:t>
      </w:r>
      <w:r>
        <w:rPr>
          <w:spacing w:val="-4"/>
          <w:w w:val="105"/>
          <w:sz w:val="21"/>
        </w:rPr>
        <w:t>sunlight </w:t>
      </w:r>
      <w:r>
        <w:rPr>
          <w:spacing w:val="-3"/>
          <w:w w:val="105"/>
          <w:sz w:val="21"/>
        </w:rPr>
        <w:t>to </w:t>
      </w:r>
      <w:r>
        <w:rPr>
          <w:w w:val="105"/>
          <w:sz w:val="21"/>
        </w:rPr>
        <w:t>a roof of a </w:t>
      </w:r>
      <w:r>
        <w:rPr>
          <w:spacing w:val="-3"/>
          <w:w w:val="105"/>
          <w:sz w:val="21"/>
        </w:rPr>
        <w:t>dwelling. </w:t>
      </w:r>
      <w:r>
        <w:rPr>
          <w:w w:val="105"/>
          <w:sz w:val="21"/>
        </w:rPr>
        <w:t>It enables </w:t>
      </w:r>
      <w:r>
        <w:rPr>
          <w:spacing w:val="-4"/>
          <w:w w:val="105"/>
          <w:sz w:val="21"/>
        </w:rPr>
        <w:t>QCAT </w:t>
      </w:r>
      <w:r>
        <w:rPr>
          <w:spacing w:val="-3"/>
          <w:w w:val="105"/>
          <w:sz w:val="21"/>
        </w:rPr>
        <w:t>to </w:t>
      </w:r>
      <w:r>
        <w:rPr>
          <w:spacing w:val="-4"/>
          <w:w w:val="105"/>
          <w:sz w:val="21"/>
        </w:rPr>
        <w:t>make </w:t>
      </w:r>
      <w:r>
        <w:rPr>
          <w:w w:val="105"/>
          <w:sz w:val="21"/>
        </w:rPr>
        <w:t>orders in </w:t>
      </w:r>
      <w:r>
        <w:rPr>
          <w:spacing w:val="-3"/>
          <w:w w:val="105"/>
          <w:sz w:val="21"/>
        </w:rPr>
        <w:t>relation to </w:t>
      </w:r>
      <w:r>
        <w:rPr>
          <w:w w:val="105"/>
          <w:sz w:val="21"/>
        </w:rPr>
        <w:t>a tree </w:t>
      </w:r>
      <w:r>
        <w:rPr>
          <w:spacing w:val="-3"/>
          <w:w w:val="105"/>
          <w:sz w:val="21"/>
        </w:rPr>
        <w:t>that </w:t>
      </w:r>
      <w:r>
        <w:rPr>
          <w:w w:val="105"/>
          <w:sz w:val="21"/>
        </w:rPr>
        <w:t>causes</w:t>
      </w:r>
      <w:r>
        <w:rPr>
          <w:spacing w:val="-6"/>
          <w:w w:val="105"/>
          <w:sz w:val="21"/>
        </w:rPr>
        <w:t> </w:t>
      </w:r>
      <w:r>
        <w:rPr>
          <w:spacing w:val="-3"/>
          <w:w w:val="105"/>
          <w:sz w:val="21"/>
        </w:rPr>
        <w:t>substantial,</w:t>
      </w:r>
      <w:r>
        <w:rPr>
          <w:spacing w:val="-6"/>
          <w:w w:val="105"/>
          <w:sz w:val="21"/>
        </w:rPr>
        <w:t> </w:t>
      </w:r>
      <w:r>
        <w:rPr>
          <w:w w:val="105"/>
          <w:sz w:val="21"/>
        </w:rPr>
        <w:t>ongoing</w:t>
      </w:r>
      <w:r>
        <w:rPr>
          <w:spacing w:val="-6"/>
          <w:w w:val="105"/>
          <w:sz w:val="21"/>
        </w:rPr>
        <w:t> </w:t>
      </w:r>
      <w:r>
        <w:rPr>
          <w:w w:val="105"/>
          <w:sz w:val="21"/>
        </w:rPr>
        <w:t>and</w:t>
      </w:r>
      <w:r>
        <w:rPr>
          <w:spacing w:val="-6"/>
          <w:w w:val="105"/>
          <w:sz w:val="21"/>
        </w:rPr>
        <w:t> </w:t>
      </w:r>
      <w:r>
        <w:rPr>
          <w:spacing w:val="-3"/>
          <w:w w:val="105"/>
          <w:sz w:val="21"/>
        </w:rPr>
        <w:t>unreasonable</w:t>
      </w:r>
      <w:r>
        <w:rPr>
          <w:spacing w:val="-6"/>
          <w:w w:val="105"/>
          <w:sz w:val="21"/>
        </w:rPr>
        <w:t> </w:t>
      </w:r>
      <w:r>
        <w:rPr>
          <w:spacing w:val="-3"/>
          <w:w w:val="105"/>
          <w:sz w:val="21"/>
        </w:rPr>
        <w:t>interference</w:t>
      </w:r>
      <w:r>
        <w:rPr>
          <w:spacing w:val="-5"/>
          <w:w w:val="105"/>
          <w:sz w:val="21"/>
        </w:rPr>
        <w:t> </w:t>
      </w:r>
      <w:r>
        <w:rPr>
          <w:w w:val="105"/>
          <w:sz w:val="21"/>
        </w:rPr>
        <w:t>with</w:t>
      </w:r>
      <w:r>
        <w:rPr>
          <w:spacing w:val="-6"/>
          <w:w w:val="105"/>
          <w:sz w:val="21"/>
        </w:rPr>
        <w:t> </w:t>
      </w:r>
      <w:r>
        <w:rPr>
          <w:w w:val="105"/>
          <w:sz w:val="21"/>
        </w:rPr>
        <w:t>the</w:t>
      </w:r>
      <w:r>
        <w:rPr>
          <w:spacing w:val="-6"/>
          <w:w w:val="105"/>
          <w:sz w:val="21"/>
        </w:rPr>
        <w:t> </w:t>
      </w:r>
      <w:r>
        <w:rPr>
          <w:w w:val="105"/>
          <w:sz w:val="21"/>
        </w:rPr>
        <w:t>use</w:t>
      </w:r>
      <w:r>
        <w:rPr>
          <w:spacing w:val="-6"/>
          <w:w w:val="105"/>
          <w:sz w:val="21"/>
        </w:rPr>
        <w:t> </w:t>
      </w:r>
      <w:r>
        <w:rPr>
          <w:w w:val="105"/>
          <w:sz w:val="21"/>
        </w:rPr>
        <w:t>and</w:t>
      </w:r>
      <w:r>
        <w:rPr>
          <w:spacing w:val="-6"/>
          <w:w w:val="105"/>
          <w:sz w:val="21"/>
        </w:rPr>
        <w:t> </w:t>
      </w:r>
      <w:r>
        <w:rPr>
          <w:spacing w:val="-2"/>
          <w:w w:val="105"/>
          <w:sz w:val="21"/>
        </w:rPr>
        <w:t>enjoyment</w:t>
      </w:r>
      <w:r>
        <w:rPr>
          <w:spacing w:val="-5"/>
          <w:w w:val="105"/>
          <w:sz w:val="21"/>
        </w:rPr>
        <w:t> </w:t>
      </w:r>
      <w:r>
        <w:rPr>
          <w:w w:val="105"/>
          <w:sz w:val="21"/>
        </w:rPr>
        <w:t>of the </w:t>
      </w:r>
      <w:r>
        <w:rPr>
          <w:spacing w:val="-3"/>
          <w:w w:val="105"/>
          <w:sz w:val="21"/>
        </w:rPr>
        <w:t>neighbour’s </w:t>
      </w:r>
      <w:r>
        <w:rPr>
          <w:w w:val="105"/>
          <w:sz w:val="21"/>
        </w:rPr>
        <w:t>land.</w:t>
      </w:r>
      <w:r>
        <w:rPr>
          <w:w w:val="105"/>
          <w:position w:val="7"/>
          <w:sz w:val="12"/>
        </w:rPr>
        <w:t>87 </w:t>
      </w:r>
      <w:r>
        <w:rPr>
          <w:w w:val="105"/>
          <w:sz w:val="21"/>
        </w:rPr>
        <w:t>This applies </w:t>
      </w:r>
      <w:r>
        <w:rPr>
          <w:spacing w:val="-3"/>
          <w:w w:val="105"/>
          <w:sz w:val="21"/>
        </w:rPr>
        <w:t>to interference that </w:t>
      </w:r>
      <w:r>
        <w:rPr>
          <w:w w:val="105"/>
          <w:sz w:val="21"/>
        </w:rPr>
        <w:t>is an obstruction of </w:t>
      </w:r>
      <w:r>
        <w:rPr>
          <w:spacing w:val="-4"/>
          <w:w w:val="105"/>
          <w:sz w:val="21"/>
        </w:rPr>
        <w:t>sunlight </w:t>
      </w:r>
      <w:r>
        <w:rPr>
          <w:w w:val="105"/>
          <w:sz w:val="21"/>
        </w:rPr>
        <w:t>or a view only</w:t>
      </w:r>
      <w:r>
        <w:rPr>
          <w:spacing w:val="10"/>
          <w:w w:val="105"/>
          <w:sz w:val="21"/>
        </w:rPr>
        <w:t> </w:t>
      </w:r>
      <w:r>
        <w:rPr>
          <w:w w:val="105"/>
          <w:sz w:val="21"/>
        </w:rPr>
        <w:t>if:</w:t>
      </w:r>
    </w:p>
    <w:p>
      <w:pPr>
        <w:pStyle w:val="ListParagraph"/>
        <w:numPr>
          <w:ilvl w:val="2"/>
          <w:numId w:val="16"/>
        </w:numPr>
        <w:tabs>
          <w:tab w:pos="2721" w:val="left" w:leader="none"/>
          <w:tab w:pos="2722" w:val="left" w:leader="none"/>
        </w:tabs>
        <w:spacing w:line="240" w:lineRule="auto" w:before="126" w:after="0"/>
        <w:ind w:left="2721" w:right="0" w:hanging="340"/>
        <w:jc w:val="left"/>
        <w:rPr>
          <w:sz w:val="21"/>
        </w:rPr>
      </w:pPr>
      <w:r>
        <w:rPr>
          <w:w w:val="105"/>
          <w:sz w:val="21"/>
        </w:rPr>
        <w:t>the tree rises at least </w:t>
      </w:r>
      <w:r>
        <w:rPr>
          <w:spacing w:val="-4"/>
          <w:w w:val="105"/>
          <w:sz w:val="21"/>
        </w:rPr>
        <w:t>2.5m </w:t>
      </w:r>
      <w:r>
        <w:rPr>
          <w:w w:val="105"/>
          <w:sz w:val="21"/>
        </w:rPr>
        <w:t>above the </w:t>
      </w:r>
      <w:r>
        <w:rPr>
          <w:spacing w:val="-3"/>
          <w:w w:val="105"/>
          <w:sz w:val="21"/>
        </w:rPr>
        <w:t>ground, </w:t>
      </w:r>
      <w:r>
        <w:rPr>
          <w:w w:val="105"/>
          <w:sz w:val="21"/>
        </w:rPr>
        <w:t>and</w:t>
      </w:r>
    </w:p>
    <w:p>
      <w:pPr>
        <w:pStyle w:val="ListParagraph"/>
        <w:numPr>
          <w:ilvl w:val="2"/>
          <w:numId w:val="16"/>
        </w:numPr>
        <w:tabs>
          <w:tab w:pos="2721" w:val="left" w:leader="none"/>
          <w:tab w:pos="2722" w:val="left" w:leader="none"/>
        </w:tabs>
        <w:spacing w:line="240" w:lineRule="auto" w:before="88" w:after="0"/>
        <w:ind w:left="2721" w:right="0" w:hanging="340"/>
        <w:jc w:val="left"/>
        <w:rPr>
          <w:sz w:val="21"/>
        </w:rPr>
      </w:pPr>
      <w:r>
        <w:rPr>
          <w:sz w:val="21"/>
        </w:rPr>
        <w:t>the obstruction</w:t>
      </w:r>
      <w:r>
        <w:rPr>
          <w:spacing w:val="16"/>
          <w:sz w:val="21"/>
        </w:rPr>
        <w:t> </w:t>
      </w:r>
      <w:r>
        <w:rPr>
          <w:sz w:val="21"/>
        </w:rPr>
        <w:t>is—</w:t>
      </w:r>
    </w:p>
    <w:p>
      <w:pPr>
        <w:pStyle w:val="ListParagraph"/>
        <w:numPr>
          <w:ilvl w:val="0"/>
          <w:numId w:val="205"/>
        </w:numPr>
        <w:tabs>
          <w:tab w:pos="3061" w:val="left" w:leader="none"/>
          <w:tab w:pos="3062" w:val="left" w:leader="none"/>
        </w:tabs>
        <w:spacing w:line="242" w:lineRule="auto" w:before="89" w:after="0"/>
        <w:ind w:left="3061" w:right="2570" w:hanging="340"/>
        <w:jc w:val="left"/>
        <w:rPr>
          <w:sz w:val="21"/>
        </w:rPr>
      </w:pPr>
      <w:r>
        <w:rPr>
          <w:spacing w:val="-3"/>
          <w:w w:val="105"/>
          <w:sz w:val="21"/>
        </w:rPr>
        <w:t>severe </w:t>
      </w:r>
      <w:r>
        <w:rPr>
          <w:w w:val="105"/>
          <w:sz w:val="21"/>
        </w:rPr>
        <w:t>obstruction of </w:t>
      </w:r>
      <w:r>
        <w:rPr>
          <w:spacing w:val="-4"/>
          <w:w w:val="105"/>
          <w:sz w:val="21"/>
        </w:rPr>
        <w:t>sunlight </w:t>
      </w:r>
      <w:r>
        <w:rPr>
          <w:spacing w:val="-3"/>
          <w:w w:val="105"/>
          <w:sz w:val="21"/>
        </w:rPr>
        <w:t>to </w:t>
      </w:r>
      <w:r>
        <w:rPr>
          <w:w w:val="105"/>
          <w:sz w:val="21"/>
        </w:rPr>
        <w:t>a window or roof of a </w:t>
      </w:r>
      <w:r>
        <w:rPr>
          <w:spacing w:val="-3"/>
          <w:w w:val="105"/>
          <w:sz w:val="21"/>
        </w:rPr>
        <w:t>dwelling </w:t>
      </w:r>
      <w:r>
        <w:rPr>
          <w:w w:val="105"/>
          <w:sz w:val="21"/>
        </w:rPr>
        <w:t>on the </w:t>
      </w:r>
      <w:r>
        <w:rPr>
          <w:spacing w:val="-3"/>
          <w:w w:val="105"/>
          <w:sz w:val="21"/>
        </w:rPr>
        <w:t>neighbour’s land,</w:t>
      </w:r>
      <w:r>
        <w:rPr>
          <w:spacing w:val="14"/>
          <w:w w:val="105"/>
          <w:sz w:val="21"/>
        </w:rPr>
        <w:t> </w:t>
      </w:r>
      <w:r>
        <w:rPr>
          <w:w w:val="105"/>
          <w:sz w:val="21"/>
        </w:rPr>
        <w:t>or</w:t>
      </w:r>
    </w:p>
    <w:p>
      <w:pPr>
        <w:pStyle w:val="ListParagraph"/>
        <w:numPr>
          <w:ilvl w:val="0"/>
          <w:numId w:val="205"/>
        </w:numPr>
        <w:tabs>
          <w:tab w:pos="3062" w:val="left" w:leader="none"/>
        </w:tabs>
        <w:spacing w:line="242" w:lineRule="auto" w:before="87" w:after="0"/>
        <w:ind w:left="3061" w:right="1586" w:hanging="340"/>
        <w:jc w:val="left"/>
        <w:rPr>
          <w:sz w:val="12"/>
        </w:rPr>
      </w:pPr>
      <w:r>
        <w:rPr>
          <w:spacing w:val="-3"/>
          <w:w w:val="105"/>
          <w:sz w:val="21"/>
        </w:rPr>
        <w:t>severe </w:t>
      </w:r>
      <w:r>
        <w:rPr>
          <w:w w:val="105"/>
          <w:sz w:val="21"/>
        </w:rPr>
        <w:t>obstruction of a </w:t>
      </w:r>
      <w:r>
        <w:rPr>
          <w:spacing w:val="-4"/>
          <w:w w:val="105"/>
          <w:sz w:val="21"/>
        </w:rPr>
        <w:t>view, </w:t>
      </w:r>
      <w:r>
        <w:rPr>
          <w:spacing w:val="-3"/>
          <w:w w:val="105"/>
          <w:sz w:val="21"/>
        </w:rPr>
        <w:t>from </w:t>
      </w:r>
      <w:r>
        <w:rPr>
          <w:w w:val="105"/>
          <w:sz w:val="21"/>
        </w:rPr>
        <w:t>a </w:t>
      </w:r>
      <w:r>
        <w:rPr>
          <w:spacing w:val="-3"/>
          <w:w w:val="105"/>
          <w:sz w:val="21"/>
        </w:rPr>
        <w:t>dwelling </w:t>
      </w:r>
      <w:r>
        <w:rPr>
          <w:w w:val="105"/>
          <w:sz w:val="21"/>
        </w:rPr>
        <w:t>on the </w:t>
      </w:r>
      <w:r>
        <w:rPr>
          <w:spacing w:val="-3"/>
          <w:w w:val="105"/>
          <w:sz w:val="21"/>
        </w:rPr>
        <w:t>neighbour’s land, that </w:t>
      </w:r>
      <w:r>
        <w:rPr>
          <w:w w:val="105"/>
          <w:sz w:val="21"/>
        </w:rPr>
        <w:t>existed when the </w:t>
      </w:r>
      <w:r>
        <w:rPr>
          <w:spacing w:val="-3"/>
          <w:w w:val="105"/>
          <w:sz w:val="21"/>
        </w:rPr>
        <w:t>neighbour </w:t>
      </w:r>
      <w:r>
        <w:rPr>
          <w:w w:val="105"/>
          <w:sz w:val="21"/>
        </w:rPr>
        <w:t>took possession of the</w:t>
      </w:r>
      <w:r>
        <w:rPr>
          <w:spacing w:val="35"/>
          <w:w w:val="105"/>
          <w:sz w:val="21"/>
        </w:rPr>
        <w:t> </w:t>
      </w:r>
      <w:r>
        <w:rPr>
          <w:w w:val="105"/>
          <w:sz w:val="21"/>
        </w:rPr>
        <w:t>land.</w:t>
      </w:r>
      <w:r>
        <w:rPr>
          <w:w w:val="105"/>
          <w:position w:val="7"/>
          <w:sz w:val="12"/>
        </w:rPr>
        <w:t>88</w:t>
      </w:r>
    </w:p>
    <w:p>
      <w:pPr>
        <w:pStyle w:val="ListParagraph"/>
        <w:numPr>
          <w:ilvl w:val="1"/>
          <w:numId w:val="16"/>
        </w:numPr>
        <w:tabs>
          <w:tab w:pos="2381" w:val="left" w:leader="none"/>
          <w:tab w:pos="2382" w:val="left" w:leader="none"/>
        </w:tabs>
        <w:spacing w:line="242" w:lineRule="auto" w:before="87" w:after="0"/>
        <w:ind w:left="2381" w:right="1652" w:hanging="794"/>
        <w:jc w:val="left"/>
        <w:rPr>
          <w:sz w:val="21"/>
        </w:rPr>
      </w:pPr>
      <w:r>
        <w:rPr>
          <w:spacing w:val="-3"/>
          <w:w w:val="105"/>
          <w:sz w:val="21"/>
        </w:rPr>
        <w:t>Unreasonable interference may include </w:t>
      </w:r>
      <w:r>
        <w:rPr>
          <w:w w:val="105"/>
          <w:sz w:val="21"/>
        </w:rPr>
        <w:t>blocking of </w:t>
      </w:r>
      <w:r>
        <w:rPr>
          <w:spacing w:val="-4"/>
          <w:w w:val="105"/>
          <w:sz w:val="21"/>
        </w:rPr>
        <w:t>sunlight </w:t>
      </w:r>
      <w:r>
        <w:rPr>
          <w:spacing w:val="-3"/>
          <w:w w:val="105"/>
          <w:sz w:val="21"/>
        </w:rPr>
        <w:t>to </w:t>
      </w:r>
      <w:r>
        <w:rPr>
          <w:w w:val="105"/>
          <w:sz w:val="21"/>
        </w:rPr>
        <w:t>solar </w:t>
      </w:r>
      <w:r>
        <w:rPr>
          <w:spacing w:val="-3"/>
          <w:w w:val="105"/>
          <w:sz w:val="21"/>
        </w:rPr>
        <w:t>panelling, </w:t>
      </w:r>
      <w:r>
        <w:rPr>
          <w:w w:val="105"/>
          <w:sz w:val="21"/>
        </w:rPr>
        <w:t>blocking of </w:t>
      </w:r>
      <w:r>
        <w:rPr>
          <w:spacing w:val="-3"/>
          <w:w w:val="105"/>
          <w:sz w:val="21"/>
        </w:rPr>
        <w:t>light </w:t>
      </w:r>
      <w:r>
        <w:rPr>
          <w:w w:val="105"/>
          <w:sz w:val="21"/>
        </w:rPr>
        <w:t>which causes mould growth in the </w:t>
      </w:r>
      <w:r>
        <w:rPr>
          <w:spacing w:val="-3"/>
          <w:w w:val="105"/>
          <w:sz w:val="21"/>
        </w:rPr>
        <w:t>home, </w:t>
      </w:r>
      <w:r>
        <w:rPr>
          <w:w w:val="105"/>
          <w:sz w:val="21"/>
        </w:rPr>
        <w:t>or </w:t>
      </w:r>
      <w:r>
        <w:rPr>
          <w:spacing w:val="-3"/>
          <w:w w:val="105"/>
          <w:sz w:val="21"/>
        </w:rPr>
        <w:t>interruption to satellite</w:t>
      </w:r>
      <w:r>
        <w:rPr>
          <w:spacing w:val="-10"/>
          <w:w w:val="105"/>
          <w:sz w:val="21"/>
        </w:rPr>
        <w:t> </w:t>
      </w:r>
      <w:r>
        <w:rPr>
          <w:w w:val="105"/>
          <w:sz w:val="21"/>
        </w:rPr>
        <w:t>reception.</w:t>
      </w:r>
      <w:r>
        <w:rPr>
          <w:w w:val="105"/>
          <w:position w:val="7"/>
          <w:sz w:val="12"/>
        </w:rPr>
        <w:t>89</w:t>
      </w:r>
    </w:p>
    <w:p>
      <w:pPr>
        <w:pStyle w:val="ListParagraph"/>
        <w:numPr>
          <w:ilvl w:val="1"/>
          <w:numId w:val="16"/>
        </w:numPr>
        <w:tabs>
          <w:tab w:pos="2381" w:val="left" w:leader="none"/>
          <w:tab w:pos="2382" w:val="left" w:leader="none"/>
        </w:tabs>
        <w:spacing w:line="242" w:lineRule="auto" w:before="122" w:after="0"/>
        <w:ind w:left="2381" w:right="1810" w:hanging="794"/>
        <w:jc w:val="left"/>
        <w:rPr>
          <w:sz w:val="21"/>
        </w:rPr>
      </w:pPr>
      <w:r>
        <w:rPr>
          <w:w w:val="105"/>
          <w:sz w:val="21"/>
        </w:rPr>
        <w:t>The </w:t>
      </w:r>
      <w:r>
        <w:rPr>
          <w:spacing w:val="-8"/>
          <w:w w:val="105"/>
          <w:sz w:val="21"/>
        </w:rPr>
        <w:t>2015 </w:t>
      </w:r>
      <w:r>
        <w:rPr>
          <w:w w:val="105"/>
          <w:sz w:val="21"/>
        </w:rPr>
        <w:t>statutory review of the </w:t>
      </w:r>
      <w:r>
        <w:rPr>
          <w:spacing w:val="-3"/>
          <w:w w:val="105"/>
          <w:sz w:val="21"/>
        </w:rPr>
        <w:t>Queensland </w:t>
      </w:r>
      <w:r>
        <w:rPr>
          <w:w w:val="105"/>
          <w:sz w:val="21"/>
        </w:rPr>
        <w:t>Act recommended </w:t>
      </w:r>
      <w:r>
        <w:rPr>
          <w:spacing w:val="-3"/>
          <w:w w:val="105"/>
          <w:sz w:val="21"/>
        </w:rPr>
        <w:t>that </w:t>
      </w:r>
      <w:r>
        <w:rPr>
          <w:w w:val="105"/>
          <w:sz w:val="21"/>
        </w:rPr>
        <w:t>the Act be amended </w:t>
      </w:r>
      <w:r>
        <w:rPr>
          <w:spacing w:val="-3"/>
          <w:w w:val="105"/>
          <w:sz w:val="21"/>
        </w:rPr>
        <w:t>to limit </w:t>
      </w:r>
      <w:r>
        <w:rPr>
          <w:w w:val="105"/>
          <w:sz w:val="21"/>
        </w:rPr>
        <w:t>its scope </w:t>
      </w:r>
      <w:r>
        <w:rPr>
          <w:spacing w:val="-3"/>
          <w:w w:val="105"/>
          <w:sz w:val="21"/>
        </w:rPr>
        <w:t>to </w:t>
      </w:r>
      <w:r>
        <w:rPr>
          <w:spacing w:val="-4"/>
          <w:w w:val="105"/>
          <w:sz w:val="21"/>
        </w:rPr>
        <w:t>sunlight </w:t>
      </w:r>
      <w:r>
        <w:rPr>
          <w:spacing w:val="-3"/>
          <w:w w:val="105"/>
          <w:sz w:val="21"/>
        </w:rPr>
        <w:t>that </w:t>
      </w:r>
      <w:r>
        <w:rPr>
          <w:w w:val="105"/>
          <w:sz w:val="21"/>
        </w:rPr>
        <w:t>existed when the </w:t>
      </w:r>
      <w:r>
        <w:rPr>
          <w:spacing w:val="-3"/>
          <w:w w:val="105"/>
          <w:sz w:val="21"/>
        </w:rPr>
        <w:t>neighbour </w:t>
      </w:r>
      <w:r>
        <w:rPr>
          <w:w w:val="105"/>
          <w:sz w:val="21"/>
        </w:rPr>
        <w:t>took possession of the </w:t>
      </w:r>
      <w:r>
        <w:rPr>
          <w:spacing w:val="-3"/>
          <w:w w:val="105"/>
          <w:sz w:val="21"/>
        </w:rPr>
        <w:t>land, </w:t>
      </w:r>
      <w:r>
        <w:rPr>
          <w:w w:val="105"/>
          <w:sz w:val="21"/>
        </w:rPr>
        <w:t>as is now provided </w:t>
      </w:r>
      <w:r>
        <w:rPr>
          <w:spacing w:val="-3"/>
          <w:w w:val="105"/>
          <w:sz w:val="21"/>
        </w:rPr>
        <w:t>for </w:t>
      </w:r>
      <w:r>
        <w:rPr>
          <w:w w:val="105"/>
          <w:sz w:val="21"/>
        </w:rPr>
        <w:t>in section </w:t>
      </w:r>
      <w:r>
        <w:rPr>
          <w:spacing w:val="2"/>
          <w:w w:val="105"/>
          <w:sz w:val="21"/>
        </w:rPr>
        <w:t>66(3)(ii) </w:t>
      </w:r>
      <w:r>
        <w:rPr>
          <w:w w:val="105"/>
          <w:sz w:val="21"/>
        </w:rPr>
        <w:t>of the Act. It also recommended </w:t>
      </w:r>
      <w:r>
        <w:rPr>
          <w:spacing w:val="-3"/>
          <w:w w:val="105"/>
          <w:sz w:val="21"/>
        </w:rPr>
        <w:t>placing </w:t>
      </w:r>
      <w:r>
        <w:rPr>
          <w:w w:val="105"/>
          <w:sz w:val="21"/>
        </w:rPr>
        <w:t>a time </w:t>
      </w:r>
      <w:r>
        <w:rPr>
          <w:spacing w:val="-3"/>
          <w:w w:val="105"/>
          <w:sz w:val="21"/>
        </w:rPr>
        <w:t>limit </w:t>
      </w:r>
      <w:r>
        <w:rPr>
          <w:w w:val="105"/>
          <w:sz w:val="21"/>
        </w:rPr>
        <w:t>of six years on an </w:t>
      </w:r>
      <w:r>
        <w:rPr>
          <w:spacing w:val="-3"/>
          <w:w w:val="105"/>
          <w:sz w:val="21"/>
        </w:rPr>
        <w:t>applicant to </w:t>
      </w:r>
      <w:r>
        <w:rPr>
          <w:w w:val="105"/>
          <w:sz w:val="21"/>
        </w:rPr>
        <w:t>remedy the obstruction of </w:t>
      </w:r>
      <w:r>
        <w:rPr>
          <w:spacing w:val="-4"/>
          <w:w w:val="105"/>
          <w:sz w:val="21"/>
        </w:rPr>
        <w:t>sunlight </w:t>
      </w:r>
      <w:r>
        <w:rPr>
          <w:w w:val="105"/>
          <w:sz w:val="21"/>
        </w:rPr>
        <w:t>or views.</w:t>
      </w:r>
      <w:r>
        <w:rPr>
          <w:w w:val="105"/>
          <w:position w:val="7"/>
          <w:sz w:val="12"/>
        </w:rPr>
        <w:t>90 </w:t>
      </w:r>
      <w:r>
        <w:rPr>
          <w:w w:val="105"/>
          <w:sz w:val="21"/>
        </w:rPr>
        <w:t>These </w:t>
      </w:r>
      <w:r>
        <w:rPr>
          <w:spacing w:val="-3"/>
          <w:w w:val="105"/>
          <w:sz w:val="21"/>
        </w:rPr>
        <w:t>recommendations were </w:t>
      </w:r>
      <w:r>
        <w:rPr>
          <w:w w:val="105"/>
          <w:sz w:val="21"/>
        </w:rPr>
        <w:t>in response </w:t>
      </w:r>
      <w:r>
        <w:rPr>
          <w:spacing w:val="-3"/>
          <w:w w:val="105"/>
          <w:sz w:val="21"/>
        </w:rPr>
        <w:t>to concerns </w:t>
      </w:r>
      <w:r>
        <w:rPr>
          <w:spacing w:val="-2"/>
          <w:w w:val="105"/>
          <w:sz w:val="21"/>
        </w:rPr>
        <w:t>raised </w:t>
      </w:r>
      <w:r>
        <w:rPr>
          <w:w w:val="105"/>
          <w:sz w:val="21"/>
        </w:rPr>
        <w:t>by </w:t>
      </w:r>
      <w:r>
        <w:rPr>
          <w:spacing w:val="-7"/>
          <w:w w:val="105"/>
          <w:sz w:val="21"/>
        </w:rPr>
        <w:t>QCAT,</w:t>
      </w:r>
      <w:r>
        <w:rPr>
          <w:spacing w:val="-22"/>
          <w:w w:val="105"/>
          <w:sz w:val="21"/>
        </w:rPr>
        <w:t> </w:t>
      </w:r>
      <w:r>
        <w:rPr>
          <w:w w:val="105"/>
          <w:sz w:val="21"/>
        </w:rPr>
        <w:t>namely:</w:t>
      </w:r>
    </w:p>
    <w:p>
      <w:pPr>
        <w:spacing w:line="254" w:lineRule="auto" w:before="135"/>
        <w:ind w:left="2834" w:right="1710" w:firstLine="0"/>
        <w:jc w:val="left"/>
        <w:rPr>
          <w:sz w:val="11"/>
        </w:rPr>
      </w:pPr>
      <w:r>
        <w:rPr>
          <w:w w:val="105"/>
          <w:sz w:val="20"/>
        </w:rPr>
        <w:t>a neighbour should not be able to install solar panels and be entitled to apply to QCAT to have trees removed that shaded the roof at the time the neighbour installed the panels.</w:t>
      </w:r>
      <w:r>
        <w:rPr>
          <w:w w:val="105"/>
          <w:position w:val="7"/>
          <w:sz w:val="11"/>
        </w:rPr>
        <w:t>91</w:t>
      </w:r>
    </w:p>
    <w:p>
      <w:pPr>
        <w:pStyle w:val="ListParagraph"/>
        <w:numPr>
          <w:ilvl w:val="1"/>
          <w:numId w:val="16"/>
        </w:numPr>
        <w:tabs>
          <w:tab w:pos="2380" w:val="left" w:leader="none"/>
          <w:tab w:pos="2381" w:val="left" w:leader="none"/>
        </w:tabs>
        <w:spacing w:line="242" w:lineRule="auto" w:before="115" w:after="0"/>
        <w:ind w:left="2381" w:right="1850" w:hanging="794"/>
        <w:jc w:val="left"/>
        <w:rPr>
          <w:sz w:val="21"/>
        </w:rPr>
      </w:pPr>
      <w:r>
        <w:rPr>
          <w:spacing w:val="-4"/>
          <w:w w:val="105"/>
          <w:sz w:val="21"/>
        </w:rPr>
        <w:t>QCAT </w:t>
      </w:r>
      <w:r>
        <w:rPr>
          <w:spacing w:val="-3"/>
          <w:w w:val="105"/>
          <w:sz w:val="21"/>
        </w:rPr>
        <w:t>informed </w:t>
      </w:r>
      <w:r>
        <w:rPr>
          <w:w w:val="105"/>
          <w:sz w:val="21"/>
        </w:rPr>
        <w:t>the </w:t>
      </w:r>
      <w:r>
        <w:rPr>
          <w:spacing w:val="-3"/>
          <w:w w:val="105"/>
          <w:sz w:val="21"/>
        </w:rPr>
        <w:t>Commission that </w:t>
      </w:r>
      <w:r>
        <w:rPr>
          <w:w w:val="105"/>
          <w:sz w:val="21"/>
        </w:rPr>
        <w:t>the obstruction of </w:t>
      </w:r>
      <w:r>
        <w:rPr>
          <w:spacing w:val="-4"/>
          <w:w w:val="105"/>
          <w:sz w:val="21"/>
        </w:rPr>
        <w:t>sunlight </w:t>
      </w:r>
      <w:r>
        <w:rPr>
          <w:w w:val="105"/>
          <w:sz w:val="21"/>
        </w:rPr>
        <w:t>and view is one of the most </w:t>
      </w:r>
      <w:r>
        <w:rPr>
          <w:spacing w:val="-2"/>
          <w:w w:val="105"/>
          <w:sz w:val="21"/>
        </w:rPr>
        <w:t>common </w:t>
      </w:r>
      <w:r>
        <w:rPr>
          <w:spacing w:val="-3"/>
          <w:w w:val="105"/>
          <w:sz w:val="21"/>
        </w:rPr>
        <w:t>reasons for </w:t>
      </w:r>
      <w:r>
        <w:rPr>
          <w:w w:val="105"/>
          <w:sz w:val="21"/>
        </w:rPr>
        <w:t>tree </w:t>
      </w:r>
      <w:r>
        <w:rPr>
          <w:spacing w:val="-3"/>
          <w:w w:val="105"/>
          <w:sz w:val="21"/>
        </w:rPr>
        <w:t>disputes brought </w:t>
      </w:r>
      <w:r>
        <w:rPr>
          <w:w w:val="105"/>
          <w:sz w:val="21"/>
        </w:rPr>
        <w:t>in</w:t>
      </w:r>
      <w:r>
        <w:rPr>
          <w:spacing w:val="6"/>
          <w:w w:val="105"/>
          <w:sz w:val="21"/>
        </w:rPr>
        <w:t> </w:t>
      </w:r>
      <w:r>
        <w:rPr>
          <w:spacing w:val="-6"/>
          <w:w w:val="105"/>
          <w:sz w:val="21"/>
        </w:rPr>
        <w:t>QCAT.</w:t>
      </w:r>
      <w:r>
        <w:rPr>
          <w:spacing w:val="-6"/>
          <w:w w:val="105"/>
          <w:position w:val="7"/>
          <w:sz w:val="12"/>
        </w:rPr>
        <w:t>92</w:t>
      </w:r>
    </w:p>
    <w:p>
      <w:pPr>
        <w:pStyle w:val="ListParagraph"/>
        <w:numPr>
          <w:ilvl w:val="1"/>
          <w:numId w:val="16"/>
        </w:numPr>
        <w:tabs>
          <w:tab w:pos="2381" w:val="left" w:leader="none"/>
          <w:tab w:pos="2382" w:val="left" w:leader="none"/>
        </w:tabs>
        <w:spacing w:line="242" w:lineRule="auto" w:before="122" w:after="0"/>
        <w:ind w:left="2381" w:right="1901" w:hanging="794"/>
        <w:jc w:val="left"/>
        <w:rPr>
          <w:sz w:val="21"/>
        </w:rPr>
      </w:pPr>
      <w:r>
        <w:rPr>
          <w:spacing w:val="-4"/>
          <w:w w:val="105"/>
          <w:sz w:val="21"/>
        </w:rPr>
        <w:t>Similarly, </w:t>
      </w:r>
      <w:r>
        <w:rPr>
          <w:w w:val="105"/>
          <w:sz w:val="21"/>
        </w:rPr>
        <w:t>in </w:t>
      </w:r>
      <w:r>
        <w:rPr>
          <w:spacing w:val="-5"/>
          <w:w w:val="105"/>
          <w:sz w:val="21"/>
        </w:rPr>
        <w:t>Tasmania, </w:t>
      </w:r>
      <w:r>
        <w:rPr>
          <w:spacing w:val="-3"/>
          <w:w w:val="105"/>
          <w:sz w:val="21"/>
        </w:rPr>
        <w:t>substantial, </w:t>
      </w:r>
      <w:r>
        <w:rPr>
          <w:w w:val="105"/>
          <w:sz w:val="21"/>
        </w:rPr>
        <w:t>ongoing and </w:t>
      </w:r>
      <w:r>
        <w:rPr>
          <w:spacing w:val="-3"/>
          <w:w w:val="105"/>
          <w:sz w:val="21"/>
        </w:rPr>
        <w:t>unreasonable interference </w:t>
      </w:r>
      <w:r>
        <w:rPr>
          <w:w w:val="105"/>
          <w:sz w:val="21"/>
        </w:rPr>
        <w:t>with the use and </w:t>
      </w:r>
      <w:r>
        <w:rPr>
          <w:spacing w:val="-2"/>
          <w:w w:val="105"/>
          <w:sz w:val="21"/>
        </w:rPr>
        <w:t>enjoyment </w:t>
      </w:r>
      <w:r>
        <w:rPr>
          <w:w w:val="105"/>
          <w:sz w:val="21"/>
        </w:rPr>
        <w:t>of </w:t>
      </w:r>
      <w:r>
        <w:rPr>
          <w:spacing w:val="-3"/>
          <w:w w:val="105"/>
          <w:sz w:val="21"/>
        </w:rPr>
        <w:t>land captures </w:t>
      </w:r>
      <w:r>
        <w:rPr>
          <w:spacing w:val="-4"/>
          <w:w w:val="105"/>
          <w:sz w:val="21"/>
        </w:rPr>
        <w:t>sunlight </w:t>
      </w:r>
      <w:r>
        <w:rPr>
          <w:w w:val="105"/>
          <w:sz w:val="21"/>
        </w:rPr>
        <w:t>being severely obstructed </w:t>
      </w:r>
      <w:r>
        <w:rPr>
          <w:spacing w:val="-3"/>
          <w:w w:val="105"/>
          <w:sz w:val="21"/>
        </w:rPr>
        <w:t>from</w:t>
      </w:r>
      <w:r>
        <w:rPr>
          <w:spacing w:val="-15"/>
          <w:w w:val="105"/>
          <w:sz w:val="21"/>
        </w:rPr>
        <w:t> </w:t>
      </w:r>
      <w:r>
        <w:rPr>
          <w:w w:val="105"/>
          <w:sz w:val="21"/>
        </w:rPr>
        <w:t>reaching:</w:t>
      </w:r>
    </w:p>
    <w:p>
      <w:pPr>
        <w:pStyle w:val="ListParagraph"/>
        <w:numPr>
          <w:ilvl w:val="2"/>
          <w:numId w:val="16"/>
        </w:numPr>
        <w:tabs>
          <w:tab w:pos="2721" w:val="left" w:leader="none"/>
          <w:tab w:pos="2722" w:val="left" w:leader="none"/>
        </w:tabs>
        <w:spacing w:line="240" w:lineRule="auto" w:before="122" w:after="0"/>
        <w:ind w:left="2721" w:right="0" w:hanging="340"/>
        <w:jc w:val="left"/>
        <w:rPr>
          <w:sz w:val="21"/>
        </w:rPr>
      </w:pPr>
      <w:r>
        <w:rPr>
          <w:w w:val="105"/>
          <w:sz w:val="21"/>
        </w:rPr>
        <w:t>a</w:t>
      </w:r>
      <w:r>
        <w:rPr>
          <w:spacing w:val="4"/>
          <w:w w:val="105"/>
          <w:sz w:val="21"/>
        </w:rPr>
        <w:t> </w:t>
      </w:r>
      <w:r>
        <w:rPr>
          <w:w w:val="105"/>
          <w:sz w:val="21"/>
        </w:rPr>
        <w:t>window</w:t>
      </w:r>
      <w:r>
        <w:rPr>
          <w:spacing w:val="5"/>
          <w:w w:val="105"/>
          <w:sz w:val="21"/>
        </w:rPr>
        <w:t> </w:t>
      </w:r>
      <w:r>
        <w:rPr>
          <w:spacing w:val="-3"/>
          <w:w w:val="105"/>
          <w:sz w:val="21"/>
        </w:rPr>
        <w:t>(including</w:t>
      </w:r>
      <w:r>
        <w:rPr>
          <w:spacing w:val="4"/>
          <w:w w:val="105"/>
          <w:sz w:val="21"/>
        </w:rPr>
        <w:t> </w:t>
      </w:r>
      <w:r>
        <w:rPr>
          <w:w w:val="105"/>
          <w:sz w:val="21"/>
        </w:rPr>
        <w:t>a</w:t>
      </w:r>
      <w:r>
        <w:rPr>
          <w:spacing w:val="5"/>
          <w:w w:val="105"/>
          <w:sz w:val="21"/>
        </w:rPr>
        <w:t> </w:t>
      </w:r>
      <w:r>
        <w:rPr>
          <w:w w:val="105"/>
          <w:sz w:val="21"/>
        </w:rPr>
        <w:t>window</w:t>
      </w:r>
      <w:r>
        <w:rPr>
          <w:spacing w:val="4"/>
          <w:w w:val="105"/>
          <w:sz w:val="21"/>
        </w:rPr>
        <w:t> </w:t>
      </w:r>
      <w:r>
        <w:rPr>
          <w:w w:val="105"/>
          <w:sz w:val="21"/>
        </w:rPr>
        <w:t>in</w:t>
      </w:r>
      <w:r>
        <w:rPr>
          <w:spacing w:val="5"/>
          <w:w w:val="105"/>
          <w:sz w:val="21"/>
        </w:rPr>
        <w:t> </w:t>
      </w:r>
      <w:r>
        <w:rPr>
          <w:w w:val="105"/>
          <w:sz w:val="21"/>
        </w:rPr>
        <w:t>a</w:t>
      </w:r>
      <w:r>
        <w:rPr>
          <w:spacing w:val="4"/>
          <w:w w:val="105"/>
          <w:sz w:val="21"/>
        </w:rPr>
        <w:t> </w:t>
      </w:r>
      <w:r>
        <w:rPr>
          <w:w w:val="105"/>
          <w:sz w:val="21"/>
        </w:rPr>
        <w:t>door)</w:t>
      </w:r>
      <w:r>
        <w:rPr>
          <w:spacing w:val="5"/>
          <w:w w:val="105"/>
          <w:sz w:val="21"/>
        </w:rPr>
        <w:t> </w:t>
      </w:r>
      <w:r>
        <w:rPr>
          <w:w w:val="105"/>
          <w:sz w:val="21"/>
        </w:rPr>
        <w:t>of</w:t>
      </w:r>
      <w:r>
        <w:rPr>
          <w:spacing w:val="4"/>
          <w:w w:val="105"/>
          <w:sz w:val="21"/>
        </w:rPr>
        <w:t> </w:t>
      </w:r>
      <w:r>
        <w:rPr>
          <w:w w:val="105"/>
          <w:sz w:val="21"/>
        </w:rPr>
        <w:t>a</w:t>
      </w:r>
      <w:r>
        <w:rPr>
          <w:spacing w:val="5"/>
          <w:w w:val="105"/>
          <w:sz w:val="21"/>
        </w:rPr>
        <w:t> </w:t>
      </w:r>
      <w:r>
        <w:rPr>
          <w:spacing w:val="-3"/>
          <w:w w:val="105"/>
          <w:sz w:val="21"/>
        </w:rPr>
        <w:t>building</w:t>
      </w:r>
      <w:r>
        <w:rPr>
          <w:spacing w:val="4"/>
          <w:w w:val="105"/>
          <w:sz w:val="21"/>
        </w:rPr>
        <w:t> </w:t>
      </w:r>
      <w:r>
        <w:rPr>
          <w:w w:val="105"/>
          <w:sz w:val="21"/>
        </w:rPr>
        <w:t>on</w:t>
      </w:r>
      <w:r>
        <w:rPr>
          <w:spacing w:val="5"/>
          <w:w w:val="105"/>
          <w:sz w:val="21"/>
        </w:rPr>
        <w:t> </w:t>
      </w:r>
      <w:r>
        <w:rPr>
          <w:w w:val="105"/>
          <w:sz w:val="21"/>
        </w:rPr>
        <w:t>the</w:t>
      </w:r>
      <w:r>
        <w:rPr>
          <w:spacing w:val="4"/>
          <w:w w:val="105"/>
          <w:sz w:val="21"/>
        </w:rPr>
        <w:t> </w:t>
      </w:r>
      <w:r>
        <w:rPr>
          <w:w w:val="105"/>
          <w:sz w:val="21"/>
        </w:rPr>
        <w:t>affected</w:t>
      </w:r>
      <w:r>
        <w:rPr>
          <w:spacing w:val="5"/>
          <w:w w:val="105"/>
          <w:sz w:val="21"/>
        </w:rPr>
        <w:t> </w:t>
      </w:r>
      <w:r>
        <w:rPr>
          <w:spacing w:val="-3"/>
          <w:w w:val="105"/>
          <w:sz w:val="21"/>
        </w:rPr>
        <w:t>land,</w:t>
      </w:r>
      <w:r>
        <w:rPr>
          <w:spacing w:val="4"/>
          <w:w w:val="105"/>
          <w:sz w:val="21"/>
        </w:rPr>
        <w:t> </w:t>
      </w:r>
      <w:r>
        <w:rPr>
          <w:w w:val="105"/>
          <w:sz w:val="21"/>
        </w:rPr>
        <w:t>or</w:t>
      </w:r>
    </w:p>
    <w:p>
      <w:pPr>
        <w:pStyle w:val="ListParagraph"/>
        <w:numPr>
          <w:ilvl w:val="2"/>
          <w:numId w:val="16"/>
        </w:numPr>
        <w:tabs>
          <w:tab w:pos="2721" w:val="left" w:leader="none"/>
          <w:tab w:pos="2722" w:val="left" w:leader="none"/>
        </w:tabs>
        <w:spacing w:line="242" w:lineRule="auto" w:before="89" w:after="0"/>
        <w:ind w:left="2721" w:right="1689" w:hanging="340"/>
        <w:jc w:val="left"/>
        <w:rPr>
          <w:sz w:val="21"/>
        </w:rPr>
      </w:pPr>
      <w:r>
        <w:rPr>
          <w:w w:val="105"/>
          <w:sz w:val="21"/>
        </w:rPr>
        <w:t>a</w:t>
      </w:r>
      <w:r>
        <w:rPr>
          <w:spacing w:val="-5"/>
          <w:w w:val="105"/>
          <w:sz w:val="21"/>
        </w:rPr>
        <w:t> </w:t>
      </w:r>
      <w:r>
        <w:rPr>
          <w:w w:val="105"/>
          <w:sz w:val="21"/>
        </w:rPr>
        <w:t>solar</w:t>
      </w:r>
      <w:r>
        <w:rPr>
          <w:spacing w:val="-5"/>
          <w:w w:val="105"/>
          <w:sz w:val="21"/>
        </w:rPr>
        <w:t> </w:t>
      </w:r>
      <w:r>
        <w:rPr>
          <w:spacing w:val="-3"/>
          <w:w w:val="105"/>
          <w:sz w:val="21"/>
        </w:rPr>
        <w:t>photovoltaic</w:t>
      </w:r>
      <w:r>
        <w:rPr>
          <w:spacing w:val="-5"/>
          <w:w w:val="105"/>
          <w:sz w:val="21"/>
        </w:rPr>
        <w:t> </w:t>
      </w:r>
      <w:r>
        <w:rPr>
          <w:spacing w:val="-3"/>
          <w:w w:val="105"/>
          <w:sz w:val="21"/>
        </w:rPr>
        <w:t>panel,</w:t>
      </w:r>
      <w:r>
        <w:rPr>
          <w:spacing w:val="-5"/>
          <w:w w:val="105"/>
          <w:sz w:val="21"/>
        </w:rPr>
        <w:t> </w:t>
      </w:r>
      <w:r>
        <w:rPr>
          <w:w w:val="105"/>
          <w:sz w:val="21"/>
        </w:rPr>
        <w:t>a</w:t>
      </w:r>
      <w:r>
        <w:rPr>
          <w:spacing w:val="-5"/>
          <w:w w:val="105"/>
          <w:sz w:val="21"/>
        </w:rPr>
        <w:t> </w:t>
      </w:r>
      <w:r>
        <w:rPr>
          <w:w w:val="105"/>
          <w:sz w:val="21"/>
        </w:rPr>
        <w:t>solar</w:t>
      </w:r>
      <w:r>
        <w:rPr>
          <w:spacing w:val="-5"/>
          <w:w w:val="105"/>
          <w:sz w:val="21"/>
        </w:rPr>
        <w:t> </w:t>
      </w:r>
      <w:r>
        <w:rPr>
          <w:w w:val="105"/>
          <w:sz w:val="21"/>
        </w:rPr>
        <w:t>collector</w:t>
      </w:r>
      <w:r>
        <w:rPr>
          <w:spacing w:val="-5"/>
          <w:w w:val="105"/>
          <w:sz w:val="21"/>
        </w:rPr>
        <w:t> </w:t>
      </w:r>
      <w:r>
        <w:rPr>
          <w:spacing w:val="-3"/>
          <w:w w:val="105"/>
          <w:sz w:val="21"/>
        </w:rPr>
        <w:t>for</w:t>
      </w:r>
      <w:r>
        <w:rPr>
          <w:spacing w:val="-5"/>
          <w:w w:val="105"/>
          <w:sz w:val="21"/>
        </w:rPr>
        <w:t> </w:t>
      </w:r>
      <w:r>
        <w:rPr>
          <w:w w:val="105"/>
          <w:sz w:val="21"/>
        </w:rPr>
        <w:t>a</w:t>
      </w:r>
      <w:r>
        <w:rPr>
          <w:spacing w:val="-4"/>
          <w:w w:val="105"/>
          <w:sz w:val="21"/>
        </w:rPr>
        <w:t> </w:t>
      </w:r>
      <w:r>
        <w:rPr>
          <w:w w:val="105"/>
          <w:sz w:val="21"/>
        </w:rPr>
        <w:t>solar</w:t>
      </w:r>
      <w:r>
        <w:rPr>
          <w:spacing w:val="-5"/>
          <w:w w:val="105"/>
          <w:sz w:val="21"/>
        </w:rPr>
        <w:t> </w:t>
      </w:r>
      <w:r>
        <w:rPr>
          <w:spacing w:val="-2"/>
          <w:w w:val="105"/>
          <w:sz w:val="21"/>
        </w:rPr>
        <w:t>hot</w:t>
      </w:r>
      <w:r>
        <w:rPr>
          <w:spacing w:val="-5"/>
          <w:w w:val="105"/>
          <w:sz w:val="21"/>
        </w:rPr>
        <w:t> </w:t>
      </w:r>
      <w:r>
        <w:rPr>
          <w:spacing w:val="-3"/>
          <w:w w:val="105"/>
          <w:sz w:val="21"/>
        </w:rPr>
        <w:t>water</w:t>
      </w:r>
      <w:r>
        <w:rPr>
          <w:spacing w:val="-5"/>
          <w:w w:val="105"/>
          <w:sz w:val="21"/>
        </w:rPr>
        <w:t> </w:t>
      </w:r>
      <w:r>
        <w:rPr>
          <w:w w:val="105"/>
          <w:sz w:val="21"/>
        </w:rPr>
        <w:t>system,</w:t>
      </w:r>
      <w:r>
        <w:rPr>
          <w:spacing w:val="-5"/>
          <w:w w:val="105"/>
          <w:sz w:val="21"/>
        </w:rPr>
        <w:t> </w:t>
      </w:r>
      <w:r>
        <w:rPr>
          <w:w w:val="105"/>
          <w:sz w:val="21"/>
        </w:rPr>
        <w:t>or</w:t>
      </w:r>
      <w:r>
        <w:rPr>
          <w:spacing w:val="-5"/>
          <w:w w:val="105"/>
          <w:sz w:val="21"/>
        </w:rPr>
        <w:t> </w:t>
      </w:r>
      <w:r>
        <w:rPr>
          <w:w w:val="105"/>
          <w:sz w:val="21"/>
        </w:rPr>
        <w:t>a</w:t>
      </w:r>
      <w:r>
        <w:rPr>
          <w:spacing w:val="-5"/>
          <w:w w:val="105"/>
          <w:sz w:val="21"/>
        </w:rPr>
        <w:t> </w:t>
      </w:r>
      <w:r>
        <w:rPr>
          <w:spacing w:val="-3"/>
          <w:w w:val="105"/>
          <w:sz w:val="21"/>
        </w:rPr>
        <w:t>skylight, situated </w:t>
      </w:r>
      <w:r>
        <w:rPr>
          <w:w w:val="105"/>
          <w:sz w:val="21"/>
        </w:rPr>
        <w:t>on a roof of a </w:t>
      </w:r>
      <w:r>
        <w:rPr>
          <w:spacing w:val="-3"/>
          <w:w w:val="105"/>
          <w:sz w:val="21"/>
        </w:rPr>
        <w:t>building </w:t>
      </w:r>
      <w:r>
        <w:rPr>
          <w:w w:val="105"/>
          <w:sz w:val="21"/>
        </w:rPr>
        <w:t>on the affected</w:t>
      </w:r>
      <w:r>
        <w:rPr>
          <w:spacing w:val="5"/>
          <w:w w:val="105"/>
          <w:sz w:val="21"/>
        </w:rPr>
        <w:t> </w:t>
      </w:r>
      <w:r>
        <w:rPr>
          <w:spacing w:val="-4"/>
          <w:w w:val="105"/>
          <w:sz w:val="21"/>
        </w:rPr>
        <w:t>land.</w:t>
      </w:r>
      <w:r>
        <w:rPr>
          <w:spacing w:val="-4"/>
          <w:w w:val="105"/>
          <w:position w:val="7"/>
          <w:sz w:val="12"/>
        </w:rPr>
        <w:t>93</w:t>
      </w:r>
    </w:p>
    <w:p>
      <w:pPr>
        <w:pStyle w:val="ListParagraph"/>
        <w:numPr>
          <w:ilvl w:val="1"/>
          <w:numId w:val="16"/>
        </w:numPr>
        <w:tabs>
          <w:tab w:pos="2381" w:val="left" w:leader="none"/>
          <w:tab w:pos="2382" w:val="left" w:leader="none"/>
        </w:tabs>
        <w:spacing w:line="242" w:lineRule="auto" w:before="87" w:after="0"/>
        <w:ind w:left="2381" w:right="1658" w:hanging="794"/>
        <w:jc w:val="left"/>
        <w:rPr>
          <w:sz w:val="21"/>
        </w:rPr>
      </w:pPr>
      <w:r>
        <w:rPr>
          <w:sz w:val="21"/>
        </w:rPr>
        <w:t>This </w:t>
      </w:r>
      <w:r>
        <w:rPr>
          <w:spacing w:val="-3"/>
          <w:sz w:val="21"/>
        </w:rPr>
        <w:t>legislative reform </w:t>
      </w:r>
      <w:r>
        <w:rPr>
          <w:sz w:val="21"/>
        </w:rPr>
        <w:t>arose </w:t>
      </w:r>
      <w:r>
        <w:rPr>
          <w:spacing w:val="-3"/>
          <w:sz w:val="21"/>
        </w:rPr>
        <w:t>from </w:t>
      </w:r>
      <w:r>
        <w:rPr>
          <w:sz w:val="21"/>
        </w:rPr>
        <w:t>the </w:t>
      </w:r>
      <w:r>
        <w:rPr>
          <w:spacing w:val="-5"/>
          <w:sz w:val="21"/>
        </w:rPr>
        <w:t>Tasmania </w:t>
      </w:r>
      <w:r>
        <w:rPr>
          <w:sz w:val="21"/>
        </w:rPr>
        <w:t>Law </w:t>
      </w:r>
      <w:r>
        <w:rPr>
          <w:spacing w:val="-3"/>
          <w:sz w:val="21"/>
        </w:rPr>
        <w:t>Reform Institute’s examination </w:t>
      </w:r>
      <w:r>
        <w:rPr>
          <w:sz w:val="21"/>
        </w:rPr>
        <w:t>of the </w:t>
      </w:r>
      <w:r>
        <w:rPr>
          <w:spacing w:val="-3"/>
          <w:sz w:val="21"/>
        </w:rPr>
        <w:t>dispute </w:t>
      </w:r>
      <w:r>
        <w:rPr>
          <w:sz w:val="21"/>
        </w:rPr>
        <w:t>resolution </w:t>
      </w:r>
      <w:r>
        <w:rPr>
          <w:spacing w:val="-3"/>
          <w:sz w:val="21"/>
        </w:rPr>
        <w:t>mechanisms available to  </w:t>
      </w:r>
      <w:r>
        <w:rPr>
          <w:sz w:val="21"/>
        </w:rPr>
        <w:t>neighbours who </w:t>
      </w:r>
      <w:r>
        <w:rPr>
          <w:spacing w:val="-3"/>
          <w:sz w:val="21"/>
        </w:rPr>
        <w:t>have</w:t>
      </w:r>
      <w:r>
        <w:rPr>
          <w:spacing w:val="41"/>
          <w:sz w:val="21"/>
        </w:rPr>
        <w:t> </w:t>
      </w:r>
      <w:r>
        <w:rPr>
          <w:sz w:val="21"/>
        </w:rPr>
        <w:t>issues with </w:t>
      </w:r>
      <w:r>
        <w:rPr>
          <w:spacing w:val="-3"/>
          <w:sz w:val="21"/>
        </w:rPr>
        <w:t>high  </w:t>
      </w:r>
      <w:r>
        <w:rPr>
          <w:sz w:val="21"/>
        </w:rPr>
        <w:t>hedges as </w:t>
      </w:r>
      <w:r>
        <w:rPr>
          <w:spacing w:val="-3"/>
          <w:sz w:val="21"/>
        </w:rPr>
        <w:t>well </w:t>
      </w:r>
      <w:r>
        <w:rPr>
          <w:sz w:val="21"/>
        </w:rPr>
        <w:t>as </w:t>
      </w:r>
      <w:r>
        <w:rPr>
          <w:spacing w:val="-3"/>
          <w:sz w:val="21"/>
        </w:rPr>
        <w:t>hazardous </w:t>
      </w:r>
      <w:r>
        <w:rPr>
          <w:sz w:val="21"/>
        </w:rPr>
        <w:t>trees.</w:t>
      </w:r>
      <w:r>
        <w:rPr>
          <w:position w:val="7"/>
          <w:sz w:val="12"/>
        </w:rPr>
        <w:t>94 </w:t>
      </w:r>
      <w:r>
        <w:rPr>
          <w:sz w:val="21"/>
        </w:rPr>
        <w:t>The </w:t>
      </w:r>
      <w:r>
        <w:rPr>
          <w:spacing w:val="-3"/>
          <w:sz w:val="21"/>
        </w:rPr>
        <w:t>Institute </w:t>
      </w:r>
      <w:r>
        <w:rPr>
          <w:sz w:val="21"/>
        </w:rPr>
        <w:t>agreed  with  the  majority  of  </w:t>
      </w:r>
      <w:r>
        <w:rPr>
          <w:spacing w:val="-3"/>
          <w:sz w:val="21"/>
        </w:rPr>
        <w:t>submissions  that any legislative </w:t>
      </w:r>
      <w:r>
        <w:rPr>
          <w:sz w:val="21"/>
        </w:rPr>
        <w:t>scheme </w:t>
      </w:r>
      <w:r>
        <w:rPr>
          <w:spacing w:val="-3"/>
          <w:sz w:val="21"/>
        </w:rPr>
        <w:t>implemented to </w:t>
      </w:r>
      <w:r>
        <w:rPr>
          <w:sz w:val="21"/>
        </w:rPr>
        <w:t>deal with problem trees or hedges should </w:t>
      </w:r>
      <w:r>
        <w:rPr>
          <w:spacing w:val="-3"/>
          <w:sz w:val="21"/>
        </w:rPr>
        <w:t>include </w:t>
      </w:r>
      <w:r>
        <w:rPr>
          <w:sz w:val="21"/>
        </w:rPr>
        <w:t>obstruction of both </w:t>
      </w:r>
      <w:r>
        <w:rPr>
          <w:spacing w:val="-4"/>
          <w:sz w:val="21"/>
        </w:rPr>
        <w:t>sunlight </w:t>
      </w:r>
      <w:r>
        <w:rPr>
          <w:sz w:val="21"/>
        </w:rPr>
        <w:t>and views.</w:t>
      </w:r>
      <w:r>
        <w:rPr>
          <w:position w:val="7"/>
          <w:sz w:val="12"/>
        </w:rPr>
        <w:t>95 </w:t>
      </w:r>
      <w:r>
        <w:rPr>
          <w:sz w:val="21"/>
        </w:rPr>
        <w:t>The </w:t>
      </w:r>
      <w:r>
        <w:rPr>
          <w:spacing w:val="-3"/>
          <w:sz w:val="21"/>
        </w:rPr>
        <w:t>submissions to </w:t>
      </w:r>
      <w:r>
        <w:rPr>
          <w:sz w:val="21"/>
        </w:rPr>
        <w:t>the </w:t>
      </w:r>
      <w:r>
        <w:rPr>
          <w:spacing w:val="-3"/>
          <w:sz w:val="21"/>
        </w:rPr>
        <w:t>Institute </w:t>
      </w:r>
      <w:r>
        <w:rPr>
          <w:sz w:val="21"/>
        </w:rPr>
        <w:t>confirmed</w:t>
      </w:r>
      <w:r>
        <w:rPr>
          <w:spacing w:val="15"/>
          <w:sz w:val="21"/>
        </w:rPr>
        <w:t> </w:t>
      </w:r>
      <w:r>
        <w:rPr>
          <w:spacing w:val="-3"/>
          <w:sz w:val="21"/>
        </w:rPr>
        <w:t>that</w:t>
      </w:r>
    </w:p>
    <w:p>
      <w:pPr>
        <w:pStyle w:val="BodyText"/>
        <w:spacing w:before="5"/>
        <w:rPr>
          <w:sz w:val="9"/>
        </w:rPr>
      </w:pPr>
      <w:r>
        <w:rPr/>
        <w:pict>
          <v:line style="position:absolute;mso-position-horizontal-relative:page;mso-position-vertical-relative:paragraph;z-index:12080;mso-wrap-distance-left:0;mso-wrap-distance-right:0" from="79.370003pt,8.215764pt" to="515.905003pt,8.215764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204"/>
        </w:numPr>
        <w:tabs>
          <w:tab w:pos="2380" w:val="left" w:leader="none"/>
          <w:tab w:pos="2382" w:val="left" w:leader="none"/>
        </w:tabs>
        <w:spacing w:line="240" w:lineRule="auto" w:before="48" w:after="0"/>
        <w:ind w:left="2381" w:right="0" w:hanging="794"/>
        <w:jc w:val="left"/>
        <w:rPr>
          <w:sz w:val="13"/>
        </w:rPr>
      </w:pPr>
      <w:r>
        <w:rPr>
          <w:w w:val="105"/>
          <w:sz w:val="13"/>
        </w:rPr>
        <w:t>Department of Attorney General and Justice </w:t>
      </w:r>
      <w:r>
        <w:rPr>
          <w:spacing w:val="3"/>
          <w:w w:val="105"/>
          <w:sz w:val="13"/>
        </w:rPr>
        <w:t>(NSW), </w:t>
      </w:r>
      <w:r>
        <w:rPr>
          <w:i/>
          <w:w w:val="105"/>
          <w:sz w:val="13"/>
        </w:rPr>
        <w:t>Review of Part 2A of the Trees (Disputes Between Neighbours) Act 2006 </w:t>
      </w:r>
      <w:r>
        <w:rPr>
          <w:spacing w:val="3"/>
          <w:w w:val="105"/>
          <w:sz w:val="13"/>
        </w:rPr>
        <w:t>(NSW) </w:t>
      </w:r>
      <w:r>
        <w:rPr>
          <w:w w:val="105"/>
          <w:sz w:val="13"/>
        </w:rPr>
        <w:t>(High Hedge Provisions) </w:t>
      </w:r>
      <w:r>
        <w:rPr>
          <w:spacing w:val="2"/>
          <w:w w:val="105"/>
          <w:sz w:val="13"/>
        </w:rPr>
        <w:t>(Report,</w:t>
      </w:r>
      <w:r>
        <w:rPr>
          <w:spacing w:val="13"/>
          <w:w w:val="105"/>
          <w:sz w:val="13"/>
        </w:rPr>
        <w:t> </w:t>
      </w:r>
      <w:r>
        <w:rPr>
          <w:w w:val="105"/>
          <w:sz w:val="13"/>
        </w:rPr>
        <w:t>2013).</w:t>
      </w:r>
    </w:p>
    <w:p>
      <w:pPr>
        <w:pStyle w:val="ListParagraph"/>
        <w:numPr>
          <w:ilvl w:val="0"/>
          <w:numId w:val="204"/>
        </w:numPr>
        <w:tabs>
          <w:tab w:pos="2380" w:val="left" w:leader="none"/>
          <w:tab w:pos="2382" w:val="left" w:leader="none"/>
        </w:tabs>
        <w:spacing w:line="240" w:lineRule="auto" w:before="3" w:after="0"/>
        <w:ind w:left="2381" w:right="0" w:hanging="794"/>
        <w:jc w:val="left"/>
        <w:rPr>
          <w:sz w:val="13"/>
        </w:rPr>
      </w:pPr>
      <w:r>
        <w:rPr>
          <w:w w:val="105"/>
          <w:sz w:val="13"/>
        </w:rPr>
        <w:t>Ibid</w:t>
      </w:r>
      <w:r>
        <w:rPr>
          <w:spacing w:val="8"/>
          <w:w w:val="105"/>
          <w:sz w:val="13"/>
        </w:rPr>
        <w:t> </w:t>
      </w:r>
      <w:r>
        <w:rPr>
          <w:w w:val="105"/>
          <w:sz w:val="13"/>
        </w:rPr>
        <w:t>10.</w:t>
      </w:r>
    </w:p>
    <w:p>
      <w:pPr>
        <w:pStyle w:val="ListParagraph"/>
        <w:numPr>
          <w:ilvl w:val="0"/>
          <w:numId w:val="204"/>
        </w:numPr>
        <w:tabs>
          <w:tab w:pos="2380" w:val="left" w:leader="none"/>
          <w:tab w:pos="2382" w:val="left" w:leader="none"/>
        </w:tabs>
        <w:spacing w:line="240" w:lineRule="auto" w:before="1" w:after="0"/>
        <w:ind w:left="2381" w:right="0" w:hanging="794"/>
        <w:jc w:val="left"/>
        <w:rPr>
          <w:sz w:val="13"/>
        </w:rPr>
      </w:pPr>
      <w:r>
        <w:rPr>
          <w:w w:val="105"/>
          <w:sz w:val="13"/>
        </w:rPr>
        <w:t>Ibid</w:t>
      </w:r>
      <w:r>
        <w:rPr>
          <w:spacing w:val="9"/>
          <w:w w:val="105"/>
          <w:sz w:val="13"/>
        </w:rPr>
        <w:t> </w:t>
      </w:r>
      <w:r>
        <w:rPr>
          <w:w w:val="105"/>
          <w:sz w:val="13"/>
        </w:rPr>
        <w:t>16.</w:t>
      </w:r>
    </w:p>
    <w:p>
      <w:pPr>
        <w:pStyle w:val="ListParagraph"/>
        <w:numPr>
          <w:ilvl w:val="0"/>
          <w:numId w:val="204"/>
        </w:numPr>
        <w:tabs>
          <w:tab w:pos="2380" w:val="left" w:leader="none"/>
          <w:tab w:pos="2382" w:val="left" w:leader="none"/>
        </w:tabs>
        <w:spacing w:line="240" w:lineRule="auto" w:before="1" w:after="0"/>
        <w:ind w:left="2381" w:right="0" w:hanging="794"/>
        <w:jc w:val="left"/>
        <w:rPr>
          <w:sz w:val="13"/>
        </w:rPr>
      </w:pPr>
      <w:r>
        <w:rPr>
          <w:w w:val="105"/>
          <w:sz w:val="13"/>
        </w:rPr>
        <w:t>Land</w:t>
      </w:r>
      <w:r>
        <w:rPr>
          <w:spacing w:val="7"/>
          <w:w w:val="105"/>
          <w:sz w:val="13"/>
        </w:rPr>
        <w:t> </w:t>
      </w:r>
      <w:r>
        <w:rPr>
          <w:w w:val="105"/>
          <w:sz w:val="13"/>
        </w:rPr>
        <w:t>and</w:t>
      </w:r>
      <w:r>
        <w:rPr>
          <w:spacing w:val="8"/>
          <w:w w:val="105"/>
          <w:sz w:val="13"/>
        </w:rPr>
        <w:t> </w:t>
      </w:r>
      <w:r>
        <w:rPr>
          <w:w w:val="105"/>
          <w:sz w:val="13"/>
        </w:rPr>
        <w:t>Environment</w:t>
      </w:r>
      <w:r>
        <w:rPr>
          <w:spacing w:val="8"/>
          <w:w w:val="105"/>
          <w:sz w:val="13"/>
        </w:rPr>
        <w:t> </w:t>
      </w:r>
      <w:r>
        <w:rPr>
          <w:w w:val="105"/>
          <w:sz w:val="13"/>
        </w:rPr>
        <w:t>Court</w:t>
      </w:r>
      <w:r>
        <w:rPr>
          <w:spacing w:val="7"/>
          <w:w w:val="105"/>
          <w:sz w:val="13"/>
        </w:rPr>
        <w:t> </w:t>
      </w:r>
      <w:r>
        <w:rPr>
          <w:w w:val="105"/>
          <w:sz w:val="13"/>
        </w:rPr>
        <w:t>of</w:t>
      </w:r>
      <w:r>
        <w:rPr>
          <w:spacing w:val="8"/>
          <w:w w:val="105"/>
          <w:sz w:val="13"/>
        </w:rPr>
        <w:t> </w:t>
      </w:r>
      <w:r>
        <w:rPr>
          <w:w w:val="105"/>
          <w:sz w:val="13"/>
        </w:rPr>
        <w:t>New</w:t>
      </w:r>
      <w:r>
        <w:rPr>
          <w:spacing w:val="8"/>
          <w:w w:val="105"/>
          <w:sz w:val="13"/>
        </w:rPr>
        <w:t> </w:t>
      </w:r>
      <w:r>
        <w:rPr>
          <w:w w:val="105"/>
          <w:sz w:val="13"/>
        </w:rPr>
        <w:t>South</w:t>
      </w:r>
      <w:r>
        <w:rPr>
          <w:spacing w:val="7"/>
          <w:w w:val="105"/>
          <w:sz w:val="13"/>
        </w:rPr>
        <w:t> </w:t>
      </w:r>
      <w:r>
        <w:rPr>
          <w:w w:val="105"/>
          <w:sz w:val="13"/>
        </w:rPr>
        <w:t>Wales,</w:t>
      </w:r>
      <w:r>
        <w:rPr>
          <w:spacing w:val="8"/>
          <w:w w:val="105"/>
          <w:sz w:val="13"/>
        </w:rPr>
        <w:t> </w:t>
      </w:r>
      <w:r>
        <w:rPr>
          <w:i/>
          <w:w w:val="105"/>
          <w:sz w:val="13"/>
        </w:rPr>
        <w:t>Class</w:t>
      </w:r>
      <w:r>
        <w:rPr>
          <w:i/>
          <w:spacing w:val="8"/>
          <w:w w:val="105"/>
          <w:sz w:val="13"/>
        </w:rPr>
        <w:t> </w:t>
      </w:r>
      <w:r>
        <w:rPr>
          <w:i/>
          <w:w w:val="105"/>
          <w:sz w:val="13"/>
        </w:rPr>
        <w:t>2:</w:t>
      </w:r>
      <w:r>
        <w:rPr>
          <w:i/>
          <w:spacing w:val="8"/>
          <w:w w:val="105"/>
          <w:sz w:val="13"/>
        </w:rPr>
        <w:t> </w:t>
      </w:r>
      <w:r>
        <w:rPr>
          <w:i/>
          <w:w w:val="105"/>
          <w:sz w:val="13"/>
        </w:rPr>
        <w:t>Tree</w:t>
      </w:r>
      <w:r>
        <w:rPr>
          <w:i/>
          <w:spacing w:val="7"/>
          <w:w w:val="105"/>
          <w:sz w:val="13"/>
        </w:rPr>
        <w:t> </w:t>
      </w:r>
      <w:r>
        <w:rPr>
          <w:i/>
          <w:w w:val="105"/>
          <w:sz w:val="13"/>
        </w:rPr>
        <w:t>Disputes</w:t>
      </w:r>
      <w:r>
        <w:rPr>
          <w:i/>
          <w:spacing w:val="8"/>
          <w:w w:val="105"/>
          <w:sz w:val="13"/>
        </w:rPr>
        <w:t> </w:t>
      </w:r>
      <w:r>
        <w:rPr>
          <w:i/>
          <w:w w:val="105"/>
          <w:sz w:val="13"/>
        </w:rPr>
        <w:t>and</w:t>
      </w:r>
      <w:r>
        <w:rPr>
          <w:i/>
          <w:spacing w:val="8"/>
          <w:w w:val="105"/>
          <w:sz w:val="13"/>
        </w:rPr>
        <w:t> </w:t>
      </w:r>
      <w:r>
        <w:rPr>
          <w:i/>
          <w:w w:val="105"/>
          <w:sz w:val="13"/>
        </w:rPr>
        <w:t>Local</w:t>
      </w:r>
      <w:r>
        <w:rPr>
          <w:i/>
          <w:spacing w:val="7"/>
          <w:w w:val="105"/>
          <w:sz w:val="13"/>
        </w:rPr>
        <w:t> </w:t>
      </w:r>
      <w:r>
        <w:rPr>
          <w:i/>
          <w:w w:val="105"/>
          <w:sz w:val="13"/>
        </w:rPr>
        <w:t>Government</w:t>
      </w:r>
      <w:r>
        <w:rPr>
          <w:i/>
          <w:spacing w:val="8"/>
          <w:w w:val="105"/>
          <w:sz w:val="13"/>
        </w:rPr>
        <w:t> </w:t>
      </w:r>
      <w:r>
        <w:rPr>
          <w:i/>
          <w:w w:val="105"/>
          <w:sz w:val="13"/>
        </w:rPr>
        <w:t>Appeals</w:t>
      </w:r>
      <w:r>
        <w:rPr>
          <w:i/>
          <w:spacing w:val="8"/>
          <w:w w:val="105"/>
          <w:sz w:val="13"/>
        </w:rPr>
        <w:t> </w:t>
      </w:r>
      <w:r>
        <w:rPr>
          <w:w w:val="105"/>
          <w:sz w:val="13"/>
        </w:rPr>
        <w:t>(Web</w:t>
      </w:r>
      <w:r>
        <w:rPr>
          <w:spacing w:val="7"/>
          <w:w w:val="105"/>
          <w:sz w:val="13"/>
        </w:rPr>
        <w:t> </w:t>
      </w:r>
      <w:r>
        <w:rPr>
          <w:w w:val="105"/>
          <w:sz w:val="13"/>
        </w:rPr>
        <w:t>Page,</w:t>
      </w:r>
      <w:r>
        <w:rPr>
          <w:spacing w:val="8"/>
          <w:w w:val="105"/>
          <w:sz w:val="13"/>
        </w:rPr>
        <w:t> </w:t>
      </w:r>
      <w:r>
        <w:rPr>
          <w:w w:val="105"/>
          <w:sz w:val="13"/>
        </w:rPr>
        <w:t>22</w:t>
      </w:r>
      <w:r>
        <w:rPr>
          <w:spacing w:val="8"/>
          <w:w w:val="105"/>
          <w:sz w:val="13"/>
        </w:rPr>
        <w:t> </w:t>
      </w:r>
      <w:r>
        <w:rPr>
          <w:w w:val="105"/>
          <w:sz w:val="13"/>
        </w:rPr>
        <w:t>November</w:t>
      </w:r>
      <w:r>
        <w:rPr>
          <w:spacing w:val="7"/>
          <w:w w:val="105"/>
          <w:sz w:val="13"/>
        </w:rPr>
        <w:t> </w:t>
      </w:r>
      <w:r>
        <w:rPr>
          <w:w w:val="105"/>
          <w:sz w:val="13"/>
        </w:rPr>
        <w:t>2018)</w:t>
      </w:r>
    </w:p>
    <w:p>
      <w:pPr>
        <w:spacing w:before="2"/>
        <w:ind w:left="2381" w:right="0" w:firstLine="0"/>
        <w:jc w:val="left"/>
        <w:rPr>
          <w:sz w:val="13"/>
        </w:rPr>
      </w:pPr>
      <w:r>
        <w:rPr>
          <w:sz w:val="13"/>
        </w:rPr>
        <w:t>&lt;</w:t>
      </w:r>
      <w:hyperlink r:id="rId362">
        <w:r>
          <w:rPr>
            <w:sz w:val="13"/>
          </w:rPr>
          <w:t>http://www.lec.justice.nsw.gov.au/Pages/types_of_disputes/class_2/class_2.aspx</w:t>
        </w:r>
      </w:hyperlink>
      <w:r>
        <w:rPr>
          <w:sz w:val="13"/>
        </w:rPr>
        <w:t>&gt;.</w:t>
      </w:r>
    </w:p>
    <w:p>
      <w:pPr>
        <w:pStyle w:val="ListParagraph"/>
        <w:numPr>
          <w:ilvl w:val="0"/>
          <w:numId w:val="204"/>
        </w:numPr>
        <w:tabs>
          <w:tab w:pos="2380" w:val="left" w:leader="none"/>
          <w:tab w:pos="2382" w:val="left" w:leader="none"/>
        </w:tabs>
        <w:spacing w:line="240" w:lineRule="auto" w:before="1" w:after="0"/>
        <w:ind w:left="1587" w:right="3375" w:firstLine="0"/>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 </w:t>
      </w:r>
      <w:r>
        <w:rPr>
          <w:spacing w:val="3"/>
          <w:w w:val="105"/>
          <w:sz w:val="13"/>
        </w:rPr>
        <w:t>66(2)(ii). </w:t>
      </w:r>
      <w:r>
        <w:rPr>
          <w:w w:val="105"/>
          <w:sz w:val="13"/>
        </w:rPr>
        <w:t>88</w:t>
        <w:tab/>
        <w:t>Ibid s</w:t>
      </w:r>
      <w:r>
        <w:rPr>
          <w:spacing w:val="9"/>
          <w:w w:val="105"/>
          <w:sz w:val="13"/>
        </w:rPr>
        <w:t> </w:t>
      </w:r>
      <w:r>
        <w:rPr>
          <w:spacing w:val="3"/>
          <w:w w:val="105"/>
          <w:sz w:val="13"/>
        </w:rPr>
        <w:t>66(3).</w:t>
      </w:r>
    </w:p>
    <w:p>
      <w:pPr>
        <w:pStyle w:val="ListParagraph"/>
        <w:numPr>
          <w:ilvl w:val="0"/>
          <w:numId w:val="206"/>
        </w:numPr>
        <w:tabs>
          <w:tab w:pos="2381" w:val="left" w:leader="none"/>
          <w:tab w:pos="2382" w:val="left" w:leader="none"/>
        </w:tabs>
        <w:spacing w:line="240" w:lineRule="auto" w:before="3" w:after="0"/>
        <w:ind w:left="2381" w:right="0" w:hanging="794"/>
        <w:jc w:val="left"/>
        <w:rPr>
          <w:sz w:val="13"/>
        </w:rPr>
      </w:pPr>
      <w:r>
        <w:rPr>
          <w:w w:val="105"/>
          <w:sz w:val="13"/>
        </w:rPr>
        <w:t>Explanatory</w:t>
      </w:r>
      <w:r>
        <w:rPr>
          <w:spacing w:val="4"/>
          <w:w w:val="105"/>
          <w:sz w:val="13"/>
        </w:rPr>
        <w:t> </w:t>
      </w:r>
      <w:r>
        <w:rPr>
          <w:w w:val="105"/>
          <w:sz w:val="13"/>
        </w:rPr>
        <w:t>Notes,</w:t>
      </w:r>
      <w:r>
        <w:rPr>
          <w:spacing w:val="5"/>
          <w:w w:val="105"/>
          <w:sz w:val="13"/>
        </w:rPr>
        <w:t> </w:t>
      </w:r>
      <w:r>
        <w:rPr>
          <w:w w:val="105"/>
          <w:sz w:val="13"/>
        </w:rPr>
        <w:t>Neighbourhood</w:t>
      </w:r>
      <w:r>
        <w:rPr>
          <w:spacing w:val="5"/>
          <w:w w:val="105"/>
          <w:sz w:val="13"/>
        </w:rPr>
        <w:t> </w:t>
      </w:r>
      <w:r>
        <w:rPr>
          <w:w w:val="105"/>
          <w:sz w:val="13"/>
        </w:rPr>
        <w:t>Disputes</w:t>
      </w:r>
      <w:r>
        <w:rPr>
          <w:spacing w:val="5"/>
          <w:w w:val="105"/>
          <w:sz w:val="13"/>
        </w:rPr>
        <w:t> </w:t>
      </w:r>
      <w:r>
        <w:rPr>
          <w:w w:val="105"/>
          <w:sz w:val="13"/>
        </w:rPr>
        <w:t>Resolution</w:t>
      </w:r>
      <w:r>
        <w:rPr>
          <w:spacing w:val="4"/>
          <w:w w:val="105"/>
          <w:sz w:val="13"/>
        </w:rPr>
        <w:t> </w:t>
      </w:r>
      <w:r>
        <w:rPr>
          <w:w w:val="105"/>
          <w:sz w:val="13"/>
        </w:rPr>
        <w:t>Bill</w:t>
      </w:r>
      <w:r>
        <w:rPr>
          <w:spacing w:val="5"/>
          <w:w w:val="105"/>
          <w:sz w:val="13"/>
        </w:rPr>
        <w:t> </w:t>
      </w:r>
      <w:r>
        <w:rPr>
          <w:w w:val="105"/>
          <w:sz w:val="13"/>
        </w:rPr>
        <w:t>2010</w:t>
      </w:r>
      <w:r>
        <w:rPr>
          <w:spacing w:val="5"/>
          <w:w w:val="105"/>
          <w:sz w:val="13"/>
        </w:rPr>
        <w:t> </w:t>
      </w:r>
      <w:r>
        <w:rPr>
          <w:spacing w:val="2"/>
          <w:w w:val="105"/>
          <w:sz w:val="13"/>
        </w:rPr>
        <w:t>(Qld)</w:t>
      </w:r>
      <w:r>
        <w:rPr>
          <w:spacing w:val="5"/>
          <w:w w:val="105"/>
          <w:sz w:val="13"/>
        </w:rPr>
        <w:t> </w:t>
      </w:r>
      <w:r>
        <w:rPr>
          <w:w w:val="105"/>
          <w:sz w:val="13"/>
        </w:rPr>
        <w:t>cl</w:t>
      </w:r>
      <w:r>
        <w:rPr>
          <w:spacing w:val="5"/>
          <w:w w:val="105"/>
          <w:sz w:val="13"/>
        </w:rPr>
        <w:t> </w:t>
      </w:r>
      <w:r>
        <w:rPr>
          <w:spacing w:val="-4"/>
          <w:w w:val="105"/>
          <w:sz w:val="13"/>
        </w:rPr>
        <w:t>61.</w:t>
      </w:r>
    </w:p>
    <w:p>
      <w:pPr>
        <w:pStyle w:val="ListParagraph"/>
        <w:numPr>
          <w:ilvl w:val="0"/>
          <w:numId w:val="206"/>
        </w:numPr>
        <w:tabs>
          <w:tab w:pos="2381" w:val="left" w:leader="none"/>
          <w:tab w:pos="2382" w:val="left" w:leader="none"/>
        </w:tabs>
        <w:spacing w:line="240" w:lineRule="auto" w:before="1" w:after="0"/>
        <w:ind w:left="2381" w:right="433" w:hanging="794"/>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 2015)</w:t>
      </w:r>
      <w:r>
        <w:rPr>
          <w:spacing w:val="9"/>
          <w:w w:val="105"/>
          <w:sz w:val="13"/>
        </w:rPr>
        <w:t> </w:t>
      </w:r>
      <w:r>
        <w:rPr>
          <w:w w:val="105"/>
          <w:sz w:val="13"/>
        </w:rPr>
        <w:t>143.</w:t>
      </w:r>
    </w:p>
    <w:p>
      <w:pPr>
        <w:tabs>
          <w:tab w:pos="2381" w:val="left" w:leader="none"/>
        </w:tabs>
        <w:spacing w:before="3"/>
        <w:ind w:left="1587" w:right="0" w:firstLine="0"/>
        <w:jc w:val="left"/>
        <w:rPr>
          <w:sz w:val="13"/>
        </w:rPr>
      </w:pPr>
      <w:r>
        <w:rPr>
          <w:w w:val="110"/>
          <w:sz w:val="13"/>
        </w:rPr>
        <w:t>91</w:t>
        <w:tab/>
        <w:t>Ibid 139,</w:t>
      </w:r>
      <w:r>
        <w:rPr>
          <w:spacing w:val="5"/>
          <w:w w:val="110"/>
          <w:sz w:val="13"/>
        </w:rPr>
        <w:t> </w:t>
      </w:r>
      <w:r>
        <w:rPr>
          <w:w w:val="110"/>
          <w:sz w:val="13"/>
        </w:rPr>
        <w:t>143.</w:t>
      </w:r>
    </w:p>
    <w:p>
      <w:pPr>
        <w:pStyle w:val="ListParagraph"/>
        <w:numPr>
          <w:ilvl w:val="0"/>
          <w:numId w:val="207"/>
        </w:numPr>
        <w:tabs>
          <w:tab w:pos="2381" w:val="left" w:leader="none"/>
          <w:tab w:pos="2382" w:val="left" w:leader="none"/>
        </w:tabs>
        <w:spacing w:line="240" w:lineRule="auto" w:before="1" w:after="0"/>
        <w:ind w:left="2381" w:right="0" w:hanging="794"/>
        <w:jc w:val="left"/>
        <w:rPr>
          <w:sz w:val="13"/>
        </w:rPr>
      </w:pPr>
      <w:r>
        <w:rPr>
          <w:w w:val="105"/>
          <w:sz w:val="13"/>
        </w:rPr>
        <w:t>Consultation </w:t>
      </w:r>
      <w:r>
        <w:rPr>
          <w:spacing w:val="-3"/>
          <w:w w:val="105"/>
          <w:sz w:val="13"/>
        </w:rPr>
        <w:t>15 </w:t>
      </w:r>
      <w:r>
        <w:rPr>
          <w:w w:val="105"/>
          <w:sz w:val="13"/>
        </w:rPr>
        <w:t>(Queensland Civil and Administrative Tribunal).</w:t>
      </w:r>
    </w:p>
    <w:p>
      <w:pPr>
        <w:pStyle w:val="ListParagraph"/>
        <w:numPr>
          <w:ilvl w:val="0"/>
          <w:numId w:val="207"/>
        </w:numPr>
        <w:tabs>
          <w:tab w:pos="2381" w:val="left" w:leader="none"/>
          <w:tab w:pos="2382" w:val="left" w:leader="none"/>
        </w:tabs>
        <w:spacing w:line="240" w:lineRule="auto" w:before="1" w:after="0"/>
        <w:ind w:left="2381" w:right="0" w:hanging="794"/>
        <w:jc w:val="left"/>
        <w:rPr>
          <w:sz w:val="13"/>
        </w:rPr>
      </w:pPr>
      <w:r>
        <w:rPr>
          <w:i/>
          <w:w w:val="105"/>
          <w:sz w:val="13"/>
        </w:rPr>
        <w:t>Neighbourhood Disputes About Plants Act </w:t>
      </w:r>
      <w:r>
        <w:rPr>
          <w:i/>
          <w:spacing w:val="-4"/>
          <w:w w:val="105"/>
          <w:sz w:val="13"/>
        </w:rPr>
        <w:t>2017 </w:t>
      </w:r>
      <w:r>
        <w:rPr>
          <w:w w:val="105"/>
          <w:sz w:val="13"/>
        </w:rPr>
        <w:t>(Tas) s</w:t>
      </w:r>
      <w:r>
        <w:rPr>
          <w:spacing w:val="16"/>
          <w:w w:val="105"/>
          <w:sz w:val="13"/>
        </w:rPr>
        <w:t> </w:t>
      </w:r>
      <w:r>
        <w:rPr>
          <w:spacing w:val="2"/>
          <w:w w:val="105"/>
          <w:sz w:val="13"/>
        </w:rPr>
        <w:t>7(2).</w:t>
      </w:r>
    </w:p>
    <w:p>
      <w:pPr>
        <w:pStyle w:val="ListParagraph"/>
        <w:numPr>
          <w:ilvl w:val="0"/>
          <w:numId w:val="207"/>
        </w:numPr>
        <w:tabs>
          <w:tab w:pos="2381" w:val="left" w:leader="none"/>
          <w:tab w:pos="2382" w:val="left" w:leader="none"/>
        </w:tabs>
        <w:spacing w:line="240" w:lineRule="auto" w:before="2" w:after="0"/>
        <w:ind w:left="2381" w:right="0" w:hanging="794"/>
        <w:jc w:val="left"/>
        <w:rPr>
          <w:sz w:val="13"/>
        </w:rPr>
      </w:pPr>
      <w:r>
        <w:rPr>
          <w:w w:val="105"/>
          <w:sz w:val="13"/>
        </w:rPr>
        <w:t>Tasmania</w:t>
      </w:r>
      <w:r>
        <w:rPr>
          <w:spacing w:val="5"/>
          <w:w w:val="105"/>
          <w:sz w:val="13"/>
        </w:rPr>
        <w:t> </w:t>
      </w:r>
      <w:r>
        <w:rPr>
          <w:w w:val="105"/>
          <w:sz w:val="13"/>
        </w:rPr>
        <w:t>Law</w:t>
      </w:r>
      <w:r>
        <w:rPr>
          <w:spacing w:val="5"/>
          <w:w w:val="105"/>
          <w:sz w:val="13"/>
        </w:rPr>
        <w:t> </w:t>
      </w:r>
      <w:r>
        <w:rPr>
          <w:w w:val="105"/>
          <w:sz w:val="13"/>
        </w:rPr>
        <w:t>Reform</w:t>
      </w:r>
      <w:r>
        <w:rPr>
          <w:spacing w:val="6"/>
          <w:w w:val="105"/>
          <w:sz w:val="13"/>
        </w:rPr>
        <w:t> </w:t>
      </w:r>
      <w:r>
        <w:rPr>
          <w:w w:val="105"/>
          <w:sz w:val="13"/>
        </w:rPr>
        <w:t>Institute,</w:t>
      </w:r>
      <w:r>
        <w:rPr>
          <w:spacing w:val="5"/>
          <w:w w:val="105"/>
          <w:sz w:val="13"/>
        </w:rPr>
        <w:t> </w:t>
      </w:r>
      <w:r>
        <w:rPr>
          <w:i/>
          <w:w w:val="105"/>
          <w:sz w:val="13"/>
        </w:rPr>
        <w:t>Problem</w:t>
      </w:r>
      <w:r>
        <w:rPr>
          <w:i/>
          <w:spacing w:val="6"/>
          <w:w w:val="105"/>
          <w:sz w:val="13"/>
        </w:rPr>
        <w:t> </w:t>
      </w:r>
      <w:r>
        <w:rPr>
          <w:i/>
          <w:w w:val="105"/>
          <w:sz w:val="13"/>
        </w:rPr>
        <w:t>Trees</w:t>
      </w:r>
      <w:r>
        <w:rPr>
          <w:i/>
          <w:spacing w:val="5"/>
          <w:w w:val="105"/>
          <w:sz w:val="13"/>
        </w:rPr>
        <w:t> </w:t>
      </w:r>
      <w:r>
        <w:rPr>
          <w:i/>
          <w:w w:val="105"/>
          <w:sz w:val="13"/>
        </w:rPr>
        <w:t>and</w:t>
      </w:r>
      <w:r>
        <w:rPr>
          <w:i/>
          <w:spacing w:val="6"/>
          <w:w w:val="105"/>
          <w:sz w:val="13"/>
        </w:rPr>
        <w:t> </w:t>
      </w:r>
      <w:r>
        <w:rPr>
          <w:i/>
          <w:w w:val="105"/>
          <w:sz w:val="13"/>
        </w:rPr>
        <w:t>Hedges:</w:t>
      </w:r>
      <w:r>
        <w:rPr>
          <w:i/>
          <w:spacing w:val="5"/>
          <w:w w:val="105"/>
          <w:sz w:val="13"/>
        </w:rPr>
        <w:t> </w:t>
      </w:r>
      <w:r>
        <w:rPr>
          <w:i/>
          <w:w w:val="105"/>
          <w:sz w:val="13"/>
        </w:rPr>
        <w:t>Access</w:t>
      </w:r>
      <w:r>
        <w:rPr>
          <w:i/>
          <w:spacing w:val="6"/>
          <w:w w:val="105"/>
          <w:sz w:val="13"/>
        </w:rPr>
        <w:t> </w:t>
      </w:r>
      <w:r>
        <w:rPr>
          <w:i/>
          <w:w w:val="105"/>
          <w:sz w:val="13"/>
        </w:rPr>
        <w:t>to</w:t>
      </w:r>
      <w:r>
        <w:rPr>
          <w:i/>
          <w:spacing w:val="5"/>
          <w:w w:val="105"/>
          <w:sz w:val="13"/>
        </w:rPr>
        <w:t> </w:t>
      </w:r>
      <w:r>
        <w:rPr>
          <w:i/>
          <w:w w:val="105"/>
          <w:sz w:val="13"/>
        </w:rPr>
        <w:t>Sunlight</w:t>
      </w:r>
      <w:r>
        <w:rPr>
          <w:i/>
          <w:spacing w:val="6"/>
          <w:w w:val="105"/>
          <w:sz w:val="13"/>
        </w:rPr>
        <w:t> </w:t>
      </w:r>
      <w:r>
        <w:rPr>
          <w:i/>
          <w:w w:val="105"/>
          <w:sz w:val="13"/>
        </w:rPr>
        <w:t>and</w:t>
      </w:r>
      <w:r>
        <w:rPr>
          <w:i/>
          <w:spacing w:val="5"/>
          <w:w w:val="105"/>
          <w:sz w:val="13"/>
        </w:rPr>
        <w:t> </w:t>
      </w:r>
      <w:r>
        <w:rPr>
          <w:i/>
          <w:w w:val="105"/>
          <w:sz w:val="13"/>
        </w:rPr>
        <w:t>Views</w:t>
      </w:r>
      <w:r>
        <w:rPr>
          <w:i/>
          <w:spacing w:val="6"/>
          <w:w w:val="105"/>
          <w:sz w:val="13"/>
        </w:rPr>
        <w:t> </w:t>
      </w:r>
      <w:r>
        <w:rPr>
          <w:spacing w:val="2"/>
          <w:w w:val="105"/>
          <w:sz w:val="13"/>
        </w:rPr>
        <w:t>(Report</w:t>
      </w:r>
      <w:r>
        <w:rPr>
          <w:spacing w:val="5"/>
          <w:w w:val="105"/>
          <w:sz w:val="13"/>
        </w:rPr>
        <w:t> </w:t>
      </w:r>
      <w:r>
        <w:rPr>
          <w:w w:val="105"/>
          <w:sz w:val="13"/>
        </w:rPr>
        <w:t>No</w:t>
      </w:r>
      <w:r>
        <w:rPr>
          <w:spacing w:val="6"/>
          <w:w w:val="105"/>
          <w:sz w:val="13"/>
        </w:rPr>
        <w:t> </w:t>
      </w:r>
      <w:r>
        <w:rPr>
          <w:spacing w:val="-4"/>
          <w:w w:val="105"/>
          <w:sz w:val="13"/>
        </w:rPr>
        <w:t>21,</w:t>
      </w:r>
      <w:r>
        <w:rPr>
          <w:spacing w:val="5"/>
          <w:w w:val="105"/>
          <w:sz w:val="13"/>
        </w:rPr>
        <w:t> </w:t>
      </w:r>
      <w:r>
        <w:rPr>
          <w:w w:val="105"/>
          <w:sz w:val="13"/>
        </w:rPr>
        <w:t>January</w:t>
      </w:r>
      <w:r>
        <w:rPr>
          <w:spacing w:val="6"/>
          <w:w w:val="105"/>
          <w:sz w:val="13"/>
        </w:rPr>
        <w:t> </w:t>
      </w:r>
      <w:r>
        <w:rPr>
          <w:w w:val="105"/>
          <w:sz w:val="13"/>
        </w:rPr>
        <w:t>2016)</w:t>
      </w:r>
      <w:r>
        <w:rPr>
          <w:spacing w:val="5"/>
          <w:w w:val="105"/>
          <w:sz w:val="13"/>
        </w:rPr>
        <w:t> </w:t>
      </w:r>
      <w:r>
        <w:rPr>
          <w:w w:val="105"/>
          <w:sz w:val="13"/>
        </w:rPr>
        <w:t>2.</w:t>
      </w:r>
    </w:p>
    <w:p>
      <w:pPr>
        <w:pStyle w:val="ListParagraph"/>
        <w:numPr>
          <w:ilvl w:val="0"/>
          <w:numId w:val="207"/>
        </w:numPr>
        <w:tabs>
          <w:tab w:pos="2381"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w w:val="105"/>
          <w:sz w:val="13"/>
        </w:rPr>
        <w:t>50.</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3"/>
        </w:rPr>
      </w:pPr>
    </w:p>
    <w:p>
      <w:pPr>
        <w:spacing w:before="1"/>
        <w:ind w:left="627" w:right="575" w:firstLine="0"/>
        <w:jc w:val="center"/>
        <w:rPr>
          <w:b/>
          <w:sz w:val="24"/>
        </w:rPr>
      </w:pPr>
      <w:r>
        <w:rPr>
          <w:b/>
          <w:color w:val="658464"/>
          <w:w w:val="110"/>
          <w:sz w:val="24"/>
        </w:rPr>
        <w:t>299</w:t>
      </w:r>
    </w:p>
    <w:p>
      <w:pPr>
        <w:spacing w:after="0"/>
        <w:jc w:val="center"/>
        <w:rPr>
          <w:sz w:val="24"/>
        </w:rPr>
        <w:sectPr>
          <w:type w:val="continuous"/>
          <w:pgSz w:w="11910" w:h="16840"/>
          <w:pgMar w:top="300" w:bottom="280" w:left="0" w:right="0"/>
          <w:cols w:num="2" w:equalWidth="0">
            <w:col w:w="10226" w:space="39"/>
            <w:col w:w="1645"/>
          </w:cols>
        </w:sectPr>
      </w:pPr>
    </w:p>
    <w:p>
      <w:pPr>
        <w:pStyle w:val="BodyText"/>
        <w:spacing w:before="9"/>
        <w:rPr>
          <w:b/>
          <w:sz w:val="22"/>
        </w:rPr>
      </w:pPr>
    </w:p>
    <w:p>
      <w:pPr>
        <w:pStyle w:val="BodyText"/>
        <w:spacing w:line="242" w:lineRule="auto" w:before="92"/>
        <w:ind w:left="2381" w:right="2017"/>
        <w:jc w:val="both"/>
        <w:rPr>
          <w:sz w:val="12"/>
        </w:rPr>
      </w:pPr>
      <w:bookmarkStart w:name="_bookmark166" w:id="357"/>
      <w:bookmarkEnd w:id="357"/>
      <w:r>
        <w:rPr/>
      </w:r>
      <w:r>
        <w:rPr>
          <w:w w:val="105"/>
        </w:rPr>
        <w:t>both</w:t>
      </w:r>
      <w:r>
        <w:rPr>
          <w:spacing w:val="-7"/>
          <w:w w:val="105"/>
        </w:rPr>
        <w:t> </w:t>
      </w:r>
      <w:r>
        <w:rPr>
          <w:spacing w:val="-4"/>
          <w:w w:val="105"/>
        </w:rPr>
        <w:t>sunlight</w:t>
      </w:r>
      <w:r>
        <w:rPr>
          <w:spacing w:val="-7"/>
          <w:w w:val="105"/>
        </w:rPr>
        <w:t> </w:t>
      </w:r>
      <w:r>
        <w:rPr>
          <w:w w:val="105"/>
        </w:rPr>
        <w:t>and</w:t>
      </w:r>
      <w:r>
        <w:rPr>
          <w:spacing w:val="-7"/>
          <w:w w:val="105"/>
        </w:rPr>
        <w:t> </w:t>
      </w:r>
      <w:r>
        <w:rPr>
          <w:w w:val="105"/>
        </w:rPr>
        <w:t>views</w:t>
      </w:r>
      <w:r>
        <w:rPr>
          <w:spacing w:val="-7"/>
          <w:w w:val="105"/>
        </w:rPr>
        <w:t> </w:t>
      </w:r>
      <w:r>
        <w:rPr>
          <w:spacing w:val="-3"/>
          <w:w w:val="105"/>
        </w:rPr>
        <w:t>are</w:t>
      </w:r>
      <w:r>
        <w:rPr>
          <w:spacing w:val="-7"/>
          <w:w w:val="105"/>
        </w:rPr>
        <w:t> </w:t>
      </w:r>
      <w:r>
        <w:rPr>
          <w:w w:val="105"/>
        </w:rPr>
        <w:t>important</w:t>
      </w:r>
      <w:r>
        <w:rPr>
          <w:spacing w:val="-7"/>
          <w:w w:val="105"/>
        </w:rPr>
        <w:t> </w:t>
      </w:r>
      <w:r>
        <w:rPr>
          <w:w w:val="105"/>
        </w:rPr>
        <w:t>amenity</w:t>
      </w:r>
      <w:r>
        <w:rPr>
          <w:spacing w:val="-6"/>
          <w:w w:val="105"/>
        </w:rPr>
        <w:t> </w:t>
      </w:r>
      <w:r>
        <w:rPr>
          <w:spacing w:val="-3"/>
          <w:w w:val="105"/>
        </w:rPr>
        <w:t>considerations</w:t>
      </w:r>
      <w:r>
        <w:rPr>
          <w:spacing w:val="-7"/>
          <w:w w:val="105"/>
        </w:rPr>
        <w:t> </w:t>
      </w:r>
      <w:r>
        <w:rPr>
          <w:spacing w:val="-3"/>
          <w:w w:val="105"/>
        </w:rPr>
        <w:t>for</w:t>
      </w:r>
      <w:r>
        <w:rPr>
          <w:spacing w:val="-7"/>
          <w:w w:val="105"/>
        </w:rPr>
        <w:t> </w:t>
      </w:r>
      <w:r>
        <w:rPr>
          <w:spacing w:val="-3"/>
          <w:w w:val="105"/>
        </w:rPr>
        <w:t>many</w:t>
      </w:r>
      <w:r>
        <w:rPr>
          <w:spacing w:val="-7"/>
          <w:w w:val="105"/>
        </w:rPr>
        <w:t> </w:t>
      </w:r>
      <w:r>
        <w:rPr>
          <w:w w:val="105"/>
        </w:rPr>
        <w:t>people</w:t>
      </w:r>
      <w:r>
        <w:rPr>
          <w:spacing w:val="-7"/>
          <w:w w:val="105"/>
        </w:rPr>
        <w:t> </w:t>
      </w:r>
      <w:r>
        <w:rPr>
          <w:w w:val="105"/>
        </w:rPr>
        <w:t>in</w:t>
      </w:r>
      <w:r>
        <w:rPr>
          <w:spacing w:val="-7"/>
          <w:w w:val="105"/>
        </w:rPr>
        <w:t> </w:t>
      </w:r>
      <w:r>
        <w:rPr>
          <w:w w:val="105"/>
        </w:rPr>
        <w:t>the community</w:t>
      </w:r>
      <w:r>
        <w:rPr>
          <w:spacing w:val="-9"/>
          <w:w w:val="105"/>
        </w:rPr>
        <w:t> </w:t>
      </w:r>
      <w:r>
        <w:rPr>
          <w:w w:val="105"/>
        </w:rPr>
        <w:t>and</w:t>
      </w:r>
      <w:r>
        <w:rPr>
          <w:spacing w:val="-8"/>
          <w:w w:val="105"/>
        </w:rPr>
        <w:t> </w:t>
      </w:r>
      <w:r>
        <w:rPr>
          <w:spacing w:val="-3"/>
          <w:w w:val="105"/>
        </w:rPr>
        <w:t>that</w:t>
      </w:r>
      <w:r>
        <w:rPr>
          <w:spacing w:val="-8"/>
          <w:w w:val="105"/>
        </w:rPr>
        <w:t> </w:t>
      </w:r>
      <w:r>
        <w:rPr>
          <w:w w:val="105"/>
        </w:rPr>
        <w:t>their</w:t>
      </w:r>
      <w:r>
        <w:rPr>
          <w:spacing w:val="-9"/>
          <w:w w:val="105"/>
        </w:rPr>
        <w:t> </w:t>
      </w:r>
      <w:r>
        <w:rPr>
          <w:w w:val="105"/>
        </w:rPr>
        <w:t>obstruction</w:t>
      </w:r>
      <w:r>
        <w:rPr>
          <w:spacing w:val="-8"/>
          <w:w w:val="105"/>
        </w:rPr>
        <w:t> </w:t>
      </w:r>
      <w:r>
        <w:rPr>
          <w:w w:val="105"/>
        </w:rPr>
        <w:t>can</w:t>
      </w:r>
      <w:r>
        <w:rPr>
          <w:spacing w:val="-8"/>
          <w:w w:val="105"/>
        </w:rPr>
        <w:t> </w:t>
      </w:r>
      <w:r>
        <w:rPr>
          <w:spacing w:val="-2"/>
          <w:w w:val="105"/>
        </w:rPr>
        <w:t>significantly</w:t>
      </w:r>
      <w:r>
        <w:rPr>
          <w:spacing w:val="-9"/>
          <w:w w:val="105"/>
        </w:rPr>
        <w:t> </w:t>
      </w:r>
      <w:r>
        <w:rPr>
          <w:w w:val="105"/>
        </w:rPr>
        <w:t>affect</w:t>
      </w:r>
      <w:r>
        <w:rPr>
          <w:spacing w:val="-8"/>
          <w:w w:val="105"/>
        </w:rPr>
        <w:t> </w:t>
      </w:r>
      <w:r>
        <w:rPr>
          <w:w w:val="105"/>
        </w:rPr>
        <w:t>a</w:t>
      </w:r>
      <w:r>
        <w:rPr>
          <w:spacing w:val="-8"/>
          <w:w w:val="105"/>
        </w:rPr>
        <w:t> </w:t>
      </w:r>
      <w:r>
        <w:rPr>
          <w:spacing w:val="-3"/>
          <w:w w:val="105"/>
        </w:rPr>
        <w:t>person’s</w:t>
      </w:r>
      <w:r>
        <w:rPr>
          <w:spacing w:val="-9"/>
          <w:w w:val="105"/>
        </w:rPr>
        <w:t> </w:t>
      </w:r>
      <w:r>
        <w:rPr>
          <w:spacing w:val="-2"/>
          <w:w w:val="105"/>
        </w:rPr>
        <w:t>enjoyment</w:t>
      </w:r>
      <w:r>
        <w:rPr>
          <w:spacing w:val="-8"/>
          <w:w w:val="105"/>
        </w:rPr>
        <w:t> </w:t>
      </w:r>
      <w:r>
        <w:rPr>
          <w:w w:val="105"/>
        </w:rPr>
        <w:t>of their</w:t>
      </w:r>
      <w:r>
        <w:rPr>
          <w:spacing w:val="5"/>
          <w:w w:val="105"/>
        </w:rPr>
        <w:t> </w:t>
      </w:r>
      <w:r>
        <w:rPr>
          <w:w w:val="105"/>
        </w:rPr>
        <w:t>property.</w:t>
      </w:r>
      <w:r>
        <w:rPr>
          <w:w w:val="105"/>
          <w:position w:val="7"/>
          <w:sz w:val="12"/>
        </w:rPr>
        <w:t>96</w:t>
      </w:r>
    </w:p>
    <w:p>
      <w:pPr>
        <w:pStyle w:val="ListParagraph"/>
        <w:numPr>
          <w:ilvl w:val="1"/>
          <w:numId w:val="16"/>
        </w:numPr>
        <w:tabs>
          <w:tab w:pos="2380" w:val="left" w:leader="none"/>
          <w:tab w:pos="2381" w:val="left" w:leader="none"/>
        </w:tabs>
        <w:spacing w:line="242" w:lineRule="auto" w:before="123" w:after="0"/>
        <w:ind w:left="2381" w:right="2011" w:hanging="794"/>
        <w:jc w:val="left"/>
        <w:rPr>
          <w:sz w:val="21"/>
        </w:rPr>
      </w:pPr>
      <w:r>
        <w:rPr>
          <w:spacing w:val="-3"/>
          <w:w w:val="105"/>
          <w:sz w:val="21"/>
        </w:rPr>
        <w:t>Disputes </w:t>
      </w:r>
      <w:r>
        <w:rPr>
          <w:w w:val="105"/>
          <w:sz w:val="21"/>
        </w:rPr>
        <w:t>about </w:t>
      </w:r>
      <w:r>
        <w:rPr>
          <w:spacing w:val="-2"/>
          <w:w w:val="105"/>
          <w:sz w:val="21"/>
        </w:rPr>
        <w:t>access </w:t>
      </w:r>
      <w:r>
        <w:rPr>
          <w:spacing w:val="-3"/>
          <w:w w:val="105"/>
          <w:sz w:val="21"/>
        </w:rPr>
        <w:t>to </w:t>
      </w:r>
      <w:r>
        <w:rPr>
          <w:spacing w:val="-4"/>
          <w:w w:val="105"/>
          <w:sz w:val="21"/>
        </w:rPr>
        <w:t>sunlight </w:t>
      </w:r>
      <w:r>
        <w:rPr>
          <w:w w:val="105"/>
          <w:sz w:val="21"/>
        </w:rPr>
        <w:t>and vegetation </w:t>
      </w:r>
      <w:r>
        <w:rPr>
          <w:spacing w:val="-3"/>
          <w:w w:val="105"/>
          <w:sz w:val="21"/>
        </w:rPr>
        <w:t>are </w:t>
      </w:r>
      <w:r>
        <w:rPr>
          <w:spacing w:val="-2"/>
          <w:w w:val="105"/>
          <w:sz w:val="21"/>
        </w:rPr>
        <w:t>not </w:t>
      </w:r>
      <w:r>
        <w:rPr>
          <w:spacing w:val="-3"/>
          <w:w w:val="105"/>
          <w:sz w:val="21"/>
        </w:rPr>
        <w:t>uncommon within </w:t>
      </w:r>
      <w:r>
        <w:rPr>
          <w:w w:val="105"/>
          <w:sz w:val="21"/>
        </w:rPr>
        <w:t>Victoria</w:t>
      </w:r>
      <w:r>
        <w:rPr>
          <w:w w:val="105"/>
          <w:position w:val="7"/>
          <w:sz w:val="12"/>
        </w:rPr>
        <w:t>97</w:t>
      </w:r>
      <w:r>
        <w:rPr>
          <w:w w:val="105"/>
          <w:sz w:val="12"/>
        </w:rPr>
        <w:t> </w:t>
      </w:r>
      <w:r>
        <w:rPr>
          <w:w w:val="105"/>
          <w:sz w:val="21"/>
        </w:rPr>
        <w:t>and </w:t>
      </w:r>
      <w:r>
        <w:rPr>
          <w:spacing w:val="-3"/>
          <w:w w:val="105"/>
          <w:sz w:val="21"/>
        </w:rPr>
        <w:t>may increase </w:t>
      </w:r>
      <w:r>
        <w:rPr>
          <w:w w:val="105"/>
          <w:sz w:val="21"/>
        </w:rPr>
        <w:t>as more </w:t>
      </w:r>
      <w:r>
        <w:rPr>
          <w:spacing w:val="-3"/>
          <w:w w:val="105"/>
          <w:sz w:val="21"/>
        </w:rPr>
        <w:t>suburban dwellings acquire roof-top </w:t>
      </w:r>
      <w:r>
        <w:rPr>
          <w:w w:val="105"/>
          <w:sz w:val="21"/>
        </w:rPr>
        <w:t>solar </w:t>
      </w:r>
      <w:r>
        <w:rPr>
          <w:spacing w:val="-3"/>
          <w:w w:val="105"/>
          <w:sz w:val="21"/>
        </w:rPr>
        <w:t>panels.</w:t>
      </w:r>
      <w:r>
        <w:rPr>
          <w:spacing w:val="-3"/>
          <w:w w:val="105"/>
          <w:position w:val="7"/>
          <w:sz w:val="12"/>
        </w:rPr>
        <w:t>98</w:t>
      </w:r>
      <w:r>
        <w:rPr>
          <w:spacing w:val="19"/>
          <w:w w:val="105"/>
          <w:position w:val="7"/>
          <w:sz w:val="12"/>
        </w:rPr>
        <w:t> </w:t>
      </w:r>
      <w:r>
        <w:rPr>
          <w:w w:val="105"/>
          <w:sz w:val="21"/>
        </w:rPr>
        <w:t>These</w:t>
      </w:r>
    </w:p>
    <w:p>
      <w:pPr>
        <w:pStyle w:val="BodyText"/>
        <w:spacing w:line="242" w:lineRule="auto" w:before="2"/>
        <w:ind w:left="2381" w:right="1558"/>
      </w:pPr>
      <w:r>
        <w:rPr>
          <w:spacing w:val="-3"/>
          <w:w w:val="105"/>
        </w:rPr>
        <w:t>disputes</w:t>
      </w:r>
      <w:r>
        <w:rPr>
          <w:spacing w:val="-12"/>
          <w:w w:val="105"/>
        </w:rPr>
        <w:t> </w:t>
      </w:r>
      <w:r>
        <w:rPr>
          <w:w w:val="105"/>
        </w:rPr>
        <w:t>can</w:t>
      </w:r>
      <w:r>
        <w:rPr>
          <w:spacing w:val="-12"/>
          <w:w w:val="105"/>
        </w:rPr>
        <w:t> </w:t>
      </w:r>
      <w:r>
        <w:rPr>
          <w:w w:val="105"/>
        </w:rPr>
        <w:t>be</w:t>
      </w:r>
      <w:r>
        <w:rPr>
          <w:spacing w:val="-12"/>
          <w:w w:val="105"/>
        </w:rPr>
        <w:t> </w:t>
      </w:r>
      <w:r>
        <w:rPr>
          <w:w w:val="105"/>
        </w:rPr>
        <w:t>particularly</w:t>
      </w:r>
      <w:r>
        <w:rPr>
          <w:spacing w:val="-12"/>
          <w:w w:val="105"/>
        </w:rPr>
        <w:t> </w:t>
      </w:r>
      <w:r>
        <w:rPr>
          <w:spacing w:val="-3"/>
          <w:w w:val="105"/>
        </w:rPr>
        <w:t>contentious</w:t>
      </w:r>
      <w:r>
        <w:rPr>
          <w:spacing w:val="-12"/>
          <w:w w:val="105"/>
        </w:rPr>
        <w:t> </w:t>
      </w:r>
      <w:r>
        <w:rPr>
          <w:w w:val="105"/>
        </w:rPr>
        <w:t>and</w:t>
      </w:r>
      <w:r>
        <w:rPr>
          <w:spacing w:val="-12"/>
          <w:w w:val="105"/>
        </w:rPr>
        <w:t> </w:t>
      </w:r>
      <w:r>
        <w:rPr>
          <w:w w:val="105"/>
        </w:rPr>
        <w:t>emotive</w:t>
      </w:r>
      <w:r>
        <w:rPr>
          <w:spacing w:val="-12"/>
          <w:w w:val="105"/>
        </w:rPr>
        <w:t> </w:t>
      </w:r>
      <w:r>
        <w:rPr>
          <w:w w:val="105"/>
        </w:rPr>
        <w:t>because</w:t>
      </w:r>
      <w:r>
        <w:rPr>
          <w:spacing w:val="-12"/>
          <w:w w:val="105"/>
        </w:rPr>
        <w:t> </w:t>
      </w:r>
      <w:r>
        <w:rPr>
          <w:w w:val="105"/>
        </w:rPr>
        <w:t>they</w:t>
      </w:r>
      <w:r>
        <w:rPr>
          <w:spacing w:val="-12"/>
          <w:w w:val="105"/>
        </w:rPr>
        <w:t> </w:t>
      </w:r>
      <w:r>
        <w:rPr>
          <w:w w:val="105"/>
        </w:rPr>
        <w:t>can</w:t>
      </w:r>
      <w:r>
        <w:rPr>
          <w:spacing w:val="-12"/>
          <w:w w:val="105"/>
        </w:rPr>
        <w:t> </w:t>
      </w:r>
      <w:r>
        <w:rPr>
          <w:w w:val="105"/>
        </w:rPr>
        <w:t>affect</w:t>
      </w:r>
      <w:r>
        <w:rPr>
          <w:spacing w:val="-12"/>
          <w:w w:val="105"/>
        </w:rPr>
        <w:t> </w:t>
      </w:r>
      <w:r>
        <w:rPr>
          <w:w w:val="105"/>
        </w:rPr>
        <w:t>the</w:t>
      </w:r>
      <w:r>
        <w:rPr>
          <w:spacing w:val="-12"/>
          <w:w w:val="105"/>
        </w:rPr>
        <w:t> </w:t>
      </w:r>
      <w:r>
        <w:rPr>
          <w:w w:val="105"/>
        </w:rPr>
        <w:t>property </w:t>
      </w:r>
      <w:r>
        <w:rPr>
          <w:spacing w:val="-3"/>
          <w:w w:val="105"/>
        </w:rPr>
        <w:t>value </w:t>
      </w:r>
      <w:r>
        <w:rPr>
          <w:w w:val="105"/>
        </w:rPr>
        <w:t>of homes.</w:t>
      </w:r>
      <w:r>
        <w:rPr>
          <w:w w:val="105"/>
          <w:position w:val="7"/>
          <w:sz w:val="12"/>
        </w:rPr>
        <w:t>99 </w:t>
      </w:r>
      <w:r>
        <w:rPr>
          <w:w w:val="105"/>
        </w:rPr>
        <w:t>They can </w:t>
      </w:r>
      <w:r>
        <w:rPr>
          <w:spacing w:val="-3"/>
          <w:w w:val="105"/>
        </w:rPr>
        <w:t>involve </w:t>
      </w:r>
      <w:r>
        <w:rPr>
          <w:w w:val="105"/>
        </w:rPr>
        <w:t>the </w:t>
      </w:r>
      <w:r>
        <w:rPr>
          <w:spacing w:val="-3"/>
          <w:w w:val="105"/>
        </w:rPr>
        <w:t>illegal removal </w:t>
      </w:r>
      <w:r>
        <w:rPr>
          <w:w w:val="105"/>
        </w:rPr>
        <w:t>of vegetation without an owners’ permission (sometimes </w:t>
      </w:r>
      <w:r>
        <w:rPr>
          <w:spacing w:val="-3"/>
          <w:w w:val="105"/>
        </w:rPr>
        <w:t>through </w:t>
      </w:r>
      <w:r>
        <w:rPr>
          <w:w w:val="105"/>
        </w:rPr>
        <w:t>poison) and </w:t>
      </w:r>
      <w:r>
        <w:rPr>
          <w:spacing w:val="-3"/>
          <w:w w:val="105"/>
        </w:rPr>
        <w:t>involve trespass.</w:t>
      </w:r>
      <w:r>
        <w:rPr>
          <w:spacing w:val="-3"/>
          <w:w w:val="105"/>
          <w:position w:val="7"/>
          <w:sz w:val="12"/>
        </w:rPr>
        <w:t>100 </w:t>
      </w:r>
      <w:r>
        <w:rPr>
          <w:w w:val="105"/>
        </w:rPr>
        <w:t>While these issues </w:t>
      </w:r>
      <w:r>
        <w:rPr>
          <w:spacing w:val="-3"/>
          <w:w w:val="105"/>
        </w:rPr>
        <w:t>are </w:t>
      </w:r>
      <w:r>
        <w:rPr>
          <w:w w:val="105"/>
        </w:rPr>
        <w:t>beyond the scope of this </w:t>
      </w:r>
      <w:r>
        <w:rPr>
          <w:spacing w:val="-4"/>
          <w:w w:val="105"/>
        </w:rPr>
        <w:t>inquiry, </w:t>
      </w:r>
      <w:r>
        <w:rPr>
          <w:w w:val="105"/>
        </w:rPr>
        <w:t>the </w:t>
      </w:r>
      <w:r>
        <w:rPr>
          <w:spacing w:val="-3"/>
          <w:w w:val="105"/>
        </w:rPr>
        <w:t>Commission </w:t>
      </w:r>
      <w:r>
        <w:rPr>
          <w:w w:val="105"/>
        </w:rPr>
        <w:t>believes </w:t>
      </w:r>
      <w:r>
        <w:rPr>
          <w:spacing w:val="-3"/>
          <w:w w:val="105"/>
        </w:rPr>
        <w:t>that </w:t>
      </w:r>
      <w:r>
        <w:rPr>
          <w:w w:val="105"/>
        </w:rPr>
        <w:t>further </w:t>
      </w:r>
      <w:r>
        <w:rPr>
          <w:spacing w:val="-3"/>
          <w:w w:val="105"/>
        </w:rPr>
        <w:t>consultation </w:t>
      </w:r>
      <w:r>
        <w:rPr>
          <w:w w:val="105"/>
        </w:rPr>
        <w:t>on these issues and detailed </w:t>
      </w:r>
      <w:r>
        <w:rPr>
          <w:spacing w:val="-3"/>
          <w:w w:val="105"/>
        </w:rPr>
        <w:t>consideration </w:t>
      </w:r>
      <w:r>
        <w:rPr>
          <w:w w:val="105"/>
        </w:rPr>
        <w:t>by </w:t>
      </w:r>
      <w:r>
        <w:rPr>
          <w:spacing w:val="-3"/>
          <w:w w:val="105"/>
        </w:rPr>
        <w:t>Government may </w:t>
      </w:r>
      <w:r>
        <w:rPr>
          <w:w w:val="105"/>
        </w:rPr>
        <w:t>be needed at the five-year review recommended </w:t>
      </w:r>
      <w:r>
        <w:rPr>
          <w:spacing w:val="-3"/>
          <w:w w:val="105"/>
        </w:rPr>
        <w:t>later </w:t>
      </w:r>
      <w:r>
        <w:rPr>
          <w:w w:val="105"/>
        </w:rPr>
        <w:t>in this </w:t>
      </w:r>
      <w:r>
        <w:rPr>
          <w:spacing w:val="-3"/>
          <w:w w:val="105"/>
        </w:rPr>
        <w:t>chapter </w:t>
      </w:r>
      <w:r>
        <w:rPr>
          <w:w w:val="105"/>
        </w:rPr>
        <w:t>(as </w:t>
      </w:r>
      <w:r>
        <w:rPr>
          <w:spacing w:val="-3"/>
          <w:w w:val="105"/>
        </w:rPr>
        <w:t>occurred </w:t>
      </w:r>
      <w:r>
        <w:rPr>
          <w:w w:val="105"/>
        </w:rPr>
        <w:t>in the NSW</w:t>
      </w:r>
      <w:r>
        <w:rPr>
          <w:spacing w:val="25"/>
          <w:w w:val="105"/>
        </w:rPr>
        <w:t> </w:t>
      </w:r>
      <w:r>
        <w:rPr>
          <w:w w:val="105"/>
        </w:rPr>
        <w:t>Act).</w:t>
      </w:r>
    </w:p>
    <w:p>
      <w:pPr>
        <w:pStyle w:val="ListParagraph"/>
        <w:numPr>
          <w:ilvl w:val="1"/>
          <w:numId w:val="16"/>
        </w:numPr>
        <w:tabs>
          <w:tab w:pos="2380" w:val="left" w:leader="none"/>
          <w:tab w:pos="2381" w:val="left" w:leader="none"/>
        </w:tabs>
        <w:spacing w:line="242" w:lineRule="auto" w:before="127" w:after="0"/>
        <w:ind w:left="2381" w:right="2055" w:hanging="794"/>
        <w:jc w:val="left"/>
        <w:rPr>
          <w:sz w:val="21"/>
        </w:rPr>
      </w:pPr>
      <w:r>
        <w:rPr>
          <w:sz w:val="21"/>
        </w:rPr>
        <w:t>The </w:t>
      </w:r>
      <w:r>
        <w:rPr>
          <w:spacing w:val="-3"/>
          <w:sz w:val="21"/>
        </w:rPr>
        <w:t>Commission </w:t>
      </w:r>
      <w:r>
        <w:rPr>
          <w:sz w:val="21"/>
        </w:rPr>
        <w:t>also </w:t>
      </w:r>
      <w:r>
        <w:rPr>
          <w:spacing w:val="-3"/>
          <w:sz w:val="21"/>
        </w:rPr>
        <w:t>notes that </w:t>
      </w:r>
      <w:r>
        <w:rPr>
          <w:sz w:val="21"/>
        </w:rPr>
        <w:t>the Victoria </w:t>
      </w:r>
      <w:r>
        <w:rPr>
          <w:spacing w:val="-3"/>
          <w:sz w:val="21"/>
        </w:rPr>
        <w:t>Planning Provisions </w:t>
      </w:r>
      <w:r>
        <w:rPr>
          <w:sz w:val="21"/>
        </w:rPr>
        <w:t>and </w:t>
      </w:r>
      <w:r>
        <w:rPr>
          <w:spacing w:val="-3"/>
          <w:sz w:val="21"/>
        </w:rPr>
        <w:t>all planning </w:t>
      </w:r>
      <w:r>
        <w:rPr>
          <w:sz w:val="21"/>
        </w:rPr>
        <w:t>schemes </w:t>
      </w:r>
      <w:r>
        <w:rPr>
          <w:spacing w:val="-3"/>
          <w:sz w:val="21"/>
        </w:rPr>
        <w:t>have </w:t>
      </w:r>
      <w:r>
        <w:rPr>
          <w:sz w:val="21"/>
        </w:rPr>
        <w:t>been </w:t>
      </w:r>
      <w:r>
        <w:rPr>
          <w:spacing w:val="-3"/>
          <w:sz w:val="21"/>
        </w:rPr>
        <w:t>recently </w:t>
      </w:r>
      <w:r>
        <w:rPr>
          <w:sz w:val="21"/>
        </w:rPr>
        <w:t>amended </w:t>
      </w:r>
      <w:r>
        <w:rPr>
          <w:spacing w:val="-3"/>
          <w:sz w:val="21"/>
        </w:rPr>
        <w:t>to require </w:t>
      </w:r>
      <w:r>
        <w:rPr>
          <w:sz w:val="21"/>
        </w:rPr>
        <w:t>new developments </w:t>
      </w:r>
      <w:r>
        <w:rPr>
          <w:spacing w:val="-3"/>
          <w:sz w:val="21"/>
        </w:rPr>
        <w:t>to consider </w:t>
      </w:r>
      <w:r>
        <w:rPr>
          <w:sz w:val="21"/>
        </w:rPr>
        <w:t>their impact</w:t>
      </w:r>
      <w:r>
        <w:rPr>
          <w:spacing w:val="16"/>
          <w:sz w:val="21"/>
        </w:rPr>
        <w:t> </w:t>
      </w:r>
      <w:r>
        <w:rPr>
          <w:sz w:val="21"/>
        </w:rPr>
        <w:t>on</w:t>
      </w:r>
      <w:r>
        <w:rPr>
          <w:spacing w:val="16"/>
          <w:sz w:val="21"/>
        </w:rPr>
        <w:t> </w:t>
      </w:r>
      <w:r>
        <w:rPr>
          <w:spacing w:val="-3"/>
          <w:sz w:val="21"/>
        </w:rPr>
        <w:t>any</w:t>
      </w:r>
      <w:r>
        <w:rPr>
          <w:spacing w:val="17"/>
          <w:sz w:val="21"/>
        </w:rPr>
        <w:t> </w:t>
      </w:r>
      <w:r>
        <w:rPr>
          <w:sz w:val="21"/>
        </w:rPr>
        <w:t>existing</w:t>
      </w:r>
      <w:r>
        <w:rPr>
          <w:spacing w:val="16"/>
          <w:sz w:val="21"/>
        </w:rPr>
        <w:t> </w:t>
      </w:r>
      <w:r>
        <w:rPr>
          <w:sz w:val="21"/>
        </w:rPr>
        <w:t>solar</w:t>
      </w:r>
      <w:r>
        <w:rPr>
          <w:spacing w:val="17"/>
          <w:sz w:val="21"/>
        </w:rPr>
        <w:t> </w:t>
      </w:r>
      <w:r>
        <w:rPr>
          <w:sz w:val="21"/>
        </w:rPr>
        <w:t>energy</w:t>
      </w:r>
      <w:r>
        <w:rPr>
          <w:spacing w:val="16"/>
          <w:sz w:val="21"/>
        </w:rPr>
        <w:t> </w:t>
      </w:r>
      <w:r>
        <w:rPr>
          <w:spacing w:val="-3"/>
          <w:sz w:val="21"/>
        </w:rPr>
        <w:t>facility</w:t>
      </w:r>
      <w:r>
        <w:rPr>
          <w:spacing w:val="17"/>
          <w:sz w:val="21"/>
        </w:rPr>
        <w:t> </w:t>
      </w:r>
      <w:r>
        <w:rPr>
          <w:spacing w:val="-3"/>
          <w:sz w:val="21"/>
        </w:rPr>
        <w:t>mounted</w:t>
      </w:r>
      <w:r>
        <w:rPr>
          <w:spacing w:val="16"/>
          <w:sz w:val="21"/>
        </w:rPr>
        <w:t> </w:t>
      </w:r>
      <w:r>
        <w:rPr>
          <w:sz w:val="21"/>
        </w:rPr>
        <w:t>on</w:t>
      </w:r>
      <w:r>
        <w:rPr>
          <w:spacing w:val="16"/>
          <w:sz w:val="21"/>
        </w:rPr>
        <w:t> </w:t>
      </w:r>
      <w:r>
        <w:rPr>
          <w:sz w:val="21"/>
        </w:rPr>
        <w:t>the</w:t>
      </w:r>
      <w:r>
        <w:rPr>
          <w:spacing w:val="17"/>
          <w:sz w:val="21"/>
        </w:rPr>
        <w:t> </w:t>
      </w:r>
      <w:r>
        <w:rPr>
          <w:sz w:val="21"/>
        </w:rPr>
        <w:t>roof</w:t>
      </w:r>
      <w:r>
        <w:rPr>
          <w:spacing w:val="16"/>
          <w:sz w:val="21"/>
        </w:rPr>
        <w:t> </w:t>
      </w:r>
      <w:r>
        <w:rPr>
          <w:sz w:val="21"/>
        </w:rPr>
        <w:t>of</w:t>
      </w:r>
      <w:r>
        <w:rPr>
          <w:spacing w:val="17"/>
          <w:sz w:val="21"/>
        </w:rPr>
        <w:t> </w:t>
      </w:r>
      <w:r>
        <w:rPr>
          <w:sz w:val="21"/>
        </w:rPr>
        <w:t>an</w:t>
      </w:r>
      <w:r>
        <w:rPr>
          <w:spacing w:val="16"/>
          <w:sz w:val="21"/>
        </w:rPr>
        <w:t> </w:t>
      </w:r>
      <w:r>
        <w:rPr>
          <w:spacing w:val="-3"/>
          <w:sz w:val="21"/>
        </w:rPr>
        <w:t>adjoining</w:t>
      </w:r>
    </w:p>
    <w:p>
      <w:pPr>
        <w:pStyle w:val="BodyText"/>
        <w:spacing w:line="242" w:lineRule="auto" w:before="3"/>
        <w:ind w:left="2380" w:right="1589"/>
        <w:rPr>
          <w:sz w:val="12"/>
        </w:rPr>
      </w:pPr>
      <w:r>
        <w:rPr>
          <w:spacing w:val="-5"/>
          <w:w w:val="105"/>
        </w:rPr>
        <w:t>dwelling.</w:t>
      </w:r>
      <w:r>
        <w:rPr>
          <w:spacing w:val="-5"/>
          <w:w w:val="105"/>
          <w:position w:val="7"/>
          <w:sz w:val="12"/>
        </w:rPr>
        <w:t>101 </w:t>
      </w:r>
      <w:r>
        <w:rPr>
          <w:spacing w:val="-4"/>
          <w:w w:val="105"/>
        </w:rPr>
        <w:t>Moreover, </w:t>
      </w:r>
      <w:r>
        <w:rPr>
          <w:w w:val="105"/>
        </w:rPr>
        <w:t>a home owners guide </w:t>
      </w:r>
      <w:r>
        <w:rPr>
          <w:spacing w:val="-3"/>
          <w:w w:val="105"/>
        </w:rPr>
        <w:t>encourages </w:t>
      </w:r>
      <w:r>
        <w:rPr>
          <w:w w:val="105"/>
        </w:rPr>
        <w:t>landowners </w:t>
      </w:r>
      <w:r>
        <w:rPr>
          <w:spacing w:val="-3"/>
          <w:w w:val="105"/>
        </w:rPr>
        <w:t>to carefully consider overshadowing </w:t>
      </w:r>
      <w:r>
        <w:rPr>
          <w:w w:val="105"/>
        </w:rPr>
        <w:t>risks at the </w:t>
      </w:r>
      <w:r>
        <w:rPr>
          <w:spacing w:val="-3"/>
          <w:w w:val="105"/>
        </w:rPr>
        <w:t>surrounding </w:t>
      </w:r>
      <w:r>
        <w:rPr>
          <w:spacing w:val="-4"/>
          <w:w w:val="105"/>
        </w:rPr>
        <w:t>site, </w:t>
      </w:r>
      <w:r>
        <w:rPr>
          <w:spacing w:val="-3"/>
          <w:w w:val="105"/>
        </w:rPr>
        <w:t>including </w:t>
      </w:r>
      <w:r>
        <w:rPr>
          <w:w w:val="105"/>
        </w:rPr>
        <w:t>the existence of tall trees </w:t>
      </w:r>
      <w:r>
        <w:rPr>
          <w:spacing w:val="-3"/>
          <w:w w:val="105"/>
        </w:rPr>
        <w:t>planted </w:t>
      </w:r>
      <w:r>
        <w:rPr>
          <w:w w:val="105"/>
        </w:rPr>
        <w:t>on</w:t>
      </w:r>
      <w:r>
        <w:rPr>
          <w:spacing w:val="-8"/>
          <w:w w:val="105"/>
        </w:rPr>
        <w:t> </w:t>
      </w:r>
      <w:r>
        <w:rPr>
          <w:spacing w:val="-3"/>
          <w:w w:val="105"/>
        </w:rPr>
        <w:t>adjoining</w:t>
      </w:r>
      <w:r>
        <w:rPr>
          <w:spacing w:val="-7"/>
          <w:w w:val="105"/>
        </w:rPr>
        <w:t> </w:t>
      </w:r>
      <w:r>
        <w:rPr>
          <w:w w:val="105"/>
        </w:rPr>
        <w:t>lots</w:t>
      </w:r>
      <w:r>
        <w:rPr>
          <w:spacing w:val="-8"/>
          <w:w w:val="105"/>
        </w:rPr>
        <w:t> </w:t>
      </w:r>
      <w:r>
        <w:rPr>
          <w:w w:val="105"/>
        </w:rPr>
        <w:t>of</w:t>
      </w:r>
      <w:r>
        <w:rPr>
          <w:spacing w:val="-7"/>
          <w:w w:val="105"/>
        </w:rPr>
        <w:t> </w:t>
      </w:r>
      <w:r>
        <w:rPr>
          <w:spacing w:val="-3"/>
          <w:w w:val="105"/>
        </w:rPr>
        <w:t>land</w:t>
      </w:r>
      <w:r>
        <w:rPr>
          <w:spacing w:val="-8"/>
          <w:w w:val="105"/>
        </w:rPr>
        <w:t> </w:t>
      </w:r>
      <w:r>
        <w:rPr>
          <w:w w:val="105"/>
        </w:rPr>
        <w:t>and</w:t>
      </w:r>
      <w:r>
        <w:rPr>
          <w:spacing w:val="-7"/>
          <w:w w:val="105"/>
        </w:rPr>
        <w:t> </w:t>
      </w:r>
      <w:r>
        <w:rPr>
          <w:w w:val="105"/>
        </w:rPr>
        <w:t>their</w:t>
      </w:r>
      <w:r>
        <w:rPr>
          <w:spacing w:val="-8"/>
          <w:w w:val="105"/>
        </w:rPr>
        <w:t> </w:t>
      </w:r>
      <w:r>
        <w:rPr>
          <w:w w:val="105"/>
        </w:rPr>
        <w:t>growth</w:t>
      </w:r>
      <w:r>
        <w:rPr>
          <w:spacing w:val="-7"/>
          <w:w w:val="105"/>
        </w:rPr>
        <w:t> </w:t>
      </w:r>
      <w:r>
        <w:rPr>
          <w:spacing w:val="-3"/>
          <w:w w:val="105"/>
        </w:rPr>
        <w:t>potential,</w:t>
      </w:r>
      <w:r>
        <w:rPr>
          <w:spacing w:val="-8"/>
          <w:w w:val="105"/>
        </w:rPr>
        <w:t> </w:t>
      </w:r>
      <w:r>
        <w:rPr>
          <w:w w:val="105"/>
        </w:rPr>
        <w:t>prior</w:t>
      </w:r>
      <w:r>
        <w:rPr>
          <w:spacing w:val="-7"/>
          <w:w w:val="105"/>
        </w:rPr>
        <w:t> </w:t>
      </w:r>
      <w:r>
        <w:rPr>
          <w:spacing w:val="-3"/>
          <w:w w:val="105"/>
        </w:rPr>
        <w:t>to</w:t>
      </w:r>
      <w:r>
        <w:rPr>
          <w:spacing w:val="-7"/>
          <w:w w:val="105"/>
        </w:rPr>
        <w:t> </w:t>
      </w:r>
      <w:r>
        <w:rPr>
          <w:spacing w:val="-3"/>
          <w:w w:val="105"/>
        </w:rPr>
        <w:t>installing</w:t>
      </w:r>
      <w:r>
        <w:rPr>
          <w:spacing w:val="-8"/>
          <w:w w:val="105"/>
        </w:rPr>
        <w:t> </w:t>
      </w:r>
      <w:r>
        <w:rPr>
          <w:w w:val="105"/>
        </w:rPr>
        <w:t>roof</w:t>
      </w:r>
      <w:r>
        <w:rPr>
          <w:spacing w:val="-7"/>
          <w:w w:val="105"/>
        </w:rPr>
        <w:t> </w:t>
      </w:r>
      <w:r>
        <w:rPr>
          <w:w w:val="105"/>
        </w:rPr>
        <w:t>solar</w:t>
      </w:r>
      <w:r>
        <w:rPr>
          <w:spacing w:val="-8"/>
          <w:w w:val="105"/>
        </w:rPr>
        <w:t> </w:t>
      </w:r>
      <w:r>
        <w:rPr>
          <w:spacing w:val="-3"/>
          <w:w w:val="105"/>
        </w:rPr>
        <w:t>systems.</w:t>
      </w:r>
      <w:r>
        <w:rPr>
          <w:spacing w:val="-3"/>
          <w:w w:val="105"/>
          <w:position w:val="7"/>
          <w:sz w:val="12"/>
        </w:rPr>
        <w:t>102 </w:t>
      </w:r>
      <w:r>
        <w:rPr>
          <w:w w:val="105"/>
        </w:rPr>
        <w:t>It</w:t>
      </w:r>
      <w:r>
        <w:rPr>
          <w:spacing w:val="-11"/>
          <w:w w:val="105"/>
        </w:rPr>
        <w:t> </w:t>
      </w:r>
      <w:r>
        <w:rPr>
          <w:w w:val="105"/>
        </w:rPr>
        <w:t>advises</w:t>
      </w:r>
      <w:r>
        <w:rPr>
          <w:spacing w:val="-10"/>
          <w:w w:val="105"/>
        </w:rPr>
        <w:t> </w:t>
      </w:r>
      <w:r>
        <w:rPr>
          <w:spacing w:val="-3"/>
          <w:w w:val="105"/>
        </w:rPr>
        <w:t>‘where</w:t>
      </w:r>
      <w:r>
        <w:rPr>
          <w:spacing w:val="-10"/>
          <w:w w:val="105"/>
        </w:rPr>
        <w:t> </w:t>
      </w:r>
      <w:r>
        <w:rPr>
          <w:spacing w:val="-3"/>
          <w:w w:val="105"/>
        </w:rPr>
        <w:t>shading</w:t>
      </w:r>
      <w:r>
        <w:rPr>
          <w:spacing w:val="-10"/>
          <w:w w:val="105"/>
        </w:rPr>
        <w:t> </w:t>
      </w:r>
      <w:r>
        <w:rPr>
          <w:spacing w:val="-3"/>
          <w:w w:val="105"/>
        </w:rPr>
        <w:t>from</w:t>
      </w:r>
      <w:r>
        <w:rPr>
          <w:spacing w:val="-10"/>
          <w:w w:val="105"/>
        </w:rPr>
        <w:t> </w:t>
      </w:r>
      <w:r>
        <w:rPr>
          <w:w w:val="105"/>
        </w:rPr>
        <w:t>trees</w:t>
      </w:r>
      <w:r>
        <w:rPr>
          <w:spacing w:val="-10"/>
          <w:w w:val="105"/>
        </w:rPr>
        <w:t> </w:t>
      </w:r>
      <w:r>
        <w:rPr>
          <w:w w:val="105"/>
        </w:rPr>
        <w:t>is</w:t>
      </w:r>
      <w:r>
        <w:rPr>
          <w:spacing w:val="-10"/>
          <w:w w:val="105"/>
        </w:rPr>
        <w:t> </w:t>
      </w:r>
      <w:r>
        <w:rPr>
          <w:spacing w:val="-5"/>
          <w:w w:val="105"/>
        </w:rPr>
        <w:t>likely,</w:t>
      </w:r>
      <w:r>
        <w:rPr>
          <w:spacing w:val="-10"/>
          <w:w w:val="105"/>
        </w:rPr>
        <w:t> </w:t>
      </w:r>
      <w:r>
        <w:rPr>
          <w:spacing w:val="-3"/>
          <w:w w:val="105"/>
        </w:rPr>
        <w:t>examine</w:t>
      </w:r>
      <w:r>
        <w:rPr>
          <w:spacing w:val="-10"/>
          <w:w w:val="105"/>
        </w:rPr>
        <w:t> </w:t>
      </w:r>
      <w:r>
        <w:rPr>
          <w:spacing w:val="-3"/>
          <w:w w:val="105"/>
        </w:rPr>
        <w:t>alternative</w:t>
      </w:r>
      <w:r>
        <w:rPr>
          <w:spacing w:val="-10"/>
          <w:w w:val="105"/>
        </w:rPr>
        <w:t> </w:t>
      </w:r>
      <w:r>
        <w:rPr>
          <w:w w:val="105"/>
        </w:rPr>
        <w:t>locations</w:t>
      </w:r>
      <w:r>
        <w:rPr>
          <w:spacing w:val="-10"/>
          <w:w w:val="105"/>
        </w:rPr>
        <w:t> </w:t>
      </w:r>
      <w:r>
        <w:rPr>
          <w:spacing w:val="-3"/>
          <w:w w:val="105"/>
        </w:rPr>
        <w:t>for</w:t>
      </w:r>
      <w:r>
        <w:rPr>
          <w:spacing w:val="-10"/>
          <w:w w:val="105"/>
        </w:rPr>
        <w:t> </w:t>
      </w:r>
      <w:r>
        <w:rPr>
          <w:w w:val="105"/>
        </w:rPr>
        <w:t>solar</w:t>
      </w:r>
      <w:r>
        <w:rPr>
          <w:spacing w:val="-10"/>
          <w:w w:val="105"/>
        </w:rPr>
        <w:t> </w:t>
      </w:r>
      <w:r>
        <w:rPr>
          <w:w w:val="105"/>
        </w:rPr>
        <w:t>system </w:t>
      </w:r>
      <w:r>
        <w:rPr>
          <w:spacing w:val="-5"/>
          <w:w w:val="105"/>
        </w:rPr>
        <w:t>placement’.</w:t>
      </w:r>
      <w:r>
        <w:rPr>
          <w:spacing w:val="-5"/>
          <w:w w:val="105"/>
          <w:position w:val="7"/>
          <w:sz w:val="12"/>
        </w:rPr>
        <w:t>103</w:t>
      </w:r>
    </w:p>
    <w:p>
      <w:pPr>
        <w:pStyle w:val="BodyText"/>
        <w:spacing w:before="6"/>
        <w:rPr>
          <w:sz w:val="20"/>
        </w:rPr>
      </w:pPr>
    </w:p>
    <w:p>
      <w:pPr>
        <w:pStyle w:val="Heading5"/>
      </w:pPr>
      <w:r>
        <w:rPr>
          <w:w w:val="115"/>
        </w:rPr>
        <w:t>Illegal removal of vegetation</w:t>
      </w:r>
    </w:p>
    <w:p>
      <w:pPr>
        <w:pStyle w:val="ListParagraph"/>
        <w:numPr>
          <w:ilvl w:val="1"/>
          <w:numId w:val="16"/>
        </w:numPr>
        <w:tabs>
          <w:tab w:pos="2380" w:val="left" w:leader="none"/>
          <w:tab w:pos="2381" w:val="left" w:leader="none"/>
        </w:tabs>
        <w:spacing w:line="242" w:lineRule="auto" w:before="137" w:after="0"/>
        <w:ind w:left="2381" w:right="1585" w:hanging="794"/>
        <w:jc w:val="left"/>
        <w:rPr>
          <w:sz w:val="21"/>
        </w:rPr>
      </w:pPr>
      <w:r>
        <w:rPr>
          <w:w w:val="105"/>
          <w:sz w:val="21"/>
        </w:rPr>
        <w:t>The </w:t>
      </w:r>
      <w:r>
        <w:rPr>
          <w:spacing w:val="-3"/>
          <w:w w:val="105"/>
          <w:sz w:val="21"/>
        </w:rPr>
        <w:t>City </w:t>
      </w:r>
      <w:r>
        <w:rPr>
          <w:w w:val="105"/>
          <w:sz w:val="21"/>
        </w:rPr>
        <w:t>of </w:t>
      </w:r>
      <w:r>
        <w:rPr>
          <w:spacing w:val="-3"/>
          <w:w w:val="105"/>
          <w:sz w:val="21"/>
        </w:rPr>
        <w:t>Boroondara </w:t>
      </w:r>
      <w:r>
        <w:rPr>
          <w:w w:val="105"/>
          <w:sz w:val="21"/>
        </w:rPr>
        <w:t>expressed </w:t>
      </w:r>
      <w:r>
        <w:rPr>
          <w:spacing w:val="-3"/>
          <w:w w:val="105"/>
          <w:sz w:val="21"/>
        </w:rPr>
        <w:t>concern </w:t>
      </w:r>
      <w:r>
        <w:rPr>
          <w:w w:val="105"/>
          <w:sz w:val="21"/>
        </w:rPr>
        <w:t>about a new Act </w:t>
      </w:r>
      <w:r>
        <w:rPr>
          <w:spacing w:val="-3"/>
          <w:w w:val="105"/>
          <w:sz w:val="21"/>
        </w:rPr>
        <w:t>providing </w:t>
      </w:r>
      <w:r>
        <w:rPr>
          <w:w w:val="105"/>
          <w:sz w:val="21"/>
        </w:rPr>
        <w:t>scope </w:t>
      </w:r>
      <w:r>
        <w:rPr>
          <w:spacing w:val="-3"/>
          <w:w w:val="105"/>
          <w:sz w:val="21"/>
        </w:rPr>
        <w:t>for </w:t>
      </w:r>
      <w:r>
        <w:rPr>
          <w:w w:val="105"/>
          <w:sz w:val="21"/>
        </w:rPr>
        <w:t>trees </w:t>
      </w:r>
      <w:r>
        <w:rPr>
          <w:spacing w:val="-3"/>
          <w:w w:val="105"/>
          <w:sz w:val="21"/>
        </w:rPr>
        <w:t>to </w:t>
      </w:r>
      <w:r>
        <w:rPr>
          <w:w w:val="105"/>
          <w:sz w:val="21"/>
        </w:rPr>
        <w:t>be</w:t>
      </w:r>
      <w:r>
        <w:rPr>
          <w:spacing w:val="-13"/>
          <w:w w:val="105"/>
          <w:sz w:val="21"/>
        </w:rPr>
        <w:t> </w:t>
      </w:r>
      <w:r>
        <w:rPr>
          <w:w w:val="105"/>
          <w:sz w:val="21"/>
        </w:rPr>
        <w:t>removed</w:t>
      </w:r>
      <w:r>
        <w:rPr>
          <w:spacing w:val="-12"/>
          <w:w w:val="105"/>
          <w:sz w:val="21"/>
        </w:rPr>
        <w:t> </w:t>
      </w:r>
      <w:r>
        <w:rPr>
          <w:spacing w:val="-3"/>
          <w:w w:val="105"/>
          <w:sz w:val="21"/>
        </w:rPr>
        <w:t>to</w:t>
      </w:r>
      <w:r>
        <w:rPr>
          <w:spacing w:val="-12"/>
          <w:w w:val="105"/>
          <w:sz w:val="21"/>
        </w:rPr>
        <w:t> </w:t>
      </w:r>
      <w:r>
        <w:rPr>
          <w:spacing w:val="-3"/>
          <w:w w:val="105"/>
          <w:sz w:val="21"/>
        </w:rPr>
        <w:t>facilitate</w:t>
      </w:r>
      <w:r>
        <w:rPr>
          <w:spacing w:val="-12"/>
          <w:w w:val="105"/>
          <w:sz w:val="21"/>
        </w:rPr>
        <w:t> </w:t>
      </w:r>
      <w:r>
        <w:rPr>
          <w:w w:val="105"/>
          <w:sz w:val="21"/>
        </w:rPr>
        <w:t>development</w:t>
      </w:r>
      <w:r>
        <w:rPr>
          <w:spacing w:val="-12"/>
          <w:w w:val="105"/>
          <w:sz w:val="21"/>
        </w:rPr>
        <w:t> </w:t>
      </w:r>
      <w:r>
        <w:rPr>
          <w:w w:val="105"/>
          <w:sz w:val="21"/>
        </w:rPr>
        <w:t>on</w:t>
      </w:r>
      <w:r>
        <w:rPr>
          <w:spacing w:val="-12"/>
          <w:w w:val="105"/>
          <w:sz w:val="21"/>
        </w:rPr>
        <w:t> </w:t>
      </w:r>
      <w:r>
        <w:rPr>
          <w:spacing w:val="-3"/>
          <w:w w:val="105"/>
          <w:sz w:val="21"/>
        </w:rPr>
        <w:t>neighbouring</w:t>
      </w:r>
      <w:r>
        <w:rPr>
          <w:spacing w:val="-12"/>
          <w:w w:val="105"/>
          <w:sz w:val="21"/>
        </w:rPr>
        <w:t> </w:t>
      </w:r>
      <w:r>
        <w:rPr>
          <w:spacing w:val="-5"/>
          <w:w w:val="105"/>
          <w:sz w:val="21"/>
        </w:rPr>
        <w:t>land.</w:t>
      </w:r>
      <w:r>
        <w:rPr>
          <w:spacing w:val="-5"/>
          <w:w w:val="105"/>
          <w:position w:val="7"/>
          <w:sz w:val="12"/>
        </w:rPr>
        <w:t>104</w:t>
      </w:r>
      <w:r>
        <w:rPr>
          <w:spacing w:val="11"/>
          <w:w w:val="105"/>
          <w:position w:val="7"/>
          <w:sz w:val="12"/>
        </w:rPr>
        <w:t> </w:t>
      </w:r>
      <w:r>
        <w:rPr>
          <w:w w:val="105"/>
          <w:sz w:val="21"/>
        </w:rPr>
        <w:t>Other</w:t>
      </w:r>
      <w:r>
        <w:rPr>
          <w:spacing w:val="-12"/>
          <w:w w:val="105"/>
          <w:sz w:val="21"/>
        </w:rPr>
        <w:t> </w:t>
      </w:r>
      <w:r>
        <w:rPr>
          <w:w w:val="105"/>
          <w:sz w:val="21"/>
        </w:rPr>
        <w:t>community</w:t>
      </w:r>
      <w:r>
        <w:rPr>
          <w:spacing w:val="-12"/>
          <w:w w:val="105"/>
          <w:sz w:val="21"/>
        </w:rPr>
        <w:t> </w:t>
      </w:r>
      <w:r>
        <w:rPr>
          <w:w w:val="105"/>
          <w:sz w:val="21"/>
        </w:rPr>
        <w:t>members also </w:t>
      </w:r>
      <w:r>
        <w:rPr>
          <w:spacing w:val="-2"/>
          <w:w w:val="105"/>
          <w:sz w:val="21"/>
        </w:rPr>
        <w:t>raised </w:t>
      </w:r>
      <w:r>
        <w:rPr>
          <w:spacing w:val="-3"/>
          <w:w w:val="105"/>
          <w:sz w:val="21"/>
        </w:rPr>
        <w:t>concern </w:t>
      </w:r>
      <w:r>
        <w:rPr>
          <w:w w:val="105"/>
          <w:sz w:val="21"/>
        </w:rPr>
        <w:t>about the </w:t>
      </w:r>
      <w:r>
        <w:rPr>
          <w:spacing w:val="-3"/>
          <w:w w:val="105"/>
          <w:sz w:val="21"/>
        </w:rPr>
        <w:t>illegal removal </w:t>
      </w:r>
      <w:r>
        <w:rPr>
          <w:w w:val="105"/>
          <w:sz w:val="21"/>
        </w:rPr>
        <w:t>of vegetation by developers or neighbours on </w:t>
      </w:r>
      <w:r>
        <w:rPr>
          <w:spacing w:val="-3"/>
          <w:w w:val="105"/>
          <w:sz w:val="21"/>
        </w:rPr>
        <w:t>adjoining </w:t>
      </w:r>
      <w:r>
        <w:rPr>
          <w:spacing w:val="-5"/>
          <w:w w:val="105"/>
          <w:sz w:val="21"/>
        </w:rPr>
        <w:t>land,</w:t>
      </w:r>
      <w:r>
        <w:rPr>
          <w:spacing w:val="-5"/>
          <w:w w:val="105"/>
          <w:position w:val="7"/>
          <w:sz w:val="12"/>
        </w:rPr>
        <w:t>105 </w:t>
      </w:r>
      <w:r>
        <w:rPr>
          <w:w w:val="105"/>
          <w:sz w:val="21"/>
        </w:rPr>
        <w:t>with community members suggesting </w:t>
      </w:r>
      <w:r>
        <w:rPr>
          <w:spacing w:val="-3"/>
          <w:w w:val="105"/>
          <w:sz w:val="21"/>
        </w:rPr>
        <w:t>that </w:t>
      </w:r>
      <w:r>
        <w:rPr>
          <w:w w:val="105"/>
          <w:sz w:val="21"/>
        </w:rPr>
        <w:t>the </w:t>
      </w:r>
      <w:r>
        <w:rPr>
          <w:spacing w:val="-3"/>
          <w:w w:val="105"/>
          <w:sz w:val="21"/>
        </w:rPr>
        <w:t>current </w:t>
      </w:r>
      <w:r>
        <w:rPr>
          <w:w w:val="105"/>
          <w:sz w:val="21"/>
        </w:rPr>
        <w:t>penalties </w:t>
      </w:r>
      <w:r>
        <w:rPr>
          <w:spacing w:val="-3"/>
          <w:w w:val="105"/>
          <w:sz w:val="21"/>
        </w:rPr>
        <w:t>for such </w:t>
      </w:r>
      <w:r>
        <w:rPr>
          <w:w w:val="105"/>
          <w:sz w:val="21"/>
        </w:rPr>
        <w:t>actions </w:t>
      </w:r>
      <w:r>
        <w:rPr>
          <w:spacing w:val="-3"/>
          <w:w w:val="105"/>
          <w:sz w:val="21"/>
        </w:rPr>
        <w:t>were </w:t>
      </w:r>
      <w:r>
        <w:rPr>
          <w:spacing w:val="-2"/>
          <w:w w:val="105"/>
          <w:sz w:val="21"/>
        </w:rPr>
        <w:t>not </w:t>
      </w:r>
      <w:r>
        <w:rPr>
          <w:w w:val="105"/>
          <w:sz w:val="21"/>
        </w:rPr>
        <w:t>acting as a</w:t>
      </w:r>
      <w:r>
        <w:rPr>
          <w:spacing w:val="42"/>
          <w:w w:val="105"/>
          <w:sz w:val="21"/>
        </w:rPr>
        <w:t> </w:t>
      </w:r>
      <w:r>
        <w:rPr>
          <w:spacing w:val="-4"/>
          <w:w w:val="105"/>
          <w:sz w:val="21"/>
        </w:rPr>
        <w:t>deterrent.</w:t>
      </w:r>
      <w:r>
        <w:rPr>
          <w:spacing w:val="-4"/>
          <w:w w:val="105"/>
          <w:position w:val="7"/>
          <w:sz w:val="12"/>
        </w:rPr>
        <w:t>106</w:t>
      </w:r>
    </w:p>
    <w:p>
      <w:pPr>
        <w:pStyle w:val="ListParagraph"/>
        <w:numPr>
          <w:ilvl w:val="1"/>
          <w:numId w:val="16"/>
        </w:numPr>
        <w:tabs>
          <w:tab w:pos="2381" w:val="left" w:leader="none"/>
          <w:tab w:pos="2382" w:val="left" w:leader="none"/>
        </w:tabs>
        <w:spacing w:line="242" w:lineRule="auto" w:before="126" w:after="0"/>
        <w:ind w:left="2381" w:right="1591" w:hanging="794"/>
        <w:jc w:val="left"/>
        <w:rPr>
          <w:sz w:val="21"/>
        </w:rPr>
      </w:pPr>
      <w:r>
        <w:rPr>
          <w:w w:val="105"/>
          <w:sz w:val="21"/>
        </w:rPr>
        <w:t>The new Act is </w:t>
      </w:r>
      <w:r>
        <w:rPr>
          <w:spacing w:val="-2"/>
          <w:w w:val="105"/>
          <w:sz w:val="21"/>
        </w:rPr>
        <w:t>not </w:t>
      </w:r>
      <w:r>
        <w:rPr>
          <w:spacing w:val="-3"/>
          <w:w w:val="105"/>
          <w:sz w:val="21"/>
        </w:rPr>
        <w:t>intended to facilitate </w:t>
      </w:r>
      <w:r>
        <w:rPr>
          <w:w w:val="105"/>
          <w:sz w:val="21"/>
        </w:rPr>
        <w:t>tree </w:t>
      </w:r>
      <w:r>
        <w:rPr>
          <w:spacing w:val="-3"/>
          <w:w w:val="105"/>
          <w:sz w:val="21"/>
        </w:rPr>
        <w:t>removal for </w:t>
      </w:r>
      <w:r>
        <w:rPr>
          <w:w w:val="105"/>
          <w:sz w:val="21"/>
        </w:rPr>
        <w:t>the development of </w:t>
      </w:r>
      <w:r>
        <w:rPr>
          <w:spacing w:val="-3"/>
          <w:w w:val="105"/>
          <w:sz w:val="21"/>
        </w:rPr>
        <w:t>land. </w:t>
      </w:r>
      <w:r>
        <w:rPr>
          <w:w w:val="105"/>
          <w:sz w:val="21"/>
        </w:rPr>
        <w:t>As discussed in </w:t>
      </w:r>
      <w:r>
        <w:rPr>
          <w:spacing w:val="-4"/>
          <w:w w:val="105"/>
          <w:sz w:val="21"/>
        </w:rPr>
        <w:t>Chapter </w:t>
      </w:r>
      <w:r>
        <w:rPr>
          <w:spacing w:val="-3"/>
          <w:w w:val="105"/>
          <w:sz w:val="21"/>
        </w:rPr>
        <w:t>5, </w:t>
      </w:r>
      <w:r>
        <w:rPr>
          <w:w w:val="105"/>
          <w:sz w:val="21"/>
        </w:rPr>
        <w:t>only trees </w:t>
      </w:r>
      <w:r>
        <w:rPr>
          <w:spacing w:val="-3"/>
          <w:w w:val="105"/>
          <w:sz w:val="21"/>
        </w:rPr>
        <w:t>that have </w:t>
      </w:r>
      <w:r>
        <w:rPr>
          <w:w w:val="105"/>
          <w:sz w:val="21"/>
        </w:rPr>
        <w:t>caused, </w:t>
      </w:r>
      <w:r>
        <w:rPr>
          <w:spacing w:val="-3"/>
          <w:w w:val="105"/>
          <w:sz w:val="21"/>
        </w:rPr>
        <w:t>are causing </w:t>
      </w:r>
      <w:r>
        <w:rPr>
          <w:w w:val="105"/>
          <w:sz w:val="21"/>
        </w:rPr>
        <w:t>or </w:t>
      </w:r>
      <w:r>
        <w:rPr>
          <w:spacing w:val="-3"/>
          <w:w w:val="105"/>
          <w:sz w:val="21"/>
        </w:rPr>
        <w:t>are </w:t>
      </w:r>
      <w:r>
        <w:rPr>
          <w:spacing w:val="-4"/>
          <w:w w:val="105"/>
          <w:sz w:val="21"/>
        </w:rPr>
        <w:t>likely </w:t>
      </w:r>
      <w:r>
        <w:rPr>
          <w:spacing w:val="-3"/>
          <w:w w:val="105"/>
          <w:sz w:val="21"/>
        </w:rPr>
        <w:t>to </w:t>
      </w:r>
      <w:r>
        <w:rPr>
          <w:w w:val="105"/>
          <w:sz w:val="21"/>
        </w:rPr>
        <w:t>cause damage or </w:t>
      </w:r>
      <w:r>
        <w:rPr>
          <w:spacing w:val="-3"/>
          <w:w w:val="105"/>
          <w:sz w:val="21"/>
        </w:rPr>
        <w:t>harm to neighbouring </w:t>
      </w:r>
      <w:r>
        <w:rPr>
          <w:w w:val="105"/>
          <w:sz w:val="21"/>
        </w:rPr>
        <w:t>property, </w:t>
      </w:r>
      <w:r>
        <w:rPr>
          <w:spacing w:val="-3"/>
          <w:w w:val="105"/>
          <w:sz w:val="21"/>
        </w:rPr>
        <w:t>land </w:t>
      </w:r>
      <w:r>
        <w:rPr>
          <w:w w:val="105"/>
          <w:sz w:val="21"/>
        </w:rPr>
        <w:t>or people </w:t>
      </w:r>
      <w:r>
        <w:rPr>
          <w:spacing w:val="-3"/>
          <w:w w:val="105"/>
          <w:sz w:val="21"/>
        </w:rPr>
        <w:t>will </w:t>
      </w:r>
      <w:r>
        <w:rPr>
          <w:spacing w:val="-4"/>
          <w:w w:val="105"/>
          <w:sz w:val="21"/>
        </w:rPr>
        <w:t>fall </w:t>
      </w:r>
      <w:r>
        <w:rPr>
          <w:spacing w:val="-3"/>
          <w:w w:val="105"/>
          <w:sz w:val="21"/>
        </w:rPr>
        <w:t>within </w:t>
      </w:r>
      <w:r>
        <w:rPr>
          <w:w w:val="105"/>
          <w:sz w:val="21"/>
        </w:rPr>
        <w:t>the scope of a new Act. In </w:t>
      </w:r>
      <w:r>
        <w:rPr>
          <w:spacing w:val="-3"/>
          <w:w w:val="105"/>
          <w:sz w:val="21"/>
        </w:rPr>
        <w:t>addition, </w:t>
      </w:r>
      <w:r>
        <w:rPr>
          <w:w w:val="105"/>
          <w:sz w:val="21"/>
        </w:rPr>
        <w:t>the </w:t>
      </w:r>
      <w:r>
        <w:rPr>
          <w:spacing w:val="-3"/>
          <w:w w:val="105"/>
          <w:sz w:val="21"/>
        </w:rPr>
        <w:t>Commission </w:t>
      </w:r>
      <w:r>
        <w:rPr>
          <w:spacing w:val="-2"/>
          <w:w w:val="105"/>
          <w:sz w:val="21"/>
        </w:rPr>
        <w:t>has </w:t>
      </w:r>
      <w:r>
        <w:rPr>
          <w:w w:val="105"/>
          <w:sz w:val="21"/>
        </w:rPr>
        <w:t>recommended </w:t>
      </w:r>
      <w:r>
        <w:rPr>
          <w:spacing w:val="-3"/>
          <w:w w:val="105"/>
          <w:sz w:val="21"/>
        </w:rPr>
        <w:t>that </w:t>
      </w:r>
      <w:r>
        <w:rPr>
          <w:w w:val="105"/>
          <w:sz w:val="21"/>
        </w:rPr>
        <w:t>the decision </w:t>
      </w:r>
      <w:r>
        <w:rPr>
          <w:spacing w:val="-4"/>
          <w:w w:val="105"/>
          <w:sz w:val="21"/>
        </w:rPr>
        <w:t>maker </w:t>
      </w:r>
      <w:r>
        <w:rPr>
          <w:spacing w:val="-3"/>
          <w:w w:val="105"/>
          <w:sz w:val="21"/>
        </w:rPr>
        <w:t>consider </w:t>
      </w:r>
      <w:r>
        <w:rPr>
          <w:w w:val="105"/>
          <w:sz w:val="21"/>
        </w:rPr>
        <w:t>whether a tree should be </w:t>
      </w:r>
      <w:r>
        <w:rPr>
          <w:spacing w:val="-3"/>
          <w:w w:val="105"/>
          <w:sz w:val="21"/>
        </w:rPr>
        <w:t>replanted </w:t>
      </w:r>
      <w:r>
        <w:rPr>
          <w:w w:val="105"/>
          <w:sz w:val="21"/>
        </w:rPr>
        <w:t>in cases where tree </w:t>
      </w:r>
      <w:r>
        <w:rPr>
          <w:spacing w:val="-3"/>
          <w:w w:val="105"/>
          <w:sz w:val="21"/>
        </w:rPr>
        <w:t>removal </w:t>
      </w:r>
      <w:r>
        <w:rPr>
          <w:w w:val="105"/>
          <w:sz w:val="21"/>
        </w:rPr>
        <w:t>is </w:t>
      </w:r>
      <w:r>
        <w:rPr>
          <w:spacing w:val="-3"/>
          <w:w w:val="105"/>
          <w:sz w:val="21"/>
        </w:rPr>
        <w:t>considered </w:t>
      </w:r>
      <w:r>
        <w:rPr>
          <w:w w:val="105"/>
          <w:sz w:val="21"/>
        </w:rPr>
        <w:t>necessary. The </w:t>
      </w:r>
      <w:r>
        <w:rPr>
          <w:spacing w:val="-3"/>
          <w:w w:val="105"/>
          <w:sz w:val="21"/>
        </w:rPr>
        <w:t>Commission </w:t>
      </w:r>
      <w:r>
        <w:rPr>
          <w:w w:val="105"/>
          <w:sz w:val="21"/>
        </w:rPr>
        <w:t>is of the view </w:t>
      </w:r>
      <w:r>
        <w:rPr>
          <w:spacing w:val="-3"/>
          <w:w w:val="105"/>
          <w:sz w:val="21"/>
        </w:rPr>
        <w:t>that </w:t>
      </w:r>
      <w:r>
        <w:rPr>
          <w:spacing w:val="-6"/>
          <w:w w:val="105"/>
          <w:sz w:val="21"/>
        </w:rPr>
        <w:t>VCAT’s </w:t>
      </w:r>
      <w:r>
        <w:rPr>
          <w:w w:val="105"/>
          <w:sz w:val="21"/>
        </w:rPr>
        <w:t>existing experience in </w:t>
      </w:r>
      <w:r>
        <w:rPr>
          <w:spacing w:val="-3"/>
          <w:w w:val="105"/>
          <w:sz w:val="21"/>
        </w:rPr>
        <w:t>planning </w:t>
      </w:r>
      <w:r>
        <w:rPr>
          <w:w w:val="105"/>
          <w:sz w:val="21"/>
        </w:rPr>
        <w:t>matters </w:t>
      </w:r>
      <w:r>
        <w:rPr>
          <w:spacing w:val="-3"/>
          <w:w w:val="105"/>
          <w:sz w:val="21"/>
        </w:rPr>
        <w:t>will </w:t>
      </w:r>
      <w:r>
        <w:rPr>
          <w:w w:val="105"/>
          <w:sz w:val="21"/>
        </w:rPr>
        <w:t>assist it </w:t>
      </w:r>
      <w:r>
        <w:rPr>
          <w:spacing w:val="-3"/>
          <w:w w:val="105"/>
          <w:sz w:val="21"/>
        </w:rPr>
        <w:t>to </w:t>
      </w:r>
      <w:r>
        <w:rPr>
          <w:w w:val="105"/>
          <w:sz w:val="21"/>
        </w:rPr>
        <w:t>identify and </w:t>
      </w:r>
      <w:r>
        <w:rPr>
          <w:spacing w:val="-3"/>
          <w:w w:val="105"/>
          <w:sz w:val="21"/>
        </w:rPr>
        <w:t>appropriately manage any applications that </w:t>
      </w:r>
      <w:r>
        <w:rPr>
          <w:w w:val="105"/>
          <w:sz w:val="21"/>
        </w:rPr>
        <w:t>seek </w:t>
      </w:r>
      <w:r>
        <w:rPr>
          <w:spacing w:val="-3"/>
          <w:w w:val="105"/>
          <w:sz w:val="21"/>
        </w:rPr>
        <w:t>to </w:t>
      </w:r>
      <w:r>
        <w:rPr>
          <w:w w:val="105"/>
          <w:sz w:val="21"/>
        </w:rPr>
        <w:t>use the new Act </w:t>
      </w:r>
      <w:r>
        <w:rPr>
          <w:spacing w:val="-3"/>
          <w:w w:val="105"/>
          <w:sz w:val="21"/>
        </w:rPr>
        <w:t>to circumvent </w:t>
      </w:r>
      <w:r>
        <w:rPr>
          <w:w w:val="105"/>
          <w:sz w:val="21"/>
        </w:rPr>
        <w:t>existing legal </w:t>
      </w:r>
      <w:r>
        <w:rPr>
          <w:spacing w:val="-3"/>
          <w:w w:val="105"/>
          <w:sz w:val="21"/>
        </w:rPr>
        <w:t>obligations to retain</w:t>
      </w:r>
      <w:r>
        <w:rPr>
          <w:spacing w:val="41"/>
          <w:w w:val="105"/>
          <w:sz w:val="21"/>
        </w:rPr>
        <w:t> </w:t>
      </w:r>
      <w:r>
        <w:rPr>
          <w:w w:val="105"/>
          <w:sz w:val="21"/>
        </w:rPr>
        <w:t>vegetation.</w:t>
      </w:r>
    </w:p>
    <w:p>
      <w:pPr>
        <w:pStyle w:val="BodyText"/>
        <w:rPr>
          <w:sz w:val="20"/>
        </w:rPr>
      </w:pPr>
    </w:p>
    <w:p>
      <w:pPr>
        <w:pStyle w:val="BodyText"/>
        <w:rPr>
          <w:sz w:val="20"/>
        </w:rPr>
      </w:pPr>
    </w:p>
    <w:p>
      <w:pPr>
        <w:pStyle w:val="BodyText"/>
        <w:spacing w:before="6"/>
        <w:rPr>
          <w:sz w:val="13"/>
        </w:rPr>
      </w:pPr>
      <w:r>
        <w:rPr/>
        <w:pict>
          <v:line style="position:absolute;mso-position-horizontal-relative:page;mso-position-vertical-relative:paragraph;z-index:12104;mso-wrap-distance-left:0;mso-wrap-distance-right:0" from="79.370102pt,10.722522pt" to="515.905102pt,10.722522pt" stroked="true" strokeweight="1pt" strokecolor="#c9d2cb">
            <v:stroke dashstyle="solid"/>
            <w10:wrap type="topAndBottom"/>
          </v:line>
        </w:pict>
      </w:r>
    </w:p>
    <w:p>
      <w:pPr>
        <w:pStyle w:val="BodyText"/>
        <w:spacing w:before="8"/>
        <w:rPr>
          <w:sz w:val="5"/>
        </w:rPr>
      </w:pPr>
    </w:p>
    <w:p>
      <w:pPr>
        <w:spacing w:after="0"/>
        <w:rPr>
          <w:sz w:val="5"/>
        </w:rPr>
        <w:sectPr>
          <w:pgSz w:w="11910" w:h="16840"/>
          <w:pgMar w:header="546"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183"/>
        <w:ind w:left="720" w:right="0" w:firstLine="0"/>
        <w:jc w:val="left"/>
        <w:rPr>
          <w:b/>
          <w:sz w:val="24"/>
        </w:rPr>
      </w:pPr>
      <w:r>
        <w:rPr>
          <w:b/>
          <w:color w:val="658464"/>
          <w:w w:val="110"/>
          <w:sz w:val="24"/>
        </w:rPr>
        <w:t>300</w:t>
      </w:r>
    </w:p>
    <w:p>
      <w:pPr>
        <w:pStyle w:val="ListParagraph"/>
        <w:numPr>
          <w:ilvl w:val="0"/>
          <w:numId w:val="207"/>
        </w:numPr>
        <w:tabs>
          <w:tab w:pos="1214" w:val="left" w:leader="none"/>
          <w:tab w:pos="1215" w:val="left" w:leader="none"/>
        </w:tabs>
        <w:spacing w:line="240" w:lineRule="auto" w:before="48" w:after="0"/>
        <w:ind w:left="1214" w:right="0" w:hanging="794"/>
        <w:jc w:val="left"/>
        <w:rPr>
          <w:sz w:val="13"/>
        </w:rPr>
      </w:pPr>
      <w:r>
        <w:rPr>
          <w:spacing w:val="3"/>
          <w:w w:val="88"/>
          <w:sz w:val="13"/>
        </w:rPr>
        <w:br w:type="column"/>
      </w:r>
      <w:r>
        <w:rPr>
          <w:sz w:val="13"/>
        </w:rPr>
        <w:t>Ibid.</w:t>
      </w:r>
    </w:p>
    <w:p>
      <w:pPr>
        <w:pStyle w:val="ListParagraph"/>
        <w:numPr>
          <w:ilvl w:val="0"/>
          <w:numId w:val="207"/>
        </w:numPr>
        <w:tabs>
          <w:tab w:pos="1213" w:val="left" w:leader="none"/>
          <w:tab w:pos="1215" w:val="left" w:leader="none"/>
        </w:tabs>
        <w:spacing w:line="240" w:lineRule="auto" w:before="1" w:after="0"/>
        <w:ind w:left="1214" w:right="1799" w:hanging="794"/>
        <w:jc w:val="left"/>
        <w:rPr>
          <w:sz w:val="13"/>
        </w:rPr>
      </w:pPr>
      <w:r>
        <w:rPr>
          <w:w w:val="105"/>
          <w:sz w:val="13"/>
        </w:rPr>
        <w:t>Information provided by DSCV as part of a data request from the Commission, November 2018 and clarification of data provided in May 2019.</w:t>
      </w:r>
    </w:p>
    <w:p>
      <w:pPr>
        <w:pStyle w:val="ListParagraph"/>
        <w:numPr>
          <w:ilvl w:val="0"/>
          <w:numId w:val="207"/>
        </w:numPr>
        <w:tabs>
          <w:tab w:pos="1213" w:val="left" w:leader="none"/>
          <w:tab w:pos="1215" w:val="left" w:leader="none"/>
        </w:tabs>
        <w:spacing w:line="240" w:lineRule="auto" w:before="3" w:after="0"/>
        <w:ind w:left="1214" w:right="1645" w:hanging="794"/>
        <w:jc w:val="left"/>
        <w:rPr>
          <w:sz w:val="13"/>
        </w:rPr>
      </w:pPr>
      <w:r>
        <w:rPr>
          <w:spacing w:val="2"/>
          <w:w w:val="105"/>
          <w:sz w:val="13"/>
        </w:rPr>
        <w:t>As </w:t>
      </w:r>
      <w:r>
        <w:rPr>
          <w:w w:val="105"/>
          <w:sz w:val="13"/>
        </w:rPr>
        <w:t>of April </w:t>
      </w:r>
      <w:r>
        <w:rPr>
          <w:spacing w:val="-5"/>
          <w:w w:val="105"/>
          <w:sz w:val="13"/>
        </w:rPr>
        <w:t>2017, </w:t>
      </w:r>
      <w:r>
        <w:rPr>
          <w:w w:val="105"/>
          <w:sz w:val="13"/>
        </w:rPr>
        <w:t>1.6 million properties around Australia had photovoltaic solar panels and new figures from the Australian Photovoltaic Institute show the country’s solar power capacity is expected to double over the </w:t>
      </w:r>
      <w:r>
        <w:rPr>
          <w:spacing w:val="2"/>
          <w:w w:val="105"/>
          <w:sz w:val="13"/>
        </w:rPr>
        <w:t>next </w:t>
      </w:r>
      <w:r>
        <w:rPr>
          <w:w w:val="105"/>
          <w:sz w:val="13"/>
        </w:rPr>
        <w:t>few years: Damien Carrick and Tegan Osborne, ‘Solar Panels</w:t>
      </w:r>
      <w:r>
        <w:rPr>
          <w:spacing w:val="7"/>
          <w:w w:val="105"/>
          <w:sz w:val="13"/>
        </w:rPr>
        <w:t> </w:t>
      </w:r>
      <w:r>
        <w:rPr>
          <w:w w:val="105"/>
          <w:sz w:val="13"/>
        </w:rPr>
        <w:t>and</w:t>
      </w:r>
      <w:r>
        <w:rPr>
          <w:spacing w:val="8"/>
          <w:w w:val="105"/>
          <w:sz w:val="13"/>
        </w:rPr>
        <w:t> </w:t>
      </w:r>
      <w:r>
        <w:rPr>
          <w:w w:val="105"/>
          <w:sz w:val="13"/>
        </w:rPr>
        <w:t>The</w:t>
      </w:r>
      <w:r>
        <w:rPr>
          <w:spacing w:val="8"/>
          <w:w w:val="105"/>
          <w:sz w:val="13"/>
        </w:rPr>
        <w:t> </w:t>
      </w:r>
      <w:r>
        <w:rPr>
          <w:spacing w:val="2"/>
          <w:w w:val="105"/>
          <w:sz w:val="13"/>
        </w:rPr>
        <w:t>Law:</w:t>
      </w:r>
      <w:r>
        <w:rPr>
          <w:spacing w:val="7"/>
          <w:w w:val="105"/>
          <w:sz w:val="13"/>
        </w:rPr>
        <w:t> </w:t>
      </w:r>
      <w:r>
        <w:rPr>
          <w:w w:val="105"/>
          <w:sz w:val="13"/>
        </w:rPr>
        <w:t>Can</w:t>
      </w:r>
      <w:r>
        <w:rPr>
          <w:spacing w:val="8"/>
          <w:w w:val="105"/>
          <w:sz w:val="13"/>
        </w:rPr>
        <w:t> </w:t>
      </w:r>
      <w:r>
        <w:rPr>
          <w:w w:val="105"/>
          <w:sz w:val="13"/>
        </w:rPr>
        <w:t>You</w:t>
      </w:r>
      <w:r>
        <w:rPr>
          <w:spacing w:val="8"/>
          <w:w w:val="105"/>
          <w:sz w:val="13"/>
        </w:rPr>
        <w:t> </w:t>
      </w:r>
      <w:r>
        <w:rPr>
          <w:w w:val="105"/>
          <w:sz w:val="13"/>
        </w:rPr>
        <w:t>Stop</w:t>
      </w:r>
      <w:r>
        <w:rPr>
          <w:spacing w:val="7"/>
          <w:w w:val="105"/>
          <w:sz w:val="13"/>
        </w:rPr>
        <w:t> </w:t>
      </w:r>
      <w:r>
        <w:rPr>
          <w:w w:val="105"/>
          <w:sz w:val="13"/>
        </w:rPr>
        <w:t>Your</w:t>
      </w:r>
      <w:r>
        <w:rPr>
          <w:spacing w:val="8"/>
          <w:w w:val="105"/>
          <w:sz w:val="13"/>
        </w:rPr>
        <w:t> </w:t>
      </w:r>
      <w:r>
        <w:rPr>
          <w:w w:val="105"/>
          <w:sz w:val="13"/>
        </w:rPr>
        <w:t>Neighbour</w:t>
      </w:r>
      <w:r>
        <w:rPr>
          <w:spacing w:val="8"/>
          <w:w w:val="105"/>
          <w:sz w:val="13"/>
        </w:rPr>
        <w:t> </w:t>
      </w:r>
      <w:r>
        <w:rPr>
          <w:w w:val="105"/>
          <w:sz w:val="13"/>
        </w:rPr>
        <w:t>From</w:t>
      </w:r>
      <w:r>
        <w:rPr>
          <w:spacing w:val="7"/>
          <w:w w:val="105"/>
          <w:sz w:val="13"/>
        </w:rPr>
        <w:t> </w:t>
      </w:r>
      <w:r>
        <w:rPr>
          <w:w w:val="105"/>
          <w:sz w:val="13"/>
        </w:rPr>
        <w:t>Blocking</w:t>
      </w:r>
      <w:r>
        <w:rPr>
          <w:spacing w:val="8"/>
          <w:w w:val="105"/>
          <w:sz w:val="13"/>
        </w:rPr>
        <w:t> </w:t>
      </w:r>
      <w:r>
        <w:rPr>
          <w:w w:val="105"/>
          <w:sz w:val="13"/>
        </w:rPr>
        <w:t>Your</w:t>
      </w:r>
      <w:r>
        <w:rPr>
          <w:spacing w:val="8"/>
          <w:w w:val="105"/>
          <w:sz w:val="13"/>
        </w:rPr>
        <w:t> </w:t>
      </w:r>
      <w:r>
        <w:rPr>
          <w:w w:val="105"/>
          <w:sz w:val="13"/>
        </w:rPr>
        <w:t>Sunlight?’,</w:t>
      </w:r>
      <w:r>
        <w:rPr>
          <w:spacing w:val="8"/>
          <w:w w:val="105"/>
          <w:sz w:val="13"/>
        </w:rPr>
        <w:t> </w:t>
      </w:r>
      <w:r>
        <w:rPr>
          <w:i/>
          <w:w w:val="105"/>
          <w:sz w:val="13"/>
        </w:rPr>
        <w:t>The</w:t>
      </w:r>
      <w:r>
        <w:rPr>
          <w:i/>
          <w:spacing w:val="7"/>
          <w:w w:val="105"/>
          <w:sz w:val="13"/>
        </w:rPr>
        <w:t> </w:t>
      </w:r>
      <w:r>
        <w:rPr>
          <w:i/>
          <w:w w:val="105"/>
          <w:sz w:val="13"/>
        </w:rPr>
        <w:t>Law</w:t>
      </w:r>
      <w:r>
        <w:rPr>
          <w:i/>
          <w:spacing w:val="8"/>
          <w:w w:val="105"/>
          <w:sz w:val="13"/>
        </w:rPr>
        <w:t> </w:t>
      </w:r>
      <w:r>
        <w:rPr>
          <w:i/>
          <w:spacing w:val="2"/>
          <w:w w:val="105"/>
          <w:sz w:val="13"/>
        </w:rPr>
        <w:t>Report</w:t>
      </w:r>
      <w:r>
        <w:rPr>
          <w:i/>
          <w:spacing w:val="8"/>
          <w:w w:val="105"/>
          <w:sz w:val="13"/>
        </w:rPr>
        <w:t> </w:t>
      </w:r>
      <w:r>
        <w:rPr>
          <w:w w:val="105"/>
          <w:sz w:val="13"/>
        </w:rPr>
        <w:t>(ABC</w:t>
      </w:r>
      <w:r>
        <w:rPr>
          <w:spacing w:val="7"/>
          <w:w w:val="105"/>
          <w:sz w:val="13"/>
        </w:rPr>
        <w:t> </w:t>
      </w:r>
      <w:r>
        <w:rPr>
          <w:w w:val="105"/>
          <w:sz w:val="13"/>
        </w:rPr>
        <w:t>Radio</w:t>
      </w:r>
      <w:r>
        <w:rPr>
          <w:spacing w:val="8"/>
          <w:w w:val="105"/>
          <w:sz w:val="13"/>
        </w:rPr>
        <w:t> </w:t>
      </w:r>
      <w:r>
        <w:rPr>
          <w:w w:val="105"/>
          <w:sz w:val="13"/>
        </w:rPr>
        <w:t>National,</w:t>
      </w:r>
      <w:r>
        <w:rPr>
          <w:spacing w:val="8"/>
          <w:w w:val="105"/>
          <w:sz w:val="13"/>
        </w:rPr>
        <w:t> </w:t>
      </w:r>
      <w:r>
        <w:rPr>
          <w:w w:val="105"/>
          <w:sz w:val="13"/>
        </w:rPr>
        <w:t>18</w:t>
      </w:r>
      <w:r>
        <w:rPr>
          <w:spacing w:val="7"/>
          <w:w w:val="105"/>
          <w:sz w:val="13"/>
        </w:rPr>
        <w:t> </w:t>
      </w:r>
      <w:r>
        <w:rPr>
          <w:w w:val="105"/>
          <w:sz w:val="13"/>
        </w:rPr>
        <w:t>May</w:t>
      </w:r>
      <w:r>
        <w:rPr>
          <w:spacing w:val="8"/>
          <w:w w:val="105"/>
          <w:sz w:val="13"/>
        </w:rPr>
        <w:t> </w:t>
      </w:r>
      <w:r>
        <w:rPr>
          <w:w w:val="105"/>
          <w:sz w:val="13"/>
        </w:rPr>
        <w:t>2017)</w:t>
      </w:r>
    </w:p>
    <w:p>
      <w:pPr>
        <w:spacing w:before="4"/>
        <w:ind w:left="1214" w:right="1765" w:firstLine="0"/>
        <w:jc w:val="left"/>
        <w:rPr>
          <w:sz w:val="13"/>
        </w:rPr>
      </w:pPr>
      <w:r>
        <w:rPr>
          <w:w w:val="105"/>
          <w:sz w:val="13"/>
        </w:rPr>
        <w:t>&lt;</w:t>
      </w:r>
      <w:hyperlink r:id="rId363">
        <w:r>
          <w:rPr>
            <w:w w:val="105"/>
            <w:sz w:val="13"/>
          </w:rPr>
          <w:t>https://www.abc.net.au/news/2017-05-16/solar-panels-and-the-law-is-there-a-right-to-sunlight/8526752</w:t>
        </w:r>
      </w:hyperlink>
      <w:r>
        <w:rPr>
          <w:w w:val="105"/>
          <w:sz w:val="13"/>
        </w:rPr>
        <w:t>&gt;; see also Department of Premier and Cabinet (Vic), </w:t>
      </w:r>
      <w:r>
        <w:rPr>
          <w:i/>
          <w:w w:val="105"/>
          <w:sz w:val="13"/>
        </w:rPr>
        <w:t>Thousands of Victorian Homes Save Millions on Solar </w:t>
      </w:r>
      <w:r>
        <w:rPr>
          <w:w w:val="105"/>
          <w:sz w:val="13"/>
        </w:rPr>
        <w:t>(Web Page, 18 January 2019) &lt;https://</w:t>
      </w:r>
      <w:hyperlink r:id="rId364">
        <w:r>
          <w:rPr>
            <w:w w:val="105"/>
            <w:sz w:val="13"/>
          </w:rPr>
          <w:t>www.premier.vic.</w:t>
        </w:r>
      </w:hyperlink>
      <w:r>
        <w:rPr>
          <w:w w:val="105"/>
          <w:sz w:val="13"/>
        </w:rPr>
        <w:t> gov.au/thousands-of-victorian-homes-save-millions-on-solar/&gt;.</w:t>
      </w:r>
    </w:p>
    <w:p>
      <w:pPr>
        <w:pStyle w:val="ListParagraph"/>
        <w:numPr>
          <w:ilvl w:val="0"/>
          <w:numId w:val="207"/>
        </w:numPr>
        <w:tabs>
          <w:tab w:pos="1213" w:val="left" w:leader="none"/>
          <w:tab w:pos="1215" w:val="left" w:leader="none"/>
        </w:tabs>
        <w:spacing w:line="240" w:lineRule="auto" w:before="4" w:after="0"/>
        <w:ind w:left="1214" w:right="1595" w:hanging="794"/>
        <w:jc w:val="left"/>
        <w:rPr>
          <w:sz w:val="13"/>
        </w:rPr>
      </w:pPr>
      <w:r>
        <w:rPr>
          <w:w w:val="105"/>
          <w:sz w:val="13"/>
        </w:rPr>
        <w:t>See, eg, Gregory Moore, ‘Economic Value of Trees’, </w:t>
      </w:r>
      <w:r>
        <w:rPr>
          <w:i/>
          <w:w w:val="105"/>
          <w:sz w:val="13"/>
        </w:rPr>
        <w:t>Sustainable Gardening Australia </w:t>
      </w:r>
      <w:r>
        <w:rPr>
          <w:w w:val="105"/>
          <w:sz w:val="13"/>
        </w:rPr>
        <w:t>(Web Page) &lt;</w:t>
      </w:r>
      <w:hyperlink r:id="rId365">
        <w:r>
          <w:rPr>
            <w:w w:val="105"/>
            <w:sz w:val="13"/>
          </w:rPr>
          <w:t>https://www.sgaonline.org.au/economic-</w:t>
        </w:r>
      </w:hyperlink>
      <w:hyperlink r:id="rId365">
        <w:r>
          <w:rPr>
            <w:w w:val="105"/>
            <w:sz w:val="13"/>
          </w:rPr>
          <w:t> </w:t>
        </w:r>
        <w:r>
          <w:rPr>
            <w:spacing w:val="2"/>
            <w:w w:val="105"/>
            <w:sz w:val="13"/>
          </w:rPr>
          <w:t>value-of-trees/</w:t>
        </w:r>
      </w:hyperlink>
      <w:r>
        <w:rPr>
          <w:spacing w:val="2"/>
          <w:w w:val="105"/>
          <w:sz w:val="13"/>
        </w:rPr>
        <w:t>&gt;; </w:t>
      </w:r>
      <w:r>
        <w:rPr>
          <w:w w:val="105"/>
          <w:sz w:val="13"/>
        </w:rPr>
        <w:t>see also Ram Pandit et al </w:t>
      </w:r>
      <w:r>
        <w:rPr>
          <w:spacing w:val="2"/>
          <w:w w:val="105"/>
          <w:sz w:val="13"/>
        </w:rPr>
        <w:t>‘The </w:t>
      </w:r>
      <w:r>
        <w:rPr>
          <w:w w:val="105"/>
          <w:sz w:val="13"/>
        </w:rPr>
        <w:t>Effect of Street Trees on </w:t>
      </w:r>
      <w:r>
        <w:rPr>
          <w:spacing w:val="2"/>
          <w:w w:val="105"/>
          <w:sz w:val="13"/>
        </w:rPr>
        <w:t>Property </w:t>
      </w:r>
      <w:r>
        <w:rPr>
          <w:w w:val="105"/>
          <w:sz w:val="13"/>
        </w:rPr>
        <w:t>Value in Perth, Western Australia’ (2013) </w:t>
      </w:r>
      <w:r>
        <w:rPr>
          <w:spacing w:val="-5"/>
          <w:w w:val="105"/>
          <w:sz w:val="13"/>
        </w:rPr>
        <w:t>110 </w:t>
      </w:r>
      <w:r>
        <w:rPr>
          <w:i/>
          <w:w w:val="105"/>
          <w:sz w:val="13"/>
        </w:rPr>
        <w:t>Landscape </w:t>
      </w:r>
      <w:r>
        <w:rPr>
          <w:i/>
          <w:w w:val="105"/>
          <w:sz w:val="13"/>
        </w:rPr>
        <w:t>and Urban Planning</w:t>
      </w:r>
      <w:r>
        <w:rPr>
          <w:i/>
          <w:spacing w:val="14"/>
          <w:w w:val="105"/>
          <w:sz w:val="13"/>
        </w:rPr>
        <w:t> </w:t>
      </w:r>
      <w:r>
        <w:rPr>
          <w:w w:val="105"/>
          <w:sz w:val="13"/>
        </w:rPr>
        <w:t>134–42.</w:t>
      </w:r>
    </w:p>
    <w:p>
      <w:pPr>
        <w:pStyle w:val="ListParagraph"/>
        <w:numPr>
          <w:ilvl w:val="0"/>
          <w:numId w:val="207"/>
        </w:numPr>
        <w:tabs>
          <w:tab w:pos="1213" w:val="left" w:leader="none"/>
          <w:tab w:pos="1215" w:val="left" w:leader="none"/>
        </w:tabs>
        <w:spacing w:line="240" w:lineRule="auto" w:before="4" w:after="0"/>
        <w:ind w:left="1214" w:right="1704" w:hanging="794"/>
        <w:jc w:val="left"/>
        <w:rPr>
          <w:sz w:val="13"/>
        </w:rPr>
      </w:pPr>
      <w:r>
        <w:rPr>
          <w:w w:val="105"/>
          <w:sz w:val="13"/>
        </w:rPr>
        <w:t>See, eg, Order of Magistrate J Lesser (Magistrates Court of Victoria, H13012408, </w:t>
      </w:r>
      <w:r>
        <w:rPr>
          <w:spacing w:val="-3"/>
          <w:w w:val="105"/>
          <w:sz w:val="13"/>
        </w:rPr>
        <w:t>14 </w:t>
      </w:r>
      <w:r>
        <w:rPr>
          <w:w w:val="105"/>
          <w:sz w:val="13"/>
        </w:rPr>
        <w:t>February 2018) referred to in Khaleda Rahman, ‘Every Neighbour’s Worst Nightmare: Family Comes Home to Find Beloved Trees Destroyed by Chainsaw Wielding Man’, </w:t>
      </w:r>
      <w:r>
        <w:rPr>
          <w:i/>
          <w:w w:val="105"/>
          <w:sz w:val="13"/>
        </w:rPr>
        <w:t>Daily Mail Australia </w:t>
      </w:r>
      <w:r>
        <w:rPr>
          <w:i/>
          <w:w w:val="105"/>
          <w:sz w:val="13"/>
        </w:rPr>
        <w:t>(</w:t>
      </w:r>
      <w:r>
        <w:rPr>
          <w:w w:val="105"/>
          <w:sz w:val="13"/>
        </w:rPr>
        <w:t>online,11</w:t>
      </w:r>
      <w:r>
        <w:rPr>
          <w:spacing w:val="-9"/>
          <w:w w:val="105"/>
          <w:sz w:val="13"/>
        </w:rPr>
        <w:t> </w:t>
      </w:r>
      <w:r>
        <w:rPr>
          <w:w w:val="105"/>
          <w:sz w:val="13"/>
        </w:rPr>
        <w:t>May</w:t>
      </w:r>
      <w:r>
        <w:rPr>
          <w:spacing w:val="-8"/>
          <w:w w:val="105"/>
          <w:sz w:val="13"/>
        </w:rPr>
        <w:t> </w:t>
      </w:r>
      <w:r>
        <w:rPr>
          <w:w w:val="105"/>
          <w:sz w:val="13"/>
        </w:rPr>
        <w:t>2017)</w:t>
      </w:r>
      <w:r>
        <w:rPr>
          <w:spacing w:val="-9"/>
          <w:w w:val="105"/>
          <w:sz w:val="13"/>
        </w:rPr>
        <w:t> </w:t>
      </w:r>
      <w:r>
        <w:rPr>
          <w:spacing w:val="2"/>
          <w:w w:val="105"/>
          <w:sz w:val="13"/>
        </w:rPr>
        <w:t>&lt;https://</w:t>
      </w:r>
      <w:hyperlink r:id="rId36">
        <w:r>
          <w:rPr>
            <w:spacing w:val="2"/>
            <w:w w:val="105"/>
            <w:sz w:val="13"/>
          </w:rPr>
          <w:t>www.dailymail.co.uk/news/article-4494582/Family-returns-home-backyard-trees-CHOPPED-down.html</w:t>
        </w:r>
      </w:hyperlink>
      <w:r>
        <w:rPr>
          <w:spacing w:val="2"/>
          <w:w w:val="105"/>
          <w:sz w:val="13"/>
        </w:rPr>
        <w:t>&gt;.</w:t>
      </w:r>
    </w:p>
    <w:p>
      <w:pPr>
        <w:pStyle w:val="ListParagraph"/>
        <w:numPr>
          <w:ilvl w:val="0"/>
          <w:numId w:val="207"/>
        </w:numPr>
        <w:tabs>
          <w:tab w:pos="1214" w:val="left" w:leader="none"/>
          <w:tab w:pos="1215" w:val="left" w:leader="none"/>
        </w:tabs>
        <w:spacing w:line="240" w:lineRule="auto" w:before="4" w:after="0"/>
        <w:ind w:left="1214" w:right="0" w:hanging="794"/>
        <w:jc w:val="left"/>
        <w:rPr>
          <w:sz w:val="13"/>
        </w:rPr>
      </w:pPr>
      <w:r>
        <w:rPr>
          <w:w w:val="105"/>
          <w:sz w:val="13"/>
        </w:rPr>
        <w:t>Department</w:t>
      </w:r>
      <w:r>
        <w:rPr>
          <w:spacing w:val="5"/>
          <w:w w:val="105"/>
          <w:sz w:val="13"/>
        </w:rPr>
        <w:t> </w:t>
      </w:r>
      <w:r>
        <w:rPr>
          <w:w w:val="105"/>
          <w:sz w:val="13"/>
        </w:rPr>
        <w:t>of</w:t>
      </w:r>
      <w:r>
        <w:rPr>
          <w:spacing w:val="5"/>
          <w:w w:val="105"/>
          <w:sz w:val="13"/>
        </w:rPr>
        <w:t> </w:t>
      </w:r>
      <w:r>
        <w:rPr>
          <w:w w:val="105"/>
          <w:sz w:val="13"/>
        </w:rPr>
        <w:t>Environment,</w:t>
      </w:r>
      <w:r>
        <w:rPr>
          <w:spacing w:val="6"/>
          <w:w w:val="105"/>
          <w:sz w:val="13"/>
        </w:rPr>
        <w:t> </w:t>
      </w:r>
      <w:r>
        <w:rPr>
          <w:w w:val="105"/>
          <w:sz w:val="13"/>
        </w:rPr>
        <w:t>Land,</w:t>
      </w:r>
      <w:r>
        <w:rPr>
          <w:spacing w:val="5"/>
          <w:w w:val="105"/>
          <w:sz w:val="13"/>
        </w:rPr>
        <w:t> </w:t>
      </w:r>
      <w:r>
        <w:rPr>
          <w:w w:val="105"/>
          <w:sz w:val="13"/>
        </w:rPr>
        <w:t>Water</w:t>
      </w:r>
      <w:r>
        <w:rPr>
          <w:spacing w:val="5"/>
          <w:w w:val="105"/>
          <w:sz w:val="13"/>
        </w:rPr>
        <w:t> </w:t>
      </w:r>
      <w:r>
        <w:rPr>
          <w:w w:val="105"/>
          <w:sz w:val="13"/>
        </w:rPr>
        <w:t>and</w:t>
      </w:r>
      <w:r>
        <w:rPr>
          <w:spacing w:val="6"/>
          <w:w w:val="105"/>
          <w:sz w:val="13"/>
        </w:rPr>
        <w:t> </w:t>
      </w:r>
      <w:r>
        <w:rPr>
          <w:w w:val="105"/>
          <w:sz w:val="13"/>
        </w:rPr>
        <w:t>Planning</w:t>
      </w:r>
      <w:r>
        <w:rPr>
          <w:spacing w:val="5"/>
          <w:w w:val="105"/>
          <w:sz w:val="13"/>
        </w:rPr>
        <w:t> </w:t>
      </w:r>
      <w:r>
        <w:rPr>
          <w:spacing w:val="2"/>
          <w:w w:val="105"/>
          <w:sz w:val="13"/>
        </w:rPr>
        <w:t>(Vic),</w:t>
      </w:r>
      <w:r>
        <w:rPr>
          <w:spacing w:val="6"/>
          <w:w w:val="105"/>
          <w:sz w:val="13"/>
        </w:rPr>
        <w:t> </w:t>
      </w:r>
      <w:r>
        <w:rPr>
          <w:i/>
          <w:w w:val="105"/>
          <w:sz w:val="13"/>
        </w:rPr>
        <w:t>Protecting</w:t>
      </w:r>
      <w:r>
        <w:rPr>
          <w:i/>
          <w:spacing w:val="5"/>
          <w:w w:val="105"/>
          <w:sz w:val="13"/>
        </w:rPr>
        <w:t> </w:t>
      </w:r>
      <w:r>
        <w:rPr>
          <w:i/>
          <w:w w:val="105"/>
          <w:sz w:val="13"/>
        </w:rPr>
        <w:t>Residential</w:t>
      </w:r>
      <w:r>
        <w:rPr>
          <w:i/>
          <w:spacing w:val="5"/>
          <w:w w:val="105"/>
          <w:sz w:val="13"/>
        </w:rPr>
        <w:t> </w:t>
      </w:r>
      <w:r>
        <w:rPr>
          <w:i/>
          <w:w w:val="105"/>
          <w:sz w:val="13"/>
        </w:rPr>
        <w:t>Rooftop</w:t>
      </w:r>
      <w:r>
        <w:rPr>
          <w:i/>
          <w:spacing w:val="6"/>
          <w:w w:val="105"/>
          <w:sz w:val="13"/>
        </w:rPr>
        <w:t> </w:t>
      </w:r>
      <w:r>
        <w:rPr>
          <w:i/>
          <w:w w:val="105"/>
          <w:sz w:val="13"/>
        </w:rPr>
        <w:t>Dwellings</w:t>
      </w:r>
      <w:r>
        <w:rPr>
          <w:i/>
          <w:spacing w:val="5"/>
          <w:w w:val="105"/>
          <w:sz w:val="13"/>
        </w:rPr>
        <w:t> </w:t>
      </w:r>
      <w:r>
        <w:rPr>
          <w:w w:val="105"/>
          <w:sz w:val="13"/>
        </w:rPr>
        <w:t>(Web</w:t>
      </w:r>
      <w:r>
        <w:rPr>
          <w:spacing w:val="5"/>
          <w:w w:val="105"/>
          <w:sz w:val="13"/>
        </w:rPr>
        <w:t> </w:t>
      </w:r>
      <w:r>
        <w:rPr>
          <w:w w:val="105"/>
          <w:sz w:val="13"/>
        </w:rPr>
        <w:t>Page,</w:t>
      </w:r>
      <w:r>
        <w:rPr>
          <w:spacing w:val="6"/>
          <w:w w:val="105"/>
          <w:sz w:val="13"/>
        </w:rPr>
        <w:t> </w:t>
      </w:r>
      <w:r>
        <w:rPr>
          <w:spacing w:val="-6"/>
          <w:w w:val="105"/>
          <w:sz w:val="13"/>
        </w:rPr>
        <w:t>11</w:t>
      </w:r>
      <w:r>
        <w:rPr>
          <w:spacing w:val="5"/>
          <w:w w:val="105"/>
          <w:sz w:val="13"/>
        </w:rPr>
        <w:t> </w:t>
      </w:r>
      <w:r>
        <w:rPr>
          <w:w w:val="105"/>
          <w:sz w:val="13"/>
        </w:rPr>
        <w:t>October</w:t>
      </w:r>
      <w:r>
        <w:rPr>
          <w:spacing w:val="6"/>
          <w:w w:val="105"/>
          <w:sz w:val="13"/>
        </w:rPr>
        <w:t> </w:t>
      </w:r>
      <w:r>
        <w:rPr>
          <w:w w:val="105"/>
          <w:sz w:val="13"/>
        </w:rPr>
        <w:t>2018)</w:t>
      </w:r>
    </w:p>
    <w:p>
      <w:pPr>
        <w:spacing w:before="1"/>
        <w:ind w:left="1214" w:right="1765" w:firstLine="0"/>
        <w:jc w:val="left"/>
        <w:rPr>
          <w:sz w:val="13"/>
        </w:rPr>
      </w:pPr>
      <w:r>
        <w:rPr>
          <w:i/>
          <w:w w:val="105"/>
          <w:sz w:val="13"/>
        </w:rPr>
        <w:t>&lt;</w:t>
      </w:r>
      <w:hyperlink r:id="rId366">
        <w:r>
          <w:rPr>
            <w:w w:val="105"/>
            <w:sz w:val="13"/>
          </w:rPr>
          <w:t>https://www.planning.vic.gov.au/policy-and-strategy/reducing-overshadowing-on-rooftop-solar-panels</w:t>
        </w:r>
      </w:hyperlink>
      <w:r>
        <w:rPr>
          <w:w w:val="105"/>
          <w:sz w:val="13"/>
        </w:rPr>
        <w:t>&gt;; See also Department of Environment, Land, Water and Planning </w:t>
      </w:r>
      <w:r>
        <w:rPr>
          <w:spacing w:val="2"/>
          <w:w w:val="105"/>
          <w:sz w:val="13"/>
        </w:rPr>
        <w:t>(Vic), </w:t>
      </w:r>
      <w:r>
        <w:rPr>
          <w:i/>
          <w:w w:val="105"/>
          <w:sz w:val="13"/>
        </w:rPr>
        <w:t>Planning Practice Note </w:t>
      </w:r>
      <w:r>
        <w:rPr>
          <w:i/>
          <w:spacing w:val="2"/>
          <w:w w:val="105"/>
          <w:sz w:val="13"/>
        </w:rPr>
        <w:t>88: </w:t>
      </w:r>
      <w:r>
        <w:rPr>
          <w:i/>
          <w:w w:val="105"/>
          <w:sz w:val="13"/>
        </w:rPr>
        <w:t>Planning Considerations for Existing Residential Rooftop Solar</w:t>
      </w:r>
      <w:r>
        <w:rPr>
          <w:i/>
          <w:spacing w:val="30"/>
          <w:w w:val="105"/>
          <w:sz w:val="13"/>
        </w:rPr>
        <w:t> </w:t>
      </w:r>
      <w:r>
        <w:rPr>
          <w:i/>
          <w:w w:val="105"/>
          <w:sz w:val="13"/>
        </w:rPr>
        <w:t>Energy Facilities, </w:t>
      </w:r>
      <w:r>
        <w:rPr>
          <w:w w:val="105"/>
          <w:sz w:val="13"/>
        </w:rPr>
        <w:t>October 2018</w:t>
      </w:r>
      <w:r>
        <w:rPr>
          <w:spacing w:val="21"/>
          <w:w w:val="105"/>
          <w:sz w:val="13"/>
        </w:rPr>
        <w:t> </w:t>
      </w:r>
      <w:r>
        <w:rPr>
          <w:w w:val="105"/>
          <w:sz w:val="13"/>
        </w:rPr>
        <w:t>&lt;https://</w:t>
      </w:r>
      <w:hyperlink r:id="rId367">
        <w:r>
          <w:rPr>
            <w:w w:val="105"/>
            <w:sz w:val="13"/>
          </w:rPr>
          <w:t>www.planning.vic.gov.au/policy-and-strategy/reducing-overshadowing-on-rooftop-solar-panels</w:t>
        </w:r>
      </w:hyperlink>
      <w:r>
        <w:rPr>
          <w:w w:val="105"/>
          <w:sz w:val="13"/>
        </w:rPr>
        <w:t>&gt;.</w:t>
      </w:r>
    </w:p>
    <w:p>
      <w:pPr>
        <w:pStyle w:val="ListParagraph"/>
        <w:numPr>
          <w:ilvl w:val="0"/>
          <w:numId w:val="207"/>
        </w:numPr>
        <w:tabs>
          <w:tab w:pos="1214" w:val="left" w:leader="none"/>
          <w:tab w:pos="1215" w:val="left" w:leader="none"/>
        </w:tabs>
        <w:spacing w:line="240" w:lineRule="auto" w:before="4" w:after="0"/>
        <w:ind w:left="1214" w:right="1837" w:hanging="794"/>
        <w:jc w:val="left"/>
        <w:rPr>
          <w:sz w:val="13"/>
        </w:rPr>
      </w:pPr>
      <w:r>
        <w:rPr>
          <w:w w:val="105"/>
          <w:sz w:val="13"/>
        </w:rPr>
        <w:t>Department of Environment, Land, Water and Planning </w:t>
      </w:r>
      <w:r>
        <w:rPr>
          <w:spacing w:val="2"/>
          <w:w w:val="105"/>
          <w:sz w:val="13"/>
        </w:rPr>
        <w:t>(Vic), </w:t>
      </w:r>
      <w:r>
        <w:rPr>
          <w:i/>
          <w:w w:val="105"/>
          <w:sz w:val="13"/>
        </w:rPr>
        <w:t>Managing Overshadowing Risk When Installing a Rooftop Solar System: A </w:t>
      </w:r>
      <w:r>
        <w:rPr>
          <w:i/>
          <w:w w:val="105"/>
          <w:sz w:val="13"/>
        </w:rPr>
        <w:t>Home </w:t>
      </w:r>
      <w:r>
        <w:rPr>
          <w:i/>
          <w:spacing w:val="2"/>
          <w:w w:val="105"/>
          <w:sz w:val="13"/>
        </w:rPr>
        <w:t>Owners </w:t>
      </w:r>
      <w:r>
        <w:rPr>
          <w:i/>
          <w:w w:val="105"/>
          <w:sz w:val="13"/>
        </w:rPr>
        <w:t>Guide </w:t>
      </w:r>
      <w:r>
        <w:rPr>
          <w:w w:val="105"/>
          <w:sz w:val="13"/>
        </w:rPr>
        <w:t>(Document, October 2018) </w:t>
      </w:r>
      <w:r>
        <w:rPr>
          <w:spacing w:val="2"/>
          <w:w w:val="105"/>
          <w:sz w:val="13"/>
        </w:rPr>
        <w:t>&lt;</w:t>
      </w:r>
      <w:hyperlink r:id="rId366">
        <w:r>
          <w:rPr>
            <w:spacing w:val="2"/>
            <w:w w:val="105"/>
            <w:sz w:val="13"/>
          </w:rPr>
          <w:t>https://www.planning.vic.gov.au/policy-and-strategy/reducing-overshadowing-on-</w:t>
        </w:r>
      </w:hyperlink>
      <w:hyperlink r:id="rId366">
        <w:r>
          <w:rPr>
            <w:spacing w:val="2"/>
            <w:w w:val="105"/>
            <w:sz w:val="13"/>
          </w:rPr>
          <w:t> </w:t>
        </w:r>
        <w:r>
          <w:rPr>
            <w:w w:val="105"/>
            <w:sz w:val="13"/>
          </w:rPr>
          <w:t>rooftop-solar-panels</w:t>
        </w:r>
      </w:hyperlink>
      <w:r>
        <w:rPr>
          <w:w w:val="105"/>
          <w:sz w:val="13"/>
        </w:rPr>
        <w:t>&gt;.</w:t>
      </w:r>
    </w:p>
    <w:p>
      <w:pPr>
        <w:pStyle w:val="ListParagraph"/>
        <w:numPr>
          <w:ilvl w:val="0"/>
          <w:numId w:val="207"/>
        </w:numPr>
        <w:tabs>
          <w:tab w:pos="1214" w:val="left" w:leader="none"/>
          <w:tab w:pos="1215" w:val="left" w:leader="none"/>
        </w:tabs>
        <w:spacing w:line="240" w:lineRule="auto" w:before="4" w:after="0"/>
        <w:ind w:left="1214" w:right="0" w:hanging="794"/>
        <w:jc w:val="left"/>
        <w:rPr>
          <w:sz w:val="13"/>
        </w:rPr>
      </w:pPr>
      <w:r>
        <w:rPr>
          <w:sz w:val="13"/>
        </w:rPr>
        <w:t>Ibid.</w:t>
      </w:r>
    </w:p>
    <w:p>
      <w:pPr>
        <w:pStyle w:val="ListParagraph"/>
        <w:numPr>
          <w:ilvl w:val="0"/>
          <w:numId w:val="207"/>
        </w:numPr>
        <w:tabs>
          <w:tab w:pos="1214" w:val="left" w:leader="none"/>
          <w:tab w:pos="1215" w:val="left" w:leader="none"/>
        </w:tabs>
        <w:spacing w:line="240" w:lineRule="auto" w:before="2" w:after="0"/>
        <w:ind w:left="1214" w:right="0" w:hanging="794"/>
        <w:jc w:val="left"/>
        <w:rPr>
          <w:sz w:val="13"/>
        </w:rPr>
      </w:pPr>
      <w:r>
        <w:rPr>
          <w:w w:val="105"/>
          <w:sz w:val="13"/>
        </w:rPr>
        <w:t>Submission 25 (City of</w:t>
      </w:r>
      <w:r>
        <w:rPr>
          <w:spacing w:val="18"/>
          <w:w w:val="105"/>
          <w:sz w:val="13"/>
        </w:rPr>
        <w:t> </w:t>
      </w:r>
      <w:r>
        <w:rPr>
          <w:w w:val="105"/>
          <w:sz w:val="13"/>
        </w:rPr>
        <w:t>Boroondara).</w:t>
      </w:r>
    </w:p>
    <w:p>
      <w:pPr>
        <w:pStyle w:val="ListParagraph"/>
        <w:numPr>
          <w:ilvl w:val="0"/>
          <w:numId w:val="207"/>
        </w:numPr>
        <w:tabs>
          <w:tab w:pos="1214" w:val="left" w:leader="none"/>
          <w:tab w:pos="1215" w:val="left" w:leader="none"/>
        </w:tabs>
        <w:spacing w:line="240" w:lineRule="auto" w:before="1" w:after="0"/>
        <w:ind w:left="1214" w:right="0" w:hanging="794"/>
        <w:jc w:val="left"/>
        <w:rPr>
          <w:sz w:val="13"/>
        </w:rPr>
      </w:pPr>
      <w:r>
        <w:rPr>
          <w:w w:val="105"/>
          <w:sz w:val="13"/>
        </w:rPr>
        <w:t>Submissions </w:t>
      </w:r>
      <w:r>
        <w:rPr>
          <w:spacing w:val="-4"/>
          <w:w w:val="105"/>
          <w:sz w:val="13"/>
        </w:rPr>
        <w:t>12 </w:t>
      </w:r>
      <w:r>
        <w:rPr>
          <w:spacing w:val="3"/>
          <w:w w:val="105"/>
          <w:sz w:val="13"/>
        </w:rPr>
        <w:t>(Dr </w:t>
      </w:r>
      <w:r>
        <w:rPr>
          <w:w w:val="105"/>
          <w:sz w:val="13"/>
        </w:rPr>
        <w:t>Gregory Moore </w:t>
      </w:r>
      <w:r>
        <w:rPr>
          <w:spacing w:val="2"/>
          <w:w w:val="105"/>
          <w:sz w:val="13"/>
        </w:rPr>
        <w:t>OAM), </w:t>
      </w:r>
      <w:r>
        <w:rPr>
          <w:w w:val="105"/>
          <w:sz w:val="13"/>
        </w:rPr>
        <w:t>37 </w:t>
      </w:r>
      <w:r>
        <w:rPr>
          <w:spacing w:val="2"/>
          <w:w w:val="105"/>
          <w:sz w:val="13"/>
        </w:rPr>
        <w:t>(Ian </w:t>
      </w:r>
      <w:r>
        <w:rPr>
          <w:w w:val="105"/>
          <w:sz w:val="13"/>
        </w:rPr>
        <w:t>Hundley); Consultation 6 </w:t>
      </w:r>
      <w:r>
        <w:rPr>
          <w:spacing w:val="2"/>
          <w:w w:val="105"/>
          <w:sz w:val="13"/>
        </w:rPr>
        <w:t>(Ben</w:t>
      </w:r>
      <w:r>
        <w:rPr>
          <w:spacing w:val="28"/>
          <w:w w:val="105"/>
          <w:sz w:val="13"/>
        </w:rPr>
        <w:t> </w:t>
      </w:r>
      <w:r>
        <w:rPr>
          <w:w w:val="105"/>
          <w:sz w:val="13"/>
        </w:rPr>
        <w:t>Kenyon).</w:t>
      </w:r>
    </w:p>
    <w:p>
      <w:pPr>
        <w:pStyle w:val="ListParagraph"/>
        <w:numPr>
          <w:ilvl w:val="0"/>
          <w:numId w:val="207"/>
        </w:numPr>
        <w:tabs>
          <w:tab w:pos="1214" w:val="left" w:leader="none"/>
          <w:tab w:pos="1215" w:val="left" w:leader="none"/>
        </w:tabs>
        <w:spacing w:line="240" w:lineRule="auto" w:before="1" w:after="0"/>
        <w:ind w:left="1214" w:right="0" w:hanging="794"/>
        <w:jc w:val="left"/>
        <w:rPr>
          <w:sz w:val="13"/>
        </w:rPr>
      </w:pPr>
      <w:r>
        <w:rPr>
          <w:w w:val="105"/>
          <w:sz w:val="13"/>
        </w:rPr>
        <w:t>Submission 37 </w:t>
      </w:r>
      <w:r>
        <w:rPr>
          <w:spacing w:val="2"/>
          <w:w w:val="105"/>
          <w:sz w:val="13"/>
        </w:rPr>
        <w:t>(Ian </w:t>
      </w:r>
      <w:r>
        <w:rPr>
          <w:w w:val="105"/>
          <w:sz w:val="13"/>
        </w:rPr>
        <w:t>Hundley); Survey Respondent</w:t>
      </w:r>
      <w:r>
        <w:rPr>
          <w:spacing w:val="25"/>
          <w:w w:val="105"/>
          <w:sz w:val="13"/>
        </w:rPr>
        <w:t> </w:t>
      </w:r>
      <w:r>
        <w:rPr>
          <w:w w:val="105"/>
          <w:sz w:val="13"/>
        </w:rPr>
        <w:t>83.</w:t>
      </w:r>
    </w:p>
    <w:p>
      <w:pPr>
        <w:spacing w:after="0" w:line="240" w:lineRule="auto"/>
        <w:jc w:val="left"/>
        <w:rPr>
          <w:sz w:val="13"/>
        </w:rPr>
        <w:sectPr>
          <w:type w:val="continuous"/>
          <w:pgSz w:w="11910" w:h="16840"/>
          <w:pgMar w:top="300" w:bottom="280" w:left="0" w:right="0"/>
          <w:cols w:num="2" w:equalWidth="0">
            <w:col w:w="1127" w:space="40"/>
            <w:col w:w="10743"/>
          </w:cols>
        </w:sectPr>
      </w:pPr>
    </w:p>
    <w:p>
      <w:pPr>
        <w:pStyle w:val="BodyText"/>
        <w:rPr>
          <w:sz w:val="20"/>
        </w:rPr>
      </w:pPr>
    </w:p>
    <w:p>
      <w:pPr>
        <w:pStyle w:val="BodyText"/>
        <w:spacing w:before="9"/>
        <w:rPr>
          <w:sz w:val="18"/>
        </w:rPr>
      </w:pPr>
    </w:p>
    <w:p>
      <w:pPr>
        <w:pStyle w:val="ListParagraph"/>
        <w:numPr>
          <w:ilvl w:val="1"/>
          <w:numId w:val="16"/>
        </w:numPr>
        <w:tabs>
          <w:tab w:pos="2381" w:val="left" w:leader="none"/>
          <w:tab w:pos="2382" w:val="left" w:leader="none"/>
        </w:tabs>
        <w:spacing w:line="242" w:lineRule="auto" w:before="91" w:after="0"/>
        <w:ind w:left="2381" w:right="2020" w:hanging="794"/>
        <w:jc w:val="left"/>
        <w:rPr>
          <w:sz w:val="21"/>
        </w:rPr>
      </w:pPr>
      <w:bookmarkStart w:name="Review of the new Act" w:id="358"/>
      <w:bookmarkEnd w:id="358"/>
      <w:r>
        <w:rPr/>
      </w:r>
      <w:bookmarkStart w:name="_bookmark167" w:id="359"/>
      <w:bookmarkEnd w:id="359"/>
      <w:r>
        <w:rPr/>
      </w:r>
      <w:bookmarkStart w:name="_bookmark167" w:id="360"/>
      <w:bookmarkEnd w:id="360"/>
      <w:r>
        <w:rPr>
          <w:sz w:val="21"/>
        </w:rPr>
        <w:t>T</w:t>
      </w:r>
      <w:r>
        <w:rPr>
          <w:sz w:val="21"/>
        </w:rPr>
        <w:t>he </w:t>
      </w:r>
      <w:r>
        <w:rPr>
          <w:spacing w:val="-3"/>
          <w:sz w:val="21"/>
        </w:rPr>
        <w:t>native </w:t>
      </w:r>
      <w:r>
        <w:rPr>
          <w:sz w:val="21"/>
        </w:rPr>
        <w:t>vegetation </w:t>
      </w:r>
      <w:r>
        <w:rPr>
          <w:spacing w:val="-3"/>
          <w:sz w:val="21"/>
        </w:rPr>
        <w:t>removal </w:t>
      </w:r>
      <w:r>
        <w:rPr>
          <w:spacing w:val="-4"/>
          <w:sz w:val="21"/>
        </w:rPr>
        <w:t>regulations</w:t>
      </w:r>
      <w:r>
        <w:rPr>
          <w:spacing w:val="-4"/>
          <w:position w:val="7"/>
          <w:sz w:val="12"/>
        </w:rPr>
        <w:t>107 </w:t>
      </w:r>
      <w:r>
        <w:rPr>
          <w:spacing w:val="-3"/>
          <w:sz w:val="21"/>
        </w:rPr>
        <w:t>have recently  </w:t>
      </w:r>
      <w:r>
        <w:rPr>
          <w:sz w:val="21"/>
        </w:rPr>
        <w:t>been  reviewed  </w:t>
      </w:r>
      <w:r>
        <w:rPr>
          <w:spacing w:val="-3"/>
          <w:sz w:val="21"/>
        </w:rPr>
        <w:t>to  ensure that native </w:t>
      </w:r>
      <w:r>
        <w:rPr>
          <w:sz w:val="21"/>
        </w:rPr>
        <w:t>vegetation is being protected by better </w:t>
      </w:r>
      <w:r>
        <w:rPr>
          <w:spacing w:val="-3"/>
          <w:sz w:val="21"/>
        </w:rPr>
        <w:t>accounting for </w:t>
      </w:r>
      <w:r>
        <w:rPr>
          <w:sz w:val="21"/>
        </w:rPr>
        <w:t>the </w:t>
      </w:r>
      <w:r>
        <w:rPr>
          <w:spacing w:val="-3"/>
          <w:sz w:val="21"/>
        </w:rPr>
        <w:t>environmental value </w:t>
      </w:r>
      <w:r>
        <w:rPr>
          <w:sz w:val="21"/>
        </w:rPr>
        <w:t>of large scattered trees, </w:t>
      </w:r>
      <w:r>
        <w:rPr>
          <w:spacing w:val="-3"/>
          <w:sz w:val="21"/>
        </w:rPr>
        <w:t>endangered </w:t>
      </w:r>
      <w:r>
        <w:rPr>
          <w:sz w:val="21"/>
        </w:rPr>
        <w:t>vegetation  types  and  </w:t>
      </w:r>
      <w:r>
        <w:rPr>
          <w:spacing w:val="-3"/>
          <w:sz w:val="21"/>
        </w:rPr>
        <w:t>sensitive  wetlands </w:t>
      </w:r>
      <w:r>
        <w:rPr>
          <w:sz w:val="21"/>
        </w:rPr>
        <w:t>and coastal </w:t>
      </w:r>
      <w:r>
        <w:rPr>
          <w:spacing w:val="-3"/>
          <w:sz w:val="21"/>
        </w:rPr>
        <w:t>areas  </w:t>
      </w:r>
      <w:r>
        <w:rPr>
          <w:sz w:val="21"/>
        </w:rPr>
        <w:t>in decision </w:t>
      </w:r>
      <w:r>
        <w:rPr>
          <w:spacing w:val="-3"/>
          <w:sz w:val="21"/>
        </w:rPr>
        <w:t>making</w:t>
      </w:r>
      <w:r>
        <w:rPr>
          <w:spacing w:val="41"/>
          <w:sz w:val="21"/>
        </w:rPr>
        <w:t> </w:t>
      </w:r>
      <w:r>
        <w:rPr>
          <w:sz w:val="21"/>
        </w:rPr>
        <w:t>as </w:t>
      </w:r>
      <w:r>
        <w:rPr>
          <w:spacing w:val="-3"/>
          <w:sz w:val="21"/>
        </w:rPr>
        <w:t>well  </w:t>
      </w:r>
      <w:r>
        <w:rPr>
          <w:sz w:val="21"/>
        </w:rPr>
        <w:t>as </w:t>
      </w:r>
      <w:r>
        <w:rPr>
          <w:spacing w:val="-3"/>
          <w:sz w:val="21"/>
        </w:rPr>
        <w:t>improving  monitoring  </w:t>
      </w:r>
      <w:r>
        <w:rPr>
          <w:sz w:val="21"/>
        </w:rPr>
        <w:t>and reporting   on the </w:t>
      </w:r>
      <w:r>
        <w:rPr>
          <w:spacing w:val="-2"/>
          <w:sz w:val="21"/>
        </w:rPr>
        <w:t>implementation </w:t>
      </w:r>
      <w:r>
        <w:rPr>
          <w:sz w:val="21"/>
        </w:rPr>
        <w:t>of </w:t>
      </w:r>
      <w:r>
        <w:rPr>
          <w:spacing w:val="-3"/>
          <w:sz w:val="21"/>
        </w:rPr>
        <w:t>native  </w:t>
      </w:r>
      <w:r>
        <w:rPr>
          <w:sz w:val="21"/>
        </w:rPr>
        <w:t>vegetation </w:t>
      </w:r>
      <w:r>
        <w:rPr>
          <w:spacing w:val="-3"/>
          <w:sz w:val="21"/>
        </w:rPr>
        <w:t>removal</w:t>
      </w:r>
      <w:r>
        <w:rPr>
          <w:spacing w:val="41"/>
          <w:sz w:val="21"/>
        </w:rPr>
        <w:t> </w:t>
      </w:r>
      <w:r>
        <w:rPr>
          <w:sz w:val="21"/>
        </w:rPr>
        <w:t>and </w:t>
      </w:r>
      <w:r>
        <w:rPr>
          <w:spacing w:val="-3"/>
          <w:sz w:val="21"/>
        </w:rPr>
        <w:t>offsets.</w:t>
      </w:r>
      <w:r>
        <w:rPr>
          <w:spacing w:val="-3"/>
          <w:position w:val="7"/>
          <w:sz w:val="12"/>
        </w:rPr>
        <w:t>108  </w:t>
      </w:r>
      <w:r>
        <w:rPr>
          <w:sz w:val="21"/>
        </w:rPr>
        <w:t>There </w:t>
      </w:r>
      <w:r>
        <w:rPr>
          <w:spacing w:val="-3"/>
          <w:sz w:val="21"/>
        </w:rPr>
        <w:t>are  </w:t>
      </w:r>
      <w:r>
        <w:rPr>
          <w:sz w:val="21"/>
        </w:rPr>
        <w:t>a </w:t>
      </w:r>
      <w:r>
        <w:rPr>
          <w:spacing w:val="-3"/>
          <w:sz w:val="21"/>
        </w:rPr>
        <w:t>range  </w:t>
      </w:r>
      <w:r>
        <w:rPr>
          <w:sz w:val="21"/>
        </w:rPr>
        <w:t>of </w:t>
      </w:r>
      <w:r>
        <w:rPr>
          <w:spacing w:val="-3"/>
          <w:sz w:val="21"/>
        </w:rPr>
        <w:t>enforcement </w:t>
      </w:r>
      <w:r>
        <w:rPr>
          <w:sz w:val="21"/>
        </w:rPr>
        <w:t>responses </w:t>
      </w:r>
      <w:r>
        <w:rPr>
          <w:spacing w:val="-3"/>
          <w:sz w:val="21"/>
        </w:rPr>
        <w:t>available to </w:t>
      </w:r>
      <w:r>
        <w:rPr>
          <w:sz w:val="21"/>
        </w:rPr>
        <w:t>authorities when </w:t>
      </w:r>
      <w:r>
        <w:rPr>
          <w:spacing w:val="-3"/>
          <w:sz w:val="21"/>
        </w:rPr>
        <w:t>native </w:t>
      </w:r>
      <w:r>
        <w:rPr>
          <w:sz w:val="21"/>
        </w:rPr>
        <w:t>vegetation is removed without a permit, </w:t>
      </w:r>
      <w:r>
        <w:rPr>
          <w:spacing w:val="-3"/>
          <w:sz w:val="21"/>
        </w:rPr>
        <w:t>including </w:t>
      </w:r>
      <w:r>
        <w:rPr>
          <w:spacing w:val="-4"/>
          <w:sz w:val="21"/>
        </w:rPr>
        <w:t>‘requiring </w:t>
      </w:r>
      <w:r>
        <w:rPr>
          <w:spacing w:val="-3"/>
          <w:sz w:val="21"/>
        </w:rPr>
        <w:t>environmental </w:t>
      </w:r>
      <w:r>
        <w:rPr>
          <w:sz w:val="21"/>
        </w:rPr>
        <w:t>rectification and</w:t>
      </w:r>
      <w:r>
        <w:rPr>
          <w:spacing w:val="5"/>
          <w:sz w:val="21"/>
        </w:rPr>
        <w:t> </w:t>
      </w:r>
      <w:r>
        <w:rPr>
          <w:spacing w:val="-3"/>
          <w:sz w:val="21"/>
        </w:rPr>
        <w:t>remediation for</w:t>
      </w:r>
    </w:p>
    <w:p>
      <w:pPr>
        <w:pStyle w:val="BodyText"/>
        <w:spacing w:line="242" w:lineRule="auto" w:before="8"/>
        <w:ind w:left="2381" w:right="1652"/>
        <w:rPr>
          <w:sz w:val="12"/>
        </w:rPr>
      </w:pPr>
      <w:r>
        <w:rPr>
          <w:spacing w:val="-3"/>
          <w:w w:val="105"/>
        </w:rPr>
        <w:t>unauthorised removal </w:t>
      </w:r>
      <w:r>
        <w:rPr>
          <w:w w:val="105"/>
        </w:rPr>
        <w:t>of </w:t>
      </w:r>
      <w:r>
        <w:rPr>
          <w:spacing w:val="-3"/>
          <w:w w:val="105"/>
        </w:rPr>
        <w:t>native vegetation’ </w:t>
      </w:r>
      <w:r>
        <w:rPr>
          <w:w w:val="105"/>
        </w:rPr>
        <w:t>or applying </w:t>
      </w:r>
      <w:r>
        <w:rPr>
          <w:spacing w:val="-3"/>
          <w:w w:val="105"/>
        </w:rPr>
        <w:t>for </w:t>
      </w:r>
      <w:r>
        <w:rPr>
          <w:w w:val="105"/>
        </w:rPr>
        <w:t>an </w:t>
      </w:r>
      <w:r>
        <w:rPr>
          <w:spacing w:val="-3"/>
          <w:w w:val="105"/>
        </w:rPr>
        <w:t>enforcement </w:t>
      </w:r>
      <w:r>
        <w:rPr>
          <w:w w:val="105"/>
        </w:rPr>
        <w:t>order </w:t>
      </w:r>
      <w:r>
        <w:rPr>
          <w:spacing w:val="-3"/>
          <w:w w:val="105"/>
        </w:rPr>
        <w:t>through </w:t>
      </w:r>
      <w:r>
        <w:rPr>
          <w:spacing w:val="-5"/>
          <w:w w:val="105"/>
        </w:rPr>
        <w:t>VCAT </w:t>
      </w:r>
      <w:r>
        <w:rPr>
          <w:spacing w:val="-3"/>
          <w:w w:val="105"/>
        </w:rPr>
        <w:t>to achieve </w:t>
      </w:r>
      <w:r>
        <w:rPr>
          <w:spacing w:val="-4"/>
          <w:w w:val="105"/>
        </w:rPr>
        <w:t>compliance.</w:t>
      </w:r>
      <w:r>
        <w:rPr>
          <w:spacing w:val="-4"/>
          <w:w w:val="105"/>
          <w:position w:val="7"/>
          <w:sz w:val="12"/>
        </w:rPr>
        <w:t>109</w:t>
      </w:r>
    </w:p>
    <w:p>
      <w:pPr>
        <w:pStyle w:val="BodyText"/>
        <w:spacing w:before="9"/>
      </w:pPr>
    </w:p>
    <w:p>
      <w:pPr>
        <w:pStyle w:val="Heading4"/>
      </w:pPr>
      <w:r>
        <w:rPr>
          <w:color w:val="658464"/>
          <w:w w:val="115"/>
        </w:rPr>
        <w:t>Review of the new Act</w:t>
      </w:r>
    </w:p>
    <w:p>
      <w:pPr>
        <w:pStyle w:val="ListParagraph"/>
        <w:numPr>
          <w:ilvl w:val="1"/>
          <w:numId w:val="16"/>
        </w:numPr>
        <w:tabs>
          <w:tab w:pos="2381" w:val="left" w:leader="none"/>
          <w:tab w:pos="2382" w:val="left" w:leader="none"/>
        </w:tabs>
        <w:spacing w:line="242" w:lineRule="auto" w:before="155" w:after="0"/>
        <w:ind w:left="2381" w:right="1617" w:hanging="794"/>
        <w:jc w:val="left"/>
        <w:rPr>
          <w:sz w:val="21"/>
        </w:rPr>
      </w:pPr>
      <w:r>
        <w:rPr>
          <w:w w:val="105"/>
          <w:sz w:val="21"/>
        </w:rPr>
        <w:t>The</w:t>
      </w:r>
      <w:r>
        <w:rPr>
          <w:spacing w:val="-5"/>
          <w:w w:val="105"/>
          <w:sz w:val="21"/>
        </w:rPr>
        <w:t> </w:t>
      </w:r>
      <w:r>
        <w:rPr>
          <w:w w:val="105"/>
          <w:sz w:val="21"/>
        </w:rPr>
        <w:t>NSW</w:t>
      </w:r>
      <w:r>
        <w:rPr>
          <w:spacing w:val="-4"/>
          <w:w w:val="105"/>
          <w:sz w:val="21"/>
        </w:rPr>
        <w:t> </w:t>
      </w:r>
      <w:r>
        <w:rPr>
          <w:w w:val="105"/>
          <w:sz w:val="21"/>
        </w:rPr>
        <w:t>Act</w:t>
      </w:r>
      <w:r>
        <w:rPr>
          <w:spacing w:val="-4"/>
          <w:w w:val="105"/>
          <w:sz w:val="21"/>
        </w:rPr>
        <w:t> </w:t>
      </w:r>
      <w:r>
        <w:rPr>
          <w:spacing w:val="-2"/>
          <w:w w:val="105"/>
          <w:sz w:val="21"/>
        </w:rPr>
        <w:t>has</w:t>
      </w:r>
      <w:r>
        <w:rPr>
          <w:spacing w:val="-4"/>
          <w:w w:val="105"/>
          <w:sz w:val="21"/>
        </w:rPr>
        <w:t> </w:t>
      </w:r>
      <w:r>
        <w:rPr>
          <w:w w:val="105"/>
          <w:sz w:val="21"/>
        </w:rPr>
        <w:t>an</w:t>
      </w:r>
      <w:r>
        <w:rPr>
          <w:spacing w:val="-4"/>
          <w:w w:val="105"/>
          <w:sz w:val="21"/>
        </w:rPr>
        <w:t> </w:t>
      </w:r>
      <w:r>
        <w:rPr>
          <w:spacing w:val="-3"/>
          <w:w w:val="105"/>
          <w:sz w:val="21"/>
        </w:rPr>
        <w:t>inbuilt</w:t>
      </w:r>
      <w:r>
        <w:rPr>
          <w:spacing w:val="-4"/>
          <w:w w:val="105"/>
          <w:sz w:val="21"/>
        </w:rPr>
        <w:t> </w:t>
      </w:r>
      <w:r>
        <w:rPr>
          <w:w w:val="105"/>
          <w:sz w:val="21"/>
        </w:rPr>
        <w:t>statutory</w:t>
      </w:r>
      <w:r>
        <w:rPr>
          <w:spacing w:val="-4"/>
          <w:w w:val="105"/>
          <w:sz w:val="21"/>
        </w:rPr>
        <w:t> </w:t>
      </w:r>
      <w:r>
        <w:rPr>
          <w:w w:val="105"/>
          <w:sz w:val="21"/>
        </w:rPr>
        <w:t>review</w:t>
      </w:r>
      <w:r>
        <w:rPr>
          <w:spacing w:val="-4"/>
          <w:w w:val="105"/>
          <w:sz w:val="21"/>
        </w:rPr>
        <w:t> </w:t>
      </w:r>
      <w:r>
        <w:rPr>
          <w:spacing w:val="-3"/>
          <w:w w:val="105"/>
          <w:sz w:val="21"/>
        </w:rPr>
        <w:t>mechanism</w:t>
      </w:r>
      <w:r>
        <w:rPr>
          <w:spacing w:val="-4"/>
          <w:w w:val="105"/>
          <w:sz w:val="21"/>
        </w:rPr>
        <w:t> </w:t>
      </w:r>
      <w:r>
        <w:rPr>
          <w:w w:val="105"/>
          <w:sz w:val="21"/>
        </w:rPr>
        <w:t>in</w:t>
      </w:r>
      <w:r>
        <w:rPr>
          <w:spacing w:val="-5"/>
          <w:w w:val="105"/>
          <w:sz w:val="21"/>
        </w:rPr>
        <w:t> </w:t>
      </w:r>
      <w:r>
        <w:rPr>
          <w:w w:val="105"/>
          <w:sz w:val="21"/>
        </w:rPr>
        <w:t>section</w:t>
      </w:r>
      <w:r>
        <w:rPr>
          <w:spacing w:val="-4"/>
          <w:w w:val="105"/>
          <w:sz w:val="21"/>
        </w:rPr>
        <w:t> 23, </w:t>
      </w:r>
      <w:r>
        <w:rPr>
          <w:w w:val="105"/>
          <w:sz w:val="21"/>
        </w:rPr>
        <w:t>which</w:t>
      </w:r>
      <w:r>
        <w:rPr>
          <w:spacing w:val="-4"/>
          <w:w w:val="105"/>
          <w:sz w:val="21"/>
        </w:rPr>
        <w:t> </w:t>
      </w:r>
      <w:r>
        <w:rPr>
          <w:spacing w:val="-3"/>
          <w:w w:val="105"/>
          <w:sz w:val="21"/>
        </w:rPr>
        <w:t>required</w:t>
      </w:r>
      <w:r>
        <w:rPr>
          <w:spacing w:val="-4"/>
          <w:w w:val="105"/>
          <w:sz w:val="21"/>
        </w:rPr>
        <w:t> </w:t>
      </w:r>
      <w:r>
        <w:rPr>
          <w:w w:val="105"/>
          <w:sz w:val="21"/>
        </w:rPr>
        <w:t>the </w:t>
      </w:r>
      <w:r>
        <w:rPr>
          <w:spacing w:val="-3"/>
          <w:w w:val="105"/>
          <w:sz w:val="21"/>
        </w:rPr>
        <w:t>Attorney </w:t>
      </w:r>
      <w:r>
        <w:rPr>
          <w:w w:val="105"/>
          <w:sz w:val="21"/>
        </w:rPr>
        <w:t>General </w:t>
      </w:r>
      <w:r>
        <w:rPr>
          <w:spacing w:val="-3"/>
          <w:w w:val="105"/>
          <w:sz w:val="21"/>
        </w:rPr>
        <w:t>to </w:t>
      </w:r>
      <w:r>
        <w:rPr>
          <w:w w:val="105"/>
          <w:sz w:val="21"/>
        </w:rPr>
        <w:t>review the Act two years </w:t>
      </w:r>
      <w:r>
        <w:rPr>
          <w:spacing w:val="-3"/>
          <w:w w:val="105"/>
          <w:sz w:val="21"/>
        </w:rPr>
        <w:t>from </w:t>
      </w:r>
      <w:r>
        <w:rPr>
          <w:w w:val="105"/>
          <w:sz w:val="21"/>
        </w:rPr>
        <w:t>the </w:t>
      </w:r>
      <w:r>
        <w:rPr>
          <w:spacing w:val="-3"/>
          <w:w w:val="105"/>
          <w:sz w:val="21"/>
        </w:rPr>
        <w:t>date </w:t>
      </w:r>
      <w:r>
        <w:rPr>
          <w:w w:val="105"/>
          <w:sz w:val="21"/>
        </w:rPr>
        <w:t>of its assent on 6 December 2006. The </w:t>
      </w:r>
      <w:r>
        <w:rPr>
          <w:spacing w:val="-3"/>
          <w:w w:val="105"/>
          <w:sz w:val="21"/>
        </w:rPr>
        <w:t>comprehensive </w:t>
      </w:r>
      <w:r>
        <w:rPr>
          <w:w w:val="105"/>
          <w:sz w:val="21"/>
        </w:rPr>
        <w:t>statutory review was conducted by the NSW Department of Justice and </w:t>
      </w:r>
      <w:r>
        <w:rPr>
          <w:spacing w:val="-3"/>
          <w:w w:val="105"/>
          <w:sz w:val="21"/>
        </w:rPr>
        <w:t>Attorney </w:t>
      </w:r>
      <w:r>
        <w:rPr>
          <w:w w:val="105"/>
          <w:sz w:val="21"/>
        </w:rPr>
        <w:t>General in November</w:t>
      </w:r>
      <w:r>
        <w:rPr>
          <w:spacing w:val="30"/>
          <w:w w:val="105"/>
          <w:sz w:val="21"/>
        </w:rPr>
        <w:t> </w:t>
      </w:r>
      <w:r>
        <w:rPr>
          <w:spacing w:val="-6"/>
          <w:w w:val="105"/>
          <w:sz w:val="21"/>
        </w:rPr>
        <w:t>2009.</w:t>
      </w:r>
      <w:r>
        <w:rPr>
          <w:spacing w:val="-6"/>
          <w:w w:val="105"/>
          <w:position w:val="7"/>
          <w:sz w:val="12"/>
        </w:rPr>
        <w:t>110</w:t>
      </w:r>
    </w:p>
    <w:p>
      <w:pPr>
        <w:pStyle w:val="ListParagraph"/>
        <w:numPr>
          <w:ilvl w:val="1"/>
          <w:numId w:val="16"/>
        </w:numPr>
        <w:tabs>
          <w:tab w:pos="2381" w:val="left" w:leader="none"/>
          <w:tab w:pos="2382" w:val="left" w:leader="none"/>
        </w:tabs>
        <w:spacing w:line="242" w:lineRule="auto" w:before="125" w:after="0"/>
        <w:ind w:left="2381" w:right="1631" w:hanging="794"/>
        <w:jc w:val="left"/>
        <w:rPr>
          <w:sz w:val="21"/>
        </w:rPr>
      </w:pPr>
      <w:r>
        <w:rPr>
          <w:spacing w:val="-4"/>
          <w:w w:val="105"/>
          <w:sz w:val="21"/>
        </w:rPr>
        <w:t>Similarly, </w:t>
      </w:r>
      <w:r>
        <w:rPr>
          <w:w w:val="105"/>
          <w:sz w:val="21"/>
        </w:rPr>
        <w:t>the </w:t>
      </w:r>
      <w:r>
        <w:rPr>
          <w:spacing w:val="-3"/>
          <w:w w:val="105"/>
          <w:sz w:val="21"/>
        </w:rPr>
        <w:t>Queensland </w:t>
      </w:r>
      <w:r>
        <w:rPr>
          <w:w w:val="105"/>
          <w:sz w:val="21"/>
        </w:rPr>
        <w:t>Act </w:t>
      </w:r>
      <w:r>
        <w:rPr>
          <w:spacing w:val="-3"/>
          <w:w w:val="105"/>
          <w:sz w:val="21"/>
        </w:rPr>
        <w:t>required </w:t>
      </w:r>
      <w:r>
        <w:rPr>
          <w:w w:val="105"/>
          <w:sz w:val="21"/>
        </w:rPr>
        <w:t>a statutory review of the Act </w:t>
      </w:r>
      <w:r>
        <w:rPr>
          <w:spacing w:val="-3"/>
          <w:w w:val="105"/>
          <w:sz w:val="21"/>
        </w:rPr>
        <w:t>to </w:t>
      </w:r>
      <w:r>
        <w:rPr>
          <w:w w:val="105"/>
          <w:sz w:val="21"/>
        </w:rPr>
        <w:t>be undertaken </w:t>
      </w:r>
      <w:r>
        <w:rPr>
          <w:spacing w:val="-3"/>
          <w:w w:val="105"/>
          <w:sz w:val="21"/>
        </w:rPr>
        <w:t>within </w:t>
      </w:r>
      <w:r>
        <w:rPr>
          <w:w w:val="105"/>
          <w:sz w:val="21"/>
        </w:rPr>
        <w:t>three years of its </w:t>
      </w:r>
      <w:r>
        <w:rPr>
          <w:spacing w:val="-3"/>
          <w:w w:val="105"/>
          <w:sz w:val="21"/>
        </w:rPr>
        <w:t>commencement to determine </w:t>
      </w:r>
      <w:r>
        <w:rPr>
          <w:w w:val="105"/>
          <w:sz w:val="21"/>
        </w:rPr>
        <w:t>whether the objects of the Act </w:t>
      </w:r>
      <w:r>
        <w:rPr>
          <w:spacing w:val="-3"/>
          <w:w w:val="105"/>
          <w:sz w:val="21"/>
        </w:rPr>
        <w:t>remained valid </w:t>
      </w:r>
      <w:r>
        <w:rPr>
          <w:w w:val="105"/>
          <w:sz w:val="21"/>
        </w:rPr>
        <w:t>and whether the Act was meeting its objectives, and </w:t>
      </w:r>
      <w:r>
        <w:rPr>
          <w:spacing w:val="-3"/>
          <w:w w:val="105"/>
          <w:sz w:val="21"/>
        </w:rPr>
        <w:t>to investigate other </w:t>
      </w:r>
      <w:r>
        <w:rPr>
          <w:spacing w:val="-6"/>
          <w:w w:val="105"/>
          <w:sz w:val="21"/>
        </w:rPr>
        <w:t>issues.</w:t>
      </w:r>
      <w:r>
        <w:rPr>
          <w:spacing w:val="-6"/>
          <w:w w:val="105"/>
          <w:position w:val="7"/>
          <w:sz w:val="12"/>
        </w:rPr>
        <w:t>111 </w:t>
      </w:r>
      <w:r>
        <w:rPr>
          <w:w w:val="105"/>
          <w:sz w:val="21"/>
        </w:rPr>
        <w:t>The statutory review of the Act was </w:t>
      </w:r>
      <w:r>
        <w:rPr>
          <w:spacing w:val="-3"/>
          <w:w w:val="105"/>
          <w:sz w:val="21"/>
        </w:rPr>
        <w:t>published </w:t>
      </w:r>
      <w:r>
        <w:rPr>
          <w:w w:val="105"/>
          <w:sz w:val="21"/>
        </w:rPr>
        <w:t>by the QLRC in December</w:t>
      </w:r>
      <w:r>
        <w:rPr>
          <w:spacing w:val="-2"/>
          <w:w w:val="105"/>
          <w:sz w:val="21"/>
        </w:rPr>
        <w:t> </w:t>
      </w:r>
      <w:r>
        <w:rPr>
          <w:spacing w:val="-9"/>
          <w:w w:val="105"/>
          <w:sz w:val="21"/>
        </w:rPr>
        <w:t>2015.</w:t>
      </w:r>
      <w:r>
        <w:rPr>
          <w:spacing w:val="-9"/>
          <w:w w:val="105"/>
          <w:position w:val="7"/>
          <w:sz w:val="12"/>
        </w:rPr>
        <w:t>112</w:t>
      </w:r>
    </w:p>
    <w:p>
      <w:pPr>
        <w:pStyle w:val="ListParagraph"/>
        <w:numPr>
          <w:ilvl w:val="1"/>
          <w:numId w:val="16"/>
        </w:numPr>
        <w:tabs>
          <w:tab w:pos="2380" w:val="left" w:leader="none"/>
          <w:tab w:pos="2382" w:val="left" w:leader="none"/>
        </w:tabs>
        <w:spacing w:line="242" w:lineRule="auto" w:before="124" w:after="0"/>
        <w:ind w:left="2381" w:right="1632" w:hanging="794"/>
        <w:jc w:val="left"/>
        <w:rPr>
          <w:sz w:val="21"/>
        </w:rPr>
      </w:pPr>
      <w:r>
        <w:rPr>
          <w:w w:val="105"/>
          <w:sz w:val="21"/>
        </w:rPr>
        <w:t>Under</w:t>
      </w:r>
      <w:r>
        <w:rPr>
          <w:spacing w:val="-8"/>
          <w:w w:val="105"/>
          <w:sz w:val="21"/>
        </w:rPr>
        <w:t> </w:t>
      </w:r>
      <w:r>
        <w:rPr>
          <w:w w:val="105"/>
          <w:sz w:val="21"/>
        </w:rPr>
        <w:t>section</w:t>
      </w:r>
      <w:r>
        <w:rPr>
          <w:spacing w:val="-8"/>
          <w:w w:val="105"/>
          <w:sz w:val="21"/>
        </w:rPr>
        <w:t> </w:t>
      </w:r>
      <w:r>
        <w:rPr>
          <w:w w:val="105"/>
          <w:sz w:val="21"/>
        </w:rPr>
        <w:t>39(1)</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spacing w:val="-4"/>
          <w:w w:val="105"/>
          <w:sz w:val="21"/>
        </w:rPr>
        <w:t>Tasmanian</w:t>
      </w:r>
      <w:r>
        <w:rPr>
          <w:spacing w:val="-8"/>
          <w:w w:val="105"/>
          <w:sz w:val="21"/>
        </w:rPr>
        <w:t> </w:t>
      </w:r>
      <w:r>
        <w:rPr>
          <w:w w:val="105"/>
          <w:sz w:val="21"/>
        </w:rPr>
        <w:t>Act</w:t>
      </w:r>
      <w:r>
        <w:rPr>
          <w:spacing w:val="-7"/>
          <w:w w:val="105"/>
          <w:sz w:val="21"/>
        </w:rPr>
        <w:t> </w:t>
      </w:r>
      <w:r>
        <w:rPr>
          <w:w w:val="105"/>
          <w:sz w:val="21"/>
        </w:rPr>
        <w:t>‘the</w:t>
      </w:r>
      <w:r>
        <w:rPr>
          <w:spacing w:val="-8"/>
          <w:w w:val="105"/>
          <w:sz w:val="21"/>
        </w:rPr>
        <w:t> </w:t>
      </w:r>
      <w:r>
        <w:rPr>
          <w:spacing w:val="-3"/>
          <w:w w:val="105"/>
          <w:sz w:val="21"/>
        </w:rPr>
        <w:t>Minister</w:t>
      </w:r>
      <w:r>
        <w:rPr>
          <w:spacing w:val="-8"/>
          <w:w w:val="105"/>
          <w:sz w:val="21"/>
        </w:rPr>
        <w:t> </w:t>
      </w:r>
      <w:r>
        <w:rPr>
          <w:w w:val="105"/>
          <w:sz w:val="21"/>
        </w:rPr>
        <w:t>is</w:t>
      </w:r>
      <w:r>
        <w:rPr>
          <w:spacing w:val="-8"/>
          <w:w w:val="105"/>
          <w:sz w:val="21"/>
        </w:rPr>
        <w:t> </w:t>
      </w:r>
      <w:r>
        <w:rPr>
          <w:spacing w:val="-3"/>
          <w:w w:val="105"/>
          <w:sz w:val="21"/>
        </w:rPr>
        <w:t>to</w:t>
      </w:r>
      <w:r>
        <w:rPr>
          <w:spacing w:val="-8"/>
          <w:w w:val="105"/>
          <w:sz w:val="21"/>
        </w:rPr>
        <w:t> </w:t>
      </w:r>
      <w:r>
        <w:rPr>
          <w:w w:val="105"/>
          <w:sz w:val="21"/>
        </w:rPr>
        <w:t>cause</w:t>
      </w:r>
      <w:r>
        <w:rPr>
          <w:spacing w:val="-8"/>
          <w:w w:val="105"/>
          <w:sz w:val="21"/>
        </w:rPr>
        <w:t> </w:t>
      </w:r>
      <w:r>
        <w:rPr>
          <w:w w:val="105"/>
          <w:sz w:val="21"/>
        </w:rPr>
        <w:t>an</w:t>
      </w:r>
      <w:r>
        <w:rPr>
          <w:spacing w:val="-7"/>
          <w:w w:val="105"/>
          <w:sz w:val="21"/>
        </w:rPr>
        <w:t> </w:t>
      </w:r>
      <w:r>
        <w:rPr>
          <w:w w:val="105"/>
          <w:sz w:val="21"/>
        </w:rPr>
        <w:t>independent</w:t>
      </w:r>
      <w:r>
        <w:rPr>
          <w:spacing w:val="-8"/>
          <w:w w:val="105"/>
          <w:sz w:val="21"/>
        </w:rPr>
        <w:t> </w:t>
      </w:r>
      <w:r>
        <w:rPr>
          <w:w w:val="105"/>
          <w:sz w:val="21"/>
        </w:rPr>
        <w:t>review of the operation of this Act </w:t>
      </w:r>
      <w:r>
        <w:rPr>
          <w:spacing w:val="-3"/>
          <w:w w:val="105"/>
          <w:sz w:val="21"/>
        </w:rPr>
        <w:t>to </w:t>
      </w:r>
      <w:r>
        <w:rPr>
          <w:w w:val="105"/>
          <w:sz w:val="21"/>
        </w:rPr>
        <w:t>be carried out as soon as practicable after the fourth anniversary of the </w:t>
      </w:r>
      <w:r>
        <w:rPr>
          <w:spacing w:val="-3"/>
          <w:w w:val="105"/>
          <w:sz w:val="21"/>
        </w:rPr>
        <w:t>commencement </w:t>
      </w:r>
      <w:r>
        <w:rPr>
          <w:w w:val="105"/>
          <w:sz w:val="21"/>
        </w:rPr>
        <w:t>of this</w:t>
      </w:r>
      <w:r>
        <w:rPr>
          <w:spacing w:val="28"/>
          <w:w w:val="105"/>
          <w:sz w:val="21"/>
        </w:rPr>
        <w:t> </w:t>
      </w:r>
      <w:r>
        <w:rPr>
          <w:spacing w:val="-6"/>
          <w:w w:val="105"/>
          <w:sz w:val="21"/>
        </w:rPr>
        <w:t>section’.</w:t>
      </w:r>
      <w:r>
        <w:rPr>
          <w:spacing w:val="-6"/>
          <w:w w:val="105"/>
          <w:position w:val="7"/>
          <w:sz w:val="12"/>
        </w:rPr>
        <w:t>113</w:t>
      </w:r>
    </w:p>
    <w:p>
      <w:pPr>
        <w:pStyle w:val="ListParagraph"/>
        <w:numPr>
          <w:ilvl w:val="1"/>
          <w:numId w:val="16"/>
        </w:numPr>
        <w:tabs>
          <w:tab w:pos="2380" w:val="left" w:leader="none"/>
          <w:tab w:pos="2381" w:val="left" w:leader="none"/>
        </w:tabs>
        <w:spacing w:line="242" w:lineRule="auto" w:before="123" w:after="0"/>
        <w:ind w:left="2380" w:right="2465" w:hanging="793"/>
        <w:jc w:val="left"/>
        <w:rPr>
          <w:sz w:val="21"/>
        </w:rPr>
      </w:pPr>
      <w:r>
        <w:rPr>
          <w:w w:val="105"/>
          <w:sz w:val="21"/>
        </w:rPr>
        <w:t>All</w:t>
      </w:r>
      <w:r>
        <w:rPr>
          <w:spacing w:val="-9"/>
          <w:w w:val="105"/>
          <w:sz w:val="21"/>
        </w:rPr>
        <w:t> </w:t>
      </w:r>
      <w:r>
        <w:rPr>
          <w:w w:val="105"/>
          <w:sz w:val="21"/>
        </w:rPr>
        <w:t>statutory</w:t>
      </w:r>
      <w:r>
        <w:rPr>
          <w:spacing w:val="-8"/>
          <w:w w:val="105"/>
          <w:sz w:val="21"/>
        </w:rPr>
        <w:t> </w:t>
      </w:r>
      <w:r>
        <w:rPr>
          <w:w w:val="105"/>
          <w:sz w:val="21"/>
        </w:rPr>
        <w:t>reviews</w:t>
      </w:r>
      <w:r>
        <w:rPr>
          <w:spacing w:val="-8"/>
          <w:w w:val="105"/>
          <w:sz w:val="21"/>
        </w:rPr>
        <w:t> </w:t>
      </w:r>
      <w:r>
        <w:rPr>
          <w:spacing w:val="-3"/>
          <w:w w:val="105"/>
          <w:sz w:val="21"/>
        </w:rPr>
        <w:t>stipulate</w:t>
      </w:r>
      <w:r>
        <w:rPr>
          <w:spacing w:val="-8"/>
          <w:w w:val="105"/>
          <w:sz w:val="21"/>
        </w:rPr>
        <w:t> </w:t>
      </w:r>
      <w:r>
        <w:rPr>
          <w:spacing w:val="-3"/>
          <w:w w:val="105"/>
          <w:sz w:val="21"/>
        </w:rPr>
        <w:t>that</w:t>
      </w:r>
      <w:r>
        <w:rPr>
          <w:spacing w:val="-8"/>
          <w:w w:val="105"/>
          <w:sz w:val="21"/>
        </w:rPr>
        <w:t> </w:t>
      </w:r>
      <w:r>
        <w:rPr>
          <w:w w:val="105"/>
          <w:sz w:val="21"/>
        </w:rPr>
        <w:t>a</w:t>
      </w:r>
      <w:r>
        <w:rPr>
          <w:spacing w:val="-8"/>
          <w:w w:val="105"/>
          <w:sz w:val="21"/>
        </w:rPr>
        <w:t> </w:t>
      </w:r>
      <w:r>
        <w:rPr>
          <w:spacing w:val="-3"/>
          <w:w w:val="105"/>
          <w:sz w:val="21"/>
        </w:rPr>
        <w:t>copy</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w w:val="105"/>
          <w:sz w:val="21"/>
        </w:rPr>
        <w:t>written</w:t>
      </w:r>
      <w:r>
        <w:rPr>
          <w:spacing w:val="-8"/>
          <w:w w:val="105"/>
          <w:sz w:val="21"/>
        </w:rPr>
        <w:t> </w:t>
      </w:r>
      <w:r>
        <w:rPr>
          <w:w w:val="105"/>
          <w:sz w:val="21"/>
        </w:rPr>
        <w:t>review</w:t>
      </w:r>
      <w:r>
        <w:rPr>
          <w:spacing w:val="-8"/>
          <w:w w:val="105"/>
          <w:sz w:val="21"/>
        </w:rPr>
        <w:t> </w:t>
      </w:r>
      <w:r>
        <w:rPr>
          <w:w w:val="105"/>
          <w:sz w:val="21"/>
        </w:rPr>
        <w:t>is</w:t>
      </w:r>
      <w:r>
        <w:rPr>
          <w:spacing w:val="-8"/>
          <w:w w:val="105"/>
          <w:sz w:val="21"/>
        </w:rPr>
        <w:t> </w:t>
      </w:r>
      <w:r>
        <w:rPr>
          <w:spacing w:val="-3"/>
          <w:w w:val="105"/>
          <w:sz w:val="21"/>
        </w:rPr>
        <w:t>to</w:t>
      </w:r>
      <w:r>
        <w:rPr>
          <w:spacing w:val="-8"/>
          <w:w w:val="105"/>
          <w:sz w:val="21"/>
        </w:rPr>
        <w:t> </w:t>
      </w:r>
      <w:r>
        <w:rPr>
          <w:w w:val="105"/>
          <w:sz w:val="21"/>
        </w:rPr>
        <w:t>be</w:t>
      </w:r>
      <w:r>
        <w:rPr>
          <w:spacing w:val="-8"/>
          <w:w w:val="105"/>
          <w:sz w:val="21"/>
        </w:rPr>
        <w:t> </w:t>
      </w:r>
      <w:r>
        <w:rPr>
          <w:w w:val="105"/>
          <w:sz w:val="21"/>
        </w:rPr>
        <w:t>tabled</w:t>
      </w:r>
      <w:r>
        <w:rPr>
          <w:spacing w:val="-8"/>
          <w:w w:val="105"/>
          <w:sz w:val="21"/>
        </w:rPr>
        <w:t> </w:t>
      </w:r>
      <w:r>
        <w:rPr>
          <w:w w:val="105"/>
          <w:sz w:val="21"/>
        </w:rPr>
        <w:t>in </w:t>
      </w:r>
      <w:r>
        <w:rPr>
          <w:spacing w:val="-5"/>
          <w:w w:val="105"/>
          <w:sz w:val="21"/>
        </w:rPr>
        <w:t>Parliament.</w:t>
      </w:r>
      <w:r>
        <w:rPr>
          <w:spacing w:val="-5"/>
          <w:w w:val="105"/>
          <w:position w:val="7"/>
          <w:sz w:val="12"/>
        </w:rPr>
        <w:t>114</w:t>
      </w:r>
    </w:p>
    <w:p>
      <w:pPr>
        <w:pStyle w:val="ListParagraph"/>
        <w:numPr>
          <w:ilvl w:val="1"/>
          <w:numId w:val="16"/>
        </w:numPr>
        <w:tabs>
          <w:tab w:pos="2381" w:val="left" w:leader="none"/>
          <w:tab w:pos="2382" w:val="left" w:leader="none"/>
        </w:tabs>
        <w:spacing w:line="242" w:lineRule="auto" w:before="122" w:after="0"/>
        <w:ind w:left="2381" w:right="1671" w:hanging="794"/>
        <w:jc w:val="left"/>
        <w:rPr>
          <w:sz w:val="21"/>
        </w:rPr>
      </w:pPr>
      <w:r>
        <w:rPr>
          <w:w w:val="105"/>
          <w:sz w:val="21"/>
        </w:rPr>
        <w:t>The </w:t>
      </w:r>
      <w:r>
        <w:rPr>
          <w:spacing w:val="-3"/>
          <w:w w:val="105"/>
          <w:sz w:val="21"/>
        </w:rPr>
        <w:t>Commission </w:t>
      </w:r>
      <w:r>
        <w:rPr>
          <w:w w:val="105"/>
          <w:sz w:val="21"/>
        </w:rPr>
        <w:t>considers </w:t>
      </w:r>
      <w:r>
        <w:rPr>
          <w:spacing w:val="-3"/>
          <w:w w:val="105"/>
          <w:sz w:val="21"/>
        </w:rPr>
        <w:t>that </w:t>
      </w:r>
      <w:r>
        <w:rPr>
          <w:w w:val="105"/>
          <w:sz w:val="21"/>
        </w:rPr>
        <w:t>the reviews conducted </w:t>
      </w:r>
      <w:r>
        <w:rPr>
          <w:spacing w:val="-3"/>
          <w:w w:val="105"/>
          <w:sz w:val="21"/>
        </w:rPr>
        <w:t>pursuant to </w:t>
      </w:r>
      <w:r>
        <w:rPr>
          <w:w w:val="105"/>
          <w:sz w:val="21"/>
        </w:rPr>
        <w:t>the NSW and </w:t>
      </w:r>
      <w:r>
        <w:rPr>
          <w:spacing w:val="-3"/>
          <w:w w:val="105"/>
          <w:sz w:val="21"/>
        </w:rPr>
        <w:t>Queensland </w:t>
      </w:r>
      <w:r>
        <w:rPr>
          <w:w w:val="105"/>
          <w:sz w:val="21"/>
        </w:rPr>
        <w:t>Acts </w:t>
      </w:r>
      <w:r>
        <w:rPr>
          <w:spacing w:val="-3"/>
          <w:w w:val="105"/>
          <w:sz w:val="21"/>
        </w:rPr>
        <w:t>have </w:t>
      </w:r>
      <w:r>
        <w:rPr>
          <w:w w:val="105"/>
          <w:sz w:val="21"/>
        </w:rPr>
        <w:t>been </w:t>
      </w:r>
      <w:r>
        <w:rPr>
          <w:spacing w:val="-3"/>
          <w:w w:val="105"/>
          <w:sz w:val="21"/>
        </w:rPr>
        <w:t>valuable </w:t>
      </w:r>
      <w:r>
        <w:rPr>
          <w:w w:val="105"/>
          <w:sz w:val="21"/>
        </w:rPr>
        <w:t>and in some cases </w:t>
      </w:r>
      <w:r>
        <w:rPr>
          <w:spacing w:val="-3"/>
          <w:w w:val="105"/>
          <w:sz w:val="21"/>
        </w:rPr>
        <w:t>have resulted </w:t>
      </w:r>
      <w:r>
        <w:rPr>
          <w:w w:val="105"/>
          <w:sz w:val="21"/>
        </w:rPr>
        <w:t>in </w:t>
      </w:r>
      <w:r>
        <w:rPr>
          <w:spacing w:val="-3"/>
          <w:w w:val="105"/>
          <w:sz w:val="21"/>
        </w:rPr>
        <w:t>legislative </w:t>
      </w:r>
      <w:r>
        <w:rPr>
          <w:w w:val="105"/>
          <w:sz w:val="21"/>
        </w:rPr>
        <w:t>amendments</w:t>
      </w:r>
      <w:r>
        <w:rPr>
          <w:spacing w:val="-11"/>
          <w:w w:val="105"/>
          <w:sz w:val="21"/>
        </w:rPr>
        <w:t> </w:t>
      </w:r>
      <w:r>
        <w:rPr>
          <w:spacing w:val="-3"/>
          <w:w w:val="105"/>
          <w:sz w:val="21"/>
        </w:rPr>
        <w:t>to</w:t>
      </w:r>
      <w:r>
        <w:rPr>
          <w:spacing w:val="-11"/>
          <w:w w:val="105"/>
          <w:sz w:val="21"/>
        </w:rPr>
        <w:t> </w:t>
      </w:r>
      <w:r>
        <w:rPr>
          <w:w w:val="105"/>
          <w:sz w:val="21"/>
        </w:rPr>
        <w:t>better</w:t>
      </w:r>
      <w:r>
        <w:rPr>
          <w:spacing w:val="-11"/>
          <w:w w:val="105"/>
          <w:sz w:val="21"/>
        </w:rPr>
        <w:t> </w:t>
      </w:r>
      <w:r>
        <w:rPr>
          <w:w w:val="105"/>
          <w:sz w:val="21"/>
        </w:rPr>
        <w:t>reflect</w:t>
      </w:r>
      <w:r>
        <w:rPr>
          <w:spacing w:val="-10"/>
          <w:w w:val="105"/>
          <w:sz w:val="21"/>
        </w:rPr>
        <w:t> </w:t>
      </w:r>
      <w:r>
        <w:rPr>
          <w:w w:val="105"/>
          <w:sz w:val="21"/>
        </w:rPr>
        <w:t>community</w:t>
      </w:r>
      <w:r>
        <w:rPr>
          <w:spacing w:val="-11"/>
          <w:w w:val="105"/>
          <w:sz w:val="21"/>
        </w:rPr>
        <w:t> </w:t>
      </w:r>
      <w:r>
        <w:rPr>
          <w:w w:val="105"/>
          <w:sz w:val="21"/>
        </w:rPr>
        <w:t>views</w:t>
      </w:r>
      <w:r>
        <w:rPr>
          <w:spacing w:val="-11"/>
          <w:w w:val="105"/>
          <w:sz w:val="21"/>
        </w:rPr>
        <w:t> </w:t>
      </w:r>
      <w:r>
        <w:rPr>
          <w:w w:val="105"/>
          <w:sz w:val="21"/>
        </w:rPr>
        <w:t>and</w:t>
      </w:r>
      <w:r>
        <w:rPr>
          <w:spacing w:val="-10"/>
          <w:w w:val="105"/>
          <w:sz w:val="21"/>
        </w:rPr>
        <w:t> </w:t>
      </w:r>
      <w:r>
        <w:rPr>
          <w:w w:val="105"/>
          <w:sz w:val="21"/>
        </w:rPr>
        <w:t>the</w:t>
      </w:r>
      <w:r>
        <w:rPr>
          <w:spacing w:val="-11"/>
          <w:w w:val="105"/>
          <w:sz w:val="21"/>
        </w:rPr>
        <w:t> </w:t>
      </w:r>
      <w:r>
        <w:rPr>
          <w:w w:val="105"/>
          <w:sz w:val="21"/>
        </w:rPr>
        <w:t>evolving</w:t>
      </w:r>
      <w:r>
        <w:rPr>
          <w:spacing w:val="-11"/>
          <w:w w:val="105"/>
          <w:sz w:val="21"/>
        </w:rPr>
        <w:t> </w:t>
      </w:r>
      <w:r>
        <w:rPr>
          <w:spacing w:val="-3"/>
          <w:w w:val="105"/>
          <w:sz w:val="21"/>
        </w:rPr>
        <w:t>nature</w:t>
      </w:r>
      <w:r>
        <w:rPr>
          <w:spacing w:val="-11"/>
          <w:w w:val="105"/>
          <w:sz w:val="21"/>
        </w:rPr>
        <w:t> </w:t>
      </w:r>
      <w:r>
        <w:rPr>
          <w:w w:val="105"/>
          <w:sz w:val="21"/>
        </w:rPr>
        <w:t>of</w:t>
      </w:r>
      <w:r>
        <w:rPr>
          <w:spacing w:val="-10"/>
          <w:w w:val="105"/>
          <w:sz w:val="21"/>
        </w:rPr>
        <w:t> </w:t>
      </w:r>
      <w:r>
        <w:rPr>
          <w:w w:val="105"/>
          <w:sz w:val="21"/>
        </w:rPr>
        <w:t>tree</w:t>
      </w:r>
      <w:r>
        <w:rPr>
          <w:spacing w:val="-11"/>
          <w:w w:val="105"/>
          <w:sz w:val="21"/>
        </w:rPr>
        <w:t> </w:t>
      </w:r>
      <w:r>
        <w:rPr>
          <w:spacing w:val="-3"/>
          <w:w w:val="105"/>
          <w:sz w:val="21"/>
        </w:rPr>
        <w:t>disputes </w:t>
      </w:r>
      <w:r>
        <w:rPr>
          <w:w w:val="105"/>
          <w:sz w:val="21"/>
        </w:rPr>
        <w:t>between </w:t>
      </w:r>
      <w:r>
        <w:rPr>
          <w:spacing w:val="-4"/>
          <w:w w:val="105"/>
          <w:sz w:val="21"/>
        </w:rPr>
        <w:t>neighbours.</w:t>
      </w:r>
      <w:r>
        <w:rPr>
          <w:spacing w:val="-4"/>
          <w:w w:val="105"/>
          <w:position w:val="7"/>
          <w:sz w:val="12"/>
        </w:rPr>
        <w:t>115 </w:t>
      </w:r>
      <w:r>
        <w:rPr>
          <w:w w:val="105"/>
          <w:sz w:val="21"/>
        </w:rPr>
        <w:t>The </w:t>
      </w:r>
      <w:r>
        <w:rPr>
          <w:spacing w:val="-3"/>
          <w:w w:val="105"/>
          <w:sz w:val="21"/>
        </w:rPr>
        <w:t>Commission </w:t>
      </w:r>
      <w:r>
        <w:rPr>
          <w:w w:val="105"/>
          <w:sz w:val="21"/>
        </w:rPr>
        <w:t>is of the view </w:t>
      </w:r>
      <w:r>
        <w:rPr>
          <w:spacing w:val="-3"/>
          <w:w w:val="105"/>
          <w:sz w:val="21"/>
        </w:rPr>
        <w:t>that </w:t>
      </w:r>
      <w:r>
        <w:rPr>
          <w:w w:val="105"/>
          <w:sz w:val="21"/>
        </w:rPr>
        <w:t>the new Act should also </w:t>
      </w:r>
      <w:r>
        <w:rPr>
          <w:spacing w:val="-3"/>
          <w:w w:val="105"/>
          <w:sz w:val="21"/>
        </w:rPr>
        <w:t>include</w:t>
      </w:r>
      <w:r>
        <w:rPr>
          <w:spacing w:val="-10"/>
          <w:w w:val="105"/>
          <w:sz w:val="21"/>
        </w:rPr>
        <w:t> </w:t>
      </w:r>
      <w:r>
        <w:rPr>
          <w:w w:val="105"/>
          <w:sz w:val="21"/>
        </w:rPr>
        <w:t>a</w:t>
      </w:r>
      <w:r>
        <w:rPr>
          <w:spacing w:val="-10"/>
          <w:w w:val="105"/>
          <w:sz w:val="21"/>
        </w:rPr>
        <w:t> </w:t>
      </w:r>
      <w:r>
        <w:rPr>
          <w:w w:val="105"/>
          <w:sz w:val="21"/>
        </w:rPr>
        <w:t>statutory</w:t>
      </w:r>
      <w:r>
        <w:rPr>
          <w:spacing w:val="-10"/>
          <w:w w:val="105"/>
          <w:sz w:val="21"/>
        </w:rPr>
        <w:t> </w:t>
      </w:r>
      <w:r>
        <w:rPr>
          <w:w w:val="105"/>
          <w:sz w:val="21"/>
        </w:rPr>
        <w:t>review</w:t>
      </w:r>
      <w:r>
        <w:rPr>
          <w:spacing w:val="-10"/>
          <w:w w:val="105"/>
          <w:sz w:val="21"/>
        </w:rPr>
        <w:t> </w:t>
      </w:r>
      <w:r>
        <w:rPr>
          <w:spacing w:val="-3"/>
          <w:w w:val="105"/>
          <w:sz w:val="21"/>
        </w:rPr>
        <w:t>mechanism.</w:t>
      </w:r>
      <w:r>
        <w:rPr>
          <w:spacing w:val="-9"/>
          <w:w w:val="105"/>
          <w:sz w:val="21"/>
        </w:rPr>
        <w:t> </w:t>
      </w:r>
      <w:r>
        <w:rPr>
          <w:w w:val="105"/>
          <w:sz w:val="21"/>
        </w:rPr>
        <w:t>This</w:t>
      </w:r>
      <w:r>
        <w:rPr>
          <w:spacing w:val="-10"/>
          <w:w w:val="105"/>
          <w:sz w:val="21"/>
        </w:rPr>
        <w:t> </w:t>
      </w:r>
      <w:r>
        <w:rPr>
          <w:w w:val="105"/>
          <w:sz w:val="21"/>
        </w:rPr>
        <w:t>would</w:t>
      </w:r>
      <w:r>
        <w:rPr>
          <w:spacing w:val="-10"/>
          <w:w w:val="105"/>
          <w:sz w:val="21"/>
        </w:rPr>
        <w:t> </w:t>
      </w:r>
      <w:r>
        <w:rPr>
          <w:spacing w:val="-3"/>
          <w:w w:val="105"/>
          <w:sz w:val="21"/>
        </w:rPr>
        <w:t>ensure</w:t>
      </w:r>
      <w:r>
        <w:rPr>
          <w:spacing w:val="-10"/>
          <w:w w:val="105"/>
          <w:sz w:val="21"/>
        </w:rPr>
        <w:t> </w:t>
      </w:r>
      <w:r>
        <w:rPr>
          <w:spacing w:val="-3"/>
          <w:w w:val="105"/>
          <w:sz w:val="21"/>
        </w:rPr>
        <w:t>that</w:t>
      </w:r>
      <w:r>
        <w:rPr>
          <w:spacing w:val="-9"/>
          <w:w w:val="105"/>
          <w:sz w:val="21"/>
        </w:rPr>
        <w:t> </w:t>
      </w:r>
      <w:r>
        <w:rPr>
          <w:w w:val="105"/>
          <w:sz w:val="21"/>
        </w:rPr>
        <w:t>the</w:t>
      </w:r>
      <w:r>
        <w:rPr>
          <w:spacing w:val="-10"/>
          <w:w w:val="105"/>
          <w:sz w:val="21"/>
        </w:rPr>
        <w:t> </w:t>
      </w:r>
      <w:r>
        <w:rPr>
          <w:w w:val="105"/>
          <w:sz w:val="21"/>
        </w:rPr>
        <w:t>policy</w:t>
      </w:r>
      <w:r>
        <w:rPr>
          <w:spacing w:val="-10"/>
          <w:w w:val="105"/>
          <w:sz w:val="21"/>
        </w:rPr>
        <w:t> </w:t>
      </w:r>
      <w:r>
        <w:rPr>
          <w:w w:val="105"/>
          <w:sz w:val="21"/>
        </w:rPr>
        <w:t>objectives</w:t>
      </w:r>
      <w:r>
        <w:rPr>
          <w:spacing w:val="-10"/>
          <w:w w:val="105"/>
          <w:sz w:val="21"/>
        </w:rPr>
        <w:t> </w:t>
      </w:r>
      <w:r>
        <w:rPr>
          <w:w w:val="105"/>
          <w:sz w:val="21"/>
        </w:rPr>
        <w:t>of</w:t>
      </w:r>
      <w:r>
        <w:rPr>
          <w:spacing w:val="-9"/>
          <w:w w:val="105"/>
          <w:sz w:val="21"/>
        </w:rPr>
        <w:t> </w:t>
      </w:r>
      <w:r>
        <w:rPr>
          <w:w w:val="105"/>
          <w:sz w:val="21"/>
        </w:rPr>
        <w:t>the new Act </w:t>
      </w:r>
      <w:r>
        <w:rPr>
          <w:spacing w:val="-3"/>
          <w:w w:val="105"/>
          <w:sz w:val="21"/>
        </w:rPr>
        <w:t>remain valid </w:t>
      </w:r>
      <w:r>
        <w:rPr>
          <w:w w:val="105"/>
          <w:sz w:val="21"/>
        </w:rPr>
        <w:t>and </w:t>
      </w:r>
      <w:r>
        <w:rPr>
          <w:spacing w:val="-3"/>
          <w:w w:val="105"/>
          <w:sz w:val="21"/>
        </w:rPr>
        <w:t>that </w:t>
      </w:r>
      <w:r>
        <w:rPr>
          <w:w w:val="105"/>
          <w:sz w:val="21"/>
        </w:rPr>
        <w:t>amendments can be made </w:t>
      </w:r>
      <w:r>
        <w:rPr>
          <w:spacing w:val="-3"/>
          <w:w w:val="105"/>
          <w:sz w:val="21"/>
        </w:rPr>
        <w:t>to improve </w:t>
      </w:r>
      <w:r>
        <w:rPr>
          <w:w w:val="105"/>
          <w:sz w:val="21"/>
        </w:rPr>
        <w:t>the Act in a timely </w:t>
      </w:r>
      <w:r>
        <w:rPr>
          <w:spacing w:val="-5"/>
          <w:w w:val="105"/>
          <w:sz w:val="21"/>
        </w:rPr>
        <w:t>manner. </w:t>
      </w:r>
      <w:r>
        <w:rPr>
          <w:w w:val="105"/>
          <w:sz w:val="21"/>
        </w:rPr>
        <w:t>It would be </w:t>
      </w:r>
      <w:r>
        <w:rPr>
          <w:spacing w:val="-3"/>
          <w:w w:val="105"/>
          <w:sz w:val="21"/>
        </w:rPr>
        <w:t>appropriate for </w:t>
      </w:r>
      <w:r>
        <w:rPr>
          <w:w w:val="105"/>
          <w:sz w:val="21"/>
        </w:rPr>
        <w:t>this review </w:t>
      </w:r>
      <w:r>
        <w:rPr>
          <w:spacing w:val="-3"/>
          <w:w w:val="105"/>
          <w:sz w:val="21"/>
        </w:rPr>
        <w:t>to </w:t>
      </w:r>
      <w:r>
        <w:rPr>
          <w:w w:val="105"/>
          <w:sz w:val="21"/>
        </w:rPr>
        <w:t>be conducted </w:t>
      </w:r>
      <w:r>
        <w:rPr>
          <w:spacing w:val="-3"/>
          <w:w w:val="105"/>
          <w:sz w:val="21"/>
        </w:rPr>
        <w:t>within </w:t>
      </w:r>
      <w:r>
        <w:rPr>
          <w:w w:val="105"/>
          <w:sz w:val="21"/>
        </w:rPr>
        <w:t>five years of the </w:t>
      </w:r>
      <w:r>
        <w:rPr>
          <w:spacing w:val="-3"/>
          <w:w w:val="105"/>
          <w:sz w:val="21"/>
        </w:rPr>
        <w:t>date </w:t>
      </w:r>
      <w:r>
        <w:rPr>
          <w:w w:val="105"/>
          <w:sz w:val="21"/>
        </w:rPr>
        <w:t>of </w:t>
      </w:r>
      <w:r>
        <w:rPr>
          <w:spacing w:val="-3"/>
          <w:w w:val="105"/>
          <w:sz w:val="21"/>
        </w:rPr>
        <w:t>commencement </w:t>
      </w:r>
      <w:r>
        <w:rPr>
          <w:w w:val="105"/>
          <w:sz w:val="21"/>
        </w:rPr>
        <w:t>of the new</w:t>
      </w:r>
      <w:r>
        <w:rPr>
          <w:spacing w:val="38"/>
          <w:w w:val="105"/>
          <w:sz w:val="21"/>
        </w:rPr>
        <w:t> </w:t>
      </w:r>
      <w:r>
        <w:rPr>
          <w:w w:val="105"/>
          <w:sz w:val="21"/>
        </w:rPr>
        <w:t>Act.</w:t>
      </w:r>
    </w:p>
    <w:p>
      <w:pPr>
        <w:pStyle w:val="ListParagraph"/>
        <w:numPr>
          <w:ilvl w:val="1"/>
          <w:numId w:val="16"/>
        </w:numPr>
        <w:tabs>
          <w:tab w:pos="2381" w:val="left" w:leader="none"/>
          <w:tab w:pos="2382" w:val="left" w:leader="none"/>
        </w:tabs>
        <w:spacing w:line="242" w:lineRule="auto" w:before="129" w:after="0"/>
        <w:ind w:left="2381" w:right="1829" w:hanging="794"/>
        <w:jc w:val="left"/>
        <w:rPr>
          <w:sz w:val="21"/>
        </w:rPr>
      </w:pPr>
      <w:r>
        <w:rPr>
          <w:sz w:val="21"/>
        </w:rPr>
        <w:t>A statutory review would also provide an opportunity </w:t>
      </w:r>
      <w:r>
        <w:rPr>
          <w:spacing w:val="-3"/>
          <w:sz w:val="21"/>
        </w:rPr>
        <w:t>to consider </w:t>
      </w:r>
      <w:r>
        <w:rPr>
          <w:sz w:val="21"/>
        </w:rPr>
        <w:t>the matters discussed </w:t>
      </w:r>
      <w:r>
        <w:rPr>
          <w:spacing w:val="-3"/>
          <w:sz w:val="21"/>
        </w:rPr>
        <w:t>earlier </w:t>
      </w:r>
      <w:r>
        <w:rPr>
          <w:sz w:val="21"/>
        </w:rPr>
        <w:t>in this report</w:t>
      </w:r>
      <w:r>
        <w:rPr>
          <w:spacing w:val="37"/>
          <w:sz w:val="21"/>
        </w:rPr>
        <w:t> </w:t>
      </w:r>
      <w:r>
        <w:rPr>
          <w:spacing w:val="-3"/>
          <w:sz w:val="21"/>
        </w:rPr>
        <w:t>including:</w:t>
      </w:r>
    </w:p>
    <w:p>
      <w:pPr>
        <w:pStyle w:val="ListParagraph"/>
        <w:numPr>
          <w:ilvl w:val="2"/>
          <w:numId w:val="16"/>
        </w:numPr>
        <w:tabs>
          <w:tab w:pos="2721" w:val="left" w:leader="none"/>
          <w:tab w:pos="2722" w:val="left" w:leader="none"/>
        </w:tabs>
        <w:spacing w:line="242" w:lineRule="auto" w:before="122" w:after="0"/>
        <w:ind w:left="2721" w:right="1752" w:hanging="340"/>
        <w:jc w:val="left"/>
        <w:rPr>
          <w:sz w:val="21"/>
        </w:rPr>
      </w:pPr>
      <w:r>
        <w:rPr>
          <w:w w:val="105"/>
          <w:sz w:val="21"/>
        </w:rPr>
        <w:t>the effectiveness of the </w:t>
      </w:r>
      <w:r>
        <w:rPr>
          <w:spacing w:val="-3"/>
          <w:w w:val="105"/>
          <w:sz w:val="21"/>
        </w:rPr>
        <w:t>zoning provisions </w:t>
      </w:r>
      <w:r>
        <w:rPr>
          <w:w w:val="105"/>
          <w:sz w:val="21"/>
        </w:rPr>
        <w:t>in the Act. </w:t>
      </w:r>
      <w:r>
        <w:rPr>
          <w:spacing w:val="-4"/>
          <w:w w:val="105"/>
          <w:sz w:val="21"/>
        </w:rPr>
        <w:t>At </w:t>
      </w:r>
      <w:r>
        <w:rPr>
          <w:w w:val="105"/>
          <w:sz w:val="21"/>
        </w:rPr>
        <w:t>review </w:t>
      </w:r>
      <w:r>
        <w:rPr>
          <w:spacing w:val="-3"/>
          <w:w w:val="105"/>
          <w:sz w:val="21"/>
        </w:rPr>
        <w:t>Government </w:t>
      </w:r>
      <w:r>
        <w:rPr>
          <w:w w:val="105"/>
          <w:sz w:val="21"/>
        </w:rPr>
        <w:t>should </w:t>
      </w:r>
      <w:r>
        <w:rPr>
          <w:spacing w:val="-3"/>
          <w:w w:val="105"/>
          <w:sz w:val="21"/>
        </w:rPr>
        <w:t>consult </w:t>
      </w:r>
      <w:r>
        <w:rPr>
          <w:w w:val="105"/>
          <w:sz w:val="21"/>
        </w:rPr>
        <w:t>with </w:t>
      </w:r>
      <w:r>
        <w:rPr>
          <w:spacing w:val="-3"/>
          <w:w w:val="105"/>
          <w:sz w:val="21"/>
        </w:rPr>
        <w:t>farming </w:t>
      </w:r>
      <w:r>
        <w:rPr>
          <w:w w:val="105"/>
          <w:sz w:val="21"/>
        </w:rPr>
        <w:t>and </w:t>
      </w:r>
      <w:r>
        <w:rPr>
          <w:spacing w:val="-3"/>
          <w:w w:val="105"/>
          <w:sz w:val="21"/>
        </w:rPr>
        <w:t>agricultural </w:t>
      </w:r>
      <w:r>
        <w:rPr>
          <w:w w:val="105"/>
          <w:sz w:val="21"/>
        </w:rPr>
        <w:t>users of </w:t>
      </w:r>
      <w:r>
        <w:rPr>
          <w:spacing w:val="-3"/>
          <w:w w:val="105"/>
          <w:sz w:val="21"/>
        </w:rPr>
        <w:t>land to </w:t>
      </w:r>
      <w:r>
        <w:rPr>
          <w:w w:val="105"/>
          <w:sz w:val="21"/>
        </w:rPr>
        <w:t>obtain specific </w:t>
      </w:r>
      <w:r>
        <w:rPr>
          <w:spacing w:val="-3"/>
          <w:w w:val="105"/>
          <w:sz w:val="21"/>
        </w:rPr>
        <w:t>input from rural communities </w:t>
      </w:r>
      <w:r>
        <w:rPr>
          <w:w w:val="105"/>
          <w:sz w:val="21"/>
        </w:rPr>
        <w:t>about the application of the Act (see </w:t>
      </w:r>
      <w:r>
        <w:rPr>
          <w:spacing w:val="-4"/>
          <w:w w:val="105"/>
          <w:sz w:val="21"/>
        </w:rPr>
        <w:t>Chapter</w:t>
      </w:r>
      <w:r>
        <w:rPr>
          <w:spacing w:val="36"/>
          <w:w w:val="105"/>
          <w:sz w:val="21"/>
        </w:rPr>
        <w:t> </w:t>
      </w:r>
      <w:r>
        <w:rPr>
          <w:w w:val="105"/>
          <w:sz w:val="21"/>
        </w:rPr>
        <w:t>5)</w:t>
      </w:r>
    </w:p>
    <w:p>
      <w:pPr>
        <w:pStyle w:val="BodyText"/>
        <w:rPr>
          <w:sz w:val="20"/>
        </w:rPr>
      </w:pPr>
    </w:p>
    <w:p>
      <w:pPr>
        <w:pStyle w:val="BodyText"/>
        <w:rPr>
          <w:sz w:val="20"/>
        </w:rPr>
      </w:pPr>
    </w:p>
    <w:p>
      <w:pPr>
        <w:pStyle w:val="BodyText"/>
        <w:rPr>
          <w:sz w:val="20"/>
        </w:rPr>
      </w:pPr>
    </w:p>
    <w:p>
      <w:pPr>
        <w:pStyle w:val="BodyText"/>
        <w:spacing w:before="10"/>
        <w:rPr>
          <w:sz w:val="23"/>
        </w:rPr>
      </w:pPr>
      <w:r>
        <w:rPr/>
        <w:pict>
          <v:line style="position:absolute;mso-position-horizontal-relative:page;mso-position-vertical-relative:paragraph;z-index:12128;mso-wrap-distance-left:0;mso-wrap-distance-right:0" from="79.370102pt,17.017138pt" to="515.905102pt,17.017138pt" stroked="true" strokeweight="1pt" strokecolor="#c9d2cb">
            <v:stroke dashstyle="solid"/>
            <w10:wrap type="topAndBottom"/>
          </v:line>
        </w:pict>
      </w:r>
    </w:p>
    <w:p>
      <w:pPr>
        <w:pStyle w:val="BodyText"/>
        <w:spacing w:before="8"/>
        <w:rPr>
          <w:sz w:val="5"/>
        </w:rPr>
      </w:pPr>
    </w:p>
    <w:p>
      <w:pPr>
        <w:spacing w:after="0"/>
        <w:rPr>
          <w:sz w:val="5"/>
        </w:rPr>
        <w:sectPr>
          <w:pgSz w:w="11910" w:h="16840"/>
          <w:pgMar w:header="808" w:footer="0" w:top="1360" w:bottom="280" w:left="0" w:right="0"/>
        </w:sectPr>
      </w:pPr>
    </w:p>
    <w:p>
      <w:pPr>
        <w:pStyle w:val="ListParagraph"/>
        <w:numPr>
          <w:ilvl w:val="0"/>
          <w:numId w:val="207"/>
        </w:numPr>
        <w:tabs>
          <w:tab w:pos="2380" w:val="left" w:leader="none"/>
          <w:tab w:pos="2382" w:val="left" w:leader="none"/>
        </w:tabs>
        <w:spacing w:line="240" w:lineRule="auto" w:before="48" w:after="0"/>
        <w:ind w:left="2381" w:right="22" w:hanging="794"/>
        <w:jc w:val="left"/>
        <w:rPr>
          <w:sz w:val="13"/>
        </w:rPr>
      </w:pPr>
      <w:r>
        <w:rPr>
          <w:sz w:val="13"/>
        </w:rPr>
        <w:t>The native vegetation  removal  regulations  govern  the  removal  of  native  vegetation  in  Victoria.  They  require  landholders  to  obtain  a planning permit to remove, destroy or lop native vegetation. The ‘Guidelines for the Removal, Destruction or Lopping of Native Vegetation’                is</w:t>
      </w:r>
      <w:r>
        <w:rPr>
          <w:spacing w:val="7"/>
          <w:sz w:val="13"/>
        </w:rPr>
        <w:t> </w:t>
      </w:r>
      <w:r>
        <w:rPr>
          <w:sz w:val="13"/>
        </w:rPr>
        <w:t>now</w:t>
      </w:r>
      <w:r>
        <w:rPr>
          <w:spacing w:val="8"/>
          <w:sz w:val="13"/>
        </w:rPr>
        <w:t> </w:t>
      </w:r>
      <w:r>
        <w:rPr>
          <w:sz w:val="13"/>
        </w:rPr>
        <w:t>an</w:t>
      </w:r>
      <w:r>
        <w:rPr>
          <w:spacing w:val="7"/>
          <w:sz w:val="13"/>
        </w:rPr>
        <w:t> </w:t>
      </w:r>
      <w:r>
        <w:rPr>
          <w:sz w:val="13"/>
        </w:rPr>
        <w:t>incorporated</w:t>
      </w:r>
      <w:r>
        <w:rPr>
          <w:spacing w:val="8"/>
          <w:sz w:val="13"/>
        </w:rPr>
        <w:t> </w:t>
      </w:r>
      <w:r>
        <w:rPr>
          <w:sz w:val="13"/>
        </w:rPr>
        <w:t>document</w:t>
      </w:r>
      <w:r>
        <w:rPr>
          <w:spacing w:val="7"/>
          <w:sz w:val="13"/>
        </w:rPr>
        <w:t> </w:t>
      </w:r>
      <w:r>
        <w:rPr>
          <w:sz w:val="13"/>
        </w:rPr>
        <w:t>in</w:t>
      </w:r>
      <w:r>
        <w:rPr>
          <w:spacing w:val="8"/>
          <w:sz w:val="13"/>
        </w:rPr>
        <w:t> </w:t>
      </w:r>
      <w:r>
        <w:rPr>
          <w:sz w:val="13"/>
        </w:rPr>
        <w:t>all</w:t>
      </w:r>
      <w:r>
        <w:rPr>
          <w:spacing w:val="7"/>
          <w:sz w:val="13"/>
        </w:rPr>
        <w:t> </w:t>
      </w:r>
      <w:r>
        <w:rPr>
          <w:sz w:val="13"/>
        </w:rPr>
        <w:t>planning</w:t>
      </w:r>
      <w:r>
        <w:rPr>
          <w:spacing w:val="8"/>
          <w:sz w:val="13"/>
        </w:rPr>
        <w:t> </w:t>
      </w:r>
      <w:r>
        <w:rPr>
          <w:sz w:val="13"/>
        </w:rPr>
        <w:t>schemes</w:t>
      </w:r>
      <w:r>
        <w:rPr>
          <w:spacing w:val="7"/>
          <w:sz w:val="13"/>
        </w:rPr>
        <w:t> </w:t>
      </w:r>
      <w:r>
        <w:rPr>
          <w:sz w:val="13"/>
        </w:rPr>
        <w:t>in</w:t>
      </w:r>
      <w:r>
        <w:rPr>
          <w:spacing w:val="8"/>
          <w:sz w:val="13"/>
        </w:rPr>
        <w:t> </w:t>
      </w:r>
      <w:r>
        <w:rPr>
          <w:sz w:val="13"/>
        </w:rPr>
        <w:t>Victoria.</w:t>
      </w:r>
    </w:p>
    <w:p>
      <w:pPr>
        <w:pStyle w:val="ListParagraph"/>
        <w:numPr>
          <w:ilvl w:val="0"/>
          <w:numId w:val="207"/>
        </w:numPr>
        <w:tabs>
          <w:tab w:pos="2380" w:val="left" w:leader="none"/>
          <w:tab w:pos="2382" w:val="left" w:leader="none"/>
        </w:tabs>
        <w:spacing w:line="240" w:lineRule="auto" w:before="4" w:after="0"/>
        <w:ind w:left="2381" w:right="8" w:hanging="794"/>
        <w:jc w:val="left"/>
        <w:rPr>
          <w:sz w:val="13"/>
        </w:rPr>
      </w:pPr>
      <w:r>
        <w:rPr>
          <w:w w:val="105"/>
          <w:sz w:val="13"/>
        </w:rPr>
        <w:t>Department of Environment, Land, Water and Planning </w:t>
      </w:r>
      <w:r>
        <w:rPr>
          <w:spacing w:val="2"/>
          <w:w w:val="105"/>
          <w:sz w:val="13"/>
        </w:rPr>
        <w:t>(Vic), </w:t>
      </w:r>
      <w:r>
        <w:rPr>
          <w:i/>
          <w:w w:val="105"/>
          <w:sz w:val="13"/>
        </w:rPr>
        <w:t>Review of The Native Vegetation Clearing Regulations </w:t>
      </w:r>
      <w:r>
        <w:rPr>
          <w:w w:val="105"/>
          <w:sz w:val="13"/>
        </w:rPr>
        <w:t>(Web Page) 29 October 2018)</w:t>
      </w:r>
      <w:r>
        <w:rPr>
          <w:spacing w:val="6"/>
          <w:w w:val="105"/>
          <w:sz w:val="13"/>
        </w:rPr>
        <w:t> </w:t>
      </w:r>
      <w:r>
        <w:rPr>
          <w:w w:val="105"/>
          <w:sz w:val="13"/>
        </w:rPr>
        <w:t>&lt;https://</w:t>
      </w:r>
      <w:hyperlink r:id="rId368">
        <w:r>
          <w:rPr>
            <w:w w:val="105"/>
            <w:sz w:val="13"/>
          </w:rPr>
          <w:t>www.environment.vic.gov.au/native-vegetation/review-of-native-vegetation-clearing-regulations</w:t>
        </w:r>
      </w:hyperlink>
      <w:r>
        <w:rPr>
          <w:w w:val="105"/>
          <w:sz w:val="13"/>
        </w:rPr>
        <w:t>&gt;.</w:t>
      </w:r>
    </w:p>
    <w:p>
      <w:pPr>
        <w:pStyle w:val="ListParagraph"/>
        <w:numPr>
          <w:ilvl w:val="0"/>
          <w:numId w:val="207"/>
        </w:numPr>
        <w:tabs>
          <w:tab w:pos="2380" w:val="left" w:leader="none"/>
          <w:tab w:pos="2382" w:val="left" w:leader="none"/>
        </w:tabs>
        <w:spacing w:line="240" w:lineRule="auto" w:before="3" w:after="0"/>
        <w:ind w:left="2381" w:right="361" w:hanging="794"/>
        <w:jc w:val="left"/>
        <w:rPr>
          <w:sz w:val="13"/>
        </w:rPr>
      </w:pPr>
      <w:r>
        <w:rPr>
          <w:w w:val="105"/>
          <w:sz w:val="13"/>
        </w:rPr>
        <w:t>Department of Environment, Land, Water and Planning </w:t>
      </w:r>
      <w:r>
        <w:rPr>
          <w:spacing w:val="2"/>
          <w:w w:val="105"/>
          <w:sz w:val="13"/>
        </w:rPr>
        <w:t>(Vic), </w:t>
      </w:r>
      <w:r>
        <w:rPr>
          <w:i/>
          <w:w w:val="105"/>
          <w:sz w:val="13"/>
        </w:rPr>
        <w:t>Native Vegetation Removal Regulations— Compliance and Enforcement </w:t>
      </w:r>
      <w:r>
        <w:rPr>
          <w:i/>
          <w:w w:val="105"/>
          <w:sz w:val="13"/>
        </w:rPr>
        <w:t>Strategy </w:t>
      </w:r>
      <w:r>
        <w:rPr>
          <w:w w:val="105"/>
          <w:sz w:val="13"/>
        </w:rPr>
        <w:t>(December 2017) 15–17</w:t>
      </w:r>
      <w:r>
        <w:rPr>
          <w:spacing w:val="22"/>
          <w:w w:val="105"/>
          <w:sz w:val="13"/>
        </w:rPr>
        <w:t> </w:t>
      </w:r>
      <w:r>
        <w:rPr>
          <w:w w:val="105"/>
          <w:sz w:val="13"/>
        </w:rPr>
        <w:t>&lt;https://</w:t>
      </w:r>
      <w:hyperlink r:id="rId369">
        <w:r>
          <w:rPr>
            <w:w w:val="105"/>
            <w:sz w:val="13"/>
          </w:rPr>
          <w:t>www.environment.vic.gov.au/native-vegetation/native-vegetation</w:t>
        </w:r>
      </w:hyperlink>
      <w:r>
        <w:rPr>
          <w:w w:val="105"/>
          <w:sz w:val="13"/>
        </w:rPr>
        <w:t>&gt;.</w:t>
      </w:r>
    </w:p>
    <w:p>
      <w:pPr>
        <w:pStyle w:val="ListParagraph"/>
        <w:numPr>
          <w:ilvl w:val="0"/>
          <w:numId w:val="207"/>
        </w:numPr>
        <w:tabs>
          <w:tab w:pos="2380" w:val="left" w:leader="none"/>
          <w:tab w:pos="2382" w:val="left" w:leader="none"/>
        </w:tabs>
        <w:spacing w:line="240" w:lineRule="auto" w:before="2" w:after="0"/>
        <w:ind w:left="2381" w:right="0" w:hanging="794"/>
        <w:jc w:val="left"/>
        <w:rPr>
          <w:sz w:val="13"/>
        </w:rPr>
      </w:pPr>
      <w:r>
        <w:rPr>
          <w:w w:val="105"/>
          <w:sz w:val="13"/>
        </w:rPr>
        <w:t>Department</w:t>
      </w:r>
      <w:r>
        <w:rPr>
          <w:spacing w:val="7"/>
          <w:w w:val="105"/>
          <w:sz w:val="13"/>
        </w:rPr>
        <w:t> </w:t>
      </w:r>
      <w:r>
        <w:rPr>
          <w:w w:val="105"/>
          <w:sz w:val="13"/>
        </w:rPr>
        <w:t>of</w:t>
      </w:r>
      <w:r>
        <w:rPr>
          <w:spacing w:val="8"/>
          <w:w w:val="105"/>
          <w:sz w:val="13"/>
        </w:rPr>
        <w:t> </w:t>
      </w:r>
      <w:r>
        <w:rPr>
          <w:w w:val="105"/>
          <w:sz w:val="13"/>
        </w:rPr>
        <w:t>Justice</w:t>
      </w:r>
      <w:r>
        <w:rPr>
          <w:spacing w:val="7"/>
          <w:w w:val="105"/>
          <w:sz w:val="13"/>
        </w:rPr>
        <w:t> </w:t>
      </w:r>
      <w:r>
        <w:rPr>
          <w:w w:val="105"/>
          <w:sz w:val="13"/>
        </w:rPr>
        <w:t>&amp;</w:t>
      </w:r>
      <w:r>
        <w:rPr>
          <w:spacing w:val="8"/>
          <w:w w:val="105"/>
          <w:sz w:val="13"/>
        </w:rPr>
        <w:t> </w:t>
      </w:r>
      <w:r>
        <w:rPr>
          <w:w w:val="105"/>
          <w:sz w:val="13"/>
        </w:rPr>
        <w:t>Attorney</w:t>
      </w:r>
      <w:r>
        <w:rPr>
          <w:spacing w:val="7"/>
          <w:w w:val="105"/>
          <w:sz w:val="13"/>
        </w:rPr>
        <w:t> </w:t>
      </w:r>
      <w:r>
        <w:rPr>
          <w:w w:val="105"/>
          <w:sz w:val="13"/>
        </w:rPr>
        <w:t>General</w:t>
      </w:r>
      <w:r>
        <w:rPr>
          <w:spacing w:val="8"/>
          <w:w w:val="105"/>
          <w:sz w:val="13"/>
        </w:rPr>
        <w:t> </w:t>
      </w:r>
      <w:r>
        <w:rPr>
          <w:spacing w:val="3"/>
          <w:w w:val="105"/>
          <w:sz w:val="13"/>
        </w:rPr>
        <w:t>(NSW),</w:t>
      </w:r>
      <w:r>
        <w:rPr>
          <w:spacing w:val="7"/>
          <w:w w:val="105"/>
          <w:sz w:val="13"/>
        </w:rPr>
        <w:t> </w:t>
      </w:r>
      <w:r>
        <w:rPr>
          <w:i/>
          <w:w w:val="105"/>
          <w:sz w:val="13"/>
        </w:rPr>
        <w:t>Review</w:t>
      </w:r>
      <w:r>
        <w:rPr>
          <w:i/>
          <w:spacing w:val="8"/>
          <w:w w:val="105"/>
          <w:sz w:val="13"/>
        </w:rPr>
        <w:t> </w:t>
      </w:r>
      <w:r>
        <w:rPr>
          <w:i/>
          <w:w w:val="105"/>
          <w:sz w:val="13"/>
        </w:rPr>
        <w:t>of</w:t>
      </w:r>
      <w:r>
        <w:rPr>
          <w:i/>
          <w:spacing w:val="7"/>
          <w:w w:val="105"/>
          <w:sz w:val="13"/>
        </w:rPr>
        <w:t> </w:t>
      </w:r>
      <w:r>
        <w:rPr>
          <w:i/>
          <w:w w:val="105"/>
          <w:sz w:val="13"/>
        </w:rPr>
        <w:t>the</w:t>
      </w:r>
      <w:r>
        <w:rPr>
          <w:i/>
          <w:spacing w:val="8"/>
          <w:w w:val="105"/>
          <w:sz w:val="13"/>
        </w:rPr>
        <w:t> </w:t>
      </w:r>
      <w:r>
        <w:rPr>
          <w:i/>
          <w:w w:val="105"/>
          <w:sz w:val="13"/>
        </w:rPr>
        <w:t>Trees</w:t>
      </w:r>
      <w:r>
        <w:rPr>
          <w:i/>
          <w:spacing w:val="7"/>
          <w:w w:val="105"/>
          <w:sz w:val="13"/>
        </w:rPr>
        <w:t> </w:t>
      </w:r>
      <w:r>
        <w:rPr>
          <w:i/>
          <w:w w:val="105"/>
          <w:sz w:val="13"/>
        </w:rPr>
        <w:t>(Disputes</w:t>
      </w:r>
      <w:r>
        <w:rPr>
          <w:i/>
          <w:spacing w:val="8"/>
          <w:w w:val="105"/>
          <w:sz w:val="13"/>
        </w:rPr>
        <w:t> </w:t>
      </w:r>
      <w:r>
        <w:rPr>
          <w:i/>
          <w:w w:val="105"/>
          <w:sz w:val="13"/>
        </w:rPr>
        <w:t>Between</w:t>
      </w:r>
      <w:r>
        <w:rPr>
          <w:i/>
          <w:spacing w:val="7"/>
          <w:w w:val="105"/>
          <w:sz w:val="13"/>
        </w:rPr>
        <w:t> </w:t>
      </w:r>
      <w:r>
        <w:rPr>
          <w:i/>
          <w:w w:val="105"/>
          <w:sz w:val="13"/>
        </w:rPr>
        <w:t>Neighbours)</w:t>
      </w:r>
      <w:r>
        <w:rPr>
          <w:i/>
          <w:spacing w:val="8"/>
          <w:w w:val="105"/>
          <w:sz w:val="13"/>
        </w:rPr>
        <w:t> </w:t>
      </w:r>
      <w:r>
        <w:rPr>
          <w:i/>
          <w:w w:val="105"/>
          <w:sz w:val="13"/>
        </w:rPr>
        <w:t>Act</w:t>
      </w:r>
      <w:r>
        <w:rPr>
          <w:i/>
          <w:spacing w:val="7"/>
          <w:w w:val="105"/>
          <w:sz w:val="13"/>
        </w:rPr>
        <w:t> </w:t>
      </w:r>
      <w:r>
        <w:rPr>
          <w:i/>
          <w:w w:val="105"/>
          <w:sz w:val="13"/>
        </w:rPr>
        <w:t>2006</w:t>
      </w:r>
      <w:r>
        <w:rPr>
          <w:i/>
          <w:spacing w:val="8"/>
          <w:w w:val="105"/>
          <w:sz w:val="13"/>
        </w:rPr>
        <w:t> </w:t>
      </w:r>
      <w:r>
        <w:rPr>
          <w:spacing w:val="3"/>
          <w:w w:val="105"/>
          <w:sz w:val="13"/>
        </w:rPr>
        <w:t>(NSW)</w:t>
      </w:r>
      <w:r>
        <w:rPr>
          <w:spacing w:val="7"/>
          <w:w w:val="105"/>
          <w:sz w:val="13"/>
        </w:rPr>
        <w:t> </w:t>
      </w:r>
      <w:r>
        <w:rPr>
          <w:spacing w:val="2"/>
          <w:w w:val="105"/>
          <w:sz w:val="13"/>
        </w:rPr>
        <w:t>(Report,</w:t>
      </w:r>
      <w:r>
        <w:rPr>
          <w:spacing w:val="8"/>
          <w:w w:val="105"/>
          <w:sz w:val="13"/>
        </w:rPr>
        <w:t> </w:t>
      </w:r>
      <w:r>
        <w:rPr>
          <w:spacing w:val="2"/>
          <w:w w:val="105"/>
          <w:sz w:val="13"/>
        </w:rPr>
        <w:t>2009)</w:t>
      </w:r>
      <w:r>
        <w:rPr>
          <w:spacing w:val="7"/>
          <w:w w:val="105"/>
          <w:sz w:val="13"/>
        </w:rPr>
        <w:t> </w:t>
      </w:r>
      <w:r>
        <w:rPr>
          <w:w w:val="105"/>
          <w:sz w:val="13"/>
        </w:rPr>
        <w:t>9.</w:t>
      </w:r>
    </w:p>
    <w:p>
      <w:pPr>
        <w:pStyle w:val="ListParagraph"/>
        <w:numPr>
          <w:ilvl w:val="0"/>
          <w:numId w:val="207"/>
        </w:numPr>
        <w:tabs>
          <w:tab w:pos="2380" w:val="left" w:leader="none"/>
          <w:tab w:pos="2382" w:val="left" w:leader="none"/>
        </w:tabs>
        <w:spacing w:line="240" w:lineRule="auto" w:before="2" w:after="0"/>
        <w:ind w:left="2381" w:right="0" w:hanging="794"/>
        <w:jc w:val="left"/>
        <w:rPr>
          <w:sz w:val="13"/>
        </w:rPr>
      </w:pPr>
      <w:r>
        <w:rPr>
          <w:i/>
          <w:w w:val="105"/>
          <w:sz w:val="13"/>
        </w:rPr>
        <w:t>Neighbourhood Disputes (Dividing Fences and Trees) Act </w:t>
      </w:r>
      <w:r>
        <w:rPr>
          <w:i/>
          <w:spacing w:val="-4"/>
          <w:w w:val="105"/>
          <w:sz w:val="13"/>
        </w:rPr>
        <w:t>2011 </w:t>
      </w:r>
      <w:r>
        <w:rPr>
          <w:spacing w:val="2"/>
          <w:w w:val="105"/>
          <w:sz w:val="13"/>
        </w:rPr>
        <w:t>(Qld) </w:t>
      </w:r>
      <w:r>
        <w:rPr>
          <w:w w:val="105"/>
          <w:sz w:val="13"/>
        </w:rPr>
        <w:t>s</w:t>
      </w:r>
      <w:r>
        <w:rPr>
          <w:spacing w:val="25"/>
          <w:w w:val="105"/>
          <w:sz w:val="13"/>
        </w:rPr>
        <w:t> </w:t>
      </w:r>
      <w:r>
        <w:rPr>
          <w:spacing w:val="-4"/>
          <w:w w:val="105"/>
          <w:sz w:val="13"/>
        </w:rPr>
        <w:t>97.</w:t>
      </w:r>
    </w:p>
    <w:p>
      <w:pPr>
        <w:pStyle w:val="ListParagraph"/>
        <w:numPr>
          <w:ilvl w:val="0"/>
          <w:numId w:val="207"/>
        </w:numPr>
        <w:tabs>
          <w:tab w:pos="2380" w:val="left" w:leader="none"/>
          <w:tab w:pos="2382" w:val="left" w:leader="none"/>
        </w:tabs>
        <w:spacing w:line="240" w:lineRule="auto" w:before="1" w:after="0"/>
        <w:ind w:left="2381" w:right="503" w:hanging="794"/>
        <w:jc w:val="left"/>
        <w:rPr>
          <w:sz w:val="13"/>
        </w:rPr>
      </w:pPr>
      <w:r>
        <w:rPr>
          <w:w w:val="105"/>
          <w:sz w:val="13"/>
        </w:rPr>
        <w:t>Queensland Law Reform Commission, </w:t>
      </w:r>
      <w:r>
        <w:rPr>
          <w:i/>
          <w:w w:val="105"/>
          <w:sz w:val="13"/>
        </w:rPr>
        <w:t>Review of the Neighbourhood Disputes (Dividing Fences and Trees) Act </w:t>
      </w:r>
      <w:r>
        <w:rPr>
          <w:i/>
          <w:spacing w:val="-4"/>
          <w:w w:val="105"/>
          <w:sz w:val="13"/>
        </w:rPr>
        <w:t>2011 </w:t>
      </w:r>
      <w:r>
        <w:rPr>
          <w:spacing w:val="2"/>
          <w:w w:val="105"/>
          <w:sz w:val="13"/>
        </w:rPr>
        <w:t>(Report </w:t>
      </w:r>
      <w:r>
        <w:rPr>
          <w:w w:val="105"/>
          <w:sz w:val="13"/>
        </w:rPr>
        <w:t>No 72, December</w:t>
      </w:r>
      <w:r>
        <w:rPr>
          <w:spacing w:val="4"/>
          <w:w w:val="105"/>
          <w:sz w:val="13"/>
        </w:rPr>
        <w:t> </w:t>
      </w:r>
      <w:r>
        <w:rPr>
          <w:w w:val="105"/>
          <w:sz w:val="13"/>
        </w:rPr>
        <w:t>2015).</w:t>
      </w:r>
    </w:p>
    <w:p>
      <w:pPr>
        <w:pStyle w:val="ListParagraph"/>
        <w:numPr>
          <w:ilvl w:val="0"/>
          <w:numId w:val="207"/>
        </w:numPr>
        <w:tabs>
          <w:tab w:pos="2380" w:val="left" w:leader="none"/>
          <w:tab w:pos="2382" w:val="left" w:leader="none"/>
        </w:tabs>
        <w:spacing w:line="240" w:lineRule="auto" w:before="3" w:after="0"/>
        <w:ind w:left="2381" w:right="0" w:hanging="794"/>
        <w:jc w:val="left"/>
        <w:rPr>
          <w:sz w:val="13"/>
        </w:rPr>
      </w:pPr>
      <w:r>
        <w:rPr>
          <w:i/>
          <w:w w:val="105"/>
          <w:sz w:val="13"/>
        </w:rPr>
        <w:t>Neighbourhood Disputes About Plants </w:t>
      </w:r>
      <w:r>
        <w:rPr>
          <w:i/>
          <w:spacing w:val="-4"/>
          <w:w w:val="105"/>
          <w:sz w:val="13"/>
        </w:rPr>
        <w:t>2017 </w:t>
      </w:r>
      <w:r>
        <w:rPr>
          <w:w w:val="105"/>
          <w:sz w:val="13"/>
        </w:rPr>
        <w:t>(Tas)</w:t>
      </w:r>
      <w:r>
        <w:rPr>
          <w:spacing w:val="6"/>
          <w:w w:val="105"/>
          <w:sz w:val="13"/>
        </w:rPr>
        <w:t> </w:t>
      </w:r>
      <w:r>
        <w:rPr>
          <w:spacing w:val="2"/>
          <w:w w:val="105"/>
          <w:sz w:val="13"/>
        </w:rPr>
        <w:t>39(1).</w:t>
      </w:r>
    </w:p>
    <w:p>
      <w:pPr>
        <w:pStyle w:val="ListParagraph"/>
        <w:numPr>
          <w:ilvl w:val="0"/>
          <w:numId w:val="207"/>
        </w:numPr>
        <w:tabs>
          <w:tab w:pos="2380" w:val="left" w:leader="none"/>
          <w:tab w:pos="2382" w:val="left" w:leader="none"/>
        </w:tabs>
        <w:spacing w:line="240" w:lineRule="auto" w:before="1" w:after="0"/>
        <w:ind w:left="2381" w:right="0" w:hanging="794"/>
        <w:jc w:val="left"/>
        <w:rPr>
          <w:sz w:val="13"/>
        </w:rPr>
      </w:pPr>
      <w:r>
        <w:rPr>
          <w:i/>
          <w:w w:val="105"/>
          <w:sz w:val="13"/>
        </w:rPr>
        <w:t>Trees</w:t>
      </w:r>
      <w:r>
        <w:rPr>
          <w:i/>
          <w:spacing w:val="9"/>
          <w:w w:val="105"/>
          <w:sz w:val="13"/>
        </w:rPr>
        <w:t> </w:t>
      </w:r>
      <w:r>
        <w:rPr>
          <w:i/>
          <w:w w:val="105"/>
          <w:sz w:val="13"/>
        </w:rPr>
        <w:t>(Disputes</w:t>
      </w:r>
      <w:r>
        <w:rPr>
          <w:i/>
          <w:spacing w:val="10"/>
          <w:w w:val="105"/>
          <w:sz w:val="13"/>
        </w:rPr>
        <w:t> </w:t>
      </w:r>
      <w:r>
        <w:rPr>
          <w:i/>
          <w:w w:val="105"/>
          <w:sz w:val="13"/>
        </w:rPr>
        <w:t>Between</w:t>
      </w:r>
      <w:r>
        <w:rPr>
          <w:i/>
          <w:spacing w:val="10"/>
          <w:w w:val="105"/>
          <w:sz w:val="13"/>
        </w:rPr>
        <w:t> </w:t>
      </w:r>
      <w:r>
        <w:rPr>
          <w:i/>
          <w:w w:val="105"/>
          <w:sz w:val="13"/>
        </w:rPr>
        <w:t>Neighbours)</w:t>
      </w:r>
      <w:r>
        <w:rPr>
          <w:i/>
          <w:spacing w:val="10"/>
          <w:w w:val="105"/>
          <w:sz w:val="13"/>
        </w:rPr>
        <w:t> </w:t>
      </w:r>
      <w:r>
        <w:rPr>
          <w:i/>
          <w:w w:val="105"/>
          <w:sz w:val="13"/>
        </w:rPr>
        <w:t>Act</w:t>
      </w:r>
      <w:r>
        <w:rPr>
          <w:i/>
          <w:spacing w:val="10"/>
          <w:w w:val="105"/>
          <w:sz w:val="13"/>
        </w:rPr>
        <w:t> </w:t>
      </w:r>
      <w:r>
        <w:rPr>
          <w:i/>
          <w:w w:val="105"/>
          <w:sz w:val="13"/>
        </w:rPr>
        <w:t>2006</w:t>
      </w:r>
      <w:r>
        <w:rPr>
          <w:i/>
          <w:spacing w:val="10"/>
          <w:w w:val="105"/>
          <w:sz w:val="13"/>
        </w:rPr>
        <w:t> </w:t>
      </w:r>
      <w:r>
        <w:rPr>
          <w:spacing w:val="3"/>
          <w:w w:val="105"/>
          <w:sz w:val="13"/>
        </w:rPr>
        <w:t>(NSW)</w:t>
      </w:r>
      <w:r>
        <w:rPr>
          <w:spacing w:val="10"/>
          <w:w w:val="105"/>
          <w:sz w:val="13"/>
        </w:rPr>
        <w:t> </w:t>
      </w:r>
      <w:r>
        <w:rPr>
          <w:w w:val="105"/>
          <w:sz w:val="13"/>
        </w:rPr>
        <w:t>s</w:t>
      </w:r>
      <w:r>
        <w:rPr>
          <w:spacing w:val="10"/>
          <w:w w:val="105"/>
          <w:sz w:val="13"/>
        </w:rPr>
        <w:t> </w:t>
      </w:r>
      <w:r>
        <w:rPr>
          <w:spacing w:val="3"/>
          <w:w w:val="105"/>
          <w:sz w:val="13"/>
        </w:rPr>
        <w:t>23(3);</w:t>
      </w:r>
      <w:r>
        <w:rPr>
          <w:spacing w:val="10"/>
          <w:w w:val="105"/>
          <w:sz w:val="13"/>
        </w:rPr>
        <w:t> </w:t>
      </w:r>
      <w:r>
        <w:rPr>
          <w:i/>
          <w:w w:val="105"/>
          <w:sz w:val="13"/>
        </w:rPr>
        <w:t>Neighbourhood</w:t>
      </w:r>
      <w:r>
        <w:rPr>
          <w:i/>
          <w:spacing w:val="10"/>
          <w:w w:val="105"/>
          <w:sz w:val="13"/>
        </w:rPr>
        <w:t> </w:t>
      </w:r>
      <w:r>
        <w:rPr>
          <w:i/>
          <w:w w:val="105"/>
          <w:sz w:val="13"/>
        </w:rPr>
        <w:t>Disputes</w:t>
      </w:r>
      <w:r>
        <w:rPr>
          <w:i/>
          <w:spacing w:val="10"/>
          <w:w w:val="105"/>
          <w:sz w:val="13"/>
        </w:rPr>
        <w:t> </w:t>
      </w:r>
      <w:r>
        <w:rPr>
          <w:i/>
          <w:w w:val="105"/>
          <w:sz w:val="13"/>
        </w:rPr>
        <w:t>(Dividing</w:t>
      </w:r>
      <w:r>
        <w:rPr>
          <w:i/>
          <w:spacing w:val="10"/>
          <w:w w:val="105"/>
          <w:sz w:val="13"/>
        </w:rPr>
        <w:t> </w:t>
      </w:r>
      <w:r>
        <w:rPr>
          <w:i/>
          <w:w w:val="105"/>
          <w:sz w:val="13"/>
        </w:rPr>
        <w:t>Fences</w:t>
      </w:r>
      <w:r>
        <w:rPr>
          <w:i/>
          <w:spacing w:val="10"/>
          <w:w w:val="105"/>
          <w:sz w:val="13"/>
        </w:rPr>
        <w:t> </w:t>
      </w:r>
      <w:r>
        <w:rPr>
          <w:i/>
          <w:w w:val="105"/>
          <w:sz w:val="13"/>
        </w:rPr>
        <w:t>and</w:t>
      </w:r>
      <w:r>
        <w:rPr>
          <w:i/>
          <w:spacing w:val="10"/>
          <w:w w:val="105"/>
          <w:sz w:val="13"/>
        </w:rPr>
        <w:t> </w:t>
      </w:r>
      <w:r>
        <w:rPr>
          <w:i/>
          <w:w w:val="105"/>
          <w:sz w:val="13"/>
        </w:rPr>
        <w:t>Trees)</w:t>
      </w:r>
      <w:r>
        <w:rPr>
          <w:i/>
          <w:spacing w:val="10"/>
          <w:w w:val="105"/>
          <w:sz w:val="13"/>
        </w:rPr>
        <w:t> </w:t>
      </w:r>
      <w:r>
        <w:rPr>
          <w:i/>
          <w:w w:val="105"/>
          <w:sz w:val="13"/>
        </w:rPr>
        <w:t>Act</w:t>
      </w:r>
      <w:r>
        <w:rPr>
          <w:i/>
          <w:spacing w:val="9"/>
          <w:w w:val="105"/>
          <w:sz w:val="13"/>
        </w:rPr>
        <w:t> </w:t>
      </w:r>
      <w:r>
        <w:rPr>
          <w:i/>
          <w:spacing w:val="-4"/>
          <w:w w:val="105"/>
          <w:sz w:val="13"/>
        </w:rPr>
        <w:t>2011</w:t>
      </w:r>
      <w:r>
        <w:rPr>
          <w:i/>
          <w:spacing w:val="10"/>
          <w:w w:val="105"/>
          <w:sz w:val="13"/>
        </w:rPr>
        <w:t> </w:t>
      </w:r>
      <w:r>
        <w:rPr>
          <w:spacing w:val="2"/>
          <w:w w:val="105"/>
          <w:sz w:val="13"/>
        </w:rPr>
        <w:t>(Qld)</w:t>
      </w:r>
      <w:r>
        <w:rPr>
          <w:spacing w:val="10"/>
          <w:w w:val="105"/>
          <w:sz w:val="13"/>
        </w:rPr>
        <w:t> </w:t>
      </w:r>
      <w:r>
        <w:rPr>
          <w:w w:val="105"/>
          <w:sz w:val="13"/>
        </w:rPr>
        <w:t>s</w:t>
      </w:r>
      <w:r>
        <w:rPr>
          <w:spacing w:val="10"/>
          <w:w w:val="105"/>
          <w:sz w:val="13"/>
        </w:rPr>
        <w:t> </w:t>
      </w:r>
      <w:r>
        <w:rPr>
          <w:spacing w:val="2"/>
          <w:w w:val="105"/>
          <w:sz w:val="13"/>
        </w:rPr>
        <w:t>97(4);</w:t>
      </w:r>
    </w:p>
    <w:p>
      <w:pPr>
        <w:spacing w:before="1"/>
        <w:ind w:left="2381" w:right="0" w:firstLine="0"/>
        <w:jc w:val="left"/>
        <w:rPr>
          <w:sz w:val="13"/>
        </w:rPr>
      </w:pPr>
      <w:r>
        <w:rPr>
          <w:i/>
          <w:w w:val="105"/>
          <w:sz w:val="13"/>
        </w:rPr>
        <w:t>Neighbourhood Disputes About Plants Act 2017 </w:t>
      </w:r>
      <w:r>
        <w:rPr>
          <w:w w:val="105"/>
          <w:sz w:val="13"/>
        </w:rPr>
        <w:t>(Tas) s 39(3).</w:t>
      </w:r>
    </w:p>
    <w:p>
      <w:pPr>
        <w:pStyle w:val="ListParagraph"/>
        <w:numPr>
          <w:ilvl w:val="0"/>
          <w:numId w:val="207"/>
        </w:numPr>
        <w:tabs>
          <w:tab w:pos="2380" w:val="left" w:leader="none"/>
          <w:tab w:pos="2382" w:val="left" w:leader="none"/>
        </w:tabs>
        <w:spacing w:line="240" w:lineRule="auto" w:before="2" w:after="0"/>
        <w:ind w:left="2381" w:right="107" w:hanging="794"/>
        <w:jc w:val="left"/>
        <w:rPr>
          <w:sz w:val="13"/>
        </w:rPr>
      </w:pPr>
      <w:r>
        <w:rPr>
          <w:w w:val="105"/>
          <w:sz w:val="13"/>
        </w:rPr>
        <w:t>For example, the NSW Act was expanded to allow NSWLEC to make orders to interfere with trees for access to sunlight and </w:t>
      </w:r>
      <w:r>
        <w:rPr>
          <w:spacing w:val="2"/>
          <w:w w:val="105"/>
          <w:sz w:val="13"/>
        </w:rPr>
        <w:t>views: </w:t>
      </w:r>
      <w:r>
        <w:rPr>
          <w:w w:val="105"/>
          <w:sz w:val="13"/>
        </w:rPr>
        <w:t>See Department</w:t>
      </w:r>
      <w:r>
        <w:rPr>
          <w:spacing w:val="8"/>
          <w:w w:val="105"/>
          <w:sz w:val="13"/>
        </w:rPr>
        <w:t> </w:t>
      </w:r>
      <w:r>
        <w:rPr>
          <w:w w:val="105"/>
          <w:sz w:val="13"/>
        </w:rPr>
        <w:t>of</w:t>
      </w:r>
      <w:r>
        <w:rPr>
          <w:spacing w:val="9"/>
          <w:w w:val="105"/>
          <w:sz w:val="13"/>
        </w:rPr>
        <w:t> </w:t>
      </w:r>
      <w:r>
        <w:rPr>
          <w:w w:val="105"/>
          <w:sz w:val="13"/>
        </w:rPr>
        <w:t>Justice</w:t>
      </w:r>
      <w:r>
        <w:rPr>
          <w:spacing w:val="9"/>
          <w:w w:val="105"/>
          <w:sz w:val="13"/>
        </w:rPr>
        <w:t> </w:t>
      </w:r>
      <w:r>
        <w:rPr>
          <w:w w:val="105"/>
          <w:sz w:val="13"/>
        </w:rPr>
        <w:t>and</w:t>
      </w:r>
      <w:r>
        <w:rPr>
          <w:spacing w:val="8"/>
          <w:w w:val="105"/>
          <w:sz w:val="13"/>
        </w:rPr>
        <w:t> </w:t>
      </w:r>
      <w:r>
        <w:rPr>
          <w:w w:val="105"/>
          <w:sz w:val="13"/>
        </w:rPr>
        <w:t>Attorney</w:t>
      </w:r>
      <w:r>
        <w:rPr>
          <w:spacing w:val="9"/>
          <w:w w:val="105"/>
          <w:sz w:val="13"/>
        </w:rPr>
        <w:t> </w:t>
      </w:r>
      <w:r>
        <w:rPr>
          <w:w w:val="105"/>
          <w:sz w:val="13"/>
        </w:rPr>
        <w:t>General</w:t>
      </w:r>
      <w:r>
        <w:rPr>
          <w:spacing w:val="9"/>
          <w:w w:val="105"/>
          <w:sz w:val="13"/>
        </w:rPr>
        <w:t> </w:t>
      </w:r>
      <w:r>
        <w:rPr>
          <w:spacing w:val="3"/>
          <w:w w:val="105"/>
          <w:sz w:val="13"/>
        </w:rPr>
        <w:t>(NSW),</w:t>
      </w:r>
      <w:r>
        <w:rPr>
          <w:spacing w:val="8"/>
          <w:w w:val="105"/>
          <w:sz w:val="13"/>
        </w:rPr>
        <w:t> </w:t>
      </w:r>
      <w:r>
        <w:rPr>
          <w:i/>
          <w:w w:val="105"/>
          <w:sz w:val="13"/>
        </w:rPr>
        <w:t>Review</w:t>
      </w:r>
      <w:r>
        <w:rPr>
          <w:i/>
          <w:spacing w:val="9"/>
          <w:w w:val="105"/>
          <w:sz w:val="13"/>
        </w:rPr>
        <w:t> </w:t>
      </w:r>
      <w:r>
        <w:rPr>
          <w:i/>
          <w:w w:val="105"/>
          <w:sz w:val="13"/>
        </w:rPr>
        <w:t>of</w:t>
      </w:r>
      <w:r>
        <w:rPr>
          <w:i/>
          <w:spacing w:val="9"/>
          <w:w w:val="105"/>
          <w:sz w:val="13"/>
        </w:rPr>
        <w:t> </w:t>
      </w:r>
      <w:r>
        <w:rPr>
          <w:i/>
          <w:w w:val="105"/>
          <w:sz w:val="13"/>
        </w:rPr>
        <w:t>the</w:t>
      </w:r>
      <w:r>
        <w:rPr>
          <w:i/>
          <w:spacing w:val="8"/>
          <w:w w:val="105"/>
          <w:sz w:val="13"/>
        </w:rPr>
        <w:t> </w:t>
      </w:r>
      <w:r>
        <w:rPr>
          <w:i/>
          <w:w w:val="105"/>
          <w:sz w:val="13"/>
        </w:rPr>
        <w:t>Trees</w:t>
      </w:r>
      <w:r>
        <w:rPr>
          <w:i/>
          <w:spacing w:val="9"/>
          <w:w w:val="105"/>
          <w:sz w:val="13"/>
        </w:rPr>
        <w:t> </w:t>
      </w:r>
      <w:r>
        <w:rPr>
          <w:i/>
          <w:w w:val="105"/>
          <w:sz w:val="13"/>
        </w:rPr>
        <w:t>(Disputes</w:t>
      </w:r>
      <w:r>
        <w:rPr>
          <w:i/>
          <w:spacing w:val="9"/>
          <w:w w:val="105"/>
          <w:sz w:val="13"/>
        </w:rPr>
        <w:t> </w:t>
      </w:r>
      <w:r>
        <w:rPr>
          <w:i/>
          <w:w w:val="105"/>
          <w:sz w:val="13"/>
        </w:rPr>
        <w:t>Between</w:t>
      </w:r>
      <w:r>
        <w:rPr>
          <w:i/>
          <w:spacing w:val="8"/>
          <w:w w:val="105"/>
          <w:sz w:val="13"/>
        </w:rPr>
        <w:t> </w:t>
      </w:r>
      <w:r>
        <w:rPr>
          <w:i/>
          <w:w w:val="105"/>
          <w:sz w:val="13"/>
        </w:rPr>
        <w:t>Neighbours)</w:t>
      </w:r>
      <w:r>
        <w:rPr>
          <w:i/>
          <w:spacing w:val="9"/>
          <w:w w:val="105"/>
          <w:sz w:val="13"/>
        </w:rPr>
        <w:t> </w:t>
      </w:r>
      <w:r>
        <w:rPr>
          <w:i/>
          <w:w w:val="105"/>
          <w:sz w:val="13"/>
        </w:rPr>
        <w:t>Act</w:t>
      </w:r>
      <w:r>
        <w:rPr>
          <w:i/>
          <w:spacing w:val="9"/>
          <w:w w:val="105"/>
          <w:sz w:val="13"/>
        </w:rPr>
        <w:t> </w:t>
      </w:r>
      <w:r>
        <w:rPr>
          <w:i/>
          <w:w w:val="105"/>
          <w:sz w:val="13"/>
        </w:rPr>
        <w:t>2006</w:t>
      </w:r>
      <w:r>
        <w:rPr>
          <w:i/>
          <w:spacing w:val="8"/>
          <w:w w:val="105"/>
          <w:sz w:val="13"/>
        </w:rPr>
        <w:t> </w:t>
      </w:r>
      <w:r>
        <w:rPr>
          <w:spacing w:val="3"/>
          <w:w w:val="105"/>
          <w:sz w:val="13"/>
        </w:rPr>
        <w:t>(NSW)</w:t>
      </w:r>
      <w:r>
        <w:rPr>
          <w:spacing w:val="9"/>
          <w:w w:val="105"/>
          <w:sz w:val="13"/>
        </w:rPr>
        <w:t> </w:t>
      </w:r>
      <w:r>
        <w:rPr>
          <w:spacing w:val="2"/>
          <w:w w:val="105"/>
          <w:sz w:val="13"/>
        </w:rPr>
        <w:t>(Report,</w:t>
      </w:r>
      <w:r>
        <w:rPr>
          <w:spacing w:val="9"/>
          <w:w w:val="105"/>
          <w:sz w:val="13"/>
        </w:rPr>
        <w:t> </w:t>
      </w:r>
      <w:r>
        <w:rPr>
          <w:spacing w:val="2"/>
          <w:w w:val="105"/>
          <w:sz w:val="13"/>
        </w:rPr>
        <w:t>2009).</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3"/>
        </w:rPr>
      </w:pPr>
    </w:p>
    <w:p>
      <w:pPr>
        <w:spacing w:before="1"/>
        <w:ind w:left="559" w:right="573" w:firstLine="0"/>
        <w:jc w:val="center"/>
        <w:rPr>
          <w:b/>
          <w:sz w:val="24"/>
        </w:rPr>
      </w:pPr>
      <w:r>
        <w:rPr>
          <w:b/>
          <w:color w:val="658464"/>
          <w:w w:val="110"/>
          <w:sz w:val="24"/>
        </w:rPr>
        <w:t>301</w:t>
      </w:r>
    </w:p>
    <w:p>
      <w:pPr>
        <w:spacing w:after="0"/>
        <w:jc w:val="center"/>
        <w:rPr>
          <w:sz w:val="24"/>
        </w:rPr>
        <w:sectPr>
          <w:type w:val="continuous"/>
          <w:pgSz w:w="11910" w:h="16840"/>
          <w:pgMar w:top="300" w:bottom="280" w:left="0" w:right="0"/>
          <w:cols w:num="2" w:equalWidth="0">
            <w:col w:w="10295" w:space="40"/>
            <w:col w:w="1575"/>
          </w:cols>
        </w:sectPr>
      </w:pPr>
    </w:p>
    <w:p>
      <w:pPr>
        <w:pStyle w:val="BodyText"/>
        <w:spacing w:before="9"/>
        <w:rPr>
          <w:b/>
          <w:sz w:val="22"/>
        </w:rPr>
      </w:pPr>
    </w:p>
    <w:p>
      <w:pPr>
        <w:pStyle w:val="ListParagraph"/>
        <w:numPr>
          <w:ilvl w:val="1"/>
          <w:numId w:val="207"/>
        </w:numPr>
        <w:tabs>
          <w:tab w:pos="2721" w:val="left" w:leader="none"/>
          <w:tab w:pos="2722" w:val="left" w:leader="none"/>
        </w:tabs>
        <w:spacing w:line="242" w:lineRule="auto" w:before="92" w:after="0"/>
        <w:ind w:left="2721" w:right="1746" w:hanging="340"/>
        <w:jc w:val="left"/>
        <w:rPr>
          <w:sz w:val="21"/>
        </w:rPr>
      </w:pPr>
      <w:r>
        <w:rPr>
          <w:w w:val="105"/>
          <w:sz w:val="21"/>
        </w:rPr>
        <w:t>whether </w:t>
      </w:r>
      <w:r>
        <w:rPr>
          <w:spacing w:val="-3"/>
          <w:w w:val="105"/>
          <w:sz w:val="21"/>
        </w:rPr>
        <w:t>to </w:t>
      </w:r>
      <w:r>
        <w:rPr>
          <w:w w:val="105"/>
          <w:sz w:val="21"/>
        </w:rPr>
        <w:t>expand the definition of </w:t>
      </w:r>
      <w:r>
        <w:rPr>
          <w:spacing w:val="-3"/>
          <w:w w:val="105"/>
          <w:sz w:val="21"/>
        </w:rPr>
        <w:t>adjoining land to include irregularly </w:t>
      </w:r>
      <w:r>
        <w:rPr>
          <w:w w:val="105"/>
          <w:sz w:val="21"/>
        </w:rPr>
        <w:t>shaped </w:t>
      </w:r>
      <w:r>
        <w:rPr>
          <w:spacing w:val="-3"/>
          <w:w w:val="105"/>
          <w:sz w:val="21"/>
        </w:rPr>
        <w:t>parcels </w:t>
      </w:r>
      <w:r>
        <w:rPr>
          <w:w w:val="105"/>
          <w:sz w:val="21"/>
        </w:rPr>
        <w:t>of </w:t>
      </w:r>
      <w:r>
        <w:rPr>
          <w:spacing w:val="-3"/>
          <w:w w:val="105"/>
          <w:sz w:val="21"/>
        </w:rPr>
        <w:t>land. Such </w:t>
      </w:r>
      <w:r>
        <w:rPr>
          <w:w w:val="105"/>
          <w:sz w:val="21"/>
        </w:rPr>
        <w:t>an expansion </w:t>
      </w:r>
      <w:r>
        <w:rPr>
          <w:spacing w:val="-3"/>
          <w:w w:val="105"/>
          <w:sz w:val="21"/>
        </w:rPr>
        <w:t>could </w:t>
      </w:r>
      <w:r>
        <w:rPr>
          <w:w w:val="105"/>
          <w:sz w:val="21"/>
        </w:rPr>
        <w:t>apply </w:t>
      </w:r>
      <w:r>
        <w:rPr>
          <w:spacing w:val="-3"/>
          <w:w w:val="105"/>
          <w:sz w:val="21"/>
        </w:rPr>
        <w:t>to </w:t>
      </w:r>
      <w:r>
        <w:rPr>
          <w:w w:val="105"/>
          <w:sz w:val="21"/>
        </w:rPr>
        <w:t>neighbours who do </w:t>
      </w:r>
      <w:r>
        <w:rPr>
          <w:spacing w:val="-2"/>
          <w:w w:val="105"/>
          <w:sz w:val="21"/>
        </w:rPr>
        <w:t>not </w:t>
      </w:r>
      <w:r>
        <w:rPr>
          <w:spacing w:val="-3"/>
          <w:w w:val="105"/>
          <w:sz w:val="21"/>
        </w:rPr>
        <w:t>share </w:t>
      </w:r>
      <w:r>
        <w:rPr>
          <w:w w:val="105"/>
          <w:sz w:val="21"/>
        </w:rPr>
        <w:t>a </w:t>
      </w:r>
      <w:r>
        <w:rPr>
          <w:spacing w:val="-2"/>
          <w:w w:val="105"/>
          <w:sz w:val="21"/>
        </w:rPr>
        <w:t>common </w:t>
      </w:r>
      <w:r>
        <w:rPr>
          <w:w w:val="105"/>
          <w:sz w:val="21"/>
        </w:rPr>
        <w:t>boundary but </w:t>
      </w:r>
      <w:r>
        <w:rPr>
          <w:spacing w:val="-3"/>
          <w:w w:val="105"/>
          <w:sz w:val="21"/>
        </w:rPr>
        <w:t>are separated </w:t>
      </w:r>
      <w:r>
        <w:rPr>
          <w:w w:val="105"/>
          <w:sz w:val="21"/>
        </w:rPr>
        <w:t>by no more </w:t>
      </w:r>
      <w:r>
        <w:rPr>
          <w:spacing w:val="-3"/>
          <w:w w:val="105"/>
          <w:sz w:val="21"/>
        </w:rPr>
        <w:t>than </w:t>
      </w:r>
      <w:r>
        <w:rPr>
          <w:w w:val="105"/>
          <w:sz w:val="21"/>
        </w:rPr>
        <w:t>two metres of </w:t>
      </w:r>
      <w:r>
        <w:rPr>
          <w:spacing w:val="-3"/>
          <w:w w:val="105"/>
          <w:sz w:val="21"/>
        </w:rPr>
        <w:t>public land, </w:t>
      </w:r>
      <w:r>
        <w:rPr>
          <w:w w:val="105"/>
          <w:sz w:val="21"/>
        </w:rPr>
        <w:t>or </w:t>
      </w:r>
      <w:r>
        <w:rPr>
          <w:spacing w:val="-3"/>
          <w:w w:val="105"/>
          <w:sz w:val="21"/>
        </w:rPr>
        <w:t>separated </w:t>
      </w:r>
      <w:r>
        <w:rPr>
          <w:w w:val="105"/>
          <w:sz w:val="21"/>
        </w:rPr>
        <w:t>by an easement on </w:t>
      </w:r>
      <w:r>
        <w:rPr>
          <w:spacing w:val="-3"/>
          <w:w w:val="105"/>
          <w:sz w:val="21"/>
        </w:rPr>
        <w:t>public land. </w:t>
      </w:r>
      <w:r>
        <w:rPr>
          <w:w w:val="105"/>
          <w:sz w:val="21"/>
        </w:rPr>
        <w:t>This distance allows some flexibility </w:t>
      </w:r>
      <w:r>
        <w:rPr>
          <w:spacing w:val="-3"/>
          <w:w w:val="105"/>
          <w:sz w:val="21"/>
        </w:rPr>
        <w:t>while </w:t>
      </w:r>
      <w:r>
        <w:rPr>
          <w:w w:val="105"/>
          <w:sz w:val="21"/>
        </w:rPr>
        <w:t>being </w:t>
      </w:r>
      <w:r>
        <w:rPr>
          <w:spacing w:val="-3"/>
          <w:w w:val="105"/>
          <w:sz w:val="21"/>
        </w:rPr>
        <w:t>narrow </w:t>
      </w:r>
      <w:r>
        <w:rPr>
          <w:w w:val="105"/>
          <w:sz w:val="21"/>
        </w:rPr>
        <w:t>enough </w:t>
      </w:r>
      <w:r>
        <w:rPr>
          <w:spacing w:val="-3"/>
          <w:w w:val="105"/>
          <w:sz w:val="21"/>
        </w:rPr>
        <w:t>to capture </w:t>
      </w:r>
      <w:r>
        <w:rPr>
          <w:w w:val="105"/>
          <w:sz w:val="21"/>
        </w:rPr>
        <w:t>only </w:t>
      </w:r>
      <w:r>
        <w:rPr>
          <w:spacing w:val="-3"/>
          <w:w w:val="105"/>
          <w:sz w:val="21"/>
        </w:rPr>
        <w:t>immediate </w:t>
      </w:r>
      <w:r>
        <w:rPr>
          <w:w w:val="105"/>
          <w:sz w:val="21"/>
        </w:rPr>
        <w:t>neighbours. </w:t>
      </w:r>
      <w:r>
        <w:rPr>
          <w:spacing w:val="-4"/>
          <w:w w:val="105"/>
          <w:sz w:val="21"/>
        </w:rPr>
        <w:t>At </w:t>
      </w:r>
      <w:r>
        <w:rPr>
          <w:w w:val="105"/>
          <w:sz w:val="21"/>
        </w:rPr>
        <w:t>review </w:t>
      </w:r>
      <w:r>
        <w:rPr>
          <w:spacing w:val="-3"/>
          <w:w w:val="105"/>
          <w:sz w:val="21"/>
        </w:rPr>
        <w:t>Government </w:t>
      </w:r>
      <w:r>
        <w:rPr>
          <w:w w:val="105"/>
          <w:sz w:val="21"/>
        </w:rPr>
        <w:t>should </w:t>
      </w:r>
      <w:r>
        <w:rPr>
          <w:spacing w:val="-3"/>
          <w:w w:val="105"/>
          <w:sz w:val="21"/>
        </w:rPr>
        <w:t>consult </w:t>
      </w:r>
      <w:r>
        <w:rPr>
          <w:w w:val="105"/>
          <w:sz w:val="21"/>
        </w:rPr>
        <w:t>with Land Use Victoria (see </w:t>
      </w:r>
      <w:r>
        <w:rPr>
          <w:spacing w:val="-4"/>
          <w:w w:val="105"/>
          <w:sz w:val="21"/>
        </w:rPr>
        <w:t>Chapter</w:t>
      </w:r>
      <w:r>
        <w:rPr>
          <w:spacing w:val="35"/>
          <w:w w:val="105"/>
          <w:sz w:val="21"/>
        </w:rPr>
        <w:t> </w:t>
      </w:r>
      <w:r>
        <w:rPr>
          <w:w w:val="105"/>
          <w:sz w:val="21"/>
        </w:rPr>
        <w:t>5)</w:t>
      </w:r>
    </w:p>
    <w:p>
      <w:pPr>
        <w:pStyle w:val="ListParagraph"/>
        <w:numPr>
          <w:ilvl w:val="1"/>
          <w:numId w:val="207"/>
        </w:numPr>
        <w:tabs>
          <w:tab w:pos="2721" w:val="left" w:leader="none"/>
          <w:tab w:pos="2722" w:val="left" w:leader="none"/>
        </w:tabs>
        <w:spacing w:line="242" w:lineRule="auto" w:before="91" w:after="0"/>
        <w:ind w:left="2721" w:right="1677" w:hanging="340"/>
        <w:jc w:val="left"/>
        <w:rPr>
          <w:sz w:val="21"/>
        </w:rPr>
      </w:pPr>
      <w:r>
        <w:rPr>
          <w:w w:val="105"/>
          <w:sz w:val="21"/>
        </w:rPr>
        <w:t>whether there is a need </w:t>
      </w:r>
      <w:r>
        <w:rPr>
          <w:spacing w:val="-3"/>
          <w:w w:val="105"/>
          <w:sz w:val="21"/>
        </w:rPr>
        <w:t>to include </w:t>
      </w:r>
      <w:r>
        <w:rPr>
          <w:w w:val="105"/>
          <w:sz w:val="21"/>
        </w:rPr>
        <w:t>a </w:t>
      </w:r>
      <w:r>
        <w:rPr>
          <w:spacing w:val="-3"/>
          <w:w w:val="105"/>
          <w:sz w:val="21"/>
        </w:rPr>
        <w:t>formal branch removal notice </w:t>
      </w:r>
      <w:r>
        <w:rPr>
          <w:w w:val="105"/>
          <w:sz w:val="21"/>
        </w:rPr>
        <w:t>process in the Act and how </w:t>
      </w:r>
      <w:r>
        <w:rPr>
          <w:spacing w:val="-3"/>
          <w:w w:val="105"/>
          <w:sz w:val="21"/>
        </w:rPr>
        <w:t>useful </w:t>
      </w:r>
      <w:r>
        <w:rPr>
          <w:w w:val="105"/>
          <w:sz w:val="21"/>
        </w:rPr>
        <w:t>it would be </w:t>
      </w:r>
      <w:r>
        <w:rPr>
          <w:spacing w:val="-3"/>
          <w:w w:val="105"/>
          <w:sz w:val="21"/>
        </w:rPr>
        <w:t>to </w:t>
      </w:r>
      <w:r>
        <w:rPr>
          <w:w w:val="105"/>
          <w:sz w:val="21"/>
        </w:rPr>
        <w:t>do so. </w:t>
      </w:r>
      <w:r>
        <w:rPr>
          <w:spacing w:val="-3"/>
          <w:w w:val="105"/>
          <w:sz w:val="21"/>
        </w:rPr>
        <w:t>Consultation </w:t>
      </w:r>
      <w:r>
        <w:rPr>
          <w:w w:val="105"/>
          <w:sz w:val="21"/>
        </w:rPr>
        <w:t>should </w:t>
      </w:r>
      <w:r>
        <w:rPr>
          <w:spacing w:val="-3"/>
          <w:w w:val="105"/>
          <w:sz w:val="21"/>
        </w:rPr>
        <w:t>occur </w:t>
      </w:r>
      <w:r>
        <w:rPr>
          <w:w w:val="105"/>
          <w:sz w:val="21"/>
        </w:rPr>
        <w:t>with the </w:t>
      </w:r>
      <w:r>
        <w:rPr>
          <w:spacing w:val="-3"/>
          <w:w w:val="105"/>
          <w:sz w:val="21"/>
        </w:rPr>
        <w:t>Queensland Government, dispute </w:t>
      </w:r>
      <w:r>
        <w:rPr>
          <w:w w:val="105"/>
          <w:sz w:val="21"/>
        </w:rPr>
        <w:t>resolution </w:t>
      </w:r>
      <w:r>
        <w:rPr>
          <w:spacing w:val="-3"/>
          <w:w w:val="105"/>
          <w:sz w:val="21"/>
        </w:rPr>
        <w:t>centres, </w:t>
      </w:r>
      <w:r>
        <w:rPr>
          <w:w w:val="105"/>
          <w:sz w:val="21"/>
        </w:rPr>
        <w:t>community legal </w:t>
      </w:r>
      <w:r>
        <w:rPr>
          <w:spacing w:val="-3"/>
          <w:w w:val="105"/>
          <w:sz w:val="21"/>
        </w:rPr>
        <w:t>centres </w:t>
      </w:r>
      <w:r>
        <w:rPr>
          <w:w w:val="105"/>
          <w:sz w:val="21"/>
        </w:rPr>
        <w:t>and the </w:t>
      </w:r>
      <w:r>
        <w:rPr>
          <w:spacing w:val="-4"/>
          <w:w w:val="105"/>
          <w:sz w:val="21"/>
        </w:rPr>
        <w:t>Tasmanian </w:t>
      </w:r>
      <w:r>
        <w:rPr>
          <w:spacing w:val="-3"/>
          <w:w w:val="105"/>
          <w:sz w:val="21"/>
        </w:rPr>
        <w:t>Government </w:t>
      </w:r>
      <w:r>
        <w:rPr>
          <w:w w:val="105"/>
          <w:sz w:val="21"/>
        </w:rPr>
        <w:t>(see </w:t>
      </w:r>
      <w:r>
        <w:rPr>
          <w:spacing w:val="-4"/>
          <w:w w:val="105"/>
          <w:sz w:val="21"/>
        </w:rPr>
        <w:t>Chapter</w:t>
      </w:r>
      <w:r>
        <w:rPr>
          <w:spacing w:val="19"/>
          <w:w w:val="105"/>
          <w:sz w:val="21"/>
        </w:rPr>
        <w:t> </w:t>
      </w:r>
      <w:r>
        <w:rPr>
          <w:w w:val="105"/>
          <w:sz w:val="21"/>
        </w:rPr>
        <w:t>6)</w:t>
      </w:r>
    </w:p>
    <w:p>
      <w:pPr>
        <w:pStyle w:val="ListParagraph"/>
        <w:numPr>
          <w:ilvl w:val="1"/>
          <w:numId w:val="207"/>
        </w:numPr>
        <w:tabs>
          <w:tab w:pos="2721" w:val="left" w:leader="none"/>
          <w:tab w:pos="2722" w:val="left" w:leader="none"/>
        </w:tabs>
        <w:spacing w:line="242" w:lineRule="auto" w:before="89" w:after="0"/>
        <w:ind w:left="2721" w:right="2138" w:hanging="340"/>
        <w:jc w:val="left"/>
        <w:rPr>
          <w:sz w:val="21"/>
        </w:rPr>
      </w:pPr>
      <w:r>
        <w:rPr>
          <w:w w:val="105"/>
          <w:sz w:val="21"/>
        </w:rPr>
        <w:t>whether</w:t>
      </w:r>
      <w:r>
        <w:rPr>
          <w:spacing w:val="-6"/>
          <w:w w:val="105"/>
          <w:sz w:val="21"/>
        </w:rPr>
        <w:t> </w:t>
      </w:r>
      <w:r>
        <w:rPr>
          <w:spacing w:val="-3"/>
          <w:w w:val="105"/>
          <w:sz w:val="21"/>
        </w:rPr>
        <w:t>to</w:t>
      </w:r>
      <w:r>
        <w:rPr>
          <w:spacing w:val="-5"/>
          <w:w w:val="105"/>
          <w:sz w:val="21"/>
        </w:rPr>
        <w:t> </w:t>
      </w:r>
      <w:r>
        <w:rPr>
          <w:w w:val="105"/>
          <w:sz w:val="21"/>
        </w:rPr>
        <w:t>expand</w:t>
      </w:r>
      <w:r>
        <w:rPr>
          <w:spacing w:val="-6"/>
          <w:w w:val="105"/>
          <w:sz w:val="21"/>
        </w:rPr>
        <w:t> </w:t>
      </w:r>
      <w:r>
        <w:rPr>
          <w:w w:val="105"/>
          <w:sz w:val="21"/>
        </w:rPr>
        <w:t>the</w:t>
      </w:r>
      <w:r>
        <w:rPr>
          <w:spacing w:val="-5"/>
          <w:w w:val="105"/>
          <w:sz w:val="21"/>
        </w:rPr>
        <w:t> </w:t>
      </w:r>
      <w:r>
        <w:rPr>
          <w:w w:val="105"/>
          <w:sz w:val="21"/>
        </w:rPr>
        <w:t>application</w:t>
      </w:r>
      <w:r>
        <w:rPr>
          <w:spacing w:val="-6"/>
          <w:w w:val="105"/>
          <w:sz w:val="21"/>
        </w:rPr>
        <w:t> </w:t>
      </w:r>
      <w:r>
        <w:rPr>
          <w:w w:val="105"/>
          <w:sz w:val="21"/>
        </w:rPr>
        <w:t>of</w:t>
      </w:r>
      <w:r>
        <w:rPr>
          <w:spacing w:val="-5"/>
          <w:w w:val="105"/>
          <w:sz w:val="21"/>
        </w:rPr>
        <w:t> </w:t>
      </w:r>
      <w:r>
        <w:rPr>
          <w:w w:val="105"/>
          <w:sz w:val="21"/>
        </w:rPr>
        <w:t>the</w:t>
      </w:r>
      <w:r>
        <w:rPr>
          <w:spacing w:val="-5"/>
          <w:w w:val="105"/>
          <w:sz w:val="21"/>
        </w:rPr>
        <w:t> </w:t>
      </w:r>
      <w:r>
        <w:rPr>
          <w:w w:val="105"/>
          <w:sz w:val="21"/>
        </w:rPr>
        <w:t>Act</w:t>
      </w:r>
      <w:r>
        <w:rPr>
          <w:spacing w:val="-6"/>
          <w:w w:val="105"/>
          <w:sz w:val="21"/>
        </w:rPr>
        <w:t> </w:t>
      </w:r>
      <w:r>
        <w:rPr>
          <w:spacing w:val="-3"/>
          <w:w w:val="105"/>
          <w:sz w:val="21"/>
        </w:rPr>
        <w:t>to</w:t>
      </w:r>
      <w:r>
        <w:rPr>
          <w:spacing w:val="-5"/>
          <w:w w:val="105"/>
          <w:sz w:val="21"/>
        </w:rPr>
        <w:t> </w:t>
      </w:r>
      <w:r>
        <w:rPr>
          <w:spacing w:val="-3"/>
          <w:w w:val="105"/>
          <w:sz w:val="21"/>
        </w:rPr>
        <w:t>include</w:t>
      </w:r>
      <w:r>
        <w:rPr>
          <w:spacing w:val="-6"/>
          <w:w w:val="105"/>
          <w:sz w:val="21"/>
        </w:rPr>
        <w:t> </w:t>
      </w:r>
      <w:r>
        <w:rPr>
          <w:w w:val="105"/>
          <w:sz w:val="21"/>
        </w:rPr>
        <w:t>trees</w:t>
      </w:r>
      <w:r>
        <w:rPr>
          <w:spacing w:val="-5"/>
          <w:w w:val="105"/>
          <w:sz w:val="21"/>
        </w:rPr>
        <w:t> </w:t>
      </w:r>
      <w:r>
        <w:rPr>
          <w:w w:val="105"/>
          <w:sz w:val="21"/>
        </w:rPr>
        <w:t>blocking</w:t>
      </w:r>
      <w:r>
        <w:rPr>
          <w:spacing w:val="-6"/>
          <w:w w:val="105"/>
          <w:sz w:val="21"/>
        </w:rPr>
        <w:t> </w:t>
      </w:r>
      <w:r>
        <w:rPr>
          <w:spacing w:val="-2"/>
          <w:w w:val="105"/>
          <w:sz w:val="21"/>
        </w:rPr>
        <w:t>access</w:t>
      </w:r>
      <w:r>
        <w:rPr>
          <w:spacing w:val="-5"/>
          <w:w w:val="105"/>
          <w:sz w:val="21"/>
        </w:rPr>
        <w:t> </w:t>
      </w:r>
      <w:r>
        <w:rPr>
          <w:spacing w:val="-3"/>
          <w:w w:val="105"/>
          <w:sz w:val="21"/>
        </w:rPr>
        <w:t>to </w:t>
      </w:r>
      <w:r>
        <w:rPr>
          <w:spacing w:val="-4"/>
          <w:w w:val="105"/>
          <w:sz w:val="21"/>
        </w:rPr>
        <w:t>sunlight </w:t>
      </w:r>
      <w:r>
        <w:rPr>
          <w:w w:val="105"/>
          <w:sz w:val="21"/>
        </w:rPr>
        <w:t>and</w:t>
      </w:r>
      <w:r>
        <w:rPr>
          <w:spacing w:val="14"/>
          <w:w w:val="105"/>
          <w:sz w:val="21"/>
        </w:rPr>
        <w:t> </w:t>
      </w:r>
      <w:r>
        <w:rPr>
          <w:w w:val="105"/>
          <w:sz w:val="21"/>
        </w:rPr>
        <w:t>views.</w:t>
      </w:r>
    </w:p>
    <w:p>
      <w:pPr>
        <w:pStyle w:val="BodyText"/>
        <w:spacing w:before="4"/>
        <w:rPr>
          <w:sz w:val="20"/>
        </w:rPr>
      </w:pPr>
      <w:r>
        <w:rPr/>
        <w:pict>
          <v:group style="position:absolute;margin-left:62.362202pt;margin-top:14.405586pt;width:479.1pt;height:243.4pt;mso-position-horizontal-relative:page;mso-position-vertical-relative:paragraph;z-index:12200;mso-wrap-distance-left:0;mso-wrap-distance-right:0" coordorigin="1247,288" coordsize="9582,4868">
            <v:rect style="position:absolute;left:1587;top:288;width:8731;height:4868" filled="true" fillcolor="#dbe0dd" stroked="false">
              <v:fill type="solid"/>
            </v:rect>
            <v:line style="position:absolute" from="1247,1035" to="10828,1035" stroked="true" strokeweight="2.5pt" strokecolor="#ffffff">
              <v:stroke dashstyle="solid"/>
            </v:line>
            <v:shape style="position:absolute;left:1587;top:1060;width:8731;height:4096" type="#_x0000_t202" filled="true" fillcolor="#dbe0dd" stroked="false">
              <v:textbox inset="0,0,0,0">
                <w:txbxContent>
                  <w:p>
                    <w:pPr>
                      <w:numPr>
                        <w:ilvl w:val="0"/>
                        <w:numId w:val="208"/>
                      </w:numPr>
                      <w:tabs>
                        <w:tab w:pos="793" w:val="left" w:leader="none"/>
                        <w:tab w:pos="794" w:val="left" w:leader="none"/>
                      </w:tabs>
                      <w:spacing w:line="242" w:lineRule="auto" w:before="208"/>
                      <w:ind w:left="793" w:right="229" w:hanging="567"/>
                      <w:jc w:val="left"/>
                      <w:rPr>
                        <w:sz w:val="21"/>
                      </w:rPr>
                    </w:pPr>
                    <w:r>
                      <w:rPr>
                        <w:w w:val="115"/>
                        <w:sz w:val="21"/>
                      </w:rPr>
                      <w:t>The</w:t>
                    </w:r>
                    <w:r>
                      <w:rPr>
                        <w:spacing w:val="-6"/>
                        <w:w w:val="115"/>
                        <w:sz w:val="21"/>
                      </w:rPr>
                      <w:t> </w:t>
                    </w:r>
                    <w:r>
                      <w:rPr>
                        <w:w w:val="115"/>
                        <w:sz w:val="21"/>
                      </w:rPr>
                      <w:t>Minister</w:t>
                    </w:r>
                    <w:r>
                      <w:rPr>
                        <w:spacing w:val="-5"/>
                        <w:w w:val="115"/>
                        <w:sz w:val="21"/>
                      </w:rPr>
                      <w:t> </w:t>
                    </w:r>
                    <w:r>
                      <w:rPr>
                        <w:w w:val="115"/>
                        <w:sz w:val="21"/>
                      </w:rPr>
                      <w:t>should</w:t>
                    </w:r>
                    <w:r>
                      <w:rPr>
                        <w:spacing w:val="-5"/>
                        <w:w w:val="115"/>
                        <w:sz w:val="21"/>
                      </w:rPr>
                      <w:t> </w:t>
                    </w:r>
                    <w:r>
                      <w:rPr>
                        <w:w w:val="115"/>
                        <w:sz w:val="21"/>
                      </w:rPr>
                      <w:t>review</w:t>
                    </w:r>
                    <w:r>
                      <w:rPr>
                        <w:spacing w:val="-5"/>
                        <w:w w:val="115"/>
                        <w:sz w:val="21"/>
                      </w:rPr>
                      <w:t> </w:t>
                    </w:r>
                    <w:r>
                      <w:rPr>
                        <w:w w:val="115"/>
                        <w:sz w:val="21"/>
                      </w:rPr>
                      <w:t>the</w:t>
                    </w:r>
                    <w:r>
                      <w:rPr>
                        <w:spacing w:val="-5"/>
                        <w:w w:val="115"/>
                        <w:sz w:val="21"/>
                      </w:rPr>
                      <w:t> </w:t>
                    </w:r>
                    <w:r>
                      <w:rPr>
                        <w:w w:val="115"/>
                        <w:sz w:val="21"/>
                      </w:rPr>
                      <w:t>Act</w:t>
                    </w:r>
                    <w:r>
                      <w:rPr>
                        <w:spacing w:val="-5"/>
                        <w:w w:val="115"/>
                        <w:sz w:val="21"/>
                      </w:rPr>
                      <w:t> </w:t>
                    </w:r>
                    <w:r>
                      <w:rPr>
                        <w:w w:val="115"/>
                        <w:sz w:val="21"/>
                      </w:rPr>
                      <w:t>after</w:t>
                    </w:r>
                    <w:r>
                      <w:rPr>
                        <w:spacing w:val="-5"/>
                        <w:w w:val="115"/>
                        <w:sz w:val="21"/>
                      </w:rPr>
                      <w:t> </w:t>
                    </w:r>
                    <w:r>
                      <w:rPr>
                        <w:w w:val="115"/>
                        <w:sz w:val="21"/>
                      </w:rPr>
                      <w:t>a</w:t>
                    </w:r>
                    <w:r>
                      <w:rPr>
                        <w:spacing w:val="-5"/>
                        <w:w w:val="115"/>
                        <w:sz w:val="21"/>
                      </w:rPr>
                      <w:t> </w:t>
                    </w:r>
                    <w:r>
                      <w:rPr>
                        <w:w w:val="115"/>
                        <w:sz w:val="21"/>
                      </w:rPr>
                      <w:t>period</w:t>
                    </w:r>
                    <w:r>
                      <w:rPr>
                        <w:spacing w:val="-5"/>
                        <w:w w:val="115"/>
                        <w:sz w:val="21"/>
                      </w:rPr>
                      <w:t> </w:t>
                    </w:r>
                    <w:r>
                      <w:rPr>
                        <w:w w:val="115"/>
                        <w:sz w:val="21"/>
                      </w:rPr>
                      <w:t>of</w:t>
                    </w:r>
                    <w:r>
                      <w:rPr>
                        <w:spacing w:val="-5"/>
                        <w:w w:val="115"/>
                        <w:sz w:val="21"/>
                      </w:rPr>
                      <w:t> </w:t>
                    </w:r>
                    <w:r>
                      <w:rPr>
                        <w:w w:val="115"/>
                        <w:sz w:val="21"/>
                      </w:rPr>
                      <w:t>five</w:t>
                    </w:r>
                    <w:r>
                      <w:rPr>
                        <w:spacing w:val="-5"/>
                        <w:w w:val="115"/>
                        <w:sz w:val="21"/>
                      </w:rPr>
                      <w:t> </w:t>
                    </w:r>
                    <w:r>
                      <w:rPr>
                        <w:w w:val="115"/>
                        <w:sz w:val="21"/>
                      </w:rPr>
                      <w:t>years</w:t>
                    </w:r>
                    <w:r>
                      <w:rPr>
                        <w:spacing w:val="-5"/>
                        <w:w w:val="115"/>
                        <w:sz w:val="21"/>
                      </w:rPr>
                      <w:t> </w:t>
                    </w:r>
                    <w:r>
                      <w:rPr>
                        <w:w w:val="115"/>
                        <w:sz w:val="21"/>
                      </w:rPr>
                      <w:t>from</w:t>
                    </w:r>
                    <w:r>
                      <w:rPr>
                        <w:spacing w:val="-5"/>
                        <w:w w:val="115"/>
                        <w:sz w:val="21"/>
                      </w:rPr>
                      <w:t> </w:t>
                    </w:r>
                    <w:r>
                      <w:rPr>
                        <w:w w:val="115"/>
                        <w:sz w:val="21"/>
                      </w:rPr>
                      <w:t>the</w:t>
                    </w:r>
                    <w:r>
                      <w:rPr>
                        <w:spacing w:val="-6"/>
                        <w:w w:val="115"/>
                        <w:sz w:val="21"/>
                      </w:rPr>
                      <w:t> </w:t>
                    </w:r>
                    <w:r>
                      <w:rPr>
                        <w:w w:val="115"/>
                        <w:sz w:val="21"/>
                      </w:rPr>
                      <w:t>date</w:t>
                    </w:r>
                    <w:r>
                      <w:rPr>
                        <w:spacing w:val="-5"/>
                        <w:w w:val="115"/>
                        <w:sz w:val="21"/>
                      </w:rPr>
                      <w:t> </w:t>
                    </w:r>
                    <w:r>
                      <w:rPr>
                        <w:w w:val="115"/>
                        <w:sz w:val="21"/>
                      </w:rPr>
                      <w:t>of commencement to determine whether the policy objectives of the Act remain </w:t>
                    </w:r>
                    <w:r>
                      <w:rPr>
                        <w:spacing w:val="-3"/>
                        <w:w w:val="115"/>
                        <w:sz w:val="21"/>
                      </w:rPr>
                      <w:t>valid </w:t>
                    </w:r>
                    <w:r>
                      <w:rPr>
                        <w:w w:val="115"/>
                        <w:sz w:val="21"/>
                      </w:rPr>
                      <w:t>and whether the legislation remains appropriate for securing those objectives. A report on the outcome of the review should be tabled in each House of </w:t>
                    </w:r>
                    <w:r>
                      <w:rPr>
                        <w:spacing w:val="-3"/>
                        <w:w w:val="115"/>
                        <w:sz w:val="21"/>
                      </w:rPr>
                      <w:t>Parliament </w:t>
                    </w:r>
                    <w:r>
                      <w:rPr>
                        <w:w w:val="115"/>
                        <w:sz w:val="21"/>
                      </w:rPr>
                      <w:t>within </w:t>
                    </w:r>
                    <w:r>
                      <w:rPr>
                        <w:spacing w:val="-7"/>
                        <w:w w:val="115"/>
                        <w:sz w:val="21"/>
                      </w:rPr>
                      <w:t>12 </w:t>
                    </w:r>
                    <w:r>
                      <w:rPr>
                        <w:w w:val="115"/>
                        <w:sz w:val="21"/>
                      </w:rPr>
                      <w:t>months after the end of the</w:t>
                    </w:r>
                    <w:r>
                      <w:rPr>
                        <w:spacing w:val="4"/>
                        <w:w w:val="115"/>
                        <w:sz w:val="21"/>
                      </w:rPr>
                      <w:t> </w:t>
                    </w:r>
                    <w:r>
                      <w:rPr>
                        <w:spacing w:val="-3"/>
                        <w:w w:val="115"/>
                        <w:sz w:val="21"/>
                      </w:rPr>
                      <w:t>review.</w:t>
                    </w:r>
                  </w:p>
                  <w:p>
                    <w:pPr>
                      <w:numPr>
                        <w:ilvl w:val="0"/>
                        <w:numId w:val="208"/>
                      </w:numPr>
                      <w:tabs>
                        <w:tab w:pos="793" w:val="left" w:leader="none"/>
                        <w:tab w:pos="794" w:val="left" w:leader="none"/>
                      </w:tabs>
                      <w:spacing w:before="126"/>
                      <w:ind w:left="793" w:right="0" w:hanging="567"/>
                      <w:jc w:val="left"/>
                      <w:rPr>
                        <w:sz w:val="21"/>
                      </w:rPr>
                    </w:pPr>
                    <w:r>
                      <w:rPr>
                        <w:w w:val="115"/>
                        <w:sz w:val="21"/>
                      </w:rPr>
                      <w:t>Matters that should be examined as part of the review</w:t>
                    </w:r>
                    <w:r>
                      <w:rPr>
                        <w:spacing w:val="-14"/>
                        <w:w w:val="115"/>
                        <w:sz w:val="21"/>
                      </w:rPr>
                      <w:t> </w:t>
                    </w:r>
                    <w:r>
                      <w:rPr>
                        <w:w w:val="115"/>
                        <w:sz w:val="21"/>
                      </w:rPr>
                      <w:t>include:</w:t>
                    </w:r>
                  </w:p>
                  <w:p>
                    <w:pPr>
                      <w:numPr>
                        <w:ilvl w:val="1"/>
                        <w:numId w:val="208"/>
                      </w:numPr>
                      <w:tabs>
                        <w:tab w:pos="1360" w:val="left" w:leader="none"/>
                        <w:tab w:pos="1361" w:val="left" w:leader="none"/>
                      </w:tabs>
                      <w:spacing w:before="123"/>
                      <w:ind w:left="1360" w:right="0" w:hanging="567"/>
                      <w:jc w:val="left"/>
                      <w:rPr>
                        <w:sz w:val="21"/>
                      </w:rPr>
                    </w:pPr>
                    <w:r>
                      <w:rPr>
                        <w:w w:val="115"/>
                        <w:sz w:val="21"/>
                      </w:rPr>
                      <w:t>the effectiveness of </w:t>
                    </w:r>
                    <w:r>
                      <w:rPr>
                        <w:spacing w:val="-3"/>
                        <w:w w:val="115"/>
                        <w:sz w:val="21"/>
                      </w:rPr>
                      <w:t>zoning </w:t>
                    </w:r>
                    <w:r>
                      <w:rPr>
                        <w:w w:val="115"/>
                        <w:sz w:val="21"/>
                      </w:rPr>
                      <w:t>provisions in the</w:t>
                    </w:r>
                    <w:r>
                      <w:rPr>
                        <w:spacing w:val="5"/>
                        <w:w w:val="115"/>
                        <w:sz w:val="21"/>
                      </w:rPr>
                      <w:t> </w:t>
                    </w:r>
                    <w:r>
                      <w:rPr>
                        <w:w w:val="115"/>
                        <w:sz w:val="21"/>
                      </w:rPr>
                      <w:t>Act</w:t>
                    </w:r>
                  </w:p>
                  <w:p>
                    <w:pPr>
                      <w:numPr>
                        <w:ilvl w:val="1"/>
                        <w:numId w:val="208"/>
                      </w:numPr>
                      <w:tabs>
                        <w:tab w:pos="1360" w:val="left" w:leader="none"/>
                        <w:tab w:pos="1361" w:val="left" w:leader="none"/>
                      </w:tabs>
                      <w:spacing w:before="124"/>
                      <w:ind w:left="1360" w:right="0" w:hanging="567"/>
                      <w:jc w:val="left"/>
                      <w:rPr>
                        <w:sz w:val="21"/>
                      </w:rPr>
                    </w:pPr>
                    <w:r>
                      <w:rPr>
                        <w:w w:val="115"/>
                        <w:sz w:val="21"/>
                      </w:rPr>
                      <w:t>the effectiveness of the definition of </w:t>
                    </w:r>
                    <w:r>
                      <w:rPr>
                        <w:spacing w:val="-2"/>
                        <w:w w:val="115"/>
                        <w:sz w:val="21"/>
                      </w:rPr>
                      <w:t>adjoining </w:t>
                    </w:r>
                    <w:r>
                      <w:rPr>
                        <w:w w:val="115"/>
                        <w:sz w:val="21"/>
                      </w:rPr>
                      <w:t>land in the</w:t>
                    </w:r>
                    <w:r>
                      <w:rPr>
                        <w:spacing w:val="13"/>
                        <w:w w:val="115"/>
                        <w:sz w:val="21"/>
                      </w:rPr>
                      <w:t> </w:t>
                    </w:r>
                    <w:r>
                      <w:rPr>
                        <w:w w:val="115"/>
                        <w:sz w:val="21"/>
                      </w:rPr>
                      <w:t>Act</w:t>
                    </w:r>
                  </w:p>
                  <w:p>
                    <w:pPr>
                      <w:numPr>
                        <w:ilvl w:val="1"/>
                        <w:numId w:val="208"/>
                      </w:numPr>
                      <w:tabs>
                        <w:tab w:pos="1360" w:val="left" w:leader="none"/>
                        <w:tab w:pos="1361" w:val="left" w:leader="none"/>
                      </w:tabs>
                      <w:spacing w:line="242" w:lineRule="auto" w:before="124"/>
                      <w:ind w:left="1360" w:right="404" w:hanging="567"/>
                      <w:jc w:val="left"/>
                      <w:rPr>
                        <w:sz w:val="21"/>
                      </w:rPr>
                    </w:pPr>
                    <w:r>
                      <w:rPr>
                        <w:w w:val="115"/>
                        <w:sz w:val="21"/>
                      </w:rPr>
                      <w:t>if there is a need for the Act to be expanded to include a formal</w:t>
                    </w:r>
                    <w:r>
                      <w:rPr>
                        <w:spacing w:val="-35"/>
                        <w:w w:val="115"/>
                        <w:sz w:val="21"/>
                      </w:rPr>
                      <w:t> </w:t>
                    </w:r>
                    <w:r>
                      <w:rPr>
                        <w:w w:val="115"/>
                        <w:sz w:val="21"/>
                      </w:rPr>
                      <w:t>branch removal notice</w:t>
                    </w:r>
                    <w:r>
                      <w:rPr>
                        <w:spacing w:val="-1"/>
                        <w:w w:val="115"/>
                        <w:sz w:val="21"/>
                      </w:rPr>
                      <w:t> </w:t>
                    </w:r>
                    <w:r>
                      <w:rPr>
                        <w:w w:val="115"/>
                        <w:sz w:val="21"/>
                      </w:rPr>
                      <w:t>process</w:t>
                    </w:r>
                  </w:p>
                  <w:p>
                    <w:pPr>
                      <w:numPr>
                        <w:ilvl w:val="1"/>
                        <w:numId w:val="208"/>
                      </w:numPr>
                      <w:tabs>
                        <w:tab w:pos="1360" w:val="left" w:leader="none"/>
                        <w:tab w:pos="1361" w:val="left" w:leader="none"/>
                      </w:tabs>
                      <w:spacing w:line="242" w:lineRule="auto" w:before="122"/>
                      <w:ind w:left="1360" w:right="353" w:hanging="567"/>
                      <w:jc w:val="left"/>
                      <w:rPr>
                        <w:sz w:val="21"/>
                      </w:rPr>
                    </w:pPr>
                    <w:r>
                      <w:rPr>
                        <w:w w:val="115"/>
                        <w:sz w:val="21"/>
                      </w:rPr>
                      <w:t>if</w:t>
                    </w:r>
                    <w:r>
                      <w:rPr>
                        <w:spacing w:val="-6"/>
                        <w:w w:val="115"/>
                        <w:sz w:val="21"/>
                      </w:rPr>
                      <w:t> </w:t>
                    </w:r>
                    <w:r>
                      <w:rPr>
                        <w:w w:val="115"/>
                        <w:sz w:val="21"/>
                      </w:rPr>
                      <w:t>there</w:t>
                    </w:r>
                    <w:r>
                      <w:rPr>
                        <w:spacing w:val="-6"/>
                        <w:w w:val="115"/>
                        <w:sz w:val="21"/>
                      </w:rPr>
                      <w:t> </w:t>
                    </w:r>
                    <w:r>
                      <w:rPr>
                        <w:w w:val="115"/>
                        <w:sz w:val="21"/>
                      </w:rPr>
                      <w:t>is</w:t>
                    </w:r>
                    <w:r>
                      <w:rPr>
                        <w:spacing w:val="-6"/>
                        <w:w w:val="115"/>
                        <w:sz w:val="21"/>
                      </w:rPr>
                      <w:t> </w:t>
                    </w:r>
                    <w:r>
                      <w:rPr>
                        <w:w w:val="115"/>
                        <w:sz w:val="21"/>
                      </w:rPr>
                      <w:t>a</w:t>
                    </w:r>
                    <w:r>
                      <w:rPr>
                        <w:spacing w:val="-6"/>
                        <w:w w:val="115"/>
                        <w:sz w:val="21"/>
                      </w:rPr>
                      <w:t> </w:t>
                    </w:r>
                    <w:r>
                      <w:rPr>
                        <w:w w:val="115"/>
                        <w:sz w:val="21"/>
                      </w:rPr>
                      <w:t>need</w:t>
                    </w:r>
                    <w:r>
                      <w:rPr>
                        <w:spacing w:val="-6"/>
                        <w:w w:val="115"/>
                        <w:sz w:val="21"/>
                      </w:rPr>
                      <w:t> </w:t>
                    </w:r>
                    <w:r>
                      <w:rPr>
                        <w:w w:val="115"/>
                        <w:sz w:val="21"/>
                      </w:rPr>
                      <w:t>to</w:t>
                    </w:r>
                    <w:r>
                      <w:rPr>
                        <w:spacing w:val="-6"/>
                        <w:w w:val="115"/>
                        <w:sz w:val="21"/>
                      </w:rPr>
                      <w:t> </w:t>
                    </w:r>
                    <w:r>
                      <w:rPr>
                        <w:w w:val="115"/>
                        <w:sz w:val="21"/>
                      </w:rPr>
                      <w:t>expand</w:t>
                    </w:r>
                    <w:r>
                      <w:rPr>
                        <w:spacing w:val="-6"/>
                        <w:w w:val="115"/>
                        <w:sz w:val="21"/>
                      </w:rPr>
                      <w:t> </w:t>
                    </w:r>
                    <w:r>
                      <w:rPr>
                        <w:w w:val="115"/>
                        <w:sz w:val="21"/>
                      </w:rPr>
                      <w:t>the</w:t>
                    </w:r>
                    <w:r>
                      <w:rPr>
                        <w:spacing w:val="-5"/>
                        <w:w w:val="115"/>
                        <w:sz w:val="21"/>
                      </w:rPr>
                      <w:t> </w:t>
                    </w:r>
                    <w:r>
                      <w:rPr>
                        <w:w w:val="115"/>
                        <w:sz w:val="21"/>
                      </w:rPr>
                      <w:t>scope</w:t>
                    </w:r>
                    <w:r>
                      <w:rPr>
                        <w:spacing w:val="-6"/>
                        <w:w w:val="115"/>
                        <w:sz w:val="21"/>
                      </w:rPr>
                      <w:t> </w:t>
                    </w:r>
                    <w:r>
                      <w:rPr>
                        <w:w w:val="115"/>
                        <w:sz w:val="21"/>
                      </w:rPr>
                      <w:t>of</w:t>
                    </w:r>
                    <w:r>
                      <w:rPr>
                        <w:spacing w:val="-6"/>
                        <w:w w:val="115"/>
                        <w:sz w:val="21"/>
                      </w:rPr>
                      <w:t> </w:t>
                    </w:r>
                    <w:r>
                      <w:rPr>
                        <w:w w:val="115"/>
                        <w:sz w:val="21"/>
                      </w:rPr>
                      <w:t>the</w:t>
                    </w:r>
                    <w:r>
                      <w:rPr>
                        <w:spacing w:val="-6"/>
                        <w:w w:val="115"/>
                        <w:sz w:val="21"/>
                      </w:rPr>
                      <w:t> </w:t>
                    </w:r>
                    <w:r>
                      <w:rPr>
                        <w:w w:val="115"/>
                        <w:sz w:val="21"/>
                      </w:rPr>
                      <w:t>Act</w:t>
                    </w:r>
                    <w:r>
                      <w:rPr>
                        <w:spacing w:val="-6"/>
                        <w:w w:val="115"/>
                        <w:sz w:val="21"/>
                      </w:rPr>
                      <w:t> </w:t>
                    </w:r>
                    <w:r>
                      <w:rPr>
                        <w:w w:val="115"/>
                        <w:sz w:val="21"/>
                      </w:rPr>
                      <w:t>to</w:t>
                    </w:r>
                    <w:r>
                      <w:rPr>
                        <w:spacing w:val="-6"/>
                        <w:w w:val="115"/>
                        <w:sz w:val="21"/>
                      </w:rPr>
                      <w:t> </w:t>
                    </w:r>
                    <w:r>
                      <w:rPr>
                        <w:w w:val="115"/>
                        <w:sz w:val="21"/>
                      </w:rPr>
                      <w:t>trees</w:t>
                    </w:r>
                    <w:r>
                      <w:rPr>
                        <w:spacing w:val="-6"/>
                        <w:w w:val="115"/>
                        <w:sz w:val="21"/>
                      </w:rPr>
                      <w:t> </w:t>
                    </w:r>
                    <w:r>
                      <w:rPr>
                        <w:w w:val="115"/>
                        <w:sz w:val="21"/>
                      </w:rPr>
                      <w:t>blocking</w:t>
                    </w:r>
                    <w:r>
                      <w:rPr>
                        <w:spacing w:val="-6"/>
                        <w:w w:val="115"/>
                        <w:sz w:val="21"/>
                      </w:rPr>
                      <w:t> </w:t>
                    </w:r>
                    <w:r>
                      <w:rPr>
                        <w:w w:val="115"/>
                        <w:sz w:val="21"/>
                      </w:rPr>
                      <w:t>access to sunlight and views (including high</w:t>
                    </w:r>
                    <w:r>
                      <w:rPr>
                        <w:spacing w:val="4"/>
                        <w:w w:val="115"/>
                        <w:sz w:val="21"/>
                      </w:rPr>
                      <w:t> </w:t>
                    </w:r>
                    <w:r>
                      <w:rPr>
                        <w:w w:val="115"/>
                        <w:sz w:val="21"/>
                      </w:rPr>
                      <w:t>hedges).</w:t>
                    </w:r>
                  </w:p>
                </w:txbxContent>
              </v:textbox>
              <v:fill type="solid"/>
              <w10:wrap type="none"/>
            </v:shape>
            <v:shape style="position:absolute;left:1587;top:288;width:8731;height:722" type="#_x0000_t202" filled="true" fillcolor="#dbe0dd" stroked="false">
              <v:textbox inset="0,0,0,0">
                <w:txbxContent>
                  <w:p>
                    <w:pPr>
                      <w:spacing w:before="162"/>
                      <w:ind w:left="226" w:right="0" w:firstLine="0"/>
                      <w:jc w:val="left"/>
                      <w:rPr>
                        <w:b/>
                        <w:sz w:val="32"/>
                      </w:rPr>
                    </w:pPr>
                    <w:r>
                      <w:rPr>
                        <w:b/>
                        <w:color w:val="658464"/>
                        <w:w w:val="110"/>
                        <w:sz w:val="32"/>
                      </w:rPr>
                      <w:t>Recommendations</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spacing w:before="1"/>
        <w:ind w:left="720" w:right="0" w:firstLine="0"/>
        <w:jc w:val="left"/>
        <w:rPr>
          <w:b/>
          <w:sz w:val="24"/>
        </w:rPr>
      </w:pPr>
      <w:r>
        <w:rPr>
          <w:b/>
          <w:color w:val="658464"/>
          <w:w w:val="110"/>
          <w:sz w:val="24"/>
        </w:rPr>
        <w:t>302</w:t>
      </w:r>
    </w:p>
    <w:p>
      <w:pPr>
        <w:spacing w:after="0"/>
        <w:jc w:val="left"/>
        <w:rPr>
          <w:sz w:val="24"/>
        </w:rPr>
        <w:sectPr>
          <w:pgSz w:w="11910" w:h="16840"/>
          <w:pgMar w:header="546" w:footer="0" w:top="156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444760" filled="true" fillcolor="#ecefee" stroked="false">
            <v:fill type="solid"/>
            <w10:wrap type="none"/>
          </v:rect>
        </w:pict>
      </w:r>
      <w:r>
        <w:rPr>
          <w:b/>
          <w:color w:val="FFFFFF"/>
          <w:w w:val="122"/>
          <w:sz w:val="48"/>
          <w:shd w:fill="658464" w:color="auto" w:val="clear"/>
        </w:rPr>
        <w:t> </w:t>
      </w:r>
      <w:r>
        <w:rPr>
          <w:b/>
          <w:color w:val="FFFFFF"/>
          <w:spacing w:val="41"/>
          <w:sz w:val="48"/>
          <w:shd w:fill="658464" w:color="auto" w:val="clear"/>
        </w:rPr>
        <w:t> </w:t>
      </w:r>
      <w:r>
        <w:rPr>
          <w:b/>
          <w:color w:val="FFFFFF"/>
          <w:w w:val="115"/>
          <w:sz w:val="48"/>
          <w:shd w:fill="658464" w:color="auto" w:val="clear"/>
        </w:rPr>
        <w:t>A</w:t>
      </w:r>
      <w:r>
        <w:rPr>
          <w:b/>
          <w:color w:val="FFFFFF"/>
          <w:sz w:val="48"/>
          <w:shd w:fill="658464"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rPr>
      </w:pPr>
    </w:p>
    <w:p>
      <w:pPr>
        <w:tabs>
          <w:tab w:pos="1587" w:val="left" w:leader="none"/>
          <w:tab w:pos="6887" w:val="left" w:leader="none"/>
        </w:tabs>
        <w:spacing w:before="84"/>
        <w:ind w:left="0" w:right="0" w:firstLine="0"/>
        <w:jc w:val="left"/>
        <w:rPr>
          <w:b/>
          <w:sz w:val="96"/>
        </w:rPr>
      </w:pPr>
      <w:r>
        <w:rPr>
          <w:b/>
          <w:color w:val="658464"/>
          <w:w w:val="122"/>
          <w:sz w:val="96"/>
          <w:shd w:fill="FFFFFF" w:color="auto" w:val="clear"/>
        </w:rPr>
        <w:t> </w:t>
      </w:r>
      <w:r>
        <w:rPr>
          <w:b/>
          <w:color w:val="658464"/>
          <w:sz w:val="96"/>
          <w:shd w:fill="FFFFFF" w:color="auto" w:val="clear"/>
        </w:rPr>
        <w:tab/>
      </w:r>
      <w:r>
        <w:rPr>
          <w:b/>
          <w:color w:val="658464"/>
          <w:spacing w:val="-23"/>
          <w:w w:val="115"/>
          <w:sz w:val="96"/>
          <w:shd w:fill="FFFFFF" w:color="auto" w:val="clear"/>
        </w:rPr>
        <w:t>Appendices</w:t>
      </w:r>
      <w:r>
        <w:rPr>
          <w:b/>
          <w:color w:val="658464"/>
          <w:spacing w:val="-23"/>
          <w:sz w:val="96"/>
          <w:shd w:fill="FFFFFF" w:color="auto" w:val="clear"/>
        </w:rPr>
        <w:tab/>
      </w:r>
    </w:p>
    <w:p>
      <w:pPr>
        <w:pStyle w:val="BodyText"/>
        <w:rPr>
          <w:b/>
          <w:sz w:val="20"/>
        </w:rPr>
      </w:pPr>
    </w:p>
    <w:p>
      <w:pPr>
        <w:pStyle w:val="BodyText"/>
        <w:rPr>
          <w:b/>
          <w:sz w:val="20"/>
        </w:rPr>
      </w:pPr>
    </w:p>
    <w:p>
      <w:pPr>
        <w:pStyle w:val="BodyText"/>
        <w:spacing w:before="1"/>
        <w:rPr>
          <w:b/>
          <w:sz w:val="24"/>
        </w:rPr>
      </w:pPr>
    </w:p>
    <w:p>
      <w:pPr>
        <w:spacing w:before="96"/>
        <w:ind w:left="1587" w:right="0" w:firstLine="0"/>
        <w:jc w:val="left"/>
        <w:rPr>
          <w:b/>
          <w:sz w:val="24"/>
        </w:rPr>
      </w:pPr>
      <w:r>
        <w:rPr/>
        <w:pict>
          <v:line style="position:absolute;mso-position-horizontal-relative:page;mso-position-vertical-relative:paragraph;z-index:12224;mso-wrap-distance-left:0;mso-wrap-distance-right:0" from="79.370102pt,22.89497pt" to="104.882102pt,22.89497pt" stroked="true" strokeweight="2pt" strokecolor="#ffffff">
            <v:stroke dashstyle="solid"/>
            <w10:wrap type="topAndBottom"/>
          </v:line>
        </w:pict>
      </w:r>
      <w:r>
        <w:rPr>
          <w:b/>
          <w:w w:val="110"/>
          <w:sz w:val="24"/>
        </w:rPr>
        <w:t>304 </w:t>
      </w:r>
      <w:hyperlink w:history="true" w:anchor="_bookmark168">
        <w:r>
          <w:rPr>
            <w:b/>
            <w:w w:val="110"/>
            <w:sz w:val="24"/>
          </w:rPr>
          <w:t>Appendix A: Submissions</w:t>
        </w:r>
      </w:hyperlink>
    </w:p>
    <w:p>
      <w:pPr>
        <w:spacing w:before="62" w:after="49"/>
        <w:ind w:left="1587" w:right="0" w:firstLine="0"/>
        <w:jc w:val="left"/>
        <w:rPr>
          <w:b/>
          <w:sz w:val="24"/>
        </w:rPr>
      </w:pPr>
      <w:r>
        <w:rPr>
          <w:b/>
          <w:w w:val="110"/>
          <w:sz w:val="24"/>
        </w:rPr>
        <w:t>306 </w:t>
      </w:r>
      <w:hyperlink w:history="true" w:anchor="_bookmark169">
        <w:r>
          <w:rPr>
            <w:b/>
            <w:w w:val="110"/>
            <w:sz w:val="24"/>
          </w:rPr>
          <w:t>Appendix B: Consultations</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before="91"/>
        <w:ind w:left="1587" w:right="0" w:firstLine="0"/>
        <w:jc w:val="left"/>
        <w:rPr>
          <w:b/>
          <w:sz w:val="24"/>
        </w:rPr>
      </w:pPr>
      <w:r>
        <w:rPr/>
        <w:pict>
          <v:line style="position:absolute;mso-position-horizontal-relative:page;mso-position-vertical-relative:paragraph;z-index:12272;mso-wrap-distance-left:0;mso-wrap-distance-right:0" from="79.370102pt,22.655567pt" to="104.882102pt,22.655567pt" stroked="true" strokeweight="2pt" strokecolor="#ffffff">
            <v:stroke dashstyle="solid"/>
            <w10:wrap type="topAndBottom"/>
          </v:line>
        </w:pict>
      </w:r>
      <w:r>
        <w:rPr>
          <w:b/>
          <w:w w:val="110"/>
          <w:sz w:val="24"/>
        </w:rPr>
        <w:t>307 </w:t>
      </w:r>
      <w:hyperlink w:history="true" w:anchor="_bookmark170">
        <w:r>
          <w:rPr>
            <w:b/>
            <w:w w:val="110"/>
            <w:sz w:val="24"/>
          </w:rPr>
          <w:t>Appendix C: Online survey questions</w:t>
        </w:r>
      </w:hyperlink>
    </w:p>
    <w:p>
      <w:pPr>
        <w:spacing w:after="0"/>
        <w:jc w:val="left"/>
        <w:rPr>
          <w:sz w:val="24"/>
        </w:rPr>
        <w:sectPr>
          <w:headerReference w:type="default" r:id="rId370"/>
          <w:headerReference w:type="even" r:id="rId371"/>
          <w:pgSz w:w="11910" w:h="16840"/>
          <w:pgMar w:header="0" w:footer="0" w:top="720" w:bottom="280" w:left="0" w:right="0"/>
        </w:sectPr>
      </w:pPr>
    </w:p>
    <w:p>
      <w:pPr>
        <w:pStyle w:val="BodyText"/>
        <w:spacing w:before="10"/>
        <w:rPr>
          <w:b/>
          <w:sz w:val="18"/>
        </w:rPr>
      </w:pPr>
    </w:p>
    <w:p>
      <w:pPr>
        <w:spacing w:before="93"/>
        <w:ind w:left="566" w:right="0" w:firstLine="0"/>
        <w:jc w:val="left"/>
        <w:rPr>
          <w:b/>
          <w:sz w:val="44"/>
        </w:rPr>
      </w:pPr>
      <w:bookmarkStart w:name="Appendix A: Submissions" w:id="361"/>
      <w:bookmarkEnd w:id="361"/>
      <w:r>
        <w:rPr/>
      </w:r>
      <w:bookmarkStart w:name="_bookmark168" w:id="362"/>
      <w:bookmarkEnd w:id="362"/>
      <w:r>
        <w:rPr/>
      </w:r>
      <w:r>
        <w:rPr>
          <w:b/>
          <w:color w:val="658464"/>
          <w:w w:val="115"/>
          <w:sz w:val="44"/>
        </w:rPr>
        <w:t>Appendix A: Submissions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7"/>
        </w:rPr>
      </w:pPr>
    </w:p>
    <w:tbl>
      <w:tblPr>
        <w:tblW w:w="0" w:type="auto"/>
        <w:jc w:val="left"/>
        <w:tblInd w:w="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6"/>
        <w:gridCol w:w="741"/>
        <w:gridCol w:w="8169"/>
      </w:tblGrid>
      <w:tr>
        <w:trPr>
          <w:trHeight w:val="311" w:hRule="atLeast"/>
        </w:trPr>
        <w:tc>
          <w:tcPr>
            <w:tcW w:w="686" w:type="dxa"/>
            <w:vMerge w:val="restart"/>
          </w:tcPr>
          <w:p>
            <w:pPr>
              <w:pStyle w:val="TableParagraph"/>
              <w:rPr>
                <w:rFonts w:ascii="Times New Roman"/>
                <w:sz w:val="20"/>
              </w:rPr>
            </w:pPr>
          </w:p>
        </w:tc>
        <w:tc>
          <w:tcPr>
            <w:tcW w:w="741" w:type="dxa"/>
          </w:tcPr>
          <w:p>
            <w:pPr>
              <w:pStyle w:val="TableParagraph"/>
              <w:spacing w:line="248" w:lineRule="exact"/>
              <w:ind w:left="231"/>
              <w:rPr>
                <w:sz w:val="21"/>
              </w:rPr>
            </w:pPr>
            <w:r>
              <w:rPr>
                <w:w w:val="109"/>
                <w:sz w:val="21"/>
              </w:rPr>
              <w:t>1</w:t>
            </w:r>
          </w:p>
        </w:tc>
        <w:tc>
          <w:tcPr>
            <w:tcW w:w="8169" w:type="dxa"/>
          </w:tcPr>
          <w:p>
            <w:pPr>
              <w:pStyle w:val="TableParagraph"/>
              <w:spacing w:line="248" w:lineRule="exact"/>
              <w:ind w:left="284"/>
              <w:rPr>
                <w:sz w:val="21"/>
              </w:rPr>
            </w:pPr>
            <w:r>
              <w:rPr>
                <w:sz w:val="21"/>
              </w:rPr>
              <w:t>Ian Collier</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1"/>
              <w:rPr>
                <w:sz w:val="21"/>
              </w:rPr>
            </w:pPr>
            <w:r>
              <w:rPr>
                <w:w w:val="109"/>
                <w:sz w:val="21"/>
              </w:rPr>
              <w:t>2</w:t>
            </w:r>
          </w:p>
        </w:tc>
        <w:tc>
          <w:tcPr>
            <w:tcW w:w="8169" w:type="dxa"/>
          </w:tcPr>
          <w:p>
            <w:pPr>
              <w:pStyle w:val="TableParagraph"/>
              <w:spacing w:before="59"/>
              <w:ind w:left="284"/>
              <w:rPr>
                <w:sz w:val="21"/>
              </w:rPr>
            </w:pPr>
            <w:r>
              <w:rPr>
                <w:w w:val="105"/>
                <w:sz w:val="21"/>
              </w:rPr>
              <w:t>Name withheld</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1"/>
              <w:rPr>
                <w:sz w:val="21"/>
              </w:rPr>
            </w:pPr>
            <w:r>
              <w:rPr>
                <w:w w:val="109"/>
                <w:sz w:val="21"/>
              </w:rPr>
              <w:t>3</w:t>
            </w:r>
          </w:p>
        </w:tc>
        <w:tc>
          <w:tcPr>
            <w:tcW w:w="8169" w:type="dxa"/>
          </w:tcPr>
          <w:p>
            <w:pPr>
              <w:pStyle w:val="TableParagraph"/>
              <w:spacing w:before="59"/>
              <w:ind w:left="284"/>
              <w:rPr>
                <w:sz w:val="21"/>
              </w:rPr>
            </w:pPr>
            <w:r>
              <w:rPr>
                <w:w w:val="105"/>
                <w:sz w:val="21"/>
              </w:rPr>
              <w:t>Confidential</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1"/>
              <w:rPr>
                <w:sz w:val="21"/>
              </w:rPr>
            </w:pPr>
            <w:r>
              <w:rPr>
                <w:w w:val="109"/>
                <w:sz w:val="21"/>
              </w:rPr>
              <w:t>4</w:t>
            </w:r>
          </w:p>
        </w:tc>
        <w:tc>
          <w:tcPr>
            <w:tcW w:w="8169" w:type="dxa"/>
          </w:tcPr>
          <w:p>
            <w:pPr>
              <w:pStyle w:val="TableParagraph"/>
              <w:spacing w:before="59"/>
              <w:ind w:left="284"/>
              <w:rPr>
                <w:sz w:val="21"/>
              </w:rPr>
            </w:pPr>
            <w:r>
              <w:rPr>
                <w:w w:val="105"/>
                <w:sz w:val="21"/>
              </w:rPr>
              <w:t>Name withheld</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1"/>
              <w:rPr>
                <w:sz w:val="21"/>
              </w:rPr>
            </w:pPr>
            <w:r>
              <w:rPr>
                <w:w w:val="109"/>
                <w:sz w:val="21"/>
              </w:rPr>
              <w:t>5</w:t>
            </w:r>
          </w:p>
        </w:tc>
        <w:tc>
          <w:tcPr>
            <w:tcW w:w="8169" w:type="dxa"/>
          </w:tcPr>
          <w:p>
            <w:pPr>
              <w:pStyle w:val="TableParagraph"/>
              <w:spacing w:before="59"/>
              <w:ind w:left="284"/>
              <w:rPr>
                <w:sz w:val="21"/>
              </w:rPr>
            </w:pPr>
            <w:r>
              <w:rPr>
                <w:w w:val="105"/>
                <w:sz w:val="21"/>
              </w:rPr>
              <w:t>Name withheld</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1"/>
              <w:rPr>
                <w:sz w:val="21"/>
              </w:rPr>
            </w:pPr>
            <w:r>
              <w:rPr>
                <w:w w:val="109"/>
                <w:sz w:val="21"/>
              </w:rPr>
              <w:t>6</w:t>
            </w:r>
          </w:p>
        </w:tc>
        <w:tc>
          <w:tcPr>
            <w:tcW w:w="8169" w:type="dxa"/>
          </w:tcPr>
          <w:p>
            <w:pPr>
              <w:pStyle w:val="TableParagraph"/>
              <w:spacing w:before="59"/>
              <w:ind w:left="284"/>
              <w:rPr>
                <w:sz w:val="21"/>
              </w:rPr>
            </w:pPr>
            <w:r>
              <w:rPr>
                <w:w w:val="105"/>
                <w:sz w:val="21"/>
              </w:rPr>
              <w:t>Name withheld</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1"/>
              <w:rPr>
                <w:sz w:val="21"/>
              </w:rPr>
            </w:pPr>
            <w:r>
              <w:rPr>
                <w:w w:val="109"/>
                <w:sz w:val="21"/>
              </w:rPr>
              <w:t>7</w:t>
            </w:r>
          </w:p>
        </w:tc>
        <w:tc>
          <w:tcPr>
            <w:tcW w:w="8169" w:type="dxa"/>
          </w:tcPr>
          <w:p>
            <w:pPr>
              <w:pStyle w:val="TableParagraph"/>
              <w:spacing w:before="59"/>
              <w:ind w:left="284"/>
              <w:rPr>
                <w:sz w:val="21"/>
              </w:rPr>
            </w:pPr>
            <w:r>
              <w:rPr>
                <w:w w:val="105"/>
                <w:sz w:val="21"/>
              </w:rPr>
              <w:t>Ben Kenyon, Principal Consulting Arborist, Homewood Consulting Arborists</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1"/>
              <w:rPr>
                <w:sz w:val="21"/>
              </w:rPr>
            </w:pPr>
            <w:r>
              <w:rPr>
                <w:w w:val="109"/>
                <w:sz w:val="21"/>
              </w:rPr>
              <w:t>8</w:t>
            </w:r>
          </w:p>
        </w:tc>
        <w:tc>
          <w:tcPr>
            <w:tcW w:w="8169" w:type="dxa"/>
          </w:tcPr>
          <w:p>
            <w:pPr>
              <w:pStyle w:val="TableParagraph"/>
              <w:spacing w:before="59"/>
              <w:ind w:left="284"/>
              <w:rPr>
                <w:sz w:val="21"/>
              </w:rPr>
            </w:pPr>
            <w:r>
              <w:rPr>
                <w:sz w:val="21"/>
              </w:rPr>
              <w:t>Victoria Thieberger</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1"/>
              <w:rPr>
                <w:sz w:val="21"/>
              </w:rPr>
            </w:pPr>
            <w:r>
              <w:rPr>
                <w:w w:val="109"/>
                <w:sz w:val="21"/>
              </w:rPr>
              <w:t>9</w:t>
            </w:r>
          </w:p>
        </w:tc>
        <w:tc>
          <w:tcPr>
            <w:tcW w:w="8169" w:type="dxa"/>
          </w:tcPr>
          <w:p>
            <w:pPr>
              <w:pStyle w:val="TableParagraph"/>
              <w:spacing w:before="59"/>
              <w:ind w:left="284"/>
              <w:rPr>
                <w:sz w:val="21"/>
              </w:rPr>
            </w:pPr>
            <w:r>
              <w:rPr>
                <w:w w:val="105"/>
                <w:sz w:val="21"/>
              </w:rPr>
              <w:t>Dr Karen Smith</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1"/>
              <w:rPr>
                <w:sz w:val="21"/>
              </w:rPr>
            </w:pPr>
            <w:r>
              <w:rPr>
                <w:w w:val="110"/>
                <w:sz w:val="21"/>
              </w:rPr>
              <w:t>10</w:t>
            </w:r>
          </w:p>
        </w:tc>
        <w:tc>
          <w:tcPr>
            <w:tcW w:w="8169" w:type="dxa"/>
          </w:tcPr>
          <w:p>
            <w:pPr>
              <w:pStyle w:val="TableParagraph"/>
              <w:spacing w:before="59"/>
              <w:ind w:left="283"/>
              <w:rPr>
                <w:sz w:val="21"/>
              </w:rPr>
            </w:pPr>
            <w:r>
              <w:rPr>
                <w:sz w:val="21"/>
              </w:rPr>
              <w:t>Professor Phillip Hamilton</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1"/>
              <w:rPr>
                <w:sz w:val="21"/>
              </w:rPr>
            </w:pPr>
            <w:r>
              <w:rPr>
                <w:w w:val="110"/>
                <w:sz w:val="21"/>
              </w:rPr>
              <w:t>11</w:t>
            </w:r>
          </w:p>
        </w:tc>
        <w:tc>
          <w:tcPr>
            <w:tcW w:w="8169" w:type="dxa"/>
          </w:tcPr>
          <w:p>
            <w:pPr>
              <w:pStyle w:val="TableParagraph"/>
              <w:spacing w:before="59"/>
              <w:ind w:left="283"/>
              <w:rPr>
                <w:sz w:val="21"/>
              </w:rPr>
            </w:pPr>
            <w:r>
              <w:rPr>
                <w:w w:val="105"/>
                <w:sz w:val="21"/>
              </w:rPr>
              <w:t>Name withheld</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1"/>
              <w:rPr>
                <w:sz w:val="21"/>
              </w:rPr>
            </w:pPr>
            <w:r>
              <w:rPr>
                <w:w w:val="110"/>
                <w:sz w:val="21"/>
              </w:rPr>
              <w:t>12</w:t>
            </w:r>
          </w:p>
        </w:tc>
        <w:tc>
          <w:tcPr>
            <w:tcW w:w="8169" w:type="dxa"/>
          </w:tcPr>
          <w:p>
            <w:pPr>
              <w:pStyle w:val="TableParagraph"/>
              <w:spacing w:before="59"/>
              <w:ind w:left="283"/>
              <w:rPr>
                <w:sz w:val="21"/>
              </w:rPr>
            </w:pPr>
            <w:r>
              <w:rPr>
                <w:w w:val="105"/>
                <w:sz w:val="21"/>
              </w:rPr>
              <w:t>Dr Gregory Moore OAM, Senior Research Associate, The University of Melbourne</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0"/>
              <w:rPr>
                <w:sz w:val="21"/>
              </w:rPr>
            </w:pPr>
            <w:r>
              <w:rPr>
                <w:w w:val="110"/>
                <w:sz w:val="21"/>
              </w:rPr>
              <w:t>13</w:t>
            </w:r>
          </w:p>
        </w:tc>
        <w:tc>
          <w:tcPr>
            <w:tcW w:w="8169" w:type="dxa"/>
          </w:tcPr>
          <w:p>
            <w:pPr>
              <w:pStyle w:val="TableParagraph"/>
              <w:spacing w:before="59"/>
              <w:ind w:left="283"/>
              <w:rPr>
                <w:sz w:val="21"/>
              </w:rPr>
            </w:pPr>
            <w:r>
              <w:rPr>
                <w:w w:val="105"/>
                <w:sz w:val="21"/>
              </w:rPr>
              <w:t>Mandy Collins</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0"/>
              <w:rPr>
                <w:sz w:val="21"/>
              </w:rPr>
            </w:pPr>
            <w:r>
              <w:rPr>
                <w:w w:val="110"/>
                <w:sz w:val="21"/>
              </w:rPr>
              <w:t>14</w:t>
            </w:r>
          </w:p>
        </w:tc>
        <w:tc>
          <w:tcPr>
            <w:tcW w:w="8169" w:type="dxa"/>
          </w:tcPr>
          <w:p>
            <w:pPr>
              <w:pStyle w:val="TableParagraph"/>
              <w:spacing w:before="59"/>
              <w:ind w:left="283"/>
              <w:rPr>
                <w:sz w:val="21"/>
              </w:rPr>
            </w:pPr>
            <w:r>
              <w:rPr>
                <w:w w:val="105"/>
                <w:sz w:val="21"/>
              </w:rPr>
              <w:t>Confidential</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0"/>
              <w:rPr>
                <w:sz w:val="21"/>
              </w:rPr>
            </w:pPr>
            <w:r>
              <w:rPr>
                <w:w w:val="110"/>
                <w:sz w:val="21"/>
              </w:rPr>
              <w:t>15</w:t>
            </w:r>
          </w:p>
        </w:tc>
        <w:tc>
          <w:tcPr>
            <w:tcW w:w="8169" w:type="dxa"/>
          </w:tcPr>
          <w:p>
            <w:pPr>
              <w:pStyle w:val="TableParagraph"/>
              <w:spacing w:before="59"/>
              <w:ind w:left="283"/>
              <w:rPr>
                <w:sz w:val="21"/>
              </w:rPr>
            </w:pPr>
            <w:r>
              <w:rPr>
                <w:w w:val="105"/>
                <w:sz w:val="21"/>
              </w:rPr>
              <w:t>Confidential</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0"/>
              <w:rPr>
                <w:sz w:val="21"/>
              </w:rPr>
            </w:pPr>
            <w:r>
              <w:rPr>
                <w:w w:val="110"/>
                <w:sz w:val="21"/>
              </w:rPr>
              <w:t>16</w:t>
            </w:r>
          </w:p>
        </w:tc>
        <w:tc>
          <w:tcPr>
            <w:tcW w:w="8169" w:type="dxa"/>
          </w:tcPr>
          <w:p>
            <w:pPr>
              <w:pStyle w:val="TableParagraph"/>
              <w:spacing w:before="59"/>
              <w:ind w:left="283"/>
              <w:rPr>
                <w:sz w:val="21"/>
              </w:rPr>
            </w:pPr>
            <w:r>
              <w:rPr>
                <w:w w:val="105"/>
                <w:sz w:val="21"/>
              </w:rPr>
              <w:t>Magistrates’ Court Victoria</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0"/>
              <w:rPr>
                <w:sz w:val="21"/>
              </w:rPr>
            </w:pPr>
            <w:r>
              <w:rPr>
                <w:w w:val="110"/>
                <w:sz w:val="21"/>
              </w:rPr>
              <w:t>17</w:t>
            </w:r>
          </w:p>
        </w:tc>
        <w:tc>
          <w:tcPr>
            <w:tcW w:w="8169" w:type="dxa"/>
          </w:tcPr>
          <w:p>
            <w:pPr>
              <w:pStyle w:val="TableParagraph"/>
              <w:spacing w:before="59"/>
              <w:ind w:left="283"/>
              <w:rPr>
                <w:sz w:val="21"/>
              </w:rPr>
            </w:pPr>
            <w:r>
              <w:rPr>
                <w:w w:val="105"/>
                <w:sz w:val="21"/>
              </w:rPr>
              <w:t>Name withheld</w:t>
            </w:r>
          </w:p>
        </w:tc>
      </w:tr>
      <w:tr>
        <w:trPr>
          <w:trHeight w:val="640" w:hRule="atLeast"/>
        </w:trPr>
        <w:tc>
          <w:tcPr>
            <w:tcW w:w="686" w:type="dxa"/>
            <w:vMerge/>
            <w:tcBorders>
              <w:top w:val="nil"/>
            </w:tcBorders>
          </w:tcPr>
          <w:p>
            <w:pPr>
              <w:rPr>
                <w:sz w:val="2"/>
                <w:szCs w:val="2"/>
              </w:rPr>
            </w:pPr>
          </w:p>
        </w:tc>
        <w:tc>
          <w:tcPr>
            <w:tcW w:w="741" w:type="dxa"/>
          </w:tcPr>
          <w:p>
            <w:pPr>
              <w:pStyle w:val="TableParagraph"/>
              <w:spacing w:before="59"/>
              <w:ind w:left="230"/>
              <w:rPr>
                <w:sz w:val="21"/>
              </w:rPr>
            </w:pPr>
            <w:r>
              <w:rPr>
                <w:w w:val="110"/>
                <w:sz w:val="21"/>
              </w:rPr>
              <w:t>18</w:t>
            </w:r>
          </w:p>
        </w:tc>
        <w:tc>
          <w:tcPr>
            <w:tcW w:w="8169" w:type="dxa"/>
          </w:tcPr>
          <w:p>
            <w:pPr>
              <w:pStyle w:val="TableParagraph"/>
              <w:spacing w:line="242" w:lineRule="auto" w:before="59"/>
              <w:ind w:left="283"/>
              <w:rPr>
                <w:sz w:val="21"/>
              </w:rPr>
            </w:pPr>
            <w:r>
              <w:rPr>
                <w:spacing w:val="-4"/>
                <w:w w:val="105"/>
                <w:sz w:val="21"/>
              </w:rPr>
              <w:t>ENSPEC, </w:t>
            </w:r>
            <w:r>
              <w:rPr>
                <w:spacing w:val="-3"/>
                <w:w w:val="105"/>
                <w:sz w:val="21"/>
              </w:rPr>
              <w:t>Arboricultural </w:t>
            </w:r>
            <w:r>
              <w:rPr>
                <w:w w:val="105"/>
                <w:sz w:val="21"/>
              </w:rPr>
              <w:t>and </w:t>
            </w:r>
            <w:r>
              <w:rPr>
                <w:spacing w:val="-3"/>
                <w:w w:val="105"/>
                <w:sz w:val="21"/>
              </w:rPr>
              <w:t>Environmental Consultants, </w:t>
            </w:r>
            <w:r>
              <w:rPr>
                <w:spacing w:val="-4"/>
                <w:w w:val="105"/>
                <w:sz w:val="21"/>
              </w:rPr>
              <w:t>Craig </w:t>
            </w:r>
            <w:r>
              <w:rPr>
                <w:spacing w:val="-3"/>
                <w:w w:val="105"/>
                <w:sz w:val="21"/>
              </w:rPr>
              <w:t>Hallam, Managing </w:t>
            </w:r>
            <w:r>
              <w:rPr>
                <w:spacing w:val="-4"/>
                <w:w w:val="105"/>
                <w:sz w:val="21"/>
              </w:rPr>
              <w:t>Director, </w:t>
            </w:r>
            <w:r>
              <w:rPr>
                <w:w w:val="105"/>
                <w:sz w:val="21"/>
              </w:rPr>
              <w:t>and </w:t>
            </w:r>
            <w:r>
              <w:rPr>
                <w:spacing w:val="-4"/>
                <w:w w:val="105"/>
                <w:sz w:val="21"/>
              </w:rPr>
              <w:t>Craig Hinton, </w:t>
            </w:r>
            <w:r>
              <w:rPr>
                <w:w w:val="105"/>
                <w:sz w:val="21"/>
              </w:rPr>
              <w:t>Senior </w:t>
            </w:r>
            <w:r>
              <w:rPr>
                <w:spacing w:val="-4"/>
                <w:w w:val="105"/>
                <w:sz w:val="21"/>
              </w:rPr>
              <w:t>Consultant</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0"/>
              <w:rPr>
                <w:sz w:val="21"/>
              </w:rPr>
            </w:pPr>
            <w:r>
              <w:rPr>
                <w:w w:val="110"/>
                <w:sz w:val="21"/>
              </w:rPr>
              <w:t>19</w:t>
            </w:r>
          </w:p>
        </w:tc>
        <w:tc>
          <w:tcPr>
            <w:tcW w:w="8169" w:type="dxa"/>
          </w:tcPr>
          <w:p>
            <w:pPr>
              <w:pStyle w:val="TableParagraph"/>
              <w:spacing w:before="59"/>
              <w:ind w:left="283"/>
              <w:rPr>
                <w:sz w:val="21"/>
              </w:rPr>
            </w:pPr>
            <w:r>
              <w:rPr>
                <w:w w:val="105"/>
                <w:sz w:val="21"/>
              </w:rPr>
              <w:t>Name withheld</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0"/>
              <w:rPr>
                <w:sz w:val="21"/>
              </w:rPr>
            </w:pPr>
            <w:r>
              <w:rPr>
                <w:w w:val="110"/>
                <w:sz w:val="21"/>
              </w:rPr>
              <w:t>20</w:t>
            </w:r>
          </w:p>
        </w:tc>
        <w:tc>
          <w:tcPr>
            <w:tcW w:w="8169" w:type="dxa"/>
          </w:tcPr>
          <w:p>
            <w:pPr>
              <w:pStyle w:val="TableParagraph"/>
              <w:spacing w:before="59"/>
              <w:ind w:left="283"/>
              <w:rPr>
                <w:sz w:val="21"/>
              </w:rPr>
            </w:pPr>
            <w:r>
              <w:rPr>
                <w:w w:val="105"/>
                <w:sz w:val="21"/>
              </w:rPr>
              <w:t>Name withheld</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0"/>
              <w:rPr>
                <w:sz w:val="21"/>
              </w:rPr>
            </w:pPr>
            <w:r>
              <w:rPr>
                <w:w w:val="110"/>
                <w:sz w:val="21"/>
              </w:rPr>
              <w:t>21</w:t>
            </w:r>
          </w:p>
        </w:tc>
        <w:tc>
          <w:tcPr>
            <w:tcW w:w="8169" w:type="dxa"/>
          </w:tcPr>
          <w:p>
            <w:pPr>
              <w:pStyle w:val="TableParagraph"/>
              <w:spacing w:before="59"/>
              <w:ind w:left="282"/>
              <w:rPr>
                <w:sz w:val="21"/>
              </w:rPr>
            </w:pPr>
            <w:r>
              <w:rPr>
                <w:sz w:val="21"/>
              </w:rPr>
              <w:t>Pointon Partners Lawyers</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30"/>
              <w:rPr>
                <w:sz w:val="21"/>
              </w:rPr>
            </w:pPr>
            <w:r>
              <w:rPr>
                <w:w w:val="110"/>
                <w:sz w:val="21"/>
              </w:rPr>
              <w:t>22</w:t>
            </w:r>
          </w:p>
        </w:tc>
        <w:tc>
          <w:tcPr>
            <w:tcW w:w="8169" w:type="dxa"/>
          </w:tcPr>
          <w:p>
            <w:pPr>
              <w:pStyle w:val="TableParagraph"/>
              <w:spacing w:before="59"/>
              <w:ind w:left="282"/>
              <w:rPr>
                <w:sz w:val="21"/>
              </w:rPr>
            </w:pPr>
            <w:r>
              <w:rPr>
                <w:w w:val="105"/>
                <w:sz w:val="21"/>
              </w:rPr>
              <w:t>Name withheld</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29"/>
              <w:rPr>
                <w:sz w:val="21"/>
              </w:rPr>
            </w:pPr>
            <w:r>
              <w:rPr>
                <w:w w:val="110"/>
                <w:sz w:val="21"/>
              </w:rPr>
              <w:t>23</w:t>
            </w:r>
          </w:p>
        </w:tc>
        <w:tc>
          <w:tcPr>
            <w:tcW w:w="8169" w:type="dxa"/>
          </w:tcPr>
          <w:p>
            <w:pPr>
              <w:pStyle w:val="TableParagraph"/>
              <w:spacing w:before="59"/>
              <w:ind w:left="282"/>
              <w:rPr>
                <w:sz w:val="21"/>
              </w:rPr>
            </w:pPr>
            <w:r>
              <w:rPr>
                <w:w w:val="105"/>
                <w:sz w:val="21"/>
              </w:rPr>
              <w:t>Name withheld</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29"/>
              <w:rPr>
                <w:sz w:val="21"/>
              </w:rPr>
            </w:pPr>
            <w:r>
              <w:rPr>
                <w:w w:val="110"/>
                <w:sz w:val="21"/>
              </w:rPr>
              <w:t>24</w:t>
            </w:r>
          </w:p>
        </w:tc>
        <w:tc>
          <w:tcPr>
            <w:tcW w:w="8169" w:type="dxa"/>
          </w:tcPr>
          <w:p>
            <w:pPr>
              <w:pStyle w:val="TableParagraph"/>
              <w:spacing w:before="59"/>
              <w:ind w:left="282"/>
              <w:rPr>
                <w:sz w:val="21"/>
              </w:rPr>
            </w:pPr>
            <w:r>
              <w:rPr>
                <w:w w:val="105"/>
                <w:sz w:val="21"/>
              </w:rPr>
              <w:t>Name withheld</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29"/>
              <w:rPr>
                <w:sz w:val="21"/>
              </w:rPr>
            </w:pPr>
            <w:r>
              <w:rPr>
                <w:w w:val="110"/>
                <w:sz w:val="21"/>
              </w:rPr>
              <w:t>25</w:t>
            </w:r>
          </w:p>
        </w:tc>
        <w:tc>
          <w:tcPr>
            <w:tcW w:w="8169" w:type="dxa"/>
          </w:tcPr>
          <w:p>
            <w:pPr>
              <w:pStyle w:val="TableParagraph"/>
              <w:spacing w:before="59"/>
              <w:ind w:left="282"/>
              <w:rPr>
                <w:sz w:val="21"/>
              </w:rPr>
            </w:pPr>
            <w:r>
              <w:rPr>
                <w:w w:val="105"/>
                <w:sz w:val="21"/>
              </w:rPr>
              <w:t>City of Boroondara</w:t>
            </w:r>
          </w:p>
        </w:tc>
      </w:tr>
      <w:tr>
        <w:trPr>
          <w:trHeight w:val="380" w:hRule="atLeast"/>
        </w:trPr>
        <w:tc>
          <w:tcPr>
            <w:tcW w:w="686" w:type="dxa"/>
            <w:vMerge/>
            <w:tcBorders>
              <w:top w:val="nil"/>
            </w:tcBorders>
          </w:tcPr>
          <w:p>
            <w:pPr>
              <w:rPr>
                <w:sz w:val="2"/>
                <w:szCs w:val="2"/>
              </w:rPr>
            </w:pPr>
          </w:p>
        </w:tc>
        <w:tc>
          <w:tcPr>
            <w:tcW w:w="741" w:type="dxa"/>
          </w:tcPr>
          <w:p>
            <w:pPr>
              <w:pStyle w:val="TableParagraph"/>
              <w:spacing w:before="59"/>
              <w:ind w:left="229"/>
              <w:rPr>
                <w:sz w:val="21"/>
              </w:rPr>
            </w:pPr>
            <w:r>
              <w:rPr>
                <w:w w:val="110"/>
                <w:sz w:val="21"/>
              </w:rPr>
              <w:t>26</w:t>
            </w:r>
          </w:p>
        </w:tc>
        <w:tc>
          <w:tcPr>
            <w:tcW w:w="8169" w:type="dxa"/>
          </w:tcPr>
          <w:p>
            <w:pPr>
              <w:pStyle w:val="TableParagraph"/>
              <w:spacing w:before="59"/>
              <w:ind w:left="282"/>
              <w:rPr>
                <w:sz w:val="21"/>
              </w:rPr>
            </w:pPr>
            <w:r>
              <w:rPr>
                <w:w w:val="105"/>
                <w:sz w:val="21"/>
              </w:rPr>
              <w:t>Confidential</w:t>
            </w:r>
          </w:p>
        </w:tc>
      </w:tr>
      <w:tr>
        <w:trPr>
          <w:trHeight w:val="352" w:hRule="atLeast"/>
        </w:trPr>
        <w:tc>
          <w:tcPr>
            <w:tcW w:w="686" w:type="dxa"/>
            <w:vMerge/>
            <w:tcBorders>
              <w:top w:val="nil"/>
            </w:tcBorders>
          </w:tcPr>
          <w:p>
            <w:pPr>
              <w:rPr>
                <w:sz w:val="2"/>
                <w:szCs w:val="2"/>
              </w:rPr>
            </w:pPr>
          </w:p>
        </w:tc>
        <w:tc>
          <w:tcPr>
            <w:tcW w:w="741" w:type="dxa"/>
          </w:tcPr>
          <w:p>
            <w:pPr>
              <w:pStyle w:val="TableParagraph"/>
              <w:spacing w:before="59"/>
              <w:ind w:left="229"/>
              <w:rPr>
                <w:sz w:val="21"/>
              </w:rPr>
            </w:pPr>
            <w:r>
              <w:rPr>
                <w:w w:val="110"/>
                <w:sz w:val="21"/>
              </w:rPr>
              <w:t>27</w:t>
            </w:r>
          </w:p>
        </w:tc>
        <w:tc>
          <w:tcPr>
            <w:tcW w:w="8169" w:type="dxa"/>
          </w:tcPr>
          <w:p>
            <w:pPr>
              <w:pStyle w:val="TableParagraph"/>
              <w:spacing w:before="59"/>
              <w:ind w:left="282"/>
              <w:rPr>
                <w:sz w:val="21"/>
              </w:rPr>
            </w:pPr>
            <w:r>
              <w:rPr>
                <w:w w:val="105"/>
                <w:sz w:val="21"/>
              </w:rPr>
              <w:t>Name withheld</w:t>
            </w:r>
          </w:p>
        </w:tc>
      </w:tr>
      <w:tr>
        <w:trPr>
          <w:trHeight w:val="325" w:hRule="atLeast"/>
        </w:trPr>
        <w:tc>
          <w:tcPr>
            <w:tcW w:w="686" w:type="dxa"/>
          </w:tcPr>
          <w:p>
            <w:pPr>
              <w:pStyle w:val="TableParagraph"/>
              <w:spacing w:line="269" w:lineRule="exact" w:before="36"/>
              <w:ind w:left="50"/>
              <w:rPr>
                <w:b/>
                <w:sz w:val="24"/>
              </w:rPr>
            </w:pPr>
            <w:r>
              <w:rPr>
                <w:b/>
                <w:color w:val="658464"/>
                <w:w w:val="110"/>
                <w:sz w:val="24"/>
              </w:rPr>
              <w:t>304</w:t>
            </w:r>
          </w:p>
        </w:tc>
        <w:tc>
          <w:tcPr>
            <w:tcW w:w="741" w:type="dxa"/>
          </w:tcPr>
          <w:p>
            <w:pPr>
              <w:pStyle w:val="TableParagraph"/>
              <w:rPr>
                <w:rFonts w:ascii="Times New Roman"/>
                <w:sz w:val="20"/>
              </w:rPr>
            </w:pPr>
          </w:p>
        </w:tc>
        <w:tc>
          <w:tcPr>
            <w:tcW w:w="8169" w:type="dxa"/>
          </w:tcPr>
          <w:p>
            <w:pPr>
              <w:pStyle w:val="TableParagraph"/>
              <w:rPr>
                <w:rFonts w:ascii="Times New Roman"/>
                <w:sz w:val="20"/>
              </w:rPr>
            </w:pPr>
          </w:p>
        </w:tc>
      </w:tr>
    </w:tbl>
    <w:p>
      <w:pPr>
        <w:spacing w:after="0"/>
        <w:rPr>
          <w:rFonts w:ascii="Times New Roman"/>
          <w:sz w:val="20"/>
        </w:rPr>
        <w:sectPr>
          <w:pgSz w:w="11910" w:h="16840"/>
          <w:pgMar w:header="546" w:footer="0" w:top="1560" w:bottom="280" w:left="0" w:right="0"/>
        </w:sectPr>
      </w:pPr>
    </w:p>
    <w:p>
      <w:pPr>
        <w:tabs>
          <w:tab w:pos="1417" w:val="left" w:leader="none"/>
        </w:tabs>
        <w:spacing w:before="62"/>
        <w:ind w:left="0" w:right="0" w:firstLine="0"/>
        <w:jc w:val="right"/>
        <w:rPr>
          <w:b/>
          <w:sz w:val="48"/>
        </w:rPr>
      </w:pPr>
      <w:r>
        <w:rPr>
          <w:b/>
          <w:color w:val="FFFFFF"/>
          <w:w w:val="122"/>
          <w:sz w:val="48"/>
          <w:shd w:fill="658464" w:color="auto" w:val="clear"/>
        </w:rPr>
        <w:t> </w:t>
      </w:r>
      <w:r>
        <w:rPr>
          <w:b/>
          <w:color w:val="FFFFFF"/>
          <w:spacing w:val="41"/>
          <w:sz w:val="48"/>
          <w:shd w:fill="658464" w:color="auto" w:val="clear"/>
        </w:rPr>
        <w:t> </w:t>
      </w:r>
      <w:r>
        <w:rPr>
          <w:b/>
          <w:color w:val="FFFFFF"/>
          <w:w w:val="115"/>
          <w:sz w:val="48"/>
          <w:shd w:fill="658464" w:color="auto" w:val="clear"/>
        </w:rPr>
        <w:t>A</w:t>
      </w:r>
      <w:r>
        <w:rPr>
          <w:b/>
          <w:color w:val="FFFFFF"/>
          <w:sz w:val="48"/>
          <w:shd w:fill="658464" w:color="auto" w:val="clear"/>
        </w:rPr>
        <w:tab/>
      </w:r>
    </w:p>
    <w:p>
      <w:pPr>
        <w:pStyle w:val="BodyText"/>
        <w:rPr>
          <w:b/>
          <w:sz w:val="20"/>
        </w:rPr>
      </w:pPr>
    </w:p>
    <w:p>
      <w:pPr>
        <w:pStyle w:val="BodyText"/>
        <w:rPr>
          <w:b/>
          <w:sz w:val="18"/>
        </w:rPr>
      </w:pPr>
    </w:p>
    <w:p>
      <w:pPr>
        <w:pStyle w:val="ListParagraph"/>
        <w:numPr>
          <w:ilvl w:val="0"/>
          <w:numId w:val="209"/>
        </w:numPr>
        <w:tabs>
          <w:tab w:pos="2381" w:val="left" w:leader="none"/>
          <w:tab w:pos="2382" w:val="left" w:leader="none"/>
        </w:tabs>
        <w:spacing w:line="240" w:lineRule="auto" w:before="92" w:after="0"/>
        <w:ind w:left="2381" w:right="0" w:hanging="794"/>
        <w:jc w:val="left"/>
        <w:rPr>
          <w:sz w:val="21"/>
        </w:rPr>
      </w:pPr>
      <w:r>
        <w:rPr>
          <w:w w:val="105"/>
          <w:sz w:val="21"/>
        </w:rPr>
        <w:t>Warwick </w:t>
      </w:r>
      <w:r>
        <w:rPr>
          <w:spacing w:val="-3"/>
          <w:w w:val="105"/>
          <w:sz w:val="21"/>
        </w:rPr>
        <w:t>Williams, </w:t>
      </w:r>
      <w:r>
        <w:rPr>
          <w:spacing w:val="-4"/>
          <w:w w:val="105"/>
          <w:sz w:val="21"/>
        </w:rPr>
        <w:t>Corporate Counsel, </w:t>
      </w:r>
      <w:r>
        <w:rPr>
          <w:w w:val="105"/>
          <w:sz w:val="21"/>
        </w:rPr>
        <w:t>HVP</w:t>
      </w:r>
      <w:r>
        <w:rPr>
          <w:spacing w:val="38"/>
          <w:w w:val="105"/>
          <w:sz w:val="21"/>
        </w:rPr>
        <w:t> </w:t>
      </w:r>
      <w:r>
        <w:rPr>
          <w:spacing w:val="-3"/>
          <w:w w:val="105"/>
          <w:sz w:val="21"/>
        </w:rPr>
        <w:t>Plantations</w:t>
      </w:r>
    </w:p>
    <w:p>
      <w:pPr>
        <w:pStyle w:val="ListParagraph"/>
        <w:numPr>
          <w:ilvl w:val="0"/>
          <w:numId w:val="209"/>
        </w:numPr>
        <w:tabs>
          <w:tab w:pos="2380" w:val="left" w:leader="none"/>
          <w:tab w:pos="2381" w:val="left" w:leader="none"/>
        </w:tabs>
        <w:spacing w:line="242" w:lineRule="auto" w:before="124" w:after="0"/>
        <w:ind w:left="2381" w:right="1788" w:hanging="794"/>
        <w:jc w:val="left"/>
        <w:rPr>
          <w:sz w:val="21"/>
        </w:rPr>
      </w:pPr>
      <w:r>
        <w:rPr>
          <w:spacing w:val="-3"/>
          <w:w w:val="105"/>
          <w:sz w:val="21"/>
        </w:rPr>
        <w:t>David </w:t>
      </w:r>
      <w:r>
        <w:rPr>
          <w:spacing w:val="-4"/>
          <w:w w:val="105"/>
          <w:sz w:val="21"/>
        </w:rPr>
        <w:t>Galwey, Consulting </w:t>
      </w:r>
      <w:r>
        <w:rPr>
          <w:w w:val="105"/>
          <w:sz w:val="21"/>
        </w:rPr>
        <w:t>Arborist, </w:t>
      </w:r>
      <w:r>
        <w:rPr>
          <w:spacing w:val="-5"/>
          <w:w w:val="105"/>
          <w:sz w:val="21"/>
        </w:rPr>
        <w:t>Tree </w:t>
      </w:r>
      <w:r>
        <w:rPr>
          <w:spacing w:val="-3"/>
          <w:w w:val="105"/>
          <w:sz w:val="21"/>
        </w:rPr>
        <w:t>Dimensions </w:t>
      </w:r>
      <w:r>
        <w:rPr>
          <w:spacing w:val="2"/>
          <w:w w:val="105"/>
          <w:sz w:val="21"/>
        </w:rPr>
        <w:t>Pty </w:t>
      </w:r>
      <w:r>
        <w:rPr>
          <w:spacing w:val="-4"/>
          <w:w w:val="105"/>
          <w:sz w:val="21"/>
        </w:rPr>
        <w:t>Ltd, </w:t>
      </w:r>
      <w:r>
        <w:rPr>
          <w:w w:val="105"/>
          <w:sz w:val="21"/>
        </w:rPr>
        <w:t>Acting </w:t>
      </w:r>
      <w:r>
        <w:rPr>
          <w:spacing w:val="-4"/>
          <w:w w:val="105"/>
          <w:sz w:val="21"/>
        </w:rPr>
        <w:t>Commissioner, </w:t>
      </w:r>
      <w:r>
        <w:rPr>
          <w:w w:val="105"/>
          <w:sz w:val="21"/>
        </w:rPr>
        <w:t>Land and </w:t>
      </w:r>
      <w:r>
        <w:rPr>
          <w:spacing w:val="-3"/>
          <w:w w:val="105"/>
          <w:sz w:val="21"/>
        </w:rPr>
        <w:t>Environment Court </w:t>
      </w:r>
      <w:r>
        <w:rPr>
          <w:w w:val="105"/>
          <w:sz w:val="21"/>
        </w:rPr>
        <w:t>of New South</w:t>
      </w:r>
      <w:r>
        <w:rPr>
          <w:spacing w:val="37"/>
          <w:w w:val="105"/>
          <w:sz w:val="21"/>
        </w:rPr>
        <w:t> </w:t>
      </w:r>
      <w:r>
        <w:rPr>
          <w:spacing w:val="-3"/>
          <w:w w:val="105"/>
          <w:sz w:val="21"/>
        </w:rPr>
        <w:t>Wales</w:t>
      </w:r>
    </w:p>
    <w:p>
      <w:pPr>
        <w:pStyle w:val="ListParagraph"/>
        <w:numPr>
          <w:ilvl w:val="0"/>
          <w:numId w:val="209"/>
        </w:numPr>
        <w:tabs>
          <w:tab w:pos="2380" w:val="left" w:leader="none"/>
          <w:tab w:pos="2381" w:val="left" w:leader="none"/>
        </w:tabs>
        <w:spacing w:line="240" w:lineRule="auto" w:before="122" w:after="0"/>
        <w:ind w:left="2381" w:right="0" w:hanging="794"/>
        <w:jc w:val="left"/>
        <w:rPr>
          <w:sz w:val="21"/>
        </w:rPr>
      </w:pPr>
      <w:r>
        <w:rPr>
          <w:w w:val="105"/>
          <w:sz w:val="21"/>
        </w:rPr>
        <w:t>Law </w:t>
      </w:r>
      <w:r>
        <w:rPr>
          <w:spacing w:val="-3"/>
          <w:w w:val="105"/>
          <w:sz w:val="21"/>
        </w:rPr>
        <w:t>Institute </w:t>
      </w:r>
      <w:r>
        <w:rPr>
          <w:w w:val="105"/>
          <w:sz w:val="21"/>
        </w:rPr>
        <w:t>of</w:t>
      </w:r>
      <w:r>
        <w:rPr>
          <w:spacing w:val="18"/>
          <w:w w:val="105"/>
          <w:sz w:val="21"/>
        </w:rPr>
        <w:t> </w:t>
      </w:r>
      <w:r>
        <w:rPr>
          <w:w w:val="105"/>
          <w:sz w:val="21"/>
        </w:rPr>
        <w:t>Victoria</w:t>
      </w:r>
    </w:p>
    <w:p>
      <w:pPr>
        <w:pStyle w:val="ListParagraph"/>
        <w:numPr>
          <w:ilvl w:val="0"/>
          <w:numId w:val="209"/>
        </w:numPr>
        <w:tabs>
          <w:tab w:pos="2380" w:val="left" w:leader="none"/>
          <w:tab w:pos="2381" w:val="left" w:leader="none"/>
        </w:tabs>
        <w:spacing w:line="240" w:lineRule="auto" w:before="124" w:after="0"/>
        <w:ind w:left="2380" w:right="0" w:hanging="793"/>
        <w:jc w:val="left"/>
        <w:rPr>
          <w:sz w:val="21"/>
        </w:rPr>
      </w:pPr>
      <w:r>
        <w:rPr>
          <w:w w:val="105"/>
          <w:sz w:val="21"/>
        </w:rPr>
        <w:t>Barwon </w:t>
      </w:r>
      <w:r>
        <w:rPr>
          <w:spacing w:val="-3"/>
          <w:w w:val="105"/>
          <w:sz w:val="21"/>
        </w:rPr>
        <w:t>Community </w:t>
      </w:r>
      <w:r>
        <w:rPr>
          <w:w w:val="105"/>
          <w:sz w:val="21"/>
        </w:rPr>
        <w:t>Legal</w:t>
      </w:r>
      <w:r>
        <w:rPr>
          <w:spacing w:val="19"/>
          <w:w w:val="105"/>
          <w:sz w:val="21"/>
        </w:rPr>
        <w:t> </w:t>
      </w:r>
      <w:r>
        <w:rPr>
          <w:w w:val="105"/>
          <w:sz w:val="21"/>
        </w:rPr>
        <w:t>Service</w:t>
      </w:r>
    </w:p>
    <w:p>
      <w:pPr>
        <w:pStyle w:val="ListParagraph"/>
        <w:numPr>
          <w:ilvl w:val="0"/>
          <w:numId w:val="209"/>
        </w:numPr>
        <w:tabs>
          <w:tab w:pos="2380" w:val="left" w:leader="none"/>
          <w:tab w:pos="2381" w:val="left" w:leader="none"/>
        </w:tabs>
        <w:spacing w:line="240" w:lineRule="auto" w:before="123" w:after="0"/>
        <w:ind w:left="2380" w:right="0" w:hanging="794"/>
        <w:jc w:val="left"/>
        <w:rPr>
          <w:sz w:val="21"/>
        </w:rPr>
      </w:pPr>
      <w:r>
        <w:rPr>
          <w:spacing w:val="-3"/>
          <w:w w:val="105"/>
          <w:sz w:val="21"/>
        </w:rPr>
        <w:t>Municipal </w:t>
      </w:r>
      <w:r>
        <w:rPr>
          <w:w w:val="105"/>
          <w:sz w:val="21"/>
        </w:rPr>
        <w:t>Association of</w:t>
      </w:r>
      <w:r>
        <w:rPr>
          <w:spacing w:val="18"/>
          <w:w w:val="105"/>
          <w:sz w:val="21"/>
        </w:rPr>
        <w:t> </w:t>
      </w:r>
      <w:r>
        <w:rPr>
          <w:w w:val="105"/>
          <w:sz w:val="21"/>
        </w:rPr>
        <w:t>Victoria</w:t>
      </w:r>
    </w:p>
    <w:p>
      <w:pPr>
        <w:pStyle w:val="ListParagraph"/>
        <w:numPr>
          <w:ilvl w:val="0"/>
          <w:numId w:val="209"/>
        </w:numPr>
        <w:tabs>
          <w:tab w:pos="2380" w:val="left" w:leader="none"/>
          <w:tab w:pos="2381" w:val="left" w:leader="none"/>
        </w:tabs>
        <w:spacing w:line="240" w:lineRule="auto" w:before="124" w:after="0"/>
        <w:ind w:left="2380" w:right="0" w:hanging="794"/>
        <w:jc w:val="left"/>
        <w:rPr>
          <w:sz w:val="21"/>
        </w:rPr>
      </w:pPr>
      <w:r>
        <w:rPr>
          <w:sz w:val="21"/>
        </w:rPr>
        <w:t>Annette</w:t>
      </w:r>
      <w:r>
        <w:rPr>
          <w:spacing w:val="8"/>
          <w:sz w:val="21"/>
        </w:rPr>
        <w:t> </w:t>
      </w:r>
      <w:r>
        <w:rPr>
          <w:sz w:val="21"/>
        </w:rPr>
        <w:t>Neville</w:t>
      </w:r>
    </w:p>
    <w:p>
      <w:pPr>
        <w:pStyle w:val="ListParagraph"/>
        <w:numPr>
          <w:ilvl w:val="0"/>
          <w:numId w:val="209"/>
        </w:numPr>
        <w:tabs>
          <w:tab w:pos="2380" w:val="left" w:leader="none"/>
          <w:tab w:pos="2381" w:val="left" w:leader="none"/>
        </w:tabs>
        <w:spacing w:line="240" w:lineRule="auto" w:before="124" w:after="0"/>
        <w:ind w:left="2380" w:right="0" w:hanging="794"/>
        <w:jc w:val="left"/>
        <w:rPr>
          <w:sz w:val="21"/>
        </w:rPr>
      </w:pPr>
      <w:r>
        <w:rPr>
          <w:w w:val="105"/>
          <w:sz w:val="21"/>
        </w:rPr>
        <w:t>Allan</w:t>
      </w:r>
      <w:r>
        <w:rPr>
          <w:spacing w:val="5"/>
          <w:w w:val="105"/>
          <w:sz w:val="21"/>
        </w:rPr>
        <w:t> </w:t>
      </w:r>
      <w:r>
        <w:rPr>
          <w:spacing w:val="-3"/>
          <w:w w:val="105"/>
          <w:sz w:val="21"/>
        </w:rPr>
        <w:t>Day</w:t>
      </w:r>
    </w:p>
    <w:p>
      <w:pPr>
        <w:pStyle w:val="ListParagraph"/>
        <w:numPr>
          <w:ilvl w:val="0"/>
          <w:numId w:val="209"/>
        </w:numPr>
        <w:tabs>
          <w:tab w:pos="2380" w:val="left" w:leader="none"/>
          <w:tab w:pos="2381" w:val="left" w:leader="none"/>
        </w:tabs>
        <w:spacing w:line="240" w:lineRule="auto" w:before="124" w:after="0"/>
        <w:ind w:left="2380" w:right="0" w:hanging="794"/>
        <w:jc w:val="left"/>
        <w:rPr>
          <w:sz w:val="21"/>
        </w:rPr>
      </w:pPr>
      <w:r>
        <w:rPr>
          <w:spacing w:val="-3"/>
          <w:w w:val="105"/>
          <w:sz w:val="21"/>
        </w:rPr>
        <w:t>Confidential</w:t>
      </w:r>
    </w:p>
    <w:p>
      <w:pPr>
        <w:pStyle w:val="ListParagraph"/>
        <w:numPr>
          <w:ilvl w:val="0"/>
          <w:numId w:val="209"/>
        </w:numPr>
        <w:tabs>
          <w:tab w:pos="2380" w:val="left" w:leader="none"/>
          <w:tab w:pos="2381" w:val="left" w:leader="none"/>
        </w:tabs>
        <w:spacing w:line="240" w:lineRule="auto" w:before="123" w:after="0"/>
        <w:ind w:left="2380" w:right="0" w:hanging="794"/>
        <w:jc w:val="left"/>
        <w:rPr>
          <w:sz w:val="21"/>
        </w:rPr>
      </w:pPr>
      <w:r>
        <w:rPr>
          <w:w w:val="105"/>
          <w:sz w:val="21"/>
        </w:rPr>
        <w:t>Monique</w:t>
      </w:r>
      <w:r>
        <w:rPr>
          <w:spacing w:val="5"/>
          <w:w w:val="105"/>
          <w:sz w:val="21"/>
        </w:rPr>
        <w:t> </w:t>
      </w:r>
      <w:r>
        <w:rPr>
          <w:spacing w:val="-3"/>
          <w:w w:val="105"/>
          <w:sz w:val="21"/>
        </w:rPr>
        <w:t>Onezime</w:t>
      </w:r>
    </w:p>
    <w:p>
      <w:pPr>
        <w:pStyle w:val="ListParagraph"/>
        <w:numPr>
          <w:ilvl w:val="0"/>
          <w:numId w:val="209"/>
        </w:numPr>
        <w:tabs>
          <w:tab w:pos="2380" w:val="left" w:leader="none"/>
          <w:tab w:pos="2381" w:val="left" w:leader="none"/>
        </w:tabs>
        <w:spacing w:line="240" w:lineRule="auto" w:before="124" w:after="0"/>
        <w:ind w:left="2380" w:right="0" w:hanging="794"/>
        <w:jc w:val="left"/>
        <w:rPr>
          <w:sz w:val="21"/>
        </w:rPr>
      </w:pPr>
      <w:r>
        <w:rPr>
          <w:sz w:val="21"/>
        </w:rPr>
        <w:t>Ian</w:t>
      </w:r>
      <w:r>
        <w:rPr>
          <w:spacing w:val="8"/>
          <w:sz w:val="21"/>
        </w:rPr>
        <w:t> </w:t>
      </w:r>
      <w:r>
        <w:rPr>
          <w:spacing w:val="-3"/>
          <w:sz w:val="21"/>
        </w:rPr>
        <w:t>Hundley</w:t>
      </w:r>
    </w:p>
    <w:p>
      <w:pPr>
        <w:pStyle w:val="ListParagraph"/>
        <w:numPr>
          <w:ilvl w:val="0"/>
          <w:numId w:val="209"/>
        </w:numPr>
        <w:tabs>
          <w:tab w:pos="2380" w:val="left" w:leader="none"/>
          <w:tab w:pos="2381" w:val="left" w:leader="none"/>
        </w:tabs>
        <w:spacing w:line="240" w:lineRule="auto" w:before="144" w:after="0"/>
        <w:ind w:left="2380" w:right="0" w:hanging="794"/>
        <w:jc w:val="left"/>
        <w:rPr>
          <w:sz w:val="21"/>
        </w:rPr>
      </w:pPr>
      <w:r>
        <w:rPr>
          <w:sz w:val="21"/>
        </w:rPr>
        <w:t>L. Barry</w:t>
      </w:r>
      <w:r>
        <w:rPr>
          <w:spacing w:val="16"/>
          <w:sz w:val="21"/>
        </w:rPr>
        <w:t> </w:t>
      </w:r>
      <w:r>
        <w:rPr>
          <w:spacing w:val="-3"/>
          <w:sz w:val="21"/>
        </w:rPr>
        <w:t>Wollmer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42"/>
        <w:ind w:left="0" w:right="590" w:firstLine="0"/>
        <w:jc w:val="right"/>
        <w:rPr>
          <w:b/>
          <w:sz w:val="24"/>
        </w:rPr>
      </w:pPr>
      <w:r>
        <w:rPr>
          <w:b/>
          <w:color w:val="658464"/>
          <w:w w:val="105"/>
          <w:sz w:val="24"/>
        </w:rPr>
        <w:t>305</w:t>
      </w:r>
    </w:p>
    <w:p>
      <w:pPr>
        <w:spacing w:after="0"/>
        <w:jc w:val="right"/>
        <w:rPr>
          <w:sz w:val="24"/>
        </w:rPr>
        <w:sectPr>
          <w:headerReference w:type="default" r:id="rId372"/>
          <w:pgSz w:w="11910" w:h="16840"/>
          <w:pgMar w:header="0" w:footer="0" w:top="720" w:bottom="280" w:left="0" w:right="0"/>
        </w:sectPr>
      </w:pPr>
    </w:p>
    <w:p>
      <w:pPr>
        <w:pStyle w:val="BodyText"/>
        <w:spacing w:before="10"/>
        <w:rPr>
          <w:b/>
          <w:sz w:val="18"/>
        </w:rPr>
      </w:pPr>
    </w:p>
    <w:p>
      <w:pPr>
        <w:spacing w:before="93"/>
        <w:ind w:left="566" w:right="0" w:firstLine="0"/>
        <w:jc w:val="left"/>
        <w:rPr>
          <w:b/>
          <w:sz w:val="44"/>
        </w:rPr>
      </w:pPr>
      <w:bookmarkStart w:name="Appendix B: Consultations" w:id="363"/>
      <w:bookmarkEnd w:id="363"/>
      <w:r>
        <w:rPr/>
      </w:r>
      <w:bookmarkStart w:name="_bookmark169" w:id="364"/>
      <w:bookmarkEnd w:id="364"/>
      <w:r>
        <w:rPr/>
      </w:r>
      <w:r>
        <w:rPr>
          <w:b/>
          <w:color w:val="658464"/>
          <w:w w:val="110"/>
          <w:sz w:val="44"/>
        </w:rPr>
        <w:t>Appendix B: Consultations</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49"/>
        </w:rPr>
      </w:pPr>
    </w:p>
    <w:p>
      <w:pPr>
        <w:pStyle w:val="ListParagraph"/>
        <w:numPr>
          <w:ilvl w:val="0"/>
          <w:numId w:val="210"/>
        </w:numPr>
        <w:tabs>
          <w:tab w:pos="2381" w:val="left" w:leader="none"/>
          <w:tab w:pos="2382" w:val="left" w:leader="none"/>
        </w:tabs>
        <w:spacing w:line="240" w:lineRule="auto" w:before="1" w:after="0"/>
        <w:ind w:left="2381" w:right="0" w:hanging="794"/>
        <w:jc w:val="left"/>
        <w:rPr>
          <w:sz w:val="21"/>
        </w:rPr>
      </w:pPr>
      <w:r>
        <w:rPr>
          <w:w w:val="105"/>
          <w:sz w:val="21"/>
        </w:rPr>
        <w:t>Aldo</w:t>
      </w:r>
      <w:r>
        <w:rPr>
          <w:spacing w:val="5"/>
          <w:w w:val="105"/>
          <w:sz w:val="21"/>
        </w:rPr>
        <w:t> </w:t>
      </w:r>
      <w:r>
        <w:rPr>
          <w:spacing w:val="-6"/>
          <w:w w:val="105"/>
          <w:sz w:val="21"/>
        </w:rPr>
        <w:t>Taranto</w:t>
      </w:r>
    </w:p>
    <w:p>
      <w:pPr>
        <w:pStyle w:val="ListParagraph"/>
        <w:numPr>
          <w:ilvl w:val="0"/>
          <w:numId w:val="210"/>
        </w:numPr>
        <w:tabs>
          <w:tab w:pos="2381" w:val="left" w:leader="none"/>
          <w:tab w:pos="2382" w:val="left" w:leader="none"/>
        </w:tabs>
        <w:spacing w:line="240" w:lineRule="auto" w:before="123" w:after="0"/>
        <w:ind w:left="2381" w:right="0" w:hanging="794"/>
        <w:jc w:val="left"/>
        <w:rPr>
          <w:sz w:val="21"/>
        </w:rPr>
      </w:pPr>
      <w:r>
        <w:rPr>
          <w:w w:val="105"/>
          <w:sz w:val="21"/>
        </w:rPr>
        <w:t>Dr Gregory Moore OAM, Senior </w:t>
      </w:r>
      <w:r>
        <w:rPr>
          <w:spacing w:val="-3"/>
          <w:w w:val="105"/>
          <w:sz w:val="21"/>
        </w:rPr>
        <w:t>Research </w:t>
      </w:r>
      <w:r>
        <w:rPr>
          <w:w w:val="105"/>
          <w:sz w:val="21"/>
        </w:rPr>
        <w:t>Associate, The University of</w:t>
      </w:r>
      <w:r>
        <w:rPr>
          <w:spacing w:val="26"/>
          <w:w w:val="105"/>
          <w:sz w:val="21"/>
        </w:rPr>
        <w:t> </w:t>
      </w:r>
      <w:r>
        <w:rPr>
          <w:w w:val="105"/>
          <w:sz w:val="21"/>
        </w:rPr>
        <w:t>Melbourne</w:t>
      </w:r>
    </w:p>
    <w:p>
      <w:pPr>
        <w:pStyle w:val="ListParagraph"/>
        <w:numPr>
          <w:ilvl w:val="0"/>
          <w:numId w:val="210"/>
        </w:numPr>
        <w:tabs>
          <w:tab w:pos="2381" w:val="left" w:leader="none"/>
          <w:tab w:pos="2382" w:val="left" w:leader="none"/>
        </w:tabs>
        <w:spacing w:line="240" w:lineRule="auto" w:before="124" w:after="0"/>
        <w:ind w:left="2381" w:right="0" w:hanging="794"/>
        <w:jc w:val="left"/>
        <w:rPr>
          <w:sz w:val="21"/>
        </w:rPr>
      </w:pPr>
      <w:r>
        <w:rPr>
          <w:w w:val="105"/>
          <w:sz w:val="21"/>
        </w:rPr>
        <w:t>Warwick </w:t>
      </w:r>
      <w:r>
        <w:rPr>
          <w:spacing w:val="-3"/>
          <w:w w:val="105"/>
          <w:sz w:val="21"/>
        </w:rPr>
        <w:t>Williams, </w:t>
      </w:r>
      <w:r>
        <w:rPr>
          <w:spacing w:val="-4"/>
          <w:w w:val="105"/>
          <w:sz w:val="21"/>
        </w:rPr>
        <w:t>Corporate Counsel, </w:t>
      </w:r>
      <w:r>
        <w:rPr>
          <w:w w:val="105"/>
          <w:sz w:val="21"/>
        </w:rPr>
        <w:t>HVP</w:t>
      </w:r>
      <w:r>
        <w:rPr>
          <w:spacing w:val="38"/>
          <w:w w:val="105"/>
          <w:sz w:val="21"/>
        </w:rPr>
        <w:t> </w:t>
      </w:r>
      <w:r>
        <w:rPr>
          <w:spacing w:val="-3"/>
          <w:w w:val="105"/>
          <w:sz w:val="21"/>
        </w:rPr>
        <w:t>Plantations</w:t>
      </w:r>
    </w:p>
    <w:p>
      <w:pPr>
        <w:pStyle w:val="ListParagraph"/>
        <w:numPr>
          <w:ilvl w:val="0"/>
          <w:numId w:val="210"/>
        </w:numPr>
        <w:tabs>
          <w:tab w:pos="2381" w:val="left" w:leader="none"/>
          <w:tab w:pos="2382" w:val="left" w:leader="none"/>
        </w:tabs>
        <w:spacing w:line="240" w:lineRule="auto" w:before="124" w:after="0"/>
        <w:ind w:left="2381" w:right="0" w:hanging="794"/>
        <w:jc w:val="left"/>
        <w:rPr>
          <w:sz w:val="21"/>
        </w:rPr>
      </w:pPr>
      <w:r>
        <w:rPr>
          <w:sz w:val="21"/>
        </w:rPr>
        <w:t>Participants in </w:t>
      </w:r>
      <w:r>
        <w:rPr>
          <w:spacing w:val="-3"/>
          <w:sz w:val="21"/>
        </w:rPr>
        <w:t>facilitated </w:t>
      </w:r>
      <w:r>
        <w:rPr>
          <w:sz w:val="21"/>
        </w:rPr>
        <w:t>discussion at </w:t>
      </w:r>
      <w:r>
        <w:rPr>
          <w:spacing w:val="3"/>
          <w:sz w:val="21"/>
        </w:rPr>
        <w:t>VTIO </w:t>
      </w:r>
      <w:r>
        <w:rPr>
          <w:sz w:val="21"/>
        </w:rPr>
        <w:t>ArborCamp </w:t>
      </w:r>
      <w:r>
        <w:rPr>
          <w:spacing w:val="-7"/>
          <w:sz w:val="21"/>
        </w:rPr>
        <w:t>2018 </w:t>
      </w:r>
      <w:r>
        <w:rPr>
          <w:spacing w:val="-3"/>
          <w:sz w:val="21"/>
        </w:rPr>
        <w:t>(approximately </w:t>
      </w:r>
      <w:r>
        <w:rPr>
          <w:sz w:val="21"/>
        </w:rPr>
        <w:t>40</w:t>
      </w:r>
      <w:r>
        <w:rPr>
          <w:spacing w:val="7"/>
          <w:sz w:val="21"/>
        </w:rPr>
        <w:t> </w:t>
      </w:r>
      <w:r>
        <w:rPr>
          <w:sz w:val="21"/>
        </w:rPr>
        <w:t>arborists)</w:t>
      </w:r>
    </w:p>
    <w:p>
      <w:pPr>
        <w:pStyle w:val="ListParagraph"/>
        <w:numPr>
          <w:ilvl w:val="0"/>
          <w:numId w:val="210"/>
        </w:numPr>
        <w:tabs>
          <w:tab w:pos="2381" w:val="left" w:leader="none"/>
          <w:tab w:pos="2382" w:val="left" w:leader="none"/>
        </w:tabs>
        <w:spacing w:line="240" w:lineRule="auto" w:before="124" w:after="0"/>
        <w:ind w:left="2381" w:right="0" w:hanging="794"/>
        <w:jc w:val="left"/>
        <w:rPr>
          <w:sz w:val="21"/>
        </w:rPr>
      </w:pPr>
      <w:r>
        <w:rPr>
          <w:w w:val="105"/>
          <w:sz w:val="21"/>
        </w:rPr>
        <w:t>Victorian </w:t>
      </w:r>
      <w:r>
        <w:rPr>
          <w:spacing w:val="-3"/>
          <w:w w:val="105"/>
          <w:sz w:val="21"/>
        </w:rPr>
        <w:t>Civil </w:t>
      </w:r>
      <w:r>
        <w:rPr>
          <w:w w:val="105"/>
          <w:sz w:val="21"/>
        </w:rPr>
        <w:t>and </w:t>
      </w:r>
      <w:r>
        <w:rPr>
          <w:spacing w:val="-3"/>
          <w:w w:val="105"/>
          <w:sz w:val="21"/>
        </w:rPr>
        <w:t>Administrative</w:t>
      </w:r>
      <w:r>
        <w:rPr>
          <w:spacing w:val="23"/>
          <w:w w:val="105"/>
          <w:sz w:val="21"/>
        </w:rPr>
        <w:t> </w:t>
      </w:r>
      <w:r>
        <w:rPr>
          <w:spacing w:val="-5"/>
          <w:w w:val="105"/>
          <w:sz w:val="21"/>
        </w:rPr>
        <w:t>Tribunal</w:t>
      </w:r>
    </w:p>
    <w:p>
      <w:pPr>
        <w:pStyle w:val="ListParagraph"/>
        <w:numPr>
          <w:ilvl w:val="0"/>
          <w:numId w:val="210"/>
        </w:numPr>
        <w:tabs>
          <w:tab w:pos="2381" w:val="left" w:leader="none"/>
          <w:tab w:pos="2382" w:val="left" w:leader="none"/>
        </w:tabs>
        <w:spacing w:line="240" w:lineRule="auto" w:before="123" w:after="0"/>
        <w:ind w:left="2381" w:right="0" w:hanging="794"/>
        <w:jc w:val="left"/>
        <w:rPr>
          <w:sz w:val="21"/>
        </w:rPr>
      </w:pPr>
      <w:r>
        <w:rPr>
          <w:w w:val="105"/>
          <w:sz w:val="21"/>
        </w:rPr>
        <w:t>Ben </w:t>
      </w:r>
      <w:r>
        <w:rPr>
          <w:spacing w:val="-4"/>
          <w:w w:val="105"/>
          <w:sz w:val="21"/>
        </w:rPr>
        <w:t>Kenyon, </w:t>
      </w:r>
      <w:r>
        <w:rPr>
          <w:spacing w:val="-3"/>
          <w:w w:val="105"/>
          <w:sz w:val="21"/>
        </w:rPr>
        <w:t>Principal </w:t>
      </w:r>
      <w:r>
        <w:rPr>
          <w:spacing w:val="-4"/>
          <w:w w:val="105"/>
          <w:sz w:val="21"/>
        </w:rPr>
        <w:t>Consulting </w:t>
      </w:r>
      <w:r>
        <w:rPr>
          <w:w w:val="105"/>
          <w:sz w:val="21"/>
        </w:rPr>
        <w:t>Arborist, Homewood </w:t>
      </w:r>
      <w:r>
        <w:rPr>
          <w:spacing w:val="-4"/>
          <w:w w:val="105"/>
          <w:sz w:val="21"/>
        </w:rPr>
        <w:t>Consulting</w:t>
      </w:r>
      <w:r>
        <w:rPr>
          <w:spacing w:val="3"/>
          <w:w w:val="105"/>
          <w:sz w:val="21"/>
        </w:rPr>
        <w:t> </w:t>
      </w:r>
      <w:r>
        <w:rPr>
          <w:w w:val="105"/>
          <w:sz w:val="21"/>
        </w:rPr>
        <w:t>Arborists</w:t>
      </w:r>
    </w:p>
    <w:p>
      <w:pPr>
        <w:pStyle w:val="ListParagraph"/>
        <w:numPr>
          <w:ilvl w:val="0"/>
          <w:numId w:val="210"/>
        </w:numPr>
        <w:tabs>
          <w:tab w:pos="2381" w:val="left" w:leader="none"/>
          <w:tab w:pos="2382" w:val="left" w:leader="none"/>
        </w:tabs>
        <w:spacing w:line="240" w:lineRule="auto" w:before="124" w:after="0"/>
        <w:ind w:left="2381" w:right="0" w:hanging="794"/>
        <w:jc w:val="left"/>
        <w:rPr>
          <w:sz w:val="21"/>
        </w:rPr>
      </w:pPr>
      <w:r>
        <w:rPr>
          <w:spacing w:val="-3"/>
          <w:w w:val="105"/>
          <w:sz w:val="21"/>
        </w:rPr>
        <w:t>Dispute </w:t>
      </w:r>
      <w:r>
        <w:rPr>
          <w:w w:val="105"/>
          <w:sz w:val="21"/>
        </w:rPr>
        <w:t>Settlement </w:t>
      </w:r>
      <w:r>
        <w:rPr>
          <w:spacing w:val="-4"/>
          <w:w w:val="105"/>
          <w:sz w:val="21"/>
        </w:rPr>
        <w:t>Centre </w:t>
      </w:r>
      <w:r>
        <w:rPr>
          <w:w w:val="105"/>
          <w:sz w:val="21"/>
        </w:rPr>
        <w:t>of</w:t>
      </w:r>
      <w:r>
        <w:rPr>
          <w:spacing w:val="27"/>
          <w:w w:val="105"/>
          <w:sz w:val="21"/>
        </w:rPr>
        <w:t> </w:t>
      </w:r>
      <w:r>
        <w:rPr>
          <w:w w:val="105"/>
          <w:sz w:val="21"/>
        </w:rPr>
        <w:t>Victoria</w:t>
      </w:r>
    </w:p>
    <w:p>
      <w:pPr>
        <w:pStyle w:val="ListParagraph"/>
        <w:numPr>
          <w:ilvl w:val="0"/>
          <w:numId w:val="210"/>
        </w:numPr>
        <w:tabs>
          <w:tab w:pos="2381" w:val="left" w:leader="none"/>
          <w:tab w:pos="2382" w:val="left" w:leader="none"/>
        </w:tabs>
        <w:spacing w:line="240" w:lineRule="auto" w:before="124" w:after="0"/>
        <w:ind w:left="2381" w:right="0" w:hanging="794"/>
        <w:jc w:val="left"/>
        <w:rPr>
          <w:sz w:val="21"/>
        </w:rPr>
      </w:pPr>
      <w:r>
        <w:rPr>
          <w:spacing w:val="-3"/>
          <w:w w:val="105"/>
          <w:sz w:val="21"/>
        </w:rPr>
        <w:t>City </w:t>
      </w:r>
      <w:r>
        <w:rPr>
          <w:w w:val="105"/>
          <w:sz w:val="21"/>
        </w:rPr>
        <w:t>of</w:t>
      </w:r>
      <w:r>
        <w:rPr>
          <w:spacing w:val="14"/>
          <w:w w:val="105"/>
          <w:sz w:val="21"/>
        </w:rPr>
        <w:t> </w:t>
      </w:r>
      <w:r>
        <w:rPr>
          <w:spacing w:val="-3"/>
          <w:w w:val="105"/>
          <w:sz w:val="21"/>
        </w:rPr>
        <w:t>Boroondara</w:t>
      </w:r>
    </w:p>
    <w:p>
      <w:pPr>
        <w:pStyle w:val="ListParagraph"/>
        <w:numPr>
          <w:ilvl w:val="0"/>
          <w:numId w:val="210"/>
        </w:numPr>
        <w:tabs>
          <w:tab w:pos="2381" w:val="left" w:leader="none"/>
          <w:tab w:pos="2382" w:val="left" w:leader="none"/>
        </w:tabs>
        <w:spacing w:line="240" w:lineRule="auto" w:before="124" w:after="0"/>
        <w:ind w:left="2381" w:right="0" w:hanging="794"/>
        <w:jc w:val="left"/>
        <w:rPr>
          <w:sz w:val="21"/>
        </w:rPr>
      </w:pPr>
      <w:r>
        <w:rPr>
          <w:spacing w:val="-3"/>
          <w:w w:val="105"/>
          <w:sz w:val="21"/>
        </w:rPr>
        <w:t>Nillumbik Shire</w:t>
      </w:r>
      <w:r>
        <w:rPr>
          <w:spacing w:val="11"/>
          <w:w w:val="105"/>
          <w:sz w:val="21"/>
        </w:rPr>
        <w:t> </w:t>
      </w:r>
      <w:r>
        <w:rPr>
          <w:spacing w:val="-4"/>
          <w:w w:val="105"/>
          <w:sz w:val="21"/>
        </w:rPr>
        <w:t>Council</w:t>
      </w:r>
    </w:p>
    <w:p>
      <w:pPr>
        <w:pStyle w:val="ListParagraph"/>
        <w:numPr>
          <w:ilvl w:val="0"/>
          <w:numId w:val="210"/>
        </w:numPr>
        <w:tabs>
          <w:tab w:pos="2380" w:val="left" w:leader="none"/>
          <w:tab w:pos="2381" w:val="left" w:leader="none"/>
        </w:tabs>
        <w:spacing w:line="240" w:lineRule="auto" w:before="123" w:after="0"/>
        <w:ind w:left="2381" w:right="0" w:hanging="794"/>
        <w:jc w:val="left"/>
        <w:rPr>
          <w:sz w:val="21"/>
        </w:rPr>
      </w:pPr>
      <w:r>
        <w:rPr>
          <w:w w:val="105"/>
          <w:sz w:val="21"/>
        </w:rPr>
        <w:t>Baw Baw </w:t>
      </w:r>
      <w:r>
        <w:rPr>
          <w:spacing w:val="-3"/>
          <w:w w:val="105"/>
          <w:sz w:val="21"/>
        </w:rPr>
        <w:t>Shire</w:t>
      </w:r>
      <w:r>
        <w:rPr>
          <w:spacing w:val="21"/>
          <w:w w:val="105"/>
          <w:sz w:val="21"/>
        </w:rPr>
        <w:t> </w:t>
      </w:r>
      <w:r>
        <w:rPr>
          <w:spacing w:val="-4"/>
          <w:w w:val="105"/>
          <w:sz w:val="21"/>
        </w:rPr>
        <w:t>Council</w:t>
      </w:r>
    </w:p>
    <w:p>
      <w:pPr>
        <w:pStyle w:val="ListParagraph"/>
        <w:numPr>
          <w:ilvl w:val="0"/>
          <w:numId w:val="210"/>
        </w:numPr>
        <w:tabs>
          <w:tab w:pos="2380" w:val="left" w:leader="none"/>
          <w:tab w:pos="2381" w:val="left" w:leader="none"/>
        </w:tabs>
        <w:spacing w:line="240" w:lineRule="auto" w:before="124" w:after="0"/>
        <w:ind w:left="2381" w:right="0" w:hanging="794"/>
        <w:jc w:val="left"/>
        <w:rPr>
          <w:sz w:val="21"/>
        </w:rPr>
      </w:pPr>
      <w:r>
        <w:rPr>
          <w:w w:val="105"/>
          <w:sz w:val="21"/>
        </w:rPr>
        <w:t>Land and </w:t>
      </w:r>
      <w:r>
        <w:rPr>
          <w:spacing w:val="-3"/>
          <w:w w:val="105"/>
          <w:sz w:val="21"/>
        </w:rPr>
        <w:t>Environment Court </w:t>
      </w:r>
      <w:r>
        <w:rPr>
          <w:w w:val="105"/>
          <w:sz w:val="21"/>
        </w:rPr>
        <w:t>of New South</w:t>
      </w:r>
      <w:r>
        <w:rPr>
          <w:spacing w:val="43"/>
          <w:w w:val="105"/>
          <w:sz w:val="21"/>
        </w:rPr>
        <w:t> </w:t>
      </w:r>
      <w:r>
        <w:rPr>
          <w:spacing w:val="-3"/>
          <w:w w:val="105"/>
          <w:sz w:val="21"/>
        </w:rPr>
        <w:t>Wales</w:t>
      </w:r>
    </w:p>
    <w:p>
      <w:pPr>
        <w:pStyle w:val="ListParagraph"/>
        <w:numPr>
          <w:ilvl w:val="0"/>
          <w:numId w:val="210"/>
        </w:numPr>
        <w:tabs>
          <w:tab w:pos="2380" w:val="left" w:leader="none"/>
          <w:tab w:pos="2381" w:val="left" w:leader="none"/>
        </w:tabs>
        <w:spacing w:line="240" w:lineRule="auto" w:before="124" w:after="0"/>
        <w:ind w:left="2380" w:right="0" w:hanging="793"/>
        <w:jc w:val="left"/>
        <w:rPr>
          <w:sz w:val="21"/>
        </w:rPr>
      </w:pPr>
      <w:r>
        <w:rPr>
          <w:spacing w:val="-3"/>
          <w:sz w:val="21"/>
        </w:rPr>
        <w:t>City </w:t>
      </w:r>
      <w:r>
        <w:rPr>
          <w:sz w:val="21"/>
        </w:rPr>
        <w:t>of Port</w:t>
      </w:r>
      <w:r>
        <w:rPr>
          <w:spacing w:val="27"/>
          <w:sz w:val="21"/>
        </w:rPr>
        <w:t> </w:t>
      </w:r>
      <w:r>
        <w:rPr>
          <w:spacing w:val="-3"/>
          <w:sz w:val="21"/>
        </w:rPr>
        <w:t>Phillip</w:t>
      </w:r>
    </w:p>
    <w:p>
      <w:pPr>
        <w:pStyle w:val="ListParagraph"/>
        <w:numPr>
          <w:ilvl w:val="0"/>
          <w:numId w:val="210"/>
        </w:numPr>
        <w:tabs>
          <w:tab w:pos="2380" w:val="left" w:leader="none"/>
          <w:tab w:pos="2381" w:val="left" w:leader="none"/>
        </w:tabs>
        <w:spacing w:line="240" w:lineRule="auto" w:before="124" w:after="0"/>
        <w:ind w:left="2380" w:right="0" w:hanging="794"/>
        <w:jc w:val="left"/>
        <w:rPr>
          <w:sz w:val="21"/>
        </w:rPr>
      </w:pPr>
      <w:r>
        <w:rPr>
          <w:spacing w:val="-3"/>
          <w:w w:val="105"/>
          <w:sz w:val="21"/>
        </w:rPr>
        <w:t>Aboriginal</w:t>
      </w:r>
      <w:r>
        <w:rPr>
          <w:spacing w:val="5"/>
          <w:w w:val="105"/>
          <w:sz w:val="21"/>
        </w:rPr>
        <w:t> </w:t>
      </w:r>
      <w:r>
        <w:rPr>
          <w:w w:val="105"/>
          <w:sz w:val="21"/>
        </w:rPr>
        <w:t>Victoria</w:t>
      </w:r>
    </w:p>
    <w:p>
      <w:pPr>
        <w:pStyle w:val="ListParagraph"/>
        <w:numPr>
          <w:ilvl w:val="0"/>
          <w:numId w:val="210"/>
        </w:numPr>
        <w:tabs>
          <w:tab w:pos="2380" w:val="left" w:leader="none"/>
          <w:tab w:pos="2381" w:val="left" w:leader="none"/>
        </w:tabs>
        <w:spacing w:line="240" w:lineRule="auto" w:before="123" w:after="0"/>
        <w:ind w:left="2380" w:right="0" w:hanging="794"/>
        <w:jc w:val="left"/>
        <w:rPr>
          <w:sz w:val="21"/>
        </w:rPr>
      </w:pPr>
      <w:r>
        <w:rPr>
          <w:w w:val="105"/>
          <w:sz w:val="21"/>
        </w:rPr>
        <w:t>Robert </w:t>
      </w:r>
      <w:r>
        <w:rPr>
          <w:spacing w:val="-3"/>
          <w:w w:val="105"/>
          <w:sz w:val="21"/>
        </w:rPr>
        <w:t>Mineo, </w:t>
      </w:r>
      <w:r>
        <w:rPr>
          <w:spacing w:val="-4"/>
          <w:w w:val="105"/>
          <w:sz w:val="21"/>
        </w:rPr>
        <w:t>Coordinator </w:t>
      </w:r>
      <w:r>
        <w:rPr>
          <w:spacing w:val="-3"/>
          <w:w w:val="105"/>
          <w:sz w:val="21"/>
        </w:rPr>
        <w:t>Arboriculture </w:t>
      </w:r>
      <w:r>
        <w:rPr>
          <w:w w:val="105"/>
          <w:sz w:val="21"/>
        </w:rPr>
        <w:t>Services at Monash </w:t>
      </w:r>
      <w:r>
        <w:rPr>
          <w:spacing w:val="-3"/>
          <w:w w:val="105"/>
          <w:sz w:val="21"/>
        </w:rPr>
        <w:t>City</w:t>
      </w:r>
      <w:r>
        <w:rPr>
          <w:spacing w:val="2"/>
          <w:w w:val="105"/>
          <w:sz w:val="21"/>
        </w:rPr>
        <w:t> </w:t>
      </w:r>
      <w:r>
        <w:rPr>
          <w:spacing w:val="-4"/>
          <w:w w:val="105"/>
          <w:sz w:val="21"/>
        </w:rPr>
        <w:t>Council</w:t>
      </w:r>
    </w:p>
    <w:p>
      <w:pPr>
        <w:pStyle w:val="ListParagraph"/>
        <w:numPr>
          <w:ilvl w:val="0"/>
          <w:numId w:val="210"/>
        </w:numPr>
        <w:tabs>
          <w:tab w:pos="2380" w:val="left" w:leader="none"/>
          <w:tab w:pos="2381" w:val="left" w:leader="none"/>
        </w:tabs>
        <w:spacing w:line="240" w:lineRule="auto" w:before="124" w:after="0"/>
        <w:ind w:left="2380" w:right="0" w:hanging="794"/>
        <w:jc w:val="left"/>
        <w:rPr>
          <w:sz w:val="21"/>
        </w:rPr>
      </w:pPr>
      <w:r>
        <w:rPr>
          <w:spacing w:val="-3"/>
          <w:w w:val="105"/>
          <w:sz w:val="21"/>
        </w:rPr>
        <w:t>Queensland Civil </w:t>
      </w:r>
      <w:r>
        <w:rPr>
          <w:w w:val="105"/>
          <w:sz w:val="21"/>
        </w:rPr>
        <w:t>and </w:t>
      </w:r>
      <w:r>
        <w:rPr>
          <w:spacing w:val="-3"/>
          <w:w w:val="105"/>
          <w:sz w:val="21"/>
        </w:rPr>
        <w:t>Administrative</w:t>
      </w:r>
      <w:r>
        <w:rPr>
          <w:spacing w:val="27"/>
          <w:w w:val="105"/>
          <w:sz w:val="21"/>
        </w:rPr>
        <w:t> </w:t>
      </w:r>
      <w:r>
        <w:rPr>
          <w:spacing w:val="-5"/>
          <w:w w:val="105"/>
          <w:sz w:val="21"/>
        </w:rPr>
        <w:t>Tribunal</w:t>
      </w:r>
    </w:p>
    <w:p>
      <w:pPr>
        <w:pStyle w:val="ListParagraph"/>
        <w:numPr>
          <w:ilvl w:val="0"/>
          <w:numId w:val="210"/>
        </w:numPr>
        <w:tabs>
          <w:tab w:pos="2380" w:val="left" w:leader="none"/>
          <w:tab w:pos="2381" w:val="left" w:leader="none"/>
        </w:tabs>
        <w:spacing w:line="240" w:lineRule="auto" w:before="124" w:after="0"/>
        <w:ind w:left="2380" w:right="0" w:hanging="794"/>
        <w:jc w:val="left"/>
        <w:rPr>
          <w:sz w:val="21"/>
        </w:rPr>
      </w:pPr>
      <w:r>
        <w:rPr>
          <w:sz w:val="21"/>
        </w:rPr>
        <w:t>Heritage</w:t>
      </w:r>
      <w:r>
        <w:rPr>
          <w:spacing w:val="8"/>
          <w:sz w:val="21"/>
        </w:rPr>
        <w:t> </w:t>
      </w:r>
      <w:r>
        <w:rPr>
          <w:sz w:val="21"/>
        </w:rPr>
        <w:t>Victoria</w:t>
      </w:r>
    </w:p>
    <w:p>
      <w:pPr>
        <w:pStyle w:val="BodyText"/>
        <w:spacing w:before="9"/>
      </w:pPr>
    </w:p>
    <w:p>
      <w:pPr>
        <w:pStyle w:val="Heading4"/>
      </w:pPr>
      <w:r>
        <w:rPr>
          <w:color w:val="658464"/>
          <w:w w:val="115"/>
        </w:rPr>
        <w:t>Supplementary consultation</w:t>
      </w:r>
    </w:p>
    <w:p>
      <w:pPr>
        <w:pStyle w:val="BodyText"/>
        <w:tabs>
          <w:tab w:pos="2381" w:val="left" w:leader="none"/>
        </w:tabs>
        <w:spacing w:before="155"/>
        <w:ind w:left="1587"/>
      </w:pPr>
      <w:r>
        <w:rPr>
          <w:w w:val="105"/>
        </w:rPr>
        <w:t>1</w:t>
        <w:tab/>
        <w:t>Victorian </w:t>
      </w:r>
      <w:r>
        <w:rPr>
          <w:spacing w:val="-3"/>
          <w:w w:val="105"/>
        </w:rPr>
        <w:t>Civil </w:t>
      </w:r>
      <w:r>
        <w:rPr>
          <w:w w:val="105"/>
        </w:rPr>
        <w:t>and </w:t>
      </w:r>
      <w:r>
        <w:rPr>
          <w:spacing w:val="-3"/>
          <w:w w:val="105"/>
        </w:rPr>
        <w:t>Administrative</w:t>
      </w:r>
      <w:r>
        <w:rPr>
          <w:spacing w:val="23"/>
          <w:w w:val="105"/>
        </w:rPr>
        <w:t> </w:t>
      </w:r>
      <w:r>
        <w:rPr>
          <w:spacing w:val="-5"/>
          <w:w w:val="105"/>
        </w:rPr>
        <w:t>Tribunal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before="96"/>
        <w:ind w:left="720" w:right="0" w:firstLine="0"/>
        <w:jc w:val="left"/>
        <w:rPr>
          <w:b/>
          <w:sz w:val="24"/>
        </w:rPr>
      </w:pPr>
      <w:r>
        <w:rPr>
          <w:b/>
          <w:color w:val="658464"/>
          <w:w w:val="110"/>
          <w:sz w:val="24"/>
        </w:rPr>
        <w:t>306</w:t>
      </w:r>
    </w:p>
    <w:p>
      <w:pPr>
        <w:spacing w:after="0"/>
        <w:jc w:val="left"/>
        <w:rPr>
          <w:sz w:val="24"/>
        </w:rPr>
        <w:sectPr>
          <w:headerReference w:type="even" r:id="rId373"/>
          <w:headerReference w:type="default" r:id="rId374"/>
          <w:pgSz w:w="11910" w:h="16840"/>
          <w:pgMar w:header="546" w:footer="0" w:top="1560" w:bottom="280" w:left="0" w:right="0"/>
        </w:sectPr>
      </w:pPr>
    </w:p>
    <w:p>
      <w:pPr>
        <w:pStyle w:val="BodyText"/>
        <w:rPr>
          <w:b/>
          <w:sz w:val="20"/>
        </w:rPr>
      </w:pPr>
    </w:p>
    <w:p>
      <w:pPr>
        <w:pStyle w:val="BodyText"/>
        <w:spacing w:before="10"/>
        <w:rPr>
          <w:b/>
          <w:sz w:val="14"/>
        </w:rPr>
      </w:pPr>
    </w:p>
    <w:p>
      <w:pPr>
        <w:spacing w:before="93"/>
        <w:ind w:left="850" w:right="0" w:firstLine="0"/>
        <w:jc w:val="left"/>
        <w:rPr>
          <w:b/>
          <w:sz w:val="44"/>
        </w:rPr>
      </w:pPr>
      <w:bookmarkStart w:name="Appendix C: Online survey questions" w:id="365"/>
      <w:bookmarkEnd w:id="365"/>
      <w:r>
        <w:rPr/>
      </w:r>
      <w:bookmarkStart w:name="_bookmark170" w:id="366"/>
      <w:bookmarkEnd w:id="366"/>
      <w:r>
        <w:rPr/>
      </w:r>
      <w:r>
        <w:rPr>
          <w:b/>
          <w:color w:val="658464"/>
          <w:w w:val="115"/>
          <w:sz w:val="44"/>
        </w:rPr>
        <w:t>Appendix C: Online survey questions</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49"/>
        </w:rPr>
      </w:pPr>
    </w:p>
    <w:p>
      <w:pPr>
        <w:pStyle w:val="Heading9"/>
        <w:numPr>
          <w:ilvl w:val="0"/>
          <w:numId w:val="211"/>
        </w:numPr>
        <w:tabs>
          <w:tab w:pos="2381" w:val="left" w:leader="none"/>
          <w:tab w:pos="2382" w:val="left" w:leader="none"/>
        </w:tabs>
        <w:spacing w:line="240" w:lineRule="auto" w:before="0" w:after="0"/>
        <w:ind w:left="2381" w:right="0" w:hanging="794"/>
        <w:jc w:val="left"/>
      </w:pPr>
      <w:r>
        <w:rPr>
          <w:spacing w:val="-3"/>
          <w:w w:val="115"/>
        </w:rPr>
        <w:t>Have </w:t>
      </w:r>
      <w:r>
        <w:rPr>
          <w:w w:val="115"/>
        </w:rPr>
        <w:t>you been </w:t>
      </w:r>
      <w:r>
        <w:rPr>
          <w:spacing w:val="-3"/>
          <w:w w:val="115"/>
        </w:rPr>
        <w:t>involved </w:t>
      </w:r>
      <w:r>
        <w:rPr>
          <w:w w:val="115"/>
        </w:rPr>
        <w:t>in a tree dispute with a</w:t>
      </w:r>
      <w:r>
        <w:rPr>
          <w:spacing w:val="3"/>
          <w:w w:val="115"/>
        </w:rPr>
        <w:t> </w:t>
      </w:r>
      <w:r>
        <w:rPr>
          <w:w w:val="115"/>
        </w:rPr>
        <w:t>neighbour?</w:t>
      </w:r>
    </w:p>
    <w:p>
      <w:pPr>
        <w:pStyle w:val="BodyText"/>
        <w:spacing w:line="355" w:lineRule="auto" w:before="124"/>
        <w:ind w:left="3027" w:right="8559"/>
      </w:pPr>
      <w:r>
        <w:rPr/>
        <w:pict>
          <v:rect style="position:absolute;margin-left:119.305pt;margin-top:3.769385pt;width:14.173pt;height:14.172pt;mso-position-horizontal-relative:page;mso-position-vertical-relative:paragraph;z-index:14416" filled="false" stroked="true" strokeweight=".5pt" strokecolor="#658464">
            <v:stroke dashstyle="solid"/>
            <w10:wrap type="none"/>
          </v:rect>
        </w:pict>
      </w:r>
      <w:r>
        <w:rPr/>
        <w:pict>
          <v:rect style="position:absolute;margin-left:119.305pt;margin-top:22.769384pt;width:14.173pt;height:14.172pt;mso-position-horizontal-relative:page;mso-position-vertical-relative:paragraph;z-index:14440" filled="false" stroked="true" strokeweight=".5pt" strokecolor="#658464">
            <v:stroke dashstyle="solid"/>
            <w10:wrap type="none"/>
          </v:rect>
        </w:pict>
      </w:r>
      <w:r>
        <w:rPr>
          <w:w w:val="105"/>
        </w:rPr>
        <w:t>Yes No</w:t>
      </w:r>
    </w:p>
    <w:p>
      <w:pPr>
        <w:pStyle w:val="ListParagraph"/>
        <w:numPr>
          <w:ilvl w:val="0"/>
          <w:numId w:val="211"/>
        </w:numPr>
        <w:tabs>
          <w:tab w:pos="2381" w:val="left" w:leader="none"/>
          <w:tab w:pos="2382" w:val="left" w:leader="none"/>
        </w:tabs>
        <w:spacing w:line="355" w:lineRule="auto" w:before="1" w:after="0"/>
        <w:ind w:left="3027" w:right="2256" w:hanging="1440"/>
        <w:jc w:val="left"/>
        <w:rPr>
          <w:sz w:val="21"/>
        </w:rPr>
      </w:pPr>
      <w:r>
        <w:rPr/>
        <w:pict>
          <v:rect style="position:absolute;margin-left:119.305pt;margin-top:16.614349pt;width:14.173pt;height:14.172pt;mso-position-horizontal-relative:page;mso-position-vertical-relative:paragraph;z-index:-444640" filled="false" stroked="true" strokeweight=".5pt" strokecolor="#658464">
            <v:stroke dashstyle="solid"/>
            <w10:wrap type="none"/>
          </v:rect>
        </w:pict>
      </w:r>
      <w:r>
        <w:rPr/>
        <w:pict>
          <v:rect style="position:absolute;margin-left:119.305pt;margin-top:35.614349pt;width:14.173pt;height:14.172pt;mso-position-horizontal-relative:page;mso-position-vertical-relative:paragraph;z-index:-444616" filled="false" stroked="true" strokeweight=".5pt" strokecolor="#658464">
            <v:stroke dashstyle="solid"/>
            <w10:wrap type="none"/>
          </v:rect>
        </w:pict>
      </w:r>
      <w:r>
        <w:rPr>
          <w:sz w:val="21"/>
        </w:rPr>
        <w:t>Did the </w:t>
      </w:r>
      <w:r>
        <w:rPr>
          <w:spacing w:val="-3"/>
          <w:sz w:val="21"/>
        </w:rPr>
        <w:t>dispute relate to </w:t>
      </w:r>
      <w:r>
        <w:rPr>
          <w:sz w:val="21"/>
        </w:rPr>
        <w:t>a tree on your property, or on your </w:t>
      </w:r>
      <w:r>
        <w:rPr>
          <w:spacing w:val="-3"/>
          <w:sz w:val="21"/>
        </w:rPr>
        <w:t>neighbour’s </w:t>
      </w:r>
      <w:r>
        <w:rPr>
          <w:sz w:val="21"/>
        </w:rPr>
        <w:t>property? My</w:t>
      </w:r>
      <w:r>
        <w:rPr>
          <w:spacing w:val="7"/>
          <w:sz w:val="21"/>
        </w:rPr>
        <w:t> </w:t>
      </w:r>
      <w:r>
        <w:rPr>
          <w:sz w:val="21"/>
        </w:rPr>
        <w:t>tree</w:t>
      </w:r>
    </w:p>
    <w:p>
      <w:pPr>
        <w:pStyle w:val="BodyText"/>
        <w:spacing w:line="355" w:lineRule="auto" w:before="1"/>
        <w:ind w:left="3027" w:right="6859"/>
      </w:pPr>
      <w:r>
        <w:rPr/>
        <w:pict>
          <v:rect style="position:absolute;margin-left:119.305pt;margin-top:40.947353pt;width:396.35pt;height:27.844pt;mso-position-horizontal-relative:page;mso-position-vertical-relative:paragraph;z-index:12320;mso-wrap-distance-left:0;mso-wrap-distance-right:0" filled="false" stroked="true" strokeweight=".5pt" strokecolor="#658464">
            <v:stroke dashstyle="solid"/>
            <w10:wrap type="topAndBottom"/>
          </v:rect>
        </w:pict>
      </w:r>
      <w:r>
        <w:rPr/>
        <w:pict>
          <v:rect style="position:absolute;margin-left:119.305pt;margin-top:16.619354pt;width:14.173pt;height:14.172pt;mso-position-horizontal-relative:page;mso-position-vertical-relative:paragraph;z-index:14512" filled="false" stroked="true" strokeweight=".5pt" strokecolor="#658464">
            <v:stroke dashstyle="solid"/>
            <w10:wrap type="none"/>
          </v:rect>
        </w:pict>
      </w:r>
      <w:r>
        <w:rPr/>
        <w:t>My neighbour’s tree Other (please specify)</w:t>
      </w:r>
    </w:p>
    <w:p>
      <w:pPr>
        <w:pStyle w:val="BodyText"/>
        <w:spacing w:before="6"/>
        <w:rPr>
          <w:sz w:val="22"/>
        </w:rPr>
      </w:pPr>
    </w:p>
    <w:p>
      <w:pPr>
        <w:pStyle w:val="Heading9"/>
        <w:numPr>
          <w:ilvl w:val="0"/>
          <w:numId w:val="211"/>
        </w:numPr>
        <w:tabs>
          <w:tab w:pos="2381" w:val="left" w:leader="none"/>
          <w:tab w:pos="2382" w:val="left" w:leader="none"/>
        </w:tabs>
        <w:spacing w:line="242" w:lineRule="auto" w:before="96" w:after="0"/>
        <w:ind w:left="2381" w:right="2008" w:hanging="794"/>
        <w:jc w:val="left"/>
      </w:pPr>
      <w:r>
        <w:rPr>
          <w:w w:val="115"/>
        </w:rPr>
        <w:t>What,</w:t>
      </w:r>
      <w:r>
        <w:rPr>
          <w:spacing w:val="-12"/>
          <w:w w:val="115"/>
        </w:rPr>
        <w:t> </w:t>
      </w:r>
      <w:r>
        <w:rPr>
          <w:w w:val="115"/>
        </w:rPr>
        <w:t>in</w:t>
      </w:r>
      <w:r>
        <w:rPr>
          <w:spacing w:val="-12"/>
          <w:w w:val="115"/>
        </w:rPr>
        <w:t> </w:t>
      </w:r>
      <w:r>
        <w:rPr>
          <w:w w:val="115"/>
        </w:rPr>
        <w:t>your</w:t>
      </w:r>
      <w:r>
        <w:rPr>
          <w:spacing w:val="-12"/>
          <w:w w:val="115"/>
        </w:rPr>
        <w:t> </w:t>
      </w:r>
      <w:r>
        <w:rPr>
          <w:spacing w:val="-3"/>
          <w:w w:val="115"/>
        </w:rPr>
        <w:t>view,</w:t>
      </w:r>
      <w:r>
        <w:rPr>
          <w:spacing w:val="-12"/>
          <w:w w:val="115"/>
        </w:rPr>
        <w:t> </w:t>
      </w:r>
      <w:r>
        <w:rPr>
          <w:w w:val="115"/>
        </w:rPr>
        <w:t>were</w:t>
      </w:r>
      <w:r>
        <w:rPr>
          <w:spacing w:val="-12"/>
          <w:w w:val="115"/>
        </w:rPr>
        <w:t> </w:t>
      </w:r>
      <w:r>
        <w:rPr>
          <w:w w:val="115"/>
        </w:rPr>
        <w:t>the</w:t>
      </w:r>
      <w:r>
        <w:rPr>
          <w:spacing w:val="-11"/>
          <w:w w:val="115"/>
        </w:rPr>
        <w:t> </w:t>
      </w:r>
      <w:r>
        <w:rPr>
          <w:w w:val="115"/>
        </w:rPr>
        <w:t>main</w:t>
      </w:r>
      <w:r>
        <w:rPr>
          <w:spacing w:val="-12"/>
          <w:w w:val="115"/>
        </w:rPr>
        <w:t> </w:t>
      </w:r>
      <w:r>
        <w:rPr>
          <w:w w:val="115"/>
        </w:rPr>
        <w:t>issues</w:t>
      </w:r>
      <w:r>
        <w:rPr>
          <w:spacing w:val="-12"/>
          <w:w w:val="115"/>
        </w:rPr>
        <w:t> </w:t>
      </w:r>
      <w:r>
        <w:rPr>
          <w:w w:val="115"/>
        </w:rPr>
        <w:t>in</w:t>
      </w:r>
      <w:r>
        <w:rPr>
          <w:spacing w:val="-12"/>
          <w:w w:val="115"/>
        </w:rPr>
        <w:t> </w:t>
      </w:r>
      <w:r>
        <w:rPr>
          <w:w w:val="115"/>
        </w:rPr>
        <w:t>dispute?</w:t>
      </w:r>
      <w:r>
        <w:rPr>
          <w:spacing w:val="-12"/>
          <w:w w:val="115"/>
        </w:rPr>
        <w:t> </w:t>
      </w:r>
      <w:r>
        <w:rPr>
          <w:w w:val="115"/>
        </w:rPr>
        <w:t>Choose</w:t>
      </w:r>
      <w:r>
        <w:rPr>
          <w:spacing w:val="-11"/>
          <w:w w:val="115"/>
        </w:rPr>
        <w:t> </w:t>
      </w:r>
      <w:r>
        <w:rPr>
          <w:w w:val="115"/>
        </w:rPr>
        <w:t>all</w:t>
      </w:r>
      <w:r>
        <w:rPr>
          <w:spacing w:val="-12"/>
          <w:w w:val="115"/>
        </w:rPr>
        <w:t> </w:t>
      </w:r>
      <w:r>
        <w:rPr>
          <w:w w:val="115"/>
        </w:rPr>
        <w:t>options</w:t>
      </w:r>
      <w:r>
        <w:rPr>
          <w:spacing w:val="-12"/>
          <w:w w:val="115"/>
        </w:rPr>
        <w:t> </w:t>
      </w:r>
      <w:r>
        <w:rPr>
          <w:w w:val="115"/>
        </w:rPr>
        <w:t>that </w:t>
      </w:r>
      <w:r>
        <w:rPr>
          <w:spacing w:val="-5"/>
          <w:w w:val="115"/>
        </w:rPr>
        <w:t>apply.</w:t>
      </w:r>
    </w:p>
    <w:p>
      <w:pPr>
        <w:pStyle w:val="BodyText"/>
        <w:spacing w:line="355" w:lineRule="auto" w:before="122"/>
        <w:ind w:left="3027" w:right="5032"/>
      </w:pPr>
      <w:r>
        <w:rPr/>
        <w:pict>
          <v:rect style="position:absolute;margin-left:119.305pt;margin-top:3.669355pt;width:14.173pt;height:14.172pt;mso-position-horizontal-relative:page;mso-position-vertical-relative:paragraph;z-index:14536" filled="false" stroked="true" strokeweight=".5pt" strokecolor="#658464">
            <v:stroke dashstyle="solid"/>
            <w10:wrap type="none"/>
          </v:rect>
        </w:pict>
      </w:r>
      <w:r>
        <w:rPr/>
        <w:pict>
          <v:rect style="position:absolute;margin-left:119.305pt;margin-top:22.669355pt;width:14.173pt;height:14.172pt;mso-position-horizontal-relative:page;mso-position-vertical-relative:paragraph;z-index:14560" filled="false" stroked="true" strokeweight=".5pt" strokecolor="#658464">
            <v:stroke dashstyle="solid"/>
            <w10:wrap type="none"/>
          </v:rect>
        </w:pict>
      </w:r>
      <w:r>
        <w:rPr/>
        <w:pict>
          <v:rect style="position:absolute;margin-left:119.305pt;margin-top:41.669353pt;width:14.173pt;height:14.172pt;mso-position-horizontal-relative:page;mso-position-vertical-relative:paragraph;z-index:14584" filled="false" stroked="true" strokeweight=".5pt" strokecolor="#658464">
            <v:stroke dashstyle="solid"/>
            <w10:wrap type="none"/>
          </v:rect>
        </w:pict>
      </w:r>
      <w:r>
        <w:rPr/>
        <w:pict>
          <v:rect style="position:absolute;margin-left:119.305pt;margin-top:60.669353pt;width:14.173pt;height:14.172pt;mso-position-horizontal-relative:page;mso-position-vertical-relative:paragraph;z-index:14608" filled="false" stroked="true" strokeweight=".5pt" strokecolor="#658464">
            <v:stroke dashstyle="solid"/>
            <w10:wrap type="none"/>
          </v:rect>
        </w:pict>
      </w:r>
      <w:r>
        <w:rPr/>
        <w:t>Branches encroaching over boundary lines Roots encroaching over boundary lines Falling trees</w:t>
      </w:r>
    </w:p>
    <w:p>
      <w:pPr>
        <w:pStyle w:val="BodyText"/>
        <w:spacing w:before="2"/>
        <w:ind w:left="3027"/>
      </w:pPr>
      <w:r>
        <w:rPr>
          <w:w w:val="105"/>
        </w:rPr>
        <w:t>The spread of weeds or creeping plants</w:t>
      </w:r>
    </w:p>
    <w:p>
      <w:pPr>
        <w:pStyle w:val="BodyText"/>
        <w:spacing w:line="355" w:lineRule="auto" w:before="124"/>
        <w:ind w:left="3027" w:right="2859"/>
      </w:pPr>
      <w:r>
        <w:rPr/>
        <w:pict>
          <v:rect style="position:absolute;margin-left:119.305pt;margin-top:3.769355pt;width:14.173pt;height:14.172pt;mso-position-horizontal-relative:page;mso-position-vertical-relative:paragraph;z-index:14632" filled="false" stroked="true" strokeweight=".5pt" strokecolor="#658464">
            <v:stroke dashstyle="solid"/>
            <w10:wrap type="none"/>
          </v:rect>
        </w:pict>
      </w:r>
      <w:r>
        <w:rPr/>
        <w:pict>
          <v:rect style="position:absolute;margin-left:119.305pt;margin-top:22.769354pt;width:14.173pt;height:14.172pt;mso-position-horizontal-relative:page;mso-position-vertical-relative:paragraph;z-index:14656" filled="false" stroked="true" strokeweight=".5pt" strokecolor="#658464">
            <v:stroke dashstyle="solid"/>
            <w10:wrap type="none"/>
          </v:rect>
        </w:pict>
      </w:r>
      <w:r>
        <w:rPr/>
        <w:pict>
          <v:rect style="position:absolute;margin-left:119.305pt;margin-top:41.769356pt;width:14.173pt;height:14.172pt;mso-position-horizontal-relative:page;mso-position-vertical-relative:paragraph;z-index:14680" filled="false" stroked="true" strokeweight=".5pt" strokecolor="#658464">
            <v:stroke dashstyle="solid"/>
            <w10:wrap type="none"/>
          </v:rect>
        </w:pict>
      </w:r>
      <w:r>
        <w:rPr>
          <w:spacing w:val="-3"/>
          <w:w w:val="105"/>
        </w:rPr>
        <w:t>Damage to </w:t>
      </w:r>
      <w:r>
        <w:rPr>
          <w:w w:val="105"/>
        </w:rPr>
        <w:t>property </w:t>
      </w:r>
      <w:r>
        <w:rPr>
          <w:spacing w:val="-3"/>
          <w:w w:val="105"/>
        </w:rPr>
        <w:t>(including drains, concrete </w:t>
      </w:r>
      <w:r>
        <w:rPr>
          <w:w w:val="105"/>
        </w:rPr>
        <w:t>and </w:t>
      </w:r>
      <w:r>
        <w:rPr>
          <w:spacing w:val="-3"/>
          <w:w w:val="105"/>
        </w:rPr>
        <w:t>foundations) </w:t>
      </w:r>
      <w:r>
        <w:rPr>
          <w:w w:val="105"/>
        </w:rPr>
        <w:t>Leaf litter </w:t>
      </w:r>
      <w:r>
        <w:rPr>
          <w:spacing w:val="-3"/>
          <w:w w:val="105"/>
        </w:rPr>
        <w:t>causing </w:t>
      </w:r>
      <w:r>
        <w:rPr>
          <w:w w:val="105"/>
        </w:rPr>
        <w:t>damage or </w:t>
      </w:r>
      <w:r>
        <w:rPr>
          <w:spacing w:val="-3"/>
          <w:w w:val="105"/>
        </w:rPr>
        <w:t>creating </w:t>
      </w:r>
      <w:r>
        <w:rPr>
          <w:w w:val="105"/>
        </w:rPr>
        <w:t>a </w:t>
      </w:r>
      <w:r>
        <w:rPr>
          <w:spacing w:val="-3"/>
          <w:w w:val="105"/>
        </w:rPr>
        <w:t>hazard</w:t>
      </w:r>
    </w:p>
    <w:p>
      <w:pPr>
        <w:pStyle w:val="BodyText"/>
        <w:spacing w:line="355" w:lineRule="auto" w:before="1"/>
        <w:ind w:left="3027" w:right="6302"/>
      </w:pPr>
      <w:r>
        <w:rPr/>
        <w:pict>
          <v:rect style="position:absolute;margin-left:119.305pt;margin-top:40.947353pt;width:396.35pt;height:27.844pt;mso-position-horizontal-relative:page;mso-position-vertical-relative:paragraph;z-index:12344;mso-wrap-distance-left:0;mso-wrap-distance-right:0" filled="false" stroked="true" strokeweight=".5pt" strokecolor="#658464">
            <v:stroke dashstyle="solid"/>
            <w10:wrap type="topAndBottom"/>
          </v:rect>
        </w:pict>
      </w:r>
      <w:r>
        <w:rPr/>
        <w:pict>
          <v:rect style="position:absolute;margin-left:119.305pt;margin-top:16.619354pt;width:14.173pt;height:14.172pt;mso-position-horizontal-relative:page;mso-position-vertical-relative:paragraph;z-index:14704" filled="false" stroked="true" strokeweight=".5pt" strokecolor="#658464">
            <v:stroke dashstyle="solid"/>
            <w10:wrap type="none"/>
          </v:rect>
        </w:pict>
      </w:r>
      <w:r>
        <w:rPr/>
        <w:t>Harm or injury to people Other (please specify)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spacing w:before="0"/>
        <w:ind w:left="0" w:right="596" w:firstLine="0"/>
        <w:jc w:val="right"/>
        <w:rPr>
          <w:b/>
          <w:sz w:val="24"/>
        </w:rPr>
      </w:pPr>
      <w:r>
        <w:rPr>
          <w:b/>
          <w:color w:val="658464"/>
          <w:w w:val="110"/>
          <w:sz w:val="24"/>
        </w:rPr>
        <w:t>307</w:t>
      </w:r>
    </w:p>
    <w:p>
      <w:pPr>
        <w:spacing w:after="0"/>
        <w:jc w:val="right"/>
        <w:rPr>
          <w:sz w:val="24"/>
        </w:rPr>
        <w:sectPr>
          <w:pgSz w:w="11910" w:h="16840"/>
          <w:pgMar w:header="808" w:footer="0" w:top="1360" w:bottom="280" w:left="0" w:right="0"/>
        </w:sectPr>
      </w:pPr>
    </w:p>
    <w:p>
      <w:pPr>
        <w:pStyle w:val="BodyText"/>
        <w:spacing w:before="4"/>
        <w:rPr>
          <w:b/>
          <w:sz w:val="22"/>
        </w:rPr>
      </w:pPr>
    </w:p>
    <w:p>
      <w:pPr>
        <w:pStyle w:val="Heading9"/>
        <w:numPr>
          <w:ilvl w:val="0"/>
          <w:numId w:val="211"/>
        </w:numPr>
        <w:tabs>
          <w:tab w:pos="2381" w:val="left" w:leader="none"/>
          <w:tab w:pos="2382" w:val="left" w:leader="none"/>
        </w:tabs>
        <w:spacing w:line="242" w:lineRule="auto" w:before="97" w:after="0"/>
        <w:ind w:left="2381" w:right="3176" w:hanging="794"/>
        <w:jc w:val="left"/>
      </w:pPr>
      <w:r>
        <w:rPr>
          <w:w w:val="115"/>
        </w:rPr>
        <w:t>Did</w:t>
      </w:r>
      <w:r>
        <w:rPr>
          <w:spacing w:val="-14"/>
          <w:w w:val="115"/>
        </w:rPr>
        <w:t> </w:t>
      </w:r>
      <w:r>
        <w:rPr>
          <w:w w:val="115"/>
        </w:rPr>
        <w:t>you</w:t>
      </w:r>
      <w:r>
        <w:rPr>
          <w:spacing w:val="-14"/>
          <w:w w:val="115"/>
        </w:rPr>
        <w:t> </w:t>
      </w:r>
      <w:r>
        <w:rPr>
          <w:w w:val="115"/>
        </w:rPr>
        <w:t>or</w:t>
      </w:r>
      <w:r>
        <w:rPr>
          <w:spacing w:val="-13"/>
          <w:w w:val="115"/>
        </w:rPr>
        <w:t> </w:t>
      </w:r>
      <w:r>
        <w:rPr>
          <w:w w:val="115"/>
        </w:rPr>
        <w:t>your</w:t>
      </w:r>
      <w:r>
        <w:rPr>
          <w:spacing w:val="-14"/>
          <w:w w:val="115"/>
        </w:rPr>
        <w:t> </w:t>
      </w:r>
      <w:r>
        <w:rPr>
          <w:w w:val="115"/>
        </w:rPr>
        <w:t>neighbour</w:t>
      </w:r>
      <w:r>
        <w:rPr>
          <w:spacing w:val="-14"/>
          <w:w w:val="115"/>
        </w:rPr>
        <w:t> </w:t>
      </w:r>
      <w:r>
        <w:rPr>
          <w:w w:val="115"/>
        </w:rPr>
        <w:t>make</w:t>
      </w:r>
      <w:r>
        <w:rPr>
          <w:spacing w:val="-13"/>
          <w:w w:val="115"/>
        </w:rPr>
        <w:t> </w:t>
      </w:r>
      <w:r>
        <w:rPr>
          <w:w w:val="115"/>
        </w:rPr>
        <w:t>attempts</w:t>
      </w:r>
      <w:r>
        <w:rPr>
          <w:spacing w:val="-14"/>
          <w:w w:val="115"/>
        </w:rPr>
        <w:t> </w:t>
      </w:r>
      <w:r>
        <w:rPr>
          <w:w w:val="115"/>
        </w:rPr>
        <w:t>to</w:t>
      </w:r>
      <w:r>
        <w:rPr>
          <w:spacing w:val="-13"/>
          <w:w w:val="115"/>
        </w:rPr>
        <w:t> </w:t>
      </w:r>
      <w:r>
        <w:rPr>
          <w:w w:val="115"/>
        </w:rPr>
        <w:t>resolve</w:t>
      </w:r>
      <w:r>
        <w:rPr>
          <w:spacing w:val="-14"/>
          <w:w w:val="115"/>
        </w:rPr>
        <w:t> </w:t>
      </w:r>
      <w:r>
        <w:rPr>
          <w:w w:val="115"/>
        </w:rPr>
        <w:t>the</w:t>
      </w:r>
      <w:r>
        <w:rPr>
          <w:spacing w:val="-14"/>
          <w:w w:val="115"/>
        </w:rPr>
        <w:t> </w:t>
      </w:r>
      <w:r>
        <w:rPr>
          <w:w w:val="115"/>
        </w:rPr>
        <w:t>dispute yourselves? Choose all options that</w:t>
      </w:r>
      <w:r>
        <w:rPr>
          <w:spacing w:val="-7"/>
          <w:w w:val="115"/>
        </w:rPr>
        <w:t> </w:t>
      </w:r>
      <w:r>
        <w:rPr>
          <w:spacing w:val="-3"/>
          <w:w w:val="115"/>
        </w:rPr>
        <w:t>apply.</w:t>
      </w:r>
    </w:p>
    <w:p>
      <w:pPr>
        <w:pStyle w:val="BodyText"/>
        <w:spacing w:line="242" w:lineRule="auto" w:before="122"/>
        <w:ind w:left="3027" w:right="1636"/>
      </w:pPr>
      <w:r>
        <w:rPr/>
        <w:pict>
          <v:rect style="position:absolute;margin-left:119.305pt;margin-top:3.680683pt;width:14.173pt;height:14.172pt;mso-position-horizontal-relative:page;mso-position-vertical-relative:paragraph;z-index:14824" filled="false" stroked="true" strokeweight=".5pt" strokecolor="#658464">
            <v:stroke dashstyle="solid"/>
            <w10:wrap type="none"/>
          </v:rect>
        </w:pict>
      </w:r>
      <w:r>
        <w:rPr/>
        <w:t>We trimmed back the tree/plant to the boundary line to remedy the issue (abatement)</w:t>
      </w:r>
    </w:p>
    <w:p>
      <w:pPr>
        <w:pStyle w:val="BodyText"/>
        <w:spacing w:line="355" w:lineRule="auto" w:before="122"/>
        <w:ind w:left="3027" w:right="2085"/>
      </w:pPr>
      <w:r>
        <w:rPr/>
        <w:pict>
          <v:rect style="position:absolute;margin-left:119.305pt;margin-top:3.680683pt;width:14.173pt;height:14.172pt;mso-position-horizontal-relative:page;mso-position-vertical-relative:paragraph;z-index:14848" filled="false" stroked="true" strokeweight=".5pt" strokecolor="#658464">
            <v:stroke dashstyle="solid"/>
            <w10:wrap type="none"/>
          </v:rect>
        </w:pict>
      </w:r>
      <w:r>
        <w:rPr/>
        <w:pict>
          <v:rect style="position:absolute;margin-left:119.305pt;margin-top:22.680683pt;width:14.173pt;height:14.172pt;mso-position-horizontal-relative:page;mso-position-vertical-relative:paragraph;z-index:14872" filled="false" stroked="true" strokeweight=".5pt" strokecolor="#658464">
            <v:stroke dashstyle="solid"/>
            <w10:wrap type="none"/>
          </v:rect>
        </w:pict>
      </w:r>
      <w:r>
        <w:rPr/>
        <w:pict>
          <v:rect style="position:absolute;margin-left:119.305pt;margin-top:41.680683pt;width:14.173pt;height:14.172pt;mso-position-horizontal-relative:page;mso-position-vertical-relative:paragraph;z-index:14896" filled="false" stroked="true" strokeweight=".5pt" strokecolor="#658464">
            <v:stroke dashstyle="solid"/>
            <w10:wrap type="none"/>
          </v:rect>
        </w:pict>
      </w:r>
      <w:r>
        <w:rPr/>
        <w:pict>
          <v:rect style="position:absolute;margin-left:119.305pt;margin-top:60.680683pt;width:14.173pt;height:14.172pt;mso-position-horizontal-relative:page;mso-position-vertical-relative:paragraph;z-index:14920" filled="false" stroked="true" strokeweight=".5pt" strokecolor="#658464">
            <v:stroke dashstyle="solid"/>
            <w10:wrap type="none"/>
          </v:rect>
        </w:pict>
      </w:r>
      <w:r>
        <w:rPr>
          <w:spacing w:val="-3"/>
          <w:w w:val="105"/>
        </w:rPr>
        <w:t>We negotiated informally: </w:t>
      </w:r>
      <w:r>
        <w:rPr>
          <w:w w:val="105"/>
        </w:rPr>
        <w:t>we discussed or corresponded about the problem </w:t>
      </w:r>
      <w:r>
        <w:rPr>
          <w:spacing w:val="-3"/>
          <w:w w:val="105"/>
        </w:rPr>
        <w:t>We </w:t>
      </w:r>
      <w:r>
        <w:rPr>
          <w:w w:val="105"/>
        </w:rPr>
        <w:t>attended mediation </w:t>
      </w:r>
      <w:r>
        <w:rPr>
          <w:spacing w:val="-3"/>
          <w:w w:val="105"/>
        </w:rPr>
        <w:t>through </w:t>
      </w:r>
      <w:r>
        <w:rPr>
          <w:w w:val="105"/>
        </w:rPr>
        <w:t>the </w:t>
      </w:r>
      <w:r>
        <w:rPr>
          <w:spacing w:val="-3"/>
          <w:w w:val="105"/>
        </w:rPr>
        <w:t>Dispute </w:t>
      </w:r>
      <w:r>
        <w:rPr>
          <w:w w:val="105"/>
        </w:rPr>
        <w:t>Settlement </w:t>
      </w:r>
      <w:r>
        <w:rPr>
          <w:spacing w:val="-4"/>
          <w:w w:val="105"/>
        </w:rPr>
        <w:t>Centre </w:t>
      </w:r>
      <w:r>
        <w:rPr>
          <w:w w:val="105"/>
        </w:rPr>
        <w:t>of Victoria </w:t>
      </w:r>
      <w:r>
        <w:rPr>
          <w:spacing w:val="-3"/>
          <w:w w:val="105"/>
        </w:rPr>
        <w:t>We </w:t>
      </w:r>
      <w:r>
        <w:rPr>
          <w:w w:val="105"/>
        </w:rPr>
        <w:t>attended mediation with a </w:t>
      </w:r>
      <w:r>
        <w:rPr>
          <w:spacing w:val="-3"/>
          <w:w w:val="105"/>
        </w:rPr>
        <w:t>private mediator</w:t>
      </w:r>
    </w:p>
    <w:p>
      <w:pPr>
        <w:pStyle w:val="BodyText"/>
        <w:spacing w:before="2"/>
        <w:ind w:left="3027"/>
      </w:pPr>
      <w:r>
        <w:rPr/>
        <w:t>We did not make any attempts to resolve the dispute ourselves</w:t>
      </w:r>
    </w:p>
    <w:p>
      <w:pPr>
        <w:pStyle w:val="BodyText"/>
        <w:spacing w:line="242" w:lineRule="auto" w:before="124"/>
        <w:ind w:left="2381" w:right="1636"/>
      </w:pPr>
      <w:r>
        <w:rPr/>
        <w:t>Comments (For example, who initiated these attempts, or any other details you think are relevant)</w:t>
      </w:r>
    </w:p>
    <w:p>
      <w:pPr>
        <w:pStyle w:val="BodyText"/>
        <w:spacing w:before="1"/>
        <w:rPr>
          <w:sz w:val="11"/>
        </w:rPr>
      </w:pPr>
      <w:r>
        <w:rPr/>
        <w:pict>
          <v:rect style="position:absolute;margin-left:119.305pt;margin-top:9.007363pt;width:396.35pt;height:27.844pt;mso-position-horizontal-relative:page;mso-position-vertical-relative:paragraph;z-index:12680;mso-wrap-distance-left:0;mso-wrap-distance-right:0" filled="false" stroked="true" strokeweight=".5pt" strokecolor="#658464">
            <v:stroke dashstyle="solid"/>
            <w10:wrap type="topAndBottom"/>
          </v:rect>
        </w:pict>
      </w:r>
    </w:p>
    <w:p>
      <w:pPr>
        <w:pStyle w:val="BodyText"/>
        <w:spacing w:before="6"/>
        <w:rPr>
          <w:sz w:val="22"/>
        </w:rPr>
      </w:pPr>
    </w:p>
    <w:p>
      <w:pPr>
        <w:pStyle w:val="Heading9"/>
        <w:numPr>
          <w:ilvl w:val="0"/>
          <w:numId w:val="211"/>
        </w:numPr>
        <w:tabs>
          <w:tab w:pos="2381" w:val="left" w:leader="none"/>
          <w:tab w:pos="2382" w:val="left" w:leader="none"/>
        </w:tabs>
        <w:spacing w:line="240" w:lineRule="auto" w:before="96" w:after="0"/>
        <w:ind w:left="2381" w:right="0" w:hanging="794"/>
        <w:jc w:val="left"/>
      </w:pPr>
      <w:r>
        <w:rPr>
          <w:w w:val="115"/>
        </w:rPr>
        <w:t>Were you able to successfully resolve the dispute</w:t>
      </w:r>
      <w:r>
        <w:rPr>
          <w:spacing w:val="-15"/>
          <w:w w:val="115"/>
        </w:rPr>
        <w:t> </w:t>
      </w:r>
      <w:r>
        <w:rPr>
          <w:w w:val="115"/>
        </w:rPr>
        <w:t>yourselves?</w:t>
      </w:r>
    </w:p>
    <w:p>
      <w:pPr>
        <w:pStyle w:val="BodyText"/>
        <w:spacing w:line="355" w:lineRule="auto" w:before="124"/>
        <w:ind w:left="3027" w:right="8559"/>
      </w:pPr>
      <w:r>
        <w:rPr/>
        <w:pict>
          <v:rect style="position:absolute;margin-left:119.305pt;margin-top:3.780652pt;width:14.173pt;height:14.172pt;mso-position-horizontal-relative:page;mso-position-vertical-relative:paragraph;z-index:14944" filled="false" stroked="true" strokeweight=".5pt" strokecolor="#658464">
            <v:stroke dashstyle="solid"/>
            <w10:wrap type="none"/>
          </v:rect>
        </w:pict>
      </w:r>
      <w:r>
        <w:rPr/>
        <w:pict>
          <v:rect style="position:absolute;margin-left:119.305pt;margin-top:22.780653pt;width:14.173pt;height:14.172pt;mso-position-horizontal-relative:page;mso-position-vertical-relative:paragraph;z-index:14968" filled="false" stroked="true" strokeweight=".5pt" strokecolor="#658464">
            <v:stroke dashstyle="solid"/>
            <w10:wrap type="none"/>
          </v:rect>
        </w:pict>
      </w:r>
      <w:r>
        <w:rPr>
          <w:w w:val="105"/>
        </w:rPr>
        <w:t>Yes No</w:t>
      </w:r>
    </w:p>
    <w:p>
      <w:pPr>
        <w:pStyle w:val="BodyText"/>
        <w:spacing w:before="1"/>
        <w:ind w:left="2381"/>
      </w:pPr>
      <w:r>
        <w:rPr/>
        <w:t>In part (please explain)</w:t>
      </w:r>
    </w:p>
    <w:p>
      <w:pPr>
        <w:pStyle w:val="BodyText"/>
        <w:spacing w:before="3"/>
        <w:rPr>
          <w:sz w:val="11"/>
        </w:rPr>
      </w:pPr>
      <w:r>
        <w:rPr/>
        <w:pict>
          <v:rect style="position:absolute;margin-left:119.305pt;margin-top:9.104047pt;width:396.35pt;height:27.844pt;mso-position-horizontal-relative:page;mso-position-vertical-relative:paragraph;z-index:12704;mso-wrap-distance-left:0;mso-wrap-distance-right:0" filled="false" stroked="true" strokeweight=".5pt" strokecolor="#658464">
            <v:stroke dashstyle="solid"/>
            <w10:wrap type="topAndBottom"/>
          </v:rect>
        </w:pict>
      </w:r>
    </w:p>
    <w:p>
      <w:pPr>
        <w:pStyle w:val="BodyText"/>
        <w:spacing w:before="6"/>
        <w:rPr>
          <w:sz w:val="22"/>
        </w:rPr>
      </w:pPr>
    </w:p>
    <w:p>
      <w:pPr>
        <w:pStyle w:val="Heading9"/>
        <w:numPr>
          <w:ilvl w:val="0"/>
          <w:numId w:val="211"/>
        </w:numPr>
        <w:tabs>
          <w:tab w:pos="2381" w:val="left" w:leader="none"/>
          <w:tab w:pos="2382" w:val="left" w:leader="none"/>
        </w:tabs>
        <w:spacing w:line="242" w:lineRule="auto" w:before="96" w:after="0"/>
        <w:ind w:left="2381" w:right="1737" w:hanging="794"/>
        <w:jc w:val="left"/>
      </w:pPr>
      <w:r>
        <w:rPr>
          <w:w w:val="115"/>
        </w:rPr>
        <w:t>What</w:t>
      </w:r>
      <w:r>
        <w:rPr>
          <w:spacing w:val="-12"/>
          <w:w w:val="115"/>
        </w:rPr>
        <w:t> </w:t>
      </w:r>
      <w:r>
        <w:rPr>
          <w:w w:val="115"/>
        </w:rPr>
        <w:t>further</w:t>
      </w:r>
      <w:r>
        <w:rPr>
          <w:spacing w:val="-12"/>
          <w:w w:val="115"/>
        </w:rPr>
        <w:t> </w:t>
      </w:r>
      <w:r>
        <w:rPr>
          <w:w w:val="115"/>
        </w:rPr>
        <w:t>support</w:t>
      </w:r>
      <w:r>
        <w:rPr>
          <w:spacing w:val="-12"/>
          <w:w w:val="115"/>
        </w:rPr>
        <w:t> </w:t>
      </w:r>
      <w:r>
        <w:rPr>
          <w:w w:val="115"/>
        </w:rPr>
        <w:t>or</w:t>
      </w:r>
      <w:r>
        <w:rPr>
          <w:spacing w:val="-12"/>
          <w:w w:val="115"/>
        </w:rPr>
        <w:t> </w:t>
      </w:r>
      <w:r>
        <w:rPr>
          <w:w w:val="115"/>
        </w:rPr>
        <w:t>information</w:t>
      </w:r>
      <w:r>
        <w:rPr>
          <w:spacing w:val="-12"/>
          <w:w w:val="115"/>
        </w:rPr>
        <w:t> </w:t>
      </w:r>
      <w:r>
        <w:rPr>
          <w:w w:val="115"/>
        </w:rPr>
        <w:t>do</w:t>
      </w:r>
      <w:r>
        <w:rPr>
          <w:spacing w:val="-12"/>
          <w:w w:val="115"/>
        </w:rPr>
        <w:t> </w:t>
      </w:r>
      <w:r>
        <w:rPr>
          <w:w w:val="115"/>
        </w:rPr>
        <w:t>you</w:t>
      </w:r>
      <w:r>
        <w:rPr>
          <w:spacing w:val="-12"/>
          <w:w w:val="115"/>
        </w:rPr>
        <w:t> </w:t>
      </w:r>
      <w:r>
        <w:rPr>
          <w:w w:val="115"/>
        </w:rPr>
        <w:t>think</w:t>
      </w:r>
      <w:r>
        <w:rPr>
          <w:spacing w:val="-12"/>
          <w:w w:val="115"/>
        </w:rPr>
        <w:t> </w:t>
      </w:r>
      <w:r>
        <w:rPr>
          <w:w w:val="115"/>
        </w:rPr>
        <w:t>would</w:t>
      </w:r>
      <w:r>
        <w:rPr>
          <w:spacing w:val="-12"/>
          <w:w w:val="115"/>
        </w:rPr>
        <w:t> </w:t>
      </w:r>
      <w:r>
        <w:rPr>
          <w:spacing w:val="-3"/>
          <w:w w:val="115"/>
        </w:rPr>
        <w:t>have</w:t>
      </w:r>
      <w:r>
        <w:rPr>
          <w:spacing w:val="-12"/>
          <w:w w:val="115"/>
        </w:rPr>
        <w:t> </w:t>
      </w:r>
      <w:r>
        <w:rPr>
          <w:w w:val="115"/>
        </w:rPr>
        <w:t>made</w:t>
      </w:r>
      <w:r>
        <w:rPr>
          <w:spacing w:val="-12"/>
          <w:w w:val="115"/>
        </w:rPr>
        <w:t> </w:t>
      </w:r>
      <w:r>
        <w:rPr>
          <w:w w:val="115"/>
        </w:rPr>
        <w:t>it</w:t>
      </w:r>
      <w:r>
        <w:rPr>
          <w:spacing w:val="-12"/>
          <w:w w:val="115"/>
        </w:rPr>
        <w:t> </w:t>
      </w:r>
      <w:r>
        <w:rPr>
          <w:w w:val="115"/>
        </w:rPr>
        <w:t>possible to resolve the dispute between</w:t>
      </w:r>
      <w:r>
        <w:rPr>
          <w:spacing w:val="-4"/>
          <w:w w:val="115"/>
        </w:rPr>
        <w:t> </w:t>
      </w:r>
      <w:r>
        <w:rPr>
          <w:w w:val="115"/>
        </w:rPr>
        <w:t>yourselves?</w:t>
      </w:r>
    </w:p>
    <w:p>
      <w:pPr>
        <w:pStyle w:val="BodyText"/>
        <w:spacing w:before="2"/>
        <w:rPr>
          <w:b/>
          <w:sz w:val="11"/>
        </w:rPr>
      </w:pPr>
      <w:r>
        <w:rPr/>
        <w:pict>
          <v:rect style="position:absolute;margin-left:119.305pt;margin-top:9.037152pt;width:396.35pt;height:27.844pt;mso-position-horizontal-relative:page;mso-position-vertical-relative:paragraph;z-index:12728;mso-wrap-distance-left:0;mso-wrap-distance-right:0" filled="false" stroked="true" strokeweight=".5pt" strokecolor="#658464">
            <v:stroke dashstyle="solid"/>
            <w10:wrap type="topAndBottom"/>
          </v:rect>
        </w:pict>
      </w:r>
    </w:p>
    <w:p>
      <w:pPr>
        <w:pStyle w:val="BodyText"/>
        <w:spacing w:before="6"/>
        <w:rPr>
          <w:b/>
          <w:sz w:val="22"/>
        </w:rPr>
      </w:pPr>
    </w:p>
    <w:p>
      <w:pPr>
        <w:pStyle w:val="ListParagraph"/>
        <w:numPr>
          <w:ilvl w:val="0"/>
          <w:numId w:val="211"/>
        </w:numPr>
        <w:tabs>
          <w:tab w:pos="2381" w:val="left" w:leader="none"/>
          <w:tab w:pos="2382" w:val="left" w:leader="none"/>
        </w:tabs>
        <w:spacing w:line="240" w:lineRule="auto" w:before="96" w:after="0"/>
        <w:ind w:left="2381" w:right="0" w:hanging="794"/>
        <w:jc w:val="left"/>
        <w:rPr>
          <w:b/>
          <w:sz w:val="21"/>
        </w:rPr>
      </w:pPr>
      <w:r>
        <w:rPr>
          <w:b/>
          <w:w w:val="115"/>
          <w:sz w:val="21"/>
        </w:rPr>
        <w:t>Did you go to court to resolve the dispute?</w:t>
      </w:r>
    </w:p>
    <w:p>
      <w:pPr>
        <w:pStyle w:val="BodyText"/>
        <w:spacing w:line="355" w:lineRule="auto" w:before="124"/>
        <w:ind w:left="3027" w:right="8559"/>
      </w:pPr>
      <w:r>
        <w:rPr/>
        <w:pict>
          <v:rect style="position:absolute;margin-left:119.305pt;margin-top:3.780652pt;width:14.173pt;height:14.172pt;mso-position-horizontal-relative:page;mso-position-vertical-relative:paragraph;z-index:14992" filled="false" stroked="true" strokeweight=".5pt" strokecolor="#658464">
            <v:stroke dashstyle="solid"/>
            <w10:wrap type="none"/>
          </v:rect>
        </w:pict>
      </w:r>
      <w:r>
        <w:rPr/>
        <w:pict>
          <v:rect style="position:absolute;margin-left:119.305pt;margin-top:22.780653pt;width:14.173pt;height:14.172pt;mso-position-horizontal-relative:page;mso-position-vertical-relative:paragraph;z-index:15016" filled="false" stroked="true" strokeweight=".5pt" strokecolor="#658464">
            <v:stroke dashstyle="solid"/>
            <w10:wrap type="none"/>
          </v:rect>
        </w:pict>
      </w:r>
      <w:r>
        <w:rPr>
          <w:w w:val="105"/>
        </w:rPr>
        <w:t>No Yes</w:t>
      </w:r>
    </w:p>
    <w:p>
      <w:pPr>
        <w:pStyle w:val="BodyText"/>
        <w:spacing w:line="242" w:lineRule="auto" w:before="1"/>
        <w:ind w:left="2381" w:right="2059"/>
      </w:pPr>
      <w:r>
        <w:rPr/>
        <w:t>If yes, please provide </w:t>
      </w:r>
      <w:r>
        <w:rPr>
          <w:spacing w:val="-3"/>
        </w:rPr>
        <w:t>any </w:t>
      </w:r>
      <w:r>
        <w:rPr/>
        <w:t>comments. </w:t>
      </w:r>
      <w:r>
        <w:rPr>
          <w:spacing w:val="-6"/>
        </w:rPr>
        <w:t>You </w:t>
      </w:r>
      <w:r>
        <w:rPr>
          <w:spacing w:val="-3"/>
        </w:rPr>
        <w:t>may </w:t>
      </w:r>
      <w:r>
        <w:rPr/>
        <w:t>wish </w:t>
      </w:r>
      <w:r>
        <w:rPr>
          <w:spacing w:val="-3"/>
        </w:rPr>
        <w:t>to </w:t>
      </w:r>
      <w:r>
        <w:rPr/>
        <w:t>explain who </w:t>
      </w:r>
      <w:r>
        <w:rPr>
          <w:spacing w:val="-3"/>
        </w:rPr>
        <w:t>initiated </w:t>
      </w:r>
      <w:r>
        <w:rPr/>
        <w:t>the legal action, the cause(s) of action </w:t>
      </w:r>
      <w:r>
        <w:rPr>
          <w:spacing w:val="-3"/>
        </w:rPr>
        <w:t>that were </w:t>
      </w:r>
      <w:r>
        <w:rPr/>
        <w:t>pursued, which court you </w:t>
      </w:r>
      <w:r>
        <w:rPr>
          <w:spacing w:val="-3"/>
        </w:rPr>
        <w:t>went </w:t>
      </w:r>
      <w:r>
        <w:rPr>
          <w:spacing w:val="-4"/>
        </w:rPr>
        <w:t>to, </w:t>
      </w:r>
      <w:r>
        <w:rPr/>
        <w:t>whether you </w:t>
      </w:r>
      <w:r>
        <w:rPr>
          <w:spacing w:val="-2"/>
        </w:rPr>
        <w:t>had </w:t>
      </w:r>
      <w:r>
        <w:rPr/>
        <w:t>legal </w:t>
      </w:r>
      <w:r>
        <w:rPr>
          <w:spacing w:val="-2"/>
        </w:rPr>
        <w:t>representation </w:t>
      </w:r>
      <w:r>
        <w:rPr/>
        <w:t>or </w:t>
      </w:r>
      <w:r>
        <w:rPr>
          <w:spacing w:val="-3"/>
        </w:rPr>
        <w:t>were  self-represented,  </w:t>
      </w:r>
      <w:r>
        <w:rPr/>
        <w:t>the </w:t>
      </w:r>
      <w:r>
        <w:rPr>
          <w:spacing w:val="-3"/>
        </w:rPr>
        <w:t>outcome</w:t>
      </w:r>
      <w:r>
        <w:rPr>
          <w:spacing w:val="41"/>
        </w:rPr>
        <w:t> </w:t>
      </w:r>
      <w:r>
        <w:rPr/>
        <w:t>of the legal action and </w:t>
      </w:r>
      <w:r>
        <w:rPr>
          <w:spacing w:val="-3"/>
        </w:rPr>
        <w:t>any </w:t>
      </w:r>
      <w:r>
        <w:rPr/>
        <w:t>orders </w:t>
      </w:r>
      <w:r>
        <w:rPr>
          <w:spacing w:val="-3"/>
        </w:rPr>
        <w:t>made, </w:t>
      </w:r>
      <w:r>
        <w:rPr/>
        <w:t>and </w:t>
      </w:r>
      <w:r>
        <w:rPr>
          <w:spacing w:val="-3"/>
        </w:rPr>
        <w:t>any </w:t>
      </w:r>
      <w:r>
        <w:rPr/>
        <w:t>comments about the court process </w:t>
      </w:r>
      <w:r>
        <w:rPr>
          <w:spacing w:val="-3"/>
        </w:rPr>
        <w:t>including </w:t>
      </w:r>
      <w:r>
        <w:rPr/>
        <w:t>court-ordered </w:t>
      </w:r>
      <w:r>
        <w:rPr>
          <w:spacing w:val="-3"/>
        </w:rPr>
        <w:t>mediation,</w:t>
      </w:r>
      <w:r>
        <w:rPr>
          <w:spacing w:val="8"/>
        </w:rPr>
        <w:t> </w:t>
      </w:r>
      <w:r>
        <w:rPr>
          <w:spacing w:val="-5"/>
        </w:rPr>
        <w:t>etc</w:t>
      </w:r>
    </w:p>
    <w:p>
      <w:pPr>
        <w:pStyle w:val="BodyText"/>
        <w:spacing w:before="5"/>
        <w:rPr>
          <w:sz w:val="11"/>
        </w:rPr>
      </w:pPr>
      <w:r>
        <w:rPr/>
        <w:pict>
          <v:rect style="position:absolute;margin-left:119.305pt;margin-top:9.193646pt;width:396.35pt;height:27.844pt;mso-position-horizontal-relative:page;mso-position-vertical-relative:paragraph;z-index:12752;mso-wrap-distance-left:0;mso-wrap-distance-right:0" filled="false" stroked="true" strokeweight=".5pt" strokecolor="#658464">
            <v:stroke dashstyle="solid"/>
            <w10:wrap type="topAndBottom"/>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spacing w:before="96"/>
        <w:ind w:left="720" w:right="0" w:firstLine="0"/>
        <w:jc w:val="left"/>
        <w:rPr>
          <w:b/>
          <w:sz w:val="24"/>
        </w:rPr>
      </w:pPr>
      <w:r>
        <w:rPr>
          <w:b/>
          <w:color w:val="658464"/>
          <w:w w:val="110"/>
          <w:sz w:val="24"/>
        </w:rPr>
        <w:t>308</w:t>
      </w:r>
    </w:p>
    <w:p>
      <w:pPr>
        <w:spacing w:after="0"/>
        <w:jc w:val="left"/>
        <w:rPr>
          <w:sz w:val="24"/>
        </w:rPr>
        <w:sectPr>
          <w:pgSz w:w="11910" w:h="16840"/>
          <w:pgMar w:header="546" w:footer="0" w:top="1560" w:bottom="280" w:left="0" w:right="0"/>
        </w:sectPr>
      </w:pPr>
    </w:p>
    <w:p>
      <w:pPr>
        <w:pStyle w:val="BodyText"/>
        <w:rPr>
          <w:b/>
          <w:sz w:val="20"/>
        </w:rPr>
      </w:pPr>
    </w:p>
    <w:p>
      <w:pPr>
        <w:pStyle w:val="BodyText"/>
        <w:spacing w:before="4"/>
        <w:rPr>
          <w:b/>
          <w:sz w:val="18"/>
        </w:rPr>
      </w:pPr>
    </w:p>
    <w:p>
      <w:pPr>
        <w:pStyle w:val="Heading9"/>
        <w:numPr>
          <w:ilvl w:val="0"/>
          <w:numId w:val="211"/>
        </w:numPr>
        <w:tabs>
          <w:tab w:pos="2381" w:val="left" w:leader="none"/>
          <w:tab w:pos="2382" w:val="left" w:leader="none"/>
        </w:tabs>
        <w:spacing w:line="242" w:lineRule="auto" w:before="96" w:after="0"/>
        <w:ind w:left="2381" w:right="1966" w:hanging="794"/>
        <w:jc w:val="left"/>
      </w:pPr>
      <w:r>
        <w:rPr>
          <w:w w:val="115"/>
        </w:rPr>
        <w:t>Was</w:t>
      </w:r>
      <w:r>
        <w:rPr>
          <w:spacing w:val="-11"/>
          <w:w w:val="115"/>
        </w:rPr>
        <w:t> </w:t>
      </w:r>
      <w:r>
        <w:rPr>
          <w:w w:val="115"/>
        </w:rPr>
        <w:t>the</w:t>
      </w:r>
      <w:r>
        <w:rPr>
          <w:spacing w:val="-10"/>
          <w:w w:val="115"/>
        </w:rPr>
        <w:t> </w:t>
      </w:r>
      <w:r>
        <w:rPr>
          <w:w w:val="115"/>
        </w:rPr>
        <w:t>dispute</w:t>
      </w:r>
      <w:r>
        <w:rPr>
          <w:spacing w:val="-10"/>
          <w:w w:val="115"/>
        </w:rPr>
        <w:t> </w:t>
      </w:r>
      <w:r>
        <w:rPr>
          <w:w w:val="115"/>
        </w:rPr>
        <w:t>eventually</w:t>
      </w:r>
      <w:r>
        <w:rPr>
          <w:spacing w:val="-10"/>
          <w:w w:val="115"/>
        </w:rPr>
        <w:t> </w:t>
      </w:r>
      <w:r>
        <w:rPr>
          <w:w w:val="115"/>
        </w:rPr>
        <w:t>resolved</w:t>
      </w:r>
      <w:r>
        <w:rPr>
          <w:spacing w:val="-10"/>
          <w:w w:val="115"/>
        </w:rPr>
        <w:t> </w:t>
      </w:r>
      <w:r>
        <w:rPr>
          <w:w w:val="115"/>
        </w:rPr>
        <w:t>in</w:t>
      </w:r>
      <w:r>
        <w:rPr>
          <w:spacing w:val="-10"/>
          <w:w w:val="115"/>
        </w:rPr>
        <w:t> </w:t>
      </w:r>
      <w:r>
        <w:rPr>
          <w:w w:val="115"/>
        </w:rPr>
        <w:t>another</w:t>
      </w:r>
      <w:r>
        <w:rPr>
          <w:spacing w:val="-10"/>
          <w:w w:val="115"/>
        </w:rPr>
        <w:t> </w:t>
      </w:r>
      <w:r>
        <w:rPr>
          <w:spacing w:val="-3"/>
          <w:w w:val="115"/>
        </w:rPr>
        <w:t>way</w:t>
      </w:r>
      <w:r>
        <w:rPr>
          <w:spacing w:val="-10"/>
          <w:w w:val="115"/>
        </w:rPr>
        <w:t> </w:t>
      </w:r>
      <w:r>
        <w:rPr>
          <w:w w:val="115"/>
        </w:rPr>
        <w:t>(eg</w:t>
      </w:r>
      <w:r>
        <w:rPr>
          <w:spacing w:val="-10"/>
          <w:w w:val="115"/>
        </w:rPr>
        <w:t> </w:t>
      </w:r>
      <w:r>
        <w:rPr>
          <w:w w:val="115"/>
        </w:rPr>
        <w:t>moving</w:t>
      </w:r>
      <w:r>
        <w:rPr>
          <w:spacing w:val="-10"/>
          <w:w w:val="115"/>
        </w:rPr>
        <w:t> </w:t>
      </w:r>
      <w:r>
        <w:rPr>
          <w:spacing w:val="-5"/>
          <w:w w:val="115"/>
        </w:rPr>
        <w:t>away,</w:t>
      </w:r>
      <w:r>
        <w:rPr>
          <w:spacing w:val="-10"/>
          <w:w w:val="115"/>
        </w:rPr>
        <w:t> </w:t>
      </w:r>
      <w:r>
        <w:rPr>
          <w:w w:val="115"/>
        </w:rPr>
        <w:t>illegal action,</w:t>
      </w:r>
      <w:r>
        <w:rPr>
          <w:spacing w:val="-7"/>
          <w:w w:val="115"/>
        </w:rPr>
        <w:t> </w:t>
      </w:r>
      <w:r>
        <w:rPr>
          <w:w w:val="115"/>
        </w:rPr>
        <w:t>change</w:t>
      </w:r>
      <w:r>
        <w:rPr>
          <w:spacing w:val="-6"/>
          <w:w w:val="115"/>
        </w:rPr>
        <w:t> </w:t>
      </w:r>
      <w:r>
        <w:rPr>
          <w:w w:val="115"/>
        </w:rPr>
        <w:t>in</w:t>
      </w:r>
      <w:r>
        <w:rPr>
          <w:spacing w:val="-7"/>
          <w:w w:val="115"/>
        </w:rPr>
        <w:t> </w:t>
      </w:r>
      <w:r>
        <w:rPr>
          <w:w w:val="115"/>
        </w:rPr>
        <w:t>ownership),</w:t>
      </w:r>
      <w:r>
        <w:rPr>
          <w:spacing w:val="-6"/>
          <w:w w:val="115"/>
        </w:rPr>
        <w:t> </w:t>
      </w:r>
      <w:r>
        <w:rPr>
          <w:w w:val="115"/>
        </w:rPr>
        <w:t>or</w:t>
      </w:r>
      <w:r>
        <w:rPr>
          <w:spacing w:val="-7"/>
          <w:w w:val="115"/>
        </w:rPr>
        <w:t> </w:t>
      </w:r>
      <w:r>
        <w:rPr>
          <w:w w:val="115"/>
        </w:rPr>
        <w:t>did</w:t>
      </w:r>
      <w:r>
        <w:rPr>
          <w:spacing w:val="-6"/>
          <w:w w:val="115"/>
        </w:rPr>
        <w:t> </w:t>
      </w:r>
      <w:r>
        <w:rPr>
          <w:w w:val="115"/>
        </w:rPr>
        <w:t>the</w:t>
      </w:r>
      <w:r>
        <w:rPr>
          <w:spacing w:val="-7"/>
          <w:w w:val="115"/>
        </w:rPr>
        <w:t> </w:t>
      </w:r>
      <w:r>
        <w:rPr>
          <w:w w:val="115"/>
        </w:rPr>
        <w:t>situation</w:t>
      </w:r>
      <w:r>
        <w:rPr>
          <w:spacing w:val="-6"/>
          <w:w w:val="115"/>
        </w:rPr>
        <w:t> </w:t>
      </w:r>
      <w:r>
        <w:rPr>
          <w:w w:val="115"/>
        </w:rPr>
        <w:t>improve?</w:t>
      </w:r>
      <w:r>
        <w:rPr>
          <w:spacing w:val="-7"/>
          <w:w w:val="115"/>
        </w:rPr>
        <w:t> </w:t>
      </w:r>
      <w:r>
        <w:rPr>
          <w:w w:val="115"/>
        </w:rPr>
        <w:t>If</w:t>
      </w:r>
      <w:r>
        <w:rPr>
          <w:spacing w:val="-6"/>
          <w:w w:val="115"/>
        </w:rPr>
        <w:t> </w:t>
      </w:r>
      <w:r>
        <w:rPr>
          <w:w w:val="115"/>
        </w:rPr>
        <w:t>so,</w:t>
      </w:r>
      <w:r>
        <w:rPr>
          <w:spacing w:val="-7"/>
          <w:w w:val="115"/>
        </w:rPr>
        <w:t> </w:t>
      </w:r>
      <w:r>
        <w:rPr>
          <w:w w:val="115"/>
        </w:rPr>
        <w:t>how?</w:t>
      </w:r>
    </w:p>
    <w:p>
      <w:pPr>
        <w:pStyle w:val="BodyText"/>
        <w:spacing w:line="355" w:lineRule="auto" w:before="123"/>
        <w:ind w:left="3027" w:right="8559"/>
      </w:pPr>
      <w:r>
        <w:rPr/>
        <w:pict>
          <v:rect style="position:absolute;margin-left:119.305pt;margin-top:3.730683pt;width:14.173pt;height:14.172pt;mso-position-horizontal-relative:page;mso-position-vertical-relative:paragraph;z-index:15136" filled="false" stroked="true" strokeweight=".5pt" strokecolor="#658464">
            <v:stroke dashstyle="solid"/>
            <w10:wrap type="none"/>
          </v:rect>
        </w:pict>
      </w:r>
      <w:r>
        <w:rPr/>
        <w:pict>
          <v:rect style="position:absolute;margin-left:119.305pt;margin-top:22.730682pt;width:14.173pt;height:14.172pt;mso-position-horizontal-relative:page;mso-position-vertical-relative:paragraph;z-index:15160" filled="false" stroked="true" strokeweight=".5pt" strokecolor="#658464">
            <v:stroke dashstyle="solid"/>
            <w10:wrap type="none"/>
          </v:rect>
        </w:pict>
      </w:r>
      <w:r>
        <w:rPr>
          <w:w w:val="105"/>
        </w:rPr>
        <w:t>Yes No</w:t>
      </w:r>
    </w:p>
    <w:p>
      <w:pPr>
        <w:pStyle w:val="BodyText"/>
        <w:spacing w:before="1"/>
        <w:ind w:left="2381"/>
      </w:pPr>
      <w:r>
        <w:rPr/>
        <w:t>Please provide any comments or information about your experience.</w:t>
      </w:r>
    </w:p>
    <w:p>
      <w:pPr>
        <w:pStyle w:val="BodyText"/>
        <w:spacing w:before="3"/>
        <w:rPr>
          <w:sz w:val="11"/>
        </w:rPr>
      </w:pPr>
      <w:r>
        <w:rPr/>
        <w:pict>
          <v:rect style="position:absolute;margin-left:119.305pt;margin-top:9.099292pt;width:396.35pt;height:27.844pt;mso-position-horizontal-relative:page;mso-position-vertical-relative:paragraph;z-index:12992;mso-wrap-distance-left:0;mso-wrap-distance-right:0" filled="false" stroked="true" strokeweight=".5pt" strokecolor="#658464">
            <v:stroke dashstyle="solid"/>
            <w10:wrap type="topAndBottom"/>
          </v:rect>
        </w:pict>
      </w:r>
    </w:p>
    <w:p>
      <w:pPr>
        <w:pStyle w:val="BodyText"/>
        <w:spacing w:before="6"/>
        <w:rPr>
          <w:sz w:val="22"/>
        </w:rPr>
      </w:pPr>
    </w:p>
    <w:p>
      <w:pPr>
        <w:pStyle w:val="Heading9"/>
        <w:numPr>
          <w:ilvl w:val="0"/>
          <w:numId w:val="211"/>
        </w:numPr>
        <w:tabs>
          <w:tab w:pos="2381" w:val="left" w:leader="none"/>
          <w:tab w:pos="2382" w:val="left" w:leader="none"/>
        </w:tabs>
        <w:spacing w:line="242" w:lineRule="auto" w:before="96" w:after="0"/>
        <w:ind w:left="2381" w:right="2200" w:hanging="794"/>
        <w:jc w:val="left"/>
      </w:pPr>
      <w:r>
        <w:rPr>
          <w:w w:val="110"/>
        </w:rPr>
        <w:t>Would further support or information </w:t>
      </w:r>
      <w:r>
        <w:rPr>
          <w:spacing w:val="-3"/>
          <w:w w:val="110"/>
        </w:rPr>
        <w:t>have </w:t>
      </w:r>
      <w:r>
        <w:rPr>
          <w:w w:val="110"/>
        </w:rPr>
        <w:t>made it possible to resolve the dispute or improve the</w:t>
      </w:r>
      <w:r>
        <w:rPr>
          <w:spacing w:val="14"/>
          <w:w w:val="110"/>
        </w:rPr>
        <w:t> </w:t>
      </w:r>
      <w:r>
        <w:rPr>
          <w:w w:val="110"/>
        </w:rPr>
        <w:t>outcome?</w:t>
      </w:r>
    </w:p>
    <w:p>
      <w:pPr>
        <w:pStyle w:val="BodyText"/>
        <w:spacing w:line="355" w:lineRule="auto" w:before="122"/>
        <w:ind w:left="3027" w:right="8559"/>
      </w:pPr>
      <w:r>
        <w:rPr/>
        <w:pict>
          <v:rect style="position:absolute;margin-left:119.305pt;margin-top:3.680683pt;width:14.173pt;height:14.172pt;mso-position-horizontal-relative:page;mso-position-vertical-relative:paragraph;z-index:15184" filled="false" stroked="true" strokeweight=".5pt" strokecolor="#658464">
            <v:stroke dashstyle="solid"/>
            <w10:wrap type="none"/>
          </v:rect>
        </w:pict>
      </w:r>
      <w:r>
        <w:rPr/>
        <w:pict>
          <v:rect style="position:absolute;margin-left:119.305pt;margin-top:22.680683pt;width:14.173pt;height:14.172pt;mso-position-horizontal-relative:page;mso-position-vertical-relative:paragraph;z-index:15208" filled="false" stroked="true" strokeweight=".5pt" strokecolor="#658464">
            <v:stroke dashstyle="solid"/>
            <w10:wrap type="none"/>
          </v:rect>
        </w:pict>
      </w:r>
      <w:r>
        <w:rPr>
          <w:w w:val="105"/>
        </w:rPr>
        <w:t>No Yes</w:t>
      </w:r>
    </w:p>
    <w:p>
      <w:pPr>
        <w:pStyle w:val="BodyText"/>
        <w:spacing w:line="242" w:lineRule="auto" w:before="2"/>
        <w:ind w:left="2381" w:right="1810"/>
      </w:pPr>
      <w:r>
        <w:rPr>
          <w:w w:val="105"/>
        </w:rPr>
        <w:t>Please</w:t>
      </w:r>
      <w:r>
        <w:rPr>
          <w:spacing w:val="-10"/>
          <w:w w:val="105"/>
        </w:rPr>
        <w:t> </w:t>
      </w:r>
      <w:r>
        <w:rPr>
          <w:w w:val="105"/>
        </w:rPr>
        <w:t>provide</w:t>
      </w:r>
      <w:r>
        <w:rPr>
          <w:spacing w:val="-9"/>
          <w:w w:val="105"/>
        </w:rPr>
        <w:t> </w:t>
      </w:r>
      <w:r>
        <w:rPr>
          <w:spacing w:val="-3"/>
          <w:w w:val="105"/>
        </w:rPr>
        <w:t>any</w:t>
      </w:r>
      <w:r>
        <w:rPr>
          <w:spacing w:val="-9"/>
          <w:w w:val="105"/>
        </w:rPr>
        <w:t> </w:t>
      </w:r>
      <w:r>
        <w:rPr>
          <w:w w:val="105"/>
        </w:rPr>
        <w:t>comments</w:t>
      </w:r>
      <w:r>
        <w:rPr>
          <w:spacing w:val="-9"/>
          <w:w w:val="105"/>
        </w:rPr>
        <w:t> </w:t>
      </w:r>
      <w:r>
        <w:rPr>
          <w:w w:val="105"/>
        </w:rPr>
        <w:t>(eg,</w:t>
      </w:r>
      <w:r>
        <w:rPr>
          <w:spacing w:val="-10"/>
          <w:w w:val="105"/>
        </w:rPr>
        <w:t> </w:t>
      </w:r>
      <w:r>
        <w:rPr>
          <w:w w:val="105"/>
        </w:rPr>
        <w:t>you</w:t>
      </w:r>
      <w:r>
        <w:rPr>
          <w:spacing w:val="-9"/>
          <w:w w:val="105"/>
        </w:rPr>
        <w:t> </w:t>
      </w:r>
      <w:r>
        <w:rPr>
          <w:w w:val="105"/>
        </w:rPr>
        <w:t>can</w:t>
      </w:r>
      <w:r>
        <w:rPr>
          <w:spacing w:val="-9"/>
          <w:w w:val="105"/>
        </w:rPr>
        <w:t> </w:t>
      </w:r>
      <w:r>
        <w:rPr>
          <w:w w:val="105"/>
        </w:rPr>
        <w:t>specify</w:t>
      </w:r>
      <w:r>
        <w:rPr>
          <w:spacing w:val="-9"/>
          <w:w w:val="105"/>
        </w:rPr>
        <w:t> </w:t>
      </w:r>
      <w:r>
        <w:rPr>
          <w:w w:val="105"/>
        </w:rPr>
        <w:t>the</w:t>
      </w:r>
      <w:r>
        <w:rPr>
          <w:spacing w:val="-10"/>
          <w:w w:val="105"/>
        </w:rPr>
        <w:t> </w:t>
      </w:r>
      <w:r>
        <w:rPr>
          <w:w w:val="105"/>
        </w:rPr>
        <w:t>types</w:t>
      </w:r>
      <w:r>
        <w:rPr>
          <w:spacing w:val="-9"/>
          <w:w w:val="105"/>
        </w:rPr>
        <w:t> </w:t>
      </w:r>
      <w:r>
        <w:rPr>
          <w:w w:val="105"/>
        </w:rPr>
        <w:t>of</w:t>
      </w:r>
      <w:r>
        <w:rPr>
          <w:spacing w:val="-9"/>
          <w:w w:val="105"/>
        </w:rPr>
        <w:t> </w:t>
      </w:r>
      <w:r>
        <w:rPr>
          <w:w w:val="105"/>
        </w:rPr>
        <w:t>support</w:t>
      </w:r>
      <w:r>
        <w:rPr>
          <w:spacing w:val="-9"/>
          <w:w w:val="105"/>
        </w:rPr>
        <w:t> </w:t>
      </w:r>
      <w:r>
        <w:rPr>
          <w:w w:val="105"/>
        </w:rPr>
        <w:t>or</w:t>
      </w:r>
      <w:r>
        <w:rPr>
          <w:spacing w:val="-10"/>
          <w:w w:val="105"/>
        </w:rPr>
        <w:t> </w:t>
      </w:r>
      <w:r>
        <w:rPr>
          <w:spacing w:val="-3"/>
          <w:w w:val="105"/>
        </w:rPr>
        <w:t>information </w:t>
      </w:r>
      <w:r>
        <w:rPr>
          <w:w w:val="105"/>
        </w:rPr>
        <w:t>you would </w:t>
      </w:r>
      <w:r>
        <w:rPr>
          <w:spacing w:val="-3"/>
          <w:w w:val="105"/>
        </w:rPr>
        <w:t>have found helpful </w:t>
      </w:r>
      <w:r>
        <w:rPr>
          <w:w w:val="105"/>
        </w:rPr>
        <w:t>or explain why they would </w:t>
      </w:r>
      <w:r>
        <w:rPr>
          <w:spacing w:val="-2"/>
          <w:w w:val="105"/>
        </w:rPr>
        <w:t>not </w:t>
      </w:r>
      <w:r>
        <w:rPr>
          <w:spacing w:val="-3"/>
          <w:w w:val="105"/>
        </w:rPr>
        <w:t>have improved </w:t>
      </w:r>
      <w:r>
        <w:rPr>
          <w:w w:val="105"/>
        </w:rPr>
        <w:t>the outcome)</w:t>
      </w:r>
    </w:p>
    <w:p>
      <w:pPr>
        <w:pStyle w:val="BodyText"/>
        <w:spacing w:before="2"/>
        <w:rPr>
          <w:sz w:val="11"/>
        </w:rPr>
      </w:pPr>
      <w:r>
        <w:rPr/>
        <w:pict>
          <v:rect style="position:absolute;margin-left:119.305pt;margin-top:9.061029pt;width:396.35pt;height:27.844pt;mso-position-horizontal-relative:page;mso-position-vertical-relative:paragraph;z-index:13016;mso-wrap-distance-left:0;mso-wrap-distance-right:0" filled="false" stroked="true" strokeweight=".5pt" strokecolor="#658464">
            <v:stroke dashstyle="solid"/>
            <w10:wrap type="topAndBottom"/>
          </v:rect>
        </w:pict>
      </w:r>
    </w:p>
    <w:p>
      <w:pPr>
        <w:pStyle w:val="BodyText"/>
        <w:spacing w:before="6"/>
        <w:rPr>
          <w:sz w:val="22"/>
        </w:rPr>
      </w:pPr>
    </w:p>
    <w:p>
      <w:pPr>
        <w:pStyle w:val="Heading9"/>
        <w:numPr>
          <w:ilvl w:val="0"/>
          <w:numId w:val="211"/>
        </w:numPr>
        <w:tabs>
          <w:tab w:pos="2381" w:val="left" w:leader="none"/>
          <w:tab w:pos="2382" w:val="left" w:leader="none"/>
        </w:tabs>
        <w:spacing w:line="242" w:lineRule="auto" w:before="96" w:after="0"/>
        <w:ind w:left="2381" w:right="1710" w:hanging="794"/>
        <w:jc w:val="left"/>
      </w:pPr>
      <w:r>
        <w:rPr>
          <w:w w:val="115"/>
        </w:rPr>
        <w:t>Did</w:t>
      </w:r>
      <w:r>
        <w:rPr>
          <w:spacing w:val="-12"/>
          <w:w w:val="115"/>
        </w:rPr>
        <w:t> </w:t>
      </w:r>
      <w:r>
        <w:rPr>
          <w:w w:val="115"/>
        </w:rPr>
        <w:t>the</w:t>
      </w:r>
      <w:r>
        <w:rPr>
          <w:spacing w:val="-11"/>
          <w:w w:val="115"/>
        </w:rPr>
        <w:t> </w:t>
      </w:r>
      <w:r>
        <w:rPr>
          <w:w w:val="115"/>
        </w:rPr>
        <w:t>court</w:t>
      </w:r>
      <w:r>
        <w:rPr>
          <w:spacing w:val="-11"/>
          <w:w w:val="115"/>
        </w:rPr>
        <w:t> </w:t>
      </w:r>
      <w:r>
        <w:rPr>
          <w:w w:val="115"/>
        </w:rPr>
        <w:t>resolve</w:t>
      </w:r>
      <w:r>
        <w:rPr>
          <w:spacing w:val="-11"/>
          <w:w w:val="115"/>
        </w:rPr>
        <w:t> </w:t>
      </w:r>
      <w:r>
        <w:rPr>
          <w:w w:val="115"/>
        </w:rPr>
        <w:t>the</w:t>
      </w:r>
      <w:r>
        <w:rPr>
          <w:spacing w:val="-11"/>
          <w:w w:val="115"/>
        </w:rPr>
        <w:t> </w:t>
      </w:r>
      <w:r>
        <w:rPr>
          <w:w w:val="115"/>
        </w:rPr>
        <w:t>dispute</w:t>
      </w:r>
      <w:r>
        <w:rPr>
          <w:spacing w:val="-11"/>
          <w:w w:val="115"/>
        </w:rPr>
        <w:t> </w:t>
      </w:r>
      <w:r>
        <w:rPr>
          <w:w w:val="115"/>
        </w:rPr>
        <w:t>effectively</w:t>
      </w:r>
      <w:r>
        <w:rPr>
          <w:spacing w:val="-11"/>
          <w:w w:val="115"/>
        </w:rPr>
        <w:t> </w:t>
      </w:r>
      <w:r>
        <w:rPr>
          <w:w w:val="115"/>
        </w:rPr>
        <w:t>(regardless</w:t>
      </w:r>
      <w:r>
        <w:rPr>
          <w:spacing w:val="-11"/>
          <w:w w:val="115"/>
        </w:rPr>
        <w:t> </w:t>
      </w:r>
      <w:r>
        <w:rPr>
          <w:w w:val="115"/>
        </w:rPr>
        <w:t>of</w:t>
      </w:r>
      <w:r>
        <w:rPr>
          <w:spacing w:val="-11"/>
          <w:w w:val="115"/>
        </w:rPr>
        <w:t> </w:t>
      </w:r>
      <w:r>
        <w:rPr>
          <w:w w:val="115"/>
        </w:rPr>
        <w:t>whether</w:t>
      </w:r>
      <w:r>
        <w:rPr>
          <w:spacing w:val="-11"/>
          <w:w w:val="115"/>
        </w:rPr>
        <w:t> </w:t>
      </w:r>
      <w:r>
        <w:rPr>
          <w:w w:val="115"/>
        </w:rPr>
        <w:t>you</w:t>
      </w:r>
      <w:r>
        <w:rPr>
          <w:spacing w:val="-12"/>
          <w:w w:val="115"/>
        </w:rPr>
        <w:t> </w:t>
      </w:r>
      <w:r>
        <w:rPr>
          <w:w w:val="115"/>
        </w:rPr>
        <w:t>won</w:t>
      </w:r>
      <w:r>
        <w:rPr>
          <w:spacing w:val="-11"/>
          <w:w w:val="115"/>
        </w:rPr>
        <w:t> </w:t>
      </w:r>
      <w:r>
        <w:rPr>
          <w:w w:val="115"/>
        </w:rPr>
        <w:t>or lost)?</w:t>
      </w:r>
    </w:p>
    <w:p>
      <w:pPr>
        <w:pStyle w:val="BodyText"/>
        <w:spacing w:line="355" w:lineRule="auto" w:before="122"/>
        <w:ind w:left="3027" w:right="8559"/>
      </w:pPr>
      <w:r>
        <w:rPr/>
        <w:pict>
          <v:rect style="position:absolute;margin-left:119.305pt;margin-top:3.680652pt;width:14.173pt;height:14.172pt;mso-position-horizontal-relative:page;mso-position-vertical-relative:paragraph;z-index:15232" filled="false" stroked="true" strokeweight=".5pt" strokecolor="#658464">
            <v:stroke dashstyle="solid"/>
            <w10:wrap type="none"/>
          </v:rect>
        </w:pict>
      </w:r>
      <w:r>
        <w:rPr/>
        <w:pict>
          <v:rect style="position:absolute;margin-left:119.305pt;margin-top:22.680653pt;width:14.173pt;height:14.172pt;mso-position-horizontal-relative:page;mso-position-vertical-relative:paragraph;z-index:15256" filled="false" stroked="true" strokeweight=".5pt" strokecolor="#658464">
            <v:stroke dashstyle="solid"/>
            <w10:wrap type="none"/>
          </v:rect>
        </w:pict>
      </w:r>
      <w:r>
        <w:rPr>
          <w:w w:val="105"/>
        </w:rPr>
        <w:t>No Yes</w:t>
      </w:r>
    </w:p>
    <w:p>
      <w:pPr>
        <w:pStyle w:val="BodyText"/>
        <w:spacing w:before="2"/>
        <w:ind w:left="2381"/>
      </w:pPr>
      <w:r>
        <w:rPr/>
        <w:t>Please provide any comments about your experience in court.</w:t>
      </w:r>
    </w:p>
    <w:p>
      <w:pPr>
        <w:pStyle w:val="BodyText"/>
        <w:spacing w:before="3"/>
        <w:rPr>
          <w:sz w:val="11"/>
        </w:rPr>
      </w:pPr>
      <w:r>
        <w:rPr/>
        <w:pict>
          <v:rect style="position:absolute;margin-left:119.305pt;margin-top:9.080317pt;width:396.35pt;height:27.844pt;mso-position-horizontal-relative:page;mso-position-vertical-relative:paragraph;z-index:13040;mso-wrap-distance-left:0;mso-wrap-distance-right:0" filled="false" stroked="true" strokeweight=".5pt" strokecolor="#658464">
            <v:stroke dashstyle="solid"/>
            <w10:wrap type="topAndBottom"/>
          </v:rect>
        </w:pict>
      </w:r>
    </w:p>
    <w:p>
      <w:pPr>
        <w:pStyle w:val="BodyText"/>
        <w:spacing w:before="6"/>
        <w:rPr>
          <w:sz w:val="22"/>
        </w:rPr>
      </w:pPr>
    </w:p>
    <w:p>
      <w:pPr>
        <w:pStyle w:val="Heading9"/>
        <w:numPr>
          <w:ilvl w:val="0"/>
          <w:numId w:val="211"/>
        </w:numPr>
        <w:tabs>
          <w:tab w:pos="2381" w:val="left" w:leader="none"/>
          <w:tab w:pos="2382" w:val="left" w:leader="none"/>
        </w:tabs>
        <w:spacing w:line="242" w:lineRule="auto" w:before="96" w:after="0"/>
        <w:ind w:left="2381" w:right="1763" w:hanging="794"/>
        <w:jc w:val="left"/>
      </w:pPr>
      <w:r>
        <w:rPr>
          <w:spacing w:val="-3"/>
          <w:w w:val="110"/>
        </w:rPr>
        <w:t>Have </w:t>
      </w:r>
      <w:r>
        <w:rPr>
          <w:w w:val="110"/>
        </w:rPr>
        <w:t>you </w:t>
      </w:r>
      <w:r>
        <w:rPr>
          <w:spacing w:val="-3"/>
          <w:w w:val="110"/>
        </w:rPr>
        <w:t>ever </w:t>
      </w:r>
      <w:r>
        <w:rPr>
          <w:w w:val="110"/>
        </w:rPr>
        <w:t>assisted other people to resolve a tree dispute (in a professional capacity)?</w:t>
      </w:r>
    </w:p>
    <w:p>
      <w:pPr>
        <w:pStyle w:val="BodyText"/>
        <w:spacing w:line="355" w:lineRule="auto" w:before="122"/>
        <w:ind w:left="3027" w:right="8559"/>
      </w:pPr>
      <w:r>
        <w:rPr/>
        <w:pict>
          <v:rect style="position:absolute;margin-left:119.305pt;margin-top:3.680652pt;width:14.173pt;height:14.172pt;mso-position-horizontal-relative:page;mso-position-vertical-relative:paragraph;z-index:15280" filled="false" stroked="true" strokeweight=".5pt" strokecolor="#658464">
            <v:stroke dashstyle="solid"/>
            <w10:wrap type="none"/>
          </v:rect>
        </w:pict>
      </w:r>
      <w:r>
        <w:rPr/>
        <w:pict>
          <v:rect style="position:absolute;margin-left:119.305pt;margin-top:22.680653pt;width:14.173pt;height:14.172pt;mso-position-horizontal-relative:page;mso-position-vertical-relative:paragraph;z-index:15304" filled="false" stroked="true" strokeweight=".5pt" strokecolor="#658464">
            <v:stroke dashstyle="solid"/>
            <w10:wrap type="none"/>
          </v:rect>
        </w:pict>
      </w:r>
      <w:r>
        <w:rPr>
          <w:w w:val="105"/>
        </w:rPr>
        <w:t>No Yes</w:t>
      </w:r>
    </w:p>
    <w:p>
      <w:pPr>
        <w:pStyle w:val="BodyText"/>
        <w:spacing w:line="242" w:lineRule="auto" w:before="2"/>
        <w:ind w:left="2381" w:right="1810"/>
      </w:pPr>
      <w:r>
        <w:rPr/>
        <w:t>If yes, what is/was your role and how did you assist? For example, as a legal representative, an ADR practitioner, a council officer or by directing to information resources.</w:t>
      </w:r>
    </w:p>
    <w:p>
      <w:pPr>
        <w:pStyle w:val="BodyText"/>
        <w:spacing w:before="2"/>
        <w:rPr>
          <w:sz w:val="11"/>
        </w:rPr>
      </w:pPr>
      <w:r>
        <w:rPr/>
        <w:pict>
          <v:rect style="position:absolute;margin-left:119.305pt;margin-top:9.061029pt;width:396.35pt;height:27.844pt;mso-position-horizontal-relative:page;mso-position-vertical-relative:paragraph;z-index:13064;mso-wrap-distance-left:0;mso-wrap-distance-right:0" filled="false" stroked="true" strokeweight=".5pt" strokecolor="#658464">
            <v:stroke dashstyle="solid"/>
            <w10:wrap type="topAndBottom"/>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spacing w:before="96"/>
        <w:ind w:left="0" w:right="589" w:firstLine="0"/>
        <w:jc w:val="right"/>
        <w:rPr>
          <w:b/>
          <w:sz w:val="24"/>
        </w:rPr>
      </w:pPr>
      <w:r>
        <w:rPr>
          <w:b/>
          <w:color w:val="658464"/>
          <w:w w:val="110"/>
          <w:sz w:val="24"/>
        </w:rPr>
        <w:t>309</w:t>
      </w:r>
    </w:p>
    <w:p>
      <w:pPr>
        <w:spacing w:after="0"/>
        <w:jc w:val="right"/>
        <w:rPr>
          <w:sz w:val="24"/>
        </w:rPr>
        <w:sectPr>
          <w:pgSz w:w="11910" w:h="16840"/>
          <w:pgMar w:header="808" w:footer="0" w:top="1360" w:bottom="280" w:left="0" w:right="0"/>
        </w:sectPr>
      </w:pPr>
    </w:p>
    <w:p>
      <w:pPr>
        <w:pStyle w:val="BodyText"/>
        <w:spacing w:before="4"/>
        <w:rPr>
          <w:b/>
          <w:sz w:val="22"/>
        </w:rPr>
      </w:pPr>
    </w:p>
    <w:p>
      <w:pPr>
        <w:pStyle w:val="Heading9"/>
        <w:numPr>
          <w:ilvl w:val="0"/>
          <w:numId w:val="211"/>
        </w:numPr>
        <w:tabs>
          <w:tab w:pos="2381" w:val="left" w:leader="none"/>
          <w:tab w:pos="2382" w:val="left" w:leader="none"/>
        </w:tabs>
        <w:spacing w:line="242" w:lineRule="auto" w:before="97" w:after="0"/>
        <w:ind w:left="2381" w:right="1772" w:hanging="794"/>
        <w:jc w:val="left"/>
      </w:pPr>
      <w:r>
        <w:rPr>
          <w:w w:val="115"/>
        </w:rPr>
        <w:t>Do</w:t>
      </w:r>
      <w:r>
        <w:rPr>
          <w:spacing w:val="-13"/>
          <w:w w:val="115"/>
        </w:rPr>
        <w:t> </w:t>
      </w:r>
      <w:r>
        <w:rPr>
          <w:w w:val="115"/>
        </w:rPr>
        <w:t>you</w:t>
      </w:r>
      <w:r>
        <w:rPr>
          <w:spacing w:val="-12"/>
          <w:w w:val="115"/>
        </w:rPr>
        <w:t> </w:t>
      </w:r>
      <w:r>
        <w:rPr>
          <w:w w:val="115"/>
        </w:rPr>
        <w:t>think</w:t>
      </w:r>
      <w:r>
        <w:rPr>
          <w:spacing w:val="-12"/>
          <w:w w:val="115"/>
        </w:rPr>
        <w:t> </w:t>
      </w:r>
      <w:r>
        <w:rPr>
          <w:w w:val="115"/>
        </w:rPr>
        <w:t>the</w:t>
      </w:r>
      <w:r>
        <w:rPr>
          <w:spacing w:val="-13"/>
          <w:w w:val="115"/>
        </w:rPr>
        <w:t> </w:t>
      </w:r>
      <w:r>
        <w:rPr>
          <w:w w:val="115"/>
        </w:rPr>
        <w:t>current</w:t>
      </w:r>
      <w:r>
        <w:rPr>
          <w:spacing w:val="-12"/>
          <w:w w:val="115"/>
        </w:rPr>
        <w:t> </w:t>
      </w:r>
      <w:r>
        <w:rPr>
          <w:spacing w:val="-2"/>
          <w:w w:val="115"/>
        </w:rPr>
        <w:t>law</w:t>
      </w:r>
      <w:r>
        <w:rPr>
          <w:spacing w:val="-12"/>
          <w:w w:val="115"/>
        </w:rPr>
        <w:t> </w:t>
      </w:r>
      <w:r>
        <w:rPr>
          <w:w w:val="115"/>
        </w:rPr>
        <w:t>and</w:t>
      </w:r>
      <w:r>
        <w:rPr>
          <w:spacing w:val="-13"/>
          <w:w w:val="115"/>
        </w:rPr>
        <w:t> </w:t>
      </w:r>
      <w:r>
        <w:rPr>
          <w:w w:val="115"/>
        </w:rPr>
        <w:t>process</w:t>
      </w:r>
      <w:r>
        <w:rPr>
          <w:spacing w:val="-12"/>
          <w:w w:val="115"/>
        </w:rPr>
        <w:t> </w:t>
      </w:r>
      <w:r>
        <w:rPr>
          <w:w w:val="115"/>
        </w:rPr>
        <w:t>for</w:t>
      </w:r>
      <w:r>
        <w:rPr>
          <w:spacing w:val="-12"/>
          <w:w w:val="115"/>
        </w:rPr>
        <w:t> </w:t>
      </w:r>
      <w:r>
        <w:rPr>
          <w:w w:val="115"/>
        </w:rPr>
        <w:t>resolving</w:t>
      </w:r>
      <w:r>
        <w:rPr>
          <w:spacing w:val="-13"/>
          <w:w w:val="115"/>
        </w:rPr>
        <w:t> </w:t>
      </w:r>
      <w:r>
        <w:rPr>
          <w:w w:val="115"/>
        </w:rPr>
        <w:t>tree</w:t>
      </w:r>
      <w:r>
        <w:rPr>
          <w:spacing w:val="-12"/>
          <w:w w:val="115"/>
        </w:rPr>
        <w:t> </w:t>
      </w:r>
      <w:r>
        <w:rPr>
          <w:w w:val="115"/>
        </w:rPr>
        <w:t>disputes</w:t>
      </w:r>
      <w:r>
        <w:rPr>
          <w:spacing w:val="-12"/>
          <w:w w:val="115"/>
        </w:rPr>
        <w:t> </w:t>
      </w:r>
      <w:r>
        <w:rPr>
          <w:w w:val="115"/>
        </w:rPr>
        <w:t>in</w:t>
      </w:r>
      <w:r>
        <w:rPr>
          <w:spacing w:val="-13"/>
          <w:w w:val="115"/>
        </w:rPr>
        <w:t> </w:t>
      </w:r>
      <w:r>
        <w:rPr>
          <w:w w:val="115"/>
        </w:rPr>
        <w:t>Victoria is satisfactory as it</w:t>
      </w:r>
      <w:r>
        <w:rPr>
          <w:spacing w:val="1"/>
          <w:w w:val="115"/>
        </w:rPr>
        <w:t> </w:t>
      </w:r>
      <w:r>
        <w:rPr>
          <w:w w:val="115"/>
        </w:rPr>
        <w:t>is?</w:t>
      </w:r>
    </w:p>
    <w:p>
      <w:pPr>
        <w:pStyle w:val="BodyText"/>
        <w:spacing w:line="355" w:lineRule="auto" w:before="122"/>
        <w:ind w:left="3027" w:right="8559"/>
      </w:pPr>
      <w:r>
        <w:rPr/>
        <w:pict>
          <v:rect style="position:absolute;margin-left:119.305pt;margin-top:3.680683pt;width:14.173pt;height:14.172pt;mso-position-horizontal-relative:page;mso-position-vertical-relative:paragraph;z-index:15424" filled="false" stroked="true" strokeweight=".5pt" strokecolor="#658464">
            <v:stroke dashstyle="solid"/>
            <w10:wrap type="none"/>
          </v:rect>
        </w:pict>
      </w:r>
      <w:r>
        <w:rPr/>
        <w:pict>
          <v:rect style="position:absolute;margin-left:119.305pt;margin-top:22.680683pt;width:14.173pt;height:14.172pt;mso-position-horizontal-relative:page;mso-position-vertical-relative:paragraph;z-index:15448" filled="false" stroked="true" strokeweight=".5pt" strokecolor="#658464">
            <v:stroke dashstyle="solid"/>
            <w10:wrap type="none"/>
          </v:rect>
        </w:pict>
      </w:r>
      <w:r>
        <w:rPr>
          <w:w w:val="105"/>
        </w:rPr>
        <w:t>Yes No</w:t>
      </w:r>
    </w:p>
    <w:p>
      <w:pPr>
        <w:pStyle w:val="BodyText"/>
        <w:spacing w:before="1"/>
        <w:ind w:left="2381"/>
      </w:pPr>
      <w:r>
        <w:rPr>
          <w:w w:val="105"/>
        </w:rPr>
        <w:t>If not, why not and what changes should be made?</w:t>
      </w:r>
    </w:p>
    <w:p>
      <w:pPr>
        <w:pStyle w:val="BodyText"/>
        <w:spacing w:before="3"/>
        <w:rPr>
          <w:sz w:val="11"/>
        </w:rPr>
      </w:pPr>
      <w:r>
        <w:rPr/>
        <w:pict>
          <v:rect style="position:absolute;margin-left:119.305pt;margin-top:9.109317pt;width:396.35pt;height:27.844pt;mso-position-horizontal-relative:page;mso-position-vertical-relative:paragraph;z-index:13280;mso-wrap-distance-left:0;mso-wrap-distance-right:0" filled="false" stroked="true" strokeweight=".5pt" strokecolor="#658464">
            <v:stroke dashstyle="solid"/>
            <w10:wrap type="topAndBottom"/>
          </v:rect>
        </w:pict>
      </w:r>
    </w:p>
    <w:p>
      <w:pPr>
        <w:pStyle w:val="BodyText"/>
        <w:spacing w:before="6"/>
        <w:rPr>
          <w:sz w:val="22"/>
        </w:rPr>
      </w:pPr>
    </w:p>
    <w:p>
      <w:pPr>
        <w:pStyle w:val="Heading9"/>
        <w:numPr>
          <w:ilvl w:val="0"/>
          <w:numId w:val="211"/>
        </w:numPr>
        <w:tabs>
          <w:tab w:pos="2381" w:val="left" w:leader="none"/>
          <w:tab w:pos="2382" w:val="left" w:leader="none"/>
        </w:tabs>
        <w:spacing w:line="242" w:lineRule="auto" w:before="96" w:after="0"/>
        <w:ind w:left="2381" w:right="2003" w:hanging="794"/>
        <w:jc w:val="left"/>
      </w:pPr>
      <w:r>
        <w:rPr>
          <w:w w:val="110"/>
        </w:rPr>
        <w:t>Is there anything else you would </w:t>
      </w:r>
      <w:r>
        <w:rPr>
          <w:spacing w:val="-3"/>
          <w:w w:val="110"/>
        </w:rPr>
        <w:t>like </w:t>
      </w:r>
      <w:r>
        <w:rPr>
          <w:w w:val="110"/>
        </w:rPr>
        <w:t>to share about your experience or </w:t>
      </w:r>
      <w:r>
        <w:rPr>
          <w:spacing w:val="-3"/>
          <w:w w:val="110"/>
        </w:rPr>
        <w:t>your </w:t>
      </w:r>
      <w:r>
        <w:rPr>
          <w:w w:val="110"/>
        </w:rPr>
        <w:t>views on the current</w:t>
      </w:r>
      <w:r>
        <w:rPr>
          <w:spacing w:val="14"/>
          <w:w w:val="110"/>
        </w:rPr>
        <w:t> </w:t>
      </w:r>
      <w:r>
        <w:rPr>
          <w:w w:val="110"/>
        </w:rPr>
        <w:t>law?</w:t>
      </w:r>
    </w:p>
    <w:p>
      <w:pPr>
        <w:pStyle w:val="BodyText"/>
        <w:spacing w:before="2"/>
        <w:rPr>
          <w:b/>
          <w:sz w:val="11"/>
        </w:rPr>
      </w:pPr>
      <w:r>
        <w:rPr/>
        <w:pict>
          <v:rect style="position:absolute;margin-left:119.305pt;margin-top:9.037152pt;width:396.35pt;height:27.844pt;mso-position-horizontal-relative:page;mso-position-vertical-relative:paragraph;z-index:13304;mso-wrap-distance-left:0;mso-wrap-distance-right:0" filled="false" stroked="true" strokeweight=".5pt" strokecolor="#658464">
            <v:stroke dashstyle="solid"/>
            <w10:wrap type="topAndBottom"/>
          </v:rect>
        </w:pict>
      </w:r>
    </w:p>
    <w:p>
      <w:pPr>
        <w:pStyle w:val="BodyText"/>
        <w:spacing w:before="6"/>
        <w:rPr>
          <w:b/>
          <w:sz w:val="22"/>
        </w:rPr>
      </w:pPr>
    </w:p>
    <w:p>
      <w:pPr>
        <w:pStyle w:val="ListParagraph"/>
        <w:numPr>
          <w:ilvl w:val="0"/>
          <w:numId w:val="211"/>
        </w:numPr>
        <w:tabs>
          <w:tab w:pos="2381" w:val="left" w:leader="none"/>
          <w:tab w:pos="2382" w:val="left" w:leader="none"/>
        </w:tabs>
        <w:spacing w:line="240" w:lineRule="auto" w:before="96" w:after="0"/>
        <w:ind w:left="2381" w:right="0" w:hanging="794"/>
        <w:jc w:val="left"/>
        <w:rPr>
          <w:b/>
          <w:sz w:val="21"/>
        </w:rPr>
      </w:pPr>
      <w:r>
        <w:rPr>
          <w:b/>
          <w:w w:val="110"/>
          <w:sz w:val="21"/>
        </w:rPr>
        <w:t>What is your post</w:t>
      </w:r>
      <w:r>
        <w:rPr>
          <w:b/>
          <w:spacing w:val="13"/>
          <w:w w:val="110"/>
          <w:sz w:val="21"/>
        </w:rPr>
        <w:t> </w:t>
      </w:r>
      <w:r>
        <w:rPr>
          <w:b/>
          <w:w w:val="110"/>
          <w:sz w:val="21"/>
        </w:rPr>
        <w:t>code?</w:t>
      </w:r>
    </w:p>
    <w:p>
      <w:pPr>
        <w:pStyle w:val="BodyText"/>
        <w:spacing w:before="3"/>
        <w:rPr>
          <w:b/>
          <w:sz w:val="11"/>
        </w:rPr>
      </w:pPr>
      <w:r>
        <w:rPr/>
        <w:pict>
          <v:rect style="position:absolute;margin-left:119.305pt;margin-top:9.110883pt;width:396.35pt;height:27.844pt;mso-position-horizontal-relative:page;mso-position-vertical-relative:paragraph;z-index:13328;mso-wrap-distance-left:0;mso-wrap-distance-right:0" filled="false" stroked="true" strokeweight=".5pt" strokecolor="#658464">
            <v:stroke dashstyle="solid"/>
            <w10:wrap type="topAndBottom"/>
          </v:rect>
        </w:pict>
      </w:r>
    </w:p>
    <w:p>
      <w:pPr>
        <w:pStyle w:val="BodyText"/>
        <w:spacing w:before="6"/>
        <w:rPr>
          <w:b/>
          <w:sz w:val="22"/>
        </w:rPr>
      </w:pPr>
    </w:p>
    <w:p>
      <w:pPr>
        <w:pStyle w:val="ListParagraph"/>
        <w:numPr>
          <w:ilvl w:val="0"/>
          <w:numId w:val="211"/>
        </w:numPr>
        <w:tabs>
          <w:tab w:pos="2381" w:val="left" w:leader="none"/>
          <w:tab w:pos="2382" w:val="left" w:leader="none"/>
        </w:tabs>
        <w:spacing w:line="242" w:lineRule="auto" w:before="96" w:after="0"/>
        <w:ind w:left="2381" w:right="2203" w:hanging="794"/>
        <w:jc w:val="left"/>
        <w:rPr>
          <w:b/>
          <w:sz w:val="21"/>
        </w:rPr>
      </w:pPr>
      <w:r>
        <w:rPr>
          <w:b/>
          <w:w w:val="115"/>
          <w:sz w:val="21"/>
        </w:rPr>
        <w:t>If</w:t>
      </w:r>
      <w:r>
        <w:rPr>
          <w:b/>
          <w:spacing w:val="-12"/>
          <w:w w:val="115"/>
          <w:sz w:val="21"/>
        </w:rPr>
        <w:t> </w:t>
      </w:r>
      <w:r>
        <w:rPr>
          <w:b/>
          <w:w w:val="115"/>
          <w:sz w:val="21"/>
        </w:rPr>
        <w:t>you</w:t>
      </w:r>
      <w:r>
        <w:rPr>
          <w:b/>
          <w:spacing w:val="-11"/>
          <w:w w:val="115"/>
          <w:sz w:val="21"/>
        </w:rPr>
        <w:t> </w:t>
      </w:r>
      <w:r>
        <w:rPr>
          <w:b/>
          <w:w w:val="115"/>
          <w:sz w:val="21"/>
        </w:rPr>
        <w:t>are</w:t>
      </w:r>
      <w:r>
        <w:rPr>
          <w:b/>
          <w:spacing w:val="-12"/>
          <w:w w:val="115"/>
          <w:sz w:val="21"/>
        </w:rPr>
        <w:t> </w:t>
      </w:r>
      <w:r>
        <w:rPr>
          <w:b/>
          <w:w w:val="115"/>
          <w:sz w:val="21"/>
        </w:rPr>
        <w:t>happy</w:t>
      </w:r>
      <w:r>
        <w:rPr>
          <w:b/>
          <w:spacing w:val="-11"/>
          <w:w w:val="115"/>
          <w:sz w:val="21"/>
        </w:rPr>
        <w:t> </w:t>
      </w:r>
      <w:r>
        <w:rPr>
          <w:b/>
          <w:w w:val="115"/>
          <w:sz w:val="21"/>
        </w:rPr>
        <w:t>for</w:t>
      </w:r>
      <w:r>
        <w:rPr>
          <w:b/>
          <w:spacing w:val="-11"/>
          <w:w w:val="115"/>
          <w:sz w:val="21"/>
        </w:rPr>
        <w:t> </w:t>
      </w:r>
      <w:r>
        <w:rPr>
          <w:b/>
          <w:w w:val="115"/>
          <w:sz w:val="21"/>
        </w:rPr>
        <w:t>us</w:t>
      </w:r>
      <w:r>
        <w:rPr>
          <w:b/>
          <w:spacing w:val="-12"/>
          <w:w w:val="115"/>
          <w:sz w:val="21"/>
        </w:rPr>
        <w:t> </w:t>
      </w:r>
      <w:r>
        <w:rPr>
          <w:b/>
          <w:w w:val="115"/>
          <w:sz w:val="21"/>
        </w:rPr>
        <w:t>to</w:t>
      </w:r>
      <w:r>
        <w:rPr>
          <w:b/>
          <w:spacing w:val="-11"/>
          <w:w w:val="115"/>
          <w:sz w:val="21"/>
        </w:rPr>
        <w:t> </w:t>
      </w:r>
      <w:r>
        <w:rPr>
          <w:b/>
          <w:w w:val="115"/>
          <w:sz w:val="21"/>
        </w:rPr>
        <w:t>contact</w:t>
      </w:r>
      <w:r>
        <w:rPr>
          <w:b/>
          <w:spacing w:val="-11"/>
          <w:w w:val="115"/>
          <w:sz w:val="21"/>
        </w:rPr>
        <w:t> </w:t>
      </w:r>
      <w:r>
        <w:rPr>
          <w:b/>
          <w:w w:val="115"/>
          <w:sz w:val="21"/>
        </w:rPr>
        <w:t>you</w:t>
      </w:r>
      <w:r>
        <w:rPr>
          <w:b/>
          <w:spacing w:val="-12"/>
          <w:w w:val="115"/>
          <w:sz w:val="21"/>
        </w:rPr>
        <w:t> </w:t>
      </w:r>
      <w:r>
        <w:rPr>
          <w:b/>
          <w:w w:val="115"/>
          <w:sz w:val="21"/>
        </w:rPr>
        <w:t>in</w:t>
      </w:r>
      <w:r>
        <w:rPr>
          <w:b/>
          <w:spacing w:val="-11"/>
          <w:w w:val="115"/>
          <w:sz w:val="21"/>
        </w:rPr>
        <w:t> </w:t>
      </w:r>
      <w:r>
        <w:rPr>
          <w:b/>
          <w:w w:val="115"/>
          <w:sz w:val="21"/>
        </w:rPr>
        <w:t>relation</w:t>
      </w:r>
      <w:r>
        <w:rPr>
          <w:b/>
          <w:spacing w:val="-11"/>
          <w:w w:val="115"/>
          <w:sz w:val="21"/>
        </w:rPr>
        <w:t> </w:t>
      </w:r>
      <w:r>
        <w:rPr>
          <w:b/>
          <w:w w:val="115"/>
          <w:sz w:val="21"/>
        </w:rPr>
        <w:t>to</w:t>
      </w:r>
      <w:r>
        <w:rPr>
          <w:b/>
          <w:spacing w:val="-12"/>
          <w:w w:val="115"/>
          <w:sz w:val="21"/>
        </w:rPr>
        <w:t> </w:t>
      </w:r>
      <w:r>
        <w:rPr>
          <w:b/>
          <w:w w:val="115"/>
          <w:sz w:val="21"/>
        </w:rPr>
        <w:t>your</w:t>
      </w:r>
      <w:r>
        <w:rPr>
          <w:b/>
          <w:spacing w:val="-11"/>
          <w:w w:val="115"/>
          <w:sz w:val="21"/>
        </w:rPr>
        <w:t> </w:t>
      </w:r>
      <w:r>
        <w:rPr>
          <w:b/>
          <w:w w:val="115"/>
          <w:sz w:val="21"/>
        </w:rPr>
        <w:t>responses,</w:t>
      </w:r>
      <w:r>
        <w:rPr>
          <w:b/>
          <w:spacing w:val="-11"/>
          <w:w w:val="115"/>
          <w:sz w:val="21"/>
        </w:rPr>
        <w:t> </w:t>
      </w:r>
      <w:r>
        <w:rPr>
          <w:b/>
          <w:w w:val="115"/>
          <w:sz w:val="21"/>
        </w:rPr>
        <w:t>please provide your email address or other contact details</w:t>
      </w:r>
      <w:r>
        <w:rPr>
          <w:b/>
          <w:spacing w:val="-30"/>
          <w:w w:val="115"/>
          <w:sz w:val="21"/>
        </w:rPr>
        <w:t> </w:t>
      </w:r>
      <w:r>
        <w:rPr>
          <w:b/>
          <w:w w:val="115"/>
          <w:sz w:val="21"/>
        </w:rPr>
        <w:t>below.</w:t>
      </w:r>
    </w:p>
    <w:p>
      <w:pPr>
        <w:pStyle w:val="BodyText"/>
        <w:spacing w:before="2"/>
        <w:rPr>
          <w:b/>
          <w:sz w:val="11"/>
        </w:rPr>
      </w:pPr>
      <w:r>
        <w:rPr/>
        <w:pict>
          <v:rect style="position:absolute;margin-left:119.305pt;margin-top:9.037152pt;width:396.35pt;height:27.844pt;mso-position-horizontal-relative:page;mso-position-vertical-relative:paragraph;z-index:13352;mso-wrap-distance-left:0;mso-wrap-distance-right:0" filled="false" stroked="true" strokeweight=".5pt" strokecolor="#658464">
            <v:stroke dashstyle="solid"/>
            <w10:wrap type="topAndBottom"/>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rPr>
      </w:pPr>
    </w:p>
    <w:p>
      <w:pPr>
        <w:spacing w:before="96"/>
        <w:ind w:left="720" w:right="0" w:firstLine="0"/>
        <w:jc w:val="left"/>
        <w:rPr>
          <w:b/>
          <w:sz w:val="24"/>
        </w:rPr>
      </w:pPr>
      <w:r>
        <w:rPr>
          <w:b/>
          <w:color w:val="658464"/>
          <w:w w:val="110"/>
          <w:sz w:val="24"/>
        </w:rPr>
        <w:t>310</w:t>
      </w:r>
    </w:p>
    <w:p>
      <w:pPr>
        <w:spacing w:after="0"/>
        <w:jc w:val="left"/>
        <w:rPr>
          <w:sz w:val="24"/>
        </w:rPr>
        <w:sectPr>
          <w:pgSz w:w="11910" w:h="16840"/>
          <w:pgMar w:header="546" w:footer="0" w:top="1560" w:bottom="280" w:left="0" w:right="0"/>
        </w:sectPr>
      </w:pPr>
    </w:p>
    <w:p>
      <w:pPr>
        <w:pStyle w:val="BodyText"/>
        <w:rPr>
          <w:b/>
          <w:sz w:val="20"/>
        </w:rPr>
      </w:pPr>
      <w:r>
        <w:rPr/>
        <w:pict>
          <v:rect style="position:absolute;margin-left:0pt;margin-top:0pt;width:595.276001pt;height:841.890015pt;mso-position-horizontal-relative:page;mso-position-vertical-relative:page;z-index:-443632" filled="true" fillcolor="#ecefee" stroked="false">
            <v:fill type="solid"/>
            <w10:wrap type="none"/>
          </v:rect>
        </w:pict>
      </w:r>
      <w:r>
        <w:rPr/>
        <w:pict>
          <v:rect style="position:absolute;margin-left:524.408997pt;margin-top:28.346014pt;width:70.866pt;height:51.024pt;mso-position-horizontal-relative:page;mso-position-vertical-relative:page;z-index:-443608" filled="true" fillcolor="#658464" stroked="false">
            <v:fill type="solid"/>
            <w10:wrap type="none"/>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8"/>
        </w:rPr>
      </w:pPr>
    </w:p>
    <w:p>
      <w:pPr>
        <w:tabs>
          <w:tab w:pos="1587" w:val="left" w:leader="none"/>
          <w:tab w:pos="7312" w:val="left" w:leader="none"/>
        </w:tabs>
        <w:spacing w:before="84"/>
        <w:ind w:left="0" w:right="0" w:firstLine="0"/>
        <w:jc w:val="left"/>
        <w:rPr>
          <w:b/>
          <w:sz w:val="96"/>
        </w:rPr>
      </w:pPr>
      <w:r>
        <w:rPr>
          <w:b/>
          <w:color w:val="658464"/>
          <w:w w:val="122"/>
          <w:sz w:val="96"/>
          <w:shd w:fill="FFFFFF" w:color="auto" w:val="clear"/>
        </w:rPr>
        <w:t> </w:t>
      </w:r>
      <w:r>
        <w:rPr>
          <w:b/>
          <w:color w:val="658464"/>
          <w:sz w:val="96"/>
          <w:shd w:fill="FFFFFF" w:color="auto" w:val="clear"/>
        </w:rPr>
        <w:tab/>
      </w:r>
      <w:r>
        <w:rPr>
          <w:b/>
          <w:color w:val="658464"/>
          <w:spacing w:val="-29"/>
          <w:w w:val="115"/>
          <w:sz w:val="96"/>
          <w:shd w:fill="FFFFFF" w:color="auto" w:val="clear"/>
        </w:rPr>
        <w:t>Bibliography</w:t>
      </w:r>
      <w:r>
        <w:rPr>
          <w:b/>
          <w:color w:val="658464"/>
          <w:spacing w:val="-29"/>
          <w:sz w:val="96"/>
          <w:shd w:fill="FFFFFF" w:color="auto" w:val="clear"/>
        </w:rPr>
        <w:tab/>
      </w:r>
    </w:p>
    <w:p>
      <w:pPr>
        <w:spacing w:after="0"/>
        <w:jc w:val="left"/>
        <w:rPr>
          <w:sz w:val="96"/>
        </w:rPr>
        <w:sectPr>
          <w:headerReference w:type="default" r:id="rId375"/>
          <w:headerReference w:type="even" r:id="rId376"/>
          <w:pgSz w:w="11910" w:h="16840"/>
          <w:pgMar w:header="0" w:footer="0" w:top="540" w:bottom="280" w:left="0" w:right="0"/>
        </w:sectPr>
      </w:pPr>
    </w:p>
    <w:p>
      <w:pPr>
        <w:pStyle w:val="BodyText"/>
        <w:spacing w:before="10"/>
        <w:rPr>
          <w:b/>
          <w:sz w:val="18"/>
        </w:rPr>
      </w:pPr>
    </w:p>
    <w:p>
      <w:pPr>
        <w:spacing w:before="93"/>
        <w:ind w:left="566" w:right="0" w:firstLine="0"/>
        <w:jc w:val="left"/>
        <w:rPr>
          <w:b/>
          <w:sz w:val="44"/>
        </w:rPr>
      </w:pPr>
      <w:r>
        <w:rPr>
          <w:b/>
          <w:color w:val="658464"/>
          <w:w w:val="115"/>
          <w:sz w:val="44"/>
        </w:rPr>
        <w:t>Bibliography</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49"/>
        </w:rPr>
      </w:pPr>
    </w:p>
    <w:p>
      <w:pPr>
        <w:spacing w:line="338" w:lineRule="auto" w:before="1"/>
        <w:ind w:left="1587" w:right="3217" w:firstLine="0"/>
        <w:jc w:val="left"/>
        <w:rPr>
          <w:sz w:val="21"/>
        </w:rPr>
      </w:pPr>
      <w:r>
        <w:rPr>
          <w:w w:val="105"/>
          <w:sz w:val="21"/>
        </w:rPr>
        <w:t>AAMI, </w:t>
      </w:r>
      <w:r>
        <w:rPr>
          <w:i/>
          <w:w w:val="105"/>
          <w:sz w:val="21"/>
        </w:rPr>
        <w:t>Home Building Insurance Product Disclosure Statement </w:t>
      </w:r>
      <w:r>
        <w:rPr>
          <w:w w:val="105"/>
          <w:sz w:val="21"/>
        </w:rPr>
        <w:t>(1 October 2013) Aboriginal Victoria,</w:t>
      </w:r>
    </w:p>
    <w:p>
      <w:pPr>
        <w:pStyle w:val="ListParagraph"/>
        <w:numPr>
          <w:ilvl w:val="0"/>
          <w:numId w:val="212"/>
        </w:numPr>
        <w:tabs>
          <w:tab w:pos="1927" w:val="left" w:leader="none"/>
          <w:tab w:pos="1928" w:val="left" w:leader="none"/>
        </w:tabs>
        <w:spacing w:line="242" w:lineRule="auto" w:before="1" w:after="0"/>
        <w:ind w:left="1927" w:right="1668" w:hanging="340"/>
        <w:jc w:val="left"/>
        <w:rPr>
          <w:sz w:val="21"/>
        </w:rPr>
      </w:pPr>
      <w:r>
        <w:rPr>
          <w:i/>
          <w:sz w:val="21"/>
        </w:rPr>
        <w:t>Heritage </w:t>
      </w:r>
      <w:r>
        <w:rPr>
          <w:i/>
          <w:spacing w:val="-4"/>
          <w:sz w:val="21"/>
        </w:rPr>
        <w:t>Tools </w:t>
      </w:r>
      <w:r>
        <w:rPr>
          <w:sz w:val="21"/>
        </w:rPr>
        <w:t>(Web Page) &lt;https://</w:t>
      </w:r>
      <w:hyperlink r:id="rId377">
        <w:r>
          <w:rPr>
            <w:sz w:val="21"/>
          </w:rPr>
          <w:t>www.vic.gov.au/aboriginalvictoria/heritage/heritage-tools-</w:t>
        </w:r>
      </w:hyperlink>
      <w:r>
        <w:rPr>
          <w:sz w:val="21"/>
        </w:rPr>
        <w:t> and-publications/heritage-tools.html&gt;</w:t>
      </w:r>
    </w:p>
    <w:p>
      <w:pPr>
        <w:pStyle w:val="ListParagraph"/>
        <w:numPr>
          <w:ilvl w:val="0"/>
          <w:numId w:val="212"/>
        </w:numPr>
        <w:tabs>
          <w:tab w:pos="1927" w:val="left" w:leader="none"/>
          <w:tab w:pos="1928" w:val="left" w:leader="none"/>
        </w:tabs>
        <w:spacing w:line="242" w:lineRule="auto" w:before="104" w:after="0"/>
        <w:ind w:left="1927" w:right="1691" w:hanging="340"/>
        <w:jc w:val="left"/>
        <w:rPr>
          <w:sz w:val="21"/>
        </w:rPr>
      </w:pPr>
      <w:r>
        <w:rPr>
          <w:i/>
          <w:sz w:val="21"/>
        </w:rPr>
        <w:t>Registered Aboriginal Parties </w:t>
      </w:r>
      <w:r>
        <w:rPr>
          <w:sz w:val="21"/>
        </w:rPr>
        <w:t>(Web Page) &lt;https://</w:t>
      </w:r>
      <w:hyperlink r:id="rId378">
        <w:r>
          <w:rPr>
            <w:sz w:val="21"/>
          </w:rPr>
          <w:t>www.vic.gov.au/aboriginalvictoria/heritage/</w:t>
        </w:r>
      </w:hyperlink>
      <w:r>
        <w:rPr>
          <w:sz w:val="21"/>
        </w:rPr>
        <w:t> registered-aboriginal-parties.html&gt;</w:t>
      </w:r>
    </w:p>
    <w:p>
      <w:pPr>
        <w:pStyle w:val="BodyText"/>
        <w:spacing w:before="104"/>
        <w:ind w:left="1587"/>
      </w:pPr>
      <w:r>
        <w:rPr>
          <w:w w:val="105"/>
        </w:rPr>
        <w:t>Accident Compensation Conciliation Service,</w:t>
      </w:r>
    </w:p>
    <w:p>
      <w:pPr>
        <w:pStyle w:val="ListParagraph"/>
        <w:numPr>
          <w:ilvl w:val="0"/>
          <w:numId w:val="212"/>
        </w:numPr>
        <w:tabs>
          <w:tab w:pos="1927" w:val="left" w:leader="none"/>
          <w:tab w:pos="1929" w:val="left" w:leader="none"/>
        </w:tabs>
        <w:spacing w:line="242" w:lineRule="auto" w:before="106" w:after="0"/>
        <w:ind w:left="1928" w:right="1586" w:hanging="341"/>
        <w:jc w:val="left"/>
        <w:rPr>
          <w:sz w:val="21"/>
        </w:rPr>
      </w:pPr>
      <w:r>
        <w:rPr>
          <w:i/>
          <w:spacing w:val="-3"/>
          <w:w w:val="105"/>
          <w:sz w:val="21"/>
        </w:rPr>
        <w:t>Guide</w:t>
      </w:r>
      <w:r>
        <w:rPr>
          <w:i/>
          <w:spacing w:val="-19"/>
          <w:w w:val="105"/>
          <w:sz w:val="21"/>
        </w:rPr>
        <w:t> </w:t>
      </w:r>
      <w:r>
        <w:rPr>
          <w:i/>
          <w:w w:val="105"/>
          <w:sz w:val="21"/>
        </w:rPr>
        <w:t>to</w:t>
      </w:r>
      <w:r>
        <w:rPr>
          <w:i/>
          <w:spacing w:val="-19"/>
          <w:w w:val="105"/>
          <w:sz w:val="21"/>
        </w:rPr>
        <w:t> </w:t>
      </w:r>
      <w:r>
        <w:rPr>
          <w:i/>
          <w:w w:val="105"/>
          <w:sz w:val="21"/>
        </w:rPr>
        <w:t>Conciliation—Video</w:t>
      </w:r>
      <w:r>
        <w:rPr>
          <w:i/>
          <w:spacing w:val="-18"/>
          <w:w w:val="105"/>
          <w:sz w:val="21"/>
        </w:rPr>
        <w:t> </w:t>
      </w:r>
      <w:r>
        <w:rPr>
          <w:w w:val="105"/>
          <w:sz w:val="21"/>
        </w:rPr>
        <w:t>(Web</w:t>
      </w:r>
      <w:r>
        <w:rPr>
          <w:spacing w:val="-19"/>
          <w:w w:val="105"/>
          <w:sz w:val="21"/>
        </w:rPr>
        <w:t> </w:t>
      </w:r>
      <w:r>
        <w:rPr>
          <w:spacing w:val="-3"/>
          <w:w w:val="105"/>
          <w:sz w:val="21"/>
        </w:rPr>
        <w:t>Page,</w:t>
      </w:r>
      <w:r>
        <w:rPr>
          <w:spacing w:val="-18"/>
          <w:w w:val="105"/>
          <w:sz w:val="21"/>
        </w:rPr>
        <w:t> </w:t>
      </w:r>
      <w:r>
        <w:rPr>
          <w:spacing w:val="-6"/>
          <w:w w:val="105"/>
          <w:sz w:val="21"/>
        </w:rPr>
        <w:t>2013)</w:t>
      </w:r>
      <w:r>
        <w:rPr>
          <w:spacing w:val="-19"/>
          <w:w w:val="105"/>
          <w:sz w:val="21"/>
        </w:rPr>
        <w:t> </w:t>
      </w:r>
      <w:r>
        <w:rPr>
          <w:w w:val="105"/>
          <w:sz w:val="21"/>
        </w:rPr>
        <w:t>&lt;https://</w:t>
      </w:r>
      <w:hyperlink r:id="rId379">
        <w:r>
          <w:rPr>
            <w:w w:val="105"/>
            <w:sz w:val="21"/>
          </w:rPr>
          <w:t>www.conciliation.vic.gov.au/about-us/</w:t>
        </w:r>
      </w:hyperlink>
      <w:r>
        <w:rPr>
          <w:w w:val="105"/>
          <w:sz w:val="21"/>
        </w:rPr>
        <w:t> </w:t>
      </w:r>
      <w:r>
        <w:rPr>
          <w:spacing w:val="-3"/>
          <w:w w:val="105"/>
          <w:sz w:val="21"/>
        </w:rPr>
        <w:t>preparing-for-conciliation&gt;</w:t>
      </w:r>
    </w:p>
    <w:p>
      <w:pPr>
        <w:pStyle w:val="ListParagraph"/>
        <w:numPr>
          <w:ilvl w:val="0"/>
          <w:numId w:val="212"/>
        </w:numPr>
        <w:tabs>
          <w:tab w:pos="1927" w:val="left" w:leader="none"/>
          <w:tab w:pos="1929" w:val="left" w:leader="none"/>
        </w:tabs>
        <w:spacing w:line="242" w:lineRule="auto" w:before="104" w:after="0"/>
        <w:ind w:left="1928" w:right="1675" w:hanging="341"/>
        <w:jc w:val="left"/>
        <w:rPr>
          <w:sz w:val="21"/>
        </w:rPr>
      </w:pPr>
      <w:r>
        <w:rPr>
          <w:i/>
          <w:spacing w:val="-3"/>
          <w:w w:val="105"/>
          <w:sz w:val="21"/>
        </w:rPr>
        <w:t>Online</w:t>
      </w:r>
      <w:r>
        <w:rPr>
          <w:i/>
          <w:spacing w:val="-17"/>
          <w:w w:val="105"/>
          <w:sz w:val="21"/>
        </w:rPr>
        <w:t> </w:t>
      </w:r>
      <w:r>
        <w:rPr>
          <w:i/>
          <w:spacing w:val="-3"/>
          <w:w w:val="105"/>
          <w:sz w:val="21"/>
        </w:rPr>
        <w:t>Dispute</w:t>
      </w:r>
      <w:r>
        <w:rPr>
          <w:i/>
          <w:spacing w:val="-16"/>
          <w:w w:val="105"/>
          <w:sz w:val="21"/>
        </w:rPr>
        <w:t> </w:t>
      </w:r>
      <w:r>
        <w:rPr>
          <w:i/>
          <w:spacing w:val="-3"/>
          <w:w w:val="105"/>
          <w:sz w:val="21"/>
        </w:rPr>
        <w:t>Resolution</w:t>
      </w:r>
      <w:r>
        <w:rPr>
          <w:i/>
          <w:spacing w:val="-17"/>
          <w:w w:val="105"/>
          <w:sz w:val="21"/>
        </w:rPr>
        <w:t> </w:t>
      </w:r>
      <w:r>
        <w:rPr>
          <w:w w:val="105"/>
          <w:sz w:val="21"/>
        </w:rPr>
        <w:t>(Web</w:t>
      </w:r>
      <w:r>
        <w:rPr>
          <w:spacing w:val="-16"/>
          <w:w w:val="105"/>
          <w:sz w:val="21"/>
        </w:rPr>
        <w:t> </w:t>
      </w:r>
      <w:r>
        <w:rPr>
          <w:spacing w:val="-3"/>
          <w:w w:val="105"/>
          <w:sz w:val="21"/>
        </w:rPr>
        <w:t>Page,</w:t>
      </w:r>
      <w:r>
        <w:rPr>
          <w:spacing w:val="-16"/>
          <w:w w:val="105"/>
          <w:sz w:val="21"/>
        </w:rPr>
        <w:t> </w:t>
      </w:r>
      <w:r>
        <w:rPr>
          <w:spacing w:val="-6"/>
          <w:w w:val="105"/>
          <w:sz w:val="21"/>
        </w:rPr>
        <w:t>2013)</w:t>
      </w:r>
      <w:r>
        <w:rPr>
          <w:spacing w:val="-17"/>
          <w:w w:val="105"/>
          <w:sz w:val="21"/>
        </w:rPr>
        <w:t> </w:t>
      </w:r>
      <w:r>
        <w:rPr>
          <w:w w:val="105"/>
          <w:sz w:val="21"/>
        </w:rPr>
        <w:t>&lt;https://</w:t>
      </w:r>
      <w:hyperlink r:id="rId380">
        <w:r>
          <w:rPr>
            <w:w w:val="105"/>
            <w:sz w:val="21"/>
          </w:rPr>
          <w:t>www.conciliation.vic.gov.au/conciliation-</w:t>
        </w:r>
      </w:hyperlink>
      <w:r>
        <w:rPr>
          <w:w w:val="105"/>
          <w:sz w:val="21"/>
        </w:rPr>
        <w:t> process/conferences/online-dispute-resolution&gt;</w:t>
      </w:r>
    </w:p>
    <w:p>
      <w:pPr>
        <w:pStyle w:val="BodyText"/>
        <w:spacing w:before="104"/>
        <w:ind w:left="1587"/>
      </w:pPr>
      <w:r>
        <w:rPr>
          <w:w w:val="105"/>
        </w:rPr>
        <w:t>Agriculture Victoria,</w:t>
      </w:r>
    </w:p>
    <w:p>
      <w:pPr>
        <w:pStyle w:val="ListParagraph"/>
        <w:numPr>
          <w:ilvl w:val="0"/>
          <w:numId w:val="212"/>
        </w:numPr>
        <w:tabs>
          <w:tab w:pos="1927" w:val="left" w:leader="none"/>
          <w:tab w:pos="1929" w:val="left" w:leader="none"/>
        </w:tabs>
        <w:spacing w:line="240" w:lineRule="auto" w:before="106" w:after="0"/>
        <w:ind w:left="1928" w:right="0" w:hanging="341"/>
        <w:jc w:val="left"/>
        <w:rPr>
          <w:sz w:val="21"/>
        </w:rPr>
      </w:pPr>
      <w:r>
        <w:rPr>
          <w:i/>
          <w:w w:val="105"/>
          <w:sz w:val="21"/>
        </w:rPr>
        <w:t>About Us </w:t>
      </w:r>
      <w:r>
        <w:rPr>
          <w:w w:val="105"/>
          <w:sz w:val="21"/>
        </w:rPr>
        <w:t>(Web </w:t>
      </w:r>
      <w:r>
        <w:rPr>
          <w:spacing w:val="-3"/>
          <w:w w:val="105"/>
          <w:sz w:val="21"/>
        </w:rPr>
        <w:t>Page, </w:t>
      </w:r>
      <w:r>
        <w:rPr>
          <w:w w:val="105"/>
          <w:sz w:val="21"/>
        </w:rPr>
        <w:t>23 January </w:t>
      </w:r>
      <w:r>
        <w:rPr>
          <w:spacing w:val="-5"/>
          <w:w w:val="105"/>
          <w:sz w:val="21"/>
        </w:rPr>
        <w:t>2019)</w:t>
      </w:r>
      <w:r>
        <w:rPr>
          <w:spacing w:val="24"/>
          <w:w w:val="105"/>
          <w:sz w:val="21"/>
        </w:rPr>
        <w:t> </w:t>
      </w:r>
      <w:r>
        <w:rPr>
          <w:w w:val="105"/>
          <w:sz w:val="21"/>
        </w:rPr>
        <w:t>&lt;</w:t>
      </w:r>
      <w:hyperlink r:id="rId102">
        <w:r>
          <w:rPr>
            <w:w w:val="105"/>
            <w:sz w:val="21"/>
          </w:rPr>
          <w:t>http://agriculture.vic.gov.au/about-us</w:t>
        </w:r>
      </w:hyperlink>
      <w:r>
        <w:rPr>
          <w:w w:val="105"/>
          <w:sz w:val="21"/>
        </w:rPr>
        <w:t>&gt;</w:t>
      </w:r>
    </w:p>
    <w:p>
      <w:pPr>
        <w:pStyle w:val="ListParagraph"/>
        <w:numPr>
          <w:ilvl w:val="0"/>
          <w:numId w:val="212"/>
        </w:numPr>
        <w:tabs>
          <w:tab w:pos="1927" w:val="left" w:leader="none"/>
          <w:tab w:pos="1929" w:val="left" w:leader="none"/>
        </w:tabs>
        <w:spacing w:line="242" w:lineRule="auto" w:before="106" w:after="0"/>
        <w:ind w:left="1928" w:right="2135" w:hanging="341"/>
        <w:jc w:val="left"/>
        <w:rPr>
          <w:sz w:val="21"/>
        </w:rPr>
      </w:pPr>
      <w:r>
        <w:rPr>
          <w:i/>
          <w:spacing w:val="-3"/>
          <w:sz w:val="21"/>
        </w:rPr>
        <w:t>Invasive Plant Classifications </w:t>
      </w:r>
      <w:r>
        <w:rPr>
          <w:sz w:val="21"/>
        </w:rPr>
        <w:t>(Web </w:t>
      </w:r>
      <w:r>
        <w:rPr>
          <w:spacing w:val="-3"/>
          <w:sz w:val="21"/>
        </w:rPr>
        <w:t>Page, </w:t>
      </w:r>
      <w:r>
        <w:rPr>
          <w:sz w:val="21"/>
        </w:rPr>
        <w:t>5 December </w:t>
      </w:r>
      <w:r>
        <w:rPr>
          <w:spacing w:val="-5"/>
          <w:sz w:val="21"/>
        </w:rPr>
        <w:t>2018) </w:t>
      </w:r>
      <w:r>
        <w:rPr>
          <w:sz w:val="21"/>
        </w:rPr>
        <w:t>&lt;</w:t>
      </w:r>
      <w:hyperlink r:id="rId381">
        <w:r>
          <w:rPr>
            <w:sz w:val="21"/>
          </w:rPr>
          <w:t>http://agriculture.vic.gov.au/</w:t>
        </w:r>
      </w:hyperlink>
      <w:r>
        <w:rPr>
          <w:sz w:val="21"/>
        </w:rPr>
        <w:t> agriculture/pests-diseases-and-weeds/weeds/invasive-plant-classifications&gt;</w:t>
      </w:r>
    </w:p>
    <w:p>
      <w:pPr>
        <w:pStyle w:val="ListParagraph"/>
        <w:numPr>
          <w:ilvl w:val="0"/>
          <w:numId w:val="212"/>
        </w:numPr>
        <w:tabs>
          <w:tab w:pos="1929" w:val="left" w:leader="none"/>
        </w:tabs>
        <w:spacing w:line="242" w:lineRule="auto" w:before="104" w:after="0"/>
        <w:ind w:left="1928" w:right="1873" w:hanging="341"/>
        <w:jc w:val="both"/>
        <w:rPr>
          <w:sz w:val="21"/>
        </w:rPr>
      </w:pPr>
      <w:r>
        <w:rPr>
          <w:i/>
          <w:w w:val="105"/>
          <w:sz w:val="21"/>
        </w:rPr>
        <w:t>Property</w:t>
      </w:r>
      <w:r>
        <w:rPr>
          <w:i/>
          <w:spacing w:val="-7"/>
          <w:w w:val="105"/>
          <w:sz w:val="21"/>
        </w:rPr>
        <w:t> </w:t>
      </w:r>
      <w:r>
        <w:rPr>
          <w:i/>
          <w:w w:val="105"/>
          <w:sz w:val="21"/>
        </w:rPr>
        <w:t>Management</w:t>
      </w:r>
      <w:r>
        <w:rPr>
          <w:i/>
          <w:spacing w:val="-6"/>
          <w:w w:val="105"/>
          <w:sz w:val="21"/>
        </w:rPr>
        <w:t> </w:t>
      </w:r>
      <w:r>
        <w:rPr>
          <w:i/>
          <w:w w:val="105"/>
          <w:sz w:val="21"/>
        </w:rPr>
        <w:t>and</w:t>
      </w:r>
      <w:r>
        <w:rPr>
          <w:i/>
          <w:spacing w:val="-7"/>
          <w:w w:val="105"/>
          <w:sz w:val="21"/>
        </w:rPr>
        <w:t> </w:t>
      </w:r>
      <w:r>
        <w:rPr>
          <w:i/>
          <w:w w:val="105"/>
          <w:sz w:val="21"/>
        </w:rPr>
        <w:t>the</w:t>
      </w:r>
      <w:r>
        <w:rPr>
          <w:i/>
          <w:spacing w:val="-6"/>
          <w:w w:val="105"/>
          <w:sz w:val="21"/>
        </w:rPr>
        <w:t> </w:t>
      </w:r>
      <w:r>
        <w:rPr>
          <w:i/>
          <w:spacing w:val="-3"/>
          <w:w w:val="105"/>
          <w:sz w:val="21"/>
        </w:rPr>
        <w:t>Environment</w:t>
      </w:r>
      <w:r>
        <w:rPr>
          <w:i/>
          <w:spacing w:val="-7"/>
          <w:w w:val="105"/>
          <w:sz w:val="21"/>
        </w:rPr>
        <w:t> </w:t>
      </w:r>
      <w:r>
        <w:rPr>
          <w:w w:val="105"/>
          <w:sz w:val="21"/>
        </w:rPr>
        <w:t>(Web</w:t>
      </w:r>
      <w:r>
        <w:rPr>
          <w:spacing w:val="-6"/>
          <w:w w:val="105"/>
          <w:sz w:val="21"/>
        </w:rPr>
        <w:t> </w:t>
      </w:r>
      <w:r>
        <w:rPr>
          <w:spacing w:val="-3"/>
          <w:w w:val="105"/>
          <w:sz w:val="21"/>
        </w:rPr>
        <w:t>Page,</w:t>
      </w:r>
      <w:r>
        <w:rPr>
          <w:spacing w:val="-7"/>
          <w:w w:val="105"/>
          <w:sz w:val="21"/>
        </w:rPr>
        <w:t> </w:t>
      </w:r>
      <w:r>
        <w:rPr>
          <w:w w:val="105"/>
          <w:sz w:val="21"/>
        </w:rPr>
        <w:t>3</w:t>
      </w:r>
      <w:r>
        <w:rPr>
          <w:spacing w:val="-6"/>
          <w:w w:val="105"/>
          <w:sz w:val="21"/>
        </w:rPr>
        <w:t> </w:t>
      </w:r>
      <w:r>
        <w:rPr>
          <w:spacing w:val="-2"/>
          <w:w w:val="105"/>
          <w:sz w:val="21"/>
        </w:rPr>
        <w:t>August</w:t>
      </w:r>
      <w:r>
        <w:rPr>
          <w:spacing w:val="-6"/>
          <w:w w:val="105"/>
          <w:sz w:val="21"/>
        </w:rPr>
        <w:t> </w:t>
      </w:r>
      <w:r>
        <w:rPr>
          <w:spacing w:val="-7"/>
          <w:w w:val="105"/>
          <w:sz w:val="21"/>
        </w:rPr>
        <w:t>2017) </w:t>
      </w:r>
      <w:r>
        <w:rPr>
          <w:w w:val="105"/>
          <w:sz w:val="21"/>
        </w:rPr>
        <w:t>&lt;</w:t>
      </w:r>
      <w:hyperlink r:id="rId382">
        <w:r>
          <w:rPr>
            <w:w w:val="105"/>
            <w:sz w:val="21"/>
          </w:rPr>
          <w:t>http://agriculture.</w:t>
        </w:r>
      </w:hyperlink>
      <w:r>
        <w:rPr>
          <w:w w:val="105"/>
          <w:sz w:val="21"/>
        </w:rPr>
        <w:t> </w:t>
      </w:r>
      <w:r>
        <w:rPr>
          <w:spacing w:val="-1"/>
          <w:sz w:val="21"/>
        </w:rPr>
        <w:t>vic.gov.au/agriculture/farm-management/business-management/new-landholders/property- </w:t>
      </w:r>
      <w:r>
        <w:rPr>
          <w:w w:val="105"/>
          <w:sz w:val="21"/>
        </w:rPr>
        <w:t>management-and-the-environment&gt;</w:t>
      </w:r>
    </w:p>
    <w:p>
      <w:pPr>
        <w:pStyle w:val="ListParagraph"/>
        <w:numPr>
          <w:ilvl w:val="0"/>
          <w:numId w:val="212"/>
        </w:numPr>
        <w:tabs>
          <w:tab w:pos="1927" w:val="left" w:leader="none"/>
          <w:tab w:pos="1929" w:val="left" w:leader="none"/>
        </w:tabs>
        <w:spacing w:line="242" w:lineRule="auto" w:before="105" w:after="0"/>
        <w:ind w:left="1928" w:right="1972" w:hanging="341"/>
        <w:jc w:val="left"/>
        <w:rPr>
          <w:sz w:val="21"/>
        </w:rPr>
      </w:pPr>
      <w:r>
        <w:rPr>
          <w:i/>
          <w:w w:val="105"/>
          <w:sz w:val="21"/>
        </w:rPr>
        <w:t>Resolving</w:t>
      </w:r>
      <w:r>
        <w:rPr>
          <w:i/>
          <w:spacing w:val="-26"/>
          <w:w w:val="105"/>
          <w:sz w:val="21"/>
        </w:rPr>
        <w:t> </w:t>
      </w:r>
      <w:r>
        <w:rPr>
          <w:i/>
          <w:spacing w:val="-3"/>
          <w:w w:val="105"/>
          <w:sz w:val="21"/>
        </w:rPr>
        <w:t>Disputes</w:t>
      </w:r>
      <w:r>
        <w:rPr>
          <w:i/>
          <w:spacing w:val="-25"/>
          <w:w w:val="105"/>
          <w:sz w:val="21"/>
        </w:rPr>
        <w:t> </w:t>
      </w:r>
      <w:r>
        <w:rPr>
          <w:w w:val="105"/>
          <w:sz w:val="21"/>
        </w:rPr>
        <w:t>(Web</w:t>
      </w:r>
      <w:r>
        <w:rPr>
          <w:spacing w:val="-26"/>
          <w:w w:val="105"/>
          <w:sz w:val="21"/>
        </w:rPr>
        <w:t> </w:t>
      </w:r>
      <w:r>
        <w:rPr>
          <w:spacing w:val="-3"/>
          <w:w w:val="105"/>
          <w:sz w:val="21"/>
        </w:rPr>
        <w:t>Page,</w:t>
      </w:r>
      <w:r>
        <w:rPr>
          <w:spacing w:val="-25"/>
          <w:w w:val="105"/>
          <w:sz w:val="21"/>
        </w:rPr>
        <w:t> </w:t>
      </w:r>
      <w:r>
        <w:rPr>
          <w:w w:val="105"/>
          <w:sz w:val="21"/>
        </w:rPr>
        <w:t>8</w:t>
      </w:r>
      <w:r>
        <w:rPr>
          <w:spacing w:val="-26"/>
          <w:w w:val="105"/>
          <w:sz w:val="21"/>
        </w:rPr>
        <w:t> </w:t>
      </w:r>
      <w:r>
        <w:rPr>
          <w:w w:val="105"/>
          <w:sz w:val="21"/>
        </w:rPr>
        <w:t>May</w:t>
      </w:r>
      <w:r>
        <w:rPr>
          <w:spacing w:val="-25"/>
          <w:w w:val="105"/>
          <w:sz w:val="21"/>
        </w:rPr>
        <w:t> </w:t>
      </w:r>
      <w:r>
        <w:rPr>
          <w:spacing w:val="-7"/>
          <w:w w:val="105"/>
          <w:sz w:val="21"/>
        </w:rPr>
        <w:t>2017)</w:t>
      </w:r>
      <w:r>
        <w:rPr>
          <w:spacing w:val="-26"/>
          <w:w w:val="105"/>
          <w:sz w:val="21"/>
        </w:rPr>
        <w:t> </w:t>
      </w:r>
      <w:r>
        <w:rPr>
          <w:w w:val="105"/>
          <w:sz w:val="21"/>
        </w:rPr>
        <w:t>&lt;</w:t>
      </w:r>
      <w:hyperlink r:id="rId91">
        <w:r>
          <w:rPr>
            <w:w w:val="105"/>
            <w:sz w:val="21"/>
          </w:rPr>
          <w:t>http://agriculture.vic.gov.au/agriculture/farm-</w:t>
        </w:r>
      </w:hyperlink>
      <w:r>
        <w:rPr>
          <w:w w:val="105"/>
          <w:sz w:val="21"/>
        </w:rPr>
        <w:t> management/business-management/new-landholders/resolving-disputes&gt;</w:t>
      </w:r>
    </w:p>
    <w:p>
      <w:pPr>
        <w:pStyle w:val="ListParagraph"/>
        <w:numPr>
          <w:ilvl w:val="0"/>
          <w:numId w:val="212"/>
        </w:numPr>
        <w:tabs>
          <w:tab w:pos="1927" w:val="left" w:leader="none"/>
          <w:tab w:pos="1929" w:val="left" w:leader="none"/>
        </w:tabs>
        <w:spacing w:line="242" w:lineRule="auto" w:before="104" w:after="0"/>
        <w:ind w:left="1928" w:right="1986" w:hanging="341"/>
        <w:jc w:val="left"/>
        <w:rPr>
          <w:sz w:val="21"/>
        </w:rPr>
      </w:pPr>
      <w:r>
        <w:rPr>
          <w:i/>
          <w:spacing w:val="-3"/>
          <w:w w:val="105"/>
          <w:sz w:val="21"/>
        </w:rPr>
        <w:t>Rural Zones </w:t>
      </w:r>
      <w:r>
        <w:rPr>
          <w:i/>
          <w:w w:val="105"/>
          <w:sz w:val="21"/>
        </w:rPr>
        <w:t>Explained </w:t>
      </w:r>
      <w:r>
        <w:rPr>
          <w:w w:val="105"/>
          <w:sz w:val="21"/>
        </w:rPr>
        <w:t>(Web </w:t>
      </w:r>
      <w:r>
        <w:rPr>
          <w:spacing w:val="-3"/>
          <w:w w:val="105"/>
          <w:sz w:val="21"/>
        </w:rPr>
        <w:t>Page, </w:t>
      </w:r>
      <w:r>
        <w:rPr>
          <w:w w:val="105"/>
          <w:sz w:val="21"/>
        </w:rPr>
        <w:t>8 May </w:t>
      </w:r>
      <w:r>
        <w:rPr>
          <w:spacing w:val="-7"/>
          <w:w w:val="105"/>
          <w:sz w:val="21"/>
        </w:rPr>
        <w:t>2017) </w:t>
      </w:r>
      <w:r>
        <w:rPr>
          <w:w w:val="105"/>
          <w:sz w:val="21"/>
        </w:rPr>
        <w:t>&lt;</w:t>
      </w:r>
      <w:hyperlink r:id="rId103">
        <w:r>
          <w:rPr>
            <w:w w:val="105"/>
            <w:sz w:val="21"/>
          </w:rPr>
          <w:t>http://agriculture.vic.gov.au/agriculture/</w:t>
        </w:r>
      </w:hyperlink>
      <w:r>
        <w:rPr>
          <w:w w:val="105"/>
          <w:sz w:val="21"/>
        </w:rPr>
        <w:t> </w:t>
      </w:r>
      <w:r>
        <w:rPr>
          <w:spacing w:val="-1"/>
          <w:sz w:val="21"/>
        </w:rPr>
        <w:t>farm-management/business-management/planning-applications-in-rural-areas/rural-zones- </w:t>
      </w:r>
      <w:r>
        <w:rPr>
          <w:w w:val="105"/>
          <w:sz w:val="21"/>
        </w:rPr>
        <w:t>explained&gt;</w:t>
      </w:r>
    </w:p>
    <w:p>
      <w:pPr>
        <w:pStyle w:val="ListParagraph"/>
        <w:numPr>
          <w:ilvl w:val="0"/>
          <w:numId w:val="212"/>
        </w:numPr>
        <w:tabs>
          <w:tab w:pos="1927" w:val="left" w:leader="none"/>
          <w:tab w:pos="1929" w:val="left" w:leader="none"/>
        </w:tabs>
        <w:spacing w:line="242" w:lineRule="auto" w:before="106" w:after="0"/>
        <w:ind w:left="1928" w:right="1585" w:hanging="341"/>
        <w:jc w:val="left"/>
        <w:rPr>
          <w:sz w:val="21"/>
        </w:rPr>
      </w:pPr>
      <w:r>
        <w:rPr>
          <w:i/>
          <w:w w:val="105"/>
          <w:sz w:val="21"/>
        </w:rPr>
        <w:t>Tips Before </w:t>
      </w:r>
      <w:r>
        <w:rPr>
          <w:i/>
          <w:spacing w:val="-3"/>
          <w:w w:val="105"/>
          <w:sz w:val="21"/>
        </w:rPr>
        <w:t>Purchasing Rural </w:t>
      </w:r>
      <w:r>
        <w:rPr>
          <w:i/>
          <w:w w:val="105"/>
          <w:sz w:val="21"/>
        </w:rPr>
        <w:t>Land </w:t>
      </w:r>
      <w:r>
        <w:rPr>
          <w:w w:val="105"/>
          <w:sz w:val="21"/>
        </w:rPr>
        <w:t>(Web </w:t>
      </w:r>
      <w:r>
        <w:rPr>
          <w:spacing w:val="-3"/>
          <w:w w:val="105"/>
          <w:sz w:val="21"/>
        </w:rPr>
        <w:t>Page, </w:t>
      </w:r>
      <w:r>
        <w:rPr>
          <w:w w:val="105"/>
          <w:sz w:val="21"/>
        </w:rPr>
        <w:t>3 </w:t>
      </w:r>
      <w:r>
        <w:rPr>
          <w:spacing w:val="-2"/>
          <w:w w:val="105"/>
          <w:sz w:val="21"/>
        </w:rPr>
        <w:t>August </w:t>
      </w:r>
      <w:r>
        <w:rPr>
          <w:spacing w:val="-7"/>
          <w:w w:val="105"/>
          <w:sz w:val="21"/>
        </w:rPr>
        <w:t>2017) </w:t>
      </w:r>
      <w:r>
        <w:rPr>
          <w:w w:val="105"/>
          <w:sz w:val="21"/>
        </w:rPr>
        <w:t>&lt;</w:t>
      </w:r>
      <w:hyperlink r:id="rId381">
        <w:r>
          <w:rPr>
            <w:w w:val="105"/>
            <w:sz w:val="21"/>
          </w:rPr>
          <w:t>http://agriculture.vic.gov.au/</w:t>
        </w:r>
      </w:hyperlink>
      <w:r>
        <w:rPr>
          <w:w w:val="105"/>
          <w:sz w:val="21"/>
        </w:rPr>
        <w:t> </w:t>
      </w:r>
      <w:r>
        <w:rPr>
          <w:spacing w:val="-1"/>
          <w:sz w:val="21"/>
        </w:rPr>
        <w:t>agriculture/farm-management/business-management/new-landholders/tips-before-purchasing- </w:t>
      </w:r>
      <w:r>
        <w:rPr>
          <w:w w:val="105"/>
          <w:sz w:val="21"/>
        </w:rPr>
        <w:t>rural-land&gt;</w:t>
      </w:r>
    </w:p>
    <w:p>
      <w:pPr>
        <w:spacing w:line="242" w:lineRule="auto" w:before="105"/>
        <w:ind w:left="1587" w:right="1636" w:firstLine="0"/>
        <w:jc w:val="left"/>
        <w:rPr>
          <w:sz w:val="21"/>
        </w:rPr>
      </w:pPr>
      <w:r>
        <w:rPr>
          <w:w w:val="105"/>
          <w:sz w:val="21"/>
        </w:rPr>
        <w:t>Ainsworth, Nussen and Meghann Clark, ‘Technology in Mediation’ (1 April 2016), 90(4) </w:t>
      </w:r>
      <w:r>
        <w:rPr>
          <w:i/>
          <w:w w:val="105"/>
          <w:sz w:val="21"/>
        </w:rPr>
        <w:t>Law </w:t>
      </w:r>
      <w:r>
        <w:rPr>
          <w:i/>
          <w:w w:val="105"/>
          <w:sz w:val="21"/>
        </w:rPr>
        <w:t>Institute Journal </w:t>
      </w:r>
      <w:r>
        <w:rPr>
          <w:w w:val="105"/>
          <w:sz w:val="21"/>
        </w:rPr>
        <w:t>38</w:t>
      </w:r>
    </w:p>
    <w:p>
      <w:pPr>
        <w:spacing w:before="104"/>
        <w:ind w:left="1587" w:right="0" w:firstLine="0"/>
        <w:jc w:val="left"/>
        <w:rPr>
          <w:i/>
          <w:sz w:val="21"/>
        </w:rPr>
      </w:pPr>
      <w:r>
        <w:rPr>
          <w:w w:val="105"/>
          <w:sz w:val="21"/>
        </w:rPr>
        <w:t>Aitken, Richard and Michael Looker (eds), </w:t>
      </w:r>
      <w:r>
        <w:rPr>
          <w:i/>
          <w:w w:val="105"/>
          <w:sz w:val="21"/>
        </w:rPr>
        <w:t>The Oxford Companion to Australian Gardens</w:t>
      </w:r>
    </w:p>
    <w:p>
      <w:pPr>
        <w:pStyle w:val="BodyText"/>
        <w:spacing w:before="4"/>
        <w:ind w:left="1587"/>
      </w:pPr>
      <w:r>
        <w:rPr/>
        <w:t>(Oxford University Press, 2002)</w:t>
      </w:r>
    </w:p>
    <w:p>
      <w:pPr>
        <w:spacing w:before="105"/>
        <w:ind w:left="1587" w:right="0" w:firstLine="0"/>
        <w:jc w:val="left"/>
        <w:rPr>
          <w:sz w:val="21"/>
        </w:rPr>
      </w:pPr>
      <w:r>
        <w:rPr>
          <w:w w:val="105"/>
          <w:sz w:val="21"/>
        </w:rPr>
        <w:t>American Law Institute, </w:t>
      </w:r>
      <w:r>
        <w:rPr>
          <w:i/>
          <w:w w:val="105"/>
          <w:sz w:val="21"/>
        </w:rPr>
        <w:t>Restatement (Second) of the Law of Torts 2d </w:t>
      </w:r>
      <w:r>
        <w:rPr>
          <w:w w:val="105"/>
          <w:sz w:val="21"/>
        </w:rPr>
        <w:t>(1965)</w:t>
      </w:r>
    </w:p>
    <w:p>
      <w:pPr>
        <w:pStyle w:val="BodyText"/>
        <w:rPr>
          <w:sz w:val="20"/>
        </w:rPr>
      </w:pPr>
    </w:p>
    <w:p>
      <w:pPr>
        <w:pStyle w:val="BodyText"/>
        <w:rPr>
          <w:sz w:val="20"/>
        </w:rPr>
      </w:pPr>
    </w:p>
    <w:p>
      <w:pPr>
        <w:pStyle w:val="BodyText"/>
        <w:spacing w:before="4"/>
        <w:rPr>
          <w:sz w:val="16"/>
        </w:rPr>
      </w:pPr>
    </w:p>
    <w:p>
      <w:pPr>
        <w:spacing w:before="96"/>
        <w:ind w:left="720" w:right="0" w:firstLine="0"/>
        <w:jc w:val="left"/>
        <w:rPr>
          <w:b/>
          <w:sz w:val="24"/>
        </w:rPr>
      </w:pPr>
      <w:r>
        <w:rPr>
          <w:b/>
          <w:color w:val="658464"/>
          <w:w w:val="110"/>
          <w:sz w:val="24"/>
        </w:rPr>
        <w:t>312</w:t>
      </w:r>
    </w:p>
    <w:p>
      <w:pPr>
        <w:spacing w:after="0"/>
        <w:jc w:val="left"/>
        <w:rPr>
          <w:sz w:val="24"/>
        </w:rPr>
        <w:sectPr>
          <w:pgSz w:w="11910" w:h="16840"/>
          <w:pgMar w:header="546" w:footer="0" w:top="1560" w:bottom="280" w:left="0" w:right="0"/>
        </w:sectPr>
      </w:pPr>
    </w:p>
    <w:p>
      <w:pPr>
        <w:pStyle w:val="BodyText"/>
        <w:spacing w:before="6"/>
        <w:rPr>
          <w:b/>
        </w:rPr>
      </w:pPr>
    </w:p>
    <w:p>
      <w:pPr>
        <w:pStyle w:val="BodyText"/>
        <w:spacing w:before="92"/>
        <w:ind w:left="1587"/>
      </w:pPr>
      <w:r>
        <w:rPr/>
        <w:t>Arboriculture Australia,</w:t>
      </w:r>
    </w:p>
    <w:p>
      <w:pPr>
        <w:pStyle w:val="ListParagraph"/>
        <w:numPr>
          <w:ilvl w:val="0"/>
          <w:numId w:val="213"/>
        </w:numPr>
        <w:tabs>
          <w:tab w:pos="1927" w:val="left" w:leader="none"/>
          <w:tab w:pos="1928" w:val="left" w:leader="none"/>
        </w:tabs>
        <w:spacing w:line="240" w:lineRule="auto" w:before="105" w:after="0"/>
        <w:ind w:left="1927" w:right="0" w:hanging="340"/>
        <w:jc w:val="left"/>
        <w:rPr>
          <w:sz w:val="21"/>
        </w:rPr>
      </w:pPr>
      <w:r>
        <w:rPr>
          <w:i/>
          <w:spacing w:val="-3"/>
          <w:w w:val="105"/>
          <w:sz w:val="21"/>
        </w:rPr>
        <w:t>Australian </w:t>
      </w:r>
      <w:r>
        <w:rPr>
          <w:i/>
          <w:w w:val="105"/>
          <w:sz w:val="21"/>
        </w:rPr>
        <w:t>Arborist Industry Licence </w:t>
      </w:r>
      <w:r>
        <w:rPr>
          <w:w w:val="105"/>
          <w:sz w:val="21"/>
        </w:rPr>
        <w:t>(Information </w:t>
      </w:r>
      <w:r>
        <w:rPr>
          <w:spacing w:val="-4"/>
          <w:w w:val="105"/>
          <w:sz w:val="21"/>
        </w:rPr>
        <w:t>Brochure, </w:t>
      </w:r>
      <w:r>
        <w:rPr>
          <w:spacing w:val="-3"/>
          <w:w w:val="105"/>
          <w:sz w:val="21"/>
        </w:rPr>
        <w:t>Version </w:t>
      </w:r>
      <w:r>
        <w:rPr>
          <w:w w:val="105"/>
          <w:sz w:val="21"/>
        </w:rPr>
        <w:t>4,</w:t>
      </w:r>
      <w:r>
        <w:rPr>
          <w:spacing w:val="41"/>
          <w:w w:val="105"/>
          <w:sz w:val="21"/>
        </w:rPr>
        <w:t> </w:t>
      </w:r>
      <w:r>
        <w:rPr>
          <w:spacing w:val="-7"/>
          <w:w w:val="105"/>
          <w:sz w:val="21"/>
        </w:rPr>
        <w:t>2017)</w:t>
      </w:r>
    </w:p>
    <w:p>
      <w:pPr>
        <w:pStyle w:val="BodyText"/>
        <w:spacing w:before="4"/>
        <w:ind w:left="1927"/>
      </w:pPr>
      <w:r>
        <w:rPr/>
        <w:t>&lt;</w:t>
      </w:r>
      <w:hyperlink r:id="rId45">
        <w:r>
          <w:rPr/>
          <w:t>http://arboriculture.org.au/License</w:t>
        </w:r>
      </w:hyperlink>
      <w:r>
        <w:rPr/>
        <w:t>&gt;</w:t>
      </w:r>
    </w:p>
    <w:p>
      <w:pPr>
        <w:pStyle w:val="ListParagraph"/>
        <w:numPr>
          <w:ilvl w:val="0"/>
          <w:numId w:val="213"/>
        </w:numPr>
        <w:tabs>
          <w:tab w:pos="1927" w:val="left" w:leader="none"/>
          <w:tab w:pos="1928" w:val="left" w:leader="none"/>
        </w:tabs>
        <w:spacing w:line="240" w:lineRule="auto" w:before="106" w:after="0"/>
        <w:ind w:left="1927" w:right="0" w:hanging="340"/>
        <w:jc w:val="left"/>
        <w:rPr>
          <w:sz w:val="21"/>
        </w:rPr>
      </w:pPr>
      <w:r>
        <w:rPr>
          <w:i/>
          <w:spacing w:val="-3"/>
          <w:sz w:val="21"/>
        </w:rPr>
        <w:t>Australian</w:t>
      </w:r>
      <w:r>
        <w:rPr>
          <w:i/>
          <w:spacing w:val="12"/>
          <w:sz w:val="21"/>
        </w:rPr>
        <w:t> </w:t>
      </w:r>
      <w:r>
        <w:rPr>
          <w:i/>
          <w:spacing w:val="-3"/>
          <w:sz w:val="21"/>
        </w:rPr>
        <w:t>Qualification</w:t>
      </w:r>
      <w:r>
        <w:rPr>
          <w:i/>
          <w:spacing w:val="12"/>
          <w:sz w:val="21"/>
        </w:rPr>
        <w:t> </w:t>
      </w:r>
      <w:r>
        <w:rPr>
          <w:i/>
          <w:spacing w:val="-3"/>
          <w:sz w:val="21"/>
        </w:rPr>
        <w:t>Framework</w:t>
      </w:r>
      <w:r>
        <w:rPr>
          <w:i/>
          <w:spacing w:val="12"/>
          <w:sz w:val="21"/>
        </w:rPr>
        <w:t> </w:t>
      </w:r>
      <w:r>
        <w:rPr>
          <w:i/>
          <w:sz w:val="21"/>
        </w:rPr>
        <w:t>(AQF)</w:t>
      </w:r>
      <w:r>
        <w:rPr>
          <w:i/>
          <w:spacing w:val="12"/>
          <w:sz w:val="21"/>
        </w:rPr>
        <w:t> </w:t>
      </w:r>
      <w:r>
        <w:rPr>
          <w:i/>
          <w:sz w:val="21"/>
        </w:rPr>
        <w:t>and</w:t>
      </w:r>
      <w:r>
        <w:rPr>
          <w:i/>
          <w:spacing w:val="13"/>
          <w:sz w:val="21"/>
        </w:rPr>
        <w:t> </w:t>
      </w:r>
      <w:r>
        <w:rPr>
          <w:i/>
          <w:spacing w:val="-3"/>
          <w:sz w:val="21"/>
        </w:rPr>
        <w:t>Australian</w:t>
      </w:r>
      <w:r>
        <w:rPr>
          <w:i/>
          <w:spacing w:val="12"/>
          <w:sz w:val="21"/>
        </w:rPr>
        <w:t> </w:t>
      </w:r>
      <w:r>
        <w:rPr>
          <w:i/>
          <w:spacing w:val="-4"/>
          <w:sz w:val="21"/>
        </w:rPr>
        <w:t>Training</w:t>
      </w:r>
      <w:r>
        <w:rPr>
          <w:i/>
          <w:spacing w:val="12"/>
          <w:sz w:val="21"/>
        </w:rPr>
        <w:t> </w:t>
      </w:r>
      <w:r>
        <w:rPr>
          <w:i/>
          <w:sz w:val="21"/>
        </w:rPr>
        <w:t>Programs</w:t>
      </w:r>
      <w:r>
        <w:rPr>
          <w:i/>
          <w:spacing w:val="13"/>
          <w:sz w:val="21"/>
        </w:rPr>
        <w:t> </w:t>
      </w:r>
      <w:r>
        <w:rPr>
          <w:sz w:val="21"/>
        </w:rPr>
        <w:t>(Web</w:t>
      </w:r>
      <w:r>
        <w:rPr>
          <w:spacing w:val="13"/>
          <w:sz w:val="21"/>
        </w:rPr>
        <w:t> </w:t>
      </w:r>
      <w:r>
        <w:rPr>
          <w:sz w:val="21"/>
        </w:rPr>
        <w:t>Page)</w:t>
      </w:r>
    </w:p>
    <w:p>
      <w:pPr>
        <w:pStyle w:val="BodyText"/>
        <w:spacing w:before="3"/>
        <w:ind w:left="1927"/>
      </w:pPr>
      <w:r>
        <w:rPr/>
        <w:t>&lt;</w:t>
      </w:r>
      <w:hyperlink r:id="rId44">
        <w:r>
          <w:rPr/>
          <w:t>http://arboriculture.org.au/Qualification</w:t>
        </w:r>
      </w:hyperlink>
      <w:r>
        <w:rPr/>
        <w:t>&gt;</w:t>
      </w:r>
    </w:p>
    <w:p>
      <w:pPr>
        <w:pStyle w:val="ListParagraph"/>
        <w:numPr>
          <w:ilvl w:val="0"/>
          <w:numId w:val="213"/>
        </w:numPr>
        <w:tabs>
          <w:tab w:pos="1927" w:val="left" w:leader="none"/>
          <w:tab w:pos="1928" w:val="left" w:leader="none"/>
        </w:tabs>
        <w:spacing w:line="240" w:lineRule="auto" w:before="106" w:after="0"/>
        <w:ind w:left="1927" w:right="0" w:hanging="340"/>
        <w:jc w:val="left"/>
        <w:rPr>
          <w:sz w:val="21"/>
        </w:rPr>
      </w:pPr>
      <w:r>
        <w:rPr>
          <w:i/>
          <w:sz w:val="21"/>
        </w:rPr>
        <w:t>Directory Listing (Web Page)</w:t>
      </w:r>
      <w:r>
        <w:rPr>
          <w:i/>
          <w:spacing w:val="36"/>
          <w:sz w:val="21"/>
        </w:rPr>
        <w:t> </w:t>
      </w:r>
      <w:r>
        <w:rPr>
          <w:sz w:val="21"/>
        </w:rPr>
        <w:t>&lt;</w:t>
      </w:r>
      <w:hyperlink r:id="rId330">
        <w:r>
          <w:rPr>
            <w:sz w:val="21"/>
          </w:rPr>
          <w:t>http://arboriculture.org.au/listings.aspx</w:t>
        </w:r>
      </w:hyperlink>
      <w:r>
        <w:rPr>
          <w:sz w:val="21"/>
        </w:rPr>
        <w:t>&gt;.</w:t>
      </w:r>
    </w:p>
    <w:p>
      <w:pPr>
        <w:pStyle w:val="ListParagraph"/>
        <w:numPr>
          <w:ilvl w:val="0"/>
          <w:numId w:val="213"/>
        </w:numPr>
        <w:tabs>
          <w:tab w:pos="1927" w:val="left" w:leader="none"/>
          <w:tab w:pos="1928" w:val="left" w:leader="none"/>
        </w:tabs>
        <w:spacing w:line="240" w:lineRule="auto" w:before="106" w:after="0"/>
        <w:ind w:left="1927" w:right="0" w:hanging="340"/>
        <w:jc w:val="left"/>
        <w:rPr>
          <w:sz w:val="21"/>
        </w:rPr>
      </w:pPr>
      <w:r>
        <w:rPr>
          <w:i/>
          <w:spacing w:val="-3"/>
          <w:sz w:val="21"/>
        </w:rPr>
        <w:t>Australian</w:t>
      </w:r>
      <w:r>
        <w:rPr>
          <w:i/>
          <w:spacing w:val="12"/>
          <w:sz w:val="21"/>
        </w:rPr>
        <w:t> </w:t>
      </w:r>
      <w:r>
        <w:rPr>
          <w:i/>
          <w:spacing w:val="-3"/>
          <w:sz w:val="21"/>
        </w:rPr>
        <w:t>Qualification</w:t>
      </w:r>
      <w:r>
        <w:rPr>
          <w:i/>
          <w:spacing w:val="12"/>
          <w:sz w:val="21"/>
        </w:rPr>
        <w:t> </w:t>
      </w:r>
      <w:r>
        <w:rPr>
          <w:i/>
          <w:spacing w:val="-3"/>
          <w:sz w:val="21"/>
        </w:rPr>
        <w:t>Framework</w:t>
      </w:r>
      <w:r>
        <w:rPr>
          <w:i/>
          <w:spacing w:val="12"/>
          <w:sz w:val="21"/>
        </w:rPr>
        <w:t> </w:t>
      </w:r>
      <w:r>
        <w:rPr>
          <w:i/>
          <w:sz w:val="21"/>
        </w:rPr>
        <w:t>(AQF)</w:t>
      </w:r>
      <w:r>
        <w:rPr>
          <w:i/>
          <w:spacing w:val="12"/>
          <w:sz w:val="21"/>
        </w:rPr>
        <w:t> </w:t>
      </w:r>
      <w:r>
        <w:rPr>
          <w:i/>
          <w:sz w:val="21"/>
        </w:rPr>
        <w:t>and</w:t>
      </w:r>
      <w:r>
        <w:rPr>
          <w:i/>
          <w:spacing w:val="13"/>
          <w:sz w:val="21"/>
        </w:rPr>
        <w:t> </w:t>
      </w:r>
      <w:r>
        <w:rPr>
          <w:i/>
          <w:spacing w:val="-3"/>
          <w:sz w:val="21"/>
        </w:rPr>
        <w:t>Australian</w:t>
      </w:r>
      <w:r>
        <w:rPr>
          <w:i/>
          <w:spacing w:val="12"/>
          <w:sz w:val="21"/>
        </w:rPr>
        <w:t> </w:t>
      </w:r>
      <w:r>
        <w:rPr>
          <w:i/>
          <w:spacing w:val="-4"/>
          <w:sz w:val="21"/>
        </w:rPr>
        <w:t>Training</w:t>
      </w:r>
      <w:r>
        <w:rPr>
          <w:i/>
          <w:spacing w:val="12"/>
          <w:sz w:val="21"/>
        </w:rPr>
        <w:t> </w:t>
      </w:r>
      <w:r>
        <w:rPr>
          <w:i/>
          <w:sz w:val="21"/>
        </w:rPr>
        <w:t>Programs</w:t>
      </w:r>
      <w:r>
        <w:rPr>
          <w:i/>
          <w:spacing w:val="12"/>
          <w:sz w:val="21"/>
        </w:rPr>
        <w:t> </w:t>
      </w:r>
      <w:r>
        <w:rPr>
          <w:sz w:val="21"/>
        </w:rPr>
        <w:t>(Web</w:t>
      </w:r>
      <w:r>
        <w:rPr>
          <w:spacing w:val="13"/>
          <w:sz w:val="21"/>
        </w:rPr>
        <w:t> </w:t>
      </w:r>
      <w:r>
        <w:rPr>
          <w:sz w:val="21"/>
        </w:rPr>
        <w:t>Page)</w:t>
      </w:r>
    </w:p>
    <w:p>
      <w:pPr>
        <w:pStyle w:val="BodyText"/>
        <w:spacing w:before="3"/>
        <w:ind w:left="1927"/>
      </w:pPr>
      <w:r>
        <w:rPr/>
        <w:t>&lt;</w:t>
      </w:r>
      <w:hyperlink r:id="rId44">
        <w:r>
          <w:rPr/>
          <w:t>http://arboriculture.org.au/Qualification</w:t>
        </w:r>
      </w:hyperlink>
      <w:r>
        <w:rPr/>
        <w:t>&gt;</w:t>
      </w:r>
    </w:p>
    <w:p>
      <w:pPr>
        <w:spacing w:line="242" w:lineRule="auto" w:before="106"/>
        <w:ind w:left="1587" w:right="2433" w:firstLine="0"/>
        <w:jc w:val="left"/>
        <w:rPr>
          <w:sz w:val="21"/>
        </w:rPr>
      </w:pPr>
      <w:r>
        <w:rPr>
          <w:spacing w:val="-3"/>
          <w:w w:val="105"/>
          <w:sz w:val="21"/>
        </w:rPr>
        <w:t>Australian </w:t>
      </w:r>
      <w:r>
        <w:rPr>
          <w:w w:val="105"/>
          <w:sz w:val="21"/>
        </w:rPr>
        <w:t>Law </w:t>
      </w:r>
      <w:r>
        <w:rPr>
          <w:spacing w:val="-3"/>
          <w:w w:val="105"/>
          <w:sz w:val="21"/>
        </w:rPr>
        <w:t>Reform Commission, </w:t>
      </w:r>
      <w:r>
        <w:rPr>
          <w:i/>
          <w:spacing w:val="-4"/>
          <w:w w:val="105"/>
          <w:sz w:val="21"/>
        </w:rPr>
        <w:t>Traditional </w:t>
      </w:r>
      <w:r>
        <w:rPr>
          <w:i/>
          <w:w w:val="105"/>
          <w:sz w:val="21"/>
        </w:rPr>
        <w:t>Rights and Freedoms—Encroachments by </w:t>
      </w:r>
      <w:r>
        <w:rPr>
          <w:i/>
          <w:spacing w:val="-3"/>
          <w:w w:val="105"/>
          <w:sz w:val="21"/>
        </w:rPr>
        <w:t>Commonwealth </w:t>
      </w:r>
      <w:r>
        <w:rPr>
          <w:i/>
          <w:w w:val="105"/>
          <w:sz w:val="21"/>
        </w:rPr>
        <w:t>Laws </w:t>
      </w:r>
      <w:r>
        <w:rPr>
          <w:w w:val="105"/>
          <w:sz w:val="21"/>
        </w:rPr>
        <w:t>(Final Report No </w:t>
      </w:r>
      <w:r>
        <w:rPr>
          <w:spacing w:val="-8"/>
          <w:w w:val="105"/>
          <w:sz w:val="21"/>
        </w:rPr>
        <w:t>129, </w:t>
      </w:r>
      <w:r>
        <w:rPr>
          <w:spacing w:val="-6"/>
          <w:w w:val="105"/>
          <w:sz w:val="21"/>
        </w:rPr>
        <w:t>2015)</w:t>
      </w:r>
    </w:p>
    <w:p>
      <w:pPr>
        <w:spacing w:line="242" w:lineRule="auto" w:before="104"/>
        <w:ind w:left="1587" w:right="2245" w:firstLine="0"/>
        <w:jc w:val="left"/>
        <w:rPr>
          <w:sz w:val="21"/>
        </w:rPr>
      </w:pPr>
      <w:r>
        <w:rPr>
          <w:spacing w:val="-3"/>
          <w:w w:val="105"/>
          <w:sz w:val="21"/>
        </w:rPr>
        <w:t>Australian National </w:t>
      </w:r>
      <w:r>
        <w:rPr>
          <w:w w:val="105"/>
          <w:sz w:val="21"/>
        </w:rPr>
        <w:t>Botanic </w:t>
      </w:r>
      <w:r>
        <w:rPr>
          <w:spacing w:val="-3"/>
          <w:w w:val="105"/>
          <w:sz w:val="21"/>
        </w:rPr>
        <w:t>Gardens, Australian Government, </w:t>
      </w:r>
      <w:r>
        <w:rPr>
          <w:i/>
          <w:w w:val="105"/>
          <w:sz w:val="21"/>
        </w:rPr>
        <w:t>Mallee </w:t>
      </w:r>
      <w:r>
        <w:rPr>
          <w:i/>
          <w:spacing w:val="-3"/>
          <w:w w:val="105"/>
          <w:sz w:val="21"/>
        </w:rPr>
        <w:t>Plant—Surviving </w:t>
      </w:r>
      <w:r>
        <w:rPr>
          <w:i/>
          <w:w w:val="105"/>
          <w:sz w:val="21"/>
        </w:rPr>
        <w:t>Harsh </w:t>
      </w:r>
      <w:r>
        <w:rPr>
          <w:i/>
          <w:spacing w:val="-3"/>
          <w:w w:val="105"/>
          <w:sz w:val="21"/>
        </w:rPr>
        <w:t>Conditions </w:t>
      </w:r>
      <w:r>
        <w:rPr>
          <w:w w:val="105"/>
          <w:sz w:val="21"/>
        </w:rPr>
        <w:t>(Information </w:t>
      </w:r>
      <w:r>
        <w:rPr>
          <w:spacing w:val="-3"/>
          <w:w w:val="105"/>
          <w:sz w:val="21"/>
        </w:rPr>
        <w:t>Resource, </w:t>
      </w:r>
      <w:r>
        <w:rPr>
          <w:w w:val="105"/>
          <w:sz w:val="21"/>
        </w:rPr>
        <w:t>2004)</w:t>
      </w:r>
    </w:p>
    <w:p>
      <w:pPr>
        <w:pStyle w:val="BodyText"/>
        <w:spacing w:line="242" w:lineRule="auto" w:before="105"/>
        <w:ind w:left="1587" w:right="1595"/>
      </w:pPr>
      <w:r>
        <w:rPr>
          <w:spacing w:val="-3"/>
          <w:w w:val="105"/>
        </w:rPr>
        <w:t>Australian Qualifications Framework, </w:t>
      </w:r>
      <w:r>
        <w:rPr>
          <w:i/>
          <w:spacing w:val="-3"/>
          <w:w w:val="105"/>
        </w:rPr>
        <w:t>What </w:t>
      </w:r>
      <w:r>
        <w:rPr>
          <w:i/>
          <w:w w:val="105"/>
        </w:rPr>
        <w:t>is the AQF? </w:t>
      </w:r>
      <w:r>
        <w:rPr>
          <w:w w:val="105"/>
        </w:rPr>
        <w:t>(Web Page) &lt;</w:t>
      </w:r>
      <w:hyperlink r:id="rId385">
        <w:r>
          <w:rPr>
            <w:w w:val="105"/>
          </w:rPr>
          <w:t>www.aqf.edu.au/what-is-the-</w:t>
        </w:r>
      </w:hyperlink>
      <w:r>
        <w:rPr>
          <w:w w:val="105"/>
        </w:rPr>
        <w:t> aqf&gt;</w:t>
      </w:r>
    </w:p>
    <w:p>
      <w:pPr>
        <w:pStyle w:val="BodyText"/>
        <w:spacing w:before="104"/>
        <w:ind w:left="1587"/>
        <w:rPr>
          <w:i/>
        </w:rPr>
      </w:pPr>
      <w:r>
        <w:rPr>
          <w:w w:val="105"/>
        </w:rPr>
        <w:t>Australian Securities and Investments Commission (ASIC), ’MoneySmart’, </w:t>
      </w:r>
      <w:r>
        <w:rPr>
          <w:i/>
          <w:w w:val="105"/>
        </w:rPr>
        <w:t>Home Insurance</w:t>
      </w:r>
    </w:p>
    <w:p>
      <w:pPr>
        <w:pStyle w:val="BodyText"/>
        <w:spacing w:before="3"/>
        <w:ind w:left="1587"/>
      </w:pPr>
      <w:r>
        <w:rPr>
          <w:w w:val="105"/>
        </w:rPr>
        <w:t>(Web Page, 19 December 2018) &lt;https://</w:t>
      </w:r>
      <w:hyperlink r:id="rId51">
        <w:r>
          <w:rPr>
            <w:w w:val="105"/>
          </w:rPr>
          <w:t>www.moneysmart.gov.au/insurance/home-insurance</w:t>
        </w:r>
      </w:hyperlink>
      <w:r>
        <w:rPr>
          <w:w w:val="105"/>
        </w:rPr>
        <w:t>&gt;.</w:t>
      </w:r>
    </w:p>
    <w:p>
      <w:pPr>
        <w:pStyle w:val="BodyText"/>
        <w:spacing w:line="242" w:lineRule="auto" w:before="106"/>
        <w:ind w:left="1587" w:right="1810"/>
      </w:pPr>
      <w:r>
        <w:rPr>
          <w:spacing w:val="-3"/>
        </w:rPr>
        <w:t>Bagaric, </w:t>
      </w:r>
      <w:r>
        <w:rPr>
          <w:spacing w:val="-4"/>
        </w:rPr>
        <w:t>Mirko </w:t>
      </w:r>
      <w:r>
        <w:rPr/>
        <w:t>and </w:t>
      </w:r>
      <w:r>
        <w:rPr>
          <w:spacing w:val="-3"/>
        </w:rPr>
        <w:t>Sharon </w:t>
      </w:r>
      <w:r>
        <w:rPr>
          <w:spacing w:val="-4"/>
        </w:rPr>
        <w:t>Erbacher, </w:t>
      </w:r>
      <w:r>
        <w:rPr>
          <w:spacing w:val="-3"/>
        </w:rPr>
        <w:t>‘Causation </w:t>
      </w:r>
      <w:r>
        <w:rPr/>
        <w:t>in Negligence: </w:t>
      </w:r>
      <w:r>
        <w:rPr>
          <w:spacing w:val="-3"/>
        </w:rPr>
        <w:t>From </w:t>
      </w:r>
      <w:r>
        <w:rPr/>
        <w:t>Anti-jurisprudence </w:t>
      </w:r>
      <w:r>
        <w:rPr>
          <w:spacing w:val="-3"/>
        </w:rPr>
        <w:t>to </w:t>
      </w:r>
      <w:r>
        <w:rPr/>
        <w:t>Principle—Individual </w:t>
      </w:r>
      <w:r>
        <w:rPr>
          <w:spacing w:val="-2"/>
        </w:rPr>
        <w:t>Responsibility </w:t>
      </w:r>
      <w:r>
        <w:rPr/>
        <w:t>as the </w:t>
      </w:r>
      <w:r>
        <w:rPr>
          <w:spacing w:val="-3"/>
        </w:rPr>
        <w:t>Cornerstone for  Attribution  </w:t>
      </w:r>
      <w:r>
        <w:rPr/>
        <w:t>of Liability’ </w:t>
      </w:r>
      <w:r>
        <w:rPr>
          <w:spacing w:val="-9"/>
        </w:rPr>
        <w:t>(2011)</w:t>
      </w:r>
      <w:r>
        <w:rPr>
          <w:spacing w:val="29"/>
        </w:rPr>
        <w:t> </w:t>
      </w:r>
      <w:r>
        <w:rPr>
          <w:spacing w:val="-6"/>
        </w:rPr>
        <w:t>18  </w:t>
      </w:r>
      <w:r>
        <w:rPr>
          <w:i/>
          <w:spacing w:val="-3"/>
        </w:rPr>
        <w:t>Journal  </w:t>
      </w:r>
      <w:r>
        <w:rPr>
          <w:i/>
          <w:spacing w:val="-3"/>
        </w:rPr>
        <w:t>of </w:t>
      </w:r>
      <w:r>
        <w:rPr>
          <w:i/>
        </w:rPr>
        <w:t>Law and Medicine</w:t>
      </w:r>
      <w:r>
        <w:rPr>
          <w:i/>
          <w:spacing w:val="37"/>
        </w:rPr>
        <w:t> </w:t>
      </w:r>
      <w:r>
        <w:rPr>
          <w:spacing w:val="-7"/>
        </w:rPr>
        <w:t>759</w:t>
      </w:r>
    </w:p>
    <w:p>
      <w:pPr>
        <w:pStyle w:val="BodyText"/>
        <w:spacing w:line="242" w:lineRule="auto" w:before="105"/>
        <w:ind w:left="1587" w:right="1648"/>
      </w:pPr>
      <w:r>
        <w:rPr/>
        <w:t>Banyule City Council, </w:t>
      </w:r>
      <w:r>
        <w:rPr>
          <w:i/>
        </w:rPr>
        <w:t>Native Plant Vouchers </w:t>
      </w:r>
      <w:r>
        <w:rPr/>
        <w:t>(Web Page) &lt;https://</w:t>
      </w:r>
      <w:hyperlink r:id="rId386">
        <w:r>
          <w:rPr/>
          <w:t>www.banyule.vic.gov.au/Council/</w:t>
        </w:r>
      </w:hyperlink>
      <w:r>
        <w:rPr/>
        <w:t> Environment-and-Sustainability/Trees-and-Plants/Native-Plant-Vouchers&gt;</w:t>
      </w:r>
    </w:p>
    <w:p>
      <w:pPr>
        <w:spacing w:line="242" w:lineRule="auto" w:before="105"/>
        <w:ind w:left="1587" w:right="1636" w:firstLine="0"/>
        <w:jc w:val="left"/>
        <w:rPr>
          <w:sz w:val="21"/>
        </w:rPr>
      </w:pPr>
      <w:r>
        <w:rPr>
          <w:spacing w:val="-5"/>
          <w:w w:val="105"/>
          <w:sz w:val="21"/>
        </w:rPr>
        <w:t>Barker, </w:t>
      </w:r>
      <w:r>
        <w:rPr>
          <w:w w:val="105"/>
          <w:sz w:val="21"/>
        </w:rPr>
        <w:t>Kit, </w:t>
      </w:r>
      <w:r>
        <w:rPr>
          <w:spacing w:val="-3"/>
          <w:w w:val="105"/>
          <w:sz w:val="21"/>
        </w:rPr>
        <w:t>Peter </w:t>
      </w:r>
      <w:r>
        <w:rPr>
          <w:spacing w:val="-4"/>
          <w:w w:val="105"/>
          <w:sz w:val="21"/>
        </w:rPr>
        <w:t>Cane, </w:t>
      </w:r>
      <w:r>
        <w:rPr>
          <w:w w:val="105"/>
          <w:sz w:val="21"/>
        </w:rPr>
        <w:t>Mark </w:t>
      </w:r>
      <w:r>
        <w:rPr>
          <w:spacing w:val="-3"/>
          <w:w w:val="105"/>
          <w:sz w:val="21"/>
        </w:rPr>
        <w:t>Lunney </w:t>
      </w:r>
      <w:r>
        <w:rPr>
          <w:w w:val="105"/>
          <w:sz w:val="21"/>
        </w:rPr>
        <w:t>and </w:t>
      </w:r>
      <w:r>
        <w:rPr>
          <w:spacing w:val="-3"/>
          <w:w w:val="105"/>
          <w:sz w:val="21"/>
        </w:rPr>
        <w:t>Francis </w:t>
      </w:r>
      <w:r>
        <w:rPr>
          <w:spacing w:val="-5"/>
          <w:w w:val="105"/>
          <w:sz w:val="21"/>
        </w:rPr>
        <w:t>Trindade, </w:t>
      </w:r>
      <w:r>
        <w:rPr>
          <w:i/>
          <w:w w:val="105"/>
          <w:sz w:val="21"/>
        </w:rPr>
        <w:t>The Law </w:t>
      </w:r>
      <w:r>
        <w:rPr>
          <w:i/>
          <w:spacing w:val="-3"/>
          <w:w w:val="105"/>
          <w:sz w:val="21"/>
        </w:rPr>
        <w:t>of </w:t>
      </w:r>
      <w:r>
        <w:rPr>
          <w:i/>
          <w:w w:val="105"/>
          <w:sz w:val="21"/>
        </w:rPr>
        <w:t>Torts in </w:t>
      </w:r>
      <w:r>
        <w:rPr>
          <w:i/>
          <w:spacing w:val="-3"/>
          <w:w w:val="105"/>
          <w:sz w:val="21"/>
        </w:rPr>
        <w:t>Australia </w:t>
      </w:r>
      <w:r>
        <w:rPr>
          <w:w w:val="105"/>
          <w:sz w:val="21"/>
        </w:rPr>
        <w:t>(Oxford University Press, </w:t>
      </w:r>
      <w:r>
        <w:rPr>
          <w:spacing w:val="-4"/>
          <w:w w:val="105"/>
          <w:sz w:val="21"/>
        </w:rPr>
        <w:t>5th </w:t>
      </w:r>
      <w:r>
        <w:rPr>
          <w:w w:val="105"/>
          <w:sz w:val="21"/>
        </w:rPr>
        <w:t>ed, </w:t>
      </w:r>
      <w:r>
        <w:rPr>
          <w:spacing w:val="-7"/>
          <w:w w:val="105"/>
          <w:sz w:val="21"/>
        </w:rPr>
        <w:t>2012)</w:t>
      </w:r>
    </w:p>
    <w:p>
      <w:pPr>
        <w:spacing w:line="242" w:lineRule="auto" w:before="104"/>
        <w:ind w:left="1587" w:right="1650" w:firstLine="0"/>
        <w:jc w:val="left"/>
        <w:rPr>
          <w:sz w:val="21"/>
        </w:rPr>
      </w:pPr>
      <w:r>
        <w:rPr>
          <w:w w:val="105"/>
          <w:sz w:val="21"/>
        </w:rPr>
        <w:t>Bayside </w:t>
      </w:r>
      <w:r>
        <w:rPr>
          <w:spacing w:val="-3"/>
          <w:w w:val="105"/>
          <w:sz w:val="21"/>
        </w:rPr>
        <w:t>City </w:t>
      </w:r>
      <w:r>
        <w:rPr>
          <w:spacing w:val="-4"/>
          <w:w w:val="105"/>
          <w:sz w:val="21"/>
        </w:rPr>
        <w:t>Council, </w:t>
      </w:r>
      <w:r>
        <w:rPr>
          <w:i/>
          <w:spacing w:val="-3"/>
          <w:w w:val="105"/>
          <w:sz w:val="21"/>
        </w:rPr>
        <w:t>Significant </w:t>
      </w:r>
      <w:r>
        <w:rPr>
          <w:i/>
          <w:spacing w:val="-4"/>
          <w:w w:val="105"/>
          <w:sz w:val="21"/>
        </w:rPr>
        <w:t>Tree </w:t>
      </w:r>
      <w:r>
        <w:rPr>
          <w:i/>
          <w:w w:val="105"/>
          <w:sz w:val="21"/>
        </w:rPr>
        <w:t>Register </w:t>
      </w:r>
      <w:r>
        <w:rPr>
          <w:w w:val="105"/>
          <w:sz w:val="21"/>
        </w:rPr>
        <w:t>(Web </w:t>
      </w:r>
      <w:r>
        <w:rPr>
          <w:spacing w:val="-3"/>
          <w:w w:val="105"/>
          <w:sz w:val="21"/>
        </w:rPr>
        <w:t>Page, </w:t>
      </w:r>
      <w:r>
        <w:rPr>
          <w:spacing w:val="-5"/>
          <w:w w:val="105"/>
          <w:sz w:val="21"/>
        </w:rPr>
        <w:t>2019) </w:t>
      </w:r>
      <w:r>
        <w:rPr>
          <w:w w:val="105"/>
          <w:sz w:val="21"/>
        </w:rPr>
        <w:t>&lt;https://</w:t>
      </w:r>
      <w:hyperlink r:id="rId387">
        <w:r>
          <w:rPr>
            <w:w w:val="105"/>
            <w:sz w:val="21"/>
          </w:rPr>
          <w:t>www.bayside.vic.gov.au/</w:t>
        </w:r>
      </w:hyperlink>
      <w:r>
        <w:rPr>
          <w:w w:val="105"/>
          <w:sz w:val="21"/>
        </w:rPr>
        <w:t> significant-tree-register&gt;</w:t>
      </w:r>
    </w:p>
    <w:p>
      <w:pPr>
        <w:spacing w:before="104"/>
        <w:ind w:left="1587" w:right="0" w:firstLine="0"/>
        <w:jc w:val="left"/>
        <w:rPr>
          <w:i/>
          <w:sz w:val="21"/>
        </w:rPr>
      </w:pPr>
      <w:r>
        <w:rPr>
          <w:w w:val="105"/>
          <w:sz w:val="21"/>
        </w:rPr>
        <w:t>Beazley, Margaret ‘Damage’ in Carolyn Sappideen and Prue Vines (eds), </w:t>
      </w:r>
      <w:r>
        <w:rPr>
          <w:i/>
          <w:w w:val="105"/>
          <w:sz w:val="21"/>
        </w:rPr>
        <w:t>Fleming’s The Law of Torts</w:t>
      </w:r>
    </w:p>
    <w:p>
      <w:pPr>
        <w:pStyle w:val="BodyText"/>
        <w:spacing w:before="4"/>
        <w:ind w:left="1587"/>
      </w:pPr>
      <w:r>
        <w:rPr>
          <w:w w:val="105"/>
        </w:rPr>
        <w:t>(Lawbook Co., 10th ed, 2011)</w:t>
      </w:r>
    </w:p>
    <w:p>
      <w:pPr>
        <w:spacing w:before="105"/>
        <w:ind w:left="1587" w:right="0" w:firstLine="0"/>
        <w:jc w:val="left"/>
        <w:rPr>
          <w:sz w:val="21"/>
        </w:rPr>
      </w:pPr>
      <w:r>
        <w:rPr>
          <w:w w:val="105"/>
          <w:sz w:val="21"/>
        </w:rPr>
        <w:t>Bell, Justice Kevin, </w:t>
      </w:r>
      <w:r>
        <w:rPr>
          <w:i/>
          <w:w w:val="105"/>
          <w:sz w:val="21"/>
        </w:rPr>
        <w:t>One VCAT—President’s Review of VCAT </w:t>
      </w:r>
      <w:r>
        <w:rPr>
          <w:w w:val="105"/>
          <w:sz w:val="21"/>
        </w:rPr>
        <w:t>(Report, 30 November 2009)</w:t>
      </w:r>
    </w:p>
    <w:p>
      <w:pPr>
        <w:pStyle w:val="BodyText"/>
        <w:spacing w:line="242" w:lineRule="auto" w:before="106"/>
        <w:ind w:left="1587" w:right="1636"/>
      </w:pPr>
      <w:r>
        <w:rPr/>
        <w:t>Bergin, Justice P A, ‘The Objectives, Scope and Focus of Mediation Legislation in Australia’ (Speech, Mediate First, 11 May 2012)</w:t>
      </w:r>
    </w:p>
    <w:p>
      <w:pPr>
        <w:spacing w:line="242" w:lineRule="auto" w:before="104"/>
        <w:ind w:left="1587" w:right="1636" w:firstLine="0"/>
        <w:jc w:val="left"/>
        <w:rPr>
          <w:sz w:val="21"/>
        </w:rPr>
      </w:pPr>
      <w:r>
        <w:rPr>
          <w:spacing w:val="-3"/>
          <w:w w:val="105"/>
          <w:sz w:val="21"/>
        </w:rPr>
        <w:t>Blackstone, William, </w:t>
      </w:r>
      <w:r>
        <w:rPr>
          <w:i/>
          <w:spacing w:val="-3"/>
          <w:w w:val="105"/>
          <w:sz w:val="21"/>
        </w:rPr>
        <w:t>Commentaries </w:t>
      </w:r>
      <w:r>
        <w:rPr>
          <w:i/>
          <w:w w:val="105"/>
          <w:sz w:val="21"/>
        </w:rPr>
        <w:t>on the Laws </w:t>
      </w:r>
      <w:r>
        <w:rPr>
          <w:i/>
          <w:spacing w:val="-3"/>
          <w:w w:val="105"/>
          <w:sz w:val="21"/>
        </w:rPr>
        <w:t>of England, </w:t>
      </w:r>
      <w:r>
        <w:rPr>
          <w:i/>
          <w:w w:val="105"/>
          <w:sz w:val="21"/>
        </w:rPr>
        <w:t>Book III </w:t>
      </w:r>
      <w:r>
        <w:rPr>
          <w:w w:val="105"/>
          <w:sz w:val="21"/>
        </w:rPr>
        <w:t>(Cadell and </w:t>
      </w:r>
      <w:r>
        <w:rPr>
          <w:spacing w:val="-3"/>
          <w:w w:val="105"/>
          <w:sz w:val="21"/>
        </w:rPr>
        <w:t>Davies, </w:t>
      </w:r>
      <w:r>
        <w:rPr>
          <w:spacing w:val="-7"/>
          <w:w w:val="105"/>
          <w:sz w:val="21"/>
        </w:rPr>
        <w:t>15th </w:t>
      </w:r>
      <w:r>
        <w:rPr>
          <w:w w:val="105"/>
          <w:sz w:val="21"/>
        </w:rPr>
        <w:t>ed, 1809)</w:t>
      </w:r>
    </w:p>
    <w:p>
      <w:pPr>
        <w:pStyle w:val="BodyText"/>
        <w:spacing w:line="242" w:lineRule="auto" w:before="104"/>
        <w:ind w:left="1587" w:right="1810"/>
      </w:pPr>
      <w:r>
        <w:rPr>
          <w:spacing w:val="-4"/>
        </w:rPr>
        <w:t>Blow, Chief </w:t>
      </w:r>
      <w:r>
        <w:rPr/>
        <w:t>Justice </w:t>
      </w:r>
      <w:r>
        <w:rPr>
          <w:spacing w:val="-3"/>
        </w:rPr>
        <w:t>Alan, ‘Planning, Environment  </w:t>
      </w:r>
      <w:r>
        <w:rPr/>
        <w:t>and  Heritage  Litigation  and  </w:t>
      </w:r>
      <w:r>
        <w:rPr>
          <w:spacing w:val="-3"/>
        </w:rPr>
        <w:t>Legislation  </w:t>
      </w:r>
      <w:r>
        <w:rPr/>
        <w:t>in </w:t>
      </w:r>
      <w:r>
        <w:rPr>
          <w:spacing w:val="-5"/>
        </w:rPr>
        <w:t>Tasmania’ </w:t>
      </w:r>
      <w:r>
        <w:rPr/>
        <w:t>(Speech, </w:t>
      </w:r>
      <w:r>
        <w:rPr>
          <w:spacing w:val="-3"/>
        </w:rPr>
        <w:t>Australasian </w:t>
      </w:r>
      <w:r>
        <w:rPr>
          <w:spacing w:val="-4"/>
        </w:rPr>
        <w:t>Conference </w:t>
      </w:r>
      <w:r>
        <w:rPr/>
        <w:t>of </w:t>
      </w:r>
      <w:r>
        <w:rPr>
          <w:spacing w:val="-3"/>
        </w:rPr>
        <w:t>Planning </w:t>
      </w:r>
      <w:r>
        <w:rPr/>
        <w:t>and </w:t>
      </w:r>
      <w:r>
        <w:rPr>
          <w:spacing w:val="-3"/>
        </w:rPr>
        <w:t>Environment </w:t>
      </w:r>
      <w:r>
        <w:rPr/>
        <w:t>Courts and </w:t>
      </w:r>
      <w:r>
        <w:rPr>
          <w:spacing w:val="-4"/>
        </w:rPr>
        <w:t>Tribunals, </w:t>
      </w:r>
      <w:r>
        <w:rPr/>
        <w:t>5 </w:t>
      </w:r>
      <w:r>
        <w:rPr>
          <w:spacing w:val="-3"/>
        </w:rPr>
        <w:t>March </w:t>
      </w:r>
      <w:r>
        <w:rPr>
          <w:spacing w:val="-6"/>
        </w:rPr>
        <w:t>2014) </w:t>
      </w:r>
      <w:r>
        <w:rPr/>
        <w:t>&lt;</w:t>
      </w:r>
      <w:r>
        <w:rPr>
          <w:spacing w:val="8"/>
        </w:rPr>
        <w:t> </w:t>
      </w:r>
      <w:r>
        <w:rPr/>
        <w:t>https://</w:t>
      </w:r>
      <w:hyperlink r:id="rId388">
        <w:r>
          <w:rPr/>
          <w:t>www.supremecourt.tas.gov.au/publications/speeches-articles/</w:t>
        </w:r>
      </w:hyperlink>
      <w:r>
        <w:rPr/>
        <w:t>&gt;</w:t>
      </w:r>
    </w:p>
    <w:p>
      <w:pPr>
        <w:spacing w:line="338" w:lineRule="auto" w:before="106"/>
        <w:ind w:left="1587" w:right="2669" w:firstLine="0"/>
        <w:jc w:val="left"/>
        <w:rPr>
          <w:sz w:val="21"/>
        </w:rPr>
      </w:pPr>
      <w:r>
        <w:rPr>
          <w:spacing w:val="-3"/>
          <w:w w:val="105"/>
          <w:sz w:val="21"/>
        </w:rPr>
        <w:t>Brisbane City </w:t>
      </w:r>
      <w:r>
        <w:rPr>
          <w:spacing w:val="-4"/>
          <w:w w:val="105"/>
          <w:sz w:val="21"/>
        </w:rPr>
        <w:t>Council, </w:t>
      </w:r>
      <w:r>
        <w:rPr>
          <w:i/>
          <w:spacing w:val="-4"/>
          <w:w w:val="105"/>
          <w:sz w:val="21"/>
        </w:rPr>
        <w:t>Types </w:t>
      </w:r>
      <w:r>
        <w:rPr>
          <w:i/>
          <w:spacing w:val="-3"/>
          <w:w w:val="105"/>
          <w:sz w:val="21"/>
        </w:rPr>
        <w:t>of </w:t>
      </w:r>
      <w:r>
        <w:rPr>
          <w:i/>
          <w:w w:val="105"/>
          <w:sz w:val="21"/>
        </w:rPr>
        <w:t>Protected </w:t>
      </w:r>
      <w:r>
        <w:rPr>
          <w:i/>
          <w:spacing w:val="-3"/>
          <w:w w:val="105"/>
          <w:sz w:val="21"/>
        </w:rPr>
        <w:t>Vegetation </w:t>
      </w:r>
      <w:r>
        <w:rPr>
          <w:w w:val="105"/>
          <w:sz w:val="21"/>
        </w:rPr>
        <w:t>(Web </w:t>
      </w:r>
      <w:r>
        <w:rPr>
          <w:spacing w:val="-3"/>
          <w:w w:val="105"/>
          <w:sz w:val="21"/>
        </w:rPr>
        <w:t>Page, </w:t>
      </w:r>
      <w:r>
        <w:rPr>
          <w:spacing w:val="-5"/>
          <w:w w:val="105"/>
          <w:sz w:val="21"/>
        </w:rPr>
        <w:t>24 </w:t>
      </w:r>
      <w:r>
        <w:rPr>
          <w:w w:val="105"/>
          <w:sz w:val="21"/>
        </w:rPr>
        <w:t>January </w:t>
      </w:r>
      <w:r>
        <w:rPr>
          <w:spacing w:val="-5"/>
          <w:w w:val="105"/>
          <w:sz w:val="21"/>
        </w:rPr>
        <w:t>2019) </w:t>
      </w:r>
      <w:r>
        <w:rPr>
          <w:spacing w:val="-4"/>
          <w:w w:val="105"/>
          <w:sz w:val="21"/>
        </w:rPr>
        <w:t>Buckley, </w:t>
      </w:r>
      <w:r>
        <w:rPr>
          <w:spacing w:val="2"/>
          <w:w w:val="105"/>
          <w:sz w:val="21"/>
        </w:rPr>
        <w:t>RA, </w:t>
      </w:r>
      <w:r>
        <w:rPr>
          <w:i/>
          <w:w w:val="105"/>
          <w:sz w:val="21"/>
        </w:rPr>
        <w:t>The Law </w:t>
      </w:r>
      <w:r>
        <w:rPr>
          <w:i/>
          <w:spacing w:val="-3"/>
          <w:w w:val="105"/>
          <w:sz w:val="21"/>
        </w:rPr>
        <w:t>of </w:t>
      </w:r>
      <w:r>
        <w:rPr>
          <w:i/>
          <w:w w:val="105"/>
          <w:sz w:val="21"/>
        </w:rPr>
        <w:t>Negligence and Nuisance </w:t>
      </w:r>
      <w:r>
        <w:rPr>
          <w:w w:val="105"/>
          <w:sz w:val="21"/>
        </w:rPr>
        <w:t>(Lexis Nexis UK, </w:t>
      </w:r>
      <w:r>
        <w:rPr>
          <w:spacing w:val="-4"/>
          <w:w w:val="105"/>
          <w:sz w:val="21"/>
        </w:rPr>
        <w:t>5th </w:t>
      </w:r>
      <w:r>
        <w:rPr>
          <w:w w:val="105"/>
          <w:sz w:val="21"/>
        </w:rPr>
        <w:t>ed, </w:t>
      </w:r>
      <w:r>
        <w:rPr>
          <w:spacing w:val="-10"/>
          <w:w w:val="105"/>
          <w:sz w:val="21"/>
        </w:rPr>
        <w:t>2011)</w:t>
      </w:r>
    </w:p>
    <w:p>
      <w:pPr>
        <w:pStyle w:val="BodyText"/>
        <w:spacing w:line="242" w:lineRule="auto" w:before="1"/>
        <w:ind w:left="1587" w:right="1810"/>
      </w:pPr>
      <w:r>
        <w:rPr>
          <w:spacing w:val="-4"/>
          <w:w w:val="105"/>
        </w:rPr>
        <w:t>Bulí</w:t>
      </w:r>
      <w:r>
        <w:rPr>
          <w:rFonts w:ascii="Arial" w:hAnsi="Arial"/>
          <w:spacing w:val="-4"/>
          <w:w w:val="105"/>
        </w:rPr>
        <w:t>ř</w:t>
      </w:r>
      <w:r>
        <w:rPr>
          <w:spacing w:val="-4"/>
          <w:w w:val="105"/>
        </w:rPr>
        <w:t>, </w:t>
      </w:r>
      <w:r>
        <w:rPr>
          <w:spacing w:val="-13"/>
          <w:w w:val="105"/>
        </w:rPr>
        <w:t>P, </w:t>
      </w:r>
      <w:r>
        <w:rPr>
          <w:spacing w:val="-3"/>
          <w:w w:val="105"/>
        </w:rPr>
        <w:t>‘Testing </w:t>
      </w:r>
      <w:r>
        <w:rPr>
          <w:w w:val="105"/>
        </w:rPr>
        <w:t>of </w:t>
      </w:r>
      <w:r>
        <w:rPr>
          <w:spacing w:val="-3"/>
          <w:w w:val="105"/>
        </w:rPr>
        <w:t>Koch </w:t>
      </w:r>
      <w:r>
        <w:rPr>
          <w:w w:val="105"/>
        </w:rPr>
        <w:t>Method Applied </w:t>
      </w:r>
      <w:r>
        <w:rPr>
          <w:spacing w:val="-3"/>
          <w:w w:val="105"/>
        </w:rPr>
        <w:t>for Evaluation </w:t>
      </w:r>
      <w:r>
        <w:rPr>
          <w:w w:val="105"/>
        </w:rPr>
        <w:t>of Ornamental </w:t>
      </w:r>
      <w:r>
        <w:rPr>
          <w:spacing w:val="-4"/>
          <w:w w:val="105"/>
        </w:rPr>
        <w:t>Trees </w:t>
      </w:r>
      <w:r>
        <w:rPr>
          <w:w w:val="105"/>
        </w:rPr>
        <w:t>in The </w:t>
      </w:r>
      <w:r>
        <w:rPr>
          <w:spacing w:val="-3"/>
          <w:w w:val="105"/>
        </w:rPr>
        <w:t>Czech </w:t>
      </w:r>
      <w:r>
        <w:rPr>
          <w:spacing w:val="-4"/>
          <w:w w:val="105"/>
        </w:rPr>
        <w:t>Republic’, </w:t>
      </w:r>
      <w:r>
        <w:rPr>
          <w:w w:val="105"/>
        </w:rPr>
        <w:t>(2009) </w:t>
      </w:r>
      <w:r>
        <w:rPr>
          <w:spacing w:val="2"/>
          <w:w w:val="105"/>
        </w:rPr>
        <w:t>36(4) </w:t>
      </w:r>
      <w:r>
        <w:rPr>
          <w:i/>
          <w:w w:val="105"/>
        </w:rPr>
        <w:t>Horticultural Science </w:t>
      </w:r>
      <w:r>
        <w:rPr>
          <w:spacing w:val="-5"/>
          <w:w w:val="105"/>
        </w:rPr>
        <w:t>154</w:t>
      </w:r>
    </w:p>
    <w:p>
      <w:pPr>
        <w:spacing w:line="338" w:lineRule="auto" w:before="104"/>
        <w:ind w:left="1587" w:right="2075" w:firstLine="0"/>
        <w:jc w:val="left"/>
        <w:rPr>
          <w:sz w:val="21"/>
        </w:rPr>
      </w:pPr>
      <w:r>
        <w:rPr>
          <w:spacing w:val="-4"/>
          <w:w w:val="105"/>
          <w:sz w:val="21"/>
        </w:rPr>
        <w:t>Butler, </w:t>
      </w:r>
      <w:r>
        <w:rPr>
          <w:w w:val="105"/>
          <w:sz w:val="21"/>
        </w:rPr>
        <w:t>Susan (ed), </w:t>
      </w:r>
      <w:r>
        <w:rPr>
          <w:i/>
          <w:spacing w:val="-3"/>
          <w:w w:val="105"/>
          <w:sz w:val="21"/>
        </w:rPr>
        <w:t>Macquarie </w:t>
      </w:r>
      <w:r>
        <w:rPr>
          <w:i/>
          <w:w w:val="105"/>
          <w:sz w:val="21"/>
        </w:rPr>
        <w:t>Dictionary </w:t>
      </w:r>
      <w:r>
        <w:rPr>
          <w:w w:val="105"/>
          <w:sz w:val="21"/>
        </w:rPr>
        <w:t>(Macquarie Dictionary Publishers, </w:t>
      </w:r>
      <w:r>
        <w:rPr>
          <w:spacing w:val="-3"/>
          <w:w w:val="105"/>
          <w:sz w:val="21"/>
        </w:rPr>
        <w:t>6th </w:t>
      </w:r>
      <w:r>
        <w:rPr>
          <w:w w:val="105"/>
          <w:sz w:val="21"/>
        </w:rPr>
        <w:t>ed, </w:t>
      </w:r>
      <w:r>
        <w:rPr>
          <w:spacing w:val="-6"/>
          <w:w w:val="105"/>
          <w:sz w:val="21"/>
        </w:rPr>
        <w:t>2013) </w:t>
      </w:r>
      <w:r>
        <w:rPr>
          <w:w w:val="105"/>
          <w:sz w:val="21"/>
        </w:rPr>
        <w:t>Butt, </w:t>
      </w:r>
      <w:r>
        <w:rPr>
          <w:spacing w:val="-3"/>
          <w:w w:val="105"/>
          <w:sz w:val="21"/>
        </w:rPr>
        <w:t>Peter </w:t>
      </w:r>
      <w:r>
        <w:rPr>
          <w:w w:val="105"/>
          <w:sz w:val="21"/>
        </w:rPr>
        <w:t>(ed) </w:t>
      </w:r>
      <w:r>
        <w:rPr>
          <w:i/>
          <w:w w:val="105"/>
          <w:sz w:val="21"/>
        </w:rPr>
        <w:t>Butterworths’ </w:t>
      </w:r>
      <w:r>
        <w:rPr>
          <w:i/>
          <w:spacing w:val="-3"/>
          <w:w w:val="105"/>
          <w:sz w:val="21"/>
        </w:rPr>
        <w:t>Concise Australian </w:t>
      </w:r>
      <w:r>
        <w:rPr>
          <w:i/>
          <w:w w:val="105"/>
          <w:sz w:val="21"/>
        </w:rPr>
        <w:t>Legal Dictionary </w:t>
      </w:r>
      <w:r>
        <w:rPr>
          <w:w w:val="105"/>
          <w:sz w:val="21"/>
        </w:rPr>
        <w:t>(Lexis Nexis, </w:t>
      </w:r>
      <w:r>
        <w:rPr>
          <w:spacing w:val="-3"/>
          <w:w w:val="105"/>
          <w:sz w:val="21"/>
        </w:rPr>
        <w:t>3rd </w:t>
      </w:r>
      <w:r>
        <w:rPr>
          <w:w w:val="105"/>
          <w:sz w:val="21"/>
        </w:rPr>
        <w:t>ed, 2004)</w:t>
      </w:r>
    </w:p>
    <w:p>
      <w:pPr>
        <w:pStyle w:val="BodyText"/>
        <w:spacing w:line="242" w:lineRule="auto" w:before="1"/>
        <w:ind w:left="1587" w:right="1827"/>
      </w:pPr>
      <w:r>
        <w:rPr>
          <w:w w:val="105"/>
        </w:rPr>
        <w:t>Buttigieg, Mel, ‘Neighbourhood Tree-son! Family’s CCTV Catches Man Next Door Cutting Down Their Tree’, </w:t>
      </w:r>
      <w:r>
        <w:rPr>
          <w:i/>
          <w:w w:val="105"/>
        </w:rPr>
        <w:t>Yahoo7 News </w:t>
      </w:r>
      <w:r>
        <w:rPr>
          <w:w w:val="105"/>
        </w:rPr>
        <w:t>(online, 11 May 2017) &lt;https://au.news.yahoo.com/geelong-man- catches-neighbour-on-cctv-hacking-trees-with-chainsaw-35448374.html&gt;</w:t>
      </w:r>
    </w:p>
    <w:p>
      <w:pPr>
        <w:pStyle w:val="BodyText"/>
        <w:spacing w:before="2"/>
        <w:rPr>
          <w:sz w:val="18"/>
        </w:rPr>
      </w:pPr>
    </w:p>
    <w:p>
      <w:pPr>
        <w:spacing w:before="96"/>
        <w:ind w:left="0" w:right="609" w:firstLine="0"/>
        <w:jc w:val="right"/>
        <w:rPr>
          <w:b/>
          <w:sz w:val="24"/>
        </w:rPr>
      </w:pPr>
      <w:r>
        <w:rPr>
          <w:b/>
          <w:color w:val="658464"/>
          <w:w w:val="105"/>
          <w:sz w:val="24"/>
        </w:rPr>
        <w:t>313</w:t>
      </w:r>
    </w:p>
    <w:p>
      <w:pPr>
        <w:spacing w:after="0"/>
        <w:jc w:val="right"/>
        <w:rPr>
          <w:sz w:val="24"/>
        </w:rPr>
        <w:sectPr>
          <w:headerReference w:type="default" r:id="rId383"/>
          <w:headerReference w:type="even" r:id="rId384"/>
          <w:pgSz w:w="11910" w:h="16840"/>
          <w:pgMar w:header="567" w:footer="0" w:top="1580" w:bottom="280" w:left="0" w:right="0"/>
        </w:sectPr>
      </w:pPr>
    </w:p>
    <w:p>
      <w:pPr>
        <w:pStyle w:val="BodyText"/>
        <w:spacing w:before="9"/>
        <w:rPr>
          <w:b/>
          <w:sz w:val="22"/>
        </w:rPr>
      </w:pPr>
    </w:p>
    <w:p>
      <w:pPr>
        <w:pStyle w:val="BodyText"/>
        <w:spacing w:line="242" w:lineRule="auto" w:before="92"/>
        <w:ind w:left="1587" w:right="1636"/>
      </w:pPr>
      <w:r>
        <w:rPr>
          <w:w w:val="105"/>
        </w:rPr>
        <w:t>Carrick, Damien and Tegan Osborne, ‘Solar Panels and The Law: Can You Stop Your Neighbour From Blocking Your Sunlight?’ </w:t>
      </w:r>
      <w:r>
        <w:rPr>
          <w:i/>
          <w:w w:val="105"/>
        </w:rPr>
        <w:t>The Law Report </w:t>
      </w:r>
      <w:r>
        <w:rPr>
          <w:w w:val="105"/>
        </w:rPr>
        <w:t>(ABC Radio National, 18 May 2017)</w:t>
      </w:r>
    </w:p>
    <w:p>
      <w:pPr>
        <w:pStyle w:val="BodyText"/>
        <w:spacing w:line="242" w:lineRule="auto" w:before="2"/>
        <w:ind w:left="1587" w:right="1636"/>
      </w:pPr>
      <w:r>
        <w:rPr/>
        <w:t>&lt;https://</w:t>
      </w:r>
      <w:hyperlink r:id="rId389">
        <w:r>
          <w:rPr/>
          <w:t>www.abc.net.au/news/2017-05-16/solar-panels-and-the-law-is-there-a-right-to-</w:t>
        </w:r>
      </w:hyperlink>
      <w:r>
        <w:rPr/>
        <w:t> </w:t>
      </w:r>
      <w:r>
        <w:rPr>
          <w:w w:val="105"/>
        </w:rPr>
        <w:t>sunlight/8526752&gt;</w:t>
      </w:r>
    </w:p>
    <w:p>
      <w:pPr>
        <w:pStyle w:val="BodyText"/>
        <w:spacing w:line="242" w:lineRule="auto" w:before="104"/>
        <w:ind w:left="1587" w:right="1636"/>
      </w:pPr>
      <w:r>
        <w:rPr>
          <w:spacing w:val="-4"/>
          <w:w w:val="105"/>
        </w:rPr>
        <w:t>Cheshire, Lynda </w:t>
      </w:r>
      <w:r>
        <w:rPr>
          <w:w w:val="105"/>
        </w:rPr>
        <w:t>and Robin </w:t>
      </w:r>
      <w:r>
        <w:rPr>
          <w:spacing w:val="-3"/>
          <w:w w:val="105"/>
        </w:rPr>
        <w:t>Fitzgerald, </w:t>
      </w:r>
      <w:r>
        <w:rPr>
          <w:w w:val="105"/>
        </w:rPr>
        <w:t>‘From Private Nuisance </w:t>
      </w:r>
      <w:r>
        <w:rPr>
          <w:spacing w:val="-3"/>
          <w:w w:val="105"/>
        </w:rPr>
        <w:t>to </w:t>
      </w:r>
      <w:r>
        <w:rPr>
          <w:spacing w:val="-4"/>
          <w:w w:val="105"/>
        </w:rPr>
        <w:t>Criminal </w:t>
      </w:r>
      <w:r>
        <w:rPr>
          <w:spacing w:val="-3"/>
          <w:w w:val="105"/>
        </w:rPr>
        <w:t>Behaviour: </w:t>
      </w:r>
      <w:r>
        <w:rPr>
          <w:w w:val="105"/>
        </w:rPr>
        <w:t>Neighbour Problems and Neighbourhood </w:t>
      </w:r>
      <w:r>
        <w:rPr>
          <w:spacing w:val="-3"/>
          <w:w w:val="105"/>
        </w:rPr>
        <w:t>Context </w:t>
      </w:r>
      <w:r>
        <w:rPr>
          <w:w w:val="105"/>
        </w:rPr>
        <w:t>in an </w:t>
      </w:r>
      <w:r>
        <w:rPr>
          <w:spacing w:val="-3"/>
          <w:w w:val="105"/>
        </w:rPr>
        <w:t>Australian </w:t>
      </w:r>
      <w:r>
        <w:rPr>
          <w:w w:val="105"/>
        </w:rPr>
        <w:t>City’ </w:t>
      </w:r>
      <w:r>
        <w:rPr>
          <w:spacing w:val="-6"/>
          <w:w w:val="105"/>
        </w:rPr>
        <w:t>(2015) </w:t>
      </w:r>
      <w:r>
        <w:rPr>
          <w:spacing w:val="2"/>
          <w:w w:val="105"/>
        </w:rPr>
        <w:t>30(3) </w:t>
      </w:r>
      <w:r>
        <w:rPr>
          <w:i/>
          <w:spacing w:val="-3"/>
          <w:w w:val="105"/>
        </w:rPr>
        <w:t>Housing Studies </w:t>
      </w:r>
      <w:r>
        <w:rPr>
          <w:spacing w:val="-3"/>
          <w:w w:val="105"/>
        </w:rPr>
        <w:t>100</w:t>
      </w:r>
    </w:p>
    <w:p>
      <w:pPr>
        <w:spacing w:line="362" w:lineRule="exact" w:before="15"/>
        <w:ind w:left="1587" w:right="1632" w:firstLine="0"/>
        <w:jc w:val="left"/>
        <w:rPr>
          <w:sz w:val="21"/>
        </w:rPr>
      </w:pPr>
      <w:r>
        <w:rPr>
          <w:w w:val="105"/>
          <w:sz w:val="21"/>
        </w:rPr>
        <w:t>Citizens Advice Bureau (WA), </w:t>
      </w:r>
      <w:r>
        <w:rPr>
          <w:i/>
          <w:w w:val="105"/>
          <w:sz w:val="21"/>
        </w:rPr>
        <w:t>Mediation Service </w:t>
      </w:r>
      <w:r>
        <w:rPr>
          <w:w w:val="105"/>
          <w:sz w:val="21"/>
        </w:rPr>
        <w:t>(Web Page, 2019) &lt;</w:t>
      </w:r>
      <w:hyperlink r:id="rId390">
        <w:r>
          <w:rPr>
            <w:w w:val="105"/>
            <w:sz w:val="21"/>
          </w:rPr>
          <w:t>http://www.cabwa.com.au/</w:t>
        </w:r>
      </w:hyperlink>
      <w:r>
        <w:rPr>
          <w:w w:val="105"/>
          <w:sz w:val="21"/>
        </w:rPr>
        <w:t>&gt; City of Ballarat, ‘Exceptional Tree Register’</w:t>
      </w:r>
      <w:r>
        <w:rPr>
          <w:i/>
          <w:w w:val="105"/>
          <w:sz w:val="21"/>
        </w:rPr>
        <w:t>, Tree Management </w:t>
      </w:r>
      <w:r>
        <w:rPr>
          <w:w w:val="105"/>
          <w:sz w:val="21"/>
        </w:rPr>
        <w:t>(Web Page, 2019)</w:t>
      </w:r>
    </w:p>
    <w:p>
      <w:pPr>
        <w:pStyle w:val="BodyText"/>
        <w:spacing w:line="338" w:lineRule="auto"/>
        <w:ind w:left="1587" w:right="3362"/>
      </w:pPr>
      <w:r>
        <w:rPr/>
        <w:t>&lt;</w:t>
      </w:r>
      <w:hyperlink r:id="rId391">
        <w:r>
          <w:rPr/>
          <w:t>http://www.ballarat.vic.gov.au/city/parks-and-outdoors/tree-management</w:t>
        </w:r>
      </w:hyperlink>
      <w:r>
        <w:rPr/>
        <w:t>&gt; </w:t>
      </w:r>
      <w:r>
        <w:rPr>
          <w:w w:val="105"/>
        </w:rPr>
        <w:t>City of Boroondara,</w:t>
      </w:r>
    </w:p>
    <w:p>
      <w:pPr>
        <w:pStyle w:val="ListParagraph"/>
        <w:numPr>
          <w:ilvl w:val="0"/>
          <w:numId w:val="214"/>
        </w:numPr>
        <w:tabs>
          <w:tab w:pos="1927" w:val="left" w:leader="none"/>
          <w:tab w:pos="1928" w:val="left" w:leader="none"/>
        </w:tabs>
        <w:spacing w:line="242" w:lineRule="auto" w:before="0" w:after="0"/>
        <w:ind w:left="1927" w:right="1702" w:hanging="340"/>
        <w:jc w:val="left"/>
        <w:rPr>
          <w:sz w:val="21"/>
        </w:rPr>
      </w:pPr>
      <w:r>
        <w:rPr>
          <w:i/>
          <w:spacing w:val="-3"/>
          <w:w w:val="105"/>
          <w:sz w:val="21"/>
        </w:rPr>
        <w:t>Arboricultural </w:t>
      </w:r>
      <w:r>
        <w:rPr>
          <w:i/>
          <w:w w:val="105"/>
          <w:sz w:val="21"/>
        </w:rPr>
        <w:t>Report </w:t>
      </w:r>
      <w:r>
        <w:rPr>
          <w:i/>
          <w:spacing w:val="-3"/>
          <w:w w:val="105"/>
          <w:sz w:val="21"/>
        </w:rPr>
        <w:t>Writing </w:t>
      </w:r>
      <w:r>
        <w:rPr>
          <w:i/>
          <w:w w:val="105"/>
          <w:sz w:val="21"/>
        </w:rPr>
        <w:t>Guide: </w:t>
      </w:r>
      <w:r>
        <w:rPr>
          <w:i/>
          <w:spacing w:val="-3"/>
          <w:w w:val="105"/>
          <w:sz w:val="21"/>
        </w:rPr>
        <w:t>Guide </w:t>
      </w:r>
      <w:r>
        <w:rPr>
          <w:i/>
          <w:w w:val="105"/>
          <w:sz w:val="21"/>
        </w:rPr>
        <w:t>for the Preparation </w:t>
      </w:r>
      <w:r>
        <w:rPr>
          <w:i/>
          <w:spacing w:val="-3"/>
          <w:w w:val="105"/>
          <w:sz w:val="21"/>
        </w:rPr>
        <w:t>of </w:t>
      </w:r>
      <w:r>
        <w:rPr>
          <w:i/>
          <w:w w:val="105"/>
          <w:sz w:val="21"/>
        </w:rPr>
        <w:t>Preliminary </w:t>
      </w:r>
      <w:r>
        <w:rPr>
          <w:i/>
          <w:spacing w:val="-3"/>
          <w:w w:val="105"/>
          <w:sz w:val="21"/>
        </w:rPr>
        <w:t>Arboricultural </w:t>
      </w:r>
      <w:r>
        <w:rPr>
          <w:i/>
          <w:w w:val="105"/>
          <w:sz w:val="21"/>
        </w:rPr>
        <w:t>Reports, </w:t>
      </w:r>
      <w:r>
        <w:rPr>
          <w:i/>
          <w:spacing w:val="-3"/>
          <w:w w:val="105"/>
          <w:sz w:val="21"/>
        </w:rPr>
        <w:t>Arboricultural </w:t>
      </w:r>
      <w:r>
        <w:rPr>
          <w:i/>
          <w:w w:val="105"/>
          <w:sz w:val="21"/>
        </w:rPr>
        <w:t>Impact Assessments, Root Investigation/ Mapping Reports, </w:t>
      </w:r>
      <w:r>
        <w:rPr>
          <w:i/>
          <w:spacing w:val="-4"/>
          <w:w w:val="105"/>
          <w:sz w:val="21"/>
        </w:rPr>
        <w:t>Tree </w:t>
      </w:r>
      <w:r>
        <w:rPr>
          <w:i/>
          <w:w w:val="105"/>
          <w:sz w:val="21"/>
        </w:rPr>
        <w:t>Management</w:t>
      </w:r>
      <w:r>
        <w:rPr>
          <w:i/>
          <w:spacing w:val="-11"/>
          <w:w w:val="105"/>
          <w:sz w:val="21"/>
        </w:rPr>
        <w:t> </w:t>
      </w:r>
      <w:r>
        <w:rPr>
          <w:i/>
          <w:w w:val="105"/>
          <w:sz w:val="21"/>
        </w:rPr>
        <w:t>and</w:t>
      </w:r>
      <w:r>
        <w:rPr>
          <w:i/>
          <w:spacing w:val="-11"/>
          <w:w w:val="105"/>
          <w:sz w:val="21"/>
        </w:rPr>
        <w:t> </w:t>
      </w:r>
      <w:r>
        <w:rPr>
          <w:i/>
          <w:w w:val="105"/>
          <w:sz w:val="21"/>
        </w:rPr>
        <w:t>Protection</w:t>
      </w:r>
      <w:r>
        <w:rPr>
          <w:i/>
          <w:spacing w:val="-10"/>
          <w:w w:val="105"/>
          <w:sz w:val="21"/>
        </w:rPr>
        <w:t> </w:t>
      </w:r>
      <w:r>
        <w:rPr>
          <w:i/>
          <w:spacing w:val="-3"/>
          <w:w w:val="105"/>
          <w:sz w:val="21"/>
        </w:rPr>
        <w:t>Plans</w:t>
      </w:r>
      <w:r>
        <w:rPr>
          <w:i/>
          <w:spacing w:val="-11"/>
          <w:w w:val="105"/>
          <w:sz w:val="21"/>
        </w:rPr>
        <w:t> </w:t>
      </w:r>
      <w:r>
        <w:rPr>
          <w:i/>
          <w:w w:val="105"/>
          <w:sz w:val="21"/>
        </w:rPr>
        <w:t>and</w:t>
      </w:r>
      <w:r>
        <w:rPr>
          <w:i/>
          <w:spacing w:val="-11"/>
          <w:w w:val="105"/>
          <w:sz w:val="21"/>
        </w:rPr>
        <w:t> </w:t>
      </w:r>
      <w:r>
        <w:rPr>
          <w:i/>
          <w:spacing w:val="-4"/>
          <w:w w:val="105"/>
          <w:sz w:val="21"/>
        </w:rPr>
        <w:t>Transplant</w:t>
      </w:r>
      <w:r>
        <w:rPr>
          <w:i/>
          <w:spacing w:val="-10"/>
          <w:w w:val="105"/>
          <w:sz w:val="21"/>
        </w:rPr>
        <w:t> </w:t>
      </w:r>
      <w:r>
        <w:rPr>
          <w:i/>
          <w:w w:val="105"/>
          <w:sz w:val="21"/>
        </w:rPr>
        <w:t>Method</w:t>
      </w:r>
      <w:r>
        <w:rPr>
          <w:i/>
          <w:spacing w:val="-11"/>
          <w:w w:val="105"/>
          <w:sz w:val="21"/>
        </w:rPr>
        <w:t> </w:t>
      </w:r>
      <w:r>
        <w:rPr>
          <w:i/>
          <w:spacing w:val="-3"/>
          <w:w w:val="105"/>
          <w:sz w:val="21"/>
        </w:rPr>
        <w:t>Statements</w:t>
      </w:r>
      <w:r>
        <w:rPr>
          <w:i/>
          <w:spacing w:val="-10"/>
          <w:w w:val="105"/>
          <w:sz w:val="21"/>
        </w:rPr>
        <w:t> </w:t>
      </w:r>
      <w:r>
        <w:rPr>
          <w:w w:val="105"/>
          <w:sz w:val="21"/>
        </w:rPr>
        <w:t>(Guidelines,</w:t>
      </w:r>
      <w:r>
        <w:rPr>
          <w:spacing w:val="-10"/>
          <w:w w:val="105"/>
          <w:sz w:val="21"/>
        </w:rPr>
        <w:t> </w:t>
      </w:r>
      <w:r>
        <w:rPr>
          <w:w w:val="105"/>
          <w:sz w:val="21"/>
        </w:rPr>
        <w:t>June</w:t>
      </w:r>
      <w:r>
        <w:rPr>
          <w:spacing w:val="-11"/>
          <w:w w:val="105"/>
          <w:sz w:val="21"/>
        </w:rPr>
        <w:t> </w:t>
      </w:r>
      <w:r>
        <w:rPr>
          <w:spacing w:val="-7"/>
          <w:w w:val="105"/>
          <w:sz w:val="21"/>
        </w:rPr>
        <w:t>2017)</w:t>
      </w:r>
    </w:p>
    <w:p>
      <w:pPr>
        <w:pStyle w:val="ListParagraph"/>
        <w:numPr>
          <w:ilvl w:val="0"/>
          <w:numId w:val="214"/>
        </w:numPr>
        <w:tabs>
          <w:tab w:pos="1927" w:val="left" w:leader="none"/>
          <w:tab w:pos="1928" w:val="left" w:leader="none"/>
        </w:tabs>
        <w:spacing w:line="242" w:lineRule="auto" w:before="94" w:after="0"/>
        <w:ind w:left="1927" w:right="2271" w:hanging="340"/>
        <w:jc w:val="left"/>
        <w:rPr>
          <w:sz w:val="21"/>
        </w:rPr>
      </w:pPr>
      <w:r>
        <w:rPr>
          <w:i/>
          <w:spacing w:val="-3"/>
          <w:w w:val="105"/>
          <w:sz w:val="21"/>
        </w:rPr>
        <w:t>Choosing Suitable </w:t>
      </w:r>
      <w:r>
        <w:rPr>
          <w:i/>
          <w:spacing w:val="-4"/>
          <w:w w:val="105"/>
          <w:sz w:val="21"/>
        </w:rPr>
        <w:t>Trees </w:t>
      </w:r>
      <w:r>
        <w:rPr>
          <w:w w:val="105"/>
          <w:sz w:val="21"/>
        </w:rPr>
        <w:t>(Web</w:t>
      </w:r>
      <w:r>
        <w:rPr>
          <w:spacing w:val="-37"/>
          <w:w w:val="105"/>
          <w:sz w:val="21"/>
        </w:rPr>
        <w:t> </w:t>
      </w:r>
      <w:r>
        <w:rPr>
          <w:spacing w:val="-3"/>
          <w:w w:val="105"/>
          <w:sz w:val="21"/>
        </w:rPr>
        <w:t>Page, </w:t>
      </w:r>
      <w:r>
        <w:rPr>
          <w:spacing w:val="-5"/>
          <w:w w:val="105"/>
          <w:sz w:val="21"/>
        </w:rPr>
        <w:t>2019) </w:t>
      </w:r>
      <w:r>
        <w:rPr>
          <w:w w:val="105"/>
          <w:sz w:val="21"/>
        </w:rPr>
        <w:t>&lt;https://</w:t>
      </w:r>
      <w:hyperlink r:id="rId392">
        <w:r>
          <w:rPr>
            <w:w w:val="105"/>
            <w:sz w:val="21"/>
          </w:rPr>
          <w:t>www.boroondara.vic.gov.au/waste-</w:t>
        </w:r>
      </w:hyperlink>
      <w:r>
        <w:rPr>
          <w:w w:val="105"/>
          <w:sz w:val="21"/>
        </w:rPr>
        <w:t> environment/trees-and-naturestrips/choosing-suitable-trees&gt;</w:t>
      </w:r>
    </w:p>
    <w:p>
      <w:pPr>
        <w:pStyle w:val="ListParagraph"/>
        <w:numPr>
          <w:ilvl w:val="0"/>
          <w:numId w:val="214"/>
        </w:numPr>
        <w:tabs>
          <w:tab w:pos="1927" w:val="left" w:leader="none"/>
          <w:tab w:pos="1928" w:val="left" w:leader="none"/>
        </w:tabs>
        <w:spacing w:line="242" w:lineRule="auto" w:before="104" w:after="0"/>
        <w:ind w:left="1927" w:right="1800" w:hanging="340"/>
        <w:jc w:val="left"/>
        <w:rPr>
          <w:sz w:val="21"/>
        </w:rPr>
      </w:pPr>
      <w:r>
        <w:rPr>
          <w:i/>
          <w:w w:val="105"/>
          <w:sz w:val="21"/>
        </w:rPr>
        <w:t>Landscape</w:t>
      </w:r>
      <w:r>
        <w:rPr>
          <w:i/>
          <w:spacing w:val="-17"/>
          <w:w w:val="105"/>
          <w:sz w:val="21"/>
        </w:rPr>
        <w:t> </w:t>
      </w:r>
      <w:r>
        <w:rPr>
          <w:i/>
          <w:w w:val="105"/>
          <w:sz w:val="21"/>
        </w:rPr>
        <w:t>Plan</w:t>
      </w:r>
      <w:r>
        <w:rPr>
          <w:i/>
          <w:spacing w:val="-17"/>
          <w:w w:val="105"/>
          <w:sz w:val="21"/>
        </w:rPr>
        <w:t> </w:t>
      </w:r>
      <w:r>
        <w:rPr>
          <w:i/>
          <w:spacing w:val="-3"/>
          <w:w w:val="105"/>
          <w:sz w:val="21"/>
        </w:rPr>
        <w:t>Guidelines</w:t>
      </w:r>
      <w:r>
        <w:rPr>
          <w:i/>
          <w:spacing w:val="-17"/>
          <w:w w:val="105"/>
          <w:sz w:val="21"/>
        </w:rPr>
        <w:t> </w:t>
      </w:r>
      <w:r>
        <w:rPr>
          <w:w w:val="105"/>
          <w:sz w:val="21"/>
        </w:rPr>
        <w:t>(Web</w:t>
      </w:r>
      <w:r>
        <w:rPr>
          <w:spacing w:val="-17"/>
          <w:w w:val="105"/>
          <w:sz w:val="21"/>
        </w:rPr>
        <w:t> </w:t>
      </w:r>
      <w:r>
        <w:rPr>
          <w:spacing w:val="-3"/>
          <w:w w:val="105"/>
          <w:sz w:val="21"/>
        </w:rPr>
        <w:t>Page,</w:t>
      </w:r>
      <w:r>
        <w:rPr>
          <w:spacing w:val="-17"/>
          <w:w w:val="105"/>
          <w:sz w:val="21"/>
        </w:rPr>
        <w:t> </w:t>
      </w:r>
      <w:r>
        <w:rPr>
          <w:spacing w:val="-5"/>
          <w:w w:val="105"/>
          <w:sz w:val="21"/>
        </w:rPr>
        <w:t>2019)</w:t>
      </w:r>
      <w:r>
        <w:rPr>
          <w:spacing w:val="-16"/>
          <w:w w:val="105"/>
          <w:sz w:val="21"/>
        </w:rPr>
        <w:t> </w:t>
      </w:r>
      <w:r>
        <w:rPr>
          <w:w w:val="105"/>
          <w:sz w:val="21"/>
        </w:rPr>
        <w:t>&lt;https://</w:t>
      </w:r>
      <w:hyperlink r:id="rId393">
        <w:r>
          <w:rPr>
            <w:w w:val="105"/>
            <w:sz w:val="21"/>
          </w:rPr>
          <w:t>www.boroondara.vic.gov.au/planning-</w:t>
        </w:r>
      </w:hyperlink>
      <w:r>
        <w:rPr>
          <w:w w:val="105"/>
          <w:sz w:val="21"/>
        </w:rPr>
        <w:t> building/planning-permit-applications/landscape-plan-guidelines&gt;</w:t>
      </w:r>
    </w:p>
    <w:p>
      <w:pPr>
        <w:pStyle w:val="ListParagraph"/>
        <w:numPr>
          <w:ilvl w:val="0"/>
          <w:numId w:val="214"/>
        </w:numPr>
        <w:tabs>
          <w:tab w:pos="1927" w:val="left" w:leader="none"/>
          <w:tab w:pos="1928" w:val="left" w:leader="none"/>
        </w:tabs>
        <w:spacing w:line="242" w:lineRule="auto" w:before="104" w:after="0"/>
        <w:ind w:left="1927" w:right="2639" w:hanging="340"/>
        <w:jc w:val="left"/>
        <w:rPr>
          <w:sz w:val="21"/>
        </w:rPr>
      </w:pPr>
      <w:r>
        <w:rPr>
          <w:i/>
          <w:w w:val="105"/>
          <w:sz w:val="21"/>
        </w:rPr>
        <w:t>Neighbouring</w:t>
      </w:r>
      <w:r>
        <w:rPr>
          <w:i/>
          <w:spacing w:val="-19"/>
          <w:w w:val="105"/>
          <w:sz w:val="21"/>
        </w:rPr>
        <w:t> </w:t>
      </w:r>
      <w:r>
        <w:rPr>
          <w:i/>
          <w:spacing w:val="-4"/>
          <w:w w:val="105"/>
          <w:sz w:val="21"/>
        </w:rPr>
        <w:t>Trees</w:t>
      </w:r>
      <w:r>
        <w:rPr>
          <w:i/>
          <w:spacing w:val="-18"/>
          <w:w w:val="105"/>
          <w:sz w:val="21"/>
        </w:rPr>
        <w:t> </w:t>
      </w:r>
      <w:r>
        <w:rPr>
          <w:w w:val="105"/>
          <w:sz w:val="21"/>
        </w:rPr>
        <w:t>(Web</w:t>
      </w:r>
      <w:r>
        <w:rPr>
          <w:spacing w:val="-18"/>
          <w:w w:val="105"/>
          <w:sz w:val="21"/>
        </w:rPr>
        <w:t> </w:t>
      </w:r>
      <w:r>
        <w:rPr>
          <w:spacing w:val="-3"/>
          <w:w w:val="105"/>
          <w:sz w:val="21"/>
        </w:rPr>
        <w:t>Page,</w:t>
      </w:r>
      <w:r>
        <w:rPr>
          <w:spacing w:val="-18"/>
          <w:w w:val="105"/>
          <w:sz w:val="21"/>
        </w:rPr>
        <w:t> </w:t>
      </w:r>
      <w:r>
        <w:rPr>
          <w:spacing w:val="-5"/>
          <w:w w:val="105"/>
          <w:sz w:val="21"/>
        </w:rPr>
        <w:t>2019)</w:t>
      </w:r>
      <w:r>
        <w:rPr>
          <w:spacing w:val="-19"/>
          <w:w w:val="105"/>
          <w:sz w:val="21"/>
        </w:rPr>
        <w:t> </w:t>
      </w:r>
      <w:r>
        <w:rPr>
          <w:w w:val="105"/>
          <w:sz w:val="21"/>
        </w:rPr>
        <w:t>&lt;https://</w:t>
      </w:r>
      <w:hyperlink r:id="rId392">
        <w:r>
          <w:rPr>
            <w:w w:val="105"/>
            <w:sz w:val="21"/>
          </w:rPr>
          <w:t>www.boroondara.vic.gov.au/waste-</w:t>
        </w:r>
      </w:hyperlink>
      <w:r>
        <w:rPr>
          <w:w w:val="105"/>
          <w:sz w:val="21"/>
        </w:rPr>
        <w:t> environment/trees-and-naturestrips/neighbouring-trees&gt;</w:t>
      </w:r>
    </w:p>
    <w:p>
      <w:pPr>
        <w:pStyle w:val="BodyText"/>
        <w:spacing w:line="242" w:lineRule="auto" w:before="104"/>
        <w:ind w:left="1587" w:right="1592"/>
      </w:pPr>
      <w:r>
        <w:rPr>
          <w:w w:val="105"/>
        </w:rPr>
        <w:t>City of Casey and Cardinia Shire Council, </w:t>
      </w:r>
      <w:r>
        <w:rPr>
          <w:i/>
          <w:w w:val="105"/>
        </w:rPr>
        <w:t>Indigenous Plant Guide </w:t>
      </w:r>
      <w:r>
        <w:rPr>
          <w:w w:val="105"/>
        </w:rPr>
        <w:t>(Web Page) &lt;https://www.casey. vic.gov.au/indigenous-plants&gt;</w:t>
      </w:r>
    </w:p>
    <w:p>
      <w:pPr>
        <w:pStyle w:val="BodyText"/>
        <w:spacing w:line="242" w:lineRule="auto" w:before="104"/>
        <w:ind w:left="1587" w:right="1721"/>
      </w:pPr>
      <w:r>
        <w:rPr>
          <w:spacing w:val="-3"/>
          <w:w w:val="105"/>
        </w:rPr>
        <w:t>City </w:t>
      </w:r>
      <w:r>
        <w:rPr>
          <w:w w:val="105"/>
        </w:rPr>
        <w:t>of Gold </w:t>
      </w:r>
      <w:r>
        <w:rPr>
          <w:spacing w:val="-3"/>
          <w:w w:val="105"/>
        </w:rPr>
        <w:t>Coast, ‘City </w:t>
      </w:r>
      <w:r>
        <w:rPr>
          <w:w w:val="105"/>
        </w:rPr>
        <w:t>Plan </w:t>
      </w:r>
      <w:r>
        <w:rPr>
          <w:spacing w:val="-3"/>
          <w:w w:val="105"/>
        </w:rPr>
        <w:t>Version </w:t>
      </w:r>
      <w:r>
        <w:rPr>
          <w:spacing w:val="-10"/>
          <w:w w:val="105"/>
        </w:rPr>
        <w:t>6’, </w:t>
      </w:r>
      <w:r>
        <w:rPr>
          <w:i/>
          <w:w w:val="105"/>
        </w:rPr>
        <w:t>City Plan </w:t>
      </w:r>
      <w:r>
        <w:rPr>
          <w:w w:val="105"/>
        </w:rPr>
        <w:t>(Web Page) &lt;https://cityplan.goldcoast.qld.gov. au/Pages/Plan/Book.aspx?exhibit=GCCC_CityPlan&gt;</w:t>
      </w:r>
    </w:p>
    <w:p>
      <w:pPr>
        <w:spacing w:before="105"/>
        <w:ind w:left="1587" w:right="0" w:firstLine="0"/>
        <w:jc w:val="left"/>
        <w:rPr>
          <w:sz w:val="21"/>
        </w:rPr>
      </w:pPr>
      <w:r>
        <w:rPr>
          <w:w w:val="105"/>
          <w:sz w:val="21"/>
        </w:rPr>
        <w:t>City of Greater Bendigo, </w:t>
      </w:r>
      <w:r>
        <w:rPr>
          <w:i/>
          <w:w w:val="105"/>
          <w:sz w:val="21"/>
        </w:rPr>
        <w:t>Urban Tree Management Policy </w:t>
      </w:r>
      <w:r>
        <w:rPr>
          <w:w w:val="105"/>
          <w:sz w:val="21"/>
        </w:rPr>
        <w:t>(16 August 2017)</w:t>
      </w:r>
    </w:p>
    <w:p>
      <w:pPr>
        <w:spacing w:line="242" w:lineRule="auto" w:before="105"/>
        <w:ind w:left="1587" w:right="1636" w:firstLine="0"/>
        <w:jc w:val="left"/>
        <w:rPr>
          <w:sz w:val="21"/>
        </w:rPr>
      </w:pPr>
      <w:r>
        <w:rPr>
          <w:w w:val="105"/>
          <w:sz w:val="21"/>
        </w:rPr>
        <w:t>City of Kingston, </w:t>
      </w:r>
      <w:r>
        <w:rPr>
          <w:i/>
          <w:w w:val="105"/>
          <w:sz w:val="21"/>
        </w:rPr>
        <w:t>Arboricultural Reporting Guidelines for Planning and Developments </w:t>
      </w:r>
      <w:r>
        <w:rPr>
          <w:w w:val="105"/>
          <w:sz w:val="21"/>
        </w:rPr>
        <w:t>(25 June 2013)</w:t>
      </w:r>
    </w:p>
    <w:p>
      <w:pPr>
        <w:pStyle w:val="BodyText"/>
        <w:spacing w:before="105"/>
        <w:ind w:left="1587"/>
      </w:pPr>
      <w:r>
        <w:rPr>
          <w:w w:val="105"/>
        </w:rPr>
        <w:t>City of Melbourne,</w:t>
      </w:r>
    </w:p>
    <w:p>
      <w:pPr>
        <w:pStyle w:val="ListParagraph"/>
        <w:numPr>
          <w:ilvl w:val="0"/>
          <w:numId w:val="214"/>
        </w:numPr>
        <w:tabs>
          <w:tab w:pos="1927" w:val="left" w:leader="none"/>
          <w:tab w:pos="1928" w:val="left" w:leader="none"/>
        </w:tabs>
        <w:spacing w:line="240" w:lineRule="auto" w:before="105" w:after="0"/>
        <w:ind w:left="1927" w:right="0" w:hanging="340"/>
        <w:jc w:val="left"/>
        <w:rPr>
          <w:sz w:val="21"/>
        </w:rPr>
      </w:pPr>
      <w:r>
        <w:rPr>
          <w:i/>
          <w:w w:val="105"/>
          <w:sz w:val="21"/>
        </w:rPr>
        <w:t>Urban Forest Strategy—Making a </w:t>
      </w:r>
      <w:r>
        <w:rPr>
          <w:i/>
          <w:spacing w:val="-3"/>
          <w:w w:val="105"/>
          <w:sz w:val="21"/>
        </w:rPr>
        <w:t>Great </w:t>
      </w:r>
      <w:r>
        <w:rPr>
          <w:i/>
          <w:w w:val="105"/>
          <w:sz w:val="21"/>
        </w:rPr>
        <w:t>City Greener </w:t>
      </w:r>
      <w:r>
        <w:rPr>
          <w:i/>
          <w:spacing w:val="-8"/>
          <w:w w:val="105"/>
          <w:sz w:val="21"/>
        </w:rPr>
        <w:t>2012-2032 </w:t>
      </w:r>
      <w:r>
        <w:rPr>
          <w:w w:val="105"/>
          <w:sz w:val="21"/>
        </w:rPr>
        <w:t>(Report,</w:t>
      </w:r>
      <w:r>
        <w:rPr>
          <w:spacing w:val="12"/>
          <w:w w:val="105"/>
          <w:sz w:val="21"/>
        </w:rPr>
        <w:t> </w:t>
      </w:r>
      <w:r>
        <w:rPr>
          <w:spacing w:val="-8"/>
          <w:w w:val="105"/>
          <w:sz w:val="21"/>
        </w:rPr>
        <w:t>2012)</w:t>
      </w:r>
    </w:p>
    <w:p>
      <w:pPr>
        <w:pStyle w:val="ListParagraph"/>
        <w:numPr>
          <w:ilvl w:val="0"/>
          <w:numId w:val="214"/>
        </w:numPr>
        <w:tabs>
          <w:tab w:pos="1927" w:val="left" w:leader="none"/>
          <w:tab w:pos="1928" w:val="left" w:leader="none"/>
        </w:tabs>
        <w:spacing w:line="240" w:lineRule="auto" w:before="106" w:after="0"/>
        <w:ind w:left="1927" w:right="0" w:hanging="340"/>
        <w:jc w:val="left"/>
        <w:rPr>
          <w:sz w:val="21"/>
        </w:rPr>
      </w:pPr>
      <w:r>
        <w:rPr>
          <w:i/>
          <w:spacing w:val="-4"/>
          <w:w w:val="105"/>
          <w:sz w:val="21"/>
        </w:rPr>
        <w:t>Australia’s </w:t>
      </w:r>
      <w:r>
        <w:rPr>
          <w:i/>
          <w:w w:val="105"/>
          <w:sz w:val="21"/>
        </w:rPr>
        <w:t>First Urban Forestry School Announced </w:t>
      </w:r>
      <w:r>
        <w:rPr>
          <w:w w:val="105"/>
          <w:sz w:val="21"/>
        </w:rPr>
        <w:t>(Web </w:t>
      </w:r>
      <w:r>
        <w:rPr>
          <w:spacing w:val="-3"/>
          <w:w w:val="105"/>
          <w:sz w:val="21"/>
        </w:rPr>
        <w:t>Page, </w:t>
      </w:r>
      <w:r>
        <w:rPr>
          <w:w w:val="105"/>
          <w:sz w:val="21"/>
        </w:rPr>
        <w:t>6 September</w:t>
      </w:r>
      <w:r>
        <w:rPr>
          <w:spacing w:val="46"/>
          <w:w w:val="105"/>
          <w:sz w:val="21"/>
        </w:rPr>
        <w:t> </w:t>
      </w:r>
      <w:r>
        <w:rPr>
          <w:spacing w:val="-5"/>
          <w:w w:val="105"/>
          <w:sz w:val="21"/>
        </w:rPr>
        <w:t>2018)</w:t>
      </w:r>
    </w:p>
    <w:p>
      <w:pPr>
        <w:pStyle w:val="BodyText"/>
        <w:spacing w:line="242" w:lineRule="auto" w:before="4"/>
        <w:ind w:left="1927" w:right="1972"/>
      </w:pPr>
      <w:r>
        <w:rPr/>
        <w:t>&lt;https://</w:t>
      </w:r>
      <w:hyperlink r:id="rId394">
        <w:r>
          <w:rPr/>
          <w:t>www.melbourne.vic.gov.au/news-and-media/pages/australias-first-urban-forestry-</w:t>
        </w:r>
      </w:hyperlink>
      <w:r>
        <w:rPr/>
        <w:t> </w:t>
      </w:r>
      <w:r>
        <w:rPr>
          <w:w w:val="105"/>
        </w:rPr>
        <w:t>school-announced.aspx&gt;</w:t>
      </w:r>
    </w:p>
    <w:p>
      <w:pPr>
        <w:pStyle w:val="BodyText"/>
        <w:spacing w:before="104"/>
        <w:ind w:left="1587"/>
      </w:pPr>
      <w:r>
        <w:rPr>
          <w:w w:val="105"/>
        </w:rPr>
        <w:t>City of Port Phillip,</w:t>
      </w:r>
    </w:p>
    <w:p>
      <w:pPr>
        <w:pStyle w:val="ListParagraph"/>
        <w:numPr>
          <w:ilvl w:val="0"/>
          <w:numId w:val="214"/>
        </w:numPr>
        <w:tabs>
          <w:tab w:pos="1927" w:val="left" w:leader="none"/>
          <w:tab w:pos="1928" w:val="left" w:leader="none"/>
        </w:tabs>
        <w:spacing w:line="242" w:lineRule="auto" w:before="105" w:after="0"/>
        <w:ind w:left="1927" w:right="1597" w:hanging="340"/>
        <w:jc w:val="left"/>
        <w:rPr>
          <w:sz w:val="21"/>
        </w:rPr>
      </w:pPr>
      <w:r>
        <w:rPr>
          <w:i/>
          <w:w w:val="105"/>
          <w:sz w:val="21"/>
        </w:rPr>
        <w:t>City</w:t>
      </w:r>
      <w:r>
        <w:rPr>
          <w:i/>
          <w:spacing w:val="-11"/>
          <w:w w:val="105"/>
          <w:sz w:val="21"/>
        </w:rPr>
        <w:t> </w:t>
      </w:r>
      <w:r>
        <w:rPr>
          <w:i/>
          <w:w w:val="105"/>
          <w:sz w:val="21"/>
        </w:rPr>
        <w:t>Permits</w:t>
      </w:r>
      <w:r>
        <w:rPr>
          <w:w w:val="105"/>
          <w:sz w:val="21"/>
        </w:rPr>
        <w:t>—</w:t>
      </w:r>
      <w:r>
        <w:rPr>
          <w:i/>
          <w:w w:val="105"/>
          <w:sz w:val="21"/>
        </w:rPr>
        <w:t>Fact</w:t>
      </w:r>
      <w:r>
        <w:rPr>
          <w:i/>
          <w:spacing w:val="-11"/>
          <w:w w:val="105"/>
          <w:sz w:val="21"/>
        </w:rPr>
        <w:t> </w:t>
      </w:r>
      <w:r>
        <w:rPr>
          <w:i/>
          <w:w w:val="105"/>
          <w:sz w:val="21"/>
        </w:rPr>
        <w:t>Sheet</w:t>
      </w:r>
      <w:r>
        <w:rPr>
          <w:i/>
          <w:spacing w:val="-11"/>
          <w:w w:val="105"/>
          <w:sz w:val="21"/>
        </w:rPr>
        <w:t> </w:t>
      </w:r>
      <w:r>
        <w:rPr>
          <w:i/>
          <w:spacing w:val="-3"/>
          <w:w w:val="105"/>
          <w:sz w:val="21"/>
        </w:rPr>
        <w:t>Significant</w:t>
      </w:r>
      <w:r>
        <w:rPr>
          <w:i/>
          <w:spacing w:val="-11"/>
          <w:w w:val="105"/>
          <w:sz w:val="21"/>
        </w:rPr>
        <w:t> </w:t>
      </w:r>
      <w:r>
        <w:rPr>
          <w:i/>
          <w:spacing w:val="-4"/>
          <w:w w:val="105"/>
          <w:sz w:val="21"/>
        </w:rPr>
        <w:t>Tree</w:t>
      </w:r>
      <w:r>
        <w:rPr>
          <w:i/>
          <w:spacing w:val="-10"/>
          <w:w w:val="105"/>
          <w:sz w:val="21"/>
        </w:rPr>
        <w:t> </w:t>
      </w:r>
      <w:r>
        <w:rPr>
          <w:i/>
          <w:w w:val="105"/>
          <w:sz w:val="21"/>
        </w:rPr>
        <w:t>Permits</w:t>
      </w:r>
      <w:r>
        <w:rPr>
          <w:i/>
          <w:spacing w:val="-11"/>
          <w:w w:val="105"/>
          <w:sz w:val="21"/>
        </w:rPr>
        <w:t> </w:t>
      </w:r>
      <w:r>
        <w:rPr>
          <w:spacing w:val="-3"/>
          <w:w w:val="105"/>
          <w:sz w:val="21"/>
        </w:rPr>
        <w:t>(29</w:t>
      </w:r>
      <w:r>
        <w:rPr>
          <w:spacing w:val="-11"/>
          <w:w w:val="105"/>
          <w:sz w:val="21"/>
        </w:rPr>
        <w:t> </w:t>
      </w:r>
      <w:r>
        <w:rPr>
          <w:w w:val="105"/>
          <w:sz w:val="21"/>
        </w:rPr>
        <w:t>November</w:t>
      </w:r>
      <w:r>
        <w:rPr>
          <w:spacing w:val="-11"/>
          <w:w w:val="105"/>
          <w:sz w:val="21"/>
        </w:rPr>
        <w:t> </w:t>
      </w:r>
      <w:r>
        <w:rPr>
          <w:spacing w:val="-7"/>
          <w:w w:val="105"/>
          <w:sz w:val="21"/>
        </w:rPr>
        <w:t>2017)</w:t>
      </w:r>
      <w:r>
        <w:rPr>
          <w:spacing w:val="-11"/>
          <w:w w:val="105"/>
          <w:sz w:val="21"/>
        </w:rPr>
        <w:t> </w:t>
      </w:r>
      <w:r>
        <w:rPr>
          <w:w w:val="105"/>
          <w:sz w:val="21"/>
        </w:rPr>
        <w:t>&lt;http://www.portphillip. </w:t>
      </w:r>
      <w:r>
        <w:rPr>
          <w:spacing w:val="-3"/>
          <w:w w:val="105"/>
          <w:sz w:val="21"/>
        </w:rPr>
        <w:t>vic.gov.au/significant-tree-permit.htm&gt;.</w:t>
      </w:r>
    </w:p>
    <w:p>
      <w:pPr>
        <w:pStyle w:val="ListParagraph"/>
        <w:numPr>
          <w:ilvl w:val="0"/>
          <w:numId w:val="214"/>
        </w:numPr>
        <w:tabs>
          <w:tab w:pos="1927" w:val="left" w:leader="none"/>
          <w:tab w:pos="1928" w:val="left" w:leader="none"/>
        </w:tabs>
        <w:spacing w:line="242" w:lineRule="auto" w:before="105" w:after="0"/>
        <w:ind w:left="1927" w:right="2611" w:hanging="340"/>
        <w:jc w:val="left"/>
        <w:rPr>
          <w:sz w:val="21"/>
        </w:rPr>
      </w:pPr>
      <w:r>
        <w:rPr>
          <w:i/>
          <w:spacing w:val="-4"/>
          <w:w w:val="105"/>
          <w:sz w:val="21"/>
        </w:rPr>
        <w:t>Tree</w:t>
      </w:r>
      <w:r>
        <w:rPr>
          <w:i/>
          <w:spacing w:val="-30"/>
          <w:w w:val="105"/>
          <w:sz w:val="21"/>
        </w:rPr>
        <w:t> </w:t>
      </w:r>
      <w:r>
        <w:rPr>
          <w:i/>
          <w:w w:val="105"/>
          <w:sz w:val="21"/>
        </w:rPr>
        <w:t>Protection</w:t>
      </w:r>
      <w:r>
        <w:rPr>
          <w:i/>
          <w:spacing w:val="-30"/>
          <w:w w:val="105"/>
          <w:sz w:val="21"/>
        </w:rPr>
        <w:t> </w:t>
      </w:r>
      <w:r>
        <w:rPr>
          <w:i/>
          <w:w w:val="105"/>
          <w:sz w:val="21"/>
        </w:rPr>
        <w:t>Fact</w:t>
      </w:r>
      <w:r>
        <w:rPr>
          <w:i/>
          <w:spacing w:val="-30"/>
          <w:w w:val="105"/>
          <w:sz w:val="21"/>
        </w:rPr>
        <w:t> </w:t>
      </w:r>
      <w:r>
        <w:rPr>
          <w:i/>
          <w:w w:val="105"/>
          <w:sz w:val="21"/>
        </w:rPr>
        <w:t>Sheet</w:t>
      </w:r>
      <w:r>
        <w:rPr>
          <w:i/>
          <w:spacing w:val="-29"/>
          <w:w w:val="105"/>
          <w:sz w:val="21"/>
        </w:rPr>
        <w:t> </w:t>
      </w:r>
      <w:r>
        <w:rPr>
          <w:w w:val="105"/>
          <w:sz w:val="21"/>
        </w:rPr>
        <w:t>(February</w:t>
      </w:r>
      <w:r>
        <w:rPr>
          <w:spacing w:val="-30"/>
          <w:w w:val="105"/>
          <w:sz w:val="21"/>
        </w:rPr>
        <w:t> </w:t>
      </w:r>
      <w:r>
        <w:rPr>
          <w:spacing w:val="-5"/>
          <w:w w:val="105"/>
          <w:sz w:val="21"/>
        </w:rPr>
        <w:t>2019)</w:t>
      </w:r>
      <w:r>
        <w:rPr>
          <w:spacing w:val="-30"/>
          <w:w w:val="105"/>
          <w:sz w:val="21"/>
        </w:rPr>
        <w:t> </w:t>
      </w:r>
      <w:r>
        <w:rPr>
          <w:w w:val="105"/>
          <w:sz w:val="21"/>
        </w:rPr>
        <w:t>&lt;</w:t>
      </w:r>
      <w:hyperlink r:id="rId395">
        <w:r>
          <w:rPr>
            <w:w w:val="105"/>
            <w:sz w:val="21"/>
          </w:rPr>
          <w:t>http://www.portphillip.vic.gov.au/tree_</w:t>
        </w:r>
      </w:hyperlink>
      <w:r>
        <w:rPr>
          <w:w w:val="105"/>
          <w:sz w:val="21"/>
        </w:rPr>
        <w:t> </w:t>
      </w:r>
      <w:r>
        <w:rPr>
          <w:spacing w:val="-3"/>
          <w:w w:val="105"/>
          <w:sz w:val="21"/>
        </w:rPr>
        <w:t>maintenance.htm&gt;</w:t>
      </w:r>
    </w:p>
    <w:p>
      <w:pPr>
        <w:pStyle w:val="BodyText"/>
        <w:spacing w:before="104"/>
        <w:ind w:left="1587"/>
      </w:pPr>
      <w:r>
        <w:rPr>
          <w:w w:val="105"/>
        </w:rPr>
        <w:t>City of Stonnington,</w:t>
      </w:r>
    </w:p>
    <w:p>
      <w:pPr>
        <w:pStyle w:val="ListParagraph"/>
        <w:numPr>
          <w:ilvl w:val="0"/>
          <w:numId w:val="214"/>
        </w:numPr>
        <w:tabs>
          <w:tab w:pos="1927" w:val="left" w:leader="none"/>
          <w:tab w:pos="1928" w:val="left" w:leader="none"/>
        </w:tabs>
        <w:spacing w:line="242" w:lineRule="auto" w:before="106" w:after="0"/>
        <w:ind w:left="1927" w:right="1696" w:hanging="340"/>
        <w:jc w:val="left"/>
        <w:rPr>
          <w:sz w:val="21"/>
        </w:rPr>
      </w:pPr>
      <w:r>
        <w:rPr>
          <w:i/>
          <w:w w:val="105"/>
          <w:sz w:val="21"/>
        </w:rPr>
        <w:t>New</w:t>
      </w:r>
      <w:r>
        <w:rPr>
          <w:i/>
          <w:spacing w:val="-12"/>
          <w:w w:val="105"/>
          <w:sz w:val="21"/>
        </w:rPr>
        <w:t> </w:t>
      </w:r>
      <w:r>
        <w:rPr>
          <w:i/>
          <w:spacing w:val="-4"/>
          <w:w w:val="105"/>
          <w:sz w:val="21"/>
        </w:rPr>
        <w:t>Tree</w:t>
      </w:r>
      <w:r>
        <w:rPr>
          <w:i/>
          <w:spacing w:val="-11"/>
          <w:w w:val="105"/>
          <w:sz w:val="21"/>
        </w:rPr>
        <w:t> </w:t>
      </w:r>
      <w:r>
        <w:rPr>
          <w:i/>
          <w:w w:val="105"/>
          <w:sz w:val="21"/>
        </w:rPr>
        <w:t>Protection</w:t>
      </w:r>
      <w:r>
        <w:rPr>
          <w:i/>
          <w:spacing w:val="-12"/>
          <w:w w:val="105"/>
          <w:sz w:val="21"/>
        </w:rPr>
        <w:t> </w:t>
      </w:r>
      <w:r>
        <w:rPr>
          <w:i/>
          <w:w w:val="105"/>
          <w:sz w:val="21"/>
        </w:rPr>
        <w:t>Process</w:t>
      </w:r>
      <w:r>
        <w:rPr>
          <w:i/>
          <w:spacing w:val="-11"/>
          <w:w w:val="105"/>
          <w:sz w:val="21"/>
        </w:rPr>
        <w:t> </w:t>
      </w:r>
      <w:r>
        <w:rPr>
          <w:w w:val="105"/>
          <w:sz w:val="21"/>
        </w:rPr>
        <w:t>(Web</w:t>
      </w:r>
      <w:r>
        <w:rPr>
          <w:spacing w:val="-12"/>
          <w:w w:val="105"/>
          <w:sz w:val="21"/>
        </w:rPr>
        <w:t> </w:t>
      </w:r>
      <w:r>
        <w:rPr>
          <w:spacing w:val="-3"/>
          <w:w w:val="105"/>
          <w:sz w:val="21"/>
        </w:rPr>
        <w:t>Page,</w:t>
      </w:r>
      <w:r>
        <w:rPr>
          <w:spacing w:val="-11"/>
          <w:w w:val="105"/>
          <w:sz w:val="21"/>
        </w:rPr>
        <w:t> </w:t>
      </w:r>
      <w:r>
        <w:rPr>
          <w:spacing w:val="-7"/>
          <w:w w:val="105"/>
          <w:sz w:val="21"/>
        </w:rPr>
        <w:t>14</w:t>
      </w:r>
      <w:r>
        <w:rPr>
          <w:spacing w:val="-12"/>
          <w:w w:val="105"/>
          <w:sz w:val="21"/>
        </w:rPr>
        <w:t> </w:t>
      </w:r>
      <w:r>
        <w:rPr>
          <w:w w:val="105"/>
          <w:sz w:val="21"/>
        </w:rPr>
        <w:t>June</w:t>
      </w:r>
      <w:r>
        <w:rPr>
          <w:spacing w:val="-11"/>
          <w:w w:val="105"/>
          <w:sz w:val="21"/>
        </w:rPr>
        <w:t> </w:t>
      </w:r>
      <w:r>
        <w:rPr>
          <w:spacing w:val="-5"/>
          <w:w w:val="105"/>
          <w:sz w:val="21"/>
        </w:rPr>
        <w:t>2018)</w:t>
      </w:r>
      <w:r>
        <w:rPr>
          <w:spacing w:val="-12"/>
          <w:w w:val="105"/>
          <w:sz w:val="21"/>
        </w:rPr>
        <w:t> </w:t>
      </w:r>
      <w:r>
        <w:rPr>
          <w:w w:val="105"/>
          <w:sz w:val="21"/>
        </w:rPr>
        <w:t>&lt;https://</w:t>
      </w:r>
      <w:hyperlink r:id="rId396">
        <w:r>
          <w:rPr>
            <w:w w:val="105"/>
            <w:sz w:val="21"/>
          </w:rPr>
          <w:t>www.stonnington.vic.gov.au/</w:t>
        </w:r>
      </w:hyperlink>
      <w:r>
        <w:rPr>
          <w:w w:val="105"/>
          <w:sz w:val="21"/>
        </w:rPr>
        <w:t> Development/Planning/Planning-News/New-Tree-Protection-Process&gt;</w:t>
      </w:r>
    </w:p>
    <w:p>
      <w:pPr>
        <w:pStyle w:val="ListParagraph"/>
        <w:numPr>
          <w:ilvl w:val="0"/>
          <w:numId w:val="214"/>
        </w:numPr>
        <w:tabs>
          <w:tab w:pos="1927" w:val="left" w:leader="none"/>
          <w:tab w:pos="1928" w:val="left" w:leader="none"/>
        </w:tabs>
        <w:spacing w:line="338" w:lineRule="auto" w:before="104" w:after="0"/>
        <w:ind w:left="1587" w:right="5255" w:firstLine="0"/>
        <w:jc w:val="left"/>
        <w:rPr>
          <w:sz w:val="21"/>
        </w:rPr>
      </w:pPr>
      <w:r>
        <w:rPr>
          <w:i/>
          <w:w w:val="105"/>
          <w:sz w:val="21"/>
        </w:rPr>
        <w:t>Urban Forest </w:t>
      </w:r>
      <w:r>
        <w:rPr>
          <w:i/>
          <w:spacing w:val="-3"/>
          <w:w w:val="105"/>
          <w:sz w:val="21"/>
        </w:rPr>
        <w:t>Strategy </w:t>
      </w:r>
      <w:r>
        <w:rPr>
          <w:i/>
          <w:spacing w:val="-8"/>
          <w:w w:val="105"/>
          <w:sz w:val="21"/>
        </w:rPr>
        <w:t>2017–2022 </w:t>
      </w:r>
      <w:r>
        <w:rPr>
          <w:w w:val="105"/>
          <w:sz w:val="21"/>
        </w:rPr>
        <w:t>(Report, June </w:t>
      </w:r>
      <w:r>
        <w:rPr>
          <w:spacing w:val="-7"/>
          <w:w w:val="105"/>
          <w:sz w:val="21"/>
        </w:rPr>
        <w:t>2017) </w:t>
      </w:r>
      <w:r>
        <w:rPr>
          <w:spacing w:val="-3"/>
          <w:w w:val="105"/>
          <w:sz w:val="21"/>
        </w:rPr>
        <w:t>City </w:t>
      </w:r>
      <w:r>
        <w:rPr>
          <w:w w:val="105"/>
          <w:sz w:val="21"/>
        </w:rPr>
        <w:t>of</w:t>
      </w:r>
      <w:r>
        <w:rPr>
          <w:spacing w:val="14"/>
          <w:w w:val="105"/>
          <w:sz w:val="21"/>
        </w:rPr>
        <w:t> </w:t>
      </w:r>
      <w:r>
        <w:rPr>
          <w:spacing w:val="-3"/>
          <w:w w:val="105"/>
          <w:sz w:val="21"/>
        </w:rPr>
        <w:t>Whitehorse,</w:t>
      </w:r>
    </w:p>
    <w:p>
      <w:pPr>
        <w:pStyle w:val="ListParagraph"/>
        <w:numPr>
          <w:ilvl w:val="0"/>
          <w:numId w:val="214"/>
        </w:numPr>
        <w:tabs>
          <w:tab w:pos="1927" w:val="left" w:leader="none"/>
          <w:tab w:pos="1928" w:val="left" w:leader="none"/>
        </w:tabs>
        <w:spacing w:line="240" w:lineRule="auto" w:before="1" w:after="0"/>
        <w:ind w:left="1927" w:right="0" w:hanging="340"/>
        <w:jc w:val="left"/>
        <w:rPr>
          <w:sz w:val="21"/>
        </w:rPr>
      </w:pPr>
      <w:r>
        <w:rPr>
          <w:i/>
          <w:w w:val="105"/>
          <w:sz w:val="21"/>
        </w:rPr>
        <w:t>Whitehorse Landscape </w:t>
      </w:r>
      <w:r>
        <w:rPr>
          <w:i/>
          <w:spacing w:val="-3"/>
          <w:w w:val="105"/>
          <w:sz w:val="21"/>
        </w:rPr>
        <w:t>Guidelines: </w:t>
      </w:r>
      <w:r>
        <w:rPr>
          <w:i/>
          <w:w w:val="105"/>
          <w:sz w:val="21"/>
        </w:rPr>
        <w:t>How to Prepare A Landscape Plan </w:t>
      </w:r>
      <w:r>
        <w:rPr>
          <w:w w:val="105"/>
          <w:sz w:val="21"/>
        </w:rPr>
        <w:t>(July</w:t>
      </w:r>
      <w:r>
        <w:rPr>
          <w:spacing w:val="40"/>
          <w:w w:val="105"/>
          <w:sz w:val="21"/>
        </w:rPr>
        <w:t> </w:t>
      </w:r>
      <w:r>
        <w:rPr>
          <w:spacing w:val="-7"/>
          <w:w w:val="105"/>
          <w:sz w:val="21"/>
        </w:rPr>
        <w:t>2012)</w:t>
      </w:r>
    </w:p>
    <w:p>
      <w:pPr>
        <w:pStyle w:val="ListParagraph"/>
        <w:numPr>
          <w:ilvl w:val="0"/>
          <w:numId w:val="214"/>
        </w:numPr>
        <w:tabs>
          <w:tab w:pos="1927" w:val="left" w:leader="none"/>
          <w:tab w:pos="1928" w:val="left" w:leader="none"/>
        </w:tabs>
        <w:spacing w:line="242" w:lineRule="auto" w:before="106" w:after="0"/>
        <w:ind w:left="1927" w:right="2025" w:hanging="340"/>
        <w:jc w:val="left"/>
        <w:rPr>
          <w:sz w:val="21"/>
        </w:rPr>
      </w:pPr>
      <w:r>
        <w:rPr>
          <w:i/>
          <w:w w:val="105"/>
          <w:sz w:val="21"/>
        </w:rPr>
        <w:t>Whitehorse</w:t>
      </w:r>
      <w:r>
        <w:rPr>
          <w:i/>
          <w:spacing w:val="-29"/>
          <w:w w:val="105"/>
          <w:sz w:val="21"/>
        </w:rPr>
        <w:t> </w:t>
      </w:r>
      <w:r>
        <w:rPr>
          <w:i/>
          <w:spacing w:val="-4"/>
          <w:w w:val="105"/>
          <w:sz w:val="21"/>
        </w:rPr>
        <w:t>Tree</w:t>
      </w:r>
      <w:r>
        <w:rPr>
          <w:i/>
          <w:spacing w:val="-28"/>
          <w:w w:val="105"/>
          <w:sz w:val="21"/>
        </w:rPr>
        <w:t> </w:t>
      </w:r>
      <w:r>
        <w:rPr>
          <w:i/>
          <w:spacing w:val="-3"/>
          <w:w w:val="105"/>
          <w:sz w:val="21"/>
        </w:rPr>
        <w:t>Education</w:t>
      </w:r>
      <w:r>
        <w:rPr>
          <w:i/>
          <w:spacing w:val="-28"/>
          <w:w w:val="105"/>
          <w:sz w:val="21"/>
        </w:rPr>
        <w:t> </w:t>
      </w:r>
      <w:r>
        <w:rPr>
          <w:i/>
          <w:w w:val="105"/>
          <w:sz w:val="21"/>
        </w:rPr>
        <w:t>Program</w:t>
      </w:r>
      <w:r>
        <w:rPr>
          <w:i/>
          <w:spacing w:val="-29"/>
          <w:w w:val="105"/>
          <w:sz w:val="21"/>
        </w:rPr>
        <w:t> </w:t>
      </w:r>
      <w:r>
        <w:rPr>
          <w:w w:val="105"/>
          <w:sz w:val="21"/>
        </w:rPr>
        <w:t>(Web</w:t>
      </w:r>
      <w:r>
        <w:rPr>
          <w:spacing w:val="-28"/>
          <w:w w:val="105"/>
          <w:sz w:val="21"/>
        </w:rPr>
        <w:t> </w:t>
      </w:r>
      <w:r>
        <w:rPr>
          <w:w w:val="105"/>
          <w:sz w:val="21"/>
        </w:rPr>
        <w:t>Page)</w:t>
      </w:r>
      <w:r>
        <w:rPr>
          <w:spacing w:val="-28"/>
          <w:w w:val="105"/>
          <w:sz w:val="21"/>
        </w:rPr>
        <w:t> </w:t>
      </w:r>
      <w:r>
        <w:rPr>
          <w:w w:val="105"/>
          <w:sz w:val="21"/>
        </w:rPr>
        <w:t>&lt;</w:t>
      </w:r>
      <w:hyperlink r:id="rId397">
        <w:r>
          <w:rPr>
            <w:w w:val="105"/>
            <w:sz w:val="21"/>
          </w:rPr>
          <w:t>http://www.whitehorse.vic.gov.au/Tree-</w:t>
        </w:r>
      </w:hyperlink>
      <w:r>
        <w:rPr>
          <w:w w:val="105"/>
          <w:sz w:val="21"/>
        </w:rPr>
        <w:t> </w:t>
      </w:r>
      <w:r>
        <w:rPr>
          <w:spacing w:val="-3"/>
          <w:w w:val="105"/>
          <w:sz w:val="21"/>
        </w:rPr>
        <w:t>Education-Program.html&gt;.</w:t>
      </w:r>
    </w:p>
    <w:p>
      <w:pPr>
        <w:spacing w:before="214"/>
        <w:ind w:left="720" w:right="0" w:firstLine="0"/>
        <w:jc w:val="left"/>
        <w:rPr>
          <w:b/>
          <w:sz w:val="24"/>
        </w:rPr>
      </w:pPr>
      <w:r>
        <w:rPr>
          <w:b/>
          <w:color w:val="658464"/>
          <w:w w:val="110"/>
          <w:sz w:val="24"/>
        </w:rPr>
        <w:t>314</w:t>
      </w:r>
    </w:p>
    <w:p>
      <w:pPr>
        <w:spacing w:after="0"/>
        <w:jc w:val="left"/>
        <w:rPr>
          <w:sz w:val="24"/>
        </w:rPr>
        <w:sectPr>
          <w:pgSz w:w="11910" w:h="16840"/>
          <w:pgMar w:header="546" w:footer="0" w:top="1560" w:bottom="280" w:left="0" w:right="0"/>
        </w:sectPr>
      </w:pPr>
    </w:p>
    <w:p>
      <w:pPr>
        <w:pStyle w:val="BodyText"/>
        <w:spacing w:before="6"/>
        <w:rPr>
          <w:b/>
        </w:rPr>
      </w:pPr>
    </w:p>
    <w:p>
      <w:pPr>
        <w:pStyle w:val="BodyText"/>
        <w:spacing w:before="92"/>
        <w:ind w:left="1587"/>
      </w:pPr>
      <w:r>
        <w:rPr/>
        <w:t>Civil Resolution Tribunal,</w:t>
      </w:r>
    </w:p>
    <w:p>
      <w:pPr>
        <w:pStyle w:val="ListParagraph"/>
        <w:numPr>
          <w:ilvl w:val="0"/>
          <w:numId w:val="215"/>
        </w:numPr>
        <w:tabs>
          <w:tab w:pos="1927" w:val="left" w:leader="none"/>
          <w:tab w:pos="1928" w:val="left" w:leader="none"/>
        </w:tabs>
        <w:spacing w:line="240" w:lineRule="auto" w:before="105" w:after="0"/>
        <w:ind w:left="1927" w:right="0" w:hanging="340"/>
        <w:jc w:val="left"/>
        <w:rPr>
          <w:sz w:val="21"/>
        </w:rPr>
      </w:pPr>
      <w:r>
        <w:rPr>
          <w:i/>
          <w:w w:val="105"/>
          <w:sz w:val="21"/>
        </w:rPr>
        <w:t>How the </w:t>
      </w:r>
      <w:r>
        <w:rPr>
          <w:i/>
          <w:spacing w:val="-2"/>
          <w:w w:val="105"/>
          <w:sz w:val="21"/>
        </w:rPr>
        <w:t>CRT </w:t>
      </w:r>
      <w:r>
        <w:rPr>
          <w:i/>
          <w:w w:val="105"/>
          <w:sz w:val="21"/>
        </w:rPr>
        <w:t>Works </w:t>
      </w:r>
      <w:r>
        <w:rPr>
          <w:w w:val="105"/>
          <w:sz w:val="21"/>
        </w:rPr>
        <w:t>(Web </w:t>
      </w:r>
      <w:r>
        <w:rPr>
          <w:spacing w:val="-3"/>
          <w:w w:val="105"/>
          <w:sz w:val="21"/>
        </w:rPr>
        <w:t>Page, </w:t>
      </w:r>
      <w:r>
        <w:rPr>
          <w:spacing w:val="-5"/>
          <w:w w:val="105"/>
          <w:sz w:val="21"/>
        </w:rPr>
        <w:t>2019)</w:t>
      </w:r>
      <w:r>
        <w:rPr>
          <w:spacing w:val="20"/>
          <w:w w:val="105"/>
          <w:sz w:val="21"/>
        </w:rPr>
        <w:t> </w:t>
      </w:r>
      <w:r>
        <w:rPr>
          <w:w w:val="105"/>
          <w:sz w:val="21"/>
        </w:rPr>
        <w:t>&lt;https://civilresolutionbc.ca/how-the-crt-works/&gt;.</w:t>
      </w:r>
    </w:p>
    <w:p>
      <w:pPr>
        <w:pStyle w:val="ListParagraph"/>
        <w:numPr>
          <w:ilvl w:val="0"/>
          <w:numId w:val="215"/>
        </w:numPr>
        <w:tabs>
          <w:tab w:pos="1927" w:val="left" w:leader="none"/>
          <w:tab w:pos="1928" w:val="left" w:leader="none"/>
        </w:tabs>
        <w:spacing w:line="242" w:lineRule="auto" w:before="106" w:after="0"/>
        <w:ind w:left="1927" w:right="1802" w:hanging="340"/>
        <w:jc w:val="left"/>
        <w:rPr>
          <w:sz w:val="21"/>
        </w:rPr>
      </w:pPr>
      <w:r>
        <w:rPr>
          <w:i/>
          <w:w w:val="105"/>
          <w:sz w:val="21"/>
        </w:rPr>
        <w:t>Participant</w:t>
      </w:r>
      <w:r>
        <w:rPr>
          <w:i/>
          <w:spacing w:val="-26"/>
          <w:w w:val="105"/>
          <w:sz w:val="21"/>
        </w:rPr>
        <w:t> </w:t>
      </w:r>
      <w:r>
        <w:rPr>
          <w:i/>
          <w:w w:val="105"/>
          <w:sz w:val="21"/>
        </w:rPr>
        <w:t>Satisfaction</w:t>
      </w:r>
      <w:r>
        <w:rPr>
          <w:i/>
          <w:spacing w:val="-26"/>
          <w:w w:val="105"/>
          <w:sz w:val="21"/>
        </w:rPr>
        <w:t> </w:t>
      </w:r>
      <w:r>
        <w:rPr>
          <w:i/>
          <w:w w:val="105"/>
          <w:sz w:val="21"/>
        </w:rPr>
        <w:t>Survey—January</w:t>
      </w:r>
      <w:r>
        <w:rPr>
          <w:i/>
          <w:spacing w:val="-26"/>
          <w:w w:val="105"/>
          <w:sz w:val="21"/>
        </w:rPr>
        <w:t> </w:t>
      </w:r>
      <w:r>
        <w:rPr>
          <w:i/>
          <w:spacing w:val="-9"/>
          <w:w w:val="105"/>
          <w:sz w:val="21"/>
        </w:rPr>
        <w:t>2019</w:t>
      </w:r>
      <w:r>
        <w:rPr>
          <w:i/>
          <w:spacing w:val="-26"/>
          <w:w w:val="105"/>
          <w:sz w:val="21"/>
        </w:rPr>
        <w:t> </w:t>
      </w:r>
      <w:r>
        <w:rPr>
          <w:w w:val="105"/>
          <w:sz w:val="21"/>
        </w:rPr>
        <w:t>(Web</w:t>
      </w:r>
      <w:r>
        <w:rPr>
          <w:spacing w:val="-26"/>
          <w:w w:val="105"/>
          <w:sz w:val="21"/>
        </w:rPr>
        <w:t> </w:t>
      </w:r>
      <w:r>
        <w:rPr>
          <w:spacing w:val="-3"/>
          <w:w w:val="105"/>
          <w:sz w:val="21"/>
        </w:rPr>
        <w:t>Page,</w:t>
      </w:r>
      <w:r>
        <w:rPr>
          <w:spacing w:val="-26"/>
          <w:w w:val="105"/>
          <w:sz w:val="21"/>
        </w:rPr>
        <w:t> </w:t>
      </w:r>
      <w:r>
        <w:rPr>
          <w:spacing w:val="-5"/>
          <w:w w:val="105"/>
          <w:sz w:val="21"/>
        </w:rPr>
        <w:t>2019)</w:t>
      </w:r>
      <w:r>
        <w:rPr>
          <w:spacing w:val="-26"/>
          <w:w w:val="105"/>
          <w:sz w:val="21"/>
        </w:rPr>
        <w:t> </w:t>
      </w:r>
      <w:r>
        <w:rPr>
          <w:w w:val="105"/>
          <w:sz w:val="21"/>
        </w:rPr>
        <w:t>&lt;https://civilresolutionbc.ca/ </w:t>
      </w:r>
      <w:r>
        <w:rPr>
          <w:spacing w:val="-3"/>
          <w:w w:val="105"/>
          <w:sz w:val="21"/>
        </w:rPr>
        <w:t>participant-satisfaction-survey-january-2019/&gt;</w:t>
      </w:r>
    </w:p>
    <w:p>
      <w:pPr>
        <w:spacing w:line="242" w:lineRule="auto" w:before="104"/>
        <w:ind w:left="1587" w:right="2003" w:firstLine="0"/>
        <w:jc w:val="left"/>
        <w:rPr>
          <w:sz w:val="21"/>
        </w:rPr>
      </w:pPr>
      <w:r>
        <w:rPr>
          <w:w w:val="105"/>
          <w:sz w:val="21"/>
        </w:rPr>
        <w:t>Clark Boardman Callaghan, </w:t>
      </w:r>
      <w:r>
        <w:rPr>
          <w:i/>
          <w:w w:val="105"/>
          <w:sz w:val="21"/>
        </w:rPr>
        <w:t>Nichols Cyclopedia of Legal Forms Annotated</w:t>
      </w:r>
      <w:r>
        <w:rPr>
          <w:w w:val="105"/>
          <w:sz w:val="21"/>
        </w:rPr>
        <w:t>, vol 1 (at November 2016)</w:t>
      </w:r>
    </w:p>
    <w:p>
      <w:pPr>
        <w:pStyle w:val="BodyText"/>
        <w:spacing w:line="242" w:lineRule="auto" w:before="105"/>
        <w:ind w:left="1587" w:right="1636"/>
      </w:pPr>
      <w:r>
        <w:rPr>
          <w:w w:val="105"/>
        </w:rPr>
        <w:t>Clegg, Louise, ‘Achieving Efficiency—NCAT Online Dispute Resolution Pilot’ (Speech, COAT National Conference, 4–5 June 2015) &lt;https://coat.asn.au/events/2015-coat-national- conference/&gt;.</w:t>
      </w:r>
    </w:p>
    <w:p>
      <w:pPr>
        <w:spacing w:before="105"/>
        <w:ind w:left="1587" w:right="0" w:firstLine="0"/>
        <w:jc w:val="left"/>
        <w:rPr>
          <w:sz w:val="21"/>
        </w:rPr>
      </w:pPr>
      <w:r>
        <w:rPr>
          <w:w w:val="105"/>
          <w:sz w:val="21"/>
        </w:rPr>
        <w:t>Community Justice Centre (NT), </w:t>
      </w:r>
      <w:r>
        <w:rPr>
          <w:i/>
          <w:w w:val="105"/>
          <w:sz w:val="21"/>
        </w:rPr>
        <w:t>Resolving Disputes without Going to Court </w:t>
      </w:r>
      <w:r>
        <w:rPr>
          <w:w w:val="105"/>
          <w:sz w:val="21"/>
        </w:rPr>
        <w:t>(Web Page, 2019)</w:t>
      </w:r>
    </w:p>
    <w:p>
      <w:pPr>
        <w:pStyle w:val="BodyText"/>
        <w:spacing w:line="338" w:lineRule="auto" w:before="3"/>
        <w:ind w:left="1587" w:right="2669"/>
      </w:pPr>
      <w:r>
        <w:rPr/>
        <w:t>&lt;https://nt.gov.au/law/processes/resolving-disputes-without-going-to-court&gt; </w:t>
      </w:r>
      <w:r>
        <w:rPr>
          <w:w w:val="105"/>
        </w:rPr>
        <w:t>Community Justice Centres, Government of New south Wales,</w:t>
      </w:r>
    </w:p>
    <w:p>
      <w:pPr>
        <w:pStyle w:val="ListParagraph"/>
        <w:numPr>
          <w:ilvl w:val="0"/>
          <w:numId w:val="215"/>
        </w:numPr>
        <w:tabs>
          <w:tab w:pos="1927" w:val="left" w:leader="none"/>
          <w:tab w:pos="1928" w:val="left" w:leader="none"/>
        </w:tabs>
        <w:spacing w:line="242" w:lineRule="auto" w:before="2" w:after="0"/>
        <w:ind w:left="1927" w:right="1928" w:hanging="340"/>
        <w:jc w:val="left"/>
        <w:rPr>
          <w:sz w:val="21"/>
        </w:rPr>
      </w:pPr>
      <w:r>
        <w:rPr>
          <w:i/>
          <w:w w:val="105"/>
          <w:sz w:val="21"/>
        </w:rPr>
        <w:t>Neighbours</w:t>
      </w:r>
      <w:r>
        <w:rPr>
          <w:i/>
          <w:spacing w:val="-25"/>
          <w:w w:val="105"/>
          <w:sz w:val="21"/>
        </w:rPr>
        <w:t> </w:t>
      </w:r>
      <w:r>
        <w:rPr>
          <w:w w:val="105"/>
          <w:sz w:val="21"/>
        </w:rPr>
        <w:t>(Web</w:t>
      </w:r>
      <w:r>
        <w:rPr>
          <w:spacing w:val="-25"/>
          <w:w w:val="105"/>
          <w:sz w:val="21"/>
        </w:rPr>
        <w:t> </w:t>
      </w:r>
      <w:r>
        <w:rPr>
          <w:w w:val="105"/>
          <w:sz w:val="21"/>
        </w:rPr>
        <w:t>Page</w:t>
      </w:r>
      <w:r>
        <w:rPr>
          <w:spacing w:val="-24"/>
          <w:w w:val="105"/>
          <w:sz w:val="21"/>
        </w:rPr>
        <w:t> </w:t>
      </w:r>
      <w:r>
        <w:rPr>
          <w:w w:val="105"/>
          <w:sz w:val="21"/>
        </w:rPr>
        <w:t>(5</w:t>
      </w:r>
      <w:r>
        <w:rPr>
          <w:spacing w:val="-25"/>
          <w:w w:val="105"/>
          <w:sz w:val="21"/>
        </w:rPr>
        <w:t> </w:t>
      </w:r>
      <w:r>
        <w:rPr>
          <w:w w:val="105"/>
          <w:sz w:val="21"/>
        </w:rPr>
        <w:t>July</w:t>
      </w:r>
      <w:r>
        <w:rPr>
          <w:spacing w:val="-25"/>
          <w:w w:val="105"/>
          <w:sz w:val="21"/>
        </w:rPr>
        <w:t> </w:t>
      </w:r>
      <w:r>
        <w:rPr>
          <w:spacing w:val="-5"/>
          <w:w w:val="105"/>
          <w:sz w:val="21"/>
        </w:rPr>
        <w:t>2018)</w:t>
      </w:r>
      <w:r>
        <w:rPr>
          <w:spacing w:val="-24"/>
          <w:w w:val="105"/>
          <w:sz w:val="21"/>
        </w:rPr>
        <w:t> </w:t>
      </w:r>
      <w:r>
        <w:rPr>
          <w:w w:val="105"/>
          <w:sz w:val="21"/>
        </w:rPr>
        <w:t>&lt;</w:t>
      </w:r>
      <w:hyperlink r:id="rId398">
        <w:r>
          <w:rPr>
            <w:w w:val="105"/>
            <w:sz w:val="21"/>
          </w:rPr>
          <w:t>http://www.cjc.justice.nsw.gov.au/Pages/cjc_whatis_</w:t>
        </w:r>
      </w:hyperlink>
      <w:r>
        <w:rPr>
          <w:w w:val="105"/>
          <w:sz w:val="21"/>
        </w:rPr>
        <w:t> mediation/cjc_common_disputes/com_justice_neighbours.aspx&gt;</w:t>
      </w:r>
    </w:p>
    <w:p>
      <w:pPr>
        <w:pStyle w:val="ListParagraph"/>
        <w:numPr>
          <w:ilvl w:val="0"/>
          <w:numId w:val="215"/>
        </w:numPr>
        <w:tabs>
          <w:tab w:pos="1927" w:val="left" w:leader="none"/>
          <w:tab w:pos="1928" w:val="left" w:leader="none"/>
        </w:tabs>
        <w:spacing w:line="242" w:lineRule="auto" w:before="104" w:after="0"/>
        <w:ind w:left="1927" w:right="2203" w:hanging="340"/>
        <w:jc w:val="left"/>
        <w:rPr>
          <w:sz w:val="21"/>
        </w:rPr>
      </w:pPr>
      <w:r>
        <w:rPr>
          <w:i/>
          <w:w w:val="105"/>
          <w:sz w:val="21"/>
        </w:rPr>
        <w:t>About CJC </w:t>
      </w:r>
      <w:r>
        <w:rPr>
          <w:w w:val="105"/>
          <w:sz w:val="21"/>
        </w:rPr>
        <w:t>(Web </w:t>
      </w:r>
      <w:r>
        <w:rPr>
          <w:spacing w:val="-3"/>
          <w:w w:val="105"/>
          <w:sz w:val="21"/>
        </w:rPr>
        <w:t>Page, </w:t>
      </w:r>
      <w:r>
        <w:rPr>
          <w:spacing w:val="-9"/>
          <w:w w:val="105"/>
          <w:sz w:val="21"/>
        </w:rPr>
        <w:t>13 </w:t>
      </w:r>
      <w:r>
        <w:rPr>
          <w:spacing w:val="-3"/>
          <w:w w:val="105"/>
          <w:sz w:val="21"/>
        </w:rPr>
        <w:t>March </w:t>
      </w:r>
      <w:r>
        <w:rPr>
          <w:spacing w:val="-5"/>
          <w:w w:val="105"/>
          <w:sz w:val="21"/>
        </w:rPr>
        <w:t>2019) </w:t>
      </w:r>
      <w:r>
        <w:rPr>
          <w:w w:val="105"/>
          <w:sz w:val="21"/>
        </w:rPr>
        <w:t>&lt;</w:t>
      </w:r>
      <w:hyperlink r:id="rId399">
        <w:r>
          <w:rPr>
            <w:w w:val="105"/>
            <w:sz w:val="21"/>
          </w:rPr>
          <w:t>http://www.cjc.justice.nsw.gov.au/Pages/com_</w:t>
        </w:r>
      </w:hyperlink>
      <w:r>
        <w:rPr>
          <w:w w:val="105"/>
          <w:sz w:val="21"/>
        </w:rPr>
        <w:t> justice_aboutus/com_justice_aboutus.aspx&gt;</w:t>
      </w:r>
    </w:p>
    <w:p>
      <w:pPr>
        <w:pStyle w:val="BodyText"/>
        <w:spacing w:line="242" w:lineRule="auto" w:before="104"/>
        <w:ind w:left="1587" w:right="2435"/>
      </w:pPr>
      <w:r>
        <w:rPr>
          <w:spacing w:val="-3"/>
          <w:w w:val="105"/>
        </w:rPr>
        <w:t>Community </w:t>
      </w:r>
      <w:r>
        <w:rPr>
          <w:w w:val="105"/>
        </w:rPr>
        <w:t>Law (NZ), </w:t>
      </w:r>
      <w:r>
        <w:rPr>
          <w:i/>
          <w:w w:val="105"/>
        </w:rPr>
        <w:t>Trees—Overview </w:t>
      </w:r>
      <w:r>
        <w:rPr>
          <w:w w:val="105"/>
        </w:rPr>
        <w:t>(Web </w:t>
      </w:r>
      <w:r>
        <w:rPr>
          <w:spacing w:val="-3"/>
          <w:w w:val="105"/>
        </w:rPr>
        <w:t>Page, </w:t>
      </w:r>
      <w:r>
        <w:rPr>
          <w:spacing w:val="-5"/>
          <w:w w:val="105"/>
        </w:rPr>
        <w:t>2019) </w:t>
      </w:r>
      <w:r>
        <w:rPr>
          <w:w w:val="105"/>
        </w:rPr>
        <w:t>&lt;</w:t>
      </w:r>
      <w:hyperlink r:id="rId400">
        <w:r>
          <w:rPr>
            <w:w w:val="105"/>
          </w:rPr>
          <w:t>http://communitylaw.org.nz/</w:t>
        </w:r>
      </w:hyperlink>
      <w:r>
        <w:rPr>
          <w:w w:val="105"/>
        </w:rPr>
        <w:t> community-law-manual/chapter-25-neighbourhood-life/trees/&gt;</w:t>
      </w:r>
    </w:p>
    <w:p>
      <w:pPr>
        <w:spacing w:before="104"/>
        <w:ind w:left="1587" w:right="0" w:firstLine="0"/>
        <w:jc w:val="left"/>
        <w:rPr>
          <w:sz w:val="21"/>
        </w:rPr>
      </w:pPr>
      <w:r>
        <w:rPr>
          <w:w w:val="105"/>
          <w:sz w:val="21"/>
        </w:rPr>
        <w:t>Community Legal Centres Queensland, </w:t>
      </w:r>
      <w:r>
        <w:rPr>
          <w:i/>
          <w:w w:val="105"/>
          <w:sz w:val="21"/>
        </w:rPr>
        <w:t>Writing to Your Neighbour </w:t>
      </w:r>
      <w:r>
        <w:rPr>
          <w:w w:val="105"/>
          <w:sz w:val="21"/>
        </w:rPr>
        <w:t>(Web Page)</w:t>
      </w:r>
    </w:p>
    <w:p>
      <w:pPr>
        <w:pStyle w:val="BodyText"/>
        <w:spacing w:before="4"/>
        <w:ind w:left="1587"/>
      </w:pPr>
      <w:r>
        <w:rPr>
          <w:w w:val="105"/>
        </w:rPr>
        <w:t>&lt;https://</w:t>
      </w:r>
      <w:hyperlink r:id="rId401">
        <w:r>
          <w:rPr>
            <w:w w:val="105"/>
          </w:rPr>
          <w:t>www.qldneighbourhoods.com/writing-to-your-neighbour.html</w:t>
        </w:r>
      </w:hyperlink>
      <w:r>
        <w:rPr>
          <w:w w:val="105"/>
        </w:rPr>
        <w:t>&gt;</w:t>
      </w:r>
    </w:p>
    <w:p>
      <w:pPr>
        <w:spacing w:line="338" w:lineRule="auto" w:before="106"/>
        <w:ind w:left="1587" w:right="1636" w:hanging="1"/>
        <w:jc w:val="left"/>
        <w:rPr>
          <w:sz w:val="21"/>
        </w:rPr>
      </w:pPr>
      <w:r>
        <w:rPr>
          <w:w w:val="105"/>
          <w:sz w:val="21"/>
        </w:rPr>
        <w:t>Conflict Resolution Centre, </w:t>
      </w:r>
      <w:r>
        <w:rPr>
          <w:i/>
          <w:w w:val="105"/>
          <w:sz w:val="21"/>
        </w:rPr>
        <w:t>Resolving Conflict in Canberra </w:t>
      </w:r>
      <w:r>
        <w:rPr>
          <w:w w:val="105"/>
          <w:sz w:val="21"/>
        </w:rPr>
        <w:t>(Web Page) &lt;</w:t>
      </w:r>
      <w:hyperlink r:id="rId73">
        <w:r>
          <w:rPr>
            <w:w w:val="105"/>
            <w:sz w:val="21"/>
          </w:rPr>
          <w:t>www.crs.org.au/</w:t>
        </w:r>
      </w:hyperlink>
      <w:r>
        <w:rPr>
          <w:w w:val="105"/>
          <w:sz w:val="21"/>
        </w:rPr>
        <w:t>&gt; Consumer Affairs Victoria,</w:t>
      </w:r>
    </w:p>
    <w:p>
      <w:pPr>
        <w:pStyle w:val="ListParagraph"/>
        <w:numPr>
          <w:ilvl w:val="0"/>
          <w:numId w:val="215"/>
        </w:numPr>
        <w:tabs>
          <w:tab w:pos="1929" w:val="left" w:leader="none"/>
        </w:tabs>
        <w:spacing w:line="242" w:lineRule="auto" w:before="1" w:after="0"/>
        <w:ind w:left="1928" w:right="1743" w:hanging="341"/>
        <w:jc w:val="both"/>
        <w:rPr>
          <w:sz w:val="21"/>
        </w:rPr>
      </w:pPr>
      <w:r>
        <w:rPr>
          <w:i/>
          <w:spacing w:val="-3"/>
          <w:w w:val="105"/>
          <w:sz w:val="21"/>
        </w:rPr>
        <w:t>Conveyancing</w:t>
      </w:r>
      <w:r>
        <w:rPr>
          <w:i/>
          <w:spacing w:val="-6"/>
          <w:w w:val="105"/>
          <w:sz w:val="21"/>
        </w:rPr>
        <w:t> </w:t>
      </w:r>
      <w:r>
        <w:rPr>
          <w:i/>
          <w:w w:val="105"/>
          <w:sz w:val="21"/>
        </w:rPr>
        <w:t>and</w:t>
      </w:r>
      <w:r>
        <w:rPr>
          <w:i/>
          <w:spacing w:val="-6"/>
          <w:w w:val="105"/>
          <w:sz w:val="21"/>
        </w:rPr>
        <w:t> </w:t>
      </w:r>
      <w:r>
        <w:rPr>
          <w:i/>
          <w:w w:val="105"/>
          <w:sz w:val="21"/>
        </w:rPr>
        <w:t>Contracts</w:t>
      </w:r>
      <w:r>
        <w:rPr>
          <w:i/>
          <w:spacing w:val="-6"/>
          <w:w w:val="105"/>
          <w:sz w:val="21"/>
        </w:rPr>
        <w:t> </w:t>
      </w:r>
      <w:r>
        <w:rPr>
          <w:i/>
          <w:w w:val="105"/>
          <w:sz w:val="21"/>
        </w:rPr>
        <w:t>for</w:t>
      </w:r>
      <w:r>
        <w:rPr>
          <w:i/>
          <w:spacing w:val="-6"/>
          <w:w w:val="105"/>
          <w:sz w:val="21"/>
        </w:rPr>
        <w:t> </w:t>
      </w:r>
      <w:r>
        <w:rPr>
          <w:i/>
          <w:w w:val="105"/>
          <w:sz w:val="21"/>
        </w:rPr>
        <w:t>Sellers</w:t>
      </w:r>
      <w:r>
        <w:rPr>
          <w:i/>
          <w:spacing w:val="-6"/>
          <w:w w:val="105"/>
          <w:sz w:val="21"/>
        </w:rPr>
        <w:t> </w:t>
      </w:r>
      <w:r>
        <w:rPr>
          <w:w w:val="105"/>
          <w:sz w:val="21"/>
        </w:rPr>
        <w:t>(Web</w:t>
      </w:r>
      <w:r>
        <w:rPr>
          <w:spacing w:val="-6"/>
          <w:w w:val="105"/>
          <w:sz w:val="21"/>
        </w:rPr>
        <w:t> </w:t>
      </w:r>
      <w:r>
        <w:rPr>
          <w:spacing w:val="-3"/>
          <w:w w:val="105"/>
          <w:sz w:val="21"/>
        </w:rPr>
        <w:t>Page,</w:t>
      </w:r>
      <w:r>
        <w:rPr>
          <w:spacing w:val="-6"/>
          <w:w w:val="105"/>
          <w:sz w:val="21"/>
        </w:rPr>
        <w:t> </w:t>
      </w:r>
      <w:r>
        <w:rPr>
          <w:w w:val="105"/>
          <w:sz w:val="21"/>
        </w:rPr>
        <w:t>8</w:t>
      </w:r>
      <w:r>
        <w:rPr>
          <w:spacing w:val="-6"/>
          <w:w w:val="105"/>
          <w:sz w:val="21"/>
        </w:rPr>
        <w:t> </w:t>
      </w:r>
      <w:r>
        <w:rPr>
          <w:w w:val="105"/>
          <w:sz w:val="21"/>
        </w:rPr>
        <w:t>January</w:t>
      </w:r>
      <w:r>
        <w:rPr>
          <w:spacing w:val="-6"/>
          <w:w w:val="105"/>
          <w:sz w:val="21"/>
        </w:rPr>
        <w:t> </w:t>
      </w:r>
      <w:r>
        <w:rPr>
          <w:spacing w:val="-5"/>
          <w:w w:val="105"/>
          <w:sz w:val="21"/>
        </w:rPr>
        <w:t>2019)</w:t>
      </w:r>
      <w:r>
        <w:rPr>
          <w:spacing w:val="-6"/>
          <w:w w:val="105"/>
          <w:sz w:val="21"/>
        </w:rPr>
        <w:t> </w:t>
      </w:r>
      <w:r>
        <w:rPr>
          <w:w w:val="105"/>
          <w:sz w:val="21"/>
        </w:rPr>
        <w:t>&lt;https://www.consumer. </w:t>
      </w:r>
      <w:r>
        <w:rPr>
          <w:spacing w:val="-1"/>
          <w:sz w:val="21"/>
        </w:rPr>
        <w:t>vic.gov.au/housing/buying-and-selling-property/selling-property/conveyancing-and-contracts- </w:t>
      </w:r>
      <w:r>
        <w:rPr>
          <w:spacing w:val="-3"/>
          <w:w w:val="105"/>
          <w:sz w:val="21"/>
        </w:rPr>
        <w:t>for-sellers&gt;</w:t>
      </w:r>
    </w:p>
    <w:p>
      <w:pPr>
        <w:pStyle w:val="ListParagraph"/>
        <w:numPr>
          <w:ilvl w:val="0"/>
          <w:numId w:val="215"/>
        </w:numPr>
        <w:tabs>
          <w:tab w:pos="1927" w:val="left" w:leader="none"/>
          <w:tab w:pos="1929" w:val="left" w:leader="none"/>
        </w:tabs>
        <w:spacing w:line="242" w:lineRule="auto" w:before="105" w:after="0"/>
        <w:ind w:left="1928" w:right="1656" w:hanging="341"/>
        <w:jc w:val="left"/>
        <w:rPr>
          <w:sz w:val="21"/>
        </w:rPr>
      </w:pPr>
      <w:r>
        <w:rPr>
          <w:i/>
          <w:w w:val="105"/>
          <w:sz w:val="21"/>
        </w:rPr>
        <w:t>Due Diligence Checklist—for Home and </w:t>
      </w:r>
      <w:r>
        <w:rPr>
          <w:i/>
          <w:spacing w:val="-3"/>
          <w:w w:val="105"/>
          <w:sz w:val="21"/>
        </w:rPr>
        <w:t>Residential </w:t>
      </w:r>
      <w:r>
        <w:rPr>
          <w:i/>
          <w:w w:val="105"/>
          <w:sz w:val="21"/>
        </w:rPr>
        <w:t>Property Buyers </w:t>
      </w:r>
      <w:r>
        <w:rPr>
          <w:w w:val="105"/>
          <w:sz w:val="21"/>
        </w:rPr>
        <w:t>(Web </w:t>
      </w:r>
      <w:r>
        <w:rPr>
          <w:spacing w:val="-3"/>
          <w:w w:val="105"/>
          <w:sz w:val="21"/>
        </w:rPr>
        <w:t>Page, </w:t>
      </w:r>
      <w:r>
        <w:rPr>
          <w:spacing w:val="-8"/>
          <w:w w:val="105"/>
          <w:sz w:val="21"/>
        </w:rPr>
        <w:t>15 </w:t>
      </w:r>
      <w:r>
        <w:rPr>
          <w:w w:val="105"/>
          <w:sz w:val="21"/>
        </w:rPr>
        <w:t>January </w:t>
      </w:r>
      <w:r>
        <w:rPr>
          <w:spacing w:val="-5"/>
          <w:sz w:val="21"/>
        </w:rPr>
        <w:t>2019) </w:t>
      </w:r>
      <w:r>
        <w:rPr>
          <w:sz w:val="21"/>
        </w:rPr>
        <w:t>&lt;https://</w:t>
      </w:r>
      <w:hyperlink r:id="rId402">
        <w:r>
          <w:rPr>
            <w:sz w:val="21"/>
          </w:rPr>
          <w:t>www.consumer.vic.gov.au/housing/buying-and-selling-property/checklists/due-</w:t>
        </w:r>
      </w:hyperlink>
      <w:r>
        <w:rPr>
          <w:sz w:val="21"/>
        </w:rPr>
        <w:t> </w:t>
      </w:r>
      <w:r>
        <w:rPr>
          <w:spacing w:val="-3"/>
          <w:w w:val="105"/>
          <w:sz w:val="21"/>
        </w:rPr>
        <w:t>diligence&gt;</w:t>
      </w:r>
    </w:p>
    <w:p>
      <w:pPr>
        <w:pStyle w:val="ListParagraph"/>
        <w:numPr>
          <w:ilvl w:val="0"/>
          <w:numId w:val="215"/>
        </w:numPr>
        <w:tabs>
          <w:tab w:pos="1927" w:val="left" w:leader="none"/>
          <w:tab w:pos="1929" w:val="left" w:leader="none"/>
        </w:tabs>
        <w:spacing w:line="240" w:lineRule="auto" w:before="105" w:after="0"/>
        <w:ind w:left="1928" w:right="0" w:hanging="341"/>
        <w:jc w:val="left"/>
        <w:rPr>
          <w:sz w:val="21"/>
        </w:rPr>
      </w:pPr>
      <w:r>
        <w:rPr>
          <w:i/>
          <w:w w:val="105"/>
          <w:sz w:val="21"/>
        </w:rPr>
        <w:t>Property </w:t>
      </w:r>
      <w:r>
        <w:rPr>
          <w:i/>
          <w:spacing w:val="-3"/>
          <w:w w:val="105"/>
          <w:sz w:val="21"/>
        </w:rPr>
        <w:t>Settlement—Selling </w:t>
      </w:r>
      <w:r>
        <w:rPr>
          <w:i/>
          <w:w w:val="105"/>
          <w:sz w:val="21"/>
        </w:rPr>
        <w:t>a Property </w:t>
      </w:r>
      <w:r>
        <w:rPr>
          <w:w w:val="105"/>
          <w:sz w:val="21"/>
        </w:rPr>
        <w:t>(Web </w:t>
      </w:r>
      <w:r>
        <w:rPr>
          <w:spacing w:val="-3"/>
          <w:w w:val="105"/>
          <w:sz w:val="21"/>
        </w:rPr>
        <w:t>Page, </w:t>
      </w:r>
      <w:r>
        <w:rPr>
          <w:spacing w:val="-9"/>
          <w:w w:val="105"/>
          <w:sz w:val="21"/>
        </w:rPr>
        <w:t>13 </w:t>
      </w:r>
      <w:r>
        <w:rPr>
          <w:w w:val="105"/>
          <w:sz w:val="21"/>
        </w:rPr>
        <w:t>January</w:t>
      </w:r>
      <w:r>
        <w:rPr>
          <w:spacing w:val="14"/>
          <w:w w:val="105"/>
          <w:sz w:val="21"/>
        </w:rPr>
        <w:t> </w:t>
      </w:r>
      <w:r>
        <w:rPr>
          <w:spacing w:val="-5"/>
          <w:w w:val="105"/>
          <w:sz w:val="21"/>
        </w:rPr>
        <w:t>2019)</w:t>
      </w:r>
    </w:p>
    <w:p>
      <w:pPr>
        <w:pStyle w:val="BodyText"/>
        <w:spacing w:line="242" w:lineRule="auto" w:before="4"/>
        <w:ind w:left="1928" w:right="2080"/>
      </w:pPr>
      <w:r>
        <w:rPr/>
        <w:t>&lt;https://</w:t>
      </w:r>
      <w:hyperlink r:id="rId403">
        <w:r>
          <w:rPr/>
          <w:t>www.consumer.vic.gov.au/housing/buying-and-selling-property/selling-property/</w:t>
        </w:r>
      </w:hyperlink>
      <w:r>
        <w:rPr/>
        <w:t> property-settlement&gt;</w:t>
      </w:r>
    </w:p>
    <w:p>
      <w:pPr>
        <w:pStyle w:val="BodyText"/>
        <w:spacing w:line="242" w:lineRule="auto" w:before="104"/>
        <w:ind w:left="1587" w:right="2147"/>
      </w:pPr>
      <w:r>
        <w:rPr>
          <w:spacing w:val="-4"/>
          <w:w w:val="105"/>
        </w:rPr>
        <w:t>Consumer </w:t>
      </w:r>
      <w:r>
        <w:rPr>
          <w:w w:val="105"/>
        </w:rPr>
        <w:t>New </w:t>
      </w:r>
      <w:r>
        <w:rPr>
          <w:spacing w:val="-3"/>
          <w:w w:val="105"/>
        </w:rPr>
        <w:t>Zealand, </w:t>
      </w:r>
      <w:r>
        <w:rPr>
          <w:i/>
          <w:spacing w:val="-4"/>
          <w:w w:val="105"/>
        </w:rPr>
        <w:t>Trees </w:t>
      </w:r>
      <w:r>
        <w:rPr>
          <w:i/>
          <w:w w:val="105"/>
        </w:rPr>
        <w:t>and Neighbours </w:t>
      </w:r>
      <w:r>
        <w:rPr>
          <w:w w:val="105"/>
        </w:rPr>
        <w:t>(Web Page) &lt;https://</w:t>
      </w:r>
      <w:hyperlink r:id="rId404">
        <w:r>
          <w:rPr>
            <w:w w:val="105"/>
          </w:rPr>
          <w:t>www.consumer.org.nz/</w:t>
        </w:r>
      </w:hyperlink>
      <w:r>
        <w:rPr>
          <w:w w:val="105"/>
        </w:rPr>
        <w:t> articles/trees-and-neighbours&gt;</w:t>
      </w:r>
    </w:p>
    <w:p>
      <w:pPr>
        <w:spacing w:before="104"/>
        <w:ind w:left="1587" w:right="0" w:firstLine="0"/>
        <w:jc w:val="left"/>
        <w:rPr>
          <w:i/>
          <w:sz w:val="21"/>
        </w:rPr>
      </w:pPr>
      <w:r>
        <w:rPr>
          <w:w w:val="105"/>
          <w:sz w:val="21"/>
        </w:rPr>
        <w:t>Coroners Court of New South Wales, </w:t>
      </w:r>
      <w:r>
        <w:rPr>
          <w:i/>
          <w:w w:val="105"/>
          <w:sz w:val="21"/>
        </w:rPr>
        <w:t>Finding into Death with Inquest of Bridget Wright</w:t>
      </w:r>
    </w:p>
    <w:p>
      <w:pPr>
        <w:pStyle w:val="BodyText"/>
        <w:spacing w:before="4"/>
        <w:ind w:left="1587"/>
      </w:pPr>
      <w:r>
        <w:rPr>
          <w:w w:val="105"/>
        </w:rPr>
        <w:t>(2014/56521) (20 November 2015)</w:t>
      </w:r>
    </w:p>
    <w:p>
      <w:pPr>
        <w:spacing w:line="242" w:lineRule="auto" w:before="106"/>
        <w:ind w:left="1587" w:right="1810" w:firstLine="0"/>
        <w:jc w:val="left"/>
        <w:rPr>
          <w:sz w:val="21"/>
        </w:rPr>
      </w:pPr>
      <w:r>
        <w:rPr>
          <w:spacing w:val="-3"/>
          <w:w w:val="105"/>
          <w:sz w:val="21"/>
        </w:rPr>
        <w:t>Coroners Court </w:t>
      </w:r>
      <w:r>
        <w:rPr>
          <w:w w:val="105"/>
          <w:sz w:val="21"/>
        </w:rPr>
        <w:t>of Victoria, </w:t>
      </w:r>
      <w:r>
        <w:rPr>
          <w:i/>
          <w:spacing w:val="-3"/>
          <w:w w:val="105"/>
          <w:sz w:val="21"/>
        </w:rPr>
        <w:t>Finding into </w:t>
      </w:r>
      <w:r>
        <w:rPr>
          <w:i/>
          <w:w w:val="105"/>
          <w:sz w:val="21"/>
        </w:rPr>
        <w:t>Death with Inquest </w:t>
      </w:r>
      <w:r>
        <w:rPr>
          <w:i/>
          <w:spacing w:val="-3"/>
          <w:w w:val="105"/>
          <w:sz w:val="21"/>
        </w:rPr>
        <w:t>of Patiya </w:t>
      </w:r>
      <w:r>
        <w:rPr>
          <w:i/>
          <w:w w:val="105"/>
          <w:sz w:val="21"/>
        </w:rPr>
        <w:t>May Schreiber </w:t>
      </w:r>
      <w:r>
        <w:rPr>
          <w:spacing w:val="-4"/>
          <w:w w:val="105"/>
          <w:sz w:val="21"/>
        </w:rPr>
        <w:t>(2013/6032) </w:t>
      </w:r>
      <w:r>
        <w:rPr>
          <w:spacing w:val="-7"/>
          <w:w w:val="105"/>
          <w:sz w:val="21"/>
        </w:rPr>
        <w:t>(10 </w:t>
      </w:r>
      <w:r>
        <w:rPr>
          <w:w w:val="105"/>
          <w:sz w:val="21"/>
        </w:rPr>
        <w:t>September </w:t>
      </w:r>
      <w:r>
        <w:rPr>
          <w:spacing w:val="-6"/>
          <w:w w:val="105"/>
          <w:sz w:val="21"/>
        </w:rPr>
        <w:t>2015)</w:t>
      </w:r>
    </w:p>
    <w:p>
      <w:pPr>
        <w:pStyle w:val="BodyText"/>
        <w:spacing w:before="104"/>
        <w:ind w:left="1587"/>
      </w:pPr>
      <w:r>
        <w:rPr>
          <w:w w:val="105"/>
        </w:rPr>
        <w:t>Cortes, Pablo, ‘Online Dispute Resolution Services: A Selected Number of Case Studies’ (2014) 6</w:t>
      </w:r>
    </w:p>
    <w:p>
      <w:pPr>
        <w:spacing w:before="3"/>
        <w:ind w:left="1587" w:right="0" w:firstLine="0"/>
        <w:jc w:val="left"/>
        <w:rPr>
          <w:sz w:val="21"/>
        </w:rPr>
      </w:pPr>
      <w:r>
        <w:rPr>
          <w:i/>
          <w:w w:val="105"/>
          <w:sz w:val="21"/>
        </w:rPr>
        <w:t>Computer and Telecommunications Law Review </w:t>
      </w:r>
      <w:r>
        <w:rPr>
          <w:w w:val="105"/>
          <w:sz w:val="21"/>
        </w:rPr>
        <w:t>172</w:t>
      </w:r>
    </w:p>
    <w:p>
      <w:pPr>
        <w:spacing w:line="242" w:lineRule="auto" w:before="106"/>
        <w:ind w:left="1587" w:right="1636" w:firstLine="0"/>
        <w:jc w:val="left"/>
        <w:rPr>
          <w:sz w:val="21"/>
        </w:rPr>
      </w:pPr>
      <w:r>
        <w:rPr>
          <w:spacing w:val="-5"/>
          <w:w w:val="105"/>
          <w:sz w:val="21"/>
        </w:rPr>
        <w:t>Cotter, Peter, </w:t>
      </w:r>
      <w:r>
        <w:rPr>
          <w:w w:val="105"/>
          <w:sz w:val="21"/>
        </w:rPr>
        <w:t>‘Neighbour </w:t>
      </w:r>
      <w:r>
        <w:rPr>
          <w:spacing w:val="-3"/>
          <w:w w:val="105"/>
          <w:sz w:val="21"/>
        </w:rPr>
        <w:t>Disputes’ </w:t>
      </w:r>
      <w:r>
        <w:rPr>
          <w:w w:val="105"/>
          <w:sz w:val="21"/>
        </w:rPr>
        <w:t>in Naomi </w:t>
      </w:r>
      <w:r>
        <w:rPr>
          <w:spacing w:val="-3"/>
          <w:w w:val="105"/>
          <w:sz w:val="21"/>
        </w:rPr>
        <w:t>Saligari </w:t>
      </w:r>
      <w:r>
        <w:rPr>
          <w:w w:val="105"/>
          <w:sz w:val="21"/>
        </w:rPr>
        <w:t>(ed), </w:t>
      </w:r>
      <w:r>
        <w:rPr>
          <w:i/>
          <w:w w:val="105"/>
          <w:sz w:val="21"/>
        </w:rPr>
        <w:t>The Law Handbook </w:t>
      </w:r>
      <w:r>
        <w:rPr>
          <w:i/>
          <w:spacing w:val="-6"/>
          <w:w w:val="105"/>
          <w:sz w:val="21"/>
        </w:rPr>
        <w:t>2019: </w:t>
      </w:r>
      <w:r>
        <w:rPr>
          <w:i/>
          <w:spacing w:val="-5"/>
          <w:w w:val="105"/>
          <w:sz w:val="21"/>
        </w:rPr>
        <w:t>Your </w:t>
      </w:r>
      <w:r>
        <w:rPr>
          <w:i/>
          <w:w w:val="105"/>
          <w:sz w:val="21"/>
        </w:rPr>
        <w:t>Practical </w:t>
      </w:r>
      <w:r>
        <w:rPr>
          <w:i/>
          <w:spacing w:val="-3"/>
          <w:w w:val="105"/>
          <w:sz w:val="21"/>
        </w:rPr>
        <w:t>Guide </w:t>
      </w:r>
      <w:r>
        <w:rPr>
          <w:i/>
          <w:w w:val="105"/>
          <w:sz w:val="21"/>
        </w:rPr>
        <w:t>to the Law in Victoria </w:t>
      </w:r>
      <w:r>
        <w:rPr>
          <w:w w:val="105"/>
          <w:sz w:val="21"/>
        </w:rPr>
        <w:t>(Fitzroy Legal Service, </w:t>
      </w:r>
      <w:r>
        <w:rPr>
          <w:spacing w:val="-8"/>
          <w:w w:val="105"/>
          <w:sz w:val="21"/>
        </w:rPr>
        <w:t>41st </w:t>
      </w:r>
      <w:r>
        <w:rPr>
          <w:w w:val="105"/>
          <w:sz w:val="21"/>
        </w:rPr>
        <w:t>ed, </w:t>
      </w:r>
      <w:r>
        <w:rPr>
          <w:spacing w:val="-5"/>
          <w:w w:val="105"/>
          <w:sz w:val="21"/>
        </w:rPr>
        <w:t>2019)</w:t>
      </w:r>
    </w:p>
    <w:p>
      <w:pPr>
        <w:spacing w:line="242" w:lineRule="auto" w:before="104"/>
        <w:ind w:left="1587" w:right="1636" w:firstLine="0"/>
        <w:jc w:val="left"/>
        <w:rPr>
          <w:sz w:val="21"/>
        </w:rPr>
      </w:pPr>
      <w:r>
        <w:rPr>
          <w:spacing w:val="-4"/>
          <w:w w:val="105"/>
          <w:sz w:val="21"/>
        </w:rPr>
        <w:t>Council </w:t>
      </w:r>
      <w:r>
        <w:rPr>
          <w:spacing w:val="-3"/>
          <w:w w:val="105"/>
          <w:sz w:val="21"/>
        </w:rPr>
        <w:t>Arboriculture </w:t>
      </w:r>
      <w:r>
        <w:rPr>
          <w:w w:val="105"/>
          <w:sz w:val="21"/>
        </w:rPr>
        <w:t>Victoria, </w:t>
      </w:r>
      <w:r>
        <w:rPr>
          <w:i/>
          <w:spacing w:val="-3"/>
          <w:w w:val="105"/>
          <w:sz w:val="21"/>
        </w:rPr>
        <w:t>Arboricultural </w:t>
      </w:r>
      <w:r>
        <w:rPr>
          <w:i/>
          <w:w w:val="105"/>
          <w:sz w:val="21"/>
        </w:rPr>
        <w:t>Reporting </w:t>
      </w:r>
      <w:r>
        <w:rPr>
          <w:i/>
          <w:spacing w:val="-3"/>
          <w:w w:val="105"/>
          <w:sz w:val="21"/>
        </w:rPr>
        <w:t>Guidelines </w:t>
      </w:r>
      <w:r>
        <w:rPr>
          <w:i/>
          <w:w w:val="105"/>
          <w:sz w:val="21"/>
        </w:rPr>
        <w:t>for Developments </w:t>
      </w:r>
      <w:r>
        <w:rPr>
          <w:w w:val="105"/>
          <w:sz w:val="21"/>
        </w:rPr>
        <w:t>(Version </w:t>
      </w:r>
      <w:r>
        <w:rPr>
          <w:spacing w:val="-5"/>
          <w:w w:val="105"/>
          <w:sz w:val="21"/>
        </w:rPr>
        <w:t>2.0, </w:t>
      </w:r>
      <w:r>
        <w:rPr>
          <w:w w:val="105"/>
          <w:sz w:val="21"/>
        </w:rPr>
        <w:t>November</w:t>
      </w:r>
      <w:r>
        <w:rPr>
          <w:spacing w:val="5"/>
          <w:w w:val="105"/>
          <w:sz w:val="21"/>
        </w:rPr>
        <w:t> </w:t>
      </w:r>
      <w:r>
        <w:rPr>
          <w:w w:val="105"/>
          <w:sz w:val="21"/>
        </w:rPr>
        <w:t>2009)</w:t>
      </w:r>
    </w:p>
    <w:p>
      <w:pPr>
        <w:pStyle w:val="BodyText"/>
        <w:spacing w:line="242" w:lineRule="auto" w:before="105"/>
        <w:ind w:left="1587" w:right="1945"/>
      </w:pPr>
      <w:r>
        <w:rPr>
          <w:spacing w:val="-3"/>
          <w:w w:val="105"/>
        </w:rPr>
        <w:t>Country Fire Authority, </w:t>
      </w:r>
      <w:r>
        <w:rPr>
          <w:i/>
          <w:w w:val="105"/>
        </w:rPr>
        <w:t>Who Does </w:t>
      </w:r>
      <w:r>
        <w:rPr>
          <w:i/>
          <w:spacing w:val="-3"/>
          <w:w w:val="105"/>
        </w:rPr>
        <w:t>What </w:t>
      </w:r>
      <w:r>
        <w:rPr>
          <w:w w:val="105"/>
        </w:rPr>
        <w:t>(Web </w:t>
      </w:r>
      <w:r>
        <w:rPr>
          <w:spacing w:val="-3"/>
          <w:w w:val="105"/>
        </w:rPr>
        <w:t>Page, </w:t>
      </w:r>
      <w:r>
        <w:rPr>
          <w:spacing w:val="-5"/>
          <w:w w:val="105"/>
        </w:rPr>
        <w:t>2019) </w:t>
      </w:r>
      <w:r>
        <w:rPr>
          <w:w w:val="105"/>
        </w:rPr>
        <w:t>&lt;https://</w:t>
      </w:r>
      <w:hyperlink r:id="rId405">
        <w:r>
          <w:rPr>
            <w:w w:val="105"/>
          </w:rPr>
          <w:t>www.cfa.vic.gov.au/about/</w:t>
        </w:r>
      </w:hyperlink>
      <w:r>
        <w:rPr>
          <w:w w:val="105"/>
        </w:rPr>
        <w:t> who-does-what&gt;</w:t>
      </w:r>
    </w:p>
    <w:p>
      <w:pPr>
        <w:spacing w:before="158"/>
        <w:ind w:left="0" w:right="608" w:firstLine="0"/>
        <w:jc w:val="right"/>
        <w:rPr>
          <w:b/>
          <w:sz w:val="24"/>
        </w:rPr>
      </w:pPr>
      <w:r>
        <w:rPr>
          <w:b/>
          <w:color w:val="658464"/>
          <w:w w:val="105"/>
          <w:sz w:val="24"/>
        </w:rPr>
        <w:t>315</w:t>
      </w:r>
    </w:p>
    <w:p>
      <w:pPr>
        <w:spacing w:after="0"/>
        <w:jc w:val="right"/>
        <w:rPr>
          <w:sz w:val="24"/>
        </w:rPr>
        <w:sectPr>
          <w:pgSz w:w="11910" w:h="16840"/>
          <w:pgMar w:header="567" w:footer="0" w:top="1580" w:bottom="280" w:left="0" w:right="0"/>
        </w:sectPr>
      </w:pPr>
    </w:p>
    <w:p>
      <w:pPr>
        <w:pStyle w:val="BodyText"/>
        <w:spacing w:before="9"/>
        <w:rPr>
          <w:b/>
          <w:sz w:val="22"/>
        </w:rPr>
      </w:pPr>
    </w:p>
    <w:p>
      <w:pPr>
        <w:pStyle w:val="BodyText"/>
        <w:spacing w:before="92"/>
        <w:ind w:left="1587"/>
      </w:pPr>
      <w:r>
        <w:rPr>
          <w:w w:val="105"/>
        </w:rPr>
        <w:t>County Court of Victoria,</w:t>
      </w:r>
    </w:p>
    <w:p>
      <w:pPr>
        <w:pStyle w:val="ListParagraph"/>
        <w:numPr>
          <w:ilvl w:val="0"/>
          <w:numId w:val="216"/>
        </w:numPr>
        <w:tabs>
          <w:tab w:pos="1927" w:val="left" w:leader="none"/>
          <w:tab w:pos="1928" w:val="left" w:leader="none"/>
        </w:tabs>
        <w:spacing w:line="242" w:lineRule="auto" w:before="105" w:after="0"/>
        <w:ind w:left="1927" w:right="1993" w:hanging="340"/>
        <w:jc w:val="left"/>
        <w:rPr>
          <w:sz w:val="21"/>
        </w:rPr>
      </w:pPr>
      <w:r>
        <w:rPr>
          <w:i/>
          <w:w w:val="105"/>
          <w:sz w:val="21"/>
        </w:rPr>
        <w:t>Court</w:t>
      </w:r>
      <w:r>
        <w:rPr>
          <w:i/>
          <w:spacing w:val="-25"/>
          <w:w w:val="105"/>
          <w:sz w:val="21"/>
        </w:rPr>
        <w:t> </w:t>
      </w:r>
      <w:r>
        <w:rPr>
          <w:i/>
          <w:spacing w:val="-3"/>
          <w:w w:val="105"/>
          <w:sz w:val="21"/>
        </w:rPr>
        <w:t>Divisions</w:t>
      </w:r>
      <w:r>
        <w:rPr>
          <w:i/>
          <w:spacing w:val="-25"/>
          <w:w w:val="105"/>
          <w:sz w:val="21"/>
        </w:rPr>
        <w:t> </w:t>
      </w:r>
      <w:r>
        <w:rPr>
          <w:w w:val="105"/>
          <w:sz w:val="21"/>
        </w:rPr>
        <w:t>(Web</w:t>
      </w:r>
      <w:r>
        <w:rPr>
          <w:spacing w:val="-25"/>
          <w:w w:val="105"/>
          <w:sz w:val="21"/>
        </w:rPr>
        <w:t> </w:t>
      </w:r>
      <w:r>
        <w:rPr>
          <w:spacing w:val="-3"/>
          <w:w w:val="105"/>
          <w:sz w:val="21"/>
        </w:rPr>
        <w:t>Page,</w:t>
      </w:r>
      <w:r>
        <w:rPr>
          <w:spacing w:val="-24"/>
          <w:w w:val="105"/>
          <w:sz w:val="21"/>
        </w:rPr>
        <w:t> </w:t>
      </w:r>
      <w:r>
        <w:rPr>
          <w:spacing w:val="-5"/>
          <w:w w:val="105"/>
          <w:sz w:val="21"/>
        </w:rPr>
        <w:t>2019)</w:t>
      </w:r>
      <w:r>
        <w:rPr>
          <w:spacing w:val="-25"/>
          <w:w w:val="105"/>
          <w:sz w:val="21"/>
        </w:rPr>
        <w:t> </w:t>
      </w:r>
      <w:r>
        <w:rPr>
          <w:w w:val="105"/>
          <w:sz w:val="21"/>
        </w:rPr>
        <w:t>&lt;https://</w:t>
      </w:r>
      <w:hyperlink r:id="rId406">
        <w:r>
          <w:rPr>
            <w:w w:val="105"/>
            <w:sz w:val="21"/>
          </w:rPr>
          <w:t>www.countycourt.vic.gov.au/learn-about-court/</w:t>
        </w:r>
      </w:hyperlink>
      <w:r>
        <w:rPr>
          <w:w w:val="105"/>
          <w:sz w:val="21"/>
        </w:rPr>
        <w:t> court-divisions&gt;</w:t>
      </w:r>
    </w:p>
    <w:p>
      <w:pPr>
        <w:pStyle w:val="ListParagraph"/>
        <w:numPr>
          <w:ilvl w:val="0"/>
          <w:numId w:val="216"/>
        </w:numPr>
        <w:tabs>
          <w:tab w:pos="1927" w:val="left" w:leader="none"/>
          <w:tab w:pos="1928" w:val="left" w:leader="none"/>
        </w:tabs>
        <w:spacing w:line="242" w:lineRule="auto" w:before="105" w:after="0"/>
        <w:ind w:left="1927" w:right="1822" w:hanging="340"/>
        <w:jc w:val="left"/>
        <w:rPr>
          <w:sz w:val="21"/>
        </w:rPr>
      </w:pPr>
      <w:r>
        <w:rPr>
          <w:i/>
          <w:w w:val="105"/>
          <w:sz w:val="21"/>
        </w:rPr>
        <w:t>Fees</w:t>
      </w:r>
      <w:r>
        <w:rPr>
          <w:i/>
          <w:spacing w:val="-20"/>
          <w:w w:val="105"/>
          <w:sz w:val="21"/>
        </w:rPr>
        <w:t> </w:t>
      </w:r>
      <w:r>
        <w:rPr>
          <w:i/>
          <w:w w:val="105"/>
          <w:sz w:val="21"/>
        </w:rPr>
        <w:t>and</w:t>
      </w:r>
      <w:r>
        <w:rPr>
          <w:i/>
          <w:spacing w:val="-20"/>
          <w:w w:val="105"/>
          <w:sz w:val="21"/>
        </w:rPr>
        <w:t> </w:t>
      </w:r>
      <w:r>
        <w:rPr>
          <w:i/>
          <w:w w:val="105"/>
          <w:sz w:val="21"/>
        </w:rPr>
        <w:t>Costs</w:t>
      </w:r>
      <w:r>
        <w:rPr>
          <w:i/>
          <w:spacing w:val="-19"/>
          <w:w w:val="105"/>
          <w:sz w:val="21"/>
        </w:rPr>
        <w:t> </w:t>
      </w:r>
      <w:r>
        <w:rPr>
          <w:i/>
          <w:w w:val="105"/>
          <w:sz w:val="21"/>
        </w:rPr>
        <w:t>for</w:t>
      </w:r>
      <w:r>
        <w:rPr>
          <w:i/>
          <w:spacing w:val="-20"/>
          <w:w w:val="105"/>
          <w:sz w:val="21"/>
        </w:rPr>
        <w:t> </w:t>
      </w:r>
      <w:r>
        <w:rPr>
          <w:i/>
          <w:w w:val="105"/>
          <w:sz w:val="21"/>
        </w:rPr>
        <w:t>Civil</w:t>
      </w:r>
      <w:r>
        <w:rPr>
          <w:i/>
          <w:spacing w:val="-20"/>
          <w:w w:val="105"/>
          <w:sz w:val="21"/>
        </w:rPr>
        <w:t> </w:t>
      </w:r>
      <w:r>
        <w:rPr>
          <w:i/>
          <w:w w:val="105"/>
          <w:sz w:val="21"/>
        </w:rPr>
        <w:t>Proceedings</w:t>
      </w:r>
      <w:r>
        <w:rPr>
          <w:i/>
          <w:spacing w:val="-19"/>
          <w:w w:val="105"/>
          <w:sz w:val="21"/>
        </w:rPr>
        <w:t> </w:t>
      </w:r>
      <w:r>
        <w:rPr>
          <w:spacing w:val="-5"/>
          <w:w w:val="105"/>
          <w:sz w:val="21"/>
        </w:rPr>
        <w:t>(2019)</w:t>
      </w:r>
      <w:r>
        <w:rPr>
          <w:spacing w:val="-20"/>
          <w:w w:val="105"/>
          <w:sz w:val="21"/>
        </w:rPr>
        <w:t> </w:t>
      </w:r>
      <w:r>
        <w:rPr>
          <w:w w:val="105"/>
          <w:sz w:val="21"/>
        </w:rPr>
        <w:t>&lt;https://</w:t>
      </w:r>
      <w:hyperlink r:id="rId407">
        <w:r>
          <w:rPr>
            <w:w w:val="105"/>
            <w:sz w:val="21"/>
          </w:rPr>
          <w:t>www.countycourt.vic.gov.au/forms-and-</w:t>
        </w:r>
      </w:hyperlink>
      <w:r>
        <w:rPr>
          <w:w w:val="105"/>
          <w:sz w:val="21"/>
        </w:rPr>
        <w:t> fees/fees-and-costs-civil-proceedings&gt;</w:t>
      </w:r>
    </w:p>
    <w:p>
      <w:pPr>
        <w:pStyle w:val="BodyText"/>
        <w:spacing w:line="242" w:lineRule="auto" w:before="104"/>
        <w:ind w:left="1587" w:right="1636"/>
      </w:pPr>
      <w:r>
        <w:rPr>
          <w:spacing w:val="-3"/>
          <w:w w:val="105"/>
        </w:rPr>
        <w:t>Court </w:t>
      </w:r>
      <w:r>
        <w:rPr>
          <w:w w:val="105"/>
        </w:rPr>
        <w:t>Network, </w:t>
      </w:r>
      <w:r>
        <w:rPr>
          <w:i/>
          <w:spacing w:val="-3"/>
          <w:w w:val="105"/>
        </w:rPr>
        <w:t>What We </w:t>
      </w:r>
      <w:r>
        <w:rPr>
          <w:i/>
          <w:w w:val="105"/>
        </w:rPr>
        <w:t>Do </w:t>
      </w:r>
      <w:r>
        <w:rPr>
          <w:w w:val="105"/>
        </w:rPr>
        <w:t>(Web </w:t>
      </w:r>
      <w:r>
        <w:rPr>
          <w:spacing w:val="-3"/>
          <w:w w:val="105"/>
        </w:rPr>
        <w:t>Page, </w:t>
      </w:r>
      <w:r>
        <w:rPr>
          <w:spacing w:val="-5"/>
          <w:w w:val="105"/>
        </w:rPr>
        <w:t>2019) </w:t>
      </w:r>
      <w:r>
        <w:rPr>
          <w:w w:val="105"/>
        </w:rPr>
        <w:t>&lt;https://courtnetwork.com.au/about/what-we- </w:t>
      </w:r>
      <w:r>
        <w:rPr>
          <w:spacing w:val="2"/>
          <w:w w:val="105"/>
        </w:rPr>
        <w:t>do/&gt;</w:t>
      </w:r>
    </w:p>
    <w:p>
      <w:pPr>
        <w:pStyle w:val="BodyText"/>
        <w:spacing w:line="242" w:lineRule="auto" w:before="104"/>
        <w:ind w:left="1587" w:right="2163"/>
      </w:pPr>
      <w:r>
        <w:rPr>
          <w:w w:val="105"/>
        </w:rPr>
        <w:t>Courts of New Zealand, </w:t>
      </w:r>
      <w:r>
        <w:rPr>
          <w:i/>
          <w:w w:val="105"/>
        </w:rPr>
        <w:t>Overview </w:t>
      </w:r>
      <w:r>
        <w:rPr>
          <w:w w:val="105"/>
        </w:rPr>
        <w:t>(Web Page) &lt;https://</w:t>
      </w:r>
      <w:hyperlink r:id="rId408">
        <w:r>
          <w:rPr>
            <w:w w:val="105"/>
          </w:rPr>
          <w:t>www.courtsofnz.govt.nz/about-the-</w:t>
        </w:r>
      </w:hyperlink>
      <w:r>
        <w:rPr>
          <w:w w:val="105"/>
        </w:rPr>
        <w:t> judiciary/structure-of-the-court-system&gt;</w:t>
      </w:r>
    </w:p>
    <w:p>
      <w:pPr>
        <w:spacing w:before="104"/>
        <w:ind w:left="1587" w:right="0" w:firstLine="0"/>
        <w:jc w:val="left"/>
        <w:rPr>
          <w:sz w:val="21"/>
        </w:rPr>
      </w:pPr>
      <w:r>
        <w:rPr>
          <w:w w:val="105"/>
          <w:sz w:val="21"/>
        </w:rPr>
        <w:t>Court Services Victoria, </w:t>
      </w:r>
      <w:r>
        <w:rPr>
          <w:i/>
          <w:w w:val="105"/>
          <w:sz w:val="21"/>
        </w:rPr>
        <w:t>Victorian Courts and Tribunals </w:t>
      </w:r>
      <w:r>
        <w:rPr>
          <w:w w:val="105"/>
          <w:sz w:val="21"/>
        </w:rPr>
        <w:t>(Web Page, 2019)</w:t>
      </w:r>
    </w:p>
    <w:p>
      <w:pPr>
        <w:pStyle w:val="BodyText"/>
        <w:spacing w:before="4"/>
        <w:ind w:left="1587"/>
      </w:pPr>
      <w:r>
        <w:rPr/>
        <w:t>&lt;https://</w:t>
      </w:r>
      <w:hyperlink r:id="rId33">
        <w:r>
          <w:rPr/>
          <w:t>www.courts.vic.gov.au/court-system/victorian-courts-and-tribunals</w:t>
        </w:r>
      </w:hyperlink>
      <w:r>
        <w:rPr/>
        <w:t>&gt;</w:t>
      </w:r>
    </w:p>
    <w:p>
      <w:pPr>
        <w:pStyle w:val="BodyText"/>
        <w:spacing w:line="360" w:lineRule="atLeast" w:before="2"/>
        <w:ind w:left="1587" w:right="2669"/>
      </w:pPr>
      <w:r>
        <w:rPr>
          <w:spacing w:val="-3"/>
          <w:w w:val="105"/>
        </w:rPr>
        <w:t>Davies, Margaret </w:t>
      </w:r>
      <w:r>
        <w:rPr>
          <w:w w:val="105"/>
        </w:rPr>
        <w:t>and </w:t>
      </w:r>
      <w:r>
        <w:rPr>
          <w:spacing w:val="-4"/>
          <w:w w:val="105"/>
        </w:rPr>
        <w:t>Kynan </w:t>
      </w:r>
      <w:r>
        <w:rPr>
          <w:w w:val="105"/>
        </w:rPr>
        <w:t>Rogers, </w:t>
      </w:r>
      <w:r>
        <w:rPr>
          <w:spacing w:val="-4"/>
          <w:w w:val="105"/>
        </w:rPr>
        <w:t>‘Tale </w:t>
      </w:r>
      <w:r>
        <w:rPr>
          <w:w w:val="105"/>
        </w:rPr>
        <w:t>of a </w:t>
      </w:r>
      <w:r>
        <w:rPr>
          <w:spacing w:val="-5"/>
          <w:w w:val="105"/>
        </w:rPr>
        <w:t>Tree’ (2014) </w:t>
      </w:r>
      <w:r>
        <w:rPr>
          <w:spacing w:val="-6"/>
          <w:w w:val="105"/>
        </w:rPr>
        <w:t>16 </w:t>
      </w:r>
      <w:r>
        <w:rPr>
          <w:i/>
          <w:w w:val="105"/>
        </w:rPr>
        <w:t>Flinders Law </w:t>
      </w:r>
      <w:r>
        <w:rPr>
          <w:i/>
          <w:spacing w:val="-3"/>
          <w:w w:val="105"/>
        </w:rPr>
        <w:t>Journal </w:t>
      </w:r>
      <w:r>
        <w:rPr>
          <w:spacing w:val="-5"/>
          <w:w w:val="105"/>
        </w:rPr>
        <w:t>43 </w:t>
      </w:r>
      <w:r>
        <w:rPr>
          <w:spacing w:val="-3"/>
          <w:w w:val="105"/>
        </w:rPr>
        <w:t>Davis, Julie </w:t>
      </w:r>
      <w:r>
        <w:rPr>
          <w:w w:val="105"/>
        </w:rPr>
        <w:t>R, </w:t>
      </w:r>
      <w:r>
        <w:rPr>
          <w:spacing w:val="-4"/>
          <w:w w:val="105"/>
        </w:rPr>
        <w:t>‘Contempt </w:t>
      </w:r>
      <w:r>
        <w:rPr>
          <w:w w:val="105"/>
        </w:rPr>
        <w:t>in the </w:t>
      </w:r>
      <w:r>
        <w:rPr>
          <w:spacing w:val="-6"/>
          <w:w w:val="105"/>
        </w:rPr>
        <w:t>Tribunal’, </w:t>
      </w:r>
      <w:r>
        <w:rPr>
          <w:i/>
          <w:w w:val="105"/>
        </w:rPr>
        <w:t>Foleys List </w:t>
      </w:r>
      <w:r>
        <w:rPr>
          <w:w w:val="105"/>
        </w:rPr>
        <w:t>(Research </w:t>
      </w:r>
      <w:r>
        <w:rPr>
          <w:spacing w:val="-4"/>
          <w:w w:val="105"/>
        </w:rPr>
        <w:t>Paper, </w:t>
      </w:r>
      <w:r>
        <w:rPr>
          <w:w w:val="105"/>
        </w:rPr>
        <w:t>23 </w:t>
      </w:r>
      <w:r>
        <w:rPr>
          <w:spacing w:val="-2"/>
          <w:w w:val="105"/>
        </w:rPr>
        <w:t>May </w:t>
      </w:r>
      <w:r>
        <w:rPr>
          <w:spacing w:val="-6"/>
          <w:w w:val="105"/>
        </w:rPr>
        <w:t>2014)</w:t>
      </w:r>
    </w:p>
    <w:p>
      <w:pPr>
        <w:pStyle w:val="BodyText"/>
        <w:spacing w:before="5"/>
        <w:ind w:left="1587"/>
      </w:pPr>
      <w:r>
        <w:rPr/>
        <w:t>&lt;https://</w:t>
      </w:r>
      <w:hyperlink r:id="rId244">
        <w:r>
          <w:rPr/>
          <w:t>www.foleys.com.au/mobile/CpdResources.aspx</w:t>
        </w:r>
      </w:hyperlink>
      <w:r>
        <w:rPr/>
        <w:t>&gt;</w:t>
      </w:r>
    </w:p>
    <w:p>
      <w:pPr>
        <w:spacing w:line="242" w:lineRule="auto" w:before="106"/>
        <w:ind w:left="1587" w:right="2186" w:firstLine="0"/>
        <w:jc w:val="left"/>
        <w:rPr>
          <w:sz w:val="21"/>
        </w:rPr>
      </w:pPr>
      <w:r>
        <w:rPr>
          <w:w w:val="105"/>
          <w:sz w:val="21"/>
        </w:rPr>
        <w:t>Department of </w:t>
      </w:r>
      <w:r>
        <w:rPr>
          <w:spacing w:val="-3"/>
          <w:w w:val="105"/>
          <w:sz w:val="21"/>
        </w:rPr>
        <w:t>Attorney </w:t>
      </w:r>
      <w:r>
        <w:rPr>
          <w:w w:val="105"/>
          <w:sz w:val="21"/>
        </w:rPr>
        <w:t>General and Justice </w:t>
      </w:r>
      <w:r>
        <w:rPr>
          <w:spacing w:val="2"/>
          <w:w w:val="105"/>
          <w:sz w:val="21"/>
        </w:rPr>
        <w:t>(NSW), </w:t>
      </w:r>
      <w:r>
        <w:rPr>
          <w:i/>
          <w:w w:val="105"/>
          <w:sz w:val="21"/>
        </w:rPr>
        <w:t>Review </w:t>
      </w:r>
      <w:r>
        <w:rPr>
          <w:i/>
          <w:spacing w:val="-3"/>
          <w:w w:val="105"/>
          <w:sz w:val="21"/>
        </w:rPr>
        <w:t>of </w:t>
      </w:r>
      <w:r>
        <w:rPr>
          <w:i/>
          <w:w w:val="105"/>
          <w:sz w:val="21"/>
        </w:rPr>
        <w:t>Part 2A </w:t>
      </w:r>
      <w:r>
        <w:rPr>
          <w:i/>
          <w:spacing w:val="-3"/>
          <w:w w:val="105"/>
          <w:sz w:val="21"/>
        </w:rPr>
        <w:t>of </w:t>
      </w:r>
      <w:r>
        <w:rPr>
          <w:i/>
          <w:w w:val="105"/>
          <w:sz w:val="21"/>
        </w:rPr>
        <w:t>the </w:t>
      </w:r>
      <w:r>
        <w:rPr>
          <w:i/>
          <w:spacing w:val="-4"/>
          <w:w w:val="105"/>
          <w:sz w:val="21"/>
        </w:rPr>
        <w:t>Trees </w:t>
      </w:r>
      <w:r>
        <w:rPr>
          <w:i/>
          <w:w w:val="105"/>
          <w:sz w:val="21"/>
        </w:rPr>
        <w:t>(Disputes Between Neighbours) Act 2006 (NSW) (High Hedge </w:t>
      </w:r>
      <w:r>
        <w:rPr>
          <w:i/>
          <w:spacing w:val="-3"/>
          <w:w w:val="105"/>
          <w:sz w:val="21"/>
        </w:rPr>
        <w:t>Provisions) </w:t>
      </w:r>
      <w:r>
        <w:rPr>
          <w:w w:val="105"/>
          <w:sz w:val="21"/>
        </w:rPr>
        <w:t>(Report,</w:t>
      </w:r>
      <w:r>
        <w:rPr>
          <w:spacing w:val="10"/>
          <w:w w:val="105"/>
          <w:sz w:val="21"/>
        </w:rPr>
        <w:t> </w:t>
      </w:r>
      <w:r>
        <w:rPr>
          <w:spacing w:val="-6"/>
          <w:w w:val="105"/>
          <w:sz w:val="21"/>
        </w:rPr>
        <w:t>2013)</w:t>
      </w:r>
    </w:p>
    <w:p>
      <w:pPr>
        <w:spacing w:before="104"/>
        <w:ind w:left="1587" w:right="0" w:firstLine="0"/>
        <w:jc w:val="left"/>
        <w:rPr>
          <w:sz w:val="21"/>
        </w:rPr>
      </w:pPr>
      <w:r>
        <w:rPr>
          <w:w w:val="105"/>
          <w:sz w:val="21"/>
        </w:rPr>
        <w:t>Department of </w:t>
      </w:r>
      <w:r>
        <w:rPr>
          <w:spacing w:val="-3"/>
          <w:w w:val="105"/>
          <w:sz w:val="21"/>
        </w:rPr>
        <w:t>Education </w:t>
      </w:r>
      <w:r>
        <w:rPr>
          <w:w w:val="105"/>
          <w:sz w:val="21"/>
        </w:rPr>
        <w:t>and </w:t>
      </w:r>
      <w:r>
        <w:rPr>
          <w:spacing w:val="-5"/>
          <w:w w:val="105"/>
          <w:sz w:val="21"/>
        </w:rPr>
        <w:t>Training </w:t>
      </w:r>
      <w:r>
        <w:rPr>
          <w:w w:val="105"/>
          <w:sz w:val="21"/>
        </w:rPr>
        <w:t>(Vic), </w:t>
      </w:r>
      <w:r>
        <w:rPr>
          <w:i/>
          <w:w w:val="105"/>
          <w:sz w:val="21"/>
        </w:rPr>
        <w:t>Diploma </w:t>
      </w:r>
      <w:r>
        <w:rPr>
          <w:i/>
          <w:spacing w:val="-3"/>
          <w:w w:val="105"/>
          <w:sz w:val="21"/>
        </w:rPr>
        <w:t>of </w:t>
      </w:r>
      <w:r>
        <w:rPr>
          <w:i/>
          <w:w w:val="105"/>
          <w:sz w:val="21"/>
        </w:rPr>
        <w:t>Arboriculture </w:t>
      </w:r>
      <w:r>
        <w:rPr>
          <w:w w:val="105"/>
          <w:sz w:val="21"/>
        </w:rPr>
        <w:t>(Web </w:t>
      </w:r>
      <w:r>
        <w:rPr>
          <w:spacing w:val="-3"/>
          <w:w w:val="105"/>
          <w:sz w:val="21"/>
        </w:rPr>
        <w:t>Page,</w:t>
      </w:r>
      <w:r>
        <w:rPr>
          <w:spacing w:val="-10"/>
          <w:w w:val="105"/>
          <w:sz w:val="21"/>
        </w:rPr>
        <w:t> </w:t>
      </w:r>
      <w:r>
        <w:rPr>
          <w:spacing w:val="-7"/>
          <w:w w:val="105"/>
          <w:sz w:val="21"/>
        </w:rPr>
        <w:t>2017)</w:t>
      </w:r>
    </w:p>
    <w:p>
      <w:pPr>
        <w:pStyle w:val="BodyText"/>
        <w:spacing w:before="4"/>
        <w:ind w:left="1587"/>
      </w:pPr>
      <w:r>
        <w:rPr/>
        <w:t>&lt;https://</w:t>
      </w:r>
      <w:hyperlink r:id="rId409">
        <w:r>
          <w:rPr/>
          <w:t>www.skills.vic.gov.au/victorianskillsgateway/Students/Pages/CourseSearchDescription.aspx</w:t>
        </w:r>
      </w:hyperlink>
    </w:p>
    <w:p>
      <w:pPr>
        <w:pStyle w:val="BodyText"/>
        <w:spacing w:before="4"/>
        <w:ind w:left="1587"/>
      </w:pPr>
      <w:r>
        <w:rPr>
          <w:w w:val="105"/>
        </w:rPr>
        <w:t>?type=course&amp;CourseId=12920&amp;new=1&gt;</w:t>
      </w:r>
    </w:p>
    <w:p>
      <w:pPr>
        <w:spacing w:line="242" w:lineRule="auto" w:before="105"/>
        <w:ind w:left="1587" w:right="1636" w:firstLine="0"/>
        <w:jc w:val="left"/>
        <w:rPr>
          <w:sz w:val="21"/>
        </w:rPr>
      </w:pPr>
      <w:r>
        <w:rPr>
          <w:w w:val="105"/>
          <w:sz w:val="21"/>
        </w:rPr>
        <w:t>Department</w:t>
      </w:r>
      <w:r>
        <w:rPr>
          <w:spacing w:val="-18"/>
          <w:w w:val="105"/>
          <w:sz w:val="21"/>
        </w:rPr>
        <w:t> </w:t>
      </w:r>
      <w:r>
        <w:rPr>
          <w:w w:val="105"/>
          <w:sz w:val="21"/>
        </w:rPr>
        <w:t>of</w:t>
      </w:r>
      <w:r>
        <w:rPr>
          <w:spacing w:val="-18"/>
          <w:w w:val="105"/>
          <w:sz w:val="21"/>
        </w:rPr>
        <w:t> </w:t>
      </w:r>
      <w:r>
        <w:rPr>
          <w:spacing w:val="-3"/>
          <w:w w:val="105"/>
          <w:sz w:val="21"/>
        </w:rPr>
        <w:t>Environment</w:t>
      </w:r>
      <w:r>
        <w:rPr>
          <w:spacing w:val="-17"/>
          <w:w w:val="105"/>
          <w:sz w:val="21"/>
        </w:rPr>
        <w:t> </w:t>
      </w:r>
      <w:r>
        <w:rPr>
          <w:w w:val="105"/>
          <w:sz w:val="21"/>
        </w:rPr>
        <w:t>and</w:t>
      </w:r>
      <w:r>
        <w:rPr>
          <w:spacing w:val="-18"/>
          <w:w w:val="105"/>
          <w:sz w:val="21"/>
        </w:rPr>
        <w:t> </w:t>
      </w:r>
      <w:r>
        <w:rPr>
          <w:w w:val="105"/>
          <w:sz w:val="21"/>
        </w:rPr>
        <w:t>Primary</w:t>
      </w:r>
      <w:r>
        <w:rPr>
          <w:spacing w:val="-18"/>
          <w:w w:val="105"/>
          <w:sz w:val="21"/>
        </w:rPr>
        <w:t> </w:t>
      </w:r>
      <w:r>
        <w:rPr>
          <w:w w:val="105"/>
          <w:sz w:val="21"/>
        </w:rPr>
        <w:t>Industries,</w:t>
      </w:r>
      <w:r>
        <w:rPr>
          <w:spacing w:val="-17"/>
          <w:w w:val="105"/>
          <w:sz w:val="21"/>
        </w:rPr>
        <w:t> </w:t>
      </w:r>
      <w:r>
        <w:rPr>
          <w:i/>
          <w:w w:val="105"/>
          <w:sz w:val="21"/>
        </w:rPr>
        <w:t>Land</w:t>
      </w:r>
      <w:r>
        <w:rPr>
          <w:i/>
          <w:spacing w:val="-18"/>
          <w:w w:val="105"/>
          <w:sz w:val="21"/>
        </w:rPr>
        <w:t> </w:t>
      </w:r>
      <w:r>
        <w:rPr>
          <w:i/>
          <w:w w:val="105"/>
          <w:sz w:val="21"/>
        </w:rPr>
        <w:t>Protection</w:t>
      </w:r>
      <w:r>
        <w:rPr>
          <w:i/>
          <w:spacing w:val="-18"/>
          <w:w w:val="105"/>
          <w:sz w:val="21"/>
        </w:rPr>
        <w:t> </w:t>
      </w:r>
      <w:r>
        <w:rPr>
          <w:i/>
          <w:w w:val="105"/>
          <w:sz w:val="21"/>
        </w:rPr>
        <w:t>Under</w:t>
      </w:r>
      <w:r>
        <w:rPr>
          <w:i/>
          <w:spacing w:val="-17"/>
          <w:w w:val="105"/>
          <w:sz w:val="21"/>
        </w:rPr>
        <w:t> </w:t>
      </w:r>
      <w:r>
        <w:rPr>
          <w:i/>
          <w:w w:val="105"/>
          <w:sz w:val="21"/>
        </w:rPr>
        <w:t>the</w:t>
      </w:r>
      <w:r>
        <w:rPr>
          <w:i/>
          <w:spacing w:val="-18"/>
          <w:w w:val="105"/>
          <w:sz w:val="21"/>
        </w:rPr>
        <w:t> </w:t>
      </w:r>
      <w:r>
        <w:rPr>
          <w:i/>
          <w:w w:val="105"/>
          <w:sz w:val="21"/>
        </w:rPr>
        <w:t>Biodiversity </w:t>
      </w:r>
      <w:r>
        <w:rPr>
          <w:i/>
          <w:spacing w:val="-3"/>
          <w:w w:val="105"/>
          <w:sz w:val="21"/>
        </w:rPr>
        <w:t>Conservation </w:t>
      </w:r>
      <w:r>
        <w:rPr>
          <w:i/>
          <w:w w:val="105"/>
          <w:sz w:val="21"/>
        </w:rPr>
        <w:t>Strategy—Melbourne </w:t>
      </w:r>
      <w:r>
        <w:rPr>
          <w:i/>
          <w:spacing w:val="-3"/>
          <w:w w:val="105"/>
          <w:sz w:val="21"/>
        </w:rPr>
        <w:t>Strategic </w:t>
      </w:r>
      <w:r>
        <w:rPr>
          <w:i/>
          <w:w w:val="105"/>
          <w:sz w:val="21"/>
        </w:rPr>
        <w:t>Assessment </w:t>
      </w:r>
      <w:r>
        <w:rPr>
          <w:w w:val="105"/>
          <w:sz w:val="21"/>
        </w:rPr>
        <w:t>(Report, </w:t>
      </w:r>
      <w:r>
        <w:rPr>
          <w:spacing w:val="-2"/>
          <w:w w:val="105"/>
          <w:sz w:val="21"/>
        </w:rPr>
        <w:t>May</w:t>
      </w:r>
      <w:r>
        <w:rPr>
          <w:spacing w:val="24"/>
          <w:w w:val="105"/>
          <w:sz w:val="21"/>
        </w:rPr>
        <w:t> </w:t>
      </w:r>
      <w:r>
        <w:rPr>
          <w:spacing w:val="-6"/>
          <w:w w:val="105"/>
          <w:sz w:val="21"/>
        </w:rPr>
        <w:t>2014)</w:t>
      </w:r>
    </w:p>
    <w:p>
      <w:pPr>
        <w:pStyle w:val="BodyText"/>
        <w:spacing w:before="105"/>
        <w:ind w:left="1587"/>
      </w:pPr>
      <w:r>
        <w:rPr>
          <w:w w:val="105"/>
        </w:rPr>
        <w:t>Department of Environment, Land, Water and Planning (Vic),</w:t>
      </w:r>
    </w:p>
    <w:p>
      <w:pPr>
        <w:pStyle w:val="ListParagraph"/>
        <w:numPr>
          <w:ilvl w:val="0"/>
          <w:numId w:val="216"/>
        </w:numPr>
        <w:tabs>
          <w:tab w:pos="1927" w:val="left" w:leader="none"/>
          <w:tab w:pos="1928" w:val="left" w:leader="none"/>
        </w:tabs>
        <w:spacing w:line="240" w:lineRule="auto" w:before="105" w:after="0"/>
        <w:ind w:left="1927" w:right="0" w:hanging="340"/>
        <w:jc w:val="left"/>
        <w:rPr>
          <w:sz w:val="21"/>
        </w:rPr>
      </w:pPr>
      <w:r>
        <w:rPr>
          <w:i/>
          <w:w w:val="105"/>
          <w:sz w:val="21"/>
        </w:rPr>
        <w:t>A Practitioner’s </w:t>
      </w:r>
      <w:r>
        <w:rPr>
          <w:i/>
          <w:spacing w:val="-3"/>
          <w:w w:val="105"/>
          <w:sz w:val="21"/>
        </w:rPr>
        <w:t>Guide </w:t>
      </w:r>
      <w:r>
        <w:rPr>
          <w:i/>
          <w:w w:val="105"/>
          <w:sz w:val="21"/>
        </w:rPr>
        <w:t>to Victorian </w:t>
      </w:r>
      <w:r>
        <w:rPr>
          <w:i/>
          <w:spacing w:val="-3"/>
          <w:w w:val="105"/>
          <w:sz w:val="21"/>
        </w:rPr>
        <w:t>Planning </w:t>
      </w:r>
      <w:r>
        <w:rPr>
          <w:i/>
          <w:w w:val="105"/>
          <w:sz w:val="21"/>
        </w:rPr>
        <w:t>Schemes </w:t>
      </w:r>
      <w:r>
        <w:rPr>
          <w:w w:val="105"/>
          <w:sz w:val="21"/>
        </w:rPr>
        <w:t>(Version </w:t>
      </w:r>
      <w:r>
        <w:rPr>
          <w:spacing w:val="-13"/>
          <w:w w:val="105"/>
          <w:sz w:val="21"/>
        </w:rPr>
        <w:t>1.1, </w:t>
      </w:r>
      <w:r>
        <w:rPr>
          <w:w w:val="105"/>
          <w:sz w:val="21"/>
        </w:rPr>
        <w:t>October</w:t>
      </w:r>
      <w:r>
        <w:rPr>
          <w:spacing w:val="23"/>
          <w:w w:val="105"/>
          <w:sz w:val="21"/>
        </w:rPr>
        <w:t> </w:t>
      </w:r>
      <w:r>
        <w:rPr>
          <w:spacing w:val="-5"/>
          <w:w w:val="105"/>
          <w:sz w:val="21"/>
        </w:rPr>
        <w:t>2018)</w:t>
      </w:r>
    </w:p>
    <w:p>
      <w:pPr>
        <w:pStyle w:val="ListParagraph"/>
        <w:numPr>
          <w:ilvl w:val="0"/>
          <w:numId w:val="216"/>
        </w:numPr>
        <w:tabs>
          <w:tab w:pos="1927" w:val="left" w:leader="none"/>
          <w:tab w:pos="1928" w:val="left" w:leader="none"/>
        </w:tabs>
        <w:spacing w:line="240" w:lineRule="auto" w:before="106" w:after="0"/>
        <w:ind w:left="1927" w:right="0" w:hanging="340"/>
        <w:jc w:val="left"/>
        <w:rPr>
          <w:sz w:val="21"/>
        </w:rPr>
      </w:pPr>
      <w:r>
        <w:rPr>
          <w:i/>
          <w:w w:val="105"/>
          <w:sz w:val="21"/>
        </w:rPr>
        <w:t>Act for The Future: Directions for a New Local </w:t>
      </w:r>
      <w:r>
        <w:rPr>
          <w:i/>
          <w:spacing w:val="-3"/>
          <w:w w:val="105"/>
          <w:sz w:val="21"/>
        </w:rPr>
        <w:t>Government </w:t>
      </w:r>
      <w:r>
        <w:rPr>
          <w:i/>
          <w:w w:val="105"/>
          <w:sz w:val="21"/>
        </w:rPr>
        <w:t>Act </w:t>
      </w:r>
      <w:r>
        <w:rPr>
          <w:w w:val="105"/>
          <w:sz w:val="21"/>
        </w:rPr>
        <w:t>(Directions </w:t>
      </w:r>
      <w:r>
        <w:rPr>
          <w:spacing w:val="-4"/>
          <w:w w:val="105"/>
          <w:sz w:val="21"/>
        </w:rPr>
        <w:t>Paper,</w:t>
      </w:r>
      <w:r>
        <w:rPr>
          <w:spacing w:val="8"/>
          <w:w w:val="105"/>
          <w:sz w:val="21"/>
        </w:rPr>
        <w:t> </w:t>
      </w:r>
      <w:r>
        <w:rPr>
          <w:spacing w:val="-5"/>
          <w:w w:val="105"/>
          <w:sz w:val="21"/>
        </w:rPr>
        <w:t>2016)</w:t>
      </w:r>
    </w:p>
    <w:p>
      <w:pPr>
        <w:pStyle w:val="ListParagraph"/>
        <w:numPr>
          <w:ilvl w:val="0"/>
          <w:numId w:val="216"/>
        </w:numPr>
        <w:tabs>
          <w:tab w:pos="1927" w:val="left" w:leader="none"/>
          <w:tab w:pos="1928" w:val="left" w:leader="none"/>
        </w:tabs>
        <w:spacing w:line="242" w:lineRule="auto" w:before="106" w:after="0"/>
        <w:ind w:left="1927" w:right="1943" w:hanging="340"/>
        <w:jc w:val="left"/>
        <w:rPr>
          <w:sz w:val="21"/>
        </w:rPr>
      </w:pPr>
      <w:r>
        <w:rPr>
          <w:spacing w:val="-3"/>
          <w:w w:val="105"/>
          <w:sz w:val="21"/>
        </w:rPr>
        <w:t>‘Information for </w:t>
      </w:r>
      <w:r>
        <w:rPr>
          <w:spacing w:val="-4"/>
          <w:w w:val="105"/>
          <w:sz w:val="21"/>
        </w:rPr>
        <w:t>Owners’, </w:t>
      </w:r>
      <w:r>
        <w:rPr>
          <w:i/>
          <w:spacing w:val="-3"/>
          <w:w w:val="105"/>
          <w:sz w:val="21"/>
        </w:rPr>
        <w:t>Bushfire </w:t>
      </w:r>
      <w:r>
        <w:rPr>
          <w:i/>
          <w:w w:val="105"/>
          <w:sz w:val="21"/>
        </w:rPr>
        <w:t>Management </w:t>
      </w:r>
      <w:r>
        <w:rPr>
          <w:i/>
          <w:spacing w:val="-3"/>
          <w:w w:val="105"/>
          <w:sz w:val="21"/>
        </w:rPr>
        <w:t>Overlay </w:t>
      </w:r>
      <w:r>
        <w:rPr>
          <w:w w:val="105"/>
          <w:sz w:val="21"/>
        </w:rPr>
        <w:t>(Fact Sheet, </w:t>
      </w:r>
      <w:r>
        <w:rPr>
          <w:spacing w:val="-7"/>
          <w:w w:val="105"/>
          <w:sz w:val="21"/>
        </w:rPr>
        <w:t>2017) </w:t>
      </w:r>
      <w:r>
        <w:rPr>
          <w:w w:val="105"/>
          <w:sz w:val="21"/>
        </w:rPr>
        <w:t>&lt;https://</w:t>
      </w:r>
      <w:hyperlink r:id="rId279">
        <w:r>
          <w:rPr>
            <w:w w:val="105"/>
            <w:sz w:val="21"/>
          </w:rPr>
          <w:t>www.</w:t>
        </w:r>
      </w:hyperlink>
      <w:r>
        <w:rPr>
          <w:w w:val="105"/>
          <w:sz w:val="21"/>
        </w:rPr>
        <w:t> </w:t>
      </w:r>
      <w:r>
        <w:rPr>
          <w:spacing w:val="-1"/>
          <w:sz w:val="21"/>
        </w:rPr>
        <w:t>planning.vic.gov.au/policy-and-strategy/bushfire-protection/bushfire-management-overlay&gt;</w:t>
      </w:r>
    </w:p>
    <w:p>
      <w:pPr>
        <w:pStyle w:val="ListParagraph"/>
        <w:numPr>
          <w:ilvl w:val="0"/>
          <w:numId w:val="216"/>
        </w:numPr>
        <w:tabs>
          <w:tab w:pos="1927" w:val="left" w:leader="none"/>
          <w:tab w:pos="1928" w:val="left" w:leader="none"/>
        </w:tabs>
        <w:spacing w:line="242" w:lineRule="auto" w:before="104" w:after="0"/>
        <w:ind w:left="1927" w:right="1767" w:hanging="340"/>
        <w:jc w:val="left"/>
        <w:rPr>
          <w:sz w:val="21"/>
        </w:rPr>
      </w:pPr>
      <w:r>
        <w:rPr>
          <w:i/>
          <w:spacing w:val="-3"/>
          <w:w w:val="105"/>
          <w:sz w:val="21"/>
        </w:rPr>
        <w:t>Environmental </w:t>
      </w:r>
      <w:r>
        <w:rPr>
          <w:i/>
          <w:w w:val="105"/>
          <w:sz w:val="21"/>
        </w:rPr>
        <w:t>Assessment </w:t>
      </w:r>
      <w:r>
        <w:rPr>
          <w:i/>
          <w:spacing w:val="-3"/>
          <w:w w:val="105"/>
          <w:sz w:val="21"/>
        </w:rPr>
        <w:t>Bilateral </w:t>
      </w:r>
      <w:r>
        <w:rPr>
          <w:i/>
          <w:w w:val="105"/>
          <w:sz w:val="21"/>
        </w:rPr>
        <w:t>Agreement </w:t>
      </w:r>
      <w:r>
        <w:rPr>
          <w:w w:val="105"/>
          <w:sz w:val="21"/>
        </w:rPr>
        <w:t>(Web </w:t>
      </w:r>
      <w:r>
        <w:rPr>
          <w:spacing w:val="-3"/>
          <w:w w:val="105"/>
          <w:sz w:val="21"/>
        </w:rPr>
        <w:t>Page, </w:t>
      </w:r>
      <w:r>
        <w:rPr>
          <w:spacing w:val="-6"/>
          <w:w w:val="105"/>
          <w:sz w:val="21"/>
        </w:rPr>
        <w:t>10 </w:t>
      </w:r>
      <w:r>
        <w:rPr>
          <w:w w:val="105"/>
          <w:sz w:val="21"/>
        </w:rPr>
        <w:t>April </w:t>
      </w:r>
      <w:r>
        <w:rPr>
          <w:spacing w:val="-5"/>
          <w:w w:val="105"/>
          <w:sz w:val="21"/>
        </w:rPr>
        <w:t>2019) </w:t>
      </w:r>
      <w:r>
        <w:rPr>
          <w:w w:val="105"/>
          <w:sz w:val="21"/>
        </w:rPr>
        <w:t>&lt;https://</w:t>
      </w:r>
      <w:hyperlink r:id="rId279">
        <w:r>
          <w:rPr>
            <w:w w:val="105"/>
            <w:sz w:val="21"/>
          </w:rPr>
          <w:t>www.</w:t>
        </w:r>
      </w:hyperlink>
      <w:r>
        <w:rPr>
          <w:w w:val="105"/>
          <w:sz w:val="21"/>
        </w:rPr>
        <w:t> </w:t>
      </w:r>
      <w:r>
        <w:rPr>
          <w:spacing w:val="-3"/>
          <w:sz w:val="21"/>
        </w:rPr>
        <w:t>planning.vic.gov.au/environment-assessment/environmental-assessment-bilateral-agreement&gt;</w:t>
      </w:r>
    </w:p>
    <w:p>
      <w:pPr>
        <w:pStyle w:val="ListParagraph"/>
        <w:numPr>
          <w:ilvl w:val="0"/>
          <w:numId w:val="216"/>
        </w:numPr>
        <w:tabs>
          <w:tab w:pos="1927" w:val="left" w:leader="none"/>
          <w:tab w:pos="1928" w:val="left" w:leader="none"/>
        </w:tabs>
        <w:spacing w:line="242" w:lineRule="auto" w:before="104" w:after="0"/>
        <w:ind w:left="1927" w:right="1761" w:hanging="340"/>
        <w:jc w:val="left"/>
        <w:rPr>
          <w:sz w:val="21"/>
        </w:rPr>
      </w:pPr>
      <w:r>
        <w:rPr>
          <w:i/>
          <w:spacing w:val="-3"/>
          <w:w w:val="105"/>
          <w:sz w:val="21"/>
        </w:rPr>
        <w:t>Exemptions From </w:t>
      </w:r>
      <w:r>
        <w:rPr>
          <w:i/>
          <w:w w:val="105"/>
          <w:sz w:val="21"/>
        </w:rPr>
        <w:t>Requiring a Permit to Remove, Destroy or </w:t>
      </w:r>
      <w:r>
        <w:rPr>
          <w:i/>
          <w:spacing w:val="-3"/>
          <w:w w:val="105"/>
          <w:sz w:val="21"/>
        </w:rPr>
        <w:t>Lop Native Vegetation </w:t>
      </w:r>
      <w:r>
        <w:rPr>
          <w:spacing w:val="-3"/>
          <w:w w:val="105"/>
          <w:sz w:val="21"/>
        </w:rPr>
        <w:t>(Guidance, </w:t>
      </w:r>
      <w:r>
        <w:rPr>
          <w:w w:val="105"/>
          <w:sz w:val="21"/>
        </w:rPr>
        <w:t>December</w:t>
      </w:r>
      <w:r>
        <w:rPr>
          <w:spacing w:val="5"/>
          <w:w w:val="105"/>
          <w:sz w:val="21"/>
        </w:rPr>
        <w:t> </w:t>
      </w:r>
      <w:r>
        <w:rPr>
          <w:spacing w:val="-7"/>
          <w:w w:val="105"/>
          <w:sz w:val="21"/>
        </w:rPr>
        <w:t>2017)</w:t>
      </w:r>
    </w:p>
    <w:p>
      <w:pPr>
        <w:pStyle w:val="ListParagraph"/>
        <w:numPr>
          <w:ilvl w:val="0"/>
          <w:numId w:val="216"/>
        </w:numPr>
        <w:tabs>
          <w:tab w:pos="1927" w:val="left" w:leader="none"/>
          <w:tab w:pos="1928" w:val="left" w:leader="none"/>
        </w:tabs>
        <w:spacing w:line="240" w:lineRule="auto" w:before="104" w:after="0"/>
        <w:ind w:left="1927" w:right="0" w:hanging="340"/>
        <w:jc w:val="left"/>
        <w:rPr>
          <w:sz w:val="21"/>
        </w:rPr>
      </w:pPr>
      <w:r>
        <w:rPr>
          <w:i/>
          <w:w w:val="105"/>
          <w:sz w:val="21"/>
        </w:rPr>
        <w:t>General </w:t>
      </w:r>
      <w:r>
        <w:rPr>
          <w:i/>
          <w:spacing w:val="-3"/>
          <w:w w:val="105"/>
          <w:sz w:val="21"/>
        </w:rPr>
        <w:t>Information </w:t>
      </w:r>
      <w:r>
        <w:rPr>
          <w:i/>
          <w:w w:val="105"/>
          <w:sz w:val="21"/>
        </w:rPr>
        <w:t>on the Reformed </w:t>
      </w:r>
      <w:r>
        <w:rPr>
          <w:i/>
          <w:spacing w:val="-3"/>
          <w:w w:val="105"/>
          <w:sz w:val="21"/>
        </w:rPr>
        <w:t>Residential Zones </w:t>
      </w:r>
      <w:r>
        <w:rPr>
          <w:w w:val="105"/>
          <w:sz w:val="21"/>
        </w:rPr>
        <w:t>(Fact Sheet, </w:t>
      </w:r>
      <w:r>
        <w:rPr>
          <w:spacing w:val="-3"/>
          <w:w w:val="105"/>
          <w:sz w:val="21"/>
        </w:rPr>
        <w:t>March</w:t>
      </w:r>
      <w:r>
        <w:rPr>
          <w:spacing w:val="6"/>
          <w:w w:val="105"/>
          <w:sz w:val="21"/>
        </w:rPr>
        <w:t> </w:t>
      </w:r>
      <w:r>
        <w:rPr>
          <w:spacing w:val="-8"/>
          <w:w w:val="105"/>
          <w:sz w:val="21"/>
        </w:rPr>
        <w:t>2017)</w:t>
      </w:r>
    </w:p>
    <w:p>
      <w:pPr>
        <w:pStyle w:val="BodyText"/>
        <w:spacing w:line="242" w:lineRule="auto" w:before="4"/>
        <w:ind w:left="1927" w:right="1886"/>
      </w:pPr>
      <w:r>
        <w:rPr/>
        <w:t>&lt;https://</w:t>
      </w:r>
      <w:hyperlink r:id="rId410">
        <w:r>
          <w:rPr/>
          <w:t>www.planning.vic.gov.au/policy-and-strategy/planning-reform/reformed-zones-for-</w:t>
        </w:r>
      </w:hyperlink>
      <w:r>
        <w:rPr/>
        <w:t> victoria/reformed-residential-zones&gt;</w:t>
      </w:r>
    </w:p>
    <w:p>
      <w:pPr>
        <w:pStyle w:val="ListParagraph"/>
        <w:numPr>
          <w:ilvl w:val="0"/>
          <w:numId w:val="216"/>
        </w:numPr>
        <w:tabs>
          <w:tab w:pos="1927" w:val="left" w:leader="none"/>
          <w:tab w:pos="1928" w:val="left" w:leader="none"/>
        </w:tabs>
        <w:spacing w:line="240" w:lineRule="auto" w:before="104" w:after="0"/>
        <w:ind w:left="1927" w:right="0" w:hanging="340"/>
        <w:jc w:val="left"/>
        <w:rPr>
          <w:sz w:val="21"/>
        </w:rPr>
      </w:pPr>
      <w:r>
        <w:rPr>
          <w:i/>
          <w:w w:val="105"/>
          <w:sz w:val="21"/>
        </w:rPr>
        <w:t>Get a </w:t>
      </w:r>
      <w:r>
        <w:rPr>
          <w:i/>
          <w:spacing w:val="-3"/>
          <w:w w:val="105"/>
          <w:sz w:val="21"/>
        </w:rPr>
        <w:t>Planning </w:t>
      </w:r>
      <w:r>
        <w:rPr>
          <w:i/>
          <w:w w:val="105"/>
          <w:sz w:val="21"/>
        </w:rPr>
        <w:t>Report Anytime, Anywhere </w:t>
      </w:r>
      <w:r>
        <w:rPr>
          <w:i/>
          <w:spacing w:val="2"/>
          <w:w w:val="105"/>
          <w:sz w:val="21"/>
        </w:rPr>
        <w:t>(</w:t>
      </w:r>
      <w:r>
        <w:rPr>
          <w:spacing w:val="2"/>
          <w:w w:val="105"/>
          <w:sz w:val="21"/>
        </w:rPr>
        <w:t>Web </w:t>
      </w:r>
      <w:r>
        <w:rPr>
          <w:spacing w:val="-3"/>
          <w:w w:val="105"/>
          <w:sz w:val="21"/>
        </w:rPr>
        <w:t>Page, </w:t>
      </w:r>
      <w:r>
        <w:rPr>
          <w:spacing w:val="-5"/>
          <w:w w:val="105"/>
          <w:sz w:val="21"/>
        </w:rPr>
        <w:t>27</w:t>
      </w:r>
      <w:r>
        <w:rPr>
          <w:spacing w:val="14"/>
          <w:w w:val="105"/>
          <w:sz w:val="21"/>
        </w:rPr>
        <w:t> </w:t>
      </w:r>
      <w:r>
        <w:rPr>
          <w:w w:val="105"/>
          <w:sz w:val="21"/>
        </w:rPr>
        <w:t>April </w:t>
      </w:r>
      <w:r>
        <w:rPr>
          <w:spacing w:val="-5"/>
          <w:w w:val="105"/>
          <w:sz w:val="21"/>
        </w:rPr>
        <w:t>2018)</w:t>
      </w:r>
    </w:p>
    <w:p>
      <w:pPr>
        <w:pStyle w:val="BodyText"/>
        <w:spacing w:line="242" w:lineRule="auto" w:before="4"/>
        <w:ind w:left="1927" w:right="1974"/>
      </w:pPr>
      <w:r>
        <w:rPr/>
        <w:t>&lt;https://</w:t>
      </w:r>
      <w:hyperlink r:id="rId411">
        <w:r>
          <w:rPr/>
          <w:t>www.planning.vic.gov.au/schemes-and-amendments/get-information-about-your-</w:t>
        </w:r>
      </w:hyperlink>
      <w:r>
        <w:rPr/>
        <w:t> </w:t>
      </w:r>
      <w:r>
        <w:rPr>
          <w:w w:val="105"/>
        </w:rPr>
        <w:t>planning-scheme/planningvic-planning-property-report-mobile-app&gt;</w:t>
      </w:r>
    </w:p>
    <w:p>
      <w:pPr>
        <w:pStyle w:val="ListParagraph"/>
        <w:numPr>
          <w:ilvl w:val="0"/>
          <w:numId w:val="216"/>
        </w:numPr>
        <w:tabs>
          <w:tab w:pos="1927" w:val="left" w:leader="none"/>
          <w:tab w:pos="1928" w:val="left" w:leader="none"/>
        </w:tabs>
        <w:spacing w:line="242" w:lineRule="auto" w:before="104" w:after="0"/>
        <w:ind w:left="1927" w:right="2835" w:hanging="340"/>
        <w:jc w:val="left"/>
        <w:rPr>
          <w:sz w:val="21"/>
        </w:rPr>
      </w:pPr>
      <w:r>
        <w:rPr>
          <w:i/>
          <w:spacing w:val="-3"/>
          <w:w w:val="105"/>
          <w:sz w:val="21"/>
        </w:rPr>
        <w:t>Guidelines </w:t>
      </w:r>
      <w:r>
        <w:rPr>
          <w:i/>
          <w:w w:val="105"/>
          <w:sz w:val="21"/>
        </w:rPr>
        <w:t>for the Removal, Destruction or </w:t>
      </w:r>
      <w:r>
        <w:rPr>
          <w:i/>
          <w:spacing w:val="-3"/>
          <w:w w:val="105"/>
          <w:sz w:val="21"/>
        </w:rPr>
        <w:t>Lopping of Native Vegetation </w:t>
      </w:r>
      <w:r>
        <w:rPr>
          <w:w w:val="105"/>
          <w:sz w:val="21"/>
        </w:rPr>
        <w:t>(Report, December</w:t>
      </w:r>
      <w:r>
        <w:rPr>
          <w:spacing w:val="5"/>
          <w:w w:val="105"/>
          <w:sz w:val="21"/>
        </w:rPr>
        <w:t> </w:t>
      </w:r>
      <w:r>
        <w:rPr>
          <w:spacing w:val="-7"/>
          <w:w w:val="105"/>
          <w:sz w:val="21"/>
        </w:rPr>
        <w:t>2017)</w:t>
      </w:r>
    </w:p>
    <w:p>
      <w:pPr>
        <w:pStyle w:val="ListParagraph"/>
        <w:numPr>
          <w:ilvl w:val="0"/>
          <w:numId w:val="216"/>
        </w:numPr>
        <w:tabs>
          <w:tab w:pos="1927" w:val="left" w:leader="none"/>
          <w:tab w:pos="1928" w:val="left" w:leader="none"/>
        </w:tabs>
        <w:spacing w:line="242" w:lineRule="auto" w:before="104" w:after="0"/>
        <w:ind w:left="1927" w:right="1619" w:hanging="340"/>
        <w:jc w:val="left"/>
        <w:rPr>
          <w:sz w:val="21"/>
        </w:rPr>
      </w:pPr>
      <w:r>
        <w:rPr>
          <w:i/>
          <w:w w:val="105"/>
          <w:sz w:val="21"/>
        </w:rPr>
        <w:t>Heritage</w:t>
      </w:r>
      <w:r>
        <w:rPr>
          <w:i/>
          <w:spacing w:val="-20"/>
          <w:w w:val="105"/>
          <w:sz w:val="21"/>
        </w:rPr>
        <w:t> </w:t>
      </w:r>
      <w:r>
        <w:rPr>
          <w:i/>
          <w:w w:val="105"/>
          <w:sz w:val="21"/>
        </w:rPr>
        <w:t>Victoria</w:t>
      </w:r>
      <w:r>
        <w:rPr>
          <w:i/>
          <w:spacing w:val="-20"/>
          <w:w w:val="105"/>
          <w:sz w:val="21"/>
        </w:rPr>
        <w:t> </w:t>
      </w:r>
      <w:r>
        <w:rPr>
          <w:w w:val="105"/>
          <w:sz w:val="21"/>
        </w:rPr>
        <w:t>(Web</w:t>
      </w:r>
      <w:r>
        <w:rPr>
          <w:spacing w:val="-20"/>
          <w:w w:val="105"/>
          <w:sz w:val="21"/>
        </w:rPr>
        <w:t> </w:t>
      </w:r>
      <w:r>
        <w:rPr>
          <w:spacing w:val="-3"/>
          <w:w w:val="105"/>
          <w:sz w:val="21"/>
        </w:rPr>
        <w:t>Page,</w:t>
      </w:r>
      <w:r>
        <w:rPr>
          <w:spacing w:val="-19"/>
          <w:w w:val="105"/>
          <w:sz w:val="21"/>
        </w:rPr>
        <w:t> </w:t>
      </w:r>
      <w:r>
        <w:rPr>
          <w:w w:val="105"/>
          <w:sz w:val="21"/>
        </w:rPr>
        <w:t>9</w:t>
      </w:r>
      <w:r>
        <w:rPr>
          <w:spacing w:val="-20"/>
          <w:w w:val="105"/>
          <w:sz w:val="21"/>
        </w:rPr>
        <w:t> </w:t>
      </w:r>
      <w:r>
        <w:rPr>
          <w:w w:val="105"/>
          <w:sz w:val="21"/>
        </w:rPr>
        <w:t>July</w:t>
      </w:r>
      <w:r>
        <w:rPr>
          <w:spacing w:val="-20"/>
          <w:w w:val="105"/>
          <w:sz w:val="21"/>
        </w:rPr>
        <w:t> </w:t>
      </w:r>
      <w:r>
        <w:rPr>
          <w:spacing w:val="-5"/>
          <w:w w:val="105"/>
          <w:sz w:val="21"/>
        </w:rPr>
        <w:t>2018)</w:t>
      </w:r>
      <w:r>
        <w:rPr>
          <w:spacing w:val="-19"/>
          <w:w w:val="105"/>
          <w:sz w:val="21"/>
        </w:rPr>
        <w:t> </w:t>
      </w:r>
      <w:r>
        <w:rPr>
          <w:w w:val="105"/>
          <w:sz w:val="21"/>
        </w:rPr>
        <w:t>&lt;https://</w:t>
      </w:r>
      <w:hyperlink r:id="rId412">
        <w:r>
          <w:rPr>
            <w:w w:val="105"/>
            <w:sz w:val="21"/>
          </w:rPr>
          <w:t>www.heritage.vic.gov.au/about-heritage-in-</w:t>
        </w:r>
      </w:hyperlink>
      <w:r>
        <w:rPr>
          <w:w w:val="105"/>
          <w:sz w:val="21"/>
        </w:rPr>
        <w:t> victoria/heritage-in-victoria&gt;</w:t>
      </w:r>
    </w:p>
    <w:p>
      <w:pPr>
        <w:pStyle w:val="ListParagraph"/>
        <w:numPr>
          <w:ilvl w:val="0"/>
          <w:numId w:val="216"/>
        </w:numPr>
        <w:tabs>
          <w:tab w:pos="1929" w:val="left" w:leader="none"/>
        </w:tabs>
        <w:spacing w:line="242" w:lineRule="auto" w:before="104" w:after="0"/>
        <w:ind w:left="1928" w:right="1923" w:hanging="341"/>
        <w:jc w:val="both"/>
        <w:rPr>
          <w:sz w:val="21"/>
        </w:rPr>
      </w:pPr>
      <w:r>
        <w:rPr>
          <w:i/>
          <w:sz w:val="21"/>
        </w:rPr>
        <w:t>I Need to Secure an Offset </w:t>
      </w:r>
      <w:r>
        <w:rPr>
          <w:sz w:val="21"/>
        </w:rPr>
        <w:t>(Web </w:t>
      </w:r>
      <w:r>
        <w:rPr>
          <w:spacing w:val="-3"/>
          <w:sz w:val="21"/>
        </w:rPr>
        <w:t>Page, </w:t>
      </w:r>
      <w:r>
        <w:rPr>
          <w:sz w:val="21"/>
        </w:rPr>
        <w:t>2 </w:t>
      </w:r>
      <w:r>
        <w:rPr>
          <w:spacing w:val="-2"/>
          <w:sz w:val="21"/>
        </w:rPr>
        <w:t>May </w:t>
      </w:r>
      <w:r>
        <w:rPr>
          <w:spacing w:val="-5"/>
          <w:sz w:val="21"/>
        </w:rPr>
        <w:t>2019) </w:t>
      </w:r>
      <w:r>
        <w:rPr>
          <w:sz w:val="21"/>
        </w:rPr>
        <w:t>&lt;https://</w:t>
      </w:r>
      <w:hyperlink r:id="rId413">
        <w:r>
          <w:rPr>
            <w:sz w:val="21"/>
          </w:rPr>
          <w:t>www.environment.vic.gov.au/</w:t>
        </w:r>
      </w:hyperlink>
      <w:r>
        <w:rPr>
          <w:sz w:val="21"/>
        </w:rPr>
        <w:t> </w:t>
      </w:r>
      <w:r>
        <w:rPr>
          <w:spacing w:val="-1"/>
          <w:sz w:val="21"/>
        </w:rPr>
        <w:t>native-vegetation/native-vegetation/offsets-for-the-removal-of-native-vegetation/i-need-to- </w:t>
      </w:r>
      <w:r>
        <w:rPr>
          <w:sz w:val="21"/>
        </w:rPr>
        <w:t>secure-an-offset&gt;</w:t>
      </w:r>
    </w:p>
    <w:p>
      <w:pPr>
        <w:pStyle w:val="ListParagraph"/>
        <w:numPr>
          <w:ilvl w:val="0"/>
          <w:numId w:val="216"/>
        </w:numPr>
        <w:tabs>
          <w:tab w:pos="1927" w:val="left" w:leader="none"/>
          <w:tab w:pos="1929" w:val="left" w:leader="none"/>
        </w:tabs>
        <w:spacing w:line="242" w:lineRule="auto" w:before="106" w:after="0"/>
        <w:ind w:left="1928" w:right="2232" w:hanging="341"/>
        <w:jc w:val="left"/>
        <w:rPr>
          <w:sz w:val="21"/>
        </w:rPr>
      </w:pPr>
      <w:r>
        <w:rPr>
          <w:i/>
          <w:spacing w:val="-4"/>
          <w:sz w:val="21"/>
        </w:rPr>
        <w:t>Land.vic.gov.au </w:t>
      </w:r>
      <w:r>
        <w:rPr>
          <w:sz w:val="21"/>
        </w:rPr>
        <w:t>(Web </w:t>
      </w:r>
      <w:r>
        <w:rPr>
          <w:spacing w:val="-3"/>
          <w:sz w:val="21"/>
        </w:rPr>
        <w:t>Page, </w:t>
      </w:r>
      <w:r>
        <w:rPr>
          <w:spacing w:val="-7"/>
          <w:sz w:val="21"/>
        </w:rPr>
        <w:t>2017) </w:t>
      </w:r>
      <w:r>
        <w:rPr>
          <w:sz w:val="21"/>
        </w:rPr>
        <w:t>&lt;https://services.land.vic.gov.au/landchannel/content/ </w:t>
      </w:r>
      <w:r>
        <w:rPr>
          <w:w w:val="105"/>
          <w:sz w:val="21"/>
        </w:rPr>
        <w:t>addressSearch&gt;</w:t>
      </w:r>
    </w:p>
    <w:p>
      <w:pPr>
        <w:spacing w:before="158"/>
        <w:ind w:left="720" w:right="0" w:firstLine="0"/>
        <w:jc w:val="left"/>
        <w:rPr>
          <w:b/>
          <w:sz w:val="24"/>
        </w:rPr>
      </w:pPr>
      <w:r>
        <w:rPr>
          <w:b/>
          <w:color w:val="658464"/>
          <w:w w:val="110"/>
          <w:sz w:val="24"/>
        </w:rPr>
        <w:t>316</w:t>
      </w:r>
    </w:p>
    <w:p>
      <w:pPr>
        <w:spacing w:after="0"/>
        <w:jc w:val="left"/>
        <w:rPr>
          <w:sz w:val="24"/>
        </w:rPr>
        <w:sectPr>
          <w:pgSz w:w="11910" w:h="16840"/>
          <w:pgMar w:header="546" w:footer="0" w:top="1560" w:bottom="280" w:left="0" w:right="0"/>
        </w:sectPr>
      </w:pPr>
    </w:p>
    <w:p>
      <w:pPr>
        <w:pStyle w:val="BodyText"/>
        <w:spacing w:before="5"/>
        <w:rPr>
          <w:b/>
        </w:rPr>
      </w:pPr>
    </w:p>
    <w:p>
      <w:pPr>
        <w:pStyle w:val="ListParagraph"/>
        <w:numPr>
          <w:ilvl w:val="0"/>
          <w:numId w:val="217"/>
        </w:numPr>
        <w:tabs>
          <w:tab w:pos="1927" w:val="left" w:leader="none"/>
          <w:tab w:pos="1928" w:val="left" w:leader="none"/>
        </w:tabs>
        <w:spacing w:line="242" w:lineRule="auto" w:before="93" w:after="0"/>
        <w:ind w:left="1927" w:right="1618" w:hanging="340"/>
        <w:jc w:val="left"/>
        <w:rPr>
          <w:sz w:val="21"/>
        </w:rPr>
      </w:pPr>
      <w:r>
        <w:rPr>
          <w:i/>
          <w:w w:val="105"/>
          <w:sz w:val="21"/>
        </w:rPr>
        <w:t>Managing Overshadowing </w:t>
      </w:r>
      <w:r>
        <w:rPr>
          <w:i/>
          <w:spacing w:val="-3"/>
          <w:w w:val="105"/>
          <w:sz w:val="21"/>
        </w:rPr>
        <w:t>Risk </w:t>
      </w:r>
      <w:r>
        <w:rPr>
          <w:i/>
          <w:w w:val="105"/>
          <w:sz w:val="21"/>
        </w:rPr>
        <w:t>When </w:t>
      </w:r>
      <w:r>
        <w:rPr>
          <w:i/>
          <w:spacing w:val="-3"/>
          <w:w w:val="105"/>
          <w:sz w:val="21"/>
        </w:rPr>
        <w:t>Installing </w:t>
      </w:r>
      <w:r>
        <w:rPr>
          <w:i/>
          <w:w w:val="105"/>
          <w:sz w:val="21"/>
        </w:rPr>
        <w:t>a Rooftop Solar System: A Home Owners </w:t>
      </w:r>
      <w:r>
        <w:rPr>
          <w:i/>
          <w:spacing w:val="-3"/>
          <w:w w:val="105"/>
          <w:sz w:val="21"/>
        </w:rPr>
        <w:t>Guide</w:t>
      </w:r>
      <w:r>
        <w:rPr>
          <w:i/>
          <w:spacing w:val="-31"/>
          <w:w w:val="105"/>
          <w:sz w:val="21"/>
        </w:rPr>
        <w:t> </w:t>
      </w:r>
      <w:r>
        <w:rPr>
          <w:w w:val="105"/>
          <w:sz w:val="21"/>
        </w:rPr>
        <w:t>(Report,</w:t>
      </w:r>
      <w:r>
        <w:rPr>
          <w:spacing w:val="-30"/>
          <w:w w:val="105"/>
          <w:sz w:val="21"/>
        </w:rPr>
        <w:t> </w:t>
      </w:r>
      <w:r>
        <w:rPr>
          <w:w w:val="105"/>
          <w:sz w:val="21"/>
        </w:rPr>
        <w:t>October</w:t>
      </w:r>
      <w:r>
        <w:rPr>
          <w:spacing w:val="-30"/>
          <w:w w:val="105"/>
          <w:sz w:val="21"/>
        </w:rPr>
        <w:t> </w:t>
      </w:r>
      <w:r>
        <w:rPr>
          <w:spacing w:val="-5"/>
          <w:w w:val="105"/>
          <w:sz w:val="21"/>
        </w:rPr>
        <w:t>2018)</w:t>
      </w:r>
      <w:r>
        <w:rPr>
          <w:spacing w:val="-30"/>
          <w:w w:val="105"/>
          <w:sz w:val="21"/>
        </w:rPr>
        <w:t> </w:t>
      </w:r>
      <w:r>
        <w:rPr>
          <w:w w:val="105"/>
          <w:sz w:val="21"/>
        </w:rPr>
        <w:t>&lt;https://</w:t>
      </w:r>
      <w:hyperlink r:id="rId414">
        <w:r>
          <w:rPr>
            <w:w w:val="105"/>
            <w:sz w:val="21"/>
          </w:rPr>
          <w:t>www.planning.vic.gov.au/policy-and-strategy/reducing-</w:t>
        </w:r>
      </w:hyperlink>
      <w:r>
        <w:rPr>
          <w:w w:val="105"/>
          <w:sz w:val="21"/>
        </w:rPr>
        <w:t> overshadowing-on-rooftop-solar-panels&gt;</w:t>
      </w:r>
    </w:p>
    <w:p>
      <w:pPr>
        <w:pStyle w:val="ListParagraph"/>
        <w:numPr>
          <w:ilvl w:val="0"/>
          <w:numId w:val="217"/>
        </w:numPr>
        <w:tabs>
          <w:tab w:pos="1927" w:val="left" w:leader="none"/>
          <w:tab w:pos="1928" w:val="left" w:leader="none"/>
        </w:tabs>
        <w:spacing w:line="240" w:lineRule="auto" w:before="105" w:after="0"/>
        <w:ind w:left="1927" w:right="0" w:hanging="340"/>
        <w:jc w:val="left"/>
        <w:rPr>
          <w:sz w:val="21"/>
        </w:rPr>
      </w:pPr>
      <w:r>
        <w:rPr>
          <w:spacing w:val="-3"/>
          <w:w w:val="105"/>
          <w:sz w:val="21"/>
        </w:rPr>
        <w:t>‘Minimum</w:t>
      </w:r>
      <w:r>
        <w:rPr>
          <w:spacing w:val="5"/>
          <w:w w:val="105"/>
          <w:sz w:val="21"/>
        </w:rPr>
        <w:t> </w:t>
      </w:r>
      <w:r>
        <w:rPr>
          <w:spacing w:val="-3"/>
          <w:w w:val="105"/>
          <w:sz w:val="21"/>
        </w:rPr>
        <w:t>Construction</w:t>
      </w:r>
      <w:r>
        <w:rPr>
          <w:spacing w:val="5"/>
          <w:w w:val="105"/>
          <w:sz w:val="21"/>
        </w:rPr>
        <w:t> </w:t>
      </w:r>
      <w:r>
        <w:rPr>
          <w:spacing w:val="-5"/>
          <w:w w:val="105"/>
          <w:sz w:val="21"/>
        </w:rPr>
        <w:t>Standard’,</w:t>
      </w:r>
      <w:r>
        <w:rPr>
          <w:spacing w:val="5"/>
          <w:w w:val="105"/>
          <w:sz w:val="21"/>
        </w:rPr>
        <w:t> </w:t>
      </w:r>
      <w:r>
        <w:rPr>
          <w:i/>
          <w:spacing w:val="-3"/>
          <w:w w:val="105"/>
          <w:sz w:val="21"/>
        </w:rPr>
        <w:t>Building</w:t>
      </w:r>
      <w:r>
        <w:rPr>
          <w:i/>
          <w:spacing w:val="6"/>
          <w:w w:val="105"/>
          <w:sz w:val="21"/>
        </w:rPr>
        <w:t> </w:t>
      </w:r>
      <w:r>
        <w:rPr>
          <w:i/>
          <w:w w:val="105"/>
          <w:sz w:val="21"/>
        </w:rPr>
        <w:t>in</w:t>
      </w:r>
      <w:r>
        <w:rPr>
          <w:i/>
          <w:spacing w:val="5"/>
          <w:w w:val="105"/>
          <w:sz w:val="21"/>
        </w:rPr>
        <w:t> </w:t>
      </w:r>
      <w:r>
        <w:rPr>
          <w:i/>
          <w:spacing w:val="-3"/>
          <w:w w:val="105"/>
          <w:sz w:val="21"/>
        </w:rPr>
        <w:t>Bushfire</w:t>
      </w:r>
      <w:r>
        <w:rPr>
          <w:i/>
          <w:spacing w:val="5"/>
          <w:w w:val="105"/>
          <w:sz w:val="21"/>
        </w:rPr>
        <w:t> </w:t>
      </w:r>
      <w:r>
        <w:rPr>
          <w:i/>
          <w:w w:val="105"/>
          <w:sz w:val="21"/>
        </w:rPr>
        <w:t>Prone</w:t>
      </w:r>
      <w:r>
        <w:rPr>
          <w:i/>
          <w:spacing w:val="5"/>
          <w:w w:val="105"/>
          <w:sz w:val="21"/>
        </w:rPr>
        <w:t> </w:t>
      </w:r>
      <w:r>
        <w:rPr>
          <w:i/>
          <w:w w:val="105"/>
          <w:sz w:val="21"/>
        </w:rPr>
        <w:t>Areas</w:t>
      </w:r>
      <w:r>
        <w:rPr>
          <w:i/>
          <w:spacing w:val="6"/>
          <w:w w:val="105"/>
          <w:sz w:val="21"/>
        </w:rPr>
        <w:t> </w:t>
      </w:r>
      <w:r>
        <w:rPr>
          <w:w w:val="105"/>
          <w:sz w:val="21"/>
        </w:rPr>
        <w:t>(Web</w:t>
      </w:r>
      <w:r>
        <w:rPr>
          <w:spacing w:val="5"/>
          <w:w w:val="105"/>
          <w:sz w:val="21"/>
        </w:rPr>
        <w:t> </w:t>
      </w:r>
      <w:r>
        <w:rPr>
          <w:spacing w:val="-3"/>
          <w:w w:val="105"/>
          <w:sz w:val="21"/>
        </w:rPr>
        <w:t>Page,</w:t>
      </w:r>
      <w:r>
        <w:rPr>
          <w:spacing w:val="5"/>
          <w:w w:val="105"/>
          <w:sz w:val="21"/>
        </w:rPr>
        <w:t> </w:t>
      </w:r>
      <w:r>
        <w:rPr>
          <w:w w:val="105"/>
          <w:sz w:val="21"/>
        </w:rPr>
        <w:t>4</w:t>
      </w:r>
      <w:r>
        <w:rPr>
          <w:spacing w:val="5"/>
          <w:w w:val="105"/>
          <w:sz w:val="21"/>
        </w:rPr>
        <w:t> </w:t>
      </w:r>
      <w:r>
        <w:rPr>
          <w:w w:val="105"/>
          <w:sz w:val="21"/>
        </w:rPr>
        <w:t>April</w:t>
      </w:r>
      <w:r>
        <w:rPr>
          <w:spacing w:val="6"/>
          <w:w w:val="105"/>
          <w:sz w:val="21"/>
        </w:rPr>
        <w:t> </w:t>
      </w:r>
      <w:r>
        <w:rPr>
          <w:spacing w:val="-5"/>
          <w:w w:val="105"/>
          <w:sz w:val="21"/>
        </w:rPr>
        <w:t>2019)</w:t>
      </w:r>
    </w:p>
    <w:p>
      <w:pPr>
        <w:pStyle w:val="BodyText"/>
        <w:spacing w:line="242" w:lineRule="auto" w:before="4"/>
        <w:ind w:left="1927" w:right="1593"/>
      </w:pPr>
      <w:r>
        <w:rPr/>
        <w:t>&lt;https://</w:t>
      </w:r>
      <w:hyperlink r:id="rId415">
        <w:r>
          <w:rPr/>
          <w:t>www.planning.vic.gov.au/policy-and-strategy/bushfire-protection/building-in-bushfire-</w:t>
        </w:r>
      </w:hyperlink>
      <w:r>
        <w:rPr/>
        <w:t> </w:t>
      </w:r>
      <w:r>
        <w:rPr>
          <w:w w:val="105"/>
        </w:rPr>
        <w:t>prone-areas&gt;</w:t>
      </w:r>
    </w:p>
    <w:p>
      <w:pPr>
        <w:pStyle w:val="ListParagraph"/>
        <w:numPr>
          <w:ilvl w:val="0"/>
          <w:numId w:val="217"/>
        </w:numPr>
        <w:tabs>
          <w:tab w:pos="1927" w:val="left" w:leader="none"/>
          <w:tab w:pos="1928" w:val="left" w:leader="none"/>
        </w:tabs>
        <w:spacing w:line="242" w:lineRule="auto" w:before="104" w:after="0"/>
        <w:ind w:left="1927" w:right="1538" w:hanging="340"/>
        <w:jc w:val="left"/>
        <w:rPr>
          <w:sz w:val="21"/>
        </w:rPr>
      </w:pPr>
      <w:r>
        <w:rPr>
          <w:i/>
          <w:spacing w:val="-3"/>
          <w:w w:val="105"/>
          <w:sz w:val="21"/>
        </w:rPr>
        <w:t>Native</w:t>
      </w:r>
      <w:r>
        <w:rPr>
          <w:i/>
          <w:spacing w:val="-8"/>
          <w:w w:val="105"/>
          <w:sz w:val="21"/>
        </w:rPr>
        <w:t> </w:t>
      </w:r>
      <w:r>
        <w:rPr>
          <w:i/>
          <w:spacing w:val="-3"/>
          <w:w w:val="105"/>
          <w:sz w:val="21"/>
        </w:rPr>
        <w:t>Vegetation</w:t>
      </w:r>
      <w:r>
        <w:rPr>
          <w:i/>
          <w:spacing w:val="-8"/>
          <w:w w:val="105"/>
          <w:sz w:val="21"/>
        </w:rPr>
        <w:t> </w:t>
      </w:r>
      <w:r>
        <w:rPr>
          <w:i/>
          <w:w w:val="105"/>
          <w:sz w:val="21"/>
        </w:rPr>
        <w:t>Credit</w:t>
      </w:r>
      <w:r>
        <w:rPr>
          <w:i/>
          <w:spacing w:val="-8"/>
          <w:w w:val="105"/>
          <w:sz w:val="21"/>
        </w:rPr>
        <w:t> </w:t>
      </w:r>
      <w:r>
        <w:rPr>
          <w:i/>
          <w:w w:val="105"/>
          <w:sz w:val="21"/>
        </w:rPr>
        <w:t>Register:</w:t>
      </w:r>
      <w:r>
        <w:rPr>
          <w:i/>
          <w:spacing w:val="-8"/>
          <w:w w:val="105"/>
          <w:sz w:val="21"/>
        </w:rPr>
        <w:t> </w:t>
      </w:r>
      <w:r>
        <w:rPr>
          <w:i/>
          <w:w w:val="105"/>
          <w:sz w:val="21"/>
        </w:rPr>
        <w:t>Process</w:t>
      </w:r>
      <w:r>
        <w:rPr>
          <w:i/>
          <w:spacing w:val="-8"/>
          <w:w w:val="105"/>
          <w:sz w:val="21"/>
        </w:rPr>
        <w:t> </w:t>
      </w:r>
      <w:r>
        <w:rPr>
          <w:i/>
          <w:w w:val="105"/>
          <w:sz w:val="21"/>
        </w:rPr>
        <w:t>to</w:t>
      </w:r>
      <w:r>
        <w:rPr>
          <w:i/>
          <w:spacing w:val="-8"/>
          <w:w w:val="105"/>
          <w:sz w:val="21"/>
        </w:rPr>
        <w:t> </w:t>
      </w:r>
      <w:r>
        <w:rPr>
          <w:i/>
          <w:w w:val="105"/>
          <w:sz w:val="21"/>
        </w:rPr>
        <w:t>Establish</w:t>
      </w:r>
      <w:r>
        <w:rPr>
          <w:i/>
          <w:spacing w:val="-8"/>
          <w:w w:val="105"/>
          <w:sz w:val="21"/>
        </w:rPr>
        <w:t> </w:t>
      </w:r>
      <w:r>
        <w:rPr>
          <w:i/>
          <w:w w:val="105"/>
          <w:sz w:val="21"/>
        </w:rPr>
        <w:t>a</w:t>
      </w:r>
      <w:r>
        <w:rPr>
          <w:i/>
          <w:spacing w:val="-7"/>
          <w:w w:val="105"/>
          <w:sz w:val="21"/>
        </w:rPr>
        <w:t> </w:t>
      </w:r>
      <w:r>
        <w:rPr>
          <w:i/>
          <w:spacing w:val="-3"/>
          <w:w w:val="105"/>
          <w:sz w:val="21"/>
        </w:rPr>
        <w:t>Native</w:t>
      </w:r>
      <w:r>
        <w:rPr>
          <w:i/>
          <w:spacing w:val="-8"/>
          <w:w w:val="105"/>
          <w:sz w:val="21"/>
        </w:rPr>
        <w:t> </w:t>
      </w:r>
      <w:r>
        <w:rPr>
          <w:i/>
          <w:spacing w:val="-3"/>
          <w:w w:val="105"/>
          <w:sz w:val="21"/>
        </w:rPr>
        <w:t>Vegetation</w:t>
      </w:r>
      <w:r>
        <w:rPr>
          <w:i/>
          <w:spacing w:val="-8"/>
          <w:w w:val="105"/>
          <w:sz w:val="21"/>
        </w:rPr>
        <w:t> </w:t>
      </w:r>
      <w:r>
        <w:rPr>
          <w:i/>
          <w:w w:val="105"/>
          <w:sz w:val="21"/>
        </w:rPr>
        <w:t>Credit</w:t>
      </w:r>
      <w:r>
        <w:rPr>
          <w:i/>
          <w:spacing w:val="-8"/>
          <w:w w:val="105"/>
          <w:sz w:val="21"/>
        </w:rPr>
        <w:t> </w:t>
      </w:r>
      <w:r>
        <w:rPr>
          <w:i/>
          <w:spacing w:val="-3"/>
          <w:w w:val="105"/>
          <w:sz w:val="21"/>
        </w:rPr>
        <w:t>Site</w:t>
      </w:r>
      <w:r>
        <w:rPr>
          <w:i/>
          <w:spacing w:val="-8"/>
          <w:w w:val="105"/>
          <w:sz w:val="21"/>
        </w:rPr>
        <w:t> </w:t>
      </w:r>
      <w:r>
        <w:rPr>
          <w:i/>
          <w:w w:val="105"/>
          <w:sz w:val="21"/>
        </w:rPr>
        <w:t>on</w:t>
      </w:r>
      <w:r>
        <w:rPr>
          <w:i/>
          <w:spacing w:val="-8"/>
          <w:w w:val="105"/>
          <w:sz w:val="21"/>
        </w:rPr>
        <w:t> </w:t>
      </w:r>
      <w:r>
        <w:rPr>
          <w:i/>
          <w:spacing w:val="-3"/>
          <w:w w:val="105"/>
          <w:sz w:val="21"/>
        </w:rPr>
        <w:t>Private </w:t>
      </w:r>
      <w:r>
        <w:rPr>
          <w:i/>
          <w:w w:val="105"/>
          <w:sz w:val="21"/>
        </w:rPr>
        <w:t>Land </w:t>
      </w:r>
      <w:r>
        <w:rPr>
          <w:w w:val="105"/>
          <w:sz w:val="21"/>
        </w:rPr>
        <w:t>(Register) &lt;https://</w:t>
      </w:r>
      <w:hyperlink r:id="rId416">
        <w:r>
          <w:rPr>
            <w:w w:val="105"/>
            <w:sz w:val="21"/>
          </w:rPr>
          <w:t>www.environment.vic.gov.au/native-vegetation/native-vegetation/</w:t>
        </w:r>
      </w:hyperlink>
      <w:r>
        <w:rPr>
          <w:w w:val="105"/>
          <w:sz w:val="21"/>
        </w:rPr>
        <w:t> </w:t>
      </w:r>
      <w:r>
        <w:rPr>
          <w:spacing w:val="-1"/>
          <w:sz w:val="21"/>
        </w:rPr>
        <w:t>offsets-for-the-removal-of-native-vegetation/i-want-to-establish-a-native-vegetation-credit-site&gt;</w:t>
      </w:r>
    </w:p>
    <w:p>
      <w:pPr>
        <w:pStyle w:val="ListParagraph"/>
        <w:numPr>
          <w:ilvl w:val="0"/>
          <w:numId w:val="217"/>
        </w:numPr>
        <w:tabs>
          <w:tab w:pos="1927" w:val="left" w:leader="none"/>
          <w:tab w:pos="1928" w:val="left" w:leader="none"/>
        </w:tabs>
        <w:spacing w:line="242" w:lineRule="auto" w:before="105" w:after="0"/>
        <w:ind w:left="1927" w:right="1794" w:hanging="340"/>
        <w:jc w:val="left"/>
        <w:rPr>
          <w:sz w:val="21"/>
        </w:rPr>
      </w:pPr>
      <w:r>
        <w:rPr>
          <w:i/>
          <w:spacing w:val="-3"/>
          <w:w w:val="105"/>
          <w:sz w:val="21"/>
        </w:rPr>
        <w:t>Native Vegetation </w:t>
      </w:r>
      <w:r>
        <w:rPr>
          <w:i/>
          <w:w w:val="105"/>
          <w:sz w:val="21"/>
        </w:rPr>
        <w:t>Removal </w:t>
      </w:r>
      <w:r>
        <w:rPr>
          <w:i/>
          <w:spacing w:val="-3"/>
          <w:w w:val="105"/>
          <w:sz w:val="21"/>
        </w:rPr>
        <w:t>Regulations—Compliance </w:t>
      </w:r>
      <w:r>
        <w:rPr>
          <w:i/>
          <w:w w:val="105"/>
          <w:sz w:val="21"/>
        </w:rPr>
        <w:t>and </w:t>
      </w:r>
      <w:r>
        <w:rPr>
          <w:i/>
          <w:spacing w:val="-3"/>
          <w:w w:val="105"/>
          <w:sz w:val="21"/>
        </w:rPr>
        <w:t>Enforcement Strategy </w:t>
      </w:r>
      <w:r>
        <w:rPr>
          <w:w w:val="105"/>
          <w:sz w:val="21"/>
        </w:rPr>
        <w:t>(Report, </w:t>
      </w:r>
      <w:r>
        <w:rPr>
          <w:sz w:val="21"/>
        </w:rPr>
        <w:t>December </w:t>
      </w:r>
      <w:r>
        <w:rPr>
          <w:spacing w:val="-7"/>
          <w:sz w:val="21"/>
        </w:rPr>
        <w:t>2017)</w:t>
      </w:r>
      <w:r>
        <w:rPr>
          <w:spacing w:val="27"/>
          <w:sz w:val="21"/>
        </w:rPr>
        <w:t> </w:t>
      </w:r>
      <w:r>
        <w:rPr>
          <w:sz w:val="21"/>
        </w:rPr>
        <w:t>&lt;https://</w:t>
      </w:r>
      <w:hyperlink r:id="rId369">
        <w:r>
          <w:rPr>
            <w:sz w:val="21"/>
          </w:rPr>
          <w:t>www.environment.vic.gov.au/native-vegetation/native-vegetation</w:t>
        </w:r>
      </w:hyperlink>
      <w:r>
        <w:rPr>
          <w:sz w:val="21"/>
        </w:rPr>
        <w:t>&gt;</w:t>
      </w:r>
    </w:p>
    <w:p>
      <w:pPr>
        <w:pStyle w:val="ListParagraph"/>
        <w:numPr>
          <w:ilvl w:val="0"/>
          <w:numId w:val="217"/>
        </w:numPr>
        <w:tabs>
          <w:tab w:pos="1927" w:val="left" w:leader="none"/>
          <w:tab w:pos="1928" w:val="left" w:leader="none"/>
        </w:tabs>
        <w:spacing w:line="240" w:lineRule="auto" w:before="104" w:after="0"/>
        <w:ind w:left="1927" w:right="0" w:hanging="340"/>
        <w:jc w:val="left"/>
        <w:rPr>
          <w:sz w:val="21"/>
        </w:rPr>
      </w:pPr>
      <w:r>
        <w:rPr>
          <w:i/>
          <w:spacing w:val="-3"/>
          <w:w w:val="105"/>
          <w:sz w:val="21"/>
        </w:rPr>
        <w:t>Overarching </w:t>
      </w:r>
      <w:r>
        <w:rPr>
          <w:i/>
          <w:w w:val="105"/>
          <w:sz w:val="21"/>
        </w:rPr>
        <w:t>Report—Residential </w:t>
      </w:r>
      <w:r>
        <w:rPr>
          <w:i/>
          <w:spacing w:val="-3"/>
          <w:w w:val="105"/>
          <w:sz w:val="21"/>
        </w:rPr>
        <w:t>Zones </w:t>
      </w:r>
      <w:r>
        <w:rPr>
          <w:i/>
          <w:spacing w:val="-4"/>
          <w:w w:val="105"/>
          <w:sz w:val="21"/>
        </w:rPr>
        <w:t>State </w:t>
      </w:r>
      <w:r>
        <w:rPr>
          <w:i/>
          <w:w w:val="105"/>
          <w:sz w:val="21"/>
        </w:rPr>
        <w:t>Of </w:t>
      </w:r>
      <w:r>
        <w:rPr>
          <w:i/>
          <w:spacing w:val="-3"/>
          <w:w w:val="105"/>
          <w:sz w:val="21"/>
        </w:rPr>
        <w:t>Play </w:t>
      </w:r>
      <w:r>
        <w:rPr>
          <w:w w:val="105"/>
          <w:sz w:val="21"/>
        </w:rPr>
        <w:t>(Report, </w:t>
      </w:r>
      <w:r>
        <w:rPr>
          <w:spacing w:val="-3"/>
          <w:w w:val="105"/>
          <w:sz w:val="21"/>
        </w:rPr>
        <w:t>28 </w:t>
      </w:r>
      <w:r>
        <w:rPr>
          <w:w w:val="105"/>
          <w:sz w:val="21"/>
        </w:rPr>
        <w:t>November</w:t>
      </w:r>
      <w:r>
        <w:rPr>
          <w:spacing w:val="1"/>
          <w:w w:val="105"/>
          <w:sz w:val="21"/>
        </w:rPr>
        <w:t> </w:t>
      </w:r>
      <w:r>
        <w:rPr>
          <w:spacing w:val="-7"/>
          <w:w w:val="105"/>
          <w:sz w:val="21"/>
        </w:rPr>
        <w:t>2017)</w:t>
      </w:r>
    </w:p>
    <w:p>
      <w:pPr>
        <w:pStyle w:val="BodyText"/>
        <w:spacing w:line="242" w:lineRule="auto" w:before="4"/>
        <w:ind w:left="1927" w:right="1568"/>
      </w:pPr>
      <w:r>
        <w:rPr/>
        <w:t>&lt;https://</w:t>
      </w:r>
      <w:hyperlink r:id="rId417">
        <w:r>
          <w:rPr/>
          <w:t>www.planning.vic.gov.au/panels-and-committees/previous-panels-and-committees/</w:t>
        </w:r>
      </w:hyperlink>
      <w:r>
        <w:rPr/>
        <w:t> managing-residential-development-advisory-committee/residential-zones-state-of-play-reports&gt;</w:t>
      </w:r>
    </w:p>
    <w:p>
      <w:pPr>
        <w:pStyle w:val="ListParagraph"/>
        <w:numPr>
          <w:ilvl w:val="0"/>
          <w:numId w:val="217"/>
        </w:numPr>
        <w:tabs>
          <w:tab w:pos="1927" w:val="left" w:leader="none"/>
          <w:tab w:pos="1928" w:val="left" w:leader="none"/>
        </w:tabs>
        <w:spacing w:line="242" w:lineRule="auto" w:before="104" w:after="0"/>
        <w:ind w:left="1927" w:right="1905" w:hanging="340"/>
        <w:jc w:val="left"/>
        <w:rPr>
          <w:sz w:val="21"/>
        </w:rPr>
      </w:pPr>
      <w:r>
        <w:rPr>
          <w:i/>
          <w:w w:val="105"/>
          <w:sz w:val="21"/>
        </w:rPr>
        <w:t>Permits—Apply</w:t>
      </w:r>
      <w:r>
        <w:rPr>
          <w:i/>
          <w:spacing w:val="-11"/>
          <w:w w:val="105"/>
          <w:sz w:val="21"/>
        </w:rPr>
        <w:t> </w:t>
      </w:r>
      <w:r>
        <w:rPr>
          <w:i/>
          <w:w w:val="105"/>
          <w:sz w:val="21"/>
        </w:rPr>
        <w:t>for</w:t>
      </w:r>
      <w:r>
        <w:rPr>
          <w:i/>
          <w:spacing w:val="-10"/>
          <w:w w:val="105"/>
          <w:sz w:val="21"/>
        </w:rPr>
        <w:t> </w:t>
      </w:r>
      <w:r>
        <w:rPr>
          <w:i/>
          <w:w w:val="105"/>
          <w:sz w:val="21"/>
        </w:rPr>
        <w:t>a</w:t>
      </w:r>
      <w:r>
        <w:rPr>
          <w:i/>
          <w:spacing w:val="-10"/>
          <w:w w:val="105"/>
          <w:sz w:val="21"/>
        </w:rPr>
        <w:t> </w:t>
      </w:r>
      <w:r>
        <w:rPr>
          <w:i/>
          <w:w w:val="105"/>
          <w:sz w:val="21"/>
        </w:rPr>
        <w:t>Permit</w:t>
      </w:r>
      <w:r>
        <w:rPr>
          <w:i/>
          <w:spacing w:val="-10"/>
          <w:w w:val="105"/>
          <w:sz w:val="21"/>
        </w:rPr>
        <w:t> </w:t>
      </w:r>
      <w:r>
        <w:rPr>
          <w:w w:val="105"/>
          <w:sz w:val="21"/>
        </w:rPr>
        <w:t>(Web</w:t>
      </w:r>
      <w:r>
        <w:rPr>
          <w:spacing w:val="-10"/>
          <w:w w:val="105"/>
          <w:sz w:val="21"/>
        </w:rPr>
        <w:t> </w:t>
      </w:r>
      <w:r>
        <w:rPr>
          <w:spacing w:val="-3"/>
          <w:w w:val="105"/>
          <w:sz w:val="21"/>
        </w:rPr>
        <w:t>Page,</w:t>
      </w:r>
      <w:r>
        <w:rPr>
          <w:spacing w:val="-10"/>
          <w:w w:val="105"/>
          <w:sz w:val="21"/>
        </w:rPr>
        <w:t> </w:t>
      </w:r>
      <w:r>
        <w:rPr>
          <w:spacing w:val="-8"/>
          <w:w w:val="105"/>
          <w:sz w:val="21"/>
        </w:rPr>
        <w:t>15</w:t>
      </w:r>
      <w:r>
        <w:rPr>
          <w:spacing w:val="-10"/>
          <w:w w:val="105"/>
          <w:sz w:val="21"/>
        </w:rPr>
        <w:t> </w:t>
      </w:r>
      <w:r>
        <w:rPr>
          <w:spacing w:val="-3"/>
          <w:w w:val="105"/>
          <w:sz w:val="21"/>
        </w:rPr>
        <w:t>March</w:t>
      </w:r>
      <w:r>
        <w:rPr>
          <w:spacing w:val="-10"/>
          <w:w w:val="105"/>
          <w:sz w:val="21"/>
        </w:rPr>
        <w:t> </w:t>
      </w:r>
      <w:r>
        <w:rPr>
          <w:spacing w:val="-5"/>
          <w:w w:val="105"/>
          <w:sz w:val="21"/>
        </w:rPr>
        <w:t>2019)</w:t>
      </w:r>
      <w:r>
        <w:rPr>
          <w:spacing w:val="-10"/>
          <w:w w:val="105"/>
          <w:sz w:val="21"/>
        </w:rPr>
        <w:t> </w:t>
      </w:r>
      <w:r>
        <w:rPr>
          <w:w w:val="105"/>
          <w:sz w:val="21"/>
        </w:rPr>
        <w:t>&lt;https://</w:t>
      </w:r>
      <w:hyperlink r:id="rId418">
        <w:r>
          <w:rPr>
            <w:w w:val="105"/>
            <w:sz w:val="21"/>
          </w:rPr>
          <w:t>www.heritage.vic.gov.au/</w:t>
        </w:r>
      </w:hyperlink>
      <w:r>
        <w:rPr>
          <w:w w:val="105"/>
          <w:sz w:val="21"/>
        </w:rPr>
        <w:t> permits/apply-for-a-permit&gt;</w:t>
      </w:r>
    </w:p>
    <w:p>
      <w:pPr>
        <w:pStyle w:val="ListParagraph"/>
        <w:numPr>
          <w:ilvl w:val="0"/>
          <w:numId w:val="217"/>
        </w:numPr>
        <w:tabs>
          <w:tab w:pos="1927" w:val="left" w:leader="none"/>
          <w:tab w:pos="1928" w:val="left" w:leader="none"/>
        </w:tabs>
        <w:spacing w:line="242" w:lineRule="auto" w:before="104" w:after="0"/>
        <w:ind w:left="1927" w:right="1915" w:hanging="340"/>
        <w:jc w:val="left"/>
        <w:rPr>
          <w:sz w:val="21"/>
        </w:rPr>
      </w:pPr>
      <w:r>
        <w:rPr>
          <w:i/>
          <w:spacing w:val="-3"/>
          <w:w w:val="105"/>
          <w:sz w:val="21"/>
        </w:rPr>
        <w:t>Planning</w:t>
      </w:r>
      <w:r>
        <w:rPr>
          <w:i/>
          <w:spacing w:val="-20"/>
          <w:w w:val="105"/>
          <w:sz w:val="21"/>
        </w:rPr>
        <w:t> </w:t>
      </w:r>
      <w:r>
        <w:rPr>
          <w:i/>
          <w:w w:val="105"/>
          <w:sz w:val="21"/>
        </w:rPr>
        <w:t>Practice</w:t>
      </w:r>
      <w:r>
        <w:rPr>
          <w:i/>
          <w:spacing w:val="-20"/>
          <w:w w:val="105"/>
          <w:sz w:val="21"/>
        </w:rPr>
        <w:t> </w:t>
      </w:r>
      <w:r>
        <w:rPr>
          <w:i/>
          <w:w w:val="105"/>
          <w:sz w:val="21"/>
        </w:rPr>
        <w:t>Notes</w:t>
      </w:r>
      <w:r>
        <w:rPr>
          <w:i/>
          <w:spacing w:val="-19"/>
          <w:w w:val="105"/>
          <w:sz w:val="21"/>
        </w:rPr>
        <w:t> </w:t>
      </w:r>
      <w:r>
        <w:rPr>
          <w:w w:val="105"/>
          <w:sz w:val="21"/>
        </w:rPr>
        <w:t>(Web</w:t>
      </w:r>
      <w:r>
        <w:rPr>
          <w:spacing w:val="-20"/>
          <w:w w:val="105"/>
          <w:sz w:val="21"/>
        </w:rPr>
        <w:t> </w:t>
      </w:r>
      <w:r>
        <w:rPr>
          <w:spacing w:val="-3"/>
          <w:w w:val="105"/>
          <w:sz w:val="21"/>
        </w:rPr>
        <w:t>Page,</w:t>
      </w:r>
      <w:r>
        <w:rPr>
          <w:spacing w:val="-19"/>
          <w:w w:val="105"/>
          <w:sz w:val="21"/>
        </w:rPr>
        <w:t> </w:t>
      </w:r>
      <w:r>
        <w:rPr>
          <w:spacing w:val="-2"/>
          <w:w w:val="105"/>
          <w:sz w:val="21"/>
        </w:rPr>
        <w:t>May</w:t>
      </w:r>
      <w:r>
        <w:rPr>
          <w:spacing w:val="-20"/>
          <w:w w:val="105"/>
          <w:sz w:val="21"/>
        </w:rPr>
        <w:t> </w:t>
      </w:r>
      <w:r>
        <w:rPr>
          <w:spacing w:val="-5"/>
          <w:w w:val="105"/>
          <w:sz w:val="21"/>
        </w:rPr>
        <w:t>2018)</w:t>
      </w:r>
      <w:r>
        <w:rPr>
          <w:spacing w:val="-19"/>
          <w:w w:val="105"/>
          <w:sz w:val="21"/>
        </w:rPr>
        <w:t> </w:t>
      </w:r>
      <w:r>
        <w:rPr>
          <w:w w:val="105"/>
          <w:sz w:val="21"/>
        </w:rPr>
        <w:t>&lt;https://</w:t>
      </w:r>
      <w:hyperlink r:id="rId92">
        <w:r>
          <w:rPr>
            <w:w w:val="105"/>
            <w:sz w:val="21"/>
          </w:rPr>
          <w:t>www.planning.vic.gov.au/resource-</w:t>
        </w:r>
      </w:hyperlink>
      <w:r>
        <w:rPr>
          <w:w w:val="105"/>
          <w:sz w:val="21"/>
        </w:rPr>
        <w:t> library/planning-practice-notes&gt;</w:t>
      </w:r>
    </w:p>
    <w:p>
      <w:pPr>
        <w:pStyle w:val="ListParagraph"/>
        <w:numPr>
          <w:ilvl w:val="0"/>
          <w:numId w:val="217"/>
        </w:numPr>
        <w:tabs>
          <w:tab w:pos="1927" w:val="left" w:leader="none"/>
          <w:tab w:pos="1928" w:val="left" w:leader="none"/>
        </w:tabs>
        <w:spacing w:line="240" w:lineRule="auto" w:before="105" w:after="0"/>
        <w:ind w:left="1927" w:right="0" w:hanging="340"/>
        <w:jc w:val="left"/>
        <w:rPr>
          <w:sz w:val="21"/>
        </w:rPr>
      </w:pPr>
      <w:r>
        <w:rPr>
          <w:w w:val="105"/>
          <w:sz w:val="21"/>
        </w:rPr>
        <w:t>‘Protected </w:t>
      </w:r>
      <w:r>
        <w:rPr>
          <w:spacing w:val="-3"/>
          <w:w w:val="105"/>
          <w:sz w:val="21"/>
        </w:rPr>
        <w:t>Flora </w:t>
      </w:r>
      <w:r>
        <w:rPr>
          <w:spacing w:val="-5"/>
          <w:w w:val="105"/>
          <w:sz w:val="21"/>
        </w:rPr>
        <w:t>Controls’, </w:t>
      </w:r>
      <w:r>
        <w:rPr>
          <w:i/>
          <w:w w:val="105"/>
          <w:sz w:val="21"/>
        </w:rPr>
        <w:t>Conserving Threatened Species </w:t>
      </w:r>
      <w:r>
        <w:rPr>
          <w:w w:val="105"/>
          <w:sz w:val="21"/>
        </w:rPr>
        <w:t>(Web </w:t>
      </w:r>
      <w:r>
        <w:rPr>
          <w:spacing w:val="-3"/>
          <w:w w:val="105"/>
          <w:sz w:val="21"/>
        </w:rPr>
        <w:t>Page, </w:t>
      </w:r>
      <w:r>
        <w:rPr>
          <w:w w:val="105"/>
          <w:sz w:val="21"/>
        </w:rPr>
        <w:t>22 February</w:t>
      </w:r>
      <w:r>
        <w:rPr>
          <w:spacing w:val="42"/>
          <w:w w:val="105"/>
          <w:sz w:val="21"/>
        </w:rPr>
        <w:t> </w:t>
      </w:r>
      <w:r>
        <w:rPr>
          <w:spacing w:val="-5"/>
          <w:w w:val="105"/>
          <w:sz w:val="21"/>
        </w:rPr>
        <w:t>2019)</w:t>
      </w:r>
    </w:p>
    <w:p>
      <w:pPr>
        <w:pStyle w:val="BodyText"/>
        <w:spacing w:line="242" w:lineRule="auto" w:before="3"/>
        <w:ind w:left="1927" w:right="2374"/>
      </w:pPr>
      <w:r>
        <w:rPr/>
        <w:t>&lt;https://</w:t>
      </w:r>
      <w:hyperlink r:id="rId419">
        <w:r>
          <w:rPr/>
          <w:t>www.environment.vic.gov.au/conserving-threatened-species/flora-and-fauna-</w:t>
        </w:r>
      </w:hyperlink>
      <w:r>
        <w:rPr/>
        <w:t> </w:t>
      </w:r>
      <w:r>
        <w:rPr>
          <w:w w:val="105"/>
        </w:rPr>
        <w:t>guarantee-act-1988/protected-flora-controls&gt;</w:t>
      </w:r>
    </w:p>
    <w:p>
      <w:pPr>
        <w:pStyle w:val="ListParagraph"/>
        <w:numPr>
          <w:ilvl w:val="0"/>
          <w:numId w:val="217"/>
        </w:numPr>
        <w:tabs>
          <w:tab w:pos="1927" w:val="left" w:leader="none"/>
          <w:tab w:pos="1928" w:val="left" w:leader="none"/>
        </w:tabs>
        <w:spacing w:line="242" w:lineRule="auto" w:before="104" w:after="0"/>
        <w:ind w:left="1927" w:right="1535" w:hanging="340"/>
        <w:jc w:val="left"/>
        <w:rPr>
          <w:sz w:val="21"/>
        </w:rPr>
      </w:pPr>
      <w:r>
        <w:rPr>
          <w:i/>
          <w:w w:val="105"/>
          <w:sz w:val="21"/>
        </w:rPr>
        <w:t>Protecting </w:t>
      </w:r>
      <w:r>
        <w:rPr>
          <w:i/>
          <w:spacing w:val="-3"/>
          <w:w w:val="105"/>
          <w:sz w:val="21"/>
        </w:rPr>
        <w:t>Residential </w:t>
      </w:r>
      <w:r>
        <w:rPr>
          <w:i/>
          <w:w w:val="105"/>
          <w:sz w:val="21"/>
        </w:rPr>
        <w:t>Rooftop Dwellings </w:t>
      </w:r>
      <w:r>
        <w:rPr>
          <w:w w:val="105"/>
          <w:sz w:val="21"/>
        </w:rPr>
        <w:t>(Web </w:t>
      </w:r>
      <w:r>
        <w:rPr>
          <w:spacing w:val="-3"/>
          <w:w w:val="105"/>
          <w:sz w:val="21"/>
        </w:rPr>
        <w:t>Page, </w:t>
      </w:r>
      <w:r>
        <w:rPr>
          <w:spacing w:val="-12"/>
          <w:w w:val="105"/>
          <w:sz w:val="21"/>
        </w:rPr>
        <w:t>11 </w:t>
      </w:r>
      <w:r>
        <w:rPr>
          <w:w w:val="105"/>
          <w:sz w:val="21"/>
        </w:rPr>
        <w:t>October </w:t>
      </w:r>
      <w:r>
        <w:rPr>
          <w:spacing w:val="-5"/>
          <w:w w:val="105"/>
          <w:sz w:val="21"/>
        </w:rPr>
        <w:t>2018) </w:t>
      </w:r>
      <w:r>
        <w:rPr>
          <w:w w:val="105"/>
          <w:sz w:val="21"/>
        </w:rPr>
        <w:t>&lt;https://www.planning. vic.gov.au/policy-and-strategy/reducing-overshadowing-on-rooftop-solar-panels&gt;</w:t>
      </w:r>
    </w:p>
    <w:p>
      <w:pPr>
        <w:pStyle w:val="ListParagraph"/>
        <w:numPr>
          <w:ilvl w:val="0"/>
          <w:numId w:val="217"/>
        </w:numPr>
        <w:tabs>
          <w:tab w:pos="1927" w:val="left" w:leader="none"/>
          <w:tab w:pos="1928" w:val="left" w:leader="none"/>
        </w:tabs>
        <w:spacing w:line="240" w:lineRule="auto" w:before="105" w:after="0"/>
        <w:ind w:left="1927" w:right="0" w:hanging="340"/>
        <w:jc w:val="left"/>
        <w:rPr>
          <w:sz w:val="21"/>
        </w:rPr>
      </w:pPr>
      <w:r>
        <w:rPr>
          <w:w w:val="105"/>
          <w:sz w:val="21"/>
        </w:rPr>
        <w:t>‘Review of the </w:t>
      </w:r>
      <w:r>
        <w:rPr>
          <w:spacing w:val="-3"/>
          <w:w w:val="105"/>
          <w:sz w:val="21"/>
        </w:rPr>
        <w:t>Flora </w:t>
      </w:r>
      <w:r>
        <w:rPr>
          <w:w w:val="105"/>
          <w:sz w:val="21"/>
        </w:rPr>
        <w:t>and </w:t>
      </w:r>
      <w:r>
        <w:rPr>
          <w:spacing w:val="-4"/>
          <w:w w:val="105"/>
          <w:sz w:val="21"/>
        </w:rPr>
        <w:t>Fauna </w:t>
      </w:r>
      <w:r>
        <w:rPr>
          <w:spacing w:val="-3"/>
          <w:w w:val="105"/>
          <w:sz w:val="21"/>
        </w:rPr>
        <w:t>Guarantee </w:t>
      </w:r>
      <w:r>
        <w:rPr>
          <w:spacing w:val="-4"/>
          <w:w w:val="105"/>
          <w:sz w:val="21"/>
        </w:rPr>
        <w:t>Act’, </w:t>
      </w:r>
      <w:r>
        <w:rPr>
          <w:i/>
          <w:w w:val="105"/>
          <w:sz w:val="21"/>
        </w:rPr>
        <w:t>Engage Victoria </w:t>
      </w:r>
      <w:r>
        <w:rPr>
          <w:w w:val="105"/>
          <w:sz w:val="21"/>
        </w:rPr>
        <w:t>(Web</w:t>
      </w:r>
      <w:r>
        <w:rPr>
          <w:spacing w:val="7"/>
          <w:w w:val="105"/>
          <w:sz w:val="21"/>
        </w:rPr>
        <w:t> </w:t>
      </w:r>
      <w:r>
        <w:rPr>
          <w:w w:val="105"/>
          <w:sz w:val="21"/>
        </w:rPr>
        <w:t>Page)</w:t>
      </w:r>
    </w:p>
    <w:p>
      <w:pPr>
        <w:pStyle w:val="BodyText"/>
        <w:spacing w:before="3"/>
        <w:ind w:left="1927"/>
      </w:pPr>
      <w:r>
        <w:rPr>
          <w:w w:val="105"/>
        </w:rPr>
        <w:t>&lt;https://engage.vic.gov.au/review-flora-and-fauna-guarantee-act-1988&gt;</w:t>
      </w:r>
    </w:p>
    <w:p>
      <w:pPr>
        <w:pStyle w:val="ListParagraph"/>
        <w:numPr>
          <w:ilvl w:val="0"/>
          <w:numId w:val="217"/>
        </w:numPr>
        <w:tabs>
          <w:tab w:pos="1927" w:val="left" w:leader="none"/>
          <w:tab w:pos="1928" w:val="left" w:leader="none"/>
        </w:tabs>
        <w:spacing w:line="242" w:lineRule="auto" w:before="106" w:after="0"/>
        <w:ind w:left="1927" w:right="1881" w:hanging="340"/>
        <w:jc w:val="left"/>
        <w:rPr>
          <w:sz w:val="21"/>
        </w:rPr>
      </w:pPr>
      <w:r>
        <w:rPr>
          <w:i/>
          <w:w w:val="105"/>
          <w:sz w:val="21"/>
        </w:rPr>
        <w:t>Review </w:t>
      </w:r>
      <w:r>
        <w:rPr>
          <w:i/>
          <w:spacing w:val="-3"/>
          <w:w w:val="105"/>
          <w:sz w:val="21"/>
        </w:rPr>
        <w:t>of </w:t>
      </w:r>
      <w:r>
        <w:rPr>
          <w:i/>
          <w:w w:val="105"/>
          <w:sz w:val="21"/>
        </w:rPr>
        <w:t>the Flora and </w:t>
      </w:r>
      <w:r>
        <w:rPr>
          <w:i/>
          <w:spacing w:val="-3"/>
          <w:w w:val="105"/>
          <w:sz w:val="21"/>
        </w:rPr>
        <w:t>Fauna Guarantee </w:t>
      </w:r>
      <w:r>
        <w:rPr>
          <w:i/>
          <w:w w:val="105"/>
          <w:sz w:val="21"/>
        </w:rPr>
        <w:t>Act </w:t>
      </w:r>
      <w:r>
        <w:rPr>
          <w:i/>
          <w:spacing w:val="-3"/>
          <w:w w:val="105"/>
          <w:sz w:val="21"/>
        </w:rPr>
        <w:t>1988: Consultation, Submission </w:t>
      </w:r>
      <w:r>
        <w:rPr>
          <w:i/>
          <w:w w:val="105"/>
          <w:sz w:val="21"/>
        </w:rPr>
        <w:t>and </w:t>
      </w:r>
      <w:r>
        <w:rPr>
          <w:i/>
          <w:spacing w:val="-3"/>
          <w:w w:val="105"/>
          <w:sz w:val="21"/>
        </w:rPr>
        <w:t>Response </w:t>
      </w:r>
      <w:r>
        <w:rPr>
          <w:i/>
          <w:w w:val="105"/>
          <w:sz w:val="21"/>
        </w:rPr>
        <w:t>Summary </w:t>
      </w:r>
      <w:r>
        <w:rPr>
          <w:w w:val="105"/>
          <w:sz w:val="21"/>
        </w:rPr>
        <w:t>(Report, </w:t>
      </w:r>
      <w:r>
        <w:rPr>
          <w:spacing w:val="-7"/>
          <w:w w:val="105"/>
          <w:sz w:val="21"/>
        </w:rPr>
        <w:t>2017)</w:t>
      </w:r>
      <w:r>
        <w:rPr>
          <w:spacing w:val="-39"/>
          <w:w w:val="105"/>
          <w:sz w:val="21"/>
        </w:rPr>
        <w:t> </w:t>
      </w:r>
      <w:r>
        <w:rPr>
          <w:w w:val="105"/>
          <w:sz w:val="21"/>
        </w:rPr>
        <w:t>&lt;https://engage.vic.gov.au/review-flora-and-fauna-guarantee-</w:t>
      </w:r>
    </w:p>
    <w:p>
      <w:pPr>
        <w:pStyle w:val="BodyText"/>
        <w:spacing w:before="2"/>
        <w:ind w:left="1927"/>
      </w:pPr>
      <w:r>
        <w:rPr>
          <w:w w:val="110"/>
        </w:rPr>
        <w:t>act-1988&gt;</w:t>
      </w:r>
    </w:p>
    <w:p>
      <w:pPr>
        <w:pStyle w:val="ListParagraph"/>
        <w:numPr>
          <w:ilvl w:val="0"/>
          <w:numId w:val="217"/>
        </w:numPr>
        <w:tabs>
          <w:tab w:pos="1927" w:val="left" w:leader="none"/>
          <w:tab w:pos="1928" w:val="left" w:leader="none"/>
        </w:tabs>
        <w:spacing w:line="240" w:lineRule="auto" w:before="106" w:after="0"/>
        <w:ind w:left="1927" w:right="0" w:hanging="340"/>
        <w:jc w:val="left"/>
        <w:rPr>
          <w:sz w:val="21"/>
        </w:rPr>
      </w:pPr>
      <w:r>
        <w:rPr>
          <w:i/>
          <w:w w:val="105"/>
          <w:sz w:val="21"/>
        </w:rPr>
        <w:t>Review </w:t>
      </w:r>
      <w:r>
        <w:rPr>
          <w:i/>
          <w:spacing w:val="-3"/>
          <w:w w:val="105"/>
          <w:sz w:val="21"/>
        </w:rPr>
        <w:t>of </w:t>
      </w:r>
      <w:r>
        <w:rPr>
          <w:i/>
          <w:w w:val="105"/>
          <w:sz w:val="21"/>
        </w:rPr>
        <w:t>the Local </w:t>
      </w:r>
      <w:r>
        <w:rPr>
          <w:i/>
          <w:spacing w:val="-3"/>
          <w:w w:val="105"/>
          <w:sz w:val="21"/>
        </w:rPr>
        <w:t>Government </w:t>
      </w:r>
      <w:r>
        <w:rPr>
          <w:i/>
          <w:w w:val="105"/>
          <w:sz w:val="21"/>
        </w:rPr>
        <w:t>Act </w:t>
      </w:r>
      <w:r>
        <w:rPr>
          <w:w w:val="105"/>
          <w:sz w:val="21"/>
        </w:rPr>
        <w:t>(Discussion </w:t>
      </w:r>
      <w:r>
        <w:rPr>
          <w:spacing w:val="-4"/>
          <w:w w:val="105"/>
          <w:sz w:val="21"/>
        </w:rPr>
        <w:t>Paper,</w:t>
      </w:r>
      <w:r>
        <w:rPr>
          <w:w w:val="105"/>
          <w:sz w:val="21"/>
        </w:rPr>
        <w:t> </w:t>
      </w:r>
      <w:r>
        <w:rPr>
          <w:spacing w:val="-6"/>
          <w:w w:val="105"/>
          <w:sz w:val="21"/>
        </w:rPr>
        <w:t>2015)</w:t>
      </w:r>
    </w:p>
    <w:p>
      <w:pPr>
        <w:pStyle w:val="ListParagraph"/>
        <w:numPr>
          <w:ilvl w:val="0"/>
          <w:numId w:val="217"/>
        </w:numPr>
        <w:tabs>
          <w:tab w:pos="1927" w:val="left" w:leader="none"/>
          <w:tab w:pos="1928" w:val="left" w:leader="none"/>
        </w:tabs>
        <w:spacing w:line="240" w:lineRule="auto" w:before="105" w:after="0"/>
        <w:ind w:left="1927" w:right="0" w:hanging="340"/>
        <w:jc w:val="left"/>
        <w:rPr>
          <w:sz w:val="21"/>
        </w:rPr>
      </w:pPr>
      <w:r>
        <w:rPr>
          <w:i/>
          <w:w w:val="105"/>
          <w:sz w:val="21"/>
        </w:rPr>
        <w:t>Review</w:t>
      </w:r>
      <w:r>
        <w:rPr>
          <w:i/>
          <w:spacing w:val="4"/>
          <w:w w:val="105"/>
          <w:sz w:val="21"/>
        </w:rPr>
        <w:t> </w:t>
      </w:r>
      <w:r>
        <w:rPr>
          <w:i/>
          <w:spacing w:val="-3"/>
          <w:w w:val="105"/>
          <w:sz w:val="21"/>
        </w:rPr>
        <w:t>of</w:t>
      </w:r>
      <w:r>
        <w:rPr>
          <w:i/>
          <w:spacing w:val="5"/>
          <w:w w:val="105"/>
          <w:sz w:val="21"/>
        </w:rPr>
        <w:t> </w:t>
      </w:r>
      <w:r>
        <w:rPr>
          <w:i/>
          <w:w w:val="105"/>
          <w:sz w:val="21"/>
        </w:rPr>
        <w:t>the</w:t>
      </w:r>
      <w:r>
        <w:rPr>
          <w:i/>
          <w:spacing w:val="4"/>
          <w:w w:val="105"/>
          <w:sz w:val="21"/>
        </w:rPr>
        <w:t> </w:t>
      </w:r>
      <w:r>
        <w:rPr>
          <w:i/>
          <w:spacing w:val="-3"/>
          <w:w w:val="105"/>
          <w:sz w:val="21"/>
        </w:rPr>
        <w:t>Native</w:t>
      </w:r>
      <w:r>
        <w:rPr>
          <w:i/>
          <w:spacing w:val="5"/>
          <w:w w:val="105"/>
          <w:sz w:val="21"/>
        </w:rPr>
        <w:t> </w:t>
      </w:r>
      <w:r>
        <w:rPr>
          <w:i/>
          <w:spacing w:val="-3"/>
          <w:w w:val="105"/>
          <w:sz w:val="21"/>
        </w:rPr>
        <w:t>Vegetation</w:t>
      </w:r>
      <w:r>
        <w:rPr>
          <w:i/>
          <w:spacing w:val="4"/>
          <w:w w:val="105"/>
          <w:sz w:val="21"/>
        </w:rPr>
        <w:t> </w:t>
      </w:r>
      <w:r>
        <w:rPr>
          <w:i/>
          <w:w w:val="105"/>
          <w:sz w:val="21"/>
        </w:rPr>
        <w:t>Clearing</w:t>
      </w:r>
      <w:r>
        <w:rPr>
          <w:i/>
          <w:spacing w:val="5"/>
          <w:w w:val="105"/>
          <w:sz w:val="21"/>
        </w:rPr>
        <w:t> </w:t>
      </w:r>
      <w:r>
        <w:rPr>
          <w:i/>
          <w:spacing w:val="-3"/>
          <w:w w:val="105"/>
          <w:sz w:val="21"/>
        </w:rPr>
        <w:t>Regulations</w:t>
      </w:r>
      <w:r>
        <w:rPr>
          <w:i/>
          <w:spacing w:val="5"/>
          <w:w w:val="105"/>
          <w:sz w:val="21"/>
        </w:rPr>
        <w:t> </w:t>
      </w:r>
      <w:r>
        <w:rPr>
          <w:w w:val="105"/>
          <w:sz w:val="21"/>
        </w:rPr>
        <w:t>(Web</w:t>
      </w:r>
      <w:r>
        <w:rPr>
          <w:spacing w:val="5"/>
          <w:w w:val="105"/>
          <w:sz w:val="21"/>
        </w:rPr>
        <w:t> </w:t>
      </w:r>
      <w:r>
        <w:rPr>
          <w:spacing w:val="-3"/>
          <w:w w:val="105"/>
          <w:sz w:val="21"/>
        </w:rPr>
        <w:t>Page,</w:t>
      </w:r>
      <w:r>
        <w:rPr>
          <w:spacing w:val="5"/>
          <w:w w:val="105"/>
          <w:sz w:val="21"/>
        </w:rPr>
        <w:t> </w:t>
      </w:r>
      <w:r>
        <w:rPr>
          <w:spacing w:val="-3"/>
          <w:w w:val="105"/>
          <w:sz w:val="21"/>
        </w:rPr>
        <w:t>29</w:t>
      </w:r>
      <w:r>
        <w:rPr>
          <w:spacing w:val="4"/>
          <w:w w:val="105"/>
          <w:sz w:val="21"/>
        </w:rPr>
        <w:t> </w:t>
      </w:r>
      <w:r>
        <w:rPr>
          <w:w w:val="105"/>
          <w:sz w:val="21"/>
        </w:rPr>
        <w:t>October</w:t>
      </w:r>
      <w:r>
        <w:rPr>
          <w:spacing w:val="5"/>
          <w:w w:val="105"/>
          <w:sz w:val="21"/>
        </w:rPr>
        <w:t> </w:t>
      </w:r>
      <w:r>
        <w:rPr>
          <w:spacing w:val="-5"/>
          <w:w w:val="105"/>
          <w:sz w:val="21"/>
        </w:rPr>
        <w:t>2018)</w:t>
      </w:r>
    </w:p>
    <w:p>
      <w:pPr>
        <w:pStyle w:val="BodyText"/>
        <w:spacing w:line="242" w:lineRule="auto" w:before="4"/>
        <w:ind w:left="1927" w:right="1636"/>
      </w:pPr>
      <w:r>
        <w:rPr/>
        <w:t>&lt;https://</w:t>
      </w:r>
      <w:hyperlink r:id="rId420">
        <w:r>
          <w:rPr/>
          <w:t>www.environment.vic.gov.au/native-vegetation/review-of-native-vegetation-clearing-</w:t>
        </w:r>
      </w:hyperlink>
      <w:r>
        <w:rPr/>
        <w:t> </w:t>
      </w:r>
      <w:r>
        <w:rPr>
          <w:w w:val="105"/>
        </w:rPr>
        <w:t>regulations&gt;</w:t>
      </w:r>
    </w:p>
    <w:p>
      <w:pPr>
        <w:pStyle w:val="ListParagraph"/>
        <w:numPr>
          <w:ilvl w:val="0"/>
          <w:numId w:val="217"/>
        </w:numPr>
        <w:tabs>
          <w:tab w:pos="1927" w:val="left" w:leader="none"/>
          <w:tab w:pos="1928" w:val="left" w:leader="none"/>
        </w:tabs>
        <w:spacing w:line="242" w:lineRule="auto" w:before="104" w:after="0"/>
        <w:ind w:left="1927" w:right="1540" w:hanging="340"/>
        <w:jc w:val="left"/>
        <w:rPr>
          <w:sz w:val="21"/>
        </w:rPr>
      </w:pPr>
      <w:r>
        <w:rPr>
          <w:i/>
          <w:spacing w:val="-3"/>
          <w:w w:val="105"/>
          <w:sz w:val="21"/>
        </w:rPr>
        <w:t>Using Victoria’s Planning </w:t>
      </w:r>
      <w:r>
        <w:rPr>
          <w:i/>
          <w:w w:val="105"/>
          <w:sz w:val="21"/>
        </w:rPr>
        <w:t>System </w:t>
      </w:r>
      <w:r>
        <w:rPr>
          <w:w w:val="105"/>
          <w:sz w:val="21"/>
        </w:rPr>
        <w:t>(Guide, </w:t>
      </w:r>
      <w:r>
        <w:rPr>
          <w:spacing w:val="-3"/>
          <w:w w:val="105"/>
          <w:sz w:val="21"/>
        </w:rPr>
        <w:t>28 </w:t>
      </w:r>
      <w:r>
        <w:rPr>
          <w:w w:val="105"/>
          <w:sz w:val="21"/>
        </w:rPr>
        <w:t>May </w:t>
      </w:r>
      <w:r>
        <w:rPr>
          <w:spacing w:val="-6"/>
          <w:w w:val="105"/>
          <w:sz w:val="21"/>
        </w:rPr>
        <w:t>2015) </w:t>
      </w:r>
      <w:r>
        <w:rPr>
          <w:w w:val="105"/>
          <w:sz w:val="21"/>
        </w:rPr>
        <w:t>&lt;</w:t>
      </w:r>
      <w:hyperlink r:id="rId421">
        <w:r>
          <w:rPr>
            <w:w w:val="105"/>
            <w:sz w:val="21"/>
          </w:rPr>
          <w:t>www.planning.vic.gov.au/guide-home/</w:t>
        </w:r>
      </w:hyperlink>
      <w:r>
        <w:rPr>
          <w:w w:val="105"/>
          <w:sz w:val="21"/>
        </w:rPr>
        <w:t> using-victorias-planning-system&gt;</w:t>
      </w:r>
    </w:p>
    <w:p>
      <w:pPr>
        <w:pStyle w:val="ListParagraph"/>
        <w:numPr>
          <w:ilvl w:val="0"/>
          <w:numId w:val="217"/>
        </w:numPr>
        <w:tabs>
          <w:tab w:pos="1927" w:val="left" w:leader="none"/>
          <w:tab w:pos="1928" w:val="left" w:leader="none"/>
        </w:tabs>
        <w:spacing w:line="242" w:lineRule="auto" w:before="104" w:after="0"/>
        <w:ind w:left="1927" w:right="2336" w:hanging="340"/>
        <w:jc w:val="left"/>
        <w:rPr>
          <w:sz w:val="21"/>
        </w:rPr>
      </w:pPr>
      <w:r>
        <w:rPr>
          <w:w w:val="105"/>
          <w:sz w:val="21"/>
        </w:rPr>
        <w:t>‘VicSmart— A </w:t>
      </w:r>
      <w:r>
        <w:rPr>
          <w:spacing w:val="-3"/>
          <w:w w:val="105"/>
          <w:sz w:val="21"/>
        </w:rPr>
        <w:t>Simpler Planning </w:t>
      </w:r>
      <w:r>
        <w:rPr>
          <w:spacing w:val="-2"/>
          <w:w w:val="105"/>
          <w:sz w:val="21"/>
        </w:rPr>
        <w:t>Permit </w:t>
      </w:r>
      <w:r>
        <w:rPr>
          <w:spacing w:val="-4"/>
          <w:w w:val="105"/>
          <w:sz w:val="21"/>
        </w:rPr>
        <w:t>Process’, </w:t>
      </w:r>
      <w:r>
        <w:rPr>
          <w:i/>
          <w:w w:val="105"/>
          <w:sz w:val="21"/>
        </w:rPr>
        <w:t>Permits and </w:t>
      </w:r>
      <w:r>
        <w:rPr>
          <w:i/>
          <w:spacing w:val="-3"/>
          <w:w w:val="105"/>
          <w:sz w:val="21"/>
        </w:rPr>
        <w:t>Applications </w:t>
      </w:r>
      <w:r>
        <w:rPr>
          <w:w w:val="105"/>
          <w:sz w:val="21"/>
        </w:rPr>
        <w:t>(Web </w:t>
      </w:r>
      <w:r>
        <w:rPr>
          <w:spacing w:val="-5"/>
          <w:w w:val="105"/>
          <w:sz w:val="21"/>
        </w:rPr>
        <w:t>Page, </w:t>
      </w:r>
      <w:r>
        <w:rPr>
          <w:spacing w:val="-3"/>
          <w:sz w:val="21"/>
        </w:rPr>
        <w:t>20 March </w:t>
      </w:r>
      <w:r>
        <w:rPr>
          <w:spacing w:val="-5"/>
          <w:sz w:val="21"/>
        </w:rPr>
        <w:t>2019)</w:t>
      </w:r>
      <w:r>
        <w:rPr>
          <w:spacing w:val="-4"/>
          <w:sz w:val="21"/>
        </w:rPr>
        <w:t> </w:t>
      </w:r>
      <w:r>
        <w:rPr>
          <w:sz w:val="21"/>
        </w:rPr>
        <w:t>&lt;https://</w:t>
      </w:r>
      <w:hyperlink r:id="rId257">
        <w:r>
          <w:rPr>
            <w:sz w:val="21"/>
          </w:rPr>
          <w:t>www.planning.vic.gov.au/permits-and-applications/vicsmart</w:t>
        </w:r>
      </w:hyperlink>
      <w:r>
        <w:rPr>
          <w:sz w:val="21"/>
        </w:rPr>
        <w:t>&gt;</w:t>
      </w:r>
    </w:p>
    <w:p>
      <w:pPr>
        <w:pStyle w:val="ListParagraph"/>
        <w:numPr>
          <w:ilvl w:val="0"/>
          <w:numId w:val="217"/>
        </w:numPr>
        <w:tabs>
          <w:tab w:pos="1927" w:val="left" w:leader="none"/>
          <w:tab w:pos="1928" w:val="left" w:leader="none"/>
        </w:tabs>
        <w:spacing w:line="242" w:lineRule="auto" w:before="105" w:after="0"/>
        <w:ind w:left="1927" w:right="1687" w:hanging="340"/>
        <w:jc w:val="left"/>
        <w:rPr>
          <w:sz w:val="21"/>
        </w:rPr>
      </w:pPr>
      <w:r>
        <w:rPr>
          <w:i/>
          <w:w w:val="105"/>
          <w:sz w:val="21"/>
        </w:rPr>
        <w:t>Victoria</w:t>
      </w:r>
      <w:r>
        <w:rPr>
          <w:i/>
          <w:spacing w:val="-30"/>
          <w:w w:val="105"/>
          <w:sz w:val="21"/>
        </w:rPr>
        <w:t> </w:t>
      </w:r>
      <w:r>
        <w:rPr>
          <w:i/>
          <w:spacing w:val="-3"/>
          <w:w w:val="105"/>
          <w:sz w:val="21"/>
        </w:rPr>
        <w:t>Planning</w:t>
      </w:r>
      <w:r>
        <w:rPr>
          <w:i/>
          <w:spacing w:val="-30"/>
          <w:w w:val="105"/>
          <w:sz w:val="21"/>
        </w:rPr>
        <w:t> </w:t>
      </w:r>
      <w:r>
        <w:rPr>
          <w:i/>
          <w:spacing w:val="-3"/>
          <w:w w:val="105"/>
          <w:sz w:val="21"/>
        </w:rPr>
        <w:t>Provisions</w:t>
      </w:r>
      <w:r>
        <w:rPr>
          <w:i/>
          <w:spacing w:val="-29"/>
          <w:w w:val="105"/>
          <w:sz w:val="21"/>
        </w:rPr>
        <w:t> </w:t>
      </w:r>
      <w:r>
        <w:rPr>
          <w:spacing w:val="-11"/>
          <w:w w:val="105"/>
          <w:sz w:val="21"/>
        </w:rPr>
        <w:t>(11</w:t>
      </w:r>
      <w:r>
        <w:rPr>
          <w:spacing w:val="-30"/>
          <w:w w:val="105"/>
          <w:sz w:val="21"/>
        </w:rPr>
        <w:t> </w:t>
      </w:r>
      <w:r>
        <w:rPr>
          <w:w w:val="105"/>
          <w:sz w:val="21"/>
        </w:rPr>
        <w:t>April</w:t>
      </w:r>
      <w:r>
        <w:rPr>
          <w:spacing w:val="-29"/>
          <w:w w:val="105"/>
          <w:sz w:val="21"/>
        </w:rPr>
        <w:t> </w:t>
      </w:r>
      <w:r>
        <w:rPr>
          <w:spacing w:val="-5"/>
          <w:w w:val="105"/>
          <w:sz w:val="21"/>
        </w:rPr>
        <w:t>2019)</w:t>
      </w:r>
      <w:r>
        <w:rPr>
          <w:spacing w:val="-30"/>
          <w:w w:val="105"/>
          <w:sz w:val="21"/>
        </w:rPr>
        <w:t> </w:t>
      </w:r>
      <w:r>
        <w:rPr>
          <w:w w:val="105"/>
          <w:sz w:val="21"/>
        </w:rPr>
        <w:t>&lt;</w:t>
      </w:r>
      <w:hyperlink r:id="rId422">
        <w:r>
          <w:rPr>
            <w:w w:val="105"/>
            <w:sz w:val="21"/>
          </w:rPr>
          <w:t>http://planningschemes.dpcd.vic.gov.au/schemes/</w:t>
        </w:r>
      </w:hyperlink>
      <w:r>
        <w:rPr>
          <w:w w:val="105"/>
          <w:sz w:val="21"/>
        </w:rPr>
        <w:t> vpps&gt;</w:t>
      </w:r>
    </w:p>
    <w:p>
      <w:pPr>
        <w:pStyle w:val="ListParagraph"/>
        <w:numPr>
          <w:ilvl w:val="0"/>
          <w:numId w:val="217"/>
        </w:numPr>
        <w:tabs>
          <w:tab w:pos="1927" w:val="left" w:leader="none"/>
          <w:tab w:pos="1928" w:val="left" w:leader="none"/>
        </w:tabs>
        <w:spacing w:line="242" w:lineRule="auto" w:before="104" w:after="0"/>
        <w:ind w:left="1927" w:right="1710" w:hanging="340"/>
        <w:jc w:val="left"/>
        <w:rPr>
          <w:sz w:val="21"/>
        </w:rPr>
      </w:pPr>
      <w:r>
        <w:rPr>
          <w:i/>
          <w:spacing w:val="-3"/>
          <w:w w:val="105"/>
          <w:sz w:val="21"/>
        </w:rPr>
        <w:t>What</w:t>
      </w:r>
      <w:r>
        <w:rPr>
          <w:i/>
          <w:spacing w:val="-9"/>
          <w:w w:val="105"/>
          <w:sz w:val="21"/>
        </w:rPr>
        <w:t> </w:t>
      </w:r>
      <w:r>
        <w:rPr>
          <w:i/>
          <w:w w:val="105"/>
          <w:sz w:val="21"/>
        </w:rPr>
        <w:t>are</w:t>
      </w:r>
      <w:r>
        <w:rPr>
          <w:i/>
          <w:spacing w:val="-8"/>
          <w:w w:val="105"/>
          <w:sz w:val="21"/>
        </w:rPr>
        <w:t> </w:t>
      </w:r>
      <w:r>
        <w:rPr>
          <w:i/>
          <w:w w:val="105"/>
          <w:sz w:val="21"/>
        </w:rPr>
        <w:t>Green</w:t>
      </w:r>
      <w:r>
        <w:rPr>
          <w:i/>
          <w:spacing w:val="-8"/>
          <w:w w:val="105"/>
          <w:sz w:val="21"/>
        </w:rPr>
        <w:t> </w:t>
      </w:r>
      <w:r>
        <w:rPr>
          <w:i/>
          <w:w w:val="105"/>
          <w:sz w:val="21"/>
        </w:rPr>
        <w:t>Wedges?</w:t>
      </w:r>
      <w:r>
        <w:rPr>
          <w:i/>
          <w:spacing w:val="-8"/>
          <w:w w:val="105"/>
          <w:sz w:val="21"/>
        </w:rPr>
        <w:t> </w:t>
      </w:r>
      <w:r>
        <w:rPr>
          <w:w w:val="105"/>
          <w:sz w:val="21"/>
        </w:rPr>
        <w:t>(Web</w:t>
      </w:r>
      <w:r>
        <w:rPr>
          <w:spacing w:val="-8"/>
          <w:w w:val="105"/>
          <w:sz w:val="21"/>
        </w:rPr>
        <w:t> </w:t>
      </w:r>
      <w:r>
        <w:rPr>
          <w:spacing w:val="-3"/>
          <w:w w:val="105"/>
          <w:sz w:val="21"/>
        </w:rPr>
        <w:t>Page,</w:t>
      </w:r>
      <w:r>
        <w:rPr>
          <w:spacing w:val="-9"/>
          <w:w w:val="105"/>
          <w:sz w:val="21"/>
        </w:rPr>
        <w:t> </w:t>
      </w:r>
      <w:r>
        <w:rPr>
          <w:w w:val="105"/>
          <w:sz w:val="21"/>
        </w:rPr>
        <w:t>5</w:t>
      </w:r>
      <w:r>
        <w:rPr>
          <w:spacing w:val="-8"/>
          <w:w w:val="105"/>
          <w:sz w:val="21"/>
        </w:rPr>
        <w:t> </w:t>
      </w:r>
      <w:r>
        <w:rPr>
          <w:w w:val="105"/>
          <w:sz w:val="21"/>
        </w:rPr>
        <w:t>April</w:t>
      </w:r>
      <w:r>
        <w:rPr>
          <w:spacing w:val="-8"/>
          <w:w w:val="105"/>
          <w:sz w:val="21"/>
        </w:rPr>
        <w:t> </w:t>
      </w:r>
      <w:r>
        <w:rPr>
          <w:spacing w:val="-5"/>
          <w:w w:val="105"/>
          <w:sz w:val="21"/>
        </w:rPr>
        <w:t>2019)</w:t>
      </w:r>
      <w:r>
        <w:rPr>
          <w:spacing w:val="-8"/>
          <w:w w:val="105"/>
          <w:sz w:val="21"/>
        </w:rPr>
        <w:t> </w:t>
      </w:r>
      <w:r>
        <w:rPr>
          <w:w w:val="105"/>
          <w:sz w:val="21"/>
        </w:rPr>
        <w:t>&lt;https://</w:t>
      </w:r>
      <w:hyperlink r:id="rId94">
        <w:r>
          <w:rPr>
            <w:w w:val="105"/>
            <w:sz w:val="21"/>
          </w:rPr>
          <w:t>www.planning.vic.gov.au/policy-</w:t>
        </w:r>
      </w:hyperlink>
      <w:r>
        <w:rPr>
          <w:w w:val="105"/>
          <w:sz w:val="21"/>
        </w:rPr>
        <w:t> and-strategy/green-wedges&gt;</w:t>
      </w:r>
    </w:p>
    <w:p>
      <w:pPr>
        <w:spacing w:line="242" w:lineRule="auto" w:before="104"/>
        <w:ind w:left="1587" w:right="1636" w:firstLine="0"/>
        <w:jc w:val="left"/>
        <w:rPr>
          <w:sz w:val="21"/>
        </w:rPr>
      </w:pPr>
      <w:r>
        <w:rPr>
          <w:i/>
          <w:w w:val="105"/>
          <w:sz w:val="21"/>
        </w:rPr>
        <w:t>Department of Justice and Attorney General (NSW), Review of the Trees (Disputes Between </w:t>
      </w:r>
      <w:r>
        <w:rPr>
          <w:i/>
          <w:w w:val="105"/>
          <w:sz w:val="21"/>
        </w:rPr>
        <w:t>Neighbours) Act 2006 (NSW) </w:t>
      </w:r>
      <w:r>
        <w:rPr>
          <w:w w:val="105"/>
          <w:sz w:val="21"/>
        </w:rPr>
        <w:t>(Report, 2009)</w:t>
      </w:r>
    </w:p>
    <w:p>
      <w:pPr>
        <w:pStyle w:val="BodyText"/>
        <w:spacing w:before="104"/>
        <w:ind w:left="1587"/>
      </w:pPr>
      <w:r>
        <w:rPr>
          <w:w w:val="105"/>
        </w:rPr>
        <w:t>Department of Justice and Attorney-General (Qld),</w:t>
      </w:r>
    </w:p>
    <w:p>
      <w:pPr>
        <w:pStyle w:val="ListParagraph"/>
        <w:numPr>
          <w:ilvl w:val="0"/>
          <w:numId w:val="217"/>
        </w:numPr>
        <w:tabs>
          <w:tab w:pos="1927" w:val="left" w:leader="none"/>
          <w:tab w:pos="1928" w:val="left" w:leader="none"/>
        </w:tabs>
        <w:spacing w:line="240" w:lineRule="auto" w:before="106" w:after="0"/>
        <w:ind w:left="1927" w:right="0" w:hanging="340"/>
        <w:jc w:val="left"/>
        <w:rPr>
          <w:sz w:val="21"/>
        </w:rPr>
      </w:pPr>
      <w:r>
        <w:rPr>
          <w:i/>
          <w:w w:val="105"/>
          <w:sz w:val="21"/>
        </w:rPr>
        <w:t>Form 3: </w:t>
      </w:r>
      <w:r>
        <w:rPr>
          <w:i/>
          <w:spacing w:val="-3"/>
          <w:w w:val="105"/>
          <w:sz w:val="21"/>
        </w:rPr>
        <w:t>Notice </w:t>
      </w:r>
      <w:r>
        <w:rPr>
          <w:i/>
          <w:w w:val="105"/>
          <w:sz w:val="21"/>
        </w:rPr>
        <w:t>For Removal </w:t>
      </w:r>
      <w:r>
        <w:rPr>
          <w:i/>
          <w:spacing w:val="-3"/>
          <w:w w:val="105"/>
          <w:sz w:val="21"/>
        </w:rPr>
        <w:t>of </w:t>
      </w:r>
      <w:r>
        <w:rPr>
          <w:i/>
          <w:w w:val="105"/>
          <w:sz w:val="21"/>
        </w:rPr>
        <w:t>Particular Overhanging </w:t>
      </w:r>
      <w:r>
        <w:rPr>
          <w:i/>
          <w:spacing w:val="-3"/>
          <w:w w:val="105"/>
          <w:sz w:val="21"/>
        </w:rPr>
        <w:t>Branches </w:t>
      </w:r>
      <w:r>
        <w:rPr>
          <w:w w:val="105"/>
          <w:sz w:val="21"/>
        </w:rPr>
        <w:t>(Version </w:t>
      </w:r>
      <w:r>
        <w:rPr>
          <w:spacing w:val="-3"/>
          <w:w w:val="105"/>
          <w:sz w:val="21"/>
        </w:rPr>
        <w:t>3, 29 </w:t>
      </w:r>
      <w:r>
        <w:rPr>
          <w:w w:val="105"/>
          <w:sz w:val="21"/>
        </w:rPr>
        <w:t>October</w:t>
      </w:r>
      <w:r>
        <w:rPr>
          <w:spacing w:val="44"/>
          <w:w w:val="105"/>
          <w:sz w:val="21"/>
        </w:rPr>
        <w:t> </w:t>
      </w:r>
      <w:r>
        <w:rPr>
          <w:spacing w:val="-6"/>
          <w:w w:val="105"/>
          <w:sz w:val="21"/>
        </w:rPr>
        <w:t>2015)</w:t>
      </w:r>
    </w:p>
    <w:p>
      <w:pPr>
        <w:pStyle w:val="ListParagraph"/>
        <w:numPr>
          <w:ilvl w:val="0"/>
          <w:numId w:val="217"/>
        </w:numPr>
        <w:tabs>
          <w:tab w:pos="1927" w:val="left" w:leader="none"/>
          <w:tab w:pos="1928" w:val="left" w:leader="none"/>
        </w:tabs>
        <w:spacing w:line="240" w:lineRule="auto" w:before="106" w:after="0"/>
        <w:ind w:left="1927" w:right="0" w:hanging="340"/>
        <w:jc w:val="left"/>
        <w:rPr>
          <w:sz w:val="21"/>
        </w:rPr>
      </w:pPr>
      <w:r>
        <w:rPr>
          <w:i/>
          <w:w w:val="105"/>
          <w:sz w:val="21"/>
        </w:rPr>
        <w:t>Resolving Neighbourhood </w:t>
      </w:r>
      <w:r>
        <w:rPr>
          <w:i/>
          <w:spacing w:val="-3"/>
          <w:w w:val="105"/>
          <w:sz w:val="21"/>
        </w:rPr>
        <w:t>Disputes’ </w:t>
      </w:r>
      <w:r>
        <w:rPr>
          <w:w w:val="105"/>
          <w:sz w:val="21"/>
        </w:rPr>
        <w:t>(Discussion </w:t>
      </w:r>
      <w:r>
        <w:rPr>
          <w:spacing w:val="-4"/>
          <w:w w:val="105"/>
          <w:sz w:val="21"/>
        </w:rPr>
        <w:t>Paper, </w:t>
      </w:r>
      <w:r>
        <w:rPr>
          <w:w w:val="105"/>
          <w:sz w:val="21"/>
        </w:rPr>
        <w:t>July</w:t>
      </w:r>
      <w:r>
        <w:rPr>
          <w:spacing w:val="35"/>
          <w:w w:val="105"/>
          <w:sz w:val="21"/>
        </w:rPr>
        <w:t> </w:t>
      </w:r>
      <w:r>
        <w:rPr>
          <w:w w:val="105"/>
          <w:sz w:val="21"/>
        </w:rPr>
        <w:t>2008)</w:t>
      </w:r>
    </w:p>
    <w:p>
      <w:pPr>
        <w:pStyle w:val="ListParagraph"/>
        <w:numPr>
          <w:ilvl w:val="0"/>
          <w:numId w:val="217"/>
        </w:numPr>
        <w:tabs>
          <w:tab w:pos="1927" w:val="left" w:leader="none"/>
          <w:tab w:pos="1928" w:val="left" w:leader="none"/>
        </w:tabs>
        <w:spacing w:line="240" w:lineRule="auto" w:before="105" w:after="0"/>
        <w:ind w:left="1927" w:right="0" w:hanging="340"/>
        <w:jc w:val="left"/>
        <w:rPr>
          <w:sz w:val="21"/>
        </w:rPr>
      </w:pPr>
      <w:r>
        <w:rPr>
          <w:i/>
          <w:w w:val="105"/>
          <w:sz w:val="21"/>
        </w:rPr>
        <w:t>Review </w:t>
      </w:r>
      <w:r>
        <w:rPr>
          <w:i/>
          <w:spacing w:val="-3"/>
          <w:w w:val="105"/>
          <w:sz w:val="21"/>
        </w:rPr>
        <w:t>of </w:t>
      </w:r>
      <w:r>
        <w:rPr>
          <w:i/>
          <w:w w:val="105"/>
          <w:sz w:val="21"/>
        </w:rPr>
        <w:t>Neighbourly </w:t>
      </w:r>
      <w:r>
        <w:rPr>
          <w:i/>
          <w:spacing w:val="-3"/>
          <w:w w:val="105"/>
          <w:sz w:val="21"/>
        </w:rPr>
        <w:t>Relations: </w:t>
      </w:r>
      <w:r>
        <w:rPr>
          <w:i/>
          <w:w w:val="105"/>
          <w:sz w:val="21"/>
        </w:rPr>
        <w:t>Dividing Fences </w:t>
      </w:r>
      <w:r>
        <w:rPr>
          <w:w w:val="105"/>
          <w:sz w:val="21"/>
        </w:rPr>
        <w:t>(Discussion </w:t>
      </w:r>
      <w:r>
        <w:rPr>
          <w:spacing w:val="-4"/>
          <w:w w:val="105"/>
          <w:sz w:val="21"/>
        </w:rPr>
        <w:t>Paper, </w:t>
      </w:r>
      <w:r>
        <w:rPr>
          <w:w w:val="105"/>
          <w:sz w:val="21"/>
        </w:rPr>
        <w:t>May</w:t>
      </w:r>
      <w:r>
        <w:rPr>
          <w:spacing w:val="41"/>
          <w:w w:val="105"/>
          <w:sz w:val="21"/>
        </w:rPr>
        <w:t> </w:t>
      </w:r>
      <w:r>
        <w:rPr>
          <w:spacing w:val="-3"/>
          <w:w w:val="105"/>
          <w:sz w:val="21"/>
        </w:rPr>
        <w:t>2007)</w:t>
      </w:r>
    </w:p>
    <w:p>
      <w:pPr>
        <w:spacing w:before="2"/>
        <w:ind w:left="0" w:right="614" w:firstLine="0"/>
        <w:jc w:val="right"/>
        <w:rPr>
          <w:b/>
          <w:sz w:val="24"/>
        </w:rPr>
      </w:pPr>
      <w:r>
        <w:rPr>
          <w:b/>
          <w:color w:val="658464"/>
          <w:w w:val="105"/>
          <w:sz w:val="24"/>
        </w:rPr>
        <w:t>317</w:t>
      </w:r>
    </w:p>
    <w:p>
      <w:pPr>
        <w:spacing w:after="0"/>
        <w:jc w:val="right"/>
        <w:rPr>
          <w:sz w:val="24"/>
        </w:rPr>
        <w:sectPr>
          <w:pgSz w:w="11910" w:h="16840"/>
          <w:pgMar w:header="567" w:footer="0" w:top="1580" w:bottom="280" w:left="0" w:right="0"/>
        </w:sectPr>
      </w:pPr>
    </w:p>
    <w:p>
      <w:pPr>
        <w:pStyle w:val="BodyText"/>
        <w:spacing w:before="8"/>
        <w:rPr>
          <w:b/>
          <w:sz w:val="22"/>
        </w:rPr>
      </w:pPr>
    </w:p>
    <w:p>
      <w:pPr>
        <w:pStyle w:val="ListParagraph"/>
        <w:numPr>
          <w:ilvl w:val="0"/>
          <w:numId w:val="218"/>
        </w:numPr>
        <w:tabs>
          <w:tab w:pos="1927" w:val="left" w:leader="none"/>
          <w:tab w:pos="1928" w:val="left" w:leader="none"/>
        </w:tabs>
        <w:spacing w:line="242" w:lineRule="auto" w:before="93" w:after="0"/>
        <w:ind w:left="1927" w:right="2498" w:hanging="340"/>
        <w:jc w:val="left"/>
        <w:rPr>
          <w:sz w:val="21"/>
        </w:rPr>
      </w:pPr>
      <w:r>
        <w:rPr>
          <w:i/>
          <w:spacing w:val="-4"/>
          <w:w w:val="105"/>
          <w:sz w:val="21"/>
        </w:rPr>
        <w:t>Review of Neighbourly </w:t>
      </w:r>
      <w:r>
        <w:rPr>
          <w:i/>
          <w:spacing w:val="-5"/>
          <w:w w:val="105"/>
          <w:sz w:val="21"/>
        </w:rPr>
        <w:t>Relations: </w:t>
      </w:r>
      <w:r>
        <w:rPr>
          <w:i/>
          <w:spacing w:val="-4"/>
          <w:w w:val="105"/>
          <w:sz w:val="21"/>
        </w:rPr>
        <w:t>Resolving Neighbourhood Disputes </w:t>
      </w:r>
      <w:r>
        <w:rPr>
          <w:spacing w:val="-3"/>
          <w:w w:val="105"/>
          <w:sz w:val="21"/>
        </w:rPr>
        <w:t>(Discussion </w:t>
      </w:r>
      <w:r>
        <w:rPr>
          <w:spacing w:val="-6"/>
          <w:w w:val="105"/>
          <w:sz w:val="21"/>
        </w:rPr>
        <w:t>Paper, </w:t>
      </w:r>
      <w:r>
        <w:rPr>
          <w:spacing w:val="-4"/>
          <w:w w:val="105"/>
          <w:sz w:val="21"/>
        </w:rPr>
        <w:t>May</w:t>
      </w:r>
      <w:r>
        <w:rPr>
          <w:spacing w:val="1"/>
          <w:w w:val="105"/>
          <w:sz w:val="21"/>
        </w:rPr>
        <w:t> </w:t>
      </w:r>
      <w:r>
        <w:rPr>
          <w:spacing w:val="-5"/>
          <w:w w:val="105"/>
          <w:sz w:val="21"/>
        </w:rPr>
        <w:t>2007)</w:t>
      </w:r>
    </w:p>
    <w:p>
      <w:pPr>
        <w:pStyle w:val="ListParagraph"/>
        <w:numPr>
          <w:ilvl w:val="0"/>
          <w:numId w:val="218"/>
        </w:numPr>
        <w:tabs>
          <w:tab w:pos="1927" w:val="left" w:leader="none"/>
          <w:tab w:pos="1928" w:val="left" w:leader="none"/>
        </w:tabs>
        <w:spacing w:line="338" w:lineRule="auto" w:before="104" w:after="0"/>
        <w:ind w:left="1587" w:right="3991" w:firstLine="0"/>
        <w:jc w:val="left"/>
        <w:rPr>
          <w:sz w:val="21"/>
        </w:rPr>
      </w:pPr>
      <w:r>
        <w:rPr>
          <w:i/>
          <w:w w:val="105"/>
          <w:sz w:val="21"/>
        </w:rPr>
        <w:t>Review</w:t>
      </w:r>
      <w:r>
        <w:rPr>
          <w:i/>
          <w:spacing w:val="-8"/>
          <w:w w:val="105"/>
          <w:sz w:val="21"/>
        </w:rPr>
        <w:t> </w:t>
      </w:r>
      <w:r>
        <w:rPr>
          <w:i/>
          <w:spacing w:val="-3"/>
          <w:w w:val="105"/>
          <w:sz w:val="21"/>
        </w:rPr>
        <w:t>of</w:t>
      </w:r>
      <w:r>
        <w:rPr>
          <w:i/>
          <w:spacing w:val="-7"/>
          <w:w w:val="105"/>
          <w:sz w:val="21"/>
        </w:rPr>
        <w:t> </w:t>
      </w:r>
      <w:r>
        <w:rPr>
          <w:i/>
          <w:w w:val="105"/>
          <w:sz w:val="21"/>
        </w:rPr>
        <w:t>Neighbourly</w:t>
      </w:r>
      <w:r>
        <w:rPr>
          <w:i/>
          <w:spacing w:val="-7"/>
          <w:w w:val="105"/>
          <w:sz w:val="21"/>
        </w:rPr>
        <w:t> </w:t>
      </w:r>
      <w:r>
        <w:rPr>
          <w:i/>
          <w:spacing w:val="-3"/>
          <w:w w:val="105"/>
          <w:sz w:val="21"/>
        </w:rPr>
        <w:t>Relations:</w:t>
      </w:r>
      <w:r>
        <w:rPr>
          <w:i/>
          <w:spacing w:val="-8"/>
          <w:w w:val="105"/>
          <w:sz w:val="21"/>
        </w:rPr>
        <w:t> </w:t>
      </w:r>
      <w:r>
        <w:rPr>
          <w:i/>
          <w:spacing w:val="-4"/>
          <w:w w:val="105"/>
          <w:sz w:val="21"/>
        </w:rPr>
        <w:t>Trees</w:t>
      </w:r>
      <w:r>
        <w:rPr>
          <w:i/>
          <w:spacing w:val="-7"/>
          <w:w w:val="105"/>
          <w:sz w:val="21"/>
        </w:rPr>
        <w:t> </w:t>
      </w:r>
      <w:r>
        <w:rPr>
          <w:w w:val="105"/>
          <w:sz w:val="21"/>
        </w:rPr>
        <w:t>(Discussion</w:t>
      </w:r>
      <w:r>
        <w:rPr>
          <w:spacing w:val="-7"/>
          <w:w w:val="105"/>
          <w:sz w:val="21"/>
        </w:rPr>
        <w:t> </w:t>
      </w:r>
      <w:r>
        <w:rPr>
          <w:spacing w:val="-4"/>
          <w:w w:val="105"/>
          <w:sz w:val="21"/>
        </w:rPr>
        <w:t>Paper,</w:t>
      </w:r>
      <w:r>
        <w:rPr>
          <w:spacing w:val="-8"/>
          <w:w w:val="105"/>
          <w:sz w:val="21"/>
        </w:rPr>
        <w:t> </w:t>
      </w:r>
      <w:r>
        <w:rPr>
          <w:w w:val="105"/>
          <w:sz w:val="21"/>
        </w:rPr>
        <w:t>July</w:t>
      </w:r>
      <w:r>
        <w:rPr>
          <w:spacing w:val="-7"/>
          <w:w w:val="105"/>
          <w:sz w:val="21"/>
        </w:rPr>
        <w:t> </w:t>
      </w:r>
      <w:r>
        <w:rPr>
          <w:w w:val="105"/>
          <w:sz w:val="21"/>
        </w:rPr>
        <w:t>2008) Department of Justice and </w:t>
      </w:r>
      <w:r>
        <w:rPr>
          <w:spacing w:val="-3"/>
          <w:w w:val="105"/>
          <w:sz w:val="21"/>
        </w:rPr>
        <w:t>Community </w:t>
      </w:r>
      <w:r>
        <w:rPr>
          <w:w w:val="105"/>
          <w:sz w:val="21"/>
        </w:rPr>
        <w:t>Safety</w:t>
      </w:r>
      <w:r>
        <w:rPr>
          <w:spacing w:val="23"/>
          <w:w w:val="105"/>
          <w:sz w:val="21"/>
        </w:rPr>
        <w:t> </w:t>
      </w:r>
      <w:r>
        <w:rPr>
          <w:w w:val="105"/>
          <w:sz w:val="21"/>
        </w:rPr>
        <w:t>(Vic),</w:t>
      </w:r>
    </w:p>
    <w:p>
      <w:pPr>
        <w:pStyle w:val="ListParagraph"/>
        <w:numPr>
          <w:ilvl w:val="0"/>
          <w:numId w:val="218"/>
        </w:numPr>
        <w:tabs>
          <w:tab w:pos="1927" w:val="left" w:leader="none"/>
          <w:tab w:pos="1928" w:val="left" w:leader="none"/>
        </w:tabs>
        <w:spacing w:line="242" w:lineRule="auto" w:before="1" w:after="0"/>
        <w:ind w:left="1927" w:right="2154" w:hanging="340"/>
        <w:jc w:val="left"/>
        <w:rPr>
          <w:sz w:val="21"/>
        </w:rPr>
      </w:pPr>
      <w:r>
        <w:rPr>
          <w:i/>
          <w:w w:val="105"/>
          <w:sz w:val="21"/>
        </w:rPr>
        <w:t>Courts</w:t>
      </w:r>
      <w:r>
        <w:rPr>
          <w:i/>
          <w:spacing w:val="-11"/>
          <w:w w:val="105"/>
          <w:sz w:val="21"/>
        </w:rPr>
        <w:t> </w:t>
      </w:r>
      <w:r>
        <w:rPr>
          <w:i/>
          <w:w w:val="105"/>
          <w:sz w:val="21"/>
        </w:rPr>
        <w:t>and</w:t>
      </w:r>
      <w:r>
        <w:rPr>
          <w:i/>
          <w:spacing w:val="-10"/>
          <w:w w:val="105"/>
          <w:sz w:val="21"/>
        </w:rPr>
        <w:t> </w:t>
      </w:r>
      <w:r>
        <w:rPr>
          <w:i/>
          <w:spacing w:val="-4"/>
          <w:w w:val="105"/>
          <w:sz w:val="21"/>
        </w:rPr>
        <w:t>Tribunals</w:t>
      </w:r>
      <w:r>
        <w:rPr>
          <w:i/>
          <w:spacing w:val="-11"/>
          <w:w w:val="105"/>
          <w:sz w:val="21"/>
        </w:rPr>
        <w:t> </w:t>
      </w:r>
      <w:r>
        <w:rPr>
          <w:w w:val="105"/>
          <w:sz w:val="21"/>
        </w:rPr>
        <w:t>(Web</w:t>
      </w:r>
      <w:r>
        <w:rPr>
          <w:spacing w:val="-10"/>
          <w:w w:val="105"/>
          <w:sz w:val="21"/>
        </w:rPr>
        <w:t> </w:t>
      </w:r>
      <w:r>
        <w:rPr>
          <w:spacing w:val="-3"/>
          <w:w w:val="105"/>
          <w:sz w:val="21"/>
        </w:rPr>
        <w:t>Page,</w:t>
      </w:r>
      <w:r>
        <w:rPr>
          <w:spacing w:val="-11"/>
          <w:w w:val="105"/>
          <w:sz w:val="21"/>
        </w:rPr>
        <w:t> </w:t>
      </w:r>
      <w:r>
        <w:rPr>
          <w:w w:val="105"/>
          <w:sz w:val="21"/>
        </w:rPr>
        <w:t>9</w:t>
      </w:r>
      <w:r>
        <w:rPr>
          <w:spacing w:val="-10"/>
          <w:w w:val="105"/>
          <w:sz w:val="21"/>
        </w:rPr>
        <w:t> </w:t>
      </w:r>
      <w:r>
        <w:rPr>
          <w:spacing w:val="-2"/>
          <w:w w:val="105"/>
          <w:sz w:val="21"/>
        </w:rPr>
        <w:t>August</w:t>
      </w:r>
      <w:r>
        <w:rPr>
          <w:spacing w:val="-11"/>
          <w:w w:val="105"/>
          <w:sz w:val="21"/>
        </w:rPr>
        <w:t> </w:t>
      </w:r>
      <w:r>
        <w:rPr>
          <w:spacing w:val="-5"/>
          <w:w w:val="105"/>
          <w:sz w:val="21"/>
        </w:rPr>
        <w:t>2018)</w:t>
      </w:r>
      <w:r>
        <w:rPr>
          <w:spacing w:val="-10"/>
          <w:w w:val="105"/>
          <w:sz w:val="21"/>
        </w:rPr>
        <w:t> </w:t>
      </w:r>
      <w:r>
        <w:rPr>
          <w:w w:val="105"/>
          <w:sz w:val="21"/>
        </w:rPr>
        <w:t>&lt;https://</w:t>
      </w:r>
      <w:hyperlink r:id="rId423">
        <w:r>
          <w:rPr>
            <w:w w:val="105"/>
            <w:sz w:val="21"/>
          </w:rPr>
          <w:t>www.justice.vic.gov.au/justice-</w:t>
        </w:r>
      </w:hyperlink>
      <w:r>
        <w:rPr>
          <w:w w:val="105"/>
          <w:sz w:val="21"/>
        </w:rPr>
        <w:t> system/courts-and-tribunals&gt;</w:t>
      </w:r>
    </w:p>
    <w:p>
      <w:pPr>
        <w:pStyle w:val="ListParagraph"/>
        <w:numPr>
          <w:ilvl w:val="0"/>
          <w:numId w:val="218"/>
        </w:numPr>
        <w:tabs>
          <w:tab w:pos="1927" w:val="left" w:leader="none"/>
          <w:tab w:pos="1928" w:val="left" w:leader="none"/>
        </w:tabs>
        <w:spacing w:line="242" w:lineRule="auto" w:before="104" w:after="0"/>
        <w:ind w:left="1927" w:right="1776" w:hanging="340"/>
        <w:jc w:val="left"/>
        <w:rPr>
          <w:sz w:val="21"/>
        </w:rPr>
      </w:pPr>
      <w:r>
        <w:rPr>
          <w:i/>
          <w:w w:val="105"/>
          <w:sz w:val="21"/>
        </w:rPr>
        <w:t>Fencing</w:t>
      </w:r>
      <w:r>
        <w:rPr>
          <w:i/>
          <w:spacing w:val="-16"/>
          <w:w w:val="105"/>
          <w:sz w:val="21"/>
        </w:rPr>
        <w:t> </w:t>
      </w:r>
      <w:r>
        <w:rPr>
          <w:i/>
          <w:w w:val="105"/>
          <w:sz w:val="21"/>
        </w:rPr>
        <w:t>Law</w:t>
      </w:r>
      <w:r>
        <w:rPr>
          <w:i/>
          <w:spacing w:val="-15"/>
          <w:w w:val="105"/>
          <w:sz w:val="21"/>
        </w:rPr>
        <w:t> </w:t>
      </w:r>
      <w:r>
        <w:rPr>
          <w:i/>
          <w:w w:val="105"/>
          <w:sz w:val="21"/>
        </w:rPr>
        <w:t>in</w:t>
      </w:r>
      <w:r>
        <w:rPr>
          <w:i/>
          <w:spacing w:val="-15"/>
          <w:w w:val="105"/>
          <w:sz w:val="21"/>
        </w:rPr>
        <w:t> </w:t>
      </w:r>
      <w:r>
        <w:rPr>
          <w:i/>
          <w:w w:val="105"/>
          <w:sz w:val="21"/>
        </w:rPr>
        <w:t>Victoria</w:t>
      </w:r>
      <w:r>
        <w:rPr>
          <w:i/>
          <w:spacing w:val="-16"/>
          <w:w w:val="105"/>
          <w:sz w:val="21"/>
        </w:rPr>
        <w:t> </w:t>
      </w:r>
      <w:r>
        <w:rPr>
          <w:w w:val="105"/>
          <w:sz w:val="21"/>
        </w:rPr>
        <w:t>(Web</w:t>
      </w:r>
      <w:r>
        <w:rPr>
          <w:spacing w:val="-15"/>
          <w:w w:val="105"/>
          <w:sz w:val="21"/>
        </w:rPr>
        <w:t> </w:t>
      </w:r>
      <w:r>
        <w:rPr>
          <w:spacing w:val="-3"/>
          <w:w w:val="105"/>
          <w:sz w:val="21"/>
        </w:rPr>
        <w:t>Page,</w:t>
      </w:r>
      <w:r>
        <w:rPr>
          <w:spacing w:val="-15"/>
          <w:w w:val="105"/>
          <w:sz w:val="21"/>
        </w:rPr>
        <w:t> </w:t>
      </w:r>
      <w:r>
        <w:rPr>
          <w:spacing w:val="-6"/>
          <w:w w:val="105"/>
          <w:sz w:val="21"/>
        </w:rPr>
        <w:t>31</w:t>
      </w:r>
      <w:r>
        <w:rPr>
          <w:spacing w:val="-16"/>
          <w:w w:val="105"/>
          <w:sz w:val="21"/>
        </w:rPr>
        <w:t> </w:t>
      </w:r>
      <w:r>
        <w:rPr>
          <w:w w:val="105"/>
          <w:sz w:val="21"/>
        </w:rPr>
        <w:t>January</w:t>
      </w:r>
      <w:r>
        <w:rPr>
          <w:spacing w:val="-15"/>
          <w:w w:val="105"/>
          <w:sz w:val="21"/>
        </w:rPr>
        <w:t> </w:t>
      </w:r>
      <w:r>
        <w:rPr>
          <w:spacing w:val="-5"/>
          <w:w w:val="105"/>
          <w:sz w:val="21"/>
        </w:rPr>
        <w:t>2019)</w:t>
      </w:r>
      <w:r>
        <w:rPr>
          <w:spacing w:val="-15"/>
          <w:w w:val="105"/>
          <w:sz w:val="21"/>
        </w:rPr>
        <w:t> </w:t>
      </w:r>
      <w:r>
        <w:rPr>
          <w:w w:val="105"/>
          <w:sz w:val="21"/>
        </w:rPr>
        <w:t>&lt;https://</w:t>
      </w:r>
      <w:hyperlink r:id="rId423">
        <w:r>
          <w:rPr>
            <w:w w:val="105"/>
            <w:sz w:val="21"/>
          </w:rPr>
          <w:t>www.justice.vic.gov.au/justice-</w:t>
        </w:r>
      </w:hyperlink>
      <w:r>
        <w:rPr>
          <w:w w:val="105"/>
          <w:sz w:val="21"/>
        </w:rPr>
        <w:t> system/laws-and-regulation/civil-law/fencing-law-in-victoria&gt;</w:t>
      </w:r>
    </w:p>
    <w:p>
      <w:pPr>
        <w:pStyle w:val="ListParagraph"/>
        <w:numPr>
          <w:ilvl w:val="0"/>
          <w:numId w:val="218"/>
        </w:numPr>
        <w:tabs>
          <w:tab w:pos="1927" w:val="left" w:leader="none"/>
          <w:tab w:pos="1928" w:val="left" w:leader="none"/>
        </w:tabs>
        <w:spacing w:line="242" w:lineRule="auto" w:before="104" w:after="0"/>
        <w:ind w:left="1927" w:right="2069" w:hanging="340"/>
        <w:jc w:val="left"/>
        <w:rPr>
          <w:sz w:val="21"/>
        </w:rPr>
      </w:pPr>
      <w:r>
        <w:rPr>
          <w:i/>
          <w:w w:val="105"/>
          <w:sz w:val="21"/>
        </w:rPr>
        <w:t>Penalties</w:t>
      </w:r>
      <w:r>
        <w:rPr>
          <w:i/>
          <w:spacing w:val="-15"/>
          <w:w w:val="105"/>
          <w:sz w:val="21"/>
        </w:rPr>
        <w:t> </w:t>
      </w:r>
      <w:r>
        <w:rPr>
          <w:i/>
          <w:w w:val="105"/>
          <w:sz w:val="21"/>
        </w:rPr>
        <w:t>and</w:t>
      </w:r>
      <w:r>
        <w:rPr>
          <w:i/>
          <w:spacing w:val="-15"/>
          <w:w w:val="105"/>
          <w:sz w:val="21"/>
        </w:rPr>
        <w:t> </w:t>
      </w:r>
      <w:r>
        <w:rPr>
          <w:i/>
          <w:spacing w:val="-3"/>
          <w:w w:val="105"/>
          <w:sz w:val="21"/>
        </w:rPr>
        <w:t>Values</w:t>
      </w:r>
      <w:r>
        <w:rPr>
          <w:i/>
          <w:spacing w:val="-14"/>
          <w:w w:val="105"/>
          <w:sz w:val="21"/>
        </w:rPr>
        <w:t> </w:t>
      </w:r>
      <w:r>
        <w:rPr>
          <w:w w:val="105"/>
          <w:sz w:val="21"/>
        </w:rPr>
        <w:t>(Web</w:t>
      </w:r>
      <w:r>
        <w:rPr>
          <w:spacing w:val="-14"/>
          <w:w w:val="105"/>
          <w:sz w:val="21"/>
        </w:rPr>
        <w:t> </w:t>
      </w:r>
      <w:r>
        <w:rPr>
          <w:spacing w:val="-3"/>
          <w:w w:val="105"/>
          <w:sz w:val="21"/>
        </w:rPr>
        <w:t>Page,</w:t>
      </w:r>
      <w:r>
        <w:rPr>
          <w:spacing w:val="-15"/>
          <w:w w:val="105"/>
          <w:sz w:val="21"/>
        </w:rPr>
        <w:t> </w:t>
      </w:r>
      <w:r>
        <w:rPr>
          <w:spacing w:val="-7"/>
          <w:w w:val="105"/>
          <w:sz w:val="21"/>
        </w:rPr>
        <w:t>14</w:t>
      </w:r>
      <w:r>
        <w:rPr>
          <w:spacing w:val="-14"/>
          <w:w w:val="105"/>
          <w:sz w:val="21"/>
        </w:rPr>
        <w:t> </w:t>
      </w:r>
      <w:r>
        <w:rPr>
          <w:spacing w:val="-2"/>
          <w:w w:val="105"/>
          <w:sz w:val="21"/>
        </w:rPr>
        <w:t>August</w:t>
      </w:r>
      <w:r>
        <w:rPr>
          <w:spacing w:val="-15"/>
          <w:w w:val="105"/>
          <w:sz w:val="21"/>
        </w:rPr>
        <w:t> </w:t>
      </w:r>
      <w:r>
        <w:rPr>
          <w:spacing w:val="-5"/>
          <w:w w:val="105"/>
          <w:sz w:val="21"/>
        </w:rPr>
        <w:t>2018)</w:t>
      </w:r>
      <w:r>
        <w:rPr>
          <w:spacing w:val="-15"/>
          <w:w w:val="105"/>
          <w:sz w:val="21"/>
        </w:rPr>
        <w:t> </w:t>
      </w:r>
      <w:r>
        <w:rPr>
          <w:w w:val="105"/>
          <w:sz w:val="21"/>
        </w:rPr>
        <w:t>&lt;https://</w:t>
      </w:r>
      <w:hyperlink r:id="rId423">
        <w:r>
          <w:rPr>
            <w:w w:val="105"/>
            <w:sz w:val="21"/>
          </w:rPr>
          <w:t>www.justice.vic.gov.au/justice-</w:t>
        </w:r>
      </w:hyperlink>
      <w:r>
        <w:rPr>
          <w:w w:val="105"/>
          <w:sz w:val="21"/>
        </w:rPr>
        <w:t> system/fines-and-penalties/penalties-and-values&gt;</w:t>
      </w:r>
    </w:p>
    <w:p>
      <w:pPr>
        <w:pStyle w:val="BodyText"/>
        <w:spacing w:before="105"/>
        <w:ind w:left="1587"/>
      </w:pPr>
      <w:r>
        <w:rPr>
          <w:w w:val="105"/>
        </w:rPr>
        <w:t>Department of Justice and Regulation (Vic),</w:t>
      </w:r>
    </w:p>
    <w:p>
      <w:pPr>
        <w:pStyle w:val="ListParagraph"/>
        <w:numPr>
          <w:ilvl w:val="0"/>
          <w:numId w:val="218"/>
        </w:numPr>
        <w:tabs>
          <w:tab w:pos="1927" w:val="left" w:leader="none"/>
          <w:tab w:pos="1928" w:val="left" w:leader="none"/>
        </w:tabs>
        <w:spacing w:line="240" w:lineRule="auto" w:before="105" w:after="0"/>
        <w:ind w:left="1927" w:right="0" w:hanging="340"/>
        <w:jc w:val="left"/>
        <w:rPr>
          <w:sz w:val="21"/>
        </w:rPr>
      </w:pPr>
      <w:r>
        <w:rPr>
          <w:i/>
          <w:w w:val="105"/>
          <w:sz w:val="21"/>
        </w:rPr>
        <w:t>Access to </w:t>
      </w:r>
      <w:r>
        <w:rPr>
          <w:i/>
          <w:spacing w:val="-3"/>
          <w:w w:val="105"/>
          <w:sz w:val="21"/>
        </w:rPr>
        <w:t>Justice </w:t>
      </w:r>
      <w:r>
        <w:rPr>
          <w:i/>
          <w:w w:val="105"/>
          <w:sz w:val="21"/>
        </w:rPr>
        <w:t>Review </w:t>
      </w:r>
      <w:r>
        <w:rPr>
          <w:i/>
          <w:spacing w:val="-3"/>
          <w:w w:val="105"/>
          <w:sz w:val="21"/>
        </w:rPr>
        <w:t>Background </w:t>
      </w:r>
      <w:r>
        <w:rPr>
          <w:i/>
          <w:w w:val="105"/>
          <w:sz w:val="21"/>
        </w:rPr>
        <w:t>Paper—Self-Represented Litigants </w:t>
      </w:r>
      <w:r>
        <w:rPr>
          <w:w w:val="105"/>
          <w:sz w:val="21"/>
        </w:rPr>
        <w:t>(Report,</w:t>
      </w:r>
      <w:r>
        <w:rPr>
          <w:spacing w:val="32"/>
          <w:w w:val="105"/>
          <w:sz w:val="21"/>
        </w:rPr>
        <w:t> </w:t>
      </w:r>
      <w:r>
        <w:rPr>
          <w:spacing w:val="-6"/>
          <w:w w:val="105"/>
          <w:sz w:val="21"/>
        </w:rPr>
        <w:t>2015)</w:t>
      </w:r>
    </w:p>
    <w:p>
      <w:pPr>
        <w:pStyle w:val="ListParagraph"/>
        <w:numPr>
          <w:ilvl w:val="0"/>
          <w:numId w:val="218"/>
        </w:numPr>
        <w:tabs>
          <w:tab w:pos="1927" w:val="left" w:leader="none"/>
          <w:tab w:pos="1928" w:val="left" w:leader="none"/>
        </w:tabs>
        <w:spacing w:line="240" w:lineRule="auto" w:before="106" w:after="0"/>
        <w:ind w:left="1927" w:right="0" w:hanging="340"/>
        <w:jc w:val="left"/>
        <w:rPr>
          <w:sz w:val="21"/>
        </w:rPr>
      </w:pPr>
      <w:r>
        <w:rPr>
          <w:i/>
          <w:w w:val="105"/>
          <w:sz w:val="21"/>
        </w:rPr>
        <w:t>Access</w:t>
      </w:r>
      <w:r>
        <w:rPr>
          <w:i/>
          <w:spacing w:val="4"/>
          <w:w w:val="105"/>
          <w:sz w:val="21"/>
        </w:rPr>
        <w:t> </w:t>
      </w:r>
      <w:r>
        <w:rPr>
          <w:i/>
          <w:w w:val="105"/>
          <w:sz w:val="21"/>
        </w:rPr>
        <w:t>to</w:t>
      </w:r>
      <w:r>
        <w:rPr>
          <w:i/>
          <w:spacing w:val="5"/>
          <w:w w:val="105"/>
          <w:sz w:val="21"/>
        </w:rPr>
        <w:t> </w:t>
      </w:r>
      <w:r>
        <w:rPr>
          <w:i/>
          <w:spacing w:val="-3"/>
          <w:w w:val="105"/>
          <w:sz w:val="21"/>
        </w:rPr>
        <w:t>Justice</w:t>
      </w:r>
      <w:r>
        <w:rPr>
          <w:i/>
          <w:spacing w:val="5"/>
          <w:w w:val="105"/>
          <w:sz w:val="21"/>
        </w:rPr>
        <w:t> </w:t>
      </w:r>
      <w:r>
        <w:rPr>
          <w:i/>
          <w:w w:val="105"/>
          <w:sz w:val="21"/>
        </w:rPr>
        <w:t>Review</w:t>
      </w:r>
      <w:r>
        <w:rPr>
          <w:i/>
          <w:spacing w:val="4"/>
          <w:w w:val="105"/>
          <w:sz w:val="21"/>
        </w:rPr>
        <w:t> </w:t>
      </w:r>
      <w:r>
        <w:rPr>
          <w:i/>
          <w:spacing w:val="-3"/>
          <w:w w:val="105"/>
          <w:sz w:val="21"/>
        </w:rPr>
        <w:t>Background</w:t>
      </w:r>
      <w:r>
        <w:rPr>
          <w:i/>
          <w:spacing w:val="5"/>
          <w:w w:val="105"/>
          <w:sz w:val="21"/>
        </w:rPr>
        <w:t> </w:t>
      </w:r>
      <w:r>
        <w:rPr>
          <w:i/>
          <w:w w:val="105"/>
          <w:sz w:val="21"/>
        </w:rPr>
        <w:t>Paper</w:t>
      </w:r>
      <w:r>
        <w:rPr>
          <w:i/>
          <w:spacing w:val="5"/>
          <w:w w:val="105"/>
          <w:sz w:val="21"/>
        </w:rPr>
        <w:t> </w:t>
      </w:r>
      <w:r>
        <w:rPr>
          <w:i/>
          <w:spacing w:val="-3"/>
          <w:w w:val="105"/>
          <w:sz w:val="21"/>
        </w:rPr>
        <w:t>—VCAT</w:t>
      </w:r>
      <w:r>
        <w:rPr>
          <w:i/>
          <w:spacing w:val="5"/>
          <w:w w:val="105"/>
          <w:sz w:val="21"/>
        </w:rPr>
        <w:t> </w:t>
      </w:r>
      <w:r>
        <w:rPr>
          <w:i/>
          <w:spacing w:val="-3"/>
          <w:w w:val="105"/>
          <w:sz w:val="21"/>
        </w:rPr>
        <w:t>Small</w:t>
      </w:r>
      <w:r>
        <w:rPr>
          <w:i/>
          <w:spacing w:val="4"/>
          <w:w w:val="105"/>
          <w:sz w:val="21"/>
        </w:rPr>
        <w:t> </w:t>
      </w:r>
      <w:r>
        <w:rPr>
          <w:i/>
          <w:w w:val="105"/>
          <w:sz w:val="21"/>
        </w:rPr>
        <w:t>Civil</w:t>
      </w:r>
      <w:r>
        <w:rPr>
          <w:i/>
          <w:spacing w:val="5"/>
          <w:w w:val="105"/>
          <w:sz w:val="21"/>
        </w:rPr>
        <w:t> </w:t>
      </w:r>
      <w:r>
        <w:rPr>
          <w:i/>
          <w:spacing w:val="-3"/>
          <w:w w:val="105"/>
          <w:sz w:val="21"/>
        </w:rPr>
        <w:t>Claims</w:t>
      </w:r>
      <w:r>
        <w:rPr>
          <w:i/>
          <w:spacing w:val="5"/>
          <w:w w:val="105"/>
          <w:sz w:val="21"/>
        </w:rPr>
        <w:t> </w:t>
      </w:r>
      <w:r>
        <w:rPr>
          <w:w w:val="105"/>
          <w:sz w:val="21"/>
        </w:rPr>
        <w:t>(Report)</w:t>
      </w:r>
      <w:r>
        <w:rPr>
          <w:spacing w:val="4"/>
          <w:w w:val="105"/>
          <w:sz w:val="21"/>
        </w:rPr>
        <w:t> </w:t>
      </w:r>
      <w:r>
        <w:rPr>
          <w:w w:val="105"/>
          <w:sz w:val="21"/>
        </w:rPr>
        <w:t>5</w:t>
      </w:r>
    </w:p>
    <w:p>
      <w:pPr>
        <w:pStyle w:val="BodyText"/>
        <w:spacing w:before="4"/>
        <w:ind w:left="1927"/>
      </w:pPr>
      <w:r>
        <w:rPr/>
        <w:t>&lt;https://engage.vic.gov.au/accesstojustice&gt;</w:t>
      </w:r>
    </w:p>
    <w:p>
      <w:pPr>
        <w:pStyle w:val="ListParagraph"/>
        <w:numPr>
          <w:ilvl w:val="0"/>
          <w:numId w:val="218"/>
        </w:numPr>
        <w:tabs>
          <w:tab w:pos="1927" w:val="left" w:leader="none"/>
          <w:tab w:pos="1928" w:val="left" w:leader="none"/>
        </w:tabs>
        <w:spacing w:line="240" w:lineRule="auto" w:before="105" w:after="0"/>
        <w:ind w:left="1927" w:right="0" w:hanging="340"/>
        <w:jc w:val="left"/>
        <w:rPr>
          <w:sz w:val="21"/>
        </w:rPr>
      </w:pPr>
      <w:r>
        <w:rPr>
          <w:i/>
          <w:w w:val="105"/>
          <w:sz w:val="21"/>
        </w:rPr>
        <w:t>Access to </w:t>
      </w:r>
      <w:r>
        <w:rPr>
          <w:i/>
          <w:spacing w:val="-3"/>
          <w:w w:val="105"/>
          <w:sz w:val="21"/>
        </w:rPr>
        <w:t>Justice </w:t>
      </w:r>
      <w:r>
        <w:rPr>
          <w:i/>
          <w:w w:val="105"/>
          <w:sz w:val="21"/>
        </w:rPr>
        <w:t>Review </w:t>
      </w:r>
      <w:r>
        <w:rPr>
          <w:w w:val="105"/>
          <w:sz w:val="21"/>
        </w:rPr>
        <w:t>(Report, </w:t>
      </w:r>
      <w:r>
        <w:rPr>
          <w:spacing w:val="-5"/>
          <w:w w:val="105"/>
          <w:sz w:val="21"/>
        </w:rPr>
        <w:t>2016)</w:t>
      </w:r>
      <w:r>
        <w:rPr>
          <w:spacing w:val="15"/>
          <w:w w:val="105"/>
          <w:sz w:val="21"/>
        </w:rPr>
        <w:t> </w:t>
      </w:r>
      <w:r>
        <w:rPr>
          <w:w w:val="105"/>
          <w:sz w:val="21"/>
        </w:rPr>
        <w:t>&lt;https://engage.vic.gov.au/accesstojustice&gt;</w:t>
      </w:r>
    </w:p>
    <w:p>
      <w:pPr>
        <w:pStyle w:val="BodyText"/>
        <w:spacing w:line="242" w:lineRule="auto" w:before="106"/>
        <w:ind w:left="1587" w:right="1773"/>
      </w:pPr>
      <w:r>
        <w:rPr>
          <w:w w:val="105"/>
        </w:rPr>
        <w:t>Department of Justice </w:t>
      </w:r>
      <w:r>
        <w:rPr>
          <w:spacing w:val="2"/>
          <w:w w:val="105"/>
        </w:rPr>
        <w:t>(NSW), </w:t>
      </w:r>
      <w:r>
        <w:rPr>
          <w:i/>
          <w:w w:val="105"/>
        </w:rPr>
        <w:t>Neighbours </w:t>
      </w:r>
      <w:r>
        <w:rPr>
          <w:w w:val="105"/>
        </w:rPr>
        <w:t>(Web </w:t>
      </w:r>
      <w:r>
        <w:rPr>
          <w:spacing w:val="-3"/>
          <w:w w:val="105"/>
        </w:rPr>
        <w:t>Page, </w:t>
      </w:r>
      <w:r>
        <w:rPr>
          <w:w w:val="105"/>
        </w:rPr>
        <w:t>5 July </w:t>
      </w:r>
      <w:r>
        <w:rPr>
          <w:spacing w:val="-5"/>
          <w:w w:val="105"/>
        </w:rPr>
        <w:t>2018) </w:t>
      </w:r>
      <w:r>
        <w:rPr>
          <w:w w:val="105"/>
        </w:rPr>
        <w:t>&lt;</w:t>
      </w:r>
      <w:hyperlink r:id="rId424">
        <w:r>
          <w:rPr>
            <w:w w:val="105"/>
          </w:rPr>
          <w:t>http://www.cjc.justice.nsw.</w:t>
        </w:r>
      </w:hyperlink>
      <w:r>
        <w:rPr>
          <w:w w:val="105"/>
        </w:rPr>
        <w:t> gov.au/Pages/cjc_whatis_mediation/cjc_common_disputes/com_justice_neighbours.aspx&gt;</w:t>
      </w:r>
    </w:p>
    <w:p>
      <w:pPr>
        <w:pStyle w:val="BodyText"/>
        <w:spacing w:before="104"/>
        <w:ind w:left="1587"/>
      </w:pPr>
      <w:r>
        <w:rPr>
          <w:w w:val="105"/>
        </w:rPr>
        <w:t>Department of Justice (Tas),</w:t>
      </w:r>
    </w:p>
    <w:p>
      <w:pPr>
        <w:pStyle w:val="ListParagraph"/>
        <w:numPr>
          <w:ilvl w:val="0"/>
          <w:numId w:val="218"/>
        </w:numPr>
        <w:tabs>
          <w:tab w:pos="1927" w:val="left" w:leader="none"/>
          <w:tab w:pos="1928" w:val="left" w:leader="none"/>
        </w:tabs>
        <w:spacing w:line="242" w:lineRule="auto" w:before="106" w:after="0"/>
        <w:ind w:left="1927" w:right="1585" w:hanging="340"/>
        <w:jc w:val="left"/>
        <w:rPr>
          <w:sz w:val="21"/>
        </w:rPr>
      </w:pPr>
      <w:r>
        <w:rPr>
          <w:i/>
          <w:w w:val="105"/>
          <w:sz w:val="21"/>
        </w:rPr>
        <w:t>Neighbourhood</w:t>
      </w:r>
      <w:r>
        <w:rPr>
          <w:i/>
          <w:spacing w:val="-23"/>
          <w:w w:val="105"/>
          <w:sz w:val="21"/>
        </w:rPr>
        <w:t> </w:t>
      </w:r>
      <w:r>
        <w:rPr>
          <w:i/>
          <w:spacing w:val="-3"/>
          <w:w w:val="105"/>
          <w:sz w:val="21"/>
        </w:rPr>
        <w:t>Disputes</w:t>
      </w:r>
      <w:r>
        <w:rPr>
          <w:i/>
          <w:spacing w:val="-23"/>
          <w:w w:val="105"/>
          <w:sz w:val="21"/>
        </w:rPr>
        <w:t> </w:t>
      </w:r>
      <w:r>
        <w:rPr>
          <w:i/>
          <w:w w:val="105"/>
          <w:sz w:val="21"/>
        </w:rPr>
        <w:t>About</w:t>
      </w:r>
      <w:r>
        <w:rPr>
          <w:i/>
          <w:spacing w:val="-23"/>
          <w:w w:val="105"/>
          <w:sz w:val="21"/>
        </w:rPr>
        <w:t> </w:t>
      </w:r>
      <w:r>
        <w:rPr>
          <w:i/>
          <w:w w:val="105"/>
          <w:sz w:val="21"/>
        </w:rPr>
        <w:t>Plants</w:t>
      </w:r>
      <w:r>
        <w:rPr>
          <w:i/>
          <w:spacing w:val="-23"/>
          <w:w w:val="105"/>
          <w:sz w:val="21"/>
        </w:rPr>
        <w:t> </w:t>
      </w:r>
      <w:r>
        <w:rPr>
          <w:w w:val="105"/>
          <w:sz w:val="21"/>
        </w:rPr>
        <w:t>(Web</w:t>
      </w:r>
      <w:r>
        <w:rPr>
          <w:spacing w:val="-23"/>
          <w:w w:val="105"/>
          <w:sz w:val="21"/>
        </w:rPr>
        <w:t> </w:t>
      </w:r>
      <w:r>
        <w:rPr>
          <w:w w:val="105"/>
          <w:sz w:val="21"/>
        </w:rPr>
        <w:t>Page)</w:t>
      </w:r>
      <w:r>
        <w:rPr>
          <w:spacing w:val="-23"/>
          <w:w w:val="105"/>
          <w:sz w:val="21"/>
        </w:rPr>
        <w:t> </w:t>
      </w:r>
      <w:r>
        <w:rPr>
          <w:w w:val="105"/>
          <w:sz w:val="21"/>
        </w:rPr>
        <w:t>&lt;https://</w:t>
      </w:r>
      <w:hyperlink r:id="rId425">
        <w:r>
          <w:rPr>
            <w:w w:val="105"/>
            <w:sz w:val="21"/>
          </w:rPr>
          <w:t>www.justice.tas.gov.au/mediation_</w:t>
        </w:r>
      </w:hyperlink>
      <w:r>
        <w:rPr>
          <w:w w:val="105"/>
          <w:sz w:val="21"/>
        </w:rPr>
        <w:t> and_dispute_resolution/neighbourhood-disputes-about-plants&gt;</w:t>
      </w:r>
    </w:p>
    <w:p>
      <w:pPr>
        <w:pStyle w:val="ListParagraph"/>
        <w:numPr>
          <w:ilvl w:val="0"/>
          <w:numId w:val="218"/>
        </w:numPr>
        <w:tabs>
          <w:tab w:pos="1927" w:val="left" w:leader="none"/>
          <w:tab w:pos="1928" w:val="left" w:leader="none"/>
        </w:tabs>
        <w:spacing w:line="240" w:lineRule="auto" w:before="104" w:after="0"/>
        <w:ind w:left="1927" w:right="0" w:hanging="340"/>
        <w:jc w:val="left"/>
        <w:rPr>
          <w:sz w:val="21"/>
        </w:rPr>
      </w:pPr>
      <w:r>
        <w:rPr>
          <w:i/>
          <w:spacing w:val="-5"/>
          <w:w w:val="105"/>
          <w:sz w:val="21"/>
        </w:rPr>
        <w:t>Tasmanian </w:t>
      </w:r>
      <w:r>
        <w:rPr>
          <w:i/>
          <w:spacing w:val="-3"/>
          <w:w w:val="105"/>
          <w:sz w:val="21"/>
        </w:rPr>
        <w:t>Planning </w:t>
      </w:r>
      <w:r>
        <w:rPr>
          <w:i/>
          <w:w w:val="105"/>
          <w:sz w:val="21"/>
        </w:rPr>
        <w:t>Reform—An Overview (F</w:t>
      </w:r>
      <w:r>
        <w:rPr>
          <w:w w:val="105"/>
          <w:sz w:val="21"/>
        </w:rPr>
        <w:t>act Sheet </w:t>
      </w:r>
      <w:r>
        <w:rPr>
          <w:spacing w:val="-8"/>
          <w:w w:val="105"/>
          <w:sz w:val="21"/>
        </w:rPr>
        <w:t>1, </w:t>
      </w:r>
      <w:r>
        <w:rPr>
          <w:w w:val="105"/>
          <w:sz w:val="21"/>
        </w:rPr>
        <w:t>December</w:t>
      </w:r>
      <w:r>
        <w:rPr>
          <w:spacing w:val="12"/>
          <w:w w:val="105"/>
          <w:sz w:val="21"/>
        </w:rPr>
        <w:t> </w:t>
      </w:r>
      <w:r>
        <w:rPr>
          <w:spacing w:val="-7"/>
          <w:w w:val="105"/>
          <w:sz w:val="21"/>
        </w:rPr>
        <w:t>2017)</w:t>
      </w:r>
    </w:p>
    <w:p>
      <w:pPr>
        <w:pStyle w:val="BodyText"/>
        <w:spacing w:before="4"/>
        <w:ind w:left="1927"/>
      </w:pPr>
      <w:r>
        <w:rPr>
          <w:w w:val="105"/>
        </w:rPr>
        <w:t>&lt;https://</w:t>
      </w:r>
      <w:hyperlink r:id="rId426">
        <w:r>
          <w:rPr>
            <w:w w:val="105"/>
          </w:rPr>
          <w:t>www.planningreform.tas.gov.au/</w:t>
        </w:r>
      </w:hyperlink>
      <w:r>
        <w:rPr>
          <w:w w:val="105"/>
        </w:rPr>
        <w:t>&gt;</w:t>
      </w:r>
    </w:p>
    <w:p>
      <w:pPr>
        <w:pStyle w:val="ListParagraph"/>
        <w:numPr>
          <w:ilvl w:val="0"/>
          <w:numId w:val="218"/>
        </w:numPr>
        <w:tabs>
          <w:tab w:pos="1927" w:val="left" w:leader="none"/>
          <w:tab w:pos="1928" w:val="left" w:leader="none"/>
        </w:tabs>
        <w:spacing w:line="242" w:lineRule="auto" w:before="105" w:after="0"/>
        <w:ind w:left="1927" w:right="1841" w:hanging="340"/>
        <w:jc w:val="left"/>
        <w:rPr>
          <w:sz w:val="21"/>
        </w:rPr>
      </w:pPr>
      <w:r>
        <w:rPr>
          <w:i/>
          <w:spacing w:val="-3"/>
          <w:w w:val="105"/>
          <w:sz w:val="21"/>
        </w:rPr>
        <w:t>Value</w:t>
      </w:r>
      <w:r>
        <w:rPr>
          <w:i/>
          <w:spacing w:val="-16"/>
          <w:w w:val="105"/>
          <w:sz w:val="21"/>
        </w:rPr>
        <w:t> </w:t>
      </w:r>
      <w:r>
        <w:rPr>
          <w:i/>
          <w:spacing w:val="-3"/>
          <w:w w:val="105"/>
          <w:sz w:val="21"/>
        </w:rPr>
        <w:t>of</w:t>
      </w:r>
      <w:r>
        <w:rPr>
          <w:i/>
          <w:spacing w:val="-16"/>
          <w:w w:val="105"/>
          <w:sz w:val="21"/>
        </w:rPr>
        <w:t> </w:t>
      </w:r>
      <w:r>
        <w:rPr>
          <w:i/>
          <w:w w:val="105"/>
          <w:sz w:val="21"/>
        </w:rPr>
        <w:t>Indexed</w:t>
      </w:r>
      <w:r>
        <w:rPr>
          <w:i/>
          <w:spacing w:val="-16"/>
          <w:w w:val="105"/>
          <w:sz w:val="21"/>
        </w:rPr>
        <w:t> </w:t>
      </w:r>
      <w:r>
        <w:rPr>
          <w:i/>
          <w:w w:val="105"/>
          <w:sz w:val="21"/>
        </w:rPr>
        <w:t>Amounts</w:t>
      </w:r>
      <w:r>
        <w:rPr>
          <w:i/>
          <w:spacing w:val="-16"/>
          <w:w w:val="105"/>
          <w:sz w:val="21"/>
        </w:rPr>
        <w:t> </w:t>
      </w:r>
      <w:r>
        <w:rPr>
          <w:i/>
          <w:w w:val="105"/>
          <w:sz w:val="21"/>
        </w:rPr>
        <w:t>in</w:t>
      </w:r>
      <w:r>
        <w:rPr>
          <w:i/>
          <w:spacing w:val="-16"/>
          <w:w w:val="105"/>
          <w:sz w:val="21"/>
        </w:rPr>
        <w:t> </w:t>
      </w:r>
      <w:r>
        <w:rPr>
          <w:i/>
          <w:spacing w:val="-3"/>
          <w:w w:val="105"/>
          <w:sz w:val="21"/>
        </w:rPr>
        <w:t>Legislation</w:t>
      </w:r>
      <w:r>
        <w:rPr>
          <w:i/>
          <w:spacing w:val="-16"/>
          <w:w w:val="105"/>
          <w:sz w:val="21"/>
        </w:rPr>
        <w:t> </w:t>
      </w:r>
      <w:r>
        <w:rPr>
          <w:w w:val="105"/>
          <w:sz w:val="21"/>
        </w:rPr>
        <w:t>(Web</w:t>
      </w:r>
      <w:r>
        <w:rPr>
          <w:spacing w:val="-16"/>
          <w:w w:val="105"/>
          <w:sz w:val="21"/>
        </w:rPr>
        <w:t> </w:t>
      </w:r>
      <w:r>
        <w:rPr>
          <w:w w:val="105"/>
          <w:sz w:val="21"/>
        </w:rPr>
        <w:t>Page)</w:t>
      </w:r>
      <w:r>
        <w:rPr>
          <w:spacing w:val="-16"/>
          <w:w w:val="105"/>
          <w:sz w:val="21"/>
        </w:rPr>
        <w:t> </w:t>
      </w:r>
      <w:r>
        <w:rPr>
          <w:w w:val="105"/>
          <w:sz w:val="21"/>
        </w:rPr>
        <w:t>&lt;https://</w:t>
      </w:r>
      <w:hyperlink r:id="rId427">
        <w:r>
          <w:rPr>
            <w:w w:val="105"/>
            <w:sz w:val="21"/>
          </w:rPr>
          <w:t>www.justice.tas.gov.au/about/</w:t>
        </w:r>
      </w:hyperlink>
      <w:r>
        <w:rPr>
          <w:w w:val="105"/>
          <w:sz w:val="21"/>
        </w:rPr>
        <w:t> legislation/value_of_indexed_units_in_legislation&gt;</w:t>
      </w:r>
    </w:p>
    <w:p>
      <w:pPr>
        <w:pStyle w:val="BodyText"/>
        <w:spacing w:line="242" w:lineRule="auto" w:before="105"/>
        <w:ind w:left="1587" w:right="1636"/>
      </w:pPr>
      <w:r>
        <w:rPr>
          <w:w w:val="105"/>
        </w:rPr>
        <w:t>Department of </w:t>
      </w:r>
      <w:r>
        <w:rPr>
          <w:spacing w:val="-3"/>
          <w:w w:val="105"/>
        </w:rPr>
        <w:t>Planning </w:t>
      </w:r>
      <w:r>
        <w:rPr>
          <w:w w:val="105"/>
        </w:rPr>
        <w:t>and </w:t>
      </w:r>
      <w:r>
        <w:rPr>
          <w:spacing w:val="-3"/>
          <w:w w:val="105"/>
        </w:rPr>
        <w:t>Community </w:t>
      </w:r>
      <w:r>
        <w:rPr>
          <w:w w:val="105"/>
        </w:rPr>
        <w:t>Development, </w:t>
      </w:r>
      <w:r>
        <w:rPr>
          <w:i/>
          <w:spacing w:val="-3"/>
          <w:w w:val="105"/>
        </w:rPr>
        <w:t>Guidelines </w:t>
      </w:r>
      <w:r>
        <w:rPr>
          <w:i/>
          <w:w w:val="105"/>
        </w:rPr>
        <w:t>for Local Laws </w:t>
      </w:r>
      <w:r>
        <w:rPr>
          <w:w w:val="105"/>
        </w:rPr>
        <w:t>(Manual, </w:t>
      </w:r>
      <w:r>
        <w:rPr/>
        <w:t>February   </w:t>
      </w:r>
      <w:r>
        <w:rPr>
          <w:spacing w:val="-5"/>
        </w:rPr>
        <w:t>2010)  </w:t>
      </w:r>
      <w:r>
        <w:rPr>
          <w:spacing w:val="10"/>
        </w:rPr>
        <w:t> </w:t>
      </w:r>
      <w:r>
        <w:rPr/>
        <w:t>&lt;https://</w:t>
      </w:r>
      <w:hyperlink r:id="rId428">
        <w:r>
          <w:rPr/>
          <w:t>www.localgovernment.vic.gov.au/strengthening-councils/local-laws</w:t>
        </w:r>
      </w:hyperlink>
      <w:r>
        <w:rPr/>
        <w:t>&gt;</w:t>
      </w:r>
    </w:p>
    <w:p>
      <w:pPr>
        <w:pStyle w:val="BodyText"/>
        <w:spacing w:before="104"/>
        <w:ind w:left="1587"/>
      </w:pPr>
      <w:r>
        <w:rPr>
          <w:w w:val="105"/>
        </w:rPr>
        <w:t>Department of Planning and Environment (NSW),</w:t>
      </w:r>
    </w:p>
    <w:p>
      <w:pPr>
        <w:pStyle w:val="ListParagraph"/>
        <w:numPr>
          <w:ilvl w:val="0"/>
          <w:numId w:val="218"/>
        </w:numPr>
        <w:tabs>
          <w:tab w:pos="1927" w:val="left" w:leader="none"/>
          <w:tab w:pos="1928" w:val="left" w:leader="none"/>
        </w:tabs>
        <w:spacing w:line="242" w:lineRule="auto" w:before="106" w:after="0"/>
        <w:ind w:left="1927" w:right="1721" w:hanging="340"/>
        <w:jc w:val="left"/>
        <w:rPr>
          <w:sz w:val="21"/>
        </w:rPr>
      </w:pPr>
      <w:r>
        <w:rPr>
          <w:i/>
          <w:spacing w:val="-3"/>
          <w:w w:val="105"/>
          <w:sz w:val="21"/>
        </w:rPr>
        <w:t>Guide </w:t>
      </w:r>
      <w:r>
        <w:rPr>
          <w:i/>
          <w:w w:val="105"/>
          <w:sz w:val="21"/>
        </w:rPr>
        <w:t>to the </w:t>
      </w:r>
      <w:r>
        <w:rPr>
          <w:i/>
          <w:spacing w:val="-3"/>
          <w:w w:val="105"/>
          <w:sz w:val="21"/>
        </w:rPr>
        <w:t>updated Environmental Planning </w:t>
      </w:r>
      <w:r>
        <w:rPr>
          <w:i/>
          <w:w w:val="105"/>
          <w:sz w:val="21"/>
        </w:rPr>
        <w:t>and Assessment Act </w:t>
      </w:r>
      <w:r>
        <w:rPr>
          <w:i/>
          <w:spacing w:val="-9"/>
          <w:w w:val="105"/>
          <w:sz w:val="21"/>
        </w:rPr>
        <w:t>1979 </w:t>
      </w:r>
      <w:r>
        <w:rPr>
          <w:w w:val="105"/>
          <w:sz w:val="21"/>
        </w:rPr>
        <w:t>(Web Page) &lt;https://</w:t>
      </w:r>
      <w:hyperlink r:id="rId429">
        <w:r>
          <w:rPr>
            <w:w w:val="105"/>
            <w:sz w:val="21"/>
          </w:rPr>
          <w:t> </w:t>
        </w:r>
        <w:r>
          <w:rPr>
            <w:sz w:val="21"/>
          </w:rPr>
          <w:t>www.planning.nsw.gov.au/Policy-and-Legislation/Environmental-Planning-and-Assessment-</w:t>
        </w:r>
      </w:hyperlink>
      <w:r>
        <w:rPr>
          <w:sz w:val="21"/>
        </w:rPr>
        <w:t> </w:t>
      </w:r>
      <w:r>
        <w:rPr>
          <w:w w:val="105"/>
          <w:sz w:val="21"/>
        </w:rPr>
        <w:t>Act-updated/Guide-to-the-updated-Environmental-Planning-and-Assessment-Act-1979&gt;</w:t>
      </w:r>
    </w:p>
    <w:p>
      <w:pPr>
        <w:pStyle w:val="ListParagraph"/>
        <w:numPr>
          <w:ilvl w:val="0"/>
          <w:numId w:val="218"/>
        </w:numPr>
        <w:tabs>
          <w:tab w:pos="1927" w:val="left" w:leader="none"/>
          <w:tab w:pos="1928" w:val="left" w:leader="none"/>
        </w:tabs>
        <w:spacing w:line="242" w:lineRule="auto" w:before="105" w:after="0"/>
        <w:ind w:left="1927" w:right="1686" w:hanging="340"/>
        <w:jc w:val="left"/>
        <w:rPr>
          <w:sz w:val="21"/>
        </w:rPr>
      </w:pPr>
      <w:r>
        <w:rPr>
          <w:i/>
          <w:w w:val="105"/>
          <w:sz w:val="21"/>
        </w:rPr>
        <w:t>Local</w:t>
      </w:r>
      <w:r>
        <w:rPr>
          <w:i/>
          <w:spacing w:val="-8"/>
          <w:w w:val="105"/>
          <w:sz w:val="21"/>
        </w:rPr>
        <w:t> </w:t>
      </w:r>
      <w:r>
        <w:rPr>
          <w:i/>
          <w:spacing w:val="-3"/>
          <w:w w:val="105"/>
          <w:sz w:val="21"/>
        </w:rPr>
        <w:t>Planning</w:t>
      </w:r>
      <w:r>
        <w:rPr>
          <w:i/>
          <w:spacing w:val="-7"/>
          <w:w w:val="105"/>
          <w:sz w:val="21"/>
        </w:rPr>
        <w:t> </w:t>
      </w:r>
      <w:r>
        <w:rPr>
          <w:i/>
          <w:w w:val="105"/>
          <w:sz w:val="21"/>
        </w:rPr>
        <w:t>and</w:t>
      </w:r>
      <w:r>
        <w:rPr>
          <w:i/>
          <w:spacing w:val="-7"/>
          <w:w w:val="105"/>
          <w:sz w:val="21"/>
        </w:rPr>
        <w:t> </w:t>
      </w:r>
      <w:r>
        <w:rPr>
          <w:i/>
          <w:spacing w:val="-3"/>
          <w:w w:val="105"/>
          <w:sz w:val="21"/>
        </w:rPr>
        <w:t>Zoning</w:t>
      </w:r>
      <w:r>
        <w:rPr>
          <w:i/>
          <w:spacing w:val="-7"/>
          <w:w w:val="105"/>
          <w:sz w:val="21"/>
        </w:rPr>
        <w:t> </w:t>
      </w:r>
      <w:r>
        <w:rPr>
          <w:w w:val="105"/>
          <w:sz w:val="21"/>
        </w:rPr>
        <w:t>(Web</w:t>
      </w:r>
      <w:r>
        <w:rPr>
          <w:spacing w:val="-7"/>
          <w:w w:val="105"/>
          <w:sz w:val="21"/>
        </w:rPr>
        <w:t> </w:t>
      </w:r>
      <w:r>
        <w:rPr>
          <w:spacing w:val="-3"/>
          <w:w w:val="105"/>
          <w:sz w:val="21"/>
        </w:rPr>
        <w:t>Page,</w:t>
      </w:r>
      <w:r>
        <w:rPr>
          <w:spacing w:val="-7"/>
          <w:w w:val="105"/>
          <w:sz w:val="21"/>
        </w:rPr>
        <w:t> </w:t>
      </w:r>
      <w:r>
        <w:rPr>
          <w:spacing w:val="-6"/>
          <w:w w:val="105"/>
          <w:sz w:val="21"/>
        </w:rPr>
        <w:t>18</w:t>
      </w:r>
      <w:r>
        <w:rPr>
          <w:spacing w:val="-7"/>
          <w:w w:val="105"/>
          <w:sz w:val="21"/>
        </w:rPr>
        <w:t> </w:t>
      </w:r>
      <w:r>
        <w:rPr>
          <w:w w:val="105"/>
          <w:sz w:val="21"/>
        </w:rPr>
        <w:t>February</w:t>
      </w:r>
      <w:r>
        <w:rPr>
          <w:spacing w:val="-7"/>
          <w:w w:val="105"/>
          <w:sz w:val="21"/>
        </w:rPr>
        <w:t> </w:t>
      </w:r>
      <w:r>
        <w:rPr>
          <w:spacing w:val="-5"/>
          <w:w w:val="105"/>
          <w:sz w:val="21"/>
        </w:rPr>
        <w:t>2019)</w:t>
      </w:r>
      <w:r>
        <w:rPr>
          <w:spacing w:val="-7"/>
          <w:w w:val="105"/>
          <w:sz w:val="21"/>
        </w:rPr>
        <w:t> </w:t>
      </w:r>
      <w:r>
        <w:rPr>
          <w:w w:val="105"/>
          <w:sz w:val="21"/>
        </w:rPr>
        <w:t>&lt;https://</w:t>
      </w:r>
      <w:hyperlink r:id="rId289">
        <w:r>
          <w:rPr>
            <w:w w:val="105"/>
            <w:sz w:val="21"/>
          </w:rPr>
          <w:t>www.planning.nsw.gov.au/</w:t>
        </w:r>
      </w:hyperlink>
      <w:r>
        <w:rPr>
          <w:w w:val="105"/>
          <w:sz w:val="21"/>
        </w:rPr>
        <w:t> Plans-for-your-area/Local-Planning-and-Zoning&gt;</w:t>
      </w:r>
    </w:p>
    <w:p>
      <w:pPr>
        <w:pStyle w:val="ListParagraph"/>
        <w:numPr>
          <w:ilvl w:val="0"/>
          <w:numId w:val="218"/>
        </w:numPr>
        <w:tabs>
          <w:tab w:pos="1927" w:val="left" w:leader="none"/>
          <w:tab w:pos="1928" w:val="left" w:leader="none"/>
        </w:tabs>
        <w:spacing w:line="242" w:lineRule="auto" w:before="104" w:after="0"/>
        <w:ind w:left="1927" w:right="1784" w:hanging="340"/>
        <w:jc w:val="left"/>
        <w:rPr>
          <w:sz w:val="21"/>
        </w:rPr>
      </w:pPr>
      <w:r>
        <w:rPr>
          <w:i/>
          <w:w w:val="105"/>
          <w:sz w:val="21"/>
        </w:rPr>
        <w:t>The </w:t>
      </w:r>
      <w:r>
        <w:rPr>
          <w:i/>
          <w:spacing w:val="-3"/>
          <w:w w:val="105"/>
          <w:sz w:val="21"/>
        </w:rPr>
        <w:t>Planning </w:t>
      </w:r>
      <w:r>
        <w:rPr>
          <w:i/>
          <w:w w:val="105"/>
          <w:sz w:val="21"/>
        </w:rPr>
        <w:t>System </w:t>
      </w:r>
      <w:r>
        <w:rPr>
          <w:w w:val="105"/>
          <w:sz w:val="21"/>
        </w:rPr>
        <w:t>(Web </w:t>
      </w:r>
      <w:r>
        <w:rPr>
          <w:spacing w:val="-3"/>
          <w:w w:val="105"/>
          <w:sz w:val="21"/>
        </w:rPr>
        <w:t>Page, </w:t>
      </w:r>
      <w:r>
        <w:rPr>
          <w:spacing w:val="-4"/>
          <w:w w:val="105"/>
          <w:sz w:val="21"/>
        </w:rPr>
        <w:t>26 </w:t>
      </w:r>
      <w:r>
        <w:rPr>
          <w:spacing w:val="-2"/>
          <w:w w:val="105"/>
          <w:sz w:val="21"/>
        </w:rPr>
        <w:t>May </w:t>
      </w:r>
      <w:r>
        <w:rPr>
          <w:spacing w:val="-5"/>
          <w:w w:val="105"/>
          <w:sz w:val="21"/>
        </w:rPr>
        <w:t>2018) </w:t>
      </w:r>
      <w:r>
        <w:rPr>
          <w:w w:val="105"/>
          <w:sz w:val="21"/>
        </w:rPr>
        <w:t>&lt;https://</w:t>
      </w:r>
      <w:hyperlink r:id="rId430">
        <w:r>
          <w:rPr>
            <w:w w:val="105"/>
            <w:sz w:val="21"/>
          </w:rPr>
          <w:t>www.planning.nsw.gov.au/Assess-</w:t>
        </w:r>
      </w:hyperlink>
      <w:r>
        <w:rPr>
          <w:w w:val="105"/>
          <w:sz w:val="21"/>
        </w:rPr>
        <w:t> </w:t>
      </w:r>
      <w:r>
        <w:rPr>
          <w:sz w:val="21"/>
        </w:rPr>
        <w:t>and-Regulate/Development-Assessment/Your-guide-to-the-DA-process/Getting-started/The- </w:t>
      </w:r>
      <w:r>
        <w:rPr>
          <w:w w:val="105"/>
          <w:sz w:val="21"/>
        </w:rPr>
        <w:t>planning-system&gt;</w:t>
      </w:r>
    </w:p>
    <w:p>
      <w:pPr>
        <w:spacing w:line="242" w:lineRule="auto" w:before="105"/>
        <w:ind w:left="1587" w:right="1636" w:firstLine="0"/>
        <w:jc w:val="left"/>
        <w:rPr>
          <w:sz w:val="21"/>
        </w:rPr>
      </w:pPr>
      <w:r>
        <w:rPr>
          <w:w w:val="105"/>
          <w:sz w:val="21"/>
        </w:rPr>
        <w:t>Deputy Premier and Attorney-General, </w:t>
      </w:r>
      <w:r>
        <w:rPr>
          <w:spacing w:val="-3"/>
          <w:w w:val="105"/>
          <w:sz w:val="21"/>
        </w:rPr>
        <w:t>Minister for </w:t>
      </w:r>
      <w:r>
        <w:rPr>
          <w:w w:val="105"/>
          <w:sz w:val="21"/>
        </w:rPr>
        <w:t>Local </w:t>
      </w:r>
      <w:r>
        <w:rPr>
          <w:spacing w:val="-3"/>
          <w:w w:val="105"/>
          <w:sz w:val="21"/>
        </w:rPr>
        <w:t>Government </w:t>
      </w:r>
      <w:r>
        <w:rPr>
          <w:w w:val="105"/>
          <w:sz w:val="21"/>
        </w:rPr>
        <w:t>and Special </w:t>
      </w:r>
      <w:r>
        <w:rPr>
          <w:spacing w:val="-3"/>
          <w:w w:val="105"/>
          <w:sz w:val="21"/>
        </w:rPr>
        <w:t>Minister </w:t>
      </w:r>
      <w:r>
        <w:rPr>
          <w:w w:val="105"/>
          <w:sz w:val="21"/>
        </w:rPr>
        <w:t>of </w:t>
      </w:r>
      <w:r>
        <w:rPr>
          <w:spacing w:val="-3"/>
          <w:w w:val="105"/>
          <w:sz w:val="21"/>
        </w:rPr>
        <w:t>State </w:t>
      </w:r>
      <w:r>
        <w:rPr>
          <w:w w:val="105"/>
          <w:sz w:val="21"/>
        </w:rPr>
        <w:t>(Qld), </w:t>
      </w:r>
      <w:r>
        <w:rPr>
          <w:i/>
          <w:w w:val="105"/>
          <w:sz w:val="21"/>
        </w:rPr>
        <w:t>Neighbourhood </w:t>
      </w:r>
      <w:r>
        <w:rPr>
          <w:i/>
          <w:spacing w:val="-3"/>
          <w:w w:val="105"/>
          <w:sz w:val="21"/>
        </w:rPr>
        <w:t>Disputes Resolution </w:t>
      </w:r>
      <w:r>
        <w:rPr>
          <w:i/>
          <w:w w:val="105"/>
          <w:sz w:val="21"/>
        </w:rPr>
        <w:t>Bill </w:t>
      </w:r>
      <w:r>
        <w:rPr>
          <w:i/>
          <w:spacing w:val="-6"/>
          <w:w w:val="105"/>
          <w:sz w:val="21"/>
        </w:rPr>
        <w:t>2010: </w:t>
      </w:r>
      <w:r>
        <w:rPr>
          <w:i/>
          <w:w w:val="105"/>
          <w:sz w:val="21"/>
        </w:rPr>
        <w:t>Results </w:t>
      </w:r>
      <w:r>
        <w:rPr>
          <w:i/>
          <w:spacing w:val="-3"/>
          <w:w w:val="105"/>
          <w:sz w:val="21"/>
        </w:rPr>
        <w:t>of Consultation </w:t>
      </w:r>
      <w:r>
        <w:rPr>
          <w:i/>
          <w:w w:val="105"/>
          <w:sz w:val="21"/>
        </w:rPr>
        <w:t>Process </w:t>
      </w:r>
      <w:r>
        <w:rPr>
          <w:spacing w:val="-4"/>
          <w:w w:val="105"/>
          <w:sz w:val="21"/>
        </w:rPr>
        <w:t>(2010)</w:t>
      </w:r>
    </w:p>
    <w:p>
      <w:pPr>
        <w:pStyle w:val="BodyText"/>
        <w:spacing w:before="2"/>
        <w:ind w:left="1587"/>
      </w:pPr>
      <w:r>
        <w:rPr>
          <w:w w:val="105"/>
        </w:rPr>
        <w:t>&lt;https://cabinet.qld.gov.au/monthly.aspx?date=2010-Nov&gt;</w:t>
      </w:r>
    </w:p>
    <w:p>
      <w:pPr>
        <w:pStyle w:val="BodyText"/>
        <w:spacing w:line="242" w:lineRule="auto" w:before="106"/>
        <w:ind w:left="1587" w:right="1633"/>
      </w:pPr>
      <w:r>
        <w:rPr>
          <w:w w:val="105"/>
        </w:rPr>
        <w:t>Department of Premier and Cabinet (Vic), ‘Thousands of Victorian Homes Save Millions on Solar’ </w:t>
      </w:r>
      <w:r>
        <w:rPr/>
        <w:t>(Media Release, 18 January 2019) &lt;https://</w:t>
      </w:r>
      <w:hyperlink r:id="rId431">
        <w:r>
          <w:rPr/>
          <w:t>www.premier.vic.gov.au/thousands-of-victorian-homes-</w:t>
        </w:r>
      </w:hyperlink>
      <w:r>
        <w:rPr/>
        <w:t> </w:t>
      </w:r>
      <w:r>
        <w:rPr>
          <w:w w:val="105"/>
        </w:rPr>
        <w:t>save-millions-on-solar/&gt;</w:t>
      </w:r>
    </w:p>
    <w:p>
      <w:pPr>
        <w:pStyle w:val="BodyText"/>
        <w:spacing w:before="105"/>
        <w:ind w:left="1587"/>
      </w:pPr>
      <w:r>
        <w:rPr>
          <w:w w:val="105"/>
        </w:rPr>
        <w:t>Department of State Development, Manufacturing, Infrastructure and Planning (Qld),</w:t>
      </w:r>
    </w:p>
    <w:p>
      <w:pPr>
        <w:pStyle w:val="ListParagraph"/>
        <w:numPr>
          <w:ilvl w:val="0"/>
          <w:numId w:val="218"/>
        </w:numPr>
        <w:tabs>
          <w:tab w:pos="1927" w:val="left" w:leader="none"/>
          <w:tab w:pos="1928" w:val="left" w:leader="none"/>
        </w:tabs>
        <w:spacing w:line="242" w:lineRule="auto" w:before="106" w:after="0"/>
        <w:ind w:left="1927" w:right="1864" w:hanging="340"/>
        <w:jc w:val="left"/>
        <w:rPr>
          <w:sz w:val="21"/>
        </w:rPr>
      </w:pPr>
      <w:r>
        <w:rPr>
          <w:i/>
          <w:spacing w:val="-3"/>
          <w:w w:val="105"/>
          <w:sz w:val="21"/>
        </w:rPr>
        <w:t>Queensland’s </w:t>
      </w:r>
      <w:r>
        <w:rPr>
          <w:i/>
          <w:w w:val="105"/>
          <w:sz w:val="21"/>
        </w:rPr>
        <w:t>New </w:t>
      </w:r>
      <w:r>
        <w:rPr>
          <w:i/>
          <w:spacing w:val="-3"/>
          <w:w w:val="105"/>
          <w:sz w:val="21"/>
        </w:rPr>
        <w:t>Planning </w:t>
      </w:r>
      <w:r>
        <w:rPr>
          <w:i/>
          <w:w w:val="105"/>
          <w:sz w:val="21"/>
        </w:rPr>
        <w:t>System </w:t>
      </w:r>
      <w:r>
        <w:rPr>
          <w:w w:val="105"/>
          <w:sz w:val="21"/>
        </w:rPr>
        <w:t>(Document, </w:t>
      </w:r>
      <w:r>
        <w:rPr>
          <w:spacing w:val="-5"/>
          <w:w w:val="105"/>
          <w:sz w:val="21"/>
        </w:rPr>
        <w:t>2018) </w:t>
      </w:r>
      <w:r>
        <w:rPr>
          <w:spacing w:val="-3"/>
          <w:w w:val="105"/>
          <w:sz w:val="21"/>
        </w:rPr>
        <w:t>&lt;https://planning.dsdmip.qld.gov.au/ </w:t>
      </w:r>
      <w:r>
        <w:rPr>
          <w:w w:val="105"/>
          <w:sz w:val="21"/>
        </w:rPr>
        <w:t>planning/our-planning-system&gt;</w:t>
      </w:r>
    </w:p>
    <w:p>
      <w:pPr>
        <w:pStyle w:val="BodyText"/>
        <w:rPr>
          <w:sz w:val="18"/>
        </w:rPr>
      </w:pPr>
    </w:p>
    <w:p>
      <w:pPr>
        <w:spacing w:before="97"/>
        <w:ind w:left="720" w:right="0" w:firstLine="0"/>
        <w:jc w:val="left"/>
        <w:rPr>
          <w:b/>
          <w:sz w:val="24"/>
        </w:rPr>
      </w:pPr>
      <w:r>
        <w:rPr>
          <w:b/>
          <w:color w:val="658464"/>
          <w:w w:val="110"/>
          <w:sz w:val="24"/>
        </w:rPr>
        <w:t>318</w:t>
      </w:r>
    </w:p>
    <w:p>
      <w:pPr>
        <w:spacing w:after="0"/>
        <w:jc w:val="left"/>
        <w:rPr>
          <w:sz w:val="24"/>
        </w:rPr>
        <w:sectPr>
          <w:pgSz w:w="11910" w:h="16840"/>
          <w:pgMar w:header="546" w:footer="0" w:top="1560" w:bottom="280" w:left="0" w:right="0"/>
        </w:sectPr>
      </w:pPr>
    </w:p>
    <w:p>
      <w:pPr>
        <w:pStyle w:val="BodyText"/>
        <w:spacing w:before="5"/>
        <w:rPr>
          <w:b/>
        </w:rPr>
      </w:pPr>
    </w:p>
    <w:p>
      <w:pPr>
        <w:spacing w:after="0"/>
        <w:sectPr>
          <w:pgSz w:w="11910" w:h="16840"/>
          <w:pgMar w:header="567" w:footer="0" w:top="1580" w:bottom="280" w:left="0" w:right="0"/>
        </w:sectPr>
      </w:pPr>
    </w:p>
    <w:p>
      <w:pPr>
        <w:pStyle w:val="ListParagraph"/>
        <w:numPr>
          <w:ilvl w:val="0"/>
          <w:numId w:val="219"/>
        </w:numPr>
        <w:tabs>
          <w:tab w:pos="1927" w:val="left" w:leader="none"/>
          <w:tab w:pos="1928" w:val="left" w:leader="none"/>
        </w:tabs>
        <w:spacing w:line="242" w:lineRule="auto" w:before="93" w:after="0"/>
        <w:ind w:left="1927" w:right="167" w:hanging="340"/>
        <w:jc w:val="left"/>
        <w:rPr>
          <w:sz w:val="21"/>
        </w:rPr>
      </w:pPr>
      <w:r>
        <w:rPr>
          <w:i/>
          <w:spacing w:val="-4"/>
          <w:w w:val="105"/>
          <w:sz w:val="21"/>
        </w:rPr>
        <w:t>State</w:t>
      </w:r>
      <w:r>
        <w:rPr>
          <w:i/>
          <w:spacing w:val="-28"/>
          <w:w w:val="105"/>
          <w:sz w:val="21"/>
        </w:rPr>
        <w:t> </w:t>
      </w:r>
      <w:r>
        <w:rPr>
          <w:i/>
          <w:spacing w:val="-3"/>
          <w:w w:val="105"/>
          <w:sz w:val="21"/>
        </w:rPr>
        <w:t>Planning</w:t>
      </w:r>
      <w:r>
        <w:rPr>
          <w:i/>
          <w:spacing w:val="-27"/>
          <w:w w:val="105"/>
          <w:sz w:val="21"/>
        </w:rPr>
        <w:t> </w:t>
      </w:r>
      <w:r>
        <w:rPr>
          <w:i/>
          <w:w w:val="105"/>
          <w:sz w:val="21"/>
        </w:rPr>
        <w:t>Policy</w:t>
      </w:r>
      <w:r>
        <w:rPr>
          <w:i/>
          <w:spacing w:val="-27"/>
          <w:w w:val="105"/>
          <w:sz w:val="21"/>
        </w:rPr>
        <w:t> </w:t>
      </w:r>
      <w:r>
        <w:rPr>
          <w:w w:val="105"/>
          <w:sz w:val="21"/>
        </w:rPr>
        <w:t>(Web</w:t>
      </w:r>
      <w:r>
        <w:rPr>
          <w:spacing w:val="-28"/>
          <w:w w:val="105"/>
          <w:sz w:val="21"/>
        </w:rPr>
        <w:t> </w:t>
      </w:r>
      <w:r>
        <w:rPr>
          <w:spacing w:val="-3"/>
          <w:w w:val="105"/>
          <w:sz w:val="21"/>
        </w:rPr>
        <w:t>Page,</w:t>
      </w:r>
      <w:r>
        <w:rPr>
          <w:spacing w:val="-27"/>
          <w:w w:val="105"/>
          <w:sz w:val="21"/>
        </w:rPr>
        <w:t> </w:t>
      </w:r>
      <w:r>
        <w:rPr>
          <w:spacing w:val="-5"/>
          <w:w w:val="105"/>
          <w:sz w:val="21"/>
        </w:rPr>
        <w:t>2019)</w:t>
      </w:r>
      <w:r>
        <w:rPr>
          <w:spacing w:val="-27"/>
          <w:w w:val="105"/>
          <w:sz w:val="21"/>
        </w:rPr>
        <w:t> </w:t>
      </w:r>
      <w:r>
        <w:rPr>
          <w:w w:val="105"/>
          <w:sz w:val="21"/>
        </w:rPr>
        <w:t>&lt;https://planning.dsdmip.qld.gov.au/planning/better- planning/state-planning/state-planning-policy-spp&gt;</w:t>
      </w:r>
    </w:p>
    <w:p>
      <w:pPr>
        <w:pStyle w:val="ListParagraph"/>
        <w:numPr>
          <w:ilvl w:val="0"/>
          <w:numId w:val="219"/>
        </w:numPr>
        <w:tabs>
          <w:tab w:pos="1927" w:val="left" w:leader="none"/>
          <w:tab w:pos="1928" w:val="left" w:leader="none"/>
        </w:tabs>
        <w:spacing w:line="242" w:lineRule="auto" w:before="104" w:after="0"/>
        <w:ind w:left="1927" w:right="322" w:hanging="340"/>
        <w:jc w:val="left"/>
        <w:rPr>
          <w:sz w:val="21"/>
        </w:rPr>
      </w:pPr>
      <w:r>
        <w:rPr>
          <w:i/>
          <w:w w:val="105"/>
          <w:sz w:val="21"/>
        </w:rPr>
        <w:t>The </w:t>
      </w:r>
      <w:r>
        <w:rPr>
          <w:i/>
          <w:spacing w:val="-3"/>
          <w:w w:val="105"/>
          <w:sz w:val="21"/>
        </w:rPr>
        <w:t>Framework: </w:t>
      </w:r>
      <w:r>
        <w:rPr>
          <w:i/>
          <w:w w:val="105"/>
          <w:sz w:val="21"/>
        </w:rPr>
        <w:t>The ‘What’ </w:t>
      </w:r>
      <w:r>
        <w:rPr>
          <w:i/>
          <w:spacing w:val="-3"/>
          <w:w w:val="105"/>
          <w:sz w:val="21"/>
        </w:rPr>
        <w:t>of Planning—State </w:t>
      </w:r>
      <w:r>
        <w:rPr>
          <w:i/>
          <w:w w:val="105"/>
          <w:sz w:val="21"/>
        </w:rPr>
        <w:t>and Local </w:t>
      </w:r>
      <w:r>
        <w:rPr>
          <w:i/>
          <w:spacing w:val="-3"/>
          <w:w w:val="105"/>
          <w:sz w:val="21"/>
        </w:rPr>
        <w:t>Planning </w:t>
      </w:r>
      <w:r>
        <w:rPr>
          <w:i/>
          <w:w w:val="105"/>
          <w:sz w:val="21"/>
        </w:rPr>
        <w:t>Instruments </w:t>
      </w:r>
      <w:r>
        <w:rPr>
          <w:w w:val="105"/>
          <w:sz w:val="21"/>
        </w:rPr>
        <w:t>(Web </w:t>
      </w:r>
      <w:r>
        <w:rPr>
          <w:spacing w:val="-5"/>
          <w:w w:val="105"/>
          <w:sz w:val="21"/>
        </w:rPr>
        <w:t>Page, </w:t>
      </w:r>
      <w:r>
        <w:rPr>
          <w:spacing w:val="-5"/>
          <w:sz w:val="21"/>
        </w:rPr>
        <w:t>2019)</w:t>
      </w:r>
      <w:r>
        <w:rPr>
          <w:spacing w:val="26"/>
          <w:sz w:val="21"/>
        </w:rPr>
        <w:t> </w:t>
      </w:r>
      <w:r>
        <w:rPr>
          <w:sz w:val="21"/>
        </w:rPr>
        <w:t>&lt;https://planning.dsdmip.qld.gov.au/planning/our-planning-system/the-framework&gt;</w:t>
      </w:r>
    </w:p>
    <w:p>
      <w:pPr>
        <w:pStyle w:val="BodyText"/>
        <w:spacing w:before="104"/>
        <w:ind w:left="1587"/>
      </w:pPr>
      <w:r>
        <w:rPr>
          <w:w w:val="105"/>
        </w:rPr>
        <w:t>Department of Sustainability and Environment (Vic),</w:t>
      </w:r>
    </w:p>
    <w:p>
      <w:pPr>
        <w:pStyle w:val="ListParagraph"/>
        <w:numPr>
          <w:ilvl w:val="0"/>
          <w:numId w:val="219"/>
        </w:numPr>
        <w:tabs>
          <w:tab w:pos="1927" w:val="left" w:leader="none"/>
          <w:tab w:pos="1928" w:val="left" w:leader="none"/>
        </w:tabs>
        <w:spacing w:line="240" w:lineRule="auto" w:before="106" w:after="0"/>
        <w:ind w:left="1927" w:right="0" w:hanging="340"/>
        <w:jc w:val="left"/>
        <w:rPr>
          <w:i/>
          <w:sz w:val="21"/>
        </w:rPr>
      </w:pPr>
      <w:r>
        <w:rPr>
          <w:i/>
          <w:w w:val="105"/>
          <w:sz w:val="21"/>
        </w:rPr>
        <w:t>Cutting Red </w:t>
      </w:r>
      <w:r>
        <w:rPr>
          <w:i/>
          <w:spacing w:val="-5"/>
          <w:w w:val="105"/>
          <w:sz w:val="21"/>
        </w:rPr>
        <w:t>Tape </w:t>
      </w:r>
      <w:r>
        <w:rPr>
          <w:i/>
          <w:w w:val="105"/>
          <w:sz w:val="21"/>
        </w:rPr>
        <w:t>in </w:t>
      </w:r>
      <w:r>
        <w:rPr>
          <w:i/>
          <w:spacing w:val="-4"/>
          <w:w w:val="105"/>
          <w:sz w:val="21"/>
        </w:rPr>
        <w:t>Planning—15 </w:t>
      </w:r>
      <w:r>
        <w:rPr>
          <w:i/>
          <w:spacing w:val="-3"/>
          <w:w w:val="105"/>
          <w:sz w:val="21"/>
        </w:rPr>
        <w:t>Recommendations </w:t>
      </w:r>
      <w:r>
        <w:rPr>
          <w:i/>
          <w:w w:val="105"/>
          <w:sz w:val="21"/>
        </w:rPr>
        <w:t>For a Better Victorian </w:t>
      </w:r>
      <w:r>
        <w:rPr>
          <w:i/>
          <w:spacing w:val="-3"/>
          <w:w w:val="105"/>
          <w:sz w:val="21"/>
        </w:rPr>
        <w:t>Planning</w:t>
      </w:r>
      <w:r>
        <w:rPr>
          <w:i/>
          <w:spacing w:val="12"/>
          <w:w w:val="105"/>
          <w:sz w:val="21"/>
        </w:rPr>
        <w:t> </w:t>
      </w:r>
      <w:r>
        <w:rPr>
          <w:i/>
          <w:w w:val="105"/>
          <w:sz w:val="21"/>
        </w:rPr>
        <w:t>System</w:t>
      </w:r>
    </w:p>
    <w:p>
      <w:pPr>
        <w:pStyle w:val="BodyText"/>
        <w:spacing w:before="3"/>
        <w:ind w:left="1927"/>
      </w:pPr>
      <w:r>
        <w:rPr>
          <w:w w:val="105"/>
        </w:rPr>
        <w:t>(Report, August 2006)</w:t>
      </w:r>
    </w:p>
    <w:p>
      <w:pPr>
        <w:pStyle w:val="ListParagraph"/>
        <w:numPr>
          <w:ilvl w:val="0"/>
          <w:numId w:val="219"/>
        </w:numPr>
        <w:tabs>
          <w:tab w:pos="1927" w:val="left" w:leader="none"/>
          <w:tab w:pos="1928" w:val="left" w:leader="none"/>
        </w:tabs>
        <w:spacing w:line="338" w:lineRule="auto" w:before="106" w:after="0"/>
        <w:ind w:left="1587" w:right="3295" w:firstLine="0"/>
        <w:jc w:val="left"/>
        <w:rPr>
          <w:sz w:val="21"/>
        </w:rPr>
      </w:pPr>
      <w:r>
        <w:rPr>
          <w:i/>
          <w:spacing w:val="-3"/>
          <w:w w:val="105"/>
          <w:sz w:val="21"/>
        </w:rPr>
        <w:t>Writing Planning </w:t>
      </w:r>
      <w:r>
        <w:rPr>
          <w:i/>
          <w:w w:val="105"/>
          <w:sz w:val="21"/>
        </w:rPr>
        <w:t>Permits </w:t>
      </w:r>
      <w:r>
        <w:rPr>
          <w:spacing w:val="-4"/>
          <w:w w:val="105"/>
          <w:sz w:val="21"/>
        </w:rPr>
        <w:t>(2nd </w:t>
      </w:r>
      <w:r>
        <w:rPr>
          <w:w w:val="105"/>
          <w:sz w:val="21"/>
        </w:rPr>
        <w:t>ed, Report, February</w:t>
      </w:r>
      <w:r>
        <w:rPr>
          <w:spacing w:val="-36"/>
          <w:w w:val="105"/>
          <w:sz w:val="21"/>
        </w:rPr>
        <w:t> </w:t>
      </w:r>
      <w:r>
        <w:rPr>
          <w:spacing w:val="-3"/>
          <w:w w:val="105"/>
          <w:sz w:val="21"/>
        </w:rPr>
        <w:t>2007) </w:t>
      </w:r>
      <w:r>
        <w:rPr>
          <w:w w:val="105"/>
          <w:sz w:val="21"/>
        </w:rPr>
        <w:t>Department of the </w:t>
      </w:r>
      <w:r>
        <w:rPr>
          <w:spacing w:val="-3"/>
          <w:w w:val="105"/>
          <w:sz w:val="21"/>
        </w:rPr>
        <w:t>Environment </w:t>
      </w:r>
      <w:r>
        <w:rPr>
          <w:w w:val="105"/>
          <w:sz w:val="21"/>
        </w:rPr>
        <w:t>and Energy</w:t>
      </w:r>
      <w:r>
        <w:rPr>
          <w:spacing w:val="13"/>
          <w:w w:val="105"/>
          <w:sz w:val="21"/>
        </w:rPr>
        <w:t> </w:t>
      </w:r>
      <w:r>
        <w:rPr>
          <w:w w:val="105"/>
          <w:sz w:val="21"/>
        </w:rPr>
        <w:t>(Cth),</w:t>
      </w:r>
    </w:p>
    <w:p>
      <w:pPr>
        <w:pStyle w:val="ListParagraph"/>
        <w:numPr>
          <w:ilvl w:val="0"/>
          <w:numId w:val="219"/>
        </w:numPr>
        <w:tabs>
          <w:tab w:pos="1927" w:val="left" w:leader="none"/>
          <w:tab w:pos="1928" w:val="left" w:leader="none"/>
        </w:tabs>
        <w:spacing w:line="242" w:lineRule="auto" w:before="1" w:after="0"/>
        <w:ind w:left="1927" w:right="146" w:hanging="340"/>
        <w:jc w:val="left"/>
        <w:rPr>
          <w:sz w:val="21"/>
        </w:rPr>
      </w:pPr>
      <w:r>
        <w:rPr>
          <w:i/>
          <w:spacing w:val="-3"/>
          <w:w w:val="105"/>
          <w:sz w:val="21"/>
        </w:rPr>
        <w:t>EPBC</w:t>
      </w:r>
      <w:r>
        <w:rPr>
          <w:i/>
          <w:spacing w:val="-11"/>
          <w:w w:val="105"/>
          <w:sz w:val="21"/>
        </w:rPr>
        <w:t> </w:t>
      </w:r>
      <w:r>
        <w:rPr>
          <w:i/>
          <w:w w:val="105"/>
          <w:sz w:val="21"/>
        </w:rPr>
        <w:t>Act—Frequently</w:t>
      </w:r>
      <w:r>
        <w:rPr>
          <w:i/>
          <w:spacing w:val="-11"/>
          <w:w w:val="105"/>
          <w:sz w:val="21"/>
        </w:rPr>
        <w:t> </w:t>
      </w:r>
      <w:r>
        <w:rPr>
          <w:i/>
          <w:w w:val="105"/>
          <w:sz w:val="21"/>
        </w:rPr>
        <w:t>Asked</w:t>
      </w:r>
      <w:r>
        <w:rPr>
          <w:i/>
          <w:spacing w:val="-10"/>
          <w:w w:val="105"/>
          <w:sz w:val="21"/>
        </w:rPr>
        <w:t> </w:t>
      </w:r>
      <w:r>
        <w:rPr>
          <w:i/>
          <w:w w:val="105"/>
          <w:sz w:val="21"/>
        </w:rPr>
        <w:t>Questions</w:t>
      </w:r>
      <w:r>
        <w:rPr>
          <w:i/>
          <w:spacing w:val="-11"/>
          <w:w w:val="105"/>
          <w:sz w:val="21"/>
        </w:rPr>
        <w:t> </w:t>
      </w:r>
      <w:r>
        <w:rPr>
          <w:w w:val="105"/>
          <w:sz w:val="21"/>
        </w:rPr>
        <w:t>(Web</w:t>
      </w:r>
      <w:r>
        <w:rPr>
          <w:spacing w:val="-10"/>
          <w:w w:val="105"/>
          <w:sz w:val="21"/>
        </w:rPr>
        <w:t> </w:t>
      </w:r>
      <w:r>
        <w:rPr>
          <w:spacing w:val="-3"/>
          <w:w w:val="105"/>
          <w:sz w:val="21"/>
        </w:rPr>
        <w:t>Page,</w:t>
      </w:r>
      <w:r>
        <w:rPr>
          <w:spacing w:val="-11"/>
          <w:w w:val="105"/>
          <w:sz w:val="21"/>
        </w:rPr>
        <w:t> </w:t>
      </w:r>
      <w:r>
        <w:rPr>
          <w:spacing w:val="-6"/>
          <w:w w:val="105"/>
          <w:sz w:val="21"/>
        </w:rPr>
        <w:t>2013)</w:t>
      </w:r>
      <w:r>
        <w:rPr>
          <w:spacing w:val="-10"/>
          <w:w w:val="105"/>
          <w:sz w:val="21"/>
        </w:rPr>
        <w:t> </w:t>
      </w:r>
      <w:r>
        <w:rPr>
          <w:w w:val="105"/>
          <w:sz w:val="21"/>
        </w:rPr>
        <w:t>&lt;</w:t>
      </w:r>
      <w:hyperlink r:id="rId432">
        <w:r>
          <w:rPr>
            <w:w w:val="105"/>
            <w:sz w:val="21"/>
          </w:rPr>
          <w:t>http://www.environment.gov.au/</w:t>
        </w:r>
      </w:hyperlink>
      <w:r>
        <w:rPr>
          <w:w w:val="105"/>
          <w:sz w:val="21"/>
        </w:rPr>
        <w:t> epbc/publications/factsheet-epbc-act-frequently-asked-questions&gt;</w:t>
      </w:r>
    </w:p>
    <w:p>
      <w:pPr>
        <w:pStyle w:val="ListParagraph"/>
        <w:numPr>
          <w:ilvl w:val="0"/>
          <w:numId w:val="219"/>
        </w:numPr>
        <w:tabs>
          <w:tab w:pos="1927" w:val="left" w:leader="none"/>
          <w:tab w:pos="1928" w:val="left" w:leader="none"/>
        </w:tabs>
        <w:spacing w:line="242" w:lineRule="auto" w:before="105" w:after="0"/>
        <w:ind w:left="1927" w:right="978" w:hanging="340"/>
        <w:jc w:val="left"/>
        <w:rPr>
          <w:sz w:val="21"/>
        </w:rPr>
      </w:pPr>
      <w:r>
        <w:rPr>
          <w:i/>
          <w:spacing w:val="-3"/>
          <w:sz w:val="21"/>
        </w:rPr>
        <w:t>Conservation Covenants </w:t>
      </w:r>
      <w:r>
        <w:rPr>
          <w:sz w:val="21"/>
        </w:rPr>
        <w:t>(Web Page) &lt;</w:t>
      </w:r>
      <w:hyperlink r:id="rId433">
        <w:r>
          <w:rPr>
            <w:sz w:val="21"/>
          </w:rPr>
          <w:t>http://www.environment.gov.au/biodiversity/</w:t>
        </w:r>
      </w:hyperlink>
      <w:r>
        <w:rPr>
          <w:sz w:val="21"/>
        </w:rPr>
        <w:t> conservation/covenants&gt;</w:t>
      </w:r>
    </w:p>
    <w:p>
      <w:pPr>
        <w:pStyle w:val="ListParagraph"/>
        <w:numPr>
          <w:ilvl w:val="0"/>
          <w:numId w:val="219"/>
        </w:numPr>
        <w:tabs>
          <w:tab w:pos="1927" w:val="left" w:leader="none"/>
          <w:tab w:pos="1928" w:val="left" w:leader="none"/>
        </w:tabs>
        <w:spacing w:line="242" w:lineRule="auto" w:before="104" w:after="0"/>
        <w:ind w:left="1927" w:right="470" w:hanging="340"/>
        <w:jc w:val="left"/>
        <w:rPr>
          <w:sz w:val="21"/>
        </w:rPr>
      </w:pPr>
      <w:r>
        <w:rPr>
          <w:i/>
          <w:spacing w:val="-3"/>
          <w:w w:val="105"/>
          <w:sz w:val="21"/>
        </w:rPr>
        <w:t>Controlled</w:t>
      </w:r>
      <w:r>
        <w:rPr>
          <w:i/>
          <w:spacing w:val="-24"/>
          <w:w w:val="105"/>
          <w:sz w:val="21"/>
        </w:rPr>
        <w:t> </w:t>
      </w:r>
      <w:r>
        <w:rPr>
          <w:i/>
          <w:w w:val="105"/>
          <w:sz w:val="21"/>
        </w:rPr>
        <w:t>Actions—What</w:t>
      </w:r>
      <w:r>
        <w:rPr>
          <w:i/>
          <w:spacing w:val="-23"/>
          <w:w w:val="105"/>
          <w:sz w:val="21"/>
        </w:rPr>
        <w:t> </w:t>
      </w:r>
      <w:r>
        <w:rPr>
          <w:i/>
          <w:w w:val="105"/>
          <w:sz w:val="21"/>
        </w:rPr>
        <w:t>Next?</w:t>
      </w:r>
      <w:r>
        <w:rPr>
          <w:i/>
          <w:spacing w:val="-24"/>
          <w:w w:val="105"/>
          <w:sz w:val="21"/>
        </w:rPr>
        <w:t> </w:t>
      </w:r>
      <w:r>
        <w:rPr>
          <w:w w:val="105"/>
          <w:sz w:val="21"/>
        </w:rPr>
        <w:t>(Web</w:t>
      </w:r>
      <w:r>
        <w:rPr>
          <w:spacing w:val="-23"/>
          <w:w w:val="105"/>
          <w:sz w:val="21"/>
        </w:rPr>
        <w:t> </w:t>
      </w:r>
      <w:r>
        <w:rPr>
          <w:w w:val="105"/>
          <w:sz w:val="21"/>
        </w:rPr>
        <w:t>Page)</w:t>
      </w:r>
      <w:r>
        <w:rPr>
          <w:spacing w:val="-24"/>
          <w:w w:val="105"/>
          <w:sz w:val="21"/>
        </w:rPr>
        <w:t> </w:t>
      </w:r>
      <w:r>
        <w:rPr>
          <w:w w:val="105"/>
          <w:sz w:val="21"/>
        </w:rPr>
        <w:t>&lt;</w:t>
      </w:r>
      <w:hyperlink r:id="rId434">
        <w:r>
          <w:rPr>
            <w:w w:val="105"/>
            <w:sz w:val="21"/>
          </w:rPr>
          <w:t>http://www.environment.gov.au/heritage/</w:t>
        </w:r>
      </w:hyperlink>
      <w:r>
        <w:rPr>
          <w:w w:val="105"/>
          <w:sz w:val="21"/>
        </w:rPr>
        <w:t> management/referrals/controlled-actions&gt;</w:t>
      </w:r>
    </w:p>
    <w:p>
      <w:pPr>
        <w:pStyle w:val="ListParagraph"/>
        <w:numPr>
          <w:ilvl w:val="0"/>
          <w:numId w:val="219"/>
        </w:numPr>
        <w:tabs>
          <w:tab w:pos="1927" w:val="left" w:leader="none"/>
          <w:tab w:pos="1928" w:val="left" w:leader="none"/>
        </w:tabs>
        <w:spacing w:line="240" w:lineRule="auto" w:before="104" w:after="0"/>
        <w:ind w:left="1927" w:right="0" w:hanging="340"/>
        <w:jc w:val="left"/>
        <w:rPr>
          <w:sz w:val="21"/>
        </w:rPr>
      </w:pPr>
      <w:r>
        <w:rPr>
          <w:i/>
          <w:spacing w:val="-3"/>
          <w:w w:val="105"/>
          <w:sz w:val="21"/>
        </w:rPr>
        <w:t>Significant </w:t>
      </w:r>
      <w:r>
        <w:rPr>
          <w:i/>
          <w:w w:val="105"/>
          <w:sz w:val="21"/>
        </w:rPr>
        <w:t>Impact </w:t>
      </w:r>
      <w:r>
        <w:rPr>
          <w:i/>
          <w:spacing w:val="-3"/>
          <w:w w:val="105"/>
          <w:sz w:val="21"/>
        </w:rPr>
        <w:t>Guidelines </w:t>
      </w:r>
      <w:r>
        <w:rPr>
          <w:i/>
          <w:spacing w:val="-12"/>
          <w:w w:val="105"/>
          <w:sz w:val="21"/>
        </w:rPr>
        <w:t>1.1— </w:t>
      </w:r>
      <w:r>
        <w:rPr>
          <w:i/>
          <w:w w:val="105"/>
          <w:sz w:val="21"/>
        </w:rPr>
        <w:t>Matters </w:t>
      </w:r>
      <w:r>
        <w:rPr>
          <w:i/>
          <w:spacing w:val="-3"/>
          <w:w w:val="105"/>
          <w:sz w:val="21"/>
        </w:rPr>
        <w:t>of National Environmental Significance</w:t>
      </w:r>
      <w:r>
        <w:rPr>
          <w:i/>
          <w:spacing w:val="26"/>
          <w:w w:val="105"/>
          <w:sz w:val="21"/>
        </w:rPr>
        <w:t> </w:t>
      </w:r>
      <w:r>
        <w:rPr>
          <w:spacing w:val="-6"/>
          <w:w w:val="105"/>
          <w:sz w:val="21"/>
        </w:rPr>
        <w:t>(2013)</w:t>
      </w:r>
    </w:p>
    <w:p>
      <w:pPr>
        <w:pStyle w:val="BodyText"/>
        <w:spacing w:line="242" w:lineRule="auto" w:before="4"/>
        <w:ind w:left="1927" w:right="98"/>
      </w:pPr>
      <w:r>
        <w:rPr/>
        <w:t>&lt;</w:t>
      </w:r>
      <w:hyperlink r:id="rId435">
        <w:r>
          <w:rPr/>
          <w:t>http://www.environment.gov.au/epbc/publications/significant-impact-guidelines-11-matters-</w:t>
        </w:r>
      </w:hyperlink>
      <w:r>
        <w:rPr/>
        <w:t> </w:t>
      </w:r>
      <w:r>
        <w:rPr>
          <w:w w:val="105"/>
        </w:rPr>
        <w:t>national-environmental-significance&gt;</w:t>
      </w:r>
    </w:p>
    <w:p>
      <w:pPr>
        <w:pStyle w:val="ListParagraph"/>
        <w:numPr>
          <w:ilvl w:val="0"/>
          <w:numId w:val="219"/>
        </w:numPr>
        <w:tabs>
          <w:tab w:pos="1927" w:val="left" w:leader="none"/>
          <w:tab w:pos="1928" w:val="left" w:leader="none"/>
        </w:tabs>
        <w:spacing w:line="242" w:lineRule="auto" w:before="104" w:after="0"/>
        <w:ind w:left="1927" w:right="183" w:hanging="340"/>
        <w:jc w:val="left"/>
        <w:rPr>
          <w:sz w:val="21"/>
        </w:rPr>
      </w:pPr>
      <w:r>
        <w:rPr>
          <w:i/>
          <w:sz w:val="21"/>
        </w:rPr>
        <w:t>Victorian Assessment </w:t>
      </w:r>
      <w:r>
        <w:rPr>
          <w:i/>
          <w:spacing w:val="-3"/>
          <w:sz w:val="21"/>
        </w:rPr>
        <w:t>Bilateral </w:t>
      </w:r>
      <w:r>
        <w:rPr>
          <w:i/>
          <w:sz w:val="21"/>
        </w:rPr>
        <w:t>Agreement </w:t>
      </w:r>
      <w:r>
        <w:rPr>
          <w:spacing w:val="-4"/>
          <w:sz w:val="21"/>
        </w:rPr>
        <w:t>(27 </w:t>
      </w:r>
      <w:r>
        <w:rPr>
          <w:sz w:val="21"/>
        </w:rPr>
        <w:t>October </w:t>
      </w:r>
      <w:r>
        <w:rPr>
          <w:spacing w:val="-6"/>
          <w:sz w:val="21"/>
        </w:rPr>
        <w:t>2014) </w:t>
      </w:r>
      <w:r>
        <w:rPr>
          <w:sz w:val="21"/>
        </w:rPr>
        <w:t>&lt;</w:t>
      </w:r>
      <w:hyperlink r:id="rId436">
        <w:r>
          <w:rPr>
            <w:sz w:val="21"/>
          </w:rPr>
          <w:t>http://www.environment.gov.</w:t>
        </w:r>
      </w:hyperlink>
      <w:r>
        <w:rPr>
          <w:sz w:val="21"/>
        </w:rPr>
        <w:t> au/protection/environment-assessments/bilateral-agreements/vic&gt;</w:t>
      </w:r>
    </w:p>
    <w:p>
      <w:pPr>
        <w:pStyle w:val="BodyText"/>
        <w:spacing w:before="104"/>
        <w:ind w:left="1587"/>
      </w:pPr>
      <w:r>
        <w:rPr>
          <w:w w:val="105"/>
        </w:rPr>
        <w:t>Dispute Settlement Centre of Victoria,</w:t>
      </w:r>
    </w:p>
    <w:p>
      <w:pPr>
        <w:pStyle w:val="ListParagraph"/>
        <w:numPr>
          <w:ilvl w:val="0"/>
          <w:numId w:val="219"/>
        </w:numPr>
        <w:tabs>
          <w:tab w:pos="1927" w:val="left" w:leader="none"/>
          <w:tab w:pos="1928" w:val="left" w:leader="none"/>
        </w:tabs>
        <w:spacing w:line="240" w:lineRule="auto" w:before="106" w:after="0"/>
        <w:ind w:left="1927" w:right="0" w:hanging="340"/>
        <w:jc w:val="left"/>
        <w:rPr>
          <w:sz w:val="21"/>
        </w:rPr>
      </w:pPr>
      <w:r>
        <w:rPr>
          <w:i/>
          <w:w w:val="105"/>
          <w:sz w:val="21"/>
        </w:rPr>
        <w:t>About Us </w:t>
      </w:r>
      <w:r>
        <w:rPr>
          <w:w w:val="105"/>
          <w:sz w:val="21"/>
        </w:rPr>
        <w:t>(Web </w:t>
      </w:r>
      <w:r>
        <w:rPr>
          <w:spacing w:val="-3"/>
          <w:w w:val="105"/>
          <w:sz w:val="21"/>
        </w:rPr>
        <w:t>Page, </w:t>
      </w:r>
      <w:r>
        <w:rPr>
          <w:w w:val="105"/>
          <w:sz w:val="21"/>
        </w:rPr>
        <w:t>4 January </w:t>
      </w:r>
      <w:r>
        <w:rPr>
          <w:spacing w:val="-5"/>
          <w:w w:val="105"/>
          <w:sz w:val="21"/>
        </w:rPr>
        <w:t>2019)</w:t>
      </w:r>
      <w:r>
        <w:rPr>
          <w:spacing w:val="7"/>
          <w:w w:val="105"/>
          <w:sz w:val="21"/>
        </w:rPr>
        <w:t> </w:t>
      </w:r>
      <w:r>
        <w:rPr>
          <w:w w:val="105"/>
          <w:sz w:val="21"/>
        </w:rPr>
        <w:t>&lt;https://</w:t>
      </w:r>
      <w:hyperlink r:id="rId34">
        <w:r>
          <w:rPr>
            <w:w w:val="105"/>
            <w:sz w:val="21"/>
          </w:rPr>
          <w:t>www.disputes.vic.gov.au/about-us</w:t>
        </w:r>
      </w:hyperlink>
      <w:r>
        <w:rPr>
          <w:w w:val="105"/>
          <w:sz w:val="21"/>
        </w:rPr>
        <w:t>&gt;</w:t>
      </w:r>
    </w:p>
    <w:p>
      <w:pPr>
        <w:pStyle w:val="ListParagraph"/>
        <w:numPr>
          <w:ilvl w:val="0"/>
          <w:numId w:val="219"/>
        </w:numPr>
        <w:tabs>
          <w:tab w:pos="1927" w:val="left" w:leader="none"/>
          <w:tab w:pos="1928" w:val="left" w:leader="none"/>
        </w:tabs>
        <w:spacing w:line="242" w:lineRule="auto" w:before="105" w:after="0"/>
        <w:ind w:left="1927" w:right="748" w:hanging="340"/>
        <w:jc w:val="left"/>
        <w:rPr>
          <w:sz w:val="21"/>
        </w:rPr>
      </w:pPr>
      <w:r>
        <w:rPr>
          <w:i/>
          <w:w w:val="105"/>
          <w:sz w:val="21"/>
        </w:rPr>
        <w:t>Case</w:t>
      </w:r>
      <w:r>
        <w:rPr>
          <w:i/>
          <w:spacing w:val="-7"/>
          <w:w w:val="105"/>
          <w:sz w:val="21"/>
        </w:rPr>
        <w:t> </w:t>
      </w:r>
      <w:r>
        <w:rPr>
          <w:i/>
          <w:spacing w:val="-4"/>
          <w:w w:val="105"/>
          <w:sz w:val="21"/>
        </w:rPr>
        <w:t>Study—Tree</w:t>
      </w:r>
      <w:r>
        <w:rPr>
          <w:i/>
          <w:spacing w:val="-7"/>
          <w:w w:val="105"/>
          <w:sz w:val="21"/>
        </w:rPr>
        <w:t> </w:t>
      </w:r>
      <w:r>
        <w:rPr>
          <w:i/>
          <w:spacing w:val="-3"/>
          <w:w w:val="105"/>
          <w:sz w:val="21"/>
        </w:rPr>
        <w:t>Dispute</w:t>
      </w:r>
      <w:r>
        <w:rPr>
          <w:i/>
          <w:spacing w:val="-7"/>
          <w:w w:val="105"/>
          <w:sz w:val="21"/>
        </w:rPr>
        <w:t> </w:t>
      </w:r>
      <w:r>
        <w:rPr>
          <w:w w:val="105"/>
          <w:sz w:val="21"/>
        </w:rPr>
        <w:t>(Web</w:t>
      </w:r>
      <w:r>
        <w:rPr>
          <w:spacing w:val="-7"/>
          <w:w w:val="105"/>
          <w:sz w:val="21"/>
        </w:rPr>
        <w:t> </w:t>
      </w:r>
      <w:r>
        <w:rPr>
          <w:spacing w:val="-3"/>
          <w:w w:val="105"/>
          <w:sz w:val="21"/>
        </w:rPr>
        <w:t>Page,</w:t>
      </w:r>
      <w:r>
        <w:rPr>
          <w:spacing w:val="-7"/>
          <w:w w:val="105"/>
          <w:sz w:val="21"/>
        </w:rPr>
        <w:t> </w:t>
      </w:r>
      <w:r>
        <w:rPr>
          <w:w w:val="105"/>
          <w:sz w:val="21"/>
        </w:rPr>
        <w:t>3</w:t>
      </w:r>
      <w:r>
        <w:rPr>
          <w:spacing w:val="-7"/>
          <w:w w:val="105"/>
          <w:sz w:val="21"/>
        </w:rPr>
        <w:t> </w:t>
      </w:r>
      <w:r>
        <w:rPr>
          <w:w w:val="105"/>
          <w:sz w:val="21"/>
        </w:rPr>
        <w:t>June</w:t>
      </w:r>
      <w:r>
        <w:rPr>
          <w:spacing w:val="-7"/>
          <w:w w:val="105"/>
          <w:sz w:val="21"/>
        </w:rPr>
        <w:t> </w:t>
      </w:r>
      <w:r>
        <w:rPr>
          <w:spacing w:val="-5"/>
          <w:w w:val="105"/>
          <w:sz w:val="21"/>
        </w:rPr>
        <w:t>2019)</w:t>
      </w:r>
      <w:r>
        <w:rPr>
          <w:spacing w:val="-7"/>
          <w:w w:val="105"/>
          <w:sz w:val="21"/>
        </w:rPr>
        <w:t> </w:t>
      </w:r>
      <w:r>
        <w:rPr>
          <w:w w:val="105"/>
          <w:sz w:val="21"/>
        </w:rPr>
        <w:t>&lt;https://</w:t>
      </w:r>
      <w:hyperlink r:id="rId346">
        <w:r>
          <w:rPr>
            <w:w w:val="105"/>
            <w:sz w:val="21"/>
          </w:rPr>
          <w:t>www.disputes.vic.gov.au/</w:t>
        </w:r>
      </w:hyperlink>
      <w:r>
        <w:rPr>
          <w:w w:val="105"/>
          <w:sz w:val="21"/>
        </w:rPr>
        <w:t> information-and-advicetrees/case-study-tree-dispute&gt;</w:t>
      </w:r>
    </w:p>
    <w:p>
      <w:pPr>
        <w:pStyle w:val="ListParagraph"/>
        <w:numPr>
          <w:ilvl w:val="0"/>
          <w:numId w:val="219"/>
        </w:numPr>
        <w:tabs>
          <w:tab w:pos="1927" w:val="left" w:leader="none"/>
          <w:tab w:pos="1928" w:val="left" w:leader="none"/>
        </w:tabs>
        <w:spacing w:line="242" w:lineRule="auto" w:before="105" w:after="0"/>
        <w:ind w:left="1927" w:right="250" w:hanging="340"/>
        <w:jc w:val="left"/>
        <w:rPr>
          <w:sz w:val="21"/>
        </w:rPr>
      </w:pPr>
      <w:r>
        <w:rPr>
          <w:i/>
          <w:w w:val="105"/>
          <w:sz w:val="21"/>
        </w:rPr>
        <w:t>Civil</w:t>
      </w:r>
      <w:r>
        <w:rPr>
          <w:i/>
          <w:spacing w:val="-17"/>
          <w:w w:val="105"/>
          <w:sz w:val="21"/>
        </w:rPr>
        <w:t> </w:t>
      </w:r>
      <w:r>
        <w:rPr>
          <w:i/>
          <w:spacing w:val="-3"/>
          <w:w w:val="105"/>
          <w:sz w:val="21"/>
        </w:rPr>
        <w:t>Claims</w:t>
      </w:r>
      <w:r>
        <w:rPr>
          <w:i/>
          <w:spacing w:val="-17"/>
          <w:w w:val="105"/>
          <w:sz w:val="21"/>
        </w:rPr>
        <w:t> </w:t>
      </w:r>
      <w:r>
        <w:rPr>
          <w:i/>
          <w:w w:val="105"/>
          <w:sz w:val="21"/>
        </w:rPr>
        <w:t>Program</w:t>
      </w:r>
      <w:r>
        <w:rPr>
          <w:i/>
          <w:spacing w:val="-16"/>
          <w:w w:val="105"/>
          <w:sz w:val="21"/>
        </w:rPr>
        <w:t> </w:t>
      </w:r>
      <w:r>
        <w:rPr>
          <w:w w:val="105"/>
          <w:sz w:val="21"/>
        </w:rPr>
        <w:t>(Web</w:t>
      </w:r>
      <w:r>
        <w:rPr>
          <w:spacing w:val="-17"/>
          <w:w w:val="105"/>
          <w:sz w:val="21"/>
        </w:rPr>
        <w:t> </w:t>
      </w:r>
      <w:r>
        <w:rPr>
          <w:spacing w:val="-3"/>
          <w:w w:val="105"/>
          <w:sz w:val="21"/>
        </w:rPr>
        <w:t>Page,</w:t>
      </w:r>
      <w:r>
        <w:rPr>
          <w:spacing w:val="-16"/>
          <w:w w:val="105"/>
          <w:sz w:val="21"/>
        </w:rPr>
        <w:t> </w:t>
      </w:r>
      <w:r>
        <w:rPr>
          <w:spacing w:val="-5"/>
          <w:w w:val="105"/>
          <w:sz w:val="21"/>
        </w:rPr>
        <w:t>24</w:t>
      </w:r>
      <w:r>
        <w:rPr>
          <w:spacing w:val="-17"/>
          <w:w w:val="105"/>
          <w:sz w:val="21"/>
        </w:rPr>
        <w:t> </w:t>
      </w:r>
      <w:r>
        <w:rPr>
          <w:w w:val="105"/>
          <w:sz w:val="21"/>
        </w:rPr>
        <w:t>April</w:t>
      </w:r>
      <w:r>
        <w:rPr>
          <w:spacing w:val="-17"/>
          <w:w w:val="105"/>
          <w:sz w:val="21"/>
        </w:rPr>
        <w:t> </w:t>
      </w:r>
      <w:r>
        <w:rPr>
          <w:spacing w:val="-5"/>
          <w:w w:val="105"/>
          <w:sz w:val="21"/>
        </w:rPr>
        <w:t>2019)</w:t>
      </w:r>
      <w:r>
        <w:rPr>
          <w:spacing w:val="-16"/>
          <w:w w:val="105"/>
          <w:sz w:val="21"/>
        </w:rPr>
        <w:t> </w:t>
      </w:r>
      <w:r>
        <w:rPr>
          <w:w w:val="105"/>
          <w:sz w:val="21"/>
        </w:rPr>
        <w:t>&lt;https://</w:t>
      </w:r>
      <w:hyperlink r:id="rId81">
        <w:r>
          <w:rPr>
            <w:w w:val="105"/>
            <w:sz w:val="21"/>
          </w:rPr>
          <w:t>www.disputes.vic.gov.au/about-us/</w:t>
        </w:r>
      </w:hyperlink>
      <w:r>
        <w:rPr>
          <w:w w:val="105"/>
          <w:sz w:val="21"/>
        </w:rPr>
        <w:t> civil-claims-program&gt;</w:t>
      </w:r>
    </w:p>
    <w:p>
      <w:pPr>
        <w:pStyle w:val="ListParagraph"/>
        <w:numPr>
          <w:ilvl w:val="0"/>
          <w:numId w:val="219"/>
        </w:numPr>
        <w:tabs>
          <w:tab w:pos="1927" w:val="left" w:leader="none"/>
          <w:tab w:pos="1928" w:val="left" w:leader="none"/>
        </w:tabs>
        <w:spacing w:line="242" w:lineRule="auto" w:before="104" w:after="0"/>
        <w:ind w:left="1927" w:right="124" w:hanging="340"/>
        <w:jc w:val="left"/>
        <w:rPr>
          <w:sz w:val="21"/>
        </w:rPr>
      </w:pPr>
      <w:r>
        <w:rPr>
          <w:i/>
          <w:w w:val="105"/>
          <w:sz w:val="21"/>
        </w:rPr>
        <w:t>Civil</w:t>
      </w:r>
      <w:r>
        <w:rPr>
          <w:i/>
          <w:spacing w:val="-11"/>
          <w:w w:val="105"/>
          <w:sz w:val="21"/>
        </w:rPr>
        <w:t> </w:t>
      </w:r>
      <w:r>
        <w:rPr>
          <w:i/>
          <w:w w:val="105"/>
          <w:sz w:val="21"/>
        </w:rPr>
        <w:t>Mediation</w:t>
      </w:r>
      <w:r>
        <w:rPr>
          <w:i/>
          <w:spacing w:val="-11"/>
          <w:w w:val="105"/>
          <w:sz w:val="21"/>
        </w:rPr>
        <w:t> </w:t>
      </w:r>
      <w:r>
        <w:rPr>
          <w:i/>
          <w:spacing w:val="-3"/>
          <w:w w:val="105"/>
          <w:sz w:val="21"/>
        </w:rPr>
        <w:t>at</w:t>
      </w:r>
      <w:r>
        <w:rPr>
          <w:i/>
          <w:spacing w:val="-11"/>
          <w:w w:val="105"/>
          <w:sz w:val="21"/>
        </w:rPr>
        <w:t> </w:t>
      </w:r>
      <w:r>
        <w:rPr>
          <w:i/>
          <w:spacing w:val="-4"/>
          <w:w w:val="105"/>
          <w:sz w:val="21"/>
        </w:rPr>
        <w:t>VCAT</w:t>
      </w:r>
      <w:r>
        <w:rPr>
          <w:i/>
          <w:spacing w:val="-11"/>
          <w:w w:val="105"/>
          <w:sz w:val="21"/>
        </w:rPr>
        <w:t> </w:t>
      </w:r>
      <w:r>
        <w:rPr>
          <w:i/>
          <w:w w:val="105"/>
          <w:sz w:val="21"/>
        </w:rPr>
        <w:t>Program</w:t>
      </w:r>
      <w:r>
        <w:rPr>
          <w:i/>
          <w:spacing w:val="-10"/>
          <w:w w:val="105"/>
          <w:sz w:val="21"/>
        </w:rPr>
        <w:t> </w:t>
      </w:r>
      <w:r>
        <w:rPr>
          <w:w w:val="105"/>
          <w:sz w:val="21"/>
        </w:rPr>
        <w:t>(Web</w:t>
      </w:r>
      <w:r>
        <w:rPr>
          <w:spacing w:val="-11"/>
          <w:w w:val="105"/>
          <w:sz w:val="21"/>
        </w:rPr>
        <w:t> </w:t>
      </w:r>
      <w:r>
        <w:rPr>
          <w:spacing w:val="-3"/>
          <w:w w:val="105"/>
          <w:sz w:val="21"/>
        </w:rPr>
        <w:t>Page,</w:t>
      </w:r>
      <w:r>
        <w:rPr>
          <w:spacing w:val="-11"/>
          <w:w w:val="105"/>
          <w:sz w:val="21"/>
        </w:rPr>
        <w:t> </w:t>
      </w:r>
      <w:r>
        <w:rPr>
          <w:w w:val="105"/>
          <w:sz w:val="21"/>
        </w:rPr>
        <w:t>7</w:t>
      </w:r>
      <w:r>
        <w:rPr>
          <w:spacing w:val="-11"/>
          <w:w w:val="105"/>
          <w:sz w:val="21"/>
        </w:rPr>
        <w:t> </w:t>
      </w:r>
      <w:r>
        <w:rPr>
          <w:w w:val="105"/>
          <w:sz w:val="21"/>
        </w:rPr>
        <w:t>June</w:t>
      </w:r>
      <w:r>
        <w:rPr>
          <w:spacing w:val="-11"/>
          <w:w w:val="105"/>
          <w:sz w:val="21"/>
        </w:rPr>
        <w:t> </w:t>
      </w:r>
      <w:r>
        <w:rPr>
          <w:spacing w:val="-5"/>
          <w:w w:val="105"/>
          <w:sz w:val="21"/>
        </w:rPr>
        <w:t>2019)</w:t>
      </w:r>
      <w:r>
        <w:rPr>
          <w:spacing w:val="-10"/>
          <w:w w:val="105"/>
          <w:sz w:val="21"/>
        </w:rPr>
        <w:t> </w:t>
      </w:r>
      <w:r>
        <w:rPr>
          <w:w w:val="105"/>
          <w:sz w:val="21"/>
        </w:rPr>
        <w:t>&lt;https://</w:t>
      </w:r>
      <w:hyperlink r:id="rId346">
        <w:r>
          <w:rPr>
            <w:w w:val="105"/>
            <w:sz w:val="21"/>
          </w:rPr>
          <w:t>www.disputes.vic.gov.au/</w:t>
        </w:r>
      </w:hyperlink>
      <w:r>
        <w:rPr>
          <w:w w:val="105"/>
          <w:sz w:val="21"/>
        </w:rPr>
        <w:t> about-us/civil-mediation-at-vcat-program&gt;</w:t>
      </w:r>
    </w:p>
    <w:p>
      <w:pPr>
        <w:pStyle w:val="ListParagraph"/>
        <w:numPr>
          <w:ilvl w:val="0"/>
          <w:numId w:val="219"/>
        </w:numPr>
        <w:tabs>
          <w:tab w:pos="1927" w:val="left" w:leader="none"/>
          <w:tab w:pos="1928" w:val="left" w:leader="none"/>
        </w:tabs>
        <w:spacing w:line="242" w:lineRule="auto" w:before="104" w:after="0"/>
        <w:ind w:left="1927" w:right="159" w:hanging="340"/>
        <w:jc w:val="left"/>
        <w:rPr>
          <w:sz w:val="21"/>
        </w:rPr>
      </w:pPr>
      <w:r>
        <w:rPr>
          <w:i/>
          <w:spacing w:val="-3"/>
          <w:w w:val="105"/>
          <w:sz w:val="21"/>
        </w:rPr>
        <w:t>Community Engagement Workshops </w:t>
      </w:r>
      <w:r>
        <w:rPr>
          <w:w w:val="105"/>
          <w:sz w:val="21"/>
        </w:rPr>
        <w:t>(Web </w:t>
      </w:r>
      <w:r>
        <w:rPr>
          <w:spacing w:val="-3"/>
          <w:w w:val="105"/>
          <w:sz w:val="21"/>
        </w:rPr>
        <w:t>Page, </w:t>
      </w:r>
      <w:r>
        <w:rPr>
          <w:spacing w:val="-7"/>
          <w:w w:val="105"/>
          <w:sz w:val="21"/>
        </w:rPr>
        <w:t>21 </w:t>
      </w:r>
      <w:r>
        <w:rPr>
          <w:spacing w:val="-3"/>
          <w:w w:val="105"/>
          <w:sz w:val="21"/>
        </w:rPr>
        <w:t>March </w:t>
      </w:r>
      <w:r>
        <w:rPr>
          <w:spacing w:val="-5"/>
          <w:w w:val="105"/>
          <w:sz w:val="21"/>
        </w:rPr>
        <w:t>2019) </w:t>
      </w:r>
      <w:r>
        <w:rPr>
          <w:w w:val="105"/>
          <w:sz w:val="21"/>
        </w:rPr>
        <w:t>&lt;https://</w:t>
      </w:r>
      <w:hyperlink r:id="rId63">
        <w:r>
          <w:rPr>
            <w:w w:val="105"/>
            <w:sz w:val="21"/>
          </w:rPr>
          <w:t>www.disputes.vic.</w:t>
        </w:r>
      </w:hyperlink>
      <w:r>
        <w:rPr>
          <w:w w:val="105"/>
          <w:sz w:val="21"/>
        </w:rPr>
        <w:t> gov.au/training-and-room-hire/community-engagement-workshops&gt;</w:t>
      </w:r>
    </w:p>
    <w:p>
      <w:pPr>
        <w:pStyle w:val="ListParagraph"/>
        <w:numPr>
          <w:ilvl w:val="0"/>
          <w:numId w:val="219"/>
        </w:numPr>
        <w:tabs>
          <w:tab w:pos="1927" w:val="left" w:leader="none"/>
          <w:tab w:pos="1928" w:val="left" w:leader="none"/>
        </w:tabs>
        <w:spacing w:line="242" w:lineRule="auto" w:before="104" w:after="0"/>
        <w:ind w:left="1927" w:right="125" w:hanging="340"/>
        <w:jc w:val="left"/>
        <w:rPr>
          <w:sz w:val="21"/>
        </w:rPr>
      </w:pPr>
      <w:r>
        <w:rPr>
          <w:i/>
          <w:spacing w:val="-3"/>
          <w:w w:val="105"/>
          <w:sz w:val="21"/>
        </w:rPr>
        <w:t>Dispute</w:t>
      </w:r>
      <w:r>
        <w:rPr>
          <w:i/>
          <w:spacing w:val="-16"/>
          <w:w w:val="105"/>
          <w:sz w:val="21"/>
        </w:rPr>
        <w:t> </w:t>
      </w:r>
      <w:r>
        <w:rPr>
          <w:i/>
          <w:spacing w:val="-2"/>
          <w:w w:val="105"/>
          <w:sz w:val="21"/>
        </w:rPr>
        <w:t>Advice</w:t>
      </w:r>
      <w:r>
        <w:rPr>
          <w:i/>
          <w:spacing w:val="-15"/>
          <w:w w:val="105"/>
          <w:sz w:val="21"/>
        </w:rPr>
        <w:t> </w:t>
      </w:r>
      <w:r>
        <w:rPr>
          <w:w w:val="105"/>
          <w:sz w:val="21"/>
        </w:rPr>
        <w:t>(Web</w:t>
      </w:r>
      <w:r>
        <w:rPr>
          <w:spacing w:val="-15"/>
          <w:w w:val="105"/>
          <w:sz w:val="21"/>
        </w:rPr>
        <w:t> </w:t>
      </w:r>
      <w:r>
        <w:rPr>
          <w:spacing w:val="-3"/>
          <w:w w:val="105"/>
          <w:sz w:val="21"/>
        </w:rPr>
        <w:t>Page,</w:t>
      </w:r>
      <w:r>
        <w:rPr>
          <w:spacing w:val="-16"/>
          <w:w w:val="105"/>
          <w:sz w:val="21"/>
        </w:rPr>
        <w:t> </w:t>
      </w:r>
      <w:r>
        <w:rPr>
          <w:w w:val="105"/>
          <w:sz w:val="21"/>
        </w:rPr>
        <w:t>4</w:t>
      </w:r>
      <w:r>
        <w:rPr>
          <w:spacing w:val="-15"/>
          <w:w w:val="105"/>
          <w:sz w:val="21"/>
        </w:rPr>
        <w:t> </w:t>
      </w:r>
      <w:r>
        <w:rPr>
          <w:w w:val="105"/>
          <w:sz w:val="21"/>
        </w:rPr>
        <w:t>April</w:t>
      </w:r>
      <w:r>
        <w:rPr>
          <w:spacing w:val="-15"/>
          <w:w w:val="105"/>
          <w:sz w:val="21"/>
        </w:rPr>
        <w:t> </w:t>
      </w:r>
      <w:r>
        <w:rPr>
          <w:spacing w:val="-5"/>
          <w:w w:val="105"/>
          <w:sz w:val="21"/>
        </w:rPr>
        <w:t>2019)</w:t>
      </w:r>
      <w:r>
        <w:rPr>
          <w:spacing w:val="-16"/>
          <w:w w:val="105"/>
          <w:sz w:val="21"/>
        </w:rPr>
        <w:t> </w:t>
      </w:r>
      <w:r>
        <w:rPr>
          <w:w w:val="105"/>
          <w:sz w:val="21"/>
        </w:rPr>
        <w:t>&lt;https://</w:t>
      </w:r>
      <w:hyperlink r:id="rId60">
        <w:r>
          <w:rPr>
            <w:w w:val="105"/>
            <w:sz w:val="21"/>
          </w:rPr>
          <w:t>www.disputes.vic.gov.au/about-us/dispute-</w:t>
        </w:r>
      </w:hyperlink>
      <w:r>
        <w:rPr>
          <w:w w:val="105"/>
          <w:sz w:val="21"/>
        </w:rPr>
        <w:t> advice-0&gt;</w:t>
      </w:r>
    </w:p>
    <w:p>
      <w:pPr>
        <w:pStyle w:val="ListParagraph"/>
        <w:numPr>
          <w:ilvl w:val="0"/>
          <w:numId w:val="219"/>
        </w:numPr>
        <w:tabs>
          <w:tab w:pos="1927" w:val="left" w:leader="none"/>
          <w:tab w:pos="1928" w:val="left" w:leader="none"/>
        </w:tabs>
        <w:spacing w:line="242" w:lineRule="auto" w:before="104" w:after="0"/>
        <w:ind w:left="1927" w:right="477" w:hanging="340"/>
        <w:jc w:val="left"/>
        <w:rPr>
          <w:sz w:val="21"/>
        </w:rPr>
      </w:pPr>
      <w:r>
        <w:rPr>
          <w:i/>
          <w:w w:val="105"/>
          <w:sz w:val="21"/>
        </w:rPr>
        <w:t>DSCV</w:t>
      </w:r>
      <w:r>
        <w:rPr>
          <w:i/>
          <w:spacing w:val="-11"/>
          <w:w w:val="105"/>
          <w:sz w:val="21"/>
        </w:rPr>
        <w:t> </w:t>
      </w:r>
      <w:r>
        <w:rPr>
          <w:i/>
          <w:spacing w:val="-5"/>
          <w:w w:val="105"/>
          <w:sz w:val="21"/>
        </w:rPr>
        <w:t>FAQS</w:t>
      </w:r>
      <w:r>
        <w:rPr>
          <w:i/>
          <w:spacing w:val="-10"/>
          <w:w w:val="105"/>
          <w:sz w:val="21"/>
        </w:rPr>
        <w:t> </w:t>
      </w:r>
      <w:r>
        <w:rPr>
          <w:w w:val="105"/>
          <w:sz w:val="21"/>
        </w:rPr>
        <w:t>(Web</w:t>
      </w:r>
      <w:r>
        <w:rPr>
          <w:spacing w:val="-10"/>
          <w:w w:val="105"/>
          <w:sz w:val="21"/>
        </w:rPr>
        <w:t> </w:t>
      </w:r>
      <w:r>
        <w:rPr>
          <w:spacing w:val="-3"/>
          <w:w w:val="105"/>
          <w:sz w:val="21"/>
        </w:rPr>
        <w:t>Page,</w:t>
      </w:r>
      <w:r>
        <w:rPr>
          <w:spacing w:val="-10"/>
          <w:w w:val="105"/>
          <w:sz w:val="21"/>
        </w:rPr>
        <w:t> </w:t>
      </w:r>
      <w:r>
        <w:rPr>
          <w:w w:val="105"/>
          <w:sz w:val="21"/>
        </w:rPr>
        <w:t>3</w:t>
      </w:r>
      <w:r>
        <w:rPr>
          <w:spacing w:val="-10"/>
          <w:w w:val="105"/>
          <w:sz w:val="21"/>
        </w:rPr>
        <w:t> </w:t>
      </w:r>
      <w:r>
        <w:rPr>
          <w:w w:val="105"/>
          <w:sz w:val="21"/>
        </w:rPr>
        <w:t>June</w:t>
      </w:r>
      <w:r>
        <w:rPr>
          <w:spacing w:val="-10"/>
          <w:w w:val="105"/>
          <w:sz w:val="21"/>
        </w:rPr>
        <w:t> </w:t>
      </w:r>
      <w:r>
        <w:rPr>
          <w:spacing w:val="-5"/>
          <w:w w:val="105"/>
          <w:sz w:val="21"/>
        </w:rPr>
        <w:t>2019)</w:t>
      </w:r>
      <w:r>
        <w:rPr>
          <w:spacing w:val="-10"/>
          <w:w w:val="105"/>
          <w:sz w:val="21"/>
        </w:rPr>
        <w:t> </w:t>
      </w:r>
      <w:r>
        <w:rPr>
          <w:w w:val="105"/>
          <w:sz w:val="21"/>
        </w:rPr>
        <w:t>&lt;https://</w:t>
      </w:r>
      <w:hyperlink r:id="rId134">
        <w:r>
          <w:rPr>
            <w:w w:val="105"/>
            <w:sz w:val="21"/>
          </w:rPr>
          <w:t>www.disputes.vic.gov.au/information-and-</w:t>
        </w:r>
      </w:hyperlink>
      <w:r>
        <w:rPr>
          <w:w w:val="105"/>
          <w:sz w:val="21"/>
        </w:rPr>
        <w:t> advice/dscv-faqs&gt;</w:t>
      </w:r>
    </w:p>
    <w:p>
      <w:pPr>
        <w:pStyle w:val="ListParagraph"/>
        <w:numPr>
          <w:ilvl w:val="0"/>
          <w:numId w:val="219"/>
        </w:numPr>
        <w:tabs>
          <w:tab w:pos="1927" w:val="left" w:leader="none"/>
          <w:tab w:pos="1928" w:val="left" w:leader="none"/>
        </w:tabs>
        <w:spacing w:line="242" w:lineRule="auto" w:before="105" w:after="0"/>
        <w:ind w:left="1927" w:right="217" w:hanging="340"/>
        <w:jc w:val="left"/>
        <w:rPr>
          <w:sz w:val="21"/>
        </w:rPr>
      </w:pPr>
      <w:r>
        <w:rPr>
          <w:i/>
          <w:spacing w:val="-3"/>
          <w:w w:val="105"/>
          <w:sz w:val="21"/>
        </w:rPr>
        <w:t>Frequently</w:t>
      </w:r>
      <w:r>
        <w:rPr>
          <w:i/>
          <w:spacing w:val="-10"/>
          <w:w w:val="105"/>
          <w:sz w:val="21"/>
        </w:rPr>
        <w:t> </w:t>
      </w:r>
      <w:r>
        <w:rPr>
          <w:i/>
          <w:w w:val="105"/>
          <w:sz w:val="21"/>
        </w:rPr>
        <w:t>Asked</w:t>
      </w:r>
      <w:r>
        <w:rPr>
          <w:i/>
          <w:spacing w:val="-10"/>
          <w:w w:val="105"/>
          <w:sz w:val="21"/>
        </w:rPr>
        <w:t> </w:t>
      </w:r>
      <w:r>
        <w:rPr>
          <w:i/>
          <w:w w:val="105"/>
          <w:sz w:val="21"/>
        </w:rPr>
        <w:t>Questions—Fences</w:t>
      </w:r>
      <w:r>
        <w:rPr>
          <w:i/>
          <w:spacing w:val="-10"/>
          <w:w w:val="105"/>
          <w:sz w:val="21"/>
        </w:rPr>
        <w:t> </w:t>
      </w:r>
      <w:r>
        <w:rPr>
          <w:w w:val="105"/>
          <w:sz w:val="21"/>
        </w:rPr>
        <w:t>(Web</w:t>
      </w:r>
      <w:r>
        <w:rPr>
          <w:spacing w:val="-10"/>
          <w:w w:val="105"/>
          <w:sz w:val="21"/>
        </w:rPr>
        <w:t> </w:t>
      </w:r>
      <w:r>
        <w:rPr>
          <w:spacing w:val="-3"/>
          <w:w w:val="105"/>
          <w:sz w:val="21"/>
        </w:rPr>
        <w:t>Page,</w:t>
      </w:r>
      <w:r>
        <w:rPr>
          <w:spacing w:val="-10"/>
          <w:w w:val="105"/>
          <w:sz w:val="21"/>
        </w:rPr>
        <w:t> </w:t>
      </w:r>
      <w:r>
        <w:rPr>
          <w:w w:val="105"/>
          <w:sz w:val="21"/>
        </w:rPr>
        <w:t>April</w:t>
      </w:r>
      <w:r>
        <w:rPr>
          <w:spacing w:val="-10"/>
          <w:w w:val="105"/>
          <w:sz w:val="21"/>
        </w:rPr>
        <w:t> </w:t>
      </w:r>
      <w:r>
        <w:rPr>
          <w:spacing w:val="-7"/>
          <w:w w:val="105"/>
          <w:sz w:val="21"/>
        </w:rPr>
        <w:t>2017)</w:t>
      </w:r>
      <w:r>
        <w:rPr>
          <w:spacing w:val="-10"/>
          <w:w w:val="105"/>
          <w:sz w:val="21"/>
        </w:rPr>
        <w:t> </w:t>
      </w:r>
      <w:r>
        <w:rPr>
          <w:w w:val="105"/>
          <w:sz w:val="21"/>
        </w:rPr>
        <w:t>&lt;https://</w:t>
      </w:r>
      <w:hyperlink r:id="rId66">
        <w:r>
          <w:rPr>
            <w:w w:val="105"/>
            <w:sz w:val="21"/>
          </w:rPr>
          <w:t>www.disputes.vic.gov.</w:t>
        </w:r>
      </w:hyperlink>
      <w:r>
        <w:rPr>
          <w:w w:val="105"/>
          <w:sz w:val="21"/>
        </w:rPr>
        <w:t> au/information-and-advice/fencing/frequently-asked-questions-fences&gt;</w:t>
      </w:r>
    </w:p>
    <w:p>
      <w:pPr>
        <w:pStyle w:val="ListParagraph"/>
        <w:numPr>
          <w:ilvl w:val="0"/>
          <w:numId w:val="219"/>
        </w:numPr>
        <w:tabs>
          <w:tab w:pos="1927" w:val="left" w:leader="none"/>
          <w:tab w:pos="1928" w:val="left" w:leader="none"/>
        </w:tabs>
        <w:spacing w:line="240" w:lineRule="auto" w:before="104" w:after="0"/>
        <w:ind w:left="1927" w:right="0" w:hanging="340"/>
        <w:jc w:val="left"/>
        <w:rPr>
          <w:sz w:val="21"/>
        </w:rPr>
      </w:pPr>
      <w:r>
        <w:rPr>
          <w:i/>
          <w:spacing w:val="-3"/>
          <w:w w:val="105"/>
          <w:sz w:val="21"/>
        </w:rPr>
        <w:t>Mediation</w:t>
      </w:r>
      <w:r>
        <w:rPr>
          <w:i/>
          <w:spacing w:val="-15"/>
          <w:w w:val="105"/>
          <w:sz w:val="21"/>
        </w:rPr>
        <w:t> </w:t>
      </w:r>
      <w:r>
        <w:rPr>
          <w:w w:val="105"/>
          <w:sz w:val="21"/>
        </w:rPr>
        <w:t>(Web</w:t>
      </w:r>
      <w:r>
        <w:rPr>
          <w:spacing w:val="-14"/>
          <w:w w:val="105"/>
          <w:sz w:val="21"/>
        </w:rPr>
        <w:t> </w:t>
      </w:r>
      <w:r>
        <w:rPr>
          <w:spacing w:val="-3"/>
          <w:w w:val="105"/>
          <w:sz w:val="21"/>
        </w:rPr>
        <w:t>Page,</w:t>
      </w:r>
      <w:r>
        <w:rPr>
          <w:spacing w:val="-14"/>
          <w:w w:val="105"/>
          <w:sz w:val="21"/>
        </w:rPr>
        <w:t> </w:t>
      </w:r>
      <w:r>
        <w:rPr>
          <w:w w:val="105"/>
          <w:sz w:val="21"/>
        </w:rPr>
        <w:t>3</w:t>
      </w:r>
      <w:r>
        <w:rPr>
          <w:spacing w:val="-14"/>
          <w:w w:val="105"/>
          <w:sz w:val="21"/>
        </w:rPr>
        <w:t> </w:t>
      </w:r>
      <w:r>
        <w:rPr>
          <w:w w:val="105"/>
          <w:sz w:val="21"/>
        </w:rPr>
        <w:t>June</w:t>
      </w:r>
      <w:r>
        <w:rPr>
          <w:spacing w:val="-14"/>
          <w:w w:val="105"/>
          <w:sz w:val="21"/>
        </w:rPr>
        <w:t> </w:t>
      </w:r>
      <w:r>
        <w:rPr>
          <w:spacing w:val="-5"/>
          <w:w w:val="105"/>
          <w:sz w:val="21"/>
        </w:rPr>
        <w:t>2019)</w:t>
      </w:r>
      <w:r>
        <w:rPr>
          <w:spacing w:val="-14"/>
          <w:w w:val="105"/>
          <w:sz w:val="21"/>
        </w:rPr>
        <w:t> </w:t>
      </w:r>
      <w:r>
        <w:rPr>
          <w:w w:val="105"/>
          <w:sz w:val="21"/>
        </w:rPr>
        <w:t>&lt;https://</w:t>
      </w:r>
      <w:hyperlink r:id="rId62">
        <w:r>
          <w:rPr>
            <w:w w:val="105"/>
            <w:sz w:val="21"/>
          </w:rPr>
          <w:t>www.disputes.vic.gov.au/about-us/mediation-0</w:t>
        </w:r>
      </w:hyperlink>
      <w:r>
        <w:rPr>
          <w:w w:val="105"/>
          <w:sz w:val="21"/>
        </w:rPr>
        <w:t>&gt;</w:t>
      </w:r>
    </w:p>
    <w:p>
      <w:pPr>
        <w:pStyle w:val="ListParagraph"/>
        <w:numPr>
          <w:ilvl w:val="0"/>
          <w:numId w:val="219"/>
        </w:numPr>
        <w:tabs>
          <w:tab w:pos="1927" w:val="left" w:leader="none"/>
          <w:tab w:pos="1928" w:val="left" w:leader="none"/>
        </w:tabs>
        <w:spacing w:line="242" w:lineRule="auto" w:before="105" w:after="0"/>
        <w:ind w:left="1927" w:right="27" w:hanging="340"/>
        <w:jc w:val="left"/>
        <w:rPr>
          <w:sz w:val="21"/>
        </w:rPr>
      </w:pPr>
      <w:r>
        <w:rPr>
          <w:i/>
          <w:spacing w:val="-3"/>
          <w:w w:val="105"/>
          <w:sz w:val="21"/>
        </w:rPr>
        <w:t>Notice</w:t>
      </w:r>
      <w:r>
        <w:rPr>
          <w:i/>
          <w:spacing w:val="-14"/>
          <w:w w:val="105"/>
          <w:sz w:val="21"/>
        </w:rPr>
        <w:t> </w:t>
      </w:r>
      <w:r>
        <w:rPr>
          <w:i/>
          <w:w w:val="105"/>
          <w:sz w:val="21"/>
        </w:rPr>
        <w:t>to</w:t>
      </w:r>
      <w:r>
        <w:rPr>
          <w:i/>
          <w:spacing w:val="-13"/>
          <w:w w:val="105"/>
          <w:sz w:val="21"/>
        </w:rPr>
        <w:t> </w:t>
      </w:r>
      <w:r>
        <w:rPr>
          <w:i/>
          <w:w w:val="105"/>
          <w:sz w:val="21"/>
        </w:rPr>
        <w:t>Fence</w:t>
      </w:r>
      <w:r>
        <w:rPr>
          <w:i/>
          <w:spacing w:val="-13"/>
          <w:w w:val="105"/>
          <w:sz w:val="21"/>
        </w:rPr>
        <w:t> </w:t>
      </w:r>
      <w:r>
        <w:rPr>
          <w:w w:val="105"/>
          <w:sz w:val="21"/>
        </w:rPr>
        <w:t>(Web</w:t>
      </w:r>
      <w:r>
        <w:rPr>
          <w:spacing w:val="-13"/>
          <w:w w:val="105"/>
          <w:sz w:val="21"/>
        </w:rPr>
        <w:t> </w:t>
      </w:r>
      <w:r>
        <w:rPr>
          <w:spacing w:val="-3"/>
          <w:w w:val="105"/>
          <w:sz w:val="21"/>
        </w:rPr>
        <w:t>Page,</w:t>
      </w:r>
      <w:r>
        <w:rPr>
          <w:spacing w:val="-14"/>
          <w:w w:val="105"/>
          <w:sz w:val="21"/>
        </w:rPr>
        <w:t> </w:t>
      </w:r>
      <w:r>
        <w:rPr>
          <w:spacing w:val="-9"/>
          <w:w w:val="105"/>
          <w:sz w:val="21"/>
        </w:rPr>
        <w:t>12</w:t>
      </w:r>
      <w:r>
        <w:rPr>
          <w:spacing w:val="-13"/>
          <w:w w:val="105"/>
          <w:sz w:val="21"/>
        </w:rPr>
        <w:t> </w:t>
      </w:r>
      <w:r>
        <w:rPr>
          <w:w w:val="105"/>
          <w:sz w:val="21"/>
        </w:rPr>
        <w:t>April</w:t>
      </w:r>
      <w:r>
        <w:rPr>
          <w:spacing w:val="-13"/>
          <w:w w:val="105"/>
          <w:sz w:val="21"/>
        </w:rPr>
        <w:t> </w:t>
      </w:r>
      <w:r>
        <w:rPr>
          <w:spacing w:val="-5"/>
          <w:w w:val="105"/>
          <w:sz w:val="21"/>
        </w:rPr>
        <w:t>2019)</w:t>
      </w:r>
      <w:r>
        <w:rPr>
          <w:spacing w:val="-13"/>
          <w:w w:val="105"/>
          <w:sz w:val="21"/>
        </w:rPr>
        <w:t> </w:t>
      </w:r>
      <w:r>
        <w:rPr>
          <w:w w:val="105"/>
          <w:sz w:val="21"/>
        </w:rPr>
        <w:t>&lt;https://</w:t>
      </w:r>
      <w:hyperlink r:id="rId134">
        <w:r>
          <w:rPr>
            <w:w w:val="105"/>
            <w:sz w:val="21"/>
          </w:rPr>
          <w:t>www.disputes.vic.gov.au/information-and-</w:t>
        </w:r>
      </w:hyperlink>
      <w:r>
        <w:rPr>
          <w:w w:val="105"/>
          <w:sz w:val="21"/>
        </w:rPr>
        <w:t> advice/fencing/notice-to-fence&gt;</w:t>
      </w:r>
    </w:p>
    <w:p>
      <w:pPr>
        <w:pStyle w:val="ListParagraph"/>
        <w:numPr>
          <w:ilvl w:val="0"/>
          <w:numId w:val="219"/>
        </w:numPr>
        <w:tabs>
          <w:tab w:pos="1927" w:val="left" w:leader="none"/>
          <w:tab w:pos="1928" w:val="left" w:leader="none"/>
        </w:tabs>
        <w:spacing w:line="242" w:lineRule="auto" w:before="105" w:after="0"/>
        <w:ind w:left="1927" w:right="310" w:hanging="340"/>
        <w:jc w:val="left"/>
        <w:rPr>
          <w:sz w:val="21"/>
        </w:rPr>
      </w:pPr>
      <w:r>
        <w:rPr>
          <w:i/>
          <w:spacing w:val="-4"/>
          <w:w w:val="105"/>
          <w:sz w:val="21"/>
        </w:rPr>
        <w:t>Trees</w:t>
      </w:r>
      <w:r>
        <w:rPr>
          <w:i/>
          <w:spacing w:val="-25"/>
          <w:w w:val="105"/>
          <w:sz w:val="21"/>
        </w:rPr>
        <w:t> </w:t>
      </w:r>
      <w:r>
        <w:rPr>
          <w:w w:val="105"/>
          <w:sz w:val="21"/>
        </w:rPr>
        <w:t>(Web</w:t>
      </w:r>
      <w:r>
        <w:rPr>
          <w:spacing w:val="-24"/>
          <w:w w:val="105"/>
          <w:sz w:val="21"/>
        </w:rPr>
        <w:t> </w:t>
      </w:r>
      <w:r>
        <w:rPr>
          <w:spacing w:val="-3"/>
          <w:w w:val="105"/>
          <w:sz w:val="21"/>
        </w:rPr>
        <w:t>Page,</w:t>
      </w:r>
      <w:r>
        <w:rPr>
          <w:spacing w:val="-24"/>
          <w:w w:val="105"/>
          <w:sz w:val="21"/>
        </w:rPr>
        <w:t> </w:t>
      </w:r>
      <w:r>
        <w:rPr>
          <w:spacing w:val="-5"/>
          <w:w w:val="105"/>
          <w:sz w:val="21"/>
        </w:rPr>
        <w:t>24</w:t>
      </w:r>
      <w:r>
        <w:rPr>
          <w:spacing w:val="-24"/>
          <w:w w:val="105"/>
          <w:sz w:val="21"/>
        </w:rPr>
        <w:t> </w:t>
      </w:r>
      <w:r>
        <w:rPr>
          <w:w w:val="105"/>
          <w:sz w:val="21"/>
        </w:rPr>
        <w:t>April</w:t>
      </w:r>
      <w:r>
        <w:rPr>
          <w:spacing w:val="-24"/>
          <w:w w:val="105"/>
          <w:sz w:val="21"/>
        </w:rPr>
        <w:t> </w:t>
      </w:r>
      <w:r>
        <w:rPr>
          <w:spacing w:val="-5"/>
          <w:w w:val="105"/>
          <w:sz w:val="21"/>
        </w:rPr>
        <w:t>2019)</w:t>
      </w:r>
      <w:r>
        <w:rPr>
          <w:spacing w:val="-24"/>
          <w:w w:val="105"/>
          <w:sz w:val="21"/>
        </w:rPr>
        <w:t> </w:t>
      </w:r>
      <w:r>
        <w:rPr>
          <w:w w:val="105"/>
          <w:sz w:val="21"/>
        </w:rPr>
        <w:t>&lt;https://</w:t>
      </w:r>
      <w:hyperlink r:id="rId55">
        <w:r>
          <w:rPr>
            <w:w w:val="105"/>
            <w:sz w:val="21"/>
          </w:rPr>
          <w:t>www.disputes.vic.gov.au/information-and-advice/</w:t>
        </w:r>
      </w:hyperlink>
      <w:r>
        <w:rPr>
          <w:w w:val="105"/>
          <w:sz w:val="21"/>
        </w:rPr>
        <w:t> trees-0&gt;</w:t>
      </w:r>
    </w:p>
    <w:p>
      <w:pPr>
        <w:pStyle w:val="BodyText"/>
        <w:spacing w:before="104"/>
        <w:ind w:left="1587"/>
      </w:pPr>
      <w:r>
        <w:rPr>
          <w:w w:val="105"/>
        </w:rPr>
        <w:t>Disputes Tribunal of New Zealand,</w:t>
      </w:r>
    </w:p>
    <w:p>
      <w:pPr>
        <w:pStyle w:val="ListParagraph"/>
        <w:numPr>
          <w:ilvl w:val="0"/>
          <w:numId w:val="219"/>
        </w:numPr>
        <w:tabs>
          <w:tab w:pos="1927" w:val="left" w:leader="none"/>
          <w:tab w:pos="1928" w:val="left" w:leader="none"/>
        </w:tabs>
        <w:spacing w:line="240" w:lineRule="auto" w:before="106" w:after="0"/>
        <w:ind w:left="1927" w:right="0" w:hanging="340"/>
        <w:jc w:val="left"/>
        <w:rPr>
          <w:sz w:val="21"/>
        </w:rPr>
      </w:pPr>
      <w:r>
        <w:rPr>
          <w:i/>
          <w:w w:val="105"/>
          <w:sz w:val="21"/>
        </w:rPr>
        <w:t>About</w:t>
      </w:r>
      <w:r>
        <w:rPr>
          <w:i/>
          <w:spacing w:val="-12"/>
          <w:w w:val="105"/>
          <w:sz w:val="21"/>
        </w:rPr>
        <w:t> </w:t>
      </w:r>
      <w:r>
        <w:rPr>
          <w:i/>
          <w:w w:val="105"/>
          <w:sz w:val="21"/>
        </w:rPr>
        <w:t>the</w:t>
      </w:r>
      <w:r>
        <w:rPr>
          <w:i/>
          <w:spacing w:val="-11"/>
          <w:w w:val="105"/>
          <w:sz w:val="21"/>
        </w:rPr>
        <w:t> </w:t>
      </w:r>
      <w:r>
        <w:rPr>
          <w:i/>
          <w:spacing w:val="-4"/>
          <w:w w:val="105"/>
          <w:sz w:val="21"/>
        </w:rPr>
        <w:t>Tribunal</w:t>
      </w:r>
      <w:r>
        <w:rPr>
          <w:i/>
          <w:spacing w:val="-11"/>
          <w:w w:val="105"/>
          <w:sz w:val="21"/>
        </w:rPr>
        <w:t> </w:t>
      </w:r>
      <w:r>
        <w:rPr>
          <w:w w:val="105"/>
          <w:sz w:val="21"/>
        </w:rPr>
        <w:t>(Web</w:t>
      </w:r>
      <w:r>
        <w:rPr>
          <w:spacing w:val="-11"/>
          <w:w w:val="105"/>
          <w:sz w:val="21"/>
        </w:rPr>
        <w:t> </w:t>
      </w:r>
      <w:r>
        <w:rPr>
          <w:spacing w:val="-3"/>
          <w:w w:val="105"/>
          <w:sz w:val="21"/>
        </w:rPr>
        <w:t>Page,</w:t>
      </w:r>
      <w:r>
        <w:rPr>
          <w:spacing w:val="-11"/>
          <w:w w:val="105"/>
          <w:sz w:val="21"/>
        </w:rPr>
        <w:t> </w:t>
      </w:r>
      <w:r>
        <w:rPr>
          <w:w w:val="105"/>
          <w:sz w:val="21"/>
        </w:rPr>
        <w:t>2</w:t>
      </w:r>
      <w:r>
        <w:rPr>
          <w:spacing w:val="-11"/>
          <w:w w:val="105"/>
          <w:sz w:val="21"/>
        </w:rPr>
        <w:t> </w:t>
      </w:r>
      <w:r>
        <w:rPr>
          <w:w w:val="105"/>
          <w:sz w:val="21"/>
        </w:rPr>
        <w:t>April</w:t>
      </w:r>
      <w:r>
        <w:rPr>
          <w:spacing w:val="-11"/>
          <w:w w:val="105"/>
          <w:sz w:val="21"/>
        </w:rPr>
        <w:t> </w:t>
      </w:r>
      <w:r>
        <w:rPr>
          <w:spacing w:val="-5"/>
          <w:w w:val="105"/>
          <w:sz w:val="21"/>
        </w:rPr>
        <w:t>2019)</w:t>
      </w:r>
      <w:r>
        <w:rPr>
          <w:spacing w:val="-12"/>
          <w:w w:val="105"/>
          <w:sz w:val="21"/>
        </w:rPr>
        <w:t> </w:t>
      </w:r>
      <w:r>
        <w:rPr>
          <w:w w:val="105"/>
          <w:sz w:val="21"/>
        </w:rPr>
        <w:t>&lt;https://</w:t>
      </w:r>
      <w:hyperlink r:id="rId189">
        <w:r>
          <w:rPr>
            <w:w w:val="105"/>
            <w:sz w:val="21"/>
          </w:rPr>
          <w:t>www.disputestribunal.govt.nz/about-2/</w:t>
        </w:r>
      </w:hyperlink>
      <w:r>
        <w:rPr>
          <w:w w:val="105"/>
          <w:sz w:val="21"/>
        </w:rPr>
        <w:t>&gt;</w:t>
      </w:r>
    </w:p>
    <w:p>
      <w:pPr>
        <w:pStyle w:val="ListParagraph"/>
        <w:numPr>
          <w:ilvl w:val="0"/>
          <w:numId w:val="219"/>
        </w:numPr>
        <w:tabs>
          <w:tab w:pos="1927" w:val="left" w:leader="none"/>
          <w:tab w:pos="1928" w:val="left" w:leader="none"/>
        </w:tabs>
        <w:spacing w:line="242" w:lineRule="auto" w:before="105" w:after="0"/>
        <w:ind w:left="1927" w:right="227" w:hanging="340"/>
        <w:jc w:val="left"/>
        <w:rPr>
          <w:sz w:val="21"/>
        </w:rPr>
      </w:pPr>
      <w:r>
        <w:rPr>
          <w:i/>
          <w:spacing w:val="-3"/>
          <w:w w:val="105"/>
          <w:sz w:val="21"/>
        </w:rPr>
        <w:t>What </w:t>
      </w:r>
      <w:r>
        <w:rPr>
          <w:i/>
          <w:w w:val="105"/>
          <w:sz w:val="21"/>
        </w:rPr>
        <w:t>the </w:t>
      </w:r>
      <w:r>
        <w:rPr>
          <w:i/>
          <w:spacing w:val="-4"/>
          <w:w w:val="105"/>
          <w:sz w:val="21"/>
        </w:rPr>
        <w:t>Tribunal </w:t>
      </w:r>
      <w:r>
        <w:rPr>
          <w:i/>
          <w:w w:val="105"/>
          <w:sz w:val="21"/>
        </w:rPr>
        <w:t>Can Help With </w:t>
      </w:r>
      <w:r>
        <w:rPr>
          <w:w w:val="105"/>
          <w:sz w:val="21"/>
        </w:rPr>
        <w:t>(Web </w:t>
      </w:r>
      <w:r>
        <w:rPr>
          <w:spacing w:val="-3"/>
          <w:w w:val="105"/>
          <w:sz w:val="21"/>
        </w:rPr>
        <w:t>Page, 29 </w:t>
      </w:r>
      <w:r>
        <w:rPr>
          <w:w w:val="105"/>
          <w:sz w:val="21"/>
        </w:rPr>
        <w:t>June</w:t>
      </w:r>
      <w:r>
        <w:rPr>
          <w:spacing w:val="-34"/>
          <w:w w:val="105"/>
          <w:sz w:val="21"/>
        </w:rPr>
        <w:t> </w:t>
      </w:r>
      <w:r>
        <w:rPr>
          <w:spacing w:val="-5"/>
          <w:w w:val="105"/>
          <w:sz w:val="21"/>
        </w:rPr>
        <w:t>2016) </w:t>
      </w:r>
      <w:r>
        <w:rPr>
          <w:w w:val="105"/>
          <w:sz w:val="21"/>
        </w:rPr>
        <w:t>&lt;https://www.disputestribunal. govt.nz/can-help-with/&gt;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180"/>
        <w:ind w:left="570" w:right="577" w:firstLine="0"/>
        <w:jc w:val="center"/>
        <w:rPr>
          <w:b/>
          <w:sz w:val="24"/>
        </w:rPr>
      </w:pPr>
      <w:r>
        <w:rPr>
          <w:b/>
          <w:color w:val="658464"/>
          <w:w w:val="110"/>
          <w:sz w:val="24"/>
        </w:rPr>
        <w:t>319</w:t>
      </w:r>
    </w:p>
    <w:p>
      <w:pPr>
        <w:spacing w:after="0"/>
        <w:jc w:val="center"/>
        <w:rPr>
          <w:sz w:val="24"/>
        </w:rPr>
        <w:sectPr>
          <w:type w:val="continuous"/>
          <w:pgSz w:w="11910" w:h="16840"/>
          <w:pgMar w:top="300" w:bottom="280" w:left="0" w:right="0"/>
          <w:cols w:num="2" w:equalWidth="0">
            <w:col w:w="10280" w:space="40"/>
            <w:col w:w="1590"/>
          </w:cols>
        </w:sectPr>
      </w:pPr>
    </w:p>
    <w:p>
      <w:pPr>
        <w:pStyle w:val="BodyText"/>
        <w:spacing w:before="8"/>
        <w:rPr>
          <w:b/>
          <w:sz w:val="22"/>
        </w:rPr>
      </w:pPr>
    </w:p>
    <w:p>
      <w:pPr>
        <w:spacing w:line="242" w:lineRule="auto" w:before="93"/>
        <w:ind w:left="1587" w:right="2293" w:firstLine="0"/>
        <w:jc w:val="left"/>
        <w:rPr>
          <w:sz w:val="21"/>
        </w:rPr>
      </w:pPr>
      <w:r>
        <w:rPr>
          <w:spacing w:val="-4"/>
          <w:w w:val="105"/>
          <w:sz w:val="21"/>
        </w:rPr>
        <w:t>ENSPEC, </w:t>
      </w:r>
      <w:r>
        <w:rPr>
          <w:i/>
          <w:spacing w:val="-3"/>
          <w:w w:val="105"/>
          <w:sz w:val="21"/>
        </w:rPr>
        <w:t>Visual </w:t>
      </w:r>
      <w:r>
        <w:rPr>
          <w:i/>
          <w:w w:val="105"/>
          <w:sz w:val="21"/>
        </w:rPr>
        <w:t>and Hazard </w:t>
      </w:r>
      <w:r>
        <w:rPr>
          <w:i/>
          <w:spacing w:val="-4"/>
          <w:w w:val="105"/>
          <w:sz w:val="21"/>
        </w:rPr>
        <w:t>Tree </w:t>
      </w:r>
      <w:r>
        <w:rPr>
          <w:i/>
          <w:w w:val="105"/>
          <w:sz w:val="21"/>
        </w:rPr>
        <w:t>Assessments </w:t>
      </w:r>
      <w:r>
        <w:rPr>
          <w:w w:val="105"/>
          <w:sz w:val="21"/>
        </w:rPr>
        <w:t>(Web </w:t>
      </w:r>
      <w:r>
        <w:rPr>
          <w:spacing w:val="-3"/>
          <w:w w:val="105"/>
          <w:sz w:val="21"/>
        </w:rPr>
        <w:t>Page, </w:t>
      </w:r>
      <w:r>
        <w:rPr>
          <w:spacing w:val="-5"/>
          <w:w w:val="105"/>
          <w:sz w:val="21"/>
        </w:rPr>
        <w:t>2019) </w:t>
      </w:r>
      <w:r>
        <w:rPr>
          <w:w w:val="105"/>
          <w:sz w:val="21"/>
        </w:rPr>
        <w:t>&lt;</w:t>
      </w:r>
      <w:hyperlink r:id="rId437">
        <w:r>
          <w:rPr>
            <w:w w:val="105"/>
            <w:sz w:val="21"/>
          </w:rPr>
          <w:t>http://www.enspec.com/</w:t>
        </w:r>
      </w:hyperlink>
      <w:r>
        <w:rPr>
          <w:w w:val="105"/>
          <w:sz w:val="21"/>
        </w:rPr>
        <w:t> Consultancy/VisualTreeAssessments.aspx&gt;</w:t>
      </w:r>
    </w:p>
    <w:p>
      <w:pPr>
        <w:spacing w:line="242" w:lineRule="auto" w:before="104"/>
        <w:ind w:left="1587" w:right="1810" w:firstLine="0"/>
        <w:jc w:val="left"/>
        <w:rPr>
          <w:sz w:val="21"/>
        </w:rPr>
      </w:pPr>
      <w:r>
        <w:rPr>
          <w:spacing w:val="-3"/>
          <w:w w:val="105"/>
          <w:sz w:val="21"/>
        </w:rPr>
        <w:t>Fishburn, </w:t>
      </w:r>
      <w:r>
        <w:rPr>
          <w:spacing w:val="-5"/>
          <w:w w:val="105"/>
          <w:sz w:val="21"/>
        </w:rPr>
        <w:t>Talitha </w:t>
      </w:r>
      <w:r>
        <w:rPr>
          <w:w w:val="105"/>
          <w:sz w:val="21"/>
        </w:rPr>
        <w:t>‘If </w:t>
      </w:r>
      <w:r>
        <w:rPr>
          <w:spacing w:val="-4"/>
          <w:w w:val="105"/>
          <w:sz w:val="21"/>
        </w:rPr>
        <w:t>NCAT </w:t>
      </w:r>
      <w:r>
        <w:rPr>
          <w:w w:val="105"/>
          <w:sz w:val="21"/>
        </w:rPr>
        <w:t>is Not a </w:t>
      </w:r>
      <w:r>
        <w:rPr>
          <w:spacing w:val="-3"/>
          <w:w w:val="105"/>
          <w:sz w:val="21"/>
        </w:rPr>
        <w:t>Court </w:t>
      </w:r>
      <w:r>
        <w:rPr>
          <w:w w:val="105"/>
          <w:sz w:val="21"/>
        </w:rPr>
        <w:t>it Has No </w:t>
      </w:r>
      <w:r>
        <w:rPr>
          <w:spacing w:val="-3"/>
          <w:w w:val="105"/>
          <w:sz w:val="21"/>
        </w:rPr>
        <w:t>Standing to </w:t>
      </w:r>
      <w:r>
        <w:rPr>
          <w:w w:val="105"/>
          <w:sz w:val="21"/>
        </w:rPr>
        <w:t>Hear Interstate Party </w:t>
      </w:r>
      <w:r>
        <w:rPr>
          <w:spacing w:val="-3"/>
          <w:w w:val="105"/>
          <w:sz w:val="21"/>
        </w:rPr>
        <w:t>Disputes’ </w:t>
      </w:r>
      <w:r>
        <w:rPr>
          <w:spacing w:val="-5"/>
          <w:w w:val="105"/>
          <w:sz w:val="21"/>
        </w:rPr>
        <w:t>[2018] </w:t>
      </w:r>
      <w:r>
        <w:rPr>
          <w:w w:val="105"/>
          <w:sz w:val="21"/>
        </w:rPr>
        <w:t>(Spring</w:t>
      </w:r>
      <w:r>
        <w:rPr>
          <w:i/>
          <w:w w:val="105"/>
          <w:sz w:val="21"/>
        </w:rPr>
        <w:t>), The </w:t>
      </w:r>
      <w:r>
        <w:rPr>
          <w:i/>
          <w:spacing w:val="-3"/>
          <w:w w:val="105"/>
          <w:sz w:val="21"/>
        </w:rPr>
        <w:t>Journal of </w:t>
      </w:r>
      <w:r>
        <w:rPr>
          <w:i/>
          <w:w w:val="105"/>
          <w:sz w:val="21"/>
        </w:rPr>
        <w:t>the NSW Bar Association </w:t>
      </w:r>
      <w:r>
        <w:rPr>
          <w:spacing w:val="-6"/>
          <w:w w:val="105"/>
          <w:sz w:val="21"/>
        </w:rPr>
        <w:t>33</w:t>
      </w:r>
    </w:p>
    <w:p>
      <w:pPr>
        <w:spacing w:before="104"/>
        <w:ind w:left="1587" w:right="0" w:firstLine="0"/>
        <w:jc w:val="left"/>
        <w:rPr>
          <w:sz w:val="21"/>
        </w:rPr>
      </w:pPr>
      <w:r>
        <w:rPr>
          <w:i/>
          <w:sz w:val="21"/>
        </w:rPr>
        <w:t>Financial Rights Legal Centre, If a Tree Falls in a Storm Who Pays for its Removal? </w:t>
      </w:r>
      <w:r>
        <w:rPr>
          <w:sz w:val="21"/>
        </w:rPr>
        <w:t>(Factsheet, 2018)</w:t>
      </w:r>
    </w:p>
    <w:p>
      <w:pPr>
        <w:pStyle w:val="BodyText"/>
        <w:spacing w:before="4"/>
        <w:ind w:left="1587"/>
      </w:pPr>
      <w:r>
        <w:rPr/>
        <w:t>&lt;https://insurancelaw.org.au/factsheets/&gt;</w:t>
      </w:r>
    </w:p>
    <w:p>
      <w:pPr>
        <w:spacing w:before="105"/>
        <w:ind w:left="1587" w:right="0" w:firstLine="0"/>
        <w:jc w:val="left"/>
        <w:rPr>
          <w:sz w:val="21"/>
        </w:rPr>
      </w:pPr>
      <w:r>
        <w:rPr>
          <w:w w:val="105"/>
          <w:sz w:val="21"/>
        </w:rPr>
        <w:t>Friends of Drouin’s Trees, </w:t>
      </w:r>
      <w:r>
        <w:rPr>
          <w:i/>
          <w:w w:val="105"/>
          <w:sz w:val="21"/>
        </w:rPr>
        <w:t>Drouin Tree Walks </w:t>
      </w:r>
      <w:r>
        <w:rPr>
          <w:w w:val="105"/>
          <w:sz w:val="21"/>
        </w:rPr>
        <w:t>(Booklet, 2018)</w:t>
      </w:r>
    </w:p>
    <w:p>
      <w:pPr>
        <w:pStyle w:val="BodyText"/>
        <w:spacing w:before="106"/>
        <w:ind w:left="1587"/>
      </w:pPr>
      <w:r>
        <w:rPr>
          <w:w w:val="105"/>
        </w:rPr>
        <w:t>Garling, Justice Peter, ‘Concurrent Expert Evidence: Reflections and Development’ (2011) 49(10)</w:t>
      </w:r>
    </w:p>
    <w:p>
      <w:pPr>
        <w:spacing w:before="4"/>
        <w:ind w:left="1587" w:right="0" w:firstLine="0"/>
        <w:jc w:val="left"/>
        <w:rPr>
          <w:sz w:val="21"/>
        </w:rPr>
      </w:pPr>
      <w:r>
        <w:rPr>
          <w:i/>
          <w:w w:val="105"/>
          <w:sz w:val="21"/>
        </w:rPr>
        <w:t>Law Society Journal </w:t>
      </w:r>
      <w:r>
        <w:rPr>
          <w:w w:val="105"/>
          <w:sz w:val="21"/>
        </w:rPr>
        <w:t>59</w:t>
      </w:r>
    </w:p>
    <w:p>
      <w:pPr>
        <w:spacing w:before="105"/>
        <w:ind w:left="1587" w:right="0" w:firstLine="0"/>
        <w:jc w:val="left"/>
        <w:rPr>
          <w:i/>
          <w:sz w:val="21"/>
        </w:rPr>
      </w:pPr>
      <w:r>
        <w:rPr>
          <w:w w:val="105"/>
          <w:sz w:val="21"/>
        </w:rPr>
        <w:t>Giliker, Paula, ‘Nuisance’ in Carolyn Sappideen and Prue Vines (eds), </w:t>
      </w:r>
      <w:r>
        <w:rPr>
          <w:i/>
          <w:w w:val="105"/>
          <w:sz w:val="21"/>
        </w:rPr>
        <w:t>Fleming’s The Law of Torts</w:t>
      </w:r>
    </w:p>
    <w:p>
      <w:pPr>
        <w:pStyle w:val="BodyText"/>
        <w:spacing w:before="4"/>
        <w:ind w:left="1587"/>
      </w:pPr>
      <w:r>
        <w:rPr>
          <w:w w:val="105"/>
        </w:rPr>
        <w:t>(Lawbook Co., 10th ed, 2011) 487</w:t>
      </w:r>
    </w:p>
    <w:p>
      <w:pPr>
        <w:pStyle w:val="BodyText"/>
        <w:spacing w:line="242" w:lineRule="auto" w:before="106"/>
        <w:ind w:left="1587" w:right="1790"/>
      </w:pPr>
      <w:r>
        <w:rPr>
          <w:w w:val="105"/>
        </w:rPr>
        <w:t>Goodman, Joanna, </w:t>
      </w:r>
      <w:r>
        <w:rPr>
          <w:i/>
          <w:w w:val="105"/>
        </w:rPr>
        <w:t>‘</w:t>
      </w:r>
      <w:r>
        <w:rPr>
          <w:w w:val="105"/>
        </w:rPr>
        <w:t>Chatbot Pioneer Builds Free Tool for Law Firms’ (17 October 2016) </w:t>
      </w:r>
      <w:r>
        <w:rPr>
          <w:i/>
          <w:w w:val="105"/>
        </w:rPr>
        <w:t>The Law </w:t>
      </w:r>
      <w:r>
        <w:rPr>
          <w:i/>
        </w:rPr>
        <w:t>Society Gazatte </w:t>
      </w:r>
      <w:r>
        <w:rPr/>
        <w:t>(Online) &lt;https://</w:t>
      </w:r>
      <w:hyperlink r:id="rId438">
        <w:r>
          <w:rPr/>
          <w:t>www.lawgazette.co.uk/news/chatbot-pioneer-builds-free-tool-</w:t>
        </w:r>
      </w:hyperlink>
      <w:r>
        <w:rPr/>
        <w:t> </w:t>
      </w:r>
      <w:r>
        <w:rPr>
          <w:w w:val="105"/>
        </w:rPr>
        <w:t>for-law-firms/5058339.article&gt;.</w:t>
      </w:r>
    </w:p>
    <w:p>
      <w:pPr>
        <w:pStyle w:val="BodyText"/>
        <w:spacing w:line="242" w:lineRule="auto" w:before="105"/>
        <w:ind w:left="1587" w:right="1636"/>
      </w:pPr>
      <w:r>
        <w:rPr>
          <w:spacing w:val="-3"/>
          <w:w w:val="105"/>
        </w:rPr>
        <w:t>Goudkamp, </w:t>
      </w:r>
      <w:r>
        <w:rPr>
          <w:w w:val="105"/>
        </w:rPr>
        <w:t>James </w:t>
      </w:r>
      <w:r>
        <w:rPr>
          <w:spacing w:val="-2"/>
          <w:w w:val="105"/>
        </w:rPr>
        <w:t>‘Defences </w:t>
      </w:r>
      <w:r>
        <w:rPr>
          <w:spacing w:val="-3"/>
          <w:w w:val="105"/>
        </w:rPr>
        <w:t>to Negligence’ </w:t>
      </w:r>
      <w:r>
        <w:rPr>
          <w:w w:val="105"/>
        </w:rPr>
        <w:t>in </w:t>
      </w:r>
      <w:r>
        <w:rPr>
          <w:spacing w:val="-3"/>
          <w:w w:val="105"/>
        </w:rPr>
        <w:t>Carolyn </w:t>
      </w:r>
      <w:r>
        <w:rPr>
          <w:w w:val="105"/>
        </w:rPr>
        <w:t>Sappideen and Prue Vines (eds), </w:t>
      </w:r>
      <w:r>
        <w:rPr>
          <w:i/>
          <w:spacing w:val="-3"/>
          <w:w w:val="105"/>
        </w:rPr>
        <w:t>Fleming’s </w:t>
      </w:r>
      <w:r>
        <w:rPr>
          <w:i/>
          <w:w w:val="105"/>
        </w:rPr>
        <w:t>The Law </w:t>
      </w:r>
      <w:r>
        <w:rPr>
          <w:i/>
          <w:spacing w:val="-3"/>
          <w:w w:val="105"/>
        </w:rPr>
        <w:t>of </w:t>
      </w:r>
      <w:r>
        <w:rPr>
          <w:i/>
          <w:w w:val="105"/>
        </w:rPr>
        <w:t>Torts </w:t>
      </w:r>
      <w:r>
        <w:rPr>
          <w:w w:val="105"/>
        </w:rPr>
        <w:t>(Lawbook </w:t>
      </w:r>
      <w:r>
        <w:rPr>
          <w:spacing w:val="-6"/>
          <w:w w:val="105"/>
        </w:rPr>
        <w:t>Co, </w:t>
      </w:r>
      <w:r>
        <w:rPr>
          <w:spacing w:val="-3"/>
          <w:w w:val="105"/>
        </w:rPr>
        <w:t>10th </w:t>
      </w:r>
      <w:r>
        <w:rPr>
          <w:w w:val="105"/>
        </w:rPr>
        <w:t>ed, </w:t>
      </w:r>
      <w:r>
        <w:rPr>
          <w:spacing w:val="-10"/>
          <w:w w:val="105"/>
        </w:rPr>
        <w:t>2011) 317</w:t>
      </w:r>
    </w:p>
    <w:p>
      <w:pPr>
        <w:pStyle w:val="BodyText"/>
        <w:spacing w:before="104"/>
        <w:ind w:left="1587"/>
      </w:pPr>
      <w:r>
        <w:rPr>
          <w:w w:val="105"/>
        </w:rPr>
        <w:t>Griffiths, Howard and Jamie Males, ‘Succulent Plants’ (2017) 27(17) </w:t>
      </w:r>
      <w:r>
        <w:rPr>
          <w:i/>
          <w:w w:val="105"/>
        </w:rPr>
        <w:t>Current Biology </w:t>
      </w:r>
      <w:r>
        <w:rPr>
          <w:w w:val="105"/>
        </w:rPr>
        <w:t>894</w:t>
      </w:r>
    </w:p>
    <w:p>
      <w:pPr>
        <w:spacing w:line="242" w:lineRule="auto" w:before="106"/>
        <w:ind w:left="1587" w:right="1636" w:firstLine="0"/>
        <w:jc w:val="left"/>
        <w:rPr>
          <w:sz w:val="21"/>
        </w:rPr>
      </w:pPr>
      <w:r>
        <w:rPr>
          <w:i/>
          <w:w w:val="105"/>
          <w:sz w:val="21"/>
        </w:rPr>
        <w:t>Growth Areas Authority, Growth Area Model Planning Permit Conditions—A Manual for </w:t>
      </w:r>
      <w:r>
        <w:rPr>
          <w:i/>
          <w:w w:val="105"/>
          <w:sz w:val="21"/>
        </w:rPr>
        <w:t>Implementation </w:t>
      </w:r>
      <w:r>
        <w:rPr>
          <w:w w:val="105"/>
          <w:sz w:val="21"/>
        </w:rPr>
        <w:t>(October 2011)</w:t>
      </w:r>
    </w:p>
    <w:p>
      <w:pPr>
        <w:spacing w:before="104"/>
        <w:ind w:left="1587" w:right="0" w:firstLine="0"/>
        <w:jc w:val="left"/>
        <w:rPr>
          <w:sz w:val="21"/>
        </w:rPr>
      </w:pPr>
      <w:r>
        <w:rPr>
          <w:w w:val="105"/>
          <w:sz w:val="21"/>
        </w:rPr>
        <w:t>Hanks, Patrick, </w:t>
      </w:r>
      <w:r>
        <w:rPr>
          <w:i/>
          <w:w w:val="105"/>
          <w:sz w:val="21"/>
        </w:rPr>
        <w:t>Collins Dictionary of the English Language </w:t>
      </w:r>
      <w:r>
        <w:rPr>
          <w:w w:val="105"/>
          <w:sz w:val="21"/>
        </w:rPr>
        <w:t>(Collins, 2001)</w:t>
      </w:r>
    </w:p>
    <w:p>
      <w:pPr>
        <w:spacing w:line="360" w:lineRule="atLeast" w:before="2"/>
        <w:ind w:left="1587" w:right="2701" w:firstLine="0"/>
        <w:jc w:val="left"/>
        <w:rPr>
          <w:i/>
          <w:sz w:val="21"/>
        </w:rPr>
      </w:pPr>
      <w:r>
        <w:rPr>
          <w:w w:val="105"/>
          <w:sz w:val="21"/>
        </w:rPr>
        <w:t>Harris, </w:t>
      </w:r>
      <w:r>
        <w:rPr>
          <w:spacing w:val="-3"/>
          <w:w w:val="105"/>
          <w:sz w:val="21"/>
        </w:rPr>
        <w:t>Richard </w:t>
      </w:r>
      <w:r>
        <w:rPr>
          <w:spacing w:val="-6"/>
          <w:w w:val="105"/>
          <w:sz w:val="21"/>
        </w:rPr>
        <w:t>W, </w:t>
      </w:r>
      <w:r>
        <w:rPr>
          <w:w w:val="105"/>
          <w:sz w:val="21"/>
        </w:rPr>
        <w:t>‘Summer </w:t>
      </w:r>
      <w:r>
        <w:rPr>
          <w:spacing w:val="-3"/>
          <w:w w:val="105"/>
          <w:sz w:val="21"/>
        </w:rPr>
        <w:t>Branch Drop’ </w:t>
      </w:r>
      <w:r>
        <w:rPr>
          <w:spacing w:val="-4"/>
          <w:w w:val="105"/>
          <w:sz w:val="21"/>
        </w:rPr>
        <w:t>(1983) </w:t>
      </w:r>
      <w:r>
        <w:rPr>
          <w:spacing w:val="4"/>
          <w:w w:val="105"/>
          <w:sz w:val="21"/>
        </w:rPr>
        <w:t>9(4) </w:t>
      </w:r>
      <w:r>
        <w:rPr>
          <w:i/>
          <w:spacing w:val="-3"/>
          <w:w w:val="105"/>
          <w:sz w:val="21"/>
        </w:rPr>
        <w:t>Journal of </w:t>
      </w:r>
      <w:r>
        <w:rPr>
          <w:i/>
          <w:w w:val="105"/>
          <w:sz w:val="21"/>
        </w:rPr>
        <w:t>Arboriculture </w:t>
      </w:r>
      <w:r>
        <w:rPr>
          <w:spacing w:val="-24"/>
          <w:w w:val="105"/>
          <w:sz w:val="21"/>
        </w:rPr>
        <w:t>111 </w:t>
      </w:r>
      <w:r>
        <w:rPr>
          <w:w w:val="105"/>
          <w:sz w:val="21"/>
        </w:rPr>
        <w:t>Harty, </w:t>
      </w:r>
      <w:r>
        <w:rPr>
          <w:spacing w:val="-4"/>
          <w:w w:val="105"/>
          <w:sz w:val="21"/>
        </w:rPr>
        <w:t>Chris, </w:t>
      </w:r>
      <w:r>
        <w:rPr>
          <w:w w:val="105"/>
          <w:sz w:val="21"/>
        </w:rPr>
        <w:t>Robin </w:t>
      </w:r>
      <w:r>
        <w:rPr>
          <w:spacing w:val="-4"/>
          <w:w w:val="105"/>
          <w:sz w:val="21"/>
        </w:rPr>
        <w:t>Crocker </w:t>
      </w:r>
      <w:r>
        <w:rPr>
          <w:w w:val="105"/>
          <w:sz w:val="21"/>
        </w:rPr>
        <w:t>and </w:t>
      </w:r>
      <w:r>
        <w:rPr>
          <w:spacing w:val="-4"/>
          <w:w w:val="105"/>
          <w:sz w:val="21"/>
        </w:rPr>
        <w:t>Lyn </w:t>
      </w:r>
      <w:r>
        <w:rPr>
          <w:spacing w:val="-3"/>
          <w:w w:val="105"/>
          <w:sz w:val="21"/>
        </w:rPr>
        <w:t>Denison, </w:t>
      </w:r>
      <w:r>
        <w:rPr>
          <w:i/>
          <w:w w:val="105"/>
          <w:sz w:val="21"/>
        </w:rPr>
        <w:t>Panel Report—Monash </w:t>
      </w:r>
      <w:r>
        <w:rPr>
          <w:i/>
          <w:spacing w:val="-3"/>
          <w:w w:val="105"/>
          <w:sz w:val="21"/>
        </w:rPr>
        <w:t>Planning </w:t>
      </w:r>
      <w:r>
        <w:rPr>
          <w:i/>
          <w:w w:val="105"/>
          <w:sz w:val="21"/>
        </w:rPr>
        <w:t>Scheme</w:t>
      </w:r>
    </w:p>
    <w:p>
      <w:pPr>
        <w:spacing w:line="242" w:lineRule="auto" w:before="6"/>
        <w:ind w:left="1587" w:right="1810" w:firstLine="0"/>
        <w:jc w:val="left"/>
        <w:rPr>
          <w:sz w:val="21"/>
        </w:rPr>
      </w:pPr>
      <w:r>
        <w:rPr>
          <w:i/>
          <w:spacing w:val="-2"/>
          <w:w w:val="105"/>
          <w:sz w:val="21"/>
        </w:rPr>
        <w:t>Amendment </w:t>
      </w:r>
      <w:r>
        <w:rPr>
          <w:i/>
          <w:spacing w:val="-5"/>
          <w:w w:val="105"/>
          <w:sz w:val="21"/>
        </w:rPr>
        <w:t>C115—Vegetation </w:t>
      </w:r>
      <w:r>
        <w:rPr>
          <w:i/>
          <w:w w:val="105"/>
          <w:sz w:val="21"/>
        </w:rPr>
        <w:t>Protection </w:t>
      </w:r>
      <w:r>
        <w:rPr>
          <w:i/>
          <w:spacing w:val="-3"/>
          <w:w w:val="105"/>
          <w:sz w:val="21"/>
        </w:rPr>
        <w:t>Overlay </w:t>
      </w:r>
      <w:r>
        <w:rPr>
          <w:i/>
          <w:w w:val="105"/>
          <w:sz w:val="21"/>
        </w:rPr>
        <w:t>Schedule </w:t>
      </w:r>
      <w:r>
        <w:rPr>
          <w:i/>
          <w:spacing w:val="-5"/>
          <w:w w:val="105"/>
          <w:sz w:val="21"/>
        </w:rPr>
        <w:t>1—Tree </w:t>
      </w:r>
      <w:r>
        <w:rPr>
          <w:i/>
          <w:w w:val="105"/>
          <w:sz w:val="21"/>
        </w:rPr>
        <w:t>Protection Area </w:t>
      </w:r>
      <w:r>
        <w:rPr>
          <w:w w:val="105"/>
          <w:sz w:val="21"/>
        </w:rPr>
        <w:t>(Panel Report, </w:t>
      </w:r>
      <w:r>
        <w:rPr>
          <w:spacing w:val="-9"/>
          <w:w w:val="105"/>
          <w:sz w:val="21"/>
        </w:rPr>
        <w:t>13 </w:t>
      </w:r>
      <w:r>
        <w:rPr>
          <w:spacing w:val="-2"/>
          <w:w w:val="105"/>
          <w:sz w:val="21"/>
        </w:rPr>
        <w:t>August </w:t>
      </w:r>
      <w:r>
        <w:rPr>
          <w:spacing w:val="-6"/>
          <w:w w:val="105"/>
          <w:sz w:val="21"/>
        </w:rPr>
        <w:t>2013)</w:t>
      </w:r>
    </w:p>
    <w:p>
      <w:pPr>
        <w:pStyle w:val="BodyText"/>
        <w:spacing w:before="104"/>
        <w:ind w:left="1587"/>
      </w:pPr>
      <w:r>
        <w:rPr>
          <w:w w:val="105"/>
        </w:rPr>
        <w:t>Heritage Council Victoria,</w:t>
      </w:r>
    </w:p>
    <w:p>
      <w:pPr>
        <w:pStyle w:val="ListParagraph"/>
        <w:numPr>
          <w:ilvl w:val="0"/>
          <w:numId w:val="220"/>
        </w:numPr>
        <w:tabs>
          <w:tab w:pos="1927" w:val="left" w:leader="none"/>
          <w:tab w:pos="1928" w:val="left" w:leader="none"/>
        </w:tabs>
        <w:spacing w:line="242" w:lineRule="auto" w:before="106" w:after="0"/>
        <w:ind w:left="1927" w:right="1693" w:hanging="340"/>
        <w:jc w:val="left"/>
        <w:rPr>
          <w:sz w:val="21"/>
        </w:rPr>
      </w:pPr>
      <w:r>
        <w:rPr>
          <w:i/>
          <w:sz w:val="21"/>
        </w:rPr>
        <w:t>The Victorian Heritage Register </w:t>
      </w:r>
      <w:r>
        <w:rPr>
          <w:spacing w:val="-5"/>
          <w:sz w:val="21"/>
        </w:rPr>
        <w:t>(2019) </w:t>
      </w:r>
      <w:r>
        <w:rPr>
          <w:sz w:val="21"/>
        </w:rPr>
        <w:t>&lt;https://heritagecouncil.vic.gov.au/heritage-protection/ </w:t>
      </w:r>
      <w:r>
        <w:rPr>
          <w:w w:val="105"/>
          <w:sz w:val="21"/>
        </w:rPr>
        <w:t>levels-of-protection/&gt;</w:t>
      </w:r>
    </w:p>
    <w:p>
      <w:pPr>
        <w:pStyle w:val="ListParagraph"/>
        <w:numPr>
          <w:ilvl w:val="0"/>
          <w:numId w:val="220"/>
        </w:numPr>
        <w:tabs>
          <w:tab w:pos="1927" w:val="left" w:leader="none"/>
          <w:tab w:pos="1928" w:val="left" w:leader="none"/>
        </w:tabs>
        <w:spacing w:line="242" w:lineRule="auto" w:before="104" w:after="0"/>
        <w:ind w:left="1927" w:right="2059" w:hanging="340"/>
        <w:jc w:val="left"/>
        <w:rPr>
          <w:sz w:val="21"/>
        </w:rPr>
      </w:pPr>
      <w:r>
        <w:rPr>
          <w:i/>
          <w:w w:val="105"/>
          <w:sz w:val="21"/>
        </w:rPr>
        <w:t>Policy </w:t>
      </w:r>
      <w:r>
        <w:rPr>
          <w:i/>
          <w:spacing w:val="-3"/>
          <w:w w:val="105"/>
          <w:sz w:val="21"/>
        </w:rPr>
        <w:t>Guideline </w:t>
      </w:r>
      <w:r>
        <w:rPr>
          <w:i/>
          <w:w w:val="105"/>
          <w:sz w:val="21"/>
        </w:rPr>
        <w:t>for Heritage Permit </w:t>
      </w:r>
      <w:r>
        <w:rPr>
          <w:i/>
          <w:spacing w:val="-3"/>
          <w:w w:val="105"/>
          <w:sz w:val="21"/>
        </w:rPr>
        <w:t>Exemptions: </w:t>
      </w:r>
      <w:r>
        <w:rPr>
          <w:i/>
          <w:w w:val="105"/>
          <w:sz w:val="21"/>
        </w:rPr>
        <w:t>Matters to be </w:t>
      </w:r>
      <w:r>
        <w:rPr>
          <w:i/>
          <w:spacing w:val="-3"/>
          <w:w w:val="105"/>
          <w:sz w:val="21"/>
        </w:rPr>
        <w:t>Considered </w:t>
      </w:r>
      <w:r>
        <w:rPr>
          <w:i/>
          <w:w w:val="105"/>
          <w:sz w:val="21"/>
        </w:rPr>
        <w:t>in Determining </w:t>
      </w:r>
      <w:r>
        <w:rPr>
          <w:i/>
          <w:w w:val="105"/>
          <w:sz w:val="21"/>
        </w:rPr>
        <w:t>Permit </w:t>
      </w:r>
      <w:r>
        <w:rPr>
          <w:i/>
          <w:spacing w:val="-3"/>
          <w:w w:val="105"/>
          <w:sz w:val="21"/>
        </w:rPr>
        <w:t>Exemptions </w:t>
      </w:r>
      <w:r>
        <w:rPr>
          <w:i/>
          <w:w w:val="105"/>
          <w:sz w:val="21"/>
        </w:rPr>
        <w:t>under Section </w:t>
      </w:r>
      <w:r>
        <w:rPr>
          <w:i/>
          <w:spacing w:val="-4"/>
          <w:w w:val="105"/>
          <w:sz w:val="21"/>
        </w:rPr>
        <w:t>92 </w:t>
      </w:r>
      <w:r>
        <w:rPr>
          <w:i/>
          <w:w w:val="105"/>
          <w:sz w:val="21"/>
        </w:rPr>
        <w:t>and 49 </w:t>
      </w:r>
      <w:r>
        <w:rPr>
          <w:i/>
          <w:spacing w:val="-3"/>
          <w:w w:val="105"/>
          <w:sz w:val="21"/>
        </w:rPr>
        <w:t>of </w:t>
      </w:r>
      <w:r>
        <w:rPr>
          <w:i/>
          <w:w w:val="105"/>
          <w:sz w:val="21"/>
        </w:rPr>
        <w:t>the Heritage Act </w:t>
      </w:r>
      <w:r>
        <w:rPr>
          <w:i/>
          <w:spacing w:val="-10"/>
          <w:w w:val="105"/>
          <w:sz w:val="21"/>
        </w:rPr>
        <w:t>2017 </w:t>
      </w:r>
      <w:r>
        <w:rPr>
          <w:w w:val="105"/>
          <w:sz w:val="21"/>
        </w:rPr>
        <w:t>(7 September</w:t>
      </w:r>
      <w:r>
        <w:rPr>
          <w:spacing w:val="14"/>
          <w:w w:val="105"/>
          <w:sz w:val="21"/>
        </w:rPr>
        <w:t> </w:t>
      </w:r>
      <w:r>
        <w:rPr>
          <w:spacing w:val="-7"/>
          <w:w w:val="105"/>
          <w:sz w:val="21"/>
        </w:rPr>
        <w:t>2017)</w:t>
      </w:r>
    </w:p>
    <w:p>
      <w:pPr>
        <w:pStyle w:val="ListParagraph"/>
        <w:numPr>
          <w:ilvl w:val="0"/>
          <w:numId w:val="220"/>
        </w:numPr>
        <w:tabs>
          <w:tab w:pos="1927" w:val="left" w:leader="none"/>
          <w:tab w:pos="1928" w:val="left" w:leader="none"/>
        </w:tabs>
        <w:spacing w:line="242" w:lineRule="auto" w:before="104" w:after="0"/>
        <w:ind w:left="1927" w:right="1760" w:hanging="340"/>
        <w:jc w:val="left"/>
        <w:rPr>
          <w:sz w:val="21"/>
        </w:rPr>
      </w:pPr>
      <w:r>
        <w:rPr>
          <w:i/>
          <w:spacing w:val="-3"/>
          <w:sz w:val="21"/>
        </w:rPr>
        <w:t>Victoria’s Significant </w:t>
      </w:r>
      <w:r>
        <w:rPr>
          <w:i/>
          <w:sz w:val="21"/>
        </w:rPr>
        <w:t>Heritage </w:t>
      </w:r>
      <w:r>
        <w:rPr>
          <w:i/>
          <w:spacing w:val="-3"/>
          <w:sz w:val="21"/>
        </w:rPr>
        <w:t>Places </w:t>
      </w:r>
      <w:r>
        <w:rPr>
          <w:i/>
          <w:sz w:val="21"/>
        </w:rPr>
        <w:t>and Objects </w:t>
      </w:r>
      <w:r>
        <w:rPr>
          <w:sz w:val="21"/>
        </w:rPr>
        <w:t>(Web Page) &lt;https://vhd.heritagecouncil.vic. gov.au/&gt;</w:t>
      </w:r>
    </w:p>
    <w:p>
      <w:pPr>
        <w:pStyle w:val="BodyText"/>
        <w:spacing w:line="242" w:lineRule="auto" w:before="104"/>
        <w:ind w:left="1587" w:right="1883"/>
      </w:pPr>
      <w:r>
        <w:rPr>
          <w:spacing w:val="-3"/>
        </w:rPr>
        <w:t>Hayman-Reber, Madeleine, </w:t>
      </w:r>
      <w:r>
        <w:rPr/>
        <w:t>‘Djab </w:t>
      </w:r>
      <w:r>
        <w:rPr>
          <w:spacing w:val="-3"/>
        </w:rPr>
        <w:t>Wurrung  </w:t>
      </w:r>
      <w:r>
        <w:rPr/>
        <w:t>Protestors  </w:t>
      </w:r>
      <w:r>
        <w:rPr>
          <w:spacing w:val="-4"/>
        </w:rPr>
        <w:t>Continue  </w:t>
      </w:r>
      <w:r>
        <w:rPr/>
        <w:t>Their  </w:t>
      </w:r>
      <w:r>
        <w:rPr>
          <w:spacing w:val="-3"/>
        </w:rPr>
        <w:t>Fight  for  </w:t>
      </w:r>
      <w:r>
        <w:rPr/>
        <w:t>Sacred  </w:t>
      </w:r>
      <w:r>
        <w:rPr>
          <w:spacing w:val="-7"/>
        </w:rPr>
        <w:t>Trees’, </w:t>
      </w:r>
      <w:r>
        <w:rPr>
          <w:i/>
          <w:spacing w:val="2"/>
        </w:rPr>
        <w:t>NITV </w:t>
      </w:r>
      <w:r>
        <w:rPr>
          <w:spacing w:val="-3"/>
        </w:rPr>
        <w:t>(online, </w:t>
      </w:r>
      <w:r>
        <w:rPr/>
        <w:t>23 </w:t>
      </w:r>
      <w:r>
        <w:rPr>
          <w:spacing w:val="-3"/>
        </w:rPr>
        <w:t>March </w:t>
      </w:r>
      <w:r>
        <w:rPr>
          <w:spacing w:val="-5"/>
        </w:rPr>
        <w:t>2019) </w:t>
      </w:r>
      <w:r>
        <w:rPr/>
        <w:t>&lt;https://</w:t>
      </w:r>
      <w:hyperlink r:id="rId439">
        <w:r>
          <w:rPr/>
          <w:t>www.sbs.com.au/nitv/article/2019/03/23/djab-wurrung-</w:t>
        </w:r>
      </w:hyperlink>
      <w:r>
        <w:rPr/>
        <w:t> </w:t>
      </w:r>
      <w:r>
        <w:rPr>
          <w:spacing w:val="-3"/>
        </w:rPr>
        <w:t>protesters-continue-their-fight-sacred-trees&gt;</w:t>
      </w:r>
    </w:p>
    <w:p>
      <w:pPr>
        <w:spacing w:before="106"/>
        <w:ind w:left="1587" w:right="0" w:firstLine="0"/>
        <w:jc w:val="left"/>
        <w:rPr>
          <w:i/>
          <w:sz w:val="21"/>
        </w:rPr>
      </w:pPr>
      <w:r>
        <w:rPr>
          <w:w w:val="105"/>
          <w:sz w:val="21"/>
        </w:rPr>
        <w:t>Illinois Legal Aid Online, </w:t>
      </w:r>
      <w:r>
        <w:rPr>
          <w:i/>
          <w:w w:val="105"/>
          <w:sz w:val="21"/>
        </w:rPr>
        <w:t>Who Owns the Tree on Both My and My Neighbour’s Property?</w:t>
      </w:r>
    </w:p>
    <w:p>
      <w:pPr>
        <w:pStyle w:val="BodyText"/>
        <w:spacing w:line="242" w:lineRule="auto" w:before="3"/>
        <w:ind w:left="1587" w:right="1726"/>
      </w:pPr>
      <w:r>
        <w:rPr>
          <w:w w:val="105"/>
        </w:rPr>
        <w:t>(Web </w:t>
      </w:r>
      <w:r>
        <w:rPr>
          <w:spacing w:val="-3"/>
          <w:w w:val="105"/>
        </w:rPr>
        <w:t>Page, </w:t>
      </w:r>
      <w:r>
        <w:rPr>
          <w:spacing w:val="-5"/>
          <w:w w:val="105"/>
        </w:rPr>
        <w:t>2019) </w:t>
      </w:r>
      <w:r>
        <w:rPr>
          <w:w w:val="105"/>
        </w:rPr>
        <w:t>&lt;</w:t>
      </w:r>
      <w:hyperlink r:id="rId440">
        <w:r>
          <w:rPr>
            <w:w w:val="105"/>
          </w:rPr>
          <w:t>www.illinoislegalaid.org/legal-information/who-owns-tree-both-my-and-my-</w:t>
        </w:r>
      </w:hyperlink>
      <w:r>
        <w:rPr>
          <w:w w:val="105"/>
        </w:rPr>
        <w:t> neighbors-property&gt;</w:t>
      </w:r>
    </w:p>
    <w:p>
      <w:pPr>
        <w:pStyle w:val="BodyText"/>
        <w:spacing w:line="242" w:lineRule="auto" w:before="104"/>
        <w:ind w:left="1587" w:right="2277"/>
      </w:pPr>
      <w:r>
        <w:rPr>
          <w:spacing w:val="-3"/>
          <w:w w:val="105"/>
        </w:rPr>
        <w:t>International</w:t>
      </w:r>
      <w:r>
        <w:rPr>
          <w:spacing w:val="-18"/>
          <w:w w:val="105"/>
        </w:rPr>
        <w:t> </w:t>
      </w:r>
      <w:r>
        <w:rPr>
          <w:w w:val="105"/>
        </w:rPr>
        <w:t>Society</w:t>
      </w:r>
      <w:r>
        <w:rPr>
          <w:spacing w:val="-17"/>
          <w:w w:val="105"/>
        </w:rPr>
        <w:t> </w:t>
      </w:r>
      <w:r>
        <w:rPr>
          <w:w w:val="105"/>
        </w:rPr>
        <w:t>of</w:t>
      </w:r>
      <w:r>
        <w:rPr>
          <w:spacing w:val="-18"/>
          <w:w w:val="105"/>
        </w:rPr>
        <w:t> </w:t>
      </w:r>
      <w:r>
        <w:rPr>
          <w:spacing w:val="-3"/>
          <w:w w:val="105"/>
        </w:rPr>
        <w:t>Arboriculture,</w:t>
      </w:r>
      <w:r>
        <w:rPr>
          <w:spacing w:val="-17"/>
          <w:w w:val="105"/>
        </w:rPr>
        <w:t> </w:t>
      </w:r>
      <w:r>
        <w:rPr>
          <w:i/>
          <w:spacing w:val="-3"/>
          <w:w w:val="105"/>
        </w:rPr>
        <w:t>Credentials</w:t>
      </w:r>
      <w:r>
        <w:rPr>
          <w:i/>
          <w:spacing w:val="-18"/>
          <w:w w:val="105"/>
        </w:rPr>
        <w:t> </w:t>
      </w:r>
      <w:r>
        <w:rPr>
          <w:w w:val="105"/>
        </w:rPr>
        <w:t>(Web</w:t>
      </w:r>
      <w:r>
        <w:rPr>
          <w:spacing w:val="-17"/>
          <w:w w:val="105"/>
        </w:rPr>
        <w:t> </w:t>
      </w:r>
      <w:r>
        <w:rPr>
          <w:w w:val="105"/>
        </w:rPr>
        <w:t>Page)</w:t>
      </w:r>
      <w:r>
        <w:rPr>
          <w:spacing w:val="-17"/>
          <w:w w:val="105"/>
        </w:rPr>
        <w:t> </w:t>
      </w:r>
      <w:r>
        <w:rPr>
          <w:w w:val="105"/>
        </w:rPr>
        <w:t>&lt;https://</w:t>
      </w:r>
      <w:hyperlink r:id="rId441">
        <w:r>
          <w:rPr>
            <w:w w:val="105"/>
          </w:rPr>
          <w:t>www.isa-arbor.com/</w:t>
        </w:r>
      </w:hyperlink>
      <w:r>
        <w:rPr>
          <w:w w:val="105"/>
        </w:rPr>
        <w:t> Credentials/ISA-Tree-Risk-Assessment-Qualification&gt;</w:t>
      </w:r>
    </w:p>
    <w:p>
      <w:pPr>
        <w:spacing w:before="105"/>
        <w:ind w:left="1587" w:right="0" w:firstLine="0"/>
        <w:jc w:val="left"/>
        <w:rPr>
          <w:sz w:val="21"/>
        </w:rPr>
      </w:pPr>
      <w:r>
        <w:rPr>
          <w:w w:val="105"/>
          <w:sz w:val="21"/>
        </w:rPr>
        <w:t>Jones, A M &amp; M A Dugdale (eds), </w:t>
      </w:r>
      <w:r>
        <w:rPr>
          <w:i/>
          <w:w w:val="105"/>
          <w:sz w:val="21"/>
        </w:rPr>
        <w:t>Clerk &amp; Lindsell on Torts </w:t>
      </w:r>
      <w:r>
        <w:rPr>
          <w:w w:val="105"/>
          <w:sz w:val="21"/>
        </w:rPr>
        <w:t>(Sweet &amp; Maxwell, 19th ed, 2006)</w:t>
      </w:r>
    </w:p>
    <w:p>
      <w:pPr>
        <w:pStyle w:val="BodyText"/>
        <w:spacing w:line="242" w:lineRule="auto" w:before="105"/>
        <w:ind w:left="1587" w:right="1636"/>
      </w:pPr>
      <w:r>
        <w:rPr>
          <w:spacing w:val="-3"/>
          <w:w w:val="105"/>
        </w:rPr>
        <w:t>Judicial College </w:t>
      </w:r>
      <w:r>
        <w:rPr>
          <w:w w:val="105"/>
        </w:rPr>
        <w:t>of Victoria, </w:t>
      </w:r>
      <w:r>
        <w:rPr>
          <w:spacing w:val="-3"/>
          <w:w w:val="105"/>
        </w:rPr>
        <w:t>‘8.7 Sentencing </w:t>
      </w:r>
      <w:r>
        <w:rPr>
          <w:w w:val="105"/>
        </w:rPr>
        <w:t>in </w:t>
      </w:r>
      <w:r>
        <w:rPr>
          <w:spacing w:val="-4"/>
          <w:w w:val="105"/>
        </w:rPr>
        <w:t>Contempt </w:t>
      </w:r>
      <w:r>
        <w:rPr>
          <w:spacing w:val="-5"/>
          <w:w w:val="105"/>
        </w:rPr>
        <w:t>Cases’, </w:t>
      </w:r>
      <w:r>
        <w:rPr>
          <w:i/>
          <w:w w:val="105"/>
        </w:rPr>
        <w:t>Victorian </w:t>
      </w:r>
      <w:r>
        <w:rPr>
          <w:i/>
          <w:spacing w:val="-3"/>
          <w:w w:val="105"/>
        </w:rPr>
        <w:t>Criminal </w:t>
      </w:r>
      <w:r>
        <w:rPr>
          <w:i/>
          <w:w w:val="105"/>
        </w:rPr>
        <w:t>Proceedings </w:t>
      </w:r>
      <w:r>
        <w:rPr>
          <w:i/>
          <w:spacing w:val="-3"/>
          <w:w w:val="105"/>
        </w:rPr>
        <w:t>Manual </w:t>
      </w:r>
      <w:r>
        <w:rPr>
          <w:spacing w:val="-4"/>
          <w:w w:val="105"/>
        </w:rPr>
        <w:t>(26 </w:t>
      </w:r>
      <w:r>
        <w:rPr>
          <w:w w:val="105"/>
        </w:rPr>
        <w:t>February </w:t>
      </w:r>
      <w:r>
        <w:rPr>
          <w:spacing w:val="-5"/>
          <w:w w:val="105"/>
        </w:rPr>
        <w:t>2018) </w:t>
      </w:r>
      <w:r>
        <w:rPr>
          <w:w w:val="105"/>
        </w:rPr>
        <w:t>&lt;</w:t>
      </w:r>
      <w:hyperlink r:id="rId442">
        <w:r>
          <w:rPr>
            <w:w w:val="105"/>
          </w:rPr>
          <w:t>http://www.judicialcollege.vic.edu.au/eManuals/VCPM/index.</w:t>
        </w:r>
      </w:hyperlink>
      <w:r>
        <w:rPr>
          <w:w w:val="105"/>
        </w:rPr>
        <w:t> </w:t>
      </w:r>
      <w:r>
        <w:rPr>
          <w:spacing w:val="-4"/>
          <w:w w:val="105"/>
        </w:rPr>
        <w:t>htm#48747.htm&gt;</w:t>
      </w:r>
    </w:p>
    <w:p>
      <w:pPr>
        <w:spacing w:line="338" w:lineRule="auto" w:before="106"/>
        <w:ind w:left="1587" w:right="2288" w:firstLine="0"/>
        <w:jc w:val="left"/>
        <w:rPr>
          <w:sz w:val="21"/>
        </w:rPr>
      </w:pPr>
      <w:r>
        <w:rPr>
          <w:w w:val="105"/>
          <w:sz w:val="21"/>
        </w:rPr>
        <w:t>Justice </w:t>
      </w:r>
      <w:r>
        <w:rPr>
          <w:spacing w:val="-3"/>
          <w:w w:val="105"/>
          <w:sz w:val="21"/>
        </w:rPr>
        <w:t>Connect, </w:t>
      </w:r>
      <w:r>
        <w:rPr>
          <w:i/>
          <w:w w:val="105"/>
          <w:sz w:val="21"/>
        </w:rPr>
        <w:t>How </w:t>
      </w:r>
      <w:r>
        <w:rPr>
          <w:i/>
          <w:spacing w:val="-3"/>
          <w:w w:val="105"/>
          <w:sz w:val="21"/>
        </w:rPr>
        <w:t>We </w:t>
      </w:r>
      <w:r>
        <w:rPr>
          <w:i/>
          <w:w w:val="105"/>
          <w:sz w:val="21"/>
        </w:rPr>
        <w:t>Help </w:t>
      </w:r>
      <w:r>
        <w:rPr>
          <w:w w:val="105"/>
          <w:sz w:val="21"/>
        </w:rPr>
        <w:t>(Web Page) &lt;https://justiceconnect.org.au/how-we-help/&gt; Justice Iain Ross, </w:t>
      </w:r>
      <w:r>
        <w:rPr>
          <w:i/>
          <w:spacing w:val="-4"/>
          <w:w w:val="105"/>
          <w:sz w:val="21"/>
        </w:rPr>
        <w:t>Transforming VCAT </w:t>
      </w:r>
      <w:r>
        <w:rPr>
          <w:i/>
          <w:w w:val="105"/>
          <w:sz w:val="21"/>
        </w:rPr>
        <w:t>Three </w:t>
      </w:r>
      <w:r>
        <w:rPr>
          <w:i/>
          <w:spacing w:val="-5"/>
          <w:w w:val="105"/>
          <w:sz w:val="21"/>
        </w:rPr>
        <w:t>Year </w:t>
      </w:r>
      <w:r>
        <w:rPr>
          <w:i/>
          <w:spacing w:val="-3"/>
          <w:w w:val="105"/>
          <w:sz w:val="21"/>
        </w:rPr>
        <w:t>Strategic </w:t>
      </w:r>
      <w:r>
        <w:rPr>
          <w:i/>
          <w:w w:val="105"/>
          <w:sz w:val="21"/>
        </w:rPr>
        <w:t>Plan </w:t>
      </w:r>
      <w:r>
        <w:rPr>
          <w:i/>
          <w:spacing w:val="-9"/>
          <w:w w:val="105"/>
          <w:sz w:val="21"/>
        </w:rPr>
        <w:t>2010/11–2012/13 </w:t>
      </w:r>
      <w:r>
        <w:rPr>
          <w:spacing w:val="-4"/>
          <w:w w:val="105"/>
          <w:sz w:val="21"/>
        </w:rPr>
        <w:t>(2010) </w:t>
      </w:r>
      <w:r>
        <w:rPr>
          <w:spacing w:val="-17"/>
          <w:w w:val="105"/>
          <w:sz w:val="21"/>
        </w:rPr>
        <w:t>13</w:t>
      </w:r>
    </w:p>
    <w:p>
      <w:pPr>
        <w:spacing w:line="246" w:lineRule="exact" w:before="0"/>
        <w:ind w:left="720" w:right="0" w:firstLine="0"/>
        <w:jc w:val="left"/>
        <w:rPr>
          <w:b/>
          <w:sz w:val="24"/>
        </w:rPr>
      </w:pPr>
      <w:r>
        <w:rPr>
          <w:b/>
          <w:color w:val="658464"/>
          <w:w w:val="110"/>
          <w:sz w:val="24"/>
        </w:rPr>
        <w:t>320</w:t>
      </w:r>
    </w:p>
    <w:p>
      <w:pPr>
        <w:spacing w:after="0" w:line="246" w:lineRule="exact"/>
        <w:jc w:val="left"/>
        <w:rPr>
          <w:sz w:val="24"/>
        </w:rPr>
        <w:sectPr>
          <w:pgSz w:w="11910" w:h="16840"/>
          <w:pgMar w:header="546" w:footer="0" w:top="1560" w:bottom="280" w:left="0" w:right="0"/>
        </w:sectPr>
      </w:pPr>
    </w:p>
    <w:p>
      <w:pPr>
        <w:pStyle w:val="BodyText"/>
        <w:spacing w:before="6"/>
        <w:rPr>
          <w:b/>
        </w:rPr>
      </w:pPr>
    </w:p>
    <w:p>
      <w:pPr>
        <w:spacing w:after="0"/>
        <w:sectPr>
          <w:pgSz w:w="11910" w:h="16840"/>
          <w:pgMar w:header="567" w:footer="0" w:top="1580" w:bottom="280" w:left="0" w:right="0"/>
        </w:sectPr>
      </w:pPr>
    </w:p>
    <w:p>
      <w:pPr>
        <w:spacing w:line="242" w:lineRule="auto" w:before="92"/>
        <w:ind w:left="1587" w:right="365" w:firstLine="0"/>
        <w:jc w:val="left"/>
        <w:rPr>
          <w:sz w:val="21"/>
        </w:rPr>
      </w:pPr>
      <w:r>
        <w:rPr>
          <w:spacing w:val="-5"/>
          <w:w w:val="105"/>
          <w:sz w:val="21"/>
        </w:rPr>
        <w:t>Kelly, </w:t>
      </w:r>
      <w:r>
        <w:rPr>
          <w:w w:val="105"/>
          <w:sz w:val="21"/>
        </w:rPr>
        <w:t>Andrew H </w:t>
      </w:r>
      <w:r>
        <w:rPr>
          <w:spacing w:val="-6"/>
          <w:w w:val="105"/>
          <w:sz w:val="21"/>
        </w:rPr>
        <w:t>(2013) </w:t>
      </w:r>
      <w:r>
        <w:rPr>
          <w:spacing w:val="-4"/>
          <w:w w:val="105"/>
          <w:sz w:val="21"/>
        </w:rPr>
        <w:t>‘Tree </w:t>
      </w:r>
      <w:r>
        <w:rPr>
          <w:w w:val="105"/>
          <w:sz w:val="21"/>
        </w:rPr>
        <w:t>Preservation Orders: A New Vision?’ in Kajewski, S, K </w:t>
      </w:r>
      <w:r>
        <w:rPr>
          <w:spacing w:val="-3"/>
          <w:w w:val="105"/>
          <w:sz w:val="21"/>
        </w:rPr>
        <w:t>Manley </w:t>
      </w:r>
      <w:r>
        <w:rPr>
          <w:w w:val="105"/>
          <w:sz w:val="21"/>
        </w:rPr>
        <w:t>and K Hampson (Eds), </w:t>
      </w:r>
      <w:r>
        <w:rPr>
          <w:i/>
          <w:w w:val="105"/>
          <w:sz w:val="21"/>
        </w:rPr>
        <w:t>Proceedings </w:t>
      </w:r>
      <w:r>
        <w:rPr>
          <w:i/>
          <w:spacing w:val="-3"/>
          <w:w w:val="105"/>
          <w:sz w:val="21"/>
        </w:rPr>
        <w:t>of </w:t>
      </w:r>
      <w:r>
        <w:rPr>
          <w:i/>
          <w:w w:val="105"/>
          <w:sz w:val="21"/>
        </w:rPr>
        <w:t>the </w:t>
      </w:r>
      <w:r>
        <w:rPr>
          <w:i/>
          <w:spacing w:val="-5"/>
          <w:w w:val="105"/>
          <w:sz w:val="21"/>
        </w:rPr>
        <w:t>19th </w:t>
      </w:r>
      <w:r>
        <w:rPr>
          <w:i/>
          <w:w w:val="105"/>
          <w:sz w:val="21"/>
        </w:rPr>
        <w:t>CIB </w:t>
      </w:r>
      <w:r>
        <w:rPr>
          <w:i/>
          <w:spacing w:val="-3"/>
          <w:w w:val="105"/>
          <w:sz w:val="21"/>
        </w:rPr>
        <w:t>World Building </w:t>
      </w:r>
      <w:r>
        <w:rPr>
          <w:i/>
          <w:w w:val="105"/>
          <w:sz w:val="21"/>
        </w:rPr>
        <w:t>Congress, </w:t>
      </w:r>
      <w:r>
        <w:rPr>
          <w:i/>
          <w:spacing w:val="-3"/>
          <w:w w:val="105"/>
          <w:sz w:val="21"/>
        </w:rPr>
        <w:t>Brisbane </w:t>
      </w:r>
      <w:r>
        <w:rPr>
          <w:i/>
          <w:spacing w:val="-8"/>
          <w:w w:val="105"/>
          <w:sz w:val="21"/>
        </w:rPr>
        <w:t>2013: </w:t>
      </w:r>
      <w:r>
        <w:rPr>
          <w:i/>
          <w:w w:val="105"/>
          <w:sz w:val="21"/>
        </w:rPr>
        <w:t>Construction and Society </w:t>
      </w:r>
      <w:r>
        <w:rPr>
          <w:w w:val="105"/>
          <w:sz w:val="21"/>
        </w:rPr>
        <w:t>(Queensland University of </w:t>
      </w:r>
      <w:r>
        <w:rPr>
          <w:spacing w:val="-4"/>
          <w:w w:val="105"/>
          <w:sz w:val="21"/>
        </w:rPr>
        <w:t>Technology, </w:t>
      </w:r>
      <w:r>
        <w:rPr>
          <w:spacing w:val="-6"/>
          <w:w w:val="105"/>
          <w:sz w:val="21"/>
        </w:rPr>
        <w:t>2013)</w:t>
      </w:r>
    </w:p>
    <w:p>
      <w:pPr>
        <w:spacing w:line="242" w:lineRule="auto" w:before="105"/>
        <w:ind w:left="1587" w:right="365" w:firstLine="0"/>
        <w:jc w:val="left"/>
        <w:rPr>
          <w:sz w:val="21"/>
        </w:rPr>
      </w:pPr>
      <w:r>
        <w:rPr>
          <w:w w:val="105"/>
          <w:sz w:val="21"/>
        </w:rPr>
        <w:t>Knox City Council, </w:t>
      </w:r>
      <w:r>
        <w:rPr>
          <w:i/>
          <w:w w:val="105"/>
          <w:sz w:val="21"/>
        </w:rPr>
        <w:t>Landscape Plan Guidelines—How to Prepare a Landscape Plan for Planning </w:t>
      </w:r>
      <w:r>
        <w:rPr>
          <w:i/>
          <w:w w:val="105"/>
          <w:sz w:val="21"/>
        </w:rPr>
        <w:t>Applications </w:t>
      </w:r>
      <w:r>
        <w:rPr>
          <w:w w:val="105"/>
          <w:sz w:val="21"/>
        </w:rPr>
        <w:t>(Fact Sheet, 2017)</w:t>
      </w:r>
    </w:p>
    <w:p>
      <w:pPr>
        <w:pStyle w:val="BodyText"/>
        <w:spacing w:before="104"/>
        <w:ind w:left="1587"/>
      </w:pPr>
      <w:r>
        <w:rPr>
          <w:w w:val="105"/>
        </w:rPr>
        <w:t>Land and Environment Court (NSW),</w:t>
      </w:r>
    </w:p>
    <w:p>
      <w:pPr>
        <w:pStyle w:val="ListParagraph"/>
        <w:numPr>
          <w:ilvl w:val="0"/>
          <w:numId w:val="221"/>
        </w:numPr>
        <w:tabs>
          <w:tab w:pos="1927" w:val="left" w:leader="none"/>
          <w:tab w:pos="1928" w:val="left" w:leader="none"/>
        </w:tabs>
        <w:spacing w:line="242" w:lineRule="auto" w:before="106" w:after="0"/>
        <w:ind w:left="1927" w:right="172" w:hanging="340"/>
        <w:jc w:val="left"/>
        <w:rPr>
          <w:sz w:val="21"/>
        </w:rPr>
      </w:pPr>
      <w:r>
        <w:rPr>
          <w:i/>
          <w:w w:val="105"/>
          <w:sz w:val="21"/>
        </w:rPr>
        <w:t>About</w:t>
      </w:r>
      <w:r>
        <w:rPr>
          <w:i/>
          <w:spacing w:val="-16"/>
          <w:w w:val="105"/>
          <w:sz w:val="21"/>
        </w:rPr>
        <w:t> </w:t>
      </w:r>
      <w:r>
        <w:rPr>
          <w:i/>
          <w:w w:val="105"/>
          <w:sz w:val="21"/>
        </w:rPr>
        <w:t>Us</w:t>
      </w:r>
      <w:r>
        <w:rPr>
          <w:i/>
          <w:spacing w:val="-15"/>
          <w:w w:val="105"/>
          <w:sz w:val="21"/>
        </w:rPr>
        <w:t> </w:t>
      </w:r>
      <w:r>
        <w:rPr>
          <w:w w:val="105"/>
          <w:sz w:val="21"/>
        </w:rPr>
        <w:t>(Web</w:t>
      </w:r>
      <w:r>
        <w:rPr>
          <w:spacing w:val="-16"/>
          <w:w w:val="105"/>
          <w:sz w:val="21"/>
        </w:rPr>
        <w:t> </w:t>
      </w:r>
      <w:r>
        <w:rPr>
          <w:spacing w:val="-3"/>
          <w:w w:val="105"/>
          <w:sz w:val="21"/>
        </w:rPr>
        <w:t>Page,</w:t>
      </w:r>
      <w:r>
        <w:rPr>
          <w:spacing w:val="-15"/>
          <w:w w:val="105"/>
          <w:sz w:val="21"/>
        </w:rPr>
        <w:t> </w:t>
      </w:r>
      <w:r>
        <w:rPr>
          <w:spacing w:val="-3"/>
          <w:w w:val="105"/>
          <w:sz w:val="21"/>
        </w:rPr>
        <w:t>29</w:t>
      </w:r>
      <w:r>
        <w:rPr>
          <w:spacing w:val="-16"/>
          <w:w w:val="105"/>
          <w:sz w:val="21"/>
        </w:rPr>
        <w:t> </w:t>
      </w:r>
      <w:r>
        <w:rPr>
          <w:w w:val="105"/>
          <w:sz w:val="21"/>
        </w:rPr>
        <w:t>April</w:t>
      </w:r>
      <w:r>
        <w:rPr>
          <w:spacing w:val="-15"/>
          <w:w w:val="105"/>
          <w:sz w:val="21"/>
        </w:rPr>
        <w:t> </w:t>
      </w:r>
      <w:r>
        <w:rPr>
          <w:spacing w:val="-6"/>
          <w:w w:val="105"/>
          <w:sz w:val="21"/>
        </w:rPr>
        <w:t>2015)</w:t>
      </w:r>
      <w:r>
        <w:rPr>
          <w:spacing w:val="-16"/>
          <w:w w:val="105"/>
          <w:sz w:val="21"/>
        </w:rPr>
        <w:t> </w:t>
      </w:r>
      <w:r>
        <w:rPr>
          <w:w w:val="105"/>
          <w:sz w:val="21"/>
        </w:rPr>
        <w:t>&lt;</w:t>
      </w:r>
      <w:hyperlink r:id="rId443">
        <w:r>
          <w:rPr>
            <w:w w:val="105"/>
            <w:sz w:val="21"/>
          </w:rPr>
          <w:t>http://www.lec.justice.nsw.gov.au/Pages/about/about.</w:t>
        </w:r>
      </w:hyperlink>
      <w:r>
        <w:rPr>
          <w:w w:val="105"/>
          <w:sz w:val="21"/>
        </w:rPr>
        <w:t> aspx&gt;</w:t>
      </w:r>
    </w:p>
    <w:p>
      <w:pPr>
        <w:pStyle w:val="ListParagraph"/>
        <w:numPr>
          <w:ilvl w:val="0"/>
          <w:numId w:val="221"/>
        </w:numPr>
        <w:tabs>
          <w:tab w:pos="1927" w:val="left" w:leader="none"/>
          <w:tab w:pos="1928" w:val="left" w:leader="none"/>
        </w:tabs>
        <w:spacing w:line="240" w:lineRule="auto" w:before="104" w:after="0"/>
        <w:ind w:left="1927" w:right="0" w:hanging="340"/>
        <w:jc w:val="left"/>
        <w:rPr>
          <w:sz w:val="21"/>
        </w:rPr>
      </w:pPr>
      <w:r>
        <w:rPr>
          <w:i/>
          <w:spacing w:val="-3"/>
          <w:w w:val="105"/>
          <w:sz w:val="21"/>
        </w:rPr>
        <w:t>Annual </w:t>
      </w:r>
      <w:r>
        <w:rPr>
          <w:i/>
          <w:w w:val="105"/>
          <w:sz w:val="21"/>
        </w:rPr>
        <w:t>Review </w:t>
      </w:r>
      <w:r>
        <w:rPr>
          <w:w w:val="105"/>
          <w:sz w:val="21"/>
        </w:rPr>
        <w:t>(Report,</w:t>
      </w:r>
      <w:r>
        <w:rPr>
          <w:spacing w:val="19"/>
          <w:w w:val="105"/>
          <w:sz w:val="21"/>
        </w:rPr>
        <w:t> </w:t>
      </w:r>
      <w:r>
        <w:rPr>
          <w:spacing w:val="-8"/>
          <w:w w:val="105"/>
          <w:sz w:val="21"/>
        </w:rPr>
        <w:t>2017)</w:t>
      </w:r>
    </w:p>
    <w:p>
      <w:pPr>
        <w:pStyle w:val="ListParagraph"/>
        <w:numPr>
          <w:ilvl w:val="0"/>
          <w:numId w:val="221"/>
        </w:numPr>
        <w:tabs>
          <w:tab w:pos="1927" w:val="left" w:leader="none"/>
          <w:tab w:pos="1928" w:val="left" w:leader="none"/>
        </w:tabs>
        <w:spacing w:line="240" w:lineRule="auto" w:before="106" w:after="0"/>
        <w:ind w:left="1927" w:right="0" w:hanging="340"/>
        <w:jc w:val="left"/>
        <w:rPr>
          <w:sz w:val="21"/>
        </w:rPr>
      </w:pPr>
      <w:r>
        <w:rPr>
          <w:i/>
          <w:w w:val="105"/>
          <w:sz w:val="21"/>
        </w:rPr>
        <w:t>Class 2: </w:t>
      </w:r>
      <w:r>
        <w:rPr>
          <w:i/>
          <w:spacing w:val="-4"/>
          <w:w w:val="105"/>
          <w:sz w:val="21"/>
        </w:rPr>
        <w:t>Tree </w:t>
      </w:r>
      <w:r>
        <w:rPr>
          <w:i/>
          <w:spacing w:val="-3"/>
          <w:w w:val="105"/>
          <w:sz w:val="21"/>
        </w:rPr>
        <w:t>Disputes </w:t>
      </w:r>
      <w:r>
        <w:rPr>
          <w:i/>
          <w:w w:val="105"/>
          <w:sz w:val="21"/>
        </w:rPr>
        <w:t>and Local </w:t>
      </w:r>
      <w:r>
        <w:rPr>
          <w:i/>
          <w:spacing w:val="-3"/>
          <w:w w:val="105"/>
          <w:sz w:val="21"/>
        </w:rPr>
        <w:t>Government </w:t>
      </w:r>
      <w:r>
        <w:rPr>
          <w:i/>
          <w:w w:val="105"/>
          <w:sz w:val="21"/>
        </w:rPr>
        <w:t>Appeals </w:t>
      </w:r>
      <w:r>
        <w:rPr>
          <w:w w:val="105"/>
          <w:sz w:val="21"/>
        </w:rPr>
        <w:t>(Web </w:t>
      </w:r>
      <w:r>
        <w:rPr>
          <w:spacing w:val="-3"/>
          <w:w w:val="105"/>
          <w:sz w:val="21"/>
        </w:rPr>
        <w:t>Page, </w:t>
      </w:r>
      <w:r>
        <w:rPr>
          <w:w w:val="105"/>
          <w:sz w:val="21"/>
        </w:rPr>
        <w:t>22 November</w:t>
      </w:r>
      <w:r>
        <w:rPr>
          <w:spacing w:val="2"/>
          <w:w w:val="105"/>
          <w:sz w:val="21"/>
        </w:rPr>
        <w:t> </w:t>
      </w:r>
      <w:r>
        <w:rPr>
          <w:spacing w:val="-5"/>
          <w:w w:val="105"/>
          <w:sz w:val="21"/>
        </w:rPr>
        <w:t>2018)</w:t>
      </w:r>
    </w:p>
    <w:p>
      <w:pPr>
        <w:pStyle w:val="BodyText"/>
        <w:spacing w:before="3"/>
        <w:ind w:left="1927"/>
      </w:pPr>
      <w:r>
        <w:rPr/>
        <w:t>&lt;</w:t>
      </w:r>
      <w:hyperlink r:id="rId362">
        <w:r>
          <w:rPr/>
          <w:t>http://www.lec.justice.nsw.gov.au/Pages/types_of_disputes/class_2/class_2.aspx</w:t>
        </w:r>
      </w:hyperlink>
      <w:r>
        <w:rPr/>
        <w:t>&gt;</w:t>
      </w:r>
    </w:p>
    <w:p>
      <w:pPr>
        <w:pStyle w:val="ListParagraph"/>
        <w:numPr>
          <w:ilvl w:val="0"/>
          <w:numId w:val="221"/>
        </w:numPr>
        <w:tabs>
          <w:tab w:pos="1927" w:val="left" w:leader="none"/>
          <w:tab w:pos="1928" w:val="left" w:leader="none"/>
        </w:tabs>
        <w:spacing w:line="242" w:lineRule="auto" w:before="106" w:after="0"/>
        <w:ind w:left="1927" w:right="28" w:hanging="340"/>
        <w:jc w:val="left"/>
        <w:rPr>
          <w:sz w:val="21"/>
        </w:rPr>
      </w:pPr>
      <w:r>
        <w:rPr>
          <w:i/>
          <w:sz w:val="21"/>
        </w:rPr>
        <w:t>Decisions </w:t>
      </w:r>
      <w:r>
        <w:rPr>
          <w:i/>
          <w:spacing w:val="-3"/>
          <w:sz w:val="21"/>
        </w:rPr>
        <w:t>Involving Applications </w:t>
      </w:r>
      <w:r>
        <w:rPr>
          <w:i/>
          <w:sz w:val="21"/>
        </w:rPr>
        <w:t>Under Part 2–Damage to Property or Injury to Persons </w:t>
      </w:r>
      <w:r>
        <w:rPr>
          <w:sz w:val="21"/>
        </w:rPr>
        <w:t>(Case  </w:t>
      </w:r>
      <w:r>
        <w:rPr>
          <w:spacing w:val="-5"/>
          <w:sz w:val="21"/>
        </w:rPr>
        <w:t>Study, 27 </w:t>
      </w:r>
      <w:r>
        <w:rPr>
          <w:sz w:val="21"/>
        </w:rPr>
        <w:t>April </w:t>
      </w:r>
      <w:r>
        <w:rPr>
          <w:spacing w:val="-6"/>
          <w:sz w:val="21"/>
        </w:rPr>
        <w:t>2015) </w:t>
      </w:r>
      <w:r>
        <w:rPr>
          <w:sz w:val="21"/>
        </w:rPr>
        <w:t>&lt;</w:t>
      </w:r>
      <w:hyperlink r:id="rId444">
        <w:r>
          <w:rPr>
            <w:sz w:val="21"/>
          </w:rPr>
          <w:t>http://www.lec.justice.nsw.gov.au/Pages/types_of_disputes/class_2/</w:t>
        </w:r>
      </w:hyperlink>
      <w:r>
        <w:rPr>
          <w:sz w:val="21"/>
        </w:rPr>
        <w:t> </w:t>
      </w:r>
      <w:r>
        <w:rPr>
          <w:spacing w:val="-2"/>
          <w:sz w:val="21"/>
        </w:rPr>
        <w:t>Trees-hedge-disputes-process/Treedisputes-helpfulmaterials/treedisputes_helpfulmaterial.aspx&gt;</w:t>
      </w:r>
    </w:p>
    <w:p>
      <w:pPr>
        <w:pStyle w:val="ListParagraph"/>
        <w:numPr>
          <w:ilvl w:val="0"/>
          <w:numId w:val="221"/>
        </w:numPr>
        <w:tabs>
          <w:tab w:pos="1927" w:val="left" w:leader="none"/>
          <w:tab w:pos="1928" w:val="left" w:leader="none"/>
        </w:tabs>
        <w:spacing w:line="242" w:lineRule="auto" w:before="105" w:after="0"/>
        <w:ind w:left="1927" w:right="147" w:hanging="340"/>
        <w:jc w:val="left"/>
        <w:rPr>
          <w:sz w:val="21"/>
        </w:rPr>
      </w:pPr>
      <w:r>
        <w:rPr>
          <w:i/>
          <w:spacing w:val="-3"/>
          <w:w w:val="105"/>
          <w:sz w:val="21"/>
        </w:rPr>
        <w:t>Enforcement</w:t>
      </w:r>
      <w:r>
        <w:rPr>
          <w:i/>
          <w:spacing w:val="-18"/>
          <w:w w:val="105"/>
          <w:sz w:val="21"/>
        </w:rPr>
        <w:t> </w:t>
      </w:r>
      <w:r>
        <w:rPr>
          <w:w w:val="105"/>
          <w:sz w:val="21"/>
        </w:rPr>
        <w:t>(Web</w:t>
      </w:r>
      <w:r>
        <w:rPr>
          <w:spacing w:val="-17"/>
          <w:w w:val="105"/>
          <w:sz w:val="21"/>
        </w:rPr>
        <w:t> </w:t>
      </w:r>
      <w:r>
        <w:rPr>
          <w:spacing w:val="-3"/>
          <w:w w:val="105"/>
          <w:sz w:val="21"/>
        </w:rPr>
        <w:t>Page,</w:t>
      </w:r>
      <w:r>
        <w:rPr>
          <w:spacing w:val="-17"/>
          <w:w w:val="105"/>
          <w:sz w:val="21"/>
        </w:rPr>
        <w:t> </w:t>
      </w:r>
      <w:r>
        <w:rPr>
          <w:w w:val="105"/>
          <w:sz w:val="21"/>
        </w:rPr>
        <w:t>2</w:t>
      </w:r>
      <w:r>
        <w:rPr>
          <w:spacing w:val="-18"/>
          <w:w w:val="105"/>
          <w:sz w:val="21"/>
        </w:rPr>
        <w:t> </w:t>
      </w:r>
      <w:r>
        <w:rPr>
          <w:spacing w:val="-2"/>
          <w:w w:val="105"/>
          <w:sz w:val="21"/>
        </w:rPr>
        <w:t>May</w:t>
      </w:r>
      <w:r>
        <w:rPr>
          <w:spacing w:val="-17"/>
          <w:w w:val="105"/>
          <w:sz w:val="21"/>
        </w:rPr>
        <w:t> </w:t>
      </w:r>
      <w:r>
        <w:rPr>
          <w:spacing w:val="-6"/>
          <w:w w:val="105"/>
          <w:sz w:val="21"/>
        </w:rPr>
        <w:t>2015)</w:t>
      </w:r>
      <w:r>
        <w:rPr>
          <w:spacing w:val="-17"/>
          <w:w w:val="105"/>
          <w:sz w:val="21"/>
        </w:rPr>
        <w:t> </w:t>
      </w:r>
      <w:r>
        <w:rPr>
          <w:w w:val="105"/>
          <w:sz w:val="21"/>
        </w:rPr>
        <w:t>&lt;</w:t>
      </w:r>
      <w:hyperlink r:id="rId445">
        <w:r>
          <w:rPr>
            <w:w w:val="105"/>
            <w:sz w:val="21"/>
          </w:rPr>
          <w:t>http://www.lec.justice.nsw.gov.au/Pages/coming_to_</w:t>
        </w:r>
      </w:hyperlink>
      <w:r>
        <w:rPr>
          <w:w w:val="105"/>
          <w:sz w:val="21"/>
        </w:rPr>
        <w:t> the_court/end_of_a_case/enforcement.aspx&gt;</w:t>
      </w:r>
    </w:p>
    <w:p>
      <w:pPr>
        <w:pStyle w:val="ListParagraph"/>
        <w:numPr>
          <w:ilvl w:val="0"/>
          <w:numId w:val="221"/>
        </w:numPr>
        <w:tabs>
          <w:tab w:pos="1927" w:val="left" w:leader="none"/>
          <w:tab w:pos="1928" w:val="left" w:leader="none"/>
        </w:tabs>
        <w:spacing w:line="242" w:lineRule="auto" w:before="105" w:after="0"/>
        <w:ind w:left="1927" w:right="66" w:hanging="340"/>
        <w:jc w:val="left"/>
        <w:rPr>
          <w:sz w:val="21"/>
        </w:rPr>
      </w:pPr>
      <w:r>
        <w:rPr>
          <w:i/>
          <w:sz w:val="21"/>
        </w:rPr>
        <w:t>Form C: </w:t>
      </w:r>
      <w:r>
        <w:rPr>
          <w:i/>
          <w:spacing w:val="-4"/>
          <w:sz w:val="21"/>
        </w:rPr>
        <w:t>Tree </w:t>
      </w:r>
      <w:r>
        <w:rPr>
          <w:i/>
          <w:spacing w:val="-3"/>
          <w:sz w:val="21"/>
        </w:rPr>
        <w:t>Dispute Application </w:t>
      </w:r>
      <w:r>
        <w:rPr>
          <w:sz w:val="21"/>
        </w:rPr>
        <w:t>(Version 3) &lt;</w:t>
      </w:r>
      <w:hyperlink r:id="rId446">
        <w:r>
          <w:rPr>
            <w:sz w:val="21"/>
          </w:rPr>
          <w:t>http://www.lec.justice.nsw.gov.au/Pages/types_</w:t>
        </w:r>
      </w:hyperlink>
      <w:r>
        <w:rPr>
          <w:sz w:val="21"/>
        </w:rPr>
        <w:t> of_disputes/class_2/Trees-hedge-disputes-process/treedisputes_how.aspx&gt;</w:t>
      </w:r>
    </w:p>
    <w:p>
      <w:pPr>
        <w:pStyle w:val="ListParagraph"/>
        <w:numPr>
          <w:ilvl w:val="0"/>
          <w:numId w:val="221"/>
        </w:numPr>
        <w:tabs>
          <w:tab w:pos="1927" w:val="left" w:leader="none"/>
          <w:tab w:pos="1928" w:val="left" w:leader="none"/>
        </w:tabs>
        <w:spacing w:line="240" w:lineRule="auto" w:before="104" w:after="0"/>
        <w:ind w:left="1927" w:right="0" w:hanging="340"/>
        <w:jc w:val="left"/>
        <w:rPr>
          <w:sz w:val="21"/>
        </w:rPr>
      </w:pPr>
      <w:r>
        <w:rPr>
          <w:i/>
          <w:sz w:val="21"/>
        </w:rPr>
        <w:t>Form</w:t>
      </w:r>
      <w:r>
        <w:rPr>
          <w:i/>
          <w:spacing w:val="13"/>
          <w:sz w:val="21"/>
        </w:rPr>
        <w:t> </w:t>
      </w:r>
      <w:r>
        <w:rPr>
          <w:i/>
          <w:sz w:val="21"/>
        </w:rPr>
        <w:t>H:</w:t>
      </w:r>
      <w:r>
        <w:rPr>
          <w:i/>
          <w:spacing w:val="14"/>
          <w:sz w:val="21"/>
        </w:rPr>
        <w:t> </w:t>
      </w:r>
      <w:r>
        <w:rPr>
          <w:i/>
          <w:spacing w:val="-4"/>
          <w:sz w:val="21"/>
        </w:rPr>
        <w:t>Tree</w:t>
      </w:r>
      <w:r>
        <w:rPr>
          <w:i/>
          <w:spacing w:val="14"/>
          <w:sz w:val="21"/>
        </w:rPr>
        <w:t> </w:t>
      </w:r>
      <w:r>
        <w:rPr>
          <w:i/>
          <w:spacing w:val="-3"/>
          <w:sz w:val="21"/>
        </w:rPr>
        <w:t>Dispute</w:t>
      </w:r>
      <w:r>
        <w:rPr>
          <w:i/>
          <w:spacing w:val="14"/>
          <w:sz w:val="21"/>
        </w:rPr>
        <w:t> </w:t>
      </w:r>
      <w:r>
        <w:rPr>
          <w:i/>
          <w:spacing w:val="-3"/>
          <w:sz w:val="21"/>
        </w:rPr>
        <w:t>Claim</w:t>
      </w:r>
      <w:r>
        <w:rPr>
          <w:i/>
          <w:spacing w:val="14"/>
          <w:sz w:val="21"/>
        </w:rPr>
        <w:t> </w:t>
      </w:r>
      <w:r>
        <w:rPr>
          <w:i/>
          <w:sz w:val="21"/>
        </w:rPr>
        <w:t>Details</w:t>
      </w:r>
      <w:r>
        <w:rPr>
          <w:i/>
          <w:spacing w:val="14"/>
          <w:sz w:val="21"/>
        </w:rPr>
        <w:t> </w:t>
      </w:r>
      <w:r>
        <w:rPr>
          <w:i/>
          <w:sz w:val="21"/>
        </w:rPr>
        <w:t>(Damage</w:t>
      </w:r>
      <w:r>
        <w:rPr>
          <w:i/>
          <w:spacing w:val="14"/>
          <w:sz w:val="21"/>
        </w:rPr>
        <w:t> </w:t>
      </w:r>
      <w:r>
        <w:rPr>
          <w:i/>
          <w:sz w:val="21"/>
        </w:rPr>
        <w:t>to</w:t>
      </w:r>
      <w:r>
        <w:rPr>
          <w:i/>
          <w:spacing w:val="13"/>
          <w:sz w:val="21"/>
        </w:rPr>
        <w:t> </w:t>
      </w:r>
      <w:r>
        <w:rPr>
          <w:i/>
          <w:sz w:val="21"/>
        </w:rPr>
        <w:t>Property</w:t>
      </w:r>
      <w:r>
        <w:rPr>
          <w:i/>
          <w:spacing w:val="14"/>
          <w:sz w:val="21"/>
        </w:rPr>
        <w:t> </w:t>
      </w:r>
      <w:r>
        <w:rPr>
          <w:i/>
          <w:sz w:val="21"/>
        </w:rPr>
        <w:t>or</w:t>
      </w:r>
      <w:r>
        <w:rPr>
          <w:i/>
          <w:spacing w:val="14"/>
          <w:sz w:val="21"/>
        </w:rPr>
        <w:t> </w:t>
      </w:r>
      <w:r>
        <w:rPr>
          <w:i/>
          <w:sz w:val="21"/>
        </w:rPr>
        <w:t>Injury</w:t>
      </w:r>
      <w:r>
        <w:rPr>
          <w:i/>
          <w:spacing w:val="14"/>
          <w:sz w:val="21"/>
        </w:rPr>
        <w:t> </w:t>
      </w:r>
      <w:r>
        <w:rPr>
          <w:i/>
          <w:sz w:val="21"/>
        </w:rPr>
        <w:t>to</w:t>
      </w:r>
      <w:r>
        <w:rPr>
          <w:i/>
          <w:spacing w:val="14"/>
          <w:sz w:val="21"/>
        </w:rPr>
        <w:t> </w:t>
      </w:r>
      <w:r>
        <w:rPr>
          <w:i/>
          <w:sz w:val="21"/>
        </w:rPr>
        <w:t>a</w:t>
      </w:r>
      <w:r>
        <w:rPr>
          <w:i/>
          <w:spacing w:val="14"/>
          <w:sz w:val="21"/>
        </w:rPr>
        <w:t> </w:t>
      </w:r>
      <w:r>
        <w:rPr>
          <w:i/>
          <w:sz w:val="21"/>
        </w:rPr>
        <w:t>Person)</w:t>
      </w:r>
      <w:r>
        <w:rPr>
          <w:i/>
          <w:spacing w:val="14"/>
          <w:sz w:val="21"/>
        </w:rPr>
        <w:t> </w:t>
      </w:r>
      <w:r>
        <w:rPr>
          <w:sz w:val="21"/>
        </w:rPr>
        <w:t>(Version</w:t>
      </w:r>
      <w:r>
        <w:rPr>
          <w:spacing w:val="14"/>
          <w:sz w:val="21"/>
        </w:rPr>
        <w:t> </w:t>
      </w:r>
      <w:r>
        <w:rPr>
          <w:spacing w:val="-4"/>
          <w:sz w:val="21"/>
        </w:rPr>
        <w:t>1)</w:t>
      </w:r>
    </w:p>
    <w:p>
      <w:pPr>
        <w:pStyle w:val="BodyText"/>
        <w:spacing w:line="242" w:lineRule="auto" w:before="3"/>
        <w:ind w:left="1927" w:right="365"/>
      </w:pPr>
      <w:r>
        <w:rPr/>
        <w:t>&lt;</w:t>
      </w:r>
      <w:hyperlink r:id="rId447">
        <w:r>
          <w:rPr/>
          <w:t>http://www.lec.justice.nsw.gov.au/Pages/types_of_disputes/class_2/Trees-hedge-disputes-</w:t>
        </w:r>
      </w:hyperlink>
      <w:r>
        <w:rPr/>
        <w:t> process/treedisputes_how.aspx&gt;</w:t>
      </w:r>
    </w:p>
    <w:p>
      <w:pPr>
        <w:pStyle w:val="ListParagraph"/>
        <w:numPr>
          <w:ilvl w:val="0"/>
          <w:numId w:val="221"/>
        </w:numPr>
        <w:tabs>
          <w:tab w:pos="1927" w:val="left" w:leader="none"/>
          <w:tab w:pos="1928" w:val="left" w:leader="none"/>
        </w:tabs>
        <w:spacing w:line="242" w:lineRule="auto" w:before="105" w:after="0"/>
        <w:ind w:left="1927" w:right="181" w:hanging="340"/>
        <w:jc w:val="left"/>
        <w:rPr>
          <w:sz w:val="21"/>
        </w:rPr>
      </w:pPr>
      <w:r>
        <w:rPr>
          <w:i/>
          <w:spacing w:val="-3"/>
          <w:sz w:val="21"/>
        </w:rPr>
        <w:t>Helpful Materials </w:t>
      </w:r>
      <w:r>
        <w:rPr>
          <w:sz w:val="21"/>
        </w:rPr>
        <w:t>(Web </w:t>
      </w:r>
      <w:r>
        <w:rPr>
          <w:spacing w:val="-3"/>
          <w:sz w:val="21"/>
        </w:rPr>
        <w:t>Page, </w:t>
      </w:r>
      <w:r>
        <w:rPr>
          <w:sz w:val="21"/>
        </w:rPr>
        <w:t>22 November </w:t>
      </w:r>
      <w:r>
        <w:rPr>
          <w:spacing w:val="-5"/>
          <w:sz w:val="21"/>
        </w:rPr>
        <w:t>2018) </w:t>
      </w:r>
      <w:r>
        <w:rPr>
          <w:sz w:val="21"/>
        </w:rPr>
        <w:t>&lt;</w:t>
      </w:r>
      <w:hyperlink r:id="rId116">
        <w:r>
          <w:rPr>
            <w:sz w:val="21"/>
          </w:rPr>
          <w:t>http://www.lec.justice.nsw.gov.au/Pages/</w:t>
        </w:r>
      </w:hyperlink>
      <w:r>
        <w:rPr>
          <w:sz w:val="21"/>
        </w:rPr>
        <w:t> types_of_disputes/class_2/Trees-hedge-disputes-process/Treedisputes-helpfulmaterials/ treedisputes_helpfulmaterial.aspx#Legislation&gt;</w:t>
      </w:r>
    </w:p>
    <w:p>
      <w:pPr>
        <w:pStyle w:val="ListParagraph"/>
        <w:numPr>
          <w:ilvl w:val="0"/>
          <w:numId w:val="221"/>
        </w:numPr>
        <w:tabs>
          <w:tab w:pos="1927" w:val="left" w:leader="none"/>
          <w:tab w:pos="1928" w:val="left" w:leader="none"/>
        </w:tabs>
        <w:spacing w:line="240" w:lineRule="auto" w:before="105" w:after="0"/>
        <w:ind w:left="1927" w:right="0" w:hanging="340"/>
        <w:jc w:val="left"/>
        <w:rPr>
          <w:sz w:val="21"/>
        </w:rPr>
      </w:pPr>
      <w:r>
        <w:rPr>
          <w:i/>
          <w:w w:val="105"/>
          <w:sz w:val="21"/>
        </w:rPr>
        <w:t>Schedule</w:t>
      </w:r>
      <w:r>
        <w:rPr>
          <w:i/>
          <w:spacing w:val="-5"/>
          <w:w w:val="105"/>
          <w:sz w:val="21"/>
        </w:rPr>
        <w:t> </w:t>
      </w:r>
      <w:r>
        <w:rPr>
          <w:i/>
          <w:w w:val="105"/>
          <w:sz w:val="21"/>
        </w:rPr>
        <w:t>A.</w:t>
      </w:r>
      <w:r>
        <w:rPr>
          <w:i/>
          <w:spacing w:val="-5"/>
          <w:w w:val="105"/>
          <w:sz w:val="21"/>
        </w:rPr>
        <w:t> </w:t>
      </w:r>
      <w:r>
        <w:rPr>
          <w:i/>
          <w:spacing w:val="-3"/>
          <w:w w:val="105"/>
          <w:sz w:val="21"/>
        </w:rPr>
        <w:t>Usual</w:t>
      </w:r>
      <w:r>
        <w:rPr>
          <w:i/>
          <w:spacing w:val="-4"/>
          <w:w w:val="105"/>
          <w:sz w:val="21"/>
        </w:rPr>
        <w:t> </w:t>
      </w:r>
      <w:r>
        <w:rPr>
          <w:i/>
          <w:w w:val="105"/>
          <w:sz w:val="21"/>
        </w:rPr>
        <w:t>Directions</w:t>
      </w:r>
      <w:r>
        <w:rPr>
          <w:i/>
          <w:spacing w:val="-5"/>
          <w:w w:val="105"/>
          <w:sz w:val="21"/>
        </w:rPr>
        <w:t> </w:t>
      </w:r>
      <w:r>
        <w:rPr>
          <w:i/>
          <w:w w:val="105"/>
          <w:sz w:val="21"/>
        </w:rPr>
        <w:t>on</w:t>
      </w:r>
      <w:r>
        <w:rPr>
          <w:i/>
          <w:spacing w:val="-4"/>
          <w:w w:val="105"/>
          <w:sz w:val="21"/>
        </w:rPr>
        <w:t> </w:t>
      </w:r>
      <w:r>
        <w:rPr>
          <w:i/>
          <w:w w:val="105"/>
          <w:sz w:val="21"/>
        </w:rPr>
        <w:t>the</w:t>
      </w:r>
      <w:r>
        <w:rPr>
          <w:i/>
          <w:spacing w:val="-5"/>
          <w:w w:val="105"/>
          <w:sz w:val="21"/>
        </w:rPr>
        <w:t> </w:t>
      </w:r>
      <w:r>
        <w:rPr>
          <w:i/>
          <w:w w:val="105"/>
          <w:sz w:val="21"/>
        </w:rPr>
        <w:t>Preliminary</w:t>
      </w:r>
      <w:r>
        <w:rPr>
          <w:i/>
          <w:spacing w:val="-5"/>
          <w:w w:val="105"/>
          <w:sz w:val="21"/>
        </w:rPr>
        <w:t> </w:t>
      </w:r>
      <w:r>
        <w:rPr>
          <w:i/>
          <w:w w:val="105"/>
          <w:sz w:val="21"/>
        </w:rPr>
        <w:t>Hearing</w:t>
      </w:r>
      <w:r>
        <w:rPr>
          <w:i/>
          <w:spacing w:val="-4"/>
          <w:w w:val="105"/>
          <w:sz w:val="21"/>
        </w:rPr>
        <w:t> </w:t>
      </w:r>
      <w:r>
        <w:rPr>
          <w:i/>
          <w:w w:val="105"/>
          <w:sz w:val="21"/>
        </w:rPr>
        <w:t>for</w:t>
      </w:r>
      <w:r>
        <w:rPr>
          <w:i/>
          <w:spacing w:val="-5"/>
          <w:w w:val="105"/>
          <w:sz w:val="21"/>
        </w:rPr>
        <w:t> </w:t>
      </w:r>
      <w:r>
        <w:rPr>
          <w:i/>
          <w:spacing w:val="-4"/>
          <w:w w:val="105"/>
          <w:sz w:val="21"/>
        </w:rPr>
        <w:t>Tree </w:t>
      </w:r>
      <w:r>
        <w:rPr>
          <w:i/>
          <w:spacing w:val="-3"/>
          <w:w w:val="105"/>
          <w:sz w:val="21"/>
        </w:rPr>
        <w:t>Applications</w:t>
      </w:r>
      <w:r>
        <w:rPr>
          <w:i/>
          <w:spacing w:val="-5"/>
          <w:w w:val="105"/>
          <w:sz w:val="21"/>
        </w:rPr>
        <w:t> </w:t>
      </w:r>
      <w:r>
        <w:rPr>
          <w:w w:val="105"/>
          <w:sz w:val="21"/>
        </w:rPr>
        <w:t>(November</w:t>
      </w:r>
      <w:r>
        <w:rPr>
          <w:spacing w:val="-5"/>
          <w:w w:val="105"/>
          <w:sz w:val="21"/>
        </w:rPr>
        <w:t> 2018)</w:t>
      </w:r>
    </w:p>
    <w:p>
      <w:pPr>
        <w:pStyle w:val="BodyText"/>
        <w:spacing w:line="242" w:lineRule="auto" w:before="4"/>
        <w:ind w:left="1927" w:right="365"/>
      </w:pPr>
      <w:r>
        <w:rPr/>
        <w:t>&lt;</w:t>
      </w:r>
      <w:hyperlink r:id="rId447">
        <w:r>
          <w:rPr/>
          <w:t>http://www.lec.justice.nsw.gov.au/Pages/types_of_disputes/class_2/Trees-hedge-disputes-</w:t>
        </w:r>
      </w:hyperlink>
      <w:r>
        <w:rPr/>
        <w:t> process/treedisputes_prelimhearing.aspx&gt;</w:t>
      </w:r>
    </w:p>
    <w:p>
      <w:pPr>
        <w:pStyle w:val="ListParagraph"/>
        <w:numPr>
          <w:ilvl w:val="0"/>
          <w:numId w:val="221"/>
        </w:numPr>
        <w:tabs>
          <w:tab w:pos="1927" w:val="left" w:leader="none"/>
          <w:tab w:pos="1928" w:val="left" w:leader="none"/>
        </w:tabs>
        <w:spacing w:line="242" w:lineRule="auto" w:before="104" w:after="0"/>
        <w:ind w:left="1927" w:right="263" w:hanging="340"/>
        <w:jc w:val="left"/>
        <w:rPr>
          <w:sz w:val="21"/>
        </w:rPr>
      </w:pPr>
      <w:r>
        <w:rPr>
          <w:i/>
          <w:spacing w:val="-4"/>
          <w:sz w:val="21"/>
        </w:rPr>
        <w:t>Tree </w:t>
      </w:r>
      <w:r>
        <w:rPr>
          <w:i/>
          <w:spacing w:val="-3"/>
          <w:sz w:val="21"/>
        </w:rPr>
        <w:t>Dispute </w:t>
      </w:r>
      <w:r>
        <w:rPr>
          <w:i/>
          <w:sz w:val="21"/>
        </w:rPr>
        <w:t>Principles </w:t>
      </w:r>
      <w:r>
        <w:rPr>
          <w:sz w:val="21"/>
        </w:rPr>
        <w:t>(Web </w:t>
      </w:r>
      <w:r>
        <w:rPr>
          <w:spacing w:val="-3"/>
          <w:sz w:val="21"/>
        </w:rPr>
        <w:t>Page, </w:t>
      </w:r>
      <w:r>
        <w:rPr>
          <w:spacing w:val="-4"/>
          <w:sz w:val="21"/>
        </w:rPr>
        <w:t>25 </w:t>
      </w:r>
      <w:r>
        <w:rPr>
          <w:sz w:val="21"/>
        </w:rPr>
        <w:t>September </w:t>
      </w:r>
      <w:r>
        <w:rPr>
          <w:spacing w:val="-7"/>
          <w:sz w:val="21"/>
        </w:rPr>
        <w:t>2017) </w:t>
      </w:r>
      <w:r>
        <w:rPr>
          <w:sz w:val="21"/>
        </w:rPr>
        <w:t>&lt;</w:t>
      </w:r>
      <w:hyperlink r:id="rId212">
        <w:r>
          <w:rPr>
            <w:sz w:val="21"/>
          </w:rPr>
          <w:t>http://www.lec.justice.nsw.gov.au/</w:t>
        </w:r>
      </w:hyperlink>
      <w:r>
        <w:rPr>
          <w:sz w:val="21"/>
        </w:rPr>
        <w:t> Pages/practice_procedure/principles/tree_principles.aspx&gt;</w:t>
      </w:r>
    </w:p>
    <w:p>
      <w:pPr>
        <w:pStyle w:val="ListParagraph"/>
        <w:numPr>
          <w:ilvl w:val="0"/>
          <w:numId w:val="221"/>
        </w:numPr>
        <w:tabs>
          <w:tab w:pos="1927" w:val="left" w:leader="none"/>
          <w:tab w:pos="1928" w:val="left" w:leader="none"/>
        </w:tabs>
        <w:spacing w:line="242" w:lineRule="auto" w:before="104" w:after="0"/>
        <w:ind w:left="1927" w:right="135" w:hanging="340"/>
        <w:jc w:val="left"/>
        <w:rPr>
          <w:sz w:val="21"/>
        </w:rPr>
      </w:pPr>
      <w:r>
        <w:rPr>
          <w:i/>
          <w:spacing w:val="-4"/>
          <w:sz w:val="21"/>
        </w:rPr>
        <w:t>Tree </w:t>
      </w:r>
      <w:r>
        <w:rPr>
          <w:i/>
          <w:spacing w:val="-3"/>
          <w:sz w:val="21"/>
        </w:rPr>
        <w:t>Disputes: </w:t>
      </w:r>
      <w:r>
        <w:rPr>
          <w:i/>
          <w:sz w:val="21"/>
        </w:rPr>
        <w:t>Understanding the Law </w:t>
      </w:r>
      <w:r>
        <w:rPr>
          <w:sz w:val="21"/>
        </w:rPr>
        <w:t>(Fact Sheet) &lt;</w:t>
      </w:r>
      <w:hyperlink r:id="rId212">
        <w:r>
          <w:rPr>
            <w:sz w:val="21"/>
          </w:rPr>
          <w:t>http://www.lec.justice.nsw.gov.au/</w:t>
        </w:r>
      </w:hyperlink>
      <w:r>
        <w:rPr>
          <w:sz w:val="21"/>
        </w:rPr>
        <w:t> </w:t>
      </w:r>
      <w:r>
        <w:rPr>
          <w:spacing w:val="-1"/>
          <w:sz w:val="21"/>
        </w:rPr>
        <w:t>Pages/types_of_disputes/class_2/Trees-hedge-disputes-process/Treedisputes-helpfulmaterials/ </w:t>
      </w:r>
      <w:r>
        <w:rPr>
          <w:sz w:val="21"/>
        </w:rPr>
        <w:t>treedisputes_helpfulmaterial.aspx#Information_material&gt;</w:t>
      </w:r>
    </w:p>
    <w:p>
      <w:pPr>
        <w:pStyle w:val="BodyText"/>
        <w:spacing w:line="242" w:lineRule="auto" w:before="105"/>
        <w:ind w:left="1587" w:right="419"/>
      </w:pPr>
      <w:r>
        <w:rPr>
          <w:w w:val="105"/>
        </w:rPr>
        <w:t>Landata (Vic), </w:t>
      </w:r>
      <w:r>
        <w:rPr>
          <w:i/>
          <w:w w:val="105"/>
        </w:rPr>
        <w:t>Help </w:t>
      </w:r>
      <w:r>
        <w:rPr>
          <w:w w:val="105"/>
        </w:rPr>
        <w:t>(Web </w:t>
      </w:r>
      <w:r>
        <w:rPr>
          <w:spacing w:val="-3"/>
          <w:w w:val="105"/>
        </w:rPr>
        <w:t>Page, </w:t>
      </w:r>
      <w:r>
        <w:rPr>
          <w:spacing w:val="-5"/>
          <w:w w:val="105"/>
        </w:rPr>
        <w:t>27 </w:t>
      </w:r>
      <w:r>
        <w:rPr>
          <w:w w:val="105"/>
        </w:rPr>
        <w:t>October </w:t>
      </w:r>
      <w:r>
        <w:rPr>
          <w:spacing w:val="-7"/>
          <w:w w:val="105"/>
        </w:rPr>
        <w:t>2017) </w:t>
      </w:r>
      <w:r>
        <w:rPr>
          <w:w w:val="105"/>
        </w:rPr>
        <w:t>&lt;https://</w:t>
      </w:r>
      <w:hyperlink r:id="rId448">
        <w:r>
          <w:rPr>
            <w:w w:val="105"/>
          </w:rPr>
          <w:t>www.landata.vic.gov.au/tpc_help_</w:t>
        </w:r>
      </w:hyperlink>
      <w:r>
        <w:rPr>
          <w:w w:val="105"/>
        </w:rPr>
        <w:t> general.aspx&gt;</w:t>
      </w:r>
    </w:p>
    <w:p>
      <w:pPr>
        <w:spacing w:line="338" w:lineRule="auto" w:before="104"/>
        <w:ind w:left="1587" w:right="366" w:firstLine="0"/>
        <w:jc w:val="left"/>
        <w:rPr>
          <w:sz w:val="21"/>
        </w:rPr>
      </w:pPr>
      <w:r>
        <w:rPr>
          <w:w w:val="105"/>
          <w:sz w:val="21"/>
        </w:rPr>
        <w:t>Law Institute of Victoria, </w:t>
      </w:r>
      <w:r>
        <w:rPr>
          <w:i/>
          <w:w w:val="105"/>
          <w:sz w:val="21"/>
        </w:rPr>
        <w:t>Mediators </w:t>
      </w:r>
      <w:r>
        <w:rPr>
          <w:w w:val="105"/>
          <w:sz w:val="21"/>
        </w:rPr>
        <w:t>(Online Database) &lt;https://</w:t>
      </w:r>
      <w:hyperlink r:id="rId61">
        <w:r>
          <w:rPr>
            <w:w w:val="105"/>
            <w:sz w:val="21"/>
          </w:rPr>
          <w:t>www.liv.asn.au/mediators</w:t>
        </w:r>
      </w:hyperlink>
      <w:r>
        <w:rPr>
          <w:w w:val="105"/>
          <w:sz w:val="21"/>
        </w:rPr>
        <w:t>&gt; Law Reform Committee, Parliament of Victoria, </w:t>
      </w:r>
      <w:r>
        <w:rPr>
          <w:i/>
          <w:w w:val="105"/>
          <w:sz w:val="21"/>
        </w:rPr>
        <w:t>Review of the Fences Act 1968 </w:t>
      </w:r>
      <w:r>
        <w:rPr>
          <w:w w:val="105"/>
          <w:sz w:val="21"/>
        </w:rPr>
        <w:t>(Report, 1998)</w:t>
      </w:r>
    </w:p>
    <w:p>
      <w:pPr>
        <w:pStyle w:val="BodyText"/>
        <w:spacing w:line="242" w:lineRule="auto" w:before="2"/>
        <w:ind w:left="1587" w:right="406"/>
      </w:pPr>
      <w:r>
        <w:rPr>
          <w:w w:val="105"/>
        </w:rPr>
        <w:t>Legal Aid </w:t>
      </w:r>
      <w:r>
        <w:rPr>
          <w:spacing w:val="-3"/>
          <w:w w:val="105"/>
        </w:rPr>
        <w:t>Commission </w:t>
      </w:r>
      <w:r>
        <w:rPr>
          <w:w w:val="105"/>
        </w:rPr>
        <w:t>of </w:t>
      </w:r>
      <w:r>
        <w:rPr>
          <w:spacing w:val="-5"/>
          <w:w w:val="105"/>
        </w:rPr>
        <w:t>Tasmania </w:t>
      </w:r>
      <w:r>
        <w:rPr>
          <w:w w:val="105"/>
        </w:rPr>
        <w:t>(Online </w:t>
      </w:r>
      <w:r>
        <w:rPr>
          <w:spacing w:val="-3"/>
          <w:w w:val="105"/>
        </w:rPr>
        <w:t>Directory, </w:t>
      </w:r>
      <w:r>
        <w:rPr>
          <w:spacing w:val="-5"/>
          <w:w w:val="105"/>
        </w:rPr>
        <w:t>2019) </w:t>
      </w:r>
      <w:r>
        <w:rPr>
          <w:w w:val="105"/>
        </w:rPr>
        <w:t>&lt;https://</w:t>
      </w:r>
      <w:hyperlink r:id="rId449">
        <w:r>
          <w:rPr>
            <w:w w:val="105"/>
          </w:rPr>
          <w:t>www.legalaid.tas.gov.au/</w:t>
        </w:r>
      </w:hyperlink>
      <w:r>
        <w:rPr>
          <w:w w:val="105"/>
        </w:rPr>
        <w:t> referral-list&gt;</w:t>
      </w:r>
    </w:p>
    <w:p>
      <w:pPr>
        <w:spacing w:before="104"/>
        <w:ind w:left="1587" w:right="0" w:firstLine="0"/>
        <w:jc w:val="left"/>
        <w:rPr>
          <w:sz w:val="21"/>
        </w:rPr>
      </w:pPr>
      <w:r>
        <w:rPr>
          <w:w w:val="105"/>
          <w:sz w:val="21"/>
        </w:rPr>
        <w:t>Legg, Michael, </w:t>
      </w:r>
      <w:r>
        <w:rPr>
          <w:i/>
          <w:w w:val="105"/>
          <w:sz w:val="21"/>
        </w:rPr>
        <w:t>The Future of Dispute Resolution: Online ADR and Online Courts </w:t>
      </w:r>
      <w:r>
        <w:rPr>
          <w:w w:val="105"/>
          <w:sz w:val="21"/>
        </w:rPr>
        <w:t>(2016) 27(4)</w:t>
      </w:r>
    </w:p>
    <w:p>
      <w:pPr>
        <w:spacing w:before="3"/>
        <w:ind w:left="1587" w:right="0" w:firstLine="0"/>
        <w:jc w:val="left"/>
        <w:rPr>
          <w:sz w:val="21"/>
        </w:rPr>
      </w:pPr>
      <w:r>
        <w:rPr>
          <w:i/>
          <w:w w:val="105"/>
          <w:sz w:val="21"/>
        </w:rPr>
        <w:t>Australasian Dispute Resolution Journal </w:t>
      </w:r>
      <w:r>
        <w:rPr>
          <w:w w:val="105"/>
          <w:sz w:val="21"/>
        </w:rPr>
        <w:t>227</w:t>
      </w:r>
    </w:p>
    <w:p>
      <w:pPr>
        <w:pStyle w:val="BodyText"/>
        <w:spacing w:before="106"/>
        <w:ind w:left="1587"/>
      </w:pPr>
      <w:r>
        <w:rPr>
          <w:w w:val="105"/>
        </w:rPr>
        <w:t>Lensink, Michelle, ‘Tree Protection Laws in Australian States and Territories’, </w:t>
      </w:r>
      <w:r>
        <w:rPr>
          <w:i/>
          <w:w w:val="105"/>
        </w:rPr>
        <w:t>Treenet </w:t>
      </w:r>
      <w:r>
        <w:rPr>
          <w:w w:val="105"/>
        </w:rPr>
        <w:t>(2017)</w:t>
      </w:r>
    </w:p>
    <w:p>
      <w:pPr>
        <w:pStyle w:val="BodyText"/>
        <w:spacing w:line="338" w:lineRule="auto" w:before="4"/>
        <w:ind w:left="1587" w:right="640"/>
      </w:pPr>
      <w:r>
        <w:rPr/>
        <w:t>&lt;https://treenet.org/resources/tree-protection-laws-in-australian-states-and-territories/&gt; Lexis Nexis,</w:t>
      </w:r>
    </w:p>
    <w:p>
      <w:pPr>
        <w:pStyle w:val="ListParagraph"/>
        <w:numPr>
          <w:ilvl w:val="0"/>
          <w:numId w:val="221"/>
        </w:numPr>
        <w:tabs>
          <w:tab w:pos="1927" w:val="left" w:leader="none"/>
          <w:tab w:pos="1928" w:val="left" w:leader="none"/>
        </w:tabs>
        <w:spacing w:line="240" w:lineRule="auto" w:before="1" w:after="0"/>
        <w:ind w:left="1927" w:right="0" w:hanging="340"/>
        <w:jc w:val="left"/>
        <w:rPr>
          <w:sz w:val="21"/>
        </w:rPr>
      </w:pPr>
      <w:r>
        <w:rPr>
          <w:i/>
          <w:w w:val="105"/>
          <w:sz w:val="21"/>
        </w:rPr>
        <w:t>Butterworths’ </w:t>
      </w:r>
      <w:r>
        <w:rPr>
          <w:i/>
          <w:spacing w:val="-3"/>
          <w:w w:val="105"/>
          <w:sz w:val="21"/>
        </w:rPr>
        <w:t>Concise </w:t>
      </w:r>
      <w:r>
        <w:rPr>
          <w:i/>
          <w:w w:val="105"/>
          <w:sz w:val="21"/>
        </w:rPr>
        <w:t>Legal Dictionary </w:t>
      </w:r>
      <w:r>
        <w:rPr>
          <w:spacing w:val="-3"/>
          <w:w w:val="105"/>
          <w:sz w:val="21"/>
        </w:rPr>
        <w:t>(3rd </w:t>
      </w:r>
      <w:r>
        <w:rPr>
          <w:w w:val="105"/>
          <w:sz w:val="21"/>
        </w:rPr>
        <w:t>ed,</w:t>
      </w:r>
      <w:r>
        <w:rPr>
          <w:spacing w:val="36"/>
          <w:w w:val="105"/>
          <w:sz w:val="21"/>
        </w:rPr>
        <w:t> </w:t>
      </w:r>
      <w:r>
        <w:rPr>
          <w:w w:val="105"/>
          <w:sz w:val="21"/>
        </w:rPr>
        <w:t>2004)</w:t>
      </w:r>
    </w:p>
    <w:p>
      <w:pPr>
        <w:pStyle w:val="ListParagraph"/>
        <w:numPr>
          <w:ilvl w:val="0"/>
          <w:numId w:val="221"/>
        </w:numPr>
        <w:tabs>
          <w:tab w:pos="1927" w:val="left" w:leader="none"/>
          <w:tab w:pos="1928" w:val="left" w:leader="none"/>
        </w:tabs>
        <w:spacing w:line="240" w:lineRule="auto" w:before="106" w:after="0"/>
        <w:ind w:left="1927" w:right="0" w:hanging="340"/>
        <w:jc w:val="left"/>
        <w:rPr>
          <w:sz w:val="21"/>
        </w:rPr>
      </w:pPr>
      <w:r>
        <w:rPr>
          <w:i/>
          <w:w w:val="105"/>
          <w:sz w:val="21"/>
        </w:rPr>
        <w:t>Encyclopaedic </w:t>
      </w:r>
      <w:r>
        <w:rPr>
          <w:i/>
          <w:spacing w:val="-3"/>
          <w:w w:val="105"/>
          <w:sz w:val="21"/>
        </w:rPr>
        <w:t>Australian </w:t>
      </w:r>
      <w:r>
        <w:rPr>
          <w:i/>
          <w:w w:val="105"/>
          <w:sz w:val="21"/>
        </w:rPr>
        <w:t>Legal Dictionary </w:t>
      </w:r>
      <w:r>
        <w:rPr>
          <w:w w:val="105"/>
          <w:sz w:val="21"/>
        </w:rPr>
        <w:t>(online at </w:t>
      </w:r>
      <w:r>
        <w:rPr>
          <w:spacing w:val="-8"/>
          <w:w w:val="105"/>
          <w:sz w:val="21"/>
        </w:rPr>
        <w:t>15 </w:t>
      </w:r>
      <w:r>
        <w:rPr>
          <w:w w:val="105"/>
          <w:sz w:val="21"/>
        </w:rPr>
        <w:t>April</w:t>
      </w:r>
      <w:r>
        <w:rPr>
          <w:spacing w:val="39"/>
          <w:w w:val="105"/>
          <w:sz w:val="21"/>
        </w:rPr>
        <w:t> </w:t>
      </w:r>
      <w:r>
        <w:rPr>
          <w:spacing w:val="-5"/>
          <w:w w:val="105"/>
          <w:sz w:val="21"/>
        </w:rPr>
        <w:t>2019)</w:t>
      </w:r>
    </w:p>
    <w:p>
      <w:pPr>
        <w:pStyle w:val="ListParagraph"/>
        <w:numPr>
          <w:ilvl w:val="0"/>
          <w:numId w:val="221"/>
        </w:numPr>
        <w:tabs>
          <w:tab w:pos="1927" w:val="left" w:leader="none"/>
          <w:tab w:pos="1928" w:val="left" w:leader="none"/>
        </w:tabs>
        <w:spacing w:line="240" w:lineRule="auto" w:before="105" w:after="0"/>
        <w:ind w:left="1927" w:right="0" w:hanging="340"/>
        <w:jc w:val="left"/>
        <w:rPr>
          <w:sz w:val="21"/>
        </w:rPr>
      </w:pPr>
      <w:r>
        <w:rPr>
          <w:i/>
          <w:w w:val="105"/>
          <w:sz w:val="21"/>
        </w:rPr>
        <w:t>Halsbury’s The Laws </w:t>
      </w:r>
      <w:r>
        <w:rPr>
          <w:i/>
          <w:spacing w:val="-3"/>
          <w:w w:val="105"/>
          <w:sz w:val="21"/>
        </w:rPr>
        <w:t>of Australia </w:t>
      </w:r>
      <w:r>
        <w:rPr>
          <w:w w:val="105"/>
          <w:sz w:val="21"/>
        </w:rPr>
        <w:t>(online at </w:t>
      </w:r>
      <w:r>
        <w:rPr>
          <w:spacing w:val="-7"/>
          <w:w w:val="105"/>
          <w:sz w:val="21"/>
        </w:rPr>
        <w:t>21 </w:t>
      </w:r>
      <w:r>
        <w:rPr>
          <w:spacing w:val="-3"/>
          <w:w w:val="105"/>
          <w:sz w:val="21"/>
        </w:rPr>
        <w:t>March</w:t>
      </w:r>
      <w:r>
        <w:rPr>
          <w:spacing w:val="6"/>
          <w:w w:val="105"/>
          <w:sz w:val="21"/>
        </w:rPr>
        <w:t> </w:t>
      </w:r>
      <w:r>
        <w:rPr>
          <w:spacing w:val="-5"/>
          <w:w w:val="105"/>
          <w:sz w:val="21"/>
        </w:rPr>
        <w:t>2018)</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179"/>
        <w:ind w:left="538" w:right="577" w:firstLine="0"/>
        <w:jc w:val="center"/>
        <w:rPr>
          <w:b/>
          <w:sz w:val="24"/>
        </w:rPr>
      </w:pPr>
      <w:r>
        <w:rPr>
          <w:b/>
          <w:color w:val="658464"/>
          <w:w w:val="110"/>
          <w:sz w:val="24"/>
        </w:rPr>
        <w:t>321</w:t>
      </w:r>
    </w:p>
    <w:p>
      <w:pPr>
        <w:spacing w:after="0"/>
        <w:jc w:val="center"/>
        <w:rPr>
          <w:sz w:val="24"/>
        </w:rPr>
        <w:sectPr>
          <w:type w:val="continuous"/>
          <w:pgSz w:w="11910" w:h="16840"/>
          <w:pgMar w:top="300" w:bottom="280" w:left="0" w:right="0"/>
          <w:cols w:num="2" w:equalWidth="0">
            <w:col w:w="10313" w:space="40"/>
            <w:col w:w="1557"/>
          </w:cols>
        </w:sectPr>
      </w:pPr>
    </w:p>
    <w:p>
      <w:pPr>
        <w:pStyle w:val="BodyText"/>
        <w:spacing w:before="8"/>
        <w:rPr>
          <w:b/>
          <w:sz w:val="22"/>
        </w:rPr>
      </w:pPr>
    </w:p>
    <w:p>
      <w:pPr>
        <w:pStyle w:val="BodyText"/>
        <w:spacing w:line="242" w:lineRule="auto" w:before="93"/>
        <w:ind w:left="1587" w:right="1939"/>
      </w:pPr>
      <w:r>
        <w:rPr>
          <w:w w:val="105"/>
        </w:rPr>
        <w:t>Lucas, </w:t>
      </w:r>
      <w:r>
        <w:rPr>
          <w:spacing w:val="-6"/>
          <w:w w:val="105"/>
        </w:rPr>
        <w:t>Clay, </w:t>
      </w:r>
      <w:r>
        <w:rPr>
          <w:spacing w:val="-4"/>
          <w:w w:val="105"/>
        </w:rPr>
        <w:t>‘Appalling </w:t>
      </w:r>
      <w:r>
        <w:rPr>
          <w:spacing w:val="-3"/>
          <w:w w:val="105"/>
        </w:rPr>
        <w:t>Display </w:t>
      </w:r>
      <w:r>
        <w:rPr>
          <w:w w:val="105"/>
        </w:rPr>
        <w:t>of Incompetence: </w:t>
      </w:r>
      <w:r>
        <w:rPr>
          <w:spacing w:val="-4"/>
          <w:w w:val="105"/>
        </w:rPr>
        <w:t>Council </w:t>
      </w:r>
      <w:r>
        <w:rPr>
          <w:w w:val="105"/>
        </w:rPr>
        <w:t>Lashed in </w:t>
      </w:r>
      <w:r>
        <w:rPr>
          <w:spacing w:val="-4"/>
          <w:w w:val="105"/>
        </w:rPr>
        <w:t>Stinging </w:t>
      </w:r>
      <w:r>
        <w:rPr>
          <w:spacing w:val="-5"/>
          <w:w w:val="105"/>
        </w:rPr>
        <w:t>VCAT </w:t>
      </w:r>
      <w:r>
        <w:rPr>
          <w:spacing w:val="-6"/>
          <w:w w:val="105"/>
        </w:rPr>
        <w:t>Ruling’, </w:t>
      </w:r>
      <w:r>
        <w:rPr>
          <w:i/>
          <w:w w:val="105"/>
        </w:rPr>
        <w:t>The </w:t>
      </w:r>
      <w:r>
        <w:rPr>
          <w:i/>
          <w:w w:val="105"/>
        </w:rPr>
        <w:t>Age</w:t>
      </w:r>
      <w:r>
        <w:rPr>
          <w:i/>
          <w:spacing w:val="-29"/>
          <w:w w:val="105"/>
        </w:rPr>
        <w:t> </w:t>
      </w:r>
      <w:r>
        <w:rPr>
          <w:spacing w:val="-3"/>
          <w:w w:val="105"/>
        </w:rPr>
        <w:t>(online,</w:t>
      </w:r>
      <w:r>
        <w:rPr>
          <w:spacing w:val="-28"/>
          <w:w w:val="105"/>
        </w:rPr>
        <w:t> </w:t>
      </w:r>
      <w:r>
        <w:rPr>
          <w:w w:val="105"/>
        </w:rPr>
        <w:t>23</w:t>
      </w:r>
      <w:r>
        <w:rPr>
          <w:spacing w:val="-29"/>
          <w:w w:val="105"/>
        </w:rPr>
        <w:t> </w:t>
      </w:r>
      <w:r>
        <w:rPr>
          <w:spacing w:val="-2"/>
          <w:w w:val="105"/>
        </w:rPr>
        <w:t>May</w:t>
      </w:r>
      <w:r>
        <w:rPr>
          <w:spacing w:val="-28"/>
          <w:w w:val="105"/>
        </w:rPr>
        <w:t> </w:t>
      </w:r>
      <w:r>
        <w:rPr>
          <w:spacing w:val="-5"/>
          <w:w w:val="105"/>
        </w:rPr>
        <w:t>2016)</w:t>
      </w:r>
      <w:r>
        <w:rPr>
          <w:spacing w:val="-28"/>
          <w:w w:val="105"/>
        </w:rPr>
        <w:t> </w:t>
      </w:r>
      <w:r>
        <w:rPr>
          <w:w w:val="105"/>
        </w:rPr>
        <w:t>&lt;https://</w:t>
      </w:r>
      <w:hyperlink r:id="rId450">
        <w:r>
          <w:rPr>
            <w:w w:val="105"/>
          </w:rPr>
          <w:t>www.theage.com.au/national/victoria/appalling-display-of-</w:t>
        </w:r>
      </w:hyperlink>
      <w:r>
        <w:rPr>
          <w:w w:val="105"/>
        </w:rPr>
        <w:t> </w:t>
      </w:r>
      <w:r>
        <w:rPr>
          <w:spacing w:val="-3"/>
          <w:w w:val="105"/>
        </w:rPr>
        <w:t>incompetence-council-lashed-in-stinging-vcat-ruling-20160522-gp10o5.html&gt;</w:t>
      </w:r>
    </w:p>
    <w:p>
      <w:pPr>
        <w:pStyle w:val="BodyText"/>
        <w:spacing w:before="105"/>
        <w:ind w:left="1587"/>
      </w:pPr>
      <w:r>
        <w:rPr>
          <w:w w:val="105"/>
        </w:rPr>
        <w:t>Magistrates’ Court of Victoria,</w:t>
      </w:r>
    </w:p>
    <w:p>
      <w:pPr>
        <w:pStyle w:val="ListParagraph"/>
        <w:numPr>
          <w:ilvl w:val="0"/>
          <w:numId w:val="222"/>
        </w:numPr>
        <w:tabs>
          <w:tab w:pos="1927" w:val="left" w:leader="none"/>
          <w:tab w:pos="1928" w:val="left" w:leader="none"/>
        </w:tabs>
        <w:spacing w:line="240" w:lineRule="auto" w:before="106" w:after="0"/>
        <w:ind w:left="1927" w:right="0" w:hanging="340"/>
        <w:jc w:val="left"/>
        <w:rPr>
          <w:sz w:val="21"/>
        </w:rPr>
      </w:pPr>
      <w:r>
        <w:rPr>
          <w:i/>
          <w:spacing w:val="-3"/>
          <w:w w:val="105"/>
          <w:sz w:val="21"/>
        </w:rPr>
        <w:t>Annual  </w:t>
      </w:r>
      <w:r>
        <w:rPr>
          <w:i/>
          <w:w w:val="105"/>
          <w:sz w:val="21"/>
        </w:rPr>
        <w:t>Report </w:t>
      </w:r>
      <w:r>
        <w:rPr>
          <w:i/>
          <w:spacing w:val="-8"/>
          <w:w w:val="105"/>
          <w:sz w:val="21"/>
        </w:rPr>
        <w:t>2014–2015  </w:t>
      </w:r>
      <w:r>
        <w:rPr>
          <w:w w:val="105"/>
          <w:sz w:val="21"/>
        </w:rPr>
        <w:t>(Report,</w:t>
      </w:r>
      <w:r>
        <w:rPr>
          <w:spacing w:val="-15"/>
          <w:w w:val="105"/>
          <w:sz w:val="21"/>
        </w:rPr>
        <w:t> </w:t>
      </w:r>
      <w:r>
        <w:rPr>
          <w:spacing w:val="-6"/>
          <w:w w:val="105"/>
          <w:sz w:val="21"/>
        </w:rPr>
        <w:t>2015)</w:t>
      </w:r>
    </w:p>
    <w:p>
      <w:pPr>
        <w:pStyle w:val="ListParagraph"/>
        <w:numPr>
          <w:ilvl w:val="0"/>
          <w:numId w:val="222"/>
        </w:numPr>
        <w:tabs>
          <w:tab w:pos="1927" w:val="left" w:leader="none"/>
          <w:tab w:pos="1928" w:val="left" w:leader="none"/>
        </w:tabs>
        <w:spacing w:line="240" w:lineRule="auto" w:before="105" w:after="0"/>
        <w:ind w:left="1927" w:right="0" w:hanging="340"/>
        <w:jc w:val="left"/>
        <w:rPr>
          <w:sz w:val="21"/>
        </w:rPr>
      </w:pPr>
      <w:r>
        <w:rPr>
          <w:i/>
          <w:spacing w:val="-3"/>
          <w:w w:val="105"/>
          <w:sz w:val="21"/>
        </w:rPr>
        <w:t>Annual  </w:t>
      </w:r>
      <w:r>
        <w:rPr>
          <w:i/>
          <w:w w:val="105"/>
          <w:sz w:val="21"/>
        </w:rPr>
        <w:t>Report </w:t>
      </w:r>
      <w:r>
        <w:rPr>
          <w:i/>
          <w:spacing w:val="-7"/>
          <w:w w:val="105"/>
          <w:sz w:val="21"/>
        </w:rPr>
        <w:t>2015–2016  </w:t>
      </w:r>
      <w:r>
        <w:rPr>
          <w:w w:val="105"/>
          <w:sz w:val="21"/>
        </w:rPr>
        <w:t>(Report,</w:t>
      </w:r>
      <w:r>
        <w:rPr>
          <w:spacing w:val="-24"/>
          <w:w w:val="105"/>
          <w:sz w:val="21"/>
        </w:rPr>
        <w:t> </w:t>
      </w:r>
      <w:r>
        <w:rPr>
          <w:spacing w:val="-5"/>
          <w:w w:val="105"/>
          <w:sz w:val="21"/>
        </w:rPr>
        <w:t>2016)</w:t>
      </w:r>
    </w:p>
    <w:p>
      <w:pPr>
        <w:pStyle w:val="ListParagraph"/>
        <w:numPr>
          <w:ilvl w:val="0"/>
          <w:numId w:val="222"/>
        </w:numPr>
        <w:tabs>
          <w:tab w:pos="1927" w:val="left" w:leader="none"/>
          <w:tab w:pos="1928" w:val="left" w:leader="none"/>
        </w:tabs>
        <w:spacing w:line="242" w:lineRule="auto" w:before="106" w:after="0"/>
        <w:ind w:left="1927" w:right="2045" w:hanging="340"/>
        <w:jc w:val="left"/>
        <w:rPr>
          <w:sz w:val="21"/>
        </w:rPr>
      </w:pPr>
      <w:r>
        <w:rPr>
          <w:i/>
          <w:spacing w:val="-3"/>
          <w:sz w:val="21"/>
        </w:rPr>
        <w:t>Early </w:t>
      </w:r>
      <w:r>
        <w:rPr>
          <w:i/>
          <w:sz w:val="21"/>
        </w:rPr>
        <w:t>Neutral </w:t>
      </w:r>
      <w:r>
        <w:rPr>
          <w:i/>
          <w:spacing w:val="-2"/>
          <w:sz w:val="21"/>
        </w:rPr>
        <w:t>Mediation </w:t>
      </w:r>
      <w:r>
        <w:rPr>
          <w:sz w:val="21"/>
        </w:rPr>
        <w:t>(Web </w:t>
      </w:r>
      <w:r>
        <w:rPr>
          <w:spacing w:val="-3"/>
          <w:sz w:val="21"/>
        </w:rPr>
        <w:t>Page, </w:t>
      </w:r>
      <w:r>
        <w:rPr>
          <w:sz w:val="21"/>
        </w:rPr>
        <w:t>3 December </w:t>
      </w:r>
      <w:r>
        <w:rPr>
          <w:spacing w:val="-5"/>
          <w:sz w:val="21"/>
        </w:rPr>
        <w:t>2018) </w:t>
      </w:r>
      <w:r>
        <w:rPr>
          <w:sz w:val="21"/>
        </w:rPr>
        <w:t>&lt;https://</w:t>
      </w:r>
      <w:hyperlink r:id="rId151">
        <w:r>
          <w:rPr>
            <w:sz w:val="21"/>
          </w:rPr>
          <w:t>www.mcv.vic.gov.au/civil-</w:t>
        </w:r>
      </w:hyperlink>
      <w:r>
        <w:rPr>
          <w:sz w:val="21"/>
        </w:rPr>
        <w:t> matters/resolving-dispute/early-neutral-evaluation&gt;</w:t>
      </w:r>
    </w:p>
    <w:p>
      <w:pPr>
        <w:pStyle w:val="ListParagraph"/>
        <w:numPr>
          <w:ilvl w:val="0"/>
          <w:numId w:val="222"/>
        </w:numPr>
        <w:tabs>
          <w:tab w:pos="1927" w:val="left" w:leader="none"/>
          <w:tab w:pos="1928" w:val="left" w:leader="none"/>
        </w:tabs>
        <w:spacing w:line="240" w:lineRule="auto" w:before="104" w:after="0"/>
        <w:ind w:left="1927" w:right="0" w:hanging="340"/>
        <w:jc w:val="left"/>
        <w:rPr>
          <w:sz w:val="21"/>
        </w:rPr>
      </w:pPr>
      <w:r>
        <w:rPr>
          <w:i/>
          <w:w w:val="105"/>
          <w:sz w:val="21"/>
        </w:rPr>
        <w:t>Fees and Costs Ready </w:t>
      </w:r>
      <w:r>
        <w:rPr>
          <w:i/>
          <w:spacing w:val="-3"/>
          <w:w w:val="105"/>
          <w:sz w:val="21"/>
        </w:rPr>
        <w:t>Reckoner </w:t>
      </w:r>
      <w:r>
        <w:rPr>
          <w:w w:val="105"/>
          <w:sz w:val="21"/>
        </w:rPr>
        <w:t>(effective 1 January</w:t>
      </w:r>
      <w:r>
        <w:rPr>
          <w:spacing w:val="41"/>
          <w:w w:val="105"/>
          <w:sz w:val="21"/>
        </w:rPr>
        <w:t> </w:t>
      </w:r>
      <w:r>
        <w:rPr>
          <w:spacing w:val="-5"/>
          <w:w w:val="105"/>
          <w:sz w:val="21"/>
        </w:rPr>
        <w:t>2019)</w:t>
      </w:r>
    </w:p>
    <w:p>
      <w:pPr>
        <w:pStyle w:val="ListParagraph"/>
        <w:numPr>
          <w:ilvl w:val="0"/>
          <w:numId w:val="222"/>
        </w:numPr>
        <w:tabs>
          <w:tab w:pos="1927" w:val="left" w:leader="none"/>
          <w:tab w:pos="1928" w:val="left" w:leader="none"/>
        </w:tabs>
        <w:spacing w:line="242" w:lineRule="auto" w:before="106" w:after="0"/>
        <w:ind w:left="1927" w:right="1653" w:hanging="340"/>
        <w:jc w:val="left"/>
        <w:rPr>
          <w:sz w:val="21"/>
        </w:rPr>
      </w:pPr>
      <w:r>
        <w:rPr>
          <w:i/>
          <w:w w:val="105"/>
          <w:sz w:val="21"/>
        </w:rPr>
        <w:t>Fencing</w:t>
      </w:r>
      <w:r>
        <w:rPr>
          <w:i/>
          <w:spacing w:val="-9"/>
          <w:w w:val="105"/>
          <w:sz w:val="21"/>
        </w:rPr>
        <w:t> </w:t>
      </w:r>
      <w:r>
        <w:rPr>
          <w:i/>
          <w:spacing w:val="-3"/>
          <w:w w:val="105"/>
          <w:sz w:val="21"/>
        </w:rPr>
        <w:t>Disputes</w:t>
      </w:r>
      <w:r>
        <w:rPr>
          <w:i/>
          <w:spacing w:val="-9"/>
          <w:w w:val="105"/>
          <w:sz w:val="21"/>
        </w:rPr>
        <w:t> </w:t>
      </w:r>
      <w:r>
        <w:rPr>
          <w:i/>
          <w:spacing w:val="-3"/>
          <w:w w:val="105"/>
          <w:sz w:val="21"/>
        </w:rPr>
        <w:t>Information</w:t>
      </w:r>
      <w:r>
        <w:rPr>
          <w:i/>
          <w:spacing w:val="-9"/>
          <w:w w:val="105"/>
          <w:sz w:val="21"/>
        </w:rPr>
        <w:t> </w:t>
      </w:r>
      <w:r>
        <w:rPr>
          <w:i/>
          <w:spacing w:val="-3"/>
          <w:w w:val="105"/>
          <w:sz w:val="21"/>
        </w:rPr>
        <w:t>Guide</w:t>
      </w:r>
      <w:r>
        <w:rPr>
          <w:i/>
          <w:spacing w:val="-9"/>
          <w:w w:val="105"/>
          <w:sz w:val="21"/>
        </w:rPr>
        <w:t> </w:t>
      </w:r>
      <w:r>
        <w:rPr>
          <w:w w:val="105"/>
          <w:sz w:val="21"/>
        </w:rPr>
        <w:t>(9</w:t>
      </w:r>
      <w:r>
        <w:rPr>
          <w:spacing w:val="-8"/>
          <w:w w:val="105"/>
          <w:sz w:val="21"/>
        </w:rPr>
        <w:t> </w:t>
      </w:r>
      <w:r>
        <w:rPr>
          <w:w w:val="105"/>
          <w:sz w:val="21"/>
        </w:rPr>
        <w:t>January</w:t>
      </w:r>
      <w:r>
        <w:rPr>
          <w:spacing w:val="-9"/>
          <w:w w:val="105"/>
          <w:sz w:val="21"/>
        </w:rPr>
        <w:t> </w:t>
      </w:r>
      <w:r>
        <w:rPr>
          <w:spacing w:val="-5"/>
          <w:w w:val="105"/>
          <w:sz w:val="21"/>
        </w:rPr>
        <w:t>2019)</w:t>
      </w:r>
      <w:r>
        <w:rPr>
          <w:spacing w:val="-9"/>
          <w:w w:val="105"/>
          <w:sz w:val="21"/>
        </w:rPr>
        <w:t> </w:t>
      </w:r>
      <w:r>
        <w:rPr>
          <w:w w:val="105"/>
          <w:sz w:val="21"/>
        </w:rPr>
        <w:t>&lt;https://</w:t>
      </w:r>
      <w:hyperlink r:id="rId451">
        <w:r>
          <w:rPr>
            <w:w w:val="105"/>
            <w:sz w:val="21"/>
          </w:rPr>
          <w:t>www.mcv.vic.gov.au/news-and-</w:t>
        </w:r>
      </w:hyperlink>
      <w:r>
        <w:rPr>
          <w:w w:val="105"/>
          <w:sz w:val="21"/>
        </w:rPr>
        <w:t> resources/publications&gt;</w:t>
      </w:r>
    </w:p>
    <w:p>
      <w:pPr>
        <w:pStyle w:val="ListParagraph"/>
        <w:numPr>
          <w:ilvl w:val="0"/>
          <w:numId w:val="222"/>
        </w:numPr>
        <w:tabs>
          <w:tab w:pos="1927" w:val="left" w:leader="none"/>
          <w:tab w:pos="1928" w:val="left" w:leader="none"/>
        </w:tabs>
        <w:spacing w:line="242" w:lineRule="auto" w:before="104" w:after="0"/>
        <w:ind w:left="1927" w:right="2203" w:hanging="340"/>
        <w:jc w:val="left"/>
        <w:rPr>
          <w:sz w:val="21"/>
        </w:rPr>
      </w:pPr>
      <w:r>
        <w:rPr>
          <w:i/>
          <w:w w:val="105"/>
          <w:sz w:val="21"/>
        </w:rPr>
        <w:t>Interpreters</w:t>
      </w:r>
      <w:r>
        <w:rPr>
          <w:i/>
          <w:spacing w:val="-25"/>
          <w:w w:val="105"/>
          <w:sz w:val="21"/>
        </w:rPr>
        <w:t> </w:t>
      </w:r>
      <w:r>
        <w:rPr>
          <w:w w:val="105"/>
          <w:sz w:val="21"/>
        </w:rPr>
        <w:t>(Web</w:t>
      </w:r>
      <w:r>
        <w:rPr>
          <w:spacing w:val="-25"/>
          <w:w w:val="105"/>
          <w:sz w:val="21"/>
        </w:rPr>
        <w:t> </w:t>
      </w:r>
      <w:r>
        <w:rPr>
          <w:spacing w:val="-3"/>
          <w:w w:val="105"/>
          <w:sz w:val="21"/>
        </w:rPr>
        <w:t>Page,</w:t>
      </w:r>
      <w:r>
        <w:rPr>
          <w:spacing w:val="-24"/>
          <w:w w:val="105"/>
          <w:sz w:val="21"/>
        </w:rPr>
        <w:t> </w:t>
      </w:r>
      <w:r>
        <w:rPr>
          <w:spacing w:val="-7"/>
          <w:w w:val="105"/>
          <w:sz w:val="21"/>
        </w:rPr>
        <w:t>14</w:t>
      </w:r>
      <w:r>
        <w:rPr>
          <w:spacing w:val="-25"/>
          <w:w w:val="105"/>
          <w:sz w:val="21"/>
        </w:rPr>
        <w:t> </w:t>
      </w:r>
      <w:r>
        <w:rPr>
          <w:w w:val="105"/>
          <w:sz w:val="21"/>
        </w:rPr>
        <w:t>November</w:t>
      </w:r>
      <w:r>
        <w:rPr>
          <w:spacing w:val="-25"/>
          <w:w w:val="105"/>
          <w:sz w:val="21"/>
        </w:rPr>
        <w:t> </w:t>
      </w:r>
      <w:r>
        <w:rPr>
          <w:spacing w:val="-5"/>
          <w:w w:val="105"/>
          <w:sz w:val="21"/>
        </w:rPr>
        <w:t>2018)</w:t>
      </w:r>
      <w:r>
        <w:rPr>
          <w:spacing w:val="-24"/>
          <w:w w:val="105"/>
          <w:sz w:val="21"/>
        </w:rPr>
        <w:t> </w:t>
      </w:r>
      <w:r>
        <w:rPr>
          <w:w w:val="105"/>
          <w:sz w:val="21"/>
        </w:rPr>
        <w:t>&lt;https://</w:t>
      </w:r>
      <w:hyperlink r:id="rId452">
        <w:r>
          <w:rPr>
            <w:w w:val="105"/>
            <w:sz w:val="21"/>
          </w:rPr>
          <w:t>www.mcv.vic.gov.au/find-support/</w:t>
        </w:r>
      </w:hyperlink>
      <w:r>
        <w:rPr>
          <w:w w:val="105"/>
          <w:sz w:val="21"/>
        </w:rPr>
        <w:t> </w:t>
      </w:r>
      <w:r>
        <w:rPr>
          <w:spacing w:val="-3"/>
          <w:w w:val="105"/>
          <w:sz w:val="21"/>
        </w:rPr>
        <w:t>interpreters&gt;</w:t>
      </w:r>
    </w:p>
    <w:p>
      <w:pPr>
        <w:pStyle w:val="ListParagraph"/>
        <w:numPr>
          <w:ilvl w:val="0"/>
          <w:numId w:val="222"/>
        </w:numPr>
        <w:tabs>
          <w:tab w:pos="1927" w:val="left" w:leader="none"/>
          <w:tab w:pos="1928" w:val="left" w:leader="none"/>
        </w:tabs>
        <w:spacing w:line="242" w:lineRule="auto" w:before="104" w:after="0"/>
        <w:ind w:left="1927" w:right="2552" w:hanging="340"/>
        <w:jc w:val="left"/>
        <w:rPr>
          <w:sz w:val="21"/>
        </w:rPr>
      </w:pPr>
      <w:r>
        <w:rPr>
          <w:i/>
          <w:spacing w:val="-3"/>
          <w:w w:val="105"/>
          <w:sz w:val="21"/>
        </w:rPr>
        <w:t>Mediation </w:t>
      </w:r>
      <w:r>
        <w:rPr>
          <w:w w:val="105"/>
          <w:sz w:val="21"/>
        </w:rPr>
        <w:t>(Web </w:t>
      </w:r>
      <w:r>
        <w:rPr>
          <w:spacing w:val="-3"/>
          <w:w w:val="105"/>
          <w:sz w:val="21"/>
        </w:rPr>
        <w:t>Page, </w:t>
      </w:r>
      <w:r>
        <w:rPr>
          <w:spacing w:val="-7"/>
          <w:w w:val="105"/>
          <w:sz w:val="21"/>
        </w:rPr>
        <w:t>14 </w:t>
      </w:r>
      <w:r>
        <w:rPr>
          <w:w w:val="105"/>
          <w:sz w:val="21"/>
        </w:rPr>
        <w:t>January </w:t>
      </w:r>
      <w:r>
        <w:rPr>
          <w:spacing w:val="-5"/>
          <w:w w:val="105"/>
          <w:sz w:val="21"/>
        </w:rPr>
        <w:t>2019) </w:t>
      </w:r>
      <w:r>
        <w:rPr>
          <w:w w:val="105"/>
          <w:sz w:val="21"/>
        </w:rPr>
        <w:t>&lt;https://</w:t>
      </w:r>
      <w:hyperlink r:id="rId453">
        <w:r>
          <w:rPr>
            <w:w w:val="105"/>
            <w:sz w:val="21"/>
          </w:rPr>
          <w:t>www.magistratescourt.vic.gov.au/</w:t>
        </w:r>
      </w:hyperlink>
      <w:r>
        <w:rPr>
          <w:w w:val="105"/>
          <w:sz w:val="21"/>
        </w:rPr>
        <w:t> </w:t>
      </w:r>
      <w:r>
        <w:rPr>
          <w:spacing w:val="-1"/>
          <w:sz w:val="21"/>
        </w:rPr>
        <w:t>jurisdictions/civil/procedural-information/mediation-process-2011-single-list-external- </w:t>
      </w:r>
      <w:r>
        <w:rPr>
          <w:w w:val="105"/>
          <w:sz w:val="21"/>
        </w:rPr>
        <w:t>mediators&gt;</w:t>
      </w:r>
    </w:p>
    <w:p>
      <w:pPr>
        <w:pStyle w:val="ListParagraph"/>
        <w:numPr>
          <w:ilvl w:val="0"/>
          <w:numId w:val="222"/>
        </w:numPr>
        <w:tabs>
          <w:tab w:pos="1927" w:val="left" w:leader="none"/>
          <w:tab w:pos="1928" w:val="left" w:leader="none"/>
        </w:tabs>
        <w:spacing w:line="242" w:lineRule="auto" w:before="106" w:after="0"/>
        <w:ind w:left="1927" w:right="1819" w:hanging="340"/>
        <w:jc w:val="left"/>
        <w:rPr>
          <w:sz w:val="21"/>
        </w:rPr>
      </w:pPr>
      <w:r>
        <w:rPr>
          <w:i/>
          <w:w w:val="105"/>
          <w:sz w:val="21"/>
        </w:rPr>
        <w:t>Pre-Hearing</w:t>
      </w:r>
      <w:r>
        <w:rPr>
          <w:i/>
          <w:spacing w:val="-12"/>
          <w:w w:val="105"/>
          <w:sz w:val="21"/>
        </w:rPr>
        <w:t> </w:t>
      </w:r>
      <w:r>
        <w:rPr>
          <w:i/>
          <w:spacing w:val="-3"/>
          <w:w w:val="105"/>
          <w:sz w:val="21"/>
        </w:rPr>
        <w:t>Conferences</w:t>
      </w:r>
      <w:r>
        <w:rPr>
          <w:i/>
          <w:spacing w:val="-12"/>
          <w:w w:val="105"/>
          <w:sz w:val="21"/>
        </w:rPr>
        <w:t> </w:t>
      </w:r>
      <w:r>
        <w:rPr>
          <w:w w:val="105"/>
          <w:sz w:val="21"/>
        </w:rPr>
        <w:t>(Web</w:t>
      </w:r>
      <w:r>
        <w:rPr>
          <w:spacing w:val="-12"/>
          <w:w w:val="105"/>
          <w:sz w:val="21"/>
        </w:rPr>
        <w:t> </w:t>
      </w:r>
      <w:r>
        <w:rPr>
          <w:spacing w:val="-3"/>
          <w:w w:val="105"/>
          <w:sz w:val="21"/>
        </w:rPr>
        <w:t>Page,</w:t>
      </w:r>
      <w:r>
        <w:rPr>
          <w:spacing w:val="-11"/>
          <w:w w:val="105"/>
          <w:sz w:val="21"/>
        </w:rPr>
        <w:t> </w:t>
      </w:r>
      <w:r>
        <w:rPr>
          <w:spacing w:val="-9"/>
          <w:w w:val="105"/>
          <w:sz w:val="21"/>
        </w:rPr>
        <w:t>13</w:t>
      </w:r>
      <w:r>
        <w:rPr>
          <w:spacing w:val="-12"/>
          <w:w w:val="105"/>
          <w:sz w:val="21"/>
        </w:rPr>
        <w:t> </w:t>
      </w:r>
      <w:r>
        <w:rPr>
          <w:w w:val="105"/>
          <w:sz w:val="21"/>
        </w:rPr>
        <w:t>December</w:t>
      </w:r>
      <w:r>
        <w:rPr>
          <w:spacing w:val="-12"/>
          <w:w w:val="105"/>
          <w:sz w:val="21"/>
        </w:rPr>
        <w:t> </w:t>
      </w:r>
      <w:r>
        <w:rPr>
          <w:spacing w:val="-5"/>
          <w:w w:val="105"/>
          <w:sz w:val="21"/>
        </w:rPr>
        <w:t>2018)</w:t>
      </w:r>
      <w:r>
        <w:rPr>
          <w:spacing w:val="-11"/>
          <w:w w:val="105"/>
          <w:sz w:val="21"/>
        </w:rPr>
        <w:t> </w:t>
      </w:r>
      <w:r>
        <w:rPr>
          <w:w w:val="105"/>
          <w:sz w:val="21"/>
        </w:rPr>
        <w:t>&lt;https://</w:t>
      </w:r>
      <w:hyperlink r:id="rId151">
        <w:r>
          <w:rPr>
            <w:w w:val="105"/>
            <w:sz w:val="21"/>
          </w:rPr>
          <w:t>www.mcv.vic.gov.au/civil-</w:t>
        </w:r>
      </w:hyperlink>
      <w:r>
        <w:rPr>
          <w:w w:val="105"/>
          <w:sz w:val="21"/>
        </w:rPr>
        <w:t> matters/resolving-dispute/pre-hearing-conferences&gt;</w:t>
      </w:r>
    </w:p>
    <w:p>
      <w:pPr>
        <w:pStyle w:val="ListParagraph"/>
        <w:numPr>
          <w:ilvl w:val="0"/>
          <w:numId w:val="222"/>
        </w:numPr>
        <w:tabs>
          <w:tab w:pos="1927" w:val="left" w:leader="none"/>
          <w:tab w:pos="1928" w:val="left" w:leader="none"/>
        </w:tabs>
        <w:spacing w:line="242" w:lineRule="auto" w:before="104" w:after="0"/>
        <w:ind w:left="1927" w:right="2108" w:hanging="340"/>
        <w:jc w:val="left"/>
        <w:rPr>
          <w:sz w:val="21"/>
        </w:rPr>
      </w:pPr>
      <w:r>
        <w:rPr>
          <w:i/>
          <w:sz w:val="21"/>
        </w:rPr>
        <w:t>Resolving a </w:t>
      </w:r>
      <w:r>
        <w:rPr>
          <w:i/>
          <w:spacing w:val="-3"/>
          <w:sz w:val="21"/>
        </w:rPr>
        <w:t>Dispute </w:t>
      </w:r>
      <w:r>
        <w:rPr>
          <w:sz w:val="21"/>
        </w:rPr>
        <w:t>(Web </w:t>
      </w:r>
      <w:r>
        <w:rPr>
          <w:spacing w:val="-3"/>
          <w:sz w:val="21"/>
        </w:rPr>
        <w:t>Page, </w:t>
      </w:r>
      <w:r>
        <w:rPr>
          <w:spacing w:val="-9"/>
          <w:sz w:val="21"/>
        </w:rPr>
        <w:t>13 </w:t>
      </w:r>
      <w:r>
        <w:rPr>
          <w:sz w:val="21"/>
        </w:rPr>
        <w:t>December </w:t>
      </w:r>
      <w:r>
        <w:rPr>
          <w:spacing w:val="-5"/>
          <w:sz w:val="21"/>
        </w:rPr>
        <w:t>2018) </w:t>
      </w:r>
      <w:r>
        <w:rPr>
          <w:sz w:val="21"/>
        </w:rPr>
        <w:t>&lt;https://mcv.vic.gov.au/civil-matters/ resolving-dispute&gt;</w:t>
      </w:r>
    </w:p>
    <w:p>
      <w:pPr>
        <w:pStyle w:val="ListParagraph"/>
        <w:numPr>
          <w:ilvl w:val="0"/>
          <w:numId w:val="222"/>
        </w:numPr>
        <w:tabs>
          <w:tab w:pos="1927" w:val="left" w:leader="none"/>
          <w:tab w:pos="1928" w:val="left" w:leader="none"/>
        </w:tabs>
        <w:spacing w:line="242" w:lineRule="auto" w:before="104" w:after="0"/>
        <w:ind w:left="1927" w:right="2181" w:hanging="340"/>
        <w:jc w:val="left"/>
        <w:rPr>
          <w:sz w:val="21"/>
        </w:rPr>
      </w:pPr>
      <w:r>
        <w:rPr>
          <w:i/>
          <w:spacing w:val="-3"/>
          <w:sz w:val="21"/>
        </w:rPr>
        <w:t>Single </w:t>
      </w:r>
      <w:r>
        <w:rPr>
          <w:i/>
          <w:sz w:val="21"/>
        </w:rPr>
        <w:t>List </w:t>
      </w:r>
      <w:r>
        <w:rPr>
          <w:i/>
          <w:spacing w:val="-3"/>
          <w:sz w:val="21"/>
        </w:rPr>
        <w:t>of </w:t>
      </w:r>
      <w:r>
        <w:rPr>
          <w:i/>
          <w:sz w:val="21"/>
        </w:rPr>
        <w:t>External Mediators </w:t>
      </w:r>
      <w:r>
        <w:rPr>
          <w:sz w:val="21"/>
        </w:rPr>
        <w:t>(Fact Sheet, May </w:t>
      </w:r>
      <w:r>
        <w:rPr>
          <w:spacing w:val="-5"/>
          <w:sz w:val="21"/>
        </w:rPr>
        <w:t>2018) </w:t>
      </w:r>
      <w:r>
        <w:rPr>
          <w:spacing w:val="-3"/>
          <w:sz w:val="21"/>
        </w:rPr>
        <w:t>&lt;</w:t>
      </w:r>
      <w:hyperlink r:id="rId454">
        <w:r>
          <w:rPr>
            <w:spacing w:val="-3"/>
            <w:sz w:val="21"/>
          </w:rPr>
          <w:t>www.magistratescourt.vic.gov.</w:t>
        </w:r>
      </w:hyperlink>
      <w:r>
        <w:rPr>
          <w:spacing w:val="-3"/>
          <w:sz w:val="21"/>
        </w:rPr>
        <w:t> </w:t>
      </w:r>
      <w:r>
        <w:rPr>
          <w:spacing w:val="-1"/>
          <w:sz w:val="21"/>
        </w:rPr>
        <w:t>au/jurisdictions/civil/procedural-information/mediation-process-2011-single-list-external- </w:t>
      </w:r>
      <w:r>
        <w:rPr>
          <w:sz w:val="21"/>
        </w:rPr>
        <w:t>mediators&gt;</w:t>
      </w:r>
    </w:p>
    <w:p>
      <w:pPr>
        <w:spacing w:line="242" w:lineRule="auto" w:before="105"/>
        <w:ind w:left="1587" w:right="1636" w:firstLine="0"/>
        <w:jc w:val="left"/>
        <w:rPr>
          <w:sz w:val="21"/>
        </w:rPr>
      </w:pPr>
      <w:r>
        <w:rPr>
          <w:spacing w:val="-4"/>
          <w:w w:val="105"/>
          <w:sz w:val="21"/>
        </w:rPr>
        <w:t>Matheny, </w:t>
      </w:r>
      <w:r>
        <w:rPr>
          <w:w w:val="105"/>
          <w:sz w:val="21"/>
        </w:rPr>
        <w:t>Nelda P &amp; James R </w:t>
      </w:r>
      <w:r>
        <w:rPr>
          <w:spacing w:val="-4"/>
          <w:w w:val="105"/>
          <w:sz w:val="21"/>
        </w:rPr>
        <w:t>Clark, </w:t>
      </w:r>
      <w:r>
        <w:rPr>
          <w:i/>
          <w:w w:val="105"/>
          <w:sz w:val="21"/>
        </w:rPr>
        <w:t>A </w:t>
      </w:r>
      <w:r>
        <w:rPr>
          <w:i/>
          <w:spacing w:val="-3"/>
          <w:w w:val="105"/>
          <w:sz w:val="21"/>
        </w:rPr>
        <w:t>Photographic Guide </w:t>
      </w:r>
      <w:r>
        <w:rPr>
          <w:i/>
          <w:w w:val="105"/>
          <w:sz w:val="21"/>
        </w:rPr>
        <w:t>to the </w:t>
      </w:r>
      <w:r>
        <w:rPr>
          <w:i/>
          <w:spacing w:val="-3"/>
          <w:w w:val="105"/>
          <w:sz w:val="21"/>
        </w:rPr>
        <w:t>Evaluation of </w:t>
      </w:r>
      <w:r>
        <w:rPr>
          <w:i/>
          <w:w w:val="105"/>
          <w:sz w:val="21"/>
        </w:rPr>
        <w:t>Hazard </w:t>
      </w:r>
      <w:r>
        <w:rPr>
          <w:i/>
          <w:spacing w:val="-4"/>
          <w:w w:val="105"/>
          <w:sz w:val="21"/>
        </w:rPr>
        <w:t>Trees </w:t>
      </w:r>
      <w:r>
        <w:rPr>
          <w:i/>
          <w:w w:val="105"/>
          <w:sz w:val="21"/>
        </w:rPr>
        <w:t>in </w:t>
      </w:r>
      <w:r>
        <w:rPr>
          <w:i/>
          <w:w w:val="105"/>
          <w:sz w:val="21"/>
        </w:rPr>
        <w:t>Urban Areas </w:t>
      </w:r>
      <w:r>
        <w:rPr>
          <w:w w:val="105"/>
          <w:sz w:val="21"/>
        </w:rPr>
        <w:t>(International Society of </w:t>
      </w:r>
      <w:r>
        <w:rPr>
          <w:spacing w:val="-3"/>
          <w:w w:val="105"/>
          <w:sz w:val="21"/>
        </w:rPr>
        <w:t>Arboriculture, </w:t>
      </w:r>
      <w:r>
        <w:rPr>
          <w:w w:val="105"/>
          <w:sz w:val="21"/>
        </w:rPr>
        <w:t>1 December </w:t>
      </w:r>
      <w:r>
        <w:rPr>
          <w:spacing w:val="-4"/>
          <w:w w:val="105"/>
          <w:sz w:val="21"/>
        </w:rPr>
        <w:t>1993)</w:t>
      </w:r>
    </w:p>
    <w:p>
      <w:pPr>
        <w:pStyle w:val="BodyText"/>
        <w:spacing w:line="242" w:lineRule="auto" w:before="104"/>
        <w:ind w:left="1587" w:right="1614"/>
        <w:jc w:val="both"/>
      </w:pPr>
      <w:r>
        <w:rPr>
          <w:w w:val="105"/>
        </w:rPr>
        <w:t>Matthews, </w:t>
      </w:r>
      <w:r>
        <w:rPr>
          <w:spacing w:val="-3"/>
          <w:w w:val="105"/>
        </w:rPr>
        <w:t>Karen, ‘Geelong </w:t>
      </w:r>
      <w:r>
        <w:rPr>
          <w:w w:val="105"/>
        </w:rPr>
        <w:t>Court—Couple Pleads Guilty </w:t>
      </w:r>
      <w:r>
        <w:rPr>
          <w:spacing w:val="-3"/>
          <w:w w:val="105"/>
        </w:rPr>
        <w:t>to Poisoning </w:t>
      </w:r>
      <w:r>
        <w:rPr>
          <w:w w:val="105"/>
        </w:rPr>
        <w:t>Neighbours’ </w:t>
      </w:r>
      <w:r>
        <w:rPr>
          <w:spacing w:val="-7"/>
          <w:w w:val="105"/>
        </w:rPr>
        <w:t>Trees’, </w:t>
      </w:r>
      <w:r>
        <w:rPr>
          <w:i/>
          <w:w w:val="105"/>
        </w:rPr>
        <w:t>Geelong </w:t>
      </w:r>
      <w:r>
        <w:rPr>
          <w:i/>
          <w:w w:val="105"/>
        </w:rPr>
        <w:t>Advertiser</w:t>
      </w:r>
      <w:r>
        <w:rPr>
          <w:i/>
          <w:spacing w:val="-18"/>
          <w:w w:val="105"/>
        </w:rPr>
        <w:t> </w:t>
      </w:r>
      <w:r>
        <w:rPr>
          <w:spacing w:val="-3"/>
          <w:w w:val="105"/>
        </w:rPr>
        <w:t>(online,</w:t>
      </w:r>
      <w:r>
        <w:rPr>
          <w:spacing w:val="-18"/>
          <w:w w:val="105"/>
        </w:rPr>
        <w:t> </w:t>
      </w:r>
      <w:r>
        <w:rPr>
          <w:spacing w:val="-3"/>
          <w:w w:val="105"/>
        </w:rPr>
        <w:t>20</w:t>
      </w:r>
      <w:r>
        <w:rPr>
          <w:spacing w:val="-17"/>
          <w:w w:val="105"/>
        </w:rPr>
        <w:t> </w:t>
      </w:r>
      <w:r>
        <w:rPr>
          <w:w w:val="105"/>
        </w:rPr>
        <w:t>January</w:t>
      </w:r>
      <w:r>
        <w:rPr>
          <w:spacing w:val="-18"/>
          <w:w w:val="105"/>
        </w:rPr>
        <w:t> </w:t>
      </w:r>
      <w:r>
        <w:rPr>
          <w:spacing w:val="-5"/>
          <w:w w:val="105"/>
        </w:rPr>
        <w:t>2016)</w:t>
      </w:r>
      <w:r>
        <w:rPr>
          <w:spacing w:val="-17"/>
          <w:w w:val="105"/>
        </w:rPr>
        <w:t> </w:t>
      </w:r>
      <w:r>
        <w:rPr>
          <w:w w:val="105"/>
        </w:rPr>
        <w:t>&lt;</w:t>
      </w:r>
      <w:hyperlink r:id="rId455">
        <w:r>
          <w:rPr>
            <w:w w:val="105"/>
          </w:rPr>
          <w:t>www.geelongadvertiser.com.au/news/crime-court/geelong-</w:t>
        </w:r>
      </w:hyperlink>
      <w:r>
        <w:rPr>
          <w:w w:val="105"/>
        </w:rPr>
        <w:t> </w:t>
      </w:r>
      <w:r>
        <w:rPr/>
        <w:t>court-lovely-banks-couple-pleads-guilty-to-poisoning-neighbours-trees/news-story/e65a9b00bdf9 </w:t>
      </w:r>
      <w:r>
        <w:rPr>
          <w:spacing w:val="-3"/>
          <w:w w:val="105"/>
        </w:rPr>
        <w:t>8c5f7938c4e88ce2d2ba&gt;</w:t>
      </w:r>
    </w:p>
    <w:p>
      <w:pPr>
        <w:pStyle w:val="BodyText"/>
        <w:spacing w:line="242" w:lineRule="auto" w:before="107"/>
        <w:ind w:left="1587" w:right="1636"/>
      </w:pPr>
      <w:r>
        <w:rPr>
          <w:w w:val="105"/>
        </w:rPr>
        <w:t>McDonald, </w:t>
      </w:r>
      <w:r>
        <w:rPr>
          <w:spacing w:val="-3"/>
          <w:w w:val="105"/>
        </w:rPr>
        <w:t>Barbara ‘Standard </w:t>
      </w:r>
      <w:r>
        <w:rPr>
          <w:w w:val="105"/>
        </w:rPr>
        <w:t>of </w:t>
      </w:r>
      <w:r>
        <w:rPr>
          <w:spacing w:val="-4"/>
          <w:w w:val="105"/>
        </w:rPr>
        <w:t>Care’ </w:t>
      </w:r>
      <w:r>
        <w:rPr>
          <w:w w:val="105"/>
        </w:rPr>
        <w:t>in </w:t>
      </w:r>
      <w:r>
        <w:rPr>
          <w:spacing w:val="-3"/>
          <w:w w:val="105"/>
        </w:rPr>
        <w:t>Carolyn </w:t>
      </w:r>
      <w:r>
        <w:rPr>
          <w:w w:val="105"/>
        </w:rPr>
        <w:t>Sappideen and Prue Vines (eds), </w:t>
      </w:r>
      <w:r>
        <w:rPr>
          <w:i/>
          <w:spacing w:val="-3"/>
          <w:w w:val="105"/>
        </w:rPr>
        <w:t>Fleming’s </w:t>
      </w:r>
      <w:r>
        <w:rPr>
          <w:i/>
          <w:w w:val="105"/>
        </w:rPr>
        <w:t>The </w:t>
      </w:r>
      <w:r>
        <w:rPr>
          <w:i/>
          <w:w w:val="105"/>
        </w:rPr>
        <w:t>Law </w:t>
      </w:r>
      <w:r>
        <w:rPr>
          <w:i/>
          <w:spacing w:val="-3"/>
          <w:w w:val="105"/>
        </w:rPr>
        <w:t>of </w:t>
      </w:r>
      <w:r>
        <w:rPr>
          <w:i/>
          <w:w w:val="105"/>
        </w:rPr>
        <w:t>Torts </w:t>
      </w:r>
      <w:r>
        <w:rPr>
          <w:w w:val="105"/>
        </w:rPr>
        <w:t>(Lawbook </w:t>
      </w:r>
      <w:r>
        <w:rPr>
          <w:spacing w:val="-6"/>
          <w:w w:val="105"/>
        </w:rPr>
        <w:t>Co., </w:t>
      </w:r>
      <w:r>
        <w:rPr>
          <w:spacing w:val="-3"/>
          <w:w w:val="105"/>
        </w:rPr>
        <w:t>10th </w:t>
      </w:r>
      <w:r>
        <w:rPr>
          <w:w w:val="105"/>
        </w:rPr>
        <w:t>ed, </w:t>
      </w:r>
      <w:r>
        <w:rPr>
          <w:spacing w:val="-10"/>
          <w:w w:val="105"/>
        </w:rPr>
        <w:t>2011)</w:t>
      </w:r>
    </w:p>
    <w:p>
      <w:pPr>
        <w:spacing w:line="242" w:lineRule="auto" w:before="104"/>
        <w:ind w:left="1587" w:right="1636" w:firstLine="0"/>
        <w:jc w:val="left"/>
        <w:rPr>
          <w:sz w:val="21"/>
        </w:rPr>
      </w:pPr>
      <w:r>
        <w:rPr>
          <w:w w:val="105"/>
          <w:sz w:val="21"/>
        </w:rPr>
        <w:t>Mediation SA, </w:t>
      </w:r>
      <w:r>
        <w:rPr>
          <w:i/>
          <w:w w:val="105"/>
          <w:sz w:val="21"/>
        </w:rPr>
        <w:t>Preventing Conflicts in the Modern Neighbourhood: Tips on Being a Good </w:t>
      </w:r>
      <w:r>
        <w:rPr>
          <w:i/>
          <w:w w:val="105"/>
          <w:sz w:val="21"/>
        </w:rPr>
        <w:t>Neighbour </w:t>
      </w:r>
      <w:r>
        <w:rPr>
          <w:w w:val="105"/>
          <w:sz w:val="21"/>
        </w:rPr>
        <w:t>(Guide, 2015)</w:t>
      </w:r>
    </w:p>
    <w:p>
      <w:pPr>
        <w:spacing w:before="104"/>
        <w:ind w:left="1587" w:right="0" w:firstLine="0"/>
        <w:jc w:val="left"/>
        <w:rPr>
          <w:sz w:val="21"/>
        </w:rPr>
      </w:pPr>
      <w:r>
        <w:rPr>
          <w:w w:val="105"/>
          <w:sz w:val="21"/>
        </w:rPr>
        <w:t>Melbourne </w:t>
      </w:r>
      <w:r>
        <w:rPr>
          <w:spacing w:val="-6"/>
          <w:w w:val="105"/>
          <w:sz w:val="21"/>
        </w:rPr>
        <w:t>Water, </w:t>
      </w:r>
      <w:r>
        <w:rPr>
          <w:i/>
          <w:w w:val="105"/>
          <w:sz w:val="21"/>
        </w:rPr>
        <w:t>Overlays Explained </w:t>
      </w:r>
      <w:r>
        <w:rPr>
          <w:w w:val="105"/>
          <w:sz w:val="21"/>
        </w:rPr>
        <w:t>(Web </w:t>
      </w:r>
      <w:r>
        <w:rPr>
          <w:spacing w:val="-3"/>
          <w:w w:val="105"/>
          <w:sz w:val="21"/>
        </w:rPr>
        <w:t>Page, </w:t>
      </w:r>
      <w:r>
        <w:rPr>
          <w:spacing w:val="-4"/>
          <w:w w:val="105"/>
          <w:sz w:val="21"/>
        </w:rPr>
        <w:t>26 </w:t>
      </w:r>
      <w:r>
        <w:rPr>
          <w:w w:val="105"/>
          <w:sz w:val="21"/>
        </w:rPr>
        <w:t>September </w:t>
      </w:r>
      <w:r>
        <w:rPr>
          <w:spacing w:val="-7"/>
          <w:w w:val="105"/>
          <w:sz w:val="21"/>
        </w:rPr>
        <w:t>2017)</w:t>
      </w:r>
    </w:p>
    <w:p>
      <w:pPr>
        <w:pStyle w:val="BodyText"/>
        <w:spacing w:line="242" w:lineRule="auto" w:before="4"/>
        <w:ind w:left="1587" w:right="1817"/>
      </w:pPr>
      <w:r>
        <w:rPr/>
        <w:t>&lt;https://</w:t>
      </w:r>
      <w:hyperlink r:id="rId456">
        <w:r>
          <w:rPr/>
          <w:t>www.melbournewater.com.au/planning-and-building/flooding-information-and-advice/</w:t>
        </w:r>
      </w:hyperlink>
      <w:r>
        <w:rPr/>
        <w:t> </w:t>
      </w:r>
      <w:r>
        <w:rPr>
          <w:w w:val="105"/>
        </w:rPr>
        <w:t>overlays-explained&gt;</w:t>
      </w:r>
    </w:p>
    <w:p>
      <w:pPr>
        <w:spacing w:line="242" w:lineRule="auto" w:before="104"/>
        <w:ind w:left="1587" w:right="1636" w:firstLine="0"/>
        <w:jc w:val="left"/>
        <w:rPr>
          <w:sz w:val="21"/>
        </w:rPr>
      </w:pPr>
      <w:r>
        <w:rPr>
          <w:spacing w:val="-3"/>
          <w:w w:val="105"/>
          <w:sz w:val="21"/>
        </w:rPr>
        <w:t>Mildura Rural City </w:t>
      </w:r>
      <w:r>
        <w:rPr>
          <w:spacing w:val="-4"/>
          <w:w w:val="105"/>
          <w:sz w:val="21"/>
        </w:rPr>
        <w:t>Council </w:t>
      </w:r>
      <w:r>
        <w:rPr>
          <w:w w:val="105"/>
          <w:sz w:val="21"/>
        </w:rPr>
        <w:t>and </w:t>
      </w:r>
      <w:r>
        <w:rPr>
          <w:spacing w:val="-3"/>
          <w:w w:val="105"/>
          <w:sz w:val="21"/>
        </w:rPr>
        <w:t>Sustainable Gardening Australia, </w:t>
      </w:r>
      <w:r>
        <w:rPr>
          <w:i/>
          <w:spacing w:val="-3"/>
          <w:w w:val="105"/>
          <w:sz w:val="21"/>
        </w:rPr>
        <w:t>Sustainable Gardening </w:t>
      </w:r>
      <w:r>
        <w:rPr>
          <w:i/>
          <w:w w:val="105"/>
          <w:sz w:val="21"/>
        </w:rPr>
        <w:t>in the </w:t>
      </w:r>
      <w:r>
        <w:rPr>
          <w:i/>
          <w:w w:val="105"/>
          <w:sz w:val="21"/>
        </w:rPr>
        <w:t>Mildura Region </w:t>
      </w:r>
      <w:r>
        <w:rPr>
          <w:w w:val="105"/>
          <w:sz w:val="21"/>
        </w:rPr>
        <w:t>(Booklet, </w:t>
      </w:r>
      <w:r>
        <w:rPr>
          <w:spacing w:val="-10"/>
          <w:w w:val="105"/>
          <w:sz w:val="21"/>
        </w:rPr>
        <w:t>2011)</w:t>
      </w:r>
    </w:p>
    <w:p>
      <w:pPr>
        <w:pStyle w:val="BodyText"/>
        <w:spacing w:line="242" w:lineRule="auto" w:before="104"/>
        <w:ind w:left="1587" w:right="2317"/>
      </w:pPr>
      <w:r>
        <w:rPr>
          <w:w w:val="105"/>
        </w:rPr>
        <w:t>Ministry of Culture, Community and Youth (Singapore), </w:t>
      </w:r>
      <w:r>
        <w:rPr>
          <w:i/>
          <w:w w:val="105"/>
        </w:rPr>
        <w:t>Community Dispute Management </w:t>
      </w:r>
      <w:r>
        <w:rPr>
          <w:i/>
          <w:w w:val="105"/>
        </w:rPr>
        <w:t>Framework </w:t>
      </w:r>
      <w:r>
        <w:rPr>
          <w:w w:val="105"/>
        </w:rPr>
        <w:t>(Web Page, 15 February 2019) &lt;https://</w:t>
      </w:r>
      <w:hyperlink r:id="rId457">
        <w:r>
          <w:rPr>
            <w:w w:val="105"/>
          </w:rPr>
          <w:t>www.mccy.gov.sg/sector/initiatives/</w:t>
        </w:r>
      </w:hyperlink>
      <w:r>
        <w:rPr>
          <w:w w:val="105"/>
        </w:rPr>
        <w:t> community-dispute-management-framework&gt;</w:t>
      </w:r>
    </w:p>
    <w:p>
      <w:pPr>
        <w:pStyle w:val="BodyText"/>
        <w:spacing w:before="105"/>
        <w:ind w:left="1587"/>
      </w:pPr>
      <w:r>
        <w:rPr>
          <w:w w:val="105"/>
        </w:rPr>
        <w:t>Moore, Greg M, ‘The Importance and Value of Urban Forests as Climate Changes’ (2012) 129(5)</w:t>
      </w:r>
    </w:p>
    <w:p>
      <w:pPr>
        <w:spacing w:before="4"/>
        <w:ind w:left="1587" w:right="0" w:firstLine="0"/>
        <w:jc w:val="left"/>
        <w:rPr>
          <w:sz w:val="21"/>
        </w:rPr>
      </w:pPr>
      <w:r>
        <w:rPr>
          <w:i/>
          <w:sz w:val="21"/>
        </w:rPr>
        <w:t>The Victorian Naturalist </w:t>
      </w:r>
      <w:r>
        <w:rPr>
          <w:sz w:val="21"/>
        </w:rPr>
        <w:t>167</w:t>
      </w:r>
    </w:p>
    <w:p>
      <w:pPr>
        <w:pStyle w:val="BodyText"/>
        <w:rPr>
          <w:sz w:val="20"/>
        </w:rPr>
      </w:pPr>
    </w:p>
    <w:p>
      <w:pPr>
        <w:pStyle w:val="BodyText"/>
        <w:rPr>
          <w:sz w:val="20"/>
        </w:rPr>
      </w:pPr>
    </w:p>
    <w:p>
      <w:pPr>
        <w:pStyle w:val="BodyText"/>
        <w:rPr>
          <w:sz w:val="20"/>
        </w:rPr>
      </w:pPr>
    </w:p>
    <w:p>
      <w:pPr>
        <w:pStyle w:val="BodyText"/>
        <w:spacing w:before="9"/>
        <w:rPr>
          <w:sz w:val="20"/>
        </w:rPr>
      </w:pPr>
    </w:p>
    <w:p>
      <w:pPr>
        <w:spacing w:before="0"/>
        <w:ind w:left="720" w:right="0" w:firstLine="0"/>
        <w:jc w:val="left"/>
        <w:rPr>
          <w:b/>
          <w:sz w:val="24"/>
        </w:rPr>
      </w:pPr>
      <w:r>
        <w:rPr>
          <w:b/>
          <w:color w:val="658464"/>
          <w:w w:val="110"/>
          <w:sz w:val="24"/>
        </w:rPr>
        <w:t>322</w:t>
      </w:r>
    </w:p>
    <w:p>
      <w:pPr>
        <w:spacing w:after="0"/>
        <w:jc w:val="left"/>
        <w:rPr>
          <w:sz w:val="24"/>
        </w:rPr>
        <w:sectPr>
          <w:pgSz w:w="11910" w:h="16840"/>
          <w:pgMar w:header="546" w:footer="0" w:top="1560" w:bottom="280" w:left="0" w:right="0"/>
        </w:sectPr>
      </w:pPr>
    </w:p>
    <w:p>
      <w:pPr>
        <w:pStyle w:val="BodyText"/>
        <w:spacing w:before="6"/>
        <w:rPr>
          <w:b/>
        </w:rPr>
      </w:pPr>
    </w:p>
    <w:p>
      <w:pPr>
        <w:spacing w:after="0"/>
        <w:sectPr>
          <w:pgSz w:w="11910" w:h="16840"/>
          <w:pgMar w:header="567" w:footer="0" w:top="1580" w:bottom="280" w:left="0" w:right="0"/>
        </w:sectPr>
      </w:pPr>
    </w:p>
    <w:p>
      <w:pPr>
        <w:pStyle w:val="BodyText"/>
        <w:spacing w:before="92"/>
        <w:ind w:left="1587"/>
      </w:pPr>
      <w:r>
        <w:rPr>
          <w:w w:val="105"/>
        </w:rPr>
        <w:t>Moore, Gregory,</w:t>
      </w:r>
    </w:p>
    <w:p>
      <w:pPr>
        <w:pStyle w:val="ListParagraph"/>
        <w:numPr>
          <w:ilvl w:val="0"/>
          <w:numId w:val="223"/>
        </w:numPr>
        <w:tabs>
          <w:tab w:pos="1927" w:val="left" w:leader="none"/>
          <w:tab w:pos="1928" w:val="left" w:leader="none"/>
        </w:tabs>
        <w:spacing w:line="240" w:lineRule="auto" w:before="105" w:after="0"/>
        <w:ind w:left="1927" w:right="0" w:hanging="340"/>
        <w:jc w:val="left"/>
        <w:rPr>
          <w:sz w:val="21"/>
        </w:rPr>
      </w:pPr>
      <w:r>
        <w:rPr>
          <w:spacing w:val="-4"/>
          <w:w w:val="105"/>
          <w:sz w:val="21"/>
        </w:rPr>
        <w:t>‘Acts </w:t>
      </w:r>
      <w:r>
        <w:rPr>
          <w:w w:val="105"/>
          <w:sz w:val="21"/>
        </w:rPr>
        <w:t>of Arborial Violence: </w:t>
      </w:r>
      <w:r>
        <w:rPr>
          <w:spacing w:val="-5"/>
          <w:w w:val="105"/>
          <w:sz w:val="21"/>
        </w:rPr>
        <w:t>Tree </w:t>
      </w:r>
      <w:r>
        <w:rPr>
          <w:spacing w:val="-4"/>
          <w:w w:val="105"/>
          <w:sz w:val="21"/>
        </w:rPr>
        <w:t>Vandals </w:t>
      </w:r>
      <w:r>
        <w:rPr>
          <w:w w:val="105"/>
          <w:sz w:val="21"/>
        </w:rPr>
        <w:t>Deprive Us </w:t>
      </w:r>
      <w:r>
        <w:rPr>
          <w:spacing w:val="-6"/>
          <w:w w:val="105"/>
          <w:sz w:val="21"/>
        </w:rPr>
        <w:t>All’, </w:t>
      </w:r>
      <w:r>
        <w:rPr>
          <w:i/>
          <w:w w:val="105"/>
          <w:sz w:val="21"/>
        </w:rPr>
        <w:t>The </w:t>
      </w:r>
      <w:r>
        <w:rPr>
          <w:i/>
          <w:spacing w:val="-3"/>
          <w:w w:val="105"/>
          <w:sz w:val="21"/>
        </w:rPr>
        <w:t>Conversation </w:t>
      </w:r>
      <w:r>
        <w:rPr>
          <w:spacing w:val="-3"/>
          <w:w w:val="105"/>
          <w:sz w:val="21"/>
        </w:rPr>
        <w:t>(online, </w:t>
      </w:r>
      <w:r>
        <w:rPr>
          <w:w w:val="105"/>
          <w:sz w:val="21"/>
        </w:rPr>
        <w:t>2 June</w:t>
      </w:r>
      <w:r>
        <w:rPr>
          <w:spacing w:val="31"/>
          <w:w w:val="105"/>
          <w:sz w:val="21"/>
        </w:rPr>
        <w:t> </w:t>
      </w:r>
      <w:r>
        <w:rPr>
          <w:spacing w:val="-6"/>
          <w:w w:val="105"/>
          <w:sz w:val="21"/>
        </w:rPr>
        <w:t>2015)</w:t>
      </w:r>
    </w:p>
    <w:p>
      <w:pPr>
        <w:pStyle w:val="BodyText"/>
        <w:spacing w:before="4"/>
        <w:ind w:left="1927"/>
      </w:pPr>
      <w:r>
        <w:rPr/>
        <w:t>&lt;</w:t>
      </w:r>
      <w:hyperlink r:id="rId78">
        <w:r>
          <w:rPr/>
          <w:t>http://theconversation.com/acts-of-arborial-violence-tree-vandals-deprive-us-all-41342</w:t>
        </w:r>
      </w:hyperlink>
      <w:r>
        <w:rPr/>
        <w:t>&gt;</w:t>
      </w:r>
    </w:p>
    <w:p>
      <w:pPr>
        <w:pStyle w:val="ListParagraph"/>
        <w:numPr>
          <w:ilvl w:val="0"/>
          <w:numId w:val="223"/>
        </w:numPr>
        <w:tabs>
          <w:tab w:pos="1984" w:val="left" w:leader="none"/>
          <w:tab w:pos="1985" w:val="left" w:leader="none"/>
        </w:tabs>
        <w:spacing w:line="240" w:lineRule="auto" w:before="106" w:after="0"/>
        <w:ind w:left="1984" w:right="0" w:hanging="397"/>
        <w:jc w:val="left"/>
        <w:rPr>
          <w:sz w:val="21"/>
        </w:rPr>
      </w:pPr>
      <w:r>
        <w:rPr>
          <w:spacing w:val="-3"/>
          <w:w w:val="105"/>
          <w:sz w:val="21"/>
        </w:rPr>
        <w:t>‘Economic </w:t>
      </w:r>
      <w:r>
        <w:rPr>
          <w:spacing w:val="-4"/>
          <w:w w:val="105"/>
          <w:sz w:val="21"/>
        </w:rPr>
        <w:t>Value </w:t>
      </w:r>
      <w:r>
        <w:rPr>
          <w:w w:val="105"/>
          <w:sz w:val="21"/>
        </w:rPr>
        <w:t>of </w:t>
      </w:r>
      <w:r>
        <w:rPr>
          <w:spacing w:val="-7"/>
          <w:w w:val="105"/>
          <w:sz w:val="21"/>
        </w:rPr>
        <w:t>Trees’, </w:t>
      </w:r>
      <w:r>
        <w:rPr>
          <w:i/>
          <w:spacing w:val="-3"/>
          <w:w w:val="105"/>
          <w:sz w:val="21"/>
        </w:rPr>
        <w:t>Sustainable Gardening Australia</w:t>
      </w:r>
      <w:r>
        <w:rPr>
          <w:i/>
          <w:spacing w:val="9"/>
          <w:w w:val="105"/>
          <w:sz w:val="21"/>
        </w:rPr>
        <w:t> </w:t>
      </w:r>
      <w:r>
        <w:rPr>
          <w:w w:val="105"/>
          <w:sz w:val="21"/>
        </w:rPr>
        <w:t>(Web Page)</w:t>
      </w:r>
    </w:p>
    <w:p>
      <w:pPr>
        <w:pStyle w:val="BodyText"/>
        <w:spacing w:before="3"/>
        <w:ind w:left="1927"/>
      </w:pPr>
      <w:r>
        <w:rPr/>
        <w:t>&lt;https://</w:t>
      </w:r>
      <w:hyperlink r:id="rId458">
        <w:r>
          <w:rPr/>
          <w:t>www.sgaonline.org.au/economic-value-of-trees/</w:t>
        </w:r>
      </w:hyperlink>
      <w:r>
        <w:rPr/>
        <w:t>&gt;</w:t>
      </w:r>
    </w:p>
    <w:p>
      <w:pPr>
        <w:pStyle w:val="BodyText"/>
        <w:spacing w:line="242" w:lineRule="auto" w:before="106"/>
        <w:ind w:left="1587" w:right="17"/>
      </w:pPr>
      <w:r>
        <w:rPr>
          <w:spacing w:val="-3"/>
          <w:w w:val="105"/>
        </w:rPr>
        <w:t>Moreland City </w:t>
      </w:r>
      <w:r>
        <w:rPr>
          <w:spacing w:val="-4"/>
          <w:w w:val="105"/>
        </w:rPr>
        <w:t>Council, </w:t>
      </w:r>
      <w:r>
        <w:rPr>
          <w:i/>
          <w:spacing w:val="-3"/>
          <w:w w:val="105"/>
        </w:rPr>
        <w:t>Gardening </w:t>
      </w:r>
      <w:r>
        <w:rPr>
          <w:i/>
          <w:w w:val="105"/>
        </w:rPr>
        <w:t>with Indigenous Plants </w:t>
      </w:r>
      <w:r>
        <w:rPr>
          <w:w w:val="105"/>
        </w:rPr>
        <w:t>(Web Page) &lt;https://</w:t>
      </w:r>
      <w:hyperlink r:id="rId459">
        <w:r>
          <w:rPr>
            <w:w w:val="105"/>
          </w:rPr>
          <w:t>www.moreland.vic.</w:t>
        </w:r>
      </w:hyperlink>
      <w:r>
        <w:rPr>
          <w:w w:val="105"/>
        </w:rPr>
        <w:t> gov.au/environment-bins/gardening-and-food/gardening-indigenous-plants/&gt;</w:t>
      </w:r>
    </w:p>
    <w:p>
      <w:pPr>
        <w:pStyle w:val="BodyText"/>
        <w:spacing w:line="242" w:lineRule="auto" w:before="104"/>
        <w:ind w:left="1587" w:right="10"/>
      </w:pPr>
      <w:r>
        <w:rPr/>
        <w:t>Morning Peninsula Shire, </w:t>
      </w:r>
      <w:r>
        <w:rPr>
          <w:i/>
        </w:rPr>
        <w:t>Shire (Briars) Nursery </w:t>
      </w:r>
      <w:r>
        <w:rPr/>
        <w:t>(2019) &lt;https://</w:t>
      </w:r>
      <w:hyperlink r:id="rId460">
        <w:r>
          <w:rPr/>
          <w:t>www.mornpen.vic.gov.au/Activities/</w:t>
        </w:r>
      </w:hyperlink>
      <w:r>
        <w:rPr/>
        <w:t> The-Briars/Shire-Nursery&gt;</w:t>
      </w:r>
    </w:p>
    <w:p>
      <w:pPr>
        <w:spacing w:line="242" w:lineRule="auto" w:before="104"/>
        <w:ind w:left="1587" w:right="0" w:firstLine="0"/>
        <w:jc w:val="left"/>
        <w:rPr>
          <w:sz w:val="21"/>
        </w:rPr>
      </w:pPr>
      <w:r>
        <w:rPr>
          <w:w w:val="105"/>
          <w:sz w:val="21"/>
        </w:rPr>
        <w:t>Municipal Association of Victoria, </w:t>
      </w:r>
      <w:r>
        <w:rPr>
          <w:i/>
          <w:w w:val="105"/>
          <w:sz w:val="21"/>
        </w:rPr>
        <w:t>Public Health and Wellbeing Act 2008— Guidance Manual for </w:t>
      </w:r>
      <w:r>
        <w:rPr>
          <w:i/>
          <w:w w:val="105"/>
          <w:sz w:val="21"/>
        </w:rPr>
        <w:t>Local Government Authorised Officers </w:t>
      </w:r>
      <w:r>
        <w:rPr>
          <w:w w:val="105"/>
          <w:sz w:val="21"/>
        </w:rPr>
        <w:t>(March 2010)</w:t>
      </w:r>
    </w:p>
    <w:p>
      <w:pPr>
        <w:pStyle w:val="BodyText"/>
        <w:spacing w:line="242" w:lineRule="auto" w:before="105"/>
        <w:ind w:left="1587" w:right="40"/>
      </w:pPr>
      <w:r>
        <w:rPr>
          <w:spacing w:val="-4"/>
          <w:w w:val="105"/>
        </w:rPr>
        <w:t>Munro, </w:t>
      </w:r>
      <w:r>
        <w:rPr>
          <w:spacing w:val="-3"/>
          <w:w w:val="105"/>
        </w:rPr>
        <w:t>Kelsey </w:t>
      </w:r>
      <w:r>
        <w:rPr>
          <w:w w:val="105"/>
        </w:rPr>
        <w:t>‘Houses on Leafier </w:t>
      </w:r>
      <w:r>
        <w:rPr>
          <w:spacing w:val="-3"/>
          <w:w w:val="105"/>
        </w:rPr>
        <w:t>Streets </w:t>
      </w:r>
      <w:r>
        <w:rPr>
          <w:w w:val="105"/>
        </w:rPr>
        <w:t>in Three </w:t>
      </w:r>
      <w:r>
        <w:rPr>
          <w:spacing w:val="-4"/>
          <w:w w:val="105"/>
        </w:rPr>
        <w:t>Sydney </w:t>
      </w:r>
      <w:r>
        <w:rPr>
          <w:spacing w:val="-3"/>
          <w:w w:val="105"/>
        </w:rPr>
        <w:t>Suburbs </w:t>
      </w:r>
      <w:r>
        <w:rPr>
          <w:w w:val="105"/>
        </w:rPr>
        <w:t>Worth $50,000 More: </w:t>
      </w:r>
      <w:r>
        <w:rPr>
          <w:spacing w:val="-4"/>
          <w:w w:val="105"/>
        </w:rPr>
        <w:t>Analysis’, </w:t>
      </w:r>
      <w:r>
        <w:rPr>
          <w:i/>
          <w:w w:val="105"/>
        </w:rPr>
        <w:t>The </w:t>
      </w:r>
      <w:r>
        <w:rPr>
          <w:i/>
          <w:spacing w:val="-3"/>
          <w:w w:val="105"/>
        </w:rPr>
        <w:t>Sydney </w:t>
      </w:r>
      <w:r>
        <w:rPr>
          <w:i/>
          <w:w w:val="105"/>
        </w:rPr>
        <w:t>Morning Herald </w:t>
      </w:r>
      <w:r>
        <w:rPr>
          <w:spacing w:val="-3"/>
          <w:w w:val="105"/>
        </w:rPr>
        <w:t>(online, </w:t>
      </w:r>
      <w:r>
        <w:rPr>
          <w:spacing w:val="-5"/>
          <w:w w:val="105"/>
        </w:rPr>
        <w:t>27 </w:t>
      </w:r>
      <w:r>
        <w:rPr>
          <w:w w:val="105"/>
        </w:rPr>
        <w:t>April </w:t>
      </w:r>
      <w:r>
        <w:rPr>
          <w:spacing w:val="-7"/>
          <w:w w:val="105"/>
        </w:rPr>
        <w:t>2017) </w:t>
      </w:r>
      <w:r>
        <w:rPr>
          <w:w w:val="105"/>
        </w:rPr>
        <w:t>&lt;https://</w:t>
      </w:r>
      <w:hyperlink r:id="rId461">
        <w:r>
          <w:rPr>
            <w:w w:val="105"/>
          </w:rPr>
          <w:t>www.smh.com.au/national/nsw/</w:t>
        </w:r>
      </w:hyperlink>
      <w:r>
        <w:rPr>
          <w:w w:val="105"/>
        </w:rPr>
        <w:t> </w:t>
      </w:r>
      <w:r>
        <w:rPr>
          <w:spacing w:val="-1"/>
        </w:rPr>
        <w:t>houses-on-leafier-streets-in-three-sydney-suburbs-worth-50000-more-analysis-20170427-gvtkex. </w:t>
      </w:r>
      <w:r>
        <w:rPr>
          <w:w w:val="105"/>
        </w:rPr>
        <w:t>html&gt;</w:t>
      </w:r>
    </w:p>
    <w:p>
      <w:pPr>
        <w:pStyle w:val="BodyText"/>
        <w:spacing w:line="242" w:lineRule="auto" w:before="106"/>
        <w:ind w:left="1587" w:right="880"/>
        <w:jc w:val="both"/>
      </w:pPr>
      <w:r>
        <w:rPr>
          <w:spacing w:val="-3"/>
          <w:w w:val="105"/>
        </w:rPr>
        <w:t>National Alternative Dispute </w:t>
      </w:r>
      <w:r>
        <w:rPr>
          <w:w w:val="105"/>
        </w:rPr>
        <w:t>Resolution Advisory </w:t>
      </w:r>
      <w:r>
        <w:rPr>
          <w:spacing w:val="-4"/>
          <w:w w:val="105"/>
        </w:rPr>
        <w:t>Council, </w:t>
      </w:r>
      <w:r>
        <w:rPr>
          <w:i/>
          <w:w w:val="105"/>
        </w:rPr>
        <w:t>On-line ADR </w:t>
      </w:r>
      <w:r>
        <w:rPr>
          <w:i/>
          <w:spacing w:val="-3"/>
          <w:w w:val="105"/>
        </w:rPr>
        <w:t>Background </w:t>
      </w:r>
      <w:r>
        <w:rPr>
          <w:i/>
          <w:w w:val="105"/>
        </w:rPr>
        <w:t>Paper </w:t>
      </w:r>
      <w:r>
        <w:rPr/>
        <w:t>(January </w:t>
      </w:r>
      <w:r>
        <w:rPr>
          <w:spacing w:val="-4"/>
        </w:rPr>
        <w:t>2001) </w:t>
      </w:r>
      <w:r>
        <w:rPr/>
        <w:t>&lt;https://</w:t>
      </w:r>
      <w:hyperlink r:id="rId462">
        <w:r>
          <w:rPr/>
          <w:t>www.ag.gov.au/LegalSystem/AlternateDisputeResolution/Pages/</w:t>
        </w:r>
      </w:hyperlink>
      <w:r>
        <w:rPr/>
        <w:t> </w:t>
      </w:r>
      <w:r>
        <w:rPr>
          <w:w w:val="105"/>
        </w:rPr>
        <w:t>NADRACPublications-A-Z.aspx&gt;</w:t>
      </w:r>
    </w:p>
    <w:p>
      <w:pPr>
        <w:spacing w:line="242" w:lineRule="auto" w:before="105"/>
        <w:ind w:left="1587" w:right="0" w:firstLine="0"/>
        <w:jc w:val="left"/>
        <w:rPr>
          <w:sz w:val="21"/>
        </w:rPr>
      </w:pPr>
      <w:r>
        <w:rPr>
          <w:spacing w:val="-3"/>
          <w:w w:val="105"/>
          <w:sz w:val="21"/>
        </w:rPr>
        <w:t>National </w:t>
      </w:r>
      <w:r>
        <w:rPr>
          <w:w w:val="105"/>
          <w:sz w:val="21"/>
        </w:rPr>
        <w:t>Register on </w:t>
      </w:r>
      <w:r>
        <w:rPr>
          <w:spacing w:val="-3"/>
          <w:w w:val="105"/>
          <w:sz w:val="21"/>
        </w:rPr>
        <w:t>Vocational Education </w:t>
      </w:r>
      <w:r>
        <w:rPr>
          <w:w w:val="105"/>
          <w:sz w:val="21"/>
        </w:rPr>
        <w:t>and </w:t>
      </w:r>
      <w:r>
        <w:rPr>
          <w:spacing w:val="-5"/>
          <w:w w:val="105"/>
          <w:sz w:val="21"/>
        </w:rPr>
        <w:t>Training </w:t>
      </w:r>
      <w:r>
        <w:rPr>
          <w:spacing w:val="2"/>
          <w:w w:val="105"/>
          <w:sz w:val="21"/>
        </w:rPr>
        <w:t>(VET) </w:t>
      </w:r>
      <w:r>
        <w:rPr>
          <w:w w:val="105"/>
          <w:sz w:val="21"/>
        </w:rPr>
        <w:t>in </w:t>
      </w:r>
      <w:r>
        <w:rPr>
          <w:spacing w:val="-3"/>
          <w:w w:val="105"/>
          <w:sz w:val="21"/>
        </w:rPr>
        <w:t>Australia, </w:t>
      </w:r>
      <w:r>
        <w:rPr>
          <w:i/>
          <w:w w:val="105"/>
          <w:sz w:val="21"/>
        </w:rPr>
        <w:t>Unit </w:t>
      </w:r>
      <w:r>
        <w:rPr>
          <w:i/>
          <w:spacing w:val="-3"/>
          <w:w w:val="105"/>
          <w:sz w:val="21"/>
        </w:rPr>
        <w:t>of </w:t>
      </w:r>
      <w:r>
        <w:rPr>
          <w:i/>
          <w:w w:val="105"/>
          <w:sz w:val="21"/>
        </w:rPr>
        <w:t>Competency </w:t>
      </w:r>
      <w:r>
        <w:rPr>
          <w:i/>
          <w:w w:val="105"/>
          <w:sz w:val="21"/>
        </w:rPr>
        <w:t>Details: AHCARB501A—Examine and Assess </w:t>
      </w:r>
      <w:r>
        <w:rPr>
          <w:i/>
          <w:spacing w:val="-4"/>
          <w:w w:val="105"/>
          <w:sz w:val="21"/>
        </w:rPr>
        <w:t>Trees </w:t>
      </w:r>
      <w:r>
        <w:rPr>
          <w:w w:val="105"/>
          <w:sz w:val="21"/>
        </w:rPr>
        <w:t>(Release </w:t>
      </w:r>
      <w:r>
        <w:rPr>
          <w:spacing w:val="-4"/>
          <w:w w:val="105"/>
          <w:sz w:val="21"/>
        </w:rPr>
        <w:t>2, </w:t>
      </w:r>
      <w:r>
        <w:rPr>
          <w:spacing w:val="-7"/>
          <w:w w:val="105"/>
          <w:sz w:val="21"/>
        </w:rPr>
        <w:t>21 </w:t>
      </w:r>
      <w:r>
        <w:rPr>
          <w:w w:val="105"/>
          <w:sz w:val="21"/>
        </w:rPr>
        <w:t>December </w:t>
      </w:r>
      <w:r>
        <w:rPr>
          <w:spacing w:val="-7"/>
          <w:w w:val="105"/>
          <w:sz w:val="21"/>
        </w:rPr>
        <w:t>2017)</w:t>
      </w:r>
    </w:p>
    <w:p>
      <w:pPr>
        <w:pStyle w:val="BodyText"/>
        <w:spacing w:before="2"/>
        <w:ind w:left="1587"/>
      </w:pPr>
      <w:r>
        <w:rPr/>
        <w:t>&lt;https://training.gov.au/Training/Details/AHCARB601&gt;</w:t>
      </w:r>
    </w:p>
    <w:p>
      <w:pPr>
        <w:spacing w:before="106"/>
        <w:ind w:left="1587" w:right="0" w:firstLine="0"/>
        <w:jc w:val="left"/>
        <w:rPr>
          <w:sz w:val="21"/>
        </w:rPr>
      </w:pPr>
      <w:r>
        <w:rPr>
          <w:w w:val="105"/>
          <w:sz w:val="21"/>
        </w:rPr>
        <w:t>Neighbourhood Justice Centre, </w:t>
      </w:r>
      <w:r>
        <w:rPr>
          <w:i/>
          <w:w w:val="105"/>
          <w:sz w:val="21"/>
        </w:rPr>
        <w:t>What Happens at VCAT </w:t>
      </w:r>
      <w:r>
        <w:rPr>
          <w:w w:val="105"/>
          <w:sz w:val="21"/>
        </w:rPr>
        <w:t>(Web Page, 22 June 2018)</w:t>
      </w:r>
    </w:p>
    <w:p>
      <w:pPr>
        <w:pStyle w:val="BodyText"/>
        <w:spacing w:before="4"/>
        <w:ind w:left="1587"/>
      </w:pPr>
      <w:r>
        <w:rPr/>
        <w:t>&lt;https://</w:t>
      </w:r>
      <w:hyperlink r:id="rId463">
        <w:r>
          <w:rPr/>
          <w:t>www.neighbourhoodjustice.vic.gov.au/attend-court/going-to-vcat/what-happens-at-vcat</w:t>
        </w:r>
      </w:hyperlink>
      <w:r>
        <w:rPr/>
        <w:t>&gt;</w:t>
      </w:r>
    </w:p>
    <w:p>
      <w:pPr>
        <w:spacing w:before="105"/>
        <w:ind w:left="1587" w:right="0" w:firstLine="0"/>
        <w:jc w:val="left"/>
        <w:rPr>
          <w:sz w:val="21"/>
        </w:rPr>
      </w:pPr>
      <w:r>
        <w:rPr>
          <w:w w:val="105"/>
          <w:sz w:val="21"/>
        </w:rPr>
        <w:t>New South Wales Civil and Administrative Tribunal, </w:t>
      </w:r>
      <w:r>
        <w:rPr>
          <w:i/>
          <w:w w:val="105"/>
          <w:sz w:val="21"/>
        </w:rPr>
        <w:t>Annual Report 2014–2015 </w:t>
      </w:r>
      <w:r>
        <w:rPr>
          <w:w w:val="105"/>
          <w:sz w:val="21"/>
        </w:rPr>
        <w:t>(Report, 2015)</w:t>
      </w:r>
    </w:p>
    <w:p>
      <w:pPr>
        <w:pStyle w:val="BodyText"/>
        <w:spacing w:before="4"/>
        <w:ind w:left="1587"/>
      </w:pPr>
      <w:r>
        <w:rPr/>
        <w:t>&lt;</w:t>
      </w:r>
      <w:hyperlink r:id="rId464">
        <w:r>
          <w:rPr/>
          <w:t>http://www.ncat.nsw.gov.au/Pages/about_us/publications_and_resources/annual_reports.aspx</w:t>
        </w:r>
      </w:hyperlink>
      <w:r>
        <w:rPr/>
        <w:t>&gt;</w:t>
      </w:r>
    </w:p>
    <w:p>
      <w:pPr>
        <w:spacing w:line="242" w:lineRule="auto" w:before="106"/>
        <w:ind w:left="1587" w:right="186" w:firstLine="0"/>
        <w:jc w:val="left"/>
        <w:rPr>
          <w:sz w:val="21"/>
        </w:rPr>
      </w:pPr>
      <w:r>
        <w:rPr>
          <w:w w:val="105"/>
          <w:sz w:val="21"/>
        </w:rPr>
        <w:t>New South Wales Law Reform Commission, </w:t>
      </w:r>
      <w:r>
        <w:rPr>
          <w:i/>
          <w:w w:val="105"/>
          <w:sz w:val="21"/>
        </w:rPr>
        <w:t>Neighbour and Neighbour Relations </w:t>
      </w:r>
      <w:r>
        <w:rPr>
          <w:w w:val="105"/>
          <w:sz w:val="21"/>
        </w:rPr>
        <w:t>(Report No 88, 1998)</w:t>
      </w:r>
    </w:p>
    <w:p>
      <w:pPr>
        <w:spacing w:before="104"/>
        <w:ind w:left="1587" w:right="0" w:firstLine="0"/>
        <w:jc w:val="left"/>
        <w:rPr>
          <w:sz w:val="21"/>
        </w:rPr>
      </w:pPr>
      <w:r>
        <w:rPr>
          <w:w w:val="105"/>
          <w:sz w:val="21"/>
        </w:rPr>
        <w:t>Nillumbik Shire Council, </w:t>
      </w:r>
      <w:r>
        <w:rPr>
          <w:i/>
          <w:w w:val="105"/>
          <w:sz w:val="21"/>
        </w:rPr>
        <w:t>Nillumbik Tree Management Guidelines </w:t>
      </w:r>
      <w:r>
        <w:rPr>
          <w:w w:val="105"/>
          <w:sz w:val="21"/>
        </w:rPr>
        <w:t>(September 2015)</w:t>
      </w:r>
    </w:p>
    <w:p>
      <w:pPr>
        <w:pStyle w:val="BodyText"/>
        <w:spacing w:line="242" w:lineRule="auto" w:before="4"/>
        <w:ind w:left="1587" w:right="186"/>
      </w:pPr>
      <w:r>
        <w:rPr/>
        <w:t>&lt;https://</w:t>
      </w:r>
      <w:hyperlink r:id="rId465">
        <w:r>
          <w:rPr/>
          <w:t>www.nillumbik.vic.gov.au/Council/Council-publications/Strategies-policies-and-</w:t>
        </w:r>
      </w:hyperlink>
      <w:r>
        <w:rPr/>
        <w:t> </w:t>
      </w:r>
      <w:r>
        <w:rPr>
          <w:w w:val="105"/>
        </w:rPr>
        <w:t>legislation&gt;</w:t>
      </w:r>
    </w:p>
    <w:p>
      <w:pPr>
        <w:spacing w:line="242" w:lineRule="auto" w:before="104"/>
        <w:ind w:left="1587" w:right="262" w:firstLine="0"/>
        <w:jc w:val="left"/>
        <w:rPr>
          <w:sz w:val="21"/>
        </w:rPr>
      </w:pPr>
      <w:r>
        <w:rPr>
          <w:sz w:val="21"/>
        </w:rPr>
        <w:t>Nygh, Peter E and Peter Butt, </w:t>
      </w:r>
      <w:r>
        <w:rPr>
          <w:i/>
          <w:sz w:val="21"/>
        </w:rPr>
        <w:t>Butterworths Australian Property Law Dictionary </w:t>
      </w:r>
      <w:r>
        <w:rPr>
          <w:sz w:val="21"/>
        </w:rPr>
        <w:t>(Butterworths, 1997)</w:t>
      </w:r>
    </w:p>
    <w:p>
      <w:pPr>
        <w:pStyle w:val="BodyText"/>
        <w:spacing w:line="242" w:lineRule="auto" w:before="104"/>
        <w:ind w:left="1587"/>
      </w:pPr>
      <w:r>
        <w:rPr>
          <w:spacing w:val="-6"/>
          <w:w w:val="105"/>
        </w:rPr>
        <w:t>O’Connor, </w:t>
      </w:r>
      <w:r>
        <w:rPr>
          <w:spacing w:val="-3"/>
          <w:w w:val="105"/>
        </w:rPr>
        <w:t>Pamela, </w:t>
      </w:r>
      <w:r>
        <w:rPr>
          <w:i/>
          <w:spacing w:val="-4"/>
          <w:w w:val="105"/>
        </w:rPr>
        <w:t>Tribunal </w:t>
      </w:r>
      <w:r>
        <w:rPr>
          <w:i/>
          <w:w w:val="105"/>
        </w:rPr>
        <w:t>Independence </w:t>
      </w:r>
      <w:r>
        <w:rPr>
          <w:w w:val="105"/>
        </w:rPr>
        <w:t>(The </w:t>
      </w:r>
      <w:r>
        <w:rPr>
          <w:spacing w:val="-3"/>
          <w:w w:val="105"/>
        </w:rPr>
        <w:t>Australasian Institute </w:t>
      </w:r>
      <w:r>
        <w:rPr>
          <w:w w:val="105"/>
        </w:rPr>
        <w:t>of </w:t>
      </w:r>
      <w:r>
        <w:rPr>
          <w:spacing w:val="-3"/>
          <w:w w:val="105"/>
        </w:rPr>
        <w:t>Judicial Administration Incorporated, </w:t>
      </w:r>
      <w:r>
        <w:rPr>
          <w:spacing w:val="-6"/>
          <w:w w:val="105"/>
        </w:rPr>
        <w:t>2013)</w:t>
      </w:r>
    </w:p>
    <w:p>
      <w:pPr>
        <w:pStyle w:val="BodyText"/>
        <w:spacing w:before="104"/>
        <w:ind w:left="1587"/>
      </w:pPr>
      <w:r>
        <w:rPr>
          <w:w w:val="105"/>
        </w:rPr>
        <w:t>Office of Environment and Heritage (NSW),</w:t>
      </w:r>
    </w:p>
    <w:p>
      <w:pPr>
        <w:pStyle w:val="ListParagraph"/>
        <w:numPr>
          <w:ilvl w:val="0"/>
          <w:numId w:val="223"/>
        </w:numPr>
        <w:tabs>
          <w:tab w:pos="1927" w:val="left" w:leader="none"/>
          <w:tab w:pos="1928" w:val="left" w:leader="none"/>
        </w:tabs>
        <w:spacing w:line="240" w:lineRule="auto" w:before="106" w:after="0"/>
        <w:ind w:left="1927" w:right="0" w:hanging="340"/>
        <w:jc w:val="left"/>
        <w:rPr>
          <w:sz w:val="21"/>
        </w:rPr>
      </w:pPr>
      <w:r>
        <w:rPr>
          <w:i/>
          <w:w w:val="105"/>
          <w:sz w:val="21"/>
        </w:rPr>
        <w:t>Local </w:t>
      </w:r>
      <w:r>
        <w:rPr>
          <w:i/>
          <w:spacing w:val="-3"/>
          <w:w w:val="105"/>
          <w:sz w:val="21"/>
        </w:rPr>
        <w:t>Government Information </w:t>
      </w:r>
      <w:r>
        <w:rPr>
          <w:i/>
          <w:w w:val="105"/>
          <w:sz w:val="21"/>
        </w:rPr>
        <w:t>and </w:t>
      </w:r>
      <w:r>
        <w:rPr>
          <w:i/>
          <w:spacing w:val="-3"/>
          <w:w w:val="105"/>
          <w:sz w:val="21"/>
        </w:rPr>
        <w:t>Resources </w:t>
      </w:r>
      <w:r>
        <w:rPr>
          <w:w w:val="105"/>
          <w:sz w:val="21"/>
        </w:rPr>
        <w:t>(Web </w:t>
      </w:r>
      <w:r>
        <w:rPr>
          <w:spacing w:val="-3"/>
          <w:w w:val="105"/>
          <w:sz w:val="21"/>
        </w:rPr>
        <w:t>Page, </w:t>
      </w:r>
      <w:r>
        <w:rPr>
          <w:w w:val="105"/>
          <w:sz w:val="21"/>
        </w:rPr>
        <w:t>23 November</w:t>
      </w:r>
      <w:r>
        <w:rPr>
          <w:spacing w:val="1"/>
          <w:w w:val="105"/>
          <w:sz w:val="21"/>
        </w:rPr>
        <w:t> </w:t>
      </w:r>
      <w:r>
        <w:rPr>
          <w:spacing w:val="-5"/>
          <w:w w:val="105"/>
          <w:sz w:val="21"/>
        </w:rPr>
        <w:t>2018)</w:t>
      </w:r>
    </w:p>
    <w:p>
      <w:pPr>
        <w:pStyle w:val="BodyText"/>
        <w:spacing w:before="4"/>
        <w:ind w:left="1927"/>
      </w:pPr>
      <w:r>
        <w:rPr/>
        <w:t>&lt;https://</w:t>
      </w:r>
      <w:hyperlink r:id="rId130">
        <w:r>
          <w:rPr/>
          <w:t>www.environment.nsw.gov.au/biodiversity/localgovernment.htm</w:t>
        </w:r>
      </w:hyperlink>
      <w:r>
        <w:rPr/>
        <w:t>&gt;</w:t>
      </w:r>
    </w:p>
    <w:p>
      <w:pPr>
        <w:pStyle w:val="ListParagraph"/>
        <w:numPr>
          <w:ilvl w:val="0"/>
          <w:numId w:val="223"/>
        </w:numPr>
        <w:tabs>
          <w:tab w:pos="1927" w:val="left" w:leader="none"/>
          <w:tab w:pos="1928" w:val="left" w:leader="none"/>
        </w:tabs>
        <w:spacing w:line="242" w:lineRule="auto" w:before="105" w:after="0"/>
        <w:ind w:left="1927" w:right="300" w:hanging="340"/>
        <w:jc w:val="left"/>
        <w:rPr>
          <w:sz w:val="21"/>
        </w:rPr>
      </w:pPr>
      <w:r>
        <w:rPr>
          <w:i/>
          <w:spacing w:val="-3"/>
          <w:w w:val="105"/>
          <w:sz w:val="21"/>
        </w:rPr>
        <w:t>Native</w:t>
      </w:r>
      <w:r>
        <w:rPr>
          <w:i/>
          <w:spacing w:val="-17"/>
          <w:w w:val="105"/>
          <w:sz w:val="21"/>
        </w:rPr>
        <w:t> </w:t>
      </w:r>
      <w:r>
        <w:rPr>
          <w:i/>
          <w:spacing w:val="-3"/>
          <w:w w:val="105"/>
          <w:sz w:val="21"/>
        </w:rPr>
        <w:t>Vegetation</w:t>
      </w:r>
      <w:r>
        <w:rPr>
          <w:i/>
          <w:spacing w:val="-16"/>
          <w:w w:val="105"/>
          <w:sz w:val="21"/>
        </w:rPr>
        <w:t> </w:t>
      </w:r>
      <w:r>
        <w:rPr>
          <w:w w:val="105"/>
          <w:sz w:val="21"/>
        </w:rPr>
        <w:t>(Web</w:t>
      </w:r>
      <w:r>
        <w:rPr>
          <w:spacing w:val="-17"/>
          <w:w w:val="105"/>
          <w:sz w:val="21"/>
        </w:rPr>
        <w:t> </w:t>
      </w:r>
      <w:r>
        <w:rPr>
          <w:spacing w:val="-3"/>
          <w:w w:val="105"/>
          <w:sz w:val="21"/>
        </w:rPr>
        <w:t>Page,</w:t>
      </w:r>
      <w:r>
        <w:rPr>
          <w:spacing w:val="-16"/>
          <w:w w:val="105"/>
          <w:sz w:val="21"/>
        </w:rPr>
        <w:t> </w:t>
      </w:r>
      <w:r>
        <w:rPr>
          <w:spacing w:val="-7"/>
          <w:w w:val="105"/>
          <w:sz w:val="21"/>
        </w:rPr>
        <w:t>21</w:t>
      </w:r>
      <w:r>
        <w:rPr>
          <w:spacing w:val="-17"/>
          <w:w w:val="105"/>
          <w:sz w:val="21"/>
        </w:rPr>
        <w:t> </w:t>
      </w:r>
      <w:r>
        <w:rPr>
          <w:w w:val="105"/>
          <w:sz w:val="21"/>
        </w:rPr>
        <w:t>September</w:t>
      </w:r>
      <w:r>
        <w:rPr>
          <w:spacing w:val="-16"/>
          <w:w w:val="105"/>
          <w:sz w:val="21"/>
        </w:rPr>
        <w:t> </w:t>
      </w:r>
      <w:r>
        <w:rPr>
          <w:spacing w:val="-5"/>
          <w:w w:val="105"/>
          <w:sz w:val="21"/>
        </w:rPr>
        <w:t>2018)</w:t>
      </w:r>
      <w:r>
        <w:rPr>
          <w:spacing w:val="-16"/>
          <w:w w:val="105"/>
          <w:sz w:val="21"/>
        </w:rPr>
        <w:t> </w:t>
      </w:r>
      <w:r>
        <w:rPr>
          <w:w w:val="105"/>
          <w:sz w:val="21"/>
        </w:rPr>
        <w:t>&lt;https://</w:t>
      </w:r>
      <w:hyperlink r:id="rId291">
        <w:r>
          <w:rPr>
            <w:w w:val="105"/>
            <w:sz w:val="21"/>
          </w:rPr>
          <w:t>www.environment.nsw.gov.au/</w:t>
        </w:r>
      </w:hyperlink>
      <w:r>
        <w:rPr>
          <w:w w:val="105"/>
          <w:sz w:val="21"/>
        </w:rPr>
        <w:t> vegetation/&gt;</w:t>
      </w:r>
    </w:p>
    <w:p>
      <w:pPr>
        <w:pStyle w:val="ListParagraph"/>
        <w:numPr>
          <w:ilvl w:val="0"/>
          <w:numId w:val="223"/>
        </w:numPr>
        <w:tabs>
          <w:tab w:pos="1927" w:val="left" w:leader="none"/>
          <w:tab w:pos="1928" w:val="left" w:leader="none"/>
        </w:tabs>
        <w:spacing w:line="242" w:lineRule="auto" w:before="104" w:after="0"/>
        <w:ind w:left="1927" w:right="39" w:hanging="340"/>
        <w:jc w:val="left"/>
        <w:rPr>
          <w:sz w:val="21"/>
        </w:rPr>
      </w:pPr>
      <w:r>
        <w:rPr>
          <w:i/>
          <w:spacing w:val="-3"/>
          <w:w w:val="105"/>
          <w:sz w:val="21"/>
        </w:rPr>
        <w:t>Native Vegetation </w:t>
      </w:r>
      <w:r>
        <w:rPr>
          <w:i/>
          <w:w w:val="105"/>
          <w:sz w:val="21"/>
        </w:rPr>
        <w:t>Act </w:t>
      </w:r>
      <w:r>
        <w:rPr>
          <w:i/>
          <w:spacing w:val="-3"/>
          <w:w w:val="105"/>
          <w:sz w:val="21"/>
        </w:rPr>
        <w:t>2003 </w:t>
      </w:r>
      <w:r>
        <w:rPr>
          <w:w w:val="105"/>
          <w:sz w:val="21"/>
        </w:rPr>
        <w:t>(Web </w:t>
      </w:r>
      <w:r>
        <w:rPr>
          <w:spacing w:val="-3"/>
          <w:w w:val="105"/>
          <w:sz w:val="21"/>
        </w:rPr>
        <w:t>Page, </w:t>
      </w:r>
      <w:r>
        <w:rPr>
          <w:spacing w:val="-9"/>
          <w:w w:val="105"/>
          <w:sz w:val="21"/>
        </w:rPr>
        <w:t>17 </w:t>
      </w:r>
      <w:r>
        <w:rPr>
          <w:spacing w:val="-2"/>
          <w:w w:val="105"/>
          <w:sz w:val="21"/>
        </w:rPr>
        <w:t>August </w:t>
      </w:r>
      <w:r>
        <w:rPr>
          <w:spacing w:val="-5"/>
          <w:w w:val="105"/>
          <w:sz w:val="21"/>
        </w:rPr>
        <w:t>2018) </w:t>
      </w:r>
      <w:r>
        <w:rPr>
          <w:w w:val="105"/>
          <w:sz w:val="21"/>
        </w:rPr>
        <w:t>&lt;https://</w:t>
      </w:r>
      <w:hyperlink r:id="rId466">
        <w:r>
          <w:rPr>
            <w:w w:val="105"/>
            <w:sz w:val="21"/>
          </w:rPr>
          <w:t>www.environment.nsw.gov.</w:t>
        </w:r>
      </w:hyperlink>
      <w:r>
        <w:rPr>
          <w:w w:val="105"/>
          <w:sz w:val="21"/>
        </w:rPr>
        <w:t> au/vegetation/nvact.htm&gt;</w:t>
      </w:r>
    </w:p>
    <w:p>
      <w:pPr>
        <w:pStyle w:val="ListParagraph"/>
        <w:numPr>
          <w:ilvl w:val="0"/>
          <w:numId w:val="223"/>
        </w:numPr>
        <w:tabs>
          <w:tab w:pos="1927" w:val="left" w:leader="none"/>
          <w:tab w:pos="1928" w:val="left" w:leader="none"/>
        </w:tabs>
        <w:spacing w:line="240" w:lineRule="auto" w:before="105" w:after="0"/>
        <w:ind w:left="1927" w:right="0" w:hanging="340"/>
        <w:jc w:val="left"/>
        <w:rPr>
          <w:sz w:val="21"/>
        </w:rPr>
      </w:pPr>
      <w:r>
        <w:rPr>
          <w:i/>
          <w:w w:val="105"/>
          <w:sz w:val="21"/>
        </w:rPr>
        <w:t>Local </w:t>
      </w:r>
      <w:r>
        <w:rPr>
          <w:i/>
          <w:spacing w:val="-3"/>
          <w:w w:val="105"/>
          <w:sz w:val="21"/>
        </w:rPr>
        <w:t>Government Information </w:t>
      </w:r>
      <w:r>
        <w:rPr>
          <w:i/>
          <w:w w:val="105"/>
          <w:sz w:val="21"/>
        </w:rPr>
        <w:t>and </w:t>
      </w:r>
      <w:r>
        <w:rPr>
          <w:i/>
          <w:spacing w:val="-3"/>
          <w:w w:val="105"/>
          <w:sz w:val="21"/>
        </w:rPr>
        <w:t>Resources </w:t>
      </w:r>
      <w:r>
        <w:rPr>
          <w:w w:val="105"/>
          <w:sz w:val="21"/>
        </w:rPr>
        <w:t>(Web </w:t>
      </w:r>
      <w:r>
        <w:rPr>
          <w:spacing w:val="-3"/>
          <w:w w:val="105"/>
          <w:sz w:val="21"/>
        </w:rPr>
        <w:t>Page, </w:t>
      </w:r>
      <w:r>
        <w:rPr>
          <w:w w:val="105"/>
          <w:sz w:val="21"/>
        </w:rPr>
        <w:t>23 November</w:t>
      </w:r>
      <w:r>
        <w:rPr>
          <w:spacing w:val="1"/>
          <w:w w:val="105"/>
          <w:sz w:val="21"/>
        </w:rPr>
        <w:t> </w:t>
      </w:r>
      <w:r>
        <w:rPr>
          <w:spacing w:val="-5"/>
          <w:w w:val="105"/>
          <w:sz w:val="21"/>
        </w:rPr>
        <w:t>2018)</w:t>
      </w:r>
    </w:p>
    <w:p>
      <w:pPr>
        <w:pStyle w:val="BodyText"/>
        <w:spacing w:line="338" w:lineRule="auto" w:before="3"/>
        <w:ind w:left="1587" w:right="1316" w:firstLine="340"/>
      </w:pPr>
      <w:r>
        <w:rPr/>
        <w:t>&lt;https://</w:t>
      </w:r>
      <w:hyperlink r:id="rId130">
        <w:r>
          <w:rPr/>
          <w:t>www.environment.nsw.gov.au/biodiversity/localgovernment.htm</w:t>
        </w:r>
      </w:hyperlink>
      <w:r>
        <w:rPr/>
        <w:t>&gt; </w:t>
      </w:r>
      <w:r>
        <w:rPr>
          <w:w w:val="105"/>
        </w:rPr>
        <w:t>Otway Agroforestry Network,</w:t>
      </w:r>
    </w:p>
    <w:p>
      <w:pPr>
        <w:pStyle w:val="ListParagraph"/>
        <w:numPr>
          <w:ilvl w:val="0"/>
          <w:numId w:val="223"/>
        </w:numPr>
        <w:tabs>
          <w:tab w:pos="1927" w:val="left" w:leader="none"/>
          <w:tab w:pos="1928" w:val="left" w:leader="none"/>
        </w:tabs>
        <w:spacing w:line="240" w:lineRule="auto" w:before="1" w:after="0"/>
        <w:ind w:left="1927" w:right="0" w:hanging="340"/>
        <w:jc w:val="left"/>
        <w:rPr>
          <w:sz w:val="21"/>
        </w:rPr>
      </w:pPr>
      <w:r>
        <w:rPr>
          <w:i/>
          <w:w w:val="105"/>
          <w:sz w:val="21"/>
        </w:rPr>
        <w:t>Agroforestry: Multi-Purpose </w:t>
      </w:r>
      <w:r>
        <w:rPr>
          <w:i/>
          <w:spacing w:val="-4"/>
          <w:w w:val="105"/>
          <w:sz w:val="21"/>
        </w:rPr>
        <w:t>Tree </w:t>
      </w:r>
      <w:r>
        <w:rPr>
          <w:i/>
          <w:spacing w:val="-3"/>
          <w:w w:val="105"/>
          <w:sz w:val="21"/>
        </w:rPr>
        <w:t>Growing </w:t>
      </w:r>
      <w:r>
        <w:rPr>
          <w:w w:val="105"/>
          <w:sz w:val="21"/>
        </w:rPr>
        <w:t>(Web Page)</w:t>
      </w:r>
      <w:r>
        <w:rPr>
          <w:spacing w:val="18"/>
          <w:w w:val="105"/>
          <w:sz w:val="21"/>
        </w:rPr>
        <w:t> </w:t>
      </w:r>
      <w:r>
        <w:rPr>
          <w:w w:val="105"/>
          <w:sz w:val="21"/>
        </w:rPr>
        <w:t>&lt;</w:t>
      </w:r>
      <w:hyperlink r:id="rId100">
        <w:r>
          <w:rPr>
            <w:w w:val="105"/>
            <w:sz w:val="21"/>
          </w:rPr>
          <w:t>http://www.oan.org.au/</w:t>
        </w:r>
      </w:hyperlink>
      <w:r>
        <w:rPr>
          <w:w w:val="105"/>
          <w:sz w:val="21"/>
        </w:rPr>
        <w:t>&gt;</w:t>
      </w:r>
    </w:p>
    <w:p>
      <w:pPr>
        <w:pStyle w:val="ListParagraph"/>
        <w:numPr>
          <w:ilvl w:val="0"/>
          <w:numId w:val="223"/>
        </w:numPr>
        <w:tabs>
          <w:tab w:pos="1927" w:val="left" w:leader="none"/>
          <w:tab w:pos="1928" w:val="left" w:leader="none"/>
        </w:tabs>
        <w:spacing w:line="240" w:lineRule="auto" w:before="106" w:after="0"/>
        <w:ind w:left="1927" w:right="0" w:hanging="340"/>
        <w:jc w:val="left"/>
        <w:rPr>
          <w:sz w:val="21"/>
        </w:rPr>
      </w:pPr>
      <w:r>
        <w:rPr>
          <w:i/>
          <w:w w:val="105"/>
          <w:sz w:val="21"/>
        </w:rPr>
        <w:t>Who are OAN? </w:t>
      </w:r>
      <w:r>
        <w:rPr>
          <w:w w:val="105"/>
          <w:sz w:val="21"/>
        </w:rPr>
        <w:t>(Web Page)</w:t>
      </w:r>
      <w:r>
        <w:rPr>
          <w:spacing w:val="28"/>
          <w:w w:val="105"/>
          <w:sz w:val="21"/>
        </w:rPr>
        <w:t> </w:t>
      </w:r>
      <w:r>
        <w:rPr>
          <w:w w:val="105"/>
          <w:sz w:val="21"/>
        </w:rPr>
        <w:t>&lt;</w:t>
      </w:r>
      <w:hyperlink r:id="rId101">
        <w:r>
          <w:rPr>
            <w:w w:val="105"/>
            <w:sz w:val="21"/>
          </w:rPr>
          <w:t>http://www.oan.org.au/Main.asp?_=About%20Us</w:t>
        </w:r>
      </w:hyperlink>
      <w:r>
        <w:rPr>
          <w:w w:val="105"/>
          <w:sz w:val="21"/>
        </w:rPr>
        <w:t>&gt;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179"/>
        <w:ind w:left="550" w:right="573" w:firstLine="0"/>
        <w:jc w:val="center"/>
        <w:rPr>
          <w:b/>
          <w:sz w:val="24"/>
        </w:rPr>
      </w:pPr>
      <w:r>
        <w:rPr>
          <w:b/>
          <w:color w:val="658464"/>
          <w:w w:val="110"/>
          <w:sz w:val="24"/>
        </w:rPr>
        <w:t>323</w:t>
      </w:r>
    </w:p>
    <w:p>
      <w:pPr>
        <w:spacing w:after="0"/>
        <w:jc w:val="center"/>
        <w:rPr>
          <w:sz w:val="24"/>
        </w:rPr>
        <w:sectPr>
          <w:type w:val="continuous"/>
          <w:pgSz w:w="11910" w:h="16840"/>
          <w:pgMar w:top="300" w:bottom="280" w:left="0" w:right="0"/>
          <w:cols w:num="2" w:equalWidth="0">
            <w:col w:w="10304" w:space="40"/>
            <w:col w:w="1566"/>
          </w:cols>
        </w:sectPr>
      </w:pPr>
    </w:p>
    <w:p>
      <w:pPr>
        <w:pStyle w:val="BodyText"/>
        <w:spacing w:before="8"/>
        <w:rPr>
          <w:b/>
          <w:sz w:val="22"/>
        </w:rPr>
      </w:pPr>
    </w:p>
    <w:p>
      <w:pPr>
        <w:spacing w:after="0"/>
        <w:rPr>
          <w:sz w:val="22"/>
        </w:rPr>
        <w:sectPr>
          <w:pgSz w:w="11910" w:h="16840"/>
          <w:pgMar w:header="546" w:footer="0" w:top="1560" w:bottom="280" w:left="0" w:right="0"/>
        </w:sect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spacing w:before="180"/>
        <w:ind w:left="720" w:right="0" w:firstLine="0"/>
        <w:jc w:val="left"/>
        <w:rPr>
          <w:b/>
          <w:sz w:val="24"/>
        </w:rPr>
      </w:pPr>
      <w:r>
        <w:rPr>
          <w:b/>
          <w:color w:val="658464"/>
          <w:spacing w:val="-1"/>
          <w:w w:val="110"/>
          <w:sz w:val="24"/>
        </w:rPr>
        <w:t>324</w:t>
      </w:r>
    </w:p>
    <w:p>
      <w:pPr>
        <w:pStyle w:val="BodyText"/>
        <w:spacing w:line="242" w:lineRule="auto" w:before="93"/>
        <w:ind w:left="428" w:right="1738"/>
      </w:pPr>
      <w:r>
        <w:rPr/>
        <w:br w:type="column"/>
      </w:r>
      <w:r>
        <w:rPr>
          <w:spacing w:val="-3"/>
          <w:w w:val="105"/>
        </w:rPr>
        <w:t>Parliament</w:t>
      </w:r>
      <w:r>
        <w:rPr>
          <w:spacing w:val="-28"/>
          <w:w w:val="105"/>
        </w:rPr>
        <w:t> </w:t>
      </w:r>
      <w:r>
        <w:rPr>
          <w:w w:val="105"/>
        </w:rPr>
        <w:t>of</w:t>
      </w:r>
      <w:r>
        <w:rPr>
          <w:spacing w:val="-27"/>
          <w:w w:val="105"/>
        </w:rPr>
        <w:t> </w:t>
      </w:r>
      <w:r>
        <w:rPr>
          <w:w w:val="105"/>
        </w:rPr>
        <w:t>Victoria,</w:t>
      </w:r>
      <w:r>
        <w:rPr>
          <w:spacing w:val="-27"/>
          <w:w w:val="105"/>
        </w:rPr>
        <w:t> </w:t>
      </w:r>
      <w:r>
        <w:rPr>
          <w:i/>
          <w:w w:val="105"/>
        </w:rPr>
        <w:t>Committees</w:t>
      </w:r>
      <w:r>
        <w:rPr>
          <w:i/>
          <w:spacing w:val="-27"/>
          <w:w w:val="105"/>
        </w:rPr>
        <w:t> </w:t>
      </w:r>
      <w:r>
        <w:rPr>
          <w:w w:val="105"/>
        </w:rPr>
        <w:t>(Web</w:t>
      </w:r>
      <w:r>
        <w:rPr>
          <w:spacing w:val="-27"/>
          <w:w w:val="105"/>
        </w:rPr>
        <w:t> </w:t>
      </w:r>
      <w:r>
        <w:rPr>
          <w:w w:val="105"/>
        </w:rPr>
        <w:t>Page)</w:t>
      </w:r>
      <w:r>
        <w:rPr>
          <w:spacing w:val="-27"/>
          <w:w w:val="105"/>
        </w:rPr>
        <w:t> </w:t>
      </w:r>
      <w:r>
        <w:rPr>
          <w:w w:val="105"/>
        </w:rPr>
        <w:t>&lt;https://</w:t>
      </w:r>
      <w:hyperlink r:id="rId467">
        <w:r>
          <w:rPr>
            <w:w w:val="105"/>
          </w:rPr>
          <w:t>www.parliament.vic.gov.au/57th-</w:t>
        </w:r>
      </w:hyperlink>
      <w:r>
        <w:rPr>
          <w:w w:val="105"/>
        </w:rPr>
        <w:t> parliament/lawreform&gt;</w:t>
      </w:r>
    </w:p>
    <w:p>
      <w:pPr>
        <w:spacing w:line="242" w:lineRule="auto" w:before="104"/>
        <w:ind w:left="428" w:right="1738" w:firstLine="0"/>
        <w:jc w:val="left"/>
        <w:rPr>
          <w:sz w:val="21"/>
        </w:rPr>
      </w:pPr>
      <w:r>
        <w:rPr>
          <w:spacing w:val="-3"/>
          <w:w w:val="105"/>
          <w:sz w:val="21"/>
        </w:rPr>
        <w:t>Pandit, </w:t>
      </w:r>
      <w:r>
        <w:rPr>
          <w:w w:val="105"/>
          <w:sz w:val="21"/>
        </w:rPr>
        <w:t>Ram et al ‘The Effect of </w:t>
      </w:r>
      <w:r>
        <w:rPr>
          <w:spacing w:val="-3"/>
          <w:w w:val="105"/>
          <w:sz w:val="21"/>
        </w:rPr>
        <w:t>Street </w:t>
      </w:r>
      <w:r>
        <w:rPr>
          <w:spacing w:val="-4"/>
          <w:w w:val="105"/>
          <w:sz w:val="21"/>
        </w:rPr>
        <w:t>Trees </w:t>
      </w:r>
      <w:r>
        <w:rPr>
          <w:w w:val="105"/>
          <w:sz w:val="21"/>
        </w:rPr>
        <w:t>on Property </w:t>
      </w:r>
      <w:r>
        <w:rPr>
          <w:spacing w:val="-4"/>
          <w:w w:val="105"/>
          <w:sz w:val="21"/>
        </w:rPr>
        <w:t>Value </w:t>
      </w:r>
      <w:r>
        <w:rPr>
          <w:w w:val="105"/>
          <w:sz w:val="21"/>
        </w:rPr>
        <w:t>in Perth, Western </w:t>
      </w:r>
      <w:r>
        <w:rPr>
          <w:spacing w:val="-3"/>
          <w:w w:val="105"/>
          <w:sz w:val="21"/>
        </w:rPr>
        <w:t>Australia’ </w:t>
      </w:r>
      <w:r>
        <w:rPr>
          <w:spacing w:val="-6"/>
          <w:w w:val="105"/>
          <w:sz w:val="21"/>
        </w:rPr>
        <w:t>(2013) </w:t>
      </w:r>
      <w:r>
        <w:rPr>
          <w:spacing w:val="-12"/>
          <w:w w:val="105"/>
          <w:sz w:val="21"/>
        </w:rPr>
        <w:t>110 </w:t>
      </w:r>
      <w:r>
        <w:rPr>
          <w:i/>
          <w:w w:val="105"/>
          <w:sz w:val="21"/>
        </w:rPr>
        <w:t>Landscape and Urban </w:t>
      </w:r>
      <w:r>
        <w:rPr>
          <w:i/>
          <w:spacing w:val="-3"/>
          <w:w w:val="105"/>
          <w:sz w:val="21"/>
        </w:rPr>
        <w:t>Planning </w:t>
      </w:r>
      <w:r>
        <w:rPr>
          <w:spacing w:val="-6"/>
          <w:w w:val="105"/>
          <w:sz w:val="21"/>
        </w:rPr>
        <w:t>134</w:t>
      </w:r>
    </w:p>
    <w:p>
      <w:pPr>
        <w:pStyle w:val="BodyText"/>
        <w:spacing w:line="242" w:lineRule="auto" w:before="104"/>
        <w:ind w:left="428" w:right="1738"/>
      </w:pPr>
      <w:r>
        <w:rPr>
          <w:spacing w:val="-4"/>
          <w:w w:val="105"/>
        </w:rPr>
        <w:t>Pepper, </w:t>
      </w:r>
      <w:r>
        <w:rPr>
          <w:w w:val="105"/>
        </w:rPr>
        <w:t>Justice </w:t>
      </w:r>
      <w:r>
        <w:rPr>
          <w:spacing w:val="-3"/>
          <w:w w:val="105"/>
        </w:rPr>
        <w:t>Rachel, </w:t>
      </w:r>
      <w:r>
        <w:rPr>
          <w:w w:val="105"/>
        </w:rPr>
        <w:t>‘Expert Evidence in the Land and </w:t>
      </w:r>
      <w:r>
        <w:rPr>
          <w:spacing w:val="-3"/>
          <w:w w:val="105"/>
        </w:rPr>
        <w:t>Environment </w:t>
      </w:r>
      <w:r>
        <w:rPr>
          <w:w w:val="105"/>
        </w:rPr>
        <w:t>Court’ (Speech, </w:t>
      </w:r>
      <w:r>
        <w:rPr>
          <w:spacing w:val="-3"/>
          <w:w w:val="105"/>
        </w:rPr>
        <w:t>Australian </w:t>
      </w:r>
      <w:r>
        <w:rPr>
          <w:w w:val="105"/>
        </w:rPr>
        <w:t>Property </w:t>
      </w:r>
      <w:r>
        <w:rPr>
          <w:spacing w:val="-3"/>
          <w:w w:val="105"/>
        </w:rPr>
        <w:t>Institute, </w:t>
      </w:r>
      <w:r>
        <w:rPr>
          <w:spacing w:val="-7"/>
          <w:w w:val="105"/>
        </w:rPr>
        <w:t>21 </w:t>
      </w:r>
      <w:r>
        <w:rPr>
          <w:w w:val="105"/>
        </w:rPr>
        <w:t>January </w:t>
      </w:r>
      <w:r>
        <w:rPr>
          <w:spacing w:val="-6"/>
          <w:w w:val="105"/>
        </w:rPr>
        <w:t>2013)</w:t>
      </w:r>
    </w:p>
    <w:p>
      <w:pPr>
        <w:pStyle w:val="BodyText"/>
        <w:spacing w:line="242" w:lineRule="auto" w:before="104"/>
        <w:ind w:left="428" w:right="1838"/>
      </w:pPr>
      <w:r>
        <w:rPr>
          <w:spacing w:val="-3"/>
          <w:w w:val="105"/>
        </w:rPr>
        <w:t>Preston, </w:t>
      </w:r>
      <w:r>
        <w:rPr>
          <w:w w:val="105"/>
        </w:rPr>
        <w:t>Justice </w:t>
      </w:r>
      <w:r>
        <w:rPr>
          <w:spacing w:val="-3"/>
          <w:w w:val="105"/>
        </w:rPr>
        <w:t>Brian </w:t>
      </w:r>
      <w:r>
        <w:rPr>
          <w:w w:val="105"/>
        </w:rPr>
        <w:t>and </w:t>
      </w:r>
      <w:r>
        <w:rPr>
          <w:spacing w:val="-3"/>
          <w:w w:val="105"/>
        </w:rPr>
        <w:t>Commissioner </w:t>
      </w:r>
      <w:r>
        <w:rPr>
          <w:w w:val="105"/>
        </w:rPr>
        <w:t>Tim </w:t>
      </w:r>
      <w:r>
        <w:rPr>
          <w:spacing w:val="-3"/>
          <w:w w:val="105"/>
        </w:rPr>
        <w:t>Moore, </w:t>
      </w:r>
      <w:r>
        <w:rPr>
          <w:w w:val="105"/>
        </w:rPr>
        <w:t>‘The </w:t>
      </w:r>
      <w:r>
        <w:rPr>
          <w:spacing w:val="-4"/>
          <w:w w:val="105"/>
        </w:rPr>
        <w:t>Trees </w:t>
      </w:r>
      <w:r>
        <w:rPr>
          <w:w w:val="105"/>
        </w:rPr>
        <w:t>(Disputes Between Neighbours) Act 2006—Background and </w:t>
      </w:r>
      <w:r>
        <w:rPr>
          <w:spacing w:val="-3"/>
          <w:w w:val="105"/>
        </w:rPr>
        <w:t>Operation’ </w:t>
      </w:r>
      <w:r>
        <w:rPr>
          <w:w w:val="105"/>
        </w:rPr>
        <w:t>(2008) </w:t>
      </w:r>
      <w:r>
        <w:rPr>
          <w:spacing w:val="-7"/>
          <w:w w:val="105"/>
        </w:rPr>
        <w:t>14 </w:t>
      </w:r>
      <w:r>
        <w:rPr>
          <w:i/>
          <w:w w:val="105"/>
        </w:rPr>
        <w:t>Local </w:t>
      </w:r>
      <w:r>
        <w:rPr>
          <w:i/>
          <w:spacing w:val="-3"/>
          <w:w w:val="105"/>
        </w:rPr>
        <w:t>Government </w:t>
      </w:r>
      <w:r>
        <w:rPr>
          <w:i/>
          <w:w w:val="105"/>
        </w:rPr>
        <w:t>Law </w:t>
      </w:r>
      <w:r>
        <w:rPr>
          <w:i/>
          <w:spacing w:val="-3"/>
          <w:w w:val="105"/>
        </w:rPr>
        <w:t>Journal </w:t>
      </w:r>
      <w:r>
        <w:rPr>
          <w:spacing w:val="3"/>
          <w:w w:val="105"/>
        </w:rPr>
        <w:t>84</w:t>
      </w:r>
    </w:p>
    <w:p>
      <w:pPr>
        <w:spacing w:before="104"/>
        <w:ind w:left="428" w:right="0" w:firstLine="0"/>
        <w:jc w:val="left"/>
        <w:rPr>
          <w:sz w:val="21"/>
        </w:rPr>
      </w:pPr>
      <w:r>
        <w:rPr>
          <w:w w:val="105"/>
          <w:sz w:val="21"/>
        </w:rPr>
        <w:t>Quantified Tree Risk Assessment, </w:t>
      </w:r>
      <w:r>
        <w:rPr>
          <w:i/>
          <w:w w:val="105"/>
          <w:sz w:val="21"/>
        </w:rPr>
        <w:t>Training in Quantified Tree Risk Assessment </w:t>
      </w:r>
      <w:r>
        <w:rPr>
          <w:w w:val="105"/>
          <w:sz w:val="21"/>
        </w:rPr>
        <w:t>(Web Page, 2019)</w:t>
      </w:r>
    </w:p>
    <w:p>
      <w:pPr>
        <w:pStyle w:val="BodyText"/>
        <w:spacing w:before="4"/>
        <w:ind w:left="428"/>
      </w:pPr>
      <w:r>
        <w:rPr>
          <w:w w:val="105"/>
        </w:rPr>
        <w:t>&lt;https://</w:t>
      </w:r>
      <w:hyperlink r:id="rId468">
        <w:r>
          <w:rPr>
            <w:w w:val="105"/>
          </w:rPr>
          <w:t>www.qtra.co.uk/cms/index.php?section=124</w:t>
        </w:r>
      </w:hyperlink>
      <w:r>
        <w:rPr>
          <w:w w:val="105"/>
        </w:rPr>
        <w:t>&gt;</w:t>
      </w:r>
    </w:p>
    <w:p>
      <w:pPr>
        <w:spacing w:before="106"/>
        <w:ind w:left="428" w:right="0" w:firstLine="0"/>
        <w:jc w:val="left"/>
        <w:rPr>
          <w:sz w:val="21"/>
        </w:rPr>
      </w:pPr>
      <w:r>
        <w:rPr>
          <w:w w:val="105"/>
          <w:sz w:val="21"/>
        </w:rPr>
        <w:t>Queensland Arboricultural Association, </w:t>
      </w:r>
      <w:r>
        <w:rPr>
          <w:i/>
          <w:w w:val="105"/>
          <w:sz w:val="21"/>
        </w:rPr>
        <w:t>About Approved Arborists </w:t>
      </w:r>
      <w:r>
        <w:rPr>
          <w:w w:val="105"/>
          <w:sz w:val="21"/>
        </w:rPr>
        <w:t>(Web Page, 2018)</w:t>
      </w:r>
    </w:p>
    <w:p>
      <w:pPr>
        <w:pStyle w:val="BodyText"/>
        <w:spacing w:line="338" w:lineRule="auto" w:before="3"/>
        <w:ind w:left="428" w:right="5629"/>
      </w:pPr>
      <w:r>
        <w:rPr>
          <w:w w:val="105"/>
        </w:rPr>
        <w:t>&lt;https://qaa.net.au/approved-arborist/&gt; </w:t>
      </w:r>
      <w:r>
        <w:rPr>
          <w:spacing w:val="-3"/>
          <w:w w:val="105"/>
        </w:rPr>
        <w:t>Queensland Civil </w:t>
      </w:r>
      <w:r>
        <w:rPr>
          <w:w w:val="105"/>
        </w:rPr>
        <w:t>and </w:t>
      </w:r>
      <w:r>
        <w:rPr>
          <w:spacing w:val="-3"/>
          <w:w w:val="105"/>
        </w:rPr>
        <w:t>Administrative </w:t>
      </w:r>
      <w:r>
        <w:rPr>
          <w:spacing w:val="-5"/>
          <w:w w:val="105"/>
        </w:rPr>
        <w:t>Tribunal,</w:t>
      </w:r>
    </w:p>
    <w:p>
      <w:pPr>
        <w:pStyle w:val="ListParagraph"/>
        <w:numPr>
          <w:ilvl w:val="0"/>
          <w:numId w:val="224"/>
        </w:numPr>
        <w:tabs>
          <w:tab w:pos="768" w:val="left" w:leader="none"/>
          <w:tab w:pos="769" w:val="left" w:leader="none"/>
        </w:tabs>
        <w:spacing w:line="240" w:lineRule="auto" w:before="2" w:after="0"/>
        <w:ind w:left="768" w:right="0" w:hanging="340"/>
        <w:jc w:val="left"/>
        <w:rPr>
          <w:sz w:val="21"/>
        </w:rPr>
      </w:pPr>
      <w:r>
        <w:rPr>
          <w:i/>
          <w:spacing w:val="-3"/>
          <w:w w:val="105"/>
          <w:sz w:val="21"/>
        </w:rPr>
        <w:t>Application</w:t>
      </w:r>
      <w:r>
        <w:rPr>
          <w:i/>
          <w:spacing w:val="5"/>
          <w:w w:val="105"/>
          <w:sz w:val="21"/>
        </w:rPr>
        <w:t> </w:t>
      </w:r>
      <w:r>
        <w:rPr>
          <w:i/>
          <w:w w:val="105"/>
          <w:sz w:val="21"/>
        </w:rPr>
        <w:t>Checklist:</w:t>
      </w:r>
      <w:r>
        <w:rPr>
          <w:i/>
          <w:spacing w:val="5"/>
          <w:w w:val="105"/>
          <w:sz w:val="21"/>
        </w:rPr>
        <w:t> </w:t>
      </w:r>
      <w:r>
        <w:rPr>
          <w:i/>
          <w:spacing w:val="-4"/>
          <w:w w:val="105"/>
          <w:sz w:val="21"/>
        </w:rPr>
        <w:t>Tree</w:t>
      </w:r>
      <w:r>
        <w:rPr>
          <w:i/>
          <w:spacing w:val="5"/>
          <w:w w:val="105"/>
          <w:sz w:val="21"/>
        </w:rPr>
        <w:t> </w:t>
      </w:r>
      <w:r>
        <w:rPr>
          <w:i/>
          <w:spacing w:val="-3"/>
          <w:w w:val="105"/>
          <w:sz w:val="21"/>
        </w:rPr>
        <w:t>Dispute</w:t>
      </w:r>
      <w:r>
        <w:rPr>
          <w:i/>
          <w:spacing w:val="5"/>
          <w:w w:val="105"/>
          <w:sz w:val="21"/>
        </w:rPr>
        <w:t> </w:t>
      </w:r>
      <w:r>
        <w:rPr>
          <w:i/>
          <w:spacing w:val="-3"/>
          <w:w w:val="105"/>
          <w:sz w:val="21"/>
        </w:rPr>
        <w:t>Resolution</w:t>
      </w:r>
      <w:r>
        <w:rPr>
          <w:i/>
          <w:spacing w:val="5"/>
          <w:w w:val="105"/>
          <w:sz w:val="21"/>
        </w:rPr>
        <w:t> </w:t>
      </w:r>
      <w:r>
        <w:rPr>
          <w:w w:val="105"/>
          <w:sz w:val="21"/>
        </w:rPr>
        <w:t>(Form,</w:t>
      </w:r>
      <w:r>
        <w:rPr>
          <w:spacing w:val="5"/>
          <w:w w:val="105"/>
          <w:sz w:val="21"/>
        </w:rPr>
        <w:t> </w:t>
      </w:r>
      <w:r>
        <w:rPr>
          <w:w w:val="105"/>
          <w:sz w:val="21"/>
        </w:rPr>
        <w:t>version</w:t>
      </w:r>
      <w:r>
        <w:rPr>
          <w:spacing w:val="5"/>
          <w:w w:val="105"/>
          <w:sz w:val="21"/>
        </w:rPr>
        <w:t> </w:t>
      </w:r>
      <w:r>
        <w:rPr>
          <w:spacing w:val="-3"/>
          <w:w w:val="105"/>
          <w:sz w:val="21"/>
        </w:rPr>
        <w:t>3,</w:t>
      </w:r>
      <w:r>
        <w:rPr>
          <w:spacing w:val="5"/>
          <w:w w:val="105"/>
          <w:sz w:val="21"/>
        </w:rPr>
        <w:t> </w:t>
      </w:r>
      <w:r>
        <w:rPr>
          <w:w w:val="105"/>
          <w:sz w:val="21"/>
        </w:rPr>
        <w:t>3</w:t>
      </w:r>
      <w:r>
        <w:rPr>
          <w:spacing w:val="5"/>
          <w:w w:val="105"/>
          <w:sz w:val="21"/>
        </w:rPr>
        <w:t> </w:t>
      </w:r>
      <w:r>
        <w:rPr>
          <w:spacing w:val="-3"/>
          <w:w w:val="105"/>
          <w:sz w:val="21"/>
        </w:rPr>
        <w:t>March</w:t>
      </w:r>
      <w:r>
        <w:rPr>
          <w:spacing w:val="5"/>
          <w:w w:val="105"/>
          <w:sz w:val="21"/>
        </w:rPr>
        <w:t> </w:t>
      </w:r>
      <w:r>
        <w:rPr>
          <w:spacing w:val="-7"/>
          <w:w w:val="105"/>
          <w:sz w:val="21"/>
        </w:rPr>
        <w:t>2017)</w:t>
      </w:r>
    </w:p>
    <w:p>
      <w:pPr>
        <w:pStyle w:val="BodyText"/>
        <w:spacing w:before="3"/>
        <w:ind w:left="768"/>
      </w:pPr>
      <w:r>
        <w:rPr/>
        <w:t>&lt;https://</w:t>
      </w:r>
      <w:hyperlink r:id="rId118">
        <w:r>
          <w:rPr/>
          <w:t>www.qcat.qld.gov.au/matter-types/tree-disputes</w:t>
        </w:r>
      </w:hyperlink>
      <w:r>
        <w:rPr/>
        <w:t>&gt;</w:t>
      </w:r>
    </w:p>
    <w:p>
      <w:pPr>
        <w:pStyle w:val="ListParagraph"/>
        <w:numPr>
          <w:ilvl w:val="0"/>
          <w:numId w:val="224"/>
        </w:numPr>
        <w:tabs>
          <w:tab w:pos="768" w:val="left" w:leader="none"/>
          <w:tab w:pos="769" w:val="left" w:leader="none"/>
        </w:tabs>
        <w:spacing w:line="242" w:lineRule="auto" w:before="106" w:after="0"/>
        <w:ind w:left="768" w:right="1881" w:hanging="340"/>
        <w:jc w:val="left"/>
        <w:rPr>
          <w:sz w:val="21"/>
        </w:rPr>
      </w:pPr>
      <w:r>
        <w:rPr>
          <w:i/>
          <w:w w:val="105"/>
          <w:sz w:val="21"/>
        </w:rPr>
        <w:t>Decision About a Minor Civil </w:t>
      </w:r>
      <w:r>
        <w:rPr>
          <w:i/>
          <w:spacing w:val="-3"/>
          <w:w w:val="105"/>
          <w:sz w:val="21"/>
        </w:rPr>
        <w:t>Dispute </w:t>
      </w:r>
      <w:r>
        <w:rPr>
          <w:w w:val="105"/>
          <w:sz w:val="21"/>
        </w:rPr>
        <w:t>(Web </w:t>
      </w:r>
      <w:r>
        <w:rPr>
          <w:spacing w:val="-3"/>
          <w:w w:val="105"/>
          <w:sz w:val="21"/>
        </w:rPr>
        <w:t>Page, </w:t>
      </w:r>
      <w:r>
        <w:rPr>
          <w:spacing w:val="-8"/>
          <w:w w:val="105"/>
          <w:sz w:val="21"/>
        </w:rPr>
        <w:t>15 </w:t>
      </w:r>
      <w:r>
        <w:rPr>
          <w:w w:val="105"/>
          <w:sz w:val="21"/>
        </w:rPr>
        <w:t>February </w:t>
      </w:r>
      <w:r>
        <w:rPr>
          <w:spacing w:val="-5"/>
          <w:w w:val="105"/>
          <w:sz w:val="21"/>
        </w:rPr>
        <w:t>2019) </w:t>
      </w:r>
      <w:r>
        <w:rPr>
          <w:w w:val="105"/>
          <w:sz w:val="21"/>
        </w:rPr>
        <w:t>&lt;https://</w:t>
      </w:r>
      <w:hyperlink r:id="rId113">
        <w:r>
          <w:rPr>
            <w:w w:val="105"/>
            <w:sz w:val="21"/>
          </w:rPr>
          <w:t>www.qcat.qld.</w:t>
        </w:r>
      </w:hyperlink>
      <w:r>
        <w:rPr>
          <w:w w:val="105"/>
          <w:sz w:val="21"/>
        </w:rPr>
        <w:t> gov.au/qcat-decisions/appealing-a-qcat-decision/decision-about-a-minor-civil-dispute&gt;</w:t>
      </w:r>
    </w:p>
    <w:p>
      <w:pPr>
        <w:pStyle w:val="ListParagraph"/>
        <w:numPr>
          <w:ilvl w:val="0"/>
          <w:numId w:val="224"/>
        </w:numPr>
        <w:tabs>
          <w:tab w:pos="768" w:val="left" w:leader="none"/>
          <w:tab w:pos="769" w:val="left" w:leader="none"/>
        </w:tabs>
        <w:spacing w:line="240" w:lineRule="auto" w:before="104" w:after="0"/>
        <w:ind w:left="768" w:right="0" w:hanging="340"/>
        <w:jc w:val="left"/>
        <w:rPr>
          <w:sz w:val="21"/>
        </w:rPr>
      </w:pPr>
      <w:r>
        <w:rPr>
          <w:i/>
          <w:spacing w:val="-3"/>
          <w:w w:val="105"/>
          <w:sz w:val="21"/>
        </w:rPr>
        <w:t>Disputes </w:t>
      </w:r>
      <w:r>
        <w:rPr>
          <w:spacing w:val="-3"/>
          <w:w w:val="105"/>
          <w:sz w:val="21"/>
        </w:rPr>
        <w:t>(29 </w:t>
      </w:r>
      <w:r>
        <w:rPr>
          <w:w w:val="105"/>
          <w:sz w:val="21"/>
        </w:rPr>
        <w:t>February </w:t>
      </w:r>
      <w:r>
        <w:rPr>
          <w:spacing w:val="-5"/>
          <w:w w:val="105"/>
          <w:sz w:val="21"/>
        </w:rPr>
        <w:t>2019)</w:t>
      </w:r>
      <w:r>
        <w:rPr>
          <w:spacing w:val="11"/>
          <w:w w:val="105"/>
          <w:sz w:val="21"/>
        </w:rPr>
        <w:t> </w:t>
      </w:r>
      <w:r>
        <w:rPr>
          <w:w w:val="105"/>
          <w:sz w:val="21"/>
        </w:rPr>
        <w:t>&lt;</w:t>
      </w:r>
      <w:hyperlink r:id="rId118">
        <w:r>
          <w:rPr>
            <w:w w:val="105"/>
            <w:sz w:val="21"/>
          </w:rPr>
          <w:t>http://www.qcat.qld.gov.au/matter-types/tree-disputes</w:t>
        </w:r>
      </w:hyperlink>
      <w:r>
        <w:rPr>
          <w:w w:val="105"/>
          <w:sz w:val="21"/>
        </w:rPr>
        <w:t>&gt;</w:t>
      </w:r>
    </w:p>
    <w:p>
      <w:pPr>
        <w:pStyle w:val="ListParagraph"/>
        <w:numPr>
          <w:ilvl w:val="0"/>
          <w:numId w:val="224"/>
        </w:numPr>
        <w:tabs>
          <w:tab w:pos="768" w:val="left" w:leader="none"/>
          <w:tab w:pos="769" w:val="left" w:leader="none"/>
        </w:tabs>
        <w:spacing w:line="242" w:lineRule="auto" w:before="106" w:after="0"/>
        <w:ind w:left="768" w:right="1955" w:hanging="340"/>
        <w:jc w:val="left"/>
        <w:rPr>
          <w:sz w:val="21"/>
        </w:rPr>
      </w:pPr>
      <w:r>
        <w:rPr>
          <w:i/>
          <w:spacing w:val="-3"/>
          <w:w w:val="105"/>
          <w:sz w:val="21"/>
        </w:rPr>
        <w:t>Enforcing </w:t>
      </w:r>
      <w:r>
        <w:rPr>
          <w:i/>
          <w:w w:val="105"/>
          <w:sz w:val="21"/>
        </w:rPr>
        <w:t>a </w:t>
      </w:r>
      <w:r>
        <w:rPr>
          <w:i/>
          <w:spacing w:val="-3"/>
          <w:w w:val="105"/>
          <w:sz w:val="21"/>
        </w:rPr>
        <w:t>QCAT </w:t>
      </w:r>
      <w:r>
        <w:rPr>
          <w:i/>
          <w:w w:val="105"/>
          <w:sz w:val="21"/>
        </w:rPr>
        <w:t>Decision </w:t>
      </w:r>
      <w:r>
        <w:rPr>
          <w:w w:val="105"/>
          <w:sz w:val="21"/>
        </w:rPr>
        <w:t>(Web </w:t>
      </w:r>
      <w:r>
        <w:rPr>
          <w:spacing w:val="-3"/>
          <w:w w:val="105"/>
          <w:sz w:val="21"/>
        </w:rPr>
        <w:t>Page, </w:t>
      </w:r>
      <w:r>
        <w:rPr>
          <w:spacing w:val="-9"/>
          <w:w w:val="105"/>
          <w:sz w:val="21"/>
        </w:rPr>
        <w:t>13 </w:t>
      </w:r>
      <w:r>
        <w:rPr>
          <w:w w:val="105"/>
          <w:sz w:val="21"/>
        </w:rPr>
        <w:t>November </w:t>
      </w:r>
      <w:r>
        <w:rPr>
          <w:spacing w:val="-5"/>
          <w:w w:val="105"/>
          <w:sz w:val="21"/>
        </w:rPr>
        <w:t>2018) </w:t>
      </w:r>
      <w:r>
        <w:rPr>
          <w:w w:val="105"/>
          <w:sz w:val="21"/>
        </w:rPr>
        <w:t>&lt;https://</w:t>
      </w:r>
      <w:hyperlink r:id="rId186">
        <w:r>
          <w:rPr>
            <w:w w:val="105"/>
            <w:sz w:val="21"/>
          </w:rPr>
          <w:t>www.qcat.qld.gov.au/</w:t>
        </w:r>
      </w:hyperlink>
      <w:r>
        <w:rPr>
          <w:w w:val="105"/>
          <w:sz w:val="21"/>
        </w:rPr>
        <w:t> qcat-decisions/enforcing-a-qcat-decision#Non-monetary%20decisions&gt;.</w:t>
      </w:r>
    </w:p>
    <w:p>
      <w:pPr>
        <w:pStyle w:val="ListParagraph"/>
        <w:numPr>
          <w:ilvl w:val="0"/>
          <w:numId w:val="224"/>
        </w:numPr>
        <w:tabs>
          <w:tab w:pos="768" w:val="left" w:leader="none"/>
          <w:tab w:pos="769" w:val="left" w:leader="none"/>
        </w:tabs>
        <w:spacing w:line="242" w:lineRule="auto" w:before="104" w:after="0"/>
        <w:ind w:left="768" w:right="1765" w:hanging="340"/>
        <w:jc w:val="left"/>
        <w:rPr>
          <w:sz w:val="21"/>
        </w:rPr>
      </w:pPr>
      <w:r>
        <w:rPr>
          <w:i/>
          <w:w w:val="105"/>
          <w:sz w:val="21"/>
        </w:rPr>
        <w:t>Form </w:t>
      </w:r>
      <w:r>
        <w:rPr>
          <w:i/>
          <w:spacing w:val="-10"/>
          <w:w w:val="105"/>
          <w:sz w:val="21"/>
        </w:rPr>
        <w:t>51: </w:t>
      </w:r>
      <w:r>
        <w:rPr>
          <w:i/>
          <w:spacing w:val="-3"/>
          <w:w w:val="105"/>
          <w:sz w:val="21"/>
        </w:rPr>
        <w:t>Application </w:t>
      </w:r>
      <w:r>
        <w:rPr>
          <w:i/>
          <w:w w:val="105"/>
          <w:sz w:val="21"/>
        </w:rPr>
        <w:t>for </w:t>
      </w:r>
      <w:r>
        <w:rPr>
          <w:i/>
          <w:spacing w:val="-4"/>
          <w:w w:val="105"/>
          <w:sz w:val="21"/>
        </w:rPr>
        <w:t>Tree </w:t>
      </w:r>
      <w:r>
        <w:rPr>
          <w:i/>
          <w:w w:val="105"/>
          <w:sz w:val="21"/>
        </w:rPr>
        <w:t>Dispute—Neighbourhood </w:t>
      </w:r>
      <w:r>
        <w:rPr>
          <w:i/>
          <w:spacing w:val="-3"/>
          <w:w w:val="105"/>
          <w:sz w:val="21"/>
        </w:rPr>
        <w:t>Disputes </w:t>
      </w:r>
      <w:r>
        <w:rPr>
          <w:i/>
          <w:w w:val="105"/>
          <w:sz w:val="21"/>
        </w:rPr>
        <w:t>(Dividing Fences and </w:t>
      </w:r>
      <w:r>
        <w:rPr>
          <w:i/>
          <w:spacing w:val="-3"/>
          <w:w w:val="105"/>
          <w:sz w:val="21"/>
        </w:rPr>
        <w:t>Trees) </w:t>
      </w:r>
      <w:r>
        <w:rPr>
          <w:i/>
          <w:sz w:val="21"/>
        </w:rPr>
        <w:t>Act </w:t>
      </w:r>
      <w:r>
        <w:rPr>
          <w:i/>
          <w:spacing w:val="-11"/>
          <w:sz w:val="21"/>
        </w:rPr>
        <w:t>2011</w:t>
      </w:r>
      <w:r>
        <w:rPr>
          <w:i/>
          <w:sz w:val="21"/>
        </w:rPr>
        <w:t> </w:t>
      </w:r>
      <w:r>
        <w:rPr>
          <w:sz w:val="21"/>
        </w:rPr>
        <w:t>&lt;https://</w:t>
      </w:r>
      <w:hyperlink r:id="rId119">
        <w:r>
          <w:rPr>
            <w:sz w:val="21"/>
          </w:rPr>
          <w:t>www.qcat.qld.gov.au/matter-types/tree-disputes/tree-dispute-application</w:t>
        </w:r>
      </w:hyperlink>
      <w:r>
        <w:rPr>
          <w:sz w:val="21"/>
        </w:rPr>
        <w:t>&gt;</w:t>
      </w:r>
    </w:p>
    <w:p>
      <w:pPr>
        <w:pStyle w:val="ListParagraph"/>
        <w:numPr>
          <w:ilvl w:val="0"/>
          <w:numId w:val="224"/>
        </w:numPr>
        <w:tabs>
          <w:tab w:pos="768" w:val="left" w:leader="none"/>
          <w:tab w:pos="769" w:val="left" w:leader="none"/>
        </w:tabs>
        <w:spacing w:line="240" w:lineRule="auto" w:before="104" w:after="0"/>
        <w:ind w:left="768" w:right="0" w:hanging="340"/>
        <w:jc w:val="left"/>
        <w:rPr>
          <w:sz w:val="21"/>
        </w:rPr>
      </w:pPr>
      <w:r>
        <w:rPr>
          <w:i/>
          <w:spacing w:val="-3"/>
          <w:w w:val="105"/>
          <w:sz w:val="21"/>
        </w:rPr>
        <w:t>Frequently </w:t>
      </w:r>
      <w:r>
        <w:rPr>
          <w:i/>
          <w:w w:val="105"/>
          <w:sz w:val="21"/>
        </w:rPr>
        <w:t>Asked </w:t>
      </w:r>
      <w:r>
        <w:rPr>
          <w:i/>
          <w:spacing w:val="-3"/>
          <w:w w:val="105"/>
          <w:sz w:val="21"/>
        </w:rPr>
        <w:t>Questions–Tree Disputes </w:t>
      </w:r>
      <w:r>
        <w:rPr>
          <w:w w:val="105"/>
          <w:sz w:val="21"/>
        </w:rPr>
        <w:t>(Web </w:t>
      </w:r>
      <w:r>
        <w:rPr>
          <w:spacing w:val="-3"/>
          <w:w w:val="105"/>
          <w:sz w:val="21"/>
        </w:rPr>
        <w:t>Page, </w:t>
      </w:r>
      <w:r>
        <w:rPr>
          <w:spacing w:val="-7"/>
          <w:w w:val="105"/>
          <w:sz w:val="21"/>
        </w:rPr>
        <w:t>21 </w:t>
      </w:r>
      <w:r>
        <w:rPr>
          <w:w w:val="105"/>
          <w:sz w:val="21"/>
        </w:rPr>
        <w:t>February</w:t>
      </w:r>
      <w:r>
        <w:rPr>
          <w:spacing w:val="10"/>
          <w:w w:val="105"/>
          <w:sz w:val="21"/>
        </w:rPr>
        <w:t> </w:t>
      </w:r>
      <w:r>
        <w:rPr>
          <w:spacing w:val="-5"/>
          <w:w w:val="105"/>
          <w:sz w:val="21"/>
        </w:rPr>
        <w:t>2019)</w:t>
      </w:r>
    </w:p>
    <w:p>
      <w:pPr>
        <w:pStyle w:val="BodyText"/>
        <w:spacing w:before="4"/>
        <w:ind w:left="768"/>
      </w:pPr>
      <w:r>
        <w:rPr/>
        <w:t>&lt;https://</w:t>
      </w:r>
      <w:hyperlink r:id="rId231">
        <w:r>
          <w:rPr/>
          <w:t>www.qcat.qld.gov.au/matter-types/tree-disputes/faq-tree-disputes</w:t>
        </w:r>
      </w:hyperlink>
      <w:r>
        <w:rPr/>
        <w:t>&gt;</w:t>
      </w:r>
    </w:p>
    <w:p>
      <w:pPr>
        <w:pStyle w:val="ListParagraph"/>
        <w:numPr>
          <w:ilvl w:val="0"/>
          <w:numId w:val="224"/>
        </w:numPr>
        <w:tabs>
          <w:tab w:pos="768" w:val="left" w:leader="none"/>
          <w:tab w:pos="769" w:val="left" w:leader="none"/>
        </w:tabs>
        <w:spacing w:line="240" w:lineRule="auto" w:before="106" w:after="0"/>
        <w:ind w:left="768" w:right="0" w:hanging="340"/>
        <w:jc w:val="left"/>
        <w:rPr>
          <w:sz w:val="21"/>
        </w:rPr>
      </w:pPr>
      <w:r>
        <w:rPr>
          <w:i/>
          <w:spacing w:val="-3"/>
          <w:w w:val="105"/>
          <w:sz w:val="21"/>
        </w:rPr>
        <w:t>Information </w:t>
      </w:r>
      <w:r>
        <w:rPr>
          <w:i/>
          <w:w w:val="105"/>
          <w:sz w:val="21"/>
        </w:rPr>
        <w:t>Kit: </w:t>
      </w:r>
      <w:r>
        <w:rPr>
          <w:i/>
          <w:spacing w:val="-4"/>
          <w:w w:val="105"/>
          <w:sz w:val="21"/>
        </w:rPr>
        <w:t>Tree </w:t>
      </w:r>
      <w:r>
        <w:rPr>
          <w:i/>
          <w:w w:val="105"/>
          <w:sz w:val="21"/>
        </w:rPr>
        <w:t>Assessors Expression </w:t>
      </w:r>
      <w:r>
        <w:rPr>
          <w:i/>
          <w:spacing w:val="-3"/>
          <w:w w:val="105"/>
          <w:sz w:val="21"/>
        </w:rPr>
        <w:t>of </w:t>
      </w:r>
      <w:r>
        <w:rPr>
          <w:i/>
          <w:w w:val="105"/>
          <w:sz w:val="21"/>
        </w:rPr>
        <w:t>Interest (EOI)</w:t>
      </w:r>
      <w:r>
        <w:rPr>
          <w:i/>
          <w:spacing w:val="45"/>
          <w:w w:val="105"/>
          <w:sz w:val="21"/>
        </w:rPr>
        <w:t> </w:t>
      </w:r>
      <w:r>
        <w:rPr>
          <w:spacing w:val="-6"/>
          <w:w w:val="105"/>
          <w:sz w:val="21"/>
        </w:rPr>
        <w:t>(2013)</w:t>
      </w:r>
    </w:p>
    <w:p>
      <w:pPr>
        <w:pStyle w:val="ListParagraph"/>
        <w:numPr>
          <w:ilvl w:val="0"/>
          <w:numId w:val="224"/>
        </w:numPr>
        <w:tabs>
          <w:tab w:pos="768" w:val="left" w:leader="none"/>
          <w:tab w:pos="769" w:val="left" w:leader="none"/>
        </w:tabs>
        <w:spacing w:line="240" w:lineRule="auto" w:before="105" w:after="0"/>
        <w:ind w:left="768" w:right="0" w:hanging="340"/>
        <w:jc w:val="left"/>
        <w:rPr>
          <w:sz w:val="21"/>
        </w:rPr>
      </w:pPr>
      <w:r>
        <w:rPr>
          <w:i/>
          <w:w w:val="105"/>
          <w:sz w:val="21"/>
        </w:rPr>
        <w:t>Matter </w:t>
      </w:r>
      <w:r>
        <w:rPr>
          <w:i/>
          <w:spacing w:val="-4"/>
          <w:w w:val="105"/>
          <w:sz w:val="21"/>
        </w:rPr>
        <w:t>Types </w:t>
      </w:r>
      <w:r>
        <w:rPr>
          <w:w w:val="105"/>
          <w:sz w:val="21"/>
        </w:rPr>
        <w:t>(Web </w:t>
      </w:r>
      <w:r>
        <w:rPr>
          <w:spacing w:val="-3"/>
          <w:w w:val="105"/>
          <w:sz w:val="21"/>
        </w:rPr>
        <w:t>Page, 29 </w:t>
      </w:r>
      <w:r>
        <w:rPr>
          <w:w w:val="105"/>
          <w:sz w:val="21"/>
        </w:rPr>
        <w:t>November </w:t>
      </w:r>
      <w:r>
        <w:rPr>
          <w:spacing w:val="-7"/>
          <w:w w:val="105"/>
          <w:sz w:val="21"/>
        </w:rPr>
        <w:t>2017)</w:t>
      </w:r>
      <w:r>
        <w:rPr>
          <w:spacing w:val="33"/>
          <w:w w:val="105"/>
          <w:sz w:val="21"/>
        </w:rPr>
        <w:t> </w:t>
      </w:r>
      <w:r>
        <w:rPr>
          <w:w w:val="105"/>
          <w:sz w:val="21"/>
        </w:rPr>
        <w:t>&lt;</w:t>
      </w:r>
      <w:hyperlink r:id="rId182">
        <w:r>
          <w:rPr>
            <w:w w:val="105"/>
            <w:sz w:val="21"/>
          </w:rPr>
          <w:t>www.qcat.qld.gov.au/matter-types</w:t>
        </w:r>
      </w:hyperlink>
      <w:r>
        <w:rPr>
          <w:w w:val="105"/>
          <w:sz w:val="21"/>
        </w:rPr>
        <w:t>&gt;</w:t>
      </w:r>
    </w:p>
    <w:p>
      <w:pPr>
        <w:pStyle w:val="ListParagraph"/>
        <w:numPr>
          <w:ilvl w:val="0"/>
          <w:numId w:val="224"/>
        </w:numPr>
        <w:tabs>
          <w:tab w:pos="768" w:val="left" w:leader="none"/>
          <w:tab w:pos="769" w:val="left" w:leader="none"/>
        </w:tabs>
        <w:spacing w:line="242" w:lineRule="auto" w:before="106" w:after="0"/>
        <w:ind w:left="768" w:right="1994" w:hanging="340"/>
        <w:jc w:val="left"/>
        <w:rPr>
          <w:sz w:val="21"/>
        </w:rPr>
      </w:pPr>
      <w:r>
        <w:rPr>
          <w:i/>
          <w:spacing w:val="-3"/>
          <w:w w:val="105"/>
          <w:sz w:val="21"/>
        </w:rPr>
        <w:t>Mediation</w:t>
      </w:r>
      <w:r>
        <w:rPr>
          <w:i/>
          <w:spacing w:val="-13"/>
          <w:w w:val="105"/>
          <w:sz w:val="21"/>
        </w:rPr>
        <w:t> </w:t>
      </w:r>
      <w:r>
        <w:rPr>
          <w:w w:val="105"/>
          <w:sz w:val="21"/>
        </w:rPr>
        <w:t>(Web</w:t>
      </w:r>
      <w:r>
        <w:rPr>
          <w:spacing w:val="-13"/>
          <w:w w:val="105"/>
          <w:sz w:val="21"/>
        </w:rPr>
        <w:t> </w:t>
      </w:r>
      <w:r>
        <w:rPr>
          <w:spacing w:val="-3"/>
          <w:w w:val="105"/>
          <w:sz w:val="21"/>
        </w:rPr>
        <w:t>Page,</w:t>
      </w:r>
      <w:r>
        <w:rPr>
          <w:spacing w:val="-12"/>
          <w:w w:val="105"/>
          <w:sz w:val="21"/>
        </w:rPr>
        <w:t> </w:t>
      </w:r>
      <w:r>
        <w:rPr>
          <w:spacing w:val="-9"/>
          <w:w w:val="105"/>
          <w:sz w:val="21"/>
        </w:rPr>
        <w:t>12</w:t>
      </w:r>
      <w:r>
        <w:rPr>
          <w:spacing w:val="-13"/>
          <w:w w:val="105"/>
          <w:sz w:val="21"/>
        </w:rPr>
        <w:t> </w:t>
      </w:r>
      <w:r>
        <w:rPr>
          <w:w w:val="105"/>
          <w:sz w:val="21"/>
        </w:rPr>
        <w:t>April</w:t>
      </w:r>
      <w:r>
        <w:rPr>
          <w:spacing w:val="-12"/>
          <w:w w:val="105"/>
          <w:sz w:val="21"/>
        </w:rPr>
        <w:t> </w:t>
      </w:r>
      <w:r>
        <w:rPr>
          <w:spacing w:val="-7"/>
          <w:w w:val="105"/>
          <w:sz w:val="21"/>
        </w:rPr>
        <w:t>2017)</w:t>
      </w:r>
      <w:r>
        <w:rPr>
          <w:spacing w:val="-13"/>
          <w:w w:val="105"/>
          <w:sz w:val="21"/>
        </w:rPr>
        <w:t> </w:t>
      </w:r>
      <w:r>
        <w:rPr>
          <w:w w:val="105"/>
          <w:sz w:val="21"/>
        </w:rPr>
        <w:t>&lt;https://</w:t>
      </w:r>
      <w:hyperlink r:id="rId185">
        <w:r>
          <w:rPr>
            <w:w w:val="105"/>
            <w:sz w:val="21"/>
          </w:rPr>
          <w:t>www.qcat.qld.gov.au/going-to-the-tribunal/</w:t>
        </w:r>
      </w:hyperlink>
      <w:r>
        <w:rPr>
          <w:w w:val="105"/>
          <w:sz w:val="21"/>
        </w:rPr>
        <w:t> types-of-proceedings/mediation&gt;</w:t>
      </w:r>
    </w:p>
    <w:p>
      <w:pPr>
        <w:pStyle w:val="ListParagraph"/>
        <w:numPr>
          <w:ilvl w:val="0"/>
          <w:numId w:val="224"/>
        </w:numPr>
        <w:tabs>
          <w:tab w:pos="768" w:val="left" w:leader="none"/>
          <w:tab w:pos="769" w:val="left" w:leader="none"/>
        </w:tabs>
        <w:spacing w:line="240" w:lineRule="auto" w:before="104" w:after="0"/>
        <w:ind w:left="768" w:right="0" w:hanging="340"/>
        <w:jc w:val="left"/>
        <w:rPr>
          <w:sz w:val="21"/>
        </w:rPr>
      </w:pPr>
      <w:r>
        <w:rPr>
          <w:i/>
          <w:w w:val="105"/>
          <w:sz w:val="21"/>
        </w:rPr>
        <w:t>Minor Civil Disputes—Appeals </w:t>
      </w:r>
      <w:r>
        <w:rPr>
          <w:w w:val="105"/>
          <w:sz w:val="21"/>
        </w:rPr>
        <w:t>(Factsheet, version </w:t>
      </w:r>
      <w:r>
        <w:rPr>
          <w:spacing w:val="-3"/>
          <w:w w:val="105"/>
          <w:sz w:val="21"/>
        </w:rPr>
        <w:t>3, </w:t>
      </w:r>
      <w:r>
        <w:rPr>
          <w:spacing w:val="-2"/>
          <w:w w:val="105"/>
          <w:sz w:val="21"/>
        </w:rPr>
        <w:t>May</w:t>
      </w:r>
      <w:r>
        <w:rPr>
          <w:spacing w:val="33"/>
          <w:w w:val="105"/>
          <w:sz w:val="21"/>
        </w:rPr>
        <w:t> </w:t>
      </w:r>
      <w:r>
        <w:rPr>
          <w:spacing w:val="-7"/>
          <w:w w:val="105"/>
          <w:sz w:val="21"/>
        </w:rPr>
        <w:t>2017)</w:t>
      </w:r>
    </w:p>
    <w:p>
      <w:pPr>
        <w:pStyle w:val="ListParagraph"/>
        <w:numPr>
          <w:ilvl w:val="0"/>
          <w:numId w:val="224"/>
        </w:numPr>
        <w:tabs>
          <w:tab w:pos="768" w:val="left" w:leader="none"/>
          <w:tab w:pos="769" w:val="left" w:leader="none"/>
        </w:tabs>
        <w:spacing w:line="242" w:lineRule="auto" w:before="106" w:after="0"/>
        <w:ind w:left="768" w:right="2137" w:hanging="340"/>
        <w:jc w:val="left"/>
        <w:rPr>
          <w:sz w:val="21"/>
        </w:rPr>
      </w:pPr>
      <w:r>
        <w:rPr>
          <w:i/>
          <w:spacing w:val="-3"/>
          <w:w w:val="105"/>
          <w:sz w:val="21"/>
        </w:rPr>
        <w:t>Organisational</w:t>
      </w:r>
      <w:r>
        <w:rPr>
          <w:i/>
          <w:spacing w:val="-10"/>
          <w:w w:val="105"/>
          <w:sz w:val="21"/>
        </w:rPr>
        <w:t> </w:t>
      </w:r>
      <w:r>
        <w:rPr>
          <w:i/>
          <w:spacing w:val="-3"/>
          <w:w w:val="105"/>
          <w:sz w:val="21"/>
        </w:rPr>
        <w:t>Structure</w:t>
      </w:r>
      <w:r>
        <w:rPr>
          <w:i/>
          <w:spacing w:val="-9"/>
          <w:w w:val="105"/>
          <w:sz w:val="21"/>
        </w:rPr>
        <w:t> </w:t>
      </w:r>
      <w:r>
        <w:rPr>
          <w:w w:val="105"/>
          <w:sz w:val="21"/>
        </w:rPr>
        <w:t>(Web</w:t>
      </w:r>
      <w:r>
        <w:rPr>
          <w:spacing w:val="-9"/>
          <w:w w:val="105"/>
          <w:sz w:val="21"/>
        </w:rPr>
        <w:t> </w:t>
      </w:r>
      <w:r>
        <w:rPr>
          <w:spacing w:val="-3"/>
          <w:w w:val="105"/>
          <w:sz w:val="21"/>
        </w:rPr>
        <w:t>Page,</w:t>
      </w:r>
      <w:r>
        <w:rPr>
          <w:spacing w:val="-10"/>
          <w:w w:val="105"/>
          <w:sz w:val="21"/>
        </w:rPr>
        <w:t> </w:t>
      </w:r>
      <w:r>
        <w:rPr>
          <w:spacing w:val="-5"/>
          <w:w w:val="105"/>
          <w:sz w:val="21"/>
        </w:rPr>
        <w:t>24</w:t>
      </w:r>
      <w:r>
        <w:rPr>
          <w:spacing w:val="-9"/>
          <w:w w:val="105"/>
          <w:sz w:val="21"/>
        </w:rPr>
        <w:t> </w:t>
      </w:r>
      <w:r>
        <w:rPr>
          <w:w w:val="105"/>
          <w:sz w:val="21"/>
        </w:rPr>
        <w:t>September</w:t>
      </w:r>
      <w:r>
        <w:rPr>
          <w:spacing w:val="-9"/>
          <w:w w:val="105"/>
          <w:sz w:val="21"/>
        </w:rPr>
        <w:t> </w:t>
      </w:r>
      <w:r>
        <w:rPr>
          <w:spacing w:val="-5"/>
          <w:w w:val="105"/>
          <w:sz w:val="21"/>
        </w:rPr>
        <w:t>2018)</w:t>
      </w:r>
      <w:r>
        <w:rPr>
          <w:spacing w:val="-9"/>
          <w:w w:val="105"/>
          <w:sz w:val="21"/>
        </w:rPr>
        <w:t> </w:t>
      </w:r>
      <w:r>
        <w:rPr>
          <w:w w:val="105"/>
          <w:sz w:val="21"/>
        </w:rPr>
        <w:t>&lt;https://</w:t>
      </w:r>
      <w:hyperlink r:id="rId186">
        <w:r>
          <w:rPr>
            <w:w w:val="105"/>
            <w:sz w:val="21"/>
          </w:rPr>
          <w:t>www.qcat.qld.gov.au/</w:t>
        </w:r>
      </w:hyperlink>
      <w:r>
        <w:rPr>
          <w:w w:val="105"/>
          <w:sz w:val="21"/>
        </w:rPr>
        <w:t> about-qcat/organisational-structure&gt;</w:t>
      </w:r>
    </w:p>
    <w:p>
      <w:pPr>
        <w:pStyle w:val="ListParagraph"/>
        <w:numPr>
          <w:ilvl w:val="0"/>
          <w:numId w:val="224"/>
        </w:numPr>
        <w:tabs>
          <w:tab w:pos="768" w:val="left" w:leader="none"/>
          <w:tab w:pos="769" w:val="left" w:leader="none"/>
        </w:tabs>
        <w:spacing w:line="242" w:lineRule="auto" w:before="104" w:after="0"/>
        <w:ind w:left="768" w:right="1803" w:hanging="340"/>
        <w:jc w:val="left"/>
        <w:rPr>
          <w:sz w:val="21"/>
        </w:rPr>
      </w:pPr>
      <w:r>
        <w:rPr>
          <w:i/>
          <w:spacing w:val="-3"/>
          <w:w w:val="105"/>
          <w:sz w:val="21"/>
        </w:rPr>
        <w:t>QCAT Welcomes </w:t>
      </w:r>
      <w:r>
        <w:rPr>
          <w:i/>
          <w:w w:val="105"/>
          <w:sz w:val="21"/>
        </w:rPr>
        <w:t>SANDI to the </w:t>
      </w:r>
      <w:r>
        <w:rPr>
          <w:i/>
          <w:spacing w:val="-4"/>
          <w:w w:val="105"/>
          <w:sz w:val="21"/>
        </w:rPr>
        <w:t>Team! </w:t>
      </w:r>
      <w:r>
        <w:rPr>
          <w:w w:val="105"/>
          <w:sz w:val="21"/>
        </w:rPr>
        <w:t>(Web </w:t>
      </w:r>
      <w:r>
        <w:rPr>
          <w:spacing w:val="-3"/>
          <w:w w:val="105"/>
          <w:sz w:val="21"/>
        </w:rPr>
        <w:t>Page, </w:t>
      </w:r>
      <w:r>
        <w:rPr>
          <w:spacing w:val="-9"/>
          <w:w w:val="105"/>
          <w:sz w:val="21"/>
        </w:rPr>
        <w:t>12 </w:t>
      </w:r>
      <w:r>
        <w:rPr>
          <w:w w:val="105"/>
          <w:sz w:val="21"/>
        </w:rPr>
        <w:t>February </w:t>
      </w:r>
      <w:r>
        <w:rPr>
          <w:spacing w:val="-5"/>
          <w:w w:val="105"/>
          <w:sz w:val="21"/>
        </w:rPr>
        <w:t>2019) </w:t>
      </w:r>
      <w:r>
        <w:rPr>
          <w:w w:val="105"/>
          <w:sz w:val="21"/>
        </w:rPr>
        <w:t>&lt;https://</w:t>
      </w:r>
      <w:hyperlink r:id="rId113">
        <w:r>
          <w:rPr>
            <w:w w:val="105"/>
            <w:sz w:val="21"/>
          </w:rPr>
          <w:t>www.qcat.qld.</w:t>
        </w:r>
      </w:hyperlink>
      <w:r>
        <w:rPr>
          <w:w w:val="105"/>
          <w:sz w:val="21"/>
        </w:rPr>
        <w:t> gov.au/about-qcat/sandi&gt;</w:t>
      </w:r>
    </w:p>
    <w:p>
      <w:pPr>
        <w:pStyle w:val="ListParagraph"/>
        <w:numPr>
          <w:ilvl w:val="0"/>
          <w:numId w:val="224"/>
        </w:numPr>
        <w:tabs>
          <w:tab w:pos="768" w:val="left" w:leader="none"/>
          <w:tab w:pos="769" w:val="left" w:leader="none"/>
        </w:tabs>
        <w:spacing w:line="242" w:lineRule="auto" w:before="104" w:after="0"/>
        <w:ind w:left="768" w:right="1906" w:hanging="340"/>
        <w:jc w:val="left"/>
        <w:rPr>
          <w:sz w:val="21"/>
        </w:rPr>
      </w:pPr>
      <w:r>
        <w:rPr>
          <w:i/>
          <w:w w:val="105"/>
          <w:sz w:val="21"/>
        </w:rPr>
        <w:t>Renewal </w:t>
      </w:r>
      <w:r>
        <w:rPr>
          <w:i/>
          <w:spacing w:val="-3"/>
          <w:w w:val="105"/>
          <w:sz w:val="21"/>
        </w:rPr>
        <w:t>of QCAT’s Final </w:t>
      </w:r>
      <w:r>
        <w:rPr>
          <w:i/>
          <w:w w:val="105"/>
          <w:sz w:val="21"/>
        </w:rPr>
        <w:t>Decision </w:t>
      </w:r>
      <w:r>
        <w:rPr>
          <w:w w:val="105"/>
          <w:sz w:val="21"/>
        </w:rPr>
        <w:t>(Web </w:t>
      </w:r>
      <w:r>
        <w:rPr>
          <w:spacing w:val="-3"/>
          <w:w w:val="105"/>
          <w:sz w:val="21"/>
        </w:rPr>
        <w:t>Page, </w:t>
      </w:r>
      <w:r>
        <w:rPr>
          <w:spacing w:val="-4"/>
          <w:w w:val="105"/>
          <w:sz w:val="21"/>
        </w:rPr>
        <w:t>26 </w:t>
      </w:r>
      <w:r>
        <w:rPr>
          <w:spacing w:val="-2"/>
          <w:w w:val="105"/>
          <w:sz w:val="21"/>
        </w:rPr>
        <w:t>May </w:t>
      </w:r>
      <w:r>
        <w:rPr>
          <w:spacing w:val="-7"/>
          <w:w w:val="105"/>
          <w:sz w:val="21"/>
        </w:rPr>
        <w:t>2017) </w:t>
      </w:r>
      <w:r>
        <w:rPr>
          <w:w w:val="105"/>
          <w:sz w:val="21"/>
        </w:rPr>
        <w:t>&lt;https://</w:t>
      </w:r>
      <w:hyperlink r:id="rId186">
        <w:r>
          <w:rPr>
            <w:w w:val="105"/>
            <w:sz w:val="21"/>
          </w:rPr>
          <w:t>www.qcat.qld.gov.au/</w:t>
        </w:r>
      </w:hyperlink>
      <w:r>
        <w:rPr>
          <w:w w:val="105"/>
          <w:sz w:val="21"/>
        </w:rPr>
        <w:t> qcat-decisions/enforcing-a-qcat-decision/renewal-of-qcats-final-decision&gt;</w:t>
      </w:r>
    </w:p>
    <w:p>
      <w:pPr>
        <w:pStyle w:val="ListParagraph"/>
        <w:numPr>
          <w:ilvl w:val="0"/>
          <w:numId w:val="224"/>
        </w:numPr>
        <w:tabs>
          <w:tab w:pos="768" w:val="left" w:leader="none"/>
          <w:tab w:pos="769" w:val="left" w:leader="none"/>
        </w:tabs>
        <w:spacing w:line="240" w:lineRule="auto" w:before="104" w:after="0"/>
        <w:ind w:left="768" w:right="0" w:hanging="340"/>
        <w:jc w:val="left"/>
        <w:rPr>
          <w:sz w:val="21"/>
        </w:rPr>
      </w:pPr>
      <w:r>
        <w:rPr>
          <w:i/>
          <w:spacing w:val="-4"/>
          <w:w w:val="105"/>
          <w:sz w:val="21"/>
        </w:rPr>
        <w:t>Tree </w:t>
      </w:r>
      <w:r>
        <w:rPr>
          <w:i/>
          <w:spacing w:val="-3"/>
          <w:w w:val="105"/>
          <w:sz w:val="21"/>
        </w:rPr>
        <w:t>Dispute Resolution </w:t>
      </w:r>
      <w:r>
        <w:rPr>
          <w:w w:val="105"/>
          <w:sz w:val="21"/>
        </w:rPr>
        <w:t>(Fact Sheet, version 4, </w:t>
      </w:r>
      <w:r>
        <w:rPr>
          <w:spacing w:val="-3"/>
          <w:w w:val="105"/>
          <w:sz w:val="21"/>
        </w:rPr>
        <w:t>March</w:t>
      </w:r>
      <w:r>
        <w:rPr>
          <w:spacing w:val="2"/>
          <w:w w:val="105"/>
          <w:sz w:val="21"/>
        </w:rPr>
        <w:t> </w:t>
      </w:r>
      <w:r>
        <w:rPr>
          <w:spacing w:val="-7"/>
          <w:w w:val="105"/>
          <w:sz w:val="21"/>
        </w:rPr>
        <w:t>2017)</w:t>
      </w:r>
    </w:p>
    <w:p>
      <w:pPr>
        <w:pStyle w:val="ListParagraph"/>
        <w:numPr>
          <w:ilvl w:val="0"/>
          <w:numId w:val="224"/>
        </w:numPr>
        <w:tabs>
          <w:tab w:pos="768" w:val="left" w:leader="none"/>
          <w:tab w:pos="769" w:val="left" w:leader="none"/>
        </w:tabs>
        <w:spacing w:line="242" w:lineRule="auto" w:before="106" w:after="0"/>
        <w:ind w:left="768" w:right="1749" w:hanging="340"/>
        <w:jc w:val="left"/>
        <w:rPr>
          <w:sz w:val="21"/>
        </w:rPr>
      </w:pPr>
      <w:r>
        <w:rPr>
          <w:i/>
          <w:spacing w:val="-4"/>
          <w:w w:val="105"/>
          <w:sz w:val="21"/>
        </w:rPr>
        <w:t>Tree</w:t>
      </w:r>
      <w:r>
        <w:rPr>
          <w:i/>
          <w:spacing w:val="-19"/>
          <w:w w:val="105"/>
          <w:sz w:val="21"/>
        </w:rPr>
        <w:t> </w:t>
      </w:r>
      <w:r>
        <w:rPr>
          <w:i/>
          <w:spacing w:val="-3"/>
          <w:w w:val="105"/>
          <w:sz w:val="21"/>
        </w:rPr>
        <w:t>Disputes</w:t>
      </w:r>
      <w:r>
        <w:rPr>
          <w:i/>
          <w:spacing w:val="-19"/>
          <w:w w:val="105"/>
          <w:sz w:val="21"/>
        </w:rPr>
        <w:t> </w:t>
      </w:r>
      <w:r>
        <w:rPr>
          <w:w w:val="105"/>
          <w:sz w:val="21"/>
        </w:rPr>
        <w:t>(Web</w:t>
      </w:r>
      <w:r>
        <w:rPr>
          <w:spacing w:val="-19"/>
          <w:w w:val="105"/>
          <w:sz w:val="21"/>
        </w:rPr>
        <w:t> </w:t>
      </w:r>
      <w:r>
        <w:rPr>
          <w:spacing w:val="-3"/>
          <w:w w:val="105"/>
          <w:sz w:val="21"/>
        </w:rPr>
        <w:t>Page,</w:t>
      </w:r>
      <w:r>
        <w:rPr>
          <w:spacing w:val="-19"/>
          <w:w w:val="105"/>
          <w:sz w:val="21"/>
        </w:rPr>
        <w:t> </w:t>
      </w:r>
      <w:r>
        <w:rPr>
          <w:spacing w:val="-3"/>
          <w:w w:val="105"/>
          <w:sz w:val="21"/>
        </w:rPr>
        <w:t>29</w:t>
      </w:r>
      <w:r>
        <w:rPr>
          <w:spacing w:val="-19"/>
          <w:w w:val="105"/>
          <w:sz w:val="21"/>
        </w:rPr>
        <w:t> </w:t>
      </w:r>
      <w:r>
        <w:rPr>
          <w:w w:val="105"/>
          <w:sz w:val="21"/>
        </w:rPr>
        <w:t>February</w:t>
      </w:r>
      <w:r>
        <w:rPr>
          <w:spacing w:val="-19"/>
          <w:w w:val="105"/>
          <w:sz w:val="21"/>
        </w:rPr>
        <w:t> </w:t>
      </w:r>
      <w:r>
        <w:rPr>
          <w:spacing w:val="-5"/>
          <w:w w:val="105"/>
          <w:sz w:val="21"/>
        </w:rPr>
        <w:t>2019)</w:t>
      </w:r>
      <w:r>
        <w:rPr>
          <w:spacing w:val="-18"/>
          <w:w w:val="105"/>
          <w:sz w:val="21"/>
        </w:rPr>
        <w:t> </w:t>
      </w:r>
      <w:r>
        <w:rPr>
          <w:w w:val="105"/>
          <w:sz w:val="21"/>
        </w:rPr>
        <w:t>&lt;</w:t>
      </w:r>
      <w:hyperlink r:id="rId307">
        <w:r>
          <w:rPr>
            <w:w w:val="105"/>
            <w:sz w:val="21"/>
          </w:rPr>
          <w:t>http://www.qcat.qld.gov.au/matter-types/tree-</w:t>
        </w:r>
      </w:hyperlink>
      <w:r>
        <w:rPr>
          <w:w w:val="105"/>
          <w:sz w:val="21"/>
        </w:rPr>
        <w:t> disputes&gt;</w:t>
      </w:r>
    </w:p>
    <w:p>
      <w:pPr>
        <w:pStyle w:val="ListParagraph"/>
        <w:numPr>
          <w:ilvl w:val="0"/>
          <w:numId w:val="224"/>
        </w:numPr>
        <w:tabs>
          <w:tab w:pos="768" w:val="left" w:leader="none"/>
          <w:tab w:pos="769" w:val="left" w:leader="none"/>
        </w:tabs>
        <w:spacing w:line="242" w:lineRule="auto" w:before="104" w:after="0"/>
        <w:ind w:left="768" w:right="1790" w:hanging="340"/>
        <w:jc w:val="left"/>
        <w:rPr>
          <w:sz w:val="21"/>
        </w:rPr>
      </w:pPr>
      <w:r>
        <w:rPr>
          <w:i/>
          <w:spacing w:val="-4"/>
          <w:w w:val="105"/>
          <w:sz w:val="21"/>
        </w:rPr>
        <w:t>Tree</w:t>
      </w:r>
      <w:r>
        <w:rPr>
          <w:i/>
          <w:spacing w:val="-21"/>
          <w:w w:val="105"/>
          <w:sz w:val="21"/>
        </w:rPr>
        <w:t> </w:t>
      </w:r>
      <w:r>
        <w:rPr>
          <w:i/>
          <w:w w:val="105"/>
          <w:sz w:val="21"/>
        </w:rPr>
        <w:t>Orders</w:t>
      </w:r>
      <w:r>
        <w:rPr>
          <w:i/>
          <w:spacing w:val="-20"/>
          <w:w w:val="105"/>
          <w:sz w:val="21"/>
        </w:rPr>
        <w:t> </w:t>
      </w:r>
      <w:r>
        <w:rPr>
          <w:i/>
          <w:w w:val="105"/>
          <w:sz w:val="21"/>
        </w:rPr>
        <w:t>Register</w:t>
      </w:r>
      <w:r>
        <w:rPr>
          <w:i/>
          <w:spacing w:val="-20"/>
          <w:w w:val="105"/>
          <w:sz w:val="21"/>
        </w:rPr>
        <w:t> </w:t>
      </w:r>
      <w:r>
        <w:rPr>
          <w:w w:val="105"/>
          <w:sz w:val="21"/>
        </w:rPr>
        <w:t>(Database,</w:t>
      </w:r>
      <w:r>
        <w:rPr>
          <w:spacing w:val="-21"/>
          <w:w w:val="105"/>
          <w:sz w:val="21"/>
        </w:rPr>
        <w:t> </w:t>
      </w:r>
      <w:r>
        <w:rPr>
          <w:spacing w:val="-7"/>
          <w:w w:val="105"/>
          <w:sz w:val="21"/>
        </w:rPr>
        <w:t>21</w:t>
      </w:r>
      <w:r>
        <w:rPr>
          <w:spacing w:val="-20"/>
          <w:w w:val="105"/>
          <w:sz w:val="21"/>
        </w:rPr>
        <w:t> </w:t>
      </w:r>
      <w:r>
        <w:rPr>
          <w:w w:val="105"/>
          <w:sz w:val="21"/>
        </w:rPr>
        <w:t>February</w:t>
      </w:r>
      <w:r>
        <w:rPr>
          <w:spacing w:val="-20"/>
          <w:w w:val="105"/>
          <w:sz w:val="21"/>
        </w:rPr>
        <w:t> </w:t>
      </w:r>
      <w:r>
        <w:rPr>
          <w:spacing w:val="-5"/>
          <w:w w:val="105"/>
          <w:sz w:val="21"/>
        </w:rPr>
        <w:t>2019)</w:t>
      </w:r>
      <w:r>
        <w:rPr>
          <w:spacing w:val="-20"/>
          <w:w w:val="105"/>
          <w:sz w:val="21"/>
        </w:rPr>
        <w:t> </w:t>
      </w:r>
      <w:r>
        <w:rPr>
          <w:w w:val="105"/>
          <w:sz w:val="21"/>
        </w:rPr>
        <w:t>&lt;</w:t>
      </w:r>
      <w:hyperlink r:id="rId307">
        <w:r>
          <w:rPr>
            <w:w w:val="105"/>
            <w:sz w:val="21"/>
          </w:rPr>
          <w:t>www.qcat.qld.gov.au/matter-types/tree-</w:t>
        </w:r>
      </w:hyperlink>
      <w:r>
        <w:rPr>
          <w:w w:val="105"/>
          <w:sz w:val="21"/>
        </w:rPr>
        <w:t> disputes/tree-order-register&gt;</w:t>
      </w:r>
    </w:p>
    <w:p>
      <w:pPr>
        <w:pStyle w:val="BodyText"/>
        <w:spacing w:before="104"/>
        <w:ind w:left="428"/>
      </w:pPr>
      <w:r>
        <w:rPr>
          <w:w w:val="105"/>
        </w:rPr>
        <w:t>Queensland Government,</w:t>
      </w:r>
    </w:p>
    <w:p>
      <w:pPr>
        <w:pStyle w:val="ListParagraph"/>
        <w:numPr>
          <w:ilvl w:val="0"/>
          <w:numId w:val="224"/>
        </w:numPr>
        <w:tabs>
          <w:tab w:pos="768" w:val="left" w:leader="none"/>
          <w:tab w:pos="769" w:val="left" w:leader="none"/>
        </w:tabs>
        <w:spacing w:line="242" w:lineRule="auto" w:before="106" w:after="0"/>
        <w:ind w:left="768" w:right="1615" w:hanging="340"/>
        <w:jc w:val="left"/>
        <w:rPr>
          <w:sz w:val="21"/>
        </w:rPr>
      </w:pPr>
      <w:r>
        <w:rPr>
          <w:i/>
          <w:spacing w:val="-3"/>
          <w:w w:val="105"/>
          <w:sz w:val="21"/>
        </w:rPr>
        <w:t>Disputes</w:t>
      </w:r>
      <w:r>
        <w:rPr>
          <w:i/>
          <w:spacing w:val="-12"/>
          <w:w w:val="105"/>
          <w:sz w:val="21"/>
        </w:rPr>
        <w:t> </w:t>
      </w:r>
      <w:r>
        <w:rPr>
          <w:i/>
          <w:w w:val="105"/>
          <w:sz w:val="21"/>
        </w:rPr>
        <w:t>about</w:t>
      </w:r>
      <w:r>
        <w:rPr>
          <w:i/>
          <w:spacing w:val="-11"/>
          <w:w w:val="105"/>
          <w:sz w:val="21"/>
        </w:rPr>
        <w:t> </w:t>
      </w:r>
      <w:r>
        <w:rPr>
          <w:i/>
          <w:w w:val="105"/>
          <w:sz w:val="21"/>
        </w:rPr>
        <w:t>Fences,</w:t>
      </w:r>
      <w:r>
        <w:rPr>
          <w:i/>
          <w:spacing w:val="-11"/>
          <w:w w:val="105"/>
          <w:sz w:val="21"/>
        </w:rPr>
        <w:t> </w:t>
      </w:r>
      <w:r>
        <w:rPr>
          <w:i/>
          <w:spacing w:val="-4"/>
          <w:w w:val="105"/>
          <w:sz w:val="21"/>
        </w:rPr>
        <w:t>Trees</w:t>
      </w:r>
      <w:r>
        <w:rPr>
          <w:i/>
          <w:spacing w:val="-11"/>
          <w:w w:val="105"/>
          <w:sz w:val="21"/>
        </w:rPr>
        <w:t> </w:t>
      </w:r>
      <w:r>
        <w:rPr>
          <w:i/>
          <w:w w:val="105"/>
          <w:sz w:val="21"/>
        </w:rPr>
        <w:t>and</w:t>
      </w:r>
      <w:r>
        <w:rPr>
          <w:i/>
          <w:spacing w:val="-11"/>
          <w:w w:val="105"/>
          <w:sz w:val="21"/>
        </w:rPr>
        <w:t> </w:t>
      </w:r>
      <w:r>
        <w:rPr>
          <w:i/>
          <w:spacing w:val="-3"/>
          <w:w w:val="105"/>
          <w:sz w:val="21"/>
        </w:rPr>
        <w:t>Buildings</w:t>
      </w:r>
      <w:r>
        <w:rPr>
          <w:i/>
          <w:spacing w:val="-11"/>
          <w:w w:val="105"/>
          <w:sz w:val="21"/>
        </w:rPr>
        <w:t> </w:t>
      </w:r>
      <w:r>
        <w:rPr>
          <w:w w:val="105"/>
          <w:sz w:val="21"/>
        </w:rPr>
        <w:t>(Web</w:t>
      </w:r>
      <w:r>
        <w:rPr>
          <w:spacing w:val="-11"/>
          <w:w w:val="105"/>
          <w:sz w:val="21"/>
        </w:rPr>
        <w:t> </w:t>
      </w:r>
      <w:r>
        <w:rPr>
          <w:w w:val="105"/>
          <w:sz w:val="21"/>
        </w:rPr>
        <w:t>Page)</w:t>
      </w:r>
      <w:r>
        <w:rPr>
          <w:spacing w:val="-11"/>
          <w:w w:val="105"/>
          <w:sz w:val="21"/>
        </w:rPr>
        <w:t> </w:t>
      </w:r>
      <w:r>
        <w:rPr>
          <w:w w:val="105"/>
          <w:sz w:val="21"/>
        </w:rPr>
        <w:t>&lt;https://</w:t>
      </w:r>
      <w:hyperlink r:id="rId340">
        <w:r>
          <w:rPr>
            <w:w w:val="105"/>
            <w:sz w:val="21"/>
          </w:rPr>
          <w:t>www.qld.gov.au/law/housing-</w:t>
        </w:r>
      </w:hyperlink>
      <w:r>
        <w:rPr>
          <w:w w:val="105"/>
          <w:sz w:val="21"/>
        </w:rPr>
        <w:t> and-neighbours/disputes-about-fences-trees-and-buildings&gt;</w:t>
      </w:r>
    </w:p>
    <w:p>
      <w:pPr>
        <w:pStyle w:val="ListParagraph"/>
        <w:numPr>
          <w:ilvl w:val="0"/>
          <w:numId w:val="224"/>
        </w:numPr>
        <w:tabs>
          <w:tab w:pos="768" w:val="left" w:leader="none"/>
          <w:tab w:pos="769" w:val="left" w:leader="none"/>
        </w:tabs>
        <w:spacing w:line="240" w:lineRule="auto" w:before="104" w:after="0"/>
        <w:ind w:left="768" w:right="0" w:hanging="340"/>
        <w:jc w:val="left"/>
        <w:rPr>
          <w:sz w:val="21"/>
        </w:rPr>
      </w:pPr>
      <w:r>
        <w:rPr>
          <w:i/>
          <w:w w:val="105"/>
          <w:sz w:val="21"/>
        </w:rPr>
        <w:t>How to Resolve Neighbourhood </w:t>
      </w:r>
      <w:r>
        <w:rPr>
          <w:i/>
          <w:spacing w:val="-3"/>
          <w:w w:val="105"/>
          <w:sz w:val="21"/>
        </w:rPr>
        <w:t>Disputes </w:t>
      </w:r>
      <w:r>
        <w:rPr>
          <w:w w:val="105"/>
          <w:sz w:val="21"/>
        </w:rPr>
        <w:t>(Web </w:t>
      </w:r>
      <w:r>
        <w:rPr>
          <w:spacing w:val="-3"/>
          <w:w w:val="105"/>
          <w:sz w:val="21"/>
        </w:rPr>
        <w:t>Page, </w:t>
      </w:r>
      <w:r>
        <w:rPr>
          <w:w w:val="105"/>
          <w:sz w:val="21"/>
        </w:rPr>
        <w:t>2 September</w:t>
      </w:r>
      <w:r>
        <w:rPr>
          <w:spacing w:val="1"/>
          <w:w w:val="105"/>
          <w:sz w:val="21"/>
        </w:rPr>
        <w:t> </w:t>
      </w:r>
      <w:r>
        <w:rPr>
          <w:spacing w:val="-6"/>
          <w:w w:val="105"/>
          <w:sz w:val="21"/>
        </w:rPr>
        <w:t>2015)</w:t>
      </w:r>
    </w:p>
    <w:p>
      <w:pPr>
        <w:pStyle w:val="BodyText"/>
        <w:spacing w:before="4"/>
        <w:ind w:left="768"/>
      </w:pPr>
      <w:r>
        <w:rPr/>
        <w:t>&lt;https://</w:t>
      </w:r>
      <w:hyperlink r:id="rId469">
        <w:r>
          <w:rPr/>
          <w:t>www.qld.gov.au/law/housing-and-neighbours/resolve-disputes</w:t>
        </w:r>
      </w:hyperlink>
      <w:r>
        <w:rPr/>
        <w:t>&gt;</w:t>
      </w:r>
    </w:p>
    <w:p>
      <w:pPr>
        <w:spacing w:after="0"/>
        <w:sectPr>
          <w:type w:val="continuous"/>
          <w:pgSz w:w="11910" w:h="16840"/>
          <w:pgMar w:top="300" w:bottom="280" w:left="0" w:right="0"/>
          <w:cols w:num="2" w:equalWidth="0">
            <w:col w:w="1119" w:space="40"/>
            <w:col w:w="10751"/>
          </w:cols>
        </w:sectPr>
      </w:pPr>
    </w:p>
    <w:p>
      <w:pPr>
        <w:pStyle w:val="BodyText"/>
        <w:spacing w:before="5"/>
      </w:pPr>
    </w:p>
    <w:p>
      <w:pPr>
        <w:pStyle w:val="ListParagraph"/>
        <w:numPr>
          <w:ilvl w:val="1"/>
          <w:numId w:val="224"/>
        </w:numPr>
        <w:tabs>
          <w:tab w:pos="1927" w:val="left" w:leader="none"/>
          <w:tab w:pos="1928" w:val="left" w:leader="none"/>
        </w:tabs>
        <w:spacing w:line="242" w:lineRule="auto" w:before="93" w:after="0"/>
        <w:ind w:left="1927" w:right="1809" w:hanging="340"/>
        <w:jc w:val="left"/>
        <w:rPr>
          <w:sz w:val="21"/>
        </w:rPr>
      </w:pPr>
      <w:r>
        <w:rPr>
          <w:i/>
          <w:w w:val="105"/>
          <w:sz w:val="21"/>
        </w:rPr>
        <w:t>Neighbourhood</w:t>
      </w:r>
      <w:r>
        <w:rPr>
          <w:i/>
          <w:spacing w:val="-14"/>
          <w:w w:val="105"/>
          <w:sz w:val="21"/>
        </w:rPr>
        <w:t> </w:t>
      </w:r>
      <w:r>
        <w:rPr>
          <w:i/>
          <w:spacing w:val="-3"/>
          <w:w w:val="105"/>
          <w:sz w:val="21"/>
        </w:rPr>
        <w:t>Mediation</w:t>
      </w:r>
      <w:r>
        <w:rPr>
          <w:i/>
          <w:spacing w:val="-14"/>
          <w:w w:val="105"/>
          <w:sz w:val="21"/>
        </w:rPr>
        <w:t> </w:t>
      </w:r>
      <w:r>
        <w:rPr>
          <w:w w:val="105"/>
          <w:sz w:val="21"/>
        </w:rPr>
        <w:t>(Web</w:t>
      </w:r>
      <w:r>
        <w:rPr>
          <w:spacing w:val="-13"/>
          <w:w w:val="105"/>
          <w:sz w:val="21"/>
        </w:rPr>
        <w:t> </w:t>
      </w:r>
      <w:r>
        <w:rPr>
          <w:spacing w:val="-3"/>
          <w:w w:val="105"/>
          <w:sz w:val="21"/>
        </w:rPr>
        <w:t>Page,</w:t>
      </w:r>
      <w:r>
        <w:rPr>
          <w:spacing w:val="-14"/>
          <w:w w:val="105"/>
          <w:sz w:val="21"/>
        </w:rPr>
        <w:t> </w:t>
      </w:r>
      <w:r>
        <w:rPr>
          <w:spacing w:val="-5"/>
          <w:w w:val="105"/>
          <w:sz w:val="21"/>
        </w:rPr>
        <w:t>2019)</w:t>
      </w:r>
      <w:r>
        <w:rPr>
          <w:spacing w:val="-13"/>
          <w:w w:val="105"/>
          <w:sz w:val="21"/>
        </w:rPr>
        <w:t> </w:t>
      </w:r>
      <w:r>
        <w:rPr>
          <w:w w:val="105"/>
          <w:sz w:val="21"/>
        </w:rPr>
        <w:t>&lt;https://</w:t>
      </w:r>
      <w:hyperlink r:id="rId470">
        <w:r>
          <w:rPr>
            <w:w w:val="105"/>
            <w:sz w:val="21"/>
          </w:rPr>
          <w:t>www.qld.gov.au/law/legal-mediation-</w:t>
        </w:r>
      </w:hyperlink>
      <w:r>
        <w:rPr>
          <w:w w:val="105"/>
          <w:sz w:val="21"/>
        </w:rPr>
        <w:t> and-justice-of-the-peace/settling-disputes-out-of-court/neighbourhood-mediation&gt;</w:t>
      </w:r>
    </w:p>
    <w:p>
      <w:pPr>
        <w:pStyle w:val="ListParagraph"/>
        <w:numPr>
          <w:ilvl w:val="1"/>
          <w:numId w:val="224"/>
        </w:numPr>
        <w:tabs>
          <w:tab w:pos="1927" w:val="left" w:leader="none"/>
          <w:tab w:pos="1928" w:val="left" w:leader="none"/>
        </w:tabs>
        <w:spacing w:line="242" w:lineRule="auto" w:before="104" w:after="0"/>
        <w:ind w:left="1927" w:right="1601" w:hanging="340"/>
        <w:jc w:val="left"/>
        <w:rPr>
          <w:sz w:val="21"/>
        </w:rPr>
      </w:pPr>
      <w:r>
        <w:rPr>
          <w:i/>
          <w:spacing w:val="-3"/>
          <w:w w:val="105"/>
          <w:sz w:val="21"/>
        </w:rPr>
        <w:t>Sentencing Fines </w:t>
      </w:r>
      <w:r>
        <w:rPr>
          <w:i/>
          <w:w w:val="105"/>
          <w:sz w:val="21"/>
        </w:rPr>
        <w:t>and Penalties for Offences </w:t>
      </w:r>
      <w:r>
        <w:rPr>
          <w:w w:val="105"/>
          <w:sz w:val="21"/>
        </w:rPr>
        <w:t>(Web </w:t>
      </w:r>
      <w:r>
        <w:rPr>
          <w:spacing w:val="-3"/>
          <w:w w:val="105"/>
          <w:sz w:val="21"/>
        </w:rPr>
        <w:t>Page, </w:t>
      </w:r>
      <w:r>
        <w:rPr>
          <w:w w:val="105"/>
          <w:sz w:val="21"/>
        </w:rPr>
        <w:t>5 July </w:t>
      </w:r>
      <w:r>
        <w:rPr>
          <w:spacing w:val="-5"/>
          <w:w w:val="105"/>
          <w:sz w:val="21"/>
        </w:rPr>
        <w:t>2018) </w:t>
      </w:r>
      <w:r>
        <w:rPr>
          <w:w w:val="105"/>
          <w:sz w:val="21"/>
        </w:rPr>
        <w:t>&lt;https://</w:t>
      </w:r>
      <w:hyperlink r:id="rId471">
        <w:r>
          <w:rPr>
            <w:w w:val="105"/>
            <w:sz w:val="21"/>
          </w:rPr>
          <w:t>www.qld.gov.au/</w:t>
        </w:r>
      </w:hyperlink>
      <w:r>
        <w:rPr>
          <w:w w:val="105"/>
          <w:sz w:val="21"/>
        </w:rPr>
        <w:t> law/fines-and-penalties/types-of-fines/sentencing-fines-and-penalties-for-offences&gt;</w:t>
      </w:r>
    </w:p>
    <w:p>
      <w:pPr>
        <w:pStyle w:val="ListParagraph"/>
        <w:numPr>
          <w:ilvl w:val="1"/>
          <w:numId w:val="224"/>
        </w:numPr>
        <w:tabs>
          <w:tab w:pos="1927" w:val="left" w:leader="none"/>
          <w:tab w:pos="1928" w:val="left" w:leader="none"/>
        </w:tabs>
        <w:spacing w:line="240" w:lineRule="auto" w:before="104" w:after="0"/>
        <w:ind w:left="1927" w:right="0" w:hanging="340"/>
        <w:jc w:val="left"/>
        <w:rPr>
          <w:sz w:val="21"/>
        </w:rPr>
      </w:pPr>
      <w:r>
        <w:rPr>
          <w:i/>
          <w:w w:val="105"/>
          <w:sz w:val="21"/>
        </w:rPr>
        <w:t>Step-by-step</w:t>
      </w:r>
      <w:r>
        <w:rPr>
          <w:i/>
          <w:spacing w:val="4"/>
          <w:w w:val="105"/>
          <w:sz w:val="21"/>
        </w:rPr>
        <w:t> </w:t>
      </w:r>
      <w:r>
        <w:rPr>
          <w:i/>
          <w:spacing w:val="-3"/>
          <w:w w:val="105"/>
          <w:sz w:val="21"/>
        </w:rPr>
        <w:t>Guide</w:t>
      </w:r>
      <w:r>
        <w:rPr>
          <w:i/>
          <w:spacing w:val="5"/>
          <w:w w:val="105"/>
          <w:sz w:val="21"/>
        </w:rPr>
        <w:t> </w:t>
      </w:r>
      <w:r>
        <w:rPr>
          <w:i/>
          <w:w w:val="105"/>
          <w:sz w:val="21"/>
        </w:rPr>
        <w:t>to</w:t>
      </w:r>
      <w:r>
        <w:rPr>
          <w:i/>
          <w:spacing w:val="5"/>
          <w:w w:val="105"/>
          <w:sz w:val="21"/>
        </w:rPr>
        <w:t> </w:t>
      </w:r>
      <w:r>
        <w:rPr>
          <w:i/>
          <w:w w:val="105"/>
          <w:sz w:val="21"/>
        </w:rPr>
        <w:t>Resolving</w:t>
      </w:r>
      <w:r>
        <w:rPr>
          <w:i/>
          <w:spacing w:val="4"/>
          <w:w w:val="105"/>
          <w:sz w:val="21"/>
        </w:rPr>
        <w:t> </w:t>
      </w:r>
      <w:r>
        <w:rPr>
          <w:i/>
          <w:spacing w:val="-4"/>
          <w:w w:val="105"/>
          <w:sz w:val="21"/>
        </w:rPr>
        <w:t>Tree</w:t>
      </w:r>
      <w:r>
        <w:rPr>
          <w:i/>
          <w:spacing w:val="5"/>
          <w:w w:val="105"/>
          <w:sz w:val="21"/>
        </w:rPr>
        <w:t> </w:t>
      </w:r>
      <w:r>
        <w:rPr>
          <w:i/>
          <w:w w:val="105"/>
          <w:sz w:val="21"/>
        </w:rPr>
        <w:t>and</w:t>
      </w:r>
      <w:r>
        <w:rPr>
          <w:i/>
          <w:spacing w:val="5"/>
          <w:w w:val="105"/>
          <w:sz w:val="21"/>
        </w:rPr>
        <w:t> </w:t>
      </w:r>
      <w:r>
        <w:rPr>
          <w:i/>
          <w:w w:val="105"/>
          <w:sz w:val="21"/>
        </w:rPr>
        <w:t>Fence</w:t>
      </w:r>
      <w:r>
        <w:rPr>
          <w:i/>
          <w:spacing w:val="4"/>
          <w:w w:val="105"/>
          <w:sz w:val="21"/>
        </w:rPr>
        <w:t> </w:t>
      </w:r>
      <w:r>
        <w:rPr>
          <w:i/>
          <w:spacing w:val="-3"/>
          <w:w w:val="105"/>
          <w:sz w:val="21"/>
        </w:rPr>
        <w:t>Disputes</w:t>
      </w:r>
      <w:r>
        <w:rPr>
          <w:i/>
          <w:spacing w:val="5"/>
          <w:w w:val="105"/>
          <w:sz w:val="21"/>
        </w:rPr>
        <w:t> </w:t>
      </w:r>
      <w:r>
        <w:rPr>
          <w:w w:val="105"/>
          <w:sz w:val="21"/>
        </w:rPr>
        <w:t>(Web</w:t>
      </w:r>
      <w:r>
        <w:rPr>
          <w:spacing w:val="5"/>
          <w:w w:val="105"/>
          <w:sz w:val="21"/>
        </w:rPr>
        <w:t> </w:t>
      </w:r>
      <w:r>
        <w:rPr>
          <w:spacing w:val="-3"/>
          <w:w w:val="105"/>
          <w:sz w:val="21"/>
        </w:rPr>
        <w:t>Page,</w:t>
      </w:r>
      <w:r>
        <w:rPr>
          <w:spacing w:val="5"/>
          <w:w w:val="105"/>
          <w:sz w:val="21"/>
        </w:rPr>
        <w:t> </w:t>
      </w:r>
      <w:r>
        <w:rPr>
          <w:spacing w:val="-7"/>
          <w:w w:val="105"/>
          <w:sz w:val="21"/>
        </w:rPr>
        <w:t>14</w:t>
      </w:r>
      <w:r>
        <w:rPr>
          <w:spacing w:val="4"/>
          <w:w w:val="105"/>
          <w:sz w:val="21"/>
        </w:rPr>
        <w:t> </w:t>
      </w:r>
      <w:r>
        <w:rPr>
          <w:w w:val="105"/>
          <w:sz w:val="21"/>
        </w:rPr>
        <w:t>July</w:t>
      </w:r>
      <w:r>
        <w:rPr>
          <w:spacing w:val="5"/>
          <w:w w:val="105"/>
          <w:sz w:val="21"/>
        </w:rPr>
        <w:t> </w:t>
      </w:r>
      <w:r>
        <w:rPr>
          <w:spacing w:val="-7"/>
          <w:w w:val="105"/>
          <w:sz w:val="21"/>
        </w:rPr>
        <w:t>2017)</w:t>
      </w:r>
    </w:p>
    <w:p>
      <w:pPr>
        <w:pStyle w:val="BodyText"/>
        <w:spacing w:line="242" w:lineRule="auto" w:before="4"/>
        <w:ind w:left="1927" w:right="1882"/>
      </w:pPr>
      <w:r>
        <w:rPr/>
        <w:t>&lt;https://</w:t>
      </w:r>
      <w:hyperlink r:id="rId472">
        <w:r>
          <w:rPr/>
          <w:t>www.qld.gov.au/law/housing-and-neighbours/disputes-about-fences-trees-and-</w:t>
        </w:r>
      </w:hyperlink>
      <w:r>
        <w:rPr/>
        <w:t> buildings/resolving-tree-and-fence-disputes/step-by-step-guide-to-resolving-tree-and-fence- </w:t>
      </w:r>
      <w:r>
        <w:rPr>
          <w:w w:val="105"/>
        </w:rPr>
        <w:t>disputes&gt;</w:t>
      </w:r>
    </w:p>
    <w:p>
      <w:pPr>
        <w:pStyle w:val="ListParagraph"/>
        <w:numPr>
          <w:ilvl w:val="1"/>
          <w:numId w:val="224"/>
        </w:numPr>
        <w:tabs>
          <w:tab w:pos="1928" w:val="left" w:leader="none"/>
        </w:tabs>
        <w:spacing w:line="242" w:lineRule="auto" w:before="105" w:after="0"/>
        <w:ind w:left="1927" w:right="1893" w:hanging="340"/>
        <w:jc w:val="both"/>
        <w:rPr>
          <w:sz w:val="21"/>
        </w:rPr>
      </w:pPr>
      <w:r>
        <w:rPr>
          <w:i/>
          <w:spacing w:val="-3"/>
          <w:w w:val="105"/>
          <w:sz w:val="21"/>
        </w:rPr>
        <w:t>Ways </w:t>
      </w:r>
      <w:r>
        <w:rPr>
          <w:i/>
          <w:w w:val="105"/>
          <w:sz w:val="21"/>
        </w:rPr>
        <w:t>to Approach </w:t>
      </w:r>
      <w:r>
        <w:rPr>
          <w:i/>
          <w:spacing w:val="-5"/>
          <w:w w:val="105"/>
          <w:sz w:val="21"/>
        </w:rPr>
        <w:t>Your </w:t>
      </w:r>
      <w:r>
        <w:rPr>
          <w:i/>
          <w:w w:val="105"/>
          <w:sz w:val="21"/>
        </w:rPr>
        <w:t>Neighbour </w:t>
      </w:r>
      <w:r>
        <w:rPr>
          <w:w w:val="105"/>
          <w:sz w:val="21"/>
        </w:rPr>
        <w:t>(Web </w:t>
      </w:r>
      <w:r>
        <w:rPr>
          <w:spacing w:val="-3"/>
          <w:w w:val="105"/>
          <w:sz w:val="21"/>
        </w:rPr>
        <w:t>Page, </w:t>
      </w:r>
      <w:r>
        <w:rPr>
          <w:spacing w:val="-9"/>
          <w:w w:val="105"/>
          <w:sz w:val="21"/>
        </w:rPr>
        <w:t>17 </w:t>
      </w:r>
      <w:r>
        <w:rPr>
          <w:w w:val="105"/>
          <w:sz w:val="21"/>
        </w:rPr>
        <w:t>January </w:t>
      </w:r>
      <w:r>
        <w:rPr>
          <w:spacing w:val="-5"/>
          <w:w w:val="105"/>
          <w:sz w:val="21"/>
        </w:rPr>
        <w:t>2018) </w:t>
      </w:r>
      <w:r>
        <w:rPr>
          <w:w w:val="105"/>
          <w:sz w:val="21"/>
        </w:rPr>
        <w:t>&lt;https://</w:t>
      </w:r>
      <w:hyperlink r:id="rId471">
        <w:r>
          <w:rPr>
            <w:w w:val="105"/>
            <w:sz w:val="21"/>
          </w:rPr>
          <w:t>www.qld.gov.au/</w:t>
        </w:r>
      </w:hyperlink>
      <w:r>
        <w:rPr>
          <w:w w:val="105"/>
          <w:sz w:val="21"/>
        </w:rPr>
        <w:t> </w:t>
      </w:r>
      <w:r>
        <w:rPr>
          <w:spacing w:val="-1"/>
          <w:sz w:val="21"/>
        </w:rPr>
        <w:t>law/housing-and-neighbours/disputes-about-fences-trees-and-buildings/ways-to-approach- </w:t>
      </w:r>
      <w:r>
        <w:rPr>
          <w:spacing w:val="-3"/>
          <w:w w:val="105"/>
          <w:sz w:val="21"/>
        </w:rPr>
        <w:t>your-neighbour&gt;</w:t>
      </w:r>
    </w:p>
    <w:p>
      <w:pPr>
        <w:pStyle w:val="ListParagraph"/>
        <w:numPr>
          <w:ilvl w:val="1"/>
          <w:numId w:val="224"/>
        </w:numPr>
        <w:tabs>
          <w:tab w:pos="1927" w:val="left" w:leader="none"/>
          <w:tab w:pos="1928" w:val="left" w:leader="none"/>
        </w:tabs>
        <w:spacing w:line="240" w:lineRule="auto" w:before="105" w:after="0"/>
        <w:ind w:left="1927" w:right="0" w:hanging="340"/>
        <w:jc w:val="left"/>
        <w:rPr>
          <w:sz w:val="21"/>
        </w:rPr>
      </w:pPr>
      <w:r>
        <w:rPr>
          <w:i/>
          <w:spacing w:val="-3"/>
          <w:w w:val="105"/>
          <w:sz w:val="21"/>
        </w:rPr>
        <w:t>What</w:t>
      </w:r>
      <w:r>
        <w:rPr>
          <w:i/>
          <w:spacing w:val="5"/>
          <w:w w:val="105"/>
          <w:sz w:val="21"/>
        </w:rPr>
        <w:t> </w:t>
      </w:r>
      <w:r>
        <w:rPr>
          <w:i/>
          <w:w w:val="105"/>
          <w:sz w:val="21"/>
        </w:rPr>
        <w:t>to</w:t>
      </w:r>
      <w:r>
        <w:rPr>
          <w:i/>
          <w:spacing w:val="5"/>
          <w:w w:val="105"/>
          <w:sz w:val="21"/>
        </w:rPr>
        <w:t> </w:t>
      </w:r>
      <w:r>
        <w:rPr>
          <w:i/>
          <w:w w:val="105"/>
          <w:sz w:val="21"/>
        </w:rPr>
        <w:t>Do</w:t>
      </w:r>
      <w:r>
        <w:rPr>
          <w:i/>
          <w:spacing w:val="5"/>
          <w:w w:val="105"/>
          <w:sz w:val="21"/>
        </w:rPr>
        <w:t> </w:t>
      </w:r>
      <w:r>
        <w:rPr>
          <w:i/>
          <w:w w:val="105"/>
          <w:sz w:val="21"/>
        </w:rPr>
        <w:t>if</w:t>
      </w:r>
      <w:r>
        <w:rPr>
          <w:i/>
          <w:spacing w:val="6"/>
          <w:w w:val="105"/>
          <w:sz w:val="21"/>
        </w:rPr>
        <w:t> </w:t>
      </w:r>
      <w:r>
        <w:rPr>
          <w:i/>
          <w:w w:val="105"/>
          <w:sz w:val="21"/>
        </w:rPr>
        <w:t>a</w:t>
      </w:r>
      <w:r>
        <w:rPr>
          <w:i/>
          <w:spacing w:val="5"/>
          <w:w w:val="105"/>
          <w:sz w:val="21"/>
        </w:rPr>
        <w:t> </w:t>
      </w:r>
      <w:r>
        <w:rPr>
          <w:i/>
          <w:w w:val="105"/>
          <w:sz w:val="21"/>
        </w:rPr>
        <w:t>Neighbour’s</w:t>
      </w:r>
      <w:r>
        <w:rPr>
          <w:i/>
          <w:spacing w:val="5"/>
          <w:w w:val="105"/>
          <w:sz w:val="21"/>
        </w:rPr>
        <w:t> </w:t>
      </w:r>
      <w:r>
        <w:rPr>
          <w:i/>
          <w:spacing w:val="-4"/>
          <w:w w:val="105"/>
          <w:sz w:val="21"/>
        </w:rPr>
        <w:t>Tree</w:t>
      </w:r>
      <w:r>
        <w:rPr>
          <w:i/>
          <w:spacing w:val="5"/>
          <w:w w:val="105"/>
          <w:sz w:val="21"/>
        </w:rPr>
        <w:t> </w:t>
      </w:r>
      <w:r>
        <w:rPr>
          <w:i/>
          <w:w w:val="105"/>
          <w:sz w:val="21"/>
        </w:rPr>
        <w:t>is</w:t>
      </w:r>
      <w:r>
        <w:rPr>
          <w:i/>
          <w:spacing w:val="6"/>
          <w:w w:val="105"/>
          <w:sz w:val="21"/>
        </w:rPr>
        <w:t> </w:t>
      </w:r>
      <w:r>
        <w:rPr>
          <w:i/>
          <w:w w:val="105"/>
          <w:sz w:val="21"/>
        </w:rPr>
        <w:t>Affecting</w:t>
      </w:r>
      <w:r>
        <w:rPr>
          <w:i/>
          <w:spacing w:val="5"/>
          <w:w w:val="105"/>
          <w:sz w:val="21"/>
        </w:rPr>
        <w:t> </w:t>
      </w:r>
      <w:r>
        <w:rPr>
          <w:i/>
          <w:spacing w:val="-6"/>
          <w:w w:val="105"/>
          <w:sz w:val="21"/>
        </w:rPr>
        <w:t>You</w:t>
      </w:r>
      <w:r>
        <w:rPr>
          <w:i/>
          <w:spacing w:val="5"/>
          <w:w w:val="105"/>
          <w:sz w:val="21"/>
        </w:rPr>
        <w:t> </w:t>
      </w:r>
      <w:r>
        <w:rPr>
          <w:w w:val="105"/>
          <w:sz w:val="21"/>
        </w:rPr>
        <w:t>(Web</w:t>
      </w:r>
      <w:r>
        <w:rPr>
          <w:spacing w:val="6"/>
          <w:w w:val="105"/>
          <w:sz w:val="21"/>
        </w:rPr>
        <w:t> </w:t>
      </w:r>
      <w:r>
        <w:rPr>
          <w:spacing w:val="-3"/>
          <w:w w:val="105"/>
          <w:sz w:val="21"/>
        </w:rPr>
        <w:t>Page,</w:t>
      </w:r>
      <w:r>
        <w:rPr>
          <w:spacing w:val="5"/>
          <w:w w:val="105"/>
          <w:sz w:val="21"/>
        </w:rPr>
        <w:t> </w:t>
      </w:r>
      <w:r>
        <w:rPr>
          <w:w w:val="105"/>
          <w:sz w:val="21"/>
        </w:rPr>
        <w:t>8</w:t>
      </w:r>
      <w:r>
        <w:rPr>
          <w:spacing w:val="5"/>
          <w:w w:val="105"/>
          <w:sz w:val="21"/>
        </w:rPr>
        <w:t> </w:t>
      </w:r>
      <w:r>
        <w:rPr>
          <w:w w:val="105"/>
          <w:sz w:val="21"/>
        </w:rPr>
        <w:t>January</w:t>
      </w:r>
      <w:r>
        <w:rPr>
          <w:spacing w:val="5"/>
          <w:w w:val="105"/>
          <w:sz w:val="21"/>
        </w:rPr>
        <w:t> </w:t>
      </w:r>
      <w:r>
        <w:rPr>
          <w:spacing w:val="-5"/>
          <w:w w:val="105"/>
          <w:sz w:val="21"/>
        </w:rPr>
        <w:t>2019)</w:t>
      </w:r>
    </w:p>
    <w:p>
      <w:pPr>
        <w:pStyle w:val="BodyText"/>
        <w:spacing w:line="242" w:lineRule="auto" w:before="4"/>
        <w:ind w:left="1927" w:right="1683"/>
      </w:pPr>
      <w:r>
        <w:rPr>
          <w:w w:val="105"/>
        </w:rPr>
        <w:t>&lt;https://</w:t>
      </w:r>
      <w:hyperlink r:id="rId472">
        <w:r>
          <w:rPr>
            <w:w w:val="105"/>
          </w:rPr>
          <w:t>www.qld.gov.au/law/housing-and-neighbours/disputes-about-fences-trees-and-</w:t>
        </w:r>
      </w:hyperlink>
      <w:r>
        <w:rPr>
          <w:w w:val="105"/>
        </w:rPr>
        <w:t> </w:t>
      </w:r>
      <w:r>
        <w:rPr/>
        <w:t>buildings/resolving-tree-and-fence-disputes/what-to-do-if-a-neighbours-tree-is-affecting-you&gt;</w:t>
      </w:r>
    </w:p>
    <w:p>
      <w:pPr>
        <w:pStyle w:val="BodyText"/>
        <w:spacing w:before="104"/>
        <w:ind w:left="1587"/>
      </w:pPr>
      <w:r>
        <w:rPr>
          <w:w w:val="105"/>
        </w:rPr>
        <w:t>Queensland Law Reform Commission,</w:t>
      </w:r>
    </w:p>
    <w:p>
      <w:pPr>
        <w:pStyle w:val="ListParagraph"/>
        <w:numPr>
          <w:ilvl w:val="1"/>
          <w:numId w:val="224"/>
        </w:numPr>
        <w:tabs>
          <w:tab w:pos="1927" w:val="left" w:leader="none"/>
          <w:tab w:pos="1928" w:val="left" w:leader="none"/>
        </w:tabs>
        <w:spacing w:line="242" w:lineRule="auto" w:before="106" w:after="0"/>
        <w:ind w:left="1927" w:right="2741" w:hanging="340"/>
        <w:jc w:val="left"/>
        <w:rPr>
          <w:sz w:val="21"/>
        </w:rPr>
      </w:pPr>
      <w:r>
        <w:rPr>
          <w:i/>
          <w:w w:val="105"/>
          <w:sz w:val="21"/>
        </w:rPr>
        <w:t>Review </w:t>
      </w:r>
      <w:r>
        <w:rPr>
          <w:i/>
          <w:spacing w:val="-3"/>
          <w:w w:val="105"/>
          <w:sz w:val="21"/>
        </w:rPr>
        <w:t>of </w:t>
      </w:r>
      <w:r>
        <w:rPr>
          <w:i/>
          <w:w w:val="105"/>
          <w:sz w:val="21"/>
        </w:rPr>
        <w:t>the Neighbourhood </w:t>
      </w:r>
      <w:r>
        <w:rPr>
          <w:i/>
          <w:spacing w:val="-3"/>
          <w:w w:val="105"/>
          <w:sz w:val="21"/>
        </w:rPr>
        <w:t>Disputes </w:t>
      </w:r>
      <w:r>
        <w:rPr>
          <w:i/>
          <w:w w:val="105"/>
          <w:sz w:val="21"/>
        </w:rPr>
        <w:t>(Dividing Fences and </w:t>
      </w:r>
      <w:r>
        <w:rPr>
          <w:i/>
          <w:spacing w:val="-3"/>
          <w:w w:val="105"/>
          <w:sz w:val="21"/>
        </w:rPr>
        <w:t>Trees) </w:t>
      </w:r>
      <w:r>
        <w:rPr>
          <w:i/>
          <w:w w:val="105"/>
          <w:sz w:val="21"/>
        </w:rPr>
        <w:t>Act </w:t>
      </w:r>
      <w:r>
        <w:rPr>
          <w:i/>
          <w:spacing w:val="-11"/>
          <w:w w:val="105"/>
          <w:sz w:val="21"/>
        </w:rPr>
        <w:t>2011 </w:t>
      </w:r>
      <w:r>
        <w:rPr>
          <w:w w:val="105"/>
          <w:sz w:val="21"/>
        </w:rPr>
        <w:t>(Qld) (Report No </w:t>
      </w:r>
      <w:r>
        <w:rPr>
          <w:spacing w:val="-4"/>
          <w:w w:val="105"/>
          <w:sz w:val="21"/>
        </w:rPr>
        <w:t>72, </w:t>
      </w:r>
      <w:r>
        <w:rPr>
          <w:w w:val="105"/>
          <w:sz w:val="21"/>
        </w:rPr>
        <w:t>December</w:t>
      </w:r>
      <w:r>
        <w:rPr>
          <w:spacing w:val="25"/>
          <w:w w:val="105"/>
          <w:sz w:val="21"/>
        </w:rPr>
        <w:t> </w:t>
      </w:r>
      <w:r>
        <w:rPr>
          <w:spacing w:val="-6"/>
          <w:w w:val="105"/>
          <w:sz w:val="21"/>
        </w:rPr>
        <w:t>2015)</w:t>
      </w:r>
    </w:p>
    <w:p>
      <w:pPr>
        <w:pStyle w:val="ListParagraph"/>
        <w:numPr>
          <w:ilvl w:val="1"/>
          <w:numId w:val="224"/>
        </w:numPr>
        <w:tabs>
          <w:tab w:pos="1927" w:val="left" w:leader="none"/>
          <w:tab w:pos="1928" w:val="left" w:leader="none"/>
        </w:tabs>
        <w:spacing w:line="242" w:lineRule="auto" w:before="104" w:after="0"/>
        <w:ind w:left="1927" w:right="2741" w:hanging="340"/>
        <w:jc w:val="left"/>
        <w:rPr>
          <w:sz w:val="21"/>
        </w:rPr>
      </w:pPr>
      <w:r>
        <w:rPr>
          <w:i/>
          <w:w w:val="105"/>
          <w:sz w:val="21"/>
        </w:rPr>
        <w:t>Review </w:t>
      </w:r>
      <w:r>
        <w:rPr>
          <w:i/>
          <w:spacing w:val="-3"/>
          <w:w w:val="105"/>
          <w:sz w:val="21"/>
        </w:rPr>
        <w:t>of </w:t>
      </w:r>
      <w:r>
        <w:rPr>
          <w:i/>
          <w:w w:val="105"/>
          <w:sz w:val="21"/>
        </w:rPr>
        <w:t>the Neighbourhood </w:t>
      </w:r>
      <w:r>
        <w:rPr>
          <w:i/>
          <w:spacing w:val="-3"/>
          <w:w w:val="105"/>
          <w:sz w:val="21"/>
        </w:rPr>
        <w:t>Disputes </w:t>
      </w:r>
      <w:r>
        <w:rPr>
          <w:i/>
          <w:w w:val="105"/>
          <w:sz w:val="21"/>
        </w:rPr>
        <w:t>(Dividing Fences and </w:t>
      </w:r>
      <w:r>
        <w:rPr>
          <w:i/>
          <w:spacing w:val="-3"/>
          <w:w w:val="105"/>
          <w:sz w:val="21"/>
        </w:rPr>
        <w:t>Trees) </w:t>
      </w:r>
      <w:r>
        <w:rPr>
          <w:i/>
          <w:w w:val="105"/>
          <w:sz w:val="21"/>
        </w:rPr>
        <w:t>Act </w:t>
      </w:r>
      <w:r>
        <w:rPr>
          <w:i/>
          <w:spacing w:val="-11"/>
          <w:w w:val="105"/>
          <w:sz w:val="21"/>
        </w:rPr>
        <w:t>2011 </w:t>
      </w:r>
      <w:r>
        <w:rPr>
          <w:w w:val="105"/>
          <w:sz w:val="21"/>
        </w:rPr>
        <w:t>(Qld) (Discussion Paper No </w:t>
      </w:r>
      <w:r>
        <w:rPr>
          <w:spacing w:val="-4"/>
          <w:w w:val="105"/>
          <w:sz w:val="21"/>
        </w:rPr>
        <w:t>72, </w:t>
      </w:r>
      <w:r>
        <w:rPr>
          <w:w w:val="105"/>
          <w:sz w:val="21"/>
        </w:rPr>
        <w:t>June</w:t>
      </w:r>
      <w:r>
        <w:rPr>
          <w:spacing w:val="28"/>
          <w:w w:val="105"/>
          <w:sz w:val="21"/>
        </w:rPr>
        <w:t> </w:t>
      </w:r>
      <w:r>
        <w:rPr>
          <w:spacing w:val="-6"/>
          <w:w w:val="105"/>
          <w:sz w:val="21"/>
        </w:rPr>
        <w:t>2015)</w:t>
      </w:r>
    </w:p>
    <w:p>
      <w:pPr>
        <w:spacing w:before="104"/>
        <w:ind w:left="1587" w:right="0" w:firstLine="0"/>
        <w:jc w:val="left"/>
        <w:rPr>
          <w:sz w:val="21"/>
        </w:rPr>
      </w:pPr>
      <w:r>
        <w:rPr>
          <w:w w:val="105"/>
          <w:sz w:val="21"/>
        </w:rPr>
        <w:t>RACV</w:t>
      </w:r>
      <w:r>
        <w:rPr>
          <w:i/>
          <w:w w:val="105"/>
          <w:sz w:val="21"/>
        </w:rPr>
        <w:t>, Home Insurance Product Disclosure Statement and Policy Booklet </w:t>
      </w:r>
      <w:r>
        <w:rPr>
          <w:w w:val="105"/>
          <w:sz w:val="21"/>
        </w:rPr>
        <w:t>(29 September 2017)</w:t>
      </w:r>
    </w:p>
    <w:p>
      <w:pPr>
        <w:pStyle w:val="BodyText"/>
        <w:spacing w:line="242" w:lineRule="auto" w:before="106"/>
        <w:ind w:left="1587" w:right="1628"/>
      </w:pPr>
      <w:r>
        <w:rPr>
          <w:spacing w:val="-3"/>
          <w:w w:val="105"/>
        </w:rPr>
        <w:t>Rahman, </w:t>
      </w:r>
      <w:r>
        <w:rPr>
          <w:w w:val="105"/>
        </w:rPr>
        <w:t>Khaleda ‘Every </w:t>
      </w:r>
      <w:r>
        <w:rPr>
          <w:spacing w:val="-3"/>
          <w:w w:val="105"/>
        </w:rPr>
        <w:t>Neighbour’s </w:t>
      </w:r>
      <w:r>
        <w:rPr>
          <w:w w:val="105"/>
        </w:rPr>
        <w:t>Worst </w:t>
      </w:r>
      <w:r>
        <w:rPr>
          <w:spacing w:val="-3"/>
          <w:w w:val="105"/>
        </w:rPr>
        <w:t>Nightmare: </w:t>
      </w:r>
      <w:r>
        <w:rPr>
          <w:spacing w:val="-4"/>
          <w:w w:val="105"/>
        </w:rPr>
        <w:t>Family </w:t>
      </w:r>
      <w:r>
        <w:rPr>
          <w:spacing w:val="-3"/>
          <w:w w:val="105"/>
        </w:rPr>
        <w:t>Comes </w:t>
      </w:r>
      <w:r>
        <w:rPr>
          <w:w w:val="105"/>
        </w:rPr>
        <w:t>Home </w:t>
      </w:r>
      <w:r>
        <w:rPr>
          <w:spacing w:val="-3"/>
          <w:w w:val="105"/>
        </w:rPr>
        <w:t>to Find </w:t>
      </w:r>
      <w:r>
        <w:rPr>
          <w:w w:val="105"/>
        </w:rPr>
        <w:t>Beloved </w:t>
      </w:r>
      <w:r>
        <w:rPr>
          <w:spacing w:val="-4"/>
          <w:w w:val="105"/>
        </w:rPr>
        <w:t>Trees </w:t>
      </w:r>
      <w:r>
        <w:rPr>
          <w:w w:val="105"/>
        </w:rPr>
        <w:t>Destroyed by </w:t>
      </w:r>
      <w:r>
        <w:rPr>
          <w:spacing w:val="-4"/>
          <w:w w:val="105"/>
        </w:rPr>
        <w:t>Chainsaw </w:t>
      </w:r>
      <w:r>
        <w:rPr>
          <w:spacing w:val="-2"/>
          <w:w w:val="105"/>
        </w:rPr>
        <w:t>Wielding </w:t>
      </w:r>
      <w:r>
        <w:rPr>
          <w:spacing w:val="-7"/>
          <w:w w:val="105"/>
        </w:rPr>
        <w:t>Man’, </w:t>
      </w:r>
      <w:r>
        <w:rPr>
          <w:i/>
          <w:w w:val="105"/>
        </w:rPr>
        <w:t>Daily Mail </w:t>
      </w:r>
      <w:r>
        <w:rPr>
          <w:i/>
          <w:spacing w:val="-3"/>
          <w:w w:val="105"/>
        </w:rPr>
        <w:t>Australia (</w:t>
      </w:r>
      <w:r>
        <w:rPr>
          <w:spacing w:val="-3"/>
          <w:w w:val="105"/>
        </w:rPr>
        <w:t>online, </w:t>
      </w:r>
      <w:r>
        <w:rPr>
          <w:spacing w:val="-12"/>
          <w:w w:val="105"/>
        </w:rPr>
        <w:t>11 </w:t>
      </w:r>
      <w:r>
        <w:rPr>
          <w:spacing w:val="-2"/>
          <w:w w:val="105"/>
        </w:rPr>
        <w:t>May </w:t>
      </w:r>
      <w:r>
        <w:rPr>
          <w:spacing w:val="-7"/>
          <w:w w:val="105"/>
        </w:rPr>
        <w:t>2017) </w:t>
      </w:r>
      <w:r>
        <w:rPr>
          <w:w w:val="105"/>
        </w:rPr>
        <w:t>&lt;https://</w:t>
      </w:r>
      <w:hyperlink r:id="rId279">
        <w:r>
          <w:rPr>
            <w:w w:val="105"/>
          </w:rPr>
          <w:t>www.</w:t>
        </w:r>
      </w:hyperlink>
      <w:r>
        <w:rPr>
          <w:w w:val="105"/>
        </w:rPr>
        <w:t> </w:t>
      </w:r>
      <w:r>
        <w:rPr>
          <w:spacing w:val="-1"/>
        </w:rPr>
        <w:t>dailymail.co.uk/news/article-4494582/Family-returns-home-backyard-trees-CHOPPED-down.html&gt;</w:t>
      </w:r>
    </w:p>
    <w:p>
      <w:pPr>
        <w:pStyle w:val="BodyText"/>
        <w:spacing w:before="105"/>
        <w:ind w:left="1587"/>
      </w:pPr>
      <w:r>
        <w:rPr>
          <w:w w:val="105"/>
        </w:rPr>
        <w:t>Resource Management and Planning Appeal Tribunal,</w:t>
      </w:r>
    </w:p>
    <w:p>
      <w:pPr>
        <w:pStyle w:val="ListParagraph"/>
        <w:numPr>
          <w:ilvl w:val="1"/>
          <w:numId w:val="224"/>
        </w:numPr>
        <w:tabs>
          <w:tab w:pos="1927" w:val="left" w:leader="none"/>
          <w:tab w:pos="1928" w:val="left" w:leader="none"/>
        </w:tabs>
        <w:spacing w:line="240" w:lineRule="auto" w:before="106" w:after="0"/>
        <w:ind w:left="1927" w:right="0" w:hanging="340"/>
        <w:jc w:val="left"/>
        <w:rPr>
          <w:sz w:val="21"/>
        </w:rPr>
      </w:pPr>
      <w:r>
        <w:rPr>
          <w:i/>
          <w:spacing w:val="-3"/>
          <w:w w:val="105"/>
          <w:sz w:val="21"/>
        </w:rPr>
        <w:t>Application </w:t>
      </w:r>
      <w:r>
        <w:rPr>
          <w:i/>
          <w:w w:val="105"/>
          <w:sz w:val="21"/>
        </w:rPr>
        <w:t>under Neighbourhood </w:t>
      </w:r>
      <w:r>
        <w:rPr>
          <w:i/>
          <w:spacing w:val="-3"/>
          <w:w w:val="105"/>
          <w:sz w:val="21"/>
        </w:rPr>
        <w:t>Disputes </w:t>
      </w:r>
      <w:r>
        <w:rPr>
          <w:i/>
          <w:w w:val="105"/>
          <w:sz w:val="21"/>
        </w:rPr>
        <w:t>About Plants Act </w:t>
      </w:r>
      <w:r>
        <w:rPr>
          <w:i/>
          <w:spacing w:val="-10"/>
          <w:w w:val="105"/>
          <w:sz w:val="21"/>
        </w:rPr>
        <w:t>2017 </w:t>
      </w:r>
      <w:r>
        <w:rPr>
          <w:w w:val="105"/>
          <w:sz w:val="21"/>
        </w:rPr>
        <w:t>(Web</w:t>
      </w:r>
      <w:r>
        <w:rPr>
          <w:spacing w:val="25"/>
          <w:w w:val="105"/>
          <w:sz w:val="21"/>
        </w:rPr>
        <w:t> </w:t>
      </w:r>
      <w:r>
        <w:rPr>
          <w:w w:val="105"/>
          <w:sz w:val="21"/>
        </w:rPr>
        <w:t>Page)</w:t>
      </w:r>
    </w:p>
    <w:p>
      <w:pPr>
        <w:pStyle w:val="BodyText"/>
        <w:spacing w:before="4"/>
        <w:ind w:left="1927"/>
      </w:pPr>
      <w:r>
        <w:rPr>
          <w:w w:val="105"/>
        </w:rPr>
        <w:t>&lt;https://</w:t>
      </w:r>
      <w:hyperlink r:id="rId114">
        <w:r>
          <w:rPr>
            <w:w w:val="105"/>
          </w:rPr>
          <w:t>www.rmpat.tas.gov.au/forms#application</w:t>
        </w:r>
      </w:hyperlink>
      <w:r>
        <w:rPr>
          <w:w w:val="105"/>
        </w:rPr>
        <w:t>&gt;</w:t>
      </w:r>
    </w:p>
    <w:p>
      <w:pPr>
        <w:pStyle w:val="ListParagraph"/>
        <w:numPr>
          <w:ilvl w:val="1"/>
          <w:numId w:val="224"/>
        </w:numPr>
        <w:tabs>
          <w:tab w:pos="1927" w:val="left" w:leader="none"/>
          <w:tab w:pos="1928" w:val="left" w:leader="none"/>
        </w:tabs>
        <w:spacing w:line="242" w:lineRule="auto" w:before="105" w:after="0"/>
        <w:ind w:left="1927" w:right="1746" w:hanging="340"/>
        <w:jc w:val="left"/>
        <w:rPr>
          <w:sz w:val="21"/>
        </w:rPr>
      </w:pPr>
      <w:r>
        <w:rPr>
          <w:i/>
          <w:w w:val="105"/>
          <w:sz w:val="21"/>
        </w:rPr>
        <w:t>Neighbourhood</w:t>
      </w:r>
      <w:r>
        <w:rPr>
          <w:i/>
          <w:spacing w:val="-7"/>
          <w:w w:val="105"/>
          <w:sz w:val="21"/>
        </w:rPr>
        <w:t> </w:t>
      </w:r>
      <w:r>
        <w:rPr>
          <w:i/>
          <w:spacing w:val="-3"/>
          <w:w w:val="105"/>
          <w:sz w:val="21"/>
        </w:rPr>
        <w:t>Disputes</w:t>
      </w:r>
      <w:r>
        <w:rPr>
          <w:i/>
          <w:spacing w:val="-7"/>
          <w:w w:val="105"/>
          <w:sz w:val="21"/>
        </w:rPr>
        <w:t> </w:t>
      </w:r>
      <w:r>
        <w:rPr>
          <w:i/>
          <w:w w:val="105"/>
          <w:sz w:val="21"/>
        </w:rPr>
        <w:t>About</w:t>
      </w:r>
      <w:r>
        <w:rPr>
          <w:i/>
          <w:spacing w:val="-7"/>
          <w:w w:val="105"/>
          <w:sz w:val="21"/>
        </w:rPr>
        <w:t> </w:t>
      </w:r>
      <w:r>
        <w:rPr>
          <w:i/>
          <w:w w:val="105"/>
          <w:sz w:val="21"/>
        </w:rPr>
        <w:t>Plants</w:t>
      </w:r>
      <w:r>
        <w:rPr>
          <w:i/>
          <w:spacing w:val="-7"/>
          <w:w w:val="105"/>
          <w:sz w:val="21"/>
        </w:rPr>
        <w:t> </w:t>
      </w:r>
      <w:r>
        <w:rPr>
          <w:i/>
          <w:w w:val="105"/>
          <w:sz w:val="21"/>
        </w:rPr>
        <w:t>Act</w:t>
      </w:r>
      <w:r>
        <w:rPr>
          <w:i/>
          <w:spacing w:val="-7"/>
          <w:w w:val="105"/>
          <w:sz w:val="21"/>
        </w:rPr>
        <w:t> </w:t>
      </w:r>
      <w:r>
        <w:rPr>
          <w:i/>
          <w:spacing w:val="-10"/>
          <w:w w:val="105"/>
          <w:sz w:val="21"/>
        </w:rPr>
        <w:t>2017</w:t>
      </w:r>
      <w:r>
        <w:rPr>
          <w:i/>
          <w:spacing w:val="-7"/>
          <w:w w:val="105"/>
          <w:sz w:val="21"/>
        </w:rPr>
        <w:t> </w:t>
      </w:r>
      <w:r>
        <w:rPr>
          <w:w w:val="105"/>
          <w:sz w:val="21"/>
        </w:rPr>
        <w:t>(Web</w:t>
      </w:r>
      <w:r>
        <w:rPr>
          <w:spacing w:val="-7"/>
          <w:w w:val="105"/>
          <w:sz w:val="21"/>
        </w:rPr>
        <w:t> </w:t>
      </w:r>
      <w:r>
        <w:rPr>
          <w:w w:val="105"/>
          <w:sz w:val="21"/>
        </w:rPr>
        <w:t>Page)</w:t>
      </w:r>
      <w:r>
        <w:rPr>
          <w:spacing w:val="-7"/>
          <w:w w:val="105"/>
          <w:sz w:val="21"/>
        </w:rPr>
        <w:t> </w:t>
      </w:r>
      <w:r>
        <w:rPr>
          <w:w w:val="105"/>
          <w:sz w:val="21"/>
        </w:rPr>
        <w:t>&lt;https://</w:t>
      </w:r>
      <w:hyperlink r:id="rId187">
        <w:r>
          <w:rPr>
            <w:w w:val="105"/>
            <w:sz w:val="21"/>
          </w:rPr>
          <w:t>www.rmpat.tas.gov.au/</w:t>
        </w:r>
      </w:hyperlink>
      <w:r>
        <w:rPr>
          <w:w w:val="105"/>
          <w:sz w:val="21"/>
        </w:rPr>
        <w:t> neighbourhood-disputes-about-plants&gt;</w:t>
      </w:r>
    </w:p>
    <w:p>
      <w:pPr>
        <w:pStyle w:val="ListParagraph"/>
        <w:numPr>
          <w:ilvl w:val="1"/>
          <w:numId w:val="224"/>
        </w:numPr>
        <w:tabs>
          <w:tab w:pos="1927" w:val="left" w:leader="none"/>
          <w:tab w:pos="1928" w:val="left" w:leader="none"/>
        </w:tabs>
        <w:spacing w:line="240" w:lineRule="auto" w:before="104" w:after="0"/>
        <w:ind w:left="1927" w:right="0" w:hanging="340"/>
        <w:jc w:val="left"/>
        <w:rPr>
          <w:sz w:val="21"/>
        </w:rPr>
      </w:pPr>
      <w:r>
        <w:rPr>
          <w:i/>
          <w:spacing w:val="-3"/>
          <w:w w:val="105"/>
          <w:sz w:val="21"/>
        </w:rPr>
        <w:t>Resource </w:t>
      </w:r>
      <w:r>
        <w:rPr>
          <w:i/>
          <w:w w:val="105"/>
          <w:sz w:val="21"/>
        </w:rPr>
        <w:t>Management &amp; </w:t>
      </w:r>
      <w:r>
        <w:rPr>
          <w:i/>
          <w:spacing w:val="-3"/>
          <w:w w:val="105"/>
          <w:sz w:val="21"/>
        </w:rPr>
        <w:t>Planning </w:t>
      </w:r>
      <w:r>
        <w:rPr>
          <w:i/>
          <w:w w:val="105"/>
          <w:sz w:val="21"/>
        </w:rPr>
        <w:t>Appeal </w:t>
      </w:r>
      <w:r>
        <w:rPr>
          <w:i/>
          <w:spacing w:val="-4"/>
          <w:w w:val="105"/>
          <w:sz w:val="21"/>
        </w:rPr>
        <w:t>Tribunal </w:t>
      </w:r>
      <w:r>
        <w:rPr>
          <w:w w:val="105"/>
          <w:sz w:val="21"/>
        </w:rPr>
        <w:t>(Web </w:t>
      </w:r>
      <w:r>
        <w:rPr>
          <w:spacing w:val="-3"/>
          <w:w w:val="105"/>
          <w:sz w:val="21"/>
        </w:rPr>
        <w:t>Page, </w:t>
      </w:r>
      <w:r>
        <w:rPr>
          <w:w w:val="105"/>
          <w:sz w:val="21"/>
        </w:rPr>
        <w:t>2 January</w:t>
      </w:r>
      <w:r>
        <w:rPr>
          <w:spacing w:val="7"/>
          <w:w w:val="105"/>
          <w:sz w:val="21"/>
        </w:rPr>
        <w:t> </w:t>
      </w:r>
      <w:r>
        <w:rPr>
          <w:spacing w:val="-5"/>
          <w:w w:val="105"/>
          <w:sz w:val="21"/>
        </w:rPr>
        <w:t>2019)</w:t>
      </w:r>
    </w:p>
    <w:p>
      <w:pPr>
        <w:pStyle w:val="BodyText"/>
        <w:spacing w:before="4"/>
        <w:ind w:left="1927"/>
      </w:pPr>
      <w:r>
        <w:rPr>
          <w:w w:val="105"/>
        </w:rPr>
        <w:t>&lt;</w:t>
      </w:r>
      <w:hyperlink r:id="rId187">
        <w:r>
          <w:rPr>
            <w:w w:val="105"/>
          </w:rPr>
          <w:t>www.rmpat.tas.gov.au/</w:t>
        </w:r>
      </w:hyperlink>
      <w:r>
        <w:rPr>
          <w:w w:val="105"/>
        </w:rPr>
        <w:t>&gt;</w:t>
      </w:r>
    </w:p>
    <w:p>
      <w:pPr>
        <w:spacing w:line="242" w:lineRule="auto" w:before="106"/>
        <w:ind w:left="1587" w:right="1636" w:firstLine="0"/>
        <w:jc w:val="left"/>
        <w:rPr>
          <w:sz w:val="21"/>
        </w:rPr>
      </w:pPr>
      <w:r>
        <w:rPr>
          <w:w w:val="105"/>
          <w:sz w:val="21"/>
        </w:rPr>
        <w:t>Roberts, </w:t>
      </w:r>
      <w:r>
        <w:rPr>
          <w:spacing w:val="-3"/>
          <w:w w:val="105"/>
          <w:sz w:val="21"/>
        </w:rPr>
        <w:t>John, </w:t>
      </w:r>
      <w:r>
        <w:rPr>
          <w:w w:val="105"/>
          <w:sz w:val="21"/>
        </w:rPr>
        <w:t>Nick Jackson and Mark </w:t>
      </w:r>
      <w:r>
        <w:rPr>
          <w:spacing w:val="-3"/>
          <w:w w:val="105"/>
          <w:sz w:val="21"/>
        </w:rPr>
        <w:t>Smith, </w:t>
      </w:r>
      <w:r>
        <w:rPr>
          <w:i/>
          <w:spacing w:val="-4"/>
          <w:w w:val="105"/>
          <w:sz w:val="21"/>
        </w:rPr>
        <w:t>Tree </w:t>
      </w:r>
      <w:r>
        <w:rPr>
          <w:i/>
          <w:w w:val="105"/>
          <w:sz w:val="21"/>
        </w:rPr>
        <w:t>Roots in the Built </w:t>
      </w:r>
      <w:r>
        <w:rPr>
          <w:i/>
          <w:spacing w:val="-3"/>
          <w:w w:val="105"/>
          <w:sz w:val="21"/>
        </w:rPr>
        <w:t>Environment </w:t>
      </w:r>
      <w:r>
        <w:rPr>
          <w:spacing w:val="-3"/>
          <w:w w:val="105"/>
          <w:sz w:val="21"/>
        </w:rPr>
        <w:t>(Arboricultural </w:t>
      </w:r>
      <w:r>
        <w:rPr>
          <w:w w:val="105"/>
          <w:sz w:val="21"/>
        </w:rPr>
        <w:t>Association, UK, 2005)</w:t>
      </w:r>
    </w:p>
    <w:p>
      <w:pPr>
        <w:spacing w:line="242" w:lineRule="auto" w:before="104"/>
        <w:ind w:left="1587" w:right="1636" w:firstLine="0"/>
        <w:jc w:val="left"/>
        <w:rPr>
          <w:sz w:val="21"/>
        </w:rPr>
      </w:pPr>
      <w:r>
        <w:rPr>
          <w:spacing w:val="-4"/>
          <w:w w:val="105"/>
          <w:sz w:val="21"/>
        </w:rPr>
        <w:t>Rowley,</w:t>
      </w:r>
      <w:r>
        <w:rPr>
          <w:spacing w:val="-15"/>
          <w:w w:val="105"/>
          <w:sz w:val="21"/>
        </w:rPr>
        <w:t> </w:t>
      </w:r>
      <w:r>
        <w:rPr>
          <w:spacing w:val="-3"/>
          <w:w w:val="105"/>
          <w:sz w:val="21"/>
        </w:rPr>
        <w:t>Stephen,</w:t>
      </w:r>
      <w:r>
        <w:rPr>
          <w:spacing w:val="-14"/>
          <w:w w:val="105"/>
          <w:sz w:val="21"/>
        </w:rPr>
        <w:t> </w:t>
      </w:r>
      <w:r>
        <w:rPr>
          <w:i/>
          <w:w w:val="105"/>
          <w:sz w:val="21"/>
        </w:rPr>
        <w:t>The</w:t>
      </w:r>
      <w:r>
        <w:rPr>
          <w:i/>
          <w:spacing w:val="-15"/>
          <w:w w:val="105"/>
          <w:sz w:val="21"/>
        </w:rPr>
        <w:t> </w:t>
      </w:r>
      <w:r>
        <w:rPr>
          <w:i/>
          <w:w w:val="105"/>
          <w:sz w:val="21"/>
        </w:rPr>
        <w:t>Victorian</w:t>
      </w:r>
      <w:r>
        <w:rPr>
          <w:i/>
          <w:spacing w:val="-14"/>
          <w:w w:val="105"/>
          <w:sz w:val="21"/>
        </w:rPr>
        <w:t> </w:t>
      </w:r>
      <w:r>
        <w:rPr>
          <w:i/>
          <w:spacing w:val="-3"/>
          <w:w w:val="105"/>
          <w:sz w:val="21"/>
        </w:rPr>
        <w:t>Planning</w:t>
      </w:r>
      <w:r>
        <w:rPr>
          <w:i/>
          <w:spacing w:val="-14"/>
          <w:w w:val="105"/>
          <w:sz w:val="21"/>
        </w:rPr>
        <w:t> </w:t>
      </w:r>
      <w:r>
        <w:rPr>
          <w:i/>
          <w:w w:val="105"/>
          <w:sz w:val="21"/>
        </w:rPr>
        <w:t>System–Practice,</w:t>
      </w:r>
      <w:r>
        <w:rPr>
          <w:i/>
          <w:spacing w:val="-15"/>
          <w:w w:val="105"/>
          <w:sz w:val="21"/>
        </w:rPr>
        <w:t> </w:t>
      </w:r>
      <w:r>
        <w:rPr>
          <w:i/>
          <w:w w:val="105"/>
          <w:sz w:val="21"/>
        </w:rPr>
        <w:t>Problems</w:t>
      </w:r>
      <w:r>
        <w:rPr>
          <w:i/>
          <w:spacing w:val="-14"/>
          <w:w w:val="105"/>
          <w:sz w:val="21"/>
        </w:rPr>
        <w:t> </w:t>
      </w:r>
      <w:r>
        <w:rPr>
          <w:i/>
          <w:w w:val="105"/>
          <w:sz w:val="21"/>
        </w:rPr>
        <w:t>and</w:t>
      </w:r>
      <w:r>
        <w:rPr>
          <w:i/>
          <w:spacing w:val="-14"/>
          <w:w w:val="105"/>
          <w:sz w:val="21"/>
        </w:rPr>
        <w:t> </w:t>
      </w:r>
      <w:r>
        <w:rPr>
          <w:i/>
          <w:w w:val="105"/>
          <w:sz w:val="21"/>
        </w:rPr>
        <w:t>Prospects</w:t>
      </w:r>
      <w:r>
        <w:rPr>
          <w:i/>
          <w:spacing w:val="-14"/>
          <w:w w:val="105"/>
          <w:sz w:val="21"/>
        </w:rPr>
        <w:t> </w:t>
      </w:r>
      <w:r>
        <w:rPr>
          <w:w w:val="105"/>
          <w:sz w:val="21"/>
        </w:rPr>
        <w:t>(The</w:t>
      </w:r>
      <w:r>
        <w:rPr>
          <w:spacing w:val="-14"/>
          <w:w w:val="105"/>
          <w:sz w:val="21"/>
        </w:rPr>
        <w:t> </w:t>
      </w:r>
      <w:r>
        <w:rPr>
          <w:w w:val="105"/>
          <w:sz w:val="21"/>
        </w:rPr>
        <w:t>Federation Press,</w:t>
      </w:r>
      <w:r>
        <w:rPr>
          <w:spacing w:val="5"/>
          <w:w w:val="105"/>
          <w:sz w:val="21"/>
        </w:rPr>
        <w:t> </w:t>
      </w:r>
      <w:r>
        <w:rPr>
          <w:spacing w:val="-7"/>
          <w:w w:val="105"/>
          <w:sz w:val="21"/>
        </w:rPr>
        <w:t>2017)</w:t>
      </w:r>
    </w:p>
    <w:p>
      <w:pPr>
        <w:spacing w:before="104"/>
        <w:ind w:left="1587" w:right="0" w:firstLine="0"/>
        <w:jc w:val="left"/>
        <w:rPr>
          <w:sz w:val="21"/>
        </w:rPr>
      </w:pPr>
      <w:r>
        <w:rPr>
          <w:w w:val="105"/>
          <w:sz w:val="21"/>
        </w:rPr>
        <w:t>SAI Global, ‘Store’, </w:t>
      </w:r>
      <w:r>
        <w:rPr>
          <w:i/>
          <w:w w:val="105"/>
          <w:sz w:val="21"/>
        </w:rPr>
        <w:t>Helping You Power Up Your World with Standards </w:t>
      </w:r>
      <w:r>
        <w:rPr>
          <w:w w:val="105"/>
          <w:sz w:val="21"/>
        </w:rPr>
        <w:t>(Web Page, 2019)</w:t>
      </w:r>
    </w:p>
    <w:p>
      <w:pPr>
        <w:pStyle w:val="BodyText"/>
        <w:spacing w:before="4"/>
        <w:ind w:left="1587"/>
      </w:pPr>
      <w:r>
        <w:rPr/>
        <w:t>&lt;https://infostore.saiglobal.com/&gt;</w:t>
      </w:r>
    </w:p>
    <w:p>
      <w:pPr>
        <w:spacing w:line="242" w:lineRule="auto" w:before="105"/>
        <w:ind w:left="1586" w:right="2669" w:firstLine="0"/>
        <w:jc w:val="left"/>
        <w:rPr>
          <w:sz w:val="21"/>
        </w:rPr>
      </w:pPr>
      <w:r>
        <w:rPr>
          <w:spacing w:val="-5"/>
          <w:w w:val="105"/>
          <w:sz w:val="21"/>
        </w:rPr>
        <w:t>Silver, </w:t>
      </w:r>
      <w:r>
        <w:rPr>
          <w:w w:val="105"/>
          <w:sz w:val="21"/>
        </w:rPr>
        <w:t>Joel, </w:t>
      </w:r>
      <w:r>
        <w:rPr>
          <w:i/>
          <w:w w:val="105"/>
          <w:sz w:val="21"/>
        </w:rPr>
        <w:t>Nuisance by </w:t>
      </w:r>
      <w:r>
        <w:rPr>
          <w:i/>
          <w:spacing w:val="-3"/>
          <w:w w:val="105"/>
          <w:sz w:val="21"/>
        </w:rPr>
        <w:t>Tree—Who’s </w:t>
      </w:r>
      <w:r>
        <w:rPr>
          <w:i/>
          <w:w w:val="105"/>
          <w:sz w:val="21"/>
        </w:rPr>
        <w:t>the Guilty </w:t>
      </w:r>
      <w:r>
        <w:rPr>
          <w:i/>
          <w:spacing w:val="-4"/>
          <w:w w:val="105"/>
          <w:sz w:val="21"/>
        </w:rPr>
        <w:t>Tree? </w:t>
      </w:r>
      <w:r>
        <w:rPr>
          <w:spacing w:val="-3"/>
          <w:w w:val="105"/>
          <w:sz w:val="21"/>
        </w:rPr>
        <w:t>(Paper, </w:t>
      </w:r>
      <w:r>
        <w:rPr>
          <w:w w:val="105"/>
          <w:sz w:val="21"/>
        </w:rPr>
        <w:t>Owen Dixon </w:t>
      </w:r>
      <w:r>
        <w:rPr>
          <w:spacing w:val="-3"/>
          <w:w w:val="105"/>
          <w:sz w:val="21"/>
        </w:rPr>
        <w:t>Chambers, </w:t>
      </w:r>
      <w:r>
        <w:rPr>
          <w:spacing w:val="-6"/>
          <w:w w:val="105"/>
          <w:sz w:val="21"/>
        </w:rPr>
        <w:t>18 </w:t>
      </w:r>
      <w:r>
        <w:rPr>
          <w:spacing w:val="-2"/>
          <w:w w:val="105"/>
          <w:sz w:val="21"/>
        </w:rPr>
        <w:t>May </w:t>
      </w:r>
      <w:r>
        <w:rPr>
          <w:spacing w:val="-6"/>
          <w:w w:val="105"/>
          <w:sz w:val="21"/>
        </w:rPr>
        <w:t>2015)</w:t>
      </w:r>
    </w:p>
    <w:p>
      <w:pPr>
        <w:pStyle w:val="BodyText"/>
        <w:spacing w:line="242" w:lineRule="auto" w:before="105"/>
        <w:ind w:left="1586" w:right="1636"/>
      </w:pPr>
      <w:r>
        <w:rPr>
          <w:spacing w:val="-3"/>
          <w:w w:val="105"/>
        </w:rPr>
        <w:t>Simpson, </w:t>
      </w:r>
      <w:r>
        <w:rPr>
          <w:spacing w:val="-4"/>
          <w:w w:val="105"/>
        </w:rPr>
        <w:t>Andrew, ‘Alternate </w:t>
      </w:r>
      <w:r>
        <w:rPr>
          <w:spacing w:val="-3"/>
          <w:w w:val="105"/>
        </w:rPr>
        <w:t>Dispute </w:t>
      </w:r>
      <w:r>
        <w:rPr>
          <w:w w:val="105"/>
        </w:rPr>
        <w:t>Resolution </w:t>
      </w:r>
      <w:r>
        <w:rPr>
          <w:spacing w:val="-3"/>
          <w:w w:val="105"/>
        </w:rPr>
        <w:t>for </w:t>
      </w:r>
      <w:r>
        <w:rPr>
          <w:w w:val="105"/>
        </w:rPr>
        <w:t>Neighbour </w:t>
      </w:r>
      <w:r>
        <w:rPr>
          <w:spacing w:val="-5"/>
          <w:w w:val="105"/>
        </w:rPr>
        <w:t>Tree </w:t>
      </w:r>
      <w:r>
        <w:rPr>
          <w:spacing w:val="-3"/>
          <w:w w:val="105"/>
        </w:rPr>
        <w:t>Conflicts </w:t>
      </w:r>
      <w:r>
        <w:rPr>
          <w:w w:val="105"/>
        </w:rPr>
        <w:t>and the Role of Local Government’ (Masters Thesis, University of </w:t>
      </w:r>
      <w:r>
        <w:rPr>
          <w:spacing w:val="-3"/>
          <w:w w:val="105"/>
        </w:rPr>
        <w:t>Technology </w:t>
      </w:r>
      <w:r>
        <w:rPr>
          <w:spacing w:val="-5"/>
          <w:w w:val="105"/>
        </w:rPr>
        <w:t>Sydney, </w:t>
      </w:r>
      <w:r>
        <w:rPr>
          <w:spacing w:val="-4"/>
          <w:w w:val="105"/>
        </w:rPr>
        <w:t>2018).</w:t>
      </w:r>
    </w:p>
    <w:p>
      <w:pPr>
        <w:pStyle w:val="BodyText"/>
        <w:spacing w:before="104"/>
        <w:ind w:left="1586"/>
      </w:pPr>
      <w:r>
        <w:rPr>
          <w:w w:val="105"/>
        </w:rPr>
        <w:t>Skene, Loane and Harold Luntz, ‘Effects of Tort Law Reform on Medical Liability’ (2005) 79</w:t>
      </w:r>
    </w:p>
    <w:p>
      <w:pPr>
        <w:spacing w:before="3"/>
        <w:ind w:left="1586" w:right="0" w:firstLine="0"/>
        <w:jc w:val="left"/>
        <w:rPr>
          <w:sz w:val="21"/>
        </w:rPr>
      </w:pPr>
      <w:r>
        <w:rPr>
          <w:i/>
          <w:w w:val="105"/>
          <w:sz w:val="21"/>
        </w:rPr>
        <w:t>Australian Law </w:t>
      </w:r>
      <w:r>
        <w:rPr>
          <w:w w:val="105"/>
          <w:sz w:val="21"/>
        </w:rPr>
        <w:t>345</w:t>
      </w:r>
    </w:p>
    <w:p>
      <w:pPr>
        <w:spacing w:line="242" w:lineRule="auto" w:before="106"/>
        <w:ind w:left="1586" w:right="1538" w:firstLine="0"/>
        <w:jc w:val="left"/>
        <w:rPr>
          <w:sz w:val="21"/>
        </w:rPr>
      </w:pPr>
      <w:r>
        <w:rPr>
          <w:spacing w:val="-3"/>
          <w:w w:val="105"/>
          <w:sz w:val="21"/>
        </w:rPr>
        <w:t>Skills </w:t>
      </w:r>
      <w:r>
        <w:rPr>
          <w:w w:val="105"/>
          <w:sz w:val="21"/>
        </w:rPr>
        <w:t>Impact, </w:t>
      </w:r>
      <w:r>
        <w:rPr>
          <w:spacing w:val="-4"/>
          <w:w w:val="105"/>
          <w:sz w:val="21"/>
        </w:rPr>
        <w:t>‘Arboriculture </w:t>
      </w:r>
      <w:r>
        <w:rPr>
          <w:spacing w:val="-3"/>
          <w:w w:val="105"/>
          <w:sz w:val="21"/>
        </w:rPr>
        <w:t>Project’, </w:t>
      </w:r>
      <w:r>
        <w:rPr>
          <w:i/>
          <w:w w:val="105"/>
          <w:sz w:val="21"/>
        </w:rPr>
        <w:t>Amenity Horticulture, </w:t>
      </w:r>
      <w:r>
        <w:rPr>
          <w:i/>
          <w:spacing w:val="-3"/>
          <w:w w:val="105"/>
          <w:sz w:val="21"/>
        </w:rPr>
        <w:t>Landscaping, Conservation </w:t>
      </w:r>
      <w:r>
        <w:rPr>
          <w:i/>
          <w:w w:val="105"/>
          <w:sz w:val="21"/>
        </w:rPr>
        <w:t>&amp; Land </w:t>
      </w:r>
      <w:r>
        <w:rPr>
          <w:i/>
          <w:w w:val="105"/>
          <w:sz w:val="21"/>
        </w:rPr>
        <w:t>Management Industry </w:t>
      </w:r>
      <w:r>
        <w:rPr>
          <w:i/>
          <w:spacing w:val="-2"/>
          <w:w w:val="105"/>
          <w:sz w:val="21"/>
        </w:rPr>
        <w:t>Reference </w:t>
      </w:r>
      <w:r>
        <w:rPr>
          <w:i/>
          <w:w w:val="105"/>
          <w:sz w:val="21"/>
        </w:rPr>
        <w:t>Committee </w:t>
      </w:r>
      <w:r>
        <w:rPr>
          <w:w w:val="105"/>
          <w:sz w:val="21"/>
        </w:rPr>
        <w:t>(Web </w:t>
      </w:r>
      <w:r>
        <w:rPr>
          <w:spacing w:val="-3"/>
          <w:w w:val="105"/>
          <w:sz w:val="21"/>
        </w:rPr>
        <w:t>Page, </w:t>
      </w:r>
      <w:r>
        <w:rPr>
          <w:spacing w:val="-5"/>
          <w:w w:val="105"/>
          <w:sz w:val="21"/>
        </w:rPr>
        <w:t>2019) </w:t>
      </w:r>
      <w:r>
        <w:rPr>
          <w:w w:val="105"/>
          <w:sz w:val="21"/>
        </w:rPr>
        <w:t>&lt;https://</w:t>
      </w:r>
      <w:hyperlink r:id="rId473">
        <w:r>
          <w:rPr>
            <w:w w:val="105"/>
            <w:sz w:val="21"/>
          </w:rPr>
          <w:t>www.skillsimpact.com.au/</w:t>
        </w:r>
      </w:hyperlink>
      <w:r>
        <w:rPr>
          <w:w w:val="105"/>
          <w:sz w:val="21"/>
        </w:rPr>
        <w:t> </w:t>
      </w:r>
      <w:r>
        <w:rPr>
          <w:spacing w:val="-1"/>
          <w:sz w:val="21"/>
        </w:rPr>
        <w:t>horticulture-conservation-and-land-management/training-package-projects/arboriculture-project/&gt;</w:t>
      </w:r>
    </w:p>
    <w:p>
      <w:pPr>
        <w:spacing w:before="105"/>
        <w:ind w:left="1586" w:right="0" w:firstLine="0"/>
        <w:jc w:val="left"/>
        <w:rPr>
          <w:sz w:val="21"/>
        </w:rPr>
      </w:pPr>
      <w:r>
        <w:rPr>
          <w:w w:val="105"/>
          <w:sz w:val="21"/>
        </w:rPr>
        <w:t>South Gippsland Shire Council, </w:t>
      </w:r>
      <w:r>
        <w:rPr>
          <w:i/>
          <w:w w:val="105"/>
          <w:sz w:val="21"/>
        </w:rPr>
        <w:t>Tree Management Plan 2017 </w:t>
      </w:r>
      <w:r>
        <w:rPr>
          <w:w w:val="105"/>
          <w:sz w:val="21"/>
        </w:rPr>
        <w:t>(26 July 2017)</w:t>
      </w:r>
    </w:p>
    <w:p>
      <w:pPr>
        <w:spacing w:before="2"/>
        <w:ind w:left="0" w:right="593" w:firstLine="0"/>
        <w:jc w:val="right"/>
        <w:rPr>
          <w:b/>
          <w:sz w:val="24"/>
        </w:rPr>
      </w:pPr>
      <w:r>
        <w:rPr>
          <w:b/>
          <w:color w:val="658464"/>
          <w:w w:val="105"/>
          <w:sz w:val="24"/>
        </w:rPr>
        <w:t>325</w:t>
      </w:r>
    </w:p>
    <w:p>
      <w:pPr>
        <w:spacing w:after="0"/>
        <w:jc w:val="right"/>
        <w:rPr>
          <w:sz w:val="24"/>
        </w:rPr>
        <w:sectPr>
          <w:pgSz w:w="11910" w:h="16840"/>
          <w:pgMar w:header="567" w:footer="0" w:top="1580" w:bottom="280" w:left="0" w:right="0"/>
        </w:sectPr>
      </w:pPr>
    </w:p>
    <w:p>
      <w:pPr>
        <w:pStyle w:val="BodyText"/>
        <w:spacing w:before="8"/>
        <w:rPr>
          <w:b/>
          <w:sz w:val="22"/>
        </w:rPr>
      </w:pPr>
    </w:p>
    <w:p>
      <w:pPr>
        <w:spacing w:after="0"/>
        <w:rPr>
          <w:sz w:val="22"/>
        </w:rPr>
        <w:sectPr>
          <w:pgSz w:w="11910" w:h="16840"/>
          <w:pgMar w:header="546" w:footer="0" w:top="1560" w:bottom="280" w:left="0" w:right="0"/>
        </w:sect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spacing w:before="180"/>
        <w:ind w:left="720" w:right="0" w:firstLine="0"/>
        <w:jc w:val="left"/>
        <w:rPr>
          <w:b/>
          <w:sz w:val="24"/>
        </w:rPr>
      </w:pPr>
      <w:r>
        <w:rPr>
          <w:b/>
          <w:color w:val="658464"/>
          <w:spacing w:val="-2"/>
          <w:w w:val="110"/>
          <w:sz w:val="24"/>
        </w:rPr>
        <w:t>326</w:t>
      </w:r>
    </w:p>
    <w:p>
      <w:pPr>
        <w:spacing w:line="242" w:lineRule="auto" w:before="93"/>
        <w:ind w:left="431" w:right="3369" w:firstLine="0"/>
        <w:jc w:val="left"/>
        <w:rPr>
          <w:sz w:val="21"/>
        </w:rPr>
      </w:pPr>
      <w:r>
        <w:rPr/>
        <w:br w:type="column"/>
      </w:r>
      <w:r>
        <w:rPr>
          <w:w w:val="105"/>
          <w:sz w:val="21"/>
        </w:rPr>
        <w:t>Standards Australia, </w:t>
      </w:r>
      <w:r>
        <w:rPr>
          <w:i/>
          <w:w w:val="105"/>
          <w:sz w:val="21"/>
        </w:rPr>
        <w:t>Protection of Trees on Development Sites </w:t>
      </w:r>
      <w:r>
        <w:rPr>
          <w:w w:val="105"/>
          <w:sz w:val="21"/>
        </w:rPr>
        <w:t>(AS 4970-2009) (Sydney, NSW: Standards Australia, 2009)</w:t>
      </w:r>
    </w:p>
    <w:p>
      <w:pPr>
        <w:spacing w:line="242" w:lineRule="auto" w:before="104"/>
        <w:ind w:left="431" w:right="1716" w:firstLine="0"/>
        <w:jc w:val="left"/>
        <w:rPr>
          <w:sz w:val="21"/>
        </w:rPr>
      </w:pPr>
      <w:r>
        <w:rPr>
          <w:spacing w:val="-3"/>
          <w:w w:val="105"/>
          <w:sz w:val="21"/>
        </w:rPr>
        <w:t>Standards Australia, </w:t>
      </w:r>
      <w:r>
        <w:rPr>
          <w:i/>
          <w:spacing w:val="-3"/>
          <w:w w:val="105"/>
          <w:sz w:val="21"/>
        </w:rPr>
        <w:t>Pruning of </w:t>
      </w:r>
      <w:r>
        <w:rPr>
          <w:i/>
          <w:w w:val="105"/>
          <w:sz w:val="21"/>
        </w:rPr>
        <w:t>Amenity </w:t>
      </w:r>
      <w:r>
        <w:rPr>
          <w:i/>
          <w:spacing w:val="-4"/>
          <w:w w:val="105"/>
          <w:sz w:val="21"/>
        </w:rPr>
        <w:t>Trees </w:t>
      </w:r>
      <w:r>
        <w:rPr>
          <w:w w:val="105"/>
          <w:sz w:val="21"/>
        </w:rPr>
        <w:t>(AS </w:t>
      </w:r>
      <w:r>
        <w:rPr>
          <w:spacing w:val="-4"/>
          <w:w w:val="105"/>
          <w:sz w:val="21"/>
        </w:rPr>
        <w:t>4373-2007) (Sydney, </w:t>
      </w:r>
      <w:r>
        <w:rPr>
          <w:w w:val="105"/>
          <w:sz w:val="21"/>
        </w:rPr>
        <w:t>NSW: </w:t>
      </w:r>
      <w:r>
        <w:rPr>
          <w:spacing w:val="-3"/>
          <w:w w:val="105"/>
          <w:sz w:val="21"/>
        </w:rPr>
        <w:t>Standards Australia, 2007)</w:t>
      </w:r>
    </w:p>
    <w:p>
      <w:pPr>
        <w:spacing w:line="242" w:lineRule="auto" w:before="104"/>
        <w:ind w:left="431" w:right="1716" w:firstLine="0"/>
        <w:jc w:val="left"/>
        <w:rPr>
          <w:sz w:val="21"/>
        </w:rPr>
      </w:pPr>
      <w:r>
        <w:rPr>
          <w:w w:val="105"/>
          <w:sz w:val="21"/>
        </w:rPr>
        <w:t>Sugarman, Stephen, ‘Damages’ in Carolyn Sappideen and Prue Vines (eds), </w:t>
      </w:r>
      <w:r>
        <w:rPr>
          <w:i/>
          <w:w w:val="105"/>
          <w:sz w:val="21"/>
        </w:rPr>
        <w:t>Fleming’s The Law of </w:t>
      </w:r>
      <w:r>
        <w:rPr>
          <w:i/>
          <w:w w:val="105"/>
          <w:sz w:val="21"/>
        </w:rPr>
        <w:t>Torts </w:t>
      </w:r>
      <w:r>
        <w:rPr>
          <w:w w:val="105"/>
          <w:sz w:val="21"/>
        </w:rPr>
        <w:t>(Lawbook Co, 10th ed, 2011)</w:t>
      </w:r>
    </w:p>
    <w:p>
      <w:pPr>
        <w:pStyle w:val="BodyText"/>
        <w:spacing w:before="104"/>
        <w:ind w:left="431"/>
      </w:pPr>
      <w:r>
        <w:rPr>
          <w:w w:val="105"/>
        </w:rPr>
        <w:t>Supreme Court of Victoria,</w:t>
      </w:r>
    </w:p>
    <w:p>
      <w:pPr>
        <w:pStyle w:val="ListParagraph"/>
        <w:numPr>
          <w:ilvl w:val="0"/>
          <w:numId w:val="224"/>
        </w:numPr>
        <w:tabs>
          <w:tab w:pos="771" w:val="left" w:leader="none"/>
          <w:tab w:pos="772" w:val="left" w:leader="none"/>
        </w:tabs>
        <w:spacing w:line="242" w:lineRule="auto" w:before="106" w:after="0"/>
        <w:ind w:left="771" w:right="1665" w:hanging="340"/>
        <w:jc w:val="left"/>
        <w:rPr>
          <w:sz w:val="21"/>
        </w:rPr>
      </w:pPr>
      <w:r>
        <w:rPr>
          <w:i/>
          <w:w w:val="105"/>
          <w:sz w:val="21"/>
        </w:rPr>
        <w:t>Costs</w:t>
      </w:r>
      <w:r>
        <w:rPr>
          <w:i/>
          <w:spacing w:val="-29"/>
          <w:w w:val="105"/>
          <w:sz w:val="21"/>
        </w:rPr>
        <w:t> </w:t>
      </w:r>
      <w:r>
        <w:rPr>
          <w:i/>
          <w:w w:val="105"/>
          <w:sz w:val="21"/>
        </w:rPr>
        <w:t>Court</w:t>
      </w:r>
      <w:r>
        <w:rPr>
          <w:i/>
          <w:spacing w:val="-29"/>
          <w:w w:val="105"/>
          <w:sz w:val="21"/>
        </w:rPr>
        <w:t> </w:t>
      </w:r>
      <w:r>
        <w:rPr>
          <w:w w:val="105"/>
          <w:sz w:val="21"/>
        </w:rPr>
        <w:t>(Web</w:t>
      </w:r>
      <w:r>
        <w:rPr>
          <w:spacing w:val="-29"/>
          <w:w w:val="105"/>
          <w:sz w:val="21"/>
        </w:rPr>
        <w:t> </w:t>
      </w:r>
      <w:r>
        <w:rPr>
          <w:spacing w:val="-3"/>
          <w:w w:val="105"/>
          <w:sz w:val="21"/>
        </w:rPr>
        <w:t>Page,</w:t>
      </w:r>
      <w:r>
        <w:rPr>
          <w:spacing w:val="-29"/>
          <w:w w:val="105"/>
          <w:sz w:val="21"/>
        </w:rPr>
        <w:t> </w:t>
      </w:r>
      <w:r>
        <w:rPr>
          <w:spacing w:val="-5"/>
          <w:w w:val="105"/>
          <w:sz w:val="21"/>
        </w:rPr>
        <w:t>2019)</w:t>
      </w:r>
      <w:r>
        <w:rPr>
          <w:spacing w:val="-29"/>
          <w:w w:val="105"/>
          <w:sz w:val="21"/>
        </w:rPr>
        <w:t> </w:t>
      </w:r>
      <w:r>
        <w:rPr>
          <w:w w:val="105"/>
          <w:sz w:val="21"/>
        </w:rPr>
        <w:t>&lt;https://</w:t>
      </w:r>
      <w:hyperlink r:id="rId474">
        <w:r>
          <w:rPr>
            <w:w w:val="105"/>
            <w:sz w:val="21"/>
          </w:rPr>
          <w:t>www.supremecourt.vic.gov.au/law-and-practice/areas-</w:t>
        </w:r>
      </w:hyperlink>
      <w:r>
        <w:rPr>
          <w:w w:val="105"/>
          <w:sz w:val="21"/>
        </w:rPr>
        <w:t> of-the-court/costs-court&gt;</w:t>
      </w:r>
    </w:p>
    <w:p>
      <w:pPr>
        <w:pStyle w:val="ListParagraph"/>
        <w:numPr>
          <w:ilvl w:val="0"/>
          <w:numId w:val="224"/>
        </w:numPr>
        <w:tabs>
          <w:tab w:pos="771" w:val="left" w:leader="none"/>
          <w:tab w:pos="772" w:val="left" w:leader="none"/>
        </w:tabs>
        <w:spacing w:line="242" w:lineRule="auto" w:before="104" w:after="0"/>
        <w:ind w:left="771" w:right="1890" w:hanging="340"/>
        <w:jc w:val="left"/>
        <w:rPr>
          <w:sz w:val="21"/>
        </w:rPr>
      </w:pPr>
      <w:r>
        <w:rPr>
          <w:i/>
          <w:w w:val="105"/>
          <w:sz w:val="21"/>
        </w:rPr>
        <w:t>How</w:t>
      </w:r>
      <w:r>
        <w:rPr>
          <w:i/>
          <w:spacing w:val="-14"/>
          <w:w w:val="105"/>
          <w:sz w:val="21"/>
        </w:rPr>
        <w:t> </w:t>
      </w:r>
      <w:r>
        <w:rPr>
          <w:i/>
          <w:w w:val="105"/>
          <w:sz w:val="21"/>
        </w:rPr>
        <w:t>the</w:t>
      </w:r>
      <w:r>
        <w:rPr>
          <w:i/>
          <w:spacing w:val="-14"/>
          <w:w w:val="105"/>
          <w:sz w:val="21"/>
        </w:rPr>
        <w:t> </w:t>
      </w:r>
      <w:r>
        <w:rPr>
          <w:i/>
          <w:w w:val="105"/>
          <w:sz w:val="21"/>
        </w:rPr>
        <w:t>Court</w:t>
      </w:r>
      <w:r>
        <w:rPr>
          <w:i/>
          <w:spacing w:val="-14"/>
          <w:w w:val="105"/>
          <w:sz w:val="21"/>
        </w:rPr>
        <w:t> </w:t>
      </w:r>
      <w:r>
        <w:rPr>
          <w:i/>
          <w:w w:val="105"/>
          <w:sz w:val="21"/>
        </w:rPr>
        <w:t>Works</w:t>
      </w:r>
      <w:r>
        <w:rPr>
          <w:i/>
          <w:spacing w:val="-14"/>
          <w:w w:val="105"/>
          <w:sz w:val="21"/>
        </w:rPr>
        <w:t> </w:t>
      </w:r>
      <w:r>
        <w:rPr>
          <w:w w:val="105"/>
          <w:sz w:val="21"/>
        </w:rPr>
        <w:t>(Web</w:t>
      </w:r>
      <w:r>
        <w:rPr>
          <w:spacing w:val="-14"/>
          <w:w w:val="105"/>
          <w:sz w:val="21"/>
        </w:rPr>
        <w:t> </w:t>
      </w:r>
      <w:r>
        <w:rPr>
          <w:spacing w:val="-3"/>
          <w:w w:val="105"/>
          <w:sz w:val="21"/>
        </w:rPr>
        <w:t>Page,</w:t>
      </w:r>
      <w:r>
        <w:rPr>
          <w:spacing w:val="-14"/>
          <w:w w:val="105"/>
          <w:sz w:val="21"/>
        </w:rPr>
        <w:t> </w:t>
      </w:r>
      <w:r>
        <w:rPr>
          <w:spacing w:val="-5"/>
          <w:w w:val="105"/>
          <w:sz w:val="21"/>
        </w:rPr>
        <w:t>2019)</w:t>
      </w:r>
      <w:r>
        <w:rPr>
          <w:spacing w:val="-14"/>
          <w:w w:val="105"/>
          <w:sz w:val="21"/>
        </w:rPr>
        <w:t> </w:t>
      </w:r>
      <w:r>
        <w:rPr>
          <w:w w:val="105"/>
          <w:sz w:val="21"/>
        </w:rPr>
        <w:t>&lt;https://</w:t>
      </w:r>
      <w:hyperlink r:id="rId475">
        <w:r>
          <w:rPr>
            <w:w w:val="105"/>
            <w:sz w:val="21"/>
          </w:rPr>
          <w:t>www.supremecourt.vic.gov.au/about-the-</w:t>
        </w:r>
      </w:hyperlink>
      <w:r>
        <w:rPr>
          <w:w w:val="105"/>
          <w:sz w:val="21"/>
        </w:rPr>
        <w:t> court/how-the-court-works&gt;</w:t>
      </w:r>
    </w:p>
    <w:p>
      <w:pPr>
        <w:spacing w:before="104"/>
        <w:ind w:left="431" w:right="0" w:firstLine="0"/>
        <w:jc w:val="left"/>
        <w:rPr>
          <w:sz w:val="21"/>
        </w:rPr>
      </w:pPr>
      <w:r>
        <w:rPr>
          <w:w w:val="105"/>
          <w:sz w:val="21"/>
        </w:rPr>
        <w:t>Sustainable Gardening Australia, </w:t>
      </w:r>
      <w:r>
        <w:rPr>
          <w:i/>
          <w:w w:val="105"/>
          <w:sz w:val="21"/>
        </w:rPr>
        <w:t>Gardening Booklets for Local Areas </w:t>
      </w:r>
      <w:r>
        <w:rPr>
          <w:w w:val="105"/>
          <w:sz w:val="21"/>
        </w:rPr>
        <w:t>(Web Page, 2019)</w:t>
      </w:r>
    </w:p>
    <w:p>
      <w:pPr>
        <w:pStyle w:val="BodyText"/>
        <w:spacing w:before="4"/>
        <w:ind w:left="431"/>
      </w:pPr>
      <w:r>
        <w:rPr>
          <w:w w:val="105"/>
        </w:rPr>
        <w:t>&lt;https://</w:t>
      </w:r>
      <w:hyperlink r:id="rId476">
        <w:r>
          <w:rPr>
            <w:w w:val="105"/>
          </w:rPr>
          <w:t>www.sgaonline.org.au/sustainable-gardening-booklets/</w:t>
        </w:r>
      </w:hyperlink>
      <w:r>
        <w:rPr>
          <w:w w:val="105"/>
        </w:rPr>
        <w:t>&gt;</w:t>
      </w:r>
    </w:p>
    <w:p>
      <w:pPr>
        <w:spacing w:before="106"/>
        <w:ind w:left="431" w:right="0" w:firstLine="0"/>
        <w:jc w:val="left"/>
        <w:rPr>
          <w:sz w:val="21"/>
        </w:rPr>
      </w:pPr>
      <w:r>
        <w:rPr>
          <w:w w:val="105"/>
          <w:sz w:val="21"/>
        </w:rPr>
        <w:t>Tasmanian Government, </w:t>
      </w:r>
      <w:r>
        <w:rPr>
          <w:i/>
          <w:w w:val="105"/>
          <w:sz w:val="21"/>
        </w:rPr>
        <w:t>Tasmanian Planning Reform—The Policies </w:t>
      </w:r>
      <w:r>
        <w:rPr>
          <w:w w:val="105"/>
          <w:sz w:val="21"/>
        </w:rPr>
        <w:t>(Web Page, 17 December 2018)</w:t>
      </w:r>
    </w:p>
    <w:p>
      <w:pPr>
        <w:pStyle w:val="BodyText"/>
        <w:spacing w:line="338" w:lineRule="auto" w:before="3"/>
        <w:ind w:left="431" w:right="5134"/>
      </w:pPr>
      <w:r>
        <w:rPr/>
        <w:t>&lt;https://</w:t>
      </w:r>
      <w:hyperlink r:id="rId296">
        <w:r>
          <w:rPr/>
          <w:t>www.planningreform.tas.gov.au/policies</w:t>
        </w:r>
      </w:hyperlink>
      <w:r>
        <w:rPr/>
        <w:t>&gt; </w:t>
      </w:r>
      <w:r>
        <w:rPr>
          <w:w w:val="105"/>
        </w:rPr>
        <w:t>Tasmania Law Reform Institute,</w:t>
      </w:r>
    </w:p>
    <w:p>
      <w:pPr>
        <w:pStyle w:val="ListParagraph"/>
        <w:numPr>
          <w:ilvl w:val="0"/>
          <w:numId w:val="224"/>
        </w:numPr>
        <w:tabs>
          <w:tab w:pos="771" w:val="left" w:leader="none"/>
          <w:tab w:pos="772" w:val="left" w:leader="none"/>
        </w:tabs>
        <w:spacing w:line="240" w:lineRule="auto" w:before="1" w:after="0"/>
        <w:ind w:left="771" w:right="0" w:hanging="340"/>
        <w:jc w:val="left"/>
        <w:rPr>
          <w:sz w:val="21"/>
        </w:rPr>
      </w:pPr>
      <w:r>
        <w:rPr>
          <w:i/>
          <w:w w:val="105"/>
          <w:sz w:val="21"/>
        </w:rPr>
        <w:t>Neighbours’ Hedges as Barriers to </w:t>
      </w:r>
      <w:r>
        <w:rPr>
          <w:i/>
          <w:spacing w:val="-3"/>
          <w:w w:val="105"/>
          <w:sz w:val="21"/>
        </w:rPr>
        <w:t>Sunlight </w:t>
      </w:r>
      <w:r>
        <w:rPr>
          <w:i/>
          <w:w w:val="105"/>
          <w:sz w:val="21"/>
        </w:rPr>
        <w:t>and a View </w:t>
      </w:r>
      <w:r>
        <w:rPr>
          <w:w w:val="105"/>
          <w:sz w:val="21"/>
        </w:rPr>
        <w:t>(Issues Pape</w:t>
      </w:r>
      <w:r>
        <w:rPr>
          <w:i/>
          <w:w w:val="105"/>
          <w:sz w:val="21"/>
        </w:rPr>
        <w:t>r </w:t>
      </w:r>
      <w:r>
        <w:rPr>
          <w:w w:val="105"/>
          <w:sz w:val="21"/>
        </w:rPr>
        <w:t>No </w:t>
      </w:r>
      <w:r>
        <w:rPr>
          <w:spacing w:val="-7"/>
          <w:w w:val="105"/>
          <w:sz w:val="21"/>
        </w:rPr>
        <w:t>19,</w:t>
      </w:r>
      <w:r>
        <w:rPr>
          <w:spacing w:val="9"/>
          <w:w w:val="105"/>
          <w:sz w:val="21"/>
        </w:rPr>
        <w:t> </w:t>
      </w:r>
      <w:r>
        <w:rPr>
          <w:spacing w:val="-6"/>
          <w:w w:val="105"/>
          <w:sz w:val="21"/>
        </w:rPr>
        <w:t>2014)</w:t>
      </w:r>
    </w:p>
    <w:p>
      <w:pPr>
        <w:pStyle w:val="ListParagraph"/>
        <w:numPr>
          <w:ilvl w:val="0"/>
          <w:numId w:val="224"/>
        </w:numPr>
        <w:tabs>
          <w:tab w:pos="771" w:val="left" w:leader="none"/>
          <w:tab w:pos="772" w:val="left" w:leader="none"/>
        </w:tabs>
        <w:spacing w:line="240" w:lineRule="auto" w:before="106" w:after="0"/>
        <w:ind w:left="771" w:right="0" w:hanging="340"/>
        <w:jc w:val="left"/>
        <w:rPr>
          <w:sz w:val="21"/>
        </w:rPr>
      </w:pPr>
      <w:r>
        <w:rPr>
          <w:i/>
          <w:w w:val="105"/>
          <w:sz w:val="21"/>
        </w:rPr>
        <w:t>Problem </w:t>
      </w:r>
      <w:r>
        <w:rPr>
          <w:i/>
          <w:spacing w:val="-4"/>
          <w:w w:val="105"/>
          <w:sz w:val="21"/>
        </w:rPr>
        <w:t>Trees </w:t>
      </w:r>
      <w:r>
        <w:rPr>
          <w:i/>
          <w:w w:val="105"/>
          <w:sz w:val="21"/>
        </w:rPr>
        <w:t>and Hedges: Access to </w:t>
      </w:r>
      <w:r>
        <w:rPr>
          <w:i/>
          <w:spacing w:val="-3"/>
          <w:w w:val="105"/>
          <w:sz w:val="21"/>
        </w:rPr>
        <w:t>Sunlight </w:t>
      </w:r>
      <w:r>
        <w:rPr>
          <w:i/>
          <w:w w:val="105"/>
          <w:sz w:val="21"/>
        </w:rPr>
        <w:t>and Views </w:t>
      </w:r>
      <w:r>
        <w:rPr>
          <w:w w:val="105"/>
          <w:sz w:val="21"/>
        </w:rPr>
        <w:t>(Report No </w:t>
      </w:r>
      <w:r>
        <w:rPr>
          <w:spacing w:val="-10"/>
          <w:w w:val="105"/>
          <w:sz w:val="21"/>
        </w:rPr>
        <w:t>21, </w:t>
      </w:r>
      <w:r>
        <w:rPr>
          <w:w w:val="105"/>
          <w:sz w:val="21"/>
        </w:rPr>
        <w:t>January</w:t>
      </w:r>
      <w:r>
        <w:rPr>
          <w:spacing w:val="33"/>
          <w:w w:val="105"/>
          <w:sz w:val="21"/>
        </w:rPr>
        <w:t> </w:t>
      </w:r>
      <w:r>
        <w:rPr>
          <w:spacing w:val="-5"/>
          <w:w w:val="105"/>
          <w:sz w:val="21"/>
        </w:rPr>
        <w:t>2016)</w:t>
      </w:r>
    </w:p>
    <w:p>
      <w:pPr>
        <w:pStyle w:val="BodyText"/>
        <w:spacing w:line="242" w:lineRule="auto" w:before="106"/>
        <w:ind w:left="431"/>
      </w:pPr>
      <w:r>
        <w:rPr>
          <w:spacing w:val="-4"/>
          <w:w w:val="105"/>
        </w:rPr>
        <w:t>Tasmanian </w:t>
      </w:r>
      <w:r>
        <w:rPr>
          <w:spacing w:val="-3"/>
          <w:w w:val="105"/>
        </w:rPr>
        <w:t>Planning Commission, </w:t>
      </w:r>
      <w:r>
        <w:rPr>
          <w:i/>
          <w:spacing w:val="-4"/>
          <w:w w:val="105"/>
        </w:rPr>
        <w:t>State </w:t>
      </w:r>
      <w:r>
        <w:rPr>
          <w:i/>
          <w:spacing w:val="-3"/>
          <w:w w:val="105"/>
        </w:rPr>
        <w:t>Planning Provisions </w:t>
      </w:r>
      <w:r>
        <w:rPr>
          <w:w w:val="105"/>
        </w:rPr>
        <w:t>(Web Page) &lt;https://</w:t>
      </w:r>
      <w:hyperlink r:id="rId477">
        <w:r>
          <w:rPr>
            <w:w w:val="105"/>
          </w:rPr>
          <w:t>www.planning.tas.</w:t>
        </w:r>
      </w:hyperlink>
      <w:r>
        <w:rPr>
          <w:w w:val="105"/>
        </w:rPr>
        <w:t> gov.au/planning_our_future/state_planning_provisions&gt;</w:t>
      </w:r>
    </w:p>
    <w:p>
      <w:pPr>
        <w:spacing w:before="104"/>
        <w:ind w:left="431" w:right="0" w:firstLine="0"/>
        <w:jc w:val="left"/>
        <w:rPr>
          <w:i/>
          <w:sz w:val="21"/>
        </w:rPr>
      </w:pPr>
      <w:r>
        <w:rPr>
          <w:w w:val="105"/>
          <w:sz w:val="21"/>
        </w:rPr>
        <w:t>The Law Society (UK), </w:t>
      </w:r>
      <w:r>
        <w:rPr>
          <w:i/>
          <w:w w:val="105"/>
          <w:sz w:val="21"/>
        </w:rPr>
        <w:t>Property Information Form (TA6)—Explanatory Notes for Sellers and Buyers</w:t>
      </w:r>
    </w:p>
    <w:p>
      <w:pPr>
        <w:pStyle w:val="BodyText"/>
        <w:spacing w:before="4"/>
        <w:ind w:left="431"/>
      </w:pPr>
      <w:r>
        <w:rPr>
          <w:w w:val="105"/>
        </w:rPr>
        <w:t>(2013)</w:t>
      </w:r>
    </w:p>
    <w:p>
      <w:pPr>
        <w:spacing w:line="338" w:lineRule="auto" w:before="105"/>
        <w:ind w:left="431" w:right="3369" w:firstLine="0"/>
        <w:jc w:val="left"/>
        <w:rPr>
          <w:sz w:val="21"/>
        </w:rPr>
      </w:pPr>
      <w:r>
        <w:rPr>
          <w:sz w:val="21"/>
        </w:rPr>
        <w:t>Thomas, Peter, </w:t>
      </w:r>
      <w:r>
        <w:rPr>
          <w:i/>
          <w:sz w:val="21"/>
        </w:rPr>
        <w:t>Trees—Their Natural History </w:t>
      </w:r>
      <w:r>
        <w:rPr>
          <w:sz w:val="21"/>
        </w:rPr>
        <w:t>(Cambridge University Press, 2000) Trust for Nature,</w:t>
      </w:r>
    </w:p>
    <w:p>
      <w:pPr>
        <w:pStyle w:val="ListParagraph"/>
        <w:numPr>
          <w:ilvl w:val="0"/>
          <w:numId w:val="224"/>
        </w:numPr>
        <w:tabs>
          <w:tab w:pos="771" w:val="left" w:leader="none"/>
          <w:tab w:pos="772" w:val="left" w:leader="none"/>
        </w:tabs>
        <w:spacing w:line="240" w:lineRule="auto" w:before="2" w:after="0"/>
        <w:ind w:left="771" w:right="0" w:hanging="340"/>
        <w:jc w:val="left"/>
        <w:rPr>
          <w:sz w:val="21"/>
        </w:rPr>
      </w:pPr>
      <w:r>
        <w:rPr>
          <w:i/>
          <w:spacing w:val="-3"/>
          <w:w w:val="105"/>
          <w:sz w:val="21"/>
        </w:rPr>
        <w:t>Conservation Covenants </w:t>
      </w:r>
      <w:r>
        <w:rPr>
          <w:w w:val="105"/>
          <w:sz w:val="21"/>
        </w:rPr>
        <w:t>(Web Page)</w:t>
      </w:r>
      <w:r>
        <w:rPr>
          <w:spacing w:val="13"/>
          <w:w w:val="105"/>
          <w:sz w:val="21"/>
        </w:rPr>
        <w:t> </w:t>
      </w:r>
      <w:r>
        <w:rPr>
          <w:w w:val="105"/>
          <w:sz w:val="21"/>
        </w:rPr>
        <w:t>&lt;https://</w:t>
      </w:r>
      <w:hyperlink r:id="rId277">
        <w:r>
          <w:rPr>
            <w:w w:val="105"/>
            <w:sz w:val="21"/>
          </w:rPr>
          <w:t>www.trustfornature.org.au/land-services</w:t>
        </w:r>
      </w:hyperlink>
      <w:r>
        <w:rPr>
          <w:w w:val="105"/>
          <w:sz w:val="21"/>
        </w:rPr>
        <w:t>&gt;</w:t>
      </w:r>
    </w:p>
    <w:p>
      <w:pPr>
        <w:pStyle w:val="ListParagraph"/>
        <w:numPr>
          <w:ilvl w:val="0"/>
          <w:numId w:val="224"/>
        </w:numPr>
        <w:tabs>
          <w:tab w:pos="771" w:val="left" w:leader="none"/>
          <w:tab w:pos="772" w:val="left" w:leader="none"/>
        </w:tabs>
        <w:spacing w:line="242" w:lineRule="auto" w:before="105" w:after="0"/>
        <w:ind w:left="771" w:right="2064" w:hanging="340"/>
        <w:jc w:val="left"/>
        <w:rPr>
          <w:sz w:val="21"/>
        </w:rPr>
      </w:pPr>
      <w:r>
        <w:rPr>
          <w:i/>
          <w:spacing w:val="-3"/>
          <w:sz w:val="21"/>
        </w:rPr>
        <w:t>What </w:t>
      </w:r>
      <w:r>
        <w:rPr>
          <w:i/>
          <w:sz w:val="21"/>
        </w:rPr>
        <w:t>is a </w:t>
      </w:r>
      <w:r>
        <w:rPr>
          <w:i/>
          <w:spacing w:val="-3"/>
          <w:sz w:val="21"/>
        </w:rPr>
        <w:t>Conservation </w:t>
      </w:r>
      <w:r>
        <w:rPr>
          <w:i/>
          <w:spacing w:val="-4"/>
          <w:sz w:val="21"/>
        </w:rPr>
        <w:t>Covenant? </w:t>
      </w:r>
      <w:r>
        <w:rPr>
          <w:spacing w:val="-7"/>
          <w:sz w:val="21"/>
        </w:rPr>
        <w:t>(2017) </w:t>
      </w:r>
      <w:r>
        <w:rPr>
          <w:sz w:val="21"/>
        </w:rPr>
        <w:t>&lt;https://</w:t>
      </w:r>
      <w:hyperlink r:id="rId478">
        <w:r>
          <w:rPr>
            <w:sz w:val="21"/>
          </w:rPr>
          <w:t>www.trustfornature.org.au/landowner-</w:t>
        </w:r>
      </w:hyperlink>
      <w:r>
        <w:rPr>
          <w:sz w:val="21"/>
        </w:rPr>
        <w:t> support&gt;</w:t>
      </w:r>
    </w:p>
    <w:p>
      <w:pPr>
        <w:pStyle w:val="BodyText"/>
        <w:spacing w:before="104"/>
        <w:ind w:left="431"/>
      </w:pPr>
      <w:r>
        <w:rPr>
          <w:w w:val="105"/>
        </w:rPr>
        <w:t>Uniting Communities Mediation Service in South Australia, </w:t>
      </w:r>
      <w:r>
        <w:rPr>
          <w:i/>
          <w:w w:val="105"/>
        </w:rPr>
        <w:t>Mediation </w:t>
      </w:r>
      <w:r>
        <w:rPr>
          <w:w w:val="105"/>
        </w:rPr>
        <w:t>(Web Page, 2019)</w:t>
      </w:r>
    </w:p>
    <w:p>
      <w:pPr>
        <w:pStyle w:val="BodyText"/>
        <w:spacing w:line="338" w:lineRule="auto" w:before="4"/>
        <w:ind w:left="431" w:right="2504"/>
      </w:pPr>
      <w:r>
        <w:rPr/>
        <w:t>&lt;</w:t>
      </w:r>
      <w:hyperlink r:id="rId479">
        <w:r>
          <w:rPr/>
          <w:t>www.unitingcommunities.org/services/financial-legal-services/mediation-services/</w:t>
        </w:r>
      </w:hyperlink>
      <w:r>
        <w:rPr/>
        <w:t>&gt; </w:t>
      </w:r>
      <w:r>
        <w:rPr>
          <w:w w:val="105"/>
        </w:rPr>
        <w:t>Victoria Law Foundation,</w:t>
      </w:r>
    </w:p>
    <w:p>
      <w:pPr>
        <w:pStyle w:val="ListParagraph"/>
        <w:numPr>
          <w:ilvl w:val="0"/>
          <w:numId w:val="224"/>
        </w:numPr>
        <w:tabs>
          <w:tab w:pos="771" w:val="left" w:leader="none"/>
          <w:tab w:pos="772" w:val="left" w:leader="none"/>
        </w:tabs>
        <w:spacing w:line="242" w:lineRule="auto" w:before="1" w:after="0"/>
        <w:ind w:left="771" w:right="1881" w:hanging="340"/>
        <w:jc w:val="left"/>
        <w:rPr>
          <w:sz w:val="21"/>
        </w:rPr>
      </w:pPr>
      <w:r>
        <w:rPr>
          <w:i/>
          <w:w w:val="105"/>
          <w:sz w:val="21"/>
        </w:rPr>
        <w:t>‘Neighbours, the Law and </w:t>
      </w:r>
      <w:r>
        <w:rPr>
          <w:i/>
          <w:spacing w:val="-5"/>
          <w:w w:val="105"/>
          <w:sz w:val="21"/>
        </w:rPr>
        <w:t>You: Your </w:t>
      </w:r>
      <w:r>
        <w:rPr>
          <w:i/>
          <w:spacing w:val="-3"/>
          <w:w w:val="105"/>
          <w:sz w:val="21"/>
        </w:rPr>
        <w:t>Guide </w:t>
      </w:r>
      <w:r>
        <w:rPr>
          <w:i/>
          <w:w w:val="105"/>
          <w:sz w:val="21"/>
        </w:rPr>
        <w:t>to Neighbourhood Laws in </w:t>
      </w:r>
      <w:r>
        <w:rPr>
          <w:i/>
          <w:spacing w:val="-3"/>
          <w:w w:val="105"/>
          <w:sz w:val="21"/>
        </w:rPr>
        <w:t>Victoria’ </w:t>
      </w:r>
      <w:r>
        <w:rPr>
          <w:i/>
          <w:w w:val="105"/>
          <w:sz w:val="21"/>
        </w:rPr>
        <w:t>Victoria </w:t>
      </w:r>
      <w:r>
        <w:rPr>
          <w:i/>
          <w:w w:val="105"/>
          <w:sz w:val="21"/>
        </w:rPr>
        <w:t>Legal</w:t>
      </w:r>
      <w:r>
        <w:rPr>
          <w:i/>
          <w:spacing w:val="-25"/>
          <w:w w:val="105"/>
          <w:sz w:val="21"/>
        </w:rPr>
        <w:t> </w:t>
      </w:r>
      <w:r>
        <w:rPr>
          <w:i/>
          <w:w w:val="105"/>
          <w:sz w:val="21"/>
        </w:rPr>
        <w:t>Aid</w:t>
      </w:r>
      <w:r>
        <w:rPr>
          <w:i/>
          <w:spacing w:val="-25"/>
          <w:w w:val="105"/>
          <w:sz w:val="21"/>
        </w:rPr>
        <w:t> </w:t>
      </w:r>
      <w:r>
        <w:rPr>
          <w:spacing w:val="-3"/>
          <w:w w:val="105"/>
          <w:sz w:val="21"/>
        </w:rPr>
        <w:t>(Brochure,</w:t>
      </w:r>
      <w:r>
        <w:rPr>
          <w:spacing w:val="-25"/>
          <w:w w:val="105"/>
          <w:sz w:val="21"/>
        </w:rPr>
        <w:t> </w:t>
      </w:r>
      <w:r>
        <w:rPr>
          <w:spacing w:val="-3"/>
          <w:w w:val="105"/>
          <w:sz w:val="21"/>
        </w:rPr>
        <w:t>March</w:t>
      </w:r>
      <w:r>
        <w:rPr>
          <w:spacing w:val="-25"/>
          <w:w w:val="105"/>
          <w:sz w:val="21"/>
        </w:rPr>
        <w:t> </w:t>
      </w:r>
      <w:r>
        <w:rPr>
          <w:spacing w:val="-6"/>
          <w:w w:val="105"/>
          <w:sz w:val="21"/>
        </w:rPr>
        <w:t>2015)</w:t>
      </w:r>
      <w:r>
        <w:rPr>
          <w:spacing w:val="-25"/>
          <w:w w:val="105"/>
          <w:sz w:val="21"/>
        </w:rPr>
        <w:t> </w:t>
      </w:r>
      <w:r>
        <w:rPr>
          <w:w w:val="105"/>
          <w:sz w:val="21"/>
        </w:rPr>
        <w:t>&lt;https://</w:t>
      </w:r>
      <w:hyperlink r:id="rId480">
        <w:r>
          <w:rPr>
            <w:w w:val="105"/>
            <w:sz w:val="21"/>
          </w:rPr>
          <w:t>www.legalaid.vic.gov.au/find-legal-answers/free-</w:t>
        </w:r>
      </w:hyperlink>
      <w:r>
        <w:rPr>
          <w:w w:val="105"/>
          <w:sz w:val="21"/>
        </w:rPr>
        <w:t> publications-and-resources/neighbours-law-and-you&gt;</w:t>
      </w:r>
    </w:p>
    <w:p>
      <w:pPr>
        <w:pStyle w:val="ListParagraph"/>
        <w:numPr>
          <w:ilvl w:val="0"/>
          <w:numId w:val="224"/>
        </w:numPr>
        <w:tabs>
          <w:tab w:pos="771" w:val="left" w:leader="none"/>
          <w:tab w:pos="772" w:val="left" w:leader="none"/>
        </w:tabs>
        <w:spacing w:line="240" w:lineRule="auto" w:before="106" w:after="0"/>
        <w:ind w:left="771" w:right="0" w:hanging="340"/>
        <w:jc w:val="left"/>
        <w:rPr>
          <w:sz w:val="21"/>
        </w:rPr>
      </w:pPr>
      <w:r>
        <w:rPr>
          <w:w w:val="105"/>
          <w:sz w:val="21"/>
        </w:rPr>
        <w:t>‘Nuisance</w:t>
      </w:r>
      <w:r>
        <w:rPr>
          <w:spacing w:val="5"/>
          <w:w w:val="105"/>
          <w:sz w:val="21"/>
        </w:rPr>
        <w:t> </w:t>
      </w:r>
      <w:r>
        <w:rPr>
          <w:w w:val="105"/>
          <w:sz w:val="21"/>
        </w:rPr>
        <w:t>Laws,</w:t>
      </w:r>
      <w:r>
        <w:rPr>
          <w:spacing w:val="5"/>
          <w:w w:val="105"/>
          <w:sz w:val="21"/>
        </w:rPr>
        <w:t> </w:t>
      </w:r>
      <w:r>
        <w:rPr>
          <w:spacing w:val="-3"/>
          <w:w w:val="105"/>
          <w:sz w:val="21"/>
        </w:rPr>
        <w:t>Including</w:t>
      </w:r>
      <w:r>
        <w:rPr>
          <w:spacing w:val="5"/>
          <w:w w:val="105"/>
          <w:sz w:val="21"/>
        </w:rPr>
        <w:t> </w:t>
      </w:r>
      <w:r>
        <w:rPr>
          <w:spacing w:val="-5"/>
          <w:w w:val="105"/>
          <w:sz w:val="21"/>
        </w:rPr>
        <w:t>Pollution’,</w:t>
      </w:r>
      <w:r>
        <w:rPr>
          <w:spacing w:val="5"/>
          <w:w w:val="105"/>
          <w:sz w:val="21"/>
        </w:rPr>
        <w:t> </w:t>
      </w:r>
      <w:r>
        <w:rPr>
          <w:i/>
          <w:w w:val="105"/>
          <w:sz w:val="21"/>
        </w:rPr>
        <w:t>Neighbours,</w:t>
      </w:r>
      <w:r>
        <w:rPr>
          <w:i/>
          <w:spacing w:val="5"/>
          <w:w w:val="105"/>
          <w:sz w:val="21"/>
        </w:rPr>
        <w:t> </w:t>
      </w:r>
      <w:r>
        <w:rPr>
          <w:i/>
          <w:w w:val="105"/>
          <w:sz w:val="21"/>
        </w:rPr>
        <w:t>the</w:t>
      </w:r>
      <w:r>
        <w:rPr>
          <w:i/>
          <w:spacing w:val="6"/>
          <w:w w:val="105"/>
          <w:sz w:val="21"/>
        </w:rPr>
        <w:t> </w:t>
      </w:r>
      <w:r>
        <w:rPr>
          <w:i/>
          <w:w w:val="105"/>
          <w:sz w:val="21"/>
        </w:rPr>
        <w:t>Law</w:t>
      </w:r>
      <w:r>
        <w:rPr>
          <w:i/>
          <w:spacing w:val="5"/>
          <w:w w:val="105"/>
          <w:sz w:val="21"/>
        </w:rPr>
        <w:t> </w:t>
      </w:r>
      <w:r>
        <w:rPr>
          <w:i/>
          <w:w w:val="105"/>
          <w:sz w:val="21"/>
        </w:rPr>
        <w:t>and</w:t>
      </w:r>
      <w:r>
        <w:rPr>
          <w:i/>
          <w:spacing w:val="5"/>
          <w:w w:val="105"/>
          <w:sz w:val="21"/>
        </w:rPr>
        <w:t> </w:t>
      </w:r>
      <w:r>
        <w:rPr>
          <w:i/>
          <w:spacing w:val="-6"/>
          <w:w w:val="105"/>
          <w:sz w:val="21"/>
        </w:rPr>
        <w:t>You</w:t>
      </w:r>
      <w:r>
        <w:rPr>
          <w:i/>
          <w:spacing w:val="5"/>
          <w:w w:val="105"/>
          <w:sz w:val="21"/>
        </w:rPr>
        <w:t> </w:t>
      </w:r>
      <w:r>
        <w:rPr>
          <w:w w:val="105"/>
          <w:sz w:val="21"/>
        </w:rPr>
        <w:t>(Web</w:t>
      </w:r>
      <w:r>
        <w:rPr>
          <w:spacing w:val="5"/>
          <w:w w:val="105"/>
          <w:sz w:val="21"/>
        </w:rPr>
        <w:t> </w:t>
      </w:r>
      <w:r>
        <w:rPr>
          <w:spacing w:val="-3"/>
          <w:w w:val="105"/>
          <w:sz w:val="21"/>
        </w:rPr>
        <w:t>Page,</w:t>
      </w:r>
      <w:r>
        <w:rPr>
          <w:spacing w:val="6"/>
          <w:w w:val="105"/>
          <w:sz w:val="21"/>
        </w:rPr>
        <w:t> </w:t>
      </w:r>
      <w:r>
        <w:rPr>
          <w:spacing w:val="-4"/>
          <w:w w:val="105"/>
          <w:sz w:val="21"/>
        </w:rPr>
        <w:t>26</w:t>
      </w:r>
      <w:r>
        <w:rPr>
          <w:spacing w:val="5"/>
          <w:w w:val="105"/>
          <w:sz w:val="21"/>
        </w:rPr>
        <w:t> </w:t>
      </w:r>
      <w:r>
        <w:rPr>
          <w:spacing w:val="-2"/>
          <w:w w:val="105"/>
          <w:sz w:val="21"/>
        </w:rPr>
        <w:t>May</w:t>
      </w:r>
      <w:r>
        <w:rPr>
          <w:spacing w:val="5"/>
          <w:w w:val="105"/>
          <w:sz w:val="21"/>
        </w:rPr>
        <w:t> </w:t>
      </w:r>
      <w:r>
        <w:rPr>
          <w:spacing w:val="-7"/>
          <w:w w:val="105"/>
          <w:sz w:val="21"/>
        </w:rPr>
        <w:t>2017)</w:t>
      </w:r>
    </w:p>
    <w:p>
      <w:pPr>
        <w:pStyle w:val="BodyText"/>
        <w:spacing w:line="338" w:lineRule="auto" w:before="3"/>
        <w:ind w:left="431" w:right="2504" w:firstLine="340"/>
      </w:pPr>
      <w:r>
        <w:rPr/>
        <w:t>&lt;https://</w:t>
      </w:r>
      <w:hyperlink r:id="rId481">
        <w:r>
          <w:rPr/>
          <w:t>www.victorialawfoundation.org.au/nuisance-laws-including-pollution</w:t>
        </w:r>
      </w:hyperlink>
      <w:r>
        <w:rPr/>
        <w:t>&gt; </w:t>
      </w:r>
      <w:r>
        <w:rPr>
          <w:w w:val="105"/>
        </w:rPr>
        <w:t>Victoria Legal Aid,</w:t>
      </w:r>
    </w:p>
    <w:p>
      <w:pPr>
        <w:pStyle w:val="ListParagraph"/>
        <w:numPr>
          <w:ilvl w:val="0"/>
          <w:numId w:val="224"/>
        </w:numPr>
        <w:tabs>
          <w:tab w:pos="771" w:val="left" w:leader="none"/>
          <w:tab w:pos="772" w:val="left" w:leader="none"/>
        </w:tabs>
        <w:spacing w:line="240" w:lineRule="auto" w:before="1" w:after="0"/>
        <w:ind w:left="771" w:right="0" w:hanging="340"/>
        <w:jc w:val="left"/>
        <w:rPr>
          <w:sz w:val="21"/>
        </w:rPr>
      </w:pPr>
      <w:r>
        <w:rPr>
          <w:i/>
          <w:spacing w:val="-3"/>
          <w:w w:val="105"/>
          <w:sz w:val="21"/>
        </w:rPr>
        <w:t>12—Means </w:t>
      </w:r>
      <w:r>
        <w:rPr>
          <w:i/>
          <w:spacing w:val="-5"/>
          <w:w w:val="105"/>
          <w:sz w:val="21"/>
        </w:rPr>
        <w:t>Test</w:t>
      </w:r>
      <w:r>
        <w:rPr>
          <w:spacing w:val="-5"/>
          <w:w w:val="105"/>
          <w:sz w:val="21"/>
        </w:rPr>
        <w:t>, </w:t>
      </w:r>
      <w:r>
        <w:rPr>
          <w:i/>
          <w:spacing w:val="2"/>
          <w:w w:val="105"/>
          <w:sz w:val="21"/>
        </w:rPr>
        <w:t>VLA </w:t>
      </w:r>
      <w:r>
        <w:rPr>
          <w:i/>
          <w:w w:val="105"/>
          <w:sz w:val="21"/>
        </w:rPr>
        <w:t>Handbook for Lawyers </w:t>
      </w:r>
      <w:r>
        <w:rPr>
          <w:spacing w:val="-3"/>
          <w:w w:val="105"/>
          <w:sz w:val="21"/>
        </w:rPr>
        <w:t>(28 </w:t>
      </w:r>
      <w:r>
        <w:rPr>
          <w:w w:val="105"/>
          <w:sz w:val="21"/>
        </w:rPr>
        <w:t>September</w:t>
      </w:r>
      <w:r>
        <w:rPr>
          <w:spacing w:val="2"/>
          <w:w w:val="105"/>
          <w:sz w:val="21"/>
        </w:rPr>
        <w:t> </w:t>
      </w:r>
      <w:r>
        <w:rPr>
          <w:spacing w:val="-5"/>
          <w:w w:val="105"/>
          <w:sz w:val="21"/>
        </w:rPr>
        <w:t>2018)</w:t>
      </w:r>
    </w:p>
    <w:p>
      <w:pPr>
        <w:pStyle w:val="BodyText"/>
        <w:spacing w:before="4"/>
        <w:ind w:left="771"/>
      </w:pPr>
      <w:r>
        <w:rPr>
          <w:w w:val="105"/>
        </w:rPr>
        <w:t>&lt;https://handbook.vla.vic.gov.au/handbook/12-means-test&gt;</w:t>
      </w:r>
    </w:p>
    <w:p>
      <w:pPr>
        <w:pStyle w:val="ListParagraph"/>
        <w:numPr>
          <w:ilvl w:val="0"/>
          <w:numId w:val="224"/>
        </w:numPr>
        <w:tabs>
          <w:tab w:pos="771" w:val="left" w:leader="none"/>
          <w:tab w:pos="772" w:val="left" w:leader="none"/>
        </w:tabs>
        <w:spacing w:line="242" w:lineRule="auto" w:before="106" w:after="0"/>
        <w:ind w:left="771" w:right="1846" w:hanging="340"/>
        <w:jc w:val="left"/>
        <w:rPr>
          <w:sz w:val="21"/>
        </w:rPr>
      </w:pPr>
      <w:r>
        <w:rPr>
          <w:i/>
          <w:spacing w:val="-3"/>
          <w:w w:val="105"/>
          <w:sz w:val="21"/>
        </w:rPr>
        <w:t>Disputes </w:t>
      </w:r>
      <w:r>
        <w:rPr>
          <w:i/>
          <w:w w:val="105"/>
          <w:sz w:val="21"/>
        </w:rPr>
        <w:t>With Neighbours </w:t>
      </w:r>
      <w:r>
        <w:rPr>
          <w:w w:val="105"/>
          <w:sz w:val="21"/>
        </w:rPr>
        <w:t>(Web </w:t>
      </w:r>
      <w:r>
        <w:rPr>
          <w:spacing w:val="-3"/>
          <w:w w:val="105"/>
          <w:sz w:val="21"/>
        </w:rPr>
        <w:t>Page, </w:t>
      </w:r>
      <w:r>
        <w:rPr>
          <w:spacing w:val="-4"/>
          <w:w w:val="105"/>
          <w:sz w:val="21"/>
        </w:rPr>
        <w:t>25 </w:t>
      </w:r>
      <w:r>
        <w:rPr>
          <w:spacing w:val="-3"/>
          <w:w w:val="105"/>
          <w:sz w:val="21"/>
        </w:rPr>
        <w:t>March </w:t>
      </w:r>
      <w:r>
        <w:rPr>
          <w:spacing w:val="-5"/>
          <w:w w:val="105"/>
          <w:sz w:val="21"/>
        </w:rPr>
        <w:t>2019) </w:t>
      </w:r>
      <w:r>
        <w:rPr>
          <w:w w:val="105"/>
          <w:sz w:val="21"/>
        </w:rPr>
        <w:t>&lt;</w:t>
      </w:r>
      <w:hyperlink r:id="rId482">
        <w:r>
          <w:rPr>
            <w:w w:val="105"/>
            <w:sz w:val="21"/>
          </w:rPr>
          <w:t>www.legalaid.vic.gov.au/find-legal-</w:t>
        </w:r>
      </w:hyperlink>
      <w:r>
        <w:rPr>
          <w:w w:val="105"/>
          <w:sz w:val="21"/>
        </w:rPr>
        <w:t> answers/disputes-with-neighbours&gt;</w:t>
      </w:r>
    </w:p>
    <w:p>
      <w:pPr>
        <w:pStyle w:val="ListParagraph"/>
        <w:numPr>
          <w:ilvl w:val="0"/>
          <w:numId w:val="224"/>
        </w:numPr>
        <w:tabs>
          <w:tab w:pos="771" w:val="left" w:leader="none"/>
          <w:tab w:pos="772" w:val="left" w:leader="none"/>
        </w:tabs>
        <w:spacing w:line="240" w:lineRule="auto" w:before="104" w:after="0"/>
        <w:ind w:left="771" w:right="0" w:hanging="340"/>
        <w:jc w:val="left"/>
        <w:rPr>
          <w:sz w:val="21"/>
        </w:rPr>
      </w:pPr>
      <w:r>
        <w:rPr>
          <w:w w:val="105"/>
          <w:sz w:val="21"/>
        </w:rPr>
        <w:t>‘High </w:t>
      </w:r>
      <w:r>
        <w:rPr>
          <w:spacing w:val="-3"/>
          <w:w w:val="105"/>
          <w:sz w:val="21"/>
        </w:rPr>
        <w:t>Court </w:t>
      </w:r>
      <w:r>
        <w:rPr>
          <w:w w:val="105"/>
          <w:sz w:val="21"/>
        </w:rPr>
        <w:t>Decision Affecting </w:t>
      </w:r>
      <w:r>
        <w:rPr>
          <w:spacing w:val="-6"/>
          <w:w w:val="105"/>
          <w:sz w:val="21"/>
        </w:rPr>
        <w:t>Your </w:t>
      </w:r>
      <w:r>
        <w:rPr>
          <w:w w:val="105"/>
          <w:sz w:val="21"/>
        </w:rPr>
        <w:t>Practice in </w:t>
      </w:r>
      <w:r>
        <w:rPr>
          <w:spacing w:val="-7"/>
          <w:w w:val="105"/>
          <w:sz w:val="21"/>
        </w:rPr>
        <w:t>VCAT’, </w:t>
      </w:r>
      <w:r>
        <w:rPr>
          <w:i/>
          <w:w w:val="105"/>
          <w:sz w:val="21"/>
        </w:rPr>
        <w:t>News </w:t>
      </w:r>
      <w:r>
        <w:rPr>
          <w:w w:val="105"/>
          <w:sz w:val="21"/>
        </w:rPr>
        <w:t>(Web </w:t>
      </w:r>
      <w:r>
        <w:rPr>
          <w:spacing w:val="-3"/>
          <w:w w:val="105"/>
          <w:sz w:val="21"/>
        </w:rPr>
        <w:t>Page, </w:t>
      </w:r>
      <w:r>
        <w:rPr>
          <w:w w:val="105"/>
          <w:sz w:val="21"/>
        </w:rPr>
        <w:t>30 </w:t>
      </w:r>
      <w:r>
        <w:rPr>
          <w:spacing w:val="-2"/>
          <w:w w:val="105"/>
          <w:sz w:val="21"/>
        </w:rPr>
        <w:t>May</w:t>
      </w:r>
      <w:r>
        <w:rPr>
          <w:spacing w:val="6"/>
          <w:w w:val="105"/>
          <w:sz w:val="21"/>
        </w:rPr>
        <w:t> </w:t>
      </w:r>
      <w:r>
        <w:rPr>
          <w:spacing w:val="-5"/>
          <w:w w:val="105"/>
          <w:sz w:val="21"/>
        </w:rPr>
        <w:t>2018)</w:t>
      </w:r>
    </w:p>
    <w:p>
      <w:pPr>
        <w:pStyle w:val="BodyText"/>
        <w:spacing w:line="242" w:lineRule="auto" w:before="4"/>
        <w:ind w:left="771" w:right="1756"/>
      </w:pPr>
      <w:r>
        <w:rPr/>
        <w:t>&lt;https://</w:t>
      </w:r>
      <w:hyperlink r:id="rId483">
        <w:r>
          <w:rPr/>
          <w:t>www.legalaid.vic.gov.au/about-us/news/high-court-decision-affecting-your-practice-</w:t>
        </w:r>
      </w:hyperlink>
      <w:r>
        <w:rPr/>
        <w:t> </w:t>
      </w:r>
      <w:r>
        <w:rPr>
          <w:w w:val="105"/>
        </w:rPr>
        <w:t>in-vcat&gt;</w:t>
      </w:r>
    </w:p>
    <w:p>
      <w:pPr>
        <w:pStyle w:val="ListParagraph"/>
        <w:numPr>
          <w:ilvl w:val="0"/>
          <w:numId w:val="224"/>
        </w:numPr>
        <w:tabs>
          <w:tab w:pos="771" w:val="left" w:leader="none"/>
          <w:tab w:pos="772" w:val="left" w:leader="none"/>
        </w:tabs>
        <w:spacing w:line="242" w:lineRule="auto" w:before="104" w:after="0"/>
        <w:ind w:left="771" w:right="1716" w:hanging="340"/>
        <w:jc w:val="left"/>
        <w:rPr>
          <w:sz w:val="21"/>
        </w:rPr>
      </w:pPr>
      <w:r>
        <w:rPr>
          <w:i/>
          <w:spacing w:val="-3"/>
          <w:w w:val="105"/>
          <w:sz w:val="21"/>
        </w:rPr>
        <w:t>Victoria’s</w:t>
      </w:r>
      <w:r>
        <w:rPr>
          <w:i/>
          <w:spacing w:val="-8"/>
          <w:w w:val="105"/>
          <w:sz w:val="21"/>
        </w:rPr>
        <w:t> </w:t>
      </w:r>
      <w:r>
        <w:rPr>
          <w:i/>
          <w:w w:val="105"/>
          <w:sz w:val="21"/>
        </w:rPr>
        <w:t>Courts</w:t>
      </w:r>
      <w:r>
        <w:rPr>
          <w:i/>
          <w:spacing w:val="-8"/>
          <w:w w:val="105"/>
          <w:sz w:val="21"/>
        </w:rPr>
        <w:t> </w:t>
      </w:r>
      <w:r>
        <w:rPr>
          <w:i/>
          <w:w w:val="105"/>
          <w:sz w:val="21"/>
        </w:rPr>
        <w:t>and</w:t>
      </w:r>
      <w:r>
        <w:rPr>
          <w:i/>
          <w:spacing w:val="-7"/>
          <w:w w:val="105"/>
          <w:sz w:val="21"/>
        </w:rPr>
        <w:t> </w:t>
      </w:r>
      <w:r>
        <w:rPr>
          <w:i/>
          <w:spacing w:val="-4"/>
          <w:w w:val="105"/>
          <w:sz w:val="21"/>
        </w:rPr>
        <w:t>Tribunals</w:t>
      </w:r>
      <w:r>
        <w:rPr>
          <w:i/>
          <w:spacing w:val="-8"/>
          <w:w w:val="105"/>
          <w:sz w:val="21"/>
        </w:rPr>
        <w:t> </w:t>
      </w:r>
      <w:r>
        <w:rPr>
          <w:w w:val="105"/>
          <w:sz w:val="21"/>
        </w:rPr>
        <w:t>(Web</w:t>
      </w:r>
      <w:r>
        <w:rPr>
          <w:spacing w:val="-8"/>
          <w:w w:val="105"/>
          <w:sz w:val="21"/>
        </w:rPr>
        <w:t> </w:t>
      </w:r>
      <w:r>
        <w:rPr>
          <w:spacing w:val="-3"/>
          <w:w w:val="105"/>
          <w:sz w:val="21"/>
        </w:rPr>
        <w:t>Page,</w:t>
      </w:r>
      <w:r>
        <w:rPr>
          <w:spacing w:val="-7"/>
          <w:w w:val="105"/>
          <w:sz w:val="21"/>
        </w:rPr>
        <w:t> </w:t>
      </w:r>
      <w:r>
        <w:rPr>
          <w:spacing w:val="-9"/>
          <w:w w:val="105"/>
          <w:sz w:val="21"/>
        </w:rPr>
        <w:t>13</w:t>
      </w:r>
      <w:r>
        <w:rPr>
          <w:spacing w:val="-8"/>
          <w:w w:val="105"/>
          <w:sz w:val="21"/>
        </w:rPr>
        <w:t> </w:t>
      </w:r>
      <w:r>
        <w:rPr>
          <w:w w:val="105"/>
          <w:sz w:val="21"/>
        </w:rPr>
        <w:t>December</w:t>
      </w:r>
      <w:r>
        <w:rPr>
          <w:spacing w:val="-8"/>
          <w:w w:val="105"/>
          <w:sz w:val="21"/>
        </w:rPr>
        <w:t> </w:t>
      </w:r>
      <w:r>
        <w:rPr>
          <w:spacing w:val="-5"/>
          <w:w w:val="105"/>
          <w:sz w:val="21"/>
        </w:rPr>
        <w:t>2018)</w:t>
      </w:r>
      <w:r>
        <w:rPr>
          <w:spacing w:val="-7"/>
          <w:w w:val="105"/>
          <w:sz w:val="21"/>
        </w:rPr>
        <w:t> </w:t>
      </w:r>
      <w:r>
        <w:rPr>
          <w:w w:val="105"/>
          <w:sz w:val="21"/>
        </w:rPr>
        <w:t>&lt;https://</w:t>
      </w:r>
      <w:hyperlink r:id="rId42">
        <w:r>
          <w:rPr>
            <w:w w:val="105"/>
            <w:sz w:val="21"/>
          </w:rPr>
          <w:t>www.legalaid.vic.gov.</w:t>
        </w:r>
      </w:hyperlink>
      <w:r>
        <w:rPr>
          <w:w w:val="105"/>
          <w:sz w:val="21"/>
        </w:rPr>
        <w:t> au/find-legal-answers/courts-and-legal-system/victorias-courts-and-tribunals&gt;</w:t>
      </w:r>
    </w:p>
    <w:p>
      <w:pPr>
        <w:spacing w:after="0" w:line="242" w:lineRule="auto"/>
        <w:jc w:val="left"/>
        <w:rPr>
          <w:sz w:val="21"/>
        </w:rPr>
        <w:sectPr>
          <w:type w:val="continuous"/>
          <w:pgSz w:w="11910" w:h="16840"/>
          <w:pgMar w:top="300" w:bottom="280" w:left="0" w:right="0"/>
          <w:cols w:num="2" w:equalWidth="0">
            <w:col w:w="1117" w:space="40"/>
            <w:col w:w="10753"/>
          </w:cols>
        </w:sectPr>
      </w:pPr>
    </w:p>
    <w:p>
      <w:pPr>
        <w:pStyle w:val="BodyText"/>
        <w:spacing w:before="6"/>
      </w:pPr>
    </w:p>
    <w:p>
      <w:pPr>
        <w:pStyle w:val="BodyText"/>
        <w:spacing w:before="92"/>
        <w:ind w:left="1587"/>
      </w:pPr>
      <w:r>
        <w:rPr>
          <w:w w:val="105"/>
        </w:rPr>
        <w:t>Victorian Civil and Administrative Tribunal (VCAT),</w:t>
      </w:r>
    </w:p>
    <w:p>
      <w:pPr>
        <w:pStyle w:val="ListParagraph"/>
        <w:numPr>
          <w:ilvl w:val="1"/>
          <w:numId w:val="224"/>
        </w:numPr>
        <w:tabs>
          <w:tab w:pos="1927" w:val="left" w:leader="none"/>
          <w:tab w:pos="1928" w:val="left" w:leader="none"/>
        </w:tabs>
        <w:spacing w:line="240" w:lineRule="auto" w:before="105" w:after="0"/>
        <w:ind w:left="1927" w:right="0" w:hanging="340"/>
        <w:jc w:val="left"/>
        <w:rPr>
          <w:sz w:val="21"/>
        </w:rPr>
      </w:pPr>
      <w:r>
        <w:rPr>
          <w:i/>
          <w:w w:val="105"/>
          <w:sz w:val="21"/>
        </w:rPr>
        <w:t>About </w:t>
      </w:r>
      <w:r>
        <w:rPr>
          <w:i/>
          <w:spacing w:val="-4"/>
          <w:w w:val="105"/>
          <w:sz w:val="21"/>
        </w:rPr>
        <w:t>VCAT </w:t>
      </w:r>
      <w:r>
        <w:rPr>
          <w:w w:val="105"/>
          <w:sz w:val="21"/>
        </w:rPr>
        <w:t>(Web Page)</w:t>
      </w:r>
      <w:r>
        <w:rPr>
          <w:spacing w:val="21"/>
          <w:w w:val="105"/>
          <w:sz w:val="21"/>
        </w:rPr>
        <w:t> </w:t>
      </w:r>
      <w:r>
        <w:rPr>
          <w:w w:val="105"/>
          <w:sz w:val="21"/>
        </w:rPr>
        <w:t>&lt;https://</w:t>
      </w:r>
      <w:hyperlink r:id="rId170">
        <w:r>
          <w:rPr>
            <w:w w:val="105"/>
            <w:sz w:val="21"/>
          </w:rPr>
          <w:t>www.vcat.vic.gov.au/about-vcat</w:t>
        </w:r>
      </w:hyperlink>
      <w:r>
        <w:rPr>
          <w:w w:val="105"/>
          <w:sz w:val="21"/>
        </w:rPr>
        <w:t>&gt;</w:t>
      </w:r>
    </w:p>
    <w:p>
      <w:pPr>
        <w:pStyle w:val="ListParagraph"/>
        <w:numPr>
          <w:ilvl w:val="1"/>
          <w:numId w:val="224"/>
        </w:numPr>
        <w:tabs>
          <w:tab w:pos="1927" w:val="left" w:leader="none"/>
          <w:tab w:pos="1928" w:val="left" w:leader="none"/>
        </w:tabs>
        <w:spacing w:line="240" w:lineRule="auto" w:before="106" w:after="0"/>
        <w:ind w:left="1927" w:right="0" w:hanging="340"/>
        <w:jc w:val="left"/>
        <w:rPr>
          <w:sz w:val="21"/>
        </w:rPr>
      </w:pPr>
      <w:r>
        <w:rPr>
          <w:i/>
          <w:w w:val="105"/>
          <w:sz w:val="21"/>
        </w:rPr>
        <w:t>Access</w:t>
      </w:r>
      <w:r>
        <w:rPr>
          <w:i/>
          <w:spacing w:val="5"/>
          <w:w w:val="105"/>
          <w:sz w:val="21"/>
        </w:rPr>
        <w:t> </w:t>
      </w:r>
      <w:r>
        <w:rPr>
          <w:i/>
          <w:w w:val="105"/>
          <w:sz w:val="21"/>
        </w:rPr>
        <w:t>to</w:t>
      </w:r>
      <w:r>
        <w:rPr>
          <w:i/>
          <w:spacing w:val="5"/>
          <w:w w:val="105"/>
          <w:sz w:val="21"/>
        </w:rPr>
        <w:t> </w:t>
      </w:r>
      <w:r>
        <w:rPr>
          <w:i/>
          <w:spacing w:val="-3"/>
          <w:w w:val="105"/>
          <w:sz w:val="21"/>
        </w:rPr>
        <w:t>Justice</w:t>
      </w:r>
      <w:r>
        <w:rPr>
          <w:i/>
          <w:spacing w:val="6"/>
          <w:w w:val="105"/>
          <w:sz w:val="21"/>
        </w:rPr>
        <w:t> </w:t>
      </w:r>
      <w:r>
        <w:rPr>
          <w:i/>
          <w:spacing w:val="-3"/>
          <w:w w:val="105"/>
          <w:sz w:val="21"/>
        </w:rPr>
        <w:t>Funding</w:t>
      </w:r>
      <w:r>
        <w:rPr>
          <w:i/>
          <w:spacing w:val="5"/>
          <w:w w:val="105"/>
          <w:sz w:val="21"/>
        </w:rPr>
        <w:t> </w:t>
      </w:r>
      <w:r>
        <w:rPr>
          <w:i/>
          <w:w w:val="105"/>
          <w:sz w:val="21"/>
        </w:rPr>
        <w:t>to</w:t>
      </w:r>
      <w:r>
        <w:rPr>
          <w:i/>
          <w:spacing w:val="5"/>
          <w:w w:val="105"/>
          <w:sz w:val="21"/>
        </w:rPr>
        <w:t> </w:t>
      </w:r>
      <w:r>
        <w:rPr>
          <w:i/>
          <w:spacing w:val="-3"/>
          <w:w w:val="105"/>
          <w:sz w:val="21"/>
        </w:rPr>
        <w:t>Enhance</w:t>
      </w:r>
      <w:r>
        <w:rPr>
          <w:i/>
          <w:spacing w:val="6"/>
          <w:w w:val="105"/>
          <w:sz w:val="21"/>
        </w:rPr>
        <w:t> </w:t>
      </w:r>
      <w:r>
        <w:rPr>
          <w:i/>
          <w:w w:val="105"/>
          <w:sz w:val="21"/>
        </w:rPr>
        <w:t>Services</w:t>
      </w:r>
      <w:r>
        <w:rPr>
          <w:i/>
          <w:spacing w:val="5"/>
          <w:w w:val="105"/>
          <w:sz w:val="21"/>
        </w:rPr>
        <w:t> </w:t>
      </w:r>
      <w:r>
        <w:rPr>
          <w:w w:val="105"/>
          <w:sz w:val="21"/>
        </w:rPr>
        <w:t>(Web</w:t>
      </w:r>
      <w:r>
        <w:rPr>
          <w:spacing w:val="5"/>
          <w:w w:val="105"/>
          <w:sz w:val="21"/>
        </w:rPr>
        <w:t> </w:t>
      </w:r>
      <w:r>
        <w:rPr>
          <w:spacing w:val="-3"/>
          <w:w w:val="105"/>
          <w:sz w:val="21"/>
        </w:rPr>
        <w:t>Page,</w:t>
      </w:r>
      <w:r>
        <w:rPr>
          <w:spacing w:val="6"/>
          <w:w w:val="105"/>
          <w:sz w:val="21"/>
        </w:rPr>
        <w:t> </w:t>
      </w:r>
      <w:r>
        <w:rPr>
          <w:spacing w:val="-5"/>
          <w:w w:val="105"/>
          <w:sz w:val="21"/>
        </w:rPr>
        <w:t>24</w:t>
      </w:r>
      <w:r>
        <w:rPr>
          <w:spacing w:val="5"/>
          <w:w w:val="105"/>
          <w:sz w:val="21"/>
        </w:rPr>
        <w:t> </w:t>
      </w:r>
      <w:r>
        <w:rPr>
          <w:spacing w:val="-2"/>
          <w:w w:val="105"/>
          <w:sz w:val="21"/>
        </w:rPr>
        <w:t>May</w:t>
      </w:r>
      <w:r>
        <w:rPr>
          <w:spacing w:val="5"/>
          <w:w w:val="105"/>
          <w:sz w:val="21"/>
        </w:rPr>
        <w:t> </w:t>
      </w:r>
      <w:r>
        <w:rPr>
          <w:spacing w:val="-7"/>
          <w:w w:val="105"/>
          <w:sz w:val="21"/>
        </w:rPr>
        <w:t>2017)</w:t>
      </w:r>
    </w:p>
    <w:p>
      <w:pPr>
        <w:pStyle w:val="BodyText"/>
        <w:spacing w:before="4"/>
        <w:ind w:left="1927"/>
      </w:pPr>
      <w:r>
        <w:rPr>
          <w:w w:val="105"/>
        </w:rPr>
        <w:t>&lt;https://</w:t>
      </w:r>
      <w:hyperlink r:id="rId357">
        <w:r>
          <w:rPr>
            <w:w w:val="105"/>
          </w:rPr>
          <w:t>www.vcat.vic.gov.au/news/access-to-justice-funding-to-enhance-services</w:t>
        </w:r>
      </w:hyperlink>
      <w:r>
        <w:rPr>
          <w:w w:val="105"/>
        </w:rPr>
        <w:t>&gt;</w:t>
      </w:r>
    </w:p>
    <w:p>
      <w:pPr>
        <w:pStyle w:val="ListParagraph"/>
        <w:numPr>
          <w:ilvl w:val="1"/>
          <w:numId w:val="224"/>
        </w:numPr>
        <w:tabs>
          <w:tab w:pos="1927" w:val="left" w:leader="none"/>
          <w:tab w:pos="1928" w:val="left" w:leader="none"/>
        </w:tabs>
        <w:spacing w:line="240" w:lineRule="auto" w:before="105" w:after="0"/>
        <w:ind w:left="1927" w:right="0" w:hanging="340"/>
        <w:jc w:val="left"/>
        <w:rPr>
          <w:sz w:val="21"/>
        </w:rPr>
      </w:pPr>
      <w:r>
        <w:rPr>
          <w:i/>
          <w:spacing w:val="-3"/>
          <w:w w:val="105"/>
          <w:sz w:val="21"/>
        </w:rPr>
        <w:t>Annual  </w:t>
      </w:r>
      <w:r>
        <w:rPr>
          <w:i/>
          <w:w w:val="105"/>
          <w:sz w:val="21"/>
        </w:rPr>
        <w:t>Report </w:t>
      </w:r>
      <w:r>
        <w:rPr>
          <w:i/>
          <w:spacing w:val="-8"/>
          <w:w w:val="105"/>
          <w:sz w:val="21"/>
        </w:rPr>
        <w:t>2016–17  </w:t>
      </w:r>
      <w:r>
        <w:rPr>
          <w:w w:val="105"/>
          <w:sz w:val="21"/>
        </w:rPr>
        <w:t>(Report,</w:t>
      </w:r>
      <w:r>
        <w:rPr>
          <w:spacing w:val="-27"/>
          <w:w w:val="105"/>
          <w:sz w:val="21"/>
        </w:rPr>
        <w:t> </w:t>
      </w:r>
      <w:r>
        <w:rPr>
          <w:spacing w:val="-8"/>
          <w:w w:val="105"/>
          <w:sz w:val="21"/>
        </w:rPr>
        <w:t>2017)</w:t>
      </w:r>
    </w:p>
    <w:p>
      <w:pPr>
        <w:pStyle w:val="ListParagraph"/>
        <w:numPr>
          <w:ilvl w:val="1"/>
          <w:numId w:val="224"/>
        </w:numPr>
        <w:tabs>
          <w:tab w:pos="1927" w:val="left" w:leader="none"/>
          <w:tab w:pos="1928" w:val="left" w:leader="none"/>
        </w:tabs>
        <w:spacing w:line="240" w:lineRule="auto" w:before="106" w:after="0"/>
        <w:ind w:left="1927" w:right="0" w:hanging="340"/>
        <w:jc w:val="left"/>
        <w:rPr>
          <w:sz w:val="21"/>
        </w:rPr>
      </w:pPr>
      <w:r>
        <w:rPr>
          <w:i/>
          <w:spacing w:val="-3"/>
          <w:w w:val="105"/>
          <w:sz w:val="21"/>
        </w:rPr>
        <w:t>Annual  </w:t>
      </w:r>
      <w:r>
        <w:rPr>
          <w:i/>
          <w:w w:val="105"/>
          <w:sz w:val="21"/>
        </w:rPr>
        <w:t>Report </w:t>
      </w:r>
      <w:r>
        <w:rPr>
          <w:i/>
          <w:spacing w:val="-11"/>
          <w:w w:val="105"/>
          <w:sz w:val="21"/>
        </w:rPr>
        <w:t>2017–18</w:t>
      </w:r>
      <w:r>
        <w:rPr>
          <w:i/>
          <w:spacing w:val="27"/>
          <w:w w:val="105"/>
          <w:sz w:val="21"/>
        </w:rPr>
        <w:t> </w:t>
      </w:r>
      <w:r>
        <w:rPr>
          <w:w w:val="105"/>
          <w:sz w:val="21"/>
        </w:rPr>
        <w:t>(Report,</w:t>
      </w:r>
      <w:r>
        <w:rPr>
          <w:spacing w:val="-19"/>
          <w:w w:val="105"/>
          <w:sz w:val="21"/>
        </w:rPr>
        <w:t> </w:t>
      </w:r>
      <w:r>
        <w:rPr>
          <w:spacing w:val="-4"/>
          <w:w w:val="105"/>
          <w:sz w:val="21"/>
        </w:rPr>
        <w:t>2018)</w:t>
      </w:r>
    </w:p>
    <w:p>
      <w:pPr>
        <w:pStyle w:val="ListParagraph"/>
        <w:numPr>
          <w:ilvl w:val="1"/>
          <w:numId w:val="224"/>
        </w:numPr>
        <w:tabs>
          <w:tab w:pos="1927" w:val="left" w:leader="none"/>
          <w:tab w:pos="1928" w:val="left" w:leader="none"/>
        </w:tabs>
        <w:spacing w:line="242" w:lineRule="auto" w:before="106" w:after="0"/>
        <w:ind w:left="1927" w:right="1699" w:hanging="340"/>
        <w:jc w:val="left"/>
        <w:rPr>
          <w:sz w:val="21"/>
        </w:rPr>
      </w:pPr>
      <w:r>
        <w:rPr>
          <w:i/>
          <w:w w:val="105"/>
          <w:sz w:val="21"/>
        </w:rPr>
        <w:t>Appeal</w:t>
      </w:r>
      <w:r>
        <w:rPr>
          <w:i/>
          <w:spacing w:val="-30"/>
          <w:w w:val="105"/>
          <w:sz w:val="21"/>
        </w:rPr>
        <w:t> </w:t>
      </w:r>
      <w:r>
        <w:rPr>
          <w:i/>
          <w:w w:val="105"/>
          <w:sz w:val="21"/>
        </w:rPr>
        <w:t>a</w:t>
      </w:r>
      <w:r>
        <w:rPr>
          <w:i/>
          <w:spacing w:val="-29"/>
          <w:w w:val="105"/>
          <w:sz w:val="21"/>
        </w:rPr>
        <w:t> </w:t>
      </w:r>
      <w:r>
        <w:rPr>
          <w:i/>
          <w:spacing w:val="-4"/>
          <w:w w:val="105"/>
          <w:sz w:val="21"/>
        </w:rPr>
        <w:t>VCAT</w:t>
      </w:r>
      <w:r>
        <w:rPr>
          <w:i/>
          <w:spacing w:val="-30"/>
          <w:w w:val="105"/>
          <w:sz w:val="21"/>
        </w:rPr>
        <w:t> </w:t>
      </w:r>
      <w:r>
        <w:rPr>
          <w:i/>
          <w:w w:val="105"/>
          <w:sz w:val="21"/>
        </w:rPr>
        <w:t>Decision</w:t>
      </w:r>
      <w:r>
        <w:rPr>
          <w:i/>
          <w:spacing w:val="-29"/>
          <w:w w:val="105"/>
          <w:sz w:val="21"/>
        </w:rPr>
        <w:t> </w:t>
      </w:r>
      <w:r>
        <w:rPr>
          <w:w w:val="105"/>
          <w:sz w:val="21"/>
        </w:rPr>
        <w:t>(Web</w:t>
      </w:r>
      <w:r>
        <w:rPr>
          <w:spacing w:val="-29"/>
          <w:w w:val="105"/>
          <w:sz w:val="21"/>
        </w:rPr>
        <w:t> </w:t>
      </w:r>
      <w:r>
        <w:rPr>
          <w:w w:val="105"/>
          <w:sz w:val="21"/>
        </w:rPr>
        <w:t>Page)</w:t>
      </w:r>
      <w:r>
        <w:rPr>
          <w:spacing w:val="-30"/>
          <w:w w:val="105"/>
          <w:sz w:val="21"/>
        </w:rPr>
        <w:t> </w:t>
      </w:r>
      <w:r>
        <w:rPr>
          <w:w w:val="105"/>
          <w:sz w:val="21"/>
        </w:rPr>
        <w:t>&lt;https://</w:t>
      </w:r>
      <w:hyperlink r:id="rId164">
        <w:r>
          <w:rPr>
            <w:w w:val="105"/>
            <w:sz w:val="21"/>
          </w:rPr>
          <w:t>www.vcat.vic.gov.au/steps-to-resolve-your-case/</w:t>
        </w:r>
      </w:hyperlink>
      <w:r>
        <w:rPr>
          <w:w w:val="105"/>
          <w:sz w:val="21"/>
        </w:rPr>
        <w:t> what-to-expect-after-the-final-hearing/appeal-a-vcat-decision&gt;</w:t>
      </w:r>
    </w:p>
    <w:p>
      <w:pPr>
        <w:pStyle w:val="ListParagraph"/>
        <w:numPr>
          <w:ilvl w:val="1"/>
          <w:numId w:val="224"/>
        </w:numPr>
        <w:tabs>
          <w:tab w:pos="1927" w:val="left" w:leader="none"/>
          <w:tab w:pos="1928" w:val="left" w:leader="none"/>
        </w:tabs>
        <w:spacing w:line="240" w:lineRule="auto" w:before="104" w:after="0"/>
        <w:ind w:left="1927" w:right="0" w:hanging="340"/>
        <w:jc w:val="left"/>
        <w:rPr>
          <w:sz w:val="21"/>
        </w:rPr>
      </w:pPr>
      <w:r>
        <w:rPr>
          <w:i/>
          <w:spacing w:val="-3"/>
          <w:sz w:val="21"/>
        </w:rPr>
        <w:t>Application </w:t>
      </w:r>
      <w:r>
        <w:rPr>
          <w:i/>
          <w:sz w:val="21"/>
        </w:rPr>
        <w:t>Forms </w:t>
      </w:r>
      <w:r>
        <w:rPr>
          <w:sz w:val="21"/>
        </w:rPr>
        <w:t>(Web Page)</w:t>
      </w:r>
      <w:r>
        <w:rPr>
          <w:spacing w:val="3"/>
          <w:sz w:val="21"/>
        </w:rPr>
        <w:t> </w:t>
      </w:r>
      <w:r>
        <w:rPr>
          <w:sz w:val="21"/>
        </w:rPr>
        <w:t>&lt;https://</w:t>
      </w:r>
      <w:hyperlink r:id="rId120">
        <w:r>
          <w:rPr>
            <w:sz w:val="21"/>
          </w:rPr>
          <w:t>www.vcat.vic.gov.au/resources/application-forms</w:t>
        </w:r>
      </w:hyperlink>
      <w:r>
        <w:rPr>
          <w:sz w:val="21"/>
        </w:rPr>
        <w:t>&gt;</w:t>
      </w:r>
    </w:p>
    <w:p>
      <w:pPr>
        <w:pStyle w:val="ListParagraph"/>
        <w:numPr>
          <w:ilvl w:val="1"/>
          <w:numId w:val="224"/>
        </w:numPr>
        <w:tabs>
          <w:tab w:pos="1927" w:val="left" w:leader="none"/>
          <w:tab w:pos="1928" w:val="left" w:leader="none"/>
        </w:tabs>
        <w:spacing w:line="242" w:lineRule="auto" w:before="106" w:after="0"/>
        <w:ind w:left="1927" w:right="1972" w:hanging="340"/>
        <w:jc w:val="left"/>
        <w:rPr>
          <w:sz w:val="21"/>
        </w:rPr>
      </w:pPr>
      <w:r>
        <w:rPr>
          <w:i/>
          <w:spacing w:val="-3"/>
          <w:w w:val="105"/>
          <w:sz w:val="21"/>
        </w:rPr>
        <w:t>Application</w:t>
      </w:r>
      <w:r>
        <w:rPr>
          <w:i/>
          <w:spacing w:val="-17"/>
          <w:w w:val="105"/>
          <w:sz w:val="21"/>
        </w:rPr>
        <w:t> </w:t>
      </w:r>
      <w:r>
        <w:rPr>
          <w:i/>
          <w:w w:val="105"/>
          <w:sz w:val="21"/>
        </w:rPr>
        <w:t>for</w:t>
      </w:r>
      <w:r>
        <w:rPr>
          <w:i/>
          <w:spacing w:val="-17"/>
          <w:w w:val="105"/>
          <w:sz w:val="21"/>
        </w:rPr>
        <w:t> </w:t>
      </w:r>
      <w:r>
        <w:rPr>
          <w:i/>
          <w:w w:val="105"/>
          <w:sz w:val="21"/>
        </w:rPr>
        <w:t>Review</w:t>
      </w:r>
      <w:r>
        <w:rPr>
          <w:i/>
          <w:spacing w:val="-17"/>
          <w:w w:val="105"/>
          <w:sz w:val="21"/>
        </w:rPr>
        <w:t> </w:t>
      </w:r>
      <w:r>
        <w:rPr>
          <w:i/>
          <w:spacing w:val="-3"/>
          <w:w w:val="105"/>
          <w:sz w:val="21"/>
        </w:rPr>
        <w:t>of</w:t>
      </w:r>
      <w:r>
        <w:rPr>
          <w:i/>
          <w:spacing w:val="-17"/>
          <w:w w:val="105"/>
          <w:sz w:val="21"/>
        </w:rPr>
        <w:t> </w:t>
      </w:r>
      <w:r>
        <w:rPr>
          <w:i/>
          <w:w w:val="105"/>
          <w:sz w:val="21"/>
        </w:rPr>
        <w:t>a</w:t>
      </w:r>
      <w:r>
        <w:rPr>
          <w:i/>
          <w:spacing w:val="-17"/>
          <w:w w:val="105"/>
          <w:sz w:val="21"/>
        </w:rPr>
        <w:t> </w:t>
      </w:r>
      <w:r>
        <w:rPr>
          <w:i/>
          <w:w w:val="105"/>
          <w:sz w:val="21"/>
        </w:rPr>
        <w:t>Decision</w:t>
      </w:r>
      <w:r>
        <w:rPr>
          <w:i/>
          <w:spacing w:val="-17"/>
          <w:w w:val="105"/>
          <w:sz w:val="21"/>
        </w:rPr>
        <w:t> </w:t>
      </w:r>
      <w:r>
        <w:rPr>
          <w:w w:val="105"/>
          <w:sz w:val="21"/>
        </w:rPr>
        <w:t>(Web</w:t>
      </w:r>
      <w:r>
        <w:rPr>
          <w:spacing w:val="-16"/>
          <w:w w:val="105"/>
          <w:sz w:val="21"/>
        </w:rPr>
        <w:t> </w:t>
      </w:r>
      <w:r>
        <w:rPr>
          <w:w w:val="105"/>
          <w:sz w:val="21"/>
        </w:rPr>
        <w:t>Page)</w:t>
      </w:r>
      <w:r>
        <w:rPr>
          <w:spacing w:val="-17"/>
          <w:w w:val="105"/>
          <w:sz w:val="21"/>
        </w:rPr>
        <w:t> </w:t>
      </w:r>
      <w:r>
        <w:rPr>
          <w:w w:val="105"/>
          <w:sz w:val="21"/>
        </w:rPr>
        <w:t>&lt;https://</w:t>
      </w:r>
      <w:hyperlink r:id="rId484">
        <w:r>
          <w:rPr>
            <w:w w:val="105"/>
            <w:sz w:val="21"/>
          </w:rPr>
          <w:t>www.vcat.vic.gov.au/get-started/</w:t>
        </w:r>
      </w:hyperlink>
      <w:r>
        <w:rPr>
          <w:w w:val="105"/>
          <w:sz w:val="21"/>
        </w:rPr>
        <w:t> review-and-regulation/application-for-review-of-a-decision&gt;</w:t>
      </w:r>
    </w:p>
    <w:p>
      <w:pPr>
        <w:pStyle w:val="ListParagraph"/>
        <w:numPr>
          <w:ilvl w:val="1"/>
          <w:numId w:val="224"/>
        </w:numPr>
        <w:tabs>
          <w:tab w:pos="1927" w:val="left" w:leader="none"/>
          <w:tab w:pos="1928" w:val="left" w:leader="none"/>
        </w:tabs>
        <w:spacing w:line="242" w:lineRule="auto" w:before="104" w:after="0"/>
        <w:ind w:left="1927" w:right="1736" w:hanging="340"/>
        <w:jc w:val="left"/>
        <w:rPr>
          <w:sz w:val="21"/>
        </w:rPr>
      </w:pPr>
      <w:r>
        <w:rPr>
          <w:spacing w:val="-4"/>
          <w:w w:val="105"/>
          <w:sz w:val="21"/>
        </w:rPr>
        <w:t>‘Application </w:t>
      </w:r>
      <w:r>
        <w:rPr>
          <w:spacing w:val="-3"/>
          <w:w w:val="105"/>
          <w:sz w:val="21"/>
        </w:rPr>
        <w:t>to </w:t>
      </w:r>
      <w:r>
        <w:rPr>
          <w:w w:val="105"/>
          <w:sz w:val="21"/>
        </w:rPr>
        <w:t>Reopen An Order (Application </w:t>
      </w:r>
      <w:r>
        <w:rPr>
          <w:spacing w:val="-3"/>
          <w:w w:val="105"/>
          <w:sz w:val="21"/>
        </w:rPr>
        <w:t>for </w:t>
      </w:r>
      <w:r>
        <w:rPr>
          <w:w w:val="105"/>
          <w:sz w:val="21"/>
        </w:rPr>
        <w:t>Review Section </w:t>
      </w:r>
      <w:r>
        <w:rPr>
          <w:spacing w:val="-6"/>
          <w:w w:val="105"/>
          <w:sz w:val="21"/>
        </w:rPr>
        <w:t>120)’, </w:t>
      </w:r>
      <w:r>
        <w:rPr>
          <w:i/>
          <w:w w:val="105"/>
          <w:sz w:val="21"/>
        </w:rPr>
        <w:t>Forms, </w:t>
      </w:r>
      <w:r>
        <w:rPr>
          <w:i/>
          <w:spacing w:val="-3"/>
          <w:w w:val="105"/>
          <w:sz w:val="21"/>
        </w:rPr>
        <w:t>Guides </w:t>
      </w:r>
      <w:r>
        <w:rPr>
          <w:i/>
          <w:w w:val="105"/>
          <w:sz w:val="21"/>
        </w:rPr>
        <w:t>and </w:t>
      </w:r>
      <w:r>
        <w:rPr>
          <w:i/>
          <w:spacing w:val="-3"/>
          <w:w w:val="105"/>
          <w:sz w:val="21"/>
        </w:rPr>
        <w:t>Resources</w:t>
      </w:r>
      <w:r>
        <w:rPr>
          <w:i/>
          <w:spacing w:val="-30"/>
          <w:w w:val="105"/>
          <w:sz w:val="21"/>
        </w:rPr>
        <w:t> </w:t>
      </w:r>
      <w:r>
        <w:rPr>
          <w:w w:val="105"/>
          <w:sz w:val="21"/>
        </w:rPr>
        <w:t>(Online</w:t>
      </w:r>
      <w:r>
        <w:rPr>
          <w:spacing w:val="-30"/>
          <w:w w:val="105"/>
          <w:sz w:val="21"/>
        </w:rPr>
        <w:t> </w:t>
      </w:r>
      <w:r>
        <w:rPr>
          <w:w w:val="105"/>
          <w:sz w:val="21"/>
        </w:rPr>
        <w:t>Form,</w:t>
      </w:r>
      <w:r>
        <w:rPr>
          <w:spacing w:val="-30"/>
          <w:w w:val="105"/>
          <w:sz w:val="21"/>
        </w:rPr>
        <w:t> </w:t>
      </w:r>
      <w:r>
        <w:rPr>
          <w:spacing w:val="-4"/>
          <w:w w:val="105"/>
          <w:sz w:val="21"/>
        </w:rPr>
        <w:t>26</w:t>
      </w:r>
      <w:r>
        <w:rPr>
          <w:spacing w:val="-30"/>
          <w:w w:val="105"/>
          <w:sz w:val="21"/>
        </w:rPr>
        <w:t> </w:t>
      </w:r>
      <w:r>
        <w:rPr>
          <w:w w:val="105"/>
          <w:sz w:val="21"/>
        </w:rPr>
        <w:t>July</w:t>
      </w:r>
      <w:r>
        <w:rPr>
          <w:spacing w:val="-30"/>
          <w:w w:val="105"/>
          <w:sz w:val="21"/>
        </w:rPr>
        <w:t> </w:t>
      </w:r>
      <w:r>
        <w:rPr>
          <w:spacing w:val="-5"/>
          <w:w w:val="105"/>
          <w:sz w:val="21"/>
        </w:rPr>
        <w:t>2016)</w:t>
      </w:r>
      <w:r>
        <w:rPr>
          <w:spacing w:val="-30"/>
          <w:w w:val="105"/>
          <w:sz w:val="21"/>
        </w:rPr>
        <w:t> </w:t>
      </w:r>
      <w:r>
        <w:rPr>
          <w:w w:val="105"/>
          <w:sz w:val="21"/>
        </w:rPr>
        <w:t>&lt;https://</w:t>
      </w:r>
      <w:hyperlink r:id="rId485">
        <w:r>
          <w:rPr>
            <w:w w:val="105"/>
            <w:sz w:val="21"/>
          </w:rPr>
          <w:t>www.vcat.vic.gov.au/resources/application-to-</w:t>
        </w:r>
      </w:hyperlink>
      <w:r>
        <w:rPr>
          <w:w w:val="105"/>
          <w:sz w:val="21"/>
        </w:rPr>
        <w:t> </w:t>
      </w:r>
      <w:r>
        <w:rPr>
          <w:spacing w:val="-3"/>
          <w:w w:val="105"/>
          <w:sz w:val="21"/>
        </w:rPr>
        <w:t>reopen-an-order-application-for-review-section-120&gt;</w:t>
      </w:r>
    </w:p>
    <w:p>
      <w:pPr>
        <w:pStyle w:val="ListParagraph"/>
        <w:numPr>
          <w:ilvl w:val="1"/>
          <w:numId w:val="224"/>
        </w:numPr>
        <w:tabs>
          <w:tab w:pos="1927" w:val="left" w:leader="none"/>
          <w:tab w:pos="1928" w:val="left" w:leader="none"/>
        </w:tabs>
        <w:spacing w:line="242" w:lineRule="auto" w:before="105" w:after="0"/>
        <w:ind w:left="1927" w:right="1946" w:hanging="340"/>
        <w:jc w:val="left"/>
        <w:rPr>
          <w:sz w:val="21"/>
        </w:rPr>
      </w:pPr>
      <w:r>
        <w:rPr>
          <w:spacing w:val="-4"/>
          <w:sz w:val="21"/>
        </w:rPr>
        <w:t>‘Application </w:t>
      </w:r>
      <w:r>
        <w:rPr>
          <w:spacing w:val="-3"/>
          <w:sz w:val="21"/>
        </w:rPr>
        <w:t>to </w:t>
      </w:r>
      <w:r>
        <w:rPr>
          <w:spacing w:val="-5"/>
          <w:sz w:val="21"/>
        </w:rPr>
        <w:t>VCAT  </w:t>
      </w:r>
      <w:r>
        <w:rPr>
          <w:spacing w:val="-3"/>
          <w:sz w:val="21"/>
        </w:rPr>
        <w:t>to  </w:t>
      </w:r>
      <w:r>
        <w:rPr>
          <w:spacing w:val="-4"/>
          <w:sz w:val="21"/>
        </w:rPr>
        <w:t>Make  </w:t>
      </w:r>
      <w:r>
        <w:rPr>
          <w:sz w:val="21"/>
        </w:rPr>
        <w:t>an  </w:t>
      </w:r>
      <w:r>
        <w:rPr>
          <w:spacing w:val="-3"/>
          <w:sz w:val="21"/>
        </w:rPr>
        <w:t>Original  </w:t>
      </w:r>
      <w:r>
        <w:rPr>
          <w:sz w:val="21"/>
        </w:rPr>
        <w:t>Jurisdiction  </w:t>
      </w:r>
      <w:r>
        <w:rPr>
          <w:spacing w:val="-5"/>
          <w:sz w:val="21"/>
        </w:rPr>
        <w:t>Decision’,  </w:t>
      </w:r>
      <w:r>
        <w:rPr>
          <w:i/>
          <w:sz w:val="21"/>
        </w:rPr>
        <w:t>Review  and  </w:t>
      </w:r>
      <w:r>
        <w:rPr>
          <w:i/>
          <w:spacing w:val="-3"/>
          <w:sz w:val="21"/>
        </w:rPr>
        <w:t>Regulation </w:t>
      </w:r>
      <w:r>
        <w:rPr>
          <w:sz w:val="21"/>
        </w:rPr>
        <w:t>(Web Page) &lt;https://</w:t>
      </w:r>
      <w:hyperlink r:id="rId486">
        <w:r>
          <w:rPr>
            <w:sz w:val="21"/>
          </w:rPr>
          <w:t>www.vcat.vic.gov.au/case-types/review-and-regulation/application-to-</w:t>
        </w:r>
      </w:hyperlink>
      <w:r>
        <w:rPr>
          <w:sz w:val="21"/>
        </w:rPr>
        <w:t> vcat-to-make-an-original-jurisdiction-decision&gt;</w:t>
      </w:r>
    </w:p>
    <w:p>
      <w:pPr>
        <w:pStyle w:val="ListParagraph"/>
        <w:numPr>
          <w:ilvl w:val="1"/>
          <w:numId w:val="224"/>
        </w:numPr>
        <w:tabs>
          <w:tab w:pos="1985" w:val="left" w:leader="none"/>
          <w:tab w:pos="1986" w:val="left" w:leader="none"/>
        </w:tabs>
        <w:spacing w:line="240" w:lineRule="auto" w:before="105" w:after="0"/>
        <w:ind w:left="1985" w:right="0" w:hanging="398"/>
        <w:jc w:val="left"/>
        <w:rPr>
          <w:sz w:val="21"/>
        </w:rPr>
      </w:pPr>
      <w:r>
        <w:rPr>
          <w:spacing w:val="-4"/>
          <w:w w:val="105"/>
          <w:sz w:val="21"/>
        </w:rPr>
        <w:t>‘Apply</w:t>
      </w:r>
      <w:r>
        <w:rPr>
          <w:spacing w:val="4"/>
          <w:w w:val="105"/>
          <w:sz w:val="21"/>
        </w:rPr>
        <w:t> </w:t>
      </w:r>
      <w:r>
        <w:rPr>
          <w:spacing w:val="-3"/>
          <w:w w:val="105"/>
          <w:sz w:val="21"/>
        </w:rPr>
        <w:t>to</w:t>
      </w:r>
      <w:r>
        <w:rPr>
          <w:spacing w:val="5"/>
          <w:w w:val="105"/>
          <w:sz w:val="21"/>
        </w:rPr>
        <w:t> </w:t>
      </w:r>
      <w:r>
        <w:rPr>
          <w:w w:val="105"/>
          <w:sz w:val="21"/>
        </w:rPr>
        <w:t>Join</w:t>
      </w:r>
      <w:r>
        <w:rPr>
          <w:spacing w:val="5"/>
          <w:w w:val="105"/>
          <w:sz w:val="21"/>
        </w:rPr>
        <w:t> </w:t>
      </w:r>
      <w:r>
        <w:rPr>
          <w:w w:val="105"/>
          <w:sz w:val="21"/>
        </w:rPr>
        <w:t>Someone</w:t>
      </w:r>
      <w:r>
        <w:rPr>
          <w:spacing w:val="5"/>
          <w:w w:val="105"/>
          <w:sz w:val="21"/>
        </w:rPr>
        <w:t> </w:t>
      </w:r>
      <w:r>
        <w:rPr>
          <w:w w:val="105"/>
          <w:sz w:val="21"/>
        </w:rPr>
        <w:t>as</w:t>
      </w:r>
      <w:r>
        <w:rPr>
          <w:spacing w:val="5"/>
          <w:w w:val="105"/>
          <w:sz w:val="21"/>
        </w:rPr>
        <w:t> </w:t>
      </w:r>
      <w:r>
        <w:rPr>
          <w:w w:val="105"/>
          <w:sz w:val="21"/>
        </w:rPr>
        <w:t>a</w:t>
      </w:r>
      <w:r>
        <w:rPr>
          <w:spacing w:val="5"/>
          <w:w w:val="105"/>
          <w:sz w:val="21"/>
        </w:rPr>
        <w:t> </w:t>
      </w:r>
      <w:r>
        <w:rPr>
          <w:spacing w:val="-3"/>
          <w:w w:val="105"/>
          <w:sz w:val="21"/>
        </w:rPr>
        <w:t>Party’,</w:t>
      </w:r>
      <w:r>
        <w:rPr>
          <w:spacing w:val="5"/>
          <w:w w:val="105"/>
          <w:sz w:val="21"/>
        </w:rPr>
        <w:t> </w:t>
      </w:r>
      <w:r>
        <w:rPr>
          <w:i/>
          <w:w w:val="105"/>
          <w:sz w:val="21"/>
        </w:rPr>
        <w:t>When</w:t>
      </w:r>
      <w:r>
        <w:rPr>
          <w:i/>
          <w:spacing w:val="5"/>
          <w:w w:val="105"/>
          <w:sz w:val="21"/>
        </w:rPr>
        <w:t> </w:t>
      </w:r>
      <w:r>
        <w:rPr>
          <w:i/>
          <w:spacing w:val="-4"/>
          <w:w w:val="105"/>
          <w:sz w:val="21"/>
        </w:rPr>
        <w:t>VCAT</w:t>
      </w:r>
      <w:r>
        <w:rPr>
          <w:i/>
          <w:spacing w:val="5"/>
          <w:w w:val="105"/>
          <w:sz w:val="21"/>
        </w:rPr>
        <w:t> </w:t>
      </w:r>
      <w:r>
        <w:rPr>
          <w:i/>
          <w:w w:val="105"/>
          <w:sz w:val="21"/>
        </w:rPr>
        <w:t>Opens</w:t>
      </w:r>
      <w:r>
        <w:rPr>
          <w:i/>
          <w:spacing w:val="5"/>
          <w:w w:val="105"/>
          <w:sz w:val="21"/>
        </w:rPr>
        <w:t> </w:t>
      </w:r>
      <w:r>
        <w:rPr>
          <w:i/>
          <w:w w:val="105"/>
          <w:sz w:val="21"/>
        </w:rPr>
        <w:t>a</w:t>
      </w:r>
      <w:r>
        <w:rPr>
          <w:i/>
          <w:spacing w:val="5"/>
          <w:w w:val="105"/>
          <w:sz w:val="21"/>
        </w:rPr>
        <w:t> </w:t>
      </w:r>
      <w:r>
        <w:rPr>
          <w:i/>
          <w:w w:val="105"/>
          <w:sz w:val="21"/>
        </w:rPr>
        <w:t>Case</w:t>
      </w:r>
      <w:r>
        <w:rPr>
          <w:i/>
          <w:spacing w:val="5"/>
          <w:w w:val="105"/>
          <w:sz w:val="21"/>
        </w:rPr>
        <w:t> </w:t>
      </w:r>
      <w:r>
        <w:rPr>
          <w:w w:val="105"/>
          <w:sz w:val="21"/>
        </w:rPr>
        <w:t>(Web</w:t>
      </w:r>
      <w:r>
        <w:rPr>
          <w:spacing w:val="5"/>
          <w:w w:val="105"/>
          <w:sz w:val="21"/>
        </w:rPr>
        <w:t> </w:t>
      </w:r>
      <w:r>
        <w:rPr>
          <w:w w:val="105"/>
          <w:sz w:val="21"/>
        </w:rPr>
        <w:t>Page)</w:t>
      </w:r>
    </w:p>
    <w:p>
      <w:pPr>
        <w:pStyle w:val="BodyText"/>
        <w:spacing w:line="242" w:lineRule="auto" w:before="4"/>
        <w:ind w:left="1927" w:right="1930"/>
      </w:pPr>
      <w:r>
        <w:rPr/>
        <w:t>&lt;https://</w:t>
      </w:r>
      <w:hyperlink r:id="rId487">
        <w:r>
          <w:rPr/>
          <w:t>www.vcat.vic.gov.au/steps-to-resolve-your-case/when-vcat-opens-a-case/apply-to-</w:t>
        </w:r>
      </w:hyperlink>
      <w:r>
        <w:rPr/>
        <w:t> </w:t>
      </w:r>
      <w:r>
        <w:rPr>
          <w:w w:val="105"/>
        </w:rPr>
        <w:t>join-someone-as-a-party&gt;</w:t>
      </w:r>
    </w:p>
    <w:p>
      <w:pPr>
        <w:pStyle w:val="ListParagraph"/>
        <w:numPr>
          <w:ilvl w:val="1"/>
          <w:numId w:val="224"/>
        </w:numPr>
        <w:tabs>
          <w:tab w:pos="1985" w:val="left" w:leader="none"/>
          <w:tab w:pos="1986" w:val="left" w:leader="none"/>
        </w:tabs>
        <w:spacing w:line="240" w:lineRule="auto" w:before="104" w:after="0"/>
        <w:ind w:left="1985" w:right="0" w:hanging="398"/>
        <w:jc w:val="left"/>
        <w:rPr>
          <w:sz w:val="21"/>
        </w:rPr>
      </w:pPr>
      <w:r>
        <w:rPr>
          <w:i/>
          <w:spacing w:val="-3"/>
          <w:w w:val="105"/>
          <w:sz w:val="21"/>
        </w:rPr>
        <w:t>Building </w:t>
      </w:r>
      <w:r>
        <w:rPr>
          <w:i/>
          <w:w w:val="105"/>
          <w:sz w:val="21"/>
        </w:rPr>
        <w:t>A Better </w:t>
      </w:r>
      <w:r>
        <w:rPr>
          <w:i/>
          <w:spacing w:val="-5"/>
          <w:w w:val="105"/>
          <w:sz w:val="21"/>
        </w:rPr>
        <w:t>VCAT: </w:t>
      </w:r>
      <w:r>
        <w:rPr>
          <w:i/>
          <w:spacing w:val="-3"/>
          <w:w w:val="105"/>
          <w:sz w:val="21"/>
        </w:rPr>
        <w:t>Strategic </w:t>
      </w:r>
      <w:r>
        <w:rPr>
          <w:i/>
          <w:w w:val="105"/>
          <w:sz w:val="21"/>
        </w:rPr>
        <w:t>Plan </w:t>
      </w:r>
      <w:r>
        <w:rPr>
          <w:i/>
          <w:spacing w:val="-9"/>
          <w:w w:val="105"/>
          <w:sz w:val="21"/>
        </w:rPr>
        <w:t>2014–17</w:t>
      </w:r>
      <w:r>
        <w:rPr>
          <w:i/>
          <w:spacing w:val="8"/>
          <w:w w:val="105"/>
          <w:sz w:val="21"/>
        </w:rPr>
        <w:t> </w:t>
      </w:r>
      <w:r>
        <w:rPr>
          <w:w w:val="105"/>
          <w:sz w:val="21"/>
        </w:rPr>
        <w:t>(Report)</w:t>
      </w:r>
    </w:p>
    <w:p>
      <w:pPr>
        <w:pStyle w:val="ListParagraph"/>
        <w:numPr>
          <w:ilvl w:val="1"/>
          <w:numId w:val="224"/>
        </w:numPr>
        <w:tabs>
          <w:tab w:pos="1927" w:val="left" w:leader="none"/>
          <w:tab w:pos="1928" w:val="left" w:leader="none"/>
        </w:tabs>
        <w:spacing w:line="242" w:lineRule="auto" w:before="106" w:after="0"/>
        <w:ind w:left="1927" w:right="2461" w:hanging="340"/>
        <w:jc w:val="left"/>
        <w:rPr>
          <w:sz w:val="21"/>
        </w:rPr>
      </w:pPr>
      <w:r>
        <w:rPr>
          <w:i/>
          <w:sz w:val="21"/>
        </w:rPr>
        <w:t>Civil Mediation Program </w:t>
      </w:r>
      <w:r>
        <w:rPr>
          <w:sz w:val="21"/>
        </w:rPr>
        <w:t>(Web Page) &lt;https://</w:t>
      </w:r>
      <w:hyperlink r:id="rId155">
        <w:r>
          <w:rPr>
            <w:sz w:val="21"/>
          </w:rPr>
          <w:t>www.disputes.vic.gov.au/about-us/civil-</w:t>
        </w:r>
      </w:hyperlink>
      <w:r>
        <w:rPr>
          <w:sz w:val="21"/>
        </w:rPr>
        <w:t> </w:t>
      </w:r>
      <w:r>
        <w:rPr>
          <w:spacing w:val="-3"/>
          <w:sz w:val="21"/>
        </w:rPr>
        <w:t>mediation-at-vcat-program&gt;</w:t>
      </w:r>
    </w:p>
    <w:p>
      <w:pPr>
        <w:pStyle w:val="ListParagraph"/>
        <w:numPr>
          <w:ilvl w:val="1"/>
          <w:numId w:val="224"/>
        </w:numPr>
        <w:tabs>
          <w:tab w:pos="1927" w:val="left" w:leader="none"/>
          <w:tab w:pos="1928" w:val="left" w:leader="none"/>
        </w:tabs>
        <w:spacing w:line="242" w:lineRule="auto" w:before="104" w:after="0"/>
        <w:ind w:left="1927" w:right="1595" w:hanging="340"/>
        <w:jc w:val="left"/>
        <w:rPr>
          <w:sz w:val="21"/>
        </w:rPr>
      </w:pPr>
      <w:r>
        <w:rPr>
          <w:i/>
          <w:sz w:val="21"/>
        </w:rPr>
        <w:t>Compulsory </w:t>
      </w:r>
      <w:r>
        <w:rPr>
          <w:i/>
          <w:spacing w:val="-3"/>
          <w:sz w:val="21"/>
        </w:rPr>
        <w:t>Conferences </w:t>
      </w:r>
      <w:r>
        <w:rPr>
          <w:sz w:val="21"/>
        </w:rPr>
        <w:t>(Web Page) &lt;</w:t>
      </w:r>
      <w:hyperlink r:id="rId488">
        <w:r>
          <w:rPr>
            <w:sz w:val="21"/>
          </w:rPr>
          <w:t>www.vcat.vic.gov.au/steps-to-resolve-your-case/resolve-</w:t>
        </w:r>
      </w:hyperlink>
      <w:r>
        <w:rPr>
          <w:sz w:val="21"/>
        </w:rPr>
        <w:t> </w:t>
      </w:r>
      <w:r>
        <w:rPr>
          <w:w w:val="105"/>
          <w:sz w:val="21"/>
        </w:rPr>
        <w:t>a-case-by-agreement/compulsory-conferences&gt;</w:t>
      </w:r>
    </w:p>
    <w:p>
      <w:pPr>
        <w:pStyle w:val="ListParagraph"/>
        <w:numPr>
          <w:ilvl w:val="1"/>
          <w:numId w:val="224"/>
        </w:numPr>
        <w:tabs>
          <w:tab w:pos="1927" w:val="left" w:leader="none"/>
          <w:tab w:pos="1928" w:val="left" w:leader="none"/>
        </w:tabs>
        <w:spacing w:line="242" w:lineRule="auto" w:before="104" w:after="0"/>
        <w:ind w:left="1927" w:right="1595" w:hanging="340"/>
        <w:jc w:val="left"/>
        <w:rPr>
          <w:sz w:val="21"/>
        </w:rPr>
      </w:pPr>
      <w:r>
        <w:rPr>
          <w:i/>
          <w:spacing w:val="-4"/>
          <w:sz w:val="21"/>
        </w:rPr>
        <w:t>Consent </w:t>
      </w:r>
      <w:r>
        <w:rPr>
          <w:i/>
          <w:sz w:val="21"/>
        </w:rPr>
        <w:t>Orders </w:t>
      </w:r>
      <w:r>
        <w:rPr>
          <w:sz w:val="21"/>
        </w:rPr>
        <w:t>(Web Page) &lt;https://</w:t>
      </w:r>
      <w:hyperlink r:id="rId175">
        <w:r>
          <w:rPr>
            <w:sz w:val="21"/>
          </w:rPr>
          <w:t>www.vcat.vic.gov.au/steps-to-resolve-your-case/resolve-a-</w:t>
        </w:r>
      </w:hyperlink>
      <w:r>
        <w:rPr>
          <w:sz w:val="21"/>
        </w:rPr>
        <w:t> </w:t>
      </w:r>
      <w:r>
        <w:rPr>
          <w:w w:val="105"/>
          <w:sz w:val="21"/>
        </w:rPr>
        <w:t>case-by-agreement/consent-orders&gt;</w:t>
      </w:r>
    </w:p>
    <w:p>
      <w:pPr>
        <w:pStyle w:val="ListParagraph"/>
        <w:numPr>
          <w:ilvl w:val="1"/>
          <w:numId w:val="224"/>
        </w:numPr>
        <w:tabs>
          <w:tab w:pos="1927" w:val="left" w:leader="none"/>
          <w:tab w:pos="1928" w:val="left" w:leader="none"/>
        </w:tabs>
        <w:spacing w:line="240" w:lineRule="auto" w:before="105" w:after="0"/>
        <w:ind w:left="1927" w:right="0" w:hanging="340"/>
        <w:jc w:val="left"/>
        <w:rPr>
          <w:sz w:val="21"/>
        </w:rPr>
      </w:pPr>
      <w:r>
        <w:rPr>
          <w:i/>
          <w:spacing w:val="-3"/>
          <w:w w:val="105"/>
          <w:sz w:val="21"/>
        </w:rPr>
        <w:t>Contact </w:t>
      </w:r>
      <w:r>
        <w:rPr>
          <w:i/>
          <w:w w:val="105"/>
          <w:sz w:val="21"/>
        </w:rPr>
        <w:t>us </w:t>
      </w:r>
      <w:r>
        <w:rPr>
          <w:w w:val="105"/>
          <w:sz w:val="21"/>
        </w:rPr>
        <w:t>(Web Page)</w:t>
      </w:r>
      <w:r>
        <w:rPr>
          <w:spacing w:val="26"/>
          <w:w w:val="105"/>
          <w:sz w:val="21"/>
        </w:rPr>
        <w:t> </w:t>
      </w:r>
      <w:r>
        <w:rPr>
          <w:spacing w:val="-3"/>
          <w:w w:val="105"/>
          <w:sz w:val="21"/>
        </w:rPr>
        <w:t>&lt;</w:t>
      </w:r>
      <w:hyperlink r:id="rId171">
        <w:r>
          <w:rPr>
            <w:spacing w:val="-3"/>
            <w:w w:val="105"/>
            <w:sz w:val="21"/>
          </w:rPr>
          <w:t>www.vcat.vic.gov.au/contact-us</w:t>
        </w:r>
      </w:hyperlink>
      <w:r>
        <w:rPr>
          <w:spacing w:val="-3"/>
          <w:w w:val="105"/>
          <w:sz w:val="21"/>
        </w:rPr>
        <w:t>&gt;</w:t>
      </w:r>
    </w:p>
    <w:p>
      <w:pPr>
        <w:pStyle w:val="ListParagraph"/>
        <w:numPr>
          <w:ilvl w:val="1"/>
          <w:numId w:val="224"/>
        </w:numPr>
        <w:tabs>
          <w:tab w:pos="1927" w:val="left" w:leader="none"/>
          <w:tab w:pos="1928" w:val="left" w:leader="none"/>
        </w:tabs>
        <w:spacing w:line="240" w:lineRule="auto" w:before="105" w:after="0"/>
        <w:ind w:left="1927" w:right="0" w:hanging="340"/>
        <w:jc w:val="left"/>
        <w:rPr>
          <w:sz w:val="21"/>
        </w:rPr>
      </w:pPr>
      <w:r>
        <w:rPr>
          <w:i/>
          <w:sz w:val="21"/>
        </w:rPr>
        <w:t>Decisions </w:t>
      </w:r>
      <w:r>
        <w:rPr>
          <w:sz w:val="21"/>
        </w:rPr>
        <w:t>(Web Page)</w:t>
      </w:r>
      <w:r>
        <w:rPr>
          <w:spacing w:val="27"/>
          <w:sz w:val="21"/>
        </w:rPr>
        <w:t> </w:t>
      </w:r>
      <w:r>
        <w:rPr>
          <w:sz w:val="21"/>
        </w:rPr>
        <w:t>&lt;https://</w:t>
      </w:r>
      <w:hyperlink r:id="rId345">
        <w:r>
          <w:rPr>
            <w:sz w:val="21"/>
          </w:rPr>
          <w:t>www.vcat.vic.gov.au/decisions</w:t>
        </w:r>
      </w:hyperlink>
      <w:r>
        <w:rPr>
          <w:sz w:val="21"/>
        </w:rPr>
        <w:t>&gt;</w:t>
      </w:r>
    </w:p>
    <w:p>
      <w:pPr>
        <w:pStyle w:val="ListParagraph"/>
        <w:numPr>
          <w:ilvl w:val="1"/>
          <w:numId w:val="224"/>
        </w:numPr>
        <w:tabs>
          <w:tab w:pos="1927" w:val="left" w:leader="none"/>
          <w:tab w:pos="1928" w:val="left" w:leader="none"/>
        </w:tabs>
        <w:spacing w:line="242" w:lineRule="auto" w:before="106" w:after="0"/>
        <w:ind w:left="1927" w:right="1991" w:hanging="340"/>
        <w:jc w:val="left"/>
        <w:rPr>
          <w:sz w:val="21"/>
        </w:rPr>
      </w:pPr>
      <w:r>
        <w:rPr>
          <w:i/>
          <w:spacing w:val="-3"/>
          <w:sz w:val="21"/>
        </w:rPr>
        <w:t>Ending </w:t>
      </w:r>
      <w:r>
        <w:rPr>
          <w:i/>
          <w:sz w:val="21"/>
        </w:rPr>
        <w:t>a Case by Dismissal or </w:t>
      </w:r>
      <w:r>
        <w:rPr>
          <w:i/>
          <w:spacing w:val="-4"/>
          <w:sz w:val="21"/>
        </w:rPr>
        <w:t>Strikeout </w:t>
      </w:r>
      <w:r>
        <w:rPr>
          <w:sz w:val="21"/>
        </w:rPr>
        <w:t>(Web Page) &lt;https://</w:t>
      </w:r>
      <w:hyperlink r:id="rId138">
        <w:r>
          <w:rPr>
            <w:sz w:val="21"/>
          </w:rPr>
          <w:t>www.vcat.vic.gov.au/steps-to-</w:t>
        </w:r>
      </w:hyperlink>
      <w:r>
        <w:rPr>
          <w:sz w:val="21"/>
        </w:rPr>
        <w:t> resolve-your-case/when-vcat-opens-a-case/ending-a-case-by-dismissal-or-strikeout&gt;</w:t>
      </w:r>
    </w:p>
    <w:p>
      <w:pPr>
        <w:pStyle w:val="ListParagraph"/>
        <w:numPr>
          <w:ilvl w:val="1"/>
          <w:numId w:val="224"/>
        </w:numPr>
        <w:tabs>
          <w:tab w:pos="1927" w:val="left" w:leader="none"/>
          <w:tab w:pos="1928" w:val="left" w:leader="none"/>
        </w:tabs>
        <w:spacing w:line="242" w:lineRule="auto" w:before="104" w:after="0"/>
        <w:ind w:left="1927" w:right="1800" w:hanging="340"/>
        <w:jc w:val="left"/>
        <w:rPr>
          <w:sz w:val="21"/>
        </w:rPr>
      </w:pPr>
      <w:r>
        <w:rPr>
          <w:i/>
          <w:spacing w:val="-3"/>
          <w:sz w:val="21"/>
        </w:rPr>
        <w:t>Enforcing </w:t>
      </w:r>
      <w:r>
        <w:rPr>
          <w:i/>
          <w:spacing w:val="-4"/>
          <w:sz w:val="21"/>
        </w:rPr>
        <w:t>VCAT </w:t>
      </w:r>
      <w:r>
        <w:rPr>
          <w:i/>
          <w:sz w:val="21"/>
        </w:rPr>
        <w:t>Orders </w:t>
      </w:r>
      <w:r>
        <w:rPr>
          <w:sz w:val="21"/>
        </w:rPr>
        <w:t>(Web Page) &lt;https://</w:t>
      </w:r>
      <w:hyperlink r:id="rId164">
        <w:r>
          <w:rPr>
            <w:sz w:val="21"/>
          </w:rPr>
          <w:t>www.vcat.vic.gov.au/steps-to-resolve-your-case/</w:t>
        </w:r>
      </w:hyperlink>
      <w:r>
        <w:rPr>
          <w:sz w:val="21"/>
        </w:rPr>
        <w:t> </w:t>
      </w:r>
      <w:r>
        <w:rPr>
          <w:w w:val="105"/>
          <w:sz w:val="21"/>
        </w:rPr>
        <w:t>what-to-expect-after-the-final-hearing/enforcing-vcat-orders&gt;</w:t>
      </w:r>
    </w:p>
    <w:p>
      <w:pPr>
        <w:pStyle w:val="ListParagraph"/>
        <w:numPr>
          <w:ilvl w:val="1"/>
          <w:numId w:val="224"/>
        </w:numPr>
        <w:tabs>
          <w:tab w:pos="1927" w:val="left" w:leader="none"/>
          <w:tab w:pos="1928" w:val="left" w:leader="none"/>
        </w:tabs>
        <w:spacing w:line="242" w:lineRule="auto" w:before="104" w:after="0"/>
        <w:ind w:left="1927" w:right="1960" w:hanging="340"/>
        <w:jc w:val="left"/>
        <w:rPr>
          <w:sz w:val="21"/>
        </w:rPr>
      </w:pPr>
      <w:r>
        <w:rPr>
          <w:i/>
          <w:sz w:val="21"/>
        </w:rPr>
        <w:t>Fast </w:t>
      </w:r>
      <w:r>
        <w:rPr>
          <w:i/>
          <w:spacing w:val="-5"/>
          <w:sz w:val="21"/>
        </w:rPr>
        <w:t>Track </w:t>
      </w:r>
      <w:r>
        <w:rPr>
          <w:i/>
          <w:spacing w:val="-3"/>
          <w:sz w:val="21"/>
        </w:rPr>
        <w:t>Mediation </w:t>
      </w:r>
      <w:r>
        <w:rPr>
          <w:i/>
          <w:sz w:val="21"/>
        </w:rPr>
        <w:t>and Hearing </w:t>
      </w:r>
      <w:r>
        <w:rPr>
          <w:sz w:val="21"/>
        </w:rPr>
        <w:t>(Web Page) &lt;https://</w:t>
      </w:r>
      <w:hyperlink r:id="rId201">
        <w:r>
          <w:rPr>
            <w:sz w:val="21"/>
          </w:rPr>
          <w:t>www.vcat.vic.gov.au/resources/fast-</w:t>
        </w:r>
      </w:hyperlink>
      <w:r>
        <w:rPr>
          <w:sz w:val="21"/>
        </w:rPr>
        <w:t> track-mediation-and-hearing&gt;</w:t>
      </w:r>
    </w:p>
    <w:p>
      <w:pPr>
        <w:pStyle w:val="ListParagraph"/>
        <w:numPr>
          <w:ilvl w:val="1"/>
          <w:numId w:val="224"/>
        </w:numPr>
        <w:tabs>
          <w:tab w:pos="1927" w:val="left" w:leader="none"/>
          <w:tab w:pos="1928" w:val="left" w:leader="none"/>
        </w:tabs>
        <w:spacing w:line="242" w:lineRule="auto" w:before="105" w:after="0"/>
        <w:ind w:left="1927" w:right="2502" w:hanging="340"/>
        <w:jc w:val="left"/>
        <w:rPr>
          <w:sz w:val="21"/>
        </w:rPr>
      </w:pPr>
      <w:r>
        <w:rPr>
          <w:i/>
          <w:w w:val="105"/>
          <w:sz w:val="21"/>
        </w:rPr>
        <w:t>Fee</w:t>
      </w:r>
      <w:r>
        <w:rPr>
          <w:i/>
          <w:spacing w:val="-22"/>
          <w:w w:val="105"/>
          <w:sz w:val="21"/>
        </w:rPr>
        <w:t> </w:t>
      </w:r>
      <w:r>
        <w:rPr>
          <w:i/>
          <w:w w:val="105"/>
          <w:sz w:val="21"/>
        </w:rPr>
        <w:t>Categories</w:t>
      </w:r>
      <w:r>
        <w:rPr>
          <w:i/>
          <w:spacing w:val="-22"/>
          <w:w w:val="105"/>
          <w:sz w:val="21"/>
        </w:rPr>
        <w:t> </w:t>
      </w:r>
      <w:r>
        <w:rPr>
          <w:w w:val="105"/>
          <w:sz w:val="21"/>
        </w:rPr>
        <w:t>(Web</w:t>
      </w:r>
      <w:r>
        <w:rPr>
          <w:spacing w:val="-22"/>
          <w:w w:val="105"/>
          <w:sz w:val="21"/>
        </w:rPr>
        <w:t> </w:t>
      </w:r>
      <w:r>
        <w:rPr>
          <w:spacing w:val="-3"/>
          <w:w w:val="105"/>
          <w:sz w:val="21"/>
        </w:rPr>
        <w:t>Page,</w:t>
      </w:r>
      <w:r>
        <w:rPr>
          <w:spacing w:val="-22"/>
          <w:w w:val="105"/>
          <w:sz w:val="21"/>
        </w:rPr>
        <w:t> </w:t>
      </w:r>
      <w:r>
        <w:rPr>
          <w:w w:val="105"/>
          <w:sz w:val="21"/>
        </w:rPr>
        <w:t>9</w:t>
      </w:r>
      <w:r>
        <w:rPr>
          <w:spacing w:val="-21"/>
          <w:w w:val="105"/>
          <w:sz w:val="21"/>
        </w:rPr>
        <w:t> </w:t>
      </w:r>
      <w:r>
        <w:rPr>
          <w:w w:val="105"/>
          <w:sz w:val="21"/>
        </w:rPr>
        <w:t>May</w:t>
      </w:r>
      <w:r>
        <w:rPr>
          <w:spacing w:val="-22"/>
          <w:w w:val="105"/>
          <w:sz w:val="21"/>
        </w:rPr>
        <w:t> </w:t>
      </w:r>
      <w:r>
        <w:rPr>
          <w:spacing w:val="-7"/>
          <w:w w:val="105"/>
          <w:sz w:val="21"/>
        </w:rPr>
        <w:t>2017)</w:t>
      </w:r>
      <w:r>
        <w:rPr>
          <w:spacing w:val="-22"/>
          <w:w w:val="105"/>
          <w:sz w:val="21"/>
        </w:rPr>
        <w:t> </w:t>
      </w:r>
      <w:r>
        <w:rPr>
          <w:w w:val="105"/>
          <w:sz w:val="21"/>
        </w:rPr>
        <w:t>&lt;https://</w:t>
      </w:r>
      <w:hyperlink r:id="rId163">
        <w:r>
          <w:rPr>
            <w:w w:val="105"/>
            <w:sz w:val="21"/>
          </w:rPr>
          <w:t>www.vcat.vic.gov.au/resources/fee-</w:t>
        </w:r>
      </w:hyperlink>
      <w:r>
        <w:rPr>
          <w:w w:val="105"/>
          <w:sz w:val="21"/>
        </w:rPr>
        <w:t> categories&gt;</w:t>
      </w:r>
    </w:p>
    <w:p>
      <w:pPr>
        <w:pStyle w:val="ListParagraph"/>
        <w:numPr>
          <w:ilvl w:val="1"/>
          <w:numId w:val="224"/>
        </w:numPr>
        <w:tabs>
          <w:tab w:pos="1927" w:val="left" w:leader="none"/>
          <w:tab w:pos="1928" w:val="left" w:leader="none"/>
        </w:tabs>
        <w:spacing w:line="242" w:lineRule="auto" w:before="104" w:after="0"/>
        <w:ind w:left="1927" w:right="1896" w:hanging="340"/>
        <w:jc w:val="left"/>
        <w:rPr>
          <w:sz w:val="21"/>
        </w:rPr>
      </w:pPr>
      <w:r>
        <w:rPr>
          <w:i/>
          <w:sz w:val="21"/>
        </w:rPr>
        <w:t>Fee Relief </w:t>
      </w:r>
      <w:r>
        <w:rPr>
          <w:sz w:val="21"/>
        </w:rPr>
        <w:t>(Web Page) &lt;https://</w:t>
      </w:r>
      <w:hyperlink r:id="rId193">
        <w:r>
          <w:rPr>
            <w:sz w:val="21"/>
          </w:rPr>
          <w:t>www.vcat.vic.gov.au/steps-to-resolve-your-case/fees-at-vcat/</w:t>
        </w:r>
      </w:hyperlink>
      <w:r>
        <w:rPr>
          <w:sz w:val="21"/>
        </w:rPr>
        <w:t> fee-relief&gt;</w:t>
      </w:r>
    </w:p>
    <w:p>
      <w:pPr>
        <w:pStyle w:val="ListParagraph"/>
        <w:numPr>
          <w:ilvl w:val="1"/>
          <w:numId w:val="224"/>
        </w:numPr>
        <w:tabs>
          <w:tab w:pos="1927" w:val="left" w:leader="none"/>
          <w:tab w:pos="1928" w:val="left" w:leader="none"/>
        </w:tabs>
        <w:spacing w:line="240" w:lineRule="auto" w:before="104" w:after="0"/>
        <w:ind w:left="1927" w:right="0" w:hanging="340"/>
        <w:jc w:val="left"/>
        <w:rPr>
          <w:sz w:val="21"/>
        </w:rPr>
      </w:pPr>
      <w:r>
        <w:rPr>
          <w:i/>
          <w:w w:val="105"/>
          <w:sz w:val="21"/>
        </w:rPr>
        <w:t>Forms, </w:t>
      </w:r>
      <w:r>
        <w:rPr>
          <w:i/>
          <w:spacing w:val="-3"/>
          <w:w w:val="105"/>
          <w:sz w:val="21"/>
        </w:rPr>
        <w:t>Guides </w:t>
      </w:r>
      <w:r>
        <w:rPr>
          <w:i/>
          <w:w w:val="105"/>
          <w:sz w:val="21"/>
        </w:rPr>
        <w:t>and </w:t>
      </w:r>
      <w:r>
        <w:rPr>
          <w:i/>
          <w:spacing w:val="-3"/>
          <w:w w:val="105"/>
          <w:sz w:val="21"/>
        </w:rPr>
        <w:t>Resources </w:t>
      </w:r>
      <w:r>
        <w:rPr>
          <w:w w:val="105"/>
          <w:sz w:val="21"/>
        </w:rPr>
        <w:t>(Web Page)</w:t>
      </w:r>
      <w:r>
        <w:rPr>
          <w:spacing w:val="20"/>
          <w:w w:val="105"/>
          <w:sz w:val="21"/>
        </w:rPr>
        <w:t> </w:t>
      </w:r>
      <w:r>
        <w:rPr>
          <w:w w:val="105"/>
          <w:sz w:val="21"/>
        </w:rPr>
        <w:t>&lt;https://</w:t>
      </w:r>
      <w:hyperlink r:id="rId332">
        <w:r>
          <w:rPr>
            <w:w w:val="105"/>
            <w:sz w:val="21"/>
          </w:rPr>
          <w:t>www.vcat.vic.gov.au/resources</w:t>
        </w:r>
      </w:hyperlink>
      <w:r>
        <w:rPr>
          <w:w w:val="105"/>
          <w:sz w:val="21"/>
        </w:rPr>
        <w:t>&gt;</w:t>
      </w:r>
    </w:p>
    <w:p>
      <w:pPr>
        <w:pStyle w:val="ListParagraph"/>
        <w:numPr>
          <w:ilvl w:val="1"/>
          <w:numId w:val="224"/>
        </w:numPr>
        <w:tabs>
          <w:tab w:pos="1927" w:val="left" w:leader="none"/>
          <w:tab w:pos="1928" w:val="left" w:leader="none"/>
        </w:tabs>
        <w:spacing w:line="242" w:lineRule="auto" w:before="106" w:after="0"/>
        <w:ind w:left="1927" w:right="2172" w:hanging="340"/>
        <w:jc w:val="left"/>
        <w:rPr>
          <w:sz w:val="21"/>
        </w:rPr>
      </w:pPr>
      <w:r>
        <w:rPr>
          <w:i/>
          <w:spacing w:val="-3"/>
          <w:w w:val="105"/>
          <w:sz w:val="21"/>
        </w:rPr>
        <w:t>Future</w:t>
      </w:r>
      <w:r>
        <w:rPr>
          <w:i/>
          <w:spacing w:val="-18"/>
          <w:w w:val="105"/>
          <w:sz w:val="21"/>
        </w:rPr>
        <w:t> </w:t>
      </w:r>
      <w:r>
        <w:rPr>
          <w:i/>
          <w:spacing w:val="-3"/>
          <w:w w:val="105"/>
          <w:sz w:val="21"/>
        </w:rPr>
        <w:t>of</w:t>
      </w:r>
      <w:r>
        <w:rPr>
          <w:i/>
          <w:spacing w:val="-17"/>
          <w:w w:val="105"/>
          <w:sz w:val="21"/>
        </w:rPr>
        <w:t> </w:t>
      </w:r>
      <w:r>
        <w:rPr>
          <w:i/>
          <w:spacing w:val="-3"/>
          <w:w w:val="105"/>
          <w:sz w:val="21"/>
        </w:rPr>
        <w:t>Online</w:t>
      </w:r>
      <w:r>
        <w:rPr>
          <w:i/>
          <w:spacing w:val="-17"/>
          <w:w w:val="105"/>
          <w:sz w:val="21"/>
        </w:rPr>
        <w:t> </w:t>
      </w:r>
      <w:r>
        <w:rPr>
          <w:i/>
          <w:spacing w:val="-3"/>
          <w:w w:val="105"/>
          <w:sz w:val="21"/>
        </w:rPr>
        <w:t>Dispute</w:t>
      </w:r>
      <w:r>
        <w:rPr>
          <w:i/>
          <w:spacing w:val="-17"/>
          <w:w w:val="105"/>
          <w:sz w:val="21"/>
        </w:rPr>
        <w:t> </w:t>
      </w:r>
      <w:r>
        <w:rPr>
          <w:i/>
          <w:spacing w:val="-3"/>
          <w:w w:val="105"/>
          <w:sz w:val="21"/>
        </w:rPr>
        <w:t>Resolution</w:t>
      </w:r>
      <w:r>
        <w:rPr>
          <w:i/>
          <w:spacing w:val="-17"/>
          <w:w w:val="105"/>
          <w:sz w:val="21"/>
        </w:rPr>
        <w:t> </w:t>
      </w:r>
      <w:r>
        <w:rPr>
          <w:w w:val="105"/>
          <w:sz w:val="21"/>
        </w:rPr>
        <w:t>(Web</w:t>
      </w:r>
      <w:r>
        <w:rPr>
          <w:spacing w:val="-17"/>
          <w:w w:val="105"/>
          <w:sz w:val="21"/>
        </w:rPr>
        <w:t> </w:t>
      </w:r>
      <w:r>
        <w:rPr>
          <w:w w:val="105"/>
          <w:sz w:val="21"/>
        </w:rPr>
        <w:t>Page)</w:t>
      </w:r>
      <w:r>
        <w:rPr>
          <w:spacing w:val="-17"/>
          <w:w w:val="105"/>
          <w:sz w:val="21"/>
        </w:rPr>
        <w:t> </w:t>
      </w:r>
      <w:r>
        <w:rPr>
          <w:w w:val="105"/>
          <w:sz w:val="21"/>
        </w:rPr>
        <w:t>&lt;https://</w:t>
      </w:r>
      <w:hyperlink r:id="rId161">
        <w:r>
          <w:rPr>
            <w:w w:val="105"/>
            <w:sz w:val="21"/>
          </w:rPr>
          <w:t>www.vcat.vic.gov.au/resources/</w:t>
        </w:r>
      </w:hyperlink>
      <w:r>
        <w:rPr>
          <w:w w:val="105"/>
          <w:sz w:val="21"/>
        </w:rPr>
        <w:t> future-of-online-dispute-resolution&gt;</w:t>
      </w:r>
    </w:p>
    <w:p>
      <w:pPr>
        <w:pStyle w:val="ListParagraph"/>
        <w:numPr>
          <w:ilvl w:val="1"/>
          <w:numId w:val="224"/>
        </w:numPr>
        <w:tabs>
          <w:tab w:pos="1927" w:val="left" w:leader="none"/>
          <w:tab w:pos="1928" w:val="left" w:leader="none"/>
        </w:tabs>
        <w:spacing w:line="242" w:lineRule="auto" w:before="104" w:after="0"/>
        <w:ind w:left="1927" w:right="2030" w:hanging="340"/>
        <w:jc w:val="left"/>
        <w:rPr>
          <w:sz w:val="21"/>
        </w:rPr>
      </w:pPr>
      <w:r>
        <w:rPr>
          <w:i/>
          <w:w w:val="105"/>
          <w:sz w:val="21"/>
        </w:rPr>
        <w:t>Goods</w:t>
      </w:r>
      <w:r>
        <w:rPr>
          <w:i/>
          <w:spacing w:val="-16"/>
          <w:w w:val="105"/>
          <w:sz w:val="21"/>
        </w:rPr>
        <w:t> </w:t>
      </w:r>
      <w:r>
        <w:rPr>
          <w:i/>
          <w:w w:val="105"/>
          <w:sz w:val="21"/>
        </w:rPr>
        <w:t>and</w:t>
      </w:r>
      <w:r>
        <w:rPr>
          <w:i/>
          <w:spacing w:val="-15"/>
          <w:w w:val="105"/>
          <w:sz w:val="21"/>
        </w:rPr>
        <w:t> </w:t>
      </w:r>
      <w:r>
        <w:rPr>
          <w:i/>
          <w:w w:val="105"/>
          <w:sz w:val="21"/>
        </w:rPr>
        <w:t>Services</w:t>
      </w:r>
      <w:r>
        <w:rPr>
          <w:i/>
          <w:spacing w:val="-16"/>
          <w:w w:val="105"/>
          <w:sz w:val="21"/>
        </w:rPr>
        <w:t> </w:t>
      </w:r>
      <w:r>
        <w:rPr>
          <w:i/>
          <w:w w:val="105"/>
          <w:sz w:val="21"/>
        </w:rPr>
        <w:t>Fees</w:t>
      </w:r>
      <w:r>
        <w:rPr>
          <w:i/>
          <w:spacing w:val="-15"/>
          <w:w w:val="105"/>
          <w:sz w:val="21"/>
        </w:rPr>
        <w:t> </w:t>
      </w:r>
      <w:r>
        <w:rPr>
          <w:w w:val="105"/>
          <w:sz w:val="21"/>
        </w:rPr>
        <w:t>(Web</w:t>
      </w:r>
      <w:r>
        <w:rPr>
          <w:spacing w:val="-15"/>
          <w:w w:val="105"/>
          <w:sz w:val="21"/>
        </w:rPr>
        <w:t> </w:t>
      </w:r>
      <w:r>
        <w:rPr>
          <w:spacing w:val="-3"/>
          <w:w w:val="105"/>
          <w:sz w:val="21"/>
        </w:rPr>
        <w:t>Page,</w:t>
      </w:r>
      <w:r>
        <w:rPr>
          <w:spacing w:val="-16"/>
          <w:w w:val="105"/>
          <w:sz w:val="21"/>
        </w:rPr>
        <w:t> </w:t>
      </w:r>
      <w:r>
        <w:rPr>
          <w:w w:val="105"/>
          <w:sz w:val="21"/>
        </w:rPr>
        <w:t>1</w:t>
      </w:r>
      <w:r>
        <w:rPr>
          <w:spacing w:val="-15"/>
          <w:w w:val="105"/>
          <w:sz w:val="21"/>
        </w:rPr>
        <w:t> </w:t>
      </w:r>
      <w:r>
        <w:rPr>
          <w:w w:val="105"/>
          <w:sz w:val="21"/>
        </w:rPr>
        <w:t>July</w:t>
      </w:r>
      <w:r>
        <w:rPr>
          <w:spacing w:val="-15"/>
          <w:w w:val="105"/>
          <w:sz w:val="21"/>
        </w:rPr>
        <w:t> </w:t>
      </w:r>
      <w:r>
        <w:rPr>
          <w:spacing w:val="-5"/>
          <w:w w:val="105"/>
          <w:sz w:val="21"/>
        </w:rPr>
        <w:t>2018)</w:t>
      </w:r>
      <w:r>
        <w:rPr>
          <w:spacing w:val="-16"/>
          <w:w w:val="105"/>
          <w:sz w:val="21"/>
        </w:rPr>
        <w:t> </w:t>
      </w:r>
      <w:r>
        <w:rPr>
          <w:w w:val="105"/>
          <w:sz w:val="21"/>
        </w:rPr>
        <w:t>&lt;https://</w:t>
      </w:r>
      <w:hyperlink r:id="rId161">
        <w:r>
          <w:rPr>
            <w:w w:val="105"/>
            <w:sz w:val="21"/>
          </w:rPr>
          <w:t>www.vcat.vic.gov.au/resources/</w:t>
        </w:r>
      </w:hyperlink>
      <w:r>
        <w:rPr>
          <w:w w:val="105"/>
          <w:sz w:val="21"/>
        </w:rPr>
        <w:t> goods-and-services-fees&gt;</w:t>
      </w:r>
    </w:p>
    <w:p>
      <w:pPr>
        <w:spacing w:before="214"/>
        <w:ind w:left="0" w:right="599" w:firstLine="0"/>
        <w:jc w:val="right"/>
        <w:rPr>
          <w:b/>
          <w:sz w:val="24"/>
        </w:rPr>
      </w:pPr>
      <w:r>
        <w:rPr>
          <w:b/>
          <w:color w:val="658464"/>
          <w:w w:val="110"/>
          <w:sz w:val="24"/>
        </w:rPr>
        <w:t>327</w:t>
      </w:r>
    </w:p>
    <w:p>
      <w:pPr>
        <w:spacing w:after="0"/>
        <w:jc w:val="right"/>
        <w:rPr>
          <w:sz w:val="24"/>
        </w:rPr>
        <w:sectPr>
          <w:pgSz w:w="11910" w:h="16840"/>
          <w:pgMar w:header="567" w:footer="0" w:top="1580" w:bottom="280" w:left="0" w:right="0"/>
        </w:sectPr>
      </w:pPr>
    </w:p>
    <w:p>
      <w:pPr>
        <w:pStyle w:val="BodyText"/>
        <w:spacing w:before="8"/>
        <w:rPr>
          <w:b/>
          <w:sz w:val="22"/>
        </w:rPr>
      </w:pPr>
    </w:p>
    <w:p>
      <w:pPr>
        <w:pStyle w:val="ListParagraph"/>
        <w:numPr>
          <w:ilvl w:val="0"/>
          <w:numId w:val="225"/>
        </w:numPr>
        <w:tabs>
          <w:tab w:pos="1927" w:val="left" w:leader="none"/>
          <w:tab w:pos="1928" w:val="left" w:leader="none"/>
        </w:tabs>
        <w:spacing w:line="242" w:lineRule="auto" w:before="93" w:after="0"/>
        <w:ind w:left="1927" w:right="1612" w:hanging="340"/>
        <w:jc w:val="left"/>
        <w:rPr>
          <w:sz w:val="21"/>
        </w:rPr>
      </w:pPr>
      <w:r>
        <w:rPr>
          <w:i/>
          <w:w w:val="105"/>
          <w:sz w:val="21"/>
        </w:rPr>
        <w:t>How</w:t>
      </w:r>
      <w:r>
        <w:rPr>
          <w:i/>
          <w:spacing w:val="-9"/>
          <w:w w:val="105"/>
          <w:sz w:val="21"/>
        </w:rPr>
        <w:t> </w:t>
      </w:r>
      <w:r>
        <w:rPr>
          <w:i/>
          <w:spacing w:val="-3"/>
          <w:w w:val="105"/>
          <w:sz w:val="21"/>
        </w:rPr>
        <w:t>Long</w:t>
      </w:r>
      <w:r>
        <w:rPr>
          <w:i/>
          <w:spacing w:val="-8"/>
          <w:w w:val="105"/>
          <w:sz w:val="21"/>
        </w:rPr>
        <w:t> </w:t>
      </w:r>
      <w:r>
        <w:rPr>
          <w:i/>
          <w:w w:val="105"/>
          <w:sz w:val="21"/>
        </w:rPr>
        <w:t>a</w:t>
      </w:r>
      <w:r>
        <w:rPr>
          <w:i/>
          <w:spacing w:val="-8"/>
          <w:w w:val="105"/>
          <w:sz w:val="21"/>
        </w:rPr>
        <w:t> </w:t>
      </w:r>
      <w:r>
        <w:rPr>
          <w:i/>
          <w:spacing w:val="-4"/>
          <w:w w:val="105"/>
          <w:sz w:val="21"/>
        </w:rPr>
        <w:t>VCAT</w:t>
      </w:r>
      <w:r>
        <w:rPr>
          <w:i/>
          <w:spacing w:val="-8"/>
          <w:w w:val="105"/>
          <w:sz w:val="21"/>
        </w:rPr>
        <w:t> </w:t>
      </w:r>
      <w:r>
        <w:rPr>
          <w:i/>
          <w:w w:val="105"/>
          <w:sz w:val="21"/>
        </w:rPr>
        <w:t>Case</w:t>
      </w:r>
      <w:r>
        <w:rPr>
          <w:i/>
          <w:spacing w:val="-9"/>
          <w:w w:val="105"/>
          <w:sz w:val="21"/>
        </w:rPr>
        <w:t> </w:t>
      </w:r>
      <w:r>
        <w:rPr>
          <w:i/>
          <w:spacing w:val="-6"/>
          <w:w w:val="105"/>
          <w:sz w:val="21"/>
        </w:rPr>
        <w:t>Takes</w:t>
      </w:r>
      <w:r>
        <w:rPr>
          <w:i/>
          <w:spacing w:val="-8"/>
          <w:w w:val="105"/>
          <w:sz w:val="21"/>
        </w:rPr>
        <w:t> </w:t>
      </w:r>
      <w:r>
        <w:rPr>
          <w:w w:val="105"/>
          <w:sz w:val="21"/>
        </w:rPr>
        <w:t>(Web</w:t>
      </w:r>
      <w:r>
        <w:rPr>
          <w:spacing w:val="-8"/>
          <w:w w:val="105"/>
          <w:sz w:val="21"/>
        </w:rPr>
        <w:t> </w:t>
      </w:r>
      <w:r>
        <w:rPr>
          <w:w w:val="105"/>
          <w:sz w:val="21"/>
        </w:rPr>
        <w:t>Page)</w:t>
      </w:r>
      <w:r>
        <w:rPr>
          <w:spacing w:val="-8"/>
          <w:w w:val="105"/>
          <w:sz w:val="21"/>
        </w:rPr>
        <w:t> </w:t>
      </w:r>
      <w:r>
        <w:rPr>
          <w:w w:val="105"/>
          <w:sz w:val="21"/>
        </w:rPr>
        <w:t>&lt;https://</w:t>
      </w:r>
      <w:hyperlink r:id="rId489">
        <w:r>
          <w:rPr>
            <w:w w:val="105"/>
            <w:sz w:val="21"/>
          </w:rPr>
          <w:t>www.vcat.vic.gov.au/about-us/how-long-a-</w:t>
        </w:r>
      </w:hyperlink>
      <w:r>
        <w:rPr>
          <w:w w:val="105"/>
          <w:sz w:val="21"/>
        </w:rPr>
        <w:t> vcat-case-takes&gt;</w:t>
      </w:r>
    </w:p>
    <w:p>
      <w:pPr>
        <w:pStyle w:val="ListParagraph"/>
        <w:numPr>
          <w:ilvl w:val="0"/>
          <w:numId w:val="225"/>
        </w:numPr>
        <w:tabs>
          <w:tab w:pos="1927" w:val="left" w:leader="none"/>
          <w:tab w:pos="1928" w:val="left" w:leader="none"/>
        </w:tabs>
        <w:spacing w:line="242" w:lineRule="auto" w:before="104" w:after="0"/>
        <w:ind w:left="1927" w:right="1828" w:hanging="340"/>
        <w:jc w:val="left"/>
        <w:rPr>
          <w:sz w:val="21"/>
        </w:rPr>
      </w:pPr>
      <w:r>
        <w:rPr>
          <w:i/>
          <w:w w:val="105"/>
          <w:sz w:val="21"/>
        </w:rPr>
        <w:t>List</w:t>
      </w:r>
      <w:r>
        <w:rPr>
          <w:i/>
          <w:spacing w:val="-12"/>
          <w:w w:val="105"/>
          <w:sz w:val="21"/>
        </w:rPr>
        <w:t> </w:t>
      </w:r>
      <w:r>
        <w:rPr>
          <w:i/>
          <w:spacing w:val="-3"/>
          <w:w w:val="105"/>
          <w:sz w:val="21"/>
        </w:rPr>
        <w:t>of</w:t>
      </w:r>
      <w:r>
        <w:rPr>
          <w:i/>
          <w:spacing w:val="-11"/>
          <w:w w:val="105"/>
          <w:sz w:val="21"/>
        </w:rPr>
        <w:t> </w:t>
      </w:r>
      <w:r>
        <w:rPr>
          <w:i/>
          <w:spacing w:val="-4"/>
          <w:w w:val="105"/>
          <w:sz w:val="21"/>
        </w:rPr>
        <w:t>VCAT</w:t>
      </w:r>
      <w:r>
        <w:rPr>
          <w:i/>
          <w:spacing w:val="-11"/>
          <w:w w:val="105"/>
          <w:sz w:val="21"/>
        </w:rPr>
        <w:t> </w:t>
      </w:r>
      <w:r>
        <w:rPr>
          <w:i/>
          <w:w w:val="105"/>
          <w:sz w:val="21"/>
        </w:rPr>
        <w:t>Members</w:t>
      </w:r>
      <w:r>
        <w:rPr>
          <w:i/>
          <w:spacing w:val="-11"/>
          <w:w w:val="105"/>
          <w:sz w:val="21"/>
        </w:rPr>
        <w:t> </w:t>
      </w:r>
      <w:r>
        <w:rPr>
          <w:w w:val="105"/>
          <w:sz w:val="21"/>
        </w:rPr>
        <w:t>(Web</w:t>
      </w:r>
      <w:r>
        <w:rPr>
          <w:spacing w:val="-11"/>
          <w:w w:val="105"/>
          <w:sz w:val="21"/>
        </w:rPr>
        <w:t> </w:t>
      </w:r>
      <w:r>
        <w:rPr>
          <w:spacing w:val="-3"/>
          <w:w w:val="105"/>
          <w:sz w:val="21"/>
        </w:rPr>
        <w:t>Page,</w:t>
      </w:r>
      <w:r>
        <w:rPr>
          <w:spacing w:val="-11"/>
          <w:w w:val="105"/>
          <w:sz w:val="21"/>
        </w:rPr>
        <w:t> </w:t>
      </w:r>
      <w:r>
        <w:rPr>
          <w:w w:val="105"/>
          <w:sz w:val="21"/>
        </w:rPr>
        <w:t>1</w:t>
      </w:r>
      <w:r>
        <w:rPr>
          <w:spacing w:val="-11"/>
          <w:w w:val="105"/>
          <w:sz w:val="21"/>
        </w:rPr>
        <w:t> </w:t>
      </w:r>
      <w:r>
        <w:rPr>
          <w:w w:val="105"/>
          <w:sz w:val="21"/>
        </w:rPr>
        <w:t>February</w:t>
      </w:r>
      <w:r>
        <w:rPr>
          <w:spacing w:val="-11"/>
          <w:w w:val="105"/>
          <w:sz w:val="21"/>
        </w:rPr>
        <w:t> </w:t>
      </w:r>
      <w:r>
        <w:rPr>
          <w:spacing w:val="-5"/>
          <w:w w:val="105"/>
          <w:sz w:val="21"/>
        </w:rPr>
        <w:t>2019)</w:t>
      </w:r>
      <w:r>
        <w:rPr>
          <w:spacing w:val="-11"/>
          <w:w w:val="105"/>
          <w:sz w:val="21"/>
        </w:rPr>
        <w:t> </w:t>
      </w:r>
      <w:r>
        <w:rPr>
          <w:w w:val="105"/>
          <w:sz w:val="21"/>
        </w:rPr>
        <w:t>&lt;https://</w:t>
      </w:r>
      <w:hyperlink r:id="rId490">
        <w:r>
          <w:rPr>
            <w:w w:val="105"/>
            <w:sz w:val="21"/>
          </w:rPr>
          <w:t>www.vcat.vic.gov.au/about-us/</w:t>
        </w:r>
      </w:hyperlink>
      <w:r>
        <w:rPr>
          <w:w w:val="105"/>
          <w:sz w:val="21"/>
        </w:rPr>
        <w:t> list-of-vcat-members&gt;</w:t>
      </w:r>
    </w:p>
    <w:p>
      <w:pPr>
        <w:pStyle w:val="ListParagraph"/>
        <w:numPr>
          <w:ilvl w:val="0"/>
          <w:numId w:val="225"/>
        </w:numPr>
        <w:tabs>
          <w:tab w:pos="1927" w:val="left" w:leader="none"/>
          <w:tab w:pos="1928" w:val="left" w:leader="none"/>
        </w:tabs>
        <w:spacing w:line="242" w:lineRule="auto" w:before="104" w:after="0"/>
        <w:ind w:left="1927" w:right="1990" w:hanging="340"/>
        <w:jc w:val="left"/>
        <w:rPr>
          <w:sz w:val="21"/>
        </w:rPr>
      </w:pPr>
      <w:r>
        <w:rPr>
          <w:i/>
          <w:spacing w:val="-3"/>
          <w:sz w:val="21"/>
        </w:rPr>
        <w:t>Mediations </w:t>
      </w:r>
      <w:r>
        <w:rPr>
          <w:sz w:val="21"/>
        </w:rPr>
        <w:t>(Web Page) &lt;https://</w:t>
      </w:r>
      <w:hyperlink r:id="rId175">
        <w:r>
          <w:rPr>
            <w:sz w:val="21"/>
          </w:rPr>
          <w:t>www.vcat.vic.gov.au/steps-to-resolve-your-case/resolve-a-</w:t>
        </w:r>
      </w:hyperlink>
      <w:r>
        <w:rPr>
          <w:sz w:val="21"/>
        </w:rPr>
        <w:t> case-by-agreement/mediations&gt;</w:t>
      </w:r>
    </w:p>
    <w:p>
      <w:pPr>
        <w:pStyle w:val="ListParagraph"/>
        <w:numPr>
          <w:ilvl w:val="0"/>
          <w:numId w:val="225"/>
        </w:numPr>
        <w:tabs>
          <w:tab w:pos="1927" w:val="left" w:leader="none"/>
          <w:tab w:pos="1928" w:val="left" w:leader="none"/>
        </w:tabs>
        <w:spacing w:line="240" w:lineRule="auto" w:before="104" w:after="0"/>
        <w:ind w:left="1927" w:right="0" w:hanging="340"/>
        <w:jc w:val="left"/>
        <w:rPr>
          <w:sz w:val="21"/>
        </w:rPr>
      </w:pPr>
      <w:r>
        <w:rPr>
          <w:i/>
          <w:spacing w:val="-3"/>
          <w:w w:val="105"/>
          <w:sz w:val="21"/>
        </w:rPr>
        <w:t>Online </w:t>
      </w:r>
      <w:r>
        <w:rPr>
          <w:i/>
          <w:spacing w:val="-4"/>
          <w:w w:val="105"/>
          <w:sz w:val="21"/>
        </w:rPr>
        <w:t>Tool </w:t>
      </w:r>
      <w:r>
        <w:rPr>
          <w:i/>
          <w:w w:val="105"/>
          <w:sz w:val="21"/>
        </w:rPr>
        <w:t>to Help </w:t>
      </w:r>
      <w:r>
        <w:rPr>
          <w:i/>
          <w:spacing w:val="-4"/>
          <w:w w:val="105"/>
          <w:sz w:val="21"/>
        </w:rPr>
        <w:t>Tenants </w:t>
      </w:r>
      <w:r>
        <w:rPr>
          <w:i/>
          <w:w w:val="105"/>
          <w:sz w:val="21"/>
        </w:rPr>
        <w:t>and Landlords </w:t>
      </w:r>
      <w:r>
        <w:rPr>
          <w:i/>
          <w:spacing w:val="-3"/>
          <w:w w:val="105"/>
          <w:sz w:val="21"/>
        </w:rPr>
        <w:t>at </w:t>
      </w:r>
      <w:r>
        <w:rPr>
          <w:i/>
          <w:spacing w:val="-4"/>
          <w:w w:val="105"/>
          <w:sz w:val="21"/>
        </w:rPr>
        <w:t>VCAT </w:t>
      </w:r>
      <w:r>
        <w:rPr>
          <w:w w:val="105"/>
          <w:sz w:val="21"/>
        </w:rPr>
        <w:t>(Web </w:t>
      </w:r>
      <w:r>
        <w:rPr>
          <w:spacing w:val="-3"/>
          <w:w w:val="105"/>
          <w:sz w:val="21"/>
        </w:rPr>
        <w:t>Page, </w:t>
      </w:r>
      <w:r>
        <w:rPr>
          <w:spacing w:val="-9"/>
          <w:w w:val="105"/>
          <w:sz w:val="21"/>
        </w:rPr>
        <w:t>17 </w:t>
      </w:r>
      <w:r>
        <w:rPr>
          <w:w w:val="105"/>
          <w:sz w:val="21"/>
        </w:rPr>
        <w:t>November</w:t>
      </w:r>
      <w:r>
        <w:rPr>
          <w:spacing w:val="3"/>
          <w:w w:val="105"/>
          <w:sz w:val="21"/>
        </w:rPr>
        <w:t> </w:t>
      </w:r>
      <w:r>
        <w:rPr>
          <w:spacing w:val="-6"/>
          <w:w w:val="105"/>
          <w:sz w:val="21"/>
        </w:rPr>
        <w:t>2015)</w:t>
      </w:r>
    </w:p>
    <w:p>
      <w:pPr>
        <w:pStyle w:val="BodyText"/>
        <w:spacing w:before="4"/>
        <w:ind w:left="1927"/>
      </w:pPr>
      <w:r>
        <w:rPr>
          <w:w w:val="105"/>
        </w:rPr>
        <w:t>&lt;https://</w:t>
      </w:r>
      <w:hyperlink r:id="rId350">
        <w:r>
          <w:rPr>
            <w:w w:val="105"/>
          </w:rPr>
          <w:t>www.vcat.vic.gov.au/news/online-tool-to-help-tenants-and-landlords-at-vcat</w:t>
        </w:r>
      </w:hyperlink>
      <w:r>
        <w:rPr>
          <w:w w:val="105"/>
        </w:rPr>
        <w:t>&gt;</w:t>
      </w:r>
    </w:p>
    <w:p>
      <w:pPr>
        <w:pStyle w:val="ListParagraph"/>
        <w:numPr>
          <w:ilvl w:val="0"/>
          <w:numId w:val="225"/>
        </w:numPr>
        <w:tabs>
          <w:tab w:pos="1927" w:val="left" w:leader="none"/>
          <w:tab w:pos="1928" w:val="left" w:leader="none"/>
        </w:tabs>
        <w:spacing w:line="240" w:lineRule="auto" w:before="106" w:after="0"/>
        <w:ind w:left="1927" w:right="0" w:hanging="340"/>
        <w:jc w:val="left"/>
        <w:rPr>
          <w:sz w:val="21"/>
        </w:rPr>
      </w:pPr>
      <w:r>
        <w:rPr>
          <w:i/>
          <w:w w:val="105"/>
          <w:sz w:val="21"/>
        </w:rPr>
        <w:t>Other Languages </w:t>
      </w:r>
      <w:r>
        <w:rPr>
          <w:w w:val="105"/>
          <w:sz w:val="21"/>
        </w:rPr>
        <w:t>(Web Page)</w:t>
      </w:r>
      <w:r>
        <w:rPr>
          <w:spacing w:val="10"/>
          <w:w w:val="105"/>
          <w:sz w:val="21"/>
        </w:rPr>
        <w:t> </w:t>
      </w:r>
      <w:r>
        <w:rPr>
          <w:w w:val="105"/>
          <w:sz w:val="21"/>
        </w:rPr>
        <w:t>&lt;https://</w:t>
      </w:r>
      <w:hyperlink r:id="rId174">
        <w:r>
          <w:rPr>
            <w:w w:val="105"/>
            <w:sz w:val="21"/>
          </w:rPr>
          <w:t>www.vcat.vic.gov.au/other-languages</w:t>
        </w:r>
      </w:hyperlink>
      <w:r>
        <w:rPr>
          <w:w w:val="105"/>
          <w:sz w:val="21"/>
        </w:rPr>
        <w:t>&gt;</w:t>
      </w:r>
    </w:p>
    <w:p>
      <w:pPr>
        <w:pStyle w:val="ListParagraph"/>
        <w:numPr>
          <w:ilvl w:val="0"/>
          <w:numId w:val="225"/>
        </w:numPr>
        <w:tabs>
          <w:tab w:pos="1927" w:val="left" w:leader="none"/>
          <w:tab w:pos="1928" w:val="left" w:leader="none"/>
        </w:tabs>
        <w:spacing w:line="242" w:lineRule="auto" w:before="105" w:after="0"/>
        <w:ind w:left="1927" w:right="1597" w:hanging="340"/>
        <w:jc w:val="left"/>
        <w:rPr>
          <w:sz w:val="21"/>
        </w:rPr>
      </w:pPr>
      <w:r>
        <w:rPr>
          <w:i/>
          <w:w w:val="105"/>
          <w:sz w:val="21"/>
        </w:rPr>
        <w:t>Our</w:t>
      </w:r>
      <w:r>
        <w:rPr>
          <w:i/>
          <w:spacing w:val="-22"/>
          <w:w w:val="105"/>
          <w:sz w:val="21"/>
        </w:rPr>
        <w:t> </w:t>
      </w:r>
      <w:r>
        <w:rPr>
          <w:i/>
          <w:spacing w:val="-3"/>
          <w:w w:val="105"/>
          <w:sz w:val="21"/>
        </w:rPr>
        <w:t>Commitment</w:t>
      </w:r>
      <w:r>
        <w:rPr>
          <w:i/>
          <w:spacing w:val="-22"/>
          <w:w w:val="105"/>
          <w:sz w:val="21"/>
        </w:rPr>
        <w:t> </w:t>
      </w:r>
      <w:r>
        <w:rPr>
          <w:i/>
          <w:w w:val="105"/>
          <w:sz w:val="21"/>
        </w:rPr>
        <w:t>to</w:t>
      </w:r>
      <w:r>
        <w:rPr>
          <w:i/>
          <w:spacing w:val="-22"/>
          <w:w w:val="105"/>
          <w:sz w:val="21"/>
        </w:rPr>
        <w:t> </w:t>
      </w:r>
      <w:r>
        <w:rPr>
          <w:i/>
          <w:spacing w:val="-6"/>
          <w:w w:val="105"/>
          <w:sz w:val="21"/>
        </w:rPr>
        <w:t>You</w:t>
      </w:r>
      <w:r>
        <w:rPr>
          <w:i/>
          <w:spacing w:val="-21"/>
          <w:w w:val="105"/>
          <w:sz w:val="21"/>
        </w:rPr>
        <w:t> </w:t>
      </w:r>
      <w:r>
        <w:rPr>
          <w:w w:val="105"/>
          <w:sz w:val="21"/>
        </w:rPr>
        <w:t>(Web</w:t>
      </w:r>
      <w:r>
        <w:rPr>
          <w:spacing w:val="-22"/>
          <w:w w:val="105"/>
          <w:sz w:val="21"/>
        </w:rPr>
        <w:t> </w:t>
      </w:r>
      <w:r>
        <w:rPr>
          <w:w w:val="105"/>
          <w:sz w:val="21"/>
        </w:rPr>
        <w:t>Page)</w:t>
      </w:r>
      <w:r>
        <w:rPr>
          <w:spacing w:val="-22"/>
          <w:w w:val="105"/>
          <w:sz w:val="21"/>
        </w:rPr>
        <w:t> </w:t>
      </w:r>
      <w:r>
        <w:rPr>
          <w:w w:val="105"/>
          <w:sz w:val="21"/>
        </w:rPr>
        <w:t>&lt;https://</w:t>
      </w:r>
      <w:hyperlink r:id="rId491">
        <w:r>
          <w:rPr>
            <w:w w:val="105"/>
            <w:sz w:val="21"/>
          </w:rPr>
          <w:t>www.vcat.vic.gov.au/about-us/our-commitment-</w:t>
        </w:r>
      </w:hyperlink>
      <w:r>
        <w:rPr>
          <w:w w:val="105"/>
          <w:sz w:val="21"/>
        </w:rPr>
        <w:t> to-you&gt;</w:t>
      </w:r>
    </w:p>
    <w:p>
      <w:pPr>
        <w:pStyle w:val="ListParagraph"/>
        <w:numPr>
          <w:ilvl w:val="0"/>
          <w:numId w:val="225"/>
        </w:numPr>
        <w:tabs>
          <w:tab w:pos="1927" w:val="left" w:leader="none"/>
          <w:tab w:pos="1928" w:val="left" w:leader="none"/>
        </w:tabs>
        <w:spacing w:line="240" w:lineRule="auto" w:before="104" w:after="0"/>
        <w:ind w:left="1927" w:right="0" w:hanging="340"/>
        <w:jc w:val="left"/>
        <w:rPr>
          <w:sz w:val="21"/>
        </w:rPr>
      </w:pPr>
      <w:r>
        <w:rPr>
          <w:i/>
          <w:w w:val="105"/>
          <w:sz w:val="21"/>
        </w:rPr>
        <w:t>Our Leadership </w:t>
      </w:r>
      <w:r>
        <w:rPr>
          <w:w w:val="105"/>
          <w:sz w:val="21"/>
        </w:rPr>
        <w:t>(Web Page)</w:t>
      </w:r>
      <w:r>
        <w:rPr>
          <w:spacing w:val="4"/>
          <w:w w:val="105"/>
          <w:sz w:val="21"/>
        </w:rPr>
        <w:t> </w:t>
      </w:r>
      <w:r>
        <w:rPr>
          <w:w w:val="105"/>
          <w:sz w:val="21"/>
        </w:rPr>
        <w:t>&lt;https://</w:t>
      </w:r>
      <w:hyperlink r:id="rId167">
        <w:r>
          <w:rPr>
            <w:w w:val="105"/>
            <w:sz w:val="21"/>
          </w:rPr>
          <w:t>www.vcat.vic.gov.au/about-us/our-leadership</w:t>
        </w:r>
      </w:hyperlink>
      <w:r>
        <w:rPr>
          <w:w w:val="105"/>
          <w:sz w:val="21"/>
        </w:rPr>
        <w:t>&gt;</w:t>
      </w:r>
    </w:p>
    <w:p>
      <w:pPr>
        <w:pStyle w:val="ListParagraph"/>
        <w:numPr>
          <w:ilvl w:val="0"/>
          <w:numId w:val="225"/>
        </w:numPr>
        <w:tabs>
          <w:tab w:pos="1927" w:val="left" w:leader="none"/>
          <w:tab w:pos="1928" w:val="left" w:leader="none"/>
        </w:tabs>
        <w:spacing w:line="242" w:lineRule="auto" w:before="106" w:after="0"/>
        <w:ind w:left="1927" w:right="1877" w:hanging="340"/>
        <w:jc w:val="left"/>
        <w:rPr>
          <w:sz w:val="21"/>
        </w:rPr>
      </w:pPr>
      <w:r>
        <w:rPr>
          <w:i/>
          <w:w w:val="105"/>
          <w:sz w:val="21"/>
        </w:rPr>
        <w:t>Owners</w:t>
      </w:r>
      <w:r>
        <w:rPr>
          <w:i/>
          <w:spacing w:val="-16"/>
          <w:w w:val="105"/>
          <w:sz w:val="21"/>
        </w:rPr>
        <w:t> </w:t>
      </w:r>
      <w:r>
        <w:rPr>
          <w:i/>
          <w:spacing w:val="-3"/>
          <w:w w:val="105"/>
          <w:sz w:val="21"/>
        </w:rPr>
        <w:t>Corporations</w:t>
      </w:r>
      <w:r>
        <w:rPr>
          <w:i/>
          <w:spacing w:val="-15"/>
          <w:w w:val="105"/>
          <w:sz w:val="21"/>
        </w:rPr>
        <w:t> </w:t>
      </w:r>
      <w:r>
        <w:rPr>
          <w:i/>
          <w:w w:val="105"/>
          <w:sz w:val="21"/>
        </w:rPr>
        <w:t>Fees</w:t>
      </w:r>
      <w:r>
        <w:rPr>
          <w:i/>
          <w:spacing w:val="-15"/>
          <w:w w:val="105"/>
          <w:sz w:val="21"/>
        </w:rPr>
        <w:t> </w:t>
      </w:r>
      <w:r>
        <w:rPr>
          <w:w w:val="105"/>
          <w:sz w:val="21"/>
        </w:rPr>
        <w:t>(Web</w:t>
      </w:r>
      <w:r>
        <w:rPr>
          <w:spacing w:val="-15"/>
          <w:w w:val="105"/>
          <w:sz w:val="21"/>
        </w:rPr>
        <w:t> </w:t>
      </w:r>
      <w:r>
        <w:rPr>
          <w:spacing w:val="-3"/>
          <w:w w:val="105"/>
          <w:sz w:val="21"/>
        </w:rPr>
        <w:t>Page,</w:t>
      </w:r>
      <w:r>
        <w:rPr>
          <w:spacing w:val="-15"/>
          <w:w w:val="105"/>
          <w:sz w:val="21"/>
        </w:rPr>
        <w:t> </w:t>
      </w:r>
      <w:r>
        <w:rPr>
          <w:w w:val="105"/>
          <w:sz w:val="21"/>
        </w:rPr>
        <w:t>1</w:t>
      </w:r>
      <w:r>
        <w:rPr>
          <w:spacing w:val="-15"/>
          <w:w w:val="105"/>
          <w:sz w:val="21"/>
        </w:rPr>
        <w:t> </w:t>
      </w:r>
      <w:r>
        <w:rPr>
          <w:w w:val="105"/>
          <w:sz w:val="21"/>
        </w:rPr>
        <w:t>July</w:t>
      </w:r>
      <w:r>
        <w:rPr>
          <w:spacing w:val="-15"/>
          <w:w w:val="105"/>
          <w:sz w:val="21"/>
        </w:rPr>
        <w:t> </w:t>
      </w:r>
      <w:r>
        <w:rPr>
          <w:spacing w:val="-5"/>
          <w:w w:val="105"/>
          <w:sz w:val="21"/>
        </w:rPr>
        <w:t>2018)</w:t>
      </w:r>
      <w:r>
        <w:rPr>
          <w:spacing w:val="-16"/>
          <w:w w:val="105"/>
          <w:sz w:val="21"/>
        </w:rPr>
        <w:t> </w:t>
      </w:r>
      <w:r>
        <w:rPr>
          <w:w w:val="105"/>
          <w:sz w:val="21"/>
        </w:rPr>
        <w:t>&lt;https://</w:t>
      </w:r>
      <w:hyperlink r:id="rId161">
        <w:r>
          <w:rPr>
            <w:w w:val="105"/>
            <w:sz w:val="21"/>
          </w:rPr>
          <w:t>www.vcat.vic.gov.au/resources/</w:t>
        </w:r>
      </w:hyperlink>
      <w:r>
        <w:rPr>
          <w:w w:val="105"/>
          <w:sz w:val="21"/>
        </w:rPr>
        <w:t> owners-corporations-fees&gt;</w:t>
      </w:r>
    </w:p>
    <w:p>
      <w:pPr>
        <w:pStyle w:val="ListParagraph"/>
        <w:numPr>
          <w:ilvl w:val="0"/>
          <w:numId w:val="225"/>
        </w:numPr>
        <w:tabs>
          <w:tab w:pos="1927" w:val="left" w:leader="none"/>
          <w:tab w:pos="1928" w:val="left" w:leader="none"/>
        </w:tabs>
        <w:spacing w:line="242" w:lineRule="auto" w:before="104" w:after="0"/>
        <w:ind w:left="1927" w:right="1626" w:hanging="340"/>
        <w:jc w:val="left"/>
        <w:rPr>
          <w:sz w:val="21"/>
        </w:rPr>
      </w:pPr>
      <w:r>
        <w:rPr>
          <w:i/>
          <w:w w:val="105"/>
          <w:sz w:val="21"/>
        </w:rPr>
        <w:t>Permit</w:t>
      </w:r>
      <w:r>
        <w:rPr>
          <w:i/>
          <w:spacing w:val="-23"/>
          <w:w w:val="105"/>
          <w:sz w:val="21"/>
        </w:rPr>
        <w:t> </w:t>
      </w:r>
      <w:r>
        <w:rPr>
          <w:i/>
          <w:w w:val="105"/>
          <w:sz w:val="21"/>
        </w:rPr>
        <w:t>Applicant—Review</w:t>
      </w:r>
      <w:r>
        <w:rPr>
          <w:i/>
          <w:spacing w:val="-22"/>
          <w:w w:val="105"/>
          <w:sz w:val="21"/>
        </w:rPr>
        <w:t> </w:t>
      </w:r>
      <w:r>
        <w:rPr>
          <w:i/>
          <w:spacing w:val="-3"/>
          <w:w w:val="105"/>
          <w:sz w:val="21"/>
        </w:rPr>
        <w:t>of</w:t>
      </w:r>
      <w:r>
        <w:rPr>
          <w:i/>
          <w:spacing w:val="-22"/>
          <w:w w:val="105"/>
          <w:sz w:val="21"/>
        </w:rPr>
        <w:t> </w:t>
      </w:r>
      <w:r>
        <w:rPr>
          <w:i/>
          <w:w w:val="105"/>
          <w:sz w:val="21"/>
        </w:rPr>
        <w:t>A</w:t>
      </w:r>
      <w:r>
        <w:rPr>
          <w:i/>
          <w:spacing w:val="-22"/>
          <w:w w:val="105"/>
          <w:sz w:val="21"/>
        </w:rPr>
        <w:t> </w:t>
      </w:r>
      <w:r>
        <w:rPr>
          <w:i/>
          <w:w w:val="105"/>
          <w:sz w:val="21"/>
        </w:rPr>
        <w:t>Decision</w:t>
      </w:r>
      <w:r>
        <w:rPr>
          <w:i/>
          <w:spacing w:val="-22"/>
          <w:w w:val="105"/>
          <w:sz w:val="21"/>
        </w:rPr>
        <w:t> </w:t>
      </w:r>
      <w:r>
        <w:rPr>
          <w:w w:val="105"/>
          <w:sz w:val="21"/>
        </w:rPr>
        <w:t>(Web</w:t>
      </w:r>
      <w:r>
        <w:rPr>
          <w:spacing w:val="-22"/>
          <w:w w:val="105"/>
          <w:sz w:val="21"/>
        </w:rPr>
        <w:t> </w:t>
      </w:r>
      <w:r>
        <w:rPr>
          <w:w w:val="105"/>
          <w:sz w:val="21"/>
        </w:rPr>
        <w:t>Page)</w:t>
      </w:r>
      <w:r>
        <w:rPr>
          <w:spacing w:val="-23"/>
          <w:w w:val="105"/>
          <w:sz w:val="21"/>
        </w:rPr>
        <w:t> </w:t>
      </w:r>
      <w:r>
        <w:rPr>
          <w:w w:val="105"/>
          <w:sz w:val="21"/>
        </w:rPr>
        <w:t>&lt;https://</w:t>
      </w:r>
      <w:hyperlink r:id="rId484">
        <w:r>
          <w:rPr>
            <w:w w:val="105"/>
            <w:sz w:val="21"/>
          </w:rPr>
          <w:t>www.vcat.vic.gov.au/get-started/</w:t>
        </w:r>
      </w:hyperlink>
      <w:r>
        <w:rPr>
          <w:w w:val="105"/>
          <w:sz w:val="21"/>
        </w:rPr>
        <w:t> planning-and-environment/permit-applicant-review-of-a-decision&gt;</w:t>
      </w:r>
    </w:p>
    <w:p>
      <w:pPr>
        <w:pStyle w:val="ListParagraph"/>
        <w:numPr>
          <w:ilvl w:val="0"/>
          <w:numId w:val="225"/>
        </w:numPr>
        <w:tabs>
          <w:tab w:pos="1928" w:val="left" w:leader="none"/>
        </w:tabs>
        <w:spacing w:line="242" w:lineRule="auto" w:before="105" w:after="0"/>
        <w:ind w:left="1927" w:right="1622" w:hanging="340"/>
        <w:jc w:val="both"/>
        <w:rPr>
          <w:sz w:val="21"/>
        </w:rPr>
      </w:pPr>
      <w:r>
        <w:rPr>
          <w:i/>
          <w:spacing w:val="-3"/>
          <w:w w:val="105"/>
          <w:sz w:val="21"/>
        </w:rPr>
        <w:t>Planning </w:t>
      </w:r>
      <w:r>
        <w:rPr>
          <w:i/>
          <w:w w:val="105"/>
          <w:sz w:val="21"/>
        </w:rPr>
        <w:t>and </w:t>
      </w:r>
      <w:r>
        <w:rPr>
          <w:i/>
          <w:spacing w:val="-3"/>
          <w:w w:val="105"/>
          <w:sz w:val="21"/>
        </w:rPr>
        <w:t>Environment </w:t>
      </w:r>
      <w:r>
        <w:rPr>
          <w:i/>
          <w:w w:val="105"/>
          <w:sz w:val="21"/>
        </w:rPr>
        <w:t>List </w:t>
      </w:r>
      <w:r>
        <w:rPr>
          <w:i/>
          <w:spacing w:val="-3"/>
          <w:w w:val="105"/>
          <w:sz w:val="21"/>
        </w:rPr>
        <w:t>Guidelines Cancellation </w:t>
      </w:r>
      <w:r>
        <w:rPr>
          <w:i/>
          <w:w w:val="105"/>
          <w:sz w:val="21"/>
        </w:rPr>
        <w:t>&amp; Amendment </w:t>
      </w:r>
      <w:r>
        <w:rPr>
          <w:i/>
          <w:spacing w:val="-3"/>
          <w:w w:val="105"/>
          <w:sz w:val="21"/>
        </w:rPr>
        <w:t>of </w:t>
      </w:r>
      <w:r>
        <w:rPr>
          <w:i/>
          <w:w w:val="105"/>
          <w:sz w:val="21"/>
        </w:rPr>
        <w:t>Permits (sections </w:t>
      </w:r>
      <w:r>
        <w:rPr>
          <w:i/>
          <w:spacing w:val="-4"/>
          <w:w w:val="105"/>
          <w:sz w:val="21"/>
        </w:rPr>
        <w:t>87 </w:t>
      </w:r>
      <w:r>
        <w:rPr>
          <w:i/>
          <w:w w:val="105"/>
          <w:sz w:val="21"/>
        </w:rPr>
        <w:t>&amp; </w:t>
      </w:r>
      <w:r>
        <w:rPr>
          <w:i/>
          <w:w w:val="105"/>
          <w:sz w:val="21"/>
        </w:rPr>
        <w:t>89 </w:t>
      </w:r>
      <w:r>
        <w:rPr>
          <w:i/>
          <w:spacing w:val="-3"/>
          <w:w w:val="105"/>
          <w:sz w:val="21"/>
        </w:rPr>
        <w:t>Planning </w:t>
      </w:r>
      <w:r>
        <w:rPr>
          <w:i/>
          <w:w w:val="105"/>
          <w:sz w:val="21"/>
        </w:rPr>
        <w:t>and </w:t>
      </w:r>
      <w:r>
        <w:rPr>
          <w:i/>
          <w:spacing w:val="-3"/>
          <w:w w:val="105"/>
          <w:sz w:val="21"/>
        </w:rPr>
        <w:t>Environment </w:t>
      </w:r>
      <w:r>
        <w:rPr>
          <w:i/>
          <w:w w:val="105"/>
          <w:sz w:val="21"/>
        </w:rPr>
        <w:t>Act </w:t>
      </w:r>
      <w:r>
        <w:rPr>
          <w:i/>
          <w:spacing w:val="-6"/>
          <w:w w:val="105"/>
          <w:sz w:val="21"/>
        </w:rPr>
        <w:t>1987) </w:t>
      </w:r>
      <w:r>
        <w:rPr>
          <w:w w:val="105"/>
          <w:sz w:val="21"/>
        </w:rPr>
        <w:t>(Practice Document, </w:t>
      </w:r>
      <w:r>
        <w:rPr>
          <w:spacing w:val="-3"/>
          <w:w w:val="105"/>
          <w:sz w:val="21"/>
        </w:rPr>
        <w:t>20 </w:t>
      </w:r>
      <w:r>
        <w:rPr>
          <w:w w:val="105"/>
          <w:sz w:val="21"/>
        </w:rPr>
        <w:t>July </w:t>
      </w:r>
      <w:r>
        <w:rPr>
          <w:spacing w:val="-5"/>
          <w:w w:val="105"/>
          <w:sz w:val="21"/>
        </w:rPr>
        <w:t>2016) </w:t>
      </w:r>
      <w:r>
        <w:rPr>
          <w:w w:val="105"/>
          <w:sz w:val="21"/>
        </w:rPr>
        <w:t>&lt;https://www.vcat. vic.gov.au/get-started/planning-and-environment/apply-to-cancel-or-amend-a-permit&gt;</w:t>
      </w:r>
    </w:p>
    <w:p>
      <w:pPr>
        <w:pStyle w:val="ListParagraph"/>
        <w:numPr>
          <w:ilvl w:val="0"/>
          <w:numId w:val="225"/>
        </w:numPr>
        <w:tabs>
          <w:tab w:pos="1927" w:val="left" w:leader="none"/>
          <w:tab w:pos="1928" w:val="left" w:leader="none"/>
        </w:tabs>
        <w:spacing w:line="242" w:lineRule="auto" w:before="105" w:after="0"/>
        <w:ind w:left="1927" w:right="1625" w:hanging="340"/>
        <w:jc w:val="left"/>
        <w:rPr>
          <w:sz w:val="21"/>
        </w:rPr>
      </w:pPr>
      <w:r>
        <w:rPr>
          <w:i/>
          <w:spacing w:val="-3"/>
          <w:w w:val="105"/>
          <w:sz w:val="21"/>
        </w:rPr>
        <w:t>Renting</w:t>
      </w:r>
      <w:r>
        <w:rPr>
          <w:i/>
          <w:spacing w:val="-16"/>
          <w:w w:val="105"/>
          <w:sz w:val="21"/>
        </w:rPr>
        <w:t> </w:t>
      </w:r>
      <w:r>
        <w:rPr>
          <w:i/>
          <w:w w:val="105"/>
          <w:sz w:val="21"/>
        </w:rPr>
        <w:t>a</w:t>
      </w:r>
      <w:r>
        <w:rPr>
          <w:i/>
          <w:spacing w:val="-16"/>
          <w:w w:val="105"/>
          <w:sz w:val="21"/>
        </w:rPr>
        <w:t> </w:t>
      </w:r>
      <w:r>
        <w:rPr>
          <w:i/>
          <w:w w:val="105"/>
          <w:sz w:val="21"/>
        </w:rPr>
        <w:t>Home</w:t>
      </w:r>
      <w:r>
        <w:rPr>
          <w:i/>
          <w:spacing w:val="-16"/>
          <w:w w:val="105"/>
          <w:sz w:val="21"/>
        </w:rPr>
        <w:t> </w:t>
      </w:r>
      <w:r>
        <w:rPr>
          <w:i/>
          <w:w w:val="105"/>
          <w:sz w:val="21"/>
        </w:rPr>
        <w:t>Fees</w:t>
      </w:r>
      <w:r>
        <w:rPr>
          <w:i/>
          <w:spacing w:val="-16"/>
          <w:w w:val="105"/>
          <w:sz w:val="21"/>
        </w:rPr>
        <w:t> </w:t>
      </w:r>
      <w:r>
        <w:rPr>
          <w:w w:val="105"/>
          <w:sz w:val="21"/>
        </w:rPr>
        <w:t>(Web</w:t>
      </w:r>
      <w:r>
        <w:rPr>
          <w:spacing w:val="-16"/>
          <w:w w:val="105"/>
          <w:sz w:val="21"/>
        </w:rPr>
        <w:t> </w:t>
      </w:r>
      <w:r>
        <w:rPr>
          <w:spacing w:val="-3"/>
          <w:w w:val="105"/>
          <w:sz w:val="21"/>
        </w:rPr>
        <w:t>Page,</w:t>
      </w:r>
      <w:r>
        <w:rPr>
          <w:spacing w:val="-16"/>
          <w:w w:val="105"/>
          <w:sz w:val="21"/>
        </w:rPr>
        <w:t> </w:t>
      </w:r>
      <w:r>
        <w:rPr>
          <w:w w:val="105"/>
          <w:sz w:val="21"/>
        </w:rPr>
        <w:t>1</w:t>
      </w:r>
      <w:r>
        <w:rPr>
          <w:spacing w:val="-16"/>
          <w:w w:val="105"/>
          <w:sz w:val="21"/>
        </w:rPr>
        <w:t> </w:t>
      </w:r>
      <w:r>
        <w:rPr>
          <w:w w:val="105"/>
          <w:sz w:val="21"/>
        </w:rPr>
        <w:t>July</w:t>
      </w:r>
      <w:r>
        <w:rPr>
          <w:spacing w:val="-16"/>
          <w:w w:val="105"/>
          <w:sz w:val="21"/>
        </w:rPr>
        <w:t> </w:t>
      </w:r>
      <w:r>
        <w:rPr>
          <w:spacing w:val="-5"/>
          <w:w w:val="105"/>
          <w:sz w:val="21"/>
        </w:rPr>
        <w:t>2018)</w:t>
      </w:r>
      <w:r>
        <w:rPr>
          <w:spacing w:val="-16"/>
          <w:w w:val="105"/>
          <w:sz w:val="21"/>
        </w:rPr>
        <w:t> </w:t>
      </w:r>
      <w:r>
        <w:rPr>
          <w:w w:val="105"/>
          <w:sz w:val="21"/>
        </w:rPr>
        <w:t>&lt;https://</w:t>
      </w:r>
      <w:hyperlink r:id="rId492">
        <w:r>
          <w:rPr>
            <w:w w:val="105"/>
            <w:sz w:val="21"/>
          </w:rPr>
          <w:t>www.vcat.vic.gov.au/resources/renting-</w:t>
        </w:r>
      </w:hyperlink>
      <w:r>
        <w:rPr>
          <w:w w:val="105"/>
          <w:sz w:val="21"/>
        </w:rPr>
        <w:t> a-home-fees&gt;</w:t>
      </w:r>
    </w:p>
    <w:p>
      <w:pPr>
        <w:pStyle w:val="ListParagraph"/>
        <w:numPr>
          <w:ilvl w:val="0"/>
          <w:numId w:val="225"/>
        </w:numPr>
        <w:tabs>
          <w:tab w:pos="1927" w:val="left" w:leader="none"/>
          <w:tab w:pos="1928" w:val="left" w:leader="none"/>
        </w:tabs>
        <w:spacing w:line="242" w:lineRule="auto" w:before="104" w:after="0"/>
        <w:ind w:left="1927" w:right="1802" w:hanging="340"/>
        <w:jc w:val="left"/>
        <w:rPr>
          <w:sz w:val="21"/>
        </w:rPr>
      </w:pPr>
      <w:r>
        <w:rPr>
          <w:i/>
          <w:w w:val="105"/>
          <w:sz w:val="21"/>
        </w:rPr>
        <w:t>Resolving </w:t>
      </w:r>
      <w:r>
        <w:rPr>
          <w:i/>
          <w:spacing w:val="-3"/>
          <w:w w:val="105"/>
          <w:sz w:val="21"/>
        </w:rPr>
        <w:t>Disputes </w:t>
      </w:r>
      <w:r>
        <w:rPr>
          <w:i/>
          <w:w w:val="105"/>
          <w:sz w:val="21"/>
        </w:rPr>
        <w:t>Between Residents </w:t>
      </w:r>
      <w:r>
        <w:rPr>
          <w:i/>
          <w:spacing w:val="-3"/>
          <w:w w:val="105"/>
          <w:sz w:val="21"/>
        </w:rPr>
        <w:t>of </w:t>
      </w:r>
      <w:r>
        <w:rPr>
          <w:i/>
          <w:w w:val="105"/>
          <w:sz w:val="21"/>
        </w:rPr>
        <w:t>Different </w:t>
      </w:r>
      <w:r>
        <w:rPr>
          <w:i/>
          <w:spacing w:val="-3"/>
          <w:w w:val="105"/>
          <w:sz w:val="21"/>
        </w:rPr>
        <w:t>Australian </w:t>
      </w:r>
      <w:r>
        <w:rPr>
          <w:i/>
          <w:spacing w:val="-4"/>
          <w:w w:val="105"/>
          <w:sz w:val="21"/>
        </w:rPr>
        <w:t>States </w:t>
      </w:r>
      <w:r>
        <w:rPr>
          <w:w w:val="105"/>
          <w:sz w:val="21"/>
        </w:rPr>
        <w:t>(Web </w:t>
      </w:r>
      <w:r>
        <w:rPr>
          <w:spacing w:val="-3"/>
          <w:w w:val="105"/>
          <w:sz w:val="21"/>
        </w:rPr>
        <w:t>Page, </w:t>
      </w:r>
      <w:r>
        <w:rPr>
          <w:spacing w:val="-9"/>
          <w:w w:val="105"/>
          <w:sz w:val="21"/>
        </w:rPr>
        <w:t>13 </w:t>
      </w:r>
      <w:r>
        <w:rPr>
          <w:w w:val="105"/>
          <w:sz w:val="21"/>
        </w:rPr>
        <w:t>June </w:t>
      </w:r>
      <w:r>
        <w:rPr>
          <w:spacing w:val="-5"/>
          <w:sz w:val="21"/>
        </w:rPr>
        <w:t>2018) </w:t>
      </w:r>
      <w:r>
        <w:rPr>
          <w:spacing w:val="-1"/>
          <w:sz w:val="21"/>
        </w:rPr>
        <w:t>&lt;https://</w:t>
      </w:r>
      <w:hyperlink r:id="rId493">
        <w:r>
          <w:rPr>
            <w:spacing w:val="-1"/>
            <w:sz w:val="21"/>
          </w:rPr>
          <w:t>www.vcat.vic.gov.au/news/resolving-disputes-between-residents-of-different-</w:t>
        </w:r>
      </w:hyperlink>
      <w:r>
        <w:rPr>
          <w:spacing w:val="-1"/>
          <w:sz w:val="21"/>
        </w:rPr>
        <w:t> </w:t>
      </w:r>
      <w:r>
        <w:rPr>
          <w:w w:val="105"/>
          <w:sz w:val="21"/>
        </w:rPr>
        <w:t>australian-states&gt;</w:t>
      </w:r>
    </w:p>
    <w:p>
      <w:pPr>
        <w:pStyle w:val="ListParagraph"/>
        <w:numPr>
          <w:ilvl w:val="0"/>
          <w:numId w:val="225"/>
        </w:numPr>
        <w:tabs>
          <w:tab w:pos="1927" w:val="left" w:leader="none"/>
          <w:tab w:pos="1928" w:val="left" w:leader="none"/>
        </w:tabs>
        <w:spacing w:line="240" w:lineRule="auto" w:before="105" w:after="0"/>
        <w:ind w:left="1927" w:right="0" w:hanging="340"/>
        <w:jc w:val="left"/>
        <w:rPr>
          <w:sz w:val="21"/>
        </w:rPr>
      </w:pPr>
      <w:r>
        <w:rPr>
          <w:i/>
          <w:spacing w:val="-3"/>
          <w:w w:val="105"/>
          <w:sz w:val="21"/>
        </w:rPr>
        <w:t>Steps </w:t>
      </w:r>
      <w:r>
        <w:rPr>
          <w:i/>
          <w:w w:val="105"/>
          <w:sz w:val="21"/>
        </w:rPr>
        <w:t>to Resolve </w:t>
      </w:r>
      <w:r>
        <w:rPr>
          <w:i/>
          <w:spacing w:val="-5"/>
          <w:w w:val="105"/>
          <w:sz w:val="21"/>
        </w:rPr>
        <w:t>Your </w:t>
      </w:r>
      <w:r>
        <w:rPr>
          <w:i/>
          <w:w w:val="105"/>
          <w:sz w:val="21"/>
        </w:rPr>
        <w:t>Case</w:t>
      </w:r>
      <w:r>
        <w:rPr>
          <w:i/>
          <w:spacing w:val="16"/>
          <w:w w:val="105"/>
          <w:sz w:val="21"/>
        </w:rPr>
        <w:t> </w:t>
      </w:r>
      <w:r>
        <w:rPr>
          <w:w w:val="105"/>
          <w:sz w:val="21"/>
        </w:rPr>
        <w:t>&lt;https://</w:t>
      </w:r>
      <w:hyperlink r:id="rId494">
        <w:r>
          <w:rPr>
            <w:w w:val="105"/>
            <w:sz w:val="21"/>
          </w:rPr>
          <w:t>www.vcat.vic.gov.au/steps-to-resolve-your-case</w:t>
        </w:r>
      </w:hyperlink>
      <w:r>
        <w:rPr>
          <w:w w:val="105"/>
          <w:sz w:val="21"/>
        </w:rPr>
        <w:t>&gt;</w:t>
      </w:r>
    </w:p>
    <w:p>
      <w:pPr>
        <w:pStyle w:val="ListParagraph"/>
        <w:numPr>
          <w:ilvl w:val="0"/>
          <w:numId w:val="225"/>
        </w:numPr>
        <w:tabs>
          <w:tab w:pos="1927" w:val="left" w:leader="none"/>
          <w:tab w:pos="1928" w:val="left" w:leader="none"/>
        </w:tabs>
        <w:spacing w:line="240" w:lineRule="auto" w:before="106" w:after="0"/>
        <w:ind w:left="1927" w:right="0" w:hanging="340"/>
        <w:jc w:val="left"/>
        <w:rPr>
          <w:sz w:val="21"/>
        </w:rPr>
      </w:pPr>
      <w:r>
        <w:rPr>
          <w:spacing w:val="-3"/>
          <w:w w:val="105"/>
          <w:sz w:val="21"/>
        </w:rPr>
        <w:t>Submission</w:t>
      </w:r>
      <w:r>
        <w:rPr>
          <w:spacing w:val="4"/>
          <w:w w:val="105"/>
          <w:sz w:val="21"/>
        </w:rPr>
        <w:t> </w:t>
      </w:r>
      <w:r>
        <w:rPr>
          <w:w w:val="105"/>
          <w:sz w:val="21"/>
        </w:rPr>
        <w:t>No</w:t>
      </w:r>
      <w:r>
        <w:rPr>
          <w:spacing w:val="5"/>
          <w:w w:val="105"/>
          <w:sz w:val="21"/>
        </w:rPr>
        <w:t> </w:t>
      </w:r>
      <w:r>
        <w:rPr>
          <w:w w:val="105"/>
          <w:sz w:val="21"/>
        </w:rPr>
        <w:t>34</w:t>
      </w:r>
      <w:r>
        <w:rPr>
          <w:spacing w:val="5"/>
          <w:w w:val="105"/>
          <w:sz w:val="21"/>
        </w:rPr>
        <w:t> </w:t>
      </w:r>
      <w:r>
        <w:rPr>
          <w:spacing w:val="-3"/>
          <w:w w:val="105"/>
          <w:sz w:val="21"/>
        </w:rPr>
        <w:t>to</w:t>
      </w:r>
      <w:r>
        <w:rPr>
          <w:spacing w:val="5"/>
          <w:w w:val="105"/>
          <w:sz w:val="21"/>
        </w:rPr>
        <w:t> </w:t>
      </w:r>
      <w:r>
        <w:rPr>
          <w:spacing w:val="-3"/>
          <w:w w:val="105"/>
          <w:sz w:val="21"/>
        </w:rPr>
        <w:t>Government</w:t>
      </w:r>
      <w:r>
        <w:rPr>
          <w:spacing w:val="5"/>
          <w:w w:val="105"/>
          <w:sz w:val="21"/>
        </w:rPr>
        <w:t> </w:t>
      </w:r>
      <w:r>
        <w:rPr>
          <w:w w:val="105"/>
          <w:sz w:val="21"/>
        </w:rPr>
        <w:t>of</w:t>
      </w:r>
      <w:r>
        <w:rPr>
          <w:spacing w:val="5"/>
          <w:w w:val="105"/>
          <w:sz w:val="21"/>
        </w:rPr>
        <w:t> </w:t>
      </w:r>
      <w:r>
        <w:rPr>
          <w:w w:val="105"/>
          <w:sz w:val="21"/>
        </w:rPr>
        <w:t>Victoria,</w:t>
      </w:r>
      <w:r>
        <w:rPr>
          <w:spacing w:val="5"/>
          <w:w w:val="105"/>
          <w:sz w:val="21"/>
        </w:rPr>
        <w:t> </w:t>
      </w:r>
      <w:r>
        <w:rPr>
          <w:i/>
          <w:w w:val="105"/>
          <w:sz w:val="21"/>
        </w:rPr>
        <w:t>Access</w:t>
      </w:r>
      <w:r>
        <w:rPr>
          <w:i/>
          <w:spacing w:val="5"/>
          <w:w w:val="105"/>
          <w:sz w:val="21"/>
        </w:rPr>
        <w:t> </w:t>
      </w:r>
      <w:r>
        <w:rPr>
          <w:i/>
          <w:w w:val="105"/>
          <w:sz w:val="21"/>
        </w:rPr>
        <w:t>to</w:t>
      </w:r>
      <w:r>
        <w:rPr>
          <w:i/>
          <w:spacing w:val="5"/>
          <w:w w:val="105"/>
          <w:sz w:val="21"/>
        </w:rPr>
        <w:t> </w:t>
      </w:r>
      <w:r>
        <w:rPr>
          <w:i/>
          <w:spacing w:val="-3"/>
          <w:w w:val="105"/>
          <w:sz w:val="21"/>
        </w:rPr>
        <w:t>Justice</w:t>
      </w:r>
      <w:r>
        <w:rPr>
          <w:i/>
          <w:spacing w:val="5"/>
          <w:w w:val="105"/>
          <w:sz w:val="21"/>
        </w:rPr>
        <w:t> </w:t>
      </w:r>
      <w:r>
        <w:rPr>
          <w:i/>
          <w:w w:val="105"/>
          <w:sz w:val="21"/>
        </w:rPr>
        <w:t>Review</w:t>
      </w:r>
      <w:r>
        <w:rPr>
          <w:i/>
          <w:spacing w:val="4"/>
          <w:w w:val="105"/>
          <w:sz w:val="21"/>
        </w:rPr>
        <w:t> </w:t>
      </w:r>
      <w:r>
        <w:rPr>
          <w:spacing w:val="-5"/>
          <w:w w:val="105"/>
          <w:sz w:val="21"/>
        </w:rPr>
        <w:t>(2016)</w:t>
      </w:r>
    </w:p>
    <w:p>
      <w:pPr>
        <w:pStyle w:val="ListParagraph"/>
        <w:numPr>
          <w:ilvl w:val="0"/>
          <w:numId w:val="225"/>
        </w:numPr>
        <w:tabs>
          <w:tab w:pos="1927" w:val="left" w:leader="none"/>
          <w:tab w:pos="1928" w:val="left" w:leader="none"/>
        </w:tabs>
        <w:spacing w:line="242" w:lineRule="auto" w:before="106" w:after="0"/>
        <w:ind w:left="1927" w:right="2040" w:hanging="340"/>
        <w:jc w:val="left"/>
        <w:rPr>
          <w:sz w:val="21"/>
        </w:rPr>
      </w:pPr>
      <w:r>
        <w:rPr>
          <w:i/>
          <w:spacing w:val="-3"/>
          <w:sz w:val="21"/>
        </w:rPr>
        <w:t>Submissions </w:t>
      </w:r>
      <w:r>
        <w:rPr>
          <w:sz w:val="21"/>
        </w:rPr>
        <w:t>(Web Page) &lt;https://</w:t>
      </w:r>
      <w:hyperlink r:id="rId495">
        <w:r>
          <w:rPr>
            <w:sz w:val="21"/>
          </w:rPr>
          <w:t>www.vcat.vic.gov.au/steps-to-resolve-your-case/how-to-</w:t>
        </w:r>
      </w:hyperlink>
      <w:r>
        <w:rPr>
          <w:sz w:val="21"/>
        </w:rPr>
        <w:t> </w:t>
      </w:r>
      <w:r>
        <w:rPr>
          <w:spacing w:val="-3"/>
          <w:sz w:val="21"/>
        </w:rPr>
        <w:t>prepare-for-your-hearing/submissions&gt;</w:t>
      </w:r>
    </w:p>
    <w:p>
      <w:pPr>
        <w:pStyle w:val="ListParagraph"/>
        <w:numPr>
          <w:ilvl w:val="0"/>
          <w:numId w:val="225"/>
        </w:numPr>
        <w:tabs>
          <w:tab w:pos="1927" w:val="left" w:leader="none"/>
          <w:tab w:pos="1928" w:val="left" w:leader="none"/>
        </w:tabs>
        <w:spacing w:line="242" w:lineRule="auto" w:before="104" w:after="0"/>
        <w:ind w:left="1927" w:right="2046" w:hanging="340"/>
        <w:jc w:val="left"/>
        <w:rPr>
          <w:sz w:val="21"/>
        </w:rPr>
      </w:pPr>
      <w:r>
        <w:rPr>
          <w:i/>
          <w:spacing w:val="-3"/>
          <w:w w:val="105"/>
          <w:sz w:val="21"/>
        </w:rPr>
        <w:t>Submission </w:t>
      </w:r>
      <w:r>
        <w:rPr>
          <w:i/>
          <w:w w:val="105"/>
          <w:sz w:val="21"/>
        </w:rPr>
        <w:t>to the Department </w:t>
      </w:r>
      <w:r>
        <w:rPr>
          <w:i/>
          <w:spacing w:val="-3"/>
          <w:w w:val="105"/>
          <w:sz w:val="21"/>
        </w:rPr>
        <w:t>of Justice </w:t>
      </w:r>
      <w:r>
        <w:rPr>
          <w:i/>
          <w:w w:val="105"/>
          <w:sz w:val="21"/>
        </w:rPr>
        <w:t>and </w:t>
      </w:r>
      <w:r>
        <w:rPr>
          <w:i/>
          <w:spacing w:val="-3"/>
          <w:w w:val="105"/>
          <w:sz w:val="21"/>
        </w:rPr>
        <w:t>Community Safety, Residential </w:t>
      </w:r>
      <w:r>
        <w:rPr>
          <w:i/>
          <w:spacing w:val="-4"/>
          <w:w w:val="105"/>
          <w:sz w:val="21"/>
        </w:rPr>
        <w:t>Tenancies </w:t>
      </w:r>
      <w:r>
        <w:rPr>
          <w:i/>
          <w:w w:val="105"/>
          <w:sz w:val="21"/>
        </w:rPr>
        <w:t>Act </w:t>
      </w:r>
      <w:r>
        <w:rPr>
          <w:i/>
          <w:w w:val="105"/>
          <w:sz w:val="21"/>
        </w:rPr>
        <w:t>Review</w:t>
      </w:r>
      <w:r>
        <w:rPr>
          <w:i/>
          <w:spacing w:val="2"/>
          <w:w w:val="105"/>
          <w:sz w:val="21"/>
        </w:rPr>
        <w:t> </w:t>
      </w:r>
      <w:r>
        <w:rPr>
          <w:w w:val="105"/>
          <w:sz w:val="21"/>
        </w:rPr>
        <w:t>&lt;https://engage.vic.gov.au/fairersaferhousing&gt;</w:t>
      </w:r>
    </w:p>
    <w:p>
      <w:pPr>
        <w:pStyle w:val="ListParagraph"/>
        <w:numPr>
          <w:ilvl w:val="0"/>
          <w:numId w:val="225"/>
        </w:numPr>
        <w:tabs>
          <w:tab w:pos="1927" w:val="left" w:leader="none"/>
          <w:tab w:pos="1928" w:val="left" w:leader="none"/>
        </w:tabs>
        <w:spacing w:line="240" w:lineRule="auto" w:before="104" w:after="0"/>
        <w:ind w:left="1927" w:right="0" w:hanging="340"/>
        <w:jc w:val="left"/>
        <w:rPr>
          <w:sz w:val="21"/>
        </w:rPr>
      </w:pPr>
      <w:r>
        <w:rPr>
          <w:i/>
          <w:spacing w:val="-4"/>
          <w:w w:val="105"/>
          <w:sz w:val="21"/>
        </w:rPr>
        <w:t>VCAT </w:t>
      </w:r>
      <w:r>
        <w:rPr>
          <w:i/>
          <w:w w:val="105"/>
          <w:sz w:val="21"/>
        </w:rPr>
        <w:t>Accessibility Action Plan </w:t>
      </w:r>
      <w:r>
        <w:rPr>
          <w:i/>
          <w:spacing w:val="-6"/>
          <w:w w:val="105"/>
          <w:sz w:val="21"/>
        </w:rPr>
        <w:t>2018-2022 </w:t>
      </w:r>
      <w:r>
        <w:rPr>
          <w:w w:val="105"/>
          <w:sz w:val="21"/>
        </w:rPr>
        <w:t>(Report, November</w:t>
      </w:r>
      <w:r>
        <w:rPr>
          <w:spacing w:val="46"/>
          <w:w w:val="105"/>
          <w:sz w:val="21"/>
        </w:rPr>
        <w:t> </w:t>
      </w:r>
      <w:r>
        <w:rPr>
          <w:spacing w:val="-7"/>
          <w:w w:val="105"/>
          <w:sz w:val="21"/>
        </w:rPr>
        <w:t>2017)</w:t>
      </w:r>
    </w:p>
    <w:p>
      <w:pPr>
        <w:pStyle w:val="BodyText"/>
        <w:spacing w:before="4"/>
        <w:ind w:left="1927"/>
      </w:pPr>
      <w:r>
        <w:rPr>
          <w:w w:val="105"/>
        </w:rPr>
        <w:t>&lt;https://</w:t>
      </w:r>
      <w:hyperlink r:id="rId496">
        <w:r>
          <w:rPr>
            <w:w w:val="105"/>
          </w:rPr>
          <w:t>www.vcat.vic.gov.au/AccessibleVCAT</w:t>
        </w:r>
      </w:hyperlink>
      <w:r>
        <w:rPr>
          <w:w w:val="105"/>
        </w:rPr>
        <w:t>&gt;</w:t>
      </w:r>
    </w:p>
    <w:p>
      <w:pPr>
        <w:pStyle w:val="ListParagraph"/>
        <w:numPr>
          <w:ilvl w:val="0"/>
          <w:numId w:val="225"/>
        </w:numPr>
        <w:tabs>
          <w:tab w:pos="1927" w:val="left" w:leader="none"/>
          <w:tab w:pos="1928" w:val="left" w:leader="none"/>
        </w:tabs>
        <w:spacing w:line="240" w:lineRule="auto" w:before="105" w:after="0"/>
        <w:ind w:left="1927" w:right="0" w:hanging="340"/>
        <w:jc w:val="left"/>
        <w:rPr>
          <w:sz w:val="21"/>
        </w:rPr>
      </w:pPr>
      <w:r>
        <w:rPr>
          <w:i/>
          <w:spacing w:val="-4"/>
          <w:w w:val="105"/>
          <w:sz w:val="21"/>
        </w:rPr>
        <w:t>VCAT </w:t>
      </w:r>
      <w:r>
        <w:rPr>
          <w:i/>
          <w:spacing w:val="-3"/>
          <w:w w:val="105"/>
          <w:sz w:val="21"/>
        </w:rPr>
        <w:t>Annual </w:t>
      </w:r>
      <w:r>
        <w:rPr>
          <w:i/>
          <w:w w:val="105"/>
          <w:sz w:val="21"/>
        </w:rPr>
        <w:t>Report </w:t>
      </w:r>
      <w:r>
        <w:rPr>
          <w:i/>
          <w:spacing w:val="-12"/>
          <w:w w:val="105"/>
          <w:sz w:val="21"/>
        </w:rPr>
        <w:t>2017-18 </w:t>
      </w:r>
      <w:r>
        <w:rPr>
          <w:w w:val="105"/>
          <w:sz w:val="21"/>
        </w:rPr>
        <w:t>(Report,</w:t>
      </w:r>
      <w:r>
        <w:rPr>
          <w:spacing w:val="12"/>
          <w:w w:val="105"/>
          <w:sz w:val="21"/>
        </w:rPr>
        <w:t> </w:t>
      </w:r>
      <w:r>
        <w:rPr>
          <w:spacing w:val="-4"/>
          <w:w w:val="105"/>
          <w:sz w:val="21"/>
        </w:rPr>
        <w:t>2018)</w:t>
      </w:r>
    </w:p>
    <w:p>
      <w:pPr>
        <w:pStyle w:val="ListParagraph"/>
        <w:numPr>
          <w:ilvl w:val="0"/>
          <w:numId w:val="225"/>
        </w:numPr>
        <w:tabs>
          <w:tab w:pos="1927" w:val="left" w:leader="none"/>
          <w:tab w:pos="1928" w:val="left" w:leader="none"/>
        </w:tabs>
        <w:spacing w:line="240" w:lineRule="auto" w:before="106" w:after="0"/>
        <w:ind w:left="1927" w:right="0" w:hanging="340"/>
        <w:jc w:val="left"/>
        <w:rPr>
          <w:sz w:val="21"/>
        </w:rPr>
      </w:pPr>
      <w:r>
        <w:rPr>
          <w:i/>
          <w:spacing w:val="-4"/>
          <w:w w:val="105"/>
          <w:sz w:val="21"/>
        </w:rPr>
        <w:t>VCAT </w:t>
      </w:r>
      <w:r>
        <w:rPr>
          <w:i/>
          <w:spacing w:val="-3"/>
          <w:w w:val="105"/>
          <w:sz w:val="21"/>
        </w:rPr>
        <w:t>Annual </w:t>
      </w:r>
      <w:r>
        <w:rPr>
          <w:i/>
          <w:w w:val="105"/>
          <w:sz w:val="21"/>
        </w:rPr>
        <w:t>Report </w:t>
      </w:r>
      <w:r>
        <w:rPr>
          <w:i/>
          <w:spacing w:val="-8"/>
          <w:w w:val="105"/>
          <w:sz w:val="21"/>
        </w:rPr>
        <w:t>2016-2017 </w:t>
      </w:r>
      <w:r>
        <w:rPr>
          <w:w w:val="105"/>
          <w:sz w:val="21"/>
        </w:rPr>
        <w:t>(Report,</w:t>
      </w:r>
      <w:r>
        <w:rPr>
          <w:spacing w:val="4"/>
          <w:w w:val="105"/>
          <w:sz w:val="21"/>
        </w:rPr>
        <w:t> </w:t>
      </w:r>
      <w:r>
        <w:rPr>
          <w:spacing w:val="-8"/>
          <w:w w:val="105"/>
          <w:sz w:val="21"/>
        </w:rPr>
        <w:t>2017)</w:t>
      </w:r>
    </w:p>
    <w:p>
      <w:pPr>
        <w:pStyle w:val="ListParagraph"/>
        <w:numPr>
          <w:ilvl w:val="0"/>
          <w:numId w:val="225"/>
        </w:numPr>
        <w:tabs>
          <w:tab w:pos="1927" w:val="left" w:leader="none"/>
          <w:tab w:pos="1928" w:val="left" w:leader="none"/>
        </w:tabs>
        <w:spacing w:line="242" w:lineRule="auto" w:before="106" w:after="0"/>
        <w:ind w:left="1927" w:right="1881" w:hanging="340"/>
        <w:jc w:val="left"/>
        <w:rPr>
          <w:sz w:val="21"/>
        </w:rPr>
      </w:pPr>
      <w:r>
        <w:rPr>
          <w:i/>
          <w:spacing w:val="-4"/>
          <w:w w:val="105"/>
          <w:sz w:val="21"/>
        </w:rPr>
        <w:t>VCAT</w:t>
      </w:r>
      <w:r>
        <w:rPr>
          <w:i/>
          <w:spacing w:val="-28"/>
          <w:w w:val="105"/>
          <w:sz w:val="21"/>
        </w:rPr>
        <w:t> </w:t>
      </w:r>
      <w:r>
        <w:rPr>
          <w:i/>
          <w:w w:val="105"/>
          <w:sz w:val="21"/>
        </w:rPr>
        <w:t>Decisions</w:t>
      </w:r>
      <w:r>
        <w:rPr>
          <w:i/>
          <w:spacing w:val="-28"/>
          <w:w w:val="105"/>
          <w:sz w:val="21"/>
        </w:rPr>
        <w:t> </w:t>
      </w:r>
      <w:r>
        <w:rPr>
          <w:i/>
          <w:w w:val="105"/>
          <w:sz w:val="21"/>
        </w:rPr>
        <w:t>and</w:t>
      </w:r>
      <w:r>
        <w:rPr>
          <w:i/>
          <w:spacing w:val="-28"/>
          <w:w w:val="105"/>
          <w:sz w:val="21"/>
        </w:rPr>
        <w:t> </w:t>
      </w:r>
      <w:r>
        <w:rPr>
          <w:i/>
          <w:w w:val="105"/>
          <w:sz w:val="21"/>
        </w:rPr>
        <w:t>Orders</w:t>
      </w:r>
      <w:r>
        <w:rPr>
          <w:i/>
          <w:spacing w:val="-28"/>
          <w:w w:val="105"/>
          <w:sz w:val="21"/>
        </w:rPr>
        <w:t> </w:t>
      </w:r>
      <w:r>
        <w:rPr>
          <w:w w:val="105"/>
          <w:sz w:val="21"/>
        </w:rPr>
        <w:t>(Web</w:t>
      </w:r>
      <w:r>
        <w:rPr>
          <w:spacing w:val="-28"/>
          <w:w w:val="105"/>
          <w:sz w:val="21"/>
        </w:rPr>
        <w:t> </w:t>
      </w:r>
      <w:r>
        <w:rPr>
          <w:w w:val="105"/>
          <w:sz w:val="21"/>
        </w:rPr>
        <w:t>Page)</w:t>
      </w:r>
      <w:r>
        <w:rPr>
          <w:spacing w:val="-28"/>
          <w:w w:val="105"/>
          <w:sz w:val="21"/>
        </w:rPr>
        <w:t> </w:t>
      </w:r>
      <w:r>
        <w:rPr>
          <w:w w:val="105"/>
          <w:sz w:val="21"/>
        </w:rPr>
        <w:t>&lt;https://</w:t>
      </w:r>
      <w:hyperlink r:id="rId333">
        <w:r>
          <w:rPr>
            <w:w w:val="105"/>
            <w:sz w:val="21"/>
          </w:rPr>
          <w:t>www.vcat.vic.gov.au/steps-to-resolve-your-</w:t>
        </w:r>
      </w:hyperlink>
      <w:r>
        <w:rPr>
          <w:w w:val="105"/>
          <w:sz w:val="21"/>
        </w:rPr>
        <w:t> case/what-to-expect-after-the-final-hearing/vcat-decisions-and-orders&gt;</w:t>
      </w:r>
    </w:p>
    <w:p>
      <w:pPr>
        <w:pStyle w:val="ListParagraph"/>
        <w:numPr>
          <w:ilvl w:val="0"/>
          <w:numId w:val="225"/>
        </w:numPr>
        <w:tabs>
          <w:tab w:pos="1927" w:val="left" w:leader="none"/>
          <w:tab w:pos="1928" w:val="left" w:leader="none"/>
        </w:tabs>
        <w:spacing w:line="240" w:lineRule="auto" w:before="104" w:after="0"/>
        <w:ind w:left="1927" w:right="0" w:hanging="340"/>
        <w:jc w:val="left"/>
        <w:rPr>
          <w:i/>
          <w:sz w:val="21"/>
        </w:rPr>
      </w:pPr>
      <w:r>
        <w:rPr>
          <w:i/>
          <w:spacing w:val="-4"/>
          <w:w w:val="105"/>
          <w:sz w:val="21"/>
        </w:rPr>
        <w:t>VCAT </w:t>
      </w:r>
      <w:r>
        <w:rPr>
          <w:i/>
          <w:w w:val="105"/>
          <w:sz w:val="21"/>
        </w:rPr>
        <w:t>For the Future: </w:t>
      </w:r>
      <w:r>
        <w:rPr>
          <w:i/>
          <w:spacing w:val="-3"/>
          <w:w w:val="105"/>
          <w:sz w:val="21"/>
        </w:rPr>
        <w:t>Strategic </w:t>
      </w:r>
      <w:r>
        <w:rPr>
          <w:i/>
          <w:w w:val="105"/>
          <w:sz w:val="21"/>
        </w:rPr>
        <w:t>Plan </w:t>
      </w:r>
      <w:r>
        <w:rPr>
          <w:i/>
          <w:spacing w:val="-5"/>
          <w:w w:val="105"/>
          <w:sz w:val="21"/>
        </w:rPr>
        <w:t>2018–22</w:t>
      </w:r>
      <w:r>
        <w:rPr>
          <w:i/>
          <w:spacing w:val="-2"/>
          <w:w w:val="105"/>
          <w:sz w:val="21"/>
        </w:rPr>
        <w:t> </w:t>
      </w:r>
      <w:r>
        <w:rPr>
          <w:i/>
          <w:w w:val="105"/>
          <w:sz w:val="21"/>
        </w:rPr>
        <w:t>(Report)</w:t>
      </w:r>
    </w:p>
    <w:p>
      <w:pPr>
        <w:pStyle w:val="ListParagraph"/>
        <w:numPr>
          <w:ilvl w:val="0"/>
          <w:numId w:val="225"/>
        </w:numPr>
        <w:tabs>
          <w:tab w:pos="1927" w:val="left" w:leader="none"/>
          <w:tab w:pos="1928" w:val="left" w:leader="none"/>
        </w:tabs>
        <w:spacing w:line="240" w:lineRule="auto" w:before="106" w:after="0"/>
        <w:ind w:left="1927" w:right="0" w:hanging="340"/>
        <w:jc w:val="left"/>
        <w:rPr>
          <w:sz w:val="21"/>
        </w:rPr>
      </w:pPr>
      <w:r>
        <w:rPr>
          <w:i/>
          <w:sz w:val="21"/>
        </w:rPr>
        <w:t>Videos </w:t>
      </w:r>
      <w:r>
        <w:rPr>
          <w:sz w:val="21"/>
        </w:rPr>
        <w:t>(Web Page)</w:t>
      </w:r>
      <w:r>
        <w:rPr>
          <w:spacing w:val="27"/>
          <w:sz w:val="21"/>
        </w:rPr>
        <w:t> </w:t>
      </w:r>
      <w:r>
        <w:rPr>
          <w:sz w:val="21"/>
        </w:rPr>
        <w:t>&lt;https://</w:t>
      </w:r>
      <w:hyperlink r:id="rId497">
        <w:r>
          <w:rPr>
            <w:sz w:val="21"/>
          </w:rPr>
          <w:t>www.vcat.vic.gov.au/resources/videos</w:t>
        </w:r>
      </w:hyperlink>
      <w:r>
        <w:rPr>
          <w:sz w:val="21"/>
        </w:rPr>
        <w:t>&gt;</w:t>
      </w:r>
    </w:p>
    <w:p>
      <w:pPr>
        <w:pStyle w:val="ListParagraph"/>
        <w:numPr>
          <w:ilvl w:val="0"/>
          <w:numId w:val="225"/>
        </w:numPr>
        <w:tabs>
          <w:tab w:pos="1927" w:val="left" w:leader="none"/>
          <w:tab w:pos="1928" w:val="left" w:leader="none"/>
        </w:tabs>
        <w:spacing w:line="242" w:lineRule="auto" w:before="105" w:after="0"/>
        <w:ind w:left="1927" w:right="1627" w:hanging="340"/>
        <w:jc w:val="left"/>
        <w:rPr>
          <w:sz w:val="21"/>
        </w:rPr>
      </w:pPr>
      <w:r>
        <w:rPr>
          <w:i/>
          <w:w w:val="105"/>
          <w:sz w:val="21"/>
        </w:rPr>
        <w:t>Who</w:t>
      </w:r>
      <w:r>
        <w:rPr>
          <w:i/>
          <w:spacing w:val="-25"/>
          <w:w w:val="105"/>
          <w:sz w:val="21"/>
        </w:rPr>
        <w:t> </w:t>
      </w:r>
      <w:r>
        <w:rPr>
          <w:i/>
          <w:w w:val="105"/>
          <w:sz w:val="21"/>
        </w:rPr>
        <w:t>Pays</w:t>
      </w:r>
      <w:r>
        <w:rPr>
          <w:i/>
          <w:spacing w:val="-25"/>
          <w:w w:val="105"/>
          <w:sz w:val="21"/>
        </w:rPr>
        <w:t> </w:t>
      </w:r>
      <w:r>
        <w:rPr>
          <w:i/>
          <w:w w:val="105"/>
          <w:sz w:val="21"/>
        </w:rPr>
        <w:t>for</w:t>
      </w:r>
      <w:r>
        <w:rPr>
          <w:i/>
          <w:spacing w:val="-24"/>
          <w:w w:val="105"/>
          <w:sz w:val="21"/>
        </w:rPr>
        <w:t> </w:t>
      </w:r>
      <w:r>
        <w:rPr>
          <w:i/>
          <w:w w:val="105"/>
          <w:sz w:val="21"/>
        </w:rPr>
        <w:t>My</w:t>
      </w:r>
      <w:r>
        <w:rPr>
          <w:i/>
          <w:spacing w:val="-25"/>
          <w:w w:val="105"/>
          <w:sz w:val="21"/>
        </w:rPr>
        <w:t> </w:t>
      </w:r>
      <w:r>
        <w:rPr>
          <w:i/>
          <w:w w:val="105"/>
          <w:sz w:val="21"/>
        </w:rPr>
        <w:t>Legal</w:t>
      </w:r>
      <w:r>
        <w:rPr>
          <w:i/>
          <w:spacing w:val="-25"/>
          <w:w w:val="105"/>
          <w:sz w:val="21"/>
        </w:rPr>
        <w:t> </w:t>
      </w:r>
      <w:r>
        <w:rPr>
          <w:i/>
          <w:spacing w:val="-3"/>
          <w:w w:val="105"/>
          <w:sz w:val="21"/>
        </w:rPr>
        <w:t>Costs?</w:t>
      </w:r>
      <w:r>
        <w:rPr>
          <w:i/>
          <w:spacing w:val="-24"/>
          <w:w w:val="105"/>
          <w:sz w:val="21"/>
        </w:rPr>
        <w:t> </w:t>
      </w:r>
      <w:r>
        <w:rPr>
          <w:w w:val="105"/>
          <w:sz w:val="21"/>
        </w:rPr>
        <w:t>(Web</w:t>
      </w:r>
      <w:r>
        <w:rPr>
          <w:spacing w:val="-25"/>
          <w:w w:val="105"/>
          <w:sz w:val="21"/>
        </w:rPr>
        <w:t> </w:t>
      </w:r>
      <w:r>
        <w:rPr>
          <w:w w:val="105"/>
          <w:sz w:val="21"/>
        </w:rPr>
        <w:t>Page)</w:t>
      </w:r>
      <w:r>
        <w:rPr>
          <w:spacing w:val="-25"/>
          <w:w w:val="105"/>
          <w:sz w:val="21"/>
        </w:rPr>
        <w:t> </w:t>
      </w:r>
      <w:r>
        <w:rPr>
          <w:w w:val="105"/>
          <w:sz w:val="21"/>
        </w:rPr>
        <w:t>&lt;https://</w:t>
      </w:r>
      <w:hyperlink r:id="rId333">
        <w:r>
          <w:rPr>
            <w:w w:val="105"/>
            <w:sz w:val="21"/>
          </w:rPr>
          <w:t>www.vcat.vic.gov.au/steps-to-resolve-your-</w:t>
        </w:r>
      </w:hyperlink>
      <w:r>
        <w:rPr>
          <w:w w:val="105"/>
          <w:sz w:val="21"/>
        </w:rPr>
        <w:t> case/on-hearing-day/who-pays-for-my-legal-costs&gt;</w:t>
      </w:r>
    </w:p>
    <w:p>
      <w:pPr>
        <w:pStyle w:val="ListParagraph"/>
        <w:numPr>
          <w:ilvl w:val="0"/>
          <w:numId w:val="225"/>
        </w:numPr>
        <w:tabs>
          <w:tab w:pos="1927" w:val="left" w:leader="none"/>
          <w:tab w:pos="1929" w:val="left" w:leader="none"/>
        </w:tabs>
        <w:spacing w:line="240" w:lineRule="auto" w:before="105" w:after="0"/>
        <w:ind w:left="1928" w:right="0" w:hanging="341"/>
        <w:jc w:val="left"/>
        <w:rPr>
          <w:sz w:val="21"/>
        </w:rPr>
      </w:pPr>
      <w:r>
        <w:rPr>
          <w:i/>
          <w:w w:val="105"/>
          <w:sz w:val="21"/>
        </w:rPr>
        <w:t>Who </w:t>
      </w:r>
      <w:r>
        <w:rPr>
          <w:i/>
          <w:spacing w:val="-3"/>
          <w:w w:val="105"/>
          <w:sz w:val="21"/>
        </w:rPr>
        <w:t>We </w:t>
      </w:r>
      <w:r>
        <w:rPr>
          <w:i/>
          <w:w w:val="105"/>
          <w:sz w:val="21"/>
        </w:rPr>
        <w:t>Are </w:t>
      </w:r>
      <w:r>
        <w:rPr>
          <w:w w:val="105"/>
          <w:sz w:val="21"/>
        </w:rPr>
        <w:t>(Web Page)</w:t>
      </w:r>
      <w:r>
        <w:rPr>
          <w:spacing w:val="25"/>
          <w:w w:val="105"/>
          <w:sz w:val="21"/>
        </w:rPr>
        <w:t> </w:t>
      </w:r>
      <w:r>
        <w:rPr>
          <w:w w:val="105"/>
          <w:sz w:val="21"/>
        </w:rPr>
        <w:t>&lt;</w:t>
      </w:r>
      <w:hyperlink r:id="rId168">
        <w:r>
          <w:rPr>
            <w:w w:val="105"/>
            <w:sz w:val="21"/>
          </w:rPr>
          <w:t>www.vcat.vic.gov.au/about-us/who-we-are</w:t>
        </w:r>
      </w:hyperlink>
      <w:r>
        <w:rPr>
          <w:w w:val="105"/>
          <w:sz w:val="21"/>
        </w:rPr>
        <w:t>&gt;</w:t>
      </w:r>
    </w:p>
    <w:p>
      <w:pPr>
        <w:pStyle w:val="ListParagraph"/>
        <w:numPr>
          <w:ilvl w:val="0"/>
          <w:numId w:val="225"/>
        </w:numPr>
        <w:tabs>
          <w:tab w:pos="1927" w:val="left" w:leader="none"/>
          <w:tab w:pos="1929" w:val="left" w:leader="none"/>
        </w:tabs>
        <w:spacing w:line="242" w:lineRule="auto" w:before="105" w:after="0"/>
        <w:ind w:left="1927" w:right="2542" w:hanging="340"/>
        <w:jc w:val="left"/>
        <w:rPr>
          <w:sz w:val="21"/>
        </w:rPr>
      </w:pPr>
      <w:r>
        <w:rPr>
          <w:i/>
          <w:spacing w:val="-8"/>
          <w:w w:val="105"/>
          <w:sz w:val="21"/>
        </w:rPr>
        <w:t>YouTube</w:t>
      </w:r>
      <w:r>
        <w:rPr>
          <w:i/>
          <w:spacing w:val="-22"/>
          <w:w w:val="105"/>
          <w:sz w:val="21"/>
        </w:rPr>
        <w:t> </w:t>
      </w:r>
      <w:r>
        <w:rPr>
          <w:w w:val="105"/>
          <w:sz w:val="21"/>
        </w:rPr>
        <w:t>(January</w:t>
      </w:r>
      <w:r>
        <w:rPr>
          <w:spacing w:val="-22"/>
          <w:w w:val="105"/>
          <w:sz w:val="21"/>
        </w:rPr>
        <w:t> </w:t>
      </w:r>
      <w:r>
        <w:rPr>
          <w:spacing w:val="-5"/>
          <w:w w:val="105"/>
          <w:sz w:val="21"/>
        </w:rPr>
        <w:t>2019)</w:t>
      </w:r>
      <w:r>
        <w:rPr>
          <w:spacing w:val="-21"/>
          <w:w w:val="105"/>
          <w:sz w:val="21"/>
        </w:rPr>
        <w:t> </w:t>
      </w:r>
      <w:r>
        <w:rPr>
          <w:w w:val="105"/>
          <w:sz w:val="21"/>
        </w:rPr>
        <w:t>&lt;https://</w:t>
      </w:r>
      <w:hyperlink r:id="rId498">
        <w:r>
          <w:rPr>
            <w:w w:val="105"/>
            <w:sz w:val="21"/>
          </w:rPr>
          <w:t>www.youtube.com/channel/UCc73nMfBWIiAc0w_</w:t>
        </w:r>
      </w:hyperlink>
      <w:r>
        <w:rPr>
          <w:w w:val="105"/>
          <w:sz w:val="21"/>
        </w:rPr>
        <w:t> Gb4vAEw&gt;</w:t>
      </w:r>
    </w:p>
    <w:p>
      <w:pPr>
        <w:pStyle w:val="BodyText"/>
        <w:rPr>
          <w:sz w:val="20"/>
        </w:rPr>
      </w:pPr>
    </w:p>
    <w:p>
      <w:pPr>
        <w:spacing w:before="230"/>
        <w:ind w:left="720" w:right="0" w:firstLine="0"/>
        <w:jc w:val="left"/>
        <w:rPr>
          <w:b/>
          <w:sz w:val="24"/>
        </w:rPr>
      </w:pPr>
      <w:r>
        <w:rPr>
          <w:b/>
          <w:color w:val="658464"/>
          <w:w w:val="110"/>
          <w:sz w:val="24"/>
        </w:rPr>
        <w:t>328</w:t>
      </w:r>
    </w:p>
    <w:p>
      <w:pPr>
        <w:spacing w:after="0"/>
        <w:jc w:val="left"/>
        <w:rPr>
          <w:sz w:val="24"/>
        </w:rPr>
        <w:sectPr>
          <w:pgSz w:w="11910" w:h="16840"/>
          <w:pgMar w:header="546" w:footer="0" w:top="1560" w:bottom="280" w:left="0" w:right="0"/>
        </w:sectPr>
      </w:pPr>
    </w:p>
    <w:p>
      <w:pPr>
        <w:pStyle w:val="BodyText"/>
        <w:spacing w:before="6"/>
        <w:rPr>
          <w:b/>
        </w:rPr>
      </w:pPr>
    </w:p>
    <w:p>
      <w:pPr>
        <w:pStyle w:val="BodyText"/>
        <w:spacing w:before="92"/>
        <w:ind w:left="1587"/>
      </w:pPr>
      <w:r>
        <w:rPr>
          <w:w w:val="105"/>
        </w:rPr>
        <w:t>Victorian Government,</w:t>
      </w:r>
    </w:p>
    <w:p>
      <w:pPr>
        <w:pStyle w:val="ListParagraph"/>
        <w:numPr>
          <w:ilvl w:val="0"/>
          <w:numId w:val="226"/>
        </w:numPr>
        <w:tabs>
          <w:tab w:pos="1927" w:val="left" w:leader="none"/>
          <w:tab w:pos="1928" w:val="left" w:leader="none"/>
        </w:tabs>
        <w:spacing w:line="240" w:lineRule="auto" w:before="105" w:after="0"/>
        <w:ind w:left="1927" w:right="0" w:hanging="340"/>
        <w:jc w:val="left"/>
        <w:rPr>
          <w:sz w:val="21"/>
        </w:rPr>
      </w:pPr>
      <w:r>
        <w:rPr>
          <w:i/>
          <w:spacing w:val="-4"/>
          <w:w w:val="105"/>
          <w:sz w:val="21"/>
        </w:rPr>
        <w:t>‘Aboriginal </w:t>
      </w:r>
      <w:r>
        <w:rPr>
          <w:i/>
          <w:w w:val="105"/>
          <w:sz w:val="21"/>
        </w:rPr>
        <w:t>Scarred </w:t>
      </w:r>
      <w:r>
        <w:rPr>
          <w:i/>
          <w:spacing w:val="-4"/>
          <w:w w:val="105"/>
          <w:sz w:val="21"/>
        </w:rPr>
        <w:t>Trees’, </w:t>
      </w:r>
      <w:r>
        <w:rPr>
          <w:i/>
          <w:w w:val="105"/>
          <w:sz w:val="21"/>
        </w:rPr>
        <w:t>Aboriginal Victoria </w:t>
      </w:r>
      <w:r>
        <w:rPr>
          <w:spacing w:val="-3"/>
          <w:w w:val="105"/>
          <w:sz w:val="21"/>
        </w:rPr>
        <w:t>(Brochure, </w:t>
      </w:r>
      <w:r>
        <w:rPr>
          <w:w w:val="105"/>
          <w:sz w:val="21"/>
        </w:rPr>
        <w:t>June</w:t>
      </w:r>
      <w:r>
        <w:rPr>
          <w:spacing w:val="44"/>
          <w:w w:val="105"/>
          <w:sz w:val="21"/>
        </w:rPr>
        <w:t> </w:t>
      </w:r>
      <w:r>
        <w:rPr>
          <w:w w:val="105"/>
          <w:sz w:val="21"/>
        </w:rPr>
        <w:t>2008)</w:t>
      </w:r>
    </w:p>
    <w:p>
      <w:pPr>
        <w:pStyle w:val="BodyText"/>
        <w:spacing w:line="242" w:lineRule="auto" w:before="4"/>
        <w:ind w:left="1927" w:right="1933"/>
      </w:pPr>
      <w:r>
        <w:rPr/>
        <w:t>&lt;https://</w:t>
      </w:r>
      <w:hyperlink r:id="rId499">
        <w:r>
          <w:rPr/>
          <w:t>www.vic.gov.au/aboriginalvictoria/heritage/aboriginal-cultural-heritage-of-victoria/</w:t>
        </w:r>
      </w:hyperlink>
      <w:r>
        <w:rPr/>
        <w:t> </w:t>
      </w:r>
      <w:r>
        <w:rPr>
          <w:w w:val="105"/>
        </w:rPr>
        <w:t>aboriginal-places-objects-and-land-management.html&gt;</w:t>
      </w:r>
    </w:p>
    <w:p>
      <w:pPr>
        <w:pStyle w:val="ListParagraph"/>
        <w:numPr>
          <w:ilvl w:val="0"/>
          <w:numId w:val="226"/>
        </w:numPr>
        <w:tabs>
          <w:tab w:pos="1927" w:val="left" w:leader="none"/>
          <w:tab w:pos="1928" w:val="left" w:leader="none"/>
        </w:tabs>
        <w:spacing w:line="242" w:lineRule="auto" w:before="104" w:after="0"/>
        <w:ind w:left="1927" w:right="2325" w:hanging="340"/>
        <w:jc w:val="left"/>
        <w:rPr>
          <w:sz w:val="21"/>
        </w:rPr>
      </w:pPr>
      <w:r>
        <w:rPr>
          <w:spacing w:val="-3"/>
          <w:w w:val="105"/>
          <w:sz w:val="21"/>
        </w:rPr>
        <w:t>‘Boroondara </w:t>
      </w:r>
      <w:r>
        <w:rPr>
          <w:spacing w:val="-5"/>
          <w:w w:val="105"/>
          <w:sz w:val="21"/>
        </w:rPr>
        <w:t>City’, </w:t>
      </w:r>
      <w:r>
        <w:rPr>
          <w:i/>
          <w:w w:val="105"/>
          <w:sz w:val="21"/>
        </w:rPr>
        <w:t>Know </w:t>
      </w:r>
      <w:r>
        <w:rPr>
          <w:i/>
          <w:spacing w:val="-5"/>
          <w:w w:val="105"/>
          <w:sz w:val="21"/>
        </w:rPr>
        <w:t>Your </w:t>
      </w:r>
      <w:r>
        <w:rPr>
          <w:i/>
          <w:spacing w:val="-3"/>
          <w:w w:val="105"/>
          <w:sz w:val="21"/>
        </w:rPr>
        <w:t>Council </w:t>
      </w:r>
      <w:r>
        <w:rPr>
          <w:w w:val="105"/>
          <w:sz w:val="21"/>
        </w:rPr>
        <w:t>(Web Page) &lt;</w:t>
      </w:r>
      <w:hyperlink r:id="rId500">
        <w:r>
          <w:rPr>
            <w:w w:val="105"/>
            <w:sz w:val="21"/>
          </w:rPr>
          <w:t>http://knowyourcouncil.vic.gov.au/</w:t>
        </w:r>
      </w:hyperlink>
      <w:r>
        <w:rPr>
          <w:w w:val="105"/>
          <w:sz w:val="21"/>
        </w:rPr>
        <w:t> councils/boroondara&gt;</w:t>
      </w:r>
    </w:p>
    <w:p>
      <w:pPr>
        <w:pStyle w:val="ListParagraph"/>
        <w:numPr>
          <w:ilvl w:val="0"/>
          <w:numId w:val="226"/>
        </w:numPr>
        <w:tabs>
          <w:tab w:pos="1927" w:val="left" w:leader="none"/>
          <w:tab w:pos="1928" w:val="left" w:leader="none"/>
        </w:tabs>
        <w:spacing w:line="240" w:lineRule="auto" w:before="104" w:after="0"/>
        <w:ind w:left="1927" w:right="0" w:hanging="340"/>
        <w:jc w:val="left"/>
        <w:rPr>
          <w:i/>
          <w:sz w:val="21"/>
        </w:rPr>
      </w:pPr>
      <w:r>
        <w:rPr>
          <w:i/>
          <w:spacing w:val="-3"/>
          <w:w w:val="105"/>
          <w:sz w:val="21"/>
        </w:rPr>
        <w:t>Government</w:t>
      </w:r>
      <w:r>
        <w:rPr>
          <w:i/>
          <w:spacing w:val="4"/>
          <w:w w:val="105"/>
          <w:sz w:val="21"/>
        </w:rPr>
        <w:t> </w:t>
      </w:r>
      <w:r>
        <w:rPr>
          <w:i/>
          <w:spacing w:val="-3"/>
          <w:w w:val="105"/>
          <w:sz w:val="21"/>
        </w:rPr>
        <w:t>Response</w:t>
      </w:r>
      <w:r>
        <w:rPr>
          <w:i/>
          <w:spacing w:val="4"/>
          <w:w w:val="105"/>
          <w:sz w:val="21"/>
        </w:rPr>
        <w:t> </w:t>
      </w:r>
      <w:r>
        <w:rPr>
          <w:i/>
          <w:w w:val="105"/>
          <w:sz w:val="21"/>
        </w:rPr>
        <w:t>to</w:t>
      </w:r>
      <w:r>
        <w:rPr>
          <w:i/>
          <w:spacing w:val="5"/>
          <w:w w:val="105"/>
          <w:sz w:val="21"/>
        </w:rPr>
        <w:t> </w:t>
      </w:r>
      <w:r>
        <w:rPr>
          <w:i/>
          <w:w w:val="105"/>
          <w:sz w:val="21"/>
        </w:rPr>
        <w:t>the</w:t>
      </w:r>
      <w:r>
        <w:rPr>
          <w:i/>
          <w:spacing w:val="4"/>
          <w:w w:val="105"/>
          <w:sz w:val="21"/>
        </w:rPr>
        <w:t> </w:t>
      </w:r>
      <w:r>
        <w:rPr>
          <w:i/>
          <w:w w:val="105"/>
          <w:sz w:val="21"/>
        </w:rPr>
        <w:t>Victorian</w:t>
      </w:r>
      <w:r>
        <w:rPr>
          <w:i/>
          <w:spacing w:val="5"/>
          <w:w w:val="105"/>
          <w:sz w:val="21"/>
        </w:rPr>
        <w:t> </w:t>
      </w:r>
      <w:r>
        <w:rPr>
          <w:i/>
          <w:w w:val="105"/>
          <w:sz w:val="21"/>
        </w:rPr>
        <w:t>Law</w:t>
      </w:r>
      <w:r>
        <w:rPr>
          <w:i/>
          <w:spacing w:val="4"/>
          <w:w w:val="105"/>
          <w:sz w:val="21"/>
        </w:rPr>
        <w:t> </w:t>
      </w:r>
      <w:r>
        <w:rPr>
          <w:i/>
          <w:w w:val="105"/>
          <w:sz w:val="21"/>
        </w:rPr>
        <w:t>Reform</w:t>
      </w:r>
      <w:r>
        <w:rPr>
          <w:i/>
          <w:spacing w:val="5"/>
          <w:w w:val="105"/>
          <w:sz w:val="21"/>
        </w:rPr>
        <w:t> </w:t>
      </w:r>
      <w:r>
        <w:rPr>
          <w:i/>
          <w:w w:val="105"/>
          <w:sz w:val="21"/>
        </w:rPr>
        <w:t>Committee</w:t>
      </w:r>
      <w:r>
        <w:rPr>
          <w:i/>
          <w:spacing w:val="4"/>
          <w:w w:val="105"/>
          <w:sz w:val="21"/>
        </w:rPr>
        <w:t> </w:t>
      </w:r>
      <w:r>
        <w:rPr>
          <w:i/>
          <w:w w:val="105"/>
          <w:sz w:val="21"/>
        </w:rPr>
        <w:t>Review</w:t>
      </w:r>
      <w:r>
        <w:rPr>
          <w:i/>
          <w:spacing w:val="5"/>
          <w:w w:val="105"/>
          <w:sz w:val="21"/>
        </w:rPr>
        <w:t> </w:t>
      </w:r>
      <w:r>
        <w:rPr>
          <w:i/>
          <w:spacing w:val="-3"/>
          <w:w w:val="105"/>
          <w:sz w:val="21"/>
        </w:rPr>
        <w:t>of</w:t>
      </w:r>
      <w:r>
        <w:rPr>
          <w:i/>
          <w:spacing w:val="4"/>
          <w:w w:val="105"/>
          <w:sz w:val="21"/>
        </w:rPr>
        <w:t> </w:t>
      </w:r>
      <w:r>
        <w:rPr>
          <w:i/>
          <w:w w:val="105"/>
          <w:sz w:val="21"/>
        </w:rPr>
        <w:t>the</w:t>
      </w:r>
      <w:r>
        <w:rPr>
          <w:i/>
          <w:spacing w:val="5"/>
          <w:w w:val="105"/>
          <w:sz w:val="21"/>
        </w:rPr>
        <w:t> </w:t>
      </w:r>
      <w:r>
        <w:rPr>
          <w:i/>
          <w:w w:val="105"/>
          <w:sz w:val="21"/>
        </w:rPr>
        <w:t>Fences</w:t>
      </w:r>
      <w:r>
        <w:rPr>
          <w:i/>
          <w:spacing w:val="4"/>
          <w:w w:val="105"/>
          <w:sz w:val="21"/>
        </w:rPr>
        <w:t> </w:t>
      </w:r>
      <w:r>
        <w:rPr>
          <w:i/>
          <w:w w:val="105"/>
          <w:sz w:val="21"/>
        </w:rPr>
        <w:t>Act</w:t>
      </w:r>
      <w:r>
        <w:rPr>
          <w:i/>
          <w:spacing w:val="5"/>
          <w:w w:val="105"/>
          <w:sz w:val="21"/>
        </w:rPr>
        <w:t> </w:t>
      </w:r>
      <w:r>
        <w:rPr>
          <w:i/>
          <w:spacing w:val="-4"/>
          <w:w w:val="105"/>
          <w:sz w:val="21"/>
        </w:rPr>
        <w:t>1968</w:t>
      </w:r>
    </w:p>
    <w:p>
      <w:pPr>
        <w:pStyle w:val="BodyText"/>
        <w:spacing w:before="4"/>
        <w:ind w:left="1927"/>
      </w:pPr>
      <w:r>
        <w:rPr>
          <w:w w:val="105"/>
        </w:rPr>
        <w:t>(2001)</w:t>
      </w:r>
    </w:p>
    <w:p>
      <w:pPr>
        <w:pStyle w:val="ListParagraph"/>
        <w:numPr>
          <w:ilvl w:val="0"/>
          <w:numId w:val="226"/>
        </w:numPr>
        <w:tabs>
          <w:tab w:pos="1927" w:val="left" w:leader="none"/>
          <w:tab w:pos="1928" w:val="left" w:leader="none"/>
        </w:tabs>
        <w:spacing w:line="242" w:lineRule="auto" w:before="106" w:after="0"/>
        <w:ind w:left="1927" w:right="2055" w:hanging="340"/>
        <w:jc w:val="left"/>
        <w:rPr>
          <w:sz w:val="21"/>
        </w:rPr>
      </w:pPr>
      <w:r>
        <w:rPr>
          <w:i/>
          <w:spacing w:val="-3"/>
          <w:w w:val="105"/>
          <w:sz w:val="21"/>
        </w:rPr>
        <w:t>Guide</w:t>
      </w:r>
      <w:r>
        <w:rPr>
          <w:i/>
          <w:spacing w:val="-23"/>
          <w:w w:val="105"/>
          <w:sz w:val="21"/>
        </w:rPr>
        <w:t> </w:t>
      </w:r>
      <w:r>
        <w:rPr>
          <w:i/>
          <w:w w:val="105"/>
          <w:sz w:val="21"/>
        </w:rPr>
        <w:t>to</w:t>
      </w:r>
      <w:r>
        <w:rPr>
          <w:i/>
          <w:spacing w:val="-22"/>
          <w:w w:val="105"/>
          <w:sz w:val="21"/>
        </w:rPr>
        <w:t> </w:t>
      </w:r>
      <w:r>
        <w:rPr>
          <w:i/>
          <w:spacing w:val="-3"/>
          <w:w w:val="105"/>
          <w:sz w:val="21"/>
        </w:rPr>
        <w:t>Councils</w:t>
      </w:r>
      <w:r>
        <w:rPr>
          <w:i/>
          <w:spacing w:val="-22"/>
          <w:w w:val="105"/>
          <w:sz w:val="21"/>
        </w:rPr>
        <w:t> </w:t>
      </w:r>
      <w:r>
        <w:rPr>
          <w:w w:val="105"/>
          <w:sz w:val="21"/>
        </w:rPr>
        <w:t>(Web</w:t>
      </w:r>
      <w:r>
        <w:rPr>
          <w:spacing w:val="-22"/>
          <w:w w:val="105"/>
          <w:sz w:val="21"/>
        </w:rPr>
        <w:t> </w:t>
      </w:r>
      <w:r>
        <w:rPr>
          <w:w w:val="105"/>
          <w:sz w:val="21"/>
        </w:rPr>
        <w:t>Page)</w:t>
      </w:r>
      <w:r>
        <w:rPr>
          <w:spacing w:val="-22"/>
          <w:w w:val="105"/>
          <w:sz w:val="21"/>
        </w:rPr>
        <w:t> </w:t>
      </w:r>
      <w:r>
        <w:rPr>
          <w:w w:val="105"/>
          <w:sz w:val="21"/>
        </w:rPr>
        <w:t>&lt;</w:t>
      </w:r>
      <w:hyperlink r:id="rId501">
        <w:r>
          <w:rPr>
            <w:w w:val="105"/>
            <w:sz w:val="21"/>
          </w:rPr>
          <w:t>http://knowyourcouncil.vic.gov.au/guide-to-councils/how-</w:t>
        </w:r>
      </w:hyperlink>
      <w:r>
        <w:rPr>
          <w:w w:val="105"/>
          <w:sz w:val="21"/>
        </w:rPr>
        <w:t> councils-work/local-government-in-victoria&gt;</w:t>
      </w:r>
    </w:p>
    <w:p>
      <w:pPr>
        <w:pStyle w:val="ListParagraph"/>
        <w:numPr>
          <w:ilvl w:val="0"/>
          <w:numId w:val="226"/>
        </w:numPr>
        <w:tabs>
          <w:tab w:pos="1927" w:val="left" w:leader="none"/>
          <w:tab w:pos="1928" w:val="left" w:leader="none"/>
        </w:tabs>
        <w:spacing w:line="338" w:lineRule="auto" w:before="104" w:after="0"/>
        <w:ind w:left="1587" w:right="3248" w:firstLine="0"/>
        <w:jc w:val="left"/>
        <w:rPr>
          <w:sz w:val="21"/>
        </w:rPr>
      </w:pPr>
      <w:r>
        <w:rPr>
          <w:i/>
          <w:w w:val="105"/>
          <w:sz w:val="21"/>
        </w:rPr>
        <w:t>Know</w:t>
      </w:r>
      <w:r>
        <w:rPr>
          <w:i/>
          <w:spacing w:val="-10"/>
          <w:w w:val="105"/>
          <w:sz w:val="21"/>
        </w:rPr>
        <w:t> </w:t>
      </w:r>
      <w:r>
        <w:rPr>
          <w:i/>
          <w:spacing w:val="-5"/>
          <w:w w:val="105"/>
          <w:sz w:val="21"/>
        </w:rPr>
        <w:t>Your</w:t>
      </w:r>
      <w:r>
        <w:rPr>
          <w:i/>
          <w:spacing w:val="-10"/>
          <w:w w:val="105"/>
          <w:sz w:val="21"/>
        </w:rPr>
        <w:t> </w:t>
      </w:r>
      <w:r>
        <w:rPr>
          <w:i/>
          <w:spacing w:val="-3"/>
          <w:w w:val="105"/>
          <w:sz w:val="21"/>
        </w:rPr>
        <w:t>Council</w:t>
      </w:r>
      <w:r>
        <w:rPr>
          <w:i/>
          <w:spacing w:val="-10"/>
          <w:w w:val="105"/>
          <w:sz w:val="21"/>
        </w:rPr>
        <w:t> </w:t>
      </w:r>
      <w:r>
        <w:rPr>
          <w:w w:val="105"/>
          <w:sz w:val="21"/>
        </w:rPr>
        <w:t>(Web</w:t>
      </w:r>
      <w:r>
        <w:rPr>
          <w:spacing w:val="-10"/>
          <w:w w:val="105"/>
          <w:sz w:val="21"/>
        </w:rPr>
        <w:t> </w:t>
      </w:r>
      <w:r>
        <w:rPr>
          <w:w w:val="105"/>
          <w:sz w:val="21"/>
        </w:rPr>
        <w:t>Page)</w:t>
      </w:r>
      <w:r>
        <w:rPr>
          <w:spacing w:val="-10"/>
          <w:w w:val="105"/>
          <w:sz w:val="21"/>
        </w:rPr>
        <w:t> </w:t>
      </w:r>
      <w:r>
        <w:rPr>
          <w:w w:val="105"/>
          <w:sz w:val="21"/>
        </w:rPr>
        <w:t>&lt;https://knowyourcouncil.vic.gov.au/home&gt; Victorian Law </w:t>
      </w:r>
      <w:r>
        <w:rPr>
          <w:spacing w:val="-3"/>
          <w:w w:val="105"/>
          <w:sz w:val="21"/>
        </w:rPr>
        <w:t>Reform</w:t>
      </w:r>
      <w:r>
        <w:rPr>
          <w:spacing w:val="16"/>
          <w:w w:val="105"/>
          <w:sz w:val="21"/>
        </w:rPr>
        <w:t> </w:t>
      </w:r>
      <w:r>
        <w:rPr>
          <w:spacing w:val="-3"/>
          <w:w w:val="105"/>
          <w:sz w:val="21"/>
        </w:rPr>
        <w:t>Commission,</w:t>
      </w:r>
    </w:p>
    <w:p>
      <w:pPr>
        <w:pStyle w:val="ListParagraph"/>
        <w:numPr>
          <w:ilvl w:val="0"/>
          <w:numId w:val="226"/>
        </w:numPr>
        <w:tabs>
          <w:tab w:pos="1927" w:val="left" w:leader="none"/>
          <w:tab w:pos="1928" w:val="left" w:leader="none"/>
        </w:tabs>
        <w:spacing w:line="240" w:lineRule="auto" w:before="1" w:after="0"/>
        <w:ind w:left="1927" w:right="0" w:hanging="340"/>
        <w:jc w:val="left"/>
        <w:rPr>
          <w:sz w:val="21"/>
        </w:rPr>
      </w:pPr>
      <w:r>
        <w:rPr>
          <w:i/>
          <w:sz w:val="21"/>
        </w:rPr>
        <w:t>Civil </w:t>
      </w:r>
      <w:r>
        <w:rPr>
          <w:i/>
          <w:spacing w:val="-3"/>
          <w:sz w:val="21"/>
        </w:rPr>
        <w:t>Justice </w:t>
      </w:r>
      <w:r>
        <w:rPr>
          <w:i/>
          <w:sz w:val="21"/>
        </w:rPr>
        <w:t>Review </w:t>
      </w:r>
      <w:r>
        <w:rPr>
          <w:sz w:val="21"/>
        </w:rPr>
        <w:t>(Report No </w:t>
      </w:r>
      <w:r>
        <w:rPr>
          <w:spacing w:val="-6"/>
          <w:sz w:val="21"/>
        </w:rPr>
        <w:t>14,</w:t>
      </w:r>
      <w:r>
        <w:rPr>
          <w:spacing w:val="16"/>
          <w:sz w:val="21"/>
        </w:rPr>
        <w:t> </w:t>
      </w:r>
      <w:r>
        <w:rPr>
          <w:sz w:val="21"/>
        </w:rPr>
        <w:t>2008)</w:t>
      </w:r>
    </w:p>
    <w:p>
      <w:pPr>
        <w:pStyle w:val="ListParagraph"/>
        <w:numPr>
          <w:ilvl w:val="0"/>
          <w:numId w:val="226"/>
        </w:numPr>
        <w:tabs>
          <w:tab w:pos="1927" w:val="left" w:leader="none"/>
          <w:tab w:pos="1928" w:val="left" w:leader="none"/>
        </w:tabs>
        <w:spacing w:line="240" w:lineRule="auto" w:before="106" w:after="0"/>
        <w:ind w:left="1927" w:right="0" w:hanging="340"/>
        <w:jc w:val="left"/>
        <w:rPr>
          <w:sz w:val="21"/>
        </w:rPr>
      </w:pPr>
      <w:r>
        <w:rPr>
          <w:i/>
          <w:spacing w:val="-3"/>
          <w:w w:val="105"/>
          <w:sz w:val="21"/>
        </w:rPr>
        <w:t>Easements </w:t>
      </w:r>
      <w:r>
        <w:rPr>
          <w:i/>
          <w:w w:val="105"/>
          <w:sz w:val="21"/>
        </w:rPr>
        <w:t>and </w:t>
      </w:r>
      <w:r>
        <w:rPr>
          <w:i/>
          <w:spacing w:val="-3"/>
          <w:w w:val="105"/>
          <w:sz w:val="21"/>
        </w:rPr>
        <w:t>Covenants </w:t>
      </w:r>
      <w:r>
        <w:rPr>
          <w:w w:val="105"/>
          <w:sz w:val="21"/>
        </w:rPr>
        <w:t>(Final Report No </w:t>
      </w:r>
      <w:r>
        <w:rPr>
          <w:spacing w:val="-4"/>
          <w:w w:val="105"/>
          <w:sz w:val="21"/>
        </w:rPr>
        <w:t>22,</w:t>
      </w:r>
      <w:r>
        <w:rPr>
          <w:spacing w:val="-3"/>
          <w:w w:val="105"/>
          <w:sz w:val="21"/>
        </w:rPr>
        <w:t> </w:t>
      </w:r>
      <w:r>
        <w:rPr>
          <w:spacing w:val="-5"/>
          <w:w w:val="105"/>
          <w:sz w:val="21"/>
        </w:rPr>
        <w:t>2010)</w:t>
      </w:r>
    </w:p>
    <w:p>
      <w:pPr>
        <w:pStyle w:val="ListParagraph"/>
        <w:numPr>
          <w:ilvl w:val="0"/>
          <w:numId w:val="226"/>
        </w:numPr>
        <w:tabs>
          <w:tab w:pos="1927" w:val="left" w:leader="none"/>
          <w:tab w:pos="1928" w:val="left" w:leader="none"/>
        </w:tabs>
        <w:spacing w:line="240" w:lineRule="auto" w:before="106" w:after="0"/>
        <w:ind w:left="1927" w:right="0" w:hanging="340"/>
        <w:jc w:val="left"/>
        <w:rPr>
          <w:sz w:val="21"/>
        </w:rPr>
      </w:pPr>
      <w:r>
        <w:rPr>
          <w:i/>
          <w:spacing w:val="-3"/>
          <w:w w:val="105"/>
          <w:sz w:val="21"/>
        </w:rPr>
        <w:t>Guardianship </w:t>
      </w:r>
      <w:r>
        <w:rPr>
          <w:w w:val="105"/>
          <w:sz w:val="21"/>
        </w:rPr>
        <w:t>(Final Report </w:t>
      </w:r>
      <w:r>
        <w:rPr>
          <w:spacing w:val="-4"/>
          <w:w w:val="105"/>
          <w:sz w:val="21"/>
        </w:rPr>
        <w:t>24,</w:t>
      </w:r>
      <w:r>
        <w:rPr>
          <w:spacing w:val="24"/>
          <w:w w:val="105"/>
          <w:sz w:val="21"/>
        </w:rPr>
        <w:t> </w:t>
      </w:r>
      <w:r>
        <w:rPr>
          <w:spacing w:val="-7"/>
          <w:w w:val="105"/>
          <w:sz w:val="21"/>
        </w:rPr>
        <w:t>2012)</w:t>
      </w:r>
    </w:p>
    <w:p>
      <w:pPr>
        <w:pStyle w:val="ListParagraph"/>
        <w:numPr>
          <w:ilvl w:val="0"/>
          <w:numId w:val="226"/>
        </w:numPr>
        <w:tabs>
          <w:tab w:pos="1927" w:val="left" w:leader="none"/>
          <w:tab w:pos="1928" w:val="left" w:leader="none"/>
        </w:tabs>
        <w:spacing w:line="240" w:lineRule="auto" w:before="105" w:after="0"/>
        <w:ind w:left="1927" w:right="0" w:hanging="340"/>
        <w:jc w:val="left"/>
        <w:rPr>
          <w:sz w:val="21"/>
        </w:rPr>
      </w:pPr>
      <w:r>
        <w:rPr>
          <w:i/>
          <w:w w:val="105"/>
          <w:sz w:val="21"/>
        </w:rPr>
        <w:t>Neighbourhood </w:t>
      </w:r>
      <w:r>
        <w:rPr>
          <w:i/>
          <w:spacing w:val="-4"/>
          <w:w w:val="105"/>
          <w:sz w:val="21"/>
        </w:rPr>
        <w:t>Tree </w:t>
      </w:r>
      <w:r>
        <w:rPr>
          <w:i/>
          <w:spacing w:val="-3"/>
          <w:w w:val="105"/>
          <w:sz w:val="21"/>
        </w:rPr>
        <w:t>Disputes </w:t>
      </w:r>
      <w:r>
        <w:rPr>
          <w:i/>
          <w:w w:val="105"/>
          <w:sz w:val="21"/>
        </w:rPr>
        <w:t>Survey</w:t>
      </w:r>
      <w:r>
        <w:rPr>
          <w:i/>
          <w:spacing w:val="29"/>
          <w:w w:val="105"/>
          <w:sz w:val="21"/>
        </w:rPr>
        <w:t> </w:t>
      </w:r>
      <w:r>
        <w:rPr>
          <w:spacing w:val="-5"/>
          <w:w w:val="105"/>
          <w:sz w:val="21"/>
        </w:rPr>
        <w:t>(2018)</w:t>
      </w:r>
    </w:p>
    <w:p>
      <w:pPr>
        <w:pStyle w:val="ListParagraph"/>
        <w:numPr>
          <w:ilvl w:val="0"/>
          <w:numId w:val="226"/>
        </w:numPr>
        <w:tabs>
          <w:tab w:pos="1927" w:val="left" w:leader="none"/>
          <w:tab w:pos="1928" w:val="left" w:leader="none"/>
        </w:tabs>
        <w:spacing w:line="240" w:lineRule="auto" w:before="106" w:after="0"/>
        <w:ind w:left="1927" w:right="0" w:hanging="340"/>
        <w:jc w:val="left"/>
        <w:rPr>
          <w:sz w:val="21"/>
        </w:rPr>
      </w:pPr>
      <w:r>
        <w:rPr>
          <w:i/>
          <w:w w:val="105"/>
          <w:sz w:val="21"/>
        </w:rPr>
        <w:t>Review</w:t>
      </w:r>
      <w:r>
        <w:rPr>
          <w:i/>
          <w:spacing w:val="5"/>
          <w:w w:val="105"/>
          <w:sz w:val="21"/>
        </w:rPr>
        <w:t> </w:t>
      </w:r>
      <w:r>
        <w:rPr>
          <w:i/>
          <w:spacing w:val="-3"/>
          <w:w w:val="105"/>
          <w:sz w:val="21"/>
        </w:rPr>
        <w:t>of</w:t>
      </w:r>
      <w:r>
        <w:rPr>
          <w:i/>
          <w:spacing w:val="5"/>
          <w:w w:val="105"/>
          <w:sz w:val="21"/>
        </w:rPr>
        <w:t> </w:t>
      </w:r>
      <w:r>
        <w:rPr>
          <w:i/>
          <w:w w:val="105"/>
          <w:sz w:val="21"/>
        </w:rPr>
        <w:t>the</w:t>
      </w:r>
      <w:r>
        <w:rPr>
          <w:i/>
          <w:spacing w:val="5"/>
          <w:w w:val="105"/>
          <w:sz w:val="21"/>
        </w:rPr>
        <w:t> </w:t>
      </w:r>
      <w:r>
        <w:rPr>
          <w:i/>
          <w:w w:val="105"/>
          <w:sz w:val="21"/>
        </w:rPr>
        <w:t>Property</w:t>
      </w:r>
      <w:r>
        <w:rPr>
          <w:i/>
          <w:spacing w:val="5"/>
          <w:w w:val="105"/>
          <w:sz w:val="21"/>
        </w:rPr>
        <w:t> </w:t>
      </w:r>
      <w:r>
        <w:rPr>
          <w:i/>
          <w:w w:val="105"/>
          <w:sz w:val="21"/>
        </w:rPr>
        <w:t>Law</w:t>
      </w:r>
      <w:r>
        <w:rPr>
          <w:i/>
          <w:spacing w:val="6"/>
          <w:w w:val="105"/>
          <w:sz w:val="21"/>
        </w:rPr>
        <w:t> </w:t>
      </w:r>
      <w:r>
        <w:rPr>
          <w:i/>
          <w:w w:val="105"/>
          <w:sz w:val="21"/>
        </w:rPr>
        <w:t>Act</w:t>
      </w:r>
      <w:r>
        <w:rPr>
          <w:i/>
          <w:spacing w:val="5"/>
          <w:w w:val="105"/>
          <w:sz w:val="21"/>
        </w:rPr>
        <w:t> </w:t>
      </w:r>
      <w:r>
        <w:rPr>
          <w:i/>
          <w:spacing w:val="-6"/>
          <w:w w:val="105"/>
          <w:sz w:val="21"/>
        </w:rPr>
        <w:t>1958</w:t>
      </w:r>
      <w:r>
        <w:rPr>
          <w:i/>
          <w:spacing w:val="5"/>
          <w:w w:val="105"/>
          <w:sz w:val="21"/>
        </w:rPr>
        <w:t> </w:t>
      </w:r>
      <w:r>
        <w:rPr>
          <w:w w:val="105"/>
          <w:sz w:val="21"/>
        </w:rPr>
        <w:t>(Final</w:t>
      </w:r>
      <w:r>
        <w:rPr>
          <w:spacing w:val="5"/>
          <w:w w:val="105"/>
          <w:sz w:val="21"/>
        </w:rPr>
        <w:t> </w:t>
      </w:r>
      <w:r>
        <w:rPr>
          <w:w w:val="105"/>
          <w:sz w:val="21"/>
        </w:rPr>
        <w:t>Report</w:t>
      </w:r>
      <w:r>
        <w:rPr>
          <w:spacing w:val="6"/>
          <w:w w:val="105"/>
          <w:sz w:val="21"/>
        </w:rPr>
        <w:t> </w:t>
      </w:r>
      <w:r>
        <w:rPr>
          <w:w w:val="105"/>
          <w:sz w:val="21"/>
        </w:rPr>
        <w:t>No</w:t>
      </w:r>
      <w:r>
        <w:rPr>
          <w:spacing w:val="5"/>
          <w:w w:val="105"/>
          <w:sz w:val="21"/>
        </w:rPr>
        <w:t> </w:t>
      </w:r>
      <w:r>
        <w:rPr>
          <w:spacing w:val="-4"/>
          <w:w w:val="105"/>
          <w:sz w:val="21"/>
        </w:rPr>
        <w:t>20,</w:t>
      </w:r>
      <w:r>
        <w:rPr>
          <w:spacing w:val="5"/>
          <w:w w:val="105"/>
          <w:sz w:val="21"/>
        </w:rPr>
        <w:t> </w:t>
      </w:r>
      <w:r>
        <w:rPr>
          <w:spacing w:val="-5"/>
          <w:w w:val="105"/>
          <w:sz w:val="21"/>
        </w:rPr>
        <w:t>2010)</w:t>
      </w:r>
    </w:p>
    <w:p>
      <w:pPr>
        <w:pStyle w:val="ListParagraph"/>
        <w:numPr>
          <w:ilvl w:val="0"/>
          <w:numId w:val="226"/>
        </w:numPr>
        <w:tabs>
          <w:tab w:pos="1927" w:val="left" w:leader="none"/>
          <w:tab w:pos="1928" w:val="left" w:leader="none"/>
        </w:tabs>
        <w:spacing w:line="242" w:lineRule="auto" w:before="106" w:after="0"/>
        <w:ind w:left="1927" w:right="2063" w:hanging="340"/>
        <w:jc w:val="left"/>
        <w:rPr>
          <w:sz w:val="21"/>
        </w:rPr>
      </w:pPr>
      <w:r>
        <w:rPr>
          <w:i/>
          <w:spacing w:val="-3"/>
          <w:sz w:val="21"/>
        </w:rPr>
        <w:t>Submission </w:t>
      </w:r>
      <w:r>
        <w:rPr>
          <w:i/>
          <w:sz w:val="21"/>
        </w:rPr>
        <w:t>Policy </w:t>
      </w:r>
      <w:r>
        <w:rPr>
          <w:sz w:val="21"/>
        </w:rPr>
        <w:t>(Web Page) &lt;</w:t>
      </w:r>
      <w:hyperlink r:id="rId502">
        <w:r>
          <w:rPr>
            <w:sz w:val="21"/>
          </w:rPr>
          <w:t>www.lawreform.vic.gov.au/about-us/policies/submissions-</w:t>
        </w:r>
      </w:hyperlink>
      <w:r>
        <w:rPr>
          <w:sz w:val="21"/>
        </w:rPr>
        <w:t> </w:t>
      </w:r>
      <w:r>
        <w:rPr>
          <w:w w:val="105"/>
          <w:sz w:val="21"/>
        </w:rPr>
        <w:t>policy&gt;</w:t>
      </w:r>
    </w:p>
    <w:p>
      <w:pPr>
        <w:spacing w:line="242" w:lineRule="auto" w:before="104"/>
        <w:ind w:left="1587" w:right="1636" w:firstLine="0"/>
        <w:jc w:val="left"/>
        <w:rPr>
          <w:sz w:val="21"/>
        </w:rPr>
      </w:pPr>
      <w:r>
        <w:rPr>
          <w:w w:val="105"/>
          <w:sz w:val="21"/>
        </w:rPr>
        <w:t>Victorian </w:t>
      </w:r>
      <w:r>
        <w:rPr>
          <w:spacing w:val="-3"/>
          <w:w w:val="105"/>
          <w:sz w:val="21"/>
        </w:rPr>
        <w:t>Planning Authority, </w:t>
      </w:r>
      <w:r>
        <w:rPr>
          <w:w w:val="105"/>
          <w:sz w:val="21"/>
        </w:rPr>
        <w:t>Growth Areas </w:t>
      </w:r>
      <w:r>
        <w:rPr>
          <w:spacing w:val="-3"/>
          <w:w w:val="105"/>
          <w:sz w:val="21"/>
        </w:rPr>
        <w:t>Authority, </w:t>
      </w:r>
      <w:r>
        <w:rPr>
          <w:i/>
          <w:w w:val="105"/>
          <w:sz w:val="21"/>
        </w:rPr>
        <w:t>Growth Area Model </w:t>
      </w:r>
      <w:r>
        <w:rPr>
          <w:i/>
          <w:spacing w:val="-3"/>
          <w:w w:val="105"/>
          <w:sz w:val="21"/>
        </w:rPr>
        <w:t>Planning </w:t>
      </w:r>
      <w:r>
        <w:rPr>
          <w:i/>
          <w:w w:val="105"/>
          <w:sz w:val="21"/>
        </w:rPr>
        <w:t>Permit </w:t>
      </w:r>
      <w:r>
        <w:rPr>
          <w:i/>
          <w:w w:val="105"/>
          <w:sz w:val="21"/>
        </w:rPr>
        <w:t>Conditions—A </w:t>
      </w:r>
      <w:r>
        <w:rPr>
          <w:i/>
          <w:spacing w:val="-3"/>
          <w:w w:val="105"/>
          <w:sz w:val="21"/>
        </w:rPr>
        <w:t>Manual </w:t>
      </w:r>
      <w:r>
        <w:rPr>
          <w:i/>
          <w:w w:val="105"/>
          <w:sz w:val="21"/>
        </w:rPr>
        <w:t>for </w:t>
      </w:r>
      <w:r>
        <w:rPr>
          <w:i/>
          <w:spacing w:val="-3"/>
          <w:w w:val="105"/>
          <w:sz w:val="21"/>
        </w:rPr>
        <w:t>Implementation </w:t>
      </w:r>
      <w:r>
        <w:rPr>
          <w:w w:val="105"/>
          <w:sz w:val="21"/>
        </w:rPr>
        <w:t>(October </w:t>
      </w:r>
      <w:r>
        <w:rPr>
          <w:spacing w:val="-10"/>
          <w:w w:val="105"/>
          <w:sz w:val="21"/>
        </w:rPr>
        <w:t>2011)</w:t>
      </w:r>
    </w:p>
    <w:p>
      <w:pPr>
        <w:pStyle w:val="BodyText"/>
        <w:spacing w:line="242" w:lineRule="auto" w:before="104"/>
        <w:ind w:left="1587" w:right="2059"/>
      </w:pPr>
      <w:r>
        <w:rPr>
          <w:w w:val="105"/>
        </w:rPr>
        <w:t>Vines, </w:t>
      </w:r>
      <w:r>
        <w:rPr>
          <w:spacing w:val="-3"/>
          <w:w w:val="105"/>
        </w:rPr>
        <w:t>Prue, </w:t>
      </w:r>
      <w:r>
        <w:rPr>
          <w:w w:val="105"/>
        </w:rPr>
        <w:t>‘Negligence: </w:t>
      </w:r>
      <w:r>
        <w:rPr>
          <w:spacing w:val="-3"/>
          <w:w w:val="105"/>
        </w:rPr>
        <w:t>Introduction’ </w:t>
      </w:r>
      <w:r>
        <w:rPr>
          <w:w w:val="105"/>
        </w:rPr>
        <w:t>in </w:t>
      </w:r>
      <w:r>
        <w:rPr>
          <w:spacing w:val="-3"/>
          <w:w w:val="105"/>
        </w:rPr>
        <w:t>Carolyn </w:t>
      </w:r>
      <w:r>
        <w:rPr>
          <w:w w:val="105"/>
        </w:rPr>
        <w:t>Sappideen and Prue Vines (eds), </w:t>
      </w:r>
      <w:r>
        <w:rPr>
          <w:i/>
          <w:spacing w:val="-3"/>
          <w:w w:val="105"/>
        </w:rPr>
        <w:t>Fleming’s </w:t>
      </w:r>
      <w:r>
        <w:rPr>
          <w:i/>
          <w:w w:val="105"/>
        </w:rPr>
        <w:t>The Law </w:t>
      </w:r>
      <w:r>
        <w:rPr>
          <w:i/>
          <w:spacing w:val="-3"/>
          <w:w w:val="105"/>
        </w:rPr>
        <w:t>of </w:t>
      </w:r>
      <w:r>
        <w:rPr>
          <w:i/>
          <w:w w:val="105"/>
        </w:rPr>
        <w:t>Torts </w:t>
      </w:r>
      <w:r>
        <w:rPr>
          <w:w w:val="105"/>
        </w:rPr>
        <w:t>(Lawbook </w:t>
      </w:r>
      <w:r>
        <w:rPr>
          <w:spacing w:val="-6"/>
          <w:w w:val="105"/>
        </w:rPr>
        <w:t>Co., </w:t>
      </w:r>
      <w:r>
        <w:rPr>
          <w:spacing w:val="-3"/>
          <w:w w:val="105"/>
        </w:rPr>
        <w:t>10th </w:t>
      </w:r>
      <w:r>
        <w:rPr>
          <w:w w:val="105"/>
        </w:rPr>
        <w:t>ed, </w:t>
      </w:r>
      <w:r>
        <w:rPr>
          <w:spacing w:val="-10"/>
          <w:w w:val="105"/>
        </w:rPr>
        <w:t>2011) </w:t>
      </w:r>
      <w:r>
        <w:rPr>
          <w:spacing w:val="-13"/>
          <w:w w:val="105"/>
        </w:rPr>
        <w:t>119</w:t>
      </w:r>
    </w:p>
    <w:p>
      <w:pPr>
        <w:spacing w:line="242" w:lineRule="auto" w:before="104"/>
        <w:ind w:left="1587" w:right="1636" w:firstLine="0"/>
        <w:jc w:val="left"/>
        <w:rPr>
          <w:sz w:val="21"/>
        </w:rPr>
      </w:pPr>
      <w:r>
        <w:rPr>
          <w:spacing w:val="-3"/>
          <w:w w:val="105"/>
          <w:sz w:val="21"/>
        </w:rPr>
        <w:t>Watson, Gary, </w:t>
      </w:r>
      <w:r>
        <w:rPr>
          <w:spacing w:val="-4"/>
          <w:w w:val="105"/>
          <w:sz w:val="21"/>
        </w:rPr>
        <w:t>‘Comparing </w:t>
      </w:r>
      <w:r>
        <w:rPr>
          <w:w w:val="105"/>
          <w:sz w:val="21"/>
        </w:rPr>
        <w:t>Formula Methods of </w:t>
      </w:r>
      <w:r>
        <w:rPr>
          <w:spacing w:val="-5"/>
          <w:w w:val="105"/>
          <w:sz w:val="21"/>
        </w:rPr>
        <w:t>Tree </w:t>
      </w:r>
      <w:r>
        <w:rPr>
          <w:w w:val="105"/>
          <w:sz w:val="21"/>
        </w:rPr>
        <w:t>Appraisal’ </w:t>
      </w:r>
      <w:r>
        <w:rPr>
          <w:spacing w:val="-3"/>
          <w:w w:val="105"/>
          <w:sz w:val="21"/>
        </w:rPr>
        <w:t>(2002) </w:t>
      </w:r>
      <w:r>
        <w:rPr>
          <w:w w:val="105"/>
          <w:sz w:val="21"/>
        </w:rPr>
        <w:t>28(1) </w:t>
      </w:r>
      <w:r>
        <w:rPr>
          <w:i/>
          <w:spacing w:val="-3"/>
          <w:w w:val="105"/>
          <w:sz w:val="21"/>
        </w:rPr>
        <w:t>Journal of </w:t>
      </w:r>
      <w:r>
        <w:rPr>
          <w:i/>
          <w:w w:val="105"/>
          <w:sz w:val="21"/>
        </w:rPr>
        <w:t>Arboriculture </w:t>
      </w:r>
      <w:r>
        <w:rPr>
          <w:spacing w:val="-14"/>
          <w:w w:val="105"/>
          <w:sz w:val="21"/>
        </w:rPr>
        <w:t>14</w:t>
      </w:r>
    </w:p>
    <w:p>
      <w:pPr>
        <w:pStyle w:val="BodyText"/>
        <w:spacing w:before="104"/>
        <w:ind w:left="1587"/>
      </w:pPr>
      <w:r>
        <w:rPr>
          <w:w w:val="105"/>
        </w:rPr>
        <w:t>Westlaw AU,</w:t>
      </w:r>
    </w:p>
    <w:p>
      <w:pPr>
        <w:pStyle w:val="ListParagraph"/>
        <w:numPr>
          <w:ilvl w:val="0"/>
          <w:numId w:val="226"/>
        </w:numPr>
        <w:tabs>
          <w:tab w:pos="1927" w:val="left" w:leader="none"/>
          <w:tab w:pos="1928" w:val="left" w:leader="none"/>
        </w:tabs>
        <w:spacing w:line="240" w:lineRule="auto" w:before="106" w:after="0"/>
        <w:ind w:left="1927" w:right="0" w:hanging="340"/>
        <w:jc w:val="left"/>
        <w:rPr>
          <w:sz w:val="21"/>
        </w:rPr>
      </w:pPr>
      <w:r>
        <w:rPr>
          <w:i/>
          <w:w w:val="105"/>
          <w:sz w:val="21"/>
        </w:rPr>
        <w:t>Lawyers Practice </w:t>
      </w:r>
      <w:r>
        <w:rPr>
          <w:i/>
          <w:spacing w:val="-3"/>
          <w:w w:val="105"/>
          <w:sz w:val="21"/>
        </w:rPr>
        <w:t>Manual </w:t>
      </w:r>
      <w:r>
        <w:rPr>
          <w:i/>
          <w:w w:val="105"/>
          <w:sz w:val="21"/>
        </w:rPr>
        <w:t>Vic </w:t>
      </w:r>
      <w:r>
        <w:rPr>
          <w:w w:val="105"/>
          <w:sz w:val="21"/>
        </w:rPr>
        <w:t>(online at </w:t>
      </w:r>
      <w:r>
        <w:rPr>
          <w:spacing w:val="-12"/>
          <w:w w:val="105"/>
          <w:sz w:val="21"/>
        </w:rPr>
        <w:t>11 </w:t>
      </w:r>
      <w:r>
        <w:rPr>
          <w:w w:val="105"/>
          <w:sz w:val="21"/>
        </w:rPr>
        <w:t>June </w:t>
      </w:r>
      <w:r>
        <w:rPr>
          <w:spacing w:val="-5"/>
          <w:w w:val="105"/>
          <w:sz w:val="21"/>
        </w:rPr>
        <w:t>2019) </w:t>
      </w:r>
      <w:r>
        <w:rPr>
          <w:w w:val="105"/>
          <w:sz w:val="21"/>
        </w:rPr>
        <w:t>‘7 </w:t>
      </w:r>
      <w:r>
        <w:rPr>
          <w:spacing w:val="-3"/>
          <w:w w:val="105"/>
          <w:sz w:val="21"/>
        </w:rPr>
        <w:t>Administrative</w:t>
      </w:r>
      <w:r>
        <w:rPr>
          <w:spacing w:val="27"/>
          <w:w w:val="105"/>
          <w:sz w:val="21"/>
        </w:rPr>
        <w:t> </w:t>
      </w:r>
      <w:r>
        <w:rPr>
          <w:w w:val="105"/>
          <w:sz w:val="21"/>
        </w:rPr>
        <w:t>Law’</w:t>
      </w:r>
    </w:p>
    <w:p>
      <w:pPr>
        <w:pStyle w:val="ListParagraph"/>
        <w:numPr>
          <w:ilvl w:val="0"/>
          <w:numId w:val="226"/>
        </w:numPr>
        <w:tabs>
          <w:tab w:pos="1927" w:val="left" w:leader="none"/>
          <w:tab w:pos="1928" w:val="left" w:leader="none"/>
        </w:tabs>
        <w:spacing w:line="240" w:lineRule="auto" w:before="106" w:after="0"/>
        <w:ind w:left="1927" w:right="0" w:hanging="340"/>
        <w:jc w:val="left"/>
        <w:rPr>
          <w:sz w:val="21"/>
        </w:rPr>
      </w:pPr>
      <w:r>
        <w:rPr>
          <w:i/>
          <w:w w:val="105"/>
          <w:sz w:val="21"/>
        </w:rPr>
        <w:t>The Laws </w:t>
      </w:r>
      <w:r>
        <w:rPr>
          <w:i/>
          <w:spacing w:val="-3"/>
          <w:w w:val="105"/>
          <w:sz w:val="21"/>
        </w:rPr>
        <w:t>of Australia </w:t>
      </w:r>
      <w:r>
        <w:rPr>
          <w:w w:val="105"/>
          <w:sz w:val="21"/>
        </w:rPr>
        <w:t>(online at </w:t>
      </w:r>
      <w:r>
        <w:rPr>
          <w:spacing w:val="-12"/>
          <w:w w:val="105"/>
          <w:sz w:val="21"/>
        </w:rPr>
        <w:t>11 </w:t>
      </w:r>
      <w:r>
        <w:rPr>
          <w:w w:val="105"/>
          <w:sz w:val="21"/>
        </w:rPr>
        <w:t>June </w:t>
      </w:r>
      <w:r>
        <w:rPr>
          <w:spacing w:val="-5"/>
          <w:w w:val="105"/>
          <w:sz w:val="21"/>
        </w:rPr>
        <w:t>2019) </w:t>
      </w:r>
      <w:r>
        <w:rPr>
          <w:spacing w:val="-3"/>
          <w:w w:val="105"/>
          <w:sz w:val="21"/>
        </w:rPr>
        <w:t>33 </w:t>
      </w:r>
      <w:r>
        <w:rPr>
          <w:w w:val="105"/>
          <w:sz w:val="21"/>
        </w:rPr>
        <w:t>Torts, </w:t>
      </w:r>
      <w:r>
        <w:rPr>
          <w:spacing w:val="-3"/>
          <w:w w:val="105"/>
          <w:sz w:val="21"/>
        </w:rPr>
        <w:t>‘2</w:t>
      </w:r>
      <w:r>
        <w:rPr>
          <w:spacing w:val="2"/>
          <w:w w:val="105"/>
          <w:sz w:val="21"/>
        </w:rPr>
        <w:t> </w:t>
      </w:r>
      <w:r>
        <w:rPr>
          <w:spacing w:val="-3"/>
          <w:w w:val="105"/>
          <w:sz w:val="21"/>
        </w:rPr>
        <w:t>Negligence’</w:t>
      </w:r>
    </w:p>
    <w:p>
      <w:pPr>
        <w:pStyle w:val="ListParagraph"/>
        <w:numPr>
          <w:ilvl w:val="0"/>
          <w:numId w:val="226"/>
        </w:numPr>
        <w:tabs>
          <w:tab w:pos="1927" w:val="left" w:leader="none"/>
          <w:tab w:pos="1928" w:val="left" w:leader="none"/>
        </w:tabs>
        <w:spacing w:line="240" w:lineRule="auto" w:before="106" w:after="0"/>
        <w:ind w:left="1927" w:right="0" w:hanging="340"/>
        <w:jc w:val="left"/>
        <w:rPr>
          <w:sz w:val="21"/>
        </w:rPr>
      </w:pPr>
      <w:r>
        <w:rPr>
          <w:i/>
          <w:w w:val="105"/>
          <w:sz w:val="21"/>
        </w:rPr>
        <w:t>The Laws </w:t>
      </w:r>
      <w:r>
        <w:rPr>
          <w:i/>
          <w:spacing w:val="-3"/>
          <w:w w:val="105"/>
          <w:sz w:val="21"/>
        </w:rPr>
        <w:t>of Australia </w:t>
      </w:r>
      <w:r>
        <w:rPr>
          <w:w w:val="105"/>
          <w:sz w:val="21"/>
        </w:rPr>
        <w:t>(online at </w:t>
      </w:r>
      <w:r>
        <w:rPr>
          <w:spacing w:val="-12"/>
          <w:w w:val="105"/>
          <w:sz w:val="21"/>
        </w:rPr>
        <w:t>11 </w:t>
      </w:r>
      <w:r>
        <w:rPr>
          <w:w w:val="105"/>
          <w:sz w:val="21"/>
        </w:rPr>
        <w:t>June </w:t>
      </w:r>
      <w:r>
        <w:rPr>
          <w:spacing w:val="-5"/>
          <w:w w:val="105"/>
          <w:sz w:val="21"/>
        </w:rPr>
        <w:t>2019) </w:t>
      </w:r>
      <w:r>
        <w:rPr>
          <w:spacing w:val="-3"/>
          <w:w w:val="105"/>
          <w:sz w:val="21"/>
        </w:rPr>
        <w:t>33 </w:t>
      </w:r>
      <w:r>
        <w:rPr>
          <w:w w:val="105"/>
          <w:sz w:val="21"/>
        </w:rPr>
        <w:t>Torts, ‘7</w:t>
      </w:r>
      <w:r>
        <w:rPr>
          <w:spacing w:val="46"/>
          <w:w w:val="105"/>
          <w:sz w:val="21"/>
        </w:rPr>
        <w:t> </w:t>
      </w:r>
      <w:r>
        <w:rPr>
          <w:spacing w:val="-3"/>
          <w:w w:val="105"/>
          <w:sz w:val="21"/>
        </w:rPr>
        <w:t>Nuisance’</w:t>
      </w:r>
    </w:p>
    <w:p>
      <w:pPr>
        <w:pStyle w:val="ListParagraph"/>
        <w:numPr>
          <w:ilvl w:val="0"/>
          <w:numId w:val="226"/>
        </w:numPr>
        <w:tabs>
          <w:tab w:pos="1927" w:val="left" w:leader="none"/>
          <w:tab w:pos="1928" w:val="left" w:leader="none"/>
        </w:tabs>
        <w:spacing w:line="240" w:lineRule="auto" w:before="105" w:after="0"/>
        <w:ind w:left="1927" w:right="0" w:hanging="340"/>
        <w:jc w:val="left"/>
        <w:rPr>
          <w:sz w:val="21"/>
        </w:rPr>
      </w:pPr>
      <w:r>
        <w:rPr>
          <w:i/>
          <w:w w:val="105"/>
          <w:sz w:val="21"/>
        </w:rPr>
        <w:t>The Laws </w:t>
      </w:r>
      <w:r>
        <w:rPr>
          <w:i/>
          <w:spacing w:val="-3"/>
          <w:w w:val="105"/>
          <w:sz w:val="21"/>
        </w:rPr>
        <w:t>of Australia </w:t>
      </w:r>
      <w:r>
        <w:rPr>
          <w:w w:val="105"/>
          <w:sz w:val="21"/>
        </w:rPr>
        <w:t>(online at </w:t>
      </w:r>
      <w:r>
        <w:rPr>
          <w:spacing w:val="-12"/>
          <w:w w:val="105"/>
          <w:sz w:val="21"/>
        </w:rPr>
        <w:t>11 </w:t>
      </w:r>
      <w:r>
        <w:rPr>
          <w:w w:val="105"/>
          <w:sz w:val="21"/>
        </w:rPr>
        <w:t>June </w:t>
      </w:r>
      <w:r>
        <w:rPr>
          <w:spacing w:val="-5"/>
          <w:w w:val="105"/>
          <w:sz w:val="21"/>
        </w:rPr>
        <w:t>2019) </w:t>
      </w:r>
      <w:r>
        <w:rPr>
          <w:spacing w:val="-3"/>
          <w:w w:val="105"/>
          <w:sz w:val="21"/>
        </w:rPr>
        <w:t>33 </w:t>
      </w:r>
      <w:r>
        <w:rPr>
          <w:w w:val="105"/>
          <w:sz w:val="21"/>
        </w:rPr>
        <w:t>Torts, ‘8 </w:t>
      </w:r>
      <w:r>
        <w:rPr>
          <w:spacing w:val="-4"/>
          <w:w w:val="105"/>
          <w:sz w:val="21"/>
        </w:rPr>
        <w:t>Trespass </w:t>
      </w:r>
      <w:r>
        <w:rPr>
          <w:w w:val="105"/>
          <w:sz w:val="21"/>
        </w:rPr>
        <w:t>and </w:t>
      </w:r>
      <w:r>
        <w:rPr>
          <w:spacing w:val="-3"/>
          <w:w w:val="105"/>
          <w:sz w:val="21"/>
        </w:rPr>
        <w:t>Intentional Torts’</w:t>
      </w:r>
    </w:p>
    <w:p>
      <w:pPr>
        <w:pStyle w:val="ListParagraph"/>
        <w:numPr>
          <w:ilvl w:val="0"/>
          <w:numId w:val="226"/>
        </w:numPr>
        <w:tabs>
          <w:tab w:pos="1927" w:val="left" w:leader="none"/>
          <w:tab w:pos="1928" w:val="left" w:leader="none"/>
        </w:tabs>
        <w:spacing w:line="240" w:lineRule="auto" w:before="106" w:after="0"/>
        <w:ind w:left="1927" w:right="0" w:hanging="340"/>
        <w:jc w:val="left"/>
        <w:rPr>
          <w:sz w:val="21"/>
        </w:rPr>
      </w:pPr>
      <w:r>
        <w:rPr>
          <w:i/>
          <w:w w:val="105"/>
          <w:sz w:val="21"/>
        </w:rPr>
        <w:t>The Laws </w:t>
      </w:r>
      <w:r>
        <w:rPr>
          <w:i/>
          <w:spacing w:val="-3"/>
          <w:w w:val="105"/>
          <w:sz w:val="21"/>
        </w:rPr>
        <w:t>of Australia </w:t>
      </w:r>
      <w:r>
        <w:rPr>
          <w:w w:val="105"/>
          <w:sz w:val="21"/>
        </w:rPr>
        <w:t>(online at </w:t>
      </w:r>
      <w:r>
        <w:rPr>
          <w:spacing w:val="-12"/>
          <w:w w:val="105"/>
          <w:sz w:val="21"/>
        </w:rPr>
        <w:t>11 </w:t>
      </w:r>
      <w:r>
        <w:rPr>
          <w:w w:val="105"/>
          <w:sz w:val="21"/>
        </w:rPr>
        <w:t>June </w:t>
      </w:r>
      <w:r>
        <w:rPr>
          <w:spacing w:val="-5"/>
          <w:w w:val="105"/>
          <w:sz w:val="21"/>
        </w:rPr>
        <w:t>2019) </w:t>
      </w:r>
      <w:r>
        <w:rPr>
          <w:spacing w:val="-3"/>
          <w:w w:val="105"/>
          <w:sz w:val="21"/>
        </w:rPr>
        <w:t>33 </w:t>
      </w:r>
      <w:r>
        <w:rPr>
          <w:w w:val="105"/>
          <w:sz w:val="21"/>
        </w:rPr>
        <w:t>Torts, ‘9</w:t>
      </w:r>
      <w:r>
        <w:rPr>
          <w:spacing w:val="47"/>
          <w:w w:val="105"/>
          <w:sz w:val="21"/>
        </w:rPr>
        <w:t> </w:t>
      </w:r>
      <w:r>
        <w:rPr>
          <w:spacing w:val="-3"/>
          <w:w w:val="105"/>
          <w:sz w:val="21"/>
        </w:rPr>
        <w:t>Defences’</w:t>
      </w:r>
    </w:p>
    <w:p>
      <w:pPr>
        <w:pStyle w:val="ListParagraph"/>
        <w:numPr>
          <w:ilvl w:val="0"/>
          <w:numId w:val="226"/>
        </w:numPr>
        <w:tabs>
          <w:tab w:pos="1927" w:val="left" w:leader="none"/>
          <w:tab w:pos="1928" w:val="left" w:leader="none"/>
        </w:tabs>
        <w:spacing w:line="240" w:lineRule="auto" w:before="106" w:after="0"/>
        <w:ind w:left="1927" w:right="0" w:hanging="340"/>
        <w:jc w:val="left"/>
        <w:rPr>
          <w:sz w:val="21"/>
        </w:rPr>
      </w:pPr>
      <w:r>
        <w:rPr>
          <w:i/>
          <w:w w:val="105"/>
          <w:sz w:val="21"/>
        </w:rPr>
        <w:t>The Laws </w:t>
      </w:r>
      <w:r>
        <w:rPr>
          <w:i/>
          <w:spacing w:val="-3"/>
          <w:w w:val="105"/>
          <w:sz w:val="21"/>
        </w:rPr>
        <w:t>of Australia </w:t>
      </w:r>
      <w:r>
        <w:rPr>
          <w:w w:val="105"/>
          <w:sz w:val="21"/>
        </w:rPr>
        <w:t>(online at </w:t>
      </w:r>
      <w:r>
        <w:rPr>
          <w:spacing w:val="-12"/>
          <w:w w:val="105"/>
          <w:sz w:val="21"/>
        </w:rPr>
        <w:t>11 </w:t>
      </w:r>
      <w:r>
        <w:rPr>
          <w:w w:val="105"/>
          <w:sz w:val="21"/>
        </w:rPr>
        <w:t>June </w:t>
      </w:r>
      <w:r>
        <w:rPr>
          <w:spacing w:val="-5"/>
          <w:w w:val="105"/>
          <w:sz w:val="21"/>
        </w:rPr>
        <w:t>2019) </w:t>
      </w:r>
      <w:r>
        <w:rPr>
          <w:spacing w:val="-3"/>
          <w:w w:val="105"/>
          <w:sz w:val="21"/>
        </w:rPr>
        <w:t>33 </w:t>
      </w:r>
      <w:r>
        <w:rPr>
          <w:w w:val="105"/>
          <w:sz w:val="21"/>
        </w:rPr>
        <w:t>Torts, </w:t>
      </w:r>
      <w:r>
        <w:rPr>
          <w:spacing w:val="-8"/>
          <w:w w:val="105"/>
          <w:sz w:val="21"/>
        </w:rPr>
        <w:t>‘16</w:t>
      </w:r>
      <w:r>
        <w:rPr>
          <w:spacing w:val="-2"/>
          <w:w w:val="105"/>
          <w:sz w:val="21"/>
        </w:rPr>
        <w:t> </w:t>
      </w:r>
      <w:r>
        <w:rPr>
          <w:w w:val="105"/>
          <w:sz w:val="21"/>
        </w:rPr>
        <w:t>Possession’</w:t>
      </w:r>
    </w:p>
    <w:p>
      <w:pPr>
        <w:pStyle w:val="ListParagraph"/>
        <w:numPr>
          <w:ilvl w:val="0"/>
          <w:numId w:val="226"/>
        </w:numPr>
        <w:tabs>
          <w:tab w:pos="1927" w:val="left" w:leader="none"/>
          <w:tab w:pos="1928" w:val="left" w:leader="none"/>
        </w:tabs>
        <w:spacing w:line="240" w:lineRule="auto" w:before="105" w:after="0"/>
        <w:ind w:left="1927" w:right="0" w:hanging="340"/>
        <w:jc w:val="left"/>
        <w:rPr>
          <w:sz w:val="21"/>
        </w:rPr>
      </w:pPr>
      <w:r>
        <w:rPr>
          <w:i/>
          <w:w w:val="105"/>
          <w:sz w:val="21"/>
        </w:rPr>
        <w:t>The Laws </w:t>
      </w:r>
      <w:r>
        <w:rPr>
          <w:i/>
          <w:spacing w:val="-3"/>
          <w:w w:val="105"/>
          <w:sz w:val="21"/>
        </w:rPr>
        <w:t>of Australia </w:t>
      </w:r>
      <w:r>
        <w:rPr>
          <w:w w:val="105"/>
          <w:sz w:val="21"/>
        </w:rPr>
        <w:t>(online at </w:t>
      </w:r>
      <w:r>
        <w:rPr>
          <w:spacing w:val="-12"/>
          <w:w w:val="105"/>
          <w:sz w:val="21"/>
        </w:rPr>
        <w:t>11 </w:t>
      </w:r>
      <w:r>
        <w:rPr>
          <w:w w:val="105"/>
          <w:sz w:val="21"/>
        </w:rPr>
        <w:t>June </w:t>
      </w:r>
      <w:r>
        <w:rPr>
          <w:spacing w:val="-5"/>
          <w:w w:val="105"/>
          <w:sz w:val="21"/>
        </w:rPr>
        <w:t>2019) </w:t>
      </w:r>
      <w:r>
        <w:rPr>
          <w:spacing w:val="-3"/>
          <w:w w:val="105"/>
          <w:sz w:val="21"/>
        </w:rPr>
        <w:t>28 </w:t>
      </w:r>
      <w:r>
        <w:rPr>
          <w:w w:val="105"/>
          <w:sz w:val="21"/>
        </w:rPr>
        <w:t>Real Property, </w:t>
      </w:r>
      <w:r>
        <w:rPr>
          <w:spacing w:val="-3"/>
          <w:w w:val="105"/>
          <w:sz w:val="21"/>
        </w:rPr>
        <w:t>‘2</w:t>
      </w:r>
      <w:r>
        <w:rPr>
          <w:spacing w:val="33"/>
          <w:w w:val="105"/>
          <w:sz w:val="21"/>
        </w:rPr>
        <w:t> </w:t>
      </w:r>
      <w:r>
        <w:rPr>
          <w:w w:val="105"/>
          <w:sz w:val="21"/>
        </w:rPr>
        <w:t>Possession’</w:t>
      </w:r>
    </w:p>
    <w:p>
      <w:pPr>
        <w:pStyle w:val="ListParagraph"/>
        <w:numPr>
          <w:ilvl w:val="0"/>
          <w:numId w:val="226"/>
        </w:numPr>
        <w:tabs>
          <w:tab w:pos="1927" w:val="left" w:leader="none"/>
          <w:tab w:pos="1928" w:val="left" w:leader="none"/>
        </w:tabs>
        <w:spacing w:line="242" w:lineRule="auto" w:before="106" w:after="0"/>
        <w:ind w:left="1927" w:right="2116" w:hanging="340"/>
        <w:jc w:val="left"/>
        <w:rPr>
          <w:sz w:val="21"/>
        </w:rPr>
      </w:pPr>
      <w:r>
        <w:rPr>
          <w:spacing w:val="-8"/>
          <w:w w:val="105"/>
          <w:sz w:val="21"/>
        </w:rPr>
        <w:t>YouTube,</w:t>
      </w:r>
      <w:r>
        <w:rPr>
          <w:spacing w:val="-20"/>
          <w:w w:val="105"/>
          <w:sz w:val="21"/>
        </w:rPr>
        <w:t> </w:t>
      </w:r>
      <w:r>
        <w:rPr>
          <w:i/>
          <w:w w:val="105"/>
          <w:sz w:val="21"/>
        </w:rPr>
        <w:t>Victorian</w:t>
      </w:r>
      <w:r>
        <w:rPr>
          <w:i/>
          <w:spacing w:val="-20"/>
          <w:w w:val="105"/>
          <w:sz w:val="21"/>
        </w:rPr>
        <w:t> </w:t>
      </w:r>
      <w:r>
        <w:rPr>
          <w:i/>
          <w:w w:val="105"/>
          <w:sz w:val="21"/>
        </w:rPr>
        <w:t>Civil</w:t>
      </w:r>
      <w:r>
        <w:rPr>
          <w:i/>
          <w:spacing w:val="-20"/>
          <w:w w:val="105"/>
          <w:sz w:val="21"/>
        </w:rPr>
        <w:t> </w:t>
      </w:r>
      <w:r>
        <w:rPr>
          <w:i/>
          <w:w w:val="105"/>
          <w:sz w:val="21"/>
        </w:rPr>
        <w:t>and</w:t>
      </w:r>
      <w:r>
        <w:rPr>
          <w:i/>
          <w:spacing w:val="-20"/>
          <w:w w:val="105"/>
          <w:sz w:val="21"/>
        </w:rPr>
        <w:t> </w:t>
      </w:r>
      <w:r>
        <w:rPr>
          <w:i/>
          <w:spacing w:val="-3"/>
          <w:w w:val="105"/>
          <w:sz w:val="21"/>
        </w:rPr>
        <w:t>Administrative</w:t>
      </w:r>
      <w:r>
        <w:rPr>
          <w:i/>
          <w:spacing w:val="-20"/>
          <w:w w:val="105"/>
          <w:sz w:val="21"/>
        </w:rPr>
        <w:t> </w:t>
      </w:r>
      <w:r>
        <w:rPr>
          <w:i/>
          <w:spacing w:val="-4"/>
          <w:w w:val="105"/>
          <w:sz w:val="21"/>
        </w:rPr>
        <w:t>Tribunal</w:t>
      </w:r>
      <w:r>
        <w:rPr>
          <w:i/>
          <w:spacing w:val="-20"/>
          <w:w w:val="105"/>
          <w:sz w:val="21"/>
        </w:rPr>
        <w:t> </w:t>
      </w:r>
      <w:r>
        <w:rPr>
          <w:w w:val="105"/>
          <w:sz w:val="21"/>
        </w:rPr>
        <w:t>&lt;https://</w:t>
      </w:r>
      <w:hyperlink r:id="rId503">
        <w:r>
          <w:rPr>
            <w:w w:val="105"/>
            <w:sz w:val="21"/>
          </w:rPr>
          <w:t>www.youtube.com/channel/</w:t>
        </w:r>
      </w:hyperlink>
      <w:r>
        <w:rPr>
          <w:w w:val="105"/>
          <w:sz w:val="21"/>
        </w:rPr>
        <w:t> UCc73nMfBWIiAc0w_Gb4vAEw&gt;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before="96"/>
        <w:ind w:left="0" w:right="593" w:firstLine="0"/>
        <w:jc w:val="right"/>
        <w:rPr>
          <w:b/>
          <w:sz w:val="24"/>
        </w:rPr>
      </w:pPr>
      <w:r>
        <w:rPr>
          <w:b/>
          <w:color w:val="658464"/>
          <w:w w:val="105"/>
          <w:sz w:val="24"/>
        </w:rPr>
        <w:t>329</w:t>
      </w:r>
    </w:p>
    <w:p>
      <w:pPr>
        <w:spacing w:after="0"/>
        <w:jc w:val="right"/>
        <w:rPr>
          <w:sz w:val="24"/>
        </w:rPr>
        <w:sectPr>
          <w:pgSz w:w="11910" w:h="16840"/>
          <w:pgMar w:header="567" w:footer="0" w:top="15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7"/>
        </w:rPr>
      </w:pPr>
    </w:p>
    <w:p>
      <w:pPr>
        <w:spacing w:before="96"/>
        <w:ind w:left="720" w:right="0" w:firstLine="0"/>
        <w:jc w:val="left"/>
        <w:rPr>
          <w:b/>
          <w:sz w:val="24"/>
        </w:rPr>
      </w:pPr>
      <w:r>
        <w:rPr>
          <w:b/>
          <w:color w:val="658464"/>
          <w:w w:val="110"/>
          <w:sz w:val="24"/>
        </w:rPr>
        <w:t>330</w:t>
      </w:r>
    </w:p>
    <w:p>
      <w:pPr>
        <w:spacing w:after="0"/>
        <w:jc w:val="left"/>
        <w:rPr>
          <w:sz w:val="24"/>
        </w:rPr>
        <w:sectPr>
          <w:pgSz w:w="11910" w:h="16840"/>
          <w:pgMar w:header="546" w:footer="0" w:top="156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8"/>
        </w:rPr>
      </w:pPr>
    </w:p>
    <w:p>
      <w:pPr>
        <w:pStyle w:val="BodyText"/>
        <w:spacing w:line="20" w:lineRule="exact"/>
        <w:ind w:left="111"/>
        <w:rPr>
          <w:sz w:val="2"/>
        </w:rPr>
      </w:pPr>
      <w:r>
        <w:rPr>
          <w:sz w:val="2"/>
        </w:rPr>
        <w:pict>
          <v:group style="width:453.55pt;height:.5pt;mso-position-horizontal-relative:char;mso-position-vertical-relative:line" coordorigin="0,0" coordsize="9071,10">
            <v:line style="position:absolute" from="0,5" to="9071,5" stroked="true" strokeweight=".5pt" strokecolor="#231f20">
              <v:stroke dashstyle="solid"/>
            </v:line>
          </v:group>
        </w:pict>
      </w:r>
      <w:r>
        <w:rPr>
          <w:sz w:val="2"/>
        </w:rPr>
      </w:r>
    </w:p>
    <w:p>
      <w:pPr>
        <w:spacing w:before="84"/>
        <w:ind w:left="116" w:right="0" w:firstLine="0"/>
        <w:jc w:val="left"/>
        <w:rPr>
          <w:rFonts w:ascii="Trebuchet MS"/>
          <w:b/>
          <w:sz w:val="18"/>
        </w:rPr>
      </w:pPr>
      <w:r>
        <w:rPr>
          <w:rFonts w:ascii="Trebuchet MS"/>
          <w:b/>
          <w:color w:val="231F20"/>
          <w:sz w:val="18"/>
        </w:rPr>
        <w:t>Reports published by the Victorian Law Reform Commission</w:t>
      </w:r>
    </w:p>
    <w:p>
      <w:pPr>
        <w:pStyle w:val="BodyText"/>
        <w:spacing w:before="5"/>
        <w:rPr>
          <w:rFonts w:ascii="Trebuchet MS"/>
          <w:b/>
          <w:sz w:val="15"/>
        </w:rPr>
      </w:pPr>
    </w:p>
    <w:p>
      <w:pPr>
        <w:spacing w:after="0"/>
        <w:rPr>
          <w:rFonts w:ascii="Trebuchet MS"/>
          <w:sz w:val="15"/>
        </w:rPr>
        <w:sectPr>
          <w:headerReference w:type="default" r:id="rId504"/>
          <w:pgSz w:w="11940" w:h="16830"/>
          <w:pgMar w:header="0" w:footer="0" w:top="1600" w:bottom="280" w:left="1440" w:right="1200"/>
        </w:sectPr>
      </w:pPr>
    </w:p>
    <w:p>
      <w:pPr>
        <w:pStyle w:val="ListParagraph"/>
        <w:numPr>
          <w:ilvl w:val="0"/>
          <w:numId w:val="227"/>
        </w:numPr>
        <w:tabs>
          <w:tab w:pos="541" w:val="left" w:leader="none"/>
          <w:tab w:pos="542" w:val="left" w:leader="none"/>
        </w:tabs>
        <w:spacing w:line="244" w:lineRule="auto" w:before="90" w:after="0"/>
        <w:ind w:left="541" w:right="38" w:hanging="397"/>
        <w:jc w:val="left"/>
        <w:rPr>
          <w:rFonts w:ascii="Lucida Sans"/>
          <w:sz w:val="18"/>
        </w:rPr>
      </w:pPr>
      <w:r>
        <w:rPr>
          <w:rFonts w:ascii="Lucida Sans"/>
          <w:color w:val="231F20"/>
          <w:spacing w:val="-4"/>
          <w:w w:val="90"/>
          <w:sz w:val="18"/>
        </w:rPr>
        <w:t>Criminal</w:t>
      </w:r>
      <w:r>
        <w:rPr>
          <w:rFonts w:ascii="Lucida Sans"/>
          <w:color w:val="231F20"/>
          <w:spacing w:val="-22"/>
          <w:w w:val="90"/>
          <w:sz w:val="18"/>
        </w:rPr>
        <w:t> </w:t>
      </w:r>
      <w:r>
        <w:rPr>
          <w:rFonts w:ascii="Lucida Sans"/>
          <w:color w:val="231F20"/>
          <w:spacing w:val="-4"/>
          <w:w w:val="90"/>
          <w:sz w:val="18"/>
        </w:rPr>
        <w:t>Liability</w:t>
      </w:r>
      <w:r>
        <w:rPr>
          <w:rFonts w:ascii="Lucida Sans"/>
          <w:color w:val="231F20"/>
          <w:spacing w:val="-22"/>
          <w:w w:val="90"/>
          <w:sz w:val="18"/>
        </w:rPr>
        <w:t> </w:t>
      </w:r>
      <w:r>
        <w:rPr>
          <w:rFonts w:ascii="Lucida Sans"/>
          <w:color w:val="231F20"/>
          <w:spacing w:val="-3"/>
          <w:w w:val="90"/>
          <w:sz w:val="18"/>
        </w:rPr>
        <w:t>for</w:t>
      </w:r>
      <w:r>
        <w:rPr>
          <w:rFonts w:ascii="Lucida Sans"/>
          <w:color w:val="231F20"/>
          <w:spacing w:val="-22"/>
          <w:w w:val="90"/>
          <w:sz w:val="18"/>
        </w:rPr>
        <w:t> </w:t>
      </w:r>
      <w:r>
        <w:rPr>
          <w:rFonts w:ascii="Lucida Sans"/>
          <w:color w:val="231F20"/>
          <w:spacing w:val="-4"/>
          <w:w w:val="90"/>
          <w:sz w:val="18"/>
        </w:rPr>
        <w:t>Workplace</w:t>
      </w:r>
      <w:r>
        <w:rPr>
          <w:rFonts w:ascii="Lucida Sans"/>
          <w:color w:val="231F20"/>
          <w:spacing w:val="-22"/>
          <w:w w:val="90"/>
          <w:sz w:val="18"/>
        </w:rPr>
        <w:t> </w:t>
      </w:r>
      <w:r>
        <w:rPr>
          <w:rFonts w:ascii="Lucida Sans"/>
          <w:color w:val="231F20"/>
          <w:spacing w:val="-4"/>
          <w:w w:val="90"/>
          <w:sz w:val="18"/>
        </w:rPr>
        <w:t>Death</w:t>
      </w:r>
      <w:r>
        <w:rPr>
          <w:rFonts w:ascii="Lucida Sans"/>
          <w:color w:val="231F20"/>
          <w:spacing w:val="-22"/>
          <w:w w:val="90"/>
          <w:sz w:val="18"/>
        </w:rPr>
        <w:t> </w:t>
      </w:r>
      <w:r>
        <w:rPr>
          <w:rFonts w:ascii="Lucida Sans"/>
          <w:color w:val="231F20"/>
          <w:spacing w:val="-3"/>
          <w:w w:val="90"/>
          <w:sz w:val="18"/>
        </w:rPr>
        <w:t>and</w:t>
      </w:r>
      <w:r>
        <w:rPr>
          <w:rFonts w:ascii="Lucida Sans"/>
          <w:color w:val="231F20"/>
          <w:spacing w:val="-22"/>
          <w:w w:val="90"/>
          <w:sz w:val="18"/>
        </w:rPr>
        <w:t> </w:t>
      </w:r>
      <w:r>
        <w:rPr>
          <w:rFonts w:ascii="Lucida Sans"/>
          <w:color w:val="231F20"/>
          <w:spacing w:val="-4"/>
          <w:w w:val="90"/>
          <w:sz w:val="18"/>
        </w:rPr>
        <w:t>Serious</w:t>
      </w:r>
      <w:r>
        <w:rPr>
          <w:rFonts w:ascii="Lucida Sans"/>
          <w:color w:val="231F20"/>
          <w:spacing w:val="-22"/>
          <w:w w:val="90"/>
          <w:sz w:val="18"/>
        </w:rPr>
        <w:t> </w:t>
      </w:r>
      <w:r>
        <w:rPr>
          <w:rFonts w:ascii="Lucida Sans"/>
          <w:color w:val="231F20"/>
          <w:spacing w:val="-4"/>
          <w:w w:val="90"/>
          <w:sz w:val="18"/>
        </w:rPr>
        <w:t>Injury </w:t>
      </w:r>
      <w:r>
        <w:rPr>
          <w:rFonts w:ascii="Lucida Sans"/>
          <w:color w:val="231F20"/>
          <w:w w:val="95"/>
          <w:sz w:val="18"/>
        </w:rPr>
        <w:t>in</w:t>
      </w:r>
      <w:r>
        <w:rPr>
          <w:rFonts w:ascii="Lucida Sans"/>
          <w:color w:val="231F20"/>
          <w:spacing w:val="-15"/>
          <w:w w:val="95"/>
          <w:sz w:val="18"/>
        </w:rPr>
        <w:t> </w:t>
      </w:r>
      <w:r>
        <w:rPr>
          <w:rFonts w:ascii="Lucida Sans"/>
          <w:color w:val="231F20"/>
          <w:spacing w:val="-3"/>
          <w:w w:val="95"/>
          <w:sz w:val="18"/>
        </w:rPr>
        <w:t>the</w:t>
      </w:r>
      <w:r>
        <w:rPr>
          <w:rFonts w:ascii="Lucida Sans"/>
          <w:color w:val="231F20"/>
          <w:spacing w:val="-15"/>
          <w:w w:val="95"/>
          <w:sz w:val="18"/>
        </w:rPr>
        <w:t> </w:t>
      </w:r>
      <w:r>
        <w:rPr>
          <w:rFonts w:ascii="Lucida Sans"/>
          <w:color w:val="231F20"/>
          <w:spacing w:val="-4"/>
          <w:w w:val="95"/>
          <w:sz w:val="18"/>
        </w:rPr>
        <w:t>Public</w:t>
      </w:r>
      <w:r>
        <w:rPr>
          <w:rFonts w:ascii="Lucida Sans"/>
          <w:color w:val="231F20"/>
          <w:spacing w:val="-15"/>
          <w:w w:val="95"/>
          <w:sz w:val="18"/>
        </w:rPr>
        <w:t> </w:t>
      </w:r>
      <w:r>
        <w:rPr>
          <w:rFonts w:ascii="Lucida Sans"/>
          <w:color w:val="231F20"/>
          <w:spacing w:val="-4"/>
          <w:w w:val="95"/>
          <w:sz w:val="18"/>
        </w:rPr>
        <w:t>Sector</w:t>
      </w:r>
      <w:r>
        <w:rPr>
          <w:rFonts w:ascii="Lucida Sans"/>
          <w:color w:val="231F20"/>
          <w:spacing w:val="-15"/>
          <w:w w:val="95"/>
          <w:sz w:val="18"/>
        </w:rPr>
        <w:t> </w:t>
      </w:r>
      <w:r>
        <w:rPr>
          <w:rFonts w:ascii="Lucida Sans"/>
          <w:color w:val="231F20"/>
          <w:spacing w:val="-4"/>
          <w:w w:val="95"/>
          <w:sz w:val="18"/>
        </w:rPr>
        <w:t>(2002)</w:t>
      </w:r>
    </w:p>
    <w:p>
      <w:pPr>
        <w:pStyle w:val="ListParagraph"/>
        <w:numPr>
          <w:ilvl w:val="0"/>
          <w:numId w:val="227"/>
        </w:numPr>
        <w:tabs>
          <w:tab w:pos="541" w:val="left" w:leader="none"/>
          <w:tab w:pos="542" w:val="left" w:leader="none"/>
        </w:tabs>
        <w:spacing w:line="240" w:lineRule="auto" w:before="113" w:after="0"/>
        <w:ind w:left="541" w:right="0" w:hanging="397"/>
        <w:jc w:val="left"/>
        <w:rPr>
          <w:rFonts w:ascii="Lucida Sans"/>
          <w:sz w:val="18"/>
        </w:rPr>
      </w:pPr>
      <w:r>
        <w:rPr>
          <w:rFonts w:ascii="Lucida Sans"/>
          <w:color w:val="231F20"/>
          <w:spacing w:val="-4"/>
          <w:sz w:val="18"/>
        </w:rPr>
        <w:t>Disputes</w:t>
      </w:r>
      <w:r>
        <w:rPr>
          <w:rFonts w:ascii="Lucida Sans"/>
          <w:color w:val="231F20"/>
          <w:spacing w:val="-24"/>
          <w:sz w:val="18"/>
        </w:rPr>
        <w:t> </w:t>
      </w:r>
      <w:r>
        <w:rPr>
          <w:rFonts w:ascii="Lucida Sans"/>
          <w:color w:val="231F20"/>
          <w:spacing w:val="-4"/>
          <w:sz w:val="18"/>
        </w:rPr>
        <w:t>between</w:t>
      </w:r>
      <w:r>
        <w:rPr>
          <w:rFonts w:ascii="Lucida Sans"/>
          <w:color w:val="231F20"/>
          <w:spacing w:val="-23"/>
          <w:sz w:val="18"/>
        </w:rPr>
        <w:t> </w:t>
      </w:r>
      <w:r>
        <w:rPr>
          <w:rFonts w:ascii="Lucida Sans"/>
          <w:color w:val="231F20"/>
          <w:spacing w:val="-4"/>
          <w:sz w:val="18"/>
        </w:rPr>
        <w:t>Co-owners</w:t>
      </w:r>
      <w:r>
        <w:rPr>
          <w:rFonts w:ascii="Lucida Sans"/>
          <w:color w:val="231F20"/>
          <w:spacing w:val="-23"/>
          <w:sz w:val="18"/>
        </w:rPr>
        <w:t> </w:t>
      </w:r>
      <w:r>
        <w:rPr>
          <w:rFonts w:ascii="Lucida Sans"/>
          <w:color w:val="231F20"/>
          <w:spacing w:val="-4"/>
          <w:sz w:val="18"/>
        </w:rPr>
        <w:t>(2002)</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sz w:val="18"/>
        </w:rPr>
      </w:pPr>
      <w:r>
        <w:rPr>
          <w:rFonts w:ascii="Lucida Sans"/>
          <w:color w:val="231F20"/>
          <w:spacing w:val="-4"/>
          <w:w w:val="95"/>
          <w:sz w:val="18"/>
        </w:rPr>
        <w:t>Failure</w:t>
      </w:r>
      <w:r>
        <w:rPr>
          <w:rFonts w:ascii="Lucida Sans"/>
          <w:color w:val="231F20"/>
          <w:spacing w:val="-33"/>
          <w:w w:val="95"/>
          <w:sz w:val="18"/>
        </w:rPr>
        <w:t> </w:t>
      </w:r>
      <w:r>
        <w:rPr>
          <w:rFonts w:ascii="Lucida Sans"/>
          <w:color w:val="231F20"/>
          <w:w w:val="95"/>
          <w:sz w:val="18"/>
        </w:rPr>
        <w:t>to</w:t>
      </w:r>
      <w:r>
        <w:rPr>
          <w:rFonts w:ascii="Lucida Sans"/>
          <w:color w:val="231F20"/>
          <w:spacing w:val="-32"/>
          <w:w w:val="95"/>
          <w:sz w:val="18"/>
        </w:rPr>
        <w:t> </w:t>
      </w:r>
      <w:r>
        <w:rPr>
          <w:rFonts w:ascii="Lucida Sans"/>
          <w:color w:val="231F20"/>
          <w:spacing w:val="-4"/>
          <w:w w:val="95"/>
          <w:sz w:val="18"/>
        </w:rPr>
        <w:t>Appear</w:t>
      </w:r>
      <w:r>
        <w:rPr>
          <w:rFonts w:ascii="Lucida Sans"/>
          <w:color w:val="231F20"/>
          <w:spacing w:val="-32"/>
          <w:w w:val="95"/>
          <w:sz w:val="18"/>
        </w:rPr>
        <w:t> </w:t>
      </w:r>
      <w:r>
        <w:rPr>
          <w:rFonts w:ascii="Lucida Sans"/>
          <w:color w:val="231F20"/>
          <w:w w:val="95"/>
          <w:sz w:val="18"/>
        </w:rPr>
        <w:t>in</w:t>
      </w:r>
      <w:r>
        <w:rPr>
          <w:rFonts w:ascii="Lucida Sans"/>
          <w:color w:val="231F20"/>
          <w:spacing w:val="-32"/>
          <w:w w:val="95"/>
          <w:sz w:val="18"/>
        </w:rPr>
        <w:t> </w:t>
      </w:r>
      <w:r>
        <w:rPr>
          <w:rFonts w:ascii="Lucida Sans"/>
          <w:color w:val="231F20"/>
          <w:spacing w:val="-4"/>
          <w:w w:val="95"/>
          <w:sz w:val="18"/>
        </w:rPr>
        <w:t>Court</w:t>
      </w:r>
      <w:r>
        <w:rPr>
          <w:rFonts w:ascii="Lucida Sans"/>
          <w:color w:val="231F20"/>
          <w:spacing w:val="-32"/>
          <w:w w:val="95"/>
          <w:sz w:val="18"/>
        </w:rPr>
        <w:t> </w:t>
      </w:r>
      <w:r>
        <w:rPr>
          <w:rFonts w:ascii="Lucida Sans"/>
          <w:color w:val="231F20"/>
          <w:w w:val="95"/>
          <w:sz w:val="18"/>
        </w:rPr>
        <w:t>in</w:t>
      </w:r>
      <w:r>
        <w:rPr>
          <w:rFonts w:ascii="Lucida Sans"/>
          <w:color w:val="231F20"/>
          <w:spacing w:val="-32"/>
          <w:w w:val="95"/>
          <w:sz w:val="18"/>
        </w:rPr>
        <w:t> </w:t>
      </w:r>
      <w:r>
        <w:rPr>
          <w:rFonts w:ascii="Lucida Sans"/>
          <w:color w:val="231F20"/>
          <w:spacing w:val="-4"/>
          <w:w w:val="95"/>
          <w:sz w:val="18"/>
        </w:rPr>
        <w:t>Response</w:t>
      </w:r>
      <w:r>
        <w:rPr>
          <w:rFonts w:ascii="Lucida Sans"/>
          <w:color w:val="231F20"/>
          <w:spacing w:val="-32"/>
          <w:w w:val="95"/>
          <w:sz w:val="18"/>
        </w:rPr>
        <w:t> </w:t>
      </w:r>
      <w:r>
        <w:rPr>
          <w:rFonts w:ascii="Lucida Sans"/>
          <w:color w:val="231F20"/>
          <w:w w:val="95"/>
          <w:sz w:val="18"/>
        </w:rPr>
        <w:t>to</w:t>
      </w:r>
      <w:r>
        <w:rPr>
          <w:rFonts w:ascii="Lucida Sans"/>
          <w:color w:val="231F20"/>
          <w:spacing w:val="-32"/>
          <w:w w:val="95"/>
          <w:sz w:val="18"/>
        </w:rPr>
        <w:t> </w:t>
      </w:r>
      <w:r>
        <w:rPr>
          <w:rFonts w:ascii="Lucida Sans"/>
          <w:color w:val="231F20"/>
          <w:spacing w:val="-3"/>
          <w:w w:val="95"/>
          <w:sz w:val="18"/>
        </w:rPr>
        <w:t>Bail</w:t>
      </w:r>
      <w:r>
        <w:rPr>
          <w:rFonts w:ascii="Lucida Sans"/>
          <w:color w:val="231F20"/>
          <w:spacing w:val="-32"/>
          <w:w w:val="95"/>
          <w:sz w:val="18"/>
        </w:rPr>
        <w:t> </w:t>
      </w:r>
      <w:r>
        <w:rPr>
          <w:rFonts w:ascii="Lucida Sans"/>
          <w:color w:val="231F20"/>
          <w:spacing w:val="-4"/>
          <w:w w:val="95"/>
          <w:sz w:val="18"/>
        </w:rPr>
        <w:t>(2002)*</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sz w:val="18"/>
        </w:rPr>
      </w:pPr>
      <w:r>
        <w:rPr>
          <w:rFonts w:ascii="Lucida Sans"/>
          <w:color w:val="231F20"/>
          <w:spacing w:val="-4"/>
          <w:w w:val="95"/>
          <w:sz w:val="18"/>
        </w:rPr>
        <w:t>People</w:t>
      </w:r>
      <w:r>
        <w:rPr>
          <w:rFonts w:ascii="Lucida Sans"/>
          <w:color w:val="231F20"/>
          <w:spacing w:val="-22"/>
          <w:w w:val="95"/>
          <w:sz w:val="18"/>
        </w:rPr>
        <w:t> </w:t>
      </w:r>
      <w:r>
        <w:rPr>
          <w:rFonts w:ascii="Lucida Sans"/>
          <w:color w:val="231F20"/>
          <w:spacing w:val="-3"/>
          <w:w w:val="95"/>
          <w:sz w:val="18"/>
        </w:rPr>
        <w:t>with</w:t>
      </w:r>
      <w:r>
        <w:rPr>
          <w:rFonts w:ascii="Lucida Sans"/>
          <w:color w:val="231F20"/>
          <w:spacing w:val="-21"/>
          <w:w w:val="95"/>
          <w:sz w:val="18"/>
        </w:rPr>
        <w:t> </w:t>
      </w:r>
      <w:r>
        <w:rPr>
          <w:rFonts w:ascii="Lucida Sans"/>
          <w:color w:val="231F20"/>
          <w:spacing w:val="-4"/>
          <w:w w:val="95"/>
          <w:sz w:val="18"/>
        </w:rPr>
        <w:t>Intellectual</w:t>
      </w:r>
      <w:r>
        <w:rPr>
          <w:rFonts w:ascii="Lucida Sans"/>
          <w:color w:val="231F20"/>
          <w:spacing w:val="-22"/>
          <w:w w:val="95"/>
          <w:sz w:val="18"/>
        </w:rPr>
        <w:t> </w:t>
      </w:r>
      <w:r>
        <w:rPr>
          <w:rFonts w:ascii="Lucida Sans"/>
          <w:color w:val="231F20"/>
          <w:spacing w:val="-4"/>
          <w:w w:val="95"/>
          <w:sz w:val="18"/>
        </w:rPr>
        <w:t>Disabilities</w:t>
      </w:r>
      <w:r>
        <w:rPr>
          <w:rFonts w:ascii="Lucida Sans"/>
          <w:color w:val="231F20"/>
          <w:spacing w:val="-21"/>
          <w:w w:val="95"/>
          <w:sz w:val="18"/>
        </w:rPr>
        <w:t> </w:t>
      </w:r>
      <w:r>
        <w:rPr>
          <w:rFonts w:ascii="Lucida Sans"/>
          <w:color w:val="231F20"/>
          <w:w w:val="95"/>
          <w:sz w:val="18"/>
        </w:rPr>
        <w:t>at</w:t>
      </w:r>
      <w:r>
        <w:rPr>
          <w:rFonts w:ascii="Lucida Sans"/>
          <w:color w:val="231F20"/>
          <w:spacing w:val="-22"/>
          <w:w w:val="95"/>
          <w:sz w:val="18"/>
        </w:rPr>
        <w:t> </w:t>
      </w:r>
      <w:r>
        <w:rPr>
          <w:rFonts w:ascii="Lucida Sans"/>
          <w:color w:val="231F20"/>
          <w:spacing w:val="-4"/>
          <w:w w:val="95"/>
          <w:sz w:val="18"/>
        </w:rPr>
        <w:t>Risk:</w:t>
      </w:r>
    </w:p>
    <w:p>
      <w:pPr>
        <w:spacing w:before="4"/>
        <w:ind w:left="541" w:right="0" w:firstLine="0"/>
        <w:jc w:val="left"/>
        <w:rPr>
          <w:rFonts w:ascii="Lucida Sans"/>
          <w:sz w:val="18"/>
        </w:rPr>
      </w:pPr>
      <w:r>
        <w:rPr>
          <w:rFonts w:ascii="Lucida Sans"/>
          <w:color w:val="231F20"/>
          <w:sz w:val="18"/>
        </w:rPr>
        <w:t>A </w:t>
      </w:r>
      <w:r>
        <w:rPr>
          <w:rFonts w:ascii="Lucida Sans"/>
          <w:color w:val="231F20"/>
          <w:spacing w:val="-4"/>
          <w:sz w:val="18"/>
        </w:rPr>
        <w:t>Legal Framework </w:t>
      </w:r>
      <w:r>
        <w:rPr>
          <w:rFonts w:ascii="Lucida Sans"/>
          <w:color w:val="231F20"/>
          <w:spacing w:val="-3"/>
          <w:sz w:val="18"/>
        </w:rPr>
        <w:t>for </w:t>
      </w:r>
      <w:r>
        <w:rPr>
          <w:rFonts w:ascii="Lucida Sans"/>
          <w:color w:val="231F20"/>
          <w:spacing w:val="-4"/>
          <w:sz w:val="18"/>
        </w:rPr>
        <w:t>Compulsory Care (2003)</w:t>
      </w:r>
    </w:p>
    <w:p>
      <w:pPr>
        <w:pStyle w:val="ListParagraph"/>
        <w:numPr>
          <w:ilvl w:val="0"/>
          <w:numId w:val="227"/>
        </w:numPr>
        <w:tabs>
          <w:tab w:pos="541" w:val="left" w:leader="none"/>
          <w:tab w:pos="542" w:val="left" w:leader="none"/>
        </w:tabs>
        <w:spacing w:line="240" w:lineRule="auto" w:before="118" w:after="0"/>
        <w:ind w:left="541" w:right="0" w:hanging="397"/>
        <w:jc w:val="left"/>
        <w:rPr>
          <w:rFonts w:ascii="Lucida Sans"/>
          <w:sz w:val="18"/>
        </w:rPr>
      </w:pPr>
      <w:r>
        <w:rPr>
          <w:rFonts w:ascii="Lucida Sans"/>
          <w:color w:val="231F20"/>
          <w:spacing w:val="-4"/>
          <w:w w:val="95"/>
          <w:sz w:val="18"/>
        </w:rPr>
        <w:t>Sexual Offences</w:t>
      </w:r>
      <w:r>
        <w:rPr>
          <w:rFonts w:ascii="Lucida Sans"/>
          <w:color w:val="231F20"/>
          <w:spacing w:val="-25"/>
          <w:w w:val="95"/>
          <w:sz w:val="18"/>
        </w:rPr>
        <w:t> </w:t>
      </w:r>
      <w:r>
        <w:rPr>
          <w:rFonts w:ascii="Lucida Sans"/>
          <w:color w:val="231F20"/>
          <w:spacing w:val="-4"/>
          <w:w w:val="95"/>
          <w:sz w:val="18"/>
        </w:rPr>
        <w:t>(2004)</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sz w:val="18"/>
        </w:rPr>
      </w:pPr>
      <w:r>
        <w:rPr>
          <w:rFonts w:ascii="Lucida Sans"/>
          <w:color w:val="231F20"/>
          <w:spacing w:val="-4"/>
          <w:sz w:val="18"/>
        </w:rPr>
        <w:t>Defences</w:t>
      </w:r>
      <w:r>
        <w:rPr>
          <w:rFonts w:ascii="Lucida Sans"/>
          <w:color w:val="231F20"/>
          <w:spacing w:val="-21"/>
          <w:sz w:val="18"/>
        </w:rPr>
        <w:t> </w:t>
      </w:r>
      <w:r>
        <w:rPr>
          <w:rFonts w:ascii="Lucida Sans"/>
          <w:color w:val="231F20"/>
          <w:sz w:val="18"/>
        </w:rPr>
        <w:t>to</w:t>
      </w:r>
      <w:r>
        <w:rPr>
          <w:rFonts w:ascii="Lucida Sans"/>
          <w:color w:val="231F20"/>
          <w:spacing w:val="-21"/>
          <w:sz w:val="18"/>
        </w:rPr>
        <w:t> </w:t>
      </w:r>
      <w:r>
        <w:rPr>
          <w:rFonts w:ascii="Lucida Sans"/>
          <w:color w:val="231F20"/>
          <w:spacing w:val="-4"/>
          <w:sz w:val="18"/>
        </w:rPr>
        <w:t>Homicide</w:t>
      </w:r>
      <w:r>
        <w:rPr>
          <w:rFonts w:ascii="Lucida Sans"/>
          <w:color w:val="231F20"/>
          <w:spacing w:val="-20"/>
          <w:sz w:val="18"/>
        </w:rPr>
        <w:t> </w:t>
      </w:r>
      <w:r>
        <w:rPr>
          <w:rFonts w:ascii="Lucida Sans"/>
          <w:color w:val="231F20"/>
          <w:spacing w:val="-4"/>
          <w:sz w:val="18"/>
        </w:rPr>
        <w:t>(2004)</w:t>
      </w:r>
    </w:p>
    <w:p>
      <w:pPr>
        <w:pStyle w:val="ListParagraph"/>
        <w:numPr>
          <w:ilvl w:val="0"/>
          <w:numId w:val="227"/>
        </w:numPr>
        <w:tabs>
          <w:tab w:pos="541" w:val="left" w:leader="none"/>
          <w:tab w:pos="542" w:val="left" w:leader="none"/>
        </w:tabs>
        <w:spacing w:line="240" w:lineRule="auto" w:before="118" w:after="0"/>
        <w:ind w:left="541" w:right="0" w:hanging="397"/>
        <w:jc w:val="left"/>
        <w:rPr>
          <w:rFonts w:ascii="Lucida Sans"/>
          <w:sz w:val="18"/>
        </w:rPr>
      </w:pPr>
      <w:r>
        <w:rPr>
          <w:rFonts w:ascii="Lucida Sans"/>
          <w:color w:val="231F20"/>
          <w:spacing w:val="-4"/>
          <w:sz w:val="18"/>
        </w:rPr>
        <w:t>Workplace Privacy</w:t>
      </w:r>
      <w:r>
        <w:rPr>
          <w:rFonts w:ascii="Lucida Sans"/>
          <w:color w:val="231F20"/>
          <w:spacing w:val="-35"/>
          <w:sz w:val="18"/>
        </w:rPr>
        <w:t> </w:t>
      </w:r>
      <w:r>
        <w:rPr>
          <w:rFonts w:ascii="Lucida Sans"/>
          <w:color w:val="231F20"/>
          <w:spacing w:val="-4"/>
          <w:sz w:val="18"/>
        </w:rPr>
        <w:t>(2005)</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sz w:val="18"/>
        </w:rPr>
      </w:pPr>
      <w:r>
        <w:rPr>
          <w:rFonts w:ascii="Lucida Sans"/>
          <w:color w:val="231F20"/>
          <w:spacing w:val="-4"/>
          <w:w w:val="95"/>
          <w:sz w:val="18"/>
        </w:rPr>
        <w:t>Implementing</w:t>
      </w:r>
      <w:r>
        <w:rPr>
          <w:rFonts w:ascii="Lucida Sans"/>
          <w:color w:val="231F20"/>
          <w:spacing w:val="-34"/>
          <w:w w:val="95"/>
          <w:sz w:val="18"/>
        </w:rPr>
        <w:t> </w:t>
      </w:r>
      <w:r>
        <w:rPr>
          <w:rFonts w:ascii="Lucida Sans"/>
          <w:color w:val="231F20"/>
          <w:spacing w:val="-3"/>
          <w:w w:val="95"/>
          <w:sz w:val="18"/>
        </w:rPr>
        <w:t>the</w:t>
      </w:r>
      <w:r>
        <w:rPr>
          <w:rFonts w:ascii="Lucida Sans"/>
          <w:color w:val="231F20"/>
          <w:spacing w:val="-34"/>
          <w:w w:val="95"/>
          <w:sz w:val="18"/>
        </w:rPr>
        <w:t> </w:t>
      </w:r>
      <w:r>
        <w:rPr>
          <w:rFonts w:ascii="Lucida Sans"/>
          <w:i/>
          <w:color w:val="231F20"/>
          <w:spacing w:val="-4"/>
          <w:w w:val="95"/>
          <w:sz w:val="18"/>
        </w:rPr>
        <w:t>Uniform</w:t>
      </w:r>
      <w:r>
        <w:rPr>
          <w:rFonts w:ascii="Lucida Sans"/>
          <w:i/>
          <w:color w:val="231F20"/>
          <w:spacing w:val="-33"/>
          <w:w w:val="95"/>
          <w:sz w:val="18"/>
        </w:rPr>
        <w:t> </w:t>
      </w:r>
      <w:r>
        <w:rPr>
          <w:rFonts w:ascii="Lucida Sans"/>
          <w:i/>
          <w:color w:val="231F20"/>
          <w:spacing w:val="-4"/>
          <w:w w:val="95"/>
          <w:sz w:val="18"/>
        </w:rPr>
        <w:t>Evidence</w:t>
      </w:r>
      <w:r>
        <w:rPr>
          <w:rFonts w:ascii="Lucida Sans"/>
          <w:i/>
          <w:color w:val="231F20"/>
          <w:spacing w:val="-34"/>
          <w:w w:val="95"/>
          <w:sz w:val="18"/>
        </w:rPr>
        <w:t> </w:t>
      </w:r>
      <w:r>
        <w:rPr>
          <w:rFonts w:ascii="Lucida Sans"/>
          <w:i/>
          <w:color w:val="231F20"/>
          <w:spacing w:val="-3"/>
          <w:w w:val="95"/>
          <w:sz w:val="18"/>
        </w:rPr>
        <w:t>Act</w:t>
      </w:r>
      <w:r>
        <w:rPr>
          <w:rFonts w:ascii="Lucida Sans"/>
          <w:i/>
          <w:color w:val="231F20"/>
          <w:spacing w:val="-33"/>
          <w:w w:val="95"/>
          <w:sz w:val="18"/>
        </w:rPr>
        <w:t> </w:t>
      </w:r>
      <w:r>
        <w:rPr>
          <w:rFonts w:ascii="Lucida Sans"/>
          <w:i/>
          <w:color w:val="231F20"/>
          <w:spacing w:val="-3"/>
          <w:w w:val="95"/>
          <w:sz w:val="18"/>
        </w:rPr>
        <w:t>1995</w:t>
      </w:r>
      <w:r>
        <w:rPr>
          <w:rFonts w:ascii="Lucida Sans"/>
          <w:i/>
          <w:color w:val="231F20"/>
          <w:spacing w:val="-34"/>
          <w:w w:val="95"/>
          <w:sz w:val="18"/>
        </w:rPr>
        <w:t> </w:t>
      </w:r>
      <w:r>
        <w:rPr>
          <w:rFonts w:ascii="Lucida Sans"/>
          <w:color w:val="231F20"/>
          <w:spacing w:val="-4"/>
          <w:w w:val="95"/>
          <w:sz w:val="18"/>
        </w:rPr>
        <w:t>(2006)</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sz w:val="18"/>
        </w:rPr>
      </w:pPr>
      <w:r>
        <w:rPr>
          <w:rFonts w:ascii="Lucida Sans"/>
          <w:color w:val="231F20"/>
          <w:spacing w:val="-4"/>
          <w:sz w:val="18"/>
        </w:rPr>
        <w:t>Uniform</w:t>
      </w:r>
      <w:r>
        <w:rPr>
          <w:rFonts w:ascii="Lucida Sans"/>
          <w:color w:val="231F20"/>
          <w:spacing w:val="-21"/>
          <w:sz w:val="18"/>
        </w:rPr>
        <w:t> </w:t>
      </w:r>
      <w:r>
        <w:rPr>
          <w:rFonts w:ascii="Lucida Sans"/>
          <w:color w:val="231F20"/>
          <w:spacing w:val="-4"/>
          <w:sz w:val="18"/>
        </w:rPr>
        <w:t>Evidence</w:t>
      </w:r>
      <w:r>
        <w:rPr>
          <w:rFonts w:ascii="Lucida Sans"/>
          <w:color w:val="231F20"/>
          <w:spacing w:val="-20"/>
          <w:sz w:val="18"/>
        </w:rPr>
        <w:t> </w:t>
      </w:r>
      <w:r>
        <w:rPr>
          <w:rFonts w:ascii="Lucida Sans"/>
          <w:color w:val="231F20"/>
          <w:spacing w:val="-3"/>
          <w:sz w:val="18"/>
        </w:rPr>
        <w:t>Law</w:t>
      </w:r>
      <w:r>
        <w:rPr>
          <w:rFonts w:ascii="Lucida Sans"/>
          <w:color w:val="231F20"/>
          <w:spacing w:val="-20"/>
          <w:sz w:val="18"/>
        </w:rPr>
        <w:t> </w:t>
      </w:r>
      <w:r>
        <w:rPr>
          <w:rFonts w:ascii="Lucida Sans"/>
          <w:color w:val="231F20"/>
          <w:spacing w:val="-4"/>
          <w:sz w:val="18"/>
        </w:rPr>
        <w:t>(2006)</w:t>
      </w:r>
    </w:p>
    <w:p>
      <w:pPr>
        <w:pStyle w:val="ListParagraph"/>
        <w:numPr>
          <w:ilvl w:val="0"/>
          <w:numId w:val="227"/>
        </w:numPr>
        <w:tabs>
          <w:tab w:pos="541" w:val="left" w:leader="none"/>
          <w:tab w:pos="542" w:val="left" w:leader="none"/>
        </w:tabs>
        <w:spacing w:line="240" w:lineRule="auto" w:before="118" w:after="0"/>
        <w:ind w:left="541" w:right="0" w:hanging="397"/>
        <w:jc w:val="left"/>
        <w:rPr>
          <w:rFonts w:ascii="Lucida Sans"/>
          <w:sz w:val="18"/>
        </w:rPr>
      </w:pPr>
      <w:r>
        <w:rPr>
          <w:rFonts w:ascii="Lucida Sans"/>
          <w:color w:val="231F20"/>
          <w:spacing w:val="-4"/>
          <w:w w:val="90"/>
          <w:sz w:val="18"/>
        </w:rPr>
        <w:t>Review</w:t>
      </w:r>
      <w:r>
        <w:rPr>
          <w:rFonts w:ascii="Lucida Sans"/>
          <w:color w:val="231F20"/>
          <w:spacing w:val="-19"/>
          <w:w w:val="90"/>
          <w:sz w:val="18"/>
        </w:rPr>
        <w:t> </w:t>
      </w:r>
      <w:r>
        <w:rPr>
          <w:rFonts w:ascii="Lucida Sans"/>
          <w:color w:val="231F20"/>
          <w:w w:val="90"/>
          <w:sz w:val="18"/>
        </w:rPr>
        <w:t>of</w:t>
      </w:r>
      <w:r>
        <w:rPr>
          <w:rFonts w:ascii="Lucida Sans"/>
          <w:color w:val="231F20"/>
          <w:spacing w:val="-18"/>
          <w:w w:val="90"/>
          <w:sz w:val="18"/>
        </w:rPr>
        <w:t> </w:t>
      </w:r>
      <w:r>
        <w:rPr>
          <w:rFonts w:ascii="Lucida Sans"/>
          <w:color w:val="231F20"/>
          <w:spacing w:val="-4"/>
          <w:w w:val="90"/>
          <w:sz w:val="18"/>
        </w:rPr>
        <w:t>Family</w:t>
      </w:r>
      <w:r>
        <w:rPr>
          <w:rFonts w:ascii="Lucida Sans"/>
          <w:color w:val="231F20"/>
          <w:spacing w:val="-19"/>
          <w:w w:val="90"/>
          <w:sz w:val="18"/>
        </w:rPr>
        <w:t> </w:t>
      </w:r>
      <w:r>
        <w:rPr>
          <w:rFonts w:ascii="Lucida Sans"/>
          <w:color w:val="231F20"/>
          <w:spacing w:val="-4"/>
          <w:w w:val="90"/>
          <w:sz w:val="18"/>
        </w:rPr>
        <w:t>Violence</w:t>
      </w:r>
      <w:r>
        <w:rPr>
          <w:rFonts w:ascii="Lucida Sans"/>
          <w:color w:val="231F20"/>
          <w:spacing w:val="-18"/>
          <w:w w:val="90"/>
          <w:sz w:val="18"/>
        </w:rPr>
        <w:t> </w:t>
      </w:r>
      <w:r>
        <w:rPr>
          <w:rFonts w:ascii="Lucida Sans"/>
          <w:color w:val="231F20"/>
          <w:spacing w:val="-3"/>
          <w:w w:val="90"/>
          <w:sz w:val="18"/>
        </w:rPr>
        <w:t>Laws</w:t>
      </w:r>
      <w:r>
        <w:rPr>
          <w:rFonts w:ascii="Lucida Sans"/>
          <w:color w:val="231F20"/>
          <w:spacing w:val="-19"/>
          <w:w w:val="90"/>
          <w:sz w:val="18"/>
        </w:rPr>
        <w:t> </w:t>
      </w:r>
      <w:r>
        <w:rPr>
          <w:rFonts w:ascii="Lucida Sans"/>
          <w:color w:val="231F20"/>
          <w:spacing w:val="-4"/>
          <w:w w:val="90"/>
          <w:sz w:val="18"/>
        </w:rPr>
        <w:t>(2006)</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sz w:val="18"/>
        </w:rPr>
      </w:pPr>
      <w:r>
        <w:rPr>
          <w:rFonts w:ascii="Lucida Sans"/>
          <w:color w:val="231F20"/>
          <w:spacing w:val="-4"/>
          <w:w w:val="90"/>
          <w:sz w:val="18"/>
        </w:rPr>
        <w:t>Residential</w:t>
      </w:r>
      <w:r>
        <w:rPr>
          <w:rFonts w:ascii="Lucida Sans"/>
          <w:color w:val="231F20"/>
          <w:spacing w:val="-32"/>
          <w:w w:val="90"/>
          <w:sz w:val="18"/>
        </w:rPr>
        <w:t> </w:t>
      </w:r>
      <w:r>
        <w:rPr>
          <w:rFonts w:ascii="Lucida Sans"/>
          <w:color w:val="231F20"/>
          <w:spacing w:val="-7"/>
          <w:w w:val="90"/>
          <w:sz w:val="18"/>
        </w:rPr>
        <w:t>Tenancy</w:t>
      </w:r>
      <w:r>
        <w:rPr>
          <w:rFonts w:ascii="Lucida Sans"/>
          <w:color w:val="231F20"/>
          <w:spacing w:val="-32"/>
          <w:w w:val="90"/>
          <w:sz w:val="18"/>
        </w:rPr>
        <w:t> </w:t>
      </w:r>
      <w:r>
        <w:rPr>
          <w:rFonts w:ascii="Lucida Sans"/>
          <w:color w:val="231F20"/>
          <w:spacing w:val="-4"/>
          <w:w w:val="90"/>
          <w:sz w:val="18"/>
        </w:rPr>
        <w:t>Databases</w:t>
      </w:r>
      <w:r>
        <w:rPr>
          <w:rFonts w:ascii="Lucida Sans"/>
          <w:color w:val="231F20"/>
          <w:spacing w:val="-31"/>
          <w:w w:val="90"/>
          <w:sz w:val="18"/>
        </w:rPr>
        <w:t> </w:t>
      </w:r>
      <w:r>
        <w:rPr>
          <w:rFonts w:ascii="Lucida Sans"/>
          <w:color w:val="231F20"/>
          <w:spacing w:val="-4"/>
          <w:w w:val="90"/>
          <w:sz w:val="18"/>
        </w:rPr>
        <w:t>(2006)*</w:t>
      </w:r>
    </w:p>
    <w:p>
      <w:pPr>
        <w:pStyle w:val="ListParagraph"/>
        <w:numPr>
          <w:ilvl w:val="0"/>
          <w:numId w:val="227"/>
        </w:numPr>
        <w:tabs>
          <w:tab w:pos="541" w:val="left" w:leader="none"/>
          <w:tab w:pos="542" w:val="left" w:leader="none"/>
        </w:tabs>
        <w:spacing w:line="240" w:lineRule="auto" w:before="118" w:after="0"/>
        <w:ind w:left="541" w:right="0" w:hanging="397"/>
        <w:jc w:val="left"/>
        <w:rPr>
          <w:rFonts w:ascii="Lucida Sans"/>
          <w:sz w:val="18"/>
        </w:rPr>
      </w:pPr>
      <w:r>
        <w:rPr>
          <w:rFonts w:ascii="Lucida Sans"/>
          <w:color w:val="231F20"/>
          <w:spacing w:val="-4"/>
          <w:w w:val="90"/>
          <w:sz w:val="18"/>
        </w:rPr>
        <w:t>Assisted</w:t>
      </w:r>
      <w:r>
        <w:rPr>
          <w:rFonts w:ascii="Lucida Sans"/>
          <w:color w:val="231F20"/>
          <w:spacing w:val="-23"/>
          <w:w w:val="90"/>
          <w:sz w:val="18"/>
        </w:rPr>
        <w:t> </w:t>
      </w:r>
      <w:r>
        <w:rPr>
          <w:rFonts w:ascii="Lucida Sans"/>
          <w:color w:val="231F20"/>
          <w:spacing w:val="-4"/>
          <w:w w:val="90"/>
          <w:sz w:val="18"/>
        </w:rPr>
        <w:t>Reproductive</w:t>
      </w:r>
      <w:r>
        <w:rPr>
          <w:rFonts w:ascii="Lucida Sans"/>
          <w:color w:val="231F20"/>
          <w:spacing w:val="-22"/>
          <w:w w:val="90"/>
          <w:sz w:val="18"/>
        </w:rPr>
        <w:t> </w:t>
      </w:r>
      <w:r>
        <w:rPr>
          <w:rFonts w:ascii="Lucida Sans"/>
          <w:color w:val="231F20"/>
          <w:spacing w:val="-6"/>
          <w:w w:val="90"/>
          <w:sz w:val="18"/>
        </w:rPr>
        <w:t>Technology</w:t>
      </w:r>
      <w:r>
        <w:rPr>
          <w:rFonts w:ascii="Lucida Sans"/>
          <w:color w:val="231F20"/>
          <w:spacing w:val="-22"/>
          <w:w w:val="90"/>
          <w:sz w:val="18"/>
        </w:rPr>
        <w:t> </w:t>
      </w:r>
      <w:r>
        <w:rPr>
          <w:rFonts w:ascii="Lucida Sans"/>
          <w:color w:val="231F20"/>
          <w:spacing w:val="-3"/>
          <w:w w:val="90"/>
          <w:sz w:val="18"/>
        </w:rPr>
        <w:t>and</w:t>
      </w:r>
      <w:r>
        <w:rPr>
          <w:rFonts w:ascii="Lucida Sans"/>
          <w:color w:val="231F20"/>
          <w:spacing w:val="-23"/>
          <w:w w:val="90"/>
          <w:sz w:val="18"/>
        </w:rPr>
        <w:t> </w:t>
      </w:r>
      <w:r>
        <w:rPr>
          <w:rFonts w:ascii="Lucida Sans"/>
          <w:color w:val="231F20"/>
          <w:spacing w:val="-4"/>
          <w:w w:val="90"/>
          <w:sz w:val="18"/>
        </w:rPr>
        <w:t>Adoption</w:t>
      </w:r>
      <w:r>
        <w:rPr>
          <w:rFonts w:ascii="Lucida Sans"/>
          <w:color w:val="231F20"/>
          <w:spacing w:val="-22"/>
          <w:w w:val="90"/>
          <w:sz w:val="18"/>
        </w:rPr>
        <w:t> </w:t>
      </w:r>
      <w:r>
        <w:rPr>
          <w:rFonts w:ascii="Lucida Sans"/>
          <w:color w:val="231F20"/>
          <w:spacing w:val="-4"/>
          <w:w w:val="90"/>
          <w:sz w:val="18"/>
        </w:rPr>
        <w:t>(2007)</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sz w:val="18"/>
        </w:rPr>
      </w:pPr>
      <w:r>
        <w:rPr>
          <w:rFonts w:ascii="Lucida Sans"/>
          <w:color w:val="231F20"/>
          <w:spacing w:val="-4"/>
          <w:sz w:val="18"/>
        </w:rPr>
        <w:t>Review</w:t>
      </w:r>
      <w:r>
        <w:rPr>
          <w:rFonts w:ascii="Lucida Sans"/>
          <w:color w:val="231F20"/>
          <w:spacing w:val="-22"/>
          <w:sz w:val="18"/>
        </w:rPr>
        <w:t> </w:t>
      </w:r>
      <w:r>
        <w:rPr>
          <w:rFonts w:ascii="Lucida Sans"/>
          <w:color w:val="231F20"/>
          <w:sz w:val="18"/>
        </w:rPr>
        <w:t>of</w:t>
      </w:r>
      <w:r>
        <w:rPr>
          <w:rFonts w:ascii="Lucida Sans"/>
          <w:color w:val="231F20"/>
          <w:spacing w:val="-22"/>
          <w:sz w:val="18"/>
        </w:rPr>
        <w:t> </w:t>
      </w:r>
      <w:r>
        <w:rPr>
          <w:rFonts w:ascii="Lucida Sans"/>
          <w:color w:val="231F20"/>
          <w:spacing w:val="-3"/>
          <w:sz w:val="18"/>
        </w:rPr>
        <w:t>the</w:t>
      </w:r>
      <w:r>
        <w:rPr>
          <w:rFonts w:ascii="Lucida Sans"/>
          <w:color w:val="231F20"/>
          <w:spacing w:val="-22"/>
          <w:sz w:val="18"/>
        </w:rPr>
        <w:t> </w:t>
      </w:r>
      <w:r>
        <w:rPr>
          <w:rFonts w:ascii="Lucida Sans"/>
          <w:i/>
          <w:color w:val="231F20"/>
          <w:spacing w:val="-3"/>
          <w:sz w:val="18"/>
        </w:rPr>
        <w:t>Bail</w:t>
      </w:r>
      <w:r>
        <w:rPr>
          <w:rFonts w:ascii="Lucida Sans"/>
          <w:i/>
          <w:color w:val="231F20"/>
          <w:spacing w:val="-22"/>
          <w:sz w:val="18"/>
        </w:rPr>
        <w:t> </w:t>
      </w:r>
      <w:r>
        <w:rPr>
          <w:rFonts w:ascii="Lucida Sans"/>
          <w:i/>
          <w:color w:val="231F20"/>
          <w:spacing w:val="-3"/>
          <w:sz w:val="18"/>
        </w:rPr>
        <w:t>Act</w:t>
      </w:r>
      <w:r>
        <w:rPr>
          <w:rFonts w:ascii="Lucida Sans"/>
          <w:i/>
          <w:color w:val="231F20"/>
          <w:spacing w:val="-22"/>
          <w:sz w:val="18"/>
        </w:rPr>
        <w:t> </w:t>
      </w:r>
      <w:r>
        <w:rPr>
          <w:rFonts w:ascii="Lucida Sans"/>
          <w:i/>
          <w:color w:val="231F20"/>
          <w:spacing w:val="-3"/>
          <w:sz w:val="18"/>
        </w:rPr>
        <w:t>1997</w:t>
      </w:r>
      <w:r>
        <w:rPr>
          <w:rFonts w:ascii="Lucida Sans"/>
          <w:i/>
          <w:color w:val="231F20"/>
          <w:spacing w:val="-22"/>
          <w:sz w:val="18"/>
        </w:rPr>
        <w:t> </w:t>
      </w:r>
      <w:r>
        <w:rPr>
          <w:rFonts w:ascii="Lucida Sans"/>
          <w:color w:val="231F20"/>
          <w:spacing w:val="-4"/>
          <w:sz w:val="18"/>
        </w:rPr>
        <w:t>(2007)</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sz w:val="18"/>
        </w:rPr>
      </w:pPr>
      <w:r>
        <w:rPr>
          <w:rFonts w:ascii="Lucida Sans"/>
          <w:color w:val="231F20"/>
          <w:spacing w:val="-4"/>
          <w:sz w:val="18"/>
        </w:rPr>
        <w:t>Civil</w:t>
      </w:r>
      <w:r>
        <w:rPr>
          <w:rFonts w:ascii="Lucida Sans"/>
          <w:color w:val="231F20"/>
          <w:spacing w:val="-20"/>
          <w:sz w:val="18"/>
        </w:rPr>
        <w:t> </w:t>
      </w:r>
      <w:r>
        <w:rPr>
          <w:rFonts w:ascii="Lucida Sans"/>
          <w:color w:val="231F20"/>
          <w:spacing w:val="-4"/>
          <w:sz w:val="18"/>
        </w:rPr>
        <w:t>Justice</w:t>
      </w:r>
      <w:r>
        <w:rPr>
          <w:rFonts w:ascii="Lucida Sans"/>
          <w:color w:val="231F20"/>
          <w:spacing w:val="-19"/>
          <w:sz w:val="18"/>
        </w:rPr>
        <w:t> </w:t>
      </w:r>
      <w:r>
        <w:rPr>
          <w:rFonts w:ascii="Lucida Sans"/>
          <w:color w:val="231F20"/>
          <w:spacing w:val="-4"/>
          <w:sz w:val="18"/>
        </w:rPr>
        <w:t>Review</w:t>
      </w:r>
      <w:r>
        <w:rPr>
          <w:rFonts w:ascii="Lucida Sans"/>
          <w:color w:val="231F20"/>
          <w:spacing w:val="-19"/>
          <w:sz w:val="18"/>
        </w:rPr>
        <w:t> </w:t>
      </w:r>
      <w:r>
        <w:rPr>
          <w:rFonts w:ascii="Lucida Sans"/>
          <w:color w:val="231F20"/>
          <w:spacing w:val="-4"/>
          <w:sz w:val="18"/>
        </w:rPr>
        <w:t>(2008)</w:t>
      </w:r>
    </w:p>
    <w:p>
      <w:pPr>
        <w:pStyle w:val="ListParagraph"/>
        <w:numPr>
          <w:ilvl w:val="0"/>
          <w:numId w:val="227"/>
        </w:numPr>
        <w:tabs>
          <w:tab w:pos="541" w:val="left" w:leader="none"/>
          <w:tab w:pos="542" w:val="left" w:leader="none"/>
        </w:tabs>
        <w:spacing w:line="240" w:lineRule="auto" w:before="118" w:after="0"/>
        <w:ind w:left="541" w:right="0" w:hanging="397"/>
        <w:jc w:val="left"/>
        <w:rPr>
          <w:rFonts w:ascii="Lucida Sans"/>
          <w:sz w:val="18"/>
        </w:rPr>
      </w:pPr>
      <w:r>
        <w:rPr>
          <w:rFonts w:ascii="Lucida Sans"/>
          <w:color w:val="231F20"/>
          <w:spacing w:val="-3"/>
          <w:sz w:val="18"/>
        </w:rPr>
        <w:t>Law</w:t>
      </w:r>
      <w:r>
        <w:rPr>
          <w:rFonts w:ascii="Lucida Sans"/>
          <w:color w:val="231F20"/>
          <w:spacing w:val="-19"/>
          <w:sz w:val="18"/>
        </w:rPr>
        <w:t> </w:t>
      </w:r>
      <w:r>
        <w:rPr>
          <w:rFonts w:ascii="Lucida Sans"/>
          <w:color w:val="231F20"/>
          <w:sz w:val="18"/>
        </w:rPr>
        <w:t>of</w:t>
      </w:r>
      <w:r>
        <w:rPr>
          <w:rFonts w:ascii="Lucida Sans"/>
          <w:color w:val="231F20"/>
          <w:spacing w:val="-18"/>
          <w:sz w:val="18"/>
        </w:rPr>
        <w:t> </w:t>
      </w:r>
      <w:r>
        <w:rPr>
          <w:rFonts w:ascii="Lucida Sans"/>
          <w:color w:val="231F20"/>
          <w:spacing w:val="-4"/>
          <w:sz w:val="18"/>
        </w:rPr>
        <w:t>Abortion</w:t>
      </w:r>
      <w:r>
        <w:rPr>
          <w:rFonts w:ascii="Lucida Sans"/>
          <w:color w:val="231F20"/>
          <w:spacing w:val="-18"/>
          <w:sz w:val="18"/>
        </w:rPr>
        <w:t> </w:t>
      </w:r>
      <w:r>
        <w:rPr>
          <w:rFonts w:ascii="Lucida Sans"/>
          <w:color w:val="231F20"/>
          <w:spacing w:val="-4"/>
          <w:sz w:val="18"/>
        </w:rPr>
        <w:t>(2008)</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sz w:val="18"/>
        </w:rPr>
      </w:pPr>
      <w:r>
        <w:rPr>
          <w:rFonts w:ascii="Lucida Sans"/>
          <w:color w:val="231F20"/>
          <w:spacing w:val="-4"/>
          <w:sz w:val="18"/>
        </w:rPr>
        <w:t>Assistance Animals</w:t>
      </w:r>
      <w:r>
        <w:rPr>
          <w:rFonts w:ascii="Lucida Sans"/>
          <w:color w:val="231F20"/>
          <w:spacing w:val="-37"/>
          <w:sz w:val="18"/>
        </w:rPr>
        <w:t> </w:t>
      </w:r>
      <w:r>
        <w:rPr>
          <w:rFonts w:ascii="Lucida Sans"/>
          <w:color w:val="231F20"/>
          <w:spacing w:val="-4"/>
          <w:sz w:val="18"/>
        </w:rPr>
        <w:t>(2008)*</w:t>
      </w:r>
    </w:p>
    <w:p>
      <w:pPr>
        <w:pStyle w:val="ListParagraph"/>
        <w:numPr>
          <w:ilvl w:val="0"/>
          <w:numId w:val="227"/>
        </w:numPr>
        <w:tabs>
          <w:tab w:pos="541" w:val="left" w:leader="none"/>
          <w:tab w:pos="542" w:val="left" w:leader="none"/>
        </w:tabs>
        <w:spacing w:line="240" w:lineRule="auto" w:before="118" w:after="0"/>
        <w:ind w:left="541" w:right="0" w:hanging="397"/>
        <w:jc w:val="left"/>
        <w:rPr>
          <w:rFonts w:ascii="Lucida Sans"/>
          <w:sz w:val="18"/>
        </w:rPr>
      </w:pPr>
      <w:r>
        <w:rPr>
          <w:rFonts w:ascii="Lucida Sans"/>
          <w:color w:val="231F20"/>
          <w:spacing w:val="-3"/>
          <w:sz w:val="18"/>
        </w:rPr>
        <w:t>Jury </w:t>
      </w:r>
      <w:r>
        <w:rPr>
          <w:rFonts w:ascii="Lucida Sans"/>
          <w:color w:val="231F20"/>
          <w:spacing w:val="-4"/>
          <w:sz w:val="18"/>
        </w:rPr>
        <w:t>Directions</w:t>
      </w:r>
      <w:r>
        <w:rPr>
          <w:rFonts w:ascii="Lucida Sans"/>
          <w:color w:val="231F20"/>
          <w:spacing w:val="-35"/>
          <w:sz w:val="18"/>
        </w:rPr>
        <w:t> </w:t>
      </w:r>
      <w:r>
        <w:rPr>
          <w:rFonts w:ascii="Lucida Sans"/>
          <w:color w:val="231F20"/>
          <w:spacing w:val="-4"/>
          <w:sz w:val="18"/>
        </w:rPr>
        <w:t>(2009)</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sz w:val="18"/>
        </w:rPr>
      </w:pPr>
      <w:r>
        <w:rPr>
          <w:rFonts w:ascii="Lucida Sans"/>
          <w:color w:val="231F20"/>
          <w:spacing w:val="-4"/>
          <w:w w:val="95"/>
          <w:sz w:val="18"/>
        </w:rPr>
        <w:t>Surveillance</w:t>
      </w:r>
      <w:r>
        <w:rPr>
          <w:rFonts w:ascii="Lucida Sans"/>
          <w:color w:val="231F20"/>
          <w:spacing w:val="-18"/>
          <w:w w:val="95"/>
          <w:sz w:val="18"/>
        </w:rPr>
        <w:t> </w:t>
      </w:r>
      <w:r>
        <w:rPr>
          <w:rFonts w:ascii="Lucida Sans"/>
          <w:color w:val="231F20"/>
          <w:w w:val="95"/>
          <w:sz w:val="18"/>
        </w:rPr>
        <w:t>in</w:t>
      </w:r>
      <w:r>
        <w:rPr>
          <w:rFonts w:ascii="Lucida Sans"/>
          <w:color w:val="231F20"/>
          <w:spacing w:val="-17"/>
          <w:w w:val="95"/>
          <w:sz w:val="18"/>
        </w:rPr>
        <w:t> </w:t>
      </w:r>
      <w:r>
        <w:rPr>
          <w:rFonts w:ascii="Lucida Sans"/>
          <w:color w:val="231F20"/>
          <w:spacing w:val="-4"/>
          <w:w w:val="95"/>
          <w:sz w:val="18"/>
        </w:rPr>
        <w:t>Public</w:t>
      </w:r>
      <w:r>
        <w:rPr>
          <w:rFonts w:ascii="Lucida Sans"/>
          <w:color w:val="231F20"/>
          <w:spacing w:val="-18"/>
          <w:w w:val="95"/>
          <w:sz w:val="18"/>
        </w:rPr>
        <w:t> </w:t>
      </w:r>
      <w:r>
        <w:rPr>
          <w:rFonts w:ascii="Lucida Sans"/>
          <w:color w:val="231F20"/>
          <w:spacing w:val="-4"/>
          <w:w w:val="95"/>
          <w:sz w:val="18"/>
        </w:rPr>
        <w:t>Places</w:t>
      </w:r>
      <w:r>
        <w:rPr>
          <w:rFonts w:ascii="Lucida Sans"/>
          <w:color w:val="231F20"/>
          <w:spacing w:val="-17"/>
          <w:w w:val="95"/>
          <w:sz w:val="18"/>
        </w:rPr>
        <w:t> </w:t>
      </w:r>
      <w:r>
        <w:rPr>
          <w:rFonts w:ascii="Lucida Sans"/>
          <w:color w:val="231F20"/>
          <w:spacing w:val="-4"/>
          <w:w w:val="95"/>
          <w:sz w:val="18"/>
        </w:rPr>
        <w:t>(2010)</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hAnsi="Lucida Sans"/>
          <w:sz w:val="18"/>
        </w:rPr>
      </w:pPr>
      <w:r>
        <w:rPr>
          <w:rFonts w:ascii="Lucida Sans" w:hAnsi="Lucida Sans"/>
          <w:color w:val="231F20"/>
          <w:spacing w:val="-4"/>
          <w:w w:val="95"/>
          <w:sz w:val="18"/>
        </w:rPr>
        <w:t>Protection</w:t>
      </w:r>
      <w:r>
        <w:rPr>
          <w:rFonts w:ascii="Lucida Sans" w:hAnsi="Lucida Sans"/>
          <w:color w:val="231F20"/>
          <w:spacing w:val="-38"/>
          <w:w w:val="95"/>
          <w:sz w:val="18"/>
        </w:rPr>
        <w:t> </w:t>
      </w:r>
      <w:r>
        <w:rPr>
          <w:rFonts w:ascii="Lucida Sans" w:hAnsi="Lucida Sans"/>
          <w:color w:val="231F20"/>
          <w:spacing w:val="-4"/>
          <w:w w:val="95"/>
          <w:sz w:val="18"/>
        </w:rPr>
        <w:t>Applications</w:t>
      </w:r>
      <w:r>
        <w:rPr>
          <w:rFonts w:ascii="Lucida Sans" w:hAnsi="Lucida Sans"/>
          <w:color w:val="231F20"/>
          <w:spacing w:val="-37"/>
          <w:w w:val="95"/>
          <w:sz w:val="18"/>
        </w:rPr>
        <w:t> </w:t>
      </w:r>
      <w:r>
        <w:rPr>
          <w:rFonts w:ascii="Lucida Sans" w:hAnsi="Lucida Sans"/>
          <w:color w:val="231F20"/>
          <w:w w:val="95"/>
          <w:sz w:val="18"/>
        </w:rPr>
        <w:t>in</w:t>
      </w:r>
      <w:r>
        <w:rPr>
          <w:rFonts w:ascii="Lucida Sans" w:hAnsi="Lucida Sans"/>
          <w:color w:val="231F20"/>
          <w:spacing w:val="-38"/>
          <w:w w:val="95"/>
          <w:sz w:val="18"/>
        </w:rPr>
        <w:t> </w:t>
      </w:r>
      <w:r>
        <w:rPr>
          <w:rFonts w:ascii="Lucida Sans" w:hAnsi="Lucida Sans"/>
          <w:color w:val="231F20"/>
          <w:spacing w:val="-3"/>
          <w:w w:val="95"/>
          <w:sz w:val="18"/>
        </w:rPr>
        <w:t>the</w:t>
      </w:r>
      <w:r>
        <w:rPr>
          <w:rFonts w:ascii="Lucida Sans" w:hAnsi="Lucida Sans"/>
          <w:color w:val="231F20"/>
          <w:spacing w:val="-37"/>
          <w:w w:val="95"/>
          <w:sz w:val="18"/>
        </w:rPr>
        <w:t> </w:t>
      </w:r>
      <w:r>
        <w:rPr>
          <w:rFonts w:ascii="Lucida Sans" w:hAnsi="Lucida Sans"/>
          <w:color w:val="231F20"/>
          <w:spacing w:val="-6"/>
          <w:w w:val="95"/>
          <w:sz w:val="18"/>
        </w:rPr>
        <w:t>Children’s</w:t>
      </w:r>
      <w:r>
        <w:rPr>
          <w:rFonts w:ascii="Lucida Sans" w:hAnsi="Lucida Sans"/>
          <w:color w:val="231F20"/>
          <w:spacing w:val="-38"/>
          <w:w w:val="95"/>
          <w:sz w:val="18"/>
        </w:rPr>
        <w:t> </w:t>
      </w:r>
      <w:r>
        <w:rPr>
          <w:rFonts w:ascii="Lucida Sans" w:hAnsi="Lucida Sans"/>
          <w:color w:val="231F20"/>
          <w:spacing w:val="-4"/>
          <w:w w:val="95"/>
          <w:sz w:val="18"/>
        </w:rPr>
        <w:t>Court</w:t>
      </w:r>
      <w:r>
        <w:rPr>
          <w:rFonts w:ascii="Lucida Sans" w:hAnsi="Lucida Sans"/>
          <w:color w:val="231F20"/>
          <w:spacing w:val="-37"/>
          <w:w w:val="95"/>
          <w:sz w:val="18"/>
        </w:rPr>
        <w:t> </w:t>
      </w:r>
      <w:r>
        <w:rPr>
          <w:rFonts w:ascii="Lucida Sans" w:hAnsi="Lucida Sans"/>
          <w:color w:val="231F20"/>
          <w:spacing w:val="-4"/>
          <w:w w:val="95"/>
          <w:sz w:val="18"/>
        </w:rPr>
        <w:t>(2010)</w:t>
      </w:r>
    </w:p>
    <w:p>
      <w:pPr>
        <w:pStyle w:val="ListParagraph"/>
        <w:numPr>
          <w:ilvl w:val="0"/>
          <w:numId w:val="227"/>
        </w:numPr>
        <w:tabs>
          <w:tab w:pos="541" w:val="left" w:leader="none"/>
          <w:tab w:pos="542" w:val="left" w:leader="none"/>
        </w:tabs>
        <w:spacing w:line="240" w:lineRule="auto" w:before="118" w:after="0"/>
        <w:ind w:left="541" w:right="0" w:hanging="397"/>
        <w:jc w:val="left"/>
        <w:rPr>
          <w:rFonts w:ascii="Lucida Sans"/>
          <w:sz w:val="18"/>
        </w:rPr>
      </w:pPr>
      <w:r>
        <w:rPr>
          <w:rFonts w:ascii="Lucida Sans"/>
          <w:color w:val="231F20"/>
          <w:spacing w:val="-4"/>
          <w:sz w:val="18"/>
        </w:rPr>
        <w:t>Review</w:t>
      </w:r>
      <w:r>
        <w:rPr>
          <w:rFonts w:ascii="Lucida Sans"/>
          <w:color w:val="231F20"/>
          <w:spacing w:val="-29"/>
          <w:sz w:val="18"/>
        </w:rPr>
        <w:t> </w:t>
      </w:r>
      <w:r>
        <w:rPr>
          <w:rFonts w:ascii="Lucida Sans"/>
          <w:color w:val="231F20"/>
          <w:sz w:val="18"/>
        </w:rPr>
        <w:t>of</w:t>
      </w:r>
      <w:r>
        <w:rPr>
          <w:rFonts w:ascii="Lucida Sans"/>
          <w:color w:val="231F20"/>
          <w:spacing w:val="-29"/>
          <w:sz w:val="18"/>
        </w:rPr>
        <w:t> </w:t>
      </w:r>
      <w:r>
        <w:rPr>
          <w:rFonts w:ascii="Lucida Sans"/>
          <w:color w:val="231F20"/>
          <w:spacing w:val="-3"/>
          <w:sz w:val="18"/>
        </w:rPr>
        <w:t>the</w:t>
      </w:r>
      <w:r>
        <w:rPr>
          <w:rFonts w:ascii="Lucida Sans"/>
          <w:color w:val="231F20"/>
          <w:spacing w:val="-29"/>
          <w:sz w:val="18"/>
        </w:rPr>
        <w:t> </w:t>
      </w:r>
      <w:r>
        <w:rPr>
          <w:rFonts w:ascii="Lucida Sans"/>
          <w:i/>
          <w:color w:val="231F20"/>
          <w:spacing w:val="-4"/>
          <w:sz w:val="18"/>
        </w:rPr>
        <w:t>Property</w:t>
      </w:r>
      <w:r>
        <w:rPr>
          <w:rFonts w:ascii="Lucida Sans"/>
          <w:i/>
          <w:color w:val="231F20"/>
          <w:spacing w:val="-29"/>
          <w:sz w:val="18"/>
        </w:rPr>
        <w:t> </w:t>
      </w:r>
      <w:r>
        <w:rPr>
          <w:rFonts w:ascii="Lucida Sans"/>
          <w:i/>
          <w:color w:val="231F20"/>
          <w:spacing w:val="-3"/>
          <w:sz w:val="18"/>
        </w:rPr>
        <w:t>Law</w:t>
      </w:r>
      <w:r>
        <w:rPr>
          <w:rFonts w:ascii="Lucida Sans"/>
          <w:i/>
          <w:color w:val="231F20"/>
          <w:spacing w:val="-29"/>
          <w:sz w:val="18"/>
        </w:rPr>
        <w:t> </w:t>
      </w:r>
      <w:r>
        <w:rPr>
          <w:rFonts w:ascii="Lucida Sans"/>
          <w:i/>
          <w:color w:val="231F20"/>
          <w:spacing w:val="-3"/>
          <w:sz w:val="18"/>
        </w:rPr>
        <w:t>Act</w:t>
      </w:r>
      <w:r>
        <w:rPr>
          <w:rFonts w:ascii="Lucida Sans"/>
          <w:i/>
          <w:color w:val="231F20"/>
          <w:spacing w:val="-29"/>
          <w:sz w:val="18"/>
        </w:rPr>
        <w:t> </w:t>
      </w:r>
      <w:r>
        <w:rPr>
          <w:rFonts w:ascii="Lucida Sans"/>
          <w:i/>
          <w:color w:val="231F20"/>
          <w:spacing w:val="-3"/>
          <w:sz w:val="18"/>
        </w:rPr>
        <w:t>1958</w:t>
      </w:r>
      <w:r>
        <w:rPr>
          <w:rFonts w:ascii="Lucida Sans"/>
          <w:i/>
          <w:color w:val="231F20"/>
          <w:spacing w:val="-29"/>
          <w:sz w:val="18"/>
        </w:rPr>
        <w:t> </w:t>
      </w:r>
      <w:r>
        <w:rPr>
          <w:rFonts w:ascii="Lucida Sans"/>
          <w:color w:val="231F20"/>
          <w:spacing w:val="-4"/>
          <w:sz w:val="18"/>
        </w:rPr>
        <w:t>(2010)</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sz w:val="18"/>
        </w:rPr>
      </w:pPr>
      <w:r>
        <w:rPr>
          <w:rFonts w:ascii="Lucida Sans"/>
          <w:color w:val="231F20"/>
          <w:spacing w:val="-4"/>
          <w:w w:val="95"/>
          <w:sz w:val="18"/>
        </w:rPr>
        <w:t>Supporting</w:t>
      </w:r>
      <w:r>
        <w:rPr>
          <w:rFonts w:ascii="Lucida Sans"/>
          <w:color w:val="231F20"/>
          <w:spacing w:val="-34"/>
          <w:w w:val="95"/>
          <w:sz w:val="18"/>
        </w:rPr>
        <w:t> </w:t>
      </w:r>
      <w:r>
        <w:rPr>
          <w:rFonts w:ascii="Lucida Sans"/>
          <w:color w:val="231F20"/>
          <w:spacing w:val="-7"/>
          <w:w w:val="95"/>
          <w:sz w:val="18"/>
        </w:rPr>
        <w:t>Young</w:t>
      </w:r>
      <w:r>
        <w:rPr>
          <w:rFonts w:ascii="Lucida Sans"/>
          <w:color w:val="231F20"/>
          <w:spacing w:val="-34"/>
          <w:w w:val="95"/>
          <w:sz w:val="18"/>
        </w:rPr>
        <w:t> </w:t>
      </w:r>
      <w:r>
        <w:rPr>
          <w:rFonts w:ascii="Lucida Sans"/>
          <w:color w:val="231F20"/>
          <w:spacing w:val="-4"/>
          <w:w w:val="95"/>
          <w:sz w:val="18"/>
        </w:rPr>
        <w:t>People</w:t>
      </w:r>
      <w:r>
        <w:rPr>
          <w:rFonts w:ascii="Lucida Sans"/>
          <w:color w:val="231F20"/>
          <w:spacing w:val="-34"/>
          <w:w w:val="95"/>
          <w:sz w:val="18"/>
        </w:rPr>
        <w:t> </w:t>
      </w:r>
      <w:r>
        <w:rPr>
          <w:rFonts w:ascii="Lucida Sans"/>
          <w:color w:val="231F20"/>
          <w:w w:val="95"/>
          <w:sz w:val="18"/>
        </w:rPr>
        <w:t>in</w:t>
      </w:r>
      <w:r>
        <w:rPr>
          <w:rFonts w:ascii="Lucida Sans"/>
          <w:color w:val="231F20"/>
          <w:spacing w:val="-34"/>
          <w:w w:val="95"/>
          <w:sz w:val="18"/>
        </w:rPr>
        <w:t> </w:t>
      </w:r>
      <w:r>
        <w:rPr>
          <w:rFonts w:ascii="Lucida Sans"/>
          <w:color w:val="231F20"/>
          <w:spacing w:val="-4"/>
          <w:w w:val="95"/>
          <w:sz w:val="18"/>
        </w:rPr>
        <w:t>Police</w:t>
      </w:r>
      <w:r>
        <w:rPr>
          <w:rFonts w:ascii="Lucida Sans"/>
          <w:color w:val="231F20"/>
          <w:spacing w:val="-33"/>
          <w:w w:val="95"/>
          <w:sz w:val="18"/>
        </w:rPr>
        <w:t> </w:t>
      </w:r>
      <w:r>
        <w:rPr>
          <w:rFonts w:ascii="Lucida Sans"/>
          <w:color w:val="231F20"/>
          <w:spacing w:val="-4"/>
          <w:w w:val="95"/>
          <w:sz w:val="18"/>
        </w:rPr>
        <w:t>Interviews</w:t>
      </w:r>
      <w:r>
        <w:rPr>
          <w:rFonts w:ascii="Lucida Sans"/>
          <w:color w:val="231F20"/>
          <w:spacing w:val="-34"/>
          <w:w w:val="95"/>
          <w:sz w:val="18"/>
        </w:rPr>
        <w:t> </w:t>
      </w:r>
      <w:r>
        <w:rPr>
          <w:rFonts w:ascii="Lucida Sans"/>
          <w:color w:val="231F20"/>
          <w:spacing w:val="-4"/>
          <w:w w:val="95"/>
          <w:sz w:val="18"/>
        </w:rPr>
        <w:t>(2010)*</w:t>
      </w:r>
    </w:p>
    <w:p>
      <w:pPr>
        <w:pStyle w:val="ListParagraph"/>
        <w:numPr>
          <w:ilvl w:val="0"/>
          <w:numId w:val="227"/>
        </w:numPr>
        <w:tabs>
          <w:tab w:pos="541" w:val="left" w:leader="none"/>
          <w:tab w:pos="542" w:val="left" w:leader="none"/>
        </w:tabs>
        <w:spacing w:line="240" w:lineRule="auto" w:before="118" w:after="0"/>
        <w:ind w:left="541" w:right="0" w:hanging="397"/>
        <w:jc w:val="left"/>
        <w:rPr>
          <w:rFonts w:ascii="Lucida Sans"/>
          <w:sz w:val="18"/>
        </w:rPr>
      </w:pPr>
      <w:r>
        <w:rPr>
          <w:rFonts w:ascii="Lucida Sans"/>
          <w:color w:val="231F20"/>
          <w:spacing w:val="-4"/>
          <w:w w:val="90"/>
          <w:sz w:val="18"/>
        </w:rPr>
        <w:t>Easements</w:t>
      </w:r>
      <w:r>
        <w:rPr>
          <w:rFonts w:ascii="Lucida Sans"/>
          <w:color w:val="231F20"/>
          <w:spacing w:val="-24"/>
          <w:w w:val="90"/>
          <w:sz w:val="18"/>
        </w:rPr>
        <w:t> </w:t>
      </w:r>
      <w:r>
        <w:rPr>
          <w:rFonts w:ascii="Lucida Sans"/>
          <w:color w:val="231F20"/>
          <w:spacing w:val="-3"/>
          <w:w w:val="90"/>
          <w:sz w:val="18"/>
        </w:rPr>
        <w:t>and</w:t>
      </w:r>
      <w:r>
        <w:rPr>
          <w:rFonts w:ascii="Lucida Sans"/>
          <w:color w:val="231F20"/>
          <w:spacing w:val="-23"/>
          <w:w w:val="90"/>
          <w:sz w:val="18"/>
        </w:rPr>
        <w:t> </w:t>
      </w:r>
      <w:r>
        <w:rPr>
          <w:rFonts w:ascii="Lucida Sans"/>
          <w:color w:val="231F20"/>
          <w:spacing w:val="-4"/>
          <w:w w:val="90"/>
          <w:sz w:val="18"/>
        </w:rPr>
        <w:t>Covenants</w:t>
      </w:r>
      <w:r>
        <w:rPr>
          <w:rFonts w:ascii="Lucida Sans"/>
          <w:color w:val="231F20"/>
          <w:spacing w:val="-23"/>
          <w:w w:val="90"/>
          <w:sz w:val="18"/>
        </w:rPr>
        <w:t> </w:t>
      </w:r>
      <w:r>
        <w:rPr>
          <w:rFonts w:ascii="Lucida Sans"/>
          <w:color w:val="231F20"/>
          <w:spacing w:val="-4"/>
          <w:w w:val="90"/>
          <w:sz w:val="18"/>
        </w:rPr>
        <w:t>(2010)</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sz w:val="18"/>
        </w:rPr>
      </w:pPr>
      <w:r>
        <w:rPr>
          <w:rFonts w:ascii="Lucida Sans"/>
          <w:color w:val="231F20"/>
          <w:spacing w:val="-3"/>
          <w:w w:val="90"/>
          <w:sz w:val="18"/>
        </w:rPr>
        <w:t>Sex</w:t>
      </w:r>
      <w:r>
        <w:rPr>
          <w:rFonts w:ascii="Lucida Sans"/>
          <w:color w:val="231F20"/>
          <w:spacing w:val="-36"/>
          <w:w w:val="90"/>
          <w:sz w:val="18"/>
        </w:rPr>
        <w:t> </w:t>
      </w:r>
      <w:r>
        <w:rPr>
          <w:rFonts w:ascii="Lucida Sans"/>
          <w:color w:val="231F20"/>
          <w:spacing w:val="-4"/>
          <w:w w:val="90"/>
          <w:sz w:val="18"/>
        </w:rPr>
        <w:t>Offenders</w:t>
      </w:r>
      <w:r>
        <w:rPr>
          <w:rFonts w:ascii="Lucida Sans"/>
          <w:color w:val="231F20"/>
          <w:spacing w:val="-36"/>
          <w:w w:val="90"/>
          <w:sz w:val="18"/>
        </w:rPr>
        <w:t> </w:t>
      </w:r>
      <w:r>
        <w:rPr>
          <w:rFonts w:ascii="Lucida Sans"/>
          <w:color w:val="231F20"/>
          <w:spacing w:val="-4"/>
          <w:w w:val="90"/>
          <w:sz w:val="18"/>
        </w:rPr>
        <w:t>Registration</w:t>
      </w:r>
      <w:r>
        <w:rPr>
          <w:rFonts w:ascii="Lucida Sans"/>
          <w:color w:val="231F20"/>
          <w:spacing w:val="-36"/>
          <w:w w:val="90"/>
          <w:sz w:val="18"/>
        </w:rPr>
        <w:t> </w:t>
      </w:r>
      <w:r>
        <w:rPr>
          <w:rFonts w:ascii="Lucida Sans"/>
          <w:color w:val="231F20"/>
          <w:spacing w:val="-4"/>
          <w:w w:val="90"/>
          <w:sz w:val="18"/>
        </w:rPr>
        <w:t>(2011)</w:t>
      </w:r>
    </w:p>
    <w:p>
      <w:pPr>
        <w:pStyle w:val="ListParagraph"/>
        <w:numPr>
          <w:ilvl w:val="0"/>
          <w:numId w:val="227"/>
        </w:numPr>
        <w:tabs>
          <w:tab w:pos="541" w:val="left" w:leader="none"/>
          <w:tab w:pos="542" w:val="left" w:leader="none"/>
        </w:tabs>
        <w:spacing w:line="240" w:lineRule="auto" w:before="93" w:after="0"/>
        <w:ind w:left="541" w:right="0" w:hanging="397"/>
        <w:jc w:val="left"/>
        <w:rPr>
          <w:rFonts w:ascii="Lucida Sans"/>
          <w:sz w:val="18"/>
        </w:rPr>
      </w:pPr>
      <w:r>
        <w:rPr>
          <w:rFonts w:ascii="Lucida Sans"/>
          <w:color w:val="231F20"/>
          <w:spacing w:val="-4"/>
          <w:w w:val="91"/>
          <w:sz w:val="18"/>
        </w:rPr>
        <w:br w:type="column"/>
      </w:r>
      <w:r>
        <w:rPr>
          <w:rFonts w:ascii="Lucida Sans"/>
          <w:color w:val="231F20"/>
          <w:spacing w:val="-4"/>
          <w:sz w:val="18"/>
        </w:rPr>
        <w:t>Guardianship</w:t>
      </w:r>
      <w:r>
        <w:rPr>
          <w:rFonts w:ascii="Lucida Sans"/>
          <w:color w:val="231F20"/>
          <w:spacing w:val="-19"/>
          <w:sz w:val="18"/>
        </w:rPr>
        <w:t> </w:t>
      </w:r>
      <w:r>
        <w:rPr>
          <w:rFonts w:ascii="Lucida Sans"/>
          <w:color w:val="231F20"/>
          <w:spacing w:val="-4"/>
          <w:sz w:val="18"/>
        </w:rPr>
        <w:t>(2012)</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sz w:val="18"/>
        </w:rPr>
      </w:pPr>
      <w:r>
        <w:rPr>
          <w:rFonts w:ascii="Lucida Sans"/>
          <w:color w:val="231F20"/>
          <w:spacing w:val="-4"/>
          <w:sz w:val="18"/>
        </w:rPr>
        <w:t>Birth</w:t>
      </w:r>
      <w:r>
        <w:rPr>
          <w:rFonts w:ascii="Lucida Sans"/>
          <w:color w:val="231F20"/>
          <w:spacing w:val="-41"/>
          <w:sz w:val="18"/>
        </w:rPr>
        <w:t> </w:t>
      </w:r>
      <w:r>
        <w:rPr>
          <w:rFonts w:ascii="Lucida Sans"/>
          <w:color w:val="231F20"/>
          <w:spacing w:val="-4"/>
          <w:sz w:val="18"/>
        </w:rPr>
        <w:t>Registration</w:t>
      </w:r>
      <w:r>
        <w:rPr>
          <w:rFonts w:ascii="Lucida Sans"/>
          <w:color w:val="231F20"/>
          <w:spacing w:val="-41"/>
          <w:sz w:val="18"/>
        </w:rPr>
        <w:t> </w:t>
      </w:r>
      <w:r>
        <w:rPr>
          <w:rFonts w:ascii="Lucida Sans"/>
          <w:color w:val="231F20"/>
          <w:spacing w:val="-3"/>
          <w:sz w:val="18"/>
        </w:rPr>
        <w:t>and</w:t>
      </w:r>
      <w:r>
        <w:rPr>
          <w:rFonts w:ascii="Lucida Sans"/>
          <w:color w:val="231F20"/>
          <w:spacing w:val="-41"/>
          <w:sz w:val="18"/>
        </w:rPr>
        <w:t> </w:t>
      </w:r>
      <w:r>
        <w:rPr>
          <w:rFonts w:ascii="Lucida Sans"/>
          <w:color w:val="231F20"/>
          <w:spacing w:val="-4"/>
          <w:sz w:val="18"/>
        </w:rPr>
        <w:t>Birth</w:t>
      </w:r>
      <w:r>
        <w:rPr>
          <w:rFonts w:ascii="Lucida Sans"/>
          <w:color w:val="231F20"/>
          <w:spacing w:val="-41"/>
          <w:sz w:val="18"/>
        </w:rPr>
        <w:t> </w:t>
      </w:r>
      <w:r>
        <w:rPr>
          <w:rFonts w:ascii="Lucida Sans"/>
          <w:color w:val="231F20"/>
          <w:spacing w:val="-4"/>
          <w:sz w:val="18"/>
        </w:rPr>
        <w:t>Certificates</w:t>
      </w:r>
      <w:r>
        <w:rPr>
          <w:rFonts w:ascii="Lucida Sans"/>
          <w:color w:val="231F20"/>
          <w:spacing w:val="-41"/>
          <w:sz w:val="18"/>
        </w:rPr>
        <w:t> </w:t>
      </w:r>
      <w:r>
        <w:rPr>
          <w:rFonts w:ascii="Lucida Sans"/>
          <w:color w:val="231F20"/>
          <w:spacing w:val="-4"/>
          <w:sz w:val="18"/>
        </w:rPr>
        <w:t>(2013)*</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sz w:val="18"/>
        </w:rPr>
      </w:pPr>
      <w:r>
        <w:rPr>
          <w:rFonts w:ascii="Lucida Sans"/>
          <w:color w:val="231F20"/>
          <w:spacing w:val="-4"/>
          <w:sz w:val="18"/>
        </w:rPr>
        <w:t>Succession </w:t>
      </w:r>
      <w:r>
        <w:rPr>
          <w:rFonts w:ascii="Lucida Sans"/>
          <w:color w:val="231F20"/>
          <w:spacing w:val="-3"/>
          <w:sz w:val="18"/>
        </w:rPr>
        <w:t>Laws</w:t>
      </w:r>
      <w:r>
        <w:rPr>
          <w:rFonts w:ascii="Lucida Sans"/>
          <w:color w:val="231F20"/>
          <w:spacing w:val="-35"/>
          <w:sz w:val="18"/>
        </w:rPr>
        <w:t> </w:t>
      </w:r>
      <w:r>
        <w:rPr>
          <w:rFonts w:ascii="Lucida Sans"/>
          <w:color w:val="231F20"/>
          <w:spacing w:val="-4"/>
          <w:sz w:val="18"/>
        </w:rPr>
        <w:t>(2013)</w:t>
      </w:r>
    </w:p>
    <w:p>
      <w:pPr>
        <w:pStyle w:val="ListParagraph"/>
        <w:numPr>
          <w:ilvl w:val="0"/>
          <w:numId w:val="227"/>
        </w:numPr>
        <w:tabs>
          <w:tab w:pos="541" w:val="left" w:leader="none"/>
          <w:tab w:pos="542" w:val="left" w:leader="none"/>
        </w:tabs>
        <w:spacing w:line="240" w:lineRule="auto" w:before="118" w:after="0"/>
        <w:ind w:left="541" w:right="0" w:hanging="397"/>
        <w:jc w:val="left"/>
        <w:rPr>
          <w:rFonts w:ascii="Lucida Sans"/>
          <w:sz w:val="18"/>
        </w:rPr>
      </w:pPr>
      <w:r>
        <w:rPr>
          <w:rFonts w:ascii="Lucida Sans"/>
          <w:color w:val="231F20"/>
          <w:spacing w:val="-3"/>
          <w:sz w:val="18"/>
        </w:rPr>
        <w:t>Jury </w:t>
      </w:r>
      <w:r>
        <w:rPr>
          <w:rFonts w:ascii="Lucida Sans"/>
          <w:color w:val="231F20"/>
          <w:spacing w:val="-4"/>
          <w:sz w:val="18"/>
        </w:rPr>
        <w:t>Empanelment</w:t>
      </w:r>
      <w:r>
        <w:rPr>
          <w:rFonts w:ascii="Lucida Sans"/>
          <w:color w:val="231F20"/>
          <w:spacing w:val="-37"/>
          <w:sz w:val="18"/>
        </w:rPr>
        <w:t> </w:t>
      </w:r>
      <w:r>
        <w:rPr>
          <w:rFonts w:ascii="Lucida Sans"/>
          <w:color w:val="231F20"/>
          <w:spacing w:val="-4"/>
          <w:sz w:val="18"/>
        </w:rPr>
        <w:t>(2014)</w:t>
      </w:r>
    </w:p>
    <w:p>
      <w:pPr>
        <w:pStyle w:val="ListParagraph"/>
        <w:numPr>
          <w:ilvl w:val="0"/>
          <w:numId w:val="227"/>
        </w:numPr>
        <w:tabs>
          <w:tab w:pos="541" w:val="left" w:leader="none"/>
          <w:tab w:pos="542" w:val="left" w:leader="none"/>
        </w:tabs>
        <w:spacing w:line="244" w:lineRule="auto" w:before="117" w:after="0"/>
        <w:ind w:left="541" w:right="567" w:hanging="397"/>
        <w:jc w:val="left"/>
        <w:rPr>
          <w:rFonts w:ascii="Lucida Sans"/>
          <w:sz w:val="18"/>
        </w:rPr>
      </w:pPr>
      <w:r>
        <w:rPr>
          <w:rFonts w:ascii="Lucida Sans"/>
          <w:color w:val="231F20"/>
          <w:spacing w:val="-4"/>
          <w:w w:val="90"/>
          <w:sz w:val="18"/>
        </w:rPr>
        <w:t>Review</w:t>
      </w:r>
      <w:r>
        <w:rPr>
          <w:rFonts w:ascii="Lucida Sans"/>
          <w:color w:val="231F20"/>
          <w:spacing w:val="-18"/>
          <w:w w:val="90"/>
          <w:sz w:val="18"/>
        </w:rPr>
        <w:t> </w:t>
      </w:r>
      <w:r>
        <w:rPr>
          <w:rFonts w:ascii="Lucida Sans"/>
          <w:color w:val="231F20"/>
          <w:w w:val="90"/>
          <w:sz w:val="18"/>
        </w:rPr>
        <w:t>of</w:t>
      </w:r>
      <w:r>
        <w:rPr>
          <w:rFonts w:ascii="Lucida Sans"/>
          <w:color w:val="231F20"/>
          <w:spacing w:val="-18"/>
          <w:w w:val="90"/>
          <w:sz w:val="18"/>
        </w:rPr>
        <w:t> </w:t>
      </w:r>
      <w:r>
        <w:rPr>
          <w:rFonts w:ascii="Lucida Sans"/>
          <w:color w:val="231F20"/>
          <w:spacing w:val="-3"/>
          <w:w w:val="90"/>
          <w:sz w:val="18"/>
        </w:rPr>
        <w:t>the</w:t>
      </w:r>
      <w:r>
        <w:rPr>
          <w:rFonts w:ascii="Lucida Sans"/>
          <w:color w:val="231F20"/>
          <w:spacing w:val="-18"/>
          <w:w w:val="90"/>
          <w:sz w:val="18"/>
        </w:rPr>
        <w:t> </w:t>
      </w:r>
      <w:r>
        <w:rPr>
          <w:rFonts w:ascii="Lucida Sans"/>
          <w:i/>
          <w:color w:val="231F20"/>
          <w:spacing w:val="-4"/>
          <w:w w:val="90"/>
          <w:sz w:val="18"/>
        </w:rPr>
        <w:t>Crimes</w:t>
      </w:r>
      <w:r>
        <w:rPr>
          <w:rFonts w:ascii="Lucida Sans"/>
          <w:i/>
          <w:color w:val="231F20"/>
          <w:spacing w:val="-17"/>
          <w:w w:val="90"/>
          <w:sz w:val="18"/>
        </w:rPr>
        <w:t> </w:t>
      </w:r>
      <w:r>
        <w:rPr>
          <w:rFonts w:ascii="Lucida Sans"/>
          <w:i/>
          <w:color w:val="231F20"/>
          <w:spacing w:val="-4"/>
          <w:w w:val="90"/>
          <w:sz w:val="18"/>
        </w:rPr>
        <w:t>(Mental</w:t>
      </w:r>
      <w:r>
        <w:rPr>
          <w:rFonts w:ascii="Lucida Sans"/>
          <w:i/>
          <w:color w:val="231F20"/>
          <w:spacing w:val="-18"/>
          <w:w w:val="90"/>
          <w:sz w:val="18"/>
        </w:rPr>
        <w:t> </w:t>
      </w:r>
      <w:r>
        <w:rPr>
          <w:rFonts w:ascii="Lucida Sans"/>
          <w:i/>
          <w:color w:val="231F20"/>
          <w:spacing w:val="-4"/>
          <w:w w:val="90"/>
          <w:sz w:val="18"/>
        </w:rPr>
        <w:t>Impairment</w:t>
      </w:r>
      <w:r>
        <w:rPr>
          <w:rFonts w:ascii="Lucida Sans"/>
          <w:i/>
          <w:color w:val="231F20"/>
          <w:spacing w:val="-18"/>
          <w:w w:val="90"/>
          <w:sz w:val="18"/>
        </w:rPr>
        <w:t> </w:t>
      </w:r>
      <w:r>
        <w:rPr>
          <w:rFonts w:ascii="Lucida Sans"/>
          <w:i/>
          <w:color w:val="231F20"/>
          <w:spacing w:val="-4"/>
          <w:w w:val="90"/>
          <w:sz w:val="18"/>
        </w:rPr>
        <w:t>and </w:t>
      </w:r>
      <w:r>
        <w:rPr>
          <w:rFonts w:ascii="Lucida Sans"/>
          <w:i/>
          <w:color w:val="231F20"/>
          <w:spacing w:val="-4"/>
          <w:sz w:val="18"/>
        </w:rPr>
        <w:t>Unfitness</w:t>
      </w:r>
      <w:r>
        <w:rPr>
          <w:rFonts w:ascii="Lucida Sans"/>
          <w:i/>
          <w:color w:val="231F20"/>
          <w:spacing w:val="-33"/>
          <w:sz w:val="18"/>
        </w:rPr>
        <w:t> </w:t>
      </w:r>
      <w:r>
        <w:rPr>
          <w:rFonts w:ascii="Lucida Sans"/>
          <w:i/>
          <w:color w:val="231F20"/>
          <w:sz w:val="18"/>
        </w:rPr>
        <w:t>to</w:t>
      </w:r>
      <w:r>
        <w:rPr>
          <w:rFonts w:ascii="Lucida Sans"/>
          <w:i/>
          <w:color w:val="231F20"/>
          <w:spacing w:val="-33"/>
          <w:sz w:val="18"/>
        </w:rPr>
        <w:t> </w:t>
      </w:r>
      <w:r>
        <w:rPr>
          <w:rFonts w:ascii="Lucida Sans"/>
          <w:i/>
          <w:color w:val="231F20"/>
          <w:sz w:val="18"/>
        </w:rPr>
        <w:t>be</w:t>
      </w:r>
      <w:r>
        <w:rPr>
          <w:rFonts w:ascii="Lucida Sans"/>
          <w:i/>
          <w:color w:val="231F20"/>
          <w:spacing w:val="-32"/>
          <w:sz w:val="18"/>
        </w:rPr>
        <w:t> </w:t>
      </w:r>
      <w:r>
        <w:rPr>
          <w:rFonts w:ascii="Lucida Sans"/>
          <w:i/>
          <w:color w:val="231F20"/>
          <w:spacing w:val="-7"/>
          <w:sz w:val="18"/>
        </w:rPr>
        <w:t>Tried)</w:t>
      </w:r>
      <w:r>
        <w:rPr>
          <w:rFonts w:ascii="Lucida Sans"/>
          <w:i/>
          <w:color w:val="231F20"/>
          <w:spacing w:val="-33"/>
          <w:sz w:val="18"/>
        </w:rPr>
        <w:t> </w:t>
      </w:r>
      <w:r>
        <w:rPr>
          <w:rFonts w:ascii="Lucida Sans"/>
          <w:i/>
          <w:color w:val="231F20"/>
          <w:spacing w:val="-3"/>
          <w:sz w:val="18"/>
        </w:rPr>
        <w:t>Act</w:t>
      </w:r>
      <w:r>
        <w:rPr>
          <w:rFonts w:ascii="Lucida Sans"/>
          <w:i/>
          <w:color w:val="231F20"/>
          <w:spacing w:val="-32"/>
          <w:sz w:val="18"/>
        </w:rPr>
        <w:t> </w:t>
      </w:r>
      <w:r>
        <w:rPr>
          <w:rFonts w:ascii="Lucida Sans"/>
          <w:i/>
          <w:color w:val="231F20"/>
          <w:spacing w:val="-3"/>
          <w:sz w:val="18"/>
        </w:rPr>
        <w:t>1997</w:t>
      </w:r>
      <w:r>
        <w:rPr>
          <w:rFonts w:ascii="Lucida Sans"/>
          <w:i/>
          <w:color w:val="231F20"/>
          <w:spacing w:val="-33"/>
          <w:sz w:val="18"/>
        </w:rPr>
        <w:t> </w:t>
      </w:r>
      <w:r>
        <w:rPr>
          <w:rFonts w:ascii="Lucida Sans"/>
          <w:color w:val="231F20"/>
          <w:spacing w:val="-4"/>
          <w:sz w:val="18"/>
        </w:rPr>
        <w:t>(2014)</w:t>
      </w:r>
    </w:p>
    <w:p>
      <w:pPr>
        <w:pStyle w:val="ListParagraph"/>
        <w:numPr>
          <w:ilvl w:val="0"/>
          <w:numId w:val="227"/>
        </w:numPr>
        <w:tabs>
          <w:tab w:pos="541" w:val="left" w:leader="none"/>
          <w:tab w:pos="542" w:val="left" w:leader="none"/>
        </w:tabs>
        <w:spacing w:line="240" w:lineRule="auto" w:before="113" w:after="0"/>
        <w:ind w:left="541" w:right="0" w:hanging="397"/>
        <w:jc w:val="left"/>
        <w:rPr>
          <w:rFonts w:ascii="Lucida Sans"/>
          <w:sz w:val="18"/>
        </w:rPr>
      </w:pPr>
      <w:r>
        <w:rPr>
          <w:rFonts w:ascii="Lucida Sans"/>
          <w:color w:val="231F20"/>
          <w:spacing w:val="-3"/>
          <w:w w:val="95"/>
          <w:sz w:val="18"/>
        </w:rPr>
        <w:t>The </w:t>
      </w:r>
      <w:r>
        <w:rPr>
          <w:rFonts w:ascii="Lucida Sans"/>
          <w:color w:val="231F20"/>
          <w:spacing w:val="-4"/>
          <w:w w:val="95"/>
          <w:sz w:val="18"/>
        </w:rPr>
        <w:t>Forfeiture </w:t>
      </w:r>
      <w:r>
        <w:rPr>
          <w:rFonts w:ascii="Lucida Sans"/>
          <w:color w:val="231F20"/>
          <w:spacing w:val="-3"/>
          <w:w w:val="95"/>
          <w:sz w:val="18"/>
        </w:rPr>
        <w:t>Rule</w:t>
      </w:r>
      <w:r>
        <w:rPr>
          <w:rFonts w:ascii="Lucida Sans"/>
          <w:color w:val="231F20"/>
          <w:spacing w:val="-40"/>
          <w:w w:val="95"/>
          <w:sz w:val="18"/>
        </w:rPr>
        <w:t> </w:t>
      </w:r>
      <w:r>
        <w:rPr>
          <w:rFonts w:ascii="Lucida Sans"/>
          <w:color w:val="231F20"/>
          <w:spacing w:val="-4"/>
          <w:w w:val="95"/>
          <w:sz w:val="18"/>
        </w:rPr>
        <w:t>(2014)</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hAnsi="Lucida Sans"/>
          <w:sz w:val="18"/>
        </w:rPr>
      </w:pPr>
      <w:r>
        <w:rPr>
          <w:rFonts w:ascii="Lucida Sans" w:hAnsi="Lucida Sans"/>
          <w:color w:val="231F20"/>
          <w:spacing w:val="-6"/>
          <w:w w:val="95"/>
          <w:sz w:val="18"/>
        </w:rPr>
        <w:t>Trading</w:t>
      </w:r>
      <w:r>
        <w:rPr>
          <w:rFonts w:ascii="Lucida Sans" w:hAnsi="Lucida Sans"/>
          <w:color w:val="231F20"/>
          <w:spacing w:val="-29"/>
          <w:w w:val="95"/>
          <w:sz w:val="18"/>
        </w:rPr>
        <w:t> </w:t>
      </w:r>
      <w:r>
        <w:rPr>
          <w:rFonts w:ascii="Lucida Sans" w:hAnsi="Lucida Sans"/>
          <w:color w:val="231F20"/>
          <w:spacing w:val="-5"/>
          <w:w w:val="95"/>
          <w:sz w:val="18"/>
        </w:rPr>
        <w:t>Trusts—Oppression</w:t>
      </w:r>
      <w:r>
        <w:rPr>
          <w:rFonts w:ascii="Lucida Sans" w:hAnsi="Lucida Sans"/>
          <w:color w:val="231F20"/>
          <w:spacing w:val="-29"/>
          <w:w w:val="95"/>
          <w:sz w:val="18"/>
        </w:rPr>
        <w:t> </w:t>
      </w:r>
      <w:r>
        <w:rPr>
          <w:rFonts w:ascii="Lucida Sans" w:hAnsi="Lucida Sans"/>
          <w:color w:val="231F20"/>
          <w:spacing w:val="-4"/>
          <w:w w:val="95"/>
          <w:sz w:val="18"/>
        </w:rPr>
        <w:t>Remedies</w:t>
      </w:r>
      <w:r>
        <w:rPr>
          <w:rFonts w:ascii="Lucida Sans" w:hAnsi="Lucida Sans"/>
          <w:color w:val="231F20"/>
          <w:spacing w:val="-28"/>
          <w:w w:val="95"/>
          <w:sz w:val="18"/>
        </w:rPr>
        <w:t> </w:t>
      </w:r>
      <w:r>
        <w:rPr>
          <w:rFonts w:ascii="Lucida Sans" w:hAnsi="Lucida Sans"/>
          <w:color w:val="231F20"/>
          <w:spacing w:val="-4"/>
          <w:w w:val="95"/>
          <w:sz w:val="18"/>
        </w:rPr>
        <w:t>(2015)</w:t>
      </w:r>
    </w:p>
    <w:p>
      <w:pPr>
        <w:pStyle w:val="ListParagraph"/>
        <w:numPr>
          <w:ilvl w:val="0"/>
          <w:numId w:val="227"/>
        </w:numPr>
        <w:tabs>
          <w:tab w:pos="541" w:val="left" w:leader="none"/>
          <w:tab w:pos="542" w:val="left" w:leader="none"/>
        </w:tabs>
        <w:spacing w:line="244" w:lineRule="auto" w:before="118" w:after="0"/>
        <w:ind w:left="541" w:right="427" w:hanging="397"/>
        <w:jc w:val="left"/>
        <w:rPr>
          <w:rFonts w:ascii="Lucida Sans" w:hAnsi="Lucida Sans"/>
          <w:sz w:val="18"/>
        </w:rPr>
      </w:pPr>
      <w:r>
        <w:rPr>
          <w:rFonts w:ascii="Lucida Sans" w:hAnsi="Lucida Sans"/>
          <w:color w:val="231F20"/>
          <w:spacing w:val="-4"/>
          <w:w w:val="85"/>
          <w:sz w:val="18"/>
        </w:rPr>
        <w:t>Photographing </w:t>
      </w:r>
      <w:r>
        <w:rPr>
          <w:rFonts w:ascii="Lucida Sans" w:hAnsi="Lucida Sans"/>
          <w:color w:val="231F20"/>
          <w:spacing w:val="-3"/>
          <w:w w:val="85"/>
          <w:sz w:val="18"/>
        </w:rPr>
        <w:t>and </w:t>
      </w:r>
      <w:r>
        <w:rPr>
          <w:rFonts w:ascii="Lucida Sans" w:hAnsi="Lucida Sans"/>
          <w:color w:val="231F20"/>
          <w:spacing w:val="-4"/>
          <w:w w:val="85"/>
          <w:sz w:val="18"/>
        </w:rPr>
        <w:t>Filming </w:t>
      </w:r>
      <w:r>
        <w:rPr>
          <w:rFonts w:ascii="Lucida Sans" w:hAnsi="Lucida Sans"/>
          <w:color w:val="231F20"/>
          <w:spacing w:val="-6"/>
          <w:w w:val="85"/>
          <w:sz w:val="18"/>
        </w:rPr>
        <w:t>Tenants’ </w:t>
      </w:r>
      <w:r>
        <w:rPr>
          <w:rFonts w:ascii="Lucida Sans" w:hAnsi="Lucida Sans"/>
          <w:color w:val="231F20"/>
          <w:spacing w:val="-4"/>
          <w:w w:val="85"/>
          <w:sz w:val="18"/>
        </w:rPr>
        <w:t>Possessions </w:t>
      </w:r>
      <w:r>
        <w:rPr>
          <w:rFonts w:ascii="Lucida Sans" w:hAnsi="Lucida Sans"/>
          <w:color w:val="231F20"/>
          <w:spacing w:val="-3"/>
          <w:w w:val="95"/>
          <w:sz w:val="18"/>
        </w:rPr>
        <w:t>for</w:t>
      </w:r>
      <w:r>
        <w:rPr>
          <w:rFonts w:ascii="Lucida Sans" w:hAnsi="Lucida Sans"/>
          <w:color w:val="231F20"/>
          <w:spacing w:val="-19"/>
          <w:w w:val="95"/>
          <w:sz w:val="18"/>
        </w:rPr>
        <w:t> </w:t>
      </w:r>
      <w:r>
        <w:rPr>
          <w:rFonts w:ascii="Lucida Sans" w:hAnsi="Lucida Sans"/>
          <w:color w:val="231F20"/>
          <w:spacing w:val="-4"/>
          <w:w w:val="95"/>
          <w:sz w:val="18"/>
        </w:rPr>
        <w:t>Advertising</w:t>
      </w:r>
      <w:r>
        <w:rPr>
          <w:rFonts w:ascii="Lucida Sans" w:hAnsi="Lucida Sans"/>
          <w:color w:val="231F20"/>
          <w:spacing w:val="-18"/>
          <w:w w:val="95"/>
          <w:sz w:val="18"/>
        </w:rPr>
        <w:t> </w:t>
      </w:r>
      <w:r>
        <w:rPr>
          <w:rFonts w:ascii="Lucida Sans" w:hAnsi="Lucida Sans"/>
          <w:color w:val="231F20"/>
          <w:spacing w:val="-4"/>
          <w:w w:val="95"/>
          <w:sz w:val="18"/>
        </w:rPr>
        <w:t>Purposes</w:t>
      </w:r>
      <w:r>
        <w:rPr>
          <w:rFonts w:ascii="Lucida Sans" w:hAnsi="Lucida Sans"/>
          <w:color w:val="231F20"/>
          <w:spacing w:val="-19"/>
          <w:w w:val="95"/>
          <w:sz w:val="18"/>
        </w:rPr>
        <w:t> </w:t>
      </w:r>
      <w:r>
        <w:rPr>
          <w:rFonts w:ascii="Lucida Sans" w:hAnsi="Lucida Sans"/>
          <w:color w:val="231F20"/>
          <w:spacing w:val="-4"/>
          <w:w w:val="95"/>
          <w:sz w:val="18"/>
        </w:rPr>
        <w:t>(2015)*</w:t>
      </w:r>
    </w:p>
    <w:p>
      <w:pPr>
        <w:pStyle w:val="ListParagraph"/>
        <w:numPr>
          <w:ilvl w:val="0"/>
          <w:numId w:val="227"/>
        </w:numPr>
        <w:tabs>
          <w:tab w:pos="541" w:val="left" w:leader="none"/>
          <w:tab w:pos="542" w:val="left" w:leader="none"/>
        </w:tabs>
        <w:spacing w:line="240" w:lineRule="auto" w:before="113" w:after="0"/>
        <w:ind w:left="541" w:right="0" w:hanging="397"/>
        <w:jc w:val="left"/>
        <w:rPr>
          <w:rFonts w:ascii="Lucida Sans"/>
          <w:sz w:val="18"/>
        </w:rPr>
      </w:pPr>
      <w:r>
        <w:rPr>
          <w:rFonts w:ascii="Lucida Sans"/>
          <w:color w:val="231F20"/>
          <w:spacing w:val="-4"/>
          <w:sz w:val="18"/>
        </w:rPr>
        <w:t>Medicinal Cannabis</w:t>
      </w:r>
      <w:r>
        <w:rPr>
          <w:rFonts w:ascii="Lucida Sans"/>
          <w:color w:val="231F20"/>
          <w:spacing w:val="-36"/>
          <w:sz w:val="18"/>
        </w:rPr>
        <w:t> </w:t>
      </w:r>
      <w:r>
        <w:rPr>
          <w:rFonts w:ascii="Lucida Sans"/>
          <w:color w:val="231F20"/>
          <w:spacing w:val="-4"/>
          <w:sz w:val="18"/>
        </w:rPr>
        <w:t>(2015)</w:t>
      </w:r>
    </w:p>
    <w:p>
      <w:pPr>
        <w:pStyle w:val="ListParagraph"/>
        <w:numPr>
          <w:ilvl w:val="0"/>
          <w:numId w:val="227"/>
        </w:numPr>
        <w:tabs>
          <w:tab w:pos="541" w:val="left" w:leader="none"/>
          <w:tab w:pos="542" w:val="left" w:leader="none"/>
        </w:tabs>
        <w:spacing w:line="244" w:lineRule="auto" w:before="117" w:after="0"/>
        <w:ind w:left="541" w:right="700" w:hanging="397"/>
        <w:jc w:val="left"/>
        <w:rPr>
          <w:rFonts w:ascii="Lucida Sans"/>
          <w:sz w:val="18"/>
        </w:rPr>
      </w:pPr>
      <w:r>
        <w:rPr>
          <w:rFonts w:ascii="Lucida Sans"/>
          <w:color w:val="231F20"/>
          <w:spacing w:val="-3"/>
          <w:w w:val="90"/>
          <w:sz w:val="18"/>
        </w:rPr>
        <w:t>Use</w:t>
      </w:r>
      <w:r>
        <w:rPr>
          <w:rFonts w:ascii="Lucida Sans"/>
          <w:color w:val="231F20"/>
          <w:spacing w:val="-22"/>
          <w:w w:val="90"/>
          <w:sz w:val="18"/>
        </w:rPr>
        <w:t> </w:t>
      </w:r>
      <w:r>
        <w:rPr>
          <w:rFonts w:ascii="Lucida Sans"/>
          <w:color w:val="231F20"/>
          <w:w w:val="90"/>
          <w:sz w:val="18"/>
        </w:rPr>
        <w:t>of</w:t>
      </w:r>
      <w:r>
        <w:rPr>
          <w:rFonts w:ascii="Lucida Sans"/>
          <w:color w:val="231F20"/>
          <w:spacing w:val="-21"/>
          <w:w w:val="90"/>
          <w:sz w:val="18"/>
        </w:rPr>
        <w:t> </w:t>
      </w:r>
      <w:r>
        <w:rPr>
          <w:rFonts w:ascii="Lucida Sans"/>
          <w:color w:val="231F20"/>
          <w:spacing w:val="-4"/>
          <w:w w:val="90"/>
          <w:sz w:val="18"/>
        </w:rPr>
        <w:t>Regulatory</w:t>
      </w:r>
      <w:r>
        <w:rPr>
          <w:rFonts w:ascii="Lucida Sans"/>
          <w:color w:val="231F20"/>
          <w:spacing w:val="-21"/>
          <w:w w:val="90"/>
          <w:sz w:val="18"/>
        </w:rPr>
        <w:t> </w:t>
      </w:r>
      <w:r>
        <w:rPr>
          <w:rFonts w:ascii="Lucida Sans"/>
          <w:color w:val="231F20"/>
          <w:spacing w:val="-4"/>
          <w:w w:val="90"/>
          <w:sz w:val="18"/>
        </w:rPr>
        <w:t>Regimes</w:t>
      </w:r>
      <w:r>
        <w:rPr>
          <w:rFonts w:ascii="Lucida Sans"/>
          <w:color w:val="231F20"/>
          <w:spacing w:val="-22"/>
          <w:w w:val="90"/>
          <w:sz w:val="18"/>
        </w:rPr>
        <w:t> </w:t>
      </w:r>
      <w:r>
        <w:rPr>
          <w:rFonts w:ascii="Lucida Sans"/>
          <w:color w:val="231F20"/>
          <w:w w:val="90"/>
          <w:sz w:val="18"/>
        </w:rPr>
        <w:t>in</w:t>
      </w:r>
      <w:r>
        <w:rPr>
          <w:rFonts w:ascii="Lucida Sans"/>
          <w:color w:val="231F20"/>
          <w:spacing w:val="-21"/>
          <w:w w:val="90"/>
          <w:sz w:val="18"/>
        </w:rPr>
        <w:t> </w:t>
      </w:r>
      <w:r>
        <w:rPr>
          <w:rFonts w:ascii="Lucida Sans"/>
          <w:color w:val="231F20"/>
          <w:spacing w:val="-4"/>
          <w:w w:val="90"/>
          <w:sz w:val="18"/>
        </w:rPr>
        <w:t>Preventing</w:t>
      </w:r>
      <w:r>
        <w:rPr>
          <w:rFonts w:ascii="Lucida Sans"/>
          <w:color w:val="231F20"/>
          <w:spacing w:val="-21"/>
          <w:w w:val="90"/>
          <w:sz w:val="18"/>
        </w:rPr>
        <w:t> </w:t>
      </w:r>
      <w:r>
        <w:rPr>
          <w:rFonts w:ascii="Lucida Sans"/>
          <w:color w:val="231F20"/>
          <w:spacing w:val="-4"/>
          <w:w w:val="90"/>
          <w:sz w:val="18"/>
        </w:rPr>
        <w:t>the </w:t>
      </w:r>
      <w:r>
        <w:rPr>
          <w:rFonts w:ascii="Lucida Sans"/>
          <w:color w:val="231F20"/>
          <w:spacing w:val="-4"/>
          <w:w w:val="95"/>
          <w:sz w:val="18"/>
        </w:rPr>
        <w:t>Infiltration</w:t>
      </w:r>
      <w:r>
        <w:rPr>
          <w:rFonts w:ascii="Lucida Sans"/>
          <w:color w:val="231F20"/>
          <w:spacing w:val="-39"/>
          <w:w w:val="95"/>
          <w:sz w:val="18"/>
        </w:rPr>
        <w:t> </w:t>
      </w:r>
      <w:r>
        <w:rPr>
          <w:rFonts w:ascii="Lucida Sans"/>
          <w:color w:val="231F20"/>
          <w:w w:val="95"/>
          <w:sz w:val="18"/>
        </w:rPr>
        <w:t>of</w:t>
      </w:r>
      <w:r>
        <w:rPr>
          <w:rFonts w:ascii="Lucida Sans"/>
          <w:color w:val="231F20"/>
          <w:spacing w:val="-38"/>
          <w:w w:val="95"/>
          <w:sz w:val="18"/>
        </w:rPr>
        <w:t> </w:t>
      </w:r>
      <w:r>
        <w:rPr>
          <w:rFonts w:ascii="Lucida Sans"/>
          <w:color w:val="231F20"/>
          <w:spacing w:val="-4"/>
          <w:w w:val="95"/>
          <w:sz w:val="18"/>
        </w:rPr>
        <w:t>Organised</w:t>
      </w:r>
      <w:r>
        <w:rPr>
          <w:rFonts w:ascii="Lucida Sans"/>
          <w:color w:val="231F20"/>
          <w:spacing w:val="-38"/>
          <w:w w:val="95"/>
          <w:sz w:val="18"/>
        </w:rPr>
        <w:t> </w:t>
      </w:r>
      <w:r>
        <w:rPr>
          <w:rFonts w:ascii="Lucida Sans"/>
          <w:color w:val="231F20"/>
          <w:spacing w:val="-4"/>
          <w:w w:val="95"/>
          <w:sz w:val="18"/>
        </w:rPr>
        <w:t>Crime</w:t>
      </w:r>
      <w:r>
        <w:rPr>
          <w:rFonts w:ascii="Lucida Sans"/>
          <w:color w:val="231F20"/>
          <w:spacing w:val="-38"/>
          <w:w w:val="95"/>
          <w:sz w:val="18"/>
        </w:rPr>
        <w:t> </w:t>
      </w:r>
      <w:r>
        <w:rPr>
          <w:rFonts w:ascii="Lucida Sans"/>
          <w:color w:val="231F20"/>
          <w:spacing w:val="-3"/>
          <w:w w:val="95"/>
          <w:sz w:val="18"/>
        </w:rPr>
        <w:t>into</w:t>
      </w:r>
      <w:r>
        <w:rPr>
          <w:rFonts w:ascii="Lucida Sans"/>
          <w:color w:val="231F20"/>
          <w:spacing w:val="-38"/>
          <w:w w:val="95"/>
          <w:sz w:val="18"/>
        </w:rPr>
        <w:t> </w:t>
      </w:r>
      <w:r>
        <w:rPr>
          <w:rFonts w:ascii="Lucida Sans"/>
          <w:color w:val="231F20"/>
          <w:spacing w:val="-4"/>
          <w:w w:val="95"/>
          <w:sz w:val="18"/>
        </w:rPr>
        <w:t>Lawful </w:t>
      </w:r>
      <w:r>
        <w:rPr>
          <w:rFonts w:ascii="Lucida Sans"/>
          <w:color w:val="231F20"/>
          <w:spacing w:val="-4"/>
          <w:sz w:val="18"/>
        </w:rPr>
        <w:t>Occupations</w:t>
      </w:r>
      <w:r>
        <w:rPr>
          <w:rFonts w:ascii="Lucida Sans"/>
          <w:color w:val="231F20"/>
          <w:spacing w:val="-33"/>
          <w:sz w:val="18"/>
        </w:rPr>
        <w:t> </w:t>
      </w:r>
      <w:r>
        <w:rPr>
          <w:rFonts w:ascii="Lucida Sans"/>
          <w:color w:val="231F20"/>
          <w:spacing w:val="-3"/>
          <w:sz w:val="18"/>
        </w:rPr>
        <w:t>and</w:t>
      </w:r>
      <w:r>
        <w:rPr>
          <w:rFonts w:ascii="Lucida Sans"/>
          <w:color w:val="231F20"/>
          <w:spacing w:val="-32"/>
          <w:sz w:val="18"/>
        </w:rPr>
        <w:t> </w:t>
      </w:r>
      <w:r>
        <w:rPr>
          <w:rFonts w:ascii="Lucida Sans"/>
          <w:color w:val="231F20"/>
          <w:spacing w:val="-4"/>
          <w:sz w:val="18"/>
        </w:rPr>
        <w:t>Industries</w:t>
      </w:r>
      <w:r>
        <w:rPr>
          <w:rFonts w:ascii="Lucida Sans"/>
          <w:color w:val="231F20"/>
          <w:spacing w:val="-33"/>
          <w:sz w:val="18"/>
        </w:rPr>
        <w:t> </w:t>
      </w:r>
      <w:r>
        <w:rPr>
          <w:rFonts w:ascii="Lucida Sans"/>
          <w:color w:val="231F20"/>
          <w:spacing w:val="-4"/>
          <w:sz w:val="18"/>
        </w:rPr>
        <w:t>(2016)</w:t>
      </w:r>
    </w:p>
    <w:p>
      <w:pPr>
        <w:pStyle w:val="ListParagraph"/>
        <w:numPr>
          <w:ilvl w:val="0"/>
          <w:numId w:val="227"/>
        </w:numPr>
        <w:tabs>
          <w:tab w:pos="541" w:val="left" w:leader="none"/>
          <w:tab w:pos="542" w:val="left" w:leader="none"/>
        </w:tabs>
        <w:spacing w:line="244" w:lineRule="auto" w:before="113" w:after="0"/>
        <w:ind w:left="541" w:right="730" w:hanging="397"/>
        <w:jc w:val="left"/>
        <w:rPr>
          <w:rFonts w:ascii="Lucida Sans"/>
          <w:sz w:val="18"/>
        </w:rPr>
      </w:pPr>
      <w:r>
        <w:rPr>
          <w:rFonts w:ascii="Lucida Sans"/>
          <w:color w:val="231F20"/>
          <w:spacing w:val="-3"/>
          <w:w w:val="90"/>
          <w:sz w:val="18"/>
        </w:rPr>
        <w:t>The</w:t>
      </w:r>
      <w:r>
        <w:rPr>
          <w:rFonts w:ascii="Lucida Sans"/>
          <w:color w:val="231F20"/>
          <w:spacing w:val="-20"/>
          <w:w w:val="90"/>
          <w:sz w:val="18"/>
        </w:rPr>
        <w:t> </w:t>
      </w:r>
      <w:r>
        <w:rPr>
          <w:rFonts w:ascii="Lucida Sans"/>
          <w:color w:val="231F20"/>
          <w:spacing w:val="-3"/>
          <w:w w:val="90"/>
          <w:sz w:val="18"/>
        </w:rPr>
        <w:t>Role</w:t>
      </w:r>
      <w:r>
        <w:rPr>
          <w:rFonts w:ascii="Lucida Sans"/>
          <w:color w:val="231F20"/>
          <w:spacing w:val="-19"/>
          <w:w w:val="90"/>
          <w:sz w:val="18"/>
        </w:rPr>
        <w:t> </w:t>
      </w:r>
      <w:r>
        <w:rPr>
          <w:rFonts w:ascii="Lucida Sans"/>
          <w:color w:val="231F20"/>
          <w:w w:val="90"/>
          <w:sz w:val="18"/>
        </w:rPr>
        <w:t>of</w:t>
      </w:r>
      <w:r>
        <w:rPr>
          <w:rFonts w:ascii="Lucida Sans"/>
          <w:color w:val="231F20"/>
          <w:spacing w:val="-20"/>
          <w:w w:val="90"/>
          <w:sz w:val="18"/>
        </w:rPr>
        <w:t> </w:t>
      </w:r>
      <w:r>
        <w:rPr>
          <w:rFonts w:ascii="Lucida Sans"/>
          <w:color w:val="231F20"/>
          <w:spacing w:val="-4"/>
          <w:w w:val="90"/>
          <w:sz w:val="18"/>
        </w:rPr>
        <w:t>Victims</w:t>
      </w:r>
      <w:r>
        <w:rPr>
          <w:rFonts w:ascii="Lucida Sans"/>
          <w:color w:val="231F20"/>
          <w:spacing w:val="-19"/>
          <w:w w:val="90"/>
          <w:sz w:val="18"/>
        </w:rPr>
        <w:t> </w:t>
      </w:r>
      <w:r>
        <w:rPr>
          <w:rFonts w:ascii="Lucida Sans"/>
          <w:color w:val="231F20"/>
          <w:w w:val="90"/>
          <w:sz w:val="18"/>
        </w:rPr>
        <w:t>of</w:t>
      </w:r>
      <w:r>
        <w:rPr>
          <w:rFonts w:ascii="Lucida Sans"/>
          <w:color w:val="231F20"/>
          <w:spacing w:val="-19"/>
          <w:w w:val="90"/>
          <w:sz w:val="18"/>
        </w:rPr>
        <w:t> </w:t>
      </w:r>
      <w:r>
        <w:rPr>
          <w:rFonts w:ascii="Lucida Sans"/>
          <w:color w:val="231F20"/>
          <w:spacing w:val="-4"/>
          <w:w w:val="90"/>
          <w:sz w:val="18"/>
        </w:rPr>
        <w:t>Crime</w:t>
      </w:r>
      <w:r>
        <w:rPr>
          <w:rFonts w:ascii="Lucida Sans"/>
          <w:color w:val="231F20"/>
          <w:spacing w:val="-20"/>
          <w:w w:val="90"/>
          <w:sz w:val="18"/>
        </w:rPr>
        <w:t> </w:t>
      </w:r>
      <w:r>
        <w:rPr>
          <w:rFonts w:ascii="Lucida Sans"/>
          <w:color w:val="231F20"/>
          <w:w w:val="90"/>
          <w:sz w:val="18"/>
        </w:rPr>
        <w:t>in</w:t>
      </w:r>
      <w:r>
        <w:rPr>
          <w:rFonts w:ascii="Lucida Sans"/>
          <w:color w:val="231F20"/>
          <w:spacing w:val="-19"/>
          <w:w w:val="90"/>
          <w:sz w:val="18"/>
        </w:rPr>
        <w:t> </w:t>
      </w:r>
      <w:r>
        <w:rPr>
          <w:rFonts w:ascii="Lucida Sans"/>
          <w:color w:val="231F20"/>
          <w:spacing w:val="-3"/>
          <w:w w:val="90"/>
          <w:sz w:val="18"/>
        </w:rPr>
        <w:t>the</w:t>
      </w:r>
      <w:r>
        <w:rPr>
          <w:rFonts w:ascii="Lucida Sans"/>
          <w:color w:val="231F20"/>
          <w:spacing w:val="-19"/>
          <w:w w:val="90"/>
          <w:sz w:val="18"/>
        </w:rPr>
        <w:t> </w:t>
      </w:r>
      <w:r>
        <w:rPr>
          <w:rFonts w:ascii="Lucida Sans"/>
          <w:color w:val="231F20"/>
          <w:spacing w:val="-4"/>
          <w:w w:val="90"/>
          <w:sz w:val="18"/>
        </w:rPr>
        <w:t>Criminal </w:t>
      </w:r>
      <w:r>
        <w:rPr>
          <w:rFonts w:ascii="Lucida Sans"/>
          <w:color w:val="231F20"/>
          <w:spacing w:val="-7"/>
          <w:w w:val="95"/>
          <w:sz w:val="18"/>
        </w:rPr>
        <w:t>Trial </w:t>
      </w:r>
      <w:r>
        <w:rPr>
          <w:rFonts w:ascii="Lucida Sans"/>
          <w:color w:val="231F20"/>
          <w:spacing w:val="-4"/>
          <w:w w:val="95"/>
          <w:sz w:val="18"/>
        </w:rPr>
        <w:t>Process</w:t>
      </w:r>
      <w:r>
        <w:rPr>
          <w:rFonts w:ascii="Lucida Sans"/>
          <w:color w:val="231F20"/>
          <w:spacing w:val="-25"/>
          <w:w w:val="95"/>
          <w:sz w:val="18"/>
        </w:rPr>
        <w:t> </w:t>
      </w:r>
      <w:r>
        <w:rPr>
          <w:rFonts w:ascii="Lucida Sans"/>
          <w:color w:val="231F20"/>
          <w:spacing w:val="-4"/>
          <w:w w:val="95"/>
          <w:sz w:val="18"/>
        </w:rPr>
        <w:t>(2016)</w:t>
      </w:r>
    </w:p>
    <w:p>
      <w:pPr>
        <w:pStyle w:val="ListParagraph"/>
        <w:numPr>
          <w:ilvl w:val="0"/>
          <w:numId w:val="227"/>
        </w:numPr>
        <w:tabs>
          <w:tab w:pos="541" w:val="left" w:leader="none"/>
          <w:tab w:pos="542" w:val="left" w:leader="none"/>
        </w:tabs>
        <w:spacing w:line="240" w:lineRule="auto" w:before="113" w:after="0"/>
        <w:ind w:left="541" w:right="0" w:hanging="397"/>
        <w:jc w:val="left"/>
        <w:rPr>
          <w:rFonts w:ascii="Lucida Sans"/>
          <w:sz w:val="18"/>
        </w:rPr>
      </w:pPr>
      <w:r>
        <w:rPr>
          <w:rFonts w:ascii="Lucida Sans"/>
          <w:color w:val="231F20"/>
          <w:spacing w:val="-4"/>
          <w:sz w:val="18"/>
        </w:rPr>
        <w:t>Funeral</w:t>
      </w:r>
      <w:r>
        <w:rPr>
          <w:rFonts w:ascii="Lucida Sans"/>
          <w:color w:val="231F20"/>
          <w:spacing w:val="-28"/>
          <w:sz w:val="18"/>
        </w:rPr>
        <w:t> </w:t>
      </w:r>
      <w:r>
        <w:rPr>
          <w:rFonts w:ascii="Lucida Sans"/>
          <w:color w:val="231F20"/>
          <w:spacing w:val="-3"/>
          <w:sz w:val="18"/>
        </w:rPr>
        <w:t>and</w:t>
      </w:r>
      <w:r>
        <w:rPr>
          <w:rFonts w:ascii="Lucida Sans"/>
          <w:color w:val="231F20"/>
          <w:spacing w:val="-27"/>
          <w:sz w:val="18"/>
        </w:rPr>
        <w:t> </w:t>
      </w:r>
      <w:r>
        <w:rPr>
          <w:rFonts w:ascii="Lucida Sans"/>
          <w:color w:val="231F20"/>
          <w:spacing w:val="-4"/>
          <w:sz w:val="18"/>
        </w:rPr>
        <w:t>Burial</w:t>
      </w:r>
      <w:r>
        <w:rPr>
          <w:rFonts w:ascii="Lucida Sans"/>
          <w:color w:val="231F20"/>
          <w:spacing w:val="-27"/>
          <w:sz w:val="18"/>
        </w:rPr>
        <w:t> </w:t>
      </w:r>
      <w:r>
        <w:rPr>
          <w:rFonts w:ascii="Lucida Sans"/>
          <w:color w:val="231F20"/>
          <w:spacing w:val="-4"/>
          <w:sz w:val="18"/>
        </w:rPr>
        <w:t>Instructions</w:t>
      </w:r>
      <w:r>
        <w:rPr>
          <w:rFonts w:ascii="Lucida Sans"/>
          <w:color w:val="231F20"/>
          <w:spacing w:val="-28"/>
          <w:sz w:val="18"/>
        </w:rPr>
        <w:t> </w:t>
      </w:r>
      <w:r>
        <w:rPr>
          <w:rFonts w:ascii="Lucida Sans"/>
          <w:color w:val="231F20"/>
          <w:spacing w:val="-4"/>
          <w:sz w:val="18"/>
        </w:rPr>
        <w:t>(2016)*</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sz w:val="18"/>
        </w:rPr>
      </w:pPr>
      <w:r>
        <w:rPr>
          <w:rFonts w:ascii="Lucida Sans"/>
          <w:color w:val="231F20"/>
          <w:spacing w:val="-4"/>
          <w:sz w:val="18"/>
        </w:rPr>
        <w:t>Review</w:t>
      </w:r>
      <w:r>
        <w:rPr>
          <w:rFonts w:ascii="Lucida Sans"/>
          <w:color w:val="231F20"/>
          <w:spacing w:val="-26"/>
          <w:sz w:val="18"/>
        </w:rPr>
        <w:t> </w:t>
      </w:r>
      <w:r>
        <w:rPr>
          <w:rFonts w:ascii="Lucida Sans"/>
          <w:color w:val="231F20"/>
          <w:sz w:val="18"/>
        </w:rPr>
        <w:t>of</w:t>
      </w:r>
      <w:r>
        <w:rPr>
          <w:rFonts w:ascii="Lucida Sans"/>
          <w:color w:val="231F20"/>
          <w:spacing w:val="-26"/>
          <w:sz w:val="18"/>
        </w:rPr>
        <w:t> </w:t>
      </w:r>
      <w:r>
        <w:rPr>
          <w:rFonts w:ascii="Lucida Sans"/>
          <w:color w:val="231F20"/>
          <w:spacing w:val="-3"/>
          <w:sz w:val="18"/>
        </w:rPr>
        <w:t>the</w:t>
      </w:r>
      <w:r>
        <w:rPr>
          <w:rFonts w:ascii="Lucida Sans"/>
          <w:color w:val="231F20"/>
          <w:spacing w:val="-25"/>
          <w:sz w:val="18"/>
        </w:rPr>
        <w:t> </w:t>
      </w:r>
      <w:r>
        <w:rPr>
          <w:rFonts w:ascii="Lucida Sans"/>
          <w:i/>
          <w:color w:val="231F20"/>
          <w:spacing w:val="-4"/>
          <w:sz w:val="18"/>
        </w:rPr>
        <w:t>Adoption</w:t>
      </w:r>
      <w:r>
        <w:rPr>
          <w:rFonts w:ascii="Lucida Sans"/>
          <w:i/>
          <w:color w:val="231F20"/>
          <w:spacing w:val="-26"/>
          <w:sz w:val="18"/>
        </w:rPr>
        <w:t> </w:t>
      </w:r>
      <w:r>
        <w:rPr>
          <w:rFonts w:ascii="Lucida Sans"/>
          <w:i/>
          <w:color w:val="231F20"/>
          <w:spacing w:val="-3"/>
          <w:sz w:val="18"/>
        </w:rPr>
        <w:t>Act</w:t>
      </w:r>
      <w:r>
        <w:rPr>
          <w:rFonts w:ascii="Lucida Sans"/>
          <w:i/>
          <w:color w:val="231F20"/>
          <w:spacing w:val="-26"/>
          <w:sz w:val="18"/>
        </w:rPr>
        <w:t> </w:t>
      </w:r>
      <w:r>
        <w:rPr>
          <w:rFonts w:ascii="Lucida Sans"/>
          <w:i/>
          <w:color w:val="231F20"/>
          <w:spacing w:val="-3"/>
          <w:sz w:val="18"/>
        </w:rPr>
        <w:t>1984</w:t>
      </w:r>
      <w:r>
        <w:rPr>
          <w:rFonts w:ascii="Lucida Sans"/>
          <w:i/>
          <w:color w:val="231F20"/>
          <w:spacing w:val="-25"/>
          <w:sz w:val="18"/>
        </w:rPr>
        <w:t> </w:t>
      </w:r>
      <w:r>
        <w:rPr>
          <w:rFonts w:ascii="Lucida Sans"/>
          <w:color w:val="231F20"/>
          <w:spacing w:val="-4"/>
          <w:sz w:val="18"/>
        </w:rPr>
        <w:t>(2017)</w:t>
      </w:r>
    </w:p>
    <w:p>
      <w:pPr>
        <w:pStyle w:val="ListParagraph"/>
        <w:numPr>
          <w:ilvl w:val="0"/>
          <w:numId w:val="227"/>
        </w:numPr>
        <w:tabs>
          <w:tab w:pos="541" w:val="left" w:leader="none"/>
          <w:tab w:pos="542" w:val="left" w:leader="none"/>
        </w:tabs>
        <w:spacing w:line="244" w:lineRule="auto" w:before="118" w:after="0"/>
        <w:ind w:left="541" w:right="916" w:hanging="397"/>
        <w:jc w:val="left"/>
        <w:rPr>
          <w:rFonts w:ascii="Lucida Sans" w:hAnsi="Lucida Sans"/>
          <w:sz w:val="18"/>
        </w:rPr>
      </w:pPr>
      <w:r>
        <w:rPr>
          <w:rFonts w:ascii="Lucida Sans" w:hAnsi="Lucida Sans"/>
          <w:color w:val="231F20"/>
          <w:spacing w:val="-4"/>
          <w:w w:val="90"/>
          <w:sz w:val="18"/>
        </w:rPr>
        <w:t>Access</w:t>
      </w:r>
      <w:r>
        <w:rPr>
          <w:rFonts w:ascii="Lucida Sans" w:hAnsi="Lucida Sans"/>
          <w:color w:val="231F20"/>
          <w:spacing w:val="-24"/>
          <w:w w:val="90"/>
          <w:sz w:val="18"/>
        </w:rPr>
        <w:t> </w:t>
      </w:r>
      <w:r>
        <w:rPr>
          <w:rFonts w:ascii="Lucida Sans" w:hAnsi="Lucida Sans"/>
          <w:color w:val="231F20"/>
          <w:w w:val="90"/>
          <w:sz w:val="18"/>
        </w:rPr>
        <w:t>to</w:t>
      </w:r>
      <w:r>
        <w:rPr>
          <w:rFonts w:ascii="Lucida Sans" w:hAnsi="Lucida Sans"/>
          <w:color w:val="231F20"/>
          <w:spacing w:val="-23"/>
          <w:w w:val="90"/>
          <w:sz w:val="18"/>
        </w:rPr>
        <w:t> </w:t>
      </w:r>
      <w:r>
        <w:rPr>
          <w:rFonts w:ascii="Lucida Sans" w:hAnsi="Lucida Sans"/>
          <w:color w:val="231F20"/>
          <w:spacing w:val="-4"/>
          <w:w w:val="90"/>
          <w:sz w:val="18"/>
        </w:rPr>
        <w:t>Justice—Litigation</w:t>
      </w:r>
      <w:r>
        <w:rPr>
          <w:rFonts w:ascii="Lucida Sans" w:hAnsi="Lucida Sans"/>
          <w:color w:val="231F20"/>
          <w:spacing w:val="-23"/>
          <w:w w:val="90"/>
          <w:sz w:val="18"/>
        </w:rPr>
        <w:t> </w:t>
      </w:r>
      <w:r>
        <w:rPr>
          <w:rFonts w:ascii="Lucida Sans" w:hAnsi="Lucida Sans"/>
          <w:color w:val="231F20"/>
          <w:spacing w:val="-4"/>
          <w:w w:val="90"/>
          <w:sz w:val="18"/>
        </w:rPr>
        <w:t>Funding</w:t>
      </w:r>
      <w:r>
        <w:rPr>
          <w:rFonts w:ascii="Lucida Sans" w:hAnsi="Lucida Sans"/>
          <w:color w:val="231F20"/>
          <w:spacing w:val="-23"/>
          <w:w w:val="90"/>
          <w:sz w:val="18"/>
        </w:rPr>
        <w:t> </w:t>
      </w:r>
      <w:r>
        <w:rPr>
          <w:rFonts w:ascii="Lucida Sans" w:hAnsi="Lucida Sans"/>
          <w:color w:val="231F20"/>
          <w:spacing w:val="-4"/>
          <w:w w:val="90"/>
          <w:sz w:val="18"/>
        </w:rPr>
        <w:t>and </w:t>
      </w:r>
      <w:r>
        <w:rPr>
          <w:rFonts w:ascii="Lucida Sans" w:hAnsi="Lucida Sans"/>
          <w:color w:val="231F20"/>
          <w:spacing w:val="-4"/>
          <w:sz w:val="18"/>
        </w:rPr>
        <w:t>Group Proceedings</w:t>
      </w:r>
      <w:r>
        <w:rPr>
          <w:rFonts w:ascii="Lucida Sans" w:hAnsi="Lucida Sans"/>
          <w:color w:val="231F20"/>
          <w:spacing w:val="-44"/>
          <w:sz w:val="18"/>
        </w:rPr>
        <w:t> </w:t>
      </w:r>
      <w:r>
        <w:rPr>
          <w:rFonts w:ascii="Lucida Sans" w:hAnsi="Lucida Sans"/>
          <w:color w:val="231F20"/>
          <w:spacing w:val="-4"/>
          <w:sz w:val="18"/>
        </w:rPr>
        <w:t>(2018)</w:t>
      </w:r>
    </w:p>
    <w:p>
      <w:pPr>
        <w:pStyle w:val="ListParagraph"/>
        <w:numPr>
          <w:ilvl w:val="0"/>
          <w:numId w:val="227"/>
        </w:numPr>
        <w:tabs>
          <w:tab w:pos="541" w:val="left" w:leader="none"/>
          <w:tab w:pos="542" w:val="left" w:leader="none"/>
        </w:tabs>
        <w:spacing w:line="240" w:lineRule="auto" w:before="112" w:after="0"/>
        <w:ind w:left="541" w:right="0" w:hanging="397"/>
        <w:jc w:val="left"/>
        <w:rPr>
          <w:rFonts w:ascii="Lucida Sans"/>
          <w:i/>
          <w:sz w:val="18"/>
        </w:rPr>
      </w:pPr>
      <w:r>
        <w:rPr>
          <w:rFonts w:ascii="Lucida Sans"/>
          <w:color w:val="231F20"/>
          <w:spacing w:val="-4"/>
          <w:w w:val="95"/>
          <w:sz w:val="18"/>
        </w:rPr>
        <w:t>Review</w:t>
      </w:r>
      <w:r>
        <w:rPr>
          <w:rFonts w:ascii="Lucida Sans"/>
          <w:color w:val="231F20"/>
          <w:spacing w:val="-35"/>
          <w:w w:val="95"/>
          <w:sz w:val="18"/>
        </w:rPr>
        <w:t> </w:t>
      </w:r>
      <w:r>
        <w:rPr>
          <w:rFonts w:ascii="Lucida Sans"/>
          <w:color w:val="231F20"/>
          <w:w w:val="95"/>
          <w:sz w:val="18"/>
        </w:rPr>
        <w:t>of</w:t>
      </w:r>
      <w:r>
        <w:rPr>
          <w:rFonts w:ascii="Lucida Sans"/>
          <w:color w:val="231F20"/>
          <w:spacing w:val="-35"/>
          <w:w w:val="95"/>
          <w:sz w:val="18"/>
        </w:rPr>
        <w:t> </w:t>
      </w:r>
      <w:r>
        <w:rPr>
          <w:rFonts w:ascii="Lucida Sans"/>
          <w:color w:val="231F20"/>
          <w:spacing w:val="-3"/>
          <w:w w:val="95"/>
          <w:sz w:val="18"/>
        </w:rPr>
        <w:t>the</w:t>
      </w:r>
      <w:r>
        <w:rPr>
          <w:rFonts w:ascii="Lucida Sans"/>
          <w:color w:val="231F20"/>
          <w:spacing w:val="-34"/>
          <w:w w:val="95"/>
          <w:sz w:val="18"/>
        </w:rPr>
        <w:t> </w:t>
      </w:r>
      <w:r>
        <w:rPr>
          <w:rFonts w:ascii="Lucida Sans"/>
          <w:i/>
          <w:color w:val="231F20"/>
          <w:spacing w:val="-4"/>
          <w:w w:val="95"/>
          <w:sz w:val="18"/>
        </w:rPr>
        <w:t>Victims</w:t>
      </w:r>
      <w:r>
        <w:rPr>
          <w:rFonts w:ascii="Lucida Sans"/>
          <w:i/>
          <w:color w:val="231F20"/>
          <w:spacing w:val="-35"/>
          <w:w w:val="95"/>
          <w:sz w:val="18"/>
        </w:rPr>
        <w:t> </w:t>
      </w:r>
      <w:r>
        <w:rPr>
          <w:rFonts w:ascii="Lucida Sans"/>
          <w:i/>
          <w:color w:val="231F20"/>
          <w:w w:val="95"/>
          <w:sz w:val="18"/>
        </w:rPr>
        <w:t>of</w:t>
      </w:r>
      <w:r>
        <w:rPr>
          <w:rFonts w:ascii="Lucida Sans"/>
          <w:i/>
          <w:color w:val="231F20"/>
          <w:spacing w:val="-34"/>
          <w:w w:val="95"/>
          <w:sz w:val="18"/>
        </w:rPr>
        <w:t> </w:t>
      </w:r>
      <w:r>
        <w:rPr>
          <w:rFonts w:ascii="Lucida Sans"/>
          <w:i/>
          <w:color w:val="231F20"/>
          <w:spacing w:val="-4"/>
          <w:w w:val="95"/>
          <w:sz w:val="18"/>
        </w:rPr>
        <w:t>Crime</w:t>
      </w:r>
      <w:r>
        <w:rPr>
          <w:rFonts w:ascii="Lucida Sans"/>
          <w:i/>
          <w:color w:val="231F20"/>
          <w:spacing w:val="-35"/>
          <w:w w:val="95"/>
          <w:sz w:val="18"/>
        </w:rPr>
        <w:t> </w:t>
      </w:r>
      <w:r>
        <w:rPr>
          <w:rFonts w:ascii="Lucida Sans"/>
          <w:i/>
          <w:color w:val="231F20"/>
          <w:spacing w:val="-4"/>
          <w:w w:val="95"/>
          <w:sz w:val="18"/>
        </w:rPr>
        <w:t>Assistance</w:t>
      </w:r>
      <w:r>
        <w:rPr>
          <w:rFonts w:ascii="Lucida Sans"/>
          <w:i/>
          <w:color w:val="231F20"/>
          <w:spacing w:val="-34"/>
          <w:w w:val="95"/>
          <w:sz w:val="18"/>
        </w:rPr>
        <w:t> </w:t>
      </w:r>
      <w:r>
        <w:rPr>
          <w:rFonts w:ascii="Lucida Sans"/>
          <w:i/>
          <w:color w:val="231F20"/>
          <w:spacing w:val="-3"/>
          <w:w w:val="95"/>
          <w:sz w:val="18"/>
        </w:rPr>
        <w:t>Act</w:t>
      </w:r>
      <w:r>
        <w:rPr>
          <w:rFonts w:ascii="Lucida Sans"/>
          <w:i/>
          <w:color w:val="231F20"/>
          <w:spacing w:val="-35"/>
          <w:w w:val="95"/>
          <w:sz w:val="18"/>
        </w:rPr>
        <w:t> </w:t>
      </w:r>
      <w:r>
        <w:rPr>
          <w:rFonts w:ascii="Lucida Sans"/>
          <w:i/>
          <w:color w:val="231F20"/>
          <w:spacing w:val="-4"/>
          <w:w w:val="95"/>
          <w:sz w:val="18"/>
        </w:rPr>
        <w:t>1996</w:t>
      </w:r>
    </w:p>
    <w:p>
      <w:pPr>
        <w:spacing w:before="5"/>
        <w:ind w:left="541" w:right="0" w:firstLine="0"/>
        <w:jc w:val="left"/>
        <w:rPr>
          <w:rFonts w:ascii="Lucida Sans"/>
          <w:sz w:val="18"/>
        </w:rPr>
      </w:pPr>
      <w:r>
        <w:rPr>
          <w:rFonts w:ascii="Lucida Sans"/>
          <w:color w:val="231F20"/>
          <w:w w:val="95"/>
          <w:sz w:val="18"/>
        </w:rPr>
        <w:t>(2018)</w:t>
      </w:r>
    </w:p>
    <w:p>
      <w:pPr>
        <w:pStyle w:val="ListParagraph"/>
        <w:numPr>
          <w:ilvl w:val="0"/>
          <w:numId w:val="227"/>
        </w:numPr>
        <w:tabs>
          <w:tab w:pos="541" w:val="left" w:leader="none"/>
          <w:tab w:pos="542" w:val="left" w:leader="none"/>
        </w:tabs>
        <w:spacing w:line="240" w:lineRule="auto" w:before="117" w:after="0"/>
        <w:ind w:left="541" w:right="0" w:hanging="397"/>
        <w:jc w:val="left"/>
        <w:rPr>
          <w:rFonts w:ascii="Lucida Sans"/>
          <w:sz w:val="18"/>
        </w:rPr>
      </w:pPr>
      <w:r>
        <w:rPr>
          <w:rFonts w:ascii="Lucida Sans"/>
          <w:color w:val="231F20"/>
          <w:spacing w:val="-4"/>
          <w:sz w:val="18"/>
        </w:rPr>
        <w:t>Neighbourhood</w:t>
      </w:r>
      <w:r>
        <w:rPr>
          <w:rFonts w:ascii="Lucida Sans"/>
          <w:color w:val="231F20"/>
          <w:spacing w:val="-28"/>
          <w:sz w:val="18"/>
        </w:rPr>
        <w:t> </w:t>
      </w:r>
      <w:r>
        <w:rPr>
          <w:rFonts w:ascii="Lucida Sans"/>
          <w:color w:val="231F20"/>
          <w:spacing w:val="-8"/>
          <w:sz w:val="18"/>
        </w:rPr>
        <w:t>Tree</w:t>
      </w:r>
      <w:r>
        <w:rPr>
          <w:rFonts w:ascii="Lucida Sans"/>
          <w:color w:val="231F20"/>
          <w:spacing w:val="-27"/>
          <w:sz w:val="18"/>
        </w:rPr>
        <w:t> </w:t>
      </w:r>
      <w:r>
        <w:rPr>
          <w:rFonts w:ascii="Lucida Sans"/>
          <w:color w:val="231F20"/>
          <w:spacing w:val="-4"/>
          <w:sz w:val="18"/>
        </w:rPr>
        <w:t>Disputes</w:t>
      </w:r>
      <w:r>
        <w:rPr>
          <w:rFonts w:ascii="Lucida Sans"/>
          <w:color w:val="231F20"/>
          <w:spacing w:val="-27"/>
          <w:sz w:val="18"/>
        </w:rPr>
        <w:t> </w:t>
      </w:r>
      <w:r>
        <w:rPr>
          <w:rFonts w:ascii="Lucida Sans"/>
          <w:color w:val="231F20"/>
          <w:spacing w:val="-4"/>
          <w:sz w:val="18"/>
        </w:rPr>
        <w:t>(2019)*</w:t>
      </w:r>
    </w:p>
    <w:p>
      <w:pPr>
        <w:pStyle w:val="BodyText"/>
        <w:rPr>
          <w:rFonts w:ascii="Lucida Sans"/>
          <w:sz w:val="20"/>
        </w:rPr>
      </w:pPr>
    </w:p>
    <w:p>
      <w:pPr>
        <w:pStyle w:val="BodyText"/>
        <w:spacing w:before="10"/>
        <w:rPr>
          <w:rFonts w:ascii="Lucida Sans"/>
          <w:sz w:val="25"/>
        </w:rPr>
      </w:pPr>
    </w:p>
    <w:p>
      <w:pPr>
        <w:spacing w:before="0"/>
        <w:ind w:left="144" w:right="0" w:firstLine="0"/>
        <w:jc w:val="left"/>
        <w:rPr>
          <w:rFonts w:ascii="Lucida Sans"/>
          <w:sz w:val="14"/>
        </w:rPr>
      </w:pPr>
      <w:r>
        <w:rPr>
          <w:rFonts w:ascii="Lucida Sans"/>
          <w:color w:val="231F20"/>
          <w:sz w:val="14"/>
        </w:rPr>
        <w:t>* Community law reform project.</w:t>
      </w:r>
    </w:p>
    <w:p>
      <w:pPr>
        <w:spacing w:line="247" w:lineRule="auto" w:before="131"/>
        <w:ind w:left="144" w:right="642" w:firstLine="0"/>
        <w:jc w:val="left"/>
        <w:rPr>
          <w:rFonts w:ascii="Trebuchet MS"/>
          <w:sz w:val="18"/>
        </w:rPr>
      </w:pPr>
      <w:r>
        <w:rPr>
          <w:rFonts w:ascii="Trebuchet MS"/>
          <w:color w:val="231F20"/>
          <w:spacing w:val="-3"/>
          <w:w w:val="105"/>
          <w:sz w:val="18"/>
        </w:rPr>
        <w:t>For</w:t>
      </w:r>
      <w:r>
        <w:rPr>
          <w:rFonts w:ascii="Trebuchet MS"/>
          <w:color w:val="231F20"/>
          <w:spacing w:val="-23"/>
          <w:w w:val="105"/>
          <w:sz w:val="18"/>
        </w:rPr>
        <w:t> </w:t>
      </w:r>
      <w:r>
        <w:rPr>
          <w:rFonts w:ascii="Trebuchet MS"/>
          <w:color w:val="231F20"/>
          <w:w w:val="105"/>
          <w:sz w:val="18"/>
        </w:rPr>
        <w:t>a</w:t>
      </w:r>
      <w:r>
        <w:rPr>
          <w:rFonts w:ascii="Trebuchet MS"/>
          <w:color w:val="231F20"/>
          <w:spacing w:val="-22"/>
          <w:w w:val="105"/>
          <w:sz w:val="18"/>
        </w:rPr>
        <w:t> </w:t>
      </w:r>
      <w:r>
        <w:rPr>
          <w:rFonts w:ascii="Trebuchet MS"/>
          <w:color w:val="231F20"/>
          <w:spacing w:val="-3"/>
          <w:w w:val="105"/>
          <w:sz w:val="18"/>
        </w:rPr>
        <w:t>full</w:t>
      </w:r>
      <w:r>
        <w:rPr>
          <w:rFonts w:ascii="Trebuchet MS"/>
          <w:color w:val="231F20"/>
          <w:spacing w:val="-23"/>
          <w:w w:val="105"/>
          <w:sz w:val="18"/>
        </w:rPr>
        <w:t> </w:t>
      </w:r>
      <w:r>
        <w:rPr>
          <w:rFonts w:ascii="Trebuchet MS"/>
          <w:color w:val="231F20"/>
          <w:spacing w:val="-3"/>
          <w:w w:val="105"/>
          <w:sz w:val="18"/>
        </w:rPr>
        <w:t>list</w:t>
      </w:r>
      <w:r>
        <w:rPr>
          <w:rFonts w:ascii="Trebuchet MS"/>
          <w:color w:val="231F20"/>
          <w:spacing w:val="-22"/>
          <w:w w:val="105"/>
          <w:sz w:val="18"/>
        </w:rPr>
        <w:t> </w:t>
      </w:r>
      <w:r>
        <w:rPr>
          <w:rFonts w:ascii="Trebuchet MS"/>
          <w:color w:val="231F20"/>
          <w:w w:val="105"/>
          <w:sz w:val="18"/>
        </w:rPr>
        <w:t>of</w:t>
      </w:r>
      <w:r>
        <w:rPr>
          <w:rFonts w:ascii="Trebuchet MS"/>
          <w:color w:val="231F20"/>
          <w:spacing w:val="-22"/>
          <w:w w:val="105"/>
          <w:sz w:val="18"/>
        </w:rPr>
        <w:t> </w:t>
      </w:r>
      <w:r>
        <w:rPr>
          <w:rFonts w:ascii="Trebuchet MS"/>
          <w:color w:val="231F20"/>
          <w:spacing w:val="-4"/>
          <w:w w:val="105"/>
          <w:sz w:val="18"/>
        </w:rPr>
        <w:t>publications,</w:t>
      </w:r>
      <w:r>
        <w:rPr>
          <w:rFonts w:ascii="Trebuchet MS"/>
          <w:color w:val="231F20"/>
          <w:spacing w:val="-23"/>
          <w:w w:val="105"/>
          <w:sz w:val="18"/>
        </w:rPr>
        <w:t> </w:t>
      </w:r>
      <w:r>
        <w:rPr>
          <w:rFonts w:ascii="Trebuchet MS"/>
          <w:color w:val="231F20"/>
          <w:spacing w:val="-3"/>
          <w:w w:val="105"/>
          <w:sz w:val="18"/>
        </w:rPr>
        <w:t>and</w:t>
      </w:r>
      <w:r>
        <w:rPr>
          <w:rFonts w:ascii="Trebuchet MS"/>
          <w:color w:val="231F20"/>
          <w:spacing w:val="-22"/>
          <w:w w:val="105"/>
          <w:sz w:val="18"/>
        </w:rPr>
        <w:t> </w:t>
      </w:r>
      <w:r>
        <w:rPr>
          <w:rFonts w:ascii="Trebuchet MS"/>
          <w:color w:val="231F20"/>
          <w:w w:val="105"/>
          <w:sz w:val="18"/>
        </w:rPr>
        <w:t>to</w:t>
      </w:r>
      <w:r>
        <w:rPr>
          <w:rFonts w:ascii="Trebuchet MS"/>
          <w:color w:val="231F20"/>
          <w:spacing w:val="-23"/>
          <w:w w:val="105"/>
          <w:sz w:val="18"/>
        </w:rPr>
        <w:t> </w:t>
      </w:r>
      <w:r>
        <w:rPr>
          <w:rFonts w:ascii="Trebuchet MS"/>
          <w:color w:val="231F20"/>
          <w:spacing w:val="-4"/>
          <w:w w:val="105"/>
          <w:sz w:val="18"/>
        </w:rPr>
        <w:t>access</w:t>
      </w:r>
      <w:r>
        <w:rPr>
          <w:rFonts w:ascii="Trebuchet MS"/>
          <w:color w:val="231F20"/>
          <w:spacing w:val="-22"/>
          <w:w w:val="105"/>
          <w:sz w:val="18"/>
        </w:rPr>
        <w:t> </w:t>
      </w:r>
      <w:r>
        <w:rPr>
          <w:rFonts w:ascii="Trebuchet MS"/>
          <w:color w:val="231F20"/>
          <w:spacing w:val="-4"/>
          <w:w w:val="105"/>
          <w:sz w:val="18"/>
        </w:rPr>
        <w:t>the above</w:t>
      </w:r>
      <w:r>
        <w:rPr>
          <w:rFonts w:ascii="Trebuchet MS"/>
          <w:color w:val="231F20"/>
          <w:spacing w:val="-30"/>
          <w:w w:val="105"/>
          <w:sz w:val="18"/>
        </w:rPr>
        <w:t> </w:t>
      </w:r>
      <w:r>
        <w:rPr>
          <w:rFonts w:ascii="Trebuchet MS"/>
          <w:color w:val="231F20"/>
          <w:spacing w:val="-4"/>
          <w:w w:val="105"/>
          <w:sz w:val="18"/>
        </w:rPr>
        <w:t>reports,</w:t>
      </w:r>
      <w:r>
        <w:rPr>
          <w:rFonts w:ascii="Trebuchet MS"/>
          <w:color w:val="231F20"/>
          <w:spacing w:val="-30"/>
          <w:w w:val="105"/>
          <w:sz w:val="18"/>
        </w:rPr>
        <w:t> </w:t>
      </w:r>
      <w:r>
        <w:rPr>
          <w:rFonts w:ascii="Trebuchet MS"/>
          <w:color w:val="231F20"/>
          <w:spacing w:val="-3"/>
          <w:w w:val="105"/>
          <w:sz w:val="18"/>
        </w:rPr>
        <w:t>see</w:t>
      </w:r>
      <w:r>
        <w:rPr>
          <w:rFonts w:ascii="Trebuchet MS"/>
          <w:color w:val="231F20"/>
          <w:spacing w:val="-30"/>
          <w:w w:val="105"/>
          <w:sz w:val="18"/>
        </w:rPr>
        <w:t> </w:t>
      </w:r>
      <w:hyperlink r:id="rId14">
        <w:r>
          <w:rPr>
            <w:rFonts w:ascii="Trebuchet MS"/>
            <w:color w:val="005B85"/>
            <w:spacing w:val="-5"/>
            <w:w w:val="105"/>
            <w:sz w:val="18"/>
          </w:rPr>
          <w:t>www.lawreform.vic.gov.au</w:t>
        </w:r>
      </w:hyperlink>
    </w:p>
    <w:p>
      <w:pPr>
        <w:spacing w:after="0" w:line="247" w:lineRule="auto"/>
        <w:jc w:val="left"/>
        <w:rPr>
          <w:rFonts w:ascii="Trebuchet MS"/>
          <w:sz w:val="18"/>
        </w:rPr>
        <w:sectPr>
          <w:type w:val="continuous"/>
          <w:pgSz w:w="11940" w:h="16830"/>
          <w:pgMar w:top="300" w:bottom="280" w:left="1440" w:right="1200"/>
          <w:cols w:num="2" w:equalWidth="0">
            <w:col w:w="4683" w:space="136"/>
            <w:col w:w="4481"/>
          </w:cols>
        </w:sectPr>
      </w:pPr>
    </w:p>
    <w:p>
      <w:pPr>
        <w:pStyle w:val="BodyText"/>
        <w:rPr>
          <w:rFonts w:ascii="Trebuchet MS"/>
          <w:sz w:val="20"/>
        </w:rPr>
      </w:pPr>
      <w:r>
        <w:rPr/>
        <w:pict>
          <v:rect style="position:absolute;margin-left:0pt;margin-top:0pt;width:60.185001pt;height:843.011292pt;mso-position-horizontal-relative:page;mso-position-vertical-relative:page;z-index:-443536" filled="true" fillcolor="#eff9fe" stroked="false">
            <v:fill type="solid"/>
            <w10:wrap type="none"/>
          </v:rect>
        </w:pict>
      </w:r>
      <w:r>
        <w:rPr/>
        <w:pict>
          <v:group style="position:absolute;margin-left:59.9021pt;margin-top:0pt;width:537pt;height:843.05pt;mso-position-horizontal-relative:page;mso-position-vertical-relative:page;z-index:-443512" coordorigin="1198,0" coordsize="10740,16861">
            <v:rect style="position:absolute;left:1203;top:0;width:10734;height:16861" filled="true" fillcolor="#ffffff" stroked="false">
              <v:fill type="solid"/>
            </v:rect>
            <v:shape style="position:absolute;left:2087;top:1417;width:1222;height:674" type="#_x0000_t75" stroked="false">
              <v:imagedata r:id="rId506" o:title=""/>
            </v:shape>
            <v:shape style="position:absolute;left:1198;top:1417;width:805;height:674" coordorigin="1198,1417" coordsize="805,674" path="m1415,1538l1405,1528,1382,1528,1373,1538,1373,1561,1382,1570,1405,1570,1415,1561,1415,1538m1590,1417l1554,1417,1554,1536,1554,1562,1440,1562,1435,1573,1428,1583,1418,1590,1407,1595,1407,1968,1447,1968,1447,1994,1341,1994,1341,1968,1381,1968,1381,1931,1381,1883,1381,1595,1370,1590,1361,1583,1353,1573,1348,1562,1234,1562,1234,1536,1348,1536,1355,1522,1365,1511,1378,1504,1394,1502,1409,1504,1423,1511,1433,1522,1440,1536,1554,1536,1554,1417,1198,1417,1198,1896,1211,1899,1226,1901,1242,1903,1259,1904,1298,1901,1329,1893,1348,1886,1355,1883,1355,1912,1329,1923,1311,1928,1291,1930,1259,1931,1242,1930,1226,1928,1211,1926,1198,1923,1198,2091,1590,2091,1590,2033,1590,2007,1590,1994,1590,1931,1590,1923,1577,1926,1562,1928,1546,1930,1528,1931,1496,1928,1496,2033,1293,2033,1319,2007,1469,2007,1496,2033,1496,1928,1491,1928,1461,1921,1441,1915,1433,1912,1433,1883,1456,1895,1474,1901,1495,1903,1528,1904,1546,1903,1562,1901,1577,1899,1590,1896,1590,1883,1590,1502,1590,1417m1915,1741l1906,1732,1883,1732,1873,1741,1873,1764,1883,1773,1906,1773,1915,1764,1915,1741m2003,1417l1729,1417,1729,1536,1895,1536,1895,1562,1729,1562,1729,1893,1743,1897,1759,1900,1778,1903,1799,1904,1838,1901,1868,1893,1887,1886,1894,1883,1894,1912,1869,1923,1850,1928,1830,1930,1799,1931,1795,1931,1793,1930,1793,1968,1880,1968,1854,1994,1767,1994,1767,1928,1742,1924,1721,1919,1708,1914,1703,1912,1703,1417,1611,1417,1611,2091,1767,2091,1767,2008,1854,2008,1880,2034,1793,2034,1793,2091,2003,2091,2003,2008,2003,1994,2003,1931,2003,1883,2003,1800,2003,1729,1984,1722,1961,1714,1933,1709,1902,1706,1918,1711,1930,1722,1931,1722,1939,1736,1942,1752,1938,1771,1928,1786,1913,1796,1894,1800,1876,1796,1861,1786,1851,1771,1847,1752,1850,1737,1850,1736,1858,1722,1870,1711,1886,1706,1840,1712,1803,1722,1778,1733,1769,1737,1769,1710,1803,1692,1827,1683,1854,1679,1895,1679,1928,1681,1958,1687,1983,1694,2003,1702,2003,1679,2003,1417e" filled="true" fillcolor="#231f20" stroked="false">
              <v:path arrowok="t"/>
              <v:fill type="solid"/>
            </v:shape>
            <v:rect style="position:absolute;left:11890;top:16839;width:10;height:21" filled="true" fillcolor="#000000" stroked="false">
              <v:fill type="solid"/>
            </v:rect>
            <v:shape style="position:absolute;left:2587;top:3248;width:9304;height:12240" type="#_x0000_t75" stroked="false">
              <v:imagedata r:id="rId507" o:title=""/>
            </v:shape>
            <w10:wrap type="none"/>
          </v:group>
        </w:pic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
        <w:rPr>
          <w:rFonts w:ascii="Trebuchet MS"/>
          <w:sz w:val="28"/>
        </w:rPr>
      </w:pPr>
    </w:p>
    <w:p>
      <w:pPr>
        <w:spacing w:before="92"/>
        <w:ind w:left="117" w:right="0" w:firstLine="0"/>
        <w:jc w:val="left"/>
        <w:rPr>
          <w:rFonts w:ascii="Tahoma"/>
          <w:b/>
          <w:sz w:val="18"/>
        </w:rPr>
      </w:pPr>
      <w:r>
        <w:rPr>
          <w:rFonts w:ascii="Tahoma"/>
          <w:b/>
          <w:color w:val="231F20"/>
          <w:w w:val="105"/>
          <w:sz w:val="18"/>
        </w:rPr>
        <w:t>Neighbourhood Tree Disputes</w:t>
      </w:r>
    </w:p>
    <w:p>
      <w:pPr>
        <w:spacing w:before="66"/>
        <w:ind w:left="117" w:right="0" w:firstLine="0"/>
        <w:jc w:val="left"/>
        <w:rPr>
          <w:rFonts w:ascii="Trebuchet MS"/>
          <w:b/>
          <w:sz w:val="12"/>
        </w:rPr>
      </w:pPr>
      <w:r>
        <w:rPr>
          <w:rFonts w:ascii="Trebuchet MS"/>
          <w:b/>
          <w:color w:val="231F20"/>
          <w:w w:val="140"/>
          <w:sz w:val="12"/>
        </w:rPr>
        <w:t>report</w:t>
      </w:r>
    </w:p>
    <w:p>
      <w:pPr>
        <w:pStyle w:val="BodyText"/>
        <w:spacing w:before="9"/>
        <w:rPr>
          <w:rFonts w:ascii="Trebuchet MS"/>
          <w:b/>
          <w:sz w:val="14"/>
        </w:rPr>
      </w:pPr>
    </w:p>
    <w:p>
      <w:pPr>
        <w:spacing w:before="0"/>
        <w:ind w:left="117" w:right="0" w:firstLine="0"/>
        <w:jc w:val="left"/>
        <w:rPr>
          <w:rFonts w:ascii="Trebuchet MS"/>
          <w:b/>
          <w:sz w:val="14"/>
        </w:rPr>
      </w:pPr>
      <w:r>
        <w:rPr>
          <w:rFonts w:ascii="Trebuchet MS"/>
          <w:b/>
          <w:color w:val="231F20"/>
          <w:w w:val="105"/>
          <w:sz w:val="14"/>
        </w:rPr>
        <w:t>A COMMUNITY LAW REFORM PROJECT</w:t>
      </w:r>
    </w:p>
    <w:p>
      <w:pPr>
        <w:pStyle w:val="BodyText"/>
        <w:rPr>
          <w:rFonts w:ascii="Trebuchet MS"/>
          <w:b/>
          <w:sz w:val="16"/>
        </w:rPr>
      </w:pPr>
    </w:p>
    <w:p>
      <w:pPr>
        <w:pStyle w:val="BodyText"/>
        <w:spacing w:before="1"/>
        <w:rPr>
          <w:rFonts w:ascii="Trebuchet MS"/>
          <w:b/>
          <w:sz w:val="23"/>
        </w:rPr>
      </w:pPr>
    </w:p>
    <w:p>
      <w:pPr>
        <w:spacing w:before="0"/>
        <w:ind w:left="117" w:right="0" w:firstLine="0"/>
        <w:jc w:val="left"/>
        <w:rPr>
          <w:rFonts w:ascii="Lucida Sans"/>
          <w:sz w:val="18"/>
        </w:rPr>
      </w:pPr>
      <w:r>
        <w:rPr>
          <w:rFonts w:ascii="Lucida Sans"/>
          <w:color w:val="231F20"/>
          <w:sz w:val="18"/>
        </w:rPr>
        <w:t>GPO Box 4637</w:t>
      </w:r>
    </w:p>
    <w:p>
      <w:pPr>
        <w:spacing w:line="244" w:lineRule="auto" w:before="4"/>
        <w:ind w:left="117" w:right="7683" w:firstLine="0"/>
        <w:jc w:val="left"/>
        <w:rPr>
          <w:rFonts w:ascii="Lucida Sans"/>
          <w:sz w:val="18"/>
        </w:rPr>
      </w:pPr>
      <w:r>
        <w:rPr>
          <w:rFonts w:ascii="Lucida Sans"/>
          <w:color w:val="231F20"/>
          <w:sz w:val="18"/>
        </w:rPr>
        <w:t>Melbourne </w:t>
      </w:r>
      <w:r>
        <w:rPr>
          <w:rFonts w:ascii="Lucida Sans"/>
          <w:color w:val="231F20"/>
          <w:w w:val="90"/>
          <w:sz w:val="18"/>
        </w:rPr>
        <w:t>Victoria 3001 </w:t>
      </w:r>
      <w:r>
        <w:rPr>
          <w:rFonts w:ascii="Lucida Sans"/>
          <w:color w:val="231F20"/>
          <w:sz w:val="18"/>
        </w:rPr>
        <w:t>Australia</w:t>
      </w:r>
    </w:p>
    <w:p>
      <w:pPr>
        <w:spacing w:before="113"/>
        <w:ind w:left="117" w:right="0" w:firstLine="0"/>
        <w:jc w:val="left"/>
        <w:rPr>
          <w:rFonts w:ascii="Lucida Sans"/>
          <w:sz w:val="18"/>
        </w:rPr>
      </w:pPr>
      <w:r>
        <w:rPr>
          <w:rFonts w:ascii="Lucida Sans"/>
          <w:color w:val="231F20"/>
          <w:w w:val="95"/>
          <w:sz w:val="18"/>
        </w:rPr>
        <w:t>Level 3</w:t>
      </w:r>
    </w:p>
    <w:p>
      <w:pPr>
        <w:spacing w:line="244" w:lineRule="auto" w:before="4"/>
        <w:ind w:left="117" w:right="7608" w:firstLine="0"/>
        <w:jc w:val="left"/>
        <w:rPr>
          <w:rFonts w:ascii="Lucida Sans"/>
          <w:sz w:val="18"/>
        </w:rPr>
      </w:pPr>
      <w:r>
        <w:rPr/>
        <w:pict>
          <v:shape style="position:absolute;margin-left:123.255104pt;margin-top:.702166pt;width:74.3pt;height:168.1pt;mso-position-horizontal-relative:page;mso-position-vertical-relative:paragraph;z-index:-443560" type="#_x0000_t202" filled="false" stroked="false">
            <v:textbox inset="0,0,0,0">
              <w:txbxContent>
                <w:p>
                  <w:pPr>
                    <w:spacing w:line="202" w:lineRule="exact" w:before="0"/>
                    <w:ind w:left="102" w:right="0" w:firstLine="0"/>
                    <w:jc w:val="left"/>
                    <w:rPr>
                      <w:rFonts w:ascii="Lucida Sans"/>
                      <w:sz w:val="18"/>
                    </w:rPr>
                  </w:pPr>
                  <w:r>
                    <w:rPr>
                      <w:rFonts w:ascii="Lucida Sans"/>
                      <w:color w:val="231F20"/>
                      <w:spacing w:val="-4"/>
                      <w:sz w:val="18"/>
                    </w:rPr>
                    <w:t>eet</w: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3"/>
                    <w:rPr>
                      <w:rFonts w:ascii="Lucida Sans"/>
                      <w:sz w:val="23"/>
                    </w:rPr>
                  </w:pPr>
                </w:p>
                <w:p>
                  <w:pPr>
                    <w:spacing w:before="1"/>
                    <w:ind w:left="48" w:right="0" w:firstLine="0"/>
                    <w:jc w:val="left"/>
                    <w:rPr>
                      <w:rFonts w:ascii="Lucida Sans"/>
                      <w:sz w:val="18"/>
                    </w:rPr>
                  </w:pPr>
                  <w:r>
                    <w:rPr>
                      <w:rFonts w:ascii="Lucida Sans"/>
                      <w:color w:val="231F20"/>
                      <w:spacing w:val="-4"/>
                      <w:sz w:val="18"/>
                    </w:rPr>
                    <w:t>800</w:t>
                  </w:r>
                </w:p>
                <w:p>
                  <w:pPr>
                    <w:pStyle w:val="BodyText"/>
                    <w:rPr>
                      <w:rFonts w:ascii="Lucida Sans"/>
                      <w:sz w:val="20"/>
                    </w:rPr>
                  </w:pPr>
                </w:p>
                <w:p>
                  <w:pPr>
                    <w:spacing w:before="136"/>
                    <w:ind w:left="136" w:right="0" w:firstLine="0"/>
                    <w:jc w:val="left"/>
                    <w:rPr>
                      <w:rFonts w:ascii="Lucida Sans"/>
                      <w:i/>
                      <w:sz w:val="14"/>
                    </w:rPr>
                  </w:pPr>
                  <w:r>
                    <w:rPr>
                      <w:rFonts w:ascii="Lucida Sans"/>
                      <w:i/>
                      <w:color w:val="231F20"/>
                      <w:w w:val="95"/>
                      <w:sz w:val="14"/>
                    </w:rPr>
                    <w:t>(within Victoria)</w:t>
                  </w:r>
                </w:p>
                <w:p>
                  <w:pPr>
                    <w:pStyle w:val="BodyText"/>
                    <w:rPr>
                      <w:rFonts w:ascii="Lucida Sans"/>
                      <w:sz w:val="16"/>
                    </w:rPr>
                  </w:pPr>
                </w:p>
                <w:p>
                  <w:pPr>
                    <w:pStyle w:val="BodyText"/>
                    <w:rPr>
                      <w:rFonts w:ascii="Lucida Sans"/>
                      <w:sz w:val="13"/>
                    </w:rPr>
                  </w:pPr>
                </w:p>
                <w:p>
                  <w:pPr>
                    <w:spacing w:before="0"/>
                    <w:ind w:left="48" w:right="0" w:firstLine="0"/>
                    <w:jc w:val="left"/>
                    <w:rPr>
                      <w:rFonts w:ascii="Lucida Sans"/>
                      <w:sz w:val="18"/>
                    </w:rPr>
                  </w:pPr>
                  <w:r>
                    <w:rPr>
                      <w:rFonts w:ascii="Lucida Sans"/>
                      <w:color w:val="231F20"/>
                      <w:sz w:val="18"/>
                    </w:rPr>
                    <w:t>888</w:t>
                  </w:r>
                </w:p>
                <w:p>
                  <w:pPr>
                    <w:pStyle w:val="BodyText"/>
                    <w:spacing w:before="4"/>
                    <w:rPr>
                      <w:rFonts w:ascii="Lucida Sans"/>
                      <w:sz w:val="18"/>
                    </w:rPr>
                  </w:pPr>
                </w:p>
                <w:p>
                  <w:pPr>
                    <w:spacing w:line="330" w:lineRule="atLeast" w:before="0"/>
                    <w:ind w:left="29" w:right="0" w:hanging="30"/>
                    <w:jc w:val="left"/>
                    <w:rPr>
                      <w:rFonts w:ascii="Lucida Sans"/>
                      <w:sz w:val="18"/>
                    </w:rPr>
                  </w:pPr>
                  <w:r>
                    <w:rPr>
                      <w:rFonts w:ascii="Lucida Sans"/>
                      <w:color w:val="231F20"/>
                      <w:spacing w:val="-5"/>
                      <w:w w:val="85"/>
                      <w:sz w:val="18"/>
                    </w:rPr>
                    <w:t>awreform.vic.gov.au </w:t>
                  </w:r>
                  <w:r>
                    <w:rPr>
                      <w:rFonts w:ascii="Lucida Sans"/>
                      <w:color w:val="231F20"/>
                      <w:spacing w:val="-5"/>
                      <w:sz w:val="18"/>
                    </w:rPr>
                    <w:t>rm.vic.gov.au</w:t>
                  </w:r>
                </w:p>
              </w:txbxContent>
            </v:textbox>
            <w10:wrap type="none"/>
          </v:shape>
        </w:pict>
      </w:r>
      <w:r>
        <w:rPr>
          <w:rFonts w:ascii="Lucida Sans"/>
          <w:color w:val="231F20"/>
          <w:spacing w:val="-3"/>
          <w:w w:val="95"/>
          <w:sz w:val="18"/>
        </w:rPr>
        <w:t>333 </w:t>
      </w:r>
      <w:r>
        <w:rPr>
          <w:rFonts w:ascii="Lucida Sans"/>
          <w:color w:val="231F20"/>
          <w:spacing w:val="-4"/>
          <w:w w:val="95"/>
          <w:sz w:val="18"/>
        </w:rPr>
        <w:t>Queen </w:t>
      </w:r>
      <w:r>
        <w:rPr>
          <w:rFonts w:ascii="Lucida Sans"/>
          <w:color w:val="231F20"/>
          <w:spacing w:val="-8"/>
          <w:w w:val="95"/>
          <w:sz w:val="18"/>
        </w:rPr>
        <w:t>Str </w:t>
      </w:r>
      <w:r>
        <w:rPr>
          <w:rFonts w:ascii="Lucida Sans"/>
          <w:color w:val="231F20"/>
          <w:spacing w:val="-4"/>
          <w:sz w:val="18"/>
        </w:rPr>
        <w:t>Melbourne </w:t>
      </w:r>
      <w:r>
        <w:rPr>
          <w:rFonts w:ascii="Lucida Sans"/>
          <w:color w:val="231F20"/>
          <w:spacing w:val="-4"/>
          <w:w w:val="95"/>
          <w:sz w:val="18"/>
        </w:rPr>
        <w:t>Victoria 3000 </w:t>
      </w:r>
      <w:r>
        <w:rPr>
          <w:rFonts w:ascii="Lucida Sans"/>
          <w:color w:val="231F20"/>
          <w:spacing w:val="-4"/>
          <w:sz w:val="18"/>
        </w:rPr>
        <w:t>Australia</w:t>
      </w:r>
    </w:p>
    <w:p>
      <w:pPr>
        <w:spacing w:before="117"/>
        <w:ind w:left="117" w:right="0" w:firstLine="0"/>
        <w:jc w:val="left"/>
        <w:rPr>
          <w:rFonts w:ascii="Trebuchet MS"/>
          <w:b/>
          <w:sz w:val="18"/>
        </w:rPr>
      </w:pPr>
      <w:r>
        <w:rPr>
          <w:rFonts w:ascii="Trebuchet MS"/>
          <w:b/>
          <w:color w:val="231F20"/>
          <w:sz w:val="18"/>
        </w:rPr>
        <w:t>Telephone</w:t>
      </w:r>
    </w:p>
    <w:p>
      <w:pPr>
        <w:spacing w:before="2"/>
        <w:ind w:left="117" w:right="0" w:firstLine="0"/>
        <w:jc w:val="left"/>
        <w:rPr>
          <w:rFonts w:ascii="Lucida Sans"/>
          <w:sz w:val="18"/>
        </w:rPr>
      </w:pPr>
      <w:r>
        <w:rPr>
          <w:rFonts w:ascii="Lucida Sans"/>
          <w:color w:val="231F20"/>
          <w:sz w:val="18"/>
        </w:rPr>
        <w:t>+61 3 8608 7</w:t>
      </w:r>
    </w:p>
    <w:p>
      <w:pPr>
        <w:spacing w:before="122"/>
        <w:ind w:left="117" w:right="0" w:firstLine="0"/>
        <w:jc w:val="left"/>
        <w:rPr>
          <w:rFonts w:ascii="Trebuchet MS"/>
          <w:b/>
          <w:sz w:val="18"/>
        </w:rPr>
      </w:pPr>
      <w:r>
        <w:rPr>
          <w:rFonts w:ascii="Trebuchet MS"/>
          <w:b/>
          <w:color w:val="231F20"/>
          <w:sz w:val="18"/>
        </w:rPr>
        <w:t>Freecall</w:t>
      </w:r>
    </w:p>
    <w:p>
      <w:pPr>
        <w:spacing w:before="2"/>
        <w:ind w:left="117" w:right="0" w:firstLine="0"/>
        <w:jc w:val="left"/>
        <w:rPr>
          <w:rFonts w:ascii="Lucida Sans"/>
          <w:sz w:val="18"/>
        </w:rPr>
      </w:pPr>
      <w:r>
        <w:rPr>
          <w:rFonts w:ascii="Lucida Sans"/>
          <w:color w:val="231F20"/>
          <w:sz w:val="18"/>
        </w:rPr>
        <w:t>1300 666 555</w:t>
      </w:r>
    </w:p>
    <w:p>
      <w:pPr>
        <w:spacing w:before="123"/>
        <w:ind w:left="117" w:right="0" w:firstLine="0"/>
        <w:jc w:val="left"/>
        <w:rPr>
          <w:rFonts w:ascii="Trebuchet MS"/>
          <w:b/>
          <w:sz w:val="18"/>
        </w:rPr>
      </w:pPr>
      <w:r>
        <w:rPr>
          <w:rFonts w:ascii="Trebuchet MS"/>
          <w:b/>
          <w:color w:val="231F20"/>
          <w:sz w:val="18"/>
        </w:rPr>
        <w:t>Fax</w:t>
      </w:r>
    </w:p>
    <w:p>
      <w:pPr>
        <w:spacing w:before="2"/>
        <w:ind w:left="117" w:right="0" w:firstLine="0"/>
        <w:jc w:val="left"/>
        <w:rPr>
          <w:rFonts w:ascii="Lucida Sans"/>
          <w:sz w:val="18"/>
        </w:rPr>
      </w:pPr>
      <w:r>
        <w:rPr>
          <w:rFonts w:ascii="Lucida Sans"/>
          <w:color w:val="231F20"/>
          <w:sz w:val="18"/>
        </w:rPr>
        <w:t>+61 3 8608 7</w:t>
      </w:r>
    </w:p>
    <w:p>
      <w:pPr>
        <w:spacing w:before="122"/>
        <w:ind w:left="117" w:right="0" w:firstLine="0"/>
        <w:jc w:val="left"/>
        <w:rPr>
          <w:rFonts w:ascii="Trebuchet MS"/>
          <w:b/>
          <w:sz w:val="18"/>
        </w:rPr>
      </w:pPr>
      <w:r>
        <w:rPr>
          <w:rFonts w:ascii="Trebuchet MS"/>
          <w:b/>
          <w:color w:val="231F20"/>
          <w:sz w:val="18"/>
        </w:rPr>
        <w:t>Email</w:t>
      </w:r>
    </w:p>
    <w:p>
      <w:pPr>
        <w:spacing w:line="372" w:lineRule="auto" w:before="2"/>
        <w:ind w:left="117" w:right="7684" w:firstLine="0"/>
        <w:jc w:val="left"/>
        <w:rPr>
          <w:rFonts w:ascii="Lucida Sans"/>
          <w:sz w:val="18"/>
        </w:rPr>
      </w:pPr>
      <w:r>
        <w:rPr>
          <w:rFonts w:ascii="Lucida Sans"/>
          <w:color w:val="231F20"/>
          <w:w w:val="90"/>
          <w:sz w:val="18"/>
        </w:rPr>
        <w:t>law.reform@l </w:t>
      </w:r>
      <w:r>
        <w:rPr>
          <w:rFonts w:ascii="Lucida Sans"/>
          <w:color w:val="231F20"/>
          <w:w w:val="95"/>
          <w:sz w:val="18"/>
        </w:rPr>
        <w:t>www.lawrefo</w:t>
      </w:r>
    </w:p>
    <w:sectPr>
      <w:headerReference w:type="even" r:id="rId505"/>
      <w:pgSz w:w="11940" w:h="16870"/>
      <w:pgMar w:header="0" w:footer="0" w:top="0" w:bottom="0" w:left="13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Trebuchet MS">
    <w:altName w:val="Trebuchet MS"/>
    <w:charset w:val="0"/>
    <w:family w:val="swiss"/>
    <w:pitch w:val="variable"/>
  </w:font>
  <w:font w:name="Calibri">
    <w:altName w:val="Calibri"/>
    <w:charset w:val="0"/>
    <w:family w:val="swiss"/>
    <w:pitch w:val="variable"/>
  </w:font>
  <w:font w:name="Arial">
    <w:altName w:val="Arial"/>
    <w:charset w:val="0"/>
    <w:family w:val="swiss"/>
    <w:pitch w:val="variable"/>
  </w:font>
  <w:font w:name="Tahoma">
    <w:altName w:val="Tahoma"/>
    <w:charset w:val="0"/>
    <w:family w:val="swiss"/>
    <w:pitch w:val="variable"/>
  </w:font>
  <w:font w:name="Gill Sans MT">
    <w:altName w:val="Gill Sans MT"/>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4.811035pt;height:841.158527pt;mso-position-horizontal-relative:page;mso-position-vertical-relative:page;z-index:-458080" filled="true" fillcolor="#ffffff"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457840" filled="true" fillcolor="#ecefee" stroked="false">
          <v:fill type="solid"/>
          <w10:wrap type="none"/>
        </v:rec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7816"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7792"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457768"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658464" w:color="auto" w:val="clear"/>
                  </w:rPr>
                  <w:t> </w:t>
                </w:r>
                <w:r>
                  <w:rPr>
                    <w:b/>
                    <w:color w:val="FFFFFF"/>
                    <w:spacing w:val="41"/>
                    <w:sz w:val="48"/>
                    <w:shd w:fill="658464" w:color="auto" w:val="clear"/>
                  </w:rPr>
                  <w:t> </w:t>
                </w:r>
                <w:r>
                  <w:rPr>
                    <w:b/>
                    <w:color w:val="FFFFFF"/>
                    <w:w w:val="110"/>
                    <w:sz w:val="48"/>
                    <w:shd w:fill="658464" w:color="auto" w:val="clear"/>
                  </w:rPr>
                  <w:t>1</w:t>
                </w:r>
                <w:r>
                  <w:rPr>
                    <w:b/>
                    <w:color w:val="FFFFFF"/>
                    <w:sz w:val="48"/>
                    <w:shd w:fill="658464" w:color="auto" w:val="clear"/>
                  </w:rPr>
                  <w:tab/>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7744"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7720"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457696" filled="true" fillcolor="#ecefee" stroked="false">
          <v:fill type="solid"/>
          <w10:wrap type="none"/>
        </v:rect>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7672"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7648"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457624"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658464" w:color="auto" w:val="clear"/>
                  </w:rPr>
                  <w:t> </w:t>
                </w:r>
                <w:r>
                  <w:rPr>
                    <w:b/>
                    <w:color w:val="FFFFFF"/>
                    <w:spacing w:val="41"/>
                    <w:sz w:val="48"/>
                    <w:shd w:fill="658464" w:color="auto" w:val="clear"/>
                  </w:rPr>
                  <w:t> </w:t>
                </w:r>
                <w:r>
                  <w:rPr>
                    <w:b/>
                    <w:color w:val="FFFFFF"/>
                    <w:w w:val="110"/>
                    <w:sz w:val="48"/>
                    <w:shd w:fill="658464" w:color="auto" w:val="clear"/>
                  </w:rPr>
                  <w:t>2</w:t>
                </w:r>
                <w:r>
                  <w:rPr>
                    <w:b/>
                    <w:color w:val="FFFFFF"/>
                    <w:sz w:val="48"/>
                    <w:shd w:fill="658464" w:color="auto" w:val="clear"/>
                  </w:rPr>
                  <w:tab/>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7600"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7576"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457552" filled="true" fillcolor="#ecefee"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7528"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7504"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457480"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658464" w:color="auto" w:val="clear"/>
                  </w:rPr>
                  <w:t> </w:t>
                </w:r>
                <w:r>
                  <w:rPr>
                    <w:b/>
                    <w:color w:val="FFFFFF"/>
                    <w:spacing w:val="41"/>
                    <w:sz w:val="48"/>
                    <w:shd w:fill="658464" w:color="auto" w:val="clear"/>
                  </w:rPr>
                  <w:t> </w:t>
                </w:r>
                <w:r>
                  <w:rPr>
                    <w:b/>
                    <w:color w:val="FFFFFF"/>
                    <w:w w:val="110"/>
                    <w:sz w:val="48"/>
                    <w:shd w:fill="658464" w:color="auto" w:val="clear"/>
                  </w:rPr>
                  <w:t>3</w:t>
                </w:r>
                <w:r>
                  <w:rPr>
                    <w:b/>
                    <w:color w:val="FFFFFF"/>
                    <w:sz w:val="48"/>
                    <w:shd w:fill="658464" w:color="auto" w:val="clear"/>
                  </w:rPr>
                  <w:tab/>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7456"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7432"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457408" filled="true" fillcolor="#ecefee" stroked="false">
          <v:fill type="solid"/>
          <w10:wrap type="none"/>
        </v:rect>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7384"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7360"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457336"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658464" w:color="auto" w:val="clear"/>
                  </w:rPr>
                  <w:t> </w:t>
                </w:r>
                <w:r>
                  <w:rPr>
                    <w:b/>
                    <w:color w:val="FFFFFF"/>
                    <w:spacing w:val="41"/>
                    <w:sz w:val="48"/>
                    <w:shd w:fill="658464" w:color="auto" w:val="clear"/>
                  </w:rPr>
                  <w:t> </w:t>
                </w:r>
                <w:r>
                  <w:rPr>
                    <w:b/>
                    <w:color w:val="FFFFFF"/>
                    <w:w w:val="110"/>
                    <w:sz w:val="48"/>
                    <w:shd w:fill="658464" w:color="auto" w:val="clear"/>
                  </w:rPr>
                  <w:t>4</w:t>
                </w:r>
                <w:r>
                  <w:rPr>
                    <w:b/>
                    <w:color w:val="FFFFFF"/>
                    <w:sz w:val="48"/>
                    <w:shd w:fill="658464" w:color="auto" w:val="clear"/>
                  </w:rPr>
                  <w:tab/>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7312"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7288"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457264" filled="true" fillcolor="#ecefee" stroked="false">
          <v:fill type="solid"/>
          <w10:wrap type="non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7240"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7216"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457192"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658464" w:color="auto" w:val="clear"/>
                  </w:rPr>
                  <w:t> </w:t>
                </w:r>
                <w:r>
                  <w:rPr>
                    <w:b/>
                    <w:color w:val="FFFFFF"/>
                    <w:spacing w:val="41"/>
                    <w:sz w:val="48"/>
                    <w:shd w:fill="658464" w:color="auto" w:val="clear"/>
                  </w:rPr>
                  <w:t> </w:t>
                </w:r>
                <w:r>
                  <w:rPr>
                    <w:b/>
                    <w:color w:val="FFFFFF"/>
                    <w:w w:val="110"/>
                    <w:sz w:val="48"/>
                    <w:shd w:fill="658464" w:color="auto" w:val="clear"/>
                  </w:rPr>
                  <w:t>5</w:t>
                </w:r>
                <w:r>
                  <w:rPr>
                    <w:b/>
                    <w:color w:val="FFFFFF"/>
                    <w:sz w:val="48"/>
                    <w:shd w:fill="658464" w:color="auto" w:val="clear"/>
                  </w:rPr>
                  <w:tab/>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7168"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7144"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457120" filled="true" fillcolor="#ecefee" stroked="false">
          <v:fill type="solid"/>
          <w10:wrap type="none"/>
        </v:rect>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7096"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7072"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457048"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658464" w:color="auto" w:val="clear"/>
                  </w:rPr>
                  <w:t> </w:t>
                </w:r>
                <w:r>
                  <w:rPr>
                    <w:b/>
                    <w:color w:val="FFFFFF"/>
                    <w:spacing w:val="41"/>
                    <w:sz w:val="48"/>
                    <w:shd w:fill="658464" w:color="auto" w:val="clear"/>
                  </w:rPr>
                  <w:t> </w:t>
                </w:r>
                <w:r>
                  <w:rPr>
                    <w:b/>
                    <w:color w:val="FFFFFF"/>
                    <w:w w:val="110"/>
                    <w:sz w:val="48"/>
                    <w:shd w:fill="658464" w:color="auto" w:val="clear"/>
                  </w:rPr>
                  <w:t>6</w:t>
                </w:r>
                <w:r>
                  <w:rPr>
                    <w:b/>
                    <w:color w:val="FFFFFF"/>
                    <w:sz w:val="48"/>
                    <w:shd w:fill="658464" w:color="auto" w:val="clear"/>
                  </w:rPr>
                  <w:tab/>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7024"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7000"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456976" filled="true" fillcolor="#ecefee" stroked="false">
          <v:fill type="solid"/>
          <w10:wrap type="none"/>
        </v:rect>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6952"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6928"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456904"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658464" w:color="auto" w:val="clear"/>
                  </w:rPr>
                  <w:t> </w:t>
                </w:r>
                <w:r>
                  <w:rPr>
                    <w:b/>
                    <w:color w:val="FFFFFF"/>
                    <w:spacing w:val="41"/>
                    <w:sz w:val="48"/>
                    <w:shd w:fill="658464" w:color="auto" w:val="clear"/>
                  </w:rPr>
                  <w:t> </w:t>
                </w:r>
                <w:r>
                  <w:rPr>
                    <w:b/>
                    <w:color w:val="FFFFFF"/>
                    <w:w w:val="110"/>
                    <w:sz w:val="48"/>
                    <w:shd w:fill="658464" w:color="auto" w:val="clear"/>
                  </w:rPr>
                  <w:t>7</w:t>
                </w:r>
                <w:r>
                  <w:rPr>
                    <w:b/>
                    <w:color w:val="FFFFFF"/>
                    <w:sz w:val="48"/>
                    <w:shd w:fill="658464" w:color="auto" w:val="clear"/>
                  </w:rPr>
                  <w:tab/>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8056" from="28.347pt,77.952515pt" to="54.128pt,77.952515pt" stroked="true" strokeweight="1.323pt" strokecolor="#658464">
          <v:stroke dashstyle="solid"/>
          <w10:wrap type="none"/>
        </v:line>
      </w:pict>
    </w:r>
    <w:r>
      <w:rPr/>
      <w:pict>
        <v:shapetype id="_x0000_t202" o:spt="202" coordsize="21600,21600" path="m,l,21600r21600,l21600,xe">
          <v:stroke joinstyle="miter"/>
          <v:path gradientshapeok="t" o:connecttype="rect"/>
        </v:shapetype>
        <v:shape style="position:absolute;margin-left:27.3465pt;margin-top:26.300314pt;width:109.65pt;height:17.55pt;mso-position-horizontal-relative:page;mso-position-vertical-relative:page;z-index:-458032"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6880"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6856"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456832" filled="true" fillcolor="#ecefee" stroked="false">
          <v:fill type="solid"/>
          <w10:wrap type="none"/>
        </v:rect>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6808"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6784"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456760"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658464" w:color="auto" w:val="clear"/>
                  </w:rPr>
                  <w:t> </w:t>
                </w:r>
                <w:r>
                  <w:rPr>
                    <w:b/>
                    <w:color w:val="FFFFFF"/>
                    <w:spacing w:val="41"/>
                    <w:sz w:val="48"/>
                    <w:shd w:fill="658464" w:color="auto" w:val="clear"/>
                  </w:rPr>
                  <w:t> </w:t>
                </w:r>
                <w:r>
                  <w:rPr>
                    <w:b/>
                    <w:color w:val="FFFFFF"/>
                    <w:w w:val="110"/>
                    <w:sz w:val="48"/>
                    <w:shd w:fill="658464" w:color="auto" w:val="clear"/>
                  </w:rPr>
                  <w:t>8</w:t>
                </w:r>
                <w:r>
                  <w:rPr>
                    <w:b/>
                    <w:color w:val="FFFFFF"/>
                    <w:sz w:val="48"/>
                    <w:shd w:fill="658464" w:color="auto" w:val="clear"/>
                  </w:rPr>
                  <w:tab/>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6736"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6712"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456688" filled="true" fillcolor="#ecefee" stroked="false">
          <v:fill type="solid"/>
          <w10:wrap type="none"/>
        </v:rect>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6664"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6640"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456616"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658464" w:color="auto" w:val="clear"/>
                  </w:rPr>
                  <w:t> </w:t>
                </w:r>
                <w:r>
                  <w:rPr>
                    <w:b/>
                    <w:color w:val="FFFFFF"/>
                    <w:spacing w:val="41"/>
                    <w:sz w:val="48"/>
                    <w:shd w:fill="658464" w:color="auto" w:val="clear"/>
                  </w:rPr>
                  <w:t> </w:t>
                </w:r>
                <w:r>
                  <w:rPr>
                    <w:b/>
                    <w:color w:val="FFFFFF"/>
                    <w:w w:val="110"/>
                    <w:sz w:val="48"/>
                    <w:shd w:fill="658464" w:color="auto" w:val="clear"/>
                  </w:rPr>
                  <w:t>9</w:t>
                </w:r>
                <w:r>
                  <w:rPr>
                    <w:b/>
                    <w:color w:val="FFFFFF"/>
                    <w:sz w:val="48"/>
                    <w:shd w:fill="658464" w:color="auto" w:val="clear"/>
                  </w:rPr>
                  <w:tab/>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6592"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6568"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8008" from="541.14801pt,77.952515pt" to="566.929010pt,77.952515pt" stroked="true" strokeweight="1.323pt" strokecolor="#658464">
          <v:stroke dashstyle="solid"/>
          <w10:wrap type="none"/>
        </v:lin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456544" filled="true" fillcolor="#ecefee" stroked="false">
          <v:fill type="solid"/>
          <w10:wrap type="none"/>
        </v:rect>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6520"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6496"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456472"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658464" w:color="auto" w:val="clear"/>
                  </w:rPr>
                  <w:t> </w:t>
                </w:r>
                <w:r>
                  <w:rPr>
                    <w:b/>
                    <w:color w:val="FFFFFF"/>
                    <w:spacing w:val="41"/>
                    <w:sz w:val="48"/>
                    <w:shd w:fill="658464" w:color="auto" w:val="clear"/>
                  </w:rPr>
                  <w:t> </w:t>
                </w:r>
                <w:r>
                  <w:rPr>
                    <w:b/>
                    <w:color w:val="FFFFFF"/>
                    <w:spacing w:val="-7"/>
                    <w:w w:val="110"/>
                    <w:sz w:val="48"/>
                    <w:shd w:fill="658464" w:color="auto" w:val="clear"/>
                  </w:rPr>
                  <w:t>10</w:t>
                </w:r>
                <w:r>
                  <w:rPr>
                    <w:b/>
                    <w:color w:val="FFFFFF"/>
                    <w:spacing w:val="-7"/>
                    <w:sz w:val="48"/>
                    <w:shd w:fill="658464" w:color="auto" w:val="clear"/>
                  </w:rPr>
                  <w:tab/>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6448"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6424"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456400" filled="true" fillcolor="#ecefee" stroked="false">
          <v:fill type="solid"/>
          <w10:wrap type="none"/>
        </v:rect>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6376"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6352"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456328"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658464" w:color="auto" w:val="clear"/>
                  </w:rPr>
                  <w:t> </w:t>
                </w:r>
                <w:r>
                  <w:rPr>
                    <w:b/>
                    <w:color w:val="FFFFFF"/>
                    <w:spacing w:val="41"/>
                    <w:sz w:val="48"/>
                    <w:shd w:fill="658464" w:color="auto" w:val="clear"/>
                  </w:rPr>
                  <w:t> </w:t>
                </w:r>
                <w:r>
                  <w:rPr>
                    <w:b/>
                    <w:color w:val="FFFFFF"/>
                    <w:spacing w:val="-18"/>
                    <w:w w:val="110"/>
                    <w:sz w:val="48"/>
                    <w:shd w:fill="658464" w:color="auto" w:val="clear"/>
                  </w:rPr>
                  <w:t>11</w:t>
                </w:r>
                <w:r>
                  <w:rPr>
                    <w:b/>
                    <w:color w:val="FFFFFF"/>
                    <w:spacing w:val="-18"/>
                    <w:sz w:val="48"/>
                    <w:shd w:fill="658464" w:color="auto" w:val="clear"/>
                  </w:rPr>
                  <w:tab/>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6304"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6280"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456256" filled="true" fillcolor="#ecefee" stroked="false">
          <v:fill type="solid"/>
          <w10:wrap type="none"/>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7984" from="43.02pt,77.952515pt" to="68.801pt,77.952515pt" stroked="true" strokeweight="1.323pt" strokecolor="#658464">
          <v:stroke dashstyle="solid"/>
          <w10:wrap type="none"/>
        </v:lin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6232"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6208"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456184"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658464" w:color="auto" w:val="clear"/>
                  </w:rPr>
                  <w:t> </w:t>
                </w:r>
                <w:r>
                  <w:rPr>
                    <w:b/>
                    <w:color w:val="FFFFFF"/>
                    <w:spacing w:val="41"/>
                    <w:sz w:val="48"/>
                    <w:shd w:fill="658464" w:color="auto" w:val="clear"/>
                  </w:rPr>
                  <w:t> </w:t>
                </w:r>
                <w:r>
                  <w:rPr>
                    <w:b/>
                    <w:color w:val="FFFFFF"/>
                    <w:spacing w:val="-11"/>
                    <w:w w:val="110"/>
                    <w:sz w:val="48"/>
                    <w:shd w:fill="658464" w:color="auto" w:val="clear"/>
                  </w:rPr>
                  <w:t>12</w:t>
                </w:r>
                <w:r>
                  <w:rPr>
                    <w:b/>
                    <w:color w:val="FFFFFF"/>
                    <w:spacing w:val="-11"/>
                    <w:sz w:val="48"/>
                    <w:shd w:fill="658464" w:color="auto" w:val="clear"/>
                  </w:rPr>
                  <w:tab/>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6160"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6136"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456112" filled="true" fillcolor="#ecefee" stroked="false">
          <v:fill type="solid"/>
          <w10:wrap type="none"/>
        </v:rect>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6088"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6064"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456040"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658464" w:color="auto" w:val="clear"/>
                  </w:rPr>
                  <w:t> </w:t>
                </w:r>
                <w:r>
                  <w:rPr>
                    <w:b/>
                    <w:color w:val="FFFFFF"/>
                    <w:spacing w:val="41"/>
                    <w:sz w:val="48"/>
                    <w:shd w:fill="658464" w:color="auto" w:val="clear"/>
                  </w:rPr>
                  <w:t> </w:t>
                </w:r>
                <w:r>
                  <w:rPr>
                    <w:b/>
                    <w:color w:val="FFFFFF"/>
                    <w:spacing w:val="-11"/>
                    <w:w w:val="110"/>
                    <w:sz w:val="48"/>
                    <w:shd w:fill="658464" w:color="auto" w:val="clear"/>
                  </w:rPr>
                  <w:t>13</w:t>
                </w:r>
                <w:r>
                  <w:rPr>
                    <w:b/>
                    <w:color w:val="FFFFFF"/>
                    <w:spacing w:val="-11"/>
                    <w:sz w:val="48"/>
                    <w:shd w:fill="658464" w:color="auto" w:val="clear"/>
                  </w:rPr>
                  <w:tab/>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6016"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5992"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455968" filled="true" fillcolor="#ecefee" stroked="false">
          <v:fill type="solid"/>
          <w10:wrap type="none"/>
        </v:rect>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5944"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5920"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7960"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7936"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5896"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5872"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455848"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658464" w:color="auto" w:val="clear"/>
                  </w:rPr>
                  <w:t> </w:t>
                </w:r>
                <w:r>
                  <w:rPr>
                    <w:b/>
                    <w:color w:val="FFFFFF"/>
                    <w:spacing w:val="41"/>
                    <w:sz w:val="48"/>
                    <w:shd w:fill="658464" w:color="auto" w:val="clear"/>
                  </w:rPr>
                  <w:t> </w:t>
                </w:r>
                <w:r>
                  <w:rPr>
                    <w:b/>
                    <w:color w:val="FFFFFF"/>
                    <w:w w:val="115"/>
                    <w:sz w:val="48"/>
                    <w:shd w:fill="658464" w:color="auto" w:val="clear"/>
                  </w:rPr>
                  <w:t>C</w:t>
                </w:r>
                <w:r>
                  <w:rPr>
                    <w:b/>
                    <w:color w:val="FFFFFF"/>
                    <w:sz w:val="48"/>
                    <w:shd w:fill="658464" w:color="auto" w:val="clear"/>
                  </w:rPr>
                  <w:tab/>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455824" filled="true" fillcolor="#ecefee" stroked="false">
          <v:fill type="solid"/>
          <w10:wrap type="none"/>
        </v:rect>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5800"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5776"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4.408997pt;margin-top:28.346014pt;width:70.866pt;height:51.024pt;mso-position-horizontal-relative:page;mso-position-vertical-relative:page;z-index:-455752" filled="true" fillcolor="#658464" stroked="false">
          <v:fill type="solid"/>
          <w10:wrap type="none"/>
        </v:rect>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5728"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5704"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60.185001pt;height:843.011292pt;mso-position-horizontal-relative:page;mso-position-vertical-relative:page;z-index:-455680" filled="true" fillcolor="#eff9fe" stroked="false">
          <v:fill type="solid"/>
          <w10:wrap type="none"/>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7912" from="541.14801pt,77.952515pt" to="566.929010pt,77.952515pt" stroked="true" strokeweight="1.323pt" strokecolor="#658464">
          <v:stroke dashstyle="solid"/>
          <w10:wrap type="none"/>
        </v:lin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57888" from="28.347pt,77.952515pt" to="54.128pt,77.952515pt" stroked="true" strokeweight="1.323pt" strokecolor="#658464">
          <v:stroke dashstyle="solid"/>
          <w10:wrap type="none"/>
        </v:line>
      </w:pict>
    </w:r>
    <w:r>
      <w:rPr/>
      <w:pict>
        <v:shape style="position:absolute;margin-left:27.3465pt;margin-top:26.300314pt;width:109.65pt;height:17.55pt;mso-position-horizontal-relative:page;mso-position-vertical-relative:page;z-index:-457864" type="#_x0000_t202" filled="false" stroked="false">
          <v:textbox inset="0,0,0,0">
            <w:txbxContent>
              <w:p>
                <w:pPr>
                  <w:spacing w:before="14"/>
                  <w:ind w:left="20" w:right="0" w:firstLine="0"/>
                  <w:jc w:val="left"/>
                  <w:rPr>
                    <w:sz w:val="13"/>
                  </w:rPr>
                </w:pPr>
                <w:r>
                  <w:rPr>
                    <w:w w:val="105"/>
                    <w:sz w:val="13"/>
                  </w:rPr>
                  <w:t>Victorian Law Reform Commission Neighbourhood Tree Disputes: Report</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0">
    <w:multiLevelType w:val="hybridMultilevel"/>
    <w:lvl w:ilvl="0">
      <w:start w:val="1"/>
      <w:numFmt w:val="lowerLetter"/>
      <w:lvlText w:val="(%1)"/>
      <w:lvlJc w:val="left"/>
      <w:pPr>
        <w:ind w:left="1360" w:hanging="567"/>
        <w:jc w:val="left"/>
      </w:pPr>
      <w:rPr>
        <w:rFonts w:hint="default" w:ascii="Calibri" w:hAnsi="Calibri" w:eastAsia="Calibri" w:cs="Calibri"/>
        <w:spacing w:val="0"/>
        <w:w w:val="109"/>
        <w:sz w:val="21"/>
        <w:szCs w:val="21"/>
        <w:lang w:val="en-us" w:eastAsia="en-us" w:bidi="en-us"/>
      </w:rPr>
    </w:lvl>
    <w:lvl w:ilvl="1">
      <w:start w:val="0"/>
      <w:numFmt w:val="bullet"/>
      <w:lvlText w:val="•"/>
      <w:lvlJc w:val="left"/>
      <w:pPr>
        <w:ind w:left="2097" w:hanging="567"/>
      </w:pPr>
      <w:rPr>
        <w:rFonts w:hint="default"/>
        <w:lang w:val="en-us" w:eastAsia="en-us" w:bidi="en-us"/>
      </w:rPr>
    </w:lvl>
    <w:lvl w:ilvl="2">
      <w:start w:val="0"/>
      <w:numFmt w:val="bullet"/>
      <w:lvlText w:val="•"/>
      <w:lvlJc w:val="left"/>
      <w:pPr>
        <w:ind w:left="2834" w:hanging="567"/>
      </w:pPr>
      <w:rPr>
        <w:rFonts w:hint="default"/>
        <w:lang w:val="en-us" w:eastAsia="en-us" w:bidi="en-us"/>
      </w:rPr>
    </w:lvl>
    <w:lvl w:ilvl="3">
      <w:start w:val="0"/>
      <w:numFmt w:val="bullet"/>
      <w:lvlText w:val="•"/>
      <w:lvlJc w:val="left"/>
      <w:pPr>
        <w:ind w:left="3571" w:hanging="567"/>
      </w:pPr>
      <w:rPr>
        <w:rFonts w:hint="default"/>
        <w:lang w:val="en-us" w:eastAsia="en-us" w:bidi="en-us"/>
      </w:rPr>
    </w:lvl>
    <w:lvl w:ilvl="4">
      <w:start w:val="0"/>
      <w:numFmt w:val="bullet"/>
      <w:lvlText w:val="•"/>
      <w:lvlJc w:val="left"/>
      <w:pPr>
        <w:ind w:left="4308" w:hanging="567"/>
      </w:pPr>
      <w:rPr>
        <w:rFonts w:hint="default"/>
        <w:lang w:val="en-us" w:eastAsia="en-us" w:bidi="en-us"/>
      </w:rPr>
    </w:lvl>
    <w:lvl w:ilvl="5">
      <w:start w:val="0"/>
      <w:numFmt w:val="bullet"/>
      <w:lvlText w:val="•"/>
      <w:lvlJc w:val="left"/>
      <w:pPr>
        <w:ind w:left="5045" w:hanging="567"/>
      </w:pPr>
      <w:rPr>
        <w:rFonts w:hint="default"/>
        <w:lang w:val="en-us" w:eastAsia="en-us" w:bidi="en-us"/>
      </w:rPr>
    </w:lvl>
    <w:lvl w:ilvl="6">
      <w:start w:val="0"/>
      <w:numFmt w:val="bullet"/>
      <w:lvlText w:val="•"/>
      <w:lvlJc w:val="left"/>
      <w:pPr>
        <w:ind w:left="5782" w:hanging="567"/>
      </w:pPr>
      <w:rPr>
        <w:rFonts w:hint="default"/>
        <w:lang w:val="en-us" w:eastAsia="en-us" w:bidi="en-us"/>
      </w:rPr>
    </w:lvl>
    <w:lvl w:ilvl="7">
      <w:start w:val="0"/>
      <w:numFmt w:val="bullet"/>
      <w:lvlText w:val="•"/>
      <w:lvlJc w:val="left"/>
      <w:pPr>
        <w:ind w:left="6519" w:hanging="567"/>
      </w:pPr>
      <w:rPr>
        <w:rFonts w:hint="default"/>
        <w:lang w:val="en-us" w:eastAsia="en-us" w:bidi="en-us"/>
      </w:rPr>
    </w:lvl>
    <w:lvl w:ilvl="8">
      <w:start w:val="0"/>
      <w:numFmt w:val="bullet"/>
      <w:lvlText w:val="•"/>
      <w:lvlJc w:val="left"/>
      <w:pPr>
        <w:ind w:left="7256" w:hanging="567"/>
      </w:pPr>
      <w:rPr>
        <w:rFonts w:hint="default"/>
        <w:lang w:val="en-us" w:eastAsia="en-us" w:bidi="en-us"/>
      </w:rPr>
    </w:lvl>
  </w:abstractNum>
  <w:abstractNum w:abstractNumId="187">
    <w:multiLevelType w:val="hybridMultilevel"/>
    <w:lvl w:ilvl="0">
      <w:start w:val="1"/>
      <w:numFmt w:val="lowerLetter"/>
      <w:lvlText w:val="(%1)"/>
      <w:lvlJc w:val="left"/>
      <w:pPr>
        <w:ind w:left="1360" w:hanging="567"/>
        <w:jc w:val="left"/>
      </w:pPr>
      <w:rPr>
        <w:rFonts w:hint="default" w:ascii="Calibri" w:hAnsi="Calibri" w:eastAsia="Calibri" w:cs="Calibri"/>
        <w:spacing w:val="0"/>
        <w:w w:val="109"/>
        <w:sz w:val="21"/>
        <w:szCs w:val="21"/>
        <w:lang w:val="en-us" w:eastAsia="en-us" w:bidi="en-us"/>
      </w:rPr>
    </w:lvl>
    <w:lvl w:ilvl="1">
      <w:start w:val="0"/>
      <w:numFmt w:val="bullet"/>
      <w:lvlText w:val="•"/>
      <w:lvlJc w:val="left"/>
      <w:pPr>
        <w:ind w:left="2097" w:hanging="567"/>
      </w:pPr>
      <w:rPr>
        <w:rFonts w:hint="default"/>
        <w:lang w:val="en-us" w:eastAsia="en-us" w:bidi="en-us"/>
      </w:rPr>
    </w:lvl>
    <w:lvl w:ilvl="2">
      <w:start w:val="0"/>
      <w:numFmt w:val="bullet"/>
      <w:lvlText w:val="•"/>
      <w:lvlJc w:val="left"/>
      <w:pPr>
        <w:ind w:left="2834" w:hanging="567"/>
      </w:pPr>
      <w:rPr>
        <w:rFonts w:hint="default"/>
        <w:lang w:val="en-us" w:eastAsia="en-us" w:bidi="en-us"/>
      </w:rPr>
    </w:lvl>
    <w:lvl w:ilvl="3">
      <w:start w:val="0"/>
      <w:numFmt w:val="bullet"/>
      <w:lvlText w:val="•"/>
      <w:lvlJc w:val="left"/>
      <w:pPr>
        <w:ind w:left="3571" w:hanging="567"/>
      </w:pPr>
      <w:rPr>
        <w:rFonts w:hint="default"/>
        <w:lang w:val="en-us" w:eastAsia="en-us" w:bidi="en-us"/>
      </w:rPr>
    </w:lvl>
    <w:lvl w:ilvl="4">
      <w:start w:val="0"/>
      <w:numFmt w:val="bullet"/>
      <w:lvlText w:val="•"/>
      <w:lvlJc w:val="left"/>
      <w:pPr>
        <w:ind w:left="4308" w:hanging="567"/>
      </w:pPr>
      <w:rPr>
        <w:rFonts w:hint="default"/>
        <w:lang w:val="en-us" w:eastAsia="en-us" w:bidi="en-us"/>
      </w:rPr>
    </w:lvl>
    <w:lvl w:ilvl="5">
      <w:start w:val="0"/>
      <w:numFmt w:val="bullet"/>
      <w:lvlText w:val="•"/>
      <w:lvlJc w:val="left"/>
      <w:pPr>
        <w:ind w:left="5045" w:hanging="567"/>
      </w:pPr>
      <w:rPr>
        <w:rFonts w:hint="default"/>
        <w:lang w:val="en-us" w:eastAsia="en-us" w:bidi="en-us"/>
      </w:rPr>
    </w:lvl>
    <w:lvl w:ilvl="6">
      <w:start w:val="0"/>
      <w:numFmt w:val="bullet"/>
      <w:lvlText w:val="•"/>
      <w:lvlJc w:val="left"/>
      <w:pPr>
        <w:ind w:left="5782" w:hanging="567"/>
      </w:pPr>
      <w:rPr>
        <w:rFonts w:hint="default"/>
        <w:lang w:val="en-us" w:eastAsia="en-us" w:bidi="en-us"/>
      </w:rPr>
    </w:lvl>
    <w:lvl w:ilvl="7">
      <w:start w:val="0"/>
      <w:numFmt w:val="bullet"/>
      <w:lvlText w:val="•"/>
      <w:lvlJc w:val="left"/>
      <w:pPr>
        <w:ind w:left="6519" w:hanging="567"/>
      </w:pPr>
      <w:rPr>
        <w:rFonts w:hint="default"/>
        <w:lang w:val="en-us" w:eastAsia="en-us" w:bidi="en-us"/>
      </w:rPr>
    </w:lvl>
    <w:lvl w:ilvl="8">
      <w:start w:val="0"/>
      <w:numFmt w:val="bullet"/>
      <w:lvlText w:val="•"/>
      <w:lvlJc w:val="left"/>
      <w:pPr>
        <w:ind w:left="7256" w:hanging="567"/>
      </w:pPr>
      <w:rPr>
        <w:rFonts w:hint="default"/>
        <w:lang w:val="en-us" w:eastAsia="en-us" w:bidi="en-us"/>
      </w:rPr>
    </w:lvl>
  </w:abstractNum>
  <w:abstractNum w:abstractNumId="160">
    <w:multiLevelType w:val="hybridMultilevel"/>
    <w:lvl w:ilvl="0">
      <w:start w:val="2"/>
      <w:numFmt w:val="decimal"/>
      <w:lvlText w:val="%1"/>
      <w:lvlJc w:val="left"/>
      <w:pPr>
        <w:ind w:left="2381" w:hanging="794"/>
        <w:jc w:val="right"/>
      </w:pPr>
      <w:rPr>
        <w:rFonts w:hint="default" w:ascii="Calibri" w:hAnsi="Calibri" w:eastAsia="Calibri" w:cs="Calibri"/>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550" w:hanging="341"/>
      </w:pPr>
      <w:rPr>
        <w:rFonts w:hint="default"/>
        <w:lang w:val="en-us" w:eastAsia="en-us" w:bidi="en-us"/>
      </w:rPr>
    </w:lvl>
    <w:lvl w:ilvl="3">
      <w:start w:val="0"/>
      <w:numFmt w:val="bullet"/>
      <w:lvlText w:val="•"/>
      <w:lvlJc w:val="left"/>
      <w:pPr>
        <w:ind w:left="4380" w:hanging="341"/>
      </w:pPr>
      <w:rPr>
        <w:rFonts w:hint="default"/>
        <w:lang w:val="en-us" w:eastAsia="en-us" w:bidi="en-us"/>
      </w:rPr>
    </w:lvl>
    <w:lvl w:ilvl="4">
      <w:start w:val="0"/>
      <w:numFmt w:val="bullet"/>
      <w:lvlText w:val="•"/>
      <w:lvlJc w:val="left"/>
      <w:pPr>
        <w:ind w:left="5210" w:hanging="341"/>
      </w:pPr>
      <w:rPr>
        <w:rFonts w:hint="default"/>
        <w:lang w:val="en-us" w:eastAsia="en-us" w:bidi="en-us"/>
      </w:rPr>
    </w:lvl>
    <w:lvl w:ilvl="5">
      <w:start w:val="0"/>
      <w:numFmt w:val="bullet"/>
      <w:lvlText w:val="•"/>
      <w:lvlJc w:val="left"/>
      <w:pPr>
        <w:ind w:left="6041" w:hanging="341"/>
      </w:pPr>
      <w:rPr>
        <w:rFonts w:hint="default"/>
        <w:lang w:val="en-us" w:eastAsia="en-us" w:bidi="en-us"/>
      </w:rPr>
    </w:lvl>
    <w:lvl w:ilvl="6">
      <w:start w:val="0"/>
      <w:numFmt w:val="bullet"/>
      <w:lvlText w:val="•"/>
      <w:lvlJc w:val="left"/>
      <w:pPr>
        <w:ind w:left="6871" w:hanging="341"/>
      </w:pPr>
      <w:rPr>
        <w:rFonts w:hint="default"/>
        <w:lang w:val="en-us" w:eastAsia="en-us" w:bidi="en-us"/>
      </w:rPr>
    </w:lvl>
    <w:lvl w:ilvl="7">
      <w:start w:val="0"/>
      <w:numFmt w:val="bullet"/>
      <w:lvlText w:val="•"/>
      <w:lvlJc w:val="left"/>
      <w:pPr>
        <w:ind w:left="7701" w:hanging="341"/>
      </w:pPr>
      <w:rPr>
        <w:rFonts w:hint="default"/>
        <w:lang w:val="en-us" w:eastAsia="en-us" w:bidi="en-us"/>
      </w:rPr>
    </w:lvl>
    <w:lvl w:ilvl="8">
      <w:start w:val="0"/>
      <w:numFmt w:val="bullet"/>
      <w:lvlText w:val="•"/>
      <w:lvlJc w:val="left"/>
      <w:pPr>
        <w:ind w:left="8531" w:hanging="341"/>
      </w:pPr>
      <w:rPr>
        <w:rFonts w:hint="default"/>
        <w:lang w:val="en-us" w:eastAsia="en-us" w:bidi="en-us"/>
      </w:rPr>
    </w:lvl>
  </w:abstractNum>
  <w:abstractNum w:abstractNumId="154">
    <w:multiLevelType w:val="hybridMultilevel"/>
    <w:lvl w:ilvl="0">
      <w:start w:val="172"/>
      <w:numFmt w:val="decimal"/>
      <w:lvlText w:val="%1"/>
      <w:lvlJc w:val="left"/>
      <w:pPr>
        <w:ind w:left="2381" w:hanging="794"/>
        <w:jc w:val="left"/>
      </w:pPr>
      <w:rPr>
        <w:rFonts w:hint="default" w:ascii="Calibri" w:hAnsi="Calibri" w:eastAsia="Calibri" w:cs="Calibri"/>
        <w:spacing w:val="-7"/>
        <w:w w:val="109"/>
        <w:sz w:val="13"/>
        <w:szCs w:val="13"/>
        <w:lang w:val="en-us" w:eastAsia="en-us" w:bidi="en-us"/>
      </w:rPr>
    </w:lvl>
    <w:lvl w:ilvl="1">
      <w:start w:val="0"/>
      <w:numFmt w:val="bullet"/>
      <w:lvlText w:val="•"/>
      <w:lvlJc w:val="left"/>
      <w:pPr>
        <w:ind w:left="3168" w:hanging="794"/>
      </w:pPr>
      <w:rPr>
        <w:rFonts w:hint="default"/>
        <w:lang w:val="en-us" w:eastAsia="en-us" w:bidi="en-us"/>
      </w:rPr>
    </w:lvl>
    <w:lvl w:ilvl="2">
      <w:start w:val="0"/>
      <w:numFmt w:val="bullet"/>
      <w:lvlText w:val="•"/>
      <w:lvlJc w:val="left"/>
      <w:pPr>
        <w:ind w:left="3957" w:hanging="794"/>
      </w:pPr>
      <w:rPr>
        <w:rFonts w:hint="default"/>
        <w:lang w:val="en-us" w:eastAsia="en-us" w:bidi="en-us"/>
      </w:rPr>
    </w:lvl>
    <w:lvl w:ilvl="3">
      <w:start w:val="0"/>
      <w:numFmt w:val="bullet"/>
      <w:lvlText w:val="•"/>
      <w:lvlJc w:val="left"/>
      <w:pPr>
        <w:ind w:left="4746" w:hanging="794"/>
      </w:pPr>
      <w:rPr>
        <w:rFonts w:hint="default"/>
        <w:lang w:val="en-us" w:eastAsia="en-us" w:bidi="en-us"/>
      </w:rPr>
    </w:lvl>
    <w:lvl w:ilvl="4">
      <w:start w:val="0"/>
      <w:numFmt w:val="bullet"/>
      <w:lvlText w:val="•"/>
      <w:lvlJc w:val="left"/>
      <w:pPr>
        <w:ind w:left="5535" w:hanging="794"/>
      </w:pPr>
      <w:rPr>
        <w:rFonts w:hint="default"/>
        <w:lang w:val="en-us" w:eastAsia="en-us" w:bidi="en-us"/>
      </w:rPr>
    </w:lvl>
    <w:lvl w:ilvl="5">
      <w:start w:val="0"/>
      <w:numFmt w:val="bullet"/>
      <w:lvlText w:val="•"/>
      <w:lvlJc w:val="left"/>
      <w:pPr>
        <w:ind w:left="6324" w:hanging="794"/>
      </w:pPr>
      <w:rPr>
        <w:rFonts w:hint="default"/>
        <w:lang w:val="en-us" w:eastAsia="en-us" w:bidi="en-us"/>
      </w:rPr>
    </w:lvl>
    <w:lvl w:ilvl="6">
      <w:start w:val="0"/>
      <w:numFmt w:val="bullet"/>
      <w:lvlText w:val="•"/>
      <w:lvlJc w:val="left"/>
      <w:pPr>
        <w:ind w:left="7113" w:hanging="794"/>
      </w:pPr>
      <w:rPr>
        <w:rFonts w:hint="default"/>
        <w:lang w:val="en-us" w:eastAsia="en-us" w:bidi="en-us"/>
      </w:rPr>
    </w:lvl>
    <w:lvl w:ilvl="7">
      <w:start w:val="0"/>
      <w:numFmt w:val="bullet"/>
      <w:lvlText w:val="•"/>
      <w:lvlJc w:val="left"/>
      <w:pPr>
        <w:ind w:left="7902" w:hanging="794"/>
      </w:pPr>
      <w:rPr>
        <w:rFonts w:hint="default"/>
        <w:lang w:val="en-us" w:eastAsia="en-us" w:bidi="en-us"/>
      </w:rPr>
    </w:lvl>
    <w:lvl w:ilvl="8">
      <w:start w:val="0"/>
      <w:numFmt w:val="bullet"/>
      <w:lvlText w:val="•"/>
      <w:lvlJc w:val="left"/>
      <w:pPr>
        <w:ind w:left="8691" w:hanging="794"/>
      </w:pPr>
      <w:rPr>
        <w:rFonts w:hint="default"/>
        <w:lang w:val="en-us" w:eastAsia="en-us" w:bidi="en-us"/>
      </w:rPr>
    </w:lvl>
  </w:abstractNum>
  <w:abstractNum w:abstractNumId="140">
    <w:multiLevelType w:val="hybridMultilevel"/>
    <w:lvl w:ilvl="0">
      <w:start w:val="27"/>
      <w:numFmt w:val="decimal"/>
      <w:lvlText w:val="%1"/>
      <w:lvlJc w:val="left"/>
      <w:pPr>
        <w:ind w:left="2381" w:hanging="567"/>
        <w:jc w:val="left"/>
      </w:pPr>
      <w:rPr>
        <w:rFonts w:hint="default" w:ascii="Calibri" w:hAnsi="Calibri" w:eastAsia="Calibri" w:cs="Calibri"/>
        <w:b/>
        <w:bCs/>
        <w:spacing w:val="-4"/>
        <w:w w:val="109"/>
        <w:sz w:val="21"/>
        <w:szCs w:val="21"/>
        <w:lang w:val="en-us" w:eastAsia="en-us" w:bidi="en-us"/>
      </w:rPr>
    </w:lvl>
    <w:lvl w:ilvl="1">
      <w:start w:val="1"/>
      <w:numFmt w:val="lowerLetter"/>
      <w:lvlText w:val="(%2)"/>
      <w:lvlJc w:val="left"/>
      <w:pPr>
        <w:ind w:left="2948" w:hanging="567"/>
        <w:jc w:val="left"/>
      </w:pPr>
      <w:rPr>
        <w:rFonts w:hint="default" w:ascii="Calibri" w:hAnsi="Calibri" w:eastAsia="Calibri" w:cs="Calibri"/>
        <w:spacing w:val="0"/>
        <w:w w:val="109"/>
        <w:sz w:val="21"/>
        <w:szCs w:val="21"/>
        <w:lang w:val="en-us" w:eastAsia="en-us" w:bidi="en-us"/>
      </w:rPr>
    </w:lvl>
    <w:lvl w:ilvl="2">
      <w:start w:val="0"/>
      <w:numFmt w:val="bullet"/>
      <w:lvlText w:val="•"/>
      <w:lvlJc w:val="left"/>
      <w:pPr>
        <w:ind w:left="3936" w:hanging="567"/>
      </w:pPr>
      <w:rPr>
        <w:rFonts w:hint="default"/>
        <w:lang w:val="en-us" w:eastAsia="en-us" w:bidi="en-us"/>
      </w:rPr>
    </w:lvl>
    <w:lvl w:ilvl="3">
      <w:start w:val="0"/>
      <w:numFmt w:val="bullet"/>
      <w:lvlText w:val="•"/>
      <w:lvlJc w:val="left"/>
      <w:pPr>
        <w:ind w:left="4932" w:hanging="567"/>
      </w:pPr>
      <w:rPr>
        <w:rFonts w:hint="default"/>
        <w:lang w:val="en-us" w:eastAsia="en-us" w:bidi="en-us"/>
      </w:rPr>
    </w:lvl>
    <w:lvl w:ilvl="4">
      <w:start w:val="0"/>
      <w:numFmt w:val="bullet"/>
      <w:lvlText w:val="•"/>
      <w:lvlJc w:val="left"/>
      <w:pPr>
        <w:ind w:left="5928" w:hanging="567"/>
      </w:pPr>
      <w:rPr>
        <w:rFonts w:hint="default"/>
        <w:lang w:val="en-us" w:eastAsia="en-us" w:bidi="en-us"/>
      </w:rPr>
    </w:lvl>
    <w:lvl w:ilvl="5">
      <w:start w:val="0"/>
      <w:numFmt w:val="bullet"/>
      <w:lvlText w:val="•"/>
      <w:lvlJc w:val="left"/>
      <w:pPr>
        <w:ind w:left="6924" w:hanging="567"/>
      </w:pPr>
      <w:rPr>
        <w:rFonts w:hint="default"/>
        <w:lang w:val="en-us" w:eastAsia="en-us" w:bidi="en-us"/>
      </w:rPr>
    </w:lvl>
    <w:lvl w:ilvl="6">
      <w:start w:val="0"/>
      <w:numFmt w:val="bullet"/>
      <w:lvlText w:val="•"/>
      <w:lvlJc w:val="left"/>
      <w:pPr>
        <w:ind w:left="7920" w:hanging="567"/>
      </w:pPr>
      <w:rPr>
        <w:rFonts w:hint="default"/>
        <w:lang w:val="en-us" w:eastAsia="en-us" w:bidi="en-us"/>
      </w:rPr>
    </w:lvl>
    <w:lvl w:ilvl="7">
      <w:start w:val="0"/>
      <w:numFmt w:val="bullet"/>
      <w:lvlText w:val="•"/>
      <w:lvlJc w:val="left"/>
      <w:pPr>
        <w:ind w:left="8917" w:hanging="567"/>
      </w:pPr>
      <w:rPr>
        <w:rFonts w:hint="default"/>
        <w:lang w:val="en-us" w:eastAsia="en-us" w:bidi="en-us"/>
      </w:rPr>
    </w:lvl>
    <w:lvl w:ilvl="8">
      <w:start w:val="0"/>
      <w:numFmt w:val="bullet"/>
      <w:lvlText w:val="•"/>
      <w:lvlJc w:val="left"/>
      <w:pPr>
        <w:ind w:left="9913" w:hanging="567"/>
      </w:pPr>
      <w:rPr>
        <w:rFonts w:hint="default"/>
        <w:lang w:val="en-us" w:eastAsia="en-us" w:bidi="en-us"/>
      </w:rPr>
    </w:lvl>
  </w:abstractNum>
  <w:abstractNum w:abstractNumId="89">
    <w:multiLevelType w:val="hybridMultilevel"/>
    <w:lvl w:ilvl="0">
      <w:start w:val="1"/>
      <w:numFmt w:val="lowerLetter"/>
      <w:lvlText w:val="(%1)"/>
      <w:lvlJc w:val="left"/>
      <w:pPr>
        <w:ind w:left="2948" w:hanging="567"/>
        <w:jc w:val="left"/>
      </w:pPr>
      <w:rPr>
        <w:rFonts w:hint="default" w:ascii="Calibri" w:hAnsi="Calibri" w:eastAsia="Calibri" w:cs="Calibri"/>
        <w:spacing w:val="0"/>
        <w:w w:val="109"/>
        <w:sz w:val="21"/>
        <w:szCs w:val="21"/>
        <w:lang w:val="en-us" w:eastAsia="en-us" w:bidi="en-us"/>
      </w:rPr>
    </w:lvl>
    <w:lvl w:ilvl="1">
      <w:start w:val="0"/>
      <w:numFmt w:val="bullet"/>
      <w:lvlText w:val="•"/>
      <w:lvlJc w:val="left"/>
      <w:pPr>
        <w:ind w:left="3836" w:hanging="567"/>
      </w:pPr>
      <w:rPr>
        <w:rFonts w:hint="default"/>
        <w:lang w:val="en-us" w:eastAsia="en-us" w:bidi="en-us"/>
      </w:rPr>
    </w:lvl>
    <w:lvl w:ilvl="2">
      <w:start w:val="0"/>
      <w:numFmt w:val="bullet"/>
      <w:lvlText w:val="•"/>
      <w:lvlJc w:val="left"/>
      <w:pPr>
        <w:ind w:left="4733" w:hanging="567"/>
      </w:pPr>
      <w:rPr>
        <w:rFonts w:hint="default"/>
        <w:lang w:val="en-us" w:eastAsia="en-us" w:bidi="en-us"/>
      </w:rPr>
    </w:lvl>
    <w:lvl w:ilvl="3">
      <w:start w:val="0"/>
      <w:numFmt w:val="bullet"/>
      <w:lvlText w:val="•"/>
      <w:lvlJc w:val="left"/>
      <w:pPr>
        <w:ind w:left="5629" w:hanging="567"/>
      </w:pPr>
      <w:rPr>
        <w:rFonts w:hint="default"/>
        <w:lang w:val="en-us" w:eastAsia="en-us" w:bidi="en-us"/>
      </w:rPr>
    </w:lvl>
    <w:lvl w:ilvl="4">
      <w:start w:val="0"/>
      <w:numFmt w:val="bullet"/>
      <w:lvlText w:val="•"/>
      <w:lvlJc w:val="left"/>
      <w:pPr>
        <w:ind w:left="6526" w:hanging="567"/>
      </w:pPr>
      <w:rPr>
        <w:rFonts w:hint="default"/>
        <w:lang w:val="en-us" w:eastAsia="en-us" w:bidi="en-us"/>
      </w:rPr>
    </w:lvl>
    <w:lvl w:ilvl="5">
      <w:start w:val="0"/>
      <w:numFmt w:val="bullet"/>
      <w:lvlText w:val="•"/>
      <w:lvlJc w:val="left"/>
      <w:pPr>
        <w:ind w:left="7422" w:hanging="567"/>
      </w:pPr>
      <w:rPr>
        <w:rFonts w:hint="default"/>
        <w:lang w:val="en-us" w:eastAsia="en-us" w:bidi="en-us"/>
      </w:rPr>
    </w:lvl>
    <w:lvl w:ilvl="6">
      <w:start w:val="0"/>
      <w:numFmt w:val="bullet"/>
      <w:lvlText w:val="•"/>
      <w:lvlJc w:val="left"/>
      <w:pPr>
        <w:ind w:left="8319" w:hanging="567"/>
      </w:pPr>
      <w:rPr>
        <w:rFonts w:hint="default"/>
        <w:lang w:val="en-us" w:eastAsia="en-us" w:bidi="en-us"/>
      </w:rPr>
    </w:lvl>
    <w:lvl w:ilvl="7">
      <w:start w:val="0"/>
      <w:numFmt w:val="bullet"/>
      <w:lvlText w:val="•"/>
      <w:lvlJc w:val="left"/>
      <w:pPr>
        <w:ind w:left="9215" w:hanging="567"/>
      </w:pPr>
      <w:rPr>
        <w:rFonts w:hint="default"/>
        <w:lang w:val="en-us" w:eastAsia="en-us" w:bidi="en-us"/>
      </w:rPr>
    </w:lvl>
    <w:lvl w:ilvl="8">
      <w:start w:val="0"/>
      <w:numFmt w:val="bullet"/>
      <w:lvlText w:val="•"/>
      <w:lvlJc w:val="left"/>
      <w:pPr>
        <w:ind w:left="10112" w:hanging="567"/>
      </w:pPr>
      <w:rPr>
        <w:rFonts w:hint="default"/>
        <w:lang w:val="en-us" w:eastAsia="en-us" w:bidi="en-us"/>
      </w:rPr>
    </w:lvl>
  </w:abstractNum>
  <w:abstractNum w:abstractNumId="82">
    <w:multiLevelType w:val="hybridMultilevel"/>
    <w:lvl w:ilvl="0">
      <w:start w:val="0"/>
      <w:numFmt w:val="bullet"/>
      <w:lvlText w:val="•"/>
      <w:lvlJc w:val="left"/>
      <w:pPr>
        <w:ind w:left="2721" w:hanging="341"/>
      </w:pPr>
      <w:rPr>
        <w:rFonts w:hint="default" w:ascii="Calibri" w:hAnsi="Calibri" w:eastAsia="Calibri" w:cs="Calibri"/>
        <w:w w:val="100"/>
        <w:sz w:val="21"/>
        <w:szCs w:val="21"/>
        <w:lang w:val="en-us" w:eastAsia="en-us" w:bidi="en-us"/>
      </w:rPr>
    </w:lvl>
    <w:lvl w:ilvl="1">
      <w:start w:val="0"/>
      <w:numFmt w:val="bullet"/>
      <w:lvlText w:val="•"/>
      <w:lvlJc w:val="left"/>
      <w:pPr>
        <w:ind w:left="3638" w:hanging="341"/>
      </w:pPr>
      <w:rPr>
        <w:rFonts w:hint="default"/>
        <w:lang w:val="en-us" w:eastAsia="en-us" w:bidi="en-us"/>
      </w:rPr>
    </w:lvl>
    <w:lvl w:ilvl="2">
      <w:start w:val="0"/>
      <w:numFmt w:val="bullet"/>
      <w:lvlText w:val="•"/>
      <w:lvlJc w:val="left"/>
      <w:pPr>
        <w:ind w:left="4557" w:hanging="341"/>
      </w:pPr>
      <w:rPr>
        <w:rFonts w:hint="default"/>
        <w:lang w:val="en-us" w:eastAsia="en-us" w:bidi="en-us"/>
      </w:rPr>
    </w:lvl>
    <w:lvl w:ilvl="3">
      <w:start w:val="0"/>
      <w:numFmt w:val="bullet"/>
      <w:lvlText w:val="•"/>
      <w:lvlJc w:val="left"/>
      <w:pPr>
        <w:ind w:left="5475" w:hanging="341"/>
      </w:pPr>
      <w:rPr>
        <w:rFonts w:hint="default"/>
        <w:lang w:val="en-us" w:eastAsia="en-us" w:bidi="en-us"/>
      </w:rPr>
    </w:lvl>
    <w:lvl w:ilvl="4">
      <w:start w:val="0"/>
      <w:numFmt w:val="bullet"/>
      <w:lvlText w:val="•"/>
      <w:lvlJc w:val="left"/>
      <w:pPr>
        <w:ind w:left="6394" w:hanging="341"/>
      </w:pPr>
      <w:rPr>
        <w:rFonts w:hint="default"/>
        <w:lang w:val="en-us" w:eastAsia="en-us" w:bidi="en-us"/>
      </w:rPr>
    </w:lvl>
    <w:lvl w:ilvl="5">
      <w:start w:val="0"/>
      <w:numFmt w:val="bullet"/>
      <w:lvlText w:val="•"/>
      <w:lvlJc w:val="left"/>
      <w:pPr>
        <w:ind w:left="7312" w:hanging="341"/>
      </w:pPr>
      <w:rPr>
        <w:rFonts w:hint="default"/>
        <w:lang w:val="en-us" w:eastAsia="en-us" w:bidi="en-us"/>
      </w:rPr>
    </w:lvl>
    <w:lvl w:ilvl="6">
      <w:start w:val="0"/>
      <w:numFmt w:val="bullet"/>
      <w:lvlText w:val="•"/>
      <w:lvlJc w:val="left"/>
      <w:pPr>
        <w:ind w:left="8231" w:hanging="341"/>
      </w:pPr>
      <w:rPr>
        <w:rFonts w:hint="default"/>
        <w:lang w:val="en-us" w:eastAsia="en-us" w:bidi="en-us"/>
      </w:rPr>
    </w:lvl>
    <w:lvl w:ilvl="7">
      <w:start w:val="0"/>
      <w:numFmt w:val="bullet"/>
      <w:lvlText w:val="•"/>
      <w:lvlJc w:val="left"/>
      <w:pPr>
        <w:ind w:left="9149" w:hanging="341"/>
      </w:pPr>
      <w:rPr>
        <w:rFonts w:hint="default"/>
        <w:lang w:val="en-us" w:eastAsia="en-us" w:bidi="en-us"/>
      </w:rPr>
    </w:lvl>
    <w:lvl w:ilvl="8">
      <w:start w:val="0"/>
      <w:numFmt w:val="bullet"/>
      <w:lvlText w:val="•"/>
      <w:lvlJc w:val="left"/>
      <w:pPr>
        <w:ind w:left="10068" w:hanging="341"/>
      </w:pPr>
      <w:rPr>
        <w:rFonts w:hint="default"/>
        <w:lang w:val="en-us" w:eastAsia="en-us" w:bidi="en-us"/>
      </w:rPr>
    </w:lvl>
  </w:abstractNum>
  <w:abstractNum w:abstractNumId="81">
    <w:multiLevelType w:val="hybridMultilevel"/>
    <w:lvl w:ilvl="0">
      <w:start w:val="1"/>
      <w:numFmt w:val="lowerLetter"/>
      <w:lvlText w:val="(%1)"/>
      <w:lvlJc w:val="left"/>
      <w:pPr>
        <w:ind w:left="1360" w:hanging="567"/>
        <w:jc w:val="left"/>
      </w:pPr>
      <w:rPr>
        <w:rFonts w:hint="default" w:ascii="Calibri" w:hAnsi="Calibri" w:eastAsia="Calibri" w:cs="Calibri"/>
        <w:spacing w:val="0"/>
        <w:w w:val="109"/>
        <w:sz w:val="21"/>
        <w:szCs w:val="21"/>
        <w:lang w:val="en-us" w:eastAsia="en-us" w:bidi="en-us"/>
      </w:rPr>
    </w:lvl>
    <w:lvl w:ilvl="1">
      <w:start w:val="0"/>
      <w:numFmt w:val="bullet"/>
      <w:lvlText w:val="•"/>
      <w:lvlJc w:val="left"/>
      <w:pPr>
        <w:ind w:left="2097" w:hanging="567"/>
      </w:pPr>
      <w:rPr>
        <w:rFonts w:hint="default"/>
        <w:lang w:val="en-us" w:eastAsia="en-us" w:bidi="en-us"/>
      </w:rPr>
    </w:lvl>
    <w:lvl w:ilvl="2">
      <w:start w:val="0"/>
      <w:numFmt w:val="bullet"/>
      <w:lvlText w:val="•"/>
      <w:lvlJc w:val="left"/>
      <w:pPr>
        <w:ind w:left="2834" w:hanging="567"/>
      </w:pPr>
      <w:rPr>
        <w:rFonts w:hint="default"/>
        <w:lang w:val="en-us" w:eastAsia="en-us" w:bidi="en-us"/>
      </w:rPr>
    </w:lvl>
    <w:lvl w:ilvl="3">
      <w:start w:val="0"/>
      <w:numFmt w:val="bullet"/>
      <w:lvlText w:val="•"/>
      <w:lvlJc w:val="left"/>
      <w:pPr>
        <w:ind w:left="3571" w:hanging="567"/>
      </w:pPr>
      <w:rPr>
        <w:rFonts w:hint="default"/>
        <w:lang w:val="en-us" w:eastAsia="en-us" w:bidi="en-us"/>
      </w:rPr>
    </w:lvl>
    <w:lvl w:ilvl="4">
      <w:start w:val="0"/>
      <w:numFmt w:val="bullet"/>
      <w:lvlText w:val="•"/>
      <w:lvlJc w:val="left"/>
      <w:pPr>
        <w:ind w:left="4308" w:hanging="567"/>
      </w:pPr>
      <w:rPr>
        <w:rFonts w:hint="default"/>
        <w:lang w:val="en-us" w:eastAsia="en-us" w:bidi="en-us"/>
      </w:rPr>
    </w:lvl>
    <w:lvl w:ilvl="5">
      <w:start w:val="0"/>
      <w:numFmt w:val="bullet"/>
      <w:lvlText w:val="•"/>
      <w:lvlJc w:val="left"/>
      <w:pPr>
        <w:ind w:left="5045" w:hanging="567"/>
      </w:pPr>
      <w:rPr>
        <w:rFonts w:hint="default"/>
        <w:lang w:val="en-us" w:eastAsia="en-us" w:bidi="en-us"/>
      </w:rPr>
    </w:lvl>
    <w:lvl w:ilvl="6">
      <w:start w:val="0"/>
      <w:numFmt w:val="bullet"/>
      <w:lvlText w:val="•"/>
      <w:lvlJc w:val="left"/>
      <w:pPr>
        <w:ind w:left="5782" w:hanging="567"/>
      </w:pPr>
      <w:rPr>
        <w:rFonts w:hint="default"/>
        <w:lang w:val="en-us" w:eastAsia="en-us" w:bidi="en-us"/>
      </w:rPr>
    </w:lvl>
    <w:lvl w:ilvl="7">
      <w:start w:val="0"/>
      <w:numFmt w:val="bullet"/>
      <w:lvlText w:val="•"/>
      <w:lvlJc w:val="left"/>
      <w:pPr>
        <w:ind w:left="6519" w:hanging="567"/>
      </w:pPr>
      <w:rPr>
        <w:rFonts w:hint="default"/>
        <w:lang w:val="en-us" w:eastAsia="en-us" w:bidi="en-us"/>
      </w:rPr>
    </w:lvl>
    <w:lvl w:ilvl="8">
      <w:start w:val="0"/>
      <w:numFmt w:val="bullet"/>
      <w:lvlText w:val="•"/>
      <w:lvlJc w:val="left"/>
      <w:pPr>
        <w:ind w:left="7256" w:hanging="567"/>
      </w:pPr>
      <w:rPr>
        <w:rFonts w:hint="default"/>
        <w:lang w:val="en-us" w:eastAsia="en-us" w:bidi="en-us"/>
      </w:rPr>
    </w:lvl>
  </w:abstractNum>
  <w:abstractNum w:abstractNumId="68">
    <w:multiLevelType w:val="hybridMultilevel"/>
    <w:lvl w:ilvl="0">
      <w:start w:val="1"/>
      <w:numFmt w:val="lowerLetter"/>
      <w:lvlText w:val="(%1)"/>
      <w:lvlJc w:val="left"/>
      <w:pPr>
        <w:ind w:left="1360" w:hanging="567"/>
        <w:jc w:val="left"/>
      </w:pPr>
      <w:rPr>
        <w:rFonts w:hint="default" w:ascii="Calibri" w:hAnsi="Calibri" w:eastAsia="Calibri" w:cs="Calibri"/>
        <w:spacing w:val="0"/>
        <w:w w:val="109"/>
        <w:sz w:val="21"/>
        <w:szCs w:val="21"/>
        <w:lang w:val="en-us" w:eastAsia="en-us" w:bidi="en-us"/>
      </w:rPr>
    </w:lvl>
    <w:lvl w:ilvl="1">
      <w:start w:val="0"/>
      <w:numFmt w:val="bullet"/>
      <w:lvlText w:val="•"/>
      <w:lvlJc w:val="left"/>
      <w:pPr>
        <w:ind w:left="2097" w:hanging="567"/>
      </w:pPr>
      <w:rPr>
        <w:rFonts w:hint="default"/>
        <w:lang w:val="en-us" w:eastAsia="en-us" w:bidi="en-us"/>
      </w:rPr>
    </w:lvl>
    <w:lvl w:ilvl="2">
      <w:start w:val="0"/>
      <w:numFmt w:val="bullet"/>
      <w:lvlText w:val="•"/>
      <w:lvlJc w:val="left"/>
      <w:pPr>
        <w:ind w:left="2834" w:hanging="567"/>
      </w:pPr>
      <w:rPr>
        <w:rFonts w:hint="default"/>
        <w:lang w:val="en-us" w:eastAsia="en-us" w:bidi="en-us"/>
      </w:rPr>
    </w:lvl>
    <w:lvl w:ilvl="3">
      <w:start w:val="0"/>
      <w:numFmt w:val="bullet"/>
      <w:lvlText w:val="•"/>
      <w:lvlJc w:val="left"/>
      <w:pPr>
        <w:ind w:left="3571" w:hanging="567"/>
      </w:pPr>
      <w:rPr>
        <w:rFonts w:hint="default"/>
        <w:lang w:val="en-us" w:eastAsia="en-us" w:bidi="en-us"/>
      </w:rPr>
    </w:lvl>
    <w:lvl w:ilvl="4">
      <w:start w:val="0"/>
      <w:numFmt w:val="bullet"/>
      <w:lvlText w:val="•"/>
      <w:lvlJc w:val="left"/>
      <w:pPr>
        <w:ind w:left="4308" w:hanging="567"/>
      </w:pPr>
      <w:rPr>
        <w:rFonts w:hint="default"/>
        <w:lang w:val="en-us" w:eastAsia="en-us" w:bidi="en-us"/>
      </w:rPr>
    </w:lvl>
    <w:lvl w:ilvl="5">
      <w:start w:val="0"/>
      <w:numFmt w:val="bullet"/>
      <w:lvlText w:val="•"/>
      <w:lvlJc w:val="left"/>
      <w:pPr>
        <w:ind w:left="5045" w:hanging="567"/>
      </w:pPr>
      <w:rPr>
        <w:rFonts w:hint="default"/>
        <w:lang w:val="en-us" w:eastAsia="en-us" w:bidi="en-us"/>
      </w:rPr>
    </w:lvl>
    <w:lvl w:ilvl="6">
      <w:start w:val="0"/>
      <w:numFmt w:val="bullet"/>
      <w:lvlText w:val="•"/>
      <w:lvlJc w:val="left"/>
      <w:pPr>
        <w:ind w:left="5782" w:hanging="567"/>
      </w:pPr>
      <w:rPr>
        <w:rFonts w:hint="default"/>
        <w:lang w:val="en-us" w:eastAsia="en-us" w:bidi="en-us"/>
      </w:rPr>
    </w:lvl>
    <w:lvl w:ilvl="7">
      <w:start w:val="0"/>
      <w:numFmt w:val="bullet"/>
      <w:lvlText w:val="•"/>
      <w:lvlJc w:val="left"/>
      <w:pPr>
        <w:ind w:left="6519" w:hanging="567"/>
      </w:pPr>
      <w:rPr>
        <w:rFonts w:hint="default"/>
        <w:lang w:val="en-us" w:eastAsia="en-us" w:bidi="en-us"/>
      </w:rPr>
    </w:lvl>
    <w:lvl w:ilvl="8">
      <w:start w:val="0"/>
      <w:numFmt w:val="bullet"/>
      <w:lvlText w:val="•"/>
      <w:lvlJc w:val="left"/>
      <w:pPr>
        <w:ind w:left="7256" w:hanging="567"/>
      </w:pPr>
      <w:rPr>
        <w:rFonts w:hint="default"/>
        <w:lang w:val="en-us" w:eastAsia="en-us" w:bidi="en-us"/>
      </w:rPr>
    </w:lvl>
  </w:abstractNum>
  <w:abstractNum w:abstractNumId="47">
    <w:multiLevelType w:val="hybridMultilevel"/>
    <w:lvl w:ilvl="0">
      <w:start w:val="1"/>
      <w:numFmt w:val="lowerLetter"/>
      <w:lvlText w:val="(%1)"/>
      <w:lvlJc w:val="left"/>
      <w:pPr>
        <w:ind w:left="1134" w:hanging="567"/>
        <w:jc w:val="left"/>
      </w:pPr>
      <w:rPr>
        <w:rFonts w:hint="default" w:ascii="Calibri" w:hAnsi="Calibri" w:eastAsia="Calibri" w:cs="Calibri"/>
        <w:spacing w:val="0"/>
        <w:w w:val="109"/>
        <w:sz w:val="21"/>
        <w:szCs w:val="21"/>
        <w:lang w:val="en-us" w:eastAsia="en-us" w:bidi="en-us"/>
      </w:rPr>
    </w:lvl>
    <w:lvl w:ilvl="1">
      <w:start w:val="0"/>
      <w:numFmt w:val="bullet"/>
      <w:lvlText w:val="•"/>
      <w:lvlJc w:val="left"/>
      <w:pPr>
        <w:ind w:left="1817" w:hanging="567"/>
      </w:pPr>
      <w:rPr>
        <w:rFonts w:hint="default"/>
        <w:lang w:val="en-us" w:eastAsia="en-us" w:bidi="en-us"/>
      </w:rPr>
    </w:lvl>
    <w:lvl w:ilvl="2">
      <w:start w:val="0"/>
      <w:numFmt w:val="bullet"/>
      <w:lvlText w:val="•"/>
      <w:lvlJc w:val="left"/>
      <w:pPr>
        <w:ind w:left="2494" w:hanging="567"/>
      </w:pPr>
      <w:rPr>
        <w:rFonts w:hint="default"/>
        <w:lang w:val="en-us" w:eastAsia="en-us" w:bidi="en-us"/>
      </w:rPr>
    </w:lvl>
    <w:lvl w:ilvl="3">
      <w:start w:val="0"/>
      <w:numFmt w:val="bullet"/>
      <w:lvlText w:val="•"/>
      <w:lvlJc w:val="left"/>
      <w:pPr>
        <w:ind w:left="3171" w:hanging="567"/>
      </w:pPr>
      <w:rPr>
        <w:rFonts w:hint="default"/>
        <w:lang w:val="en-us" w:eastAsia="en-us" w:bidi="en-us"/>
      </w:rPr>
    </w:lvl>
    <w:lvl w:ilvl="4">
      <w:start w:val="0"/>
      <w:numFmt w:val="bullet"/>
      <w:lvlText w:val="•"/>
      <w:lvlJc w:val="left"/>
      <w:pPr>
        <w:ind w:left="3849" w:hanging="567"/>
      </w:pPr>
      <w:rPr>
        <w:rFonts w:hint="default"/>
        <w:lang w:val="en-us" w:eastAsia="en-us" w:bidi="en-us"/>
      </w:rPr>
    </w:lvl>
    <w:lvl w:ilvl="5">
      <w:start w:val="0"/>
      <w:numFmt w:val="bullet"/>
      <w:lvlText w:val="•"/>
      <w:lvlJc w:val="left"/>
      <w:pPr>
        <w:ind w:left="4526" w:hanging="567"/>
      </w:pPr>
      <w:rPr>
        <w:rFonts w:hint="default"/>
        <w:lang w:val="en-us" w:eastAsia="en-us" w:bidi="en-us"/>
      </w:rPr>
    </w:lvl>
    <w:lvl w:ilvl="6">
      <w:start w:val="0"/>
      <w:numFmt w:val="bullet"/>
      <w:lvlText w:val="•"/>
      <w:lvlJc w:val="left"/>
      <w:pPr>
        <w:ind w:left="5203" w:hanging="567"/>
      </w:pPr>
      <w:rPr>
        <w:rFonts w:hint="default"/>
        <w:lang w:val="en-us" w:eastAsia="en-us" w:bidi="en-us"/>
      </w:rPr>
    </w:lvl>
    <w:lvl w:ilvl="7">
      <w:start w:val="0"/>
      <w:numFmt w:val="bullet"/>
      <w:lvlText w:val="•"/>
      <w:lvlJc w:val="left"/>
      <w:pPr>
        <w:ind w:left="5881" w:hanging="567"/>
      </w:pPr>
      <w:rPr>
        <w:rFonts w:hint="default"/>
        <w:lang w:val="en-us" w:eastAsia="en-us" w:bidi="en-us"/>
      </w:rPr>
    </w:lvl>
    <w:lvl w:ilvl="8">
      <w:start w:val="0"/>
      <w:numFmt w:val="bullet"/>
      <w:lvlText w:val="•"/>
      <w:lvlJc w:val="left"/>
      <w:pPr>
        <w:ind w:left="6558" w:hanging="567"/>
      </w:pPr>
      <w:rPr>
        <w:rFonts w:hint="default"/>
        <w:lang w:val="en-us" w:eastAsia="en-us" w:bidi="en-us"/>
      </w:rPr>
    </w:lvl>
  </w:abstractNum>
  <w:abstractNum w:abstractNumId="3">
    <w:multiLevelType w:val="hybridMultilevel"/>
    <w:lvl w:ilvl="0">
      <w:start w:val="0"/>
      <w:numFmt w:val="bullet"/>
      <w:lvlText w:val="•"/>
      <w:lvlJc w:val="left"/>
      <w:pPr>
        <w:ind w:left="2721" w:hanging="341"/>
      </w:pPr>
      <w:rPr>
        <w:rFonts w:hint="default" w:ascii="Calibri" w:hAnsi="Calibri" w:eastAsia="Calibri" w:cs="Calibri"/>
        <w:w w:val="100"/>
        <w:sz w:val="21"/>
        <w:szCs w:val="21"/>
        <w:lang w:val="en-us" w:eastAsia="en-us" w:bidi="en-us"/>
      </w:rPr>
    </w:lvl>
    <w:lvl w:ilvl="1">
      <w:start w:val="0"/>
      <w:numFmt w:val="bullet"/>
      <w:lvlText w:val="•"/>
      <w:lvlJc w:val="left"/>
      <w:pPr>
        <w:ind w:left="3638" w:hanging="341"/>
      </w:pPr>
      <w:rPr>
        <w:rFonts w:hint="default"/>
        <w:lang w:val="en-us" w:eastAsia="en-us" w:bidi="en-us"/>
      </w:rPr>
    </w:lvl>
    <w:lvl w:ilvl="2">
      <w:start w:val="0"/>
      <w:numFmt w:val="bullet"/>
      <w:lvlText w:val="•"/>
      <w:lvlJc w:val="left"/>
      <w:pPr>
        <w:ind w:left="4557" w:hanging="341"/>
      </w:pPr>
      <w:rPr>
        <w:rFonts w:hint="default"/>
        <w:lang w:val="en-us" w:eastAsia="en-us" w:bidi="en-us"/>
      </w:rPr>
    </w:lvl>
    <w:lvl w:ilvl="3">
      <w:start w:val="0"/>
      <w:numFmt w:val="bullet"/>
      <w:lvlText w:val="•"/>
      <w:lvlJc w:val="left"/>
      <w:pPr>
        <w:ind w:left="5475" w:hanging="341"/>
      </w:pPr>
      <w:rPr>
        <w:rFonts w:hint="default"/>
        <w:lang w:val="en-us" w:eastAsia="en-us" w:bidi="en-us"/>
      </w:rPr>
    </w:lvl>
    <w:lvl w:ilvl="4">
      <w:start w:val="0"/>
      <w:numFmt w:val="bullet"/>
      <w:lvlText w:val="•"/>
      <w:lvlJc w:val="left"/>
      <w:pPr>
        <w:ind w:left="6394" w:hanging="341"/>
      </w:pPr>
      <w:rPr>
        <w:rFonts w:hint="default"/>
        <w:lang w:val="en-us" w:eastAsia="en-us" w:bidi="en-us"/>
      </w:rPr>
    </w:lvl>
    <w:lvl w:ilvl="5">
      <w:start w:val="0"/>
      <w:numFmt w:val="bullet"/>
      <w:lvlText w:val="•"/>
      <w:lvlJc w:val="left"/>
      <w:pPr>
        <w:ind w:left="7312" w:hanging="341"/>
      </w:pPr>
      <w:rPr>
        <w:rFonts w:hint="default"/>
        <w:lang w:val="en-us" w:eastAsia="en-us" w:bidi="en-us"/>
      </w:rPr>
    </w:lvl>
    <w:lvl w:ilvl="6">
      <w:start w:val="0"/>
      <w:numFmt w:val="bullet"/>
      <w:lvlText w:val="•"/>
      <w:lvlJc w:val="left"/>
      <w:pPr>
        <w:ind w:left="8231" w:hanging="341"/>
      </w:pPr>
      <w:rPr>
        <w:rFonts w:hint="default"/>
        <w:lang w:val="en-us" w:eastAsia="en-us" w:bidi="en-us"/>
      </w:rPr>
    </w:lvl>
    <w:lvl w:ilvl="7">
      <w:start w:val="0"/>
      <w:numFmt w:val="bullet"/>
      <w:lvlText w:val="•"/>
      <w:lvlJc w:val="left"/>
      <w:pPr>
        <w:ind w:left="9149" w:hanging="341"/>
      </w:pPr>
      <w:rPr>
        <w:rFonts w:hint="default"/>
        <w:lang w:val="en-us" w:eastAsia="en-us" w:bidi="en-us"/>
      </w:rPr>
    </w:lvl>
    <w:lvl w:ilvl="8">
      <w:start w:val="0"/>
      <w:numFmt w:val="bullet"/>
      <w:lvlText w:val="•"/>
      <w:lvlJc w:val="left"/>
      <w:pPr>
        <w:ind w:left="10068" w:hanging="341"/>
      </w:pPr>
      <w:rPr>
        <w:rFonts w:hint="default"/>
        <w:lang w:val="en-us" w:eastAsia="en-us" w:bidi="en-us"/>
      </w:rPr>
    </w:lvl>
  </w:abstractNum>
  <w:abstractNum w:abstractNumId="0">
    <w:multiLevelType w:val="hybridMultilevel"/>
    <w:lvl w:ilvl="0">
      <w:start w:val="1"/>
      <w:numFmt w:val="decimal"/>
      <w:lvlText w:val="%1."/>
      <w:lvlJc w:val="left"/>
      <w:pPr>
        <w:ind w:left="1927" w:hanging="341"/>
        <w:jc w:val="left"/>
      </w:pPr>
      <w:rPr>
        <w:rFonts w:hint="default" w:ascii="Calibri" w:hAnsi="Calibri" w:eastAsia="Calibri" w:cs="Calibri"/>
        <w:b/>
        <w:bCs/>
        <w:color w:val="658464"/>
        <w:spacing w:val="-6"/>
        <w:w w:val="104"/>
        <w:sz w:val="21"/>
        <w:szCs w:val="21"/>
        <w:lang w:val="en-us" w:eastAsia="en-us" w:bidi="en-us"/>
      </w:rPr>
    </w:lvl>
    <w:lvl w:ilvl="1">
      <w:start w:val="0"/>
      <w:numFmt w:val="bullet"/>
      <w:lvlText w:val="•"/>
      <w:lvlJc w:val="left"/>
      <w:pPr>
        <w:ind w:left="2918" w:hanging="341"/>
      </w:pPr>
      <w:rPr>
        <w:rFonts w:hint="default"/>
        <w:lang w:val="en-us" w:eastAsia="en-us" w:bidi="en-us"/>
      </w:rPr>
    </w:lvl>
    <w:lvl w:ilvl="2">
      <w:start w:val="0"/>
      <w:numFmt w:val="bullet"/>
      <w:lvlText w:val="•"/>
      <w:lvlJc w:val="left"/>
      <w:pPr>
        <w:ind w:left="3917" w:hanging="341"/>
      </w:pPr>
      <w:rPr>
        <w:rFonts w:hint="default"/>
        <w:lang w:val="en-us" w:eastAsia="en-us" w:bidi="en-us"/>
      </w:rPr>
    </w:lvl>
    <w:lvl w:ilvl="3">
      <w:start w:val="0"/>
      <w:numFmt w:val="bullet"/>
      <w:lvlText w:val="•"/>
      <w:lvlJc w:val="left"/>
      <w:pPr>
        <w:ind w:left="4915" w:hanging="341"/>
      </w:pPr>
      <w:rPr>
        <w:rFonts w:hint="default"/>
        <w:lang w:val="en-us" w:eastAsia="en-us" w:bidi="en-us"/>
      </w:rPr>
    </w:lvl>
    <w:lvl w:ilvl="4">
      <w:start w:val="0"/>
      <w:numFmt w:val="bullet"/>
      <w:lvlText w:val="•"/>
      <w:lvlJc w:val="left"/>
      <w:pPr>
        <w:ind w:left="5914" w:hanging="341"/>
      </w:pPr>
      <w:rPr>
        <w:rFonts w:hint="default"/>
        <w:lang w:val="en-us" w:eastAsia="en-us" w:bidi="en-us"/>
      </w:rPr>
    </w:lvl>
    <w:lvl w:ilvl="5">
      <w:start w:val="0"/>
      <w:numFmt w:val="bullet"/>
      <w:lvlText w:val="•"/>
      <w:lvlJc w:val="left"/>
      <w:pPr>
        <w:ind w:left="6912" w:hanging="341"/>
      </w:pPr>
      <w:rPr>
        <w:rFonts w:hint="default"/>
        <w:lang w:val="en-us" w:eastAsia="en-us" w:bidi="en-us"/>
      </w:rPr>
    </w:lvl>
    <w:lvl w:ilvl="6">
      <w:start w:val="0"/>
      <w:numFmt w:val="bullet"/>
      <w:lvlText w:val="•"/>
      <w:lvlJc w:val="left"/>
      <w:pPr>
        <w:ind w:left="7911" w:hanging="341"/>
      </w:pPr>
      <w:rPr>
        <w:rFonts w:hint="default"/>
        <w:lang w:val="en-us" w:eastAsia="en-us" w:bidi="en-us"/>
      </w:rPr>
    </w:lvl>
    <w:lvl w:ilvl="7">
      <w:start w:val="0"/>
      <w:numFmt w:val="bullet"/>
      <w:lvlText w:val="•"/>
      <w:lvlJc w:val="left"/>
      <w:pPr>
        <w:ind w:left="8909" w:hanging="341"/>
      </w:pPr>
      <w:rPr>
        <w:rFonts w:hint="default"/>
        <w:lang w:val="en-us" w:eastAsia="en-us" w:bidi="en-us"/>
      </w:rPr>
    </w:lvl>
    <w:lvl w:ilvl="8">
      <w:start w:val="0"/>
      <w:numFmt w:val="bullet"/>
      <w:lvlText w:val="•"/>
      <w:lvlJc w:val="left"/>
      <w:pPr>
        <w:ind w:left="9908" w:hanging="341"/>
      </w:pPr>
      <w:rPr>
        <w:rFonts w:hint="default"/>
        <w:lang w:val="en-us" w:eastAsia="en-us" w:bidi="en-us"/>
      </w:rPr>
    </w:lvl>
  </w:abstractNum>
  <w:abstractNum w:abstractNumId="226">
    <w:multiLevelType w:val="hybridMultilevel"/>
    <w:lvl w:ilvl="0">
      <w:start w:val="1"/>
      <w:numFmt w:val="decimal"/>
      <w:lvlText w:val="%1"/>
      <w:lvlJc w:val="left"/>
      <w:pPr>
        <w:ind w:left="541" w:hanging="397"/>
        <w:jc w:val="left"/>
      </w:pPr>
      <w:rPr>
        <w:rFonts w:hint="default" w:ascii="Lucida Sans" w:hAnsi="Lucida Sans" w:eastAsia="Lucida Sans" w:cs="Lucida Sans"/>
        <w:color w:val="231F20"/>
        <w:w w:val="87"/>
        <w:sz w:val="18"/>
        <w:szCs w:val="18"/>
        <w:lang w:val="en-us" w:eastAsia="en-us" w:bidi="en-us"/>
      </w:rPr>
    </w:lvl>
    <w:lvl w:ilvl="1">
      <w:start w:val="0"/>
      <w:numFmt w:val="bullet"/>
      <w:lvlText w:val="•"/>
      <w:lvlJc w:val="left"/>
      <w:pPr>
        <w:ind w:left="954" w:hanging="397"/>
      </w:pPr>
      <w:rPr>
        <w:rFonts w:hint="default"/>
        <w:lang w:val="en-us" w:eastAsia="en-us" w:bidi="en-us"/>
      </w:rPr>
    </w:lvl>
    <w:lvl w:ilvl="2">
      <w:start w:val="0"/>
      <w:numFmt w:val="bullet"/>
      <w:lvlText w:val="•"/>
      <w:lvlJc w:val="left"/>
      <w:pPr>
        <w:ind w:left="1368" w:hanging="397"/>
      </w:pPr>
      <w:rPr>
        <w:rFonts w:hint="default"/>
        <w:lang w:val="en-us" w:eastAsia="en-us" w:bidi="en-us"/>
      </w:rPr>
    </w:lvl>
    <w:lvl w:ilvl="3">
      <w:start w:val="0"/>
      <w:numFmt w:val="bullet"/>
      <w:lvlText w:val="•"/>
      <w:lvlJc w:val="left"/>
      <w:pPr>
        <w:ind w:left="1782" w:hanging="397"/>
      </w:pPr>
      <w:rPr>
        <w:rFonts w:hint="default"/>
        <w:lang w:val="en-us" w:eastAsia="en-us" w:bidi="en-us"/>
      </w:rPr>
    </w:lvl>
    <w:lvl w:ilvl="4">
      <w:start w:val="0"/>
      <w:numFmt w:val="bullet"/>
      <w:lvlText w:val="•"/>
      <w:lvlJc w:val="left"/>
      <w:pPr>
        <w:ind w:left="2197" w:hanging="397"/>
      </w:pPr>
      <w:rPr>
        <w:rFonts w:hint="default"/>
        <w:lang w:val="en-us" w:eastAsia="en-us" w:bidi="en-us"/>
      </w:rPr>
    </w:lvl>
    <w:lvl w:ilvl="5">
      <w:start w:val="0"/>
      <w:numFmt w:val="bullet"/>
      <w:lvlText w:val="•"/>
      <w:lvlJc w:val="left"/>
      <w:pPr>
        <w:ind w:left="2611" w:hanging="397"/>
      </w:pPr>
      <w:rPr>
        <w:rFonts w:hint="default"/>
        <w:lang w:val="en-us" w:eastAsia="en-us" w:bidi="en-us"/>
      </w:rPr>
    </w:lvl>
    <w:lvl w:ilvl="6">
      <w:start w:val="0"/>
      <w:numFmt w:val="bullet"/>
      <w:lvlText w:val="•"/>
      <w:lvlJc w:val="left"/>
      <w:pPr>
        <w:ind w:left="3025" w:hanging="397"/>
      </w:pPr>
      <w:rPr>
        <w:rFonts w:hint="default"/>
        <w:lang w:val="en-us" w:eastAsia="en-us" w:bidi="en-us"/>
      </w:rPr>
    </w:lvl>
    <w:lvl w:ilvl="7">
      <w:start w:val="0"/>
      <w:numFmt w:val="bullet"/>
      <w:lvlText w:val="•"/>
      <w:lvlJc w:val="left"/>
      <w:pPr>
        <w:ind w:left="3439" w:hanging="397"/>
      </w:pPr>
      <w:rPr>
        <w:rFonts w:hint="default"/>
        <w:lang w:val="en-us" w:eastAsia="en-us" w:bidi="en-us"/>
      </w:rPr>
    </w:lvl>
    <w:lvl w:ilvl="8">
      <w:start w:val="0"/>
      <w:numFmt w:val="bullet"/>
      <w:lvlText w:val="•"/>
      <w:lvlJc w:val="left"/>
      <w:pPr>
        <w:ind w:left="3854" w:hanging="397"/>
      </w:pPr>
      <w:rPr>
        <w:rFonts w:hint="default"/>
        <w:lang w:val="en-us" w:eastAsia="en-us" w:bidi="en-us"/>
      </w:rPr>
    </w:lvl>
  </w:abstractNum>
  <w:abstractNum w:abstractNumId="225">
    <w:multiLevelType w:val="hybridMultilevel"/>
    <w:lvl w:ilvl="0">
      <w:start w:val="0"/>
      <w:numFmt w:val="bullet"/>
      <w:lvlText w:val="-"/>
      <w:lvlJc w:val="left"/>
      <w:pPr>
        <w:ind w:left="1927" w:hanging="341"/>
      </w:pPr>
      <w:rPr>
        <w:rFonts w:hint="default" w:ascii="Calibri" w:hAnsi="Calibri" w:eastAsia="Calibri" w:cs="Calibri"/>
        <w:w w:val="108"/>
        <w:sz w:val="21"/>
        <w:szCs w:val="21"/>
        <w:lang w:val="en-us" w:eastAsia="en-us" w:bidi="en-us"/>
      </w:rPr>
    </w:lvl>
    <w:lvl w:ilvl="1">
      <w:start w:val="0"/>
      <w:numFmt w:val="bullet"/>
      <w:lvlText w:val="•"/>
      <w:lvlJc w:val="left"/>
      <w:pPr>
        <w:ind w:left="2918" w:hanging="341"/>
      </w:pPr>
      <w:rPr>
        <w:rFonts w:hint="default"/>
        <w:lang w:val="en-us" w:eastAsia="en-us" w:bidi="en-us"/>
      </w:rPr>
    </w:lvl>
    <w:lvl w:ilvl="2">
      <w:start w:val="0"/>
      <w:numFmt w:val="bullet"/>
      <w:lvlText w:val="•"/>
      <w:lvlJc w:val="left"/>
      <w:pPr>
        <w:ind w:left="3917" w:hanging="341"/>
      </w:pPr>
      <w:rPr>
        <w:rFonts w:hint="default"/>
        <w:lang w:val="en-us" w:eastAsia="en-us" w:bidi="en-us"/>
      </w:rPr>
    </w:lvl>
    <w:lvl w:ilvl="3">
      <w:start w:val="0"/>
      <w:numFmt w:val="bullet"/>
      <w:lvlText w:val="•"/>
      <w:lvlJc w:val="left"/>
      <w:pPr>
        <w:ind w:left="4915" w:hanging="341"/>
      </w:pPr>
      <w:rPr>
        <w:rFonts w:hint="default"/>
        <w:lang w:val="en-us" w:eastAsia="en-us" w:bidi="en-us"/>
      </w:rPr>
    </w:lvl>
    <w:lvl w:ilvl="4">
      <w:start w:val="0"/>
      <w:numFmt w:val="bullet"/>
      <w:lvlText w:val="•"/>
      <w:lvlJc w:val="left"/>
      <w:pPr>
        <w:ind w:left="5914" w:hanging="341"/>
      </w:pPr>
      <w:rPr>
        <w:rFonts w:hint="default"/>
        <w:lang w:val="en-us" w:eastAsia="en-us" w:bidi="en-us"/>
      </w:rPr>
    </w:lvl>
    <w:lvl w:ilvl="5">
      <w:start w:val="0"/>
      <w:numFmt w:val="bullet"/>
      <w:lvlText w:val="•"/>
      <w:lvlJc w:val="left"/>
      <w:pPr>
        <w:ind w:left="6912" w:hanging="341"/>
      </w:pPr>
      <w:rPr>
        <w:rFonts w:hint="default"/>
        <w:lang w:val="en-us" w:eastAsia="en-us" w:bidi="en-us"/>
      </w:rPr>
    </w:lvl>
    <w:lvl w:ilvl="6">
      <w:start w:val="0"/>
      <w:numFmt w:val="bullet"/>
      <w:lvlText w:val="•"/>
      <w:lvlJc w:val="left"/>
      <w:pPr>
        <w:ind w:left="7911" w:hanging="341"/>
      </w:pPr>
      <w:rPr>
        <w:rFonts w:hint="default"/>
        <w:lang w:val="en-us" w:eastAsia="en-us" w:bidi="en-us"/>
      </w:rPr>
    </w:lvl>
    <w:lvl w:ilvl="7">
      <w:start w:val="0"/>
      <w:numFmt w:val="bullet"/>
      <w:lvlText w:val="•"/>
      <w:lvlJc w:val="left"/>
      <w:pPr>
        <w:ind w:left="8909" w:hanging="341"/>
      </w:pPr>
      <w:rPr>
        <w:rFonts w:hint="default"/>
        <w:lang w:val="en-us" w:eastAsia="en-us" w:bidi="en-us"/>
      </w:rPr>
    </w:lvl>
    <w:lvl w:ilvl="8">
      <w:start w:val="0"/>
      <w:numFmt w:val="bullet"/>
      <w:lvlText w:val="•"/>
      <w:lvlJc w:val="left"/>
      <w:pPr>
        <w:ind w:left="9908" w:hanging="341"/>
      </w:pPr>
      <w:rPr>
        <w:rFonts w:hint="default"/>
        <w:lang w:val="en-us" w:eastAsia="en-us" w:bidi="en-us"/>
      </w:rPr>
    </w:lvl>
  </w:abstractNum>
  <w:abstractNum w:abstractNumId="224">
    <w:multiLevelType w:val="hybridMultilevel"/>
    <w:lvl w:ilvl="0">
      <w:start w:val="0"/>
      <w:numFmt w:val="bullet"/>
      <w:lvlText w:val="-"/>
      <w:lvlJc w:val="left"/>
      <w:pPr>
        <w:ind w:left="1927" w:hanging="341"/>
      </w:pPr>
      <w:rPr>
        <w:rFonts w:hint="default" w:ascii="Calibri" w:hAnsi="Calibri" w:eastAsia="Calibri" w:cs="Calibri"/>
        <w:w w:val="108"/>
        <w:sz w:val="21"/>
        <w:szCs w:val="21"/>
        <w:lang w:val="en-us" w:eastAsia="en-us" w:bidi="en-us"/>
      </w:rPr>
    </w:lvl>
    <w:lvl w:ilvl="1">
      <w:start w:val="0"/>
      <w:numFmt w:val="bullet"/>
      <w:lvlText w:val="•"/>
      <w:lvlJc w:val="left"/>
      <w:pPr>
        <w:ind w:left="2918" w:hanging="341"/>
      </w:pPr>
      <w:rPr>
        <w:rFonts w:hint="default"/>
        <w:lang w:val="en-us" w:eastAsia="en-us" w:bidi="en-us"/>
      </w:rPr>
    </w:lvl>
    <w:lvl w:ilvl="2">
      <w:start w:val="0"/>
      <w:numFmt w:val="bullet"/>
      <w:lvlText w:val="•"/>
      <w:lvlJc w:val="left"/>
      <w:pPr>
        <w:ind w:left="3917" w:hanging="341"/>
      </w:pPr>
      <w:rPr>
        <w:rFonts w:hint="default"/>
        <w:lang w:val="en-us" w:eastAsia="en-us" w:bidi="en-us"/>
      </w:rPr>
    </w:lvl>
    <w:lvl w:ilvl="3">
      <w:start w:val="0"/>
      <w:numFmt w:val="bullet"/>
      <w:lvlText w:val="•"/>
      <w:lvlJc w:val="left"/>
      <w:pPr>
        <w:ind w:left="4915" w:hanging="341"/>
      </w:pPr>
      <w:rPr>
        <w:rFonts w:hint="default"/>
        <w:lang w:val="en-us" w:eastAsia="en-us" w:bidi="en-us"/>
      </w:rPr>
    </w:lvl>
    <w:lvl w:ilvl="4">
      <w:start w:val="0"/>
      <w:numFmt w:val="bullet"/>
      <w:lvlText w:val="•"/>
      <w:lvlJc w:val="left"/>
      <w:pPr>
        <w:ind w:left="5914" w:hanging="341"/>
      </w:pPr>
      <w:rPr>
        <w:rFonts w:hint="default"/>
        <w:lang w:val="en-us" w:eastAsia="en-us" w:bidi="en-us"/>
      </w:rPr>
    </w:lvl>
    <w:lvl w:ilvl="5">
      <w:start w:val="0"/>
      <w:numFmt w:val="bullet"/>
      <w:lvlText w:val="•"/>
      <w:lvlJc w:val="left"/>
      <w:pPr>
        <w:ind w:left="6912" w:hanging="341"/>
      </w:pPr>
      <w:rPr>
        <w:rFonts w:hint="default"/>
        <w:lang w:val="en-us" w:eastAsia="en-us" w:bidi="en-us"/>
      </w:rPr>
    </w:lvl>
    <w:lvl w:ilvl="6">
      <w:start w:val="0"/>
      <w:numFmt w:val="bullet"/>
      <w:lvlText w:val="•"/>
      <w:lvlJc w:val="left"/>
      <w:pPr>
        <w:ind w:left="7911" w:hanging="341"/>
      </w:pPr>
      <w:rPr>
        <w:rFonts w:hint="default"/>
        <w:lang w:val="en-us" w:eastAsia="en-us" w:bidi="en-us"/>
      </w:rPr>
    </w:lvl>
    <w:lvl w:ilvl="7">
      <w:start w:val="0"/>
      <w:numFmt w:val="bullet"/>
      <w:lvlText w:val="•"/>
      <w:lvlJc w:val="left"/>
      <w:pPr>
        <w:ind w:left="8909" w:hanging="341"/>
      </w:pPr>
      <w:rPr>
        <w:rFonts w:hint="default"/>
        <w:lang w:val="en-us" w:eastAsia="en-us" w:bidi="en-us"/>
      </w:rPr>
    </w:lvl>
    <w:lvl w:ilvl="8">
      <w:start w:val="0"/>
      <w:numFmt w:val="bullet"/>
      <w:lvlText w:val="•"/>
      <w:lvlJc w:val="left"/>
      <w:pPr>
        <w:ind w:left="9908" w:hanging="341"/>
      </w:pPr>
      <w:rPr>
        <w:rFonts w:hint="default"/>
        <w:lang w:val="en-us" w:eastAsia="en-us" w:bidi="en-us"/>
      </w:rPr>
    </w:lvl>
  </w:abstractNum>
  <w:abstractNum w:abstractNumId="223">
    <w:multiLevelType w:val="hybridMultilevel"/>
    <w:lvl w:ilvl="0">
      <w:start w:val="0"/>
      <w:numFmt w:val="bullet"/>
      <w:lvlText w:val="-"/>
      <w:lvlJc w:val="left"/>
      <w:pPr>
        <w:ind w:left="768" w:hanging="341"/>
      </w:pPr>
      <w:rPr>
        <w:rFonts w:hint="default" w:ascii="Calibri" w:hAnsi="Calibri" w:eastAsia="Calibri" w:cs="Calibri"/>
        <w:w w:val="108"/>
        <w:sz w:val="21"/>
        <w:szCs w:val="21"/>
        <w:lang w:val="en-us" w:eastAsia="en-us" w:bidi="en-us"/>
      </w:rPr>
    </w:lvl>
    <w:lvl w:ilvl="1">
      <w:start w:val="0"/>
      <w:numFmt w:val="bullet"/>
      <w:lvlText w:val="-"/>
      <w:lvlJc w:val="left"/>
      <w:pPr>
        <w:ind w:left="1927" w:hanging="341"/>
      </w:pPr>
      <w:rPr>
        <w:rFonts w:hint="default" w:ascii="Calibri" w:hAnsi="Calibri" w:eastAsia="Calibri" w:cs="Calibri"/>
        <w:w w:val="108"/>
        <w:sz w:val="21"/>
        <w:szCs w:val="21"/>
        <w:lang w:val="en-us" w:eastAsia="en-us" w:bidi="en-us"/>
      </w:rPr>
    </w:lvl>
    <w:lvl w:ilvl="2">
      <w:start w:val="0"/>
      <w:numFmt w:val="bullet"/>
      <w:lvlText w:val="•"/>
      <w:lvlJc w:val="left"/>
      <w:pPr>
        <w:ind w:left="2900" w:hanging="341"/>
      </w:pPr>
      <w:rPr>
        <w:rFonts w:hint="default"/>
        <w:lang w:val="en-us" w:eastAsia="en-us" w:bidi="en-us"/>
      </w:rPr>
    </w:lvl>
    <w:lvl w:ilvl="3">
      <w:start w:val="0"/>
      <w:numFmt w:val="bullet"/>
      <w:lvlText w:val="•"/>
      <w:lvlJc w:val="left"/>
      <w:pPr>
        <w:ind w:left="3881" w:hanging="341"/>
      </w:pPr>
      <w:rPr>
        <w:rFonts w:hint="default"/>
        <w:lang w:val="en-us" w:eastAsia="en-us" w:bidi="en-us"/>
      </w:rPr>
    </w:lvl>
    <w:lvl w:ilvl="4">
      <w:start w:val="0"/>
      <w:numFmt w:val="bullet"/>
      <w:lvlText w:val="•"/>
      <w:lvlJc w:val="left"/>
      <w:pPr>
        <w:ind w:left="4862" w:hanging="341"/>
      </w:pPr>
      <w:rPr>
        <w:rFonts w:hint="default"/>
        <w:lang w:val="en-us" w:eastAsia="en-us" w:bidi="en-us"/>
      </w:rPr>
    </w:lvl>
    <w:lvl w:ilvl="5">
      <w:start w:val="0"/>
      <w:numFmt w:val="bullet"/>
      <w:lvlText w:val="•"/>
      <w:lvlJc w:val="left"/>
      <w:pPr>
        <w:ind w:left="5842" w:hanging="341"/>
      </w:pPr>
      <w:rPr>
        <w:rFonts w:hint="default"/>
        <w:lang w:val="en-us" w:eastAsia="en-us" w:bidi="en-us"/>
      </w:rPr>
    </w:lvl>
    <w:lvl w:ilvl="6">
      <w:start w:val="0"/>
      <w:numFmt w:val="bullet"/>
      <w:lvlText w:val="•"/>
      <w:lvlJc w:val="left"/>
      <w:pPr>
        <w:ind w:left="6823" w:hanging="341"/>
      </w:pPr>
      <w:rPr>
        <w:rFonts w:hint="default"/>
        <w:lang w:val="en-us" w:eastAsia="en-us" w:bidi="en-us"/>
      </w:rPr>
    </w:lvl>
    <w:lvl w:ilvl="7">
      <w:start w:val="0"/>
      <w:numFmt w:val="bullet"/>
      <w:lvlText w:val="•"/>
      <w:lvlJc w:val="left"/>
      <w:pPr>
        <w:ind w:left="7804" w:hanging="341"/>
      </w:pPr>
      <w:rPr>
        <w:rFonts w:hint="default"/>
        <w:lang w:val="en-us" w:eastAsia="en-us" w:bidi="en-us"/>
      </w:rPr>
    </w:lvl>
    <w:lvl w:ilvl="8">
      <w:start w:val="0"/>
      <w:numFmt w:val="bullet"/>
      <w:lvlText w:val="•"/>
      <w:lvlJc w:val="left"/>
      <w:pPr>
        <w:ind w:left="8785" w:hanging="341"/>
      </w:pPr>
      <w:rPr>
        <w:rFonts w:hint="default"/>
        <w:lang w:val="en-us" w:eastAsia="en-us" w:bidi="en-us"/>
      </w:rPr>
    </w:lvl>
  </w:abstractNum>
  <w:abstractNum w:abstractNumId="222">
    <w:multiLevelType w:val="hybridMultilevel"/>
    <w:lvl w:ilvl="0">
      <w:start w:val="0"/>
      <w:numFmt w:val="bullet"/>
      <w:lvlText w:val="-"/>
      <w:lvlJc w:val="left"/>
      <w:pPr>
        <w:ind w:left="1927" w:hanging="341"/>
      </w:pPr>
      <w:rPr>
        <w:rFonts w:hint="default" w:ascii="Calibri" w:hAnsi="Calibri" w:eastAsia="Calibri" w:cs="Calibri"/>
        <w:w w:val="108"/>
        <w:sz w:val="21"/>
        <w:szCs w:val="21"/>
        <w:lang w:val="en-us" w:eastAsia="en-us" w:bidi="en-us"/>
      </w:rPr>
    </w:lvl>
    <w:lvl w:ilvl="1">
      <w:start w:val="0"/>
      <w:numFmt w:val="bullet"/>
      <w:lvlText w:val="•"/>
      <w:lvlJc w:val="left"/>
      <w:pPr>
        <w:ind w:left="2758" w:hanging="341"/>
      </w:pPr>
      <w:rPr>
        <w:rFonts w:hint="default"/>
        <w:lang w:val="en-us" w:eastAsia="en-us" w:bidi="en-us"/>
      </w:rPr>
    </w:lvl>
    <w:lvl w:ilvl="2">
      <w:start w:val="0"/>
      <w:numFmt w:val="bullet"/>
      <w:lvlText w:val="•"/>
      <w:lvlJc w:val="left"/>
      <w:pPr>
        <w:ind w:left="3596" w:hanging="341"/>
      </w:pPr>
      <w:rPr>
        <w:rFonts w:hint="default"/>
        <w:lang w:val="en-us" w:eastAsia="en-us" w:bidi="en-us"/>
      </w:rPr>
    </w:lvl>
    <w:lvl w:ilvl="3">
      <w:start w:val="0"/>
      <w:numFmt w:val="bullet"/>
      <w:lvlText w:val="•"/>
      <w:lvlJc w:val="left"/>
      <w:pPr>
        <w:ind w:left="4435" w:hanging="341"/>
      </w:pPr>
      <w:rPr>
        <w:rFonts w:hint="default"/>
        <w:lang w:val="en-us" w:eastAsia="en-us" w:bidi="en-us"/>
      </w:rPr>
    </w:lvl>
    <w:lvl w:ilvl="4">
      <w:start w:val="0"/>
      <w:numFmt w:val="bullet"/>
      <w:lvlText w:val="•"/>
      <w:lvlJc w:val="left"/>
      <w:pPr>
        <w:ind w:left="5273" w:hanging="341"/>
      </w:pPr>
      <w:rPr>
        <w:rFonts w:hint="default"/>
        <w:lang w:val="en-us" w:eastAsia="en-us" w:bidi="en-us"/>
      </w:rPr>
    </w:lvl>
    <w:lvl w:ilvl="5">
      <w:start w:val="0"/>
      <w:numFmt w:val="bullet"/>
      <w:lvlText w:val="•"/>
      <w:lvlJc w:val="left"/>
      <w:pPr>
        <w:ind w:left="6111" w:hanging="341"/>
      </w:pPr>
      <w:rPr>
        <w:rFonts w:hint="default"/>
        <w:lang w:val="en-us" w:eastAsia="en-us" w:bidi="en-us"/>
      </w:rPr>
    </w:lvl>
    <w:lvl w:ilvl="6">
      <w:start w:val="0"/>
      <w:numFmt w:val="bullet"/>
      <w:lvlText w:val="•"/>
      <w:lvlJc w:val="left"/>
      <w:pPr>
        <w:ind w:left="6950" w:hanging="341"/>
      </w:pPr>
      <w:rPr>
        <w:rFonts w:hint="default"/>
        <w:lang w:val="en-us" w:eastAsia="en-us" w:bidi="en-us"/>
      </w:rPr>
    </w:lvl>
    <w:lvl w:ilvl="7">
      <w:start w:val="0"/>
      <w:numFmt w:val="bullet"/>
      <w:lvlText w:val="•"/>
      <w:lvlJc w:val="left"/>
      <w:pPr>
        <w:ind w:left="7788" w:hanging="341"/>
      </w:pPr>
      <w:rPr>
        <w:rFonts w:hint="default"/>
        <w:lang w:val="en-us" w:eastAsia="en-us" w:bidi="en-us"/>
      </w:rPr>
    </w:lvl>
    <w:lvl w:ilvl="8">
      <w:start w:val="0"/>
      <w:numFmt w:val="bullet"/>
      <w:lvlText w:val="•"/>
      <w:lvlJc w:val="left"/>
      <w:pPr>
        <w:ind w:left="8627" w:hanging="341"/>
      </w:pPr>
      <w:rPr>
        <w:rFonts w:hint="default"/>
        <w:lang w:val="en-us" w:eastAsia="en-us" w:bidi="en-us"/>
      </w:rPr>
    </w:lvl>
  </w:abstractNum>
  <w:abstractNum w:abstractNumId="221">
    <w:multiLevelType w:val="hybridMultilevel"/>
    <w:lvl w:ilvl="0">
      <w:start w:val="0"/>
      <w:numFmt w:val="bullet"/>
      <w:lvlText w:val="-"/>
      <w:lvlJc w:val="left"/>
      <w:pPr>
        <w:ind w:left="1927" w:hanging="341"/>
      </w:pPr>
      <w:rPr>
        <w:rFonts w:hint="default" w:ascii="Calibri" w:hAnsi="Calibri" w:eastAsia="Calibri" w:cs="Calibri"/>
        <w:w w:val="108"/>
        <w:sz w:val="21"/>
        <w:szCs w:val="21"/>
        <w:lang w:val="en-us" w:eastAsia="en-us" w:bidi="en-us"/>
      </w:rPr>
    </w:lvl>
    <w:lvl w:ilvl="1">
      <w:start w:val="0"/>
      <w:numFmt w:val="bullet"/>
      <w:lvlText w:val="•"/>
      <w:lvlJc w:val="left"/>
      <w:pPr>
        <w:ind w:left="2918" w:hanging="341"/>
      </w:pPr>
      <w:rPr>
        <w:rFonts w:hint="default"/>
        <w:lang w:val="en-us" w:eastAsia="en-us" w:bidi="en-us"/>
      </w:rPr>
    </w:lvl>
    <w:lvl w:ilvl="2">
      <w:start w:val="0"/>
      <w:numFmt w:val="bullet"/>
      <w:lvlText w:val="•"/>
      <w:lvlJc w:val="left"/>
      <w:pPr>
        <w:ind w:left="3917" w:hanging="341"/>
      </w:pPr>
      <w:rPr>
        <w:rFonts w:hint="default"/>
        <w:lang w:val="en-us" w:eastAsia="en-us" w:bidi="en-us"/>
      </w:rPr>
    </w:lvl>
    <w:lvl w:ilvl="3">
      <w:start w:val="0"/>
      <w:numFmt w:val="bullet"/>
      <w:lvlText w:val="•"/>
      <w:lvlJc w:val="left"/>
      <w:pPr>
        <w:ind w:left="4915" w:hanging="341"/>
      </w:pPr>
      <w:rPr>
        <w:rFonts w:hint="default"/>
        <w:lang w:val="en-us" w:eastAsia="en-us" w:bidi="en-us"/>
      </w:rPr>
    </w:lvl>
    <w:lvl w:ilvl="4">
      <w:start w:val="0"/>
      <w:numFmt w:val="bullet"/>
      <w:lvlText w:val="•"/>
      <w:lvlJc w:val="left"/>
      <w:pPr>
        <w:ind w:left="5914" w:hanging="341"/>
      </w:pPr>
      <w:rPr>
        <w:rFonts w:hint="default"/>
        <w:lang w:val="en-us" w:eastAsia="en-us" w:bidi="en-us"/>
      </w:rPr>
    </w:lvl>
    <w:lvl w:ilvl="5">
      <w:start w:val="0"/>
      <w:numFmt w:val="bullet"/>
      <w:lvlText w:val="•"/>
      <w:lvlJc w:val="left"/>
      <w:pPr>
        <w:ind w:left="6912" w:hanging="341"/>
      </w:pPr>
      <w:rPr>
        <w:rFonts w:hint="default"/>
        <w:lang w:val="en-us" w:eastAsia="en-us" w:bidi="en-us"/>
      </w:rPr>
    </w:lvl>
    <w:lvl w:ilvl="6">
      <w:start w:val="0"/>
      <w:numFmt w:val="bullet"/>
      <w:lvlText w:val="•"/>
      <w:lvlJc w:val="left"/>
      <w:pPr>
        <w:ind w:left="7911" w:hanging="341"/>
      </w:pPr>
      <w:rPr>
        <w:rFonts w:hint="default"/>
        <w:lang w:val="en-us" w:eastAsia="en-us" w:bidi="en-us"/>
      </w:rPr>
    </w:lvl>
    <w:lvl w:ilvl="7">
      <w:start w:val="0"/>
      <w:numFmt w:val="bullet"/>
      <w:lvlText w:val="•"/>
      <w:lvlJc w:val="left"/>
      <w:pPr>
        <w:ind w:left="8909" w:hanging="341"/>
      </w:pPr>
      <w:rPr>
        <w:rFonts w:hint="default"/>
        <w:lang w:val="en-us" w:eastAsia="en-us" w:bidi="en-us"/>
      </w:rPr>
    </w:lvl>
    <w:lvl w:ilvl="8">
      <w:start w:val="0"/>
      <w:numFmt w:val="bullet"/>
      <w:lvlText w:val="•"/>
      <w:lvlJc w:val="left"/>
      <w:pPr>
        <w:ind w:left="9908" w:hanging="341"/>
      </w:pPr>
      <w:rPr>
        <w:rFonts w:hint="default"/>
        <w:lang w:val="en-us" w:eastAsia="en-us" w:bidi="en-us"/>
      </w:rPr>
    </w:lvl>
  </w:abstractNum>
  <w:abstractNum w:abstractNumId="220">
    <w:multiLevelType w:val="hybridMultilevel"/>
    <w:lvl w:ilvl="0">
      <w:start w:val="0"/>
      <w:numFmt w:val="bullet"/>
      <w:lvlText w:val="-"/>
      <w:lvlJc w:val="left"/>
      <w:pPr>
        <w:ind w:left="1927" w:hanging="341"/>
      </w:pPr>
      <w:rPr>
        <w:rFonts w:hint="default" w:ascii="Calibri" w:hAnsi="Calibri" w:eastAsia="Calibri" w:cs="Calibri"/>
        <w:w w:val="108"/>
        <w:sz w:val="21"/>
        <w:szCs w:val="21"/>
        <w:lang w:val="en-us" w:eastAsia="en-us" w:bidi="en-us"/>
      </w:rPr>
    </w:lvl>
    <w:lvl w:ilvl="1">
      <w:start w:val="0"/>
      <w:numFmt w:val="bullet"/>
      <w:lvlText w:val="•"/>
      <w:lvlJc w:val="left"/>
      <w:pPr>
        <w:ind w:left="2759" w:hanging="341"/>
      </w:pPr>
      <w:rPr>
        <w:rFonts w:hint="default"/>
        <w:lang w:val="en-us" w:eastAsia="en-us" w:bidi="en-us"/>
      </w:rPr>
    </w:lvl>
    <w:lvl w:ilvl="2">
      <w:start w:val="0"/>
      <w:numFmt w:val="bullet"/>
      <w:lvlText w:val="•"/>
      <w:lvlJc w:val="left"/>
      <w:pPr>
        <w:ind w:left="3598" w:hanging="341"/>
      </w:pPr>
      <w:rPr>
        <w:rFonts w:hint="default"/>
        <w:lang w:val="en-us" w:eastAsia="en-us" w:bidi="en-us"/>
      </w:rPr>
    </w:lvl>
    <w:lvl w:ilvl="3">
      <w:start w:val="0"/>
      <w:numFmt w:val="bullet"/>
      <w:lvlText w:val="•"/>
      <w:lvlJc w:val="left"/>
      <w:pPr>
        <w:ind w:left="4437" w:hanging="341"/>
      </w:pPr>
      <w:rPr>
        <w:rFonts w:hint="default"/>
        <w:lang w:val="en-us" w:eastAsia="en-us" w:bidi="en-us"/>
      </w:rPr>
    </w:lvl>
    <w:lvl w:ilvl="4">
      <w:start w:val="0"/>
      <w:numFmt w:val="bullet"/>
      <w:lvlText w:val="•"/>
      <w:lvlJc w:val="left"/>
      <w:pPr>
        <w:ind w:left="5276" w:hanging="341"/>
      </w:pPr>
      <w:rPr>
        <w:rFonts w:hint="default"/>
        <w:lang w:val="en-us" w:eastAsia="en-us" w:bidi="en-us"/>
      </w:rPr>
    </w:lvl>
    <w:lvl w:ilvl="5">
      <w:start w:val="0"/>
      <w:numFmt w:val="bullet"/>
      <w:lvlText w:val="•"/>
      <w:lvlJc w:val="left"/>
      <w:pPr>
        <w:ind w:left="6116" w:hanging="341"/>
      </w:pPr>
      <w:rPr>
        <w:rFonts w:hint="default"/>
        <w:lang w:val="en-us" w:eastAsia="en-us" w:bidi="en-us"/>
      </w:rPr>
    </w:lvl>
    <w:lvl w:ilvl="6">
      <w:start w:val="0"/>
      <w:numFmt w:val="bullet"/>
      <w:lvlText w:val="•"/>
      <w:lvlJc w:val="left"/>
      <w:pPr>
        <w:ind w:left="6955" w:hanging="341"/>
      </w:pPr>
      <w:rPr>
        <w:rFonts w:hint="default"/>
        <w:lang w:val="en-us" w:eastAsia="en-us" w:bidi="en-us"/>
      </w:rPr>
    </w:lvl>
    <w:lvl w:ilvl="7">
      <w:start w:val="0"/>
      <w:numFmt w:val="bullet"/>
      <w:lvlText w:val="•"/>
      <w:lvlJc w:val="left"/>
      <w:pPr>
        <w:ind w:left="7794" w:hanging="341"/>
      </w:pPr>
      <w:rPr>
        <w:rFonts w:hint="default"/>
        <w:lang w:val="en-us" w:eastAsia="en-us" w:bidi="en-us"/>
      </w:rPr>
    </w:lvl>
    <w:lvl w:ilvl="8">
      <w:start w:val="0"/>
      <w:numFmt w:val="bullet"/>
      <w:lvlText w:val="•"/>
      <w:lvlJc w:val="left"/>
      <w:pPr>
        <w:ind w:left="8633" w:hanging="341"/>
      </w:pPr>
      <w:rPr>
        <w:rFonts w:hint="default"/>
        <w:lang w:val="en-us" w:eastAsia="en-us" w:bidi="en-us"/>
      </w:rPr>
    </w:lvl>
  </w:abstractNum>
  <w:abstractNum w:abstractNumId="219">
    <w:multiLevelType w:val="hybridMultilevel"/>
    <w:lvl w:ilvl="0">
      <w:start w:val="0"/>
      <w:numFmt w:val="bullet"/>
      <w:lvlText w:val="-"/>
      <w:lvlJc w:val="left"/>
      <w:pPr>
        <w:ind w:left="1927" w:hanging="341"/>
      </w:pPr>
      <w:rPr>
        <w:rFonts w:hint="default" w:ascii="Calibri" w:hAnsi="Calibri" w:eastAsia="Calibri" w:cs="Calibri"/>
        <w:w w:val="108"/>
        <w:sz w:val="21"/>
        <w:szCs w:val="21"/>
        <w:lang w:val="en-us" w:eastAsia="en-us" w:bidi="en-us"/>
      </w:rPr>
    </w:lvl>
    <w:lvl w:ilvl="1">
      <w:start w:val="0"/>
      <w:numFmt w:val="bullet"/>
      <w:lvlText w:val="•"/>
      <w:lvlJc w:val="left"/>
      <w:pPr>
        <w:ind w:left="2918" w:hanging="341"/>
      </w:pPr>
      <w:rPr>
        <w:rFonts w:hint="default"/>
        <w:lang w:val="en-us" w:eastAsia="en-us" w:bidi="en-us"/>
      </w:rPr>
    </w:lvl>
    <w:lvl w:ilvl="2">
      <w:start w:val="0"/>
      <w:numFmt w:val="bullet"/>
      <w:lvlText w:val="•"/>
      <w:lvlJc w:val="left"/>
      <w:pPr>
        <w:ind w:left="3917" w:hanging="341"/>
      </w:pPr>
      <w:rPr>
        <w:rFonts w:hint="default"/>
        <w:lang w:val="en-us" w:eastAsia="en-us" w:bidi="en-us"/>
      </w:rPr>
    </w:lvl>
    <w:lvl w:ilvl="3">
      <w:start w:val="0"/>
      <w:numFmt w:val="bullet"/>
      <w:lvlText w:val="•"/>
      <w:lvlJc w:val="left"/>
      <w:pPr>
        <w:ind w:left="4915" w:hanging="341"/>
      </w:pPr>
      <w:rPr>
        <w:rFonts w:hint="default"/>
        <w:lang w:val="en-us" w:eastAsia="en-us" w:bidi="en-us"/>
      </w:rPr>
    </w:lvl>
    <w:lvl w:ilvl="4">
      <w:start w:val="0"/>
      <w:numFmt w:val="bullet"/>
      <w:lvlText w:val="•"/>
      <w:lvlJc w:val="left"/>
      <w:pPr>
        <w:ind w:left="5914" w:hanging="341"/>
      </w:pPr>
      <w:rPr>
        <w:rFonts w:hint="default"/>
        <w:lang w:val="en-us" w:eastAsia="en-us" w:bidi="en-us"/>
      </w:rPr>
    </w:lvl>
    <w:lvl w:ilvl="5">
      <w:start w:val="0"/>
      <w:numFmt w:val="bullet"/>
      <w:lvlText w:val="•"/>
      <w:lvlJc w:val="left"/>
      <w:pPr>
        <w:ind w:left="6912" w:hanging="341"/>
      </w:pPr>
      <w:rPr>
        <w:rFonts w:hint="default"/>
        <w:lang w:val="en-us" w:eastAsia="en-us" w:bidi="en-us"/>
      </w:rPr>
    </w:lvl>
    <w:lvl w:ilvl="6">
      <w:start w:val="0"/>
      <w:numFmt w:val="bullet"/>
      <w:lvlText w:val="•"/>
      <w:lvlJc w:val="left"/>
      <w:pPr>
        <w:ind w:left="7911" w:hanging="341"/>
      </w:pPr>
      <w:rPr>
        <w:rFonts w:hint="default"/>
        <w:lang w:val="en-us" w:eastAsia="en-us" w:bidi="en-us"/>
      </w:rPr>
    </w:lvl>
    <w:lvl w:ilvl="7">
      <w:start w:val="0"/>
      <w:numFmt w:val="bullet"/>
      <w:lvlText w:val="•"/>
      <w:lvlJc w:val="left"/>
      <w:pPr>
        <w:ind w:left="8909" w:hanging="341"/>
      </w:pPr>
      <w:rPr>
        <w:rFonts w:hint="default"/>
        <w:lang w:val="en-us" w:eastAsia="en-us" w:bidi="en-us"/>
      </w:rPr>
    </w:lvl>
    <w:lvl w:ilvl="8">
      <w:start w:val="0"/>
      <w:numFmt w:val="bullet"/>
      <w:lvlText w:val="•"/>
      <w:lvlJc w:val="left"/>
      <w:pPr>
        <w:ind w:left="9908" w:hanging="341"/>
      </w:pPr>
      <w:rPr>
        <w:rFonts w:hint="default"/>
        <w:lang w:val="en-us" w:eastAsia="en-us" w:bidi="en-us"/>
      </w:rPr>
    </w:lvl>
  </w:abstractNum>
  <w:abstractNum w:abstractNumId="218">
    <w:multiLevelType w:val="hybridMultilevel"/>
    <w:lvl w:ilvl="0">
      <w:start w:val="0"/>
      <w:numFmt w:val="bullet"/>
      <w:lvlText w:val="-"/>
      <w:lvlJc w:val="left"/>
      <w:pPr>
        <w:ind w:left="1927" w:hanging="341"/>
      </w:pPr>
      <w:rPr>
        <w:rFonts w:hint="default" w:ascii="Calibri" w:hAnsi="Calibri" w:eastAsia="Calibri" w:cs="Calibri"/>
        <w:w w:val="108"/>
        <w:sz w:val="21"/>
        <w:szCs w:val="21"/>
        <w:lang w:val="en-us" w:eastAsia="en-us" w:bidi="en-us"/>
      </w:rPr>
    </w:lvl>
    <w:lvl w:ilvl="1">
      <w:start w:val="0"/>
      <w:numFmt w:val="bullet"/>
      <w:lvlText w:val="•"/>
      <w:lvlJc w:val="left"/>
      <w:pPr>
        <w:ind w:left="2755" w:hanging="341"/>
      </w:pPr>
      <w:rPr>
        <w:rFonts w:hint="default"/>
        <w:lang w:val="en-us" w:eastAsia="en-us" w:bidi="en-us"/>
      </w:rPr>
    </w:lvl>
    <w:lvl w:ilvl="2">
      <w:start w:val="0"/>
      <w:numFmt w:val="bullet"/>
      <w:lvlText w:val="•"/>
      <w:lvlJc w:val="left"/>
      <w:pPr>
        <w:ind w:left="3591" w:hanging="341"/>
      </w:pPr>
      <w:rPr>
        <w:rFonts w:hint="default"/>
        <w:lang w:val="en-us" w:eastAsia="en-us" w:bidi="en-us"/>
      </w:rPr>
    </w:lvl>
    <w:lvl w:ilvl="3">
      <w:start w:val="0"/>
      <w:numFmt w:val="bullet"/>
      <w:lvlText w:val="•"/>
      <w:lvlJc w:val="left"/>
      <w:pPr>
        <w:ind w:left="4427" w:hanging="341"/>
      </w:pPr>
      <w:rPr>
        <w:rFonts w:hint="default"/>
        <w:lang w:val="en-us" w:eastAsia="en-us" w:bidi="en-us"/>
      </w:rPr>
    </w:lvl>
    <w:lvl w:ilvl="4">
      <w:start w:val="0"/>
      <w:numFmt w:val="bullet"/>
      <w:lvlText w:val="•"/>
      <w:lvlJc w:val="left"/>
      <w:pPr>
        <w:ind w:left="5263" w:hanging="341"/>
      </w:pPr>
      <w:rPr>
        <w:rFonts w:hint="default"/>
        <w:lang w:val="en-us" w:eastAsia="en-us" w:bidi="en-us"/>
      </w:rPr>
    </w:lvl>
    <w:lvl w:ilvl="5">
      <w:start w:val="0"/>
      <w:numFmt w:val="bullet"/>
      <w:lvlText w:val="•"/>
      <w:lvlJc w:val="left"/>
      <w:pPr>
        <w:ind w:left="6099" w:hanging="341"/>
      </w:pPr>
      <w:rPr>
        <w:rFonts w:hint="default"/>
        <w:lang w:val="en-us" w:eastAsia="en-us" w:bidi="en-us"/>
      </w:rPr>
    </w:lvl>
    <w:lvl w:ilvl="6">
      <w:start w:val="0"/>
      <w:numFmt w:val="bullet"/>
      <w:lvlText w:val="•"/>
      <w:lvlJc w:val="left"/>
      <w:pPr>
        <w:ind w:left="6935" w:hanging="341"/>
      </w:pPr>
      <w:rPr>
        <w:rFonts w:hint="default"/>
        <w:lang w:val="en-us" w:eastAsia="en-us" w:bidi="en-us"/>
      </w:rPr>
    </w:lvl>
    <w:lvl w:ilvl="7">
      <w:start w:val="0"/>
      <w:numFmt w:val="bullet"/>
      <w:lvlText w:val="•"/>
      <w:lvlJc w:val="left"/>
      <w:pPr>
        <w:ind w:left="7771" w:hanging="341"/>
      </w:pPr>
      <w:rPr>
        <w:rFonts w:hint="default"/>
        <w:lang w:val="en-us" w:eastAsia="en-us" w:bidi="en-us"/>
      </w:rPr>
    </w:lvl>
    <w:lvl w:ilvl="8">
      <w:start w:val="0"/>
      <w:numFmt w:val="bullet"/>
      <w:lvlText w:val="•"/>
      <w:lvlJc w:val="left"/>
      <w:pPr>
        <w:ind w:left="8607" w:hanging="341"/>
      </w:pPr>
      <w:rPr>
        <w:rFonts w:hint="default"/>
        <w:lang w:val="en-us" w:eastAsia="en-us" w:bidi="en-us"/>
      </w:rPr>
    </w:lvl>
  </w:abstractNum>
  <w:abstractNum w:abstractNumId="217">
    <w:multiLevelType w:val="hybridMultilevel"/>
    <w:lvl w:ilvl="0">
      <w:start w:val="0"/>
      <w:numFmt w:val="bullet"/>
      <w:lvlText w:val="-"/>
      <w:lvlJc w:val="left"/>
      <w:pPr>
        <w:ind w:left="1927" w:hanging="341"/>
      </w:pPr>
      <w:rPr>
        <w:rFonts w:hint="default" w:ascii="Calibri" w:hAnsi="Calibri" w:eastAsia="Calibri" w:cs="Calibri"/>
        <w:w w:val="108"/>
        <w:sz w:val="21"/>
        <w:szCs w:val="21"/>
        <w:lang w:val="en-us" w:eastAsia="en-us" w:bidi="en-us"/>
      </w:rPr>
    </w:lvl>
    <w:lvl w:ilvl="1">
      <w:start w:val="0"/>
      <w:numFmt w:val="bullet"/>
      <w:lvlText w:val="•"/>
      <w:lvlJc w:val="left"/>
      <w:pPr>
        <w:ind w:left="2918" w:hanging="341"/>
      </w:pPr>
      <w:rPr>
        <w:rFonts w:hint="default"/>
        <w:lang w:val="en-us" w:eastAsia="en-us" w:bidi="en-us"/>
      </w:rPr>
    </w:lvl>
    <w:lvl w:ilvl="2">
      <w:start w:val="0"/>
      <w:numFmt w:val="bullet"/>
      <w:lvlText w:val="•"/>
      <w:lvlJc w:val="left"/>
      <w:pPr>
        <w:ind w:left="3917" w:hanging="341"/>
      </w:pPr>
      <w:rPr>
        <w:rFonts w:hint="default"/>
        <w:lang w:val="en-us" w:eastAsia="en-us" w:bidi="en-us"/>
      </w:rPr>
    </w:lvl>
    <w:lvl w:ilvl="3">
      <w:start w:val="0"/>
      <w:numFmt w:val="bullet"/>
      <w:lvlText w:val="•"/>
      <w:lvlJc w:val="left"/>
      <w:pPr>
        <w:ind w:left="4915" w:hanging="341"/>
      </w:pPr>
      <w:rPr>
        <w:rFonts w:hint="default"/>
        <w:lang w:val="en-us" w:eastAsia="en-us" w:bidi="en-us"/>
      </w:rPr>
    </w:lvl>
    <w:lvl w:ilvl="4">
      <w:start w:val="0"/>
      <w:numFmt w:val="bullet"/>
      <w:lvlText w:val="•"/>
      <w:lvlJc w:val="left"/>
      <w:pPr>
        <w:ind w:left="5914" w:hanging="341"/>
      </w:pPr>
      <w:rPr>
        <w:rFonts w:hint="default"/>
        <w:lang w:val="en-us" w:eastAsia="en-us" w:bidi="en-us"/>
      </w:rPr>
    </w:lvl>
    <w:lvl w:ilvl="5">
      <w:start w:val="0"/>
      <w:numFmt w:val="bullet"/>
      <w:lvlText w:val="•"/>
      <w:lvlJc w:val="left"/>
      <w:pPr>
        <w:ind w:left="6912" w:hanging="341"/>
      </w:pPr>
      <w:rPr>
        <w:rFonts w:hint="default"/>
        <w:lang w:val="en-us" w:eastAsia="en-us" w:bidi="en-us"/>
      </w:rPr>
    </w:lvl>
    <w:lvl w:ilvl="6">
      <w:start w:val="0"/>
      <w:numFmt w:val="bullet"/>
      <w:lvlText w:val="•"/>
      <w:lvlJc w:val="left"/>
      <w:pPr>
        <w:ind w:left="7911" w:hanging="341"/>
      </w:pPr>
      <w:rPr>
        <w:rFonts w:hint="default"/>
        <w:lang w:val="en-us" w:eastAsia="en-us" w:bidi="en-us"/>
      </w:rPr>
    </w:lvl>
    <w:lvl w:ilvl="7">
      <w:start w:val="0"/>
      <w:numFmt w:val="bullet"/>
      <w:lvlText w:val="•"/>
      <w:lvlJc w:val="left"/>
      <w:pPr>
        <w:ind w:left="8909" w:hanging="341"/>
      </w:pPr>
      <w:rPr>
        <w:rFonts w:hint="default"/>
        <w:lang w:val="en-us" w:eastAsia="en-us" w:bidi="en-us"/>
      </w:rPr>
    </w:lvl>
    <w:lvl w:ilvl="8">
      <w:start w:val="0"/>
      <w:numFmt w:val="bullet"/>
      <w:lvlText w:val="•"/>
      <w:lvlJc w:val="left"/>
      <w:pPr>
        <w:ind w:left="9908" w:hanging="341"/>
      </w:pPr>
      <w:rPr>
        <w:rFonts w:hint="default"/>
        <w:lang w:val="en-us" w:eastAsia="en-us" w:bidi="en-us"/>
      </w:rPr>
    </w:lvl>
  </w:abstractNum>
  <w:abstractNum w:abstractNumId="216">
    <w:multiLevelType w:val="hybridMultilevel"/>
    <w:lvl w:ilvl="0">
      <w:start w:val="0"/>
      <w:numFmt w:val="bullet"/>
      <w:lvlText w:val="-"/>
      <w:lvlJc w:val="left"/>
      <w:pPr>
        <w:ind w:left="1927" w:hanging="341"/>
      </w:pPr>
      <w:rPr>
        <w:rFonts w:hint="default" w:ascii="Calibri" w:hAnsi="Calibri" w:eastAsia="Calibri" w:cs="Calibri"/>
        <w:w w:val="108"/>
        <w:sz w:val="21"/>
        <w:szCs w:val="21"/>
        <w:lang w:val="en-us" w:eastAsia="en-us" w:bidi="en-us"/>
      </w:rPr>
    </w:lvl>
    <w:lvl w:ilvl="1">
      <w:start w:val="0"/>
      <w:numFmt w:val="bullet"/>
      <w:lvlText w:val="•"/>
      <w:lvlJc w:val="left"/>
      <w:pPr>
        <w:ind w:left="2918" w:hanging="341"/>
      </w:pPr>
      <w:rPr>
        <w:rFonts w:hint="default"/>
        <w:lang w:val="en-us" w:eastAsia="en-us" w:bidi="en-us"/>
      </w:rPr>
    </w:lvl>
    <w:lvl w:ilvl="2">
      <w:start w:val="0"/>
      <w:numFmt w:val="bullet"/>
      <w:lvlText w:val="•"/>
      <w:lvlJc w:val="left"/>
      <w:pPr>
        <w:ind w:left="3917" w:hanging="341"/>
      </w:pPr>
      <w:rPr>
        <w:rFonts w:hint="default"/>
        <w:lang w:val="en-us" w:eastAsia="en-us" w:bidi="en-us"/>
      </w:rPr>
    </w:lvl>
    <w:lvl w:ilvl="3">
      <w:start w:val="0"/>
      <w:numFmt w:val="bullet"/>
      <w:lvlText w:val="•"/>
      <w:lvlJc w:val="left"/>
      <w:pPr>
        <w:ind w:left="4915" w:hanging="341"/>
      </w:pPr>
      <w:rPr>
        <w:rFonts w:hint="default"/>
        <w:lang w:val="en-us" w:eastAsia="en-us" w:bidi="en-us"/>
      </w:rPr>
    </w:lvl>
    <w:lvl w:ilvl="4">
      <w:start w:val="0"/>
      <w:numFmt w:val="bullet"/>
      <w:lvlText w:val="•"/>
      <w:lvlJc w:val="left"/>
      <w:pPr>
        <w:ind w:left="5914" w:hanging="341"/>
      </w:pPr>
      <w:rPr>
        <w:rFonts w:hint="default"/>
        <w:lang w:val="en-us" w:eastAsia="en-us" w:bidi="en-us"/>
      </w:rPr>
    </w:lvl>
    <w:lvl w:ilvl="5">
      <w:start w:val="0"/>
      <w:numFmt w:val="bullet"/>
      <w:lvlText w:val="•"/>
      <w:lvlJc w:val="left"/>
      <w:pPr>
        <w:ind w:left="6912" w:hanging="341"/>
      </w:pPr>
      <w:rPr>
        <w:rFonts w:hint="default"/>
        <w:lang w:val="en-us" w:eastAsia="en-us" w:bidi="en-us"/>
      </w:rPr>
    </w:lvl>
    <w:lvl w:ilvl="6">
      <w:start w:val="0"/>
      <w:numFmt w:val="bullet"/>
      <w:lvlText w:val="•"/>
      <w:lvlJc w:val="left"/>
      <w:pPr>
        <w:ind w:left="7911" w:hanging="341"/>
      </w:pPr>
      <w:rPr>
        <w:rFonts w:hint="default"/>
        <w:lang w:val="en-us" w:eastAsia="en-us" w:bidi="en-us"/>
      </w:rPr>
    </w:lvl>
    <w:lvl w:ilvl="7">
      <w:start w:val="0"/>
      <w:numFmt w:val="bullet"/>
      <w:lvlText w:val="•"/>
      <w:lvlJc w:val="left"/>
      <w:pPr>
        <w:ind w:left="8909" w:hanging="341"/>
      </w:pPr>
      <w:rPr>
        <w:rFonts w:hint="default"/>
        <w:lang w:val="en-us" w:eastAsia="en-us" w:bidi="en-us"/>
      </w:rPr>
    </w:lvl>
    <w:lvl w:ilvl="8">
      <w:start w:val="0"/>
      <w:numFmt w:val="bullet"/>
      <w:lvlText w:val="•"/>
      <w:lvlJc w:val="left"/>
      <w:pPr>
        <w:ind w:left="9908" w:hanging="341"/>
      </w:pPr>
      <w:rPr>
        <w:rFonts w:hint="default"/>
        <w:lang w:val="en-us" w:eastAsia="en-us" w:bidi="en-us"/>
      </w:rPr>
    </w:lvl>
  </w:abstractNum>
  <w:abstractNum w:abstractNumId="215">
    <w:multiLevelType w:val="hybridMultilevel"/>
    <w:lvl w:ilvl="0">
      <w:start w:val="0"/>
      <w:numFmt w:val="bullet"/>
      <w:lvlText w:val="-"/>
      <w:lvlJc w:val="left"/>
      <w:pPr>
        <w:ind w:left="1927" w:hanging="341"/>
      </w:pPr>
      <w:rPr>
        <w:rFonts w:hint="default" w:ascii="Calibri" w:hAnsi="Calibri" w:eastAsia="Calibri" w:cs="Calibri"/>
        <w:w w:val="108"/>
        <w:sz w:val="21"/>
        <w:szCs w:val="21"/>
        <w:lang w:val="en-us" w:eastAsia="en-us" w:bidi="en-us"/>
      </w:rPr>
    </w:lvl>
    <w:lvl w:ilvl="1">
      <w:start w:val="0"/>
      <w:numFmt w:val="bullet"/>
      <w:lvlText w:val="•"/>
      <w:lvlJc w:val="left"/>
      <w:pPr>
        <w:ind w:left="2918" w:hanging="341"/>
      </w:pPr>
      <w:rPr>
        <w:rFonts w:hint="default"/>
        <w:lang w:val="en-us" w:eastAsia="en-us" w:bidi="en-us"/>
      </w:rPr>
    </w:lvl>
    <w:lvl w:ilvl="2">
      <w:start w:val="0"/>
      <w:numFmt w:val="bullet"/>
      <w:lvlText w:val="•"/>
      <w:lvlJc w:val="left"/>
      <w:pPr>
        <w:ind w:left="3917" w:hanging="341"/>
      </w:pPr>
      <w:rPr>
        <w:rFonts w:hint="default"/>
        <w:lang w:val="en-us" w:eastAsia="en-us" w:bidi="en-us"/>
      </w:rPr>
    </w:lvl>
    <w:lvl w:ilvl="3">
      <w:start w:val="0"/>
      <w:numFmt w:val="bullet"/>
      <w:lvlText w:val="•"/>
      <w:lvlJc w:val="left"/>
      <w:pPr>
        <w:ind w:left="4915" w:hanging="341"/>
      </w:pPr>
      <w:rPr>
        <w:rFonts w:hint="default"/>
        <w:lang w:val="en-us" w:eastAsia="en-us" w:bidi="en-us"/>
      </w:rPr>
    </w:lvl>
    <w:lvl w:ilvl="4">
      <w:start w:val="0"/>
      <w:numFmt w:val="bullet"/>
      <w:lvlText w:val="•"/>
      <w:lvlJc w:val="left"/>
      <w:pPr>
        <w:ind w:left="5914" w:hanging="341"/>
      </w:pPr>
      <w:rPr>
        <w:rFonts w:hint="default"/>
        <w:lang w:val="en-us" w:eastAsia="en-us" w:bidi="en-us"/>
      </w:rPr>
    </w:lvl>
    <w:lvl w:ilvl="5">
      <w:start w:val="0"/>
      <w:numFmt w:val="bullet"/>
      <w:lvlText w:val="•"/>
      <w:lvlJc w:val="left"/>
      <w:pPr>
        <w:ind w:left="6912" w:hanging="341"/>
      </w:pPr>
      <w:rPr>
        <w:rFonts w:hint="default"/>
        <w:lang w:val="en-us" w:eastAsia="en-us" w:bidi="en-us"/>
      </w:rPr>
    </w:lvl>
    <w:lvl w:ilvl="6">
      <w:start w:val="0"/>
      <w:numFmt w:val="bullet"/>
      <w:lvlText w:val="•"/>
      <w:lvlJc w:val="left"/>
      <w:pPr>
        <w:ind w:left="7911" w:hanging="341"/>
      </w:pPr>
      <w:rPr>
        <w:rFonts w:hint="default"/>
        <w:lang w:val="en-us" w:eastAsia="en-us" w:bidi="en-us"/>
      </w:rPr>
    </w:lvl>
    <w:lvl w:ilvl="7">
      <w:start w:val="0"/>
      <w:numFmt w:val="bullet"/>
      <w:lvlText w:val="•"/>
      <w:lvlJc w:val="left"/>
      <w:pPr>
        <w:ind w:left="8909" w:hanging="341"/>
      </w:pPr>
      <w:rPr>
        <w:rFonts w:hint="default"/>
        <w:lang w:val="en-us" w:eastAsia="en-us" w:bidi="en-us"/>
      </w:rPr>
    </w:lvl>
    <w:lvl w:ilvl="8">
      <w:start w:val="0"/>
      <w:numFmt w:val="bullet"/>
      <w:lvlText w:val="•"/>
      <w:lvlJc w:val="left"/>
      <w:pPr>
        <w:ind w:left="9908" w:hanging="341"/>
      </w:pPr>
      <w:rPr>
        <w:rFonts w:hint="default"/>
        <w:lang w:val="en-us" w:eastAsia="en-us" w:bidi="en-us"/>
      </w:rPr>
    </w:lvl>
  </w:abstractNum>
  <w:abstractNum w:abstractNumId="214">
    <w:multiLevelType w:val="hybridMultilevel"/>
    <w:lvl w:ilvl="0">
      <w:start w:val="0"/>
      <w:numFmt w:val="bullet"/>
      <w:lvlText w:val="-"/>
      <w:lvlJc w:val="left"/>
      <w:pPr>
        <w:ind w:left="1927" w:hanging="341"/>
      </w:pPr>
      <w:rPr>
        <w:rFonts w:hint="default" w:ascii="Calibri" w:hAnsi="Calibri" w:eastAsia="Calibri" w:cs="Calibri"/>
        <w:w w:val="108"/>
        <w:sz w:val="21"/>
        <w:szCs w:val="21"/>
        <w:lang w:val="en-us" w:eastAsia="en-us" w:bidi="en-us"/>
      </w:rPr>
    </w:lvl>
    <w:lvl w:ilvl="1">
      <w:start w:val="0"/>
      <w:numFmt w:val="bullet"/>
      <w:lvlText w:val="•"/>
      <w:lvlJc w:val="left"/>
      <w:pPr>
        <w:ind w:left="2918" w:hanging="341"/>
      </w:pPr>
      <w:rPr>
        <w:rFonts w:hint="default"/>
        <w:lang w:val="en-us" w:eastAsia="en-us" w:bidi="en-us"/>
      </w:rPr>
    </w:lvl>
    <w:lvl w:ilvl="2">
      <w:start w:val="0"/>
      <w:numFmt w:val="bullet"/>
      <w:lvlText w:val="•"/>
      <w:lvlJc w:val="left"/>
      <w:pPr>
        <w:ind w:left="3917" w:hanging="341"/>
      </w:pPr>
      <w:rPr>
        <w:rFonts w:hint="default"/>
        <w:lang w:val="en-us" w:eastAsia="en-us" w:bidi="en-us"/>
      </w:rPr>
    </w:lvl>
    <w:lvl w:ilvl="3">
      <w:start w:val="0"/>
      <w:numFmt w:val="bullet"/>
      <w:lvlText w:val="•"/>
      <w:lvlJc w:val="left"/>
      <w:pPr>
        <w:ind w:left="4915" w:hanging="341"/>
      </w:pPr>
      <w:rPr>
        <w:rFonts w:hint="default"/>
        <w:lang w:val="en-us" w:eastAsia="en-us" w:bidi="en-us"/>
      </w:rPr>
    </w:lvl>
    <w:lvl w:ilvl="4">
      <w:start w:val="0"/>
      <w:numFmt w:val="bullet"/>
      <w:lvlText w:val="•"/>
      <w:lvlJc w:val="left"/>
      <w:pPr>
        <w:ind w:left="5914" w:hanging="341"/>
      </w:pPr>
      <w:rPr>
        <w:rFonts w:hint="default"/>
        <w:lang w:val="en-us" w:eastAsia="en-us" w:bidi="en-us"/>
      </w:rPr>
    </w:lvl>
    <w:lvl w:ilvl="5">
      <w:start w:val="0"/>
      <w:numFmt w:val="bullet"/>
      <w:lvlText w:val="•"/>
      <w:lvlJc w:val="left"/>
      <w:pPr>
        <w:ind w:left="6912" w:hanging="341"/>
      </w:pPr>
      <w:rPr>
        <w:rFonts w:hint="default"/>
        <w:lang w:val="en-us" w:eastAsia="en-us" w:bidi="en-us"/>
      </w:rPr>
    </w:lvl>
    <w:lvl w:ilvl="6">
      <w:start w:val="0"/>
      <w:numFmt w:val="bullet"/>
      <w:lvlText w:val="•"/>
      <w:lvlJc w:val="left"/>
      <w:pPr>
        <w:ind w:left="7911" w:hanging="341"/>
      </w:pPr>
      <w:rPr>
        <w:rFonts w:hint="default"/>
        <w:lang w:val="en-us" w:eastAsia="en-us" w:bidi="en-us"/>
      </w:rPr>
    </w:lvl>
    <w:lvl w:ilvl="7">
      <w:start w:val="0"/>
      <w:numFmt w:val="bullet"/>
      <w:lvlText w:val="•"/>
      <w:lvlJc w:val="left"/>
      <w:pPr>
        <w:ind w:left="8909" w:hanging="341"/>
      </w:pPr>
      <w:rPr>
        <w:rFonts w:hint="default"/>
        <w:lang w:val="en-us" w:eastAsia="en-us" w:bidi="en-us"/>
      </w:rPr>
    </w:lvl>
    <w:lvl w:ilvl="8">
      <w:start w:val="0"/>
      <w:numFmt w:val="bullet"/>
      <w:lvlText w:val="•"/>
      <w:lvlJc w:val="left"/>
      <w:pPr>
        <w:ind w:left="9908" w:hanging="341"/>
      </w:pPr>
      <w:rPr>
        <w:rFonts w:hint="default"/>
        <w:lang w:val="en-us" w:eastAsia="en-us" w:bidi="en-us"/>
      </w:rPr>
    </w:lvl>
  </w:abstractNum>
  <w:abstractNum w:abstractNumId="213">
    <w:multiLevelType w:val="hybridMultilevel"/>
    <w:lvl w:ilvl="0">
      <w:start w:val="0"/>
      <w:numFmt w:val="bullet"/>
      <w:lvlText w:val="-"/>
      <w:lvlJc w:val="left"/>
      <w:pPr>
        <w:ind w:left="1927" w:hanging="341"/>
      </w:pPr>
      <w:rPr>
        <w:rFonts w:hint="default" w:ascii="Calibri" w:hAnsi="Calibri" w:eastAsia="Calibri" w:cs="Calibri"/>
        <w:w w:val="108"/>
        <w:sz w:val="21"/>
        <w:szCs w:val="21"/>
        <w:lang w:val="en-us" w:eastAsia="en-us" w:bidi="en-us"/>
      </w:rPr>
    </w:lvl>
    <w:lvl w:ilvl="1">
      <w:start w:val="0"/>
      <w:numFmt w:val="bullet"/>
      <w:lvlText w:val="•"/>
      <w:lvlJc w:val="left"/>
      <w:pPr>
        <w:ind w:left="2918" w:hanging="341"/>
      </w:pPr>
      <w:rPr>
        <w:rFonts w:hint="default"/>
        <w:lang w:val="en-us" w:eastAsia="en-us" w:bidi="en-us"/>
      </w:rPr>
    </w:lvl>
    <w:lvl w:ilvl="2">
      <w:start w:val="0"/>
      <w:numFmt w:val="bullet"/>
      <w:lvlText w:val="•"/>
      <w:lvlJc w:val="left"/>
      <w:pPr>
        <w:ind w:left="3917" w:hanging="341"/>
      </w:pPr>
      <w:rPr>
        <w:rFonts w:hint="default"/>
        <w:lang w:val="en-us" w:eastAsia="en-us" w:bidi="en-us"/>
      </w:rPr>
    </w:lvl>
    <w:lvl w:ilvl="3">
      <w:start w:val="0"/>
      <w:numFmt w:val="bullet"/>
      <w:lvlText w:val="•"/>
      <w:lvlJc w:val="left"/>
      <w:pPr>
        <w:ind w:left="4915" w:hanging="341"/>
      </w:pPr>
      <w:rPr>
        <w:rFonts w:hint="default"/>
        <w:lang w:val="en-us" w:eastAsia="en-us" w:bidi="en-us"/>
      </w:rPr>
    </w:lvl>
    <w:lvl w:ilvl="4">
      <w:start w:val="0"/>
      <w:numFmt w:val="bullet"/>
      <w:lvlText w:val="•"/>
      <w:lvlJc w:val="left"/>
      <w:pPr>
        <w:ind w:left="5914" w:hanging="341"/>
      </w:pPr>
      <w:rPr>
        <w:rFonts w:hint="default"/>
        <w:lang w:val="en-us" w:eastAsia="en-us" w:bidi="en-us"/>
      </w:rPr>
    </w:lvl>
    <w:lvl w:ilvl="5">
      <w:start w:val="0"/>
      <w:numFmt w:val="bullet"/>
      <w:lvlText w:val="•"/>
      <w:lvlJc w:val="left"/>
      <w:pPr>
        <w:ind w:left="6912" w:hanging="341"/>
      </w:pPr>
      <w:rPr>
        <w:rFonts w:hint="default"/>
        <w:lang w:val="en-us" w:eastAsia="en-us" w:bidi="en-us"/>
      </w:rPr>
    </w:lvl>
    <w:lvl w:ilvl="6">
      <w:start w:val="0"/>
      <w:numFmt w:val="bullet"/>
      <w:lvlText w:val="•"/>
      <w:lvlJc w:val="left"/>
      <w:pPr>
        <w:ind w:left="7911" w:hanging="341"/>
      </w:pPr>
      <w:rPr>
        <w:rFonts w:hint="default"/>
        <w:lang w:val="en-us" w:eastAsia="en-us" w:bidi="en-us"/>
      </w:rPr>
    </w:lvl>
    <w:lvl w:ilvl="7">
      <w:start w:val="0"/>
      <w:numFmt w:val="bullet"/>
      <w:lvlText w:val="•"/>
      <w:lvlJc w:val="left"/>
      <w:pPr>
        <w:ind w:left="8909" w:hanging="341"/>
      </w:pPr>
      <w:rPr>
        <w:rFonts w:hint="default"/>
        <w:lang w:val="en-us" w:eastAsia="en-us" w:bidi="en-us"/>
      </w:rPr>
    </w:lvl>
    <w:lvl w:ilvl="8">
      <w:start w:val="0"/>
      <w:numFmt w:val="bullet"/>
      <w:lvlText w:val="•"/>
      <w:lvlJc w:val="left"/>
      <w:pPr>
        <w:ind w:left="9908" w:hanging="341"/>
      </w:pPr>
      <w:rPr>
        <w:rFonts w:hint="default"/>
        <w:lang w:val="en-us" w:eastAsia="en-us" w:bidi="en-us"/>
      </w:rPr>
    </w:lvl>
  </w:abstractNum>
  <w:abstractNum w:abstractNumId="212">
    <w:multiLevelType w:val="hybridMultilevel"/>
    <w:lvl w:ilvl="0">
      <w:start w:val="0"/>
      <w:numFmt w:val="bullet"/>
      <w:lvlText w:val="-"/>
      <w:lvlJc w:val="left"/>
      <w:pPr>
        <w:ind w:left="1927" w:hanging="341"/>
      </w:pPr>
      <w:rPr>
        <w:rFonts w:hint="default" w:ascii="Calibri" w:hAnsi="Calibri" w:eastAsia="Calibri" w:cs="Calibri"/>
        <w:w w:val="108"/>
        <w:sz w:val="21"/>
        <w:szCs w:val="21"/>
        <w:lang w:val="en-us" w:eastAsia="en-us" w:bidi="en-us"/>
      </w:rPr>
    </w:lvl>
    <w:lvl w:ilvl="1">
      <w:start w:val="0"/>
      <w:numFmt w:val="bullet"/>
      <w:lvlText w:val="•"/>
      <w:lvlJc w:val="left"/>
      <w:pPr>
        <w:ind w:left="2918" w:hanging="341"/>
      </w:pPr>
      <w:rPr>
        <w:rFonts w:hint="default"/>
        <w:lang w:val="en-us" w:eastAsia="en-us" w:bidi="en-us"/>
      </w:rPr>
    </w:lvl>
    <w:lvl w:ilvl="2">
      <w:start w:val="0"/>
      <w:numFmt w:val="bullet"/>
      <w:lvlText w:val="•"/>
      <w:lvlJc w:val="left"/>
      <w:pPr>
        <w:ind w:left="3917" w:hanging="341"/>
      </w:pPr>
      <w:rPr>
        <w:rFonts w:hint="default"/>
        <w:lang w:val="en-us" w:eastAsia="en-us" w:bidi="en-us"/>
      </w:rPr>
    </w:lvl>
    <w:lvl w:ilvl="3">
      <w:start w:val="0"/>
      <w:numFmt w:val="bullet"/>
      <w:lvlText w:val="•"/>
      <w:lvlJc w:val="left"/>
      <w:pPr>
        <w:ind w:left="4915" w:hanging="341"/>
      </w:pPr>
      <w:rPr>
        <w:rFonts w:hint="default"/>
        <w:lang w:val="en-us" w:eastAsia="en-us" w:bidi="en-us"/>
      </w:rPr>
    </w:lvl>
    <w:lvl w:ilvl="4">
      <w:start w:val="0"/>
      <w:numFmt w:val="bullet"/>
      <w:lvlText w:val="•"/>
      <w:lvlJc w:val="left"/>
      <w:pPr>
        <w:ind w:left="5914" w:hanging="341"/>
      </w:pPr>
      <w:rPr>
        <w:rFonts w:hint="default"/>
        <w:lang w:val="en-us" w:eastAsia="en-us" w:bidi="en-us"/>
      </w:rPr>
    </w:lvl>
    <w:lvl w:ilvl="5">
      <w:start w:val="0"/>
      <w:numFmt w:val="bullet"/>
      <w:lvlText w:val="•"/>
      <w:lvlJc w:val="left"/>
      <w:pPr>
        <w:ind w:left="6912" w:hanging="341"/>
      </w:pPr>
      <w:rPr>
        <w:rFonts w:hint="default"/>
        <w:lang w:val="en-us" w:eastAsia="en-us" w:bidi="en-us"/>
      </w:rPr>
    </w:lvl>
    <w:lvl w:ilvl="6">
      <w:start w:val="0"/>
      <w:numFmt w:val="bullet"/>
      <w:lvlText w:val="•"/>
      <w:lvlJc w:val="left"/>
      <w:pPr>
        <w:ind w:left="7911" w:hanging="341"/>
      </w:pPr>
      <w:rPr>
        <w:rFonts w:hint="default"/>
        <w:lang w:val="en-us" w:eastAsia="en-us" w:bidi="en-us"/>
      </w:rPr>
    </w:lvl>
    <w:lvl w:ilvl="7">
      <w:start w:val="0"/>
      <w:numFmt w:val="bullet"/>
      <w:lvlText w:val="•"/>
      <w:lvlJc w:val="left"/>
      <w:pPr>
        <w:ind w:left="8909" w:hanging="341"/>
      </w:pPr>
      <w:rPr>
        <w:rFonts w:hint="default"/>
        <w:lang w:val="en-us" w:eastAsia="en-us" w:bidi="en-us"/>
      </w:rPr>
    </w:lvl>
    <w:lvl w:ilvl="8">
      <w:start w:val="0"/>
      <w:numFmt w:val="bullet"/>
      <w:lvlText w:val="•"/>
      <w:lvlJc w:val="left"/>
      <w:pPr>
        <w:ind w:left="9908" w:hanging="341"/>
      </w:pPr>
      <w:rPr>
        <w:rFonts w:hint="default"/>
        <w:lang w:val="en-us" w:eastAsia="en-us" w:bidi="en-us"/>
      </w:rPr>
    </w:lvl>
  </w:abstractNum>
  <w:abstractNum w:abstractNumId="211">
    <w:multiLevelType w:val="hybridMultilevel"/>
    <w:lvl w:ilvl="0">
      <w:start w:val="0"/>
      <w:numFmt w:val="bullet"/>
      <w:lvlText w:val="-"/>
      <w:lvlJc w:val="left"/>
      <w:pPr>
        <w:ind w:left="1927" w:hanging="341"/>
      </w:pPr>
      <w:rPr>
        <w:rFonts w:hint="default" w:ascii="Calibri" w:hAnsi="Calibri" w:eastAsia="Calibri" w:cs="Calibri"/>
        <w:w w:val="108"/>
        <w:sz w:val="21"/>
        <w:szCs w:val="21"/>
        <w:lang w:val="en-us" w:eastAsia="en-us" w:bidi="en-us"/>
      </w:rPr>
    </w:lvl>
    <w:lvl w:ilvl="1">
      <w:start w:val="0"/>
      <w:numFmt w:val="bullet"/>
      <w:lvlText w:val="•"/>
      <w:lvlJc w:val="left"/>
      <w:pPr>
        <w:ind w:left="2918" w:hanging="341"/>
      </w:pPr>
      <w:rPr>
        <w:rFonts w:hint="default"/>
        <w:lang w:val="en-us" w:eastAsia="en-us" w:bidi="en-us"/>
      </w:rPr>
    </w:lvl>
    <w:lvl w:ilvl="2">
      <w:start w:val="0"/>
      <w:numFmt w:val="bullet"/>
      <w:lvlText w:val="•"/>
      <w:lvlJc w:val="left"/>
      <w:pPr>
        <w:ind w:left="3917" w:hanging="341"/>
      </w:pPr>
      <w:rPr>
        <w:rFonts w:hint="default"/>
        <w:lang w:val="en-us" w:eastAsia="en-us" w:bidi="en-us"/>
      </w:rPr>
    </w:lvl>
    <w:lvl w:ilvl="3">
      <w:start w:val="0"/>
      <w:numFmt w:val="bullet"/>
      <w:lvlText w:val="•"/>
      <w:lvlJc w:val="left"/>
      <w:pPr>
        <w:ind w:left="4915" w:hanging="341"/>
      </w:pPr>
      <w:rPr>
        <w:rFonts w:hint="default"/>
        <w:lang w:val="en-us" w:eastAsia="en-us" w:bidi="en-us"/>
      </w:rPr>
    </w:lvl>
    <w:lvl w:ilvl="4">
      <w:start w:val="0"/>
      <w:numFmt w:val="bullet"/>
      <w:lvlText w:val="•"/>
      <w:lvlJc w:val="left"/>
      <w:pPr>
        <w:ind w:left="5914" w:hanging="341"/>
      </w:pPr>
      <w:rPr>
        <w:rFonts w:hint="default"/>
        <w:lang w:val="en-us" w:eastAsia="en-us" w:bidi="en-us"/>
      </w:rPr>
    </w:lvl>
    <w:lvl w:ilvl="5">
      <w:start w:val="0"/>
      <w:numFmt w:val="bullet"/>
      <w:lvlText w:val="•"/>
      <w:lvlJc w:val="left"/>
      <w:pPr>
        <w:ind w:left="6912" w:hanging="341"/>
      </w:pPr>
      <w:rPr>
        <w:rFonts w:hint="default"/>
        <w:lang w:val="en-us" w:eastAsia="en-us" w:bidi="en-us"/>
      </w:rPr>
    </w:lvl>
    <w:lvl w:ilvl="6">
      <w:start w:val="0"/>
      <w:numFmt w:val="bullet"/>
      <w:lvlText w:val="•"/>
      <w:lvlJc w:val="left"/>
      <w:pPr>
        <w:ind w:left="7911" w:hanging="341"/>
      </w:pPr>
      <w:rPr>
        <w:rFonts w:hint="default"/>
        <w:lang w:val="en-us" w:eastAsia="en-us" w:bidi="en-us"/>
      </w:rPr>
    </w:lvl>
    <w:lvl w:ilvl="7">
      <w:start w:val="0"/>
      <w:numFmt w:val="bullet"/>
      <w:lvlText w:val="•"/>
      <w:lvlJc w:val="left"/>
      <w:pPr>
        <w:ind w:left="8909" w:hanging="341"/>
      </w:pPr>
      <w:rPr>
        <w:rFonts w:hint="default"/>
        <w:lang w:val="en-us" w:eastAsia="en-us" w:bidi="en-us"/>
      </w:rPr>
    </w:lvl>
    <w:lvl w:ilvl="8">
      <w:start w:val="0"/>
      <w:numFmt w:val="bullet"/>
      <w:lvlText w:val="•"/>
      <w:lvlJc w:val="left"/>
      <w:pPr>
        <w:ind w:left="9908" w:hanging="341"/>
      </w:pPr>
      <w:rPr>
        <w:rFonts w:hint="default"/>
        <w:lang w:val="en-us" w:eastAsia="en-us" w:bidi="en-us"/>
      </w:rPr>
    </w:lvl>
  </w:abstractNum>
  <w:abstractNum w:abstractNumId="210">
    <w:multiLevelType w:val="hybridMultilevel"/>
    <w:lvl w:ilvl="0">
      <w:start w:val="1"/>
      <w:numFmt w:val="decimal"/>
      <w:lvlText w:val="%1"/>
      <w:lvlJc w:val="left"/>
      <w:pPr>
        <w:ind w:left="2381" w:hanging="794"/>
        <w:jc w:val="left"/>
      </w:pPr>
      <w:rPr>
        <w:rFonts w:hint="default"/>
        <w:b/>
        <w:bCs/>
        <w:w w:val="109"/>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209">
    <w:multiLevelType w:val="hybridMultilevel"/>
    <w:lvl w:ilvl="0">
      <w:start w:val="1"/>
      <w:numFmt w:val="decimal"/>
      <w:lvlText w:val="%1"/>
      <w:lvlJc w:val="left"/>
      <w:pPr>
        <w:ind w:left="2381" w:hanging="794"/>
        <w:jc w:val="left"/>
      </w:pPr>
      <w:rPr>
        <w:rFonts w:hint="default" w:ascii="Calibri" w:hAnsi="Calibri" w:eastAsia="Calibri" w:cs="Calibri"/>
        <w:w w:val="109"/>
        <w:sz w:val="21"/>
        <w:szCs w:val="21"/>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208">
    <w:multiLevelType w:val="hybridMultilevel"/>
    <w:lvl w:ilvl="0">
      <w:start w:val="28"/>
      <w:numFmt w:val="decimal"/>
      <w:lvlText w:val="%1"/>
      <w:lvlJc w:val="left"/>
      <w:pPr>
        <w:ind w:left="2381" w:hanging="794"/>
        <w:jc w:val="left"/>
      </w:pPr>
      <w:rPr>
        <w:rFonts w:hint="default" w:ascii="Calibri" w:hAnsi="Calibri" w:eastAsia="Calibri" w:cs="Calibri"/>
        <w:spacing w:val="-6"/>
        <w:w w:val="109"/>
        <w:sz w:val="21"/>
        <w:szCs w:val="21"/>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207">
    <w:multiLevelType w:val="hybridMultilevel"/>
    <w:lvl w:ilvl="0">
      <w:start w:val="62"/>
      <w:numFmt w:val="decimal"/>
      <w:lvlText w:val="%1"/>
      <w:lvlJc w:val="left"/>
      <w:pPr>
        <w:ind w:left="793" w:hanging="567"/>
        <w:jc w:val="left"/>
      </w:pPr>
      <w:rPr>
        <w:rFonts w:hint="default" w:ascii="Calibri" w:hAnsi="Calibri" w:eastAsia="Calibri" w:cs="Calibri"/>
        <w:b/>
        <w:bCs/>
        <w:spacing w:val="-1"/>
        <w:w w:val="109"/>
        <w:sz w:val="21"/>
        <w:szCs w:val="21"/>
        <w:lang w:val="en-us" w:eastAsia="en-us" w:bidi="en-us"/>
      </w:rPr>
    </w:lvl>
    <w:lvl w:ilvl="1">
      <w:start w:val="1"/>
      <w:numFmt w:val="lowerLetter"/>
      <w:lvlText w:val="(%2)"/>
      <w:lvlJc w:val="left"/>
      <w:pPr>
        <w:ind w:left="1360" w:hanging="567"/>
        <w:jc w:val="left"/>
      </w:pPr>
      <w:rPr>
        <w:rFonts w:hint="default" w:ascii="Calibri" w:hAnsi="Calibri" w:eastAsia="Calibri" w:cs="Calibri"/>
        <w:spacing w:val="0"/>
        <w:w w:val="109"/>
        <w:sz w:val="21"/>
        <w:szCs w:val="21"/>
        <w:lang w:val="en-us" w:eastAsia="en-us" w:bidi="en-us"/>
      </w:rPr>
    </w:lvl>
    <w:lvl w:ilvl="2">
      <w:start w:val="0"/>
      <w:numFmt w:val="bullet"/>
      <w:lvlText w:val="•"/>
      <w:lvlJc w:val="left"/>
      <w:pPr>
        <w:ind w:left="2178" w:hanging="567"/>
      </w:pPr>
      <w:rPr>
        <w:rFonts w:hint="default"/>
        <w:lang w:val="en-us" w:eastAsia="en-us" w:bidi="en-us"/>
      </w:rPr>
    </w:lvl>
    <w:lvl w:ilvl="3">
      <w:start w:val="0"/>
      <w:numFmt w:val="bullet"/>
      <w:lvlText w:val="•"/>
      <w:lvlJc w:val="left"/>
      <w:pPr>
        <w:ind w:left="2997" w:hanging="567"/>
      </w:pPr>
      <w:rPr>
        <w:rFonts w:hint="default"/>
        <w:lang w:val="en-us" w:eastAsia="en-us" w:bidi="en-us"/>
      </w:rPr>
    </w:lvl>
    <w:lvl w:ilvl="4">
      <w:start w:val="0"/>
      <w:numFmt w:val="bullet"/>
      <w:lvlText w:val="•"/>
      <w:lvlJc w:val="left"/>
      <w:pPr>
        <w:ind w:left="3816" w:hanging="567"/>
      </w:pPr>
      <w:rPr>
        <w:rFonts w:hint="default"/>
        <w:lang w:val="en-us" w:eastAsia="en-us" w:bidi="en-us"/>
      </w:rPr>
    </w:lvl>
    <w:lvl w:ilvl="5">
      <w:start w:val="0"/>
      <w:numFmt w:val="bullet"/>
      <w:lvlText w:val="•"/>
      <w:lvlJc w:val="left"/>
      <w:pPr>
        <w:ind w:left="4635" w:hanging="567"/>
      </w:pPr>
      <w:rPr>
        <w:rFonts w:hint="default"/>
        <w:lang w:val="en-us" w:eastAsia="en-us" w:bidi="en-us"/>
      </w:rPr>
    </w:lvl>
    <w:lvl w:ilvl="6">
      <w:start w:val="0"/>
      <w:numFmt w:val="bullet"/>
      <w:lvlText w:val="•"/>
      <w:lvlJc w:val="left"/>
      <w:pPr>
        <w:ind w:left="5454" w:hanging="567"/>
      </w:pPr>
      <w:rPr>
        <w:rFonts w:hint="default"/>
        <w:lang w:val="en-us" w:eastAsia="en-us" w:bidi="en-us"/>
      </w:rPr>
    </w:lvl>
    <w:lvl w:ilvl="7">
      <w:start w:val="0"/>
      <w:numFmt w:val="bullet"/>
      <w:lvlText w:val="•"/>
      <w:lvlJc w:val="left"/>
      <w:pPr>
        <w:ind w:left="6273" w:hanging="567"/>
      </w:pPr>
      <w:rPr>
        <w:rFonts w:hint="default"/>
        <w:lang w:val="en-us" w:eastAsia="en-us" w:bidi="en-us"/>
      </w:rPr>
    </w:lvl>
    <w:lvl w:ilvl="8">
      <w:start w:val="0"/>
      <w:numFmt w:val="bullet"/>
      <w:lvlText w:val="•"/>
      <w:lvlJc w:val="left"/>
      <w:pPr>
        <w:ind w:left="7092" w:hanging="567"/>
      </w:pPr>
      <w:rPr>
        <w:rFonts w:hint="default"/>
        <w:lang w:val="en-us" w:eastAsia="en-us" w:bidi="en-us"/>
      </w:rPr>
    </w:lvl>
  </w:abstractNum>
  <w:abstractNum w:abstractNumId="206">
    <w:multiLevelType w:val="hybridMultilevel"/>
    <w:lvl w:ilvl="0">
      <w:start w:val="92"/>
      <w:numFmt w:val="decimal"/>
      <w:lvlText w:val="%1"/>
      <w:lvlJc w:val="left"/>
      <w:pPr>
        <w:ind w:left="2381" w:hanging="794"/>
        <w:jc w:val="right"/>
      </w:pPr>
      <w:rPr>
        <w:rFonts w:hint="default" w:ascii="Calibri" w:hAnsi="Calibri" w:eastAsia="Calibri" w:cs="Calibri"/>
        <w:spacing w:val="-1"/>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553" w:hanging="341"/>
      </w:pPr>
      <w:rPr>
        <w:rFonts w:hint="default"/>
        <w:lang w:val="en-us" w:eastAsia="en-us" w:bidi="en-us"/>
      </w:rPr>
    </w:lvl>
    <w:lvl w:ilvl="3">
      <w:start w:val="0"/>
      <w:numFmt w:val="bullet"/>
      <w:lvlText w:val="•"/>
      <w:lvlJc w:val="left"/>
      <w:pPr>
        <w:ind w:left="4387" w:hanging="341"/>
      </w:pPr>
      <w:rPr>
        <w:rFonts w:hint="default"/>
        <w:lang w:val="en-us" w:eastAsia="en-us" w:bidi="en-us"/>
      </w:rPr>
    </w:lvl>
    <w:lvl w:ilvl="4">
      <w:start w:val="0"/>
      <w:numFmt w:val="bullet"/>
      <w:lvlText w:val="•"/>
      <w:lvlJc w:val="left"/>
      <w:pPr>
        <w:ind w:left="5221" w:hanging="341"/>
      </w:pPr>
      <w:rPr>
        <w:rFonts w:hint="default"/>
        <w:lang w:val="en-us" w:eastAsia="en-us" w:bidi="en-us"/>
      </w:rPr>
    </w:lvl>
    <w:lvl w:ilvl="5">
      <w:start w:val="0"/>
      <w:numFmt w:val="bullet"/>
      <w:lvlText w:val="•"/>
      <w:lvlJc w:val="left"/>
      <w:pPr>
        <w:ind w:left="6055" w:hanging="341"/>
      </w:pPr>
      <w:rPr>
        <w:rFonts w:hint="default"/>
        <w:lang w:val="en-us" w:eastAsia="en-us" w:bidi="en-us"/>
      </w:rPr>
    </w:lvl>
    <w:lvl w:ilvl="6">
      <w:start w:val="0"/>
      <w:numFmt w:val="bullet"/>
      <w:lvlText w:val="•"/>
      <w:lvlJc w:val="left"/>
      <w:pPr>
        <w:ind w:left="6889" w:hanging="341"/>
      </w:pPr>
      <w:rPr>
        <w:rFonts w:hint="default"/>
        <w:lang w:val="en-us" w:eastAsia="en-us" w:bidi="en-us"/>
      </w:rPr>
    </w:lvl>
    <w:lvl w:ilvl="7">
      <w:start w:val="0"/>
      <w:numFmt w:val="bullet"/>
      <w:lvlText w:val="•"/>
      <w:lvlJc w:val="left"/>
      <w:pPr>
        <w:ind w:left="7723" w:hanging="341"/>
      </w:pPr>
      <w:rPr>
        <w:rFonts w:hint="default"/>
        <w:lang w:val="en-us" w:eastAsia="en-us" w:bidi="en-us"/>
      </w:rPr>
    </w:lvl>
    <w:lvl w:ilvl="8">
      <w:start w:val="0"/>
      <w:numFmt w:val="bullet"/>
      <w:lvlText w:val="•"/>
      <w:lvlJc w:val="left"/>
      <w:pPr>
        <w:ind w:left="8557" w:hanging="341"/>
      </w:pPr>
      <w:rPr>
        <w:rFonts w:hint="default"/>
        <w:lang w:val="en-us" w:eastAsia="en-us" w:bidi="en-us"/>
      </w:rPr>
    </w:lvl>
  </w:abstractNum>
  <w:abstractNum w:abstractNumId="205">
    <w:multiLevelType w:val="hybridMultilevel"/>
    <w:lvl w:ilvl="0">
      <w:start w:val="89"/>
      <w:numFmt w:val="decimal"/>
      <w:lvlText w:val="%1"/>
      <w:lvlJc w:val="left"/>
      <w:pPr>
        <w:ind w:left="2381" w:hanging="794"/>
        <w:jc w:val="left"/>
      </w:pPr>
      <w:rPr>
        <w:rFonts w:hint="default" w:ascii="Calibri" w:hAnsi="Calibri" w:eastAsia="Calibri" w:cs="Calibri"/>
        <w:spacing w:val="0"/>
        <w:w w:val="109"/>
        <w:sz w:val="13"/>
        <w:szCs w:val="13"/>
        <w:lang w:val="en-us" w:eastAsia="en-us" w:bidi="en-us"/>
      </w:rPr>
    </w:lvl>
    <w:lvl w:ilvl="1">
      <w:start w:val="0"/>
      <w:numFmt w:val="bullet"/>
      <w:lvlText w:val="•"/>
      <w:lvlJc w:val="left"/>
      <w:pPr>
        <w:ind w:left="3164" w:hanging="794"/>
      </w:pPr>
      <w:rPr>
        <w:rFonts w:hint="default"/>
        <w:lang w:val="en-us" w:eastAsia="en-us" w:bidi="en-us"/>
      </w:rPr>
    </w:lvl>
    <w:lvl w:ilvl="2">
      <w:start w:val="0"/>
      <w:numFmt w:val="bullet"/>
      <w:lvlText w:val="•"/>
      <w:lvlJc w:val="left"/>
      <w:pPr>
        <w:ind w:left="3949" w:hanging="794"/>
      </w:pPr>
      <w:rPr>
        <w:rFonts w:hint="default"/>
        <w:lang w:val="en-us" w:eastAsia="en-us" w:bidi="en-us"/>
      </w:rPr>
    </w:lvl>
    <w:lvl w:ilvl="3">
      <w:start w:val="0"/>
      <w:numFmt w:val="bullet"/>
      <w:lvlText w:val="•"/>
      <w:lvlJc w:val="left"/>
      <w:pPr>
        <w:ind w:left="4733" w:hanging="794"/>
      </w:pPr>
      <w:rPr>
        <w:rFonts w:hint="default"/>
        <w:lang w:val="en-us" w:eastAsia="en-us" w:bidi="en-us"/>
      </w:rPr>
    </w:lvl>
    <w:lvl w:ilvl="4">
      <w:start w:val="0"/>
      <w:numFmt w:val="bullet"/>
      <w:lvlText w:val="•"/>
      <w:lvlJc w:val="left"/>
      <w:pPr>
        <w:ind w:left="5518" w:hanging="794"/>
      </w:pPr>
      <w:rPr>
        <w:rFonts w:hint="default"/>
        <w:lang w:val="en-us" w:eastAsia="en-us" w:bidi="en-us"/>
      </w:rPr>
    </w:lvl>
    <w:lvl w:ilvl="5">
      <w:start w:val="0"/>
      <w:numFmt w:val="bullet"/>
      <w:lvlText w:val="•"/>
      <w:lvlJc w:val="left"/>
      <w:pPr>
        <w:ind w:left="6302" w:hanging="794"/>
      </w:pPr>
      <w:rPr>
        <w:rFonts w:hint="default"/>
        <w:lang w:val="en-us" w:eastAsia="en-us" w:bidi="en-us"/>
      </w:rPr>
    </w:lvl>
    <w:lvl w:ilvl="6">
      <w:start w:val="0"/>
      <w:numFmt w:val="bullet"/>
      <w:lvlText w:val="•"/>
      <w:lvlJc w:val="left"/>
      <w:pPr>
        <w:ind w:left="7087" w:hanging="794"/>
      </w:pPr>
      <w:rPr>
        <w:rFonts w:hint="default"/>
        <w:lang w:val="en-us" w:eastAsia="en-us" w:bidi="en-us"/>
      </w:rPr>
    </w:lvl>
    <w:lvl w:ilvl="7">
      <w:start w:val="0"/>
      <w:numFmt w:val="bullet"/>
      <w:lvlText w:val="•"/>
      <w:lvlJc w:val="left"/>
      <w:pPr>
        <w:ind w:left="7871" w:hanging="794"/>
      </w:pPr>
      <w:rPr>
        <w:rFonts w:hint="default"/>
        <w:lang w:val="en-us" w:eastAsia="en-us" w:bidi="en-us"/>
      </w:rPr>
    </w:lvl>
    <w:lvl w:ilvl="8">
      <w:start w:val="0"/>
      <w:numFmt w:val="bullet"/>
      <w:lvlText w:val="•"/>
      <w:lvlJc w:val="left"/>
      <w:pPr>
        <w:ind w:left="8656" w:hanging="794"/>
      </w:pPr>
      <w:rPr>
        <w:rFonts w:hint="default"/>
        <w:lang w:val="en-us" w:eastAsia="en-us" w:bidi="en-us"/>
      </w:rPr>
    </w:lvl>
  </w:abstractNum>
  <w:abstractNum w:abstractNumId="204">
    <w:multiLevelType w:val="hybridMultilevel"/>
    <w:lvl w:ilvl="0">
      <w:start w:val="1"/>
      <w:numFmt w:val="lowerRoman"/>
      <w:lvlText w:val="%1)"/>
      <w:lvlJc w:val="left"/>
      <w:pPr>
        <w:ind w:left="3061" w:hanging="341"/>
        <w:jc w:val="left"/>
      </w:pPr>
      <w:rPr>
        <w:rFonts w:hint="default" w:ascii="Calibri" w:hAnsi="Calibri" w:eastAsia="Calibri" w:cs="Calibri"/>
        <w:spacing w:val="0"/>
        <w:w w:val="91"/>
        <w:sz w:val="21"/>
        <w:szCs w:val="21"/>
        <w:lang w:val="en-us" w:eastAsia="en-us" w:bidi="en-us"/>
      </w:rPr>
    </w:lvl>
    <w:lvl w:ilvl="1">
      <w:start w:val="0"/>
      <w:numFmt w:val="bullet"/>
      <w:lvlText w:val="•"/>
      <w:lvlJc w:val="left"/>
      <w:pPr>
        <w:ind w:left="3944" w:hanging="341"/>
      </w:pPr>
      <w:rPr>
        <w:rFonts w:hint="default"/>
        <w:lang w:val="en-us" w:eastAsia="en-us" w:bidi="en-us"/>
      </w:rPr>
    </w:lvl>
    <w:lvl w:ilvl="2">
      <w:start w:val="0"/>
      <w:numFmt w:val="bullet"/>
      <w:lvlText w:val="•"/>
      <w:lvlJc w:val="left"/>
      <w:pPr>
        <w:ind w:left="4829" w:hanging="341"/>
      </w:pPr>
      <w:rPr>
        <w:rFonts w:hint="default"/>
        <w:lang w:val="en-us" w:eastAsia="en-us" w:bidi="en-us"/>
      </w:rPr>
    </w:lvl>
    <w:lvl w:ilvl="3">
      <w:start w:val="0"/>
      <w:numFmt w:val="bullet"/>
      <w:lvlText w:val="•"/>
      <w:lvlJc w:val="left"/>
      <w:pPr>
        <w:ind w:left="5713" w:hanging="341"/>
      </w:pPr>
      <w:rPr>
        <w:rFonts w:hint="default"/>
        <w:lang w:val="en-us" w:eastAsia="en-us" w:bidi="en-us"/>
      </w:rPr>
    </w:lvl>
    <w:lvl w:ilvl="4">
      <w:start w:val="0"/>
      <w:numFmt w:val="bullet"/>
      <w:lvlText w:val="•"/>
      <w:lvlJc w:val="left"/>
      <w:pPr>
        <w:ind w:left="6598" w:hanging="341"/>
      </w:pPr>
      <w:rPr>
        <w:rFonts w:hint="default"/>
        <w:lang w:val="en-us" w:eastAsia="en-us" w:bidi="en-us"/>
      </w:rPr>
    </w:lvl>
    <w:lvl w:ilvl="5">
      <w:start w:val="0"/>
      <w:numFmt w:val="bullet"/>
      <w:lvlText w:val="•"/>
      <w:lvlJc w:val="left"/>
      <w:pPr>
        <w:ind w:left="7482" w:hanging="341"/>
      </w:pPr>
      <w:rPr>
        <w:rFonts w:hint="default"/>
        <w:lang w:val="en-us" w:eastAsia="en-us" w:bidi="en-us"/>
      </w:rPr>
    </w:lvl>
    <w:lvl w:ilvl="6">
      <w:start w:val="0"/>
      <w:numFmt w:val="bullet"/>
      <w:lvlText w:val="•"/>
      <w:lvlJc w:val="left"/>
      <w:pPr>
        <w:ind w:left="8367" w:hanging="341"/>
      </w:pPr>
      <w:rPr>
        <w:rFonts w:hint="default"/>
        <w:lang w:val="en-us" w:eastAsia="en-us" w:bidi="en-us"/>
      </w:rPr>
    </w:lvl>
    <w:lvl w:ilvl="7">
      <w:start w:val="0"/>
      <w:numFmt w:val="bullet"/>
      <w:lvlText w:val="•"/>
      <w:lvlJc w:val="left"/>
      <w:pPr>
        <w:ind w:left="9251" w:hanging="341"/>
      </w:pPr>
      <w:rPr>
        <w:rFonts w:hint="default"/>
        <w:lang w:val="en-us" w:eastAsia="en-us" w:bidi="en-us"/>
      </w:rPr>
    </w:lvl>
    <w:lvl w:ilvl="8">
      <w:start w:val="0"/>
      <w:numFmt w:val="bullet"/>
      <w:lvlText w:val="•"/>
      <w:lvlJc w:val="left"/>
      <w:pPr>
        <w:ind w:left="10136" w:hanging="341"/>
      </w:pPr>
      <w:rPr>
        <w:rFonts w:hint="default"/>
        <w:lang w:val="en-us" w:eastAsia="en-us" w:bidi="en-us"/>
      </w:rPr>
    </w:lvl>
  </w:abstractNum>
  <w:abstractNum w:abstractNumId="203">
    <w:multiLevelType w:val="hybridMultilevel"/>
    <w:lvl w:ilvl="0">
      <w:start w:val="41"/>
      <w:numFmt w:val="decimal"/>
      <w:lvlText w:val="%1"/>
      <w:lvlJc w:val="left"/>
      <w:pPr>
        <w:ind w:left="1219" w:hanging="794"/>
        <w:jc w:val="right"/>
      </w:pPr>
      <w:rPr>
        <w:rFonts w:hint="default" w:ascii="Calibri" w:hAnsi="Calibri" w:eastAsia="Calibri" w:cs="Calibri"/>
        <w:spacing w:val="-6"/>
        <w:w w:val="109"/>
        <w:sz w:val="13"/>
        <w:szCs w:val="13"/>
        <w:lang w:val="en-us" w:eastAsia="en-us" w:bidi="en-us"/>
      </w:rPr>
    </w:lvl>
    <w:lvl w:ilvl="1">
      <w:start w:val="0"/>
      <w:numFmt w:val="bullet"/>
      <w:lvlText w:val="•"/>
      <w:lvlJc w:val="left"/>
      <w:pPr>
        <w:ind w:left="2172" w:hanging="794"/>
      </w:pPr>
      <w:rPr>
        <w:rFonts w:hint="default"/>
        <w:lang w:val="en-us" w:eastAsia="en-us" w:bidi="en-us"/>
      </w:rPr>
    </w:lvl>
    <w:lvl w:ilvl="2">
      <w:start w:val="0"/>
      <w:numFmt w:val="bullet"/>
      <w:lvlText w:val="•"/>
      <w:lvlJc w:val="left"/>
      <w:pPr>
        <w:ind w:left="3124" w:hanging="794"/>
      </w:pPr>
      <w:rPr>
        <w:rFonts w:hint="default"/>
        <w:lang w:val="en-us" w:eastAsia="en-us" w:bidi="en-us"/>
      </w:rPr>
    </w:lvl>
    <w:lvl w:ilvl="3">
      <w:start w:val="0"/>
      <w:numFmt w:val="bullet"/>
      <w:lvlText w:val="•"/>
      <w:lvlJc w:val="left"/>
      <w:pPr>
        <w:ind w:left="4077" w:hanging="794"/>
      </w:pPr>
      <w:rPr>
        <w:rFonts w:hint="default"/>
        <w:lang w:val="en-us" w:eastAsia="en-us" w:bidi="en-us"/>
      </w:rPr>
    </w:lvl>
    <w:lvl w:ilvl="4">
      <w:start w:val="0"/>
      <w:numFmt w:val="bullet"/>
      <w:lvlText w:val="•"/>
      <w:lvlJc w:val="left"/>
      <w:pPr>
        <w:ind w:left="5029" w:hanging="794"/>
      </w:pPr>
      <w:rPr>
        <w:rFonts w:hint="default"/>
        <w:lang w:val="en-us" w:eastAsia="en-us" w:bidi="en-us"/>
      </w:rPr>
    </w:lvl>
    <w:lvl w:ilvl="5">
      <w:start w:val="0"/>
      <w:numFmt w:val="bullet"/>
      <w:lvlText w:val="•"/>
      <w:lvlJc w:val="left"/>
      <w:pPr>
        <w:ind w:left="5981" w:hanging="794"/>
      </w:pPr>
      <w:rPr>
        <w:rFonts w:hint="default"/>
        <w:lang w:val="en-us" w:eastAsia="en-us" w:bidi="en-us"/>
      </w:rPr>
    </w:lvl>
    <w:lvl w:ilvl="6">
      <w:start w:val="0"/>
      <w:numFmt w:val="bullet"/>
      <w:lvlText w:val="•"/>
      <w:lvlJc w:val="left"/>
      <w:pPr>
        <w:ind w:left="6934" w:hanging="794"/>
      </w:pPr>
      <w:rPr>
        <w:rFonts w:hint="default"/>
        <w:lang w:val="en-us" w:eastAsia="en-us" w:bidi="en-us"/>
      </w:rPr>
    </w:lvl>
    <w:lvl w:ilvl="7">
      <w:start w:val="0"/>
      <w:numFmt w:val="bullet"/>
      <w:lvlText w:val="•"/>
      <w:lvlJc w:val="left"/>
      <w:pPr>
        <w:ind w:left="7886" w:hanging="794"/>
      </w:pPr>
      <w:rPr>
        <w:rFonts w:hint="default"/>
        <w:lang w:val="en-us" w:eastAsia="en-us" w:bidi="en-us"/>
      </w:rPr>
    </w:lvl>
    <w:lvl w:ilvl="8">
      <w:start w:val="0"/>
      <w:numFmt w:val="bullet"/>
      <w:lvlText w:val="•"/>
      <w:lvlJc w:val="left"/>
      <w:pPr>
        <w:ind w:left="8839" w:hanging="794"/>
      </w:pPr>
      <w:rPr>
        <w:rFonts w:hint="default"/>
        <w:lang w:val="en-us" w:eastAsia="en-us" w:bidi="en-us"/>
      </w:rPr>
    </w:lvl>
  </w:abstractNum>
  <w:abstractNum w:abstractNumId="202">
    <w:multiLevelType w:val="hybridMultilevel"/>
    <w:lvl w:ilvl="0">
      <w:start w:val="1"/>
      <w:numFmt w:val="decimal"/>
      <w:lvlText w:val="%1"/>
      <w:lvlJc w:val="left"/>
      <w:pPr>
        <w:ind w:left="1218" w:hanging="794"/>
        <w:jc w:val="right"/>
      </w:pPr>
      <w:rPr>
        <w:rFonts w:hint="default" w:ascii="Calibri" w:hAnsi="Calibri" w:eastAsia="Calibri" w:cs="Calibri"/>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611" w:hanging="341"/>
      </w:pPr>
      <w:rPr>
        <w:rFonts w:hint="default"/>
        <w:lang w:val="en-us" w:eastAsia="en-us" w:bidi="en-us"/>
      </w:rPr>
    </w:lvl>
    <w:lvl w:ilvl="3">
      <w:start w:val="0"/>
      <w:numFmt w:val="bullet"/>
      <w:lvlText w:val="•"/>
      <w:lvlJc w:val="left"/>
      <w:pPr>
        <w:ind w:left="4502" w:hanging="341"/>
      </w:pPr>
      <w:rPr>
        <w:rFonts w:hint="default"/>
        <w:lang w:val="en-us" w:eastAsia="en-us" w:bidi="en-us"/>
      </w:rPr>
    </w:lvl>
    <w:lvl w:ilvl="4">
      <w:start w:val="0"/>
      <w:numFmt w:val="bullet"/>
      <w:lvlText w:val="•"/>
      <w:lvlJc w:val="left"/>
      <w:pPr>
        <w:ind w:left="5394" w:hanging="341"/>
      </w:pPr>
      <w:rPr>
        <w:rFonts w:hint="default"/>
        <w:lang w:val="en-us" w:eastAsia="en-us" w:bidi="en-us"/>
      </w:rPr>
    </w:lvl>
    <w:lvl w:ilvl="5">
      <w:start w:val="0"/>
      <w:numFmt w:val="bullet"/>
      <w:lvlText w:val="•"/>
      <w:lvlJc w:val="left"/>
      <w:pPr>
        <w:ind w:left="6285" w:hanging="341"/>
      </w:pPr>
      <w:rPr>
        <w:rFonts w:hint="default"/>
        <w:lang w:val="en-us" w:eastAsia="en-us" w:bidi="en-us"/>
      </w:rPr>
    </w:lvl>
    <w:lvl w:ilvl="6">
      <w:start w:val="0"/>
      <w:numFmt w:val="bullet"/>
      <w:lvlText w:val="•"/>
      <w:lvlJc w:val="left"/>
      <w:pPr>
        <w:ind w:left="7177" w:hanging="341"/>
      </w:pPr>
      <w:rPr>
        <w:rFonts w:hint="default"/>
        <w:lang w:val="en-us" w:eastAsia="en-us" w:bidi="en-us"/>
      </w:rPr>
    </w:lvl>
    <w:lvl w:ilvl="7">
      <w:start w:val="0"/>
      <w:numFmt w:val="bullet"/>
      <w:lvlText w:val="•"/>
      <w:lvlJc w:val="left"/>
      <w:pPr>
        <w:ind w:left="8068" w:hanging="341"/>
      </w:pPr>
      <w:rPr>
        <w:rFonts w:hint="default"/>
        <w:lang w:val="en-us" w:eastAsia="en-us" w:bidi="en-us"/>
      </w:rPr>
    </w:lvl>
    <w:lvl w:ilvl="8">
      <w:start w:val="0"/>
      <w:numFmt w:val="bullet"/>
      <w:lvlText w:val="•"/>
      <w:lvlJc w:val="left"/>
      <w:pPr>
        <w:ind w:left="8960" w:hanging="341"/>
      </w:pPr>
      <w:rPr>
        <w:rFonts w:hint="default"/>
        <w:lang w:val="en-us" w:eastAsia="en-us" w:bidi="en-us"/>
      </w:rPr>
    </w:lvl>
  </w:abstractNum>
  <w:abstractNum w:abstractNumId="201">
    <w:multiLevelType w:val="hybridMultilevel"/>
    <w:lvl w:ilvl="0">
      <w:start w:val="58"/>
      <w:numFmt w:val="decimal"/>
      <w:lvlText w:val="%1"/>
      <w:lvlJc w:val="left"/>
      <w:pPr>
        <w:ind w:left="2381" w:hanging="567"/>
        <w:jc w:val="left"/>
      </w:pPr>
      <w:rPr>
        <w:rFonts w:hint="default" w:ascii="Calibri" w:hAnsi="Calibri" w:eastAsia="Calibri" w:cs="Calibri"/>
        <w:b/>
        <w:bCs/>
        <w:spacing w:val="0"/>
        <w:w w:val="109"/>
        <w:sz w:val="21"/>
        <w:szCs w:val="21"/>
        <w:lang w:val="en-us" w:eastAsia="en-us" w:bidi="en-us"/>
      </w:rPr>
    </w:lvl>
    <w:lvl w:ilvl="1">
      <w:start w:val="1"/>
      <w:numFmt w:val="lowerLetter"/>
      <w:lvlText w:val="(%2)"/>
      <w:lvlJc w:val="left"/>
      <w:pPr>
        <w:ind w:left="2948" w:hanging="567"/>
        <w:jc w:val="left"/>
      </w:pPr>
      <w:rPr>
        <w:rFonts w:hint="default" w:ascii="Calibri" w:hAnsi="Calibri" w:eastAsia="Calibri" w:cs="Calibri"/>
        <w:spacing w:val="0"/>
        <w:w w:val="109"/>
        <w:sz w:val="21"/>
        <w:szCs w:val="21"/>
        <w:lang w:val="en-us" w:eastAsia="en-us" w:bidi="en-us"/>
      </w:rPr>
    </w:lvl>
    <w:lvl w:ilvl="2">
      <w:start w:val="0"/>
      <w:numFmt w:val="bullet"/>
      <w:lvlText w:val="•"/>
      <w:lvlJc w:val="left"/>
      <w:pPr>
        <w:ind w:left="3936" w:hanging="567"/>
      </w:pPr>
      <w:rPr>
        <w:rFonts w:hint="default"/>
        <w:lang w:val="en-us" w:eastAsia="en-us" w:bidi="en-us"/>
      </w:rPr>
    </w:lvl>
    <w:lvl w:ilvl="3">
      <w:start w:val="0"/>
      <w:numFmt w:val="bullet"/>
      <w:lvlText w:val="•"/>
      <w:lvlJc w:val="left"/>
      <w:pPr>
        <w:ind w:left="4932" w:hanging="567"/>
      </w:pPr>
      <w:rPr>
        <w:rFonts w:hint="default"/>
        <w:lang w:val="en-us" w:eastAsia="en-us" w:bidi="en-us"/>
      </w:rPr>
    </w:lvl>
    <w:lvl w:ilvl="4">
      <w:start w:val="0"/>
      <w:numFmt w:val="bullet"/>
      <w:lvlText w:val="•"/>
      <w:lvlJc w:val="left"/>
      <w:pPr>
        <w:ind w:left="5928" w:hanging="567"/>
      </w:pPr>
      <w:rPr>
        <w:rFonts w:hint="default"/>
        <w:lang w:val="en-us" w:eastAsia="en-us" w:bidi="en-us"/>
      </w:rPr>
    </w:lvl>
    <w:lvl w:ilvl="5">
      <w:start w:val="0"/>
      <w:numFmt w:val="bullet"/>
      <w:lvlText w:val="•"/>
      <w:lvlJc w:val="left"/>
      <w:pPr>
        <w:ind w:left="6924" w:hanging="567"/>
      </w:pPr>
      <w:rPr>
        <w:rFonts w:hint="default"/>
        <w:lang w:val="en-us" w:eastAsia="en-us" w:bidi="en-us"/>
      </w:rPr>
    </w:lvl>
    <w:lvl w:ilvl="6">
      <w:start w:val="0"/>
      <w:numFmt w:val="bullet"/>
      <w:lvlText w:val="•"/>
      <w:lvlJc w:val="left"/>
      <w:pPr>
        <w:ind w:left="7920" w:hanging="567"/>
      </w:pPr>
      <w:rPr>
        <w:rFonts w:hint="default"/>
        <w:lang w:val="en-us" w:eastAsia="en-us" w:bidi="en-us"/>
      </w:rPr>
    </w:lvl>
    <w:lvl w:ilvl="7">
      <w:start w:val="0"/>
      <w:numFmt w:val="bullet"/>
      <w:lvlText w:val="•"/>
      <w:lvlJc w:val="left"/>
      <w:pPr>
        <w:ind w:left="8917" w:hanging="567"/>
      </w:pPr>
      <w:rPr>
        <w:rFonts w:hint="default"/>
        <w:lang w:val="en-us" w:eastAsia="en-us" w:bidi="en-us"/>
      </w:rPr>
    </w:lvl>
    <w:lvl w:ilvl="8">
      <w:start w:val="0"/>
      <w:numFmt w:val="bullet"/>
      <w:lvlText w:val="•"/>
      <w:lvlJc w:val="left"/>
      <w:pPr>
        <w:ind w:left="9913" w:hanging="567"/>
      </w:pPr>
      <w:rPr>
        <w:rFonts w:hint="default"/>
        <w:lang w:val="en-us" w:eastAsia="en-us" w:bidi="en-us"/>
      </w:rPr>
    </w:lvl>
  </w:abstractNum>
  <w:abstractNum w:abstractNumId="199">
    <w:multiLevelType w:val="hybridMultilevel"/>
    <w:lvl w:ilvl="0">
      <w:start w:val="15"/>
      <w:numFmt w:val="decimal"/>
      <w:lvlText w:val="%1"/>
      <w:lvlJc w:val="left"/>
      <w:pPr>
        <w:ind w:left="1227" w:hanging="794"/>
        <w:jc w:val="right"/>
      </w:pPr>
      <w:rPr>
        <w:rFonts w:hint="default" w:ascii="Calibri" w:hAnsi="Calibri" w:eastAsia="Calibri" w:cs="Calibri"/>
        <w:spacing w:val="-6"/>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612" w:hanging="341"/>
      </w:pPr>
      <w:rPr>
        <w:rFonts w:hint="default"/>
        <w:lang w:val="en-us" w:eastAsia="en-us" w:bidi="en-us"/>
      </w:rPr>
    </w:lvl>
    <w:lvl w:ilvl="3">
      <w:start w:val="0"/>
      <w:numFmt w:val="bullet"/>
      <w:lvlText w:val="•"/>
      <w:lvlJc w:val="left"/>
      <w:pPr>
        <w:ind w:left="4504" w:hanging="341"/>
      </w:pPr>
      <w:rPr>
        <w:rFonts w:hint="default"/>
        <w:lang w:val="en-us" w:eastAsia="en-us" w:bidi="en-us"/>
      </w:rPr>
    </w:lvl>
    <w:lvl w:ilvl="4">
      <w:start w:val="0"/>
      <w:numFmt w:val="bullet"/>
      <w:lvlText w:val="•"/>
      <w:lvlJc w:val="left"/>
      <w:pPr>
        <w:ind w:left="5397" w:hanging="341"/>
      </w:pPr>
      <w:rPr>
        <w:rFonts w:hint="default"/>
        <w:lang w:val="en-us" w:eastAsia="en-us" w:bidi="en-us"/>
      </w:rPr>
    </w:lvl>
    <w:lvl w:ilvl="5">
      <w:start w:val="0"/>
      <w:numFmt w:val="bullet"/>
      <w:lvlText w:val="•"/>
      <w:lvlJc w:val="left"/>
      <w:pPr>
        <w:ind w:left="6289" w:hanging="341"/>
      </w:pPr>
      <w:rPr>
        <w:rFonts w:hint="default"/>
        <w:lang w:val="en-us" w:eastAsia="en-us" w:bidi="en-us"/>
      </w:rPr>
    </w:lvl>
    <w:lvl w:ilvl="6">
      <w:start w:val="0"/>
      <w:numFmt w:val="bullet"/>
      <w:lvlText w:val="•"/>
      <w:lvlJc w:val="left"/>
      <w:pPr>
        <w:ind w:left="7182" w:hanging="341"/>
      </w:pPr>
      <w:rPr>
        <w:rFonts w:hint="default"/>
        <w:lang w:val="en-us" w:eastAsia="en-us" w:bidi="en-us"/>
      </w:rPr>
    </w:lvl>
    <w:lvl w:ilvl="7">
      <w:start w:val="0"/>
      <w:numFmt w:val="bullet"/>
      <w:lvlText w:val="•"/>
      <w:lvlJc w:val="left"/>
      <w:pPr>
        <w:ind w:left="8074" w:hanging="341"/>
      </w:pPr>
      <w:rPr>
        <w:rFonts w:hint="default"/>
        <w:lang w:val="en-us" w:eastAsia="en-us" w:bidi="en-us"/>
      </w:rPr>
    </w:lvl>
    <w:lvl w:ilvl="8">
      <w:start w:val="0"/>
      <w:numFmt w:val="bullet"/>
      <w:lvlText w:val="•"/>
      <w:lvlJc w:val="left"/>
      <w:pPr>
        <w:ind w:left="8966" w:hanging="341"/>
      </w:pPr>
      <w:rPr>
        <w:rFonts w:hint="default"/>
        <w:lang w:val="en-us" w:eastAsia="en-us" w:bidi="en-us"/>
      </w:rPr>
    </w:lvl>
  </w:abstractNum>
  <w:abstractNum w:abstractNumId="198">
    <w:multiLevelType w:val="hybridMultilevel"/>
    <w:lvl w:ilvl="0">
      <w:start w:val="1"/>
      <w:numFmt w:val="decimal"/>
      <w:lvlText w:val="%1"/>
      <w:lvlJc w:val="left"/>
      <w:pPr>
        <w:ind w:left="1238" w:hanging="794"/>
        <w:jc w:val="right"/>
      </w:pPr>
      <w:rPr>
        <w:rFonts w:hint="default" w:ascii="Calibri" w:hAnsi="Calibri" w:eastAsia="Calibri" w:cs="Calibri"/>
        <w:w w:val="109"/>
        <w:sz w:val="13"/>
        <w:szCs w:val="13"/>
        <w:lang w:val="en-us" w:eastAsia="en-us" w:bidi="en-us"/>
      </w:rPr>
    </w:lvl>
    <w:lvl w:ilvl="1">
      <w:start w:val="0"/>
      <w:numFmt w:val="bullet"/>
      <w:lvlText w:val="•"/>
      <w:lvlJc w:val="left"/>
      <w:pPr>
        <w:ind w:left="2192" w:hanging="794"/>
      </w:pPr>
      <w:rPr>
        <w:rFonts w:hint="default"/>
        <w:lang w:val="en-us" w:eastAsia="en-us" w:bidi="en-us"/>
      </w:rPr>
    </w:lvl>
    <w:lvl w:ilvl="2">
      <w:start w:val="0"/>
      <w:numFmt w:val="bullet"/>
      <w:lvlText w:val="•"/>
      <w:lvlJc w:val="left"/>
      <w:pPr>
        <w:ind w:left="3144" w:hanging="794"/>
      </w:pPr>
      <w:rPr>
        <w:rFonts w:hint="default"/>
        <w:lang w:val="en-us" w:eastAsia="en-us" w:bidi="en-us"/>
      </w:rPr>
    </w:lvl>
    <w:lvl w:ilvl="3">
      <w:start w:val="0"/>
      <w:numFmt w:val="bullet"/>
      <w:lvlText w:val="•"/>
      <w:lvlJc w:val="left"/>
      <w:pPr>
        <w:ind w:left="4097" w:hanging="794"/>
      </w:pPr>
      <w:rPr>
        <w:rFonts w:hint="default"/>
        <w:lang w:val="en-us" w:eastAsia="en-us" w:bidi="en-us"/>
      </w:rPr>
    </w:lvl>
    <w:lvl w:ilvl="4">
      <w:start w:val="0"/>
      <w:numFmt w:val="bullet"/>
      <w:lvlText w:val="•"/>
      <w:lvlJc w:val="left"/>
      <w:pPr>
        <w:ind w:left="5049" w:hanging="794"/>
      </w:pPr>
      <w:rPr>
        <w:rFonts w:hint="default"/>
        <w:lang w:val="en-us" w:eastAsia="en-us" w:bidi="en-us"/>
      </w:rPr>
    </w:lvl>
    <w:lvl w:ilvl="5">
      <w:start w:val="0"/>
      <w:numFmt w:val="bullet"/>
      <w:lvlText w:val="•"/>
      <w:lvlJc w:val="left"/>
      <w:pPr>
        <w:ind w:left="6001" w:hanging="794"/>
      </w:pPr>
      <w:rPr>
        <w:rFonts w:hint="default"/>
        <w:lang w:val="en-us" w:eastAsia="en-us" w:bidi="en-us"/>
      </w:rPr>
    </w:lvl>
    <w:lvl w:ilvl="6">
      <w:start w:val="0"/>
      <w:numFmt w:val="bullet"/>
      <w:lvlText w:val="•"/>
      <w:lvlJc w:val="left"/>
      <w:pPr>
        <w:ind w:left="6954" w:hanging="794"/>
      </w:pPr>
      <w:rPr>
        <w:rFonts w:hint="default"/>
        <w:lang w:val="en-us" w:eastAsia="en-us" w:bidi="en-us"/>
      </w:rPr>
    </w:lvl>
    <w:lvl w:ilvl="7">
      <w:start w:val="0"/>
      <w:numFmt w:val="bullet"/>
      <w:lvlText w:val="•"/>
      <w:lvlJc w:val="left"/>
      <w:pPr>
        <w:ind w:left="7906" w:hanging="794"/>
      </w:pPr>
      <w:rPr>
        <w:rFonts w:hint="default"/>
        <w:lang w:val="en-us" w:eastAsia="en-us" w:bidi="en-us"/>
      </w:rPr>
    </w:lvl>
    <w:lvl w:ilvl="8">
      <w:start w:val="0"/>
      <w:numFmt w:val="bullet"/>
      <w:lvlText w:val="•"/>
      <w:lvlJc w:val="left"/>
      <w:pPr>
        <w:ind w:left="8858" w:hanging="794"/>
      </w:pPr>
      <w:rPr>
        <w:rFonts w:hint="default"/>
        <w:lang w:val="en-us" w:eastAsia="en-us" w:bidi="en-us"/>
      </w:rPr>
    </w:lvl>
  </w:abstractNum>
  <w:abstractNum w:abstractNumId="197">
    <w:multiLevelType w:val="hybridMultilevel"/>
    <w:lvl w:ilvl="0">
      <w:start w:val="1"/>
      <w:numFmt w:val="lowerLetter"/>
      <w:lvlText w:val="%1)"/>
      <w:lvlJc w:val="left"/>
      <w:pPr>
        <w:ind w:left="2721" w:hanging="341"/>
        <w:jc w:val="left"/>
      </w:pPr>
      <w:rPr>
        <w:rFonts w:hint="default" w:ascii="Calibri" w:hAnsi="Calibri" w:eastAsia="Calibri" w:cs="Calibri"/>
        <w:spacing w:val="0"/>
        <w:w w:val="91"/>
        <w:sz w:val="21"/>
        <w:szCs w:val="21"/>
        <w:lang w:val="en-us" w:eastAsia="en-us" w:bidi="en-us"/>
      </w:rPr>
    </w:lvl>
    <w:lvl w:ilvl="1">
      <w:start w:val="0"/>
      <w:numFmt w:val="bullet"/>
      <w:lvlText w:val="•"/>
      <w:lvlJc w:val="left"/>
      <w:pPr>
        <w:ind w:left="3638" w:hanging="341"/>
      </w:pPr>
      <w:rPr>
        <w:rFonts w:hint="default"/>
        <w:lang w:val="en-us" w:eastAsia="en-us" w:bidi="en-us"/>
      </w:rPr>
    </w:lvl>
    <w:lvl w:ilvl="2">
      <w:start w:val="0"/>
      <w:numFmt w:val="bullet"/>
      <w:lvlText w:val="•"/>
      <w:lvlJc w:val="left"/>
      <w:pPr>
        <w:ind w:left="4557" w:hanging="341"/>
      </w:pPr>
      <w:rPr>
        <w:rFonts w:hint="default"/>
        <w:lang w:val="en-us" w:eastAsia="en-us" w:bidi="en-us"/>
      </w:rPr>
    </w:lvl>
    <w:lvl w:ilvl="3">
      <w:start w:val="0"/>
      <w:numFmt w:val="bullet"/>
      <w:lvlText w:val="•"/>
      <w:lvlJc w:val="left"/>
      <w:pPr>
        <w:ind w:left="5475" w:hanging="341"/>
      </w:pPr>
      <w:rPr>
        <w:rFonts w:hint="default"/>
        <w:lang w:val="en-us" w:eastAsia="en-us" w:bidi="en-us"/>
      </w:rPr>
    </w:lvl>
    <w:lvl w:ilvl="4">
      <w:start w:val="0"/>
      <w:numFmt w:val="bullet"/>
      <w:lvlText w:val="•"/>
      <w:lvlJc w:val="left"/>
      <w:pPr>
        <w:ind w:left="6394" w:hanging="341"/>
      </w:pPr>
      <w:rPr>
        <w:rFonts w:hint="default"/>
        <w:lang w:val="en-us" w:eastAsia="en-us" w:bidi="en-us"/>
      </w:rPr>
    </w:lvl>
    <w:lvl w:ilvl="5">
      <w:start w:val="0"/>
      <w:numFmt w:val="bullet"/>
      <w:lvlText w:val="•"/>
      <w:lvlJc w:val="left"/>
      <w:pPr>
        <w:ind w:left="7312" w:hanging="341"/>
      </w:pPr>
      <w:rPr>
        <w:rFonts w:hint="default"/>
        <w:lang w:val="en-us" w:eastAsia="en-us" w:bidi="en-us"/>
      </w:rPr>
    </w:lvl>
    <w:lvl w:ilvl="6">
      <w:start w:val="0"/>
      <w:numFmt w:val="bullet"/>
      <w:lvlText w:val="•"/>
      <w:lvlJc w:val="left"/>
      <w:pPr>
        <w:ind w:left="8231" w:hanging="341"/>
      </w:pPr>
      <w:rPr>
        <w:rFonts w:hint="default"/>
        <w:lang w:val="en-us" w:eastAsia="en-us" w:bidi="en-us"/>
      </w:rPr>
    </w:lvl>
    <w:lvl w:ilvl="7">
      <w:start w:val="0"/>
      <w:numFmt w:val="bullet"/>
      <w:lvlText w:val="•"/>
      <w:lvlJc w:val="left"/>
      <w:pPr>
        <w:ind w:left="9149" w:hanging="341"/>
      </w:pPr>
      <w:rPr>
        <w:rFonts w:hint="default"/>
        <w:lang w:val="en-us" w:eastAsia="en-us" w:bidi="en-us"/>
      </w:rPr>
    </w:lvl>
    <w:lvl w:ilvl="8">
      <w:start w:val="0"/>
      <w:numFmt w:val="bullet"/>
      <w:lvlText w:val="•"/>
      <w:lvlJc w:val="left"/>
      <w:pPr>
        <w:ind w:left="10068" w:hanging="341"/>
      </w:pPr>
      <w:rPr>
        <w:rFonts w:hint="default"/>
        <w:lang w:val="en-us" w:eastAsia="en-us" w:bidi="en-us"/>
      </w:rPr>
    </w:lvl>
  </w:abstractNum>
  <w:abstractNum w:abstractNumId="196">
    <w:multiLevelType w:val="hybridMultilevel"/>
    <w:lvl w:ilvl="0">
      <w:start w:val="53"/>
      <w:numFmt w:val="decimal"/>
      <w:lvlText w:val="%1"/>
      <w:lvlJc w:val="left"/>
      <w:pPr>
        <w:ind w:left="793" w:hanging="567"/>
        <w:jc w:val="left"/>
      </w:pPr>
      <w:rPr>
        <w:rFonts w:hint="default" w:ascii="Calibri" w:hAnsi="Calibri" w:eastAsia="Calibri" w:cs="Calibri"/>
        <w:b/>
        <w:bCs/>
        <w:spacing w:val="-2"/>
        <w:w w:val="109"/>
        <w:sz w:val="21"/>
        <w:szCs w:val="21"/>
        <w:lang w:val="en-us" w:eastAsia="en-us" w:bidi="en-us"/>
      </w:rPr>
    </w:lvl>
    <w:lvl w:ilvl="1">
      <w:start w:val="0"/>
      <w:numFmt w:val="bullet"/>
      <w:lvlText w:val="•"/>
      <w:lvlJc w:val="left"/>
      <w:pPr>
        <w:ind w:left="1593" w:hanging="567"/>
      </w:pPr>
      <w:rPr>
        <w:rFonts w:hint="default"/>
        <w:lang w:val="en-us" w:eastAsia="en-us" w:bidi="en-us"/>
      </w:rPr>
    </w:lvl>
    <w:lvl w:ilvl="2">
      <w:start w:val="0"/>
      <w:numFmt w:val="bullet"/>
      <w:lvlText w:val="•"/>
      <w:lvlJc w:val="left"/>
      <w:pPr>
        <w:ind w:left="2386" w:hanging="567"/>
      </w:pPr>
      <w:rPr>
        <w:rFonts w:hint="default"/>
        <w:lang w:val="en-us" w:eastAsia="en-us" w:bidi="en-us"/>
      </w:rPr>
    </w:lvl>
    <w:lvl w:ilvl="3">
      <w:start w:val="0"/>
      <w:numFmt w:val="bullet"/>
      <w:lvlText w:val="•"/>
      <w:lvlJc w:val="left"/>
      <w:pPr>
        <w:ind w:left="3179" w:hanging="567"/>
      </w:pPr>
      <w:rPr>
        <w:rFonts w:hint="default"/>
        <w:lang w:val="en-us" w:eastAsia="en-us" w:bidi="en-us"/>
      </w:rPr>
    </w:lvl>
    <w:lvl w:ilvl="4">
      <w:start w:val="0"/>
      <w:numFmt w:val="bullet"/>
      <w:lvlText w:val="•"/>
      <w:lvlJc w:val="left"/>
      <w:pPr>
        <w:ind w:left="3972" w:hanging="567"/>
      </w:pPr>
      <w:rPr>
        <w:rFonts w:hint="default"/>
        <w:lang w:val="en-us" w:eastAsia="en-us" w:bidi="en-us"/>
      </w:rPr>
    </w:lvl>
    <w:lvl w:ilvl="5">
      <w:start w:val="0"/>
      <w:numFmt w:val="bullet"/>
      <w:lvlText w:val="•"/>
      <w:lvlJc w:val="left"/>
      <w:pPr>
        <w:ind w:left="4765" w:hanging="567"/>
      </w:pPr>
      <w:rPr>
        <w:rFonts w:hint="default"/>
        <w:lang w:val="en-us" w:eastAsia="en-us" w:bidi="en-us"/>
      </w:rPr>
    </w:lvl>
    <w:lvl w:ilvl="6">
      <w:start w:val="0"/>
      <w:numFmt w:val="bullet"/>
      <w:lvlText w:val="•"/>
      <w:lvlJc w:val="left"/>
      <w:pPr>
        <w:ind w:left="5558" w:hanging="567"/>
      </w:pPr>
      <w:rPr>
        <w:rFonts w:hint="default"/>
        <w:lang w:val="en-us" w:eastAsia="en-us" w:bidi="en-us"/>
      </w:rPr>
    </w:lvl>
    <w:lvl w:ilvl="7">
      <w:start w:val="0"/>
      <w:numFmt w:val="bullet"/>
      <w:lvlText w:val="•"/>
      <w:lvlJc w:val="left"/>
      <w:pPr>
        <w:ind w:left="6351" w:hanging="567"/>
      </w:pPr>
      <w:rPr>
        <w:rFonts w:hint="default"/>
        <w:lang w:val="en-us" w:eastAsia="en-us" w:bidi="en-us"/>
      </w:rPr>
    </w:lvl>
    <w:lvl w:ilvl="8">
      <w:start w:val="0"/>
      <w:numFmt w:val="bullet"/>
      <w:lvlText w:val="•"/>
      <w:lvlJc w:val="left"/>
      <w:pPr>
        <w:ind w:left="7144" w:hanging="567"/>
      </w:pPr>
      <w:rPr>
        <w:rFonts w:hint="default"/>
        <w:lang w:val="en-us" w:eastAsia="en-us" w:bidi="en-us"/>
      </w:rPr>
    </w:lvl>
  </w:abstractNum>
  <w:abstractNum w:abstractNumId="195">
    <w:multiLevelType w:val="hybridMultilevel"/>
    <w:lvl w:ilvl="0">
      <w:start w:val="108"/>
      <w:numFmt w:val="decimal"/>
      <w:lvlText w:val="%1"/>
      <w:lvlJc w:val="left"/>
      <w:pPr>
        <w:ind w:left="2381" w:hanging="794"/>
        <w:jc w:val="right"/>
      </w:pPr>
      <w:rPr>
        <w:rFonts w:hint="default" w:ascii="Calibri" w:hAnsi="Calibri" w:eastAsia="Calibri" w:cs="Calibri"/>
        <w:spacing w:val="-4"/>
        <w:w w:val="109"/>
        <w:sz w:val="13"/>
        <w:szCs w:val="13"/>
        <w:lang w:val="en-us" w:eastAsia="en-us" w:bidi="en-us"/>
      </w:rPr>
    </w:lvl>
    <w:lvl w:ilvl="1">
      <w:start w:val="0"/>
      <w:numFmt w:val="bullet"/>
      <w:lvlText w:val="•"/>
      <w:lvlJc w:val="left"/>
      <w:pPr>
        <w:ind w:left="3166" w:hanging="794"/>
      </w:pPr>
      <w:rPr>
        <w:rFonts w:hint="default"/>
        <w:lang w:val="en-us" w:eastAsia="en-us" w:bidi="en-us"/>
      </w:rPr>
    </w:lvl>
    <w:lvl w:ilvl="2">
      <w:start w:val="0"/>
      <w:numFmt w:val="bullet"/>
      <w:lvlText w:val="•"/>
      <w:lvlJc w:val="left"/>
      <w:pPr>
        <w:ind w:left="3953" w:hanging="794"/>
      </w:pPr>
      <w:rPr>
        <w:rFonts w:hint="default"/>
        <w:lang w:val="en-us" w:eastAsia="en-us" w:bidi="en-us"/>
      </w:rPr>
    </w:lvl>
    <w:lvl w:ilvl="3">
      <w:start w:val="0"/>
      <w:numFmt w:val="bullet"/>
      <w:lvlText w:val="•"/>
      <w:lvlJc w:val="left"/>
      <w:pPr>
        <w:ind w:left="4740" w:hanging="794"/>
      </w:pPr>
      <w:rPr>
        <w:rFonts w:hint="default"/>
        <w:lang w:val="en-us" w:eastAsia="en-us" w:bidi="en-us"/>
      </w:rPr>
    </w:lvl>
    <w:lvl w:ilvl="4">
      <w:start w:val="0"/>
      <w:numFmt w:val="bullet"/>
      <w:lvlText w:val="•"/>
      <w:lvlJc w:val="left"/>
      <w:pPr>
        <w:ind w:left="5527" w:hanging="794"/>
      </w:pPr>
      <w:rPr>
        <w:rFonts w:hint="default"/>
        <w:lang w:val="en-us" w:eastAsia="en-us" w:bidi="en-us"/>
      </w:rPr>
    </w:lvl>
    <w:lvl w:ilvl="5">
      <w:start w:val="0"/>
      <w:numFmt w:val="bullet"/>
      <w:lvlText w:val="•"/>
      <w:lvlJc w:val="left"/>
      <w:pPr>
        <w:ind w:left="6314" w:hanging="794"/>
      </w:pPr>
      <w:rPr>
        <w:rFonts w:hint="default"/>
        <w:lang w:val="en-us" w:eastAsia="en-us" w:bidi="en-us"/>
      </w:rPr>
    </w:lvl>
    <w:lvl w:ilvl="6">
      <w:start w:val="0"/>
      <w:numFmt w:val="bullet"/>
      <w:lvlText w:val="•"/>
      <w:lvlJc w:val="left"/>
      <w:pPr>
        <w:ind w:left="7101" w:hanging="794"/>
      </w:pPr>
      <w:rPr>
        <w:rFonts w:hint="default"/>
        <w:lang w:val="en-us" w:eastAsia="en-us" w:bidi="en-us"/>
      </w:rPr>
    </w:lvl>
    <w:lvl w:ilvl="7">
      <w:start w:val="0"/>
      <w:numFmt w:val="bullet"/>
      <w:lvlText w:val="•"/>
      <w:lvlJc w:val="left"/>
      <w:pPr>
        <w:ind w:left="7888" w:hanging="794"/>
      </w:pPr>
      <w:rPr>
        <w:rFonts w:hint="default"/>
        <w:lang w:val="en-us" w:eastAsia="en-us" w:bidi="en-us"/>
      </w:rPr>
    </w:lvl>
    <w:lvl w:ilvl="8">
      <w:start w:val="0"/>
      <w:numFmt w:val="bullet"/>
      <w:lvlText w:val="•"/>
      <w:lvlJc w:val="left"/>
      <w:pPr>
        <w:ind w:left="8675" w:hanging="794"/>
      </w:pPr>
      <w:rPr>
        <w:rFonts w:hint="default"/>
        <w:lang w:val="en-us" w:eastAsia="en-us" w:bidi="en-us"/>
      </w:rPr>
    </w:lvl>
  </w:abstractNum>
  <w:abstractNum w:abstractNumId="194">
    <w:multiLevelType w:val="hybridMultilevel"/>
    <w:lvl w:ilvl="0">
      <w:start w:val="51"/>
      <w:numFmt w:val="decimal"/>
      <w:lvlText w:val="%1"/>
      <w:lvlJc w:val="left"/>
      <w:pPr>
        <w:ind w:left="793" w:hanging="567"/>
        <w:jc w:val="left"/>
      </w:pPr>
      <w:rPr>
        <w:rFonts w:hint="default" w:ascii="Calibri" w:hAnsi="Calibri" w:eastAsia="Calibri" w:cs="Calibri"/>
        <w:b/>
        <w:bCs/>
        <w:spacing w:val="-10"/>
        <w:w w:val="109"/>
        <w:sz w:val="21"/>
        <w:szCs w:val="21"/>
        <w:lang w:val="en-us" w:eastAsia="en-us" w:bidi="en-us"/>
      </w:rPr>
    </w:lvl>
    <w:lvl w:ilvl="1">
      <w:start w:val="0"/>
      <w:numFmt w:val="bullet"/>
      <w:lvlText w:val="•"/>
      <w:lvlJc w:val="left"/>
      <w:pPr>
        <w:ind w:left="1593" w:hanging="567"/>
      </w:pPr>
      <w:rPr>
        <w:rFonts w:hint="default"/>
        <w:lang w:val="en-us" w:eastAsia="en-us" w:bidi="en-us"/>
      </w:rPr>
    </w:lvl>
    <w:lvl w:ilvl="2">
      <w:start w:val="0"/>
      <w:numFmt w:val="bullet"/>
      <w:lvlText w:val="•"/>
      <w:lvlJc w:val="left"/>
      <w:pPr>
        <w:ind w:left="2386" w:hanging="567"/>
      </w:pPr>
      <w:rPr>
        <w:rFonts w:hint="default"/>
        <w:lang w:val="en-us" w:eastAsia="en-us" w:bidi="en-us"/>
      </w:rPr>
    </w:lvl>
    <w:lvl w:ilvl="3">
      <w:start w:val="0"/>
      <w:numFmt w:val="bullet"/>
      <w:lvlText w:val="•"/>
      <w:lvlJc w:val="left"/>
      <w:pPr>
        <w:ind w:left="3179" w:hanging="567"/>
      </w:pPr>
      <w:rPr>
        <w:rFonts w:hint="default"/>
        <w:lang w:val="en-us" w:eastAsia="en-us" w:bidi="en-us"/>
      </w:rPr>
    </w:lvl>
    <w:lvl w:ilvl="4">
      <w:start w:val="0"/>
      <w:numFmt w:val="bullet"/>
      <w:lvlText w:val="•"/>
      <w:lvlJc w:val="left"/>
      <w:pPr>
        <w:ind w:left="3972" w:hanging="567"/>
      </w:pPr>
      <w:rPr>
        <w:rFonts w:hint="default"/>
        <w:lang w:val="en-us" w:eastAsia="en-us" w:bidi="en-us"/>
      </w:rPr>
    </w:lvl>
    <w:lvl w:ilvl="5">
      <w:start w:val="0"/>
      <w:numFmt w:val="bullet"/>
      <w:lvlText w:val="•"/>
      <w:lvlJc w:val="left"/>
      <w:pPr>
        <w:ind w:left="4765" w:hanging="567"/>
      </w:pPr>
      <w:rPr>
        <w:rFonts w:hint="default"/>
        <w:lang w:val="en-us" w:eastAsia="en-us" w:bidi="en-us"/>
      </w:rPr>
    </w:lvl>
    <w:lvl w:ilvl="6">
      <w:start w:val="0"/>
      <w:numFmt w:val="bullet"/>
      <w:lvlText w:val="•"/>
      <w:lvlJc w:val="left"/>
      <w:pPr>
        <w:ind w:left="5558" w:hanging="567"/>
      </w:pPr>
      <w:rPr>
        <w:rFonts w:hint="default"/>
        <w:lang w:val="en-us" w:eastAsia="en-us" w:bidi="en-us"/>
      </w:rPr>
    </w:lvl>
    <w:lvl w:ilvl="7">
      <w:start w:val="0"/>
      <w:numFmt w:val="bullet"/>
      <w:lvlText w:val="•"/>
      <w:lvlJc w:val="left"/>
      <w:pPr>
        <w:ind w:left="6351" w:hanging="567"/>
      </w:pPr>
      <w:rPr>
        <w:rFonts w:hint="default"/>
        <w:lang w:val="en-us" w:eastAsia="en-us" w:bidi="en-us"/>
      </w:rPr>
    </w:lvl>
    <w:lvl w:ilvl="8">
      <w:start w:val="0"/>
      <w:numFmt w:val="bullet"/>
      <w:lvlText w:val="•"/>
      <w:lvlJc w:val="left"/>
      <w:pPr>
        <w:ind w:left="7144" w:hanging="567"/>
      </w:pPr>
      <w:rPr>
        <w:rFonts w:hint="default"/>
        <w:lang w:val="en-us" w:eastAsia="en-us" w:bidi="en-us"/>
      </w:rPr>
    </w:lvl>
  </w:abstractNum>
  <w:abstractNum w:abstractNumId="193">
    <w:multiLevelType w:val="hybridMultilevel"/>
    <w:lvl w:ilvl="0">
      <w:start w:val="48"/>
      <w:numFmt w:val="decimal"/>
      <w:lvlText w:val="%1"/>
      <w:lvlJc w:val="left"/>
      <w:pPr>
        <w:ind w:left="793" w:hanging="567"/>
        <w:jc w:val="left"/>
      </w:pPr>
      <w:rPr>
        <w:rFonts w:hint="default" w:ascii="Calibri" w:hAnsi="Calibri" w:eastAsia="Calibri" w:cs="Calibri"/>
        <w:b/>
        <w:bCs/>
        <w:spacing w:val="0"/>
        <w:w w:val="109"/>
        <w:sz w:val="21"/>
        <w:szCs w:val="21"/>
        <w:lang w:val="en-us" w:eastAsia="en-us" w:bidi="en-us"/>
      </w:rPr>
    </w:lvl>
    <w:lvl w:ilvl="1">
      <w:start w:val="0"/>
      <w:numFmt w:val="bullet"/>
      <w:lvlText w:val="•"/>
      <w:lvlJc w:val="left"/>
      <w:pPr>
        <w:ind w:left="1593" w:hanging="567"/>
      </w:pPr>
      <w:rPr>
        <w:rFonts w:hint="default"/>
        <w:lang w:val="en-us" w:eastAsia="en-us" w:bidi="en-us"/>
      </w:rPr>
    </w:lvl>
    <w:lvl w:ilvl="2">
      <w:start w:val="0"/>
      <w:numFmt w:val="bullet"/>
      <w:lvlText w:val="•"/>
      <w:lvlJc w:val="left"/>
      <w:pPr>
        <w:ind w:left="2386" w:hanging="567"/>
      </w:pPr>
      <w:rPr>
        <w:rFonts w:hint="default"/>
        <w:lang w:val="en-us" w:eastAsia="en-us" w:bidi="en-us"/>
      </w:rPr>
    </w:lvl>
    <w:lvl w:ilvl="3">
      <w:start w:val="0"/>
      <w:numFmt w:val="bullet"/>
      <w:lvlText w:val="•"/>
      <w:lvlJc w:val="left"/>
      <w:pPr>
        <w:ind w:left="3179" w:hanging="567"/>
      </w:pPr>
      <w:rPr>
        <w:rFonts w:hint="default"/>
        <w:lang w:val="en-us" w:eastAsia="en-us" w:bidi="en-us"/>
      </w:rPr>
    </w:lvl>
    <w:lvl w:ilvl="4">
      <w:start w:val="0"/>
      <w:numFmt w:val="bullet"/>
      <w:lvlText w:val="•"/>
      <w:lvlJc w:val="left"/>
      <w:pPr>
        <w:ind w:left="3972" w:hanging="567"/>
      </w:pPr>
      <w:rPr>
        <w:rFonts w:hint="default"/>
        <w:lang w:val="en-us" w:eastAsia="en-us" w:bidi="en-us"/>
      </w:rPr>
    </w:lvl>
    <w:lvl w:ilvl="5">
      <w:start w:val="0"/>
      <w:numFmt w:val="bullet"/>
      <w:lvlText w:val="•"/>
      <w:lvlJc w:val="left"/>
      <w:pPr>
        <w:ind w:left="4765" w:hanging="567"/>
      </w:pPr>
      <w:rPr>
        <w:rFonts w:hint="default"/>
        <w:lang w:val="en-us" w:eastAsia="en-us" w:bidi="en-us"/>
      </w:rPr>
    </w:lvl>
    <w:lvl w:ilvl="6">
      <w:start w:val="0"/>
      <w:numFmt w:val="bullet"/>
      <w:lvlText w:val="•"/>
      <w:lvlJc w:val="left"/>
      <w:pPr>
        <w:ind w:left="5558" w:hanging="567"/>
      </w:pPr>
      <w:rPr>
        <w:rFonts w:hint="default"/>
        <w:lang w:val="en-us" w:eastAsia="en-us" w:bidi="en-us"/>
      </w:rPr>
    </w:lvl>
    <w:lvl w:ilvl="7">
      <w:start w:val="0"/>
      <w:numFmt w:val="bullet"/>
      <w:lvlText w:val="•"/>
      <w:lvlJc w:val="left"/>
      <w:pPr>
        <w:ind w:left="6351" w:hanging="567"/>
      </w:pPr>
      <w:rPr>
        <w:rFonts w:hint="default"/>
        <w:lang w:val="en-us" w:eastAsia="en-us" w:bidi="en-us"/>
      </w:rPr>
    </w:lvl>
    <w:lvl w:ilvl="8">
      <w:start w:val="0"/>
      <w:numFmt w:val="bullet"/>
      <w:lvlText w:val="•"/>
      <w:lvlJc w:val="left"/>
      <w:pPr>
        <w:ind w:left="7144" w:hanging="567"/>
      </w:pPr>
      <w:rPr>
        <w:rFonts w:hint="default"/>
        <w:lang w:val="en-us" w:eastAsia="en-us" w:bidi="en-us"/>
      </w:rPr>
    </w:lvl>
  </w:abstractNum>
  <w:abstractNum w:abstractNumId="192">
    <w:multiLevelType w:val="hybridMultilevel"/>
    <w:lvl w:ilvl="0">
      <w:start w:val="41"/>
      <w:numFmt w:val="decimal"/>
      <w:lvlText w:val="%1"/>
      <w:lvlJc w:val="left"/>
      <w:pPr>
        <w:ind w:left="1218" w:hanging="794"/>
        <w:jc w:val="right"/>
      </w:pPr>
      <w:rPr>
        <w:rFonts w:hint="default" w:ascii="Calibri" w:hAnsi="Calibri" w:eastAsia="Calibri" w:cs="Calibri"/>
        <w:spacing w:val="-6"/>
        <w:w w:val="109"/>
        <w:sz w:val="13"/>
        <w:szCs w:val="13"/>
        <w:lang w:val="en-us" w:eastAsia="en-us" w:bidi="en-us"/>
      </w:rPr>
    </w:lvl>
    <w:lvl w:ilvl="1">
      <w:start w:val="0"/>
      <w:numFmt w:val="bullet"/>
      <w:lvlText w:val="•"/>
      <w:lvlJc w:val="left"/>
      <w:pPr>
        <w:ind w:left="2380" w:hanging="794"/>
      </w:pPr>
      <w:rPr>
        <w:rFonts w:hint="default"/>
        <w:lang w:val="en-us" w:eastAsia="en-us" w:bidi="en-us"/>
      </w:rPr>
    </w:lvl>
    <w:lvl w:ilvl="2">
      <w:start w:val="0"/>
      <w:numFmt w:val="bullet"/>
      <w:lvlText w:val="•"/>
      <w:lvlJc w:val="left"/>
      <w:pPr>
        <w:ind w:left="3114" w:hanging="794"/>
      </w:pPr>
      <w:rPr>
        <w:rFonts w:hint="default"/>
        <w:lang w:val="en-us" w:eastAsia="en-us" w:bidi="en-us"/>
      </w:rPr>
    </w:lvl>
    <w:lvl w:ilvl="3">
      <w:start w:val="0"/>
      <w:numFmt w:val="bullet"/>
      <w:lvlText w:val="•"/>
      <w:lvlJc w:val="left"/>
      <w:pPr>
        <w:ind w:left="3848" w:hanging="794"/>
      </w:pPr>
      <w:rPr>
        <w:rFonts w:hint="default"/>
        <w:lang w:val="en-us" w:eastAsia="en-us" w:bidi="en-us"/>
      </w:rPr>
    </w:lvl>
    <w:lvl w:ilvl="4">
      <w:start w:val="0"/>
      <w:numFmt w:val="bullet"/>
      <w:lvlText w:val="•"/>
      <w:lvlJc w:val="left"/>
      <w:pPr>
        <w:ind w:left="4582" w:hanging="794"/>
      </w:pPr>
      <w:rPr>
        <w:rFonts w:hint="default"/>
        <w:lang w:val="en-us" w:eastAsia="en-us" w:bidi="en-us"/>
      </w:rPr>
    </w:lvl>
    <w:lvl w:ilvl="5">
      <w:start w:val="0"/>
      <w:numFmt w:val="bullet"/>
      <w:lvlText w:val="•"/>
      <w:lvlJc w:val="left"/>
      <w:pPr>
        <w:ind w:left="5316" w:hanging="794"/>
      </w:pPr>
      <w:rPr>
        <w:rFonts w:hint="default"/>
        <w:lang w:val="en-us" w:eastAsia="en-us" w:bidi="en-us"/>
      </w:rPr>
    </w:lvl>
    <w:lvl w:ilvl="6">
      <w:start w:val="0"/>
      <w:numFmt w:val="bullet"/>
      <w:lvlText w:val="•"/>
      <w:lvlJc w:val="left"/>
      <w:pPr>
        <w:ind w:left="6050" w:hanging="794"/>
      </w:pPr>
      <w:rPr>
        <w:rFonts w:hint="default"/>
        <w:lang w:val="en-us" w:eastAsia="en-us" w:bidi="en-us"/>
      </w:rPr>
    </w:lvl>
    <w:lvl w:ilvl="7">
      <w:start w:val="0"/>
      <w:numFmt w:val="bullet"/>
      <w:lvlText w:val="•"/>
      <w:lvlJc w:val="left"/>
      <w:pPr>
        <w:ind w:left="6784" w:hanging="794"/>
      </w:pPr>
      <w:rPr>
        <w:rFonts w:hint="default"/>
        <w:lang w:val="en-us" w:eastAsia="en-us" w:bidi="en-us"/>
      </w:rPr>
    </w:lvl>
    <w:lvl w:ilvl="8">
      <w:start w:val="0"/>
      <w:numFmt w:val="bullet"/>
      <w:lvlText w:val="•"/>
      <w:lvlJc w:val="left"/>
      <w:pPr>
        <w:ind w:left="7518" w:hanging="794"/>
      </w:pPr>
      <w:rPr>
        <w:rFonts w:hint="default"/>
        <w:lang w:val="en-us" w:eastAsia="en-us" w:bidi="en-us"/>
      </w:rPr>
    </w:lvl>
  </w:abstractNum>
  <w:abstractNum w:abstractNumId="191">
    <w:multiLevelType w:val="hybridMultilevel"/>
    <w:lvl w:ilvl="0">
      <w:start w:val="32"/>
      <w:numFmt w:val="decimal"/>
      <w:lvlText w:val="%1"/>
      <w:lvlJc w:val="left"/>
      <w:pPr>
        <w:ind w:left="2381" w:hanging="794"/>
        <w:jc w:val="left"/>
      </w:pPr>
      <w:rPr>
        <w:rFonts w:hint="default" w:ascii="Calibri" w:hAnsi="Calibri" w:eastAsia="Calibri" w:cs="Calibri"/>
        <w:spacing w:val="-1"/>
        <w:w w:val="109"/>
        <w:sz w:val="13"/>
        <w:szCs w:val="13"/>
        <w:lang w:val="en-us" w:eastAsia="en-us" w:bidi="en-us"/>
      </w:rPr>
    </w:lvl>
    <w:lvl w:ilvl="1">
      <w:start w:val="0"/>
      <w:numFmt w:val="bullet"/>
      <w:lvlText w:val="•"/>
      <w:lvlJc w:val="left"/>
      <w:pPr>
        <w:ind w:left="3167" w:hanging="794"/>
      </w:pPr>
      <w:rPr>
        <w:rFonts w:hint="default"/>
        <w:lang w:val="en-us" w:eastAsia="en-us" w:bidi="en-us"/>
      </w:rPr>
    </w:lvl>
    <w:lvl w:ilvl="2">
      <w:start w:val="0"/>
      <w:numFmt w:val="bullet"/>
      <w:lvlText w:val="•"/>
      <w:lvlJc w:val="left"/>
      <w:pPr>
        <w:ind w:left="3955" w:hanging="794"/>
      </w:pPr>
      <w:rPr>
        <w:rFonts w:hint="default"/>
        <w:lang w:val="en-us" w:eastAsia="en-us" w:bidi="en-us"/>
      </w:rPr>
    </w:lvl>
    <w:lvl w:ilvl="3">
      <w:start w:val="0"/>
      <w:numFmt w:val="bullet"/>
      <w:lvlText w:val="•"/>
      <w:lvlJc w:val="left"/>
      <w:pPr>
        <w:ind w:left="4742" w:hanging="794"/>
      </w:pPr>
      <w:rPr>
        <w:rFonts w:hint="default"/>
        <w:lang w:val="en-us" w:eastAsia="en-us" w:bidi="en-us"/>
      </w:rPr>
    </w:lvl>
    <w:lvl w:ilvl="4">
      <w:start w:val="0"/>
      <w:numFmt w:val="bullet"/>
      <w:lvlText w:val="•"/>
      <w:lvlJc w:val="left"/>
      <w:pPr>
        <w:ind w:left="5530" w:hanging="794"/>
      </w:pPr>
      <w:rPr>
        <w:rFonts w:hint="default"/>
        <w:lang w:val="en-us" w:eastAsia="en-us" w:bidi="en-us"/>
      </w:rPr>
    </w:lvl>
    <w:lvl w:ilvl="5">
      <w:start w:val="0"/>
      <w:numFmt w:val="bullet"/>
      <w:lvlText w:val="•"/>
      <w:lvlJc w:val="left"/>
      <w:pPr>
        <w:ind w:left="6317" w:hanging="794"/>
      </w:pPr>
      <w:rPr>
        <w:rFonts w:hint="default"/>
        <w:lang w:val="en-us" w:eastAsia="en-us" w:bidi="en-us"/>
      </w:rPr>
    </w:lvl>
    <w:lvl w:ilvl="6">
      <w:start w:val="0"/>
      <w:numFmt w:val="bullet"/>
      <w:lvlText w:val="•"/>
      <w:lvlJc w:val="left"/>
      <w:pPr>
        <w:ind w:left="7105" w:hanging="794"/>
      </w:pPr>
      <w:rPr>
        <w:rFonts w:hint="default"/>
        <w:lang w:val="en-us" w:eastAsia="en-us" w:bidi="en-us"/>
      </w:rPr>
    </w:lvl>
    <w:lvl w:ilvl="7">
      <w:start w:val="0"/>
      <w:numFmt w:val="bullet"/>
      <w:lvlText w:val="•"/>
      <w:lvlJc w:val="left"/>
      <w:pPr>
        <w:ind w:left="7892" w:hanging="794"/>
      </w:pPr>
      <w:rPr>
        <w:rFonts w:hint="default"/>
        <w:lang w:val="en-us" w:eastAsia="en-us" w:bidi="en-us"/>
      </w:rPr>
    </w:lvl>
    <w:lvl w:ilvl="8">
      <w:start w:val="0"/>
      <w:numFmt w:val="bullet"/>
      <w:lvlText w:val="•"/>
      <w:lvlJc w:val="left"/>
      <w:pPr>
        <w:ind w:left="8680" w:hanging="794"/>
      </w:pPr>
      <w:rPr>
        <w:rFonts w:hint="default"/>
        <w:lang w:val="en-us" w:eastAsia="en-us" w:bidi="en-us"/>
      </w:rPr>
    </w:lvl>
  </w:abstractNum>
  <w:abstractNum w:abstractNumId="190">
    <w:multiLevelType w:val="hybridMultilevel"/>
    <w:lvl w:ilvl="0">
      <w:start w:val="21"/>
      <w:numFmt w:val="decimal"/>
      <w:lvlText w:val="%1"/>
      <w:lvlJc w:val="left"/>
      <w:pPr>
        <w:ind w:left="1223" w:hanging="794"/>
        <w:jc w:val="right"/>
      </w:pPr>
      <w:rPr>
        <w:rFonts w:hint="default" w:ascii="Calibri" w:hAnsi="Calibri" w:eastAsia="Calibri" w:cs="Calibri"/>
        <w:spacing w:val="-5"/>
        <w:w w:val="109"/>
        <w:sz w:val="13"/>
        <w:szCs w:val="13"/>
        <w:lang w:val="en-us" w:eastAsia="en-us" w:bidi="en-us"/>
      </w:rPr>
    </w:lvl>
    <w:lvl w:ilvl="1">
      <w:start w:val="0"/>
      <w:numFmt w:val="bullet"/>
      <w:lvlText w:val="•"/>
      <w:lvlJc w:val="left"/>
      <w:pPr>
        <w:ind w:left="2172" w:hanging="794"/>
      </w:pPr>
      <w:rPr>
        <w:rFonts w:hint="default"/>
        <w:lang w:val="en-us" w:eastAsia="en-us" w:bidi="en-us"/>
      </w:rPr>
    </w:lvl>
    <w:lvl w:ilvl="2">
      <w:start w:val="0"/>
      <w:numFmt w:val="bullet"/>
      <w:lvlText w:val="•"/>
      <w:lvlJc w:val="left"/>
      <w:pPr>
        <w:ind w:left="3125" w:hanging="794"/>
      </w:pPr>
      <w:rPr>
        <w:rFonts w:hint="default"/>
        <w:lang w:val="en-us" w:eastAsia="en-us" w:bidi="en-us"/>
      </w:rPr>
    </w:lvl>
    <w:lvl w:ilvl="3">
      <w:start w:val="0"/>
      <w:numFmt w:val="bullet"/>
      <w:lvlText w:val="•"/>
      <w:lvlJc w:val="left"/>
      <w:pPr>
        <w:ind w:left="4078" w:hanging="794"/>
      </w:pPr>
      <w:rPr>
        <w:rFonts w:hint="default"/>
        <w:lang w:val="en-us" w:eastAsia="en-us" w:bidi="en-us"/>
      </w:rPr>
    </w:lvl>
    <w:lvl w:ilvl="4">
      <w:start w:val="0"/>
      <w:numFmt w:val="bullet"/>
      <w:lvlText w:val="•"/>
      <w:lvlJc w:val="left"/>
      <w:pPr>
        <w:ind w:left="5031" w:hanging="794"/>
      </w:pPr>
      <w:rPr>
        <w:rFonts w:hint="default"/>
        <w:lang w:val="en-us" w:eastAsia="en-us" w:bidi="en-us"/>
      </w:rPr>
    </w:lvl>
    <w:lvl w:ilvl="5">
      <w:start w:val="0"/>
      <w:numFmt w:val="bullet"/>
      <w:lvlText w:val="•"/>
      <w:lvlJc w:val="left"/>
      <w:pPr>
        <w:ind w:left="5983" w:hanging="794"/>
      </w:pPr>
      <w:rPr>
        <w:rFonts w:hint="default"/>
        <w:lang w:val="en-us" w:eastAsia="en-us" w:bidi="en-us"/>
      </w:rPr>
    </w:lvl>
    <w:lvl w:ilvl="6">
      <w:start w:val="0"/>
      <w:numFmt w:val="bullet"/>
      <w:lvlText w:val="•"/>
      <w:lvlJc w:val="left"/>
      <w:pPr>
        <w:ind w:left="6936" w:hanging="794"/>
      </w:pPr>
      <w:rPr>
        <w:rFonts w:hint="default"/>
        <w:lang w:val="en-us" w:eastAsia="en-us" w:bidi="en-us"/>
      </w:rPr>
    </w:lvl>
    <w:lvl w:ilvl="7">
      <w:start w:val="0"/>
      <w:numFmt w:val="bullet"/>
      <w:lvlText w:val="•"/>
      <w:lvlJc w:val="left"/>
      <w:pPr>
        <w:ind w:left="7889" w:hanging="794"/>
      </w:pPr>
      <w:rPr>
        <w:rFonts w:hint="default"/>
        <w:lang w:val="en-us" w:eastAsia="en-us" w:bidi="en-us"/>
      </w:rPr>
    </w:lvl>
    <w:lvl w:ilvl="8">
      <w:start w:val="0"/>
      <w:numFmt w:val="bullet"/>
      <w:lvlText w:val="•"/>
      <w:lvlJc w:val="left"/>
      <w:pPr>
        <w:ind w:left="8842" w:hanging="794"/>
      </w:pPr>
      <w:rPr>
        <w:rFonts w:hint="default"/>
        <w:lang w:val="en-us" w:eastAsia="en-us" w:bidi="en-us"/>
      </w:rPr>
    </w:lvl>
  </w:abstractNum>
  <w:abstractNum w:abstractNumId="189">
    <w:multiLevelType w:val="hybridMultilevel"/>
    <w:lvl w:ilvl="0">
      <w:start w:val="1"/>
      <w:numFmt w:val="decimal"/>
      <w:lvlText w:val="%1"/>
      <w:lvlJc w:val="left"/>
      <w:pPr>
        <w:ind w:left="1220" w:hanging="794"/>
        <w:jc w:val="right"/>
      </w:pPr>
      <w:rPr>
        <w:rFonts w:hint="default" w:ascii="Calibri" w:hAnsi="Calibri" w:eastAsia="Calibri" w:cs="Calibri"/>
        <w:w w:val="109"/>
        <w:sz w:val="13"/>
        <w:szCs w:val="13"/>
        <w:lang w:val="en-us" w:eastAsia="en-us" w:bidi="en-us"/>
      </w:rPr>
    </w:lvl>
    <w:lvl w:ilvl="1">
      <w:start w:val="0"/>
      <w:numFmt w:val="bullet"/>
      <w:lvlText w:val="•"/>
      <w:lvlJc w:val="left"/>
      <w:pPr>
        <w:ind w:left="2172" w:hanging="794"/>
      </w:pPr>
      <w:rPr>
        <w:rFonts w:hint="default"/>
        <w:lang w:val="en-us" w:eastAsia="en-us" w:bidi="en-us"/>
      </w:rPr>
    </w:lvl>
    <w:lvl w:ilvl="2">
      <w:start w:val="0"/>
      <w:numFmt w:val="bullet"/>
      <w:lvlText w:val="•"/>
      <w:lvlJc w:val="left"/>
      <w:pPr>
        <w:ind w:left="3124" w:hanging="794"/>
      </w:pPr>
      <w:rPr>
        <w:rFonts w:hint="default"/>
        <w:lang w:val="en-us" w:eastAsia="en-us" w:bidi="en-us"/>
      </w:rPr>
    </w:lvl>
    <w:lvl w:ilvl="3">
      <w:start w:val="0"/>
      <w:numFmt w:val="bullet"/>
      <w:lvlText w:val="•"/>
      <w:lvlJc w:val="left"/>
      <w:pPr>
        <w:ind w:left="4077" w:hanging="794"/>
      </w:pPr>
      <w:rPr>
        <w:rFonts w:hint="default"/>
        <w:lang w:val="en-us" w:eastAsia="en-us" w:bidi="en-us"/>
      </w:rPr>
    </w:lvl>
    <w:lvl w:ilvl="4">
      <w:start w:val="0"/>
      <w:numFmt w:val="bullet"/>
      <w:lvlText w:val="•"/>
      <w:lvlJc w:val="left"/>
      <w:pPr>
        <w:ind w:left="5029" w:hanging="794"/>
      </w:pPr>
      <w:rPr>
        <w:rFonts w:hint="default"/>
        <w:lang w:val="en-us" w:eastAsia="en-us" w:bidi="en-us"/>
      </w:rPr>
    </w:lvl>
    <w:lvl w:ilvl="5">
      <w:start w:val="0"/>
      <w:numFmt w:val="bullet"/>
      <w:lvlText w:val="•"/>
      <w:lvlJc w:val="left"/>
      <w:pPr>
        <w:ind w:left="5982" w:hanging="794"/>
      </w:pPr>
      <w:rPr>
        <w:rFonts w:hint="default"/>
        <w:lang w:val="en-us" w:eastAsia="en-us" w:bidi="en-us"/>
      </w:rPr>
    </w:lvl>
    <w:lvl w:ilvl="6">
      <w:start w:val="0"/>
      <w:numFmt w:val="bullet"/>
      <w:lvlText w:val="•"/>
      <w:lvlJc w:val="left"/>
      <w:pPr>
        <w:ind w:left="6934" w:hanging="794"/>
      </w:pPr>
      <w:rPr>
        <w:rFonts w:hint="default"/>
        <w:lang w:val="en-us" w:eastAsia="en-us" w:bidi="en-us"/>
      </w:rPr>
    </w:lvl>
    <w:lvl w:ilvl="7">
      <w:start w:val="0"/>
      <w:numFmt w:val="bullet"/>
      <w:lvlText w:val="•"/>
      <w:lvlJc w:val="left"/>
      <w:pPr>
        <w:ind w:left="7887" w:hanging="794"/>
      </w:pPr>
      <w:rPr>
        <w:rFonts w:hint="default"/>
        <w:lang w:val="en-us" w:eastAsia="en-us" w:bidi="en-us"/>
      </w:rPr>
    </w:lvl>
    <w:lvl w:ilvl="8">
      <w:start w:val="0"/>
      <w:numFmt w:val="bullet"/>
      <w:lvlText w:val="•"/>
      <w:lvlJc w:val="left"/>
      <w:pPr>
        <w:ind w:left="8839" w:hanging="794"/>
      </w:pPr>
      <w:rPr>
        <w:rFonts w:hint="default"/>
        <w:lang w:val="en-us" w:eastAsia="en-us" w:bidi="en-us"/>
      </w:rPr>
    </w:lvl>
  </w:abstractNum>
  <w:abstractNum w:abstractNumId="188">
    <w:multiLevelType w:val="hybridMultilevel"/>
    <w:lvl w:ilvl="0">
      <w:start w:val="345"/>
      <w:numFmt w:val="decimal"/>
      <w:lvlText w:val="%1"/>
      <w:lvlJc w:val="left"/>
      <w:pPr>
        <w:ind w:left="2381" w:hanging="794"/>
        <w:jc w:val="left"/>
      </w:pPr>
      <w:rPr>
        <w:rFonts w:hint="default" w:ascii="Calibri" w:hAnsi="Calibri" w:eastAsia="Calibri" w:cs="Calibri"/>
        <w:spacing w:val="0"/>
        <w:w w:val="109"/>
        <w:sz w:val="13"/>
        <w:szCs w:val="13"/>
        <w:lang w:val="en-us" w:eastAsia="en-us" w:bidi="en-us"/>
      </w:rPr>
    </w:lvl>
    <w:lvl w:ilvl="1">
      <w:start w:val="0"/>
      <w:numFmt w:val="bullet"/>
      <w:lvlText w:val="•"/>
      <w:lvlJc w:val="left"/>
      <w:pPr>
        <w:ind w:left="3141" w:hanging="794"/>
      </w:pPr>
      <w:rPr>
        <w:rFonts w:hint="default"/>
        <w:lang w:val="en-us" w:eastAsia="en-us" w:bidi="en-us"/>
      </w:rPr>
    </w:lvl>
    <w:lvl w:ilvl="2">
      <w:start w:val="0"/>
      <w:numFmt w:val="bullet"/>
      <w:lvlText w:val="•"/>
      <w:lvlJc w:val="left"/>
      <w:pPr>
        <w:ind w:left="3902" w:hanging="794"/>
      </w:pPr>
      <w:rPr>
        <w:rFonts w:hint="default"/>
        <w:lang w:val="en-us" w:eastAsia="en-us" w:bidi="en-us"/>
      </w:rPr>
    </w:lvl>
    <w:lvl w:ilvl="3">
      <w:start w:val="0"/>
      <w:numFmt w:val="bullet"/>
      <w:lvlText w:val="•"/>
      <w:lvlJc w:val="left"/>
      <w:pPr>
        <w:ind w:left="4664" w:hanging="794"/>
      </w:pPr>
      <w:rPr>
        <w:rFonts w:hint="default"/>
        <w:lang w:val="en-us" w:eastAsia="en-us" w:bidi="en-us"/>
      </w:rPr>
    </w:lvl>
    <w:lvl w:ilvl="4">
      <w:start w:val="0"/>
      <w:numFmt w:val="bullet"/>
      <w:lvlText w:val="•"/>
      <w:lvlJc w:val="left"/>
      <w:pPr>
        <w:ind w:left="5425" w:hanging="794"/>
      </w:pPr>
      <w:rPr>
        <w:rFonts w:hint="default"/>
        <w:lang w:val="en-us" w:eastAsia="en-us" w:bidi="en-us"/>
      </w:rPr>
    </w:lvl>
    <w:lvl w:ilvl="5">
      <w:start w:val="0"/>
      <w:numFmt w:val="bullet"/>
      <w:lvlText w:val="•"/>
      <w:lvlJc w:val="left"/>
      <w:pPr>
        <w:ind w:left="6186" w:hanging="794"/>
      </w:pPr>
      <w:rPr>
        <w:rFonts w:hint="default"/>
        <w:lang w:val="en-us" w:eastAsia="en-us" w:bidi="en-us"/>
      </w:rPr>
    </w:lvl>
    <w:lvl w:ilvl="6">
      <w:start w:val="0"/>
      <w:numFmt w:val="bullet"/>
      <w:lvlText w:val="•"/>
      <w:lvlJc w:val="left"/>
      <w:pPr>
        <w:ind w:left="6948" w:hanging="794"/>
      </w:pPr>
      <w:rPr>
        <w:rFonts w:hint="default"/>
        <w:lang w:val="en-us" w:eastAsia="en-us" w:bidi="en-us"/>
      </w:rPr>
    </w:lvl>
    <w:lvl w:ilvl="7">
      <w:start w:val="0"/>
      <w:numFmt w:val="bullet"/>
      <w:lvlText w:val="•"/>
      <w:lvlJc w:val="left"/>
      <w:pPr>
        <w:ind w:left="7709" w:hanging="794"/>
      </w:pPr>
      <w:rPr>
        <w:rFonts w:hint="default"/>
        <w:lang w:val="en-us" w:eastAsia="en-us" w:bidi="en-us"/>
      </w:rPr>
    </w:lvl>
    <w:lvl w:ilvl="8">
      <w:start w:val="0"/>
      <w:numFmt w:val="bullet"/>
      <w:lvlText w:val="•"/>
      <w:lvlJc w:val="left"/>
      <w:pPr>
        <w:ind w:left="8470" w:hanging="794"/>
      </w:pPr>
      <w:rPr>
        <w:rFonts w:hint="default"/>
        <w:lang w:val="en-us" w:eastAsia="en-us" w:bidi="en-us"/>
      </w:rPr>
    </w:lvl>
  </w:abstractNum>
  <w:abstractNum w:abstractNumId="186">
    <w:multiLevelType w:val="hybridMultilevel"/>
    <w:lvl w:ilvl="0">
      <w:start w:val="334"/>
      <w:numFmt w:val="decimal"/>
      <w:lvlText w:val="%1"/>
      <w:lvlJc w:val="left"/>
      <w:pPr>
        <w:ind w:left="2381" w:hanging="794"/>
        <w:jc w:val="right"/>
      </w:pPr>
      <w:rPr>
        <w:rFonts w:hint="default" w:ascii="Calibri" w:hAnsi="Calibri" w:eastAsia="Calibri" w:cs="Calibri"/>
        <w:spacing w:val="-1"/>
        <w:w w:val="109"/>
        <w:sz w:val="13"/>
        <w:szCs w:val="13"/>
        <w:lang w:val="en-us" w:eastAsia="en-us" w:bidi="en-us"/>
      </w:rPr>
    </w:lvl>
    <w:lvl w:ilvl="1">
      <w:start w:val="0"/>
      <w:numFmt w:val="bullet"/>
      <w:lvlText w:val="•"/>
      <w:lvlJc w:val="left"/>
      <w:pPr>
        <w:ind w:left="3171" w:hanging="794"/>
      </w:pPr>
      <w:rPr>
        <w:rFonts w:hint="default"/>
        <w:lang w:val="en-us" w:eastAsia="en-us" w:bidi="en-us"/>
      </w:rPr>
    </w:lvl>
    <w:lvl w:ilvl="2">
      <w:start w:val="0"/>
      <w:numFmt w:val="bullet"/>
      <w:lvlText w:val="•"/>
      <w:lvlJc w:val="left"/>
      <w:pPr>
        <w:ind w:left="3962" w:hanging="794"/>
      </w:pPr>
      <w:rPr>
        <w:rFonts w:hint="default"/>
        <w:lang w:val="en-us" w:eastAsia="en-us" w:bidi="en-us"/>
      </w:rPr>
    </w:lvl>
    <w:lvl w:ilvl="3">
      <w:start w:val="0"/>
      <w:numFmt w:val="bullet"/>
      <w:lvlText w:val="•"/>
      <w:lvlJc w:val="left"/>
      <w:pPr>
        <w:ind w:left="4753" w:hanging="794"/>
      </w:pPr>
      <w:rPr>
        <w:rFonts w:hint="default"/>
        <w:lang w:val="en-us" w:eastAsia="en-us" w:bidi="en-us"/>
      </w:rPr>
    </w:lvl>
    <w:lvl w:ilvl="4">
      <w:start w:val="0"/>
      <w:numFmt w:val="bullet"/>
      <w:lvlText w:val="•"/>
      <w:lvlJc w:val="left"/>
      <w:pPr>
        <w:ind w:left="5544" w:hanging="794"/>
      </w:pPr>
      <w:rPr>
        <w:rFonts w:hint="default"/>
        <w:lang w:val="en-us" w:eastAsia="en-us" w:bidi="en-us"/>
      </w:rPr>
    </w:lvl>
    <w:lvl w:ilvl="5">
      <w:start w:val="0"/>
      <w:numFmt w:val="bullet"/>
      <w:lvlText w:val="•"/>
      <w:lvlJc w:val="left"/>
      <w:pPr>
        <w:ind w:left="6335" w:hanging="794"/>
      </w:pPr>
      <w:rPr>
        <w:rFonts w:hint="default"/>
        <w:lang w:val="en-us" w:eastAsia="en-us" w:bidi="en-us"/>
      </w:rPr>
    </w:lvl>
    <w:lvl w:ilvl="6">
      <w:start w:val="0"/>
      <w:numFmt w:val="bullet"/>
      <w:lvlText w:val="•"/>
      <w:lvlJc w:val="left"/>
      <w:pPr>
        <w:ind w:left="7126" w:hanging="794"/>
      </w:pPr>
      <w:rPr>
        <w:rFonts w:hint="default"/>
        <w:lang w:val="en-us" w:eastAsia="en-us" w:bidi="en-us"/>
      </w:rPr>
    </w:lvl>
    <w:lvl w:ilvl="7">
      <w:start w:val="0"/>
      <w:numFmt w:val="bullet"/>
      <w:lvlText w:val="•"/>
      <w:lvlJc w:val="left"/>
      <w:pPr>
        <w:ind w:left="7917" w:hanging="794"/>
      </w:pPr>
      <w:rPr>
        <w:rFonts w:hint="default"/>
        <w:lang w:val="en-us" w:eastAsia="en-us" w:bidi="en-us"/>
      </w:rPr>
    </w:lvl>
    <w:lvl w:ilvl="8">
      <w:start w:val="0"/>
      <w:numFmt w:val="bullet"/>
      <w:lvlText w:val="•"/>
      <w:lvlJc w:val="left"/>
      <w:pPr>
        <w:ind w:left="8708" w:hanging="794"/>
      </w:pPr>
      <w:rPr>
        <w:rFonts w:hint="default"/>
        <w:lang w:val="en-us" w:eastAsia="en-us" w:bidi="en-us"/>
      </w:rPr>
    </w:lvl>
  </w:abstractNum>
  <w:abstractNum w:abstractNumId="185">
    <w:multiLevelType w:val="hybridMultilevel"/>
    <w:lvl w:ilvl="0">
      <w:start w:val="43"/>
      <w:numFmt w:val="decimal"/>
      <w:lvlText w:val="%1"/>
      <w:lvlJc w:val="left"/>
      <w:pPr>
        <w:ind w:left="793" w:hanging="625"/>
        <w:jc w:val="left"/>
      </w:pPr>
      <w:rPr>
        <w:rFonts w:hint="default" w:ascii="Calibri" w:hAnsi="Calibri" w:eastAsia="Calibri" w:cs="Calibri"/>
        <w:b/>
        <w:bCs/>
        <w:spacing w:val="0"/>
        <w:w w:val="109"/>
        <w:sz w:val="21"/>
        <w:szCs w:val="21"/>
        <w:lang w:val="en-us" w:eastAsia="en-us" w:bidi="en-us"/>
      </w:rPr>
    </w:lvl>
    <w:lvl w:ilvl="1">
      <w:start w:val="1"/>
      <w:numFmt w:val="lowerLetter"/>
      <w:lvlText w:val="(%2)"/>
      <w:lvlJc w:val="left"/>
      <w:pPr>
        <w:ind w:left="1360" w:hanging="567"/>
        <w:jc w:val="left"/>
      </w:pPr>
      <w:rPr>
        <w:rFonts w:hint="default" w:ascii="Calibri" w:hAnsi="Calibri" w:eastAsia="Calibri" w:cs="Calibri"/>
        <w:spacing w:val="0"/>
        <w:w w:val="109"/>
        <w:sz w:val="21"/>
        <w:szCs w:val="21"/>
        <w:lang w:val="en-us" w:eastAsia="en-us" w:bidi="en-us"/>
      </w:rPr>
    </w:lvl>
    <w:lvl w:ilvl="2">
      <w:start w:val="0"/>
      <w:numFmt w:val="bullet"/>
      <w:lvlText w:val="•"/>
      <w:lvlJc w:val="left"/>
      <w:pPr>
        <w:ind w:left="2178" w:hanging="567"/>
      </w:pPr>
      <w:rPr>
        <w:rFonts w:hint="default"/>
        <w:lang w:val="en-us" w:eastAsia="en-us" w:bidi="en-us"/>
      </w:rPr>
    </w:lvl>
    <w:lvl w:ilvl="3">
      <w:start w:val="0"/>
      <w:numFmt w:val="bullet"/>
      <w:lvlText w:val="•"/>
      <w:lvlJc w:val="left"/>
      <w:pPr>
        <w:ind w:left="2997" w:hanging="567"/>
      </w:pPr>
      <w:rPr>
        <w:rFonts w:hint="default"/>
        <w:lang w:val="en-us" w:eastAsia="en-us" w:bidi="en-us"/>
      </w:rPr>
    </w:lvl>
    <w:lvl w:ilvl="4">
      <w:start w:val="0"/>
      <w:numFmt w:val="bullet"/>
      <w:lvlText w:val="•"/>
      <w:lvlJc w:val="left"/>
      <w:pPr>
        <w:ind w:left="3816" w:hanging="567"/>
      </w:pPr>
      <w:rPr>
        <w:rFonts w:hint="default"/>
        <w:lang w:val="en-us" w:eastAsia="en-us" w:bidi="en-us"/>
      </w:rPr>
    </w:lvl>
    <w:lvl w:ilvl="5">
      <w:start w:val="0"/>
      <w:numFmt w:val="bullet"/>
      <w:lvlText w:val="•"/>
      <w:lvlJc w:val="left"/>
      <w:pPr>
        <w:ind w:left="4635" w:hanging="567"/>
      </w:pPr>
      <w:rPr>
        <w:rFonts w:hint="default"/>
        <w:lang w:val="en-us" w:eastAsia="en-us" w:bidi="en-us"/>
      </w:rPr>
    </w:lvl>
    <w:lvl w:ilvl="6">
      <w:start w:val="0"/>
      <w:numFmt w:val="bullet"/>
      <w:lvlText w:val="•"/>
      <w:lvlJc w:val="left"/>
      <w:pPr>
        <w:ind w:left="5454" w:hanging="567"/>
      </w:pPr>
      <w:rPr>
        <w:rFonts w:hint="default"/>
        <w:lang w:val="en-us" w:eastAsia="en-us" w:bidi="en-us"/>
      </w:rPr>
    </w:lvl>
    <w:lvl w:ilvl="7">
      <w:start w:val="0"/>
      <w:numFmt w:val="bullet"/>
      <w:lvlText w:val="•"/>
      <w:lvlJc w:val="left"/>
      <w:pPr>
        <w:ind w:left="6273" w:hanging="567"/>
      </w:pPr>
      <w:rPr>
        <w:rFonts w:hint="default"/>
        <w:lang w:val="en-us" w:eastAsia="en-us" w:bidi="en-us"/>
      </w:rPr>
    </w:lvl>
    <w:lvl w:ilvl="8">
      <w:start w:val="0"/>
      <w:numFmt w:val="bullet"/>
      <w:lvlText w:val="•"/>
      <w:lvlJc w:val="left"/>
      <w:pPr>
        <w:ind w:left="7092" w:hanging="567"/>
      </w:pPr>
      <w:rPr>
        <w:rFonts w:hint="default"/>
        <w:lang w:val="en-us" w:eastAsia="en-us" w:bidi="en-us"/>
      </w:rPr>
    </w:lvl>
  </w:abstractNum>
  <w:abstractNum w:abstractNumId="184">
    <w:multiLevelType w:val="hybridMultilevel"/>
    <w:lvl w:ilvl="0">
      <w:start w:val="323"/>
      <w:numFmt w:val="decimal"/>
      <w:lvlText w:val="%1"/>
      <w:lvlJc w:val="left"/>
      <w:pPr>
        <w:ind w:left="2381" w:hanging="794"/>
        <w:jc w:val="right"/>
      </w:pPr>
      <w:rPr>
        <w:rFonts w:hint="default" w:ascii="Calibri" w:hAnsi="Calibri" w:eastAsia="Calibri" w:cs="Calibri"/>
        <w:spacing w:val="-1"/>
        <w:w w:val="109"/>
        <w:sz w:val="13"/>
        <w:szCs w:val="13"/>
        <w:lang w:val="en-us" w:eastAsia="en-us" w:bidi="en-us"/>
      </w:rPr>
    </w:lvl>
    <w:lvl w:ilvl="1">
      <w:start w:val="0"/>
      <w:numFmt w:val="bullet"/>
      <w:lvlText w:val="•"/>
      <w:lvlJc w:val="left"/>
      <w:pPr>
        <w:ind w:left="3168" w:hanging="794"/>
      </w:pPr>
      <w:rPr>
        <w:rFonts w:hint="default"/>
        <w:lang w:val="en-us" w:eastAsia="en-us" w:bidi="en-us"/>
      </w:rPr>
    </w:lvl>
    <w:lvl w:ilvl="2">
      <w:start w:val="0"/>
      <w:numFmt w:val="bullet"/>
      <w:lvlText w:val="•"/>
      <w:lvlJc w:val="left"/>
      <w:pPr>
        <w:ind w:left="3956" w:hanging="794"/>
      </w:pPr>
      <w:rPr>
        <w:rFonts w:hint="default"/>
        <w:lang w:val="en-us" w:eastAsia="en-us" w:bidi="en-us"/>
      </w:rPr>
    </w:lvl>
    <w:lvl w:ilvl="3">
      <w:start w:val="0"/>
      <w:numFmt w:val="bullet"/>
      <w:lvlText w:val="•"/>
      <w:lvlJc w:val="left"/>
      <w:pPr>
        <w:ind w:left="4744" w:hanging="794"/>
      </w:pPr>
      <w:rPr>
        <w:rFonts w:hint="default"/>
        <w:lang w:val="en-us" w:eastAsia="en-us" w:bidi="en-us"/>
      </w:rPr>
    </w:lvl>
    <w:lvl w:ilvl="4">
      <w:start w:val="0"/>
      <w:numFmt w:val="bullet"/>
      <w:lvlText w:val="•"/>
      <w:lvlJc w:val="left"/>
      <w:pPr>
        <w:ind w:left="5532" w:hanging="794"/>
      </w:pPr>
      <w:rPr>
        <w:rFonts w:hint="default"/>
        <w:lang w:val="en-us" w:eastAsia="en-us" w:bidi="en-us"/>
      </w:rPr>
    </w:lvl>
    <w:lvl w:ilvl="5">
      <w:start w:val="0"/>
      <w:numFmt w:val="bullet"/>
      <w:lvlText w:val="•"/>
      <w:lvlJc w:val="left"/>
      <w:pPr>
        <w:ind w:left="6320" w:hanging="794"/>
      </w:pPr>
      <w:rPr>
        <w:rFonts w:hint="default"/>
        <w:lang w:val="en-us" w:eastAsia="en-us" w:bidi="en-us"/>
      </w:rPr>
    </w:lvl>
    <w:lvl w:ilvl="6">
      <w:start w:val="0"/>
      <w:numFmt w:val="bullet"/>
      <w:lvlText w:val="•"/>
      <w:lvlJc w:val="left"/>
      <w:pPr>
        <w:ind w:left="7108" w:hanging="794"/>
      </w:pPr>
      <w:rPr>
        <w:rFonts w:hint="default"/>
        <w:lang w:val="en-us" w:eastAsia="en-us" w:bidi="en-us"/>
      </w:rPr>
    </w:lvl>
    <w:lvl w:ilvl="7">
      <w:start w:val="0"/>
      <w:numFmt w:val="bullet"/>
      <w:lvlText w:val="•"/>
      <w:lvlJc w:val="left"/>
      <w:pPr>
        <w:ind w:left="7897" w:hanging="794"/>
      </w:pPr>
      <w:rPr>
        <w:rFonts w:hint="default"/>
        <w:lang w:val="en-us" w:eastAsia="en-us" w:bidi="en-us"/>
      </w:rPr>
    </w:lvl>
    <w:lvl w:ilvl="8">
      <w:start w:val="0"/>
      <w:numFmt w:val="bullet"/>
      <w:lvlText w:val="•"/>
      <w:lvlJc w:val="left"/>
      <w:pPr>
        <w:ind w:left="8685" w:hanging="794"/>
      </w:pPr>
      <w:rPr>
        <w:rFonts w:hint="default"/>
        <w:lang w:val="en-us" w:eastAsia="en-us" w:bidi="en-us"/>
      </w:rPr>
    </w:lvl>
  </w:abstractNum>
  <w:abstractNum w:abstractNumId="183">
    <w:multiLevelType w:val="hybridMultilevel"/>
    <w:lvl w:ilvl="0">
      <w:start w:val="41"/>
      <w:numFmt w:val="decimal"/>
      <w:lvlText w:val="%1"/>
      <w:lvlJc w:val="left"/>
      <w:pPr>
        <w:ind w:left="793" w:hanging="567"/>
        <w:jc w:val="left"/>
      </w:pPr>
      <w:rPr>
        <w:rFonts w:hint="default" w:ascii="Calibri" w:hAnsi="Calibri" w:eastAsia="Calibri" w:cs="Calibri"/>
        <w:b/>
        <w:bCs/>
        <w:spacing w:val="-10"/>
        <w:w w:val="109"/>
        <w:sz w:val="21"/>
        <w:szCs w:val="21"/>
        <w:lang w:val="en-us" w:eastAsia="en-us" w:bidi="en-us"/>
      </w:rPr>
    </w:lvl>
    <w:lvl w:ilvl="1">
      <w:start w:val="1"/>
      <w:numFmt w:val="lowerLetter"/>
      <w:lvlText w:val="(%2)"/>
      <w:lvlJc w:val="left"/>
      <w:pPr>
        <w:ind w:left="1360" w:hanging="567"/>
        <w:jc w:val="left"/>
      </w:pPr>
      <w:rPr>
        <w:rFonts w:hint="default" w:ascii="Calibri" w:hAnsi="Calibri" w:eastAsia="Calibri" w:cs="Calibri"/>
        <w:spacing w:val="0"/>
        <w:w w:val="109"/>
        <w:sz w:val="21"/>
        <w:szCs w:val="21"/>
        <w:lang w:val="en-us" w:eastAsia="en-us" w:bidi="en-us"/>
      </w:rPr>
    </w:lvl>
    <w:lvl w:ilvl="2">
      <w:start w:val="0"/>
      <w:numFmt w:val="bullet"/>
      <w:lvlText w:val="•"/>
      <w:lvlJc w:val="left"/>
      <w:pPr>
        <w:ind w:left="2178" w:hanging="567"/>
      </w:pPr>
      <w:rPr>
        <w:rFonts w:hint="default"/>
        <w:lang w:val="en-us" w:eastAsia="en-us" w:bidi="en-us"/>
      </w:rPr>
    </w:lvl>
    <w:lvl w:ilvl="3">
      <w:start w:val="0"/>
      <w:numFmt w:val="bullet"/>
      <w:lvlText w:val="•"/>
      <w:lvlJc w:val="left"/>
      <w:pPr>
        <w:ind w:left="2997" w:hanging="567"/>
      </w:pPr>
      <w:rPr>
        <w:rFonts w:hint="default"/>
        <w:lang w:val="en-us" w:eastAsia="en-us" w:bidi="en-us"/>
      </w:rPr>
    </w:lvl>
    <w:lvl w:ilvl="4">
      <w:start w:val="0"/>
      <w:numFmt w:val="bullet"/>
      <w:lvlText w:val="•"/>
      <w:lvlJc w:val="left"/>
      <w:pPr>
        <w:ind w:left="3816" w:hanging="567"/>
      </w:pPr>
      <w:rPr>
        <w:rFonts w:hint="default"/>
        <w:lang w:val="en-us" w:eastAsia="en-us" w:bidi="en-us"/>
      </w:rPr>
    </w:lvl>
    <w:lvl w:ilvl="5">
      <w:start w:val="0"/>
      <w:numFmt w:val="bullet"/>
      <w:lvlText w:val="•"/>
      <w:lvlJc w:val="left"/>
      <w:pPr>
        <w:ind w:left="4635" w:hanging="567"/>
      </w:pPr>
      <w:rPr>
        <w:rFonts w:hint="default"/>
        <w:lang w:val="en-us" w:eastAsia="en-us" w:bidi="en-us"/>
      </w:rPr>
    </w:lvl>
    <w:lvl w:ilvl="6">
      <w:start w:val="0"/>
      <w:numFmt w:val="bullet"/>
      <w:lvlText w:val="•"/>
      <w:lvlJc w:val="left"/>
      <w:pPr>
        <w:ind w:left="5454" w:hanging="567"/>
      </w:pPr>
      <w:rPr>
        <w:rFonts w:hint="default"/>
        <w:lang w:val="en-us" w:eastAsia="en-us" w:bidi="en-us"/>
      </w:rPr>
    </w:lvl>
    <w:lvl w:ilvl="7">
      <w:start w:val="0"/>
      <w:numFmt w:val="bullet"/>
      <w:lvlText w:val="•"/>
      <w:lvlJc w:val="left"/>
      <w:pPr>
        <w:ind w:left="6273" w:hanging="567"/>
      </w:pPr>
      <w:rPr>
        <w:rFonts w:hint="default"/>
        <w:lang w:val="en-us" w:eastAsia="en-us" w:bidi="en-us"/>
      </w:rPr>
    </w:lvl>
    <w:lvl w:ilvl="8">
      <w:start w:val="0"/>
      <w:numFmt w:val="bullet"/>
      <w:lvlText w:val="•"/>
      <w:lvlJc w:val="left"/>
      <w:pPr>
        <w:ind w:left="7092" w:hanging="567"/>
      </w:pPr>
      <w:rPr>
        <w:rFonts w:hint="default"/>
        <w:lang w:val="en-us" w:eastAsia="en-us" w:bidi="en-us"/>
      </w:rPr>
    </w:lvl>
  </w:abstractNum>
  <w:abstractNum w:abstractNumId="182">
    <w:multiLevelType w:val="hybridMultilevel"/>
    <w:lvl w:ilvl="0">
      <w:start w:val="315"/>
      <w:numFmt w:val="decimal"/>
      <w:lvlText w:val="%1"/>
      <w:lvlJc w:val="left"/>
      <w:pPr>
        <w:ind w:left="2381" w:hanging="794"/>
        <w:jc w:val="left"/>
      </w:pPr>
      <w:rPr>
        <w:rFonts w:hint="default" w:ascii="Calibri" w:hAnsi="Calibri" w:eastAsia="Calibri" w:cs="Calibri"/>
        <w:spacing w:val="-6"/>
        <w:w w:val="109"/>
        <w:sz w:val="13"/>
        <w:szCs w:val="13"/>
        <w:lang w:val="en-us" w:eastAsia="en-us" w:bidi="en-us"/>
      </w:rPr>
    </w:lvl>
    <w:lvl w:ilvl="1">
      <w:start w:val="0"/>
      <w:numFmt w:val="bullet"/>
      <w:lvlText w:val="•"/>
      <w:lvlJc w:val="left"/>
      <w:pPr>
        <w:ind w:left="3173" w:hanging="794"/>
      </w:pPr>
      <w:rPr>
        <w:rFonts w:hint="default"/>
        <w:lang w:val="en-us" w:eastAsia="en-us" w:bidi="en-us"/>
      </w:rPr>
    </w:lvl>
    <w:lvl w:ilvl="2">
      <w:start w:val="0"/>
      <w:numFmt w:val="bullet"/>
      <w:lvlText w:val="•"/>
      <w:lvlJc w:val="left"/>
      <w:pPr>
        <w:ind w:left="3966" w:hanging="794"/>
      </w:pPr>
      <w:rPr>
        <w:rFonts w:hint="default"/>
        <w:lang w:val="en-us" w:eastAsia="en-us" w:bidi="en-us"/>
      </w:rPr>
    </w:lvl>
    <w:lvl w:ilvl="3">
      <w:start w:val="0"/>
      <w:numFmt w:val="bullet"/>
      <w:lvlText w:val="•"/>
      <w:lvlJc w:val="left"/>
      <w:pPr>
        <w:ind w:left="4759" w:hanging="794"/>
      </w:pPr>
      <w:rPr>
        <w:rFonts w:hint="default"/>
        <w:lang w:val="en-us" w:eastAsia="en-us" w:bidi="en-us"/>
      </w:rPr>
    </w:lvl>
    <w:lvl w:ilvl="4">
      <w:start w:val="0"/>
      <w:numFmt w:val="bullet"/>
      <w:lvlText w:val="•"/>
      <w:lvlJc w:val="left"/>
      <w:pPr>
        <w:ind w:left="5552" w:hanging="794"/>
      </w:pPr>
      <w:rPr>
        <w:rFonts w:hint="default"/>
        <w:lang w:val="en-us" w:eastAsia="en-us" w:bidi="en-us"/>
      </w:rPr>
    </w:lvl>
    <w:lvl w:ilvl="5">
      <w:start w:val="0"/>
      <w:numFmt w:val="bullet"/>
      <w:lvlText w:val="•"/>
      <w:lvlJc w:val="left"/>
      <w:pPr>
        <w:ind w:left="6345" w:hanging="794"/>
      </w:pPr>
      <w:rPr>
        <w:rFonts w:hint="default"/>
        <w:lang w:val="en-us" w:eastAsia="en-us" w:bidi="en-us"/>
      </w:rPr>
    </w:lvl>
    <w:lvl w:ilvl="6">
      <w:start w:val="0"/>
      <w:numFmt w:val="bullet"/>
      <w:lvlText w:val="•"/>
      <w:lvlJc w:val="left"/>
      <w:pPr>
        <w:ind w:left="7138" w:hanging="794"/>
      </w:pPr>
      <w:rPr>
        <w:rFonts w:hint="default"/>
        <w:lang w:val="en-us" w:eastAsia="en-us" w:bidi="en-us"/>
      </w:rPr>
    </w:lvl>
    <w:lvl w:ilvl="7">
      <w:start w:val="0"/>
      <w:numFmt w:val="bullet"/>
      <w:lvlText w:val="•"/>
      <w:lvlJc w:val="left"/>
      <w:pPr>
        <w:ind w:left="7931" w:hanging="794"/>
      </w:pPr>
      <w:rPr>
        <w:rFonts w:hint="default"/>
        <w:lang w:val="en-us" w:eastAsia="en-us" w:bidi="en-us"/>
      </w:rPr>
    </w:lvl>
    <w:lvl w:ilvl="8">
      <w:start w:val="0"/>
      <w:numFmt w:val="bullet"/>
      <w:lvlText w:val="•"/>
      <w:lvlJc w:val="left"/>
      <w:pPr>
        <w:ind w:left="8724" w:hanging="794"/>
      </w:pPr>
      <w:rPr>
        <w:rFonts w:hint="default"/>
        <w:lang w:val="en-us" w:eastAsia="en-us" w:bidi="en-us"/>
      </w:rPr>
    </w:lvl>
  </w:abstractNum>
  <w:abstractNum w:abstractNumId="181">
    <w:multiLevelType w:val="hybridMultilevel"/>
    <w:lvl w:ilvl="0">
      <w:start w:val="309"/>
      <w:numFmt w:val="decimal"/>
      <w:lvlText w:val="%1"/>
      <w:lvlJc w:val="left"/>
      <w:pPr>
        <w:ind w:left="1221" w:hanging="794"/>
        <w:jc w:val="left"/>
      </w:pPr>
      <w:rPr>
        <w:rFonts w:hint="default" w:ascii="Calibri" w:hAnsi="Calibri" w:eastAsia="Calibri" w:cs="Calibri"/>
        <w:spacing w:val="0"/>
        <w:w w:val="109"/>
        <w:sz w:val="13"/>
        <w:szCs w:val="13"/>
        <w:lang w:val="en-us" w:eastAsia="en-us" w:bidi="en-us"/>
      </w:rPr>
    </w:lvl>
    <w:lvl w:ilvl="1">
      <w:start w:val="0"/>
      <w:numFmt w:val="bullet"/>
      <w:lvlText w:val="•"/>
      <w:lvlJc w:val="left"/>
      <w:pPr>
        <w:ind w:left="2172" w:hanging="794"/>
      </w:pPr>
      <w:rPr>
        <w:rFonts w:hint="default"/>
        <w:lang w:val="en-us" w:eastAsia="en-us" w:bidi="en-us"/>
      </w:rPr>
    </w:lvl>
    <w:lvl w:ilvl="2">
      <w:start w:val="0"/>
      <w:numFmt w:val="bullet"/>
      <w:lvlText w:val="•"/>
      <w:lvlJc w:val="left"/>
      <w:pPr>
        <w:ind w:left="3125" w:hanging="794"/>
      </w:pPr>
      <w:rPr>
        <w:rFonts w:hint="default"/>
        <w:lang w:val="en-us" w:eastAsia="en-us" w:bidi="en-us"/>
      </w:rPr>
    </w:lvl>
    <w:lvl w:ilvl="3">
      <w:start w:val="0"/>
      <w:numFmt w:val="bullet"/>
      <w:lvlText w:val="•"/>
      <w:lvlJc w:val="left"/>
      <w:pPr>
        <w:ind w:left="4077" w:hanging="794"/>
      </w:pPr>
      <w:rPr>
        <w:rFonts w:hint="default"/>
        <w:lang w:val="en-us" w:eastAsia="en-us" w:bidi="en-us"/>
      </w:rPr>
    </w:lvl>
    <w:lvl w:ilvl="4">
      <w:start w:val="0"/>
      <w:numFmt w:val="bullet"/>
      <w:lvlText w:val="•"/>
      <w:lvlJc w:val="left"/>
      <w:pPr>
        <w:ind w:left="5030" w:hanging="794"/>
      </w:pPr>
      <w:rPr>
        <w:rFonts w:hint="default"/>
        <w:lang w:val="en-us" w:eastAsia="en-us" w:bidi="en-us"/>
      </w:rPr>
    </w:lvl>
    <w:lvl w:ilvl="5">
      <w:start w:val="0"/>
      <w:numFmt w:val="bullet"/>
      <w:lvlText w:val="•"/>
      <w:lvlJc w:val="left"/>
      <w:pPr>
        <w:ind w:left="5983" w:hanging="794"/>
      </w:pPr>
      <w:rPr>
        <w:rFonts w:hint="default"/>
        <w:lang w:val="en-us" w:eastAsia="en-us" w:bidi="en-us"/>
      </w:rPr>
    </w:lvl>
    <w:lvl w:ilvl="6">
      <w:start w:val="0"/>
      <w:numFmt w:val="bullet"/>
      <w:lvlText w:val="•"/>
      <w:lvlJc w:val="left"/>
      <w:pPr>
        <w:ind w:left="6935" w:hanging="794"/>
      </w:pPr>
      <w:rPr>
        <w:rFonts w:hint="default"/>
        <w:lang w:val="en-us" w:eastAsia="en-us" w:bidi="en-us"/>
      </w:rPr>
    </w:lvl>
    <w:lvl w:ilvl="7">
      <w:start w:val="0"/>
      <w:numFmt w:val="bullet"/>
      <w:lvlText w:val="•"/>
      <w:lvlJc w:val="left"/>
      <w:pPr>
        <w:ind w:left="7888" w:hanging="794"/>
      </w:pPr>
      <w:rPr>
        <w:rFonts w:hint="default"/>
        <w:lang w:val="en-us" w:eastAsia="en-us" w:bidi="en-us"/>
      </w:rPr>
    </w:lvl>
    <w:lvl w:ilvl="8">
      <w:start w:val="0"/>
      <w:numFmt w:val="bullet"/>
      <w:lvlText w:val="•"/>
      <w:lvlJc w:val="left"/>
      <w:pPr>
        <w:ind w:left="8840" w:hanging="794"/>
      </w:pPr>
      <w:rPr>
        <w:rFonts w:hint="default"/>
        <w:lang w:val="en-us" w:eastAsia="en-us" w:bidi="en-us"/>
      </w:rPr>
    </w:lvl>
  </w:abstractNum>
  <w:abstractNum w:abstractNumId="180">
    <w:multiLevelType w:val="hybridMultilevel"/>
    <w:lvl w:ilvl="0">
      <w:start w:val="39"/>
      <w:numFmt w:val="decimal"/>
      <w:lvlText w:val="%1"/>
      <w:lvlJc w:val="left"/>
      <w:pPr>
        <w:ind w:left="2381" w:hanging="567"/>
        <w:jc w:val="left"/>
      </w:pPr>
      <w:rPr>
        <w:rFonts w:hint="default" w:ascii="Calibri" w:hAnsi="Calibri" w:eastAsia="Calibri" w:cs="Calibri"/>
        <w:b/>
        <w:bCs/>
        <w:spacing w:val="-1"/>
        <w:w w:val="109"/>
        <w:sz w:val="21"/>
        <w:szCs w:val="21"/>
        <w:lang w:val="en-us" w:eastAsia="en-us" w:bidi="en-us"/>
      </w:rPr>
    </w:lvl>
    <w:lvl w:ilvl="1">
      <w:start w:val="1"/>
      <w:numFmt w:val="lowerLetter"/>
      <w:lvlText w:val="(%2)"/>
      <w:lvlJc w:val="left"/>
      <w:pPr>
        <w:ind w:left="2948" w:hanging="567"/>
        <w:jc w:val="left"/>
      </w:pPr>
      <w:rPr>
        <w:rFonts w:hint="default" w:ascii="Calibri" w:hAnsi="Calibri" w:eastAsia="Calibri" w:cs="Calibri"/>
        <w:spacing w:val="0"/>
        <w:w w:val="109"/>
        <w:sz w:val="21"/>
        <w:szCs w:val="21"/>
        <w:lang w:val="en-us" w:eastAsia="en-us" w:bidi="en-us"/>
      </w:rPr>
    </w:lvl>
    <w:lvl w:ilvl="2">
      <w:start w:val="1"/>
      <w:numFmt w:val="lowerRoman"/>
      <w:lvlText w:val="%3."/>
      <w:lvlJc w:val="left"/>
      <w:pPr>
        <w:ind w:left="3515" w:hanging="567"/>
        <w:jc w:val="left"/>
      </w:pPr>
      <w:rPr>
        <w:rFonts w:hint="default" w:ascii="Calibri" w:hAnsi="Calibri" w:eastAsia="Calibri" w:cs="Calibri"/>
        <w:spacing w:val="-3"/>
        <w:w w:val="115"/>
        <w:sz w:val="21"/>
        <w:szCs w:val="21"/>
        <w:lang w:val="en-us" w:eastAsia="en-us" w:bidi="en-us"/>
      </w:rPr>
    </w:lvl>
    <w:lvl w:ilvl="3">
      <w:start w:val="0"/>
      <w:numFmt w:val="bullet"/>
      <w:lvlText w:val="•"/>
      <w:lvlJc w:val="left"/>
      <w:pPr>
        <w:ind w:left="4568" w:hanging="567"/>
      </w:pPr>
      <w:rPr>
        <w:rFonts w:hint="default"/>
        <w:lang w:val="en-us" w:eastAsia="en-us" w:bidi="en-us"/>
      </w:rPr>
    </w:lvl>
    <w:lvl w:ilvl="4">
      <w:start w:val="0"/>
      <w:numFmt w:val="bullet"/>
      <w:lvlText w:val="•"/>
      <w:lvlJc w:val="left"/>
      <w:pPr>
        <w:ind w:left="5616" w:hanging="567"/>
      </w:pPr>
      <w:rPr>
        <w:rFonts w:hint="default"/>
        <w:lang w:val="en-us" w:eastAsia="en-us" w:bidi="en-us"/>
      </w:rPr>
    </w:lvl>
    <w:lvl w:ilvl="5">
      <w:start w:val="0"/>
      <w:numFmt w:val="bullet"/>
      <w:lvlText w:val="•"/>
      <w:lvlJc w:val="left"/>
      <w:pPr>
        <w:ind w:left="6664" w:hanging="567"/>
      </w:pPr>
      <w:rPr>
        <w:rFonts w:hint="default"/>
        <w:lang w:val="en-us" w:eastAsia="en-us" w:bidi="en-us"/>
      </w:rPr>
    </w:lvl>
    <w:lvl w:ilvl="6">
      <w:start w:val="0"/>
      <w:numFmt w:val="bullet"/>
      <w:lvlText w:val="•"/>
      <w:lvlJc w:val="left"/>
      <w:pPr>
        <w:ind w:left="7712" w:hanging="567"/>
      </w:pPr>
      <w:rPr>
        <w:rFonts w:hint="default"/>
        <w:lang w:val="en-us" w:eastAsia="en-us" w:bidi="en-us"/>
      </w:rPr>
    </w:lvl>
    <w:lvl w:ilvl="7">
      <w:start w:val="0"/>
      <w:numFmt w:val="bullet"/>
      <w:lvlText w:val="•"/>
      <w:lvlJc w:val="left"/>
      <w:pPr>
        <w:ind w:left="8760" w:hanging="567"/>
      </w:pPr>
      <w:rPr>
        <w:rFonts w:hint="default"/>
        <w:lang w:val="en-us" w:eastAsia="en-us" w:bidi="en-us"/>
      </w:rPr>
    </w:lvl>
    <w:lvl w:ilvl="8">
      <w:start w:val="0"/>
      <w:numFmt w:val="bullet"/>
      <w:lvlText w:val="•"/>
      <w:lvlJc w:val="left"/>
      <w:pPr>
        <w:ind w:left="9809" w:hanging="567"/>
      </w:pPr>
      <w:rPr>
        <w:rFonts w:hint="default"/>
        <w:lang w:val="en-us" w:eastAsia="en-us" w:bidi="en-us"/>
      </w:rPr>
    </w:lvl>
  </w:abstractNum>
  <w:abstractNum w:abstractNumId="179">
    <w:multiLevelType w:val="hybridMultilevel"/>
    <w:lvl w:ilvl="0">
      <w:start w:val="300"/>
      <w:numFmt w:val="decimal"/>
      <w:lvlText w:val="%1"/>
      <w:lvlJc w:val="left"/>
      <w:pPr>
        <w:ind w:left="2381" w:hanging="794"/>
        <w:jc w:val="right"/>
      </w:pPr>
      <w:rPr>
        <w:rFonts w:hint="default" w:ascii="Calibri" w:hAnsi="Calibri" w:eastAsia="Calibri" w:cs="Calibri"/>
        <w:spacing w:val="0"/>
        <w:w w:val="109"/>
        <w:sz w:val="13"/>
        <w:szCs w:val="13"/>
        <w:lang w:val="en-us" w:eastAsia="en-us" w:bidi="en-us"/>
      </w:rPr>
    </w:lvl>
    <w:lvl w:ilvl="1">
      <w:start w:val="0"/>
      <w:numFmt w:val="bullet"/>
      <w:lvlText w:val="•"/>
      <w:lvlJc w:val="left"/>
      <w:pPr>
        <w:ind w:left="3039" w:hanging="794"/>
      </w:pPr>
      <w:rPr>
        <w:rFonts w:hint="default"/>
        <w:lang w:val="en-us" w:eastAsia="en-us" w:bidi="en-us"/>
      </w:rPr>
    </w:lvl>
    <w:lvl w:ilvl="2">
      <w:start w:val="0"/>
      <w:numFmt w:val="bullet"/>
      <w:lvlText w:val="•"/>
      <w:lvlJc w:val="left"/>
      <w:pPr>
        <w:ind w:left="3699" w:hanging="794"/>
      </w:pPr>
      <w:rPr>
        <w:rFonts w:hint="default"/>
        <w:lang w:val="en-us" w:eastAsia="en-us" w:bidi="en-us"/>
      </w:rPr>
    </w:lvl>
    <w:lvl w:ilvl="3">
      <w:start w:val="0"/>
      <w:numFmt w:val="bullet"/>
      <w:lvlText w:val="•"/>
      <w:lvlJc w:val="left"/>
      <w:pPr>
        <w:ind w:left="4359" w:hanging="794"/>
      </w:pPr>
      <w:rPr>
        <w:rFonts w:hint="default"/>
        <w:lang w:val="en-us" w:eastAsia="en-us" w:bidi="en-us"/>
      </w:rPr>
    </w:lvl>
    <w:lvl w:ilvl="4">
      <w:start w:val="0"/>
      <w:numFmt w:val="bullet"/>
      <w:lvlText w:val="•"/>
      <w:lvlJc w:val="left"/>
      <w:pPr>
        <w:ind w:left="5019" w:hanging="794"/>
      </w:pPr>
      <w:rPr>
        <w:rFonts w:hint="default"/>
        <w:lang w:val="en-us" w:eastAsia="en-us" w:bidi="en-us"/>
      </w:rPr>
    </w:lvl>
    <w:lvl w:ilvl="5">
      <w:start w:val="0"/>
      <w:numFmt w:val="bullet"/>
      <w:lvlText w:val="•"/>
      <w:lvlJc w:val="left"/>
      <w:pPr>
        <w:ind w:left="5679" w:hanging="794"/>
      </w:pPr>
      <w:rPr>
        <w:rFonts w:hint="default"/>
        <w:lang w:val="en-us" w:eastAsia="en-us" w:bidi="en-us"/>
      </w:rPr>
    </w:lvl>
    <w:lvl w:ilvl="6">
      <w:start w:val="0"/>
      <w:numFmt w:val="bullet"/>
      <w:lvlText w:val="•"/>
      <w:lvlJc w:val="left"/>
      <w:pPr>
        <w:ind w:left="6339" w:hanging="794"/>
      </w:pPr>
      <w:rPr>
        <w:rFonts w:hint="default"/>
        <w:lang w:val="en-us" w:eastAsia="en-us" w:bidi="en-us"/>
      </w:rPr>
    </w:lvl>
    <w:lvl w:ilvl="7">
      <w:start w:val="0"/>
      <w:numFmt w:val="bullet"/>
      <w:lvlText w:val="•"/>
      <w:lvlJc w:val="left"/>
      <w:pPr>
        <w:ind w:left="6998" w:hanging="794"/>
      </w:pPr>
      <w:rPr>
        <w:rFonts w:hint="default"/>
        <w:lang w:val="en-us" w:eastAsia="en-us" w:bidi="en-us"/>
      </w:rPr>
    </w:lvl>
    <w:lvl w:ilvl="8">
      <w:start w:val="0"/>
      <w:numFmt w:val="bullet"/>
      <w:lvlText w:val="•"/>
      <w:lvlJc w:val="left"/>
      <w:pPr>
        <w:ind w:left="7658" w:hanging="794"/>
      </w:pPr>
      <w:rPr>
        <w:rFonts w:hint="default"/>
        <w:lang w:val="en-us" w:eastAsia="en-us" w:bidi="en-us"/>
      </w:rPr>
    </w:lvl>
  </w:abstractNum>
  <w:abstractNum w:abstractNumId="178">
    <w:multiLevelType w:val="hybridMultilevel"/>
    <w:lvl w:ilvl="0">
      <w:start w:val="289"/>
      <w:numFmt w:val="decimal"/>
      <w:lvlText w:val="%1"/>
      <w:lvlJc w:val="left"/>
      <w:pPr>
        <w:ind w:left="2381" w:hanging="794"/>
        <w:jc w:val="right"/>
      </w:pPr>
      <w:rPr>
        <w:rFonts w:hint="default" w:ascii="Calibri" w:hAnsi="Calibri" w:eastAsia="Calibri" w:cs="Calibri"/>
        <w:spacing w:val="-1"/>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559" w:hanging="341"/>
      </w:pPr>
      <w:rPr>
        <w:rFonts w:hint="default"/>
        <w:lang w:val="en-us" w:eastAsia="en-us" w:bidi="en-us"/>
      </w:rPr>
    </w:lvl>
    <w:lvl w:ilvl="3">
      <w:start w:val="0"/>
      <w:numFmt w:val="bullet"/>
      <w:lvlText w:val="•"/>
      <w:lvlJc w:val="left"/>
      <w:pPr>
        <w:ind w:left="4399" w:hanging="341"/>
      </w:pPr>
      <w:rPr>
        <w:rFonts w:hint="default"/>
        <w:lang w:val="en-us" w:eastAsia="en-us" w:bidi="en-us"/>
      </w:rPr>
    </w:lvl>
    <w:lvl w:ilvl="4">
      <w:start w:val="0"/>
      <w:numFmt w:val="bullet"/>
      <w:lvlText w:val="•"/>
      <w:lvlJc w:val="left"/>
      <w:pPr>
        <w:ind w:left="5238" w:hanging="341"/>
      </w:pPr>
      <w:rPr>
        <w:rFonts w:hint="default"/>
        <w:lang w:val="en-us" w:eastAsia="en-us" w:bidi="en-us"/>
      </w:rPr>
    </w:lvl>
    <w:lvl w:ilvl="5">
      <w:start w:val="0"/>
      <w:numFmt w:val="bullet"/>
      <w:lvlText w:val="•"/>
      <w:lvlJc w:val="left"/>
      <w:pPr>
        <w:ind w:left="6078" w:hanging="341"/>
      </w:pPr>
      <w:rPr>
        <w:rFonts w:hint="default"/>
        <w:lang w:val="en-us" w:eastAsia="en-us" w:bidi="en-us"/>
      </w:rPr>
    </w:lvl>
    <w:lvl w:ilvl="6">
      <w:start w:val="0"/>
      <w:numFmt w:val="bullet"/>
      <w:lvlText w:val="•"/>
      <w:lvlJc w:val="left"/>
      <w:pPr>
        <w:ind w:left="6917" w:hanging="341"/>
      </w:pPr>
      <w:rPr>
        <w:rFonts w:hint="default"/>
        <w:lang w:val="en-us" w:eastAsia="en-us" w:bidi="en-us"/>
      </w:rPr>
    </w:lvl>
    <w:lvl w:ilvl="7">
      <w:start w:val="0"/>
      <w:numFmt w:val="bullet"/>
      <w:lvlText w:val="•"/>
      <w:lvlJc w:val="left"/>
      <w:pPr>
        <w:ind w:left="7757" w:hanging="341"/>
      </w:pPr>
      <w:rPr>
        <w:rFonts w:hint="default"/>
        <w:lang w:val="en-us" w:eastAsia="en-us" w:bidi="en-us"/>
      </w:rPr>
    </w:lvl>
    <w:lvl w:ilvl="8">
      <w:start w:val="0"/>
      <w:numFmt w:val="bullet"/>
      <w:lvlText w:val="•"/>
      <w:lvlJc w:val="left"/>
      <w:pPr>
        <w:ind w:left="8596" w:hanging="341"/>
      </w:pPr>
      <w:rPr>
        <w:rFonts w:hint="default"/>
        <w:lang w:val="en-us" w:eastAsia="en-us" w:bidi="en-us"/>
      </w:rPr>
    </w:lvl>
  </w:abstractNum>
  <w:abstractNum w:abstractNumId="177">
    <w:multiLevelType w:val="hybridMultilevel"/>
    <w:lvl w:ilvl="0">
      <w:start w:val="274"/>
      <w:numFmt w:val="decimal"/>
      <w:lvlText w:val="%1"/>
      <w:lvlJc w:val="left"/>
      <w:pPr>
        <w:ind w:left="2381" w:hanging="794"/>
        <w:jc w:val="right"/>
      </w:pPr>
      <w:rPr>
        <w:rFonts w:hint="default" w:ascii="Calibri" w:hAnsi="Calibri" w:eastAsia="Calibri" w:cs="Calibri"/>
        <w:spacing w:val="-6"/>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557" w:hanging="341"/>
      </w:pPr>
      <w:rPr>
        <w:rFonts w:hint="default"/>
        <w:lang w:val="en-us" w:eastAsia="en-us" w:bidi="en-us"/>
      </w:rPr>
    </w:lvl>
    <w:lvl w:ilvl="3">
      <w:start w:val="0"/>
      <w:numFmt w:val="bullet"/>
      <w:lvlText w:val="•"/>
      <w:lvlJc w:val="left"/>
      <w:pPr>
        <w:ind w:left="4395" w:hanging="341"/>
      </w:pPr>
      <w:rPr>
        <w:rFonts w:hint="default"/>
        <w:lang w:val="en-us" w:eastAsia="en-us" w:bidi="en-us"/>
      </w:rPr>
    </w:lvl>
    <w:lvl w:ilvl="4">
      <w:start w:val="0"/>
      <w:numFmt w:val="bullet"/>
      <w:lvlText w:val="•"/>
      <w:lvlJc w:val="left"/>
      <w:pPr>
        <w:ind w:left="5232" w:hanging="341"/>
      </w:pPr>
      <w:rPr>
        <w:rFonts w:hint="default"/>
        <w:lang w:val="en-us" w:eastAsia="en-us" w:bidi="en-us"/>
      </w:rPr>
    </w:lvl>
    <w:lvl w:ilvl="5">
      <w:start w:val="0"/>
      <w:numFmt w:val="bullet"/>
      <w:lvlText w:val="•"/>
      <w:lvlJc w:val="left"/>
      <w:pPr>
        <w:ind w:left="6070" w:hanging="341"/>
      </w:pPr>
      <w:rPr>
        <w:rFonts w:hint="default"/>
        <w:lang w:val="en-us" w:eastAsia="en-us" w:bidi="en-us"/>
      </w:rPr>
    </w:lvl>
    <w:lvl w:ilvl="6">
      <w:start w:val="0"/>
      <w:numFmt w:val="bullet"/>
      <w:lvlText w:val="•"/>
      <w:lvlJc w:val="left"/>
      <w:pPr>
        <w:ind w:left="6907" w:hanging="341"/>
      </w:pPr>
      <w:rPr>
        <w:rFonts w:hint="default"/>
        <w:lang w:val="en-us" w:eastAsia="en-us" w:bidi="en-us"/>
      </w:rPr>
    </w:lvl>
    <w:lvl w:ilvl="7">
      <w:start w:val="0"/>
      <w:numFmt w:val="bullet"/>
      <w:lvlText w:val="•"/>
      <w:lvlJc w:val="left"/>
      <w:pPr>
        <w:ind w:left="7745" w:hanging="341"/>
      </w:pPr>
      <w:rPr>
        <w:rFonts w:hint="default"/>
        <w:lang w:val="en-us" w:eastAsia="en-us" w:bidi="en-us"/>
      </w:rPr>
    </w:lvl>
    <w:lvl w:ilvl="8">
      <w:start w:val="0"/>
      <w:numFmt w:val="bullet"/>
      <w:lvlText w:val="•"/>
      <w:lvlJc w:val="left"/>
      <w:pPr>
        <w:ind w:left="8582" w:hanging="341"/>
      </w:pPr>
      <w:rPr>
        <w:rFonts w:hint="default"/>
        <w:lang w:val="en-us" w:eastAsia="en-us" w:bidi="en-us"/>
      </w:rPr>
    </w:lvl>
  </w:abstractNum>
  <w:abstractNum w:abstractNumId="176">
    <w:multiLevelType w:val="hybridMultilevel"/>
    <w:lvl w:ilvl="0">
      <w:start w:val="253"/>
      <w:numFmt w:val="decimal"/>
      <w:lvlText w:val="%1"/>
      <w:lvlJc w:val="left"/>
      <w:pPr>
        <w:ind w:left="2381" w:hanging="794"/>
        <w:jc w:val="right"/>
      </w:pPr>
      <w:rPr>
        <w:rFonts w:hint="default" w:ascii="Calibri" w:hAnsi="Calibri" w:eastAsia="Calibri" w:cs="Calibri"/>
        <w:spacing w:val="-1"/>
        <w:w w:val="109"/>
        <w:sz w:val="13"/>
        <w:szCs w:val="13"/>
        <w:lang w:val="en-us" w:eastAsia="en-us" w:bidi="en-us"/>
      </w:rPr>
    </w:lvl>
    <w:lvl w:ilvl="1">
      <w:start w:val="0"/>
      <w:numFmt w:val="bullet"/>
      <w:lvlText w:val="•"/>
      <w:lvlJc w:val="left"/>
      <w:pPr>
        <w:ind w:left="3173" w:hanging="794"/>
      </w:pPr>
      <w:rPr>
        <w:rFonts w:hint="default"/>
        <w:lang w:val="en-us" w:eastAsia="en-us" w:bidi="en-us"/>
      </w:rPr>
    </w:lvl>
    <w:lvl w:ilvl="2">
      <w:start w:val="0"/>
      <w:numFmt w:val="bullet"/>
      <w:lvlText w:val="•"/>
      <w:lvlJc w:val="left"/>
      <w:pPr>
        <w:ind w:left="3967" w:hanging="794"/>
      </w:pPr>
      <w:rPr>
        <w:rFonts w:hint="default"/>
        <w:lang w:val="en-us" w:eastAsia="en-us" w:bidi="en-us"/>
      </w:rPr>
    </w:lvl>
    <w:lvl w:ilvl="3">
      <w:start w:val="0"/>
      <w:numFmt w:val="bullet"/>
      <w:lvlText w:val="•"/>
      <w:lvlJc w:val="left"/>
      <w:pPr>
        <w:ind w:left="4761" w:hanging="794"/>
      </w:pPr>
      <w:rPr>
        <w:rFonts w:hint="default"/>
        <w:lang w:val="en-us" w:eastAsia="en-us" w:bidi="en-us"/>
      </w:rPr>
    </w:lvl>
    <w:lvl w:ilvl="4">
      <w:start w:val="0"/>
      <w:numFmt w:val="bullet"/>
      <w:lvlText w:val="•"/>
      <w:lvlJc w:val="left"/>
      <w:pPr>
        <w:ind w:left="5555" w:hanging="794"/>
      </w:pPr>
      <w:rPr>
        <w:rFonts w:hint="default"/>
        <w:lang w:val="en-us" w:eastAsia="en-us" w:bidi="en-us"/>
      </w:rPr>
    </w:lvl>
    <w:lvl w:ilvl="5">
      <w:start w:val="0"/>
      <w:numFmt w:val="bullet"/>
      <w:lvlText w:val="•"/>
      <w:lvlJc w:val="left"/>
      <w:pPr>
        <w:ind w:left="6349" w:hanging="794"/>
      </w:pPr>
      <w:rPr>
        <w:rFonts w:hint="default"/>
        <w:lang w:val="en-us" w:eastAsia="en-us" w:bidi="en-us"/>
      </w:rPr>
    </w:lvl>
    <w:lvl w:ilvl="6">
      <w:start w:val="0"/>
      <w:numFmt w:val="bullet"/>
      <w:lvlText w:val="•"/>
      <w:lvlJc w:val="left"/>
      <w:pPr>
        <w:ind w:left="7143" w:hanging="794"/>
      </w:pPr>
      <w:rPr>
        <w:rFonts w:hint="default"/>
        <w:lang w:val="en-us" w:eastAsia="en-us" w:bidi="en-us"/>
      </w:rPr>
    </w:lvl>
    <w:lvl w:ilvl="7">
      <w:start w:val="0"/>
      <w:numFmt w:val="bullet"/>
      <w:lvlText w:val="•"/>
      <w:lvlJc w:val="left"/>
      <w:pPr>
        <w:ind w:left="7936" w:hanging="794"/>
      </w:pPr>
      <w:rPr>
        <w:rFonts w:hint="default"/>
        <w:lang w:val="en-us" w:eastAsia="en-us" w:bidi="en-us"/>
      </w:rPr>
    </w:lvl>
    <w:lvl w:ilvl="8">
      <w:start w:val="0"/>
      <w:numFmt w:val="bullet"/>
      <w:lvlText w:val="•"/>
      <w:lvlJc w:val="left"/>
      <w:pPr>
        <w:ind w:left="8730" w:hanging="794"/>
      </w:pPr>
      <w:rPr>
        <w:rFonts w:hint="default"/>
        <w:lang w:val="en-us" w:eastAsia="en-us" w:bidi="en-us"/>
      </w:rPr>
    </w:lvl>
  </w:abstractNum>
  <w:abstractNum w:abstractNumId="175">
    <w:multiLevelType w:val="hybridMultilevel"/>
    <w:lvl w:ilvl="0">
      <w:start w:val="233"/>
      <w:numFmt w:val="decimal"/>
      <w:lvlText w:val="%1"/>
      <w:lvlJc w:val="left"/>
      <w:pPr>
        <w:ind w:left="2381" w:hanging="794"/>
        <w:jc w:val="right"/>
      </w:pPr>
      <w:rPr>
        <w:rFonts w:hint="default" w:ascii="Calibri" w:hAnsi="Calibri" w:eastAsia="Calibri" w:cs="Calibri"/>
        <w:spacing w:val="-1"/>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572" w:hanging="341"/>
      </w:pPr>
      <w:rPr>
        <w:rFonts w:hint="default"/>
        <w:lang w:val="en-us" w:eastAsia="en-us" w:bidi="en-us"/>
      </w:rPr>
    </w:lvl>
    <w:lvl w:ilvl="3">
      <w:start w:val="0"/>
      <w:numFmt w:val="bullet"/>
      <w:lvlText w:val="•"/>
      <w:lvlJc w:val="left"/>
      <w:pPr>
        <w:ind w:left="4425" w:hanging="341"/>
      </w:pPr>
      <w:rPr>
        <w:rFonts w:hint="default"/>
        <w:lang w:val="en-us" w:eastAsia="en-us" w:bidi="en-us"/>
      </w:rPr>
    </w:lvl>
    <w:lvl w:ilvl="4">
      <w:start w:val="0"/>
      <w:numFmt w:val="bullet"/>
      <w:lvlText w:val="•"/>
      <w:lvlJc w:val="left"/>
      <w:pPr>
        <w:ind w:left="5278" w:hanging="341"/>
      </w:pPr>
      <w:rPr>
        <w:rFonts w:hint="default"/>
        <w:lang w:val="en-us" w:eastAsia="en-us" w:bidi="en-us"/>
      </w:rPr>
    </w:lvl>
    <w:lvl w:ilvl="5">
      <w:start w:val="0"/>
      <w:numFmt w:val="bullet"/>
      <w:lvlText w:val="•"/>
      <w:lvlJc w:val="left"/>
      <w:pPr>
        <w:ind w:left="6131" w:hanging="341"/>
      </w:pPr>
      <w:rPr>
        <w:rFonts w:hint="default"/>
        <w:lang w:val="en-us" w:eastAsia="en-us" w:bidi="en-us"/>
      </w:rPr>
    </w:lvl>
    <w:lvl w:ilvl="6">
      <w:start w:val="0"/>
      <w:numFmt w:val="bullet"/>
      <w:lvlText w:val="•"/>
      <w:lvlJc w:val="left"/>
      <w:pPr>
        <w:ind w:left="6984" w:hanging="341"/>
      </w:pPr>
      <w:rPr>
        <w:rFonts w:hint="default"/>
        <w:lang w:val="en-us" w:eastAsia="en-us" w:bidi="en-us"/>
      </w:rPr>
    </w:lvl>
    <w:lvl w:ilvl="7">
      <w:start w:val="0"/>
      <w:numFmt w:val="bullet"/>
      <w:lvlText w:val="•"/>
      <w:lvlJc w:val="left"/>
      <w:pPr>
        <w:ind w:left="7836" w:hanging="341"/>
      </w:pPr>
      <w:rPr>
        <w:rFonts w:hint="default"/>
        <w:lang w:val="en-us" w:eastAsia="en-us" w:bidi="en-us"/>
      </w:rPr>
    </w:lvl>
    <w:lvl w:ilvl="8">
      <w:start w:val="0"/>
      <w:numFmt w:val="bullet"/>
      <w:lvlText w:val="•"/>
      <w:lvlJc w:val="left"/>
      <w:pPr>
        <w:ind w:left="8689" w:hanging="341"/>
      </w:pPr>
      <w:rPr>
        <w:rFonts w:hint="default"/>
        <w:lang w:val="en-us" w:eastAsia="en-us" w:bidi="en-us"/>
      </w:rPr>
    </w:lvl>
  </w:abstractNum>
  <w:abstractNum w:abstractNumId="174">
    <w:multiLevelType w:val="hybridMultilevel"/>
    <w:lvl w:ilvl="0">
      <w:start w:val="217"/>
      <w:numFmt w:val="decimal"/>
      <w:lvlText w:val="%1"/>
      <w:lvlJc w:val="left"/>
      <w:pPr>
        <w:ind w:left="2381" w:hanging="794"/>
        <w:jc w:val="right"/>
      </w:pPr>
      <w:rPr>
        <w:rFonts w:hint="default" w:ascii="Calibri" w:hAnsi="Calibri" w:eastAsia="Calibri" w:cs="Calibri"/>
        <w:spacing w:val="-7"/>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555" w:hanging="341"/>
      </w:pPr>
      <w:rPr>
        <w:rFonts w:hint="default"/>
        <w:lang w:val="en-us" w:eastAsia="en-us" w:bidi="en-us"/>
      </w:rPr>
    </w:lvl>
    <w:lvl w:ilvl="3">
      <w:start w:val="0"/>
      <w:numFmt w:val="bullet"/>
      <w:lvlText w:val="•"/>
      <w:lvlJc w:val="left"/>
      <w:pPr>
        <w:ind w:left="4390" w:hanging="341"/>
      </w:pPr>
      <w:rPr>
        <w:rFonts w:hint="default"/>
        <w:lang w:val="en-us" w:eastAsia="en-us" w:bidi="en-us"/>
      </w:rPr>
    </w:lvl>
    <w:lvl w:ilvl="4">
      <w:start w:val="0"/>
      <w:numFmt w:val="bullet"/>
      <w:lvlText w:val="•"/>
      <w:lvlJc w:val="left"/>
      <w:pPr>
        <w:ind w:left="5225" w:hanging="341"/>
      </w:pPr>
      <w:rPr>
        <w:rFonts w:hint="default"/>
        <w:lang w:val="en-us" w:eastAsia="en-us" w:bidi="en-us"/>
      </w:rPr>
    </w:lvl>
    <w:lvl w:ilvl="5">
      <w:start w:val="0"/>
      <w:numFmt w:val="bullet"/>
      <w:lvlText w:val="•"/>
      <w:lvlJc w:val="left"/>
      <w:pPr>
        <w:ind w:left="6060" w:hanging="341"/>
      </w:pPr>
      <w:rPr>
        <w:rFonts w:hint="default"/>
        <w:lang w:val="en-us" w:eastAsia="en-us" w:bidi="en-us"/>
      </w:rPr>
    </w:lvl>
    <w:lvl w:ilvl="6">
      <w:start w:val="0"/>
      <w:numFmt w:val="bullet"/>
      <w:lvlText w:val="•"/>
      <w:lvlJc w:val="left"/>
      <w:pPr>
        <w:ind w:left="6896" w:hanging="341"/>
      </w:pPr>
      <w:rPr>
        <w:rFonts w:hint="default"/>
        <w:lang w:val="en-us" w:eastAsia="en-us" w:bidi="en-us"/>
      </w:rPr>
    </w:lvl>
    <w:lvl w:ilvl="7">
      <w:start w:val="0"/>
      <w:numFmt w:val="bullet"/>
      <w:lvlText w:val="•"/>
      <w:lvlJc w:val="left"/>
      <w:pPr>
        <w:ind w:left="7731" w:hanging="341"/>
      </w:pPr>
      <w:rPr>
        <w:rFonts w:hint="default"/>
        <w:lang w:val="en-us" w:eastAsia="en-us" w:bidi="en-us"/>
      </w:rPr>
    </w:lvl>
    <w:lvl w:ilvl="8">
      <w:start w:val="0"/>
      <w:numFmt w:val="bullet"/>
      <w:lvlText w:val="•"/>
      <w:lvlJc w:val="left"/>
      <w:pPr>
        <w:ind w:left="8566" w:hanging="341"/>
      </w:pPr>
      <w:rPr>
        <w:rFonts w:hint="default"/>
        <w:lang w:val="en-us" w:eastAsia="en-us" w:bidi="en-us"/>
      </w:rPr>
    </w:lvl>
  </w:abstractNum>
  <w:abstractNum w:abstractNumId="173">
    <w:multiLevelType w:val="hybridMultilevel"/>
    <w:lvl w:ilvl="0">
      <w:start w:val="212"/>
      <w:numFmt w:val="decimal"/>
      <w:lvlText w:val="%1"/>
      <w:lvlJc w:val="left"/>
      <w:pPr>
        <w:ind w:left="2381" w:hanging="794"/>
        <w:jc w:val="left"/>
      </w:pPr>
      <w:rPr>
        <w:rFonts w:hint="default" w:ascii="Calibri" w:hAnsi="Calibri" w:eastAsia="Calibri" w:cs="Calibri"/>
        <w:spacing w:val="-7"/>
        <w:w w:val="109"/>
        <w:sz w:val="13"/>
        <w:szCs w:val="13"/>
        <w:lang w:val="en-us" w:eastAsia="en-us" w:bidi="en-us"/>
      </w:rPr>
    </w:lvl>
    <w:lvl w:ilvl="1">
      <w:start w:val="0"/>
      <w:numFmt w:val="bullet"/>
      <w:lvlText w:val="•"/>
      <w:lvlJc w:val="left"/>
      <w:pPr>
        <w:ind w:left="3165" w:hanging="794"/>
      </w:pPr>
      <w:rPr>
        <w:rFonts w:hint="default"/>
        <w:lang w:val="en-us" w:eastAsia="en-us" w:bidi="en-us"/>
      </w:rPr>
    </w:lvl>
    <w:lvl w:ilvl="2">
      <w:start w:val="0"/>
      <w:numFmt w:val="bullet"/>
      <w:lvlText w:val="•"/>
      <w:lvlJc w:val="left"/>
      <w:pPr>
        <w:ind w:left="3951" w:hanging="794"/>
      </w:pPr>
      <w:rPr>
        <w:rFonts w:hint="default"/>
        <w:lang w:val="en-us" w:eastAsia="en-us" w:bidi="en-us"/>
      </w:rPr>
    </w:lvl>
    <w:lvl w:ilvl="3">
      <w:start w:val="0"/>
      <w:numFmt w:val="bullet"/>
      <w:lvlText w:val="•"/>
      <w:lvlJc w:val="left"/>
      <w:pPr>
        <w:ind w:left="4737" w:hanging="794"/>
      </w:pPr>
      <w:rPr>
        <w:rFonts w:hint="default"/>
        <w:lang w:val="en-us" w:eastAsia="en-us" w:bidi="en-us"/>
      </w:rPr>
    </w:lvl>
    <w:lvl w:ilvl="4">
      <w:start w:val="0"/>
      <w:numFmt w:val="bullet"/>
      <w:lvlText w:val="•"/>
      <w:lvlJc w:val="left"/>
      <w:pPr>
        <w:ind w:left="5522" w:hanging="794"/>
      </w:pPr>
      <w:rPr>
        <w:rFonts w:hint="default"/>
        <w:lang w:val="en-us" w:eastAsia="en-us" w:bidi="en-us"/>
      </w:rPr>
    </w:lvl>
    <w:lvl w:ilvl="5">
      <w:start w:val="0"/>
      <w:numFmt w:val="bullet"/>
      <w:lvlText w:val="•"/>
      <w:lvlJc w:val="left"/>
      <w:pPr>
        <w:ind w:left="6308" w:hanging="794"/>
      </w:pPr>
      <w:rPr>
        <w:rFonts w:hint="default"/>
        <w:lang w:val="en-us" w:eastAsia="en-us" w:bidi="en-us"/>
      </w:rPr>
    </w:lvl>
    <w:lvl w:ilvl="6">
      <w:start w:val="0"/>
      <w:numFmt w:val="bullet"/>
      <w:lvlText w:val="•"/>
      <w:lvlJc w:val="left"/>
      <w:pPr>
        <w:ind w:left="7094" w:hanging="794"/>
      </w:pPr>
      <w:rPr>
        <w:rFonts w:hint="default"/>
        <w:lang w:val="en-us" w:eastAsia="en-us" w:bidi="en-us"/>
      </w:rPr>
    </w:lvl>
    <w:lvl w:ilvl="7">
      <w:start w:val="0"/>
      <w:numFmt w:val="bullet"/>
      <w:lvlText w:val="•"/>
      <w:lvlJc w:val="left"/>
      <w:pPr>
        <w:ind w:left="7879" w:hanging="794"/>
      </w:pPr>
      <w:rPr>
        <w:rFonts w:hint="default"/>
        <w:lang w:val="en-us" w:eastAsia="en-us" w:bidi="en-us"/>
      </w:rPr>
    </w:lvl>
    <w:lvl w:ilvl="8">
      <w:start w:val="0"/>
      <w:numFmt w:val="bullet"/>
      <w:lvlText w:val="•"/>
      <w:lvlJc w:val="left"/>
      <w:pPr>
        <w:ind w:left="8665" w:hanging="794"/>
      </w:pPr>
      <w:rPr>
        <w:rFonts w:hint="default"/>
        <w:lang w:val="en-us" w:eastAsia="en-us" w:bidi="en-us"/>
      </w:rPr>
    </w:lvl>
  </w:abstractNum>
  <w:abstractNum w:abstractNumId="172">
    <w:multiLevelType w:val="hybridMultilevel"/>
    <w:lvl w:ilvl="0">
      <w:start w:val="110"/>
      <w:numFmt w:val="decimal"/>
      <w:lvlText w:val="%0.%1"/>
      <w:lvlJc w:val="left"/>
      <w:pPr>
        <w:ind w:left="2381" w:hanging="794"/>
        <w:jc w:val="left"/>
      </w:pPr>
      <w:rPr>
        <w:rFonts w:hint="default" w:ascii="Calibri" w:hAnsi="Calibri" w:eastAsia="Calibri" w:cs="Calibri"/>
        <w:spacing w:val="-24"/>
        <w:w w:val="109"/>
        <w:sz w:val="21"/>
        <w:szCs w:val="21"/>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061" w:hanging="341"/>
      </w:pPr>
      <w:rPr>
        <w:rFonts w:hint="default" w:ascii="Calibri" w:hAnsi="Calibri" w:eastAsia="Calibri" w:cs="Calibri"/>
        <w:w w:val="108"/>
        <w:sz w:val="21"/>
        <w:szCs w:val="21"/>
        <w:lang w:val="en-us" w:eastAsia="en-us" w:bidi="en-us"/>
      </w:rPr>
    </w:lvl>
    <w:lvl w:ilvl="3">
      <w:start w:val="0"/>
      <w:numFmt w:val="bullet"/>
      <w:lvlText w:val="•"/>
      <w:lvlJc w:val="left"/>
      <w:pPr>
        <w:ind w:left="4165" w:hanging="341"/>
      </w:pPr>
      <w:rPr>
        <w:rFonts w:hint="default"/>
        <w:lang w:val="en-us" w:eastAsia="en-us" w:bidi="en-us"/>
      </w:rPr>
    </w:lvl>
    <w:lvl w:ilvl="4">
      <w:start w:val="0"/>
      <w:numFmt w:val="bullet"/>
      <w:lvlText w:val="•"/>
      <w:lvlJc w:val="left"/>
      <w:pPr>
        <w:ind w:left="5271" w:hanging="341"/>
      </w:pPr>
      <w:rPr>
        <w:rFonts w:hint="default"/>
        <w:lang w:val="en-us" w:eastAsia="en-us" w:bidi="en-us"/>
      </w:rPr>
    </w:lvl>
    <w:lvl w:ilvl="5">
      <w:start w:val="0"/>
      <w:numFmt w:val="bullet"/>
      <w:lvlText w:val="•"/>
      <w:lvlJc w:val="left"/>
      <w:pPr>
        <w:ind w:left="6377" w:hanging="341"/>
      </w:pPr>
      <w:rPr>
        <w:rFonts w:hint="default"/>
        <w:lang w:val="en-us" w:eastAsia="en-us" w:bidi="en-us"/>
      </w:rPr>
    </w:lvl>
    <w:lvl w:ilvl="6">
      <w:start w:val="0"/>
      <w:numFmt w:val="bullet"/>
      <w:lvlText w:val="•"/>
      <w:lvlJc w:val="left"/>
      <w:pPr>
        <w:ind w:left="7482" w:hanging="341"/>
      </w:pPr>
      <w:rPr>
        <w:rFonts w:hint="default"/>
        <w:lang w:val="en-us" w:eastAsia="en-us" w:bidi="en-us"/>
      </w:rPr>
    </w:lvl>
    <w:lvl w:ilvl="7">
      <w:start w:val="0"/>
      <w:numFmt w:val="bullet"/>
      <w:lvlText w:val="•"/>
      <w:lvlJc w:val="left"/>
      <w:pPr>
        <w:ind w:left="8588" w:hanging="341"/>
      </w:pPr>
      <w:rPr>
        <w:rFonts w:hint="default"/>
        <w:lang w:val="en-us" w:eastAsia="en-us" w:bidi="en-us"/>
      </w:rPr>
    </w:lvl>
    <w:lvl w:ilvl="8">
      <w:start w:val="0"/>
      <w:numFmt w:val="bullet"/>
      <w:lvlText w:val="•"/>
      <w:lvlJc w:val="left"/>
      <w:pPr>
        <w:ind w:left="9694" w:hanging="341"/>
      </w:pPr>
      <w:rPr>
        <w:rFonts w:hint="default"/>
        <w:lang w:val="en-us" w:eastAsia="en-us" w:bidi="en-us"/>
      </w:rPr>
    </w:lvl>
  </w:abstractNum>
  <w:abstractNum w:abstractNumId="171">
    <w:multiLevelType w:val="hybridMultilevel"/>
    <w:lvl w:ilvl="0">
      <w:start w:val="199"/>
      <w:numFmt w:val="decimal"/>
      <w:lvlText w:val="%1"/>
      <w:lvlJc w:val="left"/>
      <w:pPr>
        <w:ind w:left="2381" w:hanging="794"/>
        <w:jc w:val="right"/>
      </w:pPr>
      <w:rPr>
        <w:rFonts w:hint="default" w:ascii="Calibri" w:hAnsi="Calibri" w:eastAsia="Calibri" w:cs="Calibri"/>
        <w:spacing w:val="-5"/>
        <w:w w:val="109"/>
        <w:sz w:val="13"/>
        <w:szCs w:val="13"/>
        <w:lang w:val="en-us" w:eastAsia="en-us" w:bidi="en-us"/>
      </w:rPr>
    </w:lvl>
    <w:lvl w:ilvl="1">
      <w:start w:val="0"/>
      <w:numFmt w:val="bullet"/>
      <w:lvlText w:val="•"/>
      <w:lvlJc w:val="left"/>
      <w:pPr>
        <w:ind w:left="3171" w:hanging="794"/>
      </w:pPr>
      <w:rPr>
        <w:rFonts w:hint="default"/>
        <w:lang w:val="en-us" w:eastAsia="en-us" w:bidi="en-us"/>
      </w:rPr>
    </w:lvl>
    <w:lvl w:ilvl="2">
      <w:start w:val="0"/>
      <w:numFmt w:val="bullet"/>
      <w:lvlText w:val="•"/>
      <w:lvlJc w:val="left"/>
      <w:pPr>
        <w:ind w:left="3963" w:hanging="794"/>
      </w:pPr>
      <w:rPr>
        <w:rFonts w:hint="default"/>
        <w:lang w:val="en-us" w:eastAsia="en-us" w:bidi="en-us"/>
      </w:rPr>
    </w:lvl>
    <w:lvl w:ilvl="3">
      <w:start w:val="0"/>
      <w:numFmt w:val="bullet"/>
      <w:lvlText w:val="•"/>
      <w:lvlJc w:val="left"/>
      <w:pPr>
        <w:ind w:left="4755" w:hanging="794"/>
      </w:pPr>
      <w:rPr>
        <w:rFonts w:hint="default"/>
        <w:lang w:val="en-us" w:eastAsia="en-us" w:bidi="en-us"/>
      </w:rPr>
    </w:lvl>
    <w:lvl w:ilvl="4">
      <w:start w:val="0"/>
      <w:numFmt w:val="bullet"/>
      <w:lvlText w:val="•"/>
      <w:lvlJc w:val="left"/>
      <w:pPr>
        <w:ind w:left="5546" w:hanging="794"/>
      </w:pPr>
      <w:rPr>
        <w:rFonts w:hint="default"/>
        <w:lang w:val="en-us" w:eastAsia="en-us" w:bidi="en-us"/>
      </w:rPr>
    </w:lvl>
    <w:lvl w:ilvl="5">
      <w:start w:val="0"/>
      <w:numFmt w:val="bullet"/>
      <w:lvlText w:val="•"/>
      <w:lvlJc w:val="left"/>
      <w:pPr>
        <w:ind w:left="6338" w:hanging="794"/>
      </w:pPr>
      <w:rPr>
        <w:rFonts w:hint="default"/>
        <w:lang w:val="en-us" w:eastAsia="en-us" w:bidi="en-us"/>
      </w:rPr>
    </w:lvl>
    <w:lvl w:ilvl="6">
      <w:start w:val="0"/>
      <w:numFmt w:val="bullet"/>
      <w:lvlText w:val="•"/>
      <w:lvlJc w:val="left"/>
      <w:pPr>
        <w:ind w:left="7130" w:hanging="794"/>
      </w:pPr>
      <w:rPr>
        <w:rFonts w:hint="default"/>
        <w:lang w:val="en-us" w:eastAsia="en-us" w:bidi="en-us"/>
      </w:rPr>
    </w:lvl>
    <w:lvl w:ilvl="7">
      <w:start w:val="0"/>
      <w:numFmt w:val="bullet"/>
      <w:lvlText w:val="•"/>
      <w:lvlJc w:val="left"/>
      <w:pPr>
        <w:ind w:left="7922" w:hanging="794"/>
      </w:pPr>
      <w:rPr>
        <w:rFonts w:hint="default"/>
        <w:lang w:val="en-us" w:eastAsia="en-us" w:bidi="en-us"/>
      </w:rPr>
    </w:lvl>
    <w:lvl w:ilvl="8">
      <w:start w:val="0"/>
      <w:numFmt w:val="bullet"/>
      <w:lvlText w:val="•"/>
      <w:lvlJc w:val="left"/>
      <w:pPr>
        <w:ind w:left="8713" w:hanging="794"/>
      </w:pPr>
      <w:rPr>
        <w:rFonts w:hint="default"/>
        <w:lang w:val="en-us" w:eastAsia="en-us" w:bidi="en-us"/>
      </w:rPr>
    </w:lvl>
  </w:abstractNum>
  <w:abstractNum w:abstractNumId="170">
    <w:multiLevelType w:val="hybridMultilevel"/>
    <w:lvl w:ilvl="0">
      <w:start w:val="183"/>
      <w:numFmt w:val="decimal"/>
      <w:lvlText w:val="%1"/>
      <w:lvlJc w:val="left"/>
      <w:pPr>
        <w:ind w:left="1219" w:hanging="794"/>
        <w:jc w:val="right"/>
      </w:pPr>
      <w:rPr>
        <w:rFonts w:hint="default" w:ascii="Calibri" w:hAnsi="Calibri" w:eastAsia="Calibri" w:cs="Calibri"/>
        <w:spacing w:val="-4"/>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611" w:hanging="341"/>
      </w:pPr>
      <w:rPr>
        <w:rFonts w:hint="default"/>
        <w:lang w:val="en-us" w:eastAsia="en-us" w:bidi="en-us"/>
      </w:rPr>
    </w:lvl>
    <w:lvl w:ilvl="3">
      <w:start w:val="0"/>
      <w:numFmt w:val="bullet"/>
      <w:lvlText w:val="•"/>
      <w:lvlJc w:val="left"/>
      <w:pPr>
        <w:ind w:left="4503" w:hanging="341"/>
      </w:pPr>
      <w:rPr>
        <w:rFonts w:hint="default"/>
        <w:lang w:val="en-us" w:eastAsia="en-us" w:bidi="en-us"/>
      </w:rPr>
    </w:lvl>
    <w:lvl w:ilvl="4">
      <w:start w:val="0"/>
      <w:numFmt w:val="bullet"/>
      <w:lvlText w:val="•"/>
      <w:lvlJc w:val="left"/>
      <w:pPr>
        <w:ind w:left="5394" w:hanging="341"/>
      </w:pPr>
      <w:rPr>
        <w:rFonts w:hint="default"/>
        <w:lang w:val="en-us" w:eastAsia="en-us" w:bidi="en-us"/>
      </w:rPr>
    </w:lvl>
    <w:lvl w:ilvl="5">
      <w:start w:val="0"/>
      <w:numFmt w:val="bullet"/>
      <w:lvlText w:val="•"/>
      <w:lvlJc w:val="left"/>
      <w:pPr>
        <w:ind w:left="6286" w:hanging="341"/>
      </w:pPr>
      <w:rPr>
        <w:rFonts w:hint="default"/>
        <w:lang w:val="en-us" w:eastAsia="en-us" w:bidi="en-us"/>
      </w:rPr>
    </w:lvl>
    <w:lvl w:ilvl="6">
      <w:start w:val="0"/>
      <w:numFmt w:val="bullet"/>
      <w:lvlText w:val="•"/>
      <w:lvlJc w:val="left"/>
      <w:pPr>
        <w:ind w:left="7177" w:hanging="341"/>
      </w:pPr>
      <w:rPr>
        <w:rFonts w:hint="default"/>
        <w:lang w:val="en-us" w:eastAsia="en-us" w:bidi="en-us"/>
      </w:rPr>
    </w:lvl>
    <w:lvl w:ilvl="7">
      <w:start w:val="0"/>
      <w:numFmt w:val="bullet"/>
      <w:lvlText w:val="•"/>
      <w:lvlJc w:val="left"/>
      <w:pPr>
        <w:ind w:left="8069" w:hanging="341"/>
      </w:pPr>
      <w:rPr>
        <w:rFonts w:hint="default"/>
        <w:lang w:val="en-us" w:eastAsia="en-us" w:bidi="en-us"/>
      </w:rPr>
    </w:lvl>
    <w:lvl w:ilvl="8">
      <w:start w:val="0"/>
      <w:numFmt w:val="bullet"/>
      <w:lvlText w:val="•"/>
      <w:lvlJc w:val="left"/>
      <w:pPr>
        <w:ind w:left="8960" w:hanging="341"/>
      </w:pPr>
      <w:rPr>
        <w:rFonts w:hint="default"/>
        <w:lang w:val="en-us" w:eastAsia="en-us" w:bidi="en-us"/>
      </w:rPr>
    </w:lvl>
  </w:abstractNum>
  <w:abstractNum w:abstractNumId="169">
    <w:multiLevelType w:val="hybridMultilevel"/>
    <w:lvl w:ilvl="0">
      <w:start w:val="174"/>
      <w:numFmt w:val="decimal"/>
      <w:lvlText w:val="%1"/>
      <w:lvlJc w:val="left"/>
      <w:pPr>
        <w:ind w:left="2381" w:hanging="794"/>
        <w:jc w:val="right"/>
      </w:pPr>
      <w:rPr>
        <w:rFonts w:hint="default" w:ascii="Calibri" w:hAnsi="Calibri" w:eastAsia="Calibri" w:cs="Calibri"/>
        <w:spacing w:val="-7"/>
        <w:w w:val="109"/>
        <w:sz w:val="13"/>
        <w:szCs w:val="13"/>
        <w:lang w:val="en-us" w:eastAsia="en-us" w:bidi="en-us"/>
      </w:rPr>
    </w:lvl>
    <w:lvl w:ilvl="1">
      <w:start w:val="0"/>
      <w:numFmt w:val="bullet"/>
      <w:lvlText w:val="•"/>
      <w:lvlJc w:val="left"/>
      <w:pPr>
        <w:ind w:left="3165" w:hanging="794"/>
      </w:pPr>
      <w:rPr>
        <w:rFonts w:hint="default"/>
        <w:lang w:val="en-us" w:eastAsia="en-us" w:bidi="en-us"/>
      </w:rPr>
    </w:lvl>
    <w:lvl w:ilvl="2">
      <w:start w:val="0"/>
      <w:numFmt w:val="bullet"/>
      <w:lvlText w:val="•"/>
      <w:lvlJc w:val="left"/>
      <w:pPr>
        <w:ind w:left="3951" w:hanging="794"/>
      </w:pPr>
      <w:rPr>
        <w:rFonts w:hint="default"/>
        <w:lang w:val="en-us" w:eastAsia="en-us" w:bidi="en-us"/>
      </w:rPr>
    </w:lvl>
    <w:lvl w:ilvl="3">
      <w:start w:val="0"/>
      <w:numFmt w:val="bullet"/>
      <w:lvlText w:val="•"/>
      <w:lvlJc w:val="left"/>
      <w:pPr>
        <w:ind w:left="4736" w:hanging="794"/>
      </w:pPr>
      <w:rPr>
        <w:rFonts w:hint="default"/>
        <w:lang w:val="en-us" w:eastAsia="en-us" w:bidi="en-us"/>
      </w:rPr>
    </w:lvl>
    <w:lvl w:ilvl="4">
      <w:start w:val="0"/>
      <w:numFmt w:val="bullet"/>
      <w:lvlText w:val="•"/>
      <w:lvlJc w:val="left"/>
      <w:pPr>
        <w:ind w:left="5522" w:hanging="794"/>
      </w:pPr>
      <w:rPr>
        <w:rFonts w:hint="default"/>
        <w:lang w:val="en-us" w:eastAsia="en-us" w:bidi="en-us"/>
      </w:rPr>
    </w:lvl>
    <w:lvl w:ilvl="5">
      <w:start w:val="0"/>
      <w:numFmt w:val="bullet"/>
      <w:lvlText w:val="•"/>
      <w:lvlJc w:val="left"/>
      <w:pPr>
        <w:ind w:left="6307" w:hanging="794"/>
      </w:pPr>
      <w:rPr>
        <w:rFonts w:hint="default"/>
        <w:lang w:val="en-us" w:eastAsia="en-us" w:bidi="en-us"/>
      </w:rPr>
    </w:lvl>
    <w:lvl w:ilvl="6">
      <w:start w:val="0"/>
      <w:numFmt w:val="bullet"/>
      <w:lvlText w:val="•"/>
      <w:lvlJc w:val="left"/>
      <w:pPr>
        <w:ind w:left="7093" w:hanging="794"/>
      </w:pPr>
      <w:rPr>
        <w:rFonts w:hint="default"/>
        <w:lang w:val="en-us" w:eastAsia="en-us" w:bidi="en-us"/>
      </w:rPr>
    </w:lvl>
    <w:lvl w:ilvl="7">
      <w:start w:val="0"/>
      <w:numFmt w:val="bullet"/>
      <w:lvlText w:val="•"/>
      <w:lvlJc w:val="left"/>
      <w:pPr>
        <w:ind w:left="7878" w:hanging="794"/>
      </w:pPr>
      <w:rPr>
        <w:rFonts w:hint="default"/>
        <w:lang w:val="en-us" w:eastAsia="en-us" w:bidi="en-us"/>
      </w:rPr>
    </w:lvl>
    <w:lvl w:ilvl="8">
      <w:start w:val="0"/>
      <w:numFmt w:val="bullet"/>
      <w:lvlText w:val="•"/>
      <w:lvlJc w:val="left"/>
      <w:pPr>
        <w:ind w:left="8664" w:hanging="794"/>
      </w:pPr>
      <w:rPr>
        <w:rFonts w:hint="default"/>
        <w:lang w:val="en-us" w:eastAsia="en-us" w:bidi="en-us"/>
      </w:rPr>
    </w:lvl>
  </w:abstractNum>
  <w:abstractNum w:abstractNumId="168">
    <w:multiLevelType w:val="hybridMultilevel"/>
    <w:lvl w:ilvl="0">
      <w:start w:val="164"/>
      <w:numFmt w:val="decimal"/>
      <w:lvlText w:val="%1"/>
      <w:lvlJc w:val="left"/>
      <w:pPr>
        <w:ind w:left="2381" w:hanging="794"/>
        <w:jc w:val="left"/>
      </w:pPr>
      <w:rPr>
        <w:rFonts w:hint="default" w:ascii="Calibri" w:hAnsi="Calibri" w:eastAsia="Calibri" w:cs="Calibri"/>
        <w:spacing w:val="-4"/>
        <w:w w:val="109"/>
        <w:sz w:val="13"/>
        <w:szCs w:val="13"/>
        <w:lang w:val="en-us" w:eastAsia="en-us" w:bidi="en-us"/>
      </w:rPr>
    </w:lvl>
    <w:lvl w:ilvl="1">
      <w:start w:val="0"/>
      <w:numFmt w:val="bullet"/>
      <w:lvlText w:val="•"/>
      <w:lvlJc w:val="left"/>
      <w:pPr>
        <w:ind w:left="3165" w:hanging="794"/>
      </w:pPr>
      <w:rPr>
        <w:rFonts w:hint="default"/>
        <w:lang w:val="en-us" w:eastAsia="en-us" w:bidi="en-us"/>
      </w:rPr>
    </w:lvl>
    <w:lvl w:ilvl="2">
      <w:start w:val="0"/>
      <w:numFmt w:val="bullet"/>
      <w:lvlText w:val="•"/>
      <w:lvlJc w:val="left"/>
      <w:pPr>
        <w:ind w:left="3951" w:hanging="794"/>
      </w:pPr>
      <w:rPr>
        <w:rFonts w:hint="default"/>
        <w:lang w:val="en-us" w:eastAsia="en-us" w:bidi="en-us"/>
      </w:rPr>
    </w:lvl>
    <w:lvl w:ilvl="3">
      <w:start w:val="0"/>
      <w:numFmt w:val="bullet"/>
      <w:lvlText w:val="•"/>
      <w:lvlJc w:val="left"/>
      <w:pPr>
        <w:ind w:left="4736" w:hanging="794"/>
      </w:pPr>
      <w:rPr>
        <w:rFonts w:hint="default"/>
        <w:lang w:val="en-us" w:eastAsia="en-us" w:bidi="en-us"/>
      </w:rPr>
    </w:lvl>
    <w:lvl w:ilvl="4">
      <w:start w:val="0"/>
      <w:numFmt w:val="bullet"/>
      <w:lvlText w:val="•"/>
      <w:lvlJc w:val="left"/>
      <w:pPr>
        <w:ind w:left="5522" w:hanging="794"/>
      </w:pPr>
      <w:rPr>
        <w:rFonts w:hint="default"/>
        <w:lang w:val="en-us" w:eastAsia="en-us" w:bidi="en-us"/>
      </w:rPr>
    </w:lvl>
    <w:lvl w:ilvl="5">
      <w:start w:val="0"/>
      <w:numFmt w:val="bullet"/>
      <w:lvlText w:val="•"/>
      <w:lvlJc w:val="left"/>
      <w:pPr>
        <w:ind w:left="6307" w:hanging="794"/>
      </w:pPr>
      <w:rPr>
        <w:rFonts w:hint="default"/>
        <w:lang w:val="en-us" w:eastAsia="en-us" w:bidi="en-us"/>
      </w:rPr>
    </w:lvl>
    <w:lvl w:ilvl="6">
      <w:start w:val="0"/>
      <w:numFmt w:val="bullet"/>
      <w:lvlText w:val="•"/>
      <w:lvlJc w:val="left"/>
      <w:pPr>
        <w:ind w:left="7093" w:hanging="794"/>
      </w:pPr>
      <w:rPr>
        <w:rFonts w:hint="default"/>
        <w:lang w:val="en-us" w:eastAsia="en-us" w:bidi="en-us"/>
      </w:rPr>
    </w:lvl>
    <w:lvl w:ilvl="7">
      <w:start w:val="0"/>
      <w:numFmt w:val="bullet"/>
      <w:lvlText w:val="•"/>
      <w:lvlJc w:val="left"/>
      <w:pPr>
        <w:ind w:left="7878" w:hanging="794"/>
      </w:pPr>
      <w:rPr>
        <w:rFonts w:hint="default"/>
        <w:lang w:val="en-us" w:eastAsia="en-us" w:bidi="en-us"/>
      </w:rPr>
    </w:lvl>
    <w:lvl w:ilvl="8">
      <w:start w:val="0"/>
      <w:numFmt w:val="bullet"/>
      <w:lvlText w:val="•"/>
      <w:lvlJc w:val="left"/>
      <w:pPr>
        <w:ind w:left="8664" w:hanging="794"/>
      </w:pPr>
      <w:rPr>
        <w:rFonts w:hint="default"/>
        <w:lang w:val="en-us" w:eastAsia="en-us" w:bidi="en-us"/>
      </w:rPr>
    </w:lvl>
  </w:abstractNum>
  <w:abstractNum w:abstractNumId="167">
    <w:multiLevelType w:val="hybridMultilevel"/>
    <w:lvl w:ilvl="0">
      <w:start w:val="145"/>
      <w:numFmt w:val="decimal"/>
      <w:lvlText w:val="%1"/>
      <w:lvlJc w:val="left"/>
      <w:pPr>
        <w:ind w:left="2381" w:hanging="794"/>
        <w:jc w:val="right"/>
      </w:pPr>
      <w:rPr>
        <w:rFonts w:hint="default" w:ascii="Calibri" w:hAnsi="Calibri" w:eastAsia="Calibri" w:cs="Calibri"/>
        <w:spacing w:val="-5"/>
        <w:w w:val="109"/>
        <w:sz w:val="13"/>
        <w:szCs w:val="13"/>
        <w:lang w:val="en-us" w:eastAsia="en-us" w:bidi="en-us"/>
      </w:rPr>
    </w:lvl>
    <w:lvl w:ilvl="1">
      <w:start w:val="0"/>
      <w:numFmt w:val="bullet"/>
      <w:lvlText w:val="•"/>
      <w:lvlJc w:val="left"/>
      <w:pPr>
        <w:ind w:left="3173" w:hanging="794"/>
      </w:pPr>
      <w:rPr>
        <w:rFonts w:hint="default"/>
        <w:lang w:val="en-us" w:eastAsia="en-us" w:bidi="en-us"/>
      </w:rPr>
    </w:lvl>
    <w:lvl w:ilvl="2">
      <w:start w:val="0"/>
      <w:numFmt w:val="bullet"/>
      <w:lvlText w:val="•"/>
      <w:lvlJc w:val="left"/>
      <w:pPr>
        <w:ind w:left="3967" w:hanging="794"/>
      </w:pPr>
      <w:rPr>
        <w:rFonts w:hint="default"/>
        <w:lang w:val="en-us" w:eastAsia="en-us" w:bidi="en-us"/>
      </w:rPr>
    </w:lvl>
    <w:lvl w:ilvl="3">
      <w:start w:val="0"/>
      <w:numFmt w:val="bullet"/>
      <w:lvlText w:val="•"/>
      <w:lvlJc w:val="left"/>
      <w:pPr>
        <w:ind w:left="4761" w:hanging="794"/>
      </w:pPr>
      <w:rPr>
        <w:rFonts w:hint="default"/>
        <w:lang w:val="en-us" w:eastAsia="en-us" w:bidi="en-us"/>
      </w:rPr>
    </w:lvl>
    <w:lvl w:ilvl="4">
      <w:start w:val="0"/>
      <w:numFmt w:val="bullet"/>
      <w:lvlText w:val="•"/>
      <w:lvlJc w:val="left"/>
      <w:pPr>
        <w:ind w:left="5555" w:hanging="794"/>
      </w:pPr>
      <w:rPr>
        <w:rFonts w:hint="default"/>
        <w:lang w:val="en-us" w:eastAsia="en-us" w:bidi="en-us"/>
      </w:rPr>
    </w:lvl>
    <w:lvl w:ilvl="5">
      <w:start w:val="0"/>
      <w:numFmt w:val="bullet"/>
      <w:lvlText w:val="•"/>
      <w:lvlJc w:val="left"/>
      <w:pPr>
        <w:ind w:left="6348" w:hanging="794"/>
      </w:pPr>
      <w:rPr>
        <w:rFonts w:hint="default"/>
        <w:lang w:val="en-us" w:eastAsia="en-us" w:bidi="en-us"/>
      </w:rPr>
    </w:lvl>
    <w:lvl w:ilvl="6">
      <w:start w:val="0"/>
      <w:numFmt w:val="bullet"/>
      <w:lvlText w:val="•"/>
      <w:lvlJc w:val="left"/>
      <w:pPr>
        <w:ind w:left="7142" w:hanging="794"/>
      </w:pPr>
      <w:rPr>
        <w:rFonts w:hint="default"/>
        <w:lang w:val="en-us" w:eastAsia="en-us" w:bidi="en-us"/>
      </w:rPr>
    </w:lvl>
    <w:lvl w:ilvl="7">
      <w:start w:val="0"/>
      <w:numFmt w:val="bullet"/>
      <w:lvlText w:val="•"/>
      <w:lvlJc w:val="left"/>
      <w:pPr>
        <w:ind w:left="7936" w:hanging="794"/>
      </w:pPr>
      <w:rPr>
        <w:rFonts w:hint="default"/>
        <w:lang w:val="en-us" w:eastAsia="en-us" w:bidi="en-us"/>
      </w:rPr>
    </w:lvl>
    <w:lvl w:ilvl="8">
      <w:start w:val="0"/>
      <w:numFmt w:val="bullet"/>
      <w:lvlText w:val="•"/>
      <w:lvlJc w:val="left"/>
      <w:pPr>
        <w:ind w:left="8730" w:hanging="794"/>
      </w:pPr>
      <w:rPr>
        <w:rFonts w:hint="default"/>
        <w:lang w:val="en-us" w:eastAsia="en-us" w:bidi="en-us"/>
      </w:rPr>
    </w:lvl>
  </w:abstractNum>
  <w:abstractNum w:abstractNumId="166">
    <w:multiLevelType w:val="hybridMultilevel"/>
    <w:lvl w:ilvl="0">
      <w:start w:val="125"/>
      <w:numFmt w:val="decimal"/>
      <w:lvlText w:val="%1"/>
      <w:lvlJc w:val="left"/>
      <w:pPr>
        <w:ind w:left="1220" w:hanging="794"/>
        <w:jc w:val="left"/>
      </w:pPr>
      <w:rPr>
        <w:rFonts w:hint="default" w:ascii="Calibri" w:hAnsi="Calibri" w:eastAsia="Calibri" w:cs="Calibri"/>
        <w:spacing w:val="-7"/>
        <w:w w:val="109"/>
        <w:sz w:val="13"/>
        <w:szCs w:val="13"/>
        <w:lang w:val="en-us" w:eastAsia="en-us" w:bidi="en-us"/>
      </w:rPr>
    </w:lvl>
    <w:lvl w:ilvl="1">
      <w:start w:val="135"/>
      <w:numFmt w:val="decimal"/>
      <w:lvlText w:val="%2"/>
      <w:lvlJc w:val="left"/>
      <w:pPr>
        <w:ind w:left="2381" w:hanging="794"/>
        <w:jc w:val="left"/>
      </w:pPr>
      <w:rPr>
        <w:rFonts w:hint="default" w:ascii="Calibri" w:hAnsi="Calibri" w:eastAsia="Calibri" w:cs="Calibri"/>
        <w:spacing w:val="-7"/>
        <w:w w:val="109"/>
        <w:sz w:val="13"/>
        <w:szCs w:val="13"/>
        <w:lang w:val="en-us" w:eastAsia="en-us" w:bidi="en-us"/>
      </w:rPr>
    </w:lvl>
    <w:lvl w:ilvl="2">
      <w:start w:val="0"/>
      <w:numFmt w:val="bullet"/>
      <w:lvlText w:val="•"/>
      <w:lvlJc w:val="left"/>
      <w:pPr>
        <w:ind w:left="3132" w:hanging="794"/>
      </w:pPr>
      <w:rPr>
        <w:rFonts w:hint="default"/>
        <w:lang w:val="en-us" w:eastAsia="en-us" w:bidi="en-us"/>
      </w:rPr>
    </w:lvl>
    <w:lvl w:ilvl="3">
      <w:start w:val="0"/>
      <w:numFmt w:val="bullet"/>
      <w:lvlText w:val="•"/>
      <w:lvlJc w:val="left"/>
      <w:pPr>
        <w:ind w:left="3885" w:hanging="794"/>
      </w:pPr>
      <w:rPr>
        <w:rFonts w:hint="default"/>
        <w:lang w:val="en-us" w:eastAsia="en-us" w:bidi="en-us"/>
      </w:rPr>
    </w:lvl>
    <w:lvl w:ilvl="4">
      <w:start w:val="0"/>
      <w:numFmt w:val="bullet"/>
      <w:lvlText w:val="•"/>
      <w:lvlJc w:val="left"/>
      <w:pPr>
        <w:ind w:left="4638" w:hanging="794"/>
      </w:pPr>
      <w:rPr>
        <w:rFonts w:hint="default"/>
        <w:lang w:val="en-us" w:eastAsia="en-us" w:bidi="en-us"/>
      </w:rPr>
    </w:lvl>
    <w:lvl w:ilvl="5">
      <w:start w:val="0"/>
      <w:numFmt w:val="bullet"/>
      <w:lvlText w:val="•"/>
      <w:lvlJc w:val="left"/>
      <w:pPr>
        <w:ind w:left="5391" w:hanging="794"/>
      </w:pPr>
      <w:rPr>
        <w:rFonts w:hint="default"/>
        <w:lang w:val="en-us" w:eastAsia="en-us" w:bidi="en-us"/>
      </w:rPr>
    </w:lvl>
    <w:lvl w:ilvl="6">
      <w:start w:val="0"/>
      <w:numFmt w:val="bullet"/>
      <w:lvlText w:val="•"/>
      <w:lvlJc w:val="left"/>
      <w:pPr>
        <w:ind w:left="6144" w:hanging="794"/>
      </w:pPr>
      <w:rPr>
        <w:rFonts w:hint="default"/>
        <w:lang w:val="en-us" w:eastAsia="en-us" w:bidi="en-us"/>
      </w:rPr>
    </w:lvl>
    <w:lvl w:ilvl="7">
      <w:start w:val="0"/>
      <w:numFmt w:val="bullet"/>
      <w:lvlText w:val="•"/>
      <w:lvlJc w:val="left"/>
      <w:pPr>
        <w:ind w:left="6897" w:hanging="794"/>
      </w:pPr>
      <w:rPr>
        <w:rFonts w:hint="default"/>
        <w:lang w:val="en-us" w:eastAsia="en-us" w:bidi="en-us"/>
      </w:rPr>
    </w:lvl>
    <w:lvl w:ilvl="8">
      <w:start w:val="0"/>
      <w:numFmt w:val="bullet"/>
      <w:lvlText w:val="•"/>
      <w:lvlJc w:val="left"/>
      <w:pPr>
        <w:ind w:left="7650" w:hanging="794"/>
      </w:pPr>
      <w:rPr>
        <w:rFonts w:hint="default"/>
        <w:lang w:val="en-us" w:eastAsia="en-us" w:bidi="en-us"/>
      </w:rPr>
    </w:lvl>
  </w:abstractNum>
  <w:abstractNum w:abstractNumId="165">
    <w:multiLevelType w:val="hybridMultilevel"/>
    <w:lvl w:ilvl="0">
      <w:start w:val="107"/>
      <w:numFmt w:val="decimal"/>
      <w:lvlText w:val="%1"/>
      <w:lvlJc w:val="left"/>
      <w:pPr>
        <w:ind w:left="2381" w:hanging="794"/>
        <w:jc w:val="right"/>
      </w:pPr>
      <w:rPr>
        <w:rFonts w:hint="default" w:ascii="Calibri" w:hAnsi="Calibri" w:eastAsia="Calibri" w:cs="Calibri"/>
        <w:spacing w:val="-4"/>
        <w:w w:val="109"/>
        <w:sz w:val="13"/>
        <w:szCs w:val="13"/>
        <w:lang w:val="en-us" w:eastAsia="en-us" w:bidi="en-us"/>
      </w:rPr>
    </w:lvl>
    <w:lvl w:ilvl="1">
      <w:start w:val="0"/>
      <w:numFmt w:val="bullet"/>
      <w:lvlText w:val="•"/>
      <w:lvlJc w:val="left"/>
      <w:pPr>
        <w:ind w:left="3170" w:hanging="794"/>
      </w:pPr>
      <w:rPr>
        <w:rFonts w:hint="default"/>
        <w:lang w:val="en-us" w:eastAsia="en-us" w:bidi="en-us"/>
      </w:rPr>
    </w:lvl>
    <w:lvl w:ilvl="2">
      <w:start w:val="0"/>
      <w:numFmt w:val="bullet"/>
      <w:lvlText w:val="•"/>
      <w:lvlJc w:val="left"/>
      <w:pPr>
        <w:ind w:left="3961" w:hanging="794"/>
      </w:pPr>
      <w:rPr>
        <w:rFonts w:hint="default"/>
        <w:lang w:val="en-us" w:eastAsia="en-us" w:bidi="en-us"/>
      </w:rPr>
    </w:lvl>
    <w:lvl w:ilvl="3">
      <w:start w:val="0"/>
      <w:numFmt w:val="bullet"/>
      <w:lvlText w:val="•"/>
      <w:lvlJc w:val="left"/>
      <w:pPr>
        <w:ind w:left="4752" w:hanging="794"/>
      </w:pPr>
      <w:rPr>
        <w:rFonts w:hint="default"/>
        <w:lang w:val="en-us" w:eastAsia="en-us" w:bidi="en-us"/>
      </w:rPr>
    </w:lvl>
    <w:lvl w:ilvl="4">
      <w:start w:val="0"/>
      <w:numFmt w:val="bullet"/>
      <w:lvlText w:val="•"/>
      <w:lvlJc w:val="left"/>
      <w:pPr>
        <w:ind w:left="5543" w:hanging="794"/>
      </w:pPr>
      <w:rPr>
        <w:rFonts w:hint="default"/>
        <w:lang w:val="en-us" w:eastAsia="en-us" w:bidi="en-us"/>
      </w:rPr>
    </w:lvl>
    <w:lvl w:ilvl="5">
      <w:start w:val="0"/>
      <w:numFmt w:val="bullet"/>
      <w:lvlText w:val="•"/>
      <w:lvlJc w:val="left"/>
      <w:pPr>
        <w:ind w:left="6334" w:hanging="794"/>
      </w:pPr>
      <w:rPr>
        <w:rFonts w:hint="default"/>
        <w:lang w:val="en-us" w:eastAsia="en-us" w:bidi="en-us"/>
      </w:rPr>
    </w:lvl>
    <w:lvl w:ilvl="6">
      <w:start w:val="0"/>
      <w:numFmt w:val="bullet"/>
      <w:lvlText w:val="•"/>
      <w:lvlJc w:val="left"/>
      <w:pPr>
        <w:ind w:left="7125" w:hanging="794"/>
      </w:pPr>
      <w:rPr>
        <w:rFonts w:hint="default"/>
        <w:lang w:val="en-us" w:eastAsia="en-us" w:bidi="en-us"/>
      </w:rPr>
    </w:lvl>
    <w:lvl w:ilvl="7">
      <w:start w:val="0"/>
      <w:numFmt w:val="bullet"/>
      <w:lvlText w:val="•"/>
      <w:lvlJc w:val="left"/>
      <w:pPr>
        <w:ind w:left="7916" w:hanging="794"/>
      </w:pPr>
      <w:rPr>
        <w:rFonts w:hint="default"/>
        <w:lang w:val="en-us" w:eastAsia="en-us" w:bidi="en-us"/>
      </w:rPr>
    </w:lvl>
    <w:lvl w:ilvl="8">
      <w:start w:val="0"/>
      <w:numFmt w:val="bullet"/>
      <w:lvlText w:val="•"/>
      <w:lvlJc w:val="left"/>
      <w:pPr>
        <w:ind w:left="8706" w:hanging="794"/>
      </w:pPr>
      <w:rPr>
        <w:rFonts w:hint="default"/>
        <w:lang w:val="en-us" w:eastAsia="en-us" w:bidi="en-us"/>
      </w:rPr>
    </w:lvl>
  </w:abstractNum>
  <w:abstractNum w:abstractNumId="164">
    <w:multiLevelType w:val="hybridMultilevel"/>
    <w:lvl w:ilvl="0">
      <w:start w:val="52"/>
      <w:numFmt w:val="decimal"/>
      <w:lvlText w:val="%1"/>
      <w:lvlJc w:val="left"/>
      <w:pPr>
        <w:ind w:left="1220" w:hanging="794"/>
        <w:jc w:val="right"/>
      </w:pPr>
      <w:rPr>
        <w:rFonts w:hint="default" w:ascii="Calibri" w:hAnsi="Calibri" w:eastAsia="Calibri" w:cs="Calibri"/>
        <w:spacing w:val="-1"/>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611" w:hanging="341"/>
      </w:pPr>
      <w:rPr>
        <w:rFonts w:hint="default"/>
        <w:lang w:val="en-us" w:eastAsia="en-us" w:bidi="en-us"/>
      </w:rPr>
    </w:lvl>
    <w:lvl w:ilvl="3">
      <w:start w:val="0"/>
      <w:numFmt w:val="bullet"/>
      <w:lvlText w:val="•"/>
      <w:lvlJc w:val="left"/>
      <w:pPr>
        <w:ind w:left="4503" w:hanging="341"/>
      </w:pPr>
      <w:rPr>
        <w:rFonts w:hint="default"/>
        <w:lang w:val="en-us" w:eastAsia="en-us" w:bidi="en-us"/>
      </w:rPr>
    </w:lvl>
    <w:lvl w:ilvl="4">
      <w:start w:val="0"/>
      <w:numFmt w:val="bullet"/>
      <w:lvlText w:val="•"/>
      <w:lvlJc w:val="left"/>
      <w:pPr>
        <w:ind w:left="5394" w:hanging="341"/>
      </w:pPr>
      <w:rPr>
        <w:rFonts w:hint="default"/>
        <w:lang w:val="en-us" w:eastAsia="en-us" w:bidi="en-us"/>
      </w:rPr>
    </w:lvl>
    <w:lvl w:ilvl="5">
      <w:start w:val="0"/>
      <w:numFmt w:val="bullet"/>
      <w:lvlText w:val="•"/>
      <w:lvlJc w:val="left"/>
      <w:pPr>
        <w:ind w:left="6286" w:hanging="341"/>
      </w:pPr>
      <w:rPr>
        <w:rFonts w:hint="default"/>
        <w:lang w:val="en-us" w:eastAsia="en-us" w:bidi="en-us"/>
      </w:rPr>
    </w:lvl>
    <w:lvl w:ilvl="6">
      <w:start w:val="0"/>
      <w:numFmt w:val="bullet"/>
      <w:lvlText w:val="•"/>
      <w:lvlJc w:val="left"/>
      <w:pPr>
        <w:ind w:left="7177" w:hanging="341"/>
      </w:pPr>
      <w:rPr>
        <w:rFonts w:hint="default"/>
        <w:lang w:val="en-us" w:eastAsia="en-us" w:bidi="en-us"/>
      </w:rPr>
    </w:lvl>
    <w:lvl w:ilvl="7">
      <w:start w:val="0"/>
      <w:numFmt w:val="bullet"/>
      <w:lvlText w:val="•"/>
      <w:lvlJc w:val="left"/>
      <w:pPr>
        <w:ind w:left="8069" w:hanging="341"/>
      </w:pPr>
      <w:rPr>
        <w:rFonts w:hint="default"/>
        <w:lang w:val="en-us" w:eastAsia="en-us" w:bidi="en-us"/>
      </w:rPr>
    </w:lvl>
    <w:lvl w:ilvl="8">
      <w:start w:val="0"/>
      <w:numFmt w:val="bullet"/>
      <w:lvlText w:val="•"/>
      <w:lvlJc w:val="left"/>
      <w:pPr>
        <w:ind w:left="8961" w:hanging="341"/>
      </w:pPr>
      <w:rPr>
        <w:rFonts w:hint="default"/>
        <w:lang w:val="en-us" w:eastAsia="en-us" w:bidi="en-us"/>
      </w:rPr>
    </w:lvl>
  </w:abstractNum>
  <w:abstractNum w:abstractNumId="163">
    <w:multiLevelType w:val="hybridMultilevel"/>
    <w:lvl w:ilvl="0">
      <w:start w:val="44"/>
      <w:numFmt w:val="decimal"/>
      <w:lvlText w:val="%1"/>
      <w:lvlJc w:val="left"/>
      <w:pPr>
        <w:ind w:left="2381" w:hanging="794"/>
        <w:jc w:val="right"/>
      </w:pPr>
      <w:rPr>
        <w:rFonts w:hint="default" w:ascii="Calibri" w:hAnsi="Calibri" w:eastAsia="Calibri" w:cs="Calibri"/>
        <w:spacing w:val="0"/>
        <w:w w:val="109"/>
        <w:sz w:val="13"/>
        <w:szCs w:val="13"/>
        <w:lang w:val="en-us" w:eastAsia="en-us" w:bidi="en-us"/>
      </w:rPr>
    </w:lvl>
    <w:lvl w:ilvl="1">
      <w:start w:val="0"/>
      <w:numFmt w:val="bullet"/>
      <w:lvlText w:val="•"/>
      <w:lvlJc w:val="left"/>
      <w:pPr>
        <w:ind w:left="3178" w:hanging="794"/>
      </w:pPr>
      <w:rPr>
        <w:rFonts w:hint="default"/>
        <w:lang w:val="en-us" w:eastAsia="en-us" w:bidi="en-us"/>
      </w:rPr>
    </w:lvl>
    <w:lvl w:ilvl="2">
      <w:start w:val="0"/>
      <w:numFmt w:val="bullet"/>
      <w:lvlText w:val="•"/>
      <w:lvlJc w:val="left"/>
      <w:pPr>
        <w:ind w:left="3977" w:hanging="794"/>
      </w:pPr>
      <w:rPr>
        <w:rFonts w:hint="default"/>
        <w:lang w:val="en-us" w:eastAsia="en-us" w:bidi="en-us"/>
      </w:rPr>
    </w:lvl>
    <w:lvl w:ilvl="3">
      <w:start w:val="0"/>
      <w:numFmt w:val="bullet"/>
      <w:lvlText w:val="•"/>
      <w:lvlJc w:val="left"/>
      <w:pPr>
        <w:ind w:left="4776" w:hanging="794"/>
      </w:pPr>
      <w:rPr>
        <w:rFonts w:hint="default"/>
        <w:lang w:val="en-us" w:eastAsia="en-us" w:bidi="en-us"/>
      </w:rPr>
    </w:lvl>
    <w:lvl w:ilvl="4">
      <w:start w:val="0"/>
      <w:numFmt w:val="bullet"/>
      <w:lvlText w:val="•"/>
      <w:lvlJc w:val="left"/>
      <w:pPr>
        <w:ind w:left="5575" w:hanging="794"/>
      </w:pPr>
      <w:rPr>
        <w:rFonts w:hint="default"/>
        <w:lang w:val="en-us" w:eastAsia="en-us" w:bidi="en-us"/>
      </w:rPr>
    </w:lvl>
    <w:lvl w:ilvl="5">
      <w:start w:val="0"/>
      <w:numFmt w:val="bullet"/>
      <w:lvlText w:val="•"/>
      <w:lvlJc w:val="left"/>
      <w:pPr>
        <w:ind w:left="6374" w:hanging="794"/>
      </w:pPr>
      <w:rPr>
        <w:rFonts w:hint="default"/>
        <w:lang w:val="en-us" w:eastAsia="en-us" w:bidi="en-us"/>
      </w:rPr>
    </w:lvl>
    <w:lvl w:ilvl="6">
      <w:start w:val="0"/>
      <w:numFmt w:val="bullet"/>
      <w:lvlText w:val="•"/>
      <w:lvlJc w:val="left"/>
      <w:pPr>
        <w:ind w:left="7173" w:hanging="794"/>
      </w:pPr>
      <w:rPr>
        <w:rFonts w:hint="default"/>
        <w:lang w:val="en-us" w:eastAsia="en-us" w:bidi="en-us"/>
      </w:rPr>
    </w:lvl>
    <w:lvl w:ilvl="7">
      <w:start w:val="0"/>
      <w:numFmt w:val="bullet"/>
      <w:lvlText w:val="•"/>
      <w:lvlJc w:val="left"/>
      <w:pPr>
        <w:ind w:left="7972" w:hanging="794"/>
      </w:pPr>
      <w:rPr>
        <w:rFonts w:hint="default"/>
        <w:lang w:val="en-us" w:eastAsia="en-us" w:bidi="en-us"/>
      </w:rPr>
    </w:lvl>
    <w:lvl w:ilvl="8">
      <w:start w:val="0"/>
      <w:numFmt w:val="bullet"/>
      <w:lvlText w:val="•"/>
      <w:lvlJc w:val="left"/>
      <w:pPr>
        <w:ind w:left="8771" w:hanging="794"/>
      </w:pPr>
      <w:rPr>
        <w:rFonts w:hint="default"/>
        <w:lang w:val="en-us" w:eastAsia="en-us" w:bidi="en-us"/>
      </w:rPr>
    </w:lvl>
  </w:abstractNum>
  <w:abstractNum w:abstractNumId="162">
    <w:multiLevelType w:val="hybridMultilevel"/>
    <w:lvl w:ilvl="0">
      <w:start w:val="19"/>
      <w:numFmt w:val="decimal"/>
      <w:lvlText w:val="%1"/>
      <w:lvlJc w:val="left"/>
      <w:pPr>
        <w:ind w:left="2381" w:hanging="794"/>
        <w:jc w:val="right"/>
      </w:pPr>
      <w:rPr>
        <w:rFonts w:hint="default" w:ascii="Calibri" w:hAnsi="Calibri" w:eastAsia="Calibri" w:cs="Calibri"/>
        <w:spacing w:val="-5"/>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553" w:hanging="341"/>
      </w:pPr>
      <w:rPr>
        <w:rFonts w:hint="default"/>
        <w:lang w:val="en-us" w:eastAsia="en-us" w:bidi="en-us"/>
      </w:rPr>
    </w:lvl>
    <w:lvl w:ilvl="3">
      <w:start w:val="0"/>
      <w:numFmt w:val="bullet"/>
      <w:lvlText w:val="•"/>
      <w:lvlJc w:val="left"/>
      <w:pPr>
        <w:ind w:left="4386" w:hanging="341"/>
      </w:pPr>
      <w:rPr>
        <w:rFonts w:hint="default"/>
        <w:lang w:val="en-us" w:eastAsia="en-us" w:bidi="en-us"/>
      </w:rPr>
    </w:lvl>
    <w:lvl w:ilvl="4">
      <w:start w:val="0"/>
      <w:numFmt w:val="bullet"/>
      <w:lvlText w:val="•"/>
      <w:lvlJc w:val="left"/>
      <w:pPr>
        <w:ind w:left="5220" w:hanging="341"/>
      </w:pPr>
      <w:rPr>
        <w:rFonts w:hint="default"/>
        <w:lang w:val="en-us" w:eastAsia="en-us" w:bidi="en-us"/>
      </w:rPr>
    </w:lvl>
    <w:lvl w:ilvl="5">
      <w:start w:val="0"/>
      <w:numFmt w:val="bullet"/>
      <w:lvlText w:val="•"/>
      <w:lvlJc w:val="left"/>
      <w:pPr>
        <w:ind w:left="6053" w:hanging="341"/>
      </w:pPr>
      <w:rPr>
        <w:rFonts w:hint="default"/>
        <w:lang w:val="en-us" w:eastAsia="en-us" w:bidi="en-us"/>
      </w:rPr>
    </w:lvl>
    <w:lvl w:ilvl="6">
      <w:start w:val="0"/>
      <w:numFmt w:val="bullet"/>
      <w:lvlText w:val="•"/>
      <w:lvlJc w:val="left"/>
      <w:pPr>
        <w:ind w:left="6887" w:hanging="341"/>
      </w:pPr>
      <w:rPr>
        <w:rFonts w:hint="default"/>
        <w:lang w:val="en-us" w:eastAsia="en-us" w:bidi="en-us"/>
      </w:rPr>
    </w:lvl>
    <w:lvl w:ilvl="7">
      <w:start w:val="0"/>
      <w:numFmt w:val="bullet"/>
      <w:lvlText w:val="•"/>
      <w:lvlJc w:val="left"/>
      <w:pPr>
        <w:ind w:left="7720" w:hanging="341"/>
      </w:pPr>
      <w:rPr>
        <w:rFonts w:hint="default"/>
        <w:lang w:val="en-us" w:eastAsia="en-us" w:bidi="en-us"/>
      </w:rPr>
    </w:lvl>
    <w:lvl w:ilvl="8">
      <w:start w:val="0"/>
      <w:numFmt w:val="bullet"/>
      <w:lvlText w:val="•"/>
      <w:lvlJc w:val="left"/>
      <w:pPr>
        <w:ind w:left="8554" w:hanging="341"/>
      </w:pPr>
      <w:rPr>
        <w:rFonts w:hint="default"/>
        <w:lang w:val="en-us" w:eastAsia="en-us" w:bidi="en-us"/>
      </w:rPr>
    </w:lvl>
  </w:abstractNum>
  <w:abstractNum w:abstractNumId="161">
    <w:multiLevelType w:val="hybridMultilevel"/>
    <w:lvl w:ilvl="0">
      <w:start w:val="1"/>
      <w:numFmt w:val="lowerLetter"/>
      <w:lvlText w:val="%1)"/>
      <w:lvlJc w:val="left"/>
      <w:pPr>
        <w:ind w:left="3061" w:hanging="341"/>
        <w:jc w:val="left"/>
      </w:pPr>
      <w:rPr>
        <w:rFonts w:hint="default" w:ascii="Calibri" w:hAnsi="Calibri" w:eastAsia="Calibri" w:cs="Calibri"/>
        <w:spacing w:val="0"/>
        <w:w w:val="91"/>
        <w:sz w:val="21"/>
        <w:szCs w:val="21"/>
        <w:lang w:val="en-us" w:eastAsia="en-us" w:bidi="en-us"/>
      </w:rPr>
    </w:lvl>
    <w:lvl w:ilvl="1">
      <w:start w:val="0"/>
      <w:numFmt w:val="bullet"/>
      <w:lvlText w:val="•"/>
      <w:lvlJc w:val="left"/>
      <w:pPr>
        <w:ind w:left="3944" w:hanging="341"/>
      </w:pPr>
      <w:rPr>
        <w:rFonts w:hint="default"/>
        <w:lang w:val="en-us" w:eastAsia="en-us" w:bidi="en-us"/>
      </w:rPr>
    </w:lvl>
    <w:lvl w:ilvl="2">
      <w:start w:val="0"/>
      <w:numFmt w:val="bullet"/>
      <w:lvlText w:val="•"/>
      <w:lvlJc w:val="left"/>
      <w:pPr>
        <w:ind w:left="4829" w:hanging="341"/>
      </w:pPr>
      <w:rPr>
        <w:rFonts w:hint="default"/>
        <w:lang w:val="en-us" w:eastAsia="en-us" w:bidi="en-us"/>
      </w:rPr>
    </w:lvl>
    <w:lvl w:ilvl="3">
      <w:start w:val="0"/>
      <w:numFmt w:val="bullet"/>
      <w:lvlText w:val="•"/>
      <w:lvlJc w:val="left"/>
      <w:pPr>
        <w:ind w:left="5713" w:hanging="341"/>
      </w:pPr>
      <w:rPr>
        <w:rFonts w:hint="default"/>
        <w:lang w:val="en-us" w:eastAsia="en-us" w:bidi="en-us"/>
      </w:rPr>
    </w:lvl>
    <w:lvl w:ilvl="4">
      <w:start w:val="0"/>
      <w:numFmt w:val="bullet"/>
      <w:lvlText w:val="•"/>
      <w:lvlJc w:val="left"/>
      <w:pPr>
        <w:ind w:left="6598" w:hanging="341"/>
      </w:pPr>
      <w:rPr>
        <w:rFonts w:hint="default"/>
        <w:lang w:val="en-us" w:eastAsia="en-us" w:bidi="en-us"/>
      </w:rPr>
    </w:lvl>
    <w:lvl w:ilvl="5">
      <w:start w:val="0"/>
      <w:numFmt w:val="bullet"/>
      <w:lvlText w:val="•"/>
      <w:lvlJc w:val="left"/>
      <w:pPr>
        <w:ind w:left="7482" w:hanging="341"/>
      </w:pPr>
      <w:rPr>
        <w:rFonts w:hint="default"/>
        <w:lang w:val="en-us" w:eastAsia="en-us" w:bidi="en-us"/>
      </w:rPr>
    </w:lvl>
    <w:lvl w:ilvl="6">
      <w:start w:val="0"/>
      <w:numFmt w:val="bullet"/>
      <w:lvlText w:val="•"/>
      <w:lvlJc w:val="left"/>
      <w:pPr>
        <w:ind w:left="8367" w:hanging="341"/>
      </w:pPr>
      <w:rPr>
        <w:rFonts w:hint="default"/>
        <w:lang w:val="en-us" w:eastAsia="en-us" w:bidi="en-us"/>
      </w:rPr>
    </w:lvl>
    <w:lvl w:ilvl="7">
      <w:start w:val="0"/>
      <w:numFmt w:val="bullet"/>
      <w:lvlText w:val="•"/>
      <w:lvlJc w:val="left"/>
      <w:pPr>
        <w:ind w:left="9251" w:hanging="341"/>
      </w:pPr>
      <w:rPr>
        <w:rFonts w:hint="default"/>
        <w:lang w:val="en-us" w:eastAsia="en-us" w:bidi="en-us"/>
      </w:rPr>
    </w:lvl>
    <w:lvl w:ilvl="8">
      <w:start w:val="0"/>
      <w:numFmt w:val="bullet"/>
      <w:lvlText w:val="•"/>
      <w:lvlJc w:val="left"/>
      <w:pPr>
        <w:ind w:left="10136" w:hanging="341"/>
      </w:pPr>
      <w:rPr>
        <w:rFonts w:hint="default"/>
        <w:lang w:val="en-us" w:eastAsia="en-us" w:bidi="en-us"/>
      </w:rPr>
    </w:lvl>
  </w:abstractNum>
  <w:abstractNum w:abstractNumId="159">
    <w:multiLevelType w:val="hybridMultilevel"/>
    <w:lvl w:ilvl="0">
      <w:start w:val="37"/>
      <w:numFmt w:val="decimal"/>
      <w:lvlText w:val="%1"/>
      <w:lvlJc w:val="left"/>
      <w:pPr>
        <w:ind w:left="793" w:hanging="567"/>
        <w:jc w:val="left"/>
      </w:pPr>
      <w:rPr>
        <w:rFonts w:hint="default" w:ascii="Calibri" w:hAnsi="Calibri" w:eastAsia="Calibri" w:cs="Calibri"/>
        <w:b/>
        <w:bCs/>
        <w:spacing w:val="-3"/>
        <w:w w:val="109"/>
        <w:sz w:val="21"/>
        <w:szCs w:val="21"/>
        <w:lang w:val="en-us" w:eastAsia="en-us" w:bidi="en-us"/>
      </w:rPr>
    </w:lvl>
    <w:lvl w:ilvl="1">
      <w:start w:val="1"/>
      <w:numFmt w:val="lowerLetter"/>
      <w:lvlText w:val="(%2)"/>
      <w:lvlJc w:val="left"/>
      <w:pPr>
        <w:ind w:left="1360" w:hanging="567"/>
        <w:jc w:val="left"/>
      </w:pPr>
      <w:rPr>
        <w:rFonts w:hint="default" w:ascii="Calibri" w:hAnsi="Calibri" w:eastAsia="Calibri" w:cs="Calibri"/>
        <w:spacing w:val="0"/>
        <w:w w:val="109"/>
        <w:sz w:val="21"/>
        <w:szCs w:val="21"/>
        <w:lang w:val="en-us" w:eastAsia="en-us" w:bidi="en-us"/>
      </w:rPr>
    </w:lvl>
    <w:lvl w:ilvl="2">
      <w:start w:val="0"/>
      <w:numFmt w:val="bullet"/>
      <w:lvlText w:val="•"/>
      <w:lvlJc w:val="left"/>
      <w:pPr>
        <w:ind w:left="2178" w:hanging="567"/>
      </w:pPr>
      <w:rPr>
        <w:rFonts w:hint="default"/>
        <w:lang w:val="en-us" w:eastAsia="en-us" w:bidi="en-us"/>
      </w:rPr>
    </w:lvl>
    <w:lvl w:ilvl="3">
      <w:start w:val="0"/>
      <w:numFmt w:val="bullet"/>
      <w:lvlText w:val="•"/>
      <w:lvlJc w:val="left"/>
      <w:pPr>
        <w:ind w:left="2997" w:hanging="567"/>
      </w:pPr>
      <w:rPr>
        <w:rFonts w:hint="default"/>
        <w:lang w:val="en-us" w:eastAsia="en-us" w:bidi="en-us"/>
      </w:rPr>
    </w:lvl>
    <w:lvl w:ilvl="4">
      <w:start w:val="0"/>
      <w:numFmt w:val="bullet"/>
      <w:lvlText w:val="•"/>
      <w:lvlJc w:val="left"/>
      <w:pPr>
        <w:ind w:left="3816" w:hanging="567"/>
      </w:pPr>
      <w:rPr>
        <w:rFonts w:hint="default"/>
        <w:lang w:val="en-us" w:eastAsia="en-us" w:bidi="en-us"/>
      </w:rPr>
    </w:lvl>
    <w:lvl w:ilvl="5">
      <w:start w:val="0"/>
      <w:numFmt w:val="bullet"/>
      <w:lvlText w:val="•"/>
      <w:lvlJc w:val="left"/>
      <w:pPr>
        <w:ind w:left="4635" w:hanging="567"/>
      </w:pPr>
      <w:rPr>
        <w:rFonts w:hint="default"/>
        <w:lang w:val="en-us" w:eastAsia="en-us" w:bidi="en-us"/>
      </w:rPr>
    </w:lvl>
    <w:lvl w:ilvl="6">
      <w:start w:val="0"/>
      <w:numFmt w:val="bullet"/>
      <w:lvlText w:val="•"/>
      <w:lvlJc w:val="left"/>
      <w:pPr>
        <w:ind w:left="5454" w:hanging="567"/>
      </w:pPr>
      <w:rPr>
        <w:rFonts w:hint="default"/>
        <w:lang w:val="en-us" w:eastAsia="en-us" w:bidi="en-us"/>
      </w:rPr>
    </w:lvl>
    <w:lvl w:ilvl="7">
      <w:start w:val="0"/>
      <w:numFmt w:val="bullet"/>
      <w:lvlText w:val="•"/>
      <w:lvlJc w:val="left"/>
      <w:pPr>
        <w:ind w:left="6273" w:hanging="567"/>
      </w:pPr>
      <w:rPr>
        <w:rFonts w:hint="default"/>
        <w:lang w:val="en-us" w:eastAsia="en-us" w:bidi="en-us"/>
      </w:rPr>
    </w:lvl>
    <w:lvl w:ilvl="8">
      <w:start w:val="0"/>
      <w:numFmt w:val="bullet"/>
      <w:lvlText w:val="•"/>
      <w:lvlJc w:val="left"/>
      <w:pPr>
        <w:ind w:left="7092" w:hanging="567"/>
      </w:pPr>
      <w:rPr>
        <w:rFonts w:hint="default"/>
        <w:lang w:val="en-us" w:eastAsia="en-us" w:bidi="en-us"/>
      </w:rPr>
    </w:lvl>
  </w:abstractNum>
  <w:abstractNum w:abstractNumId="158">
    <w:multiLevelType w:val="hybridMultilevel"/>
    <w:lvl w:ilvl="0">
      <w:start w:val="214"/>
      <w:numFmt w:val="decimal"/>
      <w:lvlText w:val="%1"/>
      <w:lvlJc w:val="left"/>
      <w:pPr>
        <w:ind w:left="2381"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3163" w:hanging="794"/>
      </w:pPr>
      <w:rPr>
        <w:rFonts w:hint="default"/>
        <w:lang w:val="en-us" w:eastAsia="en-us" w:bidi="en-us"/>
      </w:rPr>
    </w:lvl>
    <w:lvl w:ilvl="2">
      <w:start w:val="0"/>
      <w:numFmt w:val="bullet"/>
      <w:lvlText w:val="•"/>
      <w:lvlJc w:val="left"/>
      <w:pPr>
        <w:ind w:left="3946" w:hanging="794"/>
      </w:pPr>
      <w:rPr>
        <w:rFonts w:hint="default"/>
        <w:lang w:val="en-us" w:eastAsia="en-us" w:bidi="en-us"/>
      </w:rPr>
    </w:lvl>
    <w:lvl w:ilvl="3">
      <w:start w:val="0"/>
      <w:numFmt w:val="bullet"/>
      <w:lvlText w:val="•"/>
      <w:lvlJc w:val="left"/>
      <w:pPr>
        <w:ind w:left="4730" w:hanging="794"/>
      </w:pPr>
      <w:rPr>
        <w:rFonts w:hint="default"/>
        <w:lang w:val="en-us" w:eastAsia="en-us" w:bidi="en-us"/>
      </w:rPr>
    </w:lvl>
    <w:lvl w:ilvl="4">
      <w:start w:val="0"/>
      <w:numFmt w:val="bullet"/>
      <w:lvlText w:val="•"/>
      <w:lvlJc w:val="left"/>
      <w:pPr>
        <w:ind w:left="5513" w:hanging="794"/>
      </w:pPr>
      <w:rPr>
        <w:rFonts w:hint="default"/>
        <w:lang w:val="en-us" w:eastAsia="en-us" w:bidi="en-us"/>
      </w:rPr>
    </w:lvl>
    <w:lvl w:ilvl="5">
      <w:start w:val="0"/>
      <w:numFmt w:val="bullet"/>
      <w:lvlText w:val="•"/>
      <w:lvlJc w:val="left"/>
      <w:pPr>
        <w:ind w:left="6297" w:hanging="794"/>
      </w:pPr>
      <w:rPr>
        <w:rFonts w:hint="default"/>
        <w:lang w:val="en-us" w:eastAsia="en-us" w:bidi="en-us"/>
      </w:rPr>
    </w:lvl>
    <w:lvl w:ilvl="6">
      <w:start w:val="0"/>
      <w:numFmt w:val="bullet"/>
      <w:lvlText w:val="•"/>
      <w:lvlJc w:val="left"/>
      <w:pPr>
        <w:ind w:left="7080" w:hanging="794"/>
      </w:pPr>
      <w:rPr>
        <w:rFonts w:hint="default"/>
        <w:lang w:val="en-us" w:eastAsia="en-us" w:bidi="en-us"/>
      </w:rPr>
    </w:lvl>
    <w:lvl w:ilvl="7">
      <w:start w:val="0"/>
      <w:numFmt w:val="bullet"/>
      <w:lvlText w:val="•"/>
      <w:lvlJc w:val="left"/>
      <w:pPr>
        <w:ind w:left="7864" w:hanging="794"/>
      </w:pPr>
      <w:rPr>
        <w:rFonts w:hint="default"/>
        <w:lang w:val="en-us" w:eastAsia="en-us" w:bidi="en-us"/>
      </w:rPr>
    </w:lvl>
    <w:lvl w:ilvl="8">
      <w:start w:val="0"/>
      <w:numFmt w:val="bullet"/>
      <w:lvlText w:val="•"/>
      <w:lvlJc w:val="left"/>
      <w:pPr>
        <w:ind w:left="8647" w:hanging="794"/>
      </w:pPr>
      <w:rPr>
        <w:rFonts w:hint="default"/>
        <w:lang w:val="en-us" w:eastAsia="en-us" w:bidi="en-us"/>
      </w:rPr>
    </w:lvl>
  </w:abstractNum>
  <w:abstractNum w:abstractNumId="157">
    <w:multiLevelType w:val="hybridMultilevel"/>
    <w:lvl w:ilvl="0">
      <w:start w:val="198"/>
      <w:numFmt w:val="decimal"/>
      <w:lvlText w:val="%1"/>
      <w:lvlJc w:val="left"/>
      <w:pPr>
        <w:ind w:left="2381" w:hanging="794"/>
        <w:jc w:val="right"/>
      </w:pPr>
      <w:rPr>
        <w:rFonts w:hint="default" w:ascii="Calibri" w:hAnsi="Calibri" w:eastAsia="Calibri" w:cs="Calibri"/>
        <w:spacing w:val="-5"/>
        <w:w w:val="109"/>
        <w:sz w:val="13"/>
        <w:szCs w:val="13"/>
        <w:lang w:val="en-us" w:eastAsia="en-us" w:bidi="en-us"/>
      </w:rPr>
    </w:lvl>
    <w:lvl w:ilvl="1">
      <w:start w:val="0"/>
      <w:numFmt w:val="bullet"/>
      <w:lvlText w:val="•"/>
      <w:lvlJc w:val="left"/>
      <w:pPr>
        <w:ind w:left="3050" w:hanging="794"/>
      </w:pPr>
      <w:rPr>
        <w:rFonts w:hint="default"/>
        <w:lang w:val="en-us" w:eastAsia="en-us" w:bidi="en-us"/>
      </w:rPr>
    </w:lvl>
    <w:lvl w:ilvl="2">
      <w:start w:val="0"/>
      <w:numFmt w:val="bullet"/>
      <w:lvlText w:val="•"/>
      <w:lvlJc w:val="left"/>
      <w:pPr>
        <w:ind w:left="3721" w:hanging="794"/>
      </w:pPr>
      <w:rPr>
        <w:rFonts w:hint="default"/>
        <w:lang w:val="en-us" w:eastAsia="en-us" w:bidi="en-us"/>
      </w:rPr>
    </w:lvl>
    <w:lvl w:ilvl="3">
      <w:start w:val="0"/>
      <w:numFmt w:val="bullet"/>
      <w:lvlText w:val="•"/>
      <w:lvlJc w:val="left"/>
      <w:pPr>
        <w:ind w:left="4392" w:hanging="794"/>
      </w:pPr>
      <w:rPr>
        <w:rFonts w:hint="default"/>
        <w:lang w:val="en-us" w:eastAsia="en-us" w:bidi="en-us"/>
      </w:rPr>
    </w:lvl>
    <w:lvl w:ilvl="4">
      <w:start w:val="0"/>
      <w:numFmt w:val="bullet"/>
      <w:lvlText w:val="•"/>
      <w:lvlJc w:val="left"/>
      <w:pPr>
        <w:ind w:left="5062" w:hanging="794"/>
      </w:pPr>
      <w:rPr>
        <w:rFonts w:hint="default"/>
        <w:lang w:val="en-us" w:eastAsia="en-us" w:bidi="en-us"/>
      </w:rPr>
    </w:lvl>
    <w:lvl w:ilvl="5">
      <w:start w:val="0"/>
      <w:numFmt w:val="bullet"/>
      <w:lvlText w:val="•"/>
      <w:lvlJc w:val="left"/>
      <w:pPr>
        <w:ind w:left="5733" w:hanging="794"/>
      </w:pPr>
      <w:rPr>
        <w:rFonts w:hint="default"/>
        <w:lang w:val="en-us" w:eastAsia="en-us" w:bidi="en-us"/>
      </w:rPr>
    </w:lvl>
    <w:lvl w:ilvl="6">
      <w:start w:val="0"/>
      <w:numFmt w:val="bullet"/>
      <w:lvlText w:val="•"/>
      <w:lvlJc w:val="left"/>
      <w:pPr>
        <w:ind w:left="6404" w:hanging="794"/>
      </w:pPr>
      <w:rPr>
        <w:rFonts w:hint="default"/>
        <w:lang w:val="en-us" w:eastAsia="en-us" w:bidi="en-us"/>
      </w:rPr>
    </w:lvl>
    <w:lvl w:ilvl="7">
      <w:start w:val="0"/>
      <w:numFmt w:val="bullet"/>
      <w:lvlText w:val="•"/>
      <w:lvlJc w:val="left"/>
      <w:pPr>
        <w:ind w:left="7074" w:hanging="794"/>
      </w:pPr>
      <w:rPr>
        <w:rFonts w:hint="default"/>
        <w:lang w:val="en-us" w:eastAsia="en-us" w:bidi="en-us"/>
      </w:rPr>
    </w:lvl>
    <w:lvl w:ilvl="8">
      <w:start w:val="0"/>
      <w:numFmt w:val="bullet"/>
      <w:lvlText w:val="•"/>
      <w:lvlJc w:val="left"/>
      <w:pPr>
        <w:ind w:left="7745" w:hanging="794"/>
      </w:pPr>
      <w:rPr>
        <w:rFonts w:hint="default"/>
        <w:lang w:val="en-us" w:eastAsia="en-us" w:bidi="en-us"/>
      </w:rPr>
    </w:lvl>
  </w:abstractNum>
  <w:abstractNum w:abstractNumId="156">
    <w:multiLevelType w:val="hybridMultilevel"/>
    <w:lvl w:ilvl="0">
      <w:start w:val="122"/>
      <w:numFmt w:val="decimal"/>
      <w:lvlText w:val="%0.%1"/>
      <w:lvlJc w:val="left"/>
      <w:pPr>
        <w:ind w:left="2380" w:hanging="794"/>
        <w:jc w:val="left"/>
      </w:pPr>
      <w:rPr>
        <w:rFonts w:hint="default" w:ascii="Calibri" w:hAnsi="Calibri" w:eastAsia="Calibri" w:cs="Calibri"/>
        <w:spacing w:val="-21"/>
        <w:w w:val="109"/>
        <w:sz w:val="21"/>
        <w:szCs w:val="21"/>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740" w:hanging="341"/>
      </w:pPr>
      <w:rPr>
        <w:rFonts w:hint="default"/>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155">
    <w:multiLevelType w:val="hybridMultilevel"/>
    <w:lvl w:ilvl="0">
      <w:start w:val="187"/>
      <w:numFmt w:val="decimal"/>
      <w:lvlText w:val="%1"/>
      <w:lvlJc w:val="left"/>
      <w:pPr>
        <w:ind w:left="1247" w:hanging="794"/>
        <w:jc w:val="left"/>
      </w:pPr>
      <w:rPr>
        <w:rFonts w:hint="default" w:ascii="Calibri" w:hAnsi="Calibri" w:eastAsia="Calibri" w:cs="Calibri"/>
        <w:spacing w:val="-4"/>
        <w:w w:val="109"/>
        <w:sz w:val="13"/>
        <w:szCs w:val="13"/>
        <w:lang w:val="en-us" w:eastAsia="en-us" w:bidi="en-us"/>
      </w:rPr>
    </w:lvl>
    <w:lvl w:ilvl="1">
      <w:start w:val="0"/>
      <w:numFmt w:val="bullet"/>
      <w:lvlText w:val="•"/>
      <w:lvlJc w:val="left"/>
      <w:pPr>
        <w:ind w:left="2193" w:hanging="794"/>
      </w:pPr>
      <w:rPr>
        <w:rFonts w:hint="default"/>
        <w:lang w:val="en-us" w:eastAsia="en-us" w:bidi="en-us"/>
      </w:rPr>
    </w:lvl>
    <w:lvl w:ilvl="2">
      <w:start w:val="0"/>
      <w:numFmt w:val="bullet"/>
      <w:lvlText w:val="•"/>
      <w:lvlJc w:val="left"/>
      <w:pPr>
        <w:ind w:left="3146" w:hanging="794"/>
      </w:pPr>
      <w:rPr>
        <w:rFonts w:hint="default"/>
        <w:lang w:val="en-us" w:eastAsia="en-us" w:bidi="en-us"/>
      </w:rPr>
    </w:lvl>
    <w:lvl w:ilvl="3">
      <w:start w:val="0"/>
      <w:numFmt w:val="bullet"/>
      <w:lvlText w:val="•"/>
      <w:lvlJc w:val="left"/>
      <w:pPr>
        <w:ind w:left="4099" w:hanging="794"/>
      </w:pPr>
      <w:rPr>
        <w:rFonts w:hint="default"/>
        <w:lang w:val="en-us" w:eastAsia="en-us" w:bidi="en-us"/>
      </w:rPr>
    </w:lvl>
    <w:lvl w:ilvl="4">
      <w:start w:val="0"/>
      <w:numFmt w:val="bullet"/>
      <w:lvlText w:val="•"/>
      <w:lvlJc w:val="left"/>
      <w:pPr>
        <w:ind w:left="5052" w:hanging="794"/>
      </w:pPr>
      <w:rPr>
        <w:rFonts w:hint="default"/>
        <w:lang w:val="en-us" w:eastAsia="en-us" w:bidi="en-us"/>
      </w:rPr>
    </w:lvl>
    <w:lvl w:ilvl="5">
      <w:start w:val="0"/>
      <w:numFmt w:val="bullet"/>
      <w:lvlText w:val="•"/>
      <w:lvlJc w:val="left"/>
      <w:pPr>
        <w:ind w:left="6005" w:hanging="794"/>
      </w:pPr>
      <w:rPr>
        <w:rFonts w:hint="default"/>
        <w:lang w:val="en-us" w:eastAsia="en-us" w:bidi="en-us"/>
      </w:rPr>
    </w:lvl>
    <w:lvl w:ilvl="6">
      <w:start w:val="0"/>
      <w:numFmt w:val="bullet"/>
      <w:lvlText w:val="•"/>
      <w:lvlJc w:val="left"/>
      <w:pPr>
        <w:ind w:left="6958" w:hanging="794"/>
      </w:pPr>
      <w:rPr>
        <w:rFonts w:hint="default"/>
        <w:lang w:val="en-us" w:eastAsia="en-us" w:bidi="en-us"/>
      </w:rPr>
    </w:lvl>
    <w:lvl w:ilvl="7">
      <w:start w:val="0"/>
      <w:numFmt w:val="bullet"/>
      <w:lvlText w:val="•"/>
      <w:lvlJc w:val="left"/>
      <w:pPr>
        <w:ind w:left="7912" w:hanging="794"/>
      </w:pPr>
      <w:rPr>
        <w:rFonts w:hint="default"/>
        <w:lang w:val="en-us" w:eastAsia="en-us" w:bidi="en-us"/>
      </w:rPr>
    </w:lvl>
    <w:lvl w:ilvl="8">
      <w:start w:val="0"/>
      <w:numFmt w:val="bullet"/>
      <w:lvlText w:val="•"/>
      <w:lvlJc w:val="left"/>
      <w:pPr>
        <w:ind w:left="8865" w:hanging="794"/>
      </w:pPr>
      <w:rPr>
        <w:rFonts w:hint="default"/>
        <w:lang w:val="en-us" w:eastAsia="en-us" w:bidi="en-us"/>
      </w:rPr>
    </w:lvl>
  </w:abstractNum>
  <w:abstractNum w:abstractNumId="153">
    <w:multiLevelType w:val="hybridMultilevel"/>
    <w:lvl w:ilvl="0">
      <w:start w:val="166"/>
      <w:numFmt w:val="decimal"/>
      <w:lvlText w:val="%1"/>
      <w:lvlJc w:val="left"/>
      <w:pPr>
        <w:ind w:left="1233" w:hanging="794"/>
        <w:jc w:val="left"/>
      </w:pPr>
      <w:rPr>
        <w:rFonts w:hint="default" w:ascii="Calibri" w:hAnsi="Calibri" w:eastAsia="Calibri" w:cs="Calibri"/>
        <w:spacing w:val="-4"/>
        <w:w w:val="109"/>
        <w:sz w:val="13"/>
        <w:szCs w:val="13"/>
        <w:lang w:val="en-us" w:eastAsia="en-us" w:bidi="en-us"/>
      </w:rPr>
    </w:lvl>
    <w:lvl w:ilvl="1">
      <w:start w:val="0"/>
      <w:numFmt w:val="bullet"/>
      <w:lvlText w:val="•"/>
      <w:lvlJc w:val="left"/>
      <w:pPr>
        <w:ind w:left="2191" w:hanging="794"/>
      </w:pPr>
      <w:rPr>
        <w:rFonts w:hint="default"/>
        <w:lang w:val="en-us" w:eastAsia="en-us" w:bidi="en-us"/>
      </w:rPr>
    </w:lvl>
    <w:lvl w:ilvl="2">
      <w:start w:val="0"/>
      <w:numFmt w:val="bullet"/>
      <w:lvlText w:val="•"/>
      <w:lvlJc w:val="left"/>
      <w:pPr>
        <w:ind w:left="3143" w:hanging="794"/>
      </w:pPr>
      <w:rPr>
        <w:rFonts w:hint="default"/>
        <w:lang w:val="en-us" w:eastAsia="en-us" w:bidi="en-us"/>
      </w:rPr>
    </w:lvl>
    <w:lvl w:ilvl="3">
      <w:start w:val="0"/>
      <w:numFmt w:val="bullet"/>
      <w:lvlText w:val="•"/>
      <w:lvlJc w:val="left"/>
      <w:pPr>
        <w:ind w:left="4095" w:hanging="794"/>
      </w:pPr>
      <w:rPr>
        <w:rFonts w:hint="default"/>
        <w:lang w:val="en-us" w:eastAsia="en-us" w:bidi="en-us"/>
      </w:rPr>
    </w:lvl>
    <w:lvl w:ilvl="4">
      <w:start w:val="0"/>
      <w:numFmt w:val="bullet"/>
      <w:lvlText w:val="•"/>
      <w:lvlJc w:val="left"/>
      <w:pPr>
        <w:ind w:left="5047" w:hanging="794"/>
      </w:pPr>
      <w:rPr>
        <w:rFonts w:hint="default"/>
        <w:lang w:val="en-us" w:eastAsia="en-us" w:bidi="en-us"/>
      </w:rPr>
    </w:lvl>
    <w:lvl w:ilvl="5">
      <w:start w:val="0"/>
      <w:numFmt w:val="bullet"/>
      <w:lvlText w:val="•"/>
      <w:lvlJc w:val="left"/>
      <w:pPr>
        <w:ind w:left="5999" w:hanging="794"/>
      </w:pPr>
      <w:rPr>
        <w:rFonts w:hint="default"/>
        <w:lang w:val="en-us" w:eastAsia="en-us" w:bidi="en-us"/>
      </w:rPr>
    </w:lvl>
    <w:lvl w:ilvl="6">
      <w:start w:val="0"/>
      <w:numFmt w:val="bullet"/>
      <w:lvlText w:val="•"/>
      <w:lvlJc w:val="left"/>
      <w:pPr>
        <w:ind w:left="6950" w:hanging="794"/>
      </w:pPr>
      <w:rPr>
        <w:rFonts w:hint="default"/>
        <w:lang w:val="en-us" w:eastAsia="en-us" w:bidi="en-us"/>
      </w:rPr>
    </w:lvl>
    <w:lvl w:ilvl="7">
      <w:start w:val="0"/>
      <w:numFmt w:val="bullet"/>
      <w:lvlText w:val="•"/>
      <w:lvlJc w:val="left"/>
      <w:pPr>
        <w:ind w:left="7902" w:hanging="794"/>
      </w:pPr>
      <w:rPr>
        <w:rFonts w:hint="default"/>
        <w:lang w:val="en-us" w:eastAsia="en-us" w:bidi="en-us"/>
      </w:rPr>
    </w:lvl>
    <w:lvl w:ilvl="8">
      <w:start w:val="0"/>
      <w:numFmt w:val="bullet"/>
      <w:lvlText w:val="•"/>
      <w:lvlJc w:val="left"/>
      <w:pPr>
        <w:ind w:left="8854" w:hanging="794"/>
      </w:pPr>
      <w:rPr>
        <w:rFonts w:hint="default"/>
        <w:lang w:val="en-us" w:eastAsia="en-us" w:bidi="en-us"/>
      </w:rPr>
    </w:lvl>
  </w:abstractNum>
  <w:abstractNum w:abstractNumId="152">
    <w:multiLevelType w:val="hybridMultilevel"/>
    <w:lvl w:ilvl="0">
      <w:start w:val="161"/>
      <w:numFmt w:val="decimal"/>
      <w:lvlText w:val="%1"/>
      <w:lvlJc w:val="left"/>
      <w:pPr>
        <w:ind w:left="1233"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2191" w:hanging="794"/>
      </w:pPr>
      <w:rPr>
        <w:rFonts w:hint="default"/>
        <w:lang w:val="en-us" w:eastAsia="en-us" w:bidi="en-us"/>
      </w:rPr>
    </w:lvl>
    <w:lvl w:ilvl="2">
      <w:start w:val="0"/>
      <w:numFmt w:val="bullet"/>
      <w:lvlText w:val="•"/>
      <w:lvlJc w:val="left"/>
      <w:pPr>
        <w:ind w:left="3143" w:hanging="794"/>
      </w:pPr>
      <w:rPr>
        <w:rFonts w:hint="default"/>
        <w:lang w:val="en-us" w:eastAsia="en-us" w:bidi="en-us"/>
      </w:rPr>
    </w:lvl>
    <w:lvl w:ilvl="3">
      <w:start w:val="0"/>
      <w:numFmt w:val="bullet"/>
      <w:lvlText w:val="•"/>
      <w:lvlJc w:val="left"/>
      <w:pPr>
        <w:ind w:left="4095" w:hanging="794"/>
      </w:pPr>
      <w:rPr>
        <w:rFonts w:hint="default"/>
        <w:lang w:val="en-us" w:eastAsia="en-us" w:bidi="en-us"/>
      </w:rPr>
    </w:lvl>
    <w:lvl w:ilvl="4">
      <w:start w:val="0"/>
      <w:numFmt w:val="bullet"/>
      <w:lvlText w:val="•"/>
      <w:lvlJc w:val="left"/>
      <w:pPr>
        <w:ind w:left="5047" w:hanging="794"/>
      </w:pPr>
      <w:rPr>
        <w:rFonts w:hint="default"/>
        <w:lang w:val="en-us" w:eastAsia="en-us" w:bidi="en-us"/>
      </w:rPr>
    </w:lvl>
    <w:lvl w:ilvl="5">
      <w:start w:val="0"/>
      <w:numFmt w:val="bullet"/>
      <w:lvlText w:val="•"/>
      <w:lvlJc w:val="left"/>
      <w:pPr>
        <w:ind w:left="5999" w:hanging="794"/>
      </w:pPr>
      <w:rPr>
        <w:rFonts w:hint="default"/>
        <w:lang w:val="en-us" w:eastAsia="en-us" w:bidi="en-us"/>
      </w:rPr>
    </w:lvl>
    <w:lvl w:ilvl="6">
      <w:start w:val="0"/>
      <w:numFmt w:val="bullet"/>
      <w:lvlText w:val="•"/>
      <w:lvlJc w:val="left"/>
      <w:pPr>
        <w:ind w:left="6950" w:hanging="794"/>
      </w:pPr>
      <w:rPr>
        <w:rFonts w:hint="default"/>
        <w:lang w:val="en-us" w:eastAsia="en-us" w:bidi="en-us"/>
      </w:rPr>
    </w:lvl>
    <w:lvl w:ilvl="7">
      <w:start w:val="0"/>
      <w:numFmt w:val="bullet"/>
      <w:lvlText w:val="•"/>
      <w:lvlJc w:val="left"/>
      <w:pPr>
        <w:ind w:left="7902" w:hanging="794"/>
      </w:pPr>
      <w:rPr>
        <w:rFonts w:hint="default"/>
        <w:lang w:val="en-us" w:eastAsia="en-us" w:bidi="en-us"/>
      </w:rPr>
    </w:lvl>
    <w:lvl w:ilvl="8">
      <w:start w:val="0"/>
      <w:numFmt w:val="bullet"/>
      <w:lvlText w:val="•"/>
      <w:lvlJc w:val="left"/>
      <w:pPr>
        <w:ind w:left="8854" w:hanging="794"/>
      </w:pPr>
      <w:rPr>
        <w:rFonts w:hint="default"/>
        <w:lang w:val="en-us" w:eastAsia="en-us" w:bidi="en-us"/>
      </w:rPr>
    </w:lvl>
  </w:abstractNum>
  <w:abstractNum w:abstractNumId="151">
    <w:multiLevelType w:val="hybridMultilevel"/>
    <w:lvl w:ilvl="0">
      <w:start w:val="149"/>
      <w:numFmt w:val="decimal"/>
      <w:lvlText w:val="%1"/>
      <w:lvlJc w:val="left"/>
      <w:pPr>
        <w:ind w:left="2381"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3171" w:hanging="794"/>
      </w:pPr>
      <w:rPr>
        <w:rFonts w:hint="default"/>
        <w:lang w:val="en-us" w:eastAsia="en-us" w:bidi="en-us"/>
      </w:rPr>
    </w:lvl>
    <w:lvl w:ilvl="2">
      <w:start w:val="0"/>
      <w:numFmt w:val="bullet"/>
      <w:lvlText w:val="•"/>
      <w:lvlJc w:val="left"/>
      <w:pPr>
        <w:ind w:left="3963" w:hanging="794"/>
      </w:pPr>
      <w:rPr>
        <w:rFonts w:hint="default"/>
        <w:lang w:val="en-us" w:eastAsia="en-us" w:bidi="en-us"/>
      </w:rPr>
    </w:lvl>
    <w:lvl w:ilvl="3">
      <w:start w:val="0"/>
      <w:numFmt w:val="bullet"/>
      <w:lvlText w:val="•"/>
      <w:lvlJc w:val="left"/>
      <w:pPr>
        <w:ind w:left="4755" w:hanging="794"/>
      </w:pPr>
      <w:rPr>
        <w:rFonts w:hint="default"/>
        <w:lang w:val="en-us" w:eastAsia="en-us" w:bidi="en-us"/>
      </w:rPr>
    </w:lvl>
    <w:lvl w:ilvl="4">
      <w:start w:val="0"/>
      <w:numFmt w:val="bullet"/>
      <w:lvlText w:val="•"/>
      <w:lvlJc w:val="left"/>
      <w:pPr>
        <w:ind w:left="5547" w:hanging="794"/>
      </w:pPr>
      <w:rPr>
        <w:rFonts w:hint="default"/>
        <w:lang w:val="en-us" w:eastAsia="en-us" w:bidi="en-us"/>
      </w:rPr>
    </w:lvl>
    <w:lvl w:ilvl="5">
      <w:start w:val="0"/>
      <w:numFmt w:val="bullet"/>
      <w:lvlText w:val="•"/>
      <w:lvlJc w:val="left"/>
      <w:pPr>
        <w:ind w:left="6339" w:hanging="794"/>
      </w:pPr>
      <w:rPr>
        <w:rFonts w:hint="default"/>
        <w:lang w:val="en-us" w:eastAsia="en-us" w:bidi="en-us"/>
      </w:rPr>
    </w:lvl>
    <w:lvl w:ilvl="6">
      <w:start w:val="0"/>
      <w:numFmt w:val="bullet"/>
      <w:lvlText w:val="•"/>
      <w:lvlJc w:val="left"/>
      <w:pPr>
        <w:ind w:left="7131" w:hanging="794"/>
      </w:pPr>
      <w:rPr>
        <w:rFonts w:hint="default"/>
        <w:lang w:val="en-us" w:eastAsia="en-us" w:bidi="en-us"/>
      </w:rPr>
    </w:lvl>
    <w:lvl w:ilvl="7">
      <w:start w:val="0"/>
      <w:numFmt w:val="bullet"/>
      <w:lvlText w:val="•"/>
      <w:lvlJc w:val="left"/>
      <w:pPr>
        <w:ind w:left="7923" w:hanging="794"/>
      </w:pPr>
      <w:rPr>
        <w:rFonts w:hint="default"/>
        <w:lang w:val="en-us" w:eastAsia="en-us" w:bidi="en-us"/>
      </w:rPr>
    </w:lvl>
    <w:lvl w:ilvl="8">
      <w:start w:val="0"/>
      <w:numFmt w:val="bullet"/>
      <w:lvlText w:val="•"/>
      <w:lvlJc w:val="left"/>
      <w:pPr>
        <w:ind w:left="8715" w:hanging="794"/>
      </w:pPr>
      <w:rPr>
        <w:rFonts w:hint="default"/>
        <w:lang w:val="en-us" w:eastAsia="en-us" w:bidi="en-us"/>
      </w:rPr>
    </w:lvl>
  </w:abstractNum>
  <w:abstractNum w:abstractNumId="150">
    <w:multiLevelType w:val="hybridMultilevel"/>
    <w:lvl w:ilvl="0">
      <w:start w:val="141"/>
      <w:numFmt w:val="decimal"/>
      <w:lvlText w:val="%1"/>
      <w:lvlJc w:val="left"/>
      <w:pPr>
        <w:ind w:left="1217" w:hanging="794"/>
        <w:jc w:val="right"/>
      </w:pPr>
      <w:rPr>
        <w:rFonts w:hint="default" w:ascii="Calibri" w:hAnsi="Calibri" w:eastAsia="Calibri" w:cs="Calibri"/>
        <w:spacing w:val="-6"/>
        <w:w w:val="109"/>
        <w:sz w:val="13"/>
        <w:szCs w:val="13"/>
        <w:lang w:val="en-us" w:eastAsia="en-us" w:bidi="en-us"/>
      </w:rPr>
    </w:lvl>
    <w:lvl w:ilvl="1">
      <w:start w:val="0"/>
      <w:numFmt w:val="bullet"/>
      <w:lvlText w:val="•"/>
      <w:lvlJc w:val="left"/>
      <w:pPr>
        <w:ind w:left="2172" w:hanging="794"/>
      </w:pPr>
      <w:rPr>
        <w:rFonts w:hint="default"/>
        <w:lang w:val="en-us" w:eastAsia="en-us" w:bidi="en-us"/>
      </w:rPr>
    </w:lvl>
    <w:lvl w:ilvl="2">
      <w:start w:val="0"/>
      <w:numFmt w:val="bullet"/>
      <w:lvlText w:val="•"/>
      <w:lvlJc w:val="left"/>
      <w:pPr>
        <w:ind w:left="3124" w:hanging="794"/>
      </w:pPr>
      <w:rPr>
        <w:rFonts w:hint="default"/>
        <w:lang w:val="en-us" w:eastAsia="en-us" w:bidi="en-us"/>
      </w:rPr>
    </w:lvl>
    <w:lvl w:ilvl="3">
      <w:start w:val="0"/>
      <w:numFmt w:val="bullet"/>
      <w:lvlText w:val="•"/>
      <w:lvlJc w:val="left"/>
      <w:pPr>
        <w:ind w:left="4076" w:hanging="794"/>
      </w:pPr>
      <w:rPr>
        <w:rFonts w:hint="default"/>
        <w:lang w:val="en-us" w:eastAsia="en-us" w:bidi="en-us"/>
      </w:rPr>
    </w:lvl>
    <w:lvl w:ilvl="4">
      <w:start w:val="0"/>
      <w:numFmt w:val="bullet"/>
      <w:lvlText w:val="•"/>
      <w:lvlJc w:val="left"/>
      <w:pPr>
        <w:ind w:left="5028" w:hanging="794"/>
      </w:pPr>
      <w:rPr>
        <w:rFonts w:hint="default"/>
        <w:lang w:val="en-us" w:eastAsia="en-us" w:bidi="en-us"/>
      </w:rPr>
    </w:lvl>
    <w:lvl w:ilvl="5">
      <w:start w:val="0"/>
      <w:numFmt w:val="bullet"/>
      <w:lvlText w:val="•"/>
      <w:lvlJc w:val="left"/>
      <w:pPr>
        <w:ind w:left="5980" w:hanging="794"/>
      </w:pPr>
      <w:rPr>
        <w:rFonts w:hint="default"/>
        <w:lang w:val="en-us" w:eastAsia="en-us" w:bidi="en-us"/>
      </w:rPr>
    </w:lvl>
    <w:lvl w:ilvl="6">
      <w:start w:val="0"/>
      <w:numFmt w:val="bullet"/>
      <w:lvlText w:val="•"/>
      <w:lvlJc w:val="left"/>
      <w:pPr>
        <w:ind w:left="6932" w:hanging="794"/>
      </w:pPr>
      <w:rPr>
        <w:rFonts w:hint="default"/>
        <w:lang w:val="en-us" w:eastAsia="en-us" w:bidi="en-us"/>
      </w:rPr>
    </w:lvl>
    <w:lvl w:ilvl="7">
      <w:start w:val="0"/>
      <w:numFmt w:val="bullet"/>
      <w:lvlText w:val="•"/>
      <w:lvlJc w:val="left"/>
      <w:pPr>
        <w:ind w:left="7884" w:hanging="794"/>
      </w:pPr>
      <w:rPr>
        <w:rFonts w:hint="default"/>
        <w:lang w:val="en-us" w:eastAsia="en-us" w:bidi="en-us"/>
      </w:rPr>
    </w:lvl>
    <w:lvl w:ilvl="8">
      <w:start w:val="0"/>
      <w:numFmt w:val="bullet"/>
      <w:lvlText w:val="•"/>
      <w:lvlJc w:val="left"/>
      <w:pPr>
        <w:ind w:left="8837" w:hanging="794"/>
      </w:pPr>
      <w:rPr>
        <w:rFonts w:hint="default"/>
        <w:lang w:val="en-us" w:eastAsia="en-us" w:bidi="en-us"/>
      </w:rPr>
    </w:lvl>
  </w:abstractNum>
  <w:abstractNum w:abstractNumId="149">
    <w:multiLevelType w:val="hybridMultilevel"/>
    <w:lvl w:ilvl="0">
      <w:start w:val="0"/>
      <w:numFmt w:val="bullet"/>
      <w:lvlText w:val="•"/>
      <w:lvlJc w:val="left"/>
      <w:pPr>
        <w:ind w:left="2721" w:hanging="341"/>
      </w:pPr>
      <w:rPr>
        <w:rFonts w:hint="default" w:ascii="Calibri" w:hAnsi="Calibri" w:eastAsia="Calibri" w:cs="Calibri"/>
        <w:w w:val="100"/>
        <w:sz w:val="21"/>
        <w:szCs w:val="21"/>
        <w:lang w:val="en-us" w:eastAsia="en-us" w:bidi="en-us"/>
      </w:rPr>
    </w:lvl>
    <w:lvl w:ilvl="1">
      <w:start w:val="0"/>
      <w:numFmt w:val="bullet"/>
      <w:lvlText w:val="•"/>
      <w:lvlJc w:val="left"/>
      <w:pPr>
        <w:ind w:left="3638" w:hanging="341"/>
      </w:pPr>
      <w:rPr>
        <w:rFonts w:hint="default"/>
        <w:lang w:val="en-us" w:eastAsia="en-us" w:bidi="en-us"/>
      </w:rPr>
    </w:lvl>
    <w:lvl w:ilvl="2">
      <w:start w:val="0"/>
      <w:numFmt w:val="bullet"/>
      <w:lvlText w:val="•"/>
      <w:lvlJc w:val="left"/>
      <w:pPr>
        <w:ind w:left="4557" w:hanging="341"/>
      </w:pPr>
      <w:rPr>
        <w:rFonts w:hint="default"/>
        <w:lang w:val="en-us" w:eastAsia="en-us" w:bidi="en-us"/>
      </w:rPr>
    </w:lvl>
    <w:lvl w:ilvl="3">
      <w:start w:val="0"/>
      <w:numFmt w:val="bullet"/>
      <w:lvlText w:val="•"/>
      <w:lvlJc w:val="left"/>
      <w:pPr>
        <w:ind w:left="5475" w:hanging="341"/>
      </w:pPr>
      <w:rPr>
        <w:rFonts w:hint="default"/>
        <w:lang w:val="en-us" w:eastAsia="en-us" w:bidi="en-us"/>
      </w:rPr>
    </w:lvl>
    <w:lvl w:ilvl="4">
      <w:start w:val="0"/>
      <w:numFmt w:val="bullet"/>
      <w:lvlText w:val="•"/>
      <w:lvlJc w:val="left"/>
      <w:pPr>
        <w:ind w:left="6394" w:hanging="341"/>
      </w:pPr>
      <w:rPr>
        <w:rFonts w:hint="default"/>
        <w:lang w:val="en-us" w:eastAsia="en-us" w:bidi="en-us"/>
      </w:rPr>
    </w:lvl>
    <w:lvl w:ilvl="5">
      <w:start w:val="0"/>
      <w:numFmt w:val="bullet"/>
      <w:lvlText w:val="•"/>
      <w:lvlJc w:val="left"/>
      <w:pPr>
        <w:ind w:left="7312" w:hanging="341"/>
      </w:pPr>
      <w:rPr>
        <w:rFonts w:hint="default"/>
        <w:lang w:val="en-us" w:eastAsia="en-us" w:bidi="en-us"/>
      </w:rPr>
    </w:lvl>
    <w:lvl w:ilvl="6">
      <w:start w:val="0"/>
      <w:numFmt w:val="bullet"/>
      <w:lvlText w:val="•"/>
      <w:lvlJc w:val="left"/>
      <w:pPr>
        <w:ind w:left="8231" w:hanging="341"/>
      </w:pPr>
      <w:rPr>
        <w:rFonts w:hint="default"/>
        <w:lang w:val="en-us" w:eastAsia="en-us" w:bidi="en-us"/>
      </w:rPr>
    </w:lvl>
    <w:lvl w:ilvl="7">
      <w:start w:val="0"/>
      <w:numFmt w:val="bullet"/>
      <w:lvlText w:val="•"/>
      <w:lvlJc w:val="left"/>
      <w:pPr>
        <w:ind w:left="9149" w:hanging="341"/>
      </w:pPr>
      <w:rPr>
        <w:rFonts w:hint="default"/>
        <w:lang w:val="en-us" w:eastAsia="en-us" w:bidi="en-us"/>
      </w:rPr>
    </w:lvl>
    <w:lvl w:ilvl="8">
      <w:start w:val="0"/>
      <w:numFmt w:val="bullet"/>
      <w:lvlText w:val="•"/>
      <w:lvlJc w:val="left"/>
      <w:pPr>
        <w:ind w:left="10068" w:hanging="341"/>
      </w:pPr>
      <w:rPr>
        <w:rFonts w:hint="default"/>
        <w:lang w:val="en-us" w:eastAsia="en-us" w:bidi="en-us"/>
      </w:rPr>
    </w:lvl>
  </w:abstractNum>
  <w:abstractNum w:abstractNumId="148">
    <w:multiLevelType w:val="hybridMultilevel"/>
    <w:lvl w:ilvl="0">
      <w:start w:val="112"/>
      <w:numFmt w:val="decimal"/>
      <w:lvlText w:val="%1"/>
      <w:lvlJc w:val="left"/>
      <w:pPr>
        <w:ind w:left="1216" w:hanging="794"/>
        <w:jc w:val="right"/>
      </w:pPr>
      <w:rPr>
        <w:rFonts w:hint="default" w:ascii="Calibri" w:hAnsi="Calibri" w:eastAsia="Calibri" w:cs="Calibri"/>
        <w:spacing w:val="-11"/>
        <w:w w:val="109"/>
        <w:sz w:val="13"/>
        <w:szCs w:val="13"/>
        <w:lang w:val="en-us" w:eastAsia="en-us" w:bidi="en-us"/>
      </w:rPr>
    </w:lvl>
    <w:lvl w:ilvl="1">
      <w:start w:val="32"/>
      <w:numFmt w:val="decimal"/>
      <w:lvlText w:val="%2"/>
      <w:lvlJc w:val="left"/>
      <w:pPr>
        <w:ind w:left="2380" w:hanging="567"/>
        <w:jc w:val="left"/>
      </w:pPr>
      <w:rPr>
        <w:rFonts w:hint="default" w:ascii="Calibri" w:hAnsi="Calibri" w:eastAsia="Calibri" w:cs="Calibri"/>
        <w:b/>
        <w:bCs/>
        <w:spacing w:val="-2"/>
        <w:w w:val="109"/>
        <w:sz w:val="21"/>
        <w:szCs w:val="21"/>
        <w:lang w:val="en-us" w:eastAsia="en-us" w:bidi="en-us"/>
      </w:rPr>
    </w:lvl>
    <w:lvl w:ilvl="2">
      <w:start w:val="1"/>
      <w:numFmt w:val="lowerLetter"/>
      <w:lvlText w:val="(%3)"/>
      <w:lvlJc w:val="left"/>
      <w:pPr>
        <w:ind w:left="2947" w:hanging="567"/>
        <w:jc w:val="left"/>
      </w:pPr>
      <w:rPr>
        <w:rFonts w:hint="default" w:ascii="Calibri" w:hAnsi="Calibri" w:eastAsia="Calibri" w:cs="Calibri"/>
        <w:spacing w:val="0"/>
        <w:w w:val="109"/>
        <w:sz w:val="21"/>
        <w:szCs w:val="21"/>
        <w:lang w:val="en-us" w:eastAsia="en-us" w:bidi="en-us"/>
      </w:rPr>
    </w:lvl>
    <w:lvl w:ilvl="3">
      <w:start w:val="0"/>
      <w:numFmt w:val="bullet"/>
      <w:lvlText w:val="•"/>
      <w:lvlJc w:val="left"/>
      <w:pPr>
        <w:ind w:left="3915" w:hanging="567"/>
      </w:pPr>
      <w:rPr>
        <w:rFonts w:hint="default"/>
        <w:lang w:val="en-us" w:eastAsia="en-us" w:bidi="en-us"/>
      </w:rPr>
    </w:lvl>
    <w:lvl w:ilvl="4">
      <w:start w:val="0"/>
      <w:numFmt w:val="bullet"/>
      <w:lvlText w:val="•"/>
      <w:lvlJc w:val="left"/>
      <w:pPr>
        <w:ind w:left="4890" w:hanging="567"/>
      </w:pPr>
      <w:rPr>
        <w:rFonts w:hint="default"/>
        <w:lang w:val="en-us" w:eastAsia="en-us" w:bidi="en-us"/>
      </w:rPr>
    </w:lvl>
    <w:lvl w:ilvl="5">
      <w:start w:val="0"/>
      <w:numFmt w:val="bullet"/>
      <w:lvlText w:val="•"/>
      <w:lvlJc w:val="left"/>
      <w:pPr>
        <w:ind w:left="5865" w:hanging="567"/>
      </w:pPr>
      <w:rPr>
        <w:rFonts w:hint="default"/>
        <w:lang w:val="en-us" w:eastAsia="en-us" w:bidi="en-us"/>
      </w:rPr>
    </w:lvl>
    <w:lvl w:ilvl="6">
      <w:start w:val="0"/>
      <w:numFmt w:val="bullet"/>
      <w:lvlText w:val="•"/>
      <w:lvlJc w:val="left"/>
      <w:pPr>
        <w:ind w:left="6840" w:hanging="567"/>
      </w:pPr>
      <w:rPr>
        <w:rFonts w:hint="default"/>
        <w:lang w:val="en-us" w:eastAsia="en-us" w:bidi="en-us"/>
      </w:rPr>
    </w:lvl>
    <w:lvl w:ilvl="7">
      <w:start w:val="0"/>
      <w:numFmt w:val="bullet"/>
      <w:lvlText w:val="•"/>
      <w:lvlJc w:val="left"/>
      <w:pPr>
        <w:ind w:left="7815" w:hanging="567"/>
      </w:pPr>
      <w:rPr>
        <w:rFonts w:hint="default"/>
        <w:lang w:val="en-us" w:eastAsia="en-us" w:bidi="en-us"/>
      </w:rPr>
    </w:lvl>
    <w:lvl w:ilvl="8">
      <w:start w:val="0"/>
      <w:numFmt w:val="bullet"/>
      <w:lvlText w:val="•"/>
      <w:lvlJc w:val="left"/>
      <w:pPr>
        <w:ind w:left="8790" w:hanging="567"/>
      </w:pPr>
      <w:rPr>
        <w:rFonts w:hint="default"/>
        <w:lang w:val="en-us" w:eastAsia="en-us" w:bidi="en-us"/>
      </w:rPr>
    </w:lvl>
  </w:abstractNum>
  <w:abstractNum w:abstractNumId="147">
    <w:multiLevelType w:val="hybridMultilevel"/>
    <w:lvl w:ilvl="0">
      <w:start w:val="99"/>
      <w:numFmt w:val="decimal"/>
      <w:lvlText w:val="%1"/>
      <w:lvlJc w:val="left"/>
      <w:pPr>
        <w:ind w:left="2381" w:hanging="794"/>
        <w:jc w:val="right"/>
      </w:pPr>
      <w:rPr>
        <w:rFonts w:hint="default" w:ascii="Calibri" w:hAnsi="Calibri" w:eastAsia="Calibri" w:cs="Calibri"/>
        <w:spacing w:val="0"/>
        <w:w w:val="109"/>
        <w:sz w:val="13"/>
        <w:szCs w:val="13"/>
        <w:lang w:val="en-us" w:eastAsia="en-us" w:bidi="en-us"/>
      </w:rPr>
    </w:lvl>
    <w:lvl w:ilvl="1">
      <w:start w:val="0"/>
      <w:numFmt w:val="bullet"/>
      <w:lvlText w:val="•"/>
      <w:lvlJc w:val="left"/>
      <w:pPr>
        <w:ind w:left="3173" w:hanging="794"/>
      </w:pPr>
      <w:rPr>
        <w:rFonts w:hint="default"/>
        <w:lang w:val="en-us" w:eastAsia="en-us" w:bidi="en-us"/>
      </w:rPr>
    </w:lvl>
    <w:lvl w:ilvl="2">
      <w:start w:val="0"/>
      <w:numFmt w:val="bullet"/>
      <w:lvlText w:val="•"/>
      <w:lvlJc w:val="left"/>
      <w:pPr>
        <w:ind w:left="3967" w:hanging="794"/>
      </w:pPr>
      <w:rPr>
        <w:rFonts w:hint="default"/>
        <w:lang w:val="en-us" w:eastAsia="en-us" w:bidi="en-us"/>
      </w:rPr>
    </w:lvl>
    <w:lvl w:ilvl="3">
      <w:start w:val="0"/>
      <w:numFmt w:val="bullet"/>
      <w:lvlText w:val="•"/>
      <w:lvlJc w:val="left"/>
      <w:pPr>
        <w:ind w:left="4760" w:hanging="794"/>
      </w:pPr>
      <w:rPr>
        <w:rFonts w:hint="default"/>
        <w:lang w:val="en-us" w:eastAsia="en-us" w:bidi="en-us"/>
      </w:rPr>
    </w:lvl>
    <w:lvl w:ilvl="4">
      <w:start w:val="0"/>
      <w:numFmt w:val="bullet"/>
      <w:lvlText w:val="•"/>
      <w:lvlJc w:val="left"/>
      <w:pPr>
        <w:ind w:left="5554" w:hanging="794"/>
      </w:pPr>
      <w:rPr>
        <w:rFonts w:hint="default"/>
        <w:lang w:val="en-us" w:eastAsia="en-us" w:bidi="en-us"/>
      </w:rPr>
    </w:lvl>
    <w:lvl w:ilvl="5">
      <w:start w:val="0"/>
      <w:numFmt w:val="bullet"/>
      <w:lvlText w:val="•"/>
      <w:lvlJc w:val="left"/>
      <w:pPr>
        <w:ind w:left="6347" w:hanging="794"/>
      </w:pPr>
      <w:rPr>
        <w:rFonts w:hint="default"/>
        <w:lang w:val="en-us" w:eastAsia="en-us" w:bidi="en-us"/>
      </w:rPr>
    </w:lvl>
    <w:lvl w:ilvl="6">
      <w:start w:val="0"/>
      <w:numFmt w:val="bullet"/>
      <w:lvlText w:val="•"/>
      <w:lvlJc w:val="left"/>
      <w:pPr>
        <w:ind w:left="7141" w:hanging="794"/>
      </w:pPr>
      <w:rPr>
        <w:rFonts w:hint="default"/>
        <w:lang w:val="en-us" w:eastAsia="en-us" w:bidi="en-us"/>
      </w:rPr>
    </w:lvl>
    <w:lvl w:ilvl="7">
      <w:start w:val="0"/>
      <w:numFmt w:val="bullet"/>
      <w:lvlText w:val="•"/>
      <w:lvlJc w:val="left"/>
      <w:pPr>
        <w:ind w:left="7934" w:hanging="794"/>
      </w:pPr>
      <w:rPr>
        <w:rFonts w:hint="default"/>
        <w:lang w:val="en-us" w:eastAsia="en-us" w:bidi="en-us"/>
      </w:rPr>
    </w:lvl>
    <w:lvl w:ilvl="8">
      <w:start w:val="0"/>
      <w:numFmt w:val="bullet"/>
      <w:lvlText w:val="•"/>
      <w:lvlJc w:val="left"/>
      <w:pPr>
        <w:ind w:left="8728" w:hanging="794"/>
      </w:pPr>
      <w:rPr>
        <w:rFonts w:hint="default"/>
        <w:lang w:val="en-us" w:eastAsia="en-us" w:bidi="en-us"/>
      </w:rPr>
    </w:lvl>
  </w:abstractNum>
  <w:abstractNum w:abstractNumId="146">
    <w:multiLevelType w:val="hybridMultilevel"/>
    <w:lvl w:ilvl="0">
      <w:start w:val="87"/>
      <w:numFmt w:val="decimal"/>
      <w:lvlText w:val="%1"/>
      <w:lvlJc w:val="left"/>
      <w:pPr>
        <w:ind w:left="1223" w:hanging="794"/>
        <w:jc w:val="right"/>
      </w:pPr>
      <w:rPr>
        <w:rFonts w:hint="default" w:ascii="Calibri" w:hAnsi="Calibri" w:eastAsia="Calibri" w:cs="Calibri"/>
        <w:w w:val="109"/>
        <w:sz w:val="13"/>
        <w:szCs w:val="13"/>
        <w:lang w:val="en-us" w:eastAsia="en-us" w:bidi="en-us"/>
      </w:rPr>
    </w:lvl>
    <w:lvl w:ilvl="1">
      <w:start w:val="0"/>
      <w:numFmt w:val="bullet"/>
      <w:lvlText w:val="•"/>
      <w:lvlJc w:val="left"/>
      <w:pPr>
        <w:ind w:left="2172" w:hanging="794"/>
      </w:pPr>
      <w:rPr>
        <w:rFonts w:hint="default"/>
        <w:lang w:val="en-us" w:eastAsia="en-us" w:bidi="en-us"/>
      </w:rPr>
    </w:lvl>
    <w:lvl w:ilvl="2">
      <w:start w:val="0"/>
      <w:numFmt w:val="bullet"/>
      <w:lvlText w:val="•"/>
      <w:lvlJc w:val="left"/>
      <w:pPr>
        <w:ind w:left="3125" w:hanging="794"/>
      </w:pPr>
      <w:rPr>
        <w:rFonts w:hint="default"/>
        <w:lang w:val="en-us" w:eastAsia="en-us" w:bidi="en-us"/>
      </w:rPr>
    </w:lvl>
    <w:lvl w:ilvl="3">
      <w:start w:val="0"/>
      <w:numFmt w:val="bullet"/>
      <w:lvlText w:val="•"/>
      <w:lvlJc w:val="left"/>
      <w:pPr>
        <w:ind w:left="4078" w:hanging="794"/>
      </w:pPr>
      <w:rPr>
        <w:rFonts w:hint="default"/>
        <w:lang w:val="en-us" w:eastAsia="en-us" w:bidi="en-us"/>
      </w:rPr>
    </w:lvl>
    <w:lvl w:ilvl="4">
      <w:start w:val="0"/>
      <w:numFmt w:val="bullet"/>
      <w:lvlText w:val="•"/>
      <w:lvlJc w:val="left"/>
      <w:pPr>
        <w:ind w:left="5031" w:hanging="794"/>
      </w:pPr>
      <w:rPr>
        <w:rFonts w:hint="default"/>
        <w:lang w:val="en-us" w:eastAsia="en-us" w:bidi="en-us"/>
      </w:rPr>
    </w:lvl>
    <w:lvl w:ilvl="5">
      <w:start w:val="0"/>
      <w:numFmt w:val="bullet"/>
      <w:lvlText w:val="•"/>
      <w:lvlJc w:val="left"/>
      <w:pPr>
        <w:ind w:left="5984" w:hanging="794"/>
      </w:pPr>
      <w:rPr>
        <w:rFonts w:hint="default"/>
        <w:lang w:val="en-us" w:eastAsia="en-us" w:bidi="en-us"/>
      </w:rPr>
    </w:lvl>
    <w:lvl w:ilvl="6">
      <w:start w:val="0"/>
      <w:numFmt w:val="bullet"/>
      <w:lvlText w:val="•"/>
      <w:lvlJc w:val="left"/>
      <w:pPr>
        <w:ind w:left="6936" w:hanging="794"/>
      </w:pPr>
      <w:rPr>
        <w:rFonts w:hint="default"/>
        <w:lang w:val="en-us" w:eastAsia="en-us" w:bidi="en-us"/>
      </w:rPr>
    </w:lvl>
    <w:lvl w:ilvl="7">
      <w:start w:val="0"/>
      <w:numFmt w:val="bullet"/>
      <w:lvlText w:val="•"/>
      <w:lvlJc w:val="left"/>
      <w:pPr>
        <w:ind w:left="7889" w:hanging="794"/>
      </w:pPr>
      <w:rPr>
        <w:rFonts w:hint="default"/>
        <w:lang w:val="en-us" w:eastAsia="en-us" w:bidi="en-us"/>
      </w:rPr>
    </w:lvl>
    <w:lvl w:ilvl="8">
      <w:start w:val="0"/>
      <w:numFmt w:val="bullet"/>
      <w:lvlText w:val="•"/>
      <w:lvlJc w:val="left"/>
      <w:pPr>
        <w:ind w:left="8842" w:hanging="794"/>
      </w:pPr>
      <w:rPr>
        <w:rFonts w:hint="default"/>
        <w:lang w:val="en-us" w:eastAsia="en-us" w:bidi="en-us"/>
      </w:rPr>
    </w:lvl>
  </w:abstractNum>
  <w:abstractNum w:abstractNumId="145">
    <w:multiLevelType w:val="hybridMultilevel"/>
    <w:lvl w:ilvl="0">
      <w:start w:val="82"/>
      <w:numFmt w:val="decimal"/>
      <w:lvlText w:val="%1"/>
      <w:lvlJc w:val="left"/>
      <w:pPr>
        <w:ind w:left="1223" w:hanging="794"/>
        <w:jc w:val="left"/>
      </w:pPr>
      <w:rPr>
        <w:rFonts w:hint="default" w:ascii="Calibri" w:hAnsi="Calibri" w:eastAsia="Calibri" w:cs="Calibri"/>
        <w:spacing w:val="0"/>
        <w:w w:val="109"/>
        <w:sz w:val="13"/>
        <w:szCs w:val="13"/>
        <w:lang w:val="en-us" w:eastAsia="en-us" w:bidi="en-us"/>
      </w:rPr>
    </w:lvl>
    <w:lvl w:ilvl="1">
      <w:start w:val="0"/>
      <w:numFmt w:val="bullet"/>
      <w:lvlText w:val="•"/>
      <w:lvlJc w:val="left"/>
      <w:pPr>
        <w:ind w:left="2172" w:hanging="794"/>
      </w:pPr>
      <w:rPr>
        <w:rFonts w:hint="default"/>
        <w:lang w:val="en-us" w:eastAsia="en-us" w:bidi="en-us"/>
      </w:rPr>
    </w:lvl>
    <w:lvl w:ilvl="2">
      <w:start w:val="0"/>
      <w:numFmt w:val="bullet"/>
      <w:lvlText w:val="•"/>
      <w:lvlJc w:val="left"/>
      <w:pPr>
        <w:ind w:left="3125" w:hanging="794"/>
      </w:pPr>
      <w:rPr>
        <w:rFonts w:hint="default"/>
        <w:lang w:val="en-us" w:eastAsia="en-us" w:bidi="en-us"/>
      </w:rPr>
    </w:lvl>
    <w:lvl w:ilvl="3">
      <w:start w:val="0"/>
      <w:numFmt w:val="bullet"/>
      <w:lvlText w:val="•"/>
      <w:lvlJc w:val="left"/>
      <w:pPr>
        <w:ind w:left="4078" w:hanging="794"/>
      </w:pPr>
      <w:rPr>
        <w:rFonts w:hint="default"/>
        <w:lang w:val="en-us" w:eastAsia="en-us" w:bidi="en-us"/>
      </w:rPr>
    </w:lvl>
    <w:lvl w:ilvl="4">
      <w:start w:val="0"/>
      <w:numFmt w:val="bullet"/>
      <w:lvlText w:val="•"/>
      <w:lvlJc w:val="left"/>
      <w:pPr>
        <w:ind w:left="5031" w:hanging="794"/>
      </w:pPr>
      <w:rPr>
        <w:rFonts w:hint="default"/>
        <w:lang w:val="en-us" w:eastAsia="en-us" w:bidi="en-us"/>
      </w:rPr>
    </w:lvl>
    <w:lvl w:ilvl="5">
      <w:start w:val="0"/>
      <w:numFmt w:val="bullet"/>
      <w:lvlText w:val="•"/>
      <w:lvlJc w:val="left"/>
      <w:pPr>
        <w:ind w:left="5984" w:hanging="794"/>
      </w:pPr>
      <w:rPr>
        <w:rFonts w:hint="default"/>
        <w:lang w:val="en-us" w:eastAsia="en-us" w:bidi="en-us"/>
      </w:rPr>
    </w:lvl>
    <w:lvl w:ilvl="6">
      <w:start w:val="0"/>
      <w:numFmt w:val="bullet"/>
      <w:lvlText w:val="•"/>
      <w:lvlJc w:val="left"/>
      <w:pPr>
        <w:ind w:left="6936" w:hanging="794"/>
      </w:pPr>
      <w:rPr>
        <w:rFonts w:hint="default"/>
        <w:lang w:val="en-us" w:eastAsia="en-us" w:bidi="en-us"/>
      </w:rPr>
    </w:lvl>
    <w:lvl w:ilvl="7">
      <w:start w:val="0"/>
      <w:numFmt w:val="bullet"/>
      <w:lvlText w:val="•"/>
      <w:lvlJc w:val="left"/>
      <w:pPr>
        <w:ind w:left="7889" w:hanging="794"/>
      </w:pPr>
      <w:rPr>
        <w:rFonts w:hint="default"/>
        <w:lang w:val="en-us" w:eastAsia="en-us" w:bidi="en-us"/>
      </w:rPr>
    </w:lvl>
    <w:lvl w:ilvl="8">
      <w:start w:val="0"/>
      <w:numFmt w:val="bullet"/>
      <w:lvlText w:val="•"/>
      <w:lvlJc w:val="left"/>
      <w:pPr>
        <w:ind w:left="8842" w:hanging="794"/>
      </w:pPr>
      <w:rPr>
        <w:rFonts w:hint="default"/>
        <w:lang w:val="en-us" w:eastAsia="en-us" w:bidi="en-us"/>
      </w:rPr>
    </w:lvl>
  </w:abstractNum>
  <w:abstractNum w:abstractNumId="144">
    <w:multiLevelType w:val="hybridMultilevel"/>
    <w:lvl w:ilvl="0">
      <w:start w:val="29"/>
      <w:numFmt w:val="decimal"/>
      <w:lvlText w:val="%1"/>
      <w:lvlJc w:val="left"/>
      <w:pPr>
        <w:ind w:left="793" w:hanging="567"/>
        <w:jc w:val="left"/>
      </w:pPr>
      <w:rPr>
        <w:rFonts w:hint="default" w:ascii="Calibri" w:hAnsi="Calibri" w:eastAsia="Calibri" w:cs="Calibri"/>
        <w:b/>
        <w:bCs/>
        <w:spacing w:val="-2"/>
        <w:w w:val="109"/>
        <w:sz w:val="21"/>
        <w:szCs w:val="21"/>
        <w:lang w:val="en-us" w:eastAsia="en-us" w:bidi="en-us"/>
      </w:rPr>
    </w:lvl>
    <w:lvl w:ilvl="1">
      <w:start w:val="1"/>
      <w:numFmt w:val="lowerLetter"/>
      <w:lvlText w:val="(%2)"/>
      <w:lvlJc w:val="left"/>
      <w:pPr>
        <w:ind w:left="1360" w:hanging="567"/>
        <w:jc w:val="left"/>
      </w:pPr>
      <w:rPr>
        <w:rFonts w:hint="default" w:ascii="Calibri" w:hAnsi="Calibri" w:eastAsia="Calibri" w:cs="Calibri"/>
        <w:spacing w:val="0"/>
        <w:w w:val="109"/>
        <w:sz w:val="21"/>
        <w:szCs w:val="21"/>
        <w:lang w:val="en-us" w:eastAsia="en-us" w:bidi="en-us"/>
      </w:rPr>
    </w:lvl>
    <w:lvl w:ilvl="2">
      <w:start w:val="0"/>
      <w:numFmt w:val="bullet"/>
      <w:lvlText w:val="•"/>
      <w:lvlJc w:val="left"/>
      <w:pPr>
        <w:ind w:left="2178" w:hanging="567"/>
      </w:pPr>
      <w:rPr>
        <w:rFonts w:hint="default"/>
        <w:lang w:val="en-us" w:eastAsia="en-us" w:bidi="en-us"/>
      </w:rPr>
    </w:lvl>
    <w:lvl w:ilvl="3">
      <w:start w:val="0"/>
      <w:numFmt w:val="bullet"/>
      <w:lvlText w:val="•"/>
      <w:lvlJc w:val="left"/>
      <w:pPr>
        <w:ind w:left="2997" w:hanging="567"/>
      </w:pPr>
      <w:rPr>
        <w:rFonts w:hint="default"/>
        <w:lang w:val="en-us" w:eastAsia="en-us" w:bidi="en-us"/>
      </w:rPr>
    </w:lvl>
    <w:lvl w:ilvl="4">
      <w:start w:val="0"/>
      <w:numFmt w:val="bullet"/>
      <w:lvlText w:val="•"/>
      <w:lvlJc w:val="left"/>
      <w:pPr>
        <w:ind w:left="3816" w:hanging="567"/>
      </w:pPr>
      <w:rPr>
        <w:rFonts w:hint="default"/>
        <w:lang w:val="en-us" w:eastAsia="en-us" w:bidi="en-us"/>
      </w:rPr>
    </w:lvl>
    <w:lvl w:ilvl="5">
      <w:start w:val="0"/>
      <w:numFmt w:val="bullet"/>
      <w:lvlText w:val="•"/>
      <w:lvlJc w:val="left"/>
      <w:pPr>
        <w:ind w:left="4635" w:hanging="567"/>
      </w:pPr>
      <w:rPr>
        <w:rFonts w:hint="default"/>
        <w:lang w:val="en-us" w:eastAsia="en-us" w:bidi="en-us"/>
      </w:rPr>
    </w:lvl>
    <w:lvl w:ilvl="6">
      <w:start w:val="0"/>
      <w:numFmt w:val="bullet"/>
      <w:lvlText w:val="•"/>
      <w:lvlJc w:val="left"/>
      <w:pPr>
        <w:ind w:left="5454" w:hanging="567"/>
      </w:pPr>
      <w:rPr>
        <w:rFonts w:hint="default"/>
        <w:lang w:val="en-us" w:eastAsia="en-us" w:bidi="en-us"/>
      </w:rPr>
    </w:lvl>
    <w:lvl w:ilvl="7">
      <w:start w:val="0"/>
      <w:numFmt w:val="bullet"/>
      <w:lvlText w:val="•"/>
      <w:lvlJc w:val="left"/>
      <w:pPr>
        <w:ind w:left="6273" w:hanging="567"/>
      </w:pPr>
      <w:rPr>
        <w:rFonts w:hint="default"/>
        <w:lang w:val="en-us" w:eastAsia="en-us" w:bidi="en-us"/>
      </w:rPr>
    </w:lvl>
    <w:lvl w:ilvl="8">
      <w:start w:val="0"/>
      <w:numFmt w:val="bullet"/>
      <w:lvlText w:val="•"/>
      <w:lvlJc w:val="left"/>
      <w:pPr>
        <w:ind w:left="7092" w:hanging="567"/>
      </w:pPr>
      <w:rPr>
        <w:rFonts w:hint="default"/>
        <w:lang w:val="en-us" w:eastAsia="en-us" w:bidi="en-us"/>
      </w:rPr>
    </w:lvl>
  </w:abstractNum>
  <w:abstractNum w:abstractNumId="143">
    <w:multiLevelType w:val="hybridMultilevel"/>
    <w:lvl w:ilvl="0">
      <w:start w:val="18"/>
      <w:numFmt w:val="decimal"/>
      <w:lvlText w:val="%1"/>
      <w:lvlJc w:val="left"/>
      <w:pPr>
        <w:ind w:left="1226" w:hanging="794"/>
        <w:jc w:val="right"/>
      </w:pPr>
      <w:rPr>
        <w:rFonts w:hint="default" w:ascii="Calibri" w:hAnsi="Calibri" w:eastAsia="Calibri" w:cs="Calibri"/>
        <w:spacing w:val="-4"/>
        <w:w w:val="109"/>
        <w:sz w:val="13"/>
        <w:szCs w:val="13"/>
        <w:lang w:val="en-us" w:eastAsia="en-us" w:bidi="en-us"/>
      </w:rPr>
    </w:lvl>
    <w:lvl w:ilvl="1">
      <w:start w:val="0"/>
      <w:numFmt w:val="bullet"/>
      <w:lvlText w:val="•"/>
      <w:lvlJc w:val="left"/>
      <w:pPr>
        <w:ind w:left="2173" w:hanging="794"/>
      </w:pPr>
      <w:rPr>
        <w:rFonts w:hint="default"/>
        <w:lang w:val="en-us" w:eastAsia="en-us" w:bidi="en-us"/>
      </w:rPr>
    </w:lvl>
    <w:lvl w:ilvl="2">
      <w:start w:val="0"/>
      <w:numFmt w:val="bullet"/>
      <w:lvlText w:val="•"/>
      <w:lvlJc w:val="left"/>
      <w:pPr>
        <w:ind w:left="3126" w:hanging="794"/>
      </w:pPr>
      <w:rPr>
        <w:rFonts w:hint="default"/>
        <w:lang w:val="en-us" w:eastAsia="en-us" w:bidi="en-us"/>
      </w:rPr>
    </w:lvl>
    <w:lvl w:ilvl="3">
      <w:start w:val="0"/>
      <w:numFmt w:val="bullet"/>
      <w:lvlText w:val="•"/>
      <w:lvlJc w:val="left"/>
      <w:pPr>
        <w:ind w:left="4079" w:hanging="794"/>
      </w:pPr>
      <w:rPr>
        <w:rFonts w:hint="default"/>
        <w:lang w:val="en-us" w:eastAsia="en-us" w:bidi="en-us"/>
      </w:rPr>
    </w:lvl>
    <w:lvl w:ilvl="4">
      <w:start w:val="0"/>
      <w:numFmt w:val="bullet"/>
      <w:lvlText w:val="•"/>
      <w:lvlJc w:val="left"/>
      <w:pPr>
        <w:ind w:left="5032" w:hanging="794"/>
      </w:pPr>
      <w:rPr>
        <w:rFonts w:hint="default"/>
        <w:lang w:val="en-us" w:eastAsia="en-us" w:bidi="en-us"/>
      </w:rPr>
    </w:lvl>
    <w:lvl w:ilvl="5">
      <w:start w:val="0"/>
      <w:numFmt w:val="bullet"/>
      <w:lvlText w:val="•"/>
      <w:lvlJc w:val="left"/>
      <w:pPr>
        <w:ind w:left="5985" w:hanging="794"/>
      </w:pPr>
      <w:rPr>
        <w:rFonts w:hint="default"/>
        <w:lang w:val="en-us" w:eastAsia="en-us" w:bidi="en-us"/>
      </w:rPr>
    </w:lvl>
    <w:lvl w:ilvl="6">
      <w:start w:val="0"/>
      <w:numFmt w:val="bullet"/>
      <w:lvlText w:val="•"/>
      <w:lvlJc w:val="left"/>
      <w:pPr>
        <w:ind w:left="6938" w:hanging="794"/>
      </w:pPr>
      <w:rPr>
        <w:rFonts w:hint="default"/>
        <w:lang w:val="en-us" w:eastAsia="en-us" w:bidi="en-us"/>
      </w:rPr>
    </w:lvl>
    <w:lvl w:ilvl="7">
      <w:start w:val="0"/>
      <w:numFmt w:val="bullet"/>
      <w:lvlText w:val="•"/>
      <w:lvlJc w:val="left"/>
      <w:pPr>
        <w:ind w:left="7891" w:hanging="794"/>
      </w:pPr>
      <w:rPr>
        <w:rFonts w:hint="default"/>
        <w:lang w:val="en-us" w:eastAsia="en-us" w:bidi="en-us"/>
      </w:rPr>
    </w:lvl>
    <w:lvl w:ilvl="8">
      <w:start w:val="0"/>
      <w:numFmt w:val="bullet"/>
      <w:lvlText w:val="•"/>
      <w:lvlJc w:val="left"/>
      <w:pPr>
        <w:ind w:left="8844" w:hanging="794"/>
      </w:pPr>
      <w:rPr>
        <w:rFonts w:hint="default"/>
        <w:lang w:val="en-us" w:eastAsia="en-us" w:bidi="en-us"/>
      </w:rPr>
    </w:lvl>
  </w:abstractNum>
  <w:abstractNum w:abstractNumId="142">
    <w:multiLevelType w:val="hybridMultilevel"/>
    <w:lvl w:ilvl="0">
      <w:start w:val="10"/>
      <w:numFmt w:val="decimal"/>
      <w:lvlText w:val="%1"/>
      <w:lvlJc w:val="left"/>
      <w:pPr>
        <w:ind w:left="2381" w:hanging="794"/>
        <w:jc w:val="right"/>
      </w:pPr>
      <w:rPr>
        <w:rFonts w:hint="default" w:ascii="Calibri" w:hAnsi="Calibri" w:eastAsia="Calibri" w:cs="Calibri"/>
        <w:spacing w:val="-4"/>
        <w:w w:val="109"/>
        <w:sz w:val="13"/>
        <w:szCs w:val="13"/>
        <w:lang w:val="en-us" w:eastAsia="en-us" w:bidi="en-us"/>
      </w:rPr>
    </w:lvl>
    <w:lvl w:ilvl="1">
      <w:start w:val="0"/>
      <w:numFmt w:val="bullet"/>
      <w:lvlText w:val="•"/>
      <w:lvlJc w:val="left"/>
      <w:pPr>
        <w:ind w:left="3168" w:hanging="794"/>
      </w:pPr>
      <w:rPr>
        <w:rFonts w:hint="default"/>
        <w:lang w:val="en-us" w:eastAsia="en-us" w:bidi="en-us"/>
      </w:rPr>
    </w:lvl>
    <w:lvl w:ilvl="2">
      <w:start w:val="0"/>
      <w:numFmt w:val="bullet"/>
      <w:lvlText w:val="•"/>
      <w:lvlJc w:val="left"/>
      <w:pPr>
        <w:ind w:left="3956" w:hanging="794"/>
      </w:pPr>
      <w:rPr>
        <w:rFonts w:hint="default"/>
        <w:lang w:val="en-us" w:eastAsia="en-us" w:bidi="en-us"/>
      </w:rPr>
    </w:lvl>
    <w:lvl w:ilvl="3">
      <w:start w:val="0"/>
      <w:numFmt w:val="bullet"/>
      <w:lvlText w:val="•"/>
      <w:lvlJc w:val="left"/>
      <w:pPr>
        <w:ind w:left="4744" w:hanging="794"/>
      </w:pPr>
      <w:rPr>
        <w:rFonts w:hint="default"/>
        <w:lang w:val="en-us" w:eastAsia="en-us" w:bidi="en-us"/>
      </w:rPr>
    </w:lvl>
    <w:lvl w:ilvl="4">
      <w:start w:val="0"/>
      <w:numFmt w:val="bullet"/>
      <w:lvlText w:val="•"/>
      <w:lvlJc w:val="left"/>
      <w:pPr>
        <w:ind w:left="5533" w:hanging="794"/>
      </w:pPr>
      <w:rPr>
        <w:rFonts w:hint="default"/>
        <w:lang w:val="en-us" w:eastAsia="en-us" w:bidi="en-us"/>
      </w:rPr>
    </w:lvl>
    <w:lvl w:ilvl="5">
      <w:start w:val="0"/>
      <w:numFmt w:val="bullet"/>
      <w:lvlText w:val="•"/>
      <w:lvlJc w:val="left"/>
      <w:pPr>
        <w:ind w:left="6321" w:hanging="794"/>
      </w:pPr>
      <w:rPr>
        <w:rFonts w:hint="default"/>
        <w:lang w:val="en-us" w:eastAsia="en-us" w:bidi="en-us"/>
      </w:rPr>
    </w:lvl>
    <w:lvl w:ilvl="6">
      <w:start w:val="0"/>
      <w:numFmt w:val="bullet"/>
      <w:lvlText w:val="•"/>
      <w:lvlJc w:val="left"/>
      <w:pPr>
        <w:ind w:left="7109" w:hanging="794"/>
      </w:pPr>
      <w:rPr>
        <w:rFonts w:hint="default"/>
        <w:lang w:val="en-us" w:eastAsia="en-us" w:bidi="en-us"/>
      </w:rPr>
    </w:lvl>
    <w:lvl w:ilvl="7">
      <w:start w:val="0"/>
      <w:numFmt w:val="bullet"/>
      <w:lvlText w:val="•"/>
      <w:lvlJc w:val="left"/>
      <w:pPr>
        <w:ind w:left="7898" w:hanging="794"/>
      </w:pPr>
      <w:rPr>
        <w:rFonts w:hint="default"/>
        <w:lang w:val="en-us" w:eastAsia="en-us" w:bidi="en-us"/>
      </w:rPr>
    </w:lvl>
    <w:lvl w:ilvl="8">
      <w:start w:val="0"/>
      <w:numFmt w:val="bullet"/>
      <w:lvlText w:val="•"/>
      <w:lvlJc w:val="left"/>
      <w:pPr>
        <w:ind w:left="8686" w:hanging="794"/>
      </w:pPr>
      <w:rPr>
        <w:rFonts w:hint="default"/>
        <w:lang w:val="en-us" w:eastAsia="en-us" w:bidi="en-us"/>
      </w:rPr>
    </w:lvl>
  </w:abstractNum>
  <w:abstractNum w:abstractNumId="141">
    <w:multiLevelType w:val="hybridMultilevel"/>
    <w:lvl w:ilvl="0">
      <w:start w:val="1"/>
      <w:numFmt w:val="decimal"/>
      <w:lvlText w:val="%1"/>
      <w:lvlJc w:val="left"/>
      <w:pPr>
        <w:ind w:left="1225" w:hanging="794"/>
        <w:jc w:val="right"/>
      </w:pPr>
      <w:rPr>
        <w:rFonts w:hint="default" w:ascii="Calibri" w:hAnsi="Calibri" w:eastAsia="Calibri" w:cs="Calibri"/>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612" w:hanging="341"/>
      </w:pPr>
      <w:rPr>
        <w:rFonts w:hint="default"/>
        <w:lang w:val="en-us" w:eastAsia="en-us" w:bidi="en-us"/>
      </w:rPr>
    </w:lvl>
    <w:lvl w:ilvl="3">
      <w:start w:val="0"/>
      <w:numFmt w:val="bullet"/>
      <w:lvlText w:val="•"/>
      <w:lvlJc w:val="left"/>
      <w:pPr>
        <w:ind w:left="4504" w:hanging="341"/>
      </w:pPr>
      <w:rPr>
        <w:rFonts w:hint="default"/>
        <w:lang w:val="en-us" w:eastAsia="en-us" w:bidi="en-us"/>
      </w:rPr>
    </w:lvl>
    <w:lvl w:ilvl="4">
      <w:start w:val="0"/>
      <w:numFmt w:val="bullet"/>
      <w:lvlText w:val="•"/>
      <w:lvlJc w:val="left"/>
      <w:pPr>
        <w:ind w:left="5396" w:hanging="341"/>
      </w:pPr>
      <w:rPr>
        <w:rFonts w:hint="default"/>
        <w:lang w:val="en-us" w:eastAsia="en-us" w:bidi="en-us"/>
      </w:rPr>
    </w:lvl>
    <w:lvl w:ilvl="5">
      <w:start w:val="0"/>
      <w:numFmt w:val="bullet"/>
      <w:lvlText w:val="•"/>
      <w:lvlJc w:val="left"/>
      <w:pPr>
        <w:ind w:left="6288" w:hanging="341"/>
      </w:pPr>
      <w:rPr>
        <w:rFonts w:hint="default"/>
        <w:lang w:val="en-us" w:eastAsia="en-us" w:bidi="en-us"/>
      </w:rPr>
    </w:lvl>
    <w:lvl w:ilvl="6">
      <w:start w:val="0"/>
      <w:numFmt w:val="bullet"/>
      <w:lvlText w:val="•"/>
      <w:lvlJc w:val="left"/>
      <w:pPr>
        <w:ind w:left="7181" w:hanging="341"/>
      </w:pPr>
      <w:rPr>
        <w:rFonts w:hint="default"/>
        <w:lang w:val="en-us" w:eastAsia="en-us" w:bidi="en-us"/>
      </w:rPr>
    </w:lvl>
    <w:lvl w:ilvl="7">
      <w:start w:val="0"/>
      <w:numFmt w:val="bullet"/>
      <w:lvlText w:val="•"/>
      <w:lvlJc w:val="left"/>
      <w:pPr>
        <w:ind w:left="8073" w:hanging="341"/>
      </w:pPr>
      <w:rPr>
        <w:rFonts w:hint="default"/>
        <w:lang w:val="en-us" w:eastAsia="en-us" w:bidi="en-us"/>
      </w:rPr>
    </w:lvl>
    <w:lvl w:ilvl="8">
      <w:start w:val="0"/>
      <w:numFmt w:val="bullet"/>
      <w:lvlText w:val="•"/>
      <w:lvlJc w:val="left"/>
      <w:pPr>
        <w:ind w:left="8965" w:hanging="341"/>
      </w:pPr>
      <w:rPr>
        <w:rFonts w:hint="default"/>
        <w:lang w:val="en-us" w:eastAsia="en-us" w:bidi="en-us"/>
      </w:rPr>
    </w:lvl>
  </w:abstractNum>
  <w:abstractNum w:abstractNumId="139">
    <w:multiLevelType w:val="hybridMultilevel"/>
    <w:lvl w:ilvl="0">
      <w:start w:val="235"/>
      <w:numFmt w:val="decimal"/>
      <w:lvlText w:val="%1"/>
      <w:lvlJc w:val="left"/>
      <w:pPr>
        <w:ind w:left="2381" w:hanging="794"/>
        <w:jc w:val="right"/>
      </w:pPr>
      <w:rPr>
        <w:rFonts w:hint="default" w:ascii="Calibri" w:hAnsi="Calibri" w:eastAsia="Calibri" w:cs="Calibri"/>
        <w:spacing w:val="0"/>
        <w:w w:val="109"/>
        <w:sz w:val="13"/>
        <w:szCs w:val="13"/>
        <w:lang w:val="en-us" w:eastAsia="en-us" w:bidi="en-us"/>
      </w:rPr>
    </w:lvl>
    <w:lvl w:ilvl="1">
      <w:start w:val="0"/>
      <w:numFmt w:val="bullet"/>
      <w:lvlText w:val="•"/>
      <w:lvlJc w:val="left"/>
      <w:pPr>
        <w:ind w:left="3164" w:hanging="794"/>
      </w:pPr>
      <w:rPr>
        <w:rFonts w:hint="default"/>
        <w:lang w:val="en-us" w:eastAsia="en-us" w:bidi="en-us"/>
      </w:rPr>
    </w:lvl>
    <w:lvl w:ilvl="2">
      <w:start w:val="0"/>
      <w:numFmt w:val="bullet"/>
      <w:lvlText w:val="•"/>
      <w:lvlJc w:val="left"/>
      <w:pPr>
        <w:ind w:left="3948" w:hanging="794"/>
      </w:pPr>
      <w:rPr>
        <w:rFonts w:hint="default"/>
        <w:lang w:val="en-us" w:eastAsia="en-us" w:bidi="en-us"/>
      </w:rPr>
    </w:lvl>
    <w:lvl w:ilvl="3">
      <w:start w:val="0"/>
      <w:numFmt w:val="bullet"/>
      <w:lvlText w:val="•"/>
      <w:lvlJc w:val="left"/>
      <w:pPr>
        <w:ind w:left="4733" w:hanging="794"/>
      </w:pPr>
      <w:rPr>
        <w:rFonts w:hint="default"/>
        <w:lang w:val="en-us" w:eastAsia="en-us" w:bidi="en-us"/>
      </w:rPr>
    </w:lvl>
    <w:lvl w:ilvl="4">
      <w:start w:val="0"/>
      <w:numFmt w:val="bullet"/>
      <w:lvlText w:val="•"/>
      <w:lvlJc w:val="left"/>
      <w:pPr>
        <w:ind w:left="5517" w:hanging="794"/>
      </w:pPr>
      <w:rPr>
        <w:rFonts w:hint="default"/>
        <w:lang w:val="en-us" w:eastAsia="en-us" w:bidi="en-us"/>
      </w:rPr>
    </w:lvl>
    <w:lvl w:ilvl="5">
      <w:start w:val="0"/>
      <w:numFmt w:val="bullet"/>
      <w:lvlText w:val="•"/>
      <w:lvlJc w:val="left"/>
      <w:pPr>
        <w:ind w:left="6302" w:hanging="794"/>
      </w:pPr>
      <w:rPr>
        <w:rFonts w:hint="default"/>
        <w:lang w:val="en-us" w:eastAsia="en-us" w:bidi="en-us"/>
      </w:rPr>
    </w:lvl>
    <w:lvl w:ilvl="6">
      <w:start w:val="0"/>
      <w:numFmt w:val="bullet"/>
      <w:lvlText w:val="•"/>
      <w:lvlJc w:val="left"/>
      <w:pPr>
        <w:ind w:left="7086" w:hanging="794"/>
      </w:pPr>
      <w:rPr>
        <w:rFonts w:hint="default"/>
        <w:lang w:val="en-us" w:eastAsia="en-us" w:bidi="en-us"/>
      </w:rPr>
    </w:lvl>
    <w:lvl w:ilvl="7">
      <w:start w:val="0"/>
      <w:numFmt w:val="bullet"/>
      <w:lvlText w:val="•"/>
      <w:lvlJc w:val="left"/>
      <w:pPr>
        <w:ind w:left="7871" w:hanging="794"/>
      </w:pPr>
      <w:rPr>
        <w:rFonts w:hint="default"/>
        <w:lang w:val="en-us" w:eastAsia="en-us" w:bidi="en-us"/>
      </w:rPr>
    </w:lvl>
    <w:lvl w:ilvl="8">
      <w:start w:val="0"/>
      <w:numFmt w:val="bullet"/>
      <w:lvlText w:val="•"/>
      <w:lvlJc w:val="left"/>
      <w:pPr>
        <w:ind w:left="8655" w:hanging="794"/>
      </w:pPr>
      <w:rPr>
        <w:rFonts w:hint="default"/>
        <w:lang w:val="en-us" w:eastAsia="en-us" w:bidi="en-us"/>
      </w:rPr>
    </w:lvl>
  </w:abstractNum>
  <w:abstractNum w:abstractNumId="138">
    <w:multiLevelType w:val="hybridMultilevel"/>
    <w:lvl w:ilvl="0">
      <w:start w:val="215"/>
      <w:numFmt w:val="decimal"/>
      <w:lvlText w:val="%1"/>
      <w:lvlJc w:val="left"/>
      <w:pPr>
        <w:ind w:left="2381" w:hanging="794"/>
        <w:jc w:val="right"/>
      </w:pPr>
      <w:rPr>
        <w:rFonts w:hint="default" w:ascii="Calibri" w:hAnsi="Calibri" w:eastAsia="Calibri" w:cs="Calibri"/>
        <w:spacing w:val="-6"/>
        <w:w w:val="109"/>
        <w:sz w:val="13"/>
        <w:szCs w:val="13"/>
        <w:lang w:val="en-us" w:eastAsia="en-us" w:bidi="en-us"/>
      </w:rPr>
    </w:lvl>
    <w:lvl w:ilvl="1">
      <w:start w:val="0"/>
      <w:numFmt w:val="bullet"/>
      <w:lvlText w:val="•"/>
      <w:lvlJc w:val="left"/>
      <w:pPr>
        <w:ind w:left="3150" w:hanging="794"/>
      </w:pPr>
      <w:rPr>
        <w:rFonts w:hint="default"/>
        <w:lang w:val="en-us" w:eastAsia="en-us" w:bidi="en-us"/>
      </w:rPr>
    </w:lvl>
    <w:lvl w:ilvl="2">
      <w:start w:val="0"/>
      <w:numFmt w:val="bullet"/>
      <w:lvlText w:val="•"/>
      <w:lvlJc w:val="left"/>
      <w:pPr>
        <w:ind w:left="3920" w:hanging="794"/>
      </w:pPr>
      <w:rPr>
        <w:rFonts w:hint="default"/>
        <w:lang w:val="en-us" w:eastAsia="en-us" w:bidi="en-us"/>
      </w:rPr>
    </w:lvl>
    <w:lvl w:ilvl="3">
      <w:start w:val="0"/>
      <w:numFmt w:val="bullet"/>
      <w:lvlText w:val="•"/>
      <w:lvlJc w:val="left"/>
      <w:pPr>
        <w:ind w:left="4690" w:hanging="794"/>
      </w:pPr>
      <w:rPr>
        <w:rFonts w:hint="default"/>
        <w:lang w:val="en-us" w:eastAsia="en-us" w:bidi="en-us"/>
      </w:rPr>
    </w:lvl>
    <w:lvl w:ilvl="4">
      <w:start w:val="0"/>
      <w:numFmt w:val="bullet"/>
      <w:lvlText w:val="•"/>
      <w:lvlJc w:val="left"/>
      <w:pPr>
        <w:ind w:left="5460" w:hanging="794"/>
      </w:pPr>
      <w:rPr>
        <w:rFonts w:hint="default"/>
        <w:lang w:val="en-us" w:eastAsia="en-us" w:bidi="en-us"/>
      </w:rPr>
    </w:lvl>
    <w:lvl w:ilvl="5">
      <w:start w:val="0"/>
      <w:numFmt w:val="bullet"/>
      <w:lvlText w:val="•"/>
      <w:lvlJc w:val="left"/>
      <w:pPr>
        <w:ind w:left="6230" w:hanging="794"/>
      </w:pPr>
      <w:rPr>
        <w:rFonts w:hint="default"/>
        <w:lang w:val="en-us" w:eastAsia="en-us" w:bidi="en-us"/>
      </w:rPr>
    </w:lvl>
    <w:lvl w:ilvl="6">
      <w:start w:val="0"/>
      <w:numFmt w:val="bullet"/>
      <w:lvlText w:val="•"/>
      <w:lvlJc w:val="left"/>
      <w:pPr>
        <w:ind w:left="7000" w:hanging="794"/>
      </w:pPr>
      <w:rPr>
        <w:rFonts w:hint="default"/>
        <w:lang w:val="en-us" w:eastAsia="en-us" w:bidi="en-us"/>
      </w:rPr>
    </w:lvl>
    <w:lvl w:ilvl="7">
      <w:start w:val="0"/>
      <w:numFmt w:val="bullet"/>
      <w:lvlText w:val="•"/>
      <w:lvlJc w:val="left"/>
      <w:pPr>
        <w:ind w:left="7770" w:hanging="794"/>
      </w:pPr>
      <w:rPr>
        <w:rFonts w:hint="default"/>
        <w:lang w:val="en-us" w:eastAsia="en-us" w:bidi="en-us"/>
      </w:rPr>
    </w:lvl>
    <w:lvl w:ilvl="8">
      <w:start w:val="0"/>
      <w:numFmt w:val="bullet"/>
      <w:lvlText w:val="•"/>
      <w:lvlJc w:val="left"/>
      <w:pPr>
        <w:ind w:left="8540" w:hanging="794"/>
      </w:pPr>
      <w:rPr>
        <w:rFonts w:hint="default"/>
        <w:lang w:val="en-us" w:eastAsia="en-us" w:bidi="en-us"/>
      </w:rPr>
    </w:lvl>
  </w:abstractNum>
  <w:abstractNum w:abstractNumId="137">
    <w:multiLevelType w:val="hybridMultilevel"/>
    <w:lvl w:ilvl="0">
      <w:start w:val="196"/>
      <w:numFmt w:val="decimal"/>
      <w:lvlText w:val="%1"/>
      <w:lvlJc w:val="left"/>
      <w:pPr>
        <w:ind w:left="2381" w:hanging="794"/>
        <w:jc w:val="right"/>
      </w:pPr>
      <w:rPr>
        <w:rFonts w:hint="default" w:ascii="Calibri" w:hAnsi="Calibri" w:eastAsia="Calibri" w:cs="Calibri"/>
        <w:spacing w:val="-5"/>
        <w:w w:val="109"/>
        <w:sz w:val="13"/>
        <w:szCs w:val="13"/>
        <w:lang w:val="en-us" w:eastAsia="en-us" w:bidi="en-us"/>
      </w:rPr>
    </w:lvl>
    <w:lvl w:ilvl="1">
      <w:start w:val="0"/>
      <w:numFmt w:val="bullet"/>
      <w:lvlText w:val="•"/>
      <w:lvlJc w:val="left"/>
      <w:pPr>
        <w:ind w:left="3063" w:hanging="794"/>
      </w:pPr>
      <w:rPr>
        <w:rFonts w:hint="default"/>
        <w:lang w:val="en-us" w:eastAsia="en-us" w:bidi="en-us"/>
      </w:rPr>
    </w:lvl>
    <w:lvl w:ilvl="2">
      <w:start w:val="0"/>
      <w:numFmt w:val="bullet"/>
      <w:lvlText w:val="•"/>
      <w:lvlJc w:val="left"/>
      <w:pPr>
        <w:ind w:left="3746" w:hanging="794"/>
      </w:pPr>
      <w:rPr>
        <w:rFonts w:hint="default"/>
        <w:lang w:val="en-us" w:eastAsia="en-us" w:bidi="en-us"/>
      </w:rPr>
    </w:lvl>
    <w:lvl w:ilvl="3">
      <w:start w:val="0"/>
      <w:numFmt w:val="bullet"/>
      <w:lvlText w:val="•"/>
      <w:lvlJc w:val="left"/>
      <w:pPr>
        <w:ind w:left="4429" w:hanging="794"/>
      </w:pPr>
      <w:rPr>
        <w:rFonts w:hint="default"/>
        <w:lang w:val="en-us" w:eastAsia="en-us" w:bidi="en-us"/>
      </w:rPr>
    </w:lvl>
    <w:lvl w:ilvl="4">
      <w:start w:val="0"/>
      <w:numFmt w:val="bullet"/>
      <w:lvlText w:val="•"/>
      <w:lvlJc w:val="left"/>
      <w:pPr>
        <w:ind w:left="5112" w:hanging="794"/>
      </w:pPr>
      <w:rPr>
        <w:rFonts w:hint="default"/>
        <w:lang w:val="en-us" w:eastAsia="en-us" w:bidi="en-us"/>
      </w:rPr>
    </w:lvl>
    <w:lvl w:ilvl="5">
      <w:start w:val="0"/>
      <w:numFmt w:val="bullet"/>
      <w:lvlText w:val="•"/>
      <w:lvlJc w:val="left"/>
      <w:pPr>
        <w:ind w:left="5795" w:hanging="794"/>
      </w:pPr>
      <w:rPr>
        <w:rFonts w:hint="default"/>
        <w:lang w:val="en-us" w:eastAsia="en-us" w:bidi="en-us"/>
      </w:rPr>
    </w:lvl>
    <w:lvl w:ilvl="6">
      <w:start w:val="0"/>
      <w:numFmt w:val="bullet"/>
      <w:lvlText w:val="•"/>
      <w:lvlJc w:val="left"/>
      <w:pPr>
        <w:ind w:left="6478" w:hanging="794"/>
      </w:pPr>
      <w:rPr>
        <w:rFonts w:hint="default"/>
        <w:lang w:val="en-us" w:eastAsia="en-us" w:bidi="en-us"/>
      </w:rPr>
    </w:lvl>
    <w:lvl w:ilvl="7">
      <w:start w:val="0"/>
      <w:numFmt w:val="bullet"/>
      <w:lvlText w:val="•"/>
      <w:lvlJc w:val="left"/>
      <w:pPr>
        <w:ind w:left="7161" w:hanging="794"/>
      </w:pPr>
      <w:rPr>
        <w:rFonts w:hint="default"/>
        <w:lang w:val="en-us" w:eastAsia="en-us" w:bidi="en-us"/>
      </w:rPr>
    </w:lvl>
    <w:lvl w:ilvl="8">
      <w:start w:val="0"/>
      <w:numFmt w:val="bullet"/>
      <w:lvlText w:val="•"/>
      <w:lvlJc w:val="left"/>
      <w:pPr>
        <w:ind w:left="7844" w:hanging="794"/>
      </w:pPr>
      <w:rPr>
        <w:rFonts w:hint="default"/>
        <w:lang w:val="en-us" w:eastAsia="en-us" w:bidi="en-us"/>
      </w:rPr>
    </w:lvl>
  </w:abstractNum>
  <w:abstractNum w:abstractNumId="136">
    <w:multiLevelType w:val="hybridMultilevel"/>
    <w:lvl w:ilvl="0">
      <w:start w:val="185"/>
      <w:numFmt w:val="decimal"/>
      <w:lvlText w:val="%1"/>
      <w:lvlJc w:val="left"/>
      <w:pPr>
        <w:ind w:left="1222" w:hanging="794"/>
        <w:jc w:val="left"/>
      </w:pPr>
      <w:rPr>
        <w:rFonts w:hint="default" w:ascii="Calibri" w:hAnsi="Calibri" w:eastAsia="Calibri" w:cs="Calibri"/>
        <w:spacing w:val="-4"/>
        <w:w w:val="109"/>
        <w:sz w:val="13"/>
        <w:szCs w:val="13"/>
        <w:lang w:val="en-us" w:eastAsia="en-us" w:bidi="en-us"/>
      </w:rPr>
    </w:lvl>
    <w:lvl w:ilvl="1">
      <w:start w:val="0"/>
      <w:numFmt w:val="bullet"/>
      <w:lvlText w:val="•"/>
      <w:lvlJc w:val="left"/>
      <w:pPr>
        <w:ind w:left="2172" w:hanging="794"/>
      </w:pPr>
      <w:rPr>
        <w:rFonts w:hint="default"/>
        <w:lang w:val="en-us" w:eastAsia="en-us" w:bidi="en-us"/>
      </w:rPr>
    </w:lvl>
    <w:lvl w:ilvl="2">
      <w:start w:val="0"/>
      <w:numFmt w:val="bullet"/>
      <w:lvlText w:val="•"/>
      <w:lvlJc w:val="left"/>
      <w:pPr>
        <w:ind w:left="3125" w:hanging="794"/>
      </w:pPr>
      <w:rPr>
        <w:rFonts w:hint="default"/>
        <w:lang w:val="en-us" w:eastAsia="en-us" w:bidi="en-us"/>
      </w:rPr>
    </w:lvl>
    <w:lvl w:ilvl="3">
      <w:start w:val="0"/>
      <w:numFmt w:val="bullet"/>
      <w:lvlText w:val="•"/>
      <w:lvlJc w:val="left"/>
      <w:pPr>
        <w:ind w:left="4077" w:hanging="794"/>
      </w:pPr>
      <w:rPr>
        <w:rFonts w:hint="default"/>
        <w:lang w:val="en-us" w:eastAsia="en-us" w:bidi="en-us"/>
      </w:rPr>
    </w:lvl>
    <w:lvl w:ilvl="4">
      <w:start w:val="0"/>
      <w:numFmt w:val="bullet"/>
      <w:lvlText w:val="•"/>
      <w:lvlJc w:val="left"/>
      <w:pPr>
        <w:ind w:left="5030" w:hanging="794"/>
      </w:pPr>
      <w:rPr>
        <w:rFonts w:hint="default"/>
        <w:lang w:val="en-us" w:eastAsia="en-us" w:bidi="en-us"/>
      </w:rPr>
    </w:lvl>
    <w:lvl w:ilvl="5">
      <w:start w:val="0"/>
      <w:numFmt w:val="bullet"/>
      <w:lvlText w:val="•"/>
      <w:lvlJc w:val="left"/>
      <w:pPr>
        <w:ind w:left="5983" w:hanging="794"/>
      </w:pPr>
      <w:rPr>
        <w:rFonts w:hint="default"/>
        <w:lang w:val="en-us" w:eastAsia="en-us" w:bidi="en-us"/>
      </w:rPr>
    </w:lvl>
    <w:lvl w:ilvl="6">
      <w:start w:val="0"/>
      <w:numFmt w:val="bullet"/>
      <w:lvlText w:val="•"/>
      <w:lvlJc w:val="left"/>
      <w:pPr>
        <w:ind w:left="6935" w:hanging="794"/>
      </w:pPr>
      <w:rPr>
        <w:rFonts w:hint="default"/>
        <w:lang w:val="en-us" w:eastAsia="en-us" w:bidi="en-us"/>
      </w:rPr>
    </w:lvl>
    <w:lvl w:ilvl="7">
      <w:start w:val="0"/>
      <w:numFmt w:val="bullet"/>
      <w:lvlText w:val="•"/>
      <w:lvlJc w:val="left"/>
      <w:pPr>
        <w:ind w:left="7888" w:hanging="794"/>
      </w:pPr>
      <w:rPr>
        <w:rFonts w:hint="default"/>
        <w:lang w:val="en-us" w:eastAsia="en-us" w:bidi="en-us"/>
      </w:rPr>
    </w:lvl>
    <w:lvl w:ilvl="8">
      <w:start w:val="0"/>
      <w:numFmt w:val="bullet"/>
      <w:lvlText w:val="•"/>
      <w:lvlJc w:val="left"/>
      <w:pPr>
        <w:ind w:left="8841" w:hanging="794"/>
      </w:pPr>
      <w:rPr>
        <w:rFonts w:hint="default"/>
        <w:lang w:val="en-us" w:eastAsia="en-us" w:bidi="en-us"/>
      </w:rPr>
    </w:lvl>
  </w:abstractNum>
  <w:abstractNum w:abstractNumId="135">
    <w:multiLevelType w:val="hybridMultilevel"/>
    <w:lvl w:ilvl="0">
      <w:start w:val="170"/>
      <w:numFmt w:val="decimal"/>
      <w:lvlText w:val="%1"/>
      <w:lvlJc w:val="left"/>
      <w:pPr>
        <w:ind w:left="2381" w:hanging="794"/>
        <w:jc w:val="left"/>
      </w:pPr>
      <w:rPr>
        <w:rFonts w:hint="default" w:ascii="Calibri" w:hAnsi="Calibri" w:eastAsia="Calibri" w:cs="Calibri"/>
        <w:spacing w:val="-7"/>
        <w:w w:val="109"/>
        <w:sz w:val="13"/>
        <w:szCs w:val="13"/>
        <w:lang w:val="en-us" w:eastAsia="en-us" w:bidi="en-us"/>
      </w:rPr>
    </w:lvl>
    <w:lvl w:ilvl="1">
      <w:start w:val="0"/>
      <w:numFmt w:val="bullet"/>
      <w:lvlText w:val="•"/>
      <w:lvlJc w:val="left"/>
      <w:pPr>
        <w:ind w:left="3138" w:hanging="794"/>
      </w:pPr>
      <w:rPr>
        <w:rFonts w:hint="default"/>
        <w:lang w:val="en-us" w:eastAsia="en-us" w:bidi="en-us"/>
      </w:rPr>
    </w:lvl>
    <w:lvl w:ilvl="2">
      <w:start w:val="0"/>
      <w:numFmt w:val="bullet"/>
      <w:lvlText w:val="•"/>
      <w:lvlJc w:val="left"/>
      <w:pPr>
        <w:ind w:left="3897" w:hanging="794"/>
      </w:pPr>
      <w:rPr>
        <w:rFonts w:hint="default"/>
        <w:lang w:val="en-us" w:eastAsia="en-us" w:bidi="en-us"/>
      </w:rPr>
    </w:lvl>
    <w:lvl w:ilvl="3">
      <w:start w:val="0"/>
      <w:numFmt w:val="bullet"/>
      <w:lvlText w:val="•"/>
      <w:lvlJc w:val="left"/>
      <w:pPr>
        <w:ind w:left="4656" w:hanging="794"/>
      </w:pPr>
      <w:rPr>
        <w:rFonts w:hint="default"/>
        <w:lang w:val="en-us" w:eastAsia="en-us" w:bidi="en-us"/>
      </w:rPr>
    </w:lvl>
    <w:lvl w:ilvl="4">
      <w:start w:val="0"/>
      <w:numFmt w:val="bullet"/>
      <w:lvlText w:val="•"/>
      <w:lvlJc w:val="left"/>
      <w:pPr>
        <w:ind w:left="5415" w:hanging="794"/>
      </w:pPr>
      <w:rPr>
        <w:rFonts w:hint="default"/>
        <w:lang w:val="en-us" w:eastAsia="en-us" w:bidi="en-us"/>
      </w:rPr>
    </w:lvl>
    <w:lvl w:ilvl="5">
      <w:start w:val="0"/>
      <w:numFmt w:val="bullet"/>
      <w:lvlText w:val="•"/>
      <w:lvlJc w:val="left"/>
      <w:pPr>
        <w:ind w:left="6174" w:hanging="794"/>
      </w:pPr>
      <w:rPr>
        <w:rFonts w:hint="default"/>
        <w:lang w:val="en-us" w:eastAsia="en-us" w:bidi="en-us"/>
      </w:rPr>
    </w:lvl>
    <w:lvl w:ilvl="6">
      <w:start w:val="0"/>
      <w:numFmt w:val="bullet"/>
      <w:lvlText w:val="•"/>
      <w:lvlJc w:val="left"/>
      <w:pPr>
        <w:ind w:left="6932" w:hanging="794"/>
      </w:pPr>
      <w:rPr>
        <w:rFonts w:hint="default"/>
        <w:lang w:val="en-us" w:eastAsia="en-us" w:bidi="en-us"/>
      </w:rPr>
    </w:lvl>
    <w:lvl w:ilvl="7">
      <w:start w:val="0"/>
      <w:numFmt w:val="bullet"/>
      <w:lvlText w:val="•"/>
      <w:lvlJc w:val="left"/>
      <w:pPr>
        <w:ind w:left="7691" w:hanging="794"/>
      </w:pPr>
      <w:rPr>
        <w:rFonts w:hint="default"/>
        <w:lang w:val="en-us" w:eastAsia="en-us" w:bidi="en-us"/>
      </w:rPr>
    </w:lvl>
    <w:lvl w:ilvl="8">
      <w:start w:val="0"/>
      <w:numFmt w:val="bullet"/>
      <w:lvlText w:val="•"/>
      <w:lvlJc w:val="left"/>
      <w:pPr>
        <w:ind w:left="8450" w:hanging="794"/>
      </w:pPr>
      <w:rPr>
        <w:rFonts w:hint="default"/>
        <w:lang w:val="en-us" w:eastAsia="en-us" w:bidi="en-us"/>
      </w:rPr>
    </w:lvl>
  </w:abstractNum>
  <w:abstractNum w:abstractNumId="134">
    <w:multiLevelType w:val="hybridMultilevel"/>
    <w:lvl w:ilvl="0">
      <w:start w:val="159"/>
      <w:numFmt w:val="decimal"/>
      <w:lvlText w:val="%1"/>
      <w:lvlJc w:val="left"/>
      <w:pPr>
        <w:ind w:left="1225" w:hanging="794"/>
        <w:jc w:val="left"/>
      </w:pPr>
      <w:rPr>
        <w:rFonts w:hint="default" w:ascii="Calibri" w:hAnsi="Calibri" w:eastAsia="Calibri" w:cs="Calibri"/>
        <w:spacing w:val="-6"/>
        <w:w w:val="109"/>
        <w:sz w:val="13"/>
        <w:szCs w:val="13"/>
        <w:lang w:val="en-us" w:eastAsia="en-us" w:bidi="en-us"/>
      </w:rPr>
    </w:lvl>
    <w:lvl w:ilvl="1">
      <w:start w:val="0"/>
      <w:numFmt w:val="bullet"/>
      <w:lvlText w:val="•"/>
      <w:lvlJc w:val="left"/>
      <w:pPr>
        <w:ind w:left="2173" w:hanging="794"/>
      </w:pPr>
      <w:rPr>
        <w:rFonts w:hint="default"/>
        <w:lang w:val="en-us" w:eastAsia="en-us" w:bidi="en-us"/>
      </w:rPr>
    </w:lvl>
    <w:lvl w:ilvl="2">
      <w:start w:val="0"/>
      <w:numFmt w:val="bullet"/>
      <w:lvlText w:val="•"/>
      <w:lvlJc w:val="left"/>
      <w:pPr>
        <w:ind w:left="3126" w:hanging="794"/>
      </w:pPr>
      <w:rPr>
        <w:rFonts w:hint="default"/>
        <w:lang w:val="en-us" w:eastAsia="en-us" w:bidi="en-us"/>
      </w:rPr>
    </w:lvl>
    <w:lvl w:ilvl="3">
      <w:start w:val="0"/>
      <w:numFmt w:val="bullet"/>
      <w:lvlText w:val="•"/>
      <w:lvlJc w:val="left"/>
      <w:pPr>
        <w:ind w:left="4079" w:hanging="794"/>
      </w:pPr>
      <w:rPr>
        <w:rFonts w:hint="default"/>
        <w:lang w:val="en-us" w:eastAsia="en-us" w:bidi="en-us"/>
      </w:rPr>
    </w:lvl>
    <w:lvl w:ilvl="4">
      <w:start w:val="0"/>
      <w:numFmt w:val="bullet"/>
      <w:lvlText w:val="•"/>
      <w:lvlJc w:val="left"/>
      <w:pPr>
        <w:ind w:left="5032" w:hanging="794"/>
      </w:pPr>
      <w:rPr>
        <w:rFonts w:hint="default"/>
        <w:lang w:val="en-us" w:eastAsia="en-us" w:bidi="en-us"/>
      </w:rPr>
    </w:lvl>
    <w:lvl w:ilvl="5">
      <w:start w:val="0"/>
      <w:numFmt w:val="bullet"/>
      <w:lvlText w:val="•"/>
      <w:lvlJc w:val="left"/>
      <w:pPr>
        <w:ind w:left="5985" w:hanging="794"/>
      </w:pPr>
      <w:rPr>
        <w:rFonts w:hint="default"/>
        <w:lang w:val="en-us" w:eastAsia="en-us" w:bidi="en-us"/>
      </w:rPr>
    </w:lvl>
    <w:lvl w:ilvl="6">
      <w:start w:val="0"/>
      <w:numFmt w:val="bullet"/>
      <w:lvlText w:val="•"/>
      <w:lvlJc w:val="left"/>
      <w:pPr>
        <w:ind w:left="6938" w:hanging="794"/>
      </w:pPr>
      <w:rPr>
        <w:rFonts w:hint="default"/>
        <w:lang w:val="en-us" w:eastAsia="en-us" w:bidi="en-us"/>
      </w:rPr>
    </w:lvl>
    <w:lvl w:ilvl="7">
      <w:start w:val="0"/>
      <w:numFmt w:val="bullet"/>
      <w:lvlText w:val="•"/>
      <w:lvlJc w:val="left"/>
      <w:pPr>
        <w:ind w:left="7891" w:hanging="794"/>
      </w:pPr>
      <w:rPr>
        <w:rFonts w:hint="default"/>
        <w:lang w:val="en-us" w:eastAsia="en-us" w:bidi="en-us"/>
      </w:rPr>
    </w:lvl>
    <w:lvl w:ilvl="8">
      <w:start w:val="0"/>
      <w:numFmt w:val="bullet"/>
      <w:lvlText w:val="•"/>
      <w:lvlJc w:val="left"/>
      <w:pPr>
        <w:ind w:left="8844" w:hanging="794"/>
      </w:pPr>
      <w:rPr>
        <w:rFonts w:hint="default"/>
        <w:lang w:val="en-us" w:eastAsia="en-us" w:bidi="en-us"/>
      </w:rPr>
    </w:lvl>
  </w:abstractNum>
  <w:abstractNum w:abstractNumId="133">
    <w:multiLevelType w:val="hybridMultilevel"/>
    <w:lvl w:ilvl="0">
      <w:start w:val="150"/>
      <w:numFmt w:val="decimal"/>
      <w:lvlText w:val="%1"/>
      <w:lvlJc w:val="left"/>
      <w:pPr>
        <w:ind w:left="2381" w:hanging="794"/>
        <w:jc w:val="right"/>
      </w:pPr>
      <w:rPr>
        <w:rFonts w:hint="default" w:ascii="Calibri" w:hAnsi="Calibri" w:eastAsia="Calibri" w:cs="Calibri"/>
        <w:spacing w:val="-6"/>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540" w:hanging="341"/>
      </w:pPr>
      <w:rPr>
        <w:rFonts w:hint="default"/>
        <w:lang w:val="en-us" w:eastAsia="en-us" w:bidi="en-us"/>
      </w:rPr>
    </w:lvl>
    <w:lvl w:ilvl="3">
      <w:start w:val="0"/>
      <w:numFmt w:val="bullet"/>
      <w:lvlText w:val="•"/>
      <w:lvlJc w:val="left"/>
      <w:pPr>
        <w:ind w:left="4361" w:hanging="341"/>
      </w:pPr>
      <w:rPr>
        <w:rFonts w:hint="default"/>
        <w:lang w:val="en-us" w:eastAsia="en-us" w:bidi="en-us"/>
      </w:rPr>
    </w:lvl>
    <w:lvl w:ilvl="4">
      <w:start w:val="0"/>
      <w:numFmt w:val="bullet"/>
      <w:lvlText w:val="•"/>
      <w:lvlJc w:val="left"/>
      <w:pPr>
        <w:ind w:left="5182" w:hanging="341"/>
      </w:pPr>
      <w:rPr>
        <w:rFonts w:hint="default"/>
        <w:lang w:val="en-us" w:eastAsia="en-us" w:bidi="en-us"/>
      </w:rPr>
    </w:lvl>
    <w:lvl w:ilvl="5">
      <w:start w:val="0"/>
      <w:numFmt w:val="bullet"/>
      <w:lvlText w:val="•"/>
      <w:lvlJc w:val="left"/>
      <w:pPr>
        <w:ind w:left="6002" w:hanging="341"/>
      </w:pPr>
      <w:rPr>
        <w:rFonts w:hint="default"/>
        <w:lang w:val="en-us" w:eastAsia="en-us" w:bidi="en-us"/>
      </w:rPr>
    </w:lvl>
    <w:lvl w:ilvl="6">
      <w:start w:val="0"/>
      <w:numFmt w:val="bullet"/>
      <w:lvlText w:val="•"/>
      <w:lvlJc w:val="left"/>
      <w:pPr>
        <w:ind w:left="6823" w:hanging="341"/>
      </w:pPr>
      <w:rPr>
        <w:rFonts w:hint="default"/>
        <w:lang w:val="en-us" w:eastAsia="en-us" w:bidi="en-us"/>
      </w:rPr>
    </w:lvl>
    <w:lvl w:ilvl="7">
      <w:start w:val="0"/>
      <w:numFmt w:val="bullet"/>
      <w:lvlText w:val="•"/>
      <w:lvlJc w:val="left"/>
      <w:pPr>
        <w:ind w:left="7644" w:hanging="341"/>
      </w:pPr>
      <w:rPr>
        <w:rFonts w:hint="default"/>
        <w:lang w:val="en-us" w:eastAsia="en-us" w:bidi="en-us"/>
      </w:rPr>
    </w:lvl>
    <w:lvl w:ilvl="8">
      <w:start w:val="0"/>
      <w:numFmt w:val="bullet"/>
      <w:lvlText w:val="•"/>
      <w:lvlJc w:val="left"/>
      <w:pPr>
        <w:ind w:left="8464" w:hanging="341"/>
      </w:pPr>
      <w:rPr>
        <w:rFonts w:hint="default"/>
        <w:lang w:val="en-us" w:eastAsia="en-us" w:bidi="en-us"/>
      </w:rPr>
    </w:lvl>
  </w:abstractNum>
  <w:abstractNum w:abstractNumId="132">
    <w:multiLevelType w:val="hybridMultilevel"/>
    <w:lvl w:ilvl="0">
      <w:start w:val="8"/>
      <w:numFmt w:val="decimal"/>
      <w:lvlText w:val="%1"/>
      <w:lvlJc w:val="left"/>
      <w:pPr>
        <w:ind w:left="2381" w:hanging="794"/>
        <w:jc w:val="left"/>
      </w:pPr>
      <w:rPr>
        <w:rFonts w:hint="default"/>
        <w:lang w:val="en-us" w:eastAsia="en-us" w:bidi="en-us"/>
      </w:rPr>
    </w:lvl>
    <w:lvl w:ilvl="1">
      <w:start w:val="100"/>
      <w:numFmt w:val="decimal"/>
      <w:lvlText w:val="%1.%2"/>
      <w:lvlJc w:val="left"/>
      <w:pPr>
        <w:ind w:left="2381" w:hanging="794"/>
        <w:jc w:val="left"/>
      </w:pPr>
      <w:rPr>
        <w:rFonts w:hint="default" w:ascii="Calibri" w:hAnsi="Calibri" w:eastAsia="Calibri" w:cs="Calibri"/>
        <w:spacing w:val="-21"/>
        <w:w w:val="109"/>
        <w:sz w:val="21"/>
        <w:szCs w:val="21"/>
        <w:lang w:val="en-us" w:eastAsia="en-us" w:bidi="en-us"/>
      </w:rPr>
    </w:lvl>
    <w:lvl w:ilvl="2">
      <w:start w:val="0"/>
      <w:numFmt w:val="bullet"/>
      <w:lvlText w:val="•"/>
      <w:lvlJc w:val="left"/>
      <w:pPr>
        <w:ind w:left="2721" w:hanging="341"/>
      </w:pPr>
      <w:rPr>
        <w:rFonts w:hint="default" w:ascii="Calibri" w:hAnsi="Calibri" w:eastAsia="Calibri" w:cs="Calibri"/>
        <w:w w:val="100"/>
        <w:sz w:val="21"/>
        <w:szCs w:val="21"/>
        <w:lang w:val="en-us" w:eastAsia="en-us" w:bidi="en-us"/>
      </w:rPr>
    </w:lvl>
    <w:lvl w:ilvl="3">
      <w:start w:val="0"/>
      <w:numFmt w:val="bullet"/>
      <w:lvlText w:val="-"/>
      <w:lvlJc w:val="left"/>
      <w:pPr>
        <w:ind w:left="3061" w:hanging="341"/>
      </w:pPr>
      <w:rPr>
        <w:rFonts w:hint="default" w:ascii="Calibri" w:hAnsi="Calibri" w:eastAsia="Calibri" w:cs="Calibri"/>
        <w:w w:val="108"/>
        <w:sz w:val="21"/>
        <w:szCs w:val="21"/>
        <w:lang w:val="en-us" w:eastAsia="en-us" w:bidi="en-us"/>
      </w:rPr>
    </w:lvl>
    <w:lvl w:ilvl="4">
      <w:start w:val="0"/>
      <w:numFmt w:val="bullet"/>
      <w:lvlText w:val="•"/>
      <w:lvlJc w:val="left"/>
      <w:pPr>
        <w:ind w:left="5271" w:hanging="341"/>
      </w:pPr>
      <w:rPr>
        <w:rFonts w:hint="default"/>
        <w:lang w:val="en-us" w:eastAsia="en-us" w:bidi="en-us"/>
      </w:rPr>
    </w:lvl>
    <w:lvl w:ilvl="5">
      <w:start w:val="0"/>
      <w:numFmt w:val="bullet"/>
      <w:lvlText w:val="•"/>
      <w:lvlJc w:val="left"/>
      <w:pPr>
        <w:ind w:left="6377" w:hanging="341"/>
      </w:pPr>
      <w:rPr>
        <w:rFonts w:hint="default"/>
        <w:lang w:val="en-us" w:eastAsia="en-us" w:bidi="en-us"/>
      </w:rPr>
    </w:lvl>
    <w:lvl w:ilvl="6">
      <w:start w:val="0"/>
      <w:numFmt w:val="bullet"/>
      <w:lvlText w:val="•"/>
      <w:lvlJc w:val="left"/>
      <w:pPr>
        <w:ind w:left="7482" w:hanging="341"/>
      </w:pPr>
      <w:rPr>
        <w:rFonts w:hint="default"/>
        <w:lang w:val="en-us" w:eastAsia="en-us" w:bidi="en-us"/>
      </w:rPr>
    </w:lvl>
    <w:lvl w:ilvl="7">
      <w:start w:val="0"/>
      <w:numFmt w:val="bullet"/>
      <w:lvlText w:val="•"/>
      <w:lvlJc w:val="left"/>
      <w:pPr>
        <w:ind w:left="8588" w:hanging="341"/>
      </w:pPr>
      <w:rPr>
        <w:rFonts w:hint="default"/>
        <w:lang w:val="en-us" w:eastAsia="en-us" w:bidi="en-us"/>
      </w:rPr>
    </w:lvl>
    <w:lvl w:ilvl="8">
      <w:start w:val="0"/>
      <w:numFmt w:val="bullet"/>
      <w:lvlText w:val="•"/>
      <w:lvlJc w:val="left"/>
      <w:pPr>
        <w:ind w:left="9694" w:hanging="341"/>
      </w:pPr>
      <w:rPr>
        <w:rFonts w:hint="default"/>
        <w:lang w:val="en-us" w:eastAsia="en-us" w:bidi="en-us"/>
      </w:rPr>
    </w:lvl>
  </w:abstractNum>
  <w:abstractNum w:abstractNumId="131">
    <w:multiLevelType w:val="hybridMultilevel"/>
    <w:lvl w:ilvl="0">
      <w:start w:val="8"/>
      <w:numFmt w:val="decimal"/>
      <w:lvlText w:val="%1"/>
      <w:lvlJc w:val="left"/>
      <w:pPr>
        <w:ind w:left="2381" w:hanging="794"/>
        <w:jc w:val="left"/>
      </w:pPr>
      <w:rPr>
        <w:rFonts w:hint="default"/>
        <w:lang w:val="en-us" w:eastAsia="en-us" w:bidi="en-us"/>
      </w:rPr>
    </w:lvl>
    <w:lvl w:ilvl="1">
      <w:start w:val="92"/>
      <w:numFmt w:val="decimal"/>
      <w:lvlText w:val="%1.%2"/>
      <w:lvlJc w:val="left"/>
      <w:pPr>
        <w:ind w:left="2381" w:hanging="794"/>
        <w:jc w:val="left"/>
      </w:pPr>
      <w:rPr>
        <w:rFonts w:hint="default" w:ascii="Calibri" w:hAnsi="Calibri" w:eastAsia="Calibri" w:cs="Calibri"/>
        <w:spacing w:val="-7"/>
        <w:w w:val="109"/>
        <w:sz w:val="21"/>
        <w:szCs w:val="21"/>
        <w:lang w:val="en-us" w:eastAsia="en-us" w:bidi="en-us"/>
      </w:rPr>
    </w:lvl>
    <w:lvl w:ilvl="2">
      <w:start w:val="0"/>
      <w:numFmt w:val="bullet"/>
      <w:lvlText w:val="•"/>
      <w:lvlJc w:val="left"/>
      <w:pPr>
        <w:ind w:left="2721" w:hanging="341"/>
      </w:pPr>
      <w:rPr>
        <w:rFonts w:hint="default" w:ascii="Calibri" w:hAnsi="Calibri" w:eastAsia="Calibri" w:cs="Calibri"/>
        <w:w w:val="100"/>
        <w:sz w:val="21"/>
        <w:szCs w:val="21"/>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130">
    <w:multiLevelType w:val="hybridMultilevel"/>
    <w:lvl w:ilvl="0">
      <w:start w:val="101"/>
      <w:numFmt w:val="decimal"/>
      <w:lvlText w:val="%1"/>
      <w:lvlJc w:val="left"/>
      <w:pPr>
        <w:ind w:left="2381" w:hanging="794"/>
        <w:jc w:val="right"/>
      </w:pPr>
      <w:rPr>
        <w:rFonts w:hint="default" w:ascii="Calibri" w:hAnsi="Calibri" w:eastAsia="Calibri" w:cs="Calibri"/>
        <w:spacing w:val="-4"/>
        <w:w w:val="109"/>
        <w:sz w:val="13"/>
        <w:szCs w:val="13"/>
        <w:lang w:val="en-us" w:eastAsia="en-us" w:bidi="en-us"/>
      </w:rPr>
    </w:lvl>
    <w:lvl w:ilvl="1">
      <w:start w:val="1"/>
      <w:numFmt w:val="lowerLetter"/>
      <w:lvlText w:val="(%2)"/>
      <w:lvlJc w:val="left"/>
      <w:pPr>
        <w:ind w:left="2947" w:hanging="567"/>
        <w:jc w:val="left"/>
      </w:pPr>
      <w:rPr>
        <w:rFonts w:hint="default" w:ascii="Calibri" w:hAnsi="Calibri" w:eastAsia="Calibri" w:cs="Calibri"/>
        <w:spacing w:val="0"/>
        <w:w w:val="109"/>
        <w:sz w:val="21"/>
        <w:szCs w:val="21"/>
        <w:lang w:val="en-us" w:eastAsia="en-us" w:bidi="en-us"/>
      </w:rPr>
    </w:lvl>
    <w:lvl w:ilvl="2">
      <w:start w:val="1"/>
      <w:numFmt w:val="lowerRoman"/>
      <w:lvlText w:val="%3."/>
      <w:lvlJc w:val="left"/>
      <w:pPr>
        <w:ind w:left="3514" w:hanging="567"/>
        <w:jc w:val="left"/>
      </w:pPr>
      <w:rPr>
        <w:rFonts w:hint="default" w:ascii="Calibri" w:hAnsi="Calibri" w:eastAsia="Calibri" w:cs="Calibri"/>
        <w:spacing w:val="-3"/>
        <w:w w:val="115"/>
        <w:sz w:val="21"/>
        <w:szCs w:val="21"/>
        <w:lang w:val="en-us" w:eastAsia="en-us" w:bidi="en-us"/>
      </w:rPr>
    </w:lvl>
    <w:lvl w:ilvl="3">
      <w:start w:val="0"/>
      <w:numFmt w:val="bullet"/>
      <w:lvlText w:val="•"/>
      <w:lvlJc w:val="left"/>
      <w:pPr>
        <w:ind w:left="2940" w:hanging="567"/>
      </w:pPr>
      <w:rPr>
        <w:rFonts w:hint="default"/>
        <w:lang w:val="en-us" w:eastAsia="en-us" w:bidi="en-us"/>
      </w:rPr>
    </w:lvl>
    <w:lvl w:ilvl="4">
      <w:start w:val="0"/>
      <w:numFmt w:val="bullet"/>
      <w:lvlText w:val="•"/>
      <w:lvlJc w:val="left"/>
      <w:pPr>
        <w:ind w:left="3520" w:hanging="567"/>
      </w:pPr>
      <w:rPr>
        <w:rFonts w:hint="default"/>
        <w:lang w:val="en-us" w:eastAsia="en-us" w:bidi="en-us"/>
      </w:rPr>
    </w:lvl>
    <w:lvl w:ilvl="5">
      <w:start w:val="0"/>
      <w:numFmt w:val="bullet"/>
      <w:lvlText w:val="•"/>
      <w:lvlJc w:val="left"/>
      <w:pPr>
        <w:ind w:left="3958" w:hanging="567"/>
      </w:pPr>
      <w:rPr>
        <w:rFonts w:hint="default"/>
        <w:lang w:val="en-us" w:eastAsia="en-us" w:bidi="en-us"/>
      </w:rPr>
    </w:lvl>
    <w:lvl w:ilvl="6">
      <w:start w:val="0"/>
      <w:numFmt w:val="bullet"/>
      <w:lvlText w:val="•"/>
      <w:lvlJc w:val="left"/>
      <w:pPr>
        <w:ind w:left="4397" w:hanging="567"/>
      </w:pPr>
      <w:rPr>
        <w:rFonts w:hint="default"/>
        <w:lang w:val="en-us" w:eastAsia="en-us" w:bidi="en-us"/>
      </w:rPr>
    </w:lvl>
    <w:lvl w:ilvl="7">
      <w:start w:val="0"/>
      <w:numFmt w:val="bullet"/>
      <w:lvlText w:val="•"/>
      <w:lvlJc w:val="left"/>
      <w:pPr>
        <w:ind w:left="4836" w:hanging="567"/>
      </w:pPr>
      <w:rPr>
        <w:rFonts w:hint="default"/>
        <w:lang w:val="en-us" w:eastAsia="en-us" w:bidi="en-us"/>
      </w:rPr>
    </w:lvl>
    <w:lvl w:ilvl="8">
      <w:start w:val="0"/>
      <w:numFmt w:val="bullet"/>
      <w:lvlText w:val="•"/>
      <w:lvlJc w:val="left"/>
      <w:pPr>
        <w:ind w:left="5274" w:hanging="567"/>
      </w:pPr>
      <w:rPr>
        <w:rFonts w:hint="default"/>
        <w:lang w:val="en-us" w:eastAsia="en-us" w:bidi="en-us"/>
      </w:rPr>
    </w:lvl>
  </w:abstractNum>
  <w:abstractNum w:abstractNumId="129">
    <w:multiLevelType w:val="hybridMultilevel"/>
    <w:lvl w:ilvl="0">
      <w:start w:val="94"/>
      <w:numFmt w:val="decimal"/>
      <w:lvlText w:val="%1"/>
      <w:lvlJc w:val="left"/>
      <w:pPr>
        <w:ind w:left="1246" w:hanging="794"/>
        <w:jc w:val="right"/>
      </w:pPr>
      <w:rPr>
        <w:rFonts w:hint="default" w:ascii="Calibri" w:hAnsi="Calibri" w:eastAsia="Calibri" w:cs="Calibri"/>
        <w:spacing w:val="0"/>
        <w:w w:val="109"/>
        <w:sz w:val="13"/>
        <w:szCs w:val="13"/>
        <w:lang w:val="en-us" w:eastAsia="en-us" w:bidi="en-us"/>
      </w:rPr>
    </w:lvl>
    <w:lvl w:ilvl="1">
      <w:start w:val="0"/>
      <w:numFmt w:val="bullet"/>
      <w:lvlText w:val="•"/>
      <w:lvlJc w:val="left"/>
      <w:pPr>
        <w:ind w:left="2193" w:hanging="794"/>
      </w:pPr>
      <w:rPr>
        <w:rFonts w:hint="default"/>
        <w:lang w:val="en-us" w:eastAsia="en-us" w:bidi="en-us"/>
      </w:rPr>
    </w:lvl>
    <w:lvl w:ilvl="2">
      <w:start w:val="0"/>
      <w:numFmt w:val="bullet"/>
      <w:lvlText w:val="•"/>
      <w:lvlJc w:val="left"/>
      <w:pPr>
        <w:ind w:left="3146" w:hanging="794"/>
      </w:pPr>
      <w:rPr>
        <w:rFonts w:hint="default"/>
        <w:lang w:val="en-us" w:eastAsia="en-us" w:bidi="en-us"/>
      </w:rPr>
    </w:lvl>
    <w:lvl w:ilvl="3">
      <w:start w:val="0"/>
      <w:numFmt w:val="bullet"/>
      <w:lvlText w:val="•"/>
      <w:lvlJc w:val="left"/>
      <w:pPr>
        <w:ind w:left="4099" w:hanging="794"/>
      </w:pPr>
      <w:rPr>
        <w:rFonts w:hint="default"/>
        <w:lang w:val="en-us" w:eastAsia="en-us" w:bidi="en-us"/>
      </w:rPr>
    </w:lvl>
    <w:lvl w:ilvl="4">
      <w:start w:val="0"/>
      <w:numFmt w:val="bullet"/>
      <w:lvlText w:val="•"/>
      <w:lvlJc w:val="left"/>
      <w:pPr>
        <w:ind w:left="5052" w:hanging="794"/>
      </w:pPr>
      <w:rPr>
        <w:rFonts w:hint="default"/>
        <w:lang w:val="en-us" w:eastAsia="en-us" w:bidi="en-us"/>
      </w:rPr>
    </w:lvl>
    <w:lvl w:ilvl="5">
      <w:start w:val="0"/>
      <w:numFmt w:val="bullet"/>
      <w:lvlText w:val="•"/>
      <w:lvlJc w:val="left"/>
      <w:pPr>
        <w:ind w:left="6005" w:hanging="794"/>
      </w:pPr>
      <w:rPr>
        <w:rFonts w:hint="default"/>
        <w:lang w:val="en-us" w:eastAsia="en-us" w:bidi="en-us"/>
      </w:rPr>
    </w:lvl>
    <w:lvl w:ilvl="6">
      <w:start w:val="0"/>
      <w:numFmt w:val="bullet"/>
      <w:lvlText w:val="•"/>
      <w:lvlJc w:val="left"/>
      <w:pPr>
        <w:ind w:left="6958" w:hanging="794"/>
      </w:pPr>
      <w:rPr>
        <w:rFonts w:hint="default"/>
        <w:lang w:val="en-us" w:eastAsia="en-us" w:bidi="en-us"/>
      </w:rPr>
    </w:lvl>
    <w:lvl w:ilvl="7">
      <w:start w:val="0"/>
      <w:numFmt w:val="bullet"/>
      <w:lvlText w:val="•"/>
      <w:lvlJc w:val="left"/>
      <w:pPr>
        <w:ind w:left="7911" w:hanging="794"/>
      </w:pPr>
      <w:rPr>
        <w:rFonts w:hint="default"/>
        <w:lang w:val="en-us" w:eastAsia="en-us" w:bidi="en-us"/>
      </w:rPr>
    </w:lvl>
    <w:lvl w:ilvl="8">
      <w:start w:val="0"/>
      <w:numFmt w:val="bullet"/>
      <w:lvlText w:val="•"/>
      <w:lvlJc w:val="left"/>
      <w:pPr>
        <w:ind w:left="8864" w:hanging="794"/>
      </w:pPr>
      <w:rPr>
        <w:rFonts w:hint="default"/>
        <w:lang w:val="en-us" w:eastAsia="en-us" w:bidi="en-us"/>
      </w:rPr>
    </w:lvl>
  </w:abstractNum>
  <w:abstractNum w:abstractNumId="128">
    <w:multiLevelType w:val="hybridMultilevel"/>
    <w:lvl w:ilvl="0">
      <w:start w:val="46"/>
      <w:numFmt w:val="decimal"/>
      <w:lvlText w:val="%1"/>
      <w:lvlJc w:val="left"/>
      <w:pPr>
        <w:ind w:left="1225" w:hanging="794"/>
        <w:jc w:val="right"/>
      </w:pPr>
      <w:rPr>
        <w:rFonts w:hint="default" w:ascii="Calibri" w:hAnsi="Calibri" w:eastAsia="Calibri" w:cs="Calibri"/>
        <w:spacing w:val="0"/>
        <w:w w:val="109"/>
        <w:sz w:val="13"/>
        <w:szCs w:val="13"/>
        <w:lang w:val="en-us" w:eastAsia="en-us" w:bidi="en-us"/>
      </w:rPr>
    </w:lvl>
    <w:lvl w:ilvl="1">
      <w:start w:val="0"/>
      <w:numFmt w:val="bullet"/>
      <w:lvlText w:val="•"/>
      <w:lvlJc w:val="left"/>
      <w:pPr>
        <w:ind w:left="2173" w:hanging="794"/>
      </w:pPr>
      <w:rPr>
        <w:rFonts w:hint="default"/>
        <w:lang w:val="en-us" w:eastAsia="en-us" w:bidi="en-us"/>
      </w:rPr>
    </w:lvl>
    <w:lvl w:ilvl="2">
      <w:start w:val="0"/>
      <w:numFmt w:val="bullet"/>
      <w:lvlText w:val="•"/>
      <w:lvlJc w:val="left"/>
      <w:pPr>
        <w:ind w:left="3126" w:hanging="794"/>
      </w:pPr>
      <w:rPr>
        <w:rFonts w:hint="default"/>
        <w:lang w:val="en-us" w:eastAsia="en-us" w:bidi="en-us"/>
      </w:rPr>
    </w:lvl>
    <w:lvl w:ilvl="3">
      <w:start w:val="0"/>
      <w:numFmt w:val="bullet"/>
      <w:lvlText w:val="•"/>
      <w:lvlJc w:val="left"/>
      <w:pPr>
        <w:ind w:left="4079" w:hanging="794"/>
      </w:pPr>
      <w:rPr>
        <w:rFonts w:hint="default"/>
        <w:lang w:val="en-us" w:eastAsia="en-us" w:bidi="en-us"/>
      </w:rPr>
    </w:lvl>
    <w:lvl w:ilvl="4">
      <w:start w:val="0"/>
      <w:numFmt w:val="bullet"/>
      <w:lvlText w:val="•"/>
      <w:lvlJc w:val="left"/>
      <w:pPr>
        <w:ind w:left="5032" w:hanging="794"/>
      </w:pPr>
      <w:rPr>
        <w:rFonts w:hint="default"/>
        <w:lang w:val="en-us" w:eastAsia="en-us" w:bidi="en-us"/>
      </w:rPr>
    </w:lvl>
    <w:lvl w:ilvl="5">
      <w:start w:val="0"/>
      <w:numFmt w:val="bullet"/>
      <w:lvlText w:val="•"/>
      <w:lvlJc w:val="left"/>
      <w:pPr>
        <w:ind w:left="5985" w:hanging="794"/>
      </w:pPr>
      <w:rPr>
        <w:rFonts w:hint="default"/>
        <w:lang w:val="en-us" w:eastAsia="en-us" w:bidi="en-us"/>
      </w:rPr>
    </w:lvl>
    <w:lvl w:ilvl="6">
      <w:start w:val="0"/>
      <w:numFmt w:val="bullet"/>
      <w:lvlText w:val="•"/>
      <w:lvlJc w:val="left"/>
      <w:pPr>
        <w:ind w:left="6938" w:hanging="794"/>
      </w:pPr>
      <w:rPr>
        <w:rFonts w:hint="default"/>
        <w:lang w:val="en-us" w:eastAsia="en-us" w:bidi="en-us"/>
      </w:rPr>
    </w:lvl>
    <w:lvl w:ilvl="7">
      <w:start w:val="0"/>
      <w:numFmt w:val="bullet"/>
      <w:lvlText w:val="•"/>
      <w:lvlJc w:val="left"/>
      <w:pPr>
        <w:ind w:left="7891" w:hanging="794"/>
      </w:pPr>
      <w:rPr>
        <w:rFonts w:hint="default"/>
        <w:lang w:val="en-us" w:eastAsia="en-us" w:bidi="en-us"/>
      </w:rPr>
    </w:lvl>
    <w:lvl w:ilvl="8">
      <w:start w:val="0"/>
      <w:numFmt w:val="bullet"/>
      <w:lvlText w:val="•"/>
      <w:lvlJc w:val="left"/>
      <w:pPr>
        <w:ind w:left="8844" w:hanging="794"/>
      </w:pPr>
      <w:rPr>
        <w:rFonts w:hint="default"/>
        <w:lang w:val="en-us" w:eastAsia="en-us" w:bidi="en-us"/>
      </w:rPr>
    </w:lvl>
  </w:abstractNum>
  <w:abstractNum w:abstractNumId="127">
    <w:multiLevelType w:val="hybridMultilevel"/>
    <w:lvl w:ilvl="0">
      <w:start w:val="42"/>
      <w:numFmt w:val="decimal"/>
      <w:lvlText w:val="%1"/>
      <w:lvlJc w:val="left"/>
      <w:pPr>
        <w:ind w:left="1225" w:hanging="794"/>
        <w:jc w:val="left"/>
      </w:pPr>
      <w:rPr>
        <w:rFonts w:hint="default" w:ascii="Calibri" w:hAnsi="Calibri" w:eastAsia="Calibri" w:cs="Calibri"/>
        <w:w w:val="109"/>
        <w:sz w:val="13"/>
        <w:szCs w:val="13"/>
        <w:lang w:val="en-us" w:eastAsia="en-us" w:bidi="en-us"/>
      </w:rPr>
    </w:lvl>
    <w:lvl w:ilvl="1">
      <w:start w:val="0"/>
      <w:numFmt w:val="bullet"/>
      <w:lvlText w:val="•"/>
      <w:lvlJc w:val="left"/>
      <w:pPr>
        <w:ind w:left="2173" w:hanging="794"/>
      </w:pPr>
      <w:rPr>
        <w:rFonts w:hint="default"/>
        <w:lang w:val="en-us" w:eastAsia="en-us" w:bidi="en-us"/>
      </w:rPr>
    </w:lvl>
    <w:lvl w:ilvl="2">
      <w:start w:val="0"/>
      <w:numFmt w:val="bullet"/>
      <w:lvlText w:val="•"/>
      <w:lvlJc w:val="left"/>
      <w:pPr>
        <w:ind w:left="3126" w:hanging="794"/>
      </w:pPr>
      <w:rPr>
        <w:rFonts w:hint="default"/>
        <w:lang w:val="en-us" w:eastAsia="en-us" w:bidi="en-us"/>
      </w:rPr>
    </w:lvl>
    <w:lvl w:ilvl="3">
      <w:start w:val="0"/>
      <w:numFmt w:val="bullet"/>
      <w:lvlText w:val="•"/>
      <w:lvlJc w:val="left"/>
      <w:pPr>
        <w:ind w:left="4079" w:hanging="794"/>
      </w:pPr>
      <w:rPr>
        <w:rFonts w:hint="default"/>
        <w:lang w:val="en-us" w:eastAsia="en-us" w:bidi="en-us"/>
      </w:rPr>
    </w:lvl>
    <w:lvl w:ilvl="4">
      <w:start w:val="0"/>
      <w:numFmt w:val="bullet"/>
      <w:lvlText w:val="•"/>
      <w:lvlJc w:val="left"/>
      <w:pPr>
        <w:ind w:left="5032" w:hanging="794"/>
      </w:pPr>
      <w:rPr>
        <w:rFonts w:hint="default"/>
        <w:lang w:val="en-us" w:eastAsia="en-us" w:bidi="en-us"/>
      </w:rPr>
    </w:lvl>
    <w:lvl w:ilvl="5">
      <w:start w:val="0"/>
      <w:numFmt w:val="bullet"/>
      <w:lvlText w:val="•"/>
      <w:lvlJc w:val="left"/>
      <w:pPr>
        <w:ind w:left="5985" w:hanging="794"/>
      </w:pPr>
      <w:rPr>
        <w:rFonts w:hint="default"/>
        <w:lang w:val="en-us" w:eastAsia="en-us" w:bidi="en-us"/>
      </w:rPr>
    </w:lvl>
    <w:lvl w:ilvl="6">
      <w:start w:val="0"/>
      <w:numFmt w:val="bullet"/>
      <w:lvlText w:val="•"/>
      <w:lvlJc w:val="left"/>
      <w:pPr>
        <w:ind w:left="6938" w:hanging="794"/>
      </w:pPr>
      <w:rPr>
        <w:rFonts w:hint="default"/>
        <w:lang w:val="en-us" w:eastAsia="en-us" w:bidi="en-us"/>
      </w:rPr>
    </w:lvl>
    <w:lvl w:ilvl="7">
      <w:start w:val="0"/>
      <w:numFmt w:val="bullet"/>
      <w:lvlText w:val="•"/>
      <w:lvlJc w:val="left"/>
      <w:pPr>
        <w:ind w:left="7891" w:hanging="794"/>
      </w:pPr>
      <w:rPr>
        <w:rFonts w:hint="default"/>
        <w:lang w:val="en-us" w:eastAsia="en-us" w:bidi="en-us"/>
      </w:rPr>
    </w:lvl>
    <w:lvl w:ilvl="8">
      <w:start w:val="0"/>
      <w:numFmt w:val="bullet"/>
      <w:lvlText w:val="•"/>
      <w:lvlJc w:val="left"/>
      <w:pPr>
        <w:ind w:left="8844" w:hanging="794"/>
      </w:pPr>
      <w:rPr>
        <w:rFonts w:hint="default"/>
        <w:lang w:val="en-us" w:eastAsia="en-us" w:bidi="en-us"/>
      </w:rPr>
    </w:lvl>
  </w:abstractNum>
  <w:abstractNum w:abstractNumId="126">
    <w:multiLevelType w:val="hybridMultilevel"/>
    <w:lvl w:ilvl="0">
      <w:start w:val="5"/>
      <w:numFmt w:val="decimal"/>
      <w:lvlText w:val="%1"/>
      <w:lvlJc w:val="left"/>
      <w:pPr>
        <w:ind w:left="1228" w:hanging="794"/>
        <w:jc w:val="right"/>
      </w:pPr>
      <w:rPr>
        <w:rFonts w:hint="default" w:ascii="Calibri" w:hAnsi="Calibri" w:eastAsia="Calibri" w:cs="Calibri"/>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612" w:hanging="341"/>
      </w:pPr>
      <w:rPr>
        <w:rFonts w:hint="default"/>
        <w:lang w:val="en-us" w:eastAsia="en-us" w:bidi="en-us"/>
      </w:rPr>
    </w:lvl>
    <w:lvl w:ilvl="3">
      <w:start w:val="0"/>
      <w:numFmt w:val="bullet"/>
      <w:lvlText w:val="•"/>
      <w:lvlJc w:val="left"/>
      <w:pPr>
        <w:ind w:left="4505" w:hanging="341"/>
      </w:pPr>
      <w:rPr>
        <w:rFonts w:hint="default"/>
        <w:lang w:val="en-us" w:eastAsia="en-us" w:bidi="en-us"/>
      </w:rPr>
    </w:lvl>
    <w:lvl w:ilvl="4">
      <w:start w:val="0"/>
      <w:numFmt w:val="bullet"/>
      <w:lvlText w:val="•"/>
      <w:lvlJc w:val="left"/>
      <w:pPr>
        <w:ind w:left="5397" w:hanging="341"/>
      </w:pPr>
      <w:rPr>
        <w:rFonts w:hint="default"/>
        <w:lang w:val="en-us" w:eastAsia="en-us" w:bidi="en-us"/>
      </w:rPr>
    </w:lvl>
    <w:lvl w:ilvl="5">
      <w:start w:val="0"/>
      <w:numFmt w:val="bullet"/>
      <w:lvlText w:val="•"/>
      <w:lvlJc w:val="left"/>
      <w:pPr>
        <w:ind w:left="6290" w:hanging="341"/>
      </w:pPr>
      <w:rPr>
        <w:rFonts w:hint="default"/>
        <w:lang w:val="en-us" w:eastAsia="en-us" w:bidi="en-us"/>
      </w:rPr>
    </w:lvl>
    <w:lvl w:ilvl="6">
      <w:start w:val="0"/>
      <w:numFmt w:val="bullet"/>
      <w:lvlText w:val="•"/>
      <w:lvlJc w:val="left"/>
      <w:pPr>
        <w:ind w:left="7182" w:hanging="341"/>
      </w:pPr>
      <w:rPr>
        <w:rFonts w:hint="default"/>
        <w:lang w:val="en-us" w:eastAsia="en-us" w:bidi="en-us"/>
      </w:rPr>
    </w:lvl>
    <w:lvl w:ilvl="7">
      <w:start w:val="0"/>
      <w:numFmt w:val="bullet"/>
      <w:lvlText w:val="•"/>
      <w:lvlJc w:val="left"/>
      <w:pPr>
        <w:ind w:left="8075" w:hanging="341"/>
      </w:pPr>
      <w:rPr>
        <w:rFonts w:hint="default"/>
        <w:lang w:val="en-us" w:eastAsia="en-us" w:bidi="en-us"/>
      </w:rPr>
    </w:lvl>
    <w:lvl w:ilvl="8">
      <w:start w:val="0"/>
      <w:numFmt w:val="bullet"/>
      <w:lvlText w:val="•"/>
      <w:lvlJc w:val="left"/>
      <w:pPr>
        <w:ind w:left="8967" w:hanging="341"/>
      </w:pPr>
      <w:rPr>
        <w:rFonts w:hint="default"/>
        <w:lang w:val="en-us" w:eastAsia="en-us" w:bidi="en-us"/>
      </w:rPr>
    </w:lvl>
  </w:abstractNum>
  <w:abstractNum w:abstractNumId="125">
    <w:multiLevelType w:val="hybridMultilevel"/>
    <w:lvl w:ilvl="0">
      <w:start w:val="283"/>
      <w:numFmt w:val="decimal"/>
      <w:lvlText w:val="%1"/>
      <w:lvlJc w:val="left"/>
      <w:pPr>
        <w:ind w:left="2381" w:hanging="794"/>
        <w:jc w:val="right"/>
      </w:pPr>
      <w:rPr>
        <w:rFonts w:hint="default" w:ascii="Calibri" w:hAnsi="Calibri" w:eastAsia="Calibri" w:cs="Calibri"/>
        <w:spacing w:val="-1"/>
        <w:w w:val="109"/>
        <w:sz w:val="13"/>
        <w:szCs w:val="13"/>
        <w:lang w:val="en-us" w:eastAsia="en-us" w:bidi="en-us"/>
      </w:rPr>
    </w:lvl>
    <w:lvl w:ilvl="1">
      <w:start w:val="0"/>
      <w:numFmt w:val="bullet"/>
      <w:lvlText w:val="•"/>
      <w:lvlJc w:val="left"/>
      <w:pPr>
        <w:ind w:left="3165" w:hanging="794"/>
      </w:pPr>
      <w:rPr>
        <w:rFonts w:hint="default"/>
        <w:lang w:val="en-us" w:eastAsia="en-us" w:bidi="en-us"/>
      </w:rPr>
    </w:lvl>
    <w:lvl w:ilvl="2">
      <w:start w:val="0"/>
      <w:numFmt w:val="bullet"/>
      <w:lvlText w:val="•"/>
      <w:lvlJc w:val="left"/>
      <w:pPr>
        <w:ind w:left="3951" w:hanging="794"/>
      </w:pPr>
      <w:rPr>
        <w:rFonts w:hint="default"/>
        <w:lang w:val="en-us" w:eastAsia="en-us" w:bidi="en-us"/>
      </w:rPr>
    </w:lvl>
    <w:lvl w:ilvl="3">
      <w:start w:val="0"/>
      <w:numFmt w:val="bullet"/>
      <w:lvlText w:val="•"/>
      <w:lvlJc w:val="left"/>
      <w:pPr>
        <w:ind w:left="4736" w:hanging="794"/>
      </w:pPr>
      <w:rPr>
        <w:rFonts w:hint="default"/>
        <w:lang w:val="en-us" w:eastAsia="en-us" w:bidi="en-us"/>
      </w:rPr>
    </w:lvl>
    <w:lvl w:ilvl="4">
      <w:start w:val="0"/>
      <w:numFmt w:val="bullet"/>
      <w:lvlText w:val="•"/>
      <w:lvlJc w:val="left"/>
      <w:pPr>
        <w:ind w:left="5522" w:hanging="794"/>
      </w:pPr>
      <w:rPr>
        <w:rFonts w:hint="default"/>
        <w:lang w:val="en-us" w:eastAsia="en-us" w:bidi="en-us"/>
      </w:rPr>
    </w:lvl>
    <w:lvl w:ilvl="5">
      <w:start w:val="0"/>
      <w:numFmt w:val="bullet"/>
      <w:lvlText w:val="•"/>
      <w:lvlJc w:val="left"/>
      <w:pPr>
        <w:ind w:left="6308" w:hanging="794"/>
      </w:pPr>
      <w:rPr>
        <w:rFonts w:hint="default"/>
        <w:lang w:val="en-us" w:eastAsia="en-us" w:bidi="en-us"/>
      </w:rPr>
    </w:lvl>
    <w:lvl w:ilvl="6">
      <w:start w:val="0"/>
      <w:numFmt w:val="bullet"/>
      <w:lvlText w:val="•"/>
      <w:lvlJc w:val="left"/>
      <w:pPr>
        <w:ind w:left="7093" w:hanging="794"/>
      </w:pPr>
      <w:rPr>
        <w:rFonts w:hint="default"/>
        <w:lang w:val="en-us" w:eastAsia="en-us" w:bidi="en-us"/>
      </w:rPr>
    </w:lvl>
    <w:lvl w:ilvl="7">
      <w:start w:val="0"/>
      <w:numFmt w:val="bullet"/>
      <w:lvlText w:val="•"/>
      <w:lvlJc w:val="left"/>
      <w:pPr>
        <w:ind w:left="7879" w:hanging="794"/>
      </w:pPr>
      <w:rPr>
        <w:rFonts w:hint="default"/>
        <w:lang w:val="en-us" w:eastAsia="en-us" w:bidi="en-us"/>
      </w:rPr>
    </w:lvl>
    <w:lvl w:ilvl="8">
      <w:start w:val="0"/>
      <w:numFmt w:val="bullet"/>
      <w:lvlText w:val="•"/>
      <w:lvlJc w:val="left"/>
      <w:pPr>
        <w:ind w:left="8664" w:hanging="794"/>
      </w:pPr>
      <w:rPr>
        <w:rFonts w:hint="default"/>
        <w:lang w:val="en-us" w:eastAsia="en-us" w:bidi="en-us"/>
      </w:rPr>
    </w:lvl>
  </w:abstractNum>
  <w:abstractNum w:abstractNumId="124">
    <w:multiLevelType w:val="hybridMultilevel"/>
    <w:lvl w:ilvl="0">
      <w:start w:val="277"/>
      <w:numFmt w:val="decimal"/>
      <w:lvlText w:val="%1"/>
      <w:lvlJc w:val="left"/>
      <w:pPr>
        <w:ind w:left="1228" w:hanging="794"/>
        <w:jc w:val="left"/>
      </w:pPr>
      <w:rPr>
        <w:rFonts w:hint="default" w:ascii="Calibri" w:hAnsi="Calibri" w:eastAsia="Calibri" w:cs="Calibri"/>
        <w:spacing w:val="-2"/>
        <w:w w:val="109"/>
        <w:sz w:val="13"/>
        <w:szCs w:val="13"/>
        <w:lang w:val="en-us" w:eastAsia="en-us" w:bidi="en-us"/>
      </w:rPr>
    </w:lvl>
    <w:lvl w:ilvl="1">
      <w:start w:val="0"/>
      <w:numFmt w:val="bullet"/>
      <w:lvlText w:val="•"/>
      <w:lvlJc w:val="left"/>
      <w:pPr>
        <w:ind w:left="2173" w:hanging="794"/>
      </w:pPr>
      <w:rPr>
        <w:rFonts w:hint="default"/>
        <w:lang w:val="en-us" w:eastAsia="en-us" w:bidi="en-us"/>
      </w:rPr>
    </w:lvl>
    <w:lvl w:ilvl="2">
      <w:start w:val="0"/>
      <w:numFmt w:val="bullet"/>
      <w:lvlText w:val="•"/>
      <w:lvlJc w:val="left"/>
      <w:pPr>
        <w:ind w:left="3126" w:hanging="794"/>
      </w:pPr>
      <w:rPr>
        <w:rFonts w:hint="default"/>
        <w:lang w:val="en-us" w:eastAsia="en-us" w:bidi="en-us"/>
      </w:rPr>
    </w:lvl>
    <w:lvl w:ilvl="3">
      <w:start w:val="0"/>
      <w:numFmt w:val="bullet"/>
      <w:lvlText w:val="•"/>
      <w:lvlJc w:val="left"/>
      <w:pPr>
        <w:ind w:left="4080" w:hanging="794"/>
      </w:pPr>
      <w:rPr>
        <w:rFonts w:hint="default"/>
        <w:lang w:val="en-us" w:eastAsia="en-us" w:bidi="en-us"/>
      </w:rPr>
    </w:lvl>
    <w:lvl w:ilvl="4">
      <w:start w:val="0"/>
      <w:numFmt w:val="bullet"/>
      <w:lvlText w:val="•"/>
      <w:lvlJc w:val="left"/>
      <w:pPr>
        <w:ind w:left="5033" w:hanging="794"/>
      </w:pPr>
      <w:rPr>
        <w:rFonts w:hint="default"/>
        <w:lang w:val="en-us" w:eastAsia="en-us" w:bidi="en-us"/>
      </w:rPr>
    </w:lvl>
    <w:lvl w:ilvl="5">
      <w:start w:val="0"/>
      <w:numFmt w:val="bullet"/>
      <w:lvlText w:val="•"/>
      <w:lvlJc w:val="left"/>
      <w:pPr>
        <w:ind w:left="5986" w:hanging="794"/>
      </w:pPr>
      <w:rPr>
        <w:rFonts w:hint="default"/>
        <w:lang w:val="en-us" w:eastAsia="en-us" w:bidi="en-us"/>
      </w:rPr>
    </w:lvl>
    <w:lvl w:ilvl="6">
      <w:start w:val="0"/>
      <w:numFmt w:val="bullet"/>
      <w:lvlText w:val="•"/>
      <w:lvlJc w:val="left"/>
      <w:pPr>
        <w:ind w:left="6940" w:hanging="794"/>
      </w:pPr>
      <w:rPr>
        <w:rFonts w:hint="default"/>
        <w:lang w:val="en-us" w:eastAsia="en-us" w:bidi="en-us"/>
      </w:rPr>
    </w:lvl>
    <w:lvl w:ilvl="7">
      <w:start w:val="0"/>
      <w:numFmt w:val="bullet"/>
      <w:lvlText w:val="•"/>
      <w:lvlJc w:val="left"/>
      <w:pPr>
        <w:ind w:left="7893" w:hanging="794"/>
      </w:pPr>
      <w:rPr>
        <w:rFonts w:hint="default"/>
        <w:lang w:val="en-us" w:eastAsia="en-us" w:bidi="en-us"/>
      </w:rPr>
    </w:lvl>
    <w:lvl w:ilvl="8">
      <w:start w:val="0"/>
      <w:numFmt w:val="bullet"/>
      <w:lvlText w:val="•"/>
      <w:lvlJc w:val="left"/>
      <w:pPr>
        <w:ind w:left="8846" w:hanging="794"/>
      </w:pPr>
      <w:rPr>
        <w:rFonts w:hint="default"/>
        <w:lang w:val="en-us" w:eastAsia="en-us" w:bidi="en-us"/>
      </w:rPr>
    </w:lvl>
  </w:abstractNum>
  <w:abstractNum w:abstractNumId="123">
    <w:multiLevelType w:val="hybridMultilevel"/>
    <w:lvl w:ilvl="0">
      <w:start w:val="272"/>
      <w:numFmt w:val="decimal"/>
      <w:lvlText w:val="%1"/>
      <w:lvlJc w:val="left"/>
      <w:pPr>
        <w:ind w:left="2381" w:hanging="794"/>
        <w:jc w:val="left"/>
      </w:pPr>
      <w:rPr>
        <w:rFonts w:hint="default" w:ascii="Calibri" w:hAnsi="Calibri" w:eastAsia="Calibri" w:cs="Calibri"/>
        <w:spacing w:val="-2"/>
        <w:w w:val="109"/>
        <w:sz w:val="13"/>
        <w:szCs w:val="13"/>
        <w:lang w:val="en-us" w:eastAsia="en-us" w:bidi="en-us"/>
      </w:rPr>
    </w:lvl>
    <w:lvl w:ilvl="1">
      <w:start w:val="0"/>
      <w:numFmt w:val="bullet"/>
      <w:lvlText w:val="•"/>
      <w:lvlJc w:val="left"/>
      <w:pPr>
        <w:ind w:left="3171" w:hanging="794"/>
      </w:pPr>
      <w:rPr>
        <w:rFonts w:hint="default"/>
        <w:lang w:val="en-us" w:eastAsia="en-us" w:bidi="en-us"/>
      </w:rPr>
    </w:lvl>
    <w:lvl w:ilvl="2">
      <w:start w:val="0"/>
      <w:numFmt w:val="bullet"/>
      <w:lvlText w:val="•"/>
      <w:lvlJc w:val="left"/>
      <w:pPr>
        <w:ind w:left="3963" w:hanging="794"/>
      </w:pPr>
      <w:rPr>
        <w:rFonts w:hint="default"/>
        <w:lang w:val="en-us" w:eastAsia="en-us" w:bidi="en-us"/>
      </w:rPr>
    </w:lvl>
    <w:lvl w:ilvl="3">
      <w:start w:val="0"/>
      <w:numFmt w:val="bullet"/>
      <w:lvlText w:val="•"/>
      <w:lvlJc w:val="left"/>
      <w:pPr>
        <w:ind w:left="4755" w:hanging="794"/>
      </w:pPr>
      <w:rPr>
        <w:rFonts w:hint="default"/>
        <w:lang w:val="en-us" w:eastAsia="en-us" w:bidi="en-us"/>
      </w:rPr>
    </w:lvl>
    <w:lvl w:ilvl="4">
      <w:start w:val="0"/>
      <w:numFmt w:val="bullet"/>
      <w:lvlText w:val="•"/>
      <w:lvlJc w:val="left"/>
      <w:pPr>
        <w:ind w:left="5546" w:hanging="794"/>
      </w:pPr>
      <w:rPr>
        <w:rFonts w:hint="default"/>
        <w:lang w:val="en-us" w:eastAsia="en-us" w:bidi="en-us"/>
      </w:rPr>
    </w:lvl>
    <w:lvl w:ilvl="5">
      <w:start w:val="0"/>
      <w:numFmt w:val="bullet"/>
      <w:lvlText w:val="•"/>
      <w:lvlJc w:val="left"/>
      <w:pPr>
        <w:ind w:left="6338" w:hanging="794"/>
      </w:pPr>
      <w:rPr>
        <w:rFonts w:hint="default"/>
        <w:lang w:val="en-us" w:eastAsia="en-us" w:bidi="en-us"/>
      </w:rPr>
    </w:lvl>
    <w:lvl w:ilvl="6">
      <w:start w:val="0"/>
      <w:numFmt w:val="bullet"/>
      <w:lvlText w:val="•"/>
      <w:lvlJc w:val="left"/>
      <w:pPr>
        <w:ind w:left="7130" w:hanging="794"/>
      </w:pPr>
      <w:rPr>
        <w:rFonts w:hint="default"/>
        <w:lang w:val="en-us" w:eastAsia="en-us" w:bidi="en-us"/>
      </w:rPr>
    </w:lvl>
    <w:lvl w:ilvl="7">
      <w:start w:val="0"/>
      <w:numFmt w:val="bullet"/>
      <w:lvlText w:val="•"/>
      <w:lvlJc w:val="left"/>
      <w:pPr>
        <w:ind w:left="7922" w:hanging="794"/>
      </w:pPr>
      <w:rPr>
        <w:rFonts w:hint="default"/>
        <w:lang w:val="en-us" w:eastAsia="en-us" w:bidi="en-us"/>
      </w:rPr>
    </w:lvl>
    <w:lvl w:ilvl="8">
      <w:start w:val="0"/>
      <w:numFmt w:val="bullet"/>
      <w:lvlText w:val="•"/>
      <w:lvlJc w:val="left"/>
      <w:pPr>
        <w:ind w:left="8713" w:hanging="794"/>
      </w:pPr>
      <w:rPr>
        <w:rFonts w:hint="default"/>
        <w:lang w:val="en-us" w:eastAsia="en-us" w:bidi="en-us"/>
      </w:rPr>
    </w:lvl>
  </w:abstractNum>
  <w:abstractNum w:abstractNumId="122">
    <w:multiLevelType w:val="hybridMultilevel"/>
    <w:lvl w:ilvl="0">
      <w:start w:val="266"/>
      <w:numFmt w:val="decimal"/>
      <w:lvlText w:val="%1"/>
      <w:lvlJc w:val="left"/>
      <w:pPr>
        <w:ind w:left="2381" w:hanging="794"/>
        <w:jc w:val="left"/>
      </w:pPr>
      <w:rPr>
        <w:rFonts w:hint="default" w:ascii="Calibri" w:hAnsi="Calibri" w:eastAsia="Calibri" w:cs="Calibri"/>
        <w:spacing w:val="-1"/>
        <w:w w:val="109"/>
        <w:sz w:val="13"/>
        <w:szCs w:val="13"/>
        <w:lang w:val="en-us" w:eastAsia="en-us" w:bidi="en-us"/>
      </w:rPr>
    </w:lvl>
    <w:lvl w:ilvl="1">
      <w:start w:val="0"/>
      <w:numFmt w:val="bullet"/>
      <w:lvlText w:val="•"/>
      <w:lvlJc w:val="left"/>
      <w:pPr>
        <w:ind w:left="3171" w:hanging="794"/>
      </w:pPr>
      <w:rPr>
        <w:rFonts w:hint="default"/>
        <w:lang w:val="en-us" w:eastAsia="en-us" w:bidi="en-us"/>
      </w:rPr>
    </w:lvl>
    <w:lvl w:ilvl="2">
      <w:start w:val="0"/>
      <w:numFmt w:val="bullet"/>
      <w:lvlText w:val="•"/>
      <w:lvlJc w:val="left"/>
      <w:pPr>
        <w:ind w:left="3963" w:hanging="794"/>
      </w:pPr>
      <w:rPr>
        <w:rFonts w:hint="default"/>
        <w:lang w:val="en-us" w:eastAsia="en-us" w:bidi="en-us"/>
      </w:rPr>
    </w:lvl>
    <w:lvl w:ilvl="3">
      <w:start w:val="0"/>
      <w:numFmt w:val="bullet"/>
      <w:lvlText w:val="•"/>
      <w:lvlJc w:val="left"/>
      <w:pPr>
        <w:ind w:left="4755" w:hanging="794"/>
      </w:pPr>
      <w:rPr>
        <w:rFonts w:hint="default"/>
        <w:lang w:val="en-us" w:eastAsia="en-us" w:bidi="en-us"/>
      </w:rPr>
    </w:lvl>
    <w:lvl w:ilvl="4">
      <w:start w:val="0"/>
      <w:numFmt w:val="bullet"/>
      <w:lvlText w:val="•"/>
      <w:lvlJc w:val="left"/>
      <w:pPr>
        <w:ind w:left="5546" w:hanging="794"/>
      </w:pPr>
      <w:rPr>
        <w:rFonts w:hint="default"/>
        <w:lang w:val="en-us" w:eastAsia="en-us" w:bidi="en-us"/>
      </w:rPr>
    </w:lvl>
    <w:lvl w:ilvl="5">
      <w:start w:val="0"/>
      <w:numFmt w:val="bullet"/>
      <w:lvlText w:val="•"/>
      <w:lvlJc w:val="left"/>
      <w:pPr>
        <w:ind w:left="6338" w:hanging="794"/>
      </w:pPr>
      <w:rPr>
        <w:rFonts w:hint="default"/>
        <w:lang w:val="en-us" w:eastAsia="en-us" w:bidi="en-us"/>
      </w:rPr>
    </w:lvl>
    <w:lvl w:ilvl="6">
      <w:start w:val="0"/>
      <w:numFmt w:val="bullet"/>
      <w:lvlText w:val="•"/>
      <w:lvlJc w:val="left"/>
      <w:pPr>
        <w:ind w:left="7130" w:hanging="794"/>
      </w:pPr>
      <w:rPr>
        <w:rFonts w:hint="default"/>
        <w:lang w:val="en-us" w:eastAsia="en-us" w:bidi="en-us"/>
      </w:rPr>
    </w:lvl>
    <w:lvl w:ilvl="7">
      <w:start w:val="0"/>
      <w:numFmt w:val="bullet"/>
      <w:lvlText w:val="•"/>
      <w:lvlJc w:val="left"/>
      <w:pPr>
        <w:ind w:left="7922" w:hanging="794"/>
      </w:pPr>
      <w:rPr>
        <w:rFonts w:hint="default"/>
        <w:lang w:val="en-us" w:eastAsia="en-us" w:bidi="en-us"/>
      </w:rPr>
    </w:lvl>
    <w:lvl w:ilvl="8">
      <w:start w:val="0"/>
      <w:numFmt w:val="bullet"/>
      <w:lvlText w:val="•"/>
      <w:lvlJc w:val="left"/>
      <w:pPr>
        <w:ind w:left="8713" w:hanging="794"/>
      </w:pPr>
      <w:rPr>
        <w:rFonts w:hint="default"/>
        <w:lang w:val="en-us" w:eastAsia="en-us" w:bidi="en-us"/>
      </w:rPr>
    </w:lvl>
  </w:abstractNum>
  <w:abstractNum w:abstractNumId="121">
    <w:multiLevelType w:val="hybridMultilevel"/>
    <w:lvl w:ilvl="0">
      <w:start w:val="252"/>
      <w:numFmt w:val="decimal"/>
      <w:lvlText w:val="%1"/>
      <w:lvlJc w:val="left"/>
      <w:pPr>
        <w:ind w:left="2381" w:hanging="794"/>
        <w:jc w:val="right"/>
      </w:pPr>
      <w:rPr>
        <w:rFonts w:hint="default" w:ascii="Calibri" w:hAnsi="Calibri" w:eastAsia="Calibri" w:cs="Calibri"/>
        <w:spacing w:val="-1"/>
        <w:w w:val="109"/>
        <w:sz w:val="13"/>
        <w:szCs w:val="13"/>
        <w:lang w:val="en-us" w:eastAsia="en-us" w:bidi="en-us"/>
      </w:rPr>
    </w:lvl>
    <w:lvl w:ilvl="1">
      <w:start w:val="0"/>
      <w:numFmt w:val="bullet"/>
      <w:lvlText w:val="•"/>
      <w:lvlJc w:val="left"/>
      <w:pPr>
        <w:ind w:left="3159" w:hanging="794"/>
      </w:pPr>
      <w:rPr>
        <w:rFonts w:hint="default"/>
        <w:lang w:val="en-us" w:eastAsia="en-us" w:bidi="en-us"/>
      </w:rPr>
    </w:lvl>
    <w:lvl w:ilvl="2">
      <w:start w:val="0"/>
      <w:numFmt w:val="bullet"/>
      <w:lvlText w:val="•"/>
      <w:lvlJc w:val="left"/>
      <w:pPr>
        <w:ind w:left="3938" w:hanging="794"/>
      </w:pPr>
      <w:rPr>
        <w:rFonts w:hint="default"/>
        <w:lang w:val="en-us" w:eastAsia="en-us" w:bidi="en-us"/>
      </w:rPr>
    </w:lvl>
    <w:lvl w:ilvl="3">
      <w:start w:val="0"/>
      <w:numFmt w:val="bullet"/>
      <w:lvlText w:val="•"/>
      <w:lvlJc w:val="left"/>
      <w:pPr>
        <w:ind w:left="4717" w:hanging="794"/>
      </w:pPr>
      <w:rPr>
        <w:rFonts w:hint="default"/>
        <w:lang w:val="en-us" w:eastAsia="en-us" w:bidi="en-us"/>
      </w:rPr>
    </w:lvl>
    <w:lvl w:ilvl="4">
      <w:start w:val="0"/>
      <w:numFmt w:val="bullet"/>
      <w:lvlText w:val="•"/>
      <w:lvlJc w:val="left"/>
      <w:pPr>
        <w:ind w:left="5496" w:hanging="794"/>
      </w:pPr>
      <w:rPr>
        <w:rFonts w:hint="default"/>
        <w:lang w:val="en-us" w:eastAsia="en-us" w:bidi="en-us"/>
      </w:rPr>
    </w:lvl>
    <w:lvl w:ilvl="5">
      <w:start w:val="0"/>
      <w:numFmt w:val="bullet"/>
      <w:lvlText w:val="•"/>
      <w:lvlJc w:val="left"/>
      <w:pPr>
        <w:ind w:left="6276" w:hanging="794"/>
      </w:pPr>
      <w:rPr>
        <w:rFonts w:hint="default"/>
        <w:lang w:val="en-us" w:eastAsia="en-us" w:bidi="en-us"/>
      </w:rPr>
    </w:lvl>
    <w:lvl w:ilvl="6">
      <w:start w:val="0"/>
      <w:numFmt w:val="bullet"/>
      <w:lvlText w:val="•"/>
      <w:lvlJc w:val="left"/>
      <w:pPr>
        <w:ind w:left="7055" w:hanging="794"/>
      </w:pPr>
      <w:rPr>
        <w:rFonts w:hint="default"/>
        <w:lang w:val="en-us" w:eastAsia="en-us" w:bidi="en-us"/>
      </w:rPr>
    </w:lvl>
    <w:lvl w:ilvl="7">
      <w:start w:val="0"/>
      <w:numFmt w:val="bullet"/>
      <w:lvlText w:val="•"/>
      <w:lvlJc w:val="left"/>
      <w:pPr>
        <w:ind w:left="7834" w:hanging="794"/>
      </w:pPr>
      <w:rPr>
        <w:rFonts w:hint="default"/>
        <w:lang w:val="en-us" w:eastAsia="en-us" w:bidi="en-us"/>
      </w:rPr>
    </w:lvl>
    <w:lvl w:ilvl="8">
      <w:start w:val="0"/>
      <w:numFmt w:val="bullet"/>
      <w:lvlText w:val="•"/>
      <w:lvlJc w:val="left"/>
      <w:pPr>
        <w:ind w:left="8613" w:hanging="794"/>
      </w:pPr>
      <w:rPr>
        <w:rFonts w:hint="default"/>
        <w:lang w:val="en-us" w:eastAsia="en-us" w:bidi="en-us"/>
      </w:rPr>
    </w:lvl>
  </w:abstractNum>
  <w:abstractNum w:abstractNumId="120">
    <w:multiLevelType w:val="hybridMultilevel"/>
    <w:lvl w:ilvl="0">
      <w:start w:val="229"/>
      <w:numFmt w:val="decimal"/>
      <w:lvlText w:val="%1"/>
      <w:lvlJc w:val="left"/>
      <w:pPr>
        <w:ind w:left="2381" w:hanging="794"/>
        <w:jc w:val="right"/>
      </w:pPr>
      <w:rPr>
        <w:rFonts w:hint="default" w:ascii="Calibri" w:hAnsi="Calibri" w:eastAsia="Calibri" w:cs="Calibri"/>
        <w:spacing w:val="0"/>
        <w:w w:val="109"/>
        <w:sz w:val="13"/>
        <w:szCs w:val="13"/>
        <w:lang w:val="en-us" w:eastAsia="en-us" w:bidi="en-us"/>
      </w:rPr>
    </w:lvl>
    <w:lvl w:ilvl="1">
      <w:start w:val="0"/>
      <w:numFmt w:val="bullet"/>
      <w:lvlText w:val="•"/>
      <w:lvlJc w:val="left"/>
      <w:pPr>
        <w:ind w:left="3171" w:hanging="794"/>
      </w:pPr>
      <w:rPr>
        <w:rFonts w:hint="default"/>
        <w:lang w:val="en-us" w:eastAsia="en-us" w:bidi="en-us"/>
      </w:rPr>
    </w:lvl>
    <w:lvl w:ilvl="2">
      <w:start w:val="0"/>
      <w:numFmt w:val="bullet"/>
      <w:lvlText w:val="•"/>
      <w:lvlJc w:val="left"/>
      <w:pPr>
        <w:ind w:left="3962" w:hanging="794"/>
      </w:pPr>
      <w:rPr>
        <w:rFonts w:hint="default"/>
        <w:lang w:val="en-us" w:eastAsia="en-us" w:bidi="en-us"/>
      </w:rPr>
    </w:lvl>
    <w:lvl w:ilvl="3">
      <w:start w:val="0"/>
      <w:numFmt w:val="bullet"/>
      <w:lvlText w:val="•"/>
      <w:lvlJc w:val="left"/>
      <w:pPr>
        <w:ind w:left="4753" w:hanging="794"/>
      </w:pPr>
      <w:rPr>
        <w:rFonts w:hint="default"/>
        <w:lang w:val="en-us" w:eastAsia="en-us" w:bidi="en-us"/>
      </w:rPr>
    </w:lvl>
    <w:lvl w:ilvl="4">
      <w:start w:val="0"/>
      <w:numFmt w:val="bullet"/>
      <w:lvlText w:val="•"/>
      <w:lvlJc w:val="left"/>
      <w:pPr>
        <w:ind w:left="5544" w:hanging="794"/>
      </w:pPr>
      <w:rPr>
        <w:rFonts w:hint="default"/>
        <w:lang w:val="en-us" w:eastAsia="en-us" w:bidi="en-us"/>
      </w:rPr>
    </w:lvl>
    <w:lvl w:ilvl="5">
      <w:start w:val="0"/>
      <w:numFmt w:val="bullet"/>
      <w:lvlText w:val="•"/>
      <w:lvlJc w:val="left"/>
      <w:pPr>
        <w:ind w:left="6335" w:hanging="794"/>
      </w:pPr>
      <w:rPr>
        <w:rFonts w:hint="default"/>
        <w:lang w:val="en-us" w:eastAsia="en-us" w:bidi="en-us"/>
      </w:rPr>
    </w:lvl>
    <w:lvl w:ilvl="6">
      <w:start w:val="0"/>
      <w:numFmt w:val="bullet"/>
      <w:lvlText w:val="•"/>
      <w:lvlJc w:val="left"/>
      <w:pPr>
        <w:ind w:left="7126" w:hanging="794"/>
      </w:pPr>
      <w:rPr>
        <w:rFonts w:hint="default"/>
        <w:lang w:val="en-us" w:eastAsia="en-us" w:bidi="en-us"/>
      </w:rPr>
    </w:lvl>
    <w:lvl w:ilvl="7">
      <w:start w:val="0"/>
      <w:numFmt w:val="bullet"/>
      <w:lvlText w:val="•"/>
      <w:lvlJc w:val="left"/>
      <w:pPr>
        <w:ind w:left="7918" w:hanging="794"/>
      </w:pPr>
      <w:rPr>
        <w:rFonts w:hint="default"/>
        <w:lang w:val="en-us" w:eastAsia="en-us" w:bidi="en-us"/>
      </w:rPr>
    </w:lvl>
    <w:lvl w:ilvl="8">
      <w:start w:val="0"/>
      <w:numFmt w:val="bullet"/>
      <w:lvlText w:val="•"/>
      <w:lvlJc w:val="left"/>
      <w:pPr>
        <w:ind w:left="8709" w:hanging="794"/>
      </w:pPr>
      <w:rPr>
        <w:rFonts w:hint="default"/>
        <w:lang w:val="en-us" w:eastAsia="en-us" w:bidi="en-us"/>
      </w:rPr>
    </w:lvl>
  </w:abstractNum>
  <w:abstractNum w:abstractNumId="119">
    <w:multiLevelType w:val="hybridMultilevel"/>
    <w:lvl w:ilvl="0">
      <w:start w:val="213"/>
      <w:numFmt w:val="decimal"/>
      <w:lvlText w:val="%1"/>
      <w:lvlJc w:val="left"/>
      <w:pPr>
        <w:ind w:left="2381" w:hanging="794"/>
        <w:jc w:val="right"/>
      </w:pPr>
      <w:rPr>
        <w:rFonts w:hint="default" w:ascii="Calibri" w:hAnsi="Calibri" w:eastAsia="Calibri" w:cs="Calibri"/>
        <w:spacing w:val="-7"/>
        <w:w w:val="109"/>
        <w:sz w:val="13"/>
        <w:szCs w:val="13"/>
        <w:lang w:val="en-us" w:eastAsia="en-us" w:bidi="en-us"/>
      </w:rPr>
    </w:lvl>
    <w:lvl w:ilvl="1">
      <w:start w:val="0"/>
      <w:numFmt w:val="bullet"/>
      <w:lvlText w:val="•"/>
      <w:lvlJc w:val="left"/>
      <w:pPr>
        <w:ind w:left="3169" w:hanging="794"/>
      </w:pPr>
      <w:rPr>
        <w:rFonts w:hint="default"/>
        <w:lang w:val="en-us" w:eastAsia="en-us" w:bidi="en-us"/>
      </w:rPr>
    </w:lvl>
    <w:lvl w:ilvl="2">
      <w:start w:val="0"/>
      <w:numFmt w:val="bullet"/>
      <w:lvlText w:val="•"/>
      <w:lvlJc w:val="left"/>
      <w:pPr>
        <w:ind w:left="3958" w:hanging="794"/>
      </w:pPr>
      <w:rPr>
        <w:rFonts w:hint="default"/>
        <w:lang w:val="en-us" w:eastAsia="en-us" w:bidi="en-us"/>
      </w:rPr>
    </w:lvl>
    <w:lvl w:ilvl="3">
      <w:start w:val="0"/>
      <w:numFmt w:val="bullet"/>
      <w:lvlText w:val="•"/>
      <w:lvlJc w:val="left"/>
      <w:pPr>
        <w:ind w:left="4748" w:hanging="794"/>
      </w:pPr>
      <w:rPr>
        <w:rFonts w:hint="default"/>
        <w:lang w:val="en-us" w:eastAsia="en-us" w:bidi="en-us"/>
      </w:rPr>
    </w:lvl>
    <w:lvl w:ilvl="4">
      <w:start w:val="0"/>
      <w:numFmt w:val="bullet"/>
      <w:lvlText w:val="•"/>
      <w:lvlJc w:val="left"/>
      <w:pPr>
        <w:ind w:left="5537" w:hanging="794"/>
      </w:pPr>
      <w:rPr>
        <w:rFonts w:hint="default"/>
        <w:lang w:val="en-us" w:eastAsia="en-us" w:bidi="en-us"/>
      </w:rPr>
    </w:lvl>
    <w:lvl w:ilvl="5">
      <w:start w:val="0"/>
      <w:numFmt w:val="bullet"/>
      <w:lvlText w:val="•"/>
      <w:lvlJc w:val="left"/>
      <w:pPr>
        <w:ind w:left="6327" w:hanging="794"/>
      </w:pPr>
      <w:rPr>
        <w:rFonts w:hint="default"/>
        <w:lang w:val="en-us" w:eastAsia="en-us" w:bidi="en-us"/>
      </w:rPr>
    </w:lvl>
    <w:lvl w:ilvl="6">
      <w:start w:val="0"/>
      <w:numFmt w:val="bullet"/>
      <w:lvlText w:val="•"/>
      <w:lvlJc w:val="left"/>
      <w:pPr>
        <w:ind w:left="7116" w:hanging="794"/>
      </w:pPr>
      <w:rPr>
        <w:rFonts w:hint="default"/>
        <w:lang w:val="en-us" w:eastAsia="en-us" w:bidi="en-us"/>
      </w:rPr>
    </w:lvl>
    <w:lvl w:ilvl="7">
      <w:start w:val="0"/>
      <w:numFmt w:val="bullet"/>
      <w:lvlText w:val="•"/>
      <w:lvlJc w:val="left"/>
      <w:pPr>
        <w:ind w:left="7906" w:hanging="794"/>
      </w:pPr>
      <w:rPr>
        <w:rFonts w:hint="default"/>
        <w:lang w:val="en-us" w:eastAsia="en-us" w:bidi="en-us"/>
      </w:rPr>
    </w:lvl>
    <w:lvl w:ilvl="8">
      <w:start w:val="0"/>
      <w:numFmt w:val="bullet"/>
      <w:lvlText w:val="•"/>
      <w:lvlJc w:val="left"/>
      <w:pPr>
        <w:ind w:left="8695" w:hanging="794"/>
      </w:pPr>
      <w:rPr>
        <w:rFonts w:hint="default"/>
        <w:lang w:val="en-us" w:eastAsia="en-us" w:bidi="en-us"/>
      </w:rPr>
    </w:lvl>
  </w:abstractNum>
  <w:abstractNum w:abstractNumId="118">
    <w:multiLevelType w:val="hybridMultilevel"/>
    <w:lvl w:ilvl="0">
      <w:start w:val="201"/>
      <w:numFmt w:val="decimal"/>
      <w:lvlText w:val="%1"/>
      <w:lvlJc w:val="left"/>
      <w:pPr>
        <w:ind w:left="1229" w:hanging="794"/>
        <w:jc w:val="left"/>
      </w:pPr>
      <w:rPr>
        <w:rFonts w:hint="default" w:ascii="Calibri" w:hAnsi="Calibri" w:eastAsia="Calibri" w:cs="Calibri"/>
        <w:spacing w:val="-3"/>
        <w:w w:val="109"/>
        <w:sz w:val="13"/>
        <w:szCs w:val="13"/>
        <w:lang w:val="en-us" w:eastAsia="en-us" w:bidi="en-us"/>
      </w:rPr>
    </w:lvl>
    <w:lvl w:ilvl="1">
      <w:start w:val="0"/>
      <w:numFmt w:val="bullet"/>
      <w:lvlText w:val="•"/>
      <w:lvlJc w:val="left"/>
      <w:pPr>
        <w:ind w:left="2173" w:hanging="794"/>
      </w:pPr>
      <w:rPr>
        <w:rFonts w:hint="default"/>
        <w:lang w:val="en-us" w:eastAsia="en-us" w:bidi="en-us"/>
      </w:rPr>
    </w:lvl>
    <w:lvl w:ilvl="2">
      <w:start w:val="0"/>
      <w:numFmt w:val="bullet"/>
      <w:lvlText w:val="•"/>
      <w:lvlJc w:val="left"/>
      <w:pPr>
        <w:ind w:left="3126" w:hanging="794"/>
      </w:pPr>
      <w:rPr>
        <w:rFonts w:hint="default"/>
        <w:lang w:val="en-us" w:eastAsia="en-us" w:bidi="en-us"/>
      </w:rPr>
    </w:lvl>
    <w:lvl w:ilvl="3">
      <w:start w:val="0"/>
      <w:numFmt w:val="bullet"/>
      <w:lvlText w:val="•"/>
      <w:lvlJc w:val="left"/>
      <w:pPr>
        <w:ind w:left="4080" w:hanging="794"/>
      </w:pPr>
      <w:rPr>
        <w:rFonts w:hint="default"/>
        <w:lang w:val="en-us" w:eastAsia="en-us" w:bidi="en-us"/>
      </w:rPr>
    </w:lvl>
    <w:lvl w:ilvl="4">
      <w:start w:val="0"/>
      <w:numFmt w:val="bullet"/>
      <w:lvlText w:val="•"/>
      <w:lvlJc w:val="left"/>
      <w:pPr>
        <w:ind w:left="5033" w:hanging="794"/>
      </w:pPr>
      <w:rPr>
        <w:rFonts w:hint="default"/>
        <w:lang w:val="en-us" w:eastAsia="en-us" w:bidi="en-us"/>
      </w:rPr>
    </w:lvl>
    <w:lvl w:ilvl="5">
      <w:start w:val="0"/>
      <w:numFmt w:val="bullet"/>
      <w:lvlText w:val="•"/>
      <w:lvlJc w:val="left"/>
      <w:pPr>
        <w:ind w:left="5986" w:hanging="794"/>
      </w:pPr>
      <w:rPr>
        <w:rFonts w:hint="default"/>
        <w:lang w:val="en-us" w:eastAsia="en-us" w:bidi="en-us"/>
      </w:rPr>
    </w:lvl>
    <w:lvl w:ilvl="6">
      <w:start w:val="0"/>
      <w:numFmt w:val="bullet"/>
      <w:lvlText w:val="•"/>
      <w:lvlJc w:val="left"/>
      <w:pPr>
        <w:ind w:left="6940" w:hanging="794"/>
      </w:pPr>
      <w:rPr>
        <w:rFonts w:hint="default"/>
        <w:lang w:val="en-us" w:eastAsia="en-us" w:bidi="en-us"/>
      </w:rPr>
    </w:lvl>
    <w:lvl w:ilvl="7">
      <w:start w:val="0"/>
      <w:numFmt w:val="bullet"/>
      <w:lvlText w:val="•"/>
      <w:lvlJc w:val="left"/>
      <w:pPr>
        <w:ind w:left="7893" w:hanging="794"/>
      </w:pPr>
      <w:rPr>
        <w:rFonts w:hint="default"/>
        <w:lang w:val="en-us" w:eastAsia="en-us" w:bidi="en-us"/>
      </w:rPr>
    </w:lvl>
    <w:lvl w:ilvl="8">
      <w:start w:val="0"/>
      <w:numFmt w:val="bullet"/>
      <w:lvlText w:val="•"/>
      <w:lvlJc w:val="left"/>
      <w:pPr>
        <w:ind w:left="8846" w:hanging="794"/>
      </w:pPr>
      <w:rPr>
        <w:rFonts w:hint="default"/>
        <w:lang w:val="en-us" w:eastAsia="en-us" w:bidi="en-us"/>
      </w:rPr>
    </w:lvl>
  </w:abstractNum>
  <w:abstractNum w:abstractNumId="117">
    <w:multiLevelType w:val="hybridMultilevel"/>
    <w:lvl w:ilvl="0">
      <w:start w:val="195"/>
      <w:numFmt w:val="decimal"/>
      <w:lvlText w:val="%1"/>
      <w:lvlJc w:val="left"/>
      <w:pPr>
        <w:ind w:left="2381"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3149" w:hanging="794"/>
      </w:pPr>
      <w:rPr>
        <w:rFonts w:hint="default"/>
        <w:lang w:val="en-us" w:eastAsia="en-us" w:bidi="en-us"/>
      </w:rPr>
    </w:lvl>
    <w:lvl w:ilvl="2">
      <w:start w:val="0"/>
      <w:numFmt w:val="bullet"/>
      <w:lvlText w:val="•"/>
      <w:lvlJc w:val="left"/>
      <w:pPr>
        <w:ind w:left="3918" w:hanging="794"/>
      </w:pPr>
      <w:rPr>
        <w:rFonts w:hint="default"/>
        <w:lang w:val="en-us" w:eastAsia="en-us" w:bidi="en-us"/>
      </w:rPr>
    </w:lvl>
    <w:lvl w:ilvl="3">
      <w:start w:val="0"/>
      <w:numFmt w:val="bullet"/>
      <w:lvlText w:val="•"/>
      <w:lvlJc w:val="left"/>
      <w:pPr>
        <w:ind w:left="4687" w:hanging="794"/>
      </w:pPr>
      <w:rPr>
        <w:rFonts w:hint="default"/>
        <w:lang w:val="en-us" w:eastAsia="en-us" w:bidi="en-us"/>
      </w:rPr>
    </w:lvl>
    <w:lvl w:ilvl="4">
      <w:start w:val="0"/>
      <w:numFmt w:val="bullet"/>
      <w:lvlText w:val="•"/>
      <w:lvlJc w:val="left"/>
      <w:pPr>
        <w:ind w:left="5456" w:hanging="794"/>
      </w:pPr>
      <w:rPr>
        <w:rFonts w:hint="default"/>
        <w:lang w:val="en-us" w:eastAsia="en-us" w:bidi="en-us"/>
      </w:rPr>
    </w:lvl>
    <w:lvl w:ilvl="5">
      <w:start w:val="0"/>
      <w:numFmt w:val="bullet"/>
      <w:lvlText w:val="•"/>
      <w:lvlJc w:val="left"/>
      <w:pPr>
        <w:ind w:left="6225" w:hanging="794"/>
      </w:pPr>
      <w:rPr>
        <w:rFonts w:hint="default"/>
        <w:lang w:val="en-us" w:eastAsia="en-us" w:bidi="en-us"/>
      </w:rPr>
    </w:lvl>
    <w:lvl w:ilvl="6">
      <w:start w:val="0"/>
      <w:numFmt w:val="bullet"/>
      <w:lvlText w:val="•"/>
      <w:lvlJc w:val="left"/>
      <w:pPr>
        <w:ind w:left="6994" w:hanging="794"/>
      </w:pPr>
      <w:rPr>
        <w:rFonts w:hint="default"/>
        <w:lang w:val="en-us" w:eastAsia="en-us" w:bidi="en-us"/>
      </w:rPr>
    </w:lvl>
    <w:lvl w:ilvl="7">
      <w:start w:val="0"/>
      <w:numFmt w:val="bullet"/>
      <w:lvlText w:val="•"/>
      <w:lvlJc w:val="left"/>
      <w:pPr>
        <w:ind w:left="7763" w:hanging="794"/>
      </w:pPr>
      <w:rPr>
        <w:rFonts w:hint="default"/>
        <w:lang w:val="en-us" w:eastAsia="en-us" w:bidi="en-us"/>
      </w:rPr>
    </w:lvl>
    <w:lvl w:ilvl="8">
      <w:start w:val="0"/>
      <w:numFmt w:val="bullet"/>
      <w:lvlText w:val="•"/>
      <w:lvlJc w:val="left"/>
      <w:pPr>
        <w:ind w:left="8532" w:hanging="794"/>
      </w:pPr>
      <w:rPr>
        <w:rFonts w:hint="default"/>
        <w:lang w:val="en-us" w:eastAsia="en-us" w:bidi="en-us"/>
      </w:rPr>
    </w:lvl>
  </w:abstractNum>
  <w:abstractNum w:abstractNumId="116">
    <w:multiLevelType w:val="hybridMultilevel"/>
    <w:lvl w:ilvl="0">
      <w:start w:val="174"/>
      <w:numFmt w:val="decimal"/>
      <w:lvlText w:val="%1"/>
      <w:lvlJc w:val="left"/>
      <w:pPr>
        <w:ind w:left="2381" w:hanging="794"/>
        <w:jc w:val="right"/>
      </w:pPr>
      <w:rPr>
        <w:rFonts w:hint="default" w:ascii="Calibri" w:hAnsi="Calibri" w:eastAsia="Calibri" w:cs="Calibri"/>
        <w:spacing w:val="-7"/>
        <w:w w:val="109"/>
        <w:sz w:val="13"/>
        <w:szCs w:val="13"/>
        <w:lang w:val="en-us" w:eastAsia="en-us" w:bidi="en-us"/>
      </w:rPr>
    </w:lvl>
    <w:lvl w:ilvl="1">
      <w:start w:val="0"/>
      <w:numFmt w:val="bullet"/>
      <w:lvlText w:val="•"/>
      <w:lvlJc w:val="left"/>
      <w:pPr>
        <w:ind w:left="3173" w:hanging="794"/>
      </w:pPr>
      <w:rPr>
        <w:rFonts w:hint="default"/>
        <w:lang w:val="en-us" w:eastAsia="en-us" w:bidi="en-us"/>
      </w:rPr>
    </w:lvl>
    <w:lvl w:ilvl="2">
      <w:start w:val="0"/>
      <w:numFmt w:val="bullet"/>
      <w:lvlText w:val="•"/>
      <w:lvlJc w:val="left"/>
      <w:pPr>
        <w:ind w:left="3967" w:hanging="794"/>
      </w:pPr>
      <w:rPr>
        <w:rFonts w:hint="default"/>
        <w:lang w:val="en-us" w:eastAsia="en-us" w:bidi="en-us"/>
      </w:rPr>
    </w:lvl>
    <w:lvl w:ilvl="3">
      <w:start w:val="0"/>
      <w:numFmt w:val="bullet"/>
      <w:lvlText w:val="•"/>
      <w:lvlJc w:val="left"/>
      <w:pPr>
        <w:ind w:left="4760" w:hanging="794"/>
      </w:pPr>
      <w:rPr>
        <w:rFonts w:hint="default"/>
        <w:lang w:val="en-us" w:eastAsia="en-us" w:bidi="en-us"/>
      </w:rPr>
    </w:lvl>
    <w:lvl w:ilvl="4">
      <w:start w:val="0"/>
      <w:numFmt w:val="bullet"/>
      <w:lvlText w:val="•"/>
      <w:lvlJc w:val="left"/>
      <w:pPr>
        <w:ind w:left="5554" w:hanging="794"/>
      </w:pPr>
      <w:rPr>
        <w:rFonts w:hint="default"/>
        <w:lang w:val="en-us" w:eastAsia="en-us" w:bidi="en-us"/>
      </w:rPr>
    </w:lvl>
    <w:lvl w:ilvl="5">
      <w:start w:val="0"/>
      <w:numFmt w:val="bullet"/>
      <w:lvlText w:val="•"/>
      <w:lvlJc w:val="left"/>
      <w:pPr>
        <w:ind w:left="6347" w:hanging="794"/>
      </w:pPr>
      <w:rPr>
        <w:rFonts w:hint="default"/>
        <w:lang w:val="en-us" w:eastAsia="en-us" w:bidi="en-us"/>
      </w:rPr>
    </w:lvl>
    <w:lvl w:ilvl="6">
      <w:start w:val="0"/>
      <w:numFmt w:val="bullet"/>
      <w:lvlText w:val="•"/>
      <w:lvlJc w:val="left"/>
      <w:pPr>
        <w:ind w:left="7141" w:hanging="794"/>
      </w:pPr>
      <w:rPr>
        <w:rFonts w:hint="default"/>
        <w:lang w:val="en-us" w:eastAsia="en-us" w:bidi="en-us"/>
      </w:rPr>
    </w:lvl>
    <w:lvl w:ilvl="7">
      <w:start w:val="0"/>
      <w:numFmt w:val="bullet"/>
      <w:lvlText w:val="•"/>
      <w:lvlJc w:val="left"/>
      <w:pPr>
        <w:ind w:left="7935" w:hanging="794"/>
      </w:pPr>
      <w:rPr>
        <w:rFonts w:hint="default"/>
        <w:lang w:val="en-us" w:eastAsia="en-us" w:bidi="en-us"/>
      </w:rPr>
    </w:lvl>
    <w:lvl w:ilvl="8">
      <w:start w:val="0"/>
      <w:numFmt w:val="bullet"/>
      <w:lvlText w:val="•"/>
      <w:lvlJc w:val="left"/>
      <w:pPr>
        <w:ind w:left="8728" w:hanging="794"/>
      </w:pPr>
      <w:rPr>
        <w:rFonts w:hint="default"/>
        <w:lang w:val="en-us" w:eastAsia="en-us" w:bidi="en-us"/>
      </w:rPr>
    </w:lvl>
  </w:abstractNum>
  <w:abstractNum w:abstractNumId="115">
    <w:multiLevelType w:val="hybridMultilevel"/>
    <w:lvl w:ilvl="0">
      <w:start w:val="168"/>
      <w:numFmt w:val="decimal"/>
      <w:lvlText w:val="%1"/>
      <w:lvlJc w:val="left"/>
      <w:pPr>
        <w:ind w:left="1226" w:hanging="794"/>
        <w:jc w:val="left"/>
      </w:pPr>
      <w:rPr>
        <w:rFonts w:hint="default" w:ascii="Calibri" w:hAnsi="Calibri" w:eastAsia="Calibri" w:cs="Calibri"/>
        <w:spacing w:val="-4"/>
        <w:w w:val="109"/>
        <w:sz w:val="13"/>
        <w:szCs w:val="13"/>
        <w:lang w:val="en-us" w:eastAsia="en-us" w:bidi="en-us"/>
      </w:rPr>
    </w:lvl>
    <w:lvl w:ilvl="1">
      <w:start w:val="0"/>
      <w:numFmt w:val="bullet"/>
      <w:lvlText w:val="•"/>
      <w:lvlJc w:val="left"/>
      <w:pPr>
        <w:ind w:left="2173" w:hanging="794"/>
      </w:pPr>
      <w:rPr>
        <w:rFonts w:hint="default"/>
        <w:lang w:val="en-us" w:eastAsia="en-us" w:bidi="en-us"/>
      </w:rPr>
    </w:lvl>
    <w:lvl w:ilvl="2">
      <w:start w:val="0"/>
      <w:numFmt w:val="bullet"/>
      <w:lvlText w:val="•"/>
      <w:lvlJc w:val="left"/>
      <w:pPr>
        <w:ind w:left="3126" w:hanging="794"/>
      </w:pPr>
      <w:rPr>
        <w:rFonts w:hint="default"/>
        <w:lang w:val="en-us" w:eastAsia="en-us" w:bidi="en-us"/>
      </w:rPr>
    </w:lvl>
    <w:lvl w:ilvl="3">
      <w:start w:val="0"/>
      <w:numFmt w:val="bullet"/>
      <w:lvlText w:val="•"/>
      <w:lvlJc w:val="left"/>
      <w:pPr>
        <w:ind w:left="4079" w:hanging="794"/>
      </w:pPr>
      <w:rPr>
        <w:rFonts w:hint="default"/>
        <w:lang w:val="en-us" w:eastAsia="en-us" w:bidi="en-us"/>
      </w:rPr>
    </w:lvl>
    <w:lvl w:ilvl="4">
      <w:start w:val="0"/>
      <w:numFmt w:val="bullet"/>
      <w:lvlText w:val="•"/>
      <w:lvlJc w:val="left"/>
      <w:pPr>
        <w:ind w:left="5032" w:hanging="794"/>
      </w:pPr>
      <w:rPr>
        <w:rFonts w:hint="default"/>
        <w:lang w:val="en-us" w:eastAsia="en-us" w:bidi="en-us"/>
      </w:rPr>
    </w:lvl>
    <w:lvl w:ilvl="5">
      <w:start w:val="0"/>
      <w:numFmt w:val="bullet"/>
      <w:lvlText w:val="•"/>
      <w:lvlJc w:val="left"/>
      <w:pPr>
        <w:ind w:left="5985" w:hanging="794"/>
      </w:pPr>
      <w:rPr>
        <w:rFonts w:hint="default"/>
        <w:lang w:val="en-us" w:eastAsia="en-us" w:bidi="en-us"/>
      </w:rPr>
    </w:lvl>
    <w:lvl w:ilvl="6">
      <w:start w:val="0"/>
      <w:numFmt w:val="bullet"/>
      <w:lvlText w:val="•"/>
      <w:lvlJc w:val="left"/>
      <w:pPr>
        <w:ind w:left="6938" w:hanging="794"/>
      </w:pPr>
      <w:rPr>
        <w:rFonts w:hint="default"/>
        <w:lang w:val="en-us" w:eastAsia="en-us" w:bidi="en-us"/>
      </w:rPr>
    </w:lvl>
    <w:lvl w:ilvl="7">
      <w:start w:val="0"/>
      <w:numFmt w:val="bullet"/>
      <w:lvlText w:val="•"/>
      <w:lvlJc w:val="left"/>
      <w:pPr>
        <w:ind w:left="7891" w:hanging="794"/>
      </w:pPr>
      <w:rPr>
        <w:rFonts w:hint="default"/>
        <w:lang w:val="en-us" w:eastAsia="en-us" w:bidi="en-us"/>
      </w:rPr>
    </w:lvl>
    <w:lvl w:ilvl="8">
      <w:start w:val="0"/>
      <w:numFmt w:val="bullet"/>
      <w:lvlText w:val="•"/>
      <w:lvlJc w:val="left"/>
      <w:pPr>
        <w:ind w:left="8844" w:hanging="794"/>
      </w:pPr>
      <w:rPr>
        <w:rFonts w:hint="default"/>
        <w:lang w:val="en-us" w:eastAsia="en-us" w:bidi="en-us"/>
      </w:rPr>
    </w:lvl>
  </w:abstractNum>
  <w:abstractNum w:abstractNumId="114">
    <w:multiLevelType w:val="hybridMultilevel"/>
    <w:lvl w:ilvl="0">
      <w:start w:val="161"/>
      <w:numFmt w:val="decimal"/>
      <w:lvlText w:val="%1"/>
      <w:lvlJc w:val="left"/>
      <w:pPr>
        <w:ind w:left="1226"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2173" w:hanging="794"/>
      </w:pPr>
      <w:rPr>
        <w:rFonts w:hint="default"/>
        <w:lang w:val="en-us" w:eastAsia="en-us" w:bidi="en-us"/>
      </w:rPr>
    </w:lvl>
    <w:lvl w:ilvl="2">
      <w:start w:val="0"/>
      <w:numFmt w:val="bullet"/>
      <w:lvlText w:val="•"/>
      <w:lvlJc w:val="left"/>
      <w:pPr>
        <w:ind w:left="3126" w:hanging="794"/>
      </w:pPr>
      <w:rPr>
        <w:rFonts w:hint="default"/>
        <w:lang w:val="en-us" w:eastAsia="en-us" w:bidi="en-us"/>
      </w:rPr>
    </w:lvl>
    <w:lvl w:ilvl="3">
      <w:start w:val="0"/>
      <w:numFmt w:val="bullet"/>
      <w:lvlText w:val="•"/>
      <w:lvlJc w:val="left"/>
      <w:pPr>
        <w:ind w:left="4079" w:hanging="794"/>
      </w:pPr>
      <w:rPr>
        <w:rFonts w:hint="default"/>
        <w:lang w:val="en-us" w:eastAsia="en-us" w:bidi="en-us"/>
      </w:rPr>
    </w:lvl>
    <w:lvl w:ilvl="4">
      <w:start w:val="0"/>
      <w:numFmt w:val="bullet"/>
      <w:lvlText w:val="•"/>
      <w:lvlJc w:val="left"/>
      <w:pPr>
        <w:ind w:left="5032" w:hanging="794"/>
      </w:pPr>
      <w:rPr>
        <w:rFonts w:hint="default"/>
        <w:lang w:val="en-us" w:eastAsia="en-us" w:bidi="en-us"/>
      </w:rPr>
    </w:lvl>
    <w:lvl w:ilvl="5">
      <w:start w:val="0"/>
      <w:numFmt w:val="bullet"/>
      <w:lvlText w:val="•"/>
      <w:lvlJc w:val="left"/>
      <w:pPr>
        <w:ind w:left="5985" w:hanging="794"/>
      </w:pPr>
      <w:rPr>
        <w:rFonts w:hint="default"/>
        <w:lang w:val="en-us" w:eastAsia="en-us" w:bidi="en-us"/>
      </w:rPr>
    </w:lvl>
    <w:lvl w:ilvl="6">
      <w:start w:val="0"/>
      <w:numFmt w:val="bullet"/>
      <w:lvlText w:val="•"/>
      <w:lvlJc w:val="left"/>
      <w:pPr>
        <w:ind w:left="6938" w:hanging="794"/>
      </w:pPr>
      <w:rPr>
        <w:rFonts w:hint="default"/>
        <w:lang w:val="en-us" w:eastAsia="en-us" w:bidi="en-us"/>
      </w:rPr>
    </w:lvl>
    <w:lvl w:ilvl="7">
      <w:start w:val="0"/>
      <w:numFmt w:val="bullet"/>
      <w:lvlText w:val="•"/>
      <w:lvlJc w:val="left"/>
      <w:pPr>
        <w:ind w:left="7891" w:hanging="794"/>
      </w:pPr>
      <w:rPr>
        <w:rFonts w:hint="default"/>
        <w:lang w:val="en-us" w:eastAsia="en-us" w:bidi="en-us"/>
      </w:rPr>
    </w:lvl>
    <w:lvl w:ilvl="8">
      <w:start w:val="0"/>
      <w:numFmt w:val="bullet"/>
      <w:lvlText w:val="•"/>
      <w:lvlJc w:val="left"/>
      <w:pPr>
        <w:ind w:left="8844" w:hanging="794"/>
      </w:pPr>
      <w:rPr>
        <w:rFonts w:hint="default"/>
        <w:lang w:val="en-us" w:eastAsia="en-us" w:bidi="en-us"/>
      </w:rPr>
    </w:lvl>
  </w:abstractNum>
  <w:abstractNum w:abstractNumId="113">
    <w:multiLevelType w:val="hybridMultilevel"/>
    <w:lvl w:ilvl="0">
      <w:start w:val="7"/>
      <w:numFmt w:val="decimal"/>
      <w:lvlText w:val="%1"/>
      <w:lvlJc w:val="left"/>
      <w:pPr>
        <w:ind w:left="2381" w:hanging="794"/>
        <w:jc w:val="left"/>
      </w:pPr>
      <w:rPr>
        <w:rFonts w:hint="default"/>
        <w:lang w:val="en-us" w:eastAsia="en-us" w:bidi="en-us"/>
      </w:rPr>
    </w:lvl>
    <w:lvl w:ilvl="1">
      <w:start w:val="81"/>
      <w:numFmt w:val="decimal"/>
      <w:lvlText w:val="%1.%2"/>
      <w:lvlJc w:val="left"/>
      <w:pPr>
        <w:ind w:left="2381" w:hanging="794"/>
        <w:jc w:val="left"/>
      </w:pPr>
      <w:rPr>
        <w:rFonts w:hint="default" w:ascii="Calibri" w:hAnsi="Calibri" w:eastAsia="Calibri" w:cs="Calibri"/>
        <w:spacing w:val="-23"/>
        <w:w w:val="109"/>
        <w:sz w:val="21"/>
        <w:szCs w:val="21"/>
        <w:lang w:val="en-us" w:eastAsia="en-us" w:bidi="en-us"/>
      </w:rPr>
    </w:lvl>
    <w:lvl w:ilvl="2">
      <w:start w:val="0"/>
      <w:numFmt w:val="bullet"/>
      <w:lvlText w:val="•"/>
      <w:lvlJc w:val="left"/>
      <w:pPr>
        <w:ind w:left="2721" w:hanging="341"/>
      </w:pPr>
      <w:rPr>
        <w:rFonts w:hint="default" w:ascii="Calibri" w:hAnsi="Calibri" w:eastAsia="Calibri" w:cs="Calibri"/>
        <w:w w:val="100"/>
        <w:sz w:val="21"/>
        <w:szCs w:val="21"/>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112">
    <w:multiLevelType w:val="hybridMultilevel"/>
    <w:lvl w:ilvl="0">
      <w:start w:val="132"/>
      <w:numFmt w:val="decimal"/>
      <w:lvlText w:val="%1"/>
      <w:lvlJc w:val="left"/>
      <w:pPr>
        <w:ind w:left="1222" w:hanging="794"/>
        <w:jc w:val="left"/>
      </w:pPr>
      <w:rPr>
        <w:rFonts w:hint="default" w:ascii="Calibri" w:hAnsi="Calibri" w:eastAsia="Calibri" w:cs="Calibri"/>
        <w:spacing w:val="-7"/>
        <w:w w:val="109"/>
        <w:sz w:val="13"/>
        <w:szCs w:val="13"/>
        <w:lang w:val="en-us" w:eastAsia="en-us" w:bidi="en-us"/>
      </w:rPr>
    </w:lvl>
    <w:lvl w:ilvl="1">
      <w:start w:val="0"/>
      <w:numFmt w:val="bullet"/>
      <w:lvlText w:val="•"/>
      <w:lvlJc w:val="left"/>
      <w:pPr>
        <w:ind w:left="2172" w:hanging="794"/>
      </w:pPr>
      <w:rPr>
        <w:rFonts w:hint="default"/>
        <w:lang w:val="en-us" w:eastAsia="en-us" w:bidi="en-us"/>
      </w:rPr>
    </w:lvl>
    <w:lvl w:ilvl="2">
      <w:start w:val="0"/>
      <w:numFmt w:val="bullet"/>
      <w:lvlText w:val="•"/>
      <w:lvlJc w:val="left"/>
      <w:pPr>
        <w:ind w:left="3125" w:hanging="794"/>
      </w:pPr>
      <w:rPr>
        <w:rFonts w:hint="default"/>
        <w:lang w:val="en-us" w:eastAsia="en-us" w:bidi="en-us"/>
      </w:rPr>
    </w:lvl>
    <w:lvl w:ilvl="3">
      <w:start w:val="0"/>
      <w:numFmt w:val="bullet"/>
      <w:lvlText w:val="•"/>
      <w:lvlJc w:val="left"/>
      <w:pPr>
        <w:ind w:left="4078" w:hanging="794"/>
      </w:pPr>
      <w:rPr>
        <w:rFonts w:hint="default"/>
        <w:lang w:val="en-us" w:eastAsia="en-us" w:bidi="en-us"/>
      </w:rPr>
    </w:lvl>
    <w:lvl w:ilvl="4">
      <w:start w:val="0"/>
      <w:numFmt w:val="bullet"/>
      <w:lvlText w:val="•"/>
      <w:lvlJc w:val="left"/>
      <w:pPr>
        <w:ind w:left="5030" w:hanging="794"/>
      </w:pPr>
      <w:rPr>
        <w:rFonts w:hint="default"/>
        <w:lang w:val="en-us" w:eastAsia="en-us" w:bidi="en-us"/>
      </w:rPr>
    </w:lvl>
    <w:lvl w:ilvl="5">
      <w:start w:val="0"/>
      <w:numFmt w:val="bullet"/>
      <w:lvlText w:val="•"/>
      <w:lvlJc w:val="left"/>
      <w:pPr>
        <w:ind w:left="5983" w:hanging="794"/>
      </w:pPr>
      <w:rPr>
        <w:rFonts w:hint="default"/>
        <w:lang w:val="en-us" w:eastAsia="en-us" w:bidi="en-us"/>
      </w:rPr>
    </w:lvl>
    <w:lvl w:ilvl="6">
      <w:start w:val="0"/>
      <w:numFmt w:val="bullet"/>
      <w:lvlText w:val="•"/>
      <w:lvlJc w:val="left"/>
      <w:pPr>
        <w:ind w:left="6936" w:hanging="794"/>
      </w:pPr>
      <w:rPr>
        <w:rFonts w:hint="default"/>
        <w:lang w:val="en-us" w:eastAsia="en-us" w:bidi="en-us"/>
      </w:rPr>
    </w:lvl>
    <w:lvl w:ilvl="7">
      <w:start w:val="0"/>
      <w:numFmt w:val="bullet"/>
      <w:lvlText w:val="•"/>
      <w:lvlJc w:val="left"/>
      <w:pPr>
        <w:ind w:left="7888" w:hanging="794"/>
      </w:pPr>
      <w:rPr>
        <w:rFonts w:hint="default"/>
        <w:lang w:val="en-us" w:eastAsia="en-us" w:bidi="en-us"/>
      </w:rPr>
    </w:lvl>
    <w:lvl w:ilvl="8">
      <w:start w:val="0"/>
      <w:numFmt w:val="bullet"/>
      <w:lvlText w:val="•"/>
      <w:lvlJc w:val="left"/>
      <w:pPr>
        <w:ind w:left="8841" w:hanging="794"/>
      </w:pPr>
      <w:rPr>
        <w:rFonts w:hint="default"/>
        <w:lang w:val="en-us" w:eastAsia="en-us" w:bidi="en-us"/>
      </w:rPr>
    </w:lvl>
  </w:abstractNum>
  <w:abstractNum w:abstractNumId="111">
    <w:multiLevelType w:val="hybridMultilevel"/>
    <w:lvl w:ilvl="0">
      <w:start w:val="7"/>
      <w:numFmt w:val="decimal"/>
      <w:lvlText w:val="%1"/>
      <w:lvlJc w:val="left"/>
      <w:pPr>
        <w:ind w:left="2381" w:hanging="794"/>
        <w:jc w:val="left"/>
      </w:pPr>
      <w:rPr>
        <w:rFonts w:hint="default"/>
        <w:lang w:val="en-us" w:eastAsia="en-us" w:bidi="en-us"/>
      </w:rPr>
    </w:lvl>
    <w:lvl w:ilvl="1">
      <w:start w:val="66"/>
      <w:numFmt w:val="decimal"/>
      <w:lvlText w:val="%1.%2"/>
      <w:lvlJc w:val="left"/>
      <w:pPr>
        <w:ind w:left="2381" w:hanging="794"/>
        <w:jc w:val="left"/>
      </w:pPr>
      <w:rPr>
        <w:rFonts w:hint="default" w:ascii="Calibri" w:hAnsi="Calibri" w:eastAsia="Calibri" w:cs="Calibri"/>
        <w:spacing w:val="-23"/>
        <w:w w:val="109"/>
        <w:sz w:val="21"/>
        <w:szCs w:val="21"/>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110">
    <w:multiLevelType w:val="hybridMultilevel"/>
    <w:lvl w:ilvl="0">
      <w:start w:val="110"/>
      <w:numFmt w:val="decimal"/>
      <w:lvlText w:val="%1"/>
      <w:lvlJc w:val="left"/>
      <w:pPr>
        <w:ind w:left="1226" w:hanging="794"/>
        <w:jc w:val="left"/>
      </w:pPr>
      <w:rPr>
        <w:rFonts w:hint="default" w:ascii="Calibri" w:hAnsi="Calibri" w:eastAsia="Calibri" w:cs="Calibri"/>
        <w:spacing w:val="-11"/>
        <w:w w:val="109"/>
        <w:sz w:val="13"/>
        <w:szCs w:val="13"/>
        <w:lang w:val="en-us" w:eastAsia="en-us" w:bidi="en-us"/>
      </w:rPr>
    </w:lvl>
    <w:lvl w:ilvl="1">
      <w:start w:val="0"/>
      <w:numFmt w:val="bullet"/>
      <w:lvlText w:val="•"/>
      <w:lvlJc w:val="left"/>
      <w:pPr>
        <w:ind w:left="2173" w:hanging="794"/>
      </w:pPr>
      <w:rPr>
        <w:rFonts w:hint="default"/>
        <w:lang w:val="en-us" w:eastAsia="en-us" w:bidi="en-us"/>
      </w:rPr>
    </w:lvl>
    <w:lvl w:ilvl="2">
      <w:start w:val="0"/>
      <w:numFmt w:val="bullet"/>
      <w:lvlText w:val="•"/>
      <w:lvlJc w:val="left"/>
      <w:pPr>
        <w:ind w:left="3126" w:hanging="794"/>
      </w:pPr>
      <w:rPr>
        <w:rFonts w:hint="default"/>
        <w:lang w:val="en-us" w:eastAsia="en-us" w:bidi="en-us"/>
      </w:rPr>
    </w:lvl>
    <w:lvl w:ilvl="3">
      <w:start w:val="0"/>
      <w:numFmt w:val="bullet"/>
      <w:lvlText w:val="•"/>
      <w:lvlJc w:val="left"/>
      <w:pPr>
        <w:ind w:left="4079" w:hanging="794"/>
      </w:pPr>
      <w:rPr>
        <w:rFonts w:hint="default"/>
        <w:lang w:val="en-us" w:eastAsia="en-us" w:bidi="en-us"/>
      </w:rPr>
    </w:lvl>
    <w:lvl w:ilvl="4">
      <w:start w:val="0"/>
      <w:numFmt w:val="bullet"/>
      <w:lvlText w:val="•"/>
      <w:lvlJc w:val="left"/>
      <w:pPr>
        <w:ind w:left="5032" w:hanging="794"/>
      </w:pPr>
      <w:rPr>
        <w:rFonts w:hint="default"/>
        <w:lang w:val="en-us" w:eastAsia="en-us" w:bidi="en-us"/>
      </w:rPr>
    </w:lvl>
    <w:lvl w:ilvl="5">
      <w:start w:val="0"/>
      <w:numFmt w:val="bullet"/>
      <w:lvlText w:val="•"/>
      <w:lvlJc w:val="left"/>
      <w:pPr>
        <w:ind w:left="5985" w:hanging="794"/>
      </w:pPr>
      <w:rPr>
        <w:rFonts w:hint="default"/>
        <w:lang w:val="en-us" w:eastAsia="en-us" w:bidi="en-us"/>
      </w:rPr>
    </w:lvl>
    <w:lvl w:ilvl="6">
      <w:start w:val="0"/>
      <w:numFmt w:val="bullet"/>
      <w:lvlText w:val="•"/>
      <w:lvlJc w:val="left"/>
      <w:pPr>
        <w:ind w:left="6938" w:hanging="794"/>
      </w:pPr>
      <w:rPr>
        <w:rFonts w:hint="default"/>
        <w:lang w:val="en-us" w:eastAsia="en-us" w:bidi="en-us"/>
      </w:rPr>
    </w:lvl>
    <w:lvl w:ilvl="7">
      <w:start w:val="0"/>
      <w:numFmt w:val="bullet"/>
      <w:lvlText w:val="•"/>
      <w:lvlJc w:val="left"/>
      <w:pPr>
        <w:ind w:left="7891" w:hanging="794"/>
      </w:pPr>
      <w:rPr>
        <w:rFonts w:hint="default"/>
        <w:lang w:val="en-us" w:eastAsia="en-us" w:bidi="en-us"/>
      </w:rPr>
    </w:lvl>
    <w:lvl w:ilvl="8">
      <w:start w:val="0"/>
      <w:numFmt w:val="bullet"/>
      <w:lvlText w:val="•"/>
      <w:lvlJc w:val="left"/>
      <w:pPr>
        <w:ind w:left="8844" w:hanging="794"/>
      </w:pPr>
      <w:rPr>
        <w:rFonts w:hint="default"/>
        <w:lang w:val="en-us" w:eastAsia="en-us" w:bidi="en-us"/>
      </w:rPr>
    </w:lvl>
  </w:abstractNum>
  <w:abstractNum w:abstractNumId="109">
    <w:multiLevelType w:val="hybridMultilevel"/>
    <w:lvl w:ilvl="0">
      <w:start w:val="100"/>
      <w:numFmt w:val="decimal"/>
      <w:lvlText w:val="%1"/>
      <w:lvlJc w:val="left"/>
      <w:pPr>
        <w:ind w:left="2381" w:hanging="794"/>
        <w:jc w:val="right"/>
      </w:pPr>
      <w:rPr>
        <w:rFonts w:hint="default" w:ascii="Calibri" w:hAnsi="Calibri" w:eastAsia="Calibri" w:cs="Calibri"/>
        <w:spacing w:val="-4"/>
        <w:w w:val="109"/>
        <w:sz w:val="13"/>
        <w:szCs w:val="13"/>
        <w:lang w:val="en-us" w:eastAsia="en-us" w:bidi="en-us"/>
      </w:rPr>
    </w:lvl>
    <w:lvl w:ilvl="1">
      <w:start w:val="0"/>
      <w:numFmt w:val="bullet"/>
      <w:lvlText w:val="•"/>
      <w:lvlJc w:val="left"/>
      <w:pPr>
        <w:ind w:left="3170" w:hanging="794"/>
      </w:pPr>
      <w:rPr>
        <w:rFonts w:hint="default"/>
        <w:lang w:val="en-us" w:eastAsia="en-us" w:bidi="en-us"/>
      </w:rPr>
    </w:lvl>
    <w:lvl w:ilvl="2">
      <w:start w:val="0"/>
      <w:numFmt w:val="bullet"/>
      <w:lvlText w:val="•"/>
      <w:lvlJc w:val="left"/>
      <w:pPr>
        <w:ind w:left="3961" w:hanging="794"/>
      </w:pPr>
      <w:rPr>
        <w:rFonts w:hint="default"/>
        <w:lang w:val="en-us" w:eastAsia="en-us" w:bidi="en-us"/>
      </w:rPr>
    </w:lvl>
    <w:lvl w:ilvl="3">
      <w:start w:val="0"/>
      <w:numFmt w:val="bullet"/>
      <w:lvlText w:val="•"/>
      <w:lvlJc w:val="left"/>
      <w:pPr>
        <w:ind w:left="4752" w:hanging="794"/>
      </w:pPr>
      <w:rPr>
        <w:rFonts w:hint="default"/>
        <w:lang w:val="en-us" w:eastAsia="en-us" w:bidi="en-us"/>
      </w:rPr>
    </w:lvl>
    <w:lvl w:ilvl="4">
      <w:start w:val="0"/>
      <w:numFmt w:val="bullet"/>
      <w:lvlText w:val="•"/>
      <w:lvlJc w:val="left"/>
      <w:pPr>
        <w:ind w:left="5543" w:hanging="794"/>
      </w:pPr>
      <w:rPr>
        <w:rFonts w:hint="default"/>
        <w:lang w:val="en-us" w:eastAsia="en-us" w:bidi="en-us"/>
      </w:rPr>
    </w:lvl>
    <w:lvl w:ilvl="5">
      <w:start w:val="0"/>
      <w:numFmt w:val="bullet"/>
      <w:lvlText w:val="•"/>
      <w:lvlJc w:val="left"/>
      <w:pPr>
        <w:ind w:left="6334" w:hanging="794"/>
      </w:pPr>
      <w:rPr>
        <w:rFonts w:hint="default"/>
        <w:lang w:val="en-us" w:eastAsia="en-us" w:bidi="en-us"/>
      </w:rPr>
    </w:lvl>
    <w:lvl w:ilvl="6">
      <w:start w:val="0"/>
      <w:numFmt w:val="bullet"/>
      <w:lvlText w:val="•"/>
      <w:lvlJc w:val="left"/>
      <w:pPr>
        <w:ind w:left="7125" w:hanging="794"/>
      </w:pPr>
      <w:rPr>
        <w:rFonts w:hint="default"/>
        <w:lang w:val="en-us" w:eastAsia="en-us" w:bidi="en-us"/>
      </w:rPr>
    </w:lvl>
    <w:lvl w:ilvl="7">
      <w:start w:val="0"/>
      <w:numFmt w:val="bullet"/>
      <w:lvlText w:val="•"/>
      <w:lvlJc w:val="left"/>
      <w:pPr>
        <w:ind w:left="7916" w:hanging="794"/>
      </w:pPr>
      <w:rPr>
        <w:rFonts w:hint="default"/>
        <w:lang w:val="en-us" w:eastAsia="en-us" w:bidi="en-us"/>
      </w:rPr>
    </w:lvl>
    <w:lvl w:ilvl="8">
      <w:start w:val="0"/>
      <w:numFmt w:val="bullet"/>
      <w:lvlText w:val="•"/>
      <w:lvlJc w:val="left"/>
      <w:pPr>
        <w:ind w:left="8707" w:hanging="794"/>
      </w:pPr>
      <w:rPr>
        <w:rFonts w:hint="default"/>
        <w:lang w:val="en-us" w:eastAsia="en-us" w:bidi="en-us"/>
      </w:rPr>
    </w:lvl>
  </w:abstractNum>
  <w:abstractNum w:abstractNumId="108">
    <w:multiLevelType w:val="hybridMultilevel"/>
    <w:lvl w:ilvl="0">
      <w:start w:val="15"/>
      <w:numFmt w:val="decimal"/>
      <w:lvlText w:val="%1"/>
      <w:lvlJc w:val="left"/>
      <w:pPr>
        <w:ind w:left="2381" w:hanging="794"/>
        <w:jc w:val="right"/>
      </w:pPr>
      <w:rPr>
        <w:rFonts w:hint="default" w:ascii="Calibri" w:hAnsi="Calibri" w:eastAsia="Calibri" w:cs="Calibri"/>
        <w:spacing w:val="-6"/>
        <w:w w:val="109"/>
        <w:sz w:val="13"/>
        <w:szCs w:val="13"/>
        <w:lang w:val="en-us" w:eastAsia="en-us" w:bidi="en-us"/>
      </w:rPr>
    </w:lvl>
    <w:lvl w:ilvl="1">
      <w:start w:val="0"/>
      <w:numFmt w:val="bullet"/>
      <w:lvlText w:val="•"/>
      <w:lvlJc w:val="left"/>
      <w:pPr>
        <w:ind w:left="3172" w:hanging="794"/>
      </w:pPr>
      <w:rPr>
        <w:rFonts w:hint="default"/>
        <w:lang w:val="en-us" w:eastAsia="en-us" w:bidi="en-us"/>
      </w:rPr>
    </w:lvl>
    <w:lvl w:ilvl="2">
      <w:start w:val="0"/>
      <w:numFmt w:val="bullet"/>
      <w:lvlText w:val="•"/>
      <w:lvlJc w:val="left"/>
      <w:pPr>
        <w:ind w:left="3964" w:hanging="794"/>
      </w:pPr>
      <w:rPr>
        <w:rFonts w:hint="default"/>
        <w:lang w:val="en-us" w:eastAsia="en-us" w:bidi="en-us"/>
      </w:rPr>
    </w:lvl>
    <w:lvl w:ilvl="3">
      <w:start w:val="0"/>
      <w:numFmt w:val="bullet"/>
      <w:lvlText w:val="•"/>
      <w:lvlJc w:val="left"/>
      <w:pPr>
        <w:ind w:left="4757" w:hanging="794"/>
      </w:pPr>
      <w:rPr>
        <w:rFonts w:hint="default"/>
        <w:lang w:val="en-us" w:eastAsia="en-us" w:bidi="en-us"/>
      </w:rPr>
    </w:lvl>
    <w:lvl w:ilvl="4">
      <w:start w:val="0"/>
      <w:numFmt w:val="bullet"/>
      <w:lvlText w:val="•"/>
      <w:lvlJc w:val="left"/>
      <w:pPr>
        <w:ind w:left="5549" w:hanging="794"/>
      </w:pPr>
      <w:rPr>
        <w:rFonts w:hint="default"/>
        <w:lang w:val="en-us" w:eastAsia="en-us" w:bidi="en-us"/>
      </w:rPr>
    </w:lvl>
    <w:lvl w:ilvl="5">
      <w:start w:val="0"/>
      <w:numFmt w:val="bullet"/>
      <w:lvlText w:val="•"/>
      <w:lvlJc w:val="left"/>
      <w:pPr>
        <w:ind w:left="6341" w:hanging="794"/>
      </w:pPr>
      <w:rPr>
        <w:rFonts w:hint="default"/>
        <w:lang w:val="en-us" w:eastAsia="en-us" w:bidi="en-us"/>
      </w:rPr>
    </w:lvl>
    <w:lvl w:ilvl="6">
      <w:start w:val="0"/>
      <w:numFmt w:val="bullet"/>
      <w:lvlText w:val="•"/>
      <w:lvlJc w:val="left"/>
      <w:pPr>
        <w:ind w:left="7134" w:hanging="794"/>
      </w:pPr>
      <w:rPr>
        <w:rFonts w:hint="default"/>
        <w:lang w:val="en-us" w:eastAsia="en-us" w:bidi="en-us"/>
      </w:rPr>
    </w:lvl>
    <w:lvl w:ilvl="7">
      <w:start w:val="0"/>
      <w:numFmt w:val="bullet"/>
      <w:lvlText w:val="•"/>
      <w:lvlJc w:val="left"/>
      <w:pPr>
        <w:ind w:left="7926" w:hanging="794"/>
      </w:pPr>
      <w:rPr>
        <w:rFonts w:hint="default"/>
        <w:lang w:val="en-us" w:eastAsia="en-us" w:bidi="en-us"/>
      </w:rPr>
    </w:lvl>
    <w:lvl w:ilvl="8">
      <w:start w:val="0"/>
      <w:numFmt w:val="bullet"/>
      <w:lvlText w:val="•"/>
      <w:lvlJc w:val="left"/>
      <w:pPr>
        <w:ind w:left="8718" w:hanging="794"/>
      </w:pPr>
      <w:rPr>
        <w:rFonts w:hint="default"/>
        <w:lang w:val="en-us" w:eastAsia="en-us" w:bidi="en-us"/>
      </w:rPr>
    </w:lvl>
  </w:abstractNum>
  <w:abstractNum w:abstractNumId="107">
    <w:multiLevelType w:val="hybridMultilevel"/>
    <w:lvl w:ilvl="0">
      <w:start w:val="1"/>
      <w:numFmt w:val="decimal"/>
      <w:lvlText w:val="%1"/>
      <w:lvlJc w:val="left"/>
      <w:pPr>
        <w:ind w:left="1228" w:hanging="794"/>
        <w:jc w:val="right"/>
      </w:pPr>
      <w:rPr>
        <w:rFonts w:hint="default" w:ascii="Calibri" w:hAnsi="Calibri" w:eastAsia="Calibri" w:cs="Calibri"/>
        <w:w w:val="109"/>
        <w:sz w:val="13"/>
        <w:szCs w:val="13"/>
        <w:lang w:val="en-us" w:eastAsia="en-us" w:bidi="en-us"/>
      </w:rPr>
    </w:lvl>
    <w:lvl w:ilvl="1">
      <w:start w:val="0"/>
      <w:numFmt w:val="bullet"/>
      <w:lvlText w:val="•"/>
      <w:lvlJc w:val="left"/>
      <w:pPr>
        <w:ind w:left="2173" w:hanging="794"/>
      </w:pPr>
      <w:rPr>
        <w:rFonts w:hint="default"/>
        <w:lang w:val="en-us" w:eastAsia="en-us" w:bidi="en-us"/>
      </w:rPr>
    </w:lvl>
    <w:lvl w:ilvl="2">
      <w:start w:val="0"/>
      <w:numFmt w:val="bullet"/>
      <w:lvlText w:val="•"/>
      <w:lvlJc w:val="left"/>
      <w:pPr>
        <w:ind w:left="3126" w:hanging="794"/>
      </w:pPr>
      <w:rPr>
        <w:rFonts w:hint="default"/>
        <w:lang w:val="en-us" w:eastAsia="en-us" w:bidi="en-us"/>
      </w:rPr>
    </w:lvl>
    <w:lvl w:ilvl="3">
      <w:start w:val="0"/>
      <w:numFmt w:val="bullet"/>
      <w:lvlText w:val="•"/>
      <w:lvlJc w:val="left"/>
      <w:pPr>
        <w:ind w:left="4079" w:hanging="794"/>
      </w:pPr>
      <w:rPr>
        <w:rFonts w:hint="default"/>
        <w:lang w:val="en-us" w:eastAsia="en-us" w:bidi="en-us"/>
      </w:rPr>
    </w:lvl>
    <w:lvl w:ilvl="4">
      <w:start w:val="0"/>
      <w:numFmt w:val="bullet"/>
      <w:lvlText w:val="•"/>
      <w:lvlJc w:val="left"/>
      <w:pPr>
        <w:ind w:left="5033" w:hanging="794"/>
      </w:pPr>
      <w:rPr>
        <w:rFonts w:hint="default"/>
        <w:lang w:val="en-us" w:eastAsia="en-us" w:bidi="en-us"/>
      </w:rPr>
    </w:lvl>
    <w:lvl w:ilvl="5">
      <w:start w:val="0"/>
      <w:numFmt w:val="bullet"/>
      <w:lvlText w:val="•"/>
      <w:lvlJc w:val="left"/>
      <w:pPr>
        <w:ind w:left="5986" w:hanging="794"/>
      </w:pPr>
      <w:rPr>
        <w:rFonts w:hint="default"/>
        <w:lang w:val="en-us" w:eastAsia="en-us" w:bidi="en-us"/>
      </w:rPr>
    </w:lvl>
    <w:lvl w:ilvl="6">
      <w:start w:val="0"/>
      <w:numFmt w:val="bullet"/>
      <w:lvlText w:val="•"/>
      <w:lvlJc w:val="left"/>
      <w:pPr>
        <w:ind w:left="6939" w:hanging="794"/>
      </w:pPr>
      <w:rPr>
        <w:rFonts w:hint="default"/>
        <w:lang w:val="en-us" w:eastAsia="en-us" w:bidi="en-us"/>
      </w:rPr>
    </w:lvl>
    <w:lvl w:ilvl="7">
      <w:start w:val="0"/>
      <w:numFmt w:val="bullet"/>
      <w:lvlText w:val="•"/>
      <w:lvlJc w:val="left"/>
      <w:pPr>
        <w:ind w:left="7893" w:hanging="794"/>
      </w:pPr>
      <w:rPr>
        <w:rFonts w:hint="default"/>
        <w:lang w:val="en-us" w:eastAsia="en-us" w:bidi="en-us"/>
      </w:rPr>
    </w:lvl>
    <w:lvl w:ilvl="8">
      <w:start w:val="0"/>
      <w:numFmt w:val="bullet"/>
      <w:lvlText w:val="•"/>
      <w:lvlJc w:val="left"/>
      <w:pPr>
        <w:ind w:left="8846" w:hanging="794"/>
      </w:pPr>
      <w:rPr>
        <w:rFonts w:hint="default"/>
        <w:lang w:val="en-us" w:eastAsia="en-us" w:bidi="en-us"/>
      </w:rPr>
    </w:lvl>
  </w:abstractNum>
  <w:abstractNum w:abstractNumId="106">
    <w:multiLevelType w:val="hybridMultilevel"/>
    <w:lvl w:ilvl="0">
      <w:start w:val="178"/>
      <w:numFmt w:val="decimal"/>
      <w:lvlText w:val="%1"/>
      <w:lvlJc w:val="left"/>
      <w:pPr>
        <w:ind w:left="2381" w:hanging="794"/>
        <w:jc w:val="left"/>
      </w:pPr>
      <w:rPr>
        <w:rFonts w:hint="default" w:ascii="Calibri" w:hAnsi="Calibri" w:eastAsia="Calibri" w:cs="Calibri"/>
        <w:spacing w:val="-7"/>
        <w:w w:val="109"/>
        <w:sz w:val="13"/>
        <w:szCs w:val="13"/>
        <w:lang w:val="en-us" w:eastAsia="en-us" w:bidi="en-us"/>
      </w:rPr>
    </w:lvl>
    <w:lvl w:ilvl="1">
      <w:start w:val="0"/>
      <w:numFmt w:val="bullet"/>
      <w:lvlText w:val="•"/>
      <w:lvlJc w:val="left"/>
      <w:pPr>
        <w:ind w:left="3172" w:hanging="794"/>
      </w:pPr>
      <w:rPr>
        <w:rFonts w:hint="default"/>
        <w:lang w:val="en-us" w:eastAsia="en-us" w:bidi="en-us"/>
      </w:rPr>
    </w:lvl>
    <w:lvl w:ilvl="2">
      <w:start w:val="0"/>
      <w:numFmt w:val="bullet"/>
      <w:lvlText w:val="•"/>
      <w:lvlJc w:val="left"/>
      <w:pPr>
        <w:ind w:left="3964" w:hanging="794"/>
      </w:pPr>
      <w:rPr>
        <w:rFonts w:hint="default"/>
        <w:lang w:val="en-us" w:eastAsia="en-us" w:bidi="en-us"/>
      </w:rPr>
    </w:lvl>
    <w:lvl w:ilvl="3">
      <w:start w:val="0"/>
      <w:numFmt w:val="bullet"/>
      <w:lvlText w:val="•"/>
      <w:lvlJc w:val="left"/>
      <w:pPr>
        <w:ind w:left="4756" w:hanging="794"/>
      </w:pPr>
      <w:rPr>
        <w:rFonts w:hint="default"/>
        <w:lang w:val="en-us" w:eastAsia="en-us" w:bidi="en-us"/>
      </w:rPr>
    </w:lvl>
    <w:lvl w:ilvl="4">
      <w:start w:val="0"/>
      <w:numFmt w:val="bullet"/>
      <w:lvlText w:val="•"/>
      <w:lvlJc w:val="left"/>
      <w:pPr>
        <w:ind w:left="5548" w:hanging="794"/>
      </w:pPr>
      <w:rPr>
        <w:rFonts w:hint="default"/>
        <w:lang w:val="en-us" w:eastAsia="en-us" w:bidi="en-us"/>
      </w:rPr>
    </w:lvl>
    <w:lvl w:ilvl="5">
      <w:start w:val="0"/>
      <w:numFmt w:val="bullet"/>
      <w:lvlText w:val="•"/>
      <w:lvlJc w:val="left"/>
      <w:pPr>
        <w:ind w:left="6341" w:hanging="794"/>
      </w:pPr>
      <w:rPr>
        <w:rFonts w:hint="default"/>
        <w:lang w:val="en-us" w:eastAsia="en-us" w:bidi="en-us"/>
      </w:rPr>
    </w:lvl>
    <w:lvl w:ilvl="6">
      <w:start w:val="0"/>
      <w:numFmt w:val="bullet"/>
      <w:lvlText w:val="•"/>
      <w:lvlJc w:val="left"/>
      <w:pPr>
        <w:ind w:left="7133" w:hanging="794"/>
      </w:pPr>
      <w:rPr>
        <w:rFonts w:hint="default"/>
        <w:lang w:val="en-us" w:eastAsia="en-us" w:bidi="en-us"/>
      </w:rPr>
    </w:lvl>
    <w:lvl w:ilvl="7">
      <w:start w:val="0"/>
      <w:numFmt w:val="bullet"/>
      <w:lvlText w:val="•"/>
      <w:lvlJc w:val="left"/>
      <w:pPr>
        <w:ind w:left="7925" w:hanging="794"/>
      </w:pPr>
      <w:rPr>
        <w:rFonts w:hint="default"/>
        <w:lang w:val="en-us" w:eastAsia="en-us" w:bidi="en-us"/>
      </w:rPr>
    </w:lvl>
    <w:lvl w:ilvl="8">
      <w:start w:val="0"/>
      <w:numFmt w:val="bullet"/>
      <w:lvlText w:val="•"/>
      <w:lvlJc w:val="left"/>
      <w:pPr>
        <w:ind w:left="8717" w:hanging="794"/>
      </w:pPr>
      <w:rPr>
        <w:rFonts w:hint="default"/>
        <w:lang w:val="en-us" w:eastAsia="en-us" w:bidi="en-us"/>
      </w:rPr>
    </w:lvl>
  </w:abstractNum>
  <w:abstractNum w:abstractNumId="105">
    <w:multiLevelType w:val="hybridMultilevel"/>
    <w:lvl w:ilvl="0">
      <w:start w:val="170"/>
      <w:numFmt w:val="decimal"/>
      <w:lvlText w:val="%1"/>
      <w:lvlJc w:val="left"/>
      <w:pPr>
        <w:ind w:left="1229" w:hanging="794"/>
        <w:jc w:val="left"/>
      </w:pPr>
      <w:rPr>
        <w:rFonts w:hint="default" w:ascii="Calibri" w:hAnsi="Calibri" w:eastAsia="Calibri" w:cs="Calibri"/>
        <w:spacing w:val="-7"/>
        <w:w w:val="109"/>
        <w:sz w:val="13"/>
        <w:szCs w:val="13"/>
        <w:lang w:val="en-us" w:eastAsia="en-us" w:bidi="en-us"/>
      </w:rPr>
    </w:lvl>
    <w:lvl w:ilvl="1">
      <w:start w:val="0"/>
      <w:numFmt w:val="bullet"/>
      <w:lvlText w:val="•"/>
      <w:lvlJc w:val="left"/>
      <w:pPr>
        <w:ind w:left="2173" w:hanging="794"/>
      </w:pPr>
      <w:rPr>
        <w:rFonts w:hint="default"/>
        <w:lang w:val="en-us" w:eastAsia="en-us" w:bidi="en-us"/>
      </w:rPr>
    </w:lvl>
    <w:lvl w:ilvl="2">
      <w:start w:val="0"/>
      <w:numFmt w:val="bullet"/>
      <w:lvlText w:val="•"/>
      <w:lvlJc w:val="left"/>
      <w:pPr>
        <w:ind w:left="3126" w:hanging="794"/>
      </w:pPr>
      <w:rPr>
        <w:rFonts w:hint="default"/>
        <w:lang w:val="en-us" w:eastAsia="en-us" w:bidi="en-us"/>
      </w:rPr>
    </w:lvl>
    <w:lvl w:ilvl="3">
      <w:start w:val="0"/>
      <w:numFmt w:val="bullet"/>
      <w:lvlText w:val="•"/>
      <w:lvlJc w:val="left"/>
      <w:pPr>
        <w:ind w:left="4080" w:hanging="794"/>
      </w:pPr>
      <w:rPr>
        <w:rFonts w:hint="default"/>
        <w:lang w:val="en-us" w:eastAsia="en-us" w:bidi="en-us"/>
      </w:rPr>
    </w:lvl>
    <w:lvl w:ilvl="4">
      <w:start w:val="0"/>
      <w:numFmt w:val="bullet"/>
      <w:lvlText w:val="•"/>
      <w:lvlJc w:val="left"/>
      <w:pPr>
        <w:ind w:left="5033" w:hanging="794"/>
      </w:pPr>
      <w:rPr>
        <w:rFonts w:hint="default"/>
        <w:lang w:val="en-us" w:eastAsia="en-us" w:bidi="en-us"/>
      </w:rPr>
    </w:lvl>
    <w:lvl w:ilvl="5">
      <w:start w:val="0"/>
      <w:numFmt w:val="bullet"/>
      <w:lvlText w:val="•"/>
      <w:lvlJc w:val="left"/>
      <w:pPr>
        <w:ind w:left="5986" w:hanging="794"/>
      </w:pPr>
      <w:rPr>
        <w:rFonts w:hint="default"/>
        <w:lang w:val="en-us" w:eastAsia="en-us" w:bidi="en-us"/>
      </w:rPr>
    </w:lvl>
    <w:lvl w:ilvl="6">
      <w:start w:val="0"/>
      <w:numFmt w:val="bullet"/>
      <w:lvlText w:val="•"/>
      <w:lvlJc w:val="left"/>
      <w:pPr>
        <w:ind w:left="6940" w:hanging="794"/>
      </w:pPr>
      <w:rPr>
        <w:rFonts w:hint="default"/>
        <w:lang w:val="en-us" w:eastAsia="en-us" w:bidi="en-us"/>
      </w:rPr>
    </w:lvl>
    <w:lvl w:ilvl="7">
      <w:start w:val="0"/>
      <w:numFmt w:val="bullet"/>
      <w:lvlText w:val="•"/>
      <w:lvlJc w:val="left"/>
      <w:pPr>
        <w:ind w:left="7893" w:hanging="794"/>
      </w:pPr>
      <w:rPr>
        <w:rFonts w:hint="default"/>
        <w:lang w:val="en-us" w:eastAsia="en-us" w:bidi="en-us"/>
      </w:rPr>
    </w:lvl>
    <w:lvl w:ilvl="8">
      <w:start w:val="0"/>
      <w:numFmt w:val="bullet"/>
      <w:lvlText w:val="•"/>
      <w:lvlJc w:val="left"/>
      <w:pPr>
        <w:ind w:left="8846" w:hanging="794"/>
      </w:pPr>
      <w:rPr>
        <w:rFonts w:hint="default"/>
        <w:lang w:val="en-us" w:eastAsia="en-us" w:bidi="en-us"/>
      </w:rPr>
    </w:lvl>
  </w:abstractNum>
  <w:abstractNum w:abstractNumId="104">
    <w:multiLevelType w:val="hybridMultilevel"/>
    <w:lvl w:ilvl="0">
      <w:start w:val="166"/>
      <w:numFmt w:val="decimal"/>
      <w:lvlText w:val="%1"/>
      <w:lvlJc w:val="left"/>
      <w:pPr>
        <w:ind w:left="2381" w:hanging="794"/>
        <w:jc w:val="left"/>
      </w:pPr>
      <w:rPr>
        <w:rFonts w:hint="default" w:ascii="Calibri" w:hAnsi="Calibri" w:eastAsia="Calibri" w:cs="Calibri"/>
        <w:spacing w:val="-4"/>
        <w:w w:val="109"/>
        <w:sz w:val="13"/>
        <w:szCs w:val="13"/>
        <w:lang w:val="en-us" w:eastAsia="en-us" w:bidi="en-us"/>
      </w:rPr>
    </w:lvl>
    <w:lvl w:ilvl="1">
      <w:start w:val="0"/>
      <w:numFmt w:val="bullet"/>
      <w:lvlText w:val="•"/>
      <w:lvlJc w:val="left"/>
      <w:pPr>
        <w:ind w:left="2809" w:hanging="794"/>
      </w:pPr>
      <w:rPr>
        <w:rFonts w:hint="default"/>
        <w:lang w:val="en-us" w:eastAsia="en-us" w:bidi="en-us"/>
      </w:rPr>
    </w:lvl>
    <w:lvl w:ilvl="2">
      <w:start w:val="0"/>
      <w:numFmt w:val="bullet"/>
      <w:lvlText w:val="•"/>
      <w:lvlJc w:val="left"/>
      <w:pPr>
        <w:ind w:left="3239" w:hanging="794"/>
      </w:pPr>
      <w:rPr>
        <w:rFonts w:hint="default"/>
        <w:lang w:val="en-us" w:eastAsia="en-us" w:bidi="en-us"/>
      </w:rPr>
    </w:lvl>
    <w:lvl w:ilvl="3">
      <w:start w:val="0"/>
      <w:numFmt w:val="bullet"/>
      <w:lvlText w:val="•"/>
      <w:lvlJc w:val="left"/>
      <w:pPr>
        <w:ind w:left="3668" w:hanging="794"/>
      </w:pPr>
      <w:rPr>
        <w:rFonts w:hint="default"/>
        <w:lang w:val="en-us" w:eastAsia="en-us" w:bidi="en-us"/>
      </w:rPr>
    </w:lvl>
    <w:lvl w:ilvl="4">
      <w:start w:val="0"/>
      <w:numFmt w:val="bullet"/>
      <w:lvlText w:val="•"/>
      <w:lvlJc w:val="left"/>
      <w:pPr>
        <w:ind w:left="4098" w:hanging="794"/>
      </w:pPr>
      <w:rPr>
        <w:rFonts w:hint="default"/>
        <w:lang w:val="en-us" w:eastAsia="en-us" w:bidi="en-us"/>
      </w:rPr>
    </w:lvl>
    <w:lvl w:ilvl="5">
      <w:start w:val="0"/>
      <w:numFmt w:val="bullet"/>
      <w:lvlText w:val="•"/>
      <w:lvlJc w:val="left"/>
      <w:pPr>
        <w:ind w:left="4527" w:hanging="794"/>
      </w:pPr>
      <w:rPr>
        <w:rFonts w:hint="default"/>
        <w:lang w:val="en-us" w:eastAsia="en-us" w:bidi="en-us"/>
      </w:rPr>
    </w:lvl>
    <w:lvl w:ilvl="6">
      <w:start w:val="0"/>
      <w:numFmt w:val="bullet"/>
      <w:lvlText w:val="•"/>
      <w:lvlJc w:val="left"/>
      <w:pPr>
        <w:ind w:left="4957" w:hanging="794"/>
      </w:pPr>
      <w:rPr>
        <w:rFonts w:hint="default"/>
        <w:lang w:val="en-us" w:eastAsia="en-us" w:bidi="en-us"/>
      </w:rPr>
    </w:lvl>
    <w:lvl w:ilvl="7">
      <w:start w:val="0"/>
      <w:numFmt w:val="bullet"/>
      <w:lvlText w:val="•"/>
      <w:lvlJc w:val="left"/>
      <w:pPr>
        <w:ind w:left="5387" w:hanging="794"/>
      </w:pPr>
      <w:rPr>
        <w:rFonts w:hint="default"/>
        <w:lang w:val="en-us" w:eastAsia="en-us" w:bidi="en-us"/>
      </w:rPr>
    </w:lvl>
    <w:lvl w:ilvl="8">
      <w:start w:val="0"/>
      <w:numFmt w:val="bullet"/>
      <w:lvlText w:val="•"/>
      <w:lvlJc w:val="left"/>
      <w:pPr>
        <w:ind w:left="5816" w:hanging="794"/>
      </w:pPr>
      <w:rPr>
        <w:rFonts w:hint="default"/>
        <w:lang w:val="en-us" w:eastAsia="en-us" w:bidi="en-us"/>
      </w:rPr>
    </w:lvl>
  </w:abstractNum>
  <w:abstractNum w:abstractNumId="103">
    <w:multiLevelType w:val="hybridMultilevel"/>
    <w:lvl w:ilvl="0">
      <w:start w:val="158"/>
      <w:numFmt w:val="decimal"/>
      <w:lvlText w:val="%1"/>
      <w:lvlJc w:val="left"/>
      <w:pPr>
        <w:ind w:left="2381" w:hanging="794"/>
        <w:jc w:val="right"/>
      </w:pPr>
      <w:rPr>
        <w:rFonts w:hint="default" w:ascii="Calibri" w:hAnsi="Calibri" w:eastAsia="Calibri" w:cs="Calibri"/>
        <w:spacing w:val="-6"/>
        <w:w w:val="109"/>
        <w:sz w:val="13"/>
        <w:szCs w:val="13"/>
        <w:lang w:val="en-us" w:eastAsia="en-us" w:bidi="en-us"/>
      </w:rPr>
    </w:lvl>
    <w:lvl w:ilvl="1">
      <w:start w:val="0"/>
      <w:numFmt w:val="bullet"/>
      <w:lvlText w:val="•"/>
      <w:lvlJc w:val="left"/>
      <w:pPr>
        <w:ind w:left="3112" w:hanging="794"/>
      </w:pPr>
      <w:rPr>
        <w:rFonts w:hint="default"/>
        <w:lang w:val="en-us" w:eastAsia="en-us" w:bidi="en-us"/>
      </w:rPr>
    </w:lvl>
    <w:lvl w:ilvl="2">
      <w:start w:val="0"/>
      <w:numFmt w:val="bullet"/>
      <w:lvlText w:val="•"/>
      <w:lvlJc w:val="left"/>
      <w:pPr>
        <w:ind w:left="3844" w:hanging="794"/>
      </w:pPr>
      <w:rPr>
        <w:rFonts w:hint="default"/>
        <w:lang w:val="en-us" w:eastAsia="en-us" w:bidi="en-us"/>
      </w:rPr>
    </w:lvl>
    <w:lvl w:ilvl="3">
      <w:start w:val="0"/>
      <w:numFmt w:val="bullet"/>
      <w:lvlText w:val="•"/>
      <w:lvlJc w:val="left"/>
      <w:pPr>
        <w:ind w:left="4576" w:hanging="794"/>
      </w:pPr>
      <w:rPr>
        <w:rFonts w:hint="default"/>
        <w:lang w:val="en-us" w:eastAsia="en-us" w:bidi="en-us"/>
      </w:rPr>
    </w:lvl>
    <w:lvl w:ilvl="4">
      <w:start w:val="0"/>
      <w:numFmt w:val="bullet"/>
      <w:lvlText w:val="•"/>
      <w:lvlJc w:val="left"/>
      <w:pPr>
        <w:ind w:left="5308" w:hanging="794"/>
      </w:pPr>
      <w:rPr>
        <w:rFonts w:hint="default"/>
        <w:lang w:val="en-us" w:eastAsia="en-us" w:bidi="en-us"/>
      </w:rPr>
    </w:lvl>
    <w:lvl w:ilvl="5">
      <w:start w:val="0"/>
      <w:numFmt w:val="bullet"/>
      <w:lvlText w:val="•"/>
      <w:lvlJc w:val="left"/>
      <w:pPr>
        <w:ind w:left="6040" w:hanging="794"/>
      </w:pPr>
      <w:rPr>
        <w:rFonts w:hint="default"/>
        <w:lang w:val="en-us" w:eastAsia="en-us" w:bidi="en-us"/>
      </w:rPr>
    </w:lvl>
    <w:lvl w:ilvl="6">
      <w:start w:val="0"/>
      <w:numFmt w:val="bullet"/>
      <w:lvlText w:val="•"/>
      <w:lvlJc w:val="left"/>
      <w:pPr>
        <w:ind w:left="6772" w:hanging="794"/>
      </w:pPr>
      <w:rPr>
        <w:rFonts w:hint="default"/>
        <w:lang w:val="en-us" w:eastAsia="en-us" w:bidi="en-us"/>
      </w:rPr>
    </w:lvl>
    <w:lvl w:ilvl="7">
      <w:start w:val="0"/>
      <w:numFmt w:val="bullet"/>
      <w:lvlText w:val="•"/>
      <w:lvlJc w:val="left"/>
      <w:pPr>
        <w:ind w:left="7504" w:hanging="794"/>
      </w:pPr>
      <w:rPr>
        <w:rFonts w:hint="default"/>
        <w:lang w:val="en-us" w:eastAsia="en-us" w:bidi="en-us"/>
      </w:rPr>
    </w:lvl>
    <w:lvl w:ilvl="8">
      <w:start w:val="0"/>
      <w:numFmt w:val="bullet"/>
      <w:lvlText w:val="•"/>
      <w:lvlJc w:val="left"/>
      <w:pPr>
        <w:ind w:left="8236" w:hanging="794"/>
      </w:pPr>
      <w:rPr>
        <w:rFonts w:hint="default"/>
        <w:lang w:val="en-us" w:eastAsia="en-us" w:bidi="en-us"/>
      </w:rPr>
    </w:lvl>
  </w:abstractNum>
  <w:abstractNum w:abstractNumId="102">
    <w:multiLevelType w:val="hybridMultilevel"/>
    <w:lvl w:ilvl="0">
      <w:start w:val="17"/>
      <w:numFmt w:val="decimal"/>
      <w:lvlText w:val="%1"/>
      <w:lvlJc w:val="left"/>
      <w:pPr>
        <w:ind w:left="793" w:hanging="567"/>
        <w:jc w:val="left"/>
      </w:pPr>
      <w:rPr>
        <w:rFonts w:hint="default" w:ascii="Calibri" w:hAnsi="Calibri" w:eastAsia="Calibri" w:cs="Calibri"/>
        <w:b/>
        <w:bCs/>
        <w:spacing w:val="-11"/>
        <w:w w:val="109"/>
        <w:sz w:val="21"/>
        <w:szCs w:val="21"/>
        <w:lang w:val="en-us" w:eastAsia="en-us" w:bidi="en-us"/>
      </w:rPr>
    </w:lvl>
    <w:lvl w:ilvl="1">
      <w:start w:val="1"/>
      <w:numFmt w:val="lowerLetter"/>
      <w:lvlText w:val="(%2)"/>
      <w:lvlJc w:val="left"/>
      <w:pPr>
        <w:ind w:left="1360" w:hanging="567"/>
        <w:jc w:val="left"/>
      </w:pPr>
      <w:rPr>
        <w:rFonts w:hint="default" w:ascii="Calibri" w:hAnsi="Calibri" w:eastAsia="Calibri" w:cs="Calibri"/>
        <w:spacing w:val="0"/>
        <w:w w:val="109"/>
        <w:sz w:val="21"/>
        <w:szCs w:val="21"/>
        <w:lang w:val="en-us" w:eastAsia="en-us" w:bidi="en-us"/>
      </w:rPr>
    </w:lvl>
    <w:lvl w:ilvl="2">
      <w:start w:val="0"/>
      <w:numFmt w:val="bullet"/>
      <w:lvlText w:val="•"/>
      <w:lvlJc w:val="left"/>
      <w:pPr>
        <w:ind w:left="2178" w:hanging="567"/>
      </w:pPr>
      <w:rPr>
        <w:rFonts w:hint="default"/>
        <w:lang w:val="en-us" w:eastAsia="en-us" w:bidi="en-us"/>
      </w:rPr>
    </w:lvl>
    <w:lvl w:ilvl="3">
      <w:start w:val="0"/>
      <w:numFmt w:val="bullet"/>
      <w:lvlText w:val="•"/>
      <w:lvlJc w:val="left"/>
      <w:pPr>
        <w:ind w:left="2997" w:hanging="567"/>
      </w:pPr>
      <w:rPr>
        <w:rFonts w:hint="default"/>
        <w:lang w:val="en-us" w:eastAsia="en-us" w:bidi="en-us"/>
      </w:rPr>
    </w:lvl>
    <w:lvl w:ilvl="4">
      <w:start w:val="0"/>
      <w:numFmt w:val="bullet"/>
      <w:lvlText w:val="•"/>
      <w:lvlJc w:val="left"/>
      <w:pPr>
        <w:ind w:left="3816" w:hanging="567"/>
      </w:pPr>
      <w:rPr>
        <w:rFonts w:hint="default"/>
        <w:lang w:val="en-us" w:eastAsia="en-us" w:bidi="en-us"/>
      </w:rPr>
    </w:lvl>
    <w:lvl w:ilvl="5">
      <w:start w:val="0"/>
      <w:numFmt w:val="bullet"/>
      <w:lvlText w:val="•"/>
      <w:lvlJc w:val="left"/>
      <w:pPr>
        <w:ind w:left="4635" w:hanging="567"/>
      </w:pPr>
      <w:rPr>
        <w:rFonts w:hint="default"/>
        <w:lang w:val="en-us" w:eastAsia="en-us" w:bidi="en-us"/>
      </w:rPr>
    </w:lvl>
    <w:lvl w:ilvl="6">
      <w:start w:val="0"/>
      <w:numFmt w:val="bullet"/>
      <w:lvlText w:val="•"/>
      <w:lvlJc w:val="left"/>
      <w:pPr>
        <w:ind w:left="5454" w:hanging="567"/>
      </w:pPr>
      <w:rPr>
        <w:rFonts w:hint="default"/>
        <w:lang w:val="en-us" w:eastAsia="en-us" w:bidi="en-us"/>
      </w:rPr>
    </w:lvl>
    <w:lvl w:ilvl="7">
      <w:start w:val="0"/>
      <w:numFmt w:val="bullet"/>
      <w:lvlText w:val="•"/>
      <w:lvlJc w:val="left"/>
      <w:pPr>
        <w:ind w:left="6273" w:hanging="567"/>
      </w:pPr>
      <w:rPr>
        <w:rFonts w:hint="default"/>
        <w:lang w:val="en-us" w:eastAsia="en-us" w:bidi="en-us"/>
      </w:rPr>
    </w:lvl>
    <w:lvl w:ilvl="8">
      <w:start w:val="0"/>
      <w:numFmt w:val="bullet"/>
      <w:lvlText w:val="•"/>
      <w:lvlJc w:val="left"/>
      <w:pPr>
        <w:ind w:left="7092" w:hanging="567"/>
      </w:pPr>
      <w:rPr>
        <w:rFonts w:hint="default"/>
        <w:lang w:val="en-us" w:eastAsia="en-us" w:bidi="en-us"/>
      </w:rPr>
    </w:lvl>
  </w:abstractNum>
  <w:abstractNum w:abstractNumId="101">
    <w:multiLevelType w:val="hybridMultilevel"/>
    <w:lvl w:ilvl="0">
      <w:start w:val="152"/>
      <w:numFmt w:val="decimal"/>
      <w:lvlText w:val="%1"/>
      <w:lvlJc w:val="left"/>
      <w:pPr>
        <w:ind w:left="2381" w:hanging="794"/>
        <w:jc w:val="right"/>
      </w:pPr>
      <w:rPr>
        <w:rFonts w:hint="default" w:ascii="Calibri" w:hAnsi="Calibri" w:eastAsia="Calibri" w:cs="Calibri"/>
        <w:spacing w:val="-6"/>
        <w:w w:val="109"/>
        <w:sz w:val="13"/>
        <w:szCs w:val="13"/>
        <w:lang w:val="en-us" w:eastAsia="en-us" w:bidi="en-us"/>
      </w:rPr>
    </w:lvl>
    <w:lvl w:ilvl="1">
      <w:start w:val="0"/>
      <w:numFmt w:val="bullet"/>
      <w:lvlText w:val="•"/>
      <w:lvlJc w:val="left"/>
      <w:pPr>
        <w:ind w:left="3120" w:hanging="794"/>
      </w:pPr>
      <w:rPr>
        <w:rFonts w:hint="default"/>
        <w:lang w:val="en-us" w:eastAsia="en-us" w:bidi="en-us"/>
      </w:rPr>
    </w:lvl>
    <w:lvl w:ilvl="2">
      <w:start w:val="0"/>
      <w:numFmt w:val="bullet"/>
      <w:lvlText w:val="•"/>
      <w:lvlJc w:val="left"/>
      <w:pPr>
        <w:ind w:left="3861" w:hanging="794"/>
      </w:pPr>
      <w:rPr>
        <w:rFonts w:hint="default"/>
        <w:lang w:val="en-us" w:eastAsia="en-us" w:bidi="en-us"/>
      </w:rPr>
    </w:lvl>
    <w:lvl w:ilvl="3">
      <w:start w:val="0"/>
      <w:numFmt w:val="bullet"/>
      <w:lvlText w:val="•"/>
      <w:lvlJc w:val="left"/>
      <w:pPr>
        <w:ind w:left="4602" w:hanging="794"/>
      </w:pPr>
      <w:rPr>
        <w:rFonts w:hint="default"/>
        <w:lang w:val="en-us" w:eastAsia="en-us" w:bidi="en-us"/>
      </w:rPr>
    </w:lvl>
    <w:lvl w:ilvl="4">
      <w:start w:val="0"/>
      <w:numFmt w:val="bullet"/>
      <w:lvlText w:val="•"/>
      <w:lvlJc w:val="left"/>
      <w:pPr>
        <w:ind w:left="5343" w:hanging="794"/>
      </w:pPr>
      <w:rPr>
        <w:rFonts w:hint="default"/>
        <w:lang w:val="en-us" w:eastAsia="en-us" w:bidi="en-us"/>
      </w:rPr>
    </w:lvl>
    <w:lvl w:ilvl="5">
      <w:start w:val="0"/>
      <w:numFmt w:val="bullet"/>
      <w:lvlText w:val="•"/>
      <w:lvlJc w:val="left"/>
      <w:pPr>
        <w:ind w:left="6084" w:hanging="794"/>
      </w:pPr>
      <w:rPr>
        <w:rFonts w:hint="default"/>
        <w:lang w:val="en-us" w:eastAsia="en-us" w:bidi="en-us"/>
      </w:rPr>
    </w:lvl>
    <w:lvl w:ilvl="6">
      <w:start w:val="0"/>
      <w:numFmt w:val="bullet"/>
      <w:lvlText w:val="•"/>
      <w:lvlJc w:val="left"/>
      <w:pPr>
        <w:ind w:left="6825" w:hanging="794"/>
      </w:pPr>
      <w:rPr>
        <w:rFonts w:hint="default"/>
        <w:lang w:val="en-us" w:eastAsia="en-us" w:bidi="en-us"/>
      </w:rPr>
    </w:lvl>
    <w:lvl w:ilvl="7">
      <w:start w:val="0"/>
      <w:numFmt w:val="bullet"/>
      <w:lvlText w:val="•"/>
      <w:lvlJc w:val="left"/>
      <w:pPr>
        <w:ind w:left="7566" w:hanging="794"/>
      </w:pPr>
      <w:rPr>
        <w:rFonts w:hint="default"/>
        <w:lang w:val="en-us" w:eastAsia="en-us" w:bidi="en-us"/>
      </w:rPr>
    </w:lvl>
    <w:lvl w:ilvl="8">
      <w:start w:val="0"/>
      <w:numFmt w:val="bullet"/>
      <w:lvlText w:val="•"/>
      <w:lvlJc w:val="left"/>
      <w:pPr>
        <w:ind w:left="8307" w:hanging="794"/>
      </w:pPr>
      <w:rPr>
        <w:rFonts w:hint="default"/>
        <w:lang w:val="en-us" w:eastAsia="en-us" w:bidi="en-us"/>
      </w:rPr>
    </w:lvl>
  </w:abstractNum>
  <w:abstractNum w:abstractNumId="100">
    <w:multiLevelType w:val="hybridMultilevel"/>
    <w:lvl w:ilvl="0">
      <w:start w:val="149"/>
      <w:numFmt w:val="decimal"/>
      <w:lvlText w:val="%1"/>
      <w:lvlJc w:val="left"/>
      <w:pPr>
        <w:ind w:left="1229"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2173" w:hanging="794"/>
      </w:pPr>
      <w:rPr>
        <w:rFonts w:hint="default"/>
        <w:lang w:val="en-us" w:eastAsia="en-us" w:bidi="en-us"/>
      </w:rPr>
    </w:lvl>
    <w:lvl w:ilvl="2">
      <w:start w:val="0"/>
      <w:numFmt w:val="bullet"/>
      <w:lvlText w:val="•"/>
      <w:lvlJc w:val="left"/>
      <w:pPr>
        <w:ind w:left="3126" w:hanging="794"/>
      </w:pPr>
      <w:rPr>
        <w:rFonts w:hint="default"/>
        <w:lang w:val="en-us" w:eastAsia="en-us" w:bidi="en-us"/>
      </w:rPr>
    </w:lvl>
    <w:lvl w:ilvl="3">
      <w:start w:val="0"/>
      <w:numFmt w:val="bullet"/>
      <w:lvlText w:val="•"/>
      <w:lvlJc w:val="left"/>
      <w:pPr>
        <w:ind w:left="4080" w:hanging="794"/>
      </w:pPr>
      <w:rPr>
        <w:rFonts w:hint="default"/>
        <w:lang w:val="en-us" w:eastAsia="en-us" w:bidi="en-us"/>
      </w:rPr>
    </w:lvl>
    <w:lvl w:ilvl="4">
      <w:start w:val="0"/>
      <w:numFmt w:val="bullet"/>
      <w:lvlText w:val="•"/>
      <w:lvlJc w:val="left"/>
      <w:pPr>
        <w:ind w:left="5033" w:hanging="794"/>
      </w:pPr>
      <w:rPr>
        <w:rFonts w:hint="default"/>
        <w:lang w:val="en-us" w:eastAsia="en-us" w:bidi="en-us"/>
      </w:rPr>
    </w:lvl>
    <w:lvl w:ilvl="5">
      <w:start w:val="0"/>
      <w:numFmt w:val="bullet"/>
      <w:lvlText w:val="•"/>
      <w:lvlJc w:val="left"/>
      <w:pPr>
        <w:ind w:left="5986" w:hanging="794"/>
      </w:pPr>
      <w:rPr>
        <w:rFonts w:hint="default"/>
        <w:lang w:val="en-us" w:eastAsia="en-us" w:bidi="en-us"/>
      </w:rPr>
    </w:lvl>
    <w:lvl w:ilvl="6">
      <w:start w:val="0"/>
      <w:numFmt w:val="bullet"/>
      <w:lvlText w:val="•"/>
      <w:lvlJc w:val="left"/>
      <w:pPr>
        <w:ind w:left="6940" w:hanging="794"/>
      </w:pPr>
      <w:rPr>
        <w:rFonts w:hint="default"/>
        <w:lang w:val="en-us" w:eastAsia="en-us" w:bidi="en-us"/>
      </w:rPr>
    </w:lvl>
    <w:lvl w:ilvl="7">
      <w:start w:val="0"/>
      <w:numFmt w:val="bullet"/>
      <w:lvlText w:val="•"/>
      <w:lvlJc w:val="left"/>
      <w:pPr>
        <w:ind w:left="7893" w:hanging="794"/>
      </w:pPr>
      <w:rPr>
        <w:rFonts w:hint="default"/>
        <w:lang w:val="en-us" w:eastAsia="en-us" w:bidi="en-us"/>
      </w:rPr>
    </w:lvl>
    <w:lvl w:ilvl="8">
      <w:start w:val="0"/>
      <w:numFmt w:val="bullet"/>
      <w:lvlText w:val="•"/>
      <w:lvlJc w:val="left"/>
      <w:pPr>
        <w:ind w:left="8847" w:hanging="794"/>
      </w:pPr>
      <w:rPr>
        <w:rFonts w:hint="default"/>
        <w:lang w:val="en-us" w:eastAsia="en-us" w:bidi="en-us"/>
      </w:rPr>
    </w:lvl>
  </w:abstractNum>
  <w:abstractNum w:abstractNumId="99">
    <w:multiLevelType w:val="hybridMultilevel"/>
    <w:lvl w:ilvl="0">
      <w:start w:val="140"/>
      <w:numFmt w:val="decimal"/>
      <w:lvlText w:val="%1"/>
      <w:lvlJc w:val="left"/>
      <w:pPr>
        <w:ind w:left="1229"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1400" w:hanging="794"/>
      </w:pPr>
      <w:rPr>
        <w:rFonts w:hint="default"/>
        <w:lang w:val="en-us" w:eastAsia="en-us" w:bidi="en-us"/>
      </w:rPr>
    </w:lvl>
    <w:lvl w:ilvl="2">
      <w:start w:val="0"/>
      <w:numFmt w:val="bullet"/>
      <w:lvlText w:val="•"/>
      <w:lvlJc w:val="left"/>
      <w:pPr>
        <w:ind w:left="2439" w:hanging="794"/>
      </w:pPr>
      <w:rPr>
        <w:rFonts w:hint="default"/>
        <w:lang w:val="en-us" w:eastAsia="en-us" w:bidi="en-us"/>
      </w:rPr>
    </w:lvl>
    <w:lvl w:ilvl="3">
      <w:start w:val="0"/>
      <w:numFmt w:val="bullet"/>
      <w:lvlText w:val="•"/>
      <w:lvlJc w:val="left"/>
      <w:pPr>
        <w:ind w:left="3478" w:hanging="794"/>
      </w:pPr>
      <w:rPr>
        <w:rFonts w:hint="default"/>
        <w:lang w:val="en-us" w:eastAsia="en-us" w:bidi="en-us"/>
      </w:rPr>
    </w:lvl>
    <w:lvl w:ilvl="4">
      <w:start w:val="0"/>
      <w:numFmt w:val="bullet"/>
      <w:lvlText w:val="•"/>
      <w:lvlJc w:val="left"/>
      <w:pPr>
        <w:ind w:left="4517" w:hanging="794"/>
      </w:pPr>
      <w:rPr>
        <w:rFonts w:hint="default"/>
        <w:lang w:val="en-us" w:eastAsia="en-us" w:bidi="en-us"/>
      </w:rPr>
    </w:lvl>
    <w:lvl w:ilvl="5">
      <w:start w:val="0"/>
      <w:numFmt w:val="bullet"/>
      <w:lvlText w:val="•"/>
      <w:lvlJc w:val="left"/>
      <w:pPr>
        <w:ind w:left="5557" w:hanging="794"/>
      </w:pPr>
      <w:rPr>
        <w:rFonts w:hint="default"/>
        <w:lang w:val="en-us" w:eastAsia="en-us" w:bidi="en-us"/>
      </w:rPr>
    </w:lvl>
    <w:lvl w:ilvl="6">
      <w:start w:val="0"/>
      <w:numFmt w:val="bullet"/>
      <w:lvlText w:val="•"/>
      <w:lvlJc w:val="left"/>
      <w:pPr>
        <w:ind w:left="6596" w:hanging="794"/>
      </w:pPr>
      <w:rPr>
        <w:rFonts w:hint="default"/>
        <w:lang w:val="en-us" w:eastAsia="en-us" w:bidi="en-us"/>
      </w:rPr>
    </w:lvl>
    <w:lvl w:ilvl="7">
      <w:start w:val="0"/>
      <w:numFmt w:val="bullet"/>
      <w:lvlText w:val="•"/>
      <w:lvlJc w:val="left"/>
      <w:pPr>
        <w:ind w:left="7635" w:hanging="794"/>
      </w:pPr>
      <w:rPr>
        <w:rFonts w:hint="default"/>
        <w:lang w:val="en-us" w:eastAsia="en-us" w:bidi="en-us"/>
      </w:rPr>
    </w:lvl>
    <w:lvl w:ilvl="8">
      <w:start w:val="0"/>
      <w:numFmt w:val="bullet"/>
      <w:lvlText w:val="•"/>
      <w:lvlJc w:val="left"/>
      <w:pPr>
        <w:ind w:left="8675" w:hanging="794"/>
      </w:pPr>
      <w:rPr>
        <w:rFonts w:hint="default"/>
        <w:lang w:val="en-us" w:eastAsia="en-us" w:bidi="en-us"/>
      </w:rPr>
    </w:lvl>
  </w:abstractNum>
  <w:abstractNum w:abstractNumId="98">
    <w:multiLevelType w:val="hybridMultilevel"/>
    <w:lvl w:ilvl="0">
      <w:start w:val="6"/>
      <w:numFmt w:val="decimal"/>
      <w:lvlText w:val="%1"/>
      <w:lvlJc w:val="left"/>
      <w:pPr>
        <w:ind w:left="2381" w:hanging="794"/>
        <w:jc w:val="left"/>
      </w:pPr>
      <w:rPr>
        <w:rFonts w:hint="default"/>
        <w:lang w:val="en-us" w:eastAsia="en-us" w:bidi="en-us"/>
      </w:rPr>
    </w:lvl>
    <w:lvl w:ilvl="1">
      <w:start w:val="72"/>
      <w:numFmt w:val="decimal"/>
      <w:lvlText w:val="%1.%2"/>
      <w:lvlJc w:val="left"/>
      <w:pPr>
        <w:ind w:left="2381" w:hanging="794"/>
        <w:jc w:val="left"/>
      </w:pPr>
      <w:rPr>
        <w:rFonts w:hint="default" w:ascii="Calibri" w:hAnsi="Calibri" w:eastAsia="Calibri" w:cs="Calibri"/>
        <w:spacing w:val="-10"/>
        <w:w w:val="109"/>
        <w:sz w:val="21"/>
        <w:szCs w:val="21"/>
        <w:lang w:val="en-us" w:eastAsia="en-us" w:bidi="en-us"/>
      </w:rPr>
    </w:lvl>
    <w:lvl w:ilvl="2">
      <w:start w:val="0"/>
      <w:numFmt w:val="bullet"/>
      <w:lvlText w:val="•"/>
      <w:lvlJc w:val="left"/>
      <w:pPr>
        <w:ind w:left="2721" w:hanging="341"/>
      </w:pPr>
      <w:rPr>
        <w:rFonts w:hint="default" w:ascii="Calibri" w:hAnsi="Calibri" w:eastAsia="Calibri" w:cs="Calibri"/>
        <w:w w:val="100"/>
        <w:sz w:val="21"/>
        <w:szCs w:val="21"/>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97">
    <w:multiLevelType w:val="hybridMultilevel"/>
    <w:lvl w:ilvl="0">
      <w:start w:val="101"/>
      <w:numFmt w:val="decimal"/>
      <w:lvlText w:val="%1"/>
      <w:lvlJc w:val="left"/>
      <w:pPr>
        <w:ind w:left="1230" w:hanging="794"/>
        <w:jc w:val="right"/>
      </w:pPr>
      <w:rPr>
        <w:rFonts w:hint="default" w:ascii="Calibri" w:hAnsi="Calibri" w:eastAsia="Calibri" w:cs="Calibri"/>
        <w:spacing w:val="-4"/>
        <w:w w:val="109"/>
        <w:sz w:val="13"/>
        <w:szCs w:val="13"/>
        <w:lang w:val="en-us" w:eastAsia="en-us" w:bidi="en-us"/>
      </w:rPr>
    </w:lvl>
    <w:lvl w:ilvl="1">
      <w:start w:val="0"/>
      <w:numFmt w:val="bullet"/>
      <w:lvlText w:val="•"/>
      <w:lvlJc w:val="left"/>
      <w:pPr>
        <w:ind w:left="2191" w:hanging="794"/>
      </w:pPr>
      <w:rPr>
        <w:rFonts w:hint="default"/>
        <w:lang w:val="en-us" w:eastAsia="en-us" w:bidi="en-us"/>
      </w:rPr>
    </w:lvl>
    <w:lvl w:ilvl="2">
      <w:start w:val="0"/>
      <w:numFmt w:val="bullet"/>
      <w:lvlText w:val="•"/>
      <w:lvlJc w:val="left"/>
      <w:pPr>
        <w:ind w:left="3142" w:hanging="794"/>
      </w:pPr>
      <w:rPr>
        <w:rFonts w:hint="default"/>
        <w:lang w:val="en-us" w:eastAsia="en-us" w:bidi="en-us"/>
      </w:rPr>
    </w:lvl>
    <w:lvl w:ilvl="3">
      <w:start w:val="0"/>
      <w:numFmt w:val="bullet"/>
      <w:lvlText w:val="•"/>
      <w:lvlJc w:val="left"/>
      <w:pPr>
        <w:ind w:left="4094" w:hanging="794"/>
      </w:pPr>
      <w:rPr>
        <w:rFonts w:hint="default"/>
        <w:lang w:val="en-us" w:eastAsia="en-us" w:bidi="en-us"/>
      </w:rPr>
    </w:lvl>
    <w:lvl w:ilvl="4">
      <w:start w:val="0"/>
      <w:numFmt w:val="bullet"/>
      <w:lvlText w:val="•"/>
      <w:lvlJc w:val="left"/>
      <w:pPr>
        <w:ind w:left="5045" w:hanging="794"/>
      </w:pPr>
      <w:rPr>
        <w:rFonts w:hint="default"/>
        <w:lang w:val="en-us" w:eastAsia="en-us" w:bidi="en-us"/>
      </w:rPr>
    </w:lvl>
    <w:lvl w:ilvl="5">
      <w:start w:val="0"/>
      <w:numFmt w:val="bullet"/>
      <w:lvlText w:val="•"/>
      <w:lvlJc w:val="left"/>
      <w:pPr>
        <w:ind w:left="5997" w:hanging="794"/>
      </w:pPr>
      <w:rPr>
        <w:rFonts w:hint="default"/>
        <w:lang w:val="en-us" w:eastAsia="en-us" w:bidi="en-us"/>
      </w:rPr>
    </w:lvl>
    <w:lvl w:ilvl="6">
      <w:start w:val="0"/>
      <w:numFmt w:val="bullet"/>
      <w:lvlText w:val="•"/>
      <w:lvlJc w:val="left"/>
      <w:pPr>
        <w:ind w:left="6948" w:hanging="794"/>
      </w:pPr>
      <w:rPr>
        <w:rFonts w:hint="default"/>
        <w:lang w:val="en-us" w:eastAsia="en-us" w:bidi="en-us"/>
      </w:rPr>
    </w:lvl>
    <w:lvl w:ilvl="7">
      <w:start w:val="0"/>
      <w:numFmt w:val="bullet"/>
      <w:lvlText w:val="•"/>
      <w:lvlJc w:val="left"/>
      <w:pPr>
        <w:ind w:left="7900" w:hanging="794"/>
      </w:pPr>
      <w:rPr>
        <w:rFonts w:hint="default"/>
        <w:lang w:val="en-us" w:eastAsia="en-us" w:bidi="en-us"/>
      </w:rPr>
    </w:lvl>
    <w:lvl w:ilvl="8">
      <w:start w:val="0"/>
      <w:numFmt w:val="bullet"/>
      <w:lvlText w:val="•"/>
      <w:lvlJc w:val="left"/>
      <w:pPr>
        <w:ind w:left="8851" w:hanging="794"/>
      </w:pPr>
      <w:rPr>
        <w:rFonts w:hint="default"/>
        <w:lang w:val="en-us" w:eastAsia="en-us" w:bidi="en-us"/>
      </w:rPr>
    </w:lvl>
  </w:abstractNum>
  <w:abstractNum w:abstractNumId="96">
    <w:multiLevelType w:val="hybridMultilevel"/>
    <w:lvl w:ilvl="0">
      <w:start w:val="84"/>
      <w:numFmt w:val="decimal"/>
      <w:lvlText w:val="%1"/>
      <w:lvlJc w:val="left"/>
      <w:pPr>
        <w:ind w:left="2381" w:hanging="794"/>
        <w:jc w:val="right"/>
      </w:pPr>
      <w:rPr>
        <w:rFonts w:hint="default" w:ascii="Calibri" w:hAnsi="Calibri" w:eastAsia="Calibri" w:cs="Calibri"/>
        <w:spacing w:val="0"/>
        <w:w w:val="109"/>
        <w:sz w:val="13"/>
        <w:szCs w:val="13"/>
        <w:lang w:val="en-us" w:eastAsia="en-us" w:bidi="en-us"/>
      </w:rPr>
    </w:lvl>
    <w:lvl w:ilvl="1">
      <w:start w:val="0"/>
      <w:numFmt w:val="bullet"/>
      <w:lvlText w:val="•"/>
      <w:lvlJc w:val="left"/>
      <w:pPr>
        <w:ind w:left="3162" w:hanging="794"/>
      </w:pPr>
      <w:rPr>
        <w:rFonts w:hint="default"/>
        <w:lang w:val="en-us" w:eastAsia="en-us" w:bidi="en-us"/>
      </w:rPr>
    </w:lvl>
    <w:lvl w:ilvl="2">
      <w:start w:val="0"/>
      <w:numFmt w:val="bullet"/>
      <w:lvlText w:val="•"/>
      <w:lvlJc w:val="left"/>
      <w:pPr>
        <w:ind w:left="3945" w:hanging="794"/>
      </w:pPr>
      <w:rPr>
        <w:rFonts w:hint="default"/>
        <w:lang w:val="en-us" w:eastAsia="en-us" w:bidi="en-us"/>
      </w:rPr>
    </w:lvl>
    <w:lvl w:ilvl="3">
      <w:start w:val="0"/>
      <w:numFmt w:val="bullet"/>
      <w:lvlText w:val="•"/>
      <w:lvlJc w:val="left"/>
      <w:pPr>
        <w:ind w:left="4727" w:hanging="794"/>
      </w:pPr>
      <w:rPr>
        <w:rFonts w:hint="default"/>
        <w:lang w:val="en-us" w:eastAsia="en-us" w:bidi="en-us"/>
      </w:rPr>
    </w:lvl>
    <w:lvl w:ilvl="4">
      <w:start w:val="0"/>
      <w:numFmt w:val="bullet"/>
      <w:lvlText w:val="•"/>
      <w:lvlJc w:val="left"/>
      <w:pPr>
        <w:ind w:left="5510" w:hanging="794"/>
      </w:pPr>
      <w:rPr>
        <w:rFonts w:hint="default"/>
        <w:lang w:val="en-us" w:eastAsia="en-us" w:bidi="en-us"/>
      </w:rPr>
    </w:lvl>
    <w:lvl w:ilvl="5">
      <w:start w:val="0"/>
      <w:numFmt w:val="bullet"/>
      <w:lvlText w:val="•"/>
      <w:lvlJc w:val="left"/>
      <w:pPr>
        <w:ind w:left="6293" w:hanging="794"/>
      </w:pPr>
      <w:rPr>
        <w:rFonts w:hint="default"/>
        <w:lang w:val="en-us" w:eastAsia="en-us" w:bidi="en-us"/>
      </w:rPr>
    </w:lvl>
    <w:lvl w:ilvl="6">
      <w:start w:val="0"/>
      <w:numFmt w:val="bullet"/>
      <w:lvlText w:val="•"/>
      <w:lvlJc w:val="left"/>
      <w:pPr>
        <w:ind w:left="7075" w:hanging="794"/>
      </w:pPr>
      <w:rPr>
        <w:rFonts w:hint="default"/>
        <w:lang w:val="en-us" w:eastAsia="en-us" w:bidi="en-us"/>
      </w:rPr>
    </w:lvl>
    <w:lvl w:ilvl="7">
      <w:start w:val="0"/>
      <w:numFmt w:val="bullet"/>
      <w:lvlText w:val="•"/>
      <w:lvlJc w:val="left"/>
      <w:pPr>
        <w:ind w:left="7858" w:hanging="794"/>
      </w:pPr>
      <w:rPr>
        <w:rFonts w:hint="default"/>
        <w:lang w:val="en-us" w:eastAsia="en-us" w:bidi="en-us"/>
      </w:rPr>
    </w:lvl>
    <w:lvl w:ilvl="8">
      <w:start w:val="0"/>
      <w:numFmt w:val="bullet"/>
      <w:lvlText w:val="•"/>
      <w:lvlJc w:val="left"/>
      <w:pPr>
        <w:ind w:left="8641" w:hanging="794"/>
      </w:pPr>
      <w:rPr>
        <w:rFonts w:hint="default"/>
        <w:lang w:val="en-us" w:eastAsia="en-us" w:bidi="en-us"/>
      </w:rPr>
    </w:lvl>
  </w:abstractNum>
  <w:abstractNum w:abstractNumId="95">
    <w:multiLevelType w:val="hybridMultilevel"/>
    <w:lvl w:ilvl="0">
      <w:start w:val="73"/>
      <w:numFmt w:val="decimal"/>
      <w:lvlText w:val="%1"/>
      <w:lvlJc w:val="left"/>
      <w:pPr>
        <w:ind w:left="1243" w:hanging="794"/>
        <w:jc w:val="left"/>
      </w:pPr>
      <w:rPr>
        <w:rFonts w:hint="default" w:ascii="Calibri" w:hAnsi="Calibri" w:eastAsia="Calibri" w:cs="Calibri"/>
        <w:w w:val="109"/>
        <w:sz w:val="13"/>
        <w:szCs w:val="13"/>
        <w:lang w:val="en-us" w:eastAsia="en-us" w:bidi="en-us"/>
      </w:rPr>
    </w:lvl>
    <w:lvl w:ilvl="1">
      <w:start w:val="0"/>
      <w:numFmt w:val="bullet"/>
      <w:lvlText w:val="•"/>
      <w:lvlJc w:val="left"/>
      <w:pPr>
        <w:ind w:left="1580" w:hanging="794"/>
      </w:pPr>
      <w:rPr>
        <w:rFonts w:hint="default"/>
        <w:lang w:val="en-us" w:eastAsia="en-us" w:bidi="en-us"/>
      </w:rPr>
    </w:lvl>
    <w:lvl w:ilvl="2">
      <w:start w:val="0"/>
      <w:numFmt w:val="bullet"/>
      <w:lvlText w:val="•"/>
      <w:lvlJc w:val="left"/>
      <w:pPr>
        <w:ind w:left="2412" w:hanging="794"/>
      </w:pPr>
      <w:rPr>
        <w:rFonts w:hint="default"/>
        <w:lang w:val="en-us" w:eastAsia="en-us" w:bidi="en-us"/>
      </w:rPr>
    </w:lvl>
    <w:lvl w:ilvl="3">
      <w:start w:val="0"/>
      <w:numFmt w:val="bullet"/>
      <w:lvlText w:val="•"/>
      <w:lvlJc w:val="left"/>
      <w:pPr>
        <w:ind w:left="3244" w:hanging="794"/>
      </w:pPr>
      <w:rPr>
        <w:rFonts w:hint="default"/>
        <w:lang w:val="en-us" w:eastAsia="en-us" w:bidi="en-us"/>
      </w:rPr>
    </w:lvl>
    <w:lvl w:ilvl="4">
      <w:start w:val="0"/>
      <w:numFmt w:val="bullet"/>
      <w:lvlText w:val="•"/>
      <w:lvlJc w:val="left"/>
      <w:pPr>
        <w:ind w:left="4076" w:hanging="794"/>
      </w:pPr>
      <w:rPr>
        <w:rFonts w:hint="default"/>
        <w:lang w:val="en-us" w:eastAsia="en-us" w:bidi="en-us"/>
      </w:rPr>
    </w:lvl>
    <w:lvl w:ilvl="5">
      <w:start w:val="0"/>
      <w:numFmt w:val="bullet"/>
      <w:lvlText w:val="•"/>
      <w:lvlJc w:val="left"/>
      <w:pPr>
        <w:ind w:left="4908" w:hanging="794"/>
      </w:pPr>
      <w:rPr>
        <w:rFonts w:hint="default"/>
        <w:lang w:val="en-us" w:eastAsia="en-us" w:bidi="en-us"/>
      </w:rPr>
    </w:lvl>
    <w:lvl w:ilvl="6">
      <w:start w:val="0"/>
      <w:numFmt w:val="bullet"/>
      <w:lvlText w:val="•"/>
      <w:lvlJc w:val="left"/>
      <w:pPr>
        <w:ind w:left="5740" w:hanging="794"/>
      </w:pPr>
      <w:rPr>
        <w:rFonts w:hint="default"/>
        <w:lang w:val="en-us" w:eastAsia="en-us" w:bidi="en-us"/>
      </w:rPr>
    </w:lvl>
    <w:lvl w:ilvl="7">
      <w:start w:val="0"/>
      <w:numFmt w:val="bullet"/>
      <w:lvlText w:val="•"/>
      <w:lvlJc w:val="left"/>
      <w:pPr>
        <w:ind w:left="6572" w:hanging="794"/>
      </w:pPr>
      <w:rPr>
        <w:rFonts w:hint="default"/>
        <w:lang w:val="en-us" w:eastAsia="en-us" w:bidi="en-us"/>
      </w:rPr>
    </w:lvl>
    <w:lvl w:ilvl="8">
      <w:start w:val="0"/>
      <w:numFmt w:val="bullet"/>
      <w:lvlText w:val="•"/>
      <w:lvlJc w:val="left"/>
      <w:pPr>
        <w:ind w:left="7404" w:hanging="794"/>
      </w:pPr>
      <w:rPr>
        <w:rFonts w:hint="default"/>
        <w:lang w:val="en-us" w:eastAsia="en-us" w:bidi="en-us"/>
      </w:rPr>
    </w:lvl>
  </w:abstractNum>
  <w:abstractNum w:abstractNumId="94">
    <w:multiLevelType w:val="hybridMultilevel"/>
    <w:lvl w:ilvl="0">
      <w:start w:val="58"/>
      <w:numFmt w:val="decimal"/>
      <w:lvlText w:val="%1"/>
      <w:lvlJc w:val="left"/>
      <w:pPr>
        <w:ind w:left="2381" w:hanging="794"/>
        <w:jc w:val="right"/>
      </w:pPr>
      <w:rPr>
        <w:rFonts w:hint="default" w:ascii="Calibri" w:hAnsi="Calibri" w:eastAsia="Calibri" w:cs="Calibri"/>
        <w:spacing w:val="0"/>
        <w:w w:val="109"/>
        <w:sz w:val="13"/>
        <w:szCs w:val="13"/>
        <w:lang w:val="en-us" w:eastAsia="en-us" w:bidi="en-us"/>
      </w:rPr>
    </w:lvl>
    <w:lvl w:ilvl="1">
      <w:start w:val="0"/>
      <w:numFmt w:val="bullet"/>
      <w:lvlText w:val="•"/>
      <w:lvlJc w:val="left"/>
      <w:pPr>
        <w:ind w:left="3170" w:hanging="794"/>
      </w:pPr>
      <w:rPr>
        <w:rFonts w:hint="default"/>
        <w:lang w:val="en-us" w:eastAsia="en-us" w:bidi="en-us"/>
      </w:rPr>
    </w:lvl>
    <w:lvl w:ilvl="2">
      <w:start w:val="0"/>
      <w:numFmt w:val="bullet"/>
      <w:lvlText w:val="•"/>
      <w:lvlJc w:val="left"/>
      <w:pPr>
        <w:ind w:left="3960" w:hanging="794"/>
      </w:pPr>
      <w:rPr>
        <w:rFonts w:hint="default"/>
        <w:lang w:val="en-us" w:eastAsia="en-us" w:bidi="en-us"/>
      </w:rPr>
    </w:lvl>
    <w:lvl w:ilvl="3">
      <w:start w:val="0"/>
      <w:numFmt w:val="bullet"/>
      <w:lvlText w:val="•"/>
      <w:lvlJc w:val="left"/>
      <w:pPr>
        <w:ind w:left="4751" w:hanging="794"/>
      </w:pPr>
      <w:rPr>
        <w:rFonts w:hint="default"/>
        <w:lang w:val="en-us" w:eastAsia="en-us" w:bidi="en-us"/>
      </w:rPr>
    </w:lvl>
    <w:lvl w:ilvl="4">
      <w:start w:val="0"/>
      <w:numFmt w:val="bullet"/>
      <w:lvlText w:val="•"/>
      <w:lvlJc w:val="left"/>
      <w:pPr>
        <w:ind w:left="5541" w:hanging="794"/>
      </w:pPr>
      <w:rPr>
        <w:rFonts w:hint="default"/>
        <w:lang w:val="en-us" w:eastAsia="en-us" w:bidi="en-us"/>
      </w:rPr>
    </w:lvl>
    <w:lvl w:ilvl="5">
      <w:start w:val="0"/>
      <w:numFmt w:val="bullet"/>
      <w:lvlText w:val="•"/>
      <w:lvlJc w:val="left"/>
      <w:pPr>
        <w:ind w:left="6332" w:hanging="794"/>
      </w:pPr>
      <w:rPr>
        <w:rFonts w:hint="default"/>
        <w:lang w:val="en-us" w:eastAsia="en-us" w:bidi="en-us"/>
      </w:rPr>
    </w:lvl>
    <w:lvl w:ilvl="6">
      <w:start w:val="0"/>
      <w:numFmt w:val="bullet"/>
      <w:lvlText w:val="•"/>
      <w:lvlJc w:val="left"/>
      <w:pPr>
        <w:ind w:left="7122" w:hanging="794"/>
      </w:pPr>
      <w:rPr>
        <w:rFonts w:hint="default"/>
        <w:lang w:val="en-us" w:eastAsia="en-us" w:bidi="en-us"/>
      </w:rPr>
    </w:lvl>
    <w:lvl w:ilvl="7">
      <w:start w:val="0"/>
      <w:numFmt w:val="bullet"/>
      <w:lvlText w:val="•"/>
      <w:lvlJc w:val="left"/>
      <w:pPr>
        <w:ind w:left="7912" w:hanging="794"/>
      </w:pPr>
      <w:rPr>
        <w:rFonts w:hint="default"/>
        <w:lang w:val="en-us" w:eastAsia="en-us" w:bidi="en-us"/>
      </w:rPr>
    </w:lvl>
    <w:lvl w:ilvl="8">
      <w:start w:val="0"/>
      <w:numFmt w:val="bullet"/>
      <w:lvlText w:val="•"/>
      <w:lvlJc w:val="left"/>
      <w:pPr>
        <w:ind w:left="8703" w:hanging="794"/>
      </w:pPr>
      <w:rPr>
        <w:rFonts w:hint="default"/>
        <w:lang w:val="en-us" w:eastAsia="en-us" w:bidi="en-us"/>
      </w:rPr>
    </w:lvl>
  </w:abstractNum>
  <w:abstractNum w:abstractNumId="93">
    <w:multiLevelType w:val="hybridMultilevel"/>
    <w:lvl w:ilvl="0">
      <w:start w:val="46"/>
      <w:numFmt w:val="decimal"/>
      <w:lvlText w:val="%1"/>
      <w:lvlJc w:val="left"/>
      <w:pPr>
        <w:ind w:left="1243" w:hanging="794"/>
        <w:jc w:val="left"/>
      </w:pPr>
      <w:rPr>
        <w:rFonts w:hint="default" w:ascii="Calibri" w:hAnsi="Calibri" w:eastAsia="Calibri" w:cs="Calibri"/>
        <w:spacing w:val="0"/>
        <w:w w:val="109"/>
        <w:sz w:val="13"/>
        <w:szCs w:val="13"/>
        <w:lang w:val="en-us" w:eastAsia="en-us" w:bidi="en-us"/>
      </w:rPr>
    </w:lvl>
    <w:lvl w:ilvl="1">
      <w:start w:val="0"/>
      <w:numFmt w:val="bullet"/>
      <w:lvlText w:val="•"/>
      <w:lvlJc w:val="left"/>
      <w:pPr>
        <w:ind w:left="1580" w:hanging="794"/>
      </w:pPr>
      <w:rPr>
        <w:rFonts w:hint="default"/>
        <w:lang w:val="en-us" w:eastAsia="en-us" w:bidi="en-us"/>
      </w:rPr>
    </w:lvl>
    <w:lvl w:ilvl="2">
      <w:start w:val="0"/>
      <w:numFmt w:val="bullet"/>
      <w:lvlText w:val="•"/>
      <w:lvlJc w:val="left"/>
      <w:pPr>
        <w:ind w:left="2420" w:hanging="794"/>
      </w:pPr>
      <w:rPr>
        <w:rFonts w:hint="default"/>
        <w:lang w:val="en-us" w:eastAsia="en-us" w:bidi="en-us"/>
      </w:rPr>
    </w:lvl>
    <w:lvl w:ilvl="3">
      <w:start w:val="0"/>
      <w:numFmt w:val="bullet"/>
      <w:lvlText w:val="•"/>
      <w:lvlJc w:val="left"/>
      <w:pPr>
        <w:ind w:left="3261" w:hanging="794"/>
      </w:pPr>
      <w:rPr>
        <w:rFonts w:hint="default"/>
        <w:lang w:val="en-us" w:eastAsia="en-us" w:bidi="en-us"/>
      </w:rPr>
    </w:lvl>
    <w:lvl w:ilvl="4">
      <w:start w:val="0"/>
      <w:numFmt w:val="bullet"/>
      <w:lvlText w:val="•"/>
      <w:lvlJc w:val="left"/>
      <w:pPr>
        <w:ind w:left="4102" w:hanging="794"/>
      </w:pPr>
      <w:rPr>
        <w:rFonts w:hint="default"/>
        <w:lang w:val="en-us" w:eastAsia="en-us" w:bidi="en-us"/>
      </w:rPr>
    </w:lvl>
    <w:lvl w:ilvl="5">
      <w:start w:val="0"/>
      <w:numFmt w:val="bullet"/>
      <w:lvlText w:val="•"/>
      <w:lvlJc w:val="left"/>
      <w:pPr>
        <w:ind w:left="4943" w:hanging="794"/>
      </w:pPr>
      <w:rPr>
        <w:rFonts w:hint="default"/>
        <w:lang w:val="en-us" w:eastAsia="en-us" w:bidi="en-us"/>
      </w:rPr>
    </w:lvl>
    <w:lvl w:ilvl="6">
      <w:start w:val="0"/>
      <w:numFmt w:val="bullet"/>
      <w:lvlText w:val="•"/>
      <w:lvlJc w:val="left"/>
      <w:pPr>
        <w:ind w:left="5783" w:hanging="794"/>
      </w:pPr>
      <w:rPr>
        <w:rFonts w:hint="default"/>
        <w:lang w:val="en-us" w:eastAsia="en-us" w:bidi="en-us"/>
      </w:rPr>
    </w:lvl>
    <w:lvl w:ilvl="7">
      <w:start w:val="0"/>
      <w:numFmt w:val="bullet"/>
      <w:lvlText w:val="•"/>
      <w:lvlJc w:val="left"/>
      <w:pPr>
        <w:ind w:left="6624" w:hanging="794"/>
      </w:pPr>
      <w:rPr>
        <w:rFonts w:hint="default"/>
        <w:lang w:val="en-us" w:eastAsia="en-us" w:bidi="en-us"/>
      </w:rPr>
    </w:lvl>
    <w:lvl w:ilvl="8">
      <w:start w:val="0"/>
      <w:numFmt w:val="bullet"/>
      <w:lvlText w:val="•"/>
      <w:lvlJc w:val="left"/>
      <w:pPr>
        <w:ind w:left="7465" w:hanging="794"/>
      </w:pPr>
      <w:rPr>
        <w:rFonts w:hint="default"/>
        <w:lang w:val="en-us" w:eastAsia="en-us" w:bidi="en-us"/>
      </w:rPr>
    </w:lvl>
  </w:abstractNum>
  <w:abstractNum w:abstractNumId="92">
    <w:multiLevelType w:val="hybridMultilevel"/>
    <w:lvl w:ilvl="0">
      <w:start w:val="42"/>
      <w:numFmt w:val="decimal"/>
      <w:lvlText w:val="%1"/>
      <w:lvlJc w:val="left"/>
      <w:pPr>
        <w:ind w:left="1243" w:hanging="794"/>
        <w:jc w:val="left"/>
      </w:pPr>
      <w:rPr>
        <w:rFonts w:hint="default" w:ascii="Calibri" w:hAnsi="Calibri" w:eastAsia="Calibri" w:cs="Calibri"/>
        <w:w w:val="109"/>
        <w:sz w:val="13"/>
        <w:szCs w:val="13"/>
        <w:lang w:val="en-us" w:eastAsia="en-us" w:bidi="en-us"/>
      </w:rPr>
    </w:lvl>
    <w:lvl w:ilvl="1">
      <w:start w:val="0"/>
      <w:numFmt w:val="bullet"/>
      <w:lvlText w:val="•"/>
      <w:lvlJc w:val="left"/>
      <w:pPr>
        <w:ind w:left="2192" w:hanging="794"/>
      </w:pPr>
      <w:rPr>
        <w:rFonts w:hint="default"/>
        <w:lang w:val="en-us" w:eastAsia="en-us" w:bidi="en-us"/>
      </w:rPr>
    </w:lvl>
    <w:lvl w:ilvl="2">
      <w:start w:val="0"/>
      <w:numFmt w:val="bullet"/>
      <w:lvlText w:val="•"/>
      <w:lvlJc w:val="left"/>
      <w:pPr>
        <w:ind w:left="3145" w:hanging="794"/>
      </w:pPr>
      <w:rPr>
        <w:rFonts w:hint="default"/>
        <w:lang w:val="en-us" w:eastAsia="en-us" w:bidi="en-us"/>
      </w:rPr>
    </w:lvl>
    <w:lvl w:ilvl="3">
      <w:start w:val="0"/>
      <w:numFmt w:val="bullet"/>
      <w:lvlText w:val="•"/>
      <w:lvlJc w:val="left"/>
      <w:pPr>
        <w:ind w:left="4098" w:hanging="794"/>
      </w:pPr>
      <w:rPr>
        <w:rFonts w:hint="default"/>
        <w:lang w:val="en-us" w:eastAsia="en-us" w:bidi="en-us"/>
      </w:rPr>
    </w:lvl>
    <w:lvl w:ilvl="4">
      <w:start w:val="0"/>
      <w:numFmt w:val="bullet"/>
      <w:lvlText w:val="•"/>
      <w:lvlJc w:val="left"/>
      <w:pPr>
        <w:ind w:left="5051" w:hanging="794"/>
      </w:pPr>
      <w:rPr>
        <w:rFonts w:hint="default"/>
        <w:lang w:val="en-us" w:eastAsia="en-us" w:bidi="en-us"/>
      </w:rPr>
    </w:lvl>
    <w:lvl w:ilvl="5">
      <w:start w:val="0"/>
      <w:numFmt w:val="bullet"/>
      <w:lvlText w:val="•"/>
      <w:lvlJc w:val="left"/>
      <w:pPr>
        <w:ind w:left="6004" w:hanging="794"/>
      </w:pPr>
      <w:rPr>
        <w:rFonts w:hint="default"/>
        <w:lang w:val="en-us" w:eastAsia="en-us" w:bidi="en-us"/>
      </w:rPr>
    </w:lvl>
    <w:lvl w:ilvl="6">
      <w:start w:val="0"/>
      <w:numFmt w:val="bullet"/>
      <w:lvlText w:val="•"/>
      <w:lvlJc w:val="left"/>
      <w:pPr>
        <w:ind w:left="6957" w:hanging="794"/>
      </w:pPr>
      <w:rPr>
        <w:rFonts w:hint="default"/>
        <w:lang w:val="en-us" w:eastAsia="en-us" w:bidi="en-us"/>
      </w:rPr>
    </w:lvl>
    <w:lvl w:ilvl="7">
      <w:start w:val="0"/>
      <w:numFmt w:val="bullet"/>
      <w:lvlText w:val="•"/>
      <w:lvlJc w:val="left"/>
      <w:pPr>
        <w:ind w:left="7909" w:hanging="794"/>
      </w:pPr>
      <w:rPr>
        <w:rFonts w:hint="default"/>
        <w:lang w:val="en-us" w:eastAsia="en-us" w:bidi="en-us"/>
      </w:rPr>
    </w:lvl>
    <w:lvl w:ilvl="8">
      <w:start w:val="0"/>
      <w:numFmt w:val="bullet"/>
      <w:lvlText w:val="•"/>
      <w:lvlJc w:val="left"/>
      <w:pPr>
        <w:ind w:left="8862" w:hanging="794"/>
      </w:pPr>
      <w:rPr>
        <w:rFonts w:hint="default"/>
        <w:lang w:val="en-us" w:eastAsia="en-us" w:bidi="en-us"/>
      </w:rPr>
    </w:lvl>
  </w:abstractNum>
  <w:abstractNum w:abstractNumId="91">
    <w:multiLevelType w:val="hybridMultilevel"/>
    <w:lvl w:ilvl="0">
      <w:start w:val="24"/>
      <w:numFmt w:val="decimal"/>
      <w:lvlText w:val="%1"/>
      <w:lvlJc w:val="left"/>
      <w:pPr>
        <w:ind w:left="1246" w:hanging="794"/>
        <w:jc w:val="right"/>
      </w:pPr>
      <w:rPr>
        <w:rFonts w:hint="default" w:ascii="Calibri" w:hAnsi="Calibri" w:eastAsia="Calibri" w:cs="Calibri"/>
        <w:spacing w:val="-2"/>
        <w:w w:val="109"/>
        <w:sz w:val="13"/>
        <w:szCs w:val="13"/>
        <w:lang w:val="en-us" w:eastAsia="en-us" w:bidi="en-us"/>
      </w:rPr>
    </w:lvl>
    <w:lvl w:ilvl="1">
      <w:start w:val="0"/>
      <w:numFmt w:val="bullet"/>
      <w:lvlText w:val="•"/>
      <w:lvlJc w:val="left"/>
      <w:pPr>
        <w:ind w:left="2193" w:hanging="794"/>
      </w:pPr>
      <w:rPr>
        <w:rFonts w:hint="default"/>
        <w:lang w:val="en-us" w:eastAsia="en-us" w:bidi="en-us"/>
      </w:rPr>
    </w:lvl>
    <w:lvl w:ilvl="2">
      <w:start w:val="0"/>
      <w:numFmt w:val="bullet"/>
      <w:lvlText w:val="•"/>
      <w:lvlJc w:val="left"/>
      <w:pPr>
        <w:ind w:left="3146" w:hanging="794"/>
      </w:pPr>
      <w:rPr>
        <w:rFonts w:hint="default"/>
        <w:lang w:val="en-us" w:eastAsia="en-us" w:bidi="en-us"/>
      </w:rPr>
    </w:lvl>
    <w:lvl w:ilvl="3">
      <w:start w:val="0"/>
      <w:numFmt w:val="bullet"/>
      <w:lvlText w:val="•"/>
      <w:lvlJc w:val="left"/>
      <w:pPr>
        <w:ind w:left="4099" w:hanging="794"/>
      </w:pPr>
      <w:rPr>
        <w:rFonts w:hint="default"/>
        <w:lang w:val="en-us" w:eastAsia="en-us" w:bidi="en-us"/>
      </w:rPr>
    </w:lvl>
    <w:lvl w:ilvl="4">
      <w:start w:val="0"/>
      <w:numFmt w:val="bullet"/>
      <w:lvlText w:val="•"/>
      <w:lvlJc w:val="left"/>
      <w:pPr>
        <w:ind w:left="5052" w:hanging="794"/>
      </w:pPr>
      <w:rPr>
        <w:rFonts w:hint="default"/>
        <w:lang w:val="en-us" w:eastAsia="en-us" w:bidi="en-us"/>
      </w:rPr>
    </w:lvl>
    <w:lvl w:ilvl="5">
      <w:start w:val="0"/>
      <w:numFmt w:val="bullet"/>
      <w:lvlText w:val="•"/>
      <w:lvlJc w:val="left"/>
      <w:pPr>
        <w:ind w:left="6005" w:hanging="794"/>
      </w:pPr>
      <w:rPr>
        <w:rFonts w:hint="default"/>
        <w:lang w:val="en-us" w:eastAsia="en-us" w:bidi="en-us"/>
      </w:rPr>
    </w:lvl>
    <w:lvl w:ilvl="6">
      <w:start w:val="0"/>
      <w:numFmt w:val="bullet"/>
      <w:lvlText w:val="•"/>
      <w:lvlJc w:val="left"/>
      <w:pPr>
        <w:ind w:left="6958" w:hanging="794"/>
      </w:pPr>
      <w:rPr>
        <w:rFonts w:hint="default"/>
        <w:lang w:val="en-us" w:eastAsia="en-us" w:bidi="en-us"/>
      </w:rPr>
    </w:lvl>
    <w:lvl w:ilvl="7">
      <w:start w:val="0"/>
      <w:numFmt w:val="bullet"/>
      <w:lvlText w:val="•"/>
      <w:lvlJc w:val="left"/>
      <w:pPr>
        <w:ind w:left="7911" w:hanging="794"/>
      </w:pPr>
      <w:rPr>
        <w:rFonts w:hint="default"/>
        <w:lang w:val="en-us" w:eastAsia="en-us" w:bidi="en-us"/>
      </w:rPr>
    </w:lvl>
    <w:lvl w:ilvl="8">
      <w:start w:val="0"/>
      <w:numFmt w:val="bullet"/>
      <w:lvlText w:val="•"/>
      <w:lvlJc w:val="left"/>
      <w:pPr>
        <w:ind w:left="8864" w:hanging="794"/>
      </w:pPr>
      <w:rPr>
        <w:rFonts w:hint="default"/>
        <w:lang w:val="en-us" w:eastAsia="en-us" w:bidi="en-us"/>
      </w:rPr>
    </w:lvl>
  </w:abstractNum>
  <w:abstractNum w:abstractNumId="90">
    <w:multiLevelType w:val="hybridMultilevel"/>
    <w:lvl w:ilvl="0">
      <w:start w:val="1"/>
      <w:numFmt w:val="decimal"/>
      <w:lvlText w:val="%1"/>
      <w:lvlJc w:val="left"/>
      <w:pPr>
        <w:ind w:left="1246" w:hanging="794"/>
        <w:jc w:val="right"/>
      </w:pPr>
      <w:rPr>
        <w:rFonts w:hint="default" w:ascii="Calibri" w:hAnsi="Calibri" w:eastAsia="Calibri" w:cs="Calibri"/>
        <w:w w:val="109"/>
        <w:sz w:val="13"/>
        <w:szCs w:val="13"/>
        <w:lang w:val="en-us" w:eastAsia="en-us" w:bidi="en-us"/>
      </w:rPr>
    </w:lvl>
    <w:lvl w:ilvl="1">
      <w:start w:val="0"/>
      <w:numFmt w:val="bullet"/>
      <w:lvlText w:val="•"/>
      <w:lvlJc w:val="left"/>
      <w:pPr>
        <w:ind w:left="2193" w:hanging="794"/>
      </w:pPr>
      <w:rPr>
        <w:rFonts w:hint="default"/>
        <w:lang w:val="en-us" w:eastAsia="en-us" w:bidi="en-us"/>
      </w:rPr>
    </w:lvl>
    <w:lvl w:ilvl="2">
      <w:start w:val="0"/>
      <w:numFmt w:val="bullet"/>
      <w:lvlText w:val="•"/>
      <w:lvlJc w:val="left"/>
      <w:pPr>
        <w:ind w:left="3146" w:hanging="794"/>
      </w:pPr>
      <w:rPr>
        <w:rFonts w:hint="default"/>
        <w:lang w:val="en-us" w:eastAsia="en-us" w:bidi="en-us"/>
      </w:rPr>
    </w:lvl>
    <w:lvl w:ilvl="3">
      <w:start w:val="0"/>
      <w:numFmt w:val="bullet"/>
      <w:lvlText w:val="•"/>
      <w:lvlJc w:val="left"/>
      <w:pPr>
        <w:ind w:left="4099" w:hanging="794"/>
      </w:pPr>
      <w:rPr>
        <w:rFonts w:hint="default"/>
        <w:lang w:val="en-us" w:eastAsia="en-us" w:bidi="en-us"/>
      </w:rPr>
    </w:lvl>
    <w:lvl w:ilvl="4">
      <w:start w:val="0"/>
      <w:numFmt w:val="bullet"/>
      <w:lvlText w:val="•"/>
      <w:lvlJc w:val="left"/>
      <w:pPr>
        <w:ind w:left="5052" w:hanging="794"/>
      </w:pPr>
      <w:rPr>
        <w:rFonts w:hint="default"/>
        <w:lang w:val="en-us" w:eastAsia="en-us" w:bidi="en-us"/>
      </w:rPr>
    </w:lvl>
    <w:lvl w:ilvl="5">
      <w:start w:val="0"/>
      <w:numFmt w:val="bullet"/>
      <w:lvlText w:val="•"/>
      <w:lvlJc w:val="left"/>
      <w:pPr>
        <w:ind w:left="6005" w:hanging="794"/>
      </w:pPr>
      <w:rPr>
        <w:rFonts w:hint="default"/>
        <w:lang w:val="en-us" w:eastAsia="en-us" w:bidi="en-us"/>
      </w:rPr>
    </w:lvl>
    <w:lvl w:ilvl="6">
      <w:start w:val="0"/>
      <w:numFmt w:val="bullet"/>
      <w:lvlText w:val="•"/>
      <w:lvlJc w:val="left"/>
      <w:pPr>
        <w:ind w:left="6958" w:hanging="794"/>
      </w:pPr>
      <w:rPr>
        <w:rFonts w:hint="default"/>
        <w:lang w:val="en-us" w:eastAsia="en-us" w:bidi="en-us"/>
      </w:rPr>
    </w:lvl>
    <w:lvl w:ilvl="7">
      <w:start w:val="0"/>
      <w:numFmt w:val="bullet"/>
      <w:lvlText w:val="•"/>
      <w:lvlJc w:val="left"/>
      <w:pPr>
        <w:ind w:left="7911" w:hanging="794"/>
      </w:pPr>
      <w:rPr>
        <w:rFonts w:hint="default"/>
        <w:lang w:val="en-us" w:eastAsia="en-us" w:bidi="en-us"/>
      </w:rPr>
    </w:lvl>
    <w:lvl w:ilvl="8">
      <w:start w:val="0"/>
      <w:numFmt w:val="bullet"/>
      <w:lvlText w:val="•"/>
      <w:lvlJc w:val="left"/>
      <w:pPr>
        <w:ind w:left="8864" w:hanging="794"/>
      </w:pPr>
      <w:rPr>
        <w:rFonts w:hint="default"/>
        <w:lang w:val="en-us" w:eastAsia="en-us" w:bidi="en-us"/>
      </w:rPr>
    </w:lvl>
  </w:abstractNum>
  <w:abstractNum w:abstractNumId="88">
    <w:multiLevelType w:val="hybridMultilevel"/>
    <w:lvl w:ilvl="0">
      <w:start w:val="396"/>
      <w:numFmt w:val="decimal"/>
      <w:lvlText w:val="%1"/>
      <w:lvlJc w:val="left"/>
      <w:pPr>
        <w:ind w:left="2381" w:hanging="794"/>
        <w:jc w:val="right"/>
      </w:pPr>
      <w:rPr>
        <w:rFonts w:hint="default" w:ascii="Calibri" w:hAnsi="Calibri" w:eastAsia="Calibri" w:cs="Calibri"/>
        <w:spacing w:val="0"/>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555" w:hanging="341"/>
      </w:pPr>
      <w:rPr>
        <w:rFonts w:hint="default"/>
        <w:lang w:val="en-us" w:eastAsia="en-us" w:bidi="en-us"/>
      </w:rPr>
    </w:lvl>
    <w:lvl w:ilvl="3">
      <w:start w:val="0"/>
      <w:numFmt w:val="bullet"/>
      <w:lvlText w:val="•"/>
      <w:lvlJc w:val="left"/>
      <w:pPr>
        <w:ind w:left="4391" w:hanging="341"/>
      </w:pPr>
      <w:rPr>
        <w:rFonts w:hint="default"/>
        <w:lang w:val="en-us" w:eastAsia="en-us" w:bidi="en-us"/>
      </w:rPr>
    </w:lvl>
    <w:lvl w:ilvl="4">
      <w:start w:val="0"/>
      <w:numFmt w:val="bullet"/>
      <w:lvlText w:val="•"/>
      <w:lvlJc w:val="left"/>
      <w:pPr>
        <w:ind w:left="5227" w:hanging="341"/>
      </w:pPr>
      <w:rPr>
        <w:rFonts w:hint="default"/>
        <w:lang w:val="en-us" w:eastAsia="en-us" w:bidi="en-us"/>
      </w:rPr>
    </w:lvl>
    <w:lvl w:ilvl="5">
      <w:start w:val="0"/>
      <w:numFmt w:val="bullet"/>
      <w:lvlText w:val="•"/>
      <w:lvlJc w:val="left"/>
      <w:pPr>
        <w:ind w:left="6062" w:hanging="341"/>
      </w:pPr>
      <w:rPr>
        <w:rFonts w:hint="default"/>
        <w:lang w:val="en-us" w:eastAsia="en-us" w:bidi="en-us"/>
      </w:rPr>
    </w:lvl>
    <w:lvl w:ilvl="6">
      <w:start w:val="0"/>
      <w:numFmt w:val="bullet"/>
      <w:lvlText w:val="•"/>
      <w:lvlJc w:val="left"/>
      <w:pPr>
        <w:ind w:left="6898" w:hanging="341"/>
      </w:pPr>
      <w:rPr>
        <w:rFonts w:hint="default"/>
        <w:lang w:val="en-us" w:eastAsia="en-us" w:bidi="en-us"/>
      </w:rPr>
    </w:lvl>
    <w:lvl w:ilvl="7">
      <w:start w:val="0"/>
      <w:numFmt w:val="bullet"/>
      <w:lvlText w:val="•"/>
      <w:lvlJc w:val="left"/>
      <w:pPr>
        <w:ind w:left="7734" w:hanging="341"/>
      </w:pPr>
      <w:rPr>
        <w:rFonts w:hint="default"/>
        <w:lang w:val="en-us" w:eastAsia="en-us" w:bidi="en-us"/>
      </w:rPr>
    </w:lvl>
    <w:lvl w:ilvl="8">
      <w:start w:val="0"/>
      <w:numFmt w:val="bullet"/>
      <w:lvlText w:val="•"/>
      <w:lvlJc w:val="left"/>
      <w:pPr>
        <w:ind w:left="8569" w:hanging="341"/>
      </w:pPr>
      <w:rPr>
        <w:rFonts w:hint="default"/>
        <w:lang w:val="en-us" w:eastAsia="en-us" w:bidi="en-us"/>
      </w:rPr>
    </w:lvl>
  </w:abstractNum>
  <w:abstractNum w:abstractNumId="87">
    <w:multiLevelType w:val="hybridMultilevel"/>
    <w:lvl w:ilvl="0">
      <w:start w:val="392"/>
      <w:numFmt w:val="decimal"/>
      <w:lvlText w:val="%1"/>
      <w:lvlJc w:val="left"/>
      <w:pPr>
        <w:ind w:left="1222" w:hanging="794"/>
        <w:jc w:val="left"/>
      </w:pPr>
      <w:rPr>
        <w:rFonts w:hint="default" w:ascii="Calibri" w:hAnsi="Calibri" w:eastAsia="Calibri" w:cs="Calibri"/>
        <w:spacing w:val="-1"/>
        <w:w w:val="109"/>
        <w:sz w:val="13"/>
        <w:szCs w:val="13"/>
        <w:lang w:val="en-us" w:eastAsia="en-us" w:bidi="en-us"/>
      </w:rPr>
    </w:lvl>
    <w:lvl w:ilvl="1">
      <w:start w:val="1"/>
      <w:numFmt w:val="decimal"/>
      <w:lvlText w:val="%2)"/>
      <w:lvlJc w:val="left"/>
      <w:pPr>
        <w:ind w:left="1366" w:hanging="144"/>
        <w:jc w:val="left"/>
      </w:pPr>
      <w:rPr>
        <w:rFonts w:hint="default" w:ascii="Calibri" w:hAnsi="Calibri" w:eastAsia="Calibri" w:cs="Calibri"/>
        <w:spacing w:val="-1"/>
        <w:w w:val="91"/>
        <w:sz w:val="13"/>
        <w:szCs w:val="13"/>
        <w:lang w:val="en-us" w:eastAsia="en-us" w:bidi="en-us"/>
      </w:rPr>
    </w:lvl>
    <w:lvl w:ilvl="2">
      <w:start w:val="0"/>
      <w:numFmt w:val="bullet"/>
      <w:lvlText w:val="•"/>
      <w:lvlJc w:val="left"/>
      <w:pPr>
        <w:ind w:left="2403" w:hanging="144"/>
      </w:pPr>
      <w:rPr>
        <w:rFonts w:hint="default"/>
        <w:lang w:val="en-us" w:eastAsia="en-us" w:bidi="en-us"/>
      </w:rPr>
    </w:lvl>
    <w:lvl w:ilvl="3">
      <w:start w:val="0"/>
      <w:numFmt w:val="bullet"/>
      <w:lvlText w:val="•"/>
      <w:lvlJc w:val="left"/>
      <w:pPr>
        <w:ind w:left="3446" w:hanging="144"/>
      </w:pPr>
      <w:rPr>
        <w:rFonts w:hint="default"/>
        <w:lang w:val="en-us" w:eastAsia="en-us" w:bidi="en-us"/>
      </w:rPr>
    </w:lvl>
    <w:lvl w:ilvl="4">
      <w:start w:val="0"/>
      <w:numFmt w:val="bullet"/>
      <w:lvlText w:val="•"/>
      <w:lvlJc w:val="left"/>
      <w:pPr>
        <w:ind w:left="4489" w:hanging="144"/>
      </w:pPr>
      <w:rPr>
        <w:rFonts w:hint="default"/>
        <w:lang w:val="en-us" w:eastAsia="en-us" w:bidi="en-us"/>
      </w:rPr>
    </w:lvl>
    <w:lvl w:ilvl="5">
      <w:start w:val="0"/>
      <w:numFmt w:val="bullet"/>
      <w:lvlText w:val="•"/>
      <w:lvlJc w:val="left"/>
      <w:pPr>
        <w:ind w:left="5532" w:hanging="144"/>
      </w:pPr>
      <w:rPr>
        <w:rFonts w:hint="default"/>
        <w:lang w:val="en-us" w:eastAsia="en-us" w:bidi="en-us"/>
      </w:rPr>
    </w:lvl>
    <w:lvl w:ilvl="6">
      <w:start w:val="0"/>
      <w:numFmt w:val="bullet"/>
      <w:lvlText w:val="•"/>
      <w:lvlJc w:val="left"/>
      <w:pPr>
        <w:ind w:left="6575" w:hanging="144"/>
      </w:pPr>
      <w:rPr>
        <w:rFonts w:hint="default"/>
        <w:lang w:val="en-us" w:eastAsia="en-us" w:bidi="en-us"/>
      </w:rPr>
    </w:lvl>
    <w:lvl w:ilvl="7">
      <w:start w:val="0"/>
      <w:numFmt w:val="bullet"/>
      <w:lvlText w:val="•"/>
      <w:lvlJc w:val="left"/>
      <w:pPr>
        <w:ind w:left="7618" w:hanging="144"/>
      </w:pPr>
      <w:rPr>
        <w:rFonts w:hint="default"/>
        <w:lang w:val="en-us" w:eastAsia="en-us" w:bidi="en-us"/>
      </w:rPr>
    </w:lvl>
    <w:lvl w:ilvl="8">
      <w:start w:val="0"/>
      <w:numFmt w:val="bullet"/>
      <w:lvlText w:val="•"/>
      <w:lvlJc w:val="left"/>
      <w:pPr>
        <w:ind w:left="8661" w:hanging="144"/>
      </w:pPr>
      <w:rPr>
        <w:rFonts w:hint="default"/>
        <w:lang w:val="en-us" w:eastAsia="en-us" w:bidi="en-us"/>
      </w:rPr>
    </w:lvl>
  </w:abstractNum>
  <w:abstractNum w:abstractNumId="86">
    <w:multiLevelType w:val="hybridMultilevel"/>
    <w:lvl w:ilvl="0">
      <w:start w:val="1"/>
      <w:numFmt w:val="lowerLetter"/>
      <w:lvlText w:val="%1)"/>
      <w:lvlJc w:val="left"/>
      <w:pPr>
        <w:ind w:left="2721" w:hanging="341"/>
        <w:jc w:val="left"/>
      </w:pPr>
      <w:rPr>
        <w:rFonts w:hint="default" w:ascii="Calibri" w:hAnsi="Calibri" w:eastAsia="Calibri" w:cs="Calibri"/>
        <w:spacing w:val="0"/>
        <w:w w:val="91"/>
        <w:sz w:val="21"/>
        <w:szCs w:val="21"/>
        <w:lang w:val="en-us" w:eastAsia="en-us" w:bidi="en-us"/>
      </w:rPr>
    </w:lvl>
    <w:lvl w:ilvl="1">
      <w:start w:val="0"/>
      <w:numFmt w:val="bullet"/>
      <w:lvlText w:val="•"/>
      <w:lvlJc w:val="left"/>
      <w:pPr>
        <w:ind w:left="3638" w:hanging="341"/>
      </w:pPr>
      <w:rPr>
        <w:rFonts w:hint="default"/>
        <w:lang w:val="en-us" w:eastAsia="en-us" w:bidi="en-us"/>
      </w:rPr>
    </w:lvl>
    <w:lvl w:ilvl="2">
      <w:start w:val="0"/>
      <w:numFmt w:val="bullet"/>
      <w:lvlText w:val="•"/>
      <w:lvlJc w:val="left"/>
      <w:pPr>
        <w:ind w:left="4557" w:hanging="341"/>
      </w:pPr>
      <w:rPr>
        <w:rFonts w:hint="default"/>
        <w:lang w:val="en-us" w:eastAsia="en-us" w:bidi="en-us"/>
      </w:rPr>
    </w:lvl>
    <w:lvl w:ilvl="3">
      <w:start w:val="0"/>
      <w:numFmt w:val="bullet"/>
      <w:lvlText w:val="•"/>
      <w:lvlJc w:val="left"/>
      <w:pPr>
        <w:ind w:left="5475" w:hanging="341"/>
      </w:pPr>
      <w:rPr>
        <w:rFonts w:hint="default"/>
        <w:lang w:val="en-us" w:eastAsia="en-us" w:bidi="en-us"/>
      </w:rPr>
    </w:lvl>
    <w:lvl w:ilvl="4">
      <w:start w:val="0"/>
      <w:numFmt w:val="bullet"/>
      <w:lvlText w:val="•"/>
      <w:lvlJc w:val="left"/>
      <w:pPr>
        <w:ind w:left="6394" w:hanging="341"/>
      </w:pPr>
      <w:rPr>
        <w:rFonts w:hint="default"/>
        <w:lang w:val="en-us" w:eastAsia="en-us" w:bidi="en-us"/>
      </w:rPr>
    </w:lvl>
    <w:lvl w:ilvl="5">
      <w:start w:val="0"/>
      <w:numFmt w:val="bullet"/>
      <w:lvlText w:val="•"/>
      <w:lvlJc w:val="left"/>
      <w:pPr>
        <w:ind w:left="7312" w:hanging="341"/>
      </w:pPr>
      <w:rPr>
        <w:rFonts w:hint="default"/>
        <w:lang w:val="en-us" w:eastAsia="en-us" w:bidi="en-us"/>
      </w:rPr>
    </w:lvl>
    <w:lvl w:ilvl="6">
      <w:start w:val="0"/>
      <w:numFmt w:val="bullet"/>
      <w:lvlText w:val="•"/>
      <w:lvlJc w:val="left"/>
      <w:pPr>
        <w:ind w:left="8231" w:hanging="341"/>
      </w:pPr>
      <w:rPr>
        <w:rFonts w:hint="default"/>
        <w:lang w:val="en-us" w:eastAsia="en-us" w:bidi="en-us"/>
      </w:rPr>
    </w:lvl>
    <w:lvl w:ilvl="7">
      <w:start w:val="0"/>
      <w:numFmt w:val="bullet"/>
      <w:lvlText w:val="•"/>
      <w:lvlJc w:val="left"/>
      <w:pPr>
        <w:ind w:left="9149" w:hanging="341"/>
      </w:pPr>
      <w:rPr>
        <w:rFonts w:hint="default"/>
        <w:lang w:val="en-us" w:eastAsia="en-us" w:bidi="en-us"/>
      </w:rPr>
    </w:lvl>
    <w:lvl w:ilvl="8">
      <w:start w:val="0"/>
      <w:numFmt w:val="bullet"/>
      <w:lvlText w:val="•"/>
      <w:lvlJc w:val="left"/>
      <w:pPr>
        <w:ind w:left="10068" w:hanging="341"/>
      </w:pPr>
      <w:rPr>
        <w:rFonts w:hint="default"/>
        <w:lang w:val="en-us" w:eastAsia="en-us" w:bidi="en-us"/>
      </w:rPr>
    </w:lvl>
  </w:abstractNum>
  <w:abstractNum w:abstractNumId="85">
    <w:multiLevelType w:val="hybridMultilevel"/>
    <w:lvl w:ilvl="0">
      <w:start w:val="13"/>
      <w:numFmt w:val="decimal"/>
      <w:lvlText w:val="%1"/>
      <w:lvlJc w:val="left"/>
      <w:pPr>
        <w:ind w:left="793" w:hanging="567"/>
        <w:jc w:val="left"/>
      </w:pPr>
      <w:rPr>
        <w:rFonts w:hint="default" w:ascii="Calibri" w:hAnsi="Calibri" w:eastAsia="Calibri" w:cs="Calibri"/>
        <w:b/>
        <w:bCs/>
        <w:spacing w:val="-8"/>
        <w:w w:val="109"/>
        <w:sz w:val="21"/>
        <w:szCs w:val="21"/>
        <w:lang w:val="en-us" w:eastAsia="en-us" w:bidi="en-us"/>
      </w:rPr>
    </w:lvl>
    <w:lvl w:ilvl="1">
      <w:start w:val="1"/>
      <w:numFmt w:val="lowerLetter"/>
      <w:lvlText w:val="(%2)"/>
      <w:lvlJc w:val="left"/>
      <w:pPr>
        <w:ind w:left="1360" w:hanging="567"/>
        <w:jc w:val="left"/>
      </w:pPr>
      <w:rPr>
        <w:rFonts w:hint="default" w:ascii="Calibri" w:hAnsi="Calibri" w:eastAsia="Calibri" w:cs="Calibri"/>
        <w:spacing w:val="0"/>
        <w:w w:val="109"/>
        <w:sz w:val="21"/>
        <w:szCs w:val="21"/>
        <w:lang w:val="en-us" w:eastAsia="en-us" w:bidi="en-us"/>
      </w:rPr>
    </w:lvl>
    <w:lvl w:ilvl="2">
      <w:start w:val="0"/>
      <w:numFmt w:val="bullet"/>
      <w:lvlText w:val="•"/>
      <w:lvlJc w:val="left"/>
      <w:pPr>
        <w:ind w:left="2178" w:hanging="567"/>
      </w:pPr>
      <w:rPr>
        <w:rFonts w:hint="default"/>
        <w:lang w:val="en-us" w:eastAsia="en-us" w:bidi="en-us"/>
      </w:rPr>
    </w:lvl>
    <w:lvl w:ilvl="3">
      <w:start w:val="0"/>
      <w:numFmt w:val="bullet"/>
      <w:lvlText w:val="•"/>
      <w:lvlJc w:val="left"/>
      <w:pPr>
        <w:ind w:left="2997" w:hanging="567"/>
      </w:pPr>
      <w:rPr>
        <w:rFonts w:hint="default"/>
        <w:lang w:val="en-us" w:eastAsia="en-us" w:bidi="en-us"/>
      </w:rPr>
    </w:lvl>
    <w:lvl w:ilvl="4">
      <w:start w:val="0"/>
      <w:numFmt w:val="bullet"/>
      <w:lvlText w:val="•"/>
      <w:lvlJc w:val="left"/>
      <w:pPr>
        <w:ind w:left="3816" w:hanging="567"/>
      </w:pPr>
      <w:rPr>
        <w:rFonts w:hint="default"/>
        <w:lang w:val="en-us" w:eastAsia="en-us" w:bidi="en-us"/>
      </w:rPr>
    </w:lvl>
    <w:lvl w:ilvl="5">
      <w:start w:val="0"/>
      <w:numFmt w:val="bullet"/>
      <w:lvlText w:val="•"/>
      <w:lvlJc w:val="left"/>
      <w:pPr>
        <w:ind w:left="4635" w:hanging="567"/>
      </w:pPr>
      <w:rPr>
        <w:rFonts w:hint="default"/>
        <w:lang w:val="en-us" w:eastAsia="en-us" w:bidi="en-us"/>
      </w:rPr>
    </w:lvl>
    <w:lvl w:ilvl="6">
      <w:start w:val="0"/>
      <w:numFmt w:val="bullet"/>
      <w:lvlText w:val="•"/>
      <w:lvlJc w:val="left"/>
      <w:pPr>
        <w:ind w:left="5454" w:hanging="567"/>
      </w:pPr>
      <w:rPr>
        <w:rFonts w:hint="default"/>
        <w:lang w:val="en-us" w:eastAsia="en-us" w:bidi="en-us"/>
      </w:rPr>
    </w:lvl>
    <w:lvl w:ilvl="7">
      <w:start w:val="0"/>
      <w:numFmt w:val="bullet"/>
      <w:lvlText w:val="•"/>
      <w:lvlJc w:val="left"/>
      <w:pPr>
        <w:ind w:left="6273" w:hanging="567"/>
      </w:pPr>
      <w:rPr>
        <w:rFonts w:hint="default"/>
        <w:lang w:val="en-us" w:eastAsia="en-us" w:bidi="en-us"/>
      </w:rPr>
    </w:lvl>
    <w:lvl w:ilvl="8">
      <w:start w:val="0"/>
      <w:numFmt w:val="bullet"/>
      <w:lvlText w:val="•"/>
      <w:lvlJc w:val="left"/>
      <w:pPr>
        <w:ind w:left="7092" w:hanging="567"/>
      </w:pPr>
      <w:rPr>
        <w:rFonts w:hint="default"/>
        <w:lang w:val="en-us" w:eastAsia="en-us" w:bidi="en-us"/>
      </w:rPr>
    </w:lvl>
  </w:abstractNum>
  <w:abstractNum w:abstractNumId="84">
    <w:multiLevelType w:val="hybridMultilevel"/>
    <w:lvl w:ilvl="0">
      <w:start w:val="382"/>
      <w:numFmt w:val="decimal"/>
      <w:lvlText w:val="%1"/>
      <w:lvlJc w:val="left"/>
      <w:pPr>
        <w:ind w:left="1221" w:hanging="794"/>
        <w:jc w:val="left"/>
      </w:pPr>
      <w:rPr>
        <w:rFonts w:hint="default" w:ascii="Calibri" w:hAnsi="Calibri" w:eastAsia="Calibri" w:cs="Calibri"/>
        <w:spacing w:val="0"/>
        <w:w w:val="109"/>
        <w:sz w:val="13"/>
        <w:szCs w:val="13"/>
        <w:lang w:val="en-us" w:eastAsia="en-us" w:bidi="en-us"/>
      </w:rPr>
    </w:lvl>
    <w:lvl w:ilvl="1">
      <w:start w:val="0"/>
      <w:numFmt w:val="bullet"/>
      <w:lvlText w:val="•"/>
      <w:lvlJc w:val="left"/>
      <w:pPr>
        <w:ind w:left="2172" w:hanging="794"/>
      </w:pPr>
      <w:rPr>
        <w:rFonts w:hint="default"/>
        <w:lang w:val="en-us" w:eastAsia="en-us" w:bidi="en-us"/>
      </w:rPr>
    </w:lvl>
    <w:lvl w:ilvl="2">
      <w:start w:val="0"/>
      <w:numFmt w:val="bullet"/>
      <w:lvlText w:val="•"/>
      <w:lvlJc w:val="left"/>
      <w:pPr>
        <w:ind w:left="3125" w:hanging="794"/>
      </w:pPr>
      <w:rPr>
        <w:rFonts w:hint="default"/>
        <w:lang w:val="en-us" w:eastAsia="en-us" w:bidi="en-us"/>
      </w:rPr>
    </w:lvl>
    <w:lvl w:ilvl="3">
      <w:start w:val="0"/>
      <w:numFmt w:val="bullet"/>
      <w:lvlText w:val="•"/>
      <w:lvlJc w:val="left"/>
      <w:pPr>
        <w:ind w:left="4077" w:hanging="794"/>
      </w:pPr>
      <w:rPr>
        <w:rFonts w:hint="default"/>
        <w:lang w:val="en-us" w:eastAsia="en-us" w:bidi="en-us"/>
      </w:rPr>
    </w:lvl>
    <w:lvl w:ilvl="4">
      <w:start w:val="0"/>
      <w:numFmt w:val="bullet"/>
      <w:lvlText w:val="•"/>
      <w:lvlJc w:val="left"/>
      <w:pPr>
        <w:ind w:left="5030" w:hanging="794"/>
      </w:pPr>
      <w:rPr>
        <w:rFonts w:hint="default"/>
        <w:lang w:val="en-us" w:eastAsia="en-us" w:bidi="en-us"/>
      </w:rPr>
    </w:lvl>
    <w:lvl w:ilvl="5">
      <w:start w:val="0"/>
      <w:numFmt w:val="bullet"/>
      <w:lvlText w:val="•"/>
      <w:lvlJc w:val="left"/>
      <w:pPr>
        <w:ind w:left="5983" w:hanging="794"/>
      </w:pPr>
      <w:rPr>
        <w:rFonts w:hint="default"/>
        <w:lang w:val="en-us" w:eastAsia="en-us" w:bidi="en-us"/>
      </w:rPr>
    </w:lvl>
    <w:lvl w:ilvl="6">
      <w:start w:val="0"/>
      <w:numFmt w:val="bullet"/>
      <w:lvlText w:val="•"/>
      <w:lvlJc w:val="left"/>
      <w:pPr>
        <w:ind w:left="6935" w:hanging="794"/>
      </w:pPr>
      <w:rPr>
        <w:rFonts w:hint="default"/>
        <w:lang w:val="en-us" w:eastAsia="en-us" w:bidi="en-us"/>
      </w:rPr>
    </w:lvl>
    <w:lvl w:ilvl="7">
      <w:start w:val="0"/>
      <w:numFmt w:val="bullet"/>
      <w:lvlText w:val="•"/>
      <w:lvlJc w:val="left"/>
      <w:pPr>
        <w:ind w:left="7888" w:hanging="794"/>
      </w:pPr>
      <w:rPr>
        <w:rFonts w:hint="default"/>
        <w:lang w:val="en-us" w:eastAsia="en-us" w:bidi="en-us"/>
      </w:rPr>
    </w:lvl>
    <w:lvl w:ilvl="8">
      <w:start w:val="0"/>
      <w:numFmt w:val="bullet"/>
      <w:lvlText w:val="•"/>
      <w:lvlJc w:val="left"/>
      <w:pPr>
        <w:ind w:left="8841" w:hanging="794"/>
      </w:pPr>
      <w:rPr>
        <w:rFonts w:hint="default"/>
        <w:lang w:val="en-us" w:eastAsia="en-us" w:bidi="en-us"/>
      </w:rPr>
    </w:lvl>
  </w:abstractNum>
  <w:abstractNum w:abstractNumId="83">
    <w:multiLevelType w:val="hybridMultilevel"/>
    <w:lvl w:ilvl="0">
      <w:start w:val="372"/>
      <w:numFmt w:val="decimal"/>
      <w:lvlText w:val="%1"/>
      <w:lvlJc w:val="left"/>
      <w:pPr>
        <w:ind w:left="2381" w:hanging="794"/>
        <w:jc w:val="left"/>
      </w:pPr>
      <w:rPr>
        <w:rFonts w:hint="default" w:ascii="Calibri" w:hAnsi="Calibri" w:eastAsia="Calibri" w:cs="Calibri"/>
        <w:spacing w:val="-1"/>
        <w:w w:val="109"/>
        <w:sz w:val="13"/>
        <w:szCs w:val="13"/>
        <w:lang w:val="en-us" w:eastAsia="en-us" w:bidi="en-us"/>
      </w:rPr>
    </w:lvl>
    <w:lvl w:ilvl="1">
      <w:start w:val="0"/>
      <w:numFmt w:val="bullet"/>
      <w:lvlText w:val="•"/>
      <w:lvlJc w:val="left"/>
      <w:pPr>
        <w:ind w:left="3173" w:hanging="794"/>
      </w:pPr>
      <w:rPr>
        <w:rFonts w:hint="default"/>
        <w:lang w:val="en-us" w:eastAsia="en-us" w:bidi="en-us"/>
      </w:rPr>
    </w:lvl>
    <w:lvl w:ilvl="2">
      <w:start w:val="0"/>
      <w:numFmt w:val="bullet"/>
      <w:lvlText w:val="•"/>
      <w:lvlJc w:val="left"/>
      <w:pPr>
        <w:ind w:left="3967" w:hanging="794"/>
      </w:pPr>
      <w:rPr>
        <w:rFonts w:hint="default"/>
        <w:lang w:val="en-us" w:eastAsia="en-us" w:bidi="en-us"/>
      </w:rPr>
    </w:lvl>
    <w:lvl w:ilvl="3">
      <w:start w:val="0"/>
      <w:numFmt w:val="bullet"/>
      <w:lvlText w:val="•"/>
      <w:lvlJc w:val="left"/>
      <w:pPr>
        <w:ind w:left="4761" w:hanging="794"/>
      </w:pPr>
      <w:rPr>
        <w:rFonts w:hint="default"/>
        <w:lang w:val="en-us" w:eastAsia="en-us" w:bidi="en-us"/>
      </w:rPr>
    </w:lvl>
    <w:lvl w:ilvl="4">
      <w:start w:val="0"/>
      <w:numFmt w:val="bullet"/>
      <w:lvlText w:val="•"/>
      <w:lvlJc w:val="left"/>
      <w:pPr>
        <w:ind w:left="5555" w:hanging="794"/>
      </w:pPr>
      <w:rPr>
        <w:rFonts w:hint="default"/>
        <w:lang w:val="en-us" w:eastAsia="en-us" w:bidi="en-us"/>
      </w:rPr>
    </w:lvl>
    <w:lvl w:ilvl="5">
      <w:start w:val="0"/>
      <w:numFmt w:val="bullet"/>
      <w:lvlText w:val="•"/>
      <w:lvlJc w:val="left"/>
      <w:pPr>
        <w:ind w:left="6349" w:hanging="794"/>
      </w:pPr>
      <w:rPr>
        <w:rFonts w:hint="default"/>
        <w:lang w:val="en-us" w:eastAsia="en-us" w:bidi="en-us"/>
      </w:rPr>
    </w:lvl>
    <w:lvl w:ilvl="6">
      <w:start w:val="0"/>
      <w:numFmt w:val="bullet"/>
      <w:lvlText w:val="•"/>
      <w:lvlJc w:val="left"/>
      <w:pPr>
        <w:ind w:left="7143" w:hanging="794"/>
      </w:pPr>
      <w:rPr>
        <w:rFonts w:hint="default"/>
        <w:lang w:val="en-us" w:eastAsia="en-us" w:bidi="en-us"/>
      </w:rPr>
    </w:lvl>
    <w:lvl w:ilvl="7">
      <w:start w:val="0"/>
      <w:numFmt w:val="bullet"/>
      <w:lvlText w:val="•"/>
      <w:lvlJc w:val="left"/>
      <w:pPr>
        <w:ind w:left="7937" w:hanging="794"/>
      </w:pPr>
      <w:rPr>
        <w:rFonts w:hint="default"/>
        <w:lang w:val="en-us" w:eastAsia="en-us" w:bidi="en-us"/>
      </w:rPr>
    </w:lvl>
    <w:lvl w:ilvl="8">
      <w:start w:val="0"/>
      <w:numFmt w:val="bullet"/>
      <w:lvlText w:val="•"/>
      <w:lvlJc w:val="left"/>
      <w:pPr>
        <w:ind w:left="8730" w:hanging="794"/>
      </w:pPr>
      <w:rPr>
        <w:rFonts w:hint="default"/>
        <w:lang w:val="en-us" w:eastAsia="en-us" w:bidi="en-us"/>
      </w:rPr>
    </w:lvl>
  </w:abstractNum>
  <w:abstractNum w:abstractNumId="80">
    <w:multiLevelType w:val="hybridMultilevel"/>
    <w:lvl w:ilvl="0">
      <w:start w:val="364"/>
      <w:numFmt w:val="decimal"/>
      <w:lvlText w:val="%1"/>
      <w:lvlJc w:val="left"/>
      <w:pPr>
        <w:ind w:left="2381" w:hanging="794"/>
        <w:jc w:val="right"/>
      </w:pPr>
      <w:rPr>
        <w:rFonts w:hint="default" w:ascii="Calibri" w:hAnsi="Calibri" w:eastAsia="Calibri" w:cs="Calibri"/>
        <w:spacing w:val="0"/>
        <w:w w:val="109"/>
        <w:sz w:val="13"/>
        <w:szCs w:val="13"/>
        <w:lang w:val="en-us" w:eastAsia="en-us" w:bidi="en-us"/>
      </w:rPr>
    </w:lvl>
    <w:lvl w:ilvl="1">
      <w:start w:val="0"/>
      <w:numFmt w:val="bullet"/>
      <w:lvlText w:val="•"/>
      <w:lvlJc w:val="left"/>
      <w:pPr>
        <w:ind w:left="3182" w:hanging="794"/>
      </w:pPr>
      <w:rPr>
        <w:rFonts w:hint="default"/>
        <w:lang w:val="en-us" w:eastAsia="en-us" w:bidi="en-us"/>
      </w:rPr>
    </w:lvl>
    <w:lvl w:ilvl="2">
      <w:start w:val="0"/>
      <w:numFmt w:val="bullet"/>
      <w:lvlText w:val="•"/>
      <w:lvlJc w:val="left"/>
      <w:pPr>
        <w:ind w:left="3984" w:hanging="794"/>
      </w:pPr>
      <w:rPr>
        <w:rFonts w:hint="default"/>
        <w:lang w:val="en-us" w:eastAsia="en-us" w:bidi="en-us"/>
      </w:rPr>
    </w:lvl>
    <w:lvl w:ilvl="3">
      <w:start w:val="0"/>
      <w:numFmt w:val="bullet"/>
      <w:lvlText w:val="•"/>
      <w:lvlJc w:val="left"/>
      <w:pPr>
        <w:ind w:left="4786" w:hanging="794"/>
      </w:pPr>
      <w:rPr>
        <w:rFonts w:hint="default"/>
        <w:lang w:val="en-us" w:eastAsia="en-us" w:bidi="en-us"/>
      </w:rPr>
    </w:lvl>
    <w:lvl w:ilvl="4">
      <w:start w:val="0"/>
      <w:numFmt w:val="bullet"/>
      <w:lvlText w:val="•"/>
      <w:lvlJc w:val="left"/>
      <w:pPr>
        <w:ind w:left="5589" w:hanging="794"/>
      </w:pPr>
      <w:rPr>
        <w:rFonts w:hint="default"/>
        <w:lang w:val="en-us" w:eastAsia="en-us" w:bidi="en-us"/>
      </w:rPr>
    </w:lvl>
    <w:lvl w:ilvl="5">
      <w:start w:val="0"/>
      <w:numFmt w:val="bullet"/>
      <w:lvlText w:val="•"/>
      <w:lvlJc w:val="left"/>
      <w:pPr>
        <w:ind w:left="6391" w:hanging="794"/>
      </w:pPr>
      <w:rPr>
        <w:rFonts w:hint="default"/>
        <w:lang w:val="en-us" w:eastAsia="en-us" w:bidi="en-us"/>
      </w:rPr>
    </w:lvl>
    <w:lvl w:ilvl="6">
      <w:start w:val="0"/>
      <w:numFmt w:val="bullet"/>
      <w:lvlText w:val="•"/>
      <w:lvlJc w:val="left"/>
      <w:pPr>
        <w:ind w:left="7193" w:hanging="794"/>
      </w:pPr>
      <w:rPr>
        <w:rFonts w:hint="default"/>
        <w:lang w:val="en-us" w:eastAsia="en-us" w:bidi="en-us"/>
      </w:rPr>
    </w:lvl>
    <w:lvl w:ilvl="7">
      <w:start w:val="0"/>
      <w:numFmt w:val="bullet"/>
      <w:lvlText w:val="•"/>
      <w:lvlJc w:val="left"/>
      <w:pPr>
        <w:ind w:left="7996" w:hanging="794"/>
      </w:pPr>
      <w:rPr>
        <w:rFonts w:hint="default"/>
        <w:lang w:val="en-us" w:eastAsia="en-us" w:bidi="en-us"/>
      </w:rPr>
    </w:lvl>
    <w:lvl w:ilvl="8">
      <w:start w:val="0"/>
      <w:numFmt w:val="bullet"/>
      <w:lvlText w:val="•"/>
      <w:lvlJc w:val="left"/>
      <w:pPr>
        <w:ind w:left="8798" w:hanging="794"/>
      </w:pPr>
      <w:rPr>
        <w:rFonts w:hint="default"/>
        <w:lang w:val="en-us" w:eastAsia="en-us" w:bidi="en-us"/>
      </w:rPr>
    </w:lvl>
  </w:abstractNum>
  <w:abstractNum w:abstractNumId="79">
    <w:multiLevelType w:val="hybridMultilevel"/>
    <w:lvl w:ilvl="0">
      <w:start w:val="358"/>
      <w:numFmt w:val="decimal"/>
      <w:lvlText w:val="%1"/>
      <w:lvlJc w:val="left"/>
      <w:pPr>
        <w:ind w:left="2381" w:hanging="794"/>
        <w:jc w:val="left"/>
      </w:pPr>
      <w:rPr>
        <w:rFonts w:hint="default" w:ascii="Calibri" w:hAnsi="Calibri" w:eastAsia="Calibri" w:cs="Calibri"/>
        <w:w w:val="109"/>
        <w:sz w:val="13"/>
        <w:szCs w:val="13"/>
        <w:lang w:val="en-us" w:eastAsia="en-us" w:bidi="en-us"/>
      </w:rPr>
    </w:lvl>
    <w:lvl w:ilvl="1">
      <w:start w:val="0"/>
      <w:numFmt w:val="bullet"/>
      <w:lvlText w:val="•"/>
      <w:lvlJc w:val="left"/>
      <w:pPr>
        <w:ind w:left="3182" w:hanging="794"/>
      </w:pPr>
      <w:rPr>
        <w:rFonts w:hint="default"/>
        <w:lang w:val="en-us" w:eastAsia="en-us" w:bidi="en-us"/>
      </w:rPr>
    </w:lvl>
    <w:lvl w:ilvl="2">
      <w:start w:val="0"/>
      <w:numFmt w:val="bullet"/>
      <w:lvlText w:val="•"/>
      <w:lvlJc w:val="left"/>
      <w:pPr>
        <w:ind w:left="3984" w:hanging="794"/>
      </w:pPr>
      <w:rPr>
        <w:rFonts w:hint="default"/>
        <w:lang w:val="en-us" w:eastAsia="en-us" w:bidi="en-us"/>
      </w:rPr>
    </w:lvl>
    <w:lvl w:ilvl="3">
      <w:start w:val="0"/>
      <w:numFmt w:val="bullet"/>
      <w:lvlText w:val="•"/>
      <w:lvlJc w:val="left"/>
      <w:pPr>
        <w:ind w:left="4786" w:hanging="794"/>
      </w:pPr>
      <w:rPr>
        <w:rFonts w:hint="default"/>
        <w:lang w:val="en-us" w:eastAsia="en-us" w:bidi="en-us"/>
      </w:rPr>
    </w:lvl>
    <w:lvl w:ilvl="4">
      <w:start w:val="0"/>
      <w:numFmt w:val="bullet"/>
      <w:lvlText w:val="•"/>
      <w:lvlJc w:val="left"/>
      <w:pPr>
        <w:ind w:left="5589" w:hanging="794"/>
      </w:pPr>
      <w:rPr>
        <w:rFonts w:hint="default"/>
        <w:lang w:val="en-us" w:eastAsia="en-us" w:bidi="en-us"/>
      </w:rPr>
    </w:lvl>
    <w:lvl w:ilvl="5">
      <w:start w:val="0"/>
      <w:numFmt w:val="bullet"/>
      <w:lvlText w:val="•"/>
      <w:lvlJc w:val="left"/>
      <w:pPr>
        <w:ind w:left="6391" w:hanging="794"/>
      </w:pPr>
      <w:rPr>
        <w:rFonts w:hint="default"/>
        <w:lang w:val="en-us" w:eastAsia="en-us" w:bidi="en-us"/>
      </w:rPr>
    </w:lvl>
    <w:lvl w:ilvl="6">
      <w:start w:val="0"/>
      <w:numFmt w:val="bullet"/>
      <w:lvlText w:val="•"/>
      <w:lvlJc w:val="left"/>
      <w:pPr>
        <w:ind w:left="7193" w:hanging="794"/>
      </w:pPr>
      <w:rPr>
        <w:rFonts w:hint="default"/>
        <w:lang w:val="en-us" w:eastAsia="en-us" w:bidi="en-us"/>
      </w:rPr>
    </w:lvl>
    <w:lvl w:ilvl="7">
      <w:start w:val="0"/>
      <w:numFmt w:val="bullet"/>
      <w:lvlText w:val="•"/>
      <w:lvlJc w:val="left"/>
      <w:pPr>
        <w:ind w:left="7996" w:hanging="794"/>
      </w:pPr>
      <w:rPr>
        <w:rFonts w:hint="default"/>
        <w:lang w:val="en-us" w:eastAsia="en-us" w:bidi="en-us"/>
      </w:rPr>
    </w:lvl>
    <w:lvl w:ilvl="8">
      <w:start w:val="0"/>
      <w:numFmt w:val="bullet"/>
      <w:lvlText w:val="•"/>
      <w:lvlJc w:val="left"/>
      <w:pPr>
        <w:ind w:left="8798" w:hanging="794"/>
      </w:pPr>
      <w:rPr>
        <w:rFonts w:hint="default"/>
        <w:lang w:val="en-us" w:eastAsia="en-us" w:bidi="en-us"/>
      </w:rPr>
    </w:lvl>
  </w:abstractNum>
  <w:abstractNum w:abstractNumId="78">
    <w:multiLevelType w:val="hybridMultilevel"/>
    <w:lvl w:ilvl="0">
      <w:start w:val="226"/>
      <w:numFmt w:val="decimal"/>
      <w:lvlText w:val="%0.%1"/>
      <w:lvlJc w:val="left"/>
      <w:pPr>
        <w:ind w:left="2381" w:hanging="794"/>
        <w:jc w:val="left"/>
      </w:pPr>
      <w:rPr>
        <w:rFonts w:hint="default" w:ascii="Calibri" w:hAnsi="Calibri" w:eastAsia="Calibri" w:cs="Calibri"/>
        <w:spacing w:val="-8"/>
        <w:w w:val="109"/>
        <w:sz w:val="21"/>
        <w:szCs w:val="21"/>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740" w:hanging="341"/>
      </w:pPr>
      <w:rPr>
        <w:rFonts w:hint="default"/>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77">
    <w:multiLevelType w:val="hybridMultilevel"/>
    <w:lvl w:ilvl="0">
      <w:start w:val="344"/>
      <w:numFmt w:val="decimal"/>
      <w:lvlText w:val="%1"/>
      <w:lvlJc w:val="left"/>
      <w:pPr>
        <w:ind w:left="2381" w:hanging="794"/>
        <w:jc w:val="left"/>
      </w:pPr>
      <w:rPr>
        <w:rFonts w:hint="default" w:ascii="Calibri" w:hAnsi="Calibri" w:eastAsia="Calibri" w:cs="Calibri"/>
        <w:spacing w:val="0"/>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76">
    <w:multiLevelType w:val="hybridMultilevel"/>
    <w:lvl w:ilvl="0">
      <w:start w:val="335"/>
      <w:numFmt w:val="decimal"/>
      <w:lvlText w:val="%1"/>
      <w:lvlJc w:val="left"/>
      <w:pPr>
        <w:ind w:left="2381" w:hanging="794"/>
        <w:jc w:val="left"/>
      </w:pPr>
      <w:rPr>
        <w:rFonts w:hint="default" w:ascii="Calibri" w:hAnsi="Calibri" w:eastAsia="Calibri" w:cs="Calibri"/>
        <w:spacing w:val="-1"/>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75">
    <w:multiLevelType w:val="hybridMultilevel"/>
    <w:lvl w:ilvl="0">
      <w:start w:val="321"/>
      <w:numFmt w:val="decimal"/>
      <w:lvlText w:val="%1"/>
      <w:lvlJc w:val="left"/>
      <w:pPr>
        <w:ind w:left="2381"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74">
    <w:multiLevelType w:val="hybridMultilevel"/>
    <w:lvl w:ilvl="0">
      <w:start w:val="314"/>
      <w:numFmt w:val="decimal"/>
      <w:lvlText w:val="%1"/>
      <w:lvlJc w:val="left"/>
      <w:pPr>
        <w:ind w:left="2381"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73">
    <w:multiLevelType w:val="hybridMultilevel"/>
    <w:lvl w:ilvl="0">
      <w:start w:val="293"/>
      <w:numFmt w:val="decimal"/>
      <w:lvlText w:val="%1"/>
      <w:lvlJc w:val="left"/>
      <w:pPr>
        <w:ind w:left="2381" w:hanging="794"/>
        <w:jc w:val="left"/>
      </w:pPr>
      <w:rPr>
        <w:rFonts w:hint="default" w:ascii="Calibri" w:hAnsi="Calibri" w:eastAsia="Calibri" w:cs="Calibri"/>
        <w:spacing w:val="-2"/>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72">
    <w:multiLevelType w:val="hybridMultilevel"/>
    <w:lvl w:ilvl="0">
      <w:start w:val="282"/>
      <w:numFmt w:val="decimal"/>
      <w:lvlText w:val="%1"/>
      <w:lvlJc w:val="left"/>
      <w:pPr>
        <w:ind w:left="2381" w:hanging="794"/>
        <w:jc w:val="left"/>
      </w:pPr>
      <w:rPr>
        <w:rFonts w:hint="default" w:ascii="Calibri" w:hAnsi="Calibri" w:eastAsia="Calibri" w:cs="Calibri"/>
        <w:spacing w:val="-1"/>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71">
    <w:multiLevelType w:val="hybridMultilevel"/>
    <w:lvl w:ilvl="0">
      <w:start w:val="270"/>
      <w:numFmt w:val="decimal"/>
      <w:lvlText w:val="%1"/>
      <w:lvlJc w:val="left"/>
      <w:pPr>
        <w:ind w:left="2381" w:hanging="794"/>
        <w:jc w:val="left"/>
      </w:pPr>
      <w:rPr>
        <w:rFonts w:hint="default" w:ascii="Calibri" w:hAnsi="Calibri" w:eastAsia="Calibri" w:cs="Calibri"/>
        <w:spacing w:val="-2"/>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70">
    <w:multiLevelType w:val="hybridMultilevel"/>
    <w:lvl w:ilvl="0">
      <w:start w:val="257"/>
      <w:numFmt w:val="decimal"/>
      <w:lvlText w:val="%1"/>
      <w:lvlJc w:val="left"/>
      <w:pPr>
        <w:ind w:left="2381" w:hanging="794"/>
        <w:jc w:val="left"/>
      </w:pPr>
      <w:rPr>
        <w:rFonts w:hint="default" w:ascii="Calibri" w:hAnsi="Calibri" w:eastAsia="Calibri" w:cs="Calibri"/>
        <w:spacing w:val="-1"/>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69">
    <w:multiLevelType w:val="hybridMultilevel"/>
    <w:lvl w:ilvl="0">
      <w:start w:val="250"/>
      <w:numFmt w:val="decimal"/>
      <w:lvlText w:val="%1"/>
      <w:lvlJc w:val="left"/>
      <w:pPr>
        <w:ind w:left="2381" w:hanging="794"/>
        <w:jc w:val="left"/>
      </w:pPr>
      <w:rPr>
        <w:rFonts w:hint="default" w:ascii="Calibri" w:hAnsi="Calibri" w:eastAsia="Calibri" w:cs="Calibri"/>
        <w:spacing w:val="-1"/>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740" w:hanging="341"/>
      </w:pPr>
      <w:rPr>
        <w:rFonts w:hint="default"/>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67">
    <w:multiLevelType w:val="hybridMultilevel"/>
    <w:lvl w:ilvl="0">
      <w:start w:val="245"/>
      <w:numFmt w:val="decimal"/>
      <w:lvlText w:val="%1"/>
      <w:lvlJc w:val="left"/>
      <w:pPr>
        <w:ind w:left="2381" w:hanging="794"/>
        <w:jc w:val="left"/>
      </w:pPr>
      <w:rPr>
        <w:rFonts w:hint="default" w:ascii="Calibri" w:hAnsi="Calibri" w:eastAsia="Calibri" w:cs="Calibri"/>
        <w:spacing w:val="-2"/>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66">
    <w:multiLevelType w:val="hybridMultilevel"/>
    <w:lvl w:ilvl="0">
      <w:start w:val="238"/>
      <w:numFmt w:val="decimal"/>
      <w:lvlText w:val="%1"/>
      <w:lvlJc w:val="left"/>
      <w:pPr>
        <w:ind w:left="2381" w:hanging="794"/>
        <w:jc w:val="left"/>
      </w:pPr>
      <w:rPr>
        <w:rFonts w:hint="default" w:ascii="Calibri" w:hAnsi="Calibri" w:eastAsia="Calibri" w:cs="Calibri"/>
        <w:spacing w:val="0"/>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65">
    <w:multiLevelType w:val="hybridMultilevel"/>
    <w:lvl w:ilvl="0">
      <w:start w:val="235"/>
      <w:numFmt w:val="decimal"/>
      <w:lvlText w:val="%1"/>
      <w:lvlJc w:val="left"/>
      <w:pPr>
        <w:ind w:left="2381" w:hanging="794"/>
        <w:jc w:val="left"/>
      </w:pPr>
      <w:rPr>
        <w:rFonts w:hint="default" w:ascii="Calibri" w:hAnsi="Calibri" w:eastAsia="Calibri" w:cs="Calibri"/>
        <w:spacing w:val="0"/>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64">
    <w:multiLevelType w:val="hybridMultilevel"/>
    <w:lvl w:ilvl="0">
      <w:start w:val="1"/>
      <w:numFmt w:val="lowerLetter"/>
      <w:lvlText w:val="(%1)"/>
      <w:lvlJc w:val="left"/>
      <w:pPr>
        <w:ind w:left="567" w:hanging="567"/>
        <w:jc w:val="left"/>
      </w:pPr>
      <w:rPr>
        <w:rFonts w:hint="default" w:ascii="Calibri" w:hAnsi="Calibri" w:eastAsia="Calibri" w:cs="Calibri"/>
        <w:spacing w:val="0"/>
        <w:w w:val="109"/>
        <w:sz w:val="21"/>
        <w:szCs w:val="21"/>
        <w:lang w:val="en-us" w:eastAsia="en-us" w:bidi="en-us"/>
      </w:rPr>
    </w:lvl>
    <w:lvl w:ilvl="1">
      <w:start w:val="0"/>
      <w:numFmt w:val="bullet"/>
      <w:lvlText w:val="•"/>
      <w:lvlJc w:val="left"/>
      <w:pPr>
        <w:ind w:left="1259" w:hanging="567"/>
      </w:pPr>
      <w:rPr>
        <w:rFonts w:hint="default"/>
        <w:lang w:val="en-us" w:eastAsia="en-us" w:bidi="en-us"/>
      </w:rPr>
    </w:lvl>
    <w:lvl w:ilvl="2">
      <w:start w:val="0"/>
      <w:numFmt w:val="bullet"/>
      <w:lvlText w:val="•"/>
      <w:lvlJc w:val="left"/>
      <w:pPr>
        <w:ind w:left="1958" w:hanging="567"/>
      </w:pPr>
      <w:rPr>
        <w:rFonts w:hint="default"/>
        <w:lang w:val="en-us" w:eastAsia="en-us" w:bidi="en-us"/>
      </w:rPr>
    </w:lvl>
    <w:lvl w:ilvl="3">
      <w:start w:val="0"/>
      <w:numFmt w:val="bullet"/>
      <w:lvlText w:val="•"/>
      <w:lvlJc w:val="left"/>
      <w:pPr>
        <w:ind w:left="2657" w:hanging="567"/>
      </w:pPr>
      <w:rPr>
        <w:rFonts w:hint="default"/>
        <w:lang w:val="en-us" w:eastAsia="en-us" w:bidi="en-us"/>
      </w:rPr>
    </w:lvl>
    <w:lvl w:ilvl="4">
      <w:start w:val="0"/>
      <w:numFmt w:val="bullet"/>
      <w:lvlText w:val="•"/>
      <w:lvlJc w:val="left"/>
      <w:pPr>
        <w:ind w:left="3357" w:hanging="567"/>
      </w:pPr>
      <w:rPr>
        <w:rFonts w:hint="default"/>
        <w:lang w:val="en-us" w:eastAsia="en-us" w:bidi="en-us"/>
      </w:rPr>
    </w:lvl>
    <w:lvl w:ilvl="5">
      <w:start w:val="0"/>
      <w:numFmt w:val="bullet"/>
      <w:lvlText w:val="•"/>
      <w:lvlJc w:val="left"/>
      <w:pPr>
        <w:ind w:left="4056" w:hanging="567"/>
      </w:pPr>
      <w:rPr>
        <w:rFonts w:hint="default"/>
        <w:lang w:val="en-us" w:eastAsia="en-us" w:bidi="en-us"/>
      </w:rPr>
    </w:lvl>
    <w:lvl w:ilvl="6">
      <w:start w:val="0"/>
      <w:numFmt w:val="bullet"/>
      <w:lvlText w:val="•"/>
      <w:lvlJc w:val="left"/>
      <w:pPr>
        <w:ind w:left="4755" w:hanging="567"/>
      </w:pPr>
      <w:rPr>
        <w:rFonts w:hint="default"/>
        <w:lang w:val="en-us" w:eastAsia="en-us" w:bidi="en-us"/>
      </w:rPr>
    </w:lvl>
    <w:lvl w:ilvl="7">
      <w:start w:val="0"/>
      <w:numFmt w:val="bullet"/>
      <w:lvlText w:val="•"/>
      <w:lvlJc w:val="left"/>
      <w:pPr>
        <w:ind w:left="5455" w:hanging="567"/>
      </w:pPr>
      <w:rPr>
        <w:rFonts w:hint="default"/>
        <w:lang w:val="en-us" w:eastAsia="en-us" w:bidi="en-us"/>
      </w:rPr>
    </w:lvl>
    <w:lvl w:ilvl="8">
      <w:start w:val="0"/>
      <w:numFmt w:val="bullet"/>
      <w:lvlText w:val="•"/>
      <w:lvlJc w:val="left"/>
      <w:pPr>
        <w:ind w:left="6154" w:hanging="567"/>
      </w:pPr>
      <w:rPr>
        <w:rFonts w:hint="default"/>
        <w:lang w:val="en-us" w:eastAsia="en-us" w:bidi="en-us"/>
      </w:rPr>
    </w:lvl>
  </w:abstractNum>
  <w:abstractNum w:abstractNumId="63">
    <w:multiLevelType w:val="hybridMultilevel"/>
    <w:lvl w:ilvl="0">
      <w:start w:val="148"/>
      <w:numFmt w:val="decimal"/>
      <w:lvlText w:val="%0.%1"/>
      <w:lvlJc w:val="left"/>
      <w:pPr>
        <w:ind w:left="2381" w:hanging="794"/>
        <w:jc w:val="left"/>
      </w:pPr>
      <w:rPr>
        <w:rFonts w:hint="default" w:ascii="Calibri" w:hAnsi="Calibri" w:eastAsia="Calibri" w:cs="Calibri"/>
        <w:spacing w:val="-21"/>
        <w:w w:val="109"/>
        <w:sz w:val="21"/>
        <w:szCs w:val="21"/>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740" w:hanging="341"/>
      </w:pPr>
      <w:rPr>
        <w:rFonts w:hint="default"/>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62">
    <w:multiLevelType w:val="hybridMultilevel"/>
    <w:lvl w:ilvl="0">
      <w:start w:val="210"/>
      <w:numFmt w:val="decimal"/>
      <w:lvlText w:val="%1"/>
      <w:lvlJc w:val="left"/>
      <w:pPr>
        <w:ind w:left="2381"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61">
    <w:multiLevelType w:val="hybridMultilevel"/>
    <w:lvl w:ilvl="0">
      <w:start w:val="202"/>
      <w:numFmt w:val="decimal"/>
      <w:lvlText w:val="%1"/>
      <w:lvlJc w:val="left"/>
      <w:pPr>
        <w:ind w:left="2381" w:hanging="794"/>
        <w:jc w:val="left"/>
      </w:pPr>
      <w:rPr>
        <w:rFonts w:hint="default" w:ascii="Calibri" w:hAnsi="Calibri" w:eastAsia="Calibri" w:cs="Calibri"/>
        <w:spacing w:val="-1"/>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60">
    <w:multiLevelType w:val="hybridMultilevel"/>
    <w:lvl w:ilvl="0">
      <w:start w:val="197"/>
      <w:numFmt w:val="decimal"/>
      <w:lvlText w:val="%1"/>
      <w:lvlJc w:val="left"/>
      <w:pPr>
        <w:ind w:left="2381"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59">
    <w:multiLevelType w:val="hybridMultilevel"/>
    <w:lvl w:ilvl="0">
      <w:start w:val="194"/>
      <w:numFmt w:val="decimal"/>
      <w:lvlText w:val="%1"/>
      <w:lvlJc w:val="left"/>
      <w:pPr>
        <w:ind w:left="2381"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58">
    <w:multiLevelType w:val="hybridMultilevel"/>
    <w:lvl w:ilvl="0">
      <w:start w:val="190"/>
      <w:numFmt w:val="decimal"/>
      <w:lvlText w:val="%1"/>
      <w:lvlJc w:val="left"/>
      <w:pPr>
        <w:ind w:left="2381"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57">
    <w:multiLevelType w:val="hybridMultilevel"/>
    <w:lvl w:ilvl="0">
      <w:start w:val="1"/>
      <w:numFmt w:val="lowerLetter"/>
      <w:lvlText w:val="(%1)"/>
      <w:lvlJc w:val="left"/>
      <w:pPr>
        <w:ind w:left="567" w:hanging="567"/>
        <w:jc w:val="left"/>
      </w:pPr>
      <w:rPr>
        <w:rFonts w:hint="default" w:ascii="Calibri" w:hAnsi="Calibri" w:eastAsia="Calibri" w:cs="Calibri"/>
        <w:spacing w:val="0"/>
        <w:w w:val="109"/>
        <w:sz w:val="21"/>
        <w:szCs w:val="21"/>
        <w:lang w:val="en-us" w:eastAsia="en-us" w:bidi="en-us"/>
      </w:rPr>
    </w:lvl>
    <w:lvl w:ilvl="1">
      <w:start w:val="0"/>
      <w:numFmt w:val="bullet"/>
      <w:lvlText w:val="•"/>
      <w:lvlJc w:val="left"/>
      <w:pPr>
        <w:ind w:left="1078" w:hanging="567"/>
      </w:pPr>
      <w:rPr>
        <w:rFonts w:hint="default"/>
        <w:lang w:val="en-us" w:eastAsia="en-us" w:bidi="en-us"/>
      </w:rPr>
    </w:lvl>
    <w:lvl w:ilvl="2">
      <w:start w:val="0"/>
      <w:numFmt w:val="bullet"/>
      <w:lvlText w:val="•"/>
      <w:lvlJc w:val="left"/>
      <w:pPr>
        <w:ind w:left="1597" w:hanging="567"/>
      </w:pPr>
      <w:rPr>
        <w:rFonts w:hint="default"/>
        <w:lang w:val="en-us" w:eastAsia="en-us" w:bidi="en-us"/>
      </w:rPr>
    </w:lvl>
    <w:lvl w:ilvl="3">
      <w:start w:val="0"/>
      <w:numFmt w:val="bullet"/>
      <w:lvlText w:val="•"/>
      <w:lvlJc w:val="left"/>
      <w:pPr>
        <w:ind w:left="2115" w:hanging="567"/>
      </w:pPr>
      <w:rPr>
        <w:rFonts w:hint="default"/>
        <w:lang w:val="en-us" w:eastAsia="en-us" w:bidi="en-us"/>
      </w:rPr>
    </w:lvl>
    <w:lvl w:ilvl="4">
      <w:start w:val="0"/>
      <w:numFmt w:val="bullet"/>
      <w:lvlText w:val="•"/>
      <w:lvlJc w:val="left"/>
      <w:pPr>
        <w:ind w:left="2634" w:hanging="567"/>
      </w:pPr>
      <w:rPr>
        <w:rFonts w:hint="default"/>
        <w:lang w:val="en-us" w:eastAsia="en-us" w:bidi="en-us"/>
      </w:rPr>
    </w:lvl>
    <w:lvl w:ilvl="5">
      <w:start w:val="0"/>
      <w:numFmt w:val="bullet"/>
      <w:lvlText w:val="•"/>
      <w:lvlJc w:val="left"/>
      <w:pPr>
        <w:ind w:left="3153" w:hanging="567"/>
      </w:pPr>
      <w:rPr>
        <w:rFonts w:hint="default"/>
        <w:lang w:val="en-us" w:eastAsia="en-us" w:bidi="en-us"/>
      </w:rPr>
    </w:lvl>
    <w:lvl w:ilvl="6">
      <w:start w:val="0"/>
      <w:numFmt w:val="bullet"/>
      <w:lvlText w:val="•"/>
      <w:lvlJc w:val="left"/>
      <w:pPr>
        <w:ind w:left="3671" w:hanging="567"/>
      </w:pPr>
      <w:rPr>
        <w:rFonts w:hint="default"/>
        <w:lang w:val="en-us" w:eastAsia="en-us" w:bidi="en-us"/>
      </w:rPr>
    </w:lvl>
    <w:lvl w:ilvl="7">
      <w:start w:val="0"/>
      <w:numFmt w:val="bullet"/>
      <w:lvlText w:val="•"/>
      <w:lvlJc w:val="left"/>
      <w:pPr>
        <w:ind w:left="4190" w:hanging="567"/>
      </w:pPr>
      <w:rPr>
        <w:rFonts w:hint="default"/>
        <w:lang w:val="en-us" w:eastAsia="en-us" w:bidi="en-us"/>
      </w:rPr>
    </w:lvl>
    <w:lvl w:ilvl="8">
      <w:start w:val="0"/>
      <w:numFmt w:val="bullet"/>
      <w:lvlText w:val="•"/>
      <w:lvlJc w:val="left"/>
      <w:pPr>
        <w:ind w:left="4708" w:hanging="567"/>
      </w:pPr>
      <w:rPr>
        <w:rFonts w:hint="default"/>
        <w:lang w:val="en-us" w:eastAsia="en-us" w:bidi="en-us"/>
      </w:rPr>
    </w:lvl>
  </w:abstractNum>
  <w:abstractNum w:abstractNumId="56">
    <w:multiLevelType w:val="hybridMultilevel"/>
    <w:lvl w:ilvl="0">
      <w:start w:val="181"/>
      <w:numFmt w:val="decimal"/>
      <w:lvlText w:val="%1"/>
      <w:lvlJc w:val="left"/>
      <w:pPr>
        <w:ind w:left="2381" w:hanging="794"/>
        <w:jc w:val="left"/>
      </w:pPr>
      <w:rPr>
        <w:rFonts w:hint="default" w:ascii="Calibri" w:hAnsi="Calibri" w:eastAsia="Calibri" w:cs="Calibri"/>
        <w:spacing w:val="-4"/>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55">
    <w:multiLevelType w:val="hybridMultilevel"/>
    <w:lvl w:ilvl="0">
      <w:start w:val="105"/>
      <w:numFmt w:val="decimal"/>
      <w:lvlText w:val="%0.%1"/>
      <w:lvlJc w:val="left"/>
      <w:pPr>
        <w:ind w:left="2381" w:hanging="794"/>
        <w:jc w:val="left"/>
      </w:pPr>
      <w:rPr>
        <w:rFonts w:hint="default" w:ascii="Calibri" w:hAnsi="Calibri" w:eastAsia="Calibri" w:cs="Calibri"/>
        <w:spacing w:val="-21"/>
        <w:w w:val="109"/>
        <w:sz w:val="21"/>
        <w:szCs w:val="21"/>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740" w:hanging="341"/>
      </w:pPr>
      <w:rPr>
        <w:rFonts w:hint="default"/>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54">
    <w:multiLevelType w:val="hybridMultilevel"/>
    <w:lvl w:ilvl="0">
      <w:start w:val="165"/>
      <w:numFmt w:val="decimal"/>
      <w:lvlText w:val="%1"/>
      <w:lvlJc w:val="left"/>
      <w:pPr>
        <w:ind w:left="2381" w:hanging="794"/>
        <w:jc w:val="left"/>
      </w:pPr>
      <w:rPr>
        <w:rFonts w:hint="default" w:ascii="Calibri" w:hAnsi="Calibri" w:eastAsia="Calibri" w:cs="Calibri"/>
        <w:spacing w:val="-4"/>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53">
    <w:multiLevelType w:val="hybridMultilevel"/>
    <w:lvl w:ilvl="0">
      <w:start w:val="159"/>
      <w:numFmt w:val="decimal"/>
      <w:lvlText w:val="%1"/>
      <w:lvlJc w:val="left"/>
      <w:pPr>
        <w:ind w:left="2381" w:hanging="794"/>
        <w:jc w:val="left"/>
      </w:pPr>
      <w:rPr>
        <w:rFonts w:hint="default" w:ascii="Calibri" w:hAnsi="Calibri" w:eastAsia="Calibri" w:cs="Calibri"/>
        <w:spacing w:val="-6"/>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52">
    <w:multiLevelType w:val="hybridMultilevel"/>
    <w:lvl w:ilvl="0">
      <w:start w:val="1"/>
      <w:numFmt w:val="lowerLetter"/>
      <w:lvlText w:val="(%1)"/>
      <w:lvlJc w:val="left"/>
      <w:pPr>
        <w:ind w:left="567" w:hanging="567"/>
        <w:jc w:val="left"/>
      </w:pPr>
      <w:rPr>
        <w:rFonts w:hint="default" w:ascii="Calibri" w:hAnsi="Calibri" w:eastAsia="Calibri" w:cs="Calibri"/>
        <w:spacing w:val="0"/>
        <w:w w:val="109"/>
        <w:sz w:val="21"/>
        <w:szCs w:val="21"/>
        <w:lang w:val="en-us" w:eastAsia="en-us" w:bidi="en-us"/>
      </w:rPr>
    </w:lvl>
    <w:lvl w:ilvl="1">
      <w:start w:val="0"/>
      <w:numFmt w:val="bullet"/>
      <w:lvlText w:val="•"/>
      <w:lvlJc w:val="left"/>
      <w:pPr>
        <w:ind w:left="1252" w:hanging="567"/>
      </w:pPr>
      <w:rPr>
        <w:rFonts w:hint="default"/>
        <w:lang w:val="en-us" w:eastAsia="en-us" w:bidi="en-us"/>
      </w:rPr>
    </w:lvl>
    <w:lvl w:ilvl="2">
      <w:start w:val="0"/>
      <w:numFmt w:val="bullet"/>
      <w:lvlText w:val="•"/>
      <w:lvlJc w:val="left"/>
      <w:pPr>
        <w:ind w:left="1945" w:hanging="567"/>
      </w:pPr>
      <w:rPr>
        <w:rFonts w:hint="default"/>
        <w:lang w:val="en-us" w:eastAsia="en-us" w:bidi="en-us"/>
      </w:rPr>
    </w:lvl>
    <w:lvl w:ilvl="3">
      <w:start w:val="0"/>
      <w:numFmt w:val="bullet"/>
      <w:lvlText w:val="•"/>
      <w:lvlJc w:val="left"/>
      <w:pPr>
        <w:ind w:left="2638" w:hanging="567"/>
      </w:pPr>
      <w:rPr>
        <w:rFonts w:hint="default"/>
        <w:lang w:val="en-us" w:eastAsia="en-us" w:bidi="en-us"/>
      </w:rPr>
    </w:lvl>
    <w:lvl w:ilvl="4">
      <w:start w:val="0"/>
      <w:numFmt w:val="bullet"/>
      <w:lvlText w:val="•"/>
      <w:lvlJc w:val="left"/>
      <w:pPr>
        <w:ind w:left="3331" w:hanging="567"/>
      </w:pPr>
      <w:rPr>
        <w:rFonts w:hint="default"/>
        <w:lang w:val="en-us" w:eastAsia="en-us" w:bidi="en-us"/>
      </w:rPr>
    </w:lvl>
    <w:lvl w:ilvl="5">
      <w:start w:val="0"/>
      <w:numFmt w:val="bullet"/>
      <w:lvlText w:val="•"/>
      <w:lvlJc w:val="left"/>
      <w:pPr>
        <w:ind w:left="4024" w:hanging="567"/>
      </w:pPr>
      <w:rPr>
        <w:rFonts w:hint="default"/>
        <w:lang w:val="en-us" w:eastAsia="en-us" w:bidi="en-us"/>
      </w:rPr>
    </w:lvl>
    <w:lvl w:ilvl="6">
      <w:start w:val="0"/>
      <w:numFmt w:val="bullet"/>
      <w:lvlText w:val="•"/>
      <w:lvlJc w:val="left"/>
      <w:pPr>
        <w:ind w:left="4717" w:hanging="567"/>
      </w:pPr>
      <w:rPr>
        <w:rFonts w:hint="default"/>
        <w:lang w:val="en-us" w:eastAsia="en-us" w:bidi="en-us"/>
      </w:rPr>
    </w:lvl>
    <w:lvl w:ilvl="7">
      <w:start w:val="0"/>
      <w:numFmt w:val="bullet"/>
      <w:lvlText w:val="•"/>
      <w:lvlJc w:val="left"/>
      <w:pPr>
        <w:ind w:left="5410" w:hanging="567"/>
      </w:pPr>
      <w:rPr>
        <w:rFonts w:hint="default"/>
        <w:lang w:val="en-us" w:eastAsia="en-us" w:bidi="en-us"/>
      </w:rPr>
    </w:lvl>
    <w:lvl w:ilvl="8">
      <w:start w:val="0"/>
      <w:numFmt w:val="bullet"/>
      <w:lvlText w:val="•"/>
      <w:lvlJc w:val="left"/>
      <w:pPr>
        <w:ind w:left="6102" w:hanging="567"/>
      </w:pPr>
      <w:rPr>
        <w:rFonts w:hint="default"/>
        <w:lang w:val="en-us" w:eastAsia="en-us" w:bidi="en-us"/>
      </w:rPr>
    </w:lvl>
  </w:abstractNum>
  <w:abstractNum w:abstractNumId="51">
    <w:multiLevelType w:val="hybridMultilevel"/>
    <w:lvl w:ilvl="0">
      <w:start w:val="130"/>
      <w:numFmt w:val="decimal"/>
      <w:lvlText w:val="%1"/>
      <w:lvlJc w:val="left"/>
      <w:pPr>
        <w:ind w:left="2381" w:hanging="794"/>
        <w:jc w:val="left"/>
      </w:pPr>
      <w:rPr>
        <w:rFonts w:hint="default" w:ascii="Calibri" w:hAnsi="Calibri" w:eastAsia="Calibri" w:cs="Calibri"/>
        <w:spacing w:val="-7"/>
        <w:w w:val="109"/>
        <w:sz w:val="13"/>
        <w:szCs w:val="13"/>
        <w:lang w:val="en-us" w:eastAsia="en-us" w:bidi="en-us"/>
      </w:rPr>
    </w:lvl>
    <w:lvl w:ilvl="1">
      <w:start w:val="0"/>
      <w:numFmt w:val="bullet"/>
      <w:lvlText w:val="•"/>
      <w:lvlJc w:val="left"/>
      <w:pPr>
        <w:ind w:left="2560" w:hanging="794"/>
      </w:pPr>
      <w:rPr>
        <w:rFonts w:hint="default"/>
        <w:lang w:val="en-us" w:eastAsia="en-us" w:bidi="en-us"/>
      </w:rPr>
    </w:lvl>
    <w:lvl w:ilvl="2">
      <w:start w:val="0"/>
      <w:numFmt w:val="bullet"/>
      <w:lvlText w:val="•"/>
      <w:lvlJc w:val="left"/>
      <w:pPr>
        <w:ind w:left="3598" w:hanging="794"/>
      </w:pPr>
      <w:rPr>
        <w:rFonts w:hint="default"/>
        <w:lang w:val="en-us" w:eastAsia="en-us" w:bidi="en-us"/>
      </w:rPr>
    </w:lvl>
    <w:lvl w:ilvl="3">
      <w:start w:val="0"/>
      <w:numFmt w:val="bullet"/>
      <w:lvlText w:val="•"/>
      <w:lvlJc w:val="left"/>
      <w:pPr>
        <w:ind w:left="4636" w:hanging="794"/>
      </w:pPr>
      <w:rPr>
        <w:rFonts w:hint="default"/>
        <w:lang w:val="en-us" w:eastAsia="en-us" w:bidi="en-us"/>
      </w:rPr>
    </w:lvl>
    <w:lvl w:ilvl="4">
      <w:start w:val="0"/>
      <w:numFmt w:val="bullet"/>
      <w:lvlText w:val="•"/>
      <w:lvlJc w:val="left"/>
      <w:pPr>
        <w:ind w:left="5675" w:hanging="794"/>
      </w:pPr>
      <w:rPr>
        <w:rFonts w:hint="default"/>
        <w:lang w:val="en-us" w:eastAsia="en-us" w:bidi="en-us"/>
      </w:rPr>
    </w:lvl>
    <w:lvl w:ilvl="5">
      <w:start w:val="0"/>
      <w:numFmt w:val="bullet"/>
      <w:lvlText w:val="•"/>
      <w:lvlJc w:val="left"/>
      <w:pPr>
        <w:ind w:left="6713" w:hanging="794"/>
      </w:pPr>
      <w:rPr>
        <w:rFonts w:hint="default"/>
        <w:lang w:val="en-us" w:eastAsia="en-us" w:bidi="en-us"/>
      </w:rPr>
    </w:lvl>
    <w:lvl w:ilvl="6">
      <w:start w:val="0"/>
      <w:numFmt w:val="bullet"/>
      <w:lvlText w:val="•"/>
      <w:lvlJc w:val="left"/>
      <w:pPr>
        <w:ind w:left="7751" w:hanging="794"/>
      </w:pPr>
      <w:rPr>
        <w:rFonts w:hint="default"/>
        <w:lang w:val="en-us" w:eastAsia="en-us" w:bidi="en-us"/>
      </w:rPr>
    </w:lvl>
    <w:lvl w:ilvl="7">
      <w:start w:val="0"/>
      <w:numFmt w:val="bullet"/>
      <w:lvlText w:val="•"/>
      <w:lvlJc w:val="left"/>
      <w:pPr>
        <w:ind w:left="8790" w:hanging="794"/>
      </w:pPr>
      <w:rPr>
        <w:rFonts w:hint="default"/>
        <w:lang w:val="en-us" w:eastAsia="en-us" w:bidi="en-us"/>
      </w:rPr>
    </w:lvl>
    <w:lvl w:ilvl="8">
      <w:start w:val="0"/>
      <w:numFmt w:val="bullet"/>
      <w:lvlText w:val="•"/>
      <w:lvlJc w:val="left"/>
      <w:pPr>
        <w:ind w:left="9828" w:hanging="794"/>
      </w:pPr>
      <w:rPr>
        <w:rFonts w:hint="default"/>
        <w:lang w:val="en-us" w:eastAsia="en-us" w:bidi="en-us"/>
      </w:rPr>
    </w:lvl>
  </w:abstractNum>
  <w:abstractNum w:abstractNumId="50">
    <w:multiLevelType w:val="hybridMultilevel"/>
    <w:lvl w:ilvl="0">
      <w:start w:val="95"/>
      <w:numFmt w:val="decimal"/>
      <w:lvlText w:val="%1"/>
      <w:lvlJc w:val="left"/>
      <w:pPr>
        <w:ind w:left="2381" w:hanging="794"/>
        <w:jc w:val="left"/>
      </w:pPr>
      <w:rPr>
        <w:rFonts w:hint="default" w:ascii="Calibri" w:hAnsi="Calibri" w:eastAsia="Calibri" w:cs="Calibri"/>
        <w:spacing w:val="0"/>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49">
    <w:multiLevelType w:val="hybridMultilevel"/>
    <w:lvl w:ilvl="0">
      <w:start w:val="75"/>
      <w:numFmt w:val="decimal"/>
      <w:lvlText w:val="%1"/>
      <w:lvlJc w:val="left"/>
      <w:pPr>
        <w:ind w:left="2381" w:hanging="794"/>
        <w:jc w:val="left"/>
      </w:pPr>
      <w:rPr>
        <w:rFonts w:hint="default" w:ascii="Calibri" w:hAnsi="Calibri" w:eastAsia="Calibri" w:cs="Calibri"/>
        <w:spacing w:val="-1"/>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48">
    <w:multiLevelType w:val="hybridMultilevel"/>
    <w:lvl w:ilvl="0">
      <w:start w:val="1"/>
      <w:numFmt w:val="lowerLetter"/>
      <w:lvlText w:val="(%1)"/>
      <w:lvlJc w:val="left"/>
      <w:pPr>
        <w:ind w:left="567" w:hanging="567"/>
        <w:jc w:val="left"/>
      </w:pPr>
      <w:rPr>
        <w:rFonts w:hint="default" w:ascii="Calibri" w:hAnsi="Calibri" w:eastAsia="Calibri" w:cs="Calibri"/>
        <w:spacing w:val="0"/>
        <w:w w:val="109"/>
        <w:sz w:val="21"/>
        <w:szCs w:val="21"/>
        <w:lang w:val="en-us" w:eastAsia="en-us" w:bidi="en-us"/>
      </w:rPr>
    </w:lvl>
    <w:lvl w:ilvl="1">
      <w:start w:val="0"/>
      <w:numFmt w:val="bullet"/>
      <w:lvlText w:val="•"/>
      <w:lvlJc w:val="left"/>
      <w:pPr>
        <w:ind w:left="990" w:hanging="567"/>
      </w:pPr>
      <w:rPr>
        <w:rFonts w:hint="default"/>
        <w:lang w:val="en-us" w:eastAsia="en-us" w:bidi="en-us"/>
      </w:rPr>
    </w:lvl>
    <w:lvl w:ilvl="2">
      <w:start w:val="0"/>
      <w:numFmt w:val="bullet"/>
      <w:lvlText w:val="•"/>
      <w:lvlJc w:val="left"/>
      <w:pPr>
        <w:ind w:left="1420" w:hanging="567"/>
      </w:pPr>
      <w:rPr>
        <w:rFonts w:hint="default"/>
        <w:lang w:val="en-us" w:eastAsia="en-us" w:bidi="en-us"/>
      </w:rPr>
    </w:lvl>
    <w:lvl w:ilvl="3">
      <w:start w:val="0"/>
      <w:numFmt w:val="bullet"/>
      <w:lvlText w:val="•"/>
      <w:lvlJc w:val="left"/>
      <w:pPr>
        <w:ind w:left="1850" w:hanging="567"/>
      </w:pPr>
      <w:rPr>
        <w:rFonts w:hint="default"/>
        <w:lang w:val="en-us" w:eastAsia="en-us" w:bidi="en-us"/>
      </w:rPr>
    </w:lvl>
    <w:lvl w:ilvl="4">
      <w:start w:val="0"/>
      <w:numFmt w:val="bullet"/>
      <w:lvlText w:val="•"/>
      <w:lvlJc w:val="left"/>
      <w:pPr>
        <w:ind w:left="2281" w:hanging="567"/>
      </w:pPr>
      <w:rPr>
        <w:rFonts w:hint="default"/>
        <w:lang w:val="en-us" w:eastAsia="en-us" w:bidi="en-us"/>
      </w:rPr>
    </w:lvl>
    <w:lvl w:ilvl="5">
      <w:start w:val="0"/>
      <w:numFmt w:val="bullet"/>
      <w:lvlText w:val="•"/>
      <w:lvlJc w:val="left"/>
      <w:pPr>
        <w:ind w:left="2711" w:hanging="567"/>
      </w:pPr>
      <w:rPr>
        <w:rFonts w:hint="default"/>
        <w:lang w:val="en-us" w:eastAsia="en-us" w:bidi="en-us"/>
      </w:rPr>
    </w:lvl>
    <w:lvl w:ilvl="6">
      <w:start w:val="0"/>
      <w:numFmt w:val="bullet"/>
      <w:lvlText w:val="•"/>
      <w:lvlJc w:val="left"/>
      <w:pPr>
        <w:ind w:left="3141" w:hanging="567"/>
      </w:pPr>
      <w:rPr>
        <w:rFonts w:hint="default"/>
        <w:lang w:val="en-us" w:eastAsia="en-us" w:bidi="en-us"/>
      </w:rPr>
    </w:lvl>
    <w:lvl w:ilvl="7">
      <w:start w:val="0"/>
      <w:numFmt w:val="bullet"/>
      <w:lvlText w:val="•"/>
      <w:lvlJc w:val="left"/>
      <w:pPr>
        <w:ind w:left="3572" w:hanging="567"/>
      </w:pPr>
      <w:rPr>
        <w:rFonts w:hint="default"/>
        <w:lang w:val="en-us" w:eastAsia="en-us" w:bidi="en-us"/>
      </w:rPr>
    </w:lvl>
    <w:lvl w:ilvl="8">
      <w:start w:val="0"/>
      <w:numFmt w:val="bullet"/>
      <w:lvlText w:val="•"/>
      <w:lvlJc w:val="left"/>
      <w:pPr>
        <w:ind w:left="4002" w:hanging="567"/>
      </w:pPr>
      <w:rPr>
        <w:rFonts w:hint="default"/>
        <w:lang w:val="en-us" w:eastAsia="en-us" w:bidi="en-us"/>
      </w:rPr>
    </w:lvl>
  </w:abstractNum>
  <w:abstractNum w:abstractNumId="46">
    <w:multiLevelType w:val="hybridMultilevel"/>
    <w:lvl w:ilvl="0">
      <w:start w:val="20"/>
      <w:numFmt w:val="decimal"/>
      <w:lvlText w:val="%1"/>
      <w:lvlJc w:val="left"/>
      <w:pPr>
        <w:ind w:left="2381" w:hanging="794"/>
        <w:jc w:val="left"/>
      </w:pPr>
      <w:rPr>
        <w:rFonts w:hint="default" w:ascii="Calibri" w:hAnsi="Calibri" w:eastAsia="Calibri" w:cs="Calibri"/>
        <w:spacing w:val="-1"/>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740" w:hanging="341"/>
      </w:pPr>
      <w:rPr>
        <w:rFonts w:hint="default"/>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45">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740" w:hanging="341"/>
      </w:pPr>
      <w:rPr>
        <w:rFonts w:hint="default"/>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44">
    <w:multiLevelType w:val="hybridMultilevel"/>
    <w:lvl w:ilvl="0">
      <w:start w:val="73"/>
      <w:numFmt w:val="decimal"/>
      <w:lvlText w:val="%1"/>
      <w:lvlJc w:val="left"/>
      <w:pPr>
        <w:ind w:left="2381" w:hanging="794"/>
        <w:jc w:val="left"/>
      </w:pPr>
      <w:rPr>
        <w:rFonts w:hint="default" w:ascii="Calibri" w:hAnsi="Calibri" w:eastAsia="Calibri" w:cs="Calibri"/>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43">
    <w:multiLevelType w:val="hybridMultilevel"/>
    <w:lvl w:ilvl="0">
      <w:start w:val="67"/>
      <w:numFmt w:val="decimal"/>
      <w:lvlText w:val="%1"/>
      <w:lvlJc w:val="left"/>
      <w:pPr>
        <w:ind w:left="2381" w:hanging="794"/>
        <w:jc w:val="left"/>
      </w:pPr>
      <w:rPr>
        <w:rFonts w:hint="default" w:ascii="Calibri" w:hAnsi="Calibri" w:eastAsia="Calibri" w:cs="Calibri"/>
        <w:spacing w:val="0"/>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42">
    <w:multiLevelType w:val="hybridMultilevel"/>
    <w:lvl w:ilvl="0">
      <w:start w:val="64"/>
      <w:numFmt w:val="decimal"/>
      <w:lvlText w:val="%1"/>
      <w:lvlJc w:val="left"/>
      <w:pPr>
        <w:ind w:left="2381" w:hanging="794"/>
        <w:jc w:val="left"/>
      </w:pPr>
      <w:rPr>
        <w:rFonts w:hint="default" w:ascii="Calibri" w:hAnsi="Calibri" w:eastAsia="Calibri" w:cs="Calibri"/>
        <w:spacing w:val="0"/>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740" w:hanging="341"/>
      </w:pPr>
      <w:rPr>
        <w:rFonts w:hint="default"/>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41">
    <w:multiLevelType w:val="hybridMultilevel"/>
    <w:lvl w:ilvl="0">
      <w:start w:val="4"/>
      <w:numFmt w:val="decimal"/>
      <w:lvlText w:val="%1"/>
      <w:lvlJc w:val="left"/>
      <w:pPr>
        <w:ind w:left="2381" w:hanging="794"/>
        <w:jc w:val="left"/>
      </w:pPr>
      <w:rPr>
        <w:rFonts w:hint="default"/>
        <w:lang w:val="en-us" w:eastAsia="en-us" w:bidi="en-us"/>
      </w:rPr>
    </w:lvl>
    <w:lvl w:ilvl="1">
      <w:start w:val="56"/>
      <w:numFmt w:val="decimal"/>
      <w:lvlText w:val="%1.%2"/>
      <w:lvlJc w:val="left"/>
      <w:pPr>
        <w:ind w:left="2381" w:hanging="794"/>
        <w:jc w:val="left"/>
      </w:pPr>
      <w:rPr>
        <w:rFonts w:hint="default" w:ascii="Calibri" w:hAnsi="Calibri" w:eastAsia="Calibri" w:cs="Calibri"/>
        <w:spacing w:val="-5"/>
        <w:w w:val="109"/>
        <w:sz w:val="21"/>
        <w:szCs w:val="21"/>
        <w:lang w:val="en-us" w:eastAsia="en-us" w:bidi="en-us"/>
      </w:rPr>
    </w:lvl>
    <w:lvl w:ilvl="2">
      <w:start w:val="0"/>
      <w:numFmt w:val="bullet"/>
      <w:lvlText w:val="•"/>
      <w:lvlJc w:val="left"/>
      <w:pPr>
        <w:ind w:left="2721" w:hanging="341"/>
      </w:pPr>
      <w:rPr>
        <w:rFonts w:hint="default" w:ascii="Calibri" w:hAnsi="Calibri" w:eastAsia="Calibri" w:cs="Calibri"/>
        <w:w w:val="100"/>
        <w:sz w:val="21"/>
        <w:szCs w:val="21"/>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40">
    <w:multiLevelType w:val="hybridMultilevel"/>
    <w:lvl w:ilvl="0">
      <w:start w:val="50"/>
      <w:numFmt w:val="decimal"/>
      <w:lvlText w:val="%1"/>
      <w:lvlJc w:val="left"/>
      <w:pPr>
        <w:ind w:left="2381" w:hanging="794"/>
        <w:jc w:val="left"/>
      </w:pPr>
      <w:rPr>
        <w:rFonts w:hint="default" w:ascii="Calibri" w:hAnsi="Calibri" w:eastAsia="Calibri" w:cs="Calibri"/>
        <w:spacing w:val="0"/>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39">
    <w:multiLevelType w:val="hybridMultilevel"/>
    <w:lvl w:ilvl="0">
      <w:start w:val="28"/>
      <w:numFmt w:val="decimal"/>
      <w:lvlText w:val="%1"/>
      <w:lvlJc w:val="left"/>
      <w:pPr>
        <w:ind w:left="2381" w:hanging="794"/>
        <w:jc w:val="left"/>
      </w:pPr>
      <w:rPr>
        <w:rFonts w:hint="default" w:ascii="Calibri" w:hAnsi="Calibri" w:eastAsia="Calibri" w:cs="Calibri"/>
        <w:spacing w:val="-1"/>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38">
    <w:multiLevelType w:val="hybridMultilevel"/>
    <w:lvl w:ilvl="0">
      <w:start w:val="1"/>
      <w:numFmt w:val="decimal"/>
      <w:lvlText w:val="%1"/>
      <w:lvlJc w:val="left"/>
      <w:pPr>
        <w:ind w:left="2381" w:hanging="794"/>
        <w:jc w:val="right"/>
      </w:pPr>
      <w:rPr>
        <w:rFonts w:hint="default" w:ascii="Calibri" w:hAnsi="Calibri" w:eastAsia="Calibri" w:cs="Calibri"/>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740" w:hanging="341"/>
      </w:pPr>
      <w:rPr>
        <w:rFonts w:hint="default"/>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37">
    <w:multiLevelType w:val="hybridMultilevel"/>
    <w:lvl w:ilvl="0">
      <w:start w:val="247"/>
      <w:numFmt w:val="decimal"/>
      <w:lvlText w:val="%1"/>
      <w:lvlJc w:val="left"/>
      <w:pPr>
        <w:ind w:left="2381" w:hanging="794"/>
        <w:jc w:val="left"/>
      </w:pPr>
      <w:rPr>
        <w:rFonts w:hint="default" w:ascii="Calibri" w:hAnsi="Calibri" w:eastAsia="Calibri" w:cs="Calibri"/>
        <w:spacing w:val="-2"/>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36">
    <w:multiLevelType w:val="hybridMultilevel"/>
    <w:lvl w:ilvl="0">
      <w:start w:val="238"/>
      <w:numFmt w:val="decimal"/>
      <w:lvlText w:val="%1"/>
      <w:lvlJc w:val="left"/>
      <w:pPr>
        <w:ind w:left="2381" w:hanging="794"/>
        <w:jc w:val="left"/>
      </w:pPr>
      <w:rPr>
        <w:rFonts w:hint="default" w:ascii="Calibri" w:hAnsi="Calibri" w:eastAsia="Calibri" w:cs="Calibri"/>
        <w:spacing w:val="0"/>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35">
    <w:multiLevelType w:val="hybridMultilevel"/>
    <w:lvl w:ilvl="0">
      <w:start w:val="223"/>
      <w:numFmt w:val="decimal"/>
      <w:lvlText w:val="%1"/>
      <w:lvlJc w:val="left"/>
      <w:pPr>
        <w:ind w:left="2381" w:hanging="794"/>
        <w:jc w:val="left"/>
      </w:pPr>
      <w:rPr>
        <w:rFonts w:hint="default" w:ascii="Calibri" w:hAnsi="Calibri" w:eastAsia="Calibri" w:cs="Calibri"/>
        <w:spacing w:val="0"/>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34">
    <w:multiLevelType w:val="hybridMultilevel"/>
    <w:lvl w:ilvl="0">
      <w:start w:val="138"/>
      <w:numFmt w:val="decimal"/>
      <w:lvlText w:val="%0.%1"/>
      <w:lvlJc w:val="left"/>
      <w:pPr>
        <w:ind w:left="2381" w:hanging="794"/>
        <w:jc w:val="left"/>
      </w:pPr>
      <w:rPr>
        <w:rFonts w:hint="default" w:ascii="Calibri" w:hAnsi="Calibri" w:eastAsia="Calibri" w:cs="Calibri"/>
        <w:spacing w:val="-21"/>
        <w:w w:val="109"/>
        <w:sz w:val="21"/>
        <w:szCs w:val="21"/>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33">
    <w:multiLevelType w:val="hybridMultilevel"/>
    <w:lvl w:ilvl="0">
      <w:start w:val="199"/>
      <w:numFmt w:val="decimal"/>
      <w:lvlText w:val="%1"/>
      <w:lvlJc w:val="left"/>
      <w:pPr>
        <w:ind w:left="2381"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32">
    <w:multiLevelType w:val="hybridMultilevel"/>
    <w:lvl w:ilvl="0">
      <w:start w:val="195"/>
      <w:numFmt w:val="decimal"/>
      <w:lvlText w:val="%1"/>
      <w:lvlJc w:val="left"/>
      <w:pPr>
        <w:ind w:left="2381"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31">
    <w:multiLevelType w:val="hybridMultilevel"/>
    <w:lvl w:ilvl="0">
      <w:start w:val="185"/>
      <w:numFmt w:val="decimal"/>
      <w:lvlText w:val="%1"/>
      <w:lvlJc w:val="left"/>
      <w:pPr>
        <w:ind w:left="2381" w:hanging="794"/>
        <w:jc w:val="left"/>
      </w:pPr>
      <w:rPr>
        <w:rFonts w:hint="default" w:ascii="Calibri" w:hAnsi="Calibri" w:eastAsia="Calibri" w:cs="Calibri"/>
        <w:spacing w:val="-4"/>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30">
    <w:multiLevelType w:val="hybridMultilevel"/>
    <w:lvl w:ilvl="0">
      <w:start w:val="144"/>
      <w:numFmt w:val="decimal"/>
      <w:lvlText w:val="%1"/>
      <w:lvlJc w:val="left"/>
      <w:pPr>
        <w:ind w:left="2380"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29">
    <w:multiLevelType w:val="hybridMultilevel"/>
    <w:lvl w:ilvl="0">
      <w:start w:val="135"/>
      <w:numFmt w:val="decimal"/>
      <w:lvlText w:val="%1"/>
      <w:lvlJc w:val="left"/>
      <w:pPr>
        <w:ind w:left="2381" w:hanging="794"/>
        <w:jc w:val="left"/>
      </w:pPr>
      <w:rPr>
        <w:rFonts w:hint="default" w:ascii="Calibri" w:hAnsi="Calibri" w:eastAsia="Calibri" w:cs="Calibri"/>
        <w:spacing w:val="-7"/>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740" w:hanging="341"/>
      </w:pPr>
      <w:rPr>
        <w:rFonts w:hint="default"/>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28">
    <w:multiLevelType w:val="hybridMultilevel"/>
    <w:lvl w:ilvl="0">
      <w:start w:val="119"/>
      <w:numFmt w:val="decimal"/>
      <w:lvlText w:val="%1"/>
      <w:lvlJc w:val="left"/>
      <w:pPr>
        <w:ind w:left="2381" w:hanging="794"/>
        <w:jc w:val="left"/>
      </w:pPr>
      <w:rPr>
        <w:rFonts w:hint="default" w:ascii="Calibri" w:hAnsi="Calibri" w:eastAsia="Calibri" w:cs="Calibri"/>
        <w:spacing w:val="-11"/>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27">
    <w:multiLevelType w:val="hybridMultilevel"/>
    <w:lvl w:ilvl="0">
      <w:start w:val="88"/>
      <w:numFmt w:val="decimal"/>
      <w:lvlText w:val="%1"/>
      <w:lvlJc w:val="left"/>
      <w:pPr>
        <w:ind w:left="2381" w:hanging="794"/>
        <w:jc w:val="left"/>
      </w:pPr>
      <w:rPr>
        <w:rFonts w:hint="default" w:ascii="Calibri" w:hAnsi="Calibri" w:eastAsia="Calibri" w:cs="Calibri"/>
        <w:spacing w:val="0"/>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740" w:hanging="341"/>
      </w:pPr>
      <w:rPr>
        <w:rFonts w:hint="default"/>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26">
    <w:multiLevelType w:val="hybridMultilevel"/>
    <w:lvl w:ilvl="0">
      <w:start w:val="19"/>
      <w:numFmt w:val="decimal"/>
      <w:lvlText w:val="%1"/>
      <w:lvlJc w:val="left"/>
      <w:pPr>
        <w:ind w:left="2381"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740" w:hanging="341"/>
      </w:pPr>
      <w:rPr>
        <w:rFonts w:hint="default"/>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25">
    <w:multiLevelType w:val="hybridMultilevel"/>
    <w:lvl w:ilvl="0">
      <w:start w:val="13"/>
      <w:numFmt w:val="decimal"/>
      <w:lvlText w:val="%1"/>
      <w:lvlJc w:val="left"/>
      <w:pPr>
        <w:ind w:left="2381" w:hanging="794"/>
        <w:jc w:val="left"/>
      </w:pPr>
      <w:rPr>
        <w:rFonts w:hint="default" w:ascii="Calibri" w:hAnsi="Calibri" w:eastAsia="Calibri" w:cs="Calibri"/>
        <w:spacing w:val="-7"/>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24">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23">
    <w:multiLevelType w:val="hybridMultilevel"/>
    <w:lvl w:ilvl="0">
      <w:start w:val="39"/>
      <w:numFmt w:val="decimal"/>
      <w:lvlText w:val="%1"/>
      <w:lvlJc w:val="left"/>
      <w:pPr>
        <w:ind w:left="2154" w:hanging="567"/>
        <w:jc w:val="left"/>
      </w:pPr>
      <w:rPr>
        <w:rFonts w:hint="default" w:ascii="Calibri" w:hAnsi="Calibri" w:eastAsia="Calibri" w:cs="Calibri"/>
        <w:b/>
        <w:bCs/>
        <w:spacing w:val="-1"/>
        <w:w w:val="109"/>
        <w:sz w:val="24"/>
        <w:szCs w:val="24"/>
        <w:lang w:val="en-us" w:eastAsia="en-us" w:bidi="en-us"/>
      </w:rPr>
    </w:lvl>
    <w:lvl w:ilvl="1">
      <w:start w:val="0"/>
      <w:numFmt w:val="bullet"/>
      <w:lvlText w:val="•"/>
      <w:lvlJc w:val="left"/>
      <w:pPr>
        <w:ind w:left="3134" w:hanging="567"/>
      </w:pPr>
      <w:rPr>
        <w:rFonts w:hint="default"/>
        <w:lang w:val="en-us" w:eastAsia="en-us" w:bidi="en-us"/>
      </w:rPr>
    </w:lvl>
    <w:lvl w:ilvl="2">
      <w:start w:val="0"/>
      <w:numFmt w:val="bullet"/>
      <w:lvlText w:val="•"/>
      <w:lvlJc w:val="left"/>
      <w:pPr>
        <w:ind w:left="4109" w:hanging="567"/>
      </w:pPr>
      <w:rPr>
        <w:rFonts w:hint="default"/>
        <w:lang w:val="en-us" w:eastAsia="en-us" w:bidi="en-us"/>
      </w:rPr>
    </w:lvl>
    <w:lvl w:ilvl="3">
      <w:start w:val="0"/>
      <w:numFmt w:val="bullet"/>
      <w:lvlText w:val="•"/>
      <w:lvlJc w:val="left"/>
      <w:pPr>
        <w:ind w:left="5083" w:hanging="567"/>
      </w:pPr>
      <w:rPr>
        <w:rFonts w:hint="default"/>
        <w:lang w:val="en-us" w:eastAsia="en-us" w:bidi="en-us"/>
      </w:rPr>
    </w:lvl>
    <w:lvl w:ilvl="4">
      <w:start w:val="0"/>
      <w:numFmt w:val="bullet"/>
      <w:lvlText w:val="•"/>
      <w:lvlJc w:val="left"/>
      <w:pPr>
        <w:ind w:left="6058" w:hanging="567"/>
      </w:pPr>
      <w:rPr>
        <w:rFonts w:hint="default"/>
        <w:lang w:val="en-us" w:eastAsia="en-us" w:bidi="en-us"/>
      </w:rPr>
    </w:lvl>
    <w:lvl w:ilvl="5">
      <w:start w:val="0"/>
      <w:numFmt w:val="bullet"/>
      <w:lvlText w:val="•"/>
      <w:lvlJc w:val="left"/>
      <w:pPr>
        <w:ind w:left="7032" w:hanging="567"/>
      </w:pPr>
      <w:rPr>
        <w:rFonts w:hint="default"/>
        <w:lang w:val="en-us" w:eastAsia="en-us" w:bidi="en-us"/>
      </w:rPr>
    </w:lvl>
    <w:lvl w:ilvl="6">
      <w:start w:val="0"/>
      <w:numFmt w:val="bullet"/>
      <w:lvlText w:val="•"/>
      <w:lvlJc w:val="left"/>
      <w:pPr>
        <w:ind w:left="8007" w:hanging="567"/>
      </w:pPr>
      <w:rPr>
        <w:rFonts w:hint="default"/>
        <w:lang w:val="en-us" w:eastAsia="en-us" w:bidi="en-us"/>
      </w:rPr>
    </w:lvl>
    <w:lvl w:ilvl="7">
      <w:start w:val="0"/>
      <w:numFmt w:val="bullet"/>
      <w:lvlText w:val="•"/>
      <w:lvlJc w:val="left"/>
      <w:pPr>
        <w:ind w:left="8981" w:hanging="567"/>
      </w:pPr>
      <w:rPr>
        <w:rFonts w:hint="default"/>
        <w:lang w:val="en-us" w:eastAsia="en-us" w:bidi="en-us"/>
      </w:rPr>
    </w:lvl>
    <w:lvl w:ilvl="8">
      <w:start w:val="0"/>
      <w:numFmt w:val="bullet"/>
      <w:lvlText w:val="•"/>
      <w:lvlJc w:val="left"/>
      <w:pPr>
        <w:ind w:left="9956" w:hanging="567"/>
      </w:pPr>
      <w:rPr>
        <w:rFonts w:hint="default"/>
        <w:lang w:val="en-us" w:eastAsia="en-us" w:bidi="en-us"/>
      </w:rPr>
    </w:lvl>
  </w:abstractNum>
  <w:abstractNum w:abstractNumId="22">
    <w:multiLevelType w:val="hybridMultilevel"/>
    <w:lvl w:ilvl="0">
      <w:start w:val="26"/>
      <w:numFmt w:val="decimal"/>
      <w:lvlText w:val="%1"/>
      <w:lvlJc w:val="left"/>
      <w:pPr>
        <w:ind w:left="2154" w:hanging="567"/>
        <w:jc w:val="left"/>
      </w:pPr>
      <w:rPr>
        <w:rFonts w:hint="default" w:ascii="Calibri" w:hAnsi="Calibri" w:eastAsia="Calibri" w:cs="Calibri"/>
        <w:b/>
        <w:bCs/>
        <w:spacing w:val="-2"/>
        <w:w w:val="109"/>
        <w:sz w:val="24"/>
        <w:szCs w:val="24"/>
        <w:lang w:val="en-us" w:eastAsia="en-us" w:bidi="en-us"/>
      </w:rPr>
    </w:lvl>
    <w:lvl w:ilvl="1">
      <w:start w:val="0"/>
      <w:numFmt w:val="bullet"/>
      <w:lvlText w:val="•"/>
      <w:lvlJc w:val="left"/>
      <w:pPr>
        <w:ind w:left="3134" w:hanging="567"/>
      </w:pPr>
      <w:rPr>
        <w:rFonts w:hint="default"/>
        <w:lang w:val="en-us" w:eastAsia="en-us" w:bidi="en-us"/>
      </w:rPr>
    </w:lvl>
    <w:lvl w:ilvl="2">
      <w:start w:val="0"/>
      <w:numFmt w:val="bullet"/>
      <w:lvlText w:val="•"/>
      <w:lvlJc w:val="left"/>
      <w:pPr>
        <w:ind w:left="4109" w:hanging="567"/>
      </w:pPr>
      <w:rPr>
        <w:rFonts w:hint="default"/>
        <w:lang w:val="en-us" w:eastAsia="en-us" w:bidi="en-us"/>
      </w:rPr>
    </w:lvl>
    <w:lvl w:ilvl="3">
      <w:start w:val="0"/>
      <w:numFmt w:val="bullet"/>
      <w:lvlText w:val="•"/>
      <w:lvlJc w:val="left"/>
      <w:pPr>
        <w:ind w:left="5083" w:hanging="567"/>
      </w:pPr>
      <w:rPr>
        <w:rFonts w:hint="default"/>
        <w:lang w:val="en-us" w:eastAsia="en-us" w:bidi="en-us"/>
      </w:rPr>
    </w:lvl>
    <w:lvl w:ilvl="4">
      <w:start w:val="0"/>
      <w:numFmt w:val="bullet"/>
      <w:lvlText w:val="•"/>
      <w:lvlJc w:val="left"/>
      <w:pPr>
        <w:ind w:left="6058" w:hanging="567"/>
      </w:pPr>
      <w:rPr>
        <w:rFonts w:hint="default"/>
        <w:lang w:val="en-us" w:eastAsia="en-us" w:bidi="en-us"/>
      </w:rPr>
    </w:lvl>
    <w:lvl w:ilvl="5">
      <w:start w:val="0"/>
      <w:numFmt w:val="bullet"/>
      <w:lvlText w:val="•"/>
      <w:lvlJc w:val="left"/>
      <w:pPr>
        <w:ind w:left="7032" w:hanging="567"/>
      </w:pPr>
      <w:rPr>
        <w:rFonts w:hint="default"/>
        <w:lang w:val="en-us" w:eastAsia="en-us" w:bidi="en-us"/>
      </w:rPr>
    </w:lvl>
    <w:lvl w:ilvl="6">
      <w:start w:val="0"/>
      <w:numFmt w:val="bullet"/>
      <w:lvlText w:val="•"/>
      <w:lvlJc w:val="left"/>
      <w:pPr>
        <w:ind w:left="8007" w:hanging="567"/>
      </w:pPr>
      <w:rPr>
        <w:rFonts w:hint="default"/>
        <w:lang w:val="en-us" w:eastAsia="en-us" w:bidi="en-us"/>
      </w:rPr>
    </w:lvl>
    <w:lvl w:ilvl="7">
      <w:start w:val="0"/>
      <w:numFmt w:val="bullet"/>
      <w:lvlText w:val="•"/>
      <w:lvlJc w:val="left"/>
      <w:pPr>
        <w:ind w:left="8981" w:hanging="567"/>
      </w:pPr>
      <w:rPr>
        <w:rFonts w:hint="default"/>
        <w:lang w:val="en-us" w:eastAsia="en-us" w:bidi="en-us"/>
      </w:rPr>
    </w:lvl>
    <w:lvl w:ilvl="8">
      <w:start w:val="0"/>
      <w:numFmt w:val="bullet"/>
      <w:lvlText w:val="•"/>
      <w:lvlJc w:val="left"/>
      <w:pPr>
        <w:ind w:left="9956" w:hanging="567"/>
      </w:pPr>
      <w:rPr>
        <w:rFonts w:hint="default"/>
        <w:lang w:val="en-us" w:eastAsia="en-us" w:bidi="en-us"/>
      </w:rPr>
    </w:lvl>
  </w:abstractNum>
  <w:abstractNum w:abstractNumId="21">
    <w:multiLevelType w:val="hybridMultilevel"/>
    <w:lvl w:ilvl="0">
      <w:start w:val="178"/>
      <w:numFmt w:val="decimal"/>
      <w:lvlText w:val="%1"/>
      <w:lvlJc w:val="left"/>
      <w:pPr>
        <w:ind w:left="2381" w:hanging="794"/>
        <w:jc w:val="left"/>
      </w:pPr>
      <w:rPr>
        <w:rFonts w:hint="default" w:ascii="Calibri" w:hAnsi="Calibri" w:eastAsia="Calibri" w:cs="Calibri"/>
        <w:spacing w:val="-7"/>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20">
    <w:multiLevelType w:val="hybridMultilevel"/>
    <w:lvl w:ilvl="0">
      <w:start w:val="145"/>
      <w:numFmt w:val="decimal"/>
      <w:lvlText w:val="%1"/>
      <w:lvlJc w:val="left"/>
      <w:pPr>
        <w:ind w:left="2381" w:hanging="794"/>
        <w:jc w:val="left"/>
      </w:pPr>
      <w:rPr>
        <w:rFonts w:hint="default" w:ascii="Calibri" w:hAnsi="Calibri" w:eastAsia="Calibri" w:cs="Calibri"/>
        <w:spacing w:val="-5"/>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19">
    <w:multiLevelType w:val="hybridMultilevel"/>
    <w:lvl w:ilvl="0">
      <w:start w:val="137"/>
      <w:numFmt w:val="decimal"/>
      <w:lvlText w:val="%1"/>
      <w:lvlJc w:val="left"/>
      <w:pPr>
        <w:ind w:left="2381" w:hanging="794"/>
        <w:jc w:val="left"/>
      </w:pPr>
      <w:rPr>
        <w:rFonts w:hint="default" w:ascii="Calibri" w:hAnsi="Calibri" w:eastAsia="Calibri" w:cs="Calibri"/>
        <w:spacing w:val="-7"/>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18">
    <w:multiLevelType w:val="hybridMultilevel"/>
    <w:lvl w:ilvl="0">
      <w:start w:val="101"/>
      <w:numFmt w:val="decimal"/>
      <w:lvlText w:val="%1"/>
      <w:lvlJc w:val="left"/>
      <w:pPr>
        <w:ind w:left="2381" w:hanging="794"/>
        <w:jc w:val="left"/>
      </w:pPr>
      <w:rPr>
        <w:rFonts w:hint="default" w:ascii="Calibri" w:hAnsi="Calibri" w:eastAsia="Calibri" w:cs="Calibri"/>
        <w:spacing w:val="-4"/>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17">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16">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lang w:val="en-us" w:eastAsia="en-us" w:bidi="en-us"/>
      </w:rPr>
    </w:lvl>
    <w:lvl w:ilvl="1">
      <w:start w:val="0"/>
      <w:numFmt w:val="bullet"/>
      <w:lvlText w:val="•"/>
      <w:lvlJc w:val="left"/>
      <w:pPr>
        <w:ind w:left="3332" w:hanging="794"/>
      </w:pPr>
      <w:rPr>
        <w:rFonts w:hint="default"/>
        <w:lang w:val="en-us" w:eastAsia="en-us" w:bidi="en-us"/>
      </w:rPr>
    </w:lvl>
    <w:lvl w:ilvl="2">
      <w:start w:val="0"/>
      <w:numFmt w:val="bullet"/>
      <w:lvlText w:val="•"/>
      <w:lvlJc w:val="left"/>
      <w:pPr>
        <w:ind w:left="4285" w:hanging="794"/>
      </w:pPr>
      <w:rPr>
        <w:rFonts w:hint="default"/>
        <w:lang w:val="en-us" w:eastAsia="en-us" w:bidi="en-us"/>
      </w:rPr>
    </w:lvl>
    <w:lvl w:ilvl="3">
      <w:start w:val="0"/>
      <w:numFmt w:val="bullet"/>
      <w:lvlText w:val="•"/>
      <w:lvlJc w:val="left"/>
      <w:pPr>
        <w:ind w:left="5237" w:hanging="794"/>
      </w:pPr>
      <w:rPr>
        <w:rFonts w:hint="default"/>
        <w:lang w:val="en-us" w:eastAsia="en-us" w:bidi="en-us"/>
      </w:rPr>
    </w:lvl>
    <w:lvl w:ilvl="4">
      <w:start w:val="0"/>
      <w:numFmt w:val="bullet"/>
      <w:lvlText w:val="•"/>
      <w:lvlJc w:val="left"/>
      <w:pPr>
        <w:ind w:left="6190" w:hanging="794"/>
      </w:pPr>
      <w:rPr>
        <w:rFonts w:hint="default"/>
        <w:lang w:val="en-us" w:eastAsia="en-us" w:bidi="en-us"/>
      </w:rPr>
    </w:lvl>
    <w:lvl w:ilvl="5">
      <w:start w:val="0"/>
      <w:numFmt w:val="bullet"/>
      <w:lvlText w:val="•"/>
      <w:lvlJc w:val="left"/>
      <w:pPr>
        <w:ind w:left="7142" w:hanging="794"/>
      </w:pPr>
      <w:rPr>
        <w:rFonts w:hint="default"/>
        <w:lang w:val="en-us" w:eastAsia="en-us" w:bidi="en-us"/>
      </w:rPr>
    </w:lvl>
    <w:lvl w:ilvl="6">
      <w:start w:val="0"/>
      <w:numFmt w:val="bullet"/>
      <w:lvlText w:val="•"/>
      <w:lvlJc w:val="left"/>
      <w:pPr>
        <w:ind w:left="8095" w:hanging="794"/>
      </w:pPr>
      <w:rPr>
        <w:rFonts w:hint="default"/>
        <w:lang w:val="en-us" w:eastAsia="en-us" w:bidi="en-us"/>
      </w:rPr>
    </w:lvl>
    <w:lvl w:ilvl="7">
      <w:start w:val="0"/>
      <w:numFmt w:val="bullet"/>
      <w:lvlText w:val="•"/>
      <w:lvlJc w:val="left"/>
      <w:pPr>
        <w:ind w:left="9047" w:hanging="794"/>
      </w:pPr>
      <w:rPr>
        <w:rFonts w:hint="default"/>
        <w:lang w:val="en-us" w:eastAsia="en-us" w:bidi="en-us"/>
      </w:rPr>
    </w:lvl>
    <w:lvl w:ilvl="8">
      <w:start w:val="0"/>
      <w:numFmt w:val="bullet"/>
      <w:lvlText w:val="•"/>
      <w:lvlJc w:val="left"/>
      <w:pPr>
        <w:ind w:left="10000" w:hanging="794"/>
      </w:pPr>
      <w:rPr>
        <w:rFonts w:hint="default"/>
        <w:lang w:val="en-us" w:eastAsia="en-us" w:bidi="en-us"/>
      </w:rPr>
    </w:lvl>
  </w:abstractNum>
  <w:abstractNum w:abstractNumId="15">
    <w:multiLevelType w:val="hybridMultilevel"/>
    <w:lvl w:ilvl="0">
      <w:start w:val="1"/>
      <w:numFmt w:val="decimal"/>
      <w:lvlText w:val="%1."/>
      <w:lvlJc w:val="left"/>
      <w:pPr>
        <w:ind w:left="1247" w:hanging="681"/>
        <w:jc w:val="left"/>
      </w:pPr>
      <w:rPr>
        <w:rFonts w:hint="default" w:ascii="Calibri" w:hAnsi="Calibri" w:eastAsia="Calibri" w:cs="Calibri"/>
        <w:b/>
        <w:bCs/>
        <w:color w:val="658464"/>
        <w:spacing w:val="-15"/>
        <w:w w:val="107"/>
        <w:sz w:val="44"/>
        <w:szCs w:val="44"/>
        <w:lang w:val="en-us" w:eastAsia="en-us" w:bidi="en-us"/>
      </w:rPr>
    </w:lvl>
    <w:lvl w:ilvl="1">
      <w:start w:val="1"/>
      <w:numFmt w:val="decimal"/>
      <w:lvlText w:val="%1.%2"/>
      <w:lvlJc w:val="left"/>
      <w:pPr>
        <w:ind w:left="2381" w:hanging="794"/>
        <w:jc w:val="left"/>
      </w:pPr>
      <w:rPr>
        <w:rFonts w:hint="default"/>
        <w:spacing w:val="-21"/>
        <w:w w:val="109"/>
        <w:lang w:val="en-us" w:eastAsia="en-us" w:bidi="en-us"/>
      </w:rPr>
    </w:lvl>
    <w:lvl w:ilvl="2">
      <w:start w:val="0"/>
      <w:numFmt w:val="bullet"/>
      <w:lvlText w:val="•"/>
      <w:lvlJc w:val="left"/>
      <w:pPr>
        <w:ind w:left="2721" w:hanging="794"/>
      </w:pPr>
      <w:rPr>
        <w:rFonts w:hint="default" w:ascii="Calibri" w:hAnsi="Calibri" w:eastAsia="Calibri" w:cs="Calibri"/>
        <w:w w:val="100"/>
        <w:sz w:val="21"/>
        <w:szCs w:val="21"/>
        <w:lang w:val="en-us" w:eastAsia="en-us" w:bidi="en-us"/>
      </w:rPr>
    </w:lvl>
    <w:lvl w:ilvl="3">
      <w:start w:val="0"/>
      <w:numFmt w:val="bullet"/>
      <w:lvlText w:val="-"/>
      <w:lvlJc w:val="left"/>
      <w:pPr>
        <w:ind w:left="3061" w:hanging="794"/>
      </w:pPr>
      <w:rPr>
        <w:rFonts w:hint="default" w:ascii="Calibri" w:hAnsi="Calibri" w:eastAsia="Calibri" w:cs="Calibri"/>
        <w:w w:val="108"/>
        <w:sz w:val="21"/>
        <w:szCs w:val="21"/>
        <w:lang w:val="en-us" w:eastAsia="en-us" w:bidi="en-us"/>
      </w:rPr>
    </w:lvl>
    <w:lvl w:ilvl="4">
      <w:start w:val="0"/>
      <w:numFmt w:val="bullet"/>
      <w:lvlText w:val="•"/>
      <w:lvlJc w:val="left"/>
      <w:pPr>
        <w:ind w:left="3060" w:hanging="794"/>
      </w:pPr>
      <w:rPr>
        <w:rFonts w:hint="default"/>
        <w:lang w:val="en-us" w:eastAsia="en-us" w:bidi="en-us"/>
      </w:rPr>
    </w:lvl>
    <w:lvl w:ilvl="5">
      <w:start w:val="0"/>
      <w:numFmt w:val="bullet"/>
      <w:lvlText w:val="•"/>
      <w:lvlJc w:val="left"/>
      <w:pPr>
        <w:ind w:left="3180" w:hanging="794"/>
      </w:pPr>
      <w:rPr>
        <w:rFonts w:hint="default"/>
        <w:lang w:val="en-us" w:eastAsia="en-us" w:bidi="en-us"/>
      </w:rPr>
    </w:lvl>
    <w:lvl w:ilvl="6">
      <w:start w:val="0"/>
      <w:numFmt w:val="bullet"/>
      <w:lvlText w:val="•"/>
      <w:lvlJc w:val="left"/>
      <w:pPr>
        <w:ind w:left="4925" w:hanging="794"/>
      </w:pPr>
      <w:rPr>
        <w:rFonts w:hint="default"/>
        <w:lang w:val="en-us" w:eastAsia="en-us" w:bidi="en-us"/>
      </w:rPr>
    </w:lvl>
    <w:lvl w:ilvl="7">
      <w:start w:val="0"/>
      <w:numFmt w:val="bullet"/>
      <w:lvlText w:val="•"/>
      <w:lvlJc w:val="left"/>
      <w:pPr>
        <w:ind w:left="6670" w:hanging="794"/>
      </w:pPr>
      <w:rPr>
        <w:rFonts w:hint="default"/>
        <w:lang w:val="en-us" w:eastAsia="en-us" w:bidi="en-us"/>
      </w:rPr>
    </w:lvl>
    <w:lvl w:ilvl="8">
      <w:start w:val="0"/>
      <w:numFmt w:val="bullet"/>
      <w:lvlText w:val="•"/>
      <w:lvlJc w:val="left"/>
      <w:pPr>
        <w:ind w:left="8415" w:hanging="794"/>
      </w:pPr>
      <w:rPr>
        <w:rFonts w:hint="default"/>
        <w:lang w:val="en-us" w:eastAsia="en-us" w:bidi="en-us"/>
      </w:rPr>
    </w:lvl>
  </w:abstractNum>
  <w:abstractNum w:abstractNumId="14">
    <w:multiLevelType w:val="hybridMultilevel"/>
    <w:lvl w:ilvl="0">
      <w:start w:val="2"/>
      <w:numFmt w:val="decimal"/>
      <w:lvlText w:val="%1"/>
      <w:lvlJc w:val="left"/>
      <w:pPr>
        <w:ind w:left="2154" w:hanging="567"/>
        <w:jc w:val="left"/>
      </w:pPr>
      <w:rPr>
        <w:rFonts w:hint="default" w:ascii="Calibri" w:hAnsi="Calibri" w:eastAsia="Calibri" w:cs="Calibri"/>
        <w:b/>
        <w:bCs/>
        <w:w w:val="109"/>
        <w:sz w:val="24"/>
        <w:szCs w:val="24"/>
        <w:lang w:val="en-us" w:eastAsia="en-us" w:bidi="en-us"/>
      </w:rPr>
    </w:lvl>
    <w:lvl w:ilvl="1">
      <w:start w:val="0"/>
      <w:numFmt w:val="bullet"/>
      <w:lvlText w:val="•"/>
      <w:lvlJc w:val="left"/>
      <w:pPr>
        <w:ind w:left="3134" w:hanging="567"/>
      </w:pPr>
      <w:rPr>
        <w:rFonts w:hint="default"/>
        <w:lang w:val="en-us" w:eastAsia="en-us" w:bidi="en-us"/>
      </w:rPr>
    </w:lvl>
    <w:lvl w:ilvl="2">
      <w:start w:val="0"/>
      <w:numFmt w:val="bullet"/>
      <w:lvlText w:val="•"/>
      <w:lvlJc w:val="left"/>
      <w:pPr>
        <w:ind w:left="4109" w:hanging="567"/>
      </w:pPr>
      <w:rPr>
        <w:rFonts w:hint="default"/>
        <w:lang w:val="en-us" w:eastAsia="en-us" w:bidi="en-us"/>
      </w:rPr>
    </w:lvl>
    <w:lvl w:ilvl="3">
      <w:start w:val="0"/>
      <w:numFmt w:val="bullet"/>
      <w:lvlText w:val="•"/>
      <w:lvlJc w:val="left"/>
      <w:pPr>
        <w:ind w:left="5083" w:hanging="567"/>
      </w:pPr>
      <w:rPr>
        <w:rFonts w:hint="default"/>
        <w:lang w:val="en-us" w:eastAsia="en-us" w:bidi="en-us"/>
      </w:rPr>
    </w:lvl>
    <w:lvl w:ilvl="4">
      <w:start w:val="0"/>
      <w:numFmt w:val="bullet"/>
      <w:lvlText w:val="•"/>
      <w:lvlJc w:val="left"/>
      <w:pPr>
        <w:ind w:left="6058" w:hanging="567"/>
      </w:pPr>
      <w:rPr>
        <w:rFonts w:hint="default"/>
        <w:lang w:val="en-us" w:eastAsia="en-us" w:bidi="en-us"/>
      </w:rPr>
    </w:lvl>
    <w:lvl w:ilvl="5">
      <w:start w:val="0"/>
      <w:numFmt w:val="bullet"/>
      <w:lvlText w:val="•"/>
      <w:lvlJc w:val="left"/>
      <w:pPr>
        <w:ind w:left="7032" w:hanging="567"/>
      </w:pPr>
      <w:rPr>
        <w:rFonts w:hint="default"/>
        <w:lang w:val="en-us" w:eastAsia="en-us" w:bidi="en-us"/>
      </w:rPr>
    </w:lvl>
    <w:lvl w:ilvl="6">
      <w:start w:val="0"/>
      <w:numFmt w:val="bullet"/>
      <w:lvlText w:val="•"/>
      <w:lvlJc w:val="left"/>
      <w:pPr>
        <w:ind w:left="8007" w:hanging="567"/>
      </w:pPr>
      <w:rPr>
        <w:rFonts w:hint="default"/>
        <w:lang w:val="en-us" w:eastAsia="en-us" w:bidi="en-us"/>
      </w:rPr>
    </w:lvl>
    <w:lvl w:ilvl="7">
      <w:start w:val="0"/>
      <w:numFmt w:val="bullet"/>
      <w:lvlText w:val="•"/>
      <w:lvlJc w:val="left"/>
      <w:pPr>
        <w:ind w:left="8981" w:hanging="567"/>
      </w:pPr>
      <w:rPr>
        <w:rFonts w:hint="default"/>
        <w:lang w:val="en-us" w:eastAsia="en-us" w:bidi="en-us"/>
      </w:rPr>
    </w:lvl>
    <w:lvl w:ilvl="8">
      <w:start w:val="0"/>
      <w:numFmt w:val="bullet"/>
      <w:lvlText w:val="•"/>
      <w:lvlJc w:val="left"/>
      <w:pPr>
        <w:ind w:left="9956" w:hanging="567"/>
      </w:pPr>
      <w:rPr>
        <w:rFonts w:hint="default"/>
        <w:lang w:val="en-us" w:eastAsia="en-us" w:bidi="en-us"/>
      </w:rPr>
    </w:lvl>
  </w:abstractNum>
  <w:abstractNum w:abstractNumId="13">
    <w:multiLevelType w:val="hybridMultilevel"/>
    <w:lvl w:ilvl="0">
      <w:start w:val="58"/>
      <w:numFmt w:val="decimal"/>
      <w:lvlText w:val="%1"/>
      <w:lvlJc w:val="left"/>
      <w:pPr>
        <w:ind w:left="2154" w:hanging="567"/>
        <w:jc w:val="left"/>
      </w:pPr>
      <w:rPr>
        <w:rFonts w:hint="default" w:ascii="Calibri" w:hAnsi="Calibri" w:eastAsia="Calibri" w:cs="Calibri"/>
        <w:spacing w:val="-1"/>
        <w:w w:val="109"/>
        <w:sz w:val="21"/>
        <w:szCs w:val="21"/>
        <w:lang w:val="en-us" w:eastAsia="en-us" w:bidi="en-us"/>
      </w:rPr>
    </w:lvl>
    <w:lvl w:ilvl="1">
      <w:start w:val="1"/>
      <w:numFmt w:val="lowerLetter"/>
      <w:lvlText w:val="(%2)"/>
      <w:lvlJc w:val="left"/>
      <w:pPr>
        <w:ind w:left="2721" w:hanging="567"/>
        <w:jc w:val="left"/>
      </w:pPr>
      <w:rPr>
        <w:rFonts w:hint="default" w:ascii="Calibri" w:hAnsi="Calibri" w:eastAsia="Calibri" w:cs="Calibri"/>
        <w:w w:val="91"/>
        <w:sz w:val="21"/>
        <w:szCs w:val="21"/>
        <w:lang w:val="en-us" w:eastAsia="en-us" w:bidi="en-us"/>
      </w:rPr>
    </w:lvl>
    <w:lvl w:ilvl="2">
      <w:start w:val="0"/>
      <w:numFmt w:val="bullet"/>
      <w:lvlText w:val="•"/>
      <w:lvlJc w:val="left"/>
      <w:pPr>
        <w:ind w:left="3740" w:hanging="567"/>
      </w:pPr>
      <w:rPr>
        <w:rFonts w:hint="default"/>
        <w:lang w:val="en-us" w:eastAsia="en-us" w:bidi="en-us"/>
      </w:rPr>
    </w:lvl>
    <w:lvl w:ilvl="3">
      <w:start w:val="0"/>
      <w:numFmt w:val="bullet"/>
      <w:lvlText w:val="•"/>
      <w:lvlJc w:val="left"/>
      <w:pPr>
        <w:ind w:left="4761" w:hanging="567"/>
      </w:pPr>
      <w:rPr>
        <w:rFonts w:hint="default"/>
        <w:lang w:val="en-us" w:eastAsia="en-us" w:bidi="en-us"/>
      </w:rPr>
    </w:lvl>
    <w:lvl w:ilvl="4">
      <w:start w:val="0"/>
      <w:numFmt w:val="bullet"/>
      <w:lvlText w:val="•"/>
      <w:lvlJc w:val="left"/>
      <w:pPr>
        <w:ind w:left="5781" w:hanging="567"/>
      </w:pPr>
      <w:rPr>
        <w:rFonts w:hint="default"/>
        <w:lang w:val="en-us" w:eastAsia="en-us" w:bidi="en-us"/>
      </w:rPr>
    </w:lvl>
    <w:lvl w:ilvl="5">
      <w:start w:val="0"/>
      <w:numFmt w:val="bullet"/>
      <w:lvlText w:val="•"/>
      <w:lvlJc w:val="left"/>
      <w:pPr>
        <w:ind w:left="6802" w:hanging="567"/>
      </w:pPr>
      <w:rPr>
        <w:rFonts w:hint="default"/>
        <w:lang w:val="en-us" w:eastAsia="en-us" w:bidi="en-us"/>
      </w:rPr>
    </w:lvl>
    <w:lvl w:ilvl="6">
      <w:start w:val="0"/>
      <w:numFmt w:val="bullet"/>
      <w:lvlText w:val="•"/>
      <w:lvlJc w:val="left"/>
      <w:pPr>
        <w:ind w:left="7823" w:hanging="567"/>
      </w:pPr>
      <w:rPr>
        <w:rFonts w:hint="default"/>
        <w:lang w:val="en-us" w:eastAsia="en-us" w:bidi="en-us"/>
      </w:rPr>
    </w:lvl>
    <w:lvl w:ilvl="7">
      <w:start w:val="0"/>
      <w:numFmt w:val="bullet"/>
      <w:lvlText w:val="•"/>
      <w:lvlJc w:val="left"/>
      <w:pPr>
        <w:ind w:left="8843" w:hanging="567"/>
      </w:pPr>
      <w:rPr>
        <w:rFonts w:hint="default"/>
        <w:lang w:val="en-us" w:eastAsia="en-us" w:bidi="en-us"/>
      </w:rPr>
    </w:lvl>
    <w:lvl w:ilvl="8">
      <w:start w:val="0"/>
      <w:numFmt w:val="bullet"/>
      <w:lvlText w:val="•"/>
      <w:lvlJc w:val="left"/>
      <w:pPr>
        <w:ind w:left="9864" w:hanging="567"/>
      </w:pPr>
      <w:rPr>
        <w:rFonts w:hint="default"/>
        <w:lang w:val="en-us" w:eastAsia="en-us" w:bidi="en-us"/>
      </w:rPr>
    </w:lvl>
  </w:abstractNum>
  <w:abstractNum w:abstractNumId="12">
    <w:multiLevelType w:val="hybridMultilevel"/>
    <w:lvl w:ilvl="0">
      <w:start w:val="48"/>
      <w:numFmt w:val="decimal"/>
      <w:lvlText w:val="%1"/>
      <w:lvlJc w:val="left"/>
      <w:pPr>
        <w:ind w:left="2154" w:hanging="567"/>
        <w:jc w:val="left"/>
      </w:pPr>
      <w:rPr>
        <w:rFonts w:hint="default" w:ascii="Calibri" w:hAnsi="Calibri" w:eastAsia="Calibri" w:cs="Calibri"/>
        <w:spacing w:val="0"/>
        <w:w w:val="109"/>
        <w:sz w:val="21"/>
        <w:szCs w:val="21"/>
        <w:lang w:val="en-us" w:eastAsia="en-us" w:bidi="en-us"/>
      </w:rPr>
    </w:lvl>
    <w:lvl w:ilvl="1">
      <w:start w:val="1"/>
      <w:numFmt w:val="lowerLetter"/>
      <w:lvlText w:val="(%2)"/>
      <w:lvlJc w:val="left"/>
      <w:pPr>
        <w:ind w:left="2721" w:hanging="567"/>
        <w:jc w:val="left"/>
      </w:pPr>
      <w:rPr>
        <w:rFonts w:hint="default" w:ascii="Calibri" w:hAnsi="Calibri" w:eastAsia="Calibri" w:cs="Calibri"/>
        <w:w w:val="91"/>
        <w:sz w:val="21"/>
        <w:szCs w:val="21"/>
        <w:lang w:val="en-us" w:eastAsia="en-us" w:bidi="en-us"/>
      </w:rPr>
    </w:lvl>
    <w:lvl w:ilvl="2">
      <w:start w:val="0"/>
      <w:numFmt w:val="bullet"/>
      <w:lvlText w:val="•"/>
      <w:lvlJc w:val="left"/>
      <w:pPr>
        <w:ind w:left="3740" w:hanging="567"/>
      </w:pPr>
      <w:rPr>
        <w:rFonts w:hint="default"/>
        <w:lang w:val="en-us" w:eastAsia="en-us" w:bidi="en-us"/>
      </w:rPr>
    </w:lvl>
    <w:lvl w:ilvl="3">
      <w:start w:val="0"/>
      <w:numFmt w:val="bullet"/>
      <w:lvlText w:val="•"/>
      <w:lvlJc w:val="left"/>
      <w:pPr>
        <w:ind w:left="4761" w:hanging="567"/>
      </w:pPr>
      <w:rPr>
        <w:rFonts w:hint="default"/>
        <w:lang w:val="en-us" w:eastAsia="en-us" w:bidi="en-us"/>
      </w:rPr>
    </w:lvl>
    <w:lvl w:ilvl="4">
      <w:start w:val="0"/>
      <w:numFmt w:val="bullet"/>
      <w:lvlText w:val="•"/>
      <w:lvlJc w:val="left"/>
      <w:pPr>
        <w:ind w:left="5781" w:hanging="567"/>
      </w:pPr>
      <w:rPr>
        <w:rFonts w:hint="default"/>
        <w:lang w:val="en-us" w:eastAsia="en-us" w:bidi="en-us"/>
      </w:rPr>
    </w:lvl>
    <w:lvl w:ilvl="5">
      <w:start w:val="0"/>
      <w:numFmt w:val="bullet"/>
      <w:lvlText w:val="•"/>
      <w:lvlJc w:val="left"/>
      <w:pPr>
        <w:ind w:left="6802" w:hanging="567"/>
      </w:pPr>
      <w:rPr>
        <w:rFonts w:hint="default"/>
        <w:lang w:val="en-us" w:eastAsia="en-us" w:bidi="en-us"/>
      </w:rPr>
    </w:lvl>
    <w:lvl w:ilvl="6">
      <w:start w:val="0"/>
      <w:numFmt w:val="bullet"/>
      <w:lvlText w:val="•"/>
      <w:lvlJc w:val="left"/>
      <w:pPr>
        <w:ind w:left="7823" w:hanging="567"/>
      </w:pPr>
      <w:rPr>
        <w:rFonts w:hint="default"/>
        <w:lang w:val="en-us" w:eastAsia="en-us" w:bidi="en-us"/>
      </w:rPr>
    </w:lvl>
    <w:lvl w:ilvl="7">
      <w:start w:val="0"/>
      <w:numFmt w:val="bullet"/>
      <w:lvlText w:val="•"/>
      <w:lvlJc w:val="left"/>
      <w:pPr>
        <w:ind w:left="8843" w:hanging="567"/>
      </w:pPr>
      <w:rPr>
        <w:rFonts w:hint="default"/>
        <w:lang w:val="en-us" w:eastAsia="en-us" w:bidi="en-us"/>
      </w:rPr>
    </w:lvl>
    <w:lvl w:ilvl="8">
      <w:start w:val="0"/>
      <w:numFmt w:val="bullet"/>
      <w:lvlText w:val="•"/>
      <w:lvlJc w:val="left"/>
      <w:pPr>
        <w:ind w:left="9864" w:hanging="567"/>
      </w:pPr>
      <w:rPr>
        <w:rFonts w:hint="default"/>
        <w:lang w:val="en-us" w:eastAsia="en-us" w:bidi="en-us"/>
      </w:rPr>
    </w:lvl>
  </w:abstractNum>
  <w:abstractNum w:abstractNumId="11">
    <w:multiLevelType w:val="hybridMultilevel"/>
    <w:lvl w:ilvl="0">
      <w:start w:val="40"/>
      <w:numFmt w:val="decimal"/>
      <w:lvlText w:val="%1"/>
      <w:lvlJc w:val="left"/>
      <w:pPr>
        <w:ind w:left="2154" w:hanging="567"/>
        <w:jc w:val="left"/>
      </w:pPr>
      <w:rPr>
        <w:rFonts w:hint="default" w:ascii="Calibri" w:hAnsi="Calibri" w:eastAsia="Calibri" w:cs="Calibri"/>
        <w:spacing w:val="0"/>
        <w:w w:val="109"/>
        <w:sz w:val="21"/>
        <w:szCs w:val="21"/>
        <w:lang w:val="en-us" w:eastAsia="en-us" w:bidi="en-us"/>
      </w:rPr>
    </w:lvl>
    <w:lvl w:ilvl="1">
      <w:start w:val="1"/>
      <w:numFmt w:val="lowerLetter"/>
      <w:lvlText w:val="(%2)"/>
      <w:lvlJc w:val="left"/>
      <w:pPr>
        <w:ind w:left="2721" w:hanging="567"/>
        <w:jc w:val="left"/>
      </w:pPr>
      <w:rPr>
        <w:rFonts w:hint="default" w:ascii="Calibri" w:hAnsi="Calibri" w:eastAsia="Calibri" w:cs="Calibri"/>
        <w:w w:val="91"/>
        <w:sz w:val="21"/>
        <w:szCs w:val="21"/>
        <w:lang w:val="en-us" w:eastAsia="en-us" w:bidi="en-us"/>
      </w:rPr>
    </w:lvl>
    <w:lvl w:ilvl="2">
      <w:start w:val="1"/>
      <w:numFmt w:val="lowerRoman"/>
      <w:lvlText w:val="%3."/>
      <w:lvlJc w:val="left"/>
      <w:pPr>
        <w:ind w:left="3288" w:hanging="567"/>
        <w:jc w:val="left"/>
      </w:pPr>
      <w:rPr>
        <w:rFonts w:hint="default" w:ascii="Calibri" w:hAnsi="Calibri" w:eastAsia="Calibri" w:cs="Calibri"/>
        <w:spacing w:val="-4"/>
        <w:w w:val="103"/>
        <w:sz w:val="21"/>
        <w:szCs w:val="21"/>
        <w:lang w:val="en-us" w:eastAsia="en-us" w:bidi="en-us"/>
      </w:rPr>
    </w:lvl>
    <w:lvl w:ilvl="3">
      <w:start w:val="0"/>
      <w:numFmt w:val="bullet"/>
      <w:lvlText w:val="•"/>
      <w:lvlJc w:val="left"/>
      <w:pPr>
        <w:ind w:left="4358" w:hanging="567"/>
      </w:pPr>
      <w:rPr>
        <w:rFonts w:hint="default"/>
        <w:lang w:val="en-us" w:eastAsia="en-us" w:bidi="en-us"/>
      </w:rPr>
    </w:lvl>
    <w:lvl w:ilvl="4">
      <w:start w:val="0"/>
      <w:numFmt w:val="bullet"/>
      <w:lvlText w:val="•"/>
      <w:lvlJc w:val="left"/>
      <w:pPr>
        <w:ind w:left="5436" w:hanging="567"/>
      </w:pPr>
      <w:rPr>
        <w:rFonts w:hint="default"/>
        <w:lang w:val="en-us" w:eastAsia="en-us" w:bidi="en-us"/>
      </w:rPr>
    </w:lvl>
    <w:lvl w:ilvl="5">
      <w:start w:val="0"/>
      <w:numFmt w:val="bullet"/>
      <w:lvlText w:val="•"/>
      <w:lvlJc w:val="left"/>
      <w:pPr>
        <w:ind w:left="6514" w:hanging="567"/>
      </w:pPr>
      <w:rPr>
        <w:rFonts w:hint="default"/>
        <w:lang w:val="en-us" w:eastAsia="en-us" w:bidi="en-us"/>
      </w:rPr>
    </w:lvl>
    <w:lvl w:ilvl="6">
      <w:start w:val="0"/>
      <w:numFmt w:val="bullet"/>
      <w:lvlText w:val="•"/>
      <w:lvlJc w:val="left"/>
      <w:pPr>
        <w:ind w:left="7592" w:hanging="567"/>
      </w:pPr>
      <w:rPr>
        <w:rFonts w:hint="default"/>
        <w:lang w:val="en-us" w:eastAsia="en-us" w:bidi="en-us"/>
      </w:rPr>
    </w:lvl>
    <w:lvl w:ilvl="7">
      <w:start w:val="0"/>
      <w:numFmt w:val="bullet"/>
      <w:lvlText w:val="•"/>
      <w:lvlJc w:val="left"/>
      <w:pPr>
        <w:ind w:left="8670" w:hanging="567"/>
      </w:pPr>
      <w:rPr>
        <w:rFonts w:hint="default"/>
        <w:lang w:val="en-us" w:eastAsia="en-us" w:bidi="en-us"/>
      </w:rPr>
    </w:lvl>
    <w:lvl w:ilvl="8">
      <w:start w:val="0"/>
      <w:numFmt w:val="bullet"/>
      <w:lvlText w:val="•"/>
      <w:lvlJc w:val="left"/>
      <w:pPr>
        <w:ind w:left="9749" w:hanging="567"/>
      </w:pPr>
      <w:rPr>
        <w:rFonts w:hint="default"/>
        <w:lang w:val="en-us" w:eastAsia="en-us" w:bidi="en-us"/>
      </w:rPr>
    </w:lvl>
  </w:abstractNum>
  <w:abstractNum w:abstractNumId="10">
    <w:multiLevelType w:val="hybridMultilevel"/>
    <w:lvl w:ilvl="0">
      <w:start w:val="31"/>
      <w:numFmt w:val="decimal"/>
      <w:lvlText w:val="%1"/>
      <w:lvlJc w:val="left"/>
      <w:pPr>
        <w:ind w:left="2154" w:hanging="567"/>
        <w:jc w:val="left"/>
      </w:pPr>
      <w:rPr>
        <w:rFonts w:hint="default" w:ascii="Calibri" w:hAnsi="Calibri" w:eastAsia="Calibri" w:cs="Calibri"/>
        <w:spacing w:val="-11"/>
        <w:w w:val="109"/>
        <w:sz w:val="21"/>
        <w:szCs w:val="21"/>
        <w:lang w:val="en-us" w:eastAsia="en-us" w:bidi="en-us"/>
      </w:rPr>
    </w:lvl>
    <w:lvl w:ilvl="1">
      <w:start w:val="1"/>
      <w:numFmt w:val="lowerLetter"/>
      <w:lvlText w:val="(%2)"/>
      <w:lvlJc w:val="left"/>
      <w:pPr>
        <w:ind w:left="2720" w:hanging="567"/>
        <w:jc w:val="left"/>
      </w:pPr>
      <w:rPr>
        <w:rFonts w:hint="default" w:ascii="Calibri" w:hAnsi="Calibri" w:eastAsia="Calibri" w:cs="Calibri"/>
        <w:w w:val="91"/>
        <w:sz w:val="21"/>
        <w:szCs w:val="21"/>
        <w:lang w:val="en-us" w:eastAsia="en-us" w:bidi="en-us"/>
      </w:rPr>
    </w:lvl>
    <w:lvl w:ilvl="2">
      <w:start w:val="0"/>
      <w:numFmt w:val="bullet"/>
      <w:lvlText w:val="•"/>
      <w:lvlJc w:val="left"/>
      <w:pPr>
        <w:ind w:left="3740" w:hanging="567"/>
      </w:pPr>
      <w:rPr>
        <w:rFonts w:hint="default"/>
        <w:lang w:val="en-us" w:eastAsia="en-us" w:bidi="en-us"/>
      </w:rPr>
    </w:lvl>
    <w:lvl w:ilvl="3">
      <w:start w:val="0"/>
      <w:numFmt w:val="bullet"/>
      <w:lvlText w:val="•"/>
      <w:lvlJc w:val="left"/>
      <w:pPr>
        <w:ind w:left="4761" w:hanging="567"/>
      </w:pPr>
      <w:rPr>
        <w:rFonts w:hint="default"/>
        <w:lang w:val="en-us" w:eastAsia="en-us" w:bidi="en-us"/>
      </w:rPr>
    </w:lvl>
    <w:lvl w:ilvl="4">
      <w:start w:val="0"/>
      <w:numFmt w:val="bullet"/>
      <w:lvlText w:val="•"/>
      <w:lvlJc w:val="left"/>
      <w:pPr>
        <w:ind w:left="5781" w:hanging="567"/>
      </w:pPr>
      <w:rPr>
        <w:rFonts w:hint="default"/>
        <w:lang w:val="en-us" w:eastAsia="en-us" w:bidi="en-us"/>
      </w:rPr>
    </w:lvl>
    <w:lvl w:ilvl="5">
      <w:start w:val="0"/>
      <w:numFmt w:val="bullet"/>
      <w:lvlText w:val="•"/>
      <w:lvlJc w:val="left"/>
      <w:pPr>
        <w:ind w:left="6802" w:hanging="567"/>
      </w:pPr>
      <w:rPr>
        <w:rFonts w:hint="default"/>
        <w:lang w:val="en-us" w:eastAsia="en-us" w:bidi="en-us"/>
      </w:rPr>
    </w:lvl>
    <w:lvl w:ilvl="6">
      <w:start w:val="0"/>
      <w:numFmt w:val="bullet"/>
      <w:lvlText w:val="•"/>
      <w:lvlJc w:val="left"/>
      <w:pPr>
        <w:ind w:left="7823" w:hanging="567"/>
      </w:pPr>
      <w:rPr>
        <w:rFonts w:hint="default"/>
        <w:lang w:val="en-us" w:eastAsia="en-us" w:bidi="en-us"/>
      </w:rPr>
    </w:lvl>
    <w:lvl w:ilvl="7">
      <w:start w:val="0"/>
      <w:numFmt w:val="bullet"/>
      <w:lvlText w:val="•"/>
      <w:lvlJc w:val="left"/>
      <w:pPr>
        <w:ind w:left="8843" w:hanging="567"/>
      </w:pPr>
      <w:rPr>
        <w:rFonts w:hint="default"/>
        <w:lang w:val="en-us" w:eastAsia="en-us" w:bidi="en-us"/>
      </w:rPr>
    </w:lvl>
    <w:lvl w:ilvl="8">
      <w:start w:val="0"/>
      <w:numFmt w:val="bullet"/>
      <w:lvlText w:val="•"/>
      <w:lvlJc w:val="left"/>
      <w:pPr>
        <w:ind w:left="9864" w:hanging="567"/>
      </w:pPr>
      <w:rPr>
        <w:rFonts w:hint="default"/>
        <w:lang w:val="en-us" w:eastAsia="en-us" w:bidi="en-us"/>
      </w:rPr>
    </w:lvl>
  </w:abstractNum>
  <w:abstractNum w:abstractNumId="9">
    <w:multiLevelType w:val="hybridMultilevel"/>
    <w:lvl w:ilvl="0">
      <w:start w:val="22"/>
      <w:numFmt w:val="decimal"/>
      <w:lvlText w:val="%1"/>
      <w:lvlJc w:val="left"/>
      <w:pPr>
        <w:ind w:left="2154" w:hanging="567"/>
        <w:jc w:val="left"/>
      </w:pPr>
      <w:rPr>
        <w:rFonts w:hint="default" w:ascii="Calibri" w:hAnsi="Calibri" w:eastAsia="Calibri" w:cs="Calibri"/>
        <w:spacing w:val="-4"/>
        <w:w w:val="109"/>
        <w:sz w:val="21"/>
        <w:szCs w:val="21"/>
        <w:lang w:val="en-us" w:eastAsia="en-us" w:bidi="en-us"/>
      </w:rPr>
    </w:lvl>
    <w:lvl w:ilvl="1">
      <w:start w:val="1"/>
      <w:numFmt w:val="lowerLetter"/>
      <w:lvlText w:val="(%2)"/>
      <w:lvlJc w:val="left"/>
      <w:pPr>
        <w:ind w:left="2721" w:hanging="567"/>
        <w:jc w:val="left"/>
      </w:pPr>
      <w:rPr>
        <w:rFonts w:hint="default" w:ascii="Calibri" w:hAnsi="Calibri" w:eastAsia="Calibri" w:cs="Calibri"/>
        <w:w w:val="91"/>
        <w:sz w:val="21"/>
        <w:szCs w:val="21"/>
        <w:lang w:val="en-us" w:eastAsia="en-us" w:bidi="en-us"/>
      </w:rPr>
    </w:lvl>
    <w:lvl w:ilvl="2">
      <w:start w:val="1"/>
      <w:numFmt w:val="lowerRoman"/>
      <w:lvlText w:val="%3."/>
      <w:lvlJc w:val="left"/>
      <w:pPr>
        <w:ind w:left="3287" w:hanging="567"/>
        <w:jc w:val="left"/>
      </w:pPr>
      <w:rPr>
        <w:rFonts w:hint="default" w:ascii="Calibri" w:hAnsi="Calibri" w:eastAsia="Calibri" w:cs="Calibri"/>
        <w:spacing w:val="-4"/>
        <w:w w:val="103"/>
        <w:sz w:val="21"/>
        <w:szCs w:val="21"/>
        <w:lang w:val="en-us" w:eastAsia="en-us" w:bidi="en-us"/>
      </w:rPr>
    </w:lvl>
    <w:lvl w:ilvl="3">
      <w:start w:val="0"/>
      <w:numFmt w:val="bullet"/>
      <w:lvlText w:val="•"/>
      <w:lvlJc w:val="left"/>
      <w:pPr>
        <w:ind w:left="4358" w:hanging="567"/>
      </w:pPr>
      <w:rPr>
        <w:rFonts w:hint="default"/>
        <w:lang w:val="en-us" w:eastAsia="en-us" w:bidi="en-us"/>
      </w:rPr>
    </w:lvl>
    <w:lvl w:ilvl="4">
      <w:start w:val="0"/>
      <w:numFmt w:val="bullet"/>
      <w:lvlText w:val="•"/>
      <w:lvlJc w:val="left"/>
      <w:pPr>
        <w:ind w:left="5436" w:hanging="567"/>
      </w:pPr>
      <w:rPr>
        <w:rFonts w:hint="default"/>
        <w:lang w:val="en-us" w:eastAsia="en-us" w:bidi="en-us"/>
      </w:rPr>
    </w:lvl>
    <w:lvl w:ilvl="5">
      <w:start w:val="0"/>
      <w:numFmt w:val="bullet"/>
      <w:lvlText w:val="•"/>
      <w:lvlJc w:val="left"/>
      <w:pPr>
        <w:ind w:left="6514" w:hanging="567"/>
      </w:pPr>
      <w:rPr>
        <w:rFonts w:hint="default"/>
        <w:lang w:val="en-us" w:eastAsia="en-us" w:bidi="en-us"/>
      </w:rPr>
    </w:lvl>
    <w:lvl w:ilvl="6">
      <w:start w:val="0"/>
      <w:numFmt w:val="bullet"/>
      <w:lvlText w:val="•"/>
      <w:lvlJc w:val="left"/>
      <w:pPr>
        <w:ind w:left="7592" w:hanging="567"/>
      </w:pPr>
      <w:rPr>
        <w:rFonts w:hint="default"/>
        <w:lang w:val="en-us" w:eastAsia="en-us" w:bidi="en-us"/>
      </w:rPr>
    </w:lvl>
    <w:lvl w:ilvl="7">
      <w:start w:val="0"/>
      <w:numFmt w:val="bullet"/>
      <w:lvlText w:val="•"/>
      <w:lvlJc w:val="left"/>
      <w:pPr>
        <w:ind w:left="8670" w:hanging="567"/>
      </w:pPr>
      <w:rPr>
        <w:rFonts w:hint="default"/>
        <w:lang w:val="en-us" w:eastAsia="en-us" w:bidi="en-us"/>
      </w:rPr>
    </w:lvl>
    <w:lvl w:ilvl="8">
      <w:start w:val="0"/>
      <w:numFmt w:val="bullet"/>
      <w:lvlText w:val="•"/>
      <w:lvlJc w:val="left"/>
      <w:pPr>
        <w:ind w:left="9749" w:hanging="567"/>
      </w:pPr>
      <w:rPr>
        <w:rFonts w:hint="default"/>
        <w:lang w:val="en-us" w:eastAsia="en-us" w:bidi="en-us"/>
      </w:rPr>
    </w:lvl>
  </w:abstractNum>
  <w:abstractNum w:abstractNumId="8">
    <w:multiLevelType w:val="hybridMultilevel"/>
    <w:lvl w:ilvl="0">
      <w:start w:val="16"/>
      <w:numFmt w:val="decimal"/>
      <w:lvlText w:val="%1"/>
      <w:lvlJc w:val="left"/>
      <w:pPr>
        <w:ind w:left="2154" w:hanging="567"/>
        <w:jc w:val="left"/>
      </w:pPr>
      <w:rPr>
        <w:rFonts w:hint="default" w:ascii="Calibri" w:hAnsi="Calibri" w:eastAsia="Calibri" w:cs="Calibri"/>
        <w:spacing w:val="-12"/>
        <w:w w:val="109"/>
        <w:sz w:val="21"/>
        <w:szCs w:val="21"/>
        <w:lang w:val="en-us" w:eastAsia="en-us" w:bidi="en-us"/>
      </w:rPr>
    </w:lvl>
    <w:lvl w:ilvl="1">
      <w:start w:val="1"/>
      <w:numFmt w:val="lowerLetter"/>
      <w:lvlText w:val="(%2)"/>
      <w:lvlJc w:val="left"/>
      <w:pPr>
        <w:ind w:left="2721" w:hanging="567"/>
        <w:jc w:val="left"/>
      </w:pPr>
      <w:rPr>
        <w:rFonts w:hint="default" w:ascii="Calibri" w:hAnsi="Calibri" w:eastAsia="Calibri" w:cs="Calibri"/>
        <w:w w:val="91"/>
        <w:sz w:val="21"/>
        <w:szCs w:val="21"/>
        <w:lang w:val="en-us" w:eastAsia="en-us" w:bidi="en-us"/>
      </w:rPr>
    </w:lvl>
    <w:lvl w:ilvl="2">
      <w:start w:val="0"/>
      <w:numFmt w:val="bullet"/>
      <w:lvlText w:val="•"/>
      <w:lvlJc w:val="left"/>
      <w:pPr>
        <w:ind w:left="3740" w:hanging="567"/>
      </w:pPr>
      <w:rPr>
        <w:rFonts w:hint="default"/>
        <w:lang w:val="en-us" w:eastAsia="en-us" w:bidi="en-us"/>
      </w:rPr>
    </w:lvl>
    <w:lvl w:ilvl="3">
      <w:start w:val="0"/>
      <w:numFmt w:val="bullet"/>
      <w:lvlText w:val="•"/>
      <w:lvlJc w:val="left"/>
      <w:pPr>
        <w:ind w:left="4761" w:hanging="567"/>
      </w:pPr>
      <w:rPr>
        <w:rFonts w:hint="default"/>
        <w:lang w:val="en-us" w:eastAsia="en-us" w:bidi="en-us"/>
      </w:rPr>
    </w:lvl>
    <w:lvl w:ilvl="4">
      <w:start w:val="0"/>
      <w:numFmt w:val="bullet"/>
      <w:lvlText w:val="•"/>
      <w:lvlJc w:val="left"/>
      <w:pPr>
        <w:ind w:left="5781" w:hanging="567"/>
      </w:pPr>
      <w:rPr>
        <w:rFonts w:hint="default"/>
        <w:lang w:val="en-us" w:eastAsia="en-us" w:bidi="en-us"/>
      </w:rPr>
    </w:lvl>
    <w:lvl w:ilvl="5">
      <w:start w:val="0"/>
      <w:numFmt w:val="bullet"/>
      <w:lvlText w:val="•"/>
      <w:lvlJc w:val="left"/>
      <w:pPr>
        <w:ind w:left="6802" w:hanging="567"/>
      </w:pPr>
      <w:rPr>
        <w:rFonts w:hint="default"/>
        <w:lang w:val="en-us" w:eastAsia="en-us" w:bidi="en-us"/>
      </w:rPr>
    </w:lvl>
    <w:lvl w:ilvl="6">
      <w:start w:val="0"/>
      <w:numFmt w:val="bullet"/>
      <w:lvlText w:val="•"/>
      <w:lvlJc w:val="left"/>
      <w:pPr>
        <w:ind w:left="7823" w:hanging="567"/>
      </w:pPr>
      <w:rPr>
        <w:rFonts w:hint="default"/>
        <w:lang w:val="en-us" w:eastAsia="en-us" w:bidi="en-us"/>
      </w:rPr>
    </w:lvl>
    <w:lvl w:ilvl="7">
      <w:start w:val="0"/>
      <w:numFmt w:val="bullet"/>
      <w:lvlText w:val="•"/>
      <w:lvlJc w:val="left"/>
      <w:pPr>
        <w:ind w:left="8843" w:hanging="567"/>
      </w:pPr>
      <w:rPr>
        <w:rFonts w:hint="default"/>
        <w:lang w:val="en-us" w:eastAsia="en-us" w:bidi="en-us"/>
      </w:rPr>
    </w:lvl>
    <w:lvl w:ilvl="8">
      <w:start w:val="0"/>
      <w:numFmt w:val="bullet"/>
      <w:lvlText w:val="•"/>
      <w:lvlJc w:val="left"/>
      <w:pPr>
        <w:ind w:left="9864" w:hanging="567"/>
      </w:pPr>
      <w:rPr>
        <w:rFonts w:hint="default"/>
        <w:lang w:val="en-us" w:eastAsia="en-us" w:bidi="en-us"/>
      </w:rPr>
    </w:lvl>
  </w:abstractNum>
  <w:abstractNum w:abstractNumId="7">
    <w:multiLevelType w:val="hybridMultilevel"/>
    <w:lvl w:ilvl="0">
      <w:start w:val="7"/>
      <w:numFmt w:val="decimal"/>
      <w:lvlText w:val="%1"/>
      <w:lvlJc w:val="left"/>
      <w:pPr>
        <w:ind w:left="2154" w:hanging="567"/>
        <w:jc w:val="left"/>
      </w:pPr>
      <w:rPr>
        <w:rFonts w:hint="default" w:ascii="Calibri" w:hAnsi="Calibri" w:eastAsia="Calibri" w:cs="Calibri"/>
        <w:w w:val="109"/>
        <w:sz w:val="21"/>
        <w:szCs w:val="21"/>
        <w:lang w:val="en-us" w:eastAsia="en-us" w:bidi="en-us"/>
      </w:rPr>
    </w:lvl>
    <w:lvl w:ilvl="1">
      <w:start w:val="1"/>
      <w:numFmt w:val="lowerLetter"/>
      <w:lvlText w:val="(%2)"/>
      <w:lvlJc w:val="left"/>
      <w:pPr>
        <w:ind w:left="2721" w:hanging="567"/>
        <w:jc w:val="left"/>
      </w:pPr>
      <w:rPr>
        <w:rFonts w:hint="default" w:ascii="Calibri" w:hAnsi="Calibri" w:eastAsia="Calibri" w:cs="Calibri"/>
        <w:w w:val="91"/>
        <w:sz w:val="21"/>
        <w:szCs w:val="21"/>
        <w:lang w:val="en-us" w:eastAsia="en-us" w:bidi="en-us"/>
      </w:rPr>
    </w:lvl>
    <w:lvl w:ilvl="2">
      <w:start w:val="0"/>
      <w:numFmt w:val="bullet"/>
      <w:lvlText w:val="•"/>
      <w:lvlJc w:val="left"/>
      <w:pPr>
        <w:ind w:left="3563" w:hanging="567"/>
      </w:pPr>
      <w:rPr>
        <w:rFonts w:hint="default"/>
        <w:lang w:val="en-us" w:eastAsia="en-us" w:bidi="en-us"/>
      </w:rPr>
    </w:lvl>
    <w:lvl w:ilvl="3">
      <w:start w:val="0"/>
      <w:numFmt w:val="bullet"/>
      <w:lvlText w:val="•"/>
      <w:lvlJc w:val="left"/>
      <w:pPr>
        <w:ind w:left="4407" w:hanging="567"/>
      </w:pPr>
      <w:rPr>
        <w:rFonts w:hint="default"/>
        <w:lang w:val="en-us" w:eastAsia="en-us" w:bidi="en-us"/>
      </w:rPr>
    </w:lvl>
    <w:lvl w:ilvl="4">
      <w:start w:val="0"/>
      <w:numFmt w:val="bullet"/>
      <w:lvlText w:val="•"/>
      <w:lvlJc w:val="left"/>
      <w:pPr>
        <w:ind w:left="5251" w:hanging="567"/>
      </w:pPr>
      <w:rPr>
        <w:rFonts w:hint="default"/>
        <w:lang w:val="en-us" w:eastAsia="en-us" w:bidi="en-us"/>
      </w:rPr>
    </w:lvl>
    <w:lvl w:ilvl="5">
      <w:start w:val="0"/>
      <w:numFmt w:val="bullet"/>
      <w:lvlText w:val="•"/>
      <w:lvlJc w:val="left"/>
      <w:pPr>
        <w:ind w:left="6095" w:hanging="567"/>
      </w:pPr>
      <w:rPr>
        <w:rFonts w:hint="default"/>
        <w:lang w:val="en-us" w:eastAsia="en-us" w:bidi="en-us"/>
      </w:rPr>
    </w:lvl>
    <w:lvl w:ilvl="6">
      <w:start w:val="0"/>
      <w:numFmt w:val="bullet"/>
      <w:lvlText w:val="•"/>
      <w:lvlJc w:val="left"/>
      <w:pPr>
        <w:ind w:left="6939" w:hanging="567"/>
      </w:pPr>
      <w:rPr>
        <w:rFonts w:hint="default"/>
        <w:lang w:val="en-us" w:eastAsia="en-us" w:bidi="en-us"/>
      </w:rPr>
    </w:lvl>
    <w:lvl w:ilvl="7">
      <w:start w:val="0"/>
      <w:numFmt w:val="bullet"/>
      <w:lvlText w:val="•"/>
      <w:lvlJc w:val="left"/>
      <w:pPr>
        <w:ind w:left="7783" w:hanging="567"/>
      </w:pPr>
      <w:rPr>
        <w:rFonts w:hint="default"/>
        <w:lang w:val="en-us" w:eastAsia="en-us" w:bidi="en-us"/>
      </w:rPr>
    </w:lvl>
    <w:lvl w:ilvl="8">
      <w:start w:val="0"/>
      <w:numFmt w:val="bullet"/>
      <w:lvlText w:val="•"/>
      <w:lvlJc w:val="left"/>
      <w:pPr>
        <w:ind w:left="8627" w:hanging="567"/>
      </w:pPr>
      <w:rPr>
        <w:rFonts w:hint="default"/>
        <w:lang w:val="en-us" w:eastAsia="en-us" w:bidi="en-us"/>
      </w:rPr>
    </w:lvl>
  </w:abstractNum>
  <w:abstractNum w:abstractNumId="6">
    <w:multiLevelType w:val="hybridMultilevel"/>
    <w:lvl w:ilvl="0">
      <w:start w:val="1"/>
      <w:numFmt w:val="decimal"/>
      <w:lvlText w:val="%1"/>
      <w:lvlJc w:val="left"/>
      <w:pPr>
        <w:ind w:left="2154" w:hanging="567"/>
        <w:jc w:val="left"/>
      </w:pPr>
      <w:rPr>
        <w:rFonts w:hint="default" w:ascii="Calibri" w:hAnsi="Calibri" w:eastAsia="Calibri" w:cs="Calibri"/>
        <w:w w:val="109"/>
        <w:sz w:val="21"/>
        <w:szCs w:val="21"/>
        <w:lang w:val="en-us" w:eastAsia="en-us" w:bidi="en-us"/>
      </w:rPr>
    </w:lvl>
    <w:lvl w:ilvl="1">
      <w:start w:val="1"/>
      <w:numFmt w:val="lowerLetter"/>
      <w:lvlText w:val="(%2)"/>
      <w:lvlJc w:val="left"/>
      <w:pPr>
        <w:ind w:left="2721" w:hanging="567"/>
        <w:jc w:val="left"/>
      </w:pPr>
      <w:rPr>
        <w:rFonts w:hint="default" w:ascii="Calibri" w:hAnsi="Calibri" w:eastAsia="Calibri" w:cs="Calibri"/>
        <w:w w:val="91"/>
        <w:sz w:val="21"/>
        <w:szCs w:val="21"/>
        <w:lang w:val="en-us" w:eastAsia="en-us" w:bidi="en-us"/>
      </w:rPr>
    </w:lvl>
    <w:lvl w:ilvl="2">
      <w:start w:val="0"/>
      <w:numFmt w:val="bullet"/>
      <w:lvlText w:val="•"/>
      <w:lvlJc w:val="left"/>
      <w:pPr>
        <w:ind w:left="3740" w:hanging="567"/>
      </w:pPr>
      <w:rPr>
        <w:rFonts w:hint="default"/>
        <w:lang w:val="en-us" w:eastAsia="en-us" w:bidi="en-us"/>
      </w:rPr>
    </w:lvl>
    <w:lvl w:ilvl="3">
      <w:start w:val="0"/>
      <w:numFmt w:val="bullet"/>
      <w:lvlText w:val="•"/>
      <w:lvlJc w:val="left"/>
      <w:pPr>
        <w:ind w:left="4761" w:hanging="567"/>
      </w:pPr>
      <w:rPr>
        <w:rFonts w:hint="default"/>
        <w:lang w:val="en-us" w:eastAsia="en-us" w:bidi="en-us"/>
      </w:rPr>
    </w:lvl>
    <w:lvl w:ilvl="4">
      <w:start w:val="0"/>
      <w:numFmt w:val="bullet"/>
      <w:lvlText w:val="•"/>
      <w:lvlJc w:val="left"/>
      <w:pPr>
        <w:ind w:left="5781" w:hanging="567"/>
      </w:pPr>
      <w:rPr>
        <w:rFonts w:hint="default"/>
        <w:lang w:val="en-us" w:eastAsia="en-us" w:bidi="en-us"/>
      </w:rPr>
    </w:lvl>
    <w:lvl w:ilvl="5">
      <w:start w:val="0"/>
      <w:numFmt w:val="bullet"/>
      <w:lvlText w:val="•"/>
      <w:lvlJc w:val="left"/>
      <w:pPr>
        <w:ind w:left="6802" w:hanging="567"/>
      </w:pPr>
      <w:rPr>
        <w:rFonts w:hint="default"/>
        <w:lang w:val="en-us" w:eastAsia="en-us" w:bidi="en-us"/>
      </w:rPr>
    </w:lvl>
    <w:lvl w:ilvl="6">
      <w:start w:val="0"/>
      <w:numFmt w:val="bullet"/>
      <w:lvlText w:val="•"/>
      <w:lvlJc w:val="left"/>
      <w:pPr>
        <w:ind w:left="7823" w:hanging="567"/>
      </w:pPr>
      <w:rPr>
        <w:rFonts w:hint="default"/>
        <w:lang w:val="en-us" w:eastAsia="en-us" w:bidi="en-us"/>
      </w:rPr>
    </w:lvl>
    <w:lvl w:ilvl="7">
      <w:start w:val="0"/>
      <w:numFmt w:val="bullet"/>
      <w:lvlText w:val="•"/>
      <w:lvlJc w:val="left"/>
      <w:pPr>
        <w:ind w:left="8843" w:hanging="567"/>
      </w:pPr>
      <w:rPr>
        <w:rFonts w:hint="default"/>
        <w:lang w:val="en-us" w:eastAsia="en-us" w:bidi="en-us"/>
      </w:rPr>
    </w:lvl>
    <w:lvl w:ilvl="8">
      <w:start w:val="0"/>
      <w:numFmt w:val="bullet"/>
      <w:lvlText w:val="•"/>
      <w:lvlJc w:val="left"/>
      <w:pPr>
        <w:ind w:left="9864" w:hanging="567"/>
      </w:pPr>
      <w:rPr>
        <w:rFonts w:hint="default"/>
        <w:lang w:val="en-us" w:eastAsia="en-us" w:bidi="en-us"/>
      </w:rPr>
    </w:lvl>
  </w:abstractNum>
  <w:abstractNum w:abstractNumId="5">
    <w:multiLevelType w:val="hybridMultilevel"/>
    <w:lvl w:ilvl="0">
      <w:start w:val="44"/>
      <w:numFmt w:val="decimal"/>
      <w:lvlText w:val="%1"/>
      <w:lvlJc w:val="left"/>
      <w:pPr>
        <w:ind w:left="2381" w:hanging="794"/>
        <w:jc w:val="left"/>
      </w:pPr>
      <w:rPr>
        <w:rFonts w:hint="default" w:ascii="Calibri" w:hAnsi="Calibri" w:eastAsia="Calibri" w:cs="Calibri"/>
        <w:spacing w:val="0"/>
        <w:w w:val="109"/>
        <w:sz w:val="21"/>
        <w:szCs w:val="21"/>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740" w:hanging="341"/>
      </w:pPr>
      <w:rPr>
        <w:rFonts w:hint="default"/>
        <w:lang w:val="en-us" w:eastAsia="en-us" w:bidi="en-us"/>
      </w:rPr>
    </w:lvl>
    <w:lvl w:ilvl="3">
      <w:start w:val="0"/>
      <w:numFmt w:val="bullet"/>
      <w:lvlText w:val="•"/>
      <w:lvlJc w:val="left"/>
      <w:pPr>
        <w:ind w:left="4761" w:hanging="341"/>
      </w:pPr>
      <w:rPr>
        <w:rFonts w:hint="default"/>
        <w:lang w:val="en-us" w:eastAsia="en-us" w:bidi="en-us"/>
      </w:rPr>
    </w:lvl>
    <w:lvl w:ilvl="4">
      <w:start w:val="0"/>
      <w:numFmt w:val="bullet"/>
      <w:lvlText w:val="•"/>
      <w:lvlJc w:val="left"/>
      <w:pPr>
        <w:ind w:left="5781" w:hanging="341"/>
      </w:pPr>
      <w:rPr>
        <w:rFonts w:hint="default"/>
        <w:lang w:val="en-us" w:eastAsia="en-us" w:bidi="en-us"/>
      </w:rPr>
    </w:lvl>
    <w:lvl w:ilvl="5">
      <w:start w:val="0"/>
      <w:numFmt w:val="bullet"/>
      <w:lvlText w:val="•"/>
      <w:lvlJc w:val="left"/>
      <w:pPr>
        <w:ind w:left="6802" w:hanging="341"/>
      </w:pPr>
      <w:rPr>
        <w:rFonts w:hint="default"/>
        <w:lang w:val="en-us" w:eastAsia="en-us" w:bidi="en-us"/>
      </w:rPr>
    </w:lvl>
    <w:lvl w:ilvl="6">
      <w:start w:val="0"/>
      <w:numFmt w:val="bullet"/>
      <w:lvlText w:val="•"/>
      <w:lvlJc w:val="left"/>
      <w:pPr>
        <w:ind w:left="7823" w:hanging="341"/>
      </w:pPr>
      <w:rPr>
        <w:rFonts w:hint="default"/>
        <w:lang w:val="en-us" w:eastAsia="en-us" w:bidi="en-us"/>
      </w:rPr>
    </w:lvl>
    <w:lvl w:ilvl="7">
      <w:start w:val="0"/>
      <w:numFmt w:val="bullet"/>
      <w:lvlText w:val="•"/>
      <w:lvlJc w:val="left"/>
      <w:pPr>
        <w:ind w:left="8843" w:hanging="341"/>
      </w:pPr>
      <w:rPr>
        <w:rFonts w:hint="default"/>
        <w:lang w:val="en-us" w:eastAsia="en-us" w:bidi="en-us"/>
      </w:rPr>
    </w:lvl>
    <w:lvl w:ilvl="8">
      <w:start w:val="0"/>
      <w:numFmt w:val="bullet"/>
      <w:lvlText w:val="•"/>
      <w:lvlJc w:val="left"/>
      <w:pPr>
        <w:ind w:left="9864" w:hanging="341"/>
      </w:pPr>
      <w:rPr>
        <w:rFonts w:hint="default"/>
        <w:lang w:val="en-us" w:eastAsia="en-us" w:bidi="en-us"/>
      </w:rPr>
    </w:lvl>
  </w:abstractNum>
  <w:abstractNum w:abstractNumId="4">
    <w:multiLevelType w:val="hybridMultilevel"/>
    <w:lvl w:ilvl="0">
      <w:start w:val="33"/>
      <w:numFmt w:val="decimal"/>
      <w:lvlText w:val="%1"/>
      <w:lvlJc w:val="left"/>
      <w:pPr>
        <w:ind w:left="2356" w:hanging="794"/>
        <w:jc w:val="left"/>
      </w:pPr>
      <w:rPr>
        <w:rFonts w:hint="default" w:ascii="Calibri" w:hAnsi="Calibri" w:eastAsia="Calibri" w:cs="Calibri"/>
        <w:spacing w:val="-6"/>
        <w:w w:val="109"/>
        <w:sz w:val="21"/>
        <w:szCs w:val="21"/>
        <w:lang w:val="en-us" w:eastAsia="en-us" w:bidi="en-us"/>
      </w:rPr>
    </w:lvl>
    <w:lvl w:ilvl="1">
      <w:start w:val="0"/>
      <w:numFmt w:val="bullet"/>
      <w:lvlText w:val="•"/>
      <w:lvlJc w:val="left"/>
      <w:pPr>
        <w:ind w:left="2696" w:hanging="341"/>
      </w:pPr>
      <w:rPr>
        <w:rFonts w:hint="default" w:ascii="Calibri" w:hAnsi="Calibri" w:eastAsia="Calibri" w:cs="Calibri"/>
        <w:w w:val="100"/>
        <w:sz w:val="21"/>
        <w:szCs w:val="21"/>
        <w:lang w:val="en-us" w:eastAsia="en-us" w:bidi="en-us"/>
      </w:rPr>
    </w:lvl>
    <w:lvl w:ilvl="2">
      <w:start w:val="0"/>
      <w:numFmt w:val="bullet"/>
      <w:lvlText w:val="•"/>
      <w:lvlJc w:val="left"/>
      <w:pPr>
        <w:ind w:left="3722" w:hanging="341"/>
      </w:pPr>
      <w:rPr>
        <w:rFonts w:hint="default"/>
        <w:lang w:val="en-us" w:eastAsia="en-us" w:bidi="en-us"/>
      </w:rPr>
    </w:lvl>
    <w:lvl w:ilvl="3">
      <w:start w:val="0"/>
      <w:numFmt w:val="bullet"/>
      <w:lvlText w:val="•"/>
      <w:lvlJc w:val="left"/>
      <w:pPr>
        <w:ind w:left="4745" w:hanging="341"/>
      </w:pPr>
      <w:rPr>
        <w:rFonts w:hint="default"/>
        <w:lang w:val="en-us" w:eastAsia="en-us" w:bidi="en-us"/>
      </w:rPr>
    </w:lvl>
    <w:lvl w:ilvl="4">
      <w:start w:val="0"/>
      <w:numFmt w:val="bullet"/>
      <w:lvlText w:val="•"/>
      <w:lvlJc w:val="left"/>
      <w:pPr>
        <w:ind w:left="5768" w:hanging="341"/>
      </w:pPr>
      <w:rPr>
        <w:rFonts w:hint="default"/>
        <w:lang w:val="en-us" w:eastAsia="en-us" w:bidi="en-us"/>
      </w:rPr>
    </w:lvl>
    <w:lvl w:ilvl="5">
      <w:start w:val="0"/>
      <w:numFmt w:val="bullet"/>
      <w:lvlText w:val="•"/>
      <w:lvlJc w:val="left"/>
      <w:pPr>
        <w:ind w:left="6791" w:hanging="341"/>
      </w:pPr>
      <w:rPr>
        <w:rFonts w:hint="default"/>
        <w:lang w:val="en-us" w:eastAsia="en-us" w:bidi="en-us"/>
      </w:rPr>
    </w:lvl>
    <w:lvl w:ilvl="6">
      <w:start w:val="0"/>
      <w:numFmt w:val="bullet"/>
      <w:lvlText w:val="•"/>
      <w:lvlJc w:val="left"/>
      <w:pPr>
        <w:ind w:left="7814" w:hanging="341"/>
      </w:pPr>
      <w:rPr>
        <w:rFonts w:hint="default"/>
        <w:lang w:val="en-us" w:eastAsia="en-us" w:bidi="en-us"/>
      </w:rPr>
    </w:lvl>
    <w:lvl w:ilvl="7">
      <w:start w:val="0"/>
      <w:numFmt w:val="bullet"/>
      <w:lvlText w:val="•"/>
      <w:lvlJc w:val="left"/>
      <w:pPr>
        <w:ind w:left="8837" w:hanging="341"/>
      </w:pPr>
      <w:rPr>
        <w:rFonts w:hint="default"/>
        <w:lang w:val="en-us" w:eastAsia="en-us" w:bidi="en-us"/>
      </w:rPr>
    </w:lvl>
    <w:lvl w:ilvl="8">
      <w:start w:val="0"/>
      <w:numFmt w:val="bullet"/>
      <w:lvlText w:val="•"/>
      <w:lvlJc w:val="left"/>
      <w:pPr>
        <w:ind w:left="9859" w:hanging="341"/>
      </w:pPr>
      <w:rPr>
        <w:rFonts w:hint="default"/>
        <w:lang w:val="en-us" w:eastAsia="en-us" w:bidi="en-us"/>
      </w:rPr>
    </w:lvl>
  </w:abstractNum>
  <w:abstractNum w:abstractNumId="2">
    <w:multiLevelType w:val="hybridMultilevel"/>
    <w:lvl w:ilvl="0">
      <w:start w:val="1"/>
      <w:numFmt w:val="decimal"/>
      <w:lvlText w:val="%1"/>
      <w:lvlJc w:val="left"/>
      <w:pPr>
        <w:ind w:left="2381" w:hanging="794"/>
        <w:jc w:val="left"/>
      </w:pPr>
      <w:rPr>
        <w:rFonts w:hint="default" w:ascii="Calibri" w:hAnsi="Calibri" w:eastAsia="Calibri" w:cs="Calibri"/>
        <w:w w:val="109"/>
        <w:sz w:val="21"/>
        <w:szCs w:val="21"/>
        <w:lang w:val="en-us" w:eastAsia="en-us" w:bidi="en-us"/>
      </w:rPr>
    </w:lvl>
    <w:lvl w:ilvl="1">
      <w:start w:val="0"/>
      <w:numFmt w:val="bullet"/>
      <w:lvlText w:val="•"/>
      <w:lvlJc w:val="left"/>
      <w:pPr>
        <w:ind w:left="2721" w:hanging="341"/>
      </w:pPr>
      <w:rPr>
        <w:rFonts w:hint="default" w:ascii="Calibri" w:hAnsi="Calibri" w:eastAsia="Calibri" w:cs="Calibri"/>
        <w:w w:val="100"/>
        <w:sz w:val="21"/>
        <w:szCs w:val="21"/>
        <w:lang w:val="en-us" w:eastAsia="en-us" w:bidi="en-us"/>
      </w:rPr>
    </w:lvl>
    <w:lvl w:ilvl="2">
      <w:start w:val="0"/>
      <w:numFmt w:val="bullet"/>
      <w:lvlText w:val="•"/>
      <w:lvlJc w:val="left"/>
      <w:pPr>
        <w:ind w:left="3559" w:hanging="341"/>
      </w:pPr>
      <w:rPr>
        <w:rFonts w:hint="default"/>
        <w:lang w:val="en-us" w:eastAsia="en-us" w:bidi="en-us"/>
      </w:rPr>
    </w:lvl>
    <w:lvl w:ilvl="3">
      <w:start w:val="0"/>
      <w:numFmt w:val="bullet"/>
      <w:lvlText w:val="•"/>
      <w:lvlJc w:val="left"/>
      <w:pPr>
        <w:ind w:left="4399" w:hanging="341"/>
      </w:pPr>
      <w:rPr>
        <w:rFonts w:hint="default"/>
        <w:lang w:val="en-us" w:eastAsia="en-us" w:bidi="en-us"/>
      </w:rPr>
    </w:lvl>
    <w:lvl w:ilvl="4">
      <w:start w:val="0"/>
      <w:numFmt w:val="bullet"/>
      <w:lvlText w:val="•"/>
      <w:lvlJc w:val="left"/>
      <w:pPr>
        <w:ind w:left="5238" w:hanging="341"/>
      </w:pPr>
      <w:rPr>
        <w:rFonts w:hint="default"/>
        <w:lang w:val="en-us" w:eastAsia="en-us" w:bidi="en-us"/>
      </w:rPr>
    </w:lvl>
    <w:lvl w:ilvl="5">
      <w:start w:val="0"/>
      <w:numFmt w:val="bullet"/>
      <w:lvlText w:val="•"/>
      <w:lvlJc w:val="left"/>
      <w:pPr>
        <w:ind w:left="6078" w:hanging="341"/>
      </w:pPr>
      <w:rPr>
        <w:rFonts w:hint="default"/>
        <w:lang w:val="en-us" w:eastAsia="en-us" w:bidi="en-us"/>
      </w:rPr>
    </w:lvl>
    <w:lvl w:ilvl="6">
      <w:start w:val="0"/>
      <w:numFmt w:val="bullet"/>
      <w:lvlText w:val="•"/>
      <w:lvlJc w:val="left"/>
      <w:pPr>
        <w:ind w:left="6917" w:hanging="341"/>
      </w:pPr>
      <w:rPr>
        <w:rFonts w:hint="default"/>
        <w:lang w:val="en-us" w:eastAsia="en-us" w:bidi="en-us"/>
      </w:rPr>
    </w:lvl>
    <w:lvl w:ilvl="7">
      <w:start w:val="0"/>
      <w:numFmt w:val="bullet"/>
      <w:lvlText w:val="•"/>
      <w:lvlJc w:val="left"/>
      <w:pPr>
        <w:ind w:left="7757" w:hanging="341"/>
      </w:pPr>
      <w:rPr>
        <w:rFonts w:hint="default"/>
        <w:lang w:val="en-us" w:eastAsia="en-us" w:bidi="en-us"/>
      </w:rPr>
    </w:lvl>
    <w:lvl w:ilvl="8">
      <w:start w:val="0"/>
      <w:numFmt w:val="bullet"/>
      <w:lvlText w:val="•"/>
      <w:lvlJc w:val="left"/>
      <w:pPr>
        <w:ind w:left="8596" w:hanging="341"/>
      </w:pPr>
      <w:rPr>
        <w:rFonts w:hint="default"/>
        <w:lang w:val="en-us" w:eastAsia="en-us" w:bidi="en-us"/>
      </w:rPr>
    </w:lvl>
  </w:abstractNum>
  <w:abstractNum w:abstractNumId="1">
    <w:multiLevelType w:val="hybridMultilevel"/>
    <w:lvl w:ilvl="0">
      <w:start w:val="0"/>
      <w:numFmt w:val="bullet"/>
      <w:lvlText w:val="•"/>
      <w:lvlJc w:val="left"/>
      <w:pPr>
        <w:ind w:left="1901" w:hanging="341"/>
      </w:pPr>
      <w:rPr>
        <w:rFonts w:hint="default" w:ascii="Calibri" w:hAnsi="Calibri" w:eastAsia="Calibri" w:cs="Calibri"/>
        <w:w w:val="100"/>
        <w:sz w:val="21"/>
        <w:szCs w:val="21"/>
        <w:lang w:val="en-us" w:eastAsia="en-us" w:bidi="en-us"/>
      </w:rPr>
    </w:lvl>
    <w:lvl w:ilvl="1">
      <w:start w:val="0"/>
      <w:numFmt w:val="bullet"/>
      <w:lvlText w:val="•"/>
      <w:lvlJc w:val="left"/>
      <w:pPr>
        <w:ind w:left="2900" w:hanging="341"/>
      </w:pPr>
      <w:rPr>
        <w:rFonts w:hint="default"/>
        <w:lang w:val="en-us" w:eastAsia="en-us" w:bidi="en-us"/>
      </w:rPr>
    </w:lvl>
    <w:lvl w:ilvl="2">
      <w:start w:val="0"/>
      <w:numFmt w:val="bullet"/>
      <w:lvlText w:val="•"/>
      <w:lvlJc w:val="left"/>
      <w:pPr>
        <w:ind w:left="3901" w:hanging="341"/>
      </w:pPr>
      <w:rPr>
        <w:rFonts w:hint="default"/>
        <w:lang w:val="en-us" w:eastAsia="en-us" w:bidi="en-us"/>
      </w:rPr>
    </w:lvl>
    <w:lvl w:ilvl="3">
      <w:start w:val="0"/>
      <w:numFmt w:val="bullet"/>
      <w:lvlText w:val="•"/>
      <w:lvlJc w:val="left"/>
      <w:pPr>
        <w:ind w:left="4901" w:hanging="341"/>
      </w:pPr>
      <w:rPr>
        <w:rFonts w:hint="default"/>
        <w:lang w:val="en-us" w:eastAsia="en-us" w:bidi="en-us"/>
      </w:rPr>
    </w:lvl>
    <w:lvl w:ilvl="4">
      <w:start w:val="0"/>
      <w:numFmt w:val="bullet"/>
      <w:lvlText w:val="•"/>
      <w:lvlJc w:val="left"/>
      <w:pPr>
        <w:ind w:left="5902" w:hanging="341"/>
      </w:pPr>
      <w:rPr>
        <w:rFonts w:hint="default"/>
        <w:lang w:val="en-us" w:eastAsia="en-us" w:bidi="en-us"/>
      </w:rPr>
    </w:lvl>
    <w:lvl w:ilvl="5">
      <w:start w:val="0"/>
      <w:numFmt w:val="bullet"/>
      <w:lvlText w:val="•"/>
      <w:lvlJc w:val="left"/>
      <w:pPr>
        <w:ind w:left="6902" w:hanging="341"/>
      </w:pPr>
      <w:rPr>
        <w:rFonts w:hint="default"/>
        <w:lang w:val="en-us" w:eastAsia="en-us" w:bidi="en-us"/>
      </w:rPr>
    </w:lvl>
    <w:lvl w:ilvl="6">
      <w:start w:val="0"/>
      <w:numFmt w:val="bullet"/>
      <w:lvlText w:val="•"/>
      <w:lvlJc w:val="left"/>
      <w:pPr>
        <w:ind w:left="7903" w:hanging="341"/>
      </w:pPr>
      <w:rPr>
        <w:rFonts w:hint="default"/>
        <w:lang w:val="en-us" w:eastAsia="en-us" w:bidi="en-us"/>
      </w:rPr>
    </w:lvl>
    <w:lvl w:ilvl="7">
      <w:start w:val="0"/>
      <w:numFmt w:val="bullet"/>
      <w:lvlText w:val="•"/>
      <w:lvlJc w:val="left"/>
      <w:pPr>
        <w:ind w:left="8903" w:hanging="341"/>
      </w:pPr>
      <w:rPr>
        <w:rFonts w:hint="default"/>
        <w:lang w:val="en-us" w:eastAsia="en-us" w:bidi="en-us"/>
      </w:rPr>
    </w:lvl>
    <w:lvl w:ilvl="8">
      <w:start w:val="0"/>
      <w:numFmt w:val="bullet"/>
      <w:lvlText w:val="•"/>
      <w:lvlJc w:val="left"/>
      <w:pPr>
        <w:ind w:left="9904" w:hanging="341"/>
      </w:pPr>
      <w:rPr>
        <w:rFonts w:hint="default"/>
        <w:lang w:val="en-us" w:eastAsia="en-us" w:bidi="en-us"/>
      </w:rPr>
    </w:lvl>
  </w:abstractNum>
  <w:num w:numId="201">
    <w:abstractNumId w:val="200"/>
  </w:num>
  <w:num w:numId="188">
    <w:abstractNumId w:val="187"/>
  </w:num>
  <w:num w:numId="161">
    <w:abstractNumId w:val="160"/>
  </w:num>
  <w:num w:numId="155">
    <w:abstractNumId w:val="154"/>
  </w:num>
  <w:num w:numId="141">
    <w:abstractNumId w:val="140"/>
  </w:num>
  <w:num w:numId="90">
    <w:abstractNumId w:val="89"/>
  </w:num>
  <w:num w:numId="83">
    <w:abstractNumId w:val="82"/>
  </w:num>
  <w:num w:numId="82">
    <w:abstractNumId w:val="81"/>
  </w:num>
  <w:num w:numId="69">
    <w:abstractNumId w:val="68"/>
  </w:num>
  <w:num w:numId="48">
    <w:abstractNumId w:val="47"/>
  </w:num>
  <w:num w:numId="4">
    <w:abstractNumId w:val="3"/>
  </w:num>
  <w:num w:numId="1">
    <w:abstractNumId w:val="0"/>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0">
    <w:abstractNumId w:val="159"/>
  </w:num>
  <w:num w:numId="159">
    <w:abstractNumId w:val="158"/>
  </w:num>
  <w:num w:numId="158">
    <w:abstractNumId w:val="157"/>
  </w:num>
  <w:num w:numId="157">
    <w:abstractNumId w:val="156"/>
  </w:num>
  <w:num w:numId="156">
    <w:abstractNumId w:val="155"/>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89">
    <w:abstractNumId w:val="88"/>
  </w:num>
  <w:num w:numId="88">
    <w:abstractNumId w:val="87"/>
  </w:num>
  <w:num w:numId="87">
    <w:abstractNumId w:val="86"/>
  </w:num>
  <w:num w:numId="86">
    <w:abstractNumId w:val="85"/>
  </w:num>
  <w:num w:numId="85">
    <w:abstractNumId w:val="84"/>
  </w:num>
  <w:num w:numId="84">
    <w:abstractNumId w:val="83"/>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TOC1" w:type="paragraph">
    <w:name w:val="TOC 1"/>
    <w:basedOn w:val="Normal"/>
    <w:uiPriority w:val="1"/>
    <w:qFormat/>
    <w:pPr>
      <w:spacing w:before="20"/>
      <w:ind w:left="720"/>
    </w:pPr>
    <w:rPr>
      <w:rFonts w:ascii="Calibri" w:hAnsi="Calibri" w:eastAsia="Calibri" w:cs="Calibri"/>
      <w:b/>
      <w:bCs/>
      <w:sz w:val="24"/>
      <w:szCs w:val="24"/>
      <w:lang w:val="en-us" w:eastAsia="en-us" w:bidi="en-us"/>
    </w:rPr>
  </w:style>
  <w:style w:styleId="TOC2" w:type="paragraph">
    <w:name w:val="TOC 2"/>
    <w:basedOn w:val="Normal"/>
    <w:uiPriority w:val="1"/>
    <w:qFormat/>
    <w:pPr>
      <w:spacing w:before="68"/>
      <w:ind w:left="1587"/>
    </w:pPr>
    <w:rPr>
      <w:rFonts w:ascii="Calibri" w:hAnsi="Calibri" w:eastAsia="Calibri" w:cs="Calibri"/>
      <w:b/>
      <w:bCs/>
      <w:sz w:val="21"/>
      <w:szCs w:val="21"/>
      <w:lang w:val="en-us" w:eastAsia="en-us" w:bidi="en-us"/>
    </w:rPr>
  </w:style>
  <w:style w:styleId="TOC3" w:type="paragraph">
    <w:name w:val="TOC 3"/>
    <w:basedOn w:val="Normal"/>
    <w:uiPriority w:val="1"/>
    <w:qFormat/>
    <w:pPr>
      <w:spacing w:before="69"/>
      <w:ind w:left="2154"/>
    </w:pPr>
    <w:rPr>
      <w:rFonts w:ascii="Calibri" w:hAnsi="Calibri" w:eastAsia="Calibri" w:cs="Calibri"/>
      <w:sz w:val="21"/>
      <w:szCs w:val="21"/>
      <w:lang w:val="en-us" w:eastAsia="en-us" w:bidi="en-us"/>
    </w:rPr>
  </w:style>
  <w:style w:styleId="TOC4" w:type="paragraph">
    <w:name w:val="TOC 4"/>
    <w:basedOn w:val="Normal"/>
    <w:uiPriority w:val="1"/>
    <w:qFormat/>
    <w:pPr>
      <w:spacing w:before="69"/>
      <w:ind w:left="2437"/>
    </w:pPr>
    <w:rPr>
      <w:rFonts w:ascii="Calibri" w:hAnsi="Calibri" w:eastAsia="Calibri" w:cs="Calibri"/>
      <w:sz w:val="21"/>
      <w:szCs w:val="21"/>
      <w:lang w:val="en-us" w:eastAsia="en-us" w:bidi="en-us"/>
    </w:rPr>
  </w:style>
  <w:style w:styleId="BodyText" w:type="paragraph">
    <w:name w:val="Body Text"/>
    <w:basedOn w:val="Normal"/>
    <w:uiPriority w:val="1"/>
    <w:qFormat/>
    <w:pPr/>
    <w:rPr>
      <w:rFonts w:ascii="Calibri" w:hAnsi="Calibri" w:eastAsia="Calibri" w:cs="Calibri"/>
      <w:sz w:val="21"/>
      <w:szCs w:val="21"/>
      <w:lang w:val="en-us" w:eastAsia="en-us" w:bidi="en-us"/>
    </w:rPr>
  </w:style>
  <w:style w:styleId="Heading1" w:type="paragraph">
    <w:name w:val="Heading 1"/>
    <w:basedOn w:val="Normal"/>
    <w:uiPriority w:val="1"/>
    <w:qFormat/>
    <w:pPr>
      <w:spacing w:before="62"/>
      <w:jc w:val="right"/>
      <w:outlineLvl w:val="1"/>
    </w:pPr>
    <w:rPr>
      <w:rFonts w:ascii="Calibri" w:hAnsi="Calibri" w:eastAsia="Calibri" w:cs="Calibri"/>
      <w:b/>
      <w:bCs/>
      <w:sz w:val="48"/>
      <w:szCs w:val="48"/>
      <w:lang w:val="en-us" w:eastAsia="en-us" w:bidi="en-us"/>
    </w:rPr>
  </w:style>
  <w:style w:styleId="Heading2" w:type="paragraph">
    <w:name w:val="Heading 2"/>
    <w:basedOn w:val="Normal"/>
    <w:uiPriority w:val="1"/>
    <w:qFormat/>
    <w:pPr>
      <w:spacing w:before="106"/>
      <w:ind w:left="1247" w:hanging="681"/>
      <w:outlineLvl w:val="2"/>
    </w:pPr>
    <w:rPr>
      <w:rFonts w:ascii="Calibri" w:hAnsi="Calibri" w:eastAsia="Calibri" w:cs="Calibri"/>
      <w:b/>
      <w:bCs/>
      <w:sz w:val="44"/>
      <w:szCs w:val="44"/>
      <w:lang w:val="en-us" w:eastAsia="en-us" w:bidi="en-us"/>
    </w:rPr>
  </w:style>
  <w:style w:styleId="Heading3" w:type="paragraph">
    <w:name w:val="Heading 3"/>
    <w:basedOn w:val="Normal"/>
    <w:uiPriority w:val="1"/>
    <w:qFormat/>
    <w:pPr>
      <w:spacing w:before="95"/>
      <w:ind w:left="1814"/>
      <w:outlineLvl w:val="3"/>
    </w:pPr>
    <w:rPr>
      <w:rFonts w:ascii="Calibri" w:hAnsi="Calibri" w:eastAsia="Calibri" w:cs="Calibri"/>
      <w:b/>
      <w:bCs/>
      <w:sz w:val="32"/>
      <w:szCs w:val="32"/>
      <w:lang w:val="en-us" w:eastAsia="en-us" w:bidi="en-us"/>
    </w:rPr>
  </w:style>
  <w:style w:styleId="Heading4" w:type="paragraph">
    <w:name w:val="Heading 4"/>
    <w:basedOn w:val="Normal"/>
    <w:uiPriority w:val="1"/>
    <w:qFormat/>
    <w:pPr>
      <w:ind w:left="1587"/>
      <w:outlineLvl w:val="4"/>
    </w:pPr>
    <w:rPr>
      <w:rFonts w:ascii="Calibri" w:hAnsi="Calibri" w:eastAsia="Calibri" w:cs="Calibri"/>
      <w:b/>
      <w:bCs/>
      <w:sz w:val="28"/>
      <w:szCs w:val="28"/>
      <w:lang w:val="en-us" w:eastAsia="en-us" w:bidi="en-us"/>
    </w:rPr>
  </w:style>
  <w:style w:styleId="Heading5" w:type="paragraph">
    <w:name w:val="Heading 5"/>
    <w:basedOn w:val="Normal"/>
    <w:uiPriority w:val="1"/>
    <w:qFormat/>
    <w:pPr>
      <w:ind w:left="1587"/>
      <w:outlineLvl w:val="5"/>
    </w:pPr>
    <w:rPr>
      <w:rFonts w:ascii="Calibri" w:hAnsi="Calibri" w:eastAsia="Calibri" w:cs="Calibri"/>
      <w:b/>
      <w:bCs/>
      <w:sz w:val="24"/>
      <w:szCs w:val="24"/>
      <w:lang w:val="en-us" w:eastAsia="en-us" w:bidi="en-us"/>
    </w:rPr>
  </w:style>
  <w:style w:styleId="Heading6" w:type="paragraph">
    <w:name w:val="Heading 6"/>
    <w:basedOn w:val="Normal"/>
    <w:uiPriority w:val="1"/>
    <w:qFormat/>
    <w:pPr>
      <w:ind w:left="105"/>
      <w:outlineLvl w:val="6"/>
    </w:pPr>
    <w:rPr>
      <w:rFonts w:ascii="Trebuchet MS" w:hAnsi="Trebuchet MS" w:eastAsia="Trebuchet MS" w:cs="Trebuchet MS"/>
      <w:b/>
      <w:bCs/>
      <w:sz w:val="22"/>
      <w:szCs w:val="22"/>
      <w:lang w:val="en-us" w:eastAsia="en-us" w:bidi="en-us"/>
    </w:rPr>
  </w:style>
  <w:style w:styleId="Heading7" w:type="paragraph">
    <w:name w:val="Heading 7"/>
    <w:basedOn w:val="Normal"/>
    <w:uiPriority w:val="1"/>
    <w:qFormat/>
    <w:pPr>
      <w:spacing w:before="154"/>
      <w:ind w:left="1587"/>
      <w:outlineLvl w:val="7"/>
    </w:pPr>
    <w:rPr>
      <w:rFonts w:ascii="Calibri" w:hAnsi="Calibri" w:eastAsia="Calibri" w:cs="Calibri"/>
      <w:sz w:val="22"/>
      <w:szCs w:val="22"/>
      <w:lang w:val="en-us" w:eastAsia="en-us" w:bidi="en-us"/>
    </w:rPr>
  </w:style>
  <w:style w:styleId="Heading8" w:type="paragraph">
    <w:name w:val="Heading 8"/>
    <w:basedOn w:val="Normal"/>
    <w:uiPriority w:val="1"/>
    <w:qFormat/>
    <w:pPr>
      <w:spacing w:before="150"/>
      <w:ind w:left="1587"/>
      <w:outlineLvl w:val="8"/>
    </w:pPr>
    <w:rPr>
      <w:rFonts w:ascii="Lucida Sans" w:hAnsi="Lucida Sans" w:eastAsia="Lucida Sans" w:cs="Lucida Sans"/>
      <w:i/>
      <w:sz w:val="22"/>
      <w:szCs w:val="22"/>
      <w:lang w:val="en-us" w:eastAsia="en-us" w:bidi="en-us"/>
    </w:rPr>
  </w:style>
  <w:style w:styleId="Heading9" w:type="paragraph">
    <w:name w:val="Heading 9"/>
    <w:basedOn w:val="Normal"/>
    <w:uiPriority w:val="1"/>
    <w:qFormat/>
    <w:pPr>
      <w:spacing w:before="96"/>
      <w:ind w:left="2381" w:hanging="794"/>
      <w:outlineLvl w:val="9"/>
    </w:pPr>
    <w:rPr>
      <w:rFonts w:ascii="Calibri" w:hAnsi="Calibri" w:eastAsia="Calibri" w:cs="Calibri"/>
      <w:b/>
      <w:bCs/>
      <w:sz w:val="21"/>
      <w:szCs w:val="21"/>
      <w:lang w:val="en-us" w:eastAsia="en-us" w:bidi="en-us"/>
    </w:rPr>
  </w:style>
  <w:style w:styleId="ListParagraph" w:type="paragraph">
    <w:name w:val="List Paragraph"/>
    <w:basedOn w:val="Normal"/>
    <w:uiPriority w:val="1"/>
    <w:qFormat/>
    <w:pPr>
      <w:spacing w:before="1"/>
      <w:ind w:left="2381" w:hanging="794"/>
    </w:pPr>
    <w:rPr>
      <w:rFonts w:ascii="Calibri" w:hAnsi="Calibri" w:eastAsia="Calibri" w:cs="Calibri"/>
      <w:lang w:val="en-us" w:eastAsia="en-us" w:bidi="en-us"/>
    </w:rPr>
  </w:style>
  <w:style w:styleId="TableParagraph" w:type="paragraph">
    <w:name w:val="Table Paragraph"/>
    <w:basedOn w:val="Normal"/>
    <w:uiPriority w:val="1"/>
    <w:qFormat/>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header" Target="header3.xml"/><Relationship Id="rId12" Type="http://schemas.openxmlformats.org/officeDocument/2006/relationships/image" Target="media/image5.png"/><Relationship Id="rId13" Type="http://schemas.openxmlformats.org/officeDocument/2006/relationships/hyperlink" Target="mailto:law.reform@lawreform.vic.gov.au" TargetMode="External"/><Relationship Id="rId14" Type="http://schemas.openxmlformats.org/officeDocument/2006/relationships/hyperlink" Target="http://www.lawreform.vic.gov.au/" TargetMode="Externa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image" Target="media/image6.png"/><Relationship Id="rId18" Type="http://schemas.openxmlformats.org/officeDocument/2006/relationships/header" Target="header6.xml"/><Relationship Id="rId19" Type="http://schemas.openxmlformats.org/officeDocument/2006/relationships/header" Target="header7.xml"/><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header" Target="header12.xml"/><Relationship Id="rId25" Type="http://schemas.openxmlformats.org/officeDocument/2006/relationships/header" Target="header13.xml"/><Relationship Id="rId26" Type="http://schemas.openxmlformats.org/officeDocument/2006/relationships/hyperlink" Target="https://www.lawreform.vic.gov.au/about-us/policies/submissions-policy" TargetMode="External"/><Relationship Id="rId27" Type="http://schemas.openxmlformats.org/officeDocument/2006/relationships/header" Target="header14.xml"/><Relationship Id="rId28" Type="http://schemas.openxmlformats.org/officeDocument/2006/relationships/header" Target="header15.xml"/><Relationship Id="rId29" Type="http://schemas.openxmlformats.org/officeDocument/2006/relationships/header" Target="header16.xml"/><Relationship Id="rId30" Type="http://schemas.openxmlformats.org/officeDocument/2006/relationships/header" Target="header17.xml"/><Relationship Id="rId31" Type="http://schemas.openxmlformats.org/officeDocument/2006/relationships/header" Target="header18.xml"/><Relationship Id="rId32" Type="http://schemas.openxmlformats.org/officeDocument/2006/relationships/hyperlink" Target="http://www.theage.com.au/national/victoria/appalling-display-of-incompetence-council-lashed-" TargetMode="External"/><Relationship Id="rId33" Type="http://schemas.openxmlformats.org/officeDocument/2006/relationships/hyperlink" Target="http://www.courts.vic.gov.au/court-system/victorian-courts-and-tribunals" TargetMode="External"/><Relationship Id="rId34" Type="http://schemas.openxmlformats.org/officeDocument/2006/relationships/hyperlink" Target="http://www.disputes.vic.gov.au/about-us" TargetMode="External"/><Relationship Id="rId35" Type="http://schemas.openxmlformats.org/officeDocument/2006/relationships/hyperlink" Target="http://www.planning.vic/" TargetMode="External"/><Relationship Id="rId36" Type="http://schemas.openxmlformats.org/officeDocument/2006/relationships/hyperlink" Target="http://www.dailymail.co.uk/news/article-4494582/Family-returns-home-backyard-trees-CHOPPED-down.html" TargetMode="External"/><Relationship Id="rId37" Type="http://schemas.openxmlformats.org/officeDocument/2006/relationships/hyperlink" Target="http://www.geelongadvertiser.com.au/news/crime-court/geelong-court-lovely-banks-couple-pleads-guilty-to-poisoning-neighbours-trees/" TargetMode="External"/><Relationship Id="rId38" Type="http://schemas.openxmlformats.org/officeDocument/2006/relationships/hyperlink" Target="http://www.environment.gov.au/biodiversity/conservation/covenants" TargetMode="External"/><Relationship Id="rId39" Type="http://schemas.openxmlformats.org/officeDocument/2006/relationships/hyperlink" Target="http://www.vic.gov.au/aboriginalvictoria/heritage/aboriginal-cultural-heritage-of-victoria/aboriginal-" TargetMode="External"/><Relationship Id="rId40" Type="http://schemas.openxmlformats.org/officeDocument/2006/relationships/hyperlink" Target="https://www.sbs.com.au/nitv/article/2019/03/23/djab-wurrung-protesters-continue-their-fight-sacred-trees" TargetMode="External"/><Relationship Id="rId41" Type="http://schemas.openxmlformats.org/officeDocument/2006/relationships/hyperlink" Target="http://www.legalaid.vic.gov.au/find-legal-answers/disputes-with-" TargetMode="External"/><Relationship Id="rId42" Type="http://schemas.openxmlformats.org/officeDocument/2006/relationships/hyperlink" Target="http://www.legalaid.vic.gov/" TargetMode="External"/><Relationship Id="rId43" Type="http://schemas.openxmlformats.org/officeDocument/2006/relationships/hyperlink" Target="http://www.victorialawfoundation.org.au/publication/neighbours-the-law-and-you/read" TargetMode="External"/><Relationship Id="rId44" Type="http://schemas.openxmlformats.org/officeDocument/2006/relationships/hyperlink" Target="http://arboriculture.org.au/Qualification" TargetMode="External"/><Relationship Id="rId45" Type="http://schemas.openxmlformats.org/officeDocument/2006/relationships/hyperlink" Target="http://arboriculture.org.au/License" TargetMode="External"/><Relationship Id="rId46" Type="http://schemas.openxmlformats.org/officeDocument/2006/relationships/hyperlink" Target="http://www.aqf.edu.au/what-is-the-aqf" TargetMode="External"/><Relationship Id="rId47" Type="http://schemas.openxmlformats.org/officeDocument/2006/relationships/hyperlink" Target="http://www.kingston.vic.gov.au/Property-and-Development/Planning/Planning-Useful-Forms-and-Links" TargetMode="External"/><Relationship Id="rId48" Type="http://schemas.openxmlformats.org/officeDocument/2006/relationships/hyperlink" Target="http://www.planning.vic.gov.au/policy-and-strategy/green-wedges" TargetMode="External"/><Relationship Id="rId49" Type="http://schemas.openxmlformats.org/officeDocument/2006/relationships/header" Target="header19.xml"/><Relationship Id="rId50" Type="http://schemas.openxmlformats.org/officeDocument/2006/relationships/header" Target="header20.xml"/><Relationship Id="rId51" Type="http://schemas.openxmlformats.org/officeDocument/2006/relationships/hyperlink" Target="http://www.moneysmart.gov.au/insurance/home-insurance" TargetMode="External"/><Relationship Id="rId52" Type="http://schemas.openxmlformats.org/officeDocument/2006/relationships/hyperlink" Target="http://www.moneysmart.gov.au/insurance/homeinsurance" TargetMode="External"/><Relationship Id="rId53" Type="http://schemas.openxmlformats.org/officeDocument/2006/relationships/header" Target="header21.xml"/><Relationship Id="rId54" Type="http://schemas.openxmlformats.org/officeDocument/2006/relationships/header" Target="header22.xml"/><Relationship Id="rId55" Type="http://schemas.openxmlformats.org/officeDocument/2006/relationships/hyperlink" Target="http://www.disputes.vic.gov.au/information-and-advice/" TargetMode="External"/><Relationship Id="rId56" Type="http://schemas.openxmlformats.org/officeDocument/2006/relationships/hyperlink" Target="https://www.legalaid.vic.gov.au/find-legal-answers/free-publications-and-resources/neighbours-law-and-you" TargetMode="External"/><Relationship Id="rId57" Type="http://schemas.openxmlformats.org/officeDocument/2006/relationships/hyperlink" Target="https://www.disputes.vic.gov.au/information-and-advice/trees-0" TargetMode="External"/><Relationship Id="rId58" Type="http://schemas.openxmlformats.org/officeDocument/2006/relationships/hyperlink" Target="http://www.legalaid.vic.gov.au/find-legal-answers/free-publications-and-resources/neighbours-law-and-you" TargetMode="External"/><Relationship Id="rId59" Type="http://schemas.openxmlformats.org/officeDocument/2006/relationships/hyperlink" Target="http://www.boroondara.vic.gov.au/waste-environment/trees-and-" TargetMode="External"/><Relationship Id="rId60" Type="http://schemas.openxmlformats.org/officeDocument/2006/relationships/hyperlink" Target="http://www.disputes.vic.gov.au/about-us/dispute-" TargetMode="External"/><Relationship Id="rId61" Type="http://schemas.openxmlformats.org/officeDocument/2006/relationships/hyperlink" Target="http://www.liv.asn.au/mediators" TargetMode="External"/><Relationship Id="rId62" Type="http://schemas.openxmlformats.org/officeDocument/2006/relationships/hyperlink" Target="http://www.disputes.vic.gov.au/about-us/mediation-0" TargetMode="External"/><Relationship Id="rId63" Type="http://schemas.openxmlformats.org/officeDocument/2006/relationships/hyperlink" Target="http://www.disputes.vic/" TargetMode="External"/><Relationship Id="rId64" Type="http://schemas.openxmlformats.org/officeDocument/2006/relationships/hyperlink" Target="http://www.disputes.vic.gov.au/about-us/civil-claims-program" TargetMode="External"/><Relationship Id="rId65" Type="http://schemas.openxmlformats.org/officeDocument/2006/relationships/hyperlink" Target="https://www.mcv.vic.gov.au/civil-matters/resolving-dispute/mediation" TargetMode="External"/><Relationship Id="rId66" Type="http://schemas.openxmlformats.org/officeDocument/2006/relationships/hyperlink" Target="http://www.disputes.vic.gov/" TargetMode="External"/><Relationship Id="rId67" Type="http://schemas.openxmlformats.org/officeDocument/2006/relationships/hyperlink" Target="https://www.disputes.vic.gov.au/about-us/civil-mediation-at-vcat-program" TargetMode="External"/><Relationship Id="rId68" Type="http://schemas.openxmlformats.org/officeDocument/2006/relationships/hyperlink" Target="http://www.countycourt.vic.gov.au/learn-about-court/court-divisions" TargetMode="External"/><Relationship Id="rId69" Type="http://schemas.openxmlformats.org/officeDocument/2006/relationships/hyperlink" Target="http://www.supremecourt.vic.gov.au/law-and-practice/specialist-" TargetMode="External"/><Relationship Id="rId70" Type="http://schemas.openxmlformats.org/officeDocument/2006/relationships/header" Target="header23.xml"/><Relationship Id="rId71" Type="http://schemas.openxmlformats.org/officeDocument/2006/relationships/header" Target="header24.xml"/><Relationship Id="rId72" Type="http://schemas.openxmlformats.org/officeDocument/2006/relationships/header" Target="header25.xml"/><Relationship Id="rId73" Type="http://schemas.openxmlformats.org/officeDocument/2006/relationships/hyperlink" Target="http://www.crs.org.au/" TargetMode="External"/><Relationship Id="rId74" Type="http://schemas.openxmlformats.org/officeDocument/2006/relationships/hyperlink" Target="http://www.unitingcommunities.org/services/financial-legal-services/mediation-" TargetMode="External"/><Relationship Id="rId75" Type="http://schemas.openxmlformats.org/officeDocument/2006/relationships/hyperlink" Target="http://www.cabwa.com.au/mediation-service" TargetMode="External"/><Relationship Id="rId76" Type="http://schemas.openxmlformats.org/officeDocument/2006/relationships/header" Target="header26.xml"/><Relationship Id="rId77" Type="http://schemas.openxmlformats.org/officeDocument/2006/relationships/header" Target="header27.xml"/><Relationship Id="rId78" Type="http://schemas.openxmlformats.org/officeDocument/2006/relationships/hyperlink" Target="http://theconversation.com/acts-of-arborial-violence-tree-vandals-deprive-us-all-41342" TargetMode="External"/><Relationship Id="rId79" Type="http://schemas.openxmlformats.org/officeDocument/2006/relationships/hyperlink" Target="http://www.legalaid.vic.gov.au/find-legal-answers/disputes-with-neighbours" TargetMode="External"/><Relationship Id="rId80" Type="http://schemas.openxmlformats.org/officeDocument/2006/relationships/hyperlink" Target="https://www.disputes.vic.gov.au/information-and-advice/dscv-faqs" TargetMode="External"/><Relationship Id="rId81" Type="http://schemas.openxmlformats.org/officeDocument/2006/relationships/hyperlink" Target="http://www.disputes.vic.gov.au/about-us/" TargetMode="External"/><Relationship Id="rId82" Type="http://schemas.openxmlformats.org/officeDocument/2006/relationships/hyperlink" Target="http://www.ballarat.vic.gov.au/city/parks-and-outdoors/" TargetMode="External"/><Relationship Id="rId83" Type="http://schemas.openxmlformats.org/officeDocument/2006/relationships/hyperlink" Target="http://www.melbourne.vic.gov.au/news-and-media/pages/australias-" TargetMode="External"/><Relationship Id="rId84" Type="http://schemas.openxmlformats.org/officeDocument/2006/relationships/header" Target="header28.xml"/><Relationship Id="rId85" Type="http://schemas.openxmlformats.org/officeDocument/2006/relationships/header" Target="header29.xml"/><Relationship Id="rId86" Type="http://schemas.openxmlformats.org/officeDocument/2006/relationships/header" Target="header30.xml"/><Relationship Id="rId87" Type="http://schemas.openxmlformats.org/officeDocument/2006/relationships/header" Target="header31.xml"/><Relationship Id="rId88" Type="http://schemas.openxmlformats.org/officeDocument/2006/relationships/header" Target="header32.xml"/><Relationship Id="rId89" Type="http://schemas.openxmlformats.org/officeDocument/2006/relationships/hyperlink" Target="http://www.nillumbik.vic.gov.au/Council/Council-" TargetMode="External"/><Relationship Id="rId90" Type="http://schemas.openxmlformats.org/officeDocument/2006/relationships/hyperlink" Target="http://planningschemes/" TargetMode="External"/><Relationship Id="rId91" Type="http://schemas.openxmlformats.org/officeDocument/2006/relationships/hyperlink" Target="http://agriculture.vic.gov.au/agriculture/farm-" TargetMode="External"/><Relationship Id="rId92" Type="http://schemas.openxmlformats.org/officeDocument/2006/relationships/hyperlink" Target="http://www.planning.vic.gov.au/resource-" TargetMode="External"/><Relationship Id="rId93" Type="http://schemas.openxmlformats.org/officeDocument/2006/relationships/hyperlink" Target="http://www.planning.vic.gov.au/resource-library/planning-practice-notes" TargetMode="External"/><Relationship Id="rId94" Type="http://schemas.openxmlformats.org/officeDocument/2006/relationships/hyperlink" Target="http://www.planning.vic.gov.au/policy-" TargetMode="External"/><Relationship Id="rId95" Type="http://schemas.openxmlformats.org/officeDocument/2006/relationships/hyperlink" Target="http://www.planning.vic.gov.au/guide-home/using-victorias-planning-system" TargetMode="External"/><Relationship Id="rId96" Type="http://schemas.openxmlformats.org/officeDocument/2006/relationships/hyperlink" Target="http://www.planning.vic.gov.au/schemes-and-amendments/" TargetMode="External"/><Relationship Id="rId97" Type="http://schemas.openxmlformats.org/officeDocument/2006/relationships/hyperlink" Target="http://www.planning.vic.gov.au/panels-and-committees/previous-panels-and-committees/managing-residential-development-" TargetMode="External"/><Relationship Id="rId98" Type="http://schemas.openxmlformats.org/officeDocument/2006/relationships/hyperlink" Target="http://www.melbournewater.com.au/planning-and-building/" TargetMode="External"/><Relationship Id="rId99" Type="http://schemas.openxmlformats.org/officeDocument/2006/relationships/hyperlink" Target="http://www.environment.nsw.gov.au/vegetation/nvact.htm" TargetMode="External"/><Relationship Id="rId100" Type="http://schemas.openxmlformats.org/officeDocument/2006/relationships/hyperlink" Target="http://www.oan.org.au/" TargetMode="External"/><Relationship Id="rId101" Type="http://schemas.openxmlformats.org/officeDocument/2006/relationships/hyperlink" Target="http://www.oan.org.au/Main.asp?_=About%20Us" TargetMode="External"/><Relationship Id="rId102" Type="http://schemas.openxmlformats.org/officeDocument/2006/relationships/hyperlink" Target="http://agriculture.vic.gov.au/about-us" TargetMode="External"/><Relationship Id="rId103" Type="http://schemas.openxmlformats.org/officeDocument/2006/relationships/hyperlink" Target="http://agriculture.vic.gov.au/agriculture/" TargetMode="External"/><Relationship Id="rId104" Type="http://schemas.openxmlformats.org/officeDocument/2006/relationships/hyperlink" Target="http://agriculture.vic.gov.au/agriculture/farm-management/business-" TargetMode="External"/><Relationship Id="rId105" Type="http://schemas.openxmlformats.org/officeDocument/2006/relationships/hyperlink" Target="http://www.portphillip.vic.gov.au/tree_maintenance.htm" TargetMode="External"/><Relationship Id="rId106" Type="http://schemas.openxmlformats.org/officeDocument/2006/relationships/hyperlink" Target="http://www.propertyandlandtitles.vic.gov.au/home" TargetMode="External"/><Relationship Id="rId107" Type="http://schemas.openxmlformats.org/officeDocument/2006/relationships/hyperlink" Target="http://www.illinoislegalaid.org/legal-information/who-owns-tree-both-my-and-my-neighbors-property" TargetMode="External"/><Relationship Id="rId108" Type="http://schemas.openxmlformats.org/officeDocument/2006/relationships/hyperlink" Target="http://www.sgaonline.org.au/economic-" TargetMode="External"/><Relationship Id="rId109" Type="http://schemas.openxmlformats.org/officeDocument/2006/relationships/hyperlink" Target="http://www.smh.com.au/national/nsw/houses-on-leafier-streets-in-three-sydney-suburbs-worth-" TargetMode="External"/><Relationship Id="rId110" Type="http://schemas.openxmlformats.org/officeDocument/2006/relationships/hyperlink" Target="http://www.bendigo.vic.gov.au/About/Document-Library/" TargetMode="External"/><Relationship Id="rId111" Type="http://schemas.openxmlformats.org/officeDocument/2006/relationships/hyperlink" Target="https://www.planning.vic.gov.au/permits-and-applications/vicsmart" TargetMode="External"/><Relationship Id="rId112" Type="http://schemas.openxmlformats.org/officeDocument/2006/relationships/hyperlink" Target="http://www.lec.justice.nsw/" TargetMode="External"/><Relationship Id="rId113" Type="http://schemas.openxmlformats.org/officeDocument/2006/relationships/hyperlink" Target="http://www.qcat.qld/" TargetMode="External"/><Relationship Id="rId114" Type="http://schemas.openxmlformats.org/officeDocument/2006/relationships/hyperlink" Target="http://www.rmpat.tas.gov.au/forms#application" TargetMode="External"/><Relationship Id="rId115" Type="http://schemas.openxmlformats.org/officeDocument/2006/relationships/hyperlink" Target="http://www.lec.justice.nsw.gov.au/Pages/types_of_disputes/class_2/Trees-hedge-disputes-process/" TargetMode="External"/><Relationship Id="rId116" Type="http://schemas.openxmlformats.org/officeDocument/2006/relationships/hyperlink" Target="http://www.lec.justice.nsw.gov.au/Pages/" TargetMode="External"/><Relationship Id="rId117" Type="http://schemas.openxmlformats.org/officeDocument/2006/relationships/hyperlink" Target="http://www.lec.justice.nsw.gov.au/Pages/types_of_disputes/class_2/Trees-hedge-disputes-process/treedisputes_how.aspx" TargetMode="External"/><Relationship Id="rId118" Type="http://schemas.openxmlformats.org/officeDocument/2006/relationships/hyperlink" Target="http://www.qcat.qld.gov.au/matter-types/tree-disputes" TargetMode="External"/><Relationship Id="rId119" Type="http://schemas.openxmlformats.org/officeDocument/2006/relationships/hyperlink" Target="http://www.qcat.qld.gov.au/matter-types/tree-disputes/tree-dispute-application" TargetMode="External"/><Relationship Id="rId120" Type="http://schemas.openxmlformats.org/officeDocument/2006/relationships/hyperlink" Target="http://www.vcat.vic.gov.au/resources/application-forms" TargetMode="External"/><Relationship Id="rId121" Type="http://schemas.openxmlformats.org/officeDocument/2006/relationships/header" Target="header33.xml"/><Relationship Id="rId122" Type="http://schemas.openxmlformats.org/officeDocument/2006/relationships/header" Target="header34.xml"/><Relationship Id="rId123" Type="http://schemas.openxmlformats.org/officeDocument/2006/relationships/hyperlink" Target="http://www.qld.gov/" TargetMode="External"/><Relationship Id="rId124" Type="http://schemas.openxmlformats.org/officeDocument/2006/relationships/hyperlink" Target="http://www.qld.gov.au/law/housing-and-" TargetMode="External"/><Relationship Id="rId125" Type="http://schemas.openxmlformats.org/officeDocument/2006/relationships/header" Target="header35.xml"/><Relationship Id="rId126" Type="http://schemas.openxmlformats.org/officeDocument/2006/relationships/header" Target="header36.xml"/><Relationship Id="rId127" Type="http://schemas.openxmlformats.org/officeDocument/2006/relationships/hyperlink" Target="http://www.cjc.justice.nsw.gov.au/" TargetMode="External"/><Relationship Id="rId128" Type="http://schemas.openxmlformats.org/officeDocument/2006/relationships/hyperlink" Target="http://www.qld.gov.au/law/legal-mediation-and-justice-of-the-" TargetMode="External"/><Relationship Id="rId129" Type="http://schemas.openxmlformats.org/officeDocument/2006/relationships/hyperlink" Target="http://www.legalaid.tas.gov.au/referral-list" TargetMode="External"/><Relationship Id="rId130" Type="http://schemas.openxmlformats.org/officeDocument/2006/relationships/hyperlink" Target="http://www.environment.nsw.gov.au/biodiversity/localgovernment.htm" TargetMode="External"/><Relationship Id="rId131" Type="http://schemas.openxmlformats.org/officeDocument/2006/relationships/hyperlink" Target="http://www.qld.gov.au/law/" TargetMode="External"/><Relationship Id="rId132" Type="http://schemas.openxmlformats.org/officeDocument/2006/relationships/hyperlink" Target="http://www.justice.tas.gov.au/mediation_and_dispute_" TargetMode="External"/><Relationship Id="rId133" Type="http://schemas.openxmlformats.org/officeDocument/2006/relationships/hyperlink" Target="http://www.justice.tas.gov.au/mediation_and_dispute_resolution/neighbourhood-disputes-about-plants" TargetMode="External"/><Relationship Id="rId134" Type="http://schemas.openxmlformats.org/officeDocument/2006/relationships/hyperlink" Target="http://www.disputes.vic.gov.au/information-and-" TargetMode="External"/><Relationship Id="rId135" Type="http://schemas.openxmlformats.org/officeDocument/2006/relationships/hyperlink" Target="http://www.disputes.vic.gov.au/information-and-advice/fencing/notice-to-fence" TargetMode="External"/><Relationship Id="rId136" Type="http://schemas.openxmlformats.org/officeDocument/2006/relationships/hyperlink" Target="http://www.justice.vic.gov.au/justice-system/laws-and-regulation/civil-law/fencing-law-in-victoria" TargetMode="External"/><Relationship Id="rId137" Type="http://schemas.openxmlformats.org/officeDocument/2006/relationships/hyperlink" Target="http://communitylaw.org.nz/community-law-manual/" TargetMode="External"/><Relationship Id="rId138" Type="http://schemas.openxmlformats.org/officeDocument/2006/relationships/hyperlink" Target="http://www.vcat.vic.gov.au/steps-to-" TargetMode="External"/><Relationship Id="rId139" Type="http://schemas.openxmlformats.org/officeDocument/2006/relationships/hyperlink" Target="http://www.justice.tas.gov.au/mediation_and_dispute_resolution/neighbourhood-disputes-about-" TargetMode="External"/><Relationship Id="rId140" Type="http://schemas.openxmlformats.org/officeDocument/2006/relationships/header" Target="header37.xml"/><Relationship Id="rId141" Type="http://schemas.openxmlformats.org/officeDocument/2006/relationships/header" Target="header38.xml"/><Relationship Id="rId142" Type="http://schemas.openxmlformats.org/officeDocument/2006/relationships/hyperlink" Target="http://www.justice.vic.gov.au/justice-system/courts-and-tribunals" TargetMode="External"/><Relationship Id="rId143" Type="http://schemas.openxmlformats.org/officeDocument/2006/relationships/hyperlink" Target="http://www.legalaid.vic.gov.au/find-legal-answers/courts-and-" TargetMode="External"/><Relationship Id="rId144" Type="http://schemas.openxmlformats.org/officeDocument/2006/relationships/hyperlink" Target="http://www.countycourt.vic.gov.au/forms-and-fees/" TargetMode="External"/><Relationship Id="rId145" Type="http://schemas.openxmlformats.org/officeDocument/2006/relationships/hyperlink" Target="http://www.legalaid.vic.gov.au/find-legal-answers/courts-and-legal-system/victorias-courts-" TargetMode="External"/><Relationship Id="rId146" Type="http://schemas.openxmlformats.org/officeDocument/2006/relationships/hyperlink" Target="http://www.supremecourt.vic.gov.au/law-and-practice/practice-notes" TargetMode="External"/><Relationship Id="rId147" Type="http://schemas.openxmlformats.org/officeDocument/2006/relationships/hyperlink" Target="http://www.supremecourt.vic.gov.au/about-the-court/how-the-court-works" TargetMode="External"/><Relationship Id="rId148" Type="http://schemas.openxmlformats.org/officeDocument/2006/relationships/header" Target="header39.xml"/><Relationship Id="rId149" Type="http://schemas.openxmlformats.org/officeDocument/2006/relationships/header" Target="header40.xml"/><Relationship Id="rId150" Type="http://schemas.openxmlformats.org/officeDocument/2006/relationships/hyperlink" Target="http://www.mcv.vic.gov.au/civil-matters/resolving-dispute" TargetMode="External"/><Relationship Id="rId151" Type="http://schemas.openxmlformats.org/officeDocument/2006/relationships/hyperlink" Target="http://www.mcv.vic.gov.au/civil-" TargetMode="External"/><Relationship Id="rId152" Type="http://schemas.openxmlformats.org/officeDocument/2006/relationships/hyperlink" Target="http://www.mcv.vic.gov.au/civil-matters/resolving-dispute/pre-hearing-conferences" TargetMode="External"/><Relationship Id="rId153" Type="http://schemas.openxmlformats.org/officeDocument/2006/relationships/hyperlink" Target="http://www.magistratescourt.vic.gov.au/jurisdictions/civil/procedural-information/mediation-" TargetMode="External"/><Relationship Id="rId154" Type="http://schemas.openxmlformats.org/officeDocument/2006/relationships/hyperlink" Target="http://www.mcv.vic.gov.au/civil-matters/resolving-dispute/mediation" TargetMode="External"/><Relationship Id="rId155" Type="http://schemas.openxmlformats.org/officeDocument/2006/relationships/hyperlink" Target="http://www.disputes.vic.gov.au/about-us/civil-" TargetMode="External"/><Relationship Id="rId156" Type="http://schemas.openxmlformats.org/officeDocument/2006/relationships/hyperlink" Target="http://www.mcv.vic.gov.au/civil-matters/resolving-dispute/early-neutral-" TargetMode="External"/><Relationship Id="rId157" Type="http://schemas.openxmlformats.org/officeDocument/2006/relationships/hyperlink" Target="http://www.mcv.vic.gov.au/news-and-resources/" TargetMode="External"/><Relationship Id="rId158" Type="http://schemas.openxmlformats.org/officeDocument/2006/relationships/hyperlink" Target="http://www.mcv.vic.gov.au/court-system" TargetMode="External"/><Relationship Id="rId159" Type="http://schemas.openxmlformats.org/officeDocument/2006/relationships/hyperlink" Target="http://www.vcat.vic.gov.au/resources/owners-corporations-fees" TargetMode="External"/><Relationship Id="rId160" Type="http://schemas.openxmlformats.org/officeDocument/2006/relationships/hyperlink" Target="http://www.vcat.vic.gov.au/resources/renting-a-home-fees" TargetMode="External"/><Relationship Id="rId161" Type="http://schemas.openxmlformats.org/officeDocument/2006/relationships/hyperlink" Target="http://www.vcat.vic.gov.au/resources/" TargetMode="External"/><Relationship Id="rId162" Type="http://schemas.openxmlformats.org/officeDocument/2006/relationships/hyperlink" Target="http://www.vcat.vic.gov.au/resources/goods-and-services-fees" TargetMode="External"/><Relationship Id="rId163" Type="http://schemas.openxmlformats.org/officeDocument/2006/relationships/hyperlink" Target="http://www.vcat.vic.gov.au/resources/fee-" TargetMode="External"/><Relationship Id="rId164" Type="http://schemas.openxmlformats.org/officeDocument/2006/relationships/hyperlink" Target="http://www.vcat.vic.gov.au/steps-to-resolve-your-case/" TargetMode="External"/><Relationship Id="rId165" Type="http://schemas.openxmlformats.org/officeDocument/2006/relationships/hyperlink" Target="http://www.vcat.vic.gov.au/get-started/review-and-regulation/application-for-review-of-a-decision" TargetMode="External"/><Relationship Id="rId166" Type="http://schemas.openxmlformats.org/officeDocument/2006/relationships/hyperlink" Target="http://www.vcat.vic.gov.au/about-us/list-of-vcat-members" TargetMode="External"/><Relationship Id="rId167" Type="http://schemas.openxmlformats.org/officeDocument/2006/relationships/hyperlink" Target="http://www.vcat.vic.gov.au/about-us/our-leadership" TargetMode="External"/><Relationship Id="rId168" Type="http://schemas.openxmlformats.org/officeDocument/2006/relationships/hyperlink" Target="http://www.vcat.vic.gov.au/about-us/who-we-are" TargetMode="External"/><Relationship Id="rId169" Type="http://schemas.openxmlformats.org/officeDocument/2006/relationships/hyperlink" Target="http://www.supremecourt.vic.gov.au/" TargetMode="External"/><Relationship Id="rId170" Type="http://schemas.openxmlformats.org/officeDocument/2006/relationships/hyperlink" Target="http://www.vcat.vic.gov.au/about-vcat" TargetMode="External"/><Relationship Id="rId171" Type="http://schemas.openxmlformats.org/officeDocument/2006/relationships/hyperlink" Target="http://www.vcat.vic.gov.au/contact-us" TargetMode="External"/><Relationship Id="rId172" Type="http://schemas.openxmlformats.org/officeDocument/2006/relationships/hyperlink" Target="http://www.neighbourhoodjustice.vic.gov.au/attend-court/going-to-vcat/what-happens-at-" TargetMode="External"/><Relationship Id="rId173" Type="http://schemas.openxmlformats.org/officeDocument/2006/relationships/hyperlink" Target="https://www.youtube.com/channel/UCc73nMfBWIiAc0w_Gb4vAEw" TargetMode="External"/><Relationship Id="rId174" Type="http://schemas.openxmlformats.org/officeDocument/2006/relationships/hyperlink" Target="http://www.vcat.vic.gov.au/other-languages" TargetMode="External"/><Relationship Id="rId175" Type="http://schemas.openxmlformats.org/officeDocument/2006/relationships/hyperlink" Target="http://www.vcat.vic.gov.au/steps-to-resolve-your-case/resolve-a-" TargetMode="External"/><Relationship Id="rId176" Type="http://schemas.openxmlformats.org/officeDocument/2006/relationships/hyperlink" Target="http://www.vcat.vic.gov.au/steps-to-resolve-your-case/resolve-a-case-by-agreement/compulsory-conferences" TargetMode="External"/><Relationship Id="rId177" Type="http://schemas.openxmlformats.org/officeDocument/2006/relationships/hyperlink" Target="http://www.vcat.vic.gov.au/" TargetMode="External"/><Relationship Id="rId178" Type="http://schemas.openxmlformats.org/officeDocument/2006/relationships/hyperlink" Target="http://www.vcat.vic.gov.au/resources/fast-track-" TargetMode="External"/><Relationship Id="rId179" Type="http://schemas.openxmlformats.org/officeDocument/2006/relationships/hyperlink" Target="http://www.vcat.vic.gov.au/steps-to-resolve-your-case/resolve-a-case-by-agreement/consent-orders" TargetMode="External"/><Relationship Id="rId180" Type="http://schemas.openxmlformats.org/officeDocument/2006/relationships/hyperlink" Target="http://www.parliament.vic.gov/" TargetMode="External"/><Relationship Id="rId181" Type="http://schemas.openxmlformats.org/officeDocument/2006/relationships/hyperlink" Target="http://www.lec.justice.nsw.gov.au/Pages/about/about.aspx" TargetMode="External"/><Relationship Id="rId182" Type="http://schemas.openxmlformats.org/officeDocument/2006/relationships/hyperlink" Target="http://www.qcat.qld.gov.au/matter-types" TargetMode="External"/><Relationship Id="rId183" Type="http://schemas.openxmlformats.org/officeDocument/2006/relationships/hyperlink" Target="http://www.qcat.qld.gov.au/qcat-decisions/appealing-a-qcat-decision/" TargetMode="External"/><Relationship Id="rId184" Type="http://schemas.openxmlformats.org/officeDocument/2006/relationships/hyperlink" Target="http://www.qcat.qld.gov.au/about-qcat/organisational-structure" TargetMode="External"/><Relationship Id="rId185" Type="http://schemas.openxmlformats.org/officeDocument/2006/relationships/hyperlink" Target="http://www.qcat.qld.gov.au/going-to-the-tribunal/" TargetMode="External"/><Relationship Id="rId186" Type="http://schemas.openxmlformats.org/officeDocument/2006/relationships/hyperlink" Target="http://www.qcat.qld.gov.au/" TargetMode="External"/><Relationship Id="rId187" Type="http://schemas.openxmlformats.org/officeDocument/2006/relationships/hyperlink" Target="http://www.rmpat.tas.gov.au/" TargetMode="External"/><Relationship Id="rId188" Type="http://schemas.openxmlformats.org/officeDocument/2006/relationships/hyperlink" Target="http://www.disputestribunal.govt.nz/can-help-with/" TargetMode="External"/><Relationship Id="rId189" Type="http://schemas.openxmlformats.org/officeDocument/2006/relationships/hyperlink" Target="http://www.disputestribunal.govt.nz/about-2/" TargetMode="External"/><Relationship Id="rId190" Type="http://schemas.openxmlformats.org/officeDocument/2006/relationships/hyperlink" Target="https://www.disputestribunal.govt.nz/can-help-with/" TargetMode="External"/><Relationship Id="rId191" Type="http://schemas.openxmlformats.org/officeDocument/2006/relationships/hyperlink" Target="https://www.courtsofnz.govt.nz/about-the-judiciary/structure-of-the-court-system" TargetMode="External"/><Relationship Id="rId192" Type="http://schemas.openxmlformats.org/officeDocument/2006/relationships/hyperlink" Target="http://www.mccy.gov.sg/sector/initiatives/community-dispute-management-framework" TargetMode="External"/><Relationship Id="rId193" Type="http://schemas.openxmlformats.org/officeDocument/2006/relationships/hyperlink" Target="http://www.vcat.vic.gov.au/steps-to-resolve-your-case/fees-at-vcat/" TargetMode="External"/><Relationship Id="rId194" Type="http://schemas.openxmlformats.org/officeDocument/2006/relationships/hyperlink" Target="http://www.vcat.vic.gov.au/steps-to-resolve-your-case/on-hearing-day/who-pays-for-my-legal-costs" TargetMode="External"/><Relationship Id="rId195" Type="http://schemas.openxmlformats.org/officeDocument/2006/relationships/hyperlink" Target="http://www.vcat.vic.gov.au/steps-to-resolve-" TargetMode="External"/><Relationship Id="rId196" Type="http://schemas.openxmlformats.org/officeDocument/2006/relationships/hyperlink" Target="http://www.vcat.vic.gov.au/about-us/how-long-a-vcat-case-takes" TargetMode="External"/><Relationship Id="rId197" Type="http://schemas.openxmlformats.org/officeDocument/2006/relationships/hyperlink" Target="http://www.vcat.vic.gov.au/resources/vcat-practice-note-pnvcat7-hearing-room-technology" TargetMode="External"/><Relationship Id="rId198" Type="http://schemas.openxmlformats.org/officeDocument/2006/relationships/hyperlink" Target="http://knowyourcouncil.vic.gov.au/guide-to-" TargetMode="External"/><Relationship Id="rId199" Type="http://schemas.openxmlformats.org/officeDocument/2006/relationships/hyperlink" Target="http://www.vcat.vic.gov.au/news/resolving-disputes-between-residents-of-different-australian-states" TargetMode="External"/><Relationship Id="rId200" Type="http://schemas.openxmlformats.org/officeDocument/2006/relationships/hyperlink" Target="http://www.legalaid.vic.gov.au/about-us/news/" TargetMode="External"/><Relationship Id="rId201" Type="http://schemas.openxmlformats.org/officeDocument/2006/relationships/hyperlink" Target="http://www.vcat.vic.gov.au/resources/fast-" TargetMode="External"/><Relationship Id="rId202" Type="http://schemas.openxmlformats.org/officeDocument/2006/relationships/hyperlink" Target="http://www.disputes.vic.gov.au/about-us/civil-mediation-at-vcat-" TargetMode="External"/><Relationship Id="rId203" Type="http://schemas.openxmlformats.org/officeDocument/2006/relationships/hyperlink" Target="http://www.skills.vic.gov.au/" TargetMode="External"/><Relationship Id="rId204" Type="http://schemas.openxmlformats.org/officeDocument/2006/relationships/header" Target="header41.xml"/><Relationship Id="rId205" Type="http://schemas.openxmlformats.org/officeDocument/2006/relationships/header" Target="header42.xml"/><Relationship Id="rId206" Type="http://schemas.openxmlformats.org/officeDocument/2006/relationships/hyperlink" Target="http://www.planning.vic.gov.au/publications/planning-practice-notes" TargetMode="External"/><Relationship Id="rId207" Type="http://schemas.openxmlformats.org/officeDocument/2006/relationships/hyperlink" Target="http://www.planning.vic.gov.au/guide-home/a-practitioners-guide-to-victorian-planning-schemes" TargetMode="External"/><Relationship Id="rId208" Type="http://schemas.openxmlformats.org/officeDocument/2006/relationships/header" Target="header43.xml"/><Relationship Id="rId209" Type="http://schemas.openxmlformats.org/officeDocument/2006/relationships/header" Target="header44.xml"/><Relationship Id="rId210" Type="http://schemas.openxmlformats.org/officeDocument/2006/relationships/hyperlink" Target="http://planning-schemes.delwp.vic.gov.au/schemes/eastgippsland" TargetMode="External"/><Relationship Id="rId211" Type="http://schemas.openxmlformats.org/officeDocument/2006/relationships/hyperlink" Target="http://knowyourcouncil.vic.gov.au/councils/boroondara" TargetMode="External"/><Relationship Id="rId212" Type="http://schemas.openxmlformats.org/officeDocument/2006/relationships/hyperlink" Target="http://www.lec.justice.nsw.gov.au/" TargetMode="External"/><Relationship Id="rId213" Type="http://schemas.openxmlformats.org/officeDocument/2006/relationships/hyperlink" Target="http://arboriculture.org/" TargetMode="External"/><Relationship Id="rId214" Type="http://schemas.openxmlformats.org/officeDocument/2006/relationships/hyperlink" Target="http://www.vcat.vic.gov.au/steps-to-resolve-your-case/how-" TargetMode="External"/><Relationship Id="rId215" Type="http://schemas.openxmlformats.org/officeDocument/2006/relationships/hyperlink" Target="http://www.lec.justice.nsw.gov.au/Pages/publications/" TargetMode="External"/><Relationship Id="rId216" Type="http://schemas.openxmlformats.org/officeDocument/2006/relationships/hyperlink" Target="http://www.lec.justice.nsw.gov.au/Pages/publications/speeches_papers.aspx" TargetMode="External"/><Relationship Id="rId217" Type="http://schemas.openxmlformats.org/officeDocument/2006/relationships/hyperlink" Target="http://www.qcat.qld.gov.au/matter-types/" TargetMode="External"/><Relationship Id="rId218" Type="http://schemas.openxmlformats.org/officeDocument/2006/relationships/hyperlink" Target="http://www.rmpat.tas.gov.au/practice_directions" TargetMode="External"/><Relationship Id="rId219" Type="http://schemas.openxmlformats.org/officeDocument/2006/relationships/hyperlink" Target="http://www.councilarboriculturevictoria.com.au/wp-content/" TargetMode="External"/><Relationship Id="rId220" Type="http://schemas.openxmlformats.org/officeDocument/2006/relationships/hyperlink" Target="http://www.qtra.co.uk/cms/index" TargetMode="External"/><Relationship Id="rId221" Type="http://schemas.openxmlformats.org/officeDocument/2006/relationships/hyperlink" Target="http://www.isa-arbor.com/Credentials/ISA-Tree-Risk-Assessment-" TargetMode="External"/><Relationship Id="rId222" Type="http://schemas.openxmlformats.org/officeDocument/2006/relationships/hyperlink" Target="http://www.enspec.com/Consultancy/" TargetMode="External"/><Relationship Id="rId223" Type="http://schemas.openxmlformats.org/officeDocument/2006/relationships/hyperlink" Target="http://www.skillsimpact.com.au/horticulture-conservation-and-land-management/training-package-projects/arboriculture-project/" TargetMode="External"/><Relationship Id="rId224" Type="http://schemas.openxmlformats.org/officeDocument/2006/relationships/header" Target="header45.xml"/><Relationship Id="rId225" Type="http://schemas.openxmlformats.org/officeDocument/2006/relationships/header" Target="header46.xml"/><Relationship Id="rId226" Type="http://schemas.openxmlformats.org/officeDocument/2006/relationships/header" Target="header47.xml"/><Relationship Id="rId227" Type="http://schemas.openxmlformats.org/officeDocument/2006/relationships/header" Target="header48.xml"/><Relationship Id="rId228" Type="http://schemas.openxmlformats.org/officeDocument/2006/relationships/header" Target="header49.xml"/><Relationship Id="rId229" Type="http://schemas.openxmlformats.org/officeDocument/2006/relationships/hyperlink" Target="http://www.supremecourt.vic/" TargetMode="External"/><Relationship Id="rId230" Type="http://schemas.openxmlformats.org/officeDocument/2006/relationships/hyperlink" Target="http://www.vcat.vic.gov.au/case-types/review-and-regulation/" TargetMode="External"/><Relationship Id="rId231" Type="http://schemas.openxmlformats.org/officeDocument/2006/relationships/hyperlink" Target="http://www.qcat.qld.gov.au/matter-types/tree-disputes/faq-tree-disputes" TargetMode="External"/><Relationship Id="rId232" Type="http://schemas.openxmlformats.org/officeDocument/2006/relationships/hyperlink" Target="http://www.disputes.vic.gov.au/information-" TargetMode="External"/><Relationship Id="rId233" Type="http://schemas.openxmlformats.org/officeDocument/2006/relationships/hyperlink" Target="https://www.vcat.vic.gov.au/steps-to-resolve-your-case/on-hearing-day/who-pays-for-my-legal-costs" TargetMode="External"/><Relationship Id="rId234" Type="http://schemas.openxmlformats.org/officeDocument/2006/relationships/hyperlink" Target="http://www.vcat.vic.gov.au/steps-to-resolve-your-case/what-to-expect-after-the-final-hearing/" TargetMode="External"/><Relationship Id="rId235" Type="http://schemas.openxmlformats.org/officeDocument/2006/relationships/hyperlink" Target="http://www.vcat.vic.gov.au/resources/application-to-reopen-an-order-application-for-review-" TargetMode="External"/><Relationship Id="rId236" Type="http://schemas.openxmlformats.org/officeDocument/2006/relationships/hyperlink" Target="http://www.qcat.qld.gov.au/qcat-decisions/appealing-a-qcat-decision/decision-about-" TargetMode="External"/><Relationship Id="rId237" Type="http://schemas.openxmlformats.org/officeDocument/2006/relationships/hyperlink" Target="http://www.qcat.qld.gov.au/qcat-decisions/appealing-a-qcat-decision/decision-about-a-" TargetMode="External"/><Relationship Id="rId238" Type="http://schemas.openxmlformats.org/officeDocument/2006/relationships/hyperlink" Target="https://www.qcat.qld.gov.au/qcat-decisions/appeals-in-minor-civil-disputes" TargetMode="External"/><Relationship Id="rId239" Type="http://schemas.openxmlformats.org/officeDocument/2006/relationships/hyperlink" Target="https://www.supremecourt.tas.gov.au/publications/speeches-articles/" TargetMode="External"/><Relationship Id="rId240" Type="http://schemas.openxmlformats.org/officeDocument/2006/relationships/hyperlink" Target="http://www.vcat.vic.gov.au/case-types/review-and-regulation/application-" TargetMode="External"/><Relationship Id="rId241" Type="http://schemas.openxmlformats.org/officeDocument/2006/relationships/hyperlink" Target="http://www.qcat.qld.gov.au/qcat-decisions/enforcing-a-qcat-decision/renewal-of-qcats-" TargetMode="External"/><Relationship Id="rId242" Type="http://schemas.openxmlformats.org/officeDocument/2006/relationships/hyperlink" Target="http://www.qcat.qld.gov.au/qcat-decisions/enforcing-a-qcat-decision/renewal-of-qcats-final-" TargetMode="External"/><Relationship Id="rId243" Type="http://schemas.openxmlformats.org/officeDocument/2006/relationships/hyperlink" Target="http://www.vcat.vic.gov.au/steps-to-resolve-your-case/what-to-expect-after-the-final-hearing/vcat-decisions-and-orders" TargetMode="External"/><Relationship Id="rId244" Type="http://schemas.openxmlformats.org/officeDocument/2006/relationships/hyperlink" Target="http://www.foleys.com.au/mobile/CpdResources.aspx" TargetMode="External"/><Relationship Id="rId245" Type="http://schemas.openxmlformats.org/officeDocument/2006/relationships/hyperlink" Target="http://www.dtf.vic.gov.au/" TargetMode="External"/><Relationship Id="rId246" Type="http://schemas.openxmlformats.org/officeDocument/2006/relationships/hyperlink" Target="http://www.judicialcollege.vic.edu.au/eManuals/VCPM/index.htm#48747.htm" TargetMode="External"/><Relationship Id="rId247" Type="http://schemas.openxmlformats.org/officeDocument/2006/relationships/hyperlink" Target="https://www.qld.gov.au/law/fines-and-penalties/types-of-fines/sentencing-fines-and-penalties-for-offences" TargetMode="External"/><Relationship Id="rId248" Type="http://schemas.openxmlformats.org/officeDocument/2006/relationships/hyperlink" Target="http://www.qcat.qld.gov.au/qcat-decisions/enforcing-a-qcat-decision#Non-monetary%20decisions" TargetMode="External"/><Relationship Id="rId249" Type="http://schemas.openxmlformats.org/officeDocument/2006/relationships/hyperlink" Target="http://www.dtf.vic.gov.au/financial-" TargetMode="External"/><Relationship Id="rId250" Type="http://schemas.openxmlformats.org/officeDocument/2006/relationships/hyperlink" Target="http://www.lec.justice.nsw.gov.au/Pages/practice_procedure/practice_notes.aspx" TargetMode="External"/><Relationship Id="rId251" Type="http://schemas.openxmlformats.org/officeDocument/2006/relationships/header" Target="header50.xml"/><Relationship Id="rId252" Type="http://schemas.openxmlformats.org/officeDocument/2006/relationships/header" Target="header51.xml"/><Relationship Id="rId253" Type="http://schemas.openxmlformats.org/officeDocument/2006/relationships/header" Target="header52.xml"/><Relationship Id="rId254" Type="http://schemas.openxmlformats.org/officeDocument/2006/relationships/header" Target="header53.xml"/><Relationship Id="rId255" Type="http://schemas.openxmlformats.org/officeDocument/2006/relationships/hyperlink" Target="http://www.planning.vic.gov.au/guide-home/a-practitioners-guide-to-victorian-planning-" TargetMode="External"/><Relationship Id="rId256" Type="http://schemas.openxmlformats.org/officeDocument/2006/relationships/hyperlink" Target="http://www.hume.vic.gov.au/Building_Planning/Planning/About_Planning" TargetMode="External"/><Relationship Id="rId257" Type="http://schemas.openxmlformats.org/officeDocument/2006/relationships/hyperlink" Target="http://www.planning.vic.gov.au/permits-and-applications/vicsmart" TargetMode="External"/><Relationship Id="rId258" Type="http://schemas.openxmlformats.org/officeDocument/2006/relationships/hyperlink" Target="http://www.planning.vic.gov.au/resource-library/" TargetMode="External"/><Relationship Id="rId259" Type="http://schemas.openxmlformats.org/officeDocument/2006/relationships/hyperlink" Target="http://www.planning.vic.gov.au/policy-and-strategy/bushfire-protection/bushfire-management-overlay" TargetMode="External"/><Relationship Id="rId260" Type="http://schemas.openxmlformats.org/officeDocument/2006/relationships/hyperlink" Target="http://www.planning.vic.gov.au/publications/planning-advisory-notes" TargetMode="External"/><Relationship Id="rId261" Type="http://schemas.openxmlformats.org/officeDocument/2006/relationships/hyperlink" Target="http://www.planning.vic.gov/" TargetMode="External"/><Relationship Id="rId262" Type="http://schemas.openxmlformats.org/officeDocument/2006/relationships/hyperlink" Target="http://www.boroondara.vic.gov/" TargetMode="External"/><Relationship Id="rId263" Type="http://schemas.openxmlformats.org/officeDocument/2006/relationships/hyperlink" Target="http://www.vcat.vic.gov.au/get-started/planning-and-environment/apply-to-cancel-or-amend-a-permit" TargetMode="External"/><Relationship Id="rId264" Type="http://schemas.openxmlformats.org/officeDocument/2006/relationships/hyperlink" Target="http://www.environment.vic.gov.au/native-vegetation/native-vegetation/offsets-for-the-removal-" TargetMode="External"/><Relationship Id="rId265" Type="http://schemas.openxmlformats.org/officeDocument/2006/relationships/hyperlink" Target="http://www.localgovernment.vic.gov.au/council-innovation-and-performance/local-laws" TargetMode="External"/><Relationship Id="rId266" Type="http://schemas.openxmlformats.org/officeDocument/2006/relationships/hyperlink" Target="http://www.portphillip.vic.gov.au/significant-tree-permit.htm" TargetMode="External"/><Relationship Id="rId267" Type="http://schemas.openxmlformats.org/officeDocument/2006/relationships/hyperlink" Target="https://www.heritage.vic.gov.au/about-heritage-in-victoria/heritage-in-victoria" TargetMode="External"/><Relationship Id="rId268" Type="http://schemas.openxmlformats.org/officeDocument/2006/relationships/hyperlink" Target="http://www.heritage.vic.gov.au/permits/apply-for-a-" TargetMode="External"/><Relationship Id="rId269" Type="http://schemas.openxmlformats.org/officeDocument/2006/relationships/hyperlink" Target="https://www.vic.gov.au/aboriginalvictoria/heritage/registered-aboriginal-parties.html" TargetMode="External"/><Relationship Id="rId270" Type="http://schemas.openxmlformats.org/officeDocument/2006/relationships/hyperlink" Target="http://www.vic.gov.au/" TargetMode="External"/><Relationship Id="rId271" Type="http://schemas.openxmlformats.org/officeDocument/2006/relationships/hyperlink" Target="https://www.vic.gov.au/aboriginalvictoria/heritage/heritage-tools-and-publications/guides-forms-and-practice-notes-for-aboriginal-heritage-management.html" TargetMode="External"/><Relationship Id="rId272" Type="http://schemas.openxmlformats.org/officeDocument/2006/relationships/hyperlink" Target="http://www.vic.gov.au/aboriginalvictoria/heritage/heritage-tools-and-publications/" TargetMode="External"/><Relationship Id="rId273" Type="http://schemas.openxmlformats.org/officeDocument/2006/relationships/hyperlink" Target="http://agriculture.vic.gov.au/agriculture/pests-diseases-" TargetMode="External"/><Relationship Id="rId274" Type="http://schemas.openxmlformats.org/officeDocument/2006/relationships/hyperlink" Target="http://www.cfa.vic.gov.au/about/who-does-what" TargetMode="External"/><Relationship Id="rId275" Type="http://schemas.openxmlformats.org/officeDocument/2006/relationships/hyperlink" Target="http://www.environment.vic.gov.au/conserving-threatened-species/flora-and-fauna-guarantee-act-1988/protected-flora-controls" TargetMode="External"/><Relationship Id="rId276" Type="http://schemas.openxmlformats.org/officeDocument/2006/relationships/hyperlink" Target="http://www.trustfornature.org.au/" TargetMode="External"/><Relationship Id="rId277" Type="http://schemas.openxmlformats.org/officeDocument/2006/relationships/hyperlink" Target="http://www.trustfornature.org.au/land-services" TargetMode="External"/><Relationship Id="rId278" Type="http://schemas.openxmlformats.org/officeDocument/2006/relationships/hyperlink" Target="http://www.trustfornature.org.au/landowner-support" TargetMode="External"/><Relationship Id="rId279" Type="http://schemas.openxmlformats.org/officeDocument/2006/relationships/hyperlink" Target="http://www/" TargetMode="External"/><Relationship Id="rId280" Type="http://schemas.openxmlformats.org/officeDocument/2006/relationships/hyperlink" Target="http://www.environment.vic.gov.au/native-vegetation/native-vegetation/offsets-for-the-removal-of-native-vegetation/" TargetMode="External"/><Relationship Id="rId281" Type="http://schemas.openxmlformats.org/officeDocument/2006/relationships/hyperlink" Target="http://www.environment.gov.au/epbc/publications/factsheet-epbc-act-" TargetMode="External"/><Relationship Id="rId282" Type="http://schemas.openxmlformats.org/officeDocument/2006/relationships/hyperlink" Target="http://www.environment.gov.au/epbc/publications/" TargetMode="External"/><Relationship Id="rId283" Type="http://schemas.openxmlformats.org/officeDocument/2006/relationships/hyperlink" Target="http://www.environment.gov.au/heritage/management/referrals/controlled-actions" TargetMode="External"/><Relationship Id="rId284" Type="http://schemas.openxmlformats.org/officeDocument/2006/relationships/hyperlink" Target="http://www.environment.gov.au/epbc/publications/significant-impact-" TargetMode="External"/><Relationship Id="rId285" Type="http://schemas.openxmlformats.org/officeDocument/2006/relationships/hyperlink" Target="http://www.planning.vic.gov.au/environment-assessment/environmental-assessment-bilateral-agreement" TargetMode="External"/><Relationship Id="rId286" Type="http://schemas.openxmlformats.org/officeDocument/2006/relationships/hyperlink" Target="http://www.environment.gov.au/epbc/" TargetMode="External"/><Relationship Id="rId287" Type="http://schemas.openxmlformats.org/officeDocument/2006/relationships/hyperlink" Target="http://www.environment.gov.au/epbc/publications/significant-impact-guidelines-11-matters-national-environmental-significance" TargetMode="External"/><Relationship Id="rId288" Type="http://schemas.openxmlformats.org/officeDocument/2006/relationships/hyperlink" Target="http://www.planning.nsw/" TargetMode="External"/><Relationship Id="rId289" Type="http://schemas.openxmlformats.org/officeDocument/2006/relationships/hyperlink" Target="http://www.planning.nsw.gov.au/" TargetMode="External"/><Relationship Id="rId290" Type="http://schemas.openxmlformats.org/officeDocument/2006/relationships/hyperlink" Target="http://www.planning.nsw.gov/" TargetMode="External"/><Relationship Id="rId291" Type="http://schemas.openxmlformats.org/officeDocument/2006/relationships/hyperlink" Target="http://www.environment.nsw.gov.au/" TargetMode="External"/><Relationship Id="rId292" Type="http://schemas.openxmlformats.org/officeDocument/2006/relationships/hyperlink" Target="https://planning.dsdmip.qld.gov.au/planning/our-planning-system" TargetMode="External"/><Relationship Id="rId293" Type="http://schemas.openxmlformats.org/officeDocument/2006/relationships/hyperlink" Target="http://www.brisbane.qld.gov.au/laws-permits/" TargetMode="External"/><Relationship Id="rId294" Type="http://schemas.openxmlformats.org/officeDocument/2006/relationships/hyperlink" Target="http://www.planning.tas.gov.au/planning_our_future/state_planning_provisions" TargetMode="External"/><Relationship Id="rId295" Type="http://schemas.openxmlformats.org/officeDocument/2006/relationships/hyperlink" Target="https://www.planningreform.tas.gov.au/" TargetMode="External"/><Relationship Id="rId296" Type="http://schemas.openxmlformats.org/officeDocument/2006/relationships/hyperlink" Target="http://www.planningreform.tas.gov.au/policies" TargetMode="External"/><Relationship Id="rId297" Type="http://schemas.openxmlformats.org/officeDocument/2006/relationships/hyperlink" Target="http://www.planning.tas.gov.au/planning_our_future/state_" TargetMode="External"/><Relationship Id="rId298" Type="http://schemas.openxmlformats.org/officeDocument/2006/relationships/hyperlink" Target="https://www.stonnington.vic.gov.au/Development/Planning/Planning-News/New-Tree-Protection-Process" TargetMode="External"/><Relationship Id="rId299" Type="http://schemas.openxmlformats.org/officeDocument/2006/relationships/hyperlink" Target="http://www.boroondara.vic.gov.au/" TargetMode="External"/><Relationship Id="rId300" Type="http://schemas.openxmlformats.org/officeDocument/2006/relationships/hyperlink" Target="http://www.vcat.vic.gov.au/get-started/planning-and-environment/apply-" TargetMode="External"/><Relationship Id="rId301" Type="http://schemas.openxmlformats.org/officeDocument/2006/relationships/hyperlink" Target="http://www.environment.vic.gov.au/__data/assets/word_doc/0025/329461/Final-S.173-Template-Offset-Agreement.do" TargetMode="External"/><Relationship Id="rId302" Type="http://schemas.openxmlformats.org/officeDocument/2006/relationships/header" Target="header54.xml"/><Relationship Id="rId303" Type="http://schemas.openxmlformats.org/officeDocument/2006/relationships/header" Target="header55.xml"/><Relationship Id="rId304" Type="http://schemas.openxmlformats.org/officeDocument/2006/relationships/header" Target="header56.xml"/><Relationship Id="rId305" Type="http://schemas.openxmlformats.org/officeDocument/2006/relationships/header" Target="header57.xml"/><Relationship Id="rId306" Type="http://schemas.openxmlformats.org/officeDocument/2006/relationships/hyperlink" Target="http://www.qld.gov.au/law/fines-and-penalties/types-of-fines/sentencing-fines-and-" TargetMode="External"/><Relationship Id="rId307" Type="http://schemas.openxmlformats.org/officeDocument/2006/relationships/hyperlink" Target="http://www.qcat.qld.gov.au/matter-types/tree-" TargetMode="External"/><Relationship Id="rId308" Type="http://schemas.openxmlformats.org/officeDocument/2006/relationships/hyperlink" Target="http://www.justice.tas.gov.au/mediation_and_" TargetMode="External"/><Relationship Id="rId309" Type="http://schemas.openxmlformats.org/officeDocument/2006/relationships/hyperlink" Target="http://www.justice.tas.gov.au/about/legislation/value_" TargetMode="External"/><Relationship Id="rId310" Type="http://schemas.openxmlformats.org/officeDocument/2006/relationships/hyperlink" Target="http://www.rmpat.tas.gov.au/fees" TargetMode="External"/><Relationship Id="rId311" Type="http://schemas.openxmlformats.org/officeDocument/2006/relationships/hyperlink" Target="http://www.consumer.vic.gov.au/housing/buying-and-selling-property/selling-property/conveyancing-and-contracts-" TargetMode="External"/><Relationship Id="rId312" Type="http://schemas.openxmlformats.org/officeDocument/2006/relationships/hyperlink" Target="http://www.consumer.vic.gov.au/" TargetMode="External"/><Relationship Id="rId313" Type="http://schemas.openxmlformats.org/officeDocument/2006/relationships/hyperlink" Target="http://www.justice.vic.gov.au/justice-system/fines-and-" TargetMode="External"/><Relationship Id="rId314" Type="http://schemas.openxmlformats.org/officeDocument/2006/relationships/hyperlink" Target="http://www.justice.vic.gov.au/" TargetMode="External"/><Relationship Id="rId315" Type="http://schemas.openxmlformats.org/officeDocument/2006/relationships/hyperlink" Target="https://vhd.heritagecouncil.vic.gov.au/" TargetMode="External"/><Relationship Id="rId316" Type="http://schemas.openxmlformats.org/officeDocument/2006/relationships/hyperlink" Target="http://www.nationaltrust.org.au/services/significant-tree-register/" TargetMode="External"/><Relationship Id="rId317" Type="http://schemas.openxmlformats.org/officeDocument/2006/relationships/hyperlink" Target="http://www.bayside.vic.gov.au/significant-tree-register" TargetMode="External"/><Relationship Id="rId318" Type="http://schemas.openxmlformats.org/officeDocument/2006/relationships/header" Target="header58.xml"/><Relationship Id="rId319" Type="http://schemas.openxmlformats.org/officeDocument/2006/relationships/header" Target="header59.xml"/><Relationship Id="rId320" Type="http://schemas.openxmlformats.org/officeDocument/2006/relationships/header" Target="header60.xml"/><Relationship Id="rId321" Type="http://schemas.openxmlformats.org/officeDocument/2006/relationships/hyperlink" Target="http://www.sgaonline.org.au/sustainable-" TargetMode="External"/><Relationship Id="rId322" Type="http://schemas.openxmlformats.org/officeDocument/2006/relationships/header" Target="header61.xml"/><Relationship Id="rId323" Type="http://schemas.openxmlformats.org/officeDocument/2006/relationships/header" Target="header62.xml"/><Relationship Id="rId324" Type="http://schemas.openxmlformats.org/officeDocument/2006/relationships/hyperlink" Target="http://www.mornpen.vic.gov.au/Activities/The-Briars/Shire-Nursery" TargetMode="External"/><Relationship Id="rId325" Type="http://schemas.openxmlformats.org/officeDocument/2006/relationships/hyperlink" Target="http://www.banyule.vic.gov.au/Council/Environment-and-Sustainability/Trees-" TargetMode="External"/><Relationship Id="rId326" Type="http://schemas.openxmlformats.org/officeDocument/2006/relationships/hyperlink" Target="https://www.moreland.vic.gov.au/environment-bins/gardening-and-food/gardening-indigenous-plants/" TargetMode="External"/><Relationship Id="rId327" Type="http://schemas.openxmlformats.org/officeDocument/2006/relationships/hyperlink" Target="http://www.casey.vic.gov.au/indigenous-plants" TargetMode="External"/><Relationship Id="rId328" Type="http://schemas.openxmlformats.org/officeDocument/2006/relationships/hyperlink" Target="http://www.boroondara.vic/" TargetMode="External"/><Relationship Id="rId329" Type="http://schemas.openxmlformats.org/officeDocument/2006/relationships/hyperlink" Target="http://www.disputes.vic.gov.au/information-and-advice/trees-0" TargetMode="External"/><Relationship Id="rId330" Type="http://schemas.openxmlformats.org/officeDocument/2006/relationships/hyperlink" Target="http://arboriculture.org.au/listings.aspx" TargetMode="External"/><Relationship Id="rId331" Type="http://schemas.openxmlformats.org/officeDocument/2006/relationships/hyperlink" Target="http://arboriculture.org.au/listings" TargetMode="External"/><Relationship Id="rId332" Type="http://schemas.openxmlformats.org/officeDocument/2006/relationships/hyperlink" Target="http://www.vcat.vic.gov.au/resources" TargetMode="External"/><Relationship Id="rId333" Type="http://schemas.openxmlformats.org/officeDocument/2006/relationships/hyperlink" Target="http://www.vcat.vic.gov.au/steps-to-resolve-your-" TargetMode="External"/><Relationship Id="rId334" Type="http://schemas.openxmlformats.org/officeDocument/2006/relationships/hyperlink" Target="http://www.cjc.justice.nsw.gov.au/Pages/cjc_whatis_mediation/" TargetMode="External"/><Relationship Id="rId335" Type="http://schemas.openxmlformats.org/officeDocument/2006/relationships/hyperlink" Target="http://www.legislation.nsw.gov.au/maintop/view/inforce/act%2B126%2B2006%2Bpt.2-sec.7%2B0%2BN" TargetMode="External"/><Relationship Id="rId336" Type="http://schemas.openxmlformats.org/officeDocument/2006/relationships/hyperlink" Target="http://www.lec.justice.nsw.gov.au/Pages/practice_procedure/principles/tree_principles.aspx" TargetMode="External"/><Relationship Id="rId337" Type="http://schemas.openxmlformats.org/officeDocument/2006/relationships/hyperlink" Target="http://www.qcat.qld.gov.au/matter-" TargetMode="External"/><Relationship Id="rId338" Type="http://schemas.openxmlformats.org/officeDocument/2006/relationships/hyperlink" Target="http://www.lawgazette.co.uk/news/chatbot-pioneer-builds-free-tool-for-law-firms/5058339.article" TargetMode="External"/><Relationship Id="rId339" Type="http://schemas.openxmlformats.org/officeDocument/2006/relationships/hyperlink" Target="http://www.qcat.qld.gov.au/about-qcat/sandi" TargetMode="External"/><Relationship Id="rId340" Type="http://schemas.openxmlformats.org/officeDocument/2006/relationships/hyperlink" Target="http://www.qld.gov.au/law/housing-" TargetMode="External"/><Relationship Id="rId341" Type="http://schemas.openxmlformats.org/officeDocument/2006/relationships/hyperlink" Target="http://www.rmpat.tas.gov.au/neighbourhood-disputes-about-plants" TargetMode="External"/><Relationship Id="rId342" Type="http://schemas.openxmlformats.org/officeDocument/2006/relationships/hyperlink" Target="http://www.planning.vic.gov.au/schemes-and-amendments/get-information-about-your-planning-scheme/planningvic-planning-" TargetMode="External"/><Relationship Id="rId343" Type="http://schemas.openxmlformats.org/officeDocument/2006/relationships/hyperlink" Target="http://www.qldneighbourhoods.com/" TargetMode="External"/><Relationship Id="rId344" Type="http://schemas.openxmlformats.org/officeDocument/2006/relationships/hyperlink" Target="http://www.vcat.vic.gov.au/resources/practice-note-pnpe1-planning-and-environment-list-general-procedures" TargetMode="External"/><Relationship Id="rId345" Type="http://schemas.openxmlformats.org/officeDocument/2006/relationships/hyperlink" Target="http://www.vcat.vic.gov.au/decisions" TargetMode="External"/><Relationship Id="rId346" Type="http://schemas.openxmlformats.org/officeDocument/2006/relationships/hyperlink" Target="http://www.disputes.vic.gov.au/" TargetMode="External"/><Relationship Id="rId347" Type="http://schemas.openxmlformats.org/officeDocument/2006/relationships/header" Target="header63.xml"/><Relationship Id="rId348" Type="http://schemas.openxmlformats.org/officeDocument/2006/relationships/header" Target="header64.xml"/><Relationship Id="rId349" Type="http://schemas.openxmlformats.org/officeDocument/2006/relationships/hyperlink" Target="https://www.liv.asn.au/Staying-Informed/LIJ/LIJ/April-2016/Technology-in-mediation" TargetMode="External"/><Relationship Id="rId350" Type="http://schemas.openxmlformats.org/officeDocument/2006/relationships/hyperlink" Target="http://www.vcat.vic.gov.au/news/online-tool-to-help-tenants-and-landlords-at-vcat" TargetMode="External"/><Relationship Id="rId351" Type="http://schemas.openxmlformats.org/officeDocument/2006/relationships/header" Target="header65.xml"/><Relationship Id="rId352" Type="http://schemas.openxmlformats.org/officeDocument/2006/relationships/header" Target="header66.xml"/><Relationship Id="rId353" Type="http://schemas.openxmlformats.org/officeDocument/2006/relationships/hyperlink" Target="http://www.ag.gov.au/LegalSystem/AlternateDisputeResolution/Pages/NADRACPublications-A-Z.aspx" TargetMode="External"/><Relationship Id="rId354" Type="http://schemas.openxmlformats.org/officeDocument/2006/relationships/hyperlink" Target="https://coat.asn.au/events/2015-coat-national-conference/" TargetMode="External"/><Relationship Id="rId355" Type="http://schemas.openxmlformats.org/officeDocument/2006/relationships/hyperlink" Target="https://www.conciliation.vic.gov.au/conciliation-process/conferences/online-dispute-resolution" TargetMode="External"/><Relationship Id="rId356" Type="http://schemas.openxmlformats.org/officeDocument/2006/relationships/hyperlink" Target="https://www.conciliation.vic.gov.au/about-us/preparing-for-conciliation" TargetMode="External"/><Relationship Id="rId357" Type="http://schemas.openxmlformats.org/officeDocument/2006/relationships/hyperlink" Target="http://www.vcat.vic.gov.au/news/access-to-justice-funding-to-enhance-services" TargetMode="External"/><Relationship Id="rId358" Type="http://schemas.openxmlformats.org/officeDocument/2006/relationships/hyperlink" Target="http://www.localgovernment.vic.gov.au/council-governance/local-government-act-review" TargetMode="External"/><Relationship Id="rId359" Type="http://schemas.openxmlformats.org/officeDocument/2006/relationships/hyperlink" Target="http://www.whitehorse.vic.gov.au/Tree-Education-Program.html" TargetMode="External"/><Relationship Id="rId360" Type="http://schemas.openxmlformats.org/officeDocument/2006/relationships/hyperlink" Target="http://www.melbourne.vic.gov.au/community/parks-open-spaces/urban-forest/Pages/urban-forest-" TargetMode="External"/><Relationship Id="rId361" Type="http://schemas.openxmlformats.org/officeDocument/2006/relationships/hyperlink" Target="http://www.stonnington.vic.gov.au/Live/Urban-Forest/Urban-" TargetMode="External"/><Relationship Id="rId362" Type="http://schemas.openxmlformats.org/officeDocument/2006/relationships/hyperlink" Target="http://www.lec.justice.nsw.gov.au/Pages/types_of_disputes/class_2/class_2.aspx" TargetMode="External"/><Relationship Id="rId363" Type="http://schemas.openxmlformats.org/officeDocument/2006/relationships/hyperlink" Target="https://www.abc.net.au/news/2017-05-16/solar-panels-and-the-law-is-there-a-right-to-sunlight/8526752" TargetMode="External"/><Relationship Id="rId364" Type="http://schemas.openxmlformats.org/officeDocument/2006/relationships/hyperlink" Target="http://www.premier.vic/" TargetMode="External"/><Relationship Id="rId365" Type="http://schemas.openxmlformats.org/officeDocument/2006/relationships/hyperlink" Target="https://www.sgaonline.org.au/economic-value-of-trees/" TargetMode="External"/><Relationship Id="rId366" Type="http://schemas.openxmlformats.org/officeDocument/2006/relationships/hyperlink" Target="https://www.planning.vic.gov.au/policy-and-strategy/reducing-overshadowing-on-rooftop-solar-panels" TargetMode="External"/><Relationship Id="rId367" Type="http://schemas.openxmlformats.org/officeDocument/2006/relationships/hyperlink" Target="http://www.planning.vic.gov.au/policy-and-strategy/reducing-overshadowing-on-rooftop-solar-panels" TargetMode="External"/><Relationship Id="rId368" Type="http://schemas.openxmlformats.org/officeDocument/2006/relationships/hyperlink" Target="http://www.environment.vic.gov.au/native-vegetation/review-of-native-vegetation-clearing-regulations" TargetMode="External"/><Relationship Id="rId369" Type="http://schemas.openxmlformats.org/officeDocument/2006/relationships/hyperlink" Target="http://www.environment.vic.gov.au/native-vegetation/native-vegetation" TargetMode="External"/><Relationship Id="rId370" Type="http://schemas.openxmlformats.org/officeDocument/2006/relationships/header" Target="header67.xml"/><Relationship Id="rId371" Type="http://schemas.openxmlformats.org/officeDocument/2006/relationships/header" Target="header68.xml"/><Relationship Id="rId372" Type="http://schemas.openxmlformats.org/officeDocument/2006/relationships/header" Target="header69.xml"/><Relationship Id="rId373" Type="http://schemas.openxmlformats.org/officeDocument/2006/relationships/header" Target="header70.xml"/><Relationship Id="rId374" Type="http://schemas.openxmlformats.org/officeDocument/2006/relationships/header" Target="header71.xml"/><Relationship Id="rId375" Type="http://schemas.openxmlformats.org/officeDocument/2006/relationships/header" Target="header72.xml"/><Relationship Id="rId376" Type="http://schemas.openxmlformats.org/officeDocument/2006/relationships/header" Target="header73.xml"/><Relationship Id="rId377" Type="http://schemas.openxmlformats.org/officeDocument/2006/relationships/hyperlink" Target="http://www.vic.gov.au/aboriginalvictoria/heritage/heritage-tools-" TargetMode="External"/><Relationship Id="rId378" Type="http://schemas.openxmlformats.org/officeDocument/2006/relationships/hyperlink" Target="http://www.vic.gov.au/aboriginalvictoria/heritage/" TargetMode="External"/><Relationship Id="rId379" Type="http://schemas.openxmlformats.org/officeDocument/2006/relationships/hyperlink" Target="http://www.conciliation.vic.gov.au/about-us/" TargetMode="External"/><Relationship Id="rId380" Type="http://schemas.openxmlformats.org/officeDocument/2006/relationships/hyperlink" Target="http://www.conciliation.vic.gov.au/conciliation-" TargetMode="External"/><Relationship Id="rId381" Type="http://schemas.openxmlformats.org/officeDocument/2006/relationships/hyperlink" Target="http://agriculture.vic.gov.au/" TargetMode="External"/><Relationship Id="rId382" Type="http://schemas.openxmlformats.org/officeDocument/2006/relationships/hyperlink" Target="http://agriculture/" TargetMode="External"/><Relationship Id="rId383" Type="http://schemas.openxmlformats.org/officeDocument/2006/relationships/header" Target="header74.xml"/><Relationship Id="rId384" Type="http://schemas.openxmlformats.org/officeDocument/2006/relationships/header" Target="header75.xml"/><Relationship Id="rId385" Type="http://schemas.openxmlformats.org/officeDocument/2006/relationships/hyperlink" Target="http://www.aqf.edu.au/what-is-the-" TargetMode="External"/><Relationship Id="rId386" Type="http://schemas.openxmlformats.org/officeDocument/2006/relationships/hyperlink" Target="http://www.banyule.vic.gov.au/Council/" TargetMode="External"/><Relationship Id="rId387" Type="http://schemas.openxmlformats.org/officeDocument/2006/relationships/hyperlink" Target="http://www.bayside.vic.gov.au/" TargetMode="External"/><Relationship Id="rId388" Type="http://schemas.openxmlformats.org/officeDocument/2006/relationships/hyperlink" Target="http://www.supremecourt.tas.gov.au/publications/speeches-articles/" TargetMode="External"/><Relationship Id="rId389" Type="http://schemas.openxmlformats.org/officeDocument/2006/relationships/hyperlink" Target="http://www.abc.net.au/news/2017-05-16/solar-panels-and-the-law-is-there-a-right-to-" TargetMode="External"/><Relationship Id="rId390" Type="http://schemas.openxmlformats.org/officeDocument/2006/relationships/hyperlink" Target="http://www.cabwa.com.au/" TargetMode="External"/><Relationship Id="rId391" Type="http://schemas.openxmlformats.org/officeDocument/2006/relationships/hyperlink" Target="http://www.ballarat.vic.gov.au/city/parks-and-outdoors/tree-management" TargetMode="External"/><Relationship Id="rId392" Type="http://schemas.openxmlformats.org/officeDocument/2006/relationships/hyperlink" Target="http://www.boroondara.vic.gov.au/waste-" TargetMode="External"/><Relationship Id="rId393" Type="http://schemas.openxmlformats.org/officeDocument/2006/relationships/hyperlink" Target="http://www.boroondara.vic.gov.au/planning-" TargetMode="External"/><Relationship Id="rId394" Type="http://schemas.openxmlformats.org/officeDocument/2006/relationships/hyperlink" Target="http://www.melbourne.vic.gov.au/news-and-media/pages/australias-first-urban-forestry-" TargetMode="External"/><Relationship Id="rId395" Type="http://schemas.openxmlformats.org/officeDocument/2006/relationships/hyperlink" Target="http://www.portphillip.vic.gov.au/tree_" TargetMode="External"/><Relationship Id="rId396" Type="http://schemas.openxmlformats.org/officeDocument/2006/relationships/hyperlink" Target="http://www.stonnington.vic.gov.au/" TargetMode="External"/><Relationship Id="rId397" Type="http://schemas.openxmlformats.org/officeDocument/2006/relationships/hyperlink" Target="http://www.whitehorse.vic.gov.au/Tree-" TargetMode="External"/><Relationship Id="rId398" Type="http://schemas.openxmlformats.org/officeDocument/2006/relationships/hyperlink" Target="http://www.cjc.justice.nsw.gov.au/Pages/cjc_whatis_" TargetMode="External"/><Relationship Id="rId399" Type="http://schemas.openxmlformats.org/officeDocument/2006/relationships/hyperlink" Target="http://www.cjc.justice.nsw.gov.au/Pages/com_" TargetMode="External"/><Relationship Id="rId400" Type="http://schemas.openxmlformats.org/officeDocument/2006/relationships/hyperlink" Target="http://communitylaw.org.nz/" TargetMode="External"/><Relationship Id="rId401" Type="http://schemas.openxmlformats.org/officeDocument/2006/relationships/hyperlink" Target="http://www.qldneighbourhoods.com/writing-to-your-neighbour.html" TargetMode="External"/><Relationship Id="rId402" Type="http://schemas.openxmlformats.org/officeDocument/2006/relationships/hyperlink" Target="http://www.consumer.vic.gov.au/housing/buying-and-selling-property/checklists/due-" TargetMode="External"/><Relationship Id="rId403" Type="http://schemas.openxmlformats.org/officeDocument/2006/relationships/hyperlink" Target="http://www.consumer.vic.gov.au/housing/buying-and-selling-property/selling-property/" TargetMode="External"/><Relationship Id="rId404" Type="http://schemas.openxmlformats.org/officeDocument/2006/relationships/hyperlink" Target="http://www.consumer.org.nz/" TargetMode="External"/><Relationship Id="rId405" Type="http://schemas.openxmlformats.org/officeDocument/2006/relationships/hyperlink" Target="http://www.cfa.vic.gov.au/about/" TargetMode="External"/><Relationship Id="rId406" Type="http://schemas.openxmlformats.org/officeDocument/2006/relationships/hyperlink" Target="http://www.countycourt.vic.gov.au/learn-about-court/" TargetMode="External"/><Relationship Id="rId407" Type="http://schemas.openxmlformats.org/officeDocument/2006/relationships/hyperlink" Target="http://www.countycourt.vic.gov.au/forms-and-" TargetMode="External"/><Relationship Id="rId408" Type="http://schemas.openxmlformats.org/officeDocument/2006/relationships/hyperlink" Target="http://www.courtsofnz.govt.nz/about-the-" TargetMode="External"/><Relationship Id="rId409" Type="http://schemas.openxmlformats.org/officeDocument/2006/relationships/hyperlink" Target="http://www.skills.vic.gov.au/victorianskillsgateway/Students/Pages/CourseSearchDescription.aspx" TargetMode="External"/><Relationship Id="rId410" Type="http://schemas.openxmlformats.org/officeDocument/2006/relationships/hyperlink" Target="http://www.planning.vic.gov.au/policy-and-strategy/planning-reform/reformed-zones-for-" TargetMode="External"/><Relationship Id="rId411" Type="http://schemas.openxmlformats.org/officeDocument/2006/relationships/hyperlink" Target="http://www.planning.vic.gov.au/schemes-and-amendments/get-information-about-your-" TargetMode="External"/><Relationship Id="rId412" Type="http://schemas.openxmlformats.org/officeDocument/2006/relationships/hyperlink" Target="http://www.heritage.vic.gov.au/about-heritage-in-" TargetMode="External"/><Relationship Id="rId413" Type="http://schemas.openxmlformats.org/officeDocument/2006/relationships/hyperlink" Target="http://www.environment.vic.gov.au/" TargetMode="External"/><Relationship Id="rId414" Type="http://schemas.openxmlformats.org/officeDocument/2006/relationships/hyperlink" Target="http://www.planning.vic.gov.au/policy-and-strategy/reducing-" TargetMode="External"/><Relationship Id="rId415" Type="http://schemas.openxmlformats.org/officeDocument/2006/relationships/hyperlink" Target="http://www.planning.vic.gov.au/policy-and-strategy/bushfire-protection/building-in-bushfire-" TargetMode="External"/><Relationship Id="rId416" Type="http://schemas.openxmlformats.org/officeDocument/2006/relationships/hyperlink" Target="http://www.environment.vic.gov.au/native-vegetation/native-vegetation/" TargetMode="External"/><Relationship Id="rId417" Type="http://schemas.openxmlformats.org/officeDocument/2006/relationships/hyperlink" Target="http://www.planning.vic.gov.au/panels-and-committees/previous-panels-and-committees/" TargetMode="External"/><Relationship Id="rId418" Type="http://schemas.openxmlformats.org/officeDocument/2006/relationships/hyperlink" Target="http://www.heritage.vic.gov.au/" TargetMode="External"/><Relationship Id="rId419" Type="http://schemas.openxmlformats.org/officeDocument/2006/relationships/hyperlink" Target="http://www.environment.vic.gov.au/conserving-threatened-species/flora-and-fauna-" TargetMode="External"/><Relationship Id="rId420" Type="http://schemas.openxmlformats.org/officeDocument/2006/relationships/hyperlink" Target="http://www.environment.vic.gov.au/native-vegetation/review-of-native-vegetation-clearing-" TargetMode="External"/><Relationship Id="rId421" Type="http://schemas.openxmlformats.org/officeDocument/2006/relationships/hyperlink" Target="http://www.planning.vic.gov.au/guide-home/" TargetMode="External"/><Relationship Id="rId422" Type="http://schemas.openxmlformats.org/officeDocument/2006/relationships/hyperlink" Target="http://planningschemes.dpcd.vic.gov.au/schemes/" TargetMode="External"/><Relationship Id="rId423" Type="http://schemas.openxmlformats.org/officeDocument/2006/relationships/hyperlink" Target="http://www.justice.vic.gov.au/justice-" TargetMode="External"/><Relationship Id="rId424" Type="http://schemas.openxmlformats.org/officeDocument/2006/relationships/hyperlink" Target="http://www.cjc.justice.nsw/" TargetMode="External"/><Relationship Id="rId425" Type="http://schemas.openxmlformats.org/officeDocument/2006/relationships/hyperlink" Target="http://www.justice.tas.gov.au/mediation_" TargetMode="External"/><Relationship Id="rId426" Type="http://schemas.openxmlformats.org/officeDocument/2006/relationships/hyperlink" Target="http://www.planningreform.tas.gov.au/" TargetMode="External"/><Relationship Id="rId427" Type="http://schemas.openxmlformats.org/officeDocument/2006/relationships/hyperlink" Target="http://www.justice.tas.gov.au/about/" TargetMode="External"/><Relationship Id="rId428" Type="http://schemas.openxmlformats.org/officeDocument/2006/relationships/hyperlink" Target="http://www.localgovernment.vic.gov.au/strengthening-councils/local-laws" TargetMode="External"/><Relationship Id="rId429" Type="http://schemas.openxmlformats.org/officeDocument/2006/relationships/hyperlink" Target="http://www.planning.nsw.gov.au/Policy-and-Legislation/Environmental-Planning-and-Assessment-" TargetMode="External"/><Relationship Id="rId430" Type="http://schemas.openxmlformats.org/officeDocument/2006/relationships/hyperlink" Target="http://www.planning.nsw.gov.au/Assess-" TargetMode="External"/><Relationship Id="rId431" Type="http://schemas.openxmlformats.org/officeDocument/2006/relationships/hyperlink" Target="http://www.premier.vic.gov.au/thousands-of-victorian-homes-" TargetMode="External"/><Relationship Id="rId432" Type="http://schemas.openxmlformats.org/officeDocument/2006/relationships/hyperlink" Target="http://www.environment.gov.au/" TargetMode="External"/><Relationship Id="rId433" Type="http://schemas.openxmlformats.org/officeDocument/2006/relationships/hyperlink" Target="http://www.environment.gov.au/biodiversity/" TargetMode="External"/><Relationship Id="rId434" Type="http://schemas.openxmlformats.org/officeDocument/2006/relationships/hyperlink" Target="http://www.environment.gov.au/heritage/" TargetMode="External"/><Relationship Id="rId435" Type="http://schemas.openxmlformats.org/officeDocument/2006/relationships/hyperlink" Target="http://www.environment.gov.au/epbc/publications/significant-impact-guidelines-11-matters-" TargetMode="External"/><Relationship Id="rId436" Type="http://schemas.openxmlformats.org/officeDocument/2006/relationships/hyperlink" Target="http://www.environment.gov/" TargetMode="External"/><Relationship Id="rId437" Type="http://schemas.openxmlformats.org/officeDocument/2006/relationships/hyperlink" Target="http://www.enspec.com/" TargetMode="External"/><Relationship Id="rId438" Type="http://schemas.openxmlformats.org/officeDocument/2006/relationships/hyperlink" Target="http://www.lawgazette.co.uk/news/chatbot-pioneer-builds-free-tool-" TargetMode="External"/><Relationship Id="rId439" Type="http://schemas.openxmlformats.org/officeDocument/2006/relationships/hyperlink" Target="http://www.sbs.com.au/nitv/article/2019/03/23/djab-wurrung-" TargetMode="External"/><Relationship Id="rId440" Type="http://schemas.openxmlformats.org/officeDocument/2006/relationships/hyperlink" Target="http://www.illinoislegalaid.org/legal-information/who-owns-tree-both-my-and-my-" TargetMode="External"/><Relationship Id="rId441" Type="http://schemas.openxmlformats.org/officeDocument/2006/relationships/hyperlink" Target="http://www.isa-arbor.com/" TargetMode="External"/><Relationship Id="rId442" Type="http://schemas.openxmlformats.org/officeDocument/2006/relationships/hyperlink" Target="http://www.judicialcollege.vic.edu.au/eManuals/VCPM/index" TargetMode="External"/><Relationship Id="rId443" Type="http://schemas.openxmlformats.org/officeDocument/2006/relationships/hyperlink" Target="http://www.lec.justice.nsw.gov.au/Pages/about/about" TargetMode="External"/><Relationship Id="rId444" Type="http://schemas.openxmlformats.org/officeDocument/2006/relationships/hyperlink" Target="http://www.lec.justice.nsw.gov.au/Pages/types_of_disputes/class_2/" TargetMode="External"/><Relationship Id="rId445" Type="http://schemas.openxmlformats.org/officeDocument/2006/relationships/hyperlink" Target="http://www.lec.justice.nsw.gov.au/Pages/coming_to_" TargetMode="External"/><Relationship Id="rId446" Type="http://schemas.openxmlformats.org/officeDocument/2006/relationships/hyperlink" Target="http://www.lec.justice.nsw.gov.au/Pages/types_" TargetMode="External"/><Relationship Id="rId447" Type="http://schemas.openxmlformats.org/officeDocument/2006/relationships/hyperlink" Target="http://www.lec.justice.nsw.gov.au/Pages/types_of_disputes/class_2/Trees-hedge-disputes-" TargetMode="External"/><Relationship Id="rId448" Type="http://schemas.openxmlformats.org/officeDocument/2006/relationships/hyperlink" Target="http://www.landata.vic.gov.au/tpc_help_" TargetMode="External"/><Relationship Id="rId449" Type="http://schemas.openxmlformats.org/officeDocument/2006/relationships/hyperlink" Target="http://www.legalaid.tas.gov.au/" TargetMode="External"/><Relationship Id="rId450" Type="http://schemas.openxmlformats.org/officeDocument/2006/relationships/hyperlink" Target="http://www.theage.com.au/national/victoria/appalling-display-of-" TargetMode="External"/><Relationship Id="rId451" Type="http://schemas.openxmlformats.org/officeDocument/2006/relationships/hyperlink" Target="http://www.mcv.vic.gov.au/news-and-" TargetMode="External"/><Relationship Id="rId452" Type="http://schemas.openxmlformats.org/officeDocument/2006/relationships/hyperlink" Target="http://www.mcv.vic.gov.au/find-support/" TargetMode="External"/><Relationship Id="rId453" Type="http://schemas.openxmlformats.org/officeDocument/2006/relationships/hyperlink" Target="http://www.magistratescourt.vic.gov.au/" TargetMode="External"/><Relationship Id="rId454" Type="http://schemas.openxmlformats.org/officeDocument/2006/relationships/hyperlink" Target="http://www.magistratescourt.vic.gov/" TargetMode="External"/><Relationship Id="rId455" Type="http://schemas.openxmlformats.org/officeDocument/2006/relationships/hyperlink" Target="http://www.geelongadvertiser.com.au/news/crime-court/geelong-" TargetMode="External"/><Relationship Id="rId456" Type="http://schemas.openxmlformats.org/officeDocument/2006/relationships/hyperlink" Target="http://www.melbournewater.com.au/planning-and-building/flooding-information-and-advice/" TargetMode="External"/><Relationship Id="rId457" Type="http://schemas.openxmlformats.org/officeDocument/2006/relationships/hyperlink" Target="http://www.mccy.gov.sg/sector/initiatives/" TargetMode="External"/><Relationship Id="rId458" Type="http://schemas.openxmlformats.org/officeDocument/2006/relationships/hyperlink" Target="http://www.sgaonline.org.au/economic-value-of-trees/" TargetMode="External"/><Relationship Id="rId459" Type="http://schemas.openxmlformats.org/officeDocument/2006/relationships/hyperlink" Target="http://www.moreland.vic/" TargetMode="External"/><Relationship Id="rId460" Type="http://schemas.openxmlformats.org/officeDocument/2006/relationships/hyperlink" Target="http://www.mornpen.vic.gov.au/Activities/" TargetMode="External"/><Relationship Id="rId461" Type="http://schemas.openxmlformats.org/officeDocument/2006/relationships/hyperlink" Target="http://www.smh.com.au/national/nsw/" TargetMode="External"/><Relationship Id="rId462" Type="http://schemas.openxmlformats.org/officeDocument/2006/relationships/hyperlink" Target="http://www.ag.gov.au/LegalSystem/AlternateDisputeResolution/Pages/" TargetMode="External"/><Relationship Id="rId463" Type="http://schemas.openxmlformats.org/officeDocument/2006/relationships/hyperlink" Target="http://www.neighbourhoodjustice.vic.gov.au/attend-court/going-to-vcat/what-happens-at-vcat" TargetMode="External"/><Relationship Id="rId464" Type="http://schemas.openxmlformats.org/officeDocument/2006/relationships/hyperlink" Target="http://www.ncat.nsw.gov.au/Pages/about_us/publications_and_resources/annual_reports.aspx" TargetMode="External"/><Relationship Id="rId465" Type="http://schemas.openxmlformats.org/officeDocument/2006/relationships/hyperlink" Target="http://www.nillumbik.vic.gov.au/Council/Council-publications/Strategies-policies-and-" TargetMode="External"/><Relationship Id="rId466" Type="http://schemas.openxmlformats.org/officeDocument/2006/relationships/hyperlink" Target="http://www.environment.nsw.gov/" TargetMode="External"/><Relationship Id="rId467" Type="http://schemas.openxmlformats.org/officeDocument/2006/relationships/hyperlink" Target="http://www.parliament.vic.gov.au/57th-" TargetMode="External"/><Relationship Id="rId468" Type="http://schemas.openxmlformats.org/officeDocument/2006/relationships/hyperlink" Target="http://www.qtra.co.uk/cms/index.php?section=124" TargetMode="External"/><Relationship Id="rId469" Type="http://schemas.openxmlformats.org/officeDocument/2006/relationships/hyperlink" Target="http://www.qld.gov.au/law/housing-and-neighbours/resolve-disputes" TargetMode="External"/><Relationship Id="rId470" Type="http://schemas.openxmlformats.org/officeDocument/2006/relationships/hyperlink" Target="http://www.qld.gov.au/law/legal-mediation-" TargetMode="External"/><Relationship Id="rId471" Type="http://schemas.openxmlformats.org/officeDocument/2006/relationships/hyperlink" Target="http://www.qld.gov.au/" TargetMode="External"/><Relationship Id="rId472" Type="http://schemas.openxmlformats.org/officeDocument/2006/relationships/hyperlink" Target="http://www.qld.gov.au/law/housing-and-neighbours/disputes-about-fences-trees-and-" TargetMode="External"/><Relationship Id="rId473" Type="http://schemas.openxmlformats.org/officeDocument/2006/relationships/hyperlink" Target="http://www.skillsimpact.com.au/" TargetMode="External"/><Relationship Id="rId474" Type="http://schemas.openxmlformats.org/officeDocument/2006/relationships/hyperlink" Target="http://www.supremecourt.vic.gov.au/law-and-practice/areas-" TargetMode="External"/><Relationship Id="rId475" Type="http://schemas.openxmlformats.org/officeDocument/2006/relationships/hyperlink" Target="http://www.supremecourt.vic.gov.au/about-the-" TargetMode="External"/><Relationship Id="rId476" Type="http://schemas.openxmlformats.org/officeDocument/2006/relationships/hyperlink" Target="http://www.sgaonline.org.au/sustainable-gardening-booklets/" TargetMode="External"/><Relationship Id="rId477" Type="http://schemas.openxmlformats.org/officeDocument/2006/relationships/hyperlink" Target="http://www.planning.tas/" TargetMode="External"/><Relationship Id="rId478" Type="http://schemas.openxmlformats.org/officeDocument/2006/relationships/hyperlink" Target="http://www.trustfornature.org.au/landowner-" TargetMode="External"/><Relationship Id="rId479" Type="http://schemas.openxmlformats.org/officeDocument/2006/relationships/hyperlink" Target="http://www.unitingcommunities.org/services/financial-legal-services/mediation-services/" TargetMode="External"/><Relationship Id="rId480" Type="http://schemas.openxmlformats.org/officeDocument/2006/relationships/hyperlink" Target="http://www.legalaid.vic.gov.au/find-legal-answers/free-" TargetMode="External"/><Relationship Id="rId481" Type="http://schemas.openxmlformats.org/officeDocument/2006/relationships/hyperlink" Target="http://www.victorialawfoundation.org.au/nuisance-laws-including-pollution" TargetMode="External"/><Relationship Id="rId482" Type="http://schemas.openxmlformats.org/officeDocument/2006/relationships/hyperlink" Target="http://www.legalaid.vic.gov.au/find-legal-" TargetMode="External"/><Relationship Id="rId483" Type="http://schemas.openxmlformats.org/officeDocument/2006/relationships/hyperlink" Target="http://www.legalaid.vic.gov.au/about-us/news/high-court-decision-affecting-your-practice-" TargetMode="External"/><Relationship Id="rId484" Type="http://schemas.openxmlformats.org/officeDocument/2006/relationships/hyperlink" Target="http://www.vcat.vic.gov.au/get-started/" TargetMode="External"/><Relationship Id="rId485" Type="http://schemas.openxmlformats.org/officeDocument/2006/relationships/hyperlink" Target="http://www.vcat.vic.gov.au/resources/application-to-" TargetMode="External"/><Relationship Id="rId486" Type="http://schemas.openxmlformats.org/officeDocument/2006/relationships/hyperlink" Target="http://www.vcat.vic.gov.au/case-types/review-and-regulation/application-to-" TargetMode="External"/><Relationship Id="rId487" Type="http://schemas.openxmlformats.org/officeDocument/2006/relationships/hyperlink" Target="http://www.vcat.vic.gov.au/steps-to-resolve-your-case/when-vcat-opens-a-case/apply-to-" TargetMode="External"/><Relationship Id="rId488" Type="http://schemas.openxmlformats.org/officeDocument/2006/relationships/hyperlink" Target="http://www.vcat.vic.gov.au/steps-to-resolve-your-case/resolve-" TargetMode="External"/><Relationship Id="rId489" Type="http://schemas.openxmlformats.org/officeDocument/2006/relationships/hyperlink" Target="http://www.vcat.vic.gov.au/about-us/how-long-a-" TargetMode="External"/><Relationship Id="rId490" Type="http://schemas.openxmlformats.org/officeDocument/2006/relationships/hyperlink" Target="http://www.vcat.vic.gov.au/about-us/" TargetMode="External"/><Relationship Id="rId491" Type="http://schemas.openxmlformats.org/officeDocument/2006/relationships/hyperlink" Target="http://www.vcat.vic.gov.au/about-us/our-commitment-" TargetMode="External"/><Relationship Id="rId492" Type="http://schemas.openxmlformats.org/officeDocument/2006/relationships/hyperlink" Target="http://www.vcat.vic.gov.au/resources/renting-" TargetMode="External"/><Relationship Id="rId493" Type="http://schemas.openxmlformats.org/officeDocument/2006/relationships/hyperlink" Target="http://www.vcat.vic.gov.au/news/resolving-disputes-between-residents-of-different-" TargetMode="External"/><Relationship Id="rId494" Type="http://schemas.openxmlformats.org/officeDocument/2006/relationships/hyperlink" Target="http://www.vcat.vic.gov.au/steps-to-resolve-your-case" TargetMode="External"/><Relationship Id="rId495" Type="http://schemas.openxmlformats.org/officeDocument/2006/relationships/hyperlink" Target="http://www.vcat.vic.gov.au/steps-to-resolve-your-case/how-to-" TargetMode="External"/><Relationship Id="rId496" Type="http://schemas.openxmlformats.org/officeDocument/2006/relationships/hyperlink" Target="http://www.vcat.vic.gov.au/AccessibleVCAT" TargetMode="External"/><Relationship Id="rId497" Type="http://schemas.openxmlformats.org/officeDocument/2006/relationships/hyperlink" Target="http://www.vcat.vic.gov.au/resources/videos" TargetMode="External"/><Relationship Id="rId498" Type="http://schemas.openxmlformats.org/officeDocument/2006/relationships/hyperlink" Target="http://www.youtube.com/channel/UCc73nMfBWIiAc0w_" TargetMode="External"/><Relationship Id="rId499" Type="http://schemas.openxmlformats.org/officeDocument/2006/relationships/hyperlink" Target="http://www.vic.gov.au/aboriginalvictoria/heritage/aboriginal-cultural-heritage-of-victoria/" TargetMode="External"/><Relationship Id="rId500" Type="http://schemas.openxmlformats.org/officeDocument/2006/relationships/hyperlink" Target="http://knowyourcouncil.vic.gov.au/" TargetMode="External"/><Relationship Id="rId501" Type="http://schemas.openxmlformats.org/officeDocument/2006/relationships/hyperlink" Target="http://knowyourcouncil.vic.gov.au/guide-to-councils/how-" TargetMode="External"/><Relationship Id="rId502" Type="http://schemas.openxmlformats.org/officeDocument/2006/relationships/hyperlink" Target="http://www.lawreform.vic.gov.au/about-us/policies/submissions-" TargetMode="External"/><Relationship Id="rId503" Type="http://schemas.openxmlformats.org/officeDocument/2006/relationships/hyperlink" Target="http://www.youtube.com/channel/" TargetMode="External"/><Relationship Id="rId504" Type="http://schemas.openxmlformats.org/officeDocument/2006/relationships/header" Target="header76.xml"/><Relationship Id="rId505" Type="http://schemas.openxmlformats.org/officeDocument/2006/relationships/header" Target="header77.xml"/><Relationship Id="rId506" Type="http://schemas.openxmlformats.org/officeDocument/2006/relationships/image" Target="media/image7.png"/><Relationship Id="rId507" Type="http://schemas.openxmlformats.org/officeDocument/2006/relationships/image" Target="media/image8.jpeg"/><Relationship Id="rId50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2022-03-28T00:17:40Z</dcterms:created>
  <dcterms:modified xsi:type="dcterms:W3CDTF">2022-03-28T00:17:40Z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2019-07-05T00:00:00Z</vt:filetime>
  </property>
  <property fmtid="{D5CDD505-2E9C-101B-9397-08002B2CF9AE}" pid="3" name="Creator">
    <vt:lpwstr>Adobe InDesign 14.0 (Macintosh)</vt:lpwstr>
  </property>
  <property fmtid="{D5CDD505-2E9C-101B-9397-08002B2CF9AE}" pid="4" name="LastSaved">
    <vt:filetime>2022-03-28T00:00:00Z</vt:filetime>
  </property>
</Properties>
</file>